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CFE" w:rsidRPr="007F508A" w:rsidRDefault="007F508A" w:rsidP="007F508A">
      <w:pPr>
        <w:pStyle w:val="XLargeGA"/>
        <w:spacing w:before="2400" w:after="120"/>
        <w:rPr>
          <w:rFonts w:hint="cs"/>
          <w:sz w:val="24"/>
          <w:szCs w:val="44"/>
          <w:rtl/>
        </w:rPr>
      </w:pPr>
      <w:r w:rsidRPr="007F508A">
        <w:rPr>
          <w:rFonts w:hint="cs"/>
          <w:noProof/>
          <w:sz w:val="24"/>
          <w:szCs w:val="44"/>
          <w:rtl/>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0.5pt;margin-top:33pt;width:106.5pt;height:94.5pt;z-index:1;mso-position-horizontal-relative:margin" o:allowincell="f" o:allowoverlap="f">
            <v:imagedata r:id="rId7" o:title="" croptop="-261f" cropbottom="-261f" cropleft="-327f" cropright="-327f"/>
            <w10:wrap anchorx="margin"/>
          </v:shape>
        </w:pict>
      </w:r>
      <w:r w:rsidR="000C5CFE" w:rsidRPr="007F508A">
        <w:rPr>
          <w:rFonts w:hint="cs"/>
          <w:sz w:val="24"/>
          <w:szCs w:val="44"/>
          <w:rtl/>
        </w:rPr>
        <w:t>الأمم المتحدة</w:t>
      </w:r>
    </w:p>
    <w:p w:rsidR="004E0A37" w:rsidRPr="00033DC8" w:rsidRDefault="004E0A37" w:rsidP="007F508A">
      <w:pPr>
        <w:pStyle w:val="SLGA"/>
        <w:bidi/>
        <w:spacing w:before="1200" w:after="1200"/>
        <w:rPr>
          <w:rFonts w:hint="cs"/>
          <w:sz w:val="60"/>
          <w:szCs w:val="60"/>
          <w:rtl/>
        </w:rPr>
      </w:pPr>
      <w:r w:rsidRPr="00033DC8">
        <w:rPr>
          <w:rFonts w:hint="cs"/>
          <w:sz w:val="60"/>
          <w:szCs w:val="60"/>
          <w:rtl/>
        </w:rPr>
        <w:t xml:space="preserve">تقرير لجنة </w:t>
      </w:r>
      <w:r>
        <w:rPr>
          <w:rFonts w:hint="cs"/>
          <w:sz w:val="60"/>
          <w:szCs w:val="60"/>
          <w:rtl/>
        </w:rPr>
        <w:t>مناهضة التعذيب</w:t>
      </w:r>
    </w:p>
    <w:p w:rsidR="00DE0C73" w:rsidRDefault="004E0A37" w:rsidP="000C5CFE">
      <w:pPr>
        <w:pStyle w:val="HChGA"/>
        <w:spacing w:before="0" w:after="0"/>
        <w:ind w:left="2494"/>
        <w:rPr>
          <w:rFonts w:hint="cs"/>
          <w:rtl/>
        </w:rPr>
      </w:pPr>
      <w:r w:rsidRPr="00033DC8">
        <w:rPr>
          <w:rFonts w:hint="cs"/>
          <w:rtl/>
        </w:rPr>
        <w:t xml:space="preserve">الدورة </w:t>
      </w:r>
      <w:r>
        <w:rPr>
          <w:rFonts w:hint="cs"/>
          <w:rtl/>
        </w:rPr>
        <w:t>السابعة والأربعون</w:t>
      </w:r>
    </w:p>
    <w:p w:rsidR="004E0A37" w:rsidRDefault="004E0A37" w:rsidP="000C5CFE">
      <w:pPr>
        <w:pStyle w:val="HChGA"/>
        <w:spacing w:before="0"/>
        <w:ind w:left="2494"/>
        <w:rPr>
          <w:rFonts w:hint="cs"/>
          <w:rtl/>
        </w:rPr>
      </w:pPr>
      <w:r w:rsidRPr="00033DC8">
        <w:rPr>
          <w:rFonts w:hint="cs"/>
          <w:rtl/>
        </w:rPr>
        <w:t>(</w:t>
      </w:r>
      <w:r>
        <w:rPr>
          <w:rFonts w:hint="cs"/>
          <w:rtl/>
        </w:rPr>
        <w:t>31 تشرين الأول/أكتوبر - 25 تشرين الثاني/نوفمبر 2011</w:t>
      </w:r>
      <w:r w:rsidRPr="00033DC8">
        <w:rPr>
          <w:rFonts w:hint="cs"/>
          <w:rtl/>
        </w:rPr>
        <w:t>)</w:t>
      </w:r>
    </w:p>
    <w:p w:rsidR="00DE0C73" w:rsidRDefault="004E0A37" w:rsidP="000C5CFE">
      <w:pPr>
        <w:pStyle w:val="HChGA"/>
        <w:spacing w:before="0" w:after="0"/>
        <w:ind w:left="2494"/>
        <w:rPr>
          <w:rFonts w:hint="cs"/>
          <w:rtl/>
        </w:rPr>
      </w:pPr>
      <w:r>
        <w:rPr>
          <w:rFonts w:hint="cs"/>
          <w:rtl/>
        </w:rPr>
        <w:t>الدورة الثامنة والأربعون</w:t>
      </w:r>
    </w:p>
    <w:p w:rsidR="004E0A37" w:rsidRDefault="004E0A37" w:rsidP="007F508A">
      <w:pPr>
        <w:pStyle w:val="HChGA"/>
        <w:spacing w:before="0" w:after="1800"/>
        <w:ind w:left="2494"/>
        <w:rPr>
          <w:rFonts w:hint="cs"/>
          <w:rtl/>
        </w:rPr>
      </w:pPr>
      <w:r>
        <w:rPr>
          <w:rFonts w:hint="cs"/>
          <w:rtl/>
        </w:rPr>
        <w:t>(7 أيار/مايو - 1 حزيران/يونيه 2012)</w:t>
      </w:r>
    </w:p>
    <w:p w:rsidR="004E0A37" w:rsidRPr="000C5CFE" w:rsidRDefault="004E0A37" w:rsidP="000C5CFE">
      <w:pPr>
        <w:pStyle w:val="XLargeGA"/>
        <w:keepNext w:val="0"/>
        <w:keepLines w:val="0"/>
        <w:suppressAutoHyphens w:val="0"/>
        <w:spacing w:before="720" w:after="0"/>
        <w:rPr>
          <w:rFonts w:hint="cs"/>
          <w:sz w:val="24"/>
          <w:szCs w:val="44"/>
          <w:rtl/>
        </w:rPr>
      </w:pPr>
      <w:r w:rsidRPr="000C5CFE">
        <w:rPr>
          <w:rFonts w:hint="cs"/>
          <w:sz w:val="24"/>
          <w:szCs w:val="44"/>
          <w:rtl/>
        </w:rPr>
        <w:t>الجمعية العامة</w:t>
      </w:r>
    </w:p>
    <w:p w:rsidR="004E0A37" w:rsidRPr="00033DC8" w:rsidRDefault="004E0A37" w:rsidP="004E0A37">
      <w:pPr>
        <w:pStyle w:val="HCh"/>
        <w:keepNext w:val="0"/>
        <w:keepLines w:val="0"/>
        <w:suppressAutoHyphens w:val="0"/>
        <w:spacing w:line="380" w:lineRule="exact"/>
        <w:ind w:left="1247" w:right="1247"/>
        <w:rPr>
          <w:rFonts w:hint="cs"/>
          <w:kern w:val="16"/>
          <w:sz w:val="22"/>
          <w:szCs w:val="32"/>
          <w:rtl/>
          <w:lang w:eastAsia="ar-SA"/>
        </w:rPr>
      </w:pPr>
      <w:r w:rsidRPr="00033DC8">
        <w:rPr>
          <w:rFonts w:hint="cs"/>
          <w:kern w:val="16"/>
          <w:sz w:val="22"/>
          <w:szCs w:val="32"/>
          <w:rtl/>
          <w:lang w:eastAsia="ar-SA"/>
        </w:rPr>
        <w:t>الوثائق الرسمية</w:t>
      </w:r>
    </w:p>
    <w:p w:rsidR="004E0A37" w:rsidRPr="00033DC8" w:rsidRDefault="004E0A37" w:rsidP="004E0A37">
      <w:pPr>
        <w:pStyle w:val="HCh"/>
        <w:keepNext w:val="0"/>
        <w:keepLines w:val="0"/>
        <w:suppressAutoHyphens w:val="0"/>
        <w:spacing w:line="380" w:lineRule="exact"/>
        <w:ind w:left="1247" w:right="1247"/>
        <w:rPr>
          <w:rFonts w:hint="cs"/>
          <w:kern w:val="16"/>
          <w:sz w:val="22"/>
          <w:szCs w:val="32"/>
          <w:rtl/>
          <w:lang w:eastAsia="ar-SA"/>
        </w:rPr>
      </w:pPr>
      <w:r w:rsidRPr="00033DC8">
        <w:rPr>
          <w:rFonts w:hint="cs"/>
          <w:kern w:val="16"/>
          <w:sz w:val="22"/>
          <w:szCs w:val="32"/>
          <w:rtl/>
          <w:lang w:eastAsia="ar-SA"/>
        </w:rPr>
        <w:t xml:space="preserve">الدورة </w:t>
      </w:r>
      <w:r>
        <w:rPr>
          <w:rFonts w:hint="cs"/>
          <w:kern w:val="16"/>
          <w:sz w:val="22"/>
          <w:szCs w:val="32"/>
          <w:rtl/>
          <w:lang w:eastAsia="ar-SA"/>
        </w:rPr>
        <w:t>السابعة</w:t>
      </w:r>
      <w:r w:rsidRPr="00033DC8">
        <w:rPr>
          <w:rFonts w:hint="cs"/>
          <w:kern w:val="16"/>
          <w:sz w:val="22"/>
          <w:szCs w:val="32"/>
          <w:rtl/>
          <w:lang w:eastAsia="ar-SA"/>
        </w:rPr>
        <w:t xml:space="preserve"> والستون</w:t>
      </w:r>
    </w:p>
    <w:p w:rsidR="004E0A37" w:rsidRPr="00C32A12" w:rsidRDefault="004E0A37" w:rsidP="004E0A37">
      <w:pPr>
        <w:ind w:left="567" w:firstLine="680"/>
        <w:rPr>
          <w:rFonts w:hint="cs"/>
          <w:b/>
          <w:bCs/>
          <w:szCs w:val="22"/>
          <w:rtl/>
        </w:rPr>
      </w:pPr>
      <w:r w:rsidRPr="00C32A12">
        <w:rPr>
          <w:rFonts w:hint="cs"/>
          <w:b/>
          <w:bCs/>
          <w:szCs w:val="32"/>
          <w:rtl/>
        </w:rPr>
        <w:t>الملحق رقم 44 (</w:t>
      </w:r>
      <w:r w:rsidRPr="00C32A12">
        <w:rPr>
          <w:b/>
          <w:bCs/>
          <w:szCs w:val="32"/>
        </w:rPr>
        <w:t>A/6</w:t>
      </w:r>
      <w:r>
        <w:rPr>
          <w:b/>
          <w:bCs/>
          <w:szCs w:val="32"/>
        </w:rPr>
        <w:t>7</w:t>
      </w:r>
      <w:r w:rsidRPr="00C32A12">
        <w:rPr>
          <w:b/>
          <w:bCs/>
          <w:szCs w:val="32"/>
        </w:rPr>
        <w:t>/44</w:t>
      </w:r>
      <w:r w:rsidRPr="00C32A12">
        <w:rPr>
          <w:rFonts w:hint="cs"/>
          <w:b/>
          <w:bCs/>
          <w:szCs w:val="32"/>
          <w:rtl/>
        </w:rPr>
        <w:t>)</w:t>
      </w:r>
    </w:p>
    <w:p w:rsidR="004E0A37" w:rsidRDefault="004E0A37" w:rsidP="007E197F">
      <w:pPr>
        <w:spacing w:line="380" w:lineRule="exact"/>
        <w:rPr>
          <w:rtl/>
        </w:rPr>
        <w:sectPr w:rsidR="004E0A37" w:rsidSect="004E0A37">
          <w:headerReference w:type="even" r:id="rId8"/>
          <w:headerReference w:type="default" r:id="rId9"/>
          <w:footerReference w:type="even" r:id="rId10"/>
          <w:footerReference w:type="default" r:id="rId11"/>
          <w:headerReference w:type="first" r:id="rId12"/>
          <w:endnotePr>
            <w:numFmt w:val="decimal"/>
          </w:endnotePr>
          <w:type w:val="continuous"/>
          <w:pgSz w:w="11906" w:h="16838" w:code="9"/>
          <w:pgMar w:top="1701" w:right="1134" w:bottom="2268" w:left="1134" w:header="1134" w:footer="1701" w:gutter="0"/>
          <w:cols w:space="708"/>
          <w:titlePg/>
          <w:bidi/>
          <w:docGrid w:linePitch="360"/>
        </w:sectPr>
      </w:pPr>
    </w:p>
    <w:p w:rsidR="004E0A37" w:rsidRDefault="004E0A37" w:rsidP="007E197F">
      <w:pPr>
        <w:spacing w:line="380" w:lineRule="exact"/>
        <w:rPr>
          <w:rFonts w:hint="cs"/>
          <w:rtl/>
        </w:rPr>
        <w:sectPr w:rsidR="004E0A37" w:rsidSect="004E0A37">
          <w:headerReference w:type="first" r:id="rId13"/>
          <w:endnotePr>
            <w:numFmt w:val="decimal"/>
          </w:endnotePr>
          <w:pgSz w:w="11906" w:h="16838" w:code="9"/>
          <w:pgMar w:top="1701" w:right="1134" w:bottom="2268" w:left="1134" w:header="1134" w:footer="1701" w:gutter="0"/>
          <w:cols w:space="708"/>
          <w:titlePg/>
          <w:bidi/>
          <w:docGrid w:linePitch="360"/>
        </w:sectPr>
      </w:pPr>
    </w:p>
    <w:p w:rsidR="004E0A37" w:rsidRDefault="004E0A37" w:rsidP="006C3172">
      <w:pPr>
        <w:spacing w:before="600" w:line="360" w:lineRule="exact"/>
        <w:jc w:val="both"/>
        <w:rPr>
          <w:rFonts w:hint="cs"/>
          <w:b/>
          <w:bCs/>
          <w:szCs w:val="40"/>
          <w:rtl/>
        </w:rPr>
      </w:pPr>
      <w:r>
        <w:rPr>
          <w:rFonts w:hint="cs"/>
          <w:b/>
          <w:bCs/>
          <w:szCs w:val="40"/>
          <w:rtl/>
        </w:rPr>
        <w:t>الجمعية العامة</w:t>
      </w:r>
    </w:p>
    <w:p w:rsidR="004E0A37" w:rsidRPr="00C32A12" w:rsidRDefault="004E0A37" w:rsidP="004E0A37">
      <w:pPr>
        <w:spacing w:line="360" w:lineRule="exact"/>
        <w:jc w:val="both"/>
        <w:rPr>
          <w:sz w:val="24"/>
          <w:szCs w:val="32"/>
        </w:rPr>
      </w:pPr>
      <w:r w:rsidRPr="00C32A12">
        <w:rPr>
          <w:rFonts w:hint="cs"/>
          <w:sz w:val="24"/>
          <w:szCs w:val="32"/>
          <w:rtl/>
        </w:rPr>
        <w:t>الوثائق الرسمية</w:t>
      </w:r>
    </w:p>
    <w:p w:rsidR="004E0A37" w:rsidRPr="00C32A12" w:rsidRDefault="004E0A37" w:rsidP="004E0A37">
      <w:pPr>
        <w:spacing w:line="360" w:lineRule="exact"/>
        <w:jc w:val="both"/>
        <w:rPr>
          <w:rFonts w:hint="cs"/>
          <w:sz w:val="24"/>
          <w:szCs w:val="32"/>
          <w:rtl/>
        </w:rPr>
      </w:pPr>
      <w:r w:rsidRPr="00C32A12">
        <w:rPr>
          <w:rFonts w:hint="cs"/>
          <w:sz w:val="24"/>
          <w:szCs w:val="32"/>
          <w:rtl/>
        </w:rPr>
        <w:t>الدورة السا</w:t>
      </w:r>
      <w:r>
        <w:rPr>
          <w:rFonts w:hint="cs"/>
          <w:sz w:val="24"/>
          <w:szCs w:val="32"/>
          <w:rtl/>
        </w:rPr>
        <w:t>بع</w:t>
      </w:r>
      <w:r w:rsidRPr="00C32A12">
        <w:rPr>
          <w:rFonts w:hint="cs"/>
          <w:sz w:val="24"/>
          <w:szCs w:val="32"/>
          <w:rtl/>
        </w:rPr>
        <w:t>ة والستون</w:t>
      </w:r>
    </w:p>
    <w:p w:rsidR="004E0A37" w:rsidRPr="00C32A12" w:rsidRDefault="004E0A37" w:rsidP="004E0A37">
      <w:pPr>
        <w:spacing w:after="1440"/>
        <w:jc w:val="both"/>
        <w:rPr>
          <w:rFonts w:hint="cs"/>
          <w:rtl/>
        </w:rPr>
      </w:pPr>
      <w:r w:rsidRPr="00C32A12">
        <w:rPr>
          <w:rFonts w:hint="cs"/>
          <w:sz w:val="24"/>
          <w:szCs w:val="32"/>
          <w:rtl/>
        </w:rPr>
        <w:t xml:space="preserve">الملحق رقم 44 </w:t>
      </w:r>
      <w:r w:rsidRPr="00C32A12">
        <w:t>(A/6</w:t>
      </w:r>
      <w:r>
        <w:t>7</w:t>
      </w:r>
      <w:r w:rsidRPr="00C32A12">
        <w:t>/44)</w:t>
      </w:r>
    </w:p>
    <w:p w:rsidR="004E0A37" w:rsidRPr="00033DC8" w:rsidRDefault="004E0A37" w:rsidP="004E0A37">
      <w:pPr>
        <w:pStyle w:val="SLGA"/>
        <w:bidi/>
        <w:spacing w:after="480"/>
        <w:rPr>
          <w:rFonts w:hint="cs"/>
          <w:sz w:val="60"/>
          <w:szCs w:val="60"/>
          <w:rtl/>
        </w:rPr>
      </w:pPr>
      <w:r w:rsidRPr="00033DC8">
        <w:rPr>
          <w:rFonts w:hint="cs"/>
          <w:sz w:val="60"/>
          <w:szCs w:val="60"/>
          <w:rtl/>
        </w:rPr>
        <w:t xml:space="preserve">تقرير لجنة </w:t>
      </w:r>
      <w:r>
        <w:rPr>
          <w:rFonts w:hint="cs"/>
          <w:sz w:val="60"/>
          <w:szCs w:val="60"/>
          <w:rtl/>
        </w:rPr>
        <w:t>مناهضة التعذيب</w:t>
      </w:r>
    </w:p>
    <w:p w:rsidR="00F96B1E" w:rsidRDefault="004E0A37" w:rsidP="000C5CFE">
      <w:pPr>
        <w:pStyle w:val="HChGA"/>
        <w:spacing w:before="0" w:after="0"/>
        <w:ind w:left="2494"/>
        <w:rPr>
          <w:rFonts w:hint="cs"/>
          <w:rtl/>
        </w:rPr>
      </w:pPr>
      <w:r w:rsidRPr="00033DC8">
        <w:rPr>
          <w:rFonts w:hint="cs"/>
          <w:rtl/>
        </w:rPr>
        <w:t xml:space="preserve">الدورة </w:t>
      </w:r>
      <w:r>
        <w:rPr>
          <w:rFonts w:hint="cs"/>
          <w:rtl/>
        </w:rPr>
        <w:t>السابعة والأربعون</w:t>
      </w:r>
    </w:p>
    <w:p w:rsidR="004E0A37" w:rsidRDefault="004E0A37" w:rsidP="000C5CFE">
      <w:pPr>
        <w:pStyle w:val="HChGA"/>
        <w:spacing w:before="0"/>
        <w:ind w:left="2494"/>
        <w:rPr>
          <w:rFonts w:hint="cs"/>
          <w:rtl/>
        </w:rPr>
      </w:pPr>
      <w:r w:rsidRPr="00033DC8">
        <w:rPr>
          <w:rFonts w:hint="cs"/>
          <w:rtl/>
        </w:rPr>
        <w:t>(</w:t>
      </w:r>
      <w:r>
        <w:rPr>
          <w:rFonts w:hint="cs"/>
          <w:rtl/>
        </w:rPr>
        <w:t>31 تشرين الأول/أكتوبر</w:t>
      </w:r>
      <w:r w:rsidR="00F96B1E">
        <w:rPr>
          <w:rFonts w:hint="cs"/>
          <w:rtl/>
        </w:rPr>
        <w:t xml:space="preserve"> </w:t>
      </w:r>
      <w:r>
        <w:rPr>
          <w:rFonts w:hint="cs"/>
          <w:rtl/>
        </w:rPr>
        <w:t>-</w:t>
      </w:r>
      <w:r w:rsidR="00F96B1E">
        <w:rPr>
          <w:rFonts w:hint="cs"/>
          <w:rtl/>
        </w:rPr>
        <w:t xml:space="preserve"> </w:t>
      </w:r>
      <w:r>
        <w:rPr>
          <w:rFonts w:hint="cs"/>
          <w:rtl/>
        </w:rPr>
        <w:t>25 تشرين الثاني/نوفمبر 2011</w:t>
      </w:r>
      <w:r w:rsidRPr="00033DC8">
        <w:rPr>
          <w:rFonts w:hint="cs"/>
          <w:rtl/>
        </w:rPr>
        <w:t>)</w:t>
      </w:r>
    </w:p>
    <w:p w:rsidR="00F96B1E" w:rsidRDefault="004E0A37" w:rsidP="000C5CFE">
      <w:pPr>
        <w:pStyle w:val="HChGA"/>
        <w:spacing w:before="0" w:after="0"/>
        <w:ind w:left="2494"/>
        <w:rPr>
          <w:rFonts w:hint="cs"/>
          <w:rtl/>
        </w:rPr>
      </w:pPr>
      <w:r>
        <w:rPr>
          <w:rFonts w:hint="cs"/>
          <w:rtl/>
        </w:rPr>
        <w:t>الدورة الثامنة والأربعون</w:t>
      </w:r>
    </w:p>
    <w:p w:rsidR="004E0A37" w:rsidRDefault="007400F4" w:rsidP="007F508A">
      <w:pPr>
        <w:pStyle w:val="HChGA"/>
        <w:spacing w:before="0" w:after="5040"/>
        <w:ind w:left="2494"/>
        <w:rPr>
          <w:rFonts w:hint="cs"/>
          <w:rtl/>
        </w:rPr>
      </w:pPr>
      <w:r>
        <w:rPr>
          <w:rFonts w:hint="cs"/>
          <w:b w:val="0"/>
          <w:bCs w:val="0"/>
          <w:noProof/>
          <w:spacing w:val="2"/>
          <w:sz w:val="34"/>
          <w:szCs w:val="32"/>
          <w:rtl/>
          <w:lang w:eastAsia="en-US"/>
        </w:rPr>
        <w:pict>
          <v:shape id="_x0000_s1028" type="#_x0000_t75" style="position:absolute;left:0;text-align:left;margin-left:434.45pt;margin-top:235.35pt;width:43.75pt;height:37.95pt;z-index:2;mso-wrap-edited:f;mso-position-horizontal-relative:page" wrapcoords="-223 0 -223 21352 21600 21352 21600 0 -223 0" o:allowincell="f" fillcolor="window">
            <v:imagedata r:id="rId14" o:title=""/>
            <w10:wrap side="left" anchorx="page"/>
          </v:shape>
        </w:pict>
      </w:r>
      <w:r w:rsidR="004E0A37">
        <w:rPr>
          <w:rFonts w:hint="cs"/>
          <w:rtl/>
        </w:rPr>
        <w:t>(7 أيار/مايو - 1 حزيران/يونيه 2012)</w:t>
      </w:r>
    </w:p>
    <w:p w:rsidR="008B4BC6" w:rsidRDefault="004E0A37" w:rsidP="007400F4">
      <w:pPr>
        <w:spacing w:line="380" w:lineRule="exact"/>
        <w:ind w:left="1247"/>
        <w:rPr>
          <w:rFonts w:hint="cs"/>
          <w:rtl/>
        </w:rPr>
      </w:pPr>
      <w:r w:rsidRPr="00780B1F">
        <w:rPr>
          <w:rFonts w:hint="cs"/>
          <w:b/>
          <w:bCs/>
          <w:spacing w:val="2"/>
          <w:sz w:val="34"/>
          <w:szCs w:val="32"/>
          <w:rtl/>
          <w:lang w:eastAsia="en-US"/>
        </w:rPr>
        <w:t>الأمم المتحدة</w:t>
      </w:r>
      <w:r w:rsidRPr="007F508A">
        <w:rPr>
          <w:rFonts w:hint="cs"/>
          <w:b/>
          <w:bCs/>
          <w:spacing w:val="2"/>
          <w:sz w:val="34"/>
          <w:szCs w:val="32"/>
          <w:rtl/>
          <w:lang w:eastAsia="en-US"/>
        </w:rPr>
        <w:t xml:space="preserve"> </w:t>
      </w:r>
      <w:r w:rsidR="007F508A">
        <w:rPr>
          <w:rFonts w:hint="cs"/>
          <w:b/>
          <w:bCs/>
          <w:spacing w:val="2"/>
          <w:sz w:val="34"/>
          <w:szCs w:val="32"/>
          <w:rtl/>
          <w:lang w:eastAsia="en-US"/>
        </w:rPr>
        <w:t xml:space="preserve"> </w:t>
      </w:r>
      <w:r w:rsidRPr="007F508A">
        <w:rPr>
          <w:b/>
          <w:bCs/>
          <w:spacing w:val="2"/>
          <w:sz w:val="16"/>
          <w:szCs w:val="16"/>
          <w:lang w:eastAsia="en-US"/>
        </w:rPr>
        <w:sym w:font="Wingdings" w:char="F06C"/>
      </w:r>
      <w:r w:rsidR="000C5CFE" w:rsidRPr="007F508A">
        <w:rPr>
          <w:rFonts w:hint="cs"/>
          <w:b/>
          <w:bCs/>
          <w:spacing w:val="2"/>
          <w:sz w:val="34"/>
          <w:szCs w:val="32"/>
          <w:rtl/>
          <w:lang w:eastAsia="en-US"/>
        </w:rPr>
        <w:t xml:space="preserve"> </w:t>
      </w:r>
      <w:r w:rsidR="007F508A">
        <w:rPr>
          <w:rFonts w:hint="cs"/>
          <w:b/>
          <w:bCs/>
          <w:spacing w:val="2"/>
          <w:sz w:val="34"/>
          <w:szCs w:val="32"/>
          <w:rtl/>
          <w:lang w:eastAsia="en-US"/>
        </w:rPr>
        <w:t xml:space="preserve"> </w:t>
      </w:r>
      <w:r w:rsidRPr="00780B1F">
        <w:rPr>
          <w:rFonts w:hint="cs"/>
          <w:b/>
          <w:bCs/>
          <w:spacing w:val="2"/>
          <w:sz w:val="34"/>
          <w:szCs w:val="32"/>
          <w:rtl/>
          <w:lang w:eastAsia="en-US"/>
        </w:rPr>
        <w:t xml:space="preserve">نيويورك، </w:t>
      </w:r>
      <w:r>
        <w:rPr>
          <w:rFonts w:hint="cs"/>
          <w:b/>
          <w:bCs/>
          <w:spacing w:val="2"/>
          <w:sz w:val="34"/>
          <w:szCs w:val="32"/>
          <w:rtl/>
          <w:lang w:eastAsia="en-US"/>
        </w:rPr>
        <w:t>2012</w:t>
      </w:r>
    </w:p>
    <w:p w:rsidR="004E0A37" w:rsidRDefault="004E0A37" w:rsidP="004E0A37">
      <w:pPr>
        <w:spacing w:line="380" w:lineRule="exact"/>
        <w:rPr>
          <w:rtl/>
        </w:rPr>
        <w:sectPr w:rsidR="004E0A37" w:rsidSect="009C5C40">
          <w:headerReference w:type="first" r:id="rId15"/>
          <w:footerReference w:type="first" r:id="rId16"/>
          <w:endnotePr>
            <w:numFmt w:val="decimal"/>
          </w:endnotePr>
          <w:pgSz w:w="11906" w:h="16838" w:code="9"/>
          <w:pgMar w:top="1701" w:right="1134" w:bottom="2268" w:left="1134" w:header="1134" w:footer="1701" w:gutter="0"/>
          <w:pgNumType w:fmt="lowerRoman" w:start="1"/>
          <w:cols w:space="708"/>
          <w:titlePg/>
          <w:bidi/>
          <w:docGrid w:linePitch="360"/>
        </w:sectPr>
      </w:pPr>
    </w:p>
    <w:p w:rsidR="004E0A37" w:rsidRPr="00F96B1E" w:rsidRDefault="004E0A37" w:rsidP="00DE0C73">
      <w:pPr>
        <w:pStyle w:val="SingleTxtGA"/>
        <w:spacing w:before="3720"/>
        <w:rPr>
          <w:rFonts w:hint="cs"/>
          <w:i/>
          <w:iCs/>
          <w:rtl/>
        </w:rPr>
      </w:pPr>
      <w:r w:rsidRPr="00F96B1E">
        <w:rPr>
          <w:rFonts w:hint="cs"/>
          <w:i/>
          <w:iCs/>
          <w:rtl/>
        </w:rPr>
        <w:t>ملحوظة</w:t>
      </w:r>
    </w:p>
    <w:p w:rsidR="004E0A37" w:rsidRDefault="004E0A37" w:rsidP="00F96B1E">
      <w:pPr>
        <w:pStyle w:val="SingleTxtGA"/>
        <w:rPr>
          <w:rFonts w:hint="cs"/>
          <w:rtl/>
        </w:rPr>
      </w:pPr>
      <w:r w:rsidRPr="00780B1F">
        <w:rPr>
          <w:rFonts w:hint="cs"/>
          <w:rtl/>
        </w:rPr>
        <w:tab/>
      </w:r>
      <w:r w:rsidRPr="00F0535C">
        <w:rPr>
          <w:rFonts w:hint="cs"/>
          <w:rtl/>
        </w:rPr>
        <w:t>تتألف رموز وثائق الأمم المتحدة من حروف وأرقام. ويعني إيراد أي من هذه الرموز الإشارة إلى وثيقة من وثائق الأمم المتحدة.</w:t>
      </w:r>
    </w:p>
    <w:p w:rsidR="004E0A37" w:rsidRDefault="004E0A37" w:rsidP="004E0A37">
      <w:pPr>
        <w:spacing w:line="380" w:lineRule="exact"/>
        <w:rPr>
          <w:rtl/>
        </w:rPr>
        <w:sectPr w:rsidR="004E0A37" w:rsidSect="009C5C40">
          <w:headerReference w:type="first" r:id="rId17"/>
          <w:footerReference w:type="first" r:id="rId18"/>
          <w:endnotePr>
            <w:numFmt w:val="decimal"/>
          </w:endnotePr>
          <w:pgSz w:w="11906" w:h="16838" w:code="9"/>
          <w:pgMar w:top="1701" w:right="1134" w:bottom="2268" w:left="1134" w:header="1134" w:footer="1701" w:gutter="0"/>
          <w:pgNumType w:fmt="lowerRoman" w:start="2"/>
          <w:cols w:space="708"/>
          <w:titlePg/>
          <w:bidi/>
          <w:docGrid w:linePitch="360"/>
        </w:sectPr>
      </w:pPr>
    </w:p>
    <w:p w:rsidR="004E0A37" w:rsidRPr="00982D8B" w:rsidRDefault="004E0A37" w:rsidP="004E0A37">
      <w:pPr>
        <w:spacing w:after="120" w:line="360" w:lineRule="exact"/>
        <w:rPr>
          <w:rFonts w:hint="cs"/>
          <w:sz w:val="36"/>
          <w:szCs w:val="36"/>
          <w:rtl/>
        </w:rPr>
      </w:pPr>
      <w:r>
        <w:rPr>
          <w:rFonts w:hint="cs"/>
          <w:sz w:val="36"/>
          <w:szCs w:val="36"/>
          <w:rtl/>
        </w:rPr>
        <w:t>المحتويات</w:t>
      </w:r>
    </w:p>
    <w:p w:rsidR="004E0A37" w:rsidRPr="00E64ED3" w:rsidRDefault="004E0A37" w:rsidP="006C3172">
      <w:pPr>
        <w:tabs>
          <w:tab w:val="left" w:pos="7917"/>
          <w:tab w:val="right" w:pos="9638"/>
        </w:tabs>
        <w:spacing w:before="120" w:after="240" w:line="240" w:lineRule="exact"/>
        <w:ind w:left="738"/>
        <w:rPr>
          <w:rFonts w:hint="cs"/>
          <w:iCs/>
          <w:sz w:val="20"/>
          <w:szCs w:val="28"/>
          <w:rtl/>
        </w:rPr>
      </w:pPr>
      <w:r w:rsidRPr="00E64ED3">
        <w:rPr>
          <w:i/>
          <w:sz w:val="20"/>
        </w:rPr>
        <w:tab/>
      </w:r>
      <w:r w:rsidRPr="00E64ED3">
        <w:rPr>
          <w:rFonts w:hint="cs"/>
          <w:iCs/>
          <w:sz w:val="20"/>
          <w:szCs w:val="28"/>
          <w:rtl/>
        </w:rPr>
        <w:t>الفقـرات</w:t>
      </w:r>
      <w:r w:rsidRPr="00E64ED3">
        <w:rPr>
          <w:i/>
          <w:sz w:val="20"/>
        </w:rPr>
        <w:tab/>
      </w:r>
      <w:r w:rsidRPr="00E64ED3">
        <w:rPr>
          <w:rFonts w:hint="cs"/>
          <w:iCs/>
          <w:sz w:val="20"/>
          <w:szCs w:val="28"/>
          <w:rtl/>
        </w:rPr>
        <w:t>الصفحة</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spacing w:val="0"/>
          <w:sz w:val="20"/>
          <w:szCs w:val="28"/>
          <w:rtl/>
          <w:lang w:val="fr-CH"/>
        </w:rPr>
      </w:pPr>
      <w:r>
        <w:rPr>
          <w:rFonts w:hint="cs"/>
          <w:spacing w:val="0"/>
          <w:sz w:val="20"/>
          <w:szCs w:val="28"/>
          <w:rtl/>
          <w:lang w:val="fr-CH"/>
        </w:rPr>
        <w:tab/>
      </w:r>
      <w:r w:rsidRPr="00943DD9">
        <w:rPr>
          <w:spacing w:val="0"/>
          <w:sz w:val="20"/>
          <w:szCs w:val="28"/>
          <w:rtl/>
          <w:lang w:val="fr-CH"/>
        </w:rPr>
        <w:t>أولاً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المسائل التنظيمية ومسائل أخرى</w:t>
      </w:r>
      <w:r>
        <w:rPr>
          <w:rFonts w:hint="cs"/>
          <w:spacing w:val="0"/>
          <w:sz w:val="20"/>
          <w:szCs w:val="28"/>
          <w:rtl/>
          <w:lang w:val="fr-CH"/>
        </w:rPr>
        <w:tab/>
      </w:r>
      <w:r>
        <w:rPr>
          <w:rFonts w:hint="cs"/>
          <w:spacing w:val="0"/>
          <w:sz w:val="20"/>
          <w:szCs w:val="28"/>
          <w:rtl/>
          <w:lang w:val="fr-CH"/>
        </w:rPr>
        <w:tab/>
      </w:r>
      <w:r w:rsidR="00DB5706">
        <w:rPr>
          <w:rFonts w:hint="cs"/>
          <w:spacing w:val="0"/>
          <w:sz w:val="20"/>
          <w:szCs w:val="28"/>
          <w:rtl/>
          <w:lang w:val="fr-CH"/>
        </w:rPr>
        <w:t>1-29</w:t>
      </w:r>
      <w:r w:rsidRPr="00943DD9">
        <w:rPr>
          <w:spacing w:val="0"/>
          <w:sz w:val="20"/>
          <w:szCs w:val="28"/>
          <w:rtl/>
          <w:lang w:val="fr-CH"/>
        </w:rPr>
        <w:tab/>
        <w:t>1</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ألف</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الدول الأطراف في الاتفاقية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1-3</w:t>
      </w:r>
      <w:r>
        <w:rPr>
          <w:spacing w:val="0"/>
          <w:sz w:val="20"/>
          <w:szCs w:val="28"/>
          <w:rtl/>
          <w:lang w:val="fr-CH"/>
        </w:rPr>
        <w:tab/>
      </w:r>
      <w:r w:rsidRPr="00943DD9">
        <w:rPr>
          <w:spacing w:val="0"/>
          <w:sz w:val="20"/>
          <w:szCs w:val="28"/>
          <w:rtl/>
          <w:lang w:val="fr-CH"/>
        </w:rPr>
        <w:t>1</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باء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دورتا اللجنة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4</w:t>
      </w:r>
      <w:r>
        <w:rPr>
          <w:spacing w:val="0"/>
          <w:sz w:val="20"/>
          <w:szCs w:val="28"/>
          <w:rtl/>
          <w:lang w:val="fr-CH"/>
        </w:rPr>
        <w:tab/>
      </w:r>
      <w:r w:rsidRPr="00943DD9">
        <w:rPr>
          <w:spacing w:val="0"/>
          <w:sz w:val="20"/>
          <w:szCs w:val="28"/>
          <w:rtl/>
          <w:lang w:val="fr-CH"/>
        </w:rPr>
        <w:t>1</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جيم</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العضوية والحضور في الدورتين</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5</w:t>
      </w:r>
      <w:r>
        <w:rPr>
          <w:spacing w:val="0"/>
          <w:sz w:val="20"/>
          <w:szCs w:val="28"/>
          <w:rtl/>
          <w:lang w:val="fr-CH"/>
        </w:rPr>
        <w:tab/>
      </w:r>
      <w:r w:rsidRPr="00943DD9">
        <w:rPr>
          <w:spacing w:val="0"/>
          <w:sz w:val="20"/>
          <w:szCs w:val="28"/>
          <w:rtl/>
          <w:lang w:val="fr-CH"/>
        </w:rPr>
        <w:t>1</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دال</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أداء الأعضاء الذين انتخبوا من توهم العهد الرسمي</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6</w:t>
      </w:r>
      <w:r>
        <w:rPr>
          <w:spacing w:val="0"/>
          <w:sz w:val="20"/>
          <w:szCs w:val="28"/>
          <w:rtl/>
          <w:lang w:val="fr-CH"/>
        </w:rPr>
        <w:tab/>
      </w:r>
      <w:r w:rsidRPr="00943DD9">
        <w:rPr>
          <w:spacing w:val="0"/>
          <w:sz w:val="20"/>
          <w:szCs w:val="28"/>
          <w:rtl/>
          <w:lang w:val="fr-CH"/>
        </w:rPr>
        <w:t>2</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هاء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انتخاب أعضاء المكتب</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7</w:t>
      </w:r>
      <w:r>
        <w:rPr>
          <w:spacing w:val="0"/>
          <w:sz w:val="20"/>
          <w:szCs w:val="28"/>
          <w:rtl/>
          <w:lang w:val="fr-CH"/>
        </w:rPr>
        <w:tab/>
      </w:r>
      <w:r w:rsidRPr="00943DD9">
        <w:rPr>
          <w:spacing w:val="0"/>
          <w:sz w:val="20"/>
          <w:szCs w:val="28"/>
          <w:rtl/>
          <w:lang w:val="fr-CH"/>
        </w:rPr>
        <w:t>2</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واو</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جدولا الأعمال</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8-9</w:t>
      </w:r>
      <w:r>
        <w:rPr>
          <w:spacing w:val="0"/>
          <w:sz w:val="20"/>
          <w:szCs w:val="28"/>
          <w:rtl/>
          <w:lang w:val="fr-CH"/>
        </w:rPr>
        <w:tab/>
      </w:r>
      <w:r w:rsidRPr="00943DD9">
        <w:rPr>
          <w:spacing w:val="0"/>
          <w:sz w:val="20"/>
          <w:szCs w:val="28"/>
          <w:rtl/>
          <w:lang w:val="fr-CH"/>
        </w:rPr>
        <w:t>2</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زاي</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مشاركة أعضاء اللجنة في اجتماعات أخرى</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10-11</w:t>
      </w:r>
      <w:r>
        <w:rPr>
          <w:spacing w:val="0"/>
          <w:sz w:val="20"/>
          <w:szCs w:val="28"/>
          <w:rtl/>
          <w:lang w:val="fr-CH"/>
        </w:rPr>
        <w:tab/>
      </w:r>
      <w:r w:rsidRPr="00943DD9">
        <w:rPr>
          <w:spacing w:val="0"/>
          <w:sz w:val="20"/>
          <w:szCs w:val="28"/>
          <w:rtl/>
          <w:lang w:val="fr-CH"/>
        </w:rPr>
        <w:t>2</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حاء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التقرير الشفوي المقدم من الرئيس إلى الجمعية العامة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12</w:t>
      </w:r>
      <w:r>
        <w:rPr>
          <w:spacing w:val="0"/>
          <w:sz w:val="20"/>
          <w:szCs w:val="28"/>
          <w:rtl/>
          <w:lang w:val="fr-CH"/>
        </w:rPr>
        <w:tab/>
      </w:r>
      <w:r w:rsidRPr="00943DD9">
        <w:rPr>
          <w:spacing w:val="0"/>
          <w:sz w:val="20"/>
          <w:szCs w:val="28"/>
          <w:rtl/>
          <w:lang w:val="fr-CH"/>
        </w:rPr>
        <w:t>5</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طاء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أنشطة اللجنة فيما يتعلق بالبروتوكول الاختياري للاتفاقية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13-14</w:t>
      </w:r>
      <w:r>
        <w:rPr>
          <w:spacing w:val="0"/>
          <w:sz w:val="20"/>
          <w:szCs w:val="28"/>
          <w:rtl/>
          <w:lang w:val="fr-CH"/>
        </w:rPr>
        <w:tab/>
      </w:r>
      <w:r w:rsidRPr="00943DD9">
        <w:rPr>
          <w:spacing w:val="0"/>
          <w:sz w:val="20"/>
          <w:szCs w:val="28"/>
          <w:rtl/>
          <w:lang w:val="fr-CH"/>
        </w:rPr>
        <w:t>5</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ياء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بيان مشترك بمناسبة يوم الأمم المتحدة الدولي لمساندة ضحايا التعذيب</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15</w:t>
      </w:r>
      <w:r>
        <w:rPr>
          <w:spacing w:val="0"/>
          <w:sz w:val="20"/>
          <w:szCs w:val="28"/>
          <w:rtl/>
          <w:lang w:val="fr-CH"/>
        </w:rPr>
        <w:tab/>
      </w:r>
      <w:r w:rsidRPr="00943DD9">
        <w:rPr>
          <w:spacing w:val="0"/>
          <w:sz w:val="20"/>
          <w:szCs w:val="28"/>
          <w:rtl/>
          <w:lang w:val="fr-CH"/>
        </w:rPr>
        <w:t>5</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كاف-</w:t>
      </w:r>
      <w:r w:rsidRPr="00943DD9">
        <w:rPr>
          <w:spacing w:val="0"/>
          <w:sz w:val="20"/>
          <w:szCs w:val="28"/>
          <w:rtl/>
          <w:lang w:val="fr-CH"/>
        </w:rPr>
        <w:tab/>
        <w:t>الاجتماع غير الرسمي مع الدول الأطراف في الاتفاقية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16</w:t>
      </w:r>
      <w:r>
        <w:rPr>
          <w:spacing w:val="0"/>
          <w:sz w:val="20"/>
          <w:szCs w:val="28"/>
          <w:rtl/>
          <w:lang w:val="fr-CH"/>
        </w:rPr>
        <w:tab/>
      </w:r>
      <w:r w:rsidRPr="00943DD9">
        <w:rPr>
          <w:spacing w:val="0"/>
          <w:sz w:val="20"/>
          <w:szCs w:val="28"/>
          <w:rtl/>
          <w:lang w:val="fr-CH"/>
        </w:rPr>
        <w:t>6</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لام</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مشاركة المنظمات غير الحكومية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17-18</w:t>
      </w:r>
      <w:r>
        <w:rPr>
          <w:spacing w:val="0"/>
          <w:sz w:val="20"/>
          <w:szCs w:val="28"/>
          <w:rtl/>
          <w:lang w:val="fr-CH"/>
        </w:rPr>
        <w:tab/>
      </w:r>
      <w:r w:rsidRPr="00943DD9">
        <w:rPr>
          <w:spacing w:val="0"/>
          <w:sz w:val="20"/>
          <w:szCs w:val="28"/>
          <w:rtl/>
          <w:lang w:val="fr-CH"/>
        </w:rPr>
        <w:t>6</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ميم</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مشاركة المؤسسات الوطنية لحقوق الإنسان</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19</w:t>
      </w:r>
      <w:r>
        <w:rPr>
          <w:spacing w:val="0"/>
          <w:sz w:val="20"/>
          <w:szCs w:val="28"/>
          <w:rtl/>
          <w:lang w:val="fr-CH"/>
        </w:rPr>
        <w:tab/>
      </w:r>
      <w:r w:rsidRPr="00943DD9">
        <w:rPr>
          <w:spacing w:val="0"/>
          <w:sz w:val="20"/>
          <w:szCs w:val="28"/>
          <w:rtl/>
          <w:lang w:val="fr-CH"/>
        </w:rPr>
        <w:t>6</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نون</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تعليق عام بشأن المادة 14 من الاتفاقية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20-21</w:t>
      </w:r>
      <w:r>
        <w:rPr>
          <w:spacing w:val="0"/>
          <w:sz w:val="20"/>
          <w:szCs w:val="28"/>
          <w:rtl/>
          <w:lang w:val="fr-CH"/>
        </w:rPr>
        <w:tab/>
      </w:r>
      <w:r w:rsidRPr="00943DD9">
        <w:rPr>
          <w:spacing w:val="0"/>
          <w:sz w:val="20"/>
          <w:szCs w:val="28"/>
          <w:rtl/>
          <w:lang w:val="fr-CH"/>
        </w:rPr>
        <w:t>7</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سين</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المبادئ التوجيهية المتعلقة بتقديم التقارير</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22</w:t>
      </w:r>
      <w:r>
        <w:rPr>
          <w:spacing w:val="0"/>
          <w:sz w:val="20"/>
          <w:szCs w:val="28"/>
          <w:rtl/>
          <w:lang w:val="fr-CH"/>
        </w:rPr>
        <w:tab/>
      </w:r>
      <w:r w:rsidRPr="00943DD9">
        <w:rPr>
          <w:spacing w:val="0"/>
          <w:sz w:val="20"/>
          <w:szCs w:val="28"/>
          <w:rtl/>
          <w:lang w:val="fr-CH"/>
        </w:rPr>
        <w:t>7</w:t>
      </w:r>
    </w:p>
    <w:p w:rsidR="00684C5A" w:rsidRPr="00943DD9" w:rsidRDefault="00684C5A" w:rsidP="00286181">
      <w:pPr>
        <w:tabs>
          <w:tab w:val="right" w:pos="1021"/>
          <w:tab w:val="left" w:pos="1077"/>
          <w:tab w:val="left" w:pos="1525"/>
          <w:tab w:val="left" w:pos="1842"/>
          <w:tab w:val="left" w:pos="2206"/>
          <w:tab w:val="left" w:pos="2681"/>
          <w:tab w:val="left" w:leader="dot" w:pos="7469"/>
          <w:tab w:val="left" w:pos="7972"/>
          <w:tab w:val="right" w:pos="9638"/>
        </w:tabs>
        <w:spacing w:line="360" w:lineRule="exact"/>
        <w:ind w:left="2191" w:right="2200" w:hanging="2191"/>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عين</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قرار اللجنة تقديم طلب إلى الجمعية العامة للموافقة على تخصيص وقت إضافي للاجتماع في عامي 2013 و2014</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23-29</w:t>
      </w:r>
      <w:r>
        <w:rPr>
          <w:spacing w:val="0"/>
          <w:sz w:val="20"/>
          <w:szCs w:val="28"/>
          <w:rtl/>
          <w:lang w:val="fr-CH"/>
        </w:rPr>
        <w:tab/>
      </w:r>
      <w:r w:rsidRPr="00943DD9">
        <w:rPr>
          <w:spacing w:val="0"/>
          <w:sz w:val="20"/>
          <w:szCs w:val="28"/>
          <w:rtl/>
          <w:lang w:val="fr-CH"/>
        </w:rPr>
        <w:t>7</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spacing w:val="0"/>
          <w:sz w:val="20"/>
          <w:szCs w:val="28"/>
          <w:rtl/>
          <w:lang w:val="fr-CH"/>
        </w:rPr>
      </w:pPr>
      <w:r>
        <w:rPr>
          <w:rFonts w:hint="cs"/>
          <w:spacing w:val="0"/>
          <w:sz w:val="20"/>
          <w:szCs w:val="28"/>
          <w:rtl/>
          <w:lang w:val="fr-CH"/>
        </w:rPr>
        <w:tab/>
      </w:r>
      <w:r w:rsidRPr="00943DD9">
        <w:rPr>
          <w:spacing w:val="0"/>
          <w:sz w:val="20"/>
          <w:szCs w:val="28"/>
          <w:rtl/>
          <w:lang w:val="fr-CH"/>
        </w:rPr>
        <w:t>ثانياًًً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تقديم الدول الأطراف للتقارير بموجب المادة 19 من الاتفاقية</w:t>
      </w:r>
      <w:r>
        <w:rPr>
          <w:rFonts w:hint="cs"/>
          <w:spacing w:val="0"/>
          <w:sz w:val="20"/>
          <w:szCs w:val="28"/>
          <w:rtl/>
          <w:lang w:val="fr-CH"/>
        </w:rPr>
        <w:tab/>
      </w:r>
      <w:r>
        <w:rPr>
          <w:spacing w:val="0"/>
          <w:sz w:val="20"/>
          <w:szCs w:val="28"/>
          <w:rtl/>
          <w:lang w:val="fr-CH"/>
        </w:rPr>
        <w:tab/>
      </w:r>
      <w:r w:rsidR="00DB5706">
        <w:rPr>
          <w:rFonts w:hint="cs"/>
          <w:spacing w:val="0"/>
          <w:sz w:val="20"/>
          <w:szCs w:val="28"/>
          <w:rtl/>
          <w:lang w:val="fr-CH"/>
        </w:rPr>
        <w:t>30-43</w:t>
      </w:r>
      <w:r w:rsidRPr="00943DD9">
        <w:rPr>
          <w:spacing w:val="0"/>
          <w:sz w:val="20"/>
          <w:szCs w:val="28"/>
          <w:rtl/>
          <w:lang w:val="fr-CH"/>
        </w:rPr>
        <w:tab/>
        <w:t>9</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ألف</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دعوة إلى تقديم التقارير الدورية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32-33</w:t>
      </w:r>
      <w:r>
        <w:rPr>
          <w:spacing w:val="0"/>
          <w:sz w:val="20"/>
          <w:szCs w:val="28"/>
          <w:rtl/>
          <w:lang w:val="fr-CH"/>
        </w:rPr>
        <w:tab/>
      </w:r>
      <w:r w:rsidRPr="00943DD9">
        <w:rPr>
          <w:spacing w:val="0"/>
          <w:sz w:val="20"/>
          <w:szCs w:val="28"/>
          <w:rtl/>
          <w:lang w:val="fr-CH"/>
        </w:rPr>
        <w:t>9</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spacing w:val="0"/>
          <w:sz w:val="20"/>
          <w:szCs w:val="28"/>
          <w:rtl/>
          <w:lang w:val="fr-CH"/>
        </w:rPr>
        <w:tab/>
      </w:r>
      <w:r>
        <w:rPr>
          <w:rFonts w:hint="cs"/>
          <w:spacing w:val="0"/>
          <w:sz w:val="20"/>
          <w:szCs w:val="28"/>
          <w:rtl/>
          <w:lang w:val="fr-CH"/>
        </w:rPr>
        <w:tab/>
      </w:r>
      <w:r>
        <w:rPr>
          <w:spacing w:val="0"/>
          <w:sz w:val="20"/>
          <w:szCs w:val="28"/>
          <w:rtl/>
          <w:lang w:val="fr-CH"/>
        </w:rPr>
        <w:tab/>
      </w:r>
      <w:r w:rsidRPr="00943DD9">
        <w:rPr>
          <w:spacing w:val="0"/>
          <w:sz w:val="20"/>
          <w:szCs w:val="28"/>
          <w:rtl/>
          <w:lang w:val="fr-CH"/>
        </w:rPr>
        <w:t>باء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الإجراء الاختياري المتعلق بالإبلاغ</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34-38</w:t>
      </w:r>
      <w:r>
        <w:rPr>
          <w:spacing w:val="0"/>
          <w:sz w:val="20"/>
          <w:szCs w:val="28"/>
          <w:rtl/>
          <w:lang w:val="fr-CH"/>
        </w:rPr>
        <w:tab/>
      </w:r>
      <w:r w:rsidRPr="00943DD9">
        <w:rPr>
          <w:spacing w:val="0"/>
          <w:sz w:val="20"/>
          <w:szCs w:val="28"/>
          <w:rtl/>
          <w:lang w:val="fr-CH"/>
        </w:rPr>
        <w:t>9</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جيم</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التقييم الأولي للإجراء الاختياري المتعلق بالإبلاغ</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39-40</w:t>
      </w:r>
      <w:r>
        <w:rPr>
          <w:spacing w:val="0"/>
          <w:sz w:val="20"/>
          <w:szCs w:val="28"/>
          <w:rtl/>
          <w:lang w:val="fr-CH"/>
        </w:rPr>
        <w:tab/>
      </w:r>
      <w:r w:rsidRPr="00943DD9">
        <w:rPr>
          <w:spacing w:val="0"/>
          <w:sz w:val="20"/>
          <w:szCs w:val="28"/>
          <w:rtl/>
          <w:lang w:val="fr-CH"/>
        </w:rPr>
        <w:t>10</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دال</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رسائل تذكيرية بخصوص التقارير التي تأخر موعد تقديمها</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41-42</w:t>
      </w:r>
      <w:r>
        <w:rPr>
          <w:spacing w:val="0"/>
          <w:sz w:val="20"/>
          <w:szCs w:val="28"/>
          <w:rtl/>
          <w:lang w:val="fr-CH"/>
        </w:rPr>
        <w:tab/>
      </w:r>
      <w:r w:rsidRPr="00943DD9">
        <w:rPr>
          <w:spacing w:val="0"/>
          <w:sz w:val="20"/>
          <w:szCs w:val="28"/>
          <w:rtl/>
          <w:lang w:val="fr-CH"/>
        </w:rPr>
        <w:t>11</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هاء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النظر في التدابير المُتّخَذة من دولة طرف في غياب تقرير عنها</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43</w:t>
      </w:r>
      <w:r>
        <w:rPr>
          <w:spacing w:val="0"/>
          <w:sz w:val="20"/>
          <w:szCs w:val="28"/>
          <w:rtl/>
          <w:lang w:val="fr-CH"/>
        </w:rPr>
        <w:tab/>
      </w:r>
      <w:r w:rsidRPr="00943DD9">
        <w:rPr>
          <w:spacing w:val="0"/>
          <w:sz w:val="20"/>
          <w:szCs w:val="28"/>
          <w:rtl/>
          <w:lang w:val="fr-CH"/>
        </w:rPr>
        <w:t>11</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spacing w:val="0"/>
          <w:sz w:val="20"/>
          <w:szCs w:val="28"/>
          <w:rtl/>
          <w:lang w:val="fr-CH"/>
        </w:rPr>
      </w:pPr>
      <w:r>
        <w:rPr>
          <w:rFonts w:hint="cs"/>
          <w:spacing w:val="0"/>
          <w:sz w:val="20"/>
          <w:szCs w:val="28"/>
          <w:rtl/>
          <w:lang w:val="fr-CH"/>
        </w:rPr>
        <w:tab/>
      </w:r>
      <w:r w:rsidRPr="00943DD9">
        <w:rPr>
          <w:spacing w:val="0"/>
          <w:sz w:val="20"/>
          <w:szCs w:val="28"/>
          <w:rtl/>
          <w:lang w:val="fr-CH"/>
        </w:rPr>
        <w:t>ثالثاً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النظر في التقارير المقدمة من الدول الأطراف بموجب المادة 19 من الاتفاقية</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44-67</w:t>
      </w:r>
      <w:r>
        <w:rPr>
          <w:rFonts w:hint="cs"/>
          <w:spacing w:val="0"/>
          <w:sz w:val="20"/>
          <w:szCs w:val="28"/>
          <w:rtl/>
          <w:lang w:val="fr-CH"/>
        </w:rPr>
        <w:tab/>
      </w:r>
      <w:r w:rsidRPr="00943DD9">
        <w:rPr>
          <w:spacing w:val="0"/>
          <w:sz w:val="20"/>
          <w:szCs w:val="28"/>
          <w:rtl/>
          <w:lang w:val="fr-CH"/>
        </w:rPr>
        <w:t>12</w:t>
      </w:r>
    </w:p>
    <w:p w:rsidR="00684C5A" w:rsidRPr="00943DD9"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ألف</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النظر في التقارير المقدمة من الدول الأطراف</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44-50</w:t>
      </w:r>
      <w:r>
        <w:rPr>
          <w:spacing w:val="0"/>
          <w:sz w:val="20"/>
          <w:szCs w:val="28"/>
          <w:rtl/>
          <w:lang w:val="fr-CH"/>
        </w:rPr>
        <w:tab/>
      </w:r>
      <w:r w:rsidRPr="00943DD9">
        <w:rPr>
          <w:spacing w:val="0"/>
          <w:sz w:val="20"/>
          <w:szCs w:val="28"/>
          <w:rtl/>
          <w:lang w:val="fr-CH"/>
        </w:rPr>
        <w:t>12</w:t>
      </w:r>
    </w:p>
    <w:p w:rsidR="00684C5A"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باء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الملاحظات الختامية المتعلقة بتقارير الدول الأطراف</w:t>
      </w:r>
      <w:r w:rsidRPr="00943DD9">
        <w:rPr>
          <w:spacing w:val="0"/>
          <w:sz w:val="20"/>
          <w:szCs w:val="28"/>
          <w:rtl/>
          <w:lang w:val="fr-CH"/>
        </w:rPr>
        <w:tab/>
      </w:r>
      <w:r>
        <w:rPr>
          <w:rFonts w:hint="cs"/>
          <w:spacing w:val="0"/>
          <w:sz w:val="20"/>
          <w:szCs w:val="28"/>
          <w:rtl/>
          <w:lang w:val="fr-CH"/>
        </w:rPr>
        <w:tab/>
      </w:r>
      <w:r w:rsidR="00DB5706">
        <w:rPr>
          <w:rFonts w:hint="cs"/>
          <w:spacing w:val="0"/>
          <w:sz w:val="20"/>
          <w:szCs w:val="28"/>
          <w:rtl/>
          <w:lang w:val="fr-CH"/>
        </w:rPr>
        <w:t>51-61</w:t>
      </w:r>
      <w:r>
        <w:rPr>
          <w:spacing w:val="0"/>
          <w:sz w:val="20"/>
          <w:szCs w:val="28"/>
          <w:rtl/>
          <w:lang w:val="fr-CH"/>
        </w:rPr>
        <w:tab/>
      </w:r>
      <w:r w:rsidRPr="00943DD9">
        <w:rPr>
          <w:spacing w:val="0"/>
          <w:sz w:val="20"/>
          <w:szCs w:val="28"/>
          <w:rtl/>
          <w:lang w:val="fr-CH"/>
        </w:rPr>
        <w:t>13</w:t>
      </w:r>
    </w:p>
    <w:p w:rsidR="00684C5A" w:rsidRPr="004F4045"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بيلاروس</w:t>
      </w:r>
      <w:r w:rsidRPr="004F4045">
        <w:rPr>
          <w:rFonts w:hint="cs"/>
          <w:spacing w:val="0"/>
          <w:sz w:val="20"/>
          <w:szCs w:val="28"/>
          <w:rtl/>
          <w:lang w:val="fr-CH"/>
        </w:rPr>
        <w:tab/>
      </w:r>
      <w:r w:rsidR="00DB5706">
        <w:rPr>
          <w:rFonts w:hint="cs"/>
          <w:spacing w:val="0"/>
          <w:sz w:val="20"/>
          <w:szCs w:val="28"/>
          <w:rtl/>
          <w:lang w:val="fr-CH"/>
        </w:rPr>
        <w:tab/>
        <w:t>52</w:t>
      </w:r>
      <w:r w:rsidRPr="004F4045">
        <w:rPr>
          <w:rFonts w:hint="cs"/>
          <w:spacing w:val="0"/>
          <w:sz w:val="20"/>
          <w:szCs w:val="28"/>
          <w:rtl/>
          <w:lang w:val="fr-CH"/>
        </w:rPr>
        <w:tab/>
      </w:r>
      <w:r w:rsidR="00E43C59">
        <w:rPr>
          <w:rFonts w:hint="cs"/>
          <w:spacing w:val="0"/>
          <w:sz w:val="20"/>
          <w:szCs w:val="28"/>
          <w:rtl/>
          <w:lang w:val="fr-CH"/>
        </w:rPr>
        <w:t>14</w:t>
      </w:r>
    </w:p>
    <w:p w:rsidR="00684C5A" w:rsidRPr="004F4045"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بلغاريا</w:t>
      </w:r>
      <w:r w:rsidRPr="004F4045">
        <w:rPr>
          <w:rFonts w:hint="cs"/>
          <w:spacing w:val="0"/>
          <w:sz w:val="20"/>
          <w:szCs w:val="28"/>
          <w:rtl/>
          <w:lang w:val="fr-CH"/>
        </w:rPr>
        <w:tab/>
      </w:r>
      <w:r w:rsidR="00DB5706">
        <w:rPr>
          <w:rFonts w:hint="cs"/>
          <w:spacing w:val="0"/>
          <w:sz w:val="20"/>
          <w:szCs w:val="28"/>
          <w:rtl/>
          <w:lang w:val="fr-CH"/>
        </w:rPr>
        <w:tab/>
        <w:t>53</w:t>
      </w:r>
      <w:r w:rsidRPr="004F4045">
        <w:rPr>
          <w:rFonts w:hint="cs"/>
          <w:spacing w:val="0"/>
          <w:sz w:val="20"/>
          <w:szCs w:val="28"/>
          <w:rtl/>
          <w:lang w:val="fr-CH"/>
        </w:rPr>
        <w:tab/>
      </w:r>
      <w:r w:rsidR="00E43C59">
        <w:rPr>
          <w:rFonts w:hint="cs"/>
          <w:spacing w:val="0"/>
          <w:sz w:val="20"/>
          <w:szCs w:val="28"/>
          <w:rtl/>
          <w:lang w:val="fr-CH"/>
        </w:rPr>
        <w:t>29</w:t>
      </w:r>
    </w:p>
    <w:p w:rsidR="009C5C40"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جيبوتي</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54</w:t>
      </w:r>
      <w:r w:rsidR="00DB5706">
        <w:rPr>
          <w:rFonts w:hint="cs"/>
          <w:spacing w:val="0"/>
          <w:sz w:val="20"/>
          <w:szCs w:val="28"/>
          <w:rtl/>
          <w:lang w:val="fr-CH"/>
        </w:rPr>
        <w:tab/>
      </w:r>
      <w:r w:rsidR="00E43C59">
        <w:rPr>
          <w:rFonts w:hint="cs"/>
          <w:spacing w:val="0"/>
          <w:sz w:val="20"/>
          <w:szCs w:val="28"/>
          <w:rtl/>
          <w:lang w:val="fr-CH"/>
        </w:rPr>
        <w:t>46</w:t>
      </w:r>
    </w:p>
    <w:p w:rsidR="003C4E9E" w:rsidRDefault="003C4E9E"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p>
    <w:p w:rsidR="003C4E9E" w:rsidRDefault="003C4E9E"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spacing w:val="0"/>
          <w:sz w:val="20"/>
          <w:szCs w:val="28"/>
          <w:rtl/>
          <w:lang w:val="fr-CH"/>
        </w:rPr>
        <w:sectPr w:rsidR="003C4E9E" w:rsidSect="00CA7A57">
          <w:headerReference w:type="first" r:id="rId19"/>
          <w:footerReference w:type="first" r:id="rId20"/>
          <w:endnotePr>
            <w:numFmt w:val="decimal"/>
          </w:endnotePr>
          <w:pgSz w:w="11906" w:h="16838" w:code="9"/>
          <w:pgMar w:top="1701" w:right="1134" w:bottom="2268" w:left="1134" w:header="1134" w:footer="1701" w:gutter="0"/>
          <w:pgNumType w:fmt="lowerRoman"/>
          <w:cols w:space="708"/>
          <w:titlePg/>
          <w:bidi/>
          <w:docGrid w:linePitch="360"/>
        </w:sectPr>
      </w:pPr>
    </w:p>
    <w:p w:rsidR="00684C5A" w:rsidRDefault="00684C5A" w:rsidP="009D000F">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ألمانيا</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55</w:t>
      </w:r>
      <w:r w:rsidR="00DB5706">
        <w:rPr>
          <w:rFonts w:hint="cs"/>
          <w:spacing w:val="0"/>
          <w:sz w:val="20"/>
          <w:szCs w:val="28"/>
          <w:rtl/>
          <w:lang w:val="fr-CH"/>
        </w:rPr>
        <w:tab/>
      </w:r>
      <w:r w:rsidR="009D000F">
        <w:rPr>
          <w:rFonts w:hint="cs"/>
          <w:spacing w:val="0"/>
          <w:sz w:val="20"/>
          <w:szCs w:val="28"/>
          <w:rtl/>
          <w:lang w:val="fr-CH"/>
        </w:rPr>
        <w:t>57</w:t>
      </w:r>
    </w:p>
    <w:p w:rsidR="00684C5A" w:rsidRPr="004F4045" w:rsidRDefault="00684C5A" w:rsidP="009D000F">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مدغشقر</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56</w:t>
      </w:r>
      <w:r w:rsidR="00DB5706">
        <w:rPr>
          <w:rFonts w:hint="cs"/>
          <w:spacing w:val="0"/>
          <w:sz w:val="20"/>
          <w:szCs w:val="28"/>
          <w:rtl/>
          <w:lang w:val="fr-CH"/>
        </w:rPr>
        <w:tab/>
      </w:r>
      <w:r w:rsidR="009D000F">
        <w:rPr>
          <w:rFonts w:hint="cs"/>
          <w:spacing w:val="0"/>
          <w:sz w:val="20"/>
          <w:szCs w:val="28"/>
          <w:rtl/>
          <w:lang w:val="fr-CH"/>
        </w:rPr>
        <w:t>73</w:t>
      </w:r>
    </w:p>
    <w:p w:rsidR="00684C5A" w:rsidRPr="004F4045"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المغرب</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57</w:t>
      </w:r>
      <w:r w:rsidR="00DB5706">
        <w:rPr>
          <w:rFonts w:hint="cs"/>
          <w:spacing w:val="0"/>
          <w:sz w:val="20"/>
          <w:szCs w:val="28"/>
          <w:rtl/>
          <w:lang w:val="fr-CH"/>
        </w:rPr>
        <w:tab/>
      </w:r>
      <w:r w:rsidR="00E43C59">
        <w:rPr>
          <w:rFonts w:hint="cs"/>
          <w:spacing w:val="0"/>
          <w:sz w:val="20"/>
          <w:szCs w:val="28"/>
          <w:rtl/>
          <w:lang w:val="fr-CH"/>
        </w:rPr>
        <w:t>83</w:t>
      </w:r>
    </w:p>
    <w:p w:rsidR="00684C5A" w:rsidRPr="004F4045" w:rsidRDefault="00684C5A" w:rsidP="009D000F">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باراغواي</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58</w:t>
      </w:r>
      <w:r w:rsidR="00DB5706">
        <w:rPr>
          <w:rFonts w:hint="cs"/>
          <w:spacing w:val="0"/>
          <w:sz w:val="20"/>
          <w:szCs w:val="28"/>
          <w:rtl/>
          <w:lang w:val="fr-CH"/>
        </w:rPr>
        <w:tab/>
      </w:r>
      <w:r w:rsidR="009D000F">
        <w:rPr>
          <w:rFonts w:hint="cs"/>
          <w:spacing w:val="0"/>
          <w:sz w:val="20"/>
          <w:szCs w:val="28"/>
          <w:rtl/>
          <w:lang w:val="fr-CH"/>
        </w:rPr>
        <w:t>99</w:t>
      </w:r>
    </w:p>
    <w:p w:rsidR="00684C5A" w:rsidRPr="004F4045"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سري لانكا</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59</w:t>
      </w:r>
      <w:r w:rsidR="00DB5706">
        <w:rPr>
          <w:rFonts w:hint="cs"/>
          <w:spacing w:val="0"/>
          <w:sz w:val="20"/>
          <w:szCs w:val="28"/>
          <w:rtl/>
          <w:lang w:val="fr-CH"/>
        </w:rPr>
        <w:tab/>
      </w:r>
      <w:r w:rsidR="00082DCE">
        <w:rPr>
          <w:rFonts w:hint="cs"/>
          <w:spacing w:val="0"/>
          <w:sz w:val="20"/>
          <w:szCs w:val="28"/>
          <w:rtl/>
          <w:lang w:val="fr-CH"/>
        </w:rPr>
        <w:t>112</w:t>
      </w:r>
    </w:p>
    <w:p w:rsidR="00684C5A" w:rsidRPr="004F4045"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ألبانيا</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60</w:t>
      </w:r>
      <w:r w:rsidR="00DB5706">
        <w:rPr>
          <w:rFonts w:hint="cs"/>
          <w:spacing w:val="0"/>
          <w:sz w:val="20"/>
          <w:szCs w:val="28"/>
          <w:rtl/>
          <w:lang w:val="fr-CH"/>
        </w:rPr>
        <w:tab/>
      </w:r>
      <w:r w:rsidR="00E43C59">
        <w:rPr>
          <w:rFonts w:hint="cs"/>
          <w:spacing w:val="0"/>
          <w:sz w:val="20"/>
          <w:szCs w:val="28"/>
          <w:rtl/>
          <w:lang w:val="fr-CH"/>
        </w:rPr>
        <w:t>132</w:t>
      </w:r>
    </w:p>
    <w:p w:rsidR="00684C5A" w:rsidRPr="004F4045"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أرمينيا</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61</w:t>
      </w:r>
      <w:r w:rsidR="00DB5706">
        <w:rPr>
          <w:rFonts w:hint="cs"/>
          <w:spacing w:val="0"/>
          <w:sz w:val="20"/>
          <w:szCs w:val="28"/>
          <w:rtl/>
          <w:lang w:val="fr-CH"/>
        </w:rPr>
        <w:tab/>
      </w:r>
      <w:r w:rsidR="00E43C59">
        <w:rPr>
          <w:rFonts w:hint="cs"/>
          <w:spacing w:val="0"/>
          <w:sz w:val="20"/>
          <w:szCs w:val="28"/>
          <w:rtl/>
          <w:lang w:val="fr-CH"/>
        </w:rPr>
        <w:t>145</w:t>
      </w:r>
    </w:p>
    <w:p w:rsidR="00684C5A" w:rsidRPr="004F4045"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كندا</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62</w:t>
      </w:r>
      <w:r w:rsidR="00DB5706">
        <w:rPr>
          <w:rFonts w:hint="cs"/>
          <w:spacing w:val="0"/>
          <w:sz w:val="20"/>
          <w:szCs w:val="28"/>
          <w:rtl/>
          <w:lang w:val="fr-CH"/>
        </w:rPr>
        <w:tab/>
      </w:r>
      <w:r w:rsidR="00082DCE">
        <w:rPr>
          <w:rFonts w:hint="cs"/>
          <w:spacing w:val="0"/>
          <w:sz w:val="20"/>
          <w:szCs w:val="28"/>
          <w:rtl/>
          <w:lang w:val="fr-CH"/>
        </w:rPr>
        <w:t>156</w:t>
      </w:r>
    </w:p>
    <w:p w:rsidR="00684C5A"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sidRPr="004F4045">
        <w:rPr>
          <w:rFonts w:hint="cs"/>
          <w:spacing w:val="0"/>
          <w:sz w:val="20"/>
          <w:szCs w:val="28"/>
          <w:rtl/>
          <w:lang w:val="fr-CH"/>
        </w:rPr>
        <w:tab/>
      </w:r>
      <w:r>
        <w:rPr>
          <w:rFonts w:hint="cs"/>
          <w:spacing w:val="0"/>
          <w:sz w:val="20"/>
          <w:szCs w:val="28"/>
          <w:rtl/>
          <w:lang w:val="fr-CH"/>
        </w:rPr>
        <w:t>كوبا</w:t>
      </w:r>
      <w:r w:rsidRPr="004F4045">
        <w:rPr>
          <w:rFonts w:hint="cs"/>
          <w:spacing w:val="0"/>
          <w:sz w:val="20"/>
          <w:szCs w:val="28"/>
          <w:rtl/>
          <w:lang w:val="fr-CH"/>
        </w:rPr>
        <w:tab/>
      </w:r>
      <w:r w:rsidRPr="004F4045">
        <w:rPr>
          <w:rFonts w:hint="cs"/>
          <w:spacing w:val="0"/>
          <w:sz w:val="20"/>
          <w:szCs w:val="28"/>
          <w:rtl/>
          <w:lang w:val="fr-CH"/>
        </w:rPr>
        <w:tab/>
      </w:r>
      <w:r w:rsidR="00DB5706">
        <w:rPr>
          <w:rFonts w:hint="cs"/>
          <w:spacing w:val="0"/>
          <w:sz w:val="20"/>
          <w:szCs w:val="28"/>
          <w:rtl/>
          <w:lang w:val="fr-CH"/>
        </w:rPr>
        <w:t>63</w:t>
      </w:r>
      <w:r w:rsidR="00DB5706">
        <w:rPr>
          <w:rFonts w:hint="cs"/>
          <w:spacing w:val="0"/>
          <w:sz w:val="20"/>
          <w:szCs w:val="28"/>
          <w:rtl/>
          <w:lang w:val="fr-CH"/>
        </w:rPr>
        <w:tab/>
      </w:r>
      <w:r w:rsidR="00082DCE">
        <w:rPr>
          <w:rFonts w:hint="cs"/>
          <w:spacing w:val="0"/>
          <w:sz w:val="20"/>
          <w:szCs w:val="28"/>
          <w:rtl/>
          <w:lang w:val="fr-CH"/>
        </w:rPr>
        <w:t>167</w:t>
      </w:r>
    </w:p>
    <w:p w:rsidR="00684C5A" w:rsidRDefault="00684C5A" w:rsidP="00286181">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t>الجمهورية التشيكية</w:t>
      </w:r>
      <w:r>
        <w:rPr>
          <w:rFonts w:hint="cs"/>
          <w:spacing w:val="0"/>
          <w:sz w:val="20"/>
          <w:szCs w:val="28"/>
          <w:rtl/>
          <w:lang w:val="fr-CH"/>
        </w:rPr>
        <w:tab/>
      </w:r>
      <w:r>
        <w:rPr>
          <w:rFonts w:hint="cs"/>
          <w:spacing w:val="0"/>
          <w:sz w:val="20"/>
          <w:szCs w:val="28"/>
          <w:rtl/>
          <w:lang w:val="fr-CH"/>
        </w:rPr>
        <w:tab/>
      </w:r>
      <w:r w:rsidR="00DB5706">
        <w:rPr>
          <w:rFonts w:hint="cs"/>
          <w:spacing w:val="0"/>
          <w:sz w:val="20"/>
          <w:szCs w:val="28"/>
          <w:rtl/>
          <w:lang w:val="fr-CH"/>
        </w:rPr>
        <w:t>64</w:t>
      </w:r>
      <w:r w:rsidR="00DB5706">
        <w:rPr>
          <w:rFonts w:hint="cs"/>
          <w:spacing w:val="0"/>
          <w:sz w:val="20"/>
          <w:szCs w:val="28"/>
          <w:rtl/>
          <w:lang w:val="fr-CH"/>
        </w:rPr>
        <w:tab/>
      </w:r>
      <w:r w:rsidR="00E43C59">
        <w:rPr>
          <w:rFonts w:hint="cs"/>
          <w:spacing w:val="0"/>
          <w:sz w:val="20"/>
          <w:szCs w:val="28"/>
          <w:rtl/>
          <w:lang w:val="fr-CH"/>
        </w:rPr>
        <w:t>181</w:t>
      </w:r>
    </w:p>
    <w:p w:rsidR="00684C5A"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t>اليونان</w:t>
      </w:r>
      <w:r>
        <w:rPr>
          <w:rFonts w:hint="cs"/>
          <w:spacing w:val="0"/>
          <w:sz w:val="20"/>
          <w:szCs w:val="28"/>
          <w:rtl/>
          <w:lang w:val="fr-CH"/>
        </w:rPr>
        <w:tab/>
      </w:r>
      <w:r>
        <w:rPr>
          <w:rFonts w:hint="cs"/>
          <w:spacing w:val="0"/>
          <w:sz w:val="20"/>
          <w:szCs w:val="28"/>
          <w:rtl/>
          <w:lang w:val="fr-CH"/>
        </w:rPr>
        <w:tab/>
      </w:r>
      <w:r w:rsidR="00DB5706">
        <w:rPr>
          <w:rFonts w:hint="cs"/>
          <w:spacing w:val="0"/>
          <w:sz w:val="20"/>
          <w:szCs w:val="28"/>
          <w:rtl/>
          <w:lang w:val="fr-CH"/>
        </w:rPr>
        <w:t>65</w:t>
      </w:r>
      <w:r w:rsidR="00DB5706">
        <w:rPr>
          <w:rFonts w:hint="cs"/>
          <w:spacing w:val="0"/>
          <w:sz w:val="20"/>
          <w:szCs w:val="28"/>
          <w:rtl/>
          <w:lang w:val="fr-CH"/>
        </w:rPr>
        <w:tab/>
      </w:r>
      <w:r w:rsidR="00082DCE">
        <w:rPr>
          <w:rFonts w:hint="cs"/>
          <w:spacing w:val="0"/>
          <w:sz w:val="20"/>
          <w:szCs w:val="28"/>
          <w:rtl/>
          <w:lang w:val="fr-CH"/>
        </w:rPr>
        <w:t>191</w:t>
      </w:r>
    </w:p>
    <w:p w:rsidR="00684C5A"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t>رواندا</w:t>
      </w:r>
      <w:r>
        <w:rPr>
          <w:rFonts w:hint="cs"/>
          <w:spacing w:val="0"/>
          <w:sz w:val="20"/>
          <w:szCs w:val="28"/>
          <w:rtl/>
          <w:lang w:val="fr-CH"/>
        </w:rPr>
        <w:tab/>
      </w:r>
      <w:r>
        <w:rPr>
          <w:rFonts w:hint="cs"/>
          <w:spacing w:val="0"/>
          <w:sz w:val="20"/>
          <w:szCs w:val="28"/>
          <w:rtl/>
          <w:lang w:val="fr-CH"/>
        </w:rPr>
        <w:tab/>
      </w:r>
      <w:r w:rsidR="00DB5706">
        <w:rPr>
          <w:rFonts w:hint="cs"/>
          <w:spacing w:val="0"/>
          <w:sz w:val="20"/>
          <w:szCs w:val="28"/>
          <w:rtl/>
          <w:lang w:val="fr-CH"/>
        </w:rPr>
        <w:t>66</w:t>
      </w:r>
      <w:r w:rsidR="00DB5706">
        <w:rPr>
          <w:rFonts w:hint="cs"/>
          <w:spacing w:val="0"/>
          <w:sz w:val="20"/>
          <w:szCs w:val="28"/>
          <w:rtl/>
          <w:lang w:val="fr-CH"/>
        </w:rPr>
        <w:tab/>
      </w:r>
      <w:r w:rsidR="00082DCE">
        <w:rPr>
          <w:rFonts w:hint="cs"/>
          <w:spacing w:val="0"/>
          <w:sz w:val="20"/>
          <w:szCs w:val="28"/>
          <w:rtl/>
          <w:lang w:val="fr-CH"/>
        </w:rPr>
        <w:t>203</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t>الجمهورية العربية السورية</w:t>
      </w:r>
      <w:r>
        <w:rPr>
          <w:rFonts w:hint="cs"/>
          <w:spacing w:val="0"/>
          <w:sz w:val="20"/>
          <w:szCs w:val="28"/>
          <w:rtl/>
          <w:lang w:val="fr-CH"/>
        </w:rPr>
        <w:tab/>
      </w:r>
      <w:r>
        <w:rPr>
          <w:rFonts w:hint="cs"/>
          <w:spacing w:val="0"/>
          <w:sz w:val="20"/>
          <w:szCs w:val="28"/>
          <w:rtl/>
          <w:lang w:val="fr-CH"/>
        </w:rPr>
        <w:tab/>
      </w:r>
      <w:r w:rsidR="00DB5706">
        <w:rPr>
          <w:rFonts w:hint="cs"/>
          <w:spacing w:val="0"/>
          <w:sz w:val="20"/>
          <w:szCs w:val="28"/>
          <w:rtl/>
          <w:lang w:val="fr-CH"/>
        </w:rPr>
        <w:t>67</w:t>
      </w:r>
      <w:r w:rsidR="00DB5706">
        <w:rPr>
          <w:rFonts w:hint="cs"/>
          <w:spacing w:val="0"/>
          <w:sz w:val="20"/>
          <w:szCs w:val="28"/>
          <w:rtl/>
          <w:lang w:val="fr-CH"/>
        </w:rPr>
        <w:tab/>
      </w:r>
      <w:r w:rsidR="00082DCE">
        <w:rPr>
          <w:rFonts w:hint="cs"/>
          <w:spacing w:val="0"/>
          <w:sz w:val="20"/>
          <w:szCs w:val="28"/>
          <w:rtl/>
          <w:lang w:val="fr-CH"/>
        </w:rPr>
        <w:t>214</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rFonts w:hint="cs"/>
          <w:spacing w:val="0"/>
          <w:sz w:val="20"/>
          <w:szCs w:val="28"/>
          <w:rtl/>
          <w:lang w:val="fr-CH"/>
        </w:rPr>
      </w:pPr>
      <w:r>
        <w:rPr>
          <w:rFonts w:hint="cs"/>
          <w:spacing w:val="0"/>
          <w:sz w:val="20"/>
          <w:szCs w:val="28"/>
          <w:rtl/>
          <w:lang w:val="fr-CH"/>
        </w:rPr>
        <w:tab/>
      </w:r>
      <w:r w:rsidRPr="00943DD9">
        <w:rPr>
          <w:spacing w:val="0"/>
          <w:sz w:val="20"/>
          <w:szCs w:val="28"/>
          <w:rtl/>
          <w:lang w:val="fr-CH"/>
        </w:rPr>
        <w:t>رابعاً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متابعة الملاحظات الختامية بشأن تقارير الدول الأطراف</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68-82</w:t>
      </w:r>
      <w:r>
        <w:rPr>
          <w:spacing w:val="0"/>
          <w:sz w:val="20"/>
          <w:szCs w:val="28"/>
          <w:rtl/>
          <w:lang w:val="fr-CH"/>
        </w:rPr>
        <w:tab/>
      </w:r>
      <w:r w:rsidR="00082DCE">
        <w:rPr>
          <w:rFonts w:hint="cs"/>
          <w:spacing w:val="0"/>
          <w:sz w:val="20"/>
          <w:szCs w:val="28"/>
          <w:rtl/>
          <w:lang w:val="fr-CH"/>
        </w:rPr>
        <w:t>222</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rFonts w:hint="cs"/>
          <w:spacing w:val="0"/>
          <w:sz w:val="20"/>
          <w:szCs w:val="28"/>
          <w:rtl/>
          <w:lang w:val="fr-CH"/>
        </w:rPr>
      </w:pPr>
      <w:r>
        <w:rPr>
          <w:rFonts w:hint="cs"/>
          <w:spacing w:val="0"/>
          <w:sz w:val="20"/>
          <w:szCs w:val="28"/>
          <w:rtl/>
          <w:lang w:val="fr-CH"/>
        </w:rPr>
        <w:tab/>
      </w:r>
      <w:r w:rsidRPr="00943DD9">
        <w:rPr>
          <w:spacing w:val="0"/>
          <w:sz w:val="20"/>
          <w:szCs w:val="28"/>
          <w:rtl/>
          <w:lang w:val="fr-CH"/>
        </w:rPr>
        <w:t>خامساً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أنشطة اللجنة بموجب المادة 20 من الاتفاقية</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83-100</w:t>
      </w:r>
      <w:r>
        <w:rPr>
          <w:spacing w:val="0"/>
          <w:sz w:val="20"/>
          <w:szCs w:val="28"/>
          <w:rtl/>
          <w:lang w:val="fr-CH"/>
        </w:rPr>
        <w:tab/>
      </w:r>
      <w:r w:rsidR="00082DCE">
        <w:rPr>
          <w:rFonts w:hint="cs"/>
          <w:spacing w:val="0"/>
          <w:sz w:val="20"/>
          <w:szCs w:val="28"/>
          <w:rtl/>
          <w:lang w:val="fr-CH"/>
        </w:rPr>
        <w:t>239</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sidRPr="00943DD9">
        <w:rPr>
          <w:spacing w:val="0"/>
          <w:sz w:val="20"/>
          <w:szCs w:val="28"/>
          <w:rtl/>
          <w:lang w:val="fr-CH"/>
        </w:rPr>
        <w:t>ألف</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معلومات عامة</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83-87</w:t>
      </w:r>
      <w:r>
        <w:rPr>
          <w:spacing w:val="0"/>
          <w:sz w:val="20"/>
          <w:szCs w:val="28"/>
          <w:rtl/>
          <w:lang w:val="fr-CH"/>
        </w:rPr>
        <w:tab/>
      </w:r>
      <w:r w:rsidR="00082DCE">
        <w:rPr>
          <w:rFonts w:hint="cs"/>
          <w:spacing w:val="0"/>
          <w:sz w:val="20"/>
          <w:szCs w:val="28"/>
          <w:rtl/>
          <w:lang w:val="fr-CH"/>
        </w:rPr>
        <w:t>239</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باء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بيان موجز عن نتائج الإجراءات المتعلقة بالتحقيق بشأن نيبال</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88-100</w:t>
      </w:r>
      <w:r>
        <w:rPr>
          <w:spacing w:val="0"/>
          <w:sz w:val="20"/>
          <w:szCs w:val="28"/>
          <w:rtl/>
          <w:lang w:val="fr-CH"/>
        </w:rPr>
        <w:tab/>
      </w:r>
      <w:r w:rsidR="00082DCE">
        <w:rPr>
          <w:rFonts w:hint="cs"/>
          <w:spacing w:val="0"/>
          <w:sz w:val="20"/>
          <w:szCs w:val="28"/>
          <w:rtl/>
          <w:lang w:val="fr-CH"/>
        </w:rPr>
        <w:t>239</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rFonts w:hint="cs"/>
          <w:spacing w:val="0"/>
          <w:sz w:val="20"/>
          <w:szCs w:val="28"/>
          <w:rtl/>
          <w:lang w:val="fr-CH"/>
        </w:rPr>
      </w:pPr>
      <w:r>
        <w:rPr>
          <w:rFonts w:hint="cs"/>
          <w:spacing w:val="0"/>
          <w:sz w:val="20"/>
          <w:szCs w:val="28"/>
          <w:rtl/>
          <w:lang w:val="fr-CH"/>
        </w:rPr>
        <w:tab/>
      </w:r>
      <w:r w:rsidRPr="00943DD9">
        <w:rPr>
          <w:spacing w:val="0"/>
          <w:sz w:val="20"/>
          <w:szCs w:val="28"/>
          <w:rtl/>
          <w:lang w:val="fr-CH"/>
        </w:rPr>
        <w:t>سادساً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النظر في الشكاوى المقدمة بموجب المادة 22 من الاتفاقية</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101-137</w:t>
      </w:r>
      <w:r>
        <w:rPr>
          <w:spacing w:val="0"/>
          <w:sz w:val="20"/>
          <w:szCs w:val="28"/>
          <w:rtl/>
          <w:lang w:val="fr-CH"/>
        </w:rPr>
        <w:tab/>
      </w:r>
      <w:r w:rsidR="00082DCE">
        <w:rPr>
          <w:rFonts w:hint="cs"/>
          <w:spacing w:val="0"/>
          <w:sz w:val="20"/>
          <w:szCs w:val="28"/>
          <w:rtl/>
          <w:lang w:val="fr-CH"/>
        </w:rPr>
        <w:t>242</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ألف</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مقدمة</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101-105</w:t>
      </w:r>
      <w:r>
        <w:rPr>
          <w:spacing w:val="0"/>
          <w:sz w:val="20"/>
          <w:szCs w:val="28"/>
          <w:rtl/>
          <w:lang w:val="fr-CH"/>
        </w:rPr>
        <w:tab/>
      </w:r>
      <w:r w:rsidR="00082DCE">
        <w:rPr>
          <w:rFonts w:hint="cs"/>
          <w:spacing w:val="0"/>
          <w:sz w:val="20"/>
          <w:szCs w:val="28"/>
          <w:rtl/>
          <w:lang w:val="fr-CH"/>
        </w:rPr>
        <w:t>242</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باء</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تدابير الحماية المؤقتة</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106-109</w:t>
      </w:r>
      <w:r>
        <w:rPr>
          <w:spacing w:val="0"/>
          <w:sz w:val="20"/>
          <w:szCs w:val="28"/>
          <w:rtl/>
          <w:lang w:val="fr-CH"/>
        </w:rPr>
        <w:tab/>
      </w:r>
      <w:r w:rsidR="00082DCE">
        <w:rPr>
          <w:rFonts w:hint="cs"/>
          <w:spacing w:val="0"/>
          <w:sz w:val="20"/>
          <w:szCs w:val="28"/>
          <w:rtl/>
          <w:lang w:val="fr-CH"/>
        </w:rPr>
        <w:t>242</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جيم</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سير العمل</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110-135</w:t>
      </w:r>
      <w:r>
        <w:rPr>
          <w:spacing w:val="0"/>
          <w:sz w:val="20"/>
          <w:szCs w:val="28"/>
          <w:rtl/>
          <w:lang w:val="fr-CH"/>
        </w:rPr>
        <w:tab/>
      </w:r>
      <w:r w:rsidR="00082DCE">
        <w:rPr>
          <w:rFonts w:hint="cs"/>
          <w:spacing w:val="0"/>
          <w:sz w:val="20"/>
          <w:szCs w:val="28"/>
          <w:rtl/>
          <w:lang w:val="fr-CH"/>
        </w:rPr>
        <w:t>244</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line="360" w:lineRule="exact"/>
        <w:jc w:val="lowKashida"/>
        <w:rPr>
          <w:rFonts w:hint="cs"/>
          <w:spacing w:val="0"/>
          <w:sz w:val="20"/>
          <w:szCs w:val="28"/>
          <w:rtl/>
          <w:lang w:val="fr-CH"/>
        </w:rPr>
      </w:pPr>
      <w:r>
        <w:rPr>
          <w:rFonts w:hint="cs"/>
          <w:spacing w:val="0"/>
          <w:sz w:val="20"/>
          <w:szCs w:val="28"/>
          <w:rtl/>
          <w:lang w:val="fr-CH"/>
        </w:rPr>
        <w:tab/>
      </w:r>
      <w:r>
        <w:rPr>
          <w:spacing w:val="0"/>
          <w:sz w:val="20"/>
          <w:szCs w:val="28"/>
          <w:rtl/>
          <w:lang w:val="fr-CH"/>
        </w:rPr>
        <w:tab/>
      </w:r>
      <w:r>
        <w:rPr>
          <w:rFonts w:hint="cs"/>
          <w:spacing w:val="0"/>
          <w:sz w:val="20"/>
          <w:szCs w:val="28"/>
          <w:rtl/>
          <w:lang w:val="fr-CH"/>
        </w:rPr>
        <w:tab/>
      </w:r>
      <w:r w:rsidRPr="00943DD9">
        <w:rPr>
          <w:spacing w:val="0"/>
          <w:sz w:val="20"/>
          <w:szCs w:val="28"/>
          <w:rtl/>
          <w:lang w:val="fr-CH"/>
        </w:rPr>
        <w:t>دال</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أنشطة المتابعة</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13</w:t>
      </w:r>
      <w:r w:rsidR="006C3172">
        <w:rPr>
          <w:rFonts w:hint="cs"/>
          <w:spacing w:val="0"/>
          <w:sz w:val="20"/>
          <w:szCs w:val="28"/>
          <w:rtl/>
          <w:lang w:val="fr-CH"/>
        </w:rPr>
        <w:t>6</w:t>
      </w:r>
      <w:r w:rsidR="00E456C6">
        <w:rPr>
          <w:rFonts w:hint="cs"/>
          <w:spacing w:val="0"/>
          <w:sz w:val="20"/>
          <w:szCs w:val="28"/>
          <w:rtl/>
          <w:lang w:val="fr-CH"/>
        </w:rPr>
        <w:t>-</w:t>
      </w:r>
      <w:r w:rsidR="006C3172">
        <w:rPr>
          <w:rFonts w:hint="cs"/>
          <w:spacing w:val="0"/>
          <w:sz w:val="20"/>
          <w:szCs w:val="28"/>
          <w:rtl/>
          <w:lang w:val="fr-CH"/>
        </w:rPr>
        <w:t>137</w:t>
      </w:r>
      <w:r>
        <w:rPr>
          <w:spacing w:val="0"/>
          <w:sz w:val="20"/>
          <w:szCs w:val="28"/>
          <w:rtl/>
          <w:lang w:val="fr-CH"/>
        </w:rPr>
        <w:tab/>
      </w:r>
      <w:r w:rsidR="00082DCE">
        <w:rPr>
          <w:rFonts w:hint="cs"/>
          <w:spacing w:val="0"/>
          <w:sz w:val="20"/>
          <w:szCs w:val="28"/>
          <w:rtl/>
          <w:lang w:val="fr-CH"/>
        </w:rPr>
        <w:t>261</w:t>
      </w:r>
    </w:p>
    <w:p w:rsidR="00684C5A" w:rsidRDefault="00684C5A" w:rsidP="00082DCE">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rFonts w:hint="cs"/>
          <w:spacing w:val="0"/>
          <w:sz w:val="20"/>
          <w:szCs w:val="28"/>
          <w:rtl/>
          <w:lang w:val="fr-CH"/>
        </w:rPr>
      </w:pPr>
      <w:r>
        <w:rPr>
          <w:rFonts w:hint="cs"/>
          <w:spacing w:val="0"/>
          <w:sz w:val="20"/>
          <w:szCs w:val="28"/>
          <w:rtl/>
          <w:lang w:val="fr-CH"/>
        </w:rPr>
        <w:tab/>
      </w:r>
      <w:r w:rsidRPr="00943DD9">
        <w:rPr>
          <w:spacing w:val="0"/>
          <w:sz w:val="20"/>
          <w:szCs w:val="28"/>
          <w:rtl/>
          <w:lang w:val="fr-CH"/>
        </w:rPr>
        <w:t>سابعاً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الاجتماعات المقبلة للجنة</w:t>
      </w:r>
      <w:r w:rsidRPr="00943DD9">
        <w:rPr>
          <w:spacing w:val="0"/>
          <w:sz w:val="20"/>
          <w:szCs w:val="28"/>
          <w:rtl/>
          <w:lang w:val="fr-CH"/>
        </w:rPr>
        <w:tab/>
      </w:r>
      <w:r>
        <w:rPr>
          <w:rFonts w:hint="cs"/>
          <w:spacing w:val="0"/>
          <w:sz w:val="20"/>
          <w:szCs w:val="28"/>
          <w:rtl/>
          <w:lang w:val="fr-CH"/>
        </w:rPr>
        <w:tab/>
      </w:r>
      <w:r w:rsidR="006C3172">
        <w:rPr>
          <w:rFonts w:hint="cs"/>
          <w:spacing w:val="0"/>
          <w:sz w:val="20"/>
          <w:szCs w:val="28"/>
          <w:rtl/>
          <w:lang w:val="fr-CH"/>
        </w:rPr>
        <w:t>138</w:t>
      </w:r>
      <w:r w:rsidR="00E456C6">
        <w:rPr>
          <w:rFonts w:hint="cs"/>
          <w:spacing w:val="0"/>
          <w:sz w:val="20"/>
          <w:szCs w:val="28"/>
          <w:rtl/>
          <w:lang w:val="fr-CH"/>
        </w:rPr>
        <w:t>-140</w:t>
      </w:r>
      <w:r>
        <w:rPr>
          <w:spacing w:val="0"/>
          <w:sz w:val="20"/>
          <w:szCs w:val="28"/>
          <w:rtl/>
          <w:lang w:val="fr-CH"/>
        </w:rPr>
        <w:tab/>
      </w:r>
      <w:r w:rsidR="00082DCE">
        <w:rPr>
          <w:rFonts w:hint="cs"/>
          <w:spacing w:val="0"/>
          <w:sz w:val="20"/>
          <w:szCs w:val="28"/>
          <w:rtl/>
          <w:lang w:val="fr-CH"/>
        </w:rPr>
        <w:t>291</w:t>
      </w:r>
    </w:p>
    <w:p w:rsidR="006C3172" w:rsidRPr="00943DD9" w:rsidRDefault="006C3172" w:rsidP="00082DCE">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rFonts w:hint="cs"/>
          <w:spacing w:val="0"/>
          <w:sz w:val="20"/>
          <w:szCs w:val="28"/>
          <w:rtl/>
          <w:lang w:val="fr-CH"/>
        </w:rPr>
      </w:pPr>
      <w:r>
        <w:rPr>
          <w:rFonts w:hint="cs"/>
          <w:spacing w:val="0"/>
          <w:sz w:val="20"/>
          <w:szCs w:val="28"/>
          <w:rtl/>
          <w:lang w:val="fr-CH"/>
        </w:rPr>
        <w:tab/>
      </w:r>
      <w:r>
        <w:rPr>
          <w:rFonts w:hint="cs"/>
          <w:spacing w:val="0"/>
          <w:sz w:val="20"/>
          <w:szCs w:val="28"/>
          <w:rtl/>
          <w:lang w:val="fr-CH"/>
        </w:rPr>
        <w:tab/>
      </w:r>
      <w:r>
        <w:rPr>
          <w:rFonts w:hint="cs"/>
          <w:spacing w:val="0"/>
          <w:sz w:val="20"/>
          <w:szCs w:val="28"/>
          <w:rtl/>
          <w:lang w:val="fr-CH"/>
        </w:rPr>
        <w:tab/>
      </w:r>
      <w:r w:rsidRPr="006C3172">
        <w:rPr>
          <w:rFonts w:hint="cs"/>
          <w:spacing w:val="0"/>
          <w:sz w:val="20"/>
          <w:szCs w:val="28"/>
          <w:rtl/>
          <w:lang w:val="fr-CH"/>
        </w:rPr>
        <w:t>تخصيص وقت إضافي للاجتماع في عامي 2013 و2014</w:t>
      </w:r>
      <w:r>
        <w:rPr>
          <w:rFonts w:hint="cs"/>
          <w:spacing w:val="0"/>
          <w:sz w:val="20"/>
          <w:szCs w:val="28"/>
          <w:rtl/>
          <w:lang w:val="fr-CH"/>
        </w:rPr>
        <w:tab/>
      </w:r>
      <w:r>
        <w:rPr>
          <w:rFonts w:hint="cs"/>
          <w:spacing w:val="0"/>
          <w:sz w:val="20"/>
          <w:szCs w:val="28"/>
          <w:rtl/>
          <w:lang w:val="fr-CH"/>
        </w:rPr>
        <w:tab/>
        <w:t>139-140</w:t>
      </w:r>
      <w:r>
        <w:rPr>
          <w:rFonts w:hint="cs"/>
          <w:spacing w:val="0"/>
          <w:sz w:val="20"/>
          <w:szCs w:val="28"/>
          <w:rtl/>
          <w:lang w:val="fr-CH"/>
        </w:rPr>
        <w:tab/>
      </w:r>
      <w:r w:rsidR="00082DCE">
        <w:rPr>
          <w:rFonts w:hint="cs"/>
          <w:spacing w:val="0"/>
          <w:sz w:val="20"/>
          <w:szCs w:val="28"/>
          <w:rtl/>
          <w:lang w:val="fr-CH"/>
        </w:rPr>
        <w:t>291</w:t>
      </w:r>
    </w:p>
    <w:p w:rsidR="00684C5A" w:rsidRPr="00943DD9" w:rsidRDefault="00684C5A" w:rsidP="00082DCE">
      <w:pPr>
        <w:tabs>
          <w:tab w:val="right" w:pos="1021"/>
          <w:tab w:val="left" w:pos="1077"/>
          <w:tab w:val="left" w:pos="1525"/>
          <w:tab w:val="left" w:pos="1869"/>
          <w:tab w:val="left" w:pos="2261"/>
          <w:tab w:val="left" w:leader="dot" w:pos="7469"/>
          <w:tab w:val="left" w:pos="7972"/>
          <w:tab w:val="right" w:pos="9638"/>
        </w:tabs>
        <w:spacing w:before="120" w:line="360" w:lineRule="exact"/>
        <w:jc w:val="lowKashida"/>
        <w:rPr>
          <w:rFonts w:hint="cs"/>
          <w:spacing w:val="0"/>
          <w:sz w:val="20"/>
          <w:szCs w:val="28"/>
          <w:rtl/>
          <w:lang w:val="fr-CH"/>
        </w:rPr>
      </w:pPr>
      <w:r>
        <w:rPr>
          <w:rFonts w:hint="cs"/>
          <w:spacing w:val="0"/>
          <w:sz w:val="20"/>
          <w:szCs w:val="28"/>
          <w:rtl/>
          <w:lang w:val="fr-CH"/>
        </w:rPr>
        <w:tab/>
      </w:r>
      <w:r w:rsidRPr="00943DD9">
        <w:rPr>
          <w:spacing w:val="0"/>
          <w:sz w:val="20"/>
          <w:szCs w:val="28"/>
          <w:rtl/>
          <w:lang w:val="fr-CH"/>
        </w:rPr>
        <w:t>ثامناً</w:t>
      </w:r>
      <w:r>
        <w:rPr>
          <w:rFonts w:hint="cs"/>
          <w:spacing w:val="0"/>
          <w:sz w:val="20"/>
          <w:szCs w:val="28"/>
          <w:rtl/>
          <w:lang w:val="fr-CH"/>
        </w:rPr>
        <w:tab/>
      </w:r>
      <w:r w:rsidRPr="00943DD9">
        <w:rPr>
          <w:spacing w:val="0"/>
          <w:sz w:val="20"/>
          <w:szCs w:val="28"/>
          <w:rtl/>
          <w:lang w:val="fr-CH"/>
        </w:rPr>
        <w:t>-</w:t>
      </w:r>
      <w:r w:rsidRPr="00943DD9">
        <w:rPr>
          <w:spacing w:val="0"/>
          <w:sz w:val="20"/>
          <w:szCs w:val="28"/>
          <w:rtl/>
          <w:lang w:val="fr-CH"/>
        </w:rPr>
        <w:tab/>
        <w:t>اعتماد تقرير اللجنة السنوي عن أنشطتها</w:t>
      </w:r>
      <w:r w:rsidRPr="00943DD9">
        <w:rPr>
          <w:spacing w:val="0"/>
          <w:sz w:val="20"/>
          <w:szCs w:val="28"/>
          <w:rtl/>
          <w:lang w:val="fr-CH"/>
        </w:rPr>
        <w:tab/>
      </w:r>
      <w:r>
        <w:rPr>
          <w:rFonts w:hint="cs"/>
          <w:spacing w:val="0"/>
          <w:sz w:val="20"/>
          <w:szCs w:val="28"/>
          <w:rtl/>
          <w:lang w:val="fr-CH"/>
        </w:rPr>
        <w:tab/>
      </w:r>
      <w:r w:rsidR="00E456C6">
        <w:rPr>
          <w:rFonts w:hint="cs"/>
          <w:spacing w:val="0"/>
          <w:sz w:val="20"/>
          <w:szCs w:val="28"/>
          <w:rtl/>
          <w:lang w:val="fr-CH"/>
        </w:rPr>
        <w:t>141</w:t>
      </w:r>
      <w:r>
        <w:rPr>
          <w:spacing w:val="0"/>
          <w:sz w:val="20"/>
          <w:szCs w:val="28"/>
          <w:rtl/>
          <w:lang w:val="fr-CH"/>
        </w:rPr>
        <w:tab/>
      </w:r>
      <w:r w:rsidR="00082DCE">
        <w:rPr>
          <w:rFonts w:hint="cs"/>
          <w:spacing w:val="0"/>
          <w:sz w:val="20"/>
          <w:szCs w:val="28"/>
          <w:rtl/>
          <w:lang w:val="fr-CH"/>
        </w:rPr>
        <w:t>292</w:t>
      </w:r>
    </w:p>
    <w:p w:rsidR="00684C5A" w:rsidRPr="00F80FBA" w:rsidRDefault="00286181" w:rsidP="00F80FBA">
      <w:pPr>
        <w:tabs>
          <w:tab w:val="right" w:pos="1021"/>
          <w:tab w:val="left" w:pos="1077"/>
          <w:tab w:val="left" w:pos="1525"/>
          <w:tab w:val="left" w:pos="1869"/>
          <w:tab w:val="left" w:pos="2261"/>
          <w:tab w:val="left" w:leader="dot" w:pos="7469"/>
          <w:tab w:val="left" w:pos="7972"/>
          <w:tab w:val="right" w:pos="9638"/>
        </w:tabs>
        <w:spacing w:before="240" w:after="120" w:line="360" w:lineRule="exact"/>
        <w:jc w:val="lowKashida"/>
        <w:rPr>
          <w:rFonts w:hint="cs"/>
          <w:spacing w:val="0"/>
          <w:kern w:val="0"/>
          <w:sz w:val="20"/>
          <w:szCs w:val="28"/>
          <w:rtl/>
          <w:lang w:val="fr-CH"/>
        </w:rPr>
      </w:pPr>
      <w:r w:rsidRPr="00F80FBA">
        <w:rPr>
          <w:rFonts w:hint="cs"/>
          <w:spacing w:val="0"/>
          <w:kern w:val="0"/>
          <w:sz w:val="20"/>
          <w:szCs w:val="28"/>
          <w:rtl/>
          <w:lang w:val="fr-CH"/>
        </w:rPr>
        <w:t>المرفقات</w:t>
      </w:r>
    </w:p>
    <w:p w:rsidR="004E0A37" w:rsidRPr="00F80FBA" w:rsidRDefault="004E0A37"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الأول</w:t>
      </w:r>
      <w:r w:rsidRPr="00F80FBA">
        <w:rPr>
          <w:rFonts w:hint="cs"/>
          <w:spacing w:val="0"/>
          <w:kern w:val="0"/>
          <w:sz w:val="20"/>
          <w:szCs w:val="28"/>
          <w:rtl/>
          <w:lang w:val="fr-CH"/>
        </w:rPr>
        <w:tab/>
        <w:t>-</w:t>
      </w:r>
      <w:r w:rsidRPr="00F80FBA">
        <w:rPr>
          <w:rFonts w:hint="cs"/>
          <w:spacing w:val="0"/>
          <w:kern w:val="0"/>
          <w:sz w:val="20"/>
          <w:szCs w:val="28"/>
          <w:rtl/>
          <w:lang w:val="fr-CH"/>
        </w:rPr>
        <w:tab/>
      </w:r>
      <w:r w:rsidR="00F86A90" w:rsidRPr="00F80FBA">
        <w:rPr>
          <w:spacing w:val="0"/>
          <w:kern w:val="0"/>
          <w:sz w:val="20"/>
          <w:szCs w:val="28"/>
          <w:rtl/>
          <w:lang w:val="fr-CH"/>
        </w:rPr>
        <w:t>الدول التي وقعت على اتفاقية مناهضة التعذيب وغيره من ضروب المعاملة أو العقوبة القاسية أو</w:t>
      </w:r>
      <w:r w:rsidR="00F80FBA">
        <w:rPr>
          <w:rFonts w:hint="cs"/>
          <w:spacing w:val="0"/>
          <w:kern w:val="0"/>
          <w:sz w:val="20"/>
          <w:szCs w:val="28"/>
          <w:rtl/>
          <w:lang w:val="fr-CH"/>
        </w:rPr>
        <w:t> </w:t>
      </w:r>
      <w:r w:rsidR="00F86A90" w:rsidRPr="00F80FBA">
        <w:rPr>
          <w:spacing w:val="0"/>
          <w:kern w:val="0"/>
          <w:sz w:val="20"/>
          <w:szCs w:val="28"/>
          <w:rtl/>
          <w:lang w:val="fr-CH"/>
        </w:rPr>
        <w:t>اللاإنسانية أو المهينة، أو صدقت عليها أو</w:t>
      </w:r>
      <w:r w:rsidR="00F86A90" w:rsidRPr="00F80FBA">
        <w:rPr>
          <w:rFonts w:hint="cs"/>
          <w:spacing w:val="0"/>
          <w:kern w:val="0"/>
          <w:sz w:val="20"/>
          <w:szCs w:val="28"/>
          <w:rtl/>
          <w:lang w:val="fr-CH"/>
        </w:rPr>
        <w:t> </w:t>
      </w:r>
      <w:r w:rsidR="00F86A90" w:rsidRPr="00F80FBA">
        <w:rPr>
          <w:spacing w:val="0"/>
          <w:kern w:val="0"/>
          <w:sz w:val="20"/>
          <w:szCs w:val="28"/>
          <w:rtl/>
          <w:lang w:val="fr-CH"/>
        </w:rPr>
        <w:t>انضمت إليها حتى 1 حزيران/يونيه 2012</w:t>
      </w:r>
      <w:r w:rsidR="00F86A90" w:rsidRPr="00F80FBA">
        <w:rPr>
          <w:rFonts w:hint="cs"/>
          <w:spacing w:val="0"/>
          <w:kern w:val="0"/>
          <w:sz w:val="20"/>
          <w:szCs w:val="28"/>
          <w:rtl/>
          <w:lang w:val="fr-CH"/>
        </w:rPr>
        <w:tab/>
      </w:r>
      <w:r w:rsidR="00F86A90" w:rsidRPr="00F80FBA">
        <w:rPr>
          <w:rFonts w:hint="cs"/>
          <w:spacing w:val="0"/>
          <w:kern w:val="0"/>
          <w:sz w:val="20"/>
          <w:szCs w:val="28"/>
          <w:rtl/>
          <w:lang w:val="fr-CH"/>
        </w:rPr>
        <w:tab/>
      </w:r>
      <w:r w:rsidR="00082DCE">
        <w:rPr>
          <w:rFonts w:hint="cs"/>
          <w:spacing w:val="0"/>
          <w:kern w:val="0"/>
          <w:sz w:val="20"/>
          <w:szCs w:val="28"/>
          <w:rtl/>
          <w:lang w:val="fr-CH"/>
        </w:rPr>
        <w:t>293</w:t>
      </w:r>
    </w:p>
    <w:p w:rsidR="004E0A37" w:rsidRPr="00F80FBA" w:rsidRDefault="004E0A37"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الثاني</w:t>
      </w:r>
      <w:r w:rsidRPr="00F80FBA">
        <w:rPr>
          <w:rFonts w:hint="cs"/>
          <w:spacing w:val="0"/>
          <w:kern w:val="0"/>
          <w:sz w:val="20"/>
          <w:szCs w:val="28"/>
          <w:rtl/>
          <w:lang w:val="fr-CH"/>
        </w:rPr>
        <w:tab/>
        <w:t>-</w:t>
      </w:r>
      <w:r w:rsidRPr="00F80FBA">
        <w:rPr>
          <w:rFonts w:hint="cs"/>
          <w:spacing w:val="0"/>
          <w:kern w:val="0"/>
          <w:sz w:val="20"/>
          <w:szCs w:val="28"/>
          <w:rtl/>
          <w:lang w:val="fr-CH"/>
        </w:rPr>
        <w:tab/>
      </w:r>
      <w:r w:rsidR="00F86A90" w:rsidRPr="00F80FBA">
        <w:rPr>
          <w:spacing w:val="0"/>
          <w:kern w:val="0"/>
          <w:sz w:val="20"/>
          <w:szCs w:val="28"/>
          <w:rtl/>
          <w:lang w:val="fr-CH"/>
        </w:rPr>
        <w:t>الدول الأطراف التي أعلنت، وقت تصديقها أو انضمامها، أنها لا</w:t>
      </w:r>
      <w:r w:rsidR="00F86A90" w:rsidRPr="00F80FBA">
        <w:rPr>
          <w:rFonts w:hint="cs"/>
          <w:spacing w:val="0"/>
          <w:kern w:val="0"/>
          <w:sz w:val="20"/>
          <w:szCs w:val="28"/>
          <w:rtl/>
          <w:lang w:val="fr-CH"/>
        </w:rPr>
        <w:t> </w:t>
      </w:r>
      <w:r w:rsidR="00F86A90" w:rsidRPr="00F80FBA">
        <w:rPr>
          <w:spacing w:val="0"/>
          <w:kern w:val="0"/>
          <w:sz w:val="20"/>
          <w:szCs w:val="28"/>
          <w:rtl/>
          <w:lang w:val="fr-CH"/>
        </w:rPr>
        <w:t>تعترف باختصاص اللجنة الذي تنص عليه المادة 20 من الاتفاقية، حتى</w:t>
      </w:r>
      <w:r w:rsidR="00F86A90" w:rsidRPr="00F80FBA">
        <w:rPr>
          <w:rFonts w:hint="cs"/>
          <w:spacing w:val="0"/>
          <w:kern w:val="0"/>
          <w:sz w:val="20"/>
          <w:szCs w:val="28"/>
          <w:rtl/>
          <w:lang w:val="fr-CH"/>
        </w:rPr>
        <w:t> </w:t>
      </w:r>
      <w:r w:rsidR="00F86A90" w:rsidRPr="00F80FBA">
        <w:rPr>
          <w:spacing w:val="0"/>
          <w:kern w:val="0"/>
          <w:sz w:val="20"/>
          <w:szCs w:val="28"/>
          <w:rtl/>
          <w:lang w:val="fr-CH"/>
        </w:rPr>
        <w:t>1 حزيران/يونيه 2012</w:t>
      </w:r>
      <w:r w:rsidR="00F86A90" w:rsidRPr="00F80FBA">
        <w:rPr>
          <w:rFonts w:hint="cs"/>
          <w:spacing w:val="0"/>
          <w:kern w:val="0"/>
          <w:sz w:val="20"/>
          <w:szCs w:val="28"/>
          <w:rtl/>
          <w:lang w:val="fr-CH"/>
        </w:rPr>
        <w:tab/>
      </w:r>
      <w:r w:rsidR="00F86A90" w:rsidRPr="00F80FBA">
        <w:rPr>
          <w:rFonts w:hint="cs"/>
          <w:spacing w:val="0"/>
          <w:kern w:val="0"/>
          <w:sz w:val="20"/>
          <w:szCs w:val="28"/>
          <w:rtl/>
          <w:lang w:val="fr-CH"/>
        </w:rPr>
        <w:tab/>
      </w:r>
      <w:r w:rsidR="00082DCE">
        <w:rPr>
          <w:rFonts w:hint="cs"/>
          <w:spacing w:val="0"/>
          <w:kern w:val="0"/>
          <w:sz w:val="20"/>
          <w:szCs w:val="28"/>
          <w:rtl/>
          <w:lang w:val="fr-CH"/>
        </w:rPr>
        <w:t>300</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الثالث</w:t>
      </w:r>
      <w:r w:rsidRPr="00F80FBA">
        <w:rPr>
          <w:rFonts w:hint="cs"/>
          <w:spacing w:val="0"/>
          <w:kern w:val="0"/>
          <w:sz w:val="20"/>
          <w:szCs w:val="28"/>
          <w:rtl/>
          <w:lang w:val="fr-CH"/>
        </w:rPr>
        <w:tab/>
        <w:t>-</w:t>
      </w:r>
      <w:r w:rsidRPr="00F80FBA">
        <w:rPr>
          <w:rFonts w:hint="cs"/>
          <w:spacing w:val="0"/>
          <w:kern w:val="0"/>
          <w:sz w:val="20"/>
          <w:szCs w:val="28"/>
          <w:rtl/>
          <w:lang w:val="fr-CH"/>
        </w:rPr>
        <w:tab/>
      </w:r>
      <w:r w:rsidRPr="00F80FBA">
        <w:rPr>
          <w:spacing w:val="0"/>
          <w:kern w:val="0"/>
          <w:sz w:val="20"/>
          <w:szCs w:val="28"/>
          <w:rtl/>
          <w:lang w:val="fr-CH"/>
        </w:rPr>
        <w:t>الدول الأطراف التي أصدرت الإعلانين المنصوص عليهما في المادتين</w:t>
      </w:r>
      <w:r w:rsidRPr="00F80FBA">
        <w:rPr>
          <w:rFonts w:hint="cs"/>
          <w:spacing w:val="0"/>
          <w:kern w:val="0"/>
          <w:sz w:val="20"/>
          <w:szCs w:val="28"/>
          <w:rtl/>
          <w:lang w:val="fr-CH"/>
        </w:rPr>
        <w:t xml:space="preserve"> </w:t>
      </w:r>
      <w:r w:rsidRPr="00F80FBA">
        <w:rPr>
          <w:spacing w:val="0"/>
          <w:kern w:val="0"/>
          <w:sz w:val="20"/>
          <w:szCs w:val="28"/>
          <w:rtl/>
          <w:lang w:val="fr-CH"/>
        </w:rPr>
        <w:t>21 و22 من الاتفاقية، حتى 1 حزيران/يونيه 2012</w:t>
      </w:r>
      <w:r w:rsidRPr="00F80FBA">
        <w:rPr>
          <w:rFonts w:hint="cs"/>
          <w:spacing w:val="0"/>
          <w:kern w:val="0"/>
          <w:sz w:val="20"/>
          <w:szCs w:val="28"/>
          <w:rtl/>
          <w:lang w:val="fr-CH"/>
        </w:rPr>
        <w:tab/>
      </w:r>
      <w:r w:rsidRPr="00F80FBA">
        <w:rPr>
          <w:rFonts w:hint="cs"/>
          <w:spacing w:val="0"/>
          <w:kern w:val="0"/>
          <w:sz w:val="20"/>
          <w:szCs w:val="28"/>
          <w:rtl/>
          <w:lang w:val="fr-CH"/>
        </w:rPr>
        <w:tab/>
      </w:r>
      <w:r w:rsidR="00082DCE">
        <w:rPr>
          <w:rFonts w:hint="cs"/>
          <w:spacing w:val="0"/>
          <w:kern w:val="0"/>
          <w:sz w:val="20"/>
          <w:szCs w:val="28"/>
          <w:rtl/>
          <w:lang w:val="fr-CH"/>
        </w:rPr>
        <w:t>301</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الرابع</w:t>
      </w:r>
      <w:r w:rsidRPr="00F80FBA">
        <w:rPr>
          <w:rFonts w:hint="cs"/>
          <w:spacing w:val="0"/>
          <w:kern w:val="0"/>
          <w:sz w:val="20"/>
          <w:szCs w:val="28"/>
          <w:rtl/>
          <w:lang w:val="fr-CH"/>
        </w:rPr>
        <w:tab/>
        <w:t>-</w:t>
      </w:r>
      <w:r w:rsidRPr="00F80FBA">
        <w:rPr>
          <w:rFonts w:hint="cs"/>
          <w:spacing w:val="0"/>
          <w:kern w:val="0"/>
          <w:sz w:val="20"/>
          <w:szCs w:val="28"/>
          <w:rtl/>
          <w:lang w:val="fr-CH"/>
        </w:rPr>
        <w:tab/>
      </w:r>
      <w:r w:rsidRPr="00F80FBA">
        <w:rPr>
          <w:spacing w:val="0"/>
          <w:kern w:val="0"/>
          <w:sz w:val="20"/>
          <w:szCs w:val="28"/>
          <w:rtl/>
          <w:lang w:val="fr-CH"/>
        </w:rPr>
        <w:t>أعضاء لجنة مناهضة التعذيب في عام 2012</w:t>
      </w:r>
      <w:r w:rsidRPr="00F80FBA">
        <w:rPr>
          <w:rFonts w:hint="cs"/>
          <w:spacing w:val="0"/>
          <w:kern w:val="0"/>
          <w:sz w:val="20"/>
          <w:szCs w:val="28"/>
          <w:rtl/>
          <w:lang w:val="fr-CH"/>
        </w:rPr>
        <w:tab/>
      </w:r>
      <w:r w:rsidRPr="00F80FBA">
        <w:rPr>
          <w:rFonts w:hint="cs"/>
          <w:spacing w:val="0"/>
          <w:kern w:val="0"/>
          <w:sz w:val="20"/>
          <w:szCs w:val="28"/>
          <w:rtl/>
          <w:lang w:val="fr-CH"/>
        </w:rPr>
        <w:tab/>
      </w:r>
      <w:r w:rsidR="00082DCE">
        <w:rPr>
          <w:rFonts w:hint="cs"/>
          <w:spacing w:val="0"/>
          <w:kern w:val="0"/>
          <w:sz w:val="20"/>
          <w:szCs w:val="28"/>
          <w:rtl/>
          <w:lang w:val="fr-CH"/>
        </w:rPr>
        <w:t>305</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الخامس</w:t>
      </w:r>
      <w:r w:rsidRPr="00F80FBA">
        <w:rPr>
          <w:rFonts w:hint="cs"/>
          <w:spacing w:val="0"/>
          <w:kern w:val="0"/>
          <w:sz w:val="20"/>
          <w:szCs w:val="28"/>
          <w:rtl/>
          <w:lang w:val="fr-CH"/>
        </w:rPr>
        <w:tab/>
        <w:t>-</w:t>
      </w:r>
      <w:r w:rsidRPr="00F80FBA">
        <w:rPr>
          <w:rFonts w:hint="cs"/>
          <w:spacing w:val="0"/>
          <w:kern w:val="0"/>
          <w:sz w:val="20"/>
          <w:szCs w:val="28"/>
          <w:rtl/>
          <w:lang w:val="fr-CH"/>
        </w:rPr>
        <w:tab/>
      </w:r>
      <w:r w:rsidRPr="00F80FBA">
        <w:rPr>
          <w:spacing w:val="0"/>
          <w:kern w:val="0"/>
          <w:sz w:val="20"/>
          <w:szCs w:val="28"/>
          <w:rtl/>
          <w:lang w:val="fr-CH"/>
        </w:rPr>
        <w:t>الدول الأطراف التي وقّعت على البروتوكول الاختياري لاتفاقية مناهضة التعذيب وغيره من ضروب المعاملة أو العقوبة القاسية أو</w:t>
      </w:r>
      <w:r w:rsidRPr="00F80FBA">
        <w:rPr>
          <w:rFonts w:hint="cs"/>
          <w:spacing w:val="0"/>
          <w:kern w:val="0"/>
          <w:sz w:val="20"/>
          <w:szCs w:val="28"/>
          <w:rtl/>
          <w:lang w:val="fr-CH"/>
        </w:rPr>
        <w:t> </w:t>
      </w:r>
      <w:r w:rsidRPr="00F80FBA">
        <w:rPr>
          <w:spacing w:val="0"/>
          <w:kern w:val="0"/>
          <w:sz w:val="20"/>
          <w:szCs w:val="28"/>
          <w:rtl/>
          <w:lang w:val="fr-CH"/>
        </w:rPr>
        <w:t>اللاإنسانية أو المهينة، أو صدقت عليه أو انضمت إليه حتى 1 حزيران/يونيه 2012</w:t>
      </w:r>
      <w:r w:rsidRPr="00F80FBA">
        <w:rPr>
          <w:rFonts w:hint="cs"/>
          <w:spacing w:val="0"/>
          <w:kern w:val="0"/>
          <w:sz w:val="20"/>
          <w:szCs w:val="28"/>
          <w:rtl/>
          <w:lang w:val="fr-CH"/>
        </w:rPr>
        <w:tab/>
      </w:r>
      <w:r w:rsidRPr="00F80FBA">
        <w:rPr>
          <w:rFonts w:hint="cs"/>
          <w:spacing w:val="0"/>
          <w:kern w:val="0"/>
          <w:sz w:val="20"/>
          <w:szCs w:val="28"/>
          <w:rtl/>
          <w:lang w:val="fr-CH"/>
        </w:rPr>
        <w:tab/>
      </w:r>
      <w:r w:rsidR="00082DCE">
        <w:rPr>
          <w:rFonts w:hint="cs"/>
          <w:spacing w:val="0"/>
          <w:kern w:val="0"/>
          <w:sz w:val="20"/>
          <w:szCs w:val="28"/>
          <w:rtl/>
          <w:lang w:val="fr-CH"/>
        </w:rPr>
        <w:t>306</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السادس</w:t>
      </w:r>
      <w:r w:rsidRPr="00F80FBA">
        <w:rPr>
          <w:rFonts w:hint="cs"/>
          <w:spacing w:val="0"/>
          <w:kern w:val="0"/>
          <w:sz w:val="20"/>
          <w:szCs w:val="28"/>
          <w:rtl/>
          <w:lang w:val="fr-CH"/>
        </w:rPr>
        <w:tab/>
        <w:t>-</w:t>
      </w:r>
      <w:r w:rsidRPr="00F80FBA">
        <w:rPr>
          <w:rFonts w:hint="cs"/>
          <w:spacing w:val="0"/>
          <w:kern w:val="0"/>
          <w:sz w:val="20"/>
          <w:szCs w:val="28"/>
          <w:rtl/>
          <w:lang w:val="fr-CH"/>
        </w:rPr>
        <w:tab/>
      </w:r>
      <w:r w:rsidRPr="00F80FBA">
        <w:rPr>
          <w:spacing w:val="0"/>
          <w:kern w:val="0"/>
          <w:sz w:val="20"/>
          <w:szCs w:val="28"/>
          <w:rtl/>
          <w:lang w:val="fr-CH"/>
        </w:rPr>
        <w:t>أعضاء اللجنة الفرعية لمنع التعذيب وغيره من ضروب المعاملة أو</w:t>
      </w:r>
      <w:r w:rsidRPr="00F80FBA">
        <w:rPr>
          <w:rFonts w:hint="cs"/>
          <w:spacing w:val="0"/>
          <w:kern w:val="0"/>
          <w:sz w:val="20"/>
          <w:szCs w:val="28"/>
          <w:rtl/>
          <w:lang w:val="fr-CH"/>
        </w:rPr>
        <w:t> </w:t>
      </w:r>
      <w:r w:rsidRPr="00F80FBA">
        <w:rPr>
          <w:spacing w:val="0"/>
          <w:kern w:val="0"/>
          <w:sz w:val="20"/>
          <w:szCs w:val="28"/>
          <w:rtl/>
          <w:lang w:val="fr-CH"/>
        </w:rPr>
        <w:t>العقوبة القاسية أو اللاإنسانية أو</w:t>
      </w:r>
      <w:r w:rsidR="00F80FBA">
        <w:rPr>
          <w:rFonts w:hint="cs"/>
          <w:spacing w:val="0"/>
          <w:kern w:val="0"/>
          <w:sz w:val="20"/>
          <w:szCs w:val="28"/>
          <w:rtl/>
          <w:lang w:val="fr-CH"/>
        </w:rPr>
        <w:t> </w:t>
      </w:r>
      <w:r w:rsidRPr="00F80FBA">
        <w:rPr>
          <w:spacing w:val="0"/>
          <w:kern w:val="0"/>
          <w:sz w:val="20"/>
          <w:szCs w:val="28"/>
          <w:rtl/>
          <w:lang w:val="fr-CH"/>
        </w:rPr>
        <w:t>المهينة في عام 2012</w:t>
      </w:r>
      <w:r w:rsidRPr="00F80FBA">
        <w:rPr>
          <w:rFonts w:hint="cs"/>
          <w:spacing w:val="0"/>
          <w:kern w:val="0"/>
          <w:sz w:val="20"/>
          <w:szCs w:val="28"/>
          <w:rtl/>
          <w:lang w:val="fr-CH"/>
        </w:rPr>
        <w:tab/>
      </w:r>
      <w:r w:rsidRPr="00F80FBA">
        <w:rPr>
          <w:rFonts w:hint="cs"/>
          <w:spacing w:val="0"/>
          <w:kern w:val="0"/>
          <w:sz w:val="20"/>
          <w:szCs w:val="28"/>
          <w:rtl/>
          <w:lang w:val="fr-CH"/>
        </w:rPr>
        <w:tab/>
      </w:r>
      <w:r w:rsidR="00082DCE">
        <w:rPr>
          <w:rFonts w:hint="cs"/>
          <w:spacing w:val="0"/>
          <w:kern w:val="0"/>
          <w:sz w:val="20"/>
          <w:szCs w:val="28"/>
          <w:rtl/>
          <w:lang w:val="fr-CH"/>
        </w:rPr>
        <w:t>310</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السابع</w:t>
      </w:r>
      <w:r w:rsidRPr="00F80FBA">
        <w:rPr>
          <w:rFonts w:hint="cs"/>
          <w:spacing w:val="0"/>
          <w:kern w:val="0"/>
          <w:sz w:val="20"/>
          <w:szCs w:val="28"/>
          <w:rtl/>
          <w:lang w:val="fr-CH"/>
        </w:rPr>
        <w:tab/>
        <w:t>-</w:t>
      </w:r>
      <w:r w:rsidRPr="00F80FBA">
        <w:rPr>
          <w:rFonts w:hint="cs"/>
          <w:spacing w:val="0"/>
          <w:kern w:val="0"/>
          <w:sz w:val="20"/>
          <w:szCs w:val="28"/>
          <w:rtl/>
          <w:lang w:val="fr-CH"/>
        </w:rPr>
        <w:tab/>
      </w:r>
      <w:r w:rsidRPr="00F80FBA">
        <w:rPr>
          <w:spacing w:val="0"/>
          <w:kern w:val="0"/>
          <w:sz w:val="20"/>
          <w:szCs w:val="28"/>
          <w:rtl/>
          <w:lang w:val="fr-CH"/>
        </w:rPr>
        <w:t>التقرير السنوي الخامس للجنة الفرعية لمنع التعذيب وغيره من ضروب المعاملة أو العقوبة القاسية أو</w:t>
      </w:r>
      <w:r w:rsidR="00F80FBA">
        <w:rPr>
          <w:rFonts w:hint="cs"/>
          <w:spacing w:val="0"/>
          <w:kern w:val="0"/>
          <w:sz w:val="20"/>
          <w:szCs w:val="28"/>
          <w:rtl/>
          <w:lang w:val="fr-CH"/>
        </w:rPr>
        <w:t> </w:t>
      </w:r>
      <w:r w:rsidRPr="00F80FBA">
        <w:rPr>
          <w:spacing w:val="0"/>
          <w:kern w:val="0"/>
          <w:sz w:val="20"/>
          <w:szCs w:val="28"/>
          <w:rtl/>
          <w:lang w:val="fr-CH"/>
        </w:rPr>
        <w:t>اللاإنسانية أو المهينة (كانون الثاني/يناير - كانون الأول/ديسمبر 2011)</w:t>
      </w:r>
      <w:r w:rsidRPr="00F80FBA">
        <w:rPr>
          <w:rFonts w:hint="cs"/>
          <w:spacing w:val="0"/>
          <w:kern w:val="0"/>
          <w:sz w:val="20"/>
          <w:szCs w:val="28"/>
          <w:rtl/>
          <w:lang w:val="fr-CH"/>
        </w:rPr>
        <w:tab/>
      </w:r>
      <w:r w:rsidRPr="00F80FBA">
        <w:rPr>
          <w:rFonts w:hint="cs"/>
          <w:spacing w:val="0"/>
          <w:kern w:val="0"/>
          <w:sz w:val="20"/>
          <w:szCs w:val="28"/>
          <w:rtl/>
          <w:lang w:val="fr-CH"/>
        </w:rPr>
        <w:tab/>
      </w:r>
      <w:r w:rsidR="00082DCE">
        <w:rPr>
          <w:rFonts w:hint="cs"/>
          <w:spacing w:val="0"/>
          <w:kern w:val="0"/>
          <w:sz w:val="20"/>
          <w:szCs w:val="28"/>
          <w:rtl/>
          <w:lang w:val="fr-CH"/>
        </w:rPr>
        <w:t>312</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الثامن</w:t>
      </w:r>
      <w:r w:rsidRPr="00F80FBA">
        <w:rPr>
          <w:rFonts w:hint="cs"/>
          <w:spacing w:val="0"/>
          <w:kern w:val="0"/>
          <w:sz w:val="20"/>
          <w:szCs w:val="28"/>
          <w:rtl/>
          <w:lang w:val="fr-CH"/>
        </w:rPr>
        <w:tab/>
        <w:t>-</w:t>
      </w:r>
      <w:r w:rsidRPr="00F80FBA">
        <w:rPr>
          <w:rFonts w:hint="cs"/>
          <w:spacing w:val="0"/>
          <w:kern w:val="0"/>
          <w:sz w:val="20"/>
          <w:szCs w:val="28"/>
          <w:rtl/>
          <w:lang w:val="fr-CH"/>
        </w:rPr>
        <w:tab/>
        <w:t>بيان مشترك بمناسبة يوم الأمم المتحدة الدولي لمساندة ضحايا التعذيب</w:t>
      </w:r>
      <w:r w:rsidRPr="00F80FBA">
        <w:rPr>
          <w:rFonts w:hint="cs"/>
          <w:spacing w:val="0"/>
          <w:kern w:val="0"/>
          <w:sz w:val="20"/>
          <w:szCs w:val="28"/>
          <w:rtl/>
          <w:lang w:val="fr-CH"/>
        </w:rPr>
        <w:tab/>
      </w:r>
      <w:r w:rsidRPr="00F80FBA">
        <w:rPr>
          <w:rFonts w:hint="cs"/>
          <w:spacing w:val="0"/>
          <w:kern w:val="0"/>
          <w:sz w:val="20"/>
          <w:szCs w:val="28"/>
          <w:rtl/>
          <w:lang w:val="fr-CH"/>
        </w:rPr>
        <w:tab/>
      </w:r>
      <w:r w:rsidR="00082DCE">
        <w:rPr>
          <w:rFonts w:hint="cs"/>
          <w:spacing w:val="0"/>
          <w:kern w:val="0"/>
          <w:sz w:val="20"/>
          <w:szCs w:val="28"/>
          <w:rtl/>
          <w:lang w:val="fr-CH"/>
        </w:rPr>
        <w:t>337</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التاسع</w:t>
      </w:r>
      <w:r w:rsidRPr="00F80FBA">
        <w:rPr>
          <w:rFonts w:hint="cs"/>
          <w:spacing w:val="0"/>
          <w:kern w:val="0"/>
          <w:sz w:val="20"/>
          <w:szCs w:val="28"/>
          <w:rtl/>
          <w:lang w:val="fr-CH"/>
        </w:rPr>
        <w:tab/>
        <w:t>-</w:t>
      </w:r>
      <w:r w:rsidRPr="00F80FBA">
        <w:rPr>
          <w:rFonts w:hint="cs"/>
          <w:spacing w:val="0"/>
          <w:kern w:val="0"/>
          <w:sz w:val="20"/>
          <w:szCs w:val="28"/>
          <w:rtl/>
          <w:lang w:val="fr-CH"/>
        </w:rPr>
        <w:tab/>
      </w:r>
      <w:r w:rsidR="00286181" w:rsidRPr="00F80FBA">
        <w:rPr>
          <w:rFonts w:hint="cs"/>
          <w:spacing w:val="0"/>
          <w:kern w:val="0"/>
          <w:sz w:val="20"/>
          <w:szCs w:val="28"/>
          <w:rtl/>
          <w:lang w:val="fr-CH"/>
        </w:rPr>
        <w:t>بيان شفوي بالآثار المترتبة في الميزانية البرنامجية وفقاً للمادة 26 من النظام الداخلي للجنة مناهضة</w:t>
      </w:r>
      <w:r w:rsidR="00082DCE">
        <w:rPr>
          <w:rFonts w:hint="eastAsia"/>
          <w:spacing w:val="0"/>
          <w:kern w:val="0"/>
          <w:sz w:val="20"/>
          <w:szCs w:val="28"/>
          <w:rtl/>
          <w:lang w:val="fr-CH"/>
        </w:rPr>
        <w:t> </w:t>
      </w:r>
      <w:r w:rsidR="00286181" w:rsidRPr="00F80FBA">
        <w:rPr>
          <w:rFonts w:hint="cs"/>
          <w:spacing w:val="0"/>
          <w:kern w:val="0"/>
          <w:sz w:val="20"/>
          <w:szCs w:val="28"/>
          <w:rtl/>
          <w:lang w:val="fr-CH"/>
        </w:rPr>
        <w:t>التعذيب</w:t>
      </w:r>
      <w:r w:rsidR="00F80FBA">
        <w:rPr>
          <w:rFonts w:hint="cs"/>
          <w:spacing w:val="0"/>
          <w:kern w:val="0"/>
          <w:sz w:val="20"/>
          <w:szCs w:val="28"/>
          <w:rtl/>
          <w:lang w:val="fr-CH"/>
        </w:rPr>
        <w:tab/>
      </w:r>
      <w:r w:rsidR="00F80FBA">
        <w:rPr>
          <w:rFonts w:hint="cs"/>
          <w:spacing w:val="0"/>
          <w:kern w:val="0"/>
          <w:sz w:val="20"/>
          <w:szCs w:val="28"/>
          <w:rtl/>
          <w:lang w:val="fr-CH"/>
        </w:rPr>
        <w:tab/>
      </w:r>
      <w:r w:rsidR="00082DCE">
        <w:rPr>
          <w:rFonts w:hint="cs"/>
          <w:spacing w:val="0"/>
          <w:kern w:val="0"/>
          <w:sz w:val="20"/>
          <w:szCs w:val="28"/>
          <w:rtl/>
          <w:lang w:val="fr-CH"/>
        </w:rPr>
        <w:t>339</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العاشر</w:t>
      </w:r>
      <w:r w:rsidRPr="00F80FBA">
        <w:rPr>
          <w:rFonts w:hint="cs"/>
          <w:spacing w:val="0"/>
          <w:kern w:val="0"/>
          <w:sz w:val="20"/>
          <w:szCs w:val="28"/>
          <w:rtl/>
          <w:lang w:val="fr-CH"/>
        </w:rPr>
        <w:tab/>
        <w:t>-</w:t>
      </w:r>
      <w:r w:rsidRPr="00F80FBA">
        <w:rPr>
          <w:rFonts w:hint="cs"/>
          <w:spacing w:val="0"/>
          <w:kern w:val="0"/>
          <w:sz w:val="20"/>
          <w:szCs w:val="28"/>
          <w:rtl/>
          <w:lang w:val="fr-CH"/>
        </w:rPr>
        <w:tab/>
      </w:r>
      <w:r w:rsidR="00286181" w:rsidRPr="00F80FBA">
        <w:rPr>
          <w:rFonts w:hint="cs"/>
          <w:spacing w:val="0"/>
          <w:kern w:val="0"/>
          <w:sz w:val="20"/>
          <w:szCs w:val="28"/>
          <w:rtl/>
          <w:lang w:val="fr-CH"/>
        </w:rPr>
        <w:t>قرار اللجنة طلب موافقة الجمعية العامة في دورتها السابعة والستين على وقت اجتماعات إضافي في عامي 2013 و2014</w:t>
      </w:r>
      <w:r w:rsidR="00286181" w:rsidRPr="00F80FBA">
        <w:rPr>
          <w:rFonts w:hint="cs"/>
          <w:spacing w:val="0"/>
          <w:kern w:val="0"/>
          <w:sz w:val="20"/>
          <w:szCs w:val="28"/>
          <w:rtl/>
          <w:lang w:val="fr-CH"/>
        </w:rPr>
        <w:tab/>
      </w:r>
      <w:r w:rsidR="00286181" w:rsidRPr="00F80FBA">
        <w:rPr>
          <w:rFonts w:hint="cs"/>
          <w:spacing w:val="0"/>
          <w:kern w:val="0"/>
          <w:sz w:val="20"/>
          <w:szCs w:val="28"/>
          <w:rtl/>
          <w:lang w:val="fr-CH"/>
        </w:rPr>
        <w:tab/>
      </w:r>
      <w:r w:rsidR="00082DCE">
        <w:rPr>
          <w:rFonts w:hint="cs"/>
          <w:spacing w:val="0"/>
          <w:kern w:val="0"/>
          <w:sz w:val="20"/>
          <w:szCs w:val="28"/>
          <w:rtl/>
          <w:lang w:val="fr-CH"/>
        </w:rPr>
        <w:t>342</w:t>
      </w:r>
    </w:p>
    <w:p w:rsidR="00F86A90"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الحادي عشر</w:t>
      </w:r>
      <w:r w:rsidR="00F80FBA">
        <w:rPr>
          <w:rFonts w:hint="cs"/>
          <w:spacing w:val="0"/>
          <w:kern w:val="0"/>
          <w:sz w:val="20"/>
          <w:szCs w:val="28"/>
          <w:rtl/>
          <w:lang w:val="fr-CH"/>
        </w:rPr>
        <w:tab/>
      </w:r>
      <w:r w:rsidRPr="00F80FBA">
        <w:rPr>
          <w:rFonts w:hint="cs"/>
          <w:spacing w:val="0"/>
          <w:kern w:val="0"/>
          <w:sz w:val="20"/>
          <w:szCs w:val="28"/>
          <w:rtl/>
          <w:lang w:val="fr-CH"/>
        </w:rPr>
        <w:t>-</w:t>
      </w:r>
      <w:r w:rsidRPr="00F80FBA">
        <w:rPr>
          <w:rFonts w:hint="cs"/>
          <w:spacing w:val="0"/>
          <w:kern w:val="0"/>
          <w:sz w:val="20"/>
          <w:szCs w:val="28"/>
          <w:rtl/>
          <w:lang w:val="fr-CH"/>
        </w:rPr>
        <w:tab/>
      </w:r>
      <w:r w:rsidR="00286181" w:rsidRPr="00F80FBA">
        <w:rPr>
          <w:rFonts w:hint="cs"/>
          <w:spacing w:val="0"/>
          <w:kern w:val="0"/>
          <w:sz w:val="20"/>
          <w:szCs w:val="28"/>
          <w:rtl/>
          <w:lang w:val="fr-CH"/>
        </w:rPr>
        <w:t>التقارير التي تأخر تقديمها حتى 1 حزيران/يونيه 2012</w:t>
      </w:r>
      <w:r w:rsidR="00286181" w:rsidRPr="00F80FBA">
        <w:rPr>
          <w:rFonts w:hint="cs"/>
          <w:spacing w:val="0"/>
          <w:kern w:val="0"/>
          <w:sz w:val="20"/>
          <w:szCs w:val="28"/>
          <w:rtl/>
          <w:lang w:val="fr-CH"/>
        </w:rPr>
        <w:tab/>
      </w:r>
      <w:r w:rsidR="00286181" w:rsidRPr="00F80FBA">
        <w:rPr>
          <w:rFonts w:hint="cs"/>
          <w:spacing w:val="0"/>
          <w:kern w:val="0"/>
          <w:sz w:val="20"/>
          <w:szCs w:val="28"/>
          <w:rtl/>
          <w:lang w:val="fr-CH"/>
        </w:rPr>
        <w:tab/>
      </w:r>
      <w:r w:rsidR="00082DCE">
        <w:rPr>
          <w:rFonts w:hint="cs"/>
          <w:spacing w:val="0"/>
          <w:kern w:val="0"/>
          <w:sz w:val="20"/>
          <w:szCs w:val="28"/>
          <w:rtl/>
          <w:lang w:val="fr-CH"/>
        </w:rPr>
        <w:t>344</w:t>
      </w:r>
    </w:p>
    <w:p w:rsidR="009D000F" w:rsidRDefault="009D000F" w:rsidP="001F1B2D">
      <w:pPr>
        <w:tabs>
          <w:tab w:val="right" w:pos="1021"/>
          <w:tab w:val="left" w:pos="1077"/>
          <w:tab w:val="left" w:pos="1525"/>
          <w:tab w:val="left" w:pos="1869"/>
          <w:tab w:val="left" w:pos="2261"/>
          <w:tab w:val="left" w:leader="dot" w:pos="8686"/>
          <w:tab w:val="right" w:pos="9638"/>
        </w:tabs>
        <w:spacing w:line="360" w:lineRule="exact"/>
        <w:ind w:left="1531" w:right="953" w:hanging="1531"/>
        <w:jc w:val="lowKashida"/>
        <w:rPr>
          <w:rFonts w:hint="cs"/>
          <w:spacing w:val="0"/>
          <w:kern w:val="0"/>
          <w:sz w:val="20"/>
          <w:szCs w:val="28"/>
          <w:rtl/>
          <w:lang w:val="fr-CH"/>
        </w:rPr>
      </w:pP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t>ألف-</w:t>
      </w:r>
      <w:r>
        <w:rPr>
          <w:rFonts w:hint="cs"/>
          <w:spacing w:val="0"/>
          <w:kern w:val="0"/>
          <w:sz w:val="20"/>
          <w:szCs w:val="28"/>
          <w:rtl/>
          <w:lang w:val="fr-CH"/>
        </w:rPr>
        <w:tab/>
      </w:r>
      <w:r w:rsidR="00082DCE">
        <w:rPr>
          <w:rFonts w:hint="cs"/>
          <w:spacing w:val="0"/>
          <w:kern w:val="0"/>
          <w:sz w:val="20"/>
          <w:szCs w:val="28"/>
          <w:rtl/>
          <w:lang w:val="fr-CH"/>
        </w:rPr>
        <w:t>التقارير الأولية</w:t>
      </w:r>
      <w:r w:rsidR="00082DCE">
        <w:rPr>
          <w:rFonts w:hint="cs"/>
          <w:spacing w:val="0"/>
          <w:kern w:val="0"/>
          <w:sz w:val="20"/>
          <w:szCs w:val="28"/>
          <w:rtl/>
          <w:lang w:val="fr-CH"/>
        </w:rPr>
        <w:tab/>
      </w:r>
      <w:r w:rsidR="00082DCE">
        <w:rPr>
          <w:rFonts w:hint="cs"/>
          <w:spacing w:val="0"/>
          <w:kern w:val="0"/>
          <w:sz w:val="20"/>
          <w:szCs w:val="28"/>
          <w:rtl/>
          <w:lang w:val="fr-CH"/>
        </w:rPr>
        <w:tab/>
        <w:t>344</w:t>
      </w:r>
    </w:p>
    <w:p w:rsidR="009D000F" w:rsidRPr="00F80FBA" w:rsidRDefault="009D000F" w:rsidP="001F1B2D">
      <w:pPr>
        <w:tabs>
          <w:tab w:val="right" w:pos="1021"/>
          <w:tab w:val="left" w:pos="1077"/>
          <w:tab w:val="left" w:pos="1525"/>
          <w:tab w:val="left" w:pos="1869"/>
          <w:tab w:val="left" w:pos="2261"/>
          <w:tab w:val="left" w:leader="dot" w:pos="8686"/>
          <w:tab w:val="right" w:pos="9638"/>
        </w:tabs>
        <w:spacing w:after="120" w:line="360" w:lineRule="exact"/>
        <w:ind w:left="1531" w:right="953" w:hanging="1531"/>
        <w:jc w:val="lowKashida"/>
        <w:rPr>
          <w:rFonts w:hint="cs"/>
          <w:spacing w:val="0"/>
          <w:kern w:val="0"/>
          <w:sz w:val="20"/>
          <w:szCs w:val="28"/>
          <w:rtl/>
          <w:lang w:val="fr-CH"/>
        </w:rPr>
      </w:pP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t>باء</w:t>
      </w:r>
      <w:r>
        <w:rPr>
          <w:rFonts w:hint="cs"/>
          <w:spacing w:val="0"/>
          <w:kern w:val="0"/>
          <w:sz w:val="20"/>
          <w:szCs w:val="28"/>
          <w:rtl/>
          <w:lang w:val="fr-CH"/>
        </w:rPr>
        <w:tab/>
        <w:t>-</w:t>
      </w:r>
      <w:r>
        <w:rPr>
          <w:rFonts w:hint="cs"/>
          <w:spacing w:val="0"/>
          <w:kern w:val="0"/>
          <w:sz w:val="20"/>
          <w:szCs w:val="28"/>
          <w:rtl/>
          <w:lang w:val="fr-CH"/>
        </w:rPr>
        <w:tab/>
      </w:r>
      <w:r w:rsidR="00082DCE">
        <w:rPr>
          <w:rFonts w:hint="cs"/>
          <w:spacing w:val="0"/>
          <w:kern w:val="0"/>
          <w:sz w:val="20"/>
          <w:szCs w:val="28"/>
          <w:rtl/>
          <w:lang w:val="fr-CH"/>
        </w:rPr>
        <w:t>التقارير الدورية</w:t>
      </w:r>
      <w:r w:rsidR="00082DCE">
        <w:rPr>
          <w:rFonts w:hint="cs"/>
          <w:spacing w:val="0"/>
          <w:kern w:val="0"/>
          <w:sz w:val="20"/>
          <w:szCs w:val="28"/>
          <w:rtl/>
          <w:lang w:val="fr-CH"/>
        </w:rPr>
        <w:tab/>
      </w:r>
      <w:r w:rsidR="00082DCE">
        <w:rPr>
          <w:rFonts w:hint="cs"/>
          <w:spacing w:val="0"/>
          <w:kern w:val="0"/>
          <w:sz w:val="20"/>
          <w:szCs w:val="28"/>
          <w:rtl/>
          <w:lang w:val="fr-CH"/>
        </w:rPr>
        <w:tab/>
        <w:t>345</w:t>
      </w:r>
    </w:p>
    <w:p w:rsidR="00F86A90" w:rsidRPr="00F80FBA"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الثاني عشر</w:t>
      </w:r>
      <w:r w:rsidR="00F80FBA">
        <w:rPr>
          <w:rFonts w:hint="cs"/>
          <w:spacing w:val="0"/>
          <w:kern w:val="0"/>
          <w:sz w:val="20"/>
          <w:szCs w:val="28"/>
          <w:rtl/>
          <w:lang w:val="fr-CH"/>
        </w:rPr>
        <w:tab/>
      </w:r>
      <w:r w:rsidRPr="00F80FBA">
        <w:rPr>
          <w:rFonts w:hint="cs"/>
          <w:spacing w:val="0"/>
          <w:kern w:val="0"/>
          <w:sz w:val="20"/>
          <w:szCs w:val="28"/>
          <w:rtl/>
          <w:lang w:val="fr-CH"/>
        </w:rPr>
        <w:t>-</w:t>
      </w:r>
      <w:r w:rsidRPr="00F80FBA">
        <w:rPr>
          <w:rFonts w:hint="cs"/>
          <w:spacing w:val="0"/>
          <w:kern w:val="0"/>
          <w:sz w:val="20"/>
          <w:szCs w:val="28"/>
          <w:rtl/>
          <w:lang w:val="fr-CH"/>
        </w:rPr>
        <w:tab/>
      </w:r>
      <w:r w:rsidR="00286181" w:rsidRPr="00F80FBA">
        <w:rPr>
          <w:spacing w:val="0"/>
          <w:kern w:val="0"/>
          <w:sz w:val="20"/>
          <w:szCs w:val="28"/>
          <w:rtl/>
          <w:lang w:val="fr-CH"/>
        </w:rPr>
        <w:t>المقررون القطريون المعنيون بتقارير الدول الأطراف</w:t>
      </w:r>
      <w:r w:rsidR="00286181" w:rsidRPr="00F80FBA">
        <w:rPr>
          <w:rFonts w:hint="cs"/>
          <w:spacing w:val="0"/>
          <w:kern w:val="0"/>
          <w:sz w:val="20"/>
          <w:szCs w:val="28"/>
          <w:rtl/>
          <w:lang w:val="fr-CH"/>
        </w:rPr>
        <w:t xml:space="preserve"> </w:t>
      </w:r>
      <w:r w:rsidR="00286181" w:rsidRPr="00F80FBA">
        <w:rPr>
          <w:spacing w:val="0"/>
          <w:kern w:val="0"/>
          <w:sz w:val="20"/>
          <w:szCs w:val="28"/>
          <w:rtl/>
          <w:lang w:val="fr-CH"/>
        </w:rPr>
        <w:t xml:space="preserve">التي نظرت فيها اللجنة في دورتيها </w:t>
      </w:r>
      <w:r w:rsidR="00286181" w:rsidRPr="00F80FBA">
        <w:rPr>
          <w:rFonts w:hint="cs"/>
          <w:spacing w:val="0"/>
          <w:kern w:val="0"/>
          <w:sz w:val="20"/>
          <w:szCs w:val="28"/>
          <w:rtl/>
          <w:lang w:val="fr-CH"/>
        </w:rPr>
        <w:t xml:space="preserve">السابعة والأربعين والثامنة والأربعين </w:t>
      </w:r>
      <w:r w:rsidR="00286181" w:rsidRPr="00F80FBA">
        <w:rPr>
          <w:spacing w:val="0"/>
          <w:kern w:val="0"/>
          <w:sz w:val="20"/>
          <w:szCs w:val="28"/>
          <w:rtl/>
          <w:lang w:val="fr-CH"/>
        </w:rPr>
        <w:t xml:space="preserve">(بحسب </w:t>
      </w:r>
      <w:r w:rsidR="00286181" w:rsidRPr="00F80FBA">
        <w:rPr>
          <w:rFonts w:hint="cs"/>
          <w:spacing w:val="0"/>
          <w:kern w:val="0"/>
          <w:sz w:val="20"/>
          <w:szCs w:val="28"/>
          <w:rtl/>
          <w:lang w:val="fr-CH"/>
        </w:rPr>
        <w:t>ال</w:t>
      </w:r>
      <w:r w:rsidR="00286181" w:rsidRPr="00F80FBA">
        <w:rPr>
          <w:spacing w:val="0"/>
          <w:kern w:val="0"/>
          <w:sz w:val="20"/>
          <w:szCs w:val="28"/>
          <w:rtl/>
          <w:lang w:val="fr-CH"/>
        </w:rPr>
        <w:t xml:space="preserve">ترتيب </w:t>
      </w:r>
      <w:r w:rsidR="00286181" w:rsidRPr="00F80FBA">
        <w:rPr>
          <w:rFonts w:hint="cs"/>
          <w:spacing w:val="0"/>
          <w:kern w:val="0"/>
          <w:sz w:val="20"/>
          <w:szCs w:val="28"/>
          <w:rtl/>
          <w:lang w:val="fr-CH"/>
        </w:rPr>
        <w:t>الأبجدي</w:t>
      </w:r>
      <w:r w:rsidR="00286181" w:rsidRPr="00F80FBA">
        <w:rPr>
          <w:spacing w:val="0"/>
          <w:kern w:val="0"/>
          <w:sz w:val="20"/>
          <w:szCs w:val="28"/>
          <w:rtl/>
          <w:lang w:val="fr-CH"/>
        </w:rPr>
        <w:t>)</w:t>
      </w:r>
      <w:r w:rsidR="00286181" w:rsidRPr="00F80FBA">
        <w:rPr>
          <w:rFonts w:hint="cs"/>
          <w:spacing w:val="0"/>
          <w:kern w:val="0"/>
          <w:sz w:val="20"/>
          <w:szCs w:val="28"/>
          <w:rtl/>
          <w:lang w:val="fr-CH"/>
        </w:rPr>
        <w:tab/>
      </w:r>
      <w:r w:rsidR="00286181" w:rsidRPr="00F80FBA">
        <w:rPr>
          <w:rFonts w:hint="cs"/>
          <w:spacing w:val="0"/>
          <w:kern w:val="0"/>
          <w:sz w:val="20"/>
          <w:szCs w:val="28"/>
          <w:rtl/>
          <w:lang w:val="fr-CH"/>
        </w:rPr>
        <w:tab/>
      </w:r>
      <w:r w:rsidR="00082DCE">
        <w:rPr>
          <w:rFonts w:hint="cs"/>
          <w:spacing w:val="0"/>
          <w:kern w:val="0"/>
          <w:sz w:val="20"/>
          <w:szCs w:val="28"/>
          <w:rtl/>
          <w:lang w:val="fr-CH"/>
        </w:rPr>
        <w:t>355</w:t>
      </w:r>
    </w:p>
    <w:p w:rsidR="00F86A90" w:rsidRDefault="00F86A90"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sidRPr="00F80FBA">
        <w:rPr>
          <w:rFonts w:hint="cs"/>
          <w:spacing w:val="0"/>
          <w:kern w:val="0"/>
          <w:sz w:val="20"/>
          <w:szCs w:val="28"/>
          <w:rtl/>
          <w:lang w:val="fr-CH"/>
        </w:rPr>
        <w:tab/>
        <w:t>الثالث عشر</w:t>
      </w:r>
      <w:r w:rsidR="00F80FBA">
        <w:rPr>
          <w:rFonts w:hint="cs"/>
          <w:spacing w:val="0"/>
          <w:kern w:val="0"/>
          <w:sz w:val="20"/>
          <w:szCs w:val="28"/>
          <w:rtl/>
          <w:lang w:val="fr-CH"/>
        </w:rPr>
        <w:tab/>
      </w:r>
      <w:r w:rsidRPr="00F80FBA">
        <w:rPr>
          <w:rFonts w:hint="cs"/>
          <w:spacing w:val="0"/>
          <w:kern w:val="0"/>
          <w:sz w:val="20"/>
          <w:szCs w:val="28"/>
          <w:rtl/>
          <w:lang w:val="fr-CH"/>
        </w:rPr>
        <w:t>-</w:t>
      </w:r>
      <w:r w:rsidRPr="00F80FBA">
        <w:rPr>
          <w:rFonts w:hint="cs"/>
          <w:spacing w:val="0"/>
          <w:kern w:val="0"/>
          <w:sz w:val="20"/>
          <w:szCs w:val="28"/>
          <w:rtl/>
          <w:lang w:val="fr-CH"/>
        </w:rPr>
        <w:tab/>
      </w:r>
      <w:r w:rsidR="00286181" w:rsidRPr="00F80FBA">
        <w:rPr>
          <w:rFonts w:hint="cs"/>
          <w:spacing w:val="0"/>
          <w:kern w:val="0"/>
          <w:sz w:val="20"/>
          <w:szCs w:val="28"/>
          <w:rtl/>
          <w:lang w:val="fr-CH"/>
        </w:rPr>
        <w:t>التقرير الذي اعتمدته لجنة مناهضة التعذيب بشأن نبيال بموجب المادة</w:t>
      </w:r>
      <w:r w:rsidR="00286181" w:rsidRPr="00F80FBA">
        <w:rPr>
          <w:rFonts w:hint="eastAsia"/>
          <w:spacing w:val="0"/>
          <w:kern w:val="0"/>
          <w:sz w:val="20"/>
          <w:szCs w:val="28"/>
          <w:rtl/>
          <w:lang w:val="fr-CH"/>
        </w:rPr>
        <w:t> </w:t>
      </w:r>
      <w:r w:rsidR="00286181" w:rsidRPr="00F80FBA">
        <w:rPr>
          <w:rFonts w:hint="cs"/>
          <w:spacing w:val="0"/>
          <w:kern w:val="0"/>
          <w:sz w:val="20"/>
          <w:szCs w:val="28"/>
          <w:rtl/>
          <w:lang w:val="fr-CH"/>
        </w:rPr>
        <w:t>20 من الاتفاقية، وتعليقات الدولة الطرف وملاحظاتها</w:t>
      </w:r>
      <w:r w:rsidR="00286181" w:rsidRPr="00F80FBA">
        <w:rPr>
          <w:rFonts w:hint="cs"/>
          <w:spacing w:val="0"/>
          <w:kern w:val="0"/>
          <w:sz w:val="20"/>
          <w:szCs w:val="28"/>
          <w:rtl/>
          <w:lang w:val="fr-CH"/>
        </w:rPr>
        <w:tab/>
      </w:r>
      <w:r w:rsidR="00286181" w:rsidRPr="00F80FBA">
        <w:rPr>
          <w:rFonts w:hint="cs"/>
          <w:spacing w:val="0"/>
          <w:kern w:val="0"/>
          <w:sz w:val="20"/>
          <w:szCs w:val="28"/>
          <w:rtl/>
          <w:lang w:val="fr-CH"/>
        </w:rPr>
        <w:tab/>
      </w:r>
      <w:r w:rsidR="00082DCE">
        <w:rPr>
          <w:rFonts w:hint="cs"/>
          <w:spacing w:val="0"/>
          <w:kern w:val="0"/>
          <w:sz w:val="20"/>
          <w:szCs w:val="28"/>
          <w:rtl/>
          <w:lang w:val="fr-CH"/>
        </w:rPr>
        <w:t>357</w:t>
      </w:r>
    </w:p>
    <w:p w:rsidR="00E36BB6" w:rsidRDefault="00E36BB6" w:rsidP="001F1B2D">
      <w:pPr>
        <w:tabs>
          <w:tab w:val="right" w:pos="1021"/>
          <w:tab w:val="left" w:pos="1077"/>
          <w:tab w:val="left" w:pos="1525"/>
          <w:tab w:val="left" w:pos="1869"/>
          <w:tab w:val="left" w:pos="2261"/>
          <w:tab w:val="left" w:leader="dot" w:pos="8686"/>
          <w:tab w:val="right" w:pos="9638"/>
        </w:tabs>
        <w:spacing w:after="80" w:line="360" w:lineRule="exact"/>
        <w:ind w:left="1531" w:right="952" w:hanging="1531"/>
        <w:jc w:val="lowKashida"/>
        <w:rPr>
          <w:rFonts w:hint="cs"/>
          <w:spacing w:val="0"/>
          <w:kern w:val="0"/>
          <w:sz w:val="20"/>
          <w:szCs w:val="28"/>
          <w:rtl/>
          <w:lang w:val="fr-CH"/>
        </w:rPr>
      </w:pPr>
      <w:r>
        <w:rPr>
          <w:rFonts w:hint="cs"/>
          <w:spacing w:val="0"/>
          <w:kern w:val="0"/>
          <w:sz w:val="20"/>
          <w:szCs w:val="28"/>
          <w:rtl/>
          <w:lang w:val="fr-CH"/>
        </w:rPr>
        <w:tab/>
        <w:t>الرابع عشر</w:t>
      </w:r>
      <w:r>
        <w:rPr>
          <w:rFonts w:hint="cs"/>
          <w:spacing w:val="0"/>
          <w:kern w:val="0"/>
          <w:sz w:val="20"/>
          <w:szCs w:val="28"/>
          <w:rtl/>
          <w:lang w:val="fr-CH"/>
        </w:rPr>
        <w:tab/>
        <w:t>-</w:t>
      </w:r>
      <w:r>
        <w:rPr>
          <w:rFonts w:hint="cs"/>
          <w:spacing w:val="0"/>
          <w:kern w:val="0"/>
          <w:sz w:val="20"/>
          <w:szCs w:val="28"/>
          <w:rtl/>
          <w:lang w:val="fr-CH"/>
        </w:rPr>
        <w:tab/>
        <w:t>قرارات لجنة مناهضة التعذيب بموجب المادة 22 من الاتفاقية</w:t>
      </w:r>
      <w:r>
        <w:rPr>
          <w:rFonts w:hint="cs"/>
          <w:spacing w:val="0"/>
          <w:kern w:val="0"/>
          <w:sz w:val="20"/>
          <w:szCs w:val="28"/>
          <w:rtl/>
          <w:lang w:val="fr-CH"/>
        </w:rPr>
        <w:tab/>
      </w:r>
      <w:r>
        <w:rPr>
          <w:rFonts w:hint="cs"/>
          <w:spacing w:val="0"/>
          <w:kern w:val="0"/>
          <w:sz w:val="20"/>
          <w:szCs w:val="28"/>
          <w:rtl/>
          <w:lang w:val="fr-CH"/>
        </w:rPr>
        <w:tab/>
        <w:t>406</w:t>
      </w:r>
    </w:p>
    <w:p w:rsidR="00E36BB6" w:rsidRDefault="00E36BB6" w:rsidP="001F1B2D">
      <w:pPr>
        <w:tabs>
          <w:tab w:val="right" w:pos="1021"/>
          <w:tab w:val="left" w:pos="1077"/>
          <w:tab w:val="left" w:pos="1525"/>
          <w:tab w:val="left" w:pos="1869"/>
          <w:tab w:val="left" w:pos="2261"/>
          <w:tab w:val="left" w:leader="dot" w:pos="8686"/>
          <w:tab w:val="right" w:pos="9638"/>
        </w:tabs>
        <w:spacing w:line="360" w:lineRule="exact"/>
        <w:ind w:left="1531" w:right="953" w:hanging="1531"/>
        <w:jc w:val="lowKashida"/>
        <w:rPr>
          <w:rFonts w:hint="cs"/>
          <w:spacing w:val="0"/>
          <w:kern w:val="0"/>
          <w:sz w:val="20"/>
          <w:szCs w:val="28"/>
          <w:rtl/>
          <w:lang w:val="fr-CH"/>
        </w:rPr>
      </w:pP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t>ألف</w:t>
      </w:r>
      <w:r>
        <w:rPr>
          <w:rFonts w:hint="cs"/>
          <w:spacing w:val="0"/>
          <w:kern w:val="0"/>
          <w:sz w:val="20"/>
          <w:szCs w:val="28"/>
          <w:rtl/>
          <w:lang w:val="fr-CH"/>
        </w:rPr>
        <w:tab/>
        <w:t>-</w:t>
      </w:r>
      <w:r>
        <w:rPr>
          <w:rFonts w:hint="cs"/>
          <w:spacing w:val="0"/>
          <w:kern w:val="0"/>
          <w:sz w:val="20"/>
          <w:szCs w:val="28"/>
          <w:rtl/>
          <w:lang w:val="fr-CH"/>
        </w:rPr>
        <w:tab/>
        <w:t>قرارات بشأن الأسس الموضوعية</w:t>
      </w:r>
      <w:r>
        <w:rPr>
          <w:rFonts w:hint="cs"/>
          <w:spacing w:val="0"/>
          <w:kern w:val="0"/>
          <w:sz w:val="20"/>
          <w:szCs w:val="28"/>
          <w:rtl/>
          <w:lang w:val="fr-CH"/>
        </w:rPr>
        <w:tab/>
      </w:r>
      <w:r>
        <w:rPr>
          <w:rFonts w:hint="cs"/>
          <w:spacing w:val="0"/>
          <w:kern w:val="0"/>
          <w:sz w:val="20"/>
          <w:szCs w:val="28"/>
          <w:rtl/>
          <w:lang w:val="fr-CH"/>
        </w:rPr>
        <w:tab/>
        <w:t>406</w:t>
      </w:r>
    </w:p>
    <w:p w:rsidR="00E36BB6" w:rsidRDefault="00C83C58"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312/2007: </w:t>
      </w:r>
      <w:r w:rsidRPr="00C83C58">
        <w:rPr>
          <w:rFonts w:hint="cs"/>
          <w:i/>
          <w:iCs/>
          <w:spacing w:val="0"/>
          <w:kern w:val="0"/>
          <w:sz w:val="20"/>
          <w:szCs w:val="28"/>
          <w:rtl/>
          <w:lang w:val="fr-CH"/>
        </w:rPr>
        <w:t>افتخاري ضد النرويج</w:t>
      </w:r>
      <w:r>
        <w:rPr>
          <w:rFonts w:hint="cs"/>
          <w:spacing w:val="0"/>
          <w:kern w:val="0"/>
          <w:sz w:val="20"/>
          <w:szCs w:val="28"/>
          <w:rtl/>
          <w:lang w:val="fr-CH"/>
        </w:rPr>
        <w:tab/>
      </w:r>
      <w:r>
        <w:rPr>
          <w:rFonts w:hint="cs"/>
          <w:spacing w:val="0"/>
          <w:kern w:val="0"/>
          <w:sz w:val="20"/>
          <w:szCs w:val="28"/>
          <w:rtl/>
          <w:lang w:val="fr-CH"/>
        </w:rPr>
        <w:tab/>
      </w:r>
      <w:r w:rsidR="00DC5F1B">
        <w:rPr>
          <w:rFonts w:hint="cs"/>
          <w:spacing w:val="0"/>
          <w:kern w:val="0"/>
          <w:sz w:val="20"/>
          <w:szCs w:val="28"/>
          <w:rtl/>
          <w:lang w:val="fr-CH"/>
        </w:rPr>
        <w:t>406</w:t>
      </w:r>
    </w:p>
    <w:p w:rsidR="0011263F" w:rsidRDefault="0011263F"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327/2007: </w:t>
      </w:r>
      <w:r>
        <w:rPr>
          <w:rFonts w:hint="cs"/>
          <w:i/>
          <w:iCs/>
          <w:spacing w:val="0"/>
          <w:kern w:val="0"/>
          <w:sz w:val="20"/>
          <w:szCs w:val="28"/>
          <w:rtl/>
          <w:lang w:val="fr-CH"/>
        </w:rPr>
        <w:t>بوالي ضد كندا</w:t>
      </w:r>
      <w:r w:rsidRPr="0011263F">
        <w:rPr>
          <w:rFonts w:hint="cs"/>
          <w:spacing w:val="0"/>
          <w:kern w:val="0"/>
          <w:sz w:val="20"/>
          <w:szCs w:val="28"/>
          <w:rtl/>
          <w:lang w:val="fr-CH"/>
        </w:rPr>
        <w:tab/>
      </w:r>
      <w:r w:rsidRPr="0011263F">
        <w:rPr>
          <w:rFonts w:hint="cs"/>
          <w:spacing w:val="0"/>
          <w:kern w:val="0"/>
          <w:sz w:val="20"/>
          <w:szCs w:val="28"/>
          <w:rtl/>
          <w:lang w:val="fr-CH"/>
        </w:rPr>
        <w:tab/>
      </w:r>
      <w:r>
        <w:rPr>
          <w:rFonts w:hint="cs"/>
          <w:spacing w:val="0"/>
          <w:kern w:val="0"/>
          <w:sz w:val="20"/>
          <w:szCs w:val="28"/>
          <w:rtl/>
          <w:lang w:val="fr-CH"/>
        </w:rPr>
        <w:t>415</w:t>
      </w:r>
    </w:p>
    <w:p w:rsidR="0011263F" w:rsidRDefault="0011263F"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343/2008: </w:t>
      </w:r>
      <w:r>
        <w:rPr>
          <w:rFonts w:hint="cs"/>
          <w:i/>
          <w:iCs/>
          <w:spacing w:val="0"/>
          <w:kern w:val="0"/>
          <w:sz w:val="20"/>
          <w:szCs w:val="28"/>
          <w:rtl/>
          <w:lang w:val="fr-CH"/>
        </w:rPr>
        <w:t>كالونزو ضد كندا</w:t>
      </w:r>
      <w:r>
        <w:rPr>
          <w:rFonts w:hint="cs"/>
          <w:spacing w:val="0"/>
          <w:kern w:val="0"/>
          <w:sz w:val="20"/>
          <w:szCs w:val="28"/>
          <w:rtl/>
          <w:lang w:val="fr-CH"/>
        </w:rPr>
        <w:tab/>
      </w:r>
      <w:r>
        <w:rPr>
          <w:rFonts w:hint="cs"/>
          <w:spacing w:val="0"/>
          <w:kern w:val="0"/>
          <w:sz w:val="20"/>
          <w:szCs w:val="28"/>
          <w:rtl/>
          <w:lang w:val="fr-CH"/>
        </w:rPr>
        <w:tab/>
        <w:t>431</w:t>
      </w:r>
    </w:p>
    <w:p w:rsidR="0011263F" w:rsidRDefault="0011263F" w:rsidP="00F250A4">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347/2008: </w:t>
      </w:r>
      <w:r>
        <w:rPr>
          <w:rFonts w:hint="cs"/>
          <w:i/>
          <w:iCs/>
          <w:spacing w:val="0"/>
          <w:kern w:val="0"/>
          <w:sz w:val="20"/>
          <w:szCs w:val="28"/>
          <w:rtl/>
          <w:lang w:val="fr-CH"/>
        </w:rPr>
        <w:t>ن. ب.-م. ضد سويسرا</w:t>
      </w:r>
      <w:r>
        <w:rPr>
          <w:rFonts w:hint="cs"/>
          <w:spacing w:val="0"/>
          <w:kern w:val="0"/>
          <w:sz w:val="20"/>
          <w:szCs w:val="28"/>
          <w:rtl/>
          <w:lang w:val="fr-CH"/>
        </w:rPr>
        <w:tab/>
      </w:r>
      <w:r w:rsidR="002A1584">
        <w:rPr>
          <w:rFonts w:hint="cs"/>
          <w:spacing w:val="0"/>
          <w:kern w:val="0"/>
          <w:sz w:val="20"/>
          <w:szCs w:val="28"/>
          <w:rtl/>
          <w:lang w:val="fr-CH"/>
        </w:rPr>
        <w:tab/>
      </w:r>
      <w:r w:rsidR="00F250A4">
        <w:rPr>
          <w:rFonts w:hint="cs"/>
          <w:spacing w:val="0"/>
          <w:kern w:val="0"/>
          <w:sz w:val="20"/>
          <w:szCs w:val="28"/>
          <w:rtl/>
          <w:lang w:val="fr-CH"/>
        </w:rPr>
        <w:t>448</w:t>
      </w:r>
    </w:p>
    <w:p w:rsidR="002A1584"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351/2008: </w:t>
      </w:r>
      <w:r>
        <w:rPr>
          <w:rFonts w:hint="cs"/>
          <w:i/>
          <w:iCs/>
          <w:spacing w:val="0"/>
          <w:kern w:val="0"/>
          <w:sz w:val="20"/>
          <w:szCs w:val="28"/>
          <w:rtl/>
          <w:lang w:val="fr-CH"/>
        </w:rPr>
        <w:t>إ. ل. ضد سويسرا</w:t>
      </w:r>
      <w:r>
        <w:rPr>
          <w:rFonts w:hint="cs"/>
          <w:spacing w:val="0"/>
          <w:kern w:val="0"/>
          <w:sz w:val="20"/>
          <w:szCs w:val="28"/>
          <w:rtl/>
          <w:lang w:val="fr-CH"/>
        </w:rPr>
        <w:tab/>
      </w:r>
      <w:r>
        <w:rPr>
          <w:rFonts w:hint="cs"/>
          <w:spacing w:val="0"/>
          <w:kern w:val="0"/>
          <w:sz w:val="20"/>
          <w:szCs w:val="28"/>
          <w:rtl/>
          <w:lang w:val="fr-CH"/>
        </w:rPr>
        <w:tab/>
        <w:t>463</w:t>
      </w:r>
    </w:p>
    <w:p w:rsidR="002A1584"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353/2008: </w:t>
      </w:r>
      <w:r>
        <w:rPr>
          <w:rFonts w:hint="cs"/>
          <w:i/>
          <w:iCs/>
          <w:spacing w:val="0"/>
          <w:kern w:val="0"/>
          <w:sz w:val="20"/>
          <w:szCs w:val="28"/>
          <w:rtl/>
          <w:lang w:val="fr-CH"/>
        </w:rPr>
        <w:t>سليوسار ضد أوكرانيا</w:t>
      </w:r>
      <w:r>
        <w:rPr>
          <w:rFonts w:hint="cs"/>
          <w:spacing w:val="0"/>
          <w:kern w:val="0"/>
          <w:sz w:val="20"/>
          <w:szCs w:val="28"/>
          <w:rtl/>
          <w:lang w:val="fr-CH"/>
        </w:rPr>
        <w:tab/>
      </w:r>
      <w:r>
        <w:rPr>
          <w:rFonts w:hint="cs"/>
          <w:spacing w:val="0"/>
          <w:kern w:val="0"/>
          <w:sz w:val="20"/>
          <w:szCs w:val="28"/>
          <w:rtl/>
          <w:lang w:val="fr-CH"/>
        </w:rPr>
        <w:tab/>
        <w:t>472</w:t>
      </w:r>
    </w:p>
    <w:p w:rsidR="002A1584"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364/2008: </w:t>
      </w:r>
      <w:r>
        <w:rPr>
          <w:rFonts w:hint="cs"/>
          <w:i/>
          <w:iCs/>
          <w:spacing w:val="0"/>
          <w:kern w:val="0"/>
          <w:sz w:val="20"/>
          <w:szCs w:val="28"/>
          <w:rtl/>
          <w:lang w:val="fr-CH"/>
        </w:rPr>
        <w:t>ج. ل. ل. ضد سويسرا</w:t>
      </w:r>
      <w:r>
        <w:rPr>
          <w:rFonts w:hint="cs"/>
          <w:spacing w:val="0"/>
          <w:kern w:val="0"/>
          <w:sz w:val="20"/>
          <w:szCs w:val="28"/>
          <w:rtl/>
          <w:lang w:val="fr-CH"/>
        </w:rPr>
        <w:tab/>
      </w:r>
      <w:r>
        <w:rPr>
          <w:rFonts w:hint="cs"/>
          <w:spacing w:val="0"/>
          <w:kern w:val="0"/>
          <w:sz w:val="20"/>
          <w:szCs w:val="28"/>
          <w:rtl/>
          <w:lang w:val="fr-CH"/>
        </w:rPr>
        <w:tab/>
        <w:t>479</w:t>
      </w:r>
    </w:p>
    <w:p w:rsidR="002A1584"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368/2008: </w:t>
      </w:r>
      <w:r>
        <w:rPr>
          <w:rFonts w:hint="cs"/>
          <w:i/>
          <w:iCs/>
          <w:spacing w:val="0"/>
          <w:kern w:val="0"/>
          <w:sz w:val="20"/>
          <w:szCs w:val="28"/>
          <w:rtl/>
          <w:lang w:val="fr-CH"/>
        </w:rPr>
        <w:t>سونكو ضد إسبانيا</w:t>
      </w:r>
      <w:r>
        <w:rPr>
          <w:rFonts w:hint="cs"/>
          <w:spacing w:val="0"/>
          <w:kern w:val="0"/>
          <w:sz w:val="20"/>
          <w:szCs w:val="28"/>
          <w:rtl/>
          <w:lang w:val="fr-CH"/>
        </w:rPr>
        <w:tab/>
      </w:r>
      <w:r>
        <w:rPr>
          <w:rFonts w:hint="cs"/>
          <w:spacing w:val="0"/>
          <w:kern w:val="0"/>
          <w:sz w:val="20"/>
          <w:szCs w:val="28"/>
          <w:rtl/>
          <w:lang w:val="fr-CH"/>
        </w:rPr>
        <w:tab/>
        <w:t>491</w:t>
      </w:r>
    </w:p>
    <w:p w:rsidR="002A1584"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370/2009: </w:t>
      </w:r>
      <w:r w:rsidRPr="002A1584">
        <w:rPr>
          <w:rFonts w:hint="cs"/>
          <w:i/>
          <w:iCs/>
          <w:spacing w:val="0"/>
          <w:kern w:val="0"/>
          <w:sz w:val="20"/>
          <w:szCs w:val="28"/>
          <w:rtl/>
          <w:lang w:val="fr-CH"/>
        </w:rPr>
        <w:t>إ. ل. ضد كندا</w:t>
      </w:r>
      <w:r>
        <w:rPr>
          <w:rFonts w:hint="cs"/>
          <w:spacing w:val="0"/>
          <w:kern w:val="0"/>
          <w:sz w:val="20"/>
          <w:szCs w:val="28"/>
          <w:rtl/>
          <w:lang w:val="fr-CH"/>
        </w:rPr>
        <w:tab/>
      </w:r>
      <w:r>
        <w:rPr>
          <w:rFonts w:hint="cs"/>
          <w:spacing w:val="0"/>
          <w:kern w:val="0"/>
          <w:sz w:val="20"/>
          <w:szCs w:val="28"/>
          <w:rtl/>
          <w:lang w:val="fr-CH"/>
        </w:rPr>
        <w:tab/>
        <w:t>506</w:t>
      </w:r>
    </w:p>
    <w:p w:rsidR="002A1584"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374/2009: </w:t>
      </w:r>
      <w:r>
        <w:rPr>
          <w:rFonts w:hint="cs"/>
          <w:i/>
          <w:iCs/>
          <w:spacing w:val="0"/>
          <w:kern w:val="0"/>
          <w:sz w:val="20"/>
          <w:szCs w:val="28"/>
          <w:rtl/>
          <w:lang w:val="fr-CH"/>
        </w:rPr>
        <w:t>س. م. وآخرون ضد السويد</w:t>
      </w:r>
      <w:r>
        <w:rPr>
          <w:rFonts w:hint="cs"/>
          <w:spacing w:val="0"/>
          <w:kern w:val="0"/>
          <w:sz w:val="20"/>
          <w:szCs w:val="28"/>
          <w:rtl/>
          <w:lang w:val="fr-CH"/>
        </w:rPr>
        <w:tab/>
      </w:r>
      <w:r>
        <w:rPr>
          <w:rFonts w:hint="cs"/>
          <w:spacing w:val="0"/>
          <w:kern w:val="0"/>
          <w:sz w:val="20"/>
          <w:szCs w:val="28"/>
          <w:rtl/>
          <w:lang w:val="fr-CH"/>
        </w:rPr>
        <w:tab/>
        <w:t>521</w:t>
      </w:r>
    </w:p>
    <w:p w:rsidR="002A1584" w:rsidRPr="00460C6A"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381/2009:</w:t>
      </w:r>
      <w:r w:rsidR="00460C6A">
        <w:rPr>
          <w:rFonts w:hint="cs"/>
          <w:spacing w:val="0"/>
          <w:kern w:val="0"/>
          <w:sz w:val="20"/>
          <w:szCs w:val="28"/>
          <w:rtl/>
          <w:lang w:val="fr-CH"/>
        </w:rPr>
        <w:t xml:space="preserve"> </w:t>
      </w:r>
      <w:r w:rsidR="00460C6A">
        <w:rPr>
          <w:rFonts w:hint="cs"/>
          <w:i/>
          <w:iCs/>
          <w:spacing w:val="0"/>
          <w:kern w:val="0"/>
          <w:sz w:val="20"/>
          <w:szCs w:val="28"/>
          <w:rtl/>
          <w:lang w:val="fr-CH"/>
        </w:rPr>
        <w:t>فرج الله ضد سويسرا</w:t>
      </w:r>
      <w:r w:rsidR="00460C6A">
        <w:rPr>
          <w:rFonts w:hint="cs"/>
          <w:spacing w:val="0"/>
          <w:kern w:val="0"/>
          <w:sz w:val="20"/>
          <w:szCs w:val="28"/>
          <w:rtl/>
          <w:lang w:val="fr-CH"/>
        </w:rPr>
        <w:tab/>
      </w:r>
      <w:r w:rsidR="00460C6A">
        <w:rPr>
          <w:rFonts w:hint="cs"/>
          <w:spacing w:val="0"/>
          <w:kern w:val="0"/>
          <w:sz w:val="20"/>
          <w:szCs w:val="28"/>
          <w:rtl/>
          <w:lang w:val="fr-CH"/>
        </w:rPr>
        <w:tab/>
        <w:t>537</w:t>
      </w:r>
    </w:p>
    <w:p w:rsidR="002A1584" w:rsidRPr="00460C6A"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382/2009:</w:t>
      </w:r>
      <w:r w:rsidR="00460C6A">
        <w:rPr>
          <w:rFonts w:hint="cs"/>
          <w:spacing w:val="0"/>
          <w:kern w:val="0"/>
          <w:sz w:val="20"/>
          <w:szCs w:val="28"/>
          <w:rtl/>
          <w:lang w:val="fr-CH"/>
        </w:rPr>
        <w:t xml:space="preserve"> </w:t>
      </w:r>
      <w:r w:rsidR="00460C6A">
        <w:rPr>
          <w:rFonts w:hint="cs"/>
          <w:i/>
          <w:iCs/>
          <w:spacing w:val="0"/>
          <w:kern w:val="0"/>
          <w:sz w:val="20"/>
          <w:szCs w:val="28"/>
          <w:rtl/>
          <w:lang w:val="fr-CH"/>
        </w:rPr>
        <w:t>م. د. ت. ضد سويسرا</w:t>
      </w:r>
      <w:r w:rsidR="00460C6A">
        <w:rPr>
          <w:rFonts w:hint="cs"/>
          <w:spacing w:val="0"/>
          <w:kern w:val="0"/>
          <w:sz w:val="20"/>
          <w:szCs w:val="28"/>
          <w:rtl/>
          <w:lang w:val="fr-CH"/>
        </w:rPr>
        <w:tab/>
      </w:r>
      <w:r w:rsidR="00460C6A">
        <w:rPr>
          <w:rFonts w:hint="cs"/>
          <w:spacing w:val="0"/>
          <w:kern w:val="0"/>
          <w:sz w:val="20"/>
          <w:szCs w:val="28"/>
          <w:rtl/>
          <w:lang w:val="fr-CH"/>
        </w:rPr>
        <w:tab/>
        <w:t>548</w:t>
      </w:r>
    </w:p>
    <w:p w:rsidR="002A1584" w:rsidRPr="00460C6A"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391/2009:</w:t>
      </w:r>
      <w:r w:rsidR="00460C6A">
        <w:rPr>
          <w:rFonts w:hint="cs"/>
          <w:spacing w:val="0"/>
          <w:kern w:val="0"/>
          <w:sz w:val="20"/>
          <w:szCs w:val="28"/>
          <w:rtl/>
          <w:lang w:val="fr-CH"/>
        </w:rPr>
        <w:t xml:space="preserve"> </w:t>
      </w:r>
      <w:r w:rsidR="00460C6A">
        <w:rPr>
          <w:rFonts w:hint="cs"/>
          <w:i/>
          <w:iCs/>
          <w:spacing w:val="0"/>
          <w:kern w:val="0"/>
          <w:sz w:val="20"/>
          <w:szCs w:val="28"/>
          <w:rtl/>
          <w:lang w:val="fr-CH"/>
        </w:rPr>
        <w:t>م. أ. م. ع. وآخرون ضد السويد</w:t>
      </w:r>
      <w:r w:rsidR="00460C6A">
        <w:rPr>
          <w:rFonts w:hint="cs"/>
          <w:spacing w:val="0"/>
          <w:kern w:val="0"/>
          <w:sz w:val="20"/>
          <w:szCs w:val="28"/>
          <w:rtl/>
          <w:lang w:val="fr-CH"/>
        </w:rPr>
        <w:tab/>
      </w:r>
      <w:r w:rsidR="00460C6A">
        <w:rPr>
          <w:rFonts w:hint="cs"/>
          <w:spacing w:val="0"/>
          <w:kern w:val="0"/>
          <w:sz w:val="20"/>
          <w:szCs w:val="28"/>
          <w:rtl/>
          <w:lang w:val="fr-CH"/>
        </w:rPr>
        <w:tab/>
        <w:t>557</w:t>
      </w:r>
    </w:p>
    <w:p w:rsidR="00460C6A" w:rsidRPr="00460C6A"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393/2009:</w:t>
      </w:r>
      <w:r w:rsidR="00460C6A">
        <w:rPr>
          <w:rFonts w:hint="cs"/>
          <w:spacing w:val="0"/>
          <w:kern w:val="0"/>
          <w:sz w:val="20"/>
          <w:szCs w:val="28"/>
          <w:rtl/>
          <w:lang w:val="fr-CH"/>
        </w:rPr>
        <w:t xml:space="preserve"> </w:t>
      </w:r>
      <w:r w:rsidR="00460C6A">
        <w:rPr>
          <w:rFonts w:hint="cs"/>
          <w:i/>
          <w:iCs/>
          <w:spacing w:val="0"/>
          <w:kern w:val="0"/>
          <w:sz w:val="20"/>
          <w:szCs w:val="28"/>
          <w:rtl/>
          <w:lang w:val="fr-CH"/>
        </w:rPr>
        <w:t>إ. ت. ضد سويسرا</w:t>
      </w:r>
      <w:r w:rsidR="00460C6A">
        <w:rPr>
          <w:rFonts w:hint="cs"/>
          <w:spacing w:val="0"/>
          <w:kern w:val="0"/>
          <w:sz w:val="20"/>
          <w:szCs w:val="28"/>
          <w:rtl/>
          <w:lang w:val="fr-CH"/>
        </w:rPr>
        <w:tab/>
      </w:r>
      <w:r w:rsidR="00460C6A">
        <w:rPr>
          <w:rFonts w:hint="cs"/>
          <w:spacing w:val="0"/>
          <w:kern w:val="0"/>
          <w:sz w:val="20"/>
          <w:szCs w:val="28"/>
          <w:rtl/>
          <w:lang w:val="fr-CH"/>
        </w:rPr>
        <w:tab/>
        <w:t>575</w:t>
      </w:r>
    </w:p>
    <w:p w:rsidR="002A1584" w:rsidRPr="00B679F6"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396/2009:</w:t>
      </w:r>
      <w:r w:rsidR="00B679F6">
        <w:rPr>
          <w:rFonts w:hint="cs"/>
          <w:spacing w:val="0"/>
          <w:kern w:val="0"/>
          <w:sz w:val="20"/>
          <w:szCs w:val="28"/>
          <w:rtl/>
          <w:lang w:val="fr-CH"/>
        </w:rPr>
        <w:t xml:space="preserve"> </w:t>
      </w:r>
      <w:r w:rsidR="00B679F6">
        <w:rPr>
          <w:rFonts w:hint="cs"/>
          <w:i/>
          <w:iCs/>
          <w:spacing w:val="0"/>
          <w:kern w:val="0"/>
          <w:sz w:val="20"/>
          <w:szCs w:val="28"/>
          <w:rtl/>
          <w:lang w:val="fr-CH"/>
        </w:rPr>
        <w:t>غبادجافي ضد سويسرا</w:t>
      </w:r>
      <w:r w:rsidR="00B679F6">
        <w:rPr>
          <w:rFonts w:hint="cs"/>
          <w:spacing w:val="0"/>
          <w:kern w:val="0"/>
          <w:sz w:val="20"/>
          <w:szCs w:val="28"/>
          <w:rtl/>
          <w:lang w:val="fr-CH"/>
        </w:rPr>
        <w:tab/>
      </w:r>
      <w:r w:rsidR="00B679F6">
        <w:rPr>
          <w:rFonts w:hint="cs"/>
          <w:spacing w:val="0"/>
          <w:kern w:val="0"/>
          <w:sz w:val="20"/>
          <w:szCs w:val="28"/>
          <w:rtl/>
          <w:lang w:val="fr-CH"/>
        </w:rPr>
        <w:tab/>
        <w:t>583</w:t>
      </w:r>
    </w:p>
    <w:p w:rsidR="002A1584" w:rsidRPr="00B679F6"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413/2010:</w:t>
      </w:r>
      <w:r w:rsidR="00B679F6">
        <w:rPr>
          <w:rFonts w:hint="cs"/>
          <w:spacing w:val="0"/>
          <w:kern w:val="0"/>
          <w:sz w:val="20"/>
          <w:szCs w:val="28"/>
          <w:rtl/>
          <w:lang w:val="fr-CH"/>
        </w:rPr>
        <w:t xml:space="preserve"> </w:t>
      </w:r>
      <w:r w:rsidR="00B679F6">
        <w:rPr>
          <w:rFonts w:hint="cs"/>
          <w:i/>
          <w:iCs/>
          <w:spacing w:val="0"/>
          <w:kern w:val="0"/>
          <w:sz w:val="20"/>
          <w:szCs w:val="28"/>
          <w:rtl/>
          <w:lang w:val="fr-CH"/>
        </w:rPr>
        <w:t xml:space="preserve">أ. </w:t>
      </w:r>
      <w:r w:rsidR="00F250A4">
        <w:rPr>
          <w:rFonts w:hint="cs"/>
          <w:i/>
          <w:iCs/>
          <w:spacing w:val="0"/>
          <w:kern w:val="0"/>
          <w:sz w:val="20"/>
          <w:szCs w:val="28"/>
          <w:rtl/>
          <w:lang w:val="fr-CH"/>
        </w:rPr>
        <w:t xml:space="preserve">أ. </w:t>
      </w:r>
      <w:r w:rsidR="00B679F6">
        <w:rPr>
          <w:rFonts w:hint="cs"/>
          <w:i/>
          <w:iCs/>
          <w:spacing w:val="0"/>
          <w:kern w:val="0"/>
          <w:sz w:val="20"/>
          <w:szCs w:val="28"/>
          <w:rtl/>
          <w:lang w:val="fr-CH"/>
        </w:rPr>
        <w:t>م. ضد السويد</w:t>
      </w:r>
      <w:r w:rsidR="00B679F6">
        <w:rPr>
          <w:rFonts w:hint="cs"/>
          <w:spacing w:val="0"/>
          <w:kern w:val="0"/>
          <w:sz w:val="20"/>
          <w:szCs w:val="28"/>
          <w:rtl/>
          <w:lang w:val="fr-CH"/>
        </w:rPr>
        <w:tab/>
      </w:r>
      <w:r w:rsidR="00B679F6">
        <w:rPr>
          <w:rFonts w:hint="cs"/>
          <w:spacing w:val="0"/>
          <w:kern w:val="0"/>
          <w:sz w:val="20"/>
          <w:szCs w:val="28"/>
          <w:rtl/>
          <w:lang w:val="fr-CH"/>
        </w:rPr>
        <w:tab/>
        <w:t>596</w:t>
      </w:r>
    </w:p>
    <w:p w:rsidR="002A1584" w:rsidRPr="00B679F6"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414/2010:</w:t>
      </w:r>
      <w:r w:rsidR="00B679F6">
        <w:rPr>
          <w:rFonts w:hint="cs"/>
          <w:spacing w:val="0"/>
          <w:kern w:val="0"/>
          <w:sz w:val="20"/>
          <w:szCs w:val="28"/>
          <w:rtl/>
          <w:lang w:val="fr-CH"/>
        </w:rPr>
        <w:t xml:space="preserve"> </w:t>
      </w:r>
      <w:r w:rsidR="00B679F6">
        <w:rPr>
          <w:rFonts w:hint="cs"/>
          <w:i/>
          <w:iCs/>
          <w:spacing w:val="0"/>
          <w:kern w:val="0"/>
          <w:sz w:val="20"/>
          <w:szCs w:val="28"/>
          <w:rtl/>
          <w:lang w:val="fr-CH"/>
        </w:rPr>
        <w:t>ن. ت. و. ضد سويسرا</w:t>
      </w:r>
      <w:r w:rsidR="00B679F6">
        <w:rPr>
          <w:rFonts w:hint="cs"/>
          <w:spacing w:val="0"/>
          <w:kern w:val="0"/>
          <w:sz w:val="20"/>
          <w:szCs w:val="28"/>
          <w:rtl/>
          <w:lang w:val="fr-CH"/>
        </w:rPr>
        <w:tab/>
      </w:r>
      <w:r w:rsidR="00B679F6">
        <w:rPr>
          <w:rFonts w:hint="cs"/>
          <w:spacing w:val="0"/>
          <w:kern w:val="0"/>
          <w:sz w:val="20"/>
          <w:szCs w:val="28"/>
          <w:rtl/>
          <w:lang w:val="fr-CH"/>
        </w:rPr>
        <w:tab/>
        <w:t>616</w:t>
      </w:r>
    </w:p>
    <w:p w:rsidR="002A1584" w:rsidRPr="00B679F6"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424/2010:</w:t>
      </w:r>
      <w:r w:rsidR="00B679F6">
        <w:rPr>
          <w:rFonts w:hint="cs"/>
          <w:spacing w:val="0"/>
          <w:kern w:val="0"/>
          <w:sz w:val="20"/>
          <w:szCs w:val="28"/>
          <w:rtl/>
          <w:lang w:val="fr-CH"/>
        </w:rPr>
        <w:t xml:space="preserve"> </w:t>
      </w:r>
      <w:r w:rsidR="00B679F6">
        <w:rPr>
          <w:rFonts w:hint="cs"/>
          <w:i/>
          <w:iCs/>
          <w:spacing w:val="0"/>
          <w:kern w:val="0"/>
          <w:sz w:val="20"/>
          <w:szCs w:val="28"/>
          <w:rtl/>
          <w:lang w:val="fr-CH"/>
        </w:rPr>
        <w:t>م. ز. أ. ضد السويد</w:t>
      </w:r>
      <w:r w:rsidR="00B679F6">
        <w:rPr>
          <w:rFonts w:hint="cs"/>
          <w:spacing w:val="0"/>
          <w:kern w:val="0"/>
          <w:sz w:val="20"/>
          <w:szCs w:val="28"/>
          <w:rtl/>
          <w:lang w:val="fr-CH"/>
        </w:rPr>
        <w:tab/>
      </w:r>
      <w:r w:rsidR="00B679F6">
        <w:rPr>
          <w:rFonts w:hint="cs"/>
          <w:spacing w:val="0"/>
          <w:kern w:val="0"/>
          <w:sz w:val="20"/>
          <w:szCs w:val="28"/>
          <w:rtl/>
          <w:lang w:val="fr-CH"/>
        </w:rPr>
        <w:tab/>
        <w:t>626</w:t>
      </w:r>
    </w:p>
    <w:p w:rsidR="002A1584" w:rsidRPr="00B679F6"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428/2010:</w:t>
      </w:r>
      <w:r w:rsidR="00B679F6">
        <w:rPr>
          <w:rFonts w:hint="cs"/>
          <w:spacing w:val="0"/>
          <w:kern w:val="0"/>
          <w:sz w:val="20"/>
          <w:szCs w:val="28"/>
          <w:rtl/>
          <w:lang w:val="fr-CH"/>
        </w:rPr>
        <w:t xml:space="preserve"> </w:t>
      </w:r>
      <w:r w:rsidR="00B679F6">
        <w:rPr>
          <w:rFonts w:hint="cs"/>
          <w:i/>
          <w:iCs/>
          <w:spacing w:val="0"/>
          <w:kern w:val="0"/>
          <w:sz w:val="20"/>
          <w:szCs w:val="28"/>
          <w:rtl/>
          <w:lang w:val="fr-CH"/>
        </w:rPr>
        <w:t>كالينيتشنكو ضد المغرب</w:t>
      </w:r>
      <w:r w:rsidR="00B679F6">
        <w:rPr>
          <w:rFonts w:hint="cs"/>
          <w:spacing w:val="0"/>
          <w:kern w:val="0"/>
          <w:sz w:val="20"/>
          <w:szCs w:val="28"/>
          <w:rtl/>
          <w:lang w:val="fr-CH"/>
        </w:rPr>
        <w:tab/>
      </w:r>
      <w:r w:rsidR="00B679F6">
        <w:rPr>
          <w:rFonts w:hint="cs"/>
          <w:spacing w:val="0"/>
          <w:kern w:val="0"/>
          <w:sz w:val="20"/>
          <w:szCs w:val="28"/>
          <w:rtl/>
          <w:lang w:val="fr-CH"/>
        </w:rPr>
        <w:tab/>
        <w:t>635</w:t>
      </w:r>
    </w:p>
    <w:p w:rsidR="002A1584" w:rsidRPr="00AB558F"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433/2010:</w:t>
      </w:r>
      <w:r w:rsidR="00B679F6">
        <w:rPr>
          <w:rFonts w:hint="cs"/>
          <w:spacing w:val="0"/>
          <w:kern w:val="0"/>
          <w:sz w:val="20"/>
          <w:szCs w:val="28"/>
          <w:rtl/>
          <w:lang w:val="fr-CH"/>
        </w:rPr>
        <w:t xml:space="preserve"> </w:t>
      </w:r>
      <w:r w:rsidR="00AB558F">
        <w:rPr>
          <w:rFonts w:hint="cs"/>
          <w:i/>
          <w:iCs/>
          <w:spacing w:val="0"/>
          <w:kern w:val="0"/>
          <w:sz w:val="20"/>
          <w:szCs w:val="28"/>
          <w:rtl/>
          <w:lang w:val="fr-CH"/>
        </w:rPr>
        <w:t>غيراسيموف ضد كازاخستان</w:t>
      </w:r>
      <w:r w:rsidR="00AB558F">
        <w:rPr>
          <w:rFonts w:hint="cs"/>
          <w:spacing w:val="0"/>
          <w:kern w:val="0"/>
          <w:sz w:val="20"/>
          <w:szCs w:val="28"/>
          <w:rtl/>
          <w:lang w:val="fr-CH"/>
        </w:rPr>
        <w:tab/>
      </w:r>
      <w:r w:rsidR="00AB558F">
        <w:rPr>
          <w:rFonts w:hint="cs"/>
          <w:spacing w:val="0"/>
          <w:kern w:val="0"/>
          <w:sz w:val="20"/>
          <w:szCs w:val="28"/>
          <w:rtl/>
          <w:lang w:val="fr-CH"/>
        </w:rPr>
        <w:tab/>
        <w:t>652</w:t>
      </w:r>
    </w:p>
    <w:p w:rsidR="002A1584" w:rsidRPr="00AB558F"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البلاغ رقم 444/2010:</w:t>
      </w:r>
      <w:r w:rsidR="00AB558F">
        <w:rPr>
          <w:rFonts w:hint="cs"/>
          <w:spacing w:val="0"/>
          <w:kern w:val="0"/>
          <w:sz w:val="20"/>
          <w:szCs w:val="28"/>
          <w:rtl/>
          <w:lang w:val="fr-CH"/>
        </w:rPr>
        <w:t xml:space="preserve"> </w:t>
      </w:r>
      <w:r w:rsidR="00AB558F">
        <w:rPr>
          <w:rFonts w:hint="cs"/>
          <w:i/>
          <w:iCs/>
          <w:spacing w:val="0"/>
          <w:kern w:val="0"/>
          <w:sz w:val="20"/>
          <w:szCs w:val="28"/>
          <w:rtl/>
          <w:lang w:val="fr-CH"/>
        </w:rPr>
        <w:t>عبد الصمتوف وآخرون ضد كازاخستان</w:t>
      </w:r>
      <w:r w:rsidR="00AB558F">
        <w:rPr>
          <w:rFonts w:hint="cs"/>
          <w:spacing w:val="0"/>
          <w:kern w:val="0"/>
          <w:sz w:val="20"/>
          <w:szCs w:val="28"/>
          <w:rtl/>
          <w:lang w:val="fr-CH"/>
        </w:rPr>
        <w:tab/>
      </w:r>
      <w:r w:rsidR="00AB558F">
        <w:rPr>
          <w:rFonts w:hint="cs"/>
          <w:spacing w:val="0"/>
          <w:kern w:val="0"/>
          <w:sz w:val="20"/>
          <w:szCs w:val="28"/>
          <w:rtl/>
          <w:lang w:val="fr-CH"/>
        </w:rPr>
        <w:tab/>
        <w:t>675</w:t>
      </w:r>
    </w:p>
    <w:p w:rsidR="002A1584" w:rsidRPr="00AB558F" w:rsidRDefault="002A1584" w:rsidP="001F1B2D">
      <w:pPr>
        <w:tabs>
          <w:tab w:val="left" w:leader="dot" w:pos="8700"/>
          <w:tab w:val="right" w:pos="9638"/>
        </w:tabs>
        <w:spacing w:after="60" w:line="360" w:lineRule="exact"/>
        <w:ind w:left="2245" w:right="953"/>
        <w:jc w:val="lowKashida"/>
        <w:rPr>
          <w:rFonts w:hint="cs"/>
          <w:spacing w:val="0"/>
          <w:kern w:val="0"/>
          <w:sz w:val="20"/>
          <w:szCs w:val="28"/>
          <w:rtl/>
          <w:lang w:val="fr-CH"/>
        </w:rPr>
      </w:pPr>
      <w:r>
        <w:rPr>
          <w:rFonts w:hint="cs"/>
          <w:spacing w:val="0"/>
          <w:kern w:val="0"/>
          <w:sz w:val="20"/>
          <w:szCs w:val="28"/>
          <w:rtl/>
          <w:lang w:val="fr-CH"/>
        </w:rPr>
        <w:t xml:space="preserve">البلاغ رقم </w:t>
      </w:r>
      <w:r w:rsidR="00460C6A">
        <w:rPr>
          <w:rFonts w:hint="cs"/>
          <w:spacing w:val="0"/>
          <w:kern w:val="0"/>
          <w:sz w:val="20"/>
          <w:szCs w:val="28"/>
          <w:rtl/>
          <w:lang w:val="fr-CH"/>
        </w:rPr>
        <w:t>453/2011:</w:t>
      </w:r>
      <w:r w:rsidR="00AB558F">
        <w:rPr>
          <w:rFonts w:hint="cs"/>
          <w:spacing w:val="0"/>
          <w:kern w:val="0"/>
          <w:sz w:val="20"/>
          <w:szCs w:val="28"/>
          <w:rtl/>
          <w:lang w:val="fr-CH"/>
        </w:rPr>
        <w:t xml:space="preserve"> </w:t>
      </w:r>
      <w:r w:rsidR="00AB558F">
        <w:rPr>
          <w:rFonts w:hint="cs"/>
          <w:i/>
          <w:iCs/>
          <w:spacing w:val="0"/>
          <w:kern w:val="0"/>
          <w:sz w:val="20"/>
          <w:szCs w:val="28"/>
          <w:rtl/>
          <w:lang w:val="fr-CH"/>
        </w:rPr>
        <w:t>غالاستيغي صوديوب ضد إسبانيا</w:t>
      </w:r>
      <w:r w:rsidR="00AB558F">
        <w:rPr>
          <w:rFonts w:hint="cs"/>
          <w:spacing w:val="0"/>
          <w:kern w:val="0"/>
          <w:sz w:val="20"/>
          <w:szCs w:val="28"/>
          <w:rtl/>
          <w:lang w:val="fr-CH"/>
        </w:rPr>
        <w:tab/>
      </w:r>
      <w:r w:rsidR="00AB558F">
        <w:rPr>
          <w:rFonts w:hint="cs"/>
          <w:spacing w:val="0"/>
          <w:kern w:val="0"/>
          <w:sz w:val="20"/>
          <w:szCs w:val="28"/>
          <w:rtl/>
          <w:lang w:val="fr-CH"/>
        </w:rPr>
        <w:tab/>
        <w:t>701</w:t>
      </w:r>
    </w:p>
    <w:p w:rsidR="0011263F" w:rsidRDefault="0011263F" w:rsidP="001F1B2D">
      <w:pPr>
        <w:tabs>
          <w:tab w:val="right" w:pos="1021"/>
          <w:tab w:val="left" w:pos="1077"/>
          <w:tab w:val="left" w:pos="1525"/>
          <w:tab w:val="left" w:pos="1869"/>
          <w:tab w:val="left" w:pos="2261"/>
          <w:tab w:val="left" w:leader="dot" w:pos="8686"/>
          <w:tab w:val="right" w:pos="9638"/>
        </w:tabs>
        <w:spacing w:line="360" w:lineRule="exact"/>
        <w:ind w:left="1531" w:right="953" w:hanging="1531"/>
        <w:jc w:val="lowKashida"/>
        <w:rPr>
          <w:rFonts w:hint="cs"/>
          <w:spacing w:val="0"/>
          <w:kern w:val="0"/>
          <w:sz w:val="20"/>
          <w:szCs w:val="28"/>
          <w:rtl/>
          <w:lang w:val="fr-CH"/>
        </w:rPr>
      </w:pP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r>
      <w:r w:rsidR="00460C6A">
        <w:rPr>
          <w:rFonts w:hint="cs"/>
          <w:spacing w:val="0"/>
          <w:kern w:val="0"/>
          <w:sz w:val="20"/>
          <w:szCs w:val="28"/>
          <w:rtl/>
          <w:lang w:val="fr-CH"/>
        </w:rPr>
        <w:t>باء</w:t>
      </w:r>
      <w:r w:rsidR="00460C6A">
        <w:rPr>
          <w:rFonts w:hint="cs"/>
          <w:spacing w:val="0"/>
          <w:kern w:val="0"/>
          <w:sz w:val="20"/>
          <w:szCs w:val="28"/>
          <w:rtl/>
          <w:lang w:val="fr-CH"/>
        </w:rPr>
        <w:tab/>
        <w:t>-</w:t>
      </w:r>
      <w:r w:rsidR="00460C6A">
        <w:rPr>
          <w:rFonts w:hint="cs"/>
          <w:spacing w:val="0"/>
          <w:kern w:val="0"/>
          <w:sz w:val="20"/>
          <w:szCs w:val="28"/>
          <w:rtl/>
          <w:lang w:val="fr-CH"/>
        </w:rPr>
        <w:tab/>
      </w:r>
      <w:r w:rsidR="00AB558F">
        <w:rPr>
          <w:rFonts w:hint="cs"/>
          <w:spacing w:val="0"/>
          <w:kern w:val="0"/>
          <w:sz w:val="20"/>
          <w:szCs w:val="28"/>
          <w:rtl/>
          <w:lang w:val="fr-CH"/>
        </w:rPr>
        <w:t>قرار بشأن المقبولية</w:t>
      </w:r>
      <w:r w:rsidR="00AB558F">
        <w:rPr>
          <w:rFonts w:hint="cs"/>
          <w:spacing w:val="0"/>
          <w:kern w:val="0"/>
          <w:sz w:val="20"/>
          <w:szCs w:val="28"/>
          <w:rtl/>
          <w:lang w:val="fr-CH"/>
        </w:rPr>
        <w:tab/>
      </w:r>
      <w:r w:rsidR="00AB558F">
        <w:rPr>
          <w:rFonts w:hint="cs"/>
          <w:spacing w:val="0"/>
          <w:kern w:val="0"/>
          <w:sz w:val="20"/>
          <w:szCs w:val="28"/>
          <w:rtl/>
          <w:lang w:val="fr-CH"/>
        </w:rPr>
        <w:tab/>
        <w:t>716</w:t>
      </w:r>
    </w:p>
    <w:p w:rsidR="00460C6A" w:rsidRPr="00AB558F" w:rsidRDefault="00460C6A" w:rsidP="001F1B2D">
      <w:pPr>
        <w:tabs>
          <w:tab w:val="right" w:pos="1021"/>
          <w:tab w:val="left" w:pos="1077"/>
          <w:tab w:val="left" w:pos="1525"/>
          <w:tab w:val="left" w:pos="1869"/>
          <w:tab w:val="left" w:pos="2261"/>
          <w:tab w:val="left" w:leader="dot" w:pos="8686"/>
          <w:tab w:val="right" w:pos="9638"/>
        </w:tabs>
        <w:spacing w:line="360" w:lineRule="exact"/>
        <w:ind w:left="1531" w:right="953" w:hanging="1531"/>
        <w:jc w:val="lowKashida"/>
        <w:rPr>
          <w:rFonts w:hint="cs"/>
          <w:spacing w:val="0"/>
          <w:kern w:val="0"/>
          <w:sz w:val="20"/>
          <w:szCs w:val="28"/>
          <w:rtl/>
          <w:lang w:val="fr-CH"/>
        </w:rPr>
      </w:pP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r>
      <w:r>
        <w:rPr>
          <w:rFonts w:hint="cs"/>
          <w:spacing w:val="0"/>
          <w:kern w:val="0"/>
          <w:sz w:val="20"/>
          <w:szCs w:val="28"/>
          <w:rtl/>
          <w:lang w:val="fr-CH"/>
        </w:rPr>
        <w:tab/>
      </w:r>
      <w:r w:rsidR="00AB558F">
        <w:rPr>
          <w:rFonts w:hint="cs"/>
          <w:spacing w:val="0"/>
          <w:kern w:val="0"/>
          <w:sz w:val="20"/>
          <w:szCs w:val="28"/>
          <w:rtl/>
          <w:lang w:val="fr-CH"/>
        </w:rPr>
        <w:t xml:space="preserve">البلاغ رقم 365/2008: </w:t>
      </w:r>
      <w:r w:rsidR="00AB558F">
        <w:rPr>
          <w:rFonts w:hint="cs"/>
          <w:i/>
          <w:iCs/>
          <w:spacing w:val="0"/>
          <w:kern w:val="0"/>
          <w:sz w:val="20"/>
          <w:szCs w:val="28"/>
          <w:rtl/>
          <w:lang w:val="fr-CH"/>
        </w:rPr>
        <w:t>س. ك. ور. ك. ضد السويد</w:t>
      </w:r>
      <w:r w:rsidR="00AB558F">
        <w:rPr>
          <w:rFonts w:hint="cs"/>
          <w:spacing w:val="0"/>
          <w:kern w:val="0"/>
          <w:sz w:val="20"/>
          <w:szCs w:val="28"/>
          <w:rtl/>
          <w:lang w:val="fr-CH"/>
        </w:rPr>
        <w:tab/>
      </w:r>
      <w:r w:rsidR="00AB558F">
        <w:rPr>
          <w:rFonts w:hint="cs"/>
          <w:spacing w:val="0"/>
          <w:kern w:val="0"/>
          <w:sz w:val="20"/>
          <w:szCs w:val="28"/>
          <w:rtl/>
          <w:lang w:val="fr-CH"/>
        </w:rPr>
        <w:tab/>
        <w:t>716</w:t>
      </w:r>
    </w:p>
    <w:p w:rsidR="009C5C40" w:rsidRDefault="009C5C40" w:rsidP="00462F3B">
      <w:pPr>
        <w:tabs>
          <w:tab w:val="right" w:pos="1021"/>
          <w:tab w:val="left" w:pos="1077"/>
          <w:tab w:val="left" w:pos="1525"/>
          <w:tab w:val="left" w:pos="1869"/>
          <w:tab w:val="left" w:pos="2261"/>
          <w:tab w:val="left" w:leader="dot" w:pos="8508"/>
          <w:tab w:val="right" w:pos="9638"/>
        </w:tabs>
        <w:spacing w:after="120" w:line="360" w:lineRule="exact"/>
        <w:ind w:left="1519" w:right="1077" w:hanging="1080"/>
        <w:jc w:val="lowKashida"/>
        <w:rPr>
          <w:rFonts w:hint="cs"/>
          <w:spacing w:val="0"/>
          <w:sz w:val="20"/>
          <w:szCs w:val="28"/>
          <w:rtl/>
          <w:lang w:val="fr-CH"/>
        </w:rPr>
      </w:pPr>
    </w:p>
    <w:p w:rsidR="009C5C40" w:rsidRDefault="009C5C40" w:rsidP="00462F3B">
      <w:pPr>
        <w:tabs>
          <w:tab w:val="right" w:pos="1021"/>
          <w:tab w:val="left" w:pos="1077"/>
          <w:tab w:val="left" w:pos="1525"/>
          <w:tab w:val="left" w:pos="1869"/>
          <w:tab w:val="left" w:pos="2261"/>
          <w:tab w:val="left" w:leader="dot" w:pos="8508"/>
          <w:tab w:val="right" w:pos="9638"/>
        </w:tabs>
        <w:spacing w:after="120" w:line="360" w:lineRule="exact"/>
        <w:ind w:left="1519" w:right="1077" w:hanging="1080"/>
        <w:jc w:val="lowKashida"/>
        <w:rPr>
          <w:spacing w:val="0"/>
          <w:sz w:val="20"/>
          <w:szCs w:val="28"/>
          <w:rtl/>
          <w:lang w:val="fr-CH"/>
        </w:rPr>
        <w:sectPr w:rsidR="009C5C40" w:rsidSect="00CA7A57">
          <w:headerReference w:type="first" r:id="rId21"/>
          <w:footerReference w:type="first" r:id="rId22"/>
          <w:endnotePr>
            <w:numFmt w:val="decimal"/>
          </w:endnotePr>
          <w:pgSz w:w="11906" w:h="16838" w:code="9"/>
          <w:pgMar w:top="1701" w:right="1134" w:bottom="2268" w:left="1134" w:header="1134" w:footer="1701" w:gutter="0"/>
          <w:pgNumType w:fmt="lowerRoman"/>
          <w:cols w:space="708"/>
          <w:titlePg/>
          <w:bidi/>
          <w:docGrid w:linePitch="360"/>
        </w:sectPr>
      </w:pPr>
    </w:p>
    <w:p w:rsidR="004E0A37" w:rsidRPr="004E0A37" w:rsidRDefault="004E0A37" w:rsidP="00F96B1E">
      <w:pPr>
        <w:pStyle w:val="HChGA"/>
        <w:spacing w:before="120"/>
        <w:rPr>
          <w:rFonts w:hint="cs"/>
          <w:rtl/>
        </w:rPr>
      </w:pPr>
      <w:r w:rsidRPr="004E0A37">
        <w:rPr>
          <w:rFonts w:hint="cs"/>
          <w:rtl/>
        </w:rPr>
        <w:tab/>
        <w:t>أولاً-</w:t>
      </w:r>
      <w:r w:rsidRPr="004E0A37">
        <w:rPr>
          <w:rFonts w:hint="cs"/>
          <w:rtl/>
        </w:rPr>
        <w:tab/>
      </w:r>
      <w:r w:rsidRPr="004E0A37">
        <w:rPr>
          <w:rtl/>
        </w:rPr>
        <w:t>المسائل التنظيمية ومسائل أخرى</w:t>
      </w:r>
    </w:p>
    <w:p w:rsidR="004E0A37" w:rsidRPr="004E0A37" w:rsidRDefault="004E0A37" w:rsidP="00F96B1E">
      <w:pPr>
        <w:pStyle w:val="H1GA"/>
        <w:rPr>
          <w:rFonts w:hint="cs"/>
          <w:rtl/>
        </w:rPr>
      </w:pPr>
      <w:r w:rsidRPr="004E0A37">
        <w:rPr>
          <w:rFonts w:hint="cs"/>
          <w:rtl/>
        </w:rPr>
        <w:tab/>
      </w:r>
      <w:r w:rsidRPr="004E0A37">
        <w:rPr>
          <w:rtl/>
        </w:rPr>
        <w:t>ألف-</w:t>
      </w:r>
      <w:r w:rsidRPr="004E0A37">
        <w:rPr>
          <w:rFonts w:hint="cs"/>
          <w:rtl/>
        </w:rPr>
        <w:tab/>
      </w:r>
      <w:r w:rsidRPr="004E0A37">
        <w:rPr>
          <w:rtl/>
        </w:rPr>
        <w:t xml:space="preserve">الدول الأطراف في </w:t>
      </w:r>
      <w:r w:rsidRPr="004E0A37">
        <w:rPr>
          <w:rFonts w:hint="cs"/>
          <w:rtl/>
        </w:rPr>
        <w:t>الا</w:t>
      </w:r>
      <w:r w:rsidRPr="004E0A37">
        <w:rPr>
          <w:rtl/>
        </w:rPr>
        <w:t>تفاقية</w:t>
      </w:r>
    </w:p>
    <w:p w:rsidR="004E0A37" w:rsidRPr="00F96B1E" w:rsidRDefault="004E0A37" w:rsidP="006C3172">
      <w:pPr>
        <w:pStyle w:val="SingleTxtGA"/>
        <w:jc w:val="lowKashida"/>
        <w:rPr>
          <w:rFonts w:hint="cs"/>
          <w:spacing w:val="-3"/>
          <w:kern w:val="0"/>
          <w:sz w:val="20"/>
          <w:rtl/>
        </w:rPr>
      </w:pPr>
      <w:r w:rsidRPr="00F96B1E">
        <w:rPr>
          <w:spacing w:val="-3"/>
          <w:sz w:val="20"/>
          <w:rtl/>
        </w:rPr>
        <w:t>1</w:t>
      </w:r>
      <w:r w:rsidRPr="00F96B1E">
        <w:rPr>
          <w:rFonts w:hint="cs"/>
          <w:spacing w:val="-3"/>
          <w:sz w:val="20"/>
          <w:rtl/>
        </w:rPr>
        <w:t>-</w:t>
      </w:r>
      <w:r w:rsidRPr="00F96B1E">
        <w:rPr>
          <w:spacing w:val="-3"/>
          <w:sz w:val="20"/>
          <w:rtl/>
        </w:rPr>
        <w:tab/>
        <w:t>حتى</w:t>
      </w:r>
      <w:r w:rsidRPr="00F96B1E">
        <w:rPr>
          <w:rFonts w:hint="cs"/>
          <w:spacing w:val="-3"/>
          <w:sz w:val="20"/>
          <w:rtl/>
        </w:rPr>
        <w:t xml:space="preserve"> 1 حزيران/يونيه 201</w:t>
      </w:r>
      <w:r w:rsidR="006C3172">
        <w:rPr>
          <w:rFonts w:hint="cs"/>
          <w:spacing w:val="-3"/>
          <w:sz w:val="20"/>
          <w:rtl/>
        </w:rPr>
        <w:t>2</w:t>
      </w:r>
      <w:r w:rsidRPr="00F96B1E">
        <w:rPr>
          <w:spacing w:val="-3"/>
          <w:sz w:val="20"/>
          <w:rtl/>
        </w:rPr>
        <w:t xml:space="preserve">، تاريخ اختتام الدورة </w:t>
      </w:r>
      <w:r w:rsidRPr="00F96B1E">
        <w:rPr>
          <w:rFonts w:hint="cs"/>
          <w:spacing w:val="-3"/>
          <w:sz w:val="20"/>
          <w:rtl/>
        </w:rPr>
        <w:t xml:space="preserve">الثامنة والأربعين </w:t>
      </w:r>
      <w:r w:rsidRPr="00F96B1E">
        <w:rPr>
          <w:spacing w:val="-3"/>
          <w:sz w:val="20"/>
          <w:rtl/>
        </w:rPr>
        <w:t>للجنة مناهضة</w:t>
      </w:r>
      <w:r w:rsidR="00780A5B">
        <w:rPr>
          <w:rFonts w:hint="cs"/>
          <w:spacing w:val="-3"/>
          <w:sz w:val="20"/>
          <w:rtl/>
        </w:rPr>
        <w:t> </w:t>
      </w:r>
      <w:r w:rsidRPr="00F96B1E">
        <w:rPr>
          <w:spacing w:val="-3"/>
          <w:sz w:val="20"/>
          <w:rtl/>
        </w:rPr>
        <w:t>التعذيب</w:t>
      </w:r>
      <w:r w:rsidRPr="00F96B1E">
        <w:rPr>
          <w:rFonts w:hint="cs"/>
          <w:spacing w:val="-3"/>
          <w:sz w:val="20"/>
          <w:rtl/>
        </w:rPr>
        <w:t xml:space="preserve"> (المشار إليها </w:t>
      </w:r>
      <w:r w:rsidR="00F96B1E" w:rsidRPr="00F96B1E">
        <w:rPr>
          <w:rFonts w:hint="cs"/>
          <w:spacing w:val="-3"/>
          <w:sz w:val="20"/>
          <w:rtl/>
        </w:rPr>
        <w:t>فيما </w:t>
      </w:r>
      <w:r w:rsidRPr="00F96B1E">
        <w:rPr>
          <w:rFonts w:hint="cs"/>
          <w:spacing w:val="-3"/>
          <w:sz w:val="20"/>
          <w:rtl/>
        </w:rPr>
        <w:t>يلي ﺑ "اللجنة")</w:t>
      </w:r>
      <w:r w:rsidRPr="00F96B1E">
        <w:rPr>
          <w:spacing w:val="-3"/>
          <w:sz w:val="20"/>
          <w:rtl/>
        </w:rPr>
        <w:t>،</w:t>
      </w:r>
      <w:r w:rsidRPr="00F96B1E">
        <w:rPr>
          <w:rFonts w:hint="cs"/>
          <w:spacing w:val="-3"/>
          <w:sz w:val="20"/>
          <w:rtl/>
        </w:rPr>
        <w:t xml:space="preserve"> بلغ عدد الدول الأطراف</w:t>
      </w:r>
      <w:r w:rsidRPr="00F96B1E">
        <w:rPr>
          <w:spacing w:val="-3"/>
          <w:sz w:val="20"/>
          <w:rtl/>
        </w:rPr>
        <w:t xml:space="preserve"> في اتفاقية مناهضة التعذيب</w:t>
      </w:r>
      <w:r w:rsidR="000C5CFE">
        <w:rPr>
          <w:rFonts w:hint="cs"/>
          <w:spacing w:val="-3"/>
          <w:sz w:val="20"/>
          <w:rtl/>
        </w:rPr>
        <w:t> </w:t>
      </w:r>
      <w:r w:rsidRPr="00F96B1E">
        <w:rPr>
          <w:spacing w:val="-3"/>
          <w:sz w:val="20"/>
          <w:rtl/>
        </w:rPr>
        <w:t>وغيره من ضروب المعاملة أو العقوبة القاسية أو اللاإنسانية أو المهينة</w:t>
      </w:r>
      <w:r w:rsidRPr="00F96B1E">
        <w:rPr>
          <w:rFonts w:hint="cs"/>
          <w:spacing w:val="-3"/>
          <w:sz w:val="20"/>
          <w:rtl/>
        </w:rPr>
        <w:t xml:space="preserve"> (المشار إليها </w:t>
      </w:r>
      <w:r w:rsidR="00F96B1E" w:rsidRPr="00F96B1E">
        <w:rPr>
          <w:rFonts w:hint="cs"/>
          <w:spacing w:val="-3"/>
          <w:sz w:val="20"/>
          <w:rtl/>
        </w:rPr>
        <w:t>فيما </w:t>
      </w:r>
      <w:r w:rsidRPr="00F96B1E">
        <w:rPr>
          <w:rFonts w:hint="cs"/>
          <w:spacing w:val="-3"/>
          <w:sz w:val="20"/>
          <w:rtl/>
        </w:rPr>
        <w:t>يلي ﺑ</w:t>
      </w:r>
      <w:r w:rsidR="00F96B1E">
        <w:rPr>
          <w:rFonts w:hint="eastAsia"/>
          <w:spacing w:val="-3"/>
          <w:sz w:val="20"/>
          <w:rtl/>
        </w:rPr>
        <w:t> </w:t>
      </w:r>
      <w:r w:rsidRPr="00F96B1E">
        <w:rPr>
          <w:rFonts w:hint="cs"/>
          <w:spacing w:val="-3"/>
          <w:sz w:val="20"/>
          <w:rtl/>
        </w:rPr>
        <w:t>"الاتفاقية")</w:t>
      </w:r>
      <w:r w:rsidRPr="00F96B1E">
        <w:rPr>
          <w:spacing w:val="-3"/>
          <w:sz w:val="20"/>
          <w:rtl/>
        </w:rPr>
        <w:t xml:space="preserve"> </w:t>
      </w:r>
      <w:r w:rsidRPr="00F96B1E">
        <w:rPr>
          <w:rFonts w:hint="cs"/>
          <w:spacing w:val="-3"/>
          <w:sz w:val="20"/>
          <w:rtl/>
        </w:rPr>
        <w:t>150 دولة. وكانت الجمعية العامة قد</w:t>
      </w:r>
      <w:r w:rsidRPr="00F96B1E">
        <w:rPr>
          <w:rFonts w:hint="cs"/>
          <w:spacing w:val="-3"/>
          <w:kern w:val="0"/>
          <w:sz w:val="20"/>
          <w:rtl/>
        </w:rPr>
        <w:t xml:space="preserve"> اعتمدت الاتفاقية </w:t>
      </w:r>
      <w:r w:rsidRPr="00F96B1E">
        <w:rPr>
          <w:spacing w:val="-3"/>
          <w:kern w:val="0"/>
          <w:sz w:val="20"/>
          <w:rtl/>
        </w:rPr>
        <w:t>في قرارها</w:t>
      </w:r>
      <w:r w:rsidR="00780A5B">
        <w:rPr>
          <w:rFonts w:hint="cs"/>
          <w:spacing w:val="-3"/>
          <w:kern w:val="0"/>
          <w:sz w:val="20"/>
          <w:rtl/>
        </w:rPr>
        <w:t> </w:t>
      </w:r>
      <w:r w:rsidRPr="00F96B1E">
        <w:rPr>
          <w:spacing w:val="-3"/>
          <w:kern w:val="0"/>
          <w:sz w:val="20"/>
          <w:rtl/>
        </w:rPr>
        <w:t>39/46</w:t>
      </w:r>
      <w:r w:rsidRPr="00F96B1E">
        <w:rPr>
          <w:rFonts w:hint="cs"/>
          <w:spacing w:val="-3"/>
          <w:kern w:val="0"/>
          <w:sz w:val="20"/>
          <w:rtl/>
        </w:rPr>
        <w:t xml:space="preserve"> </w:t>
      </w:r>
      <w:r w:rsidRPr="00F96B1E">
        <w:rPr>
          <w:spacing w:val="-3"/>
          <w:kern w:val="0"/>
          <w:sz w:val="20"/>
          <w:rtl/>
        </w:rPr>
        <w:t xml:space="preserve">المؤرخ 10 كانون الأول/ديسمبر </w:t>
      </w:r>
      <w:r w:rsidRPr="00F96B1E">
        <w:rPr>
          <w:rFonts w:hint="cs"/>
          <w:spacing w:val="-3"/>
          <w:kern w:val="0"/>
          <w:sz w:val="20"/>
          <w:rtl/>
        </w:rPr>
        <w:t>1</w:t>
      </w:r>
      <w:r w:rsidRPr="00F96B1E">
        <w:rPr>
          <w:spacing w:val="-3"/>
          <w:kern w:val="0"/>
          <w:sz w:val="20"/>
          <w:rtl/>
        </w:rPr>
        <w:t>984</w:t>
      </w:r>
      <w:r w:rsidRPr="00F96B1E">
        <w:rPr>
          <w:rFonts w:hint="cs"/>
          <w:spacing w:val="-3"/>
          <w:kern w:val="0"/>
          <w:sz w:val="20"/>
          <w:rtl/>
        </w:rPr>
        <w:t>،</w:t>
      </w:r>
      <w:r w:rsidRPr="00F96B1E">
        <w:rPr>
          <w:spacing w:val="-3"/>
          <w:kern w:val="0"/>
          <w:sz w:val="20"/>
          <w:rtl/>
        </w:rPr>
        <w:t xml:space="preserve"> وبدأ نفاذ</w:t>
      </w:r>
      <w:r w:rsidRPr="00F96B1E">
        <w:rPr>
          <w:rFonts w:hint="cs"/>
          <w:spacing w:val="-3"/>
          <w:kern w:val="0"/>
          <w:sz w:val="20"/>
          <w:rtl/>
        </w:rPr>
        <w:t xml:space="preserve"> الاتفاقية</w:t>
      </w:r>
      <w:r w:rsidRPr="00F96B1E">
        <w:rPr>
          <w:spacing w:val="-3"/>
          <w:kern w:val="0"/>
          <w:sz w:val="20"/>
          <w:rtl/>
        </w:rPr>
        <w:t xml:space="preserve"> في 26 حزيران/يونيه 1987</w:t>
      </w:r>
      <w:r w:rsidRPr="00F96B1E">
        <w:rPr>
          <w:rFonts w:hint="cs"/>
          <w:spacing w:val="-3"/>
          <w:kern w:val="0"/>
          <w:sz w:val="20"/>
          <w:rtl/>
        </w:rPr>
        <w:t>.</w:t>
      </w:r>
    </w:p>
    <w:p w:rsidR="004E0A37" w:rsidRPr="004E0A37" w:rsidRDefault="004E0A37" w:rsidP="004E0A37">
      <w:pPr>
        <w:pStyle w:val="SingleTxtGA"/>
        <w:jc w:val="lowKashida"/>
        <w:rPr>
          <w:spacing w:val="0"/>
          <w:sz w:val="20"/>
          <w:rtl/>
        </w:rPr>
      </w:pPr>
      <w:r w:rsidRPr="004E0A37">
        <w:rPr>
          <w:rFonts w:hint="cs"/>
          <w:spacing w:val="0"/>
          <w:sz w:val="20"/>
          <w:rtl/>
        </w:rPr>
        <w:t>2-</w:t>
      </w:r>
      <w:r w:rsidRPr="004E0A37">
        <w:rPr>
          <w:rFonts w:hint="cs"/>
          <w:spacing w:val="0"/>
          <w:sz w:val="20"/>
          <w:rtl/>
        </w:rPr>
        <w:tab/>
        <w:t xml:space="preserve">وترد في المرفق الأول لهذا التقرير قائمة بالدول التي وقعت أو صدقت على الاتفاقية أو انضمت إليها. أما قائمة الدول الأطراف التي أعلنت أنها لا تعترف باختصاص اللجنة المنصوص عليه في المادة 20 من الاتفاقية فترد في المرفق الثاني. وترد في المرفق الثالث قائمة بالدول الأطراف التي أصدرت الإعلانين المنصوص عليهما في المادتين </w:t>
      </w:r>
      <w:r w:rsidRPr="004E0A37">
        <w:rPr>
          <w:spacing w:val="0"/>
          <w:sz w:val="20"/>
          <w:rtl/>
        </w:rPr>
        <w:t>21</w:t>
      </w:r>
      <w:r w:rsidRPr="004E0A37">
        <w:rPr>
          <w:rFonts w:hint="cs"/>
          <w:spacing w:val="0"/>
          <w:sz w:val="20"/>
          <w:rtl/>
        </w:rPr>
        <w:t xml:space="preserve"> </w:t>
      </w:r>
      <w:r w:rsidRPr="004E0A37">
        <w:rPr>
          <w:spacing w:val="0"/>
          <w:sz w:val="20"/>
          <w:rtl/>
        </w:rPr>
        <w:t>و22 من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3</w:t>
      </w:r>
      <w:r w:rsidRPr="004E0A37">
        <w:rPr>
          <w:spacing w:val="0"/>
          <w:sz w:val="20"/>
          <w:rtl/>
        </w:rPr>
        <w:t>-</w:t>
      </w:r>
      <w:r w:rsidRPr="004E0A37">
        <w:rPr>
          <w:spacing w:val="0"/>
          <w:sz w:val="20"/>
          <w:rtl/>
        </w:rPr>
        <w:tab/>
      </w:r>
      <w:r w:rsidRPr="004E0A37">
        <w:rPr>
          <w:rFonts w:hint="cs"/>
          <w:spacing w:val="0"/>
          <w:sz w:val="20"/>
          <w:rtl/>
        </w:rPr>
        <w:t xml:space="preserve">ويمكن الحصول على نص الإعلانات أو التحفظات أو الاعتراضات التي أبدتها الدول الأطراف </w:t>
      </w:r>
      <w:r w:rsidR="00F96B1E">
        <w:rPr>
          <w:rFonts w:hint="cs"/>
          <w:spacing w:val="0"/>
          <w:sz w:val="20"/>
          <w:rtl/>
        </w:rPr>
        <w:t>فيما </w:t>
      </w:r>
      <w:r w:rsidRPr="004E0A37">
        <w:rPr>
          <w:rFonts w:hint="cs"/>
          <w:spacing w:val="0"/>
          <w:sz w:val="20"/>
          <w:rtl/>
        </w:rPr>
        <w:t xml:space="preserve">يتعلق بالاتفاقية من موقع الأمم المتحدة الشبكي </w:t>
      </w:r>
      <w:r w:rsidRPr="004E0A37">
        <w:rPr>
          <w:spacing w:val="0"/>
          <w:sz w:val="20"/>
        </w:rPr>
        <w:t>(http://treaties.un.org)</w:t>
      </w:r>
      <w:r w:rsidRPr="004E0A37">
        <w:rPr>
          <w:rFonts w:hint="cs"/>
          <w:spacing w:val="0"/>
          <w:sz w:val="20"/>
          <w:rtl/>
        </w:rPr>
        <w:t>.</w:t>
      </w:r>
    </w:p>
    <w:p w:rsidR="004E0A37" w:rsidRPr="004E0A37" w:rsidRDefault="004E0A37" w:rsidP="00F96B1E">
      <w:pPr>
        <w:pStyle w:val="H1GA"/>
        <w:rPr>
          <w:rFonts w:hint="cs"/>
          <w:rtl/>
        </w:rPr>
      </w:pPr>
      <w:r w:rsidRPr="004E0A37">
        <w:rPr>
          <w:rFonts w:hint="cs"/>
          <w:rtl/>
        </w:rPr>
        <w:tab/>
      </w:r>
      <w:r w:rsidRPr="004E0A37">
        <w:rPr>
          <w:rtl/>
        </w:rPr>
        <w:t>باء-</w:t>
      </w:r>
      <w:r w:rsidRPr="004E0A37">
        <w:rPr>
          <w:rFonts w:hint="cs"/>
          <w:rtl/>
        </w:rPr>
        <w:tab/>
      </w:r>
      <w:r w:rsidRPr="004E0A37">
        <w:rPr>
          <w:rtl/>
        </w:rPr>
        <w:t>دورت</w:t>
      </w:r>
      <w:r w:rsidRPr="004E0A37">
        <w:rPr>
          <w:rFonts w:hint="cs"/>
          <w:rtl/>
        </w:rPr>
        <w:t>ا</w:t>
      </w:r>
      <w:r w:rsidRPr="004E0A37">
        <w:rPr>
          <w:rtl/>
        </w:rPr>
        <w:t xml:space="preserve"> </w:t>
      </w:r>
      <w:r w:rsidRPr="004E0A37">
        <w:rPr>
          <w:rFonts w:hint="cs"/>
          <w:rtl/>
        </w:rPr>
        <w:t>ال</w:t>
      </w:r>
      <w:r w:rsidRPr="004E0A37">
        <w:rPr>
          <w:rtl/>
        </w:rPr>
        <w:t>لجنة</w:t>
      </w:r>
    </w:p>
    <w:p w:rsidR="004E0A37" w:rsidRPr="004E0A37" w:rsidRDefault="004E0A37" w:rsidP="004E0A37">
      <w:pPr>
        <w:pStyle w:val="SingleTxtGA"/>
        <w:jc w:val="lowKashida"/>
        <w:rPr>
          <w:rFonts w:hint="cs"/>
          <w:spacing w:val="0"/>
          <w:sz w:val="20"/>
          <w:rtl/>
        </w:rPr>
      </w:pPr>
      <w:r w:rsidRPr="004E0A37">
        <w:rPr>
          <w:rFonts w:hint="cs"/>
          <w:spacing w:val="0"/>
          <w:sz w:val="20"/>
          <w:rtl/>
        </w:rPr>
        <w:t>4</w:t>
      </w:r>
      <w:r w:rsidRPr="004E0A37">
        <w:rPr>
          <w:spacing w:val="0"/>
          <w:sz w:val="20"/>
          <w:rtl/>
        </w:rPr>
        <w:t>-</w:t>
      </w:r>
      <w:r w:rsidRPr="004E0A37">
        <w:rPr>
          <w:spacing w:val="0"/>
          <w:sz w:val="20"/>
          <w:rtl/>
        </w:rPr>
        <w:tab/>
        <w:t xml:space="preserve">عقدت لجنة مناهضة التعذيب دورتين منذ اعتماد تقريرها السنوي </w:t>
      </w:r>
      <w:r w:rsidRPr="004E0A37">
        <w:rPr>
          <w:rFonts w:hint="cs"/>
          <w:spacing w:val="0"/>
          <w:sz w:val="20"/>
          <w:rtl/>
        </w:rPr>
        <w:t>الأخير.</w:t>
      </w:r>
      <w:r w:rsidRPr="004E0A37">
        <w:rPr>
          <w:spacing w:val="0"/>
          <w:sz w:val="20"/>
          <w:rtl/>
        </w:rPr>
        <w:t xml:space="preserve"> </w:t>
      </w:r>
      <w:r w:rsidRPr="004E0A37">
        <w:rPr>
          <w:rFonts w:hint="cs"/>
          <w:spacing w:val="0"/>
          <w:sz w:val="20"/>
          <w:rtl/>
        </w:rPr>
        <w:t xml:space="preserve">وقد </w:t>
      </w:r>
      <w:r w:rsidRPr="004E0A37">
        <w:rPr>
          <w:spacing w:val="0"/>
          <w:sz w:val="20"/>
          <w:rtl/>
        </w:rPr>
        <w:t>ع</w:t>
      </w:r>
      <w:r w:rsidRPr="004E0A37">
        <w:rPr>
          <w:rFonts w:hint="cs"/>
          <w:spacing w:val="0"/>
          <w:sz w:val="20"/>
          <w:rtl/>
        </w:rPr>
        <w:t>ُ</w:t>
      </w:r>
      <w:r w:rsidRPr="004E0A37">
        <w:rPr>
          <w:spacing w:val="0"/>
          <w:sz w:val="20"/>
          <w:rtl/>
        </w:rPr>
        <w:t>قدت الدور</w:t>
      </w:r>
      <w:r w:rsidRPr="004E0A37">
        <w:rPr>
          <w:rFonts w:hint="cs"/>
          <w:spacing w:val="0"/>
          <w:sz w:val="20"/>
          <w:rtl/>
        </w:rPr>
        <w:t>ة</w:t>
      </w:r>
      <w:r w:rsidRPr="004E0A37">
        <w:rPr>
          <w:spacing w:val="0"/>
          <w:sz w:val="20"/>
          <w:rtl/>
        </w:rPr>
        <w:t xml:space="preserve"> </w:t>
      </w:r>
      <w:r w:rsidRPr="004E0A37">
        <w:rPr>
          <w:rFonts w:hint="cs"/>
          <w:spacing w:val="0"/>
          <w:sz w:val="20"/>
          <w:rtl/>
        </w:rPr>
        <w:t>السابعة والأربعون (الجلسات من 1020 إلى 1057) ب</w:t>
      </w:r>
      <w:r w:rsidRPr="004E0A37">
        <w:rPr>
          <w:spacing w:val="0"/>
          <w:sz w:val="20"/>
          <w:rtl/>
        </w:rPr>
        <w:t xml:space="preserve">مكتب الأمم المتحدة في جنيف </w:t>
      </w:r>
      <w:r w:rsidRPr="004E0A37">
        <w:rPr>
          <w:rFonts w:hint="cs"/>
          <w:spacing w:val="0"/>
          <w:sz w:val="20"/>
          <w:rtl/>
        </w:rPr>
        <w:t xml:space="preserve">في الفترة </w:t>
      </w:r>
      <w:r w:rsidRPr="004E0A37">
        <w:rPr>
          <w:spacing w:val="0"/>
          <w:sz w:val="20"/>
          <w:rtl/>
        </w:rPr>
        <w:t xml:space="preserve">من </w:t>
      </w:r>
      <w:r w:rsidRPr="004E0A37">
        <w:rPr>
          <w:rFonts w:hint="cs"/>
          <w:spacing w:val="0"/>
          <w:sz w:val="20"/>
          <w:rtl/>
        </w:rPr>
        <w:t>31 تشرين الأول/أكتوبر إلى 25</w:t>
      </w:r>
      <w:r w:rsidRPr="004E0A37">
        <w:rPr>
          <w:spacing w:val="0"/>
          <w:sz w:val="20"/>
          <w:rtl/>
        </w:rPr>
        <w:t xml:space="preserve"> تشرين الثاني/نوفمبر </w:t>
      </w:r>
      <w:r w:rsidRPr="004E0A37">
        <w:rPr>
          <w:rFonts w:hint="cs"/>
          <w:spacing w:val="0"/>
          <w:sz w:val="20"/>
          <w:rtl/>
        </w:rPr>
        <w:t>2011، وعُقدت الدورة الثامنة والأربعون</w:t>
      </w:r>
      <w:r w:rsidRPr="004E0A37">
        <w:rPr>
          <w:spacing w:val="0"/>
          <w:sz w:val="20"/>
          <w:rtl/>
        </w:rPr>
        <w:t xml:space="preserve"> </w:t>
      </w:r>
      <w:r w:rsidRPr="004E0A37">
        <w:rPr>
          <w:rFonts w:hint="cs"/>
          <w:spacing w:val="0"/>
          <w:sz w:val="20"/>
          <w:rtl/>
        </w:rPr>
        <w:t xml:space="preserve">(الجلسات من 1058 إلى 1093) في الفترة من 7 أيار/مايو إلى 1 حزيران/يونيه 2012. </w:t>
      </w:r>
      <w:r w:rsidRPr="004E0A37">
        <w:rPr>
          <w:spacing w:val="0"/>
          <w:sz w:val="20"/>
          <w:rtl/>
        </w:rPr>
        <w:t>و</w:t>
      </w:r>
      <w:r w:rsidRPr="004E0A37">
        <w:rPr>
          <w:rFonts w:hint="cs"/>
          <w:spacing w:val="0"/>
          <w:sz w:val="20"/>
          <w:rtl/>
        </w:rPr>
        <w:t>ي</w:t>
      </w:r>
      <w:r w:rsidRPr="004E0A37">
        <w:rPr>
          <w:spacing w:val="0"/>
          <w:sz w:val="20"/>
          <w:rtl/>
        </w:rPr>
        <w:t xml:space="preserve">رد عرض </w:t>
      </w:r>
      <w:r w:rsidRPr="004E0A37">
        <w:rPr>
          <w:rFonts w:hint="cs"/>
          <w:spacing w:val="0"/>
          <w:sz w:val="20"/>
          <w:rtl/>
        </w:rPr>
        <w:t xml:space="preserve">لمداولات اللجنة في هاتين الدورتين في المحاضر الموجزة ذات الصلة </w:t>
      </w:r>
      <w:r w:rsidRPr="004E0A37">
        <w:rPr>
          <w:spacing w:val="0"/>
          <w:sz w:val="20"/>
          <w:rtl/>
        </w:rPr>
        <w:t>(</w:t>
      </w:r>
      <w:r w:rsidRPr="004E0A37">
        <w:rPr>
          <w:spacing w:val="0"/>
          <w:sz w:val="20"/>
        </w:rPr>
        <w:t>CAT/C/SR.1020</w:t>
      </w:r>
      <w:r w:rsidRPr="004E0A37">
        <w:rPr>
          <w:spacing w:val="0"/>
          <w:sz w:val="20"/>
        </w:rPr>
        <w:noBreakHyphen/>
        <w:t>1093</w:t>
      </w:r>
      <w:r w:rsidRPr="004E0A37">
        <w:rPr>
          <w:spacing w:val="0"/>
          <w:sz w:val="20"/>
          <w:rtl/>
        </w:rPr>
        <w:t>)</w:t>
      </w:r>
      <w:r w:rsidRPr="004E0A37">
        <w:rPr>
          <w:rFonts w:hint="cs"/>
          <w:spacing w:val="0"/>
          <w:sz w:val="20"/>
          <w:rtl/>
        </w:rPr>
        <w:t>.</w:t>
      </w:r>
    </w:p>
    <w:p w:rsidR="004E0A37" w:rsidRPr="004E0A37" w:rsidRDefault="004E0A37" w:rsidP="00F96B1E">
      <w:pPr>
        <w:pStyle w:val="H1GA"/>
        <w:rPr>
          <w:rFonts w:hint="cs"/>
          <w:rtl/>
        </w:rPr>
      </w:pPr>
      <w:r w:rsidRPr="004E0A37">
        <w:rPr>
          <w:rFonts w:hint="cs"/>
          <w:rtl/>
        </w:rPr>
        <w:tab/>
        <w:t>جيم-</w:t>
      </w:r>
      <w:r w:rsidRPr="004E0A37">
        <w:rPr>
          <w:rFonts w:hint="cs"/>
          <w:rtl/>
        </w:rPr>
        <w:tab/>
        <w:t>العضوية والحضور في الدورتين</w:t>
      </w:r>
    </w:p>
    <w:p w:rsidR="004E0A37" w:rsidRPr="004E0A37" w:rsidRDefault="004E0A37" w:rsidP="004E0A37">
      <w:pPr>
        <w:pStyle w:val="SingleTxtGA"/>
        <w:jc w:val="lowKashida"/>
        <w:rPr>
          <w:rFonts w:hint="cs"/>
          <w:spacing w:val="0"/>
          <w:sz w:val="20"/>
          <w:rtl/>
        </w:rPr>
      </w:pPr>
      <w:r w:rsidRPr="004E0A37">
        <w:rPr>
          <w:rFonts w:hint="cs"/>
          <w:spacing w:val="0"/>
          <w:sz w:val="20"/>
          <w:rtl/>
        </w:rPr>
        <w:t>5-</w:t>
      </w:r>
      <w:r w:rsidRPr="004E0A37">
        <w:rPr>
          <w:rFonts w:hint="cs"/>
          <w:spacing w:val="0"/>
          <w:sz w:val="20"/>
          <w:rtl/>
        </w:rPr>
        <w:tab/>
        <w:t>أجرى الاجتماع الثالث عشر للدول الأطراف في اتفاقية مناهضة التعذيب المعقود في جنيف يوم 18 تشرين الأول/أكتوبر 2011، انتخابات لتعيين أعضاء يحلون محل الأعضاء الخمسة الذين انتهت مدة ولايتهم في 31 كانون الأول/ديسمبر 2011. وترد في المرفق الرابع لهذا التقرير قائمة بالأعضاء ومدة ولايتهم.</w:t>
      </w:r>
    </w:p>
    <w:p w:rsidR="004E0A37" w:rsidRPr="004E0A37" w:rsidRDefault="004E0A37" w:rsidP="00F96B1E">
      <w:pPr>
        <w:pStyle w:val="H1GA"/>
        <w:spacing w:before="120"/>
        <w:rPr>
          <w:rFonts w:hint="cs"/>
          <w:rtl/>
          <w:lang/>
        </w:rPr>
      </w:pPr>
      <w:r w:rsidRPr="004E0A37">
        <w:rPr>
          <w:rFonts w:hint="cs"/>
          <w:rtl/>
        </w:rPr>
        <w:tab/>
        <w:t>دال-</w:t>
      </w:r>
      <w:r w:rsidRPr="004E0A37">
        <w:rPr>
          <w:rFonts w:hint="cs"/>
          <w:rtl/>
        </w:rPr>
        <w:tab/>
      </w:r>
      <w:r w:rsidRPr="004E0A37">
        <w:rPr>
          <w:rFonts w:hint="cs"/>
          <w:rtl/>
          <w:lang/>
        </w:rPr>
        <w:t>أداء الأعضاء الذين انتخبوا من توهم العهد الرسمي</w:t>
      </w:r>
    </w:p>
    <w:p w:rsidR="004E0A37" w:rsidRPr="004E0A37" w:rsidRDefault="004E0A37" w:rsidP="004E0A37">
      <w:pPr>
        <w:pStyle w:val="SingleTxtGA"/>
        <w:jc w:val="lowKashida"/>
        <w:rPr>
          <w:rFonts w:hint="cs"/>
          <w:spacing w:val="0"/>
          <w:sz w:val="20"/>
          <w:rtl/>
        </w:rPr>
      </w:pPr>
      <w:r w:rsidRPr="004E0A37">
        <w:rPr>
          <w:rFonts w:hint="cs"/>
          <w:spacing w:val="0"/>
          <w:sz w:val="20"/>
          <w:rtl/>
        </w:rPr>
        <w:t>6-</w:t>
      </w:r>
      <w:r w:rsidRPr="004E0A37">
        <w:rPr>
          <w:rFonts w:hint="cs"/>
          <w:spacing w:val="0"/>
          <w:sz w:val="20"/>
          <w:rtl/>
        </w:rPr>
        <w:tab/>
        <w:t>في الجلسة 1058، المعقودة في 7 أيار/مايو 2012، أدّى السيد ساتيابوشون غوبت دوما والسيد جورج توغوشي العهد الرسمي عند توليهما مهام العضوية،</w:t>
      </w:r>
      <w:r w:rsidR="00B345DB">
        <w:rPr>
          <w:rFonts w:hint="cs"/>
          <w:spacing w:val="0"/>
          <w:sz w:val="20"/>
          <w:rtl/>
        </w:rPr>
        <w:t xml:space="preserve"> وفقاً </w:t>
      </w:r>
      <w:r w:rsidRPr="004E0A37">
        <w:rPr>
          <w:rFonts w:hint="cs"/>
          <w:spacing w:val="0"/>
          <w:sz w:val="20"/>
          <w:rtl/>
        </w:rPr>
        <w:t>للمادة 14 من النظام الداخلي للجنة.</w:t>
      </w:r>
    </w:p>
    <w:p w:rsidR="004E0A37" w:rsidRPr="004E0A37" w:rsidRDefault="004E0A37" w:rsidP="00F96B1E">
      <w:pPr>
        <w:pStyle w:val="H1GA"/>
        <w:rPr>
          <w:rFonts w:hint="cs"/>
          <w:rtl/>
        </w:rPr>
      </w:pPr>
      <w:r w:rsidRPr="004E0A37">
        <w:rPr>
          <w:rFonts w:hint="cs"/>
          <w:rtl/>
        </w:rPr>
        <w:tab/>
        <w:t>هاء-</w:t>
      </w:r>
      <w:r w:rsidRPr="004E0A37">
        <w:rPr>
          <w:rFonts w:hint="cs"/>
          <w:rtl/>
        </w:rPr>
        <w:tab/>
        <w:t>انتخاب</w:t>
      </w:r>
      <w:r w:rsidRPr="004E0A37">
        <w:rPr>
          <w:rtl/>
        </w:rPr>
        <w:t xml:space="preserve"> أعضاء </w:t>
      </w:r>
      <w:r w:rsidRPr="004E0A37">
        <w:rPr>
          <w:rFonts w:hint="cs"/>
          <w:rtl/>
        </w:rPr>
        <w:t>المكتب</w:t>
      </w:r>
    </w:p>
    <w:p w:rsidR="004E0A37" w:rsidRPr="004E0A37" w:rsidRDefault="004E0A37" w:rsidP="004E0A37">
      <w:pPr>
        <w:pStyle w:val="SingleTxtGA"/>
        <w:jc w:val="lowKashida"/>
        <w:rPr>
          <w:rFonts w:hint="cs"/>
          <w:spacing w:val="0"/>
          <w:sz w:val="20"/>
          <w:rtl/>
        </w:rPr>
      </w:pPr>
      <w:r w:rsidRPr="004E0A37">
        <w:rPr>
          <w:rFonts w:hint="cs"/>
          <w:spacing w:val="0"/>
          <w:sz w:val="20"/>
          <w:rtl/>
        </w:rPr>
        <w:t>7-</w:t>
      </w:r>
      <w:r w:rsidRPr="004E0A37">
        <w:rPr>
          <w:rFonts w:hint="cs"/>
          <w:spacing w:val="0"/>
          <w:sz w:val="20"/>
          <w:rtl/>
        </w:rPr>
        <w:tab/>
        <w:t>في الدورة الثامنة والأربعين، وفي 7 أيار/مايو 2012، انتخبت اللجنة السيد كلاوديو غروسمان رئيساً لها والسيدة إساديا بلمير والسيدة فيليس غاير والسيد غزوغزيانغ وونغ نواباً للرئيس والسيدة نورا سفياس مقررة.</w:t>
      </w:r>
    </w:p>
    <w:p w:rsidR="004E0A37" w:rsidRPr="004E0A37" w:rsidRDefault="004E0A37" w:rsidP="00F96B1E">
      <w:pPr>
        <w:pStyle w:val="H1GA"/>
        <w:rPr>
          <w:rFonts w:hint="cs"/>
          <w:rtl/>
        </w:rPr>
      </w:pPr>
      <w:r w:rsidRPr="004E0A37">
        <w:rPr>
          <w:rFonts w:hint="cs"/>
          <w:rtl/>
        </w:rPr>
        <w:tab/>
        <w:t>واو-</w:t>
      </w:r>
      <w:r w:rsidRPr="004E0A37">
        <w:rPr>
          <w:rFonts w:hint="cs"/>
          <w:rtl/>
        </w:rPr>
        <w:tab/>
        <w:t>جدولا الأعمال</w:t>
      </w:r>
    </w:p>
    <w:p w:rsidR="004E0A37" w:rsidRPr="004E0A37" w:rsidRDefault="004E0A37" w:rsidP="004E0A37">
      <w:pPr>
        <w:pStyle w:val="SingleTxtGA"/>
        <w:jc w:val="lowKashida"/>
        <w:rPr>
          <w:rFonts w:hint="cs"/>
          <w:spacing w:val="0"/>
          <w:sz w:val="20"/>
          <w:rtl/>
        </w:rPr>
      </w:pPr>
      <w:r w:rsidRPr="004E0A37">
        <w:rPr>
          <w:rFonts w:hint="cs"/>
          <w:spacing w:val="0"/>
          <w:sz w:val="20"/>
          <w:rtl/>
        </w:rPr>
        <w:t>8-</w:t>
      </w:r>
      <w:r w:rsidRPr="004E0A37">
        <w:rPr>
          <w:rFonts w:hint="cs"/>
          <w:spacing w:val="0"/>
          <w:sz w:val="20"/>
          <w:rtl/>
        </w:rPr>
        <w:tab/>
        <w:t xml:space="preserve">في الجلسة 1020، المعقودة في 31 تشرين الأول/أكتوبر 2011، اعتمدت اللجنة البنود المدرجة في جدول الأعمال المؤقت المقدم من الأمين العام </w:t>
      </w:r>
      <w:r w:rsidRPr="004E0A37">
        <w:rPr>
          <w:spacing w:val="0"/>
          <w:sz w:val="20"/>
        </w:rPr>
        <w:t>(CAT/C/47/1)</w:t>
      </w:r>
      <w:r w:rsidRPr="004E0A37">
        <w:rPr>
          <w:rFonts w:hint="cs"/>
          <w:spacing w:val="0"/>
          <w:sz w:val="20"/>
          <w:rtl/>
        </w:rPr>
        <w:t xml:space="preserve"> بوصفها جدول أعمال دورتها السابعة والأربعين.</w:t>
      </w:r>
    </w:p>
    <w:p w:rsidR="004E0A37" w:rsidRPr="004E0A37" w:rsidRDefault="004E0A37" w:rsidP="004E0A37">
      <w:pPr>
        <w:pStyle w:val="SingleTxtGA"/>
        <w:jc w:val="lowKashida"/>
        <w:rPr>
          <w:rFonts w:hint="cs"/>
          <w:spacing w:val="0"/>
          <w:sz w:val="20"/>
          <w:rtl/>
        </w:rPr>
      </w:pPr>
      <w:r w:rsidRPr="004E0A37">
        <w:rPr>
          <w:rFonts w:hint="cs"/>
          <w:spacing w:val="0"/>
          <w:sz w:val="20"/>
          <w:rtl/>
        </w:rPr>
        <w:t>9-</w:t>
      </w:r>
      <w:r w:rsidRPr="004E0A37">
        <w:rPr>
          <w:rFonts w:hint="cs"/>
          <w:spacing w:val="0"/>
          <w:sz w:val="20"/>
          <w:rtl/>
        </w:rPr>
        <w:tab/>
        <w:t xml:space="preserve">وفي الجلسة 1058، المعقودة في 7 أيار/مايو 2012، اعتمدت اللجنة البنود المدرجة في جدول الأعمال المؤقت المقدم من الأمين العام </w:t>
      </w:r>
      <w:r w:rsidRPr="004E0A37">
        <w:rPr>
          <w:spacing w:val="0"/>
          <w:sz w:val="20"/>
          <w:rtl/>
        </w:rPr>
        <w:t>(</w:t>
      </w:r>
      <w:r w:rsidRPr="004E0A37">
        <w:rPr>
          <w:spacing w:val="0"/>
          <w:sz w:val="20"/>
        </w:rPr>
        <w:t>CAT/C/48/1</w:t>
      </w:r>
      <w:r w:rsidRPr="004E0A37">
        <w:rPr>
          <w:rFonts w:hint="cs"/>
          <w:spacing w:val="0"/>
          <w:sz w:val="20"/>
          <w:rtl/>
        </w:rPr>
        <w:t xml:space="preserve"> و</w:t>
      </w:r>
      <w:r w:rsidRPr="004E0A37">
        <w:rPr>
          <w:spacing w:val="0"/>
          <w:sz w:val="20"/>
        </w:rPr>
        <w:t>Corr.1</w:t>
      </w:r>
      <w:r w:rsidRPr="004E0A37">
        <w:rPr>
          <w:spacing w:val="0"/>
          <w:sz w:val="20"/>
          <w:rtl/>
        </w:rPr>
        <w:t>)</w:t>
      </w:r>
      <w:r w:rsidRPr="004E0A37">
        <w:rPr>
          <w:rFonts w:hint="cs"/>
          <w:spacing w:val="0"/>
          <w:sz w:val="20"/>
          <w:rtl/>
        </w:rPr>
        <w:t xml:space="preserve"> بوصفها جدول أعمال دورتها الثامنة والأربعين.</w:t>
      </w:r>
    </w:p>
    <w:p w:rsidR="004E0A37" w:rsidRPr="004E0A37" w:rsidRDefault="004E0A37" w:rsidP="00F96B1E">
      <w:pPr>
        <w:pStyle w:val="H1GA"/>
        <w:rPr>
          <w:rtl/>
        </w:rPr>
      </w:pPr>
      <w:r w:rsidRPr="004E0A37">
        <w:rPr>
          <w:rFonts w:hint="cs"/>
          <w:rtl/>
        </w:rPr>
        <w:tab/>
        <w:t>زاي-</w:t>
      </w:r>
      <w:r w:rsidRPr="004E0A37">
        <w:rPr>
          <w:rFonts w:hint="cs"/>
          <w:rtl/>
        </w:rPr>
        <w:tab/>
      </w:r>
      <w:r w:rsidRPr="004E0A37">
        <w:rPr>
          <w:rFonts w:hint="eastAsia"/>
          <w:rtl/>
        </w:rPr>
        <w:t>مشاركة</w:t>
      </w:r>
      <w:r w:rsidRPr="004E0A37">
        <w:rPr>
          <w:rtl/>
        </w:rPr>
        <w:t xml:space="preserve"> أعضاء اللجنة في </w:t>
      </w:r>
      <w:r w:rsidRPr="004E0A37">
        <w:rPr>
          <w:rFonts w:hint="eastAsia"/>
          <w:rtl/>
        </w:rPr>
        <w:t>اجتماعات</w:t>
      </w:r>
      <w:r w:rsidRPr="004E0A37">
        <w:rPr>
          <w:rtl/>
        </w:rPr>
        <w:t xml:space="preserve"> أخرى</w:t>
      </w:r>
    </w:p>
    <w:p w:rsidR="004E0A37" w:rsidRPr="004E0A37" w:rsidRDefault="004E0A37" w:rsidP="004E0A37">
      <w:pPr>
        <w:pStyle w:val="SingleTxtGA"/>
        <w:jc w:val="lowKashida"/>
        <w:rPr>
          <w:rFonts w:hint="cs"/>
          <w:spacing w:val="0"/>
          <w:sz w:val="20"/>
          <w:rtl/>
        </w:rPr>
      </w:pPr>
      <w:r w:rsidRPr="004E0A37">
        <w:rPr>
          <w:rFonts w:hint="cs"/>
          <w:spacing w:val="0"/>
          <w:sz w:val="20"/>
          <w:rtl/>
        </w:rPr>
        <w:t>10</w:t>
      </w:r>
      <w:r w:rsidRPr="004E0A37">
        <w:rPr>
          <w:spacing w:val="0"/>
          <w:sz w:val="20"/>
          <w:rtl/>
        </w:rPr>
        <w:t>-</w:t>
      </w:r>
      <w:r w:rsidRPr="004E0A37">
        <w:rPr>
          <w:spacing w:val="0"/>
          <w:sz w:val="20"/>
          <w:rtl/>
        </w:rPr>
        <w:tab/>
      </w:r>
      <w:r w:rsidRPr="004E0A37">
        <w:rPr>
          <w:rFonts w:hint="eastAsia"/>
          <w:spacing w:val="0"/>
          <w:sz w:val="20"/>
          <w:rtl/>
        </w:rPr>
        <w:t>خلال</w:t>
      </w:r>
      <w:r w:rsidRPr="004E0A37">
        <w:rPr>
          <w:spacing w:val="0"/>
          <w:sz w:val="20"/>
          <w:rtl/>
        </w:rPr>
        <w:t xml:space="preserve"> الفترة قيد </w:t>
      </w:r>
      <w:r w:rsidRPr="004E0A37">
        <w:rPr>
          <w:rFonts w:hint="cs"/>
          <w:spacing w:val="0"/>
          <w:sz w:val="20"/>
          <w:rtl/>
        </w:rPr>
        <w:t>النظر،</w:t>
      </w:r>
      <w:r w:rsidRPr="004E0A37">
        <w:rPr>
          <w:spacing w:val="0"/>
          <w:sz w:val="20"/>
          <w:rtl/>
        </w:rPr>
        <w:t xml:space="preserve"> </w:t>
      </w:r>
      <w:r w:rsidRPr="004E0A37">
        <w:rPr>
          <w:rFonts w:hint="cs"/>
          <w:spacing w:val="0"/>
          <w:sz w:val="20"/>
          <w:rtl/>
        </w:rPr>
        <w:t xml:space="preserve">شارك أعضاء اللجنة في مختلف الاجتماعات التي نظمتها مفوضية الأمم المتحدة السامية لحقوق الإنسان: </w:t>
      </w:r>
    </w:p>
    <w:p w:rsidR="004E0A37" w:rsidRPr="00F96B1E" w:rsidRDefault="004E0A37" w:rsidP="004E0A37">
      <w:pPr>
        <w:pStyle w:val="SingleTxtGA"/>
        <w:jc w:val="lowKashida"/>
        <w:rPr>
          <w:rFonts w:hint="cs"/>
          <w:spacing w:val="-3"/>
          <w:sz w:val="20"/>
          <w:rtl/>
        </w:rPr>
      </w:pPr>
      <w:r w:rsidRPr="00F96B1E">
        <w:rPr>
          <w:rFonts w:hint="cs"/>
          <w:spacing w:val="-3"/>
          <w:sz w:val="20"/>
          <w:rtl/>
        </w:rPr>
        <w:tab/>
        <w:t>(أ)</w:t>
      </w:r>
      <w:r w:rsidRPr="00F96B1E">
        <w:rPr>
          <w:rFonts w:hint="cs"/>
          <w:spacing w:val="-3"/>
          <w:sz w:val="20"/>
          <w:rtl/>
        </w:rPr>
        <w:tab/>
        <w:t>فقد حضر كل من السيد أليسي</w:t>
      </w:r>
      <w:r w:rsidR="00F96B1E">
        <w:rPr>
          <w:rFonts w:hint="cs"/>
          <w:spacing w:val="-3"/>
          <w:sz w:val="20"/>
          <w:rtl/>
        </w:rPr>
        <w:t>و بروني والسيد غروسمان الاجتماع</w:t>
      </w:r>
      <w:r w:rsidRPr="00F96B1E">
        <w:rPr>
          <w:rFonts w:hint="cs"/>
          <w:spacing w:val="-3"/>
          <w:sz w:val="20"/>
          <w:rtl/>
        </w:rPr>
        <w:t xml:space="preserve"> الثاني عشر المشترك بين اللجان، الذي عُقد في جنيف في الفترة من 27 إلى 29 حزيران/يونيه 2011؛ وحضر السيد غروسمان أيضاً الاجتماع الثالث والعشرين للرؤساء المنعقد في جنيف يومي 30 حزيران/يونيه و1 تموز/يوليه 2011؛</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وحضرت السيدة سفياس في مناسبة إحياء يوم الأمم المتحدة الدولي لدعم ضحايا التعذيب، الذي جرت فعالياته في رام الله يوم 27 حزيران/يونيه 2011؛</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t xml:space="preserve">وحضرت السيدة غايير اجتماع فريق الخبراء </w:t>
      </w:r>
      <w:r w:rsidRPr="004E0A37">
        <w:rPr>
          <w:rFonts w:hint="cs"/>
          <w:spacing w:val="0"/>
          <w:sz w:val="20"/>
          <w:rtl/>
          <w:lang/>
        </w:rPr>
        <w:t>بشأن قتل النساء لأسباب جنسانية،</w:t>
      </w:r>
      <w:r w:rsidRPr="004E0A37">
        <w:rPr>
          <w:rFonts w:hint="cs"/>
          <w:spacing w:val="0"/>
          <w:sz w:val="20"/>
          <w:rtl/>
        </w:rPr>
        <w:t xml:space="preserve"> الذي عقد في نيويورك في 12 تشرين الأول/أكتوبر 2011؛</w:t>
      </w:r>
    </w:p>
    <w:p w:rsidR="004E0A37" w:rsidRPr="004E0A37" w:rsidRDefault="004E0A37" w:rsidP="004E0A37">
      <w:pPr>
        <w:pStyle w:val="SingleTxtGA"/>
        <w:jc w:val="lowKashida"/>
        <w:rPr>
          <w:rFonts w:hint="cs"/>
          <w:spacing w:val="0"/>
          <w:sz w:val="20"/>
          <w:rtl/>
        </w:rPr>
      </w:pPr>
      <w:r w:rsidRPr="004E0A37">
        <w:rPr>
          <w:rFonts w:hint="cs"/>
          <w:spacing w:val="0"/>
          <w:sz w:val="20"/>
          <w:rtl/>
        </w:rPr>
        <w:tab/>
        <w:t>(د)</w:t>
      </w:r>
      <w:r w:rsidRPr="004E0A37">
        <w:rPr>
          <w:rFonts w:hint="cs"/>
          <w:spacing w:val="0"/>
          <w:sz w:val="20"/>
          <w:rtl/>
        </w:rPr>
        <w:tab/>
        <w:t>وحضر السيد غروسمان اجتماع التشاور الإقليمي للأمريكتين بشأن سبل تحسين التعاون بين الأمم المتحدة وآليات حقوق الإنسان الإقليمية المعنية بمنع التعذيب وحماية ضحايا التعذيب، والمعقود في واشنطن العاصمة يومي 29 و30 تشرين الثاني/نوفمبر 2011؛</w:t>
      </w:r>
    </w:p>
    <w:p w:rsidR="004E0A37" w:rsidRPr="004E0A37" w:rsidRDefault="004E0A37" w:rsidP="00F96B1E">
      <w:pPr>
        <w:pStyle w:val="SingleTxtGA"/>
        <w:jc w:val="lowKashida"/>
        <w:rPr>
          <w:rFonts w:hint="cs"/>
          <w:spacing w:val="0"/>
          <w:sz w:val="20"/>
          <w:rtl/>
        </w:rPr>
      </w:pPr>
      <w:r w:rsidRPr="004E0A37">
        <w:rPr>
          <w:rFonts w:hint="cs"/>
          <w:spacing w:val="0"/>
          <w:sz w:val="20"/>
          <w:rtl/>
        </w:rPr>
        <w:tab/>
        <w:t>(</w:t>
      </w:r>
      <w:r w:rsidR="00F96B1E" w:rsidRPr="00F96B1E">
        <w:rPr>
          <w:rFonts w:hint="cs"/>
          <w:spacing w:val="0"/>
          <w:sz w:val="30"/>
          <w:rtl/>
        </w:rPr>
        <w:t>ﻫ</w:t>
      </w:r>
      <w:r w:rsidRPr="004E0A37">
        <w:rPr>
          <w:rFonts w:hint="cs"/>
          <w:spacing w:val="0"/>
          <w:sz w:val="20"/>
          <w:rtl/>
        </w:rPr>
        <w:t>)</w:t>
      </w:r>
      <w:r w:rsidRPr="004E0A37">
        <w:rPr>
          <w:rFonts w:hint="cs"/>
          <w:spacing w:val="0"/>
          <w:sz w:val="20"/>
          <w:rtl/>
        </w:rPr>
        <w:tab/>
        <w:t>وحضر السيد بروني اجتماع التشاور الإقليمي لأوروبا بشأن سبل تحسين التعاون بين الأمم المتحدة وآليات حقوق الإنسان الإقليمية المعنية بمنع التعذيب وحماية ضحايا التعذيب، والمعقود في جنيف يومي 15 و16 كانون الأول/ديسمبر 2011؛</w:t>
      </w:r>
    </w:p>
    <w:p w:rsidR="004E0A37" w:rsidRPr="004E0A37" w:rsidRDefault="004E0A37" w:rsidP="004E0A37">
      <w:pPr>
        <w:pStyle w:val="SingleTxtGA"/>
        <w:jc w:val="lowKashida"/>
        <w:rPr>
          <w:rFonts w:hint="cs"/>
          <w:spacing w:val="0"/>
          <w:sz w:val="20"/>
          <w:rtl/>
        </w:rPr>
      </w:pPr>
      <w:r w:rsidRPr="004E0A37">
        <w:rPr>
          <w:rFonts w:hint="cs"/>
          <w:spacing w:val="0"/>
          <w:sz w:val="20"/>
          <w:rtl/>
        </w:rPr>
        <w:tab/>
        <w:t>(و)</w:t>
      </w:r>
      <w:r w:rsidRPr="004E0A37">
        <w:rPr>
          <w:rFonts w:hint="cs"/>
          <w:spacing w:val="0"/>
          <w:sz w:val="20"/>
          <w:rtl/>
        </w:rPr>
        <w:tab/>
        <w:t>وحضرت السيدة بلمير اجتماع التشاور الإقليمي لأفريقيا بشأن سبل تحسين التعاون بين الأمم المتحدة وآليات حقوق الإنسان الإقليمية المعنية بمنع التعذيب وحماية ضحايا التعذيب، والمعقود في أديس أبيبا يومي 6 و7 شباط/فبراير 2012.</w:t>
      </w:r>
    </w:p>
    <w:p w:rsidR="004E0A37" w:rsidRPr="004E0A37" w:rsidRDefault="004E0A37" w:rsidP="004E0A37">
      <w:pPr>
        <w:pStyle w:val="SingleTxtGA"/>
        <w:jc w:val="lowKashida"/>
        <w:rPr>
          <w:rFonts w:hint="cs"/>
          <w:spacing w:val="0"/>
          <w:sz w:val="20"/>
          <w:rtl/>
        </w:rPr>
      </w:pPr>
      <w:r w:rsidRPr="004E0A37">
        <w:rPr>
          <w:rFonts w:hint="cs"/>
          <w:spacing w:val="0"/>
          <w:sz w:val="20"/>
          <w:rtl/>
        </w:rPr>
        <w:t>11-</w:t>
      </w:r>
      <w:r w:rsidRPr="004E0A37">
        <w:rPr>
          <w:rFonts w:hint="cs"/>
          <w:spacing w:val="0"/>
          <w:sz w:val="20"/>
          <w:rtl/>
        </w:rPr>
        <w:tab/>
        <w:t xml:space="preserve">وفي سياق عملية تعزيز هيئات المعاهدات: </w:t>
      </w:r>
    </w:p>
    <w:p w:rsidR="004E0A37" w:rsidRPr="004E0A37" w:rsidRDefault="004E0A37" w:rsidP="00A4030E">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شاركت السيدة غايير في حلقة دراسية عقدت يومي 19 و20 أيلول/</w:t>
      </w:r>
      <w:r w:rsidR="00F96B1E">
        <w:rPr>
          <w:rFonts w:hint="cs"/>
          <w:spacing w:val="0"/>
          <w:sz w:val="20"/>
          <w:rtl/>
        </w:rPr>
        <w:t xml:space="preserve"> </w:t>
      </w:r>
      <w:r w:rsidRPr="004E0A37">
        <w:rPr>
          <w:rFonts w:hint="cs"/>
          <w:spacing w:val="0"/>
          <w:sz w:val="20"/>
          <w:rtl/>
        </w:rPr>
        <w:t>سبتمبر 2011 في بريستول بالمملكة المتحدة لبريطانيا العظمى و</w:t>
      </w:r>
      <w:r w:rsidR="00F64788">
        <w:rPr>
          <w:rFonts w:hint="cs"/>
          <w:spacing w:val="0"/>
          <w:sz w:val="20"/>
          <w:rtl/>
        </w:rPr>
        <w:t>آيرلندا</w:t>
      </w:r>
      <w:r w:rsidRPr="004E0A37">
        <w:rPr>
          <w:rFonts w:hint="cs"/>
          <w:spacing w:val="0"/>
          <w:sz w:val="20"/>
          <w:rtl/>
        </w:rPr>
        <w:t xml:space="preserve"> الشمالية. ونظم هذه الحلقة الدراسية الرفيعة المستوى مركز إعمال حقوق الإنسان التابع لجامعة بريستول وتناولت مسألة تنفيذ الملاحظات الختامية لهيئات معاهدات الأمم المتحدة، في سياق عملية تعزيز هيئات المعاهدات. وبحثت </w:t>
      </w:r>
      <w:r w:rsidR="004B0A06">
        <w:rPr>
          <w:rFonts w:hint="cs"/>
          <w:spacing w:val="0"/>
          <w:sz w:val="20"/>
          <w:rtl/>
        </w:rPr>
        <w:t>مسألتي</w:t>
      </w:r>
      <w:r w:rsidRPr="004E0A37">
        <w:rPr>
          <w:rFonts w:hint="cs"/>
          <w:spacing w:val="0"/>
          <w:sz w:val="20"/>
          <w:rtl/>
        </w:rPr>
        <w:t xml:space="preserve"> تنفيذ ومتابعة الملاحظات الختامية التي تقدمها هيئات معاهدات الأمم المتحدة، مع التركيز أولا</w:t>
      </w:r>
      <w:r w:rsidR="004B0A06">
        <w:rPr>
          <w:rFonts w:hint="cs"/>
          <w:spacing w:val="0"/>
          <w:sz w:val="20"/>
          <w:rtl/>
        </w:rPr>
        <w:t>ً</w:t>
      </w:r>
      <w:r w:rsidRPr="004E0A37">
        <w:rPr>
          <w:rFonts w:hint="cs"/>
          <w:spacing w:val="0"/>
          <w:sz w:val="20"/>
          <w:rtl/>
        </w:rPr>
        <w:t xml:space="preserve"> على دور هيئات المعاهدات ذا</w:t>
      </w:r>
      <w:r w:rsidR="00177429">
        <w:rPr>
          <w:rFonts w:hint="cs"/>
          <w:spacing w:val="0"/>
          <w:sz w:val="20"/>
          <w:rtl/>
        </w:rPr>
        <w:t>ت</w:t>
      </w:r>
      <w:r w:rsidRPr="004E0A37">
        <w:rPr>
          <w:rFonts w:hint="cs"/>
          <w:spacing w:val="0"/>
          <w:sz w:val="20"/>
          <w:rtl/>
        </w:rPr>
        <w:t>ها والمفوضية في متابعة الملاحظات الختامية، وثاني</w:t>
      </w:r>
      <w:r w:rsidR="00173658">
        <w:rPr>
          <w:rFonts w:hint="cs"/>
          <w:spacing w:val="0"/>
          <w:sz w:val="20"/>
          <w:rtl/>
        </w:rPr>
        <w:t xml:space="preserve">اً </w:t>
      </w:r>
      <w:r w:rsidRPr="004E0A37">
        <w:rPr>
          <w:rFonts w:hint="cs"/>
          <w:spacing w:val="0"/>
          <w:sz w:val="20"/>
          <w:rtl/>
        </w:rPr>
        <w:t>على إعمال الأساليب والاستراتيجيات التي تعتمدها السلطات الحكومية وآليات المتابعة التي تعتمدها الأطراف الوطنية الفاعلة الأخرى في المنطقة الأوروبية؛</w:t>
      </w:r>
    </w:p>
    <w:p w:rsidR="004E0A37" w:rsidRPr="004E0A37" w:rsidRDefault="004E0A37" w:rsidP="00780A5B">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 xml:space="preserve">وشاركت السيدة غايير والسيد غروسمان في اجتماع للخبراء نظمته المفوضية السامية لحقوق الإنسان في جنيف، يوم 29 تشرين الأول/أكتوبر 2011، حول الشكاوى المقدمة في إطار هيئات المعاهدات. والغرض من هذا الاجتماع هو إتاحة منبر مفتوح لأعضاء هيئات المعاهدات لمناقشة سبل تعزيز وتوحيد أساليب عملهم القائمة </w:t>
      </w:r>
      <w:r w:rsidR="00F96B1E">
        <w:rPr>
          <w:rFonts w:hint="cs"/>
          <w:spacing w:val="0"/>
          <w:sz w:val="20"/>
          <w:rtl/>
        </w:rPr>
        <w:t>فيما </w:t>
      </w:r>
      <w:r w:rsidRPr="004E0A37">
        <w:rPr>
          <w:rFonts w:hint="cs"/>
          <w:spacing w:val="0"/>
          <w:sz w:val="20"/>
          <w:rtl/>
        </w:rPr>
        <w:t>يتعلق بالنظر في البلاغات الفردية وبحث وتحديد اقتراحات جديدة تساهم في زيادة فعالية عمل هيئات المعاهدات وإبرازه. وركز اجتماع الخبراء بوجه الخصوص على المواضيع التالية:</w:t>
      </w:r>
      <w:r w:rsidR="00F96B1E">
        <w:rPr>
          <w:rFonts w:hint="eastAsia"/>
          <w:spacing w:val="0"/>
          <w:sz w:val="20"/>
          <w:rtl/>
        </w:rPr>
        <w:t> </w:t>
      </w:r>
      <w:r w:rsidRPr="004E0A37">
        <w:rPr>
          <w:rFonts w:hint="cs"/>
          <w:spacing w:val="0"/>
          <w:sz w:val="20"/>
          <w:rtl/>
        </w:rPr>
        <w:t xml:space="preserve">(أ) تعزيز آليات متابعة تنفيذ الدول الأطراف للتوصيات الواردة في استنتاجات هيئات المعاهدات بخصوص الشكاوى المقدمة من الأفراد؛ (ب) تعزيز فعالية التوصيات المقدمة في إطار الإجراء المتعلق بالبلاغات الفردية واستخدامها استخداماً متسقاً؛ (ج) زيادة التعريف بإجراءات تقديم البلاغات وتيسير الوصول إليها؛ (د) استعراض أفضل الممارسات </w:t>
      </w:r>
      <w:r w:rsidR="00F96B1E">
        <w:rPr>
          <w:rFonts w:hint="cs"/>
          <w:spacing w:val="0"/>
          <w:sz w:val="20"/>
          <w:rtl/>
        </w:rPr>
        <w:t>فيما </w:t>
      </w:r>
      <w:r w:rsidRPr="004E0A37">
        <w:rPr>
          <w:rFonts w:hint="cs"/>
          <w:spacing w:val="0"/>
          <w:sz w:val="20"/>
          <w:rtl/>
        </w:rPr>
        <w:t>يتعلق بتطبيق النظم الداخلية وأساليب العمل؛</w:t>
      </w:r>
    </w:p>
    <w:p w:rsidR="004E0A37" w:rsidRPr="00781CE0" w:rsidRDefault="004E0A37" w:rsidP="004E0A37">
      <w:pPr>
        <w:pStyle w:val="SingleTxtGA"/>
        <w:jc w:val="lowKashida"/>
        <w:rPr>
          <w:rFonts w:hint="cs"/>
          <w:spacing w:val="2"/>
          <w:sz w:val="20"/>
          <w:rtl/>
        </w:rPr>
      </w:pPr>
      <w:r w:rsidRPr="00781CE0">
        <w:rPr>
          <w:rFonts w:hint="cs"/>
          <w:spacing w:val="2"/>
          <w:sz w:val="20"/>
          <w:rtl/>
        </w:rPr>
        <w:tab/>
        <w:t>(ج)</w:t>
      </w:r>
      <w:r w:rsidRPr="00781CE0">
        <w:rPr>
          <w:rFonts w:hint="cs"/>
          <w:spacing w:val="2"/>
          <w:sz w:val="20"/>
          <w:rtl/>
        </w:rPr>
        <w:tab/>
        <w:t>شارك السيد غروسمان، بصفته رئيس اللجنة، في اجتماع نظّمته جامعة نوتنغهام في دبلن يومي 10 و11 تشرين الثاني/نوفمبر 2011، جمع مختلف الجهات التي دعت إلى تنظيم الاستشارات السبع السابقة في دبلن ومراكش وبوزنان وسيول وسيون وبريتوريا ولوزيرن، فضلاً عن ممثلين عن تحالف المنظمات غير الحكومية. وشارك في الاجتماع ستة رؤساء لهيئات معاهدات أخرى. وتضمنت الوثيقة الختامية لهذا الاجتماع، الذي يُعرف باسم "اجتماع دبلن الثاني" توصيات موجّهة إلى هيئات المعاهدات والدول والمفوضية السامية لحقوق الإنسان على التوالي. وناقش الاجتماع تدابير عامة تهدف إلى تعزيز هيئات المعاهدات، بما في ذلك تدابير تتعلق بالعضوية وتوحيد إجراءات هيئات المعاهدات وترويج المعارف المتعلقة بمنظومة هيئات المعاهدات، والأعمال الانتقامية، والموارد، ووظائف هيئات المعاهدات، وعملية تقديم التقارير من جانب الدول، والتعليقات العامة، والبلاغات الفردية، ومتابعة الملاحظات الختامية والآراء ووضعها موضع التنفيذ. وسعياً إلى تعزيز العضوية، قُدمت توصيات تهدف بوجه خاص إلى أن تقتصر العضوية، كقاعدة عامة ودون المساس بالولايات المنوطة</w:t>
      </w:r>
      <w:r w:rsidR="003549AC">
        <w:rPr>
          <w:rFonts w:hint="cs"/>
          <w:spacing w:val="2"/>
          <w:sz w:val="20"/>
          <w:rtl/>
        </w:rPr>
        <w:t xml:space="preserve"> حالياً </w:t>
      </w:r>
      <w:r w:rsidRPr="00781CE0">
        <w:rPr>
          <w:rFonts w:hint="cs"/>
          <w:spacing w:val="2"/>
          <w:sz w:val="20"/>
          <w:rtl/>
        </w:rPr>
        <w:t xml:space="preserve">بأعضاء هيئات المعاهدات، على ولايتين كاملتين كأقصى حد بغية ضمان تجديد عضوية هيئات المعاهدات وتنوعها، كما تهدف التوصيات إلى حمل الدول على وضع إطار لتنظيم استشارة رسمية وعمليات انتقاء وطنية شفافة تُشرك المؤسسات الوطنية لحقوق الإنسان والجهات الفاعلة في المجتمع المدني من أجل النظر في تقديم ترشيحات ممكنة إلى هيئات المعاهدات وتوجيه توصيات إلى الحكومات. ويمكن الحصول على نص تقرير اجتماع دبلن الثاني وغيره من الوثائق ذات الصلة المتعلقة بتعزيز هيئات المعاهدات من موقع المفوضية السامية لحقوق الإنسان على شبكة الإنترنت </w:t>
      </w:r>
      <w:r w:rsidRPr="00781CE0">
        <w:rPr>
          <w:spacing w:val="2"/>
          <w:sz w:val="20"/>
          <w:rtl/>
        </w:rPr>
        <w:t>(</w:t>
      </w:r>
      <w:r w:rsidRPr="00781CE0">
        <w:rPr>
          <w:spacing w:val="2"/>
          <w:sz w:val="20"/>
        </w:rPr>
        <w:t>http://www2.ohchr.org/english/bodies/HRTD/hrtd_process.htm</w:t>
      </w:r>
      <w:r w:rsidRPr="00781CE0">
        <w:rPr>
          <w:spacing w:val="2"/>
          <w:sz w:val="20"/>
          <w:rtl/>
        </w:rPr>
        <w:t>)</w:t>
      </w:r>
      <w:r w:rsidRPr="00781CE0">
        <w:rPr>
          <w:rFonts w:hint="cs"/>
          <w:spacing w:val="2"/>
          <w:sz w:val="20"/>
          <w:rtl/>
        </w:rPr>
        <w:t>؛</w:t>
      </w:r>
    </w:p>
    <w:p w:rsidR="004E0A37" w:rsidRPr="004E0A37" w:rsidRDefault="004E0A37" w:rsidP="004E0A37">
      <w:pPr>
        <w:pStyle w:val="SingleTxtGA"/>
        <w:jc w:val="lowKashida"/>
        <w:rPr>
          <w:rFonts w:hint="cs"/>
          <w:spacing w:val="0"/>
          <w:sz w:val="20"/>
          <w:rtl/>
        </w:rPr>
      </w:pPr>
      <w:r w:rsidRPr="004E0A37">
        <w:rPr>
          <w:rFonts w:hint="cs"/>
          <w:spacing w:val="0"/>
          <w:sz w:val="20"/>
          <w:rtl/>
        </w:rPr>
        <w:tab/>
        <w:t>(د)</w:t>
      </w:r>
      <w:r w:rsidRPr="004E0A37">
        <w:rPr>
          <w:rFonts w:hint="cs"/>
          <w:spacing w:val="0"/>
          <w:sz w:val="20"/>
          <w:rtl/>
        </w:rPr>
        <w:tab/>
        <w:t>وشارك السيد بروني في استشارة نظمّتها المفوضية السامية لحقوق الإنسان مع الدول في جنيف يومي 7 و8 شباط/فبراير 2012. ونُظّم هذا الحدث تلبية لرغبة عدد كبير من الدول التي كانت قد طلبت تخصيص وقت إضافي لمواصلة المناقشات التي جرت في سيون في أيار/مايو 2011. وقدمت المفوضية عرضاً عن الحقائق والأرقام المتعلقة بنمو منظومة هيئات المعاهدات وتمويلها، كما قدمت المقترحات الواردة في تقرير الأمين العام إلى الجمعية العامة (</w:t>
      </w:r>
      <w:r w:rsidRPr="004E0A37">
        <w:rPr>
          <w:spacing w:val="0"/>
          <w:sz w:val="20"/>
        </w:rPr>
        <w:t>A/66/344</w:t>
      </w:r>
      <w:r w:rsidRPr="004E0A37">
        <w:rPr>
          <w:rFonts w:hint="cs"/>
          <w:spacing w:val="0"/>
          <w:sz w:val="20"/>
          <w:rtl/>
        </w:rPr>
        <w:t xml:space="preserve">). وأشارت شعبة إدارة المؤتمرات إلى التحديات القائمة </w:t>
      </w:r>
      <w:r w:rsidR="00F96B1E">
        <w:rPr>
          <w:rFonts w:hint="cs"/>
          <w:spacing w:val="0"/>
          <w:sz w:val="20"/>
          <w:rtl/>
        </w:rPr>
        <w:t>فيما </w:t>
      </w:r>
      <w:r w:rsidRPr="004E0A37">
        <w:rPr>
          <w:rFonts w:hint="cs"/>
          <w:spacing w:val="0"/>
          <w:sz w:val="20"/>
          <w:rtl/>
        </w:rPr>
        <w:t xml:space="preserve">يتعلق بدعم هيئات المعاهدات واقترحت بدائل ممكنة لدعم خدمة المؤتمرات. إضافة إلى ذلك، قُدم عرض عن الجدول الزمني الكامل لتقديم التقارير. وترد </w:t>
      </w:r>
      <w:r w:rsidR="00F96B1E">
        <w:rPr>
          <w:rFonts w:hint="cs"/>
          <w:spacing w:val="0"/>
          <w:sz w:val="20"/>
          <w:rtl/>
        </w:rPr>
        <w:t>فيما </w:t>
      </w:r>
      <w:r w:rsidRPr="004E0A37">
        <w:rPr>
          <w:rFonts w:hint="cs"/>
          <w:spacing w:val="0"/>
          <w:sz w:val="20"/>
          <w:rtl/>
        </w:rPr>
        <w:t>يلي المقترحات الرئيسية المتعلقة بعملية تعزيز هيئات المعاهدات: ‘1‘ جدول زمني شامل لتقديم التقارير يستند إلى معدل امتثال ب‍ 100 في المائة على مدى دورة إبلاغ مدتها خمس سنوات؛ ‘2‘ قائمة المسائل السابقة لتقديم التقارير كأداة تساعد الدول في إعداد تقارير مركّزة وتسمح لهيئة المعاهدة بصياغة توصيات هادفة؛ ‘3‘ مبادئ توجيهية تتعلق باستقلالية أعضاء اللجان وخبرتهم؛ ‘4‘ حوار بنّاء بين هيئات المعاهدات والدول الأطراف يكون أكثر تنظيماً وأكثر كفاءة؛</w:t>
      </w:r>
    </w:p>
    <w:p w:rsidR="004E0A37" w:rsidRPr="00F80FBA" w:rsidRDefault="004E0A37" w:rsidP="006C3172">
      <w:pPr>
        <w:pStyle w:val="SingleTxtGA"/>
        <w:jc w:val="lowKashida"/>
        <w:rPr>
          <w:rFonts w:hint="cs"/>
          <w:spacing w:val="0"/>
          <w:kern w:val="0"/>
          <w:sz w:val="20"/>
          <w:rtl/>
        </w:rPr>
      </w:pPr>
      <w:r w:rsidRPr="00F80FBA">
        <w:rPr>
          <w:rFonts w:hint="cs"/>
          <w:spacing w:val="0"/>
          <w:kern w:val="0"/>
          <w:sz w:val="20"/>
          <w:rtl/>
        </w:rPr>
        <w:tab/>
        <w:t>(ﻫ)</w:t>
      </w:r>
      <w:r w:rsidRPr="00F80FBA">
        <w:rPr>
          <w:rFonts w:hint="cs"/>
          <w:spacing w:val="0"/>
          <w:kern w:val="0"/>
          <w:sz w:val="20"/>
          <w:rtl/>
        </w:rPr>
        <w:tab/>
        <w:t>وشارك كل من السيدة غايير والسيد غروسمان في الاستشارة التي نظّمتها المفوضية السامية لحقوق الإنسان مع الدول في نيويورك يومي 2 و3 نيسان/أبريل 2012. وهذه الاستشارة، التي افتتحها الأمين العام، هي استمراراً للمشاورات السابقة التي جرت مع الدول الأطراف. وركّزت هذه الاستشارة بوجه خاص على مسألة توفير الموارد لنظام هيئات المعاهدات من أجل ضمان سيره بكفاءة وفعالية. وقدمت المفوضية عرض</w:t>
      </w:r>
      <w:r w:rsidR="00173658" w:rsidRPr="00F80FBA">
        <w:rPr>
          <w:rFonts w:hint="cs"/>
          <w:spacing w:val="0"/>
          <w:kern w:val="0"/>
          <w:sz w:val="20"/>
          <w:rtl/>
        </w:rPr>
        <w:t xml:space="preserve">اً </w:t>
      </w:r>
      <w:r w:rsidRPr="00F80FBA">
        <w:rPr>
          <w:rFonts w:hint="cs"/>
          <w:spacing w:val="0"/>
          <w:kern w:val="0"/>
          <w:sz w:val="20"/>
          <w:rtl/>
        </w:rPr>
        <w:t xml:space="preserve">عن اقتراح بشأن </w:t>
      </w:r>
      <w:r w:rsidRPr="00F80FBA">
        <w:rPr>
          <w:rFonts w:hint="cs"/>
          <w:spacing w:val="0"/>
          <w:kern w:val="0"/>
          <w:sz w:val="20"/>
          <w:rtl/>
          <w:lang/>
        </w:rPr>
        <w:t xml:space="preserve">جدول زمني شامل لتقديم التقارير. ومن المسائل التي نوقشت أيضاً: </w:t>
      </w:r>
      <w:r w:rsidR="00781CE0" w:rsidRPr="00F80FBA">
        <w:rPr>
          <w:rFonts w:hint="cs"/>
          <w:spacing w:val="0"/>
          <w:kern w:val="0"/>
          <w:sz w:val="20"/>
          <w:rtl/>
          <w:lang/>
        </w:rPr>
        <w:t>‘</w:t>
      </w:r>
      <w:r w:rsidRPr="00F80FBA">
        <w:rPr>
          <w:rFonts w:hint="cs"/>
          <w:spacing w:val="0"/>
          <w:kern w:val="0"/>
          <w:sz w:val="20"/>
          <w:rtl/>
          <w:lang/>
        </w:rPr>
        <w:t>1‘ العضوية في هيئات</w:t>
      </w:r>
      <w:r w:rsidR="00780A5B" w:rsidRPr="00F80FBA">
        <w:rPr>
          <w:rFonts w:hint="eastAsia"/>
          <w:spacing w:val="0"/>
          <w:kern w:val="0"/>
          <w:sz w:val="20"/>
          <w:rtl/>
          <w:lang/>
        </w:rPr>
        <w:t> </w:t>
      </w:r>
      <w:r w:rsidRPr="00F80FBA">
        <w:rPr>
          <w:rFonts w:hint="cs"/>
          <w:spacing w:val="0"/>
          <w:kern w:val="0"/>
          <w:sz w:val="20"/>
          <w:rtl/>
          <w:lang/>
        </w:rPr>
        <w:t xml:space="preserve">المعاهدات؛ </w:t>
      </w:r>
      <w:r w:rsidR="00781CE0" w:rsidRPr="00F80FBA">
        <w:rPr>
          <w:rFonts w:hint="cs"/>
          <w:spacing w:val="0"/>
          <w:kern w:val="0"/>
          <w:sz w:val="20"/>
          <w:rtl/>
          <w:lang/>
        </w:rPr>
        <w:t>‘</w:t>
      </w:r>
      <w:r w:rsidRPr="00F80FBA">
        <w:rPr>
          <w:rFonts w:hint="cs"/>
          <w:spacing w:val="0"/>
          <w:kern w:val="0"/>
          <w:sz w:val="20"/>
          <w:rtl/>
          <w:lang/>
        </w:rPr>
        <w:t>2‘</w:t>
      </w:r>
      <w:r w:rsidR="006C3172" w:rsidRPr="00F80FBA">
        <w:rPr>
          <w:rFonts w:hint="eastAsia"/>
          <w:spacing w:val="0"/>
          <w:kern w:val="0"/>
          <w:sz w:val="20"/>
          <w:rtl/>
          <w:lang/>
        </w:rPr>
        <w:t> </w:t>
      </w:r>
      <w:r w:rsidRPr="00F80FBA">
        <w:rPr>
          <w:rFonts w:hint="cs"/>
          <w:spacing w:val="0"/>
          <w:kern w:val="0"/>
          <w:sz w:val="20"/>
          <w:rtl/>
          <w:lang/>
        </w:rPr>
        <w:t xml:space="preserve">إعداد تقارير الدول الأطراف؛ </w:t>
      </w:r>
      <w:r w:rsidR="00781CE0" w:rsidRPr="00F80FBA">
        <w:rPr>
          <w:rFonts w:hint="cs"/>
          <w:spacing w:val="0"/>
          <w:kern w:val="0"/>
          <w:sz w:val="20"/>
          <w:rtl/>
          <w:lang/>
        </w:rPr>
        <w:t>‘</w:t>
      </w:r>
      <w:r w:rsidRPr="00F80FBA">
        <w:rPr>
          <w:rFonts w:hint="cs"/>
          <w:spacing w:val="0"/>
          <w:kern w:val="0"/>
          <w:sz w:val="20"/>
          <w:rtl/>
          <w:lang/>
        </w:rPr>
        <w:t>3‘</w:t>
      </w:r>
      <w:r w:rsidR="00553388" w:rsidRPr="00F80FBA">
        <w:rPr>
          <w:rFonts w:hint="cs"/>
          <w:spacing w:val="0"/>
          <w:kern w:val="0"/>
          <w:sz w:val="20"/>
          <w:rtl/>
          <w:lang/>
        </w:rPr>
        <w:t xml:space="preserve"> </w:t>
      </w:r>
      <w:r w:rsidRPr="00F80FBA">
        <w:rPr>
          <w:rFonts w:hint="cs"/>
          <w:spacing w:val="0"/>
          <w:kern w:val="0"/>
          <w:sz w:val="20"/>
          <w:rtl/>
          <w:lang/>
        </w:rPr>
        <w:t>الحوار بين الدول الأطراف وهيئات</w:t>
      </w:r>
      <w:r w:rsidR="00780A5B" w:rsidRPr="00F80FBA">
        <w:rPr>
          <w:rFonts w:hint="eastAsia"/>
          <w:spacing w:val="0"/>
          <w:kern w:val="0"/>
          <w:sz w:val="20"/>
          <w:rtl/>
          <w:lang/>
        </w:rPr>
        <w:t> </w:t>
      </w:r>
      <w:r w:rsidRPr="00F80FBA">
        <w:rPr>
          <w:rFonts w:hint="cs"/>
          <w:spacing w:val="0"/>
          <w:kern w:val="0"/>
          <w:sz w:val="20"/>
          <w:rtl/>
          <w:lang/>
        </w:rPr>
        <w:t>المعاهدات.</w:t>
      </w:r>
    </w:p>
    <w:p w:rsidR="004E0A37" w:rsidRPr="004E0A37" w:rsidRDefault="004E0A37" w:rsidP="00781CE0">
      <w:pPr>
        <w:pStyle w:val="H1GA"/>
        <w:rPr>
          <w:rFonts w:hint="cs"/>
          <w:rtl/>
        </w:rPr>
      </w:pPr>
      <w:r w:rsidRPr="004E0A37">
        <w:rPr>
          <w:rFonts w:hint="cs"/>
          <w:rtl/>
        </w:rPr>
        <w:tab/>
        <w:t>حاء-</w:t>
      </w:r>
      <w:r w:rsidRPr="004E0A37">
        <w:rPr>
          <w:rFonts w:hint="cs"/>
          <w:rtl/>
        </w:rPr>
        <w:tab/>
        <w:t>التقرير الشفوي المقدم من الرئيس إلى الجمعية العامة</w:t>
      </w:r>
    </w:p>
    <w:p w:rsidR="004E0A37" w:rsidRPr="004E0A37" w:rsidRDefault="004E0A37" w:rsidP="004E0A37">
      <w:pPr>
        <w:pStyle w:val="SingleTxtGA"/>
        <w:jc w:val="lowKashida"/>
        <w:rPr>
          <w:rFonts w:hint="cs"/>
          <w:spacing w:val="0"/>
          <w:sz w:val="20"/>
          <w:rtl/>
        </w:rPr>
      </w:pPr>
      <w:r w:rsidRPr="004E0A37">
        <w:rPr>
          <w:rFonts w:hint="cs"/>
          <w:spacing w:val="0"/>
          <w:sz w:val="20"/>
          <w:rtl/>
        </w:rPr>
        <w:t>12-</w:t>
      </w:r>
      <w:r w:rsidRPr="004E0A37">
        <w:rPr>
          <w:rFonts w:hint="cs"/>
          <w:spacing w:val="0"/>
          <w:sz w:val="20"/>
          <w:rtl/>
        </w:rPr>
        <w:tab/>
        <w:t xml:space="preserve">استجابةً لدعوة وُجّهت إلى رئيس اللجنة من أجل تقديم تقرير شفوي عن أعمال اللجنة وبدء حوار تفاعلي مع الجمعية العامة في دورتها السادسة والستين في إطار البند الفرعي المعنون "تنفيذ صكوك حقوق الإنسان" (الفقرة 28 من قرار الجمعية العامة 65/205)، قدّم رئيس اللجنة تقريراً شفوياً إلى الجمعية العامة في دورتها السادسة والستين في 18 تشرين الأول/أكتوبر 2011. ويمكن الاطلاع على التقرير في موقع المفوضية السامية لحقوق الإنسان على شبكة الإنترنت </w:t>
      </w:r>
      <w:r w:rsidRPr="004E0A37">
        <w:rPr>
          <w:spacing w:val="0"/>
          <w:sz w:val="20"/>
          <w:rtl/>
        </w:rPr>
        <w:t>(</w:t>
      </w:r>
      <w:r w:rsidRPr="004E0A37">
        <w:rPr>
          <w:spacing w:val="0"/>
          <w:sz w:val="20"/>
        </w:rPr>
        <w:t>http://www2.ohchr.org/english/bodies/cat/index.htm</w:t>
      </w:r>
      <w:r w:rsidRPr="004E0A37">
        <w:rPr>
          <w:spacing w:val="0"/>
          <w:sz w:val="20"/>
          <w:rtl/>
        </w:rPr>
        <w:t>).</w:t>
      </w:r>
    </w:p>
    <w:p w:rsidR="004E0A37" w:rsidRPr="004E0A37" w:rsidRDefault="004E0A37" w:rsidP="00781CE0">
      <w:pPr>
        <w:pStyle w:val="H1GA"/>
        <w:rPr>
          <w:rFonts w:hint="cs"/>
          <w:rtl/>
        </w:rPr>
      </w:pPr>
      <w:r w:rsidRPr="004E0A37">
        <w:rPr>
          <w:rFonts w:hint="cs"/>
          <w:rtl/>
        </w:rPr>
        <w:tab/>
        <w:t>طاء-</w:t>
      </w:r>
      <w:r w:rsidRPr="004E0A37">
        <w:rPr>
          <w:rFonts w:hint="cs"/>
          <w:rtl/>
        </w:rPr>
        <w:tab/>
        <w:t xml:space="preserve">أنشطة اللجنة </w:t>
      </w:r>
      <w:r w:rsidR="00F96B1E">
        <w:rPr>
          <w:rFonts w:hint="cs"/>
          <w:rtl/>
        </w:rPr>
        <w:t>فيما </w:t>
      </w:r>
      <w:r w:rsidRPr="004E0A37">
        <w:rPr>
          <w:rFonts w:hint="cs"/>
          <w:rtl/>
        </w:rPr>
        <w:t>يتعلق بالبروتوكول الاختياري للاتفاقية</w:t>
      </w:r>
    </w:p>
    <w:p w:rsidR="004E0A37" w:rsidRPr="00B37BBB" w:rsidRDefault="004E0A37" w:rsidP="00B37BBB">
      <w:pPr>
        <w:pStyle w:val="SingleTxtGA"/>
        <w:jc w:val="lowKashida"/>
        <w:rPr>
          <w:rFonts w:hint="cs"/>
          <w:spacing w:val="-2"/>
          <w:sz w:val="20"/>
          <w:rtl/>
        </w:rPr>
      </w:pPr>
      <w:r w:rsidRPr="00B37BBB">
        <w:rPr>
          <w:rFonts w:hint="cs"/>
          <w:spacing w:val="-2"/>
          <w:sz w:val="20"/>
          <w:rtl/>
        </w:rPr>
        <w:t>13-</w:t>
      </w:r>
      <w:r w:rsidRPr="00B37BBB">
        <w:rPr>
          <w:rFonts w:hint="cs"/>
          <w:spacing w:val="-2"/>
          <w:sz w:val="20"/>
          <w:rtl/>
        </w:rPr>
        <w:tab/>
        <w:t>في 1 حزيران/يونيه 2012، بلغ عدد الدول الأطراف في البروتوكول الاختياري 63 دولة (انظر المرفق الخامس بهذا التقرير). وعملاً بما يقتضيه البروتوكول الاختياري للاتفاقية، عُقد في 16 تشرين الثاني/نوفمبر 2011 اجتماع مشترك بين أعضاء اللجنة ولجنتها الفرعية لمنع</w:t>
      </w:r>
      <w:r w:rsidR="00B37BBB">
        <w:rPr>
          <w:rFonts w:hint="eastAsia"/>
          <w:spacing w:val="-2"/>
          <w:sz w:val="20"/>
          <w:rtl/>
        </w:rPr>
        <w:t> </w:t>
      </w:r>
      <w:r w:rsidRPr="00B37BBB">
        <w:rPr>
          <w:rFonts w:hint="cs"/>
          <w:spacing w:val="-2"/>
          <w:sz w:val="20"/>
          <w:rtl/>
        </w:rPr>
        <w:t xml:space="preserve">التعذيب وغيره من ضروب المعاملة أو العقوبة القاسية أو اللاإنسانية أو المهينة (يُشار إليها </w:t>
      </w:r>
      <w:r w:rsidR="00F96B1E" w:rsidRPr="00B37BBB">
        <w:rPr>
          <w:rFonts w:hint="cs"/>
          <w:spacing w:val="-2"/>
          <w:sz w:val="20"/>
          <w:rtl/>
        </w:rPr>
        <w:t>فيما </w:t>
      </w:r>
      <w:r w:rsidRPr="00B37BBB">
        <w:rPr>
          <w:rFonts w:hint="cs"/>
          <w:spacing w:val="-2"/>
          <w:sz w:val="20"/>
          <w:rtl/>
        </w:rPr>
        <w:t xml:space="preserve">يلي باسم "اللجنة الفرعية لمنع التعذيب"). وواصلت اللجنة ولجنتها الفرعية لمنع التعذيب (ترد في المرفق السادس قائمة بأسماء أعضاء اللجنة الفرعية لمنع التعذيب) مناقشة مسألة تعزيز طرائق التعاون، من قبيل تبادل المعلومات، مع مراعاة شروط السرية. </w:t>
      </w:r>
    </w:p>
    <w:p w:rsidR="004E0A37" w:rsidRPr="004E0A37" w:rsidRDefault="004E0A37" w:rsidP="00A4030E">
      <w:pPr>
        <w:pStyle w:val="SingleTxtGA"/>
        <w:jc w:val="lowKashida"/>
        <w:rPr>
          <w:rFonts w:hint="cs"/>
          <w:spacing w:val="0"/>
          <w:sz w:val="20"/>
          <w:rtl/>
        </w:rPr>
      </w:pPr>
      <w:r w:rsidRPr="004E0A37">
        <w:rPr>
          <w:rFonts w:hint="cs"/>
          <w:spacing w:val="0"/>
          <w:sz w:val="20"/>
          <w:rtl/>
        </w:rPr>
        <w:t>14-</w:t>
      </w:r>
      <w:r w:rsidRPr="004E0A37">
        <w:rPr>
          <w:rFonts w:hint="cs"/>
          <w:spacing w:val="0"/>
          <w:sz w:val="20"/>
          <w:rtl/>
        </w:rPr>
        <w:tab/>
        <w:t>وعُقد اجتماع آخر بين اللجنة ورئيس اللجنة الفرعية لمنع التعذيب في 8 أيار/</w:t>
      </w:r>
      <w:r w:rsidR="00B37BBB">
        <w:rPr>
          <w:rFonts w:hint="cs"/>
          <w:spacing w:val="0"/>
          <w:sz w:val="20"/>
          <w:rtl/>
        </w:rPr>
        <w:t xml:space="preserve"> </w:t>
      </w:r>
      <w:r w:rsidRPr="004E0A37">
        <w:rPr>
          <w:rFonts w:hint="cs"/>
          <w:spacing w:val="0"/>
          <w:sz w:val="20"/>
          <w:rtl/>
        </w:rPr>
        <w:t>مايو</w:t>
      </w:r>
      <w:r w:rsidR="00A4030E">
        <w:rPr>
          <w:rFonts w:hint="eastAsia"/>
          <w:spacing w:val="0"/>
          <w:sz w:val="20"/>
          <w:rtl/>
        </w:rPr>
        <w:t> </w:t>
      </w:r>
      <w:r w:rsidRPr="004E0A37">
        <w:rPr>
          <w:rFonts w:hint="cs"/>
          <w:spacing w:val="0"/>
          <w:sz w:val="20"/>
          <w:rtl/>
        </w:rPr>
        <w:t>2012 قدّمت فيه اللجنة الفرعية تقريرها السنوي العلني الخامس إلى اللجنة (</w:t>
      </w:r>
      <w:r w:rsidRPr="004E0A37">
        <w:rPr>
          <w:spacing w:val="0"/>
          <w:sz w:val="20"/>
        </w:rPr>
        <w:t>CAT/C/48/3</w:t>
      </w:r>
      <w:r w:rsidRPr="004E0A37">
        <w:rPr>
          <w:rFonts w:hint="cs"/>
          <w:spacing w:val="0"/>
          <w:sz w:val="20"/>
          <w:rtl/>
        </w:rPr>
        <w:t>). وقررت اللجنة أن تُدرج التقرير في هذا التقرير السنوي (انظر المرفق السابع) وأن تُحيله إلى الجمعية العامة.</w:t>
      </w:r>
    </w:p>
    <w:p w:rsidR="004E0A37" w:rsidRPr="004E0A37" w:rsidRDefault="004E0A37" w:rsidP="00781CE0">
      <w:pPr>
        <w:pStyle w:val="H1GA"/>
        <w:rPr>
          <w:rFonts w:hint="cs"/>
          <w:rtl/>
        </w:rPr>
      </w:pPr>
      <w:r w:rsidRPr="004E0A37">
        <w:rPr>
          <w:rFonts w:hint="cs"/>
          <w:rtl/>
        </w:rPr>
        <w:tab/>
        <w:t>ياء-</w:t>
      </w:r>
      <w:r w:rsidRPr="004E0A37">
        <w:rPr>
          <w:rFonts w:hint="cs"/>
          <w:rtl/>
        </w:rPr>
        <w:tab/>
        <w:t>بيان مشترك بمناسبة يوم الأمم المتحدة الدولي لمساندة ضحايا التعذيب</w:t>
      </w:r>
    </w:p>
    <w:p w:rsidR="004E0A37" w:rsidRPr="00620695" w:rsidRDefault="004E0A37" w:rsidP="004E0A37">
      <w:pPr>
        <w:pStyle w:val="SingleTxtGA"/>
        <w:jc w:val="lowKashida"/>
        <w:rPr>
          <w:rFonts w:hint="cs"/>
          <w:spacing w:val="-2"/>
          <w:sz w:val="20"/>
          <w:rtl/>
        </w:rPr>
      </w:pPr>
      <w:r w:rsidRPr="00620695">
        <w:rPr>
          <w:rFonts w:hint="cs"/>
          <w:spacing w:val="-2"/>
          <w:sz w:val="20"/>
          <w:rtl/>
        </w:rPr>
        <w:t>15-</w:t>
      </w:r>
      <w:r w:rsidRPr="00620695">
        <w:rPr>
          <w:rFonts w:hint="cs"/>
          <w:spacing w:val="-2"/>
          <w:sz w:val="20"/>
          <w:rtl/>
        </w:rPr>
        <w:tab/>
        <w:t>اعتُمد بيان مشترك عن اللجنة الفرعية لمنع التعذيب والمقرر الخاص المعني بمسألة التعذيب وغيره من ضروب المعاملة أو العقوبة القاسية أو اللاإنسانية أو المهينة ومجلس أمناء صندوق الأمم المتحدة للتبرعات لضحايا التعذيب وتقرّر صدوره في 26 حزيران/يونيه 2011، وهو يوم الأمم المتحدة الدولي لمساندة ضحايا التعذيب (انظر المرفق الثامن بهذا التقرير).</w:t>
      </w:r>
    </w:p>
    <w:p w:rsidR="004E0A37" w:rsidRPr="004E0A37" w:rsidRDefault="004E0A37" w:rsidP="00781CE0">
      <w:pPr>
        <w:pStyle w:val="H1GA"/>
        <w:rPr>
          <w:rFonts w:hint="cs"/>
          <w:rtl/>
        </w:rPr>
      </w:pPr>
      <w:r w:rsidRPr="004E0A37">
        <w:rPr>
          <w:rFonts w:hint="cs"/>
          <w:rtl/>
        </w:rPr>
        <w:tab/>
        <w:t>كاف-</w:t>
      </w:r>
      <w:r w:rsidRPr="004E0A37">
        <w:rPr>
          <w:rFonts w:hint="cs"/>
          <w:rtl/>
        </w:rPr>
        <w:tab/>
        <w:t>الاجتماع غير الرسمي مع الدول الأطراف في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16-</w:t>
      </w:r>
      <w:r w:rsidRPr="004E0A37">
        <w:rPr>
          <w:rFonts w:hint="cs"/>
          <w:spacing w:val="0"/>
          <w:sz w:val="20"/>
          <w:rtl/>
        </w:rPr>
        <w:tab/>
        <w:t>عقدت اللجنة في 14 أيار/مايو 2012 خلال دورتها الثامنة والأربعين اجتماعاً غير رسمي مع الدول الأطراف في الاتفاقية حضره ممثلون عن 32 دولة طرفاً. وناقشت اللجنة والدول الأطراف القضايا التالية: أساليب عمل اللجنة؛ توحيد أساليب العمل بين هيئات المعاهدات؛ الإجراء الاختياري للجنة المتعلق بالإبلاغ، الذي يتألف من قوائم المسائل التي ينبغي إحالتها قبل تقديم التقارير الدورية؛ التعليقات العامة.</w:t>
      </w:r>
    </w:p>
    <w:p w:rsidR="004E0A37" w:rsidRPr="004E0A37" w:rsidRDefault="004E0A37" w:rsidP="00781CE0">
      <w:pPr>
        <w:pStyle w:val="H1GA"/>
        <w:rPr>
          <w:rFonts w:hint="cs"/>
          <w:rtl/>
        </w:rPr>
      </w:pPr>
      <w:r w:rsidRPr="004E0A37">
        <w:rPr>
          <w:rFonts w:hint="cs"/>
          <w:rtl/>
        </w:rPr>
        <w:tab/>
        <w:t>لام-</w:t>
      </w:r>
      <w:r w:rsidRPr="004E0A37">
        <w:rPr>
          <w:rFonts w:hint="cs"/>
          <w:rtl/>
        </w:rPr>
        <w:tab/>
        <w:t>مشاركة المنظمات غير الحكومية</w:t>
      </w:r>
    </w:p>
    <w:p w:rsidR="004E0A37" w:rsidRPr="004E0A37" w:rsidRDefault="004E0A37" w:rsidP="004E0A37">
      <w:pPr>
        <w:pStyle w:val="SingleTxtGA"/>
        <w:jc w:val="lowKashida"/>
        <w:rPr>
          <w:rFonts w:hint="cs"/>
          <w:spacing w:val="0"/>
          <w:sz w:val="20"/>
          <w:rtl/>
        </w:rPr>
      </w:pPr>
      <w:r w:rsidRPr="004E0A37">
        <w:rPr>
          <w:rFonts w:hint="cs"/>
          <w:spacing w:val="0"/>
          <w:sz w:val="20"/>
          <w:rtl/>
        </w:rPr>
        <w:t>17-</w:t>
      </w:r>
      <w:r w:rsidRPr="004E0A37">
        <w:rPr>
          <w:rFonts w:hint="cs"/>
          <w:spacing w:val="0"/>
          <w:sz w:val="20"/>
          <w:rtl/>
        </w:rPr>
        <w:tab/>
        <w:t>عقدت اللجنة في 11 أيار/مايو 2012، خلال دورتها الثامنة والأربعين، اجتماعاً غير رسمي مع ممثلي 17 منظمة غير حكومية من المنظمات التي دأبت على تقديم معلومات إلى اللجنة، وناقشت معها القضايا التالية: أساليب عمل اللجنة؛ توحيد أساليب العمل بين هيئات المعاهدات؛ الإجراء الاختياري للجنة المتعلق بالإبلاغ؛ التعليقات العامة.</w:t>
      </w:r>
    </w:p>
    <w:p w:rsidR="004E0A37" w:rsidRPr="004E0A37" w:rsidRDefault="004E0A37" w:rsidP="004E0A37">
      <w:pPr>
        <w:pStyle w:val="SingleTxtGA"/>
        <w:jc w:val="lowKashida"/>
        <w:rPr>
          <w:rFonts w:hint="cs"/>
          <w:spacing w:val="0"/>
          <w:sz w:val="20"/>
          <w:rtl/>
        </w:rPr>
      </w:pPr>
      <w:r w:rsidRPr="004E0A37">
        <w:rPr>
          <w:rFonts w:hint="cs"/>
          <w:spacing w:val="0"/>
          <w:sz w:val="20"/>
          <w:rtl/>
        </w:rPr>
        <w:t>18-</w:t>
      </w:r>
      <w:r w:rsidRPr="004E0A37">
        <w:rPr>
          <w:rFonts w:hint="cs"/>
          <w:spacing w:val="0"/>
          <w:sz w:val="20"/>
          <w:rtl/>
        </w:rPr>
        <w:tab/>
        <w:t>وقد اعترفت اللجنة منذ وقت طويل بعمل المنظمات غير الحكومية واجتمعت معها في جلسات خاصة، وُفّرت لها خدمات الترجمة الشفوية، في اليوم الذي يسبق مباشرة موعد النظر في تقرير كل دولة طرف بموجب المادة 19 من الاتفاقية. وتُعرب اللجنة عن تقديرها للمنظمات غير الحكومية لمشاركتها في هذه الجلسات وتُبدي تقديرها الخاص لحضور المنظمات غير الحكومية الوطنية التي تُقدّم معلومات فورية ومباشرة.</w:t>
      </w:r>
    </w:p>
    <w:p w:rsidR="004E0A37" w:rsidRPr="004E0A37" w:rsidRDefault="004E0A37" w:rsidP="00781CE0">
      <w:pPr>
        <w:pStyle w:val="H1GA"/>
        <w:rPr>
          <w:rFonts w:hint="cs"/>
          <w:rtl/>
        </w:rPr>
      </w:pPr>
      <w:r w:rsidRPr="004E0A37">
        <w:rPr>
          <w:rFonts w:hint="cs"/>
          <w:rtl/>
        </w:rPr>
        <w:tab/>
        <w:t>ميم-</w:t>
      </w:r>
      <w:r w:rsidRPr="004E0A37">
        <w:rPr>
          <w:rFonts w:hint="cs"/>
          <w:rtl/>
        </w:rPr>
        <w:tab/>
        <w:t>مشاركة المؤسسات الوطنية لحقوق الإنسان</w:t>
      </w:r>
    </w:p>
    <w:p w:rsidR="004E0A37" w:rsidRPr="004E0A37" w:rsidRDefault="004E0A37" w:rsidP="004E0A37">
      <w:pPr>
        <w:pStyle w:val="SingleTxtGA"/>
        <w:jc w:val="lowKashida"/>
        <w:rPr>
          <w:rFonts w:hint="cs"/>
          <w:spacing w:val="0"/>
          <w:sz w:val="20"/>
          <w:rtl/>
        </w:rPr>
      </w:pPr>
      <w:r w:rsidRPr="004E0A37">
        <w:rPr>
          <w:rFonts w:hint="cs"/>
          <w:spacing w:val="0"/>
          <w:sz w:val="20"/>
          <w:rtl/>
        </w:rPr>
        <w:t>19-</w:t>
      </w:r>
      <w:r w:rsidRPr="004E0A37">
        <w:rPr>
          <w:rFonts w:hint="cs"/>
          <w:spacing w:val="0"/>
          <w:sz w:val="20"/>
          <w:rtl/>
        </w:rPr>
        <w:tab/>
        <w:t>وعلى نفس المنوال، اعترفت اللجنة بعمل المؤسسات الوطنية لحقوق الإنسان. ويجتمع المقررون القطريون، وكذلك أي عضو من أعضاء اللجنة ممن يرغبون في الحضور، مع ممثلي هذه المؤسسات، عند الاقتضاء، قبل موعد النظر في تقرير كل دولة طرف بموجب المادة</w:t>
      </w:r>
      <w:r w:rsidRPr="004E0A37">
        <w:rPr>
          <w:rFonts w:hint="eastAsia"/>
          <w:spacing w:val="0"/>
          <w:sz w:val="20"/>
          <w:rtl/>
        </w:rPr>
        <w:t> </w:t>
      </w:r>
      <w:r w:rsidRPr="004E0A37">
        <w:rPr>
          <w:rFonts w:hint="cs"/>
          <w:spacing w:val="0"/>
          <w:sz w:val="20"/>
          <w:rtl/>
        </w:rPr>
        <w:t xml:space="preserve">19 من الاتفاقية. وتُعرب اللجنة عن تقديرها للمعلومات التي تتلقاها من هذه المؤسسات وتتطلع إلى مواصلة الاستفادة من المعلومات التي تستمدها من هذه الهيئات والتي عزّزت فهمها للقضايا المعروضة على اللجنة. </w:t>
      </w:r>
    </w:p>
    <w:p w:rsidR="004E0A37" w:rsidRPr="004E0A37" w:rsidRDefault="004E0A37" w:rsidP="00620695">
      <w:pPr>
        <w:pStyle w:val="H1GA"/>
        <w:spacing w:before="120"/>
        <w:rPr>
          <w:rFonts w:hint="cs"/>
          <w:rtl/>
          <w:lang w:val="fr-CH"/>
        </w:rPr>
      </w:pPr>
      <w:r w:rsidRPr="004E0A37">
        <w:rPr>
          <w:rFonts w:hint="cs"/>
          <w:rtl/>
          <w:lang w:val="fr-CH"/>
        </w:rPr>
        <w:tab/>
        <w:t>نون-</w:t>
      </w:r>
      <w:r w:rsidRPr="004E0A37">
        <w:rPr>
          <w:rFonts w:hint="cs"/>
          <w:rtl/>
          <w:lang w:val="fr-CH"/>
        </w:rPr>
        <w:tab/>
        <w:t>تعليق عام بشأن المادة 14 من الاتفاقية</w:t>
      </w:r>
    </w:p>
    <w:p w:rsidR="004E0A37" w:rsidRPr="004E0A37" w:rsidRDefault="004E0A37" w:rsidP="006C3172">
      <w:pPr>
        <w:pStyle w:val="SingleTxtGA"/>
        <w:spacing w:line="360" w:lineRule="exact"/>
        <w:jc w:val="lowKashida"/>
        <w:rPr>
          <w:rFonts w:hint="cs"/>
          <w:spacing w:val="0"/>
          <w:sz w:val="20"/>
          <w:rtl/>
        </w:rPr>
      </w:pPr>
      <w:r w:rsidRPr="004E0A37">
        <w:rPr>
          <w:rFonts w:hint="cs"/>
          <w:spacing w:val="0"/>
          <w:sz w:val="20"/>
          <w:rtl/>
        </w:rPr>
        <w:t>20-</w:t>
      </w:r>
      <w:r w:rsidRPr="004E0A37">
        <w:rPr>
          <w:rFonts w:hint="cs"/>
          <w:spacing w:val="0"/>
          <w:sz w:val="20"/>
          <w:rtl/>
        </w:rPr>
        <w:tab/>
        <w:t>تبعاً للقرار الذي اتخذته اللجنة، في دورتها الرابعة والأربعين، بإنشاء فريق عامل غير رسمي يُعنى بالحق في الجبر، يتألف من السيدة غايير والسيد عبد الله غاي والسيد غروسمان والسيدة سفياس</w:t>
      </w:r>
      <w:r w:rsidR="00727BAF">
        <w:rPr>
          <w:spacing w:val="0"/>
          <w:sz w:val="20"/>
          <w:vertAlign w:val="superscript"/>
          <w:rtl/>
        </w:rPr>
        <w:t>(</w:t>
      </w:r>
      <w:r w:rsidR="00727BAF">
        <w:rPr>
          <w:rStyle w:val="FootnoteReference"/>
          <w:spacing w:val="0"/>
          <w:rtl/>
        </w:rPr>
        <w:footnoteReference w:id="1"/>
      </w:r>
      <w:r w:rsidR="00727BAF">
        <w:rPr>
          <w:spacing w:val="0"/>
          <w:sz w:val="20"/>
          <w:vertAlign w:val="superscript"/>
          <w:rtl/>
        </w:rPr>
        <w:t>)</w:t>
      </w:r>
      <w:r w:rsidRPr="004E0A37">
        <w:rPr>
          <w:rFonts w:hint="cs"/>
          <w:spacing w:val="0"/>
          <w:sz w:val="20"/>
          <w:rtl/>
        </w:rPr>
        <w:t>،</w:t>
      </w:r>
      <w:r w:rsidRPr="004E0A37">
        <w:rPr>
          <w:spacing w:val="0"/>
          <w:sz w:val="20"/>
          <w:rtl/>
        </w:rPr>
        <w:t xml:space="preserve"> </w:t>
      </w:r>
      <w:r w:rsidRPr="004E0A37">
        <w:rPr>
          <w:rFonts w:hint="cs"/>
          <w:spacing w:val="0"/>
          <w:sz w:val="20"/>
          <w:rtl/>
        </w:rPr>
        <w:t>وبإعداد مشروع تعليق عام بشأن المادة 14 من الاتفاقية ونشره في</w:t>
      </w:r>
      <w:r w:rsidR="006C3172">
        <w:rPr>
          <w:rFonts w:hint="eastAsia"/>
          <w:spacing w:val="0"/>
          <w:sz w:val="20"/>
          <w:rtl/>
        </w:rPr>
        <w:t> </w:t>
      </w:r>
      <w:r w:rsidRPr="004E0A37">
        <w:rPr>
          <w:rFonts w:hint="cs"/>
          <w:spacing w:val="0"/>
          <w:sz w:val="20"/>
          <w:rtl/>
        </w:rPr>
        <w:t>موقع</w:t>
      </w:r>
      <w:r w:rsidR="00620695">
        <w:rPr>
          <w:rFonts w:hint="eastAsia"/>
          <w:spacing w:val="0"/>
          <w:sz w:val="20"/>
          <w:rtl/>
        </w:rPr>
        <w:t> </w:t>
      </w:r>
      <w:r w:rsidRPr="004E0A37">
        <w:rPr>
          <w:rFonts w:hint="cs"/>
          <w:spacing w:val="0"/>
          <w:sz w:val="20"/>
          <w:rtl/>
        </w:rPr>
        <w:t>المفوضية السامية لحقوق الإنسان على الإنترنت من أجل التعليق عليه (</w:t>
      </w:r>
      <w:r w:rsidRPr="004E0A37">
        <w:rPr>
          <w:spacing w:val="0"/>
          <w:sz w:val="20"/>
        </w:rPr>
        <w:t>http://www2.ohchr.org/english/bodies/cat/comments_article14.htm</w:t>
      </w:r>
      <w:r w:rsidRPr="004E0A37">
        <w:rPr>
          <w:rFonts w:hint="cs"/>
          <w:spacing w:val="0"/>
          <w:sz w:val="20"/>
          <w:rtl/>
        </w:rPr>
        <w:t>)، عقدت اللجنة، في دورتها السابعة والأربعين، استشارة عامة مع جميع الجهات صاحبة المصلحة في 22 تشرين الثاني/نوفمبر 2011. وإضافة إلى التعليقات الخطية العديدة، شارك في الاستشارة نحو 40 دولة طرفاً و15 منظمة غير حكومية ساهمت بتعليقات مستفيضة على المشروع.</w:t>
      </w:r>
    </w:p>
    <w:p w:rsidR="004E0A37" w:rsidRPr="004E0A37" w:rsidRDefault="004E0A37" w:rsidP="00620695">
      <w:pPr>
        <w:pStyle w:val="SingleTxtGA"/>
        <w:spacing w:line="360" w:lineRule="exact"/>
        <w:jc w:val="lowKashida"/>
        <w:rPr>
          <w:rFonts w:hint="cs"/>
          <w:spacing w:val="0"/>
          <w:sz w:val="20"/>
          <w:rtl/>
        </w:rPr>
      </w:pPr>
      <w:r w:rsidRPr="004E0A37">
        <w:rPr>
          <w:rFonts w:hint="cs"/>
          <w:spacing w:val="0"/>
          <w:sz w:val="20"/>
          <w:rtl/>
        </w:rPr>
        <w:t>21-</w:t>
      </w:r>
      <w:r w:rsidRPr="004E0A37">
        <w:rPr>
          <w:rFonts w:hint="cs"/>
          <w:spacing w:val="0"/>
          <w:sz w:val="20"/>
          <w:rtl/>
        </w:rPr>
        <w:tab/>
        <w:t>وواصلت اللجنة، في دورتها الثامنة والأربعين، مناقشة مشروع التعليق العام بشأن تنفيذ الدول</w:t>
      </w:r>
      <w:r w:rsidRPr="004E0A37">
        <w:rPr>
          <w:rFonts w:hint="eastAsia"/>
          <w:spacing w:val="0"/>
          <w:sz w:val="20"/>
          <w:rtl/>
        </w:rPr>
        <w:t> </w:t>
      </w:r>
      <w:r w:rsidRPr="004E0A37">
        <w:rPr>
          <w:rFonts w:hint="cs"/>
          <w:spacing w:val="0"/>
          <w:sz w:val="20"/>
          <w:rtl/>
        </w:rPr>
        <w:t>الأطراف المادة 14 من الاتفاقية وشرعت في عملية اعتماده ببداية القراءة النهائية</w:t>
      </w:r>
      <w:r w:rsidR="00DE0C73">
        <w:rPr>
          <w:rFonts w:hint="eastAsia"/>
          <w:spacing w:val="0"/>
          <w:sz w:val="20"/>
          <w:rtl/>
        </w:rPr>
        <w:t> </w:t>
      </w:r>
      <w:r w:rsidRPr="004E0A37">
        <w:rPr>
          <w:rFonts w:hint="cs"/>
          <w:spacing w:val="0"/>
          <w:sz w:val="20"/>
          <w:rtl/>
        </w:rPr>
        <w:t>للنص.</w:t>
      </w:r>
    </w:p>
    <w:p w:rsidR="004E0A37" w:rsidRPr="004E0A37" w:rsidRDefault="004E0A37" w:rsidP="00781CE0">
      <w:pPr>
        <w:pStyle w:val="H1GA"/>
        <w:rPr>
          <w:rFonts w:hint="cs"/>
          <w:rtl/>
        </w:rPr>
      </w:pPr>
      <w:r w:rsidRPr="004E0A37">
        <w:rPr>
          <w:rFonts w:hint="cs"/>
          <w:rtl/>
        </w:rPr>
        <w:tab/>
        <w:t>سين-</w:t>
      </w:r>
      <w:r w:rsidRPr="004E0A37">
        <w:rPr>
          <w:rFonts w:hint="cs"/>
          <w:rtl/>
        </w:rPr>
        <w:tab/>
        <w:t>المبادئ التوجيهية المتعلقة بتقديم التقارير</w:t>
      </w:r>
    </w:p>
    <w:p w:rsidR="004E0A37" w:rsidRPr="004E0A37" w:rsidRDefault="004E0A37" w:rsidP="004E0A37">
      <w:pPr>
        <w:pStyle w:val="SingleTxtGA"/>
        <w:jc w:val="lowKashida"/>
        <w:rPr>
          <w:rFonts w:hint="cs"/>
          <w:spacing w:val="0"/>
          <w:sz w:val="20"/>
          <w:rtl/>
        </w:rPr>
      </w:pPr>
      <w:r w:rsidRPr="004E0A37">
        <w:rPr>
          <w:rFonts w:hint="cs"/>
          <w:spacing w:val="0"/>
          <w:sz w:val="20"/>
          <w:rtl/>
        </w:rPr>
        <w:t>22-</w:t>
      </w:r>
      <w:r w:rsidRPr="004E0A37">
        <w:rPr>
          <w:rFonts w:hint="cs"/>
          <w:spacing w:val="0"/>
          <w:sz w:val="20"/>
          <w:rtl/>
        </w:rPr>
        <w:tab/>
        <w:t xml:space="preserve">واصلت اللجنة، في دورتيها السابعة والأربعين والثامنة والأربعين، مناقشة مسألة تنقيح مبادئها التوجيهية المتعلقة بتقديم تقارير خاصة بمعاهدات بعينها في ضوء المبادئ التوجيهية المنسّقة لتقديم التقارير بموجب المعاهدات الدولية لحقوق الإنسان، بما يشمل المبادئ التوجيهية المتعلقة بوضع وثيقة أساسية موحدة (على النحو الوارد في الوثيقة </w:t>
      </w:r>
      <w:r w:rsidRPr="004E0A37">
        <w:rPr>
          <w:spacing w:val="0"/>
          <w:sz w:val="20"/>
        </w:rPr>
        <w:t>HRI/GEN/2/Rev.6</w:t>
      </w:r>
      <w:r w:rsidRPr="004E0A37">
        <w:rPr>
          <w:rFonts w:hint="cs"/>
          <w:spacing w:val="0"/>
          <w:sz w:val="20"/>
          <w:rtl/>
        </w:rPr>
        <w:t>). غير أن اللجنة ناقشت، في ضوء مواصلتها تقييم إجرائها الاختياري المتعلق بالإبلاغ، مدى استصواب اعتماد مبادئ توجيهية تتعلق بالتقارير المقدمة في إطار هذا الإجراء الاختياري و/أو مبادئ توجيهية مشتركة عامة.</w:t>
      </w:r>
    </w:p>
    <w:p w:rsidR="004E0A37" w:rsidRPr="004E0A37" w:rsidRDefault="004E0A37" w:rsidP="00781CE0">
      <w:pPr>
        <w:pStyle w:val="H1GA"/>
        <w:rPr>
          <w:rFonts w:hint="cs"/>
          <w:rtl/>
          <w:lang w:val="fr-CH"/>
        </w:rPr>
      </w:pPr>
      <w:r w:rsidRPr="004E0A37">
        <w:rPr>
          <w:rFonts w:hint="cs"/>
          <w:rtl/>
          <w:lang w:val="fr-CH"/>
        </w:rPr>
        <w:tab/>
        <w:t>عين-</w:t>
      </w:r>
      <w:r w:rsidRPr="004E0A37">
        <w:rPr>
          <w:rFonts w:hint="cs"/>
          <w:rtl/>
          <w:lang w:val="fr-CH"/>
        </w:rPr>
        <w:tab/>
        <w:t>قرار اللجنة تقديم طلب إلى الجمعية العامة للموافقة على تخصيص وقت إضافي للاجتماع في عامي 2013 و2014</w:t>
      </w:r>
    </w:p>
    <w:p w:rsidR="004E0A37" w:rsidRPr="00781CE0" w:rsidRDefault="004E0A37" w:rsidP="00727BAF">
      <w:pPr>
        <w:pStyle w:val="SingleTxtGA"/>
        <w:jc w:val="lowKashida"/>
        <w:rPr>
          <w:rFonts w:hint="cs"/>
          <w:spacing w:val="-4"/>
          <w:sz w:val="20"/>
          <w:rtl/>
        </w:rPr>
      </w:pPr>
      <w:r w:rsidRPr="00781CE0">
        <w:rPr>
          <w:rFonts w:hint="cs"/>
          <w:spacing w:val="-4"/>
          <w:sz w:val="20"/>
          <w:rtl/>
        </w:rPr>
        <w:t>23-</w:t>
      </w:r>
      <w:r w:rsidRPr="00781CE0">
        <w:rPr>
          <w:rFonts w:hint="cs"/>
          <w:spacing w:val="-4"/>
          <w:sz w:val="20"/>
          <w:rtl/>
        </w:rPr>
        <w:tab/>
        <w:t>أذنت الجمعية العامة، في قرارها 65/204 المؤرخ 21 كانون الأول/ديسمبر 2010، للجنة بأن تجتمع لمدة أسبوع إضافي في كل دورة، باعتبار ذلك تدبيراً مؤقتاً يسري اعتباراً من أيار/مايو 2011 إلى غاية نهاية تشرين الثاني/نوفمبر 2012، وذلك بناءً على طلب، اعتمدته اللجنة في دورتها الرابعة والأربعين، من أجل الحصول على الدعم المالي المناسب لهذا الغرض</w:t>
      </w:r>
      <w:r w:rsidR="00727BAF">
        <w:rPr>
          <w:spacing w:val="-4"/>
          <w:sz w:val="20"/>
          <w:vertAlign w:val="superscript"/>
          <w:rtl/>
        </w:rPr>
        <w:t>(</w:t>
      </w:r>
      <w:r w:rsidR="00727BAF">
        <w:rPr>
          <w:rStyle w:val="FootnoteReference"/>
          <w:spacing w:val="-4"/>
          <w:rtl/>
        </w:rPr>
        <w:footnoteReference w:id="2"/>
      </w:r>
      <w:r w:rsidR="00727BAF">
        <w:rPr>
          <w:spacing w:val="-4"/>
          <w:sz w:val="20"/>
          <w:vertAlign w:val="superscript"/>
          <w:rtl/>
        </w:rPr>
        <w:t>)</w:t>
      </w:r>
      <w:r w:rsidR="00781CE0">
        <w:rPr>
          <w:rFonts w:hint="cs"/>
          <w:spacing w:val="-4"/>
          <w:sz w:val="20"/>
          <w:rtl/>
        </w:rPr>
        <w:t>.</w:t>
      </w:r>
      <w:r w:rsidRPr="00781CE0">
        <w:rPr>
          <w:spacing w:val="-4"/>
          <w:sz w:val="20"/>
          <w:rtl/>
        </w:rPr>
        <w:t xml:space="preserve"> </w:t>
      </w:r>
    </w:p>
    <w:p w:rsidR="004E0A37" w:rsidRPr="004E0A37" w:rsidRDefault="004E0A37" w:rsidP="004E0A37">
      <w:pPr>
        <w:pStyle w:val="SingleTxtGA"/>
        <w:jc w:val="lowKashida"/>
        <w:rPr>
          <w:rFonts w:hint="cs"/>
          <w:spacing w:val="0"/>
          <w:sz w:val="20"/>
          <w:rtl/>
        </w:rPr>
      </w:pPr>
      <w:r w:rsidRPr="004E0A37">
        <w:rPr>
          <w:rFonts w:hint="cs"/>
          <w:spacing w:val="0"/>
          <w:sz w:val="20"/>
          <w:rtl/>
        </w:rPr>
        <w:t>24-</w:t>
      </w:r>
      <w:r w:rsidRPr="004E0A37">
        <w:rPr>
          <w:rFonts w:hint="cs"/>
          <w:spacing w:val="0"/>
          <w:sz w:val="20"/>
          <w:rtl/>
        </w:rPr>
        <w:tab/>
        <w:t>وهذا الوقت الإضافي المخصص للاجتماع، الذي أذنت به الجمعية العامة عن عامي</w:t>
      </w:r>
      <w:r w:rsidRPr="004E0A37">
        <w:rPr>
          <w:rFonts w:hint="eastAsia"/>
          <w:spacing w:val="0"/>
          <w:sz w:val="20"/>
          <w:rtl/>
        </w:rPr>
        <w:t> </w:t>
      </w:r>
      <w:r w:rsidRPr="004E0A37">
        <w:rPr>
          <w:rFonts w:hint="cs"/>
          <w:spacing w:val="0"/>
          <w:sz w:val="20"/>
          <w:rtl/>
        </w:rPr>
        <w:t>2011 و2012، سمح للجنة بالحد من حجم التقارير المتراكمة التي</w:t>
      </w:r>
      <w:r w:rsidR="00335AC0">
        <w:rPr>
          <w:rFonts w:hint="cs"/>
          <w:spacing w:val="0"/>
          <w:sz w:val="20"/>
          <w:rtl/>
        </w:rPr>
        <w:t xml:space="preserve"> لم </w:t>
      </w:r>
      <w:r w:rsidRPr="004E0A37">
        <w:rPr>
          <w:rFonts w:hint="cs"/>
          <w:spacing w:val="0"/>
          <w:sz w:val="20"/>
          <w:rtl/>
        </w:rPr>
        <w:t>يُنظر فيها بعد، وبالنظر في عدد إضافي من البلاغات الفردية وبدء العمل بإجرائها الاختياري المتعلق بالإبلاغ، ومن ثم تحسين فعالية وأساليب عملها.</w:t>
      </w:r>
    </w:p>
    <w:p w:rsidR="004E0A37" w:rsidRPr="00781CE0" w:rsidRDefault="004E0A37" w:rsidP="00781CE0">
      <w:pPr>
        <w:pStyle w:val="SingleTxtGA"/>
        <w:jc w:val="lowKashida"/>
        <w:rPr>
          <w:rFonts w:hint="cs"/>
          <w:spacing w:val="-2"/>
          <w:sz w:val="20"/>
          <w:rtl/>
        </w:rPr>
      </w:pPr>
      <w:r w:rsidRPr="00781CE0">
        <w:rPr>
          <w:rFonts w:hint="cs"/>
          <w:spacing w:val="-2"/>
          <w:sz w:val="20"/>
          <w:rtl/>
        </w:rPr>
        <w:t>25-</w:t>
      </w:r>
      <w:r w:rsidRPr="00781CE0">
        <w:rPr>
          <w:rFonts w:hint="cs"/>
          <w:spacing w:val="-2"/>
          <w:sz w:val="20"/>
          <w:rtl/>
        </w:rPr>
        <w:tab/>
        <w:t>وعملاً بالمادة 26 من النظام الداخلي للجنة، قررت اللجنة، في دورتها الثامنة والأربعين، وهي تدرك الآثار المترتبة في الميزانية البرنامجية على قرارها هذا (انظر</w:t>
      </w:r>
      <w:r w:rsidR="00781CE0">
        <w:rPr>
          <w:rFonts w:hint="cs"/>
          <w:spacing w:val="-2"/>
          <w:sz w:val="20"/>
          <w:rtl/>
        </w:rPr>
        <w:t xml:space="preserve"> </w:t>
      </w:r>
      <w:r w:rsidRPr="00781CE0">
        <w:rPr>
          <w:rFonts w:hint="cs"/>
          <w:spacing w:val="-2"/>
          <w:sz w:val="20"/>
          <w:rtl/>
        </w:rPr>
        <w:t>المرفق التاسع بهذا التقرير) أن تطلب إلى الجمعية العامة أن تقدم لها الدعم المالي المناسب لتمكينها من مواصلة الاجتماع خلال أسبوع إضافي في كل دورة في عامي 2013 و2014، أي أسبوع إضافي يخصّص للاجتماعات التي تعقد خلال الدورة في أيار/مايو وفي تشرين الثاني/نوفمبر 2013 وفي</w:t>
      </w:r>
      <w:r w:rsidR="00781CE0">
        <w:rPr>
          <w:rFonts w:hint="eastAsia"/>
          <w:spacing w:val="-2"/>
          <w:sz w:val="20"/>
          <w:rtl/>
        </w:rPr>
        <w:t> </w:t>
      </w:r>
      <w:r w:rsidRPr="00781CE0">
        <w:rPr>
          <w:rFonts w:hint="cs"/>
          <w:spacing w:val="-2"/>
          <w:sz w:val="20"/>
          <w:rtl/>
        </w:rPr>
        <w:t>أيار/مايو وتشرين الثاني/نوفمبر 2014، ما يمثل في المجموع أربعة أسابيع إضافية، أي أن اللجنة ستجتمع خلال أربعة أسابيع في كل دورة (انظر المرفق عشر لهذا التقرير).</w:t>
      </w:r>
    </w:p>
    <w:p w:rsidR="004E0A37" w:rsidRPr="004E0A37" w:rsidRDefault="004E0A37" w:rsidP="004E0A37">
      <w:pPr>
        <w:pStyle w:val="SingleTxtGA"/>
        <w:jc w:val="lowKashida"/>
        <w:rPr>
          <w:rFonts w:hint="cs"/>
          <w:spacing w:val="0"/>
          <w:sz w:val="20"/>
          <w:rtl/>
        </w:rPr>
      </w:pPr>
      <w:r w:rsidRPr="004E0A37">
        <w:rPr>
          <w:rFonts w:hint="cs"/>
          <w:spacing w:val="0"/>
          <w:sz w:val="20"/>
          <w:rtl/>
        </w:rPr>
        <w:t>26-</w:t>
      </w:r>
      <w:r w:rsidRPr="004E0A37">
        <w:rPr>
          <w:rFonts w:hint="cs"/>
          <w:spacing w:val="0"/>
          <w:sz w:val="20"/>
          <w:rtl/>
        </w:rPr>
        <w:tab/>
        <w:t>وفي حال الحصول على هذا الإذن، فستتمكن اللجنة، بفضل هذا الوقت الإضافي لاجتماعاتها، من مواصلة النظر في تقريرين إضافيين في كل دورة، أي ثمانية تقارير إضافية خلال فترة السنتين (2013/2014)، وهو ما سيقلل من عدد التقارير المتراكمة والواجب النظر فيها إلى الحد الأدنى.</w:t>
      </w:r>
    </w:p>
    <w:p w:rsidR="004E0A37" w:rsidRPr="004E0A37" w:rsidRDefault="004E0A37" w:rsidP="00781CE0">
      <w:pPr>
        <w:pStyle w:val="SingleTxtGA"/>
        <w:jc w:val="lowKashida"/>
        <w:rPr>
          <w:rFonts w:hint="cs"/>
          <w:spacing w:val="0"/>
          <w:sz w:val="20"/>
          <w:rtl/>
        </w:rPr>
      </w:pPr>
      <w:r w:rsidRPr="004E0A37">
        <w:rPr>
          <w:rFonts w:hint="cs"/>
          <w:spacing w:val="0"/>
          <w:sz w:val="20"/>
          <w:rtl/>
        </w:rPr>
        <w:t>27-</w:t>
      </w:r>
      <w:r w:rsidRPr="004E0A37">
        <w:rPr>
          <w:rFonts w:hint="cs"/>
          <w:spacing w:val="0"/>
          <w:sz w:val="20"/>
          <w:rtl/>
        </w:rPr>
        <w:tab/>
        <w:t>وسيسمح هذا الوقت الإضافي للجنة أيضاً بمواصلة النظر في ما لا يقل عن خمس</w:t>
      </w:r>
      <w:r w:rsidRPr="004E0A37">
        <w:rPr>
          <w:rFonts w:hint="eastAsia"/>
          <w:spacing w:val="0"/>
          <w:sz w:val="20"/>
          <w:rtl/>
        </w:rPr>
        <w:t> </w:t>
      </w:r>
      <w:r w:rsidRPr="004E0A37">
        <w:rPr>
          <w:rFonts w:hint="cs"/>
          <w:spacing w:val="0"/>
          <w:sz w:val="20"/>
          <w:rtl/>
        </w:rPr>
        <w:t>شكاوى فردية إضافية في الدورة الواحدة، أي 20 شكوى إضافية خلال فترة السنتين</w:t>
      </w:r>
      <w:r w:rsidRPr="004E0A37">
        <w:rPr>
          <w:rFonts w:hint="eastAsia"/>
          <w:spacing w:val="0"/>
          <w:sz w:val="20"/>
          <w:rtl/>
        </w:rPr>
        <w:t> </w:t>
      </w:r>
      <w:r w:rsidRPr="004E0A37">
        <w:rPr>
          <w:rFonts w:hint="cs"/>
          <w:spacing w:val="0"/>
          <w:sz w:val="20"/>
          <w:rtl/>
        </w:rPr>
        <w:t>2013/2014، وهو ما سيحد من عدد الشكاوى الفردية المتراكمة التي</w:t>
      </w:r>
      <w:r w:rsidR="00335AC0">
        <w:rPr>
          <w:rFonts w:hint="cs"/>
          <w:spacing w:val="0"/>
          <w:sz w:val="20"/>
          <w:rtl/>
        </w:rPr>
        <w:t xml:space="preserve"> لم </w:t>
      </w:r>
      <w:r w:rsidRPr="004E0A37">
        <w:rPr>
          <w:rFonts w:hint="cs"/>
          <w:spacing w:val="0"/>
          <w:sz w:val="20"/>
          <w:rtl/>
        </w:rPr>
        <w:t>تنظر فيها اللجنة بعد والبالغ عددها 115 شكوى.</w:t>
      </w:r>
    </w:p>
    <w:p w:rsidR="004E0A37" w:rsidRPr="004E0A37" w:rsidRDefault="004E0A37" w:rsidP="00781CE0">
      <w:pPr>
        <w:pStyle w:val="SingleTxtGA"/>
        <w:jc w:val="lowKashida"/>
        <w:rPr>
          <w:rFonts w:hint="cs"/>
          <w:spacing w:val="0"/>
          <w:sz w:val="20"/>
          <w:rtl/>
        </w:rPr>
      </w:pPr>
      <w:r w:rsidRPr="004E0A37">
        <w:rPr>
          <w:rFonts w:hint="cs"/>
          <w:spacing w:val="0"/>
          <w:sz w:val="20"/>
          <w:rtl/>
        </w:rPr>
        <w:t>28-</w:t>
      </w:r>
      <w:r w:rsidRPr="004E0A37">
        <w:rPr>
          <w:rFonts w:hint="cs"/>
          <w:spacing w:val="0"/>
          <w:sz w:val="20"/>
          <w:rtl/>
        </w:rPr>
        <w:tab/>
        <w:t>وأخيراً، إن هذا الوقت الإضافي المخصص للاجتماع من شأنه أن يساعد اللجنة كذلك في مواصلة العمل بإجرائها الاختياري المتعلق بالإبلاغ، وسيمكنها بذلك من اعتماد</w:t>
      </w:r>
      <w:r w:rsidR="00781CE0">
        <w:rPr>
          <w:rFonts w:hint="eastAsia"/>
          <w:spacing w:val="0"/>
          <w:sz w:val="20"/>
          <w:rtl/>
        </w:rPr>
        <w:t> </w:t>
      </w:r>
      <w:r w:rsidRPr="004E0A37">
        <w:rPr>
          <w:rFonts w:hint="cs"/>
          <w:spacing w:val="0"/>
          <w:sz w:val="20"/>
          <w:rtl/>
        </w:rPr>
        <w:t xml:space="preserve">10 قوائم إضافية، في المتوسط، بالمسائل المطروحة للنقاش في كل دورة، ما يمثل 40 قائمة إضافية خلال فترة السنتين 2013/2014. وهذا من شأنه أيضاً أن يساعد الدول الأطراف في الوفاء بالتزاماتها المتعلقة بتقديم التقارير. </w:t>
      </w:r>
    </w:p>
    <w:p w:rsidR="004E0A37" w:rsidRPr="004E0A37" w:rsidRDefault="004E0A37" w:rsidP="004E0A37">
      <w:pPr>
        <w:pStyle w:val="SingleTxtGA"/>
        <w:jc w:val="lowKashida"/>
        <w:rPr>
          <w:rFonts w:hint="cs"/>
          <w:spacing w:val="0"/>
          <w:sz w:val="20"/>
          <w:rtl/>
        </w:rPr>
      </w:pPr>
      <w:r w:rsidRPr="004E0A37">
        <w:rPr>
          <w:rFonts w:hint="cs"/>
          <w:spacing w:val="0"/>
          <w:sz w:val="20"/>
          <w:rtl/>
        </w:rPr>
        <w:t>29-</w:t>
      </w:r>
      <w:r w:rsidRPr="004E0A37">
        <w:rPr>
          <w:rFonts w:hint="cs"/>
          <w:spacing w:val="0"/>
          <w:sz w:val="20"/>
          <w:rtl/>
        </w:rPr>
        <w:tab/>
        <w:t>وواصلت اللجنة، في دورتيها السابعة والأربعين والثامنة والأربعين، مناقشة التدابير الكفيلة بزيادة كفاءة أساليب وتكاليف عملها بغية التصرف على نحو أفضل في برامج عملها وما لديها من تقارير وشكاوى متراكمة</w:t>
      </w:r>
      <w:r w:rsidR="00335AC0">
        <w:rPr>
          <w:rFonts w:hint="cs"/>
          <w:spacing w:val="0"/>
          <w:sz w:val="20"/>
          <w:rtl/>
        </w:rPr>
        <w:t xml:space="preserve"> لم </w:t>
      </w:r>
      <w:r w:rsidRPr="004E0A37">
        <w:rPr>
          <w:rFonts w:hint="cs"/>
          <w:spacing w:val="0"/>
          <w:sz w:val="20"/>
          <w:rtl/>
        </w:rPr>
        <w:t>تنظر فيها بعد. وعلى هذا الأساس، قررت اللجنة، في جملة ما قررت، أن تواصل تقييمها للإجراء الاختياري المتعلق بالإبلاغ (انظر الفصل الثاني، الفرع جيم).</w:t>
      </w:r>
    </w:p>
    <w:p w:rsidR="004E0A37" w:rsidRPr="004E0A37" w:rsidRDefault="00F80FBA" w:rsidP="00620695">
      <w:pPr>
        <w:pStyle w:val="HChGA"/>
        <w:spacing w:before="120"/>
        <w:rPr>
          <w:rFonts w:hint="cs"/>
          <w:rtl/>
        </w:rPr>
      </w:pPr>
      <w:r>
        <w:rPr>
          <w:rFonts w:hint="cs"/>
          <w:rtl/>
        </w:rPr>
        <w:tab/>
        <w:t>ثانياً</w:t>
      </w:r>
      <w:r w:rsidR="004E0A37" w:rsidRPr="004E0A37">
        <w:rPr>
          <w:rFonts w:hint="cs"/>
          <w:rtl/>
        </w:rPr>
        <w:t>-</w:t>
      </w:r>
      <w:r w:rsidR="004E0A37" w:rsidRPr="004E0A37">
        <w:rPr>
          <w:rFonts w:hint="cs"/>
          <w:rtl/>
        </w:rPr>
        <w:tab/>
        <w:t>تقديم الدول الأطراف للتقارير بموجب المادة 19 من الاتفاقية</w:t>
      </w:r>
    </w:p>
    <w:p w:rsidR="004E0A37" w:rsidRPr="004E0A37" w:rsidRDefault="004E0A37" w:rsidP="006E43D5">
      <w:pPr>
        <w:pStyle w:val="SingleTxtGA"/>
        <w:spacing w:line="370" w:lineRule="exact"/>
        <w:jc w:val="lowKashida"/>
        <w:rPr>
          <w:rFonts w:hint="cs"/>
          <w:spacing w:val="0"/>
          <w:sz w:val="20"/>
          <w:rtl/>
        </w:rPr>
      </w:pPr>
      <w:r w:rsidRPr="004E0A37">
        <w:rPr>
          <w:rFonts w:hint="cs"/>
          <w:spacing w:val="0"/>
          <w:sz w:val="20"/>
          <w:rtl/>
        </w:rPr>
        <w:t>30-</w:t>
      </w:r>
      <w:r w:rsidRPr="004E0A37">
        <w:rPr>
          <w:rFonts w:hint="cs"/>
          <w:spacing w:val="0"/>
          <w:sz w:val="20"/>
          <w:rtl/>
        </w:rPr>
        <w:tab/>
        <w:t xml:space="preserve">خلال الفترة التي يشملها هذا التقرير، قُدم إلى الأمين العام 15 تقريراً من الدول الأطراف بموجب المادة 19 من الاتفاقية. فقد قدم كل من غابون وموريتانيا تقريراً أولياً. وقدّمت بوروندي وبوليفيا (دولة </w:t>
      </w:r>
      <w:r w:rsidRPr="004E0A37">
        <w:rPr>
          <w:spacing w:val="0"/>
          <w:sz w:val="20"/>
          <w:rtl/>
        </w:rPr>
        <w:t>-</w:t>
      </w:r>
      <w:r w:rsidRPr="004E0A37">
        <w:rPr>
          <w:rFonts w:hint="cs"/>
          <w:spacing w:val="0"/>
          <w:sz w:val="20"/>
          <w:rtl/>
        </w:rPr>
        <w:t xml:space="preserve"> المتعددة القوميات) وقيرغيزستان واليابان تقريراً دورياً ثانياً. وقدمت أوزبكستان تقريراً دورياً رابعاً. وقدمت إستونيا ولاتفيا والمملكة المتحدة تقريراً دورياً خامساً. وقدمت بيرو وبولندا </w:t>
      </w:r>
      <w:r w:rsidRPr="004E0A37">
        <w:rPr>
          <w:rFonts w:hint="cs"/>
          <w:spacing w:val="0"/>
          <w:sz w:val="20"/>
          <w:rtl/>
          <w:lang/>
        </w:rPr>
        <w:t>تقريرا</w:t>
      </w:r>
      <w:r w:rsidR="00620695">
        <w:rPr>
          <w:rFonts w:hint="cs"/>
          <w:spacing w:val="0"/>
          <w:sz w:val="20"/>
          <w:rtl/>
          <w:lang/>
        </w:rPr>
        <w:t>ً</w:t>
      </w:r>
      <w:r w:rsidRPr="004E0A37">
        <w:rPr>
          <w:rFonts w:hint="cs"/>
          <w:spacing w:val="0"/>
          <w:sz w:val="20"/>
          <w:rtl/>
          <w:lang/>
        </w:rPr>
        <w:t xml:space="preserve"> جامعا</w:t>
      </w:r>
      <w:r w:rsidR="00620695">
        <w:rPr>
          <w:rFonts w:hint="cs"/>
          <w:spacing w:val="0"/>
          <w:sz w:val="20"/>
          <w:rtl/>
          <w:lang/>
        </w:rPr>
        <w:t>ً</w:t>
      </w:r>
      <w:r w:rsidRPr="004E0A37">
        <w:rPr>
          <w:rFonts w:hint="cs"/>
          <w:spacing w:val="0"/>
          <w:sz w:val="20"/>
          <w:rtl/>
          <w:lang/>
        </w:rPr>
        <w:t xml:space="preserve"> للتقريرين الدوريين الخامس والسادس. وقدمت </w:t>
      </w:r>
      <w:r w:rsidRPr="004E0A37">
        <w:rPr>
          <w:rFonts w:hint="cs"/>
          <w:spacing w:val="0"/>
          <w:sz w:val="20"/>
          <w:rtl/>
        </w:rPr>
        <w:t xml:space="preserve">غواتيمالا وهولندا تقريراً دورياً سادساً. وقدمت النرويج </w:t>
      </w:r>
      <w:r w:rsidRPr="004E0A37">
        <w:rPr>
          <w:rFonts w:hint="cs"/>
          <w:spacing w:val="0"/>
          <w:sz w:val="20"/>
          <w:rtl/>
          <w:lang/>
        </w:rPr>
        <w:t>تقرير</w:t>
      </w:r>
      <w:r w:rsidR="00173658">
        <w:rPr>
          <w:rFonts w:hint="cs"/>
          <w:spacing w:val="0"/>
          <w:sz w:val="20"/>
          <w:rtl/>
          <w:lang/>
        </w:rPr>
        <w:t xml:space="preserve">اً </w:t>
      </w:r>
      <w:r w:rsidRPr="004E0A37">
        <w:rPr>
          <w:rFonts w:hint="cs"/>
          <w:spacing w:val="0"/>
          <w:sz w:val="20"/>
          <w:rtl/>
          <w:lang/>
        </w:rPr>
        <w:t>جامع</w:t>
      </w:r>
      <w:r w:rsidR="00173658">
        <w:rPr>
          <w:rFonts w:hint="cs"/>
          <w:spacing w:val="0"/>
          <w:sz w:val="20"/>
          <w:rtl/>
          <w:lang/>
        </w:rPr>
        <w:t xml:space="preserve">اً </w:t>
      </w:r>
      <w:r w:rsidRPr="004E0A37">
        <w:rPr>
          <w:rFonts w:hint="cs"/>
          <w:spacing w:val="0"/>
          <w:sz w:val="20"/>
          <w:rtl/>
          <w:lang/>
        </w:rPr>
        <w:t>للتقريرين الدوريين السادس والسابع</w:t>
      </w:r>
      <w:r w:rsidRPr="004E0A37">
        <w:rPr>
          <w:rFonts w:hint="cs"/>
          <w:spacing w:val="0"/>
          <w:sz w:val="20"/>
          <w:rtl/>
        </w:rPr>
        <w:t>.</w:t>
      </w:r>
    </w:p>
    <w:p w:rsidR="004E0A37" w:rsidRPr="004E0A37" w:rsidRDefault="004E0A37" w:rsidP="006E43D5">
      <w:pPr>
        <w:pStyle w:val="SingleTxtGA"/>
        <w:spacing w:line="370" w:lineRule="exact"/>
        <w:jc w:val="lowKashida"/>
        <w:rPr>
          <w:rFonts w:hint="cs"/>
          <w:spacing w:val="0"/>
          <w:sz w:val="20"/>
          <w:rtl/>
        </w:rPr>
      </w:pPr>
      <w:r w:rsidRPr="004E0A37">
        <w:rPr>
          <w:rFonts w:hint="cs"/>
          <w:spacing w:val="0"/>
          <w:sz w:val="20"/>
          <w:rtl/>
        </w:rPr>
        <w:t>31-</w:t>
      </w:r>
      <w:r w:rsidRPr="004E0A37">
        <w:rPr>
          <w:rFonts w:hint="cs"/>
          <w:spacing w:val="0"/>
          <w:sz w:val="20"/>
          <w:rtl/>
        </w:rPr>
        <w:tab/>
        <w:t>وحتى تاريخ 1 حزيران/يونيه 2012، كانت اللجنة قد تلقت ما مجموعه 332 تقريراً ونظرت في 310 تقارير؛ وقد فات موعد تقديم 291 تقريرا</w:t>
      </w:r>
      <w:r w:rsidR="00781CE0">
        <w:rPr>
          <w:rFonts w:hint="cs"/>
          <w:spacing w:val="0"/>
          <w:sz w:val="20"/>
          <w:rtl/>
        </w:rPr>
        <w:t>ً</w:t>
      </w:r>
      <w:r w:rsidRPr="004E0A37">
        <w:rPr>
          <w:rFonts w:hint="cs"/>
          <w:spacing w:val="0"/>
          <w:sz w:val="20"/>
          <w:rtl/>
        </w:rPr>
        <w:t xml:space="preserve"> دوريا</w:t>
      </w:r>
      <w:r w:rsidR="00781CE0">
        <w:rPr>
          <w:rFonts w:hint="cs"/>
          <w:spacing w:val="0"/>
          <w:sz w:val="20"/>
          <w:rtl/>
        </w:rPr>
        <w:t>ً</w:t>
      </w:r>
      <w:r w:rsidRPr="004E0A37">
        <w:rPr>
          <w:rFonts w:hint="cs"/>
          <w:spacing w:val="0"/>
          <w:sz w:val="20"/>
          <w:rtl/>
        </w:rPr>
        <w:t xml:space="preserve"> و29 تقريراً أولياً (انظر المرفق الحادي عشر بهذا التقرير).</w:t>
      </w:r>
    </w:p>
    <w:p w:rsidR="004E0A37" w:rsidRPr="004E0A37" w:rsidRDefault="004E0A37" w:rsidP="00781CE0">
      <w:pPr>
        <w:pStyle w:val="H1GA"/>
        <w:rPr>
          <w:rFonts w:hint="cs"/>
          <w:rtl/>
          <w:lang/>
        </w:rPr>
      </w:pPr>
      <w:r w:rsidRPr="004E0A37">
        <w:rPr>
          <w:rFonts w:hint="cs"/>
          <w:rtl/>
        </w:rPr>
        <w:tab/>
        <w:t>ألف-</w:t>
      </w:r>
      <w:r w:rsidRPr="004E0A37">
        <w:rPr>
          <w:rFonts w:hint="cs"/>
          <w:rtl/>
        </w:rPr>
        <w:tab/>
      </w:r>
      <w:r w:rsidRPr="004E0A37">
        <w:rPr>
          <w:rFonts w:hint="cs"/>
          <w:rtl/>
          <w:lang/>
        </w:rPr>
        <w:t>دعوة إلى تقديم التقارير الدورية</w:t>
      </w:r>
    </w:p>
    <w:p w:rsidR="004E0A37" w:rsidRPr="004E0A37" w:rsidRDefault="004E0A37" w:rsidP="006E43D5">
      <w:pPr>
        <w:pStyle w:val="SingleTxtGA"/>
        <w:spacing w:line="370" w:lineRule="exact"/>
        <w:jc w:val="lowKashida"/>
        <w:rPr>
          <w:rFonts w:hint="cs"/>
          <w:spacing w:val="0"/>
          <w:sz w:val="20"/>
          <w:rtl/>
        </w:rPr>
      </w:pPr>
      <w:r w:rsidRPr="004E0A37">
        <w:rPr>
          <w:rFonts w:hint="cs"/>
          <w:spacing w:val="0"/>
          <w:sz w:val="20"/>
          <w:rtl/>
        </w:rPr>
        <w:t>32-</w:t>
      </w:r>
      <w:r w:rsidRPr="004E0A37">
        <w:rPr>
          <w:rFonts w:hint="cs"/>
          <w:spacing w:val="0"/>
          <w:sz w:val="20"/>
          <w:rtl/>
        </w:rPr>
        <w:tab/>
        <w:t>عملاً بالقرار الذي اتخذته اللجنة في دورتها الحادية والأربعين، واصلت اللجنة، في دورتيها السابعة والأربعين والثامنة والأربعين، دعوة الدول الأطراف، في الفقرة الأخيرة من الملاحظات الختامية، إلى أن تقدِّم تقاريرها الدورية القادمة في غضون أربع سنوات من تاريخ اعتماد الملاحظات الختامية، مع ذكر الموعد الذي يحل فيه تقديم التقرير القادم في الفقرة ذاتها.</w:t>
      </w:r>
    </w:p>
    <w:p w:rsidR="004E0A37" w:rsidRPr="004E0A37" w:rsidRDefault="004E0A37" w:rsidP="006E43D5">
      <w:pPr>
        <w:pStyle w:val="SingleTxtGA"/>
        <w:spacing w:line="370" w:lineRule="exact"/>
        <w:jc w:val="lowKashida"/>
        <w:rPr>
          <w:rFonts w:hint="cs"/>
          <w:spacing w:val="0"/>
          <w:sz w:val="20"/>
          <w:rtl/>
        </w:rPr>
      </w:pPr>
      <w:r w:rsidRPr="004E0A37">
        <w:rPr>
          <w:rFonts w:hint="cs"/>
          <w:spacing w:val="0"/>
          <w:sz w:val="20"/>
          <w:rtl/>
        </w:rPr>
        <w:t>33-</w:t>
      </w:r>
      <w:r w:rsidRPr="004E0A37">
        <w:rPr>
          <w:rFonts w:hint="cs"/>
          <w:spacing w:val="0"/>
          <w:sz w:val="20"/>
          <w:rtl/>
        </w:rPr>
        <w:tab/>
        <w:t>إضافة إلى ذلك قررت اللجنة أيضاً، في دورتها السابعة والأربعين، أن تدعو الدول الأطراف إلى أن توافق، في غضون سنة من تاريخ اعتماد ملاحظاتها الختامية، على تقديم تقاريرها</w:t>
      </w:r>
      <w:r w:rsidR="00B345DB">
        <w:rPr>
          <w:rFonts w:hint="cs"/>
          <w:spacing w:val="0"/>
          <w:sz w:val="20"/>
          <w:rtl/>
        </w:rPr>
        <w:t xml:space="preserve"> وفقاً </w:t>
      </w:r>
      <w:r w:rsidRPr="004E0A37">
        <w:rPr>
          <w:rFonts w:hint="cs"/>
          <w:spacing w:val="0"/>
          <w:sz w:val="20"/>
          <w:rtl/>
        </w:rPr>
        <w:t>للإجراء الاختياري المتعلق بالإبلاغ أو، إذا كانت الدولة الطرف المعنية قد وافقت فعلاً على تقديم تقاريرها</w:t>
      </w:r>
      <w:r w:rsidR="00B345DB">
        <w:rPr>
          <w:rFonts w:hint="cs"/>
          <w:spacing w:val="0"/>
          <w:sz w:val="20"/>
          <w:rtl/>
        </w:rPr>
        <w:t xml:space="preserve"> وفقاً </w:t>
      </w:r>
      <w:r w:rsidRPr="004E0A37">
        <w:rPr>
          <w:rFonts w:hint="cs"/>
          <w:spacing w:val="0"/>
          <w:sz w:val="20"/>
          <w:rtl/>
        </w:rPr>
        <w:t>لهذا الإجراء، أن تذكر أن اللجنة ستحيل للدولة الطرف، في الوقت المناسب، قائمة بالمسائل قبل تقديم تقريرها الدوري المقبل.</w:t>
      </w:r>
    </w:p>
    <w:p w:rsidR="004E0A37" w:rsidRPr="004E0A37" w:rsidRDefault="004E0A37" w:rsidP="00781CE0">
      <w:pPr>
        <w:pStyle w:val="H1GA"/>
        <w:rPr>
          <w:rFonts w:hint="cs"/>
          <w:rtl/>
        </w:rPr>
      </w:pPr>
      <w:r w:rsidRPr="004E0A37">
        <w:rPr>
          <w:rFonts w:hint="cs"/>
          <w:rtl/>
          <w:lang/>
        </w:rPr>
        <w:tab/>
        <w:t>باء-</w:t>
      </w:r>
      <w:r w:rsidRPr="004E0A37">
        <w:rPr>
          <w:rFonts w:hint="cs"/>
          <w:rtl/>
          <w:lang/>
        </w:rPr>
        <w:tab/>
        <w:t>الإجراء الاختياري المتعلق</w:t>
      </w:r>
      <w:r w:rsidRPr="004E0A37">
        <w:rPr>
          <w:rFonts w:hint="cs"/>
          <w:rtl/>
        </w:rPr>
        <w:t xml:space="preserve"> بالإبلاغ</w:t>
      </w:r>
    </w:p>
    <w:p w:rsidR="004E0A37" w:rsidRPr="004E0A37" w:rsidRDefault="004E0A37" w:rsidP="00713BE2">
      <w:pPr>
        <w:pStyle w:val="SingleTxtGA"/>
        <w:spacing w:line="360" w:lineRule="exact"/>
        <w:jc w:val="lowKashida"/>
        <w:rPr>
          <w:rFonts w:hint="cs"/>
          <w:spacing w:val="0"/>
          <w:sz w:val="20"/>
          <w:rtl/>
        </w:rPr>
      </w:pPr>
      <w:r w:rsidRPr="004E0A37">
        <w:rPr>
          <w:rFonts w:hint="cs"/>
          <w:spacing w:val="0"/>
          <w:sz w:val="20"/>
          <w:rtl/>
        </w:rPr>
        <w:t>34-</w:t>
      </w:r>
      <w:r w:rsidRPr="004E0A37">
        <w:rPr>
          <w:rFonts w:hint="cs"/>
          <w:spacing w:val="0"/>
          <w:sz w:val="20"/>
          <w:rtl/>
        </w:rPr>
        <w:tab/>
        <w:t>ترحب اللجنة بالعدد الكبير من الدول الأطراف التي قبلت بهذا الإجراء الجديد الذي يقوم على إعداد واعتماد قائمة بالمسائل (تُعرف باسم "قائمة المسائل السابقة لتقديم التقرير") تُحال إلى الدول الأطراف قبل أن تقدم دولة طرف ما تقريرها الدوري. ويهدف هذا الإجراء إلى مساعدة الدول الأطراف في الوفاء بالتزاماتها المتعلقة بالإبلاغ باعتباره أداةً تعزز التعاون بين اللجنة والدول الأطراف</w:t>
      </w:r>
      <w:r w:rsidR="00727BAF">
        <w:rPr>
          <w:spacing w:val="0"/>
          <w:sz w:val="20"/>
          <w:vertAlign w:val="superscript"/>
          <w:rtl/>
        </w:rPr>
        <w:t>(</w:t>
      </w:r>
      <w:r w:rsidR="00727BAF">
        <w:rPr>
          <w:rStyle w:val="FootnoteReference"/>
          <w:spacing w:val="0"/>
          <w:rtl/>
        </w:rPr>
        <w:footnoteReference w:id="3"/>
      </w:r>
      <w:r w:rsidR="00727BAF">
        <w:rPr>
          <w:spacing w:val="0"/>
          <w:sz w:val="20"/>
          <w:vertAlign w:val="superscript"/>
          <w:rtl/>
        </w:rPr>
        <w:t>)</w:t>
      </w:r>
      <w:r w:rsidRPr="004E0A37">
        <w:rPr>
          <w:rFonts w:hint="cs"/>
          <w:spacing w:val="0"/>
          <w:sz w:val="20"/>
          <w:rtl/>
        </w:rPr>
        <w:t xml:space="preserve">. وبينما تدرك اللجنة أن اعتماد قوائم المسائل السابقة لتقديم التقارير، منذ عام 2007، أمر يسهل على الدول الأطراف واجباتها </w:t>
      </w:r>
      <w:r w:rsidR="00F96B1E">
        <w:rPr>
          <w:rFonts w:hint="cs"/>
          <w:spacing w:val="0"/>
          <w:sz w:val="20"/>
          <w:rtl/>
        </w:rPr>
        <w:t>فيما </w:t>
      </w:r>
      <w:r w:rsidRPr="004E0A37">
        <w:rPr>
          <w:rFonts w:hint="cs"/>
          <w:spacing w:val="0"/>
          <w:sz w:val="20"/>
          <w:rtl/>
        </w:rPr>
        <w:t>يخص الإبلاغ، تود</w:t>
      </w:r>
      <w:r w:rsidR="00727BAF">
        <w:rPr>
          <w:rFonts w:hint="eastAsia"/>
          <w:spacing w:val="0"/>
          <w:sz w:val="20"/>
          <w:rtl/>
        </w:rPr>
        <w:t> </w:t>
      </w:r>
      <w:r w:rsidRPr="004E0A37">
        <w:rPr>
          <w:rFonts w:hint="cs"/>
          <w:spacing w:val="0"/>
          <w:sz w:val="20"/>
          <w:rtl/>
        </w:rPr>
        <w:t>اللجنة مع ذلك أن تؤكد أن هذا الإجراء الجديد المتبع في صياغة قوائم المسائل السابقة لتقديم التقارير قد زاد من حجم أعمال اللجنة بقدر كبير لأن إعداد هذه القوائم يتطلب عملاً أكثر مما كانت تتطلبه الطريقة التقليدية المتمثلة في صياغة قوائم المسائل بعد تقديم الدولة الطرف لتقريرها. وهذه مسألة بالغة الأهمية في لجنة ذات عضوية محدودة للغاية.</w:t>
      </w:r>
    </w:p>
    <w:p w:rsidR="004E0A37" w:rsidRPr="004E0A37" w:rsidRDefault="004E0A37" w:rsidP="00713BE2">
      <w:pPr>
        <w:pStyle w:val="SingleTxtGA"/>
        <w:spacing w:line="360" w:lineRule="exact"/>
        <w:jc w:val="lowKashida"/>
        <w:rPr>
          <w:rFonts w:hint="cs"/>
          <w:spacing w:val="0"/>
          <w:sz w:val="20"/>
          <w:rtl/>
        </w:rPr>
      </w:pPr>
      <w:r w:rsidRPr="004E0A37">
        <w:rPr>
          <w:rFonts w:hint="cs"/>
          <w:spacing w:val="0"/>
          <w:sz w:val="20"/>
          <w:rtl/>
        </w:rPr>
        <w:t>35-</w:t>
      </w:r>
      <w:r w:rsidRPr="004E0A37">
        <w:rPr>
          <w:rFonts w:hint="cs"/>
          <w:spacing w:val="0"/>
          <w:sz w:val="20"/>
          <w:rtl/>
        </w:rPr>
        <w:tab/>
        <w:t>وتبعاً لقرار اللجنة مواصلة العمل بهذا الإجراء لدورة إبلاغ جديدة مدتها أربع سنوات، قررت اللجنة، في دورتها السابعة والأربعين، أن تدعو الدول الأطراف الاثنتي عشرة التالية إلى أن تقدم تقريرها الذي يحل موعده في عام 2013</w:t>
      </w:r>
      <w:r w:rsidR="00B345DB">
        <w:rPr>
          <w:rFonts w:hint="cs"/>
          <w:spacing w:val="0"/>
          <w:sz w:val="20"/>
          <w:rtl/>
        </w:rPr>
        <w:t xml:space="preserve"> وفقاً </w:t>
      </w:r>
      <w:r w:rsidRPr="004E0A37">
        <w:rPr>
          <w:rFonts w:hint="cs"/>
          <w:spacing w:val="0"/>
          <w:sz w:val="20"/>
          <w:rtl/>
        </w:rPr>
        <w:t>لهذا الإجراء الجديد: أذربيجان، إسبانيا، إسرائيل، جمهورية مولدوفا، السلفادور، سلوفاكيا، شيلي، الفلبين، كولومبيا، نيكاراغوا، نيوزيلندا، هندوراس.</w:t>
      </w:r>
    </w:p>
    <w:p w:rsidR="004E0A37" w:rsidRPr="004E0A37" w:rsidRDefault="004E0A37" w:rsidP="00713BE2">
      <w:pPr>
        <w:pStyle w:val="SingleTxtGA"/>
        <w:spacing w:line="360" w:lineRule="exact"/>
        <w:jc w:val="lowKashida"/>
        <w:rPr>
          <w:rFonts w:hint="cs"/>
          <w:spacing w:val="0"/>
          <w:sz w:val="20"/>
          <w:rtl/>
        </w:rPr>
      </w:pPr>
      <w:r w:rsidRPr="004E0A37">
        <w:rPr>
          <w:rFonts w:hint="cs"/>
          <w:spacing w:val="0"/>
          <w:sz w:val="20"/>
          <w:rtl/>
        </w:rPr>
        <w:t>36-</w:t>
      </w:r>
      <w:r w:rsidRPr="004E0A37">
        <w:rPr>
          <w:rFonts w:hint="cs"/>
          <w:spacing w:val="0"/>
          <w:sz w:val="20"/>
          <w:rtl/>
        </w:rPr>
        <w:tab/>
        <w:t>واعتمدت اللجنة، في دورتها الثامنة والأربعين، قوائم المسائل السابقة لتقديم التقارير تخص 11 دولة طرفاً وافقت صراحةً على الدعوة التي وجهتها إليها اللجنة لتقديم تقريرها القادم، الذي يحل موعد تقديمه في 2013،</w:t>
      </w:r>
      <w:r w:rsidR="00B345DB">
        <w:rPr>
          <w:rFonts w:hint="cs"/>
          <w:spacing w:val="0"/>
          <w:sz w:val="20"/>
          <w:rtl/>
        </w:rPr>
        <w:t xml:space="preserve"> وفقاً </w:t>
      </w:r>
      <w:r w:rsidRPr="004E0A37">
        <w:rPr>
          <w:rFonts w:hint="cs"/>
          <w:spacing w:val="0"/>
          <w:sz w:val="20"/>
          <w:rtl/>
        </w:rPr>
        <w:t>لهذا الإجراء، هي أذربيجان، إسبانيا، إسرائيل، جمهورية مولدوفا، السلفادور، سلوفاكيا، شيلي، الفلبين، كولومبيا، نيوزيلندا، هندوراس. ويُشار في هذا الصدد إلى أن نيكاراغوا</w:t>
      </w:r>
      <w:r w:rsidR="00335AC0">
        <w:rPr>
          <w:rFonts w:hint="cs"/>
          <w:spacing w:val="0"/>
          <w:sz w:val="20"/>
          <w:rtl/>
        </w:rPr>
        <w:t xml:space="preserve"> لم </w:t>
      </w:r>
      <w:r w:rsidRPr="004E0A37">
        <w:rPr>
          <w:rFonts w:hint="cs"/>
          <w:spacing w:val="0"/>
          <w:sz w:val="20"/>
          <w:rtl/>
        </w:rPr>
        <w:t>تستجب لدعـوة اللجنة. والمعلومـات المُحدَّثة المتعلقة بالإجراء متاحة على موقع على الإنترنت أُعِدَّ لهذا الغرض على العنوان التالي: (</w:t>
      </w:r>
      <w:r w:rsidRPr="004E0A37">
        <w:rPr>
          <w:spacing w:val="0"/>
          <w:sz w:val="20"/>
        </w:rPr>
        <w:t>http://www2.ohchr.org/english/bodies/cat/reporting-procedure.htm</w:t>
      </w:r>
      <w:r w:rsidRPr="004E0A37">
        <w:rPr>
          <w:rFonts w:hint="cs"/>
          <w:spacing w:val="0"/>
          <w:sz w:val="20"/>
          <w:rtl/>
        </w:rPr>
        <w:t>).</w:t>
      </w:r>
    </w:p>
    <w:p w:rsidR="004E0A37" w:rsidRPr="004E0A37" w:rsidRDefault="004E0A37" w:rsidP="00713BE2">
      <w:pPr>
        <w:pStyle w:val="SingleTxtGA"/>
        <w:spacing w:line="360" w:lineRule="exact"/>
        <w:jc w:val="lowKashida"/>
        <w:rPr>
          <w:rFonts w:hint="cs"/>
          <w:spacing w:val="0"/>
          <w:sz w:val="20"/>
          <w:rtl/>
        </w:rPr>
      </w:pPr>
      <w:r w:rsidRPr="004E0A37">
        <w:rPr>
          <w:rFonts w:hint="cs"/>
          <w:spacing w:val="0"/>
          <w:sz w:val="20"/>
          <w:rtl/>
        </w:rPr>
        <w:t>37-</w:t>
      </w:r>
      <w:r w:rsidRPr="004E0A37">
        <w:rPr>
          <w:rFonts w:hint="cs"/>
          <w:spacing w:val="0"/>
          <w:sz w:val="20"/>
          <w:rtl/>
        </w:rPr>
        <w:tab/>
        <w:t xml:space="preserve">وقررت اللجنة، في دورتها الثامنة والأربعين، </w:t>
      </w:r>
      <w:r w:rsidR="00F96B1E">
        <w:rPr>
          <w:rFonts w:hint="cs"/>
          <w:spacing w:val="0"/>
          <w:sz w:val="20"/>
          <w:rtl/>
        </w:rPr>
        <w:t>فيما </w:t>
      </w:r>
      <w:r w:rsidRPr="004E0A37">
        <w:rPr>
          <w:rFonts w:hint="cs"/>
          <w:spacing w:val="0"/>
          <w:sz w:val="20"/>
          <w:rtl/>
        </w:rPr>
        <w:t>يتعلق بالتقارير التي يحل موعد تقديمها في 2014، أن تعد قائمة بالمسائل السابقة لتقديم التقارير لكل دولة من الدول الأطراف التالية التي سبق لها أن وافقت على العمل بهذا الإجراء، هي إ</w:t>
      </w:r>
      <w:r w:rsidRPr="004E0A37">
        <w:rPr>
          <w:spacing w:val="0"/>
          <w:sz w:val="20"/>
          <w:rtl/>
        </w:rPr>
        <w:t>كوادور</w:t>
      </w:r>
      <w:r w:rsidR="00781CE0">
        <w:rPr>
          <w:rFonts w:hint="cs"/>
          <w:spacing w:val="0"/>
          <w:sz w:val="20"/>
          <w:rtl/>
        </w:rPr>
        <w:t>،</w:t>
      </w:r>
      <w:r w:rsidRPr="004E0A37">
        <w:rPr>
          <w:spacing w:val="0"/>
          <w:sz w:val="20"/>
          <w:rtl/>
        </w:rPr>
        <w:t xml:space="preserve"> البوسنة والهرسك</w:t>
      </w:r>
      <w:r w:rsidR="00781CE0">
        <w:rPr>
          <w:rFonts w:hint="cs"/>
          <w:spacing w:val="0"/>
          <w:sz w:val="20"/>
          <w:rtl/>
        </w:rPr>
        <w:t>،</w:t>
      </w:r>
      <w:r w:rsidRPr="004E0A37">
        <w:rPr>
          <w:spacing w:val="0"/>
          <w:sz w:val="20"/>
          <w:rtl/>
        </w:rPr>
        <w:t xml:space="preserve"> تركيا</w:t>
      </w:r>
      <w:r w:rsidR="00781CE0">
        <w:rPr>
          <w:rFonts w:hint="cs"/>
          <w:spacing w:val="0"/>
          <w:sz w:val="20"/>
          <w:rtl/>
        </w:rPr>
        <w:t xml:space="preserve">، </w:t>
      </w:r>
      <w:r w:rsidRPr="004E0A37">
        <w:rPr>
          <w:spacing w:val="0"/>
          <w:sz w:val="20"/>
          <w:rtl/>
        </w:rPr>
        <w:t>كمبوديا</w:t>
      </w:r>
      <w:r w:rsidRPr="004E0A37">
        <w:rPr>
          <w:rFonts w:hint="cs"/>
          <w:spacing w:val="0"/>
          <w:sz w:val="20"/>
          <w:rtl/>
        </w:rPr>
        <w:t>. وقررت اللجنة كذلك دعوة الدول الأطراف التالية:</w:t>
      </w:r>
      <w:r w:rsidRPr="004E0A37">
        <w:rPr>
          <w:spacing w:val="0"/>
          <w:sz w:val="20"/>
          <w:rtl/>
        </w:rPr>
        <w:t xml:space="preserve"> إثيوبيا</w:t>
      </w:r>
      <w:r w:rsidR="00781CE0">
        <w:rPr>
          <w:rFonts w:hint="cs"/>
          <w:spacing w:val="0"/>
          <w:sz w:val="20"/>
          <w:rtl/>
        </w:rPr>
        <w:t xml:space="preserve">، </w:t>
      </w:r>
      <w:r w:rsidRPr="004E0A37">
        <w:rPr>
          <w:spacing w:val="0"/>
          <w:sz w:val="20"/>
          <w:rtl/>
        </w:rPr>
        <w:t>الأردن</w:t>
      </w:r>
      <w:r w:rsidR="00781CE0">
        <w:rPr>
          <w:rFonts w:hint="cs"/>
          <w:spacing w:val="0"/>
          <w:sz w:val="20"/>
          <w:rtl/>
        </w:rPr>
        <w:t xml:space="preserve">، </w:t>
      </w:r>
      <w:r w:rsidRPr="004E0A37">
        <w:rPr>
          <w:spacing w:val="0"/>
          <w:sz w:val="20"/>
          <w:rtl/>
        </w:rPr>
        <w:t>الجمهورية العربية السورية</w:t>
      </w:r>
      <w:r w:rsidR="00781CE0">
        <w:rPr>
          <w:rFonts w:hint="cs"/>
          <w:spacing w:val="0"/>
          <w:sz w:val="20"/>
          <w:rtl/>
        </w:rPr>
        <w:t xml:space="preserve">، </w:t>
      </w:r>
      <w:r w:rsidRPr="004E0A37">
        <w:rPr>
          <w:spacing w:val="0"/>
          <w:sz w:val="20"/>
          <w:rtl/>
        </w:rPr>
        <w:t>سويسرا</w:t>
      </w:r>
      <w:r w:rsidR="00781CE0">
        <w:rPr>
          <w:rFonts w:hint="cs"/>
          <w:spacing w:val="0"/>
          <w:sz w:val="20"/>
          <w:rtl/>
        </w:rPr>
        <w:t xml:space="preserve">، </w:t>
      </w:r>
      <w:r w:rsidRPr="004E0A37">
        <w:rPr>
          <w:spacing w:val="0"/>
          <w:sz w:val="20"/>
          <w:rtl/>
        </w:rPr>
        <w:t>فرنسا</w:t>
      </w:r>
      <w:r w:rsidR="00781CE0">
        <w:rPr>
          <w:rFonts w:hint="cs"/>
          <w:spacing w:val="0"/>
          <w:sz w:val="20"/>
          <w:rtl/>
        </w:rPr>
        <w:t xml:space="preserve">، </w:t>
      </w:r>
      <w:r w:rsidRPr="004E0A37">
        <w:rPr>
          <w:spacing w:val="0"/>
          <w:sz w:val="20"/>
          <w:rtl/>
        </w:rPr>
        <w:t>الكاميرون</w:t>
      </w:r>
      <w:r w:rsidR="00781CE0">
        <w:rPr>
          <w:rFonts w:hint="cs"/>
          <w:spacing w:val="0"/>
          <w:sz w:val="20"/>
          <w:rtl/>
        </w:rPr>
        <w:t xml:space="preserve">، </w:t>
      </w:r>
      <w:r w:rsidRPr="004E0A37">
        <w:rPr>
          <w:spacing w:val="0"/>
          <w:sz w:val="20"/>
          <w:rtl/>
        </w:rPr>
        <w:t>ليختنشتاين</w:t>
      </w:r>
      <w:r w:rsidR="00781CE0">
        <w:rPr>
          <w:rFonts w:hint="cs"/>
          <w:spacing w:val="0"/>
          <w:sz w:val="20"/>
          <w:rtl/>
        </w:rPr>
        <w:t xml:space="preserve">، </w:t>
      </w:r>
      <w:r w:rsidRPr="004E0A37">
        <w:rPr>
          <w:spacing w:val="0"/>
          <w:sz w:val="20"/>
          <w:rtl/>
        </w:rPr>
        <w:t>منغوليا</w:t>
      </w:r>
      <w:r w:rsidR="00781CE0">
        <w:rPr>
          <w:rFonts w:hint="cs"/>
          <w:spacing w:val="0"/>
          <w:sz w:val="20"/>
          <w:rtl/>
        </w:rPr>
        <w:t>،</w:t>
      </w:r>
      <w:r w:rsidRPr="004E0A37">
        <w:rPr>
          <w:spacing w:val="0"/>
          <w:sz w:val="20"/>
          <w:rtl/>
        </w:rPr>
        <w:t xml:space="preserve"> النمسا</w:t>
      </w:r>
      <w:r w:rsidR="00781CE0">
        <w:rPr>
          <w:rFonts w:hint="cs"/>
          <w:spacing w:val="0"/>
          <w:sz w:val="20"/>
          <w:rtl/>
        </w:rPr>
        <w:t xml:space="preserve">، </w:t>
      </w:r>
      <w:r w:rsidRPr="004E0A37">
        <w:rPr>
          <w:spacing w:val="0"/>
          <w:sz w:val="20"/>
          <w:rtl/>
        </w:rPr>
        <w:t>اليمن</w:t>
      </w:r>
      <w:r w:rsidRPr="004E0A37">
        <w:rPr>
          <w:rFonts w:hint="cs"/>
          <w:spacing w:val="0"/>
          <w:sz w:val="20"/>
          <w:rtl/>
        </w:rPr>
        <w:t>، إلى تقديم تقاريرها التي يحل موعدها في عام 2014</w:t>
      </w:r>
      <w:r w:rsidR="00B345DB">
        <w:rPr>
          <w:rFonts w:hint="cs"/>
          <w:spacing w:val="0"/>
          <w:sz w:val="20"/>
          <w:rtl/>
        </w:rPr>
        <w:t xml:space="preserve"> وفقاً </w:t>
      </w:r>
      <w:r w:rsidRPr="004E0A37">
        <w:rPr>
          <w:rFonts w:hint="cs"/>
          <w:spacing w:val="0"/>
          <w:sz w:val="20"/>
          <w:rtl/>
        </w:rPr>
        <w:t>للإجراء الجديد.</w:t>
      </w:r>
    </w:p>
    <w:p w:rsidR="004E0A37" w:rsidRPr="004E0A37" w:rsidRDefault="004E0A37" w:rsidP="00713BE2">
      <w:pPr>
        <w:pStyle w:val="SingleTxtGA"/>
        <w:spacing w:line="360" w:lineRule="exact"/>
        <w:jc w:val="lowKashida"/>
        <w:rPr>
          <w:rFonts w:hint="cs"/>
          <w:spacing w:val="0"/>
          <w:sz w:val="20"/>
          <w:rtl/>
        </w:rPr>
      </w:pPr>
      <w:r w:rsidRPr="004E0A37">
        <w:rPr>
          <w:rFonts w:hint="cs"/>
          <w:spacing w:val="0"/>
          <w:sz w:val="20"/>
          <w:rtl/>
        </w:rPr>
        <w:t>38-</w:t>
      </w:r>
      <w:r w:rsidRPr="004E0A37">
        <w:rPr>
          <w:rFonts w:hint="cs"/>
          <w:spacing w:val="0"/>
          <w:sz w:val="20"/>
          <w:rtl/>
        </w:rPr>
        <w:tab/>
        <w:t>وفي الأخير، قررت اللجنة أن ترسل إلى الدول الأطراف التالية رسائل تذكير بينت فيها أن</w:t>
      </w:r>
      <w:r w:rsidR="00173658">
        <w:rPr>
          <w:rFonts w:hint="cs"/>
          <w:spacing w:val="0"/>
          <w:sz w:val="20"/>
          <w:rtl/>
        </w:rPr>
        <w:t>ها كانت تتوقع أن تتلقى تقاريرها</w:t>
      </w:r>
      <w:r w:rsidRPr="004E0A37">
        <w:rPr>
          <w:rFonts w:hint="cs"/>
          <w:spacing w:val="0"/>
          <w:sz w:val="20"/>
          <w:rtl/>
        </w:rPr>
        <w:t xml:space="preserve"> بموجب هذا الإجراء بعد أن وافقت كل دولة من هذه الدول على تقديم تقريرها الذي يحل موعده في عام 2010</w:t>
      </w:r>
      <w:r w:rsidR="00B345DB">
        <w:rPr>
          <w:rFonts w:hint="cs"/>
          <w:spacing w:val="0"/>
          <w:sz w:val="20"/>
          <w:rtl/>
        </w:rPr>
        <w:t xml:space="preserve"> وفقاً </w:t>
      </w:r>
      <w:r w:rsidRPr="004E0A37">
        <w:rPr>
          <w:rFonts w:hint="cs"/>
          <w:spacing w:val="0"/>
          <w:sz w:val="20"/>
          <w:rtl/>
        </w:rPr>
        <w:t>للإجراء الجديد: البرازيل وليبيا والمجر. وقررت اللجنة أيضاً أن ترسل رسالة تذكير إلى المملكة العربية السعودية تدعوها فيها، بعد أن طلبت منها ذلك في عام 2010، إلى قبول الإبلاغ</w:t>
      </w:r>
      <w:r w:rsidR="00B345DB">
        <w:rPr>
          <w:rFonts w:hint="cs"/>
          <w:spacing w:val="0"/>
          <w:sz w:val="20"/>
          <w:rtl/>
        </w:rPr>
        <w:t xml:space="preserve"> وفقاً </w:t>
      </w:r>
      <w:r w:rsidRPr="004E0A37">
        <w:rPr>
          <w:rFonts w:hint="cs"/>
          <w:spacing w:val="0"/>
          <w:sz w:val="20"/>
          <w:rtl/>
        </w:rPr>
        <w:t>لهذا الإجراء.</w:t>
      </w:r>
    </w:p>
    <w:p w:rsidR="004E0A37" w:rsidRPr="004E0A37" w:rsidRDefault="004E0A37" w:rsidP="00713BE2">
      <w:pPr>
        <w:pStyle w:val="H1GA"/>
        <w:spacing w:before="120"/>
        <w:rPr>
          <w:rFonts w:hint="cs"/>
          <w:rtl/>
          <w:lang/>
        </w:rPr>
      </w:pPr>
      <w:r w:rsidRPr="004E0A37">
        <w:rPr>
          <w:rFonts w:hint="cs"/>
          <w:rtl/>
          <w:lang/>
        </w:rPr>
        <w:tab/>
        <w:t>جيم-</w:t>
      </w:r>
      <w:r w:rsidRPr="004E0A37">
        <w:rPr>
          <w:rFonts w:hint="cs"/>
          <w:rtl/>
          <w:lang/>
        </w:rPr>
        <w:tab/>
        <w:t>التقييم الأولي للإجراء الاختياري المتعلق بالإبلاغ</w:t>
      </w:r>
    </w:p>
    <w:p w:rsidR="004E0A37" w:rsidRPr="004E0A37" w:rsidRDefault="004E0A37" w:rsidP="006C3172">
      <w:pPr>
        <w:pStyle w:val="SingleTxtGA"/>
        <w:jc w:val="lowKashida"/>
        <w:rPr>
          <w:rFonts w:hint="cs"/>
          <w:spacing w:val="0"/>
          <w:sz w:val="20"/>
          <w:rtl/>
        </w:rPr>
      </w:pPr>
      <w:r w:rsidRPr="004E0A37">
        <w:rPr>
          <w:rFonts w:hint="cs"/>
          <w:spacing w:val="0"/>
          <w:sz w:val="20"/>
          <w:rtl/>
        </w:rPr>
        <w:t>39-</w:t>
      </w:r>
      <w:r w:rsidR="006C3172">
        <w:rPr>
          <w:rFonts w:hint="cs"/>
          <w:spacing w:val="0"/>
          <w:sz w:val="20"/>
          <w:rtl/>
        </w:rPr>
        <w:tab/>
        <w:t>ناقشت اللجنة، في دورتيها السابع</w:t>
      </w:r>
      <w:r w:rsidRPr="004E0A37">
        <w:rPr>
          <w:rFonts w:hint="cs"/>
          <w:spacing w:val="0"/>
          <w:sz w:val="20"/>
          <w:rtl/>
        </w:rPr>
        <w:t>ة والأربعين وال</w:t>
      </w:r>
      <w:r w:rsidR="006C3172">
        <w:rPr>
          <w:rFonts w:hint="cs"/>
          <w:spacing w:val="0"/>
          <w:sz w:val="20"/>
          <w:rtl/>
        </w:rPr>
        <w:t>ثامن</w:t>
      </w:r>
      <w:r w:rsidRPr="004E0A37">
        <w:rPr>
          <w:rFonts w:hint="cs"/>
          <w:spacing w:val="0"/>
          <w:sz w:val="20"/>
          <w:rtl/>
        </w:rPr>
        <w:t>ة والأربعين، إجراءها الاختياري المتعلق بالإبلاغ بالاستناد إلى التقرير الذي طلبته اللجنة من الأمانة</w:t>
      </w:r>
      <w:r w:rsidR="00727BAF">
        <w:rPr>
          <w:spacing w:val="0"/>
          <w:sz w:val="20"/>
          <w:vertAlign w:val="superscript"/>
          <w:rtl/>
        </w:rPr>
        <w:t>(</w:t>
      </w:r>
      <w:r w:rsidR="00727BAF">
        <w:rPr>
          <w:rStyle w:val="FootnoteReference"/>
          <w:spacing w:val="0"/>
          <w:rtl/>
        </w:rPr>
        <w:footnoteReference w:id="4"/>
      </w:r>
      <w:r w:rsidR="00727BAF">
        <w:rPr>
          <w:spacing w:val="0"/>
          <w:sz w:val="20"/>
          <w:vertAlign w:val="superscript"/>
          <w:rtl/>
        </w:rPr>
        <w:t>)</w:t>
      </w:r>
      <w:r w:rsidR="00727BAF">
        <w:rPr>
          <w:rFonts w:hint="cs"/>
          <w:spacing w:val="0"/>
          <w:sz w:val="20"/>
          <w:rtl/>
        </w:rPr>
        <w:t xml:space="preserve"> </w:t>
      </w:r>
      <w:r w:rsidRPr="004E0A37">
        <w:rPr>
          <w:rFonts w:hint="cs"/>
          <w:spacing w:val="0"/>
          <w:sz w:val="20"/>
          <w:rtl/>
        </w:rPr>
        <w:t xml:space="preserve">عن حالة الإجراء الاختياري المتعلق بالإبلاغ </w:t>
      </w:r>
      <w:r w:rsidRPr="004E0A37">
        <w:rPr>
          <w:spacing w:val="0"/>
          <w:sz w:val="20"/>
        </w:rPr>
        <w:t>(CAT/C/47/2)</w:t>
      </w:r>
      <w:r w:rsidRPr="004E0A37">
        <w:rPr>
          <w:rFonts w:hint="cs"/>
          <w:spacing w:val="0"/>
          <w:sz w:val="20"/>
          <w:rtl/>
        </w:rPr>
        <w:t>، وشمل معلومات عن المستجدات متعلقة بالإجراء والخيارات الممكنة لتنقيحه.</w:t>
      </w:r>
    </w:p>
    <w:p w:rsidR="004E0A37" w:rsidRPr="004E0A37" w:rsidRDefault="004E0A37" w:rsidP="00727BAF">
      <w:pPr>
        <w:pStyle w:val="SingleTxtGA"/>
        <w:jc w:val="lowKashida"/>
        <w:rPr>
          <w:rFonts w:hint="cs"/>
          <w:spacing w:val="0"/>
          <w:sz w:val="20"/>
          <w:rtl/>
        </w:rPr>
      </w:pPr>
      <w:r w:rsidRPr="004E0A37">
        <w:rPr>
          <w:rFonts w:hint="cs"/>
          <w:spacing w:val="0"/>
          <w:sz w:val="20"/>
          <w:rtl/>
        </w:rPr>
        <w:t>40-</w:t>
      </w:r>
      <w:r w:rsidRPr="004E0A37">
        <w:rPr>
          <w:rFonts w:hint="cs"/>
          <w:spacing w:val="0"/>
          <w:sz w:val="20"/>
          <w:rtl/>
        </w:rPr>
        <w:tab/>
        <w:t>وقررت اللجنة، بعد الإحاطة</w:t>
      </w:r>
      <w:r w:rsidR="003833F8">
        <w:rPr>
          <w:rFonts w:hint="cs"/>
          <w:spacing w:val="0"/>
          <w:sz w:val="20"/>
          <w:rtl/>
        </w:rPr>
        <w:t xml:space="preserve"> علماً </w:t>
      </w:r>
      <w:r w:rsidRPr="004E0A37">
        <w:rPr>
          <w:rFonts w:hint="cs"/>
          <w:spacing w:val="0"/>
          <w:sz w:val="20"/>
          <w:rtl/>
        </w:rPr>
        <w:t>بتقرير الأمانة والإعراب عن تقديرها للأمانة عن هذا التقرير الذي ضم أيضاً اقتراحات تتعلق بدورة الإبلاغ القادمة (2013-2016)، أن</w:t>
      </w:r>
      <w:r w:rsidR="00727BAF">
        <w:rPr>
          <w:rFonts w:hint="eastAsia"/>
          <w:spacing w:val="0"/>
          <w:sz w:val="20"/>
          <w:rtl/>
        </w:rPr>
        <w:t> </w:t>
      </w:r>
      <w:r w:rsidRPr="004E0A37">
        <w:rPr>
          <w:rFonts w:hint="cs"/>
          <w:spacing w:val="0"/>
          <w:sz w:val="20"/>
          <w:rtl/>
        </w:rPr>
        <w:t>تواصل أثناء دوراتها المقبلة مناقشة تقييم إجرائها الاختياري المتعلق بالإبلاغ.</w:t>
      </w:r>
    </w:p>
    <w:p w:rsidR="004E0A37" w:rsidRPr="004E0A37" w:rsidRDefault="004E0A37" w:rsidP="00781CE0">
      <w:pPr>
        <w:pStyle w:val="H1GA"/>
        <w:rPr>
          <w:rFonts w:hint="cs"/>
          <w:rtl/>
          <w:lang/>
        </w:rPr>
      </w:pPr>
      <w:r w:rsidRPr="004E0A37">
        <w:rPr>
          <w:rFonts w:hint="cs"/>
          <w:rtl/>
          <w:lang/>
        </w:rPr>
        <w:tab/>
        <w:t>دال-</w:t>
      </w:r>
      <w:r w:rsidRPr="004E0A37">
        <w:rPr>
          <w:rFonts w:hint="cs"/>
          <w:rtl/>
          <w:lang/>
        </w:rPr>
        <w:tab/>
        <w:t>رسائل تذكيرية بخصوص التقارير التي تأخر موعد تقديمها</w:t>
      </w:r>
    </w:p>
    <w:p w:rsidR="004E0A37" w:rsidRPr="004E0A37" w:rsidRDefault="004E0A37" w:rsidP="00B345DB">
      <w:pPr>
        <w:pStyle w:val="SingleTxtGA"/>
        <w:spacing w:line="360" w:lineRule="exact"/>
        <w:jc w:val="lowKashida"/>
        <w:rPr>
          <w:rFonts w:hint="cs"/>
          <w:spacing w:val="0"/>
          <w:sz w:val="20"/>
          <w:rtl/>
        </w:rPr>
      </w:pPr>
      <w:r w:rsidRPr="004E0A37">
        <w:rPr>
          <w:rFonts w:hint="cs"/>
          <w:spacing w:val="0"/>
          <w:sz w:val="20"/>
          <w:rtl/>
        </w:rPr>
        <w:t>41-</w:t>
      </w:r>
      <w:r w:rsidRPr="004E0A37">
        <w:rPr>
          <w:rFonts w:hint="cs"/>
          <w:spacing w:val="0"/>
          <w:sz w:val="20"/>
          <w:rtl/>
        </w:rPr>
        <w:tab/>
        <w:t>عملاً بالقرار الذي اتخذته اللجنة في دورتها الحادية والأربعين بأن ترسل رسائل تذكيرية إلى جميع الدول الأطراف التي تأخر تقديم تقاريرها الأولية لمدة ثلاث سنوات أو</w:t>
      </w:r>
      <w:r w:rsidR="00B345DB">
        <w:rPr>
          <w:rFonts w:hint="eastAsia"/>
          <w:spacing w:val="0"/>
          <w:sz w:val="20"/>
          <w:rtl/>
        </w:rPr>
        <w:t> </w:t>
      </w:r>
      <w:r w:rsidRPr="004E0A37">
        <w:rPr>
          <w:rFonts w:hint="cs"/>
          <w:spacing w:val="0"/>
          <w:sz w:val="20"/>
          <w:rtl/>
        </w:rPr>
        <w:t xml:space="preserve">أكثر، قررت اللجنة، في دورتها الثامنة والأربعين، أن ترسل رسائل تذكيرية إلى الدول الأطراف التالية: </w:t>
      </w:r>
      <w:r w:rsidRPr="004E0A37">
        <w:rPr>
          <w:spacing w:val="0"/>
          <w:sz w:val="20"/>
          <w:rtl/>
        </w:rPr>
        <w:t>أنتيغوا وبربودا</w:t>
      </w:r>
      <w:r w:rsidRPr="004E0A37">
        <w:rPr>
          <w:rFonts w:hint="cs"/>
          <w:spacing w:val="0"/>
          <w:sz w:val="20"/>
          <w:rtl/>
        </w:rPr>
        <w:t xml:space="preserve">، </w:t>
      </w:r>
      <w:r w:rsidRPr="004E0A37">
        <w:rPr>
          <w:spacing w:val="0"/>
          <w:sz w:val="20"/>
          <w:rtl/>
        </w:rPr>
        <w:t>أندورا</w:t>
      </w:r>
      <w:r w:rsidRPr="004E0A37">
        <w:rPr>
          <w:rFonts w:hint="cs"/>
          <w:spacing w:val="0"/>
          <w:sz w:val="20"/>
          <w:rtl/>
        </w:rPr>
        <w:t>، باكستان، بنغلاديش، بوتسوانا، بوركينا فاسو، تايلند، تيمور - ليشتي، الرأس الأخضر، سان مارينو، سانت فنسنت وجزر غرينادين، سوازيلند، سيراليون، سيشيل، الصومال، غينيا الاستوائية، الكرسي الرسولي، كوت ديفوار، الكونغو، لبنان، ليبيريا، ليسوتو، مالي، ملاوي، ملديف، موزامبيق، النيجر، نيجيريا.</w:t>
      </w:r>
    </w:p>
    <w:p w:rsidR="004E0A37" w:rsidRPr="004E0A37" w:rsidRDefault="004E0A37" w:rsidP="00713BE2">
      <w:pPr>
        <w:pStyle w:val="SingleTxtGA"/>
        <w:spacing w:line="360" w:lineRule="exact"/>
        <w:jc w:val="lowKashida"/>
        <w:rPr>
          <w:rFonts w:hint="cs"/>
          <w:spacing w:val="0"/>
          <w:sz w:val="20"/>
          <w:rtl/>
        </w:rPr>
      </w:pPr>
      <w:r w:rsidRPr="004E0A37">
        <w:rPr>
          <w:rFonts w:hint="cs"/>
          <w:spacing w:val="0"/>
          <w:sz w:val="20"/>
          <w:rtl/>
        </w:rPr>
        <w:t>42-</w:t>
      </w:r>
      <w:r w:rsidRPr="004E0A37">
        <w:rPr>
          <w:rFonts w:hint="cs"/>
          <w:spacing w:val="0"/>
          <w:sz w:val="20"/>
          <w:rtl/>
        </w:rPr>
        <w:tab/>
        <w:t>ووجهت اللجنة نظر هذه الدول الأطراف إلى كون التأخير في تقديم التقارير يعوِّق إلى حد بعيد تنفيذ الاتفاقية في الدول الأطراف ويحول دون أداء اللجنة وظيفتها المتمثلة في رصد التنفيذ. وطلبت اللجنة الحصول على معلومات بشأن التقدم الذي أحرزته هذه الدول الأطراف في مجال الوفاء بالتزاماتها المتعلقة بتقديم التقارير وبشأن العقبات التي قد تواجهها في ذلك الصدد. وأُبلغت تلك الدول أيضاً بأن اللجنة قد تقدم، بموجب المادة 67 من نظامها الداخلي، على استعراض حالة تنفيذ الاتفاقية في الدولة الطرف في غياب تقرير عنها، وأن هذا الاستعراض يمكن أن يجرى على أساس المعلومات التي تتاح للجنة من مختلف المصادر، بما</w:t>
      </w:r>
      <w:r w:rsidRPr="004E0A37">
        <w:rPr>
          <w:rFonts w:hint="eastAsia"/>
          <w:spacing w:val="0"/>
          <w:sz w:val="20"/>
          <w:rtl/>
        </w:rPr>
        <w:t> </w:t>
      </w:r>
      <w:r w:rsidRPr="004E0A37">
        <w:rPr>
          <w:rFonts w:hint="cs"/>
          <w:spacing w:val="0"/>
          <w:sz w:val="20"/>
          <w:rtl/>
        </w:rPr>
        <w:t>فيها مصادر من خارج الأمم المتحدة.</w:t>
      </w:r>
    </w:p>
    <w:p w:rsidR="004E0A37" w:rsidRPr="004E0A37" w:rsidRDefault="004E0A37" w:rsidP="00781CE0">
      <w:pPr>
        <w:pStyle w:val="H1GA"/>
        <w:rPr>
          <w:rFonts w:hint="cs"/>
          <w:rtl/>
          <w:lang/>
        </w:rPr>
      </w:pPr>
      <w:r w:rsidRPr="004E0A37">
        <w:rPr>
          <w:rFonts w:hint="cs"/>
          <w:rtl/>
          <w:lang/>
        </w:rPr>
        <w:tab/>
        <w:t>هاء-</w:t>
      </w:r>
      <w:r w:rsidRPr="004E0A37">
        <w:rPr>
          <w:rFonts w:hint="cs"/>
          <w:rtl/>
          <w:lang/>
        </w:rPr>
        <w:tab/>
        <w:t>النظر في التدابير المُتّخَذة من دولة طرف في غياب تقرير عنها</w:t>
      </w:r>
    </w:p>
    <w:p w:rsidR="004E0A37" w:rsidRPr="004E0A37" w:rsidRDefault="004E0A37" w:rsidP="00B6289A">
      <w:pPr>
        <w:pStyle w:val="SingleTxtGA"/>
        <w:spacing w:line="360" w:lineRule="exact"/>
        <w:jc w:val="lowKashida"/>
        <w:rPr>
          <w:rFonts w:hint="cs"/>
          <w:spacing w:val="0"/>
          <w:sz w:val="20"/>
          <w:rtl/>
        </w:rPr>
      </w:pPr>
      <w:r w:rsidRPr="004E0A37">
        <w:rPr>
          <w:rFonts w:hint="cs"/>
          <w:spacing w:val="0"/>
          <w:sz w:val="20"/>
          <w:rtl/>
        </w:rPr>
        <w:t>43-</w:t>
      </w:r>
      <w:r w:rsidRPr="004E0A37">
        <w:rPr>
          <w:rFonts w:hint="cs"/>
          <w:spacing w:val="0"/>
          <w:sz w:val="20"/>
          <w:rtl/>
        </w:rPr>
        <w:tab/>
        <w:t>تبعاً لقرار اللجنة إرسالَ رسائل تذكيرية إلى جميع الدول الأطراف التي تأخرت في تقديم تقاريرها الأولية، قررت اللجنة، في دورتها الثامنة والأربعين، اتخاذ إجراء بشأن الدول الأطراف التي ت</w:t>
      </w:r>
      <w:r w:rsidR="00B6289A">
        <w:rPr>
          <w:rFonts w:hint="cs"/>
          <w:spacing w:val="0"/>
          <w:sz w:val="20"/>
          <w:rtl/>
        </w:rPr>
        <w:t>أ</w:t>
      </w:r>
      <w:r w:rsidRPr="004E0A37">
        <w:rPr>
          <w:rFonts w:hint="cs"/>
          <w:spacing w:val="0"/>
          <w:sz w:val="20"/>
          <w:rtl/>
        </w:rPr>
        <w:t>خرت كثيرا</w:t>
      </w:r>
      <w:r w:rsidR="00B6289A">
        <w:rPr>
          <w:rFonts w:hint="cs"/>
          <w:spacing w:val="0"/>
          <w:sz w:val="20"/>
          <w:rtl/>
        </w:rPr>
        <w:t>ً</w:t>
      </w:r>
      <w:r w:rsidRPr="004E0A37">
        <w:rPr>
          <w:rFonts w:hint="cs"/>
          <w:spacing w:val="0"/>
          <w:sz w:val="20"/>
          <w:rtl/>
        </w:rPr>
        <w:t xml:space="preserve"> في تقديم تقريرها الأولية. وإذ لاحظت أن غينيا قد تأخرت في تقديم تقريرها الأولي حيث كان من المقرر تقديمه في 8 تشرين الثاني/نوفمبر 1990 - أي أن التأخير زاد عن 21 عاما</w:t>
      </w:r>
      <w:r w:rsidR="00B345DB">
        <w:rPr>
          <w:rFonts w:hint="cs"/>
          <w:spacing w:val="0"/>
          <w:sz w:val="20"/>
          <w:rtl/>
        </w:rPr>
        <w:t>ً</w:t>
      </w:r>
      <w:r w:rsidRPr="004E0A37">
        <w:rPr>
          <w:rFonts w:hint="cs"/>
          <w:spacing w:val="0"/>
          <w:sz w:val="20"/>
          <w:rtl/>
        </w:rPr>
        <w:t xml:space="preserve">، وهو أطول تأخير سجل بالنسبة لجميع التقارير الأولية </w:t>
      </w:r>
      <w:r w:rsidRPr="004E0A37">
        <w:rPr>
          <w:spacing w:val="0"/>
          <w:sz w:val="20"/>
          <w:rtl/>
        </w:rPr>
        <w:t>-</w:t>
      </w:r>
      <w:r w:rsidRPr="004E0A37">
        <w:rPr>
          <w:rFonts w:hint="cs"/>
          <w:spacing w:val="0"/>
          <w:sz w:val="20"/>
          <w:rtl/>
        </w:rPr>
        <w:t xml:space="preserve"> قررت اللجنة إحاطة الدولة الطرف</w:t>
      </w:r>
      <w:r w:rsidR="003833F8">
        <w:rPr>
          <w:rFonts w:hint="cs"/>
          <w:spacing w:val="0"/>
          <w:sz w:val="20"/>
          <w:rtl/>
        </w:rPr>
        <w:t xml:space="preserve"> علماً </w:t>
      </w:r>
      <w:r w:rsidRPr="004E0A37">
        <w:rPr>
          <w:rFonts w:hint="cs"/>
          <w:spacing w:val="0"/>
          <w:sz w:val="20"/>
          <w:rtl/>
        </w:rPr>
        <w:t>بأنها، تبع</w:t>
      </w:r>
      <w:r w:rsidR="00BB5187">
        <w:rPr>
          <w:rFonts w:hint="cs"/>
          <w:spacing w:val="0"/>
          <w:sz w:val="20"/>
          <w:rtl/>
        </w:rPr>
        <w:t xml:space="preserve">اً </w:t>
      </w:r>
      <w:r w:rsidRPr="004E0A37">
        <w:rPr>
          <w:rFonts w:hint="cs"/>
          <w:spacing w:val="0"/>
          <w:sz w:val="20"/>
          <w:rtl/>
        </w:rPr>
        <w:t>للرسائل التذكيرية التي أرسلت منذ عام 2009 ولم ترد عليها الدولة الطرف، وعمل</w:t>
      </w:r>
      <w:r w:rsidR="00BB5187">
        <w:rPr>
          <w:rFonts w:hint="cs"/>
          <w:spacing w:val="0"/>
          <w:sz w:val="20"/>
          <w:rtl/>
        </w:rPr>
        <w:t xml:space="preserve">اً </w:t>
      </w:r>
      <w:r w:rsidRPr="004E0A37">
        <w:rPr>
          <w:rFonts w:hint="cs"/>
          <w:spacing w:val="0"/>
          <w:sz w:val="20"/>
          <w:rtl/>
        </w:rPr>
        <w:t>بالمادة 68 من نظامها الداخلي، سوف تنظر، في دورتها الخمسين المقرر عقدها في أيار/مايو 2013، في التدابير التي اتخذتها غينيا في غياب تقريرها، ما</w:t>
      </w:r>
      <w:r w:rsidR="00335AC0">
        <w:rPr>
          <w:rFonts w:hint="cs"/>
          <w:spacing w:val="0"/>
          <w:sz w:val="20"/>
          <w:rtl/>
        </w:rPr>
        <w:t xml:space="preserve"> لم </w:t>
      </w:r>
      <w:r w:rsidRPr="004E0A37">
        <w:rPr>
          <w:rFonts w:hint="cs"/>
          <w:spacing w:val="0"/>
          <w:sz w:val="20"/>
          <w:rtl/>
        </w:rPr>
        <w:t>يقدَّم هذا التقرير بحلول 31 كانون الأول/ديسمبر 2012.</w:t>
      </w:r>
    </w:p>
    <w:p w:rsidR="004E0A37" w:rsidRPr="004E0A37" w:rsidRDefault="004E0A37" w:rsidP="00216CB1">
      <w:pPr>
        <w:pStyle w:val="HChGA"/>
        <w:spacing w:before="120"/>
        <w:jc w:val="lowKashida"/>
        <w:rPr>
          <w:rFonts w:hint="cs"/>
          <w:rtl/>
        </w:rPr>
      </w:pPr>
      <w:r w:rsidRPr="004E0A37">
        <w:rPr>
          <w:rFonts w:hint="cs"/>
          <w:rtl/>
        </w:rPr>
        <w:tab/>
        <w:t>ثالثاً-</w:t>
      </w:r>
      <w:r w:rsidRPr="004E0A37">
        <w:rPr>
          <w:rFonts w:hint="cs"/>
          <w:rtl/>
        </w:rPr>
        <w:tab/>
        <w:t>النظر في التقارير المقدمة من الدول الأطراف بموجب المادة 19 من</w:t>
      </w:r>
      <w:r w:rsidRPr="004E0A37">
        <w:rPr>
          <w:rFonts w:hint="eastAsia"/>
          <w:rtl/>
        </w:rPr>
        <w:t> </w:t>
      </w:r>
      <w:r w:rsidRPr="004E0A37">
        <w:rPr>
          <w:rFonts w:hint="cs"/>
          <w:rtl/>
        </w:rPr>
        <w:t>الاتفاقية</w:t>
      </w:r>
    </w:p>
    <w:p w:rsidR="004E0A37" w:rsidRPr="004E0A37" w:rsidRDefault="004E0A37" w:rsidP="00781CE0">
      <w:pPr>
        <w:pStyle w:val="H1GA"/>
        <w:rPr>
          <w:rFonts w:hint="cs"/>
          <w:rtl/>
        </w:rPr>
      </w:pPr>
      <w:r w:rsidRPr="004E0A37">
        <w:rPr>
          <w:rFonts w:hint="cs"/>
          <w:rtl/>
        </w:rPr>
        <w:tab/>
        <w:t>ألف-</w:t>
      </w:r>
      <w:r w:rsidRPr="004E0A37">
        <w:rPr>
          <w:rFonts w:hint="cs"/>
          <w:rtl/>
        </w:rPr>
        <w:tab/>
        <w:t>النظر في التقارير المقدمة من الدول الأطراف</w:t>
      </w:r>
    </w:p>
    <w:p w:rsidR="004E0A37" w:rsidRPr="004E0A37" w:rsidRDefault="004E0A37" w:rsidP="00713BE2">
      <w:pPr>
        <w:pStyle w:val="SingleTxtGA"/>
        <w:spacing w:after="240"/>
        <w:jc w:val="lowKashida"/>
        <w:rPr>
          <w:rFonts w:hint="cs"/>
          <w:spacing w:val="0"/>
          <w:sz w:val="20"/>
          <w:rtl/>
        </w:rPr>
      </w:pPr>
      <w:r w:rsidRPr="004E0A37">
        <w:rPr>
          <w:rFonts w:hint="cs"/>
          <w:spacing w:val="0"/>
          <w:sz w:val="20"/>
          <w:rtl/>
        </w:rPr>
        <w:t>44-</w:t>
      </w:r>
      <w:r w:rsidRPr="004E0A37">
        <w:rPr>
          <w:rFonts w:hint="cs"/>
          <w:spacing w:val="0"/>
          <w:sz w:val="20"/>
          <w:rtl/>
        </w:rPr>
        <w:tab/>
        <w:t>نظرت اللجنة، في دورتيها السابعة والأربعين والثامنة والأربعين، في التقارير المقدمة</w:t>
      </w:r>
      <w:r w:rsidRPr="004E0A37">
        <w:rPr>
          <w:rFonts w:hint="eastAsia"/>
          <w:spacing w:val="0"/>
          <w:sz w:val="20"/>
          <w:rtl/>
        </w:rPr>
        <w:t> </w:t>
      </w:r>
      <w:r w:rsidRPr="004E0A37">
        <w:rPr>
          <w:rFonts w:hint="cs"/>
          <w:spacing w:val="0"/>
          <w:sz w:val="20"/>
          <w:rtl/>
        </w:rPr>
        <w:t>من 14 دولة من الدول الأطراف بموجب الفقرة 1 من المادة 19 من الاتفاقية، واعتمدت مجموعة من 15 ملاحظة ختامية اعتبرت فيها أن الجمهورية العربية السورية</w:t>
      </w:r>
      <w:r w:rsidR="00335AC0">
        <w:rPr>
          <w:rFonts w:hint="cs"/>
          <w:spacing w:val="0"/>
          <w:sz w:val="20"/>
          <w:rtl/>
        </w:rPr>
        <w:t xml:space="preserve"> لم </w:t>
      </w:r>
      <w:r w:rsidRPr="004E0A37">
        <w:rPr>
          <w:rFonts w:hint="cs"/>
          <w:spacing w:val="0"/>
          <w:sz w:val="20"/>
          <w:rtl/>
        </w:rPr>
        <w:t>تقدم في نهاية المطاف التقرير الخاص الذي طلبت اللجنة تقديمه بموجب الفقرة 1 من المادة</w:t>
      </w:r>
      <w:r w:rsidR="00781CE0">
        <w:rPr>
          <w:rFonts w:hint="eastAsia"/>
          <w:spacing w:val="0"/>
          <w:sz w:val="20"/>
          <w:rtl/>
        </w:rPr>
        <w:t> </w:t>
      </w:r>
      <w:r w:rsidRPr="004E0A37">
        <w:rPr>
          <w:rFonts w:hint="cs"/>
          <w:spacing w:val="0"/>
          <w:sz w:val="20"/>
          <w:rtl/>
        </w:rPr>
        <w:t>19. وعُرضت على اللجنة في دورتها السابعة والأربعين التقارير التالية التي اعتمدت اللجنة ملاحظات ختامية بشأنها:</w:t>
      </w:r>
    </w:p>
    <w:tbl>
      <w:tblPr>
        <w:tblStyle w:val="TableGrid"/>
        <w:bidiVisual/>
        <w:tblW w:w="7256"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491"/>
        <w:gridCol w:w="2200"/>
        <w:gridCol w:w="1700"/>
        <w:gridCol w:w="1865"/>
      </w:tblGrid>
      <w:tr w:rsidR="004E0A37" w:rsidRPr="00C12184" w:rsidTr="00713BE2">
        <w:tc>
          <w:tcPr>
            <w:tcW w:w="1491" w:type="dxa"/>
            <w:tcBorders>
              <w:top w:val="single" w:sz="4" w:space="0" w:color="auto"/>
              <w:bottom w:val="single" w:sz="12" w:space="0" w:color="auto"/>
            </w:tcBorders>
            <w:shd w:val="clear" w:color="auto" w:fill="auto"/>
          </w:tcPr>
          <w:p w:rsidR="004E0A37" w:rsidRPr="00C12184" w:rsidRDefault="004E0A37" w:rsidP="00713BE2">
            <w:pPr>
              <w:spacing w:before="40" w:after="40" w:line="300" w:lineRule="exact"/>
              <w:ind w:left="57"/>
              <w:jc w:val="left"/>
              <w:rPr>
                <w:rFonts w:hint="cs"/>
                <w:i/>
                <w:iCs/>
                <w:spacing w:val="0"/>
                <w:sz w:val="18"/>
                <w:szCs w:val="28"/>
                <w:rtl/>
              </w:rPr>
            </w:pPr>
            <w:r w:rsidRPr="00C12184">
              <w:rPr>
                <w:rFonts w:hint="cs"/>
                <w:i/>
                <w:iCs/>
                <w:spacing w:val="0"/>
                <w:sz w:val="18"/>
                <w:szCs w:val="28"/>
                <w:rtl/>
              </w:rPr>
              <w:t>الدولة الطرف</w:t>
            </w:r>
          </w:p>
        </w:tc>
        <w:tc>
          <w:tcPr>
            <w:tcW w:w="2200" w:type="dxa"/>
            <w:tcBorders>
              <w:top w:val="single" w:sz="4" w:space="0" w:color="auto"/>
              <w:bottom w:val="single" w:sz="12" w:space="0" w:color="auto"/>
            </w:tcBorders>
            <w:shd w:val="clear" w:color="auto" w:fill="auto"/>
          </w:tcPr>
          <w:p w:rsidR="004E0A37" w:rsidRPr="00C12184" w:rsidRDefault="004E0A37" w:rsidP="00713BE2">
            <w:pPr>
              <w:spacing w:before="40" w:after="40" w:line="300" w:lineRule="exact"/>
              <w:ind w:left="57"/>
              <w:jc w:val="left"/>
              <w:rPr>
                <w:rFonts w:hint="cs"/>
                <w:i/>
                <w:iCs/>
                <w:spacing w:val="0"/>
                <w:sz w:val="18"/>
                <w:szCs w:val="28"/>
                <w:rtl/>
              </w:rPr>
            </w:pPr>
            <w:r w:rsidRPr="00C12184">
              <w:rPr>
                <w:rFonts w:hint="cs"/>
                <w:i/>
                <w:iCs/>
                <w:spacing w:val="0"/>
                <w:sz w:val="18"/>
                <w:szCs w:val="28"/>
                <w:rtl/>
              </w:rPr>
              <w:t>التقرير</w:t>
            </w:r>
          </w:p>
        </w:tc>
        <w:tc>
          <w:tcPr>
            <w:tcW w:w="1700" w:type="dxa"/>
            <w:tcBorders>
              <w:top w:val="single" w:sz="4" w:space="0" w:color="auto"/>
              <w:bottom w:val="single" w:sz="12" w:space="0" w:color="auto"/>
            </w:tcBorders>
            <w:shd w:val="clear" w:color="auto" w:fill="auto"/>
          </w:tcPr>
          <w:p w:rsidR="004E0A37" w:rsidRPr="00C12184" w:rsidRDefault="004E0A37" w:rsidP="00713BE2">
            <w:pPr>
              <w:spacing w:before="40" w:after="40" w:line="300" w:lineRule="exact"/>
              <w:jc w:val="left"/>
              <w:rPr>
                <w:rFonts w:hint="cs"/>
                <w:i/>
                <w:iCs/>
                <w:spacing w:val="0"/>
                <w:sz w:val="18"/>
                <w:szCs w:val="28"/>
                <w:rtl/>
              </w:rPr>
            </w:pPr>
          </w:p>
        </w:tc>
        <w:tc>
          <w:tcPr>
            <w:tcW w:w="1865" w:type="dxa"/>
            <w:tcBorders>
              <w:top w:val="single" w:sz="4" w:space="0" w:color="auto"/>
              <w:bottom w:val="single" w:sz="12" w:space="0" w:color="auto"/>
            </w:tcBorders>
            <w:shd w:val="clear" w:color="auto" w:fill="auto"/>
          </w:tcPr>
          <w:p w:rsidR="004E0A37" w:rsidRPr="00C12184" w:rsidRDefault="004E0A37" w:rsidP="00713BE2">
            <w:pPr>
              <w:spacing w:before="40" w:after="40" w:line="300" w:lineRule="exact"/>
              <w:ind w:left="57"/>
              <w:jc w:val="left"/>
              <w:rPr>
                <w:rFonts w:hint="cs"/>
                <w:i/>
                <w:iCs/>
                <w:spacing w:val="0"/>
                <w:sz w:val="18"/>
                <w:szCs w:val="28"/>
              </w:rPr>
            </w:pPr>
            <w:r w:rsidRPr="00C12184">
              <w:rPr>
                <w:rFonts w:hint="cs"/>
                <w:i/>
                <w:iCs/>
                <w:spacing w:val="0"/>
                <w:sz w:val="18"/>
                <w:szCs w:val="28"/>
                <w:rtl/>
              </w:rPr>
              <w:t>الملاحظات الختامية</w:t>
            </w:r>
          </w:p>
        </w:tc>
      </w:tr>
      <w:tr w:rsidR="004E0A37" w:rsidRPr="00C12184" w:rsidTr="00713BE2">
        <w:tc>
          <w:tcPr>
            <w:tcW w:w="1491" w:type="dxa"/>
            <w:tcBorders>
              <w:top w:val="single" w:sz="12" w:space="0" w:color="auto"/>
            </w:tcBorders>
            <w:shd w:val="clear" w:color="auto" w:fill="auto"/>
          </w:tcPr>
          <w:p w:rsidR="004E0A37" w:rsidRPr="00C12184" w:rsidRDefault="004E0A37" w:rsidP="00713BE2">
            <w:pPr>
              <w:spacing w:before="40" w:after="40" w:line="300" w:lineRule="exact"/>
              <w:ind w:left="57"/>
              <w:rPr>
                <w:rFonts w:hint="cs"/>
                <w:spacing w:val="0"/>
                <w:sz w:val="18"/>
                <w:szCs w:val="28"/>
                <w:rtl/>
              </w:rPr>
            </w:pPr>
            <w:r w:rsidRPr="00C12184">
              <w:rPr>
                <w:rFonts w:hint="cs"/>
                <w:spacing w:val="0"/>
                <w:sz w:val="18"/>
                <w:szCs w:val="28"/>
                <w:rtl/>
              </w:rPr>
              <w:t>بيلاروس</w:t>
            </w:r>
          </w:p>
        </w:tc>
        <w:tc>
          <w:tcPr>
            <w:tcW w:w="2200" w:type="dxa"/>
            <w:tcBorders>
              <w:top w:val="single" w:sz="12" w:space="0" w:color="auto"/>
            </w:tcBorders>
            <w:shd w:val="clear" w:color="auto" w:fill="auto"/>
          </w:tcPr>
          <w:p w:rsidR="004E0A37" w:rsidRPr="00C12184" w:rsidRDefault="004E0A37" w:rsidP="00713BE2">
            <w:pPr>
              <w:spacing w:before="40" w:after="40" w:line="300" w:lineRule="exact"/>
              <w:ind w:left="57" w:right="113"/>
              <w:jc w:val="left"/>
              <w:rPr>
                <w:rFonts w:hint="cs"/>
                <w:spacing w:val="0"/>
                <w:sz w:val="18"/>
                <w:szCs w:val="28"/>
                <w:rtl/>
              </w:rPr>
            </w:pPr>
            <w:r w:rsidRPr="00C12184">
              <w:rPr>
                <w:rFonts w:hint="cs"/>
                <w:spacing w:val="0"/>
                <w:sz w:val="18"/>
                <w:szCs w:val="28"/>
                <w:rtl/>
              </w:rPr>
              <w:t>التقرير الدوري الرابع</w:t>
            </w:r>
          </w:p>
        </w:tc>
        <w:tc>
          <w:tcPr>
            <w:tcW w:w="1700" w:type="dxa"/>
            <w:tcBorders>
              <w:top w:val="single" w:sz="12" w:space="0" w:color="auto"/>
            </w:tcBorders>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CAT/C/BLR/4</w:t>
            </w:r>
          </w:p>
        </w:tc>
        <w:tc>
          <w:tcPr>
            <w:tcW w:w="1865" w:type="dxa"/>
            <w:tcBorders>
              <w:top w:val="single" w:sz="12" w:space="0" w:color="auto"/>
            </w:tcBorders>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CAT/C/BLR/CO/4</w:t>
            </w:r>
          </w:p>
        </w:tc>
      </w:tr>
      <w:tr w:rsidR="004E0A37" w:rsidRPr="00C12184" w:rsidTr="00713BE2">
        <w:tc>
          <w:tcPr>
            <w:tcW w:w="1491" w:type="dxa"/>
            <w:shd w:val="clear" w:color="auto" w:fill="auto"/>
          </w:tcPr>
          <w:p w:rsidR="004E0A37" w:rsidRPr="00C12184" w:rsidRDefault="004E0A37" w:rsidP="00713BE2">
            <w:pPr>
              <w:spacing w:before="40" w:after="40" w:line="300" w:lineRule="exact"/>
              <w:ind w:left="57"/>
              <w:rPr>
                <w:rFonts w:hint="cs"/>
                <w:spacing w:val="0"/>
                <w:sz w:val="18"/>
                <w:szCs w:val="28"/>
                <w:rtl/>
              </w:rPr>
            </w:pPr>
            <w:r w:rsidRPr="00C12184">
              <w:rPr>
                <w:rFonts w:hint="cs"/>
                <w:spacing w:val="0"/>
                <w:sz w:val="18"/>
                <w:szCs w:val="28"/>
                <w:rtl/>
              </w:rPr>
              <w:t>بلغاريا</w:t>
            </w:r>
          </w:p>
        </w:tc>
        <w:tc>
          <w:tcPr>
            <w:tcW w:w="2200" w:type="dxa"/>
            <w:shd w:val="clear" w:color="auto" w:fill="auto"/>
          </w:tcPr>
          <w:p w:rsidR="004E0A37" w:rsidRPr="00C12184" w:rsidRDefault="004E0A37" w:rsidP="00713BE2">
            <w:pPr>
              <w:spacing w:before="40" w:after="40" w:line="300" w:lineRule="exact"/>
              <w:ind w:left="57" w:right="113"/>
              <w:jc w:val="left"/>
              <w:rPr>
                <w:rFonts w:hint="cs"/>
                <w:spacing w:val="0"/>
                <w:sz w:val="18"/>
                <w:szCs w:val="28"/>
                <w:rtl/>
              </w:rPr>
            </w:pPr>
            <w:r w:rsidRPr="00C12184">
              <w:rPr>
                <w:rFonts w:hint="cs"/>
                <w:spacing w:val="0"/>
                <w:sz w:val="18"/>
                <w:szCs w:val="28"/>
                <w:rtl/>
              </w:rPr>
              <w:t>التقريران الدوريان الرابع والخامس</w:t>
            </w:r>
          </w:p>
        </w:tc>
        <w:tc>
          <w:tcPr>
            <w:tcW w:w="1700" w:type="dxa"/>
            <w:shd w:val="clear" w:color="auto" w:fill="auto"/>
          </w:tcPr>
          <w:p w:rsidR="004E0A37" w:rsidRPr="00C12184" w:rsidRDefault="004E0A37" w:rsidP="00C12184">
            <w:pPr>
              <w:spacing w:before="40" w:after="40" w:line="300" w:lineRule="exact"/>
              <w:ind w:left="57" w:right="57"/>
              <w:jc w:val="right"/>
              <w:rPr>
                <w:rFonts w:hint="cs"/>
                <w:spacing w:val="0"/>
                <w:sz w:val="18"/>
                <w:szCs w:val="28"/>
                <w:rtl/>
              </w:rPr>
            </w:pPr>
            <w:r w:rsidRPr="00C12184">
              <w:rPr>
                <w:spacing w:val="0"/>
                <w:sz w:val="18"/>
                <w:szCs w:val="28"/>
              </w:rPr>
              <w:t>CAT/C/BGR/4-5</w:t>
            </w:r>
          </w:p>
        </w:tc>
        <w:tc>
          <w:tcPr>
            <w:tcW w:w="1865"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CAT/C/BGR/CO/4-5</w:t>
            </w:r>
          </w:p>
        </w:tc>
      </w:tr>
      <w:tr w:rsidR="004E0A37" w:rsidRPr="00C12184" w:rsidTr="00713BE2">
        <w:tc>
          <w:tcPr>
            <w:tcW w:w="1491" w:type="dxa"/>
            <w:shd w:val="clear" w:color="auto" w:fill="auto"/>
          </w:tcPr>
          <w:p w:rsidR="004E0A37" w:rsidRPr="00C12184" w:rsidRDefault="004E0A37" w:rsidP="00713BE2">
            <w:pPr>
              <w:spacing w:before="40" w:after="40" w:line="300" w:lineRule="exact"/>
              <w:ind w:left="57"/>
              <w:rPr>
                <w:rFonts w:hint="cs"/>
                <w:spacing w:val="0"/>
                <w:sz w:val="18"/>
                <w:szCs w:val="28"/>
                <w:rtl/>
              </w:rPr>
            </w:pPr>
            <w:r w:rsidRPr="00C12184">
              <w:rPr>
                <w:rFonts w:hint="cs"/>
                <w:spacing w:val="0"/>
                <w:sz w:val="18"/>
                <w:szCs w:val="28"/>
                <w:rtl/>
              </w:rPr>
              <w:t>جيبوتي</w:t>
            </w:r>
          </w:p>
        </w:tc>
        <w:tc>
          <w:tcPr>
            <w:tcW w:w="2200" w:type="dxa"/>
            <w:shd w:val="clear" w:color="auto" w:fill="auto"/>
          </w:tcPr>
          <w:p w:rsidR="004E0A37" w:rsidRPr="00C12184" w:rsidRDefault="004E0A37" w:rsidP="00713BE2">
            <w:pPr>
              <w:spacing w:before="40" w:after="40" w:line="300" w:lineRule="exact"/>
              <w:ind w:left="57" w:right="113"/>
              <w:jc w:val="left"/>
              <w:rPr>
                <w:rFonts w:hint="cs"/>
                <w:spacing w:val="0"/>
                <w:sz w:val="18"/>
                <w:szCs w:val="28"/>
                <w:rtl/>
              </w:rPr>
            </w:pPr>
            <w:r w:rsidRPr="00C12184">
              <w:rPr>
                <w:rFonts w:hint="cs"/>
                <w:spacing w:val="0"/>
                <w:sz w:val="18"/>
                <w:szCs w:val="28"/>
                <w:rtl/>
              </w:rPr>
              <w:t>التقرير الأولي</w:t>
            </w:r>
          </w:p>
        </w:tc>
        <w:tc>
          <w:tcPr>
            <w:tcW w:w="1700"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CAT/C/DJI/1</w:t>
            </w:r>
          </w:p>
        </w:tc>
        <w:tc>
          <w:tcPr>
            <w:tcW w:w="1865"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CAT/C/DJI/CO/1</w:t>
            </w:r>
          </w:p>
        </w:tc>
      </w:tr>
      <w:tr w:rsidR="004E0A37" w:rsidRPr="00C12184" w:rsidTr="00713BE2">
        <w:tc>
          <w:tcPr>
            <w:tcW w:w="1491" w:type="dxa"/>
            <w:shd w:val="clear" w:color="auto" w:fill="auto"/>
          </w:tcPr>
          <w:p w:rsidR="004E0A37" w:rsidRPr="00C12184" w:rsidRDefault="004E0A37" w:rsidP="00713BE2">
            <w:pPr>
              <w:spacing w:before="40" w:after="40" w:line="300" w:lineRule="exact"/>
              <w:ind w:left="57"/>
              <w:rPr>
                <w:rFonts w:hint="cs"/>
                <w:spacing w:val="0"/>
                <w:sz w:val="18"/>
                <w:szCs w:val="28"/>
                <w:rtl/>
              </w:rPr>
            </w:pPr>
            <w:r w:rsidRPr="00C12184">
              <w:rPr>
                <w:rFonts w:hint="cs"/>
                <w:spacing w:val="0"/>
                <w:sz w:val="18"/>
                <w:szCs w:val="28"/>
                <w:rtl/>
              </w:rPr>
              <w:t>ألمانيا</w:t>
            </w:r>
          </w:p>
        </w:tc>
        <w:tc>
          <w:tcPr>
            <w:tcW w:w="2200" w:type="dxa"/>
            <w:shd w:val="clear" w:color="auto" w:fill="auto"/>
          </w:tcPr>
          <w:p w:rsidR="004E0A37" w:rsidRPr="00C12184" w:rsidRDefault="004E0A37" w:rsidP="00713BE2">
            <w:pPr>
              <w:spacing w:before="40" w:after="40" w:line="300" w:lineRule="exact"/>
              <w:ind w:left="57" w:right="113"/>
              <w:jc w:val="left"/>
              <w:rPr>
                <w:rFonts w:hint="cs"/>
                <w:spacing w:val="0"/>
                <w:sz w:val="18"/>
                <w:szCs w:val="28"/>
                <w:rtl/>
              </w:rPr>
            </w:pPr>
            <w:r w:rsidRPr="00C12184">
              <w:rPr>
                <w:rFonts w:hint="cs"/>
                <w:spacing w:val="0"/>
                <w:sz w:val="18"/>
                <w:szCs w:val="28"/>
                <w:rtl/>
              </w:rPr>
              <w:t>التقرير الدوري الخامس</w:t>
            </w:r>
          </w:p>
        </w:tc>
        <w:tc>
          <w:tcPr>
            <w:tcW w:w="1700" w:type="dxa"/>
            <w:shd w:val="clear" w:color="auto" w:fill="auto"/>
          </w:tcPr>
          <w:p w:rsidR="004E0A37" w:rsidRPr="00C12184" w:rsidRDefault="004E0A37" w:rsidP="00C12184">
            <w:pPr>
              <w:spacing w:before="40" w:after="40" w:line="300" w:lineRule="exact"/>
              <w:ind w:left="57" w:right="57"/>
              <w:jc w:val="right"/>
              <w:rPr>
                <w:rFonts w:hint="cs"/>
                <w:spacing w:val="0"/>
                <w:sz w:val="18"/>
                <w:szCs w:val="28"/>
              </w:rPr>
            </w:pPr>
            <w:r w:rsidRPr="00C12184">
              <w:rPr>
                <w:spacing w:val="0"/>
                <w:sz w:val="18"/>
                <w:szCs w:val="28"/>
                <w:lang w:val="fr-CH"/>
              </w:rPr>
              <w:t>CAT/C/DEU/5</w:t>
            </w:r>
          </w:p>
        </w:tc>
        <w:tc>
          <w:tcPr>
            <w:tcW w:w="1865"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lang w:val="fr-CH"/>
              </w:rPr>
              <w:t>CAT/C/DEU/CO/5</w:t>
            </w:r>
          </w:p>
        </w:tc>
      </w:tr>
      <w:tr w:rsidR="004E0A37" w:rsidRPr="00C12184" w:rsidTr="00713BE2">
        <w:tc>
          <w:tcPr>
            <w:tcW w:w="1491" w:type="dxa"/>
            <w:shd w:val="clear" w:color="auto" w:fill="auto"/>
          </w:tcPr>
          <w:p w:rsidR="004E0A37" w:rsidRPr="00C12184" w:rsidRDefault="004E0A37" w:rsidP="00713BE2">
            <w:pPr>
              <w:spacing w:before="40" w:after="40" w:line="300" w:lineRule="exact"/>
              <w:ind w:left="57"/>
              <w:rPr>
                <w:rFonts w:hint="cs"/>
                <w:spacing w:val="0"/>
                <w:sz w:val="18"/>
                <w:szCs w:val="28"/>
                <w:rtl/>
              </w:rPr>
            </w:pPr>
            <w:r w:rsidRPr="00C12184">
              <w:rPr>
                <w:rFonts w:hint="cs"/>
                <w:spacing w:val="0"/>
                <w:sz w:val="18"/>
                <w:szCs w:val="28"/>
                <w:rtl/>
              </w:rPr>
              <w:t>مدغشقر</w:t>
            </w:r>
          </w:p>
        </w:tc>
        <w:tc>
          <w:tcPr>
            <w:tcW w:w="2200" w:type="dxa"/>
            <w:shd w:val="clear" w:color="auto" w:fill="auto"/>
          </w:tcPr>
          <w:p w:rsidR="004E0A37" w:rsidRPr="00C12184" w:rsidRDefault="004E0A37" w:rsidP="00713BE2">
            <w:pPr>
              <w:spacing w:before="40" w:after="40" w:line="300" w:lineRule="exact"/>
              <w:ind w:left="57" w:right="113"/>
              <w:jc w:val="left"/>
              <w:rPr>
                <w:rFonts w:hint="cs"/>
                <w:spacing w:val="0"/>
                <w:sz w:val="18"/>
                <w:szCs w:val="28"/>
                <w:rtl/>
              </w:rPr>
            </w:pPr>
            <w:r w:rsidRPr="00C12184">
              <w:rPr>
                <w:rFonts w:hint="cs"/>
                <w:spacing w:val="0"/>
                <w:sz w:val="18"/>
                <w:szCs w:val="28"/>
                <w:rtl/>
              </w:rPr>
              <w:t>التقرير الأولي</w:t>
            </w:r>
          </w:p>
        </w:tc>
        <w:tc>
          <w:tcPr>
            <w:tcW w:w="1700"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CAT/C/MDG/1</w:t>
            </w:r>
          </w:p>
        </w:tc>
        <w:tc>
          <w:tcPr>
            <w:tcW w:w="1865" w:type="dxa"/>
            <w:shd w:val="clear" w:color="auto" w:fill="auto"/>
          </w:tcPr>
          <w:p w:rsidR="004E0A37" w:rsidRPr="00C12184" w:rsidRDefault="004E0A37" w:rsidP="00C12184">
            <w:pPr>
              <w:spacing w:before="40" w:after="40" w:line="300" w:lineRule="exact"/>
              <w:ind w:left="57" w:right="57"/>
              <w:jc w:val="right"/>
              <w:rPr>
                <w:rFonts w:hint="cs"/>
                <w:spacing w:val="0"/>
                <w:sz w:val="18"/>
                <w:szCs w:val="28"/>
              </w:rPr>
            </w:pPr>
            <w:r w:rsidRPr="00C12184">
              <w:rPr>
                <w:spacing w:val="0"/>
                <w:sz w:val="18"/>
                <w:szCs w:val="28"/>
              </w:rPr>
              <w:t>CAT/C/MDG/CO/1</w:t>
            </w:r>
          </w:p>
        </w:tc>
      </w:tr>
      <w:tr w:rsidR="004E0A37" w:rsidRPr="00C12184" w:rsidTr="00713BE2">
        <w:tc>
          <w:tcPr>
            <w:tcW w:w="1491" w:type="dxa"/>
            <w:shd w:val="clear" w:color="auto" w:fill="auto"/>
          </w:tcPr>
          <w:p w:rsidR="004E0A37" w:rsidRPr="00C12184" w:rsidRDefault="004E0A37" w:rsidP="00713BE2">
            <w:pPr>
              <w:spacing w:before="40" w:after="40" w:line="300" w:lineRule="exact"/>
              <w:ind w:left="57"/>
              <w:rPr>
                <w:rFonts w:hint="cs"/>
                <w:spacing w:val="0"/>
                <w:sz w:val="18"/>
                <w:szCs w:val="28"/>
                <w:rtl/>
              </w:rPr>
            </w:pPr>
            <w:r w:rsidRPr="00C12184">
              <w:rPr>
                <w:rFonts w:hint="cs"/>
                <w:spacing w:val="0"/>
                <w:sz w:val="18"/>
                <w:szCs w:val="28"/>
                <w:rtl/>
              </w:rPr>
              <w:t>المغرب</w:t>
            </w:r>
          </w:p>
        </w:tc>
        <w:tc>
          <w:tcPr>
            <w:tcW w:w="2200" w:type="dxa"/>
            <w:shd w:val="clear" w:color="auto" w:fill="auto"/>
          </w:tcPr>
          <w:p w:rsidR="004E0A37" w:rsidRPr="00C12184" w:rsidRDefault="004E0A37" w:rsidP="00713BE2">
            <w:pPr>
              <w:spacing w:before="40" w:after="40" w:line="300" w:lineRule="exact"/>
              <w:ind w:left="57" w:right="113"/>
              <w:jc w:val="left"/>
              <w:rPr>
                <w:spacing w:val="0"/>
                <w:sz w:val="18"/>
                <w:szCs w:val="28"/>
              </w:rPr>
            </w:pPr>
            <w:r w:rsidRPr="00C12184">
              <w:rPr>
                <w:rFonts w:hint="cs"/>
                <w:spacing w:val="0"/>
                <w:sz w:val="18"/>
                <w:szCs w:val="28"/>
                <w:rtl/>
              </w:rPr>
              <w:t>التقرير الدوري الرابع</w:t>
            </w:r>
          </w:p>
        </w:tc>
        <w:tc>
          <w:tcPr>
            <w:tcW w:w="1700"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CAT/C/MAR/4</w:t>
            </w:r>
          </w:p>
        </w:tc>
        <w:tc>
          <w:tcPr>
            <w:tcW w:w="1865"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CAT/C/MAR/CO/4</w:t>
            </w:r>
          </w:p>
        </w:tc>
      </w:tr>
      <w:tr w:rsidR="004E0A37" w:rsidRPr="00C12184" w:rsidTr="00713BE2">
        <w:tc>
          <w:tcPr>
            <w:tcW w:w="1491" w:type="dxa"/>
            <w:shd w:val="clear" w:color="auto" w:fill="auto"/>
          </w:tcPr>
          <w:p w:rsidR="004E0A37" w:rsidRPr="00C12184" w:rsidRDefault="004E0A37" w:rsidP="00713BE2">
            <w:pPr>
              <w:spacing w:before="40" w:after="40" w:line="300" w:lineRule="exact"/>
              <w:ind w:left="57"/>
              <w:rPr>
                <w:rFonts w:hint="cs"/>
                <w:spacing w:val="0"/>
                <w:sz w:val="18"/>
                <w:szCs w:val="28"/>
                <w:rtl/>
              </w:rPr>
            </w:pPr>
            <w:r w:rsidRPr="00C12184">
              <w:rPr>
                <w:rFonts w:hint="cs"/>
                <w:spacing w:val="0"/>
                <w:sz w:val="18"/>
                <w:szCs w:val="28"/>
                <w:rtl/>
              </w:rPr>
              <w:t>باراغواي</w:t>
            </w:r>
          </w:p>
        </w:tc>
        <w:tc>
          <w:tcPr>
            <w:tcW w:w="2200" w:type="dxa"/>
            <w:shd w:val="clear" w:color="auto" w:fill="auto"/>
          </w:tcPr>
          <w:p w:rsidR="004E0A37" w:rsidRPr="00C12184" w:rsidRDefault="004E0A37" w:rsidP="00713BE2">
            <w:pPr>
              <w:spacing w:before="40" w:after="40" w:line="300" w:lineRule="exact"/>
              <w:ind w:left="57" w:right="113"/>
              <w:jc w:val="left"/>
              <w:rPr>
                <w:rFonts w:hint="cs"/>
                <w:spacing w:val="0"/>
                <w:sz w:val="18"/>
                <w:szCs w:val="28"/>
              </w:rPr>
            </w:pPr>
            <w:r w:rsidRPr="00C12184">
              <w:rPr>
                <w:rFonts w:hint="cs"/>
                <w:spacing w:val="0"/>
                <w:sz w:val="18"/>
                <w:szCs w:val="28"/>
                <w:rtl/>
              </w:rPr>
              <w:t>التقارير الدورية من الرابع إلى السادس</w:t>
            </w:r>
          </w:p>
        </w:tc>
        <w:tc>
          <w:tcPr>
            <w:tcW w:w="1700" w:type="dxa"/>
            <w:shd w:val="clear" w:color="auto" w:fill="auto"/>
          </w:tcPr>
          <w:p w:rsidR="004E0A37" w:rsidRPr="00C12184" w:rsidRDefault="004E0A37" w:rsidP="00C12184">
            <w:pPr>
              <w:spacing w:before="40" w:after="40" w:line="300" w:lineRule="exact"/>
              <w:ind w:left="57" w:right="57"/>
              <w:jc w:val="right"/>
              <w:rPr>
                <w:rFonts w:hint="cs"/>
                <w:spacing w:val="0"/>
                <w:sz w:val="18"/>
                <w:szCs w:val="28"/>
              </w:rPr>
            </w:pPr>
            <w:r w:rsidRPr="00C12184">
              <w:rPr>
                <w:spacing w:val="0"/>
                <w:sz w:val="18"/>
                <w:szCs w:val="28"/>
              </w:rPr>
              <w:t>CAT/C/PRY/4-6</w:t>
            </w:r>
          </w:p>
        </w:tc>
        <w:tc>
          <w:tcPr>
            <w:tcW w:w="1865" w:type="dxa"/>
            <w:shd w:val="clear" w:color="auto" w:fill="auto"/>
          </w:tcPr>
          <w:p w:rsidR="004E0A37" w:rsidRPr="00C12184" w:rsidRDefault="004E0A37" w:rsidP="00C12184">
            <w:pPr>
              <w:spacing w:before="40" w:after="40" w:line="300" w:lineRule="exact"/>
              <w:ind w:left="57" w:right="57"/>
              <w:jc w:val="right"/>
              <w:rPr>
                <w:spacing w:val="0"/>
                <w:sz w:val="18"/>
                <w:szCs w:val="28"/>
              </w:rPr>
            </w:pPr>
            <w:r w:rsidRPr="00C12184">
              <w:rPr>
                <w:spacing w:val="0"/>
                <w:sz w:val="18"/>
                <w:szCs w:val="28"/>
              </w:rPr>
              <w:t>CAT/C/PRY/CO/4-6</w:t>
            </w:r>
          </w:p>
        </w:tc>
      </w:tr>
      <w:tr w:rsidR="004E0A37" w:rsidRPr="00C12184" w:rsidTr="00713BE2">
        <w:tc>
          <w:tcPr>
            <w:tcW w:w="1491" w:type="dxa"/>
            <w:tcBorders>
              <w:bottom w:val="single" w:sz="12" w:space="0" w:color="auto"/>
            </w:tcBorders>
            <w:shd w:val="clear" w:color="auto" w:fill="auto"/>
          </w:tcPr>
          <w:p w:rsidR="004E0A37" w:rsidRPr="00C12184" w:rsidRDefault="004E0A37" w:rsidP="00713BE2">
            <w:pPr>
              <w:suppressAutoHyphens/>
              <w:spacing w:before="40" w:after="40" w:line="300" w:lineRule="exact"/>
              <w:ind w:left="57"/>
              <w:rPr>
                <w:rFonts w:hint="cs"/>
                <w:spacing w:val="-6"/>
                <w:sz w:val="18"/>
                <w:szCs w:val="28"/>
                <w:rtl/>
              </w:rPr>
            </w:pPr>
            <w:r w:rsidRPr="00C12184">
              <w:rPr>
                <w:rFonts w:hint="cs"/>
                <w:spacing w:val="-6"/>
                <w:sz w:val="18"/>
                <w:szCs w:val="28"/>
                <w:rtl/>
              </w:rPr>
              <w:t>سري لانكا</w:t>
            </w:r>
          </w:p>
        </w:tc>
        <w:tc>
          <w:tcPr>
            <w:tcW w:w="2200" w:type="dxa"/>
            <w:tcBorders>
              <w:bottom w:val="single" w:sz="12" w:space="0" w:color="auto"/>
            </w:tcBorders>
            <w:shd w:val="clear" w:color="auto" w:fill="auto"/>
          </w:tcPr>
          <w:p w:rsidR="004E0A37" w:rsidRPr="00C12184" w:rsidRDefault="004E0A37" w:rsidP="00713BE2">
            <w:pPr>
              <w:suppressAutoHyphens/>
              <w:spacing w:before="40" w:after="40" w:line="300" w:lineRule="exact"/>
              <w:ind w:left="57" w:right="113"/>
              <w:jc w:val="left"/>
              <w:rPr>
                <w:rFonts w:hint="cs"/>
                <w:spacing w:val="0"/>
                <w:sz w:val="18"/>
                <w:szCs w:val="28"/>
                <w:rtl/>
              </w:rPr>
            </w:pPr>
            <w:r w:rsidRPr="00C12184">
              <w:rPr>
                <w:rFonts w:hint="cs"/>
                <w:spacing w:val="0"/>
                <w:sz w:val="18"/>
                <w:szCs w:val="28"/>
                <w:rtl/>
              </w:rPr>
              <w:t>التقريران الدوريان الثالث والرابع</w:t>
            </w:r>
          </w:p>
        </w:tc>
        <w:tc>
          <w:tcPr>
            <w:tcW w:w="1700" w:type="dxa"/>
            <w:tcBorders>
              <w:bottom w:val="single" w:sz="12" w:space="0" w:color="auto"/>
            </w:tcBorders>
            <w:shd w:val="clear" w:color="auto" w:fill="auto"/>
          </w:tcPr>
          <w:p w:rsidR="004E0A37" w:rsidRPr="00C12184" w:rsidRDefault="004E0A37" w:rsidP="00C12184">
            <w:pPr>
              <w:suppressAutoHyphens/>
              <w:spacing w:before="40" w:after="40" w:line="300" w:lineRule="exact"/>
              <w:ind w:left="57" w:right="57"/>
              <w:jc w:val="right"/>
              <w:rPr>
                <w:spacing w:val="0"/>
                <w:sz w:val="18"/>
                <w:szCs w:val="28"/>
              </w:rPr>
            </w:pPr>
            <w:r w:rsidRPr="00C12184">
              <w:rPr>
                <w:spacing w:val="0"/>
                <w:sz w:val="18"/>
                <w:szCs w:val="28"/>
              </w:rPr>
              <w:t>CAT/C/LKA/3-4</w:t>
            </w:r>
          </w:p>
        </w:tc>
        <w:tc>
          <w:tcPr>
            <w:tcW w:w="1865" w:type="dxa"/>
            <w:tcBorders>
              <w:bottom w:val="single" w:sz="12" w:space="0" w:color="auto"/>
            </w:tcBorders>
            <w:shd w:val="clear" w:color="auto" w:fill="auto"/>
          </w:tcPr>
          <w:p w:rsidR="004E0A37" w:rsidRPr="00C12184" w:rsidRDefault="004E0A37" w:rsidP="00C12184">
            <w:pPr>
              <w:suppressAutoHyphens/>
              <w:spacing w:before="40" w:after="40" w:line="300" w:lineRule="exact"/>
              <w:ind w:left="57" w:right="57"/>
              <w:jc w:val="right"/>
              <w:rPr>
                <w:rFonts w:hint="cs"/>
                <w:spacing w:val="0"/>
                <w:sz w:val="18"/>
                <w:szCs w:val="28"/>
              </w:rPr>
            </w:pPr>
            <w:r w:rsidRPr="00C12184">
              <w:rPr>
                <w:spacing w:val="0"/>
                <w:sz w:val="18"/>
                <w:szCs w:val="28"/>
              </w:rPr>
              <w:t>CAT/C/LKA/CO/3-4</w:t>
            </w:r>
          </w:p>
        </w:tc>
      </w:tr>
    </w:tbl>
    <w:p w:rsidR="004E0A37" w:rsidRPr="00781CE0" w:rsidRDefault="004E0A37" w:rsidP="00216CB1">
      <w:pPr>
        <w:pStyle w:val="SingleTxtGA"/>
        <w:spacing w:before="120" w:after="240"/>
        <w:jc w:val="lowKashida"/>
        <w:rPr>
          <w:rFonts w:hint="cs"/>
          <w:spacing w:val="-2"/>
          <w:sz w:val="20"/>
          <w:rtl/>
        </w:rPr>
      </w:pPr>
      <w:r w:rsidRPr="00781CE0">
        <w:rPr>
          <w:rFonts w:hint="cs"/>
          <w:spacing w:val="-2"/>
          <w:sz w:val="20"/>
          <w:rtl/>
        </w:rPr>
        <w:t>45-</w:t>
      </w:r>
      <w:r w:rsidRPr="00781CE0">
        <w:rPr>
          <w:spacing w:val="-2"/>
          <w:sz w:val="20"/>
          <w:rtl/>
        </w:rPr>
        <w:tab/>
      </w:r>
      <w:r w:rsidRPr="00781CE0">
        <w:rPr>
          <w:rFonts w:hint="cs"/>
          <w:spacing w:val="-2"/>
          <w:sz w:val="20"/>
          <w:rtl/>
        </w:rPr>
        <w:t>وعُرضت على اللجنة في دورتها الثامنة والأربعين التقارير التالية، باستثناء التقرير الخاص المطلوب من الجمهورية العربية السورية، واعتمدت اللجنة الملاحظات الختامية التالية</w:t>
      </w:r>
      <w:r w:rsidR="00620695">
        <w:rPr>
          <w:rFonts w:hint="eastAsia"/>
          <w:spacing w:val="-2"/>
          <w:sz w:val="20"/>
          <w:rtl/>
        </w:rPr>
        <w:t> </w:t>
      </w:r>
      <w:r w:rsidRPr="00781CE0">
        <w:rPr>
          <w:rFonts w:hint="cs"/>
          <w:spacing w:val="-2"/>
          <w:sz w:val="20"/>
          <w:rtl/>
        </w:rPr>
        <w:t>بشأنها:</w:t>
      </w:r>
    </w:p>
    <w:tbl>
      <w:tblPr>
        <w:tblStyle w:val="TableGrid"/>
        <w:bidiVisual/>
        <w:tblW w:w="7256"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490"/>
        <w:gridCol w:w="2211"/>
        <w:gridCol w:w="1694"/>
        <w:gridCol w:w="1861"/>
      </w:tblGrid>
      <w:tr w:rsidR="004E0A37" w:rsidRPr="00C12184" w:rsidTr="00C12184">
        <w:trPr>
          <w:tblHeader/>
        </w:trPr>
        <w:tc>
          <w:tcPr>
            <w:tcW w:w="1490" w:type="dxa"/>
            <w:tcBorders>
              <w:top w:val="single" w:sz="4" w:space="0" w:color="auto"/>
              <w:bottom w:val="single" w:sz="12" w:space="0" w:color="auto"/>
            </w:tcBorders>
            <w:shd w:val="clear" w:color="auto" w:fill="auto"/>
          </w:tcPr>
          <w:p w:rsidR="004E0A37" w:rsidRPr="00C12184" w:rsidRDefault="004E0A37" w:rsidP="00216CB1">
            <w:pPr>
              <w:spacing w:before="40" w:after="60" w:line="320" w:lineRule="exact"/>
              <w:ind w:left="57" w:right="170"/>
              <w:rPr>
                <w:rFonts w:hint="cs"/>
                <w:i/>
                <w:iCs/>
                <w:spacing w:val="0"/>
                <w:sz w:val="18"/>
                <w:szCs w:val="28"/>
                <w:rtl/>
              </w:rPr>
            </w:pPr>
            <w:r w:rsidRPr="00C12184">
              <w:rPr>
                <w:rFonts w:hint="cs"/>
                <w:i/>
                <w:iCs/>
                <w:spacing w:val="0"/>
                <w:sz w:val="18"/>
                <w:szCs w:val="28"/>
                <w:rtl/>
              </w:rPr>
              <w:t>الدولة الطرف</w:t>
            </w:r>
          </w:p>
        </w:tc>
        <w:tc>
          <w:tcPr>
            <w:tcW w:w="2211" w:type="dxa"/>
            <w:tcBorders>
              <w:top w:val="single" w:sz="4" w:space="0" w:color="auto"/>
              <w:bottom w:val="single" w:sz="12" w:space="0" w:color="auto"/>
            </w:tcBorders>
            <w:shd w:val="clear" w:color="auto" w:fill="auto"/>
          </w:tcPr>
          <w:p w:rsidR="004E0A37" w:rsidRPr="00C12184" w:rsidRDefault="004E0A37" w:rsidP="00216CB1">
            <w:pPr>
              <w:spacing w:before="40" w:after="60" w:line="320" w:lineRule="exact"/>
              <w:ind w:left="57" w:right="170"/>
              <w:rPr>
                <w:rFonts w:hint="cs"/>
                <w:i/>
                <w:iCs/>
                <w:spacing w:val="0"/>
                <w:sz w:val="18"/>
                <w:szCs w:val="28"/>
                <w:rtl/>
              </w:rPr>
            </w:pPr>
            <w:r w:rsidRPr="00C12184">
              <w:rPr>
                <w:rFonts w:hint="cs"/>
                <w:i/>
                <w:iCs/>
                <w:spacing w:val="0"/>
                <w:sz w:val="18"/>
                <w:szCs w:val="28"/>
                <w:rtl/>
              </w:rPr>
              <w:t>التقرير</w:t>
            </w:r>
          </w:p>
        </w:tc>
        <w:tc>
          <w:tcPr>
            <w:tcW w:w="1694" w:type="dxa"/>
            <w:tcBorders>
              <w:top w:val="single" w:sz="4" w:space="0" w:color="auto"/>
              <w:bottom w:val="single" w:sz="12" w:space="0" w:color="auto"/>
            </w:tcBorders>
            <w:shd w:val="clear" w:color="auto" w:fill="auto"/>
          </w:tcPr>
          <w:p w:rsidR="004E0A37" w:rsidRPr="00C12184" w:rsidRDefault="004E0A37" w:rsidP="00216CB1">
            <w:pPr>
              <w:spacing w:before="40" w:after="60" w:line="320" w:lineRule="exact"/>
              <w:ind w:left="57" w:right="170"/>
              <w:rPr>
                <w:i/>
                <w:iCs/>
                <w:spacing w:val="0"/>
                <w:sz w:val="18"/>
                <w:szCs w:val="28"/>
              </w:rPr>
            </w:pPr>
          </w:p>
        </w:tc>
        <w:tc>
          <w:tcPr>
            <w:tcW w:w="1861" w:type="dxa"/>
            <w:tcBorders>
              <w:top w:val="single" w:sz="4" w:space="0" w:color="auto"/>
              <w:bottom w:val="single" w:sz="12" w:space="0" w:color="auto"/>
            </w:tcBorders>
            <w:shd w:val="clear" w:color="auto" w:fill="auto"/>
          </w:tcPr>
          <w:p w:rsidR="004E0A37" w:rsidRPr="00C12184" w:rsidRDefault="004E0A37" w:rsidP="00216CB1">
            <w:pPr>
              <w:spacing w:before="40" w:after="60" w:line="320" w:lineRule="exact"/>
              <w:ind w:left="57" w:right="170"/>
              <w:rPr>
                <w:i/>
                <w:iCs/>
                <w:spacing w:val="0"/>
                <w:sz w:val="18"/>
                <w:szCs w:val="28"/>
              </w:rPr>
            </w:pPr>
            <w:r w:rsidRPr="00C12184">
              <w:rPr>
                <w:rFonts w:hint="cs"/>
                <w:i/>
                <w:iCs/>
                <w:spacing w:val="0"/>
                <w:sz w:val="18"/>
                <w:szCs w:val="28"/>
                <w:rtl/>
              </w:rPr>
              <w:t>الملاحظات الختامية</w:t>
            </w:r>
          </w:p>
        </w:tc>
      </w:tr>
      <w:tr w:rsidR="004E0A37" w:rsidRPr="00C12184" w:rsidTr="00C12184">
        <w:tc>
          <w:tcPr>
            <w:tcW w:w="1490" w:type="dxa"/>
            <w:tcBorders>
              <w:top w:val="single" w:sz="12" w:space="0" w:color="auto"/>
            </w:tcBorders>
            <w:shd w:val="clear" w:color="auto" w:fill="auto"/>
          </w:tcPr>
          <w:p w:rsidR="004E0A37" w:rsidRPr="00C12184" w:rsidRDefault="004E0A37" w:rsidP="00216CB1">
            <w:pPr>
              <w:spacing w:before="40" w:after="60" w:line="320" w:lineRule="exact"/>
              <w:ind w:left="57" w:right="170"/>
              <w:rPr>
                <w:rFonts w:hint="cs"/>
                <w:spacing w:val="0"/>
                <w:sz w:val="18"/>
                <w:szCs w:val="28"/>
                <w:rtl/>
              </w:rPr>
            </w:pPr>
            <w:r w:rsidRPr="00C12184">
              <w:rPr>
                <w:rFonts w:hint="cs"/>
                <w:spacing w:val="0"/>
                <w:sz w:val="18"/>
                <w:szCs w:val="28"/>
                <w:rtl/>
              </w:rPr>
              <w:t>ألبانيا</w:t>
            </w:r>
          </w:p>
        </w:tc>
        <w:tc>
          <w:tcPr>
            <w:tcW w:w="2211" w:type="dxa"/>
            <w:tcBorders>
              <w:top w:val="single" w:sz="12" w:space="0" w:color="auto"/>
            </w:tcBorders>
            <w:shd w:val="clear" w:color="auto" w:fill="auto"/>
          </w:tcPr>
          <w:p w:rsidR="004E0A37" w:rsidRPr="00C12184" w:rsidRDefault="004E0A37" w:rsidP="00216CB1">
            <w:pPr>
              <w:spacing w:before="40" w:after="60" w:line="320" w:lineRule="exact"/>
              <w:ind w:left="57" w:right="170"/>
              <w:jc w:val="left"/>
              <w:rPr>
                <w:rFonts w:hint="cs"/>
                <w:spacing w:val="0"/>
                <w:sz w:val="18"/>
                <w:szCs w:val="28"/>
                <w:rtl/>
              </w:rPr>
            </w:pPr>
            <w:r w:rsidRPr="00C12184">
              <w:rPr>
                <w:rFonts w:hint="cs"/>
                <w:spacing w:val="0"/>
                <w:sz w:val="18"/>
                <w:szCs w:val="28"/>
                <w:rtl/>
              </w:rPr>
              <w:t>التقرير الدوري الثاني</w:t>
            </w:r>
          </w:p>
        </w:tc>
        <w:tc>
          <w:tcPr>
            <w:tcW w:w="1694" w:type="dxa"/>
            <w:tcBorders>
              <w:top w:val="single" w:sz="12" w:space="0" w:color="auto"/>
            </w:tcBorders>
            <w:shd w:val="clear" w:color="auto" w:fill="auto"/>
          </w:tcPr>
          <w:p w:rsidR="004E0A37" w:rsidRPr="00C12184" w:rsidRDefault="004E0A37" w:rsidP="00C12184">
            <w:pPr>
              <w:spacing w:before="40" w:after="60" w:line="320" w:lineRule="exact"/>
              <w:ind w:left="57" w:right="170"/>
              <w:jc w:val="right"/>
              <w:rPr>
                <w:spacing w:val="0"/>
                <w:sz w:val="18"/>
                <w:szCs w:val="28"/>
              </w:rPr>
            </w:pPr>
            <w:r w:rsidRPr="00C12184">
              <w:rPr>
                <w:spacing w:val="0"/>
                <w:sz w:val="18"/>
                <w:szCs w:val="28"/>
              </w:rPr>
              <w:t>CAT/C/ALB/2</w:t>
            </w:r>
          </w:p>
        </w:tc>
        <w:tc>
          <w:tcPr>
            <w:tcW w:w="1861" w:type="dxa"/>
            <w:tcBorders>
              <w:top w:val="single" w:sz="12" w:space="0" w:color="auto"/>
            </w:tcBorders>
            <w:shd w:val="clear" w:color="auto" w:fill="auto"/>
          </w:tcPr>
          <w:p w:rsidR="004E0A37" w:rsidRPr="00C12184" w:rsidRDefault="004E0A37" w:rsidP="00C12184">
            <w:pPr>
              <w:spacing w:before="40" w:after="60" w:line="320" w:lineRule="exact"/>
              <w:ind w:right="57"/>
              <w:jc w:val="right"/>
              <w:rPr>
                <w:spacing w:val="0"/>
                <w:sz w:val="18"/>
                <w:szCs w:val="28"/>
              </w:rPr>
            </w:pPr>
            <w:r w:rsidRPr="00C12184">
              <w:rPr>
                <w:spacing w:val="0"/>
                <w:sz w:val="18"/>
                <w:szCs w:val="28"/>
              </w:rPr>
              <w:t>CAT/C/ALB/CO/2</w:t>
            </w:r>
          </w:p>
        </w:tc>
      </w:tr>
      <w:tr w:rsidR="004E0A37" w:rsidRPr="00C12184" w:rsidTr="00C12184">
        <w:tc>
          <w:tcPr>
            <w:tcW w:w="1490" w:type="dxa"/>
            <w:shd w:val="clear" w:color="auto" w:fill="auto"/>
          </w:tcPr>
          <w:p w:rsidR="004E0A37" w:rsidRPr="00C12184" w:rsidRDefault="004E0A37" w:rsidP="00216CB1">
            <w:pPr>
              <w:spacing w:before="40" w:after="60" w:line="320" w:lineRule="exact"/>
              <w:ind w:left="57" w:right="170"/>
              <w:rPr>
                <w:rFonts w:hint="cs"/>
                <w:spacing w:val="0"/>
                <w:sz w:val="18"/>
                <w:szCs w:val="28"/>
                <w:rtl/>
              </w:rPr>
            </w:pPr>
            <w:r w:rsidRPr="00C12184">
              <w:rPr>
                <w:rFonts w:hint="cs"/>
                <w:spacing w:val="0"/>
                <w:sz w:val="18"/>
                <w:szCs w:val="28"/>
                <w:rtl/>
              </w:rPr>
              <w:t>أرمينيا</w:t>
            </w:r>
          </w:p>
        </w:tc>
        <w:tc>
          <w:tcPr>
            <w:tcW w:w="2211" w:type="dxa"/>
            <w:shd w:val="clear" w:color="auto" w:fill="auto"/>
          </w:tcPr>
          <w:p w:rsidR="004E0A37" w:rsidRPr="00C12184" w:rsidRDefault="004E0A37" w:rsidP="00216CB1">
            <w:pPr>
              <w:spacing w:before="40" w:after="60" w:line="320" w:lineRule="exact"/>
              <w:ind w:left="57" w:right="170"/>
              <w:jc w:val="left"/>
              <w:rPr>
                <w:rFonts w:hint="cs"/>
                <w:spacing w:val="0"/>
                <w:sz w:val="18"/>
                <w:szCs w:val="28"/>
                <w:rtl/>
              </w:rPr>
            </w:pPr>
            <w:r w:rsidRPr="00C12184">
              <w:rPr>
                <w:rFonts w:hint="cs"/>
                <w:spacing w:val="0"/>
                <w:sz w:val="18"/>
                <w:szCs w:val="28"/>
                <w:rtl/>
              </w:rPr>
              <w:t>التقرير الدوري الثالث</w:t>
            </w:r>
          </w:p>
        </w:tc>
        <w:tc>
          <w:tcPr>
            <w:tcW w:w="1694" w:type="dxa"/>
            <w:shd w:val="clear" w:color="auto" w:fill="auto"/>
          </w:tcPr>
          <w:p w:rsidR="004E0A37" w:rsidRPr="00C12184" w:rsidRDefault="004E0A37" w:rsidP="00C12184">
            <w:pPr>
              <w:spacing w:before="40" w:after="60" w:line="320" w:lineRule="exact"/>
              <w:ind w:left="57" w:right="170"/>
              <w:jc w:val="right"/>
              <w:rPr>
                <w:spacing w:val="0"/>
                <w:sz w:val="18"/>
                <w:szCs w:val="28"/>
              </w:rPr>
            </w:pPr>
            <w:r w:rsidRPr="00C12184">
              <w:rPr>
                <w:spacing w:val="0"/>
                <w:sz w:val="18"/>
                <w:szCs w:val="28"/>
              </w:rPr>
              <w:t>CAT/C/ARM/3</w:t>
            </w:r>
          </w:p>
        </w:tc>
        <w:tc>
          <w:tcPr>
            <w:tcW w:w="1861" w:type="dxa"/>
            <w:shd w:val="clear" w:color="auto" w:fill="auto"/>
          </w:tcPr>
          <w:p w:rsidR="004E0A37" w:rsidRPr="00C12184" w:rsidRDefault="004E0A37" w:rsidP="00C12184">
            <w:pPr>
              <w:spacing w:before="40" w:after="60" w:line="320" w:lineRule="exact"/>
              <w:ind w:right="57"/>
              <w:jc w:val="right"/>
              <w:rPr>
                <w:spacing w:val="0"/>
                <w:sz w:val="18"/>
                <w:szCs w:val="28"/>
              </w:rPr>
            </w:pPr>
            <w:r w:rsidRPr="00C12184">
              <w:rPr>
                <w:spacing w:val="0"/>
                <w:sz w:val="18"/>
                <w:szCs w:val="28"/>
              </w:rPr>
              <w:t>CAT/C/ARM/CO/3</w:t>
            </w:r>
          </w:p>
        </w:tc>
      </w:tr>
      <w:tr w:rsidR="004E0A37" w:rsidRPr="00C12184" w:rsidTr="00C12184">
        <w:tc>
          <w:tcPr>
            <w:tcW w:w="1490" w:type="dxa"/>
            <w:shd w:val="clear" w:color="auto" w:fill="auto"/>
          </w:tcPr>
          <w:p w:rsidR="004E0A37" w:rsidRPr="00C12184" w:rsidRDefault="004E0A37" w:rsidP="00216CB1">
            <w:pPr>
              <w:spacing w:before="40" w:after="60" w:line="320" w:lineRule="exact"/>
              <w:ind w:left="57" w:right="170"/>
              <w:rPr>
                <w:rFonts w:hint="cs"/>
                <w:spacing w:val="0"/>
                <w:sz w:val="18"/>
                <w:szCs w:val="28"/>
                <w:rtl/>
              </w:rPr>
            </w:pPr>
            <w:r w:rsidRPr="00C12184">
              <w:rPr>
                <w:rFonts w:hint="cs"/>
                <w:spacing w:val="0"/>
                <w:sz w:val="18"/>
                <w:szCs w:val="28"/>
                <w:rtl/>
              </w:rPr>
              <w:t>كندا</w:t>
            </w:r>
          </w:p>
        </w:tc>
        <w:tc>
          <w:tcPr>
            <w:tcW w:w="2211" w:type="dxa"/>
            <w:shd w:val="clear" w:color="auto" w:fill="auto"/>
          </w:tcPr>
          <w:p w:rsidR="004E0A37" w:rsidRPr="00C12184" w:rsidRDefault="004E0A37" w:rsidP="00216CB1">
            <w:pPr>
              <w:spacing w:before="40" w:after="60" w:line="320" w:lineRule="exact"/>
              <w:ind w:left="57" w:right="170"/>
              <w:jc w:val="left"/>
              <w:rPr>
                <w:rFonts w:hint="cs"/>
                <w:spacing w:val="-4"/>
                <w:sz w:val="18"/>
                <w:szCs w:val="28"/>
                <w:rtl/>
              </w:rPr>
            </w:pPr>
            <w:r w:rsidRPr="00C12184">
              <w:rPr>
                <w:rFonts w:hint="cs"/>
                <w:spacing w:val="-4"/>
                <w:sz w:val="18"/>
                <w:szCs w:val="28"/>
                <w:rtl/>
              </w:rPr>
              <w:t>التقرير الدوري السادس</w:t>
            </w:r>
          </w:p>
        </w:tc>
        <w:tc>
          <w:tcPr>
            <w:tcW w:w="1694" w:type="dxa"/>
            <w:shd w:val="clear" w:color="auto" w:fill="auto"/>
          </w:tcPr>
          <w:p w:rsidR="004E0A37" w:rsidRPr="00C12184" w:rsidRDefault="004E0A37" w:rsidP="00C12184">
            <w:pPr>
              <w:spacing w:before="40" w:after="60" w:line="320" w:lineRule="exact"/>
              <w:ind w:left="57" w:right="170"/>
              <w:jc w:val="right"/>
              <w:rPr>
                <w:spacing w:val="0"/>
                <w:sz w:val="18"/>
                <w:szCs w:val="28"/>
              </w:rPr>
            </w:pPr>
            <w:r w:rsidRPr="00C12184">
              <w:rPr>
                <w:spacing w:val="0"/>
                <w:sz w:val="18"/>
                <w:szCs w:val="28"/>
              </w:rPr>
              <w:t>CAT/C/CAN/6</w:t>
            </w:r>
          </w:p>
        </w:tc>
        <w:tc>
          <w:tcPr>
            <w:tcW w:w="1861" w:type="dxa"/>
            <w:shd w:val="clear" w:color="auto" w:fill="auto"/>
          </w:tcPr>
          <w:p w:rsidR="004E0A37" w:rsidRPr="00C12184" w:rsidRDefault="004E0A37" w:rsidP="00C12184">
            <w:pPr>
              <w:spacing w:before="40" w:after="60" w:line="320" w:lineRule="exact"/>
              <w:ind w:right="57"/>
              <w:jc w:val="right"/>
              <w:rPr>
                <w:spacing w:val="0"/>
                <w:sz w:val="18"/>
                <w:szCs w:val="28"/>
              </w:rPr>
            </w:pPr>
            <w:r w:rsidRPr="00C12184">
              <w:rPr>
                <w:spacing w:val="0"/>
                <w:sz w:val="18"/>
                <w:szCs w:val="28"/>
              </w:rPr>
              <w:t>CAT/C/CAN/CO/6</w:t>
            </w:r>
          </w:p>
        </w:tc>
      </w:tr>
      <w:tr w:rsidR="004E0A37" w:rsidRPr="00C12184" w:rsidTr="00C12184">
        <w:tc>
          <w:tcPr>
            <w:tcW w:w="1490" w:type="dxa"/>
            <w:shd w:val="clear" w:color="auto" w:fill="auto"/>
          </w:tcPr>
          <w:p w:rsidR="004E0A37" w:rsidRPr="00C12184" w:rsidDel="002C2F7D" w:rsidRDefault="004E0A37" w:rsidP="00216CB1">
            <w:pPr>
              <w:spacing w:before="40" w:after="60" w:line="320" w:lineRule="exact"/>
              <w:ind w:left="57" w:right="170"/>
              <w:rPr>
                <w:rFonts w:hint="cs"/>
                <w:spacing w:val="0"/>
                <w:sz w:val="18"/>
                <w:szCs w:val="28"/>
                <w:rtl/>
              </w:rPr>
            </w:pPr>
            <w:r w:rsidRPr="00C12184">
              <w:rPr>
                <w:rFonts w:hint="cs"/>
                <w:spacing w:val="0"/>
                <w:sz w:val="18"/>
                <w:szCs w:val="28"/>
                <w:rtl/>
              </w:rPr>
              <w:t>كوبا</w:t>
            </w:r>
          </w:p>
        </w:tc>
        <w:tc>
          <w:tcPr>
            <w:tcW w:w="2211" w:type="dxa"/>
            <w:shd w:val="clear" w:color="auto" w:fill="auto"/>
          </w:tcPr>
          <w:p w:rsidR="004E0A37" w:rsidRPr="00C12184" w:rsidRDefault="004E0A37" w:rsidP="00216CB1">
            <w:pPr>
              <w:spacing w:before="40" w:after="60" w:line="320" w:lineRule="exact"/>
              <w:ind w:left="57" w:right="170"/>
              <w:jc w:val="left"/>
              <w:rPr>
                <w:rFonts w:hint="cs"/>
                <w:spacing w:val="0"/>
                <w:sz w:val="18"/>
                <w:szCs w:val="28"/>
                <w:rtl/>
              </w:rPr>
            </w:pPr>
            <w:r w:rsidRPr="00C12184">
              <w:rPr>
                <w:rFonts w:hint="cs"/>
                <w:spacing w:val="0"/>
                <w:sz w:val="18"/>
                <w:szCs w:val="28"/>
                <w:rtl/>
              </w:rPr>
              <w:t>التقرير الدوري الثاني</w:t>
            </w:r>
          </w:p>
        </w:tc>
        <w:tc>
          <w:tcPr>
            <w:tcW w:w="1694" w:type="dxa"/>
            <w:shd w:val="clear" w:color="auto" w:fill="auto"/>
          </w:tcPr>
          <w:p w:rsidR="004E0A37" w:rsidRPr="00C12184" w:rsidDel="002C2F7D" w:rsidRDefault="004E0A37" w:rsidP="00C12184">
            <w:pPr>
              <w:spacing w:before="40" w:after="60" w:line="320" w:lineRule="exact"/>
              <w:ind w:left="57" w:right="170"/>
              <w:jc w:val="right"/>
              <w:rPr>
                <w:spacing w:val="0"/>
                <w:sz w:val="18"/>
                <w:szCs w:val="28"/>
              </w:rPr>
            </w:pPr>
            <w:r w:rsidRPr="00C12184">
              <w:rPr>
                <w:spacing w:val="0"/>
                <w:sz w:val="18"/>
                <w:szCs w:val="28"/>
              </w:rPr>
              <w:t>CAT/C/CUB/2</w:t>
            </w:r>
          </w:p>
        </w:tc>
        <w:tc>
          <w:tcPr>
            <w:tcW w:w="1861" w:type="dxa"/>
            <w:shd w:val="clear" w:color="auto" w:fill="auto"/>
          </w:tcPr>
          <w:p w:rsidR="004E0A37" w:rsidRPr="00C12184" w:rsidRDefault="004E0A37" w:rsidP="00C12184">
            <w:pPr>
              <w:spacing w:before="40" w:after="60" w:line="320" w:lineRule="exact"/>
              <w:ind w:right="57"/>
              <w:jc w:val="right"/>
              <w:rPr>
                <w:spacing w:val="0"/>
                <w:sz w:val="18"/>
                <w:szCs w:val="28"/>
              </w:rPr>
            </w:pPr>
            <w:r w:rsidRPr="00C12184">
              <w:rPr>
                <w:spacing w:val="0"/>
                <w:sz w:val="18"/>
                <w:szCs w:val="28"/>
              </w:rPr>
              <w:t>CAT/C/CUB/CO/2</w:t>
            </w:r>
          </w:p>
        </w:tc>
      </w:tr>
      <w:tr w:rsidR="004E0A37" w:rsidRPr="00C12184" w:rsidTr="00C12184">
        <w:tc>
          <w:tcPr>
            <w:tcW w:w="1490" w:type="dxa"/>
            <w:shd w:val="clear" w:color="auto" w:fill="auto"/>
          </w:tcPr>
          <w:p w:rsidR="004E0A37" w:rsidRPr="00C12184" w:rsidRDefault="004E0A37" w:rsidP="00216CB1">
            <w:pPr>
              <w:spacing w:before="40" w:after="60" w:line="320" w:lineRule="exact"/>
              <w:ind w:left="57" w:right="170"/>
              <w:jc w:val="left"/>
              <w:rPr>
                <w:rFonts w:hint="cs"/>
                <w:spacing w:val="0"/>
                <w:sz w:val="18"/>
                <w:szCs w:val="28"/>
                <w:rtl/>
              </w:rPr>
            </w:pPr>
            <w:r w:rsidRPr="00C12184">
              <w:rPr>
                <w:rFonts w:hint="cs"/>
                <w:spacing w:val="0"/>
                <w:sz w:val="18"/>
                <w:szCs w:val="28"/>
                <w:rtl/>
              </w:rPr>
              <w:t>الجمهورية التشيكية</w:t>
            </w:r>
          </w:p>
        </w:tc>
        <w:tc>
          <w:tcPr>
            <w:tcW w:w="2211" w:type="dxa"/>
            <w:shd w:val="clear" w:color="auto" w:fill="auto"/>
          </w:tcPr>
          <w:p w:rsidR="004E0A37" w:rsidRPr="00C12184" w:rsidRDefault="004E0A37" w:rsidP="00216CB1">
            <w:pPr>
              <w:spacing w:before="40" w:after="60" w:line="320" w:lineRule="exact"/>
              <w:ind w:left="57" w:right="170"/>
              <w:jc w:val="left"/>
              <w:rPr>
                <w:rFonts w:hint="cs"/>
                <w:spacing w:val="-4"/>
                <w:sz w:val="18"/>
                <w:szCs w:val="28"/>
                <w:rtl/>
              </w:rPr>
            </w:pPr>
            <w:r w:rsidRPr="00C12184">
              <w:rPr>
                <w:rFonts w:hint="cs"/>
                <w:spacing w:val="-4"/>
                <w:sz w:val="18"/>
                <w:szCs w:val="28"/>
                <w:rtl/>
              </w:rPr>
              <w:t>التقريران الدوريان الرابع والخامس</w:t>
            </w:r>
          </w:p>
        </w:tc>
        <w:tc>
          <w:tcPr>
            <w:tcW w:w="1694" w:type="dxa"/>
            <w:shd w:val="clear" w:color="auto" w:fill="auto"/>
          </w:tcPr>
          <w:p w:rsidR="004E0A37" w:rsidRPr="00C12184" w:rsidRDefault="004E0A37" w:rsidP="00C12184">
            <w:pPr>
              <w:spacing w:before="40" w:after="60" w:line="320" w:lineRule="exact"/>
              <w:ind w:left="57" w:right="170"/>
              <w:jc w:val="right"/>
              <w:rPr>
                <w:spacing w:val="-2"/>
                <w:sz w:val="18"/>
                <w:szCs w:val="28"/>
              </w:rPr>
            </w:pPr>
            <w:r w:rsidRPr="00C12184">
              <w:rPr>
                <w:spacing w:val="-2"/>
                <w:sz w:val="18"/>
                <w:szCs w:val="28"/>
              </w:rPr>
              <w:t>CAT/C/CZE/4-5</w:t>
            </w:r>
          </w:p>
        </w:tc>
        <w:tc>
          <w:tcPr>
            <w:tcW w:w="1861" w:type="dxa"/>
            <w:shd w:val="clear" w:color="auto" w:fill="auto"/>
          </w:tcPr>
          <w:p w:rsidR="004E0A37" w:rsidRPr="00C12184" w:rsidRDefault="004E0A37" w:rsidP="00C12184">
            <w:pPr>
              <w:spacing w:before="40" w:after="60" w:line="320" w:lineRule="exact"/>
              <w:ind w:right="57"/>
              <w:jc w:val="right"/>
              <w:rPr>
                <w:spacing w:val="0"/>
                <w:sz w:val="18"/>
                <w:szCs w:val="28"/>
              </w:rPr>
            </w:pPr>
            <w:r w:rsidRPr="00C12184">
              <w:rPr>
                <w:spacing w:val="0"/>
                <w:sz w:val="18"/>
                <w:szCs w:val="28"/>
              </w:rPr>
              <w:t>CAT/C/CZE/CO/4-5</w:t>
            </w:r>
          </w:p>
        </w:tc>
      </w:tr>
      <w:tr w:rsidR="004E0A37" w:rsidRPr="00C12184" w:rsidTr="00C12184">
        <w:tc>
          <w:tcPr>
            <w:tcW w:w="1490" w:type="dxa"/>
            <w:shd w:val="clear" w:color="auto" w:fill="auto"/>
          </w:tcPr>
          <w:p w:rsidR="004E0A37" w:rsidRPr="00C12184" w:rsidRDefault="004E0A37" w:rsidP="00216CB1">
            <w:pPr>
              <w:spacing w:before="40" w:after="60" w:line="320" w:lineRule="exact"/>
              <w:ind w:left="57" w:right="170"/>
              <w:rPr>
                <w:rFonts w:hint="cs"/>
                <w:spacing w:val="0"/>
                <w:sz w:val="18"/>
                <w:szCs w:val="28"/>
                <w:rtl/>
              </w:rPr>
            </w:pPr>
            <w:r w:rsidRPr="00C12184">
              <w:rPr>
                <w:rFonts w:hint="cs"/>
                <w:spacing w:val="0"/>
                <w:sz w:val="18"/>
                <w:szCs w:val="28"/>
                <w:rtl/>
              </w:rPr>
              <w:t>اليونان</w:t>
            </w:r>
          </w:p>
        </w:tc>
        <w:tc>
          <w:tcPr>
            <w:tcW w:w="2211" w:type="dxa"/>
            <w:shd w:val="clear" w:color="auto" w:fill="auto"/>
          </w:tcPr>
          <w:p w:rsidR="004E0A37" w:rsidRPr="00C12184" w:rsidRDefault="004E0A37" w:rsidP="00216CB1">
            <w:pPr>
              <w:spacing w:before="40" w:after="60" w:line="320" w:lineRule="exact"/>
              <w:ind w:left="57" w:right="170"/>
              <w:jc w:val="left"/>
              <w:rPr>
                <w:rFonts w:hint="cs"/>
                <w:spacing w:val="-4"/>
                <w:sz w:val="18"/>
                <w:szCs w:val="28"/>
                <w:rtl/>
              </w:rPr>
            </w:pPr>
            <w:r w:rsidRPr="00C12184">
              <w:rPr>
                <w:rFonts w:hint="cs"/>
                <w:spacing w:val="-4"/>
                <w:sz w:val="18"/>
                <w:szCs w:val="28"/>
                <w:rtl/>
              </w:rPr>
              <w:t>التقريران الدوريان الخامس والسادس</w:t>
            </w:r>
          </w:p>
        </w:tc>
        <w:tc>
          <w:tcPr>
            <w:tcW w:w="1694" w:type="dxa"/>
            <w:shd w:val="clear" w:color="auto" w:fill="auto"/>
          </w:tcPr>
          <w:p w:rsidR="004E0A37" w:rsidRPr="00C12184" w:rsidRDefault="004E0A37" w:rsidP="00C12184">
            <w:pPr>
              <w:spacing w:before="40" w:after="60" w:line="320" w:lineRule="exact"/>
              <w:ind w:left="57" w:right="170"/>
              <w:jc w:val="right"/>
              <w:rPr>
                <w:spacing w:val="-2"/>
                <w:sz w:val="18"/>
                <w:szCs w:val="28"/>
              </w:rPr>
            </w:pPr>
            <w:r w:rsidRPr="00C12184">
              <w:rPr>
                <w:spacing w:val="-2"/>
                <w:sz w:val="18"/>
                <w:szCs w:val="28"/>
              </w:rPr>
              <w:t>CAT/C/GRC/5-6</w:t>
            </w:r>
          </w:p>
        </w:tc>
        <w:tc>
          <w:tcPr>
            <w:tcW w:w="1861" w:type="dxa"/>
            <w:shd w:val="clear" w:color="auto" w:fill="auto"/>
          </w:tcPr>
          <w:p w:rsidR="004E0A37" w:rsidRPr="00C12184" w:rsidRDefault="004E0A37" w:rsidP="00C12184">
            <w:pPr>
              <w:spacing w:before="40" w:after="60" w:line="320" w:lineRule="exact"/>
              <w:ind w:right="57"/>
              <w:jc w:val="right"/>
              <w:rPr>
                <w:spacing w:val="0"/>
                <w:sz w:val="18"/>
                <w:szCs w:val="28"/>
              </w:rPr>
            </w:pPr>
            <w:r w:rsidRPr="00C12184">
              <w:rPr>
                <w:spacing w:val="0"/>
                <w:sz w:val="18"/>
                <w:szCs w:val="28"/>
              </w:rPr>
              <w:t>CAT/C/GRC/CO/5-6</w:t>
            </w:r>
          </w:p>
        </w:tc>
      </w:tr>
      <w:tr w:rsidR="004E0A37" w:rsidRPr="00C12184" w:rsidTr="00C12184">
        <w:tc>
          <w:tcPr>
            <w:tcW w:w="1490" w:type="dxa"/>
            <w:shd w:val="clear" w:color="auto" w:fill="auto"/>
          </w:tcPr>
          <w:p w:rsidR="004E0A37" w:rsidRPr="00C12184" w:rsidRDefault="004E0A37" w:rsidP="00216CB1">
            <w:pPr>
              <w:spacing w:before="40" w:after="60" w:line="320" w:lineRule="exact"/>
              <w:ind w:left="57" w:right="170"/>
              <w:rPr>
                <w:rFonts w:hint="cs"/>
                <w:spacing w:val="0"/>
                <w:sz w:val="18"/>
                <w:szCs w:val="28"/>
                <w:rtl/>
              </w:rPr>
            </w:pPr>
            <w:r w:rsidRPr="00C12184">
              <w:rPr>
                <w:rFonts w:hint="cs"/>
                <w:spacing w:val="0"/>
                <w:sz w:val="18"/>
                <w:szCs w:val="28"/>
                <w:rtl/>
              </w:rPr>
              <w:t>رواندا</w:t>
            </w:r>
          </w:p>
        </w:tc>
        <w:tc>
          <w:tcPr>
            <w:tcW w:w="2211" w:type="dxa"/>
            <w:shd w:val="clear" w:color="auto" w:fill="auto"/>
          </w:tcPr>
          <w:p w:rsidR="004E0A37" w:rsidRPr="00C12184" w:rsidRDefault="004E0A37" w:rsidP="00216CB1">
            <w:pPr>
              <w:spacing w:before="40" w:after="60" w:line="320" w:lineRule="exact"/>
              <w:ind w:left="57" w:right="170"/>
              <w:rPr>
                <w:rFonts w:hint="cs"/>
                <w:spacing w:val="-4"/>
                <w:sz w:val="18"/>
                <w:szCs w:val="28"/>
                <w:rtl/>
              </w:rPr>
            </w:pPr>
            <w:r w:rsidRPr="00C12184">
              <w:rPr>
                <w:rFonts w:hint="cs"/>
                <w:spacing w:val="-4"/>
                <w:sz w:val="18"/>
                <w:szCs w:val="28"/>
                <w:rtl/>
              </w:rPr>
              <w:t>التقرير الأولي</w:t>
            </w:r>
          </w:p>
        </w:tc>
        <w:tc>
          <w:tcPr>
            <w:tcW w:w="1694" w:type="dxa"/>
            <w:shd w:val="clear" w:color="auto" w:fill="auto"/>
          </w:tcPr>
          <w:p w:rsidR="004E0A37" w:rsidRPr="00C12184" w:rsidRDefault="004E0A37" w:rsidP="00C12184">
            <w:pPr>
              <w:spacing w:before="40" w:after="60" w:line="320" w:lineRule="exact"/>
              <w:ind w:left="57" w:right="170"/>
              <w:jc w:val="right"/>
              <w:rPr>
                <w:spacing w:val="0"/>
                <w:sz w:val="18"/>
                <w:szCs w:val="28"/>
              </w:rPr>
            </w:pPr>
            <w:r w:rsidRPr="00C12184">
              <w:rPr>
                <w:spacing w:val="0"/>
                <w:sz w:val="18"/>
                <w:szCs w:val="28"/>
              </w:rPr>
              <w:t>CAT/C/RWA/1</w:t>
            </w:r>
          </w:p>
        </w:tc>
        <w:tc>
          <w:tcPr>
            <w:tcW w:w="1861" w:type="dxa"/>
            <w:shd w:val="clear" w:color="auto" w:fill="auto"/>
          </w:tcPr>
          <w:p w:rsidR="004E0A37" w:rsidRPr="00C12184" w:rsidRDefault="004E0A37" w:rsidP="00C12184">
            <w:pPr>
              <w:spacing w:before="40" w:after="60" w:line="320" w:lineRule="exact"/>
              <w:ind w:right="57"/>
              <w:jc w:val="right"/>
              <w:rPr>
                <w:spacing w:val="0"/>
                <w:sz w:val="18"/>
                <w:szCs w:val="28"/>
              </w:rPr>
            </w:pPr>
            <w:r w:rsidRPr="00C12184">
              <w:rPr>
                <w:spacing w:val="0"/>
                <w:sz w:val="18"/>
                <w:szCs w:val="28"/>
              </w:rPr>
              <w:t>CAT/C/RWA/CO/1</w:t>
            </w:r>
          </w:p>
        </w:tc>
      </w:tr>
      <w:tr w:rsidR="004E0A37" w:rsidRPr="00C12184" w:rsidTr="00C12184">
        <w:tc>
          <w:tcPr>
            <w:tcW w:w="1490" w:type="dxa"/>
            <w:tcBorders>
              <w:bottom w:val="single" w:sz="12" w:space="0" w:color="auto"/>
            </w:tcBorders>
            <w:shd w:val="clear" w:color="auto" w:fill="auto"/>
          </w:tcPr>
          <w:p w:rsidR="004E0A37" w:rsidRPr="00C12184" w:rsidRDefault="004E0A37" w:rsidP="00216CB1">
            <w:pPr>
              <w:spacing w:before="40" w:after="60" w:line="320" w:lineRule="exact"/>
              <w:ind w:left="57" w:right="170"/>
              <w:jc w:val="left"/>
              <w:rPr>
                <w:rFonts w:hint="cs"/>
                <w:spacing w:val="0"/>
                <w:sz w:val="18"/>
                <w:szCs w:val="28"/>
                <w:rtl/>
              </w:rPr>
            </w:pPr>
            <w:r w:rsidRPr="00C12184">
              <w:rPr>
                <w:rFonts w:hint="cs"/>
                <w:spacing w:val="0"/>
                <w:sz w:val="18"/>
                <w:szCs w:val="28"/>
                <w:rtl/>
              </w:rPr>
              <w:t>الجمهورية العربية السورية</w:t>
            </w:r>
          </w:p>
        </w:tc>
        <w:tc>
          <w:tcPr>
            <w:tcW w:w="2211" w:type="dxa"/>
            <w:tcBorders>
              <w:bottom w:val="single" w:sz="12" w:space="0" w:color="auto"/>
            </w:tcBorders>
            <w:shd w:val="clear" w:color="auto" w:fill="auto"/>
          </w:tcPr>
          <w:p w:rsidR="004E0A37" w:rsidRPr="00C12184" w:rsidRDefault="004E0A37" w:rsidP="00216CB1">
            <w:pPr>
              <w:spacing w:before="40" w:after="60" w:line="320" w:lineRule="exact"/>
              <w:ind w:left="57" w:right="170"/>
              <w:rPr>
                <w:rFonts w:hint="cs"/>
                <w:spacing w:val="-4"/>
                <w:sz w:val="18"/>
                <w:szCs w:val="28"/>
                <w:rtl/>
              </w:rPr>
            </w:pPr>
            <w:r w:rsidRPr="00C12184">
              <w:rPr>
                <w:rFonts w:hint="cs"/>
                <w:spacing w:val="-4"/>
                <w:sz w:val="18"/>
                <w:szCs w:val="28"/>
                <w:rtl/>
              </w:rPr>
              <w:t>تقرير خاص</w:t>
            </w:r>
          </w:p>
        </w:tc>
        <w:tc>
          <w:tcPr>
            <w:tcW w:w="1694" w:type="dxa"/>
            <w:tcBorders>
              <w:bottom w:val="single" w:sz="12" w:space="0" w:color="auto"/>
            </w:tcBorders>
            <w:shd w:val="clear" w:color="auto" w:fill="auto"/>
          </w:tcPr>
          <w:p w:rsidR="004E0A37" w:rsidRPr="00C12184" w:rsidRDefault="004E0A37" w:rsidP="00C12184">
            <w:pPr>
              <w:spacing w:before="40" w:after="60" w:line="320" w:lineRule="exact"/>
              <w:ind w:left="336" w:right="170"/>
              <w:jc w:val="left"/>
              <w:rPr>
                <w:rFonts w:hint="cs"/>
                <w:spacing w:val="0"/>
                <w:sz w:val="18"/>
                <w:szCs w:val="28"/>
                <w:rtl/>
              </w:rPr>
            </w:pPr>
            <w:r w:rsidRPr="00C12184">
              <w:rPr>
                <w:rFonts w:hint="cs"/>
                <w:spacing w:val="0"/>
                <w:sz w:val="18"/>
                <w:szCs w:val="28"/>
                <w:rtl/>
              </w:rPr>
              <w:t>لم يُقدَّم التقرير</w:t>
            </w:r>
          </w:p>
        </w:tc>
        <w:tc>
          <w:tcPr>
            <w:tcW w:w="1861" w:type="dxa"/>
            <w:tcBorders>
              <w:bottom w:val="single" w:sz="12" w:space="0" w:color="auto"/>
            </w:tcBorders>
            <w:shd w:val="clear" w:color="auto" w:fill="auto"/>
          </w:tcPr>
          <w:p w:rsidR="004E0A37" w:rsidRPr="00C12184" w:rsidRDefault="00E0497A" w:rsidP="00C12184">
            <w:pPr>
              <w:spacing w:before="40" w:after="60" w:line="320" w:lineRule="exact"/>
              <w:ind w:right="57"/>
              <w:jc w:val="right"/>
              <w:rPr>
                <w:spacing w:val="-4"/>
                <w:sz w:val="18"/>
                <w:szCs w:val="28"/>
              </w:rPr>
            </w:pPr>
            <w:r w:rsidRPr="00C12184">
              <w:rPr>
                <w:spacing w:val="-4"/>
                <w:sz w:val="18"/>
                <w:szCs w:val="28"/>
              </w:rPr>
              <w:t>CAT/C/SYR/CO/1/Add.2</w:t>
            </w:r>
          </w:p>
        </w:tc>
      </w:tr>
    </w:tbl>
    <w:p w:rsidR="004E0A37" w:rsidRPr="00620695" w:rsidRDefault="004E0A37" w:rsidP="00C12184">
      <w:pPr>
        <w:pStyle w:val="SingleTxtGA"/>
        <w:spacing w:before="240" w:line="360" w:lineRule="exact"/>
        <w:jc w:val="lowKashida"/>
        <w:rPr>
          <w:rFonts w:hint="cs"/>
          <w:spacing w:val="-2"/>
          <w:sz w:val="20"/>
          <w:rtl/>
        </w:rPr>
      </w:pPr>
      <w:r w:rsidRPr="00620695">
        <w:rPr>
          <w:rFonts w:hint="cs"/>
          <w:spacing w:val="-2"/>
          <w:sz w:val="20"/>
          <w:rtl/>
        </w:rPr>
        <w:t>46-</w:t>
      </w:r>
      <w:r w:rsidRPr="00620695">
        <w:rPr>
          <w:rFonts w:hint="cs"/>
          <w:spacing w:val="-2"/>
          <w:sz w:val="20"/>
          <w:rtl/>
        </w:rPr>
        <w:tab/>
        <w:t>ووفقاً للمادة 68 من النظام الداخلي للجنة، دُعي ممثلون عن كل دولة من الدول التي قدمت تقارير إلى حضور جلسات اللجنة عند النظر في تقارير دولهم. وأرسلت جميع الدول الأطراف التي نظرت اللجنة في تقاريرها، عدا الجمهورية العربية السورية، ممثلين لها للمشاركة في عملية النظر في تقاريرها. وأعربت اللجنة عن تقديرها لذلك في ملاحظاتها الختامية.</w:t>
      </w:r>
    </w:p>
    <w:p w:rsidR="004E0A37" w:rsidRPr="004E0A37" w:rsidRDefault="004E0A37" w:rsidP="00216CB1">
      <w:pPr>
        <w:pStyle w:val="SingleTxtGA"/>
        <w:spacing w:line="360" w:lineRule="exact"/>
        <w:jc w:val="lowKashida"/>
        <w:rPr>
          <w:rFonts w:hint="cs"/>
          <w:spacing w:val="0"/>
          <w:sz w:val="20"/>
          <w:rtl/>
        </w:rPr>
      </w:pPr>
      <w:r w:rsidRPr="004E0A37">
        <w:rPr>
          <w:rFonts w:hint="cs"/>
          <w:spacing w:val="0"/>
          <w:sz w:val="20"/>
          <w:rtl/>
        </w:rPr>
        <w:t>47-</w:t>
      </w:r>
      <w:r w:rsidRPr="004E0A37">
        <w:rPr>
          <w:rFonts w:hint="cs"/>
          <w:spacing w:val="0"/>
          <w:sz w:val="20"/>
          <w:rtl/>
        </w:rPr>
        <w:tab/>
        <w:t>ونظرا</w:t>
      </w:r>
      <w:r w:rsidR="00620695">
        <w:rPr>
          <w:rFonts w:hint="cs"/>
          <w:spacing w:val="0"/>
          <w:sz w:val="20"/>
          <w:rtl/>
        </w:rPr>
        <w:t>ً</w:t>
      </w:r>
      <w:r w:rsidRPr="004E0A37">
        <w:rPr>
          <w:rFonts w:hint="cs"/>
          <w:spacing w:val="0"/>
          <w:sz w:val="20"/>
          <w:rtl/>
        </w:rPr>
        <w:t xml:space="preserve"> للوضع السائد في الجمهورية العربية السورية، دعت اللجنة، في دورتها السابعة والأربعين، الدولةَ الطرف إلى تقديم تقرير خاص إلى اللجنة بحلول 9 آذار/مارس 2012. غير أن الدولة الطرف رفضت تقديم تقرير ولم ترسل ممثلاً عنها للمشاركة في الحوار مع اللجنة.</w:t>
      </w:r>
    </w:p>
    <w:p w:rsidR="004E0A37" w:rsidRPr="004E0A37" w:rsidRDefault="004E0A37" w:rsidP="00216CB1">
      <w:pPr>
        <w:pStyle w:val="SingleTxtGA"/>
        <w:spacing w:line="360" w:lineRule="exact"/>
        <w:jc w:val="lowKashida"/>
        <w:rPr>
          <w:rFonts w:hint="cs"/>
          <w:spacing w:val="0"/>
          <w:sz w:val="20"/>
          <w:rtl/>
        </w:rPr>
      </w:pPr>
      <w:r w:rsidRPr="004E0A37">
        <w:rPr>
          <w:rFonts w:hint="cs"/>
          <w:spacing w:val="0"/>
          <w:sz w:val="20"/>
          <w:rtl/>
        </w:rPr>
        <w:t>48-</w:t>
      </w:r>
      <w:r w:rsidRPr="004E0A37">
        <w:rPr>
          <w:rFonts w:hint="cs"/>
          <w:spacing w:val="0"/>
          <w:sz w:val="20"/>
          <w:rtl/>
        </w:rPr>
        <w:tab/>
        <w:t>وعيّنت اللجنة مقررين قطريين ومقررين مناوبين لكل تقرير من التقارير قيد النظر. وترد القائمة في المرفق الثاني عشر بهذا التقرير.</w:t>
      </w:r>
    </w:p>
    <w:p w:rsidR="004E0A37" w:rsidRPr="004E0A37" w:rsidRDefault="004E0A37" w:rsidP="00216CB1">
      <w:pPr>
        <w:pStyle w:val="SingleTxtGA"/>
        <w:spacing w:line="360" w:lineRule="exact"/>
        <w:jc w:val="lowKashida"/>
        <w:rPr>
          <w:rFonts w:hint="cs"/>
          <w:spacing w:val="0"/>
          <w:sz w:val="20"/>
          <w:rtl/>
        </w:rPr>
      </w:pPr>
      <w:r w:rsidRPr="004E0A37">
        <w:rPr>
          <w:rFonts w:hint="cs"/>
          <w:spacing w:val="0"/>
          <w:sz w:val="20"/>
          <w:rtl/>
        </w:rPr>
        <w:t>49-</w:t>
      </w:r>
      <w:r w:rsidRPr="004E0A37">
        <w:rPr>
          <w:rFonts w:hint="cs"/>
          <w:spacing w:val="0"/>
          <w:sz w:val="20"/>
          <w:rtl/>
        </w:rPr>
        <w:tab/>
        <w:t>و</w:t>
      </w:r>
      <w:r w:rsidR="00F96B1E">
        <w:rPr>
          <w:rFonts w:hint="cs"/>
          <w:spacing w:val="0"/>
          <w:sz w:val="20"/>
          <w:rtl/>
        </w:rPr>
        <w:t>فيما </w:t>
      </w:r>
      <w:r w:rsidRPr="004E0A37">
        <w:rPr>
          <w:rFonts w:hint="cs"/>
          <w:spacing w:val="0"/>
          <w:sz w:val="20"/>
          <w:rtl/>
        </w:rPr>
        <w:t>يتعلق بالنظر في التقارير، عُرضت على اللجنة أيضاً الوثيقتان التاليتان:</w:t>
      </w:r>
    </w:p>
    <w:p w:rsidR="004E0A37" w:rsidRPr="004E0A37" w:rsidRDefault="004E0A37" w:rsidP="00216CB1">
      <w:pPr>
        <w:pStyle w:val="SingleTxtGA"/>
        <w:spacing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 xml:space="preserve">مبادئ توجيهية عامة بشأن شكل ومحتويات التقارير الأولية التي تقدمها الدول الأطراف بموجب الفقرة 1 من المادة 19 من الاتفاقية </w:t>
      </w:r>
      <w:r w:rsidRPr="004E0A37">
        <w:rPr>
          <w:spacing w:val="0"/>
          <w:sz w:val="20"/>
        </w:rPr>
        <w:t>(CAT/C/4/Rev.3)</w:t>
      </w:r>
      <w:r w:rsidRPr="004E0A37">
        <w:rPr>
          <w:rFonts w:hint="cs"/>
          <w:spacing w:val="0"/>
          <w:sz w:val="20"/>
          <w:rtl/>
        </w:rPr>
        <w:t>؛</w:t>
      </w:r>
    </w:p>
    <w:p w:rsidR="004E0A37" w:rsidRPr="004E0A37" w:rsidRDefault="004E0A37" w:rsidP="00216CB1">
      <w:pPr>
        <w:pStyle w:val="SingleTxtGA"/>
        <w:spacing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 xml:space="preserve">مبادئ توجيهية عامة بشأن شكل ومحتويات التقارير الدورية التي تقدمها الدول الأطراف بموجب المادة 19 من الاتفاقية </w:t>
      </w:r>
      <w:r w:rsidRPr="004E0A37">
        <w:rPr>
          <w:spacing w:val="0"/>
          <w:sz w:val="20"/>
        </w:rPr>
        <w:t>(CAT/C/14/Rev.1)</w:t>
      </w:r>
      <w:r w:rsidRPr="004E0A37">
        <w:rPr>
          <w:rFonts w:hint="cs"/>
          <w:spacing w:val="0"/>
          <w:sz w:val="20"/>
          <w:rtl/>
        </w:rPr>
        <w:t>.</w:t>
      </w:r>
    </w:p>
    <w:p w:rsidR="004E0A37" w:rsidRPr="00216CB1" w:rsidRDefault="004E0A37" w:rsidP="00216CB1">
      <w:pPr>
        <w:pStyle w:val="SingleTxtGA"/>
        <w:spacing w:line="360" w:lineRule="exact"/>
        <w:jc w:val="lowKashida"/>
        <w:rPr>
          <w:rFonts w:hint="cs"/>
          <w:spacing w:val="-2"/>
          <w:sz w:val="20"/>
          <w:rtl/>
        </w:rPr>
      </w:pPr>
      <w:r w:rsidRPr="00216CB1">
        <w:rPr>
          <w:rFonts w:hint="cs"/>
          <w:spacing w:val="-2"/>
          <w:sz w:val="20"/>
          <w:rtl/>
        </w:rPr>
        <w:t>50-</w:t>
      </w:r>
      <w:r w:rsidRPr="00216CB1">
        <w:rPr>
          <w:rFonts w:hint="cs"/>
          <w:spacing w:val="-2"/>
          <w:sz w:val="20"/>
          <w:rtl/>
        </w:rPr>
        <w:tab/>
        <w:t>وتعد اللجنة منذ عام 2004 قوائم بالمسائل المطروحة للنقاش في إطار النظر في التقارير الدورية. وهي تلبي بذلك طلباً قدمه إليها ممثلو الدول الأطراف في اجتماع مع أعضاء اللجنة. وإذ تتفهّم اللجنة رغبة الدول الأطراف في إشعارها مسبقاً بالمسائل التي يتوقع مناقشتها في أثناء الحوار، لا بد أن تشير مع ذلك إلى أن صياغة قوائم المسائل أحدثت زيادة كبيرة في حجم العمل الذي تقوم به اللجنة. وهذه مسألة بالغة الأهمية في لجنة ذات عضوية محدودة للغاية.</w:t>
      </w:r>
    </w:p>
    <w:p w:rsidR="004E0A37" w:rsidRPr="004E0A37" w:rsidRDefault="004E0A37" w:rsidP="00781CE0">
      <w:pPr>
        <w:pStyle w:val="H1GA"/>
        <w:rPr>
          <w:rFonts w:hint="cs"/>
          <w:rtl/>
        </w:rPr>
      </w:pPr>
      <w:r w:rsidRPr="004E0A37">
        <w:rPr>
          <w:rFonts w:hint="cs"/>
          <w:rtl/>
        </w:rPr>
        <w:tab/>
        <w:t>باء-</w:t>
      </w:r>
      <w:r w:rsidRPr="004E0A37">
        <w:rPr>
          <w:rFonts w:hint="cs"/>
          <w:rtl/>
        </w:rPr>
        <w:tab/>
      </w:r>
      <w:r w:rsidRPr="004E0A37">
        <w:rPr>
          <w:rFonts w:hint="cs"/>
          <w:rtl/>
          <w:lang/>
        </w:rPr>
        <w:t>الملاحظات الختامية المتعلقة بتقارير الدول الأطراف</w:t>
      </w:r>
    </w:p>
    <w:p w:rsidR="004E0A37" w:rsidRPr="004E0A37" w:rsidRDefault="004E0A37" w:rsidP="004E0A37">
      <w:pPr>
        <w:pStyle w:val="SingleTxtGA"/>
        <w:jc w:val="lowKashida"/>
        <w:rPr>
          <w:rFonts w:hint="cs"/>
          <w:spacing w:val="0"/>
          <w:sz w:val="20"/>
          <w:rtl/>
        </w:rPr>
      </w:pPr>
      <w:r w:rsidRPr="004E0A37">
        <w:rPr>
          <w:rFonts w:hint="cs"/>
          <w:spacing w:val="0"/>
          <w:sz w:val="20"/>
          <w:rtl/>
        </w:rPr>
        <w:t>51-</w:t>
      </w:r>
      <w:r w:rsidRPr="004E0A37">
        <w:rPr>
          <w:rFonts w:hint="cs"/>
          <w:spacing w:val="0"/>
          <w:sz w:val="20"/>
          <w:rtl/>
        </w:rPr>
        <w:tab/>
        <w:t>يرد أدناه نص الملاحظات الختامية التي اعتمدتها اللجنة بشأن تقارير الدول الأطراف السالف ذكرها، وكذلك بشأن الجمهورية العربية السورية.</w:t>
      </w:r>
    </w:p>
    <w:p w:rsidR="004E0A37" w:rsidRPr="004E0A37" w:rsidRDefault="004E0A37" w:rsidP="004E0A37">
      <w:pPr>
        <w:pStyle w:val="SingleTxtGA"/>
        <w:jc w:val="lowKashida"/>
        <w:rPr>
          <w:rFonts w:hint="cs"/>
          <w:spacing w:val="0"/>
          <w:sz w:val="20"/>
          <w:rtl/>
        </w:rPr>
      </w:pPr>
      <w:r w:rsidRPr="004E0A37">
        <w:rPr>
          <w:rFonts w:hint="cs"/>
          <w:spacing w:val="0"/>
          <w:sz w:val="20"/>
          <w:rtl/>
        </w:rPr>
        <w:t>52-</w:t>
      </w:r>
      <w:r w:rsidRPr="004E0A37">
        <w:rPr>
          <w:rFonts w:hint="cs"/>
          <w:spacing w:val="0"/>
          <w:sz w:val="20"/>
          <w:rtl/>
        </w:rPr>
        <w:tab/>
      </w:r>
      <w:r w:rsidRPr="00216CB1">
        <w:rPr>
          <w:rFonts w:hint="cs"/>
          <w:b/>
          <w:bCs/>
          <w:spacing w:val="0"/>
          <w:sz w:val="20"/>
          <w:rtl/>
        </w:rPr>
        <w:t>بيلاروس</w:t>
      </w:r>
    </w:p>
    <w:p w:rsidR="004E0A37" w:rsidRPr="004E0A37" w:rsidRDefault="004E0A37" w:rsidP="003D48E7">
      <w:pPr>
        <w:pStyle w:val="SingleTxtGA"/>
        <w:jc w:val="lowKashida"/>
        <w:rPr>
          <w:rFonts w:hint="cs"/>
          <w:spacing w:val="0"/>
          <w:sz w:val="20"/>
          <w:rtl/>
        </w:rPr>
      </w:pPr>
      <w:r w:rsidRPr="004E0A37">
        <w:rPr>
          <w:rFonts w:hint="cs"/>
          <w:spacing w:val="0"/>
          <w:sz w:val="20"/>
          <w:rtl/>
        </w:rPr>
        <w:t>(1)</w:t>
      </w:r>
      <w:r w:rsidRPr="004E0A37">
        <w:rPr>
          <w:rFonts w:hint="cs"/>
          <w:spacing w:val="0"/>
          <w:sz w:val="20"/>
          <w:rtl/>
        </w:rPr>
        <w:tab/>
        <w:t xml:space="preserve">نظرت لجنة مناهضة التعذيب في التقرير الرابع لبيلاروس </w:t>
      </w:r>
      <w:r w:rsidRPr="004E0A37">
        <w:rPr>
          <w:spacing w:val="0"/>
          <w:sz w:val="20"/>
        </w:rPr>
        <w:t>(CAT/C/BLR/4)</w:t>
      </w:r>
      <w:r w:rsidRPr="004E0A37">
        <w:rPr>
          <w:rFonts w:hint="cs"/>
          <w:spacing w:val="0"/>
          <w:sz w:val="20"/>
          <w:rtl/>
        </w:rPr>
        <w:t xml:space="preserve"> في جلستيها 1036 و1039 </w:t>
      </w:r>
      <w:r w:rsidRPr="004E0A37">
        <w:rPr>
          <w:spacing w:val="0"/>
          <w:sz w:val="20"/>
        </w:rPr>
        <w:t>CAT/C/SR.1036)</w:t>
      </w:r>
      <w:r w:rsidRPr="004E0A37">
        <w:rPr>
          <w:rFonts w:hint="cs"/>
          <w:spacing w:val="0"/>
          <w:sz w:val="20"/>
          <w:rtl/>
        </w:rPr>
        <w:t xml:space="preserve"> و</w:t>
      </w:r>
      <w:r w:rsidRPr="004E0A37">
        <w:rPr>
          <w:spacing w:val="0"/>
          <w:sz w:val="20"/>
        </w:rPr>
        <w:t>1039</w:t>
      </w:r>
      <w:r w:rsidRPr="004E0A37">
        <w:rPr>
          <w:rFonts w:hint="cs"/>
          <w:spacing w:val="0"/>
          <w:sz w:val="20"/>
          <w:rtl/>
        </w:rPr>
        <w:t xml:space="preserve">) المعقودتين يومي 11 و14 تشرين الثاني/نوفمبر 2011، واعتمدت اللجنة الملاحظات الختامية التالية في جلستها 1053 </w:t>
      </w:r>
      <w:r w:rsidRPr="004E0A37">
        <w:rPr>
          <w:spacing w:val="0"/>
          <w:sz w:val="20"/>
        </w:rPr>
        <w:t>(CAT/C/SR.1053)</w:t>
      </w:r>
      <w:r w:rsidRPr="004E0A37">
        <w:rPr>
          <w:rFonts w:hint="cs"/>
          <w:spacing w:val="0"/>
          <w:sz w:val="20"/>
          <w:rtl/>
        </w:rPr>
        <w:t xml:space="preserve">. </w:t>
      </w:r>
    </w:p>
    <w:p w:rsidR="004E0A37" w:rsidRPr="004E0A37" w:rsidRDefault="00E0497A" w:rsidP="00C12184">
      <w:pPr>
        <w:pStyle w:val="H23GA"/>
        <w:tabs>
          <w:tab w:val="left" w:pos="1925"/>
        </w:tabs>
        <w:rPr>
          <w:rFonts w:hint="cs"/>
          <w:rtl/>
        </w:rPr>
      </w:pPr>
      <w:r>
        <w:rPr>
          <w:rFonts w:hint="cs"/>
          <w:rtl/>
        </w:rPr>
        <w:tab/>
      </w:r>
      <w:r w:rsidR="004E0A37" w:rsidRPr="004E0A37">
        <w:rPr>
          <w:rFonts w:hint="cs"/>
          <w:rtl/>
        </w:rPr>
        <w:tab/>
        <w:t>ألف-</w:t>
      </w:r>
      <w:r w:rsidR="004E0A37" w:rsidRPr="004E0A37">
        <w:rPr>
          <w:rFonts w:hint="cs"/>
          <w:rtl/>
        </w:rPr>
        <w:tab/>
        <w:t>مقدمة</w:t>
      </w:r>
    </w:p>
    <w:p w:rsidR="004E0A37" w:rsidRPr="004E0A37" w:rsidRDefault="004E0A37" w:rsidP="003D48E7">
      <w:pPr>
        <w:pStyle w:val="SingleTxtGA"/>
        <w:jc w:val="lowKashida"/>
        <w:rPr>
          <w:rFonts w:hint="cs"/>
          <w:spacing w:val="0"/>
          <w:sz w:val="20"/>
          <w:rtl/>
        </w:rPr>
      </w:pPr>
      <w:r w:rsidRPr="004E0A37">
        <w:rPr>
          <w:rFonts w:hint="cs"/>
          <w:spacing w:val="0"/>
          <w:sz w:val="20"/>
          <w:rtl/>
        </w:rPr>
        <w:t>(2)</w:t>
      </w:r>
      <w:r w:rsidRPr="004E0A37">
        <w:rPr>
          <w:rFonts w:hint="cs"/>
          <w:spacing w:val="0"/>
          <w:sz w:val="20"/>
          <w:rtl/>
        </w:rPr>
        <w:tab/>
        <w:t>في حين ترحّب اللجنة بتقديم بيلاروس تقريرها الرابع، فإنها تأسف لأن التقرير تأخر عن موعده بتسع سنوات، مما حال دون تحليل اللجنة لمدى تنفيذ الاتفاقية في الدولة الطرف بعد الاستعراض الأخير الذي خضعت له في عام 2000.</w:t>
      </w:r>
      <w:r w:rsidRPr="004E0A37">
        <w:rPr>
          <w:rFonts w:hint="cs"/>
          <w:spacing w:val="0"/>
          <w:sz w:val="20"/>
          <w:rtl/>
          <w:lang/>
        </w:rPr>
        <w:t xml:space="preserve"> </w:t>
      </w:r>
    </w:p>
    <w:p w:rsidR="004E0A37" w:rsidRPr="004E0A37" w:rsidRDefault="004E0A37" w:rsidP="003D48E7">
      <w:pPr>
        <w:pStyle w:val="SingleTxtGA"/>
        <w:jc w:val="lowKashida"/>
        <w:rPr>
          <w:rFonts w:hint="cs"/>
          <w:spacing w:val="0"/>
          <w:sz w:val="20"/>
        </w:rPr>
      </w:pPr>
      <w:r w:rsidRPr="004E0A37">
        <w:rPr>
          <w:rFonts w:hint="cs"/>
          <w:spacing w:val="0"/>
          <w:sz w:val="20"/>
          <w:rtl/>
        </w:rPr>
        <w:t>(3)</w:t>
      </w:r>
      <w:r w:rsidRPr="004E0A37">
        <w:rPr>
          <w:rFonts w:hint="cs"/>
          <w:spacing w:val="0"/>
          <w:sz w:val="20"/>
          <w:rtl/>
        </w:rPr>
        <w:tab/>
      </w:r>
      <w:r w:rsidRPr="004E0A37">
        <w:rPr>
          <w:spacing w:val="0"/>
          <w:sz w:val="20"/>
          <w:rtl/>
        </w:rPr>
        <w:t>وتأسف اللجنة لعدم</w:t>
      </w:r>
      <w:r w:rsidRPr="004E0A37">
        <w:rPr>
          <w:rFonts w:hint="cs"/>
          <w:spacing w:val="0"/>
          <w:sz w:val="20"/>
          <w:rtl/>
        </w:rPr>
        <w:t xml:space="preserve"> حضور</w:t>
      </w:r>
      <w:r w:rsidRPr="004E0A37">
        <w:rPr>
          <w:spacing w:val="0"/>
          <w:sz w:val="20"/>
          <w:rtl/>
        </w:rPr>
        <w:t xml:space="preserve"> </w:t>
      </w:r>
      <w:r w:rsidRPr="004E0A37">
        <w:rPr>
          <w:rFonts w:hint="cs"/>
          <w:spacing w:val="0"/>
          <w:sz w:val="20"/>
          <w:rtl/>
        </w:rPr>
        <w:t>أي ممثل من عاصمة الدولة الطرف للاجتما</w:t>
      </w:r>
      <w:r w:rsidRPr="004E0A37">
        <w:rPr>
          <w:spacing w:val="0"/>
          <w:sz w:val="20"/>
          <w:rtl/>
        </w:rPr>
        <w:t xml:space="preserve">ع </w:t>
      </w:r>
      <w:r w:rsidRPr="004E0A37">
        <w:rPr>
          <w:rFonts w:hint="cs"/>
          <w:spacing w:val="0"/>
          <w:sz w:val="20"/>
          <w:rtl/>
        </w:rPr>
        <w:t>ب</w:t>
      </w:r>
      <w:r w:rsidRPr="004E0A37">
        <w:rPr>
          <w:spacing w:val="0"/>
          <w:sz w:val="20"/>
          <w:rtl/>
        </w:rPr>
        <w:t xml:space="preserve">أعضاء اللجنة خلال الدورة الحالية، </w:t>
      </w:r>
      <w:r w:rsidRPr="004E0A37">
        <w:rPr>
          <w:rFonts w:hint="cs"/>
          <w:spacing w:val="0"/>
          <w:sz w:val="20"/>
          <w:rtl/>
        </w:rPr>
        <w:t>إلا أنها تحيط</w:t>
      </w:r>
      <w:r w:rsidR="003833F8">
        <w:rPr>
          <w:spacing w:val="0"/>
          <w:sz w:val="20"/>
          <w:rtl/>
        </w:rPr>
        <w:t xml:space="preserve"> علماً </w:t>
      </w:r>
      <w:r w:rsidRPr="004E0A37">
        <w:rPr>
          <w:spacing w:val="0"/>
          <w:sz w:val="20"/>
          <w:rtl/>
        </w:rPr>
        <w:t>مع الارتياح بالفرصة المتاحة لإجراء حوار بناء يشمل مجالات عديدة تغطيها الاتفاقية</w:t>
      </w:r>
      <w:r w:rsidRPr="004E0A37">
        <w:rPr>
          <w:rFonts w:hint="cs"/>
          <w:spacing w:val="0"/>
          <w:sz w:val="20"/>
          <w:rtl/>
        </w:rPr>
        <w:t>.</w:t>
      </w:r>
    </w:p>
    <w:p w:rsidR="004E0A37" w:rsidRPr="004E0A37" w:rsidRDefault="00E0497A" w:rsidP="00781CE0">
      <w:pPr>
        <w:pStyle w:val="H23GA"/>
        <w:rPr>
          <w:rFonts w:hint="cs"/>
          <w:rtl/>
        </w:rPr>
      </w:pPr>
      <w:r>
        <w:rPr>
          <w:rtl/>
        </w:rPr>
        <w:tab/>
      </w:r>
      <w:r w:rsidR="004E0A37" w:rsidRPr="004E0A37">
        <w:rPr>
          <w:rFonts w:hint="cs"/>
          <w:rtl/>
        </w:rPr>
        <w:tab/>
        <w:t>باء-</w:t>
      </w:r>
      <w:r w:rsidR="004E0A37" w:rsidRPr="004E0A37">
        <w:rPr>
          <w:rFonts w:hint="cs"/>
          <w:rtl/>
        </w:rPr>
        <w:tab/>
        <w:t>الجوانب الإيجابية</w:t>
      </w:r>
    </w:p>
    <w:p w:rsidR="004E0A37" w:rsidRPr="004E0A37" w:rsidRDefault="004E0A37" w:rsidP="003D48E7">
      <w:pPr>
        <w:pStyle w:val="SingleTxtGA"/>
        <w:jc w:val="lowKashida"/>
        <w:rPr>
          <w:rFonts w:hint="cs"/>
          <w:spacing w:val="0"/>
          <w:sz w:val="20"/>
          <w:rtl/>
        </w:rPr>
      </w:pPr>
      <w:r w:rsidRPr="004E0A37">
        <w:rPr>
          <w:rFonts w:hint="cs"/>
          <w:spacing w:val="0"/>
          <w:sz w:val="20"/>
          <w:rtl/>
        </w:rPr>
        <w:t>(4)</w:t>
      </w:r>
      <w:r w:rsidRPr="004E0A37">
        <w:rPr>
          <w:rFonts w:hint="cs"/>
          <w:spacing w:val="0"/>
          <w:sz w:val="20"/>
          <w:rtl/>
        </w:rPr>
        <w:tab/>
        <w:t>ترحب اللجنة بتصديق الدولة الطرف على الصكوك الدولية التالية أو بانضمامها إليها:</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البروتوكول الاختياري ل</w:t>
      </w:r>
      <w:r w:rsidRPr="004E0A37">
        <w:rPr>
          <w:spacing w:val="0"/>
          <w:sz w:val="20"/>
          <w:rtl/>
        </w:rPr>
        <w:t>اتفاقية القضاء على جميع أشكال التمييز ضد المرأة</w:t>
      </w:r>
      <w:r w:rsidRPr="004E0A37">
        <w:rPr>
          <w:rFonts w:hint="cs"/>
          <w:spacing w:val="0"/>
          <w:sz w:val="20"/>
          <w:rtl/>
        </w:rPr>
        <w:t xml:space="preserve"> (3 شباط/فبراير 2004)؛</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r>
      <w:r w:rsidRPr="004E0A37">
        <w:rPr>
          <w:spacing w:val="0"/>
          <w:sz w:val="20"/>
          <w:rtl/>
        </w:rPr>
        <w:t>البروتوكول</w:t>
      </w:r>
      <w:r w:rsidRPr="004E0A37">
        <w:rPr>
          <w:rFonts w:hint="cs"/>
          <w:spacing w:val="0"/>
          <w:sz w:val="20"/>
          <w:rtl/>
        </w:rPr>
        <w:t>ان</w:t>
      </w:r>
      <w:r w:rsidRPr="004E0A37">
        <w:rPr>
          <w:spacing w:val="0"/>
          <w:sz w:val="20"/>
          <w:rtl/>
        </w:rPr>
        <w:t xml:space="preserve"> الاختياري</w:t>
      </w:r>
      <w:r w:rsidRPr="004E0A37">
        <w:rPr>
          <w:rFonts w:hint="cs"/>
          <w:spacing w:val="0"/>
          <w:sz w:val="20"/>
          <w:rtl/>
        </w:rPr>
        <w:t>ان</w:t>
      </w:r>
      <w:r w:rsidRPr="004E0A37">
        <w:rPr>
          <w:spacing w:val="0"/>
          <w:sz w:val="20"/>
          <w:rtl/>
        </w:rPr>
        <w:t xml:space="preserve"> لاتفاقية حقوق الطفل</w:t>
      </w:r>
      <w:r w:rsidRPr="004E0A37">
        <w:rPr>
          <w:rFonts w:hint="cs"/>
          <w:spacing w:val="0"/>
          <w:sz w:val="20"/>
          <w:rtl/>
        </w:rPr>
        <w:t xml:space="preserve"> (23 كانون الثاني/يناير</w:t>
      </w:r>
      <w:r w:rsidRPr="004E0A37">
        <w:rPr>
          <w:rFonts w:hint="eastAsia"/>
          <w:spacing w:val="0"/>
          <w:sz w:val="20"/>
          <w:rtl/>
        </w:rPr>
        <w:t> </w:t>
      </w:r>
      <w:r w:rsidRPr="004E0A37">
        <w:rPr>
          <w:rFonts w:hint="cs"/>
          <w:spacing w:val="0"/>
          <w:sz w:val="20"/>
          <w:rtl/>
        </w:rPr>
        <w:t>2002 و25 كانون الثاني/يناير 2006).</w:t>
      </w:r>
    </w:p>
    <w:p w:rsidR="004E0A37" w:rsidRPr="004E0A37" w:rsidRDefault="004E0A37" w:rsidP="003D48E7">
      <w:pPr>
        <w:pStyle w:val="SingleTxtGA"/>
        <w:jc w:val="lowKashida"/>
        <w:rPr>
          <w:rFonts w:hint="cs"/>
          <w:spacing w:val="0"/>
          <w:sz w:val="20"/>
          <w:rtl/>
        </w:rPr>
      </w:pPr>
      <w:r w:rsidRPr="004E0A37">
        <w:rPr>
          <w:rFonts w:hint="cs"/>
          <w:spacing w:val="0"/>
          <w:sz w:val="20"/>
          <w:rtl/>
        </w:rPr>
        <w:t>(5)</w:t>
      </w:r>
      <w:r w:rsidRPr="004E0A37">
        <w:rPr>
          <w:rFonts w:hint="cs"/>
          <w:spacing w:val="0"/>
          <w:sz w:val="20"/>
          <w:rtl/>
        </w:rPr>
        <w:tab/>
      </w:r>
      <w:r w:rsidRPr="004E0A37">
        <w:rPr>
          <w:spacing w:val="0"/>
          <w:sz w:val="20"/>
          <w:rtl/>
        </w:rPr>
        <w:t xml:space="preserve">وتنوِّه اللجنة بالجهود المتواصلة </w:t>
      </w:r>
      <w:r w:rsidRPr="004E0A37">
        <w:rPr>
          <w:rFonts w:hint="cs"/>
          <w:spacing w:val="0"/>
          <w:sz w:val="20"/>
          <w:rtl/>
        </w:rPr>
        <w:t xml:space="preserve">التي تبذلها الدولة الطرف </w:t>
      </w:r>
      <w:r w:rsidRPr="004E0A37">
        <w:rPr>
          <w:spacing w:val="0"/>
          <w:sz w:val="20"/>
          <w:rtl/>
        </w:rPr>
        <w:t>لإصلاح تشريعاتها وسياساتها وإجراءاتها في مجالات ذات صلة بالاتفاقية، بما في ذلك ما يلي:</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مراجعة القانون الجنائي وقانون تنفيذ العقوبات وقانون الإجراءات الجنائية، التي دخلت حيز التنفيذ في 1 كانون الثاني</w:t>
      </w:r>
      <w:r w:rsidRPr="004E0A37">
        <w:rPr>
          <w:rFonts w:hint="cs"/>
          <w:spacing w:val="0"/>
          <w:sz w:val="20"/>
          <w:rtl/>
        </w:rPr>
        <w:t>/يناير</w:t>
      </w:r>
      <w:r w:rsidRPr="004E0A37">
        <w:rPr>
          <w:spacing w:val="0"/>
          <w:sz w:val="20"/>
          <w:rtl/>
        </w:rPr>
        <w:t xml:space="preserve"> 2001؛</w:t>
      </w:r>
    </w:p>
    <w:p w:rsidR="004E0A37" w:rsidRPr="004E0A37" w:rsidRDefault="004E0A37" w:rsidP="004E0A37">
      <w:pPr>
        <w:pStyle w:val="SingleTxtGA"/>
        <w:jc w:val="lowKashida"/>
        <w:rPr>
          <w:rFonts w:hint="cs"/>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 xml:space="preserve">اعتماد </w:t>
      </w:r>
      <w:r w:rsidRPr="004E0A37">
        <w:rPr>
          <w:rFonts w:hint="cs"/>
          <w:spacing w:val="0"/>
          <w:sz w:val="20"/>
          <w:rtl/>
        </w:rPr>
        <w:t>ال</w:t>
      </w:r>
      <w:r w:rsidRPr="004E0A37">
        <w:rPr>
          <w:spacing w:val="0"/>
          <w:sz w:val="20"/>
          <w:rtl/>
        </w:rPr>
        <w:t>قانون</w:t>
      </w:r>
      <w:r w:rsidRPr="004E0A37">
        <w:rPr>
          <w:rFonts w:hint="cs"/>
          <w:spacing w:val="0"/>
          <w:sz w:val="20"/>
          <w:rtl/>
        </w:rPr>
        <w:t xml:space="preserve"> المتعلق</w:t>
      </w:r>
      <w:r w:rsidRPr="004E0A37">
        <w:rPr>
          <w:spacing w:val="0"/>
          <w:sz w:val="20"/>
          <w:rtl/>
        </w:rPr>
        <w:t xml:space="preserve"> </w:t>
      </w:r>
      <w:r w:rsidRPr="004E0A37">
        <w:rPr>
          <w:rFonts w:hint="cs"/>
          <w:spacing w:val="0"/>
          <w:sz w:val="20"/>
          <w:rtl/>
        </w:rPr>
        <w:t>ب</w:t>
      </w:r>
      <w:r w:rsidRPr="004E0A37">
        <w:rPr>
          <w:spacing w:val="0"/>
          <w:sz w:val="20"/>
          <w:rtl/>
        </w:rPr>
        <w:t xml:space="preserve">إجراءات الاعتقال </w:t>
      </w:r>
      <w:r w:rsidRPr="004E0A37">
        <w:rPr>
          <w:rFonts w:hint="cs"/>
          <w:spacing w:val="0"/>
          <w:sz w:val="20"/>
          <w:rtl/>
        </w:rPr>
        <w:t>وشروطه</w:t>
      </w:r>
      <w:r w:rsidRPr="004E0A37">
        <w:rPr>
          <w:spacing w:val="0"/>
          <w:sz w:val="20"/>
          <w:rtl/>
        </w:rPr>
        <w:t xml:space="preserve"> في عام 2003</w:t>
      </w:r>
      <w:r w:rsidRPr="004E0A37">
        <w:rPr>
          <w:rFonts w:hint="cs"/>
          <w:spacing w:val="0"/>
          <w:sz w:val="20"/>
          <w:rtl/>
        </w:rPr>
        <w:t>؛</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r>
      <w:r w:rsidRPr="004E0A37">
        <w:rPr>
          <w:spacing w:val="0"/>
          <w:sz w:val="20"/>
          <w:rtl/>
        </w:rPr>
        <w:t xml:space="preserve">إقرار </w:t>
      </w:r>
      <w:r w:rsidRPr="004E0A37">
        <w:rPr>
          <w:rFonts w:hint="cs"/>
          <w:spacing w:val="0"/>
          <w:sz w:val="20"/>
          <w:rtl/>
        </w:rPr>
        <w:t>ال</w:t>
      </w:r>
      <w:r w:rsidRPr="004E0A37">
        <w:rPr>
          <w:spacing w:val="0"/>
          <w:sz w:val="20"/>
          <w:rtl/>
        </w:rPr>
        <w:t xml:space="preserve">قانون </w:t>
      </w:r>
      <w:r w:rsidRPr="004E0A37">
        <w:rPr>
          <w:rFonts w:hint="cs"/>
          <w:spacing w:val="0"/>
          <w:sz w:val="20"/>
          <w:rtl/>
        </w:rPr>
        <w:t>ال</w:t>
      </w:r>
      <w:r w:rsidRPr="004E0A37">
        <w:rPr>
          <w:spacing w:val="0"/>
          <w:sz w:val="20"/>
          <w:rtl/>
        </w:rPr>
        <w:t xml:space="preserve">جديد بشأن </w:t>
      </w:r>
      <w:r w:rsidRPr="004E0A37">
        <w:rPr>
          <w:rFonts w:hint="cs"/>
          <w:spacing w:val="0"/>
          <w:sz w:val="20"/>
          <w:rtl/>
        </w:rPr>
        <w:t>إتاحة</w:t>
      </w:r>
      <w:r w:rsidRPr="004E0A37">
        <w:rPr>
          <w:spacing w:val="0"/>
          <w:sz w:val="20"/>
          <w:rtl/>
        </w:rPr>
        <w:t xml:space="preserve"> </w:t>
      </w:r>
      <w:r w:rsidRPr="004E0A37">
        <w:rPr>
          <w:rFonts w:hint="cs"/>
          <w:spacing w:val="0"/>
          <w:sz w:val="20"/>
          <w:rtl/>
        </w:rPr>
        <w:t>مركز</w:t>
      </w:r>
      <w:r w:rsidRPr="004E0A37">
        <w:rPr>
          <w:spacing w:val="0"/>
          <w:sz w:val="20"/>
          <w:rtl/>
        </w:rPr>
        <w:t xml:space="preserve"> اللاجئ والحماية التكميلية </w:t>
      </w:r>
      <w:r w:rsidRPr="004E0A37">
        <w:rPr>
          <w:rFonts w:hint="cs"/>
          <w:spacing w:val="0"/>
          <w:sz w:val="20"/>
          <w:rtl/>
        </w:rPr>
        <w:t>و</w:t>
      </w:r>
      <w:r w:rsidRPr="004E0A37">
        <w:rPr>
          <w:spacing w:val="0"/>
          <w:sz w:val="20"/>
          <w:rtl/>
        </w:rPr>
        <w:t>المؤقتة للمواطنين الأجانب والأشخاص عديمي الجنسية في عام 2008</w:t>
      </w:r>
      <w:r w:rsidRPr="004E0A37">
        <w:rPr>
          <w:rFonts w:hint="cs"/>
          <w:spacing w:val="0"/>
          <w:sz w:val="20"/>
          <w:rtl/>
        </w:rPr>
        <w:t>.</w:t>
      </w:r>
    </w:p>
    <w:p w:rsidR="004E0A37" w:rsidRPr="004E0A37" w:rsidRDefault="0043712E" w:rsidP="00C12184">
      <w:pPr>
        <w:pStyle w:val="H23GA"/>
        <w:tabs>
          <w:tab w:val="left" w:pos="1925"/>
        </w:tabs>
        <w:rPr>
          <w:rtl/>
        </w:rPr>
      </w:pPr>
      <w:r>
        <w:rPr>
          <w:rtl/>
        </w:rPr>
        <w:br w:type="page"/>
      </w:r>
      <w:r w:rsidR="00E0497A">
        <w:rPr>
          <w:rFonts w:hint="cs"/>
          <w:rtl/>
        </w:rPr>
        <w:tab/>
      </w:r>
      <w:r w:rsidR="004E0A37" w:rsidRPr="004E0A37">
        <w:rPr>
          <w:rFonts w:hint="cs"/>
          <w:rtl/>
        </w:rPr>
        <w:tab/>
        <w:t>جيم-</w:t>
      </w:r>
      <w:r w:rsidR="004E0A37" w:rsidRPr="004E0A37">
        <w:rPr>
          <w:rFonts w:hint="cs"/>
          <w:rtl/>
        </w:rPr>
        <w:tab/>
      </w:r>
      <w:r w:rsidR="004E0A37" w:rsidRPr="004E0A37">
        <w:rPr>
          <w:rtl/>
        </w:rPr>
        <w:t>دواعي القلق الرئيسية والتوصيات</w:t>
      </w:r>
    </w:p>
    <w:p w:rsidR="004E0A37" w:rsidRPr="004E0A37" w:rsidRDefault="004E0A37" w:rsidP="00781CE0">
      <w:pPr>
        <w:pStyle w:val="H23GA"/>
        <w:rPr>
          <w:rtl/>
          <w:lang w:val="fr-CH"/>
        </w:rPr>
      </w:pPr>
      <w:r w:rsidRPr="004E0A37">
        <w:rPr>
          <w:rFonts w:hint="cs"/>
          <w:rtl/>
          <w:lang w:val="fr-CH"/>
        </w:rPr>
        <w:tab/>
      </w:r>
      <w:r w:rsidRPr="004E0A37">
        <w:rPr>
          <w:rFonts w:hint="cs"/>
          <w:rtl/>
          <w:lang w:val="fr-CH"/>
        </w:rPr>
        <w:tab/>
      </w:r>
      <w:r w:rsidRPr="004E0A37">
        <w:rPr>
          <w:rtl/>
          <w:lang w:val="fr-CH"/>
        </w:rPr>
        <w:t xml:space="preserve">الضمانات القانونية الأساسية </w:t>
      </w:r>
    </w:p>
    <w:p w:rsidR="004E0A37" w:rsidRPr="004E0A37" w:rsidRDefault="004E0A37" w:rsidP="003D48E7">
      <w:pPr>
        <w:pStyle w:val="SingleTxtGA"/>
        <w:jc w:val="lowKashida"/>
        <w:rPr>
          <w:spacing w:val="0"/>
          <w:sz w:val="20"/>
          <w:rtl/>
        </w:rPr>
      </w:pPr>
      <w:r w:rsidRPr="004E0A37">
        <w:rPr>
          <w:rFonts w:hint="cs"/>
          <w:spacing w:val="0"/>
          <w:sz w:val="20"/>
          <w:rtl/>
        </w:rPr>
        <w:t>(6)</w:t>
      </w:r>
      <w:r w:rsidRPr="004E0A37">
        <w:rPr>
          <w:rFonts w:hint="cs"/>
          <w:spacing w:val="0"/>
          <w:sz w:val="20"/>
          <w:rtl/>
        </w:rPr>
        <w:tab/>
      </w:r>
      <w:r w:rsidRPr="004E0A37">
        <w:rPr>
          <w:spacing w:val="0"/>
          <w:sz w:val="20"/>
          <w:rtl/>
        </w:rPr>
        <w:t xml:space="preserve">تشعر اللجنة بقلق بالغ إزاء </w:t>
      </w:r>
      <w:r w:rsidRPr="004E0A37">
        <w:rPr>
          <w:rFonts w:hint="cs"/>
          <w:spacing w:val="0"/>
          <w:sz w:val="20"/>
          <w:rtl/>
        </w:rPr>
        <w:t xml:space="preserve">ما ورد من </w:t>
      </w:r>
      <w:r w:rsidRPr="004E0A37">
        <w:rPr>
          <w:spacing w:val="0"/>
          <w:sz w:val="20"/>
          <w:rtl/>
        </w:rPr>
        <w:t>تقارير عديد</w:t>
      </w:r>
      <w:r w:rsidRPr="004E0A37">
        <w:rPr>
          <w:rFonts w:hint="cs"/>
          <w:spacing w:val="0"/>
          <w:sz w:val="20"/>
          <w:rtl/>
        </w:rPr>
        <w:t>ة ومتسقة تفيد بحرمان</w:t>
      </w:r>
      <w:r w:rsidRPr="004E0A37">
        <w:rPr>
          <w:spacing w:val="0"/>
          <w:sz w:val="20"/>
          <w:rtl/>
        </w:rPr>
        <w:t xml:space="preserve"> المحتجزين </w:t>
      </w:r>
      <w:r w:rsidRPr="004E0A37">
        <w:rPr>
          <w:rFonts w:hint="cs"/>
          <w:spacing w:val="0"/>
          <w:sz w:val="20"/>
          <w:rtl/>
        </w:rPr>
        <w:t>في كثير من الأحيان</w:t>
      </w:r>
      <w:r w:rsidRPr="004E0A37">
        <w:rPr>
          <w:spacing w:val="0"/>
          <w:sz w:val="20"/>
          <w:rtl/>
        </w:rPr>
        <w:t xml:space="preserve"> من الضمانات القانونية الأساسية </w:t>
      </w:r>
      <w:r w:rsidRPr="004E0A37">
        <w:rPr>
          <w:rFonts w:hint="cs"/>
          <w:spacing w:val="0"/>
          <w:sz w:val="20"/>
          <w:rtl/>
        </w:rPr>
        <w:t>الجوهرية</w:t>
      </w:r>
      <w:r w:rsidRPr="004E0A37">
        <w:rPr>
          <w:spacing w:val="0"/>
          <w:sz w:val="20"/>
          <w:rtl/>
        </w:rPr>
        <w:t xml:space="preserve">، بما في ذلك </w:t>
      </w:r>
      <w:r w:rsidRPr="004E0A37">
        <w:rPr>
          <w:rFonts w:hint="cs"/>
          <w:spacing w:val="0"/>
          <w:sz w:val="20"/>
          <w:rtl/>
        </w:rPr>
        <w:t>الاستعانة على الفور ب</w:t>
      </w:r>
      <w:r w:rsidRPr="004E0A37">
        <w:rPr>
          <w:spacing w:val="0"/>
          <w:sz w:val="20"/>
          <w:rtl/>
        </w:rPr>
        <w:t>محام وطبيب والحق في الاتصال بأفراد الأسرة</w:t>
      </w:r>
      <w:r w:rsidRPr="004E0A37">
        <w:rPr>
          <w:rFonts w:hint="cs"/>
          <w:spacing w:val="0"/>
          <w:sz w:val="20"/>
          <w:rtl/>
        </w:rPr>
        <w:t>،</w:t>
      </w:r>
      <w:r w:rsidR="003833F8">
        <w:rPr>
          <w:rFonts w:hint="cs"/>
          <w:spacing w:val="0"/>
          <w:sz w:val="20"/>
          <w:rtl/>
        </w:rPr>
        <w:t xml:space="preserve"> علماً </w:t>
      </w:r>
      <w:r w:rsidRPr="004E0A37">
        <w:rPr>
          <w:rFonts w:hint="cs"/>
          <w:spacing w:val="0"/>
          <w:sz w:val="20"/>
          <w:rtl/>
        </w:rPr>
        <w:t>بأن</w:t>
      </w:r>
      <w:r w:rsidRPr="004E0A37">
        <w:rPr>
          <w:spacing w:val="0"/>
          <w:sz w:val="20"/>
          <w:rtl/>
        </w:rPr>
        <w:t xml:space="preserve"> هذا </w:t>
      </w:r>
      <w:r w:rsidRPr="004E0A37">
        <w:rPr>
          <w:rFonts w:hint="cs"/>
          <w:spacing w:val="0"/>
          <w:sz w:val="20"/>
          <w:rtl/>
        </w:rPr>
        <w:t xml:space="preserve">الوضع يتعلق </w:t>
      </w:r>
      <w:r w:rsidRPr="004E0A37">
        <w:rPr>
          <w:spacing w:val="0"/>
          <w:sz w:val="20"/>
          <w:rtl/>
        </w:rPr>
        <w:t xml:space="preserve">بشكل خاص </w:t>
      </w:r>
      <w:r w:rsidRPr="004E0A37">
        <w:rPr>
          <w:rFonts w:hint="cs"/>
          <w:spacing w:val="0"/>
          <w:sz w:val="20"/>
          <w:rtl/>
        </w:rPr>
        <w:t>ب</w:t>
      </w:r>
      <w:r w:rsidRPr="004E0A37">
        <w:rPr>
          <w:spacing w:val="0"/>
          <w:sz w:val="20"/>
          <w:rtl/>
        </w:rPr>
        <w:t xml:space="preserve">المعتقلين </w:t>
      </w:r>
      <w:r w:rsidRPr="004E0A37">
        <w:rPr>
          <w:rFonts w:hint="cs"/>
          <w:spacing w:val="0"/>
          <w:sz w:val="20"/>
          <w:rtl/>
        </w:rPr>
        <w:t xml:space="preserve">الذين </w:t>
      </w:r>
      <w:r w:rsidRPr="004E0A37">
        <w:rPr>
          <w:spacing w:val="0"/>
          <w:sz w:val="20"/>
          <w:rtl/>
        </w:rPr>
        <w:t xml:space="preserve">اتهموا بموجب المادة 293 من القانون الجنائي. </w:t>
      </w:r>
      <w:r w:rsidRPr="004E0A37">
        <w:rPr>
          <w:rFonts w:hint="cs"/>
          <w:spacing w:val="0"/>
          <w:sz w:val="20"/>
          <w:rtl/>
        </w:rPr>
        <w:t>و</w:t>
      </w:r>
      <w:r w:rsidRPr="004E0A37">
        <w:rPr>
          <w:spacing w:val="0"/>
          <w:sz w:val="20"/>
          <w:rtl/>
        </w:rPr>
        <w:t xml:space="preserve">تشمل مثل هذه التقارير حالات </w:t>
      </w:r>
      <w:r w:rsidRPr="004E0A37">
        <w:rPr>
          <w:rFonts w:hint="cs"/>
          <w:spacing w:val="0"/>
          <w:sz w:val="20"/>
          <w:rtl/>
        </w:rPr>
        <w:t>أثارها بصورة مشتركة عدد من</w:t>
      </w:r>
      <w:r w:rsidRPr="004E0A37">
        <w:rPr>
          <w:spacing w:val="0"/>
          <w:sz w:val="20"/>
          <w:rtl/>
        </w:rPr>
        <w:t xml:space="preserve"> المكلفين بولايات في إطار الإجراءات</w:t>
      </w:r>
      <w:r w:rsidRPr="004E0A37">
        <w:rPr>
          <w:rFonts w:hint="cs"/>
          <w:spacing w:val="0"/>
          <w:sz w:val="20"/>
          <w:rtl/>
        </w:rPr>
        <w:t xml:space="preserve"> الخاصة</w:t>
      </w:r>
      <w:r w:rsidRPr="004E0A37">
        <w:rPr>
          <w:spacing w:val="0"/>
          <w:sz w:val="20"/>
          <w:rtl/>
        </w:rPr>
        <w:t xml:space="preserve">، بما في ذلك المقرر الخاص المعني بالتعذيب وغيره من ضروب المعاملة أو العقوبة القاسية أو اللاإنسانية أو المهينة، والمتعلقة </w:t>
      </w:r>
      <w:r w:rsidRPr="004E0A37">
        <w:rPr>
          <w:rFonts w:hint="cs"/>
          <w:spacing w:val="0"/>
          <w:sz w:val="20"/>
          <w:rtl/>
        </w:rPr>
        <w:t>بعدد من الأشخاص منهم،</w:t>
      </w:r>
      <w:r w:rsidRPr="004E0A37">
        <w:rPr>
          <w:spacing w:val="0"/>
          <w:sz w:val="20"/>
          <w:rtl/>
        </w:rPr>
        <w:t xml:space="preserve"> </w:t>
      </w:r>
      <w:r w:rsidRPr="004E0A37">
        <w:rPr>
          <w:rFonts w:hint="cs"/>
          <w:spacing w:val="0"/>
          <w:sz w:val="20"/>
          <w:rtl/>
        </w:rPr>
        <w:t>أ</w:t>
      </w:r>
      <w:r w:rsidRPr="004E0A37">
        <w:rPr>
          <w:spacing w:val="0"/>
          <w:sz w:val="20"/>
          <w:rtl/>
        </w:rPr>
        <w:t xml:space="preserve">ندريه </w:t>
      </w:r>
      <w:r w:rsidRPr="004E0A37">
        <w:rPr>
          <w:rFonts w:hint="cs"/>
          <w:spacing w:val="0"/>
          <w:sz w:val="20"/>
          <w:rtl/>
        </w:rPr>
        <w:t>سانيكوف الذي ادعى</w:t>
      </w:r>
      <w:r w:rsidRPr="004E0A37">
        <w:rPr>
          <w:spacing w:val="0"/>
          <w:sz w:val="20"/>
          <w:rtl/>
        </w:rPr>
        <w:t xml:space="preserve"> خلال محاكم</w:t>
      </w:r>
      <w:r w:rsidRPr="004E0A37">
        <w:rPr>
          <w:rFonts w:hint="cs"/>
          <w:spacing w:val="0"/>
          <w:sz w:val="20"/>
          <w:rtl/>
        </w:rPr>
        <w:t>ته في أيار/</w:t>
      </w:r>
      <w:r w:rsidRPr="004E0A37">
        <w:rPr>
          <w:spacing w:val="0"/>
          <w:sz w:val="20"/>
          <w:rtl/>
        </w:rPr>
        <w:t>مايو 2011 حرمان</w:t>
      </w:r>
      <w:r w:rsidRPr="004E0A37">
        <w:rPr>
          <w:rFonts w:hint="cs"/>
          <w:spacing w:val="0"/>
          <w:sz w:val="20"/>
          <w:rtl/>
        </w:rPr>
        <w:t>ه</w:t>
      </w:r>
      <w:r w:rsidRPr="004E0A37">
        <w:rPr>
          <w:spacing w:val="0"/>
          <w:sz w:val="20"/>
          <w:rtl/>
        </w:rPr>
        <w:t xml:space="preserve"> من حقه في </w:t>
      </w:r>
      <w:r w:rsidRPr="004E0A37">
        <w:rPr>
          <w:rFonts w:hint="cs"/>
          <w:spacing w:val="0"/>
          <w:sz w:val="20"/>
          <w:rtl/>
        </w:rPr>
        <w:t>الاستعانة على الفور ب</w:t>
      </w:r>
      <w:r w:rsidRPr="004E0A37">
        <w:rPr>
          <w:spacing w:val="0"/>
          <w:sz w:val="20"/>
          <w:rtl/>
        </w:rPr>
        <w:t xml:space="preserve">محام </w:t>
      </w:r>
      <w:r w:rsidRPr="004E0A37">
        <w:rPr>
          <w:rFonts w:hint="cs"/>
          <w:spacing w:val="0"/>
          <w:sz w:val="20"/>
          <w:rtl/>
        </w:rPr>
        <w:t>وا</w:t>
      </w:r>
      <w:r w:rsidRPr="004E0A37">
        <w:rPr>
          <w:spacing w:val="0"/>
          <w:sz w:val="20"/>
          <w:rtl/>
        </w:rPr>
        <w:t xml:space="preserve">لاتصال </w:t>
      </w:r>
      <w:r w:rsidRPr="004E0A37">
        <w:rPr>
          <w:rFonts w:hint="cs"/>
          <w:spacing w:val="0"/>
          <w:sz w:val="20"/>
          <w:rtl/>
        </w:rPr>
        <w:t>ب</w:t>
      </w:r>
      <w:r w:rsidRPr="004E0A37">
        <w:rPr>
          <w:spacing w:val="0"/>
          <w:sz w:val="20"/>
          <w:rtl/>
        </w:rPr>
        <w:t xml:space="preserve">الأسرة </w:t>
      </w:r>
      <w:r w:rsidRPr="004E0A37">
        <w:rPr>
          <w:rFonts w:hint="cs"/>
          <w:spacing w:val="0"/>
          <w:sz w:val="20"/>
          <w:rtl/>
        </w:rPr>
        <w:t xml:space="preserve">والحصول </w:t>
      </w:r>
      <w:r w:rsidRPr="004E0A37">
        <w:rPr>
          <w:spacing w:val="0"/>
          <w:sz w:val="20"/>
          <w:rtl/>
        </w:rPr>
        <w:t xml:space="preserve">على العلاج الطبي على الرغم من </w:t>
      </w:r>
      <w:r w:rsidRPr="004E0A37">
        <w:rPr>
          <w:rFonts w:hint="cs"/>
          <w:spacing w:val="0"/>
          <w:sz w:val="20"/>
          <w:rtl/>
        </w:rPr>
        <w:t>إصابته بجروح أثناء</w:t>
      </w:r>
      <w:r w:rsidRPr="004E0A37">
        <w:rPr>
          <w:spacing w:val="0"/>
          <w:sz w:val="20"/>
          <w:rtl/>
        </w:rPr>
        <w:t xml:space="preserve"> قبض السلطات علي</w:t>
      </w:r>
      <w:r w:rsidRPr="004E0A37">
        <w:rPr>
          <w:rFonts w:hint="cs"/>
          <w:spacing w:val="0"/>
          <w:sz w:val="20"/>
          <w:rtl/>
        </w:rPr>
        <w:t>ه</w:t>
      </w:r>
      <w:r w:rsidRPr="004E0A37">
        <w:rPr>
          <w:spacing w:val="0"/>
          <w:sz w:val="20"/>
          <w:rtl/>
        </w:rPr>
        <w:t>، وفلاديمي</w:t>
      </w:r>
      <w:r w:rsidRPr="004E0A37">
        <w:rPr>
          <w:rFonts w:hint="cs"/>
          <w:spacing w:val="0"/>
          <w:sz w:val="20"/>
          <w:rtl/>
        </w:rPr>
        <w:t>ر نيكلاييف</w:t>
      </w:r>
      <w:r w:rsidRPr="004E0A37">
        <w:rPr>
          <w:spacing w:val="0"/>
          <w:sz w:val="20"/>
          <w:rtl/>
        </w:rPr>
        <w:t xml:space="preserve"> </w:t>
      </w:r>
      <w:r w:rsidRPr="004E0A37">
        <w:rPr>
          <w:rFonts w:hint="cs"/>
          <w:spacing w:val="0"/>
          <w:sz w:val="20"/>
          <w:rtl/>
        </w:rPr>
        <w:t xml:space="preserve">(الفقرة 249 من الوثيقة </w:t>
      </w:r>
      <w:r w:rsidRPr="004E0A37">
        <w:rPr>
          <w:spacing w:val="0"/>
          <w:sz w:val="20"/>
        </w:rPr>
        <w:t>(A/HRC/17/27/Add.1</w:t>
      </w:r>
      <w:r w:rsidRPr="004E0A37">
        <w:rPr>
          <w:spacing w:val="0"/>
          <w:sz w:val="20"/>
          <w:rtl/>
        </w:rPr>
        <w:t xml:space="preserve">. </w:t>
      </w:r>
      <w:r w:rsidRPr="004E0A37">
        <w:rPr>
          <w:rFonts w:hint="cs"/>
          <w:spacing w:val="0"/>
          <w:sz w:val="20"/>
          <w:rtl/>
        </w:rPr>
        <w:t>وفي حين تحيط اللجنة</w:t>
      </w:r>
      <w:r w:rsidR="003833F8">
        <w:rPr>
          <w:rFonts w:hint="cs"/>
          <w:spacing w:val="0"/>
          <w:sz w:val="20"/>
          <w:rtl/>
        </w:rPr>
        <w:t xml:space="preserve"> علماً </w:t>
      </w:r>
      <w:r w:rsidRPr="004E0A37">
        <w:rPr>
          <w:rFonts w:hint="cs"/>
          <w:spacing w:val="0"/>
          <w:sz w:val="20"/>
          <w:rtl/>
        </w:rPr>
        <w:t>بال</w:t>
      </w:r>
      <w:r w:rsidRPr="004E0A37">
        <w:rPr>
          <w:spacing w:val="0"/>
          <w:sz w:val="20"/>
          <w:rtl/>
        </w:rPr>
        <w:t>قانون</w:t>
      </w:r>
      <w:r w:rsidRPr="004E0A37">
        <w:rPr>
          <w:rFonts w:hint="cs"/>
          <w:spacing w:val="0"/>
          <w:sz w:val="20"/>
          <w:rtl/>
        </w:rPr>
        <w:t xml:space="preserve"> رقم</w:t>
      </w:r>
      <w:r w:rsidRPr="004E0A37">
        <w:rPr>
          <w:spacing w:val="0"/>
          <w:sz w:val="20"/>
        </w:rPr>
        <w:t xml:space="preserve"> 215-Z </w:t>
      </w:r>
      <w:r w:rsidRPr="004E0A37">
        <w:rPr>
          <w:rFonts w:hint="cs"/>
          <w:spacing w:val="0"/>
          <w:sz w:val="20"/>
          <w:rtl/>
        </w:rPr>
        <w:t xml:space="preserve">المؤرخ </w:t>
      </w:r>
      <w:r w:rsidRPr="004E0A37">
        <w:rPr>
          <w:spacing w:val="0"/>
          <w:sz w:val="20"/>
          <w:rtl/>
        </w:rPr>
        <w:t xml:space="preserve">في 16 </w:t>
      </w:r>
      <w:r w:rsidRPr="004E0A37">
        <w:rPr>
          <w:rFonts w:hint="cs"/>
          <w:spacing w:val="0"/>
          <w:sz w:val="20"/>
          <w:rtl/>
        </w:rPr>
        <w:t>حزيران/يونيه</w:t>
      </w:r>
      <w:r w:rsidRPr="004E0A37">
        <w:rPr>
          <w:spacing w:val="0"/>
          <w:sz w:val="20"/>
          <w:rtl/>
        </w:rPr>
        <w:t xml:space="preserve"> 2003 </w:t>
      </w:r>
      <w:r w:rsidRPr="004E0A37">
        <w:rPr>
          <w:rFonts w:hint="cs"/>
          <w:spacing w:val="0"/>
          <w:sz w:val="20"/>
          <w:rtl/>
        </w:rPr>
        <w:t>بشأن</w:t>
      </w:r>
      <w:r w:rsidRPr="004E0A37">
        <w:rPr>
          <w:spacing w:val="0"/>
          <w:sz w:val="20"/>
          <w:rtl/>
        </w:rPr>
        <w:t xml:space="preserve"> إجراءات الاعتقال </w:t>
      </w:r>
      <w:r w:rsidRPr="004E0A37">
        <w:rPr>
          <w:rFonts w:hint="cs"/>
          <w:spacing w:val="0"/>
          <w:sz w:val="20"/>
          <w:rtl/>
        </w:rPr>
        <w:t>وشروطه</w:t>
      </w:r>
      <w:r w:rsidRPr="004E0A37">
        <w:rPr>
          <w:spacing w:val="0"/>
          <w:sz w:val="20"/>
          <w:rtl/>
        </w:rPr>
        <w:t>، فإن</w:t>
      </w:r>
      <w:r w:rsidRPr="004E0A37">
        <w:rPr>
          <w:rFonts w:hint="cs"/>
          <w:spacing w:val="0"/>
          <w:sz w:val="20"/>
          <w:rtl/>
        </w:rPr>
        <w:t xml:space="preserve">ها </w:t>
      </w:r>
      <w:r w:rsidRPr="004E0A37">
        <w:rPr>
          <w:spacing w:val="0"/>
          <w:sz w:val="20"/>
          <w:rtl/>
        </w:rPr>
        <w:t>تعرب عن قلقها الشديد إزاء</w:t>
      </w:r>
      <w:r w:rsidRPr="004E0A37">
        <w:rPr>
          <w:rFonts w:hint="cs"/>
          <w:spacing w:val="0"/>
          <w:sz w:val="20"/>
          <w:rtl/>
        </w:rPr>
        <w:t xml:space="preserve"> عدم قيام الدولة الطرف عملياً بتوفير </w:t>
      </w:r>
      <w:r w:rsidRPr="004E0A37">
        <w:rPr>
          <w:spacing w:val="0"/>
          <w:sz w:val="20"/>
          <w:rtl/>
        </w:rPr>
        <w:t>الضمانات القانونية الأساسية</w:t>
      </w:r>
      <w:r w:rsidRPr="004E0A37">
        <w:rPr>
          <w:rFonts w:hint="cs"/>
          <w:spacing w:val="0"/>
          <w:sz w:val="20"/>
          <w:rtl/>
        </w:rPr>
        <w:t>، منذ اللحظات الأولى للاحتجاز (المواد 2 و11 و12)، ل</w:t>
      </w:r>
      <w:r w:rsidRPr="004E0A37">
        <w:rPr>
          <w:spacing w:val="0"/>
          <w:sz w:val="20"/>
          <w:rtl/>
        </w:rPr>
        <w:t xml:space="preserve">جميع الأشخاص المحرومين من حريتهم، </w:t>
      </w:r>
      <w:r w:rsidRPr="004E0A37">
        <w:rPr>
          <w:rFonts w:hint="cs"/>
          <w:spacing w:val="0"/>
          <w:sz w:val="20"/>
          <w:rtl/>
        </w:rPr>
        <w:t xml:space="preserve">بمن فيهم المحتجزين في مراكز </w:t>
      </w:r>
      <w:r w:rsidRPr="004E0A37">
        <w:rPr>
          <w:spacing w:val="0"/>
          <w:sz w:val="20"/>
          <w:rtl/>
        </w:rPr>
        <w:t xml:space="preserve">الاحتجاز السابق للمحاكمة </w:t>
      </w:r>
      <w:r w:rsidRPr="004E0A37">
        <w:rPr>
          <w:rFonts w:hint="cs"/>
          <w:spacing w:val="0"/>
          <w:sz w:val="20"/>
          <w:rtl/>
        </w:rPr>
        <w:t>التابعة ل</w:t>
      </w:r>
      <w:r w:rsidRPr="004E0A37">
        <w:rPr>
          <w:spacing w:val="0"/>
          <w:sz w:val="20"/>
          <w:rtl/>
        </w:rPr>
        <w:t>لجنة أمن الدولة و</w:t>
      </w:r>
      <w:r w:rsidRPr="004E0A37">
        <w:rPr>
          <w:rFonts w:hint="cs"/>
          <w:spacing w:val="0"/>
          <w:sz w:val="20"/>
          <w:rtl/>
        </w:rPr>
        <w:t>الأشخاص قيد</w:t>
      </w:r>
      <w:r w:rsidRPr="004E0A37">
        <w:rPr>
          <w:spacing w:val="0"/>
          <w:sz w:val="20"/>
          <w:rtl/>
        </w:rPr>
        <w:t xml:space="preserve"> </w:t>
      </w:r>
      <w:r w:rsidRPr="004E0A37">
        <w:rPr>
          <w:rFonts w:hint="cs"/>
          <w:spacing w:val="0"/>
          <w:sz w:val="20"/>
          <w:rtl/>
        </w:rPr>
        <w:t>الاحتجاز</w:t>
      </w:r>
      <w:r w:rsidRPr="004E0A37">
        <w:rPr>
          <w:spacing w:val="0"/>
          <w:sz w:val="20"/>
          <w:rtl/>
        </w:rPr>
        <w:t xml:space="preserve"> الإداري، </w:t>
      </w:r>
      <w:r w:rsidRPr="004E0A37">
        <w:rPr>
          <w:rFonts w:hint="cs"/>
          <w:spacing w:val="0"/>
          <w:sz w:val="20"/>
          <w:rtl/>
        </w:rPr>
        <w:t xml:space="preserve">وذلك على </w:t>
      </w:r>
      <w:r w:rsidRPr="004E0A37">
        <w:rPr>
          <w:spacing w:val="0"/>
          <w:sz w:val="20"/>
          <w:rtl/>
        </w:rPr>
        <w:t xml:space="preserve">النحو المشار إليه في الفقرتين 13 و14 من تعليق اللجنة العام رقم 2(2008) بشأن تنفيذ </w:t>
      </w:r>
      <w:r w:rsidRPr="004E0A37">
        <w:rPr>
          <w:rFonts w:hint="cs"/>
          <w:spacing w:val="0"/>
          <w:sz w:val="20"/>
          <w:rtl/>
        </w:rPr>
        <w:t>الدول الأطراف للمادة 2.</w:t>
      </w:r>
    </w:p>
    <w:p w:rsidR="004E0A37" w:rsidRPr="0043712E" w:rsidRDefault="004E0A37" w:rsidP="004E0A37">
      <w:pPr>
        <w:pStyle w:val="SingleTxtGA"/>
        <w:jc w:val="lowKashida"/>
        <w:rPr>
          <w:rFonts w:hint="cs"/>
          <w:b/>
          <w:bCs/>
          <w:spacing w:val="0"/>
          <w:sz w:val="20"/>
          <w:rtl/>
        </w:rPr>
      </w:pPr>
      <w:r w:rsidRPr="0043712E">
        <w:rPr>
          <w:b/>
          <w:bCs/>
          <w:spacing w:val="0"/>
          <w:sz w:val="20"/>
          <w:rtl/>
        </w:rPr>
        <w:t xml:space="preserve">توصي اللجنة الدولة الطرف </w:t>
      </w:r>
      <w:r w:rsidRPr="0043712E">
        <w:rPr>
          <w:rFonts w:hint="cs"/>
          <w:b/>
          <w:bCs/>
          <w:spacing w:val="0"/>
          <w:sz w:val="20"/>
          <w:rtl/>
        </w:rPr>
        <w:t>بما يلي</w:t>
      </w:r>
      <w:r w:rsidRPr="0043712E">
        <w:rPr>
          <w:b/>
          <w:bCs/>
          <w:spacing w:val="0"/>
          <w:sz w:val="20"/>
          <w:rtl/>
        </w:rPr>
        <w:t>:</w:t>
      </w:r>
    </w:p>
    <w:p w:rsidR="004E0A37" w:rsidRPr="0043712E" w:rsidRDefault="004E0A37" w:rsidP="004E0A37">
      <w:pPr>
        <w:pStyle w:val="SingleTxtGA"/>
        <w:jc w:val="lowKashida"/>
        <w:rPr>
          <w:b/>
          <w:bCs/>
          <w:spacing w:val="0"/>
          <w:sz w:val="20"/>
          <w:rtl/>
        </w:rPr>
      </w:pPr>
      <w:r w:rsidRPr="0043712E">
        <w:rPr>
          <w:rFonts w:hint="cs"/>
          <w:b/>
          <w:bCs/>
          <w:spacing w:val="0"/>
          <w:sz w:val="20"/>
          <w:rtl/>
        </w:rPr>
        <w:tab/>
      </w:r>
      <w:r w:rsidRPr="0043712E">
        <w:rPr>
          <w:b/>
          <w:bCs/>
          <w:spacing w:val="0"/>
          <w:sz w:val="20"/>
          <w:rtl/>
        </w:rPr>
        <w:t>(أ)</w:t>
      </w:r>
      <w:r w:rsidRPr="0043712E">
        <w:rPr>
          <w:rFonts w:hint="cs"/>
          <w:b/>
          <w:bCs/>
          <w:spacing w:val="0"/>
          <w:sz w:val="20"/>
          <w:rtl/>
        </w:rPr>
        <w:tab/>
      </w:r>
      <w:r w:rsidRPr="0043712E">
        <w:rPr>
          <w:b/>
          <w:bCs/>
          <w:spacing w:val="0"/>
          <w:sz w:val="20"/>
          <w:rtl/>
        </w:rPr>
        <w:t xml:space="preserve">ضمان حصول جميع المحتجزين بموجب القانون </w:t>
      </w:r>
      <w:r w:rsidRPr="0043712E">
        <w:rPr>
          <w:rFonts w:hint="cs"/>
          <w:b/>
          <w:bCs/>
          <w:spacing w:val="0"/>
          <w:sz w:val="20"/>
          <w:rtl/>
        </w:rPr>
        <w:t>و</w:t>
      </w:r>
      <w:r w:rsidRPr="0043712E">
        <w:rPr>
          <w:b/>
          <w:bCs/>
          <w:spacing w:val="0"/>
          <w:sz w:val="20"/>
          <w:rtl/>
        </w:rPr>
        <w:t xml:space="preserve">من الناحية العملية على جميع الضمانات القانونية الأساسية منذ بداية احتجازهم، بما في ذلك حقهم في الاستعانة بسرعة بمحامٍ والخضوع لفحص طبي مستقل </w:t>
      </w:r>
      <w:r w:rsidRPr="0043712E">
        <w:rPr>
          <w:rFonts w:hint="cs"/>
          <w:b/>
          <w:bCs/>
          <w:spacing w:val="0"/>
          <w:sz w:val="20"/>
          <w:rtl/>
        </w:rPr>
        <w:t>و</w:t>
      </w:r>
      <w:r w:rsidRPr="0043712E">
        <w:rPr>
          <w:b/>
          <w:bCs/>
          <w:spacing w:val="0"/>
          <w:sz w:val="20"/>
          <w:rtl/>
        </w:rPr>
        <w:t>الاتصال بأفراد الأسرة وتعريفهم بحقوقهم ساعة الاحتجاز، بما في ذلك بالتهم الموجهة ضدهم والحق في المثول أمام قاضٍ على وجه السرعة؛</w:t>
      </w:r>
    </w:p>
    <w:p w:rsidR="004E0A37" w:rsidRPr="0043712E" w:rsidRDefault="004E0A37" w:rsidP="004E0A37">
      <w:pPr>
        <w:pStyle w:val="SingleTxtGA"/>
        <w:jc w:val="lowKashida"/>
        <w:rPr>
          <w:b/>
          <w:bCs/>
          <w:spacing w:val="0"/>
          <w:sz w:val="20"/>
          <w:rtl/>
        </w:rPr>
      </w:pPr>
      <w:r w:rsidRPr="0043712E">
        <w:rPr>
          <w:rFonts w:hint="cs"/>
          <w:b/>
          <w:bCs/>
          <w:spacing w:val="0"/>
          <w:sz w:val="20"/>
          <w:rtl/>
        </w:rPr>
        <w:tab/>
      </w:r>
      <w:r w:rsidRPr="0043712E">
        <w:rPr>
          <w:b/>
          <w:bCs/>
          <w:spacing w:val="0"/>
          <w:sz w:val="20"/>
          <w:rtl/>
        </w:rPr>
        <w:t>(ب)</w:t>
      </w:r>
      <w:r w:rsidRPr="0043712E">
        <w:rPr>
          <w:rFonts w:hint="cs"/>
          <w:b/>
          <w:bCs/>
          <w:spacing w:val="0"/>
          <w:sz w:val="20"/>
          <w:rtl/>
        </w:rPr>
        <w:tab/>
      </w:r>
      <w:r w:rsidRPr="0043712E">
        <w:rPr>
          <w:b/>
          <w:bCs/>
          <w:spacing w:val="0"/>
          <w:sz w:val="20"/>
          <w:rtl/>
        </w:rPr>
        <w:t xml:space="preserve">ضمان </w:t>
      </w:r>
      <w:r w:rsidRPr="0043712E">
        <w:rPr>
          <w:rFonts w:hint="cs"/>
          <w:b/>
          <w:bCs/>
          <w:spacing w:val="0"/>
          <w:sz w:val="20"/>
          <w:rtl/>
        </w:rPr>
        <w:t xml:space="preserve">حق </w:t>
      </w:r>
      <w:r w:rsidRPr="0043712E">
        <w:rPr>
          <w:b/>
          <w:bCs/>
          <w:spacing w:val="0"/>
          <w:sz w:val="20"/>
          <w:rtl/>
        </w:rPr>
        <w:t>الأشخاص المحتجزين، بمن فيهم</w:t>
      </w:r>
      <w:r w:rsidRPr="0043712E">
        <w:rPr>
          <w:rFonts w:hint="cs"/>
          <w:b/>
          <w:bCs/>
          <w:spacing w:val="0"/>
          <w:sz w:val="20"/>
          <w:rtl/>
        </w:rPr>
        <w:t xml:space="preserve"> الأشخاص</w:t>
      </w:r>
      <w:r w:rsidRPr="0043712E">
        <w:rPr>
          <w:b/>
          <w:bCs/>
          <w:spacing w:val="0"/>
          <w:sz w:val="20"/>
          <w:rtl/>
        </w:rPr>
        <w:t xml:space="preserve"> رهن الاعتقال الإداري، </w:t>
      </w:r>
      <w:r w:rsidRPr="0043712E">
        <w:rPr>
          <w:rFonts w:hint="cs"/>
          <w:b/>
          <w:bCs/>
          <w:spacing w:val="0"/>
          <w:sz w:val="20"/>
          <w:rtl/>
        </w:rPr>
        <w:t xml:space="preserve">في </w:t>
      </w:r>
      <w:r w:rsidRPr="0043712E">
        <w:rPr>
          <w:b/>
          <w:bCs/>
          <w:spacing w:val="0"/>
          <w:sz w:val="20"/>
          <w:rtl/>
        </w:rPr>
        <w:t>الطعن في قانونية احتجازهم أو معامل</w:t>
      </w:r>
      <w:r w:rsidRPr="0043712E">
        <w:rPr>
          <w:rFonts w:hint="cs"/>
          <w:b/>
          <w:bCs/>
          <w:spacing w:val="0"/>
          <w:sz w:val="20"/>
          <w:rtl/>
        </w:rPr>
        <w:t>تهم؛</w:t>
      </w:r>
    </w:p>
    <w:p w:rsidR="004E0A37" w:rsidRPr="0043712E" w:rsidRDefault="004E0A37" w:rsidP="004E0A37">
      <w:pPr>
        <w:pStyle w:val="SingleTxtGA"/>
        <w:jc w:val="lowKashida"/>
        <w:rPr>
          <w:b/>
          <w:bCs/>
          <w:spacing w:val="0"/>
          <w:sz w:val="20"/>
          <w:rtl/>
        </w:rPr>
      </w:pPr>
      <w:r w:rsidRPr="0043712E">
        <w:rPr>
          <w:rFonts w:hint="cs"/>
          <w:b/>
          <w:bCs/>
          <w:spacing w:val="0"/>
          <w:sz w:val="20"/>
          <w:rtl/>
        </w:rPr>
        <w:tab/>
      </w:r>
      <w:r w:rsidRPr="0043712E">
        <w:rPr>
          <w:b/>
          <w:bCs/>
          <w:spacing w:val="0"/>
          <w:sz w:val="20"/>
          <w:rtl/>
        </w:rPr>
        <w:t>(ج)</w:t>
      </w:r>
      <w:r w:rsidRPr="0043712E">
        <w:rPr>
          <w:rFonts w:hint="cs"/>
          <w:b/>
          <w:bCs/>
          <w:spacing w:val="0"/>
          <w:sz w:val="20"/>
          <w:rtl/>
        </w:rPr>
        <w:tab/>
      </w:r>
      <w:r w:rsidRPr="0043712E">
        <w:rPr>
          <w:b/>
          <w:bCs/>
          <w:spacing w:val="0"/>
          <w:sz w:val="20"/>
          <w:rtl/>
        </w:rPr>
        <w:t>اتخاذ تدابير لضما</w:t>
      </w:r>
      <w:r w:rsidRPr="0043712E">
        <w:rPr>
          <w:rFonts w:hint="cs"/>
          <w:b/>
          <w:bCs/>
          <w:spacing w:val="0"/>
          <w:sz w:val="20"/>
          <w:rtl/>
        </w:rPr>
        <w:t xml:space="preserve">ن التسجيل السمعي </w:t>
      </w:r>
      <w:r w:rsidRPr="0043712E">
        <w:rPr>
          <w:b/>
          <w:bCs/>
          <w:spacing w:val="0"/>
          <w:sz w:val="20"/>
          <w:rtl/>
        </w:rPr>
        <w:t xml:space="preserve">أو </w:t>
      </w:r>
      <w:r w:rsidRPr="0043712E">
        <w:rPr>
          <w:rFonts w:hint="cs"/>
          <w:b/>
          <w:bCs/>
          <w:spacing w:val="0"/>
          <w:sz w:val="20"/>
          <w:rtl/>
        </w:rPr>
        <w:t>ال</w:t>
      </w:r>
      <w:r w:rsidRPr="0043712E">
        <w:rPr>
          <w:b/>
          <w:bCs/>
          <w:spacing w:val="0"/>
          <w:sz w:val="20"/>
          <w:rtl/>
        </w:rPr>
        <w:t>تصوير بالفيديو لجميع الاستجوابات في مراكز الشرطة ومرافق الاحتجاز كوسيلة إضافية لمنع التعذيب وسوء المعاملة.</w:t>
      </w:r>
    </w:p>
    <w:p w:rsidR="004E0A37" w:rsidRPr="004E0A37" w:rsidRDefault="004E0A37" w:rsidP="003D48E7">
      <w:pPr>
        <w:pStyle w:val="SingleTxtGA"/>
        <w:jc w:val="lowKashida"/>
        <w:rPr>
          <w:spacing w:val="0"/>
          <w:sz w:val="20"/>
          <w:rtl/>
        </w:rPr>
      </w:pPr>
      <w:r w:rsidRPr="004E0A37">
        <w:rPr>
          <w:rFonts w:hint="cs"/>
          <w:spacing w:val="0"/>
          <w:sz w:val="20"/>
          <w:rtl/>
        </w:rPr>
        <w:t>(</w:t>
      </w:r>
      <w:r w:rsidRPr="004E0A37">
        <w:rPr>
          <w:spacing w:val="0"/>
          <w:sz w:val="20"/>
          <w:rtl/>
        </w:rPr>
        <w:t>7</w:t>
      </w:r>
      <w:r w:rsidRPr="004E0A37">
        <w:rPr>
          <w:rFonts w:hint="cs"/>
          <w:spacing w:val="0"/>
          <w:sz w:val="20"/>
          <w:rtl/>
        </w:rPr>
        <w:t>)</w:t>
      </w:r>
      <w:r w:rsidRPr="004E0A37">
        <w:rPr>
          <w:rFonts w:hint="cs"/>
          <w:spacing w:val="0"/>
          <w:sz w:val="20"/>
          <w:rtl/>
        </w:rPr>
        <w:tab/>
      </w:r>
      <w:r w:rsidRPr="004E0A37">
        <w:rPr>
          <w:spacing w:val="0"/>
          <w:sz w:val="20"/>
          <w:rtl/>
        </w:rPr>
        <w:t xml:space="preserve">وتشعر اللجنة بالقلق </w:t>
      </w:r>
      <w:r w:rsidRPr="004E0A37">
        <w:rPr>
          <w:rFonts w:hint="cs"/>
          <w:spacing w:val="0"/>
          <w:sz w:val="20"/>
          <w:rtl/>
        </w:rPr>
        <w:t xml:space="preserve">إزاء </w:t>
      </w:r>
      <w:r w:rsidRPr="004E0A37">
        <w:rPr>
          <w:spacing w:val="0"/>
          <w:sz w:val="20"/>
          <w:rtl/>
        </w:rPr>
        <w:t xml:space="preserve">محدودية </w:t>
      </w:r>
      <w:r w:rsidRPr="004E0A37">
        <w:rPr>
          <w:rFonts w:hint="cs"/>
          <w:spacing w:val="0"/>
          <w:sz w:val="20"/>
          <w:rtl/>
        </w:rPr>
        <w:t>إطلاع</w:t>
      </w:r>
      <w:r w:rsidRPr="004E0A37">
        <w:rPr>
          <w:spacing w:val="0"/>
          <w:sz w:val="20"/>
          <w:rtl/>
        </w:rPr>
        <w:t xml:space="preserve"> أفراد العائلة ومحامي المعتقلين </w:t>
      </w:r>
      <w:r w:rsidRPr="004E0A37">
        <w:rPr>
          <w:rFonts w:hint="cs"/>
          <w:spacing w:val="0"/>
          <w:sz w:val="20"/>
          <w:rtl/>
        </w:rPr>
        <w:t>على</w:t>
      </w:r>
      <w:r w:rsidRPr="004E0A37">
        <w:rPr>
          <w:spacing w:val="0"/>
          <w:sz w:val="20"/>
          <w:rtl/>
        </w:rPr>
        <w:t xml:space="preserve"> السجل المركزي للمعتقلين. </w:t>
      </w:r>
      <w:r w:rsidRPr="004E0A37">
        <w:rPr>
          <w:rFonts w:hint="cs"/>
          <w:spacing w:val="0"/>
          <w:sz w:val="20"/>
          <w:rtl/>
        </w:rPr>
        <w:t>وتعرب عن أسفها</w:t>
      </w:r>
      <w:r w:rsidRPr="004E0A37">
        <w:rPr>
          <w:spacing w:val="0"/>
          <w:sz w:val="20"/>
          <w:rtl/>
        </w:rPr>
        <w:t xml:space="preserve"> أيضاً لعدم تسجيل </w:t>
      </w:r>
      <w:r w:rsidRPr="004E0A37">
        <w:rPr>
          <w:rFonts w:hint="cs"/>
          <w:spacing w:val="0"/>
          <w:sz w:val="20"/>
          <w:rtl/>
        </w:rPr>
        <w:t>ا</w:t>
      </w:r>
      <w:r w:rsidRPr="004E0A37">
        <w:rPr>
          <w:spacing w:val="0"/>
          <w:sz w:val="20"/>
          <w:rtl/>
        </w:rPr>
        <w:t>لمحتجزين</w:t>
      </w:r>
      <w:r w:rsidRPr="004E0A37">
        <w:rPr>
          <w:rFonts w:hint="cs"/>
          <w:spacing w:val="0"/>
          <w:sz w:val="20"/>
          <w:rtl/>
        </w:rPr>
        <w:t xml:space="preserve"> حسب الأصول</w:t>
      </w:r>
      <w:r w:rsidRPr="004E0A37">
        <w:rPr>
          <w:spacing w:val="0"/>
          <w:sz w:val="20"/>
          <w:rtl/>
        </w:rPr>
        <w:t xml:space="preserve"> (</w:t>
      </w:r>
      <w:r w:rsidRPr="004E0A37">
        <w:rPr>
          <w:rFonts w:hint="cs"/>
          <w:spacing w:val="0"/>
          <w:sz w:val="20"/>
          <w:rtl/>
        </w:rPr>
        <w:t>المواد </w:t>
      </w:r>
      <w:r w:rsidRPr="004E0A37">
        <w:rPr>
          <w:spacing w:val="0"/>
          <w:sz w:val="20"/>
          <w:rtl/>
        </w:rPr>
        <w:t xml:space="preserve">2 و11 </w:t>
      </w:r>
      <w:r w:rsidRPr="004E0A37">
        <w:rPr>
          <w:rFonts w:hint="cs"/>
          <w:spacing w:val="0"/>
          <w:sz w:val="20"/>
          <w:rtl/>
        </w:rPr>
        <w:t>و</w:t>
      </w:r>
      <w:r w:rsidRPr="004E0A37">
        <w:rPr>
          <w:spacing w:val="0"/>
          <w:sz w:val="20"/>
          <w:rtl/>
        </w:rPr>
        <w:t>12).</w:t>
      </w:r>
    </w:p>
    <w:p w:rsidR="004E0A37" w:rsidRPr="0043712E" w:rsidRDefault="004E0A37" w:rsidP="004E0A37">
      <w:pPr>
        <w:pStyle w:val="SingleTxtGA"/>
        <w:jc w:val="lowKashida"/>
        <w:rPr>
          <w:b/>
          <w:bCs/>
          <w:spacing w:val="0"/>
          <w:sz w:val="20"/>
          <w:rtl/>
        </w:rPr>
      </w:pPr>
      <w:r w:rsidRPr="0043712E">
        <w:rPr>
          <w:rFonts w:hint="cs"/>
          <w:b/>
          <w:bCs/>
          <w:spacing w:val="0"/>
          <w:sz w:val="20"/>
          <w:rtl/>
        </w:rPr>
        <w:tab/>
      </w:r>
      <w:r w:rsidRPr="0043712E">
        <w:rPr>
          <w:b/>
          <w:bCs/>
          <w:spacing w:val="0"/>
          <w:sz w:val="20"/>
          <w:rtl/>
        </w:rPr>
        <w:t xml:space="preserve">توصي اللجنة الدولة الطرف </w:t>
      </w:r>
      <w:r w:rsidRPr="0043712E">
        <w:rPr>
          <w:rFonts w:hint="cs"/>
          <w:b/>
          <w:bCs/>
          <w:spacing w:val="0"/>
          <w:sz w:val="20"/>
          <w:rtl/>
        </w:rPr>
        <w:t>ب</w:t>
      </w:r>
      <w:r w:rsidRPr="0043712E">
        <w:rPr>
          <w:b/>
          <w:bCs/>
          <w:spacing w:val="0"/>
          <w:sz w:val="20"/>
          <w:rtl/>
        </w:rPr>
        <w:t xml:space="preserve">ضمان </w:t>
      </w:r>
      <w:r w:rsidRPr="0043712E">
        <w:rPr>
          <w:rFonts w:hint="cs"/>
          <w:b/>
          <w:bCs/>
          <w:spacing w:val="0"/>
          <w:sz w:val="20"/>
          <w:rtl/>
        </w:rPr>
        <w:t>ال</w:t>
      </w:r>
      <w:r w:rsidRPr="0043712E">
        <w:rPr>
          <w:b/>
          <w:bCs/>
          <w:spacing w:val="0"/>
          <w:sz w:val="20"/>
          <w:rtl/>
        </w:rPr>
        <w:t>تسجيل الفوري لجميع الأشخاص المحرومين من حريتهم في أعقاب القبض</w:t>
      </w:r>
      <w:r w:rsidRPr="0043712E">
        <w:rPr>
          <w:rFonts w:hint="cs"/>
          <w:b/>
          <w:bCs/>
          <w:spacing w:val="0"/>
          <w:sz w:val="20"/>
          <w:rtl/>
        </w:rPr>
        <w:t xml:space="preserve"> عليهم</w:t>
      </w:r>
      <w:r w:rsidRPr="0043712E">
        <w:rPr>
          <w:b/>
          <w:bCs/>
          <w:spacing w:val="0"/>
          <w:sz w:val="20"/>
          <w:rtl/>
        </w:rPr>
        <w:t xml:space="preserve"> </w:t>
      </w:r>
      <w:r w:rsidRPr="0043712E">
        <w:rPr>
          <w:rFonts w:hint="cs"/>
          <w:b/>
          <w:bCs/>
          <w:spacing w:val="0"/>
          <w:sz w:val="20"/>
          <w:rtl/>
        </w:rPr>
        <w:t>وباطلاع</w:t>
      </w:r>
      <w:r w:rsidRPr="0043712E">
        <w:rPr>
          <w:b/>
          <w:bCs/>
          <w:spacing w:val="0"/>
          <w:sz w:val="20"/>
          <w:rtl/>
        </w:rPr>
        <w:t xml:space="preserve"> المحامين وأقارب المعتقلين على</w:t>
      </w:r>
      <w:r w:rsidRPr="0043712E">
        <w:rPr>
          <w:rFonts w:hint="cs"/>
          <w:b/>
          <w:bCs/>
          <w:spacing w:val="0"/>
          <w:sz w:val="20"/>
          <w:rtl/>
        </w:rPr>
        <w:t> </w:t>
      </w:r>
      <w:r w:rsidRPr="0043712E">
        <w:rPr>
          <w:b/>
          <w:bCs/>
          <w:spacing w:val="0"/>
          <w:sz w:val="20"/>
          <w:rtl/>
        </w:rPr>
        <w:t>السجل.</w:t>
      </w:r>
    </w:p>
    <w:p w:rsidR="004E0A37" w:rsidRPr="004E0A37" w:rsidRDefault="004E0A37" w:rsidP="0043712E">
      <w:pPr>
        <w:pStyle w:val="SingleTxtGA"/>
        <w:jc w:val="lowKashida"/>
        <w:rPr>
          <w:rFonts w:hint="cs"/>
          <w:spacing w:val="0"/>
          <w:sz w:val="20"/>
          <w:rtl/>
        </w:rPr>
      </w:pPr>
      <w:r w:rsidRPr="004E0A37">
        <w:rPr>
          <w:rFonts w:hint="cs"/>
          <w:spacing w:val="0"/>
          <w:sz w:val="20"/>
          <w:rtl/>
        </w:rPr>
        <w:t>(</w:t>
      </w:r>
      <w:r w:rsidRPr="004E0A37">
        <w:rPr>
          <w:spacing w:val="0"/>
          <w:sz w:val="20"/>
          <w:rtl/>
        </w:rPr>
        <w:t>8</w:t>
      </w:r>
      <w:r w:rsidRPr="004E0A37">
        <w:rPr>
          <w:rFonts w:hint="cs"/>
          <w:spacing w:val="0"/>
          <w:sz w:val="20"/>
          <w:rtl/>
        </w:rPr>
        <w:t>)</w:t>
      </w:r>
      <w:r w:rsidRPr="004E0A37">
        <w:rPr>
          <w:rFonts w:hint="cs"/>
          <w:spacing w:val="0"/>
          <w:sz w:val="20"/>
          <w:rtl/>
        </w:rPr>
        <w:tab/>
        <w:t>ويساور</w:t>
      </w:r>
      <w:r w:rsidRPr="004E0A37">
        <w:rPr>
          <w:spacing w:val="0"/>
          <w:sz w:val="20"/>
          <w:rtl/>
        </w:rPr>
        <w:t xml:space="preserve"> اللجنة </w:t>
      </w:r>
      <w:r w:rsidRPr="004E0A37">
        <w:rPr>
          <w:rFonts w:hint="cs"/>
          <w:spacing w:val="0"/>
          <w:sz w:val="20"/>
          <w:rtl/>
        </w:rPr>
        <w:t xml:space="preserve">القلق إزاء </w:t>
      </w:r>
      <w:r w:rsidRPr="004E0A37">
        <w:rPr>
          <w:spacing w:val="0"/>
          <w:sz w:val="20"/>
          <w:rtl/>
        </w:rPr>
        <w:t xml:space="preserve">العديد من المزاعم </w:t>
      </w:r>
      <w:r w:rsidRPr="004E0A37">
        <w:rPr>
          <w:rFonts w:hint="cs"/>
          <w:spacing w:val="0"/>
          <w:sz w:val="20"/>
          <w:rtl/>
        </w:rPr>
        <w:t xml:space="preserve">التي تفيد </w:t>
      </w:r>
      <w:r w:rsidRPr="004E0A37">
        <w:rPr>
          <w:spacing w:val="0"/>
          <w:sz w:val="20"/>
          <w:rtl/>
        </w:rPr>
        <w:t>بأن ضباط</w:t>
      </w:r>
      <w:r w:rsidRPr="004E0A37">
        <w:rPr>
          <w:rFonts w:hint="cs"/>
          <w:spacing w:val="0"/>
          <w:sz w:val="20"/>
          <w:rtl/>
        </w:rPr>
        <w:t xml:space="preserve">اً </w:t>
      </w:r>
      <w:r w:rsidRPr="004E0A37">
        <w:rPr>
          <w:spacing w:val="0"/>
          <w:sz w:val="20"/>
          <w:rtl/>
        </w:rPr>
        <w:t xml:space="preserve">يرتدون ملابس مدنية </w:t>
      </w:r>
      <w:r w:rsidRPr="004E0A37">
        <w:rPr>
          <w:rFonts w:hint="cs"/>
          <w:spacing w:val="0"/>
          <w:sz w:val="20"/>
          <w:rtl/>
        </w:rPr>
        <w:t>ينفذون</w:t>
      </w:r>
      <w:r w:rsidRPr="004E0A37">
        <w:rPr>
          <w:spacing w:val="0"/>
          <w:sz w:val="20"/>
          <w:rtl/>
        </w:rPr>
        <w:t xml:space="preserve"> الاعتقالات، مما يجعل من المستحيل تحديد </w:t>
      </w:r>
      <w:r w:rsidRPr="004E0A37">
        <w:rPr>
          <w:rFonts w:hint="cs"/>
          <w:spacing w:val="0"/>
          <w:sz w:val="20"/>
          <w:rtl/>
        </w:rPr>
        <w:t xml:space="preserve">هويتهم </w:t>
      </w:r>
      <w:r w:rsidRPr="004E0A37">
        <w:rPr>
          <w:spacing w:val="0"/>
          <w:sz w:val="20"/>
          <w:rtl/>
        </w:rPr>
        <w:t xml:space="preserve">عند </w:t>
      </w:r>
      <w:r w:rsidRPr="004E0A37">
        <w:rPr>
          <w:rFonts w:hint="cs"/>
          <w:spacing w:val="0"/>
          <w:sz w:val="20"/>
          <w:rtl/>
        </w:rPr>
        <w:t>تقديم</w:t>
      </w:r>
      <w:r w:rsidRPr="004E0A37">
        <w:rPr>
          <w:spacing w:val="0"/>
          <w:sz w:val="20"/>
          <w:rtl/>
        </w:rPr>
        <w:t xml:space="preserve"> شكاوى التعذيب أو سوء المعاملة. </w:t>
      </w:r>
      <w:r w:rsidRPr="004E0A37">
        <w:rPr>
          <w:rFonts w:hint="cs"/>
          <w:spacing w:val="0"/>
          <w:sz w:val="20"/>
          <w:rtl/>
        </w:rPr>
        <w:t>وتشير</w:t>
      </w:r>
      <w:r w:rsidRPr="004E0A37">
        <w:rPr>
          <w:spacing w:val="0"/>
          <w:sz w:val="20"/>
          <w:rtl/>
        </w:rPr>
        <w:t xml:space="preserve"> اللجنة </w:t>
      </w:r>
      <w:r w:rsidRPr="004E0A37">
        <w:rPr>
          <w:rFonts w:hint="cs"/>
          <w:spacing w:val="0"/>
          <w:sz w:val="20"/>
          <w:rtl/>
        </w:rPr>
        <w:t>ب</w:t>
      </w:r>
      <w:r w:rsidRPr="004E0A37">
        <w:rPr>
          <w:spacing w:val="0"/>
          <w:sz w:val="20"/>
          <w:rtl/>
        </w:rPr>
        <w:t xml:space="preserve">قلق </w:t>
      </w:r>
      <w:r w:rsidRPr="004E0A37">
        <w:rPr>
          <w:rFonts w:hint="cs"/>
          <w:spacing w:val="0"/>
          <w:sz w:val="20"/>
          <w:rtl/>
        </w:rPr>
        <w:t xml:space="preserve">إلى </w:t>
      </w:r>
      <w:r w:rsidRPr="004E0A37">
        <w:rPr>
          <w:spacing w:val="0"/>
          <w:sz w:val="20"/>
          <w:rtl/>
        </w:rPr>
        <w:t xml:space="preserve">تقارير </w:t>
      </w:r>
      <w:r w:rsidRPr="004E0A37">
        <w:rPr>
          <w:rFonts w:hint="cs"/>
          <w:spacing w:val="0"/>
          <w:sz w:val="20"/>
          <w:rtl/>
        </w:rPr>
        <w:t>تفيد ب</w:t>
      </w:r>
      <w:r w:rsidRPr="004E0A37">
        <w:rPr>
          <w:spacing w:val="0"/>
          <w:sz w:val="20"/>
          <w:rtl/>
        </w:rPr>
        <w:t>القبض على عدد من المرشحين للرئاسة واحتج</w:t>
      </w:r>
      <w:r w:rsidRPr="004E0A37">
        <w:rPr>
          <w:rFonts w:hint="cs"/>
          <w:spacing w:val="0"/>
          <w:sz w:val="20"/>
          <w:rtl/>
        </w:rPr>
        <w:t>ا</w:t>
      </w:r>
      <w:r w:rsidRPr="004E0A37">
        <w:rPr>
          <w:spacing w:val="0"/>
          <w:sz w:val="20"/>
          <w:rtl/>
        </w:rPr>
        <w:t>ز</w:t>
      </w:r>
      <w:r w:rsidRPr="004E0A37">
        <w:rPr>
          <w:rFonts w:hint="cs"/>
          <w:spacing w:val="0"/>
          <w:sz w:val="20"/>
          <w:rtl/>
        </w:rPr>
        <w:t>هم</w:t>
      </w:r>
      <w:r w:rsidRPr="004E0A37">
        <w:rPr>
          <w:spacing w:val="0"/>
          <w:sz w:val="20"/>
          <w:rtl/>
        </w:rPr>
        <w:t xml:space="preserve"> من قبل رجال يرتدون ملابس مدنية (</w:t>
      </w:r>
      <w:r w:rsidRPr="004E0A37">
        <w:rPr>
          <w:spacing w:val="0"/>
          <w:sz w:val="20"/>
        </w:rPr>
        <w:t>A/HRC/17/27/Add.1</w:t>
      </w:r>
      <w:r w:rsidRPr="004E0A37">
        <w:rPr>
          <w:spacing w:val="0"/>
          <w:sz w:val="20"/>
          <w:rtl/>
        </w:rPr>
        <w:t>، الفقرة 250)، ومزاعم أدلى بها العديد من المحتجزين، بم</w:t>
      </w:r>
      <w:r w:rsidRPr="004E0A37">
        <w:rPr>
          <w:rFonts w:hint="cs"/>
          <w:spacing w:val="0"/>
          <w:sz w:val="20"/>
          <w:rtl/>
        </w:rPr>
        <w:t>ن فيهم أ</w:t>
      </w:r>
      <w:r w:rsidRPr="004E0A37">
        <w:rPr>
          <w:spacing w:val="0"/>
          <w:sz w:val="20"/>
          <w:rtl/>
        </w:rPr>
        <w:t>ندريه</w:t>
      </w:r>
      <w:r w:rsidRPr="004E0A37">
        <w:rPr>
          <w:rFonts w:hint="cs"/>
          <w:spacing w:val="0"/>
          <w:sz w:val="20"/>
          <w:rtl/>
        </w:rPr>
        <w:t xml:space="preserve"> سانيكوف</w:t>
      </w:r>
      <w:r w:rsidRPr="004E0A37">
        <w:rPr>
          <w:spacing w:val="0"/>
          <w:sz w:val="20"/>
          <w:rtl/>
        </w:rPr>
        <w:t xml:space="preserve"> وفلاديمي</w:t>
      </w:r>
      <w:r w:rsidRPr="004E0A37">
        <w:rPr>
          <w:rFonts w:hint="cs"/>
          <w:spacing w:val="0"/>
          <w:sz w:val="20"/>
          <w:rtl/>
        </w:rPr>
        <w:t>ر نيكلاييف</w:t>
      </w:r>
      <w:r w:rsidRPr="004E0A37">
        <w:rPr>
          <w:spacing w:val="0"/>
          <w:sz w:val="20"/>
          <w:rtl/>
        </w:rPr>
        <w:t xml:space="preserve">، </w:t>
      </w:r>
      <w:r w:rsidRPr="004E0A37">
        <w:rPr>
          <w:rFonts w:hint="cs"/>
          <w:spacing w:val="0"/>
          <w:sz w:val="20"/>
          <w:rtl/>
        </w:rPr>
        <w:t>بِشأن</w:t>
      </w:r>
      <w:r w:rsidRPr="004E0A37">
        <w:rPr>
          <w:spacing w:val="0"/>
          <w:sz w:val="20"/>
          <w:rtl/>
        </w:rPr>
        <w:t xml:space="preserve"> تعرض</w:t>
      </w:r>
      <w:r w:rsidRPr="004E0A37">
        <w:rPr>
          <w:rFonts w:hint="cs"/>
          <w:spacing w:val="0"/>
          <w:sz w:val="20"/>
          <w:rtl/>
        </w:rPr>
        <w:t>هـم</w:t>
      </w:r>
      <w:r w:rsidRPr="004E0A37">
        <w:rPr>
          <w:spacing w:val="0"/>
          <w:sz w:val="20"/>
          <w:rtl/>
        </w:rPr>
        <w:t xml:space="preserve"> للتعذيب على يد </w:t>
      </w:r>
      <w:r w:rsidRPr="004E0A37">
        <w:rPr>
          <w:rFonts w:hint="cs"/>
          <w:spacing w:val="0"/>
          <w:sz w:val="20"/>
          <w:rtl/>
        </w:rPr>
        <w:t>أشخاص مقنّعين أ</w:t>
      </w:r>
      <w:r w:rsidRPr="004E0A37">
        <w:rPr>
          <w:spacing w:val="0"/>
          <w:sz w:val="20"/>
          <w:rtl/>
        </w:rPr>
        <w:t>ثناء الاحتجاز على ذمة المحاكمة (</w:t>
      </w:r>
      <w:r w:rsidRPr="004E0A37">
        <w:rPr>
          <w:rFonts w:hint="cs"/>
          <w:spacing w:val="0"/>
          <w:sz w:val="20"/>
          <w:rtl/>
        </w:rPr>
        <w:t>المواد</w:t>
      </w:r>
      <w:r w:rsidRPr="004E0A37">
        <w:rPr>
          <w:spacing w:val="0"/>
          <w:sz w:val="20"/>
          <w:rtl/>
        </w:rPr>
        <w:t xml:space="preserve"> 2 و12 و13).</w:t>
      </w:r>
    </w:p>
    <w:p w:rsidR="004E0A37" w:rsidRPr="0043712E" w:rsidRDefault="004E0A37" w:rsidP="004E0A37">
      <w:pPr>
        <w:pStyle w:val="SingleTxtGA"/>
        <w:jc w:val="lowKashida"/>
        <w:rPr>
          <w:b/>
          <w:bCs/>
          <w:spacing w:val="0"/>
          <w:sz w:val="20"/>
          <w:rtl/>
        </w:rPr>
      </w:pPr>
      <w:r w:rsidRPr="0043712E">
        <w:rPr>
          <w:rFonts w:hint="cs"/>
          <w:b/>
          <w:bCs/>
          <w:spacing w:val="0"/>
          <w:sz w:val="20"/>
          <w:rtl/>
        </w:rPr>
        <w:tab/>
      </w:r>
      <w:r w:rsidRPr="0043712E">
        <w:rPr>
          <w:b/>
          <w:bCs/>
          <w:spacing w:val="0"/>
          <w:sz w:val="20"/>
          <w:rtl/>
        </w:rPr>
        <w:t xml:space="preserve">ينبغي للدولة الطرف رصد الامتثال للتشريعات التي تتطلب من جميع الموظفين المكلفين </w:t>
      </w:r>
      <w:r w:rsidRPr="0043712E">
        <w:rPr>
          <w:rFonts w:hint="cs"/>
          <w:b/>
          <w:bCs/>
          <w:spacing w:val="0"/>
          <w:sz w:val="20"/>
          <w:rtl/>
        </w:rPr>
        <w:t>ب</w:t>
      </w:r>
      <w:r w:rsidRPr="0043712E">
        <w:rPr>
          <w:b/>
          <w:bCs/>
          <w:spacing w:val="0"/>
          <w:sz w:val="20"/>
          <w:rtl/>
        </w:rPr>
        <w:t>تنفيذ القانون، بما في ذلك شرطة مكافحة الشغب</w:t>
      </w:r>
      <w:r w:rsidRPr="0043712E">
        <w:rPr>
          <w:rFonts w:hint="cs"/>
          <w:b/>
          <w:bCs/>
          <w:spacing w:val="0"/>
          <w:sz w:val="20"/>
          <w:rtl/>
        </w:rPr>
        <w:t xml:space="preserve"> وأف</w:t>
      </w:r>
      <w:r w:rsidRPr="0043712E">
        <w:rPr>
          <w:b/>
          <w:bCs/>
          <w:spacing w:val="0"/>
          <w:sz w:val="20"/>
          <w:rtl/>
        </w:rPr>
        <w:t xml:space="preserve">راد المخابرات، ارتداء </w:t>
      </w:r>
      <w:r w:rsidRPr="0043712E">
        <w:rPr>
          <w:rFonts w:hint="cs"/>
          <w:b/>
          <w:bCs/>
          <w:spacing w:val="0"/>
          <w:sz w:val="20"/>
          <w:rtl/>
        </w:rPr>
        <w:t>شارات</w:t>
      </w:r>
      <w:r w:rsidRPr="0043712E">
        <w:rPr>
          <w:b/>
          <w:bCs/>
          <w:spacing w:val="0"/>
          <w:sz w:val="20"/>
          <w:rtl/>
        </w:rPr>
        <w:t xml:space="preserve"> الهوية </w:t>
      </w:r>
      <w:r w:rsidRPr="0043712E">
        <w:rPr>
          <w:rFonts w:hint="cs"/>
          <w:b/>
          <w:bCs/>
          <w:spacing w:val="0"/>
          <w:sz w:val="20"/>
          <w:rtl/>
        </w:rPr>
        <w:t xml:space="preserve">وأن </w:t>
      </w:r>
      <w:r w:rsidRPr="0043712E">
        <w:rPr>
          <w:b/>
          <w:bCs/>
          <w:spacing w:val="0"/>
          <w:sz w:val="20"/>
          <w:rtl/>
        </w:rPr>
        <w:t xml:space="preserve">توفر لجميع الموظفين المكلفين بإنفاذ القانون </w:t>
      </w:r>
      <w:r w:rsidRPr="0043712E">
        <w:rPr>
          <w:rFonts w:hint="cs"/>
          <w:b/>
          <w:bCs/>
          <w:spacing w:val="0"/>
          <w:sz w:val="20"/>
          <w:rtl/>
        </w:rPr>
        <w:t xml:space="preserve">زياً رسمياً عليه </w:t>
      </w:r>
      <w:r w:rsidRPr="0043712E">
        <w:rPr>
          <w:b/>
          <w:bCs/>
          <w:spacing w:val="0"/>
          <w:sz w:val="20"/>
          <w:rtl/>
        </w:rPr>
        <w:t>شارات هوية مناسبة تسهل رؤيتها حتى تضمن المساءلة الفردية والحماية من أعمال التعذيب وسوء المعاملة</w:t>
      </w:r>
      <w:r w:rsidRPr="0043712E">
        <w:rPr>
          <w:rFonts w:hint="cs"/>
          <w:b/>
          <w:bCs/>
          <w:spacing w:val="0"/>
          <w:sz w:val="20"/>
          <w:rtl/>
        </w:rPr>
        <w:t>،</w:t>
      </w:r>
      <w:r w:rsidRPr="0043712E">
        <w:rPr>
          <w:b/>
          <w:bCs/>
          <w:spacing w:val="0"/>
          <w:sz w:val="20"/>
          <w:rtl/>
        </w:rPr>
        <w:t xml:space="preserve"> و</w:t>
      </w:r>
      <w:r w:rsidRPr="0043712E">
        <w:rPr>
          <w:rFonts w:hint="cs"/>
          <w:b/>
          <w:bCs/>
          <w:spacing w:val="0"/>
          <w:sz w:val="20"/>
          <w:rtl/>
        </w:rPr>
        <w:t>أن ت</w:t>
      </w:r>
      <w:r w:rsidRPr="0043712E">
        <w:rPr>
          <w:b/>
          <w:bCs/>
          <w:spacing w:val="0"/>
          <w:sz w:val="20"/>
          <w:rtl/>
        </w:rPr>
        <w:t>خضع الموظف</w:t>
      </w:r>
      <w:r w:rsidRPr="0043712E">
        <w:rPr>
          <w:rFonts w:hint="cs"/>
          <w:b/>
          <w:bCs/>
          <w:spacing w:val="0"/>
          <w:sz w:val="20"/>
          <w:rtl/>
        </w:rPr>
        <w:t>ي</w:t>
      </w:r>
      <w:r w:rsidRPr="0043712E">
        <w:rPr>
          <w:b/>
          <w:bCs/>
          <w:spacing w:val="0"/>
          <w:sz w:val="20"/>
          <w:rtl/>
        </w:rPr>
        <w:t>ن المكلف</w:t>
      </w:r>
      <w:r w:rsidRPr="0043712E">
        <w:rPr>
          <w:rFonts w:hint="cs"/>
          <w:b/>
          <w:bCs/>
          <w:spacing w:val="0"/>
          <w:sz w:val="20"/>
          <w:rtl/>
        </w:rPr>
        <w:t>ي</w:t>
      </w:r>
      <w:r w:rsidRPr="0043712E">
        <w:rPr>
          <w:b/>
          <w:bCs/>
          <w:spacing w:val="0"/>
          <w:sz w:val="20"/>
          <w:rtl/>
        </w:rPr>
        <w:t xml:space="preserve">ن بإنفاذ القانون الذين ينتهكون الاتفاقية </w:t>
      </w:r>
      <w:r w:rsidRPr="0043712E">
        <w:rPr>
          <w:rFonts w:hint="cs"/>
          <w:b/>
          <w:bCs/>
          <w:spacing w:val="0"/>
          <w:sz w:val="20"/>
          <w:rtl/>
        </w:rPr>
        <w:t>ل</w:t>
      </w:r>
      <w:r w:rsidRPr="0043712E">
        <w:rPr>
          <w:b/>
          <w:bCs/>
          <w:spacing w:val="0"/>
          <w:sz w:val="20"/>
          <w:rtl/>
        </w:rPr>
        <w:t xml:space="preserve">لتحقيق والعقاب </w:t>
      </w:r>
      <w:r w:rsidRPr="0043712E">
        <w:rPr>
          <w:rFonts w:hint="cs"/>
          <w:b/>
          <w:bCs/>
          <w:spacing w:val="0"/>
          <w:sz w:val="20"/>
          <w:rtl/>
        </w:rPr>
        <w:t>ال</w:t>
      </w:r>
      <w:r w:rsidRPr="0043712E">
        <w:rPr>
          <w:b/>
          <w:bCs/>
          <w:spacing w:val="0"/>
          <w:sz w:val="20"/>
          <w:rtl/>
        </w:rPr>
        <w:t>مناسب.</w:t>
      </w:r>
    </w:p>
    <w:p w:rsidR="004E0A37" w:rsidRPr="004E0A37" w:rsidRDefault="004E0A37" w:rsidP="00781CE0">
      <w:pPr>
        <w:pStyle w:val="H23GA"/>
        <w:rPr>
          <w:rtl/>
          <w:lang w:val="fr-CH"/>
        </w:rPr>
      </w:pPr>
      <w:r w:rsidRPr="004E0A37">
        <w:rPr>
          <w:rFonts w:hint="cs"/>
          <w:rtl/>
          <w:lang w:val="fr-CH"/>
        </w:rPr>
        <w:tab/>
      </w:r>
      <w:r w:rsidRPr="004E0A37">
        <w:rPr>
          <w:rFonts w:hint="cs"/>
          <w:rtl/>
          <w:lang w:val="fr-CH"/>
        </w:rPr>
        <w:tab/>
      </w:r>
      <w:r w:rsidRPr="004E0A37">
        <w:rPr>
          <w:rtl/>
          <w:lang w:val="fr-CH"/>
        </w:rPr>
        <w:t>الاختفاء القسري</w:t>
      </w:r>
    </w:p>
    <w:p w:rsidR="004E0A37" w:rsidRPr="004E0A37" w:rsidRDefault="004E0A37" w:rsidP="003D48E7">
      <w:pPr>
        <w:pStyle w:val="SingleTxtGA"/>
        <w:jc w:val="lowKashida"/>
        <w:rPr>
          <w:spacing w:val="0"/>
          <w:sz w:val="20"/>
          <w:rtl/>
        </w:rPr>
      </w:pPr>
      <w:r w:rsidRPr="004E0A37">
        <w:rPr>
          <w:rFonts w:hint="cs"/>
          <w:spacing w:val="0"/>
          <w:sz w:val="20"/>
          <w:rtl/>
        </w:rPr>
        <w:t>(</w:t>
      </w:r>
      <w:r w:rsidRPr="004E0A37">
        <w:rPr>
          <w:spacing w:val="0"/>
          <w:sz w:val="20"/>
          <w:rtl/>
        </w:rPr>
        <w:t>9</w:t>
      </w:r>
      <w:r w:rsidRPr="004E0A37">
        <w:rPr>
          <w:rFonts w:hint="cs"/>
          <w:spacing w:val="0"/>
          <w:sz w:val="20"/>
          <w:rtl/>
        </w:rPr>
        <w:t>)</w:t>
      </w:r>
      <w:r w:rsidRPr="004E0A37">
        <w:rPr>
          <w:rFonts w:hint="cs"/>
          <w:spacing w:val="0"/>
          <w:sz w:val="20"/>
          <w:rtl/>
        </w:rPr>
        <w:tab/>
        <w:t>تحيط اللجنة</w:t>
      </w:r>
      <w:r w:rsidR="003833F8">
        <w:rPr>
          <w:rFonts w:hint="cs"/>
          <w:spacing w:val="0"/>
          <w:sz w:val="20"/>
          <w:rtl/>
        </w:rPr>
        <w:t xml:space="preserve"> علماً </w:t>
      </w:r>
      <w:r w:rsidRPr="004E0A37">
        <w:rPr>
          <w:rFonts w:hint="cs"/>
          <w:spacing w:val="0"/>
          <w:sz w:val="20"/>
          <w:rtl/>
        </w:rPr>
        <w:t>ب</w:t>
      </w:r>
      <w:r w:rsidRPr="004E0A37">
        <w:rPr>
          <w:spacing w:val="0"/>
          <w:sz w:val="20"/>
          <w:rtl/>
        </w:rPr>
        <w:t xml:space="preserve">المعلومات </w:t>
      </w:r>
      <w:r w:rsidRPr="004E0A37">
        <w:rPr>
          <w:rFonts w:hint="cs"/>
          <w:spacing w:val="0"/>
          <w:sz w:val="20"/>
          <w:rtl/>
        </w:rPr>
        <w:t xml:space="preserve">الواردة </w:t>
      </w:r>
      <w:r w:rsidRPr="004E0A37">
        <w:rPr>
          <w:spacing w:val="0"/>
          <w:sz w:val="20"/>
          <w:rtl/>
        </w:rPr>
        <w:t xml:space="preserve">من ممثلي الدولة الطرف التي </w:t>
      </w:r>
      <w:r w:rsidRPr="004E0A37">
        <w:rPr>
          <w:rFonts w:hint="cs"/>
          <w:spacing w:val="0"/>
          <w:sz w:val="20"/>
          <w:rtl/>
        </w:rPr>
        <w:t>تفيد بأنها ت</w:t>
      </w:r>
      <w:r w:rsidRPr="004E0A37">
        <w:rPr>
          <w:spacing w:val="0"/>
          <w:sz w:val="20"/>
          <w:rtl/>
        </w:rPr>
        <w:t>ح</w:t>
      </w:r>
      <w:r w:rsidRPr="004E0A37">
        <w:rPr>
          <w:rFonts w:hint="cs"/>
          <w:spacing w:val="0"/>
          <w:sz w:val="20"/>
          <w:rtl/>
        </w:rPr>
        <w:t>تفظ</w:t>
      </w:r>
      <w:r w:rsidRPr="004E0A37">
        <w:rPr>
          <w:spacing w:val="0"/>
          <w:sz w:val="20"/>
          <w:rtl/>
        </w:rPr>
        <w:t xml:space="preserve"> </w:t>
      </w:r>
      <w:r w:rsidRPr="004E0A37">
        <w:rPr>
          <w:rFonts w:hint="cs"/>
          <w:spacing w:val="0"/>
          <w:sz w:val="20"/>
          <w:rtl/>
        </w:rPr>
        <w:t>ب</w:t>
      </w:r>
      <w:r w:rsidRPr="004E0A37">
        <w:rPr>
          <w:spacing w:val="0"/>
          <w:sz w:val="20"/>
          <w:rtl/>
        </w:rPr>
        <w:t xml:space="preserve">قاعدة بيانات </w:t>
      </w:r>
      <w:r w:rsidRPr="004E0A37">
        <w:rPr>
          <w:rFonts w:hint="cs"/>
          <w:spacing w:val="0"/>
          <w:sz w:val="20"/>
          <w:rtl/>
        </w:rPr>
        <w:t>ع</w:t>
      </w:r>
      <w:r w:rsidRPr="004E0A37">
        <w:rPr>
          <w:spacing w:val="0"/>
          <w:sz w:val="20"/>
          <w:rtl/>
        </w:rPr>
        <w:t>ن حالات الاختفاء. ومع ذلك، تأسف اللجنة لأن الدولة الطرف</w:t>
      </w:r>
      <w:r w:rsidR="00335AC0">
        <w:rPr>
          <w:spacing w:val="0"/>
          <w:sz w:val="20"/>
          <w:rtl/>
        </w:rPr>
        <w:t xml:space="preserve"> لم </w:t>
      </w:r>
      <w:r w:rsidRPr="004E0A37">
        <w:rPr>
          <w:spacing w:val="0"/>
          <w:sz w:val="20"/>
          <w:rtl/>
        </w:rPr>
        <w:t>تقدم معلومات كافية عن حالات الاختفاء، وعلى وجه الخصوص</w:t>
      </w:r>
      <w:r w:rsidRPr="004E0A37">
        <w:rPr>
          <w:rFonts w:hint="cs"/>
          <w:spacing w:val="0"/>
          <w:sz w:val="20"/>
          <w:rtl/>
        </w:rPr>
        <w:t xml:space="preserve"> </w:t>
      </w:r>
      <w:r w:rsidRPr="004E0A37">
        <w:rPr>
          <w:spacing w:val="0"/>
          <w:sz w:val="20"/>
          <w:rtl/>
        </w:rPr>
        <w:t>حالات الاختفاء</w:t>
      </w:r>
      <w:r w:rsidRPr="004E0A37">
        <w:rPr>
          <w:rFonts w:hint="cs"/>
          <w:spacing w:val="0"/>
          <w:sz w:val="20"/>
          <w:rtl/>
        </w:rPr>
        <w:t xml:space="preserve"> التالية</w:t>
      </w:r>
      <w:r w:rsidRPr="004E0A37">
        <w:rPr>
          <w:spacing w:val="0"/>
          <w:sz w:val="20"/>
          <w:rtl/>
        </w:rPr>
        <w:t xml:space="preserve"> التي</w:t>
      </w:r>
      <w:r w:rsidR="00335AC0">
        <w:rPr>
          <w:spacing w:val="0"/>
          <w:sz w:val="20"/>
          <w:rtl/>
        </w:rPr>
        <w:t xml:space="preserve"> لم </w:t>
      </w:r>
      <w:r w:rsidRPr="004E0A37">
        <w:rPr>
          <w:spacing w:val="0"/>
          <w:sz w:val="20"/>
          <w:rtl/>
        </w:rPr>
        <w:t>تحل بعد: وزير الداخلية السابق، يوري زاخارنكو، و</w:t>
      </w:r>
      <w:r w:rsidRPr="004E0A37">
        <w:rPr>
          <w:rFonts w:hint="cs"/>
          <w:spacing w:val="0"/>
          <w:sz w:val="20"/>
          <w:rtl/>
        </w:rPr>
        <w:t xml:space="preserve">السكرتير الأول </w:t>
      </w:r>
      <w:r w:rsidRPr="004E0A37">
        <w:rPr>
          <w:spacing w:val="0"/>
          <w:sz w:val="20"/>
          <w:rtl/>
        </w:rPr>
        <w:t xml:space="preserve">السابق لرئيس </w:t>
      </w:r>
      <w:r w:rsidRPr="004E0A37">
        <w:rPr>
          <w:rFonts w:hint="cs"/>
          <w:spacing w:val="0"/>
          <w:sz w:val="20"/>
          <w:rtl/>
        </w:rPr>
        <w:t>ا</w:t>
      </w:r>
      <w:r w:rsidRPr="004E0A37">
        <w:rPr>
          <w:spacing w:val="0"/>
          <w:sz w:val="20"/>
          <w:rtl/>
        </w:rPr>
        <w:t xml:space="preserve">لبرلمان البيلاروسي المنحل، فيكتور غونشار </w:t>
      </w:r>
      <w:r w:rsidRPr="004E0A37">
        <w:rPr>
          <w:rFonts w:hint="cs"/>
          <w:spacing w:val="0"/>
          <w:sz w:val="20"/>
          <w:rtl/>
        </w:rPr>
        <w:t>و</w:t>
      </w:r>
      <w:r w:rsidRPr="004E0A37">
        <w:rPr>
          <w:spacing w:val="0"/>
          <w:sz w:val="20"/>
          <w:rtl/>
        </w:rPr>
        <w:t xml:space="preserve">رفيقه أناتولي كراسوفسكي، </w:t>
      </w:r>
      <w:r w:rsidRPr="004E0A37">
        <w:rPr>
          <w:rFonts w:hint="cs"/>
          <w:spacing w:val="0"/>
          <w:sz w:val="20"/>
          <w:rtl/>
        </w:rPr>
        <w:t>والمحقق</w:t>
      </w:r>
      <w:r w:rsidRPr="004E0A37">
        <w:rPr>
          <w:spacing w:val="0"/>
          <w:sz w:val="20"/>
          <w:rtl/>
        </w:rPr>
        <w:t xml:space="preserve"> الصحفي التلفزيوني ديمتري زافادسكي، التي أثارتها اللجنة في عام 2000 (</w:t>
      </w:r>
      <w:r w:rsidRPr="004E0A37">
        <w:rPr>
          <w:spacing w:val="0"/>
          <w:sz w:val="20"/>
        </w:rPr>
        <w:t>CAT/C/SR.442</w:t>
      </w:r>
      <w:r w:rsidRPr="004E0A37">
        <w:rPr>
          <w:spacing w:val="0"/>
          <w:sz w:val="20"/>
          <w:rtl/>
        </w:rPr>
        <w:t>، الفقرة</w:t>
      </w:r>
      <w:r w:rsidRPr="004E0A37">
        <w:rPr>
          <w:rFonts w:hint="cs"/>
          <w:spacing w:val="0"/>
          <w:sz w:val="20"/>
          <w:rtl/>
        </w:rPr>
        <w:t> </w:t>
      </w:r>
      <w:r w:rsidRPr="004E0A37">
        <w:rPr>
          <w:spacing w:val="0"/>
          <w:sz w:val="20"/>
          <w:rtl/>
        </w:rPr>
        <w:t>29) أو المقدمة من الفريق العامل المعني بحالات الاختفاء القسري أو غير الطوعي في عام 1999 (</w:t>
      </w:r>
      <w:r w:rsidRPr="004E0A37">
        <w:rPr>
          <w:spacing w:val="0"/>
          <w:sz w:val="20"/>
        </w:rPr>
        <w:t>A/HRC/16/48</w:t>
      </w:r>
      <w:r w:rsidRPr="004E0A37">
        <w:rPr>
          <w:spacing w:val="0"/>
          <w:sz w:val="20"/>
          <w:rtl/>
        </w:rPr>
        <w:t>) (</w:t>
      </w:r>
      <w:r w:rsidRPr="004E0A37">
        <w:rPr>
          <w:rFonts w:hint="cs"/>
          <w:spacing w:val="0"/>
          <w:sz w:val="20"/>
          <w:rtl/>
        </w:rPr>
        <w:t>المواد</w:t>
      </w:r>
      <w:r w:rsidRPr="004E0A37">
        <w:rPr>
          <w:spacing w:val="0"/>
          <w:sz w:val="20"/>
          <w:rtl/>
        </w:rPr>
        <w:t xml:space="preserve"> 2 و11 و12 و16).</w:t>
      </w:r>
    </w:p>
    <w:p w:rsidR="004E0A37" w:rsidRPr="003D48E7" w:rsidRDefault="004E0A37" w:rsidP="004E0A37">
      <w:pPr>
        <w:pStyle w:val="SingleTxtGA"/>
        <w:jc w:val="lowKashida"/>
        <w:rPr>
          <w:rFonts w:hint="cs"/>
          <w:b/>
          <w:bCs/>
          <w:spacing w:val="0"/>
          <w:sz w:val="20"/>
          <w:rtl/>
        </w:rPr>
      </w:pPr>
      <w:r w:rsidRPr="003D48E7">
        <w:rPr>
          <w:rFonts w:hint="cs"/>
          <w:b/>
          <w:bCs/>
          <w:spacing w:val="0"/>
          <w:sz w:val="20"/>
          <w:rtl/>
        </w:rPr>
        <w:tab/>
      </w:r>
      <w:r w:rsidRPr="003D48E7">
        <w:rPr>
          <w:b/>
          <w:bCs/>
          <w:spacing w:val="0"/>
          <w:sz w:val="20"/>
          <w:rtl/>
        </w:rPr>
        <w:t>ينبغي للدولة الطرف أن تضمن التحقيق في حالات اختفاء الأشخاص بهدف الحصول على معلومات موثوق بها عن مكان وجودهم وينبغي</w:t>
      </w:r>
      <w:r w:rsidRPr="003D48E7">
        <w:rPr>
          <w:rFonts w:hint="cs"/>
          <w:b/>
          <w:bCs/>
          <w:spacing w:val="0"/>
          <w:sz w:val="20"/>
          <w:rtl/>
        </w:rPr>
        <w:t xml:space="preserve"> لها</w:t>
      </w:r>
      <w:r w:rsidRPr="003D48E7">
        <w:rPr>
          <w:b/>
          <w:bCs/>
          <w:spacing w:val="0"/>
          <w:sz w:val="20"/>
          <w:rtl/>
        </w:rPr>
        <w:t xml:space="preserve"> توضيح ما حدث لهم. </w:t>
      </w:r>
      <w:r w:rsidRPr="003D48E7">
        <w:rPr>
          <w:rFonts w:hint="cs"/>
          <w:b/>
          <w:bCs/>
          <w:spacing w:val="0"/>
          <w:sz w:val="20"/>
          <w:rtl/>
        </w:rPr>
        <w:t>و</w:t>
      </w:r>
      <w:r w:rsidRPr="003D48E7">
        <w:rPr>
          <w:b/>
          <w:bCs/>
          <w:spacing w:val="0"/>
          <w:sz w:val="20"/>
          <w:rtl/>
        </w:rPr>
        <w:t xml:space="preserve">على وجه الخصوص، ينبغي للدولة الطرف تحديث المعلومات عن الحالات الأربع المذكورة أعلاه، </w:t>
      </w:r>
      <w:r w:rsidRPr="003D48E7">
        <w:rPr>
          <w:rFonts w:hint="cs"/>
          <w:b/>
          <w:bCs/>
          <w:spacing w:val="0"/>
          <w:sz w:val="20"/>
          <w:rtl/>
        </w:rPr>
        <w:t xml:space="preserve">وتقديم معلومات تشمل </w:t>
      </w:r>
      <w:r w:rsidRPr="003D48E7">
        <w:rPr>
          <w:b/>
          <w:bCs/>
          <w:spacing w:val="0"/>
          <w:sz w:val="20"/>
          <w:rtl/>
        </w:rPr>
        <w:t xml:space="preserve">نتائج التحقيق </w:t>
      </w:r>
      <w:r w:rsidRPr="003D48E7">
        <w:rPr>
          <w:rFonts w:hint="cs"/>
          <w:b/>
          <w:bCs/>
          <w:spacing w:val="0"/>
          <w:sz w:val="20"/>
          <w:rtl/>
        </w:rPr>
        <w:t>و</w:t>
      </w:r>
      <w:r w:rsidRPr="003D48E7">
        <w:rPr>
          <w:b/>
          <w:bCs/>
          <w:spacing w:val="0"/>
          <w:sz w:val="20"/>
          <w:rtl/>
        </w:rPr>
        <w:t>أي</w:t>
      </w:r>
      <w:r w:rsidRPr="003D48E7">
        <w:rPr>
          <w:rFonts w:hint="cs"/>
          <w:b/>
          <w:bCs/>
          <w:spacing w:val="0"/>
          <w:sz w:val="20"/>
          <w:rtl/>
        </w:rPr>
        <w:t>ة</w:t>
      </w:r>
      <w:r w:rsidRPr="003D48E7">
        <w:rPr>
          <w:b/>
          <w:bCs/>
          <w:spacing w:val="0"/>
          <w:sz w:val="20"/>
          <w:rtl/>
        </w:rPr>
        <w:t xml:space="preserve"> عقوبات أو جزاءات </w:t>
      </w:r>
      <w:r w:rsidRPr="003D48E7">
        <w:rPr>
          <w:rFonts w:hint="cs"/>
          <w:b/>
          <w:bCs/>
          <w:spacing w:val="0"/>
          <w:sz w:val="20"/>
          <w:rtl/>
        </w:rPr>
        <w:t>صدرت بحق الجناة</w:t>
      </w:r>
      <w:r w:rsidRPr="003D48E7">
        <w:rPr>
          <w:b/>
          <w:bCs/>
          <w:spacing w:val="0"/>
          <w:sz w:val="20"/>
          <w:rtl/>
        </w:rPr>
        <w:t xml:space="preserve">، </w:t>
      </w:r>
      <w:r w:rsidRPr="003D48E7">
        <w:rPr>
          <w:rFonts w:hint="cs"/>
          <w:b/>
          <w:bCs/>
          <w:spacing w:val="0"/>
          <w:sz w:val="20"/>
          <w:rtl/>
        </w:rPr>
        <w:t>وسبل الانتصاف التي أتيحت</w:t>
      </w:r>
      <w:r w:rsidRPr="003D48E7">
        <w:rPr>
          <w:b/>
          <w:bCs/>
          <w:spacing w:val="0"/>
          <w:sz w:val="20"/>
          <w:rtl/>
        </w:rPr>
        <w:t xml:space="preserve"> لأقاربهم </w:t>
      </w:r>
      <w:r w:rsidRPr="003D48E7">
        <w:rPr>
          <w:rFonts w:hint="cs"/>
          <w:b/>
          <w:bCs/>
          <w:spacing w:val="0"/>
          <w:sz w:val="20"/>
          <w:rtl/>
        </w:rPr>
        <w:t>ومدى السماح لم</w:t>
      </w:r>
      <w:r w:rsidRPr="003D48E7">
        <w:rPr>
          <w:b/>
          <w:bCs/>
          <w:spacing w:val="0"/>
          <w:sz w:val="20"/>
          <w:rtl/>
        </w:rPr>
        <w:t>حاميهم وأقاربهم</w:t>
      </w:r>
      <w:r w:rsidRPr="003D48E7">
        <w:rPr>
          <w:rFonts w:hint="cs"/>
          <w:b/>
          <w:bCs/>
          <w:spacing w:val="0"/>
          <w:sz w:val="20"/>
          <w:rtl/>
        </w:rPr>
        <w:t xml:space="preserve"> بالاطلاع على</w:t>
      </w:r>
      <w:r w:rsidRPr="003D48E7">
        <w:rPr>
          <w:b/>
          <w:bCs/>
          <w:spacing w:val="0"/>
          <w:sz w:val="20"/>
          <w:rtl/>
        </w:rPr>
        <w:t xml:space="preserve"> قاعدة البيانات المتعلقة بحالات الاختفاء.</w:t>
      </w:r>
    </w:p>
    <w:p w:rsidR="004E0A37" w:rsidRPr="004E0A37" w:rsidRDefault="004E0A37" w:rsidP="00781CE0">
      <w:pPr>
        <w:pStyle w:val="H23GA"/>
        <w:rPr>
          <w:rtl/>
          <w:lang w:val="fr-CH"/>
        </w:rPr>
      </w:pPr>
      <w:r w:rsidRPr="004E0A37">
        <w:rPr>
          <w:rFonts w:hint="cs"/>
          <w:rtl/>
          <w:lang w:val="fr-CH"/>
        </w:rPr>
        <w:tab/>
      </w:r>
      <w:r w:rsidRPr="004E0A37">
        <w:rPr>
          <w:rFonts w:hint="cs"/>
          <w:rtl/>
          <w:lang w:val="fr-CH"/>
        </w:rPr>
        <w:tab/>
        <w:t>ال</w:t>
      </w:r>
      <w:r w:rsidRPr="004E0A37">
        <w:rPr>
          <w:rtl/>
          <w:lang w:val="fr-CH"/>
        </w:rPr>
        <w:t>تعذيب</w:t>
      </w:r>
    </w:p>
    <w:p w:rsidR="004E0A37" w:rsidRPr="004E0A37" w:rsidRDefault="004E0A37" w:rsidP="003D48E7">
      <w:pPr>
        <w:pStyle w:val="SingleTxtGA"/>
        <w:jc w:val="lowKashida"/>
        <w:rPr>
          <w:spacing w:val="0"/>
          <w:sz w:val="20"/>
          <w:rtl/>
        </w:rPr>
      </w:pPr>
      <w:r w:rsidRPr="004E0A37">
        <w:rPr>
          <w:rFonts w:hint="cs"/>
          <w:spacing w:val="0"/>
          <w:sz w:val="20"/>
          <w:rtl/>
        </w:rPr>
        <w:t>(</w:t>
      </w:r>
      <w:r w:rsidRPr="004E0A37">
        <w:rPr>
          <w:spacing w:val="0"/>
          <w:sz w:val="20"/>
          <w:rtl/>
        </w:rPr>
        <w:t>1</w:t>
      </w:r>
      <w:r w:rsidR="002C1EA7" w:rsidRPr="004E0A37">
        <w:rPr>
          <w:spacing w:val="0"/>
          <w:sz w:val="20"/>
          <w:rtl/>
        </w:rPr>
        <w:t>0</w:t>
      </w:r>
      <w:r w:rsidRPr="004E0A37">
        <w:rPr>
          <w:rFonts w:hint="cs"/>
          <w:spacing w:val="0"/>
          <w:sz w:val="20"/>
          <w:rtl/>
        </w:rPr>
        <w:t>)</w:t>
      </w:r>
      <w:r w:rsidRPr="004E0A37">
        <w:rPr>
          <w:rFonts w:hint="cs"/>
          <w:spacing w:val="0"/>
          <w:sz w:val="20"/>
          <w:rtl/>
        </w:rPr>
        <w:tab/>
        <w:t xml:space="preserve">ينتاب </w:t>
      </w:r>
      <w:r w:rsidRPr="004E0A37">
        <w:rPr>
          <w:spacing w:val="0"/>
          <w:sz w:val="20"/>
          <w:rtl/>
        </w:rPr>
        <w:t xml:space="preserve">اللجنة قلق </w:t>
      </w:r>
      <w:r w:rsidRPr="004E0A37">
        <w:rPr>
          <w:rFonts w:hint="cs"/>
          <w:spacing w:val="0"/>
          <w:sz w:val="20"/>
          <w:rtl/>
        </w:rPr>
        <w:t>بالغ إزاء</w:t>
      </w:r>
      <w:r w:rsidRPr="004E0A37">
        <w:rPr>
          <w:spacing w:val="0"/>
          <w:sz w:val="20"/>
          <w:rtl/>
        </w:rPr>
        <w:t xml:space="preserve"> الادعاءات </w:t>
      </w:r>
      <w:r w:rsidRPr="004E0A37">
        <w:rPr>
          <w:rFonts w:hint="cs"/>
          <w:spacing w:val="0"/>
          <w:sz w:val="20"/>
          <w:rtl/>
        </w:rPr>
        <w:t>المتعددة والمستمرة بشأن انتشار ال</w:t>
      </w:r>
      <w:r w:rsidRPr="004E0A37">
        <w:rPr>
          <w:spacing w:val="0"/>
          <w:sz w:val="20"/>
          <w:rtl/>
        </w:rPr>
        <w:t xml:space="preserve">تعذيب وسوء معاملة المحتجزين في الدولة الطرف. ووفقاً لمعلومات موثوقة قدمت إلى اللجنة، </w:t>
      </w:r>
      <w:r w:rsidRPr="004E0A37">
        <w:rPr>
          <w:rFonts w:hint="cs"/>
          <w:spacing w:val="0"/>
          <w:sz w:val="20"/>
          <w:rtl/>
        </w:rPr>
        <w:t xml:space="preserve">يتعرض </w:t>
      </w:r>
      <w:r w:rsidRPr="004E0A37">
        <w:rPr>
          <w:spacing w:val="0"/>
          <w:sz w:val="20"/>
          <w:rtl/>
        </w:rPr>
        <w:t xml:space="preserve">العديد من الأشخاص المحرومين من حريتهم للتعذيب وسوء المعاملة والتهديد من قبل </w:t>
      </w:r>
      <w:r w:rsidRPr="004E0A37">
        <w:rPr>
          <w:rFonts w:hint="cs"/>
          <w:spacing w:val="0"/>
          <w:sz w:val="20"/>
          <w:rtl/>
        </w:rPr>
        <w:t>المكلفين ب</w:t>
      </w:r>
      <w:r w:rsidRPr="004E0A37">
        <w:rPr>
          <w:spacing w:val="0"/>
          <w:sz w:val="20"/>
          <w:rtl/>
        </w:rPr>
        <w:t xml:space="preserve">إنفاذ القانون، وخصوصاً في لحظة اعتقالهم وأثناء الاعتقال السابق للمحاكمة. </w:t>
      </w:r>
      <w:r w:rsidRPr="004E0A37">
        <w:rPr>
          <w:rFonts w:hint="cs"/>
          <w:spacing w:val="0"/>
          <w:sz w:val="20"/>
          <w:rtl/>
        </w:rPr>
        <w:t>و</w:t>
      </w:r>
      <w:r w:rsidRPr="004E0A37">
        <w:rPr>
          <w:spacing w:val="0"/>
          <w:sz w:val="20"/>
          <w:rtl/>
        </w:rPr>
        <w:t xml:space="preserve">تؤكد هذه </w:t>
      </w:r>
      <w:r w:rsidRPr="004E0A37">
        <w:rPr>
          <w:rFonts w:hint="cs"/>
          <w:spacing w:val="0"/>
          <w:sz w:val="20"/>
          <w:rtl/>
        </w:rPr>
        <w:t>المعلومات الشواغل</w:t>
      </w:r>
      <w:r w:rsidRPr="004E0A37">
        <w:rPr>
          <w:spacing w:val="0"/>
          <w:sz w:val="20"/>
          <w:rtl/>
        </w:rPr>
        <w:t xml:space="preserve"> التي أعرب عنها عدد من الهيئات الدولية </w:t>
      </w:r>
      <w:r w:rsidRPr="004E0A37">
        <w:rPr>
          <w:rFonts w:hint="cs"/>
          <w:spacing w:val="0"/>
          <w:sz w:val="20"/>
          <w:rtl/>
        </w:rPr>
        <w:t>ومن بينها</w:t>
      </w:r>
      <w:r w:rsidRPr="004E0A37">
        <w:rPr>
          <w:spacing w:val="0"/>
          <w:sz w:val="20"/>
          <w:rtl/>
        </w:rPr>
        <w:t xml:space="preserve">، المقرر الخاص المعني بالتعذيب وغيره من ضروب المعاملة أو العقوبة القاسية أو اللاإنسانية أو المهينة ومجلس حقوق الإنسان (القرار 17/24) ومفوضية الأمم المتحدة السامية لحقوق الإنسان ومنظمة الأمن والتعاون في أوروبا. </w:t>
      </w:r>
      <w:r w:rsidRPr="004E0A37">
        <w:rPr>
          <w:rFonts w:hint="cs"/>
          <w:spacing w:val="0"/>
          <w:sz w:val="20"/>
          <w:rtl/>
        </w:rPr>
        <w:t>و</w:t>
      </w:r>
      <w:r w:rsidRPr="004E0A37">
        <w:rPr>
          <w:spacing w:val="0"/>
          <w:sz w:val="20"/>
          <w:rtl/>
        </w:rPr>
        <w:t xml:space="preserve">بينما </w:t>
      </w:r>
      <w:r w:rsidRPr="004E0A37">
        <w:rPr>
          <w:rFonts w:hint="cs"/>
          <w:spacing w:val="0"/>
          <w:sz w:val="20"/>
          <w:rtl/>
        </w:rPr>
        <w:t xml:space="preserve">تحيط </w:t>
      </w:r>
      <w:r w:rsidRPr="004E0A37">
        <w:rPr>
          <w:spacing w:val="0"/>
          <w:sz w:val="20"/>
          <w:rtl/>
        </w:rPr>
        <w:t>اللجنة</w:t>
      </w:r>
      <w:r w:rsidR="003833F8">
        <w:rPr>
          <w:spacing w:val="0"/>
          <w:sz w:val="20"/>
          <w:rtl/>
        </w:rPr>
        <w:t xml:space="preserve"> علماً </w:t>
      </w:r>
      <w:r w:rsidRPr="004E0A37">
        <w:rPr>
          <w:rFonts w:hint="cs"/>
          <w:spacing w:val="0"/>
          <w:sz w:val="20"/>
          <w:rtl/>
        </w:rPr>
        <w:t>ب</w:t>
      </w:r>
      <w:r w:rsidRPr="004E0A37">
        <w:rPr>
          <w:spacing w:val="0"/>
          <w:sz w:val="20"/>
          <w:rtl/>
        </w:rPr>
        <w:t xml:space="preserve">المادة 25 من الدستور التي تحظر التعذيب، </w:t>
      </w:r>
      <w:r w:rsidRPr="004E0A37">
        <w:rPr>
          <w:rFonts w:hint="cs"/>
          <w:spacing w:val="0"/>
          <w:sz w:val="20"/>
          <w:rtl/>
        </w:rPr>
        <w:t xml:space="preserve">فإنها </w:t>
      </w:r>
      <w:r w:rsidRPr="004E0A37">
        <w:rPr>
          <w:spacing w:val="0"/>
          <w:sz w:val="20"/>
          <w:rtl/>
        </w:rPr>
        <w:t>تشعر بالقلق إزاء الفجوة الكبيرة</w:t>
      </w:r>
      <w:r w:rsidRPr="004E0A37">
        <w:rPr>
          <w:rFonts w:hint="cs"/>
          <w:spacing w:val="0"/>
          <w:sz w:val="20"/>
          <w:rtl/>
        </w:rPr>
        <w:t xml:space="preserve"> القائمة</w:t>
      </w:r>
      <w:r w:rsidRPr="004E0A37">
        <w:rPr>
          <w:spacing w:val="0"/>
          <w:sz w:val="20"/>
          <w:rtl/>
        </w:rPr>
        <w:t xml:space="preserve"> بين الإطار التشريعي </w:t>
      </w:r>
      <w:r w:rsidRPr="004E0A37">
        <w:rPr>
          <w:rFonts w:hint="cs"/>
          <w:spacing w:val="0"/>
          <w:sz w:val="20"/>
          <w:rtl/>
        </w:rPr>
        <w:t>وتطبيقه</w:t>
      </w:r>
      <w:r w:rsidRPr="004E0A37">
        <w:rPr>
          <w:spacing w:val="0"/>
          <w:sz w:val="20"/>
          <w:rtl/>
        </w:rPr>
        <w:t xml:space="preserve"> العملي (الم</w:t>
      </w:r>
      <w:r w:rsidRPr="004E0A37">
        <w:rPr>
          <w:rFonts w:hint="cs"/>
          <w:spacing w:val="0"/>
          <w:sz w:val="20"/>
          <w:rtl/>
        </w:rPr>
        <w:t>واد</w:t>
      </w:r>
      <w:r w:rsidRPr="004E0A37">
        <w:rPr>
          <w:spacing w:val="0"/>
          <w:sz w:val="20"/>
          <w:rtl/>
        </w:rPr>
        <w:t xml:space="preserve"> 2 و4 و12 و16).</w:t>
      </w:r>
    </w:p>
    <w:p w:rsidR="004E0A37" w:rsidRPr="003D48E7" w:rsidRDefault="004E0A37" w:rsidP="004E0A37">
      <w:pPr>
        <w:pStyle w:val="SingleTxtGA"/>
        <w:jc w:val="lowKashida"/>
        <w:rPr>
          <w:rFonts w:hint="cs"/>
          <w:b/>
          <w:bCs/>
          <w:spacing w:val="0"/>
          <w:sz w:val="20"/>
          <w:rtl/>
        </w:rPr>
      </w:pPr>
      <w:r w:rsidRPr="003D48E7">
        <w:rPr>
          <w:rFonts w:hint="cs"/>
          <w:b/>
          <w:bCs/>
          <w:spacing w:val="0"/>
          <w:sz w:val="20"/>
          <w:rtl/>
        </w:rPr>
        <w:tab/>
        <w:t>ينبغي للدولة الطرف أن تتخذ على وجه السرعة تدابير فورية وفعالة لمنع أفعال التعذيب وإساءة المعاملة في جميع أنحاء البلد، بما في ذلك تنفيذ سياسات من شأنها أن تُفضي إلى نتائج يمكن قياسها في مجال القضاء على التعذيب وإساءة المعاملة من قبل الموظفين الحكوميين</w:t>
      </w:r>
    </w:p>
    <w:p w:rsidR="004E0A37" w:rsidRPr="004E0A37" w:rsidRDefault="004E0A37" w:rsidP="002C1EA7">
      <w:pPr>
        <w:pStyle w:val="H23GA"/>
        <w:rPr>
          <w:rtl/>
          <w:lang w:val="fr-CH"/>
        </w:rPr>
      </w:pPr>
      <w:r w:rsidRPr="004E0A37">
        <w:rPr>
          <w:rFonts w:hint="cs"/>
          <w:rtl/>
          <w:lang w:val="fr-CH"/>
        </w:rPr>
        <w:tab/>
      </w:r>
      <w:r w:rsidRPr="004E0A37">
        <w:rPr>
          <w:rFonts w:hint="cs"/>
          <w:rtl/>
          <w:lang w:val="fr-CH"/>
        </w:rPr>
        <w:tab/>
      </w:r>
      <w:r w:rsidRPr="004E0A37">
        <w:rPr>
          <w:rtl/>
          <w:lang w:val="fr-CH"/>
        </w:rPr>
        <w:t>الإفلات من العقاب وعدم وجود تحقيق مستقل</w:t>
      </w:r>
    </w:p>
    <w:p w:rsidR="004E0A37" w:rsidRPr="004E0A37" w:rsidRDefault="004E0A37" w:rsidP="003D48E7">
      <w:pPr>
        <w:pStyle w:val="SingleTxtGA"/>
        <w:jc w:val="lowKashida"/>
        <w:rPr>
          <w:spacing w:val="0"/>
          <w:sz w:val="20"/>
          <w:rtl/>
        </w:rPr>
      </w:pPr>
      <w:r w:rsidRPr="004E0A37">
        <w:rPr>
          <w:rFonts w:hint="cs"/>
          <w:spacing w:val="0"/>
          <w:sz w:val="20"/>
          <w:rtl/>
        </w:rPr>
        <w:t>(</w:t>
      </w:r>
      <w:r w:rsidRPr="004E0A37">
        <w:rPr>
          <w:spacing w:val="0"/>
          <w:sz w:val="20"/>
          <w:rtl/>
        </w:rPr>
        <w:t>11</w:t>
      </w:r>
      <w:r w:rsidRPr="004E0A37">
        <w:rPr>
          <w:rFonts w:hint="cs"/>
          <w:spacing w:val="0"/>
          <w:sz w:val="20"/>
          <w:rtl/>
        </w:rPr>
        <w:t>)</w:t>
      </w:r>
      <w:r w:rsidRPr="004E0A37">
        <w:rPr>
          <w:rFonts w:hint="cs"/>
          <w:spacing w:val="0"/>
          <w:sz w:val="20"/>
          <w:rtl/>
        </w:rPr>
        <w:tab/>
      </w:r>
      <w:r w:rsidRPr="004E0A37">
        <w:rPr>
          <w:spacing w:val="0"/>
          <w:sz w:val="20"/>
          <w:rtl/>
        </w:rPr>
        <w:t xml:space="preserve">لا تزال اللجنة تشعر بالقلق العميق إزاء استمرار </w:t>
      </w:r>
      <w:r w:rsidRPr="004E0A37">
        <w:rPr>
          <w:rFonts w:hint="cs"/>
          <w:spacing w:val="0"/>
          <w:sz w:val="20"/>
          <w:rtl/>
        </w:rPr>
        <w:t xml:space="preserve">وانتشار إحجام </w:t>
      </w:r>
      <w:r w:rsidRPr="004E0A37">
        <w:rPr>
          <w:spacing w:val="0"/>
          <w:sz w:val="20"/>
          <w:rtl/>
        </w:rPr>
        <w:t xml:space="preserve">المسؤولين </w:t>
      </w:r>
      <w:r w:rsidRPr="004E0A37">
        <w:rPr>
          <w:rFonts w:hint="cs"/>
          <w:spacing w:val="0"/>
          <w:sz w:val="20"/>
          <w:rtl/>
        </w:rPr>
        <w:t xml:space="preserve">عن </w:t>
      </w:r>
      <w:r w:rsidRPr="004E0A37">
        <w:rPr>
          <w:spacing w:val="0"/>
          <w:sz w:val="20"/>
          <w:rtl/>
        </w:rPr>
        <w:t xml:space="preserve">إجراء تحقيقات فورية ونزيهة وكاملة في ادعاءات التعذيب الكثيرة التي يتم إبلاغها إلى السلطات، فضلاً عن القصور </w:t>
      </w:r>
      <w:r w:rsidRPr="004E0A37">
        <w:rPr>
          <w:rFonts w:hint="cs"/>
          <w:spacing w:val="0"/>
          <w:sz w:val="20"/>
          <w:rtl/>
        </w:rPr>
        <w:t>في</w:t>
      </w:r>
      <w:r w:rsidRPr="004E0A37">
        <w:rPr>
          <w:spacing w:val="0"/>
          <w:sz w:val="20"/>
          <w:rtl/>
        </w:rPr>
        <w:t xml:space="preserve"> ملاحقة </w:t>
      </w:r>
      <w:r w:rsidRPr="004E0A37">
        <w:rPr>
          <w:rFonts w:hint="cs"/>
          <w:spacing w:val="0"/>
          <w:sz w:val="20"/>
          <w:rtl/>
        </w:rPr>
        <w:t>الجناة</w:t>
      </w:r>
      <w:r w:rsidRPr="004E0A37">
        <w:rPr>
          <w:spacing w:val="0"/>
          <w:sz w:val="20"/>
          <w:rtl/>
        </w:rPr>
        <w:t xml:space="preserve"> المزعومين وعدم وجود تحقيق مستقل وآليات </w:t>
      </w:r>
      <w:r w:rsidRPr="004E0A37">
        <w:rPr>
          <w:rFonts w:hint="cs"/>
          <w:spacing w:val="0"/>
          <w:sz w:val="20"/>
          <w:rtl/>
        </w:rPr>
        <w:t>للتظلم و</w:t>
      </w:r>
      <w:r w:rsidRPr="004E0A37">
        <w:rPr>
          <w:spacing w:val="0"/>
          <w:sz w:val="20"/>
          <w:rtl/>
        </w:rPr>
        <w:t xml:space="preserve">تخويف السلطة القضائية وانخفاض مستوى التعاون مع هيئات </w:t>
      </w:r>
      <w:r w:rsidRPr="004E0A37">
        <w:rPr>
          <w:rFonts w:hint="cs"/>
          <w:spacing w:val="0"/>
          <w:sz w:val="20"/>
          <w:rtl/>
        </w:rPr>
        <w:t>الرصد</w:t>
      </w:r>
      <w:r w:rsidRPr="004E0A37">
        <w:rPr>
          <w:spacing w:val="0"/>
          <w:sz w:val="20"/>
          <w:rtl/>
        </w:rPr>
        <w:t xml:space="preserve"> الدولية، </w:t>
      </w:r>
      <w:r w:rsidRPr="004E0A37">
        <w:rPr>
          <w:rFonts w:hint="cs"/>
          <w:spacing w:val="0"/>
          <w:sz w:val="20"/>
          <w:rtl/>
        </w:rPr>
        <w:t>وكلها أسباب</w:t>
      </w:r>
      <w:r w:rsidRPr="004E0A37">
        <w:rPr>
          <w:spacing w:val="0"/>
          <w:sz w:val="20"/>
          <w:rtl/>
        </w:rPr>
        <w:t xml:space="preserve"> أدت إلى </w:t>
      </w:r>
      <w:r w:rsidRPr="004E0A37">
        <w:rPr>
          <w:rFonts w:hint="cs"/>
          <w:spacing w:val="0"/>
          <w:sz w:val="20"/>
          <w:rtl/>
        </w:rPr>
        <w:t xml:space="preserve">القصور في </w:t>
      </w:r>
      <w:r w:rsidRPr="004E0A37">
        <w:rPr>
          <w:spacing w:val="0"/>
          <w:sz w:val="20"/>
          <w:rtl/>
        </w:rPr>
        <w:t>الإبلاغ</w:t>
      </w:r>
      <w:r w:rsidRPr="004E0A37">
        <w:rPr>
          <w:rFonts w:hint="cs"/>
          <w:spacing w:val="0"/>
          <w:sz w:val="20"/>
          <w:rtl/>
        </w:rPr>
        <w:t xml:space="preserve"> على نحو</w:t>
      </w:r>
      <w:r w:rsidRPr="004E0A37">
        <w:rPr>
          <w:spacing w:val="0"/>
          <w:sz w:val="20"/>
          <w:rtl/>
        </w:rPr>
        <w:t xml:space="preserve"> خطير</w:t>
      </w:r>
      <w:r w:rsidRPr="004E0A37">
        <w:rPr>
          <w:rFonts w:hint="cs"/>
          <w:spacing w:val="0"/>
          <w:sz w:val="20"/>
          <w:rtl/>
        </w:rPr>
        <w:t xml:space="preserve"> </w:t>
      </w:r>
      <w:r w:rsidRPr="004E0A37">
        <w:rPr>
          <w:spacing w:val="0"/>
          <w:sz w:val="20"/>
          <w:rtl/>
        </w:rPr>
        <w:t>والإفلات من العقاب (</w:t>
      </w:r>
      <w:r w:rsidRPr="004E0A37">
        <w:rPr>
          <w:rFonts w:hint="cs"/>
          <w:spacing w:val="0"/>
          <w:sz w:val="20"/>
          <w:rtl/>
        </w:rPr>
        <w:t>المواد</w:t>
      </w:r>
      <w:r w:rsidRPr="004E0A37">
        <w:rPr>
          <w:spacing w:val="0"/>
          <w:sz w:val="20"/>
          <w:rtl/>
        </w:rPr>
        <w:t xml:space="preserve"> 2 و11 و12 و13 و16). </w:t>
      </w:r>
      <w:r w:rsidRPr="004E0A37">
        <w:rPr>
          <w:rFonts w:hint="cs"/>
          <w:spacing w:val="0"/>
          <w:sz w:val="20"/>
          <w:rtl/>
        </w:rPr>
        <w:t>و</w:t>
      </w:r>
      <w:r w:rsidRPr="004E0A37">
        <w:rPr>
          <w:spacing w:val="0"/>
          <w:sz w:val="20"/>
          <w:rtl/>
        </w:rPr>
        <w:t>تشعر اللجنة بالقلق على وجه الخصوص، إزاء ما يلي:</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عدم وجود آلية مستقلة وفعالة لتلقي الشكاوى وإجراء تحقيقات فورية ونزيهة وفعالة في مزاعم التعذيب</w:t>
      </w:r>
      <w:r w:rsidRPr="004E0A37">
        <w:rPr>
          <w:rFonts w:hint="cs"/>
          <w:spacing w:val="0"/>
          <w:sz w:val="20"/>
          <w:rtl/>
        </w:rPr>
        <w:t>،</w:t>
      </w:r>
      <w:r w:rsidRPr="004E0A37">
        <w:rPr>
          <w:spacing w:val="0"/>
          <w:sz w:val="20"/>
          <w:rtl/>
        </w:rPr>
        <w:t xml:space="preserve"> ولا سيما من المحتجزين الذين ينتظرون المحاكمة؛</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 xml:space="preserve">معلومات تشير إلى أن </w:t>
      </w:r>
      <w:r w:rsidRPr="004E0A37">
        <w:rPr>
          <w:rFonts w:hint="cs"/>
          <w:spacing w:val="0"/>
          <w:sz w:val="20"/>
          <w:rtl/>
        </w:rPr>
        <w:t xml:space="preserve">تضارباً </w:t>
      </w:r>
      <w:r w:rsidRPr="004E0A37">
        <w:rPr>
          <w:spacing w:val="0"/>
          <w:sz w:val="20"/>
          <w:rtl/>
        </w:rPr>
        <w:t>خطير</w:t>
      </w:r>
      <w:r w:rsidRPr="004E0A37">
        <w:rPr>
          <w:rFonts w:hint="cs"/>
          <w:spacing w:val="0"/>
          <w:sz w:val="20"/>
          <w:rtl/>
        </w:rPr>
        <w:t>اً في المصالح ي</w:t>
      </w:r>
      <w:r w:rsidRPr="004E0A37">
        <w:rPr>
          <w:spacing w:val="0"/>
          <w:sz w:val="20"/>
          <w:rtl/>
        </w:rPr>
        <w:t>منع</w:t>
      </w:r>
      <w:r w:rsidRPr="004E0A37">
        <w:rPr>
          <w:rFonts w:hint="cs"/>
          <w:spacing w:val="0"/>
          <w:sz w:val="20"/>
          <w:rtl/>
        </w:rPr>
        <w:t xml:space="preserve"> </w:t>
      </w:r>
      <w:r w:rsidRPr="004E0A37">
        <w:rPr>
          <w:spacing w:val="0"/>
          <w:sz w:val="20"/>
          <w:rtl/>
        </w:rPr>
        <w:t xml:space="preserve">آليات الشكاوى القائمة من </w:t>
      </w:r>
      <w:r w:rsidRPr="004E0A37">
        <w:rPr>
          <w:rFonts w:hint="cs"/>
          <w:spacing w:val="0"/>
          <w:sz w:val="20"/>
          <w:rtl/>
        </w:rPr>
        <w:t>إجراء</w:t>
      </w:r>
      <w:r w:rsidRPr="004E0A37">
        <w:rPr>
          <w:spacing w:val="0"/>
          <w:sz w:val="20"/>
          <w:rtl/>
        </w:rPr>
        <w:t xml:space="preserve"> تحقيقات</w:t>
      </w:r>
      <w:r w:rsidRPr="004E0A37">
        <w:rPr>
          <w:rFonts w:hint="cs"/>
          <w:spacing w:val="0"/>
          <w:sz w:val="20"/>
          <w:rtl/>
        </w:rPr>
        <w:t xml:space="preserve"> </w:t>
      </w:r>
      <w:r w:rsidRPr="004E0A37">
        <w:rPr>
          <w:spacing w:val="0"/>
          <w:sz w:val="20"/>
          <w:rtl/>
        </w:rPr>
        <w:t>فعال</w:t>
      </w:r>
      <w:r w:rsidRPr="004E0A37">
        <w:rPr>
          <w:rFonts w:hint="cs"/>
          <w:spacing w:val="0"/>
          <w:sz w:val="20"/>
          <w:rtl/>
        </w:rPr>
        <w:t>ة</w:t>
      </w:r>
      <w:r w:rsidRPr="004E0A37">
        <w:rPr>
          <w:spacing w:val="0"/>
          <w:sz w:val="20"/>
          <w:rtl/>
        </w:rPr>
        <w:t xml:space="preserve"> </w:t>
      </w:r>
      <w:r w:rsidRPr="004E0A37">
        <w:rPr>
          <w:rFonts w:hint="cs"/>
          <w:spacing w:val="0"/>
          <w:sz w:val="20"/>
          <w:rtl/>
        </w:rPr>
        <w:t>و</w:t>
      </w:r>
      <w:r w:rsidRPr="004E0A37">
        <w:rPr>
          <w:spacing w:val="0"/>
          <w:sz w:val="20"/>
          <w:rtl/>
        </w:rPr>
        <w:t>محايدة في الشكاوى التي تتلقاها؛</w:t>
      </w:r>
    </w:p>
    <w:p w:rsidR="004E0A37" w:rsidRPr="004E0A37" w:rsidRDefault="004E0A37" w:rsidP="00B345DB">
      <w:pPr>
        <w:pStyle w:val="SingleTxtGA"/>
        <w:spacing w:line="360" w:lineRule="exact"/>
        <w:jc w:val="lowKashida"/>
        <w:rPr>
          <w:rFonts w:hint="cs"/>
          <w:spacing w:val="0"/>
          <w:sz w:val="20"/>
          <w:rtl/>
        </w:rPr>
      </w:pPr>
      <w:r w:rsidRPr="004E0A37">
        <w:rPr>
          <w:rFonts w:hint="cs"/>
          <w:spacing w:val="0"/>
          <w:sz w:val="20"/>
          <w:rtl/>
        </w:rPr>
        <w:tab/>
      </w:r>
      <w:r w:rsidRPr="004E0A37">
        <w:rPr>
          <w:spacing w:val="0"/>
          <w:sz w:val="20"/>
          <w:rtl/>
        </w:rPr>
        <w:t>(ج)</w:t>
      </w:r>
      <w:r w:rsidRPr="004E0A37">
        <w:rPr>
          <w:rFonts w:hint="cs"/>
          <w:spacing w:val="0"/>
          <w:sz w:val="20"/>
          <w:rtl/>
        </w:rPr>
        <w:tab/>
      </w:r>
      <w:r w:rsidRPr="004E0A37">
        <w:rPr>
          <w:spacing w:val="0"/>
          <w:sz w:val="20"/>
          <w:rtl/>
        </w:rPr>
        <w:t xml:space="preserve">عدم وجود تطابق في المعلومات المعروضة على اللجنة بشأن الشكاوى المقدمة من قبل أشخاص رهن الاحتجاز. </w:t>
      </w:r>
      <w:r w:rsidRPr="004E0A37">
        <w:rPr>
          <w:rFonts w:hint="cs"/>
          <w:spacing w:val="0"/>
          <w:sz w:val="20"/>
          <w:rtl/>
        </w:rPr>
        <w:t xml:space="preserve">وتشير اللجنة </w:t>
      </w:r>
      <w:r w:rsidRPr="004E0A37">
        <w:rPr>
          <w:spacing w:val="0"/>
          <w:sz w:val="20"/>
          <w:rtl/>
        </w:rPr>
        <w:t xml:space="preserve">بقلق شديد </w:t>
      </w:r>
      <w:r w:rsidRPr="004E0A37">
        <w:rPr>
          <w:rFonts w:hint="cs"/>
          <w:spacing w:val="0"/>
          <w:sz w:val="20"/>
          <w:rtl/>
        </w:rPr>
        <w:t xml:space="preserve">إلى المعلومات المتعلقة بوقوع </w:t>
      </w:r>
      <w:r w:rsidRPr="004E0A37">
        <w:rPr>
          <w:spacing w:val="0"/>
          <w:sz w:val="20"/>
          <w:rtl/>
        </w:rPr>
        <w:t>عمليات انتقامية ضد أولئك الذين يتقدمون بشكاوى</w:t>
      </w:r>
      <w:r w:rsidRPr="004E0A37">
        <w:rPr>
          <w:rFonts w:hint="cs"/>
          <w:spacing w:val="0"/>
          <w:sz w:val="20"/>
          <w:rtl/>
        </w:rPr>
        <w:t>، وب</w:t>
      </w:r>
      <w:r w:rsidRPr="004E0A37">
        <w:rPr>
          <w:spacing w:val="0"/>
          <w:sz w:val="20"/>
          <w:rtl/>
        </w:rPr>
        <w:t xml:space="preserve">حالات </w:t>
      </w:r>
      <w:r w:rsidRPr="004E0A37">
        <w:rPr>
          <w:rFonts w:hint="cs"/>
          <w:spacing w:val="0"/>
          <w:sz w:val="20"/>
          <w:rtl/>
        </w:rPr>
        <w:t>رفض</w:t>
      </w:r>
      <w:r w:rsidRPr="004E0A37">
        <w:rPr>
          <w:spacing w:val="0"/>
          <w:sz w:val="20"/>
          <w:rtl/>
        </w:rPr>
        <w:t xml:space="preserve"> الشكاوى المقدمة من </w:t>
      </w:r>
      <w:r w:rsidRPr="004E0A37">
        <w:rPr>
          <w:rFonts w:hint="cs"/>
          <w:spacing w:val="0"/>
          <w:sz w:val="20"/>
          <w:rtl/>
        </w:rPr>
        <w:t>المحتجزين</w:t>
      </w:r>
      <w:r w:rsidRPr="004E0A37">
        <w:rPr>
          <w:spacing w:val="0"/>
          <w:sz w:val="20"/>
          <w:rtl/>
        </w:rPr>
        <w:t xml:space="preserve">، بما في ذلك </w:t>
      </w:r>
      <w:r w:rsidRPr="004E0A37">
        <w:rPr>
          <w:rFonts w:hint="cs"/>
          <w:spacing w:val="0"/>
          <w:sz w:val="20"/>
          <w:rtl/>
        </w:rPr>
        <w:t>قضيتا أ</w:t>
      </w:r>
      <w:r w:rsidRPr="004E0A37">
        <w:rPr>
          <w:spacing w:val="0"/>
          <w:sz w:val="20"/>
          <w:rtl/>
        </w:rPr>
        <w:t>ليس</w:t>
      </w:r>
      <w:r w:rsidRPr="004E0A37">
        <w:rPr>
          <w:rFonts w:hint="cs"/>
          <w:spacing w:val="0"/>
          <w:sz w:val="20"/>
          <w:rtl/>
        </w:rPr>
        <w:t xml:space="preserve"> ميخاليفيتش</w:t>
      </w:r>
      <w:r w:rsidRPr="004E0A37">
        <w:rPr>
          <w:spacing w:val="0"/>
          <w:sz w:val="20"/>
          <w:rtl/>
        </w:rPr>
        <w:t xml:space="preserve"> </w:t>
      </w:r>
      <w:r w:rsidRPr="004E0A37">
        <w:rPr>
          <w:rFonts w:hint="cs"/>
          <w:spacing w:val="0"/>
          <w:sz w:val="20"/>
          <w:rtl/>
        </w:rPr>
        <w:t>وأ</w:t>
      </w:r>
      <w:r w:rsidRPr="004E0A37">
        <w:rPr>
          <w:spacing w:val="0"/>
          <w:sz w:val="20"/>
          <w:rtl/>
        </w:rPr>
        <w:t xml:space="preserve">ندريه </w:t>
      </w:r>
      <w:r w:rsidRPr="004E0A37">
        <w:rPr>
          <w:rFonts w:hint="cs"/>
          <w:spacing w:val="0"/>
          <w:sz w:val="20"/>
          <w:rtl/>
        </w:rPr>
        <w:t>سانيكوف؛</w:t>
      </w:r>
    </w:p>
    <w:p w:rsidR="004E0A37" w:rsidRPr="004E0A37" w:rsidRDefault="004E0A37" w:rsidP="00B345DB">
      <w:pPr>
        <w:pStyle w:val="SingleTxtGA"/>
        <w:spacing w:line="360" w:lineRule="exact"/>
        <w:jc w:val="lowKashida"/>
        <w:rPr>
          <w:rFonts w:hint="cs"/>
          <w:spacing w:val="0"/>
          <w:sz w:val="20"/>
          <w:rtl/>
        </w:rPr>
      </w:pPr>
      <w:r w:rsidRPr="004E0A37">
        <w:rPr>
          <w:rFonts w:hint="cs"/>
          <w:spacing w:val="0"/>
          <w:sz w:val="20"/>
          <w:rtl/>
        </w:rPr>
        <w:tab/>
      </w:r>
      <w:r w:rsidRPr="004E0A37">
        <w:rPr>
          <w:spacing w:val="0"/>
          <w:sz w:val="20"/>
          <w:rtl/>
        </w:rPr>
        <w:t>(د)</w:t>
      </w:r>
      <w:r w:rsidRPr="004E0A37">
        <w:rPr>
          <w:rFonts w:hint="cs"/>
          <w:spacing w:val="0"/>
          <w:sz w:val="20"/>
          <w:rtl/>
        </w:rPr>
        <w:tab/>
        <w:t>ال</w:t>
      </w:r>
      <w:r w:rsidRPr="004E0A37">
        <w:rPr>
          <w:spacing w:val="0"/>
          <w:sz w:val="20"/>
          <w:rtl/>
        </w:rPr>
        <w:t>تقارير</w:t>
      </w:r>
      <w:r w:rsidRPr="004E0A37">
        <w:rPr>
          <w:rFonts w:hint="cs"/>
          <w:spacing w:val="0"/>
          <w:sz w:val="20"/>
          <w:rtl/>
        </w:rPr>
        <w:t xml:space="preserve"> التي</w:t>
      </w:r>
      <w:r w:rsidRPr="004E0A37">
        <w:rPr>
          <w:spacing w:val="0"/>
          <w:sz w:val="20"/>
          <w:rtl/>
        </w:rPr>
        <w:t xml:space="preserve"> تفيد </w:t>
      </w:r>
      <w:r w:rsidRPr="004E0A37">
        <w:rPr>
          <w:rFonts w:hint="cs"/>
          <w:spacing w:val="0"/>
          <w:sz w:val="20"/>
          <w:rtl/>
        </w:rPr>
        <w:t>ب</w:t>
      </w:r>
      <w:r w:rsidRPr="004E0A37">
        <w:rPr>
          <w:spacing w:val="0"/>
          <w:sz w:val="20"/>
          <w:rtl/>
        </w:rPr>
        <w:t>عدم مقاضاة أي موظف لارتكابه أفعال التعذيب</w:t>
      </w:r>
      <w:r w:rsidRPr="004E0A37">
        <w:rPr>
          <w:rFonts w:hint="cs"/>
          <w:spacing w:val="0"/>
          <w:sz w:val="20"/>
          <w:rtl/>
        </w:rPr>
        <w:t xml:space="preserve">. ووفقاً </w:t>
      </w:r>
      <w:r w:rsidRPr="004E0A37">
        <w:rPr>
          <w:spacing w:val="0"/>
          <w:sz w:val="20"/>
          <w:rtl/>
        </w:rPr>
        <w:t>للمعلومات المعروضة على اللجنة،</w:t>
      </w:r>
      <w:r w:rsidRPr="004E0A37">
        <w:rPr>
          <w:rFonts w:hint="cs"/>
          <w:spacing w:val="0"/>
          <w:sz w:val="20"/>
          <w:rtl/>
        </w:rPr>
        <w:t xml:space="preserve"> </w:t>
      </w:r>
      <w:r w:rsidRPr="004E0A37">
        <w:rPr>
          <w:spacing w:val="0"/>
          <w:sz w:val="20"/>
          <w:rtl/>
        </w:rPr>
        <w:t xml:space="preserve">اتهم أربعة موظفين فقط مكلفين بإنفاذ القانون على مدى السنوات العشر الماضية بارتكاب الجريمة الأقل خطورة وهي "إساءة استعمال </w:t>
      </w:r>
      <w:r w:rsidRPr="004E0A37">
        <w:rPr>
          <w:rFonts w:hint="cs"/>
          <w:spacing w:val="0"/>
          <w:sz w:val="20"/>
          <w:rtl/>
        </w:rPr>
        <w:t>الصلاحيات</w:t>
      </w:r>
      <w:r w:rsidRPr="004E0A37">
        <w:rPr>
          <w:spacing w:val="0"/>
          <w:sz w:val="20"/>
          <w:rtl/>
        </w:rPr>
        <w:t xml:space="preserve"> أو</w:t>
      </w:r>
      <w:r w:rsidR="002C1EA7">
        <w:rPr>
          <w:rFonts w:hint="cs"/>
          <w:spacing w:val="0"/>
          <w:sz w:val="20"/>
          <w:rtl/>
        </w:rPr>
        <w:t> </w:t>
      </w:r>
      <w:r w:rsidRPr="004E0A37">
        <w:rPr>
          <w:spacing w:val="0"/>
          <w:sz w:val="20"/>
          <w:rtl/>
        </w:rPr>
        <w:t xml:space="preserve">السلطة الرسمية" و"تجاوز </w:t>
      </w:r>
      <w:r w:rsidRPr="004E0A37">
        <w:rPr>
          <w:rFonts w:hint="cs"/>
          <w:spacing w:val="0"/>
          <w:sz w:val="20"/>
          <w:rtl/>
        </w:rPr>
        <w:t>الصلاحيات</w:t>
      </w:r>
      <w:r w:rsidRPr="004E0A37">
        <w:rPr>
          <w:spacing w:val="0"/>
          <w:sz w:val="20"/>
          <w:rtl/>
        </w:rPr>
        <w:t xml:space="preserve"> أو </w:t>
      </w:r>
      <w:r w:rsidRPr="004E0A37">
        <w:rPr>
          <w:rFonts w:hint="cs"/>
          <w:spacing w:val="0"/>
          <w:sz w:val="20"/>
          <w:rtl/>
        </w:rPr>
        <w:t>ال</w:t>
      </w:r>
      <w:r w:rsidRPr="004E0A37">
        <w:rPr>
          <w:spacing w:val="0"/>
          <w:sz w:val="20"/>
          <w:rtl/>
        </w:rPr>
        <w:t xml:space="preserve">سلطة رسمية" بموجب المادتين 424 و426 من القانون الجنائي. </w:t>
      </w:r>
    </w:p>
    <w:p w:rsidR="004E0A37" w:rsidRPr="003D48E7" w:rsidRDefault="004E0A37" w:rsidP="00B345DB">
      <w:pPr>
        <w:pStyle w:val="SingleTxtGA"/>
        <w:spacing w:line="360" w:lineRule="exact"/>
        <w:jc w:val="lowKashida"/>
        <w:rPr>
          <w:rFonts w:hint="cs"/>
          <w:b/>
          <w:bCs/>
          <w:spacing w:val="0"/>
          <w:sz w:val="20"/>
          <w:rtl/>
        </w:rPr>
      </w:pPr>
      <w:r w:rsidRPr="003D48E7">
        <w:rPr>
          <w:rFonts w:hint="cs"/>
          <w:b/>
          <w:bCs/>
          <w:spacing w:val="0"/>
          <w:sz w:val="20"/>
          <w:rtl/>
        </w:rPr>
        <w:tab/>
      </w:r>
      <w:r w:rsidRPr="003D48E7">
        <w:rPr>
          <w:b/>
          <w:bCs/>
          <w:spacing w:val="0"/>
          <w:sz w:val="20"/>
          <w:rtl/>
        </w:rPr>
        <w:t xml:space="preserve">تحث اللجنة الدولة الطرف على اتخاذ جميع التدابير اللازمة لضمان التحقيق على وجه السرعة في جميع مزاعم التعذيب وسوء المعاملة من جانب الموظفين العموميين في </w:t>
      </w:r>
      <w:r w:rsidRPr="003D48E7">
        <w:rPr>
          <w:rFonts w:hint="cs"/>
          <w:b/>
          <w:bCs/>
          <w:spacing w:val="0"/>
          <w:sz w:val="20"/>
          <w:rtl/>
        </w:rPr>
        <w:t>إطار</w:t>
      </w:r>
      <w:r w:rsidRPr="003D48E7">
        <w:rPr>
          <w:b/>
          <w:bCs/>
          <w:spacing w:val="0"/>
          <w:sz w:val="20"/>
          <w:rtl/>
        </w:rPr>
        <w:t xml:space="preserve"> تحقيقات شفافة ومستقلة </w:t>
      </w:r>
      <w:r w:rsidRPr="003D48E7">
        <w:rPr>
          <w:rFonts w:hint="cs"/>
          <w:b/>
          <w:bCs/>
          <w:spacing w:val="0"/>
          <w:sz w:val="20"/>
          <w:rtl/>
        </w:rPr>
        <w:t>وأن يعاقب</w:t>
      </w:r>
      <w:r w:rsidRPr="003D48E7">
        <w:rPr>
          <w:b/>
          <w:bCs/>
          <w:spacing w:val="0"/>
          <w:sz w:val="20"/>
          <w:rtl/>
        </w:rPr>
        <w:t xml:space="preserve"> مرتكب</w:t>
      </w:r>
      <w:r w:rsidRPr="003D48E7">
        <w:rPr>
          <w:rFonts w:hint="cs"/>
          <w:b/>
          <w:bCs/>
          <w:spacing w:val="0"/>
          <w:sz w:val="20"/>
          <w:rtl/>
        </w:rPr>
        <w:t>و</w:t>
      </w:r>
      <w:r w:rsidRPr="003D48E7">
        <w:rPr>
          <w:b/>
          <w:bCs/>
          <w:spacing w:val="0"/>
          <w:sz w:val="20"/>
          <w:rtl/>
        </w:rPr>
        <w:t>ها</w:t>
      </w:r>
      <w:r w:rsidR="00B345DB">
        <w:rPr>
          <w:b/>
          <w:bCs/>
          <w:spacing w:val="0"/>
          <w:sz w:val="20"/>
          <w:rtl/>
        </w:rPr>
        <w:t xml:space="preserve"> وفقاً </w:t>
      </w:r>
      <w:r w:rsidRPr="003D48E7">
        <w:rPr>
          <w:b/>
          <w:bCs/>
          <w:spacing w:val="0"/>
          <w:sz w:val="20"/>
          <w:rtl/>
        </w:rPr>
        <w:t>ل</w:t>
      </w:r>
      <w:r w:rsidRPr="003D48E7">
        <w:rPr>
          <w:rFonts w:hint="cs"/>
          <w:b/>
          <w:bCs/>
          <w:spacing w:val="0"/>
          <w:sz w:val="20"/>
          <w:rtl/>
        </w:rPr>
        <w:t xml:space="preserve">فداحة </w:t>
      </w:r>
      <w:r w:rsidRPr="003D48E7">
        <w:rPr>
          <w:b/>
          <w:bCs/>
          <w:spacing w:val="0"/>
          <w:sz w:val="20"/>
          <w:rtl/>
        </w:rPr>
        <w:t xml:space="preserve">أفعالهم. </w:t>
      </w:r>
      <w:r w:rsidRPr="003D48E7">
        <w:rPr>
          <w:rFonts w:hint="cs"/>
          <w:b/>
          <w:bCs/>
          <w:spacing w:val="0"/>
          <w:sz w:val="20"/>
          <w:rtl/>
        </w:rPr>
        <w:t>و</w:t>
      </w:r>
      <w:r w:rsidRPr="003D48E7">
        <w:rPr>
          <w:b/>
          <w:bCs/>
          <w:spacing w:val="0"/>
          <w:sz w:val="20"/>
          <w:rtl/>
        </w:rPr>
        <w:t>تحقيقاً لهذه الغاية، ينبغي للدولة الطرف</w:t>
      </w:r>
      <w:r w:rsidRPr="003D48E7">
        <w:rPr>
          <w:rFonts w:hint="cs"/>
          <w:b/>
          <w:bCs/>
          <w:spacing w:val="0"/>
          <w:sz w:val="20"/>
          <w:rtl/>
        </w:rPr>
        <w:t xml:space="preserve"> القيام بما يلي</w:t>
      </w:r>
      <w:r w:rsidRPr="003D48E7">
        <w:rPr>
          <w:b/>
          <w:bCs/>
          <w:spacing w:val="0"/>
          <w:sz w:val="20"/>
          <w:rtl/>
        </w:rPr>
        <w:t>:</w:t>
      </w:r>
    </w:p>
    <w:p w:rsidR="004E0A37" w:rsidRPr="003D48E7" w:rsidRDefault="004E0A37" w:rsidP="00B345DB">
      <w:pPr>
        <w:pStyle w:val="SingleTxtGA"/>
        <w:spacing w:line="360" w:lineRule="exact"/>
        <w:jc w:val="lowKashida"/>
        <w:rPr>
          <w:rFonts w:hint="cs"/>
          <w:b/>
          <w:bCs/>
          <w:spacing w:val="0"/>
          <w:sz w:val="20"/>
          <w:rtl/>
        </w:rPr>
      </w:pPr>
      <w:r w:rsidRPr="003D48E7">
        <w:rPr>
          <w:rFonts w:hint="cs"/>
          <w:b/>
          <w:bCs/>
          <w:spacing w:val="0"/>
          <w:sz w:val="20"/>
          <w:rtl/>
        </w:rPr>
        <w:tab/>
      </w:r>
      <w:r w:rsidRPr="003D48E7">
        <w:rPr>
          <w:b/>
          <w:bCs/>
          <w:spacing w:val="0"/>
          <w:sz w:val="20"/>
          <w:rtl/>
        </w:rPr>
        <w:t>(أ)</w:t>
      </w:r>
      <w:r w:rsidRPr="003D48E7">
        <w:rPr>
          <w:rFonts w:hint="cs"/>
          <w:b/>
          <w:bCs/>
          <w:spacing w:val="0"/>
          <w:sz w:val="20"/>
          <w:rtl/>
        </w:rPr>
        <w:tab/>
      </w:r>
      <w:r w:rsidRPr="003D48E7">
        <w:rPr>
          <w:b/>
          <w:bCs/>
          <w:spacing w:val="0"/>
          <w:sz w:val="20"/>
          <w:rtl/>
        </w:rPr>
        <w:t xml:space="preserve">إنشاء آلية مستقلة وفعالة لتسهيل تقديم الشكاوى </w:t>
      </w:r>
      <w:r w:rsidRPr="003D48E7">
        <w:rPr>
          <w:rFonts w:hint="cs"/>
          <w:b/>
          <w:bCs/>
          <w:spacing w:val="0"/>
          <w:sz w:val="20"/>
          <w:rtl/>
        </w:rPr>
        <w:t xml:space="preserve">للسلطات العامة </w:t>
      </w:r>
      <w:r w:rsidRPr="003D48E7">
        <w:rPr>
          <w:b/>
          <w:bCs/>
          <w:spacing w:val="0"/>
          <w:sz w:val="20"/>
          <w:rtl/>
        </w:rPr>
        <w:t xml:space="preserve">من قبل ضحايا التعذيب والمعاملة السيئة، بما في ذلك الحصول على أدلة طبية لدعم مزاعمهم وضمان </w:t>
      </w:r>
      <w:r w:rsidRPr="003D48E7">
        <w:rPr>
          <w:rFonts w:hint="cs"/>
          <w:b/>
          <w:bCs/>
          <w:spacing w:val="0"/>
          <w:sz w:val="20"/>
          <w:rtl/>
        </w:rPr>
        <w:t>ال</w:t>
      </w:r>
      <w:r w:rsidRPr="003D48E7">
        <w:rPr>
          <w:b/>
          <w:bCs/>
          <w:spacing w:val="0"/>
          <w:sz w:val="20"/>
          <w:rtl/>
        </w:rPr>
        <w:t>حماي</w:t>
      </w:r>
      <w:r w:rsidRPr="003D48E7">
        <w:rPr>
          <w:rFonts w:hint="cs"/>
          <w:b/>
          <w:bCs/>
          <w:spacing w:val="0"/>
          <w:sz w:val="20"/>
          <w:rtl/>
        </w:rPr>
        <w:t>ة</w:t>
      </w:r>
      <w:r w:rsidRPr="003D48E7">
        <w:rPr>
          <w:b/>
          <w:bCs/>
          <w:spacing w:val="0"/>
          <w:sz w:val="20"/>
          <w:rtl/>
        </w:rPr>
        <w:t xml:space="preserve"> </w:t>
      </w:r>
      <w:r w:rsidRPr="003D48E7">
        <w:rPr>
          <w:rFonts w:hint="cs"/>
          <w:b/>
          <w:bCs/>
          <w:spacing w:val="0"/>
          <w:sz w:val="20"/>
          <w:rtl/>
        </w:rPr>
        <w:t>الفعلية لمقدمي</w:t>
      </w:r>
      <w:r w:rsidRPr="003D48E7">
        <w:rPr>
          <w:b/>
          <w:bCs/>
          <w:spacing w:val="0"/>
          <w:sz w:val="20"/>
          <w:rtl/>
        </w:rPr>
        <w:t xml:space="preserve"> الشكاوى </w:t>
      </w:r>
      <w:r w:rsidRPr="003D48E7">
        <w:rPr>
          <w:rFonts w:hint="cs"/>
          <w:b/>
          <w:bCs/>
          <w:spacing w:val="0"/>
          <w:sz w:val="20"/>
          <w:rtl/>
        </w:rPr>
        <w:t xml:space="preserve">من </w:t>
      </w:r>
      <w:r w:rsidRPr="003D48E7">
        <w:rPr>
          <w:b/>
          <w:bCs/>
          <w:spacing w:val="0"/>
          <w:sz w:val="20"/>
          <w:rtl/>
        </w:rPr>
        <w:t xml:space="preserve">أي سوء معاملة أو ترهيب </w:t>
      </w:r>
      <w:r w:rsidRPr="003D48E7">
        <w:rPr>
          <w:rFonts w:hint="cs"/>
          <w:b/>
          <w:bCs/>
          <w:spacing w:val="0"/>
          <w:sz w:val="20"/>
          <w:rtl/>
        </w:rPr>
        <w:t>بسبب الشكاوى أو أي أدلة</w:t>
      </w:r>
      <w:r w:rsidR="002C1EA7" w:rsidRPr="003D48E7">
        <w:rPr>
          <w:rFonts w:hint="eastAsia"/>
          <w:b/>
          <w:bCs/>
          <w:spacing w:val="0"/>
          <w:sz w:val="20"/>
          <w:rtl/>
        </w:rPr>
        <w:t> </w:t>
      </w:r>
      <w:r w:rsidRPr="003D48E7">
        <w:rPr>
          <w:rFonts w:hint="cs"/>
          <w:b/>
          <w:bCs/>
          <w:spacing w:val="0"/>
          <w:sz w:val="20"/>
          <w:rtl/>
        </w:rPr>
        <w:t>تم تقديمها</w:t>
      </w:r>
      <w:r w:rsidRPr="003D48E7">
        <w:rPr>
          <w:b/>
          <w:bCs/>
          <w:spacing w:val="0"/>
          <w:sz w:val="20"/>
          <w:rtl/>
        </w:rPr>
        <w:t xml:space="preserve">. </w:t>
      </w:r>
      <w:r w:rsidRPr="003D48E7">
        <w:rPr>
          <w:rFonts w:hint="cs"/>
          <w:b/>
          <w:bCs/>
          <w:spacing w:val="0"/>
          <w:sz w:val="20"/>
          <w:rtl/>
        </w:rPr>
        <w:t>و</w:t>
      </w:r>
      <w:r w:rsidRPr="003D48E7">
        <w:rPr>
          <w:b/>
          <w:bCs/>
          <w:spacing w:val="0"/>
          <w:sz w:val="20"/>
          <w:rtl/>
        </w:rPr>
        <w:t>على وج</w:t>
      </w:r>
      <w:r w:rsidRPr="003D48E7">
        <w:rPr>
          <w:rFonts w:hint="cs"/>
          <w:b/>
          <w:bCs/>
          <w:spacing w:val="0"/>
          <w:sz w:val="20"/>
          <w:rtl/>
        </w:rPr>
        <w:t>ـ</w:t>
      </w:r>
      <w:r w:rsidRPr="003D48E7">
        <w:rPr>
          <w:b/>
          <w:bCs/>
          <w:spacing w:val="0"/>
          <w:sz w:val="20"/>
          <w:rtl/>
        </w:rPr>
        <w:t xml:space="preserve">ه الخصوص، </w:t>
      </w:r>
      <w:r w:rsidRPr="003D48E7">
        <w:rPr>
          <w:rFonts w:hint="cs"/>
          <w:b/>
          <w:bCs/>
          <w:spacing w:val="0"/>
          <w:sz w:val="20"/>
          <w:rtl/>
        </w:rPr>
        <w:t>و</w:t>
      </w:r>
      <w:r w:rsidRPr="003D48E7">
        <w:rPr>
          <w:b/>
          <w:bCs/>
          <w:spacing w:val="0"/>
          <w:sz w:val="20"/>
          <w:rtl/>
        </w:rPr>
        <w:t>على النح</w:t>
      </w:r>
      <w:r w:rsidRPr="003D48E7">
        <w:rPr>
          <w:rFonts w:hint="cs"/>
          <w:b/>
          <w:bCs/>
          <w:spacing w:val="0"/>
          <w:sz w:val="20"/>
          <w:rtl/>
        </w:rPr>
        <w:t>ـ</w:t>
      </w:r>
      <w:r w:rsidRPr="003D48E7">
        <w:rPr>
          <w:b/>
          <w:bCs/>
          <w:spacing w:val="0"/>
          <w:sz w:val="20"/>
          <w:rtl/>
        </w:rPr>
        <w:t xml:space="preserve">و الموصى به </w:t>
      </w:r>
      <w:r w:rsidRPr="003D48E7">
        <w:rPr>
          <w:rFonts w:hint="cs"/>
          <w:b/>
          <w:bCs/>
          <w:spacing w:val="0"/>
          <w:sz w:val="20"/>
          <w:rtl/>
        </w:rPr>
        <w:t xml:space="preserve">سابقاً </w:t>
      </w:r>
      <w:r w:rsidRPr="003D48E7">
        <w:rPr>
          <w:b/>
          <w:bCs/>
          <w:spacing w:val="0"/>
          <w:sz w:val="20"/>
          <w:rtl/>
        </w:rPr>
        <w:t>(</w:t>
      </w:r>
      <w:r w:rsidRPr="003D48E7">
        <w:rPr>
          <w:b/>
          <w:bCs/>
          <w:spacing w:val="0"/>
          <w:sz w:val="20"/>
        </w:rPr>
        <w:t>A/56/44</w:t>
      </w:r>
      <w:r w:rsidRPr="003D48E7">
        <w:rPr>
          <w:b/>
          <w:bCs/>
          <w:spacing w:val="0"/>
          <w:sz w:val="20"/>
          <w:rtl/>
        </w:rPr>
        <w:t>، الفقرة</w:t>
      </w:r>
      <w:r w:rsidR="002C1EA7" w:rsidRPr="003D48E7">
        <w:rPr>
          <w:rFonts w:hint="cs"/>
          <w:b/>
          <w:bCs/>
          <w:spacing w:val="0"/>
          <w:sz w:val="20"/>
          <w:rtl/>
        </w:rPr>
        <w:t> </w:t>
      </w:r>
      <w:r w:rsidRPr="003D48E7">
        <w:rPr>
          <w:b/>
          <w:bCs/>
          <w:spacing w:val="0"/>
          <w:sz w:val="20"/>
          <w:rtl/>
        </w:rPr>
        <w:t>46(ج))</w:t>
      </w:r>
      <w:r w:rsidRPr="003D48E7">
        <w:rPr>
          <w:rFonts w:hint="cs"/>
          <w:b/>
          <w:bCs/>
          <w:spacing w:val="0"/>
          <w:sz w:val="20"/>
          <w:rtl/>
        </w:rPr>
        <w:t>،</w:t>
      </w:r>
      <w:r w:rsidRPr="003D48E7">
        <w:rPr>
          <w:b/>
          <w:bCs/>
          <w:spacing w:val="0"/>
          <w:sz w:val="20"/>
          <w:rtl/>
        </w:rPr>
        <w:t xml:space="preserve"> ينبغي للدولة الطرف النظر في إمكانية إنشاء لجان حكومية وغير حكومية </w:t>
      </w:r>
      <w:r w:rsidRPr="003D48E7">
        <w:rPr>
          <w:rFonts w:hint="cs"/>
          <w:b/>
          <w:bCs/>
          <w:spacing w:val="0"/>
          <w:sz w:val="20"/>
          <w:rtl/>
        </w:rPr>
        <w:t xml:space="preserve">معنية بحقوق الإنسان - تكون </w:t>
      </w:r>
      <w:r w:rsidRPr="003D48E7">
        <w:rPr>
          <w:b/>
          <w:bCs/>
          <w:spacing w:val="0"/>
          <w:sz w:val="20"/>
          <w:rtl/>
        </w:rPr>
        <w:t xml:space="preserve">مستقلة ونزيهة </w:t>
      </w:r>
      <w:r w:rsidRPr="003D48E7">
        <w:rPr>
          <w:rFonts w:hint="cs"/>
          <w:b/>
          <w:bCs/>
          <w:spacing w:val="0"/>
          <w:sz w:val="20"/>
          <w:rtl/>
        </w:rPr>
        <w:t>و</w:t>
      </w:r>
      <w:r w:rsidRPr="003D48E7">
        <w:rPr>
          <w:b/>
          <w:bCs/>
          <w:spacing w:val="0"/>
          <w:sz w:val="20"/>
          <w:rtl/>
        </w:rPr>
        <w:t>ذات سلطة فعلية تقوم، ضمن جملة أمور، بتعزيز حقوق الإنسان والتحقيق في جميع الشكاوى المتعلقة بانتهاكات حقوق الإنسان، وخاصة تلك التي تتصل بتنفيذ الاتفاقية؛</w:t>
      </w:r>
    </w:p>
    <w:p w:rsidR="004E0A37" w:rsidRPr="003D48E7" w:rsidRDefault="004E0A37" w:rsidP="00B345DB">
      <w:pPr>
        <w:pStyle w:val="SingleTxtGA"/>
        <w:spacing w:line="360" w:lineRule="exact"/>
        <w:jc w:val="lowKashida"/>
        <w:rPr>
          <w:rFonts w:hint="cs"/>
          <w:b/>
          <w:bCs/>
          <w:spacing w:val="0"/>
          <w:sz w:val="20"/>
          <w:rtl/>
        </w:rPr>
      </w:pPr>
      <w:r w:rsidRPr="003D48E7">
        <w:rPr>
          <w:rFonts w:hint="cs"/>
          <w:b/>
          <w:bCs/>
          <w:spacing w:val="0"/>
          <w:sz w:val="20"/>
          <w:rtl/>
        </w:rPr>
        <w:tab/>
        <w:t>(ب)</w:t>
      </w:r>
      <w:r w:rsidRPr="003D48E7">
        <w:rPr>
          <w:rFonts w:hint="cs"/>
          <w:b/>
          <w:bCs/>
          <w:spacing w:val="0"/>
          <w:sz w:val="20"/>
          <w:rtl/>
        </w:rPr>
        <w:tab/>
      </w:r>
      <w:r w:rsidRPr="003D48E7">
        <w:rPr>
          <w:b/>
          <w:bCs/>
          <w:spacing w:val="0"/>
          <w:sz w:val="20"/>
          <w:rtl/>
        </w:rPr>
        <w:t xml:space="preserve">إدانة ممارسة التعذيب بجميع أشكاله إدانة علنية لا لبس فيها، بالتوجه على الخصوص إلى الموظفين المكلفين بإنفاذ القوانين والقوات المسلحة وموظفي السجون، </w:t>
      </w:r>
      <w:r w:rsidRPr="003D48E7">
        <w:rPr>
          <w:rFonts w:hint="cs"/>
          <w:b/>
          <w:bCs/>
          <w:spacing w:val="0"/>
          <w:sz w:val="20"/>
          <w:rtl/>
        </w:rPr>
        <w:t>وبتضمين</w:t>
      </w:r>
      <w:r w:rsidRPr="003D48E7">
        <w:rPr>
          <w:b/>
          <w:bCs/>
          <w:spacing w:val="0"/>
          <w:sz w:val="20"/>
          <w:rtl/>
        </w:rPr>
        <w:t xml:space="preserve"> تصريحاتها تحذيرات واضحة </w:t>
      </w:r>
      <w:r w:rsidRPr="003D48E7">
        <w:rPr>
          <w:rFonts w:hint="cs"/>
          <w:b/>
          <w:bCs/>
          <w:spacing w:val="0"/>
          <w:sz w:val="20"/>
          <w:rtl/>
        </w:rPr>
        <w:t xml:space="preserve">مفادها </w:t>
      </w:r>
      <w:r w:rsidRPr="003D48E7">
        <w:rPr>
          <w:b/>
          <w:bCs/>
          <w:spacing w:val="0"/>
          <w:sz w:val="20"/>
          <w:rtl/>
        </w:rPr>
        <w:t>أن كل شخص يرتكب هذه الأعمال، أو</w:t>
      </w:r>
      <w:r w:rsidR="002C1EA7" w:rsidRPr="003D48E7">
        <w:rPr>
          <w:rFonts w:hint="cs"/>
          <w:b/>
          <w:bCs/>
          <w:spacing w:val="0"/>
          <w:sz w:val="20"/>
          <w:rtl/>
        </w:rPr>
        <w:t> </w:t>
      </w:r>
      <w:r w:rsidRPr="003D48E7">
        <w:rPr>
          <w:b/>
          <w:bCs/>
          <w:spacing w:val="0"/>
          <w:sz w:val="20"/>
          <w:rtl/>
        </w:rPr>
        <w:t>يشارك في ارتكابها، أو يتواطأ مع مرتكبيها، سيتحمل مسؤوليتها شخصياً أمام القانون ويتعرض لعقوبات جنائية؛</w:t>
      </w:r>
    </w:p>
    <w:p w:rsidR="004E0A37" w:rsidRPr="003D48E7" w:rsidRDefault="004E0A37" w:rsidP="00B345DB">
      <w:pPr>
        <w:pStyle w:val="SingleTxtGA"/>
        <w:spacing w:line="360" w:lineRule="exact"/>
        <w:jc w:val="lowKashida"/>
        <w:rPr>
          <w:rFonts w:hint="cs"/>
          <w:b/>
          <w:bCs/>
          <w:spacing w:val="0"/>
          <w:sz w:val="20"/>
          <w:rtl/>
        </w:rPr>
      </w:pPr>
      <w:r w:rsidRPr="003D48E7">
        <w:rPr>
          <w:rFonts w:hint="cs"/>
          <w:b/>
          <w:bCs/>
          <w:spacing w:val="0"/>
          <w:sz w:val="20"/>
          <w:rtl/>
        </w:rPr>
        <w:tab/>
      </w:r>
      <w:r w:rsidRPr="003D48E7">
        <w:rPr>
          <w:b/>
          <w:bCs/>
          <w:spacing w:val="0"/>
          <w:sz w:val="20"/>
          <w:rtl/>
        </w:rPr>
        <w:t>(ج)</w:t>
      </w:r>
      <w:r w:rsidRPr="003D48E7">
        <w:rPr>
          <w:b/>
          <w:bCs/>
          <w:spacing w:val="0"/>
          <w:sz w:val="20"/>
          <w:rtl/>
        </w:rPr>
        <w:tab/>
        <w:t xml:space="preserve">العمل، عند افتراض </w:t>
      </w:r>
      <w:r w:rsidRPr="003D48E7">
        <w:rPr>
          <w:rFonts w:hint="cs"/>
          <w:b/>
          <w:bCs/>
          <w:spacing w:val="0"/>
          <w:sz w:val="20"/>
          <w:rtl/>
        </w:rPr>
        <w:t xml:space="preserve">وقوع </w:t>
      </w:r>
      <w:r w:rsidRPr="003D48E7">
        <w:rPr>
          <w:b/>
          <w:bCs/>
          <w:spacing w:val="0"/>
          <w:sz w:val="20"/>
          <w:rtl/>
        </w:rPr>
        <w:t>حالة تعذيب، على إيقاف المشتبه فيهم فوراً عن أداء مهامهم خلال مدة التحقيق، خاصة إذا كان استبقاؤهم يمكن أن يتسبب في عرقلة التحقيق؛</w:t>
      </w:r>
    </w:p>
    <w:p w:rsidR="004E0A37" w:rsidRPr="003D48E7" w:rsidRDefault="004E0A37" w:rsidP="00B345DB">
      <w:pPr>
        <w:pStyle w:val="SingleTxtGA"/>
        <w:spacing w:line="360" w:lineRule="exact"/>
        <w:jc w:val="lowKashida"/>
        <w:rPr>
          <w:b/>
          <w:bCs/>
          <w:spacing w:val="0"/>
          <w:sz w:val="20"/>
          <w:rtl/>
        </w:rPr>
      </w:pPr>
      <w:r w:rsidRPr="003D48E7">
        <w:rPr>
          <w:rFonts w:hint="cs"/>
          <w:b/>
          <w:bCs/>
          <w:spacing w:val="0"/>
          <w:sz w:val="20"/>
          <w:rtl/>
        </w:rPr>
        <w:tab/>
      </w:r>
      <w:r w:rsidRPr="003D48E7">
        <w:rPr>
          <w:b/>
          <w:bCs/>
          <w:spacing w:val="0"/>
          <w:sz w:val="20"/>
          <w:rtl/>
        </w:rPr>
        <w:t>(د)</w:t>
      </w:r>
      <w:r w:rsidRPr="003D48E7">
        <w:rPr>
          <w:rFonts w:hint="cs"/>
          <w:b/>
          <w:bCs/>
          <w:spacing w:val="0"/>
          <w:sz w:val="20"/>
          <w:rtl/>
        </w:rPr>
        <w:tab/>
      </w:r>
      <w:r w:rsidRPr="003D48E7">
        <w:rPr>
          <w:b/>
          <w:bCs/>
          <w:spacing w:val="0"/>
          <w:sz w:val="20"/>
          <w:rtl/>
        </w:rPr>
        <w:t xml:space="preserve">تقديم نتائج التحقيق في الادعاءات التي أثارتها اللجنة، بما في ذلك حالات </w:t>
      </w:r>
      <w:r w:rsidRPr="003D48E7">
        <w:rPr>
          <w:rFonts w:hint="cs"/>
          <w:b/>
          <w:bCs/>
          <w:spacing w:val="0"/>
          <w:sz w:val="20"/>
          <w:rtl/>
        </w:rPr>
        <w:t>أ</w:t>
      </w:r>
      <w:r w:rsidRPr="003D48E7">
        <w:rPr>
          <w:b/>
          <w:bCs/>
          <w:spacing w:val="0"/>
          <w:sz w:val="20"/>
          <w:rtl/>
        </w:rPr>
        <w:t>لي</w:t>
      </w:r>
      <w:r w:rsidRPr="003D48E7">
        <w:rPr>
          <w:rFonts w:hint="cs"/>
          <w:b/>
          <w:bCs/>
          <w:spacing w:val="0"/>
          <w:sz w:val="20"/>
          <w:rtl/>
        </w:rPr>
        <w:t>س ميكاليفيتش وأ</w:t>
      </w:r>
      <w:r w:rsidRPr="003D48E7">
        <w:rPr>
          <w:b/>
          <w:bCs/>
          <w:spacing w:val="0"/>
          <w:sz w:val="20"/>
          <w:rtl/>
        </w:rPr>
        <w:t>ندري</w:t>
      </w:r>
      <w:r w:rsidRPr="003D48E7">
        <w:rPr>
          <w:rFonts w:hint="cs"/>
          <w:b/>
          <w:bCs/>
          <w:spacing w:val="0"/>
          <w:sz w:val="20"/>
          <w:rtl/>
        </w:rPr>
        <w:t>ه سانيكوف وأ</w:t>
      </w:r>
      <w:r w:rsidRPr="003D48E7">
        <w:rPr>
          <w:b/>
          <w:bCs/>
          <w:spacing w:val="0"/>
          <w:sz w:val="20"/>
          <w:rtl/>
        </w:rPr>
        <w:t>لكسند</w:t>
      </w:r>
      <w:r w:rsidRPr="003D48E7">
        <w:rPr>
          <w:rFonts w:hint="cs"/>
          <w:b/>
          <w:bCs/>
          <w:spacing w:val="0"/>
          <w:sz w:val="20"/>
          <w:rtl/>
        </w:rPr>
        <w:t>ر أوتروشينكوف و</w:t>
      </w:r>
      <w:r w:rsidRPr="003D48E7">
        <w:rPr>
          <w:b/>
          <w:bCs/>
          <w:spacing w:val="0"/>
          <w:sz w:val="20"/>
          <w:rtl/>
        </w:rPr>
        <w:t>فلاديمير</w:t>
      </w:r>
      <w:r w:rsidRPr="003D48E7">
        <w:rPr>
          <w:rFonts w:hint="cs"/>
          <w:b/>
          <w:bCs/>
          <w:spacing w:val="0"/>
          <w:sz w:val="20"/>
          <w:rtl/>
        </w:rPr>
        <w:t xml:space="preserve"> نيكلاييف</w:t>
      </w:r>
      <w:r w:rsidRPr="003D48E7">
        <w:rPr>
          <w:b/>
          <w:bCs/>
          <w:spacing w:val="0"/>
          <w:sz w:val="20"/>
          <w:rtl/>
        </w:rPr>
        <w:t xml:space="preserve"> </w:t>
      </w:r>
      <w:r w:rsidRPr="003D48E7">
        <w:rPr>
          <w:rFonts w:hint="cs"/>
          <w:b/>
          <w:bCs/>
          <w:spacing w:val="0"/>
          <w:sz w:val="20"/>
          <w:rtl/>
        </w:rPr>
        <w:t>و</w:t>
      </w:r>
      <w:r w:rsidRPr="003D48E7">
        <w:rPr>
          <w:b/>
          <w:bCs/>
          <w:spacing w:val="0"/>
          <w:sz w:val="20"/>
          <w:rtl/>
        </w:rPr>
        <w:t>ناتاليا</w:t>
      </w:r>
      <w:r w:rsidR="002C1EA7" w:rsidRPr="003D48E7">
        <w:rPr>
          <w:rFonts w:hint="cs"/>
          <w:b/>
          <w:bCs/>
          <w:spacing w:val="0"/>
          <w:sz w:val="20"/>
          <w:rtl/>
        </w:rPr>
        <w:t> </w:t>
      </w:r>
      <w:r w:rsidRPr="003D48E7">
        <w:rPr>
          <w:b/>
          <w:bCs/>
          <w:spacing w:val="0"/>
          <w:sz w:val="20"/>
          <w:rtl/>
        </w:rPr>
        <w:t>ردينة وماي</w:t>
      </w:r>
      <w:r w:rsidRPr="003D48E7">
        <w:rPr>
          <w:rFonts w:hint="cs"/>
          <w:b/>
          <w:bCs/>
          <w:spacing w:val="0"/>
          <w:sz w:val="20"/>
          <w:rtl/>
        </w:rPr>
        <w:t>ا أبرومشيك</w:t>
      </w:r>
      <w:r w:rsidRPr="003D48E7">
        <w:rPr>
          <w:b/>
          <w:bCs/>
          <w:spacing w:val="0"/>
          <w:sz w:val="20"/>
          <w:rtl/>
        </w:rPr>
        <w:t xml:space="preserve">، </w:t>
      </w:r>
      <w:r w:rsidRPr="003D48E7">
        <w:rPr>
          <w:rFonts w:hint="cs"/>
          <w:b/>
          <w:bCs/>
          <w:spacing w:val="0"/>
          <w:sz w:val="20"/>
          <w:rtl/>
        </w:rPr>
        <w:t>و</w:t>
      </w:r>
      <w:r w:rsidRPr="003D48E7">
        <w:rPr>
          <w:b/>
          <w:bCs/>
          <w:spacing w:val="0"/>
          <w:sz w:val="20"/>
          <w:rtl/>
        </w:rPr>
        <w:t>مزاعم أوسع</w:t>
      </w:r>
      <w:r w:rsidRPr="003D48E7">
        <w:rPr>
          <w:rFonts w:hint="cs"/>
          <w:b/>
          <w:bCs/>
          <w:spacing w:val="0"/>
          <w:sz w:val="20"/>
          <w:rtl/>
        </w:rPr>
        <w:t xml:space="preserve"> نطاقاً بشأن الاستخدام</w:t>
      </w:r>
      <w:r w:rsidRPr="003D48E7">
        <w:rPr>
          <w:b/>
          <w:bCs/>
          <w:spacing w:val="0"/>
          <w:sz w:val="20"/>
          <w:rtl/>
        </w:rPr>
        <w:t xml:space="preserve"> العشوائي وغير المتناسب للقوة من قبل شرطة مكافحة الشغب ضد ما يقرب من 300 شخص في ساحة الاستقلال في 19 </w:t>
      </w:r>
      <w:r w:rsidRPr="003D48E7">
        <w:rPr>
          <w:rFonts w:hint="cs"/>
          <w:b/>
          <w:bCs/>
          <w:spacing w:val="0"/>
          <w:sz w:val="20"/>
          <w:rtl/>
        </w:rPr>
        <w:t>كانون الأول/</w:t>
      </w:r>
      <w:r w:rsidRPr="003D48E7">
        <w:rPr>
          <w:b/>
          <w:bCs/>
          <w:spacing w:val="0"/>
          <w:sz w:val="20"/>
          <w:rtl/>
        </w:rPr>
        <w:t>ديسمبر 2010.</w:t>
      </w:r>
    </w:p>
    <w:p w:rsidR="004E0A37" w:rsidRPr="004E0A37" w:rsidRDefault="004E0A37" w:rsidP="002C1EA7">
      <w:pPr>
        <w:pStyle w:val="H23GA"/>
        <w:rPr>
          <w:rtl/>
          <w:lang w:val="fr-CH"/>
        </w:rPr>
      </w:pPr>
      <w:r w:rsidRPr="004E0A37">
        <w:rPr>
          <w:rFonts w:hint="cs"/>
          <w:rtl/>
          <w:lang w:val="fr-CH"/>
        </w:rPr>
        <w:tab/>
      </w:r>
      <w:r w:rsidRPr="004E0A37">
        <w:rPr>
          <w:rFonts w:hint="cs"/>
          <w:rtl/>
          <w:lang w:val="fr-CH"/>
        </w:rPr>
        <w:tab/>
      </w:r>
      <w:r w:rsidRPr="004E0A37">
        <w:rPr>
          <w:rtl/>
          <w:lang w:val="fr-CH"/>
        </w:rPr>
        <w:t>استقلال القضاء</w:t>
      </w:r>
    </w:p>
    <w:p w:rsidR="004E0A37" w:rsidRPr="004E0A37" w:rsidRDefault="004E0A37" w:rsidP="00AE2E4C">
      <w:pPr>
        <w:pStyle w:val="SingleTxtGA"/>
        <w:jc w:val="lowKashida"/>
        <w:rPr>
          <w:spacing w:val="0"/>
          <w:sz w:val="20"/>
          <w:rtl/>
        </w:rPr>
      </w:pPr>
      <w:r w:rsidRPr="004E0A37">
        <w:rPr>
          <w:rFonts w:hint="cs"/>
          <w:spacing w:val="0"/>
          <w:sz w:val="20"/>
          <w:rtl/>
        </w:rPr>
        <w:t>(</w:t>
      </w:r>
      <w:r w:rsidRPr="004E0A37">
        <w:rPr>
          <w:spacing w:val="0"/>
          <w:sz w:val="20"/>
          <w:rtl/>
        </w:rPr>
        <w:t>12</w:t>
      </w:r>
      <w:r w:rsidRPr="004E0A37">
        <w:rPr>
          <w:rFonts w:hint="cs"/>
          <w:spacing w:val="0"/>
          <w:sz w:val="20"/>
          <w:rtl/>
        </w:rPr>
        <w:t>)</w:t>
      </w:r>
      <w:r w:rsidRPr="004E0A37">
        <w:rPr>
          <w:rFonts w:hint="cs"/>
          <w:spacing w:val="0"/>
          <w:sz w:val="20"/>
          <w:rtl/>
        </w:rPr>
        <w:tab/>
        <w:t xml:space="preserve">في حين تلاحظ اللجنة </w:t>
      </w:r>
      <w:r w:rsidRPr="004E0A37">
        <w:rPr>
          <w:spacing w:val="0"/>
          <w:sz w:val="20"/>
          <w:rtl/>
        </w:rPr>
        <w:t>أن المادة 110 من الدستور والمادة 22 من قانون الإجراءات الجنائية تنص</w:t>
      </w:r>
      <w:r w:rsidRPr="004E0A37">
        <w:rPr>
          <w:rFonts w:hint="cs"/>
          <w:spacing w:val="0"/>
          <w:sz w:val="20"/>
          <w:rtl/>
        </w:rPr>
        <w:t>ان</w:t>
      </w:r>
      <w:r w:rsidRPr="004E0A37">
        <w:rPr>
          <w:spacing w:val="0"/>
          <w:sz w:val="20"/>
          <w:rtl/>
        </w:rPr>
        <w:t xml:space="preserve"> على وجود قضاء مستقل، </w:t>
      </w:r>
      <w:r w:rsidRPr="004E0A37">
        <w:rPr>
          <w:rFonts w:hint="cs"/>
          <w:spacing w:val="0"/>
          <w:sz w:val="20"/>
          <w:rtl/>
        </w:rPr>
        <w:t>فإنها تشعر بقلق بالغ</w:t>
      </w:r>
      <w:r w:rsidRPr="004E0A37">
        <w:rPr>
          <w:spacing w:val="0"/>
          <w:sz w:val="20"/>
          <w:rtl/>
        </w:rPr>
        <w:t xml:space="preserve"> </w:t>
      </w:r>
      <w:r w:rsidRPr="004E0A37">
        <w:rPr>
          <w:rFonts w:hint="cs"/>
          <w:spacing w:val="0"/>
          <w:sz w:val="20"/>
          <w:rtl/>
        </w:rPr>
        <w:t>إزاء</w:t>
      </w:r>
      <w:r w:rsidRPr="004E0A37">
        <w:rPr>
          <w:spacing w:val="0"/>
          <w:sz w:val="20"/>
          <w:rtl/>
        </w:rPr>
        <w:t xml:space="preserve"> الأحكام الأخرى الواردة في القانون البيلاروسي، وتحديداً </w:t>
      </w:r>
      <w:r w:rsidRPr="004E0A37">
        <w:rPr>
          <w:rFonts w:hint="cs"/>
          <w:spacing w:val="0"/>
          <w:sz w:val="20"/>
          <w:rtl/>
        </w:rPr>
        <w:t>تلك المتعلقة ب</w:t>
      </w:r>
      <w:r w:rsidRPr="004E0A37">
        <w:rPr>
          <w:spacing w:val="0"/>
          <w:sz w:val="20"/>
          <w:rtl/>
        </w:rPr>
        <w:t xml:space="preserve">الانضباط </w:t>
      </w:r>
      <w:r w:rsidRPr="004E0A37">
        <w:rPr>
          <w:rFonts w:hint="cs"/>
          <w:spacing w:val="0"/>
          <w:sz w:val="20"/>
          <w:rtl/>
        </w:rPr>
        <w:t>وعزل</w:t>
      </w:r>
      <w:r w:rsidRPr="004E0A37">
        <w:rPr>
          <w:spacing w:val="0"/>
          <w:sz w:val="20"/>
          <w:rtl/>
        </w:rPr>
        <w:t xml:space="preserve"> القضاة وتعيينهم </w:t>
      </w:r>
      <w:r w:rsidRPr="004E0A37">
        <w:rPr>
          <w:rFonts w:hint="cs"/>
          <w:spacing w:val="0"/>
          <w:sz w:val="20"/>
          <w:rtl/>
        </w:rPr>
        <w:t>وتوليهم المناصب وهي أحكام من شأنها تقويض هذين القانونين</w:t>
      </w:r>
      <w:r w:rsidRPr="004E0A37">
        <w:rPr>
          <w:spacing w:val="0"/>
          <w:sz w:val="20"/>
          <w:rtl/>
        </w:rPr>
        <w:t xml:space="preserve"> </w:t>
      </w:r>
      <w:r w:rsidRPr="004E0A37">
        <w:rPr>
          <w:rFonts w:hint="cs"/>
          <w:spacing w:val="0"/>
          <w:sz w:val="20"/>
          <w:rtl/>
        </w:rPr>
        <w:t>وعدم ضمان</w:t>
      </w:r>
      <w:r w:rsidRPr="004E0A37">
        <w:rPr>
          <w:spacing w:val="0"/>
          <w:sz w:val="20"/>
          <w:rtl/>
        </w:rPr>
        <w:t xml:space="preserve"> استقلال القضاة </w:t>
      </w:r>
      <w:r w:rsidRPr="004E0A37">
        <w:rPr>
          <w:rFonts w:hint="cs"/>
          <w:spacing w:val="0"/>
          <w:sz w:val="20"/>
          <w:rtl/>
        </w:rPr>
        <w:t>عن</w:t>
      </w:r>
      <w:r w:rsidRPr="004E0A37">
        <w:rPr>
          <w:spacing w:val="0"/>
          <w:sz w:val="20"/>
          <w:rtl/>
        </w:rPr>
        <w:t xml:space="preserve"> السلطة التنفيذية للحكومة (</w:t>
      </w:r>
      <w:r w:rsidRPr="004E0A37">
        <w:rPr>
          <w:rFonts w:hint="cs"/>
          <w:spacing w:val="0"/>
          <w:sz w:val="20"/>
          <w:rtl/>
        </w:rPr>
        <w:t>المواد</w:t>
      </w:r>
      <w:r w:rsidRPr="004E0A37">
        <w:rPr>
          <w:spacing w:val="0"/>
          <w:sz w:val="20"/>
          <w:rtl/>
        </w:rPr>
        <w:t xml:space="preserve"> 2 و12 و13). </w:t>
      </w:r>
      <w:r w:rsidRPr="004E0A37">
        <w:rPr>
          <w:rFonts w:hint="cs"/>
          <w:spacing w:val="0"/>
          <w:sz w:val="20"/>
          <w:rtl/>
        </w:rPr>
        <w:t>و</w:t>
      </w:r>
      <w:r w:rsidRPr="004E0A37">
        <w:rPr>
          <w:spacing w:val="0"/>
          <w:sz w:val="20"/>
          <w:rtl/>
        </w:rPr>
        <w:t>تشعر اللجنة على وجه الخصوص، بالقلق إزاء ما يلي:</w:t>
      </w:r>
    </w:p>
    <w:p w:rsidR="004E0A37" w:rsidRPr="004E0A37" w:rsidRDefault="004E0A37" w:rsidP="004E0A37">
      <w:pPr>
        <w:pStyle w:val="SingleTxtGA"/>
        <w:jc w:val="lowKashida"/>
        <w:rPr>
          <w:rFonts w:hint="cs"/>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 xml:space="preserve">ترهيب </w:t>
      </w:r>
      <w:r w:rsidRPr="004E0A37">
        <w:rPr>
          <w:rFonts w:hint="cs"/>
          <w:spacing w:val="0"/>
          <w:sz w:val="20"/>
          <w:rtl/>
        </w:rPr>
        <w:t>ا</w:t>
      </w:r>
      <w:r w:rsidRPr="004E0A37">
        <w:rPr>
          <w:spacing w:val="0"/>
          <w:sz w:val="20"/>
          <w:rtl/>
        </w:rPr>
        <w:t xml:space="preserve">لمحامين والتدخل في </w:t>
      </w:r>
      <w:r w:rsidRPr="004E0A37">
        <w:rPr>
          <w:rFonts w:hint="cs"/>
          <w:spacing w:val="0"/>
          <w:sz w:val="20"/>
          <w:rtl/>
        </w:rPr>
        <w:t>أدائهم</w:t>
      </w:r>
      <w:r w:rsidRPr="004E0A37">
        <w:rPr>
          <w:spacing w:val="0"/>
          <w:sz w:val="20"/>
          <w:rtl/>
        </w:rPr>
        <w:t xml:space="preserve"> لمهام</w:t>
      </w:r>
      <w:r w:rsidRPr="004E0A37">
        <w:rPr>
          <w:rFonts w:hint="cs"/>
          <w:spacing w:val="0"/>
          <w:sz w:val="20"/>
          <w:rtl/>
        </w:rPr>
        <w:t>هم</w:t>
      </w:r>
      <w:r w:rsidRPr="004E0A37">
        <w:rPr>
          <w:spacing w:val="0"/>
          <w:sz w:val="20"/>
          <w:rtl/>
        </w:rPr>
        <w:t xml:space="preserve"> المهنية، </w:t>
      </w:r>
      <w:r w:rsidRPr="004E0A37">
        <w:rPr>
          <w:rFonts w:hint="cs"/>
          <w:spacing w:val="0"/>
          <w:sz w:val="20"/>
          <w:rtl/>
        </w:rPr>
        <w:t xml:space="preserve">مثلما أشار إلى ذلك </w:t>
      </w:r>
      <w:r w:rsidRPr="004E0A37">
        <w:rPr>
          <w:spacing w:val="0"/>
          <w:sz w:val="20"/>
          <w:rtl/>
        </w:rPr>
        <w:t>مع القلق المقرر الخاص المعني باستقلال القضاة والمحامين (</w:t>
      </w:r>
      <w:r w:rsidRPr="004E0A37">
        <w:rPr>
          <w:spacing w:val="0"/>
          <w:sz w:val="20"/>
        </w:rPr>
        <w:t>A/HRC/17/30/Add.1</w:t>
      </w:r>
      <w:r w:rsidRPr="004E0A37">
        <w:rPr>
          <w:spacing w:val="0"/>
          <w:sz w:val="20"/>
          <w:rtl/>
        </w:rPr>
        <w:t xml:space="preserve">، الفقرة 101). </w:t>
      </w:r>
      <w:r w:rsidRPr="004E0A37">
        <w:rPr>
          <w:rFonts w:hint="cs"/>
          <w:spacing w:val="0"/>
          <w:sz w:val="20"/>
          <w:rtl/>
        </w:rPr>
        <w:t>و</w:t>
      </w:r>
      <w:r w:rsidRPr="004E0A37">
        <w:rPr>
          <w:spacing w:val="0"/>
          <w:sz w:val="20"/>
          <w:rtl/>
        </w:rPr>
        <w:t xml:space="preserve">لا تزال اللجنة تشعر بالقلق لأن نقابات المحامين، رغم </w:t>
      </w:r>
      <w:r w:rsidRPr="004E0A37">
        <w:rPr>
          <w:rFonts w:hint="cs"/>
          <w:spacing w:val="0"/>
          <w:sz w:val="20"/>
          <w:rtl/>
        </w:rPr>
        <w:t xml:space="preserve">أنها </w:t>
      </w:r>
      <w:r w:rsidRPr="004E0A37">
        <w:rPr>
          <w:spacing w:val="0"/>
          <w:sz w:val="20"/>
          <w:rtl/>
        </w:rPr>
        <w:t xml:space="preserve">مستقلة بموجب القانون، </w:t>
      </w:r>
      <w:r w:rsidRPr="004E0A37">
        <w:rPr>
          <w:rFonts w:hint="cs"/>
          <w:spacing w:val="0"/>
          <w:sz w:val="20"/>
          <w:rtl/>
        </w:rPr>
        <w:t>تتبع</w:t>
      </w:r>
      <w:r w:rsidRPr="004E0A37">
        <w:rPr>
          <w:spacing w:val="0"/>
          <w:sz w:val="20"/>
          <w:rtl/>
        </w:rPr>
        <w:t xml:space="preserve"> في الواقع لوزارة العدل التي </w:t>
      </w:r>
      <w:r w:rsidRPr="004E0A37">
        <w:rPr>
          <w:rFonts w:hint="cs"/>
          <w:spacing w:val="0"/>
          <w:sz w:val="20"/>
          <w:rtl/>
        </w:rPr>
        <w:t>شطبت من نقابة المحامين أسماء العديد من ال</w:t>
      </w:r>
      <w:r w:rsidRPr="004E0A37">
        <w:rPr>
          <w:spacing w:val="0"/>
          <w:sz w:val="20"/>
          <w:rtl/>
        </w:rPr>
        <w:t>محامين</w:t>
      </w:r>
      <w:r w:rsidRPr="004E0A37">
        <w:rPr>
          <w:rFonts w:hint="cs"/>
          <w:spacing w:val="0"/>
          <w:sz w:val="20"/>
          <w:rtl/>
        </w:rPr>
        <w:t xml:space="preserve"> الذين</w:t>
      </w:r>
      <w:r w:rsidRPr="004E0A37">
        <w:rPr>
          <w:spacing w:val="0"/>
          <w:sz w:val="20"/>
          <w:rtl/>
        </w:rPr>
        <w:t xml:space="preserve"> يدافعون عن الأفراد المحتجزين </w:t>
      </w:r>
      <w:r w:rsidRPr="004E0A37">
        <w:rPr>
          <w:rFonts w:hint="cs"/>
          <w:spacing w:val="0"/>
          <w:sz w:val="20"/>
          <w:rtl/>
        </w:rPr>
        <w:t>بسبب أحداث</w:t>
      </w:r>
      <w:r w:rsidRPr="004E0A37">
        <w:rPr>
          <w:spacing w:val="0"/>
          <w:sz w:val="20"/>
          <w:rtl/>
        </w:rPr>
        <w:t xml:space="preserve"> 19 </w:t>
      </w:r>
      <w:r w:rsidRPr="004E0A37">
        <w:rPr>
          <w:rFonts w:hint="cs"/>
          <w:spacing w:val="0"/>
          <w:sz w:val="20"/>
          <w:rtl/>
        </w:rPr>
        <w:t>كانون الأول/</w:t>
      </w:r>
      <w:r w:rsidRPr="004E0A37">
        <w:rPr>
          <w:spacing w:val="0"/>
          <w:sz w:val="20"/>
          <w:rtl/>
        </w:rPr>
        <w:t>ديسمبر 2010</w:t>
      </w:r>
      <w:r w:rsidRPr="004E0A37">
        <w:rPr>
          <w:rFonts w:hint="cs"/>
          <w:spacing w:val="0"/>
          <w:sz w:val="20"/>
          <w:rtl/>
        </w:rPr>
        <w:t>.</w:t>
      </w:r>
    </w:p>
    <w:p w:rsidR="004E0A37" w:rsidRPr="004E0A37" w:rsidRDefault="004E0A37" w:rsidP="00B345DB">
      <w:pPr>
        <w:pStyle w:val="SingleTxtGA"/>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 xml:space="preserve">الحالات التي زعم </w:t>
      </w:r>
      <w:r w:rsidRPr="004E0A37">
        <w:rPr>
          <w:rFonts w:hint="cs"/>
          <w:spacing w:val="0"/>
          <w:sz w:val="20"/>
          <w:rtl/>
        </w:rPr>
        <w:t xml:space="preserve">فيها </w:t>
      </w:r>
      <w:r w:rsidRPr="004E0A37">
        <w:rPr>
          <w:spacing w:val="0"/>
          <w:sz w:val="20"/>
          <w:rtl/>
        </w:rPr>
        <w:t xml:space="preserve">تحيز </w:t>
      </w:r>
      <w:r w:rsidRPr="004E0A37">
        <w:rPr>
          <w:rFonts w:hint="cs"/>
          <w:spacing w:val="0"/>
          <w:sz w:val="20"/>
          <w:rtl/>
        </w:rPr>
        <w:t>ال</w:t>
      </w:r>
      <w:r w:rsidRPr="004E0A37">
        <w:rPr>
          <w:spacing w:val="0"/>
          <w:sz w:val="20"/>
          <w:rtl/>
        </w:rPr>
        <w:t>قضا</w:t>
      </w:r>
      <w:r w:rsidRPr="004E0A37">
        <w:rPr>
          <w:rFonts w:hint="cs"/>
          <w:spacing w:val="0"/>
          <w:sz w:val="20"/>
          <w:rtl/>
        </w:rPr>
        <w:t>ء</w:t>
      </w:r>
      <w:r w:rsidRPr="004E0A37">
        <w:rPr>
          <w:spacing w:val="0"/>
          <w:sz w:val="20"/>
          <w:rtl/>
        </w:rPr>
        <w:t xml:space="preserve"> لصالح النيابة العامة، بما في ذلك قضية فلاديمي</w:t>
      </w:r>
      <w:r w:rsidRPr="004E0A37">
        <w:rPr>
          <w:rFonts w:hint="cs"/>
          <w:spacing w:val="0"/>
          <w:sz w:val="20"/>
          <w:rtl/>
        </w:rPr>
        <w:t>ر راسكين</w:t>
      </w:r>
      <w:r w:rsidRPr="004E0A37">
        <w:rPr>
          <w:spacing w:val="0"/>
          <w:sz w:val="20"/>
          <w:rtl/>
        </w:rPr>
        <w:t xml:space="preserve"> الذي ادعى انه كان ممنوعاً من استدعاء شهود</w:t>
      </w:r>
      <w:r w:rsidRPr="004E0A37">
        <w:rPr>
          <w:rFonts w:hint="cs"/>
          <w:spacing w:val="0"/>
          <w:sz w:val="20"/>
          <w:rtl/>
        </w:rPr>
        <w:t>ه</w:t>
      </w:r>
      <w:r w:rsidRPr="004E0A37">
        <w:rPr>
          <w:spacing w:val="0"/>
          <w:sz w:val="20"/>
          <w:rtl/>
        </w:rPr>
        <w:t xml:space="preserve"> </w:t>
      </w:r>
      <w:r w:rsidRPr="004E0A37">
        <w:rPr>
          <w:rFonts w:hint="cs"/>
          <w:spacing w:val="0"/>
          <w:sz w:val="20"/>
          <w:rtl/>
        </w:rPr>
        <w:t xml:space="preserve">واستجواب من عرضوا </w:t>
      </w:r>
      <w:r w:rsidRPr="004E0A37">
        <w:rPr>
          <w:spacing w:val="0"/>
          <w:sz w:val="20"/>
          <w:rtl/>
        </w:rPr>
        <w:t xml:space="preserve">أدلة ضده فضلاً عن أداء المحاكم في العديد من المحاكمات المتعلقة </w:t>
      </w:r>
      <w:r w:rsidRPr="004E0A37">
        <w:rPr>
          <w:rFonts w:hint="cs"/>
          <w:spacing w:val="0"/>
          <w:sz w:val="20"/>
          <w:rtl/>
        </w:rPr>
        <w:t>بأحداث</w:t>
      </w:r>
      <w:r w:rsidRPr="004E0A37">
        <w:rPr>
          <w:spacing w:val="0"/>
          <w:sz w:val="20"/>
          <w:rtl/>
        </w:rPr>
        <w:t xml:space="preserve"> 19 </w:t>
      </w:r>
      <w:r w:rsidRPr="004E0A37">
        <w:rPr>
          <w:rFonts w:hint="cs"/>
          <w:spacing w:val="0"/>
          <w:sz w:val="20"/>
          <w:rtl/>
        </w:rPr>
        <w:t>كانون الأول/</w:t>
      </w:r>
      <w:r w:rsidRPr="004E0A37">
        <w:rPr>
          <w:spacing w:val="0"/>
          <w:sz w:val="20"/>
          <w:rtl/>
        </w:rPr>
        <w:t>ديسمبر 2010.</w:t>
      </w:r>
    </w:p>
    <w:p w:rsidR="004E0A37" w:rsidRPr="00B345DB" w:rsidRDefault="004E0A37" w:rsidP="004E0A37">
      <w:pPr>
        <w:pStyle w:val="SingleTxtGA"/>
        <w:jc w:val="lowKashida"/>
        <w:rPr>
          <w:rFonts w:hint="cs"/>
          <w:b/>
          <w:bCs/>
          <w:spacing w:val="0"/>
          <w:sz w:val="20"/>
          <w:rtl/>
        </w:rPr>
      </w:pPr>
      <w:r w:rsidRPr="00B345DB">
        <w:rPr>
          <w:rFonts w:hint="cs"/>
          <w:b/>
          <w:bCs/>
          <w:spacing w:val="0"/>
          <w:sz w:val="20"/>
          <w:rtl/>
        </w:rPr>
        <w:tab/>
        <w:t>و</w:t>
      </w:r>
      <w:r w:rsidRPr="00B345DB">
        <w:rPr>
          <w:b/>
          <w:bCs/>
          <w:spacing w:val="0"/>
          <w:sz w:val="20"/>
          <w:rtl/>
        </w:rPr>
        <w:t>في ضوء توصيتها السابقة (</w:t>
      </w:r>
      <w:r w:rsidRPr="00B345DB">
        <w:rPr>
          <w:b/>
          <w:bCs/>
          <w:spacing w:val="0"/>
          <w:sz w:val="20"/>
        </w:rPr>
        <w:t>A/56/44</w:t>
      </w:r>
      <w:r w:rsidRPr="00B345DB">
        <w:rPr>
          <w:b/>
          <w:bCs/>
          <w:spacing w:val="0"/>
          <w:sz w:val="20"/>
          <w:rtl/>
        </w:rPr>
        <w:t xml:space="preserve">، الفقرة 46(د))، تحث اللجنة الدولة الطرف على </w:t>
      </w:r>
      <w:r w:rsidRPr="00B345DB">
        <w:rPr>
          <w:rFonts w:hint="cs"/>
          <w:b/>
          <w:bCs/>
          <w:spacing w:val="0"/>
          <w:sz w:val="20"/>
          <w:rtl/>
        </w:rPr>
        <w:t>القيام بما يلي:</w:t>
      </w:r>
    </w:p>
    <w:p w:rsidR="004E0A37" w:rsidRPr="00B345DB" w:rsidRDefault="004E0A37" w:rsidP="004E0A37">
      <w:pPr>
        <w:pStyle w:val="SingleTxtGA"/>
        <w:jc w:val="lowKashida"/>
        <w:rPr>
          <w:b/>
          <w:bCs/>
          <w:spacing w:val="0"/>
          <w:sz w:val="20"/>
          <w:rtl/>
        </w:rPr>
      </w:pPr>
      <w:r w:rsidRPr="00B345DB">
        <w:rPr>
          <w:rFonts w:hint="cs"/>
          <w:b/>
          <w:bCs/>
          <w:spacing w:val="0"/>
          <w:sz w:val="20"/>
          <w:rtl/>
        </w:rPr>
        <w:tab/>
      </w:r>
      <w:r w:rsidRPr="00B345DB">
        <w:rPr>
          <w:b/>
          <w:bCs/>
          <w:spacing w:val="0"/>
          <w:sz w:val="20"/>
          <w:rtl/>
        </w:rPr>
        <w:t>(أ)</w:t>
      </w:r>
      <w:r w:rsidRPr="00B345DB">
        <w:rPr>
          <w:rFonts w:hint="cs"/>
          <w:b/>
          <w:bCs/>
          <w:spacing w:val="0"/>
          <w:sz w:val="20"/>
          <w:rtl/>
        </w:rPr>
        <w:tab/>
      </w:r>
      <w:r w:rsidRPr="00B345DB">
        <w:rPr>
          <w:b/>
          <w:bCs/>
          <w:spacing w:val="0"/>
          <w:sz w:val="20"/>
          <w:rtl/>
        </w:rPr>
        <w:t xml:space="preserve">ضمان الاستقلال التام للسلطة القضائية بما يتفق مع المبادئ الأساسية </w:t>
      </w:r>
      <w:r w:rsidRPr="00B345DB">
        <w:rPr>
          <w:rFonts w:hint="cs"/>
          <w:b/>
          <w:bCs/>
          <w:spacing w:val="0"/>
          <w:sz w:val="20"/>
          <w:rtl/>
        </w:rPr>
        <w:t>ل</w:t>
      </w:r>
      <w:r w:rsidRPr="00B345DB">
        <w:rPr>
          <w:b/>
          <w:bCs/>
          <w:spacing w:val="0"/>
          <w:sz w:val="20"/>
          <w:rtl/>
        </w:rPr>
        <w:t>استقلال السلطة القضائية؛</w:t>
      </w:r>
    </w:p>
    <w:p w:rsidR="004E0A37" w:rsidRPr="00B345DB" w:rsidRDefault="004E0A37" w:rsidP="004E0A37">
      <w:pPr>
        <w:pStyle w:val="SingleTxtGA"/>
        <w:jc w:val="lowKashida"/>
        <w:rPr>
          <w:rFonts w:hint="cs"/>
          <w:b/>
          <w:bCs/>
          <w:spacing w:val="0"/>
          <w:sz w:val="20"/>
          <w:rtl/>
        </w:rPr>
      </w:pPr>
      <w:r w:rsidRPr="00B345DB">
        <w:rPr>
          <w:rFonts w:hint="cs"/>
          <w:b/>
          <w:bCs/>
          <w:spacing w:val="0"/>
          <w:sz w:val="20"/>
          <w:rtl/>
        </w:rPr>
        <w:tab/>
      </w:r>
      <w:r w:rsidRPr="00B345DB">
        <w:rPr>
          <w:b/>
          <w:bCs/>
          <w:spacing w:val="0"/>
          <w:sz w:val="20"/>
          <w:rtl/>
        </w:rPr>
        <w:t>(ب)</w:t>
      </w:r>
      <w:r w:rsidRPr="00B345DB">
        <w:rPr>
          <w:rFonts w:hint="cs"/>
          <w:b/>
          <w:bCs/>
          <w:spacing w:val="0"/>
          <w:sz w:val="20"/>
          <w:rtl/>
        </w:rPr>
        <w:tab/>
      </w:r>
      <w:r w:rsidRPr="00B345DB">
        <w:rPr>
          <w:b/>
          <w:bCs/>
          <w:spacing w:val="0"/>
          <w:sz w:val="20"/>
          <w:rtl/>
        </w:rPr>
        <w:t>ضمان اختيار</w:t>
      </w:r>
      <w:r w:rsidRPr="00B345DB">
        <w:rPr>
          <w:rFonts w:hint="cs"/>
          <w:b/>
          <w:bCs/>
          <w:spacing w:val="0"/>
          <w:sz w:val="20"/>
          <w:rtl/>
        </w:rPr>
        <w:t xml:space="preserve"> القضاة</w:t>
      </w:r>
      <w:r w:rsidRPr="00B345DB">
        <w:rPr>
          <w:b/>
          <w:bCs/>
          <w:spacing w:val="0"/>
          <w:sz w:val="20"/>
          <w:rtl/>
        </w:rPr>
        <w:t xml:space="preserve"> وتعيين</w:t>
      </w:r>
      <w:r w:rsidRPr="00B345DB">
        <w:rPr>
          <w:rFonts w:hint="cs"/>
          <w:b/>
          <w:bCs/>
          <w:spacing w:val="0"/>
          <w:sz w:val="20"/>
          <w:rtl/>
        </w:rPr>
        <w:t>هم</w:t>
      </w:r>
      <w:r w:rsidRPr="00B345DB">
        <w:rPr>
          <w:b/>
          <w:bCs/>
          <w:spacing w:val="0"/>
          <w:sz w:val="20"/>
          <w:rtl/>
        </w:rPr>
        <w:t xml:space="preserve"> </w:t>
      </w:r>
      <w:r w:rsidRPr="00B345DB">
        <w:rPr>
          <w:rFonts w:hint="cs"/>
          <w:b/>
          <w:bCs/>
          <w:spacing w:val="0"/>
          <w:sz w:val="20"/>
          <w:rtl/>
        </w:rPr>
        <w:t>وصرف مكافآتهم وتوليهم لمهامهم</w:t>
      </w:r>
      <w:r w:rsidR="00B345DB" w:rsidRPr="00B345DB">
        <w:rPr>
          <w:b/>
          <w:bCs/>
          <w:spacing w:val="0"/>
          <w:sz w:val="20"/>
          <w:rtl/>
        </w:rPr>
        <w:t xml:space="preserve"> وفقاً </w:t>
      </w:r>
      <w:r w:rsidRPr="00B345DB">
        <w:rPr>
          <w:b/>
          <w:bCs/>
          <w:spacing w:val="0"/>
          <w:sz w:val="20"/>
          <w:rtl/>
        </w:rPr>
        <w:t xml:space="preserve">لمعايير موضوعية تتعلق </w:t>
      </w:r>
      <w:r w:rsidRPr="00B345DB">
        <w:rPr>
          <w:rFonts w:hint="cs"/>
          <w:b/>
          <w:bCs/>
          <w:spacing w:val="0"/>
          <w:sz w:val="20"/>
          <w:rtl/>
        </w:rPr>
        <w:t>بالمؤهلات</w:t>
      </w:r>
      <w:r w:rsidRPr="00B345DB">
        <w:rPr>
          <w:b/>
          <w:bCs/>
          <w:spacing w:val="0"/>
          <w:sz w:val="20"/>
          <w:rtl/>
        </w:rPr>
        <w:t xml:space="preserve"> والنزاهة </w:t>
      </w:r>
      <w:r w:rsidRPr="00B345DB">
        <w:rPr>
          <w:rFonts w:hint="cs"/>
          <w:b/>
          <w:bCs/>
          <w:spacing w:val="0"/>
          <w:sz w:val="20"/>
          <w:rtl/>
        </w:rPr>
        <w:t xml:space="preserve">والقدرة </w:t>
      </w:r>
      <w:r w:rsidRPr="00B345DB">
        <w:rPr>
          <w:b/>
          <w:bCs/>
          <w:spacing w:val="0"/>
          <w:sz w:val="20"/>
          <w:rtl/>
        </w:rPr>
        <w:t>والكفاءة</w:t>
      </w:r>
      <w:r w:rsidRPr="00B345DB">
        <w:rPr>
          <w:rFonts w:hint="cs"/>
          <w:b/>
          <w:bCs/>
          <w:spacing w:val="0"/>
          <w:sz w:val="20"/>
          <w:rtl/>
        </w:rPr>
        <w:t>؛</w:t>
      </w:r>
    </w:p>
    <w:p w:rsidR="004E0A37" w:rsidRPr="00B345DB" w:rsidRDefault="004E0A37" w:rsidP="004E0A37">
      <w:pPr>
        <w:pStyle w:val="SingleTxtGA"/>
        <w:jc w:val="lowKashida"/>
        <w:rPr>
          <w:rFonts w:hint="cs"/>
          <w:b/>
          <w:bCs/>
          <w:spacing w:val="0"/>
          <w:sz w:val="20"/>
          <w:rtl/>
        </w:rPr>
      </w:pPr>
      <w:r w:rsidRPr="00B345DB">
        <w:rPr>
          <w:rFonts w:hint="cs"/>
          <w:b/>
          <w:bCs/>
          <w:spacing w:val="0"/>
          <w:sz w:val="20"/>
          <w:rtl/>
        </w:rPr>
        <w:tab/>
      </w:r>
      <w:r w:rsidRPr="00B345DB">
        <w:rPr>
          <w:b/>
          <w:bCs/>
          <w:spacing w:val="0"/>
          <w:sz w:val="20"/>
          <w:rtl/>
        </w:rPr>
        <w:t>(ج)</w:t>
      </w:r>
      <w:r w:rsidRPr="00B345DB">
        <w:rPr>
          <w:rFonts w:hint="cs"/>
          <w:b/>
          <w:bCs/>
          <w:spacing w:val="0"/>
          <w:sz w:val="20"/>
          <w:rtl/>
        </w:rPr>
        <w:tab/>
      </w:r>
      <w:r w:rsidRPr="00B345DB">
        <w:rPr>
          <w:b/>
          <w:bCs/>
          <w:spacing w:val="0"/>
          <w:sz w:val="20"/>
          <w:rtl/>
        </w:rPr>
        <w:t>التحقيق في حالات المحامين الذين مثلو</w:t>
      </w:r>
      <w:r w:rsidRPr="00B345DB">
        <w:rPr>
          <w:rFonts w:hint="cs"/>
          <w:b/>
          <w:bCs/>
          <w:spacing w:val="0"/>
          <w:sz w:val="20"/>
          <w:rtl/>
        </w:rPr>
        <w:t>ا</w:t>
      </w:r>
      <w:r w:rsidRPr="00B345DB">
        <w:rPr>
          <w:b/>
          <w:bCs/>
          <w:spacing w:val="0"/>
          <w:sz w:val="20"/>
          <w:rtl/>
        </w:rPr>
        <w:t xml:space="preserve"> الأ</w:t>
      </w:r>
      <w:r w:rsidRPr="00B345DB">
        <w:rPr>
          <w:rFonts w:hint="cs"/>
          <w:b/>
          <w:bCs/>
          <w:spacing w:val="0"/>
          <w:sz w:val="20"/>
          <w:rtl/>
        </w:rPr>
        <w:t>شخاص</w:t>
      </w:r>
      <w:r w:rsidRPr="00B345DB">
        <w:rPr>
          <w:b/>
          <w:bCs/>
          <w:spacing w:val="0"/>
          <w:sz w:val="20"/>
          <w:rtl/>
        </w:rPr>
        <w:t xml:space="preserve"> المحتجزين في </w:t>
      </w:r>
      <w:r w:rsidRPr="00B345DB">
        <w:rPr>
          <w:rFonts w:hint="cs"/>
          <w:b/>
          <w:bCs/>
          <w:spacing w:val="0"/>
          <w:sz w:val="20"/>
          <w:rtl/>
        </w:rPr>
        <w:t>إطار</w:t>
      </w:r>
      <w:r w:rsidRPr="00B345DB">
        <w:rPr>
          <w:b/>
          <w:bCs/>
          <w:spacing w:val="0"/>
          <w:sz w:val="20"/>
          <w:rtl/>
        </w:rPr>
        <w:t xml:space="preserve"> أحداث 19 </w:t>
      </w:r>
      <w:r w:rsidRPr="00B345DB">
        <w:rPr>
          <w:rFonts w:hint="cs"/>
          <w:b/>
          <w:bCs/>
          <w:spacing w:val="0"/>
          <w:sz w:val="20"/>
          <w:rtl/>
        </w:rPr>
        <w:t>كانون الأول/</w:t>
      </w:r>
      <w:r w:rsidRPr="00B345DB">
        <w:rPr>
          <w:b/>
          <w:bCs/>
          <w:spacing w:val="0"/>
          <w:sz w:val="20"/>
          <w:rtl/>
        </w:rPr>
        <w:t xml:space="preserve">ديسمبر 2010 </w:t>
      </w:r>
      <w:r w:rsidRPr="00B345DB">
        <w:rPr>
          <w:rFonts w:hint="cs"/>
          <w:b/>
          <w:bCs/>
          <w:spacing w:val="0"/>
          <w:sz w:val="20"/>
          <w:rtl/>
        </w:rPr>
        <w:t>والذين شطبت أسماؤهم لاحقاً من نقابة المحامين</w:t>
      </w:r>
      <w:r w:rsidRPr="00B345DB">
        <w:rPr>
          <w:b/>
          <w:bCs/>
          <w:spacing w:val="0"/>
          <w:sz w:val="20"/>
          <w:rtl/>
        </w:rPr>
        <w:t>، بم</w:t>
      </w:r>
      <w:r w:rsidRPr="00B345DB">
        <w:rPr>
          <w:rFonts w:hint="cs"/>
          <w:b/>
          <w:bCs/>
          <w:spacing w:val="0"/>
          <w:sz w:val="20"/>
          <w:rtl/>
        </w:rPr>
        <w:t>ن</w:t>
      </w:r>
      <w:r w:rsidRPr="00B345DB">
        <w:rPr>
          <w:b/>
          <w:bCs/>
          <w:spacing w:val="0"/>
          <w:sz w:val="20"/>
          <w:rtl/>
        </w:rPr>
        <w:t xml:space="preserve"> في</w:t>
      </w:r>
      <w:r w:rsidRPr="00B345DB">
        <w:rPr>
          <w:rFonts w:hint="cs"/>
          <w:b/>
          <w:bCs/>
          <w:spacing w:val="0"/>
          <w:sz w:val="20"/>
          <w:rtl/>
        </w:rPr>
        <w:t>هم</w:t>
      </w:r>
      <w:r w:rsidRPr="00B345DB">
        <w:rPr>
          <w:b/>
          <w:bCs/>
          <w:spacing w:val="0"/>
          <w:sz w:val="20"/>
          <w:rtl/>
        </w:rPr>
        <w:t xml:space="preserve"> بافل</w:t>
      </w:r>
      <w:r w:rsidRPr="00B345DB">
        <w:rPr>
          <w:rFonts w:hint="cs"/>
          <w:b/>
          <w:bCs/>
          <w:spacing w:val="0"/>
          <w:sz w:val="20"/>
          <w:rtl/>
        </w:rPr>
        <w:t xml:space="preserve"> سبيلكا</w:t>
      </w:r>
      <w:r w:rsidRPr="00B345DB">
        <w:rPr>
          <w:b/>
          <w:bCs/>
          <w:spacing w:val="0"/>
          <w:sz w:val="20"/>
          <w:rtl/>
        </w:rPr>
        <w:t xml:space="preserve"> </w:t>
      </w:r>
      <w:r w:rsidRPr="00B345DB">
        <w:rPr>
          <w:rFonts w:hint="cs"/>
          <w:b/>
          <w:bCs/>
          <w:spacing w:val="0"/>
          <w:sz w:val="20"/>
          <w:rtl/>
        </w:rPr>
        <w:t>وتاتسيانا أهيافا وأولادسزيمير توستسيك وآليه آليو و</w:t>
      </w:r>
      <w:r w:rsidRPr="00B345DB">
        <w:rPr>
          <w:b/>
          <w:bCs/>
          <w:spacing w:val="0"/>
          <w:sz w:val="20"/>
          <w:rtl/>
        </w:rPr>
        <w:t xml:space="preserve">تمارا </w:t>
      </w:r>
      <w:r w:rsidRPr="00B345DB">
        <w:rPr>
          <w:rFonts w:hint="cs"/>
          <w:b/>
          <w:bCs/>
          <w:spacing w:val="0"/>
          <w:sz w:val="20"/>
          <w:rtl/>
        </w:rPr>
        <w:t xml:space="preserve">هاراييفا وتمارا سيدارينكا </w:t>
      </w:r>
      <w:r w:rsidRPr="00B345DB">
        <w:rPr>
          <w:b/>
          <w:bCs/>
          <w:spacing w:val="0"/>
          <w:sz w:val="20"/>
          <w:rtl/>
        </w:rPr>
        <w:t>وإعادة رخصهم، حسب الاقتضاء</w:t>
      </w:r>
      <w:r w:rsidRPr="00B345DB">
        <w:rPr>
          <w:rFonts w:hint="cs"/>
          <w:b/>
          <w:bCs/>
          <w:spacing w:val="0"/>
          <w:sz w:val="20"/>
          <w:rtl/>
        </w:rPr>
        <w:t>.</w:t>
      </w:r>
    </w:p>
    <w:p w:rsidR="004E0A37" w:rsidRPr="004E0A37" w:rsidRDefault="00AE2E4C" w:rsidP="002C1EA7">
      <w:pPr>
        <w:pStyle w:val="H23GA"/>
        <w:rPr>
          <w:rFonts w:hint="cs"/>
          <w:rtl/>
          <w:lang w:val="fr-CH"/>
        </w:rPr>
      </w:pPr>
      <w:r>
        <w:rPr>
          <w:rtl/>
          <w:lang w:val="fr-CH"/>
        </w:rPr>
        <w:br w:type="page"/>
      </w:r>
      <w:r w:rsidR="004E0A37" w:rsidRPr="004E0A37">
        <w:rPr>
          <w:rFonts w:hint="cs"/>
          <w:rtl/>
          <w:lang w:val="fr-CH"/>
        </w:rPr>
        <w:tab/>
      </w:r>
      <w:r w:rsidR="004E0A37" w:rsidRPr="004E0A37">
        <w:rPr>
          <w:rFonts w:hint="cs"/>
          <w:rtl/>
          <w:lang w:val="fr-CH"/>
        </w:rPr>
        <w:tab/>
      </w:r>
      <w:r w:rsidR="004E0A37" w:rsidRPr="004E0A37">
        <w:rPr>
          <w:rtl/>
          <w:lang w:val="fr-CH"/>
        </w:rPr>
        <w:t>رصد أماكن الحرمان من الحرية وتفتيش</w:t>
      </w:r>
      <w:r w:rsidR="004E0A37" w:rsidRPr="004E0A37">
        <w:rPr>
          <w:rFonts w:hint="cs"/>
          <w:rtl/>
          <w:lang w:val="fr-CH"/>
        </w:rPr>
        <w:t>ها</w:t>
      </w:r>
    </w:p>
    <w:p w:rsidR="004E0A37" w:rsidRPr="004E0A37" w:rsidRDefault="00AE2E4C" w:rsidP="00AE2E4C">
      <w:pPr>
        <w:pStyle w:val="SingleTxtGA"/>
        <w:jc w:val="lowKashida"/>
        <w:rPr>
          <w:spacing w:val="0"/>
          <w:sz w:val="20"/>
          <w:rtl/>
        </w:rPr>
      </w:pPr>
      <w:r>
        <w:rPr>
          <w:rFonts w:hint="cs"/>
          <w:spacing w:val="0"/>
          <w:sz w:val="20"/>
          <w:rtl/>
        </w:rPr>
        <w:t>(</w:t>
      </w:r>
      <w:r w:rsidR="004E0A37" w:rsidRPr="004E0A37">
        <w:rPr>
          <w:spacing w:val="0"/>
          <w:sz w:val="20"/>
          <w:rtl/>
        </w:rPr>
        <w:t>13</w:t>
      </w:r>
      <w:r>
        <w:rPr>
          <w:rFonts w:hint="cs"/>
          <w:spacing w:val="0"/>
          <w:sz w:val="20"/>
          <w:rtl/>
        </w:rPr>
        <w:t>)</w:t>
      </w:r>
      <w:r w:rsidR="004E0A37" w:rsidRPr="004E0A37">
        <w:rPr>
          <w:rFonts w:hint="cs"/>
          <w:spacing w:val="0"/>
          <w:sz w:val="20"/>
          <w:rtl/>
        </w:rPr>
        <w:tab/>
      </w:r>
      <w:r w:rsidR="004E0A37" w:rsidRPr="004E0A37">
        <w:rPr>
          <w:spacing w:val="0"/>
          <w:sz w:val="20"/>
          <w:rtl/>
        </w:rPr>
        <w:t xml:space="preserve">بينما </w:t>
      </w:r>
      <w:r w:rsidR="004E0A37" w:rsidRPr="004E0A37">
        <w:rPr>
          <w:rFonts w:hint="cs"/>
          <w:spacing w:val="0"/>
          <w:sz w:val="20"/>
          <w:rtl/>
        </w:rPr>
        <w:t>تحيط</w:t>
      </w:r>
      <w:r w:rsidR="004E0A37" w:rsidRPr="004E0A37">
        <w:rPr>
          <w:spacing w:val="0"/>
          <w:sz w:val="20"/>
          <w:rtl/>
        </w:rPr>
        <w:t xml:space="preserve"> اللجنة</w:t>
      </w:r>
      <w:r w:rsidR="003833F8">
        <w:rPr>
          <w:rFonts w:hint="cs"/>
          <w:spacing w:val="0"/>
          <w:sz w:val="20"/>
          <w:rtl/>
        </w:rPr>
        <w:t xml:space="preserve"> علماً </w:t>
      </w:r>
      <w:r w:rsidR="004E0A37" w:rsidRPr="004E0A37">
        <w:rPr>
          <w:rFonts w:hint="cs"/>
          <w:spacing w:val="0"/>
          <w:sz w:val="20"/>
          <w:rtl/>
        </w:rPr>
        <w:t>ب</w:t>
      </w:r>
      <w:r w:rsidR="004E0A37" w:rsidRPr="004E0A37">
        <w:rPr>
          <w:spacing w:val="0"/>
          <w:sz w:val="20"/>
          <w:rtl/>
        </w:rPr>
        <w:t xml:space="preserve">الأنشطة التي يضطلع بها </w:t>
      </w:r>
      <w:r w:rsidR="004E0A37" w:rsidRPr="004E0A37">
        <w:rPr>
          <w:rFonts w:hint="cs"/>
          <w:spacing w:val="0"/>
          <w:sz w:val="20"/>
          <w:rtl/>
        </w:rPr>
        <w:t xml:space="preserve">كل من </w:t>
      </w:r>
      <w:r w:rsidR="004E0A37" w:rsidRPr="004E0A37">
        <w:rPr>
          <w:spacing w:val="0"/>
          <w:sz w:val="20"/>
          <w:rtl/>
        </w:rPr>
        <w:t>مكتب المدعي العام بشأن رصد مرافق الاحتجاز</w:t>
      </w:r>
      <w:r w:rsidR="004E0A37" w:rsidRPr="004E0A37">
        <w:rPr>
          <w:rFonts w:hint="cs"/>
          <w:spacing w:val="0"/>
          <w:sz w:val="20"/>
          <w:rtl/>
        </w:rPr>
        <w:t xml:space="preserve"> و</w:t>
      </w:r>
      <w:r w:rsidR="004E0A37" w:rsidRPr="004E0A37">
        <w:rPr>
          <w:spacing w:val="0"/>
          <w:sz w:val="20"/>
          <w:rtl/>
        </w:rPr>
        <w:t>لجنة الرقابة العامة الوطنية التابعة لوزارة العدل ولجان</w:t>
      </w:r>
      <w:r w:rsidR="004E0A37" w:rsidRPr="004E0A37">
        <w:rPr>
          <w:rFonts w:hint="cs"/>
          <w:spacing w:val="0"/>
          <w:sz w:val="20"/>
          <w:rtl/>
        </w:rPr>
        <w:t xml:space="preserve"> الرقابة</w:t>
      </w:r>
      <w:r w:rsidR="004E0A37" w:rsidRPr="004E0A37">
        <w:rPr>
          <w:spacing w:val="0"/>
          <w:sz w:val="20"/>
          <w:rtl/>
        </w:rPr>
        <w:t xml:space="preserve"> المحلية، </w:t>
      </w:r>
      <w:r w:rsidR="004E0A37" w:rsidRPr="004E0A37">
        <w:rPr>
          <w:rFonts w:hint="cs"/>
          <w:spacing w:val="0"/>
          <w:sz w:val="20"/>
          <w:rtl/>
        </w:rPr>
        <w:t xml:space="preserve">فإنها </w:t>
      </w:r>
      <w:r w:rsidR="004E0A37" w:rsidRPr="004E0A37">
        <w:rPr>
          <w:spacing w:val="0"/>
          <w:sz w:val="20"/>
          <w:rtl/>
        </w:rPr>
        <w:t xml:space="preserve">تشعر بقلق عميق </w:t>
      </w:r>
      <w:r w:rsidR="004E0A37" w:rsidRPr="004E0A37">
        <w:rPr>
          <w:rFonts w:hint="cs"/>
          <w:spacing w:val="0"/>
          <w:sz w:val="20"/>
          <w:rtl/>
        </w:rPr>
        <w:t xml:space="preserve">إزاء معلومات </w:t>
      </w:r>
      <w:r w:rsidR="004E0A37" w:rsidRPr="004E0A37">
        <w:rPr>
          <w:spacing w:val="0"/>
          <w:sz w:val="20"/>
          <w:rtl/>
        </w:rPr>
        <w:t>تفيد بعدم استقلال</w:t>
      </w:r>
      <w:r w:rsidR="004E0A37" w:rsidRPr="004E0A37">
        <w:rPr>
          <w:rFonts w:hint="cs"/>
          <w:spacing w:val="0"/>
          <w:sz w:val="20"/>
          <w:rtl/>
        </w:rPr>
        <w:t>ية</w:t>
      </w:r>
      <w:r w:rsidR="004E0A37" w:rsidRPr="004E0A37">
        <w:rPr>
          <w:spacing w:val="0"/>
          <w:sz w:val="20"/>
          <w:rtl/>
        </w:rPr>
        <w:t xml:space="preserve"> </w:t>
      </w:r>
      <w:r w:rsidR="004E0A37" w:rsidRPr="004E0A37">
        <w:rPr>
          <w:rFonts w:hint="cs"/>
          <w:spacing w:val="0"/>
          <w:sz w:val="20"/>
          <w:rtl/>
        </w:rPr>
        <w:t>ال</w:t>
      </w:r>
      <w:r w:rsidR="004E0A37" w:rsidRPr="004E0A37">
        <w:rPr>
          <w:spacing w:val="0"/>
          <w:sz w:val="20"/>
          <w:rtl/>
        </w:rPr>
        <w:t xml:space="preserve">نظام </w:t>
      </w:r>
      <w:r w:rsidR="004E0A37" w:rsidRPr="004E0A37">
        <w:rPr>
          <w:rFonts w:hint="cs"/>
          <w:spacing w:val="0"/>
          <w:sz w:val="20"/>
          <w:rtl/>
        </w:rPr>
        <w:t>ال</w:t>
      </w:r>
      <w:r w:rsidR="004E0A37" w:rsidRPr="004E0A37">
        <w:rPr>
          <w:spacing w:val="0"/>
          <w:sz w:val="20"/>
          <w:rtl/>
        </w:rPr>
        <w:t xml:space="preserve">وطني </w:t>
      </w:r>
      <w:r w:rsidR="004E0A37" w:rsidRPr="004E0A37">
        <w:rPr>
          <w:rFonts w:hint="cs"/>
          <w:spacing w:val="0"/>
          <w:sz w:val="20"/>
          <w:rtl/>
        </w:rPr>
        <w:t>لل</w:t>
      </w:r>
      <w:r w:rsidR="004E0A37" w:rsidRPr="004E0A37">
        <w:rPr>
          <w:spacing w:val="0"/>
          <w:sz w:val="20"/>
          <w:rtl/>
        </w:rPr>
        <w:t xml:space="preserve">رصد وعدم وجود معلومات بشأن الإجراءات والممارسات الفعالة </w:t>
      </w:r>
      <w:r w:rsidR="004E0A37" w:rsidRPr="004E0A37">
        <w:rPr>
          <w:rFonts w:hint="cs"/>
          <w:spacing w:val="0"/>
          <w:sz w:val="20"/>
          <w:rtl/>
        </w:rPr>
        <w:t>للإبلاغ</w:t>
      </w:r>
      <w:r w:rsidR="004E0A37" w:rsidRPr="004E0A37">
        <w:rPr>
          <w:spacing w:val="0"/>
          <w:sz w:val="20"/>
          <w:rtl/>
        </w:rPr>
        <w:t xml:space="preserve">. وتأسف اللجنة أيضاً </w:t>
      </w:r>
      <w:r w:rsidR="004E0A37" w:rsidRPr="004E0A37">
        <w:rPr>
          <w:rFonts w:hint="cs"/>
          <w:spacing w:val="0"/>
          <w:sz w:val="20"/>
          <w:rtl/>
        </w:rPr>
        <w:t xml:space="preserve">لورود </w:t>
      </w:r>
      <w:r w:rsidR="004E0A37" w:rsidRPr="004E0A37">
        <w:rPr>
          <w:spacing w:val="0"/>
          <w:sz w:val="20"/>
          <w:rtl/>
        </w:rPr>
        <w:t xml:space="preserve">تقارير عن سوء الاستخدام المزعوم </w:t>
      </w:r>
      <w:r w:rsidR="004E0A37" w:rsidRPr="004E0A37">
        <w:rPr>
          <w:rFonts w:hint="cs"/>
          <w:spacing w:val="0"/>
          <w:sz w:val="20"/>
          <w:rtl/>
        </w:rPr>
        <w:t>ل</w:t>
      </w:r>
      <w:r w:rsidR="004E0A37" w:rsidRPr="004E0A37">
        <w:rPr>
          <w:spacing w:val="0"/>
          <w:sz w:val="20"/>
          <w:rtl/>
        </w:rPr>
        <w:t xml:space="preserve">لعلاج النفسي لأسباب غير طبية وعدم </w:t>
      </w:r>
      <w:r w:rsidR="004E0A37" w:rsidRPr="004E0A37">
        <w:rPr>
          <w:rFonts w:hint="cs"/>
          <w:spacing w:val="0"/>
          <w:sz w:val="20"/>
          <w:rtl/>
        </w:rPr>
        <w:t xml:space="preserve">إجراء </w:t>
      </w:r>
      <w:r w:rsidR="004E0A37" w:rsidRPr="004E0A37">
        <w:rPr>
          <w:spacing w:val="0"/>
          <w:sz w:val="20"/>
          <w:rtl/>
        </w:rPr>
        <w:t xml:space="preserve">تفتيش </w:t>
      </w:r>
      <w:r w:rsidR="004E0A37" w:rsidRPr="004E0A37">
        <w:rPr>
          <w:rFonts w:hint="cs"/>
          <w:spacing w:val="0"/>
          <w:sz w:val="20"/>
          <w:rtl/>
        </w:rPr>
        <w:t xml:space="preserve">في </w:t>
      </w:r>
      <w:r w:rsidR="004E0A37" w:rsidRPr="004E0A37">
        <w:rPr>
          <w:spacing w:val="0"/>
          <w:sz w:val="20"/>
          <w:rtl/>
        </w:rPr>
        <w:t>مستشفيات الأمراض النفسية (</w:t>
      </w:r>
      <w:r w:rsidR="004E0A37" w:rsidRPr="004E0A37">
        <w:rPr>
          <w:rFonts w:hint="cs"/>
          <w:spacing w:val="0"/>
          <w:sz w:val="20"/>
          <w:rtl/>
        </w:rPr>
        <w:t>المواد</w:t>
      </w:r>
      <w:r w:rsidR="004E0A37" w:rsidRPr="004E0A37">
        <w:rPr>
          <w:spacing w:val="0"/>
          <w:sz w:val="20"/>
          <w:rtl/>
        </w:rPr>
        <w:t xml:space="preserve"> 2 و11 و16).</w:t>
      </w:r>
    </w:p>
    <w:p w:rsidR="004E0A37" w:rsidRPr="00AE2E4C" w:rsidRDefault="004E0A37" w:rsidP="004E0A37">
      <w:pPr>
        <w:pStyle w:val="SingleTxtGA"/>
        <w:jc w:val="lowKashida"/>
        <w:rPr>
          <w:rFonts w:hint="cs"/>
          <w:b/>
          <w:bCs/>
          <w:spacing w:val="0"/>
          <w:sz w:val="20"/>
          <w:rtl/>
        </w:rPr>
      </w:pPr>
      <w:r w:rsidRPr="00AE2E4C">
        <w:rPr>
          <w:rFonts w:hint="cs"/>
          <w:b/>
          <w:bCs/>
          <w:spacing w:val="0"/>
          <w:sz w:val="20"/>
          <w:rtl/>
        </w:rPr>
        <w:tab/>
      </w:r>
      <w:r w:rsidRPr="00AE2E4C">
        <w:rPr>
          <w:b/>
          <w:bCs/>
          <w:spacing w:val="0"/>
          <w:sz w:val="20"/>
          <w:rtl/>
        </w:rPr>
        <w:t xml:space="preserve">تحث اللجنة الدولة الطرف على إنشاء هيئات مستقلة تماماً </w:t>
      </w:r>
      <w:r w:rsidRPr="00AE2E4C">
        <w:rPr>
          <w:rFonts w:hint="cs"/>
          <w:b/>
          <w:bCs/>
          <w:spacing w:val="0"/>
          <w:sz w:val="20"/>
          <w:rtl/>
        </w:rPr>
        <w:t>مؤهلة</w:t>
      </w:r>
      <w:r w:rsidRPr="00AE2E4C">
        <w:rPr>
          <w:b/>
          <w:bCs/>
          <w:spacing w:val="0"/>
          <w:sz w:val="20"/>
          <w:rtl/>
        </w:rPr>
        <w:t xml:space="preserve"> </w:t>
      </w:r>
      <w:r w:rsidRPr="00AE2E4C">
        <w:rPr>
          <w:rFonts w:hint="cs"/>
          <w:b/>
          <w:bCs/>
          <w:spacing w:val="0"/>
          <w:sz w:val="20"/>
          <w:rtl/>
        </w:rPr>
        <w:t xml:space="preserve">للقيام بزيارات </w:t>
      </w:r>
      <w:r w:rsidRPr="00AE2E4C">
        <w:rPr>
          <w:b/>
          <w:bCs/>
          <w:spacing w:val="0"/>
          <w:sz w:val="20"/>
          <w:rtl/>
        </w:rPr>
        <w:t xml:space="preserve">مستقلة وفعالة </w:t>
      </w:r>
      <w:r w:rsidRPr="00AE2E4C">
        <w:rPr>
          <w:rFonts w:hint="cs"/>
          <w:b/>
          <w:bCs/>
          <w:spacing w:val="0"/>
          <w:sz w:val="20"/>
          <w:rtl/>
        </w:rPr>
        <w:t>غير معلن</w:t>
      </w:r>
      <w:r w:rsidRPr="00AE2E4C">
        <w:rPr>
          <w:b/>
          <w:bCs/>
          <w:spacing w:val="0"/>
          <w:sz w:val="20"/>
          <w:rtl/>
        </w:rPr>
        <w:t xml:space="preserve"> عنها مسبقاً لأماكن الاحتجاز وضمان أن </w:t>
      </w:r>
      <w:r w:rsidRPr="00AE2E4C">
        <w:rPr>
          <w:rFonts w:hint="cs"/>
          <w:b/>
          <w:bCs/>
          <w:spacing w:val="0"/>
          <w:sz w:val="20"/>
          <w:rtl/>
        </w:rPr>
        <w:t>تضم أعضاء من مختلف الاختصاصات و</w:t>
      </w:r>
      <w:r w:rsidRPr="00AE2E4C">
        <w:rPr>
          <w:b/>
          <w:bCs/>
          <w:spacing w:val="0"/>
          <w:sz w:val="20"/>
          <w:rtl/>
        </w:rPr>
        <w:t xml:space="preserve">مؤهلين في المهن القانونية والطبية </w:t>
      </w:r>
      <w:r w:rsidRPr="00AE2E4C">
        <w:rPr>
          <w:rFonts w:hint="cs"/>
          <w:b/>
          <w:bCs/>
          <w:spacing w:val="0"/>
          <w:sz w:val="20"/>
          <w:rtl/>
        </w:rPr>
        <w:t>وملمين</w:t>
      </w:r>
      <w:r w:rsidRPr="00AE2E4C">
        <w:rPr>
          <w:b/>
          <w:bCs/>
          <w:spacing w:val="0"/>
          <w:sz w:val="20"/>
          <w:rtl/>
        </w:rPr>
        <w:t xml:space="preserve"> </w:t>
      </w:r>
      <w:r w:rsidRPr="00AE2E4C">
        <w:rPr>
          <w:rFonts w:hint="cs"/>
          <w:b/>
          <w:bCs/>
          <w:spacing w:val="0"/>
          <w:sz w:val="20"/>
          <w:rtl/>
        </w:rPr>
        <w:t>ب</w:t>
      </w:r>
      <w:r w:rsidRPr="00AE2E4C">
        <w:rPr>
          <w:b/>
          <w:bCs/>
          <w:spacing w:val="0"/>
          <w:sz w:val="20"/>
          <w:rtl/>
        </w:rPr>
        <w:t>المعايير الدولية ذات الصلة، فضلاً عن خبراء مستقلين وغيره</w:t>
      </w:r>
      <w:r w:rsidRPr="00AE2E4C">
        <w:rPr>
          <w:rFonts w:hint="cs"/>
          <w:b/>
          <w:bCs/>
          <w:spacing w:val="0"/>
          <w:sz w:val="20"/>
          <w:rtl/>
        </w:rPr>
        <w:t>م</w:t>
      </w:r>
      <w:r w:rsidRPr="00AE2E4C">
        <w:rPr>
          <w:b/>
          <w:bCs/>
          <w:spacing w:val="0"/>
          <w:sz w:val="20"/>
          <w:rtl/>
        </w:rPr>
        <w:t xml:space="preserve"> من ممثلي المجتمع المدني. </w:t>
      </w:r>
      <w:r w:rsidRPr="00AE2E4C">
        <w:rPr>
          <w:rFonts w:hint="cs"/>
          <w:b/>
          <w:bCs/>
          <w:spacing w:val="0"/>
          <w:sz w:val="20"/>
          <w:rtl/>
        </w:rPr>
        <w:t>و</w:t>
      </w:r>
      <w:r w:rsidRPr="00AE2E4C">
        <w:rPr>
          <w:b/>
          <w:bCs/>
          <w:spacing w:val="0"/>
          <w:sz w:val="20"/>
          <w:rtl/>
        </w:rPr>
        <w:t xml:space="preserve">ينبغي للدولة الطرف أن تضمن أيضاً </w:t>
      </w:r>
      <w:r w:rsidRPr="00AE2E4C">
        <w:rPr>
          <w:rFonts w:hint="cs"/>
          <w:b/>
          <w:bCs/>
          <w:spacing w:val="0"/>
          <w:sz w:val="20"/>
          <w:rtl/>
        </w:rPr>
        <w:t>إتاحة</w:t>
      </w:r>
      <w:r w:rsidRPr="00AE2E4C">
        <w:rPr>
          <w:b/>
          <w:bCs/>
          <w:spacing w:val="0"/>
          <w:sz w:val="20"/>
          <w:rtl/>
        </w:rPr>
        <w:t xml:space="preserve"> الفرصة للأعضاء لتفتيش جميع أماكن الاحتجاز دون إشعار مسبق والتحدث مع المعتقلين على انفراد </w:t>
      </w:r>
      <w:r w:rsidRPr="00AE2E4C">
        <w:rPr>
          <w:rFonts w:hint="cs"/>
          <w:b/>
          <w:bCs/>
          <w:spacing w:val="0"/>
          <w:sz w:val="20"/>
          <w:rtl/>
        </w:rPr>
        <w:t>ونشر</w:t>
      </w:r>
      <w:r w:rsidRPr="00AE2E4C">
        <w:rPr>
          <w:b/>
          <w:bCs/>
          <w:spacing w:val="0"/>
          <w:sz w:val="20"/>
          <w:rtl/>
        </w:rPr>
        <w:t xml:space="preserve"> </w:t>
      </w:r>
      <w:r w:rsidRPr="00AE2E4C">
        <w:rPr>
          <w:rFonts w:hint="cs"/>
          <w:b/>
          <w:bCs/>
          <w:spacing w:val="0"/>
          <w:sz w:val="20"/>
          <w:rtl/>
        </w:rPr>
        <w:t>استنتاجاتهم</w:t>
      </w:r>
      <w:r w:rsidRPr="00AE2E4C">
        <w:rPr>
          <w:b/>
          <w:bCs/>
          <w:spacing w:val="0"/>
          <w:sz w:val="20"/>
          <w:rtl/>
        </w:rPr>
        <w:t xml:space="preserve"> وتوصياته</w:t>
      </w:r>
      <w:r w:rsidRPr="00AE2E4C">
        <w:rPr>
          <w:rFonts w:hint="cs"/>
          <w:b/>
          <w:bCs/>
          <w:spacing w:val="0"/>
          <w:sz w:val="20"/>
          <w:rtl/>
        </w:rPr>
        <w:t>م</w:t>
      </w:r>
      <w:r w:rsidRPr="00AE2E4C">
        <w:rPr>
          <w:b/>
          <w:bCs/>
          <w:spacing w:val="0"/>
          <w:sz w:val="20"/>
          <w:rtl/>
        </w:rPr>
        <w:t xml:space="preserve"> في الوقت المناسب وبطريقة شفافة.</w:t>
      </w:r>
    </w:p>
    <w:p w:rsidR="004E0A37" w:rsidRPr="00AE2E4C" w:rsidRDefault="004E0A37" w:rsidP="004E0A37">
      <w:pPr>
        <w:pStyle w:val="SingleTxtGA"/>
        <w:jc w:val="lowKashida"/>
        <w:rPr>
          <w:b/>
          <w:bCs/>
          <w:spacing w:val="0"/>
          <w:sz w:val="20"/>
          <w:rtl/>
        </w:rPr>
      </w:pPr>
      <w:r w:rsidRPr="00AE2E4C">
        <w:rPr>
          <w:rFonts w:hint="cs"/>
          <w:b/>
          <w:bCs/>
          <w:spacing w:val="0"/>
          <w:sz w:val="20"/>
          <w:rtl/>
        </w:rPr>
        <w:tab/>
        <w:t>و</w:t>
      </w:r>
      <w:r w:rsidRPr="00AE2E4C">
        <w:rPr>
          <w:b/>
          <w:bCs/>
          <w:spacing w:val="0"/>
          <w:sz w:val="20"/>
          <w:rtl/>
        </w:rPr>
        <w:t xml:space="preserve">علاوة على ذلك، ينبغي للدولة الطرف </w:t>
      </w:r>
      <w:r w:rsidRPr="00AE2E4C">
        <w:rPr>
          <w:rFonts w:hint="cs"/>
          <w:b/>
          <w:bCs/>
          <w:spacing w:val="0"/>
          <w:sz w:val="20"/>
          <w:rtl/>
        </w:rPr>
        <w:t xml:space="preserve">نشر </w:t>
      </w:r>
      <w:r w:rsidRPr="00AE2E4C">
        <w:rPr>
          <w:b/>
          <w:bCs/>
          <w:spacing w:val="0"/>
          <w:sz w:val="20"/>
          <w:rtl/>
        </w:rPr>
        <w:t xml:space="preserve">معلومات مفصلة عن </w:t>
      </w:r>
      <w:r w:rsidRPr="00AE2E4C">
        <w:rPr>
          <w:rFonts w:hint="cs"/>
          <w:b/>
          <w:bCs/>
          <w:spacing w:val="0"/>
          <w:sz w:val="20"/>
          <w:rtl/>
        </w:rPr>
        <w:t>ال</w:t>
      </w:r>
      <w:r w:rsidRPr="00AE2E4C">
        <w:rPr>
          <w:b/>
          <w:bCs/>
          <w:spacing w:val="0"/>
          <w:sz w:val="20"/>
          <w:rtl/>
        </w:rPr>
        <w:t>زيارات لأماكن الحرمان من الحرية وأوقاتها وتواترها بما في ذلك مستشفيات الأمراض النفسية، إضافة إلى معلومات عما خلصت إليه تلك الزيارات من استنتاجات</w:t>
      </w:r>
      <w:r w:rsidRPr="00AE2E4C">
        <w:rPr>
          <w:rFonts w:hint="cs"/>
          <w:b/>
          <w:bCs/>
          <w:spacing w:val="0"/>
          <w:sz w:val="20"/>
          <w:rtl/>
        </w:rPr>
        <w:t xml:space="preserve"> و</w:t>
      </w:r>
      <w:r w:rsidRPr="00AE2E4C">
        <w:rPr>
          <w:b/>
          <w:bCs/>
          <w:spacing w:val="0"/>
          <w:sz w:val="20"/>
          <w:rtl/>
        </w:rPr>
        <w:t>معلومات عن متابعة نتائجها</w:t>
      </w:r>
      <w:r w:rsidRPr="00AE2E4C">
        <w:rPr>
          <w:rFonts w:hint="cs"/>
          <w:b/>
          <w:bCs/>
          <w:spacing w:val="0"/>
          <w:sz w:val="20"/>
          <w:rtl/>
        </w:rPr>
        <w:t>.</w:t>
      </w:r>
      <w:r w:rsidRPr="00AE2E4C">
        <w:rPr>
          <w:b/>
          <w:bCs/>
          <w:spacing w:val="0"/>
          <w:sz w:val="20"/>
          <w:rtl/>
        </w:rPr>
        <w:t xml:space="preserve"> وينبغي أيضاً </w:t>
      </w:r>
      <w:r w:rsidRPr="00AE2E4C">
        <w:rPr>
          <w:rFonts w:hint="cs"/>
          <w:b/>
          <w:bCs/>
          <w:spacing w:val="0"/>
          <w:sz w:val="20"/>
          <w:rtl/>
        </w:rPr>
        <w:t>تقديم</w:t>
      </w:r>
      <w:r w:rsidRPr="00AE2E4C">
        <w:rPr>
          <w:b/>
          <w:bCs/>
          <w:spacing w:val="0"/>
          <w:sz w:val="20"/>
          <w:rtl/>
        </w:rPr>
        <w:t xml:space="preserve"> هذه المعلومات إلى اللجنة.</w:t>
      </w:r>
    </w:p>
    <w:p w:rsidR="004E0A37" w:rsidRPr="004E0A37" w:rsidRDefault="00AE2E4C" w:rsidP="00AE2E4C">
      <w:pPr>
        <w:pStyle w:val="SingleTxtGA"/>
        <w:jc w:val="lowKashida"/>
        <w:rPr>
          <w:rFonts w:hint="cs"/>
          <w:spacing w:val="0"/>
          <w:sz w:val="20"/>
          <w:rtl/>
        </w:rPr>
      </w:pPr>
      <w:r>
        <w:rPr>
          <w:rFonts w:hint="cs"/>
          <w:spacing w:val="0"/>
          <w:sz w:val="20"/>
          <w:rtl/>
        </w:rPr>
        <w:t>(</w:t>
      </w:r>
      <w:r w:rsidR="004E0A37" w:rsidRPr="004E0A37">
        <w:rPr>
          <w:spacing w:val="0"/>
          <w:sz w:val="20"/>
          <w:rtl/>
        </w:rPr>
        <w:t>14</w:t>
      </w:r>
      <w:r>
        <w:rPr>
          <w:rFonts w:hint="cs"/>
          <w:spacing w:val="0"/>
          <w:sz w:val="20"/>
          <w:rtl/>
        </w:rPr>
        <w:t>)</w:t>
      </w:r>
      <w:r w:rsidR="004E0A37" w:rsidRPr="004E0A37">
        <w:rPr>
          <w:rFonts w:hint="cs"/>
          <w:spacing w:val="0"/>
          <w:sz w:val="20"/>
          <w:rtl/>
        </w:rPr>
        <w:tab/>
      </w:r>
      <w:r w:rsidR="004E0A37" w:rsidRPr="004E0A37">
        <w:rPr>
          <w:spacing w:val="0"/>
          <w:sz w:val="20"/>
          <w:rtl/>
        </w:rPr>
        <w:t xml:space="preserve">وتشعر اللجنة بالقلق لعدم </w:t>
      </w:r>
      <w:r w:rsidR="004E0A37" w:rsidRPr="004E0A37">
        <w:rPr>
          <w:rFonts w:hint="cs"/>
          <w:spacing w:val="0"/>
          <w:sz w:val="20"/>
          <w:rtl/>
        </w:rPr>
        <w:t>دخول</w:t>
      </w:r>
      <w:r w:rsidR="004E0A37" w:rsidRPr="004E0A37">
        <w:rPr>
          <w:spacing w:val="0"/>
          <w:sz w:val="20"/>
          <w:rtl/>
        </w:rPr>
        <w:t xml:space="preserve"> آليات الرصد الدولية</w:t>
      </w:r>
      <w:r w:rsidR="004E0A37" w:rsidRPr="004E0A37">
        <w:rPr>
          <w:rFonts w:hint="cs"/>
          <w:spacing w:val="0"/>
          <w:sz w:val="20"/>
          <w:rtl/>
        </w:rPr>
        <w:t>،</w:t>
      </w:r>
      <w:r w:rsidR="004E0A37" w:rsidRPr="004E0A37">
        <w:rPr>
          <w:spacing w:val="0"/>
          <w:sz w:val="20"/>
          <w:rtl/>
        </w:rPr>
        <w:t xml:space="preserve"> سواء الحكومية </w:t>
      </w:r>
      <w:r w:rsidR="004E0A37" w:rsidRPr="004E0A37">
        <w:rPr>
          <w:rFonts w:hint="cs"/>
          <w:spacing w:val="0"/>
          <w:sz w:val="20"/>
          <w:rtl/>
        </w:rPr>
        <w:t>أ</w:t>
      </w:r>
      <w:r w:rsidR="004E0A37" w:rsidRPr="004E0A37">
        <w:rPr>
          <w:spacing w:val="0"/>
          <w:sz w:val="20"/>
          <w:rtl/>
        </w:rPr>
        <w:t>و</w:t>
      </w:r>
      <w:r w:rsidR="004E0A37" w:rsidRPr="004E0A37">
        <w:rPr>
          <w:rFonts w:hint="cs"/>
          <w:spacing w:val="0"/>
          <w:sz w:val="20"/>
          <w:rtl/>
        </w:rPr>
        <w:t xml:space="preserve"> </w:t>
      </w:r>
      <w:r w:rsidR="004E0A37" w:rsidRPr="004E0A37">
        <w:rPr>
          <w:spacing w:val="0"/>
          <w:sz w:val="20"/>
          <w:rtl/>
        </w:rPr>
        <w:t>غير الحكومية، إلى مرافق الاحتجاز في بيلاروس. وتعرب اللجنة أيضاً عن أسفه</w:t>
      </w:r>
      <w:r w:rsidR="004E0A37" w:rsidRPr="004E0A37">
        <w:rPr>
          <w:rFonts w:hint="cs"/>
          <w:spacing w:val="0"/>
          <w:sz w:val="20"/>
          <w:rtl/>
        </w:rPr>
        <w:t>ا</w:t>
      </w:r>
      <w:r w:rsidR="004E0A37" w:rsidRPr="004E0A37">
        <w:rPr>
          <w:spacing w:val="0"/>
          <w:sz w:val="20"/>
          <w:rtl/>
        </w:rPr>
        <w:t xml:space="preserve"> </w:t>
      </w:r>
      <w:r w:rsidR="004E0A37" w:rsidRPr="004E0A37">
        <w:rPr>
          <w:rFonts w:hint="cs"/>
          <w:spacing w:val="0"/>
          <w:sz w:val="20"/>
          <w:rtl/>
        </w:rPr>
        <w:t xml:space="preserve">لعدم تلقي أي رد على </w:t>
      </w:r>
      <w:r w:rsidR="004E0A37" w:rsidRPr="004E0A37">
        <w:rPr>
          <w:spacing w:val="0"/>
          <w:sz w:val="20"/>
          <w:rtl/>
        </w:rPr>
        <w:t>طلب خمسة</w:t>
      </w:r>
      <w:r w:rsidR="004E0A37" w:rsidRPr="004E0A37">
        <w:rPr>
          <w:rFonts w:hint="cs"/>
          <w:spacing w:val="0"/>
          <w:sz w:val="20"/>
          <w:rtl/>
        </w:rPr>
        <w:t xml:space="preserve"> من</w:t>
      </w:r>
      <w:r w:rsidR="004E0A37" w:rsidRPr="004E0A37">
        <w:rPr>
          <w:spacing w:val="0"/>
          <w:sz w:val="20"/>
          <w:rtl/>
        </w:rPr>
        <w:t xml:space="preserve"> </w:t>
      </w:r>
      <w:r w:rsidR="004E0A37" w:rsidRPr="004E0A37">
        <w:rPr>
          <w:rFonts w:hint="cs"/>
          <w:spacing w:val="0"/>
          <w:sz w:val="20"/>
          <w:rtl/>
        </w:rPr>
        <w:t>المكلفين بولايات في إطار</w:t>
      </w:r>
      <w:r w:rsidR="004E0A37" w:rsidRPr="004E0A37">
        <w:rPr>
          <w:spacing w:val="0"/>
          <w:sz w:val="20"/>
          <w:rtl/>
        </w:rPr>
        <w:t xml:space="preserve"> الإجراءات الخاصة </w:t>
      </w:r>
      <w:r w:rsidR="004E0A37" w:rsidRPr="004E0A37">
        <w:rPr>
          <w:rFonts w:hint="cs"/>
          <w:spacing w:val="0"/>
          <w:sz w:val="20"/>
          <w:rtl/>
        </w:rPr>
        <w:t>ل</w:t>
      </w:r>
      <w:r w:rsidR="004E0A37" w:rsidRPr="004E0A37">
        <w:rPr>
          <w:spacing w:val="0"/>
          <w:sz w:val="20"/>
          <w:rtl/>
        </w:rPr>
        <w:t xml:space="preserve">زيارة البلاد، ولا سيما المقرر الخاص المعني بمسألة التعذيب والفريق العامل المعني بحالات الاختفاء القسري أو غير الطوعي </w:t>
      </w:r>
      <w:r w:rsidR="004E0A37" w:rsidRPr="004E0A37">
        <w:rPr>
          <w:rFonts w:hint="cs"/>
          <w:spacing w:val="0"/>
          <w:sz w:val="20"/>
          <w:rtl/>
        </w:rPr>
        <w:t>ول</w:t>
      </w:r>
      <w:r w:rsidR="004E0A37" w:rsidRPr="004E0A37">
        <w:rPr>
          <w:spacing w:val="0"/>
          <w:sz w:val="20"/>
          <w:rtl/>
        </w:rPr>
        <w:t xml:space="preserve">عدم </w:t>
      </w:r>
      <w:r w:rsidR="004E0A37" w:rsidRPr="004E0A37">
        <w:rPr>
          <w:rFonts w:hint="cs"/>
          <w:spacing w:val="0"/>
          <w:sz w:val="20"/>
          <w:rtl/>
        </w:rPr>
        <w:t>استجابة</w:t>
      </w:r>
      <w:r w:rsidR="004E0A37" w:rsidRPr="004E0A37">
        <w:rPr>
          <w:spacing w:val="0"/>
          <w:sz w:val="20"/>
          <w:rtl/>
        </w:rPr>
        <w:t xml:space="preserve"> الدولة الطرف لطلبات الزيارة التي </w:t>
      </w:r>
      <w:r w:rsidR="004E0A37" w:rsidRPr="004E0A37">
        <w:rPr>
          <w:rFonts w:hint="cs"/>
          <w:spacing w:val="0"/>
          <w:sz w:val="20"/>
          <w:rtl/>
        </w:rPr>
        <w:t>قدمها</w:t>
      </w:r>
      <w:r w:rsidR="004E0A37" w:rsidRPr="004E0A37">
        <w:rPr>
          <w:spacing w:val="0"/>
          <w:sz w:val="20"/>
          <w:rtl/>
        </w:rPr>
        <w:t xml:space="preserve"> مكتب مفوض الأمم المتحدة السامي لحقوق الإنسان (المفوضية) (</w:t>
      </w:r>
      <w:r w:rsidR="004E0A37" w:rsidRPr="004E0A37">
        <w:rPr>
          <w:rFonts w:hint="cs"/>
          <w:spacing w:val="0"/>
          <w:sz w:val="20"/>
          <w:rtl/>
        </w:rPr>
        <w:t>المواد</w:t>
      </w:r>
      <w:r w:rsidR="004E0A37" w:rsidRPr="004E0A37">
        <w:rPr>
          <w:spacing w:val="0"/>
          <w:sz w:val="20"/>
          <w:rtl/>
        </w:rPr>
        <w:t xml:space="preserve"> 2 و11 و16).</w:t>
      </w:r>
    </w:p>
    <w:p w:rsidR="004E0A37" w:rsidRPr="00AE2E4C" w:rsidRDefault="004E0A37" w:rsidP="004E0A37">
      <w:pPr>
        <w:pStyle w:val="SingleTxtGA"/>
        <w:jc w:val="lowKashida"/>
        <w:rPr>
          <w:b/>
          <w:bCs/>
          <w:spacing w:val="0"/>
          <w:sz w:val="20"/>
          <w:rtl/>
        </w:rPr>
      </w:pPr>
      <w:r w:rsidRPr="00AE2E4C">
        <w:rPr>
          <w:rFonts w:hint="cs"/>
          <w:b/>
          <w:bCs/>
          <w:spacing w:val="0"/>
          <w:sz w:val="20"/>
          <w:rtl/>
        </w:rPr>
        <w:tab/>
      </w:r>
      <w:r w:rsidRPr="00AE2E4C">
        <w:rPr>
          <w:b/>
          <w:bCs/>
          <w:spacing w:val="0"/>
          <w:sz w:val="20"/>
          <w:rtl/>
        </w:rPr>
        <w:t>تحث اللجنة الدولة الطرف على</w:t>
      </w:r>
      <w:r w:rsidRPr="00AE2E4C">
        <w:rPr>
          <w:rFonts w:hint="cs"/>
          <w:b/>
          <w:bCs/>
          <w:spacing w:val="0"/>
          <w:sz w:val="20"/>
          <w:rtl/>
        </w:rPr>
        <w:t xml:space="preserve"> القيام بما يلي</w:t>
      </w:r>
      <w:r w:rsidRPr="00AE2E4C">
        <w:rPr>
          <w:b/>
          <w:bCs/>
          <w:spacing w:val="0"/>
          <w:sz w:val="20"/>
          <w:rtl/>
        </w:rPr>
        <w:t>:</w:t>
      </w:r>
    </w:p>
    <w:p w:rsidR="004E0A37" w:rsidRPr="00AE2E4C" w:rsidRDefault="004E0A37" w:rsidP="004E0A37">
      <w:pPr>
        <w:pStyle w:val="SingleTxtGA"/>
        <w:jc w:val="lowKashida"/>
        <w:rPr>
          <w:b/>
          <w:bCs/>
          <w:spacing w:val="0"/>
          <w:sz w:val="20"/>
          <w:rtl/>
        </w:rPr>
      </w:pPr>
      <w:r w:rsidRPr="00AE2E4C">
        <w:rPr>
          <w:rFonts w:hint="cs"/>
          <w:b/>
          <w:bCs/>
          <w:spacing w:val="0"/>
          <w:sz w:val="20"/>
          <w:rtl/>
        </w:rPr>
        <w:tab/>
      </w:r>
      <w:r w:rsidRPr="00AE2E4C">
        <w:rPr>
          <w:b/>
          <w:bCs/>
          <w:spacing w:val="0"/>
          <w:sz w:val="20"/>
          <w:rtl/>
        </w:rPr>
        <w:t>(أ)</w:t>
      </w:r>
      <w:r w:rsidRPr="00AE2E4C">
        <w:rPr>
          <w:rFonts w:hint="cs"/>
          <w:b/>
          <w:bCs/>
          <w:spacing w:val="0"/>
          <w:sz w:val="20"/>
          <w:rtl/>
        </w:rPr>
        <w:tab/>
      </w:r>
      <w:r w:rsidRPr="00AE2E4C">
        <w:rPr>
          <w:b/>
          <w:bCs/>
          <w:spacing w:val="0"/>
          <w:sz w:val="20"/>
          <w:rtl/>
        </w:rPr>
        <w:t xml:space="preserve">منح المنظمات المستقلة الحكومية وغير الحكومية </w:t>
      </w:r>
      <w:r w:rsidRPr="00AE2E4C">
        <w:rPr>
          <w:rFonts w:hint="cs"/>
          <w:b/>
          <w:bCs/>
          <w:spacing w:val="0"/>
          <w:sz w:val="20"/>
          <w:rtl/>
        </w:rPr>
        <w:t>فرصة الدخول إلى</w:t>
      </w:r>
      <w:r w:rsidRPr="00AE2E4C">
        <w:rPr>
          <w:b/>
          <w:bCs/>
          <w:spacing w:val="0"/>
          <w:sz w:val="20"/>
          <w:rtl/>
        </w:rPr>
        <w:t xml:space="preserve"> جميع مرافق الاحتجاز في البلاد، بما في ذلك </w:t>
      </w:r>
      <w:r w:rsidRPr="00AE2E4C">
        <w:rPr>
          <w:rFonts w:hint="cs"/>
          <w:b/>
          <w:bCs/>
          <w:spacing w:val="0"/>
          <w:sz w:val="20"/>
          <w:rtl/>
        </w:rPr>
        <w:t xml:space="preserve">زنزانات </w:t>
      </w:r>
      <w:r w:rsidRPr="00AE2E4C">
        <w:rPr>
          <w:b/>
          <w:bCs/>
          <w:spacing w:val="0"/>
          <w:sz w:val="20"/>
          <w:rtl/>
        </w:rPr>
        <w:t>الشرطة ومراكز الاحتجاز السابق للمحاكمة ومباني الدوائر الأمنية وأماكن الاعتقال الإداري ووحدات الاحتجاز في المؤسسات الطبية والنفسية والسجون؛</w:t>
      </w:r>
    </w:p>
    <w:p w:rsidR="004E0A37" w:rsidRPr="00AE2E4C" w:rsidRDefault="004E0A37" w:rsidP="004E0A37">
      <w:pPr>
        <w:pStyle w:val="SingleTxtGA"/>
        <w:jc w:val="lowKashida"/>
        <w:rPr>
          <w:rFonts w:hint="cs"/>
          <w:b/>
          <w:bCs/>
          <w:spacing w:val="0"/>
          <w:sz w:val="20"/>
          <w:rtl/>
        </w:rPr>
      </w:pPr>
      <w:r w:rsidRPr="00AE2E4C">
        <w:rPr>
          <w:rFonts w:hint="cs"/>
          <w:b/>
          <w:bCs/>
          <w:spacing w:val="0"/>
          <w:sz w:val="20"/>
          <w:rtl/>
        </w:rPr>
        <w:tab/>
      </w:r>
      <w:r w:rsidRPr="00AE2E4C">
        <w:rPr>
          <w:b/>
          <w:bCs/>
          <w:spacing w:val="0"/>
          <w:sz w:val="20"/>
          <w:rtl/>
        </w:rPr>
        <w:t>(ب)</w:t>
      </w:r>
      <w:r w:rsidRPr="00AE2E4C">
        <w:rPr>
          <w:rFonts w:hint="cs"/>
          <w:b/>
          <w:bCs/>
          <w:spacing w:val="0"/>
          <w:sz w:val="20"/>
          <w:rtl/>
        </w:rPr>
        <w:tab/>
      </w:r>
      <w:r w:rsidRPr="00AE2E4C">
        <w:rPr>
          <w:b/>
          <w:bCs/>
          <w:spacing w:val="0"/>
          <w:sz w:val="20"/>
          <w:rtl/>
        </w:rPr>
        <w:t xml:space="preserve">زيادة تعزيز التعاون مع آليات الأمم المتحدة لحقوق الإنسان، لا سيما من خلال السماح </w:t>
      </w:r>
      <w:r w:rsidRPr="00AE2E4C">
        <w:rPr>
          <w:rFonts w:hint="cs"/>
          <w:b/>
          <w:bCs/>
          <w:spacing w:val="0"/>
          <w:sz w:val="20"/>
          <w:rtl/>
        </w:rPr>
        <w:t>في أقرب وقت ممكن ب</w:t>
      </w:r>
      <w:r w:rsidRPr="00AE2E4C">
        <w:rPr>
          <w:b/>
          <w:bCs/>
          <w:spacing w:val="0"/>
          <w:sz w:val="20"/>
          <w:rtl/>
        </w:rPr>
        <w:t xml:space="preserve">الزيارات التي </w:t>
      </w:r>
      <w:r w:rsidRPr="00AE2E4C">
        <w:rPr>
          <w:rFonts w:hint="cs"/>
          <w:b/>
          <w:bCs/>
          <w:spacing w:val="0"/>
          <w:sz w:val="20"/>
          <w:rtl/>
        </w:rPr>
        <w:t xml:space="preserve">يقوم </w:t>
      </w:r>
      <w:r w:rsidRPr="00AE2E4C">
        <w:rPr>
          <w:b/>
          <w:bCs/>
          <w:spacing w:val="0"/>
          <w:sz w:val="20"/>
          <w:rtl/>
        </w:rPr>
        <w:t xml:space="preserve">بها المقرر الخاص المعني بالتعذيب وغيره من ضروب المعاملة أو العقوبة القاسية أو اللاإنسانية أو المهينة والمقرر الخاص المعني بتعزيز وحماية الحق في حرية الرأي والتعبير والمقرر الخاص المعني بحالة المدافعين عن حقوق الإنسان، </w:t>
      </w:r>
      <w:r w:rsidRPr="00AE2E4C">
        <w:rPr>
          <w:rFonts w:hint="cs"/>
          <w:b/>
          <w:bCs/>
          <w:spacing w:val="0"/>
          <w:sz w:val="20"/>
          <w:rtl/>
        </w:rPr>
        <w:t xml:space="preserve">على النحو الذي </w:t>
      </w:r>
      <w:r w:rsidRPr="00AE2E4C">
        <w:rPr>
          <w:b/>
          <w:bCs/>
          <w:spacing w:val="0"/>
          <w:sz w:val="20"/>
          <w:rtl/>
        </w:rPr>
        <w:t>وافقت عليه الدولة الطرف في سياق الاستعراض الدوري الشامل (</w:t>
      </w:r>
      <w:r w:rsidRPr="00AE2E4C">
        <w:rPr>
          <w:b/>
          <w:bCs/>
          <w:spacing w:val="0"/>
          <w:sz w:val="20"/>
        </w:rPr>
        <w:t>A/HRC/15/16</w:t>
      </w:r>
      <w:r w:rsidRPr="00AE2E4C">
        <w:rPr>
          <w:b/>
          <w:bCs/>
          <w:spacing w:val="0"/>
          <w:sz w:val="20"/>
          <w:rtl/>
        </w:rPr>
        <w:t>، الفقر</w:t>
      </w:r>
      <w:r w:rsidRPr="00AE2E4C">
        <w:rPr>
          <w:rFonts w:hint="cs"/>
          <w:b/>
          <w:bCs/>
          <w:spacing w:val="0"/>
          <w:sz w:val="20"/>
          <w:rtl/>
        </w:rPr>
        <w:t>ة 97-17</w:t>
      </w:r>
      <w:r w:rsidRPr="00AE2E4C">
        <w:rPr>
          <w:b/>
          <w:bCs/>
          <w:spacing w:val="0"/>
          <w:sz w:val="20"/>
          <w:rtl/>
        </w:rPr>
        <w:t>)</w:t>
      </w:r>
      <w:r w:rsidRPr="00AE2E4C">
        <w:rPr>
          <w:rFonts w:hint="cs"/>
          <w:b/>
          <w:bCs/>
          <w:spacing w:val="0"/>
          <w:sz w:val="20"/>
          <w:rtl/>
        </w:rPr>
        <w:t>؛</w:t>
      </w:r>
    </w:p>
    <w:p w:rsidR="004E0A37" w:rsidRPr="00AE2E4C" w:rsidRDefault="004E0A37" w:rsidP="004E0A37">
      <w:pPr>
        <w:pStyle w:val="SingleTxtGA"/>
        <w:jc w:val="lowKashida"/>
        <w:rPr>
          <w:b/>
          <w:bCs/>
          <w:spacing w:val="0"/>
          <w:sz w:val="20"/>
          <w:rtl/>
        </w:rPr>
      </w:pPr>
      <w:r w:rsidRPr="00AE2E4C">
        <w:rPr>
          <w:rFonts w:hint="cs"/>
          <w:b/>
          <w:bCs/>
          <w:spacing w:val="0"/>
          <w:sz w:val="20"/>
          <w:rtl/>
        </w:rPr>
        <w:tab/>
      </w:r>
      <w:r w:rsidRPr="00AE2E4C">
        <w:rPr>
          <w:b/>
          <w:bCs/>
          <w:spacing w:val="0"/>
          <w:sz w:val="20"/>
          <w:rtl/>
        </w:rPr>
        <w:t>(ج)</w:t>
      </w:r>
      <w:r w:rsidRPr="00AE2E4C">
        <w:rPr>
          <w:rFonts w:hint="cs"/>
          <w:b/>
          <w:bCs/>
          <w:spacing w:val="0"/>
          <w:sz w:val="20"/>
          <w:rtl/>
        </w:rPr>
        <w:tab/>
      </w:r>
      <w:r w:rsidRPr="00AE2E4C">
        <w:rPr>
          <w:b/>
          <w:bCs/>
          <w:spacing w:val="0"/>
          <w:sz w:val="20"/>
          <w:rtl/>
        </w:rPr>
        <w:t xml:space="preserve">النظر في الموافقة على طلب مفوض الأمم المتحدة السامي لحقوق الإنسان </w:t>
      </w:r>
      <w:r w:rsidRPr="00AE2E4C">
        <w:rPr>
          <w:rFonts w:hint="cs"/>
          <w:b/>
          <w:bCs/>
          <w:spacing w:val="0"/>
          <w:sz w:val="20"/>
          <w:rtl/>
        </w:rPr>
        <w:t>بشأن</w:t>
      </w:r>
      <w:r w:rsidRPr="00AE2E4C">
        <w:rPr>
          <w:b/>
          <w:bCs/>
          <w:spacing w:val="0"/>
          <w:sz w:val="20"/>
          <w:rtl/>
        </w:rPr>
        <w:t xml:space="preserve"> زيارة </w:t>
      </w:r>
      <w:r w:rsidRPr="00AE2E4C">
        <w:rPr>
          <w:rFonts w:hint="cs"/>
          <w:b/>
          <w:bCs/>
          <w:spacing w:val="0"/>
          <w:sz w:val="20"/>
          <w:rtl/>
        </w:rPr>
        <w:t xml:space="preserve">يقوم بها </w:t>
      </w:r>
      <w:r w:rsidRPr="00AE2E4C">
        <w:rPr>
          <w:b/>
          <w:bCs/>
          <w:spacing w:val="0"/>
          <w:sz w:val="20"/>
          <w:rtl/>
        </w:rPr>
        <w:t>وفد من المفوضية.</w:t>
      </w:r>
    </w:p>
    <w:p w:rsidR="004E0A37" w:rsidRPr="004E0A37" w:rsidRDefault="004E0A37" w:rsidP="002C1EA7">
      <w:pPr>
        <w:pStyle w:val="H23GA"/>
        <w:rPr>
          <w:rtl/>
          <w:lang w:val="fr-CH"/>
        </w:rPr>
      </w:pPr>
      <w:r w:rsidRPr="004E0A37">
        <w:rPr>
          <w:rFonts w:hint="cs"/>
          <w:rtl/>
          <w:lang w:val="fr-CH"/>
        </w:rPr>
        <w:tab/>
      </w:r>
      <w:r w:rsidRPr="004E0A37">
        <w:rPr>
          <w:rFonts w:hint="cs"/>
          <w:rtl/>
          <w:lang w:val="fr-CH"/>
        </w:rPr>
        <w:tab/>
      </w:r>
      <w:r w:rsidRPr="004E0A37">
        <w:rPr>
          <w:rtl/>
          <w:lang w:val="fr-CH"/>
        </w:rPr>
        <w:t>المؤسسة الوطنية لحقوق الإنسان</w:t>
      </w:r>
    </w:p>
    <w:p w:rsidR="004E0A37" w:rsidRPr="004E0A37" w:rsidRDefault="00AE2E4C" w:rsidP="00AE2E4C">
      <w:pPr>
        <w:pStyle w:val="SingleTxtGA"/>
        <w:jc w:val="lowKashida"/>
        <w:rPr>
          <w:rFonts w:hint="cs"/>
          <w:spacing w:val="0"/>
          <w:sz w:val="20"/>
          <w:rtl/>
        </w:rPr>
      </w:pPr>
      <w:r>
        <w:rPr>
          <w:rFonts w:hint="cs"/>
          <w:spacing w:val="0"/>
          <w:sz w:val="20"/>
          <w:rtl/>
        </w:rPr>
        <w:t>(</w:t>
      </w:r>
      <w:r w:rsidR="004E0A37" w:rsidRPr="004E0A37">
        <w:rPr>
          <w:spacing w:val="0"/>
          <w:sz w:val="20"/>
          <w:rtl/>
        </w:rPr>
        <w:t>15</w:t>
      </w:r>
      <w:r>
        <w:rPr>
          <w:rFonts w:hint="cs"/>
          <w:spacing w:val="0"/>
          <w:sz w:val="20"/>
          <w:rtl/>
        </w:rPr>
        <w:t>)</w:t>
      </w:r>
      <w:r w:rsidR="004E0A37" w:rsidRPr="004E0A37">
        <w:rPr>
          <w:rFonts w:hint="cs"/>
          <w:spacing w:val="0"/>
          <w:sz w:val="20"/>
          <w:rtl/>
        </w:rPr>
        <w:tab/>
      </w:r>
      <w:r w:rsidR="004E0A37" w:rsidRPr="004E0A37">
        <w:rPr>
          <w:spacing w:val="0"/>
          <w:sz w:val="20"/>
          <w:rtl/>
        </w:rPr>
        <w:t xml:space="preserve">في ضوء التوصيات المقدمة من قبل العديد من آليات حقوق الإنسان والتزام الدولة الطرف </w:t>
      </w:r>
      <w:r w:rsidR="004E0A37" w:rsidRPr="004E0A37">
        <w:rPr>
          <w:rFonts w:hint="cs"/>
          <w:spacing w:val="0"/>
          <w:sz w:val="20"/>
          <w:rtl/>
        </w:rPr>
        <w:t>الذي قطعته على نفسها</w:t>
      </w:r>
      <w:r w:rsidR="004E0A37" w:rsidRPr="004E0A37">
        <w:rPr>
          <w:spacing w:val="0"/>
          <w:sz w:val="20"/>
          <w:rtl/>
        </w:rPr>
        <w:t xml:space="preserve"> في إطار الاستعراض الدوري الشامل </w:t>
      </w:r>
      <w:r w:rsidR="004E0A37" w:rsidRPr="004E0A37">
        <w:rPr>
          <w:rFonts w:hint="cs"/>
          <w:spacing w:val="0"/>
          <w:sz w:val="20"/>
          <w:rtl/>
        </w:rPr>
        <w:t>ب</w:t>
      </w:r>
      <w:r w:rsidR="004E0A37" w:rsidRPr="004E0A37">
        <w:rPr>
          <w:spacing w:val="0"/>
          <w:sz w:val="20"/>
          <w:rtl/>
        </w:rPr>
        <w:t>النظر في إنشاء مؤسسة وطنية لحقوق الإنسان (</w:t>
      </w:r>
      <w:r w:rsidR="004E0A37" w:rsidRPr="004E0A37">
        <w:rPr>
          <w:spacing w:val="0"/>
          <w:sz w:val="20"/>
        </w:rPr>
        <w:t>A/HRC/15/16</w:t>
      </w:r>
      <w:r w:rsidR="004E0A37" w:rsidRPr="004E0A37">
        <w:rPr>
          <w:spacing w:val="0"/>
          <w:sz w:val="20"/>
          <w:rtl/>
        </w:rPr>
        <w:t xml:space="preserve">، الفقرة </w:t>
      </w:r>
      <w:r w:rsidR="004E0A37" w:rsidRPr="004E0A37">
        <w:rPr>
          <w:rFonts w:hint="cs"/>
          <w:spacing w:val="0"/>
          <w:sz w:val="20"/>
          <w:rtl/>
        </w:rPr>
        <w:t>97-4</w:t>
      </w:r>
      <w:r w:rsidR="004E0A37" w:rsidRPr="004E0A37">
        <w:rPr>
          <w:spacing w:val="0"/>
          <w:sz w:val="20"/>
          <w:rtl/>
        </w:rPr>
        <w:t>)، تعرب اللجنة عن أسفها لعدم إحراز تقدم لتحقيق هذه الغاية (المادة 2).</w:t>
      </w:r>
    </w:p>
    <w:p w:rsidR="004E0A37" w:rsidRPr="00AE2E4C" w:rsidRDefault="004E0A37" w:rsidP="004E0A37">
      <w:pPr>
        <w:pStyle w:val="SingleTxtGA"/>
        <w:jc w:val="lowKashida"/>
        <w:rPr>
          <w:b/>
          <w:bCs/>
          <w:spacing w:val="0"/>
          <w:sz w:val="20"/>
          <w:rtl/>
        </w:rPr>
      </w:pPr>
      <w:r w:rsidRPr="00AE2E4C">
        <w:rPr>
          <w:rFonts w:hint="cs"/>
          <w:b/>
          <w:bCs/>
          <w:spacing w:val="0"/>
          <w:sz w:val="20"/>
          <w:rtl/>
        </w:rPr>
        <w:tab/>
      </w:r>
      <w:r w:rsidRPr="00AE2E4C">
        <w:rPr>
          <w:b/>
          <w:bCs/>
          <w:spacing w:val="0"/>
          <w:sz w:val="20"/>
          <w:rtl/>
        </w:rPr>
        <w:t>توصي اللجنة الدولة الطرف على العمل من أجل إنشاء مؤسسة وطنية لحقوق الإنسان</w:t>
      </w:r>
      <w:r w:rsidR="00B345DB">
        <w:rPr>
          <w:b/>
          <w:bCs/>
          <w:spacing w:val="0"/>
          <w:sz w:val="20"/>
          <w:rtl/>
        </w:rPr>
        <w:t xml:space="preserve"> وفقاً </w:t>
      </w:r>
      <w:r w:rsidRPr="00AE2E4C">
        <w:rPr>
          <w:b/>
          <w:bCs/>
          <w:spacing w:val="0"/>
          <w:sz w:val="20"/>
          <w:rtl/>
        </w:rPr>
        <w:t xml:space="preserve">للمبادئ المتعلقة </w:t>
      </w:r>
      <w:r w:rsidRPr="00AE2E4C">
        <w:rPr>
          <w:rFonts w:hint="cs"/>
          <w:b/>
          <w:bCs/>
          <w:spacing w:val="0"/>
          <w:sz w:val="20"/>
          <w:rtl/>
        </w:rPr>
        <w:t>بمركز</w:t>
      </w:r>
      <w:r w:rsidRPr="00AE2E4C">
        <w:rPr>
          <w:b/>
          <w:bCs/>
          <w:spacing w:val="0"/>
          <w:sz w:val="20"/>
          <w:rtl/>
        </w:rPr>
        <w:t xml:space="preserve"> المؤسسات الوطنية لتعزيز حقوق الإنسان وحماي</w:t>
      </w:r>
      <w:r w:rsidRPr="00AE2E4C">
        <w:rPr>
          <w:rFonts w:hint="cs"/>
          <w:b/>
          <w:bCs/>
          <w:spacing w:val="0"/>
          <w:sz w:val="20"/>
          <w:rtl/>
        </w:rPr>
        <w:t>تها</w:t>
      </w:r>
      <w:r w:rsidRPr="00AE2E4C">
        <w:rPr>
          <w:b/>
          <w:bCs/>
          <w:spacing w:val="0"/>
          <w:sz w:val="20"/>
          <w:rtl/>
        </w:rPr>
        <w:t xml:space="preserve"> (مبادئ باريس).</w:t>
      </w:r>
    </w:p>
    <w:p w:rsidR="004E0A37" w:rsidRPr="004E0A37" w:rsidRDefault="004E0A37" w:rsidP="002C1EA7">
      <w:pPr>
        <w:pStyle w:val="H23GA"/>
        <w:rPr>
          <w:rFonts w:hint="cs"/>
          <w:rtl/>
          <w:lang w:val="fr-CH"/>
        </w:rPr>
      </w:pPr>
      <w:r w:rsidRPr="004E0A37">
        <w:rPr>
          <w:rFonts w:hint="cs"/>
          <w:rtl/>
          <w:lang w:val="fr-CH"/>
        </w:rPr>
        <w:tab/>
      </w:r>
      <w:r w:rsidRPr="004E0A37">
        <w:rPr>
          <w:rFonts w:hint="cs"/>
          <w:rtl/>
          <w:lang w:val="fr-CH"/>
        </w:rPr>
        <w:tab/>
      </w:r>
      <w:r w:rsidRPr="004E0A37">
        <w:rPr>
          <w:rtl/>
          <w:lang w:val="fr-CH"/>
        </w:rPr>
        <w:t>تعريف</w:t>
      </w:r>
      <w:r w:rsidRPr="004E0A37">
        <w:rPr>
          <w:rFonts w:hint="cs"/>
          <w:rtl/>
          <w:lang w:val="fr-CH"/>
        </w:rPr>
        <w:t xml:space="preserve"> التعذيب و</w:t>
      </w:r>
      <w:r w:rsidRPr="004E0A37">
        <w:rPr>
          <w:rtl/>
          <w:lang w:val="fr-CH"/>
        </w:rPr>
        <w:t>حظر</w:t>
      </w:r>
      <w:r w:rsidRPr="004E0A37">
        <w:rPr>
          <w:rFonts w:hint="cs"/>
          <w:rtl/>
          <w:lang w:val="fr-CH"/>
        </w:rPr>
        <w:t>ه</w:t>
      </w:r>
      <w:r w:rsidRPr="004E0A37">
        <w:rPr>
          <w:rtl/>
          <w:lang w:val="fr-CH"/>
        </w:rPr>
        <w:t xml:space="preserve"> المطلق وتجريم</w:t>
      </w:r>
      <w:r w:rsidRPr="004E0A37">
        <w:rPr>
          <w:rFonts w:hint="cs"/>
          <w:rtl/>
          <w:lang w:val="fr-CH"/>
        </w:rPr>
        <w:t>ه</w:t>
      </w:r>
    </w:p>
    <w:p w:rsidR="004E0A37" w:rsidRPr="004E0A37" w:rsidRDefault="00AE2E4C" w:rsidP="00AE2E4C">
      <w:pPr>
        <w:pStyle w:val="SingleTxtGA"/>
        <w:jc w:val="lowKashida"/>
        <w:rPr>
          <w:spacing w:val="0"/>
          <w:sz w:val="20"/>
          <w:rtl/>
        </w:rPr>
      </w:pPr>
      <w:r>
        <w:rPr>
          <w:rFonts w:hint="cs"/>
          <w:spacing w:val="0"/>
          <w:sz w:val="20"/>
          <w:rtl/>
        </w:rPr>
        <w:t>(</w:t>
      </w:r>
      <w:r w:rsidR="004E0A37" w:rsidRPr="004E0A37">
        <w:rPr>
          <w:spacing w:val="0"/>
          <w:sz w:val="20"/>
          <w:rtl/>
        </w:rPr>
        <w:t>16</w:t>
      </w:r>
      <w:r>
        <w:rPr>
          <w:rFonts w:hint="cs"/>
          <w:spacing w:val="0"/>
          <w:sz w:val="20"/>
          <w:rtl/>
        </w:rPr>
        <w:t>)</w:t>
      </w:r>
      <w:r w:rsidR="004E0A37" w:rsidRPr="004E0A37">
        <w:rPr>
          <w:rFonts w:hint="cs"/>
          <w:spacing w:val="0"/>
          <w:sz w:val="20"/>
          <w:rtl/>
        </w:rPr>
        <w:tab/>
      </w:r>
      <w:r w:rsidR="004E0A37" w:rsidRPr="004E0A37">
        <w:rPr>
          <w:spacing w:val="0"/>
          <w:sz w:val="20"/>
          <w:rtl/>
        </w:rPr>
        <w:t xml:space="preserve">بينما </w:t>
      </w:r>
      <w:r w:rsidR="004E0A37" w:rsidRPr="004E0A37">
        <w:rPr>
          <w:rFonts w:hint="cs"/>
          <w:spacing w:val="0"/>
          <w:sz w:val="20"/>
          <w:rtl/>
        </w:rPr>
        <w:t>تحيط</w:t>
      </w:r>
      <w:r w:rsidR="004E0A37" w:rsidRPr="004E0A37">
        <w:rPr>
          <w:spacing w:val="0"/>
          <w:sz w:val="20"/>
          <w:rtl/>
        </w:rPr>
        <w:t xml:space="preserve"> اللجنة</w:t>
      </w:r>
      <w:r w:rsidR="003833F8">
        <w:rPr>
          <w:spacing w:val="0"/>
          <w:sz w:val="20"/>
          <w:rtl/>
        </w:rPr>
        <w:t xml:space="preserve"> علماً </w:t>
      </w:r>
      <w:r w:rsidR="004E0A37" w:rsidRPr="004E0A37">
        <w:rPr>
          <w:rFonts w:hint="cs"/>
          <w:spacing w:val="0"/>
          <w:sz w:val="20"/>
          <w:rtl/>
        </w:rPr>
        <w:t>ب</w:t>
      </w:r>
      <w:r w:rsidR="004E0A37" w:rsidRPr="004E0A37">
        <w:rPr>
          <w:spacing w:val="0"/>
          <w:sz w:val="20"/>
          <w:rtl/>
        </w:rPr>
        <w:t xml:space="preserve">المعلومات التي قدمتها الدولة الطرف </w:t>
      </w:r>
      <w:r w:rsidR="004E0A37" w:rsidRPr="004E0A37">
        <w:rPr>
          <w:rFonts w:hint="cs"/>
          <w:spacing w:val="0"/>
          <w:sz w:val="20"/>
          <w:rtl/>
        </w:rPr>
        <w:t>و</w:t>
      </w:r>
      <w:r w:rsidR="004E0A37" w:rsidRPr="004E0A37">
        <w:rPr>
          <w:spacing w:val="0"/>
          <w:sz w:val="20"/>
          <w:rtl/>
        </w:rPr>
        <w:t>التي</w:t>
      </w:r>
      <w:r w:rsidR="004E0A37" w:rsidRPr="004E0A37">
        <w:rPr>
          <w:rFonts w:hint="cs"/>
          <w:spacing w:val="0"/>
          <w:sz w:val="20"/>
          <w:rtl/>
        </w:rPr>
        <w:t xml:space="preserve"> تفيد بأن</w:t>
      </w:r>
      <w:r w:rsidR="004E0A37" w:rsidRPr="004E0A37">
        <w:rPr>
          <w:spacing w:val="0"/>
          <w:sz w:val="20"/>
          <w:rtl/>
        </w:rPr>
        <w:t xml:space="preserve"> تعريف التعذيب الوارد في المادة 1 من الاتفاقية </w:t>
      </w:r>
      <w:r w:rsidR="004E0A37" w:rsidRPr="004E0A37">
        <w:rPr>
          <w:rFonts w:hint="cs"/>
          <w:spacing w:val="0"/>
          <w:sz w:val="20"/>
          <w:rtl/>
        </w:rPr>
        <w:t>ي</w:t>
      </w:r>
      <w:r w:rsidR="004E0A37" w:rsidRPr="004E0A37">
        <w:rPr>
          <w:spacing w:val="0"/>
          <w:sz w:val="20"/>
          <w:rtl/>
        </w:rPr>
        <w:t>ستخدم لغرض الملاحقة الجنائية لمرتكبي أعمال التعذيب</w:t>
      </w:r>
      <w:r w:rsidR="004E0A37" w:rsidRPr="004E0A37">
        <w:rPr>
          <w:rFonts w:hint="cs"/>
          <w:spacing w:val="0"/>
          <w:sz w:val="20"/>
          <w:rtl/>
        </w:rPr>
        <w:t>،</w:t>
      </w:r>
      <w:r w:rsidR="004E0A37" w:rsidRPr="004E0A37">
        <w:rPr>
          <w:spacing w:val="0"/>
          <w:sz w:val="20"/>
          <w:rtl/>
        </w:rPr>
        <w:t xml:space="preserve"> و</w:t>
      </w:r>
      <w:r w:rsidR="004E0A37" w:rsidRPr="004E0A37">
        <w:rPr>
          <w:rFonts w:hint="cs"/>
          <w:spacing w:val="0"/>
          <w:sz w:val="20"/>
          <w:rtl/>
        </w:rPr>
        <w:t xml:space="preserve">أن </w:t>
      </w:r>
      <w:r w:rsidR="004E0A37" w:rsidRPr="004E0A37">
        <w:rPr>
          <w:spacing w:val="0"/>
          <w:sz w:val="20"/>
          <w:rtl/>
        </w:rPr>
        <w:t xml:space="preserve">مكتب المدعي العام </w:t>
      </w:r>
      <w:r w:rsidR="004E0A37" w:rsidRPr="004E0A37">
        <w:rPr>
          <w:rFonts w:hint="cs"/>
          <w:spacing w:val="0"/>
          <w:sz w:val="20"/>
          <w:rtl/>
        </w:rPr>
        <w:t>ي</w:t>
      </w:r>
      <w:r w:rsidR="004E0A37" w:rsidRPr="004E0A37">
        <w:rPr>
          <w:spacing w:val="0"/>
          <w:sz w:val="20"/>
          <w:rtl/>
        </w:rPr>
        <w:t xml:space="preserve">عد مشروع قانون </w:t>
      </w:r>
      <w:r w:rsidR="004E0A37" w:rsidRPr="004E0A37">
        <w:rPr>
          <w:rFonts w:hint="cs"/>
          <w:spacing w:val="0"/>
          <w:sz w:val="20"/>
          <w:rtl/>
        </w:rPr>
        <w:t>يعدل</w:t>
      </w:r>
      <w:r w:rsidR="004E0A37" w:rsidRPr="004E0A37">
        <w:rPr>
          <w:spacing w:val="0"/>
          <w:sz w:val="20"/>
          <w:rtl/>
        </w:rPr>
        <w:t xml:space="preserve"> التشريعات الجنائية، فإن اللجنة تشعر بالقلق لأن المحاكم المحلية</w:t>
      </w:r>
      <w:r w:rsidR="00335AC0">
        <w:rPr>
          <w:spacing w:val="0"/>
          <w:sz w:val="20"/>
          <w:rtl/>
        </w:rPr>
        <w:t xml:space="preserve"> لم </w:t>
      </w:r>
      <w:r w:rsidR="004E0A37" w:rsidRPr="004E0A37">
        <w:rPr>
          <w:spacing w:val="0"/>
          <w:sz w:val="20"/>
          <w:rtl/>
        </w:rPr>
        <w:t>تطبق</w:t>
      </w:r>
      <w:r w:rsidR="004E0A37" w:rsidRPr="004E0A37">
        <w:rPr>
          <w:rFonts w:hint="cs"/>
          <w:spacing w:val="0"/>
          <w:sz w:val="20"/>
          <w:rtl/>
        </w:rPr>
        <w:t xml:space="preserve"> أبداً </w:t>
      </w:r>
      <w:r w:rsidR="004E0A37" w:rsidRPr="004E0A37">
        <w:rPr>
          <w:spacing w:val="0"/>
          <w:sz w:val="20"/>
          <w:rtl/>
        </w:rPr>
        <w:t xml:space="preserve">مثل هذا التعريف للتعذيب. </w:t>
      </w:r>
      <w:r w:rsidR="004E0A37" w:rsidRPr="004E0A37">
        <w:rPr>
          <w:rFonts w:hint="cs"/>
          <w:spacing w:val="0"/>
          <w:sz w:val="20"/>
          <w:rtl/>
        </w:rPr>
        <w:t>و</w:t>
      </w:r>
      <w:r w:rsidR="004E0A37" w:rsidRPr="004E0A37">
        <w:rPr>
          <w:spacing w:val="0"/>
          <w:sz w:val="20"/>
          <w:rtl/>
        </w:rPr>
        <w:t>لا تزال اللجنة تشعر بالقلق لأن التشريع الوطني لا يتضمن أحكاماً تعر</w:t>
      </w:r>
      <w:r w:rsidR="004E0A37" w:rsidRPr="004E0A37">
        <w:rPr>
          <w:rFonts w:hint="cs"/>
          <w:spacing w:val="0"/>
          <w:sz w:val="20"/>
          <w:rtl/>
        </w:rPr>
        <w:t>ّ</w:t>
      </w:r>
      <w:r w:rsidR="004E0A37" w:rsidRPr="004E0A37">
        <w:rPr>
          <w:spacing w:val="0"/>
          <w:sz w:val="20"/>
          <w:rtl/>
        </w:rPr>
        <w:t>ف التعذيب و</w:t>
      </w:r>
      <w:r w:rsidR="004E0A37" w:rsidRPr="004E0A37">
        <w:rPr>
          <w:rFonts w:hint="cs"/>
          <w:spacing w:val="0"/>
          <w:sz w:val="20"/>
          <w:rtl/>
        </w:rPr>
        <w:t>ت</w:t>
      </w:r>
      <w:r w:rsidR="004E0A37" w:rsidRPr="004E0A37">
        <w:rPr>
          <w:spacing w:val="0"/>
          <w:sz w:val="20"/>
          <w:rtl/>
        </w:rPr>
        <w:t xml:space="preserve">ضمن الحظر المطلق للتعذيب. كما أنها قلقة </w:t>
      </w:r>
      <w:r w:rsidR="004E0A37" w:rsidRPr="004E0A37">
        <w:rPr>
          <w:rFonts w:hint="cs"/>
          <w:spacing w:val="0"/>
          <w:sz w:val="20"/>
          <w:rtl/>
        </w:rPr>
        <w:t>ل</w:t>
      </w:r>
      <w:r w:rsidR="004E0A37" w:rsidRPr="004E0A37">
        <w:rPr>
          <w:spacing w:val="0"/>
          <w:sz w:val="20"/>
          <w:rtl/>
        </w:rPr>
        <w:t>أن المادتين 128 و394 من القانون الجنائي لا </w:t>
      </w:r>
      <w:r w:rsidR="004E0A37" w:rsidRPr="004E0A37">
        <w:rPr>
          <w:rFonts w:hint="cs"/>
          <w:spacing w:val="0"/>
          <w:sz w:val="20"/>
          <w:rtl/>
        </w:rPr>
        <w:t>ت</w:t>
      </w:r>
      <w:r w:rsidR="004E0A37" w:rsidRPr="004E0A37">
        <w:rPr>
          <w:spacing w:val="0"/>
          <w:sz w:val="20"/>
          <w:rtl/>
        </w:rPr>
        <w:t>جرم</w:t>
      </w:r>
      <w:r w:rsidR="004E0A37" w:rsidRPr="004E0A37">
        <w:rPr>
          <w:rFonts w:hint="cs"/>
          <w:spacing w:val="0"/>
          <w:sz w:val="20"/>
          <w:rtl/>
        </w:rPr>
        <w:t>ان</w:t>
      </w:r>
      <w:r w:rsidR="004E0A37" w:rsidRPr="004E0A37">
        <w:rPr>
          <w:spacing w:val="0"/>
          <w:sz w:val="20"/>
          <w:rtl/>
        </w:rPr>
        <w:t xml:space="preserve"> التعذيب</w:t>
      </w:r>
      <w:r w:rsidR="00B345DB">
        <w:rPr>
          <w:spacing w:val="0"/>
          <w:sz w:val="20"/>
          <w:rtl/>
        </w:rPr>
        <w:t xml:space="preserve"> وفقاً </w:t>
      </w:r>
      <w:r w:rsidR="004E0A37" w:rsidRPr="004E0A37">
        <w:rPr>
          <w:rFonts w:hint="cs"/>
          <w:spacing w:val="0"/>
          <w:sz w:val="20"/>
          <w:rtl/>
        </w:rPr>
        <w:t>ل</w:t>
      </w:r>
      <w:r w:rsidR="004E0A37" w:rsidRPr="004E0A37">
        <w:rPr>
          <w:spacing w:val="0"/>
          <w:sz w:val="20"/>
          <w:rtl/>
        </w:rPr>
        <w:t xml:space="preserve">لفقرة 2 </w:t>
      </w:r>
      <w:r w:rsidR="004E0A37" w:rsidRPr="004E0A37">
        <w:rPr>
          <w:rFonts w:hint="cs"/>
          <w:spacing w:val="0"/>
          <w:sz w:val="20"/>
          <w:rtl/>
        </w:rPr>
        <w:t>من ا</w:t>
      </w:r>
      <w:r w:rsidR="004E0A37" w:rsidRPr="004E0A37">
        <w:rPr>
          <w:spacing w:val="0"/>
          <w:sz w:val="20"/>
          <w:rtl/>
        </w:rPr>
        <w:t>لمادة 4 من الاتفاقية (المواد 1 و2 و4).</w:t>
      </w:r>
    </w:p>
    <w:p w:rsidR="004E0A37" w:rsidRPr="00AE2E4C" w:rsidRDefault="004E0A37" w:rsidP="00AE2E4C">
      <w:pPr>
        <w:pStyle w:val="SingleTxtGA"/>
        <w:jc w:val="lowKashida"/>
        <w:rPr>
          <w:rFonts w:hint="cs"/>
          <w:b/>
          <w:bCs/>
          <w:spacing w:val="0"/>
          <w:sz w:val="20"/>
          <w:rtl/>
        </w:rPr>
      </w:pPr>
      <w:r w:rsidRPr="00AE2E4C">
        <w:rPr>
          <w:rFonts w:hint="cs"/>
          <w:b/>
          <w:bCs/>
          <w:spacing w:val="0"/>
          <w:sz w:val="20"/>
          <w:rtl/>
        </w:rPr>
        <w:tab/>
        <w:t>و</w:t>
      </w:r>
      <w:r w:rsidRPr="00AE2E4C">
        <w:rPr>
          <w:b/>
          <w:bCs/>
          <w:spacing w:val="0"/>
          <w:sz w:val="20"/>
          <w:rtl/>
        </w:rPr>
        <w:t>في ضوء توصية اللجنة السابقة (</w:t>
      </w:r>
      <w:r w:rsidRPr="00AE2E4C">
        <w:rPr>
          <w:b/>
          <w:bCs/>
          <w:spacing w:val="0"/>
          <w:sz w:val="20"/>
        </w:rPr>
        <w:t>A/56/44</w:t>
      </w:r>
      <w:r w:rsidRPr="00AE2E4C">
        <w:rPr>
          <w:b/>
          <w:bCs/>
          <w:spacing w:val="0"/>
          <w:sz w:val="20"/>
          <w:rtl/>
        </w:rPr>
        <w:t>، الفقرة 46(أ)) وقبول الدولة الطرف</w:t>
      </w:r>
      <w:r w:rsidR="00AE2E4C">
        <w:rPr>
          <w:rFonts w:hint="cs"/>
          <w:b/>
          <w:bCs/>
          <w:spacing w:val="0"/>
          <w:sz w:val="20"/>
          <w:rtl/>
        </w:rPr>
        <w:t> </w:t>
      </w:r>
      <w:r w:rsidRPr="00AE2E4C">
        <w:rPr>
          <w:rFonts w:hint="cs"/>
          <w:b/>
          <w:bCs/>
          <w:spacing w:val="0"/>
          <w:sz w:val="20"/>
          <w:rtl/>
        </w:rPr>
        <w:t>ب</w:t>
      </w:r>
      <w:r w:rsidRPr="00AE2E4C">
        <w:rPr>
          <w:b/>
          <w:bCs/>
          <w:spacing w:val="0"/>
          <w:sz w:val="20"/>
          <w:rtl/>
        </w:rPr>
        <w:t>التوصيات التي قدمت أثناء الاستعراض الدوري الشامل (</w:t>
      </w:r>
      <w:r w:rsidRPr="00AE2E4C">
        <w:rPr>
          <w:b/>
          <w:bCs/>
          <w:spacing w:val="0"/>
          <w:sz w:val="20"/>
        </w:rPr>
        <w:t>A/HRC/15/16</w:t>
      </w:r>
      <w:r w:rsidRPr="00AE2E4C">
        <w:rPr>
          <w:b/>
          <w:bCs/>
          <w:spacing w:val="0"/>
          <w:sz w:val="20"/>
          <w:rtl/>
        </w:rPr>
        <w:t>، الفقر</w:t>
      </w:r>
      <w:r w:rsidRPr="00AE2E4C">
        <w:rPr>
          <w:rFonts w:hint="cs"/>
          <w:b/>
          <w:bCs/>
          <w:spacing w:val="0"/>
          <w:sz w:val="20"/>
          <w:rtl/>
        </w:rPr>
        <w:t>تان</w:t>
      </w:r>
      <w:r w:rsidRPr="00AE2E4C">
        <w:rPr>
          <w:b/>
          <w:bCs/>
          <w:spacing w:val="0"/>
          <w:sz w:val="20"/>
          <w:rtl/>
        </w:rPr>
        <w:t xml:space="preserve"> 97</w:t>
      </w:r>
      <w:r w:rsidRPr="00AE2E4C">
        <w:rPr>
          <w:rFonts w:hint="cs"/>
          <w:b/>
          <w:bCs/>
          <w:spacing w:val="0"/>
          <w:sz w:val="20"/>
          <w:rtl/>
        </w:rPr>
        <w:t>-</w:t>
      </w:r>
      <w:r w:rsidRPr="00AE2E4C">
        <w:rPr>
          <w:b/>
          <w:bCs/>
          <w:spacing w:val="0"/>
          <w:sz w:val="20"/>
          <w:rtl/>
        </w:rPr>
        <w:t>28</w:t>
      </w:r>
      <w:r w:rsidRPr="00AE2E4C">
        <w:rPr>
          <w:rFonts w:hint="cs"/>
          <w:b/>
          <w:bCs/>
          <w:spacing w:val="0"/>
          <w:sz w:val="20"/>
          <w:rtl/>
        </w:rPr>
        <w:t xml:space="preserve"> و98-</w:t>
      </w:r>
      <w:r w:rsidRPr="00AE2E4C">
        <w:rPr>
          <w:b/>
          <w:bCs/>
          <w:spacing w:val="0"/>
          <w:sz w:val="20"/>
          <w:rtl/>
        </w:rPr>
        <w:t xml:space="preserve">21)، ينبغي للدولة الطرف، دون تأخير، </w:t>
      </w:r>
      <w:r w:rsidRPr="00AE2E4C">
        <w:rPr>
          <w:rFonts w:hint="cs"/>
          <w:b/>
          <w:bCs/>
          <w:spacing w:val="0"/>
          <w:sz w:val="20"/>
          <w:rtl/>
        </w:rPr>
        <w:t>تعريف</w:t>
      </w:r>
      <w:r w:rsidRPr="00AE2E4C">
        <w:rPr>
          <w:b/>
          <w:bCs/>
          <w:spacing w:val="0"/>
          <w:sz w:val="20"/>
          <w:rtl/>
        </w:rPr>
        <w:t xml:space="preserve"> التعذيب وتجريم</w:t>
      </w:r>
      <w:r w:rsidRPr="00AE2E4C">
        <w:rPr>
          <w:rFonts w:hint="cs"/>
          <w:b/>
          <w:bCs/>
          <w:spacing w:val="0"/>
          <w:sz w:val="20"/>
          <w:rtl/>
        </w:rPr>
        <w:t>ه</w:t>
      </w:r>
      <w:r w:rsidRPr="00AE2E4C">
        <w:rPr>
          <w:b/>
          <w:bCs/>
          <w:spacing w:val="0"/>
          <w:sz w:val="20"/>
          <w:rtl/>
        </w:rPr>
        <w:t xml:space="preserve"> في قانونها الجنائي بما</w:t>
      </w:r>
      <w:r w:rsidR="002C1EA7" w:rsidRPr="00AE2E4C">
        <w:rPr>
          <w:rFonts w:hint="cs"/>
          <w:b/>
          <w:bCs/>
          <w:spacing w:val="0"/>
          <w:sz w:val="20"/>
          <w:rtl/>
        </w:rPr>
        <w:t> </w:t>
      </w:r>
      <w:r w:rsidRPr="00AE2E4C">
        <w:rPr>
          <w:b/>
          <w:bCs/>
          <w:spacing w:val="0"/>
          <w:sz w:val="20"/>
          <w:rtl/>
        </w:rPr>
        <w:t>يتفق تماماً مع الماد</w:t>
      </w:r>
      <w:r w:rsidRPr="00AE2E4C">
        <w:rPr>
          <w:rFonts w:hint="cs"/>
          <w:b/>
          <w:bCs/>
          <w:spacing w:val="0"/>
          <w:sz w:val="20"/>
          <w:rtl/>
        </w:rPr>
        <w:t>تين</w:t>
      </w:r>
      <w:r w:rsidRPr="00AE2E4C">
        <w:rPr>
          <w:b/>
          <w:bCs/>
          <w:spacing w:val="0"/>
          <w:sz w:val="20"/>
          <w:rtl/>
        </w:rPr>
        <w:t xml:space="preserve"> 1 و4 من الاتفاقية. </w:t>
      </w:r>
      <w:r w:rsidRPr="00AE2E4C">
        <w:rPr>
          <w:rFonts w:hint="cs"/>
          <w:b/>
          <w:bCs/>
          <w:spacing w:val="0"/>
          <w:sz w:val="20"/>
          <w:rtl/>
        </w:rPr>
        <w:t>و</w:t>
      </w:r>
      <w:r w:rsidRPr="00AE2E4C">
        <w:rPr>
          <w:b/>
          <w:bCs/>
          <w:spacing w:val="0"/>
          <w:sz w:val="20"/>
          <w:rtl/>
        </w:rPr>
        <w:t xml:space="preserve">علاوة على ذلك، توصي اللجنة بأن تكفل الدولة الطرف </w:t>
      </w:r>
      <w:r w:rsidRPr="00AE2E4C">
        <w:rPr>
          <w:rFonts w:hint="cs"/>
          <w:b/>
          <w:bCs/>
          <w:spacing w:val="0"/>
          <w:sz w:val="20"/>
          <w:rtl/>
        </w:rPr>
        <w:t xml:space="preserve">عدم تقييد </w:t>
      </w:r>
      <w:r w:rsidRPr="00AE2E4C">
        <w:rPr>
          <w:b/>
          <w:bCs/>
          <w:spacing w:val="0"/>
          <w:sz w:val="20"/>
          <w:rtl/>
        </w:rPr>
        <w:t>الحظر المطلق</w:t>
      </w:r>
      <w:r w:rsidRPr="00AE2E4C">
        <w:rPr>
          <w:rFonts w:hint="cs"/>
          <w:b/>
          <w:bCs/>
          <w:spacing w:val="0"/>
          <w:sz w:val="20"/>
          <w:rtl/>
        </w:rPr>
        <w:t xml:space="preserve"> ل</w:t>
      </w:r>
      <w:r w:rsidRPr="00AE2E4C">
        <w:rPr>
          <w:b/>
          <w:bCs/>
          <w:spacing w:val="0"/>
          <w:sz w:val="20"/>
          <w:rtl/>
        </w:rPr>
        <w:t xml:space="preserve">لتعذيب </w:t>
      </w:r>
      <w:r w:rsidRPr="00AE2E4C">
        <w:rPr>
          <w:rFonts w:hint="cs"/>
          <w:b/>
          <w:bCs/>
          <w:spacing w:val="0"/>
          <w:sz w:val="20"/>
          <w:rtl/>
        </w:rPr>
        <w:t>وعدم خضوع أية</w:t>
      </w:r>
      <w:r w:rsidRPr="00AE2E4C">
        <w:rPr>
          <w:b/>
          <w:bCs/>
          <w:spacing w:val="0"/>
          <w:sz w:val="20"/>
          <w:rtl/>
        </w:rPr>
        <w:t xml:space="preserve"> أفعال </w:t>
      </w:r>
      <w:r w:rsidRPr="00AE2E4C">
        <w:rPr>
          <w:rFonts w:hint="cs"/>
          <w:b/>
          <w:bCs/>
          <w:spacing w:val="0"/>
          <w:sz w:val="20"/>
          <w:rtl/>
        </w:rPr>
        <w:t>ترقى إلى مستوى</w:t>
      </w:r>
      <w:r w:rsidRPr="00AE2E4C">
        <w:rPr>
          <w:b/>
          <w:bCs/>
          <w:spacing w:val="0"/>
          <w:sz w:val="20"/>
          <w:rtl/>
        </w:rPr>
        <w:t xml:space="preserve"> التعذيب لقانون التقادم.</w:t>
      </w:r>
    </w:p>
    <w:p w:rsidR="004E0A37" w:rsidRPr="004E0A37" w:rsidRDefault="00AE2E4C" w:rsidP="002C1EA7">
      <w:pPr>
        <w:pStyle w:val="H23GA"/>
        <w:rPr>
          <w:rtl/>
          <w:lang w:val="fr-CH"/>
        </w:rPr>
      </w:pPr>
      <w:r>
        <w:rPr>
          <w:rtl/>
          <w:lang w:val="fr-CH"/>
        </w:rPr>
        <w:br w:type="page"/>
      </w:r>
      <w:r w:rsidR="004E0A37" w:rsidRPr="004E0A37">
        <w:rPr>
          <w:rFonts w:hint="cs"/>
          <w:rtl/>
          <w:lang w:val="fr-CH"/>
        </w:rPr>
        <w:tab/>
      </w:r>
      <w:r w:rsidR="004E0A37" w:rsidRPr="004E0A37">
        <w:rPr>
          <w:rFonts w:hint="cs"/>
          <w:rtl/>
          <w:lang w:val="fr-CH"/>
        </w:rPr>
        <w:tab/>
      </w:r>
      <w:r w:rsidR="004E0A37" w:rsidRPr="004E0A37">
        <w:rPr>
          <w:rtl/>
          <w:lang w:val="fr-CH"/>
        </w:rPr>
        <w:t>انطباق الاتفاقية في النظام القانوني المحلي</w:t>
      </w:r>
    </w:p>
    <w:p w:rsidR="004E0A37" w:rsidRPr="004E0A37" w:rsidRDefault="00896765" w:rsidP="00896765">
      <w:pPr>
        <w:pStyle w:val="SingleTxtGA"/>
        <w:jc w:val="lowKashida"/>
        <w:rPr>
          <w:spacing w:val="0"/>
          <w:sz w:val="20"/>
          <w:rtl/>
        </w:rPr>
      </w:pPr>
      <w:r>
        <w:rPr>
          <w:rFonts w:hint="cs"/>
          <w:spacing w:val="0"/>
          <w:sz w:val="20"/>
          <w:rtl/>
        </w:rPr>
        <w:t>(</w:t>
      </w:r>
      <w:r w:rsidR="004E0A37" w:rsidRPr="004E0A37">
        <w:rPr>
          <w:spacing w:val="0"/>
          <w:sz w:val="20"/>
          <w:rtl/>
        </w:rPr>
        <w:t>17</w:t>
      </w:r>
      <w:r>
        <w:rPr>
          <w:rFonts w:hint="cs"/>
          <w:spacing w:val="0"/>
          <w:sz w:val="20"/>
          <w:rtl/>
        </w:rPr>
        <w:t>)</w:t>
      </w:r>
      <w:r w:rsidR="004E0A37" w:rsidRPr="004E0A37">
        <w:rPr>
          <w:rFonts w:hint="cs"/>
          <w:spacing w:val="0"/>
          <w:sz w:val="20"/>
          <w:rtl/>
        </w:rPr>
        <w:tab/>
      </w:r>
      <w:r w:rsidR="004E0A37" w:rsidRPr="004E0A37">
        <w:rPr>
          <w:spacing w:val="0"/>
          <w:sz w:val="20"/>
          <w:rtl/>
        </w:rPr>
        <w:t>ترحب</w:t>
      </w:r>
      <w:r w:rsidR="004E0A37" w:rsidRPr="004E0A37">
        <w:rPr>
          <w:rFonts w:hint="cs"/>
          <w:spacing w:val="0"/>
          <w:sz w:val="20"/>
          <w:rtl/>
        </w:rPr>
        <w:t xml:space="preserve"> اللجنة</w:t>
      </w:r>
      <w:r w:rsidR="004E0A37" w:rsidRPr="004E0A37">
        <w:rPr>
          <w:spacing w:val="0"/>
          <w:sz w:val="20"/>
          <w:rtl/>
        </w:rPr>
        <w:t xml:space="preserve"> </w:t>
      </w:r>
      <w:r w:rsidR="004E0A37" w:rsidRPr="004E0A37">
        <w:rPr>
          <w:rFonts w:hint="cs"/>
          <w:spacing w:val="0"/>
          <w:sz w:val="20"/>
          <w:rtl/>
        </w:rPr>
        <w:t>بتطبيق</w:t>
      </w:r>
      <w:r w:rsidR="004E0A37" w:rsidRPr="004E0A37">
        <w:rPr>
          <w:spacing w:val="0"/>
          <w:sz w:val="20"/>
          <w:rtl/>
        </w:rPr>
        <w:t xml:space="preserve"> المعاهدات الدولية التي </w:t>
      </w:r>
      <w:r w:rsidR="004E0A37" w:rsidRPr="004E0A37">
        <w:rPr>
          <w:rFonts w:hint="cs"/>
          <w:spacing w:val="0"/>
          <w:sz w:val="20"/>
          <w:rtl/>
        </w:rPr>
        <w:t xml:space="preserve">أصبحت </w:t>
      </w:r>
      <w:r w:rsidR="004E0A37" w:rsidRPr="004E0A37">
        <w:rPr>
          <w:spacing w:val="0"/>
          <w:sz w:val="20"/>
          <w:rtl/>
        </w:rPr>
        <w:t>جمهورية بيلاروس طرفاً فيها تطب</w:t>
      </w:r>
      <w:r w:rsidR="004E0A37" w:rsidRPr="004E0A37">
        <w:rPr>
          <w:rFonts w:hint="cs"/>
          <w:spacing w:val="0"/>
          <w:sz w:val="20"/>
          <w:rtl/>
        </w:rPr>
        <w:t>ي</w:t>
      </w:r>
      <w:r w:rsidR="004E0A37" w:rsidRPr="004E0A37">
        <w:rPr>
          <w:spacing w:val="0"/>
          <w:sz w:val="20"/>
          <w:rtl/>
        </w:rPr>
        <w:t>ق</w:t>
      </w:r>
      <w:r w:rsidR="004E0A37" w:rsidRPr="004E0A37">
        <w:rPr>
          <w:rFonts w:hint="cs"/>
          <w:spacing w:val="0"/>
          <w:sz w:val="20"/>
          <w:rtl/>
        </w:rPr>
        <w:t xml:space="preserve">اً </w:t>
      </w:r>
      <w:r w:rsidR="004E0A37" w:rsidRPr="004E0A37">
        <w:rPr>
          <w:spacing w:val="0"/>
          <w:sz w:val="20"/>
          <w:rtl/>
        </w:rPr>
        <w:t>مباشر</w:t>
      </w:r>
      <w:r w:rsidR="004E0A37" w:rsidRPr="004E0A37">
        <w:rPr>
          <w:rFonts w:hint="cs"/>
          <w:spacing w:val="0"/>
          <w:sz w:val="20"/>
          <w:rtl/>
        </w:rPr>
        <w:t xml:space="preserve">اً </w:t>
      </w:r>
      <w:r w:rsidR="004E0A37" w:rsidRPr="004E0A37">
        <w:rPr>
          <w:spacing w:val="0"/>
          <w:sz w:val="20"/>
          <w:rtl/>
        </w:rPr>
        <w:t>بموجب المادة 20 من القانون المتعلق ب</w:t>
      </w:r>
      <w:r w:rsidR="004E0A37" w:rsidRPr="004E0A37">
        <w:rPr>
          <w:rFonts w:hint="cs"/>
          <w:spacing w:val="0"/>
          <w:sz w:val="20"/>
          <w:rtl/>
        </w:rPr>
        <w:t>ال</w:t>
      </w:r>
      <w:r w:rsidR="004E0A37" w:rsidRPr="004E0A37">
        <w:rPr>
          <w:spacing w:val="0"/>
          <w:sz w:val="20"/>
          <w:rtl/>
        </w:rPr>
        <w:t xml:space="preserve">قوانين واللوائح، </w:t>
      </w:r>
      <w:r w:rsidR="004E0A37" w:rsidRPr="004E0A37">
        <w:rPr>
          <w:rFonts w:hint="cs"/>
          <w:spacing w:val="0"/>
          <w:sz w:val="20"/>
          <w:rtl/>
        </w:rPr>
        <w:t xml:space="preserve">لكنها </w:t>
      </w:r>
      <w:r w:rsidR="004E0A37" w:rsidRPr="004E0A37">
        <w:rPr>
          <w:spacing w:val="0"/>
          <w:sz w:val="20"/>
          <w:rtl/>
        </w:rPr>
        <w:t xml:space="preserve">تلاحظ بقلق عدم وجود معلومات عن قرارات </w:t>
      </w:r>
      <w:r w:rsidR="004E0A37" w:rsidRPr="004E0A37">
        <w:rPr>
          <w:rFonts w:hint="cs"/>
          <w:spacing w:val="0"/>
          <w:sz w:val="20"/>
          <w:rtl/>
        </w:rPr>
        <w:t>لل</w:t>
      </w:r>
      <w:r w:rsidR="004E0A37" w:rsidRPr="004E0A37">
        <w:rPr>
          <w:spacing w:val="0"/>
          <w:sz w:val="20"/>
          <w:rtl/>
        </w:rPr>
        <w:t>محاكم ا</w:t>
      </w:r>
      <w:r w:rsidR="004E0A37" w:rsidRPr="004E0A37">
        <w:rPr>
          <w:rFonts w:hint="cs"/>
          <w:spacing w:val="0"/>
          <w:sz w:val="20"/>
          <w:rtl/>
        </w:rPr>
        <w:t>ستندت إلى ا</w:t>
      </w:r>
      <w:r w:rsidR="004E0A37" w:rsidRPr="004E0A37">
        <w:rPr>
          <w:spacing w:val="0"/>
          <w:sz w:val="20"/>
          <w:rtl/>
        </w:rPr>
        <w:t xml:space="preserve">لاتفاقية </w:t>
      </w:r>
      <w:r w:rsidR="004E0A37" w:rsidRPr="004E0A37">
        <w:rPr>
          <w:rFonts w:hint="cs"/>
          <w:spacing w:val="0"/>
          <w:sz w:val="20"/>
          <w:rtl/>
        </w:rPr>
        <w:t xml:space="preserve">بصورة </w:t>
      </w:r>
      <w:r w:rsidR="004E0A37" w:rsidRPr="004E0A37">
        <w:rPr>
          <w:spacing w:val="0"/>
          <w:sz w:val="20"/>
          <w:rtl/>
        </w:rPr>
        <w:t xml:space="preserve">مباشرة. </w:t>
      </w:r>
      <w:r w:rsidR="004E0A37" w:rsidRPr="004E0A37">
        <w:rPr>
          <w:rFonts w:hint="cs"/>
          <w:spacing w:val="0"/>
          <w:sz w:val="20"/>
          <w:rtl/>
        </w:rPr>
        <w:t>و</w:t>
      </w:r>
      <w:r w:rsidR="004E0A37" w:rsidRPr="004E0A37">
        <w:rPr>
          <w:spacing w:val="0"/>
          <w:sz w:val="20"/>
          <w:rtl/>
        </w:rPr>
        <w:t xml:space="preserve">تأسف اللجنة </w:t>
      </w:r>
      <w:r w:rsidR="004E0A37" w:rsidRPr="004E0A37">
        <w:rPr>
          <w:rFonts w:hint="cs"/>
          <w:spacing w:val="0"/>
          <w:sz w:val="20"/>
          <w:rtl/>
        </w:rPr>
        <w:t xml:space="preserve">لورود </w:t>
      </w:r>
      <w:r w:rsidR="004E0A37" w:rsidRPr="004E0A37">
        <w:rPr>
          <w:spacing w:val="0"/>
          <w:sz w:val="20"/>
          <w:rtl/>
        </w:rPr>
        <w:t xml:space="preserve">تقارير </w:t>
      </w:r>
      <w:r w:rsidR="004E0A37" w:rsidRPr="004E0A37">
        <w:rPr>
          <w:rFonts w:hint="cs"/>
          <w:spacing w:val="0"/>
          <w:sz w:val="20"/>
          <w:rtl/>
        </w:rPr>
        <w:t>تفيد بأن</w:t>
      </w:r>
      <w:r w:rsidR="004E0A37" w:rsidRPr="004E0A37">
        <w:rPr>
          <w:spacing w:val="0"/>
          <w:sz w:val="20"/>
          <w:rtl/>
        </w:rPr>
        <w:t xml:space="preserve"> الاتفاقية</w:t>
      </w:r>
      <w:r w:rsidR="00335AC0">
        <w:rPr>
          <w:spacing w:val="0"/>
          <w:sz w:val="20"/>
          <w:rtl/>
        </w:rPr>
        <w:t xml:space="preserve"> لم </w:t>
      </w:r>
      <w:r w:rsidR="004E0A37" w:rsidRPr="004E0A37">
        <w:rPr>
          <w:spacing w:val="0"/>
          <w:sz w:val="20"/>
          <w:rtl/>
        </w:rPr>
        <w:t>تطبق</w:t>
      </w:r>
      <w:r w:rsidR="004E0A37" w:rsidRPr="004E0A37">
        <w:rPr>
          <w:rFonts w:hint="cs"/>
          <w:spacing w:val="0"/>
          <w:sz w:val="20"/>
          <w:rtl/>
        </w:rPr>
        <w:t xml:space="preserve"> أبداً </w:t>
      </w:r>
      <w:r w:rsidR="004E0A37" w:rsidRPr="004E0A37">
        <w:rPr>
          <w:spacing w:val="0"/>
          <w:sz w:val="20"/>
          <w:rtl/>
        </w:rPr>
        <w:t xml:space="preserve">في المحاكم المحلية، </w:t>
      </w:r>
      <w:r w:rsidR="004E0A37" w:rsidRPr="004E0A37">
        <w:rPr>
          <w:rFonts w:hint="cs"/>
          <w:spacing w:val="0"/>
          <w:sz w:val="20"/>
          <w:rtl/>
        </w:rPr>
        <w:t>وإن كان ذلك</w:t>
      </w:r>
      <w:r w:rsidR="004E0A37" w:rsidRPr="004E0A37">
        <w:rPr>
          <w:spacing w:val="0"/>
          <w:sz w:val="20"/>
          <w:rtl/>
        </w:rPr>
        <w:t xml:space="preserve"> ممكن</w:t>
      </w:r>
      <w:r w:rsidR="004E0A37" w:rsidRPr="004E0A37">
        <w:rPr>
          <w:rFonts w:hint="cs"/>
          <w:spacing w:val="0"/>
          <w:sz w:val="20"/>
          <w:rtl/>
        </w:rPr>
        <w:t xml:space="preserve">اً </w:t>
      </w:r>
      <w:r w:rsidR="004E0A37" w:rsidRPr="004E0A37">
        <w:rPr>
          <w:spacing w:val="0"/>
          <w:sz w:val="20"/>
          <w:rtl/>
        </w:rPr>
        <w:t>من الناحية النظرية (المادتان 2 و10).</w:t>
      </w:r>
    </w:p>
    <w:p w:rsidR="004E0A37" w:rsidRPr="00AE2E4C" w:rsidRDefault="004E0A37" w:rsidP="004E0A37">
      <w:pPr>
        <w:pStyle w:val="SingleTxtGA"/>
        <w:jc w:val="lowKashida"/>
        <w:rPr>
          <w:rFonts w:hint="cs"/>
          <w:b/>
          <w:bCs/>
          <w:spacing w:val="0"/>
          <w:sz w:val="20"/>
          <w:rtl/>
        </w:rPr>
      </w:pPr>
      <w:r w:rsidRPr="00AE2E4C">
        <w:rPr>
          <w:rFonts w:hint="cs"/>
          <w:b/>
          <w:bCs/>
          <w:spacing w:val="0"/>
          <w:sz w:val="20"/>
          <w:rtl/>
        </w:rPr>
        <w:tab/>
      </w:r>
      <w:r w:rsidRPr="00AE2E4C">
        <w:rPr>
          <w:b/>
          <w:bCs/>
          <w:spacing w:val="0"/>
          <w:sz w:val="20"/>
          <w:rtl/>
        </w:rPr>
        <w:t>توصي اللجنة بأن تتخذ الدولة الطرف التدابير اللازمة لضمان التطبيق الفعلي لأحكام الاتفاقية في نظامها القانوني المحلي والتنفيذ العملي للمادة 20 من القانون المتعلق ب</w:t>
      </w:r>
      <w:r w:rsidRPr="00AE2E4C">
        <w:rPr>
          <w:rFonts w:hint="cs"/>
          <w:b/>
          <w:bCs/>
          <w:spacing w:val="0"/>
          <w:sz w:val="20"/>
          <w:rtl/>
        </w:rPr>
        <w:t>ال</w:t>
      </w:r>
      <w:r w:rsidRPr="00AE2E4C">
        <w:rPr>
          <w:b/>
          <w:bCs/>
          <w:spacing w:val="0"/>
          <w:sz w:val="20"/>
          <w:rtl/>
        </w:rPr>
        <w:t>قوانين واللوائح، من خلال جملة أمور،</w:t>
      </w:r>
      <w:r w:rsidRPr="00AE2E4C">
        <w:rPr>
          <w:rFonts w:hint="cs"/>
          <w:b/>
          <w:bCs/>
          <w:spacing w:val="0"/>
          <w:sz w:val="20"/>
          <w:rtl/>
        </w:rPr>
        <w:t xml:space="preserve"> منها</w:t>
      </w:r>
      <w:r w:rsidRPr="00AE2E4C">
        <w:rPr>
          <w:b/>
          <w:bCs/>
          <w:spacing w:val="0"/>
          <w:sz w:val="20"/>
          <w:rtl/>
        </w:rPr>
        <w:t xml:space="preserve"> توفير التدريب المكثف لل</w:t>
      </w:r>
      <w:r w:rsidRPr="00AE2E4C">
        <w:rPr>
          <w:rFonts w:hint="cs"/>
          <w:b/>
          <w:bCs/>
          <w:spacing w:val="0"/>
          <w:sz w:val="20"/>
          <w:rtl/>
        </w:rPr>
        <w:t xml:space="preserve">موظفين في الجهاز </w:t>
      </w:r>
      <w:r w:rsidRPr="00AE2E4C">
        <w:rPr>
          <w:b/>
          <w:bCs/>
          <w:spacing w:val="0"/>
          <w:sz w:val="20"/>
          <w:rtl/>
        </w:rPr>
        <w:t>القضا</w:t>
      </w:r>
      <w:r w:rsidRPr="00AE2E4C">
        <w:rPr>
          <w:rFonts w:hint="cs"/>
          <w:b/>
          <w:bCs/>
          <w:spacing w:val="0"/>
          <w:sz w:val="20"/>
          <w:rtl/>
        </w:rPr>
        <w:t>ئي</w:t>
      </w:r>
      <w:r w:rsidRPr="00AE2E4C">
        <w:rPr>
          <w:b/>
          <w:bCs/>
          <w:spacing w:val="0"/>
          <w:sz w:val="20"/>
          <w:rtl/>
        </w:rPr>
        <w:t xml:space="preserve"> والموظفين المكلفين بإنفاذ القانون </w:t>
      </w:r>
      <w:r w:rsidRPr="00AE2E4C">
        <w:rPr>
          <w:rFonts w:hint="cs"/>
          <w:b/>
          <w:bCs/>
          <w:spacing w:val="0"/>
          <w:sz w:val="20"/>
          <w:rtl/>
        </w:rPr>
        <w:t>لتوعيتهم توعية تامة</w:t>
      </w:r>
      <w:r w:rsidRPr="00AE2E4C">
        <w:rPr>
          <w:b/>
          <w:bCs/>
          <w:spacing w:val="0"/>
          <w:sz w:val="20"/>
          <w:rtl/>
        </w:rPr>
        <w:t xml:space="preserve"> </w:t>
      </w:r>
      <w:r w:rsidRPr="00AE2E4C">
        <w:rPr>
          <w:rFonts w:hint="cs"/>
          <w:b/>
          <w:bCs/>
          <w:spacing w:val="0"/>
          <w:sz w:val="20"/>
          <w:rtl/>
        </w:rPr>
        <w:t>ب</w:t>
      </w:r>
      <w:r w:rsidRPr="00AE2E4C">
        <w:rPr>
          <w:b/>
          <w:bCs/>
          <w:spacing w:val="0"/>
          <w:sz w:val="20"/>
          <w:rtl/>
        </w:rPr>
        <w:t xml:space="preserve">أحكام الاتفاقية </w:t>
      </w:r>
      <w:r w:rsidRPr="00AE2E4C">
        <w:rPr>
          <w:rFonts w:hint="cs"/>
          <w:b/>
          <w:bCs/>
          <w:spacing w:val="0"/>
          <w:sz w:val="20"/>
          <w:rtl/>
        </w:rPr>
        <w:t>وانطباقها</w:t>
      </w:r>
      <w:r w:rsidRPr="00AE2E4C">
        <w:rPr>
          <w:b/>
          <w:bCs/>
          <w:spacing w:val="0"/>
          <w:sz w:val="20"/>
          <w:rtl/>
        </w:rPr>
        <w:t xml:space="preserve"> </w:t>
      </w:r>
      <w:r w:rsidRPr="00AE2E4C">
        <w:rPr>
          <w:rFonts w:hint="cs"/>
          <w:b/>
          <w:bCs/>
          <w:spacing w:val="0"/>
          <w:sz w:val="20"/>
          <w:rtl/>
        </w:rPr>
        <w:t xml:space="preserve">بصورة </w:t>
      </w:r>
      <w:r w:rsidRPr="00AE2E4C">
        <w:rPr>
          <w:b/>
          <w:bCs/>
          <w:spacing w:val="0"/>
          <w:sz w:val="20"/>
          <w:rtl/>
        </w:rPr>
        <w:t>مباشر</w:t>
      </w:r>
      <w:r w:rsidRPr="00AE2E4C">
        <w:rPr>
          <w:rFonts w:hint="cs"/>
          <w:b/>
          <w:bCs/>
          <w:spacing w:val="0"/>
          <w:sz w:val="20"/>
          <w:rtl/>
        </w:rPr>
        <w:t>ة</w:t>
      </w:r>
      <w:r w:rsidRPr="00AE2E4C">
        <w:rPr>
          <w:b/>
          <w:bCs/>
          <w:spacing w:val="0"/>
          <w:sz w:val="20"/>
          <w:rtl/>
        </w:rPr>
        <w:t xml:space="preserve">. </w:t>
      </w:r>
      <w:r w:rsidRPr="00AE2E4C">
        <w:rPr>
          <w:rFonts w:hint="cs"/>
          <w:b/>
          <w:bCs/>
          <w:spacing w:val="0"/>
          <w:sz w:val="20"/>
          <w:rtl/>
        </w:rPr>
        <w:t>و</w:t>
      </w:r>
      <w:r w:rsidRPr="00AE2E4C">
        <w:rPr>
          <w:b/>
          <w:bCs/>
          <w:spacing w:val="0"/>
          <w:sz w:val="20"/>
          <w:rtl/>
        </w:rPr>
        <w:t xml:space="preserve">علاوة على ذلك، ينبغي للدولة الطرف </w:t>
      </w:r>
      <w:r w:rsidRPr="00AE2E4C">
        <w:rPr>
          <w:rFonts w:hint="cs"/>
          <w:b/>
          <w:bCs/>
          <w:spacing w:val="0"/>
          <w:sz w:val="20"/>
          <w:rtl/>
        </w:rPr>
        <w:t xml:space="preserve">تقديم </w:t>
      </w:r>
      <w:r w:rsidRPr="00AE2E4C">
        <w:rPr>
          <w:b/>
          <w:bCs/>
          <w:spacing w:val="0"/>
          <w:sz w:val="20"/>
          <w:rtl/>
        </w:rPr>
        <w:t xml:space="preserve">تقرير عن قرارات المحاكم الوطنية أو السلطات الإدارية </w:t>
      </w:r>
      <w:r w:rsidRPr="00AE2E4C">
        <w:rPr>
          <w:rFonts w:hint="cs"/>
          <w:b/>
          <w:bCs/>
          <w:spacing w:val="0"/>
          <w:sz w:val="20"/>
          <w:rtl/>
        </w:rPr>
        <w:t>التي تنفذ</w:t>
      </w:r>
      <w:r w:rsidRPr="00AE2E4C">
        <w:rPr>
          <w:b/>
          <w:bCs/>
          <w:spacing w:val="0"/>
          <w:sz w:val="20"/>
          <w:rtl/>
        </w:rPr>
        <w:t xml:space="preserve"> الحقوق </w:t>
      </w:r>
      <w:r w:rsidRPr="00AE2E4C">
        <w:rPr>
          <w:rFonts w:hint="cs"/>
          <w:b/>
          <w:bCs/>
          <w:spacing w:val="0"/>
          <w:sz w:val="20"/>
          <w:rtl/>
        </w:rPr>
        <w:t>المكرسة</w:t>
      </w:r>
      <w:r w:rsidRPr="00AE2E4C">
        <w:rPr>
          <w:b/>
          <w:bCs/>
          <w:spacing w:val="0"/>
          <w:sz w:val="20"/>
          <w:rtl/>
        </w:rPr>
        <w:t xml:space="preserve"> في الاتفاقية.</w:t>
      </w:r>
    </w:p>
    <w:p w:rsidR="004E0A37" w:rsidRPr="004E0A37" w:rsidRDefault="004E0A37" w:rsidP="002C1EA7">
      <w:pPr>
        <w:pStyle w:val="H23GA"/>
        <w:rPr>
          <w:rFonts w:hint="cs"/>
          <w:rtl/>
          <w:lang w:val="fr-CH"/>
        </w:rPr>
      </w:pPr>
      <w:r w:rsidRPr="004E0A37">
        <w:rPr>
          <w:rFonts w:hint="cs"/>
          <w:rtl/>
          <w:lang w:val="fr-CH"/>
        </w:rPr>
        <w:tab/>
      </w:r>
      <w:r w:rsidRPr="004E0A37">
        <w:rPr>
          <w:rFonts w:hint="cs"/>
          <w:rtl/>
          <w:lang w:val="fr-CH"/>
        </w:rPr>
        <w:tab/>
      </w:r>
      <w:r w:rsidRPr="004E0A37">
        <w:rPr>
          <w:rtl/>
          <w:lang w:val="fr-CH"/>
        </w:rPr>
        <w:t xml:space="preserve">الأدلة </w:t>
      </w:r>
      <w:r w:rsidRPr="004E0A37">
        <w:rPr>
          <w:rFonts w:hint="cs"/>
          <w:rtl/>
          <w:lang w:val="fr-CH"/>
        </w:rPr>
        <w:t>التي يحصل عليها</w:t>
      </w:r>
      <w:r w:rsidRPr="004E0A37">
        <w:rPr>
          <w:rtl/>
          <w:lang w:val="fr-CH"/>
        </w:rPr>
        <w:t xml:space="preserve"> عن طريق التعذيب</w:t>
      </w:r>
    </w:p>
    <w:p w:rsidR="004E0A37" w:rsidRPr="004E0A37" w:rsidRDefault="00AE2E4C" w:rsidP="00AE2E4C">
      <w:pPr>
        <w:pStyle w:val="SingleTxtGA"/>
        <w:jc w:val="lowKashida"/>
        <w:rPr>
          <w:spacing w:val="0"/>
          <w:sz w:val="20"/>
          <w:rtl/>
        </w:rPr>
      </w:pPr>
      <w:r>
        <w:rPr>
          <w:rFonts w:hint="cs"/>
          <w:spacing w:val="0"/>
          <w:sz w:val="20"/>
          <w:rtl/>
        </w:rPr>
        <w:t>(</w:t>
      </w:r>
      <w:r w:rsidR="004E0A37" w:rsidRPr="004E0A37">
        <w:rPr>
          <w:spacing w:val="0"/>
          <w:sz w:val="20"/>
          <w:rtl/>
        </w:rPr>
        <w:t>18</w:t>
      </w:r>
      <w:r>
        <w:rPr>
          <w:rFonts w:hint="cs"/>
          <w:spacing w:val="0"/>
          <w:sz w:val="20"/>
          <w:rtl/>
        </w:rPr>
        <w:t>)</w:t>
      </w:r>
      <w:r w:rsidR="004E0A37" w:rsidRPr="004E0A37">
        <w:rPr>
          <w:rFonts w:hint="cs"/>
          <w:spacing w:val="0"/>
          <w:sz w:val="20"/>
          <w:rtl/>
        </w:rPr>
        <w:tab/>
      </w:r>
      <w:r w:rsidR="004E0A37" w:rsidRPr="004E0A37">
        <w:rPr>
          <w:spacing w:val="0"/>
          <w:sz w:val="20"/>
          <w:rtl/>
        </w:rPr>
        <w:t>مع أن اللجنة تلاحظ أن المادة 27 من الدستور تحظر قبول الأدلة المنتزَعة تحت التعذيب و</w:t>
      </w:r>
      <w:r w:rsidR="004E0A37" w:rsidRPr="004E0A37">
        <w:rPr>
          <w:rFonts w:hint="cs"/>
          <w:spacing w:val="0"/>
          <w:sz w:val="20"/>
          <w:rtl/>
        </w:rPr>
        <w:t xml:space="preserve">أن </w:t>
      </w:r>
      <w:r w:rsidR="004E0A37" w:rsidRPr="004E0A37">
        <w:rPr>
          <w:spacing w:val="0"/>
          <w:sz w:val="20"/>
          <w:rtl/>
        </w:rPr>
        <w:t>الدولة الطرف قبل</w:t>
      </w:r>
      <w:r w:rsidR="004E0A37" w:rsidRPr="004E0A37">
        <w:rPr>
          <w:rFonts w:hint="cs"/>
          <w:spacing w:val="0"/>
          <w:sz w:val="20"/>
          <w:rtl/>
        </w:rPr>
        <w:t>ت</w:t>
      </w:r>
      <w:r w:rsidR="004E0A37" w:rsidRPr="004E0A37">
        <w:rPr>
          <w:spacing w:val="0"/>
          <w:sz w:val="20"/>
          <w:rtl/>
        </w:rPr>
        <w:t xml:space="preserve"> التوصية التي قدمت أثناء الاستعراض الدوري الشامل لهذه الغاية (</w:t>
      </w:r>
      <w:r w:rsidR="004E0A37" w:rsidRPr="004E0A37">
        <w:rPr>
          <w:spacing w:val="0"/>
          <w:sz w:val="20"/>
        </w:rPr>
        <w:t>A/HRC/15/16</w:t>
      </w:r>
      <w:r w:rsidR="004E0A37" w:rsidRPr="004E0A37">
        <w:rPr>
          <w:spacing w:val="0"/>
          <w:sz w:val="20"/>
          <w:rtl/>
        </w:rPr>
        <w:t xml:space="preserve">، الفقرة </w:t>
      </w:r>
      <w:r w:rsidR="004E0A37" w:rsidRPr="004E0A37">
        <w:rPr>
          <w:rFonts w:hint="cs"/>
          <w:spacing w:val="0"/>
          <w:sz w:val="20"/>
          <w:rtl/>
        </w:rPr>
        <w:t>97-28</w:t>
      </w:r>
      <w:r w:rsidR="004E0A37" w:rsidRPr="004E0A37">
        <w:rPr>
          <w:spacing w:val="0"/>
          <w:sz w:val="20"/>
          <w:rtl/>
        </w:rPr>
        <w:t>)</w:t>
      </w:r>
      <w:r w:rsidR="004E0A37" w:rsidRPr="004E0A37">
        <w:rPr>
          <w:rFonts w:hint="cs"/>
          <w:spacing w:val="0"/>
          <w:sz w:val="20"/>
          <w:rtl/>
        </w:rPr>
        <w:t xml:space="preserve">، </w:t>
      </w:r>
      <w:r w:rsidR="004E0A37" w:rsidRPr="004E0A37">
        <w:rPr>
          <w:spacing w:val="0"/>
          <w:sz w:val="20"/>
          <w:rtl/>
        </w:rPr>
        <w:t xml:space="preserve">فإنها تشعر بالقلق إزاء ورود تقارير تفيد بوجود عدة حالات من الاعترافات المنتزَعة تحت التعذيب وسوء المعاملة، وإزاء عدم توافر معلومات عن محاكمة </w:t>
      </w:r>
      <w:r w:rsidR="004E0A37" w:rsidRPr="004E0A37">
        <w:rPr>
          <w:rFonts w:hint="eastAsia"/>
          <w:spacing w:val="0"/>
          <w:sz w:val="20"/>
          <w:rtl/>
        </w:rPr>
        <w:t>أي</w:t>
      </w:r>
      <w:r w:rsidR="004E0A37" w:rsidRPr="004E0A37">
        <w:rPr>
          <w:spacing w:val="0"/>
          <w:sz w:val="20"/>
          <w:rtl/>
        </w:rPr>
        <w:t xml:space="preserve"> مسؤول أو معاقبته على انتزاع مثل تلك الاعترافات. </w:t>
      </w:r>
      <w:r w:rsidR="004E0A37" w:rsidRPr="004E0A37">
        <w:rPr>
          <w:rFonts w:hint="cs"/>
          <w:spacing w:val="0"/>
          <w:sz w:val="20"/>
          <w:rtl/>
        </w:rPr>
        <w:t xml:space="preserve">وتشير </w:t>
      </w:r>
      <w:r w:rsidR="004E0A37" w:rsidRPr="004E0A37">
        <w:rPr>
          <w:spacing w:val="0"/>
          <w:sz w:val="20"/>
          <w:rtl/>
        </w:rPr>
        <w:t xml:space="preserve">المعلومات المعروضة على اللجنة في بعض الحالات </w:t>
      </w:r>
      <w:r w:rsidR="004E0A37" w:rsidRPr="004E0A37">
        <w:rPr>
          <w:rFonts w:hint="cs"/>
          <w:spacing w:val="0"/>
          <w:sz w:val="20"/>
          <w:rtl/>
        </w:rPr>
        <w:t xml:space="preserve">إلى أن </w:t>
      </w:r>
      <w:r w:rsidR="004E0A37" w:rsidRPr="004E0A37">
        <w:rPr>
          <w:spacing w:val="0"/>
          <w:sz w:val="20"/>
          <w:rtl/>
        </w:rPr>
        <w:t xml:space="preserve">القضاة يعتمدون على بيانات المتهمين </w:t>
      </w:r>
      <w:r w:rsidR="004E0A37" w:rsidRPr="004E0A37">
        <w:rPr>
          <w:rFonts w:hint="cs"/>
          <w:spacing w:val="0"/>
          <w:sz w:val="20"/>
          <w:rtl/>
        </w:rPr>
        <w:t>السابقة</w:t>
      </w:r>
      <w:r w:rsidR="004E0A37" w:rsidRPr="004E0A37">
        <w:rPr>
          <w:spacing w:val="0"/>
          <w:sz w:val="20"/>
          <w:rtl/>
        </w:rPr>
        <w:t xml:space="preserve"> </w:t>
      </w:r>
      <w:r w:rsidR="004E0A37" w:rsidRPr="004E0A37">
        <w:rPr>
          <w:rFonts w:hint="cs"/>
          <w:spacing w:val="0"/>
          <w:sz w:val="20"/>
          <w:rtl/>
        </w:rPr>
        <w:t>ل</w:t>
      </w:r>
      <w:r w:rsidR="004E0A37" w:rsidRPr="004E0A37">
        <w:rPr>
          <w:spacing w:val="0"/>
          <w:sz w:val="20"/>
          <w:rtl/>
        </w:rPr>
        <w:t>لمحاكمة التي تتعارض مع شهاداتهم التي قدمت أثناء المحاكمة، على الرغم من مزاعم الإكراه والتخويف. وتأسف اللجنة لعدم وجود معلومات حول ح</w:t>
      </w:r>
      <w:r w:rsidR="004E0A37" w:rsidRPr="004E0A37">
        <w:rPr>
          <w:rFonts w:hint="cs"/>
          <w:spacing w:val="0"/>
          <w:sz w:val="20"/>
          <w:rtl/>
        </w:rPr>
        <w:t>التي</w:t>
      </w:r>
      <w:r w:rsidR="004E0A37" w:rsidRPr="004E0A37">
        <w:rPr>
          <w:spacing w:val="0"/>
          <w:sz w:val="20"/>
          <w:rtl/>
        </w:rPr>
        <w:t xml:space="preserve"> نيكولاي</w:t>
      </w:r>
      <w:r w:rsidR="004E0A37" w:rsidRPr="004E0A37">
        <w:rPr>
          <w:rFonts w:hint="cs"/>
          <w:spacing w:val="0"/>
          <w:sz w:val="20"/>
          <w:rtl/>
        </w:rPr>
        <w:t xml:space="preserve"> أفتوكوفيتش</w:t>
      </w:r>
      <w:r w:rsidR="004E0A37" w:rsidRPr="004E0A37">
        <w:rPr>
          <w:spacing w:val="0"/>
          <w:sz w:val="20"/>
          <w:rtl/>
        </w:rPr>
        <w:t xml:space="preserve"> وفلاديمير</w:t>
      </w:r>
      <w:r w:rsidR="004E0A37" w:rsidRPr="004E0A37">
        <w:rPr>
          <w:rFonts w:hint="cs"/>
          <w:spacing w:val="0"/>
          <w:sz w:val="20"/>
          <w:rtl/>
        </w:rPr>
        <w:t xml:space="preserve"> أسيبينكا </w:t>
      </w:r>
      <w:r w:rsidR="004E0A37" w:rsidRPr="004E0A37">
        <w:rPr>
          <w:spacing w:val="0"/>
          <w:sz w:val="20"/>
          <w:rtl/>
        </w:rPr>
        <w:t>ال</w:t>
      </w:r>
      <w:r w:rsidR="004E0A37" w:rsidRPr="004E0A37">
        <w:rPr>
          <w:rFonts w:hint="cs"/>
          <w:spacing w:val="0"/>
          <w:sz w:val="20"/>
          <w:rtl/>
        </w:rPr>
        <w:t>ل</w:t>
      </w:r>
      <w:r w:rsidR="004E0A37" w:rsidRPr="004E0A37">
        <w:rPr>
          <w:spacing w:val="0"/>
          <w:sz w:val="20"/>
          <w:rtl/>
        </w:rPr>
        <w:t>ذي</w:t>
      </w:r>
      <w:r w:rsidR="004E0A37" w:rsidRPr="004E0A37">
        <w:rPr>
          <w:rFonts w:hint="cs"/>
          <w:spacing w:val="0"/>
          <w:sz w:val="20"/>
          <w:rtl/>
        </w:rPr>
        <w:t>ن</w:t>
      </w:r>
      <w:r w:rsidR="004E0A37" w:rsidRPr="004E0A37">
        <w:rPr>
          <w:spacing w:val="0"/>
          <w:sz w:val="20"/>
          <w:rtl/>
        </w:rPr>
        <w:t xml:space="preserve"> أدين</w:t>
      </w:r>
      <w:r w:rsidR="004E0A37" w:rsidRPr="004E0A37">
        <w:rPr>
          <w:rFonts w:hint="cs"/>
          <w:spacing w:val="0"/>
          <w:sz w:val="20"/>
          <w:rtl/>
        </w:rPr>
        <w:t>ا</w:t>
      </w:r>
      <w:r w:rsidR="004E0A37" w:rsidRPr="004E0A37">
        <w:rPr>
          <w:spacing w:val="0"/>
          <w:sz w:val="20"/>
          <w:rtl/>
        </w:rPr>
        <w:t xml:space="preserve"> على أساس إفادات شهود تراجع</w:t>
      </w:r>
      <w:r w:rsidR="004E0A37" w:rsidRPr="004E0A37">
        <w:rPr>
          <w:rFonts w:hint="cs"/>
          <w:spacing w:val="0"/>
          <w:sz w:val="20"/>
          <w:rtl/>
        </w:rPr>
        <w:t>وا في أقوالهم</w:t>
      </w:r>
      <w:r w:rsidR="004E0A37" w:rsidRPr="004E0A37">
        <w:rPr>
          <w:spacing w:val="0"/>
          <w:sz w:val="20"/>
          <w:rtl/>
        </w:rPr>
        <w:t xml:space="preserve"> في وقت لاحق وز</w:t>
      </w:r>
      <w:r w:rsidR="004E0A37" w:rsidRPr="004E0A37">
        <w:rPr>
          <w:rFonts w:hint="cs"/>
          <w:spacing w:val="0"/>
          <w:sz w:val="20"/>
          <w:rtl/>
        </w:rPr>
        <w:t>ُ</w:t>
      </w:r>
      <w:r w:rsidR="004E0A37" w:rsidRPr="004E0A37">
        <w:rPr>
          <w:spacing w:val="0"/>
          <w:sz w:val="20"/>
          <w:rtl/>
        </w:rPr>
        <w:t xml:space="preserve">عم </w:t>
      </w:r>
      <w:r w:rsidR="004E0A37" w:rsidRPr="004E0A37">
        <w:rPr>
          <w:rFonts w:hint="cs"/>
          <w:spacing w:val="0"/>
          <w:sz w:val="20"/>
          <w:rtl/>
        </w:rPr>
        <w:t>أنها انتزعت تحت وطأة</w:t>
      </w:r>
      <w:r w:rsidR="004E0A37" w:rsidRPr="004E0A37">
        <w:rPr>
          <w:spacing w:val="0"/>
          <w:sz w:val="20"/>
          <w:rtl/>
        </w:rPr>
        <w:t xml:space="preserve"> التعذيب (المادة 15).</w:t>
      </w:r>
    </w:p>
    <w:p w:rsidR="004E0A37" w:rsidRPr="00FE6536" w:rsidRDefault="004E0A37" w:rsidP="004E0A37">
      <w:pPr>
        <w:pStyle w:val="SingleTxtGA"/>
        <w:jc w:val="lowKashida"/>
        <w:rPr>
          <w:b/>
          <w:bCs/>
          <w:spacing w:val="0"/>
          <w:sz w:val="20"/>
          <w:rtl/>
        </w:rPr>
      </w:pPr>
      <w:r w:rsidRPr="00FE6536">
        <w:rPr>
          <w:rFonts w:hint="cs"/>
          <w:b/>
          <w:bCs/>
          <w:spacing w:val="0"/>
          <w:sz w:val="20"/>
          <w:rtl/>
        </w:rPr>
        <w:tab/>
      </w:r>
      <w:r w:rsidRPr="00FE6536">
        <w:rPr>
          <w:b/>
          <w:bCs/>
          <w:spacing w:val="0"/>
          <w:sz w:val="20"/>
          <w:rtl/>
        </w:rPr>
        <w:t xml:space="preserve">ينبغي للدولة الطرف أن تتخذ الخطوات اللازمة </w:t>
      </w:r>
      <w:r w:rsidRPr="00FE6536">
        <w:rPr>
          <w:rFonts w:hint="cs"/>
          <w:b/>
          <w:bCs/>
          <w:spacing w:val="0"/>
          <w:sz w:val="20"/>
          <w:rtl/>
        </w:rPr>
        <w:t>لكي ت</w:t>
      </w:r>
      <w:r w:rsidRPr="00FE6536">
        <w:rPr>
          <w:b/>
          <w:bCs/>
          <w:spacing w:val="0"/>
          <w:sz w:val="20"/>
          <w:rtl/>
        </w:rPr>
        <w:t>ضمن</w:t>
      </w:r>
      <w:r w:rsidRPr="00FE6536">
        <w:rPr>
          <w:rFonts w:hint="cs"/>
          <w:b/>
          <w:bCs/>
          <w:spacing w:val="0"/>
          <w:sz w:val="20"/>
          <w:rtl/>
        </w:rPr>
        <w:t>، في الممارسة الفعلية،</w:t>
      </w:r>
      <w:r w:rsidRPr="00FE6536">
        <w:rPr>
          <w:b/>
          <w:bCs/>
          <w:spacing w:val="0"/>
          <w:sz w:val="20"/>
          <w:rtl/>
        </w:rPr>
        <w:t xml:space="preserve"> </w:t>
      </w:r>
      <w:r w:rsidRPr="00FE6536">
        <w:rPr>
          <w:rFonts w:hint="cs"/>
          <w:b/>
          <w:bCs/>
          <w:spacing w:val="0"/>
          <w:sz w:val="20"/>
          <w:rtl/>
        </w:rPr>
        <w:t xml:space="preserve">عدم </w:t>
      </w:r>
      <w:r w:rsidRPr="00FE6536">
        <w:rPr>
          <w:b/>
          <w:bCs/>
          <w:spacing w:val="0"/>
          <w:sz w:val="20"/>
          <w:rtl/>
        </w:rPr>
        <w:t>قبول الاعترافات المنتزعة تحت وطأة التعذيب أو الإكراه في الدع</w:t>
      </w:r>
      <w:r w:rsidRPr="00FE6536">
        <w:rPr>
          <w:rFonts w:hint="cs"/>
          <w:b/>
          <w:bCs/>
          <w:spacing w:val="0"/>
          <w:sz w:val="20"/>
          <w:rtl/>
        </w:rPr>
        <w:t>ا</w:t>
      </w:r>
      <w:r w:rsidRPr="00FE6536">
        <w:rPr>
          <w:b/>
          <w:bCs/>
          <w:spacing w:val="0"/>
          <w:sz w:val="20"/>
          <w:rtl/>
        </w:rPr>
        <w:t>وى القضائي</w:t>
      </w:r>
      <w:r w:rsidRPr="00FE6536">
        <w:rPr>
          <w:rFonts w:hint="cs"/>
          <w:b/>
          <w:bCs/>
          <w:spacing w:val="0"/>
          <w:sz w:val="20"/>
          <w:rtl/>
        </w:rPr>
        <w:t>ة</w:t>
      </w:r>
      <w:r w:rsidRPr="00FE6536">
        <w:rPr>
          <w:b/>
          <w:bCs/>
          <w:spacing w:val="0"/>
          <w:sz w:val="20"/>
          <w:rtl/>
        </w:rPr>
        <w:t xml:space="preserve">، تماشياً مع التشريعات المحلية ذات الصلة والمادة 15 من الاتفاقية. </w:t>
      </w:r>
      <w:r w:rsidRPr="00FE6536">
        <w:rPr>
          <w:rFonts w:hint="cs"/>
          <w:b/>
          <w:bCs/>
          <w:spacing w:val="0"/>
          <w:sz w:val="20"/>
          <w:rtl/>
        </w:rPr>
        <w:t>و</w:t>
      </w:r>
      <w:r w:rsidRPr="00FE6536">
        <w:rPr>
          <w:b/>
          <w:bCs/>
          <w:spacing w:val="0"/>
          <w:sz w:val="20"/>
          <w:rtl/>
        </w:rPr>
        <w:t xml:space="preserve">ينبغي للدولة الطرف ضمان أن </w:t>
      </w:r>
      <w:r w:rsidRPr="00FE6536">
        <w:rPr>
          <w:rFonts w:hint="cs"/>
          <w:b/>
          <w:bCs/>
          <w:spacing w:val="0"/>
          <w:sz w:val="20"/>
          <w:rtl/>
        </w:rPr>
        <w:t>يسأل ا</w:t>
      </w:r>
      <w:r w:rsidRPr="00FE6536">
        <w:rPr>
          <w:b/>
          <w:bCs/>
          <w:spacing w:val="0"/>
          <w:sz w:val="20"/>
          <w:rtl/>
        </w:rPr>
        <w:t xml:space="preserve">لقضاة جميع المعتقلين </w:t>
      </w:r>
      <w:r w:rsidRPr="00FE6536">
        <w:rPr>
          <w:rFonts w:hint="cs"/>
          <w:b/>
          <w:bCs/>
          <w:spacing w:val="0"/>
          <w:sz w:val="20"/>
          <w:rtl/>
        </w:rPr>
        <w:t xml:space="preserve">عما </w:t>
      </w:r>
      <w:r w:rsidRPr="00FE6536">
        <w:rPr>
          <w:b/>
          <w:bCs/>
          <w:spacing w:val="0"/>
          <w:sz w:val="20"/>
          <w:rtl/>
        </w:rPr>
        <w:t xml:space="preserve">إذا كانوا </w:t>
      </w:r>
      <w:r w:rsidRPr="00FE6536">
        <w:rPr>
          <w:rFonts w:hint="cs"/>
          <w:b/>
          <w:bCs/>
          <w:spacing w:val="0"/>
          <w:sz w:val="20"/>
          <w:rtl/>
        </w:rPr>
        <w:t xml:space="preserve">قد </w:t>
      </w:r>
      <w:r w:rsidRPr="00FE6536">
        <w:rPr>
          <w:b/>
          <w:bCs/>
          <w:spacing w:val="0"/>
          <w:sz w:val="20"/>
          <w:rtl/>
        </w:rPr>
        <w:t xml:space="preserve">تعرضوا للتعذيب أو لسوء المعاملة في الحجز، وبأن </w:t>
      </w:r>
      <w:r w:rsidRPr="00FE6536">
        <w:rPr>
          <w:rFonts w:hint="cs"/>
          <w:b/>
          <w:bCs/>
          <w:spacing w:val="0"/>
          <w:sz w:val="20"/>
          <w:rtl/>
        </w:rPr>
        <w:t xml:space="preserve">يصدر </w:t>
      </w:r>
      <w:r w:rsidRPr="00FE6536">
        <w:rPr>
          <w:b/>
          <w:bCs/>
          <w:spacing w:val="0"/>
          <w:sz w:val="20"/>
          <w:rtl/>
        </w:rPr>
        <w:t>القضاة أمر</w:t>
      </w:r>
      <w:r w:rsidRPr="00FE6536">
        <w:rPr>
          <w:rFonts w:hint="cs"/>
          <w:b/>
          <w:bCs/>
          <w:spacing w:val="0"/>
          <w:sz w:val="20"/>
          <w:rtl/>
        </w:rPr>
        <w:t>اً</w:t>
      </w:r>
      <w:r w:rsidRPr="00FE6536">
        <w:rPr>
          <w:b/>
          <w:bCs/>
          <w:spacing w:val="0"/>
          <w:sz w:val="20"/>
          <w:rtl/>
        </w:rPr>
        <w:t xml:space="preserve"> بإجراء فحوص طبية مستقلة </w:t>
      </w:r>
      <w:r w:rsidRPr="00FE6536">
        <w:rPr>
          <w:rFonts w:hint="cs"/>
          <w:b/>
          <w:bCs/>
          <w:spacing w:val="0"/>
          <w:sz w:val="20"/>
          <w:rtl/>
        </w:rPr>
        <w:t>متى ما </w:t>
      </w:r>
      <w:r w:rsidRPr="00FE6536">
        <w:rPr>
          <w:b/>
          <w:bCs/>
          <w:spacing w:val="0"/>
          <w:sz w:val="20"/>
          <w:rtl/>
        </w:rPr>
        <w:t xml:space="preserve">طلب </w:t>
      </w:r>
      <w:r w:rsidRPr="00FE6536">
        <w:rPr>
          <w:rFonts w:hint="cs"/>
          <w:b/>
          <w:bCs/>
          <w:spacing w:val="0"/>
          <w:sz w:val="20"/>
          <w:rtl/>
        </w:rPr>
        <w:t xml:space="preserve">ذلك أي </w:t>
      </w:r>
      <w:r w:rsidRPr="00FE6536">
        <w:rPr>
          <w:b/>
          <w:bCs/>
          <w:spacing w:val="0"/>
          <w:sz w:val="20"/>
          <w:rtl/>
        </w:rPr>
        <w:t>مشتبه في</w:t>
      </w:r>
      <w:r w:rsidRPr="00FE6536">
        <w:rPr>
          <w:rFonts w:hint="cs"/>
          <w:b/>
          <w:bCs/>
          <w:spacing w:val="0"/>
          <w:sz w:val="20"/>
          <w:rtl/>
        </w:rPr>
        <w:t>ه</w:t>
      </w:r>
      <w:r w:rsidRPr="00FE6536">
        <w:rPr>
          <w:b/>
          <w:bCs/>
          <w:spacing w:val="0"/>
          <w:sz w:val="20"/>
          <w:rtl/>
        </w:rPr>
        <w:t xml:space="preserve"> </w:t>
      </w:r>
      <w:r w:rsidRPr="00FE6536">
        <w:rPr>
          <w:rFonts w:hint="cs"/>
          <w:b/>
          <w:bCs/>
          <w:spacing w:val="0"/>
          <w:sz w:val="20"/>
          <w:rtl/>
        </w:rPr>
        <w:t xml:space="preserve">في </w:t>
      </w:r>
      <w:r w:rsidRPr="00FE6536">
        <w:rPr>
          <w:b/>
          <w:bCs/>
          <w:spacing w:val="0"/>
          <w:sz w:val="20"/>
          <w:rtl/>
        </w:rPr>
        <w:t>المحكمة. وينبغي للقاضي استبعاد مثل هذه التصريحات، ولا سيما إذا طلب المتهم ذلك في المحكمة، و</w:t>
      </w:r>
      <w:r w:rsidRPr="00FE6536">
        <w:rPr>
          <w:rFonts w:hint="cs"/>
          <w:b/>
          <w:bCs/>
          <w:spacing w:val="0"/>
          <w:sz w:val="20"/>
          <w:rtl/>
        </w:rPr>
        <w:t xml:space="preserve">أيد </w:t>
      </w:r>
      <w:r w:rsidRPr="00FE6536">
        <w:rPr>
          <w:b/>
          <w:bCs/>
          <w:spacing w:val="0"/>
          <w:sz w:val="20"/>
          <w:rtl/>
        </w:rPr>
        <w:t xml:space="preserve">الفحص الطبي </w:t>
      </w:r>
      <w:r w:rsidRPr="00FE6536">
        <w:rPr>
          <w:rFonts w:hint="cs"/>
          <w:b/>
          <w:bCs/>
          <w:spacing w:val="0"/>
          <w:sz w:val="20"/>
          <w:rtl/>
        </w:rPr>
        <w:t>هذا الطلب</w:t>
      </w:r>
      <w:r w:rsidRPr="00FE6536">
        <w:rPr>
          <w:b/>
          <w:bCs/>
          <w:spacing w:val="0"/>
          <w:sz w:val="20"/>
          <w:rtl/>
        </w:rPr>
        <w:t xml:space="preserve">. وينبغي إجراء تحقيقات فورية ونزيهة عندما يكون هناك سبب للاعتقاد </w:t>
      </w:r>
      <w:r w:rsidRPr="00FE6536">
        <w:rPr>
          <w:rFonts w:hint="cs"/>
          <w:b/>
          <w:bCs/>
          <w:spacing w:val="0"/>
          <w:sz w:val="20"/>
          <w:rtl/>
        </w:rPr>
        <w:t>بوقوع</w:t>
      </w:r>
      <w:r w:rsidRPr="00FE6536">
        <w:rPr>
          <w:b/>
          <w:bCs/>
          <w:spacing w:val="0"/>
          <w:sz w:val="20"/>
          <w:rtl/>
        </w:rPr>
        <w:t xml:space="preserve"> عمل من أعمال التعذيب، لا سيما في </w:t>
      </w:r>
      <w:r w:rsidRPr="00FE6536">
        <w:rPr>
          <w:rFonts w:hint="cs"/>
          <w:b/>
          <w:bCs/>
          <w:spacing w:val="0"/>
          <w:sz w:val="20"/>
          <w:rtl/>
        </w:rPr>
        <w:t>القضايا</w:t>
      </w:r>
      <w:r w:rsidRPr="00FE6536">
        <w:rPr>
          <w:b/>
          <w:bCs/>
          <w:spacing w:val="0"/>
          <w:sz w:val="20"/>
          <w:rtl/>
        </w:rPr>
        <w:t xml:space="preserve"> التي يكون فيها الدليل الوحيد هو الاعتراف. </w:t>
      </w:r>
      <w:r w:rsidRPr="00FE6536">
        <w:rPr>
          <w:rFonts w:hint="cs"/>
          <w:b/>
          <w:bCs/>
          <w:spacing w:val="0"/>
          <w:sz w:val="20"/>
          <w:rtl/>
        </w:rPr>
        <w:t>و</w:t>
      </w:r>
      <w:r w:rsidRPr="00FE6536">
        <w:rPr>
          <w:b/>
          <w:bCs/>
          <w:spacing w:val="0"/>
          <w:sz w:val="20"/>
          <w:rtl/>
        </w:rPr>
        <w:t xml:space="preserve">في هذا الصدد، ينبغي للدولة الطرف أن تضمن </w:t>
      </w:r>
      <w:r w:rsidRPr="00FE6536">
        <w:rPr>
          <w:rFonts w:hint="cs"/>
          <w:b/>
          <w:bCs/>
          <w:spacing w:val="0"/>
          <w:sz w:val="20"/>
          <w:rtl/>
        </w:rPr>
        <w:t>إطلاع</w:t>
      </w:r>
      <w:r w:rsidRPr="00FE6536">
        <w:rPr>
          <w:b/>
          <w:bCs/>
          <w:spacing w:val="0"/>
          <w:sz w:val="20"/>
          <w:rtl/>
        </w:rPr>
        <w:t xml:space="preserve"> المنظمات الدولية الحكومية أو غير الحكومية </w:t>
      </w:r>
      <w:r w:rsidRPr="00FE6536">
        <w:rPr>
          <w:rFonts w:hint="cs"/>
          <w:b/>
          <w:bCs/>
          <w:spacing w:val="0"/>
          <w:sz w:val="20"/>
          <w:rtl/>
        </w:rPr>
        <w:t xml:space="preserve">على </w:t>
      </w:r>
      <w:r w:rsidRPr="00FE6536">
        <w:rPr>
          <w:b/>
          <w:bCs/>
          <w:spacing w:val="0"/>
          <w:sz w:val="20"/>
          <w:rtl/>
        </w:rPr>
        <w:t>إجراءات المحكمة.</w:t>
      </w:r>
    </w:p>
    <w:p w:rsidR="004E0A37" w:rsidRPr="00FE6536" w:rsidRDefault="004E0A37" w:rsidP="004E0A37">
      <w:pPr>
        <w:pStyle w:val="SingleTxtGA"/>
        <w:jc w:val="lowKashida"/>
        <w:rPr>
          <w:b/>
          <w:bCs/>
          <w:spacing w:val="-4"/>
          <w:sz w:val="20"/>
          <w:rtl/>
        </w:rPr>
      </w:pPr>
      <w:r w:rsidRPr="00FE6536">
        <w:rPr>
          <w:rFonts w:hint="cs"/>
          <w:b/>
          <w:bCs/>
          <w:spacing w:val="-4"/>
          <w:sz w:val="20"/>
          <w:rtl/>
        </w:rPr>
        <w:tab/>
      </w:r>
      <w:r w:rsidRPr="00FE6536">
        <w:rPr>
          <w:b/>
          <w:bCs/>
          <w:spacing w:val="-4"/>
          <w:sz w:val="20"/>
          <w:rtl/>
        </w:rPr>
        <w:t xml:space="preserve">وعلاوة على ذلك، تطلب اللجنة من الدولة الطرف تقديم معلومات بشأن </w:t>
      </w:r>
      <w:r w:rsidRPr="00FE6536">
        <w:rPr>
          <w:rFonts w:hint="cs"/>
          <w:b/>
          <w:bCs/>
          <w:spacing w:val="-4"/>
          <w:sz w:val="20"/>
          <w:rtl/>
          <w:lang/>
        </w:rPr>
        <w:t xml:space="preserve">مقاضاة ومعاقبة أي مسؤول بسبب </w:t>
      </w:r>
      <w:r w:rsidRPr="00FE6536">
        <w:rPr>
          <w:b/>
          <w:bCs/>
          <w:spacing w:val="-4"/>
          <w:sz w:val="20"/>
          <w:rtl/>
        </w:rPr>
        <w:t>انتزاع اعترافات تحت وطأة التعذيب</w:t>
      </w:r>
      <w:r w:rsidRPr="00FE6536">
        <w:rPr>
          <w:rFonts w:hint="cs"/>
          <w:b/>
          <w:bCs/>
          <w:spacing w:val="-4"/>
          <w:sz w:val="20"/>
          <w:rtl/>
        </w:rPr>
        <w:t xml:space="preserve"> وت</w:t>
      </w:r>
      <w:r w:rsidRPr="00FE6536">
        <w:rPr>
          <w:b/>
          <w:bCs/>
          <w:spacing w:val="-4"/>
          <w:sz w:val="20"/>
          <w:rtl/>
        </w:rPr>
        <w:t>قديم تفاصيل عن الحالات وال</w:t>
      </w:r>
      <w:r w:rsidRPr="00FE6536">
        <w:rPr>
          <w:rFonts w:hint="cs"/>
          <w:b/>
          <w:bCs/>
          <w:spacing w:val="-4"/>
          <w:sz w:val="20"/>
          <w:rtl/>
        </w:rPr>
        <w:t>جزاءات</w:t>
      </w:r>
      <w:r w:rsidRPr="00FE6536">
        <w:rPr>
          <w:b/>
          <w:bCs/>
          <w:spacing w:val="-4"/>
          <w:sz w:val="20"/>
          <w:rtl/>
        </w:rPr>
        <w:t xml:space="preserve"> أو أي</w:t>
      </w:r>
      <w:r w:rsidRPr="00FE6536">
        <w:rPr>
          <w:rFonts w:hint="cs"/>
          <w:b/>
          <w:bCs/>
          <w:spacing w:val="-4"/>
          <w:sz w:val="20"/>
          <w:rtl/>
        </w:rPr>
        <w:t>ة</w:t>
      </w:r>
      <w:r w:rsidRPr="00FE6536">
        <w:rPr>
          <w:b/>
          <w:bCs/>
          <w:spacing w:val="-4"/>
          <w:sz w:val="20"/>
          <w:rtl/>
        </w:rPr>
        <w:t xml:space="preserve"> عقوبات </w:t>
      </w:r>
      <w:r w:rsidRPr="00FE6536">
        <w:rPr>
          <w:rFonts w:hint="cs"/>
          <w:b/>
          <w:bCs/>
          <w:spacing w:val="-4"/>
          <w:sz w:val="20"/>
          <w:rtl/>
        </w:rPr>
        <w:t xml:space="preserve">فُرضت </w:t>
      </w:r>
      <w:r w:rsidRPr="00FE6536">
        <w:rPr>
          <w:b/>
          <w:bCs/>
          <w:spacing w:val="-4"/>
          <w:sz w:val="20"/>
          <w:rtl/>
        </w:rPr>
        <w:t>على المسؤولين</w:t>
      </w:r>
      <w:r w:rsidRPr="00FE6536">
        <w:rPr>
          <w:rFonts w:hint="cs"/>
          <w:b/>
          <w:bCs/>
          <w:spacing w:val="-4"/>
          <w:sz w:val="20"/>
          <w:rtl/>
        </w:rPr>
        <w:t>،</w:t>
      </w:r>
      <w:r w:rsidRPr="00FE6536">
        <w:rPr>
          <w:b/>
          <w:bCs/>
          <w:spacing w:val="-4"/>
          <w:sz w:val="20"/>
          <w:rtl/>
        </w:rPr>
        <w:t xml:space="preserve"> </w:t>
      </w:r>
      <w:r w:rsidRPr="00FE6536">
        <w:rPr>
          <w:rFonts w:hint="cs"/>
          <w:b/>
          <w:bCs/>
          <w:spacing w:val="-4"/>
          <w:sz w:val="20"/>
          <w:rtl/>
        </w:rPr>
        <w:t>إن طبقت مثل هذه الإجراءات.</w:t>
      </w:r>
      <w:r w:rsidRPr="00FE6536">
        <w:rPr>
          <w:b/>
          <w:bCs/>
          <w:spacing w:val="-4"/>
          <w:sz w:val="20"/>
          <w:rtl/>
        </w:rPr>
        <w:t xml:space="preserve"> </w:t>
      </w:r>
    </w:p>
    <w:p w:rsidR="004E0A37" w:rsidRPr="004E0A37" w:rsidRDefault="004E0A37" w:rsidP="002C1EA7">
      <w:pPr>
        <w:pStyle w:val="H23GA"/>
        <w:rPr>
          <w:rtl/>
          <w:lang w:val="fr-CH"/>
        </w:rPr>
      </w:pPr>
      <w:r w:rsidRPr="004E0A37">
        <w:rPr>
          <w:rFonts w:hint="cs"/>
          <w:rtl/>
          <w:lang w:val="fr-CH"/>
        </w:rPr>
        <w:tab/>
      </w:r>
      <w:r w:rsidRPr="004E0A37">
        <w:rPr>
          <w:rFonts w:hint="cs"/>
          <w:rtl/>
          <w:lang w:val="fr-CH"/>
        </w:rPr>
        <w:tab/>
      </w:r>
      <w:r w:rsidRPr="004E0A37">
        <w:rPr>
          <w:rtl/>
          <w:lang w:val="fr-CH"/>
        </w:rPr>
        <w:t>ظروف الاحتجاز</w:t>
      </w:r>
    </w:p>
    <w:p w:rsidR="004E0A37" w:rsidRPr="004E0A37" w:rsidRDefault="00FE6536" w:rsidP="00CD7DA4">
      <w:pPr>
        <w:pStyle w:val="SingleTxtGA"/>
        <w:jc w:val="lowKashida"/>
        <w:rPr>
          <w:rFonts w:hint="cs"/>
          <w:spacing w:val="0"/>
          <w:sz w:val="20"/>
          <w:rtl/>
        </w:rPr>
      </w:pPr>
      <w:r>
        <w:rPr>
          <w:rFonts w:hint="cs"/>
          <w:spacing w:val="0"/>
          <w:sz w:val="20"/>
          <w:rtl/>
        </w:rPr>
        <w:t>(</w:t>
      </w:r>
      <w:r w:rsidR="004E0A37" w:rsidRPr="004E0A37">
        <w:rPr>
          <w:spacing w:val="0"/>
          <w:sz w:val="20"/>
          <w:rtl/>
        </w:rPr>
        <w:t>19</w:t>
      </w:r>
      <w:r>
        <w:rPr>
          <w:rFonts w:hint="cs"/>
          <w:spacing w:val="0"/>
          <w:sz w:val="20"/>
          <w:rtl/>
        </w:rPr>
        <w:t>)</w:t>
      </w:r>
      <w:r w:rsidR="004E0A37" w:rsidRPr="004E0A37">
        <w:rPr>
          <w:rFonts w:hint="cs"/>
          <w:spacing w:val="0"/>
          <w:sz w:val="20"/>
          <w:rtl/>
        </w:rPr>
        <w:tab/>
        <w:t>في حين</w:t>
      </w:r>
      <w:r w:rsidR="004E0A37" w:rsidRPr="004E0A37">
        <w:rPr>
          <w:spacing w:val="0"/>
          <w:sz w:val="20"/>
          <w:rtl/>
        </w:rPr>
        <w:t xml:space="preserve"> ترحب</w:t>
      </w:r>
      <w:r w:rsidR="004E0A37" w:rsidRPr="004E0A37">
        <w:rPr>
          <w:rFonts w:hint="cs"/>
          <w:spacing w:val="0"/>
          <w:sz w:val="20"/>
          <w:rtl/>
        </w:rPr>
        <w:t xml:space="preserve"> اللجنة</w:t>
      </w:r>
      <w:r w:rsidR="004E0A37" w:rsidRPr="004E0A37">
        <w:rPr>
          <w:spacing w:val="0"/>
          <w:sz w:val="20"/>
          <w:rtl/>
        </w:rPr>
        <w:t xml:space="preserve"> بالجهود التي تبذلها الدولة الطرف لتحسين ظروف معيشة الأشخاص المحتجزين (</w:t>
      </w:r>
      <w:r w:rsidR="004E0A37" w:rsidRPr="004E0A37">
        <w:rPr>
          <w:spacing w:val="0"/>
          <w:sz w:val="20"/>
        </w:rPr>
        <w:t>CAT/C/BLR/4</w:t>
      </w:r>
      <w:r w:rsidR="004E0A37" w:rsidRPr="004E0A37">
        <w:rPr>
          <w:spacing w:val="0"/>
          <w:sz w:val="20"/>
          <w:rtl/>
        </w:rPr>
        <w:t>، الفقر</w:t>
      </w:r>
      <w:r w:rsidR="004E0A37" w:rsidRPr="004E0A37">
        <w:rPr>
          <w:rFonts w:hint="cs"/>
          <w:spacing w:val="0"/>
          <w:sz w:val="20"/>
          <w:rtl/>
        </w:rPr>
        <w:t>ا</w:t>
      </w:r>
      <w:r w:rsidR="004E0A37" w:rsidRPr="004E0A37">
        <w:rPr>
          <w:spacing w:val="0"/>
          <w:sz w:val="20"/>
          <w:rtl/>
        </w:rPr>
        <w:t xml:space="preserve">ت 21 وما يليها) وقبول الدولة الطرف </w:t>
      </w:r>
      <w:r w:rsidR="004E0A37" w:rsidRPr="004E0A37">
        <w:rPr>
          <w:rFonts w:hint="cs"/>
          <w:spacing w:val="0"/>
          <w:sz w:val="20"/>
          <w:rtl/>
        </w:rPr>
        <w:t>با</w:t>
      </w:r>
      <w:r w:rsidR="004E0A37" w:rsidRPr="004E0A37">
        <w:rPr>
          <w:spacing w:val="0"/>
          <w:sz w:val="20"/>
          <w:rtl/>
        </w:rPr>
        <w:t xml:space="preserve">لتوصية المقدمة في سياق </w:t>
      </w:r>
      <w:r w:rsidR="004E0A37" w:rsidRPr="004E0A37">
        <w:rPr>
          <w:rFonts w:hint="cs"/>
          <w:spacing w:val="0"/>
          <w:sz w:val="20"/>
          <w:rtl/>
        </w:rPr>
        <w:t>الاستعراض</w:t>
      </w:r>
      <w:r w:rsidR="004E0A37" w:rsidRPr="004E0A37">
        <w:rPr>
          <w:spacing w:val="0"/>
          <w:sz w:val="20"/>
          <w:rtl/>
        </w:rPr>
        <w:t xml:space="preserve"> الدوري الشامل لهذ</w:t>
      </w:r>
      <w:r w:rsidR="004E0A37" w:rsidRPr="004E0A37">
        <w:rPr>
          <w:rFonts w:hint="cs"/>
          <w:spacing w:val="0"/>
          <w:sz w:val="20"/>
          <w:rtl/>
        </w:rPr>
        <w:t>ه</w:t>
      </w:r>
      <w:r w:rsidR="004E0A37" w:rsidRPr="004E0A37">
        <w:rPr>
          <w:spacing w:val="0"/>
          <w:sz w:val="20"/>
          <w:rtl/>
        </w:rPr>
        <w:t xml:space="preserve"> </w:t>
      </w:r>
      <w:r w:rsidR="004E0A37" w:rsidRPr="004E0A37">
        <w:rPr>
          <w:rFonts w:hint="cs"/>
          <w:spacing w:val="0"/>
          <w:sz w:val="20"/>
          <w:rtl/>
        </w:rPr>
        <w:t>الغاية</w:t>
      </w:r>
      <w:r w:rsidR="004E0A37" w:rsidRPr="004E0A37">
        <w:rPr>
          <w:spacing w:val="0"/>
          <w:sz w:val="20"/>
          <w:rtl/>
        </w:rPr>
        <w:t xml:space="preserve"> (</w:t>
      </w:r>
      <w:r w:rsidR="004E0A37" w:rsidRPr="004E0A37">
        <w:rPr>
          <w:spacing w:val="0"/>
          <w:sz w:val="20"/>
        </w:rPr>
        <w:t>A/HRC/15/16</w:t>
      </w:r>
      <w:r w:rsidR="004E0A37" w:rsidRPr="004E0A37">
        <w:rPr>
          <w:spacing w:val="0"/>
          <w:sz w:val="20"/>
          <w:rtl/>
        </w:rPr>
        <w:t>، الفقرة</w:t>
      </w:r>
      <w:r w:rsidR="00CD7DA4">
        <w:rPr>
          <w:rFonts w:hint="eastAsia"/>
          <w:spacing w:val="0"/>
          <w:sz w:val="20"/>
          <w:rtl/>
        </w:rPr>
        <w:t> </w:t>
      </w:r>
      <w:r w:rsidR="004E0A37" w:rsidRPr="004E0A37">
        <w:rPr>
          <w:rFonts w:hint="cs"/>
          <w:spacing w:val="0"/>
          <w:sz w:val="20"/>
          <w:rtl/>
        </w:rPr>
        <w:t>97-30</w:t>
      </w:r>
      <w:r w:rsidR="004E0A37" w:rsidRPr="004E0A37">
        <w:rPr>
          <w:spacing w:val="0"/>
          <w:sz w:val="20"/>
          <w:rtl/>
        </w:rPr>
        <w:t xml:space="preserve">)، فإنها لا تزال تشعر بقلق عميق إزاء التقارير </w:t>
      </w:r>
      <w:r w:rsidR="004E0A37" w:rsidRPr="004E0A37">
        <w:rPr>
          <w:rFonts w:hint="cs"/>
          <w:spacing w:val="0"/>
          <w:sz w:val="20"/>
          <w:rtl/>
        </w:rPr>
        <w:t>التي ترد باستمرار وتصف</w:t>
      </w:r>
      <w:r w:rsidR="004E0A37" w:rsidRPr="004E0A37">
        <w:rPr>
          <w:spacing w:val="0"/>
          <w:sz w:val="20"/>
          <w:rtl/>
        </w:rPr>
        <w:t xml:space="preserve"> سوء الأوضاع في أماكن الحرمان من الحرية، بما في ذلك </w:t>
      </w:r>
      <w:r w:rsidR="004E0A37" w:rsidRPr="004E0A37">
        <w:rPr>
          <w:rFonts w:hint="cs"/>
          <w:spacing w:val="0"/>
          <w:sz w:val="20"/>
          <w:rtl/>
        </w:rPr>
        <w:t>النداء</w:t>
      </w:r>
      <w:r w:rsidR="004E0A37" w:rsidRPr="004E0A37">
        <w:rPr>
          <w:spacing w:val="0"/>
          <w:sz w:val="20"/>
          <w:rtl/>
        </w:rPr>
        <w:t xml:space="preserve"> الذي </w:t>
      </w:r>
      <w:r w:rsidR="004E0A37" w:rsidRPr="004E0A37">
        <w:rPr>
          <w:rFonts w:hint="cs"/>
          <w:spacing w:val="0"/>
          <w:sz w:val="20"/>
          <w:rtl/>
        </w:rPr>
        <w:t>وجهه</w:t>
      </w:r>
      <w:r w:rsidR="004E0A37" w:rsidRPr="004E0A37">
        <w:rPr>
          <w:spacing w:val="0"/>
          <w:sz w:val="20"/>
          <w:rtl/>
        </w:rPr>
        <w:t xml:space="preserve"> المقرر الخاص المعني بمسألة التعذيب بشأن الأوضاع في</w:t>
      </w:r>
      <w:r w:rsidR="004E0A37" w:rsidRPr="004E0A37">
        <w:rPr>
          <w:rFonts w:hint="cs"/>
          <w:spacing w:val="0"/>
          <w:sz w:val="20"/>
          <w:rtl/>
        </w:rPr>
        <w:t xml:space="preserve"> العديد من</w:t>
      </w:r>
      <w:r w:rsidR="004E0A37" w:rsidRPr="004E0A37">
        <w:rPr>
          <w:spacing w:val="0"/>
          <w:sz w:val="20"/>
          <w:rtl/>
        </w:rPr>
        <w:t xml:space="preserve"> أماكن</w:t>
      </w:r>
      <w:r w:rsidR="004E0A37" w:rsidRPr="004E0A37">
        <w:rPr>
          <w:rFonts w:hint="cs"/>
          <w:spacing w:val="0"/>
          <w:sz w:val="20"/>
          <w:rtl/>
        </w:rPr>
        <w:t xml:space="preserve"> ا</w:t>
      </w:r>
      <w:r w:rsidR="004E0A37" w:rsidRPr="004E0A37">
        <w:rPr>
          <w:spacing w:val="0"/>
          <w:sz w:val="20"/>
          <w:rtl/>
        </w:rPr>
        <w:t>لاحتجاز مث</w:t>
      </w:r>
      <w:r w:rsidR="004E0A37" w:rsidRPr="004E0A37">
        <w:rPr>
          <w:rFonts w:hint="cs"/>
          <w:spacing w:val="0"/>
          <w:sz w:val="20"/>
          <w:rtl/>
        </w:rPr>
        <w:t>ل سيزو</w:t>
      </w:r>
      <w:r w:rsidR="004E0A37" w:rsidRPr="004E0A37">
        <w:rPr>
          <w:spacing w:val="0"/>
          <w:sz w:val="20"/>
          <w:rtl/>
        </w:rPr>
        <w:t xml:space="preserve"> في مينسك (</w:t>
      </w:r>
      <w:r w:rsidR="004E0A37" w:rsidRPr="004E0A37">
        <w:rPr>
          <w:spacing w:val="0"/>
          <w:sz w:val="20"/>
        </w:rPr>
        <w:t>A/HRC/4/33/Add.1</w:t>
      </w:r>
      <w:r w:rsidR="004E0A37" w:rsidRPr="004E0A37">
        <w:rPr>
          <w:spacing w:val="0"/>
          <w:sz w:val="20"/>
          <w:rtl/>
        </w:rPr>
        <w:t xml:space="preserve">، الفقرة 16). ويشمل </w:t>
      </w:r>
      <w:r w:rsidR="004E0A37" w:rsidRPr="004E0A37">
        <w:rPr>
          <w:rFonts w:hint="cs"/>
          <w:spacing w:val="0"/>
          <w:sz w:val="20"/>
          <w:rtl/>
        </w:rPr>
        <w:t>ذلك</w:t>
      </w:r>
      <w:r w:rsidR="004E0A37" w:rsidRPr="004E0A37">
        <w:rPr>
          <w:spacing w:val="0"/>
          <w:sz w:val="20"/>
          <w:rtl/>
        </w:rPr>
        <w:t xml:space="preserve"> مشكلة الاكتظاظ وسوء </w:t>
      </w:r>
      <w:r w:rsidR="004E0A37" w:rsidRPr="004E0A37">
        <w:rPr>
          <w:rFonts w:hint="cs"/>
          <w:spacing w:val="0"/>
          <w:sz w:val="20"/>
          <w:rtl/>
        </w:rPr>
        <w:t>التغذية</w:t>
      </w:r>
      <w:r w:rsidR="004E0A37" w:rsidRPr="004E0A37">
        <w:rPr>
          <w:spacing w:val="0"/>
          <w:sz w:val="20"/>
          <w:rtl/>
        </w:rPr>
        <w:t xml:space="preserve"> </w:t>
      </w:r>
      <w:r w:rsidR="004E0A37" w:rsidRPr="004E0A37">
        <w:rPr>
          <w:rFonts w:hint="cs"/>
          <w:spacing w:val="0"/>
          <w:sz w:val="20"/>
          <w:rtl/>
        </w:rPr>
        <w:t>والافتقار</w:t>
      </w:r>
      <w:r w:rsidR="00CD7DA4">
        <w:rPr>
          <w:rFonts w:hint="cs"/>
          <w:spacing w:val="0"/>
          <w:sz w:val="20"/>
          <w:rtl/>
        </w:rPr>
        <w:t> </w:t>
      </w:r>
      <w:r w:rsidR="004E0A37" w:rsidRPr="004E0A37">
        <w:rPr>
          <w:spacing w:val="0"/>
          <w:sz w:val="20"/>
          <w:rtl/>
        </w:rPr>
        <w:t>إلى المرافق الصحية الأساسية وعدم كفاية الرعاية الطبية (المادتان 11 و16).</w:t>
      </w:r>
    </w:p>
    <w:p w:rsidR="004E0A37" w:rsidRPr="00CD7DA4" w:rsidRDefault="004E0A37" w:rsidP="004E0A37">
      <w:pPr>
        <w:pStyle w:val="SingleTxtGA"/>
        <w:jc w:val="lowKashida"/>
        <w:rPr>
          <w:rFonts w:hint="cs"/>
          <w:b/>
          <w:bCs/>
          <w:spacing w:val="0"/>
          <w:sz w:val="20"/>
          <w:rtl/>
        </w:rPr>
      </w:pPr>
      <w:r w:rsidRPr="00CD7DA4">
        <w:rPr>
          <w:rFonts w:hint="cs"/>
          <w:b/>
          <w:bCs/>
          <w:spacing w:val="0"/>
          <w:sz w:val="20"/>
          <w:rtl/>
        </w:rPr>
        <w:tab/>
        <w:t xml:space="preserve">ينبغي للدولة الطرف تكثيف جهودها لجعل ظروف الاحتجاز في أماكن الحرمان من الحرية متمشية مع </w:t>
      </w:r>
      <w:r w:rsidRPr="00CD7DA4">
        <w:rPr>
          <w:rFonts w:hint="cs"/>
          <w:b/>
          <w:bCs/>
          <w:spacing w:val="0"/>
          <w:sz w:val="20"/>
          <w:rtl/>
          <w:lang/>
        </w:rPr>
        <w:t>القواعد النموذجية الدنيا لمعاملة السجناء</w:t>
      </w:r>
      <w:r w:rsidRPr="00CD7DA4">
        <w:rPr>
          <w:rFonts w:hint="cs"/>
          <w:b/>
          <w:bCs/>
          <w:spacing w:val="0"/>
          <w:sz w:val="20"/>
          <w:rtl/>
        </w:rPr>
        <w:t xml:space="preserve"> وغيرها من المعايير القانونية الدولية والوطنية ذات الصلة، وبطرق عدة منها على الأخص ما يلي:</w:t>
      </w:r>
    </w:p>
    <w:p w:rsidR="004E0A37" w:rsidRPr="00CD7DA4" w:rsidRDefault="004E0A37" w:rsidP="004E0A37">
      <w:pPr>
        <w:pStyle w:val="SingleTxtGA"/>
        <w:jc w:val="lowKashida"/>
        <w:rPr>
          <w:rFonts w:hint="cs"/>
          <w:b/>
          <w:bCs/>
          <w:spacing w:val="0"/>
          <w:sz w:val="20"/>
          <w:rtl/>
        </w:rPr>
      </w:pPr>
      <w:r w:rsidRPr="00CD7DA4">
        <w:rPr>
          <w:rFonts w:hint="cs"/>
          <w:b/>
          <w:bCs/>
          <w:spacing w:val="0"/>
          <w:sz w:val="20"/>
          <w:rtl/>
        </w:rPr>
        <w:tab/>
        <w:t>(أ)</w:t>
      </w:r>
      <w:r w:rsidRPr="00CD7DA4">
        <w:rPr>
          <w:rFonts w:hint="cs"/>
          <w:b/>
          <w:bCs/>
          <w:spacing w:val="0"/>
          <w:sz w:val="20"/>
          <w:rtl/>
        </w:rPr>
        <w:tab/>
        <w:t>الحد من اكتظاظ السجون والنظر في إرساء أشكال بديلة للاحتجاز غير الحرمان من الحرية،</w:t>
      </w:r>
      <w:r w:rsidR="00B345DB">
        <w:rPr>
          <w:rFonts w:hint="cs"/>
          <w:b/>
          <w:bCs/>
          <w:spacing w:val="0"/>
          <w:sz w:val="20"/>
          <w:rtl/>
        </w:rPr>
        <w:t xml:space="preserve"> وفقاً </w:t>
      </w:r>
      <w:r w:rsidRPr="00CD7DA4">
        <w:rPr>
          <w:rFonts w:hint="cs"/>
          <w:b/>
          <w:bCs/>
          <w:spacing w:val="0"/>
          <w:sz w:val="20"/>
          <w:rtl/>
        </w:rPr>
        <w:t>ل</w:t>
      </w:r>
      <w:r w:rsidRPr="00CD7DA4">
        <w:rPr>
          <w:b/>
          <w:bCs/>
          <w:spacing w:val="0"/>
          <w:sz w:val="20"/>
          <w:rtl/>
        </w:rPr>
        <w:t>قواعد الأمم المتحدة النموذجية الدنيا للتدابير غير الاحتجازية (قواعد طوكيو)</w:t>
      </w:r>
      <w:r w:rsidRPr="00CD7DA4">
        <w:rPr>
          <w:rFonts w:hint="cs"/>
          <w:b/>
          <w:bCs/>
          <w:spacing w:val="0"/>
          <w:sz w:val="20"/>
          <w:rtl/>
        </w:rPr>
        <w:t>؛</w:t>
      </w:r>
    </w:p>
    <w:p w:rsidR="004E0A37" w:rsidRPr="00CD7DA4" w:rsidRDefault="004E0A37" w:rsidP="004E0A37">
      <w:pPr>
        <w:pStyle w:val="SingleTxtGA"/>
        <w:jc w:val="lowKashida"/>
        <w:rPr>
          <w:rFonts w:hint="cs"/>
          <w:b/>
          <w:bCs/>
          <w:spacing w:val="0"/>
          <w:sz w:val="20"/>
          <w:rtl/>
        </w:rPr>
      </w:pPr>
      <w:r w:rsidRPr="00CD7DA4">
        <w:rPr>
          <w:rFonts w:hint="cs"/>
          <w:b/>
          <w:bCs/>
          <w:spacing w:val="0"/>
          <w:sz w:val="20"/>
          <w:rtl/>
        </w:rPr>
        <w:tab/>
        <w:t>(ب)</w:t>
      </w:r>
      <w:r w:rsidRPr="00CD7DA4">
        <w:rPr>
          <w:rFonts w:hint="cs"/>
          <w:b/>
          <w:bCs/>
          <w:spacing w:val="0"/>
          <w:sz w:val="20"/>
          <w:rtl/>
        </w:rPr>
        <w:tab/>
        <w:t>ضمان حصول جميع المحتجزين على ما يلزم من الغذاء والرعاية الصحية؛</w:t>
      </w:r>
    </w:p>
    <w:p w:rsidR="004E0A37" w:rsidRPr="00CD7DA4" w:rsidRDefault="004E0A37" w:rsidP="004E0A37">
      <w:pPr>
        <w:pStyle w:val="SingleTxtGA"/>
        <w:jc w:val="lowKashida"/>
        <w:rPr>
          <w:rFonts w:hint="cs"/>
          <w:b/>
          <w:bCs/>
          <w:spacing w:val="0"/>
          <w:sz w:val="20"/>
          <w:rtl/>
        </w:rPr>
      </w:pPr>
      <w:r w:rsidRPr="00CD7DA4">
        <w:rPr>
          <w:rFonts w:hint="cs"/>
          <w:b/>
          <w:bCs/>
          <w:spacing w:val="0"/>
          <w:sz w:val="20"/>
          <w:rtl/>
        </w:rPr>
        <w:tab/>
        <w:t>(ج)</w:t>
      </w:r>
      <w:r w:rsidRPr="00CD7DA4">
        <w:rPr>
          <w:rFonts w:hint="cs"/>
          <w:b/>
          <w:bCs/>
          <w:spacing w:val="0"/>
          <w:sz w:val="20"/>
          <w:rtl/>
        </w:rPr>
        <w:tab/>
        <w:t>ضمان احتجاز جميع القصَّر في أماكن منفصلة عن الكبار طيلة فترة احتجازهم أو حبسهم وتوفير ما يلزمهم من الأنشطة التعليمية والترفيهية.</w:t>
      </w:r>
    </w:p>
    <w:p w:rsidR="004E0A37" w:rsidRPr="004E0A37" w:rsidRDefault="003E72B5" w:rsidP="00A4030E">
      <w:pPr>
        <w:pStyle w:val="SingleTxtGA"/>
        <w:jc w:val="lowKashida"/>
        <w:rPr>
          <w:rtl/>
        </w:rPr>
      </w:pPr>
      <w:r>
        <w:rPr>
          <w:rFonts w:hint="cs"/>
          <w:rtl/>
        </w:rPr>
        <w:t>(</w:t>
      </w:r>
      <w:r w:rsidR="004E0A37" w:rsidRPr="004E0A37">
        <w:rPr>
          <w:rFonts w:hint="cs"/>
          <w:rtl/>
        </w:rPr>
        <w:t>20</w:t>
      </w:r>
      <w:r>
        <w:rPr>
          <w:rFonts w:hint="cs"/>
          <w:rtl/>
        </w:rPr>
        <w:t>)</w:t>
      </w:r>
      <w:r w:rsidR="004E0A37" w:rsidRPr="004E0A37">
        <w:rPr>
          <w:rFonts w:hint="cs"/>
          <w:rtl/>
        </w:rPr>
        <w:tab/>
        <w:t>وفي حين تحيط</w:t>
      </w:r>
      <w:r w:rsidR="004E0A37" w:rsidRPr="004E0A37">
        <w:rPr>
          <w:rtl/>
        </w:rPr>
        <w:t xml:space="preserve"> اللجنة</w:t>
      </w:r>
      <w:r w:rsidR="003833F8">
        <w:rPr>
          <w:rtl/>
        </w:rPr>
        <w:t xml:space="preserve"> علماً </w:t>
      </w:r>
      <w:r w:rsidR="004E0A37" w:rsidRPr="004E0A37">
        <w:rPr>
          <w:rFonts w:hint="cs"/>
          <w:rtl/>
        </w:rPr>
        <w:t xml:space="preserve">بما قدمه الوفد من </w:t>
      </w:r>
      <w:r w:rsidR="004E0A37" w:rsidRPr="004E0A37">
        <w:rPr>
          <w:rtl/>
        </w:rPr>
        <w:t xml:space="preserve">معلومات </w:t>
      </w:r>
      <w:r w:rsidR="004E0A37" w:rsidRPr="004E0A37">
        <w:rPr>
          <w:rFonts w:hint="cs"/>
          <w:rtl/>
        </w:rPr>
        <w:t>تفيد ب</w:t>
      </w:r>
      <w:r w:rsidR="004E0A37" w:rsidRPr="004E0A37">
        <w:rPr>
          <w:rtl/>
        </w:rPr>
        <w:t>أن مكتب المدعي العام</w:t>
      </w:r>
      <w:r w:rsidR="00335AC0">
        <w:rPr>
          <w:rtl/>
        </w:rPr>
        <w:t xml:space="preserve"> لم </w:t>
      </w:r>
      <w:r w:rsidR="004E0A37" w:rsidRPr="004E0A37">
        <w:rPr>
          <w:rFonts w:hint="cs"/>
          <w:rtl/>
        </w:rPr>
        <w:t>ي</w:t>
      </w:r>
      <w:r w:rsidR="004E0A37" w:rsidRPr="004E0A37">
        <w:rPr>
          <w:rtl/>
        </w:rPr>
        <w:t xml:space="preserve">تلق أي شكاوى من النساء المحتجزات </w:t>
      </w:r>
      <w:r w:rsidR="004E0A37" w:rsidRPr="004E0A37">
        <w:rPr>
          <w:rFonts w:hint="cs"/>
          <w:rtl/>
        </w:rPr>
        <w:t>بشأن</w:t>
      </w:r>
      <w:r w:rsidR="004E0A37" w:rsidRPr="004E0A37">
        <w:rPr>
          <w:rtl/>
        </w:rPr>
        <w:t xml:space="preserve"> تهديدات </w:t>
      </w:r>
      <w:r w:rsidR="004E0A37" w:rsidRPr="004E0A37">
        <w:rPr>
          <w:rFonts w:hint="cs"/>
          <w:rtl/>
        </w:rPr>
        <w:t xml:space="preserve">بممارسة </w:t>
      </w:r>
      <w:r w:rsidR="004E0A37" w:rsidRPr="004E0A37">
        <w:rPr>
          <w:rtl/>
        </w:rPr>
        <w:t>العنف ضده</w:t>
      </w:r>
      <w:r w:rsidR="004E0A37" w:rsidRPr="004E0A37">
        <w:rPr>
          <w:rFonts w:hint="cs"/>
          <w:rtl/>
        </w:rPr>
        <w:t>ن</w:t>
      </w:r>
      <w:r w:rsidR="004E0A37" w:rsidRPr="004E0A37">
        <w:rPr>
          <w:rtl/>
        </w:rPr>
        <w:t xml:space="preserve">، </w:t>
      </w:r>
      <w:r w:rsidR="004E0A37" w:rsidRPr="002C1EA7">
        <w:rPr>
          <w:spacing w:val="-4"/>
          <w:rtl/>
        </w:rPr>
        <w:t>تشعر</w:t>
      </w:r>
      <w:r w:rsidR="002C1EA7" w:rsidRPr="002C1EA7">
        <w:rPr>
          <w:rFonts w:hint="cs"/>
          <w:spacing w:val="-4"/>
          <w:rtl/>
        </w:rPr>
        <w:t> </w:t>
      </w:r>
      <w:r w:rsidR="004E0A37" w:rsidRPr="002C1EA7">
        <w:rPr>
          <w:spacing w:val="-4"/>
          <w:rtl/>
        </w:rPr>
        <w:t>اللجنة بالقلق إزاء</w:t>
      </w:r>
      <w:r w:rsidR="004E0A37" w:rsidRPr="002C1EA7">
        <w:rPr>
          <w:rFonts w:hint="cs"/>
          <w:spacing w:val="-4"/>
          <w:rtl/>
        </w:rPr>
        <w:t xml:space="preserve"> التبليغ عن وقوع أعمال عنف أو </w:t>
      </w:r>
      <w:r w:rsidR="004E0A37" w:rsidRPr="002C1EA7">
        <w:rPr>
          <w:spacing w:val="-4"/>
          <w:rtl/>
        </w:rPr>
        <w:t>تهديد</w:t>
      </w:r>
      <w:r w:rsidR="004E0A37" w:rsidRPr="002C1EA7">
        <w:rPr>
          <w:rFonts w:hint="cs"/>
          <w:spacing w:val="-4"/>
          <w:rtl/>
        </w:rPr>
        <w:t>ات</w:t>
      </w:r>
      <w:r w:rsidR="004E0A37" w:rsidRPr="002C1EA7">
        <w:rPr>
          <w:spacing w:val="-4"/>
          <w:rtl/>
        </w:rPr>
        <w:t xml:space="preserve"> </w:t>
      </w:r>
      <w:r w:rsidR="004E0A37" w:rsidRPr="002C1EA7">
        <w:rPr>
          <w:rFonts w:hint="cs"/>
          <w:spacing w:val="-4"/>
          <w:rtl/>
        </w:rPr>
        <w:t>باستخدامه</w:t>
      </w:r>
      <w:r w:rsidR="004E0A37" w:rsidRPr="002C1EA7">
        <w:rPr>
          <w:spacing w:val="-4"/>
          <w:rtl/>
        </w:rPr>
        <w:t>،</w:t>
      </w:r>
      <w:r w:rsidR="002C1EA7">
        <w:rPr>
          <w:rFonts w:hint="cs"/>
          <w:spacing w:val="-4"/>
          <w:rtl/>
        </w:rPr>
        <w:t xml:space="preserve"> </w:t>
      </w:r>
      <w:r w:rsidR="004E0A37" w:rsidRPr="002C1EA7">
        <w:rPr>
          <w:spacing w:val="-4"/>
          <w:rtl/>
        </w:rPr>
        <w:t>بما في</w:t>
      </w:r>
      <w:r w:rsidR="00A4030E">
        <w:rPr>
          <w:rFonts w:hint="cs"/>
          <w:spacing w:val="-4"/>
          <w:rtl/>
        </w:rPr>
        <w:t xml:space="preserve"> </w:t>
      </w:r>
      <w:r w:rsidR="004E0A37" w:rsidRPr="002C1EA7">
        <w:rPr>
          <w:spacing w:val="-4"/>
          <w:rtl/>
        </w:rPr>
        <w:t xml:space="preserve">ذلك العنف الجنسي، من قبل </w:t>
      </w:r>
      <w:r w:rsidR="004E0A37" w:rsidRPr="002C1EA7">
        <w:rPr>
          <w:rFonts w:hint="cs"/>
          <w:spacing w:val="-4"/>
          <w:rtl/>
        </w:rPr>
        <w:t>السجناء</w:t>
      </w:r>
      <w:r w:rsidR="004E0A37" w:rsidRPr="002C1EA7">
        <w:rPr>
          <w:spacing w:val="-4"/>
          <w:rtl/>
        </w:rPr>
        <w:t xml:space="preserve"> والموظفين العموميين، في أماكن الاحتجاز</w:t>
      </w:r>
      <w:r w:rsidR="002C1EA7">
        <w:rPr>
          <w:rFonts w:hint="cs"/>
          <w:spacing w:val="-4"/>
          <w:rtl/>
        </w:rPr>
        <w:t xml:space="preserve"> </w:t>
      </w:r>
      <w:r w:rsidR="004E0A37" w:rsidRPr="002C1EA7">
        <w:rPr>
          <w:spacing w:val="-4"/>
          <w:rtl/>
        </w:rPr>
        <w:t>(</w:t>
      </w:r>
      <w:r w:rsidR="004E0A37" w:rsidRPr="002C1EA7">
        <w:rPr>
          <w:rFonts w:hint="cs"/>
          <w:spacing w:val="-4"/>
          <w:rtl/>
        </w:rPr>
        <w:t>المواد</w:t>
      </w:r>
      <w:r w:rsidR="004E0A37" w:rsidRPr="002C1EA7">
        <w:rPr>
          <w:spacing w:val="-4"/>
          <w:rtl/>
        </w:rPr>
        <w:t xml:space="preserve"> 2 و11</w:t>
      </w:r>
      <w:r w:rsidR="00A4030E">
        <w:rPr>
          <w:rFonts w:hint="cs"/>
          <w:spacing w:val="-4"/>
          <w:rtl/>
        </w:rPr>
        <w:t> </w:t>
      </w:r>
      <w:r w:rsidR="004E0A37" w:rsidRPr="002C1EA7">
        <w:rPr>
          <w:spacing w:val="-4"/>
          <w:rtl/>
        </w:rPr>
        <w:t>و16).</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rPr>
        <w:tab/>
      </w:r>
      <w:r w:rsidRPr="003E72B5">
        <w:rPr>
          <w:b/>
          <w:bCs/>
          <w:spacing w:val="0"/>
          <w:sz w:val="20"/>
          <w:rtl/>
        </w:rPr>
        <w:t xml:space="preserve">توصي اللجنة الدولة الطرف </w:t>
      </w:r>
      <w:r w:rsidRPr="003E72B5">
        <w:rPr>
          <w:rFonts w:hint="cs"/>
          <w:b/>
          <w:bCs/>
          <w:spacing w:val="0"/>
          <w:sz w:val="20"/>
          <w:rtl/>
        </w:rPr>
        <w:t>ب</w:t>
      </w:r>
      <w:r w:rsidRPr="003E72B5">
        <w:rPr>
          <w:b/>
          <w:bCs/>
          <w:spacing w:val="0"/>
          <w:sz w:val="20"/>
          <w:rtl/>
        </w:rPr>
        <w:t>اتخاذ تدابير فورية وفعالة لمكافحة العنف في السجون على نحو أكثر فعالية</w:t>
      </w:r>
      <w:r w:rsidR="00B345DB">
        <w:rPr>
          <w:b/>
          <w:bCs/>
          <w:spacing w:val="0"/>
          <w:sz w:val="20"/>
          <w:rtl/>
        </w:rPr>
        <w:t xml:space="preserve"> وفقاً </w:t>
      </w:r>
      <w:r w:rsidRPr="003E72B5">
        <w:rPr>
          <w:b/>
          <w:bCs/>
          <w:spacing w:val="0"/>
          <w:sz w:val="20"/>
          <w:rtl/>
        </w:rPr>
        <w:t>لقواعد الأمم المتحدة لمعاملة السجينات والتدابير غير الاحتجازية للنساء المجرم</w:t>
      </w:r>
      <w:r w:rsidRPr="003E72B5">
        <w:rPr>
          <w:rFonts w:hint="cs"/>
          <w:b/>
          <w:bCs/>
          <w:spacing w:val="0"/>
          <w:sz w:val="20"/>
          <w:rtl/>
        </w:rPr>
        <w:t>ات</w:t>
      </w:r>
      <w:r w:rsidRPr="003E72B5">
        <w:rPr>
          <w:b/>
          <w:bCs/>
          <w:spacing w:val="0"/>
          <w:sz w:val="20"/>
          <w:rtl/>
        </w:rPr>
        <w:t xml:space="preserve"> (قواعد بانكوك). </w:t>
      </w:r>
      <w:r w:rsidRPr="003E72B5">
        <w:rPr>
          <w:rFonts w:hint="cs"/>
          <w:b/>
          <w:bCs/>
          <w:spacing w:val="0"/>
          <w:sz w:val="20"/>
          <w:rtl/>
        </w:rPr>
        <w:t>و</w:t>
      </w:r>
      <w:r w:rsidRPr="003E72B5">
        <w:rPr>
          <w:b/>
          <w:bCs/>
          <w:spacing w:val="0"/>
          <w:sz w:val="20"/>
          <w:rtl/>
        </w:rPr>
        <w:t>ينبغي للدولة الطرف أيضاً إنشاء وتعزيز آلية فعالة لتلقي شكاوى العنف الجنسي وضمان تدريب الموظفين المكلفين بإنفاذ القانون على الحظر المطلق للعنف الجنسي، باعتباره شكلاً من أشكال التعذيب</w:t>
      </w:r>
      <w:r w:rsidRPr="003E72B5">
        <w:rPr>
          <w:rFonts w:hint="cs"/>
          <w:b/>
          <w:bCs/>
          <w:spacing w:val="0"/>
          <w:sz w:val="20"/>
          <w:rtl/>
        </w:rPr>
        <w:t xml:space="preserve">، </w:t>
      </w:r>
      <w:r w:rsidRPr="003E72B5">
        <w:rPr>
          <w:b/>
          <w:bCs/>
          <w:spacing w:val="0"/>
          <w:sz w:val="20"/>
          <w:rtl/>
        </w:rPr>
        <w:t>وعلى كيفية تلقي شكاوى من هذا القبيل.</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التدريب</w:t>
      </w:r>
    </w:p>
    <w:p w:rsidR="004E0A37" w:rsidRPr="004E0A37" w:rsidRDefault="003E72B5" w:rsidP="003E72B5">
      <w:pPr>
        <w:pStyle w:val="SingleTxtGA"/>
        <w:jc w:val="lowKashida"/>
        <w:rPr>
          <w:rFonts w:hint="cs"/>
          <w:spacing w:val="0"/>
          <w:sz w:val="20"/>
          <w:rtl/>
        </w:rPr>
      </w:pPr>
      <w:r>
        <w:rPr>
          <w:rFonts w:hint="cs"/>
          <w:spacing w:val="0"/>
          <w:sz w:val="20"/>
          <w:rtl/>
        </w:rPr>
        <w:t>(</w:t>
      </w:r>
      <w:r w:rsidR="004E0A37" w:rsidRPr="004E0A37">
        <w:rPr>
          <w:rFonts w:hint="cs"/>
          <w:spacing w:val="0"/>
          <w:sz w:val="20"/>
          <w:rtl/>
        </w:rPr>
        <w:t>21</w:t>
      </w:r>
      <w:r>
        <w:rPr>
          <w:rFonts w:hint="cs"/>
          <w:spacing w:val="0"/>
          <w:sz w:val="20"/>
          <w:rtl/>
        </w:rPr>
        <w:t>)</w:t>
      </w:r>
      <w:r w:rsidR="004E0A37" w:rsidRPr="004E0A37">
        <w:rPr>
          <w:rFonts w:hint="cs"/>
          <w:spacing w:val="0"/>
          <w:sz w:val="20"/>
          <w:rtl/>
        </w:rPr>
        <w:tab/>
        <w:t>تأسف اللجنة لعدم وجود معلومات عن إتاحة تدريب محدد الهدف لأفراد الخدمات الطبية والموظفين المكلفين بإنفاذ القانون وموظفي الأمن والسجون والموظفين القضائيين وغيرهم من الأشخاص الذين لهم دور في عمليات احتجاز أو</w:t>
      </w:r>
      <w:r w:rsidR="004E0A37" w:rsidRPr="004E0A37">
        <w:rPr>
          <w:rFonts w:hint="eastAsia"/>
          <w:spacing w:val="0"/>
          <w:sz w:val="20"/>
          <w:rtl/>
        </w:rPr>
        <w:t> </w:t>
      </w:r>
      <w:r w:rsidR="004E0A37" w:rsidRPr="004E0A37">
        <w:rPr>
          <w:rFonts w:hint="cs"/>
          <w:spacing w:val="0"/>
          <w:sz w:val="20"/>
          <w:rtl/>
        </w:rPr>
        <w:t>استجواب أو معاملة الأشخاص الخاضعين لسيطرة الدولة أو أجهزتها الرسمية بشأن مسائل تتعلق بحظر التعذيب والمعاملة أو</w:t>
      </w:r>
      <w:r w:rsidR="004E0A37" w:rsidRPr="004E0A37">
        <w:rPr>
          <w:rFonts w:hint="eastAsia"/>
          <w:spacing w:val="0"/>
          <w:sz w:val="20"/>
          <w:rtl/>
        </w:rPr>
        <w:t> </w:t>
      </w:r>
      <w:r w:rsidR="004E0A37" w:rsidRPr="004E0A37">
        <w:rPr>
          <w:rFonts w:hint="cs"/>
          <w:spacing w:val="0"/>
          <w:sz w:val="20"/>
          <w:rtl/>
        </w:rPr>
        <w:t>العقوبة القاسية أو اللاإنسانية أو المهينة. وتأسف اللجنة أيضاً لعدم وجود معلومات عن تقييم التدريب المتاح (المادة 10).</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rPr>
        <w:tab/>
        <w:t>توصي اللجنة الدولة الطرف بأن تقوم بما يلي:</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rPr>
        <w:tab/>
        <w:t>(أ)</w:t>
      </w:r>
      <w:r w:rsidRPr="003E72B5">
        <w:rPr>
          <w:rFonts w:hint="cs"/>
          <w:b/>
          <w:bCs/>
          <w:spacing w:val="0"/>
          <w:sz w:val="20"/>
          <w:rtl/>
        </w:rPr>
        <w:tab/>
        <w:t>توفير تدريب منتظم لجميع الأشخاص المكلفين بمختلف المهام المذكورة في المادة 10 من الاتفاقية بشأن أحكام الاتفاقية والحظر المطلق للتعذيب، فضلاً عن القواعد والتعليمات والأساليب الخاصة بالاستجواب، ولا سيما بالتعاون مع منظمات المجتمع المدني؛</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rPr>
        <w:tab/>
        <w:t>(ب)</w:t>
      </w:r>
      <w:r w:rsidRPr="003E72B5">
        <w:rPr>
          <w:rFonts w:hint="cs"/>
          <w:b/>
          <w:bCs/>
          <w:spacing w:val="0"/>
          <w:sz w:val="20"/>
          <w:rtl/>
        </w:rPr>
        <w:tab/>
        <w:t>توفير تدريب خاص لجميع الموظفين المعنيين، ولا سيما أفراد الخدمات الطبية، على كيفية تحديد آثار التعذيب وإساءة المعاملة واستخدام "دليل التقصي والتوثيق الفعالين بشأن التعذيب وغيره من ضروب المعاملة أو العقوبة القاسية أو</w:t>
      </w:r>
      <w:r w:rsidRPr="003E72B5">
        <w:rPr>
          <w:rFonts w:hint="eastAsia"/>
          <w:b/>
          <w:bCs/>
          <w:spacing w:val="0"/>
          <w:sz w:val="20"/>
          <w:rtl/>
        </w:rPr>
        <w:t> </w:t>
      </w:r>
      <w:r w:rsidRPr="003E72B5">
        <w:rPr>
          <w:rFonts w:hint="cs"/>
          <w:b/>
          <w:bCs/>
          <w:spacing w:val="0"/>
          <w:sz w:val="20"/>
          <w:rtl/>
        </w:rPr>
        <w:t>اللاإنسانية أو</w:t>
      </w:r>
      <w:r w:rsidRPr="003E72B5">
        <w:rPr>
          <w:rFonts w:hint="eastAsia"/>
          <w:b/>
          <w:bCs/>
          <w:spacing w:val="0"/>
          <w:sz w:val="20"/>
          <w:rtl/>
        </w:rPr>
        <w:t> </w:t>
      </w:r>
      <w:r w:rsidRPr="003E72B5">
        <w:rPr>
          <w:rFonts w:hint="cs"/>
          <w:b/>
          <w:bCs/>
          <w:spacing w:val="0"/>
          <w:sz w:val="20"/>
          <w:rtl/>
        </w:rPr>
        <w:t xml:space="preserve">المهينة" (بروتوكول </w:t>
      </w:r>
      <w:r w:rsidR="002C1EA7" w:rsidRPr="003E72B5">
        <w:rPr>
          <w:rFonts w:hint="cs"/>
          <w:b/>
          <w:bCs/>
          <w:spacing w:val="0"/>
          <w:sz w:val="20"/>
          <w:rtl/>
        </w:rPr>
        <w:t>اسطنبول</w:t>
      </w:r>
      <w:r w:rsidRPr="003E72B5">
        <w:rPr>
          <w:rFonts w:hint="cs"/>
          <w:b/>
          <w:bCs/>
          <w:spacing w:val="0"/>
          <w:sz w:val="20"/>
          <w:rtl/>
        </w:rPr>
        <w:t>)؛</w:t>
      </w:r>
    </w:p>
    <w:p w:rsidR="004E0A37" w:rsidRPr="003E72B5" w:rsidRDefault="004E0A37" w:rsidP="00335AC0">
      <w:pPr>
        <w:pStyle w:val="SingleTxtGA"/>
        <w:jc w:val="lowKashida"/>
        <w:rPr>
          <w:rFonts w:hint="cs"/>
          <w:b/>
          <w:bCs/>
          <w:spacing w:val="0"/>
          <w:sz w:val="20"/>
          <w:rtl/>
        </w:rPr>
      </w:pPr>
      <w:r w:rsidRPr="003E72B5">
        <w:rPr>
          <w:rFonts w:hint="cs"/>
          <w:b/>
          <w:bCs/>
          <w:spacing w:val="0"/>
          <w:sz w:val="20"/>
          <w:rtl/>
        </w:rPr>
        <w:tab/>
        <w:t>(ج)</w:t>
      </w:r>
      <w:r w:rsidRPr="003E72B5">
        <w:rPr>
          <w:rFonts w:hint="cs"/>
          <w:b/>
          <w:bCs/>
          <w:spacing w:val="0"/>
          <w:sz w:val="20"/>
          <w:rtl/>
        </w:rPr>
        <w:tab/>
        <w:t>اتباع نهج يراعي الاعتبارات الجنسانية في تدريب الأشخاص الذين لهم دور في احتجاز أو استجواب أو معاملة النساء اللواتي يخضعن لأي شكل من أشكال التوقيف أو</w:t>
      </w:r>
      <w:r w:rsidR="00335AC0" w:rsidRPr="003E72B5">
        <w:rPr>
          <w:rFonts w:hint="eastAsia"/>
          <w:b/>
          <w:bCs/>
          <w:spacing w:val="0"/>
          <w:sz w:val="20"/>
          <w:rtl/>
        </w:rPr>
        <w:t> </w:t>
      </w:r>
      <w:r w:rsidRPr="003E72B5">
        <w:rPr>
          <w:rFonts w:hint="cs"/>
          <w:b/>
          <w:bCs/>
          <w:spacing w:val="0"/>
          <w:sz w:val="20"/>
          <w:rtl/>
        </w:rPr>
        <w:t>الاحتجاز أو السجن؛</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rPr>
        <w:tab/>
        <w:t>(د)</w:t>
      </w:r>
      <w:r w:rsidRPr="003E72B5">
        <w:rPr>
          <w:rFonts w:hint="cs"/>
          <w:b/>
          <w:bCs/>
          <w:spacing w:val="0"/>
          <w:sz w:val="20"/>
          <w:rtl/>
        </w:rPr>
        <w:tab/>
        <w:t xml:space="preserve">تقييم مدى فعالية وتأثير هذه البرامج التدريبية والتثقيفية في الحد من حالات التعذيب وإساءة المعاملة. </w:t>
      </w:r>
    </w:p>
    <w:p w:rsidR="004E0A37" w:rsidRPr="004E0A37" w:rsidRDefault="004E0A37" w:rsidP="004E0A37">
      <w:pPr>
        <w:pStyle w:val="H23GA"/>
        <w:jc w:val="lowKashida"/>
        <w:rPr>
          <w:spacing w:val="0"/>
          <w:sz w:val="20"/>
          <w:rtl/>
          <w:lang w:bidi="ar-MA"/>
        </w:rPr>
      </w:pPr>
      <w:r w:rsidRPr="004E0A37">
        <w:rPr>
          <w:rFonts w:hint="cs"/>
          <w:spacing w:val="0"/>
          <w:sz w:val="20"/>
          <w:rtl/>
          <w:lang w:bidi="ar-MA"/>
        </w:rPr>
        <w:tab/>
      </w:r>
      <w:r w:rsidRPr="004E0A37">
        <w:rPr>
          <w:rFonts w:hint="cs"/>
          <w:spacing w:val="0"/>
          <w:sz w:val="20"/>
          <w:rtl/>
          <w:lang w:bidi="ar-MA"/>
        </w:rPr>
        <w:tab/>
      </w:r>
      <w:r w:rsidRPr="004E0A37">
        <w:rPr>
          <w:spacing w:val="0"/>
          <w:sz w:val="20"/>
          <w:rtl/>
          <w:lang w:bidi="ar-MA"/>
        </w:rPr>
        <w:t>العنف ضد النساء والأطفال، بما في ذلك العنف المنزلي</w:t>
      </w:r>
    </w:p>
    <w:p w:rsidR="004E0A37" w:rsidRPr="004E0A37" w:rsidRDefault="003E72B5" w:rsidP="003E72B5">
      <w:pPr>
        <w:pStyle w:val="SingleTxtGA"/>
        <w:jc w:val="lowKashida"/>
        <w:rPr>
          <w:rFonts w:hint="cs"/>
          <w:b/>
          <w:bCs/>
          <w:spacing w:val="0"/>
          <w:sz w:val="20"/>
          <w:rtl/>
        </w:rPr>
      </w:pPr>
      <w:r>
        <w:rPr>
          <w:rFonts w:hint="cs"/>
          <w:spacing w:val="0"/>
          <w:sz w:val="20"/>
          <w:rtl/>
        </w:rPr>
        <w:t>(</w:t>
      </w:r>
      <w:r w:rsidR="004E0A37" w:rsidRPr="004E0A37">
        <w:rPr>
          <w:rFonts w:hint="cs"/>
          <w:spacing w:val="0"/>
          <w:sz w:val="20"/>
          <w:rtl/>
        </w:rPr>
        <w:t>22</w:t>
      </w:r>
      <w:r>
        <w:rPr>
          <w:rFonts w:hint="cs"/>
          <w:spacing w:val="0"/>
          <w:sz w:val="20"/>
          <w:rtl/>
        </w:rPr>
        <w:t>)</w:t>
      </w:r>
      <w:r w:rsidR="004E0A37" w:rsidRPr="004E0A37">
        <w:rPr>
          <w:rFonts w:hint="cs"/>
          <w:spacing w:val="0"/>
          <w:sz w:val="20"/>
          <w:rtl/>
        </w:rPr>
        <w:tab/>
        <w:t>في حين ت</w:t>
      </w:r>
      <w:r w:rsidR="004E0A37" w:rsidRPr="004E0A37">
        <w:rPr>
          <w:spacing w:val="0"/>
          <w:sz w:val="20"/>
          <w:rtl/>
        </w:rPr>
        <w:t>رحب</w:t>
      </w:r>
      <w:r w:rsidR="004E0A37" w:rsidRPr="004E0A37">
        <w:rPr>
          <w:rFonts w:hint="cs"/>
          <w:spacing w:val="0"/>
          <w:sz w:val="20"/>
          <w:rtl/>
        </w:rPr>
        <w:t xml:space="preserve"> اللجنة</w:t>
      </w:r>
      <w:r w:rsidR="004E0A37" w:rsidRPr="004E0A37">
        <w:rPr>
          <w:spacing w:val="0"/>
          <w:sz w:val="20"/>
          <w:rtl/>
        </w:rPr>
        <w:t xml:space="preserve"> بالتدابير التي اتخذتها الدولة الطرف لمكافحة العنف ضد النساء والأطفال، فإن</w:t>
      </w:r>
      <w:r w:rsidR="004E0A37" w:rsidRPr="004E0A37">
        <w:rPr>
          <w:rFonts w:hint="cs"/>
          <w:spacing w:val="0"/>
          <w:sz w:val="20"/>
          <w:rtl/>
        </w:rPr>
        <w:t>ها</w:t>
      </w:r>
      <w:r w:rsidR="004E0A37" w:rsidRPr="004E0A37">
        <w:rPr>
          <w:spacing w:val="0"/>
          <w:sz w:val="20"/>
          <w:rtl/>
        </w:rPr>
        <w:t xml:space="preserve"> تشعر بالقلق إزاء استمرار العنف وعدم وجود معلومات عن (أ) الملاحقات القضائية للأشخاص </w:t>
      </w:r>
      <w:r w:rsidR="004E0A37" w:rsidRPr="004E0A37">
        <w:rPr>
          <w:rFonts w:hint="cs"/>
          <w:spacing w:val="0"/>
          <w:sz w:val="20"/>
          <w:rtl/>
        </w:rPr>
        <w:t>المسؤولين عن</w:t>
      </w:r>
      <w:r w:rsidR="004E0A37" w:rsidRPr="004E0A37">
        <w:rPr>
          <w:spacing w:val="0"/>
          <w:sz w:val="20"/>
          <w:rtl/>
        </w:rPr>
        <w:t xml:space="preserve"> حالات العنف ضد النساء والأطفال، بما في ذلك العنف المنزلي و(ب) تقديم المساعدة العملية والتعويضات لضحايا هذا العنف. </w:t>
      </w:r>
      <w:r w:rsidR="004E0A37" w:rsidRPr="004E0A37">
        <w:rPr>
          <w:rFonts w:hint="cs"/>
          <w:spacing w:val="0"/>
          <w:sz w:val="20"/>
          <w:rtl/>
        </w:rPr>
        <w:t>و</w:t>
      </w:r>
      <w:r w:rsidR="004E0A37" w:rsidRPr="004E0A37">
        <w:rPr>
          <w:spacing w:val="0"/>
          <w:sz w:val="20"/>
          <w:rtl/>
        </w:rPr>
        <w:t xml:space="preserve">تلاحظ اللجنة مع الأسف </w:t>
      </w:r>
      <w:r w:rsidR="004E0A37" w:rsidRPr="004E0A37">
        <w:rPr>
          <w:rFonts w:hint="cs"/>
          <w:spacing w:val="0"/>
          <w:sz w:val="20"/>
          <w:rtl/>
        </w:rPr>
        <w:t xml:space="preserve">أن </w:t>
      </w:r>
      <w:r w:rsidR="004E0A37" w:rsidRPr="004E0A37">
        <w:rPr>
          <w:spacing w:val="0"/>
          <w:sz w:val="20"/>
          <w:rtl/>
        </w:rPr>
        <w:t>عدد</w:t>
      </w:r>
      <w:r w:rsidR="004E0A37" w:rsidRPr="004E0A37">
        <w:rPr>
          <w:rFonts w:hint="cs"/>
          <w:spacing w:val="0"/>
          <w:sz w:val="20"/>
          <w:rtl/>
        </w:rPr>
        <w:t xml:space="preserve">اً </w:t>
      </w:r>
      <w:r w:rsidR="004E0A37" w:rsidRPr="004E0A37">
        <w:rPr>
          <w:spacing w:val="0"/>
          <w:sz w:val="20"/>
          <w:rtl/>
        </w:rPr>
        <w:t>كبير</w:t>
      </w:r>
      <w:r w:rsidR="004E0A37" w:rsidRPr="004E0A37">
        <w:rPr>
          <w:rFonts w:hint="cs"/>
          <w:spacing w:val="0"/>
          <w:sz w:val="20"/>
          <w:rtl/>
        </w:rPr>
        <w:t xml:space="preserve">اً </w:t>
      </w:r>
      <w:r w:rsidR="004E0A37" w:rsidRPr="004E0A37">
        <w:rPr>
          <w:spacing w:val="0"/>
          <w:sz w:val="20"/>
          <w:rtl/>
        </w:rPr>
        <w:t>من النساء لق</w:t>
      </w:r>
      <w:r w:rsidR="004E0A37" w:rsidRPr="004E0A37">
        <w:rPr>
          <w:rFonts w:hint="cs"/>
          <w:spacing w:val="0"/>
          <w:sz w:val="20"/>
          <w:rtl/>
        </w:rPr>
        <w:t>ين</w:t>
      </w:r>
      <w:r w:rsidR="004E0A37" w:rsidRPr="004E0A37">
        <w:rPr>
          <w:spacing w:val="0"/>
          <w:sz w:val="20"/>
          <w:rtl/>
        </w:rPr>
        <w:t xml:space="preserve"> حتفه</w:t>
      </w:r>
      <w:r w:rsidR="004E0A37" w:rsidRPr="004E0A37">
        <w:rPr>
          <w:rFonts w:hint="cs"/>
          <w:spacing w:val="0"/>
          <w:sz w:val="20"/>
          <w:rtl/>
        </w:rPr>
        <w:t>ن</w:t>
      </w:r>
      <w:r w:rsidR="004E0A37" w:rsidRPr="004E0A37">
        <w:rPr>
          <w:spacing w:val="0"/>
          <w:sz w:val="20"/>
          <w:rtl/>
        </w:rPr>
        <w:t xml:space="preserve"> نتيجة العنف المنزلي وعدم وجود أحكام </w:t>
      </w:r>
      <w:r w:rsidR="004E0A37" w:rsidRPr="004E0A37">
        <w:rPr>
          <w:rFonts w:hint="cs"/>
          <w:spacing w:val="0"/>
          <w:sz w:val="20"/>
          <w:rtl/>
        </w:rPr>
        <w:t>منفصلة على صعيد ال</w:t>
      </w:r>
      <w:r w:rsidR="004E0A37" w:rsidRPr="004E0A37">
        <w:rPr>
          <w:spacing w:val="0"/>
          <w:sz w:val="20"/>
          <w:rtl/>
        </w:rPr>
        <w:t xml:space="preserve">قانون </w:t>
      </w:r>
      <w:r w:rsidR="004E0A37" w:rsidRPr="004E0A37">
        <w:rPr>
          <w:rFonts w:hint="cs"/>
          <w:spacing w:val="0"/>
          <w:sz w:val="20"/>
          <w:rtl/>
        </w:rPr>
        <w:t>ال</w:t>
      </w:r>
      <w:r w:rsidR="004E0A37" w:rsidRPr="004E0A37">
        <w:rPr>
          <w:spacing w:val="0"/>
          <w:sz w:val="20"/>
          <w:rtl/>
        </w:rPr>
        <w:t>جنائي بشأن العنف المنزلي والاغتصاب</w:t>
      </w:r>
      <w:r w:rsidR="004E0A37" w:rsidRPr="004E0A37">
        <w:rPr>
          <w:rFonts w:hint="cs"/>
          <w:spacing w:val="0"/>
          <w:sz w:val="20"/>
          <w:rtl/>
        </w:rPr>
        <w:t xml:space="preserve"> في إطار</w:t>
      </w:r>
      <w:r w:rsidR="004E0A37" w:rsidRPr="004E0A37">
        <w:rPr>
          <w:spacing w:val="0"/>
          <w:sz w:val="20"/>
          <w:rtl/>
        </w:rPr>
        <w:t xml:space="preserve"> الزو</w:t>
      </w:r>
      <w:r w:rsidR="004E0A37" w:rsidRPr="004E0A37">
        <w:rPr>
          <w:rFonts w:hint="cs"/>
          <w:spacing w:val="0"/>
          <w:sz w:val="20"/>
          <w:rtl/>
        </w:rPr>
        <w:t>ا</w:t>
      </w:r>
      <w:r w:rsidR="004E0A37" w:rsidRPr="004E0A37">
        <w:rPr>
          <w:spacing w:val="0"/>
          <w:sz w:val="20"/>
          <w:rtl/>
        </w:rPr>
        <w:t xml:space="preserve">ج، </w:t>
      </w:r>
      <w:r w:rsidR="004E0A37" w:rsidRPr="004E0A37">
        <w:rPr>
          <w:rFonts w:hint="cs"/>
          <w:spacing w:val="0"/>
          <w:sz w:val="20"/>
          <w:rtl/>
        </w:rPr>
        <w:t>على نحو ما أثارته</w:t>
      </w:r>
      <w:r w:rsidR="004E0A37" w:rsidRPr="004E0A37">
        <w:rPr>
          <w:spacing w:val="0"/>
          <w:sz w:val="20"/>
          <w:rtl/>
        </w:rPr>
        <w:t xml:space="preserve"> لجنة القضاء على التمييز ضد المرأة (</w:t>
      </w:r>
      <w:r w:rsidR="004E0A37" w:rsidRPr="004E0A37">
        <w:rPr>
          <w:spacing w:val="0"/>
          <w:sz w:val="20"/>
        </w:rPr>
        <w:t>CEDAW/C/BLR/CO/7</w:t>
      </w:r>
      <w:r w:rsidR="004E0A37" w:rsidRPr="004E0A37">
        <w:rPr>
          <w:spacing w:val="0"/>
          <w:sz w:val="20"/>
          <w:rtl/>
        </w:rPr>
        <w:t>، الفقرة 19) (</w:t>
      </w:r>
      <w:r w:rsidR="004E0A37" w:rsidRPr="004E0A37">
        <w:rPr>
          <w:rFonts w:hint="cs"/>
          <w:spacing w:val="0"/>
          <w:sz w:val="20"/>
          <w:rtl/>
        </w:rPr>
        <w:t>المواد</w:t>
      </w:r>
      <w:r w:rsidR="004E0A37" w:rsidRPr="004E0A37">
        <w:rPr>
          <w:spacing w:val="0"/>
          <w:sz w:val="20"/>
          <w:rtl/>
        </w:rPr>
        <w:t xml:space="preserve"> 2 و14 و16).</w:t>
      </w:r>
    </w:p>
    <w:p w:rsidR="004E0A37" w:rsidRPr="003E72B5" w:rsidRDefault="004E0A37" w:rsidP="004E0A37">
      <w:pPr>
        <w:pStyle w:val="SingleTxtGA"/>
        <w:jc w:val="lowKashida"/>
        <w:rPr>
          <w:b/>
          <w:bCs/>
          <w:spacing w:val="0"/>
          <w:sz w:val="20"/>
          <w:rtl/>
        </w:rPr>
      </w:pPr>
      <w:r w:rsidRPr="003E72B5">
        <w:rPr>
          <w:rFonts w:hint="cs"/>
          <w:b/>
          <w:bCs/>
          <w:spacing w:val="0"/>
          <w:sz w:val="20"/>
          <w:rtl/>
        </w:rPr>
        <w:tab/>
      </w:r>
      <w:r w:rsidRPr="003E72B5">
        <w:rPr>
          <w:b/>
          <w:bCs/>
          <w:spacing w:val="0"/>
          <w:sz w:val="20"/>
          <w:rtl/>
        </w:rPr>
        <w:t>ينبغي للدولة الطرف تعزيز جهودها لمنع ومكافحة العنف ضد النساء والأطفال</w:t>
      </w:r>
      <w:r w:rsidRPr="003E72B5">
        <w:rPr>
          <w:rFonts w:hint="cs"/>
          <w:b/>
          <w:bCs/>
          <w:spacing w:val="0"/>
          <w:sz w:val="20"/>
          <w:rtl/>
        </w:rPr>
        <w:t xml:space="preserve"> ومعاقبة مرتكبيه</w:t>
      </w:r>
      <w:r w:rsidRPr="003E72B5">
        <w:rPr>
          <w:b/>
          <w:bCs/>
          <w:spacing w:val="0"/>
          <w:sz w:val="20"/>
          <w:rtl/>
        </w:rPr>
        <w:t xml:space="preserve">، ولا سيما العنف المنزلي، </w:t>
      </w:r>
      <w:r w:rsidRPr="003E72B5">
        <w:rPr>
          <w:rFonts w:hint="cs"/>
          <w:b/>
          <w:bCs/>
          <w:spacing w:val="0"/>
          <w:sz w:val="20"/>
          <w:rtl/>
        </w:rPr>
        <w:t>وذلك بطرق عديدة</w:t>
      </w:r>
      <w:r w:rsidRPr="003E72B5">
        <w:rPr>
          <w:b/>
          <w:bCs/>
          <w:spacing w:val="0"/>
          <w:sz w:val="20"/>
          <w:rtl/>
        </w:rPr>
        <w:t xml:space="preserve"> </w:t>
      </w:r>
      <w:r w:rsidRPr="003E72B5">
        <w:rPr>
          <w:rFonts w:hint="cs"/>
          <w:b/>
          <w:bCs/>
          <w:spacing w:val="0"/>
          <w:sz w:val="20"/>
          <w:rtl/>
        </w:rPr>
        <w:t>منها</w:t>
      </w:r>
      <w:r w:rsidRPr="003E72B5">
        <w:rPr>
          <w:b/>
          <w:bCs/>
          <w:spacing w:val="0"/>
          <w:sz w:val="20"/>
          <w:rtl/>
        </w:rPr>
        <w:t xml:space="preserve"> تعديل تشريعاتها الجنائية </w:t>
      </w:r>
      <w:r w:rsidRPr="003E72B5">
        <w:rPr>
          <w:rFonts w:hint="cs"/>
          <w:b/>
          <w:bCs/>
          <w:spacing w:val="0"/>
          <w:sz w:val="20"/>
          <w:rtl/>
        </w:rPr>
        <w:t>ومنح</w:t>
      </w:r>
      <w:r w:rsidRPr="003E72B5">
        <w:rPr>
          <w:b/>
          <w:bCs/>
          <w:spacing w:val="0"/>
          <w:sz w:val="20"/>
          <w:rtl/>
        </w:rPr>
        <w:t xml:space="preserve"> ضحايا العنف الحماية الفورية </w:t>
      </w:r>
      <w:r w:rsidRPr="003E72B5">
        <w:rPr>
          <w:rFonts w:hint="cs"/>
          <w:b/>
          <w:bCs/>
          <w:spacing w:val="0"/>
          <w:sz w:val="20"/>
          <w:rtl/>
        </w:rPr>
        <w:t>و</w:t>
      </w:r>
      <w:r w:rsidRPr="003E72B5">
        <w:rPr>
          <w:b/>
          <w:bCs/>
          <w:spacing w:val="0"/>
          <w:sz w:val="20"/>
          <w:rtl/>
        </w:rPr>
        <w:t xml:space="preserve">إعادة تأهيل </w:t>
      </w:r>
      <w:r w:rsidRPr="003E72B5">
        <w:rPr>
          <w:rFonts w:hint="cs"/>
          <w:b/>
          <w:bCs/>
          <w:spacing w:val="0"/>
          <w:sz w:val="20"/>
          <w:rtl/>
        </w:rPr>
        <w:t>ا</w:t>
      </w:r>
      <w:r w:rsidRPr="003E72B5">
        <w:rPr>
          <w:b/>
          <w:bCs/>
          <w:spacing w:val="0"/>
          <w:sz w:val="20"/>
          <w:rtl/>
        </w:rPr>
        <w:t xml:space="preserve">لضحايا </w:t>
      </w:r>
      <w:r w:rsidRPr="003E72B5">
        <w:rPr>
          <w:rFonts w:hint="cs"/>
          <w:b/>
          <w:bCs/>
          <w:spacing w:val="0"/>
          <w:sz w:val="20"/>
          <w:rtl/>
        </w:rPr>
        <w:t xml:space="preserve">على </w:t>
      </w:r>
      <w:r w:rsidRPr="003E72B5">
        <w:rPr>
          <w:b/>
          <w:bCs/>
          <w:spacing w:val="0"/>
          <w:sz w:val="20"/>
          <w:rtl/>
        </w:rPr>
        <w:t>الأجل</w:t>
      </w:r>
      <w:r w:rsidRPr="003E72B5">
        <w:rPr>
          <w:rFonts w:hint="cs"/>
          <w:b/>
          <w:bCs/>
          <w:spacing w:val="0"/>
          <w:sz w:val="20"/>
          <w:rtl/>
        </w:rPr>
        <w:t xml:space="preserve"> الطويل</w:t>
      </w:r>
      <w:r w:rsidRPr="003E72B5">
        <w:rPr>
          <w:b/>
          <w:bCs/>
          <w:spacing w:val="0"/>
          <w:sz w:val="20"/>
          <w:rtl/>
        </w:rPr>
        <w:t xml:space="preserve">. وعلاوة على ذلك، ينبغي للدولة الطرف </w:t>
      </w:r>
      <w:r w:rsidRPr="003E72B5">
        <w:rPr>
          <w:rFonts w:hint="cs"/>
          <w:b/>
          <w:bCs/>
          <w:spacing w:val="0"/>
          <w:sz w:val="20"/>
          <w:rtl/>
        </w:rPr>
        <w:t xml:space="preserve">تنظيم </w:t>
      </w:r>
      <w:r w:rsidRPr="003E72B5">
        <w:rPr>
          <w:b/>
          <w:bCs/>
          <w:spacing w:val="0"/>
          <w:sz w:val="20"/>
          <w:rtl/>
        </w:rPr>
        <w:t xml:space="preserve">حملات توعية وتدريب </w:t>
      </w:r>
      <w:r w:rsidRPr="003E72B5">
        <w:rPr>
          <w:rFonts w:hint="cs"/>
          <w:b/>
          <w:bCs/>
          <w:spacing w:val="0"/>
          <w:sz w:val="20"/>
          <w:rtl/>
        </w:rPr>
        <w:t xml:space="preserve">على نطاق أوسع في هذا المجال </w:t>
      </w:r>
      <w:r w:rsidRPr="003E72B5">
        <w:rPr>
          <w:b/>
          <w:bCs/>
          <w:spacing w:val="0"/>
          <w:sz w:val="20"/>
          <w:rtl/>
        </w:rPr>
        <w:t>للقضاة و</w:t>
      </w:r>
      <w:r w:rsidRPr="003E72B5">
        <w:rPr>
          <w:rFonts w:hint="cs"/>
          <w:b/>
          <w:bCs/>
          <w:spacing w:val="0"/>
          <w:sz w:val="20"/>
          <w:rtl/>
        </w:rPr>
        <w:t>ال</w:t>
      </w:r>
      <w:r w:rsidRPr="003E72B5">
        <w:rPr>
          <w:b/>
          <w:bCs/>
          <w:spacing w:val="0"/>
          <w:sz w:val="20"/>
          <w:rtl/>
        </w:rPr>
        <w:t xml:space="preserve">محامين </w:t>
      </w:r>
      <w:r w:rsidRPr="003E72B5">
        <w:rPr>
          <w:rFonts w:hint="cs"/>
          <w:b/>
          <w:bCs/>
          <w:spacing w:val="0"/>
          <w:sz w:val="20"/>
          <w:rtl/>
        </w:rPr>
        <w:t>والهيئات المكلفة ب</w:t>
      </w:r>
      <w:r w:rsidRPr="003E72B5">
        <w:rPr>
          <w:b/>
          <w:bCs/>
          <w:spacing w:val="0"/>
          <w:sz w:val="20"/>
          <w:rtl/>
        </w:rPr>
        <w:t xml:space="preserve">إنفاذ القانون والعاملين الاجتماعيين الذين هم على اتصال مباشر </w:t>
      </w:r>
      <w:r w:rsidRPr="003E72B5">
        <w:rPr>
          <w:rFonts w:hint="cs"/>
          <w:b/>
          <w:bCs/>
          <w:spacing w:val="0"/>
          <w:sz w:val="20"/>
          <w:rtl/>
        </w:rPr>
        <w:t>ب</w:t>
      </w:r>
      <w:r w:rsidRPr="003E72B5">
        <w:rPr>
          <w:b/>
          <w:bCs/>
          <w:spacing w:val="0"/>
          <w:sz w:val="20"/>
          <w:rtl/>
        </w:rPr>
        <w:t>الضحايا والجمهور بوجه عام.</w:t>
      </w:r>
    </w:p>
    <w:p w:rsidR="004E0A37" w:rsidRPr="004E0A37" w:rsidRDefault="004E0A37" w:rsidP="002C1EA7">
      <w:pPr>
        <w:pStyle w:val="H23GA"/>
        <w:rPr>
          <w:rFonts w:hint="cs"/>
          <w:rtl/>
          <w:lang w:bidi="ar-MA"/>
        </w:rPr>
      </w:pPr>
      <w:r w:rsidRPr="004E0A37">
        <w:rPr>
          <w:rFonts w:hint="cs"/>
          <w:rtl/>
          <w:lang w:bidi="ar-MA"/>
        </w:rPr>
        <w:tab/>
      </w:r>
      <w:r w:rsidRPr="004E0A37">
        <w:rPr>
          <w:rFonts w:hint="cs"/>
          <w:rtl/>
          <w:lang w:bidi="ar-MA"/>
        </w:rPr>
        <w:tab/>
      </w:r>
      <w:r w:rsidRPr="004E0A37">
        <w:rPr>
          <w:rtl/>
          <w:lang w:bidi="ar-MA"/>
        </w:rPr>
        <w:t xml:space="preserve">الاتجار </w:t>
      </w:r>
      <w:r w:rsidRPr="004E0A37">
        <w:rPr>
          <w:rFonts w:hint="cs"/>
          <w:rtl/>
          <w:lang w:bidi="ar-MA"/>
        </w:rPr>
        <w:t>بالبشر</w:t>
      </w:r>
    </w:p>
    <w:p w:rsidR="004E0A37" w:rsidRPr="004E0A37" w:rsidRDefault="003E72B5" w:rsidP="003E72B5">
      <w:pPr>
        <w:pStyle w:val="SingleTxtGA"/>
        <w:jc w:val="lowKashida"/>
        <w:rPr>
          <w:spacing w:val="0"/>
          <w:sz w:val="20"/>
          <w:rtl/>
        </w:rPr>
      </w:pPr>
      <w:r>
        <w:rPr>
          <w:rFonts w:hint="cs"/>
          <w:spacing w:val="0"/>
          <w:sz w:val="20"/>
          <w:rtl/>
        </w:rPr>
        <w:t>(</w:t>
      </w:r>
      <w:r w:rsidR="004E0A37" w:rsidRPr="004E0A37">
        <w:rPr>
          <w:rFonts w:hint="cs"/>
          <w:spacing w:val="0"/>
          <w:sz w:val="20"/>
          <w:rtl/>
        </w:rPr>
        <w:t>23</w:t>
      </w:r>
      <w:r>
        <w:rPr>
          <w:rFonts w:hint="cs"/>
          <w:spacing w:val="0"/>
          <w:sz w:val="20"/>
          <w:rtl/>
        </w:rPr>
        <w:t>)</w:t>
      </w:r>
      <w:r w:rsidR="004E0A37" w:rsidRPr="004E0A37">
        <w:rPr>
          <w:rFonts w:hint="cs"/>
          <w:spacing w:val="0"/>
          <w:sz w:val="20"/>
          <w:rtl/>
        </w:rPr>
        <w:tab/>
        <w:t xml:space="preserve">في حين </w:t>
      </w:r>
      <w:r w:rsidR="004E0A37" w:rsidRPr="004E0A37">
        <w:rPr>
          <w:spacing w:val="0"/>
          <w:sz w:val="20"/>
          <w:rtl/>
        </w:rPr>
        <w:t>ترحب</w:t>
      </w:r>
      <w:r w:rsidR="004E0A37" w:rsidRPr="004E0A37">
        <w:rPr>
          <w:rFonts w:hint="cs"/>
          <w:spacing w:val="0"/>
          <w:sz w:val="20"/>
          <w:rtl/>
        </w:rPr>
        <w:t xml:space="preserve"> اللجنة</w:t>
      </w:r>
      <w:r w:rsidR="004E0A37" w:rsidRPr="004E0A37">
        <w:rPr>
          <w:spacing w:val="0"/>
          <w:sz w:val="20"/>
          <w:rtl/>
        </w:rPr>
        <w:t xml:space="preserve"> بالجهود التي تبذلها الدولة الطرف </w:t>
      </w:r>
      <w:r w:rsidR="004E0A37" w:rsidRPr="004E0A37">
        <w:rPr>
          <w:rFonts w:hint="cs"/>
          <w:spacing w:val="0"/>
          <w:sz w:val="20"/>
          <w:rtl/>
        </w:rPr>
        <w:t>للتصدي</w:t>
      </w:r>
      <w:r w:rsidR="004E0A37" w:rsidRPr="004E0A37">
        <w:rPr>
          <w:spacing w:val="0"/>
          <w:sz w:val="20"/>
          <w:rtl/>
        </w:rPr>
        <w:t xml:space="preserve"> </w:t>
      </w:r>
      <w:r w:rsidR="004E0A37" w:rsidRPr="004E0A37">
        <w:rPr>
          <w:rFonts w:hint="cs"/>
          <w:spacing w:val="0"/>
          <w:sz w:val="20"/>
          <w:rtl/>
        </w:rPr>
        <w:t>ل</w:t>
      </w:r>
      <w:r w:rsidR="004E0A37" w:rsidRPr="004E0A37">
        <w:rPr>
          <w:spacing w:val="0"/>
          <w:sz w:val="20"/>
          <w:rtl/>
        </w:rPr>
        <w:t xml:space="preserve">لاتجار </w:t>
      </w:r>
      <w:r w:rsidR="004E0A37" w:rsidRPr="004E0A37">
        <w:rPr>
          <w:rFonts w:hint="cs"/>
          <w:spacing w:val="0"/>
          <w:sz w:val="20"/>
          <w:rtl/>
        </w:rPr>
        <w:t>بالبشر</w:t>
      </w:r>
      <w:r w:rsidR="004E0A37" w:rsidRPr="004E0A37">
        <w:rPr>
          <w:spacing w:val="0"/>
          <w:sz w:val="20"/>
          <w:rtl/>
        </w:rPr>
        <w:t xml:space="preserve"> وتقديم الجناة إلى العدالة، فإن</w:t>
      </w:r>
      <w:r w:rsidR="004E0A37" w:rsidRPr="004E0A37">
        <w:rPr>
          <w:rFonts w:hint="cs"/>
          <w:spacing w:val="0"/>
          <w:sz w:val="20"/>
          <w:rtl/>
        </w:rPr>
        <w:t>ها</w:t>
      </w:r>
      <w:r w:rsidR="004E0A37" w:rsidRPr="004E0A37">
        <w:rPr>
          <w:spacing w:val="0"/>
          <w:sz w:val="20"/>
          <w:rtl/>
        </w:rPr>
        <w:t xml:space="preserve"> تشعر بالقلق إزاء التقارير التي تفيد بأن الاتجار </w:t>
      </w:r>
      <w:r w:rsidR="004E0A37" w:rsidRPr="004E0A37">
        <w:rPr>
          <w:rFonts w:hint="cs"/>
          <w:spacing w:val="0"/>
          <w:sz w:val="20"/>
          <w:rtl/>
        </w:rPr>
        <w:t>بالبشر</w:t>
      </w:r>
      <w:r w:rsidR="004E0A37" w:rsidRPr="004E0A37">
        <w:rPr>
          <w:spacing w:val="0"/>
          <w:sz w:val="20"/>
          <w:rtl/>
        </w:rPr>
        <w:t>، ولا سيما النساء، لا يزال يمثل مشكلة كبيرة و</w:t>
      </w:r>
      <w:r w:rsidR="004E0A37" w:rsidRPr="004E0A37">
        <w:rPr>
          <w:rFonts w:hint="cs"/>
          <w:spacing w:val="0"/>
          <w:sz w:val="20"/>
          <w:rtl/>
        </w:rPr>
        <w:t xml:space="preserve">أن </w:t>
      </w:r>
      <w:r w:rsidR="004E0A37" w:rsidRPr="004E0A37">
        <w:rPr>
          <w:spacing w:val="0"/>
          <w:sz w:val="20"/>
          <w:rtl/>
        </w:rPr>
        <w:t xml:space="preserve">بيلاروس </w:t>
      </w:r>
      <w:r w:rsidR="004E0A37" w:rsidRPr="004E0A37">
        <w:rPr>
          <w:rFonts w:hint="cs"/>
          <w:spacing w:val="0"/>
          <w:sz w:val="20"/>
          <w:rtl/>
        </w:rPr>
        <w:t xml:space="preserve">تظل </w:t>
      </w:r>
      <w:r w:rsidR="004E0A37" w:rsidRPr="004E0A37">
        <w:rPr>
          <w:spacing w:val="0"/>
          <w:sz w:val="20"/>
          <w:rtl/>
        </w:rPr>
        <w:t>بلد المنشأ والعبور والمقصد لضحايا الاتجار (</w:t>
      </w:r>
      <w:r w:rsidR="004E0A37" w:rsidRPr="004E0A37">
        <w:rPr>
          <w:rFonts w:hint="cs"/>
          <w:spacing w:val="0"/>
          <w:sz w:val="20"/>
          <w:rtl/>
        </w:rPr>
        <w:t>المواد</w:t>
      </w:r>
      <w:r w:rsidR="004E0A37" w:rsidRPr="004E0A37">
        <w:rPr>
          <w:spacing w:val="0"/>
          <w:sz w:val="20"/>
          <w:rtl/>
        </w:rPr>
        <w:t xml:space="preserve"> 2 و10 و16).</w:t>
      </w:r>
    </w:p>
    <w:p w:rsidR="004E0A37" w:rsidRPr="003E72B5" w:rsidRDefault="004E0A37" w:rsidP="004E0A37">
      <w:pPr>
        <w:pStyle w:val="SingleTxtGA"/>
        <w:jc w:val="lowKashida"/>
        <w:rPr>
          <w:b/>
          <w:bCs/>
          <w:spacing w:val="0"/>
          <w:sz w:val="20"/>
          <w:rtl/>
        </w:rPr>
      </w:pPr>
      <w:r w:rsidRPr="003E72B5">
        <w:rPr>
          <w:rFonts w:hint="cs"/>
          <w:b/>
          <w:bCs/>
          <w:spacing w:val="0"/>
          <w:sz w:val="20"/>
          <w:rtl/>
        </w:rPr>
        <w:tab/>
        <w:t>و</w:t>
      </w:r>
      <w:r w:rsidRPr="003E72B5">
        <w:rPr>
          <w:b/>
          <w:bCs/>
          <w:spacing w:val="0"/>
          <w:sz w:val="20"/>
          <w:rtl/>
        </w:rPr>
        <w:t xml:space="preserve">في ضوء التوصيات التي </w:t>
      </w:r>
      <w:r w:rsidRPr="003E72B5">
        <w:rPr>
          <w:rFonts w:hint="cs"/>
          <w:b/>
          <w:bCs/>
          <w:spacing w:val="0"/>
          <w:sz w:val="20"/>
          <w:rtl/>
        </w:rPr>
        <w:t xml:space="preserve">قدمتها المقررة الخاصة المعنية </w:t>
      </w:r>
      <w:r w:rsidRPr="003E72B5">
        <w:rPr>
          <w:b/>
          <w:bCs/>
          <w:spacing w:val="0"/>
          <w:sz w:val="20"/>
          <w:rtl/>
        </w:rPr>
        <w:t xml:space="preserve">بالاتجار </w:t>
      </w:r>
      <w:r w:rsidRPr="003E72B5">
        <w:rPr>
          <w:rFonts w:hint="cs"/>
          <w:b/>
          <w:bCs/>
          <w:spacing w:val="0"/>
          <w:sz w:val="20"/>
          <w:rtl/>
        </w:rPr>
        <w:t>بالبشر</w:t>
      </w:r>
      <w:r w:rsidRPr="003E72B5">
        <w:rPr>
          <w:b/>
          <w:bCs/>
          <w:spacing w:val="0"/>
          <w:sz w:val="20"/>
          <w:rtl/>
        </w:rPr>
        <w:t xml:space="preserve">، وبخاصة النساء والأطفال، في أعقاب الزيارة التي قامت بها </w:t>
      </w:r>
      <w:r w:rsidRPr="003E72B5">
        <w:rPr>
          <w:rFonts w:hint="cs"/>
          <w:b/>
          <w:bCs/>
          <w:spacing w:val="0"/>
          <w:sz w:val="20"/>
          <w:rtl/>
        </w:rPr>
        <w:t>لبيلاروس</w:t>
      </w:r>
      <w:r w:rsidRPr="003E72B5">
        <w:rPr>
          <w:b/>
          <w:bCs/>
          <w:spacing w:val="0"/>
          <w:sz w:val="20"/>
          <w:rtl/>
        </w:rPr>
        <w:t xml:space="preserve"> في </w:t>
      </w:r>
      <w:r w:rsidRPr="003E72B5">
        <w:rPr>
          <w:rFonts w:hint="cs"/>
          <w:b/>
          <w:bCs/>
          <w:spacing w:val="0"/>
          <w:sz w:val="20"/>
          <w:rtl/>
        </w:rPr>
        <w:t>أيار/</w:t>
      </w:r>
      <w:r w:rsidRPr="003E72B5">
        <w:rPr>
          <w:b/>
          <w:bCs/>
          <w:spacing w:val="0"/>
          <w:sz w:val="20"/>
          <w:rtl/>
        </w:rPr>
        <w:t>مايو 2009 (</w:t>
      </w:r>
      <w:r w:rsidRPr="003E72B5">
        <w:rPr>
          <w:b/>
          <w:bCs/>
          <w:spacing w:val="0"/>
          <w:sz w:val="20"/>
        </w:rPr>
        <w:t>A/HRC/14/32/Add.2</w:t>
      </w:r>
      <w:r w:rsidRPr="003E72B5">
        <w:rPr>
          <w:b/>
          <w:bCs/>
          <w:spacing w:val="0"/>
          <w:sz w:val="20"/>
          <w:rtl/>
        </w:rPr>
        <w:t xml:space="preserve">، الفقرات 95 وما يليها)، ينبغي للدولة الطرف اتخاذ تدابير فعالة، بما في ذلك من خلال التعاون الإقليمي والدولي، لمعالجة الأسباب الجذرية للاتجار </w:t>
      </w:r>
      <w:r w:rsidRPr="003E72B5">
        <w:rPr>
          <w:rFonts w:hint="cs"/>
          <w:b/>
          <w:bCs/>
          <w:spacing w:val="0"/>
          <w:sz w:val="20"/>
          <w:rtl/>
        </w:rPr>
        <w:t>بالبشر</w:t>
      </w:r>
      <w:r w:rsidRPr="003E72B5">
        <w:rPr>
          <w:b/>
          <w:bCs/>
          <w:spacing w:val="0"/>
          <w:sz w:val="20"/>
          <w:rtl/>
        </w:rPr>
        <w:t xml:space="preserve">، ولا سيما ارتباطه الوثيق </w:t>
      </w:r>
      <w:r w:rsidRPr="003E72B5">
        <w:rPr>
          <w:rFonts w:hint="cs"/>
          <w:b/>
          <w:bCs/>
          <w:spacing w:val="0"/>
          <w:sz w:val="20"/>
          <w:rtl/>
        </w:rPr>
        <w:t>با</w:t>
      </w:r>
      <w:r w:rsidRPr="003E72B5">
        <w:rPr>
          <w:b/>
          <w:bCs/>
          <w:spacing w:val="0"/>
          <w:sz w:val="20"/>
          <w:rtl/>
        </w:rPr>
        <w:t>لاستغلال الجنسي والاستمرار في ملاحقة ومعاقبة الجناة وتوفير التعويض</w:t>
      </w:r>
      <w:r w:rsidRPr="003E72B5">
        <w:rPr>
          <w:rFonts w:hint="cs"/>
          <w:b/>
          <w:bCs/>
          <w:spacing w:val="0"/>
          <w:sz w:val="20"/>
          <w:rtl/>
        </w:rPr>
        <w:t xml:space="preserve"> و</w:t>
      </w:r>
      <w:r w:rsidRPr="003E72B5">
        <w:rPr>
          <w:b/>
          <w:bCs/>
          <w:spacing w:val="0"/>
          <w:sz w:val="20"/>
          <w:rtl/>
        </w:rPr>
        <w:t xml:space="preserve">خدمات إعادة الإدماج للضحايا </w:t>
      </w:r>
      <w:r w:rsidRPr="003E72B5">
        <w:rPr>
          <w:rFonts w:hint="cs"/>
          <w:b/>
          <w:bCs/>
          <w:spacing w:val="0"/>
          <w:sz w:val="20"/>
          <w:rtl/>
        </w:rPr>
        <w:t xml:space="preserve">وتنظيم </w:t>
      </w:r>
      <w:r w:rsidRPr="003E72B5">
        <w:rPr>
          <w:b/>
          <w:bCs/>
          <w:spacing w:val="0"/>
          <w:sz w:val="20"/>
          <w:rtl/>
        </w:rPr>
        <w:t xml:space="preserve">تدريب </w:t>
      </w:r>
      <w:r w:rsidRPr="003E72B5">
        <w:rPr>
          <w:rFonts w:hint="cs"/>
          <w:b/>
          <w:bCs/>
          <w:spacing w:val="0"/>
          <w:sz w:val="20"/>
          <w:rtl/>
        </w:rPr>
        <w:t>ل</w:t>
      </w:r>
      <w:r w:rsidRPr="003E72B5">
        <w:rPr>
          <w:b/>
          <w:bCs/>
          <w:spacing w:val="0"/>
          <w:sz w:val="20"/>
          <w:rtl/>
        </w:rPr>
        <w:t xml:space="preserve">لمسؤولين عن إنفاذ القانون، ولا سيما </w:t>
      </w:r>
      <w:r w:rsidRPr="003E72B5">
        <w:rPr>
          <w:rFonts w:hint="cs"/>
          <w:b/>
          <w:bCs/>
          <w:spacing w:val="0"/>
          <w:sz w:val="20"/>
          <w:rtl/>
        </w:rPr>
        <w:t>موظفي</w:t>
      </w:r>
      <w:r w:rsidRPr="003E72B5">
        <w:rPr>
          <w:b/>
          <w:bCs/>
          <w:spacing w:val="0"/>
          <w:sz w:val="20"/>
          <w:rtl/>
        </w:rPr>
        <w:t xml:space="preserve"> الحدود </w:t>
      </w:r>
      <w:r w:rsidRPr="003E72B5">
        <w:rPr>
          <w:rFonts w:hint="cs"/>
          <w:b/>
          <w:bCs/>
          <w:spacing w:val="0"/>
          <w:sz w:val="20"/>
          <w:rtl/>
        </w:rPr>
        <w:t>و</w:t>
      </w:r>
      <w:r w:rsidRPr="003E72B5">
        <w:rPr>
          <w:b/>
          <w:bCs/>
          <w:spacing w:val="0"/>
          <w:sz w:val="20"/>
          <w:rtl/>
        </w:rPr>
        <w:t>الجمارك.</w:t>
      </w:r>
    </w:p>
    <w:p w:rsidR="004E0A37" w:rsidRPr="004E0A37" w:rsidRDefault="004E0A37" w:rsidP="002C1EA7">
      <w:pPr>
        <w:pStyle w:val="H23GA"/>
        <w:rPr>
          <w:rFonts w:hint="cs"/>
          <w:rtl/>
          <w:lang w:bidi="ar-MA"/>
        </w:rPr>
      </w:pPr>
      <w:r w:rsidRPr="004E0A37">
        <w:rPr>
          <w:rFonts w:hint="cs"/>
          <w:rtl/>
          <w:lang w:bidi="ar-MA"/>
        </w:rPr>
        <w:tab/>
      </w:r>
      <w:r w:rsidRPr="004E0A37">
        <w:rPr>
          <w:rFonts w:hint="cs"/>
          <w:rtl/>
          <w:lang w:bidi="ar-MA"/>
        </w:rPr>
        <w:tab/>
        <w:t>الجبر</w:t>
      </w:r>
      <w:r w:rsidRPr="004E0A37">
        <w:rPr>
          <w:rtl/>
          <w:lang w:bidi="ar-MA"/>
        </w:rPr>
        <w:t xml:space="preserve">، بما في ذلك التعويض </w:t>
      </w:r>
      <w:r w:rsidRPr="004E0A37">
        <w:rPr>
          <w:rFonts w:hint="cs"/>
          <w:rtl/>
          <w:lang w:bidi="ar-MA"/>
        </w:rPr>
        <w:t>وإعادة التأهيل</w:t>
      </w:r>
    </w:p>
    <w:p w:rsidR="004E0A37" w:rsidRPr="004E0A37" w:rsidRDefault="003E72B5" w:rsidP="003E72B5">
      <w:pPr>
        <w:pStyle w:val="SingleTxtGA"/>
        <w:jc w:val="lowKashida"/>
        <w:rPr>
          <w:rFonts w:hint="cs"/>
          <w:spacing w:val="0"/>
          <w:sz w:val="20"/>
          <w:rtl/>
        </w:rPr>
      </w:pPr>
      <w:r>
        <w:rPr>
          <w:rFonts w:hint="cs"/>
          <w:spacing w:val="0"/>
          <w:sz w:val="20"/>
          <w:rtl/>
        </w:rPr>
        <w:t>(</w:t>
      </w:r>
      <w:r w:rsidR="004E0A37" w:rsidRPr="004E0A37">
        <w:rPr>
          <w:rFonts w:hint="cs"/>
          <w:spacing w:val="0"/>
          <w:sz w:val="20"/>
          <w:rtl/>
        </w:rPr>
        <w:t>24</w:t>
      </w:r>
      <w:r>
        <w:rPr>
          <w:rFonts w:hint="cs"/>
          <w:spacing w:val="0"/>
          <w:sz w:val="20"/>
          <w:rtl/>
        </w:rPr>
        <w:t>)</w:t>
      </w:r>
      <w:r w:rsidR="004E0A37" w:rsidRPr="004E0A37">
        <w:rPr>
          <w:rFonts w:hint="cs"/>
          <w:spacing w:val="0"/>
          <w:sz w:val="20"/>
          <w:rtl/>
        </w:rPr>
        <w:tab/>
      </w:r>
      <w:r w:rsidR="004E0A37" w:rsidRPr="004E0A37">
        <w:rPr>
          <w:spacing w:val="0"/>
          <w:sz w:val="20"/>
          <w:rtl/>
        </w:rPr>
        <w:t xml:space="preserve">تأسف اللجنة لعدم وجود معلومات عن (أ) تدابير </w:t>
      </w:r>
      <w:r w:rsidR="004E0A37" w:rsidRPr="004E0A37">
        <w:rPr>
          <w:rFonts w:hint="cs"/>
          <w:spacing w:val="0"/>
          <w:sz w:val="20"/>
          <w:rtl/>
        </w:rPr>
        <w:t>الجبر</w:t>
      </w:r>
      <w:r w:rsidR="004E0A37" w:rsidRPr="004E0A37">
        <w:rPr>
          <w:spacing w:val="0"/>
          <w:sz w:val="20"/>
          <w:rtl/>
        </w:rPr>
        <w:t xml:space="preserve"> والتعويض، بما في ذلك وسائل إعادة التأهيل</w:t>
      </w:r>
      <w:r w:rsidR="004E0A37" w:rsidRPr="004E0A37">
        <w:rPr>
          <w:rFonts w:hint="cs"/>
          <w:spacing w:val="0"/>
          <w:sz w:val="20"/>
          <w:rtl/>
        </w:rPr>
        <w:t>،</w:t>
      </w:r>
      <w:r w:rsidR="004E0A37" w:rsidRPr="004E0A37">
        <w:rPr>
          <w:spacing w:val="0"/>
          <w:sz w:val="20"/>
          <w:rtl/>
        </w:rPr>
        <w:t xml:space="preserve"> التي أمر</w:t>
      </w:r>
      <w:r w:rsidR="004E0A37" w:rsidRPr="004E0A37">
        <w:rPr>
          <w:rFonts w:hint="cs"/>
          <w:spacing w:val="0"/>
          <w:sz w:val="20"/>
          <w:rtl/>
        </w:rPr>
        <w:t>ت</w:t>
      </w:r>
      <w:r w:rsidR="004E0A37" w:rsidRPr="004E0A37">
        <w:rPr>
          <w:spacing w:val="0"/>
          <w:sz w:val="20"/>
          <w:rtl/>
        </w:rPr>
        <w:t xml:space="preserve"> بها المحاكم وقدمت </w:t>
      </w:r>
      <w:r w:rsidR="004E0A37" w:rsidRPr="004E0A37">
        <w:rPr>
          <w:rFonts w:hint="cs"/>
          <w:spacing w:val="0"/>
          <w:sz w:val="20"/>
          <w:rtl/>
        </w:rPr>
        <w:t>بال</w:t>
      </w:r>
      <w:r w:rsidR="004E0A37" w:rsidRPr="004E0A37">
        <w:rPr>
          <w:spacing w:val="0"/>
          <w:sz w:val="20"/>
          <w:rtl/>
        </w:rPr>
        <w:t xml:space="preserve">فعل لضحايا التعذيب أو </w:t>
      </w:r>
      <w:r w:rsidR="004E0A37" w:rsidRPr="004E0A37">
        <w:rPr>
          <w:rFonts w:hint="cs"/>
          <w:spacing w:val="0"/>
          <w:sz w:val="20"/>
          <w:rtl/>
        </w:rPr>
        <w:t>معاليهم</w:t>
      </w:r>
      <w:r w:rsidR="004E0A37" w:rsidRPr="004E0A37">
        <w:rPr>
          <w:spacing w:val="0"/>
          <w:sz w:val="20"/>
          <w:rtl/>
        </w:rPr>
        <w:t xml:space="preserve"> و(ب) خدمات العلاج </w:t>
      </w:r>
      <w:r w:rsidR="004E0A37" w:rsidRPr="004E0A37">
        <w:rPr>
          <w:rFonts w:hint="cs"/>
          <w:spacing w:val="0"/>
          <w:sz w:val="20"/>
          <w:rtl/>
        </w:rPr>
        <w:t>و</w:t>
      </w:r>
      <w:r w:rsidR="004E0A37" w:rsidRPr="004E0A37">
        <w:rPr>
          <w:spacing w:val="0"/>
          <w:sz w:val="20"/>
          <w:rtl/>
        </w:rPr>
        <w:t xml:space="preserve">إعادة التأهيل الاجتماعي وأشكال أخرى من المساعدة، بما في ذلك إعادة التأهيل الطبي والنفسي </w:t>
      </w:r>
      <w:r w:rsidR="004E0A37" w:rsidRPr="004E0A37">
        <w:rPr>
          <w:rFonts w:hint="cs"/>
          <w:spacing w:val="0"/>
          <w:sz w:val="20"/>
          <w:rtl/>
        </w:rPr>
        <w:t>المتاح</w:t>
      </w:r>
      <w:r w:rsidR="004E0A37" w:rsidRPr="004E0A37">
        <w:rPr>
          <w:spacing w:val="0"/>
          <w:sz w:val="20"/>
          <w:rtl/>
        </w:rPr>
        <w:t xml:space="preserve"> للضحايا. </w:t>
      </w:r>
      <w:r w:rsidR="004E0A37" w:rsidRPr="004E0A37">
        <w:rPr>
          <w:rFonts w:hint="cs"/>
          <w:spacing w:val="0"/>
          <w:sz w:val="20"/>
          <w:rtl/>
        </w:rPr>
        <w:t>و</w:t>
      </w:r>
      <w:r w:rsidR="004E0A37" w:rsidRPr="004E0A37">
        <w:rPr>
          <w:spacing w:val="0"/>
          <w:sz w:val="20"/>
          <w:rtl/>
        </w:rPr>
        <w:t xml:space="preserve">تأسف اللجنة </w:t>
      </w:r>
      <w:r w:rsidR="004E0A37" w:rsidRPr="004E0A37">
        <w:rPr>
          <w:rFonts w:hint="cs"/>
          <w:spacing w:val="0"/>
          <w:sz w:val="20"/>
          <w:rtl/>
        </w:rPr>
        <w:t xml:space="preserve">لما ورد من </w:t>
      </w:r>
      <w:r w:rsidR="004E0A37" w:rsidRPr="004E0A37">
        <w:rPr>
          <w:spacing w:val="0"/>
          <w:sz w:val="20"/>
          <w:rtl/>
        </w:rPr>
        <w:t xml:space="preserve">تقارير تفيد بأن محكمة مدينة مينسك ترفض مطالبات التعويض عن الأضرار المعنوية </w:t>
      </w:r>
      <w:r w:rsidR="004E0A37" w:rsidRPr="004E0A37">
        <w:rPr>
          <w:rFonts w:hint="cs"/>
          <w:spacing w:val="0"/>
          <w:sz w:val="20"/>
          <w:rtl/>
        </w:rPr>
        <w:t>المتكبدة</w:t>
      </w:r>
      <w:r w:rsidR="004E0A37" w:rsidRPr="004E0A37">
        <w:rPr>
          <w:spacing w:val="0"/>
          <w:sz w:val="20"/>
          <w:rtl/>
        </w:rPr>
        <w:t xml:space="preserve"> أثناء الاحتجاز (المادة 14).</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lang w:val="en-GB"/>
        </w:rPr>
        <w:tab/>
      </w:r>
      <w:r w:rsidRPr="003E72B5">
        <w:rPr>
          <w:rFonts w:hint="eastAsia"/>
          <w:b/>
          <w:bCs/>
          <w:spacing w:val="0"/>
          <w:sz w:val="20"/>
          <w:rtl/>
          <w:lang w:val="en-GB"/>
        </w:rPr>
        <w:t>ينبغي</w:t>
      </w:r>
      <w:r w:rsidRPr="003E72B5">
        <w:rPr>
          <w:b/>
          <w:bCs/>
          <w:spacing w:val="0"/>
          <w:sz w:val="20"/>
          <w:rtl/>
          <w:lang w:val="en-GB"/>
        </w:rPr>
        <w:t xml:space="preserve"> للدولة الطرف أن توفر للضحايا الجبر والتعويض</w:t>
      </w:r>
      <w:r w:rsidRPr="003E72B5">
        <w:rPr>
          <w:rFonts w:hint="cs"/>
          <w:b/>
          <w:bCs/>
          <w:spacing w:val="0"/>
          <w:sz w:val="20"/>
          <w:rtl/>
          <w:lang w:val="en-GB"/>
        </w:rPr>
        <w:t>،</w:t>
      </w:r>
      <w:r w:rsidRPr="003E72B5">
        <w:rPr>
          <w:b/>
          <w:bCs/>
          <w:spacing w:val="0"/>
          <w:sz w:val="20"/>
          <w:rtl/>
          <w:lang w:val="en-GB"/>
        </w:rPr>
        <w:t xml:space="preserve"> بما في ذلك </w:t>
      </w:r>
      <w:r w:rsidRPr="003E72B5">
        <w:rPr>
          <w:rFonts w:hint="cs"/>
          <w:b/>
          <w:bCs/>
          <w:spacing w:val="0"/>
          <w:sz w:val="20"/>
          <w:rtl/>
          <w:lang w:val="en-GB"/>
        </w:rPr>
        <w:t>إعادة التأهيل</w:t>
      </w:r>
      <w:r w:rsidRPr="003E72B5">
        <w:rPr>
          <w:b/>
          <w:bCs/>
          <w:spacing w:val="0"/>
          <w:sz w:val="20"/>
          <w:rtl/>
          <w:lang w:val="en-GB"/>
        </w:rPr>
        <w:t xml:space="preserve"> </w:t>
      </w:r>
      <w:r w:rsidRPr="003E72B5">
        <w:rPr>
          <w:rFonts w:hint="cs"/>
          <w:b/>
          <w:bCs/>
          <w:spacing w:val="0"/>
          <w:sz w:val="20"/>
          <w:rtl/>
          <w:lang w:val="en-GB"/>
        </w:rPr>
        <w:t>عملياً و</w:t>
      </w:r>
      <w:r w:rsidRPr="003E72B5">
        <w:rPr>
          <w:b/>
          <w:bCs/>
          <w:spacing w:val="0"/>
          <w:sz w:val="20"/>
          <w:rtl/>
          <w:lang w:val="en-GB"/>
        </w:rPr>
        <w:t>أن تقدم إلى اللجنة معلومات عن تلك الحالات</w:t>
      </w:r>
      <w:r w:rsidRPr="003E72B5">
        <w:rPr>
          <w:rFonts w:hint="cs"/>
          <w:b/>
          <w:bCs/>
          <w:spacing w:val="0"/>
          <w:sz w:val="20"/>
          <w:rtl/>
        </w:rPr>
        <w:t>. و</w:t>
      </w:r>
      <w:r w:rsidRPr="003E72B5">
        <w:rPr>
          <w:b/>
          <w:bCs/>
          <w:spacing w:val="0"/>
          <w:sz w:val="20"/>
          <w:rtl/>
        </w:rPr>
        <w:t xml:space="preserve">علاوة على ذلك، ينبغي للدولة الطرف تقديم معلومات عن تدابير الجبر والتعويض التي تأمر بها المحاكم والمقدمة لضحايا التعذيب أو أسرهم. وينبغي أن تتضمن هذه المعلومات عدد الطلبات المقدمة وعدد الأشخاص الذين مُنحوا التعويض والمبالغ التي حكمت المحكمة بدفعها والمقدمة بالفعل في كل حالة. </w:t>
      </w:r>
      <w:r w:rsidRPr="003E72B5">
        <w:rPr>
          <w:rFonts w:hint="cs"/>
          <w:b/>
          <w:bCs/>
          <w:spacing w:val="0"/>
          <w:sz w:val="20"/>
          <w:rtl/>
        </w:rPr>
        <w:t>و</w:t>
      </w:r>
      <w:r w:rsidRPr="003E72B5">
        <w:rPr>
          <w:b/>
          <w:bCs/>
          <w:spacing w:val="0"/>
          <w:sz w:val="20"/>
          <w:rtl/>
        </w:rPr>
        <w:t>بالإضافة إلى ذلك، ينبغي للدولة الطرف تزويد اللجنة بالبيانات ال</w:t>
      </w:r>
      <w:r w:rsidRPr="003E72B5">
        <w:rPr>
          <w:rFonts w:hint="cs"/>
          <w:b/>
          <w:bCs/>
          <w:spacing w:val="0"/>
          <w:sz w:val="20"/>
          <w:rtl/>
        </w:rPr>
        <w:t>إ</w:t>
      </w:r>
      <w:r w:rsidRPr="003E72B5">
        <w:rPr>
          <w:b/>
          <w:bCs/>
          <w:spacing w:val="0"/>
          <w:sz w:val="20"/>
          <w:rtl/>
        </w:rPr>
        <w:t xml:space="preserve">حصائية ذات الصلة، وأمثلة </w:t>
      </w:r>
      <w:r w:rsidRPr="003E72B5">
        <w:rPr>
          <w:rFonts w:hint="cs"/>
          <w:b/>
          <w:bCs/>
          <w:spacing w:val="0"/>
          <w:sz w:val="20"/>
          <w:rtl/>
        </w:rPr>
        <w:t>عن</w:t>
      </w:r>
      <w:r w:rsidRPr="003E72B5">
        <w:rPr>
          <w:b/>
          <w:bCs/>
          <w:spacing w:val="0"/>
          <w:sz w:val="20"/>
          <w:rtl/>
        </w:rPr>
        <w:t xml:space="preserve"> الحالات التي </w:t>
      </w:r>
      <w:r w:rsidRPr="003E72B5">
        <w:rPr>
          <w:rFonts w:hint="cs"/>
          <w:b/>
          <w:bCs/>
          <w:spacing w:val="0"/>
          <w:sz w:val="20"/>
          <w:rtl/>
        </w:rPr>
        <w:t>حصل</w:t>
      </w:r>
      <w:r w:rsidRPr="003E72B5">
        <w:rPr>
          <w:b/>
          <w:bCs/>
          <w:spacing w:val="0"/>
          <w:sz w:val="20"/>
          <w:rtl/>
        </w:rPr>
        <w:t xml:space="preserve"> فيها الأفراد على تعويضات من هذا القبيل</w:t>
      </w:r>
      <w:r w:rsidRPr="003E72B5">
        <w:rPr>
          <w:rFonts w:hint="cs"/>
          <w:b/>
          <w:bCs/>
          <w:spacing w:val="0"/>
          <w:sz w:val="20"/>
          <w:rtl/>
        </w:rPr>
        <w:t>،</w:t>
      </w:r>
      <w:r w:rsidRPr="003E72B5">
        <w:rPr>
          <w:b/>
          <w:bCs/>
          <w:spacing w:val="0"/>
          <w:sz w:val="20"/>
          <w:rtl/>
        </w:rPr>
        <w:t xml:space="preserve"> في تقريرها الدوري المقبل.</w:t>
      </w:r>
    </w:p>
    <w:p w:rsidR="004E0A37" w:rsidRPr="004E0A37" w:rsidRDefault="004E0A37" w:rsidP="00335AC0">
      <w:pPr>
        <w:pStyle w:val="H23GA"/>
        <w:rPr>
          <w:rtl/>
          <w:lang w:bidi="ar-MA"/>
        </w:rPr>
      </w:pPr>
      <w:r w:rsidRPr="004E0A37">
        <w:rPr>
          <w:rFonts w:hint="cs"/>
          <w:rtl/>
          <w:lang w:bidi="ar-MA"/>
        </w:rPr>
        <w:tab/>
      </w:r>
      <w:r w:rsidRPr="004E0A37">
        <w:rPr>
          <w:rFonts w:hint="cs"/>
          <w:rtl/>
          <w:lang w:bidi="ar-MA"/>
        </w:rPr>
        <w:tab/>
      </w:r>
      <w:r w:rsidRPr="004E0A37">
        <w:rPr>
          <w:rtl/>
          <w:lang w:bidi="ar-MA"/>
        </w:rPr>
        <w:t>المدافعون عن حقوق الإنسان</w:t>
      </w:r>
    </w:p>
    <w:p w:rsidR="004E0A37" w:rsidRPr="004E0A37" w:rsidRDefault="003E72B5" w:rsidP="00E0497A">
      <w:pPr>
        <w:pStyle w:val="SingleTxtGA"/>
        <w:spacing w:line="360" w:lineRule="exact"/>
        <w:jc w:val="lowKashida"/>
        <w:rPr>
          <w:spacing w:val="0"/>
          <w:sz w:val="20"/>
          <w:rtl/>
        </w:rPr>
      </w:pPr>
      <w:r>
        <w:rPr>
          <w:rFonts w:hint="cs"/>
          <w:spacing w:val="0"/>
          <w:sz w:val="20"/>
          <w:rtl/>
        </w:rPr>
        <w:t>(</w:t>
      </w:r>
      <w:r w:rsidR="004E0A37" w:rsidRPr="004E0A37">
        <w:rPr>
          <w:rFonts w:hint="cs"/>
          <w:spacing w:val="0"/>
          <w:sz w:val="20"/>
          <w:rtl/>
        </w:rPr>
        <w:t>25</w:t>
      </w:r>
      <w:r>
        <w:rPr>
          <w:rFonts w:hint="cs"/>
          <w:spacing w:val="0"/>
          <w:sz w:val="20"/>
          <w:rtl/>
        </w:rPr>
        <w:t>)</w:t>
      </w:r>
      <w:r w:rsidR="004E0A37" w:rsidRPr="004E0A37">
        <w:rPr>
          <w:rFonts w:hint="cs"/>
          <w:spacing w:val="0"/>
          <w:sz w:val="20"/>
          <w:rtl/>
        </w:rPr>
        <w:tab/>
        <w:t xml:space="preserve">تشعر </w:t>
      </w:r>
      <w:r w:rsidR="004E0A37" w:rsidRPr="004E0A37">
        <w:rPr>
          <w:spacing w:val="0"/>
          <w:sz w:val="20"/>
          <w:rtl/>
        </w:rPr>
        <w:t xml:space="preserve">اللجنة </w:t>
      </w:r>
      <w:r w:rsidR="004E0A37" w:rsidRPr="004E0A37">
        <w:rPr>
          <w:rFonts w:hint="cs"/>
          <w:spacing w:val="0"/>
          <w:sz w:val="20"/>
          <w:rtl/>
        </w:rPr>
        <w:t>بقلق بالغ إزاء</w:t>
      </w:r>
      <w:r w:rsidR="004E0A37" w:rsidRPr="004E0A37">
        <w:rPr>
          <w:spacing w:val="0"/>
          <w:sz w:val="20"/>
          <w:rtl/>
        </w:rPr>
        <w:t xml:space="preserve"> مزاعم </w:t>
      </w:r>
      <w:r w:rsidR="004E0A37" w:rsidRPr="004E0A37">
        <w:rPr>
          <w:rFonts w:hint="cs"/>
          <w:spacing w:val="0"/>
          <w:sz w:val="20"/>
          <w:rtl/>
        </w:rPr>
        <w:t>عديدة ومتسقة بشأن ارتكاب</w:t>
      </w:r>
      <w:r w:rsidR="004E0A37" w:rsidRPr="004E0A37">
        <w:rPr>
          <w:spacing w:val="0"/>
          <w:sz w:val="20"/>
          <w:rtl/>
        </w:rPr>
        <w:t xml:space="preserve"> </w:t>
      </w:r>
      <w:r w:rsidR="004E0A37" w:rsidRPr="004E0A37">
        <w:rPr>
          <w:rFonts w:hint="cs"/>
          <w:spacing w:val="0"/>
          <w:sz w:val="20"/>
          <w:rtl/>
        </w:rPr>
        <w:t>أعمال انتقامية</w:t>
      </w:r>
      <w:r w:rsidR="004E0A37" w:rsidRPr="004E0A37">
        <w:rPr>
          <w:spacing w:val="0"/>
          <w:sz w:val="20"/>
          <w:rtl/>
        </w:rPr>
        <w:t xml:space="preserve"> </w:t>
      </w:r>
      <w:r w:rsidR="004E0A37" w:rsidRPr="004E0A37">
        <w:rPr>
          <w:rFonts w:hint="cs"/>
          <w:spacing w:val="0"/>
          <w:sz w:val="20"/>
          <w:rtl/>
        </w:rPr>
        <w:t xml:space="preserve">وأعمال </w:t>
      </w:r>
      <w:r w:rsidR="004E0A37" w:rsidRPr="004E0A37">
        <w:rPr>
          <w:spacing w:val="0"/>
          <w:sz w:val="20"/>
          <w:rtl/>
        </w:rPr>
        <w:t xml:space="preserve">ترهيب خطيرة وتهديدات ضد المدافعين عن حقوق الإنسان والصحفيين، وعدم تقديم معلومات حول أية تحقيقات في مزاعم من هذا القبيل. </w:t>
      </w:r>
      <w:r w:rsidR="004E0A37" w:rsidRPr="004E0A37">
        <w:rPr>
          <w:rFonts w:hint="cs"/>
          <w:spacing w:val="0"/>
          <w:sz w:val="20"/>
          <w:rtl/>
        </w:rPr>
        <w:t>وتحيط</w:t>
      </w:r>
      <w:r w:rsidR="004E0A37" w:rsidRPr="004E0A37">
        <w:rPr>
          <w:spacing w:val="0"/>
          <w:sz w:val="20"/>
          <w:rtl/>
        </w:rPr>
        <w:t xml:space="preserve"> اللجنة</w:t>
      </w:r>
      <w:r w:rsidR="003833F8">
        <w:rPr>
          <w:spacing w:val="0"/>
          <w:sz w:val="20"/>
          <w:rtl/>
        </w:rPr>
        <w:t xml:space="preserve"> علماً </w:t>
      </w:r>
      <w:r w:rsidR="004E0A37" w:rsidRPr="004E0A37">
        <w:rPr>
          <w:spacing w:val="0"/>
          <w:sz w:val="20"/>
          <w:rtl/>
        </w:rPr>
        <w:t xml:space="preserve">مع القلق </w:t>
      </w:r>
      <w:r w:rsidR="004E0A37" w:rsidRPr="004E0A37">
        <w:rPr>
          <w:rFonts w:hint="cs"/>
          <w:spacing w:val="0"/>
          <w:sz w:val="20"/>
          <w:rtl/>
        </w:rPr>
        <w:t>ب</w:t>
      </w:r>
      <w:r w:rsidR="004E0A37" w:rsidRPr="004E0A37">
        <w:rPr>
          <w:spacing w:val="0"/>
          <w:sz w:val="20"/>
          <w:rtl/>
        </w:rPr>
        <w:t>التقارير</w:t>
      </w:r>
      <w:r w:rsidR="004E0A37" w:rsidRPr="004E0A37">
        <w:rPr>
          <w:rFonts w:hint="cs"/>
          <w:spacing w:val="0"/>
          <w:sz w:val="20"/>
          <w:rtl/>
        </w:rPr>
        <w:t xml:space="preserve"> العديدة الواردة التي تشير إلى </w:t>
      </w:r>
      <w:r w:rsidR="004E0A37" w:rsidRPr="004E0A37">
        <w:rPr>
          <w:spacing w:val="0"/>
          <w:sz w:val="20"/>
          <w:rtl/>
        </w:rPr>
        <w:t xml:space="preserve">رفض تسجيل </w:t>
      </w:r>
      <w:r w:rsidR="004E0A37" w:rsidRPr="004E0A37">
        <w:rPr>
          <w:rFonts w:hint="cs"/>
          <w:spacing w:val="0"/>
          <w:sz w:val="20"/>
          <w:rtl/>
        </w:rPr>
        <w:t xml:space="preserve">منظمات غير حكومية </w:t>
      </w:r>
      <w:r w:rsidR="004E0A37" w:rsidRPr="004E0A37">
        <w:rPr>
          <w:spacing w:val="0"/>
          <w:sz w:val="20"/>
          <w:rtl/>
        </w:rPr>
        <w:t>مستقلة والتهديدات وأعمال الملاحقة الجنائية والاعتقالات و</w:t>
      </w:r>
      <w:r w:rsidR="004E0A37" w:rsidRPr="004E0A37">
        <w:rPr>
          <w:rFonts w:hint="cs"/>
          <w:spacing w:val="0"/>
          <w:sz w:val="20"/>
          <w:rtl/>
        </w:rPr>
        <w:t>اقتحام ال</w:t>
      </w:r>
      <w:r w:rsidR="004E0A37" w:rsidRPr="004E0A37">
        <w:rPr>
          <w:spacing w:val="0"/>
          <w:sz w:val="20"/>
          <w:rtl/>
        </w:rPr>
        <w:t>مكاتب وأعمال الترهيب، كما</w:t>
      </w:r>
      <w:r w:rsidR="00E0497A">
        <w:rPr>
          <w:rFonts w:hint="cs"/>
          <w:spacing w:val="0"/>
          <w:sz w:val="20"/>
          <w:rtl/>
        </w:rPr>
        <w:t> </w:t>
      </w:r>
      <w:r w:rsidR="004E0A37" w:rsidRPr="004E0A37">
        <w:rPr>
          <w:spacing w:val="0"/>
          <w:sz w:val="20"/>
          <w:rtl/>
        </w:rPr>
        <w:t>هو مبين في التقرير الشفوي الذي قدمه مفوض الأمم المتحدة السامي لحقوق الإنسان</w:t>
      </w:r>
      <w:r w:rsidR="004E0A37" w:rsidRPr="004E0A37">
        <w:rPr>
          <w:rFonts w:hint="cs"/>
          <w:spacing w:val="0"/>
          <w:sz w:val="20"/>
          <w:rtl/>
        </w:rPr>
        <w:t xml:space="preserve"> </w:t>
      </w:r>
      <w:r w:rsidR="004E0A37" w:rsidRPr="004E0A37">
        <w:rPr>
          <w:spacing w:val="0"/>
          <w:sz w:val="20"/>
          <w:rtl/>
        </w:rPr>
        <w:t xml:space="preserve">إلى مجلس حقوق الإنسان في </w:t>
      </w:r>
      <w:r w:rsidR="004E0A37" w:rsidRPr="004E0A37">
        <w:rPr>
          <w:rFonts w:hint="cs"/>
          <w:spacing w:val="0"/>
          <w:sz w:val="20"/>
          <w:rtl/>
        </w:rPr>
        <w:t>أيلول/</w:t>
      </w:r>
      <w:r w:rsidR="004E0A37" w:rsidRPr="004E0A37">
        <w:rPr>
          <w:spacing w:val="0"/>
          <w:sz w:val="20"/>
          <w:rtl/>
        </w:rPr>
        <w:t xml:space="preserve">سبتمبر 2011 والنداءات العاجلة التي </w:t>
      </w:r>
      <w:r w:rsidR="004E0A37" w:rsidRPr="004E0A37">
        <w:rPr>
          <w:rFonts w:hint="cs"/>
          <w:spacing w:val="0"/>
          <w:sz w:val="20"/>
          <w:rtl/>
        </w:rPr>
        <w:t>وجهها</w:t>
      </w:r>
      <w:r w:rsidR="004E0A37" w:rsidRPr="004E0A37">
        <w:rPr>
          <w:spacing w:val="0"/>
          <w:sz w:val="20"/>
          <w:rtl/>
        </w:rPr>
        <w:t xml:space="preserve"> المقرر الخاص المعني بحالة المدافعين عن حقوق الإنسان والمقرر الخاص المعني بتعزيز وحماية الحق في</w:t>
      </w:r>
      <w:r w:rsidR="00E0497A">
        <w:rPr>
          <w:rFonts w:hint="cs"/>
          <w:spacing w:val="0"/>
          <w:sz w:val="20"/>
          <w:rtl/>
        </w:rPr>
        <w:t> </w:t>
      </w:r>
      <w:r w:rsidR="004E0A37" w:rsidRPr="004E0A37">
        <w:rPr>
          <w:spacing w:val="0"/>
          <w:sz w:val="20"/>
          <w:rtl/>
        </w:rPr>
        <w:t xml:space="preserve">حرية الرأي والتعبير. </w:t>
      </w:r>
      <w:r w:rsidR="004E0A37" w:rsidRPr="004E0A37">
        <w:rPr>
          <w:rFonts w:hint="cs"/>
          <w:spacing w:val="0"/>
          <w:sz w:val="20"/>
          <w:rtl/>
        </w:rPr>
        <w:t xml:space="preserve">وتأسف </w:t>
      </w:r>
      <w:r w:rsidR="004E0A37" w:rsidRPr="004E0A37">
        <w:rPr>
          <w:spacing w:val="0"/>
          <w:sz w:val="20"/>
          <w:rtl/>
        </w:rPr>
        <w:t xml:space="preserve">اللجنة لأن المحكمة العليا </w:t>
      </w:r>
      <w:r w:rsidR="004E0A37" w:rsidRPr="004E0A37">
        <w:rPr>
          <w:rFonts w:hint="cs"/>
          <w:spacing w:val="0"/>
          <w:sz w:val="20"/>
          <w:rtl/>
        </w:rPr>
        <w:t xml:space="preserve">أقرت </w:t>
      </w:r>
      <w:r w:rsidR="004E0A37" w:rsidRPr="004E0A37">
        <w:rPr>
          <w:spacing w:val="0"/>
          <w:sz w:val="20"/>
          <w:rtl/>
        </w:rPr>
        <w:t xml:space="preserve">القرار السابق </w:t>
      </w:r>
      <w:r w:rsidR="004E0A37" w:rsidRPr="004E0A37">
        <w:rPr>
          <w:rFonts w:hint="cs"/>
          <w:spacing w:val="0"/>
          <w:sz w:val="20"/>
          <w:rtl/>
        </w:rPr>
        <w:t xml:space="preserve">الصادر عن </w:t>
      </w:r>
      <w:r w:rsidR="004E0A37" w:rsidRPr="004E0A37">
        <w:rPr>
          <w:spacing w:val="0"/>
          <w:sz w:val="20"/>
          <w:rtl/>
        </w:rPr>
        <w:t xml:space="preserve">وزارة العدل </w:t>
      </w:r>
      <w:r w:rsidR="004E0A37" w:rsidRPr="004E0A37">
        <w:rPr>
          <w:rFonts w:hint="cs"/>
          <w:spacing w:val="0"/>
          <w:sz w:val="20"/>
          <w:rtl/>
        </w:rPr>
        <w:t>والقاضي ب</w:t>
      </w:r>
      <w:r w:rsidR="004E0A37" w:rsidRPr="004E0A37">
        <w:rPr>
          <w:spacing w:val="0"/>
          <w:sz w:val="20"/>
          <w:rtl/>
        </w:rPr>
        <w:t xml:space="preserve">عدم تسجيل مركز فياسنا </w:t>
      </w:r>
      <w:r w:rsidR="004E0A37" w:rsidRPr="004E0A37">
        <w:rPr>
          <w:rFonts w:hint="cs"/>
          <w:spacing w:val="0"/>
          <w:sz w:val="20"/>
          <w:rtl/>
        </w:rPr>
        <w:t>ل</w:t>
      </w:r>
      <w:r w:rsidR="004E0A37" w:rsidRPr="004E0A37">
        <w:rPr>
          <w:spacing w:val="0"/>
          <w:sz w:val="20"/>
          <w:rtl/>
        </w:rPr>
        <w:t xml:space="preserve">حقوق الإنسان رغم </w:t>
      </w:r>
      <w:r w:rsidR="004E0A37" w:rsidRPr="004E0A37">
        <w:rPr>
          <w:rFonts w:hint="cs"/>
          <w:spacing w:val="0"/>
          <w:sz w:val="20"/>
          <w:rtl/>
        </w:rPr>
        <w:t>آراء</w:t>
      </w:r>
      <w:r w:rsidR="004E0A37" w:rsidRPr="004E0A37">
        <w:rPr>
          <w:spacing w:val="0"/>
          <w:sz w:val="20"/>
          <w:rtl/>
        </w:rPr>
        <w:t xml:space="preserve"> لجنة حقوق الإنسان (البلاغ رقم </w:t>
      </w:r>
      <w:r w:rsidR="004E0A37" w:rsidRPr="004E0A37">
        <w:rPr>
          <w:rFonts w:hint="cs"/>
          <w:spacing w:val="0"/>
          <w:sz w:val="20"/>
          <w:rtl/>
        </w:rPr>
        <w:t xml:space="preserve">1296/2004) والنداءات التي وجهها عدة </w:t>
      </w:r>
      <w:r w:rsidR="004E0A37" w:rsidRPr="004E0A37">
        <w:rPr>
          <w:spacing w:val="0"/>
          <w:sz w:val="20"/>
          <w:rtl/>
        </w:rPr>
        <w:t>مقررين خاصين (</w:t>
      </w:r>
      <w:r w:rsidR="004E0A37" w:rsidRPr="004E0A37">
        <w:rPr>
          <w:spacing w:val="0"/>
          <w:sz w:val="20"/>
        </w:rPr>
        <w:t>A/HRC/17/27/Add.1</w:t>
      </w:r>
      <w:r w:rsidR="004E0A37" w:rsidRPr="004E0A37">
        <w:rPr>
          <w:spacing w:val="0"/>
          <w:sz w:val="20"/>
          <w:rtl/>
        </w:rPr>
        <w:t>، الفقرة 331)، (</w:t>
      </w:r>
      <w:r w:rsidR="004E0A37" w:rsidRPr="004E0A37">
        <w:rPr>
          <w:rFonts w:hint="cs"/>
          <w:spacing w:val="0"/>
          <w:sz w:val="20"/>
          <w:rtl/>
        </w:rPr>
        <w:t>المواد</w:t>
      </w:r>
      <w:r w:rsidR="004E0A37" w:rsidRPr="004E0A37">
        <w:rPr>
          <w:spacing w:val="0"/>
          <w:sz w:val="20"/>
          <w:rtl/>
        </w:rPr>
        <w:t xml:space="preserve"> 2 و12 و16).</w:t>
      </w:r>
    </w:p>
    <w:p w:rsidR="004E0A37" w:rsidRPr="003E72B5" w:rsidRDefault="004E0A37" w:rsidP="004C587E">
      <w:pPr>
        <w:pStyle w:val="SingleTxtGA"/>
        <w:spacing w:line="360" w:lineRule="exact"/>
        <w:jc w:val="lowKashida"/>
        <w:rPr>
          <w:b/>
          <w:bCs/>
          <w:spacing w:val="0"/>
          <w:sz w:val="20"/>
          <w:rtl/>
        </w:rPr>
      </w:pPr>
      <w:r w:rsidRPr="003E72B5">
        <w:rPr>
          <w:rFonts w:hint="cs"/>
          <w:b/>
          <w:bCs/>
          <w:spacing w:val="0"/>
          <w:sz w:val="20"/>
          <w:rtl/>
        </w:rPr>
        <w:tab/>
      </w:r>
      <w:r w:rsidRPr="003E72B5">
        <w:rPr>
          <w:b/>
          <w:bCs/>
          <w:spacing w:val="0"/>
          <w:sz w:val="20"/>
          <w:rtl/>
        </w:rPr>
        <w:t xml:space="preserve">ينبغي للدولة الطرف أن تتخذ جميع الخطوات اللازمة لضمان حماية المدافعين عن حقوق الإنسان والصحفيين من </w:t>
      </w:r>
      <w:r w:rsidRPr="003E72B5">
        <w:rPr>
          <w:rFonts w:hint="cs"/>
          <w:b/>
          <w:bCs/>
          <w:spacing w:val="0"/>
          <w:sz w:val="20"/>
          <w:rtl/>
        </w:rPr>
        <w:t>الترهيب</w:t>
      </w:r>
      <w:r w:rsidRPr="003E72B5">
        <w:rPr>
          <w:b/>
          <w:bCs/>
          <w:spacing w:val="0"/>
          <w:sz w:val="20"/>
          <w:rtl/>
        </w:rPr>
        <w:t xml:space="preserve"> أو العنف نتيجة لأنشطته</w:t>
      </w:r>
      <w:r w:rsidRPr="003E72B5">
        <w:rPr>
          <w:rFonts w:hint="cs"/>
          <w:b/>
          <w:bCs/>
          <w:spacing w:val="0"/>
          <w:sz w:val="20"/>
          <w:rtl/>
        </w:rPr>
        <w:t>م</w:t>
      </w:r>
      <w:r w:rsidRPr="003E72B5">
        <w:rPr>
          <w:b/>
          <w:bCs/>
          <w:spacing w:val="0"/>
          <w:sz w:val="20"/>
          <w:rtl/>
        </w:rPr>
        <w:t xml:space="preserve"> و</w:t>
      </w:r>
      <w:r w:rsidRPr="003E72B5">
        <w:rPr>
          <w:rFonts w:hint="cs"/>
          <w:b/>
          <w:bCs/>
          <w:spacing w:val="0"/>
          <w:sz w:val="20"/>
          <w:rtl/>
        </w:rPr>
        <w:t xml:space="preserve">إجراء </w:t>
      </w:r>
      <w:r w:rsidRPr="003E72B5">
        <w:rPr>
          <w:b/>
          <w:bCs/>
          <w:spacing w:val="0"/>
          <w:sz w:val="20"/>
          <w:rtl/>
        </w:rPr>
        <w:t xml:space="preserve">تحقيق سريع ونزيه وشامل ومحاكمة ومعاقبة مرتكبي مثل هذه الأفعال. </w:t>
      </w:r>
      <w:r w:rsidRPr="003E72B5">
        <w:rPr>
          <w:rFonts w:hint="cs"/>
          <w:b/>
          <w:bCs/>
          <w:spacing w:val="0"/>
          <w:sz w:val="20"/>
          <w:rtl/>
        </w:rPr>
        <w:t>و</w:t>
      </w:r>
      <w:r w:rsidRPr="003E72B5">
        <w:rPr>
          <w:b/>
          <w:bCs/>
          <w:spacing w:val="0"/>
          <w:sz w:val="20"/>
          <w:rtl/>
        </w:rPr>
        <w:t>على وجه الخصوص، توصي اللجنة الدولة الطرف</w:t>
      </w:r>
      <w:r w:rsidRPr="003E72B5">
        <w:rPr>
          <w:rFonts w:hint="cs"/>
          <w:b/>
          <w:bCs/>
          <w:spacing w:val="0"/>
          <w:sz w:val="20"/>
          <w:rtl/>
        </w:rPr>
        <w:t xml:space="preserve"> بما يلي</w:t>
      </w:r>
      <w:r w:rsidRPr="003E72B5">
        <w:rPr>
          <w:b/>
          <w:bCs/>
          <w:spacing w:val="0"/>
          <w:sz w:val="20"/>
          <w:rtl/>
        </w:rPr>
        <w:t>:</w:t>
      </w:r>
    </w:p>
    <w:p w:rsidR="004E0A37" w:rsidRPr="003E72B5" w:rsidRDefault="004E0A37" w:rsidP="004C587E">
      <w:pPr>
        <w:pStyle w:val="SingleTxtGA"/>
        <w:spacing w:line="360" w:lineRule="exact"/>
        <w:jc w:val="lowKashida"/>
        <w:rPr>
          <w:b/>
          <w:bCs/>
          <w:spacing w:val="0"/>
          <w:sz w:val="20"/>
          <w:rtl/>
        </w:rPr>
      </w:pPr>
      <w:r w:rsidRPr="003E72B5">
        <w:rPr>
          <w:rFonts w:hint="cs"/>
          <w:b/>
          <w:bCs/>
          <w:spacing w:val="0"/>
          <w:sz w:val="20"/>
          <w:rtl/>
        </w:rPr>
        <w:tab/>
      </w:r>
      <w:r w:rsidRPr="003E72B5">
        <w:rPr>
          <w:b/>
          <w:bCs/>
          <w:spacing w:val="0"/>
          <w:sz w:val="20"/>
          <w:rtl/>
        </w:rPr>
        <w:t>(أ)</w:t>
      </w:r>
      <w:r w:rsidRPr="003E72B5">
        <w:rPr>
          <w:rFonts w:hint="cs"/>
          <w:b/>
          <w:bCs/>
          <w:spacing w:val="0"/>
          <w:sz w:val="20"/>
          <w:rtl/>
        </w:rPr>
        <w:tab/>
      </w:r>
      <w:r w:rsidRPr="003E72B5">
        <w:rPr>
          <w:b/>
          <w:bCs/>
          <w:spacing w:val="0"/>
          <w:sz w:val="20"/>
          <w:rtl/>
        </w:rPr>
        <w:t>الاعتراف بالدور الحاسم الذي تؤديه المنظمات غير الحكومية في مساعدة الدولة الطرف في الوفاء بالتزاماتها بموجب الاتفاقية، وتمكينه</w:t>
      </w:r>
      <w:r w:rsidRPr="003E72B5">
        <w:rPr>
          <w:rFonts w:hint="cs"/>
          <w:b/>
          <w:bCs/>
          <w:spacing w:val="0"/>
          <w:sz w:val="20"/>
          <w:rtl/>
        </w:rPr>
        <w:t>ا</w:t>
      </w:r>
      <w:r w:rsidRPr="003E72B5">
        <w:rPr>
          <w:b/>
          <w:bCs/>
          <w:spacing w:val="0"/>
          <w:sz w:val="20"/>
          <w:rtl/>
        </w:rPr>
        <w:t xml:space="preserve"> من التماس وتلقي التمويل الكافي للقيام بعمله</w:t>
      </w:r>
      <w:r w:rsidRPr="003E72B5">
        <w:rPr>
          <w:rFonts w:hint="cs"/>
          <w:b/>
          <w:bCs/>
          <w:spacing w:val="0"/>
          <w:sz w:val="20"/>
          <w:rtl/>
        </w:rPr>
        <w:t>ا</w:t>
      </w:r>
      <w:r w:rsidRPr="003E72B5">
        <w:rPr>
          <w:b/>
          <w:bCs/>
          <w:spacing w:val="0"/>
          <w:sz w:val="20"/>
          <w:rtl/>
        </w:rPr>
        <w:t xml:space="preserve"> السلمي في مجال حقوق الإنسان؛</w:t>
      </w:r>
    </w:p>
    <w:p w:rsidR="004E0A37" w:rsidRPr="003E72B5" w:rsidRDefault="004E0A37" w:rsidP="004C587E">
      <w:pPr>
        <w:pStyle w:val="SingleTxtGA"/>
        <w:spacing w:line="360" w:lineRule="exact"/>
        <w:jc w:val="lowKashida"/>
        <w:rPr>
          <w:rFonts w:hint="cs"/>
          <w:b/>
          <w:bCs/>
          <w:spacing w:val="0"/>
          <w:sz w:val="20"/>
          <w:rtl/>
        </w:rPr>
      </w:pPr>
      <w:r w:rsidRPr="003E72B5">
        <w:rPr>
          <w:rFonts w:hint="cs"/>
          <w:b/>
          <w:bCs/>
          <w:spacing w:val="0"/>
          <w:sz w:val="20"/>
          <w:rtl/>
        </w:rPr>
        <w:tab/>
      </w:r>
      <w:r w:rsidRPr="003E72B5">
        <w:rPr>
          <w:b/>
          <w:bCs/>
          <w:spacing w:val="0"/>
          <w:sz w:val="20"/>
          <w:rtl/>
        </w:rPr>
        <w:t>(ب)</w:t>
      </w:r>
      <w:r w:rsidRPr="003E72B5">
        <w:rPr>
          <w:rFonts w:hint="cs"/>
          <w:b/>
          <w:bCs/>
          <w:spacing w:val="0"/>
          <w:sz w:val="20"/>
          <w:rtl/>
        </w:rPr>
        <w:tab/>
      </w:r>
      <w:r w:rsidRPr="003E72B5">
        <w:rPr>
          <w:b/>
          <w:bCs/>
          <w:spacing w:val="0"/>
          <w:sz w:val="20"/>
          <w:rtl/>
        </w:rPr>
        <w:t xml:space="preserve">إبلاغ اللجنة بنتائج التحقيقات في التهديدات المزعومة والمضايقات من قبل السلطات ضد المدافعين عن حقوق الإنسان والصحفيين، بما في ذلك </w:t>
      </w:r>
      <w:r w:rsidRPr="003E72B5">
        <w:rPr>
          <w:rFonts w:hint="cs"/>
          <w:b/>
          <w:bCs/>
          <w:spacing w:val="0"/>
          <w:sz w:val="20"/>
          <w:rtl/>
        </w:rPr>
        <w:t>قضية</w:t>
      </w:r>
      <w:r w:rsidRPr="003E72B5">
        <w:rPr>
          <w:b/>
          <w:bCs/>
          <w:spacing w:val="0"/>
          <w:sz w:val="20"/>
          <w:rtl/>
        </w:rPr>
        <w:t xml:space="preserve"> اثنين من الصحفيين، </w:t>
      </w:r>
      <w:r w:rsidRPr="003E72B5">
        <w:rPr>
          <w:rFonts w:hint="cs"/>
          <w:b/>
          <w:bCs/>
          <w:spacing w:val="0"/>
          <w:sz w:val="20"/>
          <w:rtl/>
        </w:rPr>
        <w:t>إ</w:t>
      </w:r>
      <w:r w:rsidRPr="003E72B5">
        <w:rPr>
          <w:b/>
          <w:bCs/>
          <w:spacing w:val="0"/>
          <w:sz w:val="20"/>
          <w:rtl/>
        </w:rPr>
        <w:t>يرين</w:t>
      </w:r>
      <w:r w:rsidRPr="003E72B5">
        <w:rPr>
          <w:rFonts w:hint="cs"/>
          <w:b/>
          <w:bCs/>
          <w:spacing w:val="0"/>
          <w:sz w:val="20"/>
          <w:rtl/>
        </w:rPr>
        <w:t>ا كاليب وأندريه بوكزوبوت</w:t>
      </w:r>
      <w:r w:rsidRPr="003E72B5">
        <w:rPr>
          <w:b/>
          <w:bCs/>
          <w:spacing w:val="0"/>
          <w:sz w:val="20"/>
          <w:rtl/>
        </w:rPr>
        <w:t xml:space="preserve"> ورئيس لجنة هلسنكي البيلاروسية، أليه </w:t>
      </w:r>
      <w:r w:rsidRPr="003E72B5">
        <w:rPr>
          <w:rFonts w:hint="cs"/>
          <w:b/>
          <w:bCs/>
          <w:spacing w:val="0"/>
          <w:sz w:val="20"/>
          <w:rtl/>
        </w:rPr>
        <w:t>غولاك</w:t>
      </w:r>
      <w:r w:rsidRPr="003E72B5">
        <w:rPr>
          <w:b/>
          <w:bCs/>
          <w:spacing w:val="0"/>
          <w:sz w:val="20"/>
          <w:rtl/>
        </w:rPr>
        <w:t xml:space="preserve"> ورئيس </w:t>
      </w:r>
      <w:r w:rsidRPr="003E72B5">
        <w:rPr>
          <w:rFonts w:hint="cs"/>
          <w:b/>
          <w:bCs/>
          <w:spacing w:val="0"/>
          <w:sz w:val="20"/>
          <w:rtl/>
        </w:rPr>
        <w:t xml:space="preserve">مركز </w:t>
      </w:r>
      <w:r w:rsidRPr="003E72B5">
        <w:rPr>
          <w:b/>
          <w:bCs/>
          <w:spacing w:val="0"/>
          <w:sz w:val="20"/>
          <w:rtl/>
        </w:rPr>
        <w:t>فياسنا، ألي</w:t>
      </w:r>
      <w:r w:rsidRPr="003E72B5">
        <w:rPr>
          <w:rFonts w:hint="cs"/>
          <w:b/>
          <w:bCs/>
          <w:spacing w:val="0"/>
          <w:sz w:val="20"/>
          <w:rtl/>
        </w:rPr>
        <w:t>س بياليتسكي؛</w:t>
      </w:r>
    </w:p>
    <w:p w:rsidR="004E0A37" w:rsidRPr="003E72B5" w:rsidRDefault="004E0A37" w:rsidP="00B345DB">
      <w:pPr>
        <w:pStyle w:val="SingleTxtGA"/>
        <w:jc w:val="lowKashida"/>
        <w:rPr>
          <w:b/>
          <w:bCs/>
          <w:spacing w:val="0"/>
          <w:sz w:val="20"/>
          <w:rtl/>
        </w:rPr>
      </w:pPr>
      <w:r w:rsidRPr="003E72B5">
        <w:rPr>
          <w:rFonts w:hint="cs"/>
          <w:b/>
          <w:bCs/>
          <w:spacing w:val="0"/>
          <w:sz w:val="20"/>
          <w:rtl/>
        </w:rPr>
        <w:tab/>
      </w:r>
      <w:r w:rsidRPr="003E72B5">
        <w:rPr>
          <w:b/>
          <w:bCs/>
          <w:spacing w:val="0"/>
          <w:sz w:val="20"/>
          <w:rtl/>
        </w:rPr>
        <w:t>(ج)</w:t>
      </w:r>
      <w:r w:rsidRPr="003E72B5">
        <w:rPr>
          <w:rFonts w:hint="cs"/>
          <w:b/>
          <w:bCs/>
          <w:spacing w:val="0"/>
          <w:sz w:val="20"/>
          <w:rtl/>
        </w:rPr>
        <w:tab/>
        <w:t>تقديم معلومات محدثة عن</w:t>
      </w:r>
      <w:r w:rsidRPr="003E72B5">
        <w:rPr>
          <w:b/>
          <w:bCs/>
          <w:spacing w:val="0"/>
          <w:sz w:val="20"/>
          <w:rtl/>
        </w:rPr>
        <w:t xml:space="preserve"> حالة تنفيذ القرار </w:t>
      </w:r>
      <w:r w:rsidRPr="003E72B5">
        <w:rPr>
          <w:rFonts w:hint="cs"/>
          <w:b/>
          <w:bCs/>
          <w:spacing w:val="0"/>
          <w:sz w:val="20"/>
          <w:rtl/>
        </w:rPr>
        <w:t xml:space="preserve">المذكور الصادر عن </w:t>
      </w:r>
      <w:r w:rsidRPr="003E72B5">
        <w:rPr>
          <w:b/>
          <w:bCs/>
          <w:spacing w:val="0"/>
          <w:sz w:val="20"/>
          <w:rtl/>
        </w:rPr>
        <w:t xml:space="preserve">لجنة حقوق الإنسان </w:t>
      </w:r>
      <w:r w:rsidRPr="003E72B5">
        <w:rPr>
          <w:rFonts w:hint="cs"/>
          <w:b/>
          <w:bCs/>
          <w:spacing w:val="0"/>
          <w:sz w:val="20"/>
          <w:rtl/>
        </w:rPr>
        <w:t>الذي يقضي</w:t>
      </w:r>
      <w:r w:rsidRPr="003E72B5">
        <w:rPr>
          <w:b/>
          <w:bCs/>
          <w:spacing w:val="0"/>
          <w:sz w:val="20"/>
          <w:rtl/>
        </w:rPr>
        <w:t xml:space="preserve"> </w:t>
      </w:r>
      <w:r w:rsidRPr="003E72B5">
        <w:rPr>
          <w:rFonts w:hint="cs"/>
          <w:b/>
          <w:bCs/>
          <w:spacing w:val="0"/>
          <w:sz w:val="20"/>
          <w:rtl/>
        </w:rPr>
        <w:t>ب</w:t>
      </w:r>
      <w:r w:rsidRPr="003E72B5">
        <w:rPr>
          <w:b/>
          <w:bCs/>
          <w:spacing w:val="0"/>
          <w:sz w:val="20"/>
          <w:rtl/>
        </w:rPr>
        <w:t>حق مقدمي الشكوى، و</w:t>
      </w:r>
      <w:r w:rsidRPr="003E72B5">
        <w:rPr>
          <w:rFonts w:hint="cs"/>
          <w:b/>
          <w:bCs/>
          <w:spacing w:val="0"/>
          <w:sz w:val="20"/>
          <w:rtl/>
        </w:rPr>
        <w:t xml:space="preserve">هم </w:t>
      </w:r>
      <w:r w:rsidRPr="003E72B5">
        <w:rPr>
          <w:b/>
          <w:bCs/>
          <w:spacing w:val="0"/>
          <w:sz w:val="20"/>
          <w:rtl/>
        </w:rPr>
        <w:t xml:space="preserve">11 </w:t>
      </w:r>
      <w:r w:rsidRPr="003E72B5">
        <w:rPr>
          <w:rFonts w:hint="cs"/>
          <w:b/>
          <w:bCs/>
          <w:spacing w:val="0"/>
          <w:sz w:val="20"/>
          <w:rtl/>
        </w:rPr>
        <w:t>عضواً في مركز</w:t>
      </w:r>
      <w:r w:rsidRPr="003E72B5">
        <w:rPr>
          <w:b/>
          <w:bCs/>
          <w:spacing w:val="0"/>
          <w:sz w:val="20"/>
          <w:rtl/>
        </w:rPr>
        <w:t xml:space="preserve"> فياسنا، </w:t>
      </w:r>
      <w:r w:rsidRPr="003E72B5">
        <w:rPr>
          <w:rFonts w:hint="cs"/>
          <w:b/>
          <w:bCs/>
          <w:spacing w:val="0"/>
          <w:sz w:val="20"/>
          <w:rtl/>
        </w:rPr>
        <w:t>في</w:t>
      </w:r>
      <w:r w:rsidR="00B345DB">
        <w:rPr>
          <w:rFonts w:hint="eastAsia"/>
          <w:b/>
          <w:bCs/>
          <w:spacing w:val="0"/>
          <w:sz w:val="20"/>
          <w:rtl/>
        </w:rPr>
        <w:t> </w:t>
      </w:r>
      <w:r w:rsidRPr="003E72B5">
        <w:rPr>
          <w:rFonts w:hint="cs"/>
          <w:b/>
          <w:bCs/>
          <w:spacing w:val="0"/>
          <w:sz w:val="20"/>
          <w:rtl/>
        </w:rPr>
        <w:t>الحصول على</w:t>
      </w:r>
      <w:r w:rsidRPr="003E72B5">
        <w:rPr>
          <w:b/>
          <w:bCs/>
          <w:spacing w:val="0"/>
          <w:sz w:val="20"/>
          <w:rtl/>
        </w:rPr>
        <w:t xml:space="preserve"> </w:t>
      </w:r>
      <w:r w:rsidRPr="003E72B5">
        <w:rPr>
          <w:rFonts w:hint="cs"/>
          <w:b/>
          <w:bCs/>
          <w:spacing w:val="0"/>
          <w:sz w:val="20"/>
          <w:rtl/>
        </w:rPr>
        <w:t>الانتصاف</w:t>
      </w:r>
      <w:r w:rsidRPr="003E72B5">
        <w:rPr>
          <w:b/>
          <w:bCs/>
          <w:spacing w:val="0"/>
          <w:sz w:val="20"/>
          <w:rtl/>
        </w:rPr>
        <w:t xml:space="preserve"> المناسب، بما في ذلك إعادة تسجيل فياسنا.</w:t>
      </w:r>
    </w:p>
    <w:p w:rsidR="004E0A37" w:rsidRPr="004E0A37" w:rsidRDefault="004E0A37" w:rsidP="00335AC0">
      <w:pPr>
        <w:pStyle w:val="H23GA"/>
        <w:rPr>
          <w:rtl/>
          <w:lang w:bidi="ar-MA"/>
        </w:rPr>
      </w:pPr>
      <w:r w:rsidRPr="004E0A37">
        <w:rPr>
          <w:rFonts w:hint="cs"/>
          <w:rtl/>
          <w:lang w:bidi="ar-MA"/>
        </w:rPr>
        <w:tab/>
      </w:r>
      <w:r w:rsidRPr="004E0A37">
        <w:rPr>
          <w:rFonts w:hint="cs"/>
          <w:rtl/>
          <w:lang w:bidi="ar-MA"/>
        </w:rPr>
        <w:tab/>
      </w:r>
      <w:r w:rsidRPr="004E0A37">
        <w:rPr>
          <w:rtl/>
          <w:lang w:bidi="ar-MA"/>
        </w:rPr>
        <w:t>اللاج</w:t>
      </w:r>
      <w:r w:rsidRPr="004E0A37">
        <w:rPr>
          <w:rFonts w:hint="cs"/>
          <w:rtl/>
          <w:lang w:bidi="ar-MA"/>
        </w:rPr>
        <w:t xml:space="preserve">ئون </w:t>
      </w:r>
      <w:r w:rsidRPr="004E0A37">
        <w:rPr>
          <w:rtl/>
          <w:lang w:bidi="ar-MA"/>
        </w:rPr>
        <w:t>وطالب</w:t>
      </w:r>
      <w:r w:rsidRPr="004E0A37">
        <w:rPr>
          <w:rFonts w:hint="cs"/>
          <w:rtl/>
          <w:lang w:bidi="ar-MA"/>
        </w:rPr>
        <w:t>و</w:t>
      </w:r>
      <w:r w:rsidRPr="004E0A37">
        <w:rPr>
          <w:rtl/>
          <w:lang w:bidi="ar-MA"/>
        </w:rPr>
        <w:t xml:space="preserve"> اللجوء</w:t>
      </w:r>
    </w:p>
    <w:p w:rsidR="004E0A37" w:rsidRPr="004E0A37" w:rsidRDefault="003E72B5" w:rsidP="003E72B5">
      <w:pPr>
        <w:pStyle w:val="SingleTxtGA"/>
        <w:jc w:val="lowKashida"/>
        <w:rPr>
          <w:spacing w:val="0"/>
          <w:sz w:val="20"/>
          <w:rtl/>
        </w:rPr>
      </w:pPr>
      <w:r>
        <w:rPr>
          <w:rFonts w:hint="cs"/>
          <w:spacing w:val="0"/>
          <w:sz w:val="20"/>
          <w:rtl/>
        </w:rPr>
        <w:t>(</w:t>
      </w:r>
      <w:r w:rsidR="004E0A37" w:rsidRPr="004E0A37">
        <w:rPr>
          <w:spacing w:val="0"/>
          <w:sz w:val="20"/>
          <w:rtl/>
        </w:rPr>
        <w:t>26</w:t>
      </w:r>
      <w:r>
        <w:rPr>
          <w:rFonts w:hint="cs"/>
          <w:spacing w:val="0"/>
          <w:sz w:val="20"/>
          <w:rtl/>
        </w:rPr>
        <w:t>)</w:t>
      </w:r>
      <w:r w:rsidR="004E0A37" w:rsidRPr="004E0A37">
        <w:rPr>
          <w:rFonts w:hint="cs"/>
          <w:spacing w:val="0"/>
          <w:sz w:val="20"/>
          <w:rtl/>
        </w:rPr>
        <w:tab/>
        <w:t>في حين</w:t>
      </w:r>
      <w:r w:rsidR="004E0A37" w:rsidRPr="004E0A37">
        <w:rPr>
          <w:spacing w:val="0"/>
          <w:sz w:val="20"/>
          <w:rtl/>
        </w:rPr>
        <w:t xml:space="preserve"> ترحب اللجنة باعتماد</w:t>
      </w:r>
      <w:r w:rsidR="004E0A37" w:rsidRPr="004E0A37">
        <w:rPr>
          <w:rFonts w:hint="cs"/>
          <w:spacing w:val="0"/>
          <w:sz w:val="20"/>
          <w:rtl/>
        </w:rPr>
        <w:t xml:space="preserve"> الدولة الطرف</w:t>
      </w:r>
      <w:r w:rsidR="004E0A37" w:rsidRPr="004E0A37">
        <w:rPr>
          <w:spacing w:val="0"/>
          <w:sz w:val="20"/>
          <w:rtl/>
        </w:rPr>
        <w:t xml:space="preserve"> في عام 2008</w:t>
      </w:r>
      <w:r w:rsidR="004E0A37" w:rsidRPr="004E0A37">
        <w:rPr>
          <w:rFonts w:hint="cs"/>
          <w:spacing w:val="0"/>
          <w:sz w:val="20"/>
          <w:rtl/>
        </w:rPr>
        <w:t xml:space="preserve"> </w:t>
      </w:r>
      <w:r w:rsidR="004E0A37" w:rsidRPr="004E0A37">
        <w:rPr>
          <w:spacing w:val="0"/>
          <w:sz w:val="20"/>
          <w:rtl/>
        </w:rPr>
        <w:t xml:space="preserve">لقانون جديد </w:t>
      </w:r>
      <w:r w:rsidR="004E0A37" w:rsidRPr="004E0A37">
        <w:rPr>
          <w:rFonts w:hint="cs"/>
          <w:spacing w:val="0"/>
          <w:sz w:val="20"/>
          <w:rtl/>
        </w:rPr>
        <w:t xml:space="preserve">يتعلق بإتاحة مركز </w:t>
      </w:r>
      <w:r w:rsidR="004E0A37" w:rsidRPr="004E0A37">
        <w:rPr>
          <w:spacing w:val="0"/>
          <w:sz w:val="20"/>
          <w:rtl/>
        </w:rPr>
        <w:t xml:space="preserve">اللاجئ والحماية التكميلية </w:t>
      </w:r>
      <w:r w:rsidR="004E0A37" w:rsidRPr="004E0A37">
        <w:rPr>
          <w:rFonts w:hint="cs"/>
          <w:spacing w:val="0"/>
          <w:sz w:val="20"/>
          <w:rtl/>
        </w:rPr>
        <w:t>و</w:t>
      </w:r>
      <w:r w:rsidR="004E0A37" w:rsidRPr="004E0A37">
        <w:rPr>
          <w:spacing w:val="0"/>
          <w:sz w:val="20"/>
          <w:rtl/>
        </w:rPr>
        <w:t xml:space="preserve">المؤقتة للمواطنين الأجانب والأشخاص عديمي الجنسية في بيلاروس، </w:t>
      </w:r>
      <w:r w:rsidR="004E0A37" w:rsidRPr="004E0A37">
        <w:rPr>
          <w:rFonts w:hint="cs"/>
          <w:spacing w:val="0"/>
          <w:sz w:val="20"/>
          <w:rtl/>
        </w:rPr>
        <w:t xml:space="preserve">فإنها </w:t>
      </w:r>
      <w:r w:rsidR="004E0A37" w:rsidRPr="004E0A37">
        <w:rPr>
          <w:spacing w:val="0"/>
          <w:sz w:val="20"/>
          <w:rtl/>
        </w:rPr>
        <w:t xml:space="preserve">تلاحظ أن التشريعات والممارسات </w:t>
      </w:r>
      <w:r w:rsidR="004E0A37" w:rsidRPr="004E0A37">
        <w:rPr>
          <w:rFonts w:hint="cs"/>
          <w:spacing w:val="0"/>
          <w:sz w:val="20"/>
          <w:rtl/>
        </w:rPr>
        <w:t>المتعلقة ب</w:t>
      </w:r>
      <w:r w:rsidR="004E0A37" w:rsidRPr="004E0A37">
        <w:rPr>
          <w:spacing w:val="0"/>
          <w:sz w:val="20"/>
          <w:rtl/>
        </w:rPr>
        <w:t xml:space="preserve">تنفيذه تحتاج إلى مزيد من التنقيح </w:t>
      </w:r>
      <w:r w:rsidR="004E0A37" w:rsidRPr="004E0A37">
        <w:rPr>
          <w:rFonts w:hint="cs"/>
          <w:spacing w:val="0"/>
          <w:sz w:val="20"/>
          <w:rtl/>
        </w:rPr>
        <w:t>حتى تكون متماشية</w:t>
      </w:r>
      <w:r w:rsidR="004E0A37" w:rsidRPr="004E0A37">
        <w:rPr>
          <w:spacing w:val="0"/>
          <w:sz w:val="20"/>
          <w:rtl/>
        </w:rPr>
        <w:t xml:space="preserve"> تماماً مع الق</w:t>
      </w:r>
      <w:r w:rsidR="004E0A37" w:rsidRPr="004E0A37">
        <w:rPr>
          <w:rFonts w:hint="cs"/>
          <w:spacing w:val="0"/>
          <w:sz w:val="20"/>
          <w:rtl/>
        </w:rPr>
        <w:t xml:space="preserve">وانين </w:t>
      </w:r>
      <w:r w:rsidR="004E0A37" w:rsidRPr="004E0A37">
        <w:rPr>
          <w:spacing w:val="0"/>
          <w:sz w:val="20"/>
          <w:rtl/>
        </w:rPr>
        <w:t>الدولي</w:t>
      </w:r>
      <w:r w:rsidR="004E0A37" w:rsidRPr="004E0A37">
        <w:rPr>
          <w:rFonts w:hint="cs"/>
          <w:spacing w:val="0"/>
          <w:sz w:val="20"/>
          <w:rtl/>
        </w:rPr>
        <w:t>ة المتعلقة ب</w:t>
      </w:r>
      <w:r w:rsidR="004E0A37" w:rsidRPr="004E0A37">
        <w:rPr>
          <w:spacing w:val="0"/>
          <w:sz w:val="20"/>
          <w:rtl/>
        </w:rPr>
        <w:t xml:space="preserve">حقوق الإنسان </w:t>
      </w:r>
      <w:r w:rsidR="004E0A37" w:rsidRPr="004E0A37">
        <w:rPr>
          <w:rFonts w:hint="cs"/>
          <w:spacing w:val="0"/>
          <w:sz w:val="20"/>
          <w:rtl/>
        </w:rPr>
        <w:t>واللجوء</w:t>
      </w:r>
      <w:r w:rsidR="004E0A37" w:rsidRPr="004E0A37">
        <w:rPr>
          <w:spacing w:val="0"/>
          <w:sz w:val="20"/>
          <w:rtl/>
        </w:rPr>
        <w:t xml:space="preserve"> (المادة 3).</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rPr>
        <w:tab/>
      </w:r>
      <w:r w:rsidRPr="003E72B5">
        <w:rPr>
          <w:b/>
          <w:bCs/>
          <w:spacing w:val="0"/>
          <w:sz w:val="20"/>
          <w:rtl/>
        </w:rPr>
        <w:t>ينبغي للدولة الطرف أن تنقح إجراءاتها وممارساتها الحالية في مجال ال</w:t>
      </w:r>
      <w:r w:rsidRPr="003E72B5">
        <w:rPr>
          <w:rFonts w:hint="cs"/>
          <w:b/>
          <w:bCs/>
          <w:spacing w:val="0"/>
          <w:sz w:val="20"/>
          <w:rtl/>
        </w:rPr>
        <w:t xml:space="preserve">إبعاد </w:t>
      </w:r>
      <w:r w:rsidRPr="003E72B5">
        <w:rPr>
          <w:b/>
          <w:bCs/>
          <w:spacing w:val="0"/>
          <w:sz w:val="20"/>
          <w:rtl/>
        </w:rPr>
        <w:t xml:space="preserve">والإعادة القسرية والتسليم للوفاء بالتزاماتها </w:t>
      </w:r>
      <w:r w:rsidRPr="003E72B5">
        <w:rPr>
          <w:rFonts w:hint="eastAsia"/>
          <w:b/>
          <w:bCs/>
          <w:spacing w:val="0"/>
          <w:sz w:val="20"/>
          <w:rtl/>
        </w:rPr>
        <w:t>بموجب</w:t>
      </w:r>
      <w:r w:rsidRPr="003E72B5">
        <w:rPr>
          <w:b/>
          <w:bCs/>
          <w:spacing w:val="0"/>
          <w:sz w:val="20"/>
          <w:rtl/>
        </w:rPr>
        <w:t xml:space="preserve"> المادة 3 من الاتفاقية. </w:t>
      </w:r>
      <w:r w:rsidRPr="003E72B5">
        <w:rPr>
          <w:rFonts w:hint="cs"/>
          <w:b/>
          <w:bCs/>
          <w:spacing w:val="0"/>
          <w:sz w:val="20"/>
          <w:rtl/>
        </w:rPr>
        <w:t>و</w:t>
      </w:r>
      <w:r w:rsidRPr="003E72B5">
        <w:rPr>
          <w:b/>
          <w:bCs/>
          <w:spacing w:val="0"/>
          <w:sz w:val="20"/>
          <w:rtl/>
        </w:rPr>
        <w:t xml:space="preserve">ينبغي للدولة الطرف أن تضمن حماية أفضل </w:t>
      </w:r>
      <w:r w:rsidRPr="003E72B5">
        <w:rPr>
          <w:rFonts w:hint="cs"/>
          <w:b/>
          <w:bCs/>
          <w:spacing w:val="0"/>
          <w:sz w:val="20"/>
          <w:rtl/>
        </w:rPr>
        <w:t>ل</w:t>
      </w:r>
      <w:r w:rsidRPr="003E72B5">
        <w:rPr>
          <w:b/>
          <w:bCs/>
          <w:spacing w:val="0"/>
          <w:sz w:val="20"/>
          <w:rtl/>
        </w:rPr>
        <w:t xml:space="preserve">طالبي اللجوء </w:t>
      </w:r>
      <w:r w:rsidRPr="003E72B5">
        <w:rPr>
          <w:rFonts w:hint="cs"/>
          <w:b/>
          <w:bCs/>
          <w:spacing w:val="0"/>
          <w:sz w:val="20"/>
          <w:rtl/>
        </w:rPr>
        <w:t>وال</w:t>
      </w:r>
      <w:r w:rsidRPr="003E72B5">
        <w:rPr>
          <w:b/>
          <w:bCs/>
          <w:spacing w:val="0"/>
          <w:sz w:val="20"/>
          <w:rtl/>
        </w:rPr>
        <w:t xml:space="preserve">لاجئين والأشخاص الآخرين المحتاجين للحماية الدولية وتحسين نوعية إجراءات </w:t>
      </w:r>
      <w:r w:rsidRPr="003E72B5">
        <w:rPr>
          <w:rFonts w:hint="cs"/>
          <w:b/>
          <w:bCs/>
          <w:spacing w:val="0"/>
          <w:sz w:val="20"/>
          <w:rtl/>
        </w:rPr>
        <w:t>ا</w:t>
      </w:r>
      <w:r w:rsidRPr="003E72B5">
        <w:rPr>
          <w:b/>
          <w:bCs/>
          <w:spacing w:val="0"/>
          <w:sz w:val="20"/>
          <w:rtl/>
        </w:rPr>
        <w:t xml:space="preserve">لدولة </w:t>
      </w:r>
      <w:r w:rsidRPr="003E72B5">
        <w:rPr>
          <w:rFonts w:hint="cs"/>
          <w:b/>
          <w:bCs/>
          <w:spacing w:val="0"/>
          <w:sz w:val="20"/>
          <w:rtl/>
        </w:rPr>
        <w:t>المتعلقة بتحديد وضع اللاجئين وال</w:t>
      </w:r>
      <w:r w:rsidRPr="003E72B5">
        <w:rPr>
          <w:b/>
          <w:bCs/>
          <w:spacing w:val="0"/>
          <w:sz w:val="20"/>
          <w:rtl/>
        </w:rPr>
        <w:t>نظر في التصديق على اتفاقية عام 1954 المتعلقة بوضع الأشخاص عديمي الجنسية واتفاقية عام 1961 بشأن خفض حالات انعدام الجنسية.</w:t>
      </w:r>
    </w:p>
    <w:p w:rsidR="004E0A37" w:rsidRPr="004E0A37" w:rsidRDefault="004E0A37" w:rsidP="00335AC0">
      <w:pPr>
        <w:pStyle w:val="H23GA"/>
        <w:rPr>
          <w:rtl/>
          <w:lang w:bidi="ar-MA"/>
        </w:rPr>
      </w:pPr>
      <w:r w:rsidRPr="004E0A37">
        <w:rPr>
          <w:rFonts w:hint="cs"/>
          <w:rtl/>
          <w:lang w:bidi="ar-MA"/>
        </w:rPr>
        <w:tab/>
      </w:r>
      <w:r w:rsidRPr="004E0A37">
        <w:rPr>
          <w:rFonts w:hint="cs"/>
          <w:rtl/>
          <w:lang w:bidi="ar-MA"/>
        </w:rPr>
        <w:tab/>
      </w:r>
      <w:r w:rsidRPr="004E0A37">
        <w:rPr>
          <w:rtl/>
          <w:lang w:bidi="ar-MA"/>
        </w:rPr>
        <w:t>عقوبة الإعدام</w:t>
      </w:r>
    </w:p>
    <w:p w:rsidR="004E0A37" w:rsidRPr="004E0A37" w:rsidRDefault="003E72B5" w:rsidP="003E72B5">
      <w:pPr>
        <w:pStyle w:val="SingleTxtGA"/>
        <w:jc w:val="lowKashida"/>
        <w:rPr>
          <w:spacing w:val="0"/>
          <w:sz w:val="20"/>
          <w:rtl/>
        </w:rPr>
      </w:pPr>
      <w:r>
        <w:rPr>
          <w:rFonts w:hint="cs"/>
          <w:spacing w:val="0"/>
          <w:sz w:val="20"/>
          <w:rtl/>
        </w:rPr>
        <w:t>(</w:t>
      </w:r>
      <w:r w:rsidR="004E0A37" w:rsidRPr="004E0A37">
        <w:rPr>
          <w:rFonts w:hint="cs"/>
          <w:spacing w:val="0"/>
          <w:sz w:val="20"/>
          <w:rtl/>
        </w:rPr>
        <w:t>27</w:t>
      </w:r>
      <w:r>
        <w:rPr>
          <w:rFonts w:hint="cs"/>
          <w:spacing w:val="0"/>
          <w:sz w:val="20"/>
          <w:rtl/>
        </w:rPr>
        <w:t>)</w:t>
      </w:r>
      <w:r w:rsidR="004E0A37" w:rsidRPr="004E0A37">
        <w:rPr>
          <w:rFonts w:hint="cs"/>
          <w:spacing w:val="0"/>
          <w:sz w:val="20"/>
          <w:rtl/>
        </w:rPr>
        <w:tab/>
      </w:r>
      <w:r w:rsidR="004E0A37" w:rsidRPr="004E0A37">
        <w:rPr>
          <w:spacing w:val="0"/>
          <w:sz w:val="20"/>
          <w:rtl/>
        </w:rPr>
        <w:t>تشعر اللجنة</w:t>
      </w:r>
      <w:r w:rsidR="004E0A37" w:rsidRPr="004E0A37">
        <w:rPr>
          <w:rFonts w:hint="cs"/>
          <w:spacing w:val="0"/>
          <w:sz w:val="20"/>
          <w:rtl/>
        </w:rPr>
        <w:t xml:space="preserve"> بالقلق إزاء</w:t>
      </w:r>
      <w:r w:rsidR="004E0A37" w:rsidRPr="004E0A37">
        <w:rPr>
          <w:spacing w:val="0"/>
          <w:sz w:val="20"/>
          <w:rtl/>
        </w:rPr>
        <w:t xml:space="preserve"> التقارير التي تشير إلى سوء أوضاع الأشخاص المحكوم عليهم بالإعدام، </w:t>
      </w:r>
      <w:r w:rsidR="004E0A37" w:rsidRPr="004E0A37">
        <w:rPr>
          <w:rFonts w:hint="cs"/>
          <w:spacing w:val="0"/>
          <w:sz w:val="20"/>
          <w:rtl/>
        </w:rPr>
        <w:t>وإزاء</w:t>
      </w:r>
      <w:r w:rsidR="004E0A37" w:rsidRPr="004E0A37">
        <w:rPr>
          <w:spacing w:val="0"/>
          <w:sz w:val="20"/>
          <w:rtl/>
        </w:rPr>
        <w:t xml:space="preserve"> </w:t>
      </w:r>
      <w:r w:rsidR="004E0A37" w:rsidRPr="004E0A37">
        <w:rPr>
          <w:rFonts w:hint="cs"/>
          <w:spacing w:val="0"/>
          <w:sz w:val="20"/>
          <w:rtl/>
        </w:rPr>
        <w:t>التكتم</w:t>
      </w:r>
      <w:r w:rsidR="004E0A37" w:rsidRPr="004E0A37">
        <w:rPr>
          <w:spacing w:val="0"/>
          <w:sz w:val="20"/>
          <w:rtl/>
        </w:rPr>
        <w:t xml:space="preserve"> والتعسف </w:t>
      </w:r>
      <w:r w:rsidR="00F96B1E">
        <w:rPr>
          <w:rFonts w:hint="cs"/>
          <w:spacing w:val="0"/>
          <w:sz w:val="20"/>
          <w:rtl/>
        </w:rPr>
        <w:t>فيما </w:t>
      </w:r>
      <w:r w:rsidR="004E0A37" w:rsidRPr="004E0A37">
        <w:rPr>
          <w:rFonts w:hint="cs"/>
          <w:spacing w:val="0"/>
          <w:sz w:val="20"/>
          <w:rtl/>
        </w:rPr>
        <w:t>يتعلق</w:t>
      </w:r>
      <w:r w:rsidR="004E0A37" w:rsidRPr="004E0A37">
        <w:rPr>
          <w:spacing w:val="0"/>
          <w:sz w:val="20"/>
          <w:rtl/>
        </w:rPr>
        <w:t xml:space="preserve"> </w:t>
      </w:r>
      <w:r w:rsidR="004E0A37" w:rsidRPr="004E0A37">
        <w:rPr>
          <w:rFonts w:hint="cs"/>
          <w:spacing w:val="0"/>
          <w:sz w:val="20"/>
          <w:rtl/>
        </w:rPr>
        <w:t>ب</w:t>
      </w:r>
      <w:r w:rsidR="004E0A37" w:rsidRPr="004E0A37">
        <w:rPr>
          <w:spacing w:val="0"/>
          <w:sz w:val="20"/>
          <w:rtl/>
        </w:rPr>
        <w:t xml:space="preserve">إعدام الأشخاص المحكوم عليهم بالإعدام، بما في ذلك التقارير </w:t>
      </w:r>
      <w:r w:rsidR="004E0A37" w:rsidRPr="004E0A37">
        <w:rPr>
          <w:rFonts w:hint="cs"/>
          <w:spacing w:val="0"/>
          <w:sz w:val="20"/>
          <w:rtl/>
        </w:rPr>
        <w:t>التي تفيد بأن</w:t>
      </w:r>
      <w:r w:rsidR="004E0A37" w:rsidRPr="004E0A37">
        <w:rPr>
          <w:spacing w:val="0"/>
          <w:sz w:val="20"/>
          <w:rtl/>
        </w:rPr>
        <w:t xml:space="preserve"> أسر الأشخاص المحكوم عليهم بعقوبة الإعدام لا </w:t>
      </w:r>
      <w:r w:rsidR="004E0A37" w:rsidRPr="004E0A37">
        <w:rPr>
          <w:rFonts w:hint="cs"/>
          <w:spacing w:val="0"/>
          <w:sz w:val="20"/>
          <w:rtl/>
        </w:rPr>
        <w:t xml:space="preserve">تبلغ إلا بعد </w:t>
      </w:r>
      <w:r w:rsidR="004E0A37" w:rsidRPr="004E0A37">
        <w:rPr>
          <w:spacing w:val="0"/>
          <w:sz w:val="20"/>
          <w:rtl/>
        </w:rPr>
        <w:t xml:space="preserve">أيام أو أسابيع </w:t>
      </w:r>
      <w:r w:rsidR="004E0A37" w:rsidRPr="004E0A37">
        <w:rPr>
          <w:rFonts w:hint="cs"/>
          <w:spacing w:val="0"/>
          <w:sz w:val="20"/>
          <w:rtl/>
        </w:rPr>
        <w:t>من</w:t>
      </w:r>
      <w:r w:rsidR="004E0A37" w:rsidRPr="004E0A37">
        <w:rPr>
          <w:spacing w:val="0"/>
          <w:sz w:val="20"/>
          <w:rtl/>
        </w:rPr>
        <w:t xml:space="preserve"> تنفيذ</w:t>
      </w:r>
      <w:r w:rsidR="004E0A37" w:rsidRPr="004E0A37">
        <w:rPr>
          <w:rFonts w:hint="cs"/>
          <w:spacing w:val="0"/>
          <w:sz w:val="20"/>
          <w:rtl/>
        </w:rPr>
        <w:t xml:space="preserve"> الحكم</w:t>
      </w:r>
      <w:r w:rsidR="004E0A37" w:rsidRPr="004E0A37">
        <w:rPr>
          <w:spacing w:val="0"/>
          <w:sz w:val="20"/>
          <w:rtl/>
        </w:rPr>
        <w:t xml:space="preserve"> </w:t>
      </w:r>
      <w:r w:rsidR="004E0A37" w:rsidRPr="004E0A37">
        <w:rPr>
          <w:rFonts w:hint="cs"/>
          <w:spacing w:val="0"/>
          <w:sz w:val="20"/>
          <w:rtl/>
        </w:rPr>
        <w:t>وأنه</w:t>
      </w:r>
      <w:r w:rsidR="004E0A37" w:rsidRPr="004E0A37">
        <w:rPr>
          <w:spacing w:val="0"/>
          <w:sz w:val="20"/>
          <w:rtl/>
        </w:rPr>
        <w:t xml:space="preserve"> لا تتاح له</w:t>
      </w:r>
      <w:r w:rsidR="004E0A37" w:rsidRPr="004E0A37">
        <w:rPr>
          <w:rFonts w:hint="cs"/>
          <w:spacing w:val="0"/>
          <w:sz w:val="20"/>
          <w:rtl/>
        </w:rPr>
        <w:t>ا</w:t>
      </w:r>
      <w:r w:rsidR="004E0A37" w:rsidRPr="004E0A37">
        <w:rPr>
          <w:spacing w:val="0"/>
          <w:sz w:val="20"/>
          <w:rtl/>
        </w:rPr>
        <w:t xml:space="preserve"> </w:t>
      </w:r>
      <w:r w:rsidR="004E0A37" w:rsidRPr="004E0A37">
        <w:rPr>
          <w:rFonts w:hint="cs"/>
          <w:spacing w:val="0"/>
          <w:sz w:val="20"/>
          <w:rtl/>
        </w:rPr>
        <w:t>ال</w:t>
      </w:r>
      <w:r w:rsidR="004E0A37" w:rsidRPr="004E0A37">
        <w:rPr>
          <w:spacing w:val="0"/>
          <w:sz w:val="20"/>
          <w:rtl/>
        </w:rPr>
        <w:t>فرصة ل</w:t>
      </w:r>
      <w:r w:rsidR="004E0A37" w:rsidRPr="004E0A37">
        <w:rPr>
          <w:rFonts w:hint="cs"/>
          <w:spacing w:val="0"/>
          <w:sz w:val="20"/>
          <w:rtl/>
        </w:rPr>
        <w:t xml:space="preserve">أداء </w:t>
      </w:r>
      <w:r w:rsidR="004E0A37" w:rsidRPr="004E0A37">
        <w:rPr>
          <w:spacing w:val="0"/>
          <w:sz w:val="20"/>
          <w:rtl/>
        </w:rPr>
        <w:t xml:space="preserve">زيارة </w:t>
      </w:r>
      <w:r w:rsidR="004E0A37" w:rsidRPr="004E0A37">
        <w:rPr>
          <w:rFonts w:hint="cs"/>
          <w:spacing w:val="0"/>
          <w:sz w:val="20"/>
          <w:rtl/>
        </w:rPr>
        <w:t>أخيرة لل</w:t>
      </w:r>
      <w:r w:rsidR="004E0A37" w:rsidRPr="004E0A37">
        <w:rPr>
          <w:spacing w:val="0"/>
          <w:sz w:val="20"/>
          <w:rtl/>
        </w:rPr>
        <w:t>سجين</w:t>
      </w:r>
      <w:r w:rsidR="004E0A37" w:rsidRPr="004E0A37">
        <w:rPr>
          <w:rFonts w:hint="cs"/>
          <w:spacing w:val="0"/>
          <w:sz w:val="20"/>
          <w:rtl/>
        </w:rPr>
        <w:t xml:space="preserve"> وأن</w:t>
      </w:r>
      <w:r w:rsidR="004E0A37" w:rsidRPr="004E0A37">
        <w:rPr>
          <w:spacing w:val="0"/>
          <w:sz w:val="20"/>
          <w:rtl/>
        </w:rPr>
        <w:t xml:space="preserve"> جثة السجين </w:t>
      </w:r>
      <w:r w:rsidR="004E0A37" w:rsidRPr="004E0A37">
        <w:rPr>
          <w:rFonts w:hint="cs"/>
          <w:spacing w:val="0"/>
          <w:sz w:val="20"/>
          <w:rtl/>
        </w:rPr>
        <w:t xml:space="preserve">الذي نفذ فيه </w:t>
      </w:r>
      <w:r w:rsidR="004E0A37" w:rsidRPr="004E0A37">
        <w:rPr>
          <w:spacing w:val="0"/>
          <w:sz w:val="20"/>
          <w:rtl/>
        </w:rPr>
        <w:t>حكم ال</w:t>
      </w:r>
      <w:r w:rsidR="004E0A37" w:rsidRPr="004E0A37">
        <w:rPr>
          <w:rFonts w:hint="cs"/>
          <w:spacing w:val="0"/>
          <w:sz w:val="20"/>
          <w:rtl/>
        </w:rPr>
        <w:t>إ</w:t>
      </w:r>
      <w:r w:rsidR="004E0A37" w:rsidRPr="004E0A37">
        <w:rPr>
          <w:spacing w:val="0"/>
          <w:sz w:val="20"/>
          <w:rtl/>
        </w:rPr>
        <w:t>عدام</w:t>
      </w:r>
      <w:r w:rsidR="004E0A37" w:rsidRPr="004E0A37">
        <w:rPr>
          <w:rFonts w:hint="cs"/>
          <w:spacing w:val="0"/>
          <w:sz w:val="20"/>
          <w:rtl/>
        </w:rPr>
        <w:t xml:space="preserve"> لا تسلم إ</w:t>
      </w:r>
      <w:r w:rsidR="004E0A37" w:rsidRPr="004E0A37">
        <w:rPr>
          <w:spacing w:val="0"/>
          <w:sz w:val="20"/>
          <w:rtl/>
        </w:rPr>
        <w:t>لى العائلة و</w:t>
      </w:r>
      <w:r w:rsidR="004E0A37" w:rsidRPr="004E0A37">
        <w:rPr>
          <w:rFonts w:hint="cs"/>
          <w:spacing w:val="0"/>
          <w:sz w:val="20"/>
          <w:rtl/>
        </w:rPr>
        <w:t xml:space="preserve">لا يكشف عن </w:t>
      </w:r>
      <w:r w:rsidR="004E0A37" w:rsidRPr="004E0A37">
        <w:rPr>
          <w:spacing w:val="0"/>
          <w:sz w:val="20"/>
          <w:rtl/>
        </w:rPr>
        <w:t>مكان دفن</w:t>
      </w:r>
      <w:r w:rsidR="004E0A37" w:rsidRPr="004E0A37">
        <w:rPr>
          <w:rFonts w:hint="cs"/>
          <w:spacing w:val="0"/>
          <w:sz w:val="20"/>
          <w:rtl/>
        </w:rPr>
        <w:t>ها</w:t>
      </w:r>
      <w:r w:rsidR="004E0A37" w:rsidRPr="004E0A37">
        <w:rPr>
          <w:spacing w:val="0"/>
          <w:sz w:val="20"/>
          <w:rtl/>
        </w:rPr>
        <w:t xml:space="preserve">. وعلاوة على ذلك، تشعر اللجنة بقلق عميق </w:t>
      </w:r>
      <w:r w:rsidR="004E0A37" w:rsidRPr="004E0A37">
        <w:rPr>
          <w:rFonts w:hint="cs"/>
          <w:spacing w:val="0"/>
          <w:sz w:val="20"/>
          <w:rtl/>
        </w:rPr>
        <w:t>إزاء</w:t>
      </w:r>
      <w:r w:rsidR="004E0A37" w:rsidRPr="004E0A37">
        <w:rPr>
          <w:spacing w:val="0"/>
          <w:sz w:val="20"/>
          <w:rtl/>
        </w:rPr>
        <w:t xml:space="preserve"> التقارير التي </w:t>
      </w:r>
      <w:r w:rsidR="004E0A37" w:rsidRPr="004E0A37">
        <w:rPr>
          <w:rFonts w:hint="cs"/>
          <w:spacing w:val="0"/>
          <w:sz w:val="20"/>
          <w:rtl/>
        </w:rPr>
        <w:t>تفيد بأن</w:t>
      </w:r>
      <w:r w:rsidR="004E0A37" w:rsidRPr="004E0A37">
        <w:rPr>
          <w:spacing w:val="0"/>
          <w:sz w:val="20"/>
          <w:rtl/>
        </w:rPr>
        <w:t xml:space="preserve"> بعض السجناء المحكوم عليهم بالإعدام لا </w:t>
      </w:r>
      <w:r w:rsidR="004E0A37" w:rsidRPr="004E0A37">
        <w:rPr>
          <w:rFonts w:hint="cs"/>
          <w:spacing w:val="0"/>
          <w:sz w:val="20"/>
          <w:rtl/>
        </w:rPr>
        <w:t>يتمتعون ب</w:t>
      </w:r>
      <w:r w:rsidR="004E0A37" w:rsidRPr="004E0A37">
        <w:rPr>
          <w:spacing w:val="0"/>
          <w:sz w:val="20"/>
          <w:rtl/>
        </w:rPr>
        <w:t>الضمانات القانونية الأساسية، و</w:t>
      </w:r>
      <w:r w:rsidR="004E0A37" w:rsidRPr="004E0A37">
        <w:rPr>
          <w:rFonts w:hint="cs"/>
          <w:spacing w:val="0"/>
          <w:sz w:val="20"/>
          <w:rtl/>
        </w:rPr>
        <w:t xml:space="preserve">إزاء </w:t>
      </w:r>
      <w:r w:rsidR="004E0A37" w:rsidRPr="004E0A37">
        <w:rPr>
          <w:spacing w:val="0"/>
          <w:sz w:val="20"/>
          <w:rtl/>
        </w:rPr>
        <w:t xml:space="preserve">التناقض بين تقارير السلطات وغيرها من </w:t>
      </w:r>
      <w:r w:rsidR="004E0A37" w:rsidRPr="004E0A37">
        <w:rPr>
          <w:rFonts w:hint="cs"/>
          <w:spacing w:val="0"/>
          <w:sz w:val="20"/>
          <w:rtl/>
        </w:rPr>
        <w:t>ال</w:t>
      </w:r>
      <w:r w:rsidR="004E0A37" w:rsidRPr="004E0A37">
        <w:rPr>
          <w:spacing w:val="0"/>
          <w:sz w:val="20"/>
          <w:rtl/>
        </w:rPr>
        <w:t xml:space="preserve">مصادر </w:t>
      </w:r>
      <w:r w:rsidR="004E0A37" w:rsidRPr="004E0A37">
        <w:rPr>
          <w:rFonts w:hint="cs"/>
          <w:spacing w:val="0"/>
          <w:sz w:val="20"/>
          <w:rtl/>
        </w:rPr>
        <w:t>ال</w:t>
      </w:r>
      <w:r w:rsidR="004E0A37" w:rsidRPr="004E0A37">
        <w:rPr>
          <w:spacing w:val="0"/>
          <w:sz w:val="20"/>
          <w:rtl/>
        </w:rPr>
        <w:t xml:space="preserve">مختلفة حول هذه المسألة. </w:t>
      </w:r>
      <w:r w:rsidR="004E0A37" w:rsidRPr="004E0A37">
        <w:rPr>
          <w:rFonts w:hint="cs"/>
          <w:spacing w:val="0"/>
          <w:sz w:val="20"/>
          <w:rtl/>
        </w:rPr>
        <w:t>وفي حين تحيط</w:t>
      </w:r>
      <w:r w:rsidR="004E0A37" w:rsidRPr="004E0A37">
        <w:rPr>
          <w:spacing w:val="0"/>
          <w:sz w:val="20"/>
          <w:rtl/>
        </w:rPr>
        <w:t xml:space="preserve"> اللجنة</w:t>
      </w:r>
      <w:r w:rsidR="003833F8">
        <w:rPr>
          <w:spacing w:val="0"/>
          <w:sz w:val="20"/>
          <w:rtl/>
        </w:rPr>
        <w:t xml:space="preserve"> علماً </w:t>
      </w:r>
      <w:r w:rsidR="004E0A37" w:rsidRPr="004E0A37">
        <w:rPr>
          <w:rFonts w:hint="cs"/>
          <w:spacing w:val="0"/>
          <w:sz w:val="20"/>
          <w:rtl/>
        </w:rPr>
        <w:t>ب</w:t>
      </w:r>
      <w:r w:rsidR="004E0A37" w:rsidRPr="004E0A37">
        <w:rPr>
          <w:spacing w:val="0"/>
          <w:sz w:val="20"/>
          <w:rtl/>
        </w:rPr>
        <w:t>أن مجموعة العمل البرلمانية تواصل النظر في إمكانية</w:t>
      </w:r>
      <w:r w:rsidR="004E0A37" w:rsidRPr="004E0A37">
        <w:rPr>
          <w:rFonts w:hint="cs"/>
          <w:spacing w:val="0"/>
          <w:sz w:val="20"/>
          <w:rtl/>
        </w:rPr>
        <w:t xml:space="preserve"> تطبيق </w:t>
      </w:r>
      <w:r w:rsidR="004E0A37" w:rsidRPr="004E0A37">
        <w:rPr>
          <w:spacing w:val="0"/>
          <w:sz w:val="20"/>
          <w:rtl/>
        </w:rPr>
        <w:t>وقف</w:t>
      </w:r>
      <w:r w:rsidR="004E0A37" w:rsidRPr="004E0A37">
        <w:rPr>
          <w:rFonts w:hint="cs"/>
          <w:spacing w:val="0"/>
          <w:sz w:val="20"/>
          <w:rtl/>
        </w:rPr>
        <w:t xml:space="preserve"> اختياري</w:t>
      </w:r>
      <w:r w:rsidR="004E0A37" w:rsidRPr="004E0A37">
        <w:rPr>
          <w:spacing w:val="0"/>
          <w:sz w:val="20"/>
          <w:rtl/>
        </w:rPr>
        <w:t xml:space="preserve"> لعقوبة الإعدام، إلا أنها تأسف ل</w:t>
      </w:r>
      <w:r w:rsidR="004E0A37" w:rsidRPr="004E0A37">
        <w:rPr>
          <w:rFonts w:hint="cs"/>
          <w:spacing w:val="0"/>
          <w:sz w:val="20"/>
          <w:rtl/>
        </w:rPr>
        <w:t>إ</w:t>
      </w:r>
      <w:r w:rsidR="004E0A37" w:rsidRPr="004E0A37">
        <w:rPr>
          <w:spacing w:val="0"/>
          <w:sz w:val="20"/>
          <w:rtl/>
        </w:rPr>
        <w:t>عدام اثنين من السجناء المحكوم عليه</w:t>
      </w:r>
      <w:r w:rsidR="004E0A37" w:rsidRPr="004E0A37">
        <w:rPr>
          <w:rFonts w:hint="cs"/>
          <w:spacing w:val="0"/>
          <w:sz w:val="20"/>
          <w:rtl/>
        </w:rPr>
        <w:t>ما</w:t>
      </w:r>
      <w:r w:rsidR="004E0A37" w:rsidRPr="004E0A37">
        <w:rPr>
          <w:spacing w:val="0"/>
          <w:sz w:val="20"/>
          <w:rtl/>
        </w:rPr>
        <w:t xml:space="preserve"> بالإعدام، على الرغم من طلب</w:t>
      </w:r>
      <w:r w:rsidR="004E0A37" w:rsidRPr="004E0A37">
        <w:rPr>
          <w:rFonts w:hint="cs"/>
          <w:spacing w:val="0"/>
          <w:sz w:val="20"/>
          <w:rtl/>
        </w:rPr>
        <w:t xml:space="preserve"> </w:t>
      </w:r>
      <w:r w:rsidR="004E0A37" w:rsidRPr="004E0A37">
        <w:rPr>
          <w:spacing w:val="0"/>
          <w:sz w:val="20"/>
          <w:rtl/>
        </w:rPr>
        <w:t xml:space="preserve">لجنة حقوق الإنسان </w:t>
      </w:r>
      <w:r w:rsidR="004E0A37" w:rsidRPr="004E0A37">
        <w:rPr>
          <w:rFonts w:hint="cs"/>
          <w:spacing w:val="0"/>
          <w:sz w:val="20"/>
          <w:rtl/>
        </w:rPr>
        <w:t xml:space="preserve">التي استعرضت قضيتهما </w:t>
      </w:r>
      <w:r w:rsidR="004E0A37" w:rsidRPr="004E0A37">
        <w:rPr>
          <w:spacing w:val="0"/>
          <w:sz w:val="20"/>
          <w:rtl/>
        </w:rPr>
        <w:t>اتخاذ تدابير مؤقتة (</w:t>
      </w:r>
      <w:r w:rsidR="004E0A37" w:rsidRPr="004E0A37">
        <w:rPr>
          <w:rFonts w:hint="cs"/>
          <w:spacing w:val="0"/>
          <w:sz w:val="20"/>
          <w:rtl/>
        </w:rPr>
        <w:t xml:space="preserve">البلاغان </w:t>
      </w:r>
      <w:r w:rsidR="004E0A37" w:rsidRPr="004E0A37">
        <w:rPr>
          <w:spacing w:val="0"/>
          <w:sz w:val="20"/>
          <w:rtl/>
        </w:rPr>
        <w:t xml:space="preserve">رقم 1910/2009 </w:t>
      </w:r>
      <w:r w:rsidR="004E0A37" w:rsidRPr="004E0A37">
        <w:rPr>
          <w:rFonts w:hint="cs"/>
          <w:spacing w:val="0"/>
          <w:sz w:val="20"/>
          <w:rtl/>
        </w:rPr>
        <w:t>و</w:t>
      </w:r>
      <w:r w:rsidR="004E0A37" w:rsidRPr="004E0A37">
        <w:rPr>
          <w:spacing w:val="0"/>
          <w:sz w:val="20"/>
          <w:rtl/>
        </w:rPr>
        <w:t>1906/2009) (المادة 16).</w:t>
      </w:r>
    </w:p>
    <w:p w:rsidR="004E0A37" w:rsidRPr="003E72B5" w:rsidRDefault="004E0A37" w:rsidP="004E0A37">
      <w:pPr>
        <w:pStyle w:val="SingleTxtGA"/>
        <w:jc w:val="lowKashida"/>
        <w:rPr>
          <w:rFonts w:hint="cs"/>
          <w:b/>
          <w:bCs/>
          <w:spacing w:val="0"/>
          <w:sz w:val="20"/>
          <w:rtl/>
        </w:rPr>
      </w:pPr>
      <w:r w:rsidRPr="003E72B5">
        <w:rPr>
          <w:rFonts w:hint="cs"/>
          <w:b/>
          <w:bCs/>
          <w:spacing w:val="0"/>
          <w:sz w:val="20"/>
          <w:rtl/>
        </w:rPr>
        <w:tab/>
      </w:r>
      <w:r w:rsidRPr="003E72B5">
        <w:rPr>
          <w:b/>
          <w:bCs/>
          <w:spacing w:val="0"/>
          <w:sz w:val="20"/>
          <w:rtl/>
        </w:rPr>
        <w:t xml:space="preserve">ينبغي للدولة أن تتخذ جميع التدابير الضرورية لتحسين ظروف احتجاز الأشخاص المحكوم عليهم بالإعدام وضمان حصولهم على جميع أشكال الحماية المنصوص عليها في الاتفاقية. وعلاوة على ذلك، </w:t>
      </w:r>
      <w:r w:rsidRPr="003E72B5">
        <w:rPr>
          <w:rFonts w:hint="cs"/>
          <w:b/>
          <w:bCs/>
          <w:spacing w:val="0"/>
          <w:sz w:val="20"/>
          <w:rtl/>
        </w:rPr>
        <w:t>ينبغي لها</w:t>
      </w:r>
      <w:r w:rsidRPr="003E72B5">
        <w:rPr>
          <w:b/>
          <w:bCs/>
          <w:spacing w:val="0"/>
          <w:sz w:val="20"/>
          <w:rtl/>
        </w:rPr>
        <w:t xml:space="preserve"> </w:t>
      </w:r>
      <w:r w:rsidRPr="003E72B5">
        <w:rPr>
          <w:rFonts w:hint="cs"/>
          <w:b/>
          <w:bCs/>
          <w:spacing w:val="0"/>
          <w:sz w:val="20"/>
          <w:rtl/>
        </w:rPr>
        <w:t>إزالة ما يحيط بعمليات تنفيذ أحكام الإعدام من سرية وتعسف</w:t>
      </w:r>
      <w:r w:rsidRPr="003E72B5">
        <w:rPr>
          <w:b/>
          <w:bCs/>
          <w:spacing w:val="0"/>
          <w:sz w:val="20"/>
          <w:rtl/>
        </w:rPr>
        <w:t xml:space="preserve"> </w:t>
      </w:r>
      <w:r w:rsidRPr="003E72B5">
        <w:rPr>
          <w:rFonts w:hint="cs"/>
          <w:b/>
          <w:bCs/>
          <w:spacing w:val="0"/>
          <w:sz w:val="20"/>
          <w:rtl/>
        </w:rPr>
        <w:t>حتى لا تتضاعف حيرة أفراد الأسرة وآلامها</w:t>
      </w:r>
      <w:r w:rsidRPr="003E72B5">
        <w:rPr>
          <w:b/>
          <w:bCs/>
          <w:spacing w:val="0"/>
          <w:sz w:val="20"/>
          <w:rtl/>
        </w:rPr>
        <w:t xml:space="preserve">. </w:t>
      </w:r>
      <w:r w:rsidRPr="003E72B5">
        <w:rPr>
          <w:rFonts w:hint="cs"/>
          <w:b/>
          <w:bCs/>
          <w:spacing w:val="0"/>
          <w:sz w:val="20"/>
          <w:rtl/>
        </w:rPr>
        <w:t>و</w:t>
      </w:r>
      <w:r w:rsidRPr="003E72B5">
        <w:rPr>
          <w:b/>
          <w:bCs/>
          <w:spacing w:val="0"/>
          <w:sz w:val="20"/>
          <w:rtl/>
        </w:rPr>
        <w:t xml:space="preserve">توصي اللجنة الدولة الطرف أيضاً </w:t>
      </w:r>
      <w:r w:rsidRPr="003E72B5">
        <w:rPr>
          <w:rFonts w:hint="cs"/>
          <w:b/>
          <w:bCs/>
          <w:spacing w:val="0"/>
          <w:sz w:val="20"/>
          <w:rtl/>
        </w:rPr>
        <w:t>ب</w:t>
      </w:r>
      <w:r w:rsidRPr="003E72B5">
        <w:rPr>
          <w:b/>
          <w:bCs/>
          <w:spacing w:val="0"/>
          <w:sz w:val="20"/>
          <w:rtl/>
        </w:rPr>
        <w:t xml:space="preserve">النظر في التصديق على البروتوكول الاختياري الثاني للعهد الدولي الخاص بالحقوق المدنية والسياسية </w:t>
      </w:r>
      <w:r w:rsidRPr="003E72B5">
        <w:rPr>
          <w:rFonts w:hint="cs"/>
          <w:b/>
          <w:bCs/>
          <w:spacing w:val="0"/>
          <w:sz w:val="20"/>
          <w:rtl/>
        </w:rPr>
        <w:t xml:space="preserve">الهادف </w:t>
      </w:r>
      <w:r w:rsidRPr="003E72B5">
        <w:rPr>
          <w:b/>
          <w:bCs/>
          <w:spacing w:val="0"/>
          <w:sz w:val="20"/>
          <w:rtl/>
        </w:rPr>
        <w:t>إلى إلغاء عقوبة الإعدام.</w:t>
      </w:r>
    </w:p>
    <w:p w:rsidR="004E0A37" w:rsidRPr="004E0A37" w:rsidRDefault="004E0A37" w:rsidP="00335AC0">
      <w:pPr>
        <w:pStyle w:val="H23GA"/>
        <w:rPr>
          <w:rtl/>
          <w:lang w:bidi="ar-MA"/>
        </w:rPr>
      </w:pPr>
      <w:r w:rsidRPr="004E0A37">
        <w:rPr>
          <w:rFonts w:hint="cs"/>
          <w:rtl/>
          <w:lang w:bidi="ar-MA"/>
        </w:rPr>
        <w:tab/>
      </w:r>
      <w:r w:rsidRPr="004E0A37">
        <w:rPr>
          <w:rFonts w:hint="cs"/>
          <w:rtl/>
          <w:lang w:bidi="ar-MA"/>
        </w:rPr>
        <w:tab/>
      </w:r>
      <w:r w:rsidRPr="004E0A37">
        <w:rPr>
          <w:rtl/>
          <w:lang w:bidi="ar-MA"/>
        </w:rPr>
        <w:t>جمع البيانات</w:t>
      </w:r>
    </w:p>
    <w:p w:rsidR="004E0A37" w:rsidRPr="004E0A37" w:rsidRDefault="003E72B5" w:rsidP="003E72B5">
      <w:pPr>
        <w:pStyle w:val="SingleTxtGA"/>
        <w:jc w:val="lowKashida"/>
        <w:rPr>
          <w:rFonts w:hint="cs"/>
          <w:b/>
          <w:bCs/>
          <w:spacing w:val="0"/>
          <w:sz w:val="20"/>
          <w:rtl/>
        </w:rPr>
      </w:pPr>
      <w:r>
        <w:rPr>
          <w:rFonts w:hint="cs"/>
          <w:spacing w:val="0"/>
          <w:sz w:val="20"/>
          <w:rtl/>
        </w:rPr>
        <w:t>(</w:t>
      </w:r>
      <w:r w:rsidR="004E0A37" w:rsidRPr="004E0A37">
        <w:rPr>
          <w:rFonts w:hint="cs"/>
          <w:spacing w:val="0"/>
          <w:sz w:val="20"/>
          <w:rtl/>
        </w:rPr>
        <w:t>28</w:t>
      </w:r>
      <w:r>
        <w:rPr>
          <w:rFonts w:hint="cs"/>
          <w:spacing w:val="0"/>
          <w:sz w:val="20"/>
          <w:rtl/>
        </w:rPr>
        <w:t>)</w:t>
      </w:r>
      <w:r w:rsidR="004E0A37" w:rsidRPr="004E0A37">
        <w:rPr>
          <w:rFonts w:hint="cs"/>
          <w:spacing w:val="0"/>
          <w:sz w:val="20"/>
          <w:rtl/>
        </w:rPr>
        <w:tab/>
      </w:r>
      <w:r w:rsidR="004E0A37" w:rsidRPr="004E0A37">
        <w:rPr>
          <w:spacing w:val="0"/>
          <w:sz w:val="20"/>
          <w:rtl/>
        </w:rPr>
        <w:t>تأسف اللجنة لعدم وجود بيانات شاملة ومفصلة عن العديد من المجالات التي تغطيها الاتفاقية،</w:t>
      </w:r>
      <w:r w:rsidR="004E0A37" w:rsidRPr="004E0A37">
        <w:rPr>
          <w:rFonts w:hint="cs"/>
          <w:spacing w:val="0"/>
          <w:sz w:val="20"/>
          <w:rtl/>
        </w:rPr>
        <w:t xml:space="preserve"> منها</w:t>
      </w:r>
      <w:r w:rsidR="004E0A37" w:rsidRPr="004E0A37">
        <w:rPr>
          <w:spacing w:val="0"/>
          <w:sz w:val="20"/>
          <w:rtl/>
        </w:rPr>
        <w:t xml:space="preserve"> الإحصاءات بشأن الشكاوى </w:t>
      </w:r>
      <w:r w:rsidR="004E0A37" w:rsidRPr="004E0A37">
        <w:rPr>
          <w:rFonts w:hint="cs"/>
          <w:spacing w:val="0"/>
          <w:sz w:val="20"/>
          <w:rtl/>
        </w:rPr>
        <w:t>و</w:t>
      </w:r>
      <w:r w:rsidR="004E0A37" w:rsidRPr="004E0A37">
        <w:rPr>
          <w:spacing w:val="0"/>
          <w:sz w:val="20"/>
          <w:rtl/>
        </w:rPr>
        <w:t xml:space="preserve">التحقيقات والملاحقات والإدانات في قضايا التعذيب وسوء المعاملة من قبل المكلفين بإنفاذ القانون </w:t>
      </w:r>
      <w:r w:rsidR="004E0A37" w:rsidRPr="004E0A37">
        <w:rPr>
          <w:rFonts w:hint="cs"/>
          <w:spacing w:val="0"/>
          <w:sz w:val="20"/>
          <w:rtl/>
        </w:rPr>
        <w:t>وضباط</w:t>
      </w:r>
      <w:r w:rsidR="004E0A37" w:rsidRPr="004E0A37">
        <w:rPr>
          <w:spacing w:val="0"/>
          <w:sz w:val="20"/>
          <w:rtl/>
        </w:rPr>
        <w:t xml:space="preserve"> الأمن والسجون، و</w:t>
      </w:r>
      <w:r w:rsidR="004E0A37" w:rsidRPr="004E0A37">
        <w:rPr>
          <w:rFonts w:hint="cs"/>
          <w:spacing w:val="0"/>
          <w:sz w:val="20"/>
          <w:rtl/>
        </w:rPr>
        <w:t xml:space="preserve">حالات </w:t>
      </w:r>
      <w:r w:rsidR="004E0A37" w:rsidRPr="004E0A37">
        <w:rPr>
          <w:spacing w:val="0"/>
          <w:sz w:val="20"/>
          <w:rtl/>
        </w:rPr>
        <w:t xml:space="preserve">الاختفاء القسري </w:t>
      </w:r>
      <w:r w:rsidR="004E0A37" w:rsidRPr="004E0A37">
        <w:rPr>
          <w:rFonts w:hint="cs"/>
          <w:spacing w:val="0"/>
          <w:sz w:val="20"/>
          <w:rtl/>
        </w:rPr>
        <w:t>و</w:t>
      </w:r>
      <w:r w:rsidR="004E0A37" w:rsidRPr="004E0A37">
        <w:rPr>
          <w:spacing w:val="0"/>
          <w:sz w:val="20"/>
          <w:rtl/>
        </w:rPr>
        <w:t>الاتجار بالبشر والعنف المنزلي والجنسي (المادتان 12 و13).</w:t>
      </w:r>
    </w:p>
    <w:p w:rsidR="004E0A37" w:rsidRPr="003E72B5" w:rsidRDefault="004E0A37" w:rsidP="00335AC0">
      <w:pPr>
        <w:pStyle w:val="SingleTxtGA"/>
        <w:jc w:val="lowKashida"/>
        <w:rPr>
          <w:rFonts w:hint="cs"/>
          <w:b/>
          <w:bCs/>
          <w:spacing w:val="0"/>
          <w:sz w:val="20"/>
          <w:rtl/>
        </w:rPr>
      </w:pPr>
      <w:r w:rsidRPr="003E72B5">
        <w:rPr>
          <w:rFonts w:hint="cs"/>
          <w:b/>
          <w:bCs/>
          <w:spacing w:val="0"/>
          <w:sz w:val="20"/>
          <w:rtl/>
        </w:rPr>
        <w:tab/>
      </w:r>
      <w:r w:rsidRPr="003E72B5">
        <w:rPr>
          <w:b/>
          <w:bCs/>
          <w:spacing w:val="0"/>
          <w:sz w:val="20"/>
          <w:rtl/>
        </w:rPr>
        <w:t xml:space="preserve">ينبغي للدولة الطرف أن تجمع </w:t>
      </w:r>
      <w:r w:rsidRPr="003E72B5">
        <w:rPr>
          <w:rFonts w:hint="cs"/>
          <w:b/>
          <w:bCs/>
          <w:spacing w:val="0"/>
          <w:sz w:val="20"/>
          <w:rtl/>
        </w:rPr>
        <w:t>بيانات إحصائية تتصل برصد تنفيذ الاتفاقية على المستوى الوطني،</w:t>
      </w:r>
      <w:r w:rsidRPr="003E72B5">
        <w:rPr>
          <w:b/>
          <w:bCs/>
          <w:spacing w:val="0"/>
          <w:sz w:val="20"/>
          <w:rtl/>
        </w:rPr>
        <w:t xml:space="preserve"> بما في ذلك معلومات </w:t>
      </w:r>
      <w:r w:rsidRPr="003E72B5">
        <w:rPr>
          <w:rFonts w:hint="cs"/>
          <w:b/>
          <w:bCs/>
          <w:spacing w:val="0"/>
          <w:sz w:val="20"/>
          <w:rtl/>
        </w:rPr>
        <w:t>عن</w:t>
      </w:r>
      <w:r w:rsidRPr="003E72B5">
        <w:rPr>
          <w:b/>
          <w:bCs/>
          <w:spacing w:val="0"/>
          <w:sz w:val="20"/>
          <w:rtl/>
        </w:rPr>
        <w:t xml:space="preserve"> الشكاوى </w:t>
      </w:r>
      <w:r w:rsidRPr="003E72B5">
        <w:rPr>
          <w:rFonts w:hint="cs"/>
          <w:b/>
          <w:bCs/>
          <w:spacing w:val="0"/>
          <w:sz w:val="20"/>
          <w:rtl/>
        </w:rPr>
        <w:t>و</w:t>
      </w:r>
      <w:r w:rsidRPr="003E72B5">
        <w:rPr>
          <w:b/>
          <w:bCs/>
          <w:spacing w:val="0"/>
          <w:sz w:val="20"/>
          <w:rtl/>
        </w:rPr>
        <w:t>التحقيقات والملاحقات القضائية والإدانات في قضايا التعذيب وسوء المعاملة والاتجار</w:t>
      </w:r>
      <w:r w:rsidRPr="003E72B5">
        <w:rPr>
          <w:rFonts w:hint="cs"/>
          <w:b/>
          <w:bCs/>
          <w:spacing w:val="0"/>
          <w:sz w:val="20"/>
          <w:rtl/>
        </w:rPr>
        <w:t xml:space="preserve"> بالبشر</w:t>
      </w:r>
      <w:r w:rsidRPr="003E72B5">
        <w:rPr>
          <w:b/>
          <w:bCs/>
          <w:spacing w:val="0"/>
          <w:sz w:val="20"/>
          <w:rtl/>
        </w:rPr>
        <w:t xml:space="preserve"> </w:t>
      </w:r>
      <w:r w:rsidRPr="003E72B5">
        <w:rPr>
          <w:rFonts w:hint="cs"/>
          <w:b/>
          <w:bCs/>
          <w:spacing w:val="0"/>
          <w:sz w:val="20"/>
          <w:rtl/>
        </w:rPr>
        <w:t xml:space="preserve">والعنف المنزلي والجنسي </w:t>
      </w:r>
      <w:r w:rsidRPr="003E72B5">
        <w:rPr>
          <w:b/>
          <w:bCs/>
          <w:spacing w:val="0"/>
          <w:sz w:val="20"/>
          <w:rtl/>
        </w:rPr>
        <w:t xml:space="preserve">ونتائج جميع هذه الشكاوى والقضايا، </w:t>
      </w:r>
      <w:r w:rsidRPr="003E72B5">
        <w:rPr>
          <w:rFonts w:hint="cs"/>
          <w:b/>
          <w:bCs/>
          <w:spacing w:val="0"/>
          <w:sz w:val="20"/>
          <w:rtl/>
        </w:rPr>
        <w:t>بما في ذلك ما أتيح للضحايا من تعويض وإعادة تأهيل، وأن</w:t>
      </w:r>
      <w:r w:rsidR="00335AC0" w:rsidRPr="003E72B5">
        <w:rPr>
          <w:rFonts w:hint="eastAsia"/>
          <w:b/>
          <w:bCs/>
          <w:spacing w:val="0"/>
          <w:sz w:val="20"/>
          <w:rtl/>
        </w:rPr>
        <w:t> </w:t>
      </w:r>
      <w:r w:rsidRPr="003E72B5">
        <w:rPr>
          <w:rFonts w:hint="cs"/>
          <w:b/>
          <w:bCs/>
          <w:spacing w:val="0"/>
          <w:sz w:val="20"/>
          <w:rtl/>
        </w:rPr>
        <w:t>تقدم هذه البيانات إلى اللجنة.</w:t>
      </w:r>
    </w:p>
    <w:p w:rsidR="004E0A37" w:rsidRPr="004E0A37" w:rsidRDefault="004E0A37" w:rsidP="00335AC0">
      <w:pPr>
        <w:pStyle w:val="H23GA"/>
        <w:rPr>
          <w:rFonts w:hint="cs"/>
          <w:rtl/>
          <w:lang w:bidi="ar-MA"/>
        </w:rPr>
      </w:pPr>
      <w:r w:rsidRPr="004E0A37">
        <w:rPr>
          <w:rFonts w:hint="cs"/>
          <w:rtl/>
          <w:lang w:bidi="ar-MA"/>
        </w:rPr>
        <w:tab/>
      </w:r>
      <w:r w:rsidRPr="004E0A37">
        <w:rPr>
          <w:rFonts w:hint="cs"/>
          <w:rtl/>
          <w:lang w:bidi="ar-MA"/>
        </w:rPr>
        <w:tab/>
      </w:r>
      <w:r w:rsidRPr="004E0A37">
        <w:rPr>
          <w:rtl/>
          <w:lang w:bidi="ar-MA"/>
        </w:rPr>
        <w:t xml:space="preserve">التعاون مع </w:t>
      </w:r>
      <w:r w:rsidRPr="004E0A37">
        <w:rPr>
          <w:rFonts w:hint="cs"/>
          <w:rtl/>
          <w:lang w:bidi="ar-MA"/>
        </w:rPr>
        <w:t>آليات حقوق الإنسان التابعة للأمم المتحدة</w:t>
      </w:r>
    </w:p>
    <w:p w:rsidR="004E0A37" w:rsidRPr="004E0A37" w:rsidRDefault="003E72B5" w:rsidP="003E72B5">
      <w:pPr>
        <w:pStyle w:val="SingleTxtGA"/>
        <w:jc w:val="lowKashida"/>
        <w:rPr>
          <w:spacing w:val="0"/>
          <w:sz w:val="20"/>
          <w:rtl/>
        </w:rPr>
      </w:pPr>
      <w:r>
        <w:rPr>
          <w:rFonts w:hint="cs"/>
          <w:spacing w:val="0"/>
          <w:sz w:val="20"/>
          <w:rtl/>
        </w:rPr>
        <w:t>(</w:t>
      </w:r>
      <w:r w:rsidR="004E0A37" w:rsidRPr="004E0A37">
        <w:rPr>
          <w:rFonts w:hint="cs"/>
          <w:spacing w:val="0"/>
          <w:sz w:val="20"/>
          <w:rtl/>
        </w:rPr>
        <w:t>29</w:t>
      </w:r>
      <w:r>
        <w:rPr>
          <w:rFonts w:hint="cs"/>
          <w:spacing w:val="0"/>
          <w:sz w:val="20"/>
          <w:rtl/>
        </w:rPr>
        <w:t>)</w:t>
      </w:r>
      <w:r w:rsidR="004E0A37" w:rsidRPr="004E0A37">
        <w:rPr>
          <w:rFonts w:hint="cs"/>
          <w:spacing w:val="0"/>
          <w:sz w:val="20"/>
          <w:rtl/>
        </w:rPr>
        <w:tab/>
        <w:t>توصي اللجنة الدولة الطرف بتعزيز تعاونها مع آليات الأمم المتحدة لحقوق الإنسان، بما في ذلك عن طريق السماح بإجراء زيارات لأصحاب الولايات المكلفين بالإجراءات الخاصة الذين قدموا طلباً في هذا الشأن، ومن بينهم المقرر الخاص المعني بمسألة التعذيب وغيره من ضروب المعاملة أو العقوبة القاسية أو اللاإنسانية أو المهينة والمقرر الخاص المعني بحالة المدافعين عن حقوق الإنسان والمقرر الخاص المعني بتعزيز وحماية</w:t>
      </w:r>
      <w:r w:rsidR="004E0A37" w:rsidRPr="004E0A37">
        <w:rPr>
          <w:spacing w:val="0"/>
          <w:sz w:val="20"/>
          <w:rtl/>
        </w:rPr>
        <w:t xml:space="preserve"> </w:t>
      </w:r>
      <w:r w:rsidR="004E0A37" w:rsidRPr="004E0A37">
        <w:rPr>
          <w:rFonts w:hint="cs"/>
          <w:spacing w:val="0"/>
          <w:sz w:val="20"/>
          <w:rtl/>
        </w:rPr>
        <w:t xml:space="preserve">الحق في حرية الرأي والتعبير </w:t>
      </w:r>
      <w:r w:rsidR="004E0A37" w:rsidRPr="004E0A37">
        <w:rPr>
          <w:spacing w:val="0"/>
          <w:sz w:val="20"/>
          <w:rtl/>
        </w:rPr>
        <w:t>والفريق العامل المعني بحالات الاختفاء القسري أو غير الطوعي.</w:t>
      </w:r>
    </w:p>
    <w:p w:rsidR="004E0A37" w:rsidRPr="004E0A37" w:rsidRDefault="003E72B5" w:rsidP="00335AC0">
      <w:pPr>
        <w:pStyle w:val="SingleTxtGA"/>
        <w:jc w:val="lowKashida"/>
        <w:rPr>
          <w:spacing w:val="0"/>
          <w:sz w:val="20"/>
          <w:rtl/>
        </w:rPr>
      </w:pPr>
      <w:r>
        <w:rPr>
          <w:rFonts w:hint="cs"/>
          <w:spacing w:val="0"/>
          <w:sz w:val="20"/>
          <w:rtl/>
        </w:rPr>
        <w:t>(</w:t>
      </w:r>
      <w:r w:rsidR="004E0A37" w:rsidRPr="004E0A37">
        <w:rPr>
          <w:rFonts w:hint="cs"/>
          <w:spacing w:val="0"/>
          <w:sz w:val="20"/>
          <w:rtl/>
        </w:rPr>
        <w:t>30</w:t>
      </w:r>
      <w:r>
        <w:rPr>
          <w:rFonts w:hint="cs"/>
          <w:spacing w:val="0"/>
          <w:sz w:val="20"/>
          <w:rtl/>
        </w:rPr>
        <w:t>)</w:t>
      </w:r>
      <w:r>
        <w:rPr>
          <w:rFonts w:hint="cs"/>
          <w:spacing w:val="0"/>
          <w:sz w:val="20"/>
          <w:rtl/>
        </w:rPr>
        <w:tab/>
      </w:r>
      <w:r w:rsidR="004E0A37" w:rsidRPr="004E0A37">
        <w:rPr>
          <w:rFonts w:hint="cs"/>
          <w:spacing w:val="0"/>
          <w:sz w:val="20"/>
          <w:rtl/>
        </w:rPr>
        <w:t>و</w:t>
      </w:r>
      <w:r w:rsidR="004E0A37" w:rsidRPr="004E0A37">
        <w:rPr>
          <w:spacing w:val="0"/>
          <w:sz w:val="20"/>
          <w:rtl/>
        </w:rPr>
        <w:t>توصي اللجنة بأن تنظر الدولة الطرف في التصديق على البروتوكول الاختياري لاتفاقية مناهضة التعذيب وغيره من ضروب المعاملة أو العقوبة القاسية أو اللاإنسانية أو</w:t>
      </w:r>
      <w:r w:rsidR="00335AC0">
        <w:rPr>
          <w:rFonts w:hint="cs"/>
          <w:spacing w:val="0"/>
          <w:sz w:val="20"/>
          <w:rtl/>
        </w:rPr>
        <w:t> </w:t>
      </w:r>
      <w:r w:rsidR="004E0A37" w:rsidRPr="004E0A37">
        <w:rPr>
          <w:spacing w:val="0"/>
          <w:sz w:val="20"/>
          <w:rtl/>
        </w:rPr>
        <w:t>المهينة</w:t>
      </w:r>
      <w:r w:rsidR="004E0A37" w:rsidRPr="004E0A37">
        <w:rPr>
          <w:rFonts w:hint="cs"/>
          <w:spacing w:val="0"/>
          <w:sz w:val="20"/>
          <w:rtl/>
        </w:rPr>
        <w:t>،</w:t>
      </w:r>
      <w:r w:rsidR="004E0A37" w:rsidRPr="004E0A37">
        <w:rPr>
          <w:spacing w:val="0"/>
          <w:sz w:val="20"/>
          <w:rtl/>
        </w:rPr>
        <w:t xml:space="preserve"> في أقرب وقت ممكن.</w:t>
      </w:r>
    </w:p>
    <w:p w:rsidR="004E0A37" w:rsidRPr="004E0A37" w:rsidRDefault="003E72B5" w:rsidP="004E0A37">
      <w:pPr>
        <w:pStyle w:val="SingleTxtGA"/>
        <w:jc w:val="lowKashida"/>
        <w:rPr>
          <w:spacing w:val="0"/>
          <w:sz w:val="20"/>
          <w:rtl/>
        </w:rPr>
      </w:pPr>
      <w:r>
        <w:rPr>
          <w:rFonts w:hint="cs"/>
          <w:spacing w:val="0"/>
          <w:sz w:val="20"/>
          <w:rtl/>
        </w:rPr>
        <w:t>(</w:t>
      </w:r>
      <w:r w:rsidR="004E0A37" w:rsidRPr="004E0A37">
        <w:rPr>
          <w:rFonts w:hint="cs"/>
          <w:spacing w:val="0"/>
          <w:sz w:val="20"/>
          <w:rtl/>
        </w:rPr>
        <w:t>31</w:t>
      </w:r>
      <w:r>
        <w:rPr>
          <w:rFonts w:hint="cs"/>
          <w:spacing w:val="0"/>
          <w:sz w:val="20"/>
          <w:rtl/>
        </w:rPr>
        <w:t>)</w:t>
      </w:r>
      <w:r>
        <w:rPr>
          <w:rFonts w:hint="cs"/>
          <w:spacing w:val="0"/>
          <w:sz w:val="20"/>
          <w:rtl/>
        </w:rPr>
        <w:tab/>
      </w:r>
      <w:r w:rsidR="004E0A37" w:rsidRPr="004E0A37">
        <w:rPr>
          <w:rFonts w:hint="cs"/>
          <w:spacing w:val="0"/>
          <w:sz w:val="20"/>
          <w:rtl/>
        </w:rPr>
        <w:t>وتوصي اللجنة الدولة الطرف بأن تنظر في إصدار الإعلانات المطلوبة بموجب في إطار</w:t>
      </w:r>
      <w:r w:rsidR="004E0A37" w:rsidRPr="004E0A37">
        <w:rPr>
          <w:spacing w:val="0"/>
          <w:sz w:val="20"/>
          <w:rtl/>
        </w:rPr>
        <w:t xml:space="preserve"> المادتين 21 و22 من الاتفاقية.</w:t>
      </w:r>
    </w:p>
    <w:p w:rsidR="004E0A37" w:rsidRPr="004E0A37" w:rsidRDefault="003E72B5" w:rsidP="006E43D5">
      <w:pPr>
        <w:pStyle w:val="SingleTxtGA"/>
        <w:jc w:val="lowKashida"/>
        <w:rPr>
          <w:spacing w:val="0"/>
          <w:sz w:val="20"/>
          <w:rtl/>
        </w:rPr>
      </w:pPr>
      <w:r w:rsidRPr="006E43D5">
        <w:rPr>
          <w:rFonts w:hint="cs"/>
          <w:spacing w:val="-2"/>
          <w:kern w:val="0"/>
          <w:sz w:val="20"/>
          <w:rtl/>
        </w:rPr>
        <w:t>(</w:t>
      </w:r>
      <w:r w:rsidR="004E0A37" w:rsidRPr="006E43D5">
        <w:rPr>
          <w:rFonts w:hint="cs"/>
          <w:spacing w:val="-2"/>
          <w:kern w:val="0"/>
          <w:sz w:val="20"/>
          <w:rtl/>
        </w:rPr>
        <w:t>32</w:t>
      </w:r>
      <w:r w:rsidRPr="006E43D5">
        <w:rPr>
          <w:rFonts w:hint="cs"/>
          <w:spacing w:val="-2"/>
          <w:kern w:val="0"/>
          <w:sz w:val="20"/>
          <w:rtl/>
        </w:rPr>
        <w:t>)</w:t>
      </w:r>
      <w:r w:rsidRPr="006E43D5">
        <w:rPr>
          <w:rFonts w:hint="cs"/>
          <w:spacing w:val="-2"/>
          <w:kern w:val="0"/>
          <w:sz w:val="20"/>
          <w:rtl/>
        </w:rPr>
        <w:tab/>
      </w:r>
      <w:r w:rsidR="004E0A37" w:rsidRPr="006E43D5">
        <w:rPr>
          <w:rFonts w:hint="cs"/>
          <w:spacing w:val="-2"/>
          <w:kern w:val="0"/>
          <w:sz w:val="20"/>
          <w:rtl/>
        </w:rPr>
        <w:t>وتدعو اللجنة الدولة الطرف إلى أن تصدق على معاهدات الأمم المتحدة الأساسية لحقوق الإنسان التي</w:t>
      </w:r>
      <w:r w:rsidR="00335AC0" w:rsidRPr="006E43D5">
        <w:rPr>
          <w:rFonts w:hint="cs"/>
          <w:spacing w:val="-2"/>
          <w:kern w:val="0"/>
          <w:sz w:val="20"/>
          <w:rtl/>
        </w:rPr>
        <w:t xml:space="preserve"> لم </w:t>
      </w:r>
      <w:r w:rsidR="004E0A37" w:rsidRPr="006E43D5">
        <w:rPr>
          <w:rFonts w:hint="cs"/>
          <w:spacing w:val="-2"/>
          <w:kern w:val="0"/>
          <w:sz w:val="20"/>
          <w:rtl/>
        </w:rPr>
        <w:t>تصبح طرفاً فيها بعد، ومنها الاتفاقية الدولية لحماية جميع الأشخاص من الاختفاء القسري</w:t>
      </w:r>
      <w:r w:rsidR="004E0A37" w:rsidRPr="006E43D5">
        <w:rPr>
          <w:spacing w:val="-2"/>
          <w:kern w:val="0"/>
          <w:sz w:val="20"/>
          <w:rtl/>
        </w:rPr>
        <w:t xml:space="preserve"> والبروتوكول الاختياري الثاني للعهد الدولي الخاص بالحقوق المدنية والسياسية الهادف إلى إلغاء عقوبة الإعدام. </w:t>
      </w:r>
      <w:r w:rsidR="004E0A37" w:rsidRPr="006E43D5">
        <w:rPr>
          <w:rFonts w:hint="cs"/>
          <w:spacing w:val="-2"/>
          <w:kern w:val="0"/>
          <w:sz w:val="20"/>
          <w:rtl/>
        </w:rPr>
        <w:t>وإذ تحيط</w:t>
      </w:r>
      <w:r w:rsidR="003833F8" w:rsidRPr="006E43D5">
        <w:rPr>
          <w:rFonts w:hint="cs"/>
          <w:spacing w:val="-2"/>
          <w:kern w:val="0"/>
          <w:sz w:val="20"/>
          <w:rtl/>
        </w:rPr>
        <w:t xml:space="preserve"> علماً </w:t>
      </w:r>
      <w:r w:rsidR="004E0A37" w:rsidRPr="006E43D5">
        <w:rPr>
          <w:rFonts w:hint="cs"/>
          <w:spacing w:val="-2"/>
          <w:kern w:val="0"/>
          <w:sz w:val="20"/>
          <w:rtl/>
        </w:rPr>
        <w:t>ب</w:t>
      </w:r>
      <w:r w:rsidR="004E0A37" w:rsidRPr="006E43D5">
        <w:rPr>
          <w:spacing w:val="-2"/>
          <w:kern w:val="0"/>
          <w:sz w:val="20"/>
          <w:rtl/>
        </w:rPr>
        <w:t>الالتزام الذي قطعته الدولة الطرف</w:t>
      </w:r>
      <w:r w:rsidR="004E0A37" w:rsidRPr="006E43D5">
        <w:rPr>
          <w:rFonts w:hint="cs"/>
          <w:spacing w:val="-2"/>
          <w:kern w:val="0"/>
          <w:sz w:val="20"/>
          <w:rtl/>
        </w:rPr>
        <w:t xml:space="preserve"> على نفسها</w:t>
      </w:r>
      <w:r w:rsidR="004E0A37" w:rsidRPr="006E43D5">
        <w:rPr>
          <w:spacing w:val="-2"/>
          <w:kern w:val="0"/>
          <w:sz w:val="20"/>
          <w:rtl/>
        </w:rPr>
        <w:t xml:space="preserve"> في سياق الاستعراض الدوري الشامل (</w:t>
      </w:r>
      <w:r w:rsidR="004E0A37" w:rsidRPr="006E43D5">
        <w:rPr>
          <w:spacing w:val="-2"/>
          <w:kern w:val="0"/>
          <w:sz w:val="20"/>
        </w:rPr>
        <w:t>A/HRC/15/16</w:t>
      </w:r>
      <w:r w:rsidR="004E0A37" w:rsidRPr="006E43D5">
        <w:rPr>
          <w:spacing w:val="-2"/>
          <w:kern w:val="0"/>
          <w:sz w:val="20"/>
          <w:rtl/>
        </w:rPr>
        <w:t>، الفقرت</w:t>
      </w:r>
      <w:r w:rsidR="004E0A37" w:rsidRPr="006E43D5">
        <w:rPr>
          <w:rFonts w:hint="cs"/>
          <w:spacing w:val="-2"/>
          <w:kern w:val="0"/>
          <w:sz w:val="20"/>
          <w:rtl/>
        </w:rPr>
        <w:t>ان</w:t>
      </w:r>
      <w:r w:rsidR="004E0A37" w:rsidRPr="006E43D5">
        <w:rPr>
          <w:spacing w:val="-2"/>
          <w:kern w:val="0"/>
          <w:sz w:val="20"/>
          <w:rtl/>
        </w:rPr>
        <w:t xml:space="preserve"> </w:t>
      </w:r>
      <w:r w:rsidR="004E0A37" w:rsidRPr="006E43D5">
        <w:rPr>
          <w:rFonts w:hint="cs"/>
          <w:spacing w:val="-2"/>
          <w:kern w:val="0"/>
          <w:sz w:val="20"/>
          <w:rtl/>
        </w:rPr>
        <w:t>97-1</w:t>
      </w:r>
      <w:r w:rsidR="004E0A37" w:rsidRPr="004E0A37">
        <w:rPr>
          <w:spacing w:val="0"/>
          <w:sz w:val="20"/>
          <w:rtl/>
        </w:rPr>
        <w:t xml:space="preserve"> و</w:t>
      </w:r>
      <w:r w:rsidR="004E0A37" w:rsidRPr="004E0A37">
        <w:rPr>
          <w:rFonts w:hint="cs"/>
          <w:spacing w:val="0"/>
          <w:sz w:val="20"/>
          <w:rtl/>
        </w:rPr>
        <w:t>98-3</w:t>
      </w:r>
      <w:r w:rsidR="004E0A37" w:rsidRPr="004E0A37">
        <w:rPr>
          <w:spacing w:val="0"/>
          <w:sz w:val="20"/>
          <w:rtl/>
        </w:rPr>
        <w:t>)، توصي</w:t>
      </w:r>
      <w:r w:rsidR="006E43D5">
        <w:rPr>
          <w:rFonts w:hint="cs"/>
          <w:spacing w:val="0"/>
          <w:sz w:val="20"/>
          <w:rtl/>
        </w:rPr>
        <w:t> </w:t>
      </w:r>
      <w:r w:rsidR="004E0A37" w:rsidRPr="004E0A37">
        <w:rPr>
          <w:spacing w:val="0"/>
          <w:sz w:val="20"/>
          <w:rtl/>
        </w:rPr>
        <w:t>اللجنة بأن تعمل الدولة الطرف من أجل التصديق على الاتفاقية الدولية لحماية حقوق</w:t>
      </w:r>
      <w:r w:rsidR="006E43D5">
        <w:rPr>
          <w:rFonts w:hint="cs"/>
          <w:spacing w:val="0"/>
          <w:sz w:val="20"/>
          <w:rtl/>
        </w:rPr>
        <w:t> </w:t>
      </w:r>
      <w:r w:rsidR="004E0A37" w:rsidRPr="004E0A37">
        <w:rPr>
          <w:spacing w:val="0"/>
          <w:sz w:val="20"/>
          <w:rtl/>
        </w:rPr>
        <w:t>جميع العمال المهاجرين وأفراد أسرهم واتفاقية حقوق الأشخاص ذوي الإعاقة وبروتوكولها الاختياري.</w:t>
      </w:r>
    </w:p>
    <w:p w:rsidR="004E0A37" w:rsidRPr="004E0A37" w:rsidRDefault="003E72B5"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33</w:t>
      </w:r>
      <w:r>
        <w:rPr>
          <w:rFonts w:hint="cs"/>
          <w:spacing w:val="0"/>
          <w:sz w:val="20"/>
          <w:rtl/>
        </w:rPr>
        <w:t>)</w:t>
      </w:r>
      <w:r>
        <w:rPr>
          <w:rFonts w:hint="cs"/>
          <w:spacing w:val="0"/>
          <w:sz w:val="20"/>
          <w:rtl/>
        </w:rPr>
        <w:tab/>
      </w:r>
      <w:r w:rsidR="004E0A37" w:rsidRPr="004E0A37">
        <w:rPr>
          <w:rFonts w:hint="cs"/>
          <w:spacing w:val="0"/>
          <w:sz w:val="20"/>
          <w:rtl/>
        </w:rPr>
        <w:t>ويرجى من الدولة الطرف أن تنشر على نطاق واسع التقرير الذي قدمته إلى اللجنة وهذه الملاحظات الختامية باللغات المناسبة عن طريق المواقع الرسمية على الإنترنت ووسائل الإعلام والمنظمات غير الحكومية.</w:t>
      </w:r>
    </w:p>
    <w:p w:rsidR="004E0A37" w:rsidRPr="008572ED" w:rsidRDefault="003E72B5" w:rsidP="008572ED">
      <w:pPr>
        <w:pStyle w:val="SingleTxtGA"/>
        <w:jc w:val="lowKashida"/>
        <w:rPr>
          <w:spacing w:val="-2"/>
          <w:sz w:val="20"/>
          <w:rtl/>
        </w:rPr>
      </w:pPr>
      <w:r w:rsidRPr="008572ED">
        <w:rPr>
          <w:rFonts w:hint="cs"/>
          <w:spacing w:val="-2"/>
          <w:sz w:val="20"/>
          <w:rtl/>
        </w:rPr>
        <w:t>(</w:t>
      </w:r>
      <w:r w:rsidR="004E0A37" w:rsidRPr="008572ED">
        <w:rPr>
          <w:rFonts w:hint="cs"/>
          <w:spacing w:val="-2"/>
          <w:sz w:val="20"/>
          <w:rtl/>
        </w:rPr>
        <w:t>34</w:t>
      </w:r>
      <w:r w:rsidRPr="008572ED">
        <w:rPr>
          <w:rFonts w:hint="cs"/>
          <w:spacing w:val="-2"/>
          <w:sz w:val="20"/>
          <w:rtl/>
        </w:rPr>
        <w:t>)</w:t>
      </w:r>
      <w:r w:rsidRPr="008572ED">
        <w:rPr>
          <w:rFonts w:hint="cs"/>
          <w:spacing w:val="-2"/>
          <w:sz w:val="20"/>
          <w:rtl/>
        </w:rPr>
        <w:tab/>
      </w:r>
      <w:r w:rsidR="004E0A37" w:rsidRPr="008572ED">
        <w:rPr>
          <w:rFonts w:hint="cs"/>
          <w:spacing w:val="-2"/>
          <w:sz w:val="20"/>
          <w:rtl/>
        </w:rPr>
        <w:t>و</w:t>
      </w:r>
      <w:r w:rsidR="004E0A37" w:rsidRPr="008572ED">
        <w:rPr>
          <w:spacing w:val="-2"/>
          <w:sz w:val="20"/>
          <w:rtl/>
        </w:rPr>
        <w:t xml:space="preserve">تطلب اللجنة </w:t>
      </w:r>
      <w:r w:rsidR="004E0A37" w:rsidRPr="008572ED">
        <w:rPr>
          <w:rFonts w:hint="cs"/>
          <w:spacing w:val="-2"/>
          <w:sz w:val="20"/>
          <w:rtl/>
        </w:rPr>
        <w:t>إلى</w:t>
      </w:r>
      <w:r w:rsidR="004E0A37" w:rsidRPr="008572ED">
        <w:rPr>
          <w:spacing w:val="-2"/>
          <w:sz w:val="20"/>
          <w:rtl/>
        </w:rPr>
        <w:t xml:space="preserve"> الدولة الطرف أن تقدم، بحلول 25 </w:t>
      </w:r>
      <w:r w:rsidR="004E0A37" w:rsidRPr="008572ED">
        <w:rPr>
          <w:rFonts w:hint="cs"/>
          <w:spacing w:val="-2"/>
          <w:sz w:val="20"/>
          <w:rtl/>
        </w:rPr>
        <w:t>تشرين الثاني/</w:t>
      </w:r>
      <w:r w:rsidR="004E0A37" w:rsidRPr="008572ED">
        <w:rPr>
          <w:spacing w:val="-2"/>
          <w:sz w:val="20"/>
          <w:rtl/>
        </w:rPr>
        <w:t>نوفمبر 2012،</w:t>
      </w:r>
      <w:r w:rsidR="004E0A37" w:rsidRPr="008572ED">
        <w:rPr>
          <w:rFonts w:hint="cs"/>
          <w:spacing w:val="-2"/>
          <w:sz w:val="20"/>
          <w:rtl/>
        </w:rPr>
        <w:t xml:space="preserve"> </w:t>
      </w:r>
      <w:r w:rsidR="004E0A37" w:rsidRPr="008572ED">
        <w:rPr>
          <w:spacing w:val="-2"/>
          <w:sz w:val="20"/>
          <w:rtl/>
        </w:rPr>
        <w:t xml:space="preserve">معلومات </w:t>
      </w:r>
      <w:r w:rsidR="004E0A37" w:rsidRPr="008572ED">
        <w:rPr>
          <w:rFonts w:hint="cs"/>
          <w:spacing w:val="-2"/>
          <w:sz w:val="20"/>
          <w:rtl/>
        </w:rPr>
        <w:t>عن ال</w:t>
      </w:r>
      <w:r w:rsidR="004E0A37" w:rsidRPr="008572ED">
        <w:rPr>
          <w:spacing w:val="-2"/>
          <w:sz w:val="20"/>
          <w:rtl/>
        </w:rPr>
        <w:t>متابعة استجابة</w:t>
      </w:r>
      <w:r w:rsidR="004E0A37" w:rsidRPr="008572ED">
        <w:rPr>
          <w:rFonts w:hint="cs"/>
          <w:spacing w:val="-2"/>
          <w:sz w:val="20"/>
          <w:rtl/>
        </w:rPr>
        <w:t>ً</w:t>
      </w:r>
      <w:r w:rsidR="004E0A37" w:rsidRPr="008572ED">
        <w:rPr>
          <w:spacing w:val="-2"/>
          <w:sz w:val="20"/>
          <w:rtl/>
        </w:rPr>
        <w:t xml:space="preserve"> لتوصيات اللجنة المتعلقة (أ) بضمان أو تعزيز الضمانات القانونية للمحتجزين </w:t>
      </w:r>
      <w:r w:rsidR="004E0A37" w:rsidRPr="008572ED">
        <w:rPr>
          <w:rFonts w:hint="cs"/>
          <w:spacing w:val="-2"/>
          <w:sz w:val="20"/>
          <w:rtl/>
        </w:rPr>
        <w:t>و</w:t>
      </w:r>
      <w:r w:rsidR="004E0A37" w:rsidRPr="008572ED">
        <w:rPr>
          <w:spacing w:val="-2"/>
          <w:sz w:val="20"/>
          <w:rtl/>
        </w:rPr>
        <w:t xml:space="preserve">(ب) إجراء تحقيقات فورية ونزيهة وفعالة و(ج) محاكمة المشتبه </w:t>
      </w:r>
      <w:r w:rsidR="004E0A37" w:rsidRPr="008572ED">
        <w:rPr>
          <w:rFonts w:hint="cs"/>
          <w:spacing w:val="-2"/>
          <w:sz w:val="20"/>
          <w:rtl/>
        </w:rPr>
        <w:t>فيهم</w:t>
      </w:r>
      <w:r w:rsidR="004E0A37" w:rsidRPr="008572ED">
        <w:rPr>
          <w:spacing w:val="-2"/>
          <w:sz w:val="20"/>
          <w:rtl/>
        </w:rPr>
        <w:t xml:space="preserve"> ومعاقبة مرتكبي </w:t>
      </w:r>
      <w:r w:rsidR="004E0A37" w:rsidRPr="008572ED">
        <w:rPr>
          <w:rFonts w:hint="cs"/>
          <w:spacing w:val="-2"/>
          <w:sz w:val="20"/>
          <w:rtl/>
        </w:rPr>
        <w:t xml:space="preserve">أفعال </w:t>
      </w:r>
      <w:r w:rsidR="004E0A37" w:rsidRPr="008572ED">
        <w:rPr>
          <w:spacing w:val="-2"/>
          <w:sz w:val="20"/>
          <w:rtl/>
        </w:rPr>
        <w:t xml:space="preserve">التعذيب أو </w:t>
      </w:r>
      <w:r w:rsidR="004E0A37" w:rsidRPr="008572ED">
        <w:rPr>
          <w:rFonts w:hint="cs"/>
          <w:spacing w:val="-2"/>
          <w:sz w:val="20"/>
          <w:rtl/>
        </w:rPr>
        <w:t>إساءة</w:t>
      </w:r>
      <w:r w:rsidR="004E0A37" w:rsidRPr="008572ED">
        <w:rPr>
          <w:spacing w:val="-2"/>
          <w:sz w:val="20"/>
          <w:rtl/>
        </w:rPr>
        <w:t xml:space="preserve"> المعاملة، على النحو الوارد في الفقر</w:t>
      </w:r>
      <w:r w:rsidR="004E0A37" w:rsidRPr="008572ED">
        <w:rPr>
          <w:rFonts w:hint="cs"/>
          <w:spacing w:val="-2"/>
          <w:sz w:val="20"/>
          <w:rtl/>
        </w:rPr>
        <w:t>ات</w:t>
      </w:r>
      <w:r w:rsidR="004E0A37" w:rsidRPr="008572ED">
        <w:rPr>
          <w:spacing w:val="-2"/>
          <w:sz w:val="20"/>
          <w:rtl/>
        </w:rPr>
        <w:t xml:space="preserve"> 6 و11 و14 من هذه</w:t>
      </w:r>
      <w:r w:rsidR="008572ED">
        <w:rPr>
          <w:rFonts w:hint="cs"/>
          <w:spacing w:val="-2"/>
          <w:sz w:val="20"/>
          <w:rtl/>
        </w:rPr>
        <w:t> </w:t>
      </w:r>
      <w:r w:rsidR="004E0A37" w:rsidRPr="008572ED">
        <w:rPr>
          <w:spacing w:val="-2"/>
          <w:sz w:val="20"/>
          <w:rtl/>
        </w:rPr>
        <w:t xml:space="preserve">الوثيقة، وكذلك </w:t>
      </w:r>
      <w:r w:rsidR="004E0A37" w:rsidRPr="008572ED">
        <w:rPr>
          <w:rFonts w:hint="cs"/>
          <w:spacing w:val="-2"/>
          <w:sz w:val="20"/>
          <w:rtl/>
        </w:rPr>
        <w:t>سبل الانتصاف والتعويضات المتاحة</w:t>
      </w:r>
      <w:r w:rsidR="004E0A37" w:rsidRPr="008572ED">
        <w:rPr>
          <w:spacing w:val="-2"/>
          <w:sz w:val="20"/>
          <w:rtl/>
        </w:rPr>
        <w:t xml:space="preserve"> للضحايا، حسبما يكون</w:t>
      </w:r>
      <w:r w:rsidR="00335AC0" w:rsidRPr="008572ED">
        <w:rPr>
          <w:rFonts w:hint="eastAsia"/>
          <w:spacing w:val="-2"/>
          <w:sz w:val="20"/>
          <w:rtl/>
        </w:rPr>
        <w:t> </w:t>
      </w:r>
      <w:r w:rsidR="004E0A37" w:rsidRPr="008572ED">
        <w:rPr>
          <w:spacing w:val="-2"/>
          <w:sz w:val="20"/>
          <w:rtl/>
        </w:rPr>
        <w:t>مناسبا</w:t>
      </w:r>
      <w:r w:rsidR="004E0A37" w:rsidRPr="008572ED">
        <w:rPr>
          <w:rFonts w:hint="cs"/>
          <w:spacing w:val="-2"/>
          <w:sz w:val="20"/>
          <w:rtl/>
        </w:rPr>
        <w:t>ً</w:t>
      </w:r>
      <w:r w:rsidR="004E0A37" w:rsidRPr="008572ED">
        <w:rPr>
          <w:spacing w:val="-2"/>
          <w:sz w:val="20"/>
          <w:rtl/>
        </w:rPr>
        <w:t>.</w:t>
      </w:r>
    </w:p>
    <w:p w:rsidR="004E0A37" w:rsidRPr="004E0A37" w:rsidRDefault="003E72B5" w:rsidP="004E0A37">
      <w:pPr>
        <w:pStyle w:val="SingleTxtGA"/>
        <w:jc w:val="lowKashida"/>
        <w:rPr>
          <w:spacing w:val="0"/>
          <w:sz w:val="20"/>
          <w:rtl/>
        </w:rPr>
      </w:pPr>
      <w:r>
        <w:rPr>
          <w:rFonts w:hint="cs"/>
          <w:spacing w:val="0"/>
          <w:sz w:val="20"/>
          <w:rtl/>
        </w:rPr>
        <w:t>(</w:t>
      </w:r>
      <w:r w:rsidR="004E0A37" w:rsidRPr="004E0A37">
        <w:rPr>
          <w:rFonts w:hint="cs"/>
          <w:spacing w:val="0"/>
          <w:sz w:val="20"/>
          <w:rtl/>
        </w:rPr>
        <w:t>35</w:t>
      </w:r>
      <w:r>
        <w:rPr>
          <w:rFonts w:hint="cs"/>
          <w:spacing w:val="0"/>
          <w:sz w:val="20"/>
          <w:rtl/>
        </w:rPr>
        <w:t>)</w:t>
      </w:r>
      <w:r>
        <w:rPr>
          <w:rFonts w:hint="cs"/>
          <w:spacing w:val="0"/>
          <w:sz w:val="20"/>
          <w:rtl/>
        </w:rPr>
        <w:tab/>
      </w:r>
      <w:r w:rsidR="004E0A37" w:rsidRPr="004E0A37">
        <w:rPr>
          <w:spacing w:val="0"/>
          <w:sz w:val="20"/>
          <w:rtl/>
        </w:rPr>
        <w:t>و</w:t>
      </w:r>
      <w:r w:rsidR="004E0A37" w:rsidRPr="004E0A37">
        <w:rPr>
          <w:rFonts w:hint="cs"/>
          <w:spacing w:val="0"/>
          <w:sz w:val="20"/>
          <w:rtl/>
        </w:rPr>
        <w:t>تدعو</w:t>
      </w:r>
      <w:r w:rsidR="004E0A37" w:rsidRPr="004E0A37">
        <w:rPr>
          <w:spacing w:val="0"/>
          <w:sz w:val="20"/>
          <w:rtl/>
        </w:rPr>
        <w:t xml:space="preserve"> </w:t>
      </w:r>
      <w:r w:rsidR="004E0A37" w:rsidRPr="004E0A37">
        <w:rPr>
          <w:rFonts w:hint="cs"/>
          <w:spacing w:val="0"/>
          <w:sz w:val="20"/>
          <w:rtl/>
        </w:rPr>
        <w:t xml:space="preserve">اللجنة </w:t>
      </w:r>
      <w:r w:rsidR="004E0A37" w:rsidRPr="004E0A37">
        <w:rPr>
          <w:spacing w:val="0"/>
          <w:sz w:val="20"/>
          <w:rtl/>
        </w:rPr>
        <w:t>الدولة الطرف إلى تحديث وثيقتها الأساسية المشتركة (</w:t>
      </w:r>
      <w:r w:rsidR="004E0A37" w:rsidRPr="004E0A37">
        <w:rPr>
          <w:spacing w:val="0"/>
          <w:sz w:val="20"/>
        </w:rPr>
        <w:t>HRI/CORE/1/Add.70</w:t>
      </w:r>
      <w:r w:rsidR="004E0A37" w:rsidRPr="004E0A37">
        <w:rPr>
          <w:spacing w:val="0"/>
          <w:sz w:val="20"/>
          <w:rtl/>
        </w:rPr>
        <w:t>)،</w:t>
      </w:r>
      <w:r w:rsidR="00B345DB">
        <w:rPr>
          <w:spacing w:val="0"/>
          <w:sz w:val="20"/>
          <w:rtl/>
        </w:rPr>
        <w:t xml:space="preserve"> وفقاً </w:t>
      </w:r>
      <w:r w:rsidR="004E0A37" w:rsidRPr="004E0A37">
        <w:rPr>
          <w:spacing w:val="0"/>
          <w:sz w:val="20"/>
          <w:rtl/>
        </w:rPr>
        <w:t>لمتطلبات الوثيقة الأساسية المشتركة الواردة في المبادئ التوجيهية المنسقة لتقديم التقارير بموجب المعاهدات الدولية لحقوق الإنسان (</w:t>
      </w:r>
      <w:r w:rsidR="004E0A37" w:rsidRPr="004E0A37">
        <w:rPr>
          <w:spacing w:val="0"/>
          <w:sz w:val="20"/>
        </w:rPr>
        <w:t>HRI/GEN.2/Rev.6</w:t>
      </w:r>
      <w:r w:rsidR="004E0A37" w:rsidRPr="004E0A37">
        <w:rPr>
          <w:spacing w:val="0"/>
          <w:sz w:val="20"/>
          <w:rtl/>
        </w:rPr>
        <w:t>).</w:t>
      </w:r>
    </w:p>
    <w:p w:rsidR="004E0A37" w:rsidRPr="004E0A37" w:rsidRDefault="003E72B5"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36</w:t>
      </w:r>
      <w:r>
        <w:rPr>
          <w:rFonts w:hint="cs"/>
          <w:spacing w:val="0"/>
          <w:sz w:val="20"/>
          <w:rtl/>
        </w:rPr>
        <w:t>)</w:t>
      </w:r>
      <w:r>
        <w:rPr>
          <w:rFonts w:hint="cs"/>
          <w:spacing w:val="0"/>
          <w:sz w:val="20"/>
          <w:rtl/>
        </w:rPr>
        <w:tab/>
      </w:r>
      <w:r w:rsidR="004E0A37" w:rsidRPr="004E0A37">
        <w:rPr>
          <w:spacing w:val="0"/>
          <w:sz w:val="20"/>
          <w:rtl/>
        </w:rPr>
        <w:t>و</w:t>
      </w:r>
      <w:r w:rsidR="004E0A37" w:rsidRPr="004E0A37">
        <w:rPr>
          <w:rFonts w:hint="cs"/>
          <w:spacing w:val="0"/>
          <w:sz w:val="20"/>
          <w:rtl/>
        </w:rPr>
        <w:t>تدعو اللجنة</w:t>
      </w:r>
      <w:r w:rsidR="004E0A37" w:rsidRPr="004E0A37">
        <w:rPr>
          <w:spacing w:val="0"/>
          <w:sz w:val="20"/>
          <w:rtl/>
        </w:rPr>
        <w:t xml:space="preserve"> الدولة الطرف إلى تقديم تقريرها المقبل، الذي </w:t>
      </w:r>
      <w:r w:rsidR="004E0A37" w:rsidRPr="004E0A37">
        <w:rPr>
          <w:rFonts w:hint="cs"/>
          <w:spacing w:val="0"/>
          <w:sz w:val="20"/>
          <w:rtl/>
        </w:rPr>
        <w:t>سيعتبر</w:t>
      </w:r>
      <w:r w:rsidR="004E0A37" w:rsidRPr="004E0A37">
        <w:rPr>
          <w:spacing w:val="0"/>
          <w:sz w:val="20"/>
          <w:rtl/>
        </w:rPr>
        <w:t xml:space="preserve"> تقرير</w:t>
      </w:r>
      <w:r w:rsidR="004E0A37" w:rsidRPr="004E0A37">
        <w:rPr>
          <w:rFonts w:hint="cs"/>
          <w:spacing w:val="0"/>
          <w:sz w:val="20"/>
          <w:rtl/>
        </w:rPr>
        <w:t>ها</w:t>
      </w:r>
      <w:r w:rsidR="004E0A37" w:rsidRPr="004E0A37">
        <w:rPr>
          <w:spacing w:val="0"/>
          <w:sz w:val="20"/>
          <w:rtl/>
        </w:rPr>
        <w:t xml:space="preserve"> الدوري الخامس، قبل 25 </w:t>
      </w:r>
      <w:r w:rsidR="004E0A37" w:rsidRPr="004E0A37">
        <w:rPr>
          <w:rFonts w:hint="cs"/>
          <w:spacing w:val="0"/>
          <w:sz w:val="20"/>
          <w:rtl/>
        </w:rPr>
        <w:t>تشرين الثاني/</w:t>
      </w:r>
      <w:r w:rsidR="004E0A37" w:rsidRPr="004E0A37">
        <w:rPr>
          <w:spacing w:val="0"/>
          <w:sz w:val="20"/>
          <w:rtl/>
        </w:rPr>
        <w:t xml:space="preserve">نوفمبر 2015. </w:t>
      </w:r>
      <w:r w:rsidR="004E0A37" w:rsidRPr="004E0A37">
        <w:rPr>
          <w:rFonts w:hint="cs"/>
          <w:spacing w:val="0"/>
          <w:sz w:val="20"/>
          <w:rtl/>
        </w:rPr>
        <w:t xml:space="preserve">وتحقيقاً </w:t>
      </w:r>
      <w:r w:rsidR="004E0A37" w:rsidRPr="004E0A37">
        <w:rPr>
          <w:spacing w:val="0"/>
          <w:sz w:val="20"/>
          <w:rtl/>
        </w:rPr>
        <w:t>لهذا الغرض</w:t>
      </w:r>
      <w:r w:rsidR="004E0A37" w:rsidRPr="004E0A37">
        <w:rPr>
          <w:rFonts w:hint="cs"/>
          <w:spacing w:val="0"/>
          <w:sz w:val="20"/>
          <w:rtl/>
        </w:rPr>
        <w:t>،</w:t>
      </w:r>
      <w:r w:rsidR="004E0A37" w:rsidRPr="004E0A37">
        <w:rPr>
          <w:spacing w:val="0"/>
          <w:sz w:val="20"/>
          <w:rtl/>
        </w:rPr>
        <w:t xml:space="preserve"> تدعو اللجنة الدولة الطرف </w:t>
      </w:r>
      <w:r w:rsidR="004E0A37" w:rsidRPr="004E0A37">
        <w:rPr>
          <w:rFonts w:hint="cs"/>
          <w:spacing w:val="0"/>
          <w:sz w:val="20"/>
          <w:rtl/>
        </w:rPr>
        <w:t>إلى</w:t>
      </w:r>
      <w:r w:rsidR="004E0A37" w:rsidRPr="004E0A37">
        <w:rPr>
          <w:spacing w:val="0"/>
          <w:sz w:val="20"/>
          <w:rtl/>
        </w:rPr>
        <w:t xml:space="preserve"> أن تقبل </w:t>
      </w:r>
      <w:r w:rsidR="004E0A37" w:rsidRPr="004E0A37">
        <w:rPr>
          <w:rFonts w:hint="cs"/>
          <w:spacing w:val="0"/>
          <w:sz w:val="20"/>
          <w:rtl/>
        </w:rPr>
        <w:t xml:space="preserve">بحلول </w:t>
      </w:r>
      <w:r w:rsidR="004E0A37" w:rsidRPr="004E0A37">
        <w:rPr>
          <w:spacing w:val="0"/>
          <w:sz w:val="20"/>
          <w:rtl/>
        </w:rPr>
        <w:t xml:space="preserve">25 </w:t>
      </w:r>
      <w:r w:rsidR="004E0A37" w:rsidRPr="004E0A37">
        <w:rPr>
          <w:rFonts w:hint="cs"/>
          <w:spacing w:val="0"/>
          <w:sz w:val="20"/>
          <w:rtl/>
        </w:rPr>
        <w:t>تشرين الثاني/</w:t>
      </w:r>
      <w:r w:rsidR="004E0A37" w:rsidRPr="004E0A37">
        <w:rPr>
          <w:spacing w:val="0"/>
          <w:sz w:val="20"/>
          <w:rtl/>
        </w:rPr>
        <w:t xml:space="preserve">نوفمبر 2012، </w:t>
      </w:r>
      <w:r w:rsidR="004E0A37" w:rsidRPr="004E0A37">
        <w:rPr>
          <w:rFonts w:hint="cs"/>
          <w:spacing w:val="0"/>
          <w:sz w:val="20"/>
          <w:rtl/>
        </w:rPr>
        <w:t>ب</w:t>
      </w:r>
      <w:r w:rsidR="004E0A37" w:rsidRPr="004E0A37">
        <w:rPr>
          <w:spacing w:val="0"/>
          <w:sz w:val="20"/>
          <w:rtl/>
        </w:rPr>
        <w:t>تقديم تقرير بموجب إجرا</w:t>
      </w:r>
      <w:r w:rsidR="004E0A37" w:rsidRPr="004E0A37">
        <w:rPr>
          <w:rFonts w:hint="cs"/>
          <w:spacing w:val="0"/>
          <w:sz w:val="20"/>
          <w:rtl/>
        </w:rPr>
        <w:t>ئها</w:t>
      </w:r>
      <w:r w:rsidR="004E0A37" w:rsidRPr="004E0A37">
        <w:rPr>
          <w:spacing w:val="0"/>
          <w:sz w:val="20"/>
          <w:rtl/>
        </w:rPr>
        <w:t xml:space="preserve"> الاختياري </w:t>
      </w:r>
      <w:r w:rsidR="004E0A37" w:rsidRPr="004E0A37">
        <w:rPr>
          <w:rFonts w:hint="cs"/>
          <w:spacing w:val="0"/>
          <w:sz w:val="20"/>
          <w:rtl/>
        </w:rPr>
        <w:t>لتقديم التقارير</w:t>
      </w:r>
      <w:r w:rsidR="004E0A37" w:rsidRPr="004E0A37">
        <w:rPr>
          <w:spacing w:val="0"/>
          <w:sz w:val="20"/>
          <w:rtl/>
        </w:rPr>
        <w:t xml:space="preserve">، </w:t>
      </w:r>
      <w:r w:rsidR="004E0A37" w:rsidRPr="004E0A37">
        <w:rPr>
          <w:rFonts w:hint="cs"/>
          <w:spacing w:val="0"/>
          <w:sz w:val="20"/>
          <w:rtl/>
        </w:rPr>
        <w:t xml:space="preserve">والمتمثل </w:t>
      </w:r>
      <w:r w:rsidR="004E0A37" w:rsidRPr="004E0A37">
        <w:rPr>
          <w:spacing w:val="0"/>
          <w:sz w:val="20"/>
          <w:rtl/>
        </w:rPr>
        <w:t xml:space="preserve">في إحالة اللجنة قائمة من المسائل إلى الدولة الطرف، قبل تقديم </w:t>
      </w:r>
      <w:r w:rsidR="004E0A37" w:rsidRPr="004E0A37">
        <w:rPr>
          <w:rFonts w:hint="cs"/>
          <w:spacing w:val="0"/>
          <w:sz w:val="20"/>
          <w:rtl/>
        </w:rPr>
        <w:t xml:space="preserve">التقرير </w:t>
      </w:r>
      <w:r w:rsidR="004E0A37" w:rsidRPr="004E0A37">
        <w:rPr>
          <w:spacing w:val="0"/>
          <w:sz w:val="20"/>
          <w:rtl/>
        </w:rPr>
        <w:t xml:space="preserve">الدوري. </w:t>
      </w:r>
      <w:r w:rsidR="004E0A37" w:rsidRPr="004E0A37">
        <w:rPr>
          <w:rFonts w:hint="cs"/>
          <w:spacing w:val="0"/>
          <w:sz w:val="20"/>
          <w:rtl/>
        </w:rPr>
        <w:t>وسيشكل</w:t>
      </w:r>
      <w:r w:rsidR="004E0A37" w:rsidRPr="004E0A37">
        <w:rPr>
          <w:spacing w:val="0"/>
          <w:sz w:val="20"/>
          <w:rtl/>
        </w:rPr>
        <w:t xml:space="preserve"> رد الدولة الطرف على هذه القائمة من المسائل بموجب المادة</w:t>
      </w:r>
      <w:r w:rsidR="004E0A37" w:rsidRPr="004E0A37">
        <w:rPr>
          <w:rFonts w:hint="cs"/>
          <w:spacing w:val="0"/>
          <w:sz w:val="20"/>
          <w:rtl/>
        </w:rPr>
        <w:t> </w:t>
      </w:r>
      <w:r w:rsidR="004E0A37" w:rsidRPr="004E0A37">
        <w:rPr>
          <w:spacing w:val="0"/>
          <w:sz w:val="20"/>
          <w:rtl/>
        </w:rPr>
        <w:t>19 من الاتفاقية، تقريرها الدوري القادم إلى اللجنة</w:t>
      </w:r>
      <w:r w:rsidR="004E0A37" w:rsidRPr="004E0A37">
        <w:rPr>
          <w:rFonts w:hint="cs"/>
          <w:spacing w:val="0"/>
          <w:sz w:val="20"/>
          <w:rtl/>
        </w:rPr>
        <w:t>.</w:t>
      </w:r>
    </w:p>
    <w:p w:rsidR="004E0A37" w:rsidRPr="004E0A37" w:rsidRDefault="004E0A37" w:rsidP="004E0A37">
      <w:pPr>
        <w:pStyle w:val="SingleTxtGA"/>
        <w:jc w:val="lowKashida"/>
        <w:rPr>
          <w:spacing w:val="0"/>
          <w:sz w:val="20"/>
          <w:rtl/>
        </w:rPr>
      </w:pPr>
      <w:r w:rsidRPr="004E0A37">
        <w:rPr>
          <w:rFonts w:hint="cs"/>
          <w:spacing w:val="0"/>
          <w:sz w:val="20"/>
          <w:rtl/>
        </w:rPr>
        <w:t>53-</w:t>
      </w:r>
      <w:r w:rsidRPr="004E0A37">
        <w:rPr>
          <w:rFonts w:hint="cs"/>
          <w:spacing w:val="0"/>
          <w:sz w:val="20"/>
          <w:rtl/>
        </w:rPr>
        <w:tab/>
      </w:r>
      <w:r w:rsidRPr="003E72B5">
        <w:rPr>
          <w:b/>
          <w:bCs/>
          <w:spacing w:val="0"/>
          <w:sz w:val="20"/>
          <w:rtl/>
        </w:rPr>
        <w:t>بلغاريا</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1</w:t>
      </w:r>
      <w:r w:rsidR="003E72B5">
        <w:rPr>
          <w:rFonts w:hint="cs"/>
          <w:spacing w:val="0"/>
          <w:sz w:val="20"/>
          <w:rtl/>
        </w:rPr>
        <w:t>)</w:t>
      </w:r>
      <w:r w:rsidR="003E72B5">
        <w:rPr>
          <w:rFonts w:hint="cs"/>
          <w:spacing w:val="0"/>
          <w:sz w:val="20"/>
          <w:rtl/>
        </w:rPr>
        <w:tab/>
      </w:r>
      <w:r w:rsidRPr="004E0A37">
        <w:rPr>
          <w:spacing w:val="0"/>
          <w:sz w:val="20"/>
          <w:rtl/>
        </w:rPr>
        <w:t>نظرت لجنة مناهضة التعذيب في تقرير بلغاريا الجامع لتقريريها الدوريين الرابع والخامس (</w:t>
      </w:r>
      <w:r w:rsidRPr="004E0A37">
        <w:rPr>
          <w:spacing w:val="0"/>
          <w:sz w:val="20"/>
        </w:rPr>
        <w:t>CAT/C/BGR/4-5</w:t>
      </w:r>
      <w:r w:rsidRPr="004E0A37">
        <w:rPr>
          <w:spacing w:val="0"/>
          <w:sz w:val="20"/>
          <w:rtl/>
        </w:rPr>
        <w:t>) في جلستيها 1032 و1035</w:t>
      </w:r>
      <w:r w:rsidRPr="004E0A37">
        <w:rPr>
          <w:rFonts w:hint="cs"/>
          <w:spacing w:val="0"/>
          <w:sz w:val="20"/>
          <w:rtl/>
        </w:rPr>
        <w:t xml:space="preserve"> </w:t>
      </w:r>
      <w:r w:rsidRPr="004E0A37">
        <w:rPr>
          <w:spacing w:val="0"/>
          <w:sz w:val="20"/>
          <w:rtl/>
        </w:rPr>
        <w:t>المعقودتين في 9</w:t>
      </w:r>
      <w:r w:rsidRPr="004E0A37">
        <w:rPr>
          <w:rFonts w:hint="cs"/>
          <w:spacing w:val="0"/>
          <w:sz w:val="20"/>
          <w:rtl/>
        </w:rPr>
        <w:t xml:space="preserve"> </w:t>
      </w:r>
      <w:r w:rsidRPr="004E0A37">
        <w:rPr>
          <w:spacing w:val="0"/>
          <w:sz w:val="20"/>
          <w:rtl/>
        </w:rPr>
        <w:t>و10 تشرين الثاني/نوفمبر 2011 (</w:t>
      </w:r>
      <w:r w:rsidRPr="004E0A37">
        <w:rPr>
          <w:spacing w:val="0"/>
          <w:sz w:val="20"/>
        </w:rPr>
        <w:t>CAT/C/SR.1032</w:t>
      </w:r>
      <w:r w:rsidRPr="004E0A37">
        <w:rPr>
          <w:spacing w:val="0"/>
          <w:sz w:val="20"/>
          <w:rtl/>
        </w:rPr>
        <w:t xml:space="preserve"> و1035) واعتمدت، في جلستها 1054</w:t>
      </w:r>
      <w:r w:rsidRPr="004E0A37">
        <w:rPr>
          <w:rFonts w:hint="cs"/>
          <w:spacing w:val="0"/>
          <w:sz w:val="20"/>
          <w:rtl/>
        </w:rPr>
        <w:t xml:space="preserve">، </w:t>
      </w:r>
      <w:r w:rsidRPr="004E0A37">
        <w:rPr>
          <w:spacing w:val="0"/>
          <w:sz w:val="20"/>
          <w:rtl/>
        </w:rPr>
        <w:t>الملاحظات الختامية التالية (</w:t>
      </w:r>
      <w:r w:rsidRPr="004E0A37">
        <w:rPr>
          <w:spacing w:val="0"/>
          <w:sz w:val="20"/>
        </w:rPr>
        <w:t>CAT/C/SR.1054</w:t>
      </w:r>
      <w:r w:rsidRPr="004E0A37">
        <w:rPr>
          <w:spacing w:val="0"/>
          <w:sz w:val="20"/>
          <w:rtl/>
        </w:rPr>
        <w:t>)</w:t>
      </w:r>
      <w:r w:rsidRPr="004E0A37">
        <w:rPr>
          <w:rFonts w:hint="cs"/>
          <w:spacing w:val="0"/>
          <w:sz w:val="20"/>
          <w:rtl/>
        </w:rPr>
        <w:t xml:space="preserve"> المعقودة في 24 تشرين الثاني/نوفمبر 2011</w:t>
      </w:r>
      <w:r w:rsidRPr="004E0A37">
        <w:rPr>
          <w:spacing w:val="0"/>
          <w:sz w:val="20"/>
          <w:rtl/>
        </w:rPr>
        <w:t>.</w:t>
      </w:r>
    </w:p>
    <w:p w:rsidR="004E0A37" w:rsidRPr="004E0A37" w:rsidRDefault="00BE2D5D" w:rsidP="006E43D5">
      <w:pPr>
        <w:pStyle w:val="H23GA"/>
        <w:tabs>
          <w:tab w:val="left" w:pos="1938"/>
        </w:tabs>
        <w:rPr>
          <w:rtl/>
        </w:rPr>
      </w:pPr>
      <w:r>
        <w:rPr>
          <w:rFonts w:hint="cs"/>
          <w:rtl/>
        </w:rPr>
        <w:tab/>
      </w:r>
      <w:r w:rsidR="004E0A37" w:rsidRPr="004E0A37">
        <w:rPr>
          <w:rFonts w:hint="cs"/>
          <w:rtl/>
        </w:rPr>
        <w:tab/>
      </w:r>
      <w:r w:rsidR="004E0A37" w:rsidRPr="004E0A37">
        <w:rPr>
          <w:rtl/>
        </w:rPr>
        <w:t>ألف-</w:t>
      </w:r>
      <w:r w:rsidR="004E0A37" w:rsidRPr="004E0A37">
        <w:rPr>
          <w:rtl/>
        </w:rPr>
        <w:tab/>
        <w:t>مقدمة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2</w:t>
      </w:r>
      <w:r w:rsidR="003E72B5">
        <w:rPr>
          <w:rFonts w:hint="cs"/>
          <w:spacing w:val="0"/>
          <w:sz w:val="20"/>
          <w:rtl/>
        </w:rPr>
        <w:t>)</w:t>
      </w:r>
      <w:r w:rsidR="003E72B5">
        <w:rPr>
          <w:rFonts w:hint="cs"/>
          <w:spacing w:val="0"/>
          <w:sz w:val="20"/>
          <w:rtl/>
        </w:rPr>
        <w:tab/>
      </w:r>
      <w:r w:rsidRPr="004E0A37">
        <w:rPr>
          <w:spacing w:val="0"/>
          <w:sz w:val="20"/>
          <w:rtl/>
        </w:rPr>
        <w:t>ترحب اللجنة بتقديم بلغاريا للتقرير الجامع لتقريريها الدوريين الرابع والخامس،</w:t>
      </w:r>
      <w:r w:rsidR="00B345DB">
        <w:rPr>
          <w:spacing w:val="0"/>
          <w:sz w:val="20"/>
          <w:rtl/>
        </w:rPr>
        <w:t xml:space="preserve"> وفقاً </w:t>
      </w:r>
      <w:r w:rsidRPr="004E0A37">
        <w:rPr>
          <w:spacing w:val="0"/>
          <w:sz w:val="20"/>
          <w:rtl/>
        </w:rPr>
        <w:t xml:space="preserve">للمبادئ التوجيهية لتقديم التقارير، وإن كان متأخراً سنتين للأسف، </w:t>
      </w:r>
      <w:r w:rsidRPr="004E0A37">
        <w:rPr>
          <w:rFonts w:hint="cs"/>
          <w:spacing w:val="0"/>
          <w:sz w:val="20"/>
          <w:rtl/>
        </w:rPr>
        <w:t xml:space="preserve">كما ترحب </w:t>
      </w:r>
      <w:r w:rsidRPr="004E0A37">
        <w:rPr>
          <w:spacing w:val="0"/>
          <w:sz w:val="20"/>
          <w:rtl/>
        </w:rPr>
        <w:t>بالردود على قائمة القضايا (</w:t>
      </w:r>
      <w:r w:rsidRPr="004E0A37">
        <w:rPr>
          <w:spacing w:val="0"/>
          <w:sz w:val="20"/>
        </w:rPr>
        <w:t>CAT/C/BGR/Q/4-5</w:t>
      </w:r>
      <w:r w:rsidRPr="004E0A37">
        <w:rPr>
          <w:spacing w:val="0"/>
          <w:sz w:val="20"/>
          <w:rtl/>
        </w:rPr>
        <w:t xml:space="preserve">). </w:t>
      </w:r>
    </w:p>
    <w:p w:rsidR="004E0A37" w:rsidRPr="003E72B5" w:rsidRDefault="0033301A" w:rsidP="004E0A37">
      <w:pPr>
        <w:pStyle w:val="SingleTxtGA"/>
        <w:jc w:val="lowKashida"/>
        <w:rPr>
          <w:spacing w:val="-4"/>
          <w:sz w:val="20"/>
          <w:rtl/>
        </w:rPr>
      </w:pPr>
      <w:r>
        <w:rPr>
          <w:rFonts w:hint="cs"/>
          <w:spacing w:val="-4"/>
          <w:sz w:val="20"/>
          <w:rtl/>
        </w:rPr>
        <w:t>(</w:t>
      </w:r>
      <w:r w:rsidR="004E0A37" w:rsidRPr="003E72B5">
        <w:rPr>
          <w:spacing w:val="-4"/>
          <w:sz w:val="20"/>
          <w:rtl/>
        </w:rPr>
        <w:t>3</w:t>
      </w:r>
      <w:r w:rsidR="003E72B5">
        <w:rPr>
          <w:spacing w:val="-4"/>
          <w:sz w:val="20"/>
          <w:rtl/>
        </w:rPr>
        <w:t>)</w:t>
      </w:r>
      <w:r w:rsidR="003E72B5">
        <w:rPr>
          <w:spacing w:val="-4"/>
          <w:sz w:val="20"/>
          <w:rtl/>
        </w:rPr>
        <w:tab/>
      </w:r>
      <w:r w:rsidR="004E0A37" w:rsidRPr="003E72B5">
        <w:rPr>
          <w:spacing w:val="-4"/>
          <w:sz w:val="20"/>
          <w:rtl/>
        </w:rPr>
        <w:t>وتعرب اللجنة عن تقديرها للحوار المفتوح والبناء مع الوفد الرفيع المستوى للدولة الطرف وتشكره على الأجوبة الواضحة والصريحة والمفصلة على الأسئلة التي طرحها أعضاء اللجنة.</w:t>
      </w:r>
    </w:p>
    <w:p w:rsidR="004E0A37" w:rsidRPr="004E0A37" w:rsidRDefault="007223C0" w:rsidP="006E43D5">
      <w:pPr>
        <w:pStyle w:val="H23GA"/>
        <w:tabs>
          <w:tab w:val="left" w:pos="1939"/>
        </w:tabs>
        <w:rPr>
          <w:rFonts w:hint="cs"/>
          <w:rtl/>
        </w:rPr>
      </w:pPr>
      <w:r>
        <w:rPr>
          <w:rtl/>
        </w:rPr>
        <w:tab/>
      </w:r>
      <w:r>
        <w:rPr>
          <w:rtl/>
        </w:rPr>
        <w:tab/>
        <w:t>باء-</w:t>
      </w:r>
      <w:r w:rsidR="004E0A37" w:rsidRPr="004E0A37">
        <w:rPr>
          <w:rtl/>
        </w:rPr>
        <w:tab/>
        <w:t>الجوانب الإيجابية</w:t>
      </w:r>
    </w:p>
    <w:p w:rsidR="004E0A37" w:rsidRPr="004E0A37" w:rsidRDefault="0033301A" w:rsidP="004E0A37">
      <w:pPr>
        <w:pStyle w:val="SingleTxtGA"/>
        <w:jc w:val="lowKashida"/>
        <w:rPr>
          <w:spacing w:val="0"/>
          <w:sz w:val="20"/>
          <w:rtl/>
        </w:rPr>
      </w:pPr>
      <w:r>
        <w:rPr>
          <w:rFonts w:hint="cs"/>
          <w:spacing w:val="-4"/>
          <w:sz w:val="20"/>
          <w:rtl/>
        </w:rPr>
        <w:t>(</w:t>
      </w:r>
      <w:r w:rsidR="004E0A37" w:rsidRPr="004E0A37">
        <w:rPr>
          <w:spacing w:val="0"/>
          <w:sz w:val="20"/>
          <w:rtl/>
        </w:rPr>
        <w:t>4</w:t>
      </w:r>
      <w:r w:rsidR="003E72B5">
        <w:rPr>
          <w:spacing w:val="0"/>
          <w:sz w:val="20"/>
          <w:rtl/>
        </w:rPr>
        <w:t>)</w:t>
      </w:r>
      <w:r w:rsidR="003E72B5">
        <w:rPr>
          <w:spacing w:val="0"/>
          <w:sz w:val="20"/>
          <w:rtl/>
        </w:rPr>
        <w:tab/>
      </w:r>
      <w:r w:rsidR="004E0A37" w:rsidRPr="004E0A37">
        <w:rPr>
          <w:spacing w:val="0"/>
          <w:sz w:val="20"/>
          <w:rtl/>
        </w:rPr>
        <w:t>ترحب اللجنة بتصديق الدولة الطرف، منذ النظر في تقريرها الدوري الثالث، على الصكين الدوليين التاليين أو انضمامها إليهما:</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 xml:space="preserve">البروتوكول الاختياري لاتفاقية مناهضة التعذيب وغيره من ضروب المعاملة أو العقوبة القاسية أو اللاإنسانية أو المهينة، </w:t>
      </w:r>
      <w:r w:rsidRPr="004E0A37">
        <w:rPr>
          <w:rFonts w:hint="cs"/>
          <w:spacing w:val="0"/>
          <w:sz w:val="20"/>
          <w:rtl/>
        </w:rPr>
        <w:t xml:space="preserve">في </w:t>
      </w:r>
      <w:r w:rsidRPr="004E0A37">
        <w:rPr>
          <w:spacing w:val="0"/>
          <w:sz w:val="20"/>
          <w:rtl/>
        </w:rPr>
        <w:t>عام 2011؛</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 xml:space="preserve">البروتوكول الاختياري لاتفاقيـة القضاء على جميع أشكال التمييز ضد المرأة، </w:t>
      </w:r>
      <w:r w:rsidRPr="004E0A37">
        <w:rPr>
          <w:rFonts w:hint="cs"/>
          <w:spacing w:val="0"/>
          <w:sz w:val="20"/>
          <w:rtl/>
        </w:rPr>
        <w:t xml:space="preserve">في </w:t>
      </w:r>
      <w:r w:rsidRPr="004E0A37">
        <w:rPr>
          <w:spacing w:val="0"/>
          <w:sz w:val="20"/>
          <w:rtl/>
        </w:rPr>
        <w:t>عام</w:t>
      </w:r>
      <w:r w:rsidRPr="004E0A37">
        <w:rPr>
          <w:rFonts w:hint="cs"/>
          <w:spacing w:val="0"/>
          <w:sz w:val="20"/>
          <w:rtl/>
        </w:rPr>
        <w:t> </w:t>
      </w:r>
      <w:r w:rsidRPr="004E0A37">
        <w:rPr>
          <w:spacing w:val="0"/>
          <w:sz w:val="20"/>
          <w:rtl/>
        </w:rPr>
        <w:t>2006.</w:t>
      </w:r>
    </w:p>
    <w:p w:rsidR="004E0A37" w:rsidRPr="004E0A37" w:rsidRDefault="0033301A" w:rsidP="004E0A37">
      <w:pPr>
        <w:pStyle w:val="SingleTxtGA"/>
        <w:jc w:val="lowKashida"/>
        <w:rPr>
          <w:spacing w:val="0"/>
          <w:sz w:val="20"/>
          <w:rtl/>
        </w:rPr>
      </w:pPr>
      <w:r>
        <w:rPr>
          <w:rFonts w:hint="cs"/>
          <w:spacing w:val="-4"/>
          <w:sz w:val="20"/>
          <w:rtl/>
        </w:rPr>
        <w:t>(</w:t>
      </w:r>
      <w:r w:rsidR="004E0A37" w:rsidRPr="004E0A37">
        <w:rPr>
          <w:spacing w:val="0"/>
          <w:sz w:val="20"/>
          <w:rtl/>
        </w:rPr>
        <w:t>5</w:t>
      </w:r>
      <w:r w:rsidR="003E72B5">
        <w:rPr>
          <w:spacing w:val="0"/>
          <w:sz w:val="20"/>
          <w:rtl/>
        </w:rPr>
        <w:t>)</w:t>
      </w:r>
      <w:r w:rsidR="003E72B5">
        <w:rPr>
          <w:spacing w:val="0"/>
          <w:sz w:val="20"/>
          <w:rtl/>
        </w:rPr>
        <w:tab/>
      </w:r>
      <w:r w:rsidR="004E0A37" w:rsidRPr="004E0A37">
        <w:rPr>
          <w:spacing w:val="0"/>
          <w:sz w:val="20"/>
          <w:rtl/>
        </w:rPr>
        <w:t xml:space="preserve">وترحب اللجنة بالتوقيع على اتفاق التعاون الثنائي المبرم في حزيران/يونيه 2010 بين بلغاريا واليونان من أجل مكافحة الجريمة المنظمة، بما في ذلك التهريب والاتجار بالبشر والمخدرات. </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6</w:t>
      </w:r>
      <w:r w:rsidR="003E72B5">
        <w:rPr>
          <w:spacing w:val="0"/>
          <w:sz w:val="20"/>
          <w:rtl/>
        </w:rPr>
        <w:t>)</w:t>
      </w:r>
      <w:r w:rsidR="003E72B5">
        <w:rPr>
          <w:spacing w:val="0"/>
          <w:sz w:val="20"/>
          <w:rtl/>
        </w:rPr>
        <w:tab/>
      </w:r>
      <w:r w:rsidR="004E0A37" w:rsidRPr="004E0A37">
        <w:rPr>
          <w:spacing w:val="0"/>
          <w:sz w:val="20"/>
          <w:rtl/>
        </w:rPr>
        <w:t>وتحيط اللجنة</w:t>
      </w:r>
      <w:r w:rsidR="003833F8">
        <w:rPr>
          <w:spacing w:val="0"/>
          <w:sz w:val="20"/>
          <w:rtl/>
        </w:rPr>
        <w:t xml:space="preserve"> علماً </w:t>
      </w:r>
      <w:r w:rsidR="004E0A37" w:rsidRPr="004E0A37">
        <w:rPr>
          <w:spacing w:val="0"/>
          <w:sz w:val="20"/>
          <w:rtl/>
        </w:rPr>
        <w:t xml:space="preserve">بالجهود المتواصلة التي تبذلها الدولة الطرف من أجل تنقيح قوانينها في المجالات ذات الصلة بالاتفاقية، ومنها التعديل الذي أدخل على الدستور </w:t>
      </w:r>
      <w:r w:rsidR="004E0A37" w:rsidRPr="004E0A37">
        <w:rPr>
          <w:rFonts w:hint="cs"/>
          <w:spacing w:val="0"/>
          <w:sz w:val="20"/>
          <w:rtl/>
        </w:rPr>
        <w:t xml:space="preserve">في </w:t>
      </w:r>
      <w:r w:rsidR="004E0A37" w:rsidRPr="004E0A37">
        <w:rPr>
          <w:spacing w:val="0"/>
          <w:sz w:val="20"/>
          <w:rtl/>
        </w:rPr>
        <w:t>عام</w:t>
      </w:r>
      <w:r w:rsidR="004E0A37" w:rsidRPr="004E0A37">
        <w:rPr>
          <w:rFonts w:hint="cs"/>
          <w:spacing w:val="0"/>
          <w:sz w:val="20"/>
          <w:rtl/>
        </w:rPr>
        <w:t> </w:t>
      </w:r>
      <w:r w:rsidR="004E0A37" w:rsidRPr="004E0A37">
        <w:rPr>
          <w:spacing w:val="0"/>
          <w:sz w:val="20"/>
          <w:rtl/>
        </w:rPr>
        <w:t>2007 لإنشاء المجلس الأعلى للقضاء</w:t>
      </w:r>
      <w:r w:rsidR="004E0A37" w:rsidRPr="004E0A37">
        <w:rPr>
          <w:rFonts w:hint="cs"/>
          <w:spacing w:val="0"/>
          <w:sz w:val="20"/>
          <w:rtl/>
        </w:rPr>
        <w:t>، كما تحيط</w:t>
      </w:r>
      <w:r w:rsidR="003833F8">
        <w:rPr>
          <w:rFonts w:hint="cs"/>
          <w:spacing w:val="0"/>
          <w:sz w:val="20"/>
          <w:rtl/>
        </w:rPr>
        <w:t xml:space="preserve"> علماً </w:t>
      </w:r>
      <w:r w:rsidR="004E0A37" w:rsidRPr="004E0A37">
        <w:rPr>
          <w:rFonts w:hint="cs"/>
          <w:spacing w:val="0"/>
          <w:sz w:val="20"/>
          <w:rtl/>
        </w:rPr>
        <w:t>ب</w:t>
      </w:r>
      <w:r w:rsidR="004E0A37" w:rsidRPr="004E0A37">
        <w:rPr>
          <w:spacing w:val="0"/>
          <w:sz w:val="20"/>
          <w:rtl/>
        </w:rPr>
        <w:t>ما يلي:</w:t>
      </w:r>
    </w:p>
    <w:p w:rsidR="004E0A37" w:rsidRPr="004E0A37" w:rsidRDefault="004E0A37" w:rsidP="004E0A37">
      <w:pPr>
        <w:pStyle w:val="SingleTxtGA"/>
        <w:jc w:val="lowKashida"/>
        <w:rPr>
          <w:rFonts w:hint="cs"/>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قانون الإجراءات المدنية الجديد الذي دخل حيز النفاذ اعتباراً من 1 أذار/مارس</w:t>
      </w:r>
      <w:r w:rsidRPr="004E0A37">
        <w:rPr>
          <w:rFonts w:hint="cs"/>
          <w:spacing w:val="0"/>
          <w:sz w:val="20"/>
          <w:rtl/>
        </w:rPr>
        <w:t> </w:t>
      </w:r>
      <w:r w:rsidRPr="004E0A37">
        <w:rPr>
          <w:spacing w:val="0"/>
          <w:sz w:val="20"/>
          <w:rtl/>
        </w:rPr>
        <w:t xml:space="preserve">2008 والمتعلق بتقديم </w:t>
      </w:r>
      <w:r w:rsidRPr="004E0A37">
        <w:rPr>
          <w:rFonts w:hint="cs"/>
          <w:spacing w:val="0"/>
          <w:sz w:val="20"/>
          <w:rtl/>
        </w:rPr>
        <w:t>ال</w:t>
      </w:r>
      <w:r w:rsidRPr="004E0A37">
        <w:rPr>
          <w:spacing w:val="0"/>
          <w:sz w:val="20"/>
          <w:rtl/>
        </w:rPr>
        <w:t>تعويض لضحايا التعذيب أو إعادة تأهيلهم؛</w:t>
      </w:r>
    </w:p>
    <w:p w:rsidR="004E0A37" w:rsidRPr="00335AC0" w:rsidRDefault="004E0A37" w:rsidP="004E0A37">
      <w:pPr>
        <w:pStyle w:val="SingleTxtGA"/>
        <w:jc w:val="lowKashida"/>
        <w:rPr>
          <w:spacing w:val="-2"/>
          <w:sz w:val="20"/>
          <w:rtl/>
        </w:rPr>
      </w:pPr>
      <w:r w:rsidRPr="00335AC0">
        <w:rPr>
          <w:rFonts w:hint="cs"/>
          <w:spacing w:val="-2"/>
          <w:sz w:val="20"/>
          <w:rtl/>
        </w:rPr>
        <w:tab/>
      </w:r>
      <w:r w:rsidRPr="00335AC0">
        <w:rPr>
          <w:spacing w:val="-2"/>
          <w:sz w:val="20"/>
          <w:rtl/>
        </w:rPr>
        <w:t>(ب)</w:t>
      </w:r>
      <w:r w:rsidRPr="00335AC0">
        <w:rPr>
          <w:rFonts w:hint="cs"/>
          <w:spacing w:val="-2"/>
          <w:sz w:val="20"/>
          <w:rtl/>
        </w:rPr>
        <w:tab/>
      </w:r>
      <w:r w:rsidRPr="00335AC0">
        <w:rPr>
          <w:spacing w:val="-2"/>
          <w:sz w:val="20"/>
          <w:rtl/>
        </w:rPr>
        <w:t>قانون النظام القضائي الذي دخل حيز النفاذ اعتباراً من 10 آب/أغسطس</w:t>
      </w:r>
      <w:r w:rsidRPr="00335AC0">
        <w:rPr>
          <w:rFonts w:hint="cs"/>
          <w:spacing w:val="-2"/>
          <w:sz w:val="20"/>
          <w:rtl/>
        </w:rPr>
        <w:t> </w:t>
      </w:r>
      <w:r w:rsidRPr="00335AC0">
        <w:rPr>
          <w:spacing w:val="-2"/>
          <w:sz w:val="20"/>
          <w:rtl/>
        </w:rPr>
        <w:t>2007، واستراتيجية الإصلاح القضائي 2009-2013 المعتمدة عام 2009؛</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(ج)</w:t>
      </w:r>
      <w:r w:rsidRPr="004E0A37">
        <w:rPr>
          <w:rFonts w:hint="cs"/>
          <w:spacing w:val="0"/>
          <w:sz w:val="20"/>
          <w:rtl/>
        </w:rPr>
        <w:tab/>
      </w:r>
      <w:r w:rsidRPr="004E0A37">
        <w:rPr>
          <w:spacing w:val="0"/>
          <w:sz w:val="20"/>
          <w:rtl/>
        </w:rPr>
        <w:t>تعديل قانون اللجوء واللاجئين الذي ينص على آلية للبت في وضع اللاجئ،</w:t>
      </w:r>
      <w:r w:rsidRPr="004E0A37">
        <w:rPr>
          <w:rFonts w:hint="cs"/>
          <w:spacing w:val="0"/>
          <w:sz w:val="20"/>
          <w:rtl/>
        </w:rPr>
        <w:t> </w:t>
      </w:r>
      <w:r w:rsidRPr="004E0A37">
        <w:rPr>
          <w:spacing w:val="0"/>
          <w:sz w:val="20"/>
          <w:rtl/>
        </w:rPr>
        <w:t>2007؛</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(د)</w:t>
      </w:r>
      <w:r w:rsidRPr="004E0A37">
        <w:rPr>
          <w:rFonts w:hint="cs"/>
          <w:spacing w:val="0"/>
          <w:sz w:val="20"/>
          <w:rtl/>
        </w:rPr>
        <w:tab/>
      </w:r>
      <w:r w:rsidRPr="004E0A37">
        <w:rPr>
          <w:spacing w:val="0"/>
          <w:sz w:val="20"/>
          <w:rtl/>
        </w:rPr>
        <w:t>قانون مساعدة ضحايا الجريمة وتعويضهم مالياً الذي دخل حيز النفاذ اعتبارا</w:t>
      </w:r>
      <w:r w:rsidRPr="004E0A37">
        <w:rPr>
          <w:rFonts w:hint="cs"/>
          <w:spacing w:val="0"/>
          <w:sz w:val="20"/>
          <w:rtl/>
        </w:rPr>
        <w:t>ً</w:t>
      </w:r>
      <w:r w:rsidRPr="004E0A37">
        <w:rPr>
          <w:spacing w:val="0"/>
          <w:sz w:val="20"/>
          <w:rtl/>
        </w:rPr>
        <w:t xml:space="preserve"> من 2007، والاستراتيجية الوطنية لمساعدة ضحايا الجريمة وتعويضهم ماليا</w:t>
      </w:r>
      <w:r w:rsidRPr="004E0A37">
        <w:rPr>
          <w:rFonts w:hint="cs"/>
          <w:spacing w:val="0"/>
          <w:sz w:val="20"/>
          <w:rtl/>
        </w:rPr>
        <w:t>ً</w:t>
      </w:r>
      <w:r w:rsidRPr="004E0A37">
        <w:rPr>
          <w:spacing w:val="0"/>
          <w:sz w:val="20"/>
          <w:rtl/>
        </w:rPr>
        <w:t>؛</w:t>
      </w:r>
    </w:p>
    <w:p w:rsidR="004E0A37" w:rsidRPr="008B4006" w:rsidRDefault="004E0A37" w:rsidP="004E0A37">
      <w:pPr>
        <w:pStyle w:val="SingleTxtGA"/>
        <w:jc w:val="lowKashida"/>
        <w:rPr>
          <w:spacing w:val="-4"/>
          <w:sz w:val="20"/>
          <w:rtl/>
        </w:rPr>
      </w:pPr>
      <w:r w:rsidRPr="008B4006">
        <w:rPr>
          <w:rFonts w:hint="cs"/>
          <w:spacing w:val="-4"/>
          <w:sz w:val="20"/>
          <w:rtl/>
        </w:rPr>
        <w:tab/>
        <w:t>(ﻫ)</w:t>
      </w:r>
      <w:r w:rsidRPr="008B4006">
        <w:rPr>
          <w:rFonts w:hint="cs"/>
          <w:spacing w:val="-4"/>
          <w:sz w:val="20"/>
          <w:rtl/>
        </w:rPr>
        <w:tab/>
      </w:r>
      <w:r w:rsidRPr="008B4006">
        <w:rPr>
          <w:spacing w:val="-4"/>
          <w:sz w:val="20"/>
          <w:rtl/>
        </w:rPr>
        <w:t>قانون الإجراءات الإدارية الجديد الذي دخل حيز النفاذ اعتباراً من 12 تموز/يوليه 2006 والمتعلق بمنع التعذيب والمعاقبة عليه وإمكانية طعن الأجانب قي قرارات الطرد؛</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(و)</w:t>
      </w:r>
      <w:r w:rsidRPr="004E0A37">
        <w:rPr>
          <w:rFonts w:hint="cs"/>
          <w:spacing w:val="0"/>
          <w:sz w:val="20"/>
          <w:rtl/>
        </w:rPr>
        <w:tab/>
      </w:r>
      <w:r w:rsidRPr="004E0A37">
        <w:rPr>
          <w:spacing w:val="0"/>
          <w:sz w:val="20"/>
          <w:rtl/>
        </w:rPr>
        <w:t xml:space="preserve">قانون الإجراءات الجنائية الجديد الذي دخل حيز النفاذ اعتباراً من 26 نيسان/أبريل 2006 والمتعلق بالضمانات الإجرائية لحظر التعذيب والأحكام التي تمنع التعذيب وتنظم الاحتجاز </w:t>
      </w:r>
      <w:r w:rsidRPr="004E0A37">
        <w:rPr>
          <w:rFonts w:hint="cs"/>
          <w:spacing w:val="0"/>
          <w:sz w:val="20"/>
          <w:rtl/>
        </w:rPr>
        <w:t>لدى الشرطة</w:t>
      </w:r>
      <w:r w:rsidRPr="004E0A37">
        <w:rPr>
          <w:spacing w:val="0"/>
          <w:sz w:val="20"/>
          <w:rtl/>
        </w:rPr>
        <w:t>؛</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(ز)</w:t>
      </w:r>
      <w:r w:rsidRPr="004E0A37">
        <w:rPr>
          <w:rFonts w:hint="cs"/>
          <w:spacing w:val="0"/>
          <w:sz w:val="20"/>
          <w:rtl/>
        </w:rPr>
        <w:tab/>
      </w:r>
      <w:r w:rsidRPr="004E0A37">
        <w:rPr>
          <w:spacing w:val="0"/>
          <w:sz w:val="20"/>
          <w:rtl/>
        </w:rPr>
        <w:t>قانون المساعدة القانونية (2006) وإنشاء المكتب الوطني للمساعدة القانونية؛</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(ح)</w:t>
      </w:r>
      <w:r w:rsidRPr="004E0A37">
        <w:rPr>
          <w:rFonts w:hint="cs"/>
          <w:spacing w:val="0"/>
          <w:sz w:val="20"/>
          <w:rtl/>
        </w:rPr>
        <w:tab/>
      </w:r>
      <w:r w:rsidRPr="004E0A37">
        <w:rPr>
          <w:spacing w:val="0"/>
          <w:sz w:val="20"/>
          <w:rtl/>
        </w:rPr>
        <w:t>التعديلات المدخلة على قانون الصحة الجديد الذي دخل حيز النفاذ اعتباراً من 1 أيار/مايو 2005 المتصلة بالإجراءات الطبية المتعلقة بالأشخاص ذوي الإعاقة العقلية؛</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(ط)</w:t>
      </w:r>
      <w:r w:rsidRPr="004E0A37">
        <w:rPr>
          <w:rFonts w:hint="cs"/>
          <w:spacing w:val="0"/>
          <w:sz w:val="20"/>
          <w:rtl/>
        </w:rPr>
        <w:tab/>
      </w:r>
      <w:r w:rsidRPr="004E0A37">
        <w:rPr>
          <w:spacing w:val="0"/>
          <w:sz w:val="20"/>
          <w:rtl/>
        </w:rPr>
        <w:t xml:space="preserve">التعديلات العديدة المدخلة على قانون العقوبات منذ عام 2004، ولا سيما </w:t>
      </w:r>
      <w:r w:rsidR="00F96B1E">
        <w:rPr>
          <w:spacing w:val="0"/>
          <w:sz w:val="20"/>
          <w:rtl/>
        </w:rPr>
        <w:t>فيما </w:t>
      </w:r>
      <w:r w:rsidRPr="004E0A37">
        <w:rPr>
          <w:spacing w:val="0"/>
          <w:sz w:val="20"/>
          <w:rtl/>
        </w:rPr>
        <w:t>يتعلق بالمادة 287 المتصلة بإلزام الاتفاقية بتجريم فعل التعذيب.</w:t>
      </w:r>
    </w:p>
    <w:p w:rsidR="004E0A37" w:rsidRPr="004E0A37" w:rsidRDefault="0033301A" w:rsidP="00335AC0">
      <w:pPr>
        <w:pStyle w:val="SingleTxtGA"/>
        <w:jc w:val="lowKashida"/>
        <w:rPr>
          <w:spacing w:val="0"/>
          <w:sz w:val="20"/>
          <w:rtl/>
        </w:rPr>
      </w:pPr>
      <w:r>
        <w:rPr>
          <w:rFonts w:hint="cs"/>
          <w:spacing w:val="0"/>
          <w:sz w:val="20"/>
          <w:rtl/>
        </w:rPr>
        <w:t>(</w:t>
      </w:r>
      <w:r w:rsidR="004E0A37" w:rsidRPr="004E0A37">
        <w:rPr>
          <w:spacing w:val="0"/>
          <w:sz w:val="20"/>
          <w:rtl/>
        </w:rPr>
        <w:t>7</w:t>
      </w:r>
      <w:r w:rsidR="003E72B5">
        <w:rPr>
          <w:spacing w:val="0"/>
          <w:sz w:val="20"/>
          <w:rtl/>
        </w:rPr>
        <w:t>)</w:t>
      </w:r>
      <w:r w:rsidR="003E72B5">
        <w:rPr>
          <w:spacing w:val="0"/>
          <w:sz w:val="20"/>
          <w:rtl/>
        </w:rPr>
        <w:tab/>
      </w:r>
      <w:r w:rsidR="004E0A37" w:rsidRPr="004E0A37">
        <w:rPr>
          <w:spacing w:val="0"/>
          <w:sz w:val="20"/>
          <w:rtl/>
        </w:rPr>
        <w:t>وترحب اللجنة أيضاً بجهود الدولة الطرف الرامية إلى تعديل سياساتها وبرامجها</w:t>
      </w:r>
      <w:r w:rsidR="00335AC0">
        <w:rPr>
          <w:rFonts w:hint="cs"/>
          <w:spacing w:val="0"/>
          <w:sz w:val="20"/>
          <w:rtl/>
        </w:rPr>
        <w:t> </w:t>
      </w:r>
      <w:r w:rsidR="004E0A37" w:rsidRPr="004E0A37">
        <w:rPr>
          <w:spacing w:val="0"/>
          <w:sz w:val="20"/>
          <w:rtl/>
        </w:rPr>
        <w:t>وإجراءاتها الإدارية بغية ضمان حماية أكبر لحقوق الإنسان وتنفيذ الاتفاقية، بما في ذلك ما يلي:</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اعتماد استراتيجية تطوير المرافق السجنية (2009-2015) وبرنامج تحسين ظروف أماكن الحرمان من الحرية، 2010؛</w:t>
      </w:r>
    </w:p>
    <w:p w:rsidR="004E0A37" w:rsidRPr="004E0A37" w:rsidRDefault="004E0A37" w:rsidP="003E72B5">
      <w:pPr>
        <w:pStyle w:val="SingleTxtGA"/>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 xml:space="preserve">الاستراتيجية الوطنية للطفل (2008-2018) والرؤية الرامية إلى إنهاء استخدام </w:t>
      </w:r>
      <w:r w:rsidRPr="004E0A37">
        <w:rPr>
          <w:rFonts w:hint="cs"/>
          <w:spacing w:val="0"/>
          <w:sz w:val="20"/>
          <w:rtl/>
        </w:rPr>
        <w:t>ال</w:t>
      </w:r>
      <w:r w:rsidRPr="004E0A37">
        <w:rPr>
          <w:spacing w:val="0"/>
          <w:sz w:val="20"/>
          <w:rtl/>
        </w:rPr>
        <w:t xml:space="preserve">مؤسسات </w:t>
      </w:r>
      <w:r w:rsidRPr="004E0A37">
        <w:rPr>
          <w:rFonts w:hint="cs"/>
          <w:spacing w:val="0"/>
          <w:sz w:val="20"/>
          <w:rtl/>
        </w:rPr>
        <w:t>كوسيلة لإصلاح</w:t>
      </w:r>
      <w:r w:rsidRPr="004E0A37">
        <w:rPr>
          <w:spacing w:val="0"/>
          <w:sz w:val="20"/>
          <w:rtl/>
        </w:rPr>
        <w:t xml:space="preserve"> الأطفال في بلغاريا</w:t>
      </w:r>
      <w:r w:rsidRPr="004E0A37">
        <w:rPr>
          <w:rFonts w:hint="cs"/>
          <w:spacing w:val="0"/>
          <w:sz w:val="20"/>
          <w:rtl/>
        </w:rPr>
        <w:t>،</w:t>
      </w:r>
      <w:r w:rsidRPr="004E0A37">
        <w:rPr>
          <w:spacing w:val="0"/>
          <w:sz w:val="20"/>
          <w:rtl/>
        </w:rPr>
        <w:t xml:space="preserve"> المعتمدة في 24 شباط/فبراير</w:t>
      </w:r>
      <w:r w:rsidRPr="004E0A37">
        <w:rPr>
          <w:rFonts w:hint="cs"/>
          <w:spacing w:val="0"/>
          <w:sz w:val="20"/>
          <w:rtl/>
        </w:rPr>
        <w:t> </w:t>
      </w:r>
      <w:r w:rsidRPr="004E0A37">
        <w:rPr>
          <w:spacing w:val="0"/>
          <w:sz w:val="20"/>
          <w:rtl/>
        </w:rPr>
        <w:t>2010؛</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(ج)</w:t>
      </w:r>
      <w:r w:rsidRPr="004E0A37">
        <w:rPr>
          <w:rFonts w:hint="cs"/>
          <w:spacing w:val="0"/>
          <w:sz w:val="20"/>
          <w:rtl/>
        </w:rPr>
        <w:tab/>
      </w:r>
      <w:r w:rsidRPr="004E0A37">
        <w:rPr>
          <w:spacing w:val="0"/>
          <w:sz w:val="20"/>
          <w:rtl/>
        </w:rPr>
        <w:t>الاستراتيجية المتكاملة لمكافحة الجريمة والفساد، 2010؛</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(د)</w:t>
      </w:r>
      <w:r w:rsidRPr="004E0A37">
        <w:rPr>
          <w:rFonts w:hint="cs"/>
          <w:spacing w:val="0"/>
          <w:sz w:val="20"/>
          <w:rtl/>
        </w:rPr>
        <w:tab/>
      </w:r>
      <w:r w:rsidRPr="004E0A37">
        <w:rPr>
          <w:spacing w:val="0"/>
          <w:sz w:val="20"/>
          <w:rtl/>
        </w:rPr>
        <w:t>استراتيجية إصلاح أماكن الاحتجاز (2009-2015)؛</w:t>
      </w:r>
    </w:p>
    <w:p w:rsidR="004E0A37" w:rsidRPr="004E0A37" w:rsidRDefault="004E0A37" w:rsidP="004E0A37">
      <w:pPr>
        <w:pStyle w:val="SingleTxtGA"/>
        <w:jc w:val="lowKashida"/>
        <w:rPr>
          <w:spacing w:val="0"/>
          <w:sz w:val="20"/>
          <w:rtl/>
        </w:rPr>
      </w:pPr>
      <w:r w:rsidRPr="004E0A37">
        <w:rPr>
          <w:rFonts w:hint="cs"/>
          <w:spacing w:val="0"/>
          <w:sz w:val="20"/>
          <w:rtl/>
        </w:rPr>
        <w:tab/>
        <w:t>(ﻫ)</w:t>
      </w:r>
      <w:r w:rsidRPr="004E0A37">
        <w:rPr>
          <w:rFonts w:hint="cs"/>
          <w:spacing w:val="0"/>
          <w:sz w:val="20"/>
          <w:rtl/>
        </w:rPr>
        <w:tab/>
      </w:r>
      <w:r w:rsidRPr="004E0A37">
        <w:rPr>
          <w:spacing w:val="0"/>
          <w:sz w:val="20"/>
          <w:rtl/>
        </w:rPr>
        <w:t>خطة العمل الوطنية لمبادرة "عقد إدماج الروما 2005-2015" والبرنامج الإطاري لإدماج الروما في المجتمع البلغاري (2010-2020)؛</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(و)</w:t>
      </w:r>
      <w:r w:rsidRPr="004E0A37">
        <w:rPr>
          <w:rFonts w:hint="cs"/>
          <w:spacing w:val="0"/>
          <w:sz w:val="20"/>
          <w:rtl/>
        </w:rPr>
        <w:tab/>
      </w:r>
      <w:r w:rsidRPr="004E0A37">
        <w:rPr>
          <w:spacing w:val="0"/>
          <w:sz w:val="20"/>
          <w:rtl/>
        </w:rPr>
        <w:t>خطة العمل الوطنية للصحة العقلية (2004-2012).</w:t>
      </w:r>
    </w:p>
    <w:p w:rsidR="004E0A37" w:rsidRPr="004E0A37" w:rsidRDefault="007223C0" w:rsidP="006E43D5">
      <w:pPr>
        <w:pStyle w:val="H23GA"/>
        <w:tabs>
          <w:tab w:val="left" w:pos="1939"/>
        </w:tabs>
        <w:rPr>
          <w:rtl/>
        </w:rPr>
      </w:pPr>
      <w:r>
        <w:rPr>
          <w:rtl/>
        </w:rPr>
        <w:tab/>
      </w:r>
      <w:r>
        <w:rPr>
          <w:rtl/>
        </w:rPr>
        <w:tab/>
        <w:t>جيم-</w:t>
      </w:r>
      <w:r w:rsidR="004E0A37" w:rsidRPr="004E0A37">
        <w:rPr>
          <w:rFonts w:hint="cs"/>
          <w:rtl/>
        </w:rPr>
        <w:tab/>
      </w:r>
      <w:r w:rsidR="004E0A37" w:rsidRPr="004E0A37">
        <w:rPr>
          <w:rtl/>
        </w:rPr>
        <w:t>المسائل الرئيسية المثيرة للقلق والتوصيات</w:t>
      </w:r>
    </w:p>
    <w:p w:rsidR="004E0A37" w:rsidRPr="004E0A37" w:rsidRDefault="004E0A37" w:rsidP="00335AC0">
      <w:pPr>
        <w:pStyle w:val="H23GA"/>
        <w:rPr>
          <w:rtl/>
        </w:rPr>
      </w:pPr>
      <w:r w:rsidRPr="004E0A37">
        <w:rPr>
          <w:rtl/>
        </w:rPr>
        <w:tab/>
      </w:r>
      <w:r w:rsidRPr="004E0A37">
        <w:rPr>
          <w:rtl/>
        </w:rPr>
        <w:tab/>
        <w:t>تعريف التعذيب وحظره حظراً مطلقاً وتجريمه</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8</w:t>
      </w:r>
      <w:r w:rsidR="003E72B5">
        <w:rPr>
          <w:spacing w:val="0"/>
          <w:sz w:val="20"/>
          <w:rtl/>
        </w:rPr>
        <w:t>)</w:t>
      </w:r>
      <w:r w:rsidR="003E72B5">
        <w:rPr>
          <w:spacing w:val="0"/>
          <w:sz w:val="20"/>
          <w:rtl/>
        </w:rPr>
        <w:tab/>
      </w:r>
      <w:r w:rsidR="004E0A37" w:rsidRPr="004E0A37">
        <w:rPr>
          <w:spacing w:val="0"/>
          <w:sz w:val="20"/>
          <w:rtl/>
        </w:rPr>
        <w:t>يساور اللجنة القلق من عدم إدراج تعريف شامل للتعذيب يضم جميع عناصر المادة</w:t>
      </w:r>
      <w:r w:rsidR="004E0A37" w:rsidRPr="004E0A37">
        <w:rPr>
          <w:rFonts w:hint="cs"/>
          <w:spacing w:val="0"/>
          <w:sz w:val="20"/>
          <w:rtl/>
        </w:rPr>
        <w:t> </w:t>
      </w:r>
      <w:r w:rsidR="004E0A37" w:rsidRPr="004E0A37">
        <w:rPr>
          <w:spacing w:val="0"/>
          <w:sz w:val="20"/>
          <w:rtl/>
        </w:rPr>
        <w:t xml:space="preserve">1 من الاتفاقية في قانون العقوبات ومن عدم تجريم التعذيب </w:t>
      </w:r>
      <w:r w:rsidR="004E0A37" w:rsidRPr="004E0A37">
        <w:rPr>
          <w:rFonts w:hint="cs"/>
          <w:spacing w:val="0"/>
          <w:sz w:val="20"/>
          <w:rtl/>
        </w:rPr>
        <w:t>جناية</w:t>
      </w:r>
      <w:r w:rsidR="004E0A37" w:rsidRPr="004E0A37">
        <w:rPr>
          <w:spacing w:val="0"/>
          <w:sz w:val="20"/>
          <w:rtl/>
        </w:rPr>
        <w:t xml:space="preserve"> قائمة بذاتها في القانون، على نحو ما تقتضي الاتفاقية. وتشير اللجنة إلى أن الفريق العامل المنشأ في وزارة العدل لصياغة قانون عقوبات جديد</w:t>
      </w:r>
      <w:r w:rsidR="00335AC0">
        <w:rPr>
          <w:spacing w:val="0"/>
          <w:sz w:val="20"/>
          <w:rtl/>
        </w:rPr>
        <w:t xml:space="preserve"> لم </w:t>
      </w:r>
      <w:r w:rsidR="004E0A37" w:rsidRPr="004E0A37">
        <w:rPr>
          <w:spacing w:val="0"/>
          <w:sz w:val="20"/>
          <w:rtl/>
        </w:rPr>
        <w:t xml:space="preserve">يناقش بعد </w:t>
      </w:r>
      <w:r w:rsidR="004E0A37" w:rsidRPr="004E0A37">
        <w:rPr>
          <w:rFonts w:hint="cs"/>
          <w:spacing w:val="0"/>
          <w:sz w:val="20"/>
          <w:rtl/>
        </w:rPr>
        <w:t>المادة التي تضم ال</w:t>
      </w:r>
      <w:r w:rsidR="004E0A37" w:rsidRPr="004E0A37">
        <w:rPr>
          <w:spacing w:val="0"/>
          <w:sz w:val="20"/>
          <w:rtl/>
        </w:rPr>
        <w:t xml:space="preserve">أحكام </w:t>
      </w:r>
      <w:r w:rsidR="004E0A37" w:rsidRPr="004E0A37">
        <w:rPr>
          <w:rFonts w:hint="cs"/>
          <w:spacing w:val="0"/>
          <w:sz w:val="20"/>
          <w:rtl/>
        </w:rPr>
        <w:t>المتعلقة بال</w:t>
      </w:r>
      <w:r w:rsidR="004E0A37" w:rsidRPr="004E0A37">
        <w:rPr>
          <w:spacing w:val="0"/>
          <w:sz w:val="20"/>
          <w:rtl/>
        </w:rPr>
        <w:t xml:space="preserve">جريمة </w:t>
      </w:r>
      <w:r w:rsidR="004E0A37" w:rsidRPr="004E0A37">
        <w:rPr>
          <w:rFonts w:hint="cs"/>
          <w:spacing w:val="0"/>
          <w:sz w:val="20"/>
          <w:rtl/>
        </w:rPr>
        <w:t>ال</w:t>
      </w:r>
      <w:r w:rsidR="004E0A37" w:rsidRPr="004E0A37">
        <w:rPr>
          <w:spacing w:val="0"/>
          <w:sz w:val="20"/>
          <w:rtl/>
        </w:rPr>
        <w:t xml:space="preserve">جديدة </w:t>
      </w:r>
      <w:r w:rsidR="004E0A37" w:rsidRPr="004E0A37">
        <w:rPr>
          <w:rFonts w:hint="cs"/>
          <w:spacing w:val="0"/>
          <w:sz w:val="20"/>
          <w:rtl/>
        </w:rPr>
        <w:t xml:space="preserve">والتي تستوفي </w:t>
      </w:r>
      <w:r w:rsidR="004E0A37" w:rsidRPr="004E0A37">
        <w:rPr>
          <w:spacing w:val="0"/>
          <w:sz w:val="20"/>
          <w:rtl/>
        </w:rPr>
        <w:t>تعريف التعذيب (المادتان 1 و4).</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تحث اللجنة الدولة الطرف على اعتماد تعريف للتعذيب يشمل جميع العناصر الواردة في المادة</w:t>
      </w:r>
      <w:r w:rsidRPr="008B4006">
        <w:rPr>
          <w:rFonts w:hint="cs"/>
          <w:b/>
          <w:bCs/>
          <w:spacing w:val="0"/>
          <w:sz w:val="20"/>
          <w:rtl/>
        </w:rPr>
        <w:t> </w:t>
      </w:r>
      <w:r w:rsidRPr="008B4006">
        <w:rPr>
          <w:b/>
          <w:bCs/>
          <w:spacing w:val="0"/>
          <w:sz w:val="20"/>
          <w:rtl/>
        </w:rPr>
        <w:t>1 من الاتفاقية. وينبغي للدولة الطرف اتخاذ تدابير تشريعية فعالة لإدراج التعذيب كجريمة منفصلة ومحددة في تشريعها وضمان تناسب</w:t>
      </w:r>
      <w:r w:rsidRPr="008B4006">
        <w:rPr>
          <w:rFonts w:hint="cs"/>
          <w:b/>
          <w:bCs/>
          <w:spacing w:val="0"/>
          <w:sz w:val="20"/>
          <w:rtl/>
        </w:rPr>
        <w:t xml:space="preserve"> العقوبات المقررة لفعل</w:t>
      </w:r>
      <w:r w:rsidRPr="008B4006">
        <w:rPr>
          <w:b/>
          <w:bCs/>
          <w:spacing w:val="0"/>
          <w:sz w:val="20"/>
          <w:rtl/>
        </w:rPr>
        <w:t xml:space="preserve"> </w:t>
      </w:r>
      <w:r w:rsidRPr="008B4006">
        <w:rPr>
          <w:rFonts w:hint="cs"/>
          <w:b/>
          <w:bCs/>
          <w:spacing w:val="0"/>
          <w:sz w:val="20"/>
          <w:rtl/>
        </w:rPr>
        <w:t xml:space="preserve">التعذيب </w:t>
      </w:r>
      <w:r w:rsidRPr="008B4006">
        <w:rPr>
          <w:b/>
          <w:bCs/>
          <w:spacing w:val="0"/>
          <w:sz w:val="20"/>
          <w:rtl/>
        </w:rPr>
        <w:t xml:space="preserve">مع خطورة هذه الجريمة. وينبغي أن تكفل عدم </w:t>
      </w:r>
      <w:r w:rsidRPr="008B4006">
        <w:rPr>
          <w:rFonts w:hint="cs"/>
          <w:b/>
          <w:bCs/>
          <w:spacing w:val="0"/>
          <w:sz w:val="20"/>
          <w:rtl/>
        </w:rPr>
        <w:t xml:space="preserve">قابلية تقييد </w:t>
      </w:r>
      <w:r w:rsidRPr="008B4006">
        <w:rPr>
          <w:b/>
          <w:bCs/>
          <w:spacing w:val="0"/>
          <w:sz w:val="20"/>
          <w:rtl/>
        </w:rPr>
        <w:t xml:space="preserve">الحظر المطلق للتعذيب وألا تكون الأفعال التي ترقى إلى تعذيب موضوع أي شكل من أشكال التقادم. </w:t>
      </w:r>
    </w:p>
    <w:p w:rsidR="004E0A37" w:rsidRPr="004E0A37" w:rsidRDefault="004E0A37" w:rsidP="00335AC0">
      <w:pPr>
        <w:pStyle w:val="H23GA"/>
        <w:rPr>
          <w:rtl/>
        </w:rPr>
      </w:pPr>
      <w:r w:rsidRPr="004E0A37">
        <w:rPr>
          <w:rtl/>
        </w:rPr>
        <w:tab/>
      </w:r>
      <w:r w:rsidRPr="004E0A37">
        <w:rPr>
          <w:rtl/>
        </w:rPr>
        <w:tab/>
        <w:t>الضمانات القانونية الأساسية</w:t>
      </w:r>
      <w:r w:rsidRPr="004E0A37">
        <w:rPr>
          <w:rFonts w:hint="cs"/>
          <w:rtl/>
        </w:rPr>
        <w:t xml:space="preserve"> </w:t>
      </w:r>
      <w:r w:rsidRPr="004E0A37">
        <w:rPr>
          <w:rtl/>
        </w:rPr>
        <w:t xml:space="preserve">- </w:t>
      </w:r>
      <w:r w:rsidRPr="004E0A37">
        <w:rPr>
          <w:rFonts w:hint="cs"/>
          <w:rtl/>
        </w:rPr>
        <w:t xml:space="preserve">إمكانية </w:t>
      </w:r>
      <w:r w:rsidRPr="004E0A37">
        <w:rPr>
          <w:rtl/>
        </w:rPr>
        <w:t>ال</w:t>
      </w:r>
      <w:r w:rsidRPr="004E0A37">
        <w:rPr>
          <w:rFonts w:hint="cs"/>
          <w:rtl/>
        </w:rPr>
        <w:t>ح</w:t>
      </w:r>
      <w:r w:rsidRPr="004E0A37">
        <w:rPr>
          <w:rtl/>
        </w:rPr>
        <w:t xml:space="preserve">صول </w:t>
      </w:r>
      <w:r w:rsidRPr="004E0A37">
        <w:rPr>
          <w:rFonts w:hint="cs"/>
          <w:rtl/>
        </w:rPr>
        <w:t>ع</w:t>
      </w:r>
      <w:r w:rsidRPr="004E0A37">
        <w:rPr>
          <w:rtl/>
        </w:rPr>
        <w:t xml:space="preserve">لى </w:t>
      </w:r>
      <w:r w:rsidRPr="004E0A37">
        <w:rPr>
          <w:rFonts w:hint="cs"/>
          <w:rtl/>
        </w:rPr>
        <w:t xml:space="preserve">خدمات </w:t>
      </w:r>
      <w:r w:rsidRPr="004E0A37">
        <w:rPr>
          <w:rtl/>
        </w:rPr>
        <w:t>محام و</w:t>
      </w:r>
      <w:r w:rsidRPr="004E0A37">
        <w:rPr>
          <w:rFonts w:hint="cs"/>
          <w:rtl/>
        </w:rPr>
        <w:t>ع</w:t>
      </w:r>
      <w:r w:rsidRPr="004E0A37">
        <w:rPr>
          <w:rtl/>
        </w:rPr>
        <w:t>لى المساعدة القانونية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9</w:t>
      </w:r>
      <w:r w:rsidR="003E72B5">
        <w:rPr>
          <w:spacing w:val="0"/>
          <w:sz w:val="20"/>
          <w:rtl/>
        </w:rPr>
        <w:t>)</w:t>
      </w:r>
      <w:r w:rsidR="003E72B5">
        <w:rPr>
          <w:spacing w:val="0"/>
          <w:sz w:val="20"/>
          <w:rtl/>
        </w:rPr>
        <w:tab/>
      </w:r>
      <w:r w:rsidR="004E0A37" w:rsidRPr="004E0A37">
        <w:rPr>
          <w:spacing w:val="0"/>
          <w:sz w:val="20"/>
          <w:rtl/>
        </w:rPr>
        <w:t>تشير اللجنة إلى أن الدولة الطرف اعتمدت تدابير قانون</w:t>
      </w:r>
      <w:r w:rsidR="004E0A37" w:rsidRPr="004E0A37">
        <w:rPr>
          <w:rFonts w:hint="cs"/>
          <w:spacing w:val="0"/>
          <w:sz w:val="20"/>
          <w:rtl/>
        </w:rPr>
        <w:t>ية</w:t>
      </w:r>
      <w:r w:rsidR="004E0A37" w:rsidRPr="004E0A37">
        <w:rPr>
          <w:spacing w:val="0"/>
          <w:sz w:val="20"/>
          <w:rtl/>
        </w:rPr>
        <w:t xml:space="preserve"> و</w:t>
      </w:r>
      <w:r w:rsidR="004E0A37" w:rsidRPr="004E0A37">
        <w:rPr>
          <w:rFonts w:hint="cs"/>
          <w:spacing w:val="0"/>
          <w:sz w:val="20"/>
          <w:rtl/>
        </w:rPr>
        <w:t>أ</w:t>
      </w:r>
      <w:r w:rsidR="004E0A37" w:rsidRPr="004E0A37">
        <w:rPr>
          <w:spacing w:val="0"/>
          <w:sz w:val="20"/>
          <w:rtl/>
        </w:rPr>
        <w:t>صدر</w:t>
      </w:r>
      <w:r w:rsidR="004E0A37" w:rsidRPr="004E0A37">
        <w:rPr>
          <w:rFonts w:hint="cs"/>
          <w:spacing w:val="0"/>
          <w:sz w:val="20"/>
          <w:rtl/>
        </w:rPr>
        <w:t>ت</w:t>
      </w:r>
      <w:r w:rsidR="004E0A37" w:rsidRPr="004E0A37">
        <w:rPr>
          <w:spacing w:val="0"/>
          <w:sz w:val="20"/>
          <w:rtl/>
        </w:rPr>
        <w:t xml:space="preserve"> تعليمات ملائمة ت</w:t>
      </w:r>
      <w:r w:rsidR="004E0A37" w:rsidRPr="004E0A37">
        <w:rPr>
          <w:rFonts w:hint="cs"/>
          <w:spacing w:val="0"/>
          <w:sz w:val="20"/>
          <w:rtl/>
        </w:rPr>
        <w:t>كفل للمحتجز</w:t>
      </w:r>
      <w:r w:rsidR="004E0A37" w:rsidRPr="004E0A37">
        <w:rPr>
          <w:spacing w:val="0"/>
          <w:sz w:val="20"/>
          <w:rtl/>
        </w:rPr>
        <w:t xml:space="preserve"> حق</w:t>
      </w:r>
      <w:r w:rsidR="004E0A37" w:rsidRPr="004E0A37">
        <w:rPr>
          <w:rFonts w:hint="cs"/>
          <w:spacing w:val="0"/>
          <w:sz w:val="20"/>
          <w:rtl/>
        </w:rPr>
        <w:t>وقه</w:t>
      </w:r>
      <w:r w:rsidR="004E0A37" w:rsidRPr="004E0A37">
        <w:rPr>
          <w:spacing w:val="0"/>
          <w:sz w:val="20"/>
          <w:rtl/>
        </w:rPr>
        <w:t xml:space="preserve"> في إخطار ذوي</w:t>
      </w:r>
      <w:r w:rsidR="004E0A37" w:rsidRPr="004E0A37">
        <w:rPr>
          <w:rFonts w:hint="cs"/>
          <w:spacing w:val="0"/>
          <w:sz w:val="20"/>
          <w:rtl/>
        </w:rPr>
        <w:t>ه</w:t>
      </w:r>
      <w:r w:rsidR="004E0A37" w:rsidRPr="004E0A37">
        <w:rPr>
          <w:spacing w:val="0"/>
          <w:sz w:val="20"/>
          <w:rtl/>
        </w:rPr>
        <w:t xml:space="preserve"> باحتجازه و</w:t>
      </w:r>
      <w:r w:rsidR="004E0A37" w:rsidRPr="004E0A37">
        <w:rPr>
          <w:rFonts w:hint="cs"/>
          <w:spacing w:val="0"/>
          <w:sz w:val="20"/>
          <w:rtl/>
        </w:rPr>
        <w:t>ح</w:t>
      </w:r>
      <w:r w:rsidR="004E0A37" w:rsidRPr="004E0A37">
        <w:rPr>
          <w:spacing w:val="0"/>
          <w:sz w:val="20"/>
          <w:rtl/>
        </w:rPr>
        <w:t xml:space="preserve">صوله </w:t>
      </w:r>
      <w:r w:rsidR="004E0A37" w:rsidRPr="004E0A37">
        <w:rPr>
          <w:rFonts w:hint="cs"/>
          <w:spacing w:val="0"/>
          <w:sz w:val="20"/>
          <w:rtl/>
        </w:rPr>
        <w:t>ع</w:t>
      </w:r>
      <w:r w:rsidR="004E0A37" w:rsidRPr="004E0A37">
        <w:rPr>
          <w:spacing w:val="0"/>
          <w:sz w:val="20"/>
          <w:rtl/>
        </w:rPr>
        <w:t xml:space="preserve">لى </w:t>
      </w:r>
      <w:r w:rsidR="004E0A37" w:rsidRPr="004E0A37">
        <w:rPr>
          <w:rFonts w:hint="cs"/>
          <w:spacing w:val="0"/>
          <w:sz w:val="20"/>
          <w:rtl/>
        </w:rPr>
        <w:t xml:space="preserve">خدمات </w:t>
      </w:r>
      <w:r w:rsidR="004E0A37" w:rsidRPr="004E0A37">
        <w:rPr>
          <w:spacing w:val="0"/>
          <w:sz w:val="20"/>
          <w:rtl/>
        </w:rPr>
        <w:t>محام و</w:t>
      </w:r>
      <w:r w:rsidR="004E0A37" w:rsidRPr="004E0A37">
        <w:rPr>
          <w:rFonts w:hint="cs"/>
          <w:spacing w:val="0"/>
          <w:sz w:val="20"/>
          <w:rtl/>
        </w:rPr>
        <w:t>عرضه ع</w:t>
      </w:r>
      <w:r w:rsidR="004E0A37" w:rsidRPr="004E0A37">
        <w:rPr>
          <w:spacing w:val="0"/>
          <w:sz w:val="20"/>
          <w:rtl/>
        </w:rPr>
        <w:t>لى طبيب مستقل وإطلاعه على التهم الموجهة إليه من أول لحظة احتجاز</w:t>
      </w:r>
      <w:r w:rsidR="004E0A37" w:rsidRPr="004E0A37">
        <w:rPr>
          <w:rFonts w:hint="cs"/>
          <w:spacing w:val="0"/>
          <w:sz w:val="20"/>
          <w:rtl/>
        </w:rPr>
        <w:t>ه</w:t>
      </w:r>
      <w:r w:rsidR="004E0A37" w:rsidRPr="004E0A37">
        <w:rPr>
          <w:spacing w:val="0"/>
          <w:sz w:val="20"/>
          <w:rtl/>
        </w:rPr>
        <w:t xml:space="preserve">. بيد أنه يساور اللجنة القلق </w:t>
      </w:r>
      <w:r w:rsidR="004E0A37" w:rsidRPr="004E0A37">
        <w:rPr>
          <w:rFonts w:hint="cs"/>
          <w:spacing w:val="0"/>
          <w:sz w:val="20"/>
          <w:rtl/>
        </w:rPr>
        <w:t>إزاء ال</w:t>
      </w:r>
      <w:r w:rsidR="004E0A37" w:rsidRPr="004E0A37">
        <w:rPr>
          <w:spacing w:val="0"/>
          <w:sz w:val="20"/>
          <w:rtl/>
        </w:rPr>
        <w:t xml:space="preserve">معلومات </w:t>
      </w:r>
      <w:r w:rsidR="004E0A37" w:rsidRPr="004E0A37">
        <w:rPr>
          <w:rFonts w:hint="cs"/>
          <w:spacing w:val="0"/>
          <w:sz w:val="20"/>
          <w:rtl/>
        </w:rPr>
        <w:t xml:space="preserve">التي تتحدث </w:t>
      </w:r>
      <w:r w:rsidR="004E0A37" w:rsidRPr="004E0A37">
        <w:rPr>
          <w:spacing w:val="0"/>
          <w:sz w:val="20"/>
          <w:rtl/>
        </w:rPr>
        <w:t xml:space="preserve">عن </w:t>
      </w:r>
      <w:r w:rsidR="004E0A37" w:rsidRPr="004E0A37">
        <w:rPr>
          <w:rFonts w:hint="cs"/>
          <w:spacing w:val="0"/>
          <w:sz w:val="20"/>
          <w:rtl/>
        </w:rPr>
        <w:t>أن</w:t>
      </w:r>
      <w:r w:rsidR="004E0A37" w:rsidRPr="004E0A37">
        <w:rPr>
          <w:spacing w:val="0"/>
          <w:sz w:val="20"/>
          <w:rtl/>
        </w:rPr>
        <w:t xml:space="preserve"> إمكانية ال</w:t>
      </w:r>
      <w:r w:rsidR="004E0A37" w:rsidRPr="004E0A37">
        <w:rPr>
          <w:rFonts w:hint="cs"/>
          <w:spacing w:val="0"/>
          <w:sz w:val="20"/>
          <w:rtl/>
        </w:rPr>
        <w:t>ح</w:t>
      </w:r>
      <w:r w:rsidR="004E0A37" w:rsidRPr="004E0A37">
        <w:rPr>
          <w:spacing w:val="0"/>
          <w:sz w:val="20"/>
          <w:rtl/>
        </w:rPr>
        <w:t xml:space="preserve">صول </w:t>
      </w:r>
      <w:r w:rsidR="004E0A37" w:rsidRPr="004E0A37">
        <w:rPr>
          <w:rFonts w:hint="cs"/>
          <w:spacing w:val="0"/>
          <w:sz w:val="20"/>
          <w:rtl/>
        </w:rPr>
        <w:t>ع</w:t>
      </w:r>
      <w:r w:rsidR="004E0A37" w:rsidRPr="004E0A37">
        <w:rPr>
          <w:spacing w:val="0"/>
          <w:sz w:val="20"/>
          <w:rtl/>
        </w:rPr>
        <w:t xml:space="preserve">لى </w:t>
      </w:r>
      <w:r w:rsidR="004E0A37" w:rsidRPr="004E0A37">
        <w:rPr>
          <w:rFonts w:hint="cs"/>
          <w:spacing w:val="0"/>
          <w:sz w:val="20"/>
          <w:rtl/>
        </w:rPr>
        <w:t xml:space="preserve">خدمات </w:t>
      </w:r>
      <w:r w:rsidR="004E0A37" w:rsidRPr="004E0A37">
        <w:rPr>
          <w:spacing w:val="0"/>
          <w:sz w:val="20"/>
          <w:rtl/>
        </w:rPr>
        <w:t>محام خلال</w:t>
      </w:r>
      <w:r w:rsidR="004E0A37" w:rsidRPr="004E0A37">
        <w:rPr>
          <w:rFonts w:hint="cs"/>
          <w:spacing w:val="0"/>
          <w:sz w:val="20"/>
          <w:rtl/>
        </w:rPr>
        <w:t> </w:t>
      </w:r>
      <w:r w:rsidR="004E0A37" w:rsidRPr="004E0A37">
        <w:rPr>
          <w:spacing w:val="0"/>
          <w:sz w:val="20"/>
          <w:rtl/>
        </w:rPr>
        <w:t xml:space="preserve">24 </w:t>
      </w:r>
      <w:r w:rsidR="004E0A37" w:rsidRPr="004E0A37">
        <w:rPr>
          <w:rFonts w:hint="cs"/>
          <w:spacing w:val="0"/>
          <w:sz w:val="20"/>
          <w:rtl/>
        </w:rPr>
        <w:t xml:space="preserve">ساعة </w:t>
      </w:r>
      <w:r w:rsidR="004E0A37" w:rsidRPr="004E0A37">
        <w:rPr>
          <w:spacing w:val="0"/>
          <w:sz w:val="20"/>
          <w:rtl/>
        </w:rPr>
        <w:t xml:space="preserve">من الاحتجاز </w:t>
      </w:r>
      <w:r w:rsidR="004E0A37" w:rsidRPr="004E0A37">
        <w:rPr>
          <w:rFonts w:hint="cs"/>
          <w:spacing w:val="0"/>
          <w:sz w:val="20"/>
          <w:rtl/>
        </w:rPr>
        <w:t>لدى الشرطة ليست متاحة</w:t>
      </w:r>
      <w:r w:rsidR="004E0A37" w:rsidRPr="004E0A37">
        <w:rPr>
          <w:spacing w:val="0"/>
          <w:sz w:val="20"/>
          <w:rtl/>
        </w:rPr>
        <w:t xml:space="preserve"> دائماً في واقع الممارسة وأن هذ</w:t>
      </w:r>
      <w:r w:rsidR="004E0A37" w:rsidRPr="004E0A37">
        <w:rPr>
          <w:rFonts w:hint="cs"/>
          <w:spacing w:val="0"/>
          <w:sz w:val="20"/>
          <w:rtl/>
        </w:rPr>
        <w:t>ه الإمكانية تبقى متاحة</w:t>
      </w:r>
      <w:r w:rsidR="004E0A37" w:rsidRPr="004E0A37">
        <w:rPr>
          <w:spacing w:val="0"/>
          <w:sz w:val="20"/>
          <w:rtl/>
        </w:rPr>
        <w:t xml:space="preserve"> لأقلية </w:t>
      </w:r>
      <w:r w:rsidR="004E0A37" w:rsidRPr="004E0A37">
        <w:rPr>
          <w:rFonts w:hint="cs"/>
          <w:spacing w:val="0"/>
          <w:sz w:val="20"/>
          <w:rtl/>
        </w:rPr>
        <w:t xml:space="preserve">فقط </w:t>
      </w:r>
      <w:r w:rsidR="004E0A37" w:rsidRPr="004E0A37">
        <w:rPr>
          <w:spacing w:val="0"/>
          <w:sz w:val="20"/>
          <w:rtl/>
        </w:rPr>
        <w:t xml:space="preserve">من المحتجزين </w:t>
      </w:r>
      <w:r w:rsidR="004E0A37" w:rsidRPr="004E0A37">
        <w:rPr>
          <w:rFonts w:hint="cs"/>
          <w:spacing w:val="0"/>
          <w:sz w:val="20"/>
          <w:rtl/>
        </w:rPr>
        <w:t>لدى الشرطة</w:t>
      </w:r>
      <w:r w:rsidR="004E0A37" w:rsidRPr="004E0A37">
        <w:rPr>
          <w:spacing w:val="0"/>
          <w:sz w:val="20"/>
          <w:rtl/>
        </w:rPr>
        <w:t xml:space="preserve">، وهم </w:t>
      </w:r>
      <w:r w:rsidR="004E0A37" w:rsidRPr="004E0A37">
        <w:rPr>
          <w:rFonts w:hint="cs"/>
          <w:spacing w:val="0"/>
          <w:sz w:val="20"/>
          <w:rtl/>
        </w:rPr>
        <w:t xml:space="preserve">الذين </w:t>
      </w:r>
      <w:r w:rsidR="004E0A37" w:rsidRPr="004E0A37">
        <w:rPr>
          <w:spacing w:val="0"/>
          <w:sz w:val="20"/>
          <w:rtl/>
        </w:rPr>
        <w:t>يستطيعون تحمل نفقات محام خاص. كما يساور اللجنة القلق بشأن المزاعم التي تفيد أن الشرطة تمانع في السماح بال</w:t>
      </w:r>
      <w:r w:rsidR="004E0A37" w:rsidRPr="004E0A37">
        <w:rPr>
          <w:rFonts w:hint="cs"/>
          <w:spacing w:val="0"/>
          <w:sz w:val="20"/>
          <w:rtl/>
        </w:rPr>
        <w:t>ح</w:t>
      </w:r>
      <w:r w:rsidR="004E0A37" w:rsidRPr="004E0A37">
        <w:rPr>
          <w:spacing w:val="0"/>
          <w:sz w:val="20"/>
          <w:rtl/>
        </w:rPr>
        <w:t xml:space="preserve">صول </w:t>
      </w:r>
      <w:r w:rsidR="004E0A37" w:rsidRPr="004E0A37">
        <w:rPr>
          <w:rFonts w:hint="cs"/>
          <w:spacing w:val="0"/>
          <w:sz w:val="20"/>
          <w:rtl/>
        </w:rPr>
        <w:t>ع</w:t>
      </w:r>
      <w:r w:rsidR="004E0A37" w:rsidRPr="004E0A37">
        <w:rPr>
          <w:spacing w:val="0"/>
          <w:sz w:val="20"/>
          <w:rtl/>
        </w:rPr>
        <w:t xml:space="preserve">لى </w:t>
      </w:r>
      <w:r w:rsidR="004E0A37" w:rsidRPr="004E0A37">
        <w:rPr>
          <w:rFonts w:hint="cs"/>
          <w:spacing w:val="0"/>
          <w:sz w:val="20"/>
          <w:rtl/>
        </w:rPr>
        <w:t xml:space="preserve">خدمات </w:t>
      </w:r>
      <w:r w:rsidR="004E0A37" w:rsidRPr="004E0A37">
        <w:rPr>
          <w:spacing w:val="0"/>
          <w:sz w:val="20"/>
          <w:rtl/>
        </w:rPr>
        <w:t>محام منذ اللحظة الأولى للاحتجاز و</w:t>
      </w:r>
      <w:r w:rsidR="004E0A37" w:rsidRPr="004E0A37">
        <w:rPr>
          <w:rFonts w:hint="cs"/>
          <w:spacing w:val="0"/>
          <w:sz w:val="20"/>
          <w:rtl/>
        </w:rPr>
        <w:t xml:space="preserve">أنه كثيراً ما يحدث </w:t>
      </w:r>
      <w:r w:rsidR="004E0A37" w:rsidRPr="004E0A37">
        <w:rPr>
          <w:spacing w:val="0"/>
          <w:sz w:val="20"/>
          <w:rtl/>
        </w:rPr>
        <w:t xml:space="preserve">تأخير في الاتصال بالمحامين المنتدبين للمساعدة القانونية وحضورهم إلى مخافر الشرطة. ويساور اللجنة القلق كذلك من نقص موظفي وموارد المكتب الوطني للمساعدة القانونية، وهو ما يؤثر سلباً على حق الأشخاص ذوي الأوضاع الاقتصادية والاجتماعية </w:t>
      </w:r>
      <w:r w:rsidR="004E0A37" w:rsidRPr="004E0A37">
        <w:rPr>
          <w:rFonts w:hint="cs"/>
          <w:spacing w:val="0"/>
          <w:sz w:val="20"/>
          <w:rtl/>
        </w:rPr>
        <w:t>المتفاوتة</w:t>
      </w:r>
      <w:r w:rsidR="004E0A37" w:rsidRPr="004E0A37">
        <w:rPr>
          <w:spacing w:val="0"/>
          <w:sz w:val="20"/>
          <w:rtl/>
        </w:rPr>
        <w:t xml:space="preserve"> في محاكمة عادلة بتحولها إلى عدم مساواة في الوصول إلى العدالة وعدم التساوي في إمكانات الدفاع أثناء المحاكمة؛ كما يحرم الفقراء وأفراد الأقليات وبعض فئات الأجانب، من مثل طالبي اللجوء والمهاجرين غير القانونيين، من الوصول إلى العدالة على قدم المساواة (المادة</w:t>
      </w:r>
      <w:r w:rsidR="004E0A37" w:rsidRPr="004E0A37">
        <w:rPr>
          <w:rFonts w:hint="cs"/>
          <w:spacing w:val="0"/>
          <w:sz w:val="20"/>
          <w:rtl/>
        </w:rPr>
        <w:t> </w:t>
      </w:r>
      <w:r w:rsidR="004E0A37" w:rsidRPr="004E0A37">
        <w:rPr>
          <w:spacing w:val="0"/>
          <w:sz w:val="20"/>
          <w:rtl/>
        </w:rPr>
        <w:t xml:space="preserve">2). </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توصي اللجنة السلطات البلغارية بإعادة تدريب جميع ضباط الشرطة على الالتزام القانوني بتوفير إمكانية ال</w:t>
      </w:r>
      <w:r w:rsidRPr="008B4006">
        <w:rPr>
          <w:rFonts w:hint="cs"/>
          <w:b/>
          <w:bCs/>
          <w:spacing w:val="0"/>
          <w:sz w:val="20"/>
          <w:rtl/>
        </w:rPr>
        <w:t>ح</w:t>
      </w:r>
      <w:r w:rsidRPr="008B4006">
        <w:rPr>
          <w:b/>
          <w:bCs/>
          <w:spacing w:val="0"/>
          <w:sz w:val="20"/>
          <w:rtl/>
        </w:rPr>
        <w:t xml:space="preserve">صول </w:t>
      </w:r>
      <w:r w:rsidRPr="008B4006">
        <w:rPr>
          <w:rFonts w:hint="cs"/>
          <w:b/>
          <w:bCs/>
          <w:spacing w:val="0"/>
          <w:sz w:val="20"/>
          <w:rtl/>
        </w:rPr>
        <w:t>ع</w:t>
      </w:r>
      <w:r w:rsidRPr="008B4006">
        <w:rPr>
          <w:b/>
          <w:bCs/>
          <w:spacing w:val="0"/>
          <w:sz w:val="20"/>
          <w:rtl/>
        </w:rPr>
        <w:t xml:space="preserve">لى </w:t>
      </w:r>
      <w:r w:rsidRPr="008B4006">
        <w:rPr>
          <w:rFonts w:hint="cs"/>
          <w:b/>
          <w:bCs/>
          <w:spacing w:val="0"/>
          <w:sz w:val="20"/>
          <w:rtl/>
        </w:rPr>
        <w:t xml:space="preserve">خدمات </w:t>
      </w:r>
      <w:r w:rsidRPr="008B4006">
        <w:rPr>
          <w:b/>
          <w:bCs/>
          <w:spacing w:val="0"/>
          <w:sz w:val="20"/>
          <w:rtl/>
        </w:rPr>
        <w:t xml:space="preserve">محام لجميع المحتجزين منذ اللحظة الأولى لاحتجازهم. وعلاوة على ذلك، توصي اللجنة الدولة الطرف باتخاذ التدابير الملائمة لإزالة جميع العقبات التي تقف أمام الحق في الوصول إلى العدالة على قدم المساواة؛ وبكفالة إمداد المكتب الوطني للمساعدة القانونية بموارد مالية وبشرية كافية لاضطلاعه بدوره إزاء جميع </w:t>
      </w:r>
      <w:r w:rsidRPr="008B4006">
        <w:rPr>
          <w:rFonts w:hint="cs"/>
          <w:b/>
          <w:bCs/>
          <w:spacing w:val="0"/>
          <w:sz w:val="20"/>
          <w:rtl/>
        </w:rPr>
        <w:t>ف</w:t>
      </w:r>
      <w:r w:rsidRPr="008B4006">
        <w:rPr>
          <w:b/>
          <w:bCs/>
          <w:spacing w:val="0"/>
          <w:sz w:val="20"/>
          <w:rtl/>
        </w:rPr>
        <w:t>ئات المحتجزين.</w:t>
      </w:r>
    </w:p>
    <w:p w:rsidR="004E0A37" w:rsidRPr="004E0A37" w:rsidRDefault="004E0A37" w:rsidP="00335AC0">
      <w:pPr>
        <w:pStyle w:val="H23GA"/>
        <w:rPr>
          <w:rtl/>
        </w:rPr>
      </w:pPr>
      <w:r w:rsidRPr="004E0A37">
        <w:rPr>
          <w:rtl/>
        </w:rPr>
        <w:tab/>
      </w:r>
      <w:r w:rsidRPr="004E0A37">
        <w:rPr>
          <w:rtl/>
        </w:rPr>
        <w:tab/>
        <w:t>عنف الشرطة واستخدام الأسلحة النارية</w:t>
      </w:r>
    </w:p>
    <w:p w:rsidR="004E0A37" w:rsidRPr="004E0A37" w:rsidRDefault="0033301A" w:rsidP="00A72130">
      <w:pPr>
        <w:pStyle w:val="SingleTxtGA"/>
        <w:spacing w:line="360" w:lineRule="exact"/>
        <w:jc w:val="lowKashida"/>
        <w:rPr>
          <w:spacing w:val="0"/>
          <w:sz w:val="20"/>
          <w:rtl/>
        </w:rPr>
      </w:pPr>
      <w:r>
        <w:rPr>
          <w:rFonts w:hint="cs"/>
          <w:spacing w:val="0"/>
          <w:sz w:val="20"/>
          <w:rtl/>
        </w:rPr>
        <w:t>(</w:t>
      </w:r>
      <w:r w:rsidR="004E0A37" w:rsidRPr="004E0A37">
        <w:rPr>
          <w:spacing w:val="0"/>
          <w:sz w:val="20"/>
          <w:rtl/>
        </w:rPr>
        <w:t>10</w:t>
      </w:r>
      <w:r w:rsidR="003E72B5">
        <w:rPr>
          <w:spacing w:val="0"/>
          <w:sz w:val="20"/>
          <w:rtl/>
        </w:rPr>
        <w:t>)</w:t>
      </w:r>
      <w:r w:rsidR="003E72B5">
        <w:rPr>
          <w:spacing w:val="0"/>
          <w:sz w:val="20"/>
          <w:rtl/>
        </w:rPr>
        <w:tab/>
      </w:r>
      <w:r w:rsidR="004E0A37" w:rsidRPr="004E0A37">
        <w:rPr>
          <w:spacing w:val="0"/>
          <w:sz w:val="20"/>
          <w:rtl/>
        </w:rPr>
        <w:t>يساور اللجنة القلق من اس</w:t>
      </w:r>
      <w:r w:rsidR="004E0A37" w:rsidRPr="004E0A37">
        <w:rPr>
          <w:rFonts w:hint="cs"/>
          <w:spacing w:val="0"/>
          <w:sz w:val="20"/>
          <w:rtl/>
        </w:rPr>
        <w:t>ت</w:t>
      </w:r>
      <w:r w:rsidR="004E0A37" w:rsidRPr="004E0A37">
        <w:rPr>
          <w:spacing w:val="0"/>
          <w:sz w:val="20"/>
          <w:rtl/>
        </w:rPr>
        <w:t xml:space="preserve">خدام الموظفين المكلفين بإنفاذ القوانين المفرط للأسلحة النارية، بما في ذلك </w:t>
      </w:r>
      <w:r w:rsidR="004E0A37" w:rsidRPr="004E0A37">
        <w:rPr>
          <w:rFonts w:hint="cs"/>
          <w:spacing w:val="0"/>
          <w:sz w:val="20"/>
          <w:rtl/>
        </w:rPr>
        <w:t>في ال</w:t>
      </w:r>
      <w:r w:rsidR="004E0A37" w:rsidRPr="004E0A37">
        <w:rPr>
          <w:spacing w:val="0"/>
          <w:sz w:val="20"/>
          <w:rtl/>
        </w:rPr>
        <w:t xml:space="preserve">حالات </w:t>
      </w:r>
      <w:r w:rsidR="004E0A37" w:rsidRPr="004E0A37">
        <w:rPr>
          <w:rFonts w:hint="cs"/>
          <w:spacing w:val="0"/>
          <w:sz w:val="20"/>
          <w:rtl/>
        </w:rPr>
        <w:t xml:space="preserve">الثمانية التي </w:t>
      </w:r>
      <w:r w:rsidR="004E0A37" w:rsidRPr="004E0A37">
        <w:rPr>
          <w:spacing w:val="0"/>
          <w:sz w:val="20"/>
          <w:rtl/>
        </w:rPr>
        <w:t xml:space="preserve">حكمت فيها المحكمة الأوروبية لحقوق الإنسان ضد الدولة الطرف عام 2010، والتي انتهت أربع منها بوفاة الضحايا؛ ومن النطاق المسموح فيه باستعمال الأسلحة النارية في قانون وزارة الداخلية (المادة 74)؛ ومن </w:t>
      </w:r>
      <w:r w:rsidR="004E0A37" w:rsidRPr="004E0A37">
        <w:rPr>
          <w:rFonts w:hint="cs"/>
          <w:spacing w:val="0"/>
          <w:sz w:val="20"/>
          <w:rtl/>
        </w:rPr>
        <w:t xml:space="preserve">أن </w:t>
      </w:r>
      <w:r w:rsidR="004E0A37" w:rsidRPr="004E0A37">
        <w:rPr>
          <w:spacing w:val="0"/>
          <w:sz w:val="20"/>
          <w:rtl/>
        </w:rPr>
        <w:t xml:space="preserve">أعمال العنف المنسوبة إلى موظفي إنفاذ القوانين تشمل التعذيب والمعاملة اللاإنسانية أو المهينة ورفض تقديم المساعدة الطبية لإنقاذ أرواح الضحايا؛ ومن </w:t>
      </w:r>
      <w:r w:rsidR="004E0A37" w:rsidRPr="004E0A37">
        <w:rPr>
          <w:rFonts w:hint="cs"/>
          <w:spacing w:val="0"/>
          <w:sz w:val="20"/>
          <w:rtl/>
        </w:rPr>
        <w:t xml:space="preserve">أن </w:t>
      </w:r>
      <w:r w:rsidR="004E0A37" w:rsidRPr="004E0A37">
        <w:rPr>
          <w:spacing w:val="0"/>
          <w:sz w:val="20"/>
          <w:rtl/>
        </w:rPr>
        <w:t xml:space="preserve">عدد المتابعات القضائية حتى الآن </w:t>
      </w:r>
      <w:r w:rsidR="004E0A37" w:rsidRPr="004E0A37">
        <w:rPr>
          <w:rFonts w:hint="cs"/>
          <w:spacing w:val="0"/>
          <w:sz w:val="20"/>
          <w:rtl/>
        </w:rPr>
        <w:t xml:space="preserve">قليل جداً </w:t>
      </w:r>
      <w:r w:rsidR="004E0A37" w:rsidRPr="004E0A37">
        <w:rPr>
          <w:spacing w:val="0"/>
          <w:sz w:val="20"/>
          <w:rtl/>
        </w:rPr>
        <w:t>(المواد 2 و12 و13 و16).</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تحث اللجنة الدولة الطرف على تعديل تشريعاتها لضمان امتثال لوائحها التنظيمية المتعلقة باستخدام الأسلحة النارية للمعايير الدولية، بما فيها المبادئ الأساسية بشأن استخدام القوة والأسلحة النارية من جانب الموظفين المكلفين بإنفاذ القوانين. وينبغي للدولة الطرف أيضاً اتخاذ التدابير اللازمة للقضاء على جميع أشكال التحرش وسوء المعاملة من الشرطة أثناء التحقيقات، والعمل</w:t>
      </w:r>
      <w:r w:rsidRPr="008B4006">
        <w:rPr>
          <w:rFonts w:hint="cs"/>
          <w:b/>
          <w:bCs/>
          <w:spacing w:val="0"/>
          <w:sz w:val="20"/>
          <w:rtl/>
        </w:rPr>
        <w:t>،</w:t>
      </w:r>
      <w:r w:rsidRPr="008B4006">
        <w:rPr>
          <w:b/>
          <w:bCs/>
          <w:spacing w:val="0"/>
          <w:sz w:val="20"/>
          <w:rtl/>
        </w:rPr>
        <w:t xml:space="preserve"> على وجه السرعة وبما يلزم من الاستفاضة والحياد</w:t>
      </w:r>
      <w:r w:rsidRPr="008B4006">
        <w:rPr>
          <w:rFonts w:hint="cs"/>
          <w:b/>
          <w:bCs/>
          <w:spacing w:val="0"/>
          <w:sz w:val="20"/>
          <w:rtl/>
        </w:rPr>
        <w:t>،</w:t>
      </w:r>
      <w:r w:rsidRPr="008B4006">
        <w:rPr>
          <w:b/>
          <w:bCs/>
          <w:spacing w:val="0"/>
          <w:sz w:val="20"/>
          <w:rtl/>
        </w:rPr>
        <w:t xml:space="preserve"> على التحقيق في جميع مزاعم استخدام الموظفين المكلفين بإنفاذ القوانين للعنف دون داع وبطريقة غير متناسبة، ومحاكمة المسؤولين ومعاقبتهم حسب جسامة أفعالهم وتقديم تعويضات للضحايا، بما في ذلك وسائل إعادة تأهيلهم على أكمل وجه ممكن.</w:t>
      </w:r>
    </w:p>
    <w:p w:rsidR="004E0A37" w:rsidRPr="004E0A37" w:rsidRDefault="004E0A37" w:rsidP="00335AC0">
      <w:pPr>
        <w:pStyle w:val="H23GA"/>
        <w:rPr>
          <w:rtl/>
        </w:rPr>
      </w:pPr>
      <w:r w:rsidRPr="004E0A37">
        <w:rPr>
          <w:rtl/>
        </w:rPr>
        <w:tab/>
      </w:r>
      <w:r w:rsidRPr="004E0A37">
        <w:rPr>
          <w:rtl/>
        </w:rPr>
        <w:tab/>
        <w:t>الرصد المستقل لأماكن الاحتجاز وغيرها من أماكن الحرمان من الحرية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11</w:t>
      </w:r>
      <w:r w:rsidR="003E72B5">
        <w:rPr>
          <w:spacing w:val="0"/>
          <w:sz w:val="20"/>
          <w:rtl/>
        </w:rPr>
        <w:t>)</w:t>
      </w:r>
      <w:r w:rsidR="003E72B5">
        <w:rPr>
          <w:spacing w:val="0"/>
          <w:sz w:val="20"/>
          <w:rtl/>
        </w:rPr>
        <w:tab/>
      </w:r>
      <w:r w:rsidR="004E0A37" w:rsidRPr="004E0A37">
        <w:rPr>
          <w:spacing w:val="0"/>
          <w:sz w:val="20"/>
          <w:rtl/>
        </w:rPr>
        <w:t>ترحب اللجنة بتصديق الدولة الطرف على البروتوكول الاختياري للاتفاقية وباعتزامها إنشاء آلية وقائية وطنية في غضون سنة واحدة. ويساور اللجنة القلق من عدم السماح برصد منظمات المجتمع المدني بصورة مستقلة لجميع حالات الاحتجاز ومن إلزام منظمات غير حكومية من قبيل لجنة هلسنكي البلغارية بالحصول على تصريح من النائب العام للوصول إلى المحتجزين رهن المحاكمة (المادة 2).</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بأن تكفل رصد هيئات غير حكومية مستقلة لجميع أماكن الاحتجاز بصورة مستقلة وفعالة ومنتظمة.</w:t>
      </w:r>
    </w:p>
    <w:p w:rsidR="004E0A37" w:rsidRPr="004E0A37" w:rsidRDefault="004E0A37" w:rsidP="00335AC0">
      <w:pPr>
        <w:pStyle w:val="H23GA"/>
        <w:rPr>
          <w:rtl/>
        </w:rPr>
      </w:pPr>
      <w:r w:rsidRPr="004E0A37">
        <w:rPr>
          <w:rtl/>
        </w:rPr>
        <w:tab/>
      </w:r>
      <w:r w:rsidRPr="004E0A37">
        <w:rPr>
          <w:rtl/>
        </w:rPr>
        <w:tab/>
        <w:t>إصلاح النظام القضائي</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12</w:t>
      </w:r>
      <w:r w:rsidR="003E72B5">
        <w:rPr>
          <w:spacing w:val="0"/>
          <w:sz w:val="20"/>
          <w:rtl/>
        </w:rPr>
        <w:t>)</w:t>
      </w:r>
      <w:r w:rsidR="003E72B5">
        <w:rPr>
          <w:spacing w:val="0"/>
          <w:sz w:val="20"/>
          <w:rtl/>
        </w:rPr>
        <w:tab/>
      </w:r>
      <w:r w:rsidR="004E0A37" w:rsidRPr="004E0A37">
        <w:rPr>
          <w:spacing w:val="0"/>
          <w:sz w:val="20"/>
          <w:rtl/>
        </w:rPr>
        <w:t>إن اللجنة، إذ تحيط</w:t>
      </w:r>
      <w:r w:rsidR="003833F8">
        <w:rPr>
          <w:spacing w:val="0"/>
          <w:sz w:val="20"/>
          <w:rtl/>
        </w:rPr>
        <w:t xml:space="preserve"> علماً </w:t>
      </w:r>
      <w:r w:rsidR="004E0A37" w:rsidRPr="004E0A37">
        <w:rPr>
          <w:spacing w:val="0"/>
          <w:sz w:val="20"/>
          <w:rtl/>
        </w:rPr>
        <w:t>بوضع استراتيجية الإصلاح القضائي 2009-2013، يساورها القلق لعدم إحراز تقدم في الإصلاح القضائي، لا سيما</w:t>
      </w:r>
      <w:r w:rsidR="004E0A37" w:rsidRPr="004E0A37">
        <w:rPr>
          <w:rFonts w:hint="cs"/>
          <w:spacing w:val="0"/>
          <w:sz w:val="20"/>
          <w:rtl/>
        </w:rPr>
        <w:t xml:space="preserve"> إزاء</w:t>
      </w:r>
      <w:r w:rsidR="004E0A37" w:rsidRPr="004E0A37">
        <w:rPr>
          <w:spacing w:val="0"/>
          <w:sz w:val="20"/>
          <w:rtl/>
        </w:rPr>
        <w:t xml:space="preserve"> التصورات الخاطئة من قبيل الإدارة المشتركة للمحاكم والنيابة العامة. ويساورها القلق من انعدام الشفافية </w:t>
      </w:r>
      <w:r w:rsidR="00F96B1E">
        <w:rPr>
          <w:spacing w:val="0"/>
          <w:sz w:val="20"/>
          <w:rtl/>
        </w:rPr>
        <w:t>فيما </w:t>
      </w:r>
      <w:r w:rsidR="004E0A37" w:rsidRPr="004E0A37">
        <w:rPr>
          <w:spacing w:val="0"/>
          <w:sz w:val="20"/>
          <w:rtl/>
        </w:rPr>
        <w:t xml:space="preserve">يتعلق باختيار وتعيين القضاة وأعضاء المجلس الأعلى للقضاء؛ ومن عدم احترام مبدأ استقلال السلطة القضائية من الأجهزة غير القضائية، بما يشمل الموظفين الحكوميين رفيعي الدرجة، ومن عدم إعماله إعمالاً كاملاً داخل السلطة القضائية ذاتها؛ ومن مزاعم الفساد في النظام القضائي وانعدام الثقة في إدارة القضاء مما يؤدي إلى انعدام ثقة الجمهور في السلطة القضائية (المادتان 12 و13). </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توصي اللجنة الدولة الطرف بتسريع الإصلاح القضائي، آخذة في الاعتبار الاستنتاجات والملاحظات الأولية للمقرر الخاص المعني باستقلال القضاة والمحامين المؤرخة</w:t>
      </w:r>
      <w:r w:rsidRPr="008B4006">
        <w:rPr>
          <w:rFonts w:hint="cs"/>
          <w:b/>
          <w:bCs/>
          <w:spacing w:val="0"/>
          <w:sz w:val="20"/>
          <w:rtl/>
        </w:rPr>
        <w:t> </w:t>
      </w:r>
      <w:r w:rsidRPr="008B4006">
        <w:rPr>
          <w:b/>
          <w:bCs/>
          <w:spacing w:val="0"/>
          <w:sz w:val="20"/>
          <w:rtl/>
        </w:rPr>
        <w:t>16 أيار/مايو</w:t>
      </w:r>
      <w:r w:rsidRPr="008B4006">
        <w:rPr>
          <w:rFonts w:hint="cs"/>
          <w:b/>
          <w:bCs/>
          <w:spacing w:val="0"/>
          <w:sz w:val="20"/>
          <w:rtl/>
        </w:rPr>
        <w:t> </w:t>
      </w:r>
      <w:r w:rsidRPr="008B4006">
        <w:rPr>
          <w:b/>
          <w:bCs/>
          <w:spacing w:val="0"/>
          <w:sz w:val="20"/>
          <w:rtl/>
        </w:rPr>
        <w:t>2011 والمعايير الدولية</w:t>
      </w:r>
      <w:r w:rsidRPr="008B4006">
        <w:rPr>
          <w:rFonts w:hint="cs"/>
          <w:b/>
          <w:bCs/>
          <w:spacing w:val="0"/>
          <w:sz w:val="20"/>
          <w:rtl/>
        </w:rPr>
        <w:t xml:space="preserve"> </w:t>
      </w:r>
      <w:r w:rsidRPr="008B4006">
        <w:rPr>
          <w:b/>
          <w:bCs/>
          <w:spacing w:val="0"/>
          <w:sz w:val="20"/>
          <w:rtl/>
        </w:rPr>
        <w:t xml:space="preserve">- ولا سيما المبادئ الأساسية لاستقلال السلطة القضائية والمبادئ الأساسية المتعلقة بدور المحامين والمبادئ التوجيهية بشأن دور أعضاء النيابة العامة ومبادئ بنغالور للسلوك القضائي. وينبغي للدولة الطرف كفالة شفافية اختيار وتعيين القضاة، بما في ذلك في المجلس الأعلى للقضاء، وتكافؤ الفرص للمرشحين وفق معايير موضوعية. وينبغي للدولة الطرف توعية موظفي القضاء وغيرهم من الموظفين والجمهور عامة بأهمية استقلال السلطة القضائية. ولا ينبغي أن يكون هناك </w:t>
      </w:r>
      <w:r w:rsidRPr="008B4006">
        <w:rPr>
          <w:rFonts w:hint="cs"/>
          <w:b/>
          <w:bCs/>
          <w:spacing w:val="0"/>
          <w:sz w:val="20"/>
          <w:rtl/>
        </w:rPr>
        <w:t xml:space="preserve">أي </w:t>
      </w:r>
      <w:r w:rsidRPr="008B4006">
        <w:rPr>
          <w:b/>
          <w:bCs/>
          <w:spacing w:val="0"/>
          <w:sz w:val="20"/>
          <w:rtl/>
        </w:rPr>
        <w:t xml:space="preserve">تدخل خارجي في العملية القضائية. كما ينبغي للدولة الطرف تكثيف جهودها الرامية إلى مكافحة الفساد وكفالة التحقيق السريع والمستفيض والمحايد في جميع </w:t>
      </w:r>
      <w:r w:rsidRPr="008B4006">
        <w:rPr>
          <w:rFonts w:hint="cs"/>
          <w:b/>
          <w:bCs/>
          <w:spacing w:val="0"/>
          <w:sz w:val="20"/>
          <w:rtl/>
        </w:rPr>
        <w:t>حالات الفساد المزعومة</w:t>
      </w:r>
      <w:r w:rsidRPr="008B4006">
        <w:rPr>
          <w:b/>
          <w:bCs/>
          <w:spacing w:val="0"/>
          <w:sz w:val="20"/>
          <w:rtl/>
        </w:rPr>
        <w:t xml:space="preserve"> ومقاضاة الفاعلين، وبخاصة في إطار الاستر</w:t>
      </w:r>
      <w:r w:rsidR="00177429">
        <w:rPr>
          <w:rFonts w:hint="cs"/>
          <w:b/>
          <w:bCs/>
          <w:spacing w:val="0"/>
          <w:sz w:val="20"/>
          <w:rtl/>
        </w:rPr>
        <w:t>ا</w:t>
      </w:r>
      <w:r w:rsidRPr="008B4006">
        <w:rPr>
          <w:b/>
          <w:bCs/>
          <w:spacing w:val="0"/>
          <w:sz w:val="20"/>
          <w:rtl/>
        </w:rPr>
        <w:t>تيجية المتكاملة لمكافحة الجريمة والفساد</w:t>
      </w:r>
      <w:r w:rsidRPr="008B4006">
        <w:rPr>
          <w:rFonts w:hint="cs"/>
          <w:b/>
          <w:bCs/>
          <w:spacing w:val="0"/>
          <w:sz w:val="20"/>
          <w:rtl/>
        </w:rPr>
        <w:t xml:space="preserve"> لعام </w:t>
      </w:r>
      <w:r w:rsidRPr="008B4006">
        <w:rPr>
          <w:b/>
          <w:bCs/>
          <w:spacing w:val="0"/>
          <w:sz w:val="20"/>
          <w:rtl/>
        </w:rPr>
        <w:t>2010</w:t>
      </w:r>
      <w:r w:rsidRPr="008B4006">
        <w:rPr>
          <w:rFonts w:hint="cs"/>
          <w:b/>
          <w:bCs/>
          <w:spacing w:val="0"/>
          <w:sz w:val="20"/>
          <w:rtl/>
        </w:rPr>
        <w:t>.</w:t>
      </w:r>
    </w:p>
    <w:p w:rsidR="004E0A37" w:rsidRPr="004E0A37" w:rsidRDefault="004E0A37" w:rsidP="00335AC0">
      <w:pPr>
        <w:pStyle w:val="H23GA"/>
        <w:rPr>
          <w:rtl/>
        </w:rPr>
      </w:pPr>
      <w:r w:rsidRPr="004E0A37">
        <w:rPr>
          <w:rtl/>
        </w:rPr>
        <w:tab/>
      </w:r>
      <w:r w:rsidRPr="004E0A37">
        <w:rPr>
          <w:rtl/>
        </w:rPr>
        <w:tab/>
        <w:t>المؤسسة الوطنية لحقوق الإنسان والآلية الوقائية الوطنية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13</w:t>
      </w:r>
      <w:r w:rsidR="003E72B5">
        <w:rPr>
          <w:spacing w:val="0"/>
          <w:sz w:val="20"/>
          <w:rtl/>
        </w:rPr>
        <w:t>)</w:t>
      </w:r>
      <w:r w:rsidR="003E72B5">
        <w:rPr>
          <w:spacing w:val="0"/>
          <w:sz w:val="20"/>
          <w:rtl/>
        </w:rPr>
        <w:tab/>
      </w:r>
      <w:r w:rsidR="004E0A37" w:rsidRPr="004E0A37">
        <w:rPr>
          <w:spacing w:val="0"/>
          <w:sz w:val="20"/>
          <w:rtl/>
        </w:rPr>
        <w:t>يساور اللجنة القلق من عدم وجود مؤسسة وطنية تمتثل للمبادئ المتعلقة بمركز المؤسسات الوطنية لتعزيز وحماية حقوق الإنسان (مبادئ باريس) حتى الآن في الدولة الطرف، وفي الوقت نفسه تحيط</w:t>
      </w:r>
      <w:r w:rsidR="003833F8">
        <w:rPr>
          <w:spacing w:val="0"/>
          <w:sz w:val="20"/>
          <w:rtl/>
        </w:rPr>
        <w:t xml:space="preserve"> علماً </w:t>
      </w:r>
      <w:r w:rsidR="004E0A37" w:rsidRPr="004E0A37">
        <w:rPr>
          <w:spacing w:val="0"/>
          <w:sz w:val="20"/>
          <w:rtl/>
        </w:rPr>
        <w:t>على النحو الواجب بكون أمين المظالم واللجنة المعنية بالحماية من التمييز في بلغاريا قد قدما طلب اعتماد إلى لجنة التنسيق الدولية للمؤسسات الوطنية لتعزيز وحماية حقوق الإنسان بوصفهما المؤسستين الوطنيتين لتعزيز حقوق الإنسان وحمايتها (المواد 2 و11 و13).</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بأن يمتثل أمين المظالم ولجنة الحماية من التمييز للمبادئ المتصلة بمركز المؤسسات الوطنية لتعزيز وحماية حقوق الإنسان (مبادئ باريس).</w:t>
      </w:r>
    </w:p>
    <w:p w:rsidR="004E0A37" w:rsidRPr="004E0A37" w:rsidRDefault="004E0A37" w:rsidP="00335AC0">
      <w:pPr>
        <w:pStyle w:val="H23GA"/>
        <w:rPr>
          <w:rtl/>
        </w:rPr>
      </w:pPr>
      <w:r w:rsidRPr="004E0A37">
        <w:rPr>
          <w:rtl/>
        </w:rPr>
        <w:tab/>
      </w:r>
      <w:r w:rsidRPr="004E0A37">
        <w:rPr>
          <w:rtl/>
        </w:rPr>
        <w:tab/>
        <w:t>إتاحة إجراءات منصفة لطالبي اللجوء</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14</w:t>
      </w:r>
      <w:r w:rsidR="003E72B5">
        <w:rPr>
          <w:spacing w:val="0"/>
          <w:sz w:val="20"/>
          <w:rtl/>
        </w:rPr>
        <w:t>)</w:t>
      </w:r>
      <w:r w:rsidR="003E72B5">
        <w:rPr>
          <w:spacing w:val="0"/>
          <w:sz w:val="20"/>
          <w:rtl/>
        </w:rPr>
        <w:tab/>
      </w:r>
      <w:r w:rsidR="004E0A37" w:rsidRPr="004E0A37">
        <w:rPr>
          <w:spacing w:val="0"/>
          <w:sz w:val="20"/>
          <w:rtl/>
        </w:rPr>
        <w:t xml:space="preserve">يساور اللجنة القلق من عدم اتخاذ الدولة الطرف التدابير اللازمة لكفالة إعمال جميع حقوق طالبي اللجوء واللاجئين، </w:t>
      </w:r>
      <w:r w:rsidR="004E0A37" w:rsidRPr="004E0A37">
        <w:rPr>
          <w:rFonts w:hint="cs"/>
          <w:spacing w:val="0"/>
          <w:sz w:val="20"/>
          <w:rtl/>
        </w:rPr>
        <w:t>وقلقة بوجه خاص إزاء</w:t>
      </w:r>
      <w:r w:rsidR="004E0A37" w:rsidRPr="004E0A37">
        <w:rPr>
          <w:spacing w:val="0"/>
          <w:sz w:val="20"/>
          <w:rtl/>
        </w:rPr>
        <w:t xml:space="preserve"> احتجاز طالبي اللجوء واللاجئين، وعدم وجود خدمات الترجمة والمساعدة القانونية وطرد الأجانب بناء على اعتبارات الأمن القومي (المواد 3 و11 و14).</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بما يلي:</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(أ)</w:t>
      </w:r>
      <w:r w:rsidRPr="008B4006">
        <w:rPr>
          <w:rFonts w:hint="cs"/>
          <w:b/>
          <w:bCs/>
          <w:spacing w:val="0"/>
          <w:sz w:val="20"/>
          <w:rtl/>
        </w:rPr>
        <w:tab/>
      </w:r>
      <w:r w:rsidRPr="008B4006">
        <w:rPr>
          <w:b/>
          <w:bCs/>
          <w:spacing w:val="0"/>
          <w:sz w:val="20"/>
          <w:rtl/>
        </w:rPr>
        <w:t>تعديل المادة 16 من القانون المتعلق بالمسؤوليات والتنسيق بين وكالة الدولة للاجئين ومديرية الهجرة وشرطة الحدود</w:t>
      </w:r>
      <w:r w:rsidRPr="008B4006">
        <w:rPr>
          <w:rFonts w:hint="cs"/>
          <w:b/>
          <w:bCs/>
          <w:spacing w:val="0"/>
          <w:sz w:val="20"/>
          <w:rtl/>
        </w:rPr>
        <w:t xml:space="preserve"> </w:t>
      </w:r>
      <w:r w:rsidRPr="008B4006">
        <w:rPr>
          <w:b/>
          <w:bCs/>
          <w:spacing w:val="0"/>
          <w:sz w:val="20"/>
          <w:rtl/>
        </w:rPr>
        <w:t>- من أجل الإلغاء الرسمي للقاعدة التي تسمح باحتجاز طالبي اللجوء ب</w:t>
      </w:r>
      <w:r w:rsidRPr="008B4006">
        <w:rPr>
          <w:rFonts w:hint="cs"/>
          <w:b/>
          <w:bCs/>
          <w:spacing w:val="0"/>
          <w:sz w:val="20"/>
          <w:rtl/>
        </w:rPr>
        <w:t xml:space="preserve">دعوى </w:t>
      </w:r>
      <w:r w:rsidRPr="008B4006">
        <w:rPr>
          <w:b/>
          <w:bCs/>
          <w:spacing w:val="0"/>
          <w:sz w:val="20"/>
          <w:rtl/>
        </w:rPr>
        <w:t>الدخول غير القانوني إلى البلد وضمان تمتع طالبي اللجوء بالمأوى والوثائق و</w:t>
      </w:r>
      <w:r w:rsidRPr="008B4006">
        <w:rPr>
          <w:rFonts w:hint="cs"/>
          <w:b/>
          <w:bCs/>
          <w:spacing w:val="0"/>
          <w:sz w:val="20"/>
          <w:rtl/>
        </w:rPr>
        <w:t>ح</w:t>
      </w:r>
      <w:r w:rsidRPr="008B4006">
        <w:rPr>
          <w:b/>
          <w:bCs/>
          <w:spacing w:val="0"/>
          <w:sz w:val="20"/>
          <w:rtl/>
        </w:rPr>
        <w:t xml:space="preserve">صولهم </w:t>
      </w:r>
      <w:r w:rsidRPr="008B4006">
        <w:rPr>
          <w:rFonts w:hint="cs"/>
          <w:b/>
          <w:bCs/>
          <w:spacing w:val="0"/>
          <w:sz w:val="20"/>
          <w:rtl/>
        </w:rPr>
        <w:t>ع</w:t>
      </w:r>
      <w:r w:rsidRPr="008B4006">
        <w:rPr>
          <w:b/>
          <w:bCs/>
          <w:spacing w:val="0"/>
          <w:sz w:val="20"/>
          <w:rtl/>
        </w:rPr>
        <w:t>لى الرعاية الصحية والمساعدة الاجتماعية والتعليم وتعلم اللغة، على النحو المنصوص عليه في المادتين 29 و30(أ) من قانون اللجوء واللاجئين؛</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(ب)</w:t>
      </w:r>
      <w:r w:rsidRPr="008B4006">
        <w:rPr>
          <w:rFonts w:hint="cs"/>
          <w:b/>
          <w:bCs/>
          <w:spacing w:val="0"/>
          <w:sz w:val="20"/>
          <w:rtl/>
        </w:rPr>
        <w:tab/>
      </w:r>
      <w:r w:rsidRPr="008B4006">
        <w:rPr>
          <w:b/>
          <w:bCs/>
          <w:spacing w:val="0"/>
          <w:sz w:val="20"/>
          <w:rtl/>
        </w:rPr>
        <w:t xml:space="preserve">كفالة عدم اللجوء إلى احتجاز طالبي اللجوء إلا كملاذ أخير وعند الضرورة ولأقصر فترة ممكنة والتطبيق الكامل للضمانات </w:t>
      </w:r>
      <w:r w:rsidRPr="008B4006">
        <w:rPr>
          <w:rFonts w:hint="cs"/>
          <w:b/>
          <w:bCs/>
          <w:spacing w:val="0"/>
          <w:sz w:val="20"/>
          <w:rtl/>
        </w:rPr>
        <w:t>بعدم الإعادة القسرية</w:t>
      </w:r>
      <w:r w:rsidRPr="008B4006">
        <w:rPr>
          <w:b/>
          <w:bCs/>
          <w:spacing w:val="0"/>
          <w:sz w:val="20"/>
          <w:rtl/>
        </w:rPr>
        <w:t>؛</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(ج)</w:t>
      </w:r>
      <w:r w:rsidRPr="008B4006">
        <w:rPr>
          <w:rFonts w:hint="cs"/>
          <w:b/>
          <w:bCs/>
          <w:spacing w:val="0"/>
          <w:sz w:val="20"/>
          <w:rtl/>
        </w:rPr>
        <w:tab/>
      </w:r>
      <w:r w:rsidRPr="008B4006">
        <w:rPr>
          <w:b/>
          <w:bCs/>
          <w:spacing w:val="0"/>
          <w:sz w:val="20"/>
          <w:rtl/>
        </w:rPr>
        <w:t xml:space="preserve">التعجيل بالافتتاح المنتظر منذ أمد طويل لمركز </w:t>
      </w:r>
      <w:r w:rsidRPr="008B4006">
        <w:rPr>
          <w:rFonts w:hint="cs"/>
          <w:b/>
          <w:bCs/>
          <w:spacing w:val="0"/>
          <w:sz w:val="20"/>
          <w:rtl/>
        </w:rPr>
        <w:t>ال</w:t>
      </w:r>
      <w:r w:rsidRPr="008B4006">
        <w:rPr>
          <w:b/>
          <w:bCs/>
          <w:spacing w:val="0"/>
          <w:sz w:val="20"/>
          <w:rtl/>
        </w:rPr>
        <w:t>عبور باستروغور من أجل تصحيح الممارسة الحالية المتمثلة في نقل طالبي اللجوء إلى مركز احتجاز بسبب عدم كفاية مرافق الاستقبال؛</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(د)</w:t>
      </w:r>
      <w:r w:rsidRPr="008B4006">
        <w:rPr>
          <w:rFonts w:hint="cs"/>
          <w:b/>
          <w:bCs/>
          <w:spacing w:val="0"/>
          <w:sz w:val="20"/>
          <w:rtl/>
        </w:rPr>
        <w:tab/>
      </w:r>
      <w:r w:rsidRPr="008B4006">
        <w:rPr>
          <w:b/>
          <w:bCs/>
          <w:spacing w:val="0"/>
          <w:sz w:val="20"/>
          <w:rtl/>
        </w:rPr>
        <w:t>كفالة خدمات الترجمة الشفوية والتحريرية في جميع المعابر والمراكز التي تتعامل مع طالبي اللجوء؛</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t>(ﻫ)</w:t>
      </w:r>
      <w:r w:rsidRPr="008B4006">
        <w:rPr>
          <w:rFonts w:hint="cs"/>
          <w:b/>
          <w:bCs/>
          <w:spacing w:val="0"/>
          <w:sz w:val="20"/>
          <w:rtl/>
        </w:rPr>
        <w:tab/>
      </w:r>
      <w:r w:rsidRPr="008B4006">
        <w:rPr>
          <w:b/>
          <w:bCs/>
          <w:spacing w:val="0"/>
          <w:sz w:val="20"/>
          <w:rtl/>
        </w:rPr>
        <w:t xml:space="preserve">كفالة </w:t>
      </w:r>
      <w:r w:rsidRPr="008B4006">
        <w:rPr>
          <w:rFonts w:hint="cs"/>
          <w:b/>
          <w:bCs/>
          <w:spacing w:val="0"/>
          <w:sz w:val="20"/>
          <w:rtl/>
        </w:rPr>
        <w:t>استئناف</w:t>
      </w:r>
      <w:r w:rsidRPr="008B4006">
        <w:rPr>
          <w:b/>
          <w:bCs/>
          <w:spacing w:val="0"/>
          <w:sz w:val="20"/>
          <w:rtl/>
        </w:rPr>
        <w:t xml:space="preserve"> الوكالة الحكومية للاجئين العمل ببرنامجها للمساعدة القانونية والتحقق من إعداد التقارير و</w:t>
      </w:r>
      <w:r w:rsidRPr="008B4006">
        <w:rPr>
          <w:rFonts w:hint="cs"/>
          <w:b/>
          <w:bCs/>
          <w:spacing w:val="0"/>
          <w:sz w:val="20"/>
          <w:rtl/>
        </w:rPr>
        <w:t>ت</w:t>
      </w:r>
      <w:r w:rsidRPr="008B4006">
        <w:rPr>
          <w:b/>
          <w:bCs/>
          <w:spacing w:val="0"/>
          <w:sz w:val="20"/>
          <w:rtl/>
        </w:rPr>
        <w:t>وص</w:t>
      </w:r>
      <w:r w:rsidRPr="008B4006">
        <w:rPr>
          <w:rFonts w:hint="cs"/>
          <w:b/>
          <w:bCs/>
          <w:spacing w:val="0"/>
          <w:sz w:val="20"/>
          <w:rtl/>
        </w:rPr>
        <w:t>يف</w:t>
      </w:r>
      <w:r w:rsidRPr="008B4006">
        <w:rPr>
          <w:b/>
          <w:bCs/>
          <w:spacing w:val="0"/>
          <w:sz w:val="20"/>
          <w:rtl/>
        </w:rPr>
        <w:t>ا</w:t>
      </w:r>
      <w:r w:rsidRPr="008B4006">
        <w:rPr>
          <w:rFonts w:hint="cs"/>
          <w:b/>
          <w:bCs/>
          <w:spacing w:val="0"/>
          <w:sz w:val="20"/>
          <w:rtl/>
        </w:rPr>
        <w:t>ت</w:t>
      </w:r>
      <w:r w:rsidRPr="008B4006">
        <w:rPr>
          <w:b/>
          <w:bCs/>
          <w:spacing w:val="0"/>
          <w:sz w:val="20"/>
          <w:rtl/>
        </w:rPr>
        <w:t xml:space="preserve"> الأدلة التي يقدمها طالبو اللجوء ومحاضر استجوابهم بطريقة مهنية.</w:t>
      </w:r>
    </w:p>
    <w:p w:rsidR="004E0A37" w:rsidRPr="004E0A37" w:rsidRDefault="004E0A37" w:rsidP="00A72130">
      <w:pPr>
        <w:pStyle w:val="H23GA"/>
        <w:spacing w:line="360" w:lineRule="exact"/>
        <w:rPr>
          <w:rtl/>
        </w:rPr>
      </w:pPr>
      <w:r w:rsidRPr="004E0A37">
        <w:rPr>
          <w:rtl/>
        </w:rPr>
        <w:tab/>
      </w:r>
      <w:r w:rsidRPr="004E0A37">
        <w:rPr>
          <w:rtl/>
        </w:rPr>
        <w:tab/>
        <w:t>تعريف انعدام الجنسية</w:t>
      </w:r>
    </w:p>
    <w:p w:rsidR="004E0A37" w:rsidRPr="004E0A37" w:rsidRDefault="0033301A" w:rsidP="00A72130">
      <w:pPr>
        <w:pStyle w:val="SingleTxtGA"/>
        <w:spacing w:line="360" w:lineRule="exact"/>
        <w:jc w:val="lowKashida"/>
        <w:rPr>
          <w:spacing w:val="0"/>
          <w:sz w:val="20"/>
          <w:rtl/>
        </w:rPr>
      </w:pPr>
      <w:r>
        <w:rPr>
          <w:rFonts w:hint="cs"/>
          <w:spacing w:val="0"/>
          <w:sz w:val="20"/>
          <w:rtl/>
        </w:rPr>
        <w:t>(</w:t>
      </w:r>
      <w:r w:rsidR="004E0A37" w:rsidRPr="004E0A37">
        <w:rPr>
          <w:spacing w:val="0"/>
          <w:sz w:val="20"/>
          <w:rtl/>
        </w:rPr>
        <w:t>15</w:t>
      </w:r>
      <w:r w:rsidR="003E72B5">
        <w:rPr>
          <w:spacing w:val="0"/>
          <w:sz w:val="20"/>
          <w:rtl/>
        </w:rPr>
        <w:t>)</w:t>
      </w:r>
      <w:r w:rsidR="003E72B5">
        <w:rPr>
          <w:spacing w:val="0"/>
          <w:sz w:val="20"/>
          <w:rtl/>
        </w:rPr>
        <w:tab/>
      </w:r>
      <w:r w:rsidR="004E0A37" w:rsidRPr="004E0A37">
        <w:rPr>
          <w:spacing w:val="0"/>
          <w:sz w:val="20"/>
          <w:rtl/>
        </w:rPr>
        <w:t xml:space="preserve">يساور اللجنة القلق من عدم </w:t>
      </w:r>
      <w:r w:rsidR="004E0A37" w:rsidRPr="004E0A37">
        <w:rPr>
          <w:rFonts w:hint="cs"/>
          <w:spacing w:val="0"/>
          <w:sz w:val="20"/>
          <w:rtl/>
        </w:rPr>
        <w:t>احتواء</w:t>
      </w:r>
      <w:r w:rsidR="004E0A37" w:rsidRPr="004E0A37">
        <w:rPr>
          <w:spacing w:val="0"/>
          <w:sz w:val="20"/>
          <w:rtl/>
        </w:rPr>
        <w:t xml:space="preserve"> تشريع الدولة الطرف </w:t>
      </w:r>
      <w:r w:rsidR="004E0A37" w:rsidRPr="004E0A37">
        <w:rPr>
          <w:rFonts w:hint="cs"/>
          <w:spacing w:val="0"/>
          <w:sz w:val="20"/>
          <w:rtl/>
        </w:rPr>
        <w:t xml:space="preserve">على </w:t>
      </w:r>
      <w:r w:rsidR="004E0A37" w:rsidRPr="004E0A37">
        <w:rPr>
          <w:spacing w:val="0"/>
          <w:sz w:val="20"/>
          <w:rtl/>
        </w:rPr>
        <w:t>تعريف قانوني ل</w:t>
      </w:r>
      <w:r w:rsidR="004E0A37" w:rsidRPr="004E0A37">
        <w:rPr>
          <w:rFonts w:hint="cs"/>
          <w:spacing w:val="0"/>
          <w:sz w:val="20"/>
          <w:rtl/>
        </w:rPr>
        <w:t>لشخص ال</w:t>
      </w:r>
      <w:r w:rsidR="004E0A37" w:rsidRPr="004E0A37">
        <w:rPr>
          <w:spacing w:val="0"/>
          <w:sz w:val="20"/>
          <w:rtl/>
        </w:rPr>
        <w:t>عديم الجنسية ومن عدم وجود إطار أو آلية قانونية لتحديد وضع هؤلاء الأشخاص (المادتان 2 و3).</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 xml:space="preserve">توصي اللجنة الدولة الطرف بالنظر في إدراج تعريف لعديم الجنسية في تشريعها ووضع إطار وآليات قانونية لتحديد </w:t>
      </w:r>
      <w:r w:rsidRPr="008B4006">
        <w:rPr>
          <w:rFonts w:hint="cs"/>
          <w:b/>
          <w:bCs/>
          <w:spacing w:val="0"/>
          <w:sz w:val="20"/>
          <w:rtl/>
        </w:rPr>
        <w:t xml:space="preserve">حالات </w:t>
      </w:r>
      <w:r w:rsidRPr="008B4006">
        <w:rPr>
          <w:b/>
          <w:bCs/>
          <w:spacing w:val="0"/>
          <w:sz w:val="20"/>
          <w:rtl/>
        </w:rPr>
        <w:t>انعدام الجنسية. وتشجع الدولة الطرف على النظر في الانضمام إلى اتفاقية عام 1954 بشأن وضع الأشخاص عديمي الجنسية‏‏ واتفاقية عام</w:t>
      </w:r>
      <w:r w:rsidRPr="008B4006">
        <w:rPr>
          <w:rFonts w:hint="cs"/>
          <w:b/>
          <w:bCs/>
          <w:spacing w:val="0"/>
          <w:sz w:val="20"/>
          <w:rtl/>
        </w:rPr>
        <w:t> </w:t>
      </w:r>
      <w:r w:rsidRPr="008B4006">
        <w:rPr>
          <w:b/>
          <w:bCs/>
          <w:spacing w:val="0"/>
          <w:sz w:val="20"/>
          <w:rtl/>
        </w:rPr>
        <w:t>1961 لخفض حالات انعدام الجنسية.</w:t>
      </w:r>
    </w:p>
    <w:p w:rsidR="004E0A37" w:rsidRPr="004E0A37" w:rsidRDefault="00335AC0" w:rsidP="00A72130">
      <w:pPr>
        <w:pStyle w:val="H23GA"/>
        <w:spacing w:line="360" w:lineRule="exact"/>
        <w:rPr>
          <w:rFonts w:hint="cs"/>
          <w:rtl/>
        </w:rPr>
      </w:pPr>
      <w:r>
        <w:rPr>
          <w:rtl/>
        </w:rPr>
        <w:tab/>
      </w:r>
      <w:r>
        <w:rPr>
          <w:rtl/>
        </w:rPr>
        <w:tab/>
        <w:t>عدم الإعادة القسرية</w:t>
      </w:r>
    </w:p>
    <w:p w:rsidR="004E0A37" w:rsidRPr="004E0A37" w:rsidRDefault="0033301A" w:rsidP="00A72130">
      <w:pPr>
        <w:pStyle w:val="SingleTxtGA"/>
        <w:spacing w:line="360" w:lineRule="exact"/>
        <w:jc w:val="lowKashida"/>
        <w:rPr>
          <w:spacing w:val="0"/>
          <w:sz w:val="20"/>
          <w:rtl/>
        </w:rPr>
      </w:pPr>
      <w:r>
        <w:rPr>
          <w:rFonts w:hint="cs"/>
          <w:spacing w:val="0"/>
          <w:sz w:val="20"/>
          <w:rtl/>
        </w:rPr>
        <w:t>(</w:t>
      </w:r>
      <w:r w:rsidR="004E0A37" w:rsidRPr="004E0A37">
        <w:rPr>
          <w:spacing w:val="0"/>
          <w:sz w:val="20"/>
          <w:rtl/>
        </w:rPr>
        <w:t>16</w:t>
      </w:r>
      <w:r w:rsidR="003E72B5">
        <w:rPr>
          <w:spacing w:val="0"/>
          <w:sz w:val="20"/>
          <w:rtl/>
        </w:rPr>
        <w:t>)</w:t>
      </w:r>
      <w:r w:rsidR="003E72B5">
        <w:rPr>
          <w:spacing w:val="0"/>
          <w:sz w:val="20"/>
          <w:rtl/>
        </w:rPr>
        <w:tab/>
      </w:r>
      <w:r w:rsidR="004E0A37" w:rsidRPr="004E0A37">
        <w:rPr>
          <w:spacing w:val="0"/>
          <w:sz w:val="20"/>
          <w:rtl/>
        </w:rPr>
        <w:t xml:space="preserve">يساور اللجنة القلق من عدم وفاء الدولة العضو المعنية بالكامل بالتزامها بموجب المادة 3 من الاتفاقية بشأن احترام مبدأ عدم الإعادة القسرية (المادة 3). </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بما يلي:</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(أ)</w:t>
      </w:r>
      <w:r w:rsidRPr="008B4006">
        <w:rPr>
          <w:rFonts w:hint="cs"/>
          <w:b/>
          <w:bCs/>
          <w:spacing w:val="0"/>
          <w:sz w:val="20"/>
          <w:rtl/>
        </w:rPr>
        <w:tab/>
      </w:r>
      <w:r w:rsidRPr="008B4006">
        <w:rPr>
          <w:b/>
          <w:bCs/>
          <w:spacing w:val="0"/>
          <w:sz w:val="20"/>
          <w:rtl/>
        </w:rPr>
        <w:t xml:space="preserve">التقيد بالضمانات التي تكفل احترام مبدأ عدم الإعادة القسرية، بما في ذلك النظر </w:t>
      </w:r>
      <w:r w:rsidR="00F96B1E" w:rsidRPr="008B4006">
        <w:rPr>
          <w:b/>
          <w:bCs/>
          <w:spacing w:val="0"/>
          <w:sz w:val="20"/>
          <w:rtl/>
        </w:rPr>
        <w:t>فيما </w:t>
      </w:r>
      <w:r w:rsidRPr="008B4006">
        <w:rPr>
          <w:b/>
          <w:bCs/>
          <w:spacing w:val="0"/>
          <w:sz w:val="20"/>
          <w:rtl/>
        </w:rPr>
        <w:t>إذا كانت هناك أسباب حقيقيـة تشير إلى أن طالب اللجوء قد يكون عرضة للتعذيب أو سوء المعاملة عند ترحيله؛</w:t>
      </w:r>
    </w:p>
    <w:p w:rsidR="004E0A37" w:rsidRPr="00A72130" w:rsidRDefault="004E0A37" w:rsidP="00A72130">
      <w:pPr>
        <w:pStyle w:val="SingleTxtGA"/>
        <w:spacing w:line="360" w:lineRule="exact"/>
        <w:jc w:val="lowKashida"/>
        <w:rPr>
          <w:b/>
          <w:bCs/>
          <w:spacing w:val="-4"/>
          <w:sz w:val="20"/>
          <w:rtl/>
        </w:rPr>
      </w:pPr>
      <w:r w:rsidRPr="00A72130">
        <w:rPr>
          <w:rFonts w:hint="cs"/>
          <w:b/>
          <w:bCs/>
          <w:spacing w:val="-4"/>
          <w:sz w:val="20"/>
          <w:rtl/>
        </w:rPr>
        <w:tab/>
      </w:r>
      <w:r w:rsidRPr="00A72130">
        <w:rPr>
          <w:b/>
          <w:bCs/>
          <w:spacing w:val="-4"/>
          <w:sz w:val="20"/>
          <w:rtl/>
        </w:rPr>
        <w:t>(ب)</w:t>
      </w:r>
      <w:r w:rsidRPr="00A72130">
        <w:rPr>
          <w:rFonts w:hint="cs"/>
          <w:b/>
          <w:bCs/>
          <w:spacing w:val="-4"/>
          <w:sz w:val="20"/>
          <w:rtl/>
        </w:rPr>
        <w:tab/>
      </w:r>
      <w:r w:rsidRPr="00A72130">
        <w:rPr>
          <w:b/>
          <w:bCs/>
          <w:spacing w:val="-4"/>
          <w:sz w:val="20"/>
          <w:rtl/>
        </w:rPr>
        <w:t>تعديل تشريعاتها لضمان الحق في الطعن بأثر توقيفي داخل البلد واحترام جميع الضمانات والتدابير المؤقتة المتعلقة باللجوء وإجراءات الترحيل في انتظار نتيجة الطعون؛</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(ج)</w:t>
      </w:r>
      <w:r w:rsidRPr="008B4006">
        <w:rPr>
          <w:rFonts w:hint="cs"/>
          <w:b/>
          <w:bCs/>
          <w:spacing w:val="0"/>
          <w:sz w:val="20"/>
          <w:rtl/>
        </w:rPr>
        <w:tab/>
      </w:r>
      <w:r w:rsidRPr="008B4006">
        <w:rPr>
          <w:b/>
          <w:bCs/>
          <w:spacing w:val="0"/>
          <w:sz w:val="20"/>
          <w:rtl/>
        </w:rPr>
        <w:t>كفالة خدمات الترجمة الشفوية لطالبي اللجوء في قضايا اللجوء والطعون المتعلقة به؛</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(د)</w:t>
      </w:r>
      <w:r w:rsidRPr="008B4006">
        <w:rPr>
          <w:rFonts w:hint="cs"/>
          <w:b/>
          <w:bCs/>
          <w:spacing w:val="0"/>
          <w:sz w:val="20"/>
          <w:rtl/>
        </w:rPr>
        <w:tab/>
      </w:r>
      <w:r w:rsidRPr="008B4006">
        <w:rPr>
          <w:b/>
          <w:bCs/>
          <w:spacing w:val="0"/>
          <w:sz w:val="20"/>
          <w:rtl/>
        </w:rPr>
        <w:t xml:space="preserve">إخضاع الحالات التي تشملها المادة 3 من الاتفاقية لتقييم مستفيض للمخاطر، ولا سيما عن طريق كفالة التدريب الملائم للقضاة </w:t>
      </w:r>
      <w:r w:rsidR="00F96B1E" w:rsidRPr="008B4006">
        <w:rPr>
          <w:b/>
          <w:bCs/>
          <w:spacing w:val="0"/>
          <w:sz w:val="20"/>
          <w:rtl/>
        </w:rPr>
        <w:t>فيما </w:t>
      </w:r>
      <w:r w:rsidRPr="008B4006">
        <w:rPr>
          <w:b/>
          <w:bCs/>
          <w:spacing w:val="0"/>
          <w:sz w:val="20"/>
          <w:rtl/>
        </w:rPr>
        <w:t>يتعلق بمخاطر التعذيب في بلدان الاستقبال والإجراء التلقائي لمقابلات فردية من أجل تقييم الخطر على شخص مقدم الطلب؛</w:t>
      </w:r>
    </w:p>
    <w:p w:rsidR="004E0A37" w:rsidRPr="008B4006" w:rsidRDefault="004E0A37" w:rsidP="004E0A37">
      <w:pPr>
        <w:pStyle w:val="SingleTxtGA"/>
        <w:jc w:val="lowKashida"/>
        <w:rPr>
          <w:b/>
          <w:bCs/>
          <w:spacing w:val="0"/>
          <w:sz w:val="20"/>
          <w:rtl/>
        </w:rPr>
      </w:pPr>
      <w:r w:rsidRPr="008B4006">
        <w:rPr>
          <w:rFonts w:hint="cs"/>
          <w:b/>
          <w:bCs/>
          <w:spacing w:val="0"/>
          <w:sz w:val="20"/>
          <w:rtl/>
        </w:rPr>
        <w:tab/>
        <w:t>(ﻫ)</w:t>
      </w:r>
      <w:r w:rsidRPr="008B4006">
        <w:rPr>
          <w:rFonts w:hint="cs"/>
          <w:b/>
          <w:bCs/>
          <w:spacing w:val="0"/>
          <w:sz w:val="20"/>
          <w:rtl/>
        </w:rPr>
        <w:tab/>
      </w:r>
      <w:r w:rsidRPr="008B4006">
        <w:rPr>
          <w:b/>
          <w:bCs/>
          <w:spacing w:val="0"/>
          <w:sz w:val="20"/>
          <w:rtl/>
        </w:rPr>
        <w:t>متابعة القضايا، في ضوء حكم المحكمة الأوروبية لحقوق الإنسان، ولا سيما قضيتي طالبي اللجوء الفلسطينيين اللذين رفض طلب</w:t>
      </w:r>
      <w:r w:rsidRPr="008B4006">
        <w:rPr>
          <w:rFonts w:hint="cs"/>
          <w:b/>
          <w:bCs/>
          <w:spacing w:val="0"/>
          <w:sz w:val="20"/>
          <w:rtl/>
        </w:rPr>
        <w:t>ا</w:t>
      </w:r>
      <w:r w:rsidRPr="008B4006">
        <w:rPr>
          <w:b/>
          <w:bCs/>
          <w:spacing w:val="0"/>
          <w:sz w:val="20"/>
          <w:rtl/>
        </w:rPr>
        <w:t xml:space="preserve">هما، يوسف كايد الذي عذب عند عودته إلى لبنان في 27 تشرين الثاني/نوفمبر 2010، وموسى كامل إسماعيل </w:t>
      </w:r>
      <w:r w:rsidRPr="008B4006">
        <w:rPr>
          <w:rFonts w:hint="cs"/>
          <w:b/>
          <w:bCs/>
          <w:spacing w:val="0"/>
          <w:sz w:val="20"/>
          <w:rtl/>
        </w:rPr>
        <w:t xml:space="preserve">الذي عذب عند عودته إلى لبنان في 27 تشرين الثاني/نوفمبر 2010 كذلك، </w:t>
      </w:r>
      <w:r w:rsidRPr="008B4006">
        <w:rPr>
          <w:b/>
          <w:bCs/>
          <w:spacing w:val="0"/>
          <w:sz w:val="20"/>
          <w:rtl/>
        </w:rPr>
        <w:t xml:space="preserve">وتقديم آخر المستجدات إلى اللجنة في تقريرها الدوري المقبل. </w:t>
      </w:r>
    </w:p>
    <w:p w:rsidR="004E0A37" w:rsidRPr="004E0A37" w:rsidRDefault="004E0A37" w:rsidP="00335AC0">
      <w:pPr>
        <w:pStyle w:val="H23GA"/>
        <w:rPr>
          <w:rtl/>
        </w:rPr>
      </w:pPr>
      <w:r w:rsidRPr="004E0A37">
        <w:rPr>
          <w:rtl/>
        </w:rPr>
        <w:tab/>
      </w:r>
      <w:r w:rsidRPr="004E0A37">
        <w:rPr>
          <w:rtl/>
        </w:rPr>
        <w:tab/>
        <w:t>الولاية القضائية على الجرائم المشار إليها في المادة 4 من الاتفاقية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17</w:t>
      </w:r>
      <w:r w:rsidR="003E72B5">
        <w:rPr>
          <w:spacing w:val="0"/>
          <w:sz w:val="20"/>
          <w:rtl/>
        </w:rPr>
        <w:t>)</w:t>
      </w:r>
      <w:r w:rsidR="003E72B5">
        <w:rPr>
          <w:spacing w:val="0"/>
          <w:sz w:val="20"/>
          <w:rtl/>
        </w:rPr>
        <w:tab/>
      </w:r>
      <w:r w:rsidR="004E0A37" w:rsidRPr="004E0A37">
        <w:rPr>
          <w:spacing w:val="0"/>
          <w:sz w:val="20"/>
          <w:rtl/>
        </w:rPr>
        <w:t>يساور اللجنة القلق من كون التشريع البلغاري الحالي لا ينص على ولاية قضائية على الج</w:t>
      </w:r>
      <w:r w:rsidR="004E0A37" w:rsidRPr="004E0A37">
        <w:rPr>
          <w:rFonts w:hint="cs"/>
          <w:spacing w:val="0"/>
          <w:sz w:val="20"/>
          <w:rtl/>
        </w:rPr>
        <w:t>نايات</w:t>
      </w:r>
      <w:r w:rsidR="004E0A37" w:rsidRPr="004E0A37">
        <w:rPr>
          <w:spacing w:val="0"/>
          <w:sz w:val="20"/>
          <w:rtl/>
        </w:rPr>
        <w:t xml:space="preserve"> المشار إليها في المادة 4 من الاتفاقية </w:t>
      </w:r>
      <w:r w:rsidR="00F96B1E">
        <w:rPr>
          <w:spacing w:val="0"/>
          <w:sz w:val="20"/>
          <w:rtl/>
        </w:rPr>
        <w:t>فيما </w:t>
      </w:r>
      <w:r w:rsidR="004E0A37" w:rsidRPr="004E0A37">
        <w:rPr>
          <w:spacing w:val="0"/>
          <w:sz w:val="20"/>
          <w:rtl/>
        </w:rPr>
        <w:t>يتعلق بجميع أفعال التعذيب بسبب عدم و</w:t>
      </w:r>
      <w:r w:rsidR="004E0A37" w:rsidRPr="004E0A37">
        <w:rPr>
          <w:rFonts w:hint="cs"/>
          <w:spacing w:val="0"/>
          <w:sz w:val="20"/>
          <w:rtl/>
        </w:rPr>
        <w:t>ر</w:t>
      </w:r>
      <w:r w:rsidR="004E0A37" w:rsidRPr="004E0A37">
        <w:rPr>
          <w:spacing w:val="0"/>
          <w:sz w:val="20"/>
          <w:rtl/>
        </w:rPr>
        <w:t xml:space="preserve">ود </w:t>
      </w:r>
      <w:r w:rsidR="004E0A37" w:rsidRPr="004E0A37">
        <w:rPr>
          <w:rFonts w:hint="cs"/>
          <w:spacing w:val="0"/>
          <w:sz w:val="20"/>
          <w:rtl/>
        </w:rPr>
        <w:t xml:space="preserve">نص صريح يعتبر </w:t>
      </w:r>
      <w:r w:rsidR="004E0A37" w:rsidRPr="004E0A37">
        <w:rPr>
          <w:spacing w:val="0"/>
          <w:sz w:val="20"/>
          <w:rtl/>
        </w:rPr>
        <w:t xml:space="preserve">التعذيب </w:t>
      </w:r>
      <w:r w:rsidR="004E0A37" w:rsidRPr="004E0A37">
        <w:rPr>
          <w:rFonts w:hint="cs"/>
          <w:spacing w:val="0"/>
          <w:sz w:val="20"/>
          <w:rtl/>
        </w:rPr>
        <w:t xml:space="preserve">جناية منفصلة </w:t>
      </w:r>
      <w:r w:rsidR="004E0A37" w:rsidRPr="004E0A37">
        <w:rPr>
          <w:spacing w:val="0"/>
          <w:sz w:val="20"/>
          <w:rtl/>
        </w:rPr>
        <w:t>وقائم</w:t>
      </w:r>
      <w:r w:rsidR="004E0A37" w:rsidRPr="004E0A37">
        <w:rPr>
          <w:rFonts w:hint="cs"/>
          <w:spacing w:val="0"/>
          <w:sz w:val="20"/>
          <w:rtl/>
        </w:rPr>
        <w:t>ة</w:t>
      </w:r>
      <w:r w:rsidR="004E0A37" w:rsidRPr="004E0A37">
        <w:rPr>
          <w:spacing w:val="0"/>
          <w:sz w:val="20"/>
          <w:rtl/>
        </w:rPr>
        <w:t xml:space="preserve"> بذاته</w:t>
      </w:r>
      <w:r w:rsidR="004E0A37" w:rsidRPr="004E0A37">
        <w:rPr>
          <w:rFonts w:hint="cs"/>
          <w:spacing w:val="0"/>
          <w:sz w:val="20"/>
          <w:rtl/>
        </w:rPr>
        <w:t>ا</w:t>
      </w:r>
      <w:r w:rsidR="004E0A37" w:rsidRPr="004E0A37">
        <w:rPr>
          <w:spacing w:val="0"/>
          <w:sz w:val="20"/>
          <w:rtl/>
        </w:rPr>
        <w:t xml:space="preserve"> </w:t>
      </w:r>
      <w:r w:rsidR="004E0A37" w:rsidRPr="004E0A37">
        <w:rPr>
          <w:rFonts w:hint="cs"/>
          <w:spacing w:val="0"/>
          <w:sz w:val="20"/>
          <w:rtl/>
        </w:rPr>
        <w:t>وفق</w:t>
      </w:r>
      <w:r w:rsidR="004E0A37" w:rsidRPr="004E0A37">
        <w:rPr>
          <w:spacing w:val="0"/>
          <w:sz w:val="20"/>
          <w:rtl/>
        </w:rPr>
        <w:t xml:space="preserve"> </w:t>
      </w:r>
      <w:r w:rsidR="004E0A37" w:rsidRPr="004E0A37">
        <w:rPr>
          <w:rFonts w:hint="cs"/>
          <w:spacing w:val="0"/>
          <w:sz w:val="20"/>
          <w:rtl/>
        </w:rPr>
        <w:t>ا</w:t>
      </w:r>
      <w:r w:rsidR="004E0A37" w:rsidRPr="004E0A37">
        <w:rPr>
          <w:spacing w:val="0"/>
          <w:sz w:val="20"/>
          <w:rtl/>
        </w:rPr>
        <w:t xml:space="preserve">لتعريف الوارد في الاتفاقية (المواد 5 و6 و7). </w:t>
      </w:r>
    </w:p>
    <w:p w:rsidR="004E0A37" w:rsidRPr="008B4006" w:rsidRDefault="004E0A37" w:rsidP="00A72130">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باعتماد تعريف للتعذيب</w:t>
      </w:r>
      <w:r w:rsidR="00B345DB">
        <w:rPr>
          <w:b/>
          <w:bCs/>
          <w:spacing w:val="0"/>
          <w:sz w:val="20"/>
          <w:rtl/>
        </w:rPr>
        <w:t xml:space="preserve"> وفقاً </w:t>
      </w:r>
      <w:r w:rsidRPr="008B4006">
        <w:rPr>
          <w:b/>
          <w:bCs/>
          <w:spacing w:val="0"/>
          <w:sz w:val="20"/>
          <w:rtl/>
        </w:rPr>
        <w:t>للاتفاقية لضمان إمكانية المقاضاة على جميع أعمال التعذيب، وليس فقط تلك التي ترقى إلى جرائم حرب، في إطار الولاية القضائية على الجرائم المشار إليها في المادة 4 من الاتفاقية والعمل إما على تسليم جميع المشتبه في ارتكابهم أعمال تعذيب الموجودين على الأراضي البلغارية أو</w:t>
      </w:r>
      <w:r w:rsidR="00A72130">
        <w:rPr>
          <w:rFonts w:hint="cs"/>
          <w:b/>
          <w:bCs/>
          <w:spacing w:val="0"/>
          <w:sz w:val="20"/>
          <w:rtl/>
        </w:rPr>
        <w:t> </w:t>
      </w:r>
      <w:r w:rsidRPr="008B4006">
        <w:rPr>
          <w:b/>
          <w:bCs/>
          <w:spacing w:val="0"/>
          <w:sz w:val="20"/>
          <w:rtl/>
        </w:rPr>
        <w:t>مقاضاتهم</w:t>
      </w:r>
      <w:r w:rsidR="00B345DB">
        <w:rPr>
          <w:b/>
          <w:bCs/>
          <w:spacing w:val="0"/>
          <w:sz w:val="20"/>
          <w:rtl/>
        </w:rPr>
        <w:t xml:space="preserve"> وفقاً </w:t>
      </w:r>
      <w:r w:rsidRPr="008B4006">
        <w:rPr>
          <w:b/>
          <w:bCs/>
          <w:spacing w:val="0"/>
          <w:sz w:val="20"/>
          <w:rtl/>
        </w:rPr>
        <w:t>للمادة</w:t>
      </w:r>
      <w:r w:rsidR="002C1EA7" w:rsidRPr="008B4006">
        <w:rPr>
          <w:rFonts w:hint="cs"/>
          <w:b/>
          <w:bCs/>
          <w:spacing w:val="0"/>
          <w:sz w:val="20"/>
          <w:rtl/>
        </w:rPr>
        <w:t> </w:t>
      </w:r>
      <w:r w:rsidRPr="008B4006">
        <w:rPr>
          <w:b/>
          <w:bCs/>
          <w:spacing w:val="0"/>
          <w:sz w:val="20"/>
          <w:rtl/>
        </w:rPr>
        <w:t xml:space="preserve">6 من قانون العقوبات. </w:t>
      </w:r>
    </w:p>
    <w:p w:rsidR="004E0A37" w:rsidRPr="004E0A37" w:rsidRDefault="004E0A37" w:rsidP="00335AC0">
      <w:pPr>
        <w:pStyle w:val="H23GA"/>
        <w:rPr>
          <w:rtl/>
        </w:rPr>
      </w:pPr>
      <w:r w:rsidRPr="004E0A37">
        <w:rPr>
          <w:rtl/>
        </w:rPr>
        <w:tab/>
      </w:r>
      <w:r w:rsidRPr="004E0A37">
        <w:rPr>
          <w:rtl/>
        </w:rPr>
        <w:tab/>
        <w:t>عدم مقبولية الأدلة المنتزعة تحت التعذيب</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18</w:t>
      </w:r>
      <w:r w:rsidR="003E72B5">
        <w:rPr>
          <w:spacing w:val="0"/>
          <w:sz w:val="20"/>
          <w:rtl/>
        </w:rPr>
        <w:t>)</w:t>
      </w:r>
      <w:r w:rsidR="003E72B5">
        <w:rPr>
          <w:spacing w:val="0"/>
          <w:sz w:val="20"/>
          <w:rtl/>
        </w:rPr>
        <w:tab/>
      </w:r>
      <w:r w:rsidR="004E0A37" w:rsidRPr="004E0A37">
        <w:rPr>
          <w:spacing w:val="0"/>
          <w:sz w:val="20"/>
          <w:rtl/>
        </w:rPr>
        <w:t>يساور اللجنة القلق من عدم وجود تشريع في الدولة الطرف يضمن عدم مقبولية الأدلة المنتزعة تحت التعذيب (المادة 15).</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بسن تشريعات تحظر على وجه التحديد الاستشهاد بالأقوال المنتزعة تحت التعذيب كأدلة</w:t>
      </w:r>
      <w:r w:rsidR="00B345DB">
        <w:rPr>
          <w:b/>
          <w:bCs/>
          <w:spacing w:val="0"/>
          <w:sz w:val="20"/>
          <w:rtl/>
        </w:rPr>
        <w:t xml:space="preserve"> وفقاً </w:t>
      </w:r>
      <w:r w:rsidRPr="008B4006">
        <w:rPr>
          <w:b/>
          <w:bCs/>
          <w:spacing w:val="0"/>
          <w:sz w:val="20"/>
          <w:rtl/>
        </w:rPr>
        <w:t>للاتفاقية (المادة 15) وبأن تجمع السلطات المختصة للدولة الطرف إحصاءات وتقدم إلى اللجنة الحالات التي اعتبرت فيها الأدلة المنتزعة تحت التعذيب غير مقبولة.</w:t>
      </w:r>
    </w:p>
    <w:p w:rsidR="004E0A37" w:rsidRPr="004E0A37" w:rsidRDefault="004E0A37" w:rsidP="008B4006">
      <w:pPr>
        <w:pStyle w:val="H23GA"/>
        <w:rPr>
          <w:rFonts w:hint="cs"/>
          <w:rtl/>
        </w:rPr>
      </w:pPr>
      <w:r w:rsidRPr="004E0A37">
        <w:rPr>
          <w:rtl/>
        </w:rPr>
        <w:tab/>
      </w:r>
      <w:r w:rsidRPr="004E0A37">
        <w:rPr>
          <w:rtl/>
        </w:rPr>
        <w:tab/>
        <w:t>معاملة الأشخاص المودعين في المؤسسات الاجتماعي</w:t>
      </w:r>
      <w:r w:rsidR="008B4006">
        <w:rPr>
          <w:rtl/>
        </w:rPr>
        <w:t>ة، بمن فيهم ذوي الإعاقة العقلية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19</w:t>
      </w:r>
      <w:r w:rsidR="003E72B5">
        <w:rPr>
          <w:spacing w:val="0"/>
          <w:sz w:val="20"/>
          <w:rtl/>
        </w:rPr>
        <w:t>)</w:t>
      </w:r>
      <w:r w:rsidR="003E72B5">
        <w:rPr>
          <w:spacing w:val="0"/>
          <w:sz w:val="20"/>
          <w:rtl/>
        </w:rPr>
        <w:tab/>
      </w:r>
      <w:r w:rsidR="004E0A37" w:rsidRPr="004E0A37">
        <w:rPr>
          <w:spacing w:val="0"/>
          <w:sz w:val="20"/>
          <w:rtl/>
        </w:rPr>
        <w:t xml:space="preserve">يساور اللجنة القلق إزاء ما يلي: </w:t>
      </w:r>
    </w:p>
    <w:p w:rsidR="004E0A37" w:rsidRPr="004E0A37" w:rsidRDefault="004E0A37" w:rsidP="00A72130">
      <w:pPr>
        <w:pStyle w:val="SingleTxtGA"/>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 xml:space="preserve">عدم تمتع الأشخاص ذوي الإعاقة العقلية الموجودين في المؤسسات الاجتماعية الحكومية والبلدية، ولا سيما في المؤسسات الطبية، بضمانات قانونية وإجرائية كافية </w:t>
      </w:r>
      <w:r w:rsidR="00F96B1E">
        <w:rPr>
          <w:spacing w:val="0"/>
          <w:sz w:val="20"/>
          <w:rtl/>
        </w:rPr>
        <w:t>فيما </w:t>
      </w:r>
      <w:r w:rsidRPr="004E0A37">
        <w:rPr>
          <w:spacing w:val="0"/>
          <w:sz w:val="20"/>
          <w:rtl/>
        </w:rPr>
        <w:t>يتصل باحترام حقهم في السلامة العقلية والبدنية؛ وافتقار الأشخاص المحرومين من الأهلية القانونية والذين لا تؤخذ قراراتهم وتفضيلاتهم في الاعتبار إلى أية سبل لل</w:t>
      </w:r>
      <w:r w:rsidRPr="004E0A37">
        <w:rPr>
          <w:rFonts w:hint="cs"/>
          <w:spacing w:val="0"/>
          <w:sz w:val="20"/>
          <w:rtl/>
        </w:rPr>
        <w:t>اعتراض على</w:t>
      </w:r>
      <w:r w:rsidRPr="004E0A37">
        <w:rPr>
          <w:spacing w:val="0"/>
          <w:sz w:val="20"/>
          <w:rtl/>
        </w:rPr>
        <w:t xml:space="preserve"> انتهاك حقوقهم؛ وكون إجراءات القبول في هذه المؤسسات وأنظمة الوصاية كثيراً ما تشمل موظفين من المؤسسات التي يحتجز فيها الأشخاص ذوو الإعاقات، وهو ما قد يؤدي إلى</w:t>
      </w:r>
      <w:r w:rsidR="00A72130">
        <w:rPr>
          <w:rFonts w:hint="cs"/>
          <w:spacing w:val="0"/>
          <w:sz w:val="20"/>
          <w:rtl/>
        </w:rPr>
        <w:t> </w:t>
      </w:r>
      <w:r w:rsidRPr="004E0A37">
        <w:rPr>
          <w:spacing w:val="0"/>
          <w:sz w:val="20"/>
          <w:rtl/>
        </w:rPr>
        <w:t>تضارب المصالح ومن ثم الاحتجاز بحكم الواقع، و</w:t>
      </w:r>
      <w:r w:rsidRPr="004E0A37">
        <w:rPr>
          <w:rFonts w:hint="cs"/>
          <w:spacing w:val="0"/>
          <w:sz w:val="20"/>
          <w:rtl/>
        </w:rPr>
        <w:t>بالتالي</w:t>
      </w:r>
      <w:r w:rsidRPr="004E0A37">
        <w:rPr>
          <w:spacing w:val="0"/>
          <w:sz w:val="20"/>
          <w:rtl/>
        </w:rPr>
        <w:t xml:space="preserve"> قد ترقى موافقة الوصي على العلاج الطبي إلى </w:t>
      </w:r>
      <w:r w:rsidRPr="004E0A37">
        <w:rPr>
          <w:rFonts w:hint="cs"/>
          <w:spacing w:val="0"/>
          <w:sz w:val="20"/>
          <w:rtl/>
        </w:rPr>
        <w:t xml:space="preserve">موافقة على تلقي </w:t>
      </w:r>
      <w:r w:rsidRPr="004E0A37">
        <w:rPr>
          <w:spacing w:val="0"/>
          <w:sz w:val="20"/>
          <w:rtl/>
        </w:rPr>
        <w:t>العلاج قسر</w:t>
      </w:r>
      <w:r w:rsidRPr="004E0A37">
        <w:rPr>
          <w:rFonts w:hint="cs"/>
          <w:spacing w:val="0"/>
          <w:sz w:val="20"/>
          <w:rtl/>
        </w:rPr>
        <w:t>اً</w:t>
      </w:r>
      <w:r w:rsidRPr="004E0A37">
        <w:rPr>
          <w:spacing w:val="0"/>
          <w:sz w:val="20"/>
          <w:rtl/>
        </w:rPr>
        <w:t>؛ واللجوء إلى تقييد الحركة والعلاج التجاوزي الذي لا يمكن تدارك أثاره من مثل العقاقير المؤثرة على الجهاز العصبي؛ وعدم وجود آلية تفتيش مستقلة لمؤسسات الصحة العقلية؛ ومدى كفاءة الموظفين وتواتر زيارات الأخصائيين؛ والأوضاع المادية لهذه المؤسسات، لا سيما</w:t>
      </w:r>
      <w:r w:rsidRPr="004E0A37">
        <w:rPr>
          <w:rFonts w:hint="cs"/>
          <w:spacing w:val="0"/>
          <w:sz w:val="20"/>
          <w:rtl/>
        </w:rPr>
        <w:t xml:space="preserve"> لكونها موجودة في مناطق نائية، </w:t>
      </w:r>
      <w:r w:rsidRPr="004E0A37">
        <w:rPr>
          <w:spacing w:val="0"/>
          <w:sz w:val="20"/>
          <w:rtl/>
        </w:rPr>
        <w:t>بعيد</w:t>
      </w:r>
      <w:r w:rsidRPr="004E0A37">
        <w:rPr>
          <w:rFonts w:hint="cs"/>
          <w:spacing w:val="0"/>
          <w:sz w:val="20"/>
          <w:rtl/>
        </w:rPr>
        <w:t>اً</w:t>
      </w:r>
      <w:r w:rsidRPr="004E0A37">
        <w:rPr>
          <w:spacing w:val="0"/>
          <w:sz w:val="20"/>
          <w:rtl/>
        </w:rPr>
        <w:t xml:space="preserve"> عن العائلات والمراكز الطبية الكبيرة؛</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الوضع الراهن والمستقبلي للأطفال ذوي الإعاقة العقلية المودعين في مؤسسات الرعاية، بالرغم من إحاطة اللجنة</w:t>
      </w:r>
      <w:r w:rsidR="003833F8">
        <w:rPr>
          <w:spacing w:val="0"/>
          <w:sz w:val="20"/>
          <w:rtl/>
        </w:rPr>
        <w:t xml:space="preserve"> علماً </w:t>
      </w:r>
      <w:r w:rsidRPr="004E0A37">
        <w:rPr>
          <w:spacing w:val="0"/>
          <w:sz w:val="20"/>
          <w:rtl/>
        </w:rPr>
        <w:t>بالانتقال المتوخى من الرعاية المؤسسية إلى الرعاية المجتمعية الشبيهة بالبيئة الأسرية وإغلاق جميع مؤسسات رعاية الأطفال في غضون</w:t>
      </w:r>
      <w:r w:rsidRPr="004E0A37">
        <w:rPr>
          <w:rFonts w:hint="cs"/>
          <w:spacing w:val="0"/>
          <w:sz w:val="20"/>
          <w:rtl/>
        </w:rPr>
        <w:t> </w:t>
      </w:r>
      <w:r w:rsidRPr="004E0A37">
        <w:rPr>
          <w:spacing w:val="0"/>
          <w:sz w:val="20"/>
          <w:rtl/>
        </w:rPr>
        <w:t>15 سنة؛ ووفاة 238 طفلاً من ذوي الإعاقة العقلية خلال الفترة 2000-2010، وفاة ثلاثة أرباع منهم يمكن تفاديها، دون صدور أي حكم إدانة حتى الآن في التحقيقات الجنائية ا</w:t>
      </w:r>
      <w:r w:rsidRPr="004E0A37">
        <w:rPr>
          <w:rFonts w:hint="cs"/>
          <w:spacing w:val="0"/>
          <w:sz w:val="20"/>
          <w:rtl/>
        </w:rPr>
        <w:t xml:space="preserve">ل‍ </w:t>
      </w:r>
      <w:r w:rsidRPr="004E0A37">
        <w:rPr>
          <w:spacing w:val="0"/>
          <w:sz w:val="20"/>
          <w:rtl/>
        </w:rPr>
        <w:t>166، ووفاة طفلين مؤخراً في ظروف مشابهة في ميدفن؛ وعدم خلوص تفتيش شمل</w:t>
      </w:r>
      <w:r w:rsidRPr="004E0A37">
        <w:rPr>
          <w:rFonts w:hint="cs"/>
          <w:spacing w:val="0"/>
          <w:sz w:val="20"/>
          <w:rtl/>
        </w:rPr>
        <w:t> </w:t>
      </w:r>
      <w:r w:rsidRPr="004E0A37">
        <w:rPr>
          <w:spacing w:val="0"/>
          <w:sz w:val="20"/>
          <w:rtl/>
        </w:rPr>
        <w:t xml:space="preserve">عام 2010، بشأن الإيداع والعلاج </w:t>
      </w:r>
      <w:r w:rsidRPr="004E0A37">
        <w:rPr>
          <w:rFonts w:hint="cs"/>
          <w:spacing w:val="0"/>
          <w:sz w:val="20"/>
          <w:rtl/>
        </w:rPr>
        <w:t>غير الطوعيين</w:t>
      </w:r>
      <w:r w:rsidRPr="004E0A37">
        <w:rPr>
          <w:spacing w:val="0"/>
          <w:sz w:val="20"/>
          <w:rtl/>
        </w:rPr>
        <w:t xml:space="preserve"> بموجب قانون الصحة والإيداع بالإكراه من أجل العلاج بموجب قانون العقوبات، إلى حدوث أي انتهاك في تطبيق القوانين؛ </w:t>
      </w:r>
      <w:r w:rsidRPr="004E0A37">
        <w:rPr>
          <w:rFonts w:hint="cs"/>
          <w:spacing w:val="0"/>
          <w:sz w:val="20"/>
          <w:rtl/>
        </w:rPr>
        <w:t>لأنه</w:t>
      </w:r>
      <w:r w:rsidR="00335AC0">
        <w:rPr>
          <w:rFonts w:hint="cs"/>
          <w:spacing w:val="0"/>
          <w:sz w:val="20"/>
          <w:rtl/>
        </w:rPr>
        <w:t xml:space="preserve"> لن </w:t>
      </w:r>
      <w:r w:rsidRPr="004E0A37">
        <w:rPr>
          <w:rFonts w:hint="cs"/>
          <w:spacing w:val="0"/>
          <w:sz w:val="20"/>
          <w:rtl/>
        </w:rPr>
        <w:t xml:space="preserve">تجد، خلال الفترة التي تستغرقها عملية التحول المؤسسي، عملية الصيانة والإصلاح اللازمة للمؤسسات الموجودة بدعوى أن هذه المؤسسات سيتخلى عنها </w:t>
      </w:r>
      <w:r w:rsidRPr="004E0A37">
        <w:rPr>
          <w:spacing w:val="0"/>
          <w:sz w:val="20"/>
          <w:rtl/>
        </w:rPr>
        <w:t>(المواد 2 و11 و12 و13 و14 و16).</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بما يلي:</w:t>
      </w:r>
    </w:p>
    <w:p w:rsidR="004E0A37" w:rsidRPr="008B4006" w:rsidRDefault="004E0A37" w:rsidP="00A72130">
      <w:pPr>
        <w:pStyle w:val="SingleTxtGA"/>
        <w:jc w:val="lowKashida"/>
        <w:rPr>
          <w:b/>
          <w:bCs/>
          <w:spacing w:val="0"/>
          <w:sz w:val="20"/>
          <w:rtl/>
        </w:rPr>
      </w:pPr>
      <w:r w:rsidRPr="008B4006">
        <w:rPr>
          <w:rFonts w:hint="cs"/>
          <w:b/>
          <w:bCs/>
          <w:spacing w:val="0"/>
          <w:sz w:val="20"/>
          <w:rtl/>
        </w:rPr>
        <w:tab/>
      </w:r>
      <w:r w:rsidRPr="008B4006">
        <w:rPr>
          <w:b/>
          <w:bCs/>
          <w:spacing w:val="0"/>
          <w:sz w:val="20"/>
          <w:rtl/>
        </w:rPr>
        <w:t>(أ)</w:t>
      </w:r>
      <w:r w:rsidRPr="008B4006">
        <w:rPr>
          <w:rFonts w:hint="cs"/>
          <w:b/>
          <w:bCs/>
          <w:spacing w:val="0"/>
          <w:sz w:val="20"/>
          <w:rtl/>
        </w:rPr>
        <w:tab/>
      </w:r>
      <w:r w:rsidRPr="008B4006">
        <w:rPr>
          <w:b/>
          <w:bCs/>
          <w:spacing w:val="0"/>
          <w:sz w:val="20"/>
          <w:rtl/>
        </w:rPr>
        <w:t xml:space="preserve">مراجعة </w:t>
      </w:r>
      <w:r w:rsidRPr="008B4006">
        <w:rPr>
          <w:rFonts w:hint="cs"/>
          <w:b/>
          <w:bCs/>
          <w:spacing w:val="0"/>
          <w:sz w:val="20"/>
          <w:rtl/>
        </w:rPr>
        <w:t>ال</w:t>
      </w:r>
      <w:r w:rsidRPr="008B4006">
        <w:rPr>
          <w:b/>
          <w:bCs/>
          <w:spacing w:val="0"/>
          <w:sz w:val="20"/>
          <w:rtl/>
        </w:rPr>
        <w:t>تشريع و</w:t>
      </w:r>
      <w:r w:rsidRPr="008B4006">
        <w:rPr>
          <w:rFonts w:hint="cs"/>
          <w:b/>
          <w:bCs/>
          <w:spacing w:val="0"/>
          <w:sz w:val="20"/>
          <w:rtl/>
        </w:rPr>
        <w:t>ال</w:t>
      </w:r>
      <w:r w:rsidRPr="008B4006">
        <w:rPr>
          <w:b/>
          <w:bCs/>
          <w:spacing w:val="0"/>
          <w:sz w:val="20"/>
          <w:rtl/>
        </w:rPr>
        <w:t>سياس</w:t>
      </w:r>
      <w:r w:rsidRPr="008B4006">
        <w:rPr>
          <w:rFonts w:hint="cs"/>
          <w:b/>
          <w:bCs/>
          <w:spacing w:val="0"/>
          <w:sz w:val="20"/>
          <w:rtl/>
        </w:rPr>
        <w:t>ة</w:t>
      </w:r>
      <w:r w:rsidRPr="008B4006">
        <w:rPr>
          <w:b/>
          <w:bCs/>
          <w:spacing w:val="0"/>
          <w:sz w:val="20"/>
          <w:rtl/>
        </w:rPr>
        <w:t xml:space="preserve"> </w:t>
      </w:r>
      <w:r w:rsidRPr="008B4006">
        <w:rPr>
          <w:rFonts w:hint="cs"/>
          <w:b/>
          <w:bCs/>
          <w:spacing w:val="0"/>
          <w:sz w:val="20"/>
          <w:rtl/>
        </w:rPr>
        <w:t>المتعلقين ب</w:t>
      </w:r>
      <w:r w:rsidRPr="008B4006">
        <w:rPr>
          <w:b/>
          <w:bCs/>
          <w:spacing w:val="0"/>
          <w:sz w:val="20"/>
          <w:rtl/>
        </w:rPr>
        <w:t>حرمان الأشخاص ذوي الإعاقة العقلية من أهليتهم القانونية، وتوفير الضمانات القانونية والإجرائية لحقوقهم، وضمان وصولهم السريع إلى المراجعة القضائية الفعالة للقرارات، وكذا سبل الانتصاف الفعالة من</w:t>
      </w:r>
      <w:r w:rsidR="00A72130">
        <w:rPr>
          <w:rFonts w:hint="cs"/>
          <w:b/>
          <w:bCs/>
          <w:spacing w:val="0"/>
          <w:sz w:val="20"/>
          <w:rtl/>
        </w:rPr>
        <w:t> </w:t>
      </w:r>
      <w:r w:rsidRPr="008B4006">
        <w:rPr>
          <w:b/>
          <w:bCs/>
          <w:spacing w:val="0"/>
          <w:sz w:val="20"/>
          <w:rtl/>
        </w:rPr>
        <w:t>الانتهاكات؛</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(ب)</w:t>
      </w:r>
      <w:r w:rsidRPr="008B4006">
        <w:rPr>
          <w:rFonts w:hint="cs"/>
          <w:b/>
          <w:bCs/>
          <w:spacing w:val="0"/>
          <w:sz w:val="20"/>
          <w:rtl/>
        </w:rPr>
        <w:tab/>
      </w:r>
      <w:r w:rsidRPr="008B4006">
        <w:rPr>
          <w:b/>
          <w:bCs/>
          <w:spacing w:val="0"/>
          <w:sz w:val="20"/>
          <w:rtl/>
        </w:rPr>
        <w:t>تقييم الحالات حالة حالة وضمان احترام الحق في السلامة العقلية والبدنية للأشخاص المودعين في مؤسسات الرعاية وبخاصة أثناء اللجوء إلى تقييد الحركة والعلاج التجاوزي الذي لا يمكن تدارك أثاره من مثل العقاقير المؤثرة على الجهاز العصبي؛ وضمان أخذ قراراتهم وتفضيلاتهم في الاعتبار؛</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(ج)</w:t>
      </w:r>
      <w:r w:rsidRPr="008B4006">
        <w:rPr>
          <w:rFonts w:hint="cs"/>
          <w:b/>
          <w:bCs/>
          <w:spacing w:val="0"/>
          <w:sz w:val="20"/>
          <w:rtl/>
        </w:rPr>
        <w:tab/>
      </w:r>
      <w:r w:rsidRPr="008B4006">
        <w:rPr>
          <w:b/>
          <w:bCs/>
          <w:spacing w:val="0"/>
          <w:sz w:val="20"/>
          <w:rtl/>
        </w:rPr>
        <w:t>اتخاذ تدابير فعالة لتنظيم نظام الوصاية من أجل تفادي تضارب المصالح والحالات التي ترقى إلى العلاج القسري والاحتجاز بحكم الواقع؛</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(د)</w:t>
      </w:r>
      <w:r w:rsidRPr="008B4006">
        <w:rPr>
          <w:rFonts w:hint="cs"/>
          <w:b/>
          <w:bCs/>
          <w:spacing w:val="0"/>
          <w:sz w:val="20"/>
          <w:rtl/>
        </w:rPr>
        <w:tab/>
      </w:r>
      <w:r w:rsidRPr="008B4006">
        <w:rPr>
          <w:b/>
          <w:bCs/>
          <w:spacing w:val="0"/>
          <w:sz w:val="20"/>
          <w:rtl/>
        </w:rPr>
        <w:t>إقامة ترتيبات تمكن الأجهزة القضائية وآليات التفتيش المستقلة من رصد قرارات الإيداع عن كثب من أجل ضمان تنفيذ الضمانات والمعايير الدولية، بما في ذلك مبادئ حماية الأشخاص المصابين بمرض عقلي وتحسين العناية بالصحة العقلية؛</w:t>
      </w:r>
    </w:p>
    <w:p w:rsidR="004E0A37" w:rsidRPr="008B4006" w:rsidRDefault="004E0A37" w:rsidP="00A72130">
      <w:pPr>
        <w:pStyle w:val="SingleTxtGA"/>
        <w:spacing w:line="360" w:lineRule="exact"/>
        <w:jc w:val="lowKashida"/>
        <w:rPr>
          <w:b/>
          <w:bCs/>
          <w:spacing w:val="-2"/>
          <w:sz w:val="20"/>
          <w:rtl/>
        </w:rPr>
      </w:pPr>
      <w:r w:rsidRPr="008B4006">
        <w:rPr>
          <w:rFonts w:hint="cs"/>
          <w:b/>
          <w:bCs/>
          <w:spacing w:val="-2"/>
          <w:sz w:val="20"/>
          <w:rtl/>
        </w:rPr>
        <w:tab/>
        <w:t>(ﻫ)</w:t>
      </w:r>
      <w:r w:rsidRPr="008B4006">
        <w:rPr>
          <w:rFonts w:hint="cs"/>
          <w:b/>
          <w:bCs/>
          <w:spacing w:val="-2"/>
          <w:sz w:val="20"/>
          <w:rtl/>
        </w:rPr>
        <w:tab/>
      </w:r>
      <w:r w:rsidRPr="008B4006">
        <w:rPr>
          <w:b/>
          <w:bCs/>
          <w:spacing w:val="-2"/>
          <w:sz w:val="20"/>
          <w:rtl/>
        </w:rPr>
        <w:t>توفير عدد كاف من الموظفين المهنيين الأكفاء والقيام بالإصلاحات المادية اللازمة للم</w:t>
      </w:r>
      <w:r w:rsidRPr="008B4006">
        <w:rPr>
          <w:rFonts w:hint="cs"/>
          <w:b/>
          <w:bCs/>
          <w:spacing w:val="-2"/>
          <w:sz w:val="20"/>
          <w:rtl/>
        </w:rPr>
        <w:t>رافق</w:t>
      </w:r>
      <w:r w:rsidRPr="008B4006">
        <w:rPr>
          <w:b/>
          <w:bCs/>
          <w:spacing w:val="-2"/>
          <w:sz w:val="20"/>
          <w:rtl/>
        </w:rPr>
        <w:t xml:space="preserve"> التي ينبغي جعل موقعها في المدن الكبرى التي بها مستشفيات ومراكز طبية؛</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(و)</w:t>
      </w:r>
      <w:r w:rsidRPr="008B4006">
        <w:rPr>
          <w:rFonts w:hint="cs"/>
          <w:b/>
          <w:bCs/>
          <w:spacing w:val="0"/>
          <w:sz w:val="20"/>
          <w:rtl/>
        </w:rPr>
        <w:tab/>
      </w:r>
      <w:r w:rsidRPr="008B4006">
        <w:rPr>
          <w:b/>
          <w:bCs/>
          <w:spacing w:val="0"/>
          <w:sz w:val="20"/>
          <w:rtl/>
        </w:rPr>
        <w:t>ضمان التحقيق والمقاضاة والإدانة والمعاقبة الملائمة للمسؤولين عن وفيات الأطفال ذوي الإعاقة المودعين في مؤسسات الرعاية؛</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(ز)</w:t>
      </w:r>
      <w:r w:rsidRPr="008B4006">
        <w:rPr>
          <w:rFonts w:hint="cs"/>
          <w:b/>
          <w:bCs/>
          <w:spacing w:val="0"/>
          <w:sz w:val="20"/>
          <w:rtl/>
        </w:rPr>
        <w:tab/>
      </w:r>
      <w:r w:rsidRPr="008B4006">
        <w:rPr>
          <w:b/>
          <w:bCs/>
          <w:spacing w:val="0"/>
          <w:sz w:val="20"/>
          <w:rtl/>
        </w:rPr>
        <w:t>تعديل وتعزيز التشريعات من أجل تحسين المساءلة ومنع تكرار الإفلات من العقاب وتنظيم العلاج المسموح به داخل المؤسسات، ولا سيما علاج الأشخاص ذوي الإعاقة العقلية. وينبغي إيلاء الاهتمام للاحتياجات الفردية لكل طفل وإتاحة العلاج الموصوف له، تماشياً مع أحكام الاتفاقية؛</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(ح)</w:t>
      </w:r>
      <w:r w:rsidRPr="008B4006">
        <w:rPr>
          <w:rFonts w:hint="cs"/>
          <w:b/>
          <w:bCs/>
          <w:spacing w:val="0"/>
          <w:sz w:val="20"/>
          <w:rtl/>
        </w:rPr>
        <w:tab/>
      </w:r>
      <w:r w:rsidRPr="008B4006">
        <w:rPr>
          <w:b/>
          <w:bCs/>
          <w:spacing w:val="0"/>
          <w:sz w:val="20"/>
          <w:rtl/>
        </w:rPr>
        <w:t xml:space="preserve">ضمان إشراف ورصد الآليات المستقلة، بما فيها المؤسسات الوطنية لحقوق الإنسان ومنظمات المجتمع المدني، بصورة متواترة ومهنية لجميع المؤسسات والإنهاء الفعلي لاستخدام مؤسسات رعاية الأطفال، بما يشمل تسريع هذه العملية إلى أقصر فترة ممكنة، وذلك للحفاظ على نظام رعاية مستدام. </w:t>
      </w:r>
    </w:p>
    <w:p w:rsidR="004E0A37" w:rsidRPr="004E0A37" w:rsidRDefault="004E0A37" w:rsidP="00A72130">
      <w:pPr>
        <w:pStyle w:val="H23GA"/>
        <w:spacing w:line="360" w:lineRule="exact"/>
        <w:rPr>
          <w:rFonts w:hint="cs"/>
          <w:rtl/>
        </w:rPr>
      </w:pPr>
      <w:r w:rsidRPr="004E0A37">
        <w:rPr>
          <w:rtl/>
        </w:rPr>
        <w:tab/>
      </w:r>
      <w:r w:rsidRPr="004E0A37">
        <w:rPr>
          <w:rtl/>
        </w:rPr>
        <w:tab/>
        <w:t>التدريب</w:t>
      </w:r>
    </w:p>
    <w:p w:rsidR="004E0A37" w:rsidRPr="002C1EA7" w:rsidRDefault="0033301A" w:rsidP="00A72130">
      <w:pPr>
        <w:pStyle w:val="SingleTxtGA"/>
        <w:spacing w:line="360" w:lineRule="exact"/>
        <w:jc w:val="lowKashida"/>
        <w:rPr>
          <w:spacing w:val="-2"/>
          <w:sz w:val="20"/>
          <w:rtl/>
        </w:rPr>
      </w:pPr>
      <w:r>
        <w:rPr>
          <w:rFonts w:hint="cs"/>
          <w:spacing w:val="-2"/>
          <w:sz w:val="20"/>
          <w:rtl/>
        </w:rPr>
        <w:t>(</w:t>
      </w:r>
      <w:r w:rsidR="004E0A37" w:rsidRPr="002C1EA7">
        <w:rPr>
          <w:spacing w:val="-2"/>
          <w:sz w:val="20"/>
          <w:rtl/>
        </w:rPr>
        <w:t>20</w:t>
      </w:r>
      <w:r w:rsidR="003E72B5">
        <w:rPr>
          <w:spacing w:val="-2"/>
          <w:sz w:val="20"/>
          <w:rtl/>
        </w:rPr>
        <w:t>)</w:t>
      </w:r>
      <w:r w:rsidR="003E72B5">
        <w:rPr>
          <w:spacing w:val="-2"/>
          <w:sz w:val="20"/>
          <w:rtl/>
        </w:rPr>
        <w:tab/>
      </w:r>
      <w:r w:rsidR="004E0A37" w:rsidRPr="002C1EA7">
        <w:rPr>
          <w:spacing w:val="-2"/>
          <w:sz w:val="20"/>
          <w:rtl/>
        </w:rPr>
        <w:t xml:space="preserve">يساور اللجنة القلق من </w:t>
      </w:r>
      <w:r w:rsidR="004E0A37" w:rsidRPr="002C1EA7">
        <w:rPr>
          <w:rFonts w:hint="cs"/>
          <w:spacing w:val="-2"/>
          <w:sz w:val="20"/>
          <w:rtl/>
        </w:rPr>
        <w:t xml:space="preserve">أن </w:t>
      </w:r>
      <w:r w:rsidR="004E0A37" w:rsidRPr="002C1EA7">
        <w:rPr>
          <w:spacing w:val="-2"/>
          <w:sz w:val="20"/>
          <w:rtl/>
        </w:rPr>
        <w:t>التدريب الإلزامي للموظفين</w:t>
      </w:r>
      <w:r w:rsidR="004E0A37" w:rsidRPr="002C1EA7">
        <w:rPr>
          <w:rFonts w:hint="cs"/>
          <w:spacing w:val="-2"/>
          <w:sz w:val="20"/>
          <w:rtl/>
        </w:rPr>
        <w:t xml:space="preserve"> ك</w:t>
      </w:r>
      <w:r w:rsidR="004E0A37" w:rsidRPr="002C1EA7">
        <w:rPr>
          <w:spacing w:val="-2"/>
          <w:sz w:val="20"/>
          <w:rtl/>
        </w:rPr>
        <w:t>القضاة وموظفي إنفاذ القوانين وموظفي السجون لا </w:t>
      </w:r>
      <w:r w:rsidR="004E0A37" w:rsidRPr="002C1EA7">
        <w:rPr>
          <w:rFonts w:hint="cs"/>
          <w:spacing w:val="-2"/>
          <w:sz w:val="20"/>
          <w:rtl/>
        </w:rPr>
        <w:t xml:space="preserve">يشمل </w:t>
      </w:r>
      <w:r w:rsidR="004E0A37" w:rsidRPr="002C1EA7">
        <w:rPr>
          <w:spacing w:val="-2"/>
          <w:sz w:val="20"/>
          <w:rtl/>
        </w:rPr>
        <w:t xml:space="preserve">التدريب على أحكام الاتفاقية، ولا سيما الحظر المطلق للتعذيب، بما فيه العنف الجنسي، وعلى دليل التقصي والتوثيق الفعالين للتعذيب وغيره من ضروب المعاملة أو العقوبة القاسية أو اللاإنسانية أو المهينة (بروتوكول </w:t>
      </w:r>
      <w:r w:rsidR="002C1EA7" w:rsidRPr="002C1EA7">
        <w:rPr>
          <w:rFonts w:hint="cs"/>
          <w:spacing w:val="-2"/>
          <w:sz w:val="20"/>
          <w:rtl/>
        </w:rPr>
        <w:t>اسطنبول</w:t>
      </w:r>
      <w:r w:rsidR="004E0A37" w:rsidRPr="002C1EA7">
        <w:rPr>
          <w:spacing w:val="-2"/>
          <w:sz w:val="20"/>
          <w:rtl/>
        </w:rPr>
        <w:t>)</w:t>
      </w:r>
      <w:r w:rsidR="004E0A37" w:rsidRPr="002C1EA7">
        <w:rPr>
          <w:rFonts w:hint="cs"/>
          <w:spacing w:val="-2"/>
          <w:sz w:val="20"/>
          <w:rtl/>
        </w:rPr>
        <w:t xml:space="preserve"> </w:t>
      </w:r>
      <w:r w:rsidR="004E0A37" w:rsidRPr="002C1EA7">
        <w:rPr>
          <w:spacing w:val="-2"/>
          <w:sz w:val="20"/>
          <w:rtl/>
        </w:rPr>
        <w:t>(المادة 10).</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بما يلي:</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(أ)</w:t>
      </w:r>
      <w:r w:rsidRPr="008B4006">
        <w:rPr>
          <w:rFonts w:hint="cs"/>
          <w:b/>
          <w:bCs/>
          <w:spacing w:val="0"/>
          <w:sz w:val="20"/>
          <w:rtl/>
        </w:rPr>
        <w:tab/>
      </w:r>
      <w:r w:rsidRPr="008B4006">
        <w:rPr>
          <w:b/>
          <w:bCs/>
          <w:spacing w:val="0"/>
          <w:sz w:val="20"/>
          <w:rtl/>
        </w:rPr>
        <w:t>إعداد وتنفيذ برامج تدريبية لضمان إدراك القضاة والمدعين العامين وموظفي إنفاذ القوانين إدراكاً تاماً لأحكام الاتفاقية، وبخاصة الحظر المطلق للتعذيب، وضمان عدم التسامح مع انتهاكها والتحقيق فيها ومقاضاة مرتكبيها؛</w:t>
      </w:r>
    </w:p>
    <w:p w:rsidR="004E0A37" w:rsidRPr="008B4006" w:rsidRDefault="004E0A37" w:rsidP="00A72130">
      <w:pPr>
        <w:pStyle w:val="SingleTxtGA"/>
        <w:spacing w:line="360" w:lineRule="exact"/>
        <w:jc w:val="lowKashida"/>
        <w:rPr>
          <w:b/>
          <w:bCs/>
          <w:spacing w:val="0"/>
          <w:sz w:val="20"/>
          <w:rtl/>
        </w:rPr>
      </w:pPr>
      <w:r w:rsidRPr="008B4006">
        <w:rPr>
          <w:rFonts w:hint="cs"/>
          <w:b/>
          <w:bCs/>
          <w:spacing w:val="0"/>
          <w:sz w:val="20"/>
          <w:rtl/>
        </w:rPr>
        <w:tab/>
      </w:r>
      <w:r w:rsidRPr="008B4006">
        <w:rPr>
          <w:b/>
          <w:bCs/>
          <w:spacing w:val="0"/>
          <w:sz w:val="20"/>
          <w:rtl/>
        </w:rPr>
        <w:t>(ب)</w:t>
      </w:r>
      <w:r w:rsidRPr="008B4006">
        <w:rPr>
          <w:rFonts w:hint="cs"/>
          <w:b/>
          <w:bCs/>
          <w:spacing w:val="0"/>
          <w:sz w:val="20"/>
          <w:rtl/>
        </w:rPr>
        <w:tab/>
      </w:r>
      <w:r w:rsidRPr="008B4006">
        <w:rPr>
          <w:b/>
          <w:bCs/>
          <w:spacing w:val="0"/>
          <w:sz w:val="20"/>
          <w:rtl/>
        </w:rPr>
        <w:t xml:space="preserve">وضع </w:t>
      </w:r>
      <w:r w:rsidRPr="008B4006">
        <w:rPr>
          <w:rFonts w:hint="cs"/>
          <w:b/>
          <w:bCs/>
          <w:spacing w:val="0"/>
          <w:sz w:val="20"/>
          <w:rtl/>
        </w:rPr>
        <w:t>وحدات</w:t>
      </w:r>
      <w:r w:rsidRPr="008B4006">
        <w:rPr>
          <w:b/>
          <w:bCs/>
          <w:spacing w:val="0"/>
          <w:sz w:val="20"/>
          <w:rtl/>
        </w:rPr>
        <w:t xml:space="preserve"> تدريب</w:t>
      </w:r>
      <w:r w:rsidRPr="008B4006">
        <w:rPr>
          <w:rFonts w:hint="cs"/>
          <w:b/>
          <w:bCs/>
          <w:spacing w:val="0"/>
          <w:sz w:val="20"/>
          <w:rtl/>
        </w:rPr>
        <w:t>ية</w:t>
      </w:r>
      <w:r w:rsidRPr="008B4006">
        <w:rPr>
          <w:b/>
          <w:bCs/>
          <w:spacing w:val="0"/>
          <w:sz w:val="20"/>
          <w:rtl/>
        </w:rPr>
        <w:t xml:space="preserve"> بغية توعية موظفي إنفاذ القوانين وغيرهم من الموظفين المعنيين ب</w:t>
      </w:r>
      <w:r w:rsidRPr="008B4006">
        <w:rPr>
          <w:rFonts w:hint="cs"/>
          <w:b/>
          <w:bCs/>
          <w:spacing w:val="0"/>
          <w:sz w:val="20"/>
          <w:rtl/>
        </w:rPr>
        <w:t xml:space="preserve">مكافحة </w:t>
      </w:r>
      <w:r w:rsidRPr="008B4006">
        <w:rPr>
          <w:b/>
          <w:bCs/>
          <w:spacing w:val="0"/>
          <w:sz w:val="20"/>
          <w:rtl/>
        </w:rPr>
        <w:t>التمييز بسبب الإثنية والدين؛</w:t>
      </w:r>
    </w:p>
    <w:p w:rsidR="004E0A37" w:rsidRPr="00A72130" w:rsidRDefault="004E0A37" w:rsidP="00A72130">
      <w:pPr>
        <w:pStyle w:val="SingleTxtGA"/>
        <w:spacing w:line="360" w:lineRule="exact"/>
        <w:jc w:val="lowKashida"/>
        <w:rPr>
          <w:b/>
          <w:bCs/>
          <w:spacing w:val="-2"/>
          <w:sz w:val="20"/>
          <w:rtl/>
        </w:rPr>
      </w:pPr>
      <w:r w:rsidRPr="00A72130">
        <w:rPr>
          <w:rFonts w:hint="cs"/>
          <w:b/>
          <w:bCs/>
          <w:spacing w:val="-2"/>
          <w:sz w:val="20"/>
          <w:rtl/>
        </w:rPr>
        <w:tab/>
      </w:r>
      <w:r w:rsidRPr="00A72130">
        <w:rPr>
          <w:b/>
          <w:bCs/>
          <w:spacing w:val="-2"/>
          <w:sz w:val="20"/>
          <w:rtl/>
        </w:rPr>
        <w:t>(ج)</w:t>
      </w:r>
      <w:r w:rsidRPr="00A72130">
        <w:rPr>
          <w:rFonts w:hint="cs"/>
          <w:b/>
          <w:bCs/>
          <w:spacing w:val="-2"/>
          <w:sz w:val="20"/>
          <w:rtl/>
        </w:rPr>
        <w:tab/>
      </w:r>
      <w:r w:rsidRPr="00A72130">
        <w:rPr>
          <w:b/>
          <w:bCs/>
          <w:spacing w:val="-2"/>
          <w:sz w:val="20"/>
          <w:rtl/>
        </w:rPr>
        <w:t xml:space="preserve">توفير التدريب المنتظم والمنهجي على دليل التقصي والتوثيق الفعالين للتعذيب وغيره من ضروب المعاملة أو العقوبة القاسية أو اللاإنسانية أو المهينة (بروتوكول </w:t>
      </w:r>
      <w:r w:rsidR="002C1EA7" w:rsidRPr="00A72130">
        <w:rPr>
          <w:rFonts w:hint="cs"/>
          <w:b/>
          <w:bCs/>
          <w:spacing w:val="-2"/>
          <w:sz w:val="20"/>
          <w:rtl/>
        </w:rPr>
        <w:t>اسطنبول</w:t>
      </w:r>
      <w:r w:rsidRPr="00A72130">
        <w:rPr>
          <w:b/>
          <w:bCs/>
          <w:spacing w:val="-2"/>
          <w:sz w:val="20"/>
          <w:rtl/>
        </w:rPr>
        <w:t xml:space="preserve">) للعاملين الطبيين وغيرهم ممن لهم صلة بحبس أو استجواب أو معاملة أي شخص رهن أي نوع من أنواع الاعتقال أو الاحتجاز أو السجن، وكذا لغيرهم من المهنيين الذين لهم صلة بتوثيق التعذيب والتحقيق فيه، وضمان توفير هذا التدريب كذلك للأفراد الذين لهم صلة بعمليات البت في </w:t>
      </w:r>
      <w:r w:rsidRPr="00A72130">
        <w:rPr>
          <w:rFonts w:hint="cs"/>
          <w:b/>
          <w:bCs/>
          <w:spacing w:val="-2"/>
          <w:sz w:val="20"/>
          <w:rtl/>
        </w:rPr>
        <w:t xml:space="preserve">طلبات </w:t>
      </w:r>
      <w:r w:rsidRPr="00A72130">
        <w:rPr>
          <w:b/>
          <w:bCs/>
          <w:spacing w:val="-2"/>
          <w:sz w:val="20"/>
          <w:rtl/>
        </w:rPr>
        <w:t>اللجوء؛</w:t>
      </w:r>
    </w:p>
    <w:p w:rsidR="004E0A37" w:rsidRPr="008B4006" w:rsidRDefault="004E0A37" w:rsidP="00A72130">
      <w:pPr>
        <w:pStyle w:val="SingleTxtGA"/>
        <w:spacing w:line="360" w:lineRule="exact"/>
        <w:jc w:val="lowKashida"/>
        <w:rPr>
          <w:rFonts w:hint="cs"/>
          <w:b/>
          <w:bCs/>
          <w:spacing w:val="0"/>
          <w:sz w:val="20"/>
          <w:rtl/>
        </w:rPr>
      </w:pPr>
      <w:r w:rsidRPr="008B4006">
        <w:rPr>
          <w:rFonts w:hint="cs"/>
          <w:b/>
          <w:bCs/>
          <w:spacing w:val="0"/>
          <w:sz w:val="20"/>
          <w:rtl/>
        </w:rPr>
        <w:tab/>
      </w:r>
      <w:r w:rsidRPr="008B4006">
        <w:rPr>
          <w:b/>
          <w:bCs/>
          <w:spacing w:val="0"/>
          <w:sz w:val="20"/>
          <w:rtl/>
        </w:rPr>
        <w:t>(د)</w:t>
      </w:r>
      <w:r w:rsidRPr="008B4006">
        <w:rPr>
          <w:rFonts w:hint="cs"/>
          <w:b/>
          <w:bCs/>
          <w:spacing w:val="0"/>
          <w:sz w:val="20"/>
          <w:rtl/>
        </w:rPr>
        <w:tab/>
      </w:r>
      <w:r w:rsidRPr="008B4006">
        <w:rPr>
          <w:b/>
          <w:bCs/>
          <w:spacing w:val="0"/>
          <w:sz w:val="20"/>
          <w:rtl/>
        </w:rPr>
        <w:t xml:space="preserve">وضع وتنفيذ منهجية لتقييم مدى فعالية وتأثير التدريب والبرامج التعليمية في الحد </w:t>
      </w:r>
      <w:r w:rsidR="008B4006">
        <w:rPr>
          <w:b/>
          <w:bCs/>
          <w:spacing w:val="0"/>
          <w:sz w:val="20"/>
          <w:rtl/>
        </w:rPr>
        <w:t>من حالات التعذيب وسوء المعاملة</w:t>
      </w:r>
      <w:r w:rsidR="008B4006">
        <w:rPr>
          <w:rFonts w:hint="cs"/>
          <w:b/>
          <w:bCs/>
          <w:spacing w:val="0"/>
          <w:sz w:val="20"/>
          <w:rtl/>
        </w:rPr>
        <w:t>.</w:t>
      </w:r>
    </w:p>
    <w:p w:rsidR="004E0A37" w:rsidRPr="004E0A37" w:rsidRDefault="004E0A37" w:rsidP="00335AC0">
      <w:pPr>
        <w:pStyle w:val="H23GA"/>
        <w:rPr>
          <w:rtl/>
        </w:rPr>
      </w:pPr>
      <w:r w:rsidRPr="004E0A37">
        <w:rPr>
          <w:rtl/>
        </w:rPr>
        <w:tab/>
      </w:r>
      <w:r w:rsidRPr="004E0A37">
        <w:rPr>
          <w:rtl/>
        </w:rPr>
        <w:tab/>
        <w:t>ظروف الاحتجاز</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21</w:t>
      </w:r>
      <w:r w:rsidR="003E72B5">
        <w:rPr>
          <w:spacing w:val="0"/>
          <w:sz w:val="20"/>
          <w:rtl/>
        </w:rPr>
        <w:t>)</w:t>
      </w:r>
      <w:r w:rsidR="003E72B5">
        <w:rPr>
          <w:spacing w:val="0"/>
          <w:sz w:val="20"/>
          <w:rtl/>
        </w:rPr>
        <w:tab/>
      </w:r>
      <w:r w:rsidR="004E0A37" w:rsidRPr="004E0A37">
        <w:rPr>
          <w:spacing w:val="0"/>
          <w:sz w:val="20"/>
          <w:rtl/>
        </w:rPr>
        <w:t>إن اللجنة</w:t>
      </w:r>
      <w:r w:rsidR="004E0A37" w:rsidRPr="004E0A37">
        <w:rPr>
          <w:rFonts w:hint="cs"/>
          <w:spacing w:val="0"/>
          <w:sz w:val="20"/>
          <w:rtl/>
        </w:rPr>
        <w:t>؛</w:t>
      </w:r>
      <w:r w:rsidR="004E0A37" w:rsidRPr="004E0A37">
        <w:rPr>
          <w:spacing w:val="0"/>
          <w:sz w:val="20"/>
          <w:rtl/>
        </w:rPr>
        <w:t xml:space="preserve"> إذ تحيط</w:t>
      </w:r>
      <w:r w:rsidR="003833F8">
        <w:rPr>
          <w:spacing w:val="0"/>
          <w:sz w:val="20"/>
          <w:rtl/>
        </w:rPr>
        <w:t xml:space="preserve"> علماً </w:t>
      </w:r>
      <w:r w:rsidR="004E0A37" w:rsidRPr="004E0A37">
        <w:rPr>
          <w:spacing w:val="0"/>
          <w:sz w:val="20"/>
          <w:rtl/>
        </w:rPr>
        <w:t>باعتزام الدولة الطرف بناء مرافق احتجاز جديدة وإصلاح القائم منها، يساورها القلق بشأن استمرار ظروف الاحتجاز البالية وغير الصحية والمفرطة الاكتظاظ في بلغاريا، والتي لا تمتثل للمعايير الدولية. ويساورها القلق على نحو خاص من فرط الاكتظاظ الذي قلص متوسط الحيز المخصص لكل محتجز في العديد من السجون إلى</w:t>
      </w:r>
      <w:r w:rsidR="004E0A37" w:rsidRPr="004E0A37">
        <w:rPr>
          <w:rFonts w:hint="cs"/>
          <w:spacing w:val="0"/>
          <w:sz w:val="20"/>
          <w:rtl/>
        </w:rPr>
        <w:t> </w:t>
      </w:r>
      <w:r w:rsidR="004E0A37" w:rsidRPr="004E0A37">
        <w:rPr>
          <w:spacing w:val="0"/>
          <w:sz w:val="20"/>
          <w:rtl/>
        </w:rPr>
        <w:t>1</w:t>
      </w:r>
      <w:r w:rsidR="004E0A37" w:rsidRPr="004E0A37">
        <w:rPr>
          <w:rFonts w:hint="cs"/>
          <w:spacing w:val="0"/>
          <w:sz w:val="20"/>
          <w:rtl/>
        </w:rPr>
        <w:t> </w:t>
      </w:r>
      <w:r w:rsidR="004E0A37" w:rsidRPr="004E0A37">
        <w:rPr>
          <w:spacing w:val="0"/>
          <w:sz w:val="20"/>
          <w:rtl/>
        </w:rPr>
        <w:t>م</w:t>
      </w:r>
      <w:r w:rsidR="004E0A37" w:rsidRPr="00BE2D5D">
        <w:rPr>
          <w:spacing w:val="0"/>
          <w:sz w:val="20"/>
          <w:vertAlign w:val="superscript"/>
          <w:rtl/>
        </w:rPr>
        <w:t>2</w:t>
      </w:r>
      <w:r w:rsidR="004E0A37" w:rsidRPr="004E0A37">
        <w:rPr>
          <w:spacing w:val="0"/>
          <w:sz w:val="20"/>
          <w:rtl/>
        </w:rPr>
        <w:t xml:space="preserve"> بدلاً من المعيار المطلوب وهو 6 م</w:t>
      </w:r>
      <w:r w:rsidR="004E0A37" w:rsidRPr="00BE2D5D">
        <w:rPr>
          <w:spacing w:val="0"/>
          <w:sz w:val="20"/>
          <w:vertAlign w:val="superscript"/>
          <w:rtl/>
        </w:rPr>
        <w:t>2</w:t>
      </w:r>
      <w:r w:rsidR="004E0A37" w:rsidRPr="004E0A37">
        <w:rPr>
          <w:spacing w:val="0"/>
          <w:sz w:val="20"/>
          <w:rtl/>
        </w:rPr>
        <w:t xml:space="preserve"> ومن كون بعض المحتجزين مجبرين على النوم على الأرض؛ ومن عدم بناء أية مرافق احتجاز جديدة وعدم إصلاح إلا القليل منها؛ ومن عدم حدوث أي تحسن في نسبة الموظفين إلى السجناء، بسبب قيود الميزانية؛ ومن تأكيد أمين المظالم </w:t>
      </w:r>
      <w:r w:rsidR="004E0A37" w:rsidRPr="004E0A37">
        <w:rPr>
          <w:rFonts w:hint="cs"/>
          <w:spacing w:val="0"/>
          <w:sz w:val="20"/>
          <w:rtl/>
        </w:rPr>
        <w:t xml:space="preserve">في </w:t>
      </w:r>
      <w:r w:rsidR="004E0A37" w:rsidRPr="004E0A37">
        <w:rPr>
          <w:spacing w:val="0"/>
          <w:sz w:val="20"/>
          <w:rtl/>
        </w:rPr>
        <w:t>عام 2009 على ضرورة إصلاح نظام السجون، معرباً عن قلقه من التقليص ال</w:t>
      </w:r>
      <w:r w:rsidR="004E0A37" w:rsidRPr="004E0A37">
        <w:rPr>
          <w:rFonts w:hint="cs"/>
          <w:spacing w:val="0"/>
          <w:sz w:val="20"/>
          <w:rtl/>
        </w:rPr>
        <w:t>هائل في</w:t>
      </w:r>
      <w:r w:rsidR="004E0A37" w:rsidRPr="004E0A37">
        <w:rPr>
          <w:spacing w:val="0"/>
          <w:sz w:val="20"/>
          <w:rtl/>
        </w:rPr>
        <w:t xml:space="preserve"> عامي 2009 و2010</w:t>
      </w:r>
      <w:r w:rsidR="004E0A37" w:rsidRPr="004E0A37">
        <w:rPr>
          <w:rFonts w:hint="cs"/>
          <w:spacing w:val="0"/>
          <w:sz w:val="20"/>
          <w:rtl/>
        </w:rPr>
        <w:t>،</w:t>
      </w:r>
      <w:r w:rsidR="004E0A37" w:rsidRPr="004E0A37">
        <w:rPr>
          <w:spacing w:val="0"/>
          <w:sz w:val="20"/>
          <w:rtl/>
        </w:rPr>
        <w:t xml:space="preserve"> للتمويلات المخصصة لإصلاح السجون</w:t>
      </w:r>
      <w:r w:rsidR="00B345DB">
        <w:rPr>
          <w:spacing w:val="0"/>
          <w:sz w:val="20"/>
          <w:rtl/>
        </w:rPr>
        <w:t xml:space="preserve"> وفقاً </w:t>
      </w:r>
      <w:r w:rsidR="004E0A37" w:rsidRPr="004E0A37">
        <w:rPr>
          <w:spacing w:val="0"/>
          <w:sz w:val="20"/>
          <w:rtl/>
        </w:rPr>
        <w:t>لاستراتيجية إصلاح أماكن الاحتجاز (2009-2015)؛ ومن عدم امتثال الأوضاع المادية، مثل الحصول على مياه الشرب والنظافة الصحية والكهرباء واستخدام دورات المياه وجودة الطعام وكميته والأنشطة المفيدة والتم</w:t>
      </w:r>
      <w:r w:rsidR="004E0A37" w:rsidRPr="004E0A37">
        <w:rPr>
          <w:rFonts w:hint="cs"/>
          <w:spacing w:val="0"/>
          <w:sz w:val="20"/>
          <w:rtl/>
        </w:rPr>
        <w:t>ا</w:t>
      </w:r>
      <w:r w:rsidR="004E0A37" w:rsidRPr="004E0A37">
        <w:rPr>
          <w:spacing w:val="0"/>
          <w:sz w:val="20"/>
          <w:rtl/>
        </w:rPr>
        <w:t xml:space="preserve">رين الرياضية، للمعايير الدولية (المادتان 11 و16). </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بما يلي:</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(أ)</w:t>
      </w:r>
      <w:r w:rsidRPr="008B4006">
        <w:rPr>
          <w:rFonts w:hint="cs"/>
          <w:b/>
          <w:bCs/>
          <w:spacing w:val="0"/>
          <w:sz w:val="20"/>
          <w:rtl/>
        </w:rPr>
        <w:tab/>
      </w:r>
      <w:r w:rsidRPr="008B4006">
        <w:rPr>
          <w:b/>
          <w:bCs/>
          <w:spacing w:val="0"/>
          <w:sz w:val="20"/>
          <w:rtl/>
        </w:rPr>
        <w:t>أن تعزز الدولة الطرف جهودها وتزيد من تمويلها لجعل ظروف المعيشة في مرافق الاحتجاز ممتثلة لمعايير دولية من مثل القواعد الدنيا النموذجية لمعاملة السجناء؛</w:t>
      </w:r>
    </w:p>
    <w:p w:rsidR="004E0A37" w:rsidRPr="008B4006" w:rsidRDefault="004E0A37" w:rsidP="00A72130">
      <w:pPr>
        <w:pStyle w:val="SingleTxtGA"/>
        <w:jc w:val="lowKashida"/>
        <w:rPr>
          <w:b/>
          <w:bCs/>
          <w:spacing w:val="0"/>
          <w:sz w:val="20"/>
          <w:rtl/>
        </w:rPr>
      </w:pPr>
      <w:r w:rsidRPr="008B4006">
        <w:rPr>
          <w:rFonts w:hint="cs"/>
          <w:b/>
          <w:bCs/>
          <w:spacing w:val="0"/>
          <w:sz w:val="20"/>
          <w:rtl/>
        </w:rPr>
        <w:tab/>
      </w:r>
      <w:r w:rsidRPr="008B4006">
        <w:rPr>
          <w:b/>
          <w:bCs/>
          <w:spacing w:val="0"/>
          <w:sz w:val="20"/>
          <w:rtl/>
        </w:rPr>
        <w:t>(ب)</w:t>
      </w:r>
      <w:r w:rsidRPr="008B4006">
        <w:rPr>
          <w:rFonts w:hint="cs"/>
          <w:b/>
          <w:bCs/>
          <w:spacing w:val="0"/>
          <w:sz w:val="20"/>
          <w:rtl/>
        </w:rPr>
        <w:tab/>
      </w:r>
      <w:r w:rsidRPr="008B4006">
        <w:rPr>
          <w:b/>
          <w:bCs/>
          <w:spacing w:val="0"/>
          <w:sz w:val="20"/>
          <w:rtl/>
        </w:rPr>
        <w:t>تسريع التنفيذ وزيادة التمويل لاستراتيج</w:t>
      </w:r>
      <w:r w:rsidRPr="008B4006">
        <w:rPr>
          <w:rFonts w:hint="cs"/>
          <w:b/>
          <w:bCs/>
          <w:spacing w:val="0"/>
          <w:sz w:val="20"/>
          <w:rtl/>
        </w:rPr>
        <w:t>ي</w:t>
      </w:r>
      <w:r w:rsidRPr="008B4006">
        <w:rPr>
          <w:b/>
          <w:bCs/>
          <w:spacing w:val="0"/>
          <w:sz w:val="20"/>
          <w:rtl/>
        </w:rPr>
        <w:t>ة إصلاح أماكن الاحتجاز</w:t>
      </w:r>
      <w:r w:rsidR="00A72130">
        <w:rPr>
          <w:rFonts w:hint="cs"/>
          <w:b/>
          <w:bCs/>
          <w:spacing w:val="0"/>
          <w:sz w:val="20"/>
          <w:rtl/>
        </w:rPr>
        <w:t xml:space="preserve"> </w:t>
      </w:r>
      <w:r w:rsidRPr="008B4006">
        <w:rPr>
          <w:b/>
          <w:bCs/>
          <w:spacing w:val="0"/>
          <w:sz w:val="20"/>
          <w:rtl/>
        </w:rPr>
        <w:t>(2009-2015) ولبرنامج تحسين ظروف أماكن الحرمان من الحرية،</w:t>
      </w:r>
      <w:r w:rsidRPr="008B4006">
        <w:rPr>
          <w:rFonts w:hint="cs"/>
          <w:b/>
          <w:bCs/>
          <w:spacing w:val="0"/>
          <w:sz w:val="20"/>
          <w:rtl/>
        </w:rPr>
        <w:t> </w:t>
      </w:r>
      <w:r w:rsidRPr="008B4006">
        <w:rPr>
          <w:b/>
          <w:bCs/>
          <w:spacing w:val="0"/>
          <w:sz w:val="20"/>
          <w:rtl/>
        </w:rPr>
        <w:t>2010؛</w:t>
      </w:r>
    </w:p>
    <w:p w:rsidR="004E0A37" w:rsidRPr="008B4006" w:rsidRDefault="004E0A37" w:rsidP="00B6289A">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(ج)</w:t>
      </w:r>
      <w:r w:rsidRPr="008B4006">
        <w:rPr>
          <w:rFonts w:hint="cs"/>
          <w:b/>
          <w:bCs/>
          <w:spacing w:val="0"/>
          <w:sz w:val="20"/>
          <w:rtl/>
        </w:rPr>
        <w:tab/>
      </w:r>
      <w:r w:rsidRPr="008B4006">
        <w:rPr>
          <w:b/>
          <w:bCs/>
          <w:spacing w:val="0"/>
          <w:sz w:val="20"/>
          <w:rtl/>
        </w:rPr>
        <w:t>اعتماد أطر زمنية محددة لبناء سجون جديدة وتجديد القائم منها وزيادة عدد الموظفين في جميع المرافق؛</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(د)</w:t>
      </w:r>
      <w:r w:rsidRPr="008B4006">
        <w:rPr>
          <w:rFonts w:hint="cs"/>
          <w:b/>
          <w:bCs/>
          <w:spacing w:val="0"/>
          <w:sz w:val="20"/>
          <w:rtl/>
        </w:rPr>
        <w:tab/>
      </w:r>
      <w:r w:rsidRPr="008B4006">
        <w:rPr>
          <w:b/>
          <w:bCs/>
          <w:spacing w:val="0"/>
          <w:sz w:val="20"/>
          <w:rtl/>
        </w:rPr>
        <w:t>زيادة مخصصات الميزانية لأسباب الراحة الأساسية التي توفر للمحت</w:t>
      </w:r>
      <w:r w:rsidRPr="008B4006">
        <w:rPr>
          <w:rFonts w:hint="cs"/>
          <w:b/>
          <w:bCs/>
          <w:spacing w:val="0"/>
          <w:sz w:val="20"/>
          <w:rtl/>
        </w:rPr>
        <w:t>ج</w:t>
      </w:r>
      <w:r w:rsidRPr="008B4006">
        <w:rPr>
          <w:b/>
          <w:bCs/>
          <w:spacing w:val="0"/>
          <w:sz w:val="20"/>
          <w:rtl/>
        </w:rPr>
        <w:t xml:space="preserve">زين، بما </w:t>
      </w:r>
      <w:r w:rsidRPr="008B4006">
        <w:rPr>
          <w:rFonts w:hint="cs"/>
          <w:b/>
          <w:bCs/>
          <w:spacing w:val="0"/>
          <w:sz w:val="20"/>
          <w:rtl/>
        </w:rPr>
        <w:t xml:space="preserve">في </w:t>
      </w:r>
      <w:r w:rsidRPr="008B4006">
        <w:rPr>
          <w:b/>
          <w:bCs/>
          <w:spacing w:val="0"/>
          <w:sz w:val="20"/>
          <w:rtl/>
        </w:rPr>
        <w:t>ذلك إمكانية الحصول على مياه الشرب والغذاء والكهرباء والنظافة الصحية والصرف الصحي، وضمان كمية كافية من الضوء الطبيعي والاصطناعي، وكذا تدفئة وتهوية الزنازين، وتوفير الدعم النفسي للمحتجزين الذين يحتاجون المتابعة والعلاج من الطب النفسي.</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 xml:space="preserve">تدعو اللجنة الدولة الطرف إلى زيادة اللجوء إلى بدائل السجن تماشياً مع قواعد الأمم المتحدة النموذجية الدنيا للتدابير غير الاحتجازية (قواعد طوكيو) والحد من فرط الاكتظاظ. </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22</w:t>
      </w:r>
      <w:r w:rsidR="003E72B5">
        <w:rPr>
          <w:rFonts w:hint="cs"/>
          <w:spacing w:val="0"/>
          <w:sz w:val="20"/>
          <w:rtl/>
        </w:rPr>
        <w:t>)</w:t>
      </w:r>
      <w:r w:rsidR="003E72B5">
        <w:rPr>
          <w:rFonts w:hint="cs"/>
          <w:spacing w:val="0"/>
          <w:sz w:val="20"/>
          <w:rtl/>
        </w:rPr>
        <w:tab/>
      </w:r>
      <w:r w:rsidR="004E0A37" w:rsidRPr="004E0A37">
        <w:rPr>
          <w:spacing w:val="0"/>
          <w:sz w:val="20"/>
          <w:rtl/>
        </w:rPr>
        <w:t xml:space="preserve">ويساور اللجنة القلق مما ذكرته التقارير من استمرار وجود مرافق احتجاز تحت الأرض تجرى فيها التحقيقات في خمسة مواقع يحتفظ فيها بالسجناء رهن المحاكمة. ويساورها القلق من افتقار بعض الزنازين إلى نوافذ </w:t>
      </w:r>
      <w:r w:rsidR="004E0A37" w:rsidRPr="004E0A37">
        <w:rPr>
          <w:rFonts w:hint="cs"/>
          <w:spacing w:val="0"/>
          <w:sz w:val="20"/>
          <w:rtl/>
        </w:rPr>
        <w:t>و</w:t>
      </w:r>
      <w:r w:rsidR="004E0A37" w:rsidRPr="004E0A37">
        <w:rPr>
          <w:spacing w:val="0"/>
          <w:sz w:val="20"/>
          <w:rtl/>
        </w:rPr>
        <w:t>لكون حيز العيش يقل في بعضها عن 1 م</w:t>
      </w:r>
      <w:r w:rsidR="004E0A37" w:rsidRPr="00BE2D5D">
        <w:rPr>
          <w:spacing w:val="0"/>
          <w:sz w:val="20"/>
          <w:vertAlign w:val="superscript"/>
          <w:rtl/>
        </w:rPr>
        <w:t>2</w:t>
      </w:r>
      <w:r w:rsidR="004E0A37" w:rsidRPr="004E0A37">
        <w:rPr>
          <w:spacing w:val="0"/>
          <w:sz w:val="20"/>
          <w:rtl/>
        </w:rPr>
        <w:t xml:space="preserve"> لكل محتجز في حين لا تتوفر لآخرين إمكانيات التمارين الرياضية في الهواء الطلق. وعلاوة على ذلك، يساور اللجنة القلق من ظروف الاحتجاز في العديد من مخافر الشرطة حيث لا تمتثل الزنازين للمعايير الدولية للنظافة الصحية وغير صالحة للمبيت، ولكون المحت</w:t>
      </w:r>
      <w:r w:rsidR="004E0A37" w:rsidRPr="004E0A37">
        <w:rPr>
          <w:rFonts w:hint="cs"/>
          <w:spacing w:val="0"/>
          <w:sz w:val="20"/>
          <w:rtl/>
        </w:rPr>
        <w:t>ج</w:t>
      </w:r>
      <w:r w:rsidR="004E0A37" w:rsidRPr="004E0A37">
        <w:rPr>
          <w:spacing w:val="0"/>
          <w:sz w:val="20"/>
          <w:rtl/>
        </w:rPr>
        <w:t xml:space="preserve">زين يقضون في بعض الحالات 24 ساعة الأولى </w:t>
      </w:r>
      <w:r w:rsidR="004E0A37" w:rsidRPr="004E0A37">
        <w:rPr>
          <w:rFonts w:hint="cs"/>
          <w:spacing w:val="0"/>
          <w:sz w:val="20"/>
          <w:rtl/>
        </w:rPr>
        <w:t>في مكان مغلق</w:t>
      </w:r>
      <w:r w:rsidR="004E0A37" w:rsidRPr="004E0A37">
        <w:rPr>
          <w:spacing w:val="0"/>
          <w:sz w:val="20"/>
          <w:rtl/>
        </w:rPr>
        <w:t xml:space="preserve"> </w:t>
      </w:r>
      <w:r w:rsidR="004E0A37" w:rsidRPr="004E0A37">
        <w:rPr>
          <w:rFonts w:hint="cs"/>
          <w:spacing w:val="0"/>
          <w:sz w:val="20"/>
          <w:rtl/>
        </w:rPr>
        <w:t>ب</w:t>
      </w:r>
      <w:r w:rsidR="004E0A37" w:rsidRPr="004E0A37">
        <w:rPr>
          <w:spacing w:val="0"/>
          <w:sz w:val="20"/>
          <w:rtl/>
        </w:rPr>
        <w:t>قضبان يطلق عليه "القفص"، ويكون ذلك أحياناً على مرأى من زوار مخفر الشرطة. وإذ تحيط اللجنة</w:t>
      </w:r>
      <w:r w:rsidR="003833F8">
        <w:rPr>
          <w:spacing w:val="0"/>
          <w:sz w:val="20"/>
          <w:rtl/>
        </w:rPr>
        <w:t xml:space="preserve"> علماً </w:t>
      </w:r>
      <w:r w:rsidR="004E0A37" w:rsidRPr="004E0A37">
        <w:rPr>
          <w:spacing w:val="0"/>
          <w:sz w:val="20"/>
          <w:rtl/>
        </w:rPr>
        <w:t xml:space="preserve">بحظر تقييد الأيدي إلى القضبان والأنابيب، يساورها القلق </w:t>
      </w:r>
      <w:r w:rsidR="004E0A37" w:rsidRPr="004E0A37">
        <w:rPr>
          <w:rFonts w:hint="cs"/>
          <w:spacing w:val="0"/>
          <w:sz w:val="20"/>
          <w:rtl/>
        </w:rPr>
        <w:t xml:space="preserve">إزاء </w:t>
      </w:r>
      <w:r w:rsidR="004E0A37" w:rsidRPr="004E0A37">
        <w:rPr>
          <w:spacing w:val="0"/>
          <w:sz w:val="20"/>
          <w:rtl/>
        </w:rPr>
        <w:t>التقارير التي تفيد بأن بعض المحتجزين تقيد أيديهم إلى أشياء ثابتة، من مثل ال</w:t>
      </w:r>
      <w:r w:rsidR="004E0A37" w:rsidRPr="004E0A37">
        <w:rPr>
          <w:rFonts w:hint="cs"/>
          <w:spacing w:val="0"/>
          <w:sz w:val="20"/>
          <w:rtl/>
        </w:rPr>
        <w:t>دفاءات</w:t>
      </w:r>
      <w:r w:rsidR="004E0A37" w:rsidRPr="004E0A37">
        <w:rPr>
          <w:spacing w:val="0"/>
          <w:sz w:val="20"/>
          <w:rtl/>
        </w:rPr>
        <w:t xml:space="preserve"> وشبكات الأنابيب أو الكراسي</w:t>
      </w:r>
      <w:r w:rsidR="004E0A37" w:rsidRPr="004E0A37">
        <w:rPr>
          <w:rFonts w:hint="cs"/>
          <w:spacing w:val="0"/>
          <w:sz w:val="20"/>
          <w:rtl/>
        </w:rPr>
        <w:t>،</w:t>
      </w:r>
      <w:r w:rsidR="004E0A37" w:rsidRPr="004E0A37">
        <w:rPr>
          <w:spacing w:val="0"/>
          <w:sz w:val="20"/>
          <w:rtl/>
        </w:rPr>
        <w:t xml:space="preserve"> لم</w:t>
      </w:r>
      <w:r w:rsidR="004E0A37" w:rsidRPr="004E0A37">
        <w:rPr>
          <w:rFonts w:hint="cs"/>
          <w:spacing w:val="0"/>
          <w:sz w:val="20"/>
          <w:rtl/>
        </w:rPr>
        <w:t>دة</w:t>
      </w:r>
      <w:r w:rsidR="004E0A37" w:rsidRPr="004E0A37">
        <w:rPr>
          <w:spacing w:val="0"/>
          <w:sz w:val="20"/>
          <w:rtl/>
        </w:rPr>
        <w:t xml:space="preserve"> </w:t>
      </w:r>
      <w:r w:rsidR="004E0A37" w:rsidRPr="004E0A37">
        <w:rPr>
          <w:rFonts w:hint="cs"/>
          <w:spacing w:val="0"/>
          <w:sz w:val="20"/>
          <w:rtl/>
        </w:rPr>
        <w:t>ت</w:t>
      </w:r>
      <w:r w:rsidR="004E0A37" w:rsidRPr="004E0A37">
        <w:rPr>
          <w:spacing w:val="0"/>
          <w:sz w:val="20"/>
          <w:rtl/>
        </w:rPr>
        <w:t>صل إلى ست ساعات (المادة</w:t>
      </w:r>
      <w:r w:rsidR="004E0A37" w:rsidRPr="004E0A37">
        <w:rPr>
          <w:rFonts w:hint="cs"/>
          <w:spacing w:val="0"/>
          <w:sz w:val="20"/>
          <w:rtl/>
        </w:rPr>
        <w:t> </w:t>
      </w:r>
      <w:r w:rsidR="004E0A37" w:rsidRPr="004E0A37">
        <w:rPr>
          <w:spacing w:val="0"/>
          <w:sz w:val="20"/>
          <w:rtl/>
        </w:rPr>
        <w:t xml:space="preserve">11). </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بما يلي:</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(أ)</w:t>
      </w:r>
      <w:r w:rsidRPr="008B4006">
        <w:rPr>
          <w:rFonts w:hint="cs"/>
          <w:b/>
          <w:bCs/>
          <w:spacing w:val="0"/>
          <w:sz w:val="20"/>
          <w:rtl/>
        </w:rPr>
        <w:tab/>
      </w:r>
      <w:r w:rsidRPr="008B4006">
        <w:rPr>
          <w:b/>
          <w:bCs/>
          <w:spacing w:val="0"/>
          <w:sz w:val="20"/>
          <w:rtl/>
        </w:rPr>
        <w:t xml:space="preserve">أن تتخذ الدولة الطرف تدابير عاجلة لضمان امتثال معاملة المحتجزين رهن المحاكمة في مراكز الاحتجاز المخصصة للتحقيق والمحتجزين في مخافر الشرطة للمعايير الدولية. وتحث الدولة الطرف على بناء مرافق احتجاز جديدة للتحقيق أو مواءمة وإصلاح المرافق الموجودة لكي يكون احتجاز جميع الأشخاص فوق الأرض ويستوفي القواعد الدولية الدنيا. وينبغي لمراكز الاحتجاز لدى الشرطة أن تكون </w:t>
      </w:r>
      <w:r w:rsidRPr="008B4006">
        <w:rPr>
          <w:rFonts w:hint="cs"/>
          <w:b/>
          <w:bCs/>
          <w:spacing w:val="0"/>
          <w:sz w:val="20"/>
          <w:rtl/>
        </w:rPr>
        <w:t>مزودة بعدد كاف من ال</w:t>
      </w:r>
      <w:r w:rsidRPr="008B4006">
        <w:rPr>
          <w:b/>
          <w:bCs/>
          <w:spacing w:val="0"/>
          <w:sz w:val="20"/>
          <w:rtl/>
        </w:rPr>
        <w:t xml:space="preserve">زنازين </w:t>
      </w:r>
      <w:r w:rsidRPr="008B4006">
        <w:rPr>
          <w:rFonts w:hint="cs"/>
          <w:b/>
          <w:bCs/>
          <w:spacing w:val="0"/>
          <w:sz w:val="20"/>
          <w:rtl/>
        </w:rPr>
        <w:t>ال</w:t>
      </w:r>
      <w:r w:rsidRPr="008B4006">
        <w:rPr>
          <w:b/>
          <w:bCs/>
          <w:spacing w:val="0"/>
          <w:sz w:val="20"/>
          <w:rtl/>
        </w:rPr>
        <w:t xml:space="preserve">ملائمة للمبيت </w:t>
      </w:r>
      <w:r w:rsidRPr="008B4006">
        <w:rPr>
          <w:rFonts w:hint="cs"/>
          <w:b/>
          <w:bCs/>
          <w:spacing w:val="0"/>
          <w:sz w:val="20"/>
          <w:rtl/>
        </w:rPr>
        <w:t>وتتمتع ب</w:t>
      </w:r>
      <w:r w:rsidRPr="008B4006">
        <w:rPr>
          <w:b/>
          <w:bCs/>
          <w:spacing w:val="0"/>
          <w:sz w:val="20"/>
          <w:rtl/>
        </w:rPr>
        <w:t xml:space="preserve">الشروط المادية </w:t>
      </w:r>
      <w:r w:rsidRPr="008B4006">
        <w:rPr>
          <w:rFonts w:hint="cs"/>
          <w:b/>
          <w:bCs/>
          <w:spacing w:val="0"/>
          <w:sz w:val="20"/>
          <w:rtl/>
        </w:rPr>
        <w:t xml:space="preserve">الملائمة </w:t>
      </w:r>
      <w:r w:rsidRPr="008B4006">
        <w:rPr>
          <w:b/>
          <w:bCs/>
          <w:spacing w:val="0"/>
          <w:sz w:val="20"/>
          <w:rtl/>
        </w:rPr>
        <w:t>من مثل ال</w:t>
      </w:r>
      <w:r w:rsidRPr="008B4006">
        <w:rPr>
          <w:rFonts w:hint="cs"/>
          <w:b/>
          <w:bCs/>
          <w:spacing w:val="0"/>
          <w:sz w:val="20"/>
          <w:rtl/>
        </w:rPr>
        <w:t>فرشات</w:t>
      </w:r>
      <w:r w:rsidRPr="008B4006">
        <w:rPr>
          <w:b/>
          <w:bCs/>
          <w:spacing w:val="0"/>
          <w:sz w:val="20"/>
          <w:rtl/>
        </w:rPr>
        <w:t xml:space="preserve"> والبطانيات النظيفة والإنارة والتهوية والتدفئة</w:t>
      </w:r>
      <w:r w:rsidRPr="008B4006">
        <w:rPr>
          <w:rFonts w:hint="cs"/>
          <w:b/>
          <w:bCs/>
          <w:spacing w:val="0"/>
          <w:sz w:val="20"/>
          <w:rtl/>
        </w:rPr>
        <w:t> </w:t>
      </w:r>
      <w:r w:rsidRPr="008B4006">
        <w:rPr>
          <w:b/>
          <w:bCs/>
          <w:spacing w:val="0"/>
          <w:sz w:val="20"/>
          <w:rtl/>
        </w:rPr>
        <w:t xml:space="preserve">الكافية؛ </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(ب)</w:t>
      </w:r>
      <w:r w:rsidRPr="008B4006">
        <w:rPr>
          <w:rFonts w:hint="cs"/>
          <w:b/>
          <w:bCs/>
          <w:spacing w:val="0"/>
          <w:sz w:val="20"/>
          <w:rtl/>
        </w:rPr>
        <w:tab/>
      </w:r>
      <w:r w:rsidRPr="008B4006">
        <w:rPr>
          <w:b/>
          <w:bCs/>
          <w:spacing w:val="0"/>
          <w:sz w:val="20"/>
          <w:rtl/>
        </w:rPr>
        <w:t>ينبغي حظر تقييد أيدي الأشخاص إلى أشياء ثابتة قانوناً وممارسة.</w:t>
      </w:r>
    </w:p>
    <w:p w:rsidR="004E0A37" w:rsidRPr="004E0A37" w:rsidRDefault="004E0A37" w:rsidP="00335AC0">
      <w:pPr>
        <w:pStyle w:val="H23GA"/>
        <w:rPr>
          <w:rtl/>
        </w:rPr>
      </w:pPr>
      <w:r w:rsidRPr="004E0A37">
        <w:rPr>
          <w:rtl/>
        </w:rPr>
        <w:tab/>
      </w:r>
      <w:r w:rsidRPr="004E0A37">
        <w:rPr>
          <w:rtl/>
        </w:rPr>
        <w:tab/>
        <w:t xml:space="preserve">العنف </w:t>
      </w:r>
      <w:r w:rsidR="00F96B1E">
        <w:rPr>
          <w:rtl/>
        </w:rPr>
        <w:t>فيما </w:t>
      </w:r>
      <w:r w:rsidRPr="004E0A37">
        <w:rPr>
          <w:rtl/>
        </w:rPr>
        <w:t>بين السجناء والوفيات أثناء الاحتجاز</w:t>
      </w:r>
    </w:p>
    <w:p w:rsidR="004E0A37" w:rsidRPr="00A72130" w:rsidRDefault="0033301A" w:rsidP="004E0A37">
      <w:pPr>
        <w:pStyle w:val="SingleTxtGA"/>
        <w:jc w:val="lowKashida"/>
        <w:rPr>
          <w:spacing w:val="-2"/>
          <w:sz w:val="20"/>
          <w:rtl/>
        </w:rPr>
      </w:pPr>
      <w:r w:rsidRPr="00A72130">
        <w:rPr>
          <w:rFonts w:hint="cs"/>
          <w:spacing w:val="-2"/>
          <w:sz w:val="20"/>
          <w:rtl/>
        </w:rPr>
        <w:t>(</w:t>
      </w:r>
      <w:r w:rsidR="004E0A37" w:rsidRPr="00A72130">
        <w:rPr>
          <w:spacing w:val="-2"/>
          <w:sz w:val="20"/>
          <w:rtl/>
        </w:rPr>
        <w:t>23</w:t>
      </w:r>
      <w:r w:rsidR="003E72B5" w:rsidRPr="00A72130">
        <w:rPr>
          <w:spacing w:val="-2"/>
          <w:sz w:val="20"/>
          <w:rtl/>
        </w:rPr>
        <w:t>)</w:t>
      </w:r>
      <w:r w:rsidR="003E72B5" w:rsidRPr="00A72130">
        <w:rPr>
          <w:spacing w:val="-2"/>
          <w:sz w:val="20"/>
          <w:rtl/>
        </w:rPr>
        <w:tab/>
      </w:r>
      <w:r w:rsidR="004E0A37" w:rsidRPr="00A72130">
        <w:rPr>
          <w:spacing w:val="-2"/>
          <w:sz w:val="20"/>
          <w:rtl/>
        </w:rPr>
        <w:t xml:space="preserve">يساور اللجنة القلق من أن فرط الاكتظاظ وقلة الموظفين يشجعان حدوث العنف </w:t>
      </w:r>
      <w:r w:rsidR="00F96B1E" w:rsidRPr="00A72130">
        <w:rPr>
          <w:spacing w:val="-2"/>
          <w:sz w:val="20"/>
          <w:rtl/>
        </w:rPr>
        <w:t>فيما </w:t>
      </w:r>
      <w:r w:rsidR="004E0A37" w:rsidRPr="00A72130">
        <w:rPr>
          <w:spacing w:val="-2"/>
          <w:sz w:val="20"/>
          <w:rtl/>
        </w:rPr>
        <w:t xml:space="preserve">بين السجناء، بما في ذلك العنف الجنسي، داخل مرافق الاحتجاز، ولا سيما خلال الليل؛ ومن عدم فتح تحقيقات إلا في 22 حالة من أصل 161 3 حالة عنف خلال الفترة الممتدة من كانون الثاني/يناير 2007 إلى تموز/يوليه 2011. ويساور اللجنة القلق أيضاً من التقارير التي تتحدث عن زيادة العنف </w:t>
      </w:r>
      <w:r w:rsidR="00F96B1E" w:rsidRPr="00A72130">
        <w:rPr>
          <w:spacing w:val="-2"/>
          <w:sz w:val="20"/>
          <w:rtl/>
        </w:rPr>
        <w:t>فيما </w:t>
      </w:r>
      <w:r w:rsidR="004E0A37" w:rsidRPr="00A72130">
        <w:rPr>
          <w:spacing w:val="-2"/>
          <w:sz w:val="20"/>
          <w:rtl/>
        </w:rPr>
        <w:t xml:space="preserve">بين السجناء منذ عام 2008 ولا سيما </w:t>
      </w:r>
      <w:r w:rsidR="004E0A37" w:rsidRPr="00A72130">
        <w:rPr>
          <w:rFonts w:hint="cs"/>
          <w:spacing w:val="-2"/>
          <w:sz w:val="20"/>
          <w:rtl/>
        </w:rPr>
        <w:t xml:space="preserve">في </w:t>
      </w:r>
      <w:r w:rsidR="004E0A37" w:rsidRPr="00A72130">
        <w:rPr>
          <w:spacing w:val="-2"/>
          <w:sz w:val="20"/>
          <w:rtl/>
        </w:rPr>
        <w:t>عام</w:t>
      </w:r>
      <w:r w:rsidR="004E0A37" w:rsidRPr="00A72130">
        <w:rPr>
          <w:rFonts w:hint="cs"/>
          <w:spacing w:val="-2"/>
          <w:sz w:val="20"/>
          <w:rtl/>
        </w:rPr>
        <w:t> </w:t>
      </w:r>
      <w:r w:rsidR="004E0A37" w:rsidRPr="00A72130">
        <w:rPr>
          <w:spacing w:val="-2"/>
          <w:sz w:val="20"/>
          <w:rtl/>
        </w:rPr>
        <w:t xml:space="preserve">2011. ويساورها القلق من </w:t>
      </w:r>
      <w:r w:rsidR="004E0A37" w:rsidRPr="00A72130">
        <w:rPr>
          <w:rFonts w:hint="cs"/>
          <w:spacing w:val="-2"/>
          <w:sz w:val="20"/>
          <w:rtl/>
        </w:rPr>
        <w:t>تواتر أعمال</w:t>
      </w:r>
      <w:r w:rsidR="004E0A37" w:rsidRPr="00A72130">
        <w:rPr>
          <w:spacing w:val="-2"/>
          <w:sz w:val="20"/>
          <w:rtl/>
        </w:rPr>
        <w:t xml:space="preserve"> العنف الجنسي</w:t>
      </w:r>
      <w:r w:rsidR="004E0A37" w:rsidRPr="00A72130">
        <w:rPr>
          <w:rFonts w:hint="cs"/>
          <w:spacing w:val="-2"/>
          <w:sz w:val="20"/>
          <w:rtl/>
        </w:rPr>
        <w:t xml:space="preserve">، </w:t>
      </w:r>
      <w:r w:rsidR="004E0A37" w:rsidRPr="00A72130">
        <w:rPr>
          <w:spacing w:val="-2"/>
          <w:sz w:val="20"/>
          <w:rtl/>
        </w:rPr>
        <w:t xml:space="preserve">بما في ذلك </w:t>
      </w:r>
      <w:r w:rsidR="004E0A37" w:rsidRPr="00A72130">
        <w:rPr>
          <w:rFonts w:hint="cs"/>
          <w:spacing w:val="-2"/>
          <w:sz w:val="20"/>
          <w:rtl/>
        </w:rPr>
        <w:t xml:space="preserve">حالات </w:t>
      </w:r>
      <w:r w:rsidR="004E0A37" w:rsidRPr="00A72130">
        <w:rPr>
          <w:spacing w:val="-2"/>
          <w:sz w:val="20"/>
          <w:rtl/>
        </w:rPr>
        <w:t>الاغتصاب ال</w:t>
      </w:r>
      <w:r w:rsidR="004E0A37" w:rsidRPr="00A72130">
        <w:rPr>
          <w:rFonts w:hint="cs"/>
          <w:spacing w:val="-2"/>
          <w:sz w:val="20"/>
          <w:rtl/>
        </w:rPr>
        <w:t>ت</w:t>
      </w:r>
      <w:r w:rsidR="004E0A37" w:rsidRPr="00A72130">
        <w:rPr>
          <w:spacing w:val="-2"/>
          <w:sz w:val="20"/>
          <w:rtl/>
        </w:rPr>
        <w:t>ي نادرا</w:t>
      </w:r>
      <w:r w:rsidR="004E0A37" w:rsidRPr="00A72130">
        <w:rPr>
          <w:rFonts w:hint="cs"/>
          <w:spacing w:val="-2"/>
          <w:sz w:val="20"/>
          <w:rtl/>
        </w:rPr>
        <w:t>ً</w:t>
      </w:r>
      <w:r w:rsidR="004E0A37" w:rsidRPr="00A72130">
        <w:rPr>
          <w:spacing w:val="-2"/>
          <w:sz w:val="20"/>
          <w:rtl/>
        </w:rPr>
        <w:t xml:space="preserve"> ما</w:t>
      </w:r>
      <w:r w:rsidR="004E0A37" w:rsidRPr="00A72130">
        <w:rPr>
          <w:rFonts w:hint="cs"/>
          <w:spacing w:val="-2"/>
          <w:sz w:val="20"/>
          <w:rtl/>
        </w:rPr>
        <w:t> </w:t>
      </w:r>
      <w:r w:rsidR="004E0A37" w:rsidRPr="00A72130">
        <w:rPr>
          <w:spacing w:val="-2"/>
          <w:sz w:val="20"/>
          <w:rtl/>
        </w:rPr>
        <w:t>يبلغ عنه</w:t>
      </w:r>
      <w:r w:rsidR="004E0A37" w:rsidRPr="00A72130">
        <w:rPr>
          <w:rFonts w:hint="cs"/>
          <w:spacing w:val="-2"/>
          <w:sz w:val="20"/>
          <w:rtl/>
        </w:rPr>
        <w:t>ا</w:t>
      </w:r>
      <w:r w:rsidR="004E0A37" w:rsidRPr="00A72130">
        <w:rPr>
          <w:spacing w:val="-2"/>
          <w:sz w:val="20"/>
          <w:rtl/>
        </w:rPr>
        <w:t xml:space="preserve">، والتحرش والضرب، </w:t>
      </w:r>
      <w:r w:rsidR="004E0A37" w:rsidRPr="00A72130">
        <w:rPr>
          <w:rFonts w:hint="cs"/>
          <w:spacing w:val="-2"/>
          <w:sz w:val="20"/>
          <w:rtl/>
        </w:rPr>
        <w:t>و</w:t>
      </w:r>
      <w:r w:rsidR="004E0A37" w:rsidRPr="00A72130">
        <w:rPr>
          <w:spacing w:val="-2"/>
          <w:sz w:val="20"/>
          <w:rtl/>
        </w:rPr>
        <w:t>ال</w:t>
      </w:r>
      <w:r w:rsidR="004E0A37" w:rsidRPr="00A72130">
        <w:rPr>
          <w:rFonts w:hint="cs"/>
          <w:spacing w:val="-2"/>
          <w:sz w:val="20"/>
          <w:rtl/>
        </w:rPr>
        <w:t>ت</w:t>
      </w:r>
      <w:r w:rsidR="004E0A37" w:rsidRPr="00A72130">
        <w:rPr>
          <w:spacing w:val="-2"/>
          <w:sz w:val="20"/>
          <w:rtl/>
        </w:rPr>
        <w:t>ي أد</w:t>
      </w:r>
      <w:r w:rsidR="004E0A37" w:rsidRPr="00A72130">
        <w:rPr>
          <w:rFonts w:hint="cs"/>
          <w:spacing w:val="-2"/>
          <w:sz w:val="20"/>
          <w:rtl/>
        </w:rPr>
        <w:t>ت</w:t>
      </w:r>
      <w:r w:rsidR="004E0A37" w:rsidRPr="00A72130">
        <w:rPr>
          <w:spacing w:val="-2"/>
          <w:sz w:val="20"/>
          <w:rtl/>
        </w:rPr>
        <w:t xml:space="preserve"> أحياناً إلى الانتحار، وكذلك من العدد الكبير للوفيات رهن الاحتجاز التي تتراوح بين 40 و50 حالة في السنة (المواد 2 و11 و16).</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بما يلي:</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(أ)</w:t>
      </w:r>
      <w:r w:rsidRPr="008B4006">
        <w:rPr>
          <w:rFonts w:hint="cs"/>
          <w:b/>
          <w:bCs/>
          <w:spacing w:val="0"/>
          <w:sz w:val="20"/>
          <w:rtl/>
        </w:rPr>
        <w:tab/>
      </w:r>
      <w:r w:rsidRPr="008B4006">
        <w:rPr>
          <w:b/>
          <w:bCs/>
          <w:spacing w:val="0"/>
          <w:sz w:val="20"/>
          <w:rtl/>
        </w:rPr>
        <w:t>تعز</w:t>
      </w:r>
      <w:r w:rsidRPr="008B4006">
        <w:rPr>
          <w:rFonts w:hint="cs"/>
          <w:b/>
          <w:bCs/>
          <w:spacing w:val="0"/>
          <w:sz w:val="20"/>
          <w:rtl/>
        </w:rPr>
        <w:t>ي</w:t>
      </w:r>
      <w:r w:rsidRPr="008B4006">
        <w:rPr>
          <w:b/>
          <w:bCs/>
          <w:spacing w:val="0"/>
          <w:sz w:val="20"/>
          <w:rtl/>
        </w:rPr>
        <w:t xml:space="preserve">ز جهودها لمنع العنف </w:t>
      </w:r>
      <w:r w:rsidR="00F96B1E" w:rsidRPr="008B4006">
        <w:rPr>
          <w:b/>
          <w:bCs/>
          <w:spacing w:val="0"/>
          <w:sz w:val="20"/>
          <w:rtl/>
        </w:rPr>
        <w:t>فيما </w:t>
      </w:r>
      <w:r w:rsidRPr="008B4006">
        <w:rPr>
          <w:b/>
          <w:bCs/>
          <w:spacing w:val="0"/>
          <w:sz w:val="20"/>
          <w:rtl/>
        </w:rPr>
        <w:t>بين السجناء عن طريق التصدي للعوامل التي تساهم فيه من مثل فرط الاكتظاظ ونقص الموظفين وقلة الحيز ورداءة الأوضاع المادية وعدم وجود أنشطة مفيدة وتوافر المخدرات وتصارع العصابات؛</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(ب)</w:t>
      </w:r>
      <w:r w:rsidRPr="008B4006">
        <w:rPr>
          <w:rFonts w:hint="cs"/>
          <w:b/>
          <w:bCs/>
          <w:spacing w:val="0"/>
          <w:sz w:val="20"/>
          <w:rtl/>
        </w:rPr>
        <w:tab/>
      </w:r>
      <w:r w:rsidRPr="008B4006">
        <w:rPr>
          <w:b/>
          <w:bCs/>
          <w:spacing w:val="0"/>
          <w:sz w:val="20"/>
          <w:rtl/>
        </w:rPr>
        <w:t xml:space="preserve">إيلاء اهتمام لحماية السجناء من العنف </w:t>
      </w:r>
      <w:r w:rsidR="00F96B1E" w:rsidRPr="008B4006">
        <w:rPr>
          <w:b/>
          <w:bCs/>
          <w:spacing w:val="0"/>
          <w:sz w:val="20"/>
          <w:rtl/>
        </w:rPr>
        <w:t>فيما </w:t>
      </w:r>
      <w:r w:rsidRPr="008B4006">
        <w:rPr>
          <w:b/>
          <w:bCs/>
          <w:spacing w:val="0"/>
          <w:sz w:val="20"/>
          <w:rtl/>
        </w:rPr>
        <w:t>بين السجناء، ولا سيما من ينتمون منهم إلى المثليات والمثليين ومشتهي الجنسين ومغايري الهوية الجنسية، وللصورة النفسية والاجتماعية للسجناء وللذين يستخدمون العنف، والتحقيق في حوادث العنف والمعاقبة عليها؛</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(ج)</w:t>
      </w:r>
      <w:r w:rsidRPr="008B4006">
        <w:rPr>
          <w:rFonts w:hint="cs"/>
          <w:b/>
          <w:bCs/>
          <w:spacing w:val="0"/>
          <w:sz w:val="20"/>
          <w:rtl/>
        </w:rPr>
        <w:tab/>
      </w:r>
      <w:r w:rsidRPr="008B4006">
        <w:rPr>
          <w:b/>
          <w:bCs/>
          <w:spacing w:val="0"/>
          <w:sz w:val="20"/>
          <w:rtl/>
        </w:rPr>
        <w:t xml:space="preserve">زيادة عدد الموظفين، بمن فيهم من لهم تدريب في </w:t>
      </w:r>
      <w:r w:rsidRPr="008B4006">
        <w:rPr>
          <w:rFonts w:hint="cs"/>
          <w:b/>
          <w:bCs/>
          <w:spacing w:val="0"/>
          <w:sz w:val="20"/>
          <w:rtl/>
        </w:rPr>
        <w:t>إدارة</w:t>
      </w:r>
      <w:r w:rsidRPr="008B4006">
        <w:rPr>
          <w:b/>
          <w:bCs/>
          <w:spacing w:val="0"/>
          <w:sz w:val="20"/>
          <w:rtl/>
        </w:rPr>
        <w:t xml:space="preserve"> العنف </w:t>
      </w:r>
      <w:r w:rsidR="00F96B1E" w:rsidRPr="008B4006">
        <w:rPr>
          <w:b/>
          <w:bCs/>
          <w:spacing w:val="0"/>
          <w:sz w:val="20"/>
          <w:rtl/>
        </w:rPr>
        <w:t>فيما </w:t>
      </w:r>
      <w:r w:rsidRPr="008B4006">
        <w:rPr>
          <w:b/>
          <w:bCs/>
          <w:spacing w:val="0"/>
          <w:sz w:val="20"/>
          <w:rtl/>
        </w:rPr>
        <w:t>بين السجناء؛</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(د)</w:t>
      </w:r>
      <w:r w:rsidRPr="008B4006">
        <w:rPr>
          <w:rFonts w:hint="cs"/>
          <w:b/>
          <w:bCs/>
          <w:spacing w:val="0"/>
          <w:sz w:val="20"/>
          <w:rtl/>
        </w:rPr>
        <w:tab/>
      </w:r>
      <w:r w:rsidRPr="008B4006">
        <w:rPr>
          <w:b/>
          <w:bCs/>
          <w:spacing w:val="0"/>
          <w:sz w:val="20"/>
          <w:rtl/>
        </w:rPr>
        <w:t>زيادة جودة وتواتر المراقبة والرصد، ولا سيما ليلاً، بما في ذلك عن طريق إدخال معدات إضافية للمراقبة بالفيديو؛</w:t>
      </w:r>
    </w:p>
    <w:p w:rsidR="004E0A37" w:rsidRPr="008B4006" w:rsidRDefault="004E0A37" w:rsidP="004E0A37">
      <w:pPr>
        <w:pStyle w:val="SingleTxtGA"/>
        <w:jc w:val="lowKashida"/>
        <w:rPr>
          <w:b/>
          <w:bCs/>
          <w:spacing w:val="0"/>
          <w:sz w:val="20"/>
          <w:rtl/>
        </w:rPr>
      </w:pPr>
      <w:r w:rsidRPr="008B4006">
        <w:rPr>
          <w:rFonts w:hint="cs"/>
          <w:b/>
          <w:bCs/>
          <w:spacing w:val="0"/>
          <w:sz w:val="20"/>
          <w:rtl/>
        </w:rPr>
        <w:tab/>
        <w:t>(ﻫ)</w:t>
      </w:r>
      <w:r w:rsidRPr="008B4006">
        <w:rPr>
          <w:rFonts w:hint="cs"/>
          <w:b/>
          <w:bCs/>
          <w:spacing w:val="0"/>
          <w:sz w:val="20"/>
          <w:rtl/>
        </w:rPr>
        <w:tab/>
      </w:r>
      <w:r w:rsidRPr="008B4006">
        <w:rPr>
          <w:b/>
          <w:bCs/>
          <w:spacing w:val="0"/>
          <w:sz w:val="20"/>
          <w:rtl/>
        </w:rPr>
        <w:t xml:space="preserve">التحقيق دون تحيز وباستفاضة وبسرعة في جميع حوادث الوفاة </w:t>
      </w:r>
      <w:r w:rsidRPr="008B4006">
        <w:rPr>
          <w:rFonts w:hint="cs"/>
          <w:b/>
          <w:bCs/>
          <w:spacing w:val="0"/>
          <w:sz w:val="20"/>
          <w:rtl/>
        </w:rPr>
        <w:t>أثناء</w:t>
      </w:r>
      <w:r w:rsidRPr="008B4006">
        <w:rPr>
          <w:b/>
          <w:bCs/>
          <w:spacing w:val="0"/>
          <w:sz w:val="20"/>
          <w:rtl/>
        </w:rPr>
        <w:t xml:space="preserve"> الاحتجاز، بما فيها الانتحار، وإعلان نتائج التحقيقات ومقاضاة المسؤولين عن ارتكاب الانتهاكات المفضية إلى الوفيات.</w:t>
      </w:r>
    </w:p>
    <w:p w:rsidR="004E0A37" w:rsidRPr="004E0A37" w:rsidRDefault="004E0A37" w:rsidP="00335AC0">
      <w:pPr>
        <w:pStyle w:val="H23GA"/>
        <w:rPr>
          <w:rtl/>
        </w:rPr>
      </w:pPr>
      <w:r w:rsidRPr="004E0A37">
        <w:rPr>
          <w:rtl/>
        </w:rPr>
        <w:tab/>
      </w:r>
      <w:r w:rsidRPr="004E0A37">
        <w:rPr>
          <w:rtl/>
        </w:rPr>
        <w:tab/>
        <w:t>الحبس الانفرادي والسجناء الذين يقضون عقوبات السجن مدى الحياة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24</w:t>
      </w:r>
      <w:r w:rsidR="003E72B5">
        <w:rPr>
          <w:spacing w:val="0"/>
          <w:sz w:val="20"/>
          <w:rtl/>
        </w:rPr>
        <w:t>)</w:t>
      </w:r>
      <w:r w:rsidR="003E72B5">
        <w:rPr>
          <w:spacing w:val="0"/>
          <w:sz w:val="20"/>
          <w:rtl/>
        </w:rPr>
        <w:tab/>
      </w:r>
      <w:r w:rsidR="004E0A37" w:rsidRPr="004E0A37">
        <w:rPr>
          <w:spacing w:val="0"/>
          <w:sz w:val="20"/>
          <w:rtl/>
        </w:rPr>
        <w:t>يساور اللجنة القلق بشأن استمرار وضع السجناء رهن الحبس الانفرادي لم</w:t>
      </w:r>
      <w:r w:rsidR="004E0A37" w:rsidRPr="004E0A37">
        <w:rPr>
          <w:rFonts w:hint="cs"/>
          <w:spacing w:val="0"/>
          <w:sz w:val="20"/>
          <w:rtl/>
        </w:rPr>
        <w:t>دة تص</w:t>
      </w:r>
      <w:r w:rsidR="004E0A37" w:rsidRPr="004E0A37">
        <w:rPr>
          <w:spacing w:val="0"/>
          <w:sz w:val="20"/>
          <w:rtl/>
        </w:rPr>
        <w:t>ل إلى 14 يوماً بسبب مخالفات الانضباط ولم</w:t>
      </w:r>
      <w:r w:rsidR="004E0A37" w:rsidRPr="004E0A37">
        <w:rPr>
          <w:rFonts w:hint="cs"/>
          <w:spacing w:val="0"/>
          <w:sz w:val="20"/>
          <w:rtl/>
        </w:rPr>
        <w:t>دة</w:t>
      </w:r>
      <w:r w:rsidR="004E0A37" w:rsidRPr="004E0A37">
        <w:rPr>
          <w:spacing w:val="0"/>
          <w:sz w:val="20"/>
          <w:rtl/>
        </w:rPr>
        <w:t xml:space="preserve"> </w:t>
      </w:r>
      <w:r w:rsidR="004E0A37" w:rsidRPr="004E0A37">
        <w:rPr>
          <w:rFonts w:hint="cs"/>
          <w:spacing w:val="0"/>
          <w:sz w:val="20"/>
          <w:rtl/>
        </w:rPr>
        <w:t>ت</w:t>
      </w:r>
      <w:r w:rsidR="004E0A37" w:rsidRPr="004E0A37">
        <w:rPr>
          <w:spacing w:val="0"/>
          <w:sz w:val="20"/>
          <w:rtl/>
        </w:rPr>
        <w:t>صل إلى شهرين لمنع</w:t>
      </w:r>
      <w:r w:rsidR="004E0A37" w:rsidRPr="004E0A37">
        <w:rPr>
          <w:rFonts w:hint="cs"/>
          <w:spacing w:val="0"/>
          <w:sz w:val="20"/>
          <w:rtl/>
        </w:rPr>
        <w:t>هم من</w:t>
      </w:r>
      <w:r w:rsidR="004E0A37" w:rsidRPr="004E0A37">
        <w:rPr>
          <w:spacing w:val="0"/>
          <w:sz w:val="20"/>
          <w:rtl/>
        </w:rPr>
        <w:t xml:space="preserve"> الهرب، </w:t>
      </w:r>
      <w:r w:rsidR="004E0A37" w:rsidRPr="004E0A37">
        <w:rPr>
          <w:rFonts w:hint="cs"/>
          <w:spacing w:val="0"/>
          <w:sz w:val="20"/>
          <w:rtl/>
        </w:rPr>
        <w:t>أ</w:t>
      </w:r>
      <w:r w:rsidR="004E0A37" w:rsidRPr="004E0A37">
        <w:rPr>
          <w:spacing w:val="0"/>
          <w:sz w:val="20"/>
          <w:rtl/>
        </w:rPr>
        <w:t>و</w:t>
      </w:r>
      <w:r w:rsidR="004E0A37" w:rsidRPr="004E0A37">
        <w:rPr>
          <w:rFonts w:hint="cs"/>
          <w:spacing w:val="0"/>
          <w:sz w:val="20"/>
          <w:rtl/>
        </w:rPr>
        <w:t xml:space="preserve"> </w:t>
      </w:r>
      <w:r w:rsidR="004E0A37" w:rsidRPr="004E0A37">
        <w:rPr>
          <w:spacing w:val="0"/>
          <w:sz w:val="20"/>
          <w:rtl/>
        </w:rPr>
        <w:t xml:space="preserve">انتهاك حق </w:t>
      </w:r>
      <w:r w:rsidR="004E0A37" w:rsidRPr="004E0A37">
        <w:rPr>
          <w:rFonts w:hint="cs"/>
          <w:spacing w:val="0"/>
          <w:sz w:val="20"/>
          <w:rtl/>
        </w:rPr>
        <w:t xml:space="preserve">أشخاص آخرين </w:t>
      </w:r>
      <w:r w:rsidR="004E0A37" w:rsidRPr="004E0A37">
        <w:rPr>
          <w:spacing w:val="0"/>
          <w:sz w:val="20"/>
          <w:rtl/>
        </w:rPr>
        <w:t xml:space="preserve">في الحياة أو </w:t>
      </w:r>
      <w:r w:rsidR="004E0A37" w:rsidRPr="004E0A37">
        <w:rPr>
          <w:rFonts w:hint="cs"/>
          <w:spacing w:val="0"/>
          <w:sz w:val="20"/>
          <w:rtl/>
        </w:rPr>
        <w:t>التسبب في وفاتهم</w:t>
      </w:r>
      <w:r w:rsidR="004E0A37" w:rsidRPr="004E0A37">
        <w:rPr>
          <w:spacing w:val="0"/>
          <w:sz w:val="20"/>
          <w:rtl/>
        </w:rPr>
        <w:t xml:space="preserve">، </w:t>
      </w:r>
      <w:r w:rsidR="004E0A37" w:rsidRPr="004E0A37">
        <w:rPr>
          <w:rFonts w:hint="cs"/>
          <w:spacing w:val="0"/>
          <w:sz w:val="20"/>
          <w:rtl/>
        </w:rPr>
        <w:t>أ</w:t>
      </w:r>
      <w:r w:rsidR="004E0A37" w:rsidRPr="004E0A37">
        <w:rPr>
          <w:spacing w:val="0"/>
          <w:sz w:val="20"/>
          <w:rtl/>
        </w:rPr>
        <w:t>و</w:t>
      </w:r>
      <w:r w:rsidR="004E0A37" w:rsidRPr="004E0A37">
        <w:rPr>
          <w:rFonts w:hint="cs"/>
          <w:spacing w:val="0"/>
          <w:sz w:val="20"/>
          <w:rtl/>
        </w:rPr>
        <w:t xml:space="preserve"> ارتكاب </w:t>
      </w:r>
      <w:r w:rsidR="004E0A37" w:rsidRPr="004E0A37">
        <w:rPr>
          <w:spacing w:val="0"/>
          <w:sz w:val="20"/>
          <w:rtl/>
        </w:rPr>
        <w:t>جرائم أخرى. ويساور اللجنة القلق أيضاً من فرض التشريعات القائمة نظاماً صارماً للعزل خلال فترة السنوات الخمس الأولى ينص عليه الحكم على السجناء الذي يقض</w:t>
      </w:r>
      <w:r w:rsidR="004E0A37" w:rsidRPr="004E0A37">
        <w:rPr>
          <w:rFonts w:hint="cs"/>
          <w:spacing w:val="0"/>
          <w:sz w:val="20"/>
          <w:rtl/>
        </w:rPr>
        <w:t>ي</w:t>
      </w:r>
      <w:r w:rsidR="004E0A37" w:rsidRPr="004E0A37">
        <w:rPr>
          <w:spacing w:val="0"/>
          <w:sz w:val="20"/>
          <w:rtl/>
        </w:rPr>
        <w:t xml:space="preserve"> عقوبة السجن مدى الحياة، ومن تقييد أيدي هؤلاء السجناء بشكل روتيني عندما يكونون خارج زنازينهم. ويساور اللجنة القلق على نحو خاص من وضع بعض طالبي اللجوء بدورهم رهن الحبس الانفرادي لفترات طويلة (المواد 2 و11 و16).</w:t>
      </w:r>
    </w:p>
    <w:p w:rsidR="004E0A37" w:rsidRPr="008B4006" w:rsidRDefault="004E0A37" w:rsidP="004E0A37">
      <w:pPr>
        <w:pStyle w:val="SingleTxtGA"/>
        <w:jc w:val="lowKashida"/>
        <w:rPr>
          <w:b/>
          <w:bCs/>
          <w:spacing w:val="0"/>
          <w:sz w:val="20"/>
          <w:rtl/>
        </w:rPr>
      </w:pPr>
      <w:r w:rsidRPr="008B4006">
        <w:rPr>
          <w:rFonts w:hint="cs"/>
          <w:b/>
          <w:bCs/>
          <w:spacing w:val="0"/>
          <w:sz w:val="20"/>
          <w:rtl/>
        </w:rPr>
        <w:tab/>
      </w:r>
      <w:r w:rsidRPr="008B4006">
        <w:rPr>
          <w:b/>
          <w:bCs/>
          <w:spacing w:val="0"/>
          <w:sz w:val="20"/>
          <w:rtl/>
        </w:rPr>
        <w:t>توصي اللجنة الدولة الطرف بالنظر في توصيات المقرر الخاص المعني بمسألة التعذيب وغيره من ضروب المعاملة أو العقوبة القاسية أو اللاإنسانية أو المهينة (</w:t>
      </w:r>
      <w:r w:rsidRPr="008B4006">
        <w:rPr>
          <w:b/>
          <w:bCs/>
          <w:spacing w:val="0"/>
          <w:sz w:val="20"/>
        </w:rPr>
        <w:t>A/66/268</w:t>
      </w:r>
      <w:r w:rsidRPr="008B4006">
        <w:rPr>
          <w:b/>
          <w:bCs/>
          <w:spacing w:val="0"/>
          <w:sz w:val="20"/>
          <w:rtl/>
        </w:rPr>
        <w:t>) التي يحث فيها الدول على حظر فرض الحبس الانفرادي كعقوبة - سواء كجزء من الحكم القضائي أو كتدبير تأديبي</w:t>
      </w:r>
      <w:r w:rsidRPr="008B4006">
        <w:rPr>
          <w:rFonts w:hint="cs"/>
          <w:b/>
          <w:bCs/>
          <w:spacing w:val="0"/>
          <w:sz w:val="20"/>
          <w:rtl/>
        </w:rPr>
        <w:t xml:space="preserve"> </w:t>
      </w:r>
      <w:r w:rsidRPr="008B4006">
        <w:rPr>
          <w:b/>
          <w:bCs/>
          <w:spacing w:val="0"/>
          <w:sz w:val="20"/>
          <w:rtl/>
        </w:rPr>
        <w:t xml:space="preserve">- وتوصي الدول بوضع وتنفيذ عقوبات تأديبية </w:t>
      </w:r>
      <w:r w:rsidRPr="008B4006">
        <w:rPr>
          <w:rFonts w:hint="cs"/>
          <w:b/>
          <w:bCs/>
          <w:spacing w:val="0"/>
          <w:sz w:val="20"/>
          <w:rtl/>
        </w:rPr>
        <w:t>ب</w:t>
      </w:r>
      <w:r w:rsidRPr="008B4006">
        <w:rPr>
          <w:b/>
          <w:bCs/>
          <w:spacing w:val="0"/>
          <w:sz w:val="20"/>
          <w:rtl/>
        </w:rPr>
        <w:t>دي</w:t>
      </w:r>
      <w:r w:rsidRPr="008B4006">
        <w:rPr>
          <w:rFonts w:hint="cs"/>
          <w:b/>
          <w:bCs/>
          <w:spacing w:val="0"/>
          <w:sz w:val="20"/>
          <w:rtl/>
        </w:rPr>
        <w:t>ل</w:t>
      </w:r>
      <w:r w:rsidRPr="008B4006">
        <w:rPr>
          <w:b/>
          <w:bCs/>
          <w:spacing w:val="0"/>
          <w:sz w:val="20"/>
          <w:rtl/>
        </w:rPr>
        <w:t>ة لتفادي اللجوء إلى الحبس الانفرادي (الفقرة 84). وتوصي اللجنة بتقليص فترات الحبس الانفرادي والقيود المتصلة بها. وينبغي وضع حد لممارسة إيداع طالبي اللجوء رهن الحبس الانفرادي دون إبطاء. وتوصي اللجنة الدولة الطرف بأن تنظر في تعديل التشريعات المتعلقة بالنظام الصارم للعزل خلال السنوات الخمس الأولى وبتقييد أيدي السجناء الذين يقضون عقوبات السجن مدى الحياة عندما يكونون خارج زنازينهم. وينبغي تمكين السجناء مدى الحياة من الا</w:t>
      </w:r>
      <w:r w:rsidRPr="008B4006">
        <w:rPr>
          <w:rFonts w:hint="cs"/>
          <w:b/>
          <w:bCs/>
          <w:spacing w:val="0"/>
          <w:sz w:val="20"/>
          <w:rtl/>
        </w:rPr>
        <w:t>ختلاط</w:t>
      </w:r>
      <w:r w:rsidRPr="008B4006">
        <w:rPr>
          <w:b/>
          <w:bCs/>
          <w:spacing w:val="0"/>
          <w:sz w:val="20"/>
          <w:rtl/>
        </w:rPr>
        <w:t xml:space="preserve"> </w:t>
      </w:r>
      <w:r w:rsidRPr="008B4006">
        <w:rPr>
          <w:rFonts w:hint="cs"/>
          <w:b/>
          <w:bCs/>
          <w:spacing w:val="0"/>
          <w:sz w:val="20"/>
          <w:rtl/>
        </w:rPr>
        <w:t xml:space="preserve">ببقية </w:t>
      </w:r>
      <w:r w:rsidRPr="008B4006">
        <w:rPr>
          <w:b/>
          <w:bCs/>
          <w:spacing w:val="0"/>
          <w:sz w:val="20"/>
          <w:rtl/>
        </w:rPr>
        <w:t>نزلاء السجون.</w:t>
      </w:r>
    </w:p>
    <w:p w:rsidR="004E0A37" w:rsidRPr="004E0A37" w:rsidRDefault="00A72130" w:rsidP="00335AC0">
      <w:pPr>
        <w:pStyle w:val="H23GA"/>
        <w:rPr>
          <w:rtl/>
        </w:rPr>
      </w:pPr>
      <w:r>
        <w:rPr>
          <w:rtl/>
        </w:rPr>
        <w:br w:type="page"/>
      </w:r>
      <w:r w:rsidR="004E0A37" w:rsidRPr="004E0A37">
        <w:rPr>
          <w:rtl/>
        </w:rPr>
        <w:tab/>
      </w:r>
      <w:r w:rsidR="004E0A37" w:rsidRPr="004E0A37">
        <w:rPr>
          <w:rtl/>
        </w:rPr>
        <w:tab/>
        <w:t>العنف المنزلي</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25</w:t>
      </w:r>
      <w:r w:rsidR="003E72B5">
        <w:rPr>
          <w:spacing w:val="0"/>
          <w:sz w:val="20"/>
          <w:rtl/>
        </w:rPr>
        <w:t>)</w:t>
      </w:r>
      <w:r w:rsidR="003E72B5">
        <w:rPr>
          <w:spacing w:val="0"/>
          <w:sz w:val="20"/>
          <w:rtl/>
        </w:rPr>
        <w:tab/>
      </w:r>
      <w:r w:rsidR="004E0A37" w:rsidRPr="004E0A37">
        <w:rPr>
          <w:spacing w:val="0"/>
          <w:sz w:val="20"/>
          <w:rtl/>
        </w:rPr>
        <w:t>يساور اللجنة القلق من التفسير الضيق لمفهوم العنف المنزلي ومن كون هذه الظاهرة غير مدرجة كج</w:t>
      </w:r>
      <w:r w:rsidR="004E0A37" w:rsidRPr="004E0A37">
        <w:rPr>
          <w:rFonts w:hint="cs"/>
          <w:spacing w:val="0"/>
          <w:sz w:val="20"/>
          <w:rtl/>
        </w:rPr>
        <w:t>ناي</w:t>
      </w:r>
      <w:r w:rsidR="004E0A37" w:rsidRPr="004E0A37">
        <w:rPr>
          <w:spacing w:val="0"/>
          <w:sz w:val="20"/>
          <w:rtl/>
        </w:rPr>
        <w:t xml:space="preserve">ة محددة في قانون العقوبات. ويساورها القلق أيضاً من </w:t>
      </w:r>
      <w:r w:rsidR="004E0A37" w:rsidRPr="004E0A37">
        <w:rPr>
          <w:rFonts w:hint="cs"/>
          <w:spacing w:val="0"/>
          <w:sz w:val="20"/>
          <w:rtl/>
        </w:rPr>
        <w:t>أن شكاوى</w:t>
      </w:r>
      <w:r w:rsidR="004E0A37" w:rsidRPr="004E0A37">
        <w:rPr>
          <w:spacing w:val="0"/>
          <w:sz w:val="20"/>
          <w:rtl/>
        </w:rPr>
        <w:t xml:space="preserve"> العنف المنزلي </w:t>
      </w:r>
      <w:r w:rsidR="004E0A37" w:rsidRPr="004E0A37">
        <w:rPr>
          <w:rFonts w:hint="cs"/>
          <w:spacing w:val="0"/>
          <w:sz w:val="20"/>
          <w:rtl/>
        </w:rPr>
        <w:t xml:space="preserve">يجب أن تقدم من الضحايا أنفسهم </w:t>
      </w:r>
      <w:r w:rsidR="004E0A37" w:rsidRPr="004E0A37">
        <w:rPr>
          <w:spacing w:val="0"/>
          <w:sz w:val="20"/>
          <w:rtl/>
        </w:rPr>
        <w:t>في حالات الإيذاء البدني الطفيف أو المتوسط</w:t>
      </w:r>
      <w:r w:rsidR="004E0A37" w:rsidRPr="004E0A37">
        <w:rPr>
          <w:rFonts w:hint="cs"/>
          <w:spacing w:val="0"/>
          <w:sz w:val="20"/>
          <w:rtl/>
        </w:rPr>
        <w:t>،</w:t>
      </w:r>
      <w:r w:rsidR="004E0A37" w:rsidRPr="004E0A37">
        <w:rPr>
          <w:spacing w:val="0"/>
          <w:sz w:val="20"/>
          <w:rtl/>
        </w:rPr>
        <w:t xml:space="preserve"> ومن العدد القليل لقضايا العنف المنزلي التي تقدم إلى القضاء وتصدر فيها أحكام، ولا سيما </w:t>
      </w:r>
      <w:r w:rsidR="00F96B1E">
        <w:rPr>
          <w:spacing w:val="0"/>
          <w:sz w:val="20"/>
          <w:rtl/>
        </w:rPr>
        <w:t>فيما </w:t>
      </w:r>
      <w:r w:rsidR="004E0A37" w:rsidRPr="004E0A37">
        <w:rPr>
          <w:spacing w:val="0"/>
          <w:sz w:val="20"/>
          <w:rtl/>
        </w:rPr>
        <w:t>يتعلق بالنساء والفتيات؛ ومن اقتصار القضايا عموماً على الحالات التي ينتهك فيها الفاعلون أوامر الحماية التي تصدر عادة لفترة شهر واحد؛ ومن عدم وجود آليات فعالة للحماية من العنف المنزلي، بما في ذلك الاغتصاب الزوجي (المواد 2 و12 و13 و14 و16).</w:t>
      </w:r>
    </w:p>
    <w:p w:rsidR="004E0A37" w:rsidRPr="008B4006" w:rsidRDefault="004E0A37" w:rsidP="004E0A37">
      <w:pPr>
        <w:pStyle w:val="SingleTxtGA"/>
        <w:jc w:val="lowKashida"/>
        <w:rPr>
          <w:rFonts w:hint="cs"/>
          <w:b/>
          <w:bCs/>
          <w:spacing w:val="0"/>
          <w:sz w:val="20"/>
          <w:rtl/>
        </w:rPr>
      </w:pPr>
      <w:r w:rsidRPr="008B4006">
        <w:rPr>
          <w:rFonts w:hint="cs"/>
          <w:b/>
          <w:bCs/>
          <w:spacing w:val="0"/>
          <w:sz w:val="20"/>
          <w:rtl/>
        </w:rPr>
        <w:tab/>
      </w:r>
      <w:r w:rsidRPr="008B4006">
        <w:rPr>
          <w:b/>
          <w:bCs/>
          <w:spacing w:val="0"/>
          <w:sz w:val="20"/>
          <w:rtl/>
        </w:rPr>
        <w:t xml:space="preserve">ينبغي للدولة الطرف تعديل تشريعاتها لتشمل العنف المنزلي بوصفه جريمة محددة في قانون العقوبات، وهو ما يستتبع المقاضاة بصورة تلقائية. وينبغي للدولة الطرف تعزيز جهودها الرامية إلى منع العنف المنزلي، ولا سيما ضد النساء والفتيات، وينبغي تشجيع الضحايا على إبلاغ السلطات عن الحالات التي تحدث. وينبغي أن تفضي جميع حالات العنف المنزلي إلى التحقيق والمقاضاة والعقوبة </w:t>
      </w:r>
      <w:r w:rsidRPr="008B4006">
        <w:rPr>
          <w:rFonts w:hint="cs"/>
          <w:b/>
          <w:bCs/>
          <w:spacing w:val="0"/>
          <w:sz w:val="20"/>
          <w:rtl/>
        </w:rPr>
        <w:t xml:space="preserve">على النحو </w:t>
      </w:r>
      <w:r w:rsidRPr="008B4006">
        <w:rPr>
          <w:b/>
          <w:bCs/>
          <w:spacing w:val="0"/>
          <w:sz w:val="20"/>
          <w:rtl/>
        </w:rPr>
        <w:t>الملائم. كما ينبغي أن تكون أوامر الحماية لفترات أطول</w:t>
      </w:r>
      <w:r w:rsidRPr="008B4006">
        <w:rPr>
          <w:rFonts w:hint="cs"/>
          <w:b/>
          <w:bCs/>
          <w:spacing w:val="0"/>
          <w:sz w:val="20"/>
          <w:rtl/>
        </w:rPr>
        <w:t xml:space="preserve"> بكثير</w:t>
      </w:r>
      <w:r w:rsidRPr="008B4006">
        <w:rPr>
          <w:b/>
          <w:bCs/>
          <w:spacing w:val="0"/>
          <w:sz w:val="20"/>
          <w:rtl/>
        </w:rPr>
        <w:t>. وينبغي للدولة الطرف أن تبدأ العمل بآليات رصد</w:t>
      </w:r>
      <w:r w:rsidRPr="008B4006">
        <w:rPr>
          <w:rFonts w:hint="cs"/>
          <w:b/>
          <w:bCs/>
          <w:spacing w:val="0"/>
          <w:sz w:val="20"/>
          <w:rtl/>
        </w:rPr>
        <w:t xml:space="preserve"> العنف المنزلي </w:t>
      </w:r>
      <w:r w:rsidRPr="008B4006">
        <w:rPr>
          <w:b/>
          <w:bCs/>
          <w:spacing w:val="0"/>
          <w:sz w:val="20"/>
          <w:rtl/>
        </w:rPr>
        <w:t xml:space="preserve">والحماية </w:t>
      </w:r>
      <w:r w:rsidRPr="008B4006">
        <w:rPr>
          <w:rFonts w:hint="cs"/>
          <w:b/>
          <w:bCs/>
          <w:spacing w:val="0"/>
          <w:sz w:val="20"/>
          <w:rtl/>
        </w:rPr>
        <w:t xml:space="preserve">منه حماية </w:t>
      </w:r>
      <w:r w:rsidRPr="008B4006">
        <w:rPr>
          <w:b/>
          <w:bCs/>
          <w:spacing w:val="0"/>
          <w:sz w:val="20"/>
          <w:rtl/>
        </w:rPr>
        <w:t>فعالة، بما في ذلك</w:t>
      </w:r>
      <w:r w:rsidRPr="008B4006">
        <w:rPr>
          <w:rFonts w:hint="cs"/>
          <w:b/>
          <w:bCs/>
          <w:spacing w:val="0"/>
          <w:sz w:val="20"/>
          <w:rtl/>
        </w:rPr>
        <w:t xml:space="preserve"> العمل</w:t>
      </w:r>
      <w:r w:rsidRPr="008B4006">
        <w:rPr>
          <w:b/>
          <w:bCs/>
          <w:spacing w:val="0"/>
          <w:sz w:val="20"/>
          <w:rtl/>
        </w:rPr>
        <w:t xml:space="preserve"> </w:t>
      </w:r>
      <w:r w:rsidRPr="008B4006">
        <w:rPr>
          <w:rFonts w:hint="cs"/>
          <w:b/>
          <w:bCs/>
          <w:spacing w:val="0"/>
          <w:sz w:val="20"/>
          <w:rtl/>
        </w:rPr>
        <w:t>ب</w:t>
      </w:r>
      <w:r w:rsidRPr="008B4006">
        <w:rPr>
          <w:b/>
          <w:bCs/>
          <w:spacing w:val="0"/>
          <w:sz w:val="20"/>
          <w:rtl/>
        </w:rPr>
        <w:t>آلية فعالة لتقديم الشكاوى.</w:t>
      </w:r>
    </w:p>
    <w:p w:rsidR="004E0A37" w:rsidRPr="004E0A37" w:rsidRDefault="004E0A37" w:rsidP="00335AC0">
      <w:pPr>
        <w:pStyle w:val="H23GA"/>
        <w:rPr>
          <w:rtl/>
        </w:rPr>
      </w:pPr>
      <w:r w:rsidRPr="004E0A37">
        <w:rPr>
          <w:rtl/>
        </w:rPr>
        <w:tab/>
      </w:r>
      <w:r w:rsidRPr="004E0A37">
        <w:rPr>
          <w:rtl/>
        </w:rPr>
        <w:tab/>
        <w:t>الزواج المبكر</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26</w:t>
      </w:r>
      <w:r w:rsidR="003E72B5">
        <w:rPr>
          <w:spacing w:val="0"/>
          <w:sz w:val="20"/>
          <w:rtl/>
        </w:rPr>
        <w:t>)</w:t>
      </w:r>
      <w:r w:rsidR="003E72B5">
        <w:rPr>
          <w:spacing w:val="0"/>
          <w:sz w:val="20"/>
          <w:rtl/>
        </w:rPr>
        <w:tab/>
      </w:r>
      <w:r w:rsidR="004E0A37" w:rsidRPr="004E0A37">
        <w:rPr>
          <w:spacing w:val="0"/>
          <w:sz w:val="20"/>
          <w:rtl/>
        </w:rPr>
        <w:t>يساور اللجنة القلق من ممارسة الزواج المبكر والقسري غير الرسمي لفتيات من الروما لا تتجاوز أعمارهن 11 سنة (المادتان 2 و16).</w:t>
      </w:r>
    </w:p>
    <w:p w:rsidR="004E0A37" w:rsidRPr="00C20878" w:rsidRDefault="004E0A37" w:rsidP="00C20878">
      <w:pPr>
        <w:pStyle w:val="SingleTxtGA"/>
        <w:jc w:val="lowKashida"/>
        <w:rPr>
          <w:b/>
          <w:bCs/>
          <w:spacing w:val="-2"/>
          <w:sz w:val="20"/>
          <w:rtl/>
        </w:rPr>
      </w:pPr>
      <w:r w:rsidRPr="00C20878">
        <w:rPr>
          <w:rFonts w:hint="cs"/>
          <w:b/>
          <w:bCs/>
          <w:spacing w:val="-2"/>
          <w:sz w:val="20"/>
          <w:rtl/>
        </w:rPr>
        <w:tab/>
      </w:r>
      <w:r w:rsidRPr="00C20878">
        <w:rPr>
          <w:b/>
          <w:bCs/>
          <w:spacing w:val="-2"/>
          <w:sz w:val="20"/>
          <w:rtl/>
        </w:rPr>
        <w:t>ينبغي للدولة الطرف إنفاذ تشريعاتها المتعلقة بالحد الأدنى لسن الزواج، والإشارة بوضوح إلى أن زيجات الأطفال عديمة الأثر القانوني وتشكل ممارسة مؤذية، في ضوء الملاحظات الختامية للجنة حقوق الطفل والتوصية العامة رقم 24 للجنة المعنية بالقضاء على التمييز ضد المرأة (1999) بشأن المادة 12. وينبغي تنظيم حملات التوعية المجتمعية بشأن</w:t>
      </w:r>
      <w:r w:rsidR="00C20878">
        <w:rPr>
          <w:rFonts w:hint="cs"/>
          <w:b/>
          <w:bCs/>
          <w:spacing w:val="-2"/>
          <w:sz w:val="20"/>
          <w:rtl/>
        </w:rPr>
        <w:t> </w:t>
      </w:r>
      <w:r w:rsidRPr="00C20878">
        <w:rPr>
          <w:b/>
          <w:bCs/>
          <w:spacing w:val="-2"/>
          <w:sz w:val="20"/>
          <w:rtl/>
        </w:rPr>
        <w:t>حظر هذه الزيجات وآثارها المؤذية وحقوق الأطفال. كما تحث اللجنة الدولة الطرف على إنفاذ شرط تسجيل جميع الزيجات، وذلك من أجل مراقبة مدى قانونيتها، وكذا إنفاذ حظر الزيجات المبكرة إنفاذاً صارماً والتحقيق في مثل هذه الحالات ومقاضاة مرتكبيها.</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الاتجار بالأشخاص</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27</w:t>
      </w:r>
      <w:r w:rsidR="003E72B5">
        <w:rPr>
          <w:spacing w:val="0"/>
          <w:sz w:val="20"/>
          <w:rtl/>
        </w:rPr>
        <w:t>)</w:t>
      </w:r>
      <w:r w:rsidR="003E72B5">
        <w:rPr>
          <w:spacing w:val="0"/>
          <w:sz w:val="20"/>
          <w:rtl/>
        </w:rPr>
        <w:tab/>
      </w:r>
      <w:r w:rsidR="004E0A37" w:rsidRPr="004E0A37">
        <w:rPr>
          <w:spacing w:val="0"/>
          <w:sz w:val="20"/>
          <w:rtl/>
        </w:rPr>
        <w:t>إن اللجنة، إذ تحيط</w:t>
      </w:r>
      <w:r w:rsidR="003833F8">
        <w:rPr>
          <w:spacing w:val="0"/>
          <w:sz w:val="20"/>
          <w:rtl/>
        </w:rPr>
        <w:t xml:space="preserve"> علماً </w:t>
      </w:r>
      <w:r w:rsidR="004E0A37" w:rsidRPr="004E0A37">
        <w:rPr>
          <w:spacing w:val="0"/>
          <w:sz w:val="20"/>
          <w:rtl/>
        </w:rPr>
        <w:t xml:space="preserve">بالبرنامج الوطني لمنع الاتجار بالبشر والتصدي له وحماية الضحايا وبالتعديلات المدخلة على الجزء التاسع من قانون العقوبات بشأن "الاتجار بالبشر"، ليساورها القلق من أن الفقر والاستبعاد الاجتماعي يزيدان من قابلية تعرض النساء والأطفال، ولا سيما نساء الروما وفتياتهم، بمن فيهن الحوامل، للاتجار بالبشر (المواد 2 و3 و14 و16). </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توصي اللجنة بأن تعزز الدولة الطرف جهودها الرامية إلى مكافحة الاتجار بالأشخاص، ولا سيما النساء والفتيات، وخاصة </w:t>
      </w:r>
      <w:r w:rsidRPr="00C20878">
        <w:rPr>
          <w:rFonts w:hint="cs"/>
          <w:b/>
          <w:bCs/>
          <w:spacing w:val="0"/>
          <w:sz w:val="20"/>
          <w:rtl/>
        </w:rPr>
        <w:t xml:space="preserve">تلك الرامية </w:t>
      </w:r>
      <w:r w:rsidRPr="00C20878">
        <w:rPr>
          <w:b/>
          <w:bCs/>
          <w:spacing w:val="0"/>
          <w:sz w:val="20"/>
          <w:rtl/>
        </w:rPr>
        <w:t xml:space="preserve">إلى ما يلي: </w:t>
      </w:r>
    </w:p>
    <w:p w:rsidR="004E0A37" w:rsidRPr="00C20878" w:rsidRDefault="004E0A37" w:rsidP="004E0A37">
      <w:pPr>
        <w:pStyle w:val="SingleTxtGA"/>
        <w:jc w:val="lowKashida"/>
        <w:rPr>
          <w:rFonts w:hint="cs"/>
          <w:b/>
          <w:bCs/>
          <w:spacing w:val="0"/>
          <w:sz w:val="20"/>
          <w:rtl/>
        </w:rPr>
      </w:pPr>
      <w:r w:rsidRPr="00C20878">
        <w:rPr>
          <w:rFonts w:hint="cs"/>
          <w:b/>
          <w:bCs/>
          <w:spacing w:val="0"/>
          <w:sz w:val="20"/>
          <w:rtl/>
        </w:rPr>
        <w:tab/>
      </w:r>
      <w:r w:rsidRPr="00C20878">
        <w:rPr>
          <w:b/>
          <w:bCs/>
          <w:spacing w:val="0"/>
          <w:sz w:val="20"/>
          <w:rtl/>
        </w:rPr>
        <w:t>(أ)</w:t>
      </w:r>
      <w:r w:rsidRPr="00C20878">
        <w:rPr>
          <w:rFonts w:hint="cs"/>
          <w:b/>
          <w:bCs/>
          <w:spacing w:val="0"/>
          <w:sz w:val="20"/>
          <w:rtl/>
        </w:rPr>
        <w:tab/>
      </w:r>
      <w:r w:rsidRPr="00C20878">
        <w:rPr>
          <w:b/>
          <w:bCs/>
          <w:spacing w:val="0"/>
          <w:sz w:val="20"/>
          <w:rtl/>
        </w:rPr>
        <w:t>منع الاتجار بالأشخاص والممارسات المتصلة به والتحقيق فيه بسرعة واستفاضة ودون تحيز والمعاقبة عليه؛</w:t>
      </w:r>
    </w:p>
    <w:p w:rsidR="004E0A37" w:rsidRPr="00C20878" w:rsidRDefault="004E0A37" w:rsidP="004E0A37">
      <w:pPr>
        <w:pStyle w:val="SingleTxtGA"/>
        <w:jc w:val="lowKashida"/>
        <w:rPr>
          <w:rFonts w:hint="cs"/>
          <w:b/>
          <w:bCs/>
          <w:spacing w:val="0"/>
          <w:sz w:val="20"/>
          <w:rtl/>
        </w:rPr>
      </w:pPr>
      <w:r w:rsidRPr="00C20878">
        <w:rPr>
          <w:rFonts w:hint="cs"/>
          <w:b/>
          <w:bCs/>
          <w:spacing w:val="0"/>
          <w:sz w:val="20"/>
          <w:rtl/>
        </w:rPr>
        <w:tab/>
      </w:r>
      <w:r w:rsidRPr="00C20878">
        <w:rPr>
          <w:b/>
          <w:bCs/>
          <w:spacing w:val="0"/>
          <w:sz w:val="20"/>
          <w:rtl/>
        </w:rPr>
        <w:t>(ب)</w:t>
      </w:r>
      <w:r w:rsidRPr="00C20878">
        <w:rPr>
          <w:rFonts w:hint="cs"/>
          <w:b/>
          <w:bCs/>
          <w:spacing w:val="0"/>
          <w:sz w:val="20"/>
          <w:rtl/>
        </w:rPr>
        <w:tab/>
      </w:r>
      <w:r w:rsidRPr="00C20878">
        <w:rPr>
          <w:b/>
          <w:bCs/>
          <w:spacing w:val="0"/>
          <w:sz w:val="20"/>
          <w:rtl/>
        </w:rPr>
        <w:t>تحسين تحديد هوية ضحايا الاتجار بالبشر وتوفير سبل انتصاف فعالة، بما</w:t>
      </w:r>
      <w:r w:rsidRPr="00C20878">
        <w:rPr>
          <w:rFonts w:hint="cs"/>
          <w:b/>
          <w:bCs/>
          <w:spacing w:val="0"/>
          <w:sz w:val="20"/>
          <w:rtl/>
        </w:rPr>
        <w:t> </w:t>
      </w:r>
      <w:r w:rsidRPr="00C20878">
        <w:rPr>
          <w:b/>
          <w:bCs/>
          <w:spacing w:val="0"/>
          <w:sz w:val="20"/>
          <w:rtl/>
        </w:rPr>
        <w:t xml:space="preserve">فيها التعويض وإعادة التأهيل، لضحايا الاتجار، بما يشمل مساعدتهم على إبلاغ الشرطة عن حوادث الاتجار، ولا سيما عن طريق توفير المساعدة القانونية والطبية والنفسية وإعادة التأهيل، </w:t>
      </w:r>
      <w:r w:rsidRPr="00C20878">
        <w:rPr>
          <w:rFonts w:hint="cs"/>
          <w:b/>
          <w:bCs/>
          <w:spacing w:val="0"/>
          <w:sz w:val="20"/>
          <w:rtl/>
        </w:rPr>
        <w:t>وم</w:t>
      </w:r>
      <w:r w:rsidRPr="00C20878">
        <w:rPr>
          <w:b/>
          <w:bCs/>
          <w:spacing w:val="0"/>
          <w:sz w:val="20"/>
          <w:rtl/>
        </w:rPr>
        <w:t xml:space="preserve">ن </w:t>
      </w:r>
      <w:r w:rsidRPr="00C20878">
        <w:rPr>
          <w:rFonts w:hint="cs"/>
          <w:b/>
          <w:bCs/>
          <w:spacing w:val="0"/>
          <w:sz w:val="20"/>
          <w:rtl/>
        </w:rPr>
        <w:t>ذلك</w:t>
      </w:r>
      <w:r w:rsidRPr="00C20878">
        <w:rPr>
          <w:b/>
          <w:bCs/>
          <w:spacing w:val="0"/>
          <w:sz w:val="20"/>
          <w:rtl/>
        </w:rPr>
        <w:t xml:space="preserve"> </w:t>
      </w:r>
      <w:r w:rsidRPr="00C20878">
        <w:rPr>
          <w:rFonts w:hint="cs"/>
          <w:b/>
          <w:bCs/>
          <w:spacing w:val="0"/>
          <w:sz w:val="20"/>
          <w:rtl/>
        </w:rPr>
        <w:t>ب</w:t>
      </w:r>
      <w:r w:rsidRPr="00C20878">
        <w:rPr>
          <w:b/>
          <w:bCs/>
          <w:spacing w:val="0"/>
          <w:sz w:val="20"/>
          <w:rtl/>
        </w:rPr>
        <w:t>توفير إمكانية حقيقية لل</w:t>
      </w:r>
      <w:r w:rsidRPr="00C20878">
        <w:rPr>
          <w:rFonts w:hint="cs"/>
          <w:b/>
          <w:bCs/>
          <w:spacing w:val="0"/>
          <w:sz w:val="20"/>
          <w:rtl/>
        </w:rPr>
        <w:t>ح</w:t>
      </w:r>
      <w:r w:rsidRPr="00C20878">
        <w:rPr>
          <w:b/>
          <w:bCs/>
          <w:spacing w:val="0"/>
          <w:sz w:val="20"/>
          <w:rtl/>
        </w:rPr>
        <w:t xml:space="preserve">صول </w:t>
      </w:r>
      <w:r w:rsidRPr="00C20878">
        <w:rPr>
          <w:rFonts w:hint="cs"/>
          <w:b/>
          <w:bCs/>
          <w:spacing w:val="0"/>
          <w:sz w:val="20"/>
          <w:rtl/>
        </w:rPr>
        <w:t>ع</w:t>
      </w:r>
      <w:r w:rsidRPr="00C20878">
        <w:rPr>
          <w:b/>
          <w:bCs/>
          <w:spacing w:val="0"/>
          <w:sz w:val="20"/>
          <w:rtl/>
        </w:rPr>
        <w:t>لى الرعاية الصحية وال</w:t>
      </w:r>
      <w:r w:rsidRPr="00C20878">
        <w:rPr>
          <w:rFonts w:hint="cs"/>
          <w:b/>
          <w:bCs/>
          <w:spacing w:val="0"/>
          <w:sz w:val="20"/>
          <w:rtl/>
        </w:rPr>
        <w:t>م</w:t>
      </w:r>
      <w:r w:rsidRPr="00C20878">
        <w:rPr>
          <w:b/>
          <w:bCs/>
          <w:spacing w:val="0"/>
          <w:sz w:val="20"/>
          <w:rtl/>
        </w:rPr>
        <w:t>ش</w:t>
      </w:r>
      <w:r w:rsidRPr="00C20878">
        <w:rPr>
          <w:rFonts w:hint="cs"/>
          <w:b/>
          <w:bCs/>
          <w:spacing w:val="0"/>
          <w:sz w:val="20"/>
          <w:rtl/>
        </w:rPr>
        <w:t>و</w:t>
      </w:r>
      <w:r w:rsidRPr="00C20878">
        <w:rPr>
          <w:b/>
          <w:bCs/>
          <w:spacing w:val="0"/>
          <w:sz w:val="20"/>
          <w:rtl/>
        </w:rPr>
        <w:t>رة والم</w:t>
      </w:r>
      <w:r w:rsidRPr="00C20878">
        <w:rPr>
          <w:rFonts w:hint="cs"/>
          <w:b/>
          <w:bCs/>
          <w:spacing w:val="0"/>
          <w:sz w:val="20"/>
          <w:rtl/>
        </w:rPr>
        <w:t>أ</w:t>
      </w:r>
      <w:r w:rsidRPr="00C20878">
        <w:rPr>
          <w:b/>
          <w:bCs/>
          <w:spacing w:val="0"/>
          <w:sz w:val="20"/>
          <w:rtl/>
        </w:rPr>
        <w:t>و</w:t>
      </w:r>
      <w:r w:rsidRPr="00C20878">
        <w:rPr>
          <w:rFonts w:hint="cs"/>
          <w:b/>
          <w:bCs/>
          <w:spacing w:val="0"/>
          <w:sz w:val="20"/>
          <w:rtl/>
        </w:rPr>
        <w:t>ى</w:t>
      </w:r>
      <w:r w:rsidRPr="00C20878">
        <w:rPr>
          <w:b/>
          <w:bCs/>
          <w:spacing w:val="0"/>
          <w:sz w:val="20"/>
          <w:rtl/>
        </w:rPr>
        <w:t xml:space="preserve"> الملائم،</w:t>
      </w:r>
      <w:r w:rsidR="00B345DB">
        <w:rPr>
          <w:b/>
          <w:bCs/>
          <w:spacing w:val="0"/>
          <w:sz w:val="20"/>
          <w:rtl/>
        </w:rPr>
        <w:t xml:space="preserve"> وفقاً </w:t>
      </w:r>
      <w:r w:rsidRPr="00C20878">
        <w:rPr>
          <w:b/>
          <w:bCs/>
          <w:spacing w:val="0"/>
          <w:sz w:val="20"/>
          <w:rtl/>
        </w:rPr>
        <w:t>للمادة 14 من الاتفاقية؛</w:t>
      </w:r>
    </w:p>
    <w:p w:rsidR="004E0A37" w:rsidRPr="00C20878" w:rsidRDefault="004E0A37" w:rsidP="004E0A37">
      <w:pPr>
        <w:pStyle w:val="SingleTxtGA"/>
        <w:jc w:val="lowKashida"/>
        <w:rPr>
          <w:rFonts w:hint="cs"/>
          <w:b/>
          <w:bCs/>
          <w:spacing w:val="-2"/>
          <w:sz w:val="20"/>
          <w:rtl/>
        </w:rPr>
      </w:pPr>
      <w:r w:rsidRPr="00C20878">
        <w:rPr>
          <w:rFonts w:hint="cs"/>
          <w:b/>
          <w:bCs/>
          <w:spacing w:val="-2"/>
          <w:sz w:val="20"/>
          <w:rtl/>
        </w:rPr>
        <w:tab/>
      </w:r>
      <w:r w:rsidRPr="00C20878">
        <w:rPr>
          <w:b/>
          <w:bCs/>
          <w:spacing w:val="-2"/>
          <w:sz w:val="20"/>
          <w:rtl/>
        </w:rPr>
        <w:t>(ج)</w:t>
      </w:r>
      <w:r w:rsidRPr="00C20878">
        <w:rPr>
          <w:rFonts w:hint="cs"/>
          <w:b/>
          <w:bCs/>
          <w:spacing w:val="-2"/>
          <w:sz w:val="20"/>
          <w:rtl/>
        </w:rPr>
        <w:tab/>
      </w:r>
      <w:r w:rsidRPr="00C20878">
        <w:rPr>
          <w:b/>
          <w:bCs/>
          <w:spacing w:val="-2"/>
          <w:sz w:val="20"/>
          <w:rtl/>
        </w:rPr>
        <w:t xml:space="preserve">منع إعادة الأشخاص المتاجر بهم إلى بلدانهم الأصلية حيثما وجدت أسباب وجيهة تدعو إلى الاعتقاد بأنهم </w:t>
      </w:r>
      <w:r w:rsidRPr="00C20878">
        <w:rPr>
          <w:rFonts w:hint="cs"/>
          <w:b/>
          <w:bCs/>
          <w:spacing w:val="-2"/>
          <w:sz w:val="20"/>
          <w:rtl/>
        </w:rPr>
        <w:t>سيت</w:t>
      </w:r>
      <w:r w:rsidRPr="00C20878">
        <w:rPr>
          <w:b/>
          <w:bCs/>
          <w:spacing w:val="-2"/>
          <w:sz w:val="20"/>
          <w:rtl/>
        </w:rPr>
        <w:t xml:space="preserve">عرضون لخطر للتعذيب، </w:t>
      </w:r>
      <w:r w:rsidRPr="00C20878">
        <w:rPr>
          <w:rFonts w:hint="cs"/>
          <w:b/>
          <w:bCs/>
          <w:spacing w:val="-2"/>
          <w:sz w:val="20"/>
          <w:rtl/>
        </w:rPr>
        <w:t>عملاً با</w:t>
      </w:r>
      <w:r w:rsidRPr="00C20878">
        <w:rPr>
          <w:b/>
          <w:bCs/>
          <w:spacing w:val="-2"/>
          <w:sz w:val="20"/>
          <w:rtl/>
        </w:rPr>
        <w:t>لمادة 3 من الاتفاقية؛</w:t>
      </w:r>
    </w:p>
    <w:p w:rsidR="004E0A37" w:rsidRPr="00C20878" w:rsidRDefault="004E0A37" w:rsidP="004E0A37">
      <w:pPr>
        <w:pStyle w:val="SingleTxtGA"/>
        <w:jc w:val="lowKashida"/>
        <w:rPr>
          <w:rFonts w:hint="cs"/>
          <w:b/>
          <w:bCs/>
          <w:spacing w:val="0"/>
          <w:sz w:val="20"/>
          <w:rtl/>
        </w:rPr>
      </w:pPr>
      <w:r w:rsidRPr="00C20878">
        <w:rPr>
          <w:rFonts w:hint="cs"/>
          <w:b/>
          <w:bCs/>
          <w:spacing w:val="0"/>
          <w:sz w:val="20"/>
          <w:rtl/>
        </w:rPr>
        <w:tab/>
      </w:r>
      <w:r w:rsidRPr="00C20878">
        <w:rPr>
          <w:b/>
          <w:bCs/>
          <w:spacing w:val="0"/>
          <w:sz w:val="20"/>
          <w:rtl/>
        </w:rPr>
        <w:t>(د)</w:t>
      </w:r>
      <w:r w:rsidRPr="00C20878">
        <w:rPr>
          <w:rFonts w:hint="cs"/>
          <w:b/>
          <w:bCs/>
          <w:spacing w:val="0"/>
          <w:sz w:val="20"/>
          <w:rtl/>
        </w:rPr>
        <w:tab/>
      </w:r>
      <w:r w:rsidRPr="00C20878">
        <w:rPr>
          <w:b/>
          <w:bCs/>
          <w:spacing w:val="0"/>
          <w:sz w:val="20"/>
          <w:rtl/>
        </w:rPr>
        <w:t>توفير تدريب منتظم للشرطة والمدعين العامين والقضاة على السبل الفعالة لمنع أعمال الاتجار بالأشخاص والتحقيق فيها وملاحقة مرتكبيها ومعاقبتهم، بما في ذلك التدريب على ضمانات حق المرء في أن يمثله محام من اختياره وإطلاع عامة الجمهور على الطبيعة الإجرامية لهذه الأفعال؛</w:t>
      </w:r>
    </w:p>
    <w:p w:rsidR="004E0A37" w:rsidRPr="00C20878" w:rsidRDefault="004E0A37" w:rsidP="004E0A37">
      <w:pPr>
        <w:pStyle w:val="SingleTxtGA"/>
        <w:jc w:val="lowKashida"/>
        <w:rPr>
          <w:rFonts w:hint="cs"/>
          <w:b/>
          <w:bCs/>
          <w:spacing w:val="0"/>
          <w:sz w:val="20"/>
          <w:rtl/>
        </w:rPr>
      </w:pPr>
      <w:r w:rsidRPr="00C20878">
        <w:rPr>
          <w:rFonts w:hint="cs"/>
          <w:b/>
          <w:bCs/>
          <w:spacing w:val="0"/>
          <w:sz w:val="20"/>
          <w:rtl/>
        </w:rPr>
        <w:tab/>
        <w:t>(ﻫ)</w:t>
      </w:r>
      <w:r w:rsidRPr="00C20878">
        <w:rPr>
          <w:rFonts w:hint="cs"/>
          <w:b/>
          <w:bCs/>
          <w:spacing w:val="0"/>
          <w:sz w:val="20"/>
          <w:rtl/>
        </w:rPr>
        <w:tab/>
      </w:r>
      <w:r w:rsidRPr="00C20878">
        <w:rPr>
          <w:b/>
          <w:bCs/>
          <w:spacing w:val="0"/>
          <w:sz w:val="20"/>
          <w:rtl/>
        </w:rPr>
        <w:t xml:space="preserve">تجميع بيانات موزعة، </w:t>
      </w:r>
      <w:r w:rsidRPr="00C20878">
        <w:rPr>
          <w:rFonts w:hint="cs"/>
          <w:b/>
          <w:bCs/>
          <w:spacing w:val="0"/>
          <w:sz w:val="20"/>
          <w:rtl/>
        </w:rPr>
        <w:t>بما يوافق مقتضى الحال</w:t>
      </w:r>
      <w:r w:rsidRPr="00C20878">
        <w:rPr>
          <w:b/>
          <w:bCs/>
          <w:spacing w:val="0"/>
          <w:sz w:val="20"/>
          <w:rtl/>
        </w:rPr>
        <w:t xml:space="preserve">، حسب الجنسية والبلد الأصلي والإثنية ونوع الجنس والسن والعمل، وكذا </w:t>
      </w:r>
      <w:r w:rsidRPr="00C20878">
        <w:rPr>
          <w:rFonts w:hint="cs"/>
          <w:b/>
          <w:bCs/>
          <w:spacing w:val="0"/>
          <w:sz w:val="20"/>
          <w:rtl/>
        </w:rPr>
        <w:t xml:space="preserve">معلومات </w:t>
      </w:r>
      <w:r w:rsidRPr="00C20878">
        <w:rPr>
          <w:b/>
          <w:bCs/>
          <w:spacing w:val="0"/>
          <w:sz w:val="20"/>
          <w:rtl/>
        </w:rPr>
        <w:t>عن مدى توفير سبل الانتصاف.</w:t>
      </w:r>
    </w:p>
    <w:p w:rsidR="004E0A37" w:rsidRPr="004E0A37" w:rsidRDefault="004E0A37" w:rsidP="00335AC0">
      <w:pPr>
        <w:pStyle w:val="H23GA"/>
        <w:rPr>
          <w:rtl/>
        </w:rPr>
      </w:pPr>
      <w:r w:rsidRPr="004E0A37">
        <w:rPr>
          <w:rtl/>
        </w:rPr>
        <w:tab/>
      </w:r>
      <w:r w:rsidRPr="004E0A37">
        <w:rPr>
          <w:rtl/>
        </w:rPr>
        <w:tab/>
        <w:t>التمييز وخطاب الكراهية والعنف ضد الفئات المستضعفة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28</w:t>
      </w:r>
      <w:r w:rsidR="003E72B5">
        <w:rPr>
          <w:spacing w:val="0"/>
          <w:sz w:val="20"/>
          <w:rtl/>
        </w:rPr>
        <w:t>)</w:t>
      </w:r>
      <w:r w:rsidR="003E72B5">
        <w:rPr>
          <w:spacing w:val="0"/>
          <w:sz w:val="20"/>
          <w:rtl/>
        </w:rPr>
        <w:tab/>
      </w:r>
      <w:r w:rsidR="004E0A37" w:rsidRPr="004E0A37">
        <w:rPr>
          <w:spacing w:val="0"/>
          <w:sz w:val="20"/>
          <w:rtl/>
        </w:rPr>
        <w:t>إن اللجنة، إذ تقر بموقف السلطات المدين علانية لمظاهر التمييز والتعصب، ليساورها بالغ القلق من مظاهر التمييز والتعصب، بما في ذلك خطاب الكراهية والهجمات العنيفة على بعض الأقليات القومية والدينية والأشخاص المنتمين إلى الأقليات الجنسية. ويساور اللجنة القلق أيضاً من استخدام قوات الشرطة المفرط للقوة ضد بعض الأقليات و</w:t>
      </w:r>
      <w:r w:rsidR="004E0A37" w:rsidRPr="004E0A37">
        <w:rPr>
          <w:rFonts w:hint="cs"/>
          <w:spacing w:val="0"/>
          <w:sz w:val="20"/>
          <w:rtl/>
        </w:rPr>
        <w:t>م</w:t>
      </w:r>
      <w:r w:rsidR="004E0A37" w:rsidRPr="004E0A37">
        <w:rPr>
          <w:spacing w:val="0"/>
          <w:sz w:val="20"/>
          <w:rtl/>
        </w:rPr>
        <w:t>ما وقع مؤخراً من أعمال شغب معادية للروما وتدمير ممتلكاتهم، والتي جرت في بعض الحالات دون أي إجراء وقائي من جانب الشرطة. كما يساورها القلق من ا</w:t>
      </w:r>
      <w:r w:rsidR="004E0A37" w:rsidRPr="004E0A37">
        <w:rPr>
          <w:rFonts w:hint="cs"/>
          <w:spacing w:val="0"/>
          <w:sz w:val="20"/>
          <w:rtl/>
        </w:rPr>
        <w:t>ستهداف</w:t>
      </w:r>
      <w:r w:rsidR="004E0A37" w:rsidRPr="004E0A37">
        <w:rPr>
          <w:spacing w:val="0"/>
          <w:sz w:val="20"/>
          <w:rtl/>
        </w:rPr>
        <w:t xml:space="preserve"> بعض فئات الأقليات المستضعفة بشعارات ترقى إلى خطاب الكراهية، </w:t>
      </w:r>
      <w:r w:rsidR="004E0A37" w:rsidRPr="004E0A37">
        <w:rPr>
          <w:rFonts w:hint="cs"/>
          <w:spacing w:val="0"/>
          <w:sz w:val="20"/>
          <w:rtl/>
        </w:rPr>
        <w:t xml:space="preserve">يطلقها </w:t>
      </w:r>
      <w:r w:rsidR="004E0A37" w:rsidRPr="004E0A37">
        <w:rPr>
          <w:spacing w:val="0"/>
          <w:sz w:val="20"/>
          <w:rtl/>
        </w:rPr>
        <w:t xml:space="preserve">أعضاء بعض الأحزاب والمجموعات السياسية </w:t>
      </w:r>
      <w:r w:rsidR="004E0A37" w:rsidRPr="004E0A37">
        <w:rPr>
          <w:rFonts w:hint="cs"/>
          <w:spacing w:val="0"/>
          <w:sz w:val="20"/>
          <w:rtl/>
        </w:rPr>
        <w:t xml:space="preserve">بوجه خاص، </w:t>
      </w:r>
      <w:r w:rsidR="004E0A37" w:rsidRPr="004E0A37">
        <w:rPr>
          <w:spacing w:val="0"/>
          <w:sz w:val="20"/>
          <w:rtl/>
        </w:rPr>
        <w:t>ومن كون التعصب إزاء الأقليات الدينية قد أدى إلى تخريب بعض أماكن العبادة و</w:t>
      </w:r>
      <w:r w:rsidR="004E0A37" w:rsidRPr="004E0A37">
        <w:rPr>
          <w:rFonts w:hint="cs"/>
          <w:spacing w:val="0"/>
          <w:sz w:val="20"/>
          <w:rtl/>
        </w:rPr>
        <w:t>التهجم على</w:t>
      </w:r>
      <w:r w:rsidR="004E0A37" w:rsidRPr="004E0A37">
        <w:rPr>
          <w:spacing w:val="0"/>
          <w:sz w:val="20"/>
          <w:rtl/>
        </w:rPr>
        <w:t xml:space="preserve"> مرتاديها. وتحيط اللجنة</w:t>
      </w:r>
      <w:r w:rsidR="003833F8">
        <w:rPr>
          <w:spacing w:val="0"/>
          <w:sz w:val="20"/>
          <w:rtl/>
        </w:rPr>
        <w:t xml:space="preserve"> علماً </w:t>
      </w:r>
      <w:r w:rsidR="004E0A37" w:rsidRPr="004E0A37">
        <w:rPr>
          <w:spacing w:val="0"/>
          <w:sz w:val="20"/>
          <w:rtl/>
        </w:rPr>
        <w:t>بأن التحقيق جار في الهجمات التي استهدفت مؤخراً صحافيين على صلة بأعمال الشغب المعادية للروما (المواد 2 و12 و13 و14 و16).</w:t>
      </w:r>
    </w:p>
    <w:p w:rsidR="004E0A37" w:rsidRPr="00C20878" w:rsidRDefault="004E0A37" w:rsidP="006E43D5">
      <w:pPr>
        <w:pStyle w:val="SingleTxtGA"/>
        <w:spacing w:line="370" w:lineRule="exact"/>
        <w:jc w:val="lowKashida"/>
        <w:rPr>
          <w:b/>
          <w:bCs/>
          <w:spacing w:val="0"/>
          <w:sz w:val="20"/>
          <w:rtl/>
        </w:rPr>
      </w:pPr>
      <w:r w:rsidRPr="00C20878">
        <w:rPr>
          <w:rFonts w:hint="cs"/>
          <w:b/>
          <w:bCs/>
          <w:spacing w:val="0"/>
          <w:sz w:val="20"/>
          <w:rtl/>
        </w:rPr>
        <w:tab/>
      </w:r>
      <w:r w:rsidRPr="00C20878">
        <w:rPr>
          <w:b/>
          <w:bCs/>
          <w:spacing w:val="0"/>
          <w:sz w:val="20"/>
          <w:rtl/>
        </w:rPr>
        <w:t>ينبغي للدولة الطرف أن تعزز جهودها الرامية إلى القضاء على القوالب النمطية والتمييز ضد الروما وغيرهم من الأقليات القومية، بما في ذلك عن طريق التوعية والحملات الإعلامية التي تروج للتسامح واحترام التنوع. وينبغي اتخاذ تدابير لحظر ومنع الدعوة إلى خطاب الكراهية والتمييز والتعصب، بما في ذلك في المجال العام، امتثالاً للمعايير الدولية والصكوك الدولية لحقوق الإنسان التي تعد بلغاريا طرفاً فيها. وينبغي للدولة الطرف تعزيز إنفاذ التشريعات المناهضة للتمييز وضمان التحقيق بصورة منهجية في أعمال العنف والتمييز وخطاب الكراهية ومقاضاة مرتكبيها وإدانتهم ومعاقبتهم. وينبغي للدولة الطرف أن تطبق بصورة منهجية أحكام القانون الجنائي المتعلقة بالجرائم القائمة على التعصب وينبغي أن ت</w:t>
      </w:r>
      <w:r w:rsidRPr="00C20878">
        <w:rPr>
          <w:rFonts w:hint="cs"/>
          <w:b/>
          <w:bCs/>
          <w:spacing w:val="0"/>
          <w:sz w:val="20"/>
          <w:rtl/>
        </w:rPr>
        <w:t xml:space="preserve">عتبر الدوافع التي تستند إلى </w:t>
      </w:r>
      <w:r w:rsidRPr="00C20878">
        <w:rPr>
          <w:b/>
          <w:bCs/>
          <w:spacing w:val="0"/>
          <w:sz w:val="20"/>
          <w:rtl/>
        </w:rPr>
        <w:t xml:space="preserve">التمييز </w:t>
      </w:r>
      <w:r w:rsidRPr="00C20878">
        <w:rPr>
          <w:rFonts w:hint="cs"/>
          <w:b/>
          <w:bCs/>
          <w:spacing w:val="0"/>
          <w:sz w:val="20"/>
          <w:rtl/>
        </w:rPr>
        <w:t xml:space="preserve">ظرفاً مشدداً </w:t>
      </w:r>
      <w:r w:rsidRPr="00C20878">
        <w:rPr>
          <w:b/>
          <w:bCs/>
          <w:spacing w:val="0"/>
          <w:sz w:val="20"/>
          <w:rtl/>
        </w:rPr>
        <w:t xml:space="preserve">في المحاكمات الجنائية. وينبغي للدولة الطرف أن تكفل عدم الاستفراد بأعضاء طائفة الروما استناداً إلى دوافع إثنية </w:t>
      </w:r>
      <w:r w:rsidR="00F96B1E" w:rsidRPr="00C20878">
        <w:rPr>
          <w:b/>
          <w:bCs/>
          <w:spacing w:val="0"/>
          <w:sz w:val="20"/>
          <w:rtl/>
        </w:rPr>
        <w:t>فيما </w:t>
      </w:r>
      <w:r w:rsidRPr="00C20878">
        <w:rPr>
          <w:b/>
          <w:bCs/>
          <w:spacing w:val="0"/>
          <w:sz w:val="20"/>
          <w:rtl/>
        </w:rPr>
        <w:t xml:space="preserve">يتصل باستخدام الشرطة للقوة وكفالة التحقيق بسرعة ودون تحيز في الاستخدام المفرط للقوة ضد أفراد الأقليات القومية وغيرها من الأقليات ومقاضاة مرتكبيه ومعاقبتهم. وينبغي تعويض الضحايا ومنحهم جميع سبل الانتصاف التي توفرها الاتفاقية، بما في ذلك جبر الضرر. وتطلب اللجنة مدها بآخر المعلومات عن نتائج التحقيقات في الهجمات على الصحافيين مؤخراً. </w:t>
      </w:r>
    </w:p>
    <w:p w:rsidR="004E0A37" w:rsidRPr="004E0A37" w:rsidRDefault="004E0A37" w:rsidP="00335AC0">
      <w:pPr>
        <w:pStyle w:val="H23GA"/>
        <w:rPr>
          <w:rtl/>
        </w:rPr>
      </w:pPr>
      <w:r w:rsidRPr="004E0A37">
        <w:rPr>
          <w:rtl/>
        </w:rPr>
        <w:tab/>
      </w:r>
      <w:r w:rsidRPr="004E0A37">
        <w:rPr>
          <w:rtl/>
        </w:rPr>
        <w:tab/>
        <w:t>جبر الضرر</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29</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المقدمة في تقرير الدولة الطرف عن الحق في جبر الضرر، بما في ذلك التعويض المالي، لمن انتهكت حقوقهم. بيد أن اللجنة تعرب عن أسفها لعدم تقديم </w:t>
      </w:r>
      <w:r w:rsidR="004E0A37" w:rsidRPr="004E0A37">
        <w:rPr>
          <w:rFonts w:hint="cs"/>
          <w:spacing w:val="0"/>
          <w:sz w:val="20"/>
          <w:rtl/>
        </w:rPr>
        <w:t>مزيد من ال</w:t>
      </w:r>
      <w:r w:rsidR="004E0A37" w:rsidRPr="004E0A37">
        <w:rPr>
          <w:spacing w:val="0"/>
          <w:sz w:val="20"/>
          <w:rtl/>
        </w:rPr>
        <w:t xml:space="preserve">معلومات عن التنفيذ الفعلي لجبر الضرر للأشخاص الذين تعرضوا للتعذيب أو سوء المعاملة، أو أمور أخرى، والأشخاص الذين أودعوا في مراكز ودور الأشخاص ذوي الإعاقة العقلية، </w:t>
      </w:r>
      <w:r w:rsidR="004E0A37" w:rsidRPr="004E0A37">
        <w:rPr>
          <w:rFonts w:hint="cs"/>
          <w:spacing w:val="0"/>
          <w:sz w:val="20"/>
          <w:rtl/>
        </w:rPr>
        <w:t>و</w:t>
      </w:r>
      <w:r w:rsidR="004E0A37" w:rsidRPr="004E0A37">
        <w:rPr>
          <w:spacing w:val="0"/>
          <w:sz w:val="20"/>
          <w:rtl/>
        </w:rPr>
        <w:t>من</w:t>
      </w:r>
      <w:r w:rsidR="004E0A37" w:rsidRPr="004E0A37">
        <w:rPr>
          <w:rFonts w:hint="cs"/>
          <w:spacing w:val="0"/>
          <w:sz w:val="20"/>
          <w:rtl/>
        </w:rPr>
        <w:t>هم</w:t>
      </w:r>
      <w:r w:rsidR="004E0A37" w:rsidRPr="004E0A37">
        <w:rPr>
          <w:spacing w:val="0"/>
          <w:sz w:val="20"/>
          <w:rtl/>
        </w:rPr>
        <w:t xml:space="preserve"> عدد كبير من الأطفال (المادة 14). </w:t>
      </w:r>
    </w:p>
    <w:p w:rsidR="004E0A37" w:rsidRPr="00C20878" w:rsidRDefault="004E0A37" w:rsidP="004E0A37">
      <w:pPr>
        <w:pStyle w:val="SingleTxtGA"/>
        <w:jc w:val="lowKashida"/>
        <w:rPr>
          <w:rFonts w:hint="cs"/>
          <w:b/>
          <w:bCs/>
          <w:spacing w:val="0"/>
          <w:sz w:val="20"/>
          <w:rtl/>
        </w:rPr>
      </w:pPr>
      <w:r w:rsidRPr="00C20878">
        <w:rPr>
          <w:rFonts w:hint="cs"/>
          <w:b/>
          <w:bCs/>
          <w:spacing w:val="0"/>
          <w:sz w:val="20"/>
          <w:rtl/>
        </w:rPr>
        <w:tab/>
      </w:r>
      <w:r w:rsidRPr="00C20878">
        <w:rPr>
          <w:b/>
          <w:bCs/>
          <w:spacing w:val="0"/>
          <w:sz w:val="20"/>
          <w:rtl/>
        </w:rPr>
        <w:t>ينبغي للدولة الطرف كفالة تعزيز الجهود المتعلقة بجبر الضرر، بما في ذلك التعويض وإعادة التأهيل، من أجل جبر الضرر الذي تعرض له الضحايا، و</w:t>
      </w:r>
      <w:r w:rsidRPr="00C20878">
        <w:rPr>
          <w:rFonts w:hint="cs"/>
          <w:b/>
          <w:bCs/>
          <w:spacing w:val="0"/>
          <w:sz w:val="20"/>
          <w:rtl/>
        </w:rPr>
        <w:t xml:space="preserve">منهم الذين </w:t>
      </w:r>
      <w:r w:rsidRPr="00C20878">
        <w:rPr>
          <w:b/>
          <w:bCs/>
          <w:spacing w:val="0"/>
          <w:sz w:val="20"/>
          <w:rtl/>
        </w:rPr>
        <w:t>تعرضوا للتعذيب وسوء المعاملة في مثل هذه المراكز</w:t>
      </w:r>
      <w:r w:rsidRPr="00C20878">
        <w:rPr>
          <w:rFonts w:hint="cs"/>
          <w:b/>
          <w:bCs/>
          <w:spacing w:val="0"/>
          <w:sz w:val="20"/>
          <w:rtl/>
        </w:rPr>
        <w:t xml:space="preserve">، </w:t>
      </w:r>
      <w:r w:rsidRPr="00C20878">
        <w:rPr>
          <w:b/>
          <w:bCs/>
          <w:spacing w:val="0"/>
          <w:sz w:val="20"/>
          <w:rtl/>
        </w:rPr>
        <w:t>وإعطائهم تعويضاً منصفاً وكافياً يشمل سبل رد الاعتبار على أكمل وجه ممكن.</w:t>
      </w:r>
    </w:p>
    <w:p w:rsidR="004E0A37" w:rsidRPr="004E0A37" w:rsidRDefault="004E0A37" w:rsidP="00335AC0">
      <w:pPr>
        <w:pStyle w:val="H23GA"/>
        <w:rPr>
          <w:rtl/>
        </w:rPr>
      </w:pPr>
      <w:r w:rsidRPr="004E0A37">
        <w:rPr>
          <w:rtl/>
        </w:rPr>
        <w:tab/>
      </w:r>
      <w:r w:rsidRPr="004E0A37">
        <w:rPr>
          <w:rtl/>
        </w:rPr>
        <w:tab/>
        <w:t>العقوبة البدنية</w:t>
      </w:r>
    </w:p>
    <w:p w:rsidR="004E0A37" w:rsidRPr="00C20878" w:rsidRDefault="0033301A" w:rsidP="00A72130">
      <w:pPr>
        <w:pStyle w:val="SingleTxtGA"/>
        <w:jc w:val="lowKashida"/>
        <w:rPr>
          <w:spacing w:val="-2"/>
          <w:sz w:val="20"/>
          <w:rtl/>
        </w:rPr>
      </w:pPr>
      <w:r w:rsidRPr="00C20878">
        <w:rPr>
          <w:rFonts w:hint="cs"/>
          <w:spacing w:val="-2"/>
          <w:sz w:val="20"/>
          <w:rtl/>
        </w:rPr>
        <w:t>(</w:t>
      </w:r>
      <w:r w:rsidR="004E0A37" w:rsidRPr="00C20878">
        <w:rPr>
          <w:spacing w:val="-2"/>
          <w:sz w:val="20"/>
          <w:rtl/>
        </w:rPr>
        <w:t>30</w:t>
      </w:r>
      <w:r w:rsidR="003E72B5" w:rsidRPr="00C20878">
        <w:rPr>
          <w:spacing w:val="-2"/>
          <w:sz w:val="20"/>
          <w:rtl/>
        </w:rPr>
        <w:t>)</w:t>
      </w:r>
      <w:r w:rsidR="003E72B5" w:rsidRPr="00C20878">
        <w:rPr>
          <w:spacing w:val="-2"/>
          <w:sz w:val="20"/>
          <w:rtl/>
        </w:rPr>
        <w:tab/>
      </w:r>
      <w:r w:rsidR="004E0A37" w:rsidRPr="00C20878">
        <w:rPr>
          <w:spacing w:val="-2"/>
          <w:sz w:val="20"/>
          <w:rtl/>
        </w:rPr>
        <w:t>إن اللجنة، إذ تحيط</w:t>
      </w:r>
      <w:r w:rsidR="003833F8" w:rsidRPr="00C20878">
        <w:rPr>
          <w:spacing w:val="-2"/>
          <w:sz w:val="20"/>
          <w:rtl/>
        </w:rPr>
        <w:t xml:space="preserve"> علماً </w:t>
      </w:r>
      <w:r w:rsidR="004E0A37" w:rsidRPr="00C20878">
        <w:rPr>
          <w:spacing w:val="-2"/>
          <w:sz w:val="20"/>
          <w:rtl/>
        </w:rPr>
        <w:t>بأن العقوبة البدنية محظورة قانوناً حظراً صريحاً، يساورها القلق إزاء استمرار غياب التنفيذ وتشير إلى أن لجنة حقوق الطفل خلصت إلى أن الأطفال لا يزالون ضحايا العقوبة البدنية في البيت والمدرسة والنظام الجنائي ومراكز الرعاية البديلة وفي</w:t>
      </w:r>
      <w:r w:rsidR="00A72130">
        <w:rPr>
          <w:rFonts w:hint="cs"/>
          <w:spacing w:val="-2"/>
          <w:sz w:val="20"/>
          <w:rtl/>
        </w:rPr>
        <w:t> </w:t>
      </w:r>
      <w:r w:rsidR="004E0A37" w:rsidRPr="00C20878">
        <w:rPr>
          <w:rFonts w:hint="cs"/>
          <w:spacing w:val="-2"/>
          <w:sz w:val="20"/>
          <w:rtl/>
        </w:rPr>
        <w:t>أماكن</w:t>
      </w:r>
      <w:r w:rsidR="004E0A37" w:rsidRPr="00C20878">
        <w:rPr>
          <w:spacing w:val="-2"/>
          <w:sz w:val="20"/>
          <w:rtl/>
        </w:rPr>
        <w:t xml:space="preserve"> العمل. ويساور اللجنة القلق مما </w:t>
      </w:r>
      <w:r w:rsidR="004E0A37" w:rsidRPr="00C20878">
        <w:rPr>
          <w:rFonts w:hint="cs"/>
          <w:spacing w:val="-2"/>
          <w:sz w:val="20"/>
          <w:rtl/>
        </w:rPr>
        <w:t xml:space="preserve">جاء في </w:t>
      </w:r>
      <w:r w:rsidR="004E0A37" w:rsidRPr="00C20878">
        <w:rPr>
          <w:spacing w:val="-2"/>
          <w:sz w:val="20"/>
          <w:rtl/>
        </w:rPr>
        <w:t xml:space="preserve">دراسة استقصائية </w:t>
      </w:r>
      <w:r w:rsidR="004E0A37" w:rsidRPr="00C20878">
        <w:rPr>
          <w:rFonts w:hint="cs"/>
          <w:spacing w:val="-2"/>
          <w:sz w:val="20"/>
          <w:rtl/>
        </w:rPr>
        <w:t>ل</w:t>
      </w:r>
      <w:r w:rsidR="004E0A37" w:rsidRPr="00C20878">
        <w:rPr>
          <w:spacing w:val="-2"/>
          <w:sz w:val="20"/>
          <w:rtl/>
        </w:rPr>
        <w:t>عام 2009 أن</w:t>
      </w:r>
      <w:r w:rsidR="004E0A37" w:rsidRPr="00C20878">
        <w:rPr>
          <w:rFonts w:hint="cs"/>
          <w:spacing w:val="-2"/>
          <w:sz w:val="20"/>
          <w:rtl/>
        </w:rPr>
        <w:t> </w:t>
      </w:r>
      <w:r w:rsidR="004E0A37" w:rsidRPr="00C20878">
        <w:rPr>
          <w:spacing w:val="-2"/>
          <w:sz w:val="20"/>
          <w:rtl/>
        </w:rPr>
        <w:t>34.8 في</w:t>
      </w:r>
      <w:r w:rsidR="00A72130">
        <w:rPr>
          <w:rFonts w:hint="cs"/>
          <w:spacing w:val="-2"/>
          <w:sz w:val="20"/>
          <w:rtl/>
        </w:rPr>
        <w:t> </w:t>
      </w:r>
      <w:r w:rsidR="004E0A37" w:rsidRPr="00C20878">
        <w:rPr>
          <w:spacing w:val="-2"/>
          <w:sz w:val="20"/>
          <w:rtl/>
        </w:rPr>
        <w:t>المائة من الرأي العام تؤيد العقوبة البدنية في تربية الأطفال في بعض الظروف وأن 10.9 في</w:t>
      </w:r>
      <w:r w:rsidR="00A72130">
        <w:rPr>
          <w:rFonts w:hint="cs"/>
          <w:spacing w:val="-2"/>
          <w:sz w:val="20"/>
          <w:rtl/>
        </w:rPr>
        <w:t> </w:t>
      </w:r>
      <w:r w:rsidR="004E0A37" w:rsidRPr="00C20878">
        <w:rPr>
          <w:spacing w:val="-2"/>
          <w:sz w:val="20"/>
          <w:rtl/>
        </w:rPr>
        <w:t>المائة يشعرون أنها مقبولة إذا كان ال</w:t>
      </w:r>
      <w:r w:rsidR="004E0A37" w:rsidRPr="00C20878">
        <w:rPr>
          <w:rFonts w:hint="cs"/>
          <w:spacing w:val="-2"/>
          <w:sz w:val="20"/>
          <w:rtl/>
        </w:rPr>
        <w:t xml:space="preserve">آباء يعتبرون </w:t>
      </w:r>
      <w:r w:rsidR="004E0A37" w:rsidRPr="00C20878">
        <w:rPr>
          <w:spacing w:val="-2"/>
          <w:sz w:val="20"/>
          <w:rtl/>
        </w:rPr>
        <w:t xml:space="preserve">أنها فعالة. ويساورها القلق بوجه خاص من كون اللجوء إلى العقوبة البدنية أكثر شيوعاً </w:t>
      </w:r>
      <w:r w:rsidR="004E0A37" w:rsidRPr="00C20878">
        <w:rPr>
          <w:rFonts w:hint="cs"/>
          <w:spacing w:val="-2"/>
          <w:sz w:val="20"/>
          <w:rtl/>
        </w:rPr>
        <w:t>بكثير</w:t>
      </w:r>
      <w:r w:rsidR="004E0A37" w:rsidRPr="00C20878">
        <w:rPr>
          <w:spacing w:val="-2"/>
          <w:sz w:val="20"/>
          <w:rtl/>
        </w:rPr>
        <w:t xml:space="preserve"> في </w:t>
      </w:r>
      <w:r w:rsidR="004E0A37" w:rsidRPr="00C20878">
        <w:rPr>
          <w:rFonts w:hint="cs"/>
          <w:spacing w:val="-2"/>
          <w:sz w:val="20"/>
          <w:rtl/>
        </w:rPr>
        <w:t>ال</w:t>
      </w:r>
      <w:r w:rsidR="004E0A37" w:rsidRPr="00C20878">
        <w:rPr>
          <w:spacing w:val="-2"/>
          <w:sz w:val="20"/>
          <w:rtl/>
        </w:rPr>
        <w:t xml:space="preserve">مؤسسات </w:t>
      </w:r>
      <w:r w:rsidR="004E0A37" w:rsidRPr="00C20878">
        <w:rPr>
          <w:rFonts w:hint="cs"/>
          <w:spacing w:val="-2"/>
          <w:sz w:val="20"/>
          <w:rtl/>
        </w:rPr>
        <w:t>الخاصة ب</w:t>
      </w:r>
      <w:r w:rsidR="004E0A37" w:rsidRPr="00C20878">
        <w:rPr>
          <w:spacing w:val="-2"/>
          <w:sz w:val="20"/>
          <w:rtl/>
        </w:rPr>
        <w:t>الأطفال ذوي الإعاقة ومن كون عدد من حالات الاعتداء البدني موثقة في الملفات الشخصية للأطفال (المادة 16).</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توصي اللجنة الدولة الطرف بتنفيذ حملة توعية للمهنيين والجمهور من أجل تشجيع الطرق غير العنيفة والإيجابية والتشاركية لتربية الأطفال والتعليم؛ وبأن تعتمد الدولة الطرف نهجاً شاملاً لضمان إنفاذ القانون الذي يحظر العقوبة البدنية والتعريف به على نطاق واسع، بما</w:t>
      </w:r>
      <w:r w:rsidRPr="00C20878">
        <w:rPr>
          <w:rFonts w:hint="cs"/>
          <w:b/>
          <w:bCs/>
          <w:spacing w:val="0"/>
          <w:sz w:val="20"/>
          <w:rtl/>
        </w:rPr>
        <w:t> </w:t>
      </w:r>
      <w:r w:rsidRPr="00C20878">
        <w:rPr>
          <w:b/>
          <w:bCs/>
          <w:spacing w:val="0"/>
          <w:sz w:val="20"/>
          <w:rtl/>
        </w:rPr>
        <w:t>في ذلك تعريف الأطفال بحقهم في الحماية من جميع أشكال العقوبة البدنية. وينبغي أن يكون هناك حظر مطلق للعقوبة البدنية في السياقات المؤسسية، بما في ذلك لفائدة الأطفال ذوي الإعاقة. وينبغي للدولة الطرف أن تقدم أجوبة فعالة ومناسبة على العقوبة البدنية، بما في ذلك التحقيق مع الفاعلين ومقاضاتهم ومعاقبتهم.</w:t>
      </w:r>
    </w:p>
    <w:p w:rsidR="004E0A37" w:rsidRPr="004E0A37" w:rsidRDefault="004E0A37" w:rsidP="00335AC0">
      <w:pPr>
        <w:pStyle w:val="H23GA"/>
        <w:rPr>
          <w:rFonts w:hint="cs"/>
          <w:rtl/>
        </w:rPr>
      </w:pPr>
      <w:r w:rsidRPr="004E0A37">
        <w:rPr>
          <w:rtl/>
        </w:rPr>
        <w:tab/>
      </w:r>
      <w:r w:rsidRPr="004E0A37">
        <w:rPr>
          <w:rtl/>
        </w:rPr>
        <w:tab/>
        <w:t>جمع البيانات</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31</w:t>
      </w:r>
      <w:r w:rsidR="003E72B5">
        <w:rPr>
          <w:spacing w:val="0"/>
          <w:sz w:val="20"/>
          <w:rtl/>
        </w:rPr>
        <w:t>)</w:t>
      </w:r>
      <w:r w:rsidR="003E72B5">
        <w:rPr>
          <w:spacing w:val="0"/>
          <w:sz w:val="20"/>
          <w:rtl/>
        </w:rPr>
        <w:tab/>
      </w:r>
      <w:r w:rsidR="004E0A37" w:rsidRPr="004E0A37">
        <w:rPr>
          <w:spacing w:val="0"/>
          <w:sz w:val="20"/>
          <w:rtl/>
        </w:rPr>
        <w:t>تعرب اللجنة عن أسفها لعدم وجود بيانات شاملة ومفصلة عن الشكاوى والتحقيقات والمحاكمات والإدانات في حالات التعذيب وسوء المعاملة التي يرتكبها موظفو إنفاذ القوانين والأمن والجيش والسجون، أو عن الاتجار بالبشر والعنف المنزلي والجنسي، بما</w:t>
      </w:r>
      <w:r w:rsidR="004E0A37" w:rsidRPr="004E0A37">
        <w:rPr>
          <w:rFonts w:hint="cs"/>
          <w:spacing w:val="0"/>
          <w:sz w:val="20"/>
          <w:rtl/>
        </w:rPr>
        <w:t> </w:t>
      </w:r>
      <w:r w:rsidR="004E0A37" w:rsidRPr="004E0A37">
        <w:rPr>
          <w:spacing w:val="0"/>
          <w:sz w:val="20"/>
          <w:rtl/>
        </w:rPr>
        <w:t>في ذلك سبل جبر الضرر (المواد 2 و11 و12 و13 و14 و16).</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ينبغي للدولة الطرف أن تجمع بيانات إحصائية تتصل برصد تنفيذ الاتفاقية على الصعيد الوطني، بما في ذلك بيانات بشأن الشكاوى والتحقيقات والمحاكمات والإدانات المتعلقة بحالات التعذيب وسوء المعاملة والاتجار بالبشر والعنف المنزلي والجنسي، وبشأن سبل جبر الضرر، بما في ذلك التعويضات المقدمة للضحايا وإعادة تأهيلهم.</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32</w:t>
      </w:r>
      <w:r w:rsidR="003E72B5">
        <w:rPr>
          <w:spacing w:val="0"/>
          <w:sz w:val="20"/>
          <w:rtl/>
        </w:rPr>
        <w:t>)</w:t>
      </w:r>
      <w:r w:rsidR="003E72B5">
        <w:rPr>
          <w:spacing w:val="0"/>
          <w:sz w:val="20"/>
          <w:rtl/>
        </w:rPr>
        <w:tab/>
      </w:r>
      <w:r w:rsidR="004E0A37" w:rsidRPr="004E0A37">
        <w:rPr>
          <w:rFonts w:hint="cs"/>
          <w:spacing w:val="0"/>
          <w:sz w:val="20"/>
          <w:rtl/>
        </w:rPr>
        <w:t>و</w:t>
      </w:r>
      <w:r w:rsidR="004E0A37" w:rsidRPr="004E0A37">
        <w:rPr>
          <w:spacing w:val="0"/>
          <w:sz w:val="20"/>
          <w:rtl/>
        </w:rPr>
        <w:t xml:space="preserve">تدعو اللجنة الدولة الطرف إلى التصديق على معاهدات الأمم المتحدة الأساسية لحقوق الإنسان التي ليست طرفاً فيها بعد، وهي الاتفاقية الدولية لحماية حقوق جميع العمال المهاجرين وأفراد أسرهم؛ واتفاقية حقوق الأشخاص ذوي الإعاقة وبرتوكولها الاختياري، والاتفاقية الدولية لحماية جميع الأشخاص من الاختفاء القسري. </w:t>
      </w:r>
    </w:p>
    <w:p w:rsidR="004E0A37" w:rsidRPr="004E0A37" w:rsidRDefault="0033301A" w:rsidP="00C20878">
      <w:pPr>
        <w:pStyle w:val="SingleTxtGA"/>
        <w:spacing w:line="360" w:lineRule="exact"/>
        <w:jc w:val="lowKashida"/>
        <w:rPr>
          <w:spacing w:val="0"/>
          <w:sz w:val="20"/>
          <w:rtl/>
        </w:rPr>
      </w:pPr>
      <w:r>
        <w:rPr>
          <w:rFonts w:hint="cs"/>
          <w:spacing w:val="0"/>
          <w:sz w:val="20"/>
          <w:rtl/>
        </w:rPr>
        <w:t>(</w:t>
      </w:r>
      <w:r w:rsidR="004E0A37" w:rsidRPr="004E0A37">
        <w:rPr>
          <w:spacing w:val="0"/>
          <w:sz w:val="20"/>
          <w:rtl/>
        </w:rPr>
        <w:t>33</w:t>
      </w:r>
      <w:r w:rsidR="003E72B5">
        <w:rPr>
          <w:spacing w:val="0"/>
          <w:sz w:val="20"/>
          <w:rtl/>
        </w:rPr>
        <w:t>)</w:t>
      </w:r>
      <w:r w:rsidR="003E72B5">
        <w:rPr>
          <w:spacing w:val="0"/>
          <w:sz w:val="20"/>
          <w:rtl/>
        </w:rPr>
        <w:tab/>
      </w:r>
      <w:r w:rsidR="004E0A37" w:rsidRPr="004E0A37">
        <w:rPr>
          <w:spacing w:val="0"/>
          <w:sz w:val="20"/>
          <w:rtl/>
        </w:rPr>
        <w:t>وترجو اللجنة من الدولة الطرف أن تنشر على نطاق واسع، وباللغات المناسبة، التقرير المقدم إلى اللجنة والملاحظات الختامية للجنة، عن طريق المواقع الرسمية على شبكة الإنترنت ووسائط الإعلام والمنظمات غير الحكومية.</w:t>
      </w:r>
    </w:p>
    <w:p w:rsidR="004E0A37" w:rsidRPr="004E0A37" w:rsidRDefault="0033301A" w:rsidP="00C20878">
      <w:pPr>
        <w:pStyle w:val="SingleTxtGA"/>
        <w:spacing w:line="360" w:lineRule="exact"/>
        <w:jc w:val="lowKashida"/>
        <w:rPr>
          <w:spacing w:val="0"/>
          <w:sz w:val="20"/>
          <w:rtl/>
        </w:rPr>
      </w:pPr>
      <w:r>
        <w:rPr>
          <w:rFonts w:hint="cs"/>
          <w:spacing w:val="0"/>
          <w:sz w:val="20"/>
          <w:rtl/>
        </w:rPr>
        <w:t>(</w:t>
      </w:r>
      <w:r w:rsidR="004E0A37" w:rsidRPr="004E0A37">
        <w:rPr>
          <w:spacing w:val="0"/>
          <w:sz w:val="20"/>
          <w:rtl/>
        </w:rPr>
        <w:t>34</w:t>
      </w:r>
      <w:r w:rsidR="003E72B5">
        <w:rPr>
          <w:spacing w:val="0"/>
          <w:sz w:val="20"/>
          <w:rtl/>
        </w:rPr>
        <w:t>)</w:t>
      </w:r>
      <w:r w:rsidR="003E72B5">
        <w:rPr>
          <w:spacing w:val="0"/>
          <w:sz w:val="20"/>
          <w:rtl/>
        </w:rPr>
        <w:tab/>
      </w:r>
      <w:r w:rsidR="004E0A37" w:rsidRPr="004E0A37">
        <w:rPr>
          <w:spacing w:val="0"/>
          <w:sz w:val="20"/>
          <w:rtl/>
        </w:rPr>
        <w:t>وتدعو اللجنة الدولة الطرف إلى تحديث وثيقتها الأساسية المشتركة (</w:t>
      </w:r>
      <w:r w:rsidR="004E0A37" w:rsidRPr="004E0A37">
        <w:rPr>
          <w:spacing w:val="0"/>
          <w:sz w:val="20"/>
        </w:rPr>
        <w:t>HRI/CORE/1/Add.81</w:t>
      </w:r>
      <w:r w:rsidR="004E0A37" w:rsidRPr="004E0A37">
        <w:rPr>
          <w:spacing w:val="0"/>
          <w:sz w:val="20"/>
          <w:rtl/>
        </w:rPr>
        <w:t>)،</w:t>
      </w:r>
      <w:r w:rsidR="00B345DB">
        <w:rPr>
          <w:spacing w:val="0"/>
          <w:sz w:val="20"/>
          <w:rtl/>
        </w:rPr>
        <w:t xml:space="preserve"> وفقاً </w:t>
      </w:r>
      <w:r w:rsidR="004E0A37" w:rsidRPr="004E0A37">
        <w:rPr>
          <w:spacing w:val="0"/>
          <w:sz w:val="20"/>
          <w:rtl/>
        </w:rPr>
        <w:t>لشروط تقديم الوثائق الأساسية المشتركة الواردة في المبادئ التوجيهية المنسقة لتقديم التقارير بموجب المعاهدات الدولية لحقوق الإنسان (</w:t>
      </w:r>
      <w:r w:rsidR="004E0A37" w:rsidRPr="004E0A37">
        <w:rPr>
          <w:spacing w:val="0"/>
          <w:sz w:val="20"/>
        </w:rPr>
        <w:t>HRI/GEN.2/Rev.6</w:t>
      </w:r>
      <w:r w:rsidR="004E0A37" w:rsidRPr="004E0A37">
        <w:rPr>
          <w:spacing w:val="0"/>
          <w:sz w:val="20"/>
          <w:rtl/>
        </w:rPr>
        <w:t xml:space="preserve">). </w:t>
      </w:r>
    </w:p>
    <w:p w:rsidR="004E0A37" w:rsidRPr="00A72130" w:rsidRDefault="0033301A" w:rsidP="006E43D5">
      <w:pPr>
        <w:pStyle w:val="SingleTxtGA"/>
        <w:spacing w:line="360" w:lineRule="exact"/>
        <w:jc w:val="lowKashida"/>
        <w:rPr>
          <w:spacing w:val="-4"/>
          <w:sz w:val="20"/>
          <w:rtl/>
        </w:rPr>
      </w:pPr>
      <w:r w:rsidRPr="00A72130">
        <w:rPr>
          <w:rFonts w:hint="cs"/>
          <w:spacing w:val="-4"/>
          <w:sz w:val="20"/>
          <w:rtl/>
        </w:rPr>
        <w:t>(</w:t>
      </w:r>
      <w:r w:rsidR="004E0A37" w:rsidRPr="00A72130">
        <w:rPr>
          <w:spacing w:val="-4"/>
          <w:sz w:val="20"/>
          <w:rtl/>
        </w:rPr>
        <w:t>35</w:t>
      </w:r>
      <w:r w:rsidR="003E72B5" w:rsidRPr="00A72130">
        <w:rPr>
          <w:spacing w:val="-4"/>
          <w:sz w:val="20"/>
          <w:rtl/>
        </w:rPr>
        <w:t>)</w:t>
      </w:r>
      <w:r w:rsidR="003E72B5" w:rsidRPr="00A72130">
        <w:rPr>
          <w:spacing w:val="-4"/>
          <w:sz w:val="20"/>
          <w:rtl/>
        </w:rPr>
        <w:tab/>
      </w:r>
      <w:r w:rsidR="004E0A37" w:rsidRPr="00A72130">
        <w:rPr>
          <w:spacing w:val="-4"/>
          <w:sz w:val="20"/>
          <w:rtl/>
        </w:rPr>
        <w:t>وتطلب اللجنة إلى الدولة الطرف أن توافيها، بحلول 25 تشرين الثاني/نوفمبر</w:t>
      </w:r>
      <w:r w:rsidR="00A72130" w:rsidRPr="00A72130">
        <w:rPr>
          <w:rFonts w:hint="cs"/>
          <w:spacing w:val="-4"/>
          <w:sz w:val="20"/>
          <w:rtl/>
        </w:rPr>
        <w:t xml:space="preserve"> </w:t>
      </w:r>
      <w:r w:rsidR="004E0A37" w:rsidRPr="00A72130">
        <w:rPr>
          <w:spacing w:val="-4"/>
          <w:sz w:val="20"/>
          <w:rtl/>
        </w:rPr>
        <w:t xml:space="preserve">2012، بمعلومات </w:t>
      </w:r>
      <w:r w:rsidR="004E0A37" w:rsidRPr="00A72130">
        <w:rPr>
          <w:rFonts w:hint="cs"/>
          <w:spacing w:val="-4"/>
          <w:sz w:val="20"/>
          <w:rtl/>
        </w:rPr>
        <w:t>عن الإجراءات التي اتخذتها تبعاً</w:t>
      </w:r>
      <w:r w:rsidR="004E0A37" w:rsidRPr="00A72130">
        <w:rPr>
          <w:spacing w:val="-4"/>
          <w:sz w:val="20"/>
          <w:rtl/>
        </w:rPr>
        <w:t xml:space="preserve"> </w:t>
      </w:r>
      <w:r w:rsidR="004E0A37" w:rsidRPr="00A72130">
        <w:rPr>
          <w:rFonts w:hint="cs"/>
          <w:spacing w:val="-4"/>
          <w:sz w:val="20"/>
          <w:rtl/>
        </w:rPr>
        <w:t>ل</w:t>
      </w:r>
      <w:r w:rsidR="004E0A37" w:rsidRPr="00A72130">
        <w:rPr>
          <w:spacing w:val="-4"/>
          <w:sz w:val="20"/>
          <w:rtl/>
        </w:rPr>
        <w:t>توصيات اللجنة المتصلة بما يلي: (أ)</w:t>
      </w:r>
      <w:r w:rsidR="004E0A37" w:rsidRPr="00A72130">
        <w:rPr>
          <w:rFonts w:hint="cs"/>
          <w:spacing w:val="-4"/>
          <w:sz w:val="20"/>
          <w:rtl/>
        </w:rPr>
        <w:t> كف</w:t>
      </w:r>
      <w:r w:rsidR="004E0A37" w:rsidRPr="00A72130">
        <w:rPr>
          <w:spacing w:val="-4"/>
          <w:sz w:val="20"/>
          <w:rtl/>
        </w:rPr>
        <w:t>الة أو</w:t>
      </w:r>
      <w:r w:rsidR="006E43D5">
        <w:rPr>
          <w:rFonts w:hint="cs"/>
          <w:spacing w:val="-4"/>
          <w:sz w:val="20"/>
          <w:rtl/>
        </w:rPr>
        <w:t> </w:t>
      </w:r>
      <w:r w:rsidR="004E0A37" w:rsidRPr="00A72130">
        <w:rPr>
          <w:spacing w:val="-4"/>
          <w:sz w:val="20"/>
          <w:rtl/>
        </w:rPr>
        <w:t>تعزيز</w:t>
      </w:r>
      <w:r w:rsidR="00A72130">
        <w:rPr>
          <w:rFonts w:hint="cs"/>
          <w:spacing w:val="-4"/>
          <w:sz w:val="20"/>
          <w:rtl/>
        </w:rPr>
        <w:t> </w:t>
      </w:r>
      <w:r w:rsidR="004E0A37" w:rsidRPr="00A72130">
        <w:rPr>
          <w:spacing w:val="-4"/>
          <w:sz w:val="20"/>
          <w:rtl/>
        </w:rPr>
        <w:t>الضمانات القانونية للمحتجزين؛ (ب)</w:t>
      </w:r>
      <w:r w:rsidR="004E0A37" w:rsidRPr="00A72130">
        <w:rPr>
          <w:rFonts w:hint="cs"/>
          <w:spacing w:val="-4"/>
          <w:sz w:val="20"/>
          <w:rtl/>
        </w:rPr>
        <w:t> و</w:t>
      </w:r>
      <w:r w:rsidR="004E0A37" w:rsidRPr="00A72130">
        <w:rPr>
          <w:spacing w:val="-4"/>
          <w:sz w:val="20"/>
          <w:rtl/>
        </w:rPr>
        <w:t>إجراء تحقيقات سريعة ومحايدة وفعالة، (ج)</w:t>
      </w:r>
      <w:r w:rsidR="004E0A37" w:rsidRPr="00A72130">
        <w:rPr>
          <w:rFonts w:hint="cs"/>
          <w:spacing w:val="-4"/>
          <w:sz w:val="20"/>
          <w:rtl/>
        </w:rPr>
        <w:t> </w:t>
      </w:r>
      <w:r w:rsidR="004E0A37" w:rsidRPr="00A72130">
        <w:rPr>
          <w:spacing w:val="-4"/>
          <w:sz w:val="20"/>
          <w:rtl/>
        </w:rPr>
        <w:t>ومقاضاة</w:t>
      </w:r>
      <w:r w:rsidR="00A72130">
        <w:rPr>
          <w:rFonts w:hint="cs"/>
          <w:spacing w:val="-4"/>
          <w:sz w:val="20"/>
          <w:rtl/>
        </w:rPr>
        <w:t> </w:t>
      </w:r>
      <w:r w:rsidR="004E0A37" w:rsidRPr="00A72130">
        <w:rPr>
          <w:spacing w:val="-4"/>
          <w:sz w:val="20"/>
          <w:rtl/>
        </w:rPr>
        <w:t xml:space="preserve">المشتبه فيهم ومعاقبة مرتكبي التعذيب أو سوء المعاملة، على النحو الوارد في الفقرات 9 و10 و28 من هذه الوثيقة. </w:t>
      </w:r>
    </w:p>
    <w:p w:rsidR="004E0A37" w:rsidRPr="004E0A37" w:rsidRDefault="0033301A" w:rsidP="00C20878">
      <w:pPr>
        <w:pStyle w:val="SingleTxtGA"/>
        <w:spacing w:line="360" w:lineRule="exact"/>
        <w:jc w:val="lowKashida"/>
        <w:rPr>
          <w:rFonts w:hint="cs"/>
          <w:spacing w:val="0"/>
          <w:sz w:val="20"/>
          <w:rtl/>
        </w:rPr>
      </w:pPr>
      <w:r>
        <w:rPr>
          <w:rFonts w:hint="cs"/>
          <w:spacing w:val="0"/>
          <w:sz w:val="20"/>
          <w:rtl/>
        </w:rPr>
        <w:t>(</w:t>
      </w:r>
      <w:r w:rsidR="004E0A37" w:rsidRPr="004E0A37">
        <w:rPr>
          <w:spacing w:val="0"/>
          <w:sz w:val="20"/>
          <w:rtl/>
        </w:rPr>
        <w:t>36</w:t>
      </w:r>
      <w:r w:rsidR="003E72B5">
        <w:rPr>
          <w:spacing w:val="0"/>
          <w:sz w:val="20"/>
          <w:rtl/>
        </w:rPr>
        <w:t>)</w:t>
      </w:r>
      <w:r w:rsidR="003E72B5">
        <w:rPr>
          <w:spacing w:val="0"/>
          <w:sz w:val="20"/>
          <w:rtl/>
        </w:rPr>
        <w:tab/>
      </w:r>
      <w:r w:rsidR="004E0A37" w:rsidRPr="004E0A37">
        <w:rPr>
          <w:spacing w:val="0"/>
          <w:sz w:val="20"/>
          <w:rtl/>
        </w:rPr>
        <w:t>وتدعو اللجنة الدولة الطرف إلى تقديم تقريرها الدوري المقبل الذي سيكون تقريرها الدوري السادس بحلول 25 تشرين الثاني/نوفمبر 2015. ولهذا الغرض، تدعو اللجنة الدولة الطرف إلى أن تقبل، بحلول 25 تشرين الثاني/نوفمبر 2012، الإبلاغ في إطار إجرا</w:t>
      </w:r>
      <w:r w:rsidR="004E0A37" w:rsidRPr="004E0A37">
        <w:rPr>
          <w:rFonts w:hint="cs"/>
          <w:spacing w:val="0"/>
          <w:sz w:val="20"/>
          <w:rtl/>
        </w:rPr>
        <w:t>ئها</w:t>
      </w:r>
      <w:r w:rsidR="004E0A37" w:rsidRPr="004E0A37">
        <w:rPr>
          <w:spacing w:val="0"/>
          <w:sz w:val="20"/>
          <w:rtl/>
        </w:rPr>
        <w:t xml:space="preserve"> الاختياري </w:t>
      </w:r>
      <w:r w:rsidR="004E0A37" w:rsidRPr="004E0A37">
        <w:rPr>
          <w:rFonts w:hint="cs"/>
          <w:spacing w:val="0"/>
          <w:sz w:val="20"/>
          <w:rtl/>
        </w:rPr>
        <w:t>المتعلق بالإبلاغ والقاضي ب</w:t>
      </w:r>
      <w:r w:rsidR="004E0A37" w:rsidRPr="004E0A37">
        <w:rPr>
          <w:spacing w:val="0"/>
          <w:sz w:val="20"/>
          <w:rtl/>
        </w:rPr>
        <w:t>أن تحيل اللجنة إلى الدولة الطرف قائمة من القضايا قبل تقديم التقرير الدوري. وسيشكل رد الدولة الطرف على هذه القائمة من القضايا تقريرها الدوري المقبل إلى اللجنة، في إطار المادة 19 من الاتفاقية.</w:t>
      </w:r>
    </w:p>
    <w:p w:rsidR="004E0A37" w:rsidRPr="004E0A37" w:rsidRDefault="004E0A37" w:rsidP="004E0A37">
      <w:pPr>
        <w:pStyle w:val="SingleTxtGA"/>
        <w:jc w:val="lowKashida"/>
        <w:rPr>
          <w:spacing w:val="0"/>
          <w:sz w:val="20"/>
          <w:rtl/>
        </w:rPr>
      </w:pPr>
      <w:r w:rsidRPr="004E0A37">
        <w:rPr>
          <w:rFonts w:hint="cs"/>
          <w:spacing w:val="0"/>
          <w:sz w:val="20"/>
          <w:rtl/>
        </w:rPr>
        <w:t>54</w:t>
      </w:r>
      <w:r w:rsidR="0033301A">
        <w:rPr>
          <w:rFonts w:hint="cs"/>
          <w:spacing w:val="0"/>
          <w:sz w:val="20"/>
          <w:rtl/>
        </w:rPr>
        <w:t>-</w:t>
      </w:r>
      <w:r w:rsidR="003E72B5">
        <w:rPr>
          <w:rFonts w:hint="cs"/>
          <w:spacing w:val="0"/>
          <w:sz w:val="20"/>
          <w:rtl/>
        </w:rPr>
        <w:tab/>
      </w:r>
      <w:r w:rsidRPr="00C20878">
        <w:rPr>
          <w:b/>
          <w:bCs/>
          <w:spacing w:val="0"/>
          <w:sz w:val="20"/>
          <w:rtl/>
        </w:rPr>
        <w:t>جيبوتي</w:t>
      </w:r>
    </w:p>
    <w:p w:rsidR="004E0A37" w:rsidRPr="00A72130" w:rsidRDefault="004E0A37" w:rsidP="003E72B5">
      <w:pPr>
        <w:pStyle w:val="SingleTxtGA"/>
        <w:jc w:val="lowKashida"/>
        <w:rPr>
          <w:spacing w:val="-4"/>
          <w:sz w:val="20"/>
          <w:rtl/>
        </w:rPr>
      </w:pPr>
      <w:r w:rsidRPr="00A72130">
        <w:rPr>
          <w:rFonts w:hint="cs"/>
          <w:spacing w:val="-4"/>
          <w:sz w:val="20"/>
          <w:rtl/>
        </w:rPr>
        <w:t>(</w:t>
      </w:r>
      <w:r w:rsidRPr="00A72130">
        <w:rPr>
          <w:spacing w:val="-4"/>
          <w:sz w:val="20"/>
          <w:rtl/>
        </w:rPr>
        <w:t>1</w:t>
      </w:r>
      <w:r w:rsidRPr="00A72130">
        <w:rPr>
          <w:rFonts w:hint="cs"/>
          <w:spacing w:val="-4"/>
          <w:sz w:val="20"/>
          <w:rtl/>
        </w:rPr>
        <w:t>)</w:t>
      </w:r>
      <w:r w:rsidRPr="00A72130">
        <w:rPr>
          <w:rFonts w:hint="cs"/>
          <w:spacing w:val="-4"/>
          <w:sz w:val="20"/>
          <w:rtl/>
        </w:rPr>
        <w:tab/>
      </w:r>
      <w:r w:rsidRPr="00A72130">
        <w:rPr>
          <w:spacing w:val="-4"/>
          <w:sz w:val="20"/>
          <w:rtl/>
        </w:rPr>
        <w:t xml:space="preserve">نظرت لجنة مناهضة التعذيب (المشار إليها </w:t>
      </w:r>
      <w:r w:rsidR="00F96B1E" w:rsidRPr="00A72130">
        <w:rPr>
          <w:spacing w:val="-4"/>
          <w:sz w:val="20"/>
          <w:rtl/>
        </w:rPr>
        <w:t>فيما </w:t>
      </w:r>
      <w:r w:rsidRPr="00A72130">
        <w:rPr>
          <w:spacing w:val="-4"/>
          <w:sz w:val="20"/>
          <w:rtl/>
        </w:rPr>
        <w:t>يلي ب</w:t>
      </w:r>
      <w:r w:rsidRPr="00A72130">
        <w:rPr>
          <w:rFonts w:hint="cs"/>
          <w:spacing w:val="-4"/>
          <w:sz w:val="20"/>
          <w:rtl/>
        </w:rPr>
        <w:t>‍ </w:t>
      </w:r>
      <w:r w:rsidRPr="00A72130">
        <w:rPr>
          <w:spacing w:val="-4"/>
          <w:sz w:val="20"/>
          <w:rtl/>
        </w:rPr>
        <w:t>"اللجنة") في التقرير الأوّلي لجيبوتي (</w:t>
      </w:r>
      <w:r w:rsidRPr="00A72130">
        <w:rPr>
          <w:spacing w:val="-4"/>
          <w:sz w:val="20"/>
        </w:rPr>
        <w:t>CAT/C/DJI/1</w:t>
      </w:r>
      <w:r w:rsidRPr="00A72130">
        <w:rPr>
          <w:spacing w:val="-4"/>
          <w:sz w:val="20"/>
          <w:rtl/>
        </w:rPr>
        <w:t>) في جلستيْها 1024 و1027</w:t>
      </w:r>
      <w:r w:rsidRPr="00A72130">
        <w:rPr>
          <w:rFonts w:hint="cs"/>
          <w:spacing w:val="-4"/>
          <w:sz w:val="20"/>
          <w:rtl/>
        </w:rPr>
        <w:t xml:space="preserve"> (</w:t>
      </w:r>
      <w:r w:rsidRPr="00A72130">
        <w:rPr>
          <w:spacing w:val="-4"/>
          <w:sz w:val="20"/>
        </w:rPr>
        <w:t>CAT/C/SR.1024</w:t>
      </w:r>
      <w:r w:rsidRPr="00A72130">
        <w:rPr>
          <w:spacing w:val="-4"/>
          <w:sz w:val="20"/>
          <w:rtl/>
        </w:rPr>
        <w:t xml:space="preserve"> و1027)، المعقودتين يومي 2 و3 تشرين الثاني/نوفمبر2011، واعتمدت في جلستيْها 1045 و1046 (</w:t>
      </w:r>
      <w:r w:rsidRPr="00A72130">
        <w:rPr>
          <w:spacing w:val="-4"/>
          <w:sz w:val="20"/>
        </w:rPr>
        <w:t>CAT/C/SR.1045</w:t>
      </w:r>
      <w:r w:rsidRPr="00A72130">
        <w:rPr>
          <w:spacing w:val="-4"/>
          <w:sz w:val="20"/>
          <w:rtl/>
        </w:rPr>
        <w:t xml:space="preserve"> و1046) المعقودتين يومي 17 و18 تشرين الثاني/نوفمبر2011، الملاحظات الختامية </w:t>
      </w:r>
      <w:r w:rsidRPr="00A72130">
        <w:rPr>
          <w:rFonts w:hint="cs"/>
          <w:spacing w:val="-4"/>
          <w:sz w:val="20"/>
          <w:rtl/>
        </w:rPr>
        <w:t>التالية</w:t>
      </w:r>
      <w:r w:rsidRPr="00A72130">
        <w:rPr>
          <w:spacing w:val="-4"/>
          <w:sz w:val="20"/>
          <w:rtl/>
        </w:rPr>
        <w:t>.</w:t>
      </w:r>
    </w:p>
    <w:p w:rsidR="004E0A37" w:rsidRPr="004E0A37" w:rsidRDefault="007223C0" w:rsidP="006E43D5">
      <w:pPr>
        <w:pStyle w:val="H23GA"/>
        <w:tabs>
          <w:tab w:val="left" w:pos="1938"/>
        </w:tabs>
        <w:rPr>
          <w:rtl/>
        </w:rPr>
      </w:pPr>
      <w:r>
        <w:rPr>
          <w:rFonts w:hint="cs"/>
          <w:rtl/>
        </w:rPr>
        <w:tab/>
      </w:r>
      <w:r w:rsidR="004E0A37" w:rsidRPr="004E0A37">
        <w:rPr>
          <w:rFonts w:hint="cs"/>
          <w:rtl/>
        </w:rPr>
        <w:tab/>
      </w:r>
      <w:r w:rsidR="004E0A37" w:rsidRPr="004E0A37">
        <w:rPr>
          <w:rtl/>
        </w:rPr>
        <w:t>ألف</w:t>
      </w:r>
      <w:r w:rsidR="004E0A37" w:rsidRPr="004E0A37">
        <w:rPr>
          <w:rFonts w:hint="cs"/>
          <w:rtl/>
        </w:rPr>
        <w:t>-</w:t>
      </w:r>
      <w:r w:rsidR="004E0A37" w:rsidRPr="004E0A37">
        <w:rPr>
          <w:rFonts w:hint="cs"/>
          <w:rtl/>
        </w:rPr>
        <w:tab/>
      </w:r>
      <w:r w:rsidR="004E0A37" w:rsidRPr="004E0A37">
        <w:rPr>
          <w:rtl/>
        </w:rPr>
        <w:t>مقدمة</w:t>
      </w:r>
    </w:p>
    <w:p w:rsidR="004E0A37" w:rsidRPr="004E0A37" w:rsidRDefault="004E0A37" w:rsidP="00C20878">
      <w:pPr>
        <w:pStyle w:val="SingleTxtGA"/>
        <w:spacing w:line="360" w:lineRule="exact"/>
        <w:jc w:val="lowKashida"/>
        <w:rPr>
          <w:spacing w:val="0"/>
          <w:sz w:val="20"/>
          <w:rtl/>
        </w:rPr>
      </w:pPr>
      <w:r w:rsidRPr="004E0A37">
        <w:rPr>
          <w:rFonts w:hint="cs"/>
          <w:spacing w:val="0"/>
          <w:sz w:val="20"/>
          <w:rtl/>
        </w:rPr>
        <w:t>(</w:t>
      </w:r>
      <w:r w:rsidRPr="004E0A37">
        <w:rPr>
          <w:spacing w:val="0"/>
          <w:sz w:val="20"/>
          <w:rtl/>
        </w:rPr>
        <w:t>2</w:t>
      </w:r>
      <w:r w:rsidR="003E72B5">
        <w:rPr>
          <w:rFonts w:hint="cs"/>
          <w:spacing w:val="0"/>
          <w:sz w:val="20"/>
          <w:rtl/>
        </w:rPr>
        <w:t>)</w:t>
      </w:r>
      <w:r w:rsidR="003E72B5">
        <w:rPr>
          <w:rFonts w:hint="cs"/>
          <w:spacing w:val="0"/>
          <w:sz w:val="20"/>
          <w:rtl/>
        </w:rPr>
        <w:tab/>
      </w:r>
      <w:r w:rsidRPr="004E0A37">
        <w:rPr>
          <w:spacing w:val="0"/>
          <w:sz w:val="20"/>
          <w:rtl/>
        </w:rPr>
        <w:t xml:space="preserve">ترحب اللجنة بتقديم جيبوتي تقريرها الأوّلي الذي يتبع بصورة عامة، المبادئ التوجيهية التي وضعتها بخصوص إعداد التقارير الأوّلية. وتثني على توخي الصراحة في إعداد التقرير الذي أقرَّت فيه الدولة الطرف بوجود ثغرات عديدة في تنفيذ اتفاقية مناهضة التعذيب وغيره من ضروب المعاملة أو العقوبة القاسية أو اللاإنسانية أو المهينة (المشار إليها </w:t>
      </w:r>
      <w:r w:rsidR="00F96B1E">
        <w:rPr>
          <w:spacing w:val="0"/>
          <w:sz w:val="20"/>
          <w:rtl/>
        </w:rPr>
        <w:t>فيما </w:t>
      </w:r>
      <w:r w:rsidRPr="004E0A37">
        <w:rPr>
          <w:spacing w:val="0"/>
          <w:sz w:val="20"/>
          <w:rtl/>
        </w:rPr>
        <w:t xml:space="preserve">يلي </w:t>
      </w:r>
      <w:r w:rsidRPr="004E0A37">
        <w:rPr>
          <w:rFonts w:hint="cs"/>
          <w:spacing w:val="0"/>
          <w:sz w:val="20"/>
          <w:rtl/>
        </w:rPr>
        <w:t>ب‍ </w:t>
      </w:r>
      <w:r w:rsidRPr="004E0A37">
        <w:rPr>
          <w:spacing w:val="0"/>
          <w:sz w:val="20"/>
          <w:rtl/>
        </w:rPr>
        <w:t xml:space="preserve">"الاتفاقية"). ومع ذلك، تأسف اللجنة لتقديمه متأخراً سبع سنوات عن موعده. وتعرب عن ارتياحها للحوار الذي أجرته بقدر كبير من الصراحة مع وفد الدولة الطرف بشأن العديد من المجالات المشمولة بالاتفاقية. </w:t>
      </w:r>
    </w:p>
    <w:p w:rsidR="004E0A37" w:rsidRPr="004E0A37" w:rsidRDefault="004E0A37" w:rsidP="006E43D5">
      <w:pPr>
        <w:pStyle w:val="H23GA"/>
        <w:tabs>
          <w:tab w:val="left" w:pos="1925"/>
        </w:tabs>
        <w:rPr>
          <w:rtl/>
        </w:rPr>
      </w:pPr>
      <w:r w:rsidRPr="004E0A37">
        <w:rPr>
          <w:rFonts w:hint="cs"/>
          <w:rtl/>
        </w:rPr>
        <w:tab/>
      </w:r>
      <w:r w:rsidR="007223C0">
        <w:rPr>
          <w:rFonts w:hint="cs"/>
          <w:rtl/>
        </w:rPr>
        <w:tab/>
      </w:r>
      <w:r w:rsidRPr="004E0A37">
        <w:rPr>
          <w:rtl/>
        </w:rPr>
        <w:t>باء-</w:t>
      </w:r>
      <w:r w:rsidRPr="004E0A37">
        <w:rPr>
          <w:rtl/>
        </w:rPr>
        <w:tab/>
        <w:t>الجوانب الإيجابية</w:t>
      </w:r>
    </w:p>
    <w:p w:rsidR="004E0A37" w:rsidRPr="004E0A37" w:rsidRDefault="004E0A37" w:rsidP="00C20878">
      <w:pPr>
        <w:pStyle w:val="SingleTxtGA"/>
        <w:spacing w:line="360" w:lineRule="exact"/>
        <w:jc w:val="lowKashida"/>
        <w:rPr>
          <w:spacing w:val="0"/>
          <w:sz w:val="20"/>
          <w:rtl/>
        </w:rPr>
      </w:pPr>
      <w:r w:rsidRPr="004E0A37">
        <w:rPr>
          <w:rFonts w:hint="cs"/>
          <w:spacing w:val="0"/>
          <w:sz w:val="20"/>
          <w:rtl/>
        </w:rPr>
        <w:t>(</w:t>
      </w:r>
      <w:r w:rsidRPr="004E0A37">
        <w:rPr>
          <w:spacing w:val="0"/>
          <w:sz w:val="20"/>
          <w:rtl/>
        </w:rPr>
        <w:t>3</w:t>
      </w:r>
      <w:r w:rsidR="003E72B5">
        <w:rPr>
          <w:rFonts w:hint="cs"/>
          <w:spacing w:val="0"/>
          <w:sz w:val="20"/>
          <w:rtl/>
        </w:rPr>
        <w:t>)</w:t>
      </w:r>
      <w:r w:rsidR="003E72B5">
        <w:rPr>
          <w:rFonts w:hint="cs"/>
          <w:spacing w:val="0"/>
          <w:sz w:val="20"/>
          <w:rtl/>
        </w:rPr>
        <w:tab/>
      </w:r>
      <w:r w:rsidRPr="004E0A37">
        <w:rPr>
          <w:spacing w:val="0"/>
          <w:sz w:val="20"/>
          <w:rtl/>
        </w:rPr>
        <w:t>ترحب اللجنة بتصديق الدولة الطرف، على الصكوك الدولية التالية:</w:t>
      </w:r>
    </w:p>
    <w:p w:rsidR="004E0A37" w:rsidRPr="004E0A37" w:rsidRDefault="004E0A37" w:rsidP="006E43D5">
      <w:pPr>
        <w:pStyle w:val="SingleTxtGA"/>
        <w:spacing w:after="60" w:line="360" w:lineRule="exact"/>
        <w:jc w:val="lowKashida"/>
        <w:rPr>
          <w:spacing w:val="0"/>
          <w:sz w:val="20"/>
          <w:rtl/>
        </w:rPr>
      </w:pPr>
      <w:r w:rsidRPr="004E0A37">
        <w:rPr>
          <w:spacing w:val="0"/>
          <w:sz w:val="20"/>
          <w:rtl/>
        </w:rPr>
        <w:tab/>
      </w:r>
      <w:r w:rsidRPr="004E0A37">
        <w:rPr>
          <w:rFonts w:hint="cs"/>
          <w:spacing w:val="0"/>
          <w:sz w:val="20"/>
          <w:rtl/>
        </w:rPr>
        <w:t>(</w:t>
      </w:r>
      <w:r w:rsidRPr="004E0A37">
        <w:rPr>
          <w:spacing w:val="0"/>
          <w:sz w:val="20"/>
          <w:rtl/>
        </w:rPr>
        <w:t>أ)</w:t>
      </w:r>
      <w:r w:rsidRPr="004E0A37">
        <w:rPr>
          <w:rFonts w:hint="cs"/>
          <w:spacing w:val="0"/>
          <w:sz w:val="20"/>
          <w:rtl/>
        </w:rPr>
        <w:tab/>
      </w:r>
      <w:r w:rsidRPr="004E0A37">
        <w:rPr>
          <w:spacing w:val="0"/>
          <w:sz w:val="20"/>
          <w:rtl/>
        </w:rPr>
        <w:t>العهد الدولي الخاص بالحقوق الاقتصادية والاجتماعية والثقافية، في عام</w:t>
      </w:r>
      <w:r w:rsidR="00335AC0">
        <w:rPr>
          <w:rFonts w:hint="cs"/>
          <w:spacing w:val="0"/>
          <w:sz w:val="20"/>
          <w:rtl/>
        </w:rPr>
        <w:t> </w:t>
      </w:r>
      <w:r w:rsidRPr="004E0A37">
        <w:rPr>
          <w:spacing w:val="0"/>
          <w:sz w:val="20"/>
          <w:rtl/>
        </w:rPr>
        <w:t>2002؛</w:t>
      </w:r>
    </w:p>
    <w:p w:rsidR="004E0A37" w:rsidRPr="004E0A37" w:rsidRDefault="004E0A37" w:rsidP="006E43D5">
      <w:pPr>
        <w:pStyle w:val="SingleTxtGA"/>
        <w:spacing w:after="60" w:line="360" w:lineRule="exact"/>
        <w:jc w:val="lowKashida"/>
        <w:rPr>
          <w:spacing w:val="0"/>
          <w:sz w:val="20"/>
          <w:rtl/>
        </w:rPr>
      </w:pPr>
      <w:r w:rsidRPr="004E0A37">
        <w:rPr>
          <w:spacing w:val="0"/>
          <w:sz w:val="20"/>
          <w:rtl/>
        </w:rPr>
        <w:tab/>
      </w:r>
      <w:r w:rsidRPr="004E0A37">
        <w:rPr>
          <w:rFonts w:hint="cs"/>
          <w:spacing w:val="0"/>
          <w:sz w:val="20"/>
          <w:rtl/>
        </w:rPr>
        <w:t>(</w:t>
      </w:r>
      <w:r w:rsidRPr="004E0A37">
        <w:rPr>
          <w:spacing w:val="0"/>
          <w:sz w:val="20"/>
          <w:rtl/>
        </w:rPr>
        <w:t>ب)</w:t>
      </w:r>
      <w:r w:rsidRPr="004E0A37">
        <w:rPr>
          <w:rFonts w:hint="cs"/>
          <w:spacing w:val="0"/>
          <w:sz w:val="20"/>
          <w:rtl/>
        </w:rPr>
        <w:tab/>
      </w:r>
      <w:r w:rsidRPr="004E0A37">
        <w:rPr>
          <w:spacing w:val="0"/>
          <w:sz w:val="20"/>
          <w:rtl/>
        </w:rPr>
        <w:t xml:space="preserve">العهد الدولي الخاص بالحقوق المدنية والسياسية، في عام 2002؛ </w:t>
      </w:r>
    </w:p>
    <w:p w:rsidR="004E0A37" w:rsidRPr="004E0A37" w:rsidRDefault="004E0A37" w:rsidP="006E43D5">
      <w:pPr>
        <w:pStyle w:val="SingleTxtGA"/>
        <w:spacing w:after="60" w:line="360" w:lineRule="exact"/>
        <w:jc w:val="lowKashida"/>
        <w:rPr>
          <w:spacing w:val="0"/>
          <w:sz w:val="20"/>
          <w:rtl/>
        </w:rPr>
      </w:pPr>
      <w:r w:rsidRPr="004E0A37">
        <w:rPr>
          <w:spacing w:val="0"/>
          <w:sz w:val="20"/>
          <w:rtl/>
        </w:rPr>
        <w:tab/>
      </w:r>
      <w:r w:rsidRPr="004E0A37">
        <w:rPr>
          <w:rFonts w:hint="cs"/>
          <w:spacing w:val="0"/>
          <w:sz w:val="20"/>
          <w:rtl/>
        </w:rPr>
        <w:t>(</w:t>
      </w:r>
      <w:r w:rsidRPr="004E0A37">
        <w:rPr>
          <w:spacing w:val="0"/>
          <w:sz w:val="20"/>
          <w:rtl/>
        </w:rPr>
        <w:t>ج)</w:t>
      </w:r>
      <w:r w:rsidRPr="004E0A37">
        <w:rPr>
          <w:rFonts w:hint="cs"/>
          <w:spacing w:val="0"/>
          <w:sz w:val="20"/>
          <w:rtl/>
        </w:rPr>
        <w:tab/>
      </w:r>
      <w:r w:rsidRPr="004E0A37">
        <w:rPr>
          <w:spacing w:val="0"/>
          <w:sz w:val="20"/>
          <w:rtl/>
        </w:rPr>
        <w:t>البروتوكولان الإضافيان للعهد الدولي الخاص بالحقوق المدنية والسياسية، في عام 2002؛</w:t>
      </w:r>
    </w:p>
    <w:p w:rsidR="004E0A37" w:rsidRPr="00335AC0" w:rsidRDefault="004E0A37" w:rsidP="006E43D5">
      <w:pPr>
        <w:pStyle w:val="SingleTxtGA"/>
        <w:spacing w:after="60" w:line="360" w:lineRule="exact"/>
        <w:jc w:val="lowKashida"/>
        <w:rPr>
          <w:spacing w:val="-4"/>
          <w:sz w:val="20"/>
          <w:rtl/>
        </w:rPr>
      </w:pPr>
      <w:r w:rsidRPr="00335AC0">
        <w:rPr>
          <w:spacing w:val="-4"/>
          <w:sz w:val="20"/>
          <w:rtl/>
        </w:rPr>
        <w:tab/>
      </w:r>
      <w:r w:rsidRPr="00335AC0">
        <w:rPr>
          <w:rFonts w:hint="cs"/>
          <w:spacing w:val="-4"/>
          <w:sz w:val="20"/>
          <w:rtl/>
        </w:rPr>
        <w:t>(</w:t>
      </w:r>
      <w:r w:rsidRPr="00335AC0">
        <w:rPr>
          <w:spacing w:val="-4"/>
          <w:sz w:val="20"/>
          <w:rtl/>
        </w:rPr>
        <w:t>د)</w:t>
      </w:r>
      <w:r w:rsidRPr="00335AC0">
        <w:rPr>
          <w:rFonts w:hint="cs"/>
          <w:spacing w:val="-4"/>
          <w:sz w:val="20"/>
          <w:rtl/>
        </w:rPr>
        <w:tab/>
      </w:r>
      <w:r w:rsidRPr="00335AC0">
        <w:rPr>
          <w:spacing w:val="-4"/>
          <w:sz w:val="20"/>
          <w:rtl/>
        </w:rPr>
        <w:t>الاتفاقية الدولية للقضاء على جميع أشكال التمييز العنصري، في عام 2011؛</w:t>
      </w:r>
    </w:p>
    <w:p w:rsidR="004E0A37" w:rsidRPr="004E0A37" w:rsidRDefault="004E0A37" w:rsidP="00C20878">
      <w:pPr>
        <w:pStyle w:val="SingleTxtGA"/>
        <w:spacing w:line="360" w:lineRule="exact"/>
        <w:jc w:val="lowKashida"/>
        <w:rPr>
          <w:spacing w:val="0"/>
          <w:sz w:val="20"/>
          <w:rtl/>
        </w:rPr>
      </w:pPr>
      <w:r w:rsidRPr="004E0A37">
        <w:rPr>
          <w:spacing w:val="0"/>
          <w:sz w:val="20"/>
          <w:rtl/>
        </w:rPr>
        <w:tab/>
      </w:r>
      <w:r w:rsidRPr="004E0A37">
        <w:rPr>
          <w:rFonts w:hint="cs"/>
          <w:spacing w:val="0"/>
          <w:sz w:val="20"/>
          <w:rtl/>
        </w:rPr>
        <w:t>(ﻫ</w:t>
      </w:r>
      <w:r w:rsidRPr="004E0A37">
        <w:rPr>
          <w:spacing w:val="0"/>
          <w:sz w:val="20"/>
          <w:rtl/>
        </w:rPr>
        <w:t>)</w:t>
      </w:r>
      <w:r w:rsidRPr="004E0A37">
        <w:rPr>
          <w:rFonts w:hint="cs"/>
          <w:spacing w:val="0"/>
          <w:sz w:val="20"/>
          <w:rtl/>
        </w:rPr>
        <w:tab/>
      </w:r>
      <w:r w:rsidRPr="004E0A37">
        <w:rPr>
          <w:spacing w:val="0"/>
          <w:sz w:val="20"/>
          <w:rtl/>
        </w:rPr>
        <w:t xml:space="preserve">نظام روما الأساسي للمحكمة الجنائية الدولية، في عام 2002. </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4</w:t>
      </w:r>
      <w:r w:rsidR="003E72B5">
        <w:rPr>
          <w:spacing w:val="0"/>
          <w:sz w:val="20"/>
          <w:rtl/>
        </w:rPr>
        <w:t>)</w:t>
      </w:r>
      <w:r w:rsidR="003E72B5">
        <w:rPr>
          <w:spacing w:val="0"/>
          <w:sz w:val="20"/>
          <w:rtl/>
        </w:rPr>
        <w:tab/>
      </w:r>
      <w:r w:rsidR="004E0A37" w:rsidRPr="004E0A37">
        <w:rPr>
          <w:spacing w:val="0"/>
          <w:sz w:val="20"/>
          <w:rtl/>
        </w:rPr>
        <w:t xml:space="preserve">وتلاحظ اللجنة مع الارتياح أن المادة 37 من الدستور تعطي الأسبقية للصكوك الدولية التي صدقت عليها الدولة الطرف بما في ذلك الاتفاقية، على التشريعات الداخلية للدولة الطرف وتجعلها قابلة للإنفاذ بشكل مباشر في الإجراءات القضائية الوطنية. </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5</w:t>
      </w:r>
      <w:r w:rsidR="003E72B5">
        <w:rPr>
          <w:spacing w:val="0"/>
          <w:sz w:val="20"/>
          <w:rtl/>
        </w:rPr>
        <w:t>)</w:t>
      </w:r>
      <w:r w:rsidR="003E72B5">
        <w:rPr>
          <w:spacing w:val="0"/>
          <w:sz w:val="20"/>
          <w:rtl/>
        </w:rPr>
        <w:tab/>
      </w:r>
      <w:r w:rsidR="004E0A37" w:rsidRPr="004E0A37">
        <w:rPr>
          <w:spacing w:val="0"/>
          <w:sz w:val="20"/>
          <w:rtl/>
        </w:rPr>
        <w:t>وترحب اللجنة بإنشاء لجنة معنية بالإصلاحات القانونية والقضائية في آب/</w:t>
      </w:r>
      <w:r w:rsidR="004E0A37" w:rsidRPr="004E0A37">
        <w:rPr>
          <w:rFonts w:hint="cs"/>
          <w:spacing w:val="0"/>
          <w:sz w:val="20"/>
          <w:rtl/>
        </w:rPr>
        <w:t xml:space="preserve"> </w:t>
      </w:r>
      <w:r w:rsidR="004E0A37" w:rsidRPr="004E0A37">
        <w:rPr>
          <w:spacing w:val="0"/>
          <w:sz w:val="20"/>
          <w:rtl/>
        </w:rPr>
        <w:t>أغسطس</w:t>
      </w:r>
      <w:r w:rsidR="00A4030E">
        <w:rPr>
          <w:rFonts w:hint="cs"/>
          <w:spacing w:val="0"/>
          <w:sz w:val="20"/>
          <w:rtl/>
        </w:rPr>
        <w:t> </w:t>
      </w:r>
      <w:r w:rsidR="004E0A37" w:rsidRPr="004E0A37">
        <w:rPr>
          <w:spacing w:val="0"/>
          <w:sz w:val="20"/>
          <w:rtl/>
        </w:rPr>
        <w:t>2011، تتمثل مهمتها في تحديث التشريعات ومواءمتها مع الالتزامات المترتبة على</w:t>
      </w:r>
      <w:r w:rsidR="004E0A37" w:rsidRPr="004E0A37">
        <w:rPr>
          <w:rFonts w:hint="cs"/>
          <w:spacing w:val="0"/>
          <w:sz w:val="20"/>
          <w:rtl/>
        </w:rPr>
        <w:t> </w:t>
      </w:r>
      <w:r w:rsidR="004E0A37" w:rsidRPr="004E0A37">
        <w:rPr>
          <w:spacing w:val="0"/>
          <w:sz w:val="20"/>
          <w:rtl/>
        </w:rPr>
        <w:t xml:space="preserve">الدولة الطرف بموجب الصكوك الدولية ذات الصلة بحقوق الإنسان التي صدقت عليها، بما في ذلك الاتفاقية. </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6</w:t>
      </w:r>
      <w:r w:rsidR="003E72B5">
        <w:rPr>
          <w:spacing w:val="0"/>
          <w:sz w:val="20"/>
          <w:rtl/>
        </w:rPr>
        <w:t>)</w:t>
      </w:r>
      <w:r w:rsidR="003E72B5">
        <w:rPr>
          <w:spacing w:val="0"/>
          <w:sz w:val="20"/>
          <w:rtl/>
        </w:rPr>
        <w:tab/>
      </w:r>
      <w:r w:rsidR="004E0A37" w:rsidRPr="004E0A37">
        <w:rPr>
          <w:spacing w:val="0"/>
          <w:sz w:val="20"/>
          <w:rtl/>
        </w:rPr>
        <w:t xml:space="preserve">وتلاحظ اللجنة مع الارتياح أن الدولة الطرف ألغت عقوبة الإعدام في عام 1995. </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7</w:t>
      </w:r>
      <w:r w:rsidR="003E72B5">
        <w:rPr>
          <w:spacing w:val="0"/>
          <w:sz w:val="20"/>
          <w:rtl/>
        </w:rPr>
        <w:t>)</w:t>
      </w:r>
      <w:r w:rsidR="003E72B5">
        <w:rPr>
          <w:spacing w:val="0"/>
          <w:sz w:val="20"/>
          <w:rtl/>
        </w:rPr>
        <w:tab/>
      </w:r>
      <w:r w:rsidR="004E0A37" w:rsidRPr="004E0A37">
        <w:rPr>
          <w:spacing w:val="0"/>
          <w:sz w:val="20"/>
          <w:rtl/>
        </w:rPr>
        <w:t xml:space="preserve">وتلاحظ اللجنة مع الارتياح أن الدولة الطرف تمكنت من إعداد وتقديم تقاريرها إلى الهيئات التعاهدية التابعة لمنظمة الأمم المتحدة بفضل جهود اللجنة الوزارية المشتركة لتنسيق عملية صوغ وتقديم التقارير إلى هيئات المعاهدات، والدعم التقني المقدم من مفوضية الأمم المتحدة لحقوق الإنسان وبرنامج الأمم المتحدة الإنمائي. بيد أن اللجنة تأسف لتقديم هذه التقارير متأخرة عن موعدها. </w:t>
      </w:r>
    </w:p>
    <w:p w:rsidR="004E0A37" w:rsidRPr="004E0A37" w:rsidRDefault="007223C0" w:rsidP="006E43D5">
      <w:pPr>
        <w:pStyle w:val="H23GA"/>
        <w:tabs>
          <w:tab w:val="left" w:pos="1938"/>
        </w:tabs>
        <w:rPr>
          <w:rtl/>
        </w:rPr>
      </w:pPr>
      <w:r>
        <w:rPr>
          <w:rFonts w:hint="cs"/>
          <w:rtl/>
        </w:rPr>
        <w:tab/>
      </w:r>
      <w:r>
        <w:rPr>
          <w:rFonts w:hint="cs"/>
          <w:rtl/>
        </w:rPr>
        <w:tab/>
        <w:t>جيم-</w:t>
      </w:r>
      <w:r w:rsidR="004E0A37" w:rsidRPr="004E0A37">
        <w:rPr>
          <w:rtl/>
        </w:rPr>
        <w:tab/>
        <w:t>دواعي القلق الرئيسية والتوصيات</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تعريف التعذيب وتجريمه</w:t>
      </w:r>
    </w:p>
    <w:p w:rsidR="004E0A37" w:rsidRPr="006E43D5" w:rsidRDefault="0033301A" w:rsidP="006E43D5">
      <w:pPr>
        <w:pStyle w:val="SingleTxtGA"/>
        <w:jc w:val="lowKashida"/>
        <w:rPr>
          <w:spacing w:val="0"/>
          <w:kern w:val="0"/>
          <w:sz w:val="20"/>
          <w:rtl/>
        </w:rPr>
      </w:pPr>
      <w:r w:rsidRPr="006E43D5">
        <w:rPr>
          <w:rFonts w:hint="cs"/>
          <w:spacing w:val="0"/>
          <w:kern w:val="0"/>
          <w:sz w:val="20"/>
          <w:rtl/>
        </w:rPr>
        <w:t>(</w:t>
      </w:r>
      <w:r w:rsidR="004E0A37" w:rsidRPr="006E43D5">
        <w:rPr>
          <w:spacing w:val="0"/>
          <w:kern w:val="0"/>
          <w:sz w:val="20"/>
          <w:rtl/>
        </w:rPr>
        <w:t>8</w:t>
      </w:r>
      <w:r w:rsidR="003E72B5" w:rsidRPr="006E43D5">
        <w:rPr>
          <w:spacing w:val="0"/>
          <w:kern w:val="0"/>
          <w:sz w:val="20"/>
          <w:rtl/>
        </w:rPr>
        <w:t>)</w:t>
      </w:r>
      <w:r w:rsidR="003E72B5" w:rsidRPr="006E43D5">
        <w:rPr>
          <w:spacing w:val="0"/>
          <w:kern w:val="0"/>
          <w:sz w:val="20"/>
          <w:rtl/>
        </w:rPr>
        <w:tab/>
      </w:r>
      <w:r w:rsidR="004E0A37" w:rsidRPr="006E43D5">
        <w:rPr>
          <w:spacing w:val="0"/>
          <w:kern w:val="0"/>
          <w:sz w:val="20"/>
          <w:rtl/>
        </w:rPr>
        <w:t>تلاحظ اللجنة أن دستور جيبوتي قد نص في المادة 16 على حظر التعذيب والمعاملة أو</w:t>
      </w:r>
      <w:r w:rsidR="004E0A37" w:rsidRPr="006E43D5">
        <w:rPr>
          <w:rFonts w:hint="cs"/>
          <w:spacing w:val="0"/>
          <w:kern w:val="0"/>
          <w:sz w:val="20"/>
          <w:rtl/>
        </w:rPr>
        <w:t> </w:t>
      </w:r>
      <w:r w:rsidR="004E0A37" w:rsidRPr="006E43D5">
        <w:rPr>
          <w:spacing w:val="0"/>
          <w:kern w:val="0"/>
          <w:sz w:val="20"/>
          <w:rtl/>
        </w:rPr>
        <w:t>العقوبة اللاإنسانية أو الحاطة بالكرامة أو المهينة. وتحيط اللجنة</w:t>
      </w:r>
      <w:r w:rsidR="003833F8" w:rsidRPr="006E43D5">
        <w:rPr>
          <w:spacing w:val="0"/>
          <w:kern w:val="0"/>
          <w:sz w:val="20"/>
          <w:rtl/>
        </w:rPr>
        <w:t xml:space="preserve"> علماً </w:t>
      </w:r>
      <w:r w:rsidR="004E0A37" w:rsidRPr="006E43D5">
        <w:rPr>
          <w:spacing w:val="0"/>
          <w:kern w:val="0"/>
          <w:sz w:val="20"/>
          <w:rtl/>
        </w:rPr>
        <w:t>بالتزام الدولة الطرف بتعديل قانونها الداخلي في ضوء الالتزامات الناشئة عن الاتفاقيات الدولية التي صدقت عليها في مجال حقوق الإنسان، وتضمينه</w:t>
      </w:r>
      <w:r w:rsidR="004E0A37" w:rsidRPr="006E43D5">
        <w:rPr>
          <w:rFonts w:hint="cs"/>
          <w:spacing w:val="0"/>
          <w:kern w:val="0"/>
          <w:sz w:val="20"/>
          <w:rtl/>
        </w:rPr>
        <w:t>،</w:t>
      </w:r>
      <w:r w:rsidR="004E0A37" w:rsidRPr="006E43D5">
        <w:rPr>
          <w:spacing w:val="0"/>
          <w:kern w:val="0"/>
          <w:sz w:val="20"/>
          <w:rtl/>
        </w:rPr>
        <w:t xml:space="preserve"> في جملة أمور، تعريفاً للتعذيب. بيد أن اللجنة لا تزال تشعر بالقلق إزاء خلو القانون الجنائي المعمول به في الدولة الطرف من تحديد واضح للتعذيب ومن أحكام تجر</w:t>
      </w:r>
      <w:r w:rsidR="004E0A37" w:rsidRPr="006E43D5">
        <w:rPr>
          <w:rFonts w:hint="cs"/>
          <w:spacing w:val="0"/>
          <w:kern w:val="0"/>
          <w:sz w:val="20"/>
          <w:rtl/>
        </w:rPr>
        <w:t>ّ</w:t>
      </w:r>
      <w:r w:rsidR="004E0A37" w:rsidRPr="006E43D5">
        <w:rPr>
          <w:spacing w:val="0"/>
          <w:kern w:val="0"/>
          <w:sz w:val="20"/>
          <w:rtl/>
        </w:rPr>
        <w:t xml:space="preserve">م أفعال التعذيب طبقاً للمادتين 1 و4 من الاتفاقية (المادتان 1 و4). </w:t>
      </w:r>
    </w:p>
    <w:p w:rsidR="004E0A37" w:rsidRPr="006E43D5" w:rsidRDefault="004E0A37" w:rsidP="006E43D5">
      <w:pPr>
        <w:pStyle w:val="SingleTxtGA"/>
        <w:jc w:val="lowKashida"/>
        <w:rPr>
          <w:b/>
          <w:bCs/>
          <w:spacing w:val="0"/>
          <w:kern w:val="0"/>
          <w:sz w:val="20"/>
          <w:rtl/>
        </w:rPr>
      </w:pPr>
      <w:r w:rsidRPr="006E43D5">
        <w:rPr>
          <w:rFonts w:hint="cs"/>
          <w:b/>
          <w:bCs/>
          <w:spacing w:val="0"/>
          <w:kern w:val="0"/>
          <w:sz w:val="20"/>
          <w:rtl/>
        </w:rPr>
        <w:tab/>
      </w:r>
      <w:r w:rsidRPr="006E43D5">
        <w:rPr>
          <w:b/>
          <w:bCs/>
          <w:spacing w:val="0"/>
          <w:kern w:val="0"/>
          <w:sz w:val="20"/>
          <w:rtl/>
        </w:rPr>
        <w:t>ينبغي للدولة الطرف أن تُجرِّم التعذيب في قانونها الجنائي وتفرض عقوبات مناسبة تأخذ في الاعتبار خطورة الأفعال المرتكبة، بالإضافة إلى إدراج تعريف للتعذيب يشمل جميع العناصر الواردة في المادة الأولى من الاتفاقية. وترى اللجنة أن قيام الدول الأطراف بتحديد جريمة التعذيب وتعريفها</w:t>
      </w:r>
      <w:r w:rsidR="00B345DB" w:rsidRPr="006E43D5">
        <w:rPr>
          <w:b/>
          <w:bCs/>
          <w:spacing w:val="0"/>
          <w:kern w:val="0"/>
          <w:sz w:val="20"/>
          <w:rtl/>
        </w:rPr>
        <w:t xml:space="preserve"> وفقاً </w:t>
      </w:r>
      <w:r w:rsidRPr="006E43D5">
        <w:rPr>
          <w:b/>
          <w:bCs/>
          <w:spacing w:val="0"/>
          <w:kern w:val="0"/>
          <w:sz w:val="20"/>
          <w:rtl/>
        </w:rPr>
        <w:t>لأحكام الاتفاقية، وتمييزها عن الجرائم الأخرى، من شأنه أن يسهم على نحو مباشر في تحقيق هدف الاتفاقية الأساسي المتمثل في منع التعذيب ومعاقبة مرتكبيه.</w:t>
      </w:r>
    </w:p>
    <w:p w:rsidR="004E0A37" w:rsidRPr="004E0A37" w:rsidRDefault="004E0A37" w:rsidP="00335AC0">
      <w:pPr>
        <w:pStyle w:val="H23GA"/>
        <w:rPr>
          <w:rtl/>
        </w:rPr>
      </w:pPr>
      <w:r w:rsidRPr="004E0A37">
        <w:rPr>
          <w:rFonts w:hint="cs"/>
          <w:rtl/>
        </w:rPr>
        <w:tab/>
      </w:r>
      <w:r w:rsidRPr="004E0A37">
        <w:rPr>
          <w:rFonts w:hint="cs"/>
          <w:rtl/>
        </w:rPr>
        <w:tab/>
      </w:r>
      <w:r w:rsidRPr="004E0A37">
        <w:rPr>
          <w:rtl/>
        </w:rPr>
        <w:t xml:space="preserve">أعمال </w:t>
      </w:r>
      <w:r w:rsidRPr="00335AC0">
        <w:rPr>
          <w:rtl/>
        </w:rPr>
        <w:t>التعذيب</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9</w:t>
      </w:r>
      <w:r w:rsidR="003E72B5">
        <w:rPr>
          <w:spacing w:val="0"/>
          <w:sz w:val="20"/>
          <w:rtl/>
        </w:rPr>
        <w:t>)</w:t>
      </w:r>
      <w:r w:rsidR="003E72B5">
        <w:rPr>
          <w:spacing w:val="0"/>
          <w:sz w:val="20"/>
          <w:rtl/>
        </w:rPr>
        <w:tab/>
      </w:r>
      <w:r w:rsidR="004E0A37" w:rsidRPr="004E0A37">
        <w:rPr>
          <w:spacing w:val="0"/>
          <w:sz w:val="20"/>
          <w:rtl/>
        </w:rPr>
        <w:t xml:space="preserve">تلاحظ اللجنة بقلق أن الدولة الطرف اعترفت بحدوث انتهاكات تشمل أعمال تعذيب، على أيدي الشرطة الجيبوتية </w:t>
      </w:r>
      <w:r w:rsidR="004E0A37" w:rsidRPr="004E0A37">
        <w:rPr>
          <w:rFonts w:hint="cs"/>
          <w:spacing w:val="0"/>
          <w:sz w:val="20"/>
          <w:rtl/>
        </w:rPr>
        <w:t xml:space="preserve">لدى </w:t>
      </w:r>
      <w:r w:rsidR="004E0A37" w:rsidRPr="004E0A37">
        <w:rPr>
          <w:spacing w:val="0"/>
          <w:sz w:val="20"/>
          <w:rtl/>
        </w:rPr>
        <w:t>أداء مهامها. ويساور اللجنة القلق بوجه خاص، إزاء</w:t>
      </w:r>
      <w:r w:rsidR="004E0A37" w:rsidRPr="004E0A37">
        <w:rPr>
          <w:rFonts w:hint="cs"/>
          <w:spacing w:val="0"/>
          <w:sz w:val="20"/>
          <w:rtl/>
        </w:rPr>
        <w:t> </w:t>
      </w:r>
      <w:r w:rsidR="004E0A37" w:rsidRPr="004E0A37">
        <w:rPr>
          <w:spacing w:val="0"/>
          <w:sz w:val="20"/>
          <w:rtl/>
        </w:rPr>
        <w:t xml:space="preserve">عدم إجراء أي تحقيق جدي في هذه الحالات، الأمر الذي ساهم في إفلات مرتكبي هذه الجرائم من العقاب (المادتان 2 و12). </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تدعو اللجنة الدولة الطرف إلى اتخاذ تدابير فورية وملموسة للتحقيق في أعمال التعذيب ومقاضاة الجناة ومعاقبتهم عند الاقتضاء. وتدعوها فضلاً عن ذلك، إلى ضمان امتناع الموظفين المكلفين بإنفاذ القوانين عن </w:t>
      </w:r>
      <w:r w:rsidRPr="00C20878">
        <w:rPr>
          <w:rFonts w:hint="cs"/>
          <w:b/>
          <w:bCs/>
          <w:spacing w:val="0"/>
          <w:sz w:val="20"/>
          <w:rtl/>
        </w:rPr>
        <w:t>اللجوء</w:t>
      </w:r>
      <w:r w:rsidRPr="00C20878">
        <w:rPr>
          <w:b/>
          <w:bCs/>
          <w:spacing w:val="0"/>
          <w:sz w:val="20"/>
          <w:rtl/>
        </w:rPr>
        <w:t xml:space="preserve"> </w:t>
      </w:r>
      <w:r w:rsidRPr="00C20878">
        <w:rPr>
          <w:rFonts w:hint="cs"/>
          <w:b/>
          <w:bCs/>
          <w:spacing w:val="0"/>
          <w:sz w:val="20"/>
          <w:rtl/>
        </w:rPr>
        <w:t xml:space="preserve">إلى </w:t>
      </w:r>
      <w:r w:rsidRPr="00C20878">
        <w:rPr>
          <w:b/>
          <w:bCs/>
          <w:spacing w:val="0"/>
          <w:sz w:val="20"/>
          <w:rtl/>
        </w:rPr>
        <w:t xml:space="preserve">التعذيب في أي حال من الأحوال؛ وإلى إعادة التشديد بوضوح لا لبس فيه على حظر التعذيب حظراً مطلقاً؛ وإدانة لجوء موظفي إنفاذ القوانين وموظفي السجون على وجه الخصوص، إلى هذه الممارسة؛ وإلى إصدار إنذار واضح مفاده أن كل مَن يرتكب تلك الأفعال أو يتواطأ في ممارسة التعذيب أو يشارك فيه بأي شكل آخر سيتحمل المسؤولية الشخصية عن تلك الأفعال أمام القانون وسيتعرض للملاحقة الجنائية وللعقوبات المناسبة. </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الإفلات من العقاب على أفعال التعذيب وإساءة المعاملة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10</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باعتراف الدولة الطرف بحدوث أعمال تعذيب</w:t>
      </w:r>
      <w:r w:rsidR="00335AC0">
        <w:rPr>
          <w:spacing w:val="0"/>
          <w:sz w:val="20"/>
          <w:rtl/>
        </w:rPr>
        <w:t xml:space="preserve"> لم </w:t>
      </w:r>
      <w:r w:rsidR="004E0A37" w:rsidRPr="004E0A37">
        <w:rPr>
          <w:spacing w:val="0"/>
          <w:sz w:val="20"/>
          <w:rtl/>
        </w:rPr>
        <w:t>تخضع للتحقيق ولم تتم مقاضاة مرتكبيها. وتلاحظ بوجه خاص، عدم توفر معلومات محددة عن أفراد الشرطة أو موظفي السجون الذين أُدينوا بممارسة التعذيب أو إساءة المعاملة ممن تمت مقاضاتهم أو</w:t>
      </w:r>
      <w:r w:rsidR="004E0A37" w:rsidRPr="004E0A37">
        <w:rPr>
          <w:rFonts w:hint="cs"/>
          <w:spacing w:val="0"/>
          <w:sz w:val="20"/>
          <w:rtl/>
        </w:rPr>
        <w:t> </w:t>
      </w:r>
      <w:r w:rsidR="004E0A37" w:rsidRPr="004E0A37">
        <w:rPr>
          <w:spacing w:val="0"/>
          <w:sz w:val="20"/>
          <w:rtl/>
        </w:rPr>
        <w:t xml:space="preserve">صدرت في حقهم أحكام أو عقوبات جزائية. وتلاحظ أيضاً أن الدولة تعترف بأن ضعف القانون الداخلي يساهم إلى حد ما في الإفلات من العقاب (المواد 2 و4 و12 و13 و16). </w:t>
      </w:r>
    </w:p>
    <w:p w:rsidR="004E0A37" w:rsidRPr="00C20878" w:rsidRDefault="004E0A37" w:rsidP="00A72130">
      <w:pPr>
        <w:pStyle w:val="SingleTxtGA"/>
        <w:jc w:val="lowKashida"/>
        <w:rPr>
          <w:b/>
          <w:bCs/>
          <w:spacing w:val="0"/>
          <w:sz w:val="20"/>
          <w:rtl/>
        </w:rPr>
      </w:pPr>
      <w:r w:rsidRPr="00C20878">
        <w:rPr>
          <w:rFonts w:hint="cs"/>
          <w:b/>
          <w:bCs/>
          <w:spacing w:val="0"/>
          <w:sz w:val="20"/>
          <w:rtl/>
        </w:rPr>
        <w:tab/>
      </w:r>
      <w:r w:rsidRPr="00C20878">
        <w:rPr>
          <w:b/>
          <w:bCs/>
          <w:spacing w:val="0"/>
          <w:sz w:val="20"/>
          <w:rtl/>
        </w:rPr>
        <w:t>ينبغي للدولة الطرف أن تكفل إجراء تحقيق محايد ودقيق وفعال في جميع الادعاءات المتعلقة بالتعذيب وإساءة المعاملة دون إبطاء، ومقاضاة المسؤولين عنها ومعاقبتهم بعقوبات تتناسب مع خطورة الأعمال المرتكبة</w:t>
      </w:r>
      <w:r w:rsidR="00B345DB">
        <w:rPr>
          <w:b/>
          <w:bCs/>
          <w:spacing w:val="0"/>
          <w:sz w:val="20"/>
          <w:rtl/>
        </w:rPr>
        <w:t xml:space="preserve"> وفقاً </w:t>
      </w:r>
      <w:r w:rsidRPr="00C20878">
        <w:rPr>
          <w:b/>
          <w:bCs/>
          <w:spacing w:val="0"/>
          <w:sz w:val="20"/>
          <w:rtl/>
        </w:rPr>
        <w:t xml:space="preserve">لما نصت عليه المادة 4 من الاتفاقية ورهناً بالعقوبات الجزائية المناسبة. وينبغي </w:t>
      </w:r>
      <w:r w:rsidRPr="00C20878">
        <w:rPr>
          <w:rFonts w:hint="cs"/>
          <w:b/>
          <w:bCs/>
          <w:spacing w:val="0"/>
          <w:sz w:val="20"/>
          <w:rtl/>
        </w:rPr>
        <w:t>لها</w:t>
      </w:r>
      <w:r w:rsidRPr="00C20878">
        <w:rPr>
          <w:b/>
          <w:bCs/>
          <w:spacing w:val="0"/>
          <w:sz w:val="20"/>
          <w:rtl/>
        </w:rPr>
        <w:t xml:space="preserve"> كذلك، أن تتخذ جميع التدابير التشريعية الكفيلة بالتصدي الكامل لحالة الإفلات من العقاب. </w:t>
      </w:r>
    </w:p>
    <w:p w:rsidR="004E0A37" w:rsidRPr="004E0A37" w:rsidRDefault="004E0A37" w:rsidP="00A72130">
      <w:pPr>
        <w:pStyle w:val="H23GA"/>
        <w:rPr>
          <w:rtl/>
        </w:rPr>
      </w:pPr>
      <w:r w:rsidRPr="004E0A37">
        <w:rPr>
          <w:rFonts w:hint="cs"/>
          <w:rtl/>
        </w:rPr>
        <w:tab/>
      </w:r>
      <w:r w:rsidRPr="004E0A37">
        <w:rPr>
          <w:rFonts w:hint="cs"/>
          <w:rtl/>
        </w:rPr>
        <w:tab/>
      </w:r>
      <w:r w:rsidRPr="004E0A37">
        <w:rPr>
          <w:rtl/>
        </w:rPr>
        <w:t>الضمانات القانونية الأساسية</w:t>
      </w:r>
    </w:p>
    <w:p w:rsidR="004E0A37" w:rsidRPr="004E0A37" w:rsidRDefault="0033301A" w:rsidP="00A72130">
      <w:pPr>
        <w:pStyle w:val="SingleTxtGA"/>
        <w:jc w:val="lowKashida"/>
        <w:rPr>
          <w:spacing w:val="0"/>
          <w:sz w:val="20"/>
          <w:rtl/>
        </w:rPr>
      </w:pPr>
      <w:r>
        <w:rPr>
          <w:rFonts w:hint="cs"/>
          <w:spacing w:val="0"/>
          <w:sz w:val="20"/>
          <w:rtl/>
        </w:rPr>
        <w:t>(</w:t>
      </w:r>
      <w:r w:rsidR="004E0A37" w:rsidRPr="004E0A37">
        <w:rPr>
          <w:spacing w:val="0"/>
          <w:sz w:val="20"/>
          <w:rtl/>
        </w:rPr>
        <w:t>11</w:t>
      </w:r>
      <w:r w:rsidR="003E72B5">
        <w:rPr>
          <w:spacing w:val="0"/>
          <w:sz w:val="20"/>
          <w:rtl/>
        </w:rPr>
        <w:t>)</w:t>
      </w:r>
      <w:r w:rsidR="003E72B5">
        <w:rPr>
          <w:spacing w:val="0"/>
          <w:sz w:val="20"/>
          <w:rtl/>
        </w:rPr>
        <w:tab/>
      </w:r>
      <w:r w:rsidR="004E0A37" w:rsidRPr="004E0A37">
        <w:rPr>
          <w:spacing w:val="0"/>
          <w:sz w:val="20"/>
          <w:rtl/>
        </w:rPr>
        <w:t>تشعر اللجنة بالقلق إزاء الفجوة القائمة بين الضمانات القانونية الأساسية المنصوص عليها في الدستور وقانون الإجراءات الجنائية، وتطبيق هذه الضمانات منذ بدء الاحتجاز. ولا</w:t>
      </w:r>
      <w:r w:rsidR="004E0A37" w:rsidRPr="004E0A37">
        <w:rPr>
          <w:rFonts w:hint="cs"/>
          <w:spacing w:val="0"/>
          <w:sz w:val="20"/>
          <w:rtl/>
        </w:rPr>
        <w:t> </w:t>
      </w:r>
      <w:r w:rsidR="004E0A37" w:rsidRPr="004E0A37">
        <w:rPr>
          <w:spacing w:val="0"/>
          <w:sz w:val="20"/>
          <w:rtl/>
        </w:rPr>
        <w:t>تزال اللجنة قلقة أيضاً إزاء ورود معلومات عن طول مدة الاحتجاز السابق للمحاكمة، وبطء سير الإجراءات. و</w:t>
      </w:r>
      <w:r w:rsidR="004E0A37" w:rsidRPr="004E0A37">
        <w:rPr>
          <w:rFonts w:hint="cs"/>
          <w:spacing w:val="0"/>
          <w:sz w:val="20"/>
          <w:rtl/>
        </w:rPr>
        <w:t xml:space="preserve">هي </w:t>
      </w:r>
      <w:r w:rsidR="004E0A37" w:rsidRPr="004E0A37">
        <w:rPr>
          <w:spacing w:val="0"/>
          <w:sz w:val="20"/>
          <w:rtl/>
        </w:rPr>
        <w:t>تأسف أيضاً لعدم تقديم معلومات عن الضمانات القانونية الأساسية المكفولة للأشخاص الذين يعانون من إعاقة ذهنية أو فكرية أو بدنية. وعلاوة على ذلك، تعرب اللجنة عن أسفها لعدم وجود نظام قضائي شامل للأحداث موجه نحو تثقيف الأطفال المخالفين للقانون وتنشئتهم تنشئة اجتماعية (المادة 2).</w:t>
      </w:r>
    </w:p>
    <w:p w:rsidR="004E0A37" w:rsidRPr="00C20878" w:rsidRDefault="004E0A37" w:rsidP="006E43D5">
      <w:pPr>
        <w:pStyle w:val="SingleTxtGA"/>
        <w:spacing w:line="374" w:lineRule="exact"/>
        <w:jc w:val="lowKashida"/>
        <w:rPr>
          <w:rFonts w:hint="cs"/>
          <w:b/>
          <w:bCs/>
          <w:spacing w:val="0"/>
          <w:sz w:val="20"/>
          <w:rtl/>
        </w:rPr>
      </w:pPr>
      <w:r w:rsidRPr="00C20878">
        <w:rPr>
          <w:rFonts w:hint="cs"/>
          <w:b/>
          <w:bCs/>
          <w:spacing w:val="0"/>
          <w:sz w:val="20"/>
          <w:rtl/>
        </w:rPr>
        <w:tab/>
        <w:t>ينبغي ل</w:t>
      </w:r>
      <w:r w:rsidRPr="00C20878">
        <w:rPr>
          <w:b/>
          <w:bCs/>
          <w:spacing w:val="0"/>
          <w:sz w:val="20"/>
          <w:rtl/>
        </w:rPr>
        <w:t xml:space="preserve">لدولة الطرف أن تتخذ تدابير فورية فعالة لضمان تمتع جميع المحتجزين، </w:t>
      </w:r>
      <w:r w:rsidRPr="00C20878">
        <w:rPr>
          <w:rFonts w:hint="cs"/>
          <w:b/>
          <w:bCs/>
          <w:spacing w:val="0"/>
          <w:sz w:val="20"/>
          <w:rtl/>
        </w:rPr>
        <w:t>عملياً</w:t>
      </w:r>
      <w:r w:rsidRPr="00C20878">
        <w:rPr>
          <w:b/>
          <w:bCs/>
          <w:spacing w:val="0"/>
          <w:sz w:val="20"/>
          <w:rtl/>
        </w:rPr>
        <w:t>، بكامل الضمانات القانونية الأساسية منذ بدء احتجازهم. وتشمل هذه الضمانات على وجه الخصوص</w:t>
      </w:r>
      <w:r w:rsidR="00B345DB">
        <w:rPr>
          <w:b/>
          <w:bCs/>
          <w:spacing w:val="0"/>
          <w:sz w:val="20"/>
          <w:rtl/>
        </w:rPr>
        <w:t xml:space="preserve"> وفقاً </w:t>
      </w:r>
      <w:r w:rsidRPr="00C20878">
        <w:rPr>
          <w:b/>
          <w:bCs/>
          <w:spacing w:val="0"/>
          <w:sz w:val="20"/>
          <w:rtl/>
        </w:rPr>
        <w:t xml:space="preserve">للمعايير الدولية: حق المحتجزين في الاطلاع على أسباب توقيفهم، بما في ذلك التهم الموجهة إليهم؛ والحق في الاتصال بمحامٍ على وجه السرعة؛ وفي الاستفادة عند اللزوم من المساعدة القانونية؛ والحق في الخضوع لفحص طبي مستقل يجريه، إن أمكن، طبيب من اختيارهم؛ وفي إبلاغ أحد أقربائهم؛ والحق في المثول على وجه السرعة أمام قاضٍ؛ والحق في التماس إعادة النظر في شرعية احتجازهم من المحكمة. وينبغي أن تكفل الدولة الطرف توفير جميع الضمانات القانونية الأساسية للأشخاص المودعين في مصحات للأمراض </w:t>
      </w:r>
      <w:r w:rsidRPr="00C20878">
        <w:rPr>
          <w:rFonts w:hint="cs"/>
          <w:b/>
          <w:bCs/>
          <w:spacing w:val="0"/>
          <w:sz w:val="20"/>
          <w:rtl/>
        </w:rPr>
        <w:t>النفسانية</w:t>
      </w:r>
      <w:r w:rsidRPr="00C20878">
        <w:rPr>
          <w:b/>
          <w:bCs/>
          <w:spacing w:val="0"/>
          <w:sz w:val="20"/>
          <w:rtl/>
        </w:rPr>
        <w:t>.</w:t>
      </w:r>
    </w:p>
    <w:p w:rsidR="004E0A37" w:rsidRPr="00C20878" w:rsidRDefault="004E0A37" w:rsidP="006E43D5">
      <w:pPr>
        <w:pStyle w:val="SingleTxtGA"/>
        <w:spacing w:line="374" w:lineRule="exact"/>
        <w:jc w:val="lowKashida"/>
        <w:rPr>
          <w:b/>
          <w:bCs/>
          <w:spacing w:val="0"/>
          <w:sz w:val="20"/>
          <w:rtl/>
        </w:rPr>
      </w:pPr>
      <w:r w:rsidRPr="00C20878">
        <w:rPr>
          <w:rFonts w:hint="cs"/>
          <w:b/>
          <w:bCs/>
          <w:spacing w:val="0"/>
          <w:sz w:val="20"/>
          <w:rtl/>
        </w:rPr>
        <w:tab/>
      </w:r>
      <w:r w:rsidRPr="00C20878">
        <w:rPr>
          <w:b/>
          <w:bCs/>
          <w:spacing w:val="0"/>
          <w:sz w:val="20"/>
          <w:rtl/>
        </w:rPr>
        <w:t>و</w:t>
      </w:r>
      <w:r w:rsidRPr="00C20878">
        <w:rPr>
          <w:rFonts w:hint="cs"/>
          <w:b/>
          <w:bCs/>
          <w:spacing w:val="0"/>
          <w:sz w:val="20"/>
          <w:rtl/>
        </w:rPr>
        <w:t>ينبغي ل</w:t>
      </w:r>
      <w:r w:rsidRPr="00C20878">
        <w:rPr>
          <w:b/>
          <w:bCs/>
          <w:spacing w:val="0"/>
          <w:sz w:val="20"/>
          <w:rtl/>
        </w:rPr>
        <w:t>لدولة الطرف أيضاً أن تتخذ تدابير لإرساء نظام قضائي خاص بالأحداث يتماشى مع قواعد الأمم المتحدة النموذجية الدنيا لإدارة شؤون قضاء الأحداث (قواعد</w:t>
      </w:r>
      <w:r w:rsidRPr="00C20878">
        <w:rPr>
          <w:rFonts w:hint="cs"/>
          <w:b/>
          <w:bCs/>
          <w:spacing w:val="0"/>
          <w:sz w:val="20"/>
          <w:rtl/>
        </w:rPr>
        <w:t> </w:t>
      </w:r>
      <w:r w:rsidRPr="00C20878">
        <w:rPr>
          <w:b/>
          <w:bCs/>
          <w:spacing w:val="0"/>
          <w:sz w:val="20"/>
          <w:rtl/>
        </w:rPr>
        <w:t xml:space="preserve">بيجين)، التي اعتمدتها الجمعية العامة بموجب قرارها 40/33 المؤرخ 29 تشرين الثاني/نوفمبر 1985، ومع مبادئ الأمم المتحدة التوجيهية لمنع جنوح الأحداث (مبادئ الرياض التوجيهية) التي اعتمدتها وأعلنتها الجمعية العامة بموجب قرارها 45/112 المؤرخ 14 كانون الأول/ديسمبر 1990. </w:t>
      </w:r>
    </w:p>
    <w:p w:rsidR="004E0A37" w:rsidRPr="004E0A37" w:rsidRDefault="004E0A37" w:rsidP="006E43D5">
      <w:pPr>
        <w:pStyle w:val="H23GA"/>
        <w:spacing w:line="374" w:lineRule="exact"/>
        <w:rPr>
          <w:rtl/>
        </w:rPr>
      </w:pPr>
      <w:r w:rsidRPr="004E0A37">
        <w:rPr>
          <w:rFonts w:hint="cs"/>
          <w:rtl/>
        </w:rPr>
        <w:tab/>
      </w:r>
      <w:r w:rsidRPr="004E0A37">
        <w:rPr>
          <w:rFonts w:hint="cs"/>
          <w:rtl/>
        </w:rPr>
        <w:tab/>
      </w:r>
      <w:r w:rsidRPr="004E0A37">
        <w:rPr>
          <w:rtl/>
        </w:rPr>
        <w:t>رصد أماكن الحرمان من الحرية وتفتيشها</w:t>
      </w:r>
    </w:p>
    <w:p w:rsidR="004E0A37" w:rsidRPr="004E0A37" w:rsidRDefault="0033301A" w:rsidP="006E43D5">
      <w:pPr>
        <w:pStyle w:val="SingleTxtGA"/>
        <w:spacing w:line="374" w:lineRule="exact"/>
        <w:jc w:val="lowKashida"/>
        <w:rPr>
          <w:spacing w:val="0"/>
          <w:sz w:val="20"/>
          <w:rtl/>
        </w:rPr>
      </w:pPr>
      <w:r>
        <w:rPr>
          <w:rFonts w:hint="cs"/>
          <w:spacing w:val="0"/>
          <w:sz w:val="20"/>
          <w:rtl/>
        </w:rPr>
        <w:t>(</w:t>
      </w:r>
      <w:r w:rsidR="004E0A37" w:rsidRPr="004E0A37">
        <w:rPr>
          <w:spacing w:val="0"/>
          <w:sz w:val="20"/>
          <w:rtl/>
        </w:rPr>
        <w:t>12</w:t>
      </w:r>
      <w:r w:rsidR="003E72B5">
        <w:rPr>
          <w:spacing w:val="0"/>
          <w:sz w:val="20"/>
          <w:rtl/>
        </w:rPr>
        <w:t>)</w:t>
      </w:r>
      <w:r w:rsidR="003E72B5">
        <w:rPr>
          <w:spacing w:val="0"/>
          <w:sz w:val="20"/>
          <w:rtl/>
        </w:rPr>
        <w:tab/>
      </w:r>
      <w:r w:rsidR="004E0A37" w:rsidRPr="004E0A37">
        <w:rPr>
          <w:spacing w:val="0"/>
          <w:sz w:val="20"/>
          <w:rtl/>
        </w:rPr>
        <w:t>تلاحظ اللجنة ما قدمته الدولة الطرف من معلومات عن إنشاء هيئة من موظفي السجون تُعنى بحقوق الإنسان ضمن إدارة التشريع وحقوق الإنسان، تابعة لوزارة العدل. وتحيط</w:t>
      </w:r>
      <w:r w:rsidR="003833F8">
        <w:rPr>
          <w:spacing w:val="0"/>
          <w:sz w:val="20"/>
          <w:rtl/>
        </w:rPr>
        <w:t xml:space="preserve"> علماً </w:t>
      </w:r>
      <w:r w:rsidR="004E0A37" w:rsidRPr="004E0A37">
        <w:rPr>
          <w:spacing w:val="0"/>
          <w:sz w:val="20"/>
          <w:rtl/>
        </w:rPr>
        <w:t>كذلك بالعمل الذي تضطلع به اللجنة الوطنية لحقوق الإنسان والزيارات التي تنظمها هذه اللجنة إلى سجن غابود ومراكز الشرطة والدرك أو لغيرها من مرافق الاحتجاز أو</w:t>
      </w:r>
      <w:r w:rsidR="004E0A37" w:rsidRPr="004E0A37">
        <w:rPr>
          <w:rFonts w:hint="cs"/>
          <w:spacing w:val="0"/>
          <w:sz w:val="20"/>
          <w:rtl/>
        </w:rPr>
        <w:t> </w:t>
      </w:r>
      <w:r w:rsidR="004E0A37" w:rsidRPr="004E0A37">
        <w:rPr>
          <w:spacing w:val="0"/>
          <w:sz w:val="20"/>
          <w:rtl/>
        </w:rPr>
        <w:t>الاعتقال، كما تحيط</w:t>
      </w:r>
      <w:r w:rsidR="003833F8">
        <w:rPr>
          <w:spacing w:val="0"/>
          <w:sz w:val="20"/>
          <w:rtl/>
        </w:rPr>
        <w:t xml:space="preserve"> علماً </w:t>
      </w:r>
      <w:r w:rsidR="004E0A37" w:rsidRPr="004E0A37">
        <w:rPr>
          <w:spacing w:val="0"/>
          <w:sz w:val="20"/>
          <w:rtl/>
        </w:rPr>
        <w:t xml:space="preserve">باستخدام المعلومات التي يتم الحصول عليها خلال هذه الزيارات في التقييمات التي تجريها هذه اللجنة لحالة حقوق الإنسان في جيبوتي. بيد أن اللجنة لا تزال تشعر بالقلق إزاء ضعف الجهود التي تبذلها الدولة الطرف لضمان رصد أماكن الحرمان من الحرية وتفتيشها باستمرار (المواد 2 و10 و12 و13 و16). </w:t>
      </w:r>
    </w:p>
    <w:p w:rsidR="004E0A37" w:rsidRPr="00C20878" w:rsidRDefault="004E0A37" w:rsidP="006E43D5">
      <w:pPr>
        <w:pStyle w:val="SingleTxtGA"/>
        <w:spacing w:line="374" w:lineRule="exact"/>
        <w:jc w:val="lowKashida"/>
        <w:rPr>
          <w:b/>
          <w:bCs/>
          <w:spacing w:val="-2"/>
          <w:sz w:val="20"/>
          <w:rtl/>
        </w:rPr>
      </w:pPr>
      <w:r w:rsidRPr="00C20878">
        <w:rPr>
          <w:rFonts w:hint="cs"/>
          <w:b/>
          <w:bCs/>
          <w:spacing w:val="-2"/>
          <w:sz w:val="20"/>
          <w:rtl/>
        </w:rPr>
        <w:tab/>
      </w:r>
      <w:r w:rsidRPr="00C20878">
        <w:rPr>
          <w:b/>
          <w:bCs/>
          <w:spacing w:val="-2"/>
          <w:sz w:val="20"/>
          <w:rtl/>
        </w:rPr>
        <w:t>توصي اللجنة الدولة الطرف بإ</w:t>
      </w:r>
      <w:r w:rsidRPr="00C20878">
        <w:rPr>
          <w:rFonts w:hint="cs"/>
          <w:b/>
          <w:bCs/>
          <w:spacing w:val="-2"/>
          <w:sz w:val="20"/>
          <w:rtl/>
        </w:rPr>
        <w:t xml:space="preserve">قامة </w:t>
      </w:r>
      <w:r w:rsidRPr="00C20878">
        <w:rPr>
          <w:b/>
          <w:bCs/>
          <w:spacing w:val="-2"/>
          <w:sz w:val="20"/>
          <w:rtl/>
        </w:rPr>
        <w:t xml:space="preserve">نظام وطني مستقل وفعال لرصد وتفتيش أماكن الحرمان من الحرية </w:t>
      </w:r>
      <w:r w:rsidRPr="00C20878">
        <w:rPr>
          <w:rFonts w:hint="cs"/>
          <w:b/>
          <w:bCs/>
          <w:spacing w:val="-2"/>
          <w:sz w:val="20"/>
          <w:rtl/>
        </w:rPr>
        <w:t>بأن تحرص على</w:t>
      </w:r>
      <w:r w:rsidRPr="00C20878">
        <w:rPr>
          <w:b/>
          <w:bCs/>
          <w:spacing w:val="-2"/>
          <w:sz w:val="20"/>
          <w:rtl/>
        </w:rPr>
        <w:t xml:space="preserve"> متابعة نتائج هذا الرصد بشكل منهجي. وينبغي أن تعزز الدولة الطرف أيضاً تعاونها مع المنظمات غير الحكومية التي ينبغي أن تقدم لها مزيداً من الدعم لتمكينها من رصد الظروف السائدة في أماكن الحرمان من الحرية رصداً مستقلاً.</w:t>
      </w:r>
    </w:p>
    <w:p w:rsidR="004E0A37" w:rsidRPr="00C20878" w:rsidRDefault="004E0A37" w:rsidP="006E43D5">
      <w:pPr>
        <w:pStyle w:val="SingleTxtGA"/>
        <w:spacing w:line="374" w:lineRule="exact"/>
        <w:jc w:val="lowKashida"/>
        <w:rPr>
          <w:b/>
          <w:bCs/>
          <w:spacing w:val="0"/>
          <w:sz w:val="20"/>
          <w:rtl/>
        </w:rPr>
      </w:pPr>
      <w:r w:rsidRPr="00C20878">
        <w:rPr>
          <w:rFonts w:hint="cs"/>
          <w:b/>
          <w:bCs/>
          <w:spacing w:val="0"/>
          <w:sz w:val="20"/>
          <w:rtl/>
        </w:rPr>
        <w:tab/>
      </w:r>
      <w:r w:rsidRPr="00C20878">
        <w:rPr>
          <w:b/>
          <w:bCs/>
          <w:spacing w:val="0"/>
          <w:sz w:val="20"/>
          <w:rtl/>
        </w:rPr>
        <w:t xml:space="preserve">وتطلب اللجنة من الدولة الطرف تضمين تقريرها الدوري المقبل معلومات مفصلة عن الأماكن التي تمت زيارتها وتواريخ الزيارات ووتيرتها، بما في ذلك الزيارات الفجائية لأماكن الحرمان من الحرية، إضافة إلى معلومات عما خلصت إليه تلك الزيارات من استنتاجات، وعن متابعة نتائجها. </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المؤسسة الوطنية لحقوق الإنسان</w:t>
      </w:r>
    </w:p>
    <w:p w:rsidR="004E0A37" w:rsidRPr="004E0A37" w:rsidRDefault="0033301A" w:rsidP="00B6289A">
      <w:pPr>
        <w:pStyle w:val="SingleTxtGA"/>
        <w:jc w:val="lowKashida"/>
        <w:rPr>
          <w:spacing w:val="0"/>
          <w:sz w:val="20"/>
          <w:rtl/>
        </w:rPr>
      </w:pPr>
      <w:r>
        <w:rPr>
          <w:rFonts w:hint="cs"/>
          <w:spacing w:val="0"/>
          <w:sz w:val="20"/>
          <w:rtl/>
        </w:rPr>
        <w:t>(</w:t>
      </w:r>
      <w:r w:rsidR="004E0A37" w:rsidRPr="004E0A37">
        <w:rPr>
          <w:rFonts w:hint="cs"/>
          <w:spacing w:val="0"/>
          <w:sz w:val="20"/>
          <w:rtl/>
        </w:rPr>
        <w:t>13</w:t>
      </w:r>
      <w:r w:rsidR="003E72B5">
        <w:rPr>
          <w:spacing w:val="0"/>
          <w:sz w:val="20"/>
          <w:rtl/>
        </w:rPr>
        <w:t>)</w:t>
      </w:r>
      <w:r w:rsidR="003E72B5">
        <w:rPr>
          <w:spacing w:val="0"/>
          <w:sz w:val="20"/>
          <w:rtl/>
        </w:rPr>
        <w:tab/>
      </w:r>
      <w:r w:rsidR="004E0A37" w:rsidRPr="004E0A37">
        <w:rPr>
          <w:spacing w:val="0"/>
          <w:sz w:val="20"/>
          <w:rtl/>
        </w:rPr>
        <w:t xml:space="preserve">ترحب اللجنة بإنشاء اللجنة الوطنية لحقوق الإنسان المكلفة بمهام من بينها زيارة أماكن الحرمان من الحرية والنظر في الشكاوى التي تتضمن </w:t>
      </w:r>
      <w:r w:rsidR="00B6289A">
        <w:rPr>
          <w:rFonts w:hint="cs"/>
          <w:spacing w:val="0"/>
          <w:sz w:val="20"/>
          <w:rtl/>
        </w:rPr>
        <w:t>ا</w:t>
      </w:r>
      <w:r w:rsidR="004E0A37" w:rsidRPr="004E0A37">
        <w:rPr>
          <w:spacing w:val="0"/>
          <w:sz w:val="20"/>
          <w:rtl/>
        </w:rPr>
        <w:t>دعاءات تتعلق بانتهاكات حقوق الإنسان. بيد أن</w:t>
      </w:r>
      <w:r w:rsidR="004E0A37" w:rsidRPr="004E0A37">
        <w:rPr>
          <w:rFonts w:hint="cs"/>
          <w:spacing w:val="0"/>
          <w:sz w:val="20"/>
          <w:rtl/>
        </w:rPr>
        <w:t>ّها</w:t>
      </w:r>
      <w:r w:rsidR="004E0A37" w:rsidRPr="004E0A37">
        <w:rPr>
          <w:spacing w:val="0"/>
          <w:sz w:val="20"/>
          <w:rtl/>
        </w:rPr>
        <w:t xml:space="preserve"> تأسف لعدم امتثال </w:t>
      </w:r>
      <w:r w:rsidR="004E0A37" w:rsidRPr="004E0A37">
        <w:rPr>
          <w:rFonts w:hint="cs"/>
          <w:spacing w:val="0"/>
          <w:sz w:val="20"/>
          <w:rtl/>
        </w:rPr>
        <w:t xml:space="preserve">تلك </w:t>
      </w:r>
      <w:r w:rsidR="004E0A37" w:rsidRPr="004E0A37">
        <w:rPr>
          <w:spacing w:val="0"/>
          <w:sz w:val="20"/>
          <w:rtl/>
        </w:rPr>
        <w:t xml:space="preserve">اللجنة للمبادئ المتعلقة بمركز المؤسسات الوطنية لتعزيز حقوق الإنسان وحمايتها (مبادئ باريس، مرفق قرار الجمعية العامة 48/134). فأعضاؤها على سبيل المثال، بمن فيهم الرئيس ونائب الرئيس، يعينهم رئيس الجمهورية وذلك لا يضمن استقلاليتها (المادة 2). </w:t>
      </w:r>
    </w:p>
    <w:p w:rsidR="004E0A37" w:rsidRPr="00C20878" w:rsidRDefault="004E0A37" w:rsidP="00335AC0">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ينبغي للدولة الطرف أن تعمل على تعزيز دور وولاية اللجنة الوطنية لحقوق الإنسان ولا سيما </w:t>
      </w:r>
      <w:r w:rsidR="00F96B1E" w:rsidRPr="00C20878">
        <w:rPr>
          <w:b/>
          <w:bCs/>
          <w:spacing w:val="0"/>
          <w:sz w:val="20"/>
          <w:rtl/>
        </w:rPr>
        <w:t>فيما </w:t>
      </w:r>
      <w:r w:rsidRPr="00C20878">
        <w:rPr>
          <w:b/>
          <w:bCs/>
          <w:spacing w:val="0"/>
          <w:sz w:val="20"/>
          <w:rtl/>
        </w:rPr>
        <w:t>يتعلق بالقيام بزيارات فجائية منتظمة إلى أماكن الحرمان من الحرية لوضع استنتاجات وتوصيات مستقلة. وينبغي أيضاً أن تولي الاعتبار الواجب لاستنتاجات اللجنة بخصوص ما</w:t>
      </w:r>
      <w:r w:rsidRPr="00C20878">
        <w:rPr>
          <w:rFonts w:hint="cs"/>
          <w:b/>
          <w:bCs/>
          <w:spacing w:val="0"/>
          <w:sz w:val="20"/>
          <w:rtl/>
        </w:rPr>
        <w:t> </w:t>
      </w:r>
      <w:r w:rsidRPr="00C20878">
        <w:rPr>
          <w:b/>
          <w:bCs/>
          <w:spacing w:val="0"/>
          <w:sz w:val="20"/>
          <w:rtl/>
        </w:rPr>
        <w:t xml:space="preserve">يردها من شكاوى الأفراد، وإحالة تلك الاستنتاجات إلى </w:t>
      </w:r>
      <w:r w:rsidRPr="00C20878">
        <w:rPr>
          <w:rFonts w:hint="cs"/>
          <w:b/>
          <w:bCs/>
          <w:spacing w:val="0"/>
          <w:sz w:val="20"/>
          <w:rtl/>
        </w:rPr>
        <w:t>المدّعي العام</w:t>
      </w:r>
      <w:r w:rsidRPr="00C20878">
        <w:rPr>
          <w:b/>
          <w:bCs/>
          <w:spacing w:val="0"/>
          <w:sz w:val="20"/>
          <w:rtl/>
        </w:rPr>
        <w:t xml:space="preserve"> حيثما يثبت حدوث التعذيب أو سوء المعاملة. وتطلب اللجنة </w:t>
      </w:r>
      <w:r w:rsidRPr="00C20878">
        <w:rPr>
          <w:rFonts w:hint="cs"/>
          <w:b/>
          <w:bCs/>
          <w:spacing w:val="0"/>
          <w:sz w:val="20"/>
          <w:rtl/>
        </w:rPr>
        <w:t xml:space="preserve">إلى </w:t>
      </w:r>
      <w:r w:rsidRPr="00C20878">
        <w:rPr>
          <w:b/>
          <w:bCs/>
          <w:spacing w:val="0"/>
          <w:sz w:val="20"/>
          <w:rtl/>
        </w:rPr>
        <w:t xml:space="preserve">الدولة الطرف تقديم معلومات، تشمل بيانات إحصائية، عن الشكاوى التي نظرت فيها اللجنة الوطنية لحقوق الإنسان </w:t>
      </w:r>
      <w:r w:rsidR="00F96B1E" w:rsidRPr="00C20878">
        <w:rPr>
          <w:b/>
          <w:bCs/>
          <w:spacing w:val="0"/>
          <w:sz w:val="20"/>
          <w:rtl/>
        </w:rPr>
        <w:t>فيما </w:t>
      </w:r>
      <w:r w:rsidRPr="00C20878">
        <w:rPr>
          <w:b/>
          <w:bCs/>
          <w:spacing w:val="0"/>
          <w:sz w:val="20"/>
          <w:rtl/>
        </w:rPr>
        <w:t>يتصل بادعاءات التعذيب وغيره من ضروب المعاملة أو العقوبة القاسية أو اللاإنسانية أو</w:t>
      </w:r>
      <w:r w:rsidR="00335AC0" w:rsidRPr="00C20878">
        <w:rPr>
          <w:rFonts w:hint="cs"/>
          <w:b/>
          <w:bCs/>
          <w:spacing w:val="0"/>
          <w:sz w:val="20"/>
          <w:rtl/>
        </w:rPr>
        <w:t> </w:t>
      </w:r>
      <w:r w:rsidRPr="00C20878">
        <w:rPr>
          <w:b/>
          <w:bCs/>
          <w:spacing w:val="0"/>
          <w:sz w:val="20"/>
          <w:rtl/>
        </w:rPr>
        <w:t xml:space="preserve">المهينة، وبيان ما إذا كانت تلك الحالات قد أُحيلت إلى السلطات المختصة لأغراض الملاحقة القضائية. </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تشجع اللجنة الدولة الطرف على السعي إلى اعتماد اللجنة الوطنية لحقوق الإنسان لدى لجنة التنسيق الدولية للمؤسسات الوطنية لتعزيز وحماية حقوق الإنسان لضمان امتثالها للمبادئ المتعلقة بمركز المؤسسات الوطنية لتعزيز وحماية حقوق الإنسان بما في ذلك </w:t>
      </w:r>
      <w:r w:rsidR="00F96B1E" w:rsidRPr="00C20878">
        <w:rPr>
          <w:b/>
          <w:bCs/>
          <w:spacing w:val="0"/>
          <w:sz w:val="20"/>
          <w:rtl/>
        </w:rPr>
        <w:t>فيما </w:t>
      </w:r>
      <w:r w:rsidRPr="00C20878">
        <w:rPr>
          <w:b/>
          <w:bCs/>
          <w:spacing w:val="0"/>
          <w:sz w:val="20"/>
          <w:rtl/>
        </w:rPr>
        <w:t>يتعلق باستقلاليتها.</w:t>
      </w:r>
    </w:p>
    <w:p w:rsidR="004E0A37" w:rsidRPr="00417A5B" w:rsidRDefault="004E0A37" w:rsidP="00335AC0">
      <w:pPr>
        <w:pStyle w:val="H23GA"/>
        <w:rPr>
          <w:spacing w:val="0"/>
          <w:rtl/>
        </w:rPr>
      </w:pPr>
      <w:r w:rsidRPr="004E0A37">
        <w:rPr>
          <w:rFonts w:hint="cs"/>
          <w:rtl/>
        </w:rPr>
        <w:tab/>
      </w:r>
      <w:r w:rsidRPr="004E0A37">
        <w:rPr>
          <w:rFonts w:hint="cs"/>
          <w:rtl/>
        </w:rPr>
        <w:tab/>
      </w:r>
      <w:r w:rsidRPr="00417A5B">
        <w:rPr>
          <w:spacing w:val="0"/>
          <w:rtl/>
        </w:rPr>
        <w:t>التحقيقات</w:t>
      </w:r>
    </w:p>
    <w:p w:rsidR="004E0A37" w:rsidRPr="00417A5B" w:rsidRDefault="0033301A" w:rsidP="004E0A37">
      <w:pPr>
        <w:pStyle w:val="SingleTxtGA"/>
        <w:jc w:val="lowKashida"/>
        <w:rPr>
          <w:spacing w:val="0"/>
          <w:sz w:val="20"/>
          <w:rtl/>
        </w:rPr>
      </w:pPr>
      <w:r w:rsidRPr="00417A5B">
        <w:rPr>
          <w:rFonts w:hint="cs"/>
          <w:spacing w:val="0"/>
          <w:sz w:val="20"/>
          <w:rtl/>
        </w:rPr>
        <w:t>(</w:t>
      </w:r>
      <w:r w:rsidR="004E0A37" w:rsidRPr="00417A5B">
        <w:rPr>
          <w:spacing w:val="0"/>
          <w:sz w:val="20"/>
          <w:rtl/>
        </w:rPr>
        <w:t>14</w:t>
      </w:r>
      <w:r w:rsidR="003E72B5" w:rsidRPr="00417A5B">
        <w:rPr>
          <w:spacing w:val="0"/>
          <w:sz w:val="20"/>
          <w:rtl/>
        </w:rPr>
        <w:t>)</w:t>
      </w:r>
      <w:r w:rsidR="003E72B5" w:rsidRPr="00417A5B">
        <w:rPr>
          <w:spacing w:val="0"/>
          <w:sz w:val="20"/>
          <w:rtl/>
        </w:rPr>
        <w:tab/>
      </w:r>
      <w:r w:rsidR="004E0A37" w:rsidRPr="00417A5B">
        <w:rPr>
          <w:spacing w:val="0"/>
          <w:sz w:val="20"/>
          <w:rtl/>
        </w:rPr>
        <w:t xml:space="preserve">على الرغم من الإيضاحات التي قدمتها الدولة الطرف أثناء الحوار فإن اللجنة لا تزال تشعر بالقلق إزاء ما يلي: </w:t>
      </w:r>
    </w:p>
    <w:p w:rsidR="004E0A37" w:rsidRPr="00417A5B" w:rsidRDefault="004E0A37" w:rsidP="004E0A37">
      <w:pPr>
        <w:pStyle w:val="SingleTxtGA"/>
        <w:jc w:val="lowKashida"/>
        <w:rPr>
          <w:spacing w:val="0"/>
          <w:sz w:val="20"/>
          <w:rtl/>
        </w:rPr>
      </w:pPr>
      <w:r w:rsidRPr="00417A5B">
        <w:rPr>
          <w:rFonts w:hint="cs"/>
          <w:spacing w:val="0"/>
          <w:sz w:val="20"/>
          <w:rtl/>
        </w:rPr>
        <w:tab/>
        <w:t>(</w:t>
      </w:r>
      <w:r w:rsidRPr="00417A5B">
        <w:rPr>
          <w:spacing w:val="0"/>
          <w:sz w:val="20"/>
          <w:rtl/>
        </w:rPr>
        <w:t>أ)</w:t>
      </w:r>
      <w:r w:rsidRPr="00417A5B">
        <w:rPr>
          <w:rFonts w:hint="cs"/>
          <w:spacing w:val="0"/>
          <w:sz w:val="20"/>
          <w:rtl/>
        </w:rPr>
        <w:tab/>
      </w:r>
      <w:r w:rsidRPr="00417A5B">
        <w:rPr>
          <w:spacing w:val="0"/>
          <w:sz w:val="20"/>
          <w:rtl/>
        </w:rPr>
        <w:t>عدم إجراء تحقيقات دقيقة بشأن توقيف ما يزيد ع</w:t>
      </w:r>
      <w:r w:rsidRPr="00417A5B">
        <w:rPr>
          <w:rFonts w:hint="cs"/>
          <w:spacing w:val="0"/>
          <w:sz w:val="20"/>
          <w:rtl/>
        </w:rPr>
        <w:t>لى</w:t>
      </w:r>
      <w:r w:rsidRPr="00417A5B">
        <w:rPr>
          <w:spacing w:val="0"/>
          <w:sz w:val="20"/>
          <w:rtl/>
        </w:rPr>
        <w:t xml:space="preserve"> 300 شخص أثناء المظاهرات التي جرت في يوم 18 شباط/فبراير 2011. حيث تفيد التقارير بأن العديد منهم تعرضوا للتعذيب وسوء المعاملة في مراكز الدرك. (المواد 12 و13 و14)؛ </w:t>
      </w:r>
    </w:p>
    <w:p w:rsidR="004E0A37" w:rsidRPr="00417A5B" w:rsidRDefault="004E0A37" w:rsidP="00335AC0">
      <w:pPr>
        <w:pStyle w:val="SingleTxtGA"/>
        <w:jc w:val="lowKashida"/>
        <w:rPr>
          <w:spacing w:val="0"/>
          <w:sz w:val="20"/>
          <w:rtl/>
        </w:rPr>
      </w:pPr>
      <w:r w:rsidRPr="00417A5B">
        <w:rPr>
          <w:rFonts w:hint="cs"/>
          <w:spacing w:val="0"/>
          <w:sz w:val="20"/>
          <w:rtl/>
        </w:rPr>
        <w:tab/>
        <w:t>(</w:t>
      </w:r>
      <w:r w:rsidRPr="00417A5B">
        <w:rPr>
          <w:spacing w:val="0"/>
          <w:sz w:val="20"/>
          <w:rtl/>
        </w:rPr>
        <w:t>ب)</w:t>
      </w:r>
      <w:r w:rsidRPr="00417A5B">
        <w:rPr>
          <w:rFonts w:hint="cs"/>
          <w:spacing w:val="0"/>
          <w:sz w:val="20"/>
          <w:rtl/>
        </w:rPr>
        <w:tab/>
      </w:r>
      <w:r w:rsidRPr="00417A5B">
        <w:rPr>
          <w:spacing w:val="0"/>
          <w:sz w:val="20"/>
          <w:rtl/>
        </w:rPr>
        <w:t xml:space="preserve">حالة المواطنيْن الإثيوبييْن، </w:t>
      </w:r>
      <w:r w:rsidRPr="00417A5B">
        <w:rPr>
          <w:rFonts w:hint="cs"/>
          <w:spacing w:val="0"/>
          <w:sz w:val="20"/>
          <w:rtl/>
        </w:rPr>
        <w:t>النّقيب</w:t>
      </w:r>
      <w:r w:rsidRPr="00417A5B">
        <w:rPr>
          <w:spacing w:val="0"/>
          <w:sz w:val="20"/>
          <w:rtl/>
        </w:rPr>
        <w:t xml:space="preserve"> بيهايلو جبري والسيد أبيوت مانغودي، اللذيْن أُعيدا قسراً إلى إثيوبيا في يوم 11 تموز/يوليه 2005، حيث تعرضا للاحتجاز والتعذيب. وتلاحظ اللجنة مع القلق أن المعلومات الواردة تشير إلى أن هذين الشخصين</w:t>
      </w:r>
      <w:r w:rsidR="00335AC0" w:rsidRPr="00417A5B">
        <w:rPr>
          <w:spacing w:val="0"/>
          <w:sz w:val="20"/>
          <w:rtl/>
        </w:rPr>
        <w:t xml:space="preserve"> لم </w:t>
      </w:r>
      <w:r w:rsidRPr="00417A5B">
        <w:rPr>
          <w:spacing w:val="0"/>
          <w:sz w:val="20"/>
          <w:rtl/>
        </w:rPr>
        <w:t>تُتح لهما سبل</w:t>
      </w:r>
      <w:r w:rsidRPr="00417A5B">
        <w:rPr>
          <w:rFonts w:hint="cs"/>
          <w:spacing w:val="0"/>
          <w:sz w:val="20"/>
          <w:rtl/>
        </w:rPr>
        <w:t> </w:t>
      </w:r>
      <w:r w:rsidRPr="00417A5B">
        <w:rPr>
          <w:spacing w:val="0"/>
          <w:sz w:val="20"/>
          <w:rtl/>
        </w:rPr>
        <w:t>الانتصاف الملائمة للطعن في قرار إعادتهما القسرية. كما تعرب اللجنة عن قلقها إزاء عدم</w:t>
      </w:r>
      <w:r w:rsidRPr="00417A5B">
        <w:rPr>
          <w:rFonts w:hint="cs"/>
          <w:spacing w:val="0"/>
          <w:sz w:val="20"/>
          <w:rtl/>
        </w:rPr>
        <w:t> </w:t>
      </w:r>
      <w:r w:rsidRPr="00417A5B">
        <w:rPr>
          <w:spacing w:val="0"/>
          <w:sz w:val="20"/>
          <w:rtl/>
        </w:rPr>
        <w:t>قيام الدولة الطرف بفتح تحقيق دقيق وفعال في هذه القضية. وفضلاً عن ذلك، تلاحظ اللجنة مع القلق أن جيبوتي</w:t>
      </w:r>
      <w:r w:rsidR="00335AC0" w:rsidRPr="00417A5B">
        <w:rPr>
          <w:spacing w:val="0"/>
          <w:sz w:val="20"/>
          <w:rtl/>
        </w:rPr>
        <w:t xml:space="preserve"> لم </w:t>
      </w:r>
      <w:r w:rsidRPr="00417A5B">
        <w:rPr>
          <w:spacing w:val="0"/>
          <w:sz w:val="20"/>
          <w:rtl/>
        </w:rPr>
        <w:t xml:space="preserve">تستجب للنداءات العاجلة التي وجهها المقرر الخاص المعني بمسألة التعذيب وغيره من ضروب المعاملة أو العقوبة القاسية أو اللاإنسانية أو المهينة بهذا الشأن. وترجو اللجنة من الدولة الطرف موافاتها بمعلومات عن هذا الموضوع (المواد 12 و13 و14)؛ </w:t>
      </w:r>
    </w:p>
    <w:p w:rsidR="004E0A37" w:rsidRPr="00417A5B" w:rsidRDefault="004E0A37" w:rsidP="004E0A37">
      <w:pPr>
        <w:pStyle w:val="SingleTxtGA"/>
        <w:jc w:val="lowKashida"/>
        <w:rPr>
          <w:spacing w:val="0"/>
          <w:sz w:val="20"/>
          <w:rtl/>
        </w:rPr>
      </w:pPr>
      <w:r w:rsidRPr="00417A5B">
        <w:rPr>
          <w:rFonts w:hint="cs"/>
          <w:spacing w:val="0"/>
          <w:sz w:val="20"/>
          <w:rtl/>
        </w:rPr>
        <w:tab/>
        <w:t>(</w:t>
      </w:r>
      <w:r w:rsidRPr="00417A5B">
        <w:rPr>
          <w:spacing w:val="0"/>
          <w:sz w:val="20"/>
          <w:rtl/>
        </w:rPr>
        <w:t>ج)</w:t>
      </w:r>
      <w:r w:rsidRPr="00417A5B">
        <w:rPr>
          <w:rFonts w:hint="cs"/>
          <w:spacing w:val="0"/>
          <w:sz w:val="20"/>
          <w:rtl/>
        </w:rPr>
        <w:tab/>
      </w:r>
      <w:r w:rsidRPr="00417A5B">
        <w:rPr>
          <w:spacing w:val="0"/>
          <w:sz w:val="20"/>
          <w:rtl/>
        </w:rPr>
        <w:t>حالة المواطن اليمني محمد الأسد. إذ تشير المعلومات التي تمتلكها اللجنة إلى أن هذا الشخص قد احتُجِز في زنزانة انفرادية في جيبوتي لمدة أسبوعين نُقل بعدها إلى أفغانستان. وهناك تعرض للتعذيب والعزلة الشديدة والحرمان من أي اتصال مع الآخرين، وبث</w:t>
      </w:r>
      <w:r w:rsidRPr="00417A5B">
        <w:rPr>
          <w:rFonts w:hint="cs"/>
          <w:spacing w:val="0"/>
          <w:sz w:val="20"/>
          <w:rtl/>
        </w:rPr>
        <w:t> </w:t>
      </w:r>
      <w:r w:rsidRPr="00417A5B">
        <w:rPr>
          <w:spacing w:val="0"/>
          <w:sz w:val="20"/>
          <w:rtl/>
        </w:rPr>
        <w:t>الموسيقى الصاخبة باستمرار والإنارة الاصطناعية على مدار الساعة والبرد والتلاعب بالنظام الغذائي. وتحيط اللجنة</w:t>
      </w:r>
      <w:r w:rsidR="003833F8" w:rsidRPr="00417A5B">
        <w:rPr>
          <w:spacing w:val="0"/>
          <w:sz w:val="20"/>
          <w:rtl/>
        </w:rPr>
        <w:t xml:space="preserve"> علماً </w:t>
      </w:r>
      <w:r w:rsidRPr="00417A5B">
        <w:rPr>
          <w:spacing w:val="0"/>
          <w:sz w:val="20"/>
          <w:rtl/>
        </w:rPr>
        <w:t>بأن القضية معروضة</w:t>
      </w:r>
      <w:r w:rsidR="003549AC">
        <w:rPr>
          <w:spacing w:val="0"/>
          <w:sz w:val="20"/>
          <w:rtl/>
        </w:rPr>
        <w:t xml:space="preserve"> حالياً </w:t>
      </w:r>
      <w:r w:rsidRPr="00417A5B">
        <w:rPr>
          <w:spacing w:val="0"/>
          <w:sz w:val="20"/>
          <w:rtl/>
        </w:rPr>
        <w:t xml:space="preserve">على النظام الأفريقي لحقوق الإنسان وتحديداً اللجنة الأفريقية لحقوق الإنسان والشعوب. </w:t>
      </w:r>
    </w:p>
    <w:p w:rsidR="004E0A37" w:rsidRPr="00A72130" w:rsidRDefault="004E0A37" w:rsidP="004E0A37">
      <w:pPr>
        <w:pStyle w:val="SingleTxtGA"/>
        <w:jc w:val="lowKashida"/>
        <w:rPr>
          <w:b/>
          <w:bCs/>
          <w:spacing w:val="0"/>
          <w:sz w:val="20"/>
          <w:rtl/>
        </w:rPr>
      </w:pPr>
      <w:r w:rsidRPr="00A72130">
        <w:rPr>
          <w:rFonts w:hint="cs"/>
          <w:b/>
          <w:bCs/>
          <w:spacing w:val="0"/>
          <w:sz w:val="20"/>
          <w:rtl/>
        </w:rPr>
        <w:tab/>
      </w:r>
      <w:r w:rsidRPr="00A72130">
        <w:rPr>
          <w:b/>
          <w:bCs/>
          <w:spacing w:val="0"/>
          <w:sz w:val="20"/>
          <w:rtl/>
        </w:rPr>
        <w:t>ينبغي أن تسارع الدولة الطرف إلى إجراء تحقيقات مستقلة ومحايدة وشاملة في الحادث المذكور آنفاً بغية تسليم المتورطين في انتهاكات الاتفاقية إلى العدالة. وتوصي اللجنة بأن توكَل هذه التحقيقات إلى خبراء مستقلين يفحصون جميع المعلومات فحصاً شاملاً ويخرجون باستنتاجات بشأن الوقائع والتدابير المتخذة ويقدمون إلى الضحايا وأسرهم تعويضاً مناسباً بما</w:t>
      </w:r>
      <w:r w:rsidRPr="00A72130">
        <w:rPr>
          <w:rFonts w:hint="cs"/>
          <w:b/>
          <w:bCs/>
          <w:spacing w:val="0"/>
          <w:sz w:val="20"/>
          <w:rtl/>
        </w:rPr>
        <w:t> </w:t>
      </w:r>
      <w:r w:rsidRPr="00A72130">
        <w:rPr>
          <w:b/>
          <w:bCs/>
          <w:spacing w:val="0"/>
          <w:sz w:val="20"/>
          <w:rtl/>
        </w:rPr>
        <w:t xml:space="preserve">في ذلك الوسائل اللازمة لتأمين إعادة تأهيلهم على أكمل وجه. وتطلب اللجنة </w:t>
      </w:r>
      <w:r w:rsidRPr="00A72130">
        <w:rPr>
          <w:rFonts w:hint="cs"/>
          <w:b/>
          <w:bCs/>
          <w:spacing w:val="0"/>
          <w:sz w:val="20"/>
          <w:rtl/>
        </w:rPr>
        <w:t>إلى</w:t>
      </w:r>
      <w:r w:rsidRPr="00A72130">
        <w:rPr>
          <w:b/>
          <w:bCs/>
          <w:spacing w:val="0"/>
          <w:sz w:val="20"/>
          <w:rtl/>
        </w:rPr>
        <w:t xml:space="preserve"> الدولة الطرف موافاتها بمعلومات مفصلة عن نتائج تلك التحقيقات في تقريرها الدوري المقبل. </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ينبغي للدولة الطرف أن تعتمد إطاراً تشريعياً ينظم الطرد والإعادة القسرية والتسليم من أجل الوفاء بالتزاماتها بمقتضى أحكام المادة 3 من الاتفاقية. وينبغي أن تستند قرارات طرد الأشخاص، بمن فيهم من هم في وضع غير قانوني، وإعادتهم قسراً وتسليمهم، إلى حكم قضائي يصدر بعد دراسة دقيقة لاحتمالات التعرض للتعذيب في كل حالة وأن تكون قابلة للطعن فيها مع وقف تنفيذها.</w:t>
      </w:r>
      <w:r w:rsidRPr="00C20878">
        <w:rPr>
          <w:rFonts w:hint="cs"/>
          <w:b/>
          <w:bCs/>
          <w:spacing w:val="0"/>
          <w:sz w:val="20"/>
          <w:rtl/>
        </w:rPr>
        <w:t xml:space="preserve"> </w:t>
      </w:r>
      <w:r w:rsidRPr="00C20878">
        <w:rPr>
          <w:b/>
          <w:bCs/>
          <w:spacing w:val="0"/>
          <w:sz w:val="20"/>
          <w:rtl/>
        </w:rPr>
        <w:t xml:space="preserve">وينبغي مراجعة أحكام اتفاقات التعاون القضائي المبرمة مع </w:t>
      </w:r>
      <w:r w:rsidRPr="00C20878">
        <w:rPr>
          <w:rFonts w:hint="cs"/>
          <w:b/>
          <w:bCs/>
          <w:spacing w:val="0"/>
          <w:sz w:val="20"/>
          <w:rtl/>
        </w:rPr>
        <w:t xml:space="preserve">بلدان الجوار </w:t>
      </w:r>
      <w:r w:rsidRPr="00C20878">
        <w:rPr>
          <w:b/>
          <w:bCs/>
          <w:spacing w:val="0"/>
          <w:sz w:val="20"/>
          <w:rtl/>
        </w:rPr>
        <w:t>لضمان إتمام نقل المحتجز إلى الدولة الموقِّعة في إطار إجراء قضائي مع الامتثال الصارم للمادة 3 من الاتفاقية.</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آلية تقديم الشكوى</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15</w:t>
      </w:r>
      <w:r w:rsidR="003E72B5">
        <w:rPr>
          <w:spacing w:val="0"/>
          <w:sz w:val="20"/>
          <w:rtl/>
        </w:rPr>
        <w:t>)</w:t>
      </w:r>
      <w:r w:rsidR="003E72B5">
        <w:rPr>
          <w:spacing w:val="0"/>
          <w:sz w:val="20"/>
          <w:rtl/>
        </w:rPr>
        <w:tab/>
      </w:r>
      <w:r w:rsidR="004E0A37" w:rsidRPr="004E0A37">
        <w:rPr>
          <w:spacing w:val="0"/>
          <w:sz w:val="20"/>
          <w:rtl/>
        </w:rPr>
        <w:t>على الرغم من المعلومات التي قدمتها الدولة الطرف في التقرير بشأن الإمكانية المتاحة للسجناء والمعتقلين لتقديم شكوى إلى النائب العام والمدعي العام للجمهورية أو إلى قاضي التحقيق أو رئيس غرفة الاتهام بحسب كل حالة، أو إلى إدارة السجون التابعة لوزارة العدل، فإن اللجنة تأسف لعدم وجود آلية محددة مستقلة وفعالة لتلقي الشكاوى وإجراء تحقيق فوري ونزيه بشأن ادعاءات التعرض للتعذيب التي ترد</w:t>
      </w:r>
      <w:r w:rsidR="004E0A37" w:rsidRPr="004E0A37">
        <w:rPr>
          <w:rFonts w:hint="cs"/>
          <w:spacing w:val="0"/>
          <w:sz w:val="20"/>
          <w:rtl/>
        </w:rPr>
        <w:t>،</w:t>
      </w:r>
      <w:r w:rsidR="004E0A37" w:rsidRPr="004E0A37">
        <w:rPr>
          <w:spacing w:val="0"/>
          <w:sz w:val="20"/>
          <w:rtl/>
        </w:rPr>
        <w:t xml:space="preserve"> بوجه خاص، من السجناء والمعتقلين، ولضمان معاقبة الجناة. وتلاحظ اللجنة أيضاً عدم توفر المعلومات والإحصاءات بوجه خاص، بشأن عدد الشكاوى التي رُفعت ضد المتورطين في أعمال التعذيب وسوء المعاملة، والتحقيقات والملاحقات التي خضعوا لها وعن العقوبات التي اتُّخذت في حقهم على </w:t>
      </w:r>
      <w:r w:rsidR="004E0A37" w:rsidRPr="004E0A37">
        <w:rPr>
          <w:rFonts w:hint="cs"/>
          <w:spacing w:val="0"/>
          <w:sz w:val="20"/>
          <w:rtl/>
        </w:rPr>
        <w:t>الصعيدين</w:t>
      </w:r>
      <w:r w:rsidR="004E0A37" w:rsidRPr="004E0A37">
        <w:rPr>
          <w:spacing w:val="0"/>
          <w:sz w:val="20"/>
          <w:rtl/>
        </w:rPr>
        <w:t xml:space="preserve"> الجزائي والتأديبي (المواد 2 و12 و13 و16). </w:t>
      </w:r>
    </w:p>
    <w:p w:rsidR="004E0A37" w:rsidRPr="00C20878" w:rsidRDefault="004E0A37" w:rsidP="006E43D5">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ينبغي أن تتخذ الدولة الطرف تدابير محددة لإنشاء آلية مستقلة وفعالة مخصصة للنظر في الادعاءات المتعلقة بالتعرض للتعذيب وسوء المعاملة على أيدي موظفي إنفاذ القانون وأفراد الأمن والجيش وموظفي السجون، وتُخول إجراء تحقيقات فورية ومحايدة في تلك الادعاءات واتخاذ إجراءات في سبيل مقاضاة الجناة. وينبغي أن تكفل الدولة الطرف، </w:t>
      </w:r>
      <w:r w:rsidRPr="00C20878">
        <w:rPr>
          <w:rFonts w:hint="cs"/>
          <w:b/>
          <w:bCs/>
          <w:spacing w:val="0"/>
          <w:sz w:val="20"/>
          <w:rtl/>
        </w:rPr>
        <w:t>عمليّاً</w:t>
      </w:r>
      <w:r w:rsidRPr="00C20878">
        <w:rPr>
          <w:b/>
          <w:bCs/>
          <w:spacing w:val="0"/>
          <w:sz w:val="20"/>
          <w:rtl/>
        </w:rPr>
        <w:t xml:space="preserve">، حماية مقدمي الشكاوى من أي سوء معاملة أو ترهيب يمكن أن يتعرضوا له بسبب تقديمهم للشكاوى أو الأدلة. </w:t>
      </w:r>
    </w:p>
    <w:p w:rsidR="004E0A37" w:rsidRPr="00C20878" w:rsidRDefault="004E0A37" w:rsidP="006E43D5">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وتطلب اللجنة إلى الدولة الطرف أن توضح ما إذا كانت أفعال التعذيب وسوء المعاملة تخضع تلقائياً للتحقيق والملاحقة، كما تطلب إليها تقديم معلومات وإحصاءات عن عدد الشكاوى المرفوعة ضد موظفين عموميين </w:t>
      </w:r>
      <w:r w:rsidR="00F96B1E" w:rsidRPr="00C20878">
        <w:rPr>
          <w:b/>
          <w:bCs/>
          <w:spacing w:val="0"/>
          <w:sz w:val="20"/>
          <w:rtl/>
        </w:rPr>
        <w:t>فيما </w:t>
      </w:r>
      <w:r w:rsidRPr="00C20878">
        <w:rPr>
          <w:b/>
          <w:bCs/>
          <w:spacing w:val="0"/>
          <w:sz w:val="20"/>
          <w:rtl/>
        </w:rPr>
        <w:t xml:space="preserve">يتصل بالتعذيب وإساءة المعاملة، ومعلومات عن نتائج الإجراءات المتخذة على </w:t>
      </w:r>
      <w:r w:rsidRPr="00C20878">
        <w:rPr>
          <w:rFonts w:hint="cs"/>
          <w:b/>
          <w:bCs/>
          <w:spacing w:val="0"/>
          <w:sz w:val="20"/>
          <w:rtl/>
        </w:rPr>
        <w:t xml:space="preserve">الصعيدين </w:t>
      </w:r>
      <w:r w:rsidRPr="00C20878">
        <w:rPr>
          <w:b/>
          <w:bCs/>
          <w:spacing w:val="0"/>
          <w:sz w:val="20"/>
          <w:rtl/>
        </w:rPr>
        <w:t>الجزائي والتأديبي. وينبغي أن تكون هذه المعلومات مصنفة بحسب جنس مقدمي الشكاوى وسنهم وأن يشار فيها إلى السلطة التي تولت التحقيق.</w:t>
      </w:r>
    </w:p>
    <w:p w:rsidR="004E0A37" w:rsidRPr="004E0A37" w:rsidRDefault="004E0A37" w:rsidP="006E43D5">
      <w:pPr>
        <w:pStyle w:val="H23GA"/>
        <w:rPr>
          <w:rtl/>
        </w:rPr>
      </w:pPr>
      <w:r w:rsidRPr="004E0A37">
        <w:rPr>
          <w:rFonts w:hint="cs"/>
          <w:rtl/>
        </w:rPr>
        <w:tab/>
      </w:r>
      <w:r w:rsidRPr="004E0A37">
        <w:rPr>
          <w:rFonts w:hint="cs"/>
          <w:rtl/>
        </w:rPr>
        <w:tab/>
      </w:r>
      <w:r w:rsidRPr="004E0A37">
        <w:rPr>
          <w:rtl/>
        </w:rPr>
        <w:t>اللاجئون وملتمسو اللجوء</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16</w:t>
      </w:r>
      <w:r>
        <w:rPr>
          <w:rFonts w:hint="cs"/>
          <w:spacing w:val="0"/>
          <w:sz w:val="20"/>
          <w:rtl/>
        </w:rPr>
        <w:t>)</w:t>
      </w:r>
      <w:r>
        <w:rPr>
          <w:rFonts w:hint="cs"/>
          <w:spacing w:val="0"/>
          <w:sz w:val="20"/>
          <w:rtl/>
        </w:rPr>
        <w:tab/>
      </w:r>
      <w:r w:rsidR="004E0A37" w:rsidRPr="004E0A37">
        <w:rPr>
          <w:spacing w:val="0"/>
          <w:sz w:val="20"/>
          <w:rtl/>
        </w:rPr>
        <w:t>تشعر اللجنة بالقلق لأن اللجنة الوطنية المعنية بدراسة طلبات اللجوء لا تؤدي وظيفتها كما يجب ولأن ملتمسي اللجوء أو طالبي الحصول على مركز اللاجئ يعيشون وضعاً قانونياً غير محدد لفترة طويلة يكونون خلالها عرضة للإبعاد. وتلاحظ اللجنة بقلق أيضاً أن الدولة الطرف</w:t>
      </w:r>
      <w:r w:rsidR="00335AC0">
        <w:rPr>
          <w:spacing w:val="0"/>
          <w:sz w:val="20"/>
          <w:rtl/>
        </w:rPr>
        <w:t xml:space="preserve"> لم </w:t>
      </w:r>
      <w:r w:rsidR="004E0A37" w:rsidRPr="004E0A37">
        <w:rPr>
          <w:spacing w:val="0"/>
          <w:sz w:val="20"/>
          <w:rtl/>
        </w:rPr>
        <w:t>تنضم إلى الاتفاقية المتعلقة بوضع الأشخاص عديمي الجنسية (1954) ولا إلى اتفاقية خفض حالات انعدام الجنسية (1961) (المادتان3 و16).</w:t>
      </w:r>
    </w:p>
    <w:p w:rsidR="004E0A37" w:rsidRPr="00C20878" w:rsidRDefault="004E0A37" w:rsidP="006E43D5">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ينبغي أن تكفل الدولة الطرف اضطلاع اللجنة الوطنية المعنية بطلبات اللجوء بوظيفتها كما يجب وأن تتيح للأشخاص الذين يصدر في حقهم أمر بالإبعاد إمكانية الطعن أمام المحاكم في تلك القرارات. </w:t>
      </w:r>
    </w:p>
    <w:p w:rsidR="004E0A37" w:rsidRPr="00C20878" w:rsidRDefault="004E0A37" w:rsidP="006E43D5">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وتوصي اللجنة بأن تنظر الدولة الطرف في الانضمام إلى الاتفاقية المتعلقة بوضع الأشخاص عديمي الجنسية واتفاقية خفض حالات انعدام الجنسية. </w:t>
      </w:r>
    </w:p>
    <w:p w:rsidR="004E0A37" w:rsidRPr="004E0A37" w:rsidRDefault="004E0A37" w:rsidP="006E43D5">
      <w:pPr>
        <w:pStyle w:val="H23GA"/>
        <w:rPr>
          <w:rFonts w:hint="cs"/>
          <w:rtl/>
        </w:rPr>
      </w:pPr>
      <w:r w:rsidRPr="004E0A37">
        <w:rPr>
          <w:rFonts w:hint="cs"/>
          <w:rtl/>
        </w:rPr>
        <w:tab/>
      </w:r>
      <w:r w:rsidRPr="004E0A37">
        <w:rPr>
          <w:rFonts w:hint="cs"/>
          <w:rtl/>
        </w:rPr>
        <w:tab/>
      </w:r>
      <w:r w:rsidRPr="004E0A37">
        <w:rPr>
          <w:rtl/>
        </w:rPr>
        <w:t>ظروف الاحتجاز</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17</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بالالتزامات التي قطعتها الدولة الطرف أثناء الحوار الذي دار مع</w:t>
      </w:r>
      <w:r w:rsidR="004E0A37" w:rsidRPr="004E0A37">
        <w:rPr>
          <w:rFonts w:hint="cs"/>
          <w:spacing w:val="0"/>
          <w:sz w:val="20"/>
          <w:rtl/>
        </w:rPr>
        <w:t xml:space="preserve">ها </w:t>
      </w:r>
      <w:r w:rsidR="004E0A37" w:rsidRPr="004E0A37">
        <w:rPr>
          <w:spacing w:val="0"/>
          <w:sz w:val="20"/>
          <w:rtl/>
        </w:rPr>
        <w:t>لتحسين الظروف في أماكن الاحتجاز خاصة عن طريق تجديد أو تشييد بعض المباني في سجن غابود المركزي، وإعادة تشغيل وتأهيل عدد من السجون الواقعة في الأقاليم. وتحيط</w:t>
      </w:r>
      <w:r w:rsidR="003833F8">
        <w:rPr>
          <w:spacing w:val="0"/>
          <w:sz w:val="20"/>
          <w:rtl/>
        </w:rPr>
        <w:t xml:space="preserve"> علماً </w:t>
      </w:r>
      <w:r w:rsidR="004E0A37" w:rsidRPr="004E0A37">
        <w:rPr>
          <w:spacing w:val="0"/>
          <w:sz w:val="20"/>
          <w:rtl/>
        </w:rPr>
        <w:t xml:space="preserve">كذلك بالجهود التي تبذلها الدولة الطرف من أجل تحسين فرص الحصول على الخدمات الصحية. بيد أن اللجنة لا تزال تشعر بقلق بالغ إزاء تأكيد الدولة الطرف للمعلومات التي تفيد باكتظاظ السجون </w:t>
      </w:r>
      <w:r w:rsidR="004E0A37" w:rsidRPr="004E0A37">
        <w:rPr>
          <w:rFonts w:hint="cs"/>
          <w:spacing w:val="0"/>
          <w:sz w:val="20"/>
          <w:rtl/>
        </w:rPr>
        <w:t xml:space="preserve">وتردّي </w:t>
      </w:r>
      <w:r w:rsidR="004E0A37" w:rsidRPr="004E0A37">
        <w:rPr>
          <w:spacing w:val="0"/>
          <w:sz w:val="20"/>
          <w:rtl/>
        </w:rPr>
        <w:t xml:space="preserve">مرافق النظافة </w:t>
      </w:r>
      <w:r w:rsidR="004E0A37" w:rsidRPr="004E0A37">
        <w:rPr>
          <w:rFonts w:hint="cs"/>
          <w:spacing w:val="0"/>
          <w:sz w:val="20"/>
          <w:rtl/>
        </w:rPr>
        <w:t xml:space="preserve">الشخصية </w:t>
      </w:r>
      <w:r w:rsidR="004E0A37" w:rsidRPr="004E0A37">
        <w:rPr>
          <w:spacing w:val="0"/>
          <w:sz w:val="20"/>
          <w:rtl/>
        </w:rPr>
        <w:t>والإصحاح بالإضافة إلى عدم توفر ما</w:t>
      </w:r>
      <w:r w:rsidR="004E0A37" w:rsidRPr="004E0A37">
        <w:rPr>
          <w:rFonts w:hint="cs"/>
          <w:spacing w:val="0"/>
          <w:sz w:val="20"/>
          <w:rtl/>
        </w:rPr>
        <w:t> </w:t>
      </w:r>
      <w:r w:rsidR="004E0A37" w:rsidRPr="004E0A37">
        <w:rPr>
          <w:spacing w:val="0"/>
          <w:sz w:val="20"/>
          <w:rtl/>
        </w:rPr>
        <w:t>يكفي من المياه والغذاء. وبالإضافة إلى ذلك لا تفصل الدولة الطرف بين الأحداث والبالغين في الحجز (المادتان 11 و1</w:t>
      </w:r>
      <w:r w:rsidR="004E0A37" w:rsidRPr="004E0A37">
        <w:rPr>
          <w:rFonts w:hint="cs"/>
          <w:spacing w:val="0"/>
          <w:sz w:val="20"/>
          <w:rtl/>
        </w:rPr>
        <w:t>6</w:t>
      </w:r>
      <w:r w:rsidR="004E0A37" w:rsidRPr="004E0A37">
        <w:rPr>
          <w:spacing w:val="0"/>
          <w:sz w:val="20"/>
          <w:rtl/>
        </w:rPr>
        <w:t xml:space="preserve">). </w:t>
      </w:r>
    </w:p>
    <w:p w:rsidR="004E0A37" w:rsidRPr="00C20878" w:rsidRDefault="004E0A37" w:rsidP="006E43D5">
      <w:pPr>
        <w:pStyle w:val="SingleTxtGA"/>
        <w:spacing w:line="370" w:lineRule="exact"/>
        <w:jc w:val="lowKashida"/>
        <w:rPr>
          <w:b/>
          <w:bCs/>
          <w:spacing w:val="0"/>
          <w:sz w:val="20"/>
          <w:rtl/>
        </w:rPr>
      </w:pPr>
      <w:r w:rsidRPr="00C20878">
        <w:rPr>
          <w:rFonts w:hint="cs"/>
          <w:b/>
          <w:bCs/>
          <w:spacing w:val="0"/>
          <w:sz w:val="20"/>
          <w:rtl/>
        </w:rPr>
        <w:tab/>
      </w:r>
      <w:r w:rsidRPr="00C20878">
        <w:rPr>
          <w:b/>
          <w:bCs/>
          <w:spacing w:val="0"/>
          <w:sz w:val="20"/>
          <w:rtl/>
        </w:rPr>
        <w:t xml:space="preserve">ينبغي للدولة الطرف أن تتخذ تدابير عاجلة لتكفل توافق ظروف الاحتجاز في مخافر الشرطة والسجون وغيرها من أماكن الاحتجاز مع القواعد النموذجية الدنيا لمعاملة السجناء وغيرها من المعايير ذات الصلة، وذلك تحديداً باتخاذ التدابير التالية: </w:t>
      </w:r>
    </w:p>
    <w:p w:rsidR="004E0A37" w:rsidRPr="00C20878" w:rsidRDefault="004E0A37" w:rsidP="006E43D5">
      <w:pPr>
        <w:pStyle w:val="SingleTxtGA"/>
        <w:spacing w:after="60" w:line="370" w:lineRule="exact"/>
        <w:jc w:val="lowKashida"/>
        <w:rPr>
          <w:b/>
          <w:bCs/>
          <w:spacing w:val="0"/>
          <w:sz w:val="20"/>
          <w:rtl/>
        </w:rPr>
      </w:pPr>
      <w:r w:rsidRPr="00C20878">
        <w:rPr>
          <w:rFonts w:hint="cs"/>
          <w:b/>
          <w:bCs/>
          <w:spacing w:val="0"/>
          <w:sz w:val="20"/>
          <w:rtl/>
        </w:rPr>
        <w:tab/>
        <w:t>(</w:t>
      </w:r>
      <w:r w:rsidRPr="00C20878">
        <w:rPr>
          <w:b/>
          <w:bCs/>
          <w:spacing w:val="0"/>
          <w:sz w:val="20"/>
          <w:rtl/>
        </w:rPr>
        <w:t>أ)</w:t>
      </w:r>
      <w:r w:rsidRPr="00C20878">
        <w:rPr>
          <w:rFonts w:hint="cs"/>
          <w:b/>
          <w:bCs/>
          <w:spacing w:val="0"/>
          <w:sz w:val="20"/>
          <w:rtl/>
        </w:rPr>
        <w:tab/>
      </w:r>
      <w:r w:rsidRPr="00C20878">
        <w:rPr>
          <w:b/>
          <w:bCs/>
          <w:spacing w:val="0"/>
          <w:sz w:val="20"/>
          <w:rtl/>
        </w:rPr>
        <w:t xml:space="preserve">الحد من اكتظاظ السجون، بالنظر بصفة خاصة في اعتماد تدابير عقابية بديلة للاحتجاز تتطابق مع قواعد الأمم المتحدة الدنيا النموذجية للتدابير غير السجنية (قواعد طوكيو)؛ </w:t>
      </w:r>
    </w:p>
    <w:p w:rsidR="004E0A37" w:rsidRPr="00C20878" w:rsidRDefault="004E0A37" w:rsidP="006E43D5">
      <w:pPr>
        <w:pStyle w:val="SingleTxtGA"/>
        <w:spacing w:after="60" w:line="370" w:lineRule="exact"/>
        <w:jc w:val="lowKashida"/>
        <w:rPr>
          <w:b/>
          <w:bCs/>
          <w:spacing w:val="0"/>
          <w:sz w:val="20"/>
          <w:rtl/>
        </w:rPr>
      </w:pPr>
      <w:r w:rsidRPr="00C20878">
        <w:rPr>
          <w:rFonts w:hint="cs"/>
          <w:b/>
          <w:bCs/>
          <w:spacing w:val="0"/>
          <w:sz w:val="20"/>
          <w:rtl/>
        </w:rPr>
        <w:tab/>
      </w:r>
      <w:r w:rsidRPr="00C20878">
        <w:rPr>
          <w:b/>
          <w:bCs/>
          <w:spacing w:val="0"/>
          <w:sz w:val="20"/>
          <w:rtl/>
        </w:rPr>
        <w:t>(ب)</w:t>
      </w:r>
      <w:r w:rsidRPr="00C20878">
        <w:rPr>
          <w:rFonts w:hint="cs"/>
          <w:b/>
          <w:bCs/>
          <w:spacing w:val="0"/>
          <w:sz w:val="20"/>
          <w:rtl/>
        </w:rPr>
        <w:tab/>
      </w:r>
      <w:r w:rsidRPr="00C20878">
        <w:rPr>
          <w:b/>
          <w:bCs/>
          <w:spacing w:val="0"/>
          <w:sz w:val="20"/>
          <w:rtl/>
        </w:rPr>
        <w:t>تحسين نوعية وكمية ما يقدم للمحتجزين والسجناء من غذاء وماء؛</w:t>
      </w:r>
    </w:p>
    <w:p w:rsidR="004E0A37" w:rsidRPr="00C20878" w:rsidRDefault="004E0A37" w:rsidP="006E43D5">
      <w:pPr>
        <w:pStyle w:val="SingleTxtGA"/>
        <w:spacing w:after="60" w:line="370" w:lineRule="exact"/>
        <w:jc w:val="lowKashida"/>
        <w:rPr>
          <w:rFonts w:hint="cs"/>
          <w:b/>
          <w:bCs/>
          <w:spacing w:val="0"/>
          <w:sz w:val="20"/>
          <w:rtl/>
        </w:rPr>
      </w:pPr>
      <w:r w:rsidRPr="00C20878">
        <w:rPr>
          <w:rFonts w:hint="cs"/>
          <w:b/>
          <w:bCs/>
          <w:spacing w:val="0"/>
          <w:sz w:val="20"/>
          <w:rtl/>
        </w:rPr>
        <w:tab/>
      </w:r>
      <w:r w:rsidRPr="00C20878">
        <w:rPr>
          <w:b/>
          <w:bCs/>
          <w:spacing w:val="0"/>
          <w:sz w:val="20"/>
          <w:rtl/>
        </w:rPr>
        <w:t>(ج)</w:t>
      </w:r>
      <w:r w:rsidRPr="00C20878">
        <w:rPr>
          <w:rFonts w:hint="cs"/>
          <w:b/>
          <w:bCs/>
          <w:spacing w:val="0"/>
          <w:sz w:val="20"/>
          <w:rtl/>
        </w:rPr>
        <w:tab/>
      </w:r>
      <w:r w:rsidRPr="00C20878">
        <w:rPr>
          <w:b/>
          <w:bCs/>
          <w:spacing w:val="0"/>
          <w:sz w:val="20"/>
          <w:rtl/>
        </w:rPr>
        <w:t>تعزيز المراقبة القضائية لظروف الاحتجاز</w:t>
      </w:r>
      <w:r w:rsidRPr="00C20878">
        <w:rPr>
          <w:rFonts w:hint="cs"/>
          <w:b/>
          <w:bCs/>
          <w:spacing w:val="0"/>
          <w:sz w:val="20"/>
          <w:rtl/>
        </w:rPr>
        <w:t>؛</w:t>
      </w:r>
    </w:p>
    <w:p w:rsidR="004E0A37" w:rsidRPr="00C20878" w:rsidRDefault="004E0A37" w:rsidP="006E43D5">
      <w:pPr>
        <w:pStyle w:val="SingleTxtGA"/>
        <w:spacing w:line="370" w:lineRule="exact"/>
        <w:jc w:val="lowKashida"/>
        <w:rPr>
          <w:b/>
          <w:bCs/>
          <w:spacing w:val="-4"/>
          <w:sz w:val="20"/>
          <w:rtl/>
        </w:rPr>
      </w:pPr>
      <w:r w:rsidRPr="00C20878">
        <w:rPr>
          <w:rFonts w:hint="cs"/>
          <w:b/>
          <w:bCs/>
          <w:spacing w:val="-4"/>
          <w:sz w:val="20"/>
          <w:rtl/>
        </w:rPr>
        <w:tab/>
        <w:t>(</w:t>
      </w:r>
      <w:r w:rsidRPr="00C20878">
        <w:rPr>
          <w:b/>
          <w:bCs/>
          <w:spacing w:val="-4"/>
          <w:sz w:val="20"/>
          <w:rtl/>
        </w:rPr>
        <w:t>د)</w:t>
      </w:r>
      <w:r w:rsidRPr="00C20878">
        <w:rPr>
          <w:rFonts w:hint="cs"/>
          <w:b/>
          <w:bCs/>
          <w:spacing w:val="-4"/>
          <w:sz w:val="20"/>
          <w:rtl/>
        </w:rPr>
        <w:tab/>
        <w:t xml:space="preserve">الحرص على </w:t>
      </w:r>
      <w:r w:rsidRPr="00C20878">
        <w:rPr>
          <w:b/>
          <w:bCs/>
          <w:spacing w:val="-4"/>
          <w:sz w:val="20"/>
          <w:rtl/>
        </w:rPr>
        <w:t>فصل الأحداث المحتجزين منهم والمحبوسين حبساً احتياطياً عن الكبار فعلياً</w:t>
      </w:r>
      <w:r w:rsidR="00B345DB">
        <w:rPr>
          <w:b/>
          <w:bCs/>
          <w:spacing w:val="-4"/>
          <w:sz w:val="20"/>
          <w:rtl/>
        </w:rPr>
        <w:t xml:space="preserve"> وفقاً </w:t>
      </w:r>
      <w:r w:rsidRPr="00C20878">
        <w:rPr>
          <w:b/>
          <w:bCs/>
          <w:spacing w:val="-4"/>
          <w:sz w:val="20"/>
          <w:rtl/>
        </w:rPr>
        <w:t>لقواعد الأمم المتحدة النموذجية الدنيا لإدارة شؤون قضاء الأحداث (قواعد</w:t>
      </w:r>
      <w:r w:rsidRPr="00C20878">
        <w:rPr>
          <w:rFonts w:hint="cs"/>
          <w:b/>
          <w:bCs/>
          <w:spacing w:val="-4"/>
          <w:sz w:val="20"/>
          <w:rtl/>
        </w:rPr>
        <w:t> </w:t>
      </w:r>
      <w:r w:rsidRPr="00C20878">
        <w:rPr>
          <w:b/>
          <w:bCs/>
          <w:spacing w:val="-4"/>
          <w:sz w:val="20"/>
          <w:rtl/>
        </w:rPr>
        <w:t xml:space="preserve">بيجين)، التي اعتمدتها الجمعية العامة بموجب القرار 40/33 المؤرخ 29 تشرين الثاني/نوفمبر 1985، ولقواعد الأمم المتحدة بشأن حماية الأحداث المجردين من حريتهم التي اعتمدتها الجمعية العامة بموجب القرار 45/113 المؤرخ 14 كانون الأول/ديسمبر 1990. </w:t>
      </w:r>
    </w:p>
    <w:p w:rsidR="004E0A37" w:rsidRPr="004E0A37" w:rsidRDefault="004E0A37" w:rsidP="006E43D5">
      <w:pPr>
        <w:pStyle w:val="H23GA"/>
        <w:spacing w:line="370" w:lineRule="exact"/>
        <w:rPr>
          <w:rtl/>
        </w:rPr>
      </w:pPr>
      <w:r w:rsidRPr="004E0A37">
        <w:rPr>
          <w:rFonts w:hint="cs"/>
          <w:rtl/>
        </w:rPr>
        <w:tab/>
      </w:r>
      <w:r w:rsidRPr="004E0A37">
        <w:rPr>
          <w:rFonts w:hint="cs"/>
          <w:rtl/>
        </w:rPr>
        <w:tab/>
      </w:r>
      <w:r w:rsidRPr="004E0A37">
        <w:rPr>
          <w:rtl/>
        </w:rPr>
        <w:t>الجبر، بما في ذلك التعويض وإعادة التأهيل</w:t>
      </w:r>
    </w:p>
    <w:p w:rsidR="004E0A37" w:rsidRPr="004E0A37" w:rsidRDefault="0033301A" w:rsidP="006E43D5">
      <w:pPr>
        <w:pStyle w:val="SingleTxtGA"/>
        <w:spacing w:line="370" w:lineRule="exact"/>
        <w:jc w:val="lowKashida"/>
        <w:rPr>
          <w:spacing w:val="0"/>
          <w:sz w:val="20"/>
          <w:rtl/>
        </w:rPr>
      </w:pPr>
      <w:r>
        <w:rPr>
          <w:rFonts w:hint="cs"/>
          <w:spacing w:val="0"/>
          <w:sz w:val="20"/>
          <w:rtl/>
        </w:rPr>
        <w:t>(</w:t>
      </w:r>
      <w:r w:rsidR="004E0A37" w:rsidRPr="004E0A37">
        <w:rPr>
          <w:spacing w:val="0"/>
          <w:sz w:val="20"/>
          <w:rtl/>
        </w:rPr>
        <w:t>18</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بتأكيد الدولة الطرف في تقريرها بأن "الإطار التشريعي والتنظيمي في جيبوتي ينص على حق ضحايا التعذيب في الجبر والتعويض العادل"</w:t>
      </w:r>
      <w:r w:rsidR="004E0A37" w:rsidRPr="004E0A37">
        <w:rPr>
          <w:rFonts w:hint="cs"/>
          <w:spacing w:val="0"/>
          <w:sz w:val="20"/>
          <w:rtl/>
        </w:rPr>
        <w:t xml:space="preserve"> (</w:t>
      </w:r>
      <w:r w:rsidR="004E0A37" w:rsidRPr="004E0A37">
        <w:rPr>
          <w:spacing w:val="0"/>
          <w:sz w:val="20"/>
        </w:rPr>
        <w:t>CAT/C/DJI/1</w:t>
      </w:r>
      <w:r w:rsidR="004E0A37" w:rsidRPr="004E0A37">
        <w:rPr>
          <w:rFonts w:hint="cs"/>
          <w:spacing w:val="0"/>
          <w:sz w:val="20"/>
          <w:rtl/>
        </w:rPr>
        <w:t>،</w:t>
      </w:r>
      <w:r w:rsidR="004E0A37" w:rsidRPr="004E0A37">
        <w:rPr>
          <w:spacing w:val="0"/>
          <w:sz w:val="20"/>
          <w:rtl/>
        </w:rPr>
        <w:t xml:space="preserve"> الفقرة 181). بيد أن اللجنة لا تزال تشعر بالقلق لأنه يتعذر</w:t>
      </w:r>
      <w:r w:rsidR="004E0A37" w:rsidRPr="004E0A37">
        <w:rPr>
          <w:rFonts w:hint="cs"/>
          <w:spacing w:val="0"/>
          <w:sz w:val="20"/>
          <w:rtl/>
        </w:rPr>
        <w:t>،</w:t>
      </w:r>
      <w:r w:rsidR="004E0A37" w:rsidRPr="004E0A37">
        <w:rPr>
          <w:spacing w:val="0"/>
          <w:sz w:val="20"/>
          <w:rtl/>
        </w:rPr>
        <w:t xml:space="preserve"> في ظل غياب تعريف قانوني للتعذيب، توفير الجبر والتعويض العادل. وتشعر اللجنة بالأسف أيضاً إزاء ندرة الأحكام التي قضت بتقديم تعويضات لضحايا أعمال التعذيب وسوء المعاملة ولأسرهم. </w:t>
      </w:r>
      <w:r w:rsidR="004E0A37" w:rsidRPr="004E0A37">
        <w:rPr>
          <w:rFonts w:hint="cs"/>
          <w:spacing w:val="0"/>
          <w:sz w:val="20"/>
          <w:rtl/>
        </w:rPr>
        <w:t xml:space="preserve">كما </w:t>
      </w:r>
      <w:r w:rsidR="004E0A37" w:rsidRPr="004E0A37">
        <w:rPr>
          <w:spacing w:val="0"/>
          <w:sz w:val="20"/>
          <w:rtl/>
        </w:rPr>
        <w:t xml:space="preserve">تأسف لعدم وجود برامج في جيبوتي تتعلق بإعادة تأهيل ضحايا التعذيب (المادة 14). </w:t>
      </w:r>
    </w:p>
    <w:p w:rsidR="004E0A37" w:rsidRPr="006E43D5" w:rsidRDefault="004E0A37" w:rsidP="006E43D5">
      <w:pPr>
        <w:pStyle w:val="SingleTxtGA"/>
        <w:spacing w:line="370" w:lineRule="exact"/>
        <w:jc w:val="lowKashida"/>
        <w:rPr>
          <w:b/>
          <w:bCs/>
          <w:spacing w:val="-2"/>
          <w:kern w:val="0"/>
          <w:sz w:val="20"/>
          <w:rtl/>
        </w:rPr>
      </w:pPr>
      <w:r w:rsidRPr="006E43D5">
        <w:rPr>
          <w:rFonts w:hint="cs"/>
          <w:b/>
          <w:bCs/>
          <w:spacing w:val="-2"/>
          <w:kern w:val="0"/>
          <w:sz w:val="20"/>
          <w:rtl/>
        </w:rPr>
        <w:tab/>
      </w:r>
      <w:r w:rsidRPr="006E43D5">
        <w:rPr>
          <w:b/>
          <w:bCs/>
          <w:spacing w:val="-2"/>
          <w:kern w:val="0"/>
          <w:sz w:val="20"/>
          <w:rtl/>
        </w:rPr>
        <w:t xml:space="preserve">ينبغي للدولة الطرف أن </w:t>
      </w:r>
      <w:r w:rsidRPr="006E43D5">
        <w:rPr>
          <w:rFonts w:hint="cs"/>
          <w:b/>
          <w:bCs/>
          <w:spacing w:val="-2"/>
          <w:kern w:val="0"/>
          <w:sz w:val="20"/>
          <w:rtl/>
        </w:rPr>
        <w:t xml:space="preserve">تكثف </w:t>
      </w:r>
      <w:r w:rsidRPr="006E43D5">
        <w:rPr>
          <w:b/>
          <w:bCs/>
          <w:spacing w:val="-2"/>
          <w:kern w:val="0"/>
          <w:sz w:val="20"/>
          <w:rtl/>
        </w:rPr>
        <w:t>جهودها الرامية إلى تعويض ضحايا التعذيب وإساءة المعاملة تعويضاً عادلاً وكافياً وجبر أضرارهم وإعادة تأهيلهم إلى أقصى حد ممكن استناداً إلى تعريف واضح للتعذيب</w:t>
      </w:r>
      <w:r w:rsidR="00B345DB" w:rsidRPr="006E43D5">
        <w:rPr>
          <w:b/>
          <w:bCs/>
          <w:spacing w:val="-2"/>
          <w:kern w:val="0"/>
          <w:sz w:val="20"/>
          <w:rtl/>
        </w:rPr>
        <w:t xml:space="preserve"> وفقاً </w:t>
      </w:r>
      <w:r w:rsidRPr="006E43D5">
        <w:rPr>
          <w:b/>
          <w:bCs/>
          <w:spacing w:val="-2"/>
          <w:kern w:val="0"/>
          <w:sz w:val="20"/>
          <w:rtl/>
        </w:rPr>
        <w:t xml:space="preserve">للمادة الأولى من الاتفاقية. وينبغي </w:t>
      </w:r>
      <w:r w:rsidRPr="006E43D5">
        <w:rPr>
          <w:rFonts w:hint="cs"/>
          <w:b/>
          <w:bCs/>
          <w:spacing w:val="-2"/>
          <w:kern w:val="0"/>
          <w:sz w:val="20"/>
          <w:rtl/>
        </w:rPr>
        <w:t>لها أيضاً</w:t>
      </w:r>
      <w:r w:rsidRPr="006E43D5">
        <w:rPr>
          <w:b/>
          <w:bCs/>
          <w:spacing w:val="-2"/>
          <w:kern w:val="0"/>
          <w:sz w:val="20"/>
          <w:rtl/>
        </w:rPr>
        <w:t>، أن تضم</w:t>
      </w:r>
      <w:r w:rsidRPr="006E43D5">
        <w:rPr>
          <w:rFonts w:hint="cs"/>
          <w:b/>
          <w:bCs/>
          <w:spacing w:val="-2"/>
          <w:kern w:val="0"/>
          <w:sz w:val="20"/>
          <w:rtl/>
        </w:rPr>
        <w:t>ّ</w:t>
      </w:r>
      <w:r w:rsidRPr="006E43D5">
        <w:rPr>
          <w:b/>
          <w:bCs/>
          <w:spacing w:val="-2"/>
          <w:kern w:val="0"/>
          <w:sz w:val="20"/>
          <w:rtl/>
        </w:rPr>
        <w:t>ن تقريرها الدوري القادم معلومات عن تدابير التعويض والجبر التي أمرت المحاكم باتخاذها لصالح ضحايا أعمال التعذيب وأسرهم. وعلاوة على ذلك، ينبغي للدولة الطرف أن تقدم معلومات عن أية برامج خاصة بإعادة التأهيل يجري تنفيذها لفائدة ضحايا التعذيب وإساءة المعاملة وأن تخصص الموارد الكافية لضمان تنفيذ تلك البرامج على نحو</w:t>
      </w:r>
      <w:r w:rsidR="00C20878" w:rsidRPr="006E43D5">
        <w:rPr>
          <w:rFonts w:hint="cs"/>
          <w:b/>
          <w:bCs/>
          <w:spacing w:val="-2"/>
          <w:kern w:val="0"/>
          <w:sz w:val="20"/>
          <w:rtl/>
        </w:rPr>
        <w:t> </w:t>
      </w:r>
      <w:r w:rsidRPr="006E43D5">
        <w:rPr>
          <w:b/>
          <w:bCs/>
          <w:spacing w:val="-2"/>
          <w:kern w:val="0"/>
          <w:sz w:val="20"/>
          <w:rtl/>
        </w:rPr>
        <w:t xml:space="preserve">فعال. </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التدريب</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rFonts w:hint="cs"/>
          <w:spacing w:val="0"/>
          <w:sz w:val="20"/>
          <w:rtl/>
        </w:rPr>
        <w:t>19</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بما جاء في تقرير الدولة الطرف وما قُدِّم </w:t>
      </w:r>
      <w:r w:rsidR="004E0A37" w:rsidRPr="004E0A37">
        <w:rPr>
          <w:rFonts w:hint="cs"/>
          <w:spacing w:val="0"/>
          <w:sz w:val="20"/>
          <w:rtl/>
        </w:rPr>
        <w:t>أثناء</w:t>
      </w:r>
      <w:r w:rsidR="004E0A37" w:rsidRPr="004E0A37">
        <w:rPr>
          <w:spacing w:val="0"/>
          <w:sz w:val="20"/>
          <w:rtl/>
        </w:rPr>
        <w:t xml:space="preserve"> الحوار من معلومات عن دورات التدريب والحلقات الدراسية والمحاضرات المتعلقة بحقوق الإنسان والموجهة إلى القضاة والنواب العامين وموظفي الشرطة والسجون وأفراد الجيش. بيد أن</w:t>
      </w:r>
      <w:r w:rsidR="004E0A37" w:rsidRPr="004E0A37">
        <w:rPr>
          <w:rFonts w:hint="cs"/>
          <w:spacing w:val="0"/>
          <w:sz w:val="20"/>
          <w:rtl/>
        </w:rPr>
        <w:t xml:space="preserve">ها </w:t>
      </w:r>
      <w:r w:rsidR="004E0A37" w:rsidRPr="004E0A37">
        <w:rPr>
          <w:spacing w:val="0"/>
          <w:sz w:val="20"/>
          <w:rtl/>
        </w:rPr>
        <w:t>تشعر بالقلق إزاء المعلومات الواردة في الفقرتين 126 و130 من التقرير بشأن عدم الإشارة بشكل صريح إلى حظر التعذيب في الدورات التدريبية الموجهة لموظفي الشرطة الوطنية ولا في غيرها من الدورات التي يخضع لها موظفو الخدمة المدنية والمسؤولون في الإدارات العامة (المادة 10).</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ينبغي أن تمضي الدولة الطرف في تصميم برامج تدريبية وتعزيز البرامج القائمة لضمان اطّلاع جميع الموظفين، بمن فيهم القضاة وموظفو إنفاذ القانون وأفراد الأمن والجيش والمخابرات وموظفو السجون، اطّلاعاً كاملاً على أحكام الاتفاقية؛ وأن تكفل بوجه خاص، وعيهم الكامل بحظر التعذيب حظراً مطلقاً؛ وبأن انتهاك الاتفاقية</w:t>
      </w:r>
      <w:r w:rsidR="00335AC0" w:rsidRPr="00C20878">
        <w:rPr>
          <w:b/>
          <w:bCs/>
          <w:spacing w:val="0"/>
          <w:sz w:val="20"/>
          <w:rtl/>
        </w:rPr>
        <w:t xml:space="preserve"> لن </w:t>
      </w:r>
      <w:r w:rsidRPr="00C20878">
        <w:rPr>
          <w:b/>
          <w:bCs/>
          <w:spacing w:val="0"/>
          <w:sz w:val="20"/>
          <w:rtl/>
        </w:rPr>
        <w:t xml:space="preserve">يُغتفر وسيخضع لتحقيق فوري ومحايد وأن الجناة سيتعرضون للملاحقة القضائية. </w:t>
      </w:r>
    </w:p>
    <w:p w:rsidR="004E0A37" w:rsidRPr="00C20878" w:rsidRDefault="004E0A37" w:rsidP="00417A5B">
      <w:pPr>
        <w:pStyle w:val="SingleTxtGA"/>
        <w:jc w:val="lowKashida"/>
        <w:rPr>
          <w:b/>
          <w:bCs/>
          <w:spacing w:val="-2"/>
          <w:sz w:val="20"/>
          <w:rtl/>
        </w:rPr>
      </w:pPr>
      <w:r w:rsidRPr="00C20878">
        <w:rPr>
          <w:rFonts w:hint="cs"/>
          <w:b/>
          <w:bCs/>
          <w:spacing w:val="-2"/>
          <w:sz w:val="20"/>
          <w:rtl/>
        </w:rPr>
        <w:tab/>
      </w:r>
      <w:r w:rsidRPr="00C20878">
        <w:rPr>
          <w:b/>
          <w:bCs/>
          <w:spacing w:val="-2"/>
          <w:sz w:val="20"/>
          <w:rtl/>
        </w:rPr>
        <w:t>وإضافة إلى ذلك، ينبغي أن يتلقى جميع الموظفين المعنيين، بمن فيهم الموظفون الذين أشارت إليهم الاتفاقية في المادة 10، تدريباً خاصاً يتعلق بكيفية الكشف عن آثار التعذيب وإساءة المعاملة. وينبغي أن يشمل ذلك</w:t>
      </w:r>
      <w:r w:rsidRPr="00C20878">
        <w:rPr>
          <w:rFonts w:hint="cs"/>
          <w:b/>
          <w:bCs/>
          <w:spacing w:val="-2"/>
          <w:sz w:val="20"/>
          <w:rtl/>
        </w:rPr>
        <w:t>،</w:t>
      </w:r>
      <w:r w:rsidRPr="00C20878">
        <w:rPr>
          <w:b/>
          <w:bCs/>
          <w:spacing w:val="-2"/>
          <w:sz w:val="20"/>
          <w:rtl/>
        </w:rPr>
        <w:t xml:space="preserve"> بوجه خاص، التدريب على استخدام دليل التقصي والتوثيق الفعالين للتعذيب وغيره من ضروب المعاملة أو العقوبة القاسية أو اللاإنسانية أو</w:t>
      </w:r>
      <w:r w:rsidR="00417A5B">
        <w:rPr>
          <w:rFonts w:hint="cs"/>
          <w:b/>
          <w:bCs/>
          <w:spacing w:val="-2"/>
          <w:sz w:val="20"/>
          <w:rtl/>
        </w:rPr>
        <w:t> </w:t>
      </w:r>
      <w:r w:rsidRPr="00C20878">
        <w:rPr>
          <w:b/>
          <w:bCs/>
          <w:spacing w:val="-2"/>
          <w:sz w:val="20"/>
          <w:rtl/>
        </w:rPr>
        <w:t xml:space="preserve">المهينة (بروتوكول </w:t>
      </w:r>
      <w:r w:rsidR="002C1EA7" w:rsidRPr="00C20878">
        <w:rPr>
          <w:b/>
          <w:bCs/>
          <w:spacing w:val="-2"/>
          <w:sz w:val="20"/>
          <w:rtl/>
        </w:rPr>
        <w:t>اسطنبول</w:t>
      </w:r>
      <w:r w:rsidRPr="00C20878">
        <w:rPr>
          <w:b/>
          <w:bCs/>
          <w:spacing w:val="-2"/>
          <w:sz w:val="20"/>
          <w:rtl/>
        </w:rPr>
        <w:t>)، الذي نشرته الأمم المتحدة في عام 2004. وعلاوة على ذلك، ينبغي أن تُقيِّم الدولة الطرف مدى فعالية وتأثير هذه البرامج التدريبية والتثقيفية.</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الاعترافات المنتزعة تحت التعذيب</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20</w:t>
      </w:r>
      <w:r w:rsidR="003E72B5">
        <w:rPr>
          <w:spacing w:val="0"/>
          <w:sz w:val="20"/>
          <w:rtl/>
        </w:rPr>
        <w:t>)</w:t>
      </w:r>
      <w:r w:rsidR="003E72B5">
        <w:rPr>
          <w:spacing w:val="0"/>
          <w:sz w:val="20"/>
          <w:rtl/>
        </w:rPr>
        <w:tab/>
      </w:r>
      <w:r w:rsidR="004E0A37" w:rsidRPr="004E0A37">
        <w:rPr>
          <w:spacing w:val="0"/>
          <w:sz w:val="20"/>
          <w:rtl/>
        </w:rPr>
        <w:t>تلاحظ اللجنة أنه لا يجوز الاستشهاد بالاعترافات التي يتم الإدلاء بها نتيجة التعذيب في أية إجراءات وأن الدولة الطرف تعتبرها "إجراءات باطلة" أو "عقوداً قائمة على الإكراه". بيد أن اللجنة لا تزال قلقة لأن التشريعات لا تنص صراحة على حظر انتزاع الاعترافات بالإكراه، وعليه فإن الأحكام السارية</w:t>
      </w:r>
      <w:r w:rsidR="003549AC">
        <w:rPr>
          <w:spacing w:val="0"/>
          <w:sz w:val="20"/>
          <w:rtl/>
        </w:rPr>
        <w:t xml:space="preserve"> حالياً </w:t>
      </w:r>
      <w:r w:rsidR="004E0A37" w:rsidRPr="004E0A37">
        <w:rPr>
          <w:spacing w:val="0"/>
          <w:sz w:val="20"/>
          <w:rtl/>
        </w:rPr>
        <w:t xml:space="preserve">تظل قاصرة عن إنفاذ الاتفاقية (المادة 15). </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ينبغي للدولة الطرف أن تكفل توافق التشريعات المتعلقة بالأدلة التي تُقدم في الدعاوى القضائية مع أحكام المادة 15 من الاتفاقية بحيث يُستبعد صراحة أي دليل يُنتزع نتيجةً للتعذيب.</w:t>
      </w:r>
    </w:p>
    <w:p w:rsidR="004E0A37" w:rsidRPr="004E0A37" w:rsidRDefault="004E0A37" w:rsidP="00335AC0">
      <w:pPr>
        <w:pStyle w:val="H23GA"/>
        <w:rPr>
          <w:rtl/>
        </w:rPr>
      </w:pPr>
      <w:r w:rsidRPr="004E0A37">
        <w:rPr>
          <w:rFonts w:hint="cs"/>
          <w:rtl/>
        </w:rPr>
        <w:tab/>
      </w:r>
      <w:r w:rsidRPr="004E0A37">
        <w:rPr>
          <w:rFonts w:hint="cs"/>
          <w:rtl/>
        </w:rPr>
        <w:tab/>
      </w:r>
      <w:r w:rsidRPr="004E0A37">
        <w:rPr>
          <w:rtl/>
        </w:rPr>
        <w:t>العنف الموجه ضد المرأة والممارسات التقليدية الضارة</w:t>
      </w:r>
    </w:p>
    <w:p w:rsidR="004E0A37" w:rsidRPr="00417A5B" w:rsidRDefault="0033301A" w:rsidP="006E43D5">
      <w:pPr>
        <w:pStyle w:val="SingleTxtGA"/>
        <w:jc w:val="lowKashida"/>
        <w:rPr>
          <w:spacing w:val="-2"/>
          <w:sz w:val="20"/>
          <w:rtl/>
        </w:rPr>
      </w:pPr>
      <w:r w:rsidRPr="00417A5B">
        <w:rPr>
          <w:rFonts w:hint="cs"/>
          <w:spacing w:val="-2"/>
          <w:sz w:val="20"/>
          <w:rtl/>
        </w:rPr>
        <w:t>(</w:t>
      </w:r>
      <w:r w:rsidR="004E0A37" w:rsidRPr="00417A5B">
        <w:rPr>
          <w:spacing w:val="-2"/>
          <w:sz w:val="20"/>
          <w:rtl/>
        </w:rPr>
        <w:t>21</w:t>
      </w:r>
      <w:r w:rsidR="003E72B5" w:rsidRPr="00417A5B">
        <w:rPr>
          <w:spacing w:val="-2"/>
          <w:sz w:val="20"/>
          <w:rtl/>
        </w:rPr>
        <w:t>)</w:t>
      </w:r>
      <w:r w:rsidR="003E72B5" w:rsidRPr="00417A5B">
        <w:rPr>
          <w:spacing w:val="-2"/>
          <w:sz w:val="20"/>
          <w:rtl/>
        </w:rPr>
        <w:tab/>
      </w:r>
      <w:r w:rsidR="004E0A37" w:rsidRPr="00417A5B">
        <w:rPr>
          <w:spacing w:val="-2"/>
          <w:sz w:val="20"/>
          <w:rtl/>
        </w:rPr>
        <w:t xml:space="preserve">ترحب اللجنة بتجريم القانون الجنائي للدولة الطرف لممارسة تشويه الأعضاء التناسلية </w:t>
      </w:r>
      <w:r w:rsidR="004E0A37" w:rsidRPr="00417A5B">
        <w:rPr>
          <w:rFonts w:hint="cs"/>
          <w:spacing w:val="-2"/>
          <w:sz w:val="20"/>
          <w:rtl/>
        </w:rPr>
        <w:t>الأنثوية</w:t>
      </w:r>
      <w:r w:rsidR="004E0A37" w:rsidRPr="00417A5B">
        <w:rPr>
          <w:spacing w:val="-2"/>
          <w:sz w:val="20"/>
          <w:rtl/>
        </w:rPr>
        <w:t xml:space="preserve"> منذ أن أُدرجت فيه المادة 333 في عام 1995. وقد اعترفت الدولة الطرف بأن الأحكام الواردة في هذه المادة</w:t>
      </w:r>
      <w:r w:rsidR="00335AC0" w:rsidRPr="00417A5B">
        <w:rPr>
          <w:spacing w:val="-2"/>
          <w:sz w:val="20"/>
          <w:rtl/>
        </w:rPr>
        <w:t xml:space="preserve"> لم </w:t>
      </w:r>
      <w:r w:rsidR="004E0A37" w:rsidRPr="00417A5B">
        <w:rPr>
          <w:spacing w:val="-2"/>
          <w:sz w:val="20"/>
          <w:rtl/>
        </w:rPr>
        <w:t xml:space="preserve">تكن تُطبق نظراً لعدم ورود شكاوى تتعلق بتلك الممارسة. ولا تزال اللجنة قلقة إزاء استمرار انتشار عمليات تشويه الأعضاء التناسلية </w:t>
      </w:r>
      <w:r w:rsidR="004E0A37" w:rsidRPr="00417A5B">
        <w:rPr>
          <w:rFonts w:hint="cs"/>
          <w:spacing w:val="-2"/>
          <w:sz w:val="20"/>
          <w:rtl/>
        </w:rPr>
        <w:t>الأنثوية</w:t>
      </w:r>
      <w:r w:rsidR="004E0A37" w:rsidRPr="00417A5B">
        <w:rPr>
          <w:spacing w:val="-2"/>
          <w:sz w:val="20"/>
          <w:rtl/>
        </w:rPr>
        <w:t xml:space="preserve"> على نطاق واسع، تشمل حالات عديدة من حالات التخييط المانع للجماع، وهو أفظع أشكال التشويه، في المناطق الريفية بوجه خاص. كما أن اللجنة لا تزال تشعر بقلق بالغ </w:t>
      </w:r>
      <w:r w:rsidR="004E0A37" w:rsidRPr="00417A5B">
        <w:rPr>
          <w:rFonts w:hint="cs"/>
          <w:spacing w:val="-2"/>
          <w:sz w:val="20"/>
          <w:rtl/>
        </w:rPr>
        <w:t xml:space="preserve">لعدم </w:t>
      </w:r>
      <w:r w:rsidR="004E0A37" w:rsidRPr="00417A5B">
        <w:rPr>
          <w:spacing w:val="-2"/>
          <w:sz w:val="20"/>
          <w:rtl/>
        </w:rPr>
        <w:t>الإبلاغ</w:t>
      </w:r>
      <w:r w:rsidR="004E0A37" w:rsidRPr="00417A5B">
        <w:rPr>
          <w:rFonts w:hint="cs"/>
          <w:spacing w:val="-2"/>
          <w:sz w:val="20"/>
          <w:rtl/>
        </w:rPr>
        <w:t>،</w:t>
      </w:r>
      <w:r w:rsidR="004E0A37" w:rsidRPr="00417A5B">
        <w:rPr>
          <w:spacing w:val="-2"/>
          <w:sz w:val="20"/>
          <w:rtl/>
        </w:rPr>
        <w:t xml:space="preserve"> بوجه عام، عن حالات التشويه و</w:t>
      </w:r>
      <w:r w:rsidR="004E0A37" w:rsidRPr="00417A5B">
        <w:rPr>
          <w:rFonts w:hint="cs"/>
          <w:spacing w:val="-2"/>
          <w:sz w:val="20"/>
          <w:rtl/>
        </w:rPr>
        <w:t xml:space="preserve">لإفلات </w:t>
      </w:r>
      <w:r w:rsidR="004E0A37" w:rsidRPr="00417A5B">
        <w:rPr>
          <w:spacing w:val="-2"/>
          <w:sz w:val="20"/>
          <w:rtl/>
        </w:rPr>
        <w:t>مرتكب</w:t>
      </w:r>
      <w:r w:rsidR="004E0A37" w:rsidRPr="00417A5B">
        <w:rPr>
          <w:rFonts w:hint="cs"/>
          <w:spacing w:val="-2"/>
          <w:sz w:val="20"/>
          <w:rtl/>
        </w:rPr>
        <w:t>ي</w:t>
      </w:r>
      <w:r w:rsidR="004E0A37" w:rsidRPr="00417A5B">
        <w:rPr>
          <w:spacing w:val="-2"/>
          <w:sz w:val="20"/>
          <w:rtl/>
        </w:rPr>
        <w:t>ها من المحاكمة والعقاب (المواد</w:t>
      </w:r>
      <w:r w:rsidR="004E0A37" w:rsidRPr="00417A5B">
        <w:rPr>
          <w:rFonts w:hint="cs"/>
          <w:spacing w:val="-2"/>
          <w:sz w:val="20"/>
          <w:rtl/>
        </w:rPr>
        <w:t> </w:t>
      </w:r>
      <w:r w:rsidR="004E0A37" w:rsidRPr="00417A5B">
        <w:rPr>
          <w:spacing w:val="-2"/>
          <w:sz w:val="20"/>
          <w:rtl/>
        </w:rPr>
        <w:t>2 و10 و16).</w:t>
      </w:r>
    </w:p>
    <w:p w:rsidR="004E0A37" w:rsidRPr="00417A5B" w:rsidRDefault="004E0A37" w:rsidP="006E43D5">
      <w:pPr>
        <w:pStyle w:val="SingleTxtGA"/>
        <w:jc w:val="lowKashida"/>
        <w:rPr>
          <w:b/>
          <w:bCs/>
          <w:spacing w:val="-2"/>
          <w:sz w:val="20"/>
          <w:rtl/>
        </w:rPr>
      </w:pPr>
      <w:r w:rsidRPr="00417A5B">
        <w:rPr>
          <w:rFonts w:hint="cs"/>
          <w:b/>
          <w:bCs/>
          <w:spacing w:val="-2"/>
          <w:sz w:val="20"/>
          <w:rtl/>
        </w:rPr>
        <w:tab/>
      </w:r>
      <w:r w:rsidRPr="00417A5B">
        <w:rPr>
          <w:b/>
          <w:bCs/>
          <w:spacing w:val="-2"/>
          <w:sz w:val="20"/>
          <w:rtl/>
        </w:rPr>
        <w:t xml:space="preserve">ينبغي أن تعزز الدولة الطرف جهودها في سبيل منع العنف الموجه ضد النساء والأطفال والممارسات التقليدية الضارة ومكافحتها والمعاقبة عليها، بالتركيز على المناطق الريفية. وتؤيد اللجنة التوصيات التي وجهت إلى الدولة الطرف خلال الاستعراض الدوري </w:t>
      </w:r>
      <w:r w:rsidRPr="00417A5B">
        <w:rPr>
          <w:b/>
          <w:bCs/>
          <w:spacing w:val="-4"/>
          <w:sz w:val="20"/>
          <w:rtl/>
        </w:rPr>
        <w:t xml:space="preserve">الشامل الخاص بجيبوتي </w:t>
      </w:r>
      <w:r w:rsidRPr="00417A5B">
        <w:rPr>
          <w:rFonts w:hint="cs"/>
          <w:b/>
          <w:bCs/>
          <w:spacing w:val="-4"/>
          <w:sz w:val="20"/>
          <w:rtl/>
        </w:rPr>
        <w:t>(</w:t>
      </w:r>
      <w:r w:rsidRPr="00417A5B">
        <w:rPr>
          <w:b/>
          <w:bCs/>
          <w:spacing w:val="-4"/>
          <w:sz w:val="20"/>
        </w:rPr>
        <w:t>A/HRC/11/16</w:t>
      </w:r>
      <w:r w:rsidRPr="00417A5B">
        <w:rPr>
          <w:rFonts w:hint="cs"/>
          <w:b/>
          <w:bCs/>
          <w:spacing w:val="-4"/>
          <w:sz w:val="20"/>
          <w:rtl/>
        </w:rPr>
        <w:t>،</w:t>
      </w:r>
      <w:r w:rsidRPr="00417A5B">
        <w:rPr>
          <w:b/>
          <w:bCs/>
          <w:spacing w:val="-4"/>
          <w:sz w:val="20"/>
          <w:rtl/>
        </w:rPr>
        <w:t xml:space="preserve"> الفقرات 67-18 و67-25 و68-3 و68-8)</w:t>
      </w:r>
      <w:r w:rsidRPr="00417A5B">
        <w:rPr>
          <w:b/>
          <w:bCs/>
          <w:spacing w:val="-2"/>
          <w:sz w:val="20"/>
          <w:rtl/>
        </w:rPr>
        <w:t xml:space="preserve"> فضلاً عن تأييدها للتوصيات الصادرة عن اللجنة المعنية بالقضاء على التمييز ضد المرأة</w:t>
      </w:r>
      <w:r w:rsidRPr="00417A5B">
        <w:rPr>
          <w:rFonts w:hint="cs"/>
          <w:b/>
          <w:bCs/>
          <w:spacing w:val="-2"/>
          <w:sz w:val="20"/>
          <w:rtl/>
        </w:rPr>
        <w:t xml:space="preserve"> (</w:t>
      </w:r>
      <w:r w:rsidRPr="00417A5B">
        <w:rPr>
          <w:b/>
          <w:bCs/>
          <w:spacing w:val="-2"/>
          <w:sz w:val="20"/>
        </w:rPr>
        <w:t>CEDAW/C/DJI/CO/1-3</w:t>
      </w:r>
      <w:r w:rsidRPr="00417A5B">
        <w:rPr>
          <w:b/>
          <w:bCs/>
          <w:spacing w:val="-2"/>
          <w:sz w:val="20"/>
          <w:rtl/>
        </w:rPr>
        <w:t xml:space="preserve">، الفقرتان 18 و19) وعن لجنة حقوق الطفل </w:t>
      </w:r>
      <w:r w:rsidRPr="00417A5B">
        <w:rPr>
          <w:rFonts w:hint="cs"/>
          <w:b/>
          <w:bCs/>
          <w:spacing w:val="-2"/>
          <w:sz w:val="20"/>
          <w:rtl/>
        </w:rPr>
        <w:t>(</w:t>
      </w:r>
      <w:r w:rsidRPr="00417A5B">
        <w:rPr>
          <w:b/>
          <w:bCs/>
          <w:spacing w:val="-2"/>
          <w:sz w:val="20"/>
        </w:rPr>
        <w:t>CRC/C/DJI/CO/2</w:t>
      </w:r>
      <w:r w:rsidRPr="00417A5B">
        <w:rPr>
          <w:b/>
          <w:bCs/>
          <w:spacing w:val="-2"/>
          <w:sz w:val="20"/>
          <w:rtl/>
        </w:rPr>
        <w:t xml:space="preserve">، الفقرة 56). وعلاوة على ذلك، ينبغي أن تكفل الدولة الطرف توفير الخدمات القانونية والطبية والنفسية وخدمات إعادة التأهيل علاوةً على التعويض لضحايا تلك الممارسات. وأن تهيئ لهم كذلك الظروف المناسبة لرفع الشكاوى المتعلقة بالممارسات التقليدية الضارة وحوادث العنف المنزلي والجنسي دون خوف من التعرض للانتقام أو الوصم. وينبغي أن توفر الدولة الطرف للقضاة </w:t>
      </w:r>
      <w:r w:rsidRPr="00417A5B">
        <w:rPr>
          <w:rFonts w:hint="cs"/>
          <w:b/>
          <w:bCs/>
          <w:spacing w:val="-2"/>
          <w:sz w:val="20"/>
          <w:rtl/>
        </w:rPr>
        <w:t>والمدّعين</w:t>
      </w:r>
      <w:r w:rsidRPr="00417A5B">
        <w:rPr>
          <w:b/>
          <w:bCs/>
          <w:spacing w:val="-2"/>
          <w:sz w:val="20"/>
          <w:rtl/>
        </w:rPr>
        <w:t xml:space="preserve"> العامين وأفراد</w:t>
      </w:r>
      <w:r w:rsidRPr="00417A5B">
        <w:rPr>
          <w:rFonts w:hint="cs"/>
          <w:b/>
          <w:bCs/>
          <w:spacing w:val="-2"/>
          <w:sz w:val="20"/>
          <w:rtl/>
        </w:rPr>
        <w:t> </w:t>
      </w:r>
      <w:r w:rsidRPr="00417A5B">
        <w:rPr>
          <w:b/>
          <w:bCs/>
          <w:spacing w:val="-2"/>
          <w:sz w:val="20"/>
          <w:rtl/>
        </w:rPr>
        <w:t xml:space="preserve">الشرطة وزعماء المجتمعات المحلية التدريب بشأن التطبيق الصارم للقانون الجنائي، والطابع الجنائي الذي تكتسيه الممارسات التقليدية الضارة وغيرها من أشكال العنف </w:t>
      </w:r>
      <w:r w:rsidRPr="00417A5B">
        <w:rPr>
          <w:rFonts w:hint="cs"/>
          <w:b/>
          <w:bCs/>
          <w:spacing w:val="-2"/>
          <w:sz w:val="20"/>
          <w:rtl/>
        </w:rPr>
        <w:t>الممارس على</w:t>
      </w:r>
      <w:r w:rsidRPr="00417A5B">
        <w:rPr>
          <w:b/>
          <w:bCs/>
          <w:spacing w:val="-2"/>
          <w:sz w:val="20"/>
          <w:rtl/>
        </w:rPr>
        <w:t xml:space="preserve"> المرأة. </w:t>
      </w:r>
    </w:p>
    <w:p w:rsidR="004E0A37" w:rsidRPr="00C20878" w:rsidRDefault="004E0A37" w:rsidP="006E43D5">
      <w:pPr>
        <w:pStyle w:val="SingleTxtGA"/>
        <w:jc w:val="lowKashida"/>
        <w:rPr>
          <w:b/>
          <w:bCs/>
          <w:spacing w:val="0"/>
          <w:sz w:val="20"/>
          <w:rtl/>
        </w:rPr>
      </w:pPr>
      <w:r w:rsidRPr="00C20878">
        <w:rPr>
          <w:rFonts w:hint="cs"/>
          <w:b/>
          <w:bCs/>
          <w:spacing w:val="0"/>
          <w:sz w:val="20"/>
          <w:rtl/>
        </w:rPr>
        <w:tab/>
      </w:r>
      <w:r w:rsidRPr="00C20878">
        <w:rPr>
          <w:b/>
          <w:bCs/>
          <w:spacing w:val="0"/>
          <w:sz w:val="20"/>
          <w:rtl/>
        </w:rPr>
        <w:t>وبوجه عام، ينبغي أن ت</w:t>
      </w:r>
      <w:r w:rsidRPr="00C20878">
        <w:rPr>
          <w:rFonts w:hint="cs"/>
          <w:b/>
          <w:bCs/>
          <w:spacing w:val="0"/>
          <w:sz w:val="20"/>
          <w:rtl/>
        </w:rPr>
        <w:t xml:space="preserve">عمل </w:t>
      </w:r>
      <w:r w:rsidRPr="00C20878">
        <w:rPr>
          <w:b/>
          <w:bCs/>
          <w:spacing w:val="0"/>
          <w:sz w:val="20"/>
          <w:rtl/>
        </w:rPr>
        <w:t xml:space="preserve">الدولة الطرف </w:t>
      </w:r>
      <w:r w:rsidRPr="00C20878">
        <w:rPr>
          <w:rFonts w:hint="cs"/>
          <w:b/>
          <w:bCs/>
          <w:spacing w:val="0"/>
          <w:sz w:val="20"/>
          <w:rtl/>
        </w:rPr>
        <w:t xml:space="preserve">على </w:t>
      </w:r>
      <w:r w:rsidRPr="00C20878">
        <w:rPr>
          <w:b/>
          <w:bCs/>
          <w:spacing w:val="0"/>
          <w:sz w:val="20"/>
          <w:rtl/>
        </w:rPr>
        <w:t xml:space="preserve">اتساق القانون العرفي والأعراف السائدة فيها مع التزاماتها في مجال حقوق الإنسان بما في ذلك الالتزامات الناشئة عن الاتفاقية. وينبغي للدولة الطرف أيضاً أن تتيح معلومات عن التسلسل الهرمي القائم بين القانون العرفي والمحلي، وبخاصة </w:t>
      </w:r>
      <w:r w:rsidR="00F96B1E" w:rsidRPr="00C20878">
        <w:rPr>
          <w:b/>
          <w:bCs/>
          <w:spacing w:val="0"/>
          <w:sz w:val="20"/>
          <w:rtl/>
        </w:rPr>
        <w:t>فيما </w:t>
      </w:r>
      <w:r w:rsidRPr="00C20878">
        <w:rPr>
          <w:b/>
          <w:bCs/>
          <w:spacing w:val="0"/>
          <w:sz w:val="20"/>
          <w:rtl/>
        </w:rPr>
        <w:t xml:space="preserve">يتعلق بأشكال التمييز ضد المرأة. </w:t>
      </w:r>
    </w:p>
    <w:p w:rsidR="004E0A37" w:rsidRPr="00C20878" w:rsidRDefault="004E0A37" w:rsidP="006E43D5">
      <w:pPr>
        <w:pStyle w:val="SingleTxtGA"/>
        <w:jc w:val="lowKashida"/>
        <w:rPr>
          <w:b/>
          <w:bCs/>
          <w:spacing w:val="-4"/>
          <w:sz w:val="20"/>
          <w:rtl/>
        </w:rPr>
      </w:pPr>
      <w:r w:rsidRPr="00C20878">
        <w:rPr>
          <w:rFonts w:hint="cs"/>
          <w:b/>
          <w:bCs/>
          <w:spacing w:val="-4"/>
          <w:sz w:val="20"/>
          <w:rtl/>
        </w:rPr>
        <w:tab/>
      </w:r>
      <w:r w:rsidRPr="00C20878">
        <w:rPr>
          <w:b/>
          <w:bCs/>
          <w:spacing w:val="-4"/>
          <w:sz w:val="20"/>
          <w:rtl/>
        </w:rPr>
        <w:t>وتطلب اللجنة أيضاً إلى الدولة الطرف تضمين تقريرها الدوري المقبل معلومات مفصلة وبيانات إحصائية محدّثة عن الشكاوى المرفوعة ضد الأشخاص الذين أُدينوا بارتكاب سلوك إجرامي ينطوي على ممارسات تقليدية ضارة بما في ذلك القتل، وعن التحقيقات والملاحقات والعقوبات التي خضعوا لها وكذلك عن مساعدة الضحايا وتعويضهم.</w:t>
      </w:r>
    </w:p>
    <w:p w:rsidR="004E0A37" w:rsidRPr="004E0A37" w:rsidRDefault="004E0A37" w:rsidP="006E43D5">
      <w:pPr>
        <w:pStyle w:val="H23GA"/>
        <w:rPr>
          <w:rFonts w:hint="cs"/>
          <w:rtl/>
        </w:rPr>
      </w:pPr>
      <w:r w:rsidRPr="004E0A37">
        <w:rPr>
          <w:rFonts w:hint="cs"/>
          <w:rtl/>
        </w:rPr>
        <w:tab/>
      </w:r>
      <w:r w:rsidRPr="004E0A37">
        <w:rPr>
          <w:rFonts w:hint="cs"/>
          <w:rtl/>
        </w:rPr>
        <w:tab/>
      </w:r>
      <w:r w:rsidRPr="004E0A37">
        <w:rPr>
          <w:rtl/>
        </w:rPr>
        <w:t>الاتجار بالبشر</w:t>
      </w:r>
    </w:p>
    <w:p w:rsidR="004E0A37" w:rsidRPr="004E0A37" w:rsidRDefault="0033301A" w:rsidP="006E43D5">
      <w:pPr>
        <w:pStyle w:val="SingleTxtGA"/>
        <w:jc w:val="lowKashida"/>
        <w:rPr>
          <w:spacing w:val="0"/>
          <w:sz w:val="20"/>
          <w:rtl/>
        </w:rPr>
      </w:pPr>
      <w:r>
        <w:rPr>
          <w:rFonts w:hint="cs"/>
          <w:spacing w:val="0"/>
          <w:sz w:val="20"/>
          <w:rtl/>
        </w:rPr>
        <w:t>(</w:t>
      </w:r>
      <w:r w:rsidR="004E0A37" w:rsidRPr="004E0A37">
        <w:rPr>
          <w:spacing w:val="0"/>
          <w:sz w:val="20"/>
          <w:rtl/>
        </w:rPr>
        <w:t>22</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بالتدابير التي اتخذتها الدولة الطرف من قبيل حظر الاتجار بالبشر بموجب القانون الجنائي وبتنظيمها للدورات التدريبية وإنشائها "مركز التصدي للهجرة" في أوبوك، فضلاً عن تشكيل هيئة تنسيق وطنية مكلفة بمكافحة الاتجار بالبشر. بيد أن اللجنة لا تزال تشعر بالقلق إزاء </w:t>
      </w:r>
      <w:r w:rsidR="004E0A37" w:rsidRPr="004E0A37">
        <w:rPr>
          <w:rFonts w:hint="cs"/>
          <w:spacing w:val="0"/>
          <w:sz w:val="20"/>
          <w:rtl/>
        </w:rPr>
        <w:t>أبعاد</w:t>
      </w:r>
      <w:r w:rsidR="004E0A37" w:rsidRPr="004E0A37">
        <w:rPr>
          <w:spacing w:val="0"/>
          <w:sz w:val="20"/>
          <w:rtl/>
        </w:rPr>
        <w:t xml:space="preserve"> انتشار الظاهرة في الدولة الطرف (المادتان 2 و16). </w:t>
      </w:r>
    </w:p>
    <w:p w:rsidR="004E0A37" w:rsidRPr="00C20878" w:rsidRDefault="004E0A37" w:rsidP="004E0A37">
      <w:pPr>
        <w:pStyle w:val="SingleTxtGA"/>
        <w:jc w:val="lowKashida"/>
        <w:rPr>
          <w:b/>
          <w:bCs/>
          <w:spacing w:val="-2"/>
          <w:sz w:val="20"/>
          <w:rtl/>
        </w:rPr>
      </w:pPr>
      <w:r w:rsidRPr="00C20878">
        <w:rPr>
          <w:rFonts w:hint="cs"/>
          <w:b/>
          <w:bCs/>
          <w:spacing w:val="-2"/>
          <w:sz w:val="20"/>
          <w:rtl/>
        </w:rPr>
        <w:tab/>
      </w:r>
      <w:r w:rsidRPr="00C20878">
        <w:rPr>
          <w:b/>
          <w:bCs/>
          <w:spacing w:val="-2"/>
          <w:sz w:val="20"/>
          <w:rtl/>
        </w:rPr>
        <w:t>ينبغي للدولة الطرف أن تكثف جهودها لمنع الاتجار بالبشر ومكافحته، وأن توفر الحماية للضحايا وتضمن حصولهم على خدمات التأهيل فضلاً عن الخدمات القانونية والرعاية الطبية والنفسية. وفي هذا الصدد، توصي اللجنة الدولة الطرف باعتماد استراتيجية شاملة لمكافحة الاتجار بالبشر وأسبابه. وعلاوة على ذلك، ينبغي للدولة الطرف إجراء تحقيق في جميع الادعاءات المتعلقة بالاتجار وتكفل ملاحقة الجناة وفرض عقوبات مناسبة ضدهم تأخذ في الاعتبار خطورة جرائمهم. وتطلب اللجنة من الدولة الطرف تقديم</w:t>
      </w:r>
      <w:r w:rsidRPr="00C20878">
        <w:rPr>
          <w:rFonts w:hint="cs"/>
          <w:b/>
          <w:bCs/>
          <w:spacing w:val="-2"/>
          <w:sz w:val="20"/>
          <w:rtl/>
        </w:rPr>
        <w:t> </w:t>
      </w:r>
      <w:r w:rsidRPr="00C20878">
        <w:rPr>
          <w:b/>
          <w:bCs/>
          <w:spacing w:val="-2"/>
          <w:sz w:val="20"/>
          <w:rtl/>
        </w:rPr>
        <w:t>معلومات عن التدابير المتخذة لمساعدة ضحايا الاتجار فضلاً عن بيانات إحصائية عن</w:t>
      </w:r>
      <w:r w:rsidRPr="00C20878">
        <w:rPr>
          <w:rFonts w:hint="cs"/>
          <w:b/>
          <w:bCs/>
          <w:spacing w:val="-2"/>
          <w:sz w:val="20"/>
          <w:rtl/>
        </w:rPr>
        <w:t> </w:t>
      </w:r>
      <w:r w:rsidRPr="00C20878">
        <w:rPr>
          <w:b/>
          <w:bCs/>
          <w:spacing w:val="-2"/>
          <w:sz w:val="20"/>
          <w:rtl/>
        </w:rPr>
        <w:t xml:space="preserve">عدد الشكاوى والتحقيقات والملاحقات القضائية والإدانات ذات الصلة بالاتجار. </w:t>
      </w:r>
    </w:p>
    <w:p w:rsidR="004E0A37" w:rsidRPr="004E0A37" w:rsidRDefault="004E0A37" w:rsidP="00BE2D5D">
      <w:pPr>
        <w:pStyle w:val="H23GA"/>
        <w:rPr>
          <w:rFonts w:hint="cs"/>
          <w:rtl/>
        </w:rPr>
      </w:pPr>
      <w:r w:rsidRPr="004E0A37">
        <w:rPr>
          <w:rFonts w:hint="cs"/>
          <w:rtl/>
        </w:rPr>
        <w:tab/>
      </w:r>
      <w:r w:rsidRPr="004E0A37">
        <w:rPr>
          <w:rFonts w:hint="cs"/>
          <w:rtl/>
        </w:rPr>
        <w:tab/>
        <w:t xml:space="preserve">تعريض الأطفال </w:t>
      </w:r>
      <w:r w:rsidR="00BE2D5D">
        <w:rPr>
          <w:rFonts w:hint="cs"/>
          <w:rtl/>
        </w:rPr>
        <w:t>ل</w:t>
      </w:r>
      <w:r w:rsidRPr="004E0A37">
        <w:rPr>
          <w:rtl/>
        </w:rPr>
        <w:t>لعقوبة البدنية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23</w:t>
      </w:r>
      <w:r w:rsidR="003E72B5">
        <w:rPr>
          <w:spacing w:val="0"/>
          <w:sz w:val="20"/>
          <w:rtl/>
        </w:rPr>
        <w:t>)</w:t>
      </w:r>
      <w:r w:rsidR="003E72B5">
        <w:rPr>
          <w:spacing w:val="0"/>
          <w:sz w:val="20"/>
          <w:rtl/>
        </w:rPr>
        <w:tab/>
      </w:r>
      <w:r w:rsidR="004E0A37" w:rsidRPr="004E0A37">
        <w:rPr>
          <w:spacing w:val="0"/>
          <w:sz w:val="20"/>
          <w:rtl/>
        </w:rPr>
        <w:t>تلاحظ اللجنة مع القلق أن أنواع العقوبة البدنية غير محظورة إذا مورست كإجراء تأديبي داخل الأسرة</w:t>
      </w:r>
      <w:r w:rsidR="00B345DB">
        <w:rPr>
          <w:spacing w:val="0"/>
          <w:sz w:val="20"/>
          <w:rtl/>
        </w:rPr>
        <w:t xml:space="preserve"> وفقاً </w:t>
      </w:r>
      <w:r w:rsidR="004E0A37" w:rsidRPr="004E0A37">
        <w:rPr>
          <w:spacing w:val="0"/>
          <w:sz w:val="20"/>
          <w:rtl/>
        </w:rPr>
        <w:t xml:space="preserve">لتفسير الأحكام الواردة في </w:t>
      </w:r>
      <w:r w:rsidR="004E0A37" w:rsidRPr="004E0A37">
        <w:rPr>
          <w:rFonts w:hint="cs"/>
          <w:spacing w:val="0"/>
          <w:sz w:val="20"/>
          <w:rtl/>
        </w:rPr>
        <w:t>ال</w:t>
      </w:r>
      <w:r w:rsidR="004E0A37" w:rsidRPr="004E0A37">
        <w:rPr>
          <w:spacing w:val="0"/>
          <w:sz w:val="20"/>
          <w:rtl/>
        </w:rPr>
        <w:t>قانون الجنائي (1995) وقانون الأسرة (2002) والدستور</w:t>
      </w:r>
      <w:r w:rsidR="004E0A37" w:rsidRPr="004E0A37">
        <w:rPr>
          <w:rFonts w:hint="cs"/>
          <w:spacing w:val="0"/>
          <w:sz w:val="20"/>
          <w:rtl/>
        </w:rPr>
        <w:t xml:space="preserve"> (المادة 16)</w:t>
      </w:r>
      <w:r w:rsidR="004E0A37" w:rsidRPr="004E0A37">
        <w:rPr>
          <w:spacing w:val="0"/>
          <w:sz w:val="20"/>
          <w:rtl/>
        </w:rPr>
        <w:t>.</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ينبغي للدولة الطرف أن تنظر في تعديل القانون الجنائي وقانون الأسرة المُنقح بغية حظر اللجوء إلى العقوبة البدنية في جميع </w:t>
      </w:r>
      <w:r w:rsidRPr="00C20878">
        <w:rPr>
          <w:rFonts w:hint="cs"/>
          <w:b/>
          <w:bCs/>
          <w:spacing w:val="0"/>
          <w:sz w:val="20"/>
          <w:rtl/>
        </w:rPr>
        <w:t>الأوضاع</w:t>
      </w:r>
      <w:r w:rsidRPr="00C20878">
        <w:rPr>
          <w:b/>
          <w:bCs/>
          <w:spacing w:val="0"/>
          <w:sz w:val="20"/>
          <w:rtl/>
        </w:rPr>
        <w:t xml:space="preserve"> بما في ذلك داخل الأسرة وتوعية الناس بأشكال التأديب الإيجابية القائمة على المشاركة والخالية من العنف. </w:t>
      </w:r>
    </w:p>
    <w:p w:rsidR="004E0A37" w:rsidRPr="004E0A37" w:rsidRDefault="004E0A37" w:rsidP="00335AC0">
      <w:pPr>
        <w:pStyle w:val="H23GA"/>
        <w:rPr>
          <w:rFonts w:hint="cs"/>
          <w:rtl/>
        </w:rPr>
      </w:pPr>
      <w:r w:rsidRPr="004E0A37">
        <w:rPr>
          <w:rFonts w:hint="cs"/>
          <w:rtl/>
        </w:rPr>
        <w:tab/>
      </w:r>
      <w:r w:rsidRPr="004E0A37">
        <w:rPr>
          <w:rFonts w:hint="cs"/>
          <w:rtl/>
        </w:rPr>
        <w:tab/>
      </w:r>
      <w:r w:rsidRPr="004E0A37">
        <w:rPr>
          <w:rtl/>
        </w:rPr>
        <w:t>جمع البيانات</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24</w:t>
      </w:r>
      <w:r w:rsidR="003E72B5">
        <w:rPr>
          <w:spacing w:val="0"/>
          <w:sz w:val="20"/>
          <w:rtl/>
        </w:rPr>
        <w:t>)</w:t>
      </w:r>
      <w:r w:rsidR="003E72B5">
        <w:rPr>
          <w:spacing w:val="0"/>
          <w:sz w:val="20"/>
          <w:rtl/>
        </w:rPr>
        <w:tab/>
      </w:r>
      <w:r w:rsidR="004E0A37" w:rsidRPr="004E0A37">
        <w:rPr>
          <w:spacing w:val="0"/>
          <w:sz w:val="20"/>
          <w:rtl/>
        </w:rPr>
        <w:t xml:space="preserve">تأسف اللجنة لعدم تقديم بيانات شاملة ومفصلة بشأن الشكاوى والتحقيقات والمحاكمات والإدانات والتعويضات ذات الصلة بقضايا التعذيب وإساءة المعاملة التي تورط فيها موظفو إنفاذ القانون، وأفراد جهاز الأمن والجيش وموظفو السجون (المواد 2 و12 و13 و16). </w:t>
      </w:r>
    </w:p>
    <w:p w:rsidR="004E0A37" w:rsidRPr="00C20878" w:rsidRDefault="004E0A37" w:rsidP="004E0A37">
      <w:pPr>
        <w:pStyle w:val="SingleTxtGA"/>
        <w:jc w:val="lowKashida"/>
        <w:rPr>
          <w:b/>
          <w:bCs/>
          <w:spacing w:val="0"/>
          <w:sz w:val="20"/>
          <w:rtl/>
        </w:rPr>
      </w:pPr>
      <w:r w:rsidRPr="00C20878">
        <w:rPr>
          <w:rFonts w:hint="cs"/>
          <w:b/>
          <w:bCs/>
          <w:spacing w:val="0"/>
          <w:sz w:val="20"/>
          <w:rtl/>
        </w:rPr>
        <w:tab/>
      </w:r>
      <w:r w:rsidRPr="00C20878">
        <w:rPr>
          <w:b/>
          <w:bCs/>
          <w:spacing w:val="0"/>
          <w:sz w:val="20"/>
          <w:rtl/>
        </w:rPr>
        <w:t xml:space="preserve">ينبغي للدولة الطرف أن تجمع بيانات إحصائية عن رصد تنفيذ الاتفاقية على الصعيد الوطني، تشمل بيانات عن الشكاوى والتحقيقات والمحاكمات والإدانات والتعويضات </w:t>
      </w:r>
      <w:r w:rsidR="00F96B1E" w:rsidRPr="00C20878">
        <w:rPr>
          <w:b/>
          <w:bCs/>
          <w:spacing w:val="0"/>
          <w:sz w:val="20"/>
          <w:rtl/>
        </w:rPr>
        <w:t>فيما </w:t>
      </w:r>
      <w:r w:rsidRPr="00C20878">
        <w:rPr>
          <w:b/>
          <w:bCs/>
          <w:spacing w:val="0"/>
          <w:sz w:val="20"/>
          <w:rtl/>
        </w:rPr>
        <w:t>يتصل بحالات التعذيب وإساءة المعاملة (تعويض الضحايا وإعادة تأهيلهم). وينبغي للدولة الطرف أن تدرج هذه البيانات في تقريرها الدوري القادم.</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25</w:t>
      </w:r>
      <w:r w:rsidR="003E72B5">
        <w:rPr>
          <w:spacing w:val="0"/>
          <w:sz w:val="20"/>
          <w:rtl/>
        </w:rPr>
        <w:t>)</w:t>
      </w:r>
      <w:r w:rsidR="003E72B5">
        <w:rPr>
          <w:spacing w:val="0"/>
          <w:sz w:val="20"/>
          <w:rtl/>
        </w:rPr>
        <w:tab/>
      </w:r>
      <w:r w:rsidR="004E0A37" w:rsidRPr="004E0A37">
        <w:rPr>
          <w:spacing w:val="0"/>
          <w:sz w:val="20"/>
          <w:rtl/>
        </w:rPr>
        <w:t>توصي اللجنة الدولة الطرف بتعزيز تعاونها مع آليات الأمم المتحدة لحقوق الإنسان، بما يشمل السماح بإجراء زيارات للمقررين الخاصين، ومن بينهم المقرر الخاص المعني بمسألة التعذيب وغيره من ضروب المعاملة أو العقوبة القاسية أو اللاإنسانية أو المهينة، والمقرر الخاص المعني بحالات الإعدام خارج القضاء أو بإجراءات موجزة أو تعسفاً، والفريق العامل المعني بالاحتجاز التعسفي والمقررة الخاصة المعنية بحالة المدافعين عن حقوق الإنسان.</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26</w:t>
      </w:r>
      <w:r w:rsidR="003E72B5">
        <w:rPr>
          <w:spacing w:val="0"/>
          <w:sz w:val="20"/>
          <w:rtl/>
        </w:rPr>
        <w:t>)</w:t>
      </w:r>
      <w:r w:rsidR="003E72B5">
        <w:rPr>
          <w:spacing w:val="0"/>
          <w:sz w:val="20"/>
          <w:rtl/>
        </w:rPr>
        <w:tab/>
      </w:r>
      <w:r w:rsidR="004E0A37" w:rsidRPr="004E0A37">
        <w:rPr>
          <w:spacing w:val="0"/>
          <w:sz w:val="20"/>
          <w:rtl/>
        </w:rPr>
        <w:t>وبينما تحيط اللجنة</w:t>
      </w:r>
      <w:r w:rsidR="003833F8">
        <w:rPr>
          <w:spacing w:val="0"/>
          <w:sz w:val="20"/>
          <w:rtl/>
        </w:rPr>
        <w:t xml:space="preserve"> علماً </w:t>
      </w:r>
      <w:r w:rsidR="004E0A37" w:rsidRPr="004E0A37">
        <w:rPr>
          <w:spacing w:val="0"/>
          <w:sz w:val="20"/>
          <w:rtl/>
        </w:rPr>
        <w:t>بالالتزام الذي أخذته الدولة الطرف على عاتقها أثناء الحوار، فإنها توصي بأن تصدق</w:t>
      </w:r>
      <w:r w:rsidR="004E0A37" w:rsidRPr="004E0A37">
        <w:rPr>
          <w:rFonts w:hint="cs"/>
          <w:spacing w:val="0"/>
          <w:sz w:val="20"/>
          <w:rtl/>
        </w:rPr>
        <w:t>،</w:t>
      </w:r>
      <w:r w:rsidR="004E0A37" w:rsidRPr="004E0A37">
        <w:rPr>
          <w:spacing w:val="0"/>
          <w:sz w:val="20"/>
          <w:rtl/>
        </w:rPr>
        <w:t xml:space="preserve"> في أقرب وقت ممكن، على البروتوكول الاختياري لاتفاقية مناهضة التعذيب وغيره من ضروب المعاملة القاسية أو اللاإنسانية أو المهينة.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27</w:t>
      </w:r>
      <w:r w:rsidR="003E72B5">
        <w:rPr>
          <w:spacing w:val="0"/>
          <w:sz w:val="20"/>
          <w:rtl/>
        </w:rPr>
        <w:t>)</w:t>
      </w:r>
      <w:r w:rsidR="003E72B5">
        <w:rPr>
          <w:spacing w:val="0"/>
          <w:sz w:val="20"/>
          <w:rtl/>
        </w:rPr>
        <w:tab/>
      </w:r>
      <w:r w:rsidR="004E0A37" w:rsidRPr="004E0A37">
        <w:rPr>
          <w:spacing w:val="0"/>
          <w:sz w:val="20"/>
          <w:rtl/>
        </w:rPr>
        <w:t>وفضلاً عن ذلك، توصي اللجنة بأن تصدر الدولة الطرف الإعلانين المنصوص عليهما في الماد</w:t>
      </w:r>
      <w:r w:rsidR="004E0A37" w:rsidRPr="004E0A37">
        <w:rPr>
          <w:rFonts w:hint="cs"/>
          <w:spacing w:val="0"/>
          <w:sz w:val="20"/>
          <w:rtl/>
        </w:rPr>
        <w:t>تين</w:t>
      </w:r>
      <w:r w:rsidR="004E0A37" w:rsidRPr="004E0A37">
        <w:rPr>
          <w:spacing w:val="0"/>
          <w:sz w:val="20"/>
          <w:rtl/>
        </w:rPr>
        <w:t xml:space="preserve"> 21 و22 من الاتفاقية للاعتراف باختصاص اللجنة بتلقي الشكاوى المتعلقة بانتهاك الاتفاقية والنظر فيها.</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28</w:t>
      </w:r>
      <w:r w:rsidR="003E72B5">
        <w:rPr>
          <w:spacing w:val="0"/>
          <w:sz w:val="20"/>
          <w:rtl/>
        </w:rPr>
        <w:t>)</w:t>
      </w:r>
      <w:r w:rsidR="003E72B5">
        <w:rPr>
          <w:spacing w:val="0"/>
          <w:sz w:val="20"/>
          <w:rtl/>
        </w:rPr>
        <w:tab/>
      </w:r>
      <w:r w:rsidR="004E0A37" w:rsidRPr="004E0A37">
        <w:rPr>
          <w:spacing w:val="0"/>
          <w:sz w:val="20"/>
          <w:rtl/>
        </w:rPr>
        <w:t>وتدعو اللجنة الدولة الطرف إلى أن تصدق على معاهدات الأمم المتحدة الرئيسية لحقوق الإنسان التي</w:t>
      </w:r>
      <w:r w:rsidR="00335AC0">
        <w:rPr>
          <w:spacing w:val="0"/>
          <w:sz w:val="20"/>
          <w:rtl/>
        </w:rPr>
        <w:t xml:space="preserve"> لم </w:t>
      </w:r>
      <w:r w:rsidR="004E0A37" w:rsidRPr="004E0A37">
        <w:rPr>
          <w:spacing w:val="0"/>
          <w:sz w:val="20"/>
          <w:rtl/>
        </w:rPr>
        <w:t xml:space="preserve">تنضم إليها بعد، وخصوصاً الاتفاقية الدولية لحماية حقوق جميع العمال المهاجرين وأفراد أسرهم واتفاقية حقوق الأشخاص ذوي الإعاقة والاتفاقية الدولية لحماية جميع الأشخاص من الاختفاء القسري. </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29</w:t>
      </w:r>
      <w:r w:rsidR="003E72B5">
        <w:rPr>
          <w:spacing w:val="0"/>
          <w:sz w:val="20"/>
          <w:rtl/>
        </w:rPr>
        <w:t>)</w:t>
      </w:r>
      <w:r w:rsidR="003E72B5">
        <w:rPr>
          <w:spacing w:val="0"/>
          <w:sz w:val="20"/>
          <w:rtl/>
        </w:rPr>
        <w:tab/>
      </w:r>
      <w:r w:rsidR="004E0A37" w:rsidRPr="004E0A37">
        <w:rPr>
          <w:spacing w:val="0"/>
          <w:sz w:val="20"/>
          <w:rtl/>
        </w:rPr>
        <w:t>وتشجِّع اللجنة الدولة الطرف على أن تنشر على نطاق واسع، وباللغات المناسبة، التقرير الذي قدمته إلى اللجنة والملاحظات الختامية التي أصدرتها هذه الأخيرة، عن طريق المواقع الرسمية على شبكة الإنترنت ووسائط الإعلام والمنظمات غير الحكومية.</w:t>
      </w:r>
    </w:p>
    <w:p w:rsidR="004E0A37" w:rsidRPr="004E0A37" w:rsidRDefault="0033301A" w:rsidP="00A4030E">
      <w:pPr>
        <w:pStyle w:val="SingleTxtGA"/>
        <w:jc w:val="lowKashida"/>
        <w:rPr>
          <w:spacing w:val="0"/>
          <w:sz w:val="20"/>
          <w:rtl/>
        </w:rPr>
      </w:pPr>
      <w:r>
        <w:rPr>
          <w:rFonts w:hint="cs"/>
          <w:spacing w:val="0"/>
          <w:sz w:val="20"/>
          <w:rtl/>
        </w:rPr>
        <w:t>(</w:t>
      </w:r>
      <w:r w:rsidR="004E0A37" w:rsidRPr="004E0A37">
        <w:rPr>
          <w:spacing w:val="0"/>
          <w:sz w:val="20"/>
          <w:rtl/>
        </w:rPr>
        <w:t>30</w:t>
      </w:r>
      <w:r w:rsidR="003E72B5">
        <w:rPr>
          <w:spacing w:val="0"/>
          <w:sz w:val="20"/>
          <w:rtl/>
        </w:rPr>
        <w:t>)</w:t>
      </w:r>
      <w:r w:rsidR="003E72B5">
        <w:rPr>
          <w:spacing w:val="0"/>
          <w:sz w:val="20"/>
          <w:rtl/>
        </w:rPr>
        <w:tab/>
      </w:r>
      <w:r w:rsidR="004E0A37" w:rsidRPr="004E0A37">
        <w:rPr>
          <w:spacing w:val="0"/>
          <w:sz w:val="20"/>
          <w:rtl/>
        </w:rPr>
        <w:t xml:space="preserve">وتطلب اللجنة </w:t>
      </w:r>
      <w:r w:rsidR="004E0A37" w:rsidRPr="004E0A37">
        <w:rPr>
          <w:rFonts w:hint="cs"/>
          <w:spacing w:val="0"/>
          <w:sz w:val="20"/>
          <w:rtl/>
        </w:rPr>
        <w:t>إلى</w:t>
      </w:r>
      <w:r w:rsidR="004E0A37" w:rsidRPr="004E0A37">
        <w:rPr>
          <w:spacing w:val="0"/>
          <w:sz w:val="20"/>
          <w:rtl/>
        </w:rPr>
        <w:t xml:space="preserve"> الدولة الطرف أن توافيها</w:t>
      </w:r>
      <w:r w:rsidR="004E0A37" w:rsidRPr="004E0A37">
        <w:rPr>
          <w:rFonts w:hint="cs"/>
          <w:spacing w:val="0"/>
          <w:sz w:val="20"/>
          <w:rtl/>
        </w:rPr>
        <w:t>،</w:t>
      </w:r>
      <w:r w:rsidR="004E0A37" w:rsidRPr="004E0A37">
        <w:rPr>
          <w:spacing w:val="0"/>
          <w:sz w:val="20"/>
          <w:rtl/>
        </w:rPr>
        <w:t xml:space="preserve"> قبل يوم 25 تشرين الثاني/</w:t>
      </w:r>
      <w:r w:rsidR="00335AC0">
        <w:rPr>
          <w:rFonts w:hint="cs"/>
          <w:spacing w:val="0"/>
          <w:sz w:val="20"/>
          <w:rtl/>
        </w:rPr>
        <w:t xml:space="preserve"> </w:t>
      </w:r>
      <w:r w:rsidR="004E0A37" w:rsidRPr="004E0A37">
        <w:rPr>
          <w:spacing w:val="0"/>
          <w:sz w:val="20"/>
          <w:rtl/>
        </w:rPr>
        <w:t>نوفمبر</w:t>
      </w:r>
      <w:r w:rsidR="00A4030E">
        <w:rPr>
          <w:rFonts w:hint="cs"/>
          <w:spacing w:val="0"/>
          <w:sz w:val="20"/>
          <w:rtl/>
        </w:rPr>
        <w:t> </w:t>
      </w:r>
      <w:r w:rsidR="004E0A37" w:rsidRPr="004E0A37">
        <w:rPr>
          <w:spacing w:val="0"/>
          <w:sz w:val="20"/>
          <w:rtl/>
        </w:rPr>
        <w:t>2012، بمعلومات عن الإجراءات التي اتخذتها بشأن التوصيات التالية: 1) توفير الضمانات القانونية للأشخاص المحتجزين وتعزيزها؛ 2) إجراء تحقيقات فورية ونزيهة وفعالة؛</w:t>
      </w:r>
      <w:r w:rsidR="00417A5B">
        <w:rPr>
          <w:rFonts w:hint="cs"/>
          <w:spacing w:val="0"/>
          <w:sz w:val="20"/>
          <w:rtl/>
        </w:rPr>
        <w:t> </w:t>
      </w:r>
      <w:r w:rsidR="004E0A37" w:rsidRPr="004E0A37">
        <w:rPr>
          <w:spacing w:val="0"/>
          <w:sz w:val="20"/>
          <w:rtl/>
        </w:rPr>
        <w:t>3) ملاحقة المشتبه فيهم</w:t>
      </w:r>
      <w:r w:rsidR="004E0A37" w:rsidRPr="004E0A37">
        <w:rPr>
          <w:rFonts w:hint="cs"/>
          <w:spacing w:val="0"/>
          <w:sz w:val="20"/>
          <w:rtl/>
        </w:rPr>
        <w:t> </w:t>
      </w:r>
      <w:r w:rsidR="004E0A37" w:rsidRPr="004E0A37">
        <w:rPr>
          <w:spacing w:val="0"/>
          <w:sz w:val="20"/>
          <w:rtl/>
        </w:rPr>
        <w:t>ومعاقبة المسؤولين عن أعمال التعذيب أو إساءة المعاملة؛ و4) تحسين ظروف الاحتجاز، على نحو ما ورد في الفقرات 11 و14 و15 و17 من هذه</w:t>
      </w:r>
      <w:r w:rsidR="00A4030E">
        <w:rPr>
          <w:rFonts w:hint="cs"/>
          <w:spacing w:val="0"/>
          <w:sz w:val="20"/>
          <w:rtl/>
        </w:rPr>
        <w:t> </w:t>
      </w:r>
      <w:r w:rsidR="004E0A37" w:rsidRPr="004E0A37">
        <w:rPr>
          <w:spacing w:val="0"/>
          <w:sz w:val="20"/>
          <w:rtl/>
        </w:rPr>
        <w:t xml:space="preserve">الوثيقة. </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31</w:t>
      </w:r>
      <w:r w:rsidR="003E72B5">
        <w:rPr>
          <w:spacing w:val="0"/>
          <w:sz w:val="20"/>
          <w:rtl/>
        </w:rPr>
        <w:t>)</w:t>
      </w:r>
      <w:r w:rsidR="003E72B5">
        <w:rPr>
          <w:spacing w:val="0"/>
          <w:sz w:val="20"/>
          <w:rtl/>
        </w:rPr>
        <w:tab/>
      </w:r>
      <w:r w:rsidR="004E0A37" w:rsidRPr="004E0A37">
        <w:rPr>
          <w:spacing w:val="0"/>
          <w:sz w:val="20"/>
          <w:rtl/>
        </w:rPr>
        <w:t>وتدعو اللجنة الدولة الطرف إلى تقديم تقريرها الدوري المقبل الذي سيكون ثاني تقرير</w:t>
      </w:r>
      <w:r w:rsidR="004E0A37" w:rsidRPr="004E0A37">
        <w:rPr>
          <w:rFonts w:hint="cs"/>
          <w:spacing w:val="0"/>
          <w:sz w:val="20"/>
          <w:rtl/>
        </w:rPr>
        <w:t> </w:t>
      </w:r>
      <w:r w:rsidR="004E0A37" w:rsidRPr="004E0A37">
        <w:rPr>
          <w:spacing w:val="0"/>
          <w:sz w:val="20"/>
          <w:rtl/>
        </w:rPr>
        <w:t>تقدمه، في موعد أقصاه 25 تشرين الثاني/نوفمبر 2015. وتحقيقاً لهذه الغاية تدعو اللجنة</w:t>
      </w:r>
      <w:r w:rsidR="004E0A37" w:rsidRPr="004E0A37">
        <w:rPr>
          <w:rFonts w:hint="cs"/>
          <w:spacing w:val="0"/>
          <w:sz w:val="20"/>
          <w:rtl/>
        </w:rPr>
        <w:t> </w:t>
      </w:r>
      <w:r w:rsidR="004E0A37" w:rsidRPr="004E0A37">
        <w:rPr>
          <w:spacing w:val="0"/>
          <w:sz w:val="20"/>
          <w:rtl/>
        </w:rPr>
        <w:t>الدولة الطرف إلى إعطاء موافقتها</w:t>
      </w:r>
      <w:r w:rsidR="004E0A37" w:rsidRPr="004E0A37">
        <w:rPr>
          <w:rFonts w:hint="cs"/>
          <w:spacing w:val="0"/>
          <w:sz w:val="20"/>
          <w:rtl/>
        </w:rPr>
        <w:t>،</w:t>
      </w:r>
      <w:r w:rsidR="004E0A37" w:rsidRPr="004E0A37">
        <w:rPr>
          <w:spacing w:val="0"/>
          <w:sz w:val="20"/>
          <w:rtl/>
        </w:rPr>
        <w:t xml:space="preserve"> قبل حلول يوم 25 تشرين الثاني/نوفمبر 2012، على تقديم</w:t>
      </w:r>
      <w:r w:rsidR="004E0A37" w:rsidRPr="004E0A37">
        <w:rPr>
          <w:rFonts w:hint="cs"/>
          <w:spacing w:val="0"/>
          <w:sz w:val="20"/>
          <w:rtl/>
        </w:rPr>
        <w:t> </w:t>
      </w:r>
      <w:r w:rsidR="004E0A37" w:rsidRPr="004E0A37">
        <w:rPr>
          <w:spacing w:val="0"/>
          <w:sz w:val="20"/>
          <w:rtl/>
        </w:rPr>
        <w:t>تقريرها</w:t>
      </w:r>
      <w:r w:rsidR="00B345DB">
        <w:rPr>
          <w:spacing w:val="0"/>
          <w:sz w:val="20"/>
          <w:rtl/>
        </w:rPr>
        <w:t xml:space="preserve"> وفقاً </w:t>
      </w:r>
      <w:r w:rsidR="004E0A37" w:rsidRPr="004E0A37">
        <w:rPr>
          <w:spacing w:val="0"/>
          <w:sz w:val="20"/>
          <w:rtl/>
        </w:rPr>
        <w:t>للإجراء الاختياري الذي يتمثل في قيام اللجنة بإرسال قائمة من الأسئلة إلى</w:t>
      </w:r>
      <w:r w:rsidR="004E0A37" w:rsidRPr="004E0A37">
        <w:rPr>
          <w:rFonts w:hint="cs"/>
          <w:spacing w:val="0"/>
          <w:sz w:val="20"/>
          <w:rtl/>
        </w:rPr>
        <w:t> </w:t>
      </w:r>
      <w:r w:rsidR="004E0A37" w:rsidRPr="004E0A37">
        <w:rPr>
          <w:spacing w:val="0"/>
          <w:sz w:val="20"/>
          <w:rtl/>
        </w:rPr>
        <w:t>الدولة الطرف تسبق التقرير الدوري. وتكون ردود الدولة الطرف على قائمة الأسئلة بمثابة</w:t>
      </w:r>
      <w:r w:rsidR="004E0A37" w:rsidRPr="004E0A37">
        <w:rPr>
          <w:rFonts w:hint="cs"/>
          <w:spacing w:val="0"/>
          <w:sz w:val="20"/>
          <w:rtl/>
        </w:rPr>
        <w:t> </w:t>
      </w:r>
      <w:r w:rsidR="004E0A37" w:rsidRPr="004E0A37">
        <w:rPr>
          <w:spacing w:val="0"/>
          <w:sz w:val="20"/>
          <w:rtl/>
        </w:rPr>
        <w:t>التقرير الدوري الذي تقدمه الدولة الطرف لاحقاً</w:t>
      </w:r>
      <w:r w:rsidR="00B345DB">
        <w:rPr>
          <w:spacing w:val="0"/>
          <w:sz w:val="20"/>
          <w:rtl/>
        </w:rPr>
        <w:t xml:space="preserve"> وفقاً </w:t>
      </w:r>
      <w:r w:rsidR="004E0A37" w:rsidRPr="004E0A37">
        <w:rPr>
          <w:spacing w:val="0"/>
          <w:sz w:val="20"/>
          <w:rtl/>
        </w:rPr>
        <w:t>للمادة 19 من</w:t>
      </w:r>
      <w:r w:rsidR="004E0A37" w:rsidRPr="004E0A37">
        <w:rPr>
          <w:rFonts w:hint="cs"/>
          <w:spacing w:val="0"/>
          <w:sz w:val="20"/>
          <w:rtl/>
        </w:rPr>
        <w:t> </w:t>
      </w:r>
      <w:r w:rsidR="004E0A37" w:rsidRPr="004E0A37">
        <w:rPr>
          <w:spacing w:val="0"/>
          <w:sz w:val="20"/>
          <w:rtl/>
        </w:rPr>
        <w:t xml:space="preserve">الاتفاقية. </w:t>
      </w:r>
    </w:p>
    <w:p w:rsidR="004E0A37" w:rsidRPr="004E0A37" w:rsidRDefault="004E0A37" w:rsidP="006E43D5">
      <w:pPr>
        <w:pStyle w:val="SingleTxtGA"/>
        <w:spacing w:before="120"/>
        <w:jc w:val="lowKashida"/>
        <w:rPr>
          <w:rFonts w:hint="cs"/>
          <w:spacing w:val="0"/>
          <w:sz w:val="20"/>
          <w:rtl/>
        </w:rPr>
      </w:pPr>
      <w:r w:rsidRPr="004E0A37">
        <w:rPr>
          <w:rFonts w:hint="cs"/>
          <w:spacing w:val="0"/>
          <w:sz w:val="20"/>
          <w:rtl/>
        </w:rPr>
        <w:t>55-</w:t>
      </w:r>
      <w:r w:rsidRPr="004E0A37">
        <w:rPr>
          <w:rFonts w:hint="cs"/>
          <w:spacing w:val="0"/>
          <w:sz w:val="20"/>
          <w:rtl/>
        </w:rPr>
        <w:tab/>
      </w:r>
      <w:r w:rsidRPr="00417A5B">
        <w:rPr>
          <w:rFonts w:hint="cs"/>
          <w:b/>
          <w:bCs/>
          <w:spacing w:val="0"/>
          <w:sz w:val="20"/>
          <w:rtl/>
        </w:rPr>
        <w:t>ألمانيا</w:t>
      </w:r>
    </w:p>
    <w:p w:rsidR="004E0A37" w:rsidRPr="004E0A37" w:rsidRDefault="004E0A37" w:rsidP="004E0A37">
      <w:pPr>
        <w:pStyle w:val="SingleTxtGA"/>
        <w:jc w:val="lowKashida"/>
        <w:rPr>
          <w:rFonts w:hint="cs"/>
          <w:spacing w:val="0"/>
          <w:sz w:val="20"/>
          <w:rtl/>
        </w:rPr>
      </w:pPr>
      <w:r w:rsidRPr="004E0A37">
        <w:rPr>
          <w:rFonts w:hint="cs"/>
          <w:spacing w:val="0"/>
          <w:sz w:val="20"/>
          <w:rtl/>
        </w:rPr>
        <w:t>(1</w:t>
      </w:r>
      <w:r w:rsidR="003E72B5">
        <w:rPr>
          <w:rFonts w:hint="cs"/>
          <w:spacing w:val="0"/>
          <w:sz w:val="20"/>
          <w:rtl/>
        </w:rPr>
        <w:t>)</w:t>
      </w:r>
      <w:r w:rsidR="003E72B5">
        <w:rPr>
          <w:rFonts w:hint="cs"/>
          <w:spacing w:val="0"/>
          <w:sz w:val="20"/>
          <w:rtl/>
        </w:rPr>
        <w:tab/>
      </w:r>
      <w:r w:rsidRPr="004E0A37">
        <w:rPr>
          <w:rFonts w:hint="cs"/>
          <w:spacing w:val="0"/>
          <w:sz w:val="20"/>
          <w:rtl/>
        </w:rPr>
        <w:t>نظرت لجنة مناهضة التعذيب في التقرير الدوري الخامس لألمانيا (</w:t>
      </w:r>
      <w:r w:rsidRPr="004E0A37">
        <w:rPr>
          <w:spacing w:val="0"/>
          <w:sz w:val="20"/>
        </w:rPr>
        <w:t>CAT/C/DEU/5</w:t>
      </w:r>
      <w:r w:rsidRPr="004E0A37">
        <w:rPr>
          <w:rFonts w:hint="cs"/>
          <w:spacing w:val="0"/>
          <w:sz w:val="20"/>
          <w:rtl/>
        </w:rPr>
        <w:t>)، في جلستيها 1028 و1031 (</w:t>
      </w:r>
      <w:r w:rsidRPr="004E0A37">
        <w:rPr>
          <w:spacing w:val="0"/>
          <w:sz w:val="20"/>
        </w:rPr>
        <w:t>CAT/C/SR.1028</w:t>
      </w:r>
      <w:r w:rsidRPr="004E0A37">
        <w:rPr>
          <w:rFonts w:hint="cs"/>
          <w:spacing w:val="0"/>
          <w:sz w:val="20"/>
          <w:rtl/>
        </w:rPr>
        <w:t xml:space="preserve"> و</w:t>
      </w:r>
      <w:r w:rsidRPr="004E0A37">
        <w:rPr>
          <w:spacing w:val="0"/>
          <w:sz w:val="20"/>
        </w:rPr>
        <w:t>1031</w:t>
      </w:r>
      <w:r w:rsidRPr="004E0A37">
        <w:rPr>
          <w:rFonts w:hint="cs"/>
          <w:spacing w:val="0"/>
          <w:sz w:val="20"/>
          <w:rtl/>
        </w:rPr>
        <w:t>)، المعقودتين في 4 و8 تشرين الثاني/نوفمبر 2011. واعتمدت في جلستيها 1046 و1047 (</w:t>
      </w:r>
      <w:r w:rsidRPr="004E0A37">
        <w:rPr>
          <w:spacing w:val="0"/>
          <w:sz w:val="20"/>
        </w:rPr>
        <w:t>CAT/C/SR.1046</w:t>
      </w:r>
      <w:r w:rsidRPr="004E0A37">
        <w:rPr>
          <w:rFonts w:hint="cs"/>
          <w:spacing w:val="0"/>
          <w:sz w:val="20"/>
          <w:rtl/>
        </w:rPr>
        <w:t xml:space="preserve"> و</w:t>
      </w:r>
      <w:r w:rsidRPr="004E0A37">
        <w:rPr>
          <w:spacing w:val="0"/>
          <w:sz w:val="20"/>
        </w:rPr>
        <w:t>1047</w:t>
      </w:r>
      <w:r w:rsidRPr="004E0A37">
        <w:rPr>
          <w:rFonts w:hint="cs"/>
          <w:spacing w:val="0"/>
          <w:sz w:val="20"/>
          <w:rtl/>
        </w:rPr>
        <w:t>)، المعقودتين في 18 تشرين الثاني/نوفمبر 2011، الملاحظات الختامية التالية.</w:t>
      </w:r>
    </w:p>
    <w:p w:rsidR="004E0A37" w:rsidRPr="004E0A37" w:rsidRDefault="007223C0" w:rsidP="006E43D5">
      <w:pPr>
        <w:pStyle w:val="H23GA"/>
        <w:keepNext/>
        <w:tabs>
          <w:tab w:val="left" w:pos="1938"/>
        </w:tabs>
        <w:rPr>
          <w:rFonts w:hint="cs"/>
          <w:rtl/>
        </w:rPr>
      </w:pPr>
      <w:r>
        <w:rPr>
          <w:rFonts w:hint="cs"/>
          <w:rtl/>
        </w:rPr>
        <w:tab/>
      </w:r>
      <w:r w:rsidR="004E0A37" w:rsidRPr="004E0A37">
        <w:rPr>
          <w:rFonts w:hint="cs"/>
          <w:rtl/>
        </w:rPr>
        <w:tab/>
        <w:t>ألف-</w:t>
      </w:r>
      <w:r w:rsidR="004E0A37" w:rsidRPr="004E0A37">
        <w:rPr>
          <w:rFonts w:hint="cs"/>
          <w:rtl/>
        </w:rPr>
        <w:tab/>
        <w:t>مقدمة</w:t>
      </w:r>
    </w:p>
    <w:p w:rsidR="004E0A37" w:rsidRPr="004E0A37" w:rsidRDefault="004E0A37" w:rsidP="004E0A37">
      <w:pPr>
        <w:pStyle w:val="SingleTxtGA"/>
        <w:jc w:val="lowKashida"/>
        <w:rPr>
          <w:rFonts w:hint="cs"/>
          <w:spacing w:val="0"/>
          <w:sz w:val="20"/>
          <w:rtl/>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rFonts w:hint="cs"/>
          <w:spacing w:val="0"/>
          <w:sz w:val="20"/>
          <w:rtl/>
        </w:rPr>
        <w:t>ترحب اللجنة بتقديم الدولة الطرف تقريرها الدوري الخامس ولكنها تأسف لتقديمه بعد أكثر من سنتين من التأخير. وتلاحظ اللجنة أيضاً أن تقرير الدولة الطرف امتثل عموماً للمبادئ التوجيهية لتقديم التقارير على الرغم من افتقاره إلى بيانات محددة، مصنفة بحسب الجنس والعمر والجنسية، ولا سيما بشأن أفعال التعذيب وسوء المعاملة من جانب الموظفين المكلفين بإنفاذ القوانين.</w:t>
      </w:r>
    </w:p>
    <w:p w:rsidR="004E0A37" w:rsidRPr="004E0A37" w:rsidRDefault="004E0A37" w:rsidP="004E0A37">
      <w:pPr>
        <w:pStyle w:val="SingleTxtGA"/>
        <w:jc w:val="lowKashida"/>
        <w:rPr>
          <w:rFonts w:hint="cs"/>
          <w:spacing w:val="0"/>
          <w:sz w:val="20"/>
          <w:rtl/>
        </w:rPr>
      </w:pPr>
      <w:r w:rsidRPr="004E0A37">
        <w:rPr>
          <w:rFonts w:hint="cs"/>
          <w:spacing w:val="0"/>
          <w:sz w:val="20"/>
          <w:rtl/>
        </w:rPr>
        <w:t>(3</w:t>
      </w:r>
      <w:r w:rsidR="003E72B5">
        <w:rPr>
          <w:rFonts w:hint="cs"/>
          <w:spacing w:val="0"/>
          <w:sz w:val="20"/>
          <w:rtl/>
        </w:rPr>
        <w:t>)</w:t>
      </w:r>
      <w:r w:rsidR="003E72B5">
        <w:rPr>
          <w:rFonts w:hint="cs"/>
          <w:spacing w:val="0"/>
          <w:sz w:val="20"/>
          <w:rtl/>
        </w:rPr>
        <w:tab/>
      </w:r>
      <w:r w:rsidRPr="004E0A37">
        <w:rPr>
          <w:rFonts w:hint="cs"/>
          <w:spacing w:val="0"/>
          <w:sz w:val="20"/>
          <w:rtl/>
        </w:rPr>
        <w:t>وتهنئ اللجنة الدولة الطرف على إرسالها وفد</w:t>
      </w:r>
      <w:r w:rsidR="00BB5187">
        <w:rPr>
          <w:rFonts w:hint="cs"/>
          <w:spacing w:val="0"/>
          <w:sz w:val="20"/>
          <w:rtl/>
        </w:rPr>
        <w:t xml:space="preserve">اً </w:t>
      </w:r>
      <w:r w:rsidRPr="004E0A37">
        <w:rPr>
          <w:rFonts w:hint="cs"/>
          <w:spacing w:val="0"/>
          <w:sz w:val="20"/>
          <w:rtl/>
        </w:rPr>
        <w:t>كامل</w:t>
      </w:r>
      <w:r w:rsidR="00BB5187">
        <w:rPr>
          <w:rFonts w:hint="cs"/>
          <w:spacing w:val="0"/>
          <w:sz w:val="20"/>
          <w:rtl/>
        </w:rPr>
        <w:t xml:space="preserve">اً </w:t>
      </w:r>
      <w:r w:rsidRPr="004E0A37">
        <w:rPr>
          <w:rFonts w:hint="cs"/>
          <w:spacing w:val="0"/>
          <w:sz w:val="20"/>
          <w:rtl/>
        </w:rPr>
        <w:t>يمثل مختلف الوزارات، ويضم ممثلين عن الوكالة الوطنية لمنع التعذيب على المستويين الاتحادي والولائي، وتُعرب عن تقديرها للحوار الذي دار بين الوفد وأعضاء اللجنة والذي شمل مجالات متعددة تدخل في نطاق الاتفاقية. وتهنئ اللجنة أيضاً الدولة الطرف على الردود المكتوبة المفصّلة على قائمة المسائل التي قدمتها في وقت سابق لانعقاد الدورة لتيسير النظر في تقرير الدولة الطرف.</w:t>
      </w:r>
    </w:p>
    <w:p w:rsidR="004E0A37" w:rsidRPr="004E0A37" w:rsidRDefault="007223C0" w:rsidP="006E43D5">
      <w:pPr>
        <w:pStyle w:val="H23GA"/>
        <w:tabs>
          <w:tab w:val="left" w:pos="1938"/>
        </w:tabs>
        <w:rPr>
          <w:rFonts w:hint="cs"/>
          <w:rtl/>
        </w:rPr>
      </w:pPr>
      <w:r>
        <w:rPr>
          <w:rFonts w:hint="cs"/>
          <w:rtl/>
        </w:rPr>
        <w:tab/>
      </w:r>
      <w:r>
        <w:rPr>
          <w:rFonts w:hint="cs"/>
          <w:rtl/>
        </w:rPr>
        <w:tab/>
        <w:t>باء-</w:t>
      </w:r>
      <w:r w:rsidR="004E0A37" w:rsidRPr="004E0A37">
        <w:rPr>
          <w:rFonts w:hint="cs"/>
          <w:rtl/>
        </w:rPr>
        <w:tab/>
        <w:t>الجوانب الإيجابية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4</w:t>
      </w:r>
      <w:r w:rsidR="003E72B5">
        <w:rPr>
          <w:rFonts w:hint="cs"/>
          <w:spacing w:val="0"/>
          <w:sz w:val="20"/>
          <w:rtl/>
        </w:rPr>
        <w:t>)</w:t>
      </w:r>
      <w:r w:rsidR="003E72B5">
        <w:rPr>
          <w:rFonts w:hint="cs"/>
          <w:spacing w:val="0"/>
          <w:sz w:val="20"/>
          <w:rtl/>
        </w:rPr>
        <w:tab/>
      </w:r>
      <w:r w:rsidR="004E0A37" w:rsidRPr="004E0A37">
        <w:rPr>
          <w:rFonts w:hint="cs"/>
          <w:spacing w:val="0"/>
          <w:sz w:val="20"/>
          <w:rtl/>
        </w:rPr>
        <w:t>ترحب اللجنة بتصديق الدولة الطرف على الصكوك الدولية التالية:</w:t>
      </w:r>
    </w:p>
    <w:p w:rsidR="004E0A37" w:rsidRPr="004E0A37" w:rsidRDefault="004E0A37" w:rsidP="006E43D5">
      <w:pPr>
        <w:pStyle w:val="SingleTxtGA"/>
        <w:spacing w:after="60"/>
        <w:jc w:val="lowKashida"/>
        <w:rPr>
          <w:rFonts w:hint="cs"/>
          <w:spacing w:val="0"/>
          <w:sz w:val="20"/>
          <w:rtl/>
        </w:rPr>
      </w:pPr>
      <w:r w:rsidRPr="004E0A37">
        <w:rPr>
          <w:rFonts w:hint="cs"/>
          <w:spacing w:val="0"/>
          <w:sz w:val="20"/>
          <w:rtl/>
        </w:rPr>
        <w:tab/>
        <w:t>(أ)</w:t>
      </w:r>
      <w:r w:rsidRPr="004E0A37">
        <w:rPr>
          <w:rFonts w:hint="cs"/>
          <w:spacing w:val="0"/>
          <w:sz w:val="20"/>
          <w:rtl/>
        </w:rPr>
        <w:tab/>
        <w:t>اتفاقية الأمم المتحدة لمكافحة الجريمة المنظمة عبر الوطنية، في 14 حزيران/</w:t>
      </w:r>
      <w:r w:rsidR="00417A5B">
        <w:rPr>
          <w:rFonts w:hint="cs"/>
          <w:spacing w:val="0"/>
          <w:sz w:val="20"/>
          <w:rtl/>
        </w:rPr>
        <w:t xml:space="preserve"> </w:t>
      </w:r>
      <w:r w:rsidRPr="004E0A37">
        <w:rPr>
          <w:rFonts w:hint="cs"/>
          <w:spacing w:val="0"/>
          <w:sz w:val="20"/>
          <w:rtl/>
        </w:rPr>
        <w:t>يونيه 2006؛</w:t>
      </w:r>
    </w:p>
    <w:p w:rsidR="004E0A37" w:rsidRPr="004E0A37" w:rsidRDefault="004E0A37" w:rsidP="006E43D5">
      <w:pPr>
        <w:pStyle w:val="SingleTxtGA"/>
        <w:spacing w:after="60"/>
        <w:jc w:val="lowKashida"/>
        <w:rPr>
          <w:rFonts w:hint="cs"/>
          <w:spacing w:val="0"/>
          <w:sz w:val="20"/>
          <w:rtl/>
        </w:rPr>
      </w:pPr>
      <w:r w:rsidRPr="004E0A37">
        <w:rPr>
          <w:rFonts w:hint="cs"/>
          <w:spacing w:val="0"/>
          <w:sz w:val="20"/>
          <w:rtl/>
        </w:rPr>
        <w:tab/>
        <w:t>(ب)</w:t>
      </w:r>
      <w:r w:rsidRPr="004E0A37">
        <w:rPr>
          <w:rFonts w:hint="cs"/>
          <w:spacing w:val="0"/>
          <w:sz w:val="20"/>
          <w:rtl/>
        </w:rPr>
        <w:tab/>
        <w:t>بروتوكول منع الاتجار بالأشخاص، وبخاصة النساء والأطفال، وقمعه والمعاقبة عليه المكمل لاتفاقية الأمم المتحدة لمكافحة الجريمة المنظمة عبر الوطنية، في 14 حزيران/يونيه 2006؛</w:t>
      </w:r>
    </w:p>
    <w:p w:rsidR="004E0A37" w:rsidRPr="004E0A37" w:rsidRDefault="004E0A37" w:rsidP="006E43D5">
      <w:pPr>
        <w:pStyle w:val="SingleTxtGA"/>
        <w:spacing w:after="60"/>
        <w:jc w:val="lowKashida"/>
        <w:rPr>
          <w:rFonts w:hint="cs"/>
          <w:spacing w:val="0"/>
          <w:sz w:val="20"/>
          <w:rtl/>
        </w:rPr>
      </w:pPr>
      <w:r w:rsidRPr="004E0A37">
        <w:rPr>
          <w:rFonts w:hint="cs"/>
          <w:spacing w:val="0"/>
          <w:sz w:val="20"/>
          <w:rtl/>
        </w:rPr>
        <w:tab/>
        <w:t>(ج)</w:t>
      </w:r>
      <w:r w:rsidRPr="004E0A37">
        <w:rPr>
          <w:rFonts w:hint="cs"/>
          <w:spacing w:val="0"/>
          <w:sz w:val="20"/>
          <w:rtl/>
        </w:rPr>
        <w:tab/>
        <w:t>البروتوكول الاختياري لاتفاقية مناهضة التعذيب وغيره من ضروب المعاملة أو العقوبة القاسية أو اللاإنسانية أو المهينة، في 4 كانون الأول/ديسمبر 2008؛</w:t>
      </w:r>
    </w:p>
    <w:p w:rsidR="004E0A37" w:rsidRPr="004E0A37" w:rsidRDefault="004E0A37" w:rsidP="006E43D5">
      <w:pPr>
        <w:pStyle w:val="SingleTxtGA"/>
        <w:spacing w:after="60"/>
        <w:jc w:val="lowKashida"/>
        <w:rPr>
          <w:rFonts w:hint="cs"/>
          <w:spacing w:val="0"/>
          <w:sz w:val="20"/>
          <w:rtl/>
        </w:rPr>
      </w:pPr>
      <w:r w:rsidRPr="004E0A37">
        <w:rPr>
          <w:rFonts w:hint="cs"/>
          <w:spacing w:val="0"/>
          <w:sz w:val="20"/>
          <w:rtl/>
        </w:rPr>
        <w:tab/>
        <w:t>(د)</w:t>
      </w:r>
      <w:r w:rsidRPr="004E0A37">
        <w:rPr>
          <w:rFonts w:hint="cs"/>
          <w:spacing w:val="0"/>
          <w:sz w:val="20"/>
          <w:rtl/>
        </w:rPr>
        <w:tab/>
        <w:t>اتفاقية حقوق الأشخاص ذوي الإعاقة، في 24 شباط/فبراير 2009؛</w:t>
      </w:r>
    </w:p>
    <w:p w:rsidR="004E0A37" w:rsidRPr="004E0A37" w:rsidRDefault="004E0A37" w:rsidP="006E43D5">
      <w:pPr>
        <w:pStyle w:val="SingleTxtGA"/>
        <w:spacing w:after="60"/>
        <w:jc w:val="lowKashida"/>
        <w:rPr>
          <w:rFonts w:hint="cs"/>
          <w:spacing w:val="0"/>
          <w:sz w:val="20"/>
          <w:rtl/>
        </w:rPr>
      </w:pPr>
      <w:r w:rsidRPr="004E0A37">
        <w:rPr>
          <w:rFonts w:hint="cs"/>
          <w:spacing w:val="0"/>
          <w:sz w:val="20"/>
          <w:rtl/>
        </w:rPr>
        <w:tab/>
        <w:t>(ﻫ)</w:t>
      </w:r>
      <w:r w:rsidRPr="004E0A37">
        <w:rPr>
          <w:rFonts w:hint="cs"/>
          <w:spacing w:val="0"/>
          <w:sz w:val="20"/>
          <w:rtl/>
        </w:rPr>
        <w:tab/>
        <w:t>البروتوكول الاختياري لاتفاقية حقوق الأشخاص ذوي الإعاقة، في</w:t>
      </w:r>
      <w:r w:rsidRPr="004E0A37">
        <w:rPr>
          <w:rFonts w:hint="eastAsia"/>
          <w:spacing w:val="0"/>
          <w:sz w:val="20"/>
          <w:rtl/>
        </w:rPr>
        <w:t> </w:t>
      </w:r>
      <w:r w:rsidRPr="004E0A37">
        <w:rPr>
          <w:rFonts w:hint="cs"/>
          <w:spacing w:val="0"/>
          <w:sz w:val="20"/>
          <w:rtl/>
        </w:rPr>
        <w:t>24 شباط/فبراير 2009؛</w:t>
      </w:r>
    </w:p>
    <w:p w:rsidR="004E0A37" w:rsidRPr="004E0A37" w:rsidRDefault="004E0A37" w:rsidP="006E43D5">
      <w:pPr>
        <w:pStyle w:val="SingleTxtGA"/>
        <w:spacing w:after="60"/>
        <w:jc w:val="lowKashida"/>
        <w:rPr>
          <w:rFonts w:hint="cs"/>
          <w:spacing w:val="0"/>
          <w:sz w:val="20"/>
          <w:rtl/>
        </w:rPr>
      </w:pPr>
      <w:r w:rsidRPr="004E0A37">
        <w:rPr>
          <w:rFonts w:hint="cs"/>
          <w:spacing w:val="0"/>
          <w:sz w:val="20"/>
          <w:rtl/>
        </w:rPr>
        <w:tab/>
        <w:t>(و)</w:t>
      </w:r>
      <w:r w:rsidRPr="004E0A37">
        <w:rPr>
          <w:rFonts w:hint="cs"/>
          <w:spacing w:val="0"/>
          <w:sz w:val="20"/>
          <w:rtl/>
        </w:rPr>
        <w:tab/>
        <w:t>البروتوكول الاختياري لاتفاقية حقوق الطفل المتعلق ببيع الأطفال وبغاء الأطفال واستغلال الأطفال في المواد الإباحية، في 15 تموز/يوليه 2009؛</w:t>
      </w:r>
    </w:p>
    <w:p w:rsidR="004E0A37" w:rsidRPr="004E0A37" w:rsidRDefault="004E0A37" w:rsidP="004E0A37">
      <w:pPr>
        <w:pStyle w:val="SingleTxtGA"/>
        <w:jc w:val="lowKashida"/>
        <w:rPr>
          <w:rFonts w:hint="cs"/>
          <w:spacing w:val="0"/>
          <w:sz w:val="20"/>
          <w:rtl/>
        </w:rPr>
      </w:pPr>
      <w:r w:rsidRPr="004E0A37">
        <w:rPr>
          <w:rFonts w:hint="cs"/>
          <w:spacing w:val="0"/>
          <w:sz w:val="20"/>
          <w:rtl/>
        </w:rPr>
        <w:tab/>
        <w:t>(ز)</w:t>
      </w:r>
      <w:r w:rsidRPr="004E0A37">
        <w:rPr>
          <w:rFonts w:hint="cs"/>
          <w:spacing w:val="0"/>
          <w:sz w:val="20"/>
          <w:rtl/>
        </w:rPr>
        <w:tab/>
        <w:t>الاتفاقية الدولية لحماية جميع الأشخاص من الاختفاء القسري، في 24 أيلول/سبتمبر 2009.</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5</w:t>
      </w:r>
      <w:r w:rsidR="003E72B5">
        <w:rPr>
          <w:rFonts w:hint="cs"/>
          <w:spacing w:val="0"/>
          <w:sz w:val="20"/>
          <w:rtl/>
        </w:rPr>
        <w:t>)</w:t>
      </w:r>
      <w:r w:rsidR="003E72B5">
        <w:rPr>
          <w:rFonts w:hint="cs"/>
          <w:spacing w:val="0"/>
          <w:sz w:val="20"/>
          <w:rtl/>
        </w:rPr>
        <w:tab/>
      </w:r>
      <w:r w:rsidR="004E0A37" w:rsidRPr="004E0A37">
        <w:rPr>
          <w:rFonts w:hint="cs"/>
          <w:spacing w:val="0"/>
          <w:sz w:val="20"/>
          <w:rtl/>
        </w:rPr>
        <w:t>وترحب اللجنة بسنّ التشريعات التالية:</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القانون الاتحادي بشأن الرقابة البرلمانية على أجهزة الاستخبارات، الذي دخل حيز النفاذ في 30 تموز/يوليه 2009؛</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القانون الاتحادي بشأن الحبس الاحتياطي، الصادر في كانون الثاني/يناير</w:t>
      </w:r>
      <w:r w:rsidRPr="004E0A37">
        <w:rPr>
          <w:rFonts w:hint="eastAsia"/>
          <w:spacing w:val="0"/>
          <w:sz w:val="20"/>
          <w:rtl/>
        </w:rPr>
        <w:t> </w:t>
      </w:r>
      <w:r w:rsidRPr="004E0A37">
        <w:rPr>
          <w:rFonts w:hint="cs"/>
          <w:spacing w:val="0"/>
          <w:sz w:val="20"/>
          <w:rtl/>
        </w:rPr>
        <w:t>2011، الذي يشترط تطبيق الحبس الاحتياطي كملاذ أخير</w:t>
      </w:r>
      <w:r w:rsidR="00B345DB">
        <w:rPr>
          <w:rFonts w:hint="cs"/>
          <w:spacing w:val="0"/>
          <w:sz w:val="20"/>
          <w:rtl/>
        </w:rPr>
        <w:t xml:space="preserve"> وفقاً </w:t>
      </w:r>
      <w:r w:rsidRPr="004E0A37">
        <w:rPr>
          <w:rFonts w:hint="cs"/>
          <w:spacing w:val="0"/>
          <w:sz w:val="20"/>
          <w:rtl/>
        </w:rPr>
        <w:t>لمبدأي الضرورة والتناسب.</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6</w:t>
      </w:r>
      <w:r w:rsidR="003E72B5">
        <w:rPr>
          <w:rFonts w:hint="cs"/>
          <w:spacing w:val="0"/>
          <w:sz w:val="20"/>
          <w:rtl/>
        </w:rPr>
        <w:t>)</w:t>
      </w:r>
      <w:r w:rsidR="003E72B5">
        <w:rPr>
          <w:rFonts w:hint="cs"/>
          <w:spacing w:val="0"/>
          <w:sz w:val="20"/>
          <w:rtl/>
        </w:rPr>
        <w:tab/>
      </w:r>
      <w:r w:rsidR="004E0A37" w:rsidRPr="004E0A37">
        <w:rPr>
          <w:rFonts w:hint="cs"/>
          <w:spacing w:val="0"/>
          <w:sz w:val="20"/>
          <w:rtl/>
        </w:rPr>
        <w:t>وتهنئ اللجنة الدولة الطرف على إنشاء الوكالة الوطنية لمنع التعذيب، التي تتألف من الوكالة الاتحادية واللجنة المشتركة بين الولايات، والتي أُسندت إليها مهمة العمل كآلية وقائية وطنية مستقلة بموجب البروتوكول الاختياري لاتفاقية مناهضة التعذيب وغيره من ضروب المعاملة أو العقوبة القاسية أو اللاإنسانية أو المهينة.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7</w:t>
      </w:r>
      <w:r w:rsidR="003E72B5">
        <w:rPr>
          <w:rFonts w:hint="cs"/>
          <w:spacing w:val="0"/>
          <w:sz w:val="20"/>
          <w:rtl/>
        </w:rPr>
        <w:t>)</w:t>
      </w:r>
      <w:r w:rsidR="003E72B5">
        <w:rPr>
          <w:rFonts w:hint="cs"/>
          <w:spacing w:val="0"/>
          <w:sz w:val="20"/>
          <w:rtl/>
        </w:rPr>
        <w:tab/>
      </w:r>
      <w:r w:rsidR="004E0A37" w:rsidRPr="004E0A37">
        <w:rPr>
          <w:rFonts w:hint="cs"/>
          <w:spacing w:val="0"/>
          <w:sz w:val="20"/>
          <w:rtl/>
        </w:rPr>
        <w:t>وترحب اللجنة أيضاً بالمشروع المشترك الذي أعدته المنظمة الدولية للهجرة والمكتب الاتحادي للهجرة واللاجئين لتحديد ضحايا الاتجار المحتملين من بين ملتمسي اللجوء.</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8</w:t>
      </w:r>
      <w:r w:rsidR="003E72B5">
        <w:rPr>
          <w:rFonts w:hint="cs"/>
          <w:spacing w:val="0"/>
          <w:sz w:val="20"/>
          <w:rtl/>
        </w:rPr>
        <w:t>)</w:t>
      </w:r>
      <w:r w:rsidR="003E72B5">
        <w:rPr>
          <w:rFonts w:hint="cs"/>
          <w:spacing w:val="0"/>
          <w:sz w:val="20"/>
          <w:rtl/>
        </w:rPr>
        <w:tab/>
      </w:r>
      <w:r w:rsidR="004E0A37" w:rsidRPr="004E0A37">
        <w:rPr>
          <w:rFonts w:hint="cs"/>
          <w:spacing w:val="0"/>
          <w:sz w:val="20"/>
          <w:rtl/>
        </w:rPr>
        <w:t>وتلاحظ اللجنة وجود مجتمع مدني نشيط يسهم بصورة كبيرة في رصد حالات التعذيب وسوء المعاملة مما يُيسّر من التنفيذ الفعال للاتفاقية في الدولة الطرف.</w:t>
      </w:r>
    </w:p>
    <w:p w:rsidR="004E0A37" w:rsidRPr="004E0A37" w:rsidRDefault="007223C0" w:rsidP="006E43D5">
      <w:pPr>
        <w:pStyle w:val="H23GA"/>
        <w:tabs>
          <w:tab w:val="left" w:pos="1939"/>
        </w:tabs>
        <w:rPr>
          <w:rFonts w:hint="cs"/>
          <w:rtl/>
        </w:rPr>
      </w:pPr>
      <w:r>
        <w:rPr>
          <w:rFonts w:hint="cs"/>
          <w:rtl/>
        </w:rPr>
        <w:tab/>
      </w:r>
      <w:r>
        <w:rPr>
          <w:rFonts w:hint="cs"/>
          <w:rtl/>
        </w:rPr>
        <w:tab/>
        <w:t>جيم-</w:t>
      </w:r>
      <w:r w:rsidR="004E0A37" w:rsidRPr="004E0A37">
        <w:rPr>
          <w:rFonts w:hint="cs"/>
          <w:rtl/>
        </w:rPr>
        <w:tab/>
        <w:t>دواعي القلق الرئيسية والتوصيات</w:t>
      </w:r>
    </w:p>
    <w:p w:rsidR="004E0A37" w:rsidRPr="004E0A37" w:rsidRDefault="004E0A37" w:rsidP="00335AC0">
      <w:pPr>
        <w:pStyle w:val="H23GA"/>
        <w:rPr>
          <w:rFonts w:hint="cs"/>
          <w:rtl/>
        </w:rPr>
      </w:pPr>
      <w:r w:rsidRPr="004E0A37">
        <w:rPr>
          <w:rFonts w:hint="cs"/>
          <w:rtl/>
        </w:rPr>
        <w:tab/>
      </w:r>
      <w:r w:rsidRPr="004E0A37">
        <w:rPr>
          <w:rFonts w:hint="cs"/>
          <w:rtl/>
        </w:rPr>
        <w:tab/>
        <w:t>تعريف التعذيب وتجريمه</w:t>
      </w:r>
    </w:p>
    <w:p w:rsidR="004E0A37" w:rsidRPr="004E0A37" w:rsidRDefault="0033301A" w:rsidP="00B6289A">
      <w:pPr>
        <w:pStyle w:val="SingleTxtGA"/>
        <w:jc w:val="lowKashida"/>
        <w:rPr>
          <w:rFonts w:hint="cs"/>
          <w:spacing w:val="0"/>
          <w:sz w:val="20"/>
          <w:rtl/>
        </w:rPr>
      </w:pPr>
      <w:r>
        <w:rPr>
          <w:rFonts w:hint="cs"/>
          <w:spacing w:val="0"/>
          <w:sz w:val="20"/>
          <w:rtl/>
        </w:rPr>
        <w:t>(</w:t>
      </w:r>
      <w:r w:rsidR="004E0A37" w:rsidRPr="004E0A37">
        <w:rPr>
          <w:rFonts w:hint="cs"/>
          <w:spacing w:val="0"/>
          <w:sz w:val="20"/>
          <w:rtl/>
        </w:rPr>
        <w:t>9</w:t>
      </w:r>
      <w:r w:rsidR="003E72B5">
        <w:rPr>
          <w:rFonts w:hint="cs"/>
          <w:spacing w:val="0"/>
          <w:sz w:val="20"/>
          <w:rtl/>
        </w:rPr>
        <w:t>)</w:t>
      </w:r>
      <w:r w:rsidR="003E72B5">
        <w:rPr>
          <w:rFonts w:hint="cs"/>
          <w:spacing w:val="0"/>
          <w:sz w:val="20"/>
          <w:rtl/>
        </w:rPr>
        <w:tab/>
      </w:r>
      <w:r w:rsidR="004E0A37" w:rsidRPr="004E0A37">
        <w:rPr>
          <w:rFonts w:hint="cs"/>
          <w:spacing w:val="0"/>
          <w:sz w:val="20"/>
          <w:rtl/>
        </w:rPr>
        <w:t>ترحب اللجنة بقانون الدولة الطرف المتعلق بالجرائم المرتكبة ضد القانون الدولي الذي يدون جرائم منها جرائم التعذيب في سياق الإبادة الجماعية، أو جرائم الحرب، أو</w:t>
      </w:r>
      <w:r w:rsidR="004E0A37" w:rsidRPr="004E0A37">
        <w:rPr>
          <w:rFonts w:hint="eastAsia"/>
          <w:spacing w:val="0"/>
          <w:sz w:val="20"/>
          <w:rtl/>
        </w:rPr>
        <w:t> </w:t>
      </w:r>
      <w:r w:rsidR="004E0A37" w:rsidRPr="004E0A37">
        <w:rPr>
          <w:rFonts w:hint="cs"/>
          <w:spacing w:val="0"/>
          <w:sz w:val="20"/>
          <w:rtl/>
        </w:rPr>
        <w:t>الجرائم المرتكبة ضد الإنسانية،</w:t>
      </w:r>
      <w:r w:rsidR="00B345DB">
        <w:rPr>
          <w:rFonts w:hint="cs"/>
          <w:spacing w:val="0"/>
          <w:sz w:val="20"/>
          <w:rtl/>
        </w:rPr>
        <w:t xml:space="preserve"> وفقاً </w:t>
      </w:r>
      <w:r w:rsidR="004E0A37" w:rsidRPr="004E0A37">
        <w:rPr>
          <w:rFonts w:hint="cs"/>
          <w:spacing w:val="0"/>
          <w:sz w:val="20"/>
          <w:rtl/>
        </w:rPr>
        <w:t>لأحكام المادة 7 من نظام روما الأساسي للمحكمة الجنائية الدولية. ومع ذلك، تعرب اللجنة عن قلق بالغ لانعدام أحكام تجرم، على النحو الواجب، أفعال التعذيب في سياق القانون الجنائي العام، لأن تطبيق أحكام القانون الجنائي (بما في ذلك الفقرة 1 من المادة 340، مقترنة بالمادة 224) والقانون الجنائي العسكري (المادتان 30 و31) لا ينطوي على معاقبة ملائمة على إلحاق الأذى أو المعاناة، جسدية كانت أم عقلية، على النحو الذي تشترطه المادة 1 من الاتفاقية. وفضلاً عن ذلك، وبينما تأخذ اللجنة</w:t>
      </w:r>
      <w:r w:rsidR="003833F8">
        <w:rPr>
          <w:rFonts w:hint="cs"/>
          <w:spacing w:val="0"/>
          <w:sz w:val="20"/>
          <w:rtl/>
        </w:rPr>
        <w:t xml:space="preserve"> علماً </w:t>
      </w:r>
      <w:r w:rsidR="004E0A37" w:rsidRPr="004E0A37">
        <w:rPr>
          <w:rFonts w:hint="cs"/>
          <w:spacing w:val="0"/>
          <w:sz w:val="20"/>
          <w:rtl/>
        </w:rPr>
        <w:t>بالبيانات المتعلقة بعمليات التحقيق في الجرائم التي يزعم ارتكابها من جانب الموظفين المكلفين بإنفاذ القوانين، تأسف لانعدام الوضوح بشأن تحديد ال</w:t>
      </w:r>
      <w:r w:rsidR="00B6289A">
        <w:rPr>
          <w:rFonts w:hint="cs"/>
          <w:spacing w:val="0"/>
          <w:sz w:val="20"/>
          <w:rtl/>
        </w:rPr>
        <w:t>ا</w:t>
      </w:r>
      <w:r w:rsidR="004E0A37" w:rsidRPr="004E0A37">
        <w:rPr>
          <w:rFonts w:hint="cs"/>
          <w:spacing w:val="0"/>
          <w:sz w:val="20"/>
          <w:rtl/>
        </w:rPr>
        <w:t>دعاءات بسوء المعاملة من جانب الموظفين الحكوميين، التي تصل، في حال إثبات صحتها، إلى درجة التعذيب بموجب المادة 1 من الاتفاقية أو إلى درجة المعاملة أو العقوبة القاسية أو اللاإنسانية أو المهينة بموجب المادة 16 من الاتفاقية (المادتان 1 و4).</w:t>
      </w:r>
    </w:p>
    <w:p w:rsidR="004E0A37" w:rsidRPr="00417A5B" w:rsidRDefault="004E0A37" w:rsidP="00335AC0">
      <w:pPr>
        <w:pStyle w:val="SingleTxtGA"/>
        <w:jc w:val="lowKashida"/>
        <w:rPr>
          <w:rFonts w:hint="cs"/>
          <w:b/>
          <w:bCs/>
          <w:spacing w:val="0"/>
          <w:sz w:val="20"/>
          <w:rtl/>
        </w:rPr>
      </w:pPr>
      <w:r w:rsidRPr="00417A5B">
        <w:rPr>
          <w:rFonts w:hint="cs"/>
          <w:b/>
          <w:bCs/>
          <w:spacing w:val="0"/>
          <w:sz w:val="20"/>
          <w:rtl/>
        </w:rPr>
        <w:tab/>
        <w:t>ينبغي للدولة الطرف أن تضمّن قانونها الجنائي العام، التعذيب كجريمة محددة وأن</w:t>
      </w:r>
      <w:r w:rsidR="00335AC0" w:rsidRPr="00417A5B">
        <w:rPr>
          <w:rFonts w:hint="eastAsia"/>
          <w:b/>
          <w:bCs/>
          <w:spacing w:val="0"/>
          <w:sz w:val="20"/>
          <w:rtl/>
        </w:rPr>
        <w:t> </w:t>
      </w:r>
      <w:r w:rsidRPr="00417A5B">
        <w:rPr>
          <w:rFonts w:hint="cs"/>
          <w:b/>
          <w:bCs/>
          <w:spacing w:val="0"/>
          <w:sz w:val="20"/>
          <w:rtl/>
        </w:rPr>
        <w:t>تكفل تضمُّن هذا التعريف جميع عناصر المادة 1 من الاتفاقية. ووفقاً لتعليق اللجنة العام رقم 2(2007) بشأن تنفيذ الدول الأطراف للمادة 2، يتعين على الدولة الطرف أيضاً أن توضح ما هي أفعال إساءة المعاملة التي ارتكبها الموظفون المكلفون بإنفاذ القوانين التي أُبلغ عنها في رد الدولة الطرف على قائمة المسائل والتي تصل إلى حد التعذيب وغيره من ضروب المعاملة أو العقوبة القاسية أو اللاإنسانية أو المهينة، بغية مساعدة الدولة الطرف على تحديد كيفية تنفيذ الاتفاقية وفي أي الحالات ورصد اللجنة لهذه المسائل.</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10</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مع القلق أن الدولة الطرف لا تملك معلومات محددة عن الحالات التي</w:t>
      </w:r>
      <w:r w:rsidR="004E0A37" w:rsidRPr="004E0A37">
        <w:rPr>
          <w:rFonts w:hint="eastAsia"/>
          <w:spacing w:val="0"/>
          <w:sz w:val="20"/>
          <w:rtl/>
        </w:rPr>
        <w:t> </w:t>
      </w:r>
      <w:r w:rsidR="004E0A37" w:rsidRPr="004E0A37">
        <w:rPr>
          <w:rFonts w:hint="cs"/>
          <w:spacing w:val="0"/>
          <w:sz w:val="20"/>
          <w:rtl/>
        </w:rPr>
        <w:t>احتُج فيها بالاتفاقية والتي طُبقت فيها الاتفاقية تطبيقاً مباشراً أمام المحاكم المحلية (المادتان</w:t>
      </w:r>
      <w:r w:rsidR="004E0A37" w:rsidRPr="004E0A37">
        <w:rPr>
          <w:rFonts w:hint="eastAsia"/>
          <w:spacing w:val="0"/>
          <w:sz w:val="20"/>
          <w:rtl/>
        </w:rPr>
        <w:t> </w:t>
      </w:r>
      <w:r w:rsidR="004E0A37" w:rsidRPr="004E0A37">
        <w:rPr>
          <w:rFonts w:hint="cs"/>
          <w:spacing w:val="0"/>
          <w:sz w:val="20"/>
          <w:rtl/>
        </w:rPr>
        <w:t>2</w:t>
      </w:r>
      <w:r w:rsidR="004E0A37" w:rsidRPr="004E0A37">
        <w:rPr>
          <w:rFonts w:hint="eastAsia"/>
          <w:spacing w:val="0"/>
          <w:sz w:val="20"/>
          <w:rtl/>
        </w:rPr>
        <w:t> </w:t>
      </w:r>
      <w:r w:rsidR="004E0A37" w:rsidRPr="004E0A37">
        <w:rPr>
          <w:rFonts w:hint="cs"/>
          <w:spacing w:val="0"/>
          <w:sz w:val="20"/>
          <w:rtl/>
        </w:rPr>
        <w:t>و10).</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بأن تتخذ خطوات لنشر الاتفاقية على جميع السلطات العامة، بما في ذلك الجهاز القضائي، لتيسير التطبيق المباشر للاتفاقية أمام المحاكم المحلية وذلك على مستويي الاتحاد والولايات، وبأن تقدم في تقريرها الدوري المقبل معلومات محدثة عن حالات تبرهن على ذلك.</w:t>
      </w:r>
    </w:p>
    <w:p w:rsidR="004E0A37" w:rsidRPr="004E0A37" w:rsidRDefault="0033301A" w:rsidP="00425688">
      <w:pPr>
        <w:pStyle w:val="SingleTxtGA"/>
        <w:jc w:val="lowKashida"/>
        <w:rPr>
          <w:rFonts w:hint="cs"/>
          <w:spacing w:val="0"/>
          <w:sz w:val="20"/>
          <w:rtl/>
        </w:rPr>
      </w:pPr>
      <w:r>
        <w:rPr>
          <w:rFonts w:hint="cs"/>
          <w:spacing w:val="0"/>
          <w:sz w:val="20"/>
          <w:rtl/>
        </w:rPr>
        <w:t>(</w:t>
      </w:r>
      <w:r w:rsidR="004E0A37" w:rsidRPr="004E0A37">
        <w:rPr>
          <w:rFonts w:hint="cs"/>
          <w:spacing w:val="0"/>
          <w:sz w:val="20"/>
          <w:rtl/>
        </w:rPr>
        <w:t>11</w:t>
      </w:r>
      <w:r w:rsidR="003E72B5">
        <w:rPr>
          <w:rFonts w:hint="cs"/>
          <w:spacing w:val="0"/>
          <w:sz w:val="20"/>
          <w:rtl/>
        </w:rPr>
        <w:t>)</w:t>
      </w:r>
      <w:r w:rsidR="003E72B5">
        <w:rPr>
          <w:rFonts w:hint="cs"/>
          <w:spacing w:val="0"/>
          <w:sz w:val="20"/>
          <w:rtl/>
        </w:rPr>
        <w:tab/>
      </w:r>
      <w:r w:rsidR="004E0A37" w:rsidRPr="004E0A37">
        <w:rPr>
          <w:rFonts w:hint="cs"/>
          <w:spacing w:val="0"/>
          <w:sz w:val="20"/>
          <w:rtl/>
        </w:rPr>
        <w:t>وبينما ترحب اللجنة بكون القانون الجنائي العسكري يجيز معاقبة كبار المسئولين العسكريين على ارتكاب أفعال إساءة المعاملة والمعاملة المهينة، بالارتباط بإمكانية إنزال عقوبات على أفعال "تتسبب في أذى جسدي خطير" أو "في أذى جسدي أثناء ممارسة مسؤوليات وظيفة عامة"</w:t>
      </w:r>
      <w:r w:rsidR="00B345DB">
        <w:rPr>
          <w:rFonts w:hint="cs"/>
          <w:spacing w:val="0"/>
          <w:sz w:val="20"/>
          <w:rtl/>
        </w:rPr>
        <w:t xml:space="preserve"> وفقاً </w:t>
      </w:r>
      <w:r w:rsidR="004E0A37" w:rsidRPr="004E0A37">
        <w:rPr>
          <w:rFonts w:hint="cs"/>
          <w:spacing w:val="0"/>
          <w:sz w:val="20"/>
          <w:rtl/>
        </w:rPr>
        <w:t>لما ينص عليه القانون الجنائي، يساور اللجنة القلق إزاء العقوبات الهينة المنصوص عليها في القانون الجنائي العسكري، والتي تتراوح بين السجن لمدة تتراوح بين ستة أشهر وخمس سنوات، وذلك حتى إذا تسببت مثل هذه الأفعال في أذى أو</w:t>
      </w:r>
      <w:r w:rsidR="00425688">
        <w:rPr>
          <w:rFonts w:hint="eastAsia"/>
          <w:spacing w:val="0"/>
          <w:sz w:val="20"/>
          <w:rtl/>
        </w:rPr>
        <w:t> </w:t>
      </w:r>
      <w:r w:rsidR="004E0A37" w:rsidRPr="004E0A37">
        <w:rPr>
          <w:rFonts w:hint="cs"/>
          <w:spacing w:val="0"/>
          <w:sz w:val="20"/>
          <w:rtl/>
        </w:rPr>
        <w:t>معاناة شديدين (المادة 4).</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ينبغي للدولة الطرف أن تُعدّل قانونها الجنائي العسكري لكي تجعل من الممكن المعاقبة على جرائم التعذيب في إطار الخدمة العسكرية، من خلال النص على عقوبات مناسبة تراعي الطبيعة الخطيرة لهذه الأفعال،</w:t>
      </w:r>
      <w:r w:rsidR="00B345DB" w:rsidRPr="00417A5B">
        <w:rPr>
          <w:rFonts w:hint="cs"/>
          <w:b/>
          <w:bCs/>
          <w:spacing w:val="0"/>
          <w:sz w:val="20"/>
          <w:rtl/>
        </w:rPr>
        <w:t xml:space="preserve"> وفقاً </w:t>
      </w:r>
      <w:r w:rsidRPr="00417A5B">
        <w:rPr>
          <w:rFonts w:hint="cs"/>
          <w:b/>
          <w:bCs/>
          <w:spacing w:val="0"/>
          <w:sz w:val="20"/>
          <w:rtl/>
        </w:rPr>
        <w:t>لأحكام المادة 4 من الاتفاقية والسوابق القضائية ذات الصلة التي صدرت عن اللجنة.</w:t>
      </w:r>
    </w:p>
    <w:p w:rsidR="004E0A37" w:rsidRPr="004E0A37" w:rsidRDefault="004E0A37" w:rsidP="00425688">
      <w:pPr>
        <w:pStyle w:val="H23GA"/>
        <w:rPr>
          <w:rFonts w:hint="cs"/>
          <w:rtl/>
        </w:rPr>
      </w:pPr>
      <w:r w:rsidRPr="004E0A37">
        <w:rPr>
          <w:rFonts w:hint="cs"/>
          <w:rtl/>
        </w:rPr>
        <w:tab/>
      </w:r>
      <w:r w:rsidRPr="004E0A37">
        <w:rPr>
          <w:rFonts w:hint="cs"/>
          <w:rtl/>
        </w:rPr>
        <w:tab/>
        <w:t>التزامات الاتحاد والولايات</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تحيط اللجنة</w:t>
      </w:r>
      <w:r w:rsidR="003833F8">
        <w:rPr>
          <w:rFonts w:hint="cs"/>
          <w:spacing w:val="0"/>
          <w:sz w:val="20"/>
          <w:rtl/>
        </w:rPr>
        <w:t xml:space="preserve"> علماً </w:t>
      </w:r>
      <w:r w:rsidR="004E0A37" w:rsidRPr="004E0A37">
        <w:rPr>
          <w:rFonts w:hint="cs"/>
          <w:spacing w:val="0"/>
          <w:sz w:val="20"/>
          <w:rtl/>
        </w:rPr>
        <w:t xml:space="preserve">بالإصلاحات الدستورية لعام 2006 التي تنطوي على نقل المسؤولية عن تشريع السجون من الاتحاد إلى الولايات، لا تزال تشعر بالقلق لأن مستوى الحماية من التعذيب وسوء المعاملة على مستوى الاتحاد أعلى من نظيره في كل ولاية على حدة. وينطبق ذلك بصفة خاصة على القيود البدنية </w:t>
      </w:r>
      <w:r w:rsidR="004E0A37" w:rsidRPr="004E0A37">
        <w:rPr>
          <w:i/>
          <w:iCs/>
          <w:spacing w:val="0"/>
          <w:sz w:val="20"/>
        </w:rPr>
        <w:t>(Fixierung)</w:t>
      </w:r>
      <w:r w:rsidR="004E0A37" w:rsidRPr="004E0A37">
        <w:rPr>
          <w:rFonts w:hint="cs"/>
          <w:spacing w:val="0"/>
          <w:sz w:val="20"/>
          <w:rtl/>
        </w:rPr>
        <w:t>. ويساور اللجنة القلق أيضاً إزاء انعدام الوضوح بشأن التدابير التي تتخذها الحكومة الاتحادية لضمان الامتثال للاتفاقية على مستوى الولايات (المادة 2).</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 xml:space="preserve">بما أن جمهورية ألمانيا الاتحادية هي دولة طرف، تتقيد بالقانون الدولي، وتعهدت بالالتزام بتنفيذ الاتفاقية بالكامل على المستوى المحلي، فإن اللجنة توصي الدولة الطرف بتقديم التوجيه والمساعدة إلى الولايات كل على حدة </w:t>
      </w:r>
      <w:r w:rsidR="00F96B1E" w:rsidRPr="00417A5B">
        <w:rPr>
          <w:rFonts w:hint="cs"/>
          <w:b/>
          <w:bCs/>
          <w:spacing w:val="0"/>
          <w:sz w:val="20"/>
          <w:rtl/>
        </w:rPr>
        <w:t>فيما </w:t>
      </w:r>
      <w:r w:rsidRPr="00417A5B">
        <w:rPr>
          <w:rFonts w:hint="cs"/>
          <w:b/>
          <w:bCs/>
          <w:spacing w:val="0"/>
          <w:sz w:val="20"/>
          <w:rtl/>
        </w:rPr>
        <w:t>يتعلق باعتماد وتطبيق تدابير تشريعية وسياساتية على مستوى الولايات تهدف إلى توفير حماية متساوية لحقوق الإنسان في سياق إنفاذ القوانين على مستوى الاتحاد والولايات، والسعي إلى تحقيق الاتساق بين الخطوات التي تتخذها مختلف الولايات، لضمان حماية وتنفيذ المعايير والضمانات المنصوص عليها في الاتفاقية بشكل متساوٍ في جميع الولايات.</w:t>
      </w:r>
    </w:p>
    <w:p w:rsidR="004E0A37" w:rsidRPr="004E0A37" w:rsidRDefault="004E0A37" w:rsidP="00425688">
      <w:pPr>
        <w:pStyle w:val="H23GA"/>
        <w:rPr>
          <w:rFonts w:hint="cs"/>
          <w:rtl/>
        </w:rPr>
      </w:pPr>
      <w:r w:rsidRPr="004E0A37">
        <w:rPr>
          <w:rFonts w:hint="cs"/>
          <w:rtl/>
        </w:rPr>
        <w:tab/>
      </w:r>
      <w:r w:rsidRPr="004E0A37">
        <w:rPr>
          <w:rFonts w:hint="cs"/>
          <w:rtl/>
        </w:rPr>
        <w:tab/>
        <w:t>الوكالة الوطنية لمنع التعذيب</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13</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عدم كفاية الموظفين والموارد المالية والتقنية المقدمة إلى الوكالة الوطنية لمنع التعذيب، المؤلفة من الوكالة الاتحادية لمنع التعذيب واللجنة المشتركة بين الولايات، الأمر الذي أدى إلى أنه لا يمكن</w:t>
      </w:r>
      <w:r w:rsidR="003549AC">
        <w:rPr>
          <w:rFonts w:hint="cs"/>
          <w:spacing w:val="0"/>
          <w:sz w:val="20"/>
          <w:rtl/>
        </w:rPr>
        <w:t xml:space="preserve"> حالياً </w:t>
      </w:r>
      <w:r w:rsidR="004E0A37" w:rsidRPr="004E0A37">
        <w:rPr>
          <w:rFonts w:hint="cs"/>
          <w:spacing w:val="0"/>
          <w:sz w:val="20"/>
          <w:rtl/>
        </w:rPr>
        <w:t>زيارة أماكن الاحتجاز إلا مرة واحدة كل أربع سنوات، مما يحول دون اضطلاع الوكالة، على النحو المناسب، بمهمتها في الرصد (المادتان 2 و13). ويساور اللجنة القلق أيضاً إزاء المعلومات المقدمة من الدولة الطرف التي تفيد بأنه يجب على اللجنة المشتركة بين الولايات أن تعلم، السلطات المعنية، في بعض الحالات، بنيتها زيارة أماكن الاحتجاز، وذلك في وقت مبكر، حتى تتمكن من دخولها.</w:t>
      </w:r>
    </w:p>
    <w:p w:rsidR="004E0A37" w:rsidRPr="00417A5B" w:rsidRDefault="004E0A37" w:rsidP="00425688">
      <w:pPr>
        <w:pStyle w:val="SingleTxtGA"/>
        <w:jc w:val="lowKashida"/>
        <w:rPr>
          <w:rFonts w:hint="cs"/>
          <w:b/>
          <w:bCs/>
          <w:spacing w:val="0"/>
          <w:sz w:val="20"/>
          <w:rtl/>
        </w:rPr>
      </w:pPr>
      <w:r w:rsidRPr="00417A5B">
        <w:rPr>
          <w:rFonts w:hint="cs"/>
          <w:b/>
          <w:bCs/>
          <w:spacing w:val="0"/>
          <w:sz w:val="20"/>
          <w:rtl/>
        </w:rPr>
        <w:tab/>
        <w:t>توصي اللجنة الدولة الطرف بتزويد الوكالة الوطنية لمنع التعذيب بالموارد البشرية والمالية والتقنية واللوجستية الكافية لتمكينها من الاضطلاع بمهامها بفعالية وبصورة مستقلة،</w:t>
      </w:r>
      <w:r w:rsidR="00B345DB" w:rsidRPr="00417A5B">
        <w:rPr>
          <w:rFonts w:hint="cs"/>
          <w:b/>
          <w:bCs/>
          <w:spacing w:val="0"/>
          <w:sz w:val="20"/>
          <w:rtl/>
        </w:rPr>
        <w:t xml:space="preserve"> وفقاً </w:t>
      </w:r>
      <w:r w:rsidRPr="00417A5B">
        <w:rPr>
          <w:rFonts w:hint="cs"/>
          <w:b/>
          <w:bCs/>
          <w:spacing w:val="0"/>
          <w:sz w:val="20"/>
          <w:rtl/>
        </w:rPr>
        <w:t>للفقرة 3 من المادة 18 من البروتوكول الاختياري والمبدأين التوجيهيين رقم 11 ورقم</w:t>
      </w:r>
      <w:r w:rsidR="00425688" w:rsidRPr="00417A5B">
        <w:rPr>
          <w:rFonts w:hint="eastAsia"/>
          <w:b/>
          <w:bCs/>
          <w:spacing w:val="0"/>
          <w:sz w:val="20"/>
          <w:rtl/>
        </w:rPr>
        <w:t> </w:t>
      </w:r>
      <w:r w:rsidRPr="00417A5B">
        <w:rPr>
          <w:rFonts w:hint="cs"/>
          <w:b/>
          <w:bCs/>
          <w:spacing w:val="0"/>
          <w:sz w:val="20"/>
          <w:rtl/>
        </w:rPr>
        <w:t>12 للجنة الفرعية المعنية بمنع التعذيب وغيره من ضروب المعاملة أو العقوبة القاسية أو</w:t>
      </w:r>
      <w:r w:rsidR="00425688" w:rsidRPr="00417A5B">
        <w:rPr>
          <w:rFonts w:hint="eastAsia"/>
          <w:b/>
          <w:bCs/>
          <w:spacing w:val="0"/>
          <w:sz w:val="20"/>
          <w:rtl/>
        </w:rPr>
        <w:t> </w:t>
      </w:r>
      <w:r w:rsidRPr="00417A5B">
        <w:rPr>
          <w:rFonts w:hint="cs"/>
          <w:b/>
          <w:bCs/>
          <w:spacing w:val="0"/>
          <w:sz w:val="20"/>
          <w:rtl/>
        </w:rPr>
        <w:t>اللاإنسانية أو المهينة، وكذلك ضمان وصولها بشكل منتظم وفي حينه إلى جميع أماكن الاحتجاز على مستويي الاتحاد والولايات، دون شرط الحصول على موافقة مسبقة من السلطات المعنية على الزيارة.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14</w:t>
      </w:r>
      <w:r w:rsidR="003E72B5">
        <w:rPr>
          <w:rFonts w:hint="cs"/>
          <w:spacing w:val="0"/>
          <w:sz w:val="20"/>
          <w:rtl/>
        </w:rPr>
        <w:t>)</w:t>
      </w:r>
      <w:r w:rsidR="003E72B5">
        <w:rPr>
          <w:rFonts w:hint="cs"/>
          <w:spacing w:val="0"/>
          <w:sz w:val="20"/>
          <w:rtl/>
        </w:rPr>
        <w:tab/>
      </w:r>
      <w:r w:rsidR="004E0A37" w:rsidRPr="004E0A37">
        <w:rPr>
          <w:rFonts w:hint="cs"/>
          <w:spacing w:val="0"/>
          <w:sz w:val="20"/>
          <w:rtl/>
        </w:rPr>
        <w:t>بينما تهنئ اللجنة الوكالة الوطنية على توصياتها الرامية إلى أمور منها تحسين شروط القيود المادية أو المتطلبات المتعلقة بتغيير الملابس في غرف آمنة خاصة أو المتطلبات التقنية لغرف الاحتجاز الجديدة في سجن براندنبورغ، تلاحظ مع القلق انعدام وعي الجمهور بالتوصيات التي اعتمدتها اللجنة الوطنية والخطوات التي اتخذتها الدولة الطرف بغية ضمان تنفيذها. ويساور اللجنة القلق أيضاً إزاء التقارير التي تفيد بانعدام التعاون بين اللجنة المشتركة بين الولايات والهيئات القائمة، بما في ذلك لجان تقديم الشكاوى، المخولة في بعض الولايات بإجراء زيارات مفاجئة لأماكن الاحتجاز (المادتان 2 و12).</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بما يلي:</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أن تعلن وتنشر بانتظام، من خلال استخدام جميع وسائل الاتصالات المناسبة، التوصيات التي تعتمدها الوكالة الوطنية لتحسين الظروف في أماكن الاحتجاز والخطوات التي تتخذها الدولة الطرف لضمان تنفيذ هذه التوصيات بفعالية؛</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أن تجمع أفضل الممارسات التي تنفذها الوكالة الوطنية وأن تجري التدريب المناسب لموظفيها؛</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(ج)</w:t>
      </w:r>
      <w:r w:rsidRPr="00417A5B">
        <w:rPr>
          <w:rFonts w:hint="cs"/>
          <w:b/>
          <w:bCs/>
          <w:spacing w:val="0"/>
          <w:sz w:val="20"/>
          <w:rtl/>
        </w:rPr>
        <w:tab/>
        <w:t>أن تقيم التعاون بين اللجنة المشتركة للولايات والهيئات الموجودة في كل ولاية، ولا سيما لجان تقديم الشكاوى التي تسند إليها أيضاً ولاية إجراء زيارات وقائية لأماكن الاحتجاز.</w:t>
      </w:r>
    </w:p>
    <w:p w:rsidR="004E0A37" w:rsidRPr="004E0A37" w:rsidRDefault="004E0A37" w:rsidP="00425688">
      <w:pPr>
        <w:pStyle w:val="H23GA"/>
        <w:rPr>
          <w:rFonts w:hint="cs"/>
          <w:rtl/>
          <w:lang w:val="fr-CH"/>
        </w:rPr>
      </w:pPr>
      <w:r w:rsidRPr="004E0A37">
        <w:rPr>
          <w:rFonts w:hint="cs"/>
          <w:rtl/>
          <w:lang w:val="fr-CH"/>
        </w:rPr>
        <w:tab/>
      </w:r>
      <w:r w:rsidRPr="004E0A37">
        <w:rPr>
          <w:rFonts w:hint="cs"/>
          <w:rtl/>
          <w:lang w:val="fr-CH"/>
        </w:rPr>
        <w:tab/>
        <w:t>الاتجار بالأشخاص</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15</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باهتمام برامج التعاون بين منظمات الكنائس والمجتمع المدني على مستويي الاتحاد والولايات لتقديم المساعدة إلى ضحايا الاتجار، وترحب بممارسة الولاية القضائية الشاملة على جرائم الاتجار لأغراض الاستغلال الجنسي والاستغلال في العمل،</w:t>
      </w:r>
      <w:r w:rsidR="00B345DB">
        <w:rPr>
          <w:rFonts w:hint="cs"/>
          <w:spacing w:val="0"/>
          <w:sz w:val="20"/>
          <w:rtl/>
        </w:rPr>
        <w:t xml:space="preserve"> وفقاً </w:t>
      </w:r>
      <w:r w:rsidR="004E0A37" w:rsidRPr="004E0A37">
        <w:rPr>
          <w:rFonts w:hint="cs"/>
          <w:spacing w:val="0"/>
          <w:sz w:val="20"/>
          <w:rtl/>
        </w:rPr>
        <w:t>للمادة 6 من القانون الجنائي. ومع ذلك، تعرب اللجنة عن قلق بالغ إزاء "الجانب المعتم لحالات الاتجار غير المرصودة" التي تعترف بها الدولة الطرف والتي تتضح من العدد القليل لمثل هذه الجرائم الذي سجلته الشرطة بالمقارنة مع التقديرات غير الحكومية. فوفقاً لمصادر منظمة غير حكومية، هناك قرابة 000 15 شخص بمن فيهم أطفال تم الاتجار بهم، حسب الادعاءات إلى الدولة الطرف من مختلف بلدان أوروبا وآسيا وأفريقيا، للعمل الإجباري في الجنس، والتبني غير القانوني والعمل في القطاعات الخدمية (المواد 2 و3 و12 و14 و16).</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تحث اللجنة الدولة الطرف على ما يلي:</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أن تمنع الاتجار بالأشخاص والممارسات المرتبطة به وأن تقوم على وجه السرعة وبشكل كامل وغير متحيز بإجراء التحقيقات فيه وملاحقة الجناة ومعاقبتهم؛</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أن توفر سبل الانتصاف لضحايا الاتجار، بما في ذلك مساعدة الضحايا في إبلاغ الشرطة بحوادث الاتجار، ولا سيما من خلال تقديم المساعدة القانونية والطبية والنفسية وإعادة التأهيل بما في ذلك المأوى المناسب،</w:t>
      </w:r>
      <w:r w:rsidR="00B345DB" w:rsidRPr="00417A5B">
        <w:rPr>
          <w:rFonts w:hint="cs"/>
          <w:b/>
          <w:bCs/>
          <w:spacing w:val="0"/>
          <w:sz w:val="20"/>
          <w:rtl/>
        </w:rPr>
        <w:t xml:space="preserve"> وفقاً </w:t>
      </w:r>
      <w:r w:rsidRPr="00417A5B">
        <w:rPr>
          <w:rFonts w:hint="cs"/>
          <w:b/>
          <w:bCs/>
          <w:spacing w:val="0"/>
          <w:sz w:val="20"/>
          <w:rtl/>
        </w:rPr>
        <w:t>لأحكام المادة 14 من الاتفاقية؛</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(ج)</w:t>
      </w:r>
      <w:r w:rsidRPr="00417A5B">
        <w:rPr>
          <w:rFonts w:hint="cs"/>
          <w:b/>
          <w:bCs/>
          <w:spacing w:val="0"/>
          <w:sz w:val="20"/>
          <w:rtl/>
        </w:rPr>
        <w:tab/>
        <w:t>أن تمنع عودة الأشخاص المتاجر بهم إلى بلدانهم الأصلية التي يوجد فيها أساس موضوعي للاعتقاد بتعرضهم لخطر التعذيب، لضمان الامتثال لأحكام المادة 3 من الاتفاقية؛</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(د)</w:t>
      </w:r>
      <w:r w:rsidRPr="00417A5B">
        <w:rPr>
          <w:rFonts w:hint="cs"/>
          <w:b/>
          <w:bCs/>
          <w:spacing w:val="0"/>
          <w:sz w:val="20"/>
          <w:rtl/>
        </w:rPr>
        <w:tab/>
        <w:t xml:space="preserve">أن توفر التدريب المنتظم للشرطة، والمدعين العامين والقضاة بشأن منع أفعال الاتجار والتحقيق فيها وملاحقة مرتكبيها ومعاقبتهم، على نحو فعال، بما في ذلك </w:t>
      </w:r>
      <w:r w:rsidR="00F96B1E" w:rsidRPr="00417A5B">
        <w:rPr>
          <w:rFonts w:hint="cs"/>
          <w:b/>
          <w:bCs/>
          <w:spacing w:val="0"/>
          <w:sz w:val="20"/>
          <w:rtl/>
        </w:rPr>
        <w:t>فيما </w:t>
      </w:r>
      <w:r w:rsidRPr="00417A5B">
        <w:rPr>
          <w:rFonts w:hint="cs"/>
          <w:b/>
          <w:bCs/>
          <w:spacing w:val="0"/>
          <w:sz w:val="20"/>
          <w:rtl/>
        </w:rPr>
        <w:t>يتعلق بضمانات حق الفرد في أن يمثله بمحام من اختياره، وإعلام الجمهور بالطبيعة الجنائية لهذه الأفعال؛</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(ﻫ)</w:t>
      </w:r>
      <w:r w:rsidRPr="00417A5B">
        <w:rPr>
          <w:rFonts w:hint="cs"/>
          <w:b/>
          <w:bCs/>
          <w:spacing w:val="0"/>
          <w:sz w:val="20"/>
          <w:rtl/>
        </w:rPr>
        <w:tab/>
        <w:t>أن تقوم بجمع بيانات مصنفة، عند الاقتضاء، بحسب الجنسية وبلد المنشأ والإثنية ونوع الجنس والسن وقطاع العمل وبشأن تقديم التعويض.</w:t>
      </w:r>
    </w:p>
    <w:p w:rsidR="004E0A37" w:rsidRPr="004E0A37" w:rsidRDefault="004E0A37" w:rsidP="006E43D5">
      <w:pPr>
        <w:pStyle w:val="H23GA"/>
        <w:keepNext/>
        <w:rPr>
          <w:rFonts w:hint="cs"/>
          <w:rtl/>
          <w:lang w:val="fr-CH"/>
        </w:rPr>
      </w:pPr>
      <w:r w:rsidRPr="004E0A37">
        <w:rPr>
          <w:rFonts w:hint="cs"/>
          <w:rtl/>
          <w:lang w:val="fr-CH"/>
        </w:rPr>
        <w:tab/>
      </w:r>
      <w:r w:rsidRPr="004E0A37">
        <w:rPr>
          <w:rFonts w:hint="cs"/>
          <w:rtl/>
          <w:lang w:val="fr-CH"/>
        </w:rPr>
        <w:tab/>
        <w:t xml:space="preserve">القيود البدنية </w:t>
      </w:r>
      <w:r w:rsidRPr="00425688">
        <w:rPr>
          <w:i/>
          <w:iCs/>
          <w:sz w:val="20"/>
          <w:szCs w:val="20"/>
          <w:lang w:val="fr-CH"/>
        </w:rPr>
        <w:t>(Fixierung)</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4E0A37" w:rsidRPr="004E0A37">
        <w:rPr>
          <w:rFonts w:hint="cs"/>
          <w:spacing w:val="0"/>
          <w:sz w:val="20"/>
          <w:rtl/>
        </w:rPr>
        <w:t>ترحب اللجنة بالمعلومات التي قدمتها الدولة الطرف والتي تفيد بأن شرطة الاتحاد توقفت عن اللجوء إلى القيود البدنية منذ الزيارة التي أجرتها اللجنة الأوروبية لمنع التعذيب والمعاملة أو العقوبة اللاإنسانية أو المهينة للبلد في عام 2005، وبأن القيود البدنية لا تطبق على مستوى الولايات إلا كملاذ أخير. ومع ذلك، لا تزال اللجنة تشعر بالقلق إزاء تأكيدات الدولة الطرف بأنه</w:t>
      </w:r>
      <w:r w:rsidR="00335AC0">
        <w:rPr>
          <w:rFonts w:hint="cs"/>
          <w:spacing w:val="0"/>
          <w:sz w:val="20"/>
          <w:rtl/>
        </w:rPr>
        <w:t xml:space="preserve"> لن </w:t>
      </w:r>
      <w:r w:rsidR="004E0A37" w:rsidRPr="004E0A37">
        <w:rPr>
          <w:rFonts w:hint="cs"/>
          <w:spacing w:val="0"/>
          <w:sz w:val="20"/>
          <w:rtl/>
        </w:rPr>
        <w:t>يكون من الممكن، في الأجل الطويل، التخلي عن ممارسة القيود البدنية في جميع الأوساط غير الطبية، على مستوى الولايات، على النحو الذي أوصت به اللجنة الأوروبية لمنع التعذيب وغيره من ضروب المعاملة أو العقوبة اللاإنسانية أو المهينة، وبعدم توفر معلومات عن التطبيق الموحد لمبادئ هذه اللجنة ومعاييرها الدنيا المتعلقة بالقيود البدنية (المواد 2 و11 و16).</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تحث اللجنة الدولة الطرف على أن تضع أنظمة دقيقة لاستخدام القيود البدنية في السجون وفي مستشفيات الأمراض النفسية وفي سجون الأحداث ومراكز احتجاز الأجانب بهدف الحد إلى أدنى مستوى من استخدامها في جميع المؤسسات والتخلي عنها في النهاية في جميع الأوساط غير الطبية. وينبغي للدولة الطرف أن تكفل أيضاً التدريب المناسب للموظفين المكلفين بإنفاذ القوانين وغيرهم من الموظفين على استخدام القيود البدنية، وتوحيد وسائل التقييد البدني المسموح بها في جميع الولايات واحترام المبادئ والمعايير الدنيا المتعلقة بالقيود البدنية، التي وضعتها اللجنة الأوروبية لمنع التعذيب والمعاملة أو العقوبة اللاإنسانية أو المهينة، في جميع المؤسسات.</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الاحتجاز الوقائي</w:t>
      </w:r>
    </w:p>
    <w:p w:rsidR="004E0A37" w:rsidRPr="004E0A37" w:rsidRDefault="0033301A" w:rsidP="00A4030E">
      <w:pPr>
        <w:pStyle w:val="SingleTxtGA"/>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تأخذ اللجنة</w:t>
      </w:r>
      <w:r w:rsidR="003833F8">
        <w:rPr>
          <w:rFonts w:hint="cs"/>
          <w:spacing w:val="0"/>
          <w:sz w:val="20"/>
          <w:rtl/>
        </w:rPr>
        <w:t xml:space="preserve"> علماً </w:t>
      </w:r>
      <w:r w:rsidR="004E0A37" w:rsidRPr="004E0A37">
        <w:rPr>
          <w:rFonts w:hint="cs"/>
          <w:spacing w:val="0"/>
          <w:sz w:val="20"/>
          <w:rtl/>
        </w:rPr>
        <w:t>بالحكم الصادر عن المحكمة الدستورية الاتحادية في 4 أيار/</w:t>
      </w:r>
      <w:r w:rsidR="00E25E42">
        <w:rPr>
          <w:rFonts w:hint="cs"/>
          <w:spacing w:val="0"/>
          <w:sz w:val="20"/>
          <w:rtl/>
        </w:rPr>
        <w:t xml:space="preserve"> </w:t>
      </w:r>
      <w:r w:rsidR="004E0A37" w:rsidRPr="004E0A37">
        <w:rPr>
          <w:rFonts w:hint="cs"/>
          <w:spacing w:val="0"/>
          <w:sz w:val="20"/>
          <w:rtl/>
        </w:rPr>
        <w:t>مايو</w:t>
      </w:r>
      <w:r w:rsidR="004E0A37" w:rsidRPr="004E0A37">
        <w:rPr>
          <w:rFonts w:hint="eastAsia"/>
          <w:spacing w:val="0"/>
          <w:sz w:val="20"/>
          <w:rtl/>
        </w:rPr>
        <w:t> </w:t>
      </w:r>
      <w:r w:rsidR="004E0A37" w:rsidRPr="004E0A37">
        <w:rPr>
          <w:rFonts w:hint="cs"/>
          <w:spacing w:val="0"/>
          <w:sz w:val="20"/>
          <w:rtl/>
        </w:rPr>
        <w:t>2011 الذي اعتبر أن جميع أحكام القانون الجنائي وقانون محاكم الأحداث بشأن فرض الحبس الاحتياطي ومدته، غير دستورية وترحب بقيام السلطات الاتحادية وسلطات الولايات بالفعل بتنفيذ هذا الحكم. ومع ذلك تلاحظ اللجنة مع الأسف، المعلومات التي تفيد بأن أكثر من 500 شخص لا يزالون قيد الحبس الاحتياطي، وأن بعضهم مكث في الحبس الاحتياطي لأكثر من 20 عاماً (المادتان 2 و11).</w:t>
      </w:r>
    </w:p>
    <w:p w:rsidR="004E0A37" w:rsidRPr="00417A5B" w:rsidRDefault="004E0A37" w:rsidP="00DA0B1C">
      <w:pPr>
        <w:pStyle w:val="SingleTxtGA"/>
        <w:spacing w:line="360" w:lineRule="exact"/>
        <w:jc w:val="lowKashida"/>
        <w:rPr>
          <w:rFonts w:hint="cs"/>
          <w:b/>
          <w:bCs/>
          <w:spacing w:val="0"/>
          <w:sz w:val="20"/>
          <w:rtl/>
        </w:rPr>
      </w:pPr>
      <w:r w:rsidRPr="00417A5B">
        <w:rPr>
          <w:rFonts w:hint="cs"/>
          <w:b/>
          <w:bCs/>
          <w:spacing w:val="0"/>
          <w:sz w:val="20"/>
          <w:rtl/>
        </w:rPr>
        <w:tab/>
        <w:t>تحث اللجنة الدولة الطرف على ما يلي:</w:t>
      </w:r>
    </w:p>
    <w:p w:rsidR="004E0A37" w:rsidRPr="00417A5B" w:rsidRDefault="004E0A37" w:rsidP="00DA0B1C">
      <w:pPr>
        <w:pStyle w:val="SingleTxtGA"/>
        <w:spacing w:line="360" w:lineRule="exact"/>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اعتماد وتعديل قوانينها بالاستناد إلى قرار المحكمة الدستورية الاتحادية الصادر في 31 آذار/مارس 2013،</w:t>
      </w:r>
      <w:r w:rsidR="00B345DB" w:rsidRPr="00417A5B">
        <w:rPr>
          <w:rFonts w:hint="cs"/>
          <w:b/>
          <w:bCs/>
          <w:spacing w:val="0"/>
          <w:sz w:val="20"/>
          <w:rtl/>
        </w:rPr>
        <w:t xml:space="preserve"> وفقاً </w:t>
      </w:r>
      <w:r w:rsidRPr="00417A5B">
        <w:rPr>
          <w:rFonts w:hint="cs"/>
          <w:b/>
          <w:bCs/>
          <w:spacing w:val="0"/>
          <w:sz w:val="20"/>
          <w:rtl/>
        </w:rPr>
        <w:t>لما طلبته المحكمة، بغية الحد إلى أدنى قدر ممكن من المخاطر الناجمة عن الحبس الاحتياطي؛</w:t>
      </w:r>
    </w:p>
    <w:p w:rsidR="004E0A37" w:rsidRPr="006E43D5" w:rsidRDefault="004E0A37" w:rsidP="006E43D5">
      <w:pPr>
        <w:pStyle w:val="SingleTxtGA"/>
        <w:jc w:val="lowKashida"/>
        <w:rPr>
          <w:rFonts w:hint="cs"/>
          <w:b/>
          <w:bCs/>
          <w:spacing w:val="0"/>
          <w:kern w:val="0"/>
          <w:sz w:val="20"/>
          <w:rtl/>
        </w:rPr>
      </w:pPr>
      <w:r w:rsidRPr="00417A5B">
        <w:rPr>
          <w:rFonts w:hint="cs"/>
          <w:b/>
          <w:bCs/>
          <w:spacing w:val="-4"/>
          <w:sz w:val="20"/>
          <w:rtl/>
        </w:rPr>
        <w:tab/>
        <w:t>(ب)</w:t>
      </w:r>
      <w:r w:rsidRPr="00417A5B">
        <w:rPr>
          <w:rFonts w:hint="cs"/>
          <w:b/>
          <w:bCs/>
          <w:spacing w:val="-4"/>
          <w:sz w:val="20"/>
          <w:rtl/>
        </w:rPr>
        <w:tab/>
        <w:t xml:space="preserve">واتخاذ جميع الإجراءات اللازمة، ريثما يتم ذلك، للامتثال للتدابير المؤسسية المنصوص عليها في قرار المحكمة، ولا سيما </w:t>
      </w:r>
      <w:r w:rsidR="00F96B1E" w:rsidRPr="00417A5B">
        <w:rPr>
          <w:rFonts w:hint="cs"/>
          <w:b/>
          <w:bCs/>
          <w:spacing w:val="-4"/>
          <w:sz w:val="20"/>
          <w:rtl/>
        </w:rPr>
        <w:t>فيما </w:t>
      </w:r>
      <w:r w:rsidRPr="00417A5B">
        <w:rPr>
          <w:rFonts w:hint="cs"/>
          <w:b/>
          <w:bCs/>
          <w:spacing w:val="-4"/>
          <w:sz w:val="20"/>
          <w:rtl/>
        </w:rPr>
        <w:t xml:space="preserve">يتعلق بالإفراج عن الأشخاص المودعين في </w:t>
      </w:r>
      <w:r w:rsidRPr="006E43D5">
        <w:rPr>
          <w:rFonts w:hint="cs"/>
          <w:b/>
          <w:bCs/>
          <w:spacing w:val="0"/>
          <w:kern w:val="0"/>
          <w:sz w:val="20"/>
          <w:rtl/>
        </w:rPr>
        <w:t>الحبس الاحتياطي، والحد من مدته وفرضه، ومراعاة قواعد الأمم المتحدة الدنيا النموذجية للتدابير غير الاحتجازية (قواعد طوكيو) عند إعداد التدابير البديلة للحبس الاحتياطي.</w:t>
      </w:r>
    </w:p>
    <w:p w:rsidR="004E0A37" w:rsidRPr="006E43D5" w:rsidRDefault="004E0A37" w:rsidP="006E43D5">
      <w:pPr>
        <w:pStyle w:val="H23GA"/>
        <w:rPr>
          <w:rFonts w:hint="cs"/>
          <w:spacing w:val="0"/>
          <w:kern w:val="0"/>
          <w:rtl/>
          <w:lang w:val="fr-CH"/>
        </w:rPr>
      </w:pPr>
      <w:r w:rsidRPr="006E43D5">
        <w:rPr>
          <w:rFonts w:hint="cs"/>
          <w:spacing w:val="0"/>
          <w:kern w:val="0"/>
          <w:rtl/>
          <w:lang w:val="fr-CH"/>
        </w:rPr>
        <w:tab/>
      </w:r>
      <w:r w:rsidRPr="006E43D5">
        <w:rPr>
          <w:rFonts w:hint="cs"/>
          <w:spacing w:val="0"/>
          <w:kern w:val="0"/>
          <w:rtl/>
          <w:lang w:val="fr-CH"/>
        </w:rPr>
        <w:tab/>
        <w:t>الوصول إلى آليات تقديم الشكاوى</w:t>
      </w:r>
    </w:p>
    <w:p w:rsidR="004E0A37" w:rsidRPr="006E43D5" w:rsidRDefault="0033301A" w:rsidP="006E43D5">
      <w:pPr>
        <w:pStyle w:val="SingleTxtGA"/>
        <w:jc w:val="lowKashida"/>
        <w:rPr>
          <w:rFonts w:hint="cs"/>
          <w:spacing w:val="0"/>
          <w:kern w:val="0"/>
          <w:sz w:val="20"/>
          <w:rtl/>
        </w:rPr>
      </w:pPr>
      <w:r w:rsidRPr="006E43D5">
        <w:rPr>
          <w:rFonts w:hint="cs"/>
          <w:spacing w:val="0"/>
          <w:kern w:val="0"/>
          <w:sz w:val="20"/>
          <w:rtl/>
        </w:rPr>
        <w:t>(</w:t>
      </w:r>
      <w:r w:rsidR="004E0A37" w:rsidRPr="006E43D5">
        <w:rPr>
          <w:rFonts w:hint="cs"/>
          <w:spacing w:val="0"/>
          <w:kern w:val="0"/>
          <w:sz w:val="20"/>
          <w:rtl/>
        </w:rPr>
        <w:t>18</w:t>
      </w:r>
      <w:r w:rsidR="003E72B5" w:rsidRPr="006E43D5">
        <w:rPr>
          <w:rFonts w:hint="cs"/>
          <w:spacing w:val="0"/>
          <w:kern w:val="0"/>
          <w:sz w:val="20"/>
          <w:rtl/>
        </w:rPr>
        <w:t>)</w:t>
      </w:r>
      <w:r w:rsidR="003E72B5" w:rsidRPr="006E43D5">
        <w:rPr>
          <w:rFonts w:hint="cs"/>
          <w:spacing w:val="0"/>
          <w:kern w:val="0"/>
          <w:sz w:val="20"/>
          <w:rtl/>
        </w:rPr>
        <w:tab/>
      </w:r>
      <w:r w:rsidR="004E0A37" w:rsidRPr="006E43D5">
        <w:rPr>
          <w:rFonts w:hint="cs"/>
          <w:spacing w:val="0"/>
          <w:kern w:val="0"/>
          <w:sz w:val="20"/>
          <w:rtl/>
        </w:rPr>
        <w:t>يساور اللجنة القلق إزاء المعلومات التي تفيد بأن الضحايا المزعومين لسوء المعاملة على أيدي الشرطة لا يعلمون بوجود إجراءات لتقديم الشكاوى غير تلك المتمثلة في إبلاغ شكاواهم للشرطة التي ترفض، في بعض الحالات، قبول الادعاءات بسوء المعاملة من جانب الشرطة. ويساور اللجنة القلق أيضاً إزاء حالات أُبلغ فيها عن تعرض الأشخاص في أوضاع مستضعفة لسوء المعاملة، فامتنعوا عن تقديم الشكوى ضد الشرطة خوفاً من قيامها بتقديم شكاوى مضادة أو خوفاً من أشكال الأعمال الانتقامية الأخرى (المواد 12 و13 و16).</w:t>
      </w:r>
    </w:p>
    <w:p w:rsidR="004E0A37" w:rsidRPr="006E43D5" w:rsidRDefault="004E0A37" w:rsidP="006E43D5">
      <w:pPr>
        <w:pStyle w:val="SingleTxtGA"/>
        <w:jc w:val="lowKashida"/>
        <w:rPr>
          <w:rFonts w:hint="cs"/>
          <w:b/>
          <w:bCs/>
          <w:spacing w:val="0"/>
          <w:kern w:val="0"/>
          <w:sz w:val="20"/>
          <w:rtl/>
        </w:rPr>
      </w:pPr>
      <w:r w:rsidRPr="006E43D5">
        <w:rPr>
          <w:rFonts w:hint="cs"/>
          <w:b/>
          <w:bCs/>
          <w:spacing w:val="0"/>
          <w:kern w:val="0"/>
          <w:sz w:val="20"/>
          <w:rtl/>
        </w:rPr>
        <w:tab/>
        <w:t>توصي اللجنة الدولة الطرف باتخاذ التدابير المناسبة:</w:t>
      </w:r>
    </w:p>
    <w:p w:rsidR="004E0A37" w:rsidRPr="006E43D5" w:rsidRDefault="004E0A37" w:rsidP="006E43D5">
      <w:pPr>
        <w:pStyle w:val="SingleTxtGA"/>
        <w:jc w:val="lowKashida"/>
        <w:rPr>
          <w:rFonts w:hint="cs"/>
          <w:b/>
          <w:bCs/>
          <w:spacing w:val="0"/>
          <w:kern w:val="0"/>
          <w:sz w:val="20"/>
          <w:rtl/>
        </w:rPr>
      </w:pPr>
      <w:r w:rsidRPr="006E43D5">
        <w:rPr>
          <w:rFonts w:hint="cs"/>
          <w:b/>
          <w:bCs/>
          <w:spacing w:val="0"/>
          <w:kern w:val="0"/>
          <w:sz w:val="20"/>
          <w:rtl/>
        </w:rPr>
        <w:tab/>
        <w:t>(أ)</w:t>
      </w:r>
      <w:r w:rsidRPr="006E43D5">
        <w:rPr>
          <w:rFonts w:hint="cs"/>
          <w:b/>
          <w:bCs/>
          <w:spacing w:val="0"/>
          <w:kern w:val="0"/>
          <w:sz w:val="20"/>
          <w:rtl/>
        </w:rPr>
        <w:tab/>
        <w:t>لضمان إتاحة المعلومات المتعلقة بإمكانية وإجراءات تقديم الشكاوى ضد الشرطة، ونشرها على نطاق واسع، بما في ذلك من خلال عرضها في أماكن بارزة في مخافر الشرطة على مستوى الاتحاد والولايات؛</w:t>
      </w:r>
    </w:p>
    <w:p w:rsidR="004E0A37" w:rsidRPr="006E43D5" w:rsidRDefault="004E0A37" w:rsidP="006E43D5">
      <w:pPr>
        <w:pStyle w:val="SingleTxtGA"/>
        <w:jc w:val="lowKashida"/>
        <w:rPr>
          <w:rFonts w:hint="cs"/>
          <w:b/>
          <w:bCs/>
          <w:spacing w:val="0"/>
          <w:kern w:val="0"/>
          <w:sz w:val="20"/>
          <w:rtl/>
        </w:rPr>
      </w:pPr>
      <w:r w:rsidRPr="006E43D5">
        <w:rPr>
          <w:rFonts w:hint="cs"/>
          <w:b/>
          <w:bCs/>
          <w:spacing w:val="0"/>
          <w:kern w:val="0"/>
          <w:sz w:val="20"/>
          <w:rtl/>
        </w:rPr>
        <w:tab/>
        <w:t>(ب)</w:t>
      </w:r>
      <w:r w:rsidRPr="006E43D5">
        <w:rPr>
          <w:rFonts w:hint="cs"/>
          <w:b/>
          <w:bCs/>
          <w:spacing w:val="0"/>
          <w:kern w:val="0"/>
          <w:sz w:val="20"/>
          <w:rtl/>
        </w:rPr>
        <w:tab/>
        <w:t>لضمان إجراء تقييم، على النحو الواجب، لجميع الإدعاءات المتعلقة بسوء سلوك الشرطة والتحقيق فيها، بما في ذلك حالات تعريض الأشخاص الذين هم في أوضاع مستضعفة، بصفة خاصة، للتخويف أو الانتقام نتيجة الشكاوى المقدمة بسوء المعاملة من جانب الشرطة.</w:t>
      </w:r>
    </w:p>
    <w:p w:rsidR="004E0A37" w:rsidRPr="006E43D5" w:rsidRDefault="004E0A37" w:rsidP="006E43D5">
      <w:pPr>
        <w:pStyle w:val="H23GA"/>
        <w:rPr>
          <w:rFonts w:hint="cs"/>
          <w:spacing w:val="0"/>
          <w:kern w:val="0"/>
          <w:rtl/>
          <w:lang w:val="fr-CH"/>
        </w:rPr>
      </w:pPr>
      <w:r w:rsidRPr="006E43D5">
        <w:rPr>
          <w:rFonts w:hint="cs"/>
          <w:spacing w:val="0"/>
          <w:kern w:val="0"/>
          <w:rtl/>
          <w:lang w:val="fr-CH"/>
        </w:rPr>
        <w:tab/>
      </w:r>
      <w:r w:rsidRPr="006E43D5">
        <w:rPr>
          <w:rFonts w:hint="cs"/>
          <w:spacing w:val="0"/>
          <w:kern w:val="0"/>
          <w:rtl/>
          <w:lang w:val="fr-CH"/>
        </w:rPr>
        <w:tab/>
        <w:t>التحقيقات العاجلة والمستقلة والشاملة</w:t>
      </w:r>
    </w:p>
    <w:p w:rsidR="004E0A37" w:rsidRPr="006E43D5" w:rsidRDefault="0033301A" w:rsidP="006E43D5">
      <w:pPr>
        <w:pStyle w:val="SingleTxtGA"/>
        <w:jc w:val="lowKashida"/>
        <w:rPr>
          <w:rFonts w:hint="cs"/>
          <w:spacing w:val="0"/>
          <w:kern w:val="0"/>
          <w:sz w:val="20"/>
          <w:rtl/>
        </w:rPr>
      </w:pPr>
      <w:r w:rsidRPr="006E43D5">
        <w:rPr>
          <w:rFonts w:hint="cs"/>
          <w:spacing w:val="0"/>
          <w:kern w:val="0"/>
          <w:sz w:val="20"/>
          <w:rtl/>
        </w:rPr>
        <w:t>(</w:t>
      </w:r>
      <w:r w:rsidR="004E0A37" w:rsidRPr="006E43D5">
        <w:rPr>
          <w:rFonts w:hint="cs"/>
          <w:spacing w:val="0"/>
          <w:kern w:val="0"/>
          <w:sz w:val="20"/>
          <w:rtl/>
        </w:rPr>
        <w:t>19</w:t>
      </w:r>
      <w:r w:rsidR="003E72B5" w:rsidRPr="006E43D5">
        <w:rPr>
          <w:rFonts w:hint="cs"/>
          <w:spacing w:val="0"/>
          <w:kern w:val="0"/>
          <w:sz w:val="20"/>
          <w:rtl/>
        </w:rPr>
        <w:t>)</w:t>
      </w:r>
      <w:r w:rsidR="003E72B5" w:rsidRPr="006E43D5">
        <w:rPr>
          <w:rFonts w:hint="cs"/>
          <w:spacing w:val="0"/>
          <w:kern w:val="0"/>
          <w:sz w:val="20"/>
          <w:rtl/>
        </w:rPr>
        <w:tab/>
      </w:r>
      <w:r w:rsidR="004E0A37" w:rsidRPr="006E43D5">
        <w:rPr>
          <w:rFonts w:hint="cs"/>
          <w:spacing w:val="0"/>
          <w:kern w:val="0"/>
          <w:sz w:val="20"/>
          <w:rtl/>
        </w:rPr>
        <w:t>ترحب اللجنة بالمعلومات التي قدمتها الدولة الطرف بشأن التدابير التي اتخذتها الحكومة الاتحادية وحكومات الولايات لضمان سرعة ونزاهة التحقيقات في الادعاءات بارتكاب الشرطة سلوك إجرامي. ومع ذلك، يساور اللجنة القلق لأن مكاتب الادعاء العام</w:t>
      </w:r>
      <w:r w:rsidR="006E43D5">
        <w:rPr>
          <w:rFonts w:hint="eastAsia"/>
          <w:spacing w:val="0"/>
          <w:kern w:val="0"/>
          <w:sz w:val="20"/>
          <w:rtl/>
        </w:rPr>
        <w:t> </w:t>
      </w:r>
      <w:r w:rsidR="004E0A37" w:rsidRPr="006E43D5">
        <w:rPr>
          <w:rFonts w:hint="cs"/>
          <w:spacing w:val="0"/>
          <w:kern w:val="0"/>
          <w:sz w:val="20"/>
          <w:rtl/>
        </w:rPr>
        <w:t>والشرطة التي تتصرف تحت إشراف مكاتب الادعاء العام هي التي لا تزال تتولى التحقيق في المزاعم المتعلقة بارتكاب الشرطة لأفعال التعذيب وسوء المعاملة والاستخدام غير</w:t>
      </w:r>
      <w:r w:rsidR="006E43D5">
        <w:rPr>
          <w:rFonts w:hint="eastAsia"/>
          <w:spacing w:val="0"/>
          <w:kern w:val="0"/>
          <w:sz w:val="20"/>
          <w:rtl/>
        </w:rPr>
        <w:t> </w:t>
      </w:r>
      <w:r w:rsidR="004E0A37" w:rsidRPr="006E43D5">
        <w:rPr>
          <w:rFonts w:hint="cs"/>
          <w:spacing w:val="0"/>
          <w:kern w:val="0"/>
          <w:sz w:val="20"/>
          <w:rtl/>
        </w:rPr>
        <w:t xml:space="preserve">المشروع للقوة على مستوى الاتحاد. ويساور اللجنة القلق بوجه خاص إزاء الادعاءات بعدم إجراء تحقيق فوري ومستقل وشامل في الادعاءات التي أثيرت أثناء الحوار مع الدولة الطرف </w:t>
      </w:r>
      <w:r w:rsidR="00F96B1E" w:rsidRPr="006E43D5">
        <w:rPr>
          <w:rFonts w:hint="cs"/>
          <w:spacing w:val="0"/>
          <w:kern w:val="0"/>
          <w:sz w:val="20"/>
          <w:rtl/>
        </w:rPr>
        <w:t>فيما </w:t>
      </w:r>
      <w:r w:rsidR="004E0A37" w:rsidRPr="006E43D5">
        <w:rPr>
          <w:rFonts w:hint="cs"/>
          <w:spacing w:val="0"/>
          <w:kern w:val="0"/>
          <w:sz w:val="20"/>
          <w:rtl/>
        </w:rPr>
        <w:t>يتعلق بحوادث متعددة لسوء المعاملة من جانب الشرطة، لأن وحدة شرطة الاتحاد التي ينتمي إليها ضابط الشرطة المتهم كانت مسؤولة، في بعض هذه الحالات عن بعض جوانب التحقيق. ولذلك تعيد اللجنة</w:t>
      </w:r>
      <w:r w:rsidR="00DA0B1C" w:rsidRPr="006E43D5">
        <w:rPr>
          <w:rFonts w:hint="eastAsia"/>
          <w:spacing w:val="0"/>
          <w:kern w:val="0"/>
          <w:sz w:val="20"/>
          <w:rtl/>
        </w:rPr>
        <w:t> </w:t>
      </w:r>
      <w:r w:rsidR="004E0A37" w:rsidRPr="006E43D5">
        <w:rPr>
          <w:rFonts w:hint="cs"/>
          <w:spacing w:val="0"/>
          <w:kern w:val="0"/>
          <w:sz w:val="20"/>
          <w:rtl/>
        </w:rPr>
        <w:t>التأكيد على قلقها إزاء عدم إجراء تحقيق مستقل</w:t>
      </w:r>
      <w:r w:rsidR="006E43D5">
        <w:rPr>
          <w:rFonts w:hint="eastAsia"/>
          <w:spacing w:val="0"/>
          <w:kern w:val="0"/>
          <w:sz w:val="20"/>
          <w:rtl/>
        </w:rPr>
        <w:t> </w:t>
      </w:r>
      <w:r w:rsidR="004E0A37" w:rsidRPr="006E43D5">
        <w:rPr>
          <w:rFonts w:hint="cs"/>
          <w:spacing w:val="0"/>
          <w:kern w:val="0"/>
          <w:sz w:val="20"/>
          <w:rtl/>
        </w:rPr>
        <w:t>وفعال في ادعاءات سوء المعاملة، على مستوى الاتحاد، وكذلك في بعض الولايات (المواد 12 و13 و16).</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بما يلي:</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أن تتخذ جميع التدابير المناسبة على مستويي الاتحاد والولايات لضمان إجراء تحقيق في جميع ادعاءات التعذيب وسوء المعاملة من جانب الشرطة بوجه عاجل وكامل من جانب هيئات مستقلة، دون أن تكون هناك صلة مؤسسية أو متعلقة بالتسلسل الهرمي، بين المحققين والجناة المزعومين من بين الشرطة؛</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وأن تزود اللجنة بتعليقاتها بشأن الحالات المحددة لسوء المعاملة من جانب الشرطة التي أثيرت أثناء الحوار مع الدولة الطرف.</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حاملو صفات الجنسين</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20</w:t>
      </w:r>
      <w:r w:rsidR="003E72B5">
        <w:rPr>
          <w:rFonts w:hint="cs"/>
          <w:spacing w:val="0"/>
          <w:sz w:val="20"/>
          <w:rtl/>
        </w:rPr>
        <w:t>)</w:t>
      </w:r>
      <w:r w:rsidR="003E72B5">
        <w:rPr>
          <w:rFonts w:hint="cs"/>
          <w:spacing w:val="0"/>
          <w:sz w:val="20"/>
          <w:rtl/>
        </w:rPr>
        <w:tab/>
      </w:r>
      <w:r w:rsidR="004E0A37" w:rsidRPr="004E0A37">
        <w:rPr>
          <w:rFonts w:hint="cs"/>
          <w:spacing w:val="0"/>
          <w:sz w:val="20"/>
          <w:rtl/>
        </w:rPr>
        <w:t>تأخذ اللجنة</w:t>
      </w:r>
      <w:r w:rsidR="003833F8">
        <w:rPr>
          <w:rFonts w:hint="cs"/>
          <w:spacing w:val="0"/>
          <w:sz w:val="20"/>
          <w:rtl/>
        </w:rPr>
        <w:t xml:space="preserve"> علماً </w:t>
      </w:r>
      <w:r w:rsidR="004E0A37" w:rsidRPr="004E0A37">
        <w:rPr>
          <w:rFonts w:hint="cs"/>
          <w:spacing w:val="0"/>
          <w:sz w:val="20"/>
          <w:rtl/>
        </w:rPr>
        <w:t>بالمعلومات المقدمة أثناء الحوار والتي تفيد بأن مجلس الشؤون الأخلاقية تعهد بمراجعة الممارسات المبلغ عنها المتعلقة بالتغييرات الروتينية التي تتم من خلال عمليات جراحية للأطفال الذين يولدون بأعضاء تناسلية لا يمكن تصنيفها فوراً بأنها ذكرية أو</w:t>
      </w:r>
      <w:r w:rsidR="004E0A37" w:rsidRPr="004E0A37">
        <w:rPr>
          <w:rFonts w:hint="eastAsia"/>
          <w:spacing w:val="0"/>
          <w:sz w:val="20"/>
          <w:rtl/>
        </w:rPr>
        <w:t> </w:t>
      </w:r>
      <w:r w:rsidR="004E0A37" w:rsidRPr="004E0A37">
        <w:rPr>
          <w:rFonts w:hint="cs"/>
          <w:spacing w:val="0"/>
          <w:sz w:val="20"/>
          <w:rtl/>
        </w:rPr>
        <w:t>أنثوية، والذين يطلق عليهم أيضاً اسم حاملي صفات الجنسين، بهدف تقييم وتغيير الممارسة الراهنة إن أمكن. ومع ذلك، لا تزال اللجنة تشعر بالقلق إزاء الحالات التي يتم فيها إزالة الغدد التناسلية وإجراء عمليات جراحية تجميلية للأعضاء التناسلية، تتطلب تناول أدوية هرمونية مدى الحياة، دون الحصول على موافقة فعلية مستنيرة من الأفراد المعنيين أو</w:t>
      </w:r>
      <w:r w:rsidR="004E0A37" w:rsidRPr="004E0A37">
        <w:rPr>
          <w:rFonts w:hint="eastAsia"/>
          <w:spacing w:val="0"/>
          <w:sz w:val="20"/>
          <w:rtl/>
        </w:rPr>
        <w:t> </w:t>
      </w:r>
      <w:r w:rsidR="004E0A37" w:rsidRPr="004E0A37">
        <w:rPr>
          <w:rFonts w:hint="cs"/>
          <w:spacing w:val="0"/>
          <w:sz w:val="20"/>
          <w:rtl/>
        </w:rPr>
        <w:t>الأوصياء عليهم القانونيين، ودون إجراء تحقيقات أو اتخاذ تدابير لجبر الضرر. ولا تزال اللجنة تشعر بمزيد من القلق إزاء انعدام الأحكام القانونية التي تنص على الجبر والتعويض في هذه الحالات (المواد 2 و10 و12 و14 و16).</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 xml:space="preserve">توصي اللجنة الدولة الطرف بما يلي: </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ضمان التطبيق الفعال للمعايير القانونية والطبية</w:t>
      </w:r>
      <w:r w:rsidR="00B345DB" w:rsidRPr="00417A5B">
        <w:rPr>
          <w:rFonts w:hint="cs"/>
          <w:b/>
          <w:bCs/>
          <w:spacing w:val="0"/>
          <w:sz w:val="20"/>
          <w:rtl/>
        </w:rPr>
        <w:t xml:space="preserve"> وفقاً </w:t>
      </w:r>
      <w:r w:rsidRPr="00417A5B">
        <w:rPr>
          <w:rFonts w:hint="cs"/>
          <w:b/>
          <w:bCs/>
          <w:spacing w:val="0"/>
          <w:sz w:val="20"/>
          <w:rtl/>
        </w:rPr>
        <w:t>لأفضل الممارسات المتبعة لمنح الموافقة المستنيرة على العلاج الطبي والجراحي للأشخاص الحاملين لصفات الجنسين، بما في ذلك تقديم المعلومات الكاملة الشفوية والمكتوبة بشأن العلاج المقترح، وتبريره وبدائله؛</w:t>
      </w:r>
    </w:p>
    <w:p w:rsidR="004E0A37" w:rsidRPr="00417A5B" w:rsidRDefault="004E0A37" w:rsidP="00417A5B">
      <w:pPr>
        <w:pStyle w:val="SingleTxtGA"/>
        <w:spacing w:line="360" w:lineRule="exact"/>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وإجراء تحقيق في حالات العلاج الجراحي أو غيره من أشكال العلاج الطبي للأشخاص الحاملين لصفات الجنسين التي تمت دون موافقة فعلية واعتماد أحكام قانونية بغية تقديم الجبر لضحايا هذه المعاملة بما في ذلك التعويض المناسب؛</w:t>
      </w:r>
    </w:p>
    <w:p w:rsidR="004E0A37" w:rsidRPr="00417A5B" w:rsidRDefault="004E0A37" w:rsidP="00417A5B">
      <w:pPr>
        <w:pStyle w:val="SingleTxtGA"/>
        <w:spacing w:line="360" w:lineRule="exact"/>
        <w:jc w:val="lowKashida"/>
        <w:rPr>
          <w:rFonts w:hint="cs"/>
          <w:b/>
          <w:bCs/>
          <w:spacing w:val="0"/>
          <w:sz w:val="20"/>
          <w:rtl/>
        </w:rPr>
      </w:pPr>
      <w:r w:rsidRPr="00417A5B">
        <w:rPr>
          <w:rFonts w:hint="cs"/>
          <w:b/>
          <w:bCs/>
          <w:spacing w:val="0"/>
          <w:sz w:val="20"/>
          <w:rtl/>
        </w:rPr>
        <w:tab/>
        <w:t>(ج)</w:t>
      </w:r>
      <w:r w:rsidRPr="00417A5B">
        <w:rPr>
          <w:rFonts w:hint="cs"/>
          <w:b/>
          <w:bCs/>
          <w:spacing w:val="0"/>
          <w:sz w:val="20"/>
          <w:rtl/>
        </w:rPr>
        <w:tab/>
        <w:t>وتثقيف وتدريب الموظفين الطبيين والنفسانيين على نطاق التنوع الجنسي وما يتصل به من صفات بيولوجية وبدنية؛</w:t>
      </w:r>
    </w:p>
    <w:p w:rsidR="004E0A37" w:rsidRPr="00417A5B" w:rsidRDefault="004E0A37" w:rsidP="00417A5B">
      <w:pPr>
        <w:pStyle w:val="SingleTxtGA"/>
        <w:spacing w:line="360" w:lineRule="exact"/>
        <w:jc w:val="lowKashida"/>
        <w:rPr>
          <w:rFonts w:hint="cs"/>
          <w:b/>
          <w:bCs/>
          <w:spacing w:val="0"/>
          <w:sz w:val="20"/>
          <w:rtl/>
        </w:rPr>
      </w:pPr>
      <w:r w:rsidRPr="00417A5B">
        <w:rPr>
          <w:rFonts w:hint="cs"/>
          <w:b/>
          <w:bCs/>
          <w:spacing w:val="0"/>
          <w:sz w:val="20"/>
          <w:rtl/>
        </w:rPr>
        <w:tab/>
        <w:t>(د)</w:t>
      </w:r>
      <w:r w:rsidRPr="00417A5B">
        <w:rPr>
          <w:rFonts w:hint="cs"/>
          <w:b/>
          <w:bCs/>
          <w:spacing w:val="0"/>
          <w:sz w:val="20"/>
          <w:rtl/>
        </w:rPr>
        <w:tab/>
        <w:t>وإعلام المرضى ووالديهم على النحو الصحيح بالنتائج المترتبة على إجراء عمليات جراحية غير ضرورية للأشخاص الحاملين لصفات الجنسين وغيرها من أشكال التدخل الطبي.</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اللاجئون والحماية الدولية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21</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تأخذ اللجنة</w:t>
      </w:r>
      <w:r w:rsidR="003833F8">
        <w:rPr>
          <w:rFonts w:hint="cs"/>
          <w:spacing w:val="0"/>
          <w:sz w:val="20"/>
          <w:rtl/>
        </w:rPr>
        <w:t xml:space="preserve"> علماً </w:t>
      </w:r>
      <w:r w:rsidR="004E0A37" w:rsidRPr="004E0A37">
        <w:rPr>
          <w:rFonts w:hint="cs"/>
          <w:spacing w:val="0"/>
          <w:sz w:val="20"/>
          <w:rtl/>
        </w:rPr>
        <w:t>بتعليق عمليات الإعادة إلى اليونان، بموجب لائحة دبلن الثانية، بسبب ظروف الاستقبال الصعبة، تلاحظ مع القلق أن تعليق عمليات الإعادة الحالية المقرر وقف العمل به في 12 كانون الثاني/يناير 2012، قد ينتهي قبل تحسين شروط الاستقبال في اليونان (المادة 3).</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تشجع اللجنة الدولة الطرف على تمديد فترة وقف إعادة ملتمسي اللجوء بشكل قسري إلى اليونان في كانون الثاني/يناير 2012، ريثما تتحسن الأوضاع في بلد العودة بشكل ملحوظ.</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22</w:t>
      </w:r>
      <w:r w:rsidR="003E72B5">
        <w:rPr>
          <w:rFonts w:hint="cs"/>
          <w:spacing w:val="0"/>
          <w:sz w:val="20"/>
          <w:rtl/>
        </w:rPr>
        <w:t>)</w:t>
      </w:r>
      <w:r w:rsidR="003E72B5">
        <w:rPr>
          <w:rFonts w:hint="cs"/>
          <w:spacing w:val="0"/>
          <w:sz w:val="20"/>
          <w:rtl/>
        </w:rPr>
        <w:tab/>
      </w:r>
      <w:r w:rsidR="004E0A37" w:rsidRPr="004E0A37">
        <w:rPr>
          <w:rFonts w:hint="cs"/>
          <w:spacing w:val="0"/>
          <w:sz w:val="20"/>
          <w:rtl/>
        </w:rPr>
        <w:t>بينما تلاحظ اللجنة أن طلبات التماس اللجوء بموجب لائحة دبلن الثانية قابلة للطعن، يساورها القلق لأن الفقرة 2 من المادة</w:t>
      </w:r>
      <w:r w:rsidR="004E0A37" w:rsidRPr="004E0A37">
        <w:rPr>
          <w:rFonts w:hint="eastAsia"/>
          <w:spacing w:val="0"/>
          <w:sz w:val="20"/>
          <w:rtl/>
        </w:rPr>
        <w:t> </w:t>
      </w:r>
      <w:r w:rsidR="004E0A37" w:rsidRPr="004E0A37">
        <w:rPr>
          <w:rFonts w:hint="cs"/>
          <w:spacing w:val="0"/>
          <w:sz w:val="20"/>
          <w:rtl/>
        </w:rPr>
        <w:t>34(أ) من القانون الألماني لإجراءات اللجوء، تنص على أن تقديم الطعن ليس له أثر إيقافي على تنفيذ القرارات المطعون فيها (المادة</w:t>
      </w:r>
      <w:r w:rsidR="004E0A37" w:rsidRPr="004E0A37">
        <w:rPr>
          <w:rFonts w:hint="eastAsia"/>
          <w:spacing w:val="0"/>
          <w:sz w:val="20"/>
          <w:rtl/>
        </w:rPr>
        <w:t> </w:t>
      </w:r>
      <w:r w:rsidR="004E0A37" w:rsidRPr="004E0A37">
        <w:rPr>
          <w:rFonts w:hint="cs"/>
          <w:spacing w:val="0"/>
          <w:sz w:val="20"/>
          <w:rtl/>
        </w:rPr>
        <w:t>3).</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أيضاً بإلغاء الأحكام القانونية من قانون إجراءات اللجوء التي تستبعد الأثر الإيقافي للطعن في قرار بنقل ملتمس اللجوء إلى دولة أخرى مشتركة في نظام دبلن.</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4E0A37" w:rsidRPr="004E0A37">
        <w:rPr>
          <w:rFonts w:hint="cs"/>
          <w:spacing w:val="0"/>
          <w:sz w:val="20"/>
          <w:rtl/>
        </w:rPr>
        <w:t>وتأخذ اللجنة</w:t>
      </w:r>
      <w:r w:rsidR="003833F8">
        <w:rPr>
          <w:rFonts w:hint="cs"/>
          <w:spacing w:val="0"/>
          <w:sz w:val="20"/>
          <w:rtl/>
        </w:rPr>
        <w:t xml:space="preserve"> علماً </w:t>
      </w:r>
      <w:r w:rsidR="004E0A37" w:rsidRPr="004E0A37">
        <w:rPr>
          <w:rFonts w:hint="cs"/>
          <w:spacing w:val="0"/>
          <w:sz w:val="20"/>
          <w:rtl/>
        </w:rPr>
        <w:t>بعدم تقديم مشورة إجرائية إلى ملتمسي اللجوء قبل أن تعقد السلطات المعنية باللجوء جلسة استماع معهم، ولأنه لا يتم تحمل تكاليف المساعدة القانونية للحصول على محامي في حالات الطعن في قرارات الرفض إلا إذا كان من المرجح أن تنجح دعوى الاستئناف</w:t>
      </w:r>
      <w:r w:rsidR="00B345DB">
        <w:rPr>
          <w:rFonts w:hint="cs"/>
          <w:spacing w:val="0"/>
          <w:sz w:val="20"/>
          <w:rtl/>
        </w:rPr>
        <w:t xml:space="preserve"> وفقاً </w:t>
      </w:r>
      <w:r w:rsidR="004E0A37" w:rsidRPr="004E0A37">
        <w:rPr>
          <w:rFonts w:hint="cs"/>
          <w:spacing w:val="0"/>
          <w:sz w:val="20"/>
          <w:rtl/>
        </w:rPr>
        <w:t>للتقييم الموجز الذي تجريه المحكمة (المواد 3 و11 و16).</w:t>
      </w:r>
    </w:p>
    <w:p w:rsidR="004E0A37" w:rsidRPr="00417A5B" w:rsidRDefault="004E0A37" w:rsidP="00417A5B">
      <w:pPr>
        <w:pStyle w:val="SingleTxtGA"/>
        <w:spacing w:line="360" w:lineRule="exact"/>
        <w:jc w:val="lowKashida"/>
        <w:rPr>
          <w:rFonts w:hint="cs"/>
          <w:b/>
          <w:bCs/>
          <w:spacing w:val="0"/>
          <w:sz w:val="20"/>
          <w:rtl/>
        </w:rPr>
      </w:pPr>
      <w:r w:rsidRPr="00417A5B">
        <w:rPr>
          <w:rFonts w:hint="cs"/>
          <w:b/>
          <w:bCs/>
          <w:spacing w:val="0"/>
          <w:sz w:val="20"/>
          <w:rtl/>
        </w:rPr>
        <w:tab/>
        <w:t>تدعو اللجنة الدولة الطرف إلى ضمان حصول ملتمسي اللجوء على مشورة إجرائية مستقلة تقدمها جهة مؤهلة وبشكل مجاني، قبل أن تعقد السلطات المعنية باللجوء جلسة استماع مع مقدم طلب اللجوء، وإلى ضمان وصول ملتمسي اللجوء المحتاجين، إلى المساعدة القانونية، بعد صدور قرار الرفض، ما دام لا يوجد ما يثبت انعدام فرص سبل الانتصاف في</w:t>
      </w:r>
      <w:r w:rsidR="00E25E42" w:rsidRPr="00417A5B">
        <w:rPr>
          <w:rFonts w:hint="eastAsia"/>
          <w:b/>
          <w:bCs/>
          <w:spacing w:val="0"/>
          <w:sz w:val="20"/>
          <w:rtl/>
        </w:rPr>
        <w:t> </w:t>
      </w:r>
      <w:r w:rsidRPr="00417A5B">
        <w:rPr>
          <w:rFonts w:hint="cs"/>
          <w:b/>
          <w:bCs/>
          <w:spacing w:val="0"/>
          <w:sz w:val="20"/>
          <w:rtl/>
        </w:rPr>
        <w:t xml:space="preserve">النجاح. </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الاحتجاز بانتظار الترحيل</w:t>
      </w:r>
    </w:p>
    <w:p w:rsidR="004E0A37" w:rsidRPr="00417A5B" w:rsidRDefault="0033301A" w:rsidP="004E0A37">
      <w:pPr>
        <w:pStyle w:val="SingleTxtGA"/>
        <w:jc w:val="lowKashida"/>
        <w:rPr>
          <w:rFonts w:hint="cs"/>
          <w:spacing w:val="-2"/>
          <w:sz w:val="20"/>
          <w:rtl/>
        </w:rPr>
      </w:pPr>
      <w:r w:rsidRPr="00417A5B">
        <w:rPr>
          <w:rFonts w:hint="cs"/>
          <w:spacing w:val="-2"/>
          <w:sz w:val="20"/>
          <w:rtl/>
        </w:rPr>
        <w:t>(</w:t>
      </w:r>
      <w:r w:rsidR="004E0A37" w:rsidRPr="00417A5B">
        <w:rPr>
          <w:rFonts w:hint="cs"/>
          <w:spacing w:val="-2"/>
          <w:sz w:val="20"/>
          <w:rtl/>
        </w:rPr>
        <w:t>24</w:t>
      </w:r>
      <w:r w:rsidR="003E72B5" w:rsidRPr="00417A5B">
        <w:rPr>
          <w:rFonts w:hint="cs"/>
          <w:spacing w:val="-2"/>
          <w:sz w:val="20"/>
          <w:rtl/>
        </w:rPr>
        <w:t>)</w:t>
      </w:r>
      <w:r w:rsidR="003E72B5" w:rsidRPr="00417A5B">
        <w:rPr>
          <w:rFonts w:hint="cs"/>
          <w:spacing w:val="-2"/>
          <w:sz w:val="20"/>
          <w:rtl/>
        </w:rPr>
        <w:tab/>
      </w:r>
      <w:r w:rsidR="004E0A37" w:rsidRPr="00417A5B">
        <w:rPr>
          <w:rFonts w:hint="cs"/>
          <w:spacing w:val="-2"/>
          <w:sz w:val="20"/>
          <w:rtl/>
        </w:rPr>
        <w:t xml:space="preserve">تلاحظ اللجنة انخفاض أعداد المواطنين الأجانب ومدة احتجازهم. ومع ذلك، يساورها القلق إزاء المعلومات التي تفيد بمواصلة إيواء عدة آلاف من ملتمسي اللجوء الذين رُفضت طلباتهم والأغلبية العظمى من الأطراف في "قضايا دبلن" في مرافق احتجاز في الولايات وذلك بعد وصولهم مباشرة، وأحياناً لفترات طويلة من الزمن. وهذه الممارسة تخالف المبدأ التوجيهي </w:t>
      </w:r>
      <w:r w:rsidR="004E0A37" w:rsidRPr="00417A5B">
        <w:rPr>
          <w:spacing w:val="-2"/>
          <w:sz w:val="20"/>
        </w:rPr>
        <w:t>2008/115/EC</w:t>
      </w:r>
      <w:r w:rsidR="004E0A37" w:rsidRPr="00417A5B">
        <w:rPr>
          <w:rFonts w:hint="cs"/>
          <w:spacing w:val="-2"/>
          <w:sz w:val="20"/>
          <w:rtl/>
        </w:rPr>
        <w:t xml:space="preserve"> للبرلمان الأوروبي ومجلس الاتحاد الأوروبي بشأن المعايير والإجراءات المشتركة المطبَّقة في الدول الأعضاء </w:t>
      </w:r>
      <w:r w:rsidR="00F96B1E" w:rsidRPr="00417A5B">
        <w:rPr>
          <w:rFonts w:hint="cs"/>
          <w:spacing w:val="-2"/>
          <w:sz w:val="20"/>
          <w:rtl/>
        </w:rPr>
        <w:t>فيما </w:t>
      </w:r>
      <w:r w:rsidR="004E0A37" w:rsidRPr="00417A5B">
        <w:rPr>
          <w:rFonts w:hint="cs"/>
          <w:spacing w:val="-2"/>
          <w:sz w:val="20"/>
          <w:rtl/>
        </w:rPr>
        <w:t>يتعلق بإعادة مواطني البلدان الأخرى المقيمين بصورة غير شرعية في الاتحاد، التي تنظم الاحتجاز بانتظار الترحيل كملاذ أخير. ويساور اللجنة القلق بصفة خاصة إزاء عدم وجود إجراء في عدد من الولايات للتعرف على ملتمسي اللجوء المستضعفين مثل اللاجئين الذين واجهوا صدمات أو القُصر غير المصحوبين، بسبب انعدام الفحوص الطبية الإلزامية حال وصولهم إلى أماكن الاحتجاز، باستثناء الفحوص الطبية المتعلقة بمرض السل والفحوص الطبية المنتظمة المتعلقة بالأمراض العقلية أو بالصدمات. ويساور اللجنة مزيد من القلق إزاء عدم توفير أماكن إقامة لائقة لملتمسي اللجوء المحتجزين، في أماكن معزولة عن السجناء المحكوم عليهم، ولا سيما النساء المنتظرات للترحيل (المادتان</w:t>
      </w:r>
      <w:r w:rsidR="004E0A37" w:rsidRPr="00417A5B">
        <w:rPr>
          <w:rFonts w:hint="eastAsia"/>
          <w:spacing w:val="-2"/>
          <w:sz w:val="20"/>
          <w:rtl/>
        </w:rPr>
        <w:t> </w:t>
      </w:r>
      <w:r w:rsidR="004E0A37" w:rsidRPr="00417A5B">
        <w:rPr>
          <w:rFonts w:hint="cs"/>
          <w:spacing w:val="-2"/>
          <w:sz w:val="20"/>
          <w:rtl/>
        </w:rPr>
        <w:t>11 و16).</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تحث اللجنة الدولة الطرف على ما يلي:</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 xml:space="preserve">الحد من عدد ملتمسي اللجوء المحتجزين بمن فيهم أولئك الذين هم أطراف في "قضايا دبلن" ومدة احتجازهم بانتظار العودة، مع مراعاة المبدأ التوجيهي للاتحاد الأوروبي </w:t>
      </w:r>
      <w:r w:rsidRPr="00417A5B">
        <w:rPr>
          <w:b/>
          <w:bCs/>
          <w:spacing w:val="0"/>
          <w:sz w:val="20"/>
        </w:rPr>
        <w:t>2008/115/EC</w:t>
      </w:r>
      <w:r w:rsidRPr="00417A5B">
        <w:rPr>
          <w:rFonts w:hint="cs"/>
          <w:b/>
          <w:bCs/>
          <w:spacing w:val="0"/>
          <w:sz w:val="20"/>
          <w:rtl/>
        </w:rPr>
        <w:t>؛</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وضمان إخضاع جميع ملتمسي اللجوء، بما في ذلك الأطراف في "قضايا دبلن"، عند وصولهم إلى أماكن الاحتجاز في جميع الولايات، لفحوص طبية إلزامية ومنتظمة للكشف عن الأمراض العقلية أو التعرض للصدمات يقوم بها مهنيون صحيون مستقلون ومؤهلون؛</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(ج)</w:t>
      </w:r>
      <w:r w:rsidRPr="00417A5B">
        <w:rPr>
          <w:rFonts w:hint="cs"/>
          <w:b/>
          <w:bCs/>
          <w:spacing w:val="0"/>
          <w:sz w:val="20"/>
          <w:rtl/>
        </w:rPr>
        <w:tab/>
        <w:t>وتوفير الفحص الطبي والنفسي وتقديم التقارير من جانب خبير صحي مستقل مدرب خصيصاً لهذا الغرض، عند اكتشاف علامات التعذيب أو التعرض للصدمات أثناء المقابلات الشخصية التي تجريها السلطات المعنية باللجوء؛</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(د)</w:t>
      </w:r>
      <w:r w:rsidRPr="00417A5B">
        <w:rPr>
          <w:rFonts w:hint="cs"/>
          <w:b/>
          <w:bCs/>
          <w:spacing w:val="0"/>
          <w:sz w:val="20"/>
          <w:rtl/>
        </w:rPr>
        <w:tab/>
        <w:t>وتوفير أماكن إقامة لائقة لملتمسي اللجوء المحتجزين، بشكل معزول عن السجناء المحكوم عليهم في جميع مرافق الاحتجاز، ولا سيما للنساء المنتظرات للترحيل.</w:t>
      </w:r>
    </w:p>
    <w:p w:rsidR="004E0A37" w:rsidRPr="004E0A37" w:rsidRDefault="004E0A37" w:rsidP="00E25E42">
      <w:pPr>
        <w:pStyle w:val="H23GA"/>
        <w:rPr>
          <w:rFonts w:hint="cs"/>
          <w:rtl/>
        </w:rPr>
      </w:pPr>
      <w:r w:rsidRPr="004E0A37">
        <w:rPr>
          <w:rFonts w:hint="cs"/>
          <w:rtl/>
        </w:rPr>
        <w:tab/>
      </w:r>
      <w:r w:rsidRPr="004E0A37">
        <w:rPr>
          <w:rFonts w:hint="cs"/>
          <w:rtl/>
        </w:rPr>
        <w:tab/>
        <w:t>الضمانات الدبلوماسية</w:t>
      </w:r>
    </w:p>
    <w:p w:rsidR="004E0A37" w:rsidRPr="004E0A37" w:rsidRDefault="0033301A" w:rsidP="002E2361">
      <w:pPr>
        <w:pStyle w:val="SingleTxtGA"/>
        <w:jc w:val="lowKashida"/>
        <w:rPr>
          <w:rFonts w:hint="cs"/>
          <w:spacing w:val="0"/>
          <w:sz w:val="20"/>
          <w:rtl/>
        </w:rPr>
      </w:pPr>
      <w:r>
        <w:rPr>
          <w:rFonts w:hint="cs"/>
          <w:spacing w:val="0"/>
          <w:sz w:val="20"/>
          <w:rtl/>
        </w:rPr>
        <w:t>(</w:t>
      </w:r>
      <w:r w:rsidR="004E0A37" w:rsidRPr="004E0A37">
        <w:rPr>
          <w:rFonts w:hint="cs"/>
          <w:spacing w:val="0"/>
          <w:sz w:val="20"/>
          <w:rtl/>
        </w:rPr>
        <w:t>25</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حكم المحكمة الإدارية لدوسيلدورف الصادر في آذار/مارس 2009، والذي أيدته المحكمة الإدارية العليا لشمال الراين - ويستفاليا في أيار/مايو 2010 في قضية رجل تونسي اعتبرت حكومة ألمانيا أنه يهدد الأمن القومي ولم يتسن ترحيله إلى تونس على الرغم من تقديم ضمانات دبلوماسية لأن الضمانات الدبلوماسية اعتبرت "غير ملزمة قانوناً</w:t>
      </w:r>
      <w:r w:rsidR="004E0A37" w:rsidRPr="004E0A37">
        <w:rPr>
          <w:rFonts w:hint="eastAsia"/>
          <w:spacing w:val="0"/>
          <w:sz w:val="20"/>
          <w:rtl/>
        </w:rPr>
        <w:t> </w:t>
      </w:r>
      <w:r w:rsidR="004E0A37" w:rsidRPr="004E0A37">
        <w:rPr>
          <w:rFonts w:hint="cs"/>
          <w:spacing w:val="0"/>
          <w:sz w:val="20"/>
          <w:rtl/>
        </w:rPr>
        <w:t xml:space="preserve">... ومن الصعب، بطبيعة الحال، الوثوق فيها أو التحقق منها". وتلاحظ اللجنة أيضاً ممارسة المحاكم الإقليمية العليا </w:t>
      </w:r>
      <w:r w:rsidR="00F96B1E">
        <w:rPr>
          <w:rFonts w:hint="cs"/>
          <w:spacing w:val="0"/>
          <w:sz w:val="20"/>
          <w:rtl/>
        </w:rPr>
        <w:t>فيما </w:t>
      </w:r>
      <w:r w:rsidR="004E0A37" w:rsidRPr="004E0A37">
        <w:rPr>
          <w:rFonts w:hint="cs"/>
          <w:spacing w:val="0"/>
          <w:sz w:val="20"/>
          <w:rtl/>
        </w:rPr>
        <w:t>يتعلق بتقييم طلبات التسليم في ضوء جميع المعلومات المتاحة، بما في ذلك حالات التعذيب وسوء المعاملة. وتأخذ اللجنة</w:t>
      </w:r>
      <w:r w:rsidR="003833F8">
        <w:rPr>
          <w:rFonts w:hint="cs"/>
          <w:spacing w:val="0"/>
          <w:sz w:val="20"/>
          <w:rtl/>
        </w:rPr>
        <w:t xml:space="preserve"> علماً </w:t>
      </w:r>
      <w:r w:rsidR="004E0A37" w:rsidRPr="004E0A37">
        <w:rPr>
          <w:rFonts w:hint="cs"/>
          <w:spacing w:val="0"/>
          <w:sz w:val="20"/>
          <w:rtl/>
        </w:rPr>
        <w:t>أيضاً بتأكيد الدولة الطرف على أنها</w:t>
      </w:r>
      <w:r w:rsidR="00335AC0">
        <w:rPr>
          <w:rFonts w:hint="cs"/>
          <w:spacing w:val="0"/>
          <w:sz w:val="20"/>
          <w:rtl/>
        </w:rPr>
        <w:t xml:space="preserve"> لم </w:t>
      </w:r>
      <w:r w:rsidR="004E0A37" w:rsidRPr="004E0A37">
        <w:rPr>
          <w:rFonts w:hint="cs"/>
          <w:spacing w:val="0"/>
          <w:sz w:val="20"/>
          <w:rtl/>
        </w:rPr>
        <w:t>تقبل أية ضمانات دبلوماسية منذ عام 2007؛ ومع ذلك فإنه</w:t>
      </w:r>
      <w:r w:rsidR="00B345DB">
        <w:rPr>
          <w:rFonts w:hint="cs"/>
          <w:spacing w:val="0"/>
          <w:sz w:val="20"/>
          <w:rtl/>
        </w:rPr>
        <w:t xml:space="preserve"> وفقاً </w:t>
      </w:r>
      <w:r w:rsidR="004E0A37" w:rsidRPr="004E0A37">
        <w:rPr>
          <w:rFonts w:hint="cs"/>
          <w:spacing w:val="0"/>
          <w:sz w:val="20"/>
          <w:rtl/>
        </w:rPr>
        <w:t>للدولة الطرف، "لا تزال إمكانية قبول ضمانات دبلوماسية في حالات التسليم قائمة في حالات ملائمة واستثنائية، ولا سيما إذا كان خطر التعرض للتعذيب أو سوء المعاملة لا يتخذ سوى طابع عام". ويساور اللجنة القلق أيضاً إزاء التقارير التي تفيد بأن اللوائح التي تنفذ قانون الإقامة الرامي إلى الحد من دخول الأجانب وإقامتهم وعملهم في ألمانيا تنص على استخدام الضمانات الدبلوماسية في حالات الترحيل في إطار الأمن القومي التي تقوم بها وزارة الداخلية الاتحادية، وكذلك إزاء انعدام المعلومات المحدثة عما إذا كانت الضمانات الدبلوماسية قد طبقت في هذا السياق (المادتان 3 و14).</w:t>
      </w:r>
    </w:p>
    <w:p w:rsidR="004E0A37" w:rsidRPr="00417A5B" w:rsidRDefault="004E0A37" w:rsidP="002E2361">
      <w:pPr>
        <w:pStyle w:val="SingleTxtGA"/>
        <w:jc w:val="lowKashida"/>
        <w:rPr>
          <w:rFonts w:hint="cs"/>
          <w:b/>
          <w:bCs/>
          <w:spacing w:val="-3"/>
          <w:sz w:val="20"/>
          <w:rtl/>
        </w:rPr>
      </w:pPr>
      <w:r w:rsidRPr="00417A5B">
        <w:rPr>
          <w:rFonts w:hint="cs"/>
          <w:b/>
          <w:bCs/>
          <w:spacing w:val="-3"/>
          <w:sz w:val="20"/>
          <w:rtl/>
        </w:rPr>
        <w:tab/>
        <w:t>توصي اللجنة الدولة الطرف بالعدول عن التماس وقبول الضمانات الدبلوماسية، وذلك في كل من سياق التسليم والترحيل، من الدولة التي يوجد فيها من الأسس الموضوعية</w:t>
      </w:r>
      <w:r w:rsidR="00417A5B">
        <w:rPr>
          <w:rFonts w:hint="eastAsia"/>
          <w:b/>
          <w:bCs/>
          <w:spacing w:val="-3"/>
          <w:sz w:val="20"/>
          <w:rtl/>
        </w:rPr>
        <w:t> </w:t>
      </w:r>
      <w:r w:rsidRPr="00417A5B">
        <w:rPr>
          <w:rFonts w:hint="cs"/>
          <w:b/>
          <w:bCs/>
          <w:spacing w:val="-3"/>
          <w:sz w:val="20"/>
          <w:rtl/>
        </w:rPr>
        <w:t xml:space="preserve">ما يدعو إلى الاعتقاد بأن الشخص قد يتعرض لخطر التعذيب أو سوء المعاملة عند عودته إلى الدولة المعنية، لأن مثل هذه الضمانات قد لا تكفل عدم تعرض ذلك الشخص للتعذيب أو سوء المعاملة في حال عودته، وذلك حتى في وجود آليات الرصد بعد العودة. </w:t>
      </w:r>
    </w:p>
    <w:p w:rsidR="004E0A37" w:rsidRPr="004E0A37" w:rsidRDefault="004E0A37" w:rsidP="002E2361">
      <w:pPr>
        <w:pStyle w:val="H23GA"/>
        <w:rPr>
          <w:rFonts w:hint="cs"/>
          <w:rtl/>
        </w:rPr>
      </w:pPr>
      <w:r w:rsidRPr="004E0A37">
        <w:rPr>
          <w:rFonts w:hint="cs"/>
          <w:rtl/>
        </w:rPr>
        <w:tab/>
      </w:r>
      <w:r w:rsidRPr="004E0A37">
        <w:rPr>
          <w:rFonts w:hint="cs"/>
          <w:rtl/>
        </w:rPr>
        <w:tab/>
        <w:t>الاحتجاز السري وعمليات التسليم الاستثنائي</w:t>
      </w:r>
    </w:p>
    <w:p w:rsidR="004E0A37" w:rsidRPr="004E0A37" w:rsidRDefault="0033301A" w:rsidP="002E2361">
      <w:pPr>
        <w:pStyle w:val="SingleTxtGA"/>
        <w:jc w:val="lowKashida"/>
        <w:rPr>
          <w:rFonts w:hint="cs"/>
          <w:spacing w:val="0"/>
          <w:sz w:val="20"/>
          <w:rtl/>
        </w:rPr>
      </w:pPr>
      <w:r>
        <w:rPr>
          <w:rFonts w:hint="cs"/>
          <w:spacing w:val="0"/>
          <w:sz w:val="20"/>
          <w:rtl/>
        </w:rPr>
        <w:t>(</w:t>
      </w:r>
      <w:r w:rsidR="004E0A37" w:rsidRPr="004E0A37">
        <w:rPr>
          <w:rFonts w:hint="cs"/>
          <w:spacing w:val="0"/>
          <w:sz w:val="20"/>
          <w:rtl/>
        </w:rPr>
        <w:t>26</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ترحب اللجنة باعتماد قانون جديد بشأن الرقابة البرلمانية على أجهزة الاستخبارات الذي صدر بعد التحقيق البرلماني لعام 2009 في المشاركة المزعومة للدولة الطرف في عمليات التسليم الاستثنائي والاحتجاز السري لإرهابيين مشتبه فيهم. ومع ذلك، تلاحظ مع القلق انعدام الوضوح </w:t>
      </w:r>
      <w:r w:rsidR="00F96B1E">
        <w:rPr>
          <w:rFonts w:hint="cs"/>
          <w:spacing w:val="0"/>
          <w:sz w:val="20"/>
          <w:rtl/>
        </w:rPr>
        <w:t>فيما </w:t>
      </w:r>
      <w:r w:rsidR="004E0A37" w:rsidRPr="004E0A37">
        <w:rPr>
          <w:rFonts w:hint="cs"/>
          <w:spacing w:val="0"/>
          <w:sz w:val="20"/>
          <w:rtl/>
        </w:rPr>
        <w:t>يتعلق بتنفيذ الحكومة الاتحادية لتوصيات لجنة التحقيق البرلمانية. وتلاحظ اللجنة أيضاً مع القلق أن الحكومة الاتحادية</w:t>
      </w:r>
      <w:r w:rsidR="00335AC0">
        <w:rPr>
          <w:rFonts w:hint="cs"/>
          <w:spacing w:val="0"/>
          <w:sz w:val="20"/>
          <w:rtl/>
        </w:rPr>
        <w:t xml:space="preserve"> لم </w:t>
      </w:r>
      <w:r w:rsidR="004E0A37" w:rsidRPr="004E0A37">
        <w:rPr>
          <w:rFonts w:hint="cs"/>
          <w:spacing w:val="0"/>
          <w:sz w:val="20"/>
          <w:rtl/>
        </w:rPr>
        <w:t xml:space="preserve">تجر أي تحقيق استجابة للحكم الصادر في حزيران/يونيه 2009 عن المحكمة الدستورية التي قضت بأن عدم تعاون الحكومة بشكل تام مع لجنة التحقيق يشكل انتهاكاً لدستور الاتحاد. ويساور اللجنة قلق أيضاً إزاء عدم تقديم الدولة الطرف لمعلومات عن التدابير المحددة التي اتخذتها لتنفيذ توصيات الدراسة المشتركة للأمم المتحدة بشأن الممارسات العالمية </w:t>
      </w:r>
      <w:r w:rsidR="00F96B1E">
        <w:rPr>
          <w:rFonts w:hint="cs"/>
          <w:spacing w:val="0"/>
          <w:sz w:val="20"/>
          <w:rtl/>
        </w:rPr>
        <w:t>فيما </w:t>
      </w:r>
      <w:r w:rsidR="004E0A37" w:rsidRPr="004E0A37">
        <w:rPr>
          <w:rFonts w:hint="cs"/>
          <w:spacing w:val="0"/>
          <w:sz w:val="20"/>
          <w:rtl/>
        </w:rPr>
        <w:t>يتصل بالاحتجاز السري في سياق مكافحة الإرهاب (</w:t>
      </w:r>
      <w:r w:rsidR="004E0A37" w:rsidRPr="004E0A37">
        <w:rPr>
          <w:spacing w:val="0"/>
          <w:sz w:val="20"/>
        </w:rPr>
        <w:t>A/HRC/13/42</w:t>
      </w:r>
      <w:r w:rsidR="004E0A37" w:rsidRPr="004E0A37">
        <w:rPr>
          <w:rFonts w:hint="cs"/>
          <w:spacing w:val="0"/>
          <w:sz w:val="20"/>
          <w:rtl/>
        </w:rPr>
        <w:t>) (المادة 3).</w:t>
      </w:r>
    </w:p>
    <w:p w:rsidR="004E0A37" w:rsidRPr="00417A5B" w:rsidRDefault="004E0A37" w:rsidP="002E2361">
      <w:pPr>
        <w:pStyle w:val="SingleTxtGA"/>
        <w:jc w:val="lowKashida"/>
        <w:rPr>
          <w:rFonts w:hint="cs"/>
          <w:b/>
          <w:bCs/>
          <w:spacing w:val="0"/>
          <w:sz w:val="20"/>
          <w:rtl/>
        </w:rPr>
      </w:pPr>
      <w:r w:rsidRPr="00417A5B">
        <w:rPr>
          <w:rFonts w:hint="cs"/>
          <w:b/>
          <w:bCs/>
          <w:spacing w:val="0"/>
          <w:sz w:val="20"/>
          <w:rtl/>
        </w:rPr>
        <w:tab/>
        <w:t>تحث اللجنة الدولة الطرف على ما يلي:</w:t>
      </w:r>
    </w:p>
    <w:p w:rsidR="004E0A37" w:rsidRPr="00417A5B" w:rsidRDefault="004E0A37" w:rsidP="002E2361">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أن تقدم معلومات عن الخطوات الملموسة لتنفيذ التوصيات التي أصدرتها لجنة التحقيق البرلمانية لعام 2009 وعن التدابير المتخذة لشروع الحكومة الاتحادية في إجراء تحقيق في المزاعم التي تفيد عن مشاركة الموظفين المكلفين بإنفاذ القوانين في الدولة الطرف في برامج التسليم والاحتجاز السري؛</w:t>
      </w:r>
    </w:p>
    <w:p w:rsidR="004E0A37" w:rsidRPr="00417A5B" w:rsidRDefault="004E0A37" w:rsidP="002E2361">
      <w:pPr>
        <w:pStyle w:val="SingleTxtGA"/>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إعلان نتائج عمليات التحقيق؛</w:t>
      </w:r>
    </w:p>
    <w:p w:rsidR="004E0A37" w:rsidRPr="00417A5B" w:rsidRDefault="004E0A37" w:rsidP="002E2361">
      <w:pPr>
        <w:pStyle w:val="SingleTxtGA"/>
        <w:jc w:val="lowKashida"/>
        <w:rPr>
          <w:rFonts w:hint="cs"/>
          <w:b/>
          <w:bCs/>
          <w:spacing w:val="0"/>
          <w:sz w:val="20"/>
          <w:rtl/>
        </w:rPr>
      </w:pPr>
      <w:r w:rsidRPr="00417A5B">
        <w:rPr>
          <w:rFonts w:hint="cs"/>
          <w:b/>
          <w:bCs/>
          <w:spacing w:val="0"/>
          <w:sz w:val="20"/>
          <w:rtl/>
        </w:rPr>
        <w:tab/>
        <w:t>(ج)</w:t>
      </w:r>
      <w:r w:rsidRPr="00417A5B">
        <w:rPr>
          <w:rFonts w:hint="cs"/>
          <w:b/>
          <w:bCs/>
          <w:spacing w:val="0"/>
          <w:sz w:val="20"/>
          <w:rtl/>
        </w:rPr>
        <w:tab/>
        <w:t>اتخاذ جميع التدابير اللازمة لمنع وقوع حالات من هذا القبيل في المستقبل؛</w:t>
      </w:r>
    </w:p>
    <w:p w:rsidR="004E0A37" w:rsidRPr="00417A5B" w:rsidRDefault="004E0A37" w:rsidP="002E2361">
      <w:pPr>
        <w:pStyle w:val="SingleTxtGA"/>
        <w:jc w:val="lowKashida"/>
        <w:rPr>
          <w:rFonts w:hint="cs"/>
          <w:b/>
          <w:bCs/>
          <w:spacing w:val="0"/>
          <w:sz w:val="20"/>
          <w:rtl/>
        </w:rPr>
      </w:pPr>
      <w:r w:rsidRPr="00417A5B">
        <w:rPr>
          <w:rFonts w:hint="cs"/>
          <w:b/>
          <w:bCs/>
          <w:spacing w:val="0"/>
          <w:sz w:val="20"/>
          <w:rtl/>
        </w:rPr>
        <w:tab/>
        <w:t>(د)</w:t>
      </w:r>
      <w:r w:rsidRPr="00417A5B">
        <w:rPr>
          <w:rFonts w:hint="cs"/>
          <w:b/>
          <w:bCs/>
          <w:spacing w:val="0"/>
          <w:sz w:val="20"/>
          <w:rtl/>
        </w:rPr>
        <w:tab/>
        <w:t>اتخاذ تدابير محددة ترمي إلى تنفيذ توصيات الدراسة المشتركة للأمم المتحدة</w:t>
      </w:r>
      <w:r w:rsidR="00E25E42" w:rsidRPr="00417A5B">
        <w:rPr>
          <w:rFonts w:hint="eastAsia"/>
          <w:b/>
          <w:bCs/>
          <w:spacing w:val="0"/>
          <w:sz w:val="20"/>
          <w:rtl/>
        </w:rPr>
        <w:t> </w:t>
      </w:r>
      <w:r w:rsidRPr="00417A5B">
        <w:rPr>
          <w:rFonts w:hint="cs"/>
          <w:b/>
          <w:bCs/>
          <w:spacing w:val="0"/>
          <w:sz w:val="20"/>
          <w:rtl/>
        </w:rPr>
        <w:t xml:space="preserve">بشأن الممارسات العالمية </w:t>
      </w:r>
      <w:r w:rsidR="00F96B1E" w:rsidRPr="00417A5B">
        <w:rPr>
          <w:rFonts w:hint="cs"/>
          <w:b/>
          <w:bCs/>
          <w:spacing w:val="0"/>
          <w:sz w:val="20"/>
          <w:rtl/>
        </w:rPr>
        <w:t>فيما </w:t>
      </w:r>
      <w:r w:rsidRPr="00417A5B">
        <w:rPr>
          <w:rFonts w:hint="cs"/>
          <w:b/>
          <w:bCs/>
          <w:spacing w:val="0"/>
          <w:sz w:val="20"/>
          <w:rtl/>
        </w:rPr>
        <w:t>يتصل بالاحتجاز السري في سياق مكافحة الإرهاب</w:t>
      </w:r>
      <w:r w:rsidR="002E2361">
        <w:rPr>
          <w:rFonts w:hint="eastAsia"/>
          <w:b/>
          <w:bCs/>
          <w:spacing w:val="0"/>
          <w:sz w:val="20"/>
          <w:rtl/>
        </w:rPr>
        <w:t> </w:t>
      </w:r>
      <w:r w:rsidRPr="00417A5B">
        <w:rPr>
          <w:b/>
          <w:bCs/>
          <w:spacing w:val="0"/>
          <w:sz w:val="20"/>
        </w:rPr>
        <w:t>(A/HRC/13/42)</w:t>
      </w:r>
      <w:r w:rsidRPr="00417A5B">
        <w:rPr>
          <w:rFonts w:hint="cs"/>
          <w:b/>
          <w:bCs/>
          <w:spacing w:val="0"/>
          <w:sz w:val="20"/>
          <w:rtl/>
        </w:rPr>
        <w:t>.</w:t>
      </w:r>
    </w:p>
    <w:p w:rsidR="004E0A37" w:rsidRPr="004E0A37" w:rsidRDefault="004E0A37" w:rsidP="00E25E42">
      <w:pPr>
        <w:pStyle w:val="H23GA"/>
        <w:rPr>
          <w:rFonts w:hint="cs"/>
          <w:rtl/>
        </w:rPr>
      </w:pPr>
      <w:r w:rsidRPr="004E0A37">
        <w:rPr>
          <w:rFonts w:hint="cs"/>
          <w:rtl/>
        </w:rPr>
        <w:tab/>
      </w:r>
      <w:r w:rsidRPr="004E0A37">
        <w:rPr>
          <w:rFonts w:hint="cs"/>
          <w:rtl/>
        </w:rPr>
        <w:tab/>
        <w:t>القصَّر غير المصحوبين</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27</w:t>
      </w:r>
      <w:r w:rsidR="003E72B5">
        <w:rPr>
          <w:rFonts w:hint="cs"/>
          <w:spacing w:val="0"/>
          <w:sz w:val="20"/>
          <w:rtl/>
        </w:rPr>
        <w:t>)</w:t>
      </w:r>
      <w:r w:rsidR="003E72B5">
        <w:rPr>
          <w:rFonts w:hint="cs"/>
          <w:spacing w:val="0"/>
          <w:sz w:val="20"/>
          <w:rtl/>
        </w:rPr>
        <w:tab/>
      </w:r>
      <w:r w:rsidR="004E0A37" w:rsidRPr="004E0A37">
        <w:rPr>
          <w:rFonts w:hint="cs"/>
          <w:spacing w:val="0"/>
          <w:sz w:val="20"/>
          <w:rtl/>
        </w:rPr>
        <w:t>بينما تلاحظ اللجنة المعلومات التي تفيد بأن ما يسمى ب‍ "إجراء المطار" بموجب المادة</w:t>
      </w:r>
      <w:r w:rsidR="004E0A37" w:rsidRPr="004E0A37">
        <w:rPr>
          <w:rFonts w:hint="eastAsia"/>
          <w:spacing w:val="0"/>
          <w:sz w:val="20"/>
          <w:rtl/>
        </w:rPr>
        <w:t> </w:t>
      </w:r>
      <w:r w:rsidR="004E0A37" w:rsidRPr="004E0A37">
        <w:rPr>
          <w:rFonts w:hint="cs"/>
          <w:spacing w:val="0"/>
          <w:sz w:val="20"/>
          <w:rtl/>
        </w:rPr>
        <w:t>18 من قانون إجراء اللجوء هو إجراء ينطبق على ملتمسي اللجوء الذين يصلون من أحد بلدان المنشأ الآمنة أو دون جواز سفر ساري المفعول، لا تزال تشعر بالقلق، بصفة خاصة، إزاء التقارير التي تفيد بتعرض القصر غير المصحوبين، بشكل مستمر، ل‍ "إجراء المطار" بمن فيهم الذين رفضت طلبات التماس اللجوء أو ألغي وضعهم كلاجئين والذين يمكن ترحيلهم إلى بلدان المنشأ إذا</w:t>
      </w:r>
      <w:r w:rsidR="00335AC0">
        <w:rPr>
          <w:rFonts w:hint="cs"/>
          <w:spacing w:val="0"/>
          <w:sz w:val="20"/>
          <w:rtl/>
        </w:rPr>
        <w:t xml:space="preserve"> لم </w:t>
      </w:r>
      <w:r w:rsidR="004E0A37" w:rsidRPr="004E0A37">
        <w:rPr>
          <w:rFonts w:hint="cs"/>
          <w:spacing w:val="0"/>
          <w:sz w:val="20"/>
          <w:rtl/>
        </w:rPr>
        <w:t>يكتشف من الأسس المعقولة ما يحمل على توقع تعرضهم للتعذيب أو سوء المعاملة عند عودتهم. ويساور اللجنة القلق إزاء انعدام المعلومات بشأن موقف الدولة الطرف في سياق مناقشة الاتحاد الأوروبي لموضوع القصَّر الذين يخضعون ل‍</w:t>
      </w:r>
      <w:r w:rsidR="004E0A37" w:rsidRPr="004E0A37">
        <w:rPr>
          <w:rFonts w:hint="eastAsia"/>
          <w:spacing w:val="0"/>
          <w:sz w:val="20"/>
          <w:rtl/>
        </w:rPr>
        <w:t> </w:t>
      </w:r>
      <w:r w:rsidR="004E0A37" w:rsidRPr="004E0A37">
        <w:rPr>
          <w:rFonts w:hint="cs"/>
          <w:spacing w:val="0"/>
          <w:sz w:val="20"/>
          <w:rtl/>
        </w:rPr>
        <w:t>"إجراء المطار" (المادة 3).</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بما يلي:</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باستثناء القصر غير المصحوبين من "إجراء المطار" على النحو الذي أوصت به اللجنة الأوروبية لمكافحة العنصرية والتعصب؛</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ضمان تمتع القُصر غير المصحوبين بالحقوق التي تكفلها اتفاقية حقوق الطفل؛</w:t>
      </w:r>
    </w:p>
    <w:p w:rsidR="004E0A37" w:rsidRPr="00417A5B" w:rsidRDefault="004E0A37" w:rsidP="004E0A37">
      <w:pPr>
        <w:pStyle w:val="SingleTxtGA"/>
        <w:jc w:val="lowKashida"/>
        <w:rPr>
          <w:rFonts w:hint="cs"/>
          <w:b/>
          <w:bCs/>
          <w:spacing w:val="-2"/>
          <w:sz w:val="20"/>
          <w:rtl/>
        </w:rPr>
      </w:pPr>
      <w:r w:rsidRPr="00417A5B">
        <w:rPr>
          <w:rFonts w:hint="cs"/>
          <w:b/>
          <w:bCs/>
          <w:spacing w:val="-2"/>
          <w:sz w:val="20"/>
          <w:rtl/>
        </w:rPr>
        <w:tab/>
        <w:t>(ج)</w:t>
      </w:r>
      <w:r w:rsidRPr="00417A5B">
        <w:rPr>
          <w:rFonts w:hint="cs"/>
          <w:b/>
          <w:bCs/>
          <w:spacing w:val="-2"/>
          <w:sz w:val="20"/>
          <w:rtl/>
        </w:rPr>
        <w:tab/>
        <w:t>ضمان جمع بيانات مصنفة بحسب العمر والجنس والجنسية عن عدد القصر غير المصحوبين الذين يتعرضون للترحيل القسري من الدولة الطرف، وإتاحتها للجمهور؛</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(د)</w:t>
      </w:r>
      <w:r w:rsidRPr="00417A5B">
        <w:rPr>
          <w:rFonts w:hint="cs"/>
          <w:b/>
          <w:bCs/>
          <w:spacing w:val="0"/>
          <w:sz w:val="20"/>
          <w:rtl/>
        </w:rPr>
        <w:tab/>
        <w:t xml:space="preserve">أداء دور نشط في مناقشة الاتحاد الأوروبي لهذا الموضوع بهدف توفير الحماية للقصر غير المصحوبين من خطر التعرض للتعذيب وسوء المعاملة. </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ممارسة الولاية القضائية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28</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يساور اللجنة قلق بالغ إزاء التقارير التي تفيد عن امتناع الدولة الطرف عن ممارسة ولايتها القضائية </w:t>
      </w:r>
      <w:r w:rsidR="00F96B1E">
        <w:rPr>
          <w:rFonts w:hint="cs"/>
          <w:spacing w:val="0"/>
          <w:sz w:val="20"/>
          <w:rtl/>
        </w:rPr>
        <w:t>فيما </w:t>
      </w:r>
      <w:r w:rsidR="004E0A37" w:rsidRPr="004E0A37">
        <w:rPr>
          <w:rFonts w:hint="cs"/>
          <w:spacing w:val="0"/>
          <w:sz w:val="20"/>
          <w:rtl/>
        </w:rPr>
        <w:t>يتعلق بادعاءات تعرض الأشخاص الذين تم تسليمهم إلى الخارج للتعذيب وسوء المعاملة، بما في ذلك في حالة خالد المصري، وذلك انتهاكاً لأحكام المادة 5 من الاتفاقية. وفضلاً عن ذلك، يساور اللجنة القلق إزاء انعدام المعلومات من الدولة الطرف بشأن ما إذا كان خالد المصري قد حصل على أي انتصاف، بما في ذلك تعويض،</w:t>
      </w:r>
      <w:r w:rsidR="00B345DB">
        <w:rPr>
          <w:rFonts w:hint="cs"/>
          <w:spacing w:val="0"/>
          <w:sz w:val="20"/>
          <w:rtl/>
        </w:rPr>
        <w:t xml:space="preserve"> وفقاً </w:t>
      </w:r>
      <w:r w:rsidR="004E0A37" w:rsidRPr="004E0A37">
        <w:rPr>
          <w:rFonts w:hint="cs"/>
          <w:spacing w:val="0"/>
          <w:sz w:val="20"/>
          <w:rtl/>
        </w:rPr>
        <w:t>لأحكام المادة 14 من الاتفاقية (المادتان 5 و14).</w:t>
      </w:r>
    </w:p>
    <w:p w:rsidR="004E0A37" w:rsidRPr="00417A5B" w:rsidRDefault="004E0A37" w:rsidP="00DA0B1C">
      <w:pPr>
        <w:pStyle w:val="SingleTxtGA"/>
        <w:spacing w:line="360" w:lineRule="exact"/>
        <w:jc w:val="lowKashida"/>
        <w:rPr>
          <w:rFonts w:hint="cs"/>
          <w:b/>
          <w:bCs/>
          <w:spacing w:val="0"/>
          <w:sz w:val="20"/>
          <w:rtl/>
        </w:rPr>
      </w:pPr>
      <w:r w:rsidRPr="00417A5B">
        <w:rPr>
          <w:rFonts w:hint="cs"/>
          <w:b/>
          <w:bCs/>
          <w:spacing w:val="0"/>
          <w:sz w:val="20"/>
          <w:rtl/>
        </w:rPr>
        <w:tab/>
        <w:t>تحث اللجنة الدولة الطرف على التقيد بالمادة 5 من الاتفاقية التي تفرض عدم اقتصار تطبيق معايير ممارسة الولاية القضائية على مواطني الدولة الطرف. ويتعين على الدولة الطرف أيضاً أن تُعلم اللجنة بسبل الانتصاف، بما في ذلك التعويض المناسب، المقدمة إلى خالد المصري،</w:t>
      </w:r>
      <w:r w:rsidR="00B345DB" w:rsidRPr="00417A5B">
        <w:rPr>
          <w:rFonts w:hint="cs"/>
          <w:b/>
          <w:bCs/>
          <w:spacing w:val="0"/>
          <w:sz w:val="20"/>
          <w:rtl/>
        </w:rPr>
        <w:t xml:space="preserve"> وفقاً </w:t>
      </w:r>
      <w:r w:rsidRPr="00417A5B">
        <w:rPr>
          <w:rFonts w:hint="cs"/>
          <w:b/>
          <w:bCs/>
          <w:spacing w:val="0"/>
          <w:sz w:val="20"/>
          <w:rtl/>
        </w:rPr>
        <w:t>لأحكام المادة 14 من الاتفاقية.</w:t>
      </w:r>
    </w:p>
    <w:p w:rsidR="004E0A37" w:rsidRPr="004E0A37" w:rsidRDefault="004E0A37" w:rsidP="00DA0B1C">
      <w:pPr>
        <w:pStyle w:val="H23GA"/>
        <w:spacing w:line="360" w:lineRule="exact"/>
        <w:rPr>
          <w:rFonts w:hint="cs"/>
          <w:rtl/>
          <w:lang w:val="fr-CH"/>
        </w:rPr>
      </w:pPr>
      <w:r w:rsidRPr="004E0A37">
        <w:rPr>
          <w:rFonts w:hint="cs"/>
          <w:rtl/>
          <w:lang w:val="fr-CH"/>
        </w:rPr>
        <w:tab/>
      </w:r>
      <w:r w:rsidRPr="004E0A37">
        <w:rPr>
          <w:rFonts w:hint="cs"/>
          <w:rtl/>
          <w:lang w:val="fr-CH"/>
        </w:rPr>
        <w:tab/>
        <w:t>تدريب الموظفين المكلفين بإنفاذ القوانين</w:t>
      </w:r>
    </w:p>
    <w:p w:rsidR="004E0A37" w:rsidRPr="004E0A37" w:rsidRDefault="0033301A" w:rsidP="00DA0B1C">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29</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تأخذ اللجنة</w:t>
      </w:r>
      <w:r w:rsidR="003833F8">
        <w:rPr>
          <w:rFonts w:hint="cs"/>
          <w:spacing w:val="0"/>
          <w:sz w:val="20"/>
          <w:rtl/>
        </w:rPr>
        <w:t xml:space="preserve"> علماً </w:t>
      </w:r>
      <w:r w:rsidR="004E0A37" w:rsidRPr="004E0A37">
        <w:rPr>
          <w:rFonts w:hint="cs"/>
          <w:spacing w:val="0"/>
          <w:sz w:val="20"/>
          <w:rtl/>
        </w:rPr>
        <w:t xml:space="preserve">بتدريب الموظفين المكلفين بإنفاذ القوانين على مستويي الاتحاد والولايات، على الاتفاقية والضمانات الدستورية والقانون الجنائي والإجرائي العام والوطني يساورها القلق إزاء عدم تقديم تدريب محدد إلى جميع المهنيين المعنيين مباشرة بالتحقيق في حالات التعذيب وتوثيقها، وكذلك إلى العاملين الطبيين وغيرهم من العاملين مع المحتجزين ومتلمسي اللجوء، بشأن الكتيب المتعلق بالتحقيق الفعال في حالات التعذيب وغيره من ضروب المعاملة أو العقوبة القاسية أو اللاإنسانية أو المهينة (بروتوكول </w:t>
      </w:r>
      <w:r w:rsidR="002C1EA7">
        <w:rPr>
          <w:rFonts w:hint="cs"/>
          <w:spacing w:val="0"/>
          <w:sz w:val="20"/>
          <w:rtl/>
        </w:rPr>
        <w:t>اسطنبول</w:t>
      </w:r>
      <w:r w:rsidR="004E0A37" w:rsidRPr="004E0A37">
        <w:rPr>
          <w:rFonts w:hint="cs"/>
          <w:spacing w:val="0"/>
          <w:sz w:val="20"/>
          <w:rtl/>
        </w:rPr>
        <w:t xml:space="preserve">) وتوثيقها بشكل فعال. ويساور اللجنة القلق أيضاً لأن التدريب على بروتوكول </w:t>
      </w:r>
      <w:r w:rsidR="002C1EA7">
        <w:rPr>
          <w:rFonts w:hint="cs"/>
          <w:spacing w:val="0"/>
          <w:sz w:val="20"/>
          <w:rtl/>
        </w:rPr>
        <w:t>اسطنبول</w:t>
      </w:r>
      <w:r w:rsidR="004E0A37" w:rsidRPr="004E0A37">
        <w:rPr>
          <w:rFonts w:hint="cs"/>
          <w:spacing w:val="0"/>
          <w:sz w:val="20"/>
          <w:rtl/>
        </w:rPr>
        <w:t>، الذي ينبغي الأخذ به في السنة المقبلة في جميع الولايات، مصمم للتركيز على الكشف عن آثار التعذيب البدني لا النفسي. وانعدام التدريب بشأن الحظر المطلق للتعذيب في سياق التعليمات الصادرة لأجهزة الاستخبارات هو أيضاً مصدر آخر للقلق (المواد 2 و10 و16).</w:t>
      </w:r>
    </w:p>
    <w:p w:rsidR="004E0A37" w:rsidRPr="00417A5B" w:rsidRDefault="004E0A37" w:rsidP="00DA0B1C">
      <w:pPr>
        <w:pStyle w:val="SingleTxtGA"/>
        <w:spacing w:line="360" w:lineRule="exact"/>
        <w:jc w:val="lowKashida"/>
        <w:rPr>
          <w:rFonts w:hint="cs"/>
          <w:b/>
          <w:bCs/>
          <w:spacing w:val="0"/>
          <w:sz w:val="20"/>
          <w:rtl/>
        </w:rPr>
      </w:pPr>
      <w:r w:rsidRPr="00417A5B">
        <w:rPr>
          <w:rFonts w:hint="cs"/>
          <w:b/>
          <w:bCs/>
          <w:spacing w:val="0"/>
          <w:sz w:val="20"/>
          <w:rtl/>
        </w:rPr>
        <w:tab/>
        <w:t>توصي اللجنة الدولة الطرف بما يلي:</w:t>
      </w:r>
    </w:p>
    <w:p w:rsidR="004E0A37" w:rsidRPr="00417A5B" w:rsidRDefault="004E0A37" w:rsidP="00DA0B1C">
      <w:pPr>
        <w:pStyle w:val="SingleTxtGA"/>
        <w:spacing w:line="360" w:lineRule="exact"/>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ضمان أن يزود جميع الموظفين المكلفين بإنفاذ القوانين والموظفين الطبيين وغيرهم من الذين يقومون بإيقاف أي شخص يخضع لأي نوع من أنواع إلقاء القبض أو</w:t>
      </w:r>
      <w:r w:rsidR="00E25E42" w:rsidRPr="00417A5B">
        <w:rPr>
          <w:rFonts w:hint="eastAsia"/>
          <w:b/>
          <w:bCs/>
          <w:spacing w:val="0"/>
          <w:sz w:val="20"/>
          <w:rtl/>
        </w:rPr>
        <w:t> </w:t>
      </w:r>
      <w:r w:rsidRPr="00417A5B">
        <w:rPr>
          <w:rFonts w:hint="cs"/>
          <w:b/>
          <w:bCs/>
          <w:spacing w:val="0"/>
          <w:sz w:val="20"/>
          <w:rtl/>
        </w:rPr>
        <w:t xml:space="preserve">الاحتجاز أو السجن، أو التحقيق أو التعامل معه، ومن الذين يشتركون في توثيق حالات التعذيب، والتحقيق فيها، الحصول، بشكل منتظم، على التدريب على دليل التحقيق والتوثيق الفعالين </w:t>
      </w:r>
      <w:r w:rsidR="00F96B1E" w:rsidRPr="00417A5B">
        <w:rPr>
          <w:rFonts w:hint="cs"/>
          <w:b/>
          <w:bCs/>
          <w:spacing w:val="0"/>
          <w:sz w:val="20"/>
          <w:rtl/>
        </w:rPr>
        <w:t>فيما </w:t>
      </w:r>
      <w:r w:rsidRPr="00417A5B">
        <w:rPr>
          <w:rFonts w:hint="cs"/>
          <w:b/>
          <w:bCs/>
          <w:spacing w:val="0"/>
          <w:sz w:val="20"/>
          <w:rtl/>
        </w:rPr>
        <w:t>يتعلق بالتعذيب وغيره من ضروب المعاملة أو العقوبة القاسية أو</w:t>
      </w:r>
      <w:r w:rsidRPr="00417A5B">
        <w:rPr>
          <w:rFonts w:hint="eastAsia"/>
          <w:b/>
          <w:bCs/>
          <w:spacing w:val="0"/>
          <w:sz w:val="20"/>
          <w:rtl/>
        </w:rPr>
        <w:t> </w:t>
      </w:r>
      <w:r w:rsidRPr="00417A5B">
        <w:rPr>
          <w:rFonts w:hint="cs"/>
          <w:b/>
          <w:bCs/>
          <w:spacing w:val="0"/>
          <w:sz w:val="20"/>
          <w:rtl/>
        </w:rPr>
        <w:t>اللاإنسانية أو</w:t>
      </w:r>
      <w:r w:rsidR="00E25E42" w:rsidRPr="00417A5B">
        <w:rPr>
          <w:rFonts w:hint="eastAsia"/>
          <w:b/>
          <w:bCs/>
          <w:spacing w:val="0"/>
          <w:sz w:val="20"/>
          <w:rtl/>
        </w:rPr>
        <w:t> </w:t>
      </w:r>
      <w:r w:rsidRPr="00417A5B">
        <w:rPr>
          <w:rFonts w:hint="cs"/>
          <w:b/>
          <w:bCs/>
          <w:spacing w:val="0"/>
          <w:sz w:val="20"/>
          <w:rtl/>
        </w:rPr>
        <w:t xml:space="preserve">المهينة (بروتوكول </w:t>
      </w:r>
      <w:r w:rsidR="002C1EA7" w:rsidRPr="00417A5B">
        <w:rPr>
          <w:rFonts w:hint="cs"/>
          <w:b/>
          <w:bCs/>
          <w:spacing w:val="0"/>
          <w:sz w:val="20"/>
          <w:rtl/>
        </w:rPr>
        <w:t>اسطنبول</w:t>
      </w:r>
      <w:r w:rsidRPr="00417A5B">
        <w:rPr>
          <w:rFonts w:hint="cs"/>
          <w:b/>
          <w:bCs/>
          <w:spacing w:val="0"/>
          <w:sz w:val="20"/>
          <w:rtl/>
        </w:rPr>
        <w:t>)، الذي يطالب بتحديد كلا الآثار البدنية والنفسية لضحايا التعذيب؛</w:t>
      </w:r>
    </w:p>
    <w:p w:rsidR="004E0A37" w:rsidRPr="00417A5B" w:rsidRDefault="004E0A37" w:rsidP="00DA0B1C">
      <w:pPr>
        <w:pStyle w:val="SingleTxtGA"/>
        <w:spacing w:line="360" w:lineRule="exact"/>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 xml:space="preserve">ضمان تقديم هذا التدريب أيضاً للموظفين العاملين في إجراءات تحديد وضع اللجوء، وإتاحة المنشورات وأدوات التدريب الموجودة والمتعلقة ببروتوكول </w:t>
      </w:r>
      <w:r w:rsidR="002C1EA7" w:rsidRPr="00417A5B">
        <w:rPr>
          <w:rFonts w:hint="cs"/>
          <w:b/>
          <w:bCs/>
          <w:spacing w:val="0"/>
          <w:sz w:val="20"/>
          <w:rtl/>
        </w:rPr>
        <w:t>اسطنبول</w:t>
      </w:r>
      <w:r w:rsidRPr="00417A5B">
        <w:rPr>
          <w:rFonts w:hint="cs"/>
          <w:b/>
          <w:bCs/>
          <w:spacing w:val="0"/>
          <w:sz w:val="20"/>
          <w:rtl/>
        </w:rPr>
        <w:t>، على الإنترنت؛</w:t>
      </w:r>
    </w:p>
    <w:p w:rsidR="004E0A37" w:rsidRPr="00417A5B" w:rsidRDefault="004E0A37" w:rsidP="00DA0B1C">
      <w:pPr>
        <w:pStyle w:val="SingleTxtGA"/>
        <w:spacing w:line="360" w:lineRule="exact"/>
        <w:jc w:val="lowKashida"/>
        <w:rPr>
          <w:rFonts w:hint="cs"/>
          <w:b/>
          <w:bCs/>
          <w:spacing w:val="0"/>
          <w:sz w:val="20"/>
          <w:rtl/>
        </w:rPr>
      </w:pPr>
      <w:r w:rsidRPr="00417A5B">
        <w:rPr>
          <w:rFonts w:hint="cs"/>
          <w:b/>
          <w:bCs/>
          <w:spacing w:val="0"/>
          <w:sz w:val="20"/>
          <w:rtl/>
        </w:rPr>
        <w:tab/>
        <w:t>(ج)</w:t>
      </w:r>
      <w:r w:rsidRPr="00417A5B">
        <w:rPr>
          <w:rFonts w:hint="cs"/>
          <w:b/>
          <w:bCs/>
          <w:spacing w:val="0"/>
          <w:sz w:val="20"/>
          <w:rtl/>
        </w:rPr>
        <w:tab/>
        <w:t>تضمين التوجيهات الصادرة إلى أجهزة الاستخبارات عبارة معممة تشير إلى الحظر المطلق للتعذيب.</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تحديد هوية ضباط الشرطة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30</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ما قدمته الدولة الطرف من معلومات تفيد بأن موظفي الشرطة، باستثناء شرطة براندنبورغ وشرطة برلين، غير ملزمين بارتداء شارات الهوية التي تبين رقم الضباط وأسمائهم أثناء ممارسة مهامهم وإنه حتى في هاتين الولايتين، يجوز سحب شارات الهوية، بغية حماية أمن ومصالح ضباط الشرطة،</w:t>
      </w:r>
      <w:r w:rsidR="00B345DB">
        <w:rPr>
          <w:rFonts w:hint="cs"/>
          <w:spacing w:val="0"/>
          <w:sz w:val="20"/>
          <w:rtl/>
        </w:rPr>
        <w:t xml:space="preserve"> وفقاً </w:t>
      </w:r>
      <w:r w:rsidR="004E0A37" w:rsidRPr="004E0A37">
        <w:rPr>
          <w:rFonts w:hint="cs"/>
          <w:spacing w:val="0"/>
          <w:sz w:val="20"/>
          <w:rtl/>
        </w:rPr>
        <w:t>للدولة الطرف. وقد أدت هذه الممارسة،</w:t>
      </w:r>
      <w:r w:rsidR="00B345DB">
        <w:rPr>
          <w:rFonts w:hint="cs"/>
          <w:spacing w:val="0"/>
          <w:sz w:val="20"/>
          <w:rtl/>
        </w:rPr>
        <w:t xml:space="preserve"> وفقاً </w:t>
      </w:r>
      <w:r w:rsidR="004E0A37" w:rsidRPr="004E0A37">
        <w:rPr>
          <w:rFonts w:hint="cs"/>
          <w:spacing w:val="0"/>
          <w:sz w:val="20"/>
          <w:rtl/>
        </w:rPr>
        <w:t>للتقارير، إلى عرقلة التحقيق في حالات متعددة ومساءلة ضباط الشرطة المتورطين حسب المزاعم في سوء المعاملة، بما في ذلك حالات استخدام القوة بشكل مفرط في سياق المظاهرات. ووفقاً لدراسة قامت بتفويضها شرطة برلين، لا يمكن الكشف عن الجناة أو ملاحقتهم في قرابة 10 في المائة من الحالات التي يُدعى أن الشرطة مارست فيها سوء المعاملة، بسبب عدم تحديد هوية الجناة (المواد 12 و13 و14).</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بما يلي:</w:t>
      </w:r>
    </w:p>
    <w:p w:rsidR="004E0A37" w:rsidRPr="00417A5B" w:rsidRDefault="004E0A37" w:rsidP="00417A5B">
      <w:pPr>
        <w:pStyle w:val="SingleTxtGA"/>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تحقيق التوازن بين مصالح كل من ضباط الشرطة والضحايا المحتملين لسوء المعاملة وضمان إمكانية تحديد هوية أفراد الشرطة في جميع الولايات بفعالية في جميع</w:t>
      </w:r>
      <w:r w:rsidR="00417A5B">
        <w:rPr>
          <w:rFonts w:hint="eastAsia"/>
          <w:b/>
          <w:bCs/>
          <w:spacing w:val="0"/>
          <w:sz w:val="20"/>
          <w:rtl/>
        </w:rPr>
        <w:t> </w:t>
      </w:r>
      <w:r w:rsidRPr="00417A5B">
        <w:rPr>
          <w:rFonts w:hint="cs"/>
          <w:b/>
          <w:bCs/>
          <w:spacing w:val="0"/>
          <w:sz w:val="20"/>
          <w:rtl/>
        </w:rPr>
        <w:t>الأوقات، عند قيامهم بأداء مهمة إنفاذ القوانين ومساءلتهم عند تورطهم في أفعال سوء المعاملة؛</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تقييم حالات عدم إجراء التحقيق التي أثيرت أثناء الحوار مع الدولة الطرف وتقديم تقرير بشأنها إلى اللجنة.</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عمليات الاستجواب في الخارج</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31</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ترحب اللجنة بما أُفيد عنه من وقف ممارسة استجواب المشتبه فيهم بالإرهاب من جانب وكلاء الاستخبارات الأمنية الألمان في الخارج، مما يعكس استنتاجات لجنة التحقيق البرلمانية </w:t>
      </w:r>
      <w:r w:rsidR="00F96B1E">
        <w:rPr>
          <w:rFonts w:hint="cs"/>
          <w:spacing w:val="0"/>
          <w:sz w:val="20"/>
          <w:rtl/>
        </w:rPr>
        <w:t>فيما </w:t>
      </w:r>
      <w:r w:rsidR="004E0A37" w:rsidRPr="004E0A37">
        <w:rPr>
          <w:rFonts w:hint="cs"/>
          <w:spacing w:val="0"/>
          <w:sz w:val="20"/>
          <w:rtl/>
        </w:rPr>
        <w:t xml:space="preserve">يتعلق بقضية </w:t>
      </w:r>
      <w:r w:rsidR="004E0A37" w:rsidRPr="004E0A37">
        <w:rPr>
          <w:rFonts w:hint="cs"/>
          <w:i/>
          <w:iCs/>
          <w:spacing w:val="0"/>
          <w:sz w:val="20"/>
          <w:rtl/>
        </w:rPr>
        <w:t xml:space="preserve">خالد المصري، </w:t>
      </w:r>
      <w:r w:rsidR="004E0A37" w:rsidRPr="004E0A37">
        <w:rPr>
          <w:rFonts w:hint="cs"/>
          <w:spacing w:val="0"/>
          <w:sz w:val="20"/>
          <w:rtl/>
        </w:rPr>
        <w:t xml:space="preserve">وإعلان حكومة الاتحاد عن وقف عمليات التحقيق من جانب الشرطة والمدعين العامين وضباط الاستخبارات في الخارج. ومع ذلك، يساور اللجنة القلق إزاء انعدام الوضوح </w:t>
      </w:r>
      <w:r w:rsidR="00F96B1E">
        <w:rPr>
          <w:rFonts w:hint="cs"/>
          <w:spacing w:val="0"/>
          <w:sz w:val="20"/>
          <w:rtl/>
        </w:rPr>
        <w:t>فيما </w:t>
      </w:r>
      <w:r w:rsidR="004E0A37" w:rsidRPr="004E0A37">
        <w:rPr>
          <w:rFonts w:hint="cs"/>
          <w:spacing w:val="0"/>
          <w:sz w:val="20"/>
          <w:rtl/>
        </w:rPr>
        <w:t xml:space="preserve">إذا كان الالتزام بوقف عمليات التحقيق في الخارج يشمل شركات الأمن الخاصة أم لا. وتلاحظ اللجنة أيضاً مع القلق انعدام التوضيحات، في ضوء قرار المحكمة العليا لهامبورغ الصادر في حزيران/يونيه 2005 والمتعلق بقضية </w:t>
      </w:r>
      <w:r w:rsidR="004E0A37" w:rsidRPr="004E0A37">
        <w:rPr>
          <w:rFonts w:hint="cs"/>
          <w:i/>
          <w:iCs/>
          <w:spacing w:val="0"/>
          <w:sz w:val="20"/>
          <w:rtl/>
        </w:rPr>
        <w:t>منير المتصدق</w:t>
      </w:r>
      <w:r w:rsidR="004E0A37" w:rsidRPr="004E0A37">
        <w:rPr>
          <w:rFonts w:hint="cs"/>
          <w:spacing w:val="0"/>
          <w:sz w:val="20"/>
          <w:rtl/>
        </w:rPr>
        <w:t xml:space="preserve">، بشأن الجهة التي يقع عليها عبء الإثبات </w:t>
      </w:r>
      <w:r w:rsidR="00F96B1E">
        <w:rPr>
          <w:rFonts w:hint="cs"/>
          <w:spacing w:val="0"/>
          <w:sz w:val="20"/>
          <w:rtl/>
        </w:rPr>
        <w:t>فيما </w:t>
      </w:r>
      <w:r w:rsidR="004E0A37" w:rsidRPr="004E0A37">
        <w:rPr>
          <w:rFonts w:hint="cs"/>
          <w:spacing w:val="0"/>
          <w:sz w:val="20"/>
          <w:rtl/>
        </w:rPr>
        <w:t>يتصل بعدم مقبولية الأدلة التي يزعم أنها انتُزعت من خلال التعذيب أو سوء المعاملة، أمام محاكم الدولة الطرف. وعدم توفر المعلومات عما إذا كانت الحكومة لا تزال تعتمد على معلومات تحصل عليها من أجهزة الاستخبارات التابعة لبلدان أخرى، ربما انتزع بعضها من خلال التعذيب أو سوء المعاملة، هو أمر مثير لقلق بالغ (المواد 2 و3 و11 و15).</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بما يلي:</w:t>
      </w:r>
    </w:p>
    <w:p w:rsidR="004E0A37" w:rsidRPr="00417A5B" w:rsidRDefault="004E0A37" w:rsidP="002E2361">
      <w:pPr>
        <w:pStyle w:val="SingleTxtGA"/>
        <w:spacing w:after="60"/>
        <w:jc w:val="lowKashida"/>
        <w:rPr>
          <w:rFonts w:hint="cs"/>
          <w:b/>
          <w:bCs/>
          <w:spacing w:val="0"/>
          <w:sz w:val="20"/>
          <w:rtl/>
        </w:rPr>
      </w:pPr>
      <w:r w:rsidRPr="00417A5B">
        <w:rPr>
          <w:rFonts w:hint="cs"/>
          <w:b/>
          <w:bCs/>
          <w:spacing w:val="0"/>
          <w:sz w:val="20"/>
          <w:rtl/>
        </w:rPr>
        <w:tab/>
        <w:t>(أ)</w:t>
      </w:r>
      <w:r w:rsidRPr="00417A5B">
        <w:rPr>
          <w:rFonts w:hint="cs"/>
          <w:b/>
          <w:bCs/>
          <w:spacing w:val="0"/>
          <w:sz w:val="20"/>
          <w:rtl/>
        </w:rPr>
        <w:tab/>
        <w:t>تطبيق حظر التحقيق في الخارج على جميع السلطات والكيانات العاملة في إنفاذ القوانين، بما في ذلك شركات الأمن الخاصة عندما يكون هناك شك في استخدام وسائل قسرية؛</w:t>
      </w:r>
    </w:p>
    <w:p w:rsidR="004E0A37" w:rsidRPr="00417A5B" w:rsidRDefault="004E0A37" w:rsidP="002E2361">
      <w:pPr>
        <w:pStyle w:val="SingleTxtGA"/>
        <w:spacing w:after="60"/>
        <w:jc w:val="lowKashida"/>
        <w:rPr>
          <w:rFonts w:hint="cs"/>
          <w:b/>
          <w:bCs/>
          <w:spacing w:val="0"/>
          <w:sz w:val="20"/>
          <w:rtl/>
        </w:rPr>
      </w:pPr>
      <w:r w:rsidRPr="00417A5B">
        <w:rPr>
          <w:rFonts w:hint="cs"/>
          <w:b/>
          <w:bCs/>
          <w:spacing w:val="0"/>
          <w:sz w:val="20"/>
          <w:rtl/>
        </w:rPr>
        <w:tab/>
        <w:t>(ب)</w:t>
      </w:r>
      <w:r w:rsidRPr="00417A5B">
        <w:rPr>
          <w:rFonts w:hint="cs"/>
          <w:b/>
          <w:bCs/>
          <w:spacing w:val="0"/>
          <w:sz w:val="20"/>
          <w:rtl/>
        </w:rPr>
        <w:tab/>
        <w:t>توضيح المعايير الإجرائية بما في ذلك عبء الإثبات التي تطبقها محاكم الدولة الطرف لتقييم الأدلة التي ربما جرى انتزاعها من خلال التعذيب أو سوء المعاملة؛</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(ج)</w:t>
      </w:r>
      <w:r w:rsidRPr="00417A5B">
        <w:rPr>
          <w:rFonts w:hint="cs"/>
          <w:b/>
          <w:bCs/>
          <w:spacing w:val="0"/>
          <w:sz w:val="20"/>
          <w:rtl/>
        </w:rPr>
        <w:tab/>
        <w:t>العدول عن "الاعتماد التلقائي" على المعلومات التي تقدمها أجهزة الاستخبارات التابعة لبلدان أخرى، بهدف منع التعذيب أو سوء المعاملة في سياق الاعترافات القسرية.</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العقوبة البدنية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32</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تأخذ اللجنة</w:t>
      </w:r>
      <w:r w:rsidR="003833F8">
        <w:rPr>
          <w:rFonts w:hint="cs"/>
          <w:spacing w:val="0"/>
          <w:sz w:val="20"/>
          <w:rtl/>
        </w:rPr>
        <w:t xml:space="preserve"> علماً </w:t>
      </w:r>
      <w:r w:rsidR="004E0A37" w:rsidRPr="004E0A37">
        <w:rPr>
          <w:rFonts w:hint="cs"/>
          <w:spacing w:val="0"/>
          <w:sz w:val="20"/>
          <w:rtl/>
        </w:rPr>
        <w:t>بحظر العقوبة البدنية في جميع الظروف</w:t>
      </w:r>
      <w:r w:rsidR="00B345DB">
        <w:rPr>
          <w:rFonts w:hint="cs"/>
          <w:spacing w:val="0"/>
          <w:sz w:val="20"/>
          <w:rtl/>
        </w:rPr>
        <w:t xml:space="preserve"> وفقاً </w:t>
      </w:r>
      <w:r w:rsidR="004E0A37" w:rsidRPr="004E0A37">
        <w:rPr>
          <w:rFonts w:hint="cs"/>
          <w:spacing w:val="0"/>
          <w:sz w:val="20"/>
          <w:rtl/>
        </w:rPr>
        <w:t>للنظام القانوني الألماني (المادة 163 من مدونة القانون المدني)، تُعرب عن قلقها إزاء انعدام المعلومات عن الجهود المبذولة لتقديم دورات تثقيفية مناسبة ومستمرة للجمهور وتدريب المهنيين على حظر العقوبة البدنية في جميع الأوساط (المادة 16).</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بأن تعزز بنشاط الأشكال الإيجابية لتثقيف وتنشئة الأطفال، التي تقوم على المشاركة لا على العنف، كبديل للعقوبة البدنية.</w:t>
      </w:r>
    </w:p>
    <w:p w:rsidR="004E0A37" w:rsidRPr="004E0A37" w:rsidRDefault="004E0A37" w:rsidP="00E25E42">
      <w:pPr>
        <w:pStyle w:val="H23GA"/>
        <w:rPr>
          <w:rFonts w:hint="cs"/>
          <w:rtl/>
          <w:lang w:val="fr-CH"/>
        </w:rPr>
      </w:pPr>
      <w:r w:rsidRPr="004E0A37">
        <w:rPr>
          <w:rFonts w:hint="cs"/>
          <w:rtl/>
          <w:lang w:val="fr-CH"/>
        </w:rPr>
        <w:tab/>
      </w:r>
      <w:r w:rsidRPr="004E0A37">
        <w:rPr>
          <w:rFonts w:hint="cs"/>
          <w:rtl/>
          <w:lang w:val="fr-CH"/>
        </w:rPr>
        <w:tab/>
        <w:t>جمع البيانات</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33</w:t>
      </w:r>
      <w:r w:rsidR="003E72B5">
        <w:rPr>
          <w:rFonts w:hint="cs"/>
          <w:spacing w:val="0"/>
          <w:sz w:val="20"/>
          <w:rtl/>
        </w:rPr>
        <w:t>)</w:t>
      </w:r>
      <w:r w:rsidR="003E72B5">
        <w:rPr>
          <w:rFonts w:hint="cs"/>
          <w:spacing w:val="0"/>
          <w:sz w:val="20"/>
          <w:rtl/>
        </w:rPr>
        <w:tab/>
      </w:r>
      <w:r w:rsidR="004E0A37" w:rsidRPr="004E0A37">
        <w:rPr>
          <w:rFonts w:hint="cs"/>
          <w:spacing w:val="0"/>
          <w:sz w:val="20"/>
          <w:rtl/>
        </w:rPr>
        <w:t>تُعرب اللجنة عن ارتياحها لقرار الدولة الطرف تجميع إحصاءات جديدة عن الجرائم بما في ذلك سوء المعاملة من جانب الشرطة و"العنف في العلاقات الاجتماعية الوثيقة". وتلاحظ اللجنة البيانات المتعلقة بالشكاوى المقدمة بشأن سوء المعاملة من جانب الموظفين المكلفين بإنفاذ القوانين، مصنفةً بحسب الجريمة المشتبه ارتكابها. ومع ذلك، تأسف اللجنة لعدم وجود بيانات شاملة ومصنفة عن الشكاوى وعمليات التحقيق والملاحقة والإدانة في قضايا التعذيب وسوء المعاملة من جانب الموظفين المكلفين بإنفاذ القوانين وأفراد أجهزة الأمن والجيش والعاملين في السجون، وعن الاتجار والعنف المنزلي والجنسي، وعن الجرائم التي تُرتكب بدوافع عرقية، وعن سبل الانتصاف المقدمة إلى الضحايا، بما فيها التعويض وإعادة التأهيل (المواد 2 و12 و13 و16).</w:t>
      </w:r>
    </w:p>
    <w:p w:rsidR="004E0A37" w:rsidRPr="00417A5B" w:rsidRDefault="004E0A37" w:rsidP="004E0A37">
      <w:pPr>
        <w:pStyle w:val="SingleTxtGA"/>
        <w:jc w:val="lowKashida"/>
        <w:rPr>
          <w:rFonts w:hint="cs"/>
          <w:b/>
          <w:bCs/>
          <w:spacing w:val="0"/>
          <w:sz w:val="20"/>
          <w:rtl/>
        </w:rPr>
      </w:pPr>
      <w:r w:rsidRPr="00417A5B">
        <w:rPr>
          <w:rFonts w:hint="cs"/>
          <w:b/>
          <w:bCs/>
          <w:spacing w:val="0"/>
          <w:sz w:val="20"/>
          <w:rtl/>
        </w:rPr>
        <w:tab/>
        <w:t>توصي اللجنة الدولة الطرف بأن تجمّع البيانات المتعلقة برصد تنفيذ الاتفاقية على المستوى الوطني بما في ذلك البيانات المتعلقة بالشكاوى وعمليات التحقيق والملاحقة والإدانة في قضايا التعذيب وسوء المعاملة من جانب الموظفين المكلفين بإنفاذ القوانين، وأفراد أجهزة الأمن والجيش والعاملين في السجون، وعن الاتجار والعنف المنزلي والجنسي، وعن الجرائم التي تُرتكب بدوافع عرقية، وعن سبل الانتصاف المقدمة إلى الضحايا، بما فيها التعويض وإعادة التأهيل.</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34</w:t>
      </w:r>
      <w:r w:rsidR="003E72B5">
        <w:rPr>
          <w:rFonts w:hint="cs"/>
          <w:spacing w:val="0"/>
          <w:sz w:val="20"/>
          <w:rtl/>
        </w:rPr>
        <w:t>)</w:t>
      </w:r>
      <w:r w:rsidR="003E72B5">
        <w:rPr>
          <w:rFonts w:hint="cs"/>
          <w:spacing w:val="0"/>
          <w:sz w:val="20"/>
          <w:rtl/>
        </w:rPr>
        <w:tab/>
      </w:r>
      <w:r w:rsidR="004E0A37" w:rsidRPr="004E0A37">
        <w:rPr>
          <w:rFonts w:hint="cs"/>
          <w:spacing w:val="0"/>
          <w:sz w:val="20"/>
          <w:rtl/>
        </w:rPr>
        <w:t>بينما تلاحظ اللجنة الالتزام الذي عقدته الدولة الطرف في سياق الاستعراض الدوري الشامل لألمانيا، توصي الدولة الطرف بضمان التنفيذ الكامل لأحكام الصكوك الدولية لحقوق الإنسان ولا سيما في سياق تدابير مكافحة الإرهاب.</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35</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التصديق على معاهدات الأمم المتحدة الرئيسية المتعلقة بحقوق الإنسان التي</w:t>
      </w:r>
      <w:r w:rsidR="00335AC0">
        <w:rPr>
          <w:rFonts w:hint="cs"/>
          <w:spacing w:val="0"/>
          <w:sz w:val="20"/>
          <w:rtl/>
        </w:rPr>
        <w:t xml:space="preserve"> لم </w:t>
      </w:r>
      <w:r w:rsidR="004E0A37" w:rsidRPr="004E0A37">
        <w:rPr>
          <w:rFonts w:hint="cs"/>
          <w:spacing w:val="0"/>
          <w:sz w:val="20"/>
          <w:rtl/>
        </w:rPr>
        <w:t>تصبح طرفاً فيها بعد، ولا سيما الاتفاقية الدولية لحماية حقوق جميع العمال المهاجرين وأفراد أسرهم، والنظر في التوقيع والتصديق على البروتوكول الاختياري الملحق بالعهد الدولي الخاص بالحقوق الاقتصادية والاجتماعية والثقافية.</w:t>
      </w:r>
    </w:p>
    <w:p w:rsidR="004E0A37" w:rsidRPr="002E2361" w:rsidRDefault="0033301A" w:rsidP="004E0A37">
      <w:pPr>
        <w:pStyle w:val="SingleTxtGA"/>
        <w:jc w:val="lowKashida"/>
        <w:rPr>
          <w:rFonts w:hint="cs"/>
          <w:spacing w:val="0"/>
          <w:kern w:val="0"/>
          <w:sz w:val="20"/>
          <w:rtl/>
        </w:rPr>
      </w:pPr>
      <w:r w:rsidRPr="002E2361">
        <w:rPr>
          <w:rFonts w:hint="cs"/>
          <w:spacing w:val="0"/>
          <w:kern w:val="0"/>
          <w:sz w:val="20"/>
          <w:rtl/>
        </w:rPr>
        <w:t>(</w:t>
      </w:r>
      <w:r w:rsidR="004E0A37" w:rsidRPr="002E2361">
        <w:rPr>
          <w:rFonts w:hint="cs"/>
          <w:spacing w:val="0"/>
          <w:kern w:val="0"/>
          <w:sz w:val="20"/>
          <w:rtl/>
        </w:rPr>
        <w:t>36</w:t>
      </w:r>
      <w:r w:rsidR="003E72B5" w:rsidRPr="002E2361">
        <w:rPr>
          <w:rFonts w:hint="cs"/>
          <w:spacing w:val="0"/>
          <w:kern w:val="0"/>
          <w:sz w:val="20"/>
          <w:rtl/>
        </w:rPr>
        <w:t>)</w:t>
      </w:r>
      <w:r w:rsidR="003E72B5" w:rsidRPr="002E2361">
        <w:rPr>
          <w:rFonts w:hint="cs"/>
          <w:spacing w:val="0"/>
          <w:kern w:val="0"/>
          <w:sz w:val="20"/>
          <w:rtl/>
        </w:rPr>
        <w:tab/>
      </w:r>
      <w:r w:rsidR="004E0A37" w:rsidRPr="002E2361">
        <w:rPr>
          <w:rFonts w:hint="cs"/>
          <w:spacing w:val="0"/>
          <w:kern w:val="0"/>
          <w:sz w:val="20"/>
          <w:rtl/>
        </w:rPr>
        <w:t>وينبغي للدولة الطرف أن تنظر في سحب إعلانها بشأن المادة 3 من الاتفاقية بهدف السماح بالتطبيق المباشر للمادة 3 من الاتفاقية أمام المحاكم والسلطات على مستويي الاتحاد والولايات.</w:t>
      </w:r>
    </w:p>
    <w:p w:rsidR="004E0A37" w:rsidRPr="002E2361" w:rsidRDefault="0033301A" w:rsidP="004E0A37">
      <w:pPr>
        <w:pStyle w:val="SingleTxtGA"/>
        <w:jc w:val="lowKashida"/>
        <w:rPr>
          <w:rFonts w:hint="cs"/>
          <w:spacing w:val="0"/>
          <w:kern w:val="0"/>
          <w:sz w:val="20"/>
          <w:rtl/>
        </w:rPr>
      </w:pPr>
      <w:r w:rsidRPr="002E2361">
        <w:rPr>
          <w:rFonts w:hint="cs"/>
          <w:spacing w:val="0"/>
          <w:kern w:val="0"/>
          <w:sz w:val="20"/>
          <w:rtl/>
        </w:rPr>
        <w:t>(</w:t>
      </w:r>
      <w:r w:rsidR="004E0A37" w:rsidRPr="002E2361">
        <w:rPr>
          <w:rFonts w:hint="cs"/>
          <w:spacing w:val="0"/>
          <w:kern w:val="0"/>
          <w:sz w:val="20"/>
          <w:rtl/>
        </w:rPr>
        <w:t>37</w:t>
      </w:r>
      <w:r w:rsidR="003E72B5" w:rsidRPr="002E2361">
        <w:rPr>
          <w:rFonts w:hint="cs"/>
          <w:spacing w:val="0"/>
          <w:kern w:val="0"/>
          <w:sz w:val="20"/>
          <w:rtl/>
        </w:rPr>
        <w:t>)</w:t>
      </w:r>
      <w:r w:rsidR="003E72B5" w:rsidRPr="002E2361">
        <w:rPr>
          <w:rFonts w:hint="cs"/>
          <w:spacing w:val="0"/>
          <w:kern w:val="0"/>
          <w:sz w:val="20"/>
          <w:rtl/>
        </w:rPr>
        <w:tab/>
      </w:r>
      <w:r w:rsidR="004E0A37" w:rsidRPr="002E2361">
        <w:rPr>
          <w:rFonts w:hint="cs"/>
          <w:spacing w:val="0"/>
          <w:kern w:val="0"/>
          <w:sz w:val="20"/>
          <w:rtl/>
        </w:rPr>
        <w:t>وترجو اللجنة من الدولة الطرف أن تنشر التقرير المقدم إلى اللجنة والمحاضر الموجزة والملاحظات الختامية، على نطاق واسع وباللغات المناسبة عبر المواقع الرسمية على الإنترنت ووسائط الإعلام والمنظمات غير الحكومية.</w:t>
      </w:r>
    </w:p>
    <w:p w:rsidR="004E0A37" w:rsidRPr="002E2361" w:rsidRDefault="0033301A" w:rsidP="004E0A37">
      <w:pPr>
        <w:pStyle w:val="SingleTxtGA"/>
        <w:jc w:val="lowKashida"/>
        <w:rPr>
          <w:rFonts w:hint="cs"/>
          <w:spacing w:val="0"/>
          <w:kern w:val="0"/>
          <w:sz w:val="20"/>
          <w:rtl/>
        </w:rPr>
      </w:pPr>
      <w:r w:rsidRPr="002E2361">
        <w:rPr>
          <w:rFonts w:hint="cs"/>
          <w:spacing w:val="0"/>
          <w:kern w:val="0"/>
          <w:sz w:val="20"/>
          <w:rtl/>
        </w:rPr>
        <w:t>(</w:t>
      </w:r>
      <w:r w:rsidR="004E0A37" w:rsidRPr="002E2361">
        <w:rPr>
          <w:rFonts w:hint="cs"/>
          <w:spacing w:val="0"/>
          <w:kern w:val="0"/>
          <w:sz w:val="20"/>
          <w:rtl/>
        </w:rPr>
        <w:t>38</w:t>
      </w:r>
      <w:r w:rsidR="003E72B5" w:rsidRPr="002E2361">
        <w:rPr>
          <w:rFonts w:hint="cs"/>
          <w:spacing w:val="0"/>
          <w:kern w:val="0"/>
          <w:sz w:val="20"/>
          <w:rtl/>
        </w:rPr>
        <w:t>)</w:t>
      </w:r>
      <w:r w:rsidR="003E72B5" w:rsidRPr="002E2361">
        <w:rPr>
          <w:rFonts w:hint="cs"/>
          <w:spacing w:val="0"/>
          <w:kern w:val="0"/>
          <w:sz w:val="20"/>
          <w:rtl/>
        </w:rPr>
        <w:tab/>
      </w:r>
      <w:r w:rsidR="004E0A37" w:rsidRPr="002E2361">
        <w:rPr>
          <w:rFonts w:hint="cs"/>
          <w:spacing w:val="0"/>
          <w:kern w:val="0"/>
          <w:sz w:val="20"/>
          <w:rtl/>
        </w:rPr>
        <w:t xml:space="preserve">وتدعو اللجنة الدولة الطرف إلى أن تواصل تحديث وثيقتها الأساسية المشتركة </w:t>
      </w:r>
      <w:r w:rsidR="004E0A37" w:rsidRPr="002E2361">
        <w:rPr>
          <w:spacing w:val="0"/>
          <w:kern w:val="0"/>
          <w:sz w:val="20"/>
        </w:rPr>
        <w:t>HRI/CORE/DEU/2009)</w:t>
      </w:r>
      <w:r w:rsidR="004E0A37" w:rsidRPr="002E2361">
        <w:rPr>
          <w:rFonts w:hint="cs"/>
          <w:spacing w:val="0"/>
          <w:kern w:val="0"/>
          <w:sz w:val="20"/>
          <w:rtl/>
        </w:rPr>
        <w:t>)،</w:t>
      </w:r>
      <w:r w:rsidR="00B345DB" w:rsidRPr="002E2361">
        <w:rPr>
          <w:rFonts w:hint="cs"/>
          <w:spacing w:val="0"/>
          <w:kern w:val="0"/>
          <w:sz w:val="20"/>
          <w:rtl/>
        </w:rPr>
        <w:t xml:space="preserve"> وفقاً </w:t>
      </w:r>
      <w:r w:rsidR="004E0A37" w:rsidRPr="002E2361">
        <w:rPr>
          <w:rFonts w:hint="cs"/>
          <w:spacing w:val="0"/>
          <w:kern w:val="0"/>
          <w:sz w:val="20"/>
          <w:rtl/>
        </w:rPr>
        <w:t>لمتطلبات الوثيقة الأساسية المشتركة الواردة في المبادئ التوجيهية المنسقة لتقديم التقارير بموجب المعاهدات الدولية لحقوق الإنسان (</w:t>
      </w:r>
      <w:r w:rsidR="004E0A37" w:rsidRPr="002E2361">
        <w:rPr>
          <w:spacing w:val="0"/>
          <w:kern w:val="0"/>
          <w:sz w:val="20"/>
        </w:rPr>
        <w:t>HRI/GEN.2/Rev.6</w:t>
      </w:r>
      <w:r w:rsidR="004E0A37" w:rsidRPr="002E2361">
        <w:rPr>
          <w:rFonts w:hint="cs"/>
          <w:spacing w:val="0"/>
          <w:kern w:val="0"/>
          <w:sz w:val="20"/>
          <w:rtl/>
        </w:rPr>
        <w:t>).</w:t>
      </w:r>
    </w:p>
    <w:p w:rsidR="004E0A37" w:rsidRPr="002E2361" w:rsidRDefault="0033301A" w:rsidP="00A4030E">
      <w:pPr>
        <w:pStyle w:val="SingleTxtGA"/>
        <w:jc w:val="lowKashida"/>
        <w:rPr>
          <w:rFonts w:hint="cs"/>
          <w:spacing w:val="0"/>
          <w:kern w:val="0"/>
          <w:sz w:val="20"/>
          <w:rtl/>
        </w:rPr>
      </w:pPr>
      <w:r w:rsidRPr="002E2361">
        <w:rPr>
          <w:rFonts w:hint="cs"/>
          <w:spacing w:val="0"/>
          <w:kern w:val="0"/>
          <w:sz w:val="20"/>
          <w:rtl/>
        </w:rPr>
        <w:t>(</w:t>
      </w:r>
      <w:r w:rsidR="004E0A37" w:rsidRPr="002E2361">
        <w:rPr>
          <w:rFonts w:hint="cs"/>
          <w:spacing w:val="0"/>
          <w:kern w:val="0"/>
          <w:sz w:val="20"/>
          <w:rtl/>
        </w:rPr>
        <w:t>39</w:t>
      </w:r>
      <w:r w:rsidR="003E72B5" w:rsidRPr="002E2361">
        <w:rPr>
          <w:rFonts w:hint="cs"/>
          <w:spacing w:val="0"/>
          <w:kern w:val="0"/>
          <w:sz w:val="20"/>
          <w:rtl/>
        </w:rPr>
        <w:t>)</w:t>
      </w:r>
      <w:r w:rsidR="003E72B5" w:rsidRPr="002E2361">
        <w:rPr>
          <w:rFonts w:hint="cs"/>
          <w:spacing w:val="0"/>
          <w:kern w:val="0"/>
          <w:sz w:val="20"/>
          <w:rtl/>
        </w:rPr>
        <w:tab/>
      </w:r>
      <w:r w:rsidR="004E0A37" w:rsidRPr="002E2361">
        <w:rPr>
          <w:rFonts w:hint="cs"/>
          <w:spacing w:val="0"/>
          <w:kern w:val="0"/>
          <w:sz w:val="20"/>
          <w:rtl/>
        </w:rPr>
        <w:t>وترجو اللجنة من الدولة الطرف أن تقدم، في موعد لا يتجاوز 25 تشرين الثاني/</w:t>
      </w:r>
      <w:r w:rsidR="00BE2D5D" w:rsidRPr="002E2361">
        <w:rPr>
          <w:rFonts w:hint="cs"/>
          <w:spacing w:val="0"/>
          <w:kern w:val="0"/>
          <w:sz w:val="20"/>
          <w:rtl/>
        </w:rPr>
        <w:t xml:space="preserve"> </w:t>
      </w:r>
      <w:r w:rsidR="004E0A37" w:rsidRPr="002E2361">
        <w:rPr>
          <w:rFonts w:hint="cs"/>
          <w:spacing w:val="0"/>
          <w:kern w:val="0"/>
          <w:sz w:val="20"/>
          <w:rtl/>
        </w:rPr>
        <w:t xml:space="preserve">نوفمبر 2012، معلومات على سبيل المتابعة رداً على توصيات اللجنة </w:t>
      </w:r>
      <w:r w:rsidR="00F96B1E" w:rsidRPr="002E2361">
        <w:rPr>
          <w:rFonts w:hint="cs"/>
          <w:spacing w:val="0"/>
          <w:kern w:val="0"/>
          <w:sz w:val="20"/>
          <w:rtl/>
        </w:rPr>
        <w:t>فيما </w:t>
      </w:r>
      <w:r w:rsidR="004E0A37" w:rsidRPr="002E2361">
        <w:rPr>
          <w:rFonts w:hint="cs"/>
          <w:spacing w:val="0"/>
          <w:kern w:val="0"/>
          <w:sz w:val="20"/>
          <w:rtl/>
        </w:rPr>
        <w:t xml:space="preserve">يتعلق ب‍ </w:t>
      </w:r>
      <w:r w:rsidR="00BE2D5D" w:rsidRPr="002E2361">
        <w:rPr>
          <w:rFonts w:hint="cs"/>
          <w:spacing w:val="0"/>
          <w:kern w:val="0"/>
          <w:sz w:val="20"/>
          <w:rtl/>
        </w:rPr>
        <w:t>(</w:t>
      </w:r>
      <w:r w:rsidR="004E0A37" w:rsidRPr="002E2361">
        <w:rPr>
          <w:rFonts w:hint="cs"/>
          <w:spacing w:val="0"/>
          <w:kern w:val="0"/>
          <w:sz w:val="20"/>
          <w:rtl/>
        </w:rPr>
        <w:t>أ) تنظيم وتقييد استعمال القيود البدنية في جميع المؤسسات و(ب) الحد من عدد ملتمسي اللجوء المحتجزين بما في ذلك في "قضايا دبلن" وضمان إخضاع ملتمسي اللجوء المحتجزين لفحوصات طبية إلزامية و(ج) ممارسة ولايتها القضائية</w:t>
      </w:r>
      <w:r w:rsidR="00B345DB" w:rsidRPr="002E2361">
        <w:rPr>
          <w:rFonts w:hint="cs"/>
          <w:spacing w:val="0"/>
          <w:kern w:val="0"/>
          <w:sz w:val="20"/>
          <w:rtl/>
        </w:rPr>
        <w:t xml:space="preserve"> وفقاً </w:t>
      </w:r>
      <w:r w:rsidR="004E0A37" w:rsidRPr="002E2361">
        <w:rPr>
          <w:rFonts w:hint="cs"/>
          <w:spacing w:val="0"/>
          <w:kern w:val="0"/>
          <w:sz w:val="20"/>
          <w:rtl/>
        </w:rPr>
        <w:t>لأحكام المادة 5 من الاتفاقية وتقديم المعلومات بشأن سبل الانتصاف بما في ذلك التعويض المقدم إلى خالد المصري و(ج)</w:t>
      </w:r>
      <w:r w:rsidR="004E0A37" w:rsidRPr="002E2361">
        <w:rPr>
          <w:rFonts w:hint="eastAsia"/>
          <w:spacing w:val="0"/>
          <w:kern w:val="0"/>
          <w:sz w:val="20"/>
          <w:rtl/>
        </w:rPr>
        <w:t> </w:t>
      </w:r>
      <w:r w:rsidR="004E0A37" w:rsidRPr="002E2361">
        <w:rPr>
          <w:rFonts w:hint="cs"/>
          <w:spacing w:val="0"/>
          <w:kern w:val="0"/>
          <w:sz w:val="20"/>
          <w:rtl/>
        </w:rPr>
        <w:t>ضمان إمكانية التعرف فعلياً على هوية أفراد الشرطة في جميع الولايات ومساءلتهم عندما يكونون متورطين في سوء المعاملة، على النحو المشار إليه في الفقرات 16 و24 و28 و30 من هذه الوثيقة.</w:t>
      </w:r>
    </w:p>
    <w:p w:rsidR="004E0A37" w:rsidRPr="002E2361" w:rsidRDefault="0033301A" w:rsidP="004E0A37">
      <w:pPr>
        <w:pStyle w:val="SingleTxtGA"/>
        <w:jc w:val="lowKashida"/>
        <w:rPr>
          <w:rFonts w:hint="cs"/>
          <w:spacing w:val="0"/>
          <w:kern w:val="0"/>
          <w:sz w:val="20"/>
          <w:rtl/>
        </w:rPr>
      </w:pPr>
      <w:r w:rsidRPr="002E2361">
        <w:rPr>
          <w:rFonts w:hint="cs"/>
          <w:spacing w:val="0"/>
          <w:kern w:val="0"/>
          <w:sz w:val="20"/>
          <w:rtl/>
        </w:rPr>
        <w:t>(</w:t>
      </w:r>
      <w:r w:rsidR="004E0A37" w:rsidRPr="002E2361">
        <w:rPr>
          <w:rFonts w:hint="cs"/>
          <w:spacing w:val="0"/>
          <w:kern w:val="0"/>
          <w:sz w:val="20"/>
          <w:rtl/>
        </w:rPr>
        <w:t>40</w:t>
      </w:r>
      <w:r w:rsidR="003E72B5" w:rsidRPr="002E2361">
        <w:rPr>
          <w:rFonts w:hint="cs"/>
          <w:spacing w:val="0"/>
          <w:kern w:val="0"/>
          <w:sz w:val="20"/>
          <w:rtl/>
        </w:rPr>
        <w:t>)</w:t>
      </w:r>
      <w:r w:rsidR="003E72B5" w:rsidRPr="002E2361">
        <w:rPr>
          <w:rFonts w:hint="cs"/>
          <w:spacing w:val="0"/>
          <w:kern w:val="0"/>
          <w:sz w:val="20"/>
          <w:rtl/>
        </w:rPr>
        <w:tab/>
      </w:r>
      <w:r w:rsidR="004E0A37" w:rsidRPr="002E2361">
        <w:rPr>
          <w:rFonts w:hint="cs"/>
          <w:spacing w:val="0"/>
          <w:kern w:val="0"/>
          <w:sz w:val="20"/>
          <w:rtl/>
        </w:rPr>
        <w:t>وتدعو اللجنة الدولة الطرف إلى تقديم تقريرها الدوري المقبل الذي سيكون التقرير الدوري السادس، في موعد أقصاه 25 تشرين الثاني/نوفمبر 2015. ولهذا الغرض، تدعو اللجنة الدولة الطرف إلى أن توافق، في موعد أقصاه 25 تشرين الثاني/نوفمبر 2012، على تقديم تقرير بموجب إجراءات تقديم التقارير الاختيارية، يتضمن إحالة اللجنة إلى الدولة الطرف لقائمة المسائل قبل تقديم التقرير الدوري. وسيشكّل رد الدولة الطرف على قائمة المسائل هذه، بموجب المادة 19 من الاتفاقية، تقريرها الدوري المقبل المقدم إلى اللجنة.</w:t>
      </w:r>
    </w:p>
    <w:p w:rsidR="004E0A37" w:rsidRPr="002E2361" w:rsidRDefault="00DA0B1C" w:rsidP="004E0A37">
      <w:pPr>
        <w:pStyle w:val="SingleTxtGA"/>
        <w:jc w:val="lowKashida"/>
        <w:rPr>
          <w:rFonts w:hint="cs"/>
          <w:spacing w:val="0"/>
          <w:kern w:val="0"/>
          <w:sz w:val="20"/>
          <w:rtl/>
        </w:rPr>
      </w:pPr>
      <w:r w:rsidRPr="002E2361">
        <w:rPr>
          <w:rFonts w:hint="cs"/>
          <w:spacing w:val="0"/>
          <w:kern w:val="0"/>
          <w:sz w:val="20"/>
          <w:rtl/>
        </w:rPr>
        <w:t>56</w:t>
      </w:r>
      <w:r w:rsidR="004E0A37" w:rsidRPr="002E2361">
        <w:rPr>
          <w:rFonts w:hint="cs"/>
          <w:spacing w:val="0"/>
          <w:kern w:val="0"/>
          <w:sz w:val="20"/>
          <w:rtl/>
        </w:rPr>
        <w:t>-</w:t>
      </w:r>
      <w:r w:rsidR="004E0A37" w:rsidRPr="002E2361">
        <w:rPr>
          <w:rFonts w:hint="cs"/>
          <w:spacing w:val="0"/>
          <w:kern w:val="0"/>
          <w:sz w:val="20"/>
          <w:rtl/>
        </w:rPr>
        <w:tab/>
      </w:r>
      <w:r w:rsidR="004E0A37" w:rsidRPr="002E2361">
        <w:rPr>
          <w:rFonts w:hint="cs"/>
          <w:b/>
          <w:bCs/>
          <w:spacing w:val="0"/>
          <w:kern w:val="0"/>
          <w:sz w:val="20"/>
          <w:rtl/>
        </w:rPr>
        <w:t>مدغشقر</w:t>
      </w:r>
    </w:p>
    <w:p w:rsidR="004E0A37" w:rsidRPr="002E2361" w:rsidRDefault="004E0A37" w:rsidP="004E0A37">
      <w:pPr>
        <w:pStyle w:val="SingleTxtGA"/>
        <w:jc w:val="lowKashida"/>
        <w:rPr>
          <w:rFonts w:hint="cs"/>
          <w:spacing w:val="0"/>
          <w:kern w:val="0"/>
          <w:sz w:val="20"/>
          <w:rtl/>
        </w:rPr>
      </w:pPr>
      <w:r w:rsidRPr="002E2361">
        <w:rPr>
          <w:rFonts w:hint="cs"/>
          <w:spacing w:val="0"/>
          <w:kern w:val="0"/>
          <w:sz w:val="20"/>
          <w:rtl/>
        </w:rPr>
        <w:t>(1</w:t>
      </w:r>
      <w:r w:rsidR="003E72B5" w:rsidRPr="002E2361">
        <w:rPr>
          <w:rFonts w:hint="cs"/>
          <w:spacing w:val="0"/>
          <w:kern w:val="0"/>
          <w:sz w:val="20"/>
          <w:rtl/>
        </w:rPr>
        <w:t>)</w:t>
      </w:r>
      <w:r w:rsidR="003E72B5" w:rsidRPr="002E2361">
        <w:rPr>
          <w:rFonts w:hint="cs"/>
          <w:spacing w:val="0"/>
          <w:kern w:val="0"/>
          <w:sz w:val="20"/>
          <w:rtl/>
        </w:rPr>
        <w:tab/>
      </w:r>
      <w:r w:rsidRPr="002E2361">
        <w:rPr>
          <w:rFonts w:hint="cs"/>
          <w:spacing w:val="0"/>
          <w:kern w:val="0"/>
          <w:sz w:val="20"/>
          <w:rtl/>
        </w:rPr>
        <w:t xml:space="preserve">نظرت لجنة مناهضة التعذيب في التقرير الأولي لمدغشقر </w:t>
      </w:r>
      <w:r w:rsidRPr="002E2361">
        <w:rPr>
          <w:spacing w:val="0"/>
          <w:kern w:val="0"/>
          <w:sz w:val="20"/>
        </w:rPr>
        <w:t>(CAT/C/MDG/1)</w:t>
      </w:r>
      <w:r w:rsidRPr="002E2361">
        <w:rPr>
          <w:rFonts w:hint="cs"/>
          <w:spacing w:val="0"/>
          <w:kern w:val="0"/>
          <w:sz w:val="20"/>
          <w:rtl/>
        </w:rPr>
        <w:t xml:space="preserve"> في جلستيها 1034 و1037 (</w:t>
      </w:r>
      <w:r w:rsidRPr="002E2361">
        <w:rPr>
          <w:spacing w:val="0"/>
          <w:kern w:val="0"/>
          <w:sz w:val="20"/>
        </w:rPr>
        <w:t>CAT/C/SR.1034</w:t>
      </w:r>
      <w:r w:rsidRPr="002E2361">
        <w:rPr>
          <w:rFonts w:hint="cs"/>
          <w:spacing w:val="0"/>
          <w:kern w:val="0"/>
          <w:sz w:val="20"/>
          <w:rtl/>
        </w:rPr>
        <w:t xml:space="preserve"> و</w:t>
      </w:r>
      <w:r w:rsidRPr="002E2361">
        <w:rPr>
          <w:spacing w:val="0"/>
          <w:kern w:val="0"/>
          <w:sz w:val="20"/>
        </w:rPr>
        <w:t>1037</w:t>
      </w:r>
      <w:r w:rsidRPr="002E2361">
        <w:rPr>
          <w:rFonts w:hint="cs"/>
          <w:spacing w:val="0"/>
          <w:kern w:val="0"/>
          <w:sz w:val="20"/>
          <w:rtl/>
        </w:rPr>
        <w:t>) المعقودتين يومي 10 و11 تشرين الثاني/نوفمبر 2011، واعتمدت في جلستيها 1052 و1053 (</w:t>
      </w:r>
      <w:r w:rsidRPr="002E2361">
        <w:rPr>
          <w:spacing w:val="0"/>
          <w:kern w:val="0"/>
          <w:sz w:val="20"/>
        </w:rPr>
        <w:t>CAT/C/SR.1052</w:t>
      </w:r>
      <w:r w:rsidRPr="002E2361">
        <w:rPr>
          <w:rFonts w:hint="cs"/>
          <w:spacing w:val="0"/>
          <w:kern w:val="0"/>
          <w:sz w:val="20"/>
          <w:rtl/>
        </w:rPr>
        <w:t xml:space="preserve"> و</w:t>
      </w:r>
      <w:r w:rsidRPr="002E2361">
        <w:rPr>
          <w:spacing w:val="0"/>
          <w:kern w:val="0"/>
          <w:sz w:val="20"/>
        </w:rPr>
        <w:t>1053</w:t>
      </w:r>
      <w:r w:rsidRPr="002E2361">
        <w:rPr>
          <w:rFonts w:hint="cs"/>
          <w:spacing w:val="0"/>
          <w:kern w:val="0"/>
          <w:sz w:val="20"/>
          <w:rtl/>
        </w:rPr>
        <w:t>) المعقودتين في 23 تشرين الثاني/نوفمبر 2011 الملاحظات الختامية التالية.</w:t>
      </w:r>
    </w:p>
    <w:p w:rsidR="004E0A37" w:rsidRPr="004E0A37" w:rsidRDefault="007223C0" w:rsidP="002E2361">
      <w:pPr>
        <w:pStyle w:val="H23GA"/>
        <w:keepNext/>
        <w:tabs>
          <w:tab w:val="left" w:pos="1939"/>
        </w:tabs>
        <w:rPr>
          <w:rFonts w:hint="cs"/>
          <w:rtl/>
        </w:rPr>
      </w:pPr>
      <w:r>
        <w:rPr>
          <w:rFonts w:hint="cs"/>
          <w:rtl/>
        </w:rPr>
        <w:tab/>
      </w:r>
      <w:r w:rsidR="004E0A37" w:rsidRPr="004E0A37">
        <w:rPr>
          <w:rFonts w:hint="cs"/>
          <w:rtl/>
        </w:rPr>
        <w:tab/>
        <w:t>ألف-</w:t>
      </w:r>
      <w:r w:rsidR="004E0A37" w:rsidRPr="004E0A37">
        <w:rPr>
          <w:rFonts w:hint="cs"/>
          <w:rtl/>
        </w:rPr>
        <w:tab/>
        <w:t>مقدمة</w:t>
      </w:r>
    </w:p>
    <w:p w:rsidR="004E0A37" w:rsidRPr="004E0A37" w:rsidRDefault="004E0A37" w:rsidP="004E0A37">
      <w:pPr>
        <w:pStyle w:val="SingleTxtGA"/>
        <w:jc w:val="lowKashida"/>
        <w:rPr>
          <w:rFonts w:hint="cs"/>
          <w:spacing w:val="0"/>
          <w:sz w:val="20"/>
          <w:rtl/>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rFonts w:hint="cs"/>
          <w:spacing w:val="0"/>
          <w:sz w:val="20"/>
          <w:rtl/>
        </w:rPr>
        <w:t>ترحب اللجنة مع التقدير بتقديم مدغشقر تقريرها الأولي. وترحب بالحوار الصريح والبناء الذي أجرته مع وفد الدولة الطرف وتعرب عن شكرها له لتقديم ردود مفصلة على الأسئلة المطروحة أثناء الحوار، وللردود المكتوبة التي قدمها في وقت لاحق.</w:t>
      </w:r>
    </w:p>
    <w:p w:rsidR="004E0A37" w:rsidRPr="004E0A37" w:rsidRDefault="007223C0" w:rsidP="002E2361">
      <w:pPr>
        <w:pStyle w:val="H23GA"/>
        <w:tabs>
          <w:tab w:val="left" w:pos="1911"/>
        </w:tabs>
        <w:rPr>
          <w:rFonts w:hint="cs"/>
          <w:rtl/>
        </w:rPr>
      </w:pPr>
      <w:r>
        <w:rPr>
          <w:rFonts w:hint="cs"/>
          <w:rtl/>
        </w:rPr>
        <w:tab/>
      </w:r>
      <w:r>
        <w:rPr>
          <w:rFonts w:hint="cs"/>
          <w:rtl/>
        </w:rPr>
        <w:tab/>
        <w:t>باء-</w:t>
      </w:r>
      <w:r w:rsidR="00E25E42">
        <w:rPr>
          <w:rtl/>
        </w:rPr>
        <w:tab/>
      </w:r>
      <w:r w:rsidR="004E0A37" w:rsidRPr="004E0A37">
        <w:rPr>
          <w:rFonts w:hint="cs"/>
          <w:rtl/>
        </w:rPr>
        <w:t>الجوانب الإيجابية</w:t>
      </w:r>
    </w:p>
    <w:p w:rsidR="004E0A37" w:rsidRPr="004E0A37" w:rsidRDefault="004E0A37" w:rsidP="002E2361">
      <w:pPr>
        <w:pStyle w:val="SingleTxtGA"/>
        <w:spacing w:line="370" w:lineRule="exact"/>
        <w:jc w:val="lowKashida"/>
        <w:rPr>
          <w:rFonts w:hint="cs"/>
          <w:spacing w:val="0"/>
          <w:sz w:val="20"/>
          <w:rtl/>
        </w:rPr>
      </w:pPr>
      <w:r w:rsidRPr="004E0A37">
        <w:rPr>
          <w:rFonts w:hint="cs"/>
          <w:spacing w:val="0"/>
          <w:sz w:val="20"/>
          <w:rtl/>
        </w:rPr>
        <w:t>(3</w:t>
      </w:r>
      <w:r w:rsidR="003E72B5">
        <w:rPr>
          <w:rFonts w:hint="cs"/>
          <w:spacing w:val="0"/>
          <w:sz w:val="20"/>
          <w:rtl/>
        </w:rPr>
        <w:t>)</w:t>
      </w:r>
      <w:r w:rsidR="003E72B5">
        <w:rPr>
          <w:rFonts w:hint="cs"/>
          <w:spacing w:val="0"/>
          <w:sz w:val="20"/>
          <w:rtl/>
        </w:rPr>
        <w:tab/>
      </w:r>
      <w:r w:rsidRPr="004E0A37">
        <w:rPr>
          <w:rFonts w:hint="cs"/>
          <w:spacing w:val="0"/>
          <w:sz w:val="20"/>
          <w:rtl/>
        </w:rPr>
        <w:t>ترحب اللجنة مع التقدير بتصديق الدولة الطرف، أثناء الفترة قيد الاستعراض، على الصكوك الدولية الواردة أدناه:</w:t>
      </w:r>
    </w:p>
    <w:p w:rsidR="004E0A37" w:rsidRPr="004E0A37" w:rsidRDefault="004E0A37" w:rsidP="002E2361">
      <w:pPr>
        <w:pStyle w:val="SingleTxtGA"/>
        <w:spacing w:line="370" w:lineRule="exact"/>
        <w:jc w:val="lowKashida"/>
        <w:rPr>
          <w:rFonts w:hint="cs"/>
          <w:spacing w:val="0"/>
          <w:sz w:val="20"/>
          <w:rtl/>
        </w:rPr>
      </w:pPr>
      <w:r w:rsidRPr="004E0A37">
        <w:rPr>
          <w:rFonts w:hint="cs"/>
          <w:spacing w:val="0"/>
          <w:sz w:val="20"/>
          <w:rtl/>
        </w:rPr>
        <w:tab/>
        <w:t>(أ)</w:t>
      </w:r>
      <w:r w:rsidRPr="004E0A37">
        <w:rPr>
          <w:rFonts w:hint="cs"/>
          <w:spacing w:val="0"/>
          <w:sz w:val="20"/>
          <w:rtl/>
        </w:rPr>
        <w:tab/>
        <w:t>نظام روما الأساسي للمحكمة الجنائية الدولية، في عام 2008؛</w:t>
      </w:r>
    </w:p>
    <w:p w:rsidR="004E0A37" w:rsidRPr="004E0A37" w:rsidRDefault="004E0A37" w:rsidP="002E2361">
      <w:pPr>
        <w:pStyle w:val="SingleTxtGA"/>
        <w:spacing w:line="370" w:lineRule="exact"/>
        <w:jc w:val="lowKashida"/>
        <w:rPr>
          <w:rFonts w:hint="cs"/>
          <w:spacing w:val="0"/>
          <w:sz w:val="20"/>
          <w:rtl/>
        </w:rPr>
      </w:pPr>
      <w:r w:rsidRPr="004E0A37">
        <w:rPr>
          <w:rFonts w:hint="cs"/>
          <w:spacing w:val="0"/>
          <w:sz w:val="20"/>
          <w:rtl/>
        </w:rPr>
        <w:tab/>
        <w:t>(ب)</w:t>
      </w:r>
      <w:r w:rsidRPr="004E0A37">
        <w:rPr>
          <w:rFonts w:hint="cs"/>
          <w:spacing w:val="0"/>
          <w:sz w:val="20"/>
          <w:rtl/>
        </w:rPr>
        <w:tab/>
        <w:t>اتفاقية منظمة العمل الدولية(رقم 105) المتعلقة بإلغاء العمل الجبري، في عام 2007.</w:t>
      </w:r>
    </w:p>
    <w:p w:rsidR="004E0A37" w:rsidRPr="004E0A37" w:rsidRDefault="0033301A" w:rsidP="002E2361">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4</w:t>
      </w:r>
      <w:r w:rsidR="003E72B5">
        <w:rPr>
          <w:rFonts w:hint="cs"/>
          <w:spacing w:val="0"/>
          <w:sz w:val="20"/>
          <w:rtl/>
        </w:rPr>
        <w:t>)</w:t>
      </w:r>
      <w:r w:rsidR="003E72B5">
        <w:rPr>
          <w:rFonts w:hint="cs"/>
          <w:spacing w:val="0"/>
          <w:sz w:val="20"/>
          <w:rtl/>
        </w:rPr>
        <w:tab/>
      </w:r>
      <w:r w:rsidR="004E0A37" w:rsidRPr="004E0A37">
        <w:rPr>
          <w:rFonts w:hint="cs"/>
          <w:spacing w:val="0"/>
          <w:sz w:val="20"/>
          <w:rtl/>
        </w:rPr>
        <w:t>وتأخذ اللجنة</w:t>
      </w:r>
      <w:r w:rsidR="003833F8">
        <w:rPr>
          <w:rFonts w:hint="cs"/>
          <w:spacing w:val="0"/>
          <w:sz w:val="20"/>
          <w:rtl/>
        </w:rPr>
        <w:t xml:space="preserve"> علماً </w:t>
      </w:r>
      <w:r w:rsidR="004E0A37" w:rsidRPr="004E0A37">
        <w:rPr>
          <w:rFonts w:hint="cs"/>
          <w:spacing w:val="0"/>
          <w:sz w:val="20"/>
          <w:rtl/>
        </w:rPr>
        <w:t>بتعهد الدولة الطرف بالتصديق على البروتوكول الاختياري لاتفاقية مناهضة التعذيب وبوضع خطة عمل لتنفيذ التوصيات المقدمة في إطار عملية الاستعراض الدوري الشامل، بما في ذلك اتخاذ تدابير مناسبة للقضاء، بشكل فعال، على التعذيب وسوء المعاملة.</w:t>
      </w:r>
    </w:p>
    <w:p w:rsidR="004E0A37" w:rsidRPr="004E0A37" w:rsidRDefault="0033301A" w:rsidP="002E2361">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5</w:t>
      </w:r>
      <w:r w:rsidR="003E72B5">
        <w:rPr>
          <w:rFonts w:hint="cs"/>
          <w:spacing w:val="0"/>
          <w:sz w:val="20"/>
          <w:rtl/>
        </w:rPr>
        <w:t>)</w:t>
      </w:r>
      <w:r w:rsidR="003E72B5">
        <w:rPr>
          <w:rFonts w:hint="cs"/>
          <w:spacing w:val="0"/>
          <w:sz w:val="20"/>
          <w:rtl/>
        </w:rPr>
        <w:tab/>
      </w:r>
      <w:r w:rsidR="004E0A37" w:rsidRPr="004E0A37">
        <w:rPr>
          <w:rFonts w:hint="cs"/>
          <w:spacing w:val="0"/>
          <w:sz w:val="20"/>
          <w:rtl/>
        </w:rPr>
        <w:t>وتأخذ اللجنة</w:t>
      </w:r>
      <w:r w:rsidR="003833F8">
        <w:rPr>
          <w:rFonts w:hint="cs"/>
          <w:spacing w:val="0"/>
          <w:sz w:val="20"/>
          <w:rtl/>
        </w:rPr>
        <w:t xml:space="preserve"> علماً </w:t>
      </w:r>
      <w:r w:rsidR="004E0A37" w:rsidRPr="004E0A37">
        <w:rPr>
          <w:rFonts w:hint="cs"/>
          <w:spacing w:val="0"/>
          <w:sz w:val="20"/>
          <w:rtl/>
        </w:rPr>
        <w:t>أيضاً بما يلي:</w:t>
      </w:r>
    </w:p>
    <w:p w:rsidR="004E0A37" w:rsidRPr="004E0A37" w:rsidRDefault="004E0A37" w:rsidP="002E2361">
      <w:pPr>
        <w:pStyle w:val="SingleTxtGA"/>
        <w:spacing w:after="60" w:line="370" w:lineRule="exact"/>
        <w:jc w:val="lowKashida"/>
        <w:rPr>
          <w:rFonts w:hint="cs"/>
          <w:spacing w:val="0"/>
          <w:sz w:val="20"/>
          <w:rtl/>
        </w:rPr>
      </w:pPr>
      <w:r w:rsidRPr="004E0A37">
        <w:rPr>
          <w:rFonts w:hint="cs"/>
          <w:spacing w:val="0"/>
          <w:sz w:val="20"/>
          <w:rtl/>
        </w:rPr>
        <w:tab/>
        <w:t>(أ)</w:t>
      </w:r>
      <w:r w:rsidRPr="004E0A37">
        <w:rPr>
          <w:rFonts w:hint="cs"/>
          <w:spacing w:val="0"/>
          <w:sz w:val="20"/>
          <w:rtl/>
        </w:rPr>
        <w:tab/>
        <w:t>أن دستور الدولة الطر</w:t>
      </w:r>
      <w:r w:rsidR="00E25E42">
        <w:rPr>
          <w:rFonts w:hint="cs"/>
          <w:spacing w:val="0"/>
          <w:sz w:val="20"/>
          <w:rtl/>
        </w:rPr>
        <w:t>ف يحظر التعذيب؛</w:t>
      </w:r>
    </w:p>
    <w:p w:rsidR="004E0A37" w:rsidRPr="004E0A37" w:rsidRDefault="004E0A37" w:rsidP="002E2361">
      <w:pPr>
        <w:pStyle w:val="SingleTxtGA"/>
        <w:spacing w:after="60" w:line="370" w:lineRule="exact"/>
        <w:jc w:val="lowKashida"/>
        <w:rPr>
          <w:rFonts w:hint="cs"/>
          <w:spacing w:val="0"/>
          <w:sz w:val="20"/>
          <w:rtl/>
        </w:rPr>
      </w:pPr>
      <w:r w:rsidRPr="004E0A37">
        <w:rPr>
          <w:rFonts w:hint="cs"/>
          <w:spacing w:val="0"/>
          <w:sz w:val="20"/>
          <w:rtl/>
        </w:rPr>
        <w:tab/>
        <w:t>(ب)</w:t>
      </w:r>
      <w:r w:rsidRPr="004E0A37">
        <w:rPr>
          <w:rFonts w:hint="cs"/>
          <w:spacing w:val="0"/>
          <w:sz w:val="20"/>
          <w:rtl/>
        </w:rPr>
        <w:tab/>
        <w:t>إعلان الدولة الطرف أن التوقيع في أيلول/سبتمبر 2011 على خريطة طريق للخروج من الأزمة، الذي أدى إلى تعيين رئيس وزراء بتوافق الآراء، يُتوقع أن يسمح أيضاً باستئناف عمل المؤسسات الوطنية بصورة طبيعية بعد أن توقفت منذ عام 2009 بسبب الأزمة السياسية. وسيسمح عمل هذه المؤسسات، ولا سيما البرلمان، باعتماد أو تنقيح قوانين لجعل التشريع المحلي متوافقاً مع المعايير المنصوص عليها في الصكوك الدولية لحقوق الإنسان التي صدقت عليها الدولة الطرف؛</w:t>
      </w:r>
    </w:p>
    <w:p w:rsidR="004E0A37" w:rsidRPr="004E0A37" w:rsidRDefault="004E0A37" w:rsidP="002E2361">
      <w:pPr>
        <w:pStyle w:val="SingleTxtGA"/>
        <w:spacing w:after="60" w:line="370" w:lineRule="exact"/>
        <w:jc w:val="lowKashida"/>
        <w:rPr>
          <w:rFonts w:hint="cs"/>
          <w:spacing w:val="0"/>
          <w:sz w:val="20"/>
          <w:rtl/>
        </w:rPr>
      </w:pPr>
      <w:r w:rsidRPr="004E0A37">
        <w:rPr>
          <w:rFonts w:hint="cs"/>
          <w:spacing w:val="0"/>
          <w:sz w:val="20"/>
          <w:rtl/>
        </w:rPr>
        <w:tab/>
        <w:t>(ج)</w:t>
      </w:r>
      <w:r w:rsidRPr="004E0A37">
        <w:rPr>
          <w:rFonts w:hint="cs"/>
          <w:spacing w:val="0"/>
          <w:sz w:val="20"/>
          <w:rtl/>
        </w:rPr>
        <w:tab/>
        <w:t>تعهد الدولة الطرف بأن تؤكد، في أقرب وقت ممكن، الدعوة الدائمة التي قدمتها شفهياً إلى الإجراءات الخاصة التابعة لمجلس حقوق الإنسان؛</w:t>
      </w:r>
    </w:p>
    <w:p w:rsidR="004E0A37" w:rsidRPr="004E0A37" w:rsidRDefault="004E0A37" w:rsidP="002E2361">
      <w:pPr>
        <w:pStyle w:val="SingleTxtGA"/>
        <w:spacing w:line="370" w:lineRule="exact"/>
        <w:jc w:val="lowKashida"/>
        <w:rPr>
          <w:rFonts w:hint="cs"/>
          <w:spacing w:val="0"/>
          <w:sz w:val="20"/>
          <w:rtl/>
        </w:rPr>
      </w:pPr>
      <w:r w:rsidRPr="004E0A37">
        <w:rPr>
          <w:rFonts w:hint="cs"/>
          <w:spacing w:val="0"/>
          <w:sz w:val="20"/>
          <w:rtl/>
        </w:rPr>
        <w:tab/>
        <w:t>(د)</w:t>
      </w:r>
      <w:r w:rsidRPr="004E0A37">
        <w:rPr>
          <w:rFonts w:hint="cs"/>
          <w:spacing w:val="0"/>
          <w:sz w:val="20"/>
          <w:rtl/>
        </w:rPr>
        <w:tab/>
        <w:t>تطبيق وقف اختياري، بحكم الواقع، لعقوبة عقوبة الإعدام.</w:t>
      </w:r>
    </w:p>
    <w:p w:rsidR="004E0A37" w:rsidRPr="004E0A37" w:rsidRDefault="007223C0" w:rsidP="002E2361">
      <w:pPr>
        <w:pStyle w:val="H23GA"/>
        <w:tabs>
          <w:tab w:val="left" w:pos="1911"/>
        </w:tabs>
        <w:spacing w:line="360" w:lineRule="exact"/>
        <w:rPr>
          <w:rFonts w:hint="cs"/>
          <w:rtl/>
        </w:rPr>
      </w:pPr>
      <w:r>
        <w:rPr>
          <w:rFonts w:hint="cs"/>
          <w:rtl/>
        </w:rPr>
        <w:tab/>
      </w:r>
      <w:r>
        <w:rPr>
          <w:rFonts w:hint="cs"/>
          <w:rtl/>
        </w:rPr>
        <w:tab/>
        <w:t>جيم-</w:t>
      </w:r>
      <w:r w:rsidR="004E0A37" w:rsidRPr="004E0A37">
        <w:rPr>
          <w:rFonts w:hint="cs"/>
          <w:rtl/>
        </w:rPr>
        <w:tab/>
        <w:t>دواعي القلق الرئيسية والتوصيات</w:t>
      </w:r>
    </w:p>
    <w:p w:rsidR="004E0A37" w:rsidRPr="004E0A37" w:rsidRDefault="004E0A37" w:rsidP="00DA0B1C">
      <w:pPr>
        <w:pStyle w:val="H23GA"/>
        <w:spacing w:line="360" w:lineRule="exact"/>
        <w:rPr>
          <w:rFonts w:hint="cs"/>
          <w:rtl/>
        </w:rPr>
      </w:pPr>
      <w:r w:rsidRPr="004E0A37">
        <w:rPr>
          <w:rFonts w:hint="cs"/>
          <w:rtl/>
        </w:rPr>
        <w:tab/>
      </w:r>
      <w:r w:rsidRPr="004E0A37">
        <w:rPr>
          <w:rFonts w:hint="cs"/>
          <w:rtl/>
        </w:rPr>
        <w:tab/>
        <w:t>تجريم التعذيب وسوء المعاملة</w:t>
      </w:r>
    </w:p>
    <w:p w:rsidR="004E0A37" w:rsidRPr="004E0A37" w:rsidRDefault="0033301A" w:rsidP="00DA0B1C">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6</w:t>
      </w:r>
      <w:r w:rsidR="003E72B5">
        <w:rPr>
          <w:rFonts w:hint="cs"/>
          <w:spacing w:val="0"/>
          <w:sz w:val="20"/>
          <w:rtl/>
        </w:rPr>
        <w:t>)</w:t>
      </w:r>
      <w:r w:rsidR="003E72B5">
        <w:rPr>
          <w:rFonts w:hint="cs"/>
          <w:spacing w:val="0"/>
          <w:sz w:val="20"/>
          <w:rtl/>
        </w:rPr>
        <w:tab/>
      </w:r>
      <w:r w:rsidR="00F96B1E">
        <w:rPr>
          <w:rFonts w:hint="cs"/>
          <w:spacing w:val="0"/>
          <w:sz w:val="20"/>
          <w:rtl/>
        </w:rPr>
        <w:t>فيما </w:t>
      </w:r>
      <w:r w:rsidR="004E0A37" w:rsidRPr="004E0A37">
        <w:rPr>
          <w:rFonts w:hint="cs"/>
          <w:spacing w:val="0"/>
          <w:sz w:val="20"/>
          <w:rtl/>
        </w:rPr>
        <w:t>تأخذ اللجنة</w:t>
      </w:r>
      <w:r w:rsidR="003833F8">
        <w:rPr>
          <w:rFonts w:hint="cs"/>
          <w:spacing w:val="0"/>
          <w:sz w:val="20"/>
          <w:rtl/>
        </w:rPr>
        <w:t xml:space="preserve"> علماً </w:t>
      </w:r>
      <w:r w:rsidR="004E0A37" w:rsidRPr="004E0A37">
        <w:rPr>
          <w:rFonts w:hint="cs"/>
          <w:spacing w:val="0"/>
          <w:sz w:val="20"/>
          <w:rtl/>
        </w:rPr>
        <w:t>باعتماد الدولة الطرف، في 25 حزيران/يونيه 2008، للقانون رقم 2008-008 المتعلق بمناهضة التعذيب وغيره من ضروب المعاملة أو العقوبة القاسية أو اللاإنسانية أو المهينة،</w:t>
      </w:r>
      <w:r w:rsidR="00B345DB">
        <w:rPr>
          <w:rFonts w:hint="cs"/>
          <w:spacing w:val="0"/>
          <w:sz w:val="20"/>
          <w:rtl/>
        </w:rPr>
        <w:t xml:space="preserve"> وفقاً </w:t>
      </w:r>
      <w:r w:rsidR="004E0A37" w:rsidRPr="004E0A37">
        <w:rPr>
          <w:rFonts w:hint="cs"/>
          <w:spacing w:val="0"/>
          <w:sz w:val="20"/>
          <w:rtl/>
        </w:rPr>
        <w:t xml:space="preserve">للاتفاقية، يساورها القلق إزاء عدم إشارة القانون تحديداً إلى فرض عقوبات على أفعال سوء المعاملة، الشيء الذي يمنح القاضي سلطة تقديرية </w:t>
      </w:r>
      <w:r w:rsidR="00F96B1E">
        <w:rPr>
          <w:rFonts w:hint="cs"/>
          <w:spacing w:val="0"/>
          <w:sz w:val="20"/>
          <w:rtl/>
        </w:rPr>
        <w:t>فيما </w:t>
      </w:r>
      <w:r w:rsidR="004E0A37" w:rsidRPr="004E0A37">
        <w:rPr>
          <w:rFonts w:hint="cs"/>
          <w:spacing w:val="0"/>
          <w:sz w:val="20"/>
          <w:rtl/>
        </w:rPr>
        <w:t>يتعلق بتحديد العقوبة. وترى اللجنة أن عدم إشارة القانون إلى طائفة محددة من العقوبات ينتهك مبدأ المساواة في المعاقبة على جرم محدد. وفضلاً عن ذلك، تأسف اللجنة لعدم تطبيق هذا القانون مطلقاً منذ صدوره في عام 2008، مما يؤكد المعلومات بأن القضاة والمحامين والمسؤولين عن تطبيق القانون يجهلون وجوده (المادة 4).</w:t>
      </w:r>
    </w:p>
    <w:p w:rsidR="004E0A37" w:rsidRPr="009318CA" w:rsidRDefault="004E0A37" w:rsidP="009318CA">
      <w:pPr>
        <w:pStyle w:val="SingleTxtGA"/>
        <w:spacing w:line="360" w:lineRule="exact"/>
        <w:jc w:val="lowKashida"/>
        <w:rPr>
          <w:rFonts w:hint="cs"/>
          <w:b/>
          <w:bCs/>
          <w:spacing w:val="0"/>
          <w:sz w:val="20"/>
          <w:rtl/>
        </w:rPr>
      </w:pPr>
      <w:r w:rsidRPr="009318CA">
        <w:rPr>
          <w:rFonts w:hint="cs"/>
          <w:b/>
          <w:bCs/>
          <w:spacing w:val="0"/>
          <w:sz w:val="20"/>
          <w:rtl/>
        </w:rPr>
        <w:tab/>
        <w:t>ينبغي للدولة الطرف أن تعدِّل قانونها المتعلق بمناهضة التعذيب بإدراج عقوبات على أفعال سوء المعاملة، وينبغي لها أن تعدِّل القانون الجنائي وقانونها للإجراءات الجنائية</w:t>
      </w:r>
      <w:r w:rsidR="00DA0B1C" w:rsidRPr="009318CA">
        <w:rPr>
          <w:rFonts w:hint="eastAsia"/>
          <w:b/>
          <w:bCs/>
          <w:spacing w:val="0"/>
          <w:sz w:val="20"/>
          <w:rtl/>
        </w:rPr>
        <w:t> </w:t>
      </w:r>
      <w:r w:rsidRPr="009318CA">
        <w:rPr>
          <w:rFonts w:hint="cs"/>
          <w:b/>
          <w:bCs/>
          <w:spacing w:val="0"/>
          <w:sz w:val="20"/>
          <w:rtl/>
        </w:rPr>
        <w:t xml:space="preserve">لتضمينهما الأحكام ذات الصلة الواردة في قانون مناهضة التعذيب وتيسّر تنفيذه. وريثما يتم ذلك، ينبغي للدولة الطرف أن تعمم نص هذا القانون على القضاة والمحامين وضباط الشرطة القضائية، وعلى رؤساء القرى </w:t>
      </w:r>
      <w:r w:rsidR="009318CA" w:rsidRPr="009318CA">
        <w:rPr>
          <w:b/>
          <w:sz w:val="20"/>
        </w:rPr>
        <w:t>(</w:t>
      </w:r>
      <w:r w:rsidR="009318CA" w:rsidRPr="009318CA">
        <w:rPr>
          <w:b/>
          <w:i/>
          <w:sz w:val="20"/>
        </w:rPr>
        <w:t>fokontany</w:t>
      </w:r>
      <w:r w:rsidR="009318CA" w:rsidRPr="009318CA">
        <w:rPr>
          <w:b/>
          <w:sz w:val="20"/>
        </w:rPr>
        <w:t>)</w:t>
      </w:r>
      <w:r w:rsidRPr="009318CA">
        <w:rPr>
          <w:rFonts w:hint="cs"/>
          <w:b/>
          <w:bCs/>
          <w:spacing w:val="0"/>
          <w:sz w:val="20"/>
          <w:rtl/>
        </w:rPr>
        <w:t xml:space="preserve"> (الوحدة الإدارية الفرعية الأساسية على مستوى المجتمع المحلي) وعلى موظفي السجون بهدف تطبيقه فوراً.</w:t>
      </w:r>
    </w:p>
    <w:p w:rsidR="004E0A37" w:rsidRPr="004E0A37" w:rsidRDefault="004E0A37" w:rsidP="00A91B45">
      <w:pPr>
        <w:pStyle w:val="H23GA"/>
        <w:rPr>
          <w:rFonts w:hint="cs"/>
          <w:rtl/>
        </w:rPr>
      </w:pPr>
      <w:r w:rsidRPr="004E0A37">
        <w:rPr>
          <w:rFonts w:hint="cs"/>
          <w:rtl/>
        </w:rPr>
        <w:tab/>
      </w:r>
      <w:r w:rsidRPr="004E0A37">
        <w:rPr>
          <w:rFonts w:hint="cs"/>
          <w:rtl/>
        </w:rPr>
        <w:tab/>
        <w:t>تصنيف التعذيب والتقادم</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7</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تشير اللجنة إلى أن القانون الصادر في عام 2008 يميز بين أفعال التعذيب التي يمكن وصفها بأنها جُنح يُعاقب عليها بالسجن لمدة تتراوح بين سنتين وخمس سنوات، وتلك التي تعرَّف على أنها جرائم يُعاقب عليها بالسجن لمدة تتراوح بين 5 و10 سنوات. وتأسف اللجنة لأن فترة التقادم القصوى </w:t>
      </w:r>
      <w:r w:rsidR="00F96B1E">
        <w:rPr>
          <w:rFonts w:hint="cs"/>
          <w:spacing w:val="0"/>
          <w:sz w:val="20"/>
          <w:rtl/>
        </w:rPr>
        <w:t>فيما </w:t>
      </w:r>
      <w:r w:rsidR="004E0A37" w:rsidRPr="004E0A37">
        <w:rPr>
          <w:rFonts w:hint="cs"/>
          <w:spacing w:val="0"/>
          <w:sz w:val="20"/>
          <w:rtl/>
        </w:rPr>
        <w:t>يتعلق بجرائم التعذيب هي 10 سنوات ولأن الدولة الطرف لا تعترف بعدم تقادم جرائم التعذيب إلا في حالة جرائم الإبادة جماعية أو الجرائم المرتكبة ضد الإنسانية (المواد 1 و4).</w:t>
      </w:r>
    </w:p>
    <w:p w:rsidR="004E0A37" w:rsidRPr="00DA0B1C" w:rsidRDefault="004E0A37" w:rsidP="00DA0B1C">
      <w:pPr>
        <w:pStyle w:val="SingleTxtGA"/>
        <w:spacing w:line="360" w:lineRule="exact"/>
        <w:jc w:val="lowKashida"/>
        <w:rPr>
          <w:rFonts w:hint="cs"/>
          <w:b/>
          <w:bCs/>
          <w:spacing w:val="0"/>
          <w:sz w:val="20"/>
          <w:rtl/>
        </w:rPr>
      </w:pPr>
      <w:r w:rsidRPr="00DA0B1C">
        <w:rPr>
          <w:rFonts w:hint="cs"/>
          <w:b/>
          <w:bCs/>
          <w:spacing w:val="0"/>
          <w:sz w:val="20"/>
          <w:rtl/>
        </w:rPr>
        <w:tab/>
        <w:t>يتعين على الدولة الطرف أن تراجع هذا القانون لأنه ينبغي اعتبار أفعال التعذيب، بسبب خطورتها، جرائم لا تخضع للتقادم. إن فرض عقوبات مناسبة على جريمة التعذيب وعدم إخضاعها للتقادم يعزز في واقع الأمر الأثر الرادع لحظر ممارسة التعذيب. ويسمح ذلك أيضاً للجمهور برصد قيام الدولة أو عدم قيامها بفعل ينتهك الاتفاقية والاعتراض عليه، عند</w:t>
      </w:r>
      <w:r w:rsidR="00A91B45" w:rsidRPr="00DA0B1C">
        <w:rPr>
          <w:rFonts w:hint="eastAsia"/>
          <w:b/>
          <w:bCs/>
          <w:spacing w:val="0"/>
          <w:sz w:val="20"/>
          <w:rtl/>
        </w:rPr>
        <w:t> </w:t>
      </w:r>
      <w:r w:rsidRPr="00DA0B1C">
        <w:rPr>
          <w:rFonts w:hint="cs"/>
          <w:b/>
          <w:bCs/>
          <w:spacing w:val="0"/>
          <w:sz w:val="20"/>
          <w:rtl/>
        </w:rPr>
        <w:t xml:space="preserve">الاقتضاء. </w:t>
      </w:r>
    </w:p>
    <w:p w:rsidR="004E0A37" w:rsidRPr="004E0A37" w:rsidRDefault="004E0A37" w:rsidP="00A91B45">
      <w:pPr>
        <w:pStyle w:val="H23GA"/>
        <w:rPr>
          <w:rFonts w:hint="cs"/>
          <w:rtl/>
        </w:rPr>
      </w:pPr>
      <w:r w:rsidRPr="004E0A37">
        <w:rPr>
          <w:rFonts w:hint="cs"/>
          <w:rtl/>
        </w:rPr>
        <w:tab/>
      </w:r>
      <w:r w:rsidRPr="004E0A37">
        <w:rPr>
          <w:rFonts w:hint="cs"/>
          <w:rtl/>
        </w:rPr>
        <w:tab/>
        <w:t>عدم تبرير التعذيب وإجراء تحقيقات شاملة ونزيهة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8</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قلق عميق إزاء الإدعاءات المتعددة بانتهاكات حقوق الإنسان منذ نشوب الأزمة السياسية في عام 2009، ولا سيما التعذيب، والإعدام بإجراءات موجزة وخارج نطاق القضاء وحالات الاختفاء القسري، التي</w:t>
      </w:r>
      <w:r w:rsidR="00335AC0">
        <w:rPr>
          <w:rFonts w:hint="cs"/>
          <w:spacing w:val="0"/>
          <w:sz w:val="20"/>
          <w:rtl/>
        </w:rPr>
        <w:t xml:space="preserve"> لم </w:t>
      </w:r>
      <w:r w:rsidR="004E0A37" w:rsidRPr="004E0A37">
        <w:rPr>
          <w:rFonts w:hint="cs"/>
          <w:spacing w:val="0"/>
          <w:sz w:val="20"/>
          <w:rtl/>
        </w:rPr>
        <w:t>يتم التحقيق فيها أو ملاحقة مرتكبيها. ويساور اللجنة القلق إزاء المعلومات التي تفيد بارتكاب أفعال التعذيب بدوافع سياسية وبأنها تستهدف بصفة خاصة الخصوم السياسيين والصحفيين والمحامين (المواد 2 و12 و13 و14 و16).</w:t>
      </w:r>
    </w:p>
    <w:p w:rsidR="004E0A37" w:rsidRPr="00DA0B1C" w:rsidRDefault="004E0A37" w:rsidP="002E2361">
      <w:pPr>
        <w:pStyle w:val="SingleTxtGA"/>
        <w:jc w:val="lowKashida"/>
        <w:rPr>
          <w:rFonts w:hint="cs"/>
          <w:b/>
          <w:bCs/>
          <w:spacing w:val="0"/>
          <w:sz w:val="20"/>
          <w:rtl/>
        </w:rPr>
      </w:pPr>
      <w:r w:rsidRPr="00DA0B1C">
        <w:rPr>
          <w:rFonts w:hint="cs"/>
          <w:b/>
          <w:bCs/>
          <w:spacing w:val="0"/>
          <w:sz w:val="20"/>
          <w:rtl/>
        </w:rPr>
        <w:tab/>
        <w:t>ينبغي للدولة الطرف أن تتخذ تدابير مناسبة لإجراء تحقيقات مستقلة وشاملة ونزيهة في انتهاكات حقوق الإنسان، بما في ذلك حالات التعذيب وسوء المعاملة، وحالات الإعدام بإجراءات موجزة وخارج نطاق القضاء وحالات الاختفاء القسري، بغية ضمان ملاحقة ومعاقبة الجناة. ولا يمكن في واقع الأمر الاحتجاز بأي ظرف، حتى لو</w:t>
      </w:r>
      <w:r w:rsidR="00DA0B1C">
        <w:rPr>
          <w:rFonts w:hint="eastAsia"/>
          <w:b/>
          <w:bCs/>
          <w:spacing w:val="0"/>
          <w:sz w:val="20"/>
          <w:rtl/>
        </w:rPr>
        <w:t> </w:t>
      </w:r>
      <w:r w:rsidRPr="00DA0B1C">
        <w:rPr>
          <w:rFonts w:hint="cs"/>
          <w:b/>
          <w:bCs/>
          <w:spacing w:val="0"/>
          <w:sz w:val="20"/>
          <w:rtl/>
        </w:rPr>
        <w:t>كان عدم الاستقرار السياسي الداخلي، لتبرير التعذيب ولا يجوز تقديم أي حجة سياسية أو غيرها من الحجج الأخرى للعفو عن مرتكبي هذه الجرائم الخطيرة أثناء الأزمة السياسية. وينبغي للدولة الطرف أن تحسِّن أيضاً آلياتها المتاحة للضحايا لتقديم الشكاوى وأن تكفل إنصافهم وتوفير السبل الكفيلة بإعادة إدماجهم الاجتماعي ومعافاتهم نفسياً.</w:t>
      </w:r>
      <w:r w:rsidR="002E2361">
        <w:rPr>
          <w:rFonts w:hint="eastAsia"/>
          <w:b/>
          <w:bCs/>
          <w:spacing w:val="0"/>
          <w:sz w:val="20"/>
          <w:rtl/>
        </w:rPr>
        <w:t> </w:t>
      </w:r>
      <w:r w:rsidRPr="00DA0B1C">
        <w:rPr>
          <w:rFonts w:hint="cs"/>
          <w:b/>
          <w:bCs/>
          <w:spacing w:val="0"/>
          <w:sz w:val="20"/>
          <w:rtl/>
        </w:rPr>
        <w:t>وينبغي للدولة الطرف أن تكفل حماية الأشخاص الذين يتقدمون بمثل هذه الشكاوى والشهود وأفراد أسرهم، من أي أفعال تخويف ترتبط بتقديم الشكوى أو</w:t>
      </w:r>
      <w:r w:rsidR="002E2361">
        <w:rPr>
          <w:rFonts w:hint="eastAsia"/>
          <w:b/>
          <w:bCs/>
          <w:spacing w:val="0"/>
          <w:sz w:val="20"/>
          <w:rtl/>
        </w:rPr>
        <w:t> </w:t>
      </w:r>
      <w:r w:rsidRPr="00DA0B1C">
        <w:rPr>
          <w:rFonts w:hint="cs"/>
          <w:b/>
          <w:bCs/>
          <w:spacing w:val="0"/>
          <w:sz w:val="20"/>
          <w:rtl/>
        </w:rPr>
        <w:t xml:space="preserve">الإدلاء بالشهادة. </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تدعو اللجنة الدولة الطرف إلى أن تدرج، في تقريرها الدوري المقبل، إحصاءات عن عدد الشكاوى المقدمة بشأن التعذيب أو سوء المعاملة وعن الإدانات الجنائية أو التدابير التأديبية المتخذة في مثل هذه الحالات، بما في ذلك الحالات التي وقعت إثناء حالة الطوارئ، في عام 2009. وينبغي أن تشير المعلومات المطلوبة إلى السلطات التي أجرت التحقيق أن تكون مصنفة بحسب نوع الجنس والسن والأصل الإثني للأشخاص الذين قدموا الشكاوى.</w:t>
      </w:r>
    </w:p>
    <w:p w:rsidR="004E0A37" w:rsidRPr="004E0A37" w:rsidRDefault="004E0A37" w:rsidP="00A91B45">
      <w:pPr>
        <w:pStyle w:val="H23GA"/>
        <w:rPr>
          <w:rFonts w:hint="cs"/>
          <w:rtl/>
        </w:rPr>
      </w:pPr>
      <w:r w:rsidRPr="004E0A37">
        <w:rPr>
          <w:rFonts w:hint="cs"/>
          <w:rtl/>
        </w:rPr>
        <w:tab/>
      </w:r>
      <w:r w:rsidRPr="004E0A37">
        <w:rPr>
          <w:rFonts w:hint="cs"/>
          <w:rtl/>
        </w:rPr>
        <w:tab/>
        <w:t>الضمانات القانونية الأساسية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9</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أنه قلما يُطلع المشتبه فيهم، عند توقيفهم، على حقهم في الخضوع لفحص طبي، وأنهم لا يحصلون على فحص طبي مناسب، وأن المحتجزين يجدون صعوبة أحياناً في الوصول إلى محامييهم وأفراد أسرهم. ومن جهة أخرى، ترى اللجنة أن تمديد فترة الحبس الاحتياطي إلى 12 يوماً هو إجراء مفرط. ويساور اللجنة قلق بالغ إزاء العديد من حالات الحبس الاحتياطي التي تجاوزت المدة المقبولة (المواد 2 و12 و13 و15 و16).</w:t>
      </w:r>
    </w:p>
    <w:p w:rsidR="004E0A37" w:rsidRPr="00DA0B1C" w:rsidRDefault="004E0A37" w:rsidP="00DA0B1C">
      <w:pPr>
        <w:pStyle w:val="SingleTxtGA"/>
        <w:jc w:val="lowKashida"/>
        <w:rPr>
          <w:rFonts w:hint="cs"/>
          <w:b/>
          <w:bCs/>
          <w:spacing w:val="0"/>
          <w:sz w:val="20"/>
          <w:rtl/>
        </w:rPr>
      </w:pPr>
      <w:r w:rsidRPr="00DA0B1C">
        <w:rPr>
          <w:rFonts w:hint="cs"/>
          <w:b/>
          <w:bCs/>
          <w:spacing w:val="0"/>
          <w:sz w:val="20"/>
          <w:rtl/>
        </w:rPr>
        <w:tab/>
        <w:t>في ضوء تعليق اللجنة العام رقم 2 بشأن تطبيق الدول الأطراف للمادة 2، تدعو اللجنة الدولة الطرف إلى مضاعفة جهودها لضمان تمتع المحتجزين تمتعاً عملياً بجملة الضمانات القانونية الأساسية منذ بداية احتجازهم. وتشمل هذه الضمانات بصفة خاصة الالتزام بإعلام أولئك الأشخاص بحقوقهم وبالتهم الموجهة إليهم؛ وبحقهم في سرعة الحصول على محامٍ وعلى مساعدة قضائية عند الضرورة؛ والخضوع لفحص طبي مستقل يجريه طبيب من اختيارهم، إن</w:t>
      </w:r>
      <w:r w:rsidR="00DA0B1C" w:rsidRPr="00DA0B1C">
        <w:rPr>
          <w:rFonts w:hint="eastAsia"/>
          <w:b/>
          <w:bCs/>
          <w:spacing w:val="0"/>
          <w:sz w:val="20"/>
          <w:rtl/>
        </w:rPr>
        <w:t> </w:t>
      </w:r>
      <w:r w:rsidRPr="00DA0B1C">
        <w:rPr>
          <w:rFonts w:hint="cs"/>
          <w:b/>
          <w:bCs/>
          <w:spacing w:val="0"/>
          <w:sz w:val="20"/>
          <w:rtl/>
        </w:rPr>
        <w:t>أمكن؛ وإبلاغ أحد أقربائهم؛ والمثول سريعاً أمام قاضٍ.</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وينبغي للدولة الطرف أن تكفل تنفيذ المرسوم رقم 2009-970، الصادر في</w:t>
      </w:r>
      <w:r w:rsidRPr="00DA0B1C">
        <w:rPr>
          <w:rFonts w:hint="eastAsia"/>
          <w:b/>
          <w:bCs/>
          <w:spacing w:val="0"/>
          <w:sz w:val="20"/>
          <w:rtl/>
        </w:rPr>
        <w:t> </w:t>
      </w:r>
      <w:r w:rsidRPr="00DA0B1C">
        <w:rPr>
          <w:rFonts w:hint="cs"/>
          <w:b/>
          <w:bCs/>
          <w:spacing w:val="0"/>
          <w:sz w:val="20"/>
          <w:rtl/>
        </w:rPr>
        <w:t xml:space="preserve">14 تموز/يوليه 2009 والمتعلق بتنظيم المساعدة القانونية، وتعزيز المساعدة القانونية المقدمة مجاناً إلى المحتجزين؛ وكذلك تيسير وصولهم إلى محامييهم وأفراد أسرهم. وينبغي للدولة الطرف أن تفكر أيضاً في تعديل قانونها للإجراءات الجنائية بغية تقليص مدة الحبس الاحتياطي ووضع قيود صارمة لتجنب أية تجاوزات. وتدعو اللجنة الدولة الطرف إلى دعم نظامها القضائي في المقاطعات من خلال اتخاذ جميع التدابير الممكنة لمعالجة المشاكل اللوجستية المتمثلة في بُعد الأشخاص المتقاضين وضباط التحقيق الجنائي عن المحاكم. </w:t>
      </w:r>
    </w:p>
    <w:p w:rsidR="004E0A37" w:rsidRPr="004E0A37" w:rsidRDefault="004E0A37" w:rsidP="00A91B45">
      <w:pPr>
        <w:pStyle w:val="H23GA"/>
        <w:rPr>
          <w:rFonts w:hint="cs"/>
          <w:rtl/>
          <w:lang w:val="fr-CH"/>
        </w:rPr>
      </w:pPr>
      <w:r w:rsidRPr="004E0A37">
        <w:rPr>
          <w:rFonts w:hint="cs"/>
          <w:rtl/>
          <w:lang w:val="fr-CH"/>
        </w:rPr>
        <w:tab/>
      </w:r>
      <w:r w:rsidRPr="004E0A37">
        <w:rPr>
          <w:rFonts w:hint="cs"/>
          <w:rtl/>
          <w:lang w:val="fr-CH"/>
        </w:rPr>
        <w:tab/>
        <w:t>ظروف المعيشة في أماكن الاحتجاز ورصدها بشكل منتظم</w:t>
      </w:r>
    </w:p>
    <w:p w:rsidR="004E0A37" w:rsidRPr="00A91B45" w:rsidRDefault="0033301A" w:rsidP="004E0A37">
      <w:pPr>
        <w:pStyle w:val="SingleTxtGA"/>
        <w:jc w:val="lowKashida"/>
        <w:rPr>
          <w:rFonts w:hint="cs"/>
          <w:spacing w:val="-2"/>
          <w:sz w:val="20"/>
          <w:rtl/>
        </w:rPr>
      </w:pPr>
      <w:r>
        <w:rPr>
          <w:rFonts w:hint="cs"/>
          <w:spacing w:val="0"/>
          <w:sz w:val="20"/>
          <w:rtl/>
        </w:rPr>
        <w:t>(</w:t>
      </w:r>
      <w:r w:rsidR="004E0A37" w:rsidRPr="00A91B45">
        <w:rPr>
          <w:rFonts w:hint="cs"/>
          <w:spacing w:val="-2"/>
          <w:sz w:val="20"/>
          <w:rtl/>
        </w:rPr>
        <w:t>10</w:t>
      </w:r>
      <w:r w:rsidR="003E72B5">
        <w:rPr>
          <w:rFonts w:hint="cs"/>
          <w:spacing w:val="-2"/>
          <w:sz w:val="20"/>
          <w:rtl/>
        </w:rPr>
        <w:t>)</w:t>
      </w:r>
      <w:r w:rsidR="003E72B5">
        <w:rPr>
          <w:rFonts w:hint="cs"/>
          <w:spacing w:val="-2"/>
          <w:sz w:val="20"/>
          <w:rtl/>
        </w:rPr>
        <w:tab/>
      </w:r>
      <w:r w:rsidR="00F96B1E" w:rsidRPr="00A91B45">
        <w:rPr>
          <w:rFonts w:hint="cs"/>
          <w:spacing w:val="-2"/>
          <w:sz w:val="20"/>
          <w:rtl/>
        </w:rPr>
        <w:t>فيما </w:t>
      </w:r>
      <w:r w:rsidR="004E0A37" w:rsidRPr="00A91B45">
        <w:rPr>
          <w:rFonts w:hint="cs"/>
          <w:spacing w:val="-2"/>
          <w:sz w:val="20"/>
          <w:rtl/>
        </w:rPr>
        <w:t>تأخذ اللجنة</w:t>
      </w:r>
      <w:r w:rsidR="003833F8">
        <w:rPr>
          <w:rFonts w:hint="cs"/>
          <w:spacing w:val="-2"/>
          <w:sz w:val="20"/>
          <w:rtl/>
        </w:rPr>
        <w:t xml:space="preserve"> علماً </w:t>
      </w:r>
      <w:r w:rsidR="004E0A37" w:rsidRPr="00A91B45">
        <w:rPr>
          <w:rFonts w:hint="cs"/>
          <w:spacing w:val="-2"/>
          <w:sz w:val="20"/>
          <w:rtl/>
        </w:rPr>
        <w:t>بالمعلومات المقدمة من الدولة الطرف بشأن بناء أربعة سجون جديدة، فإنها لا تزال تشعر بالقلق إزاء الظروف المعيشة السيئة داخل السجون ولا سيما عدم الفصل بين السجناء وسوء تغذية السجناء وعدم توفر الرعاية الطبية لهم، مما يؤدي إلى وفاة السجناء، وإزاء الظروف اللاإنسانية داخل زنزانات التأديب. ولا تزال اللجنة تشعر بالقلق أيضاً إزاء اكتظاظ السجون: فعلى الرغم من أن الدستور يؤكد أن الحبس الاحتياطي هو إجراء استثنائي، فإن أكثر من 50 في المائة من السجناء هم رهن الحبس الاحتياطي. ويساور اللجنة قلق خاص إزاء المعلومات التي تفيد بتعرض السجناء للمعاملة المهينة والاغتصاب والاستغلال الجنسي القسري مقابل الحصول على الغذاء (المواد 2 و11 و12 و13 و14 و16).</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ينبغي للدولة الطرف القيام بما يلي:</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(أ)</w:t>
      </w:r>
      <w:r w:rsidRPr="00DA0B1C">
        <w:rPr>
          <w:rFonts w:hint="cs"/>
          <w:b/>
          <w:bCs/>
          <w:spacing w:val="0"/>
          <w:sz w:val="20"/>
          <w:rtl/>
        </w:rPr>
        <w:tab/>
        <w:t>أن تكفل توافق الظروف داخل السجون مع القواعد النموذجية الدنيا لمعاملة السجناء، بما في ذلك في زنزانات التأديب "الحجر" بحيث تكون ظروف العزل في هذه الزنزانات متطابقة مع المعايير الدولية؛</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(ب)</w:t>
      </w:r>
      <w:r w:rsidRPr="00DA0B1C">
        <w:rPr>
          <w:rFonts w:hint="cs"/>
          <w:b/>
          <w:bCs/>
          <w:spacing w:val="0"/>
          <w:sz w:val="20"/>
          <w:rtl/>
        </w:rPr>
        <w:tab/>
        <w:t>أن تضمن فصل السجناء المحكوم عليهم عن المدانين وفصل القاصرين عن البالغين؛</w:t>
      </w:r>
    </w:p>
    <w:p w:rsidR="004E0A37" w:rsidRPr="00DA0B1C" w:rsidRDefault="004E0A37" w:rsidP="009318CA">
      <w:pPr>
        <w:pStyle w:val="SingleTxtGA"/>
        <w:jc w:val="lowKashida"/>
        <w:rPr>
          <w:rFonts w:hint="cs"/>
          <w:b/>
          <w:bCs/>
          <w:spacing w:val="0"/>
          <w:sz w:val="20"/>
          <w:rtl/>
        </w:rPr>
      </w:pPr>
      <w:r w:rsidRPr="00DA0B1C">
        <w:rPr>
          <w:rFonts w:hint="cs"/>
          <w:b/>
          <w:bCs/>
          <w:spacing w:val="0"/>
          <w:sz w:val="20"/>
          <w:rtl/>
        </w:rPr>
        <w:tab/>
        <w:t>(ج)</w:t>
      </w:r>
      <w:r w:rsidRPr="00DA0B1C">
        <w:rPr>
          <w:rFonts w:hint="cs"/>
          <w:b/>
          <w:bCs/>
          <w:spacing w:val="0"/>
          <w:sz w:val="20"/>
          <w:rtl/>
        </w:rPr>
        <w:tab/>
        <w:t>أن تراعي المشاكل الخاصة التي تواجهها السجينات وضرورة إيجاد</w:t>
      </w:r>
      <w:r w:rsidRPr="00DA0B1C">
        <w:rPr>
          <w:rFonts w:hint="eastAsia"/>
          <w:b/>
          <w:bCs/>
          <w:spacing w:val="0"/>
          <w:sz w:val="20"/>
          <w:rtl/>
        </w:rPr>
        <w:t> </w:t>
      </w:r>
      <w:r w:rsidRPr="00DA0B1C">
        <w:rPr>
          <w:rFonts w:hint="cs"/>
          <w:b/>
          <w:bCs/>
          <w:spacing w:val="0"/>
          <w:sz w:val="20"/>
          <w:rtl/>
        </w:rPr>
        <w:t>حلول لها</w:t>
      </w:r>
      <w:r w:rsidR="00B345DB" w:rsidRPr="00DA0B1C">
        <w:rPr>
          <w:rFonts w:hint="cs"/>
          <w:b/>
          <w:bCs/>
          <w:spacing w:val="0"/>
          <w:sz w:val="20"/>
          <w:rtl/>
        </w:rPr>
        <w:t xml:space="preserve"> وفقاً </w:t>
      </w:r>
      <w:r w:rsidRPr="00DA0B1C">
        <w:rPr>
          <w:rFonts w:hint="cs"/>
          <w:b/>
          <w:bCs/>
          <w:spacing w:val="0"/>
          <w:sz w:val="20"/>
          <w:rtl/>
        </w:rPr>
        <w:t>لقواعد الأمم المتحدة لمعاملة السجينات والتدابير غير الاحتجازية</w:t>
      </w:r>
      <w:r w:rsidRPr="00DA0B1C">
        <w:rPr>
          <w:rFonts w:hint="eastAsia"/>
          <w:b/>
          <w:bCs/>
          <w:spacing w:val="0"/>
          <w:sz w:val="20"/>
          <w:rtl/>
        </w:rPr>
        <w:t> </w:t>
      </w:r>
      <w:r w:rsidRPr="00DA0B1C">
        <w:rPr>
          <w:rFonts w:hint="cs"/>
          <w:b/>
          <w:bCs/>
          <w:spacing w:val="0"/>
          <w:sz w:val="20"/>
          <w:rtl/>
        </w:rPr>
        <w:t xml:space="preserve">للمجرمات (قواعد بانكوك) التي اعتمدتها الجمعية العامة في </w:t>
      </w:r>
      <w:r w:rsidR="009318CA">
        <w:rPr>
          <w:rFonts w:hint="cs"/>
          <w:b/>
          <w:bCs/>
          <w:spacing w:val="0"/>
          <w:sz w:val="20"/>
          <w:rtl/>
        </w:rPr>
        <w:t xml:space="preserve">21 </w:t>
      </w:r>
      <w:r w:rsidR="009318CA" w:rsidRPr="009318CA">
        <w:rPr>
          <w:rFonts w:hint="cs"/>
          <w:b/>
          <w:bCs/>
          <w:spacing w:val="0"/>
          <w:sz w:val="30"/>
          <w:rtl/>
        </w:rPr>
        <w:t>كانون الأول/ديسمبر</w:t>
      </w:r>
      <w:r w:rsidR="009318CA">
        <w:rPr>
          <w:rFonts w:hint="cs"/>
          <w:b/>
          <w:bCs/>
          <w:spacing w:val="0"/>
          <w:sz w:val="20"/>
          <w:rtl/>
        </w:rPr>
        <w:t xml:space="preserve"> </w:t>
      </w:r>
      <w:r w:rsidRPr="00DA0B1C">
        <w:rPr>
          <w:rFonts w:hint="cs"/>
          <w:b/>
          <w:bCs/>
          <w:spacing w:val="0"/>
          <w:sz w:val="20"/>
          <w:rtl/>
        </w:rPr>
        <w:t>2010؛</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(د)</w:t>
      </w:r>
      <w:r w:rsidRPr="00DA0B1C">
        <w:rPr>
          <w:rFonts w:hint="cs"/>
          <w:b/>
          <w:bCs/>
          <w:spacing w:val="0"/>
          <w:sz w:val="20"/>
          <w:rtl/>
        </w:rPr>
        <w:tab/>
        <w:t>أن تضمن حصول السجناء على ما هو لائق من غذاء ورعاية طبية؛</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(ﻫ)</w:t>
      </w:r>
      <w:r w:rsidRPr="00DA0B1C">
        <w:rPr>
          <w:rFonts w:hint="cs"/>
          <w:b/>
          <w:bCs/>
          <w:spacing w:val="0"/>
          <w:sz w:val="20"/>
          <w:rtl/>
        </w:rPr>
        <w:tab/>
        <w:t>أن تعالج حالات الحبس الاحتياطي بسرعة وتُخضع المسؤولين للمساءلة، عند الاقتضاء؛</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(و)</w:t>
      </w:r>
      <w:r w:rsidRPr="00DA0B1C">
        <w:rPr>
          <w:rFonts w:hint="cs"/>
          <w:b/>
          <w:bCs/>
          <w:spacing w:val="0"/>
          <w:sz w:val="20"/>
          <w:rtl/>
        </w:rPr>
        <w:tab/>
        <w:t>أن تلجأ إلى العقوبات غير الاحتجازية للحد من الاكتظاظ في السجون،</w:t>
      </w:r>
      <w:r w:rsidR="00B345DB" w:rsidRPr="00DA0B1C">
        <w:rPr>
          <w:rFonts w:hint="cs"/>
          <w:b/>
          <w:bCs/>
          <w:spacing w:val="0"/>
          <w:sz w:val="20"/>
          <w:rtl/>
        </w:rPr>
        <w:t xml:space="preserve"> وفقاً </w:t>
      </w:r>
      <w:r w:rsidRPr="00DA0B1C">
        <w:rPr>
          <w:rFonts w:hint="cs"/>
          <w:b/>
          <w:bCs/>
          <w:spacing w:val="0"/>
          <w:sz w:val="20"/>
          <w:rtl/>
        </w:rPr>
        <w:t>لقواعد الأمم المتحدة النموذجية الدنيا للتدابير غير الاحتجازية (قواعد طوكيو) التي اعتمدتها الجمعية العامة في 14 كانون الأول/ديسمبر 1990؛</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(ز)</w:t>
      </w:r>
      <w:r w:rsidRPr="00DA0B1C">
        <w:rPr>
          <w:rFonts w:hint="cs"/>
          <w:b/>
          <w:bCs/>
          <w:spacing w:val="0"/>
          <w:sz w:val="20"/>
          <w:rtl/>
        </w:rPr>
        <w:tab/>
        <w:t>أن تجري التحقيق في الادعاءات المتعلقة بإهانة السجناء، وبأفعال الاغتصاب وغيرها من ممارسات العنف الجنسي، وتتخذ تدابير فورية لمعاقبة الجناة. وتذّكر اللجنة الدولة الطرف بالتزامها بإجراء تحقيق من تلقاء نفسها دون الحاجة إلى شكوى مقدمة مسبقاً من الضحية، وذلك في جميع الحالات التي تتوفر فيها أسباب وجيهة للاعتقاد بارتكاب عمل من أعمال التعذيب؛</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(ح)</w:t>
      </w:r>
      <w:r w:rsidRPr="00DA0B1C">
        <w:rPr>
          <w:rFonts w:hint="cs"/>
          <w:b/>
          <w:bCs/>
          <w:spacing w:val="0"/>
          <w:sz w:val="20"/>
          <w:rtl/>
        </w:rPr>
        <w:tab/>
        <w:t xml:space="preserve">أن تضع نظاماً لمراقبة أماكن الاحتجاز بهدف تحسين ظروف الاحتجاز فيها. وينبغي أن تقدم الدولة الطرف إلى لجنة الإشراف على السجون الأموال الكافية للقيام بذلك. وفضلاً عن ذلك، ينبغي للدولة الطرف أن تعزز تعاونها مع المنظمات غير الحكومية من خلال السماح لها بالوصول بحرية إلى أماكن الاحتجاز لكي تتمكن من رصدها بشكل مستقل. </w:t>
      </w:r>
    </w:p>
    <w:p w:rsidR="004E0A37" w:rsidRPr="004E0A37" w:rsidRDefault="004E0A37" w:rsidP="00A91B45">
      <w:pPr>
        <w:pStyle w:val="H23GA"/>
      </w:pPr>
      <w:r w:rsidRPr="004E0A37">
        <w:rPr>
          <w:rFonts w:hint="cs"/>
          <w:rtl/>
          <w:lang w:val="fr-CH"/>
        </w:rPr>
        <w:tab/>
      </w:r>
      <w:r w:rsidRPr="004E0A37">
        <w:rPr>
          <w:rFonts w:hint="cs"/>
          <w:rtl/>
          <w:lang w:val="fr-CH"/>
        </w:rPr>
        <w:tab/>
        <w:t xml:space="preserve">القضاء التقليدي </w:t>
      </w:r>
      <w:r w:rsidRPr="00A91B45">
        <w:rPr>
          <w:i/>
          <w:iCs/>
          <w:sz w:val="20"/>
          <w:szCs w:val="20"/>
        </w:rPr>
        <w:t>(Dina)</w:t>
      </w:r>
    </w:p>
    <w:p w:rsidR="004E0A37" w:rsidRPr="00DA0B1C" w:rsidRDefault="0033301A" w:rsidP="00DA0B1C">
      <w:pPr>
        <w:pStyle w:val="SingleTxtGA"/>
        <w:spacing w:line="360" w:lineRule="exact"/>
        <w:jc w:val="lowKashida"/>
        <w:rPr>
          <w:rFonts w:hint="cs"/>
          <w:spacing w:val="-2"/>
          <w:sz w:val="20"/>
          <w:rtl/>
        </w:rPr>
      </w:pPr>
      <w:r w:rsidRPr="00DA0B1C">
        <w:rPr>
          <w:rFonts w:hint="cs"/>
          <w:spacing w:val="-2"/>
          <w:sz w:val="20"/>
          <w:rtl/>
        </w:rPr>
        <w:t>(</w:t>
      </w:r>
      <w:r w:rsidR="004E0A37" w:rsidRPr="00DA0B1C">
        <w:rPr>
          <w:rFonts w:hint="cs"/>
          <w:spacing w:val="-2"/>
          <w:sz w:val="20"/>
          <w:rtl/>
        </w:rPr>
        <w:t>11</w:t>
      </w:r>
      <w:r w:rsidR="003E72B5" w:rsidRPr="00DA0B1C">
        <w:rPr>
          <w:rFonts w:hint="cs"/>
          <w:spacing w:val="-2"/>
          <w:sz w:val="20"/>
          <w:rtl/>
        </w:rPr>
        <w:t>)</w:t>
      </w:r>
      <w:r w:rsidR="003E72B5" w:rsidRPr="00DA0B1C">
        <w:rPr>
          <w:rFonts w:hint="cs"/>
          <w:spacing w:val="-2"/>
          <w:sz w:val="20"/>
          <w:rtl/>
        </w:rPr>
        <w:tab/>
      </w:r>
      <w:r w:rsidR="004E0A37" w:rsidRPr="00DA0B1C">
        <w:rPr>
          <w:rFonts w:hint="cs"/>
          <w:spacing w:val="-2"/>
          <w:sz w:val="20"/>
          <w:rtl/>
        </w:rPr>
        <w:t xml:space="preserve">يساور اللجنة بالغ القلق إزاء لجوء السكان بشكل منتظم إلى القضاء التقليدي </w:t>
      </w:r>
      <w:r w:rsidR="004E0A37" w:rsidRPr="00DA0B1C">
        <w:rPr>
          <w:i/>
          <w:iCs/>
          <w:spacing w:val="-2"/>
          <w:sz w:val="20"/>
        </w:rPr>
        <w:t>(Dina)</w:t>
      </w:r>
      <w:r w:rsidR="00727BAF" w:rsidRPr="00DA0B1C">
        <w:rPr>
          <w:spacing w:val="-2"/>
          <w:sz w:val="20"/>
          <w:vertAlign w:val="superscript"/>
          <w:rtl/>
        </w:rPr>
        <w:t>(</w:t>
      </w:r>
      <w:r w:rsidR="00727BAF" w:rsidRPr="00DA0B1C">
        <w:rPr>
          <w:rStyle w:val="FootnoteReference"/>
          <w:spacing w:val="-2"/>
          <w:rtl/>
        </w:rPr>
        <w:footnoteReference w:id="5"/>
      </w:r>
      <w:r w:rsidR="00727BAF" w:rsidRPr="00DA0B1C">
        <w:rPr>
          <w:spacing w:val="-2"/>
          <w:sz w:val="20"/>
          <w:vertAlign w:val="superscript"/>
          <w:rtl/>
        </w:rPr>
        <w:t>)</w:t>
      </w:r>
      <w:r w:rsidR="004E0A37" w:rsidRPr="00DA0B1C">
        <w:rPr>
          <w:rFonts w:hint="cs"/>
          <w:spacing w:val="-2"/>
          <w:sz w:val="20"/>
          <w:rtl/>
        </w:rPr>
        <w:t xml:space="preserve">، وذلك بسبب انعدام الثقة في النظام القضائي. وأدى اللجوء إلى النظام التقليدي </w:t>
      </w:r>
      <w:r w:rsidR="004E0A37" w:rsidRPr="00DA0B1C">
        <w:rPr>
          <w:i/>
          <w:iCs/>
          <w:spacing w:val="-2"/>
          <w:sz w:val="20"/>
        </w:rPr>
        <w:t>(Dina)</w:t>
      </w:r>
      <w:r w:rsidR="004E0A37" w:rsidRPr="00DA0B1C">
        <w:rPr>
          <w:rFonts w:hint="cs"/>
          <w:spacing w:val="-2"/>
          <w:sz w:val="20"/>
          <w:rtl/>
        </w:rPr>
        <w:t xml:space="preserve"> إلى صدور أحكام جنائية، أدت بصفة خاصة إلى ممارسة التعذيب والإعدام بإجراءات موجزة وخارج نظام القضاء، إلى جانب صدور أحكام تتعلق بقضايا مدنية (المادتان 2 و16).</w:t>
      </w:r>
    </w:p>
    <w:p w:rsidR="004E0A37" w:rsidRPr="009318CA" w:rsidRDefault="004E0A37" w:rsidP="00DA0B1C">
      <w:pPr>
        <w:pStyle w:val="SingleTxtGA"/>
        <w:spacing w:line="360" w:lineRule="exact"/>
        <w:jc w:val="lowKashida"/>
        <w:rPr>
          <w:rFonts w:hint="cs"/>
          <w:b/>
          <w:bCs/>
          <w:spacing w:val="-4"/>
          <w:sz w:val="20"/>
          <w:rtl/>
        </w:rPr>
      </w:pPr>
      <w:r w:rsidRPr="009318CA">
        <w:rPr>
          <w:rFonts w:hint="cs"/>
          <w:b/>
          <w:bCs/>
          <w:spacing w:val="-4"/>
          <w:sz w:val="20"/>
          <w:rtl/>
        </w:rPr>
        <w:tab/>
        <w:t xml:space="preserve">لا تقبل اللجنة، في ضوء تعليقها العام بشأن تطبيق المادة 2 من الاتفاقية، الاحتجاج بأسباب تستند إلى التقاليد لتبرير عدم التقيُد بالحظر المطلق للتعذيب. وينبغي للدولة الطرف توفير وسائل فعالة لمراقبة الأحكام الصادرة عن القضاء التقليدي </w:t>
      </w:r>
      <w:r w:rsidRPr="009318CA">
        <w:rPr>
          <w:b/>
          <w:bCs/>
          <w:i/>
          <w:iCs/>
          <w:spacing w:val="-4"/>
          <w:sz w:val="20"/>
        </w:rPr>
        <w:t>(Dina)</w:t>
      </w:r>
      <w:r w:rsidRPr="009318CA">
        <w:rPr>
          <w:rFonts w:hint="cs"/>
          <w:b/>
          <w:bCs/>
          <w:spacing w:val="-4"/>
          <w:sz w:val="20"/>
          <w:rtl/>
        </w:rPr>
        <w:t>،</w:t>
      </w:r>
      <w:r w:rsidRPr="009318CA">
        <w:rPr>
          <w:rFonts w:hint="cs"/>
          <w:b/>
          <w:bCs/>
          <w:i/>
          <w:iCs/>
          <w:spacing w:val="-4"/>
          <w:sz w:val="20"/>
          <w:rtl/>
        </w:rPr>
        <w:t xml:space="preserve"> </w:t>
      </w:r>
      <w:r w:rsidRPr="009318CA">
        <w:rPr>
          <w:rFonts w:hint="cs"/>
          <w:b/>
          <w:bCs/>
          <w:spacing w:val="-4"/>
          <w:sz w:val="20"/>
          <w:rtl/>
        </w:rPr>
        <w:t xml:space="preserve">وأن تجري تحقيقاً في جميع حالات انتهاك القانون وأحكام الاتفاقية. وينبغي للدولة الطرف العمل على مواءمة نظام القضاء التقليدي </w:t>
      </w:r>
      <w:r w:rsidRPr="009318CA">
        <w:rPr>
          <w:b/>
          <w:bCs/>
          <w:i/>
          <w:iCs/>
          <w:spacing w:val="-4"/>
          <w:sz w:val="20"/>
        </w:rPr>
        <w:t>(Dina)</w:t>
      </w:r>
      <w:r w:rsidRPr="009318CA">
        <w:rPr>
          <w:rFonts w:hint="cs"/>
          <w:b/>
          <w:bCs/>
          <w:i/>
          <w:iCs/>
          <w:spacing w:val="-4"/>
          <w:sz w:val="20"/>
          <w:rtl/>
        </w:rPr>
        <w:t xml:space="preserve"> </w:t>
      </w:r>
      <w:r w:rsidRPr="009318CA">
        <w:rPr>
          <w:rFonts w:hint="cs"/>
          <w:b/>
          <w:bCs/>
          <w:spacing w:val="-4"/>
          <w:sz w:val="20"/>
          <w:rtl/>
        </w:rPr>
        <w:t>مع التزاماتها المتعلقة بحقوق الإنسان، ولا سيما الالتزامات المنبثقة عن الاتفاقية. وينبغي لها أيضاً أن توضح العلاقات الهرمية بين القانون العرفي والقانون المحلي.</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 xml:space="preserve">ينبغي للدولة الطرف أن تتخذ - تدابير عاجلة لكي تتابع عن كثب الأحكام الصادرة عن القضاء التقليدي </w:t>
      </w:r>
      <w:r w:rsidRPr="00DA0B1C">
        <w:rPr>
          <w:b/>
          <w:bCs/>
          <w:i/>
          <w:iCs/>
          <w:spacing w:val="0"/>
          <w:sz w:val="20"/>
        </w:rPr>
        <w:t>(Dina)</w:t>
      </w:r>
      <w:r w:rsidRPr="00DA0B1C">
        <w:rPr>
          <w:rFonts w:hint="cs"/>
          <w:b/>
          <w:bCs/>
          <w:spacing w:val="0"/>
          <w:sz w:val="20"/>
          <w:rtl/>
        </w:rPr>
        <w:t xml:space="preserve"> -، وذلك بموجب القانون رقم 2001-004 الصادر في 25 تشرين الأول/أكتوبر 2001، والذي ينص على أمور منها موافقة محاكم القانون العام على الأحكام الصادرة عن القضاء التقليدي </w:t>
      </w:r>
      <w:r w:rsidRPr="00DA0B1C">
        <w:rPr>
          <w:b/>
          <w:bCs/>
          <w:i/>
          <w:iCs/>
          <w:spacing w:val="0"/>
          <w:sz w:val="20"/>
        </w:rPr>
        <w:t>(Dina)</w:t>
      </w:r>
      <w:r w:rsidRPr="00DA0B1C">
        <w:rPr>
          <w:rFonts w:hint="cs"/>
          <w:b/>
          <w:bCs/>
          <w:spacing w:val="0"/>
          <w:sz w:val="20"/>
          <w:rtl/>
        </w:rPr>
        <w:t xml:space="preserve">. وينبغي لها أن تكفل أيضاً إمكانية الطعن أمام المحاكم في جميع الأحكام الصادرة عن القضاء التقليدي </w:t>
      </w:r>
      <w:r w:rsidRPr="00DA0B1C">
        <w:rPr>
          <w:b/>
          <w:bCs/>
          <w:i/>
          <w:iCs/>
          <w:spacing w:val="0"/>
          <w:sz w:val="20"/>
        </w:rPr>
        <w:t>(Dina)</w:t>
      </w:r>
      <w:r w:rsidRPr="00DA0B1C">
        <w:rPr>
          <w:rFonts w:hint="cs"/>
          <w:b/>
          <w:bCs/>
          <w:spacing w:val="0"/>
          <w:sz w:val="20"/>
          <w:rtl/>
        </w:rPr>
        <w:t xml:space="preserve">. وينبغي للدولة الطرف أن تكفل تعزيز ثقة السكان بالنظام القضائي. وينبغي لها أن تجري إصلاحات في الجهاز القضائي بغية إيجاد حلول للمشاكل الرئيسية التي تقوض مصداقية الجهاز القضائي وتحول دون إقامة العدل. وينبغي لها أيضاً أن تجد الحلول المناسبة لكي يعمل الجهاز القضائي بصورة فعالة لخدمة السكان. </w:t>
      </w:r>
    </w:p>
    <w:p w:rsidR="004E0A37" w:rsidRPr="004E0A37" w:rsidRDefault="004E0A37" w:rsidP="00A91B45">
      <w:pPr>
        <w:pStyle w:val="H23GA"/>
        <w:rPr>
          <w:rFonts w:hint="cs"/>
          <w:rtl/>
        </w:rPr>
      </w:pPr>
      <w:r w:rsidRPr="004E0A37">
        <w:rPr>
          <w:rFonts w:hint="cs"/>
          <w:rtl/>
        </w:rPr>
        <w:tab/>
      </w:r>
      <w:r w:rsidRPr="004E0A37">
        <w:rPr>
          <w:rFonts w:hint="cs"/>
          <w:rtl/>
        </w:rPr>
        <w:tab/>
        <w:t>الاتجار بالبشر</w:t>
      </w:r>
    </w:p>
    <w:p w:rsidR="004E0A37" w:rsidRPr="004E0A37" w:rsidRDefault="0033301A" w:rsidP="002E2361">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تأسف اللجنة لعدم تضمين تقرير الدولة الطرف معلومات عن مسألة الاتجار بالبشر، على الرغم من استمرار مشكلة السياحة الجنسية واستغلال أطفال الشوارع (المواد 2 و12 و13 و14).</w:t>
      </w:r>
    </w:p>
    <w:p w:rsidR="004E0A37" w:rsidRPr="00DA0B1C" w:rsidRDefault="004E0A37" w:rsidP="002E2361">
      <w:pPr>
        <w:pStyle w:val="SingleTxtGA"/>
        <w:spacing w:line="370" w:lineRule="exact"/>
        <w:jc w:val="lowKashida"/>
        <w:rPr>
          <w:rFonts w:hint="cs"/>
          <w:b/>
          <w:bCs/>
          <w:spacing w:val="0"/>
          <w:sz w:val="20"/>
          <w:rtl/>
        </w:rPr>
      </w:pPr>
      <w:r w:rsidRPr="00DA0B1C">
        <w:rPr>
          <w:rFonts w:hint="cs"/>
          <w:b/>
          <w:bCs/>
          <w:spacing w:val="0"/>
          <w:sz w:val="20"/>
          <w:rtl/>
        </w:rPr>
        <w:tab/>
        <w:t>ينبغي للدولة الطرف إجراء تحقيق في جميع الادعاءات المتعلقة بالاتجار بالبشر، وذلك</w:t>
      </w:r>
      <w:r w:rsidR="00B345DB" w:rsidRPr="00DA0B1C">
        <w:rPr>
          <w:rFonts w:hint="cs"/>
          <w:b/>
          <w:bCs/>
          <w:spacing w:val="0"/>
          <w:sz w:val="20"/>
          <w:rtl/>
        </w:rPr>
        <w:t xml:space="preserve"> وفقاً </w:t>
      </w:r>
      <w:r w:rsidRPr="00DA0B1C">
        <w:rPr>
          <w:rFonts w:hint="cs"/>
          <w:b/>
          <w:bCs/>
          <w:spacing w:val="0"/>
          <w:sz w:val="20"/>
          <w:rtl/>
        </w:rPr>
        <w:t>للقانون رقم 2007-038 الصادر في 14 كانون الثاني/يناير 2008 بشأن الاتجار بالبشر والسياحة الجنسية، ووفقاً للمعايير الدولية ذات الصلة. وينبغي لها أن تنظم حملات توعية ودورات تدريبية للموظفين المكلفين بإنفاذ القانون بغية منع ومكافحة هذه الظاهرة. وينبغي لها أن توفر الحماية للضحايا وتيسر وصولهم إلى الخدمات الطبية والاجتماعية والقضائية، بما في ذلك خدمات إعادة التأهيل. وتدعو اللجنة الدولة الطرف إلى تضمين تقريرها المقبل معلومات مفصلة عن عدد التحقيقات والشكاوى والإدانات في هذا المجال.</w:t>
      </w:r>
    </w:p>
    <w:p w:rsidR="004E0A37" w:rsidRPr="004E0A37" w:rsidRDefault="004E0A37" w:rsidP="002E2361">
      <w:pPr>
        <w:pStyle w:val="H23GA"/>
        <w:spacing w:line="370" w:lineRule="exact"/>
        <w:rPr>
          <w:rFonts w:hint="cs"/>
          <w:rtl/>
          <w:lang w:val="fr-CH"/>
        </w:rPr>
      </w:pPr>
      <w:r w:rsidRPr="004E0A37">
        <w:rPr>
          <w:rFonts w:hint="cs"/>
          <w:rtl/>
          <w:lang w:val="fr-CH"/>
        </w:rPr>
        <w:tab/>
      </w:r>
      <w:r w:rsidRPr="004E0A37">
        <w:rPr>
          <w:rFonts w:hint="cs"/>
          <w:rtl/>
          <w:lang w:val="fr-CH"/>
        </w:rPr>
        <w:tab/>
        <w:t>العنف الذي يستهدف النساء والأطفال</w:t>
      </w:r>
    </w:p>
    <w:p w:rsidR="004E0A37" w:rsidRPr="004E0A37" w:rsidRDefault="0033301A" w:rsidP="002E2361">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13</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المعلومات المتعلقة بارتفاع عدد حالات الزواج المبكر أو</w:t>
      </w:r>
      <w:r w:rsidR="00727BAF">
        <w:rPr>
          <w:rFonts w:hint="eastAsia"/>
          <w:spacing w:val="0"/>
          <w:sz w:val="20"/>
          <w:rtl/>
        </w:rPr>
        <w:t> </w:t>
      </w:r>
      <w:r w:rsidR="004E0A37" w:rsidRPr="004E0A37">
        <w:rPr>
          <w:rFonts w:hint="cs"/>
          <w:spacing w:val="0"/>
          <w:sz w:val="20"/>
          <w:rtl/>
        </w:rPr>
        <w:t>بالإكراه وحالات إساءة المعاملة والعنف المنزلي. ويساورها القلق أيضاً لأن الضغوط الاجتماعية والأسرية تحول دون تقديم شكاوى، على الرغم من أن القانون رقم 2000-21 يجرّم العنف الأسري والاعتداء الجنسي (المواد 2 و12 و13 و16).</w:t>
      </w:r>
    </w:p>
    <w:p w:rsidR="004E0A37" w:rsidRPr="002E2361" w:rsidRDefault="004E0A37" w:rsidP="002E2361">
      <w:pPr>
        <w:pStyle w:val="SingleTxtGA"/>
        <w:spacing w:line="370" w:lineRule="exact"/>
        <w:jc w:val="lowKashida"/>
        <w:rPr>
          <w:rFonts w:hint="cs"/>
          <w:b/>
          <w:bCs/>
          <w:spacing w:val="-4"/>
          <w:kern w:val="0"/>
          <w:sz w:val="20"/>
          <w:rtl/>
        </w:rPr>
      </w:pPr>
      <w:r w:rsidRPr="002E2361">
        <w:rPr>
          <w:rFonts w:hint="cs"/>
          <w:b/>
          <w:bCs/>
          <w:spacing w:val="-2"/>
          <w:kern w:val="0"/>
          <w:sz w:val="20"/>
          <w:rtl/>
        </w:rPr>
        <w:tab/>
        <w:t xml:space="preserve">ينبغي للدولة الطرف أن تواصل المناقشات مع المجتمعات المحلية، ولا سيما مع رؤساء القرى </w:t>
      </w:r>
      <w:r w:rsidR="009318CA" w:rsidRPr="002E2361">
        <w:rPr>
          <w:b/>
          <w:spacing w:val="-2"/>
          <w:kern w:val="0"/>
          <w:sz w:val="20"/>
        </w:rPr>
        <w:t>(</w:t>
      </w:r>
      <w:r w:rsidR="009318CA" w:rsidRPr="002E2361">
        <w:rPr>
          <w:b/>
          <w:i/>
          <w:spacing w:val="-2"/>
          <w:kern w:val="0"/>
          <w:sz w:val="20"/>
        </w:rPr>
        <w:t>fokontany</w:t>
      </w:r>
      <w:r w:rsidR="009318CA" w:rsidRPr="002E2361">
        <w:rPr>
          <w:b/>
          <w:spacing w:val="-2"/>
          <w:kern w:val="0"/>
          <w:sz w:val="20"/>
        </w:rPr>
        <w:t>)</w:t>
      </w:r>
      <w:r w:rsidRPr="002E2361">
        <w:rPr>
          <w:rFonts w:hint="cs"/>
          <w:b/>
          <w:bCs/>
          <w:spacing w:val="-2"/>
          <w:kern w:val="0"/>
          <w:sz w:val="20"/>
          <w:rtl/>
        </w:rPr>
        <w:t xml:space="preserve"> وأن تتخذ تدابير أخرى للحد من حالات الزواج بالإكراه أو</w:t>
      </w:r>
      <w:r w:rsidR="002E2361">
        <w:rPr>
          <w:rFonts w:hint="eastAsia"/>
          <w:b/>
          <w:bCs/>
          <w:spacing w:val="-2"/>
          <w:kern w:val="0"/>
          <w:sz w:val="20"/>
          <w:rtl/>
        </w:rPr>
        <w:t> </w:t>
      </w:r>
      <w:r w:rsidRPr="002E2361">
        <w:rPr>
          <w:rFonts w:hint="cs"/>
          <w:b/>
          <w:bCs/>
          <w:spacing w:val="-2"/>
          <w:kern w:val="0"/>
          <w:sz w:val="20"/>
          <w:rtl/>
        </w:rPr>
        <w:t xml:space="preserve">زواج </w:t>
      </w:r>
      <w:r w:rsidRPr="002E2361">
        <w:rPr>
          <w:b/>
          <w:bCs/>
          <w:i/>
          <w:iCs/>
          <w:spacing w:val="-2"/>
          <w:kern w:val="0"/>
          <w:sz w:val="20"/>
        </w:rPr>
        <w:t>Moletry</w:t>
      </w:r>
      <w:r w:rsidRPr="002E2361">
        <w:rPr>
          <w:rFonts w:hint="cs"/>
          <w:b/>
          <w:bCs/>
          <w:spacing w:val="-2"/>
          <w:kern w:val="0"/>
          <w:sz w:val="20"/>
          <w:rtl/>
        </w:rPr>
        <w:t xml:space="preserve"> (الزواج بفتاة قاصر لفترة سنة واحدة على سبيل التجربة) أو للقضاء </w:t>
      </w:r>
      <w:r w:rsidRPr="002E2361">
        <w:rPr>
          <w:rFonts w:hint="cs"/>
          <w:b/>
          <w:bCs/>
          <w:spacing w:val="-4"/>
          <w:kern w:val="0"/>
          <w:sz w:val="20"/>
          <w:rtl/>
        </w:rPr>
        <w:t>على هذه الممارسات. وينبغي للدولة الطرف الامتثال للالتزام بتسجيل جميع الزيجات بغية ضمان مراقبة مشروعيتها</w:t>
      </w:r>
      <w:r w:rsidR="00B345DB" w:rsidRPr="002E2361">
        <w:rPr>
          <w:rFonts w:hint="cs"/>
          <w:b/>
          <w:bCs/>
          <w:spacing w:val="-4"/>
          <w:kern w:val="0"/>
          <w:sz w:val="20"/>
          <w:rtl/>
        </w:rPr>
        <w:t xml:space="preserve"> وفقاً </w:t>
      </w:r>
      <w:r w:rsidRPr="002E2361">
        <w:rPr>
          <w:rFonts w:hint="cs"/>
          <w:b/>
          <w:bCs/>
          <w:spacing w:val="-4"/>
          <w:kern w:val="0"/>
          <w:sz w:val="20"/>
          <w:rtl/>
        </w:rPr>
        <w:t>للقوانين المحلية وللاتفاقيات التي وقعت عليها الدولة الطرف حسب الأصول. وينبغي للدولة الطرف العمل على منع الزيجات المبكرة وملاحقة</w:t>
      </w:r>
      <w:r w:rsidR="00DA0B1C" w:rsidRPr="002E2361">
        <w:rPr>
          <w:rFonts w:hint="eastAsia"/>
          <w:b/>
          <w:bCs/>
          <w:spacing w:val="-4"/>
          <w:kern w:val="0"/>
          <w:sz w:val="20"/>
          <w:rtl/>
        </w:rPr>
        <w:t> </w:t>
      </w:r>
      <w:r w:rsidRPr="002E2361">
        <w:rPr>
          <w:rFonts w:hint="cs"/>
          <w:b/>
          <w:bCs/>
          <w:spacing w:val="-4"/>
          <w:kern w:val="0"/>
          <w:sz w:val="20"/>
          <w:rtl/>
        </w:rPr>
        <w:t xml:space="preserve">المخالفين. </w:t>
      </w:r>
    </w:p>
    <w:p w:rsidR="004E0A37" w:rsidRPr="00DA0B1C" w:rsidRDefault="004E0A37" w:rsidP="002E2361">
      <w:pPr>
        <w:pStyle w:val="SingleTxtGA"/>
        <w:spacing w:line="370" w:lineRule="exact"/>
        <w:jc w:val="lowKashida"/>
        <w:rPr>
          <w:rFonts w:hint="cs"/>
          <w:b/>
          <w:bCs/>
          <w:spacing w:val="0"/>
          <w:sz w:val="20"/>
          <w:rtl/>
        </w:rPr>
      </w:pPr>
      <w:r w:rsidRPr="00DA0B1C">
        <w:rPr>
          <w:rFonts w:hint="cs"/>
          <w:b/>
          <w:bCs/>
          <w:spacing w:val="0"/>
          <w:sz w:val="20"/>
          <w:rtl/>
        </w:rPr>
        <w:tab/>
        <w:t>وتشجع اللجنة الدولة الطرف على سن قانون يمنع العنف والاغتصاب الزوجي ويعاقب عليه ويحظر العقاب البدني للأطفال. وتدعو اللجنة الدولة الطرف إلى تضمين التدريب المقدم إلى الموظفين المكلفين بإنفاذ القوانين، أساليب للكشف عن حالات العنف ضد النساء والأطفال.</w:t>
      </w:r>
    </w:p>
    <w:p w:rsidR="004E0A37" w:rsidRPr="004E0A37" w:rsidRDefault="004E0A37" w:rsidP="00A91B45">
      <w:pPr>
        <w:pStyle w:val="H23GA"/>
        <w:rPr>
          <w:rFonts w:hint="cs"/>
          <w:rtl/>
        </w:rPr>
      </w:pPr>
      <w:r w:rsidRPr="004E0A37">
        <w:rPr>
          <w:rFonts w:hint="cs"/>
          <w:rtl/>
        </w:rPr>
        <w:tab/>
      </w:r>
      <w:r w:rsidRPr="004E0A37">
        <w:rPr>
          <w:rFonts w:hint="cs"/>
          <w:rtl/>
        </w:rPr>
        <w:tab/>
        <w:t>المؤسسة الوطنية لحقوق الإنسان</w:t>
      </w:r>
    </w:p>
    <w:p w:rsidR="004E0A37" w:rsidRPr="004E0A37" w:rsidRDefault="0033301A" w:rsidP="00A91B45">
      <w:pPr>
        <w:pStyle w:val="SingleTxtGA"/>
        <w:jc w:val="lowKashida"/>
        <w:rPr>
          <w:rFonts w:hint="cs"/>
          <w:spacing w:val="0"/>
          <w:sz w:val="20"/>
          <w:rtl/>
        </w:rPr>
      </w:pPr>
      <w:r>
        <w:rPr>
          <w:rFonts w:hint="cs"/>
          <w:spacing w:val="0"/>
          <w:sz w:val="20"/>
          <w:rtl/>
        </w:rPr>
        <w:t>(</w:t>
      </w:r>
      <w:r w:rsidR="004E0A37" w:rsidRPr="004E0A37">
        <w:rPr>
          <w:rFonts w:hint="cs"/>
          <w:spacing w:val="0"/>
          <w:sz w:val="20"/>
          <w:rtl/>
        </w:rPr>
        <w:t>14</w:t>
      </w:r>
      <w:r w:rsidR="003E72B5">
        <w:rPr>
          <w:rFonts w:hint="cs"/>
          <w:spacing w:val="0"/>
          <w:sz w:val="20"/>
          <w:rtl/>
        </w:rPr>
        <w:t>)</w:t>
      </w:r>
      <w:r w:rsidR="003E72B5">
        <w:rPr>
          <w:rFonts w:hint="cs"/>
          <w:spacing w:val="0"/>
          <w:sz w:val="20"/>
          <w:rtl/>
        </w:rPr>
        <w:tab/>
      </w:r>
      <w:r w:rsidR="004E0A37" w:rsidRPr="004E0A37">
        <w:rPr>
          <w:rFonts w:hint="cs"/>
          <w:spacing w:val="0"/>
          <w:sz w:val="20"/>
          <w:rtl/>
        </w:rPr>
        <w:t>تأسف اللجنة لأن الأزمة السياسية التي وقعت في عام 2009</w:t>
      </w:r>
      <w:r w:rsidR="00335AC0">
        <w:rPr>
          <w:rFonts w:hint="cs"/>
          <w:spacing w:val="0"/>
          <w:sz w:val="20"/>
          <w:rtl/>
        </w:rPr>
        <w:t xml:space="preserve"> لم </w:t>
      </w:r>
      <w:r w:rsidR="004E0A37" w:rsidRPr="004E0A37">
        <w:rPr>
          <w:rFonts w:hint="cs"/>
          <w:spacing w:val="0"/>
          <w:sz w:val="20"/>
          <w:rtl/>
        </w:rPr>
        <w:t>تسمح بتعيين أعضاء المجلس الوطني لحقوق الإنسان ولأن المجلس</w:t>
      </w:r>
      <w:r w:rsidR="00335AC0">
        <w:rPr>
          <w:rFonts w:hint="cs"/>
          <w:spacing w:val="0"/>
          <w:sz w:val="20"/>
          <w:rtl/>
        </w:rPr>
        <w:t xml:space="preserve"> لم </w:t>
      </w:r>
      <w:r w:rsidR="004E0A37" w:rsidRPr="004E0A37">
        <w:rPr>
          <w:rFonts w:hint="cs"/>
          <w:spacing w:val="0"/>
          <w:sz w:val="20"/>
          <w:rtl/>
        </w:rPr>
        <w:t>يعمل منذ إنشائه في عام 2008 (المواد</w:t>
      </w:r>
      <w:r w:rsidR="00A91B45">
        <w:rPr>
          <w:rFonts w:hint="eastAsia"/>
          <w:spacing w:val="0"/>
          <w:sz w:val="20"/>
          <w:rtl/>
        </w:rPr>
        <w:t> </w:t>
      </w:r>
      <w:r w:rsidR="004E0A37" w:rsidRPr="004E0A37">
        <w:rPr>
          <w:rFonts w:hint="cs"/>
          <w:spacing w:val="0"/>
          <w:sz w:val="20"/>
          <w:rtl/>
        </w:rPr>
        <w:t>2 و12 و13 و16).</w:t>
      </w:r>
    </w:p>
    <w:p w:rsidR="004E0A37" w:rsidRPr="00DA0B1C" w:rsidRDefault="004E0A37" w:rsidP="009318CA">
      <w:pPr>
        <w:pStyle w:val="SingleTxtGA"/>
        <w:jc w:val="lowKashida"/>
        <w:rPr>
          <w:rFonts w:hint="cs"/>
          <w:b/>
          <w:bCs/>
          <w:spacing w:val="0"/>
          <w:sz w:val="20"/>
          <w:rtl/>
        </w:rPr>
      </w:pPr>
      <w:r w:rsidRPr="00DA0B1C">
        <w:rPr>
          <w:rFonts w:hint="cs"/>
          <w:b/>
          <w:bCs/>
          <w:spacing w:val="0"/>
          <w:sz w:val="20"/>
          <w:rtl/>
        </w:rPr>
        <w:tab/>
        <w:t>ينبغي للدولة الطرف أن تضمن الأداء الفعال والمستقل لهذه المؤسسة عن طريق تزويدها بالموارد المالية والبشرية اللازمة للاضطلاع بولايتها، المتمثلة، بصفة خاصة، في إجراء التحقيق في مزاعم التعذيب وسوء المعاملة. وتشجع اللجنة الدولة الطرف على التماس المساعدة التقنية من مفوضية الأمم المتحدة السامية لحقوق الإنسان لكي تكفل امتثال هذه المؤسسة للمبادئ المتعلقة بمركز المؤسسات الوطنية لتعزيز وحماية حقوق الإنسان (مبادئ باريس، مرفق قرار الجمعية العامة 48/13</w:t>
      </w:r>
      <w:r w:rsidR="009318CA" w:rsidRPr="00DA0B1C">
        <w:rPr>
          <w:rFonts w:hint="cs"/>
          <w:b/>
          <w:bCs/>
          <w:spacing w:val="0"/>
          <w:sz w:val="20"/>
          <w:rtl/>
        </w:rPr>
        <w:t>4</w:t>
      </w:r>
      <w:r w:rsidRPr="00DA0B1C">
        <w:rPr>
          <w:rFonts w:hint="cs"/>
          <w:b/>
          <w:bCs/>
          <w:spacing w:val="0"/>
          <w:sz w:val="20"/>
          <w:rtl/>
        </w:rPr>
        <w:t>).</w:t>
      </w:r>
    </w:p>
    <w:p w:rsidR="004E0A37" w:rsidRPr="004E0A37" w:rsidRDefault="004E0A37" w:rsidP="00A91B45">
      <w:pPr>
        <w:pStyle w:val="H23GA"/>
        <w:rPr>
          <w:rFonts w:hint="cs"/>
          <w:rtl/>
          <w:lang w:val="fr-CH"/>
        </w:rPr>
      </w:pPr>
      <w:r w:rsidRPr="004E0A37">
        <w:rPr>
          <w:rFonts w:hint="cs"/>
          <w:rtl/>
          <w:lang w:val="fr-CH"/>
        </w:rPr>
        <w:tab/>
      </w:r>
      <w:r w:rsidRPr="004E0A37">
        <w:rPr>
          <w:rFonts w:hint="cs"/>
          <w:rtl/>
          <w:lang w:val="fr-CH"/>
        </w:rPr>
        <w:tab/>
        <w:t>أخذ الأقارب رهائن</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15</w:t>
      </w:r>
      <w:r w:rsidR="003E72B5">
        <w:rPr>
          <w:rFonts w:hint="cs"/>
          <w:spacing w:val="0"/>
          <w:sz w:val="20"/>
          <w:rtl/>
        </w:rPr>
        <w:t>)</w:t>
      </w:r>
      <w:r w:rsidR="003E72B5">
        <w:rPr>
          <w:rFonts w:hint="cs"/>
          <w:spacing w:val="0"/>
          <w:sz w:val="20"/>
          <w:rtl/>
        </w:rPr>
        <w:tab/>
      </w:r>
      <w:r w:rsidR="004E0A37" w:rsidRPr="004E0A37">
        <w:rPr>
          <w:rFonts w:hint="cs"/>
          <w:spacing w:val="0"/>
          <w:sz w:val="20"/>
          <w:rtl/>
        </w:rPr>
        <w:t>تأسف اللجنة للادعاءات التي تفيد بإلقاء القبض على النساء واعتقالهن واحتجازهن بدلاً من أزواجهن لإرغامهم على تسليم أنفسهم للشرطة (المادتان 12 و16).</w:t>
      </w:r>
    </w:p>
    <w:p w:rsidR="004E0A37" w:rsidRPr="00DA0B1C" w:rsidRDefault="004E0A37" w:rsidP="004E0A37">
      <w:pPr>
        <w:pStyle w:val="SingleTxtGA"/>
        <w:jc w:val="lowKashida"/>
        <w:rPr>
          <w:rFonts w:hint="cs"/>
          <w:b/>
          <w:bCs/>
          <w:spacing w:val="0"/>
          <w:sz w:val="20"/>
          <w:rtl/>
        </w:rPr>
      </w:pPr>
      <w:r w:rsidRPr="00DA0B1C">
        <w:rPr>
          <w:b/>
          <w:bCs/>
          <w:spacing w:val="0"/>
          <w:sz w:val="20"/>
          <w:rtl/>
        </w:rPr>
        <w:tab/>
      </w:r>
      <w:r w:rsidRPr="00DA0B1C">
        <w:rPr>
          <w:rFonts w:hint="cs"/>
          <w:b/>
          <w:bCs/>
          <w:spacing w:val="0"/>
          <w:sz w:val="20"/>
          <w:rtl/>
        </w:rPr>
        <w:t>ينبغي للدولة الطرف أن تعمل على وضع حد للممارسة المتمثلة في أخذ أقارب الشخص المشتبه بارتكابه جريمة رهائن، وإجراء تحقيقات سريعة من أجل معاقبة الجناة. وهذه الممارسة الخطيرة تنتهك القوانين الوطنية والمبادئ الأساسية لحقوق الإنسان.</w:t>
      </w:r>
    </w:p>
    <w:p w:rsidR="004E0A37" w:rsidRPr="004E0A37" w:rsidRDefault="004E0A37" w:rsidP="00A91B45">
      <w:pPr>
        <w:pStyle w:val="H23GA"/>
        <w:rPr>
          <w:rFonts w:hint="cs"/>
          <w:rtl/>
          <w:lang w:val="fr-CH"/>
        </w:rPr>
      </w:pPr>
      <w:r w:rsidRPr="004E0A37">
        <w:rPr>
          <w:rFonts w:hint="cs"/>
          <w:rtl/>
          <w:lang w:val="fr-CH"/>
        </w:rPr>
        <w:tab/>
      </w:r>
      <w:r w:rsidRPr="004E0A37">
        <w:rPr>
          <w:rFonts w:hint="cs"/>
          <w:rtl/>
          <w:lang w:val="fr-CH"/>
        </w:rPr>
        <w:tab/>
        <w:t>المحكوم عليهم بالإعدام</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F96B1E">
        <w:rPr>
          <w:rFonts w:hint="cs"/>
          <w:spacing w:val="0"/>
          <w:sz w:val="20"/>
          <w:rtl/>
        </w:rPr>
        <w:t>فيما </w:t>
      </w:r>
      <w:r w:rsidR="004E0A37" w:rsidRPr="004E0A37">
        <w:rPr>
          <w:rFonts w:hint="cs"/>
          <w:spacing w:val="0"/>
          <w:sz w:val="20"/>
          <w:rtl/>
        </w:rPr>
        <w:t>تأخذ اللجنة</w:t>
      </w:r>
      <w:r w:rsidR="003833F8">
        <w:rPr>
          <w:rFonts w:hint="cs"/>
          <w:spacing w:val="0"/>
          <w:sz w:val="20"/>
          <w:rtl/>
        </w:rPr>
        <w:t xml:space="preserve"> علماً </w:t>
      </w:r>
      <w:r w:rsidR="004E0A37" w:rsidRPr="004E0A37">
        <w:rPr>
          <w:rFonts w:hint="cs"/>
          <w:spacing w:val="0"/>
          <w:sz w:val="20"/>
          <w:rtl/>
        </w:rPr>
        <w:t>بأن الدولة الطرف تطبق وقفاً اختيارياً لعقوبة الإعدام بحكم الواقع من خلال تخفيف أحكام الإعدام إلى أحكام بالسجن، تأسف اللجنة لأن هذا الوقف غير منصوص عليه بصورة رسمية في القانون (المواد 2 و11 و16).</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ينبغي للدولة الطرف الإبقاء على الوقف الاختياري لعقوبة الإعدام بحكم الواقع، وأن تفكر في تضمين القانون مبدأ تخفيف أحكام الإعدام إلى أحكام بالسجن، لكي يتم بصورة منهجية تخفيف الحكم بالإعدام إلى الحكم بالسجن. وتود اللجنة أن تحصل على مزيد من المعلومات عن أحكام الإعدام التي لا تزال تصدر عن المحاكم، وعن ظروف حبس المحكوم عليهم بالإعدام، وعن الفترة الزمنية التي يتم التقيُد بها عموماً لتخفيض عقوبة الإعدام إلى العقوبة بالسجن، وعن معاملة المحكوم عليهم بالإعدام وعن حقهم في زيارة أفراد أسرهم ومحامييهم. وفضلاً عن ذلك، تشجع اللجنة الدولة الطرف على التصديق على البروتوكول الاختياري الثاني الملحق بالعهد الدولي الخاص بالحقوق المدنية والسياسية، والهادف إلى إلغاء عقوبة الإعدام.</w:t>
      </w:r>
    </w:p>
    <w:p w:rsidR="004E0A37" w:rsidRPr="004E0A37" w:rsidRDefault="004E0A37" w:rsidP="00A91B45">
      <w:pPr>
        <w:pStyle w:val="H23GA"/>
        <w:rPr>
          <w:rFonts w:hint="cs"/>
          <w:rtl/>
          <w:lang w:val="fr-CH"/>
        </w:rPr>
      </w:pPr>
      <w:r w:rsidRPr="004E0A37">
        <w:rPr>
          <w:rFonts w:hint="cs"/>
          <w:rtl/>
          <w:lang w:val="fr-CH"/>
        </w:rPr>
        <w:tab/>
      </w:r>
      <w:r w:rsidRPr="004E0A37">
        <w:rPr>
          <w:rFonts w:hint="cs"/>
          <w:rtl/>
          <w:lang w:val="fr-CH"/>
        </w:rPr>
        <w:tab/>
        <w:t>التدريب</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بتنظيم الدولة الطرف دورات تدريبية في مجال حقوق الإنسان، لكنها تأسف لعدم إجراء تقييمات لأثر هذه الدورات التدريبية على تحسين حالة حقوق الإنسان، وكذلك لعدم تقديم تدريب يتمحور حول وسائل ترمي إلى الكشف عن الآثار البدنية والنفسية للتعذيب (المادة 10).</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 xml:space="preserve">توصي اللجنة الدولة الطرف بأن تدمج في دوراتها التدريبية المقبلة للموظفين المكلفين بإنفاذ القانون والعاملين في الحقل الطبي </w:t>
      </w:r>
      <w:r w:rsidRPr="00DA0B1C">
        <w:rPr>
          <w:b/>
          <w:bCs/>
          <w:spacing w:val="0"/>
          <w:sz w:val="20"/>
          <w:rtl/>
        </w:rPr>
        <w:t>دليل</w:t>
      </w:r>
      <w:r w:rsidRPr="00DA0B1C">
        <w:rPr>
          <w:rFonts w:hint="cs"/>
          <w:b/>
          <w:bCs/>
          <w:spacing w:val="0"/>
          <w:sz w:val="20"/>
          <w:rtl/>
        </w:rPr>
        <w:t xml:space="preserve"> </w:t>
      </w:r>
      <w:r w:rsidRPr="00DA0B1C">
        <w:rPr>
          <w:b/>
          <w:bCs/>
          <w:spacing w:val="0"/>
          <w:sz w:val="20"/>
          <w:rtl/>
        </w:rPr>
        <w:t>التقصي</w:t>
      </w:r>
      <w:r w:rsidRPr="00DA0B1C">
        <w:rPr>
          <w:rFonts w:hint="cs"/>
          <w:b/>
          <w:bCs/>
          <w:spacing w:val="0"/>
          <w:sz w:val="20"/>
          <w:rtl/>
        </w:rPr>
        <w:t xml:space="preserve"> </w:t>
      </w:r>
      <w:r w:rsidRPr="00DA0B1C">
        <w:rPr>
          <w:b/>
          <w:bCs/>
          <w:spacing w:val="0"/>
          <w:sz w:val="20"/>
          <w:rtl/>
        </w:rPr>
        <w:t>والتوثيق</w:t>
      </w:r>
      <w:r w:rsidRPr="00DA0B1C">
        <w:rPr>
          <w:rFonts w:hint="cs"/>
          <w:b/>
          <w:bCs/>
          <w:spacing w:val="0"/>
          <w:sz w:val="20"/>
          <w:rtl/>
        </w:rPr>
        <w:t xml:space="preserve"> </w:t>
      </w:r>
      <w:r w:rsidRPr="00DA0B1C">
        <w:rPr>
          <w:b/>
          <w:bCs/>
          <w:spacing w:val="0"/>
          <w:sz w:val="20"/>
          <w:rtl/>
        </w:rPr>
        <w:t>الفعالين</w:t>
      </w:r>
      <w:r w:rsidRPr="00DA0B1C">
        <w:rPr>
          <w:rFonts w:hint="cs"/>
          <w:b/>
          <w:bCs/>
          <w:spacing w:val="0"/>
          <w:sz w:val="20"/>
          <w:rtl/>
        </w:rPr>
        <w:t xml:space="preserve"> </w:t>
      </w:r>
      <w:r w:rsidRPr="00DA0B1C">
        <w:rPr>
          <w:b/>
          <w:bCs/>
          <w:spacing w:val="0"/>
          <w:sz w:val="20"/>
          <w:rtl/>
        </w:rPr>
        <w:t>بشأن</w:t>
      </w:r>
      <w:r w:rsidRPr="00DA0B1C">
        <w:rPr>
          <w:rFonts w:hint="cs"/>
          <w:b/>
          <w:bCs/>
          <w:spacing w:val="0"/>
          <w:sz w:val="20"/>
          <w:rtl/>
        </w:rPr>
        <w:t xml:space="preserve"> </w:t>
      </w:r>
      <w:r w:rsidRPr="00DA0B1C">
        <w:rPr>
          <w:b/>
          <w:bCs/>
          <w:spacing w:val="0"/>
          <w:sz w:val="20"/>
          <w:rtl/>
        </w:rPr>
        <w:t>التعذيب</w:t>
      </w:r>
      <w:r w:rsidRPr="00DA0B1C">
        <w:rPr>
          <w:rFonts w:hint="cs"/>
          <w:b/>
          <w:bCs/>
          <w:spacing w:val="0"/>
          <w:sz w:val="20"/>
          <w:rtl/>
        </w:rPr>
        <w:t xml:space="preserve"> </w:t>
      </w:r>
      <w:r w:rsidRPr="00DA0B1C">
        <w:rPr>
          <w:b/>
          <w:bCs/>
          <w:spacing w:val="0"/>
          <w:sz w:val="20"/>
          <w:rtl/>
        </w:rPr>
        <w:t>وغيره</w:t>
      </w:r>
      <w:r w:rsidRPr="00DA0B1C">
        <w:rPr>
          <w:rFonts w:hint="cs"/>
          <w:b/>
          <w:bCs/>
          <w:spacing w:val="0"/>
          <w:sz w:val="20"/>
          <w:rtl/>
        </w:rPr>
        <w:t xml:space="preserve"> </w:t>
      </w:r>
      <w:r w:rsidRPr="00DA0B1C">
        <w:rPr>
          <w:b/>
          <w:bCs/>
          <w:spacing w:val="0"/>
          <w:sz w:val="20"/>
          <w:rtl/>
        </w:rPr>
        <w:t>من</w:t>
      </w:r>
      <w:r w:rsidRPr="00DA0B1C">
        <w:rPr>
          <w:rFonts w:hint="cs"/>
          <w:b/>
          <w:bCs/>
          <w:spacing w:val="0"/>
          <w:sz w:val="20"/>
          <w:rtl/>
        </w:rPr>
        <w:t xml:space="preserve"> </w:t>
      </w:r>
      <w:r w:rsidRPr="00DA0B1C">
        <w:rPr>
          <w:b/>
          <w:bCs/>
          <w:spacing w:val="0"/>
          <w:sz w:val="20"/>
          <w:rtl/>
        </w:rPr>
        <w:t>ضروب</w:t>
      </w:r>
      <w:r w:rsidRPr="00DA0B1C">
        <w:rPr>
          <w:rFonts w:hint="cs"/>
          <w:b/>
          <w:bCs/>
          <w:spacing w:val="0"/>
          <w:sz w:val="20"/>
          <w:rtl/>
        </w:rPr>
        <w:t xml:space="preserve"> </w:t>
      </w:r>
      <w:r w:rsidRPr="00DA0B1C">
        <w:rPr>
          <w:b/>
          <w:bCs/>
          <w:spacing w:val="0"/>
          <w:sz w:val="20"/>
          <w:rtl/>
        </w:rPr>
        <w:t>المعاملة</w:t>
      </w:r>
      <w:r w:rsidRPr="00DA0B1C">
        <w:rPr>
          <w:rFonts w:hint="cs"/>
          <w:b/>
          <w:bCs/>
          <w:spacing w:val="0"/>
          <w:sz w:val="20"/>
          <w:rtl/>
        </w:rPr>
        <w:t xml:space="preserve"> </w:t>
      </w:r>
      <w:r w:rsidRPr="00DA0B1C">
        <w:rPr>
          <w:b/>
          <w:bCs/>
          <w:spacing w:val="0"/>
          <w:sz w:val="20"/>
          <w:rtl/>
        </w:rPr>
        <w:t>أو</w:t>
      </w:r>
      <w:r w:rsidRPr="00DA0B1C">
        <w:rPr>
          <w:rFonts w:hint="cs"/>
          <w:b/>
          <w:bCs/>
          <w:spacing w:val="0"/>
          <w:sz w:val="20"/>
          <w:rtl/>
        </w:rPr>
        <w:t xml:space="preserve"> </w:t>
      </w:r>
      <w:r w:rsidRPr="00DA0B1C">
        <w:rPr>
          <w:b/>
          <w:bCs/>
          <w:spacing w:val="0"/>
          <w:sz w:val="20"/>
          <w:rtl/>
        </w:rPr>
        <w:t>العقوبة</w:t>
      </w:r>
      <w:r w:rsidRPr="00DA0B1C">
        <w:rPr>
          <w:rFonts w:hint="cs"/>
          <w:b/>
          <w:bCs/>
          <w:spacing w:val="0"/>
          <w:sz w:val="20"/>
          <w:rtl/>
        </w:rPr>
        <w:t xml:space="preserve"> </w:t>
      </w:r>
      <w:r w:rsidRPr="00DA0B1C">
        <w:rPr>
          <w:b/>
          <w:bCs/>
          <w:spacing w:val="0"/>
          <w:sz w:val="20"/>
          <w:rtl/>
        </w:rPr>
        <w:t>القاسية</w:t>
      </w:r>
      <w:r w:rsidRPr="00DA0B1C">
        <w:rPr>
          <w:rFonts w:hint="cs"/>
          <w:b/>
          <w:bCs/>
          <w:spacing w:val="0"/>
          <w:sz w:val="20"/>
          <w:rtl/>
        </w:rPr>
        <w:t xml:space="preserve"> </w:t>
      </w:r>
      <w:r w:rsidRPr="00DA0B1C">
        <w:rPr>
          <w:b/>
          <w:bCs/>
          <w:spacing w:val="0"/>
          <w:sz w:val="20"/>
          <w:rtl/>
        </w:rPr>
        <w:t>أو</w:t>
      </w:r>
      <w:r w:rsidRPr="00DA0B1C">
        <w:rPr>
          <w:rFonts w:hint="cs"/>
          <w:b/>
          <w:bCs/>
          <w:spacing w:val="0"/>
          <w:sz w:val="20"/>
          <w:rtl/>
        </w:rPr>
        <w:t xml:space="preserve"> </w:t>
      </w:r>
      <w:r w:rsidRPr="00DA0B1C">
        <w:rPr>
          <w:b/>
          <w:bCs/>
          <w:spacing w:val="0"/>
          <w:sz w:val="20"/>
          <w:rtl/>
        </w:rPr>
        <w:t>اللاإنسانية</w:t>
      </w:r>
      <w:r w:rsidRPr="00DA0B1C">
        <w:rPr>
          <w:rFonts w:hint="cs"/>
          <w:b/>
          <w:bCs/>
          <w:spacing w:val="0"/>
          <w:sz w:val="20"/>
          <w:rtl/>
        </w:rPr>
        <w:t xml:space="preserve"> </w:t>
      </w:r>
      <w:r w:rsidRPr="00DA0B1C">
        <w:rPr>
          <w:b/>
          <w:bCs/>
          <w:spacing w:val="0"/>
          <w:sz w:val="20"/>
          <w:rtl/>
        </w:rPr>
        <w:t>أو</w:t>
      </w:r>
      <w:r w:rsidRPr="00DA0B1C">
        <w:rPr>
          <w:rFonts w:hint="cs"/>
          <w:b/>
          <w:bCs/>
          <w:spacing w:val="0"/>
          <w:sz w:val="20"/>
          <w:rtl/>
        </w:rPr>
        <w:t xml:space="preserve"> </w:t>
      </w:r>
      <w:r w:rsidRPr="00DA0B1C">
        <w:rPr>
          <w:b/>
          <w:bCs/>
          <w:spacing w:val="0"/>
          <w:sz w:val="20"/>
          <w:rtl/>
        </w:rPr>
        <w:t>المهينة</w:t>
      </w:r>
      <w:r w:rsidRPr="00DA0B1C">
        <w:rPr>
          <w:rFonts w:hint="cs"/>
          <w:b/>
          <w:bCs/>
          <w:spacing w:val="0"/>
          <w:sz w:val="20"/>
          <w:rtl/>
        </w:rPr>
        <w:t xml:space="preserve"> (</w:t>
      </w:r>
      <w:r w:rsidRPr="00DA0B1C">
        <w:rPr>
          <w:b/>
          <w:bCs/>
          <w:spacing w:val="0"/>
          <w:sz w:val="20"/>
          <w:rtl/>
        </w:rPr>
        <w:t>بروتوكول</w:t>
      </w:r>
      <w:r w:rsidRPr="00DA0B1C">
        <w:rPr>
          <w:rFonts w:hint="cs"/>
          <w:b/>
          <w:bCs/>
          <w:spacing w:val="0"/>
          <w:sz w:val="20"/>
          <w:rtl/>
        </w:rPr>
        <w:t xml:space="preserve"> </w:t>
      </w:r>
      <w:r w:rsidR="002C1EA7" w:rsidRPr="00DA0B1C">
        <w:rPr>
          <w:b/>
          <w:bCs/>
          <w:spacing w:val="0"/>
          <w:sz w:val="20"/>
          <w:rtl/>
        </w:rPr>
        <w:t>اسطنبول</w:t>
      </w:r>
      <w:r w:rsidRPr="00DA0B1C">
        <w:rPr>
          <w:rFonts w:hint="cs"/>
          <w:b/>
          <w:bCs/>
          <w:spacing w:val="0"/>
          <w:sz w:val="20"/>
          <w:rtl/>
        </w:rPr>
        <w:t>) وبأن تعممه على موظفي السجون والعاملين في الحقل الطبي. وينبغي للدولة الطرف أن تجري تقييماً لأثر وفعالية هذه البرامج التدريبية.</w:t>
      </w:r>
    </w:p>
    <w:p w:rsidR="004E0A37" w:rsidRPr="004E0A37" w:rsidRDefault="004E0A37" w:rsidP="00A91B45">
      <w:pPr>
        <w:pStyle w:val="H23GA"/>
        <w:rPr>
          <w:rFonts w:hint="cs"/>
          <w:rtl/>
          <w:lang w:val="fr-CH"/>
        </w:rPr>
      </w:pPr>
      <w:r w:rsidRPr="004E0A37">
        <w:rPr>
          <w:rFonts w:hint="cs"/>
          <w:rtl/>
          <w:lang w:val="fr-CH"/>
        </w:rPr>
        <w:tab/>
      </w:r>
      <w:r w:rsidRPr="004E0A37">
        <w:rPr>
          <w:rFonts w:hint="cs"/>
          <w:rtl/>
          <w:lang w:val="fr-CH"/>
        </w:rPr>
        <w:tab/>
        <w:t>جميع البيانات</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18</w:t>
      </w:r>
      <w:r w:rsidR="003E72B5">
        <w:rPr>
          <w:rFonts w:hint="cs"/>
          <w:spacing w:val="0"/>
          <w:sz w:val="20"/>
          <w:rtl/>
        </w:rPr>
        <w:t>)</w:t>
      </w:r>
      <w:r w:rsidR="003E72B5">
        <w:rPr>
          <w:rFonts w:hint="cs"/>
          <w:spacing w:val="0"/>
          <w:sz w:val="20"/>
          <w:rtl/>
        </w:rPr>
        <w:tab/>
      </w:r>
      <w:r w:rsidR="004E0A37" w:rsidRPr="004E0A37">
        <w:rPr>
          <w:rFonts w:hint="cs"/>
          <w:spacing w:val="0"/>
          <w:sz w:val="20"/>
          <w:rtl/>
        </w:rPr>
        <w:t>تأسف اللجنة لعدم تقديم معلومات كافية ومفصلة عن الشكاوى، والتحريات، والملاحقات القضائية والإدانات المتعلقة بالتعذيب وسوء المعاملة من جانب الشرطة وأفراد الأمن وأفراد الجيش والعاملين في السجون، وكذلك عن حالات الإعدام خارج نطاق القضاء أو بإجراءات موجزة، وحالات الاختفاء القسري، والاتجار بالبشر، والعنف المنزلي، وظروف الاحتجاز، وسبل الانتصاف (المواد 12 و13 و14 و16).</w:t>
      </w:r>
    </w:p>
    <w:p w:rsidR="004E0A37" w:rsidRPr="00DA0B1C" w:rsidRDefault="004E0A37" w:rsidP="004E0A37">
      <w:pPr>
        <w:pStyle w:val="SingleTxtGA"/>
        <w:jc w:val="lowKashida"/>
        <w:rPr>
          <w:rFonts w:hint="cs"/>
          <w:b/>
          <w:bCs/>
          <w:spacing w:val="0"/>
          <w:sz w:val="20"/>
          <w:rtl/>
        </w:rPr>
      </w:pPr>
      <w:r w:rsidRPr="00DA0B1C">
        <w:rPr>
          <w:rFonts w:hint="cs"/>
          <w:b/>
          <w:bCs/>
          <w:spacing w:val="0"/>
          <w:sz w:val="20"/>
          <w:rtl/>
        </w:rPr>
        <w:tab/>
        <w:t xml:space="preserve">ينبغي للدولة الطرف جمع بيانات إحصائية ذات صلة لأغراض رصد تطبيق الاتفاقية على المستوى الوطني، ولا سيما البيانات المتعلقة بالشكاوى المقدمة والتحريات والملاحقات القضائية والإدانات المتصلة بالتعذيب وسوء المعاملة وغيرها من أشكال انتهاكات حقوق الإنسان المشار إليها، وكذلك عن سبل الانتصاف، والتعويض وإعادة التأهيل المقدمة إلى الضحايا. وتدعو اللجنة الدولة الطرف إلى أن تدرج هذه البيانات في تقريرها الدوري المقبل. ويمكن تجميع هذه البيانات في إطار مشروع مشترك بين المؤسسات المتخصصة للأمم المتحدة بهدف وضع آلية لرصد وتقييم تنفيذ الالتزامات التي تعهدت بها الدولة الطرف في مجال حقوق الإنسان. </w:t>
      </w:r>
    </w:p>
    <w:p w:rsidR="004E0A37" w:rsidRPr="004E0A37" w:rsidRDefault="004E0A37" w:rsidP="00A91B45">
      <w:pPr>
        <w:pStyle w:val="H23GA"/>
        <w:rPr>
          <w:rFonts w:hint="cs"/>
          <w:rtl/>
          <w:lang w:val="fr-CH"/>
        </w:rPr>
      </w:pPr>
      <w:r w:rsidRPr="004E0A37">
        <w:rPr>
          <w:rFonts w:hint="cs"/>
          <w:rtl/>
          <w:lang w:val="fr-CH"/>
        </w:rPr>
        <w:tab/>
      </w:r>
      <w:r w:rsidRPr="004E0A37">
        <w:rPr>
          <w:rFonts w:hint="cs"/>
          <w:rtl/>
          <w:lang w:val="fr-CH"/>
        </w:rPr>
        <w:tab/>
        <w:t>اللاجئون</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19</w:t>
      </w:r>
      <w:r w:rsidR="003E72B5">
        <w:rPr>
          <w:rFonts w:hint="cs"/>
          <w:spacing w:val="0"/>
          <w:sz w:val="20"/>
          <w:rtl/>
        </w:rPr>
        <w:t>)</w:t>
      </w:r>
      <w:r w:rsidR="003E72B5">
        <w:rPr>
          <w:rFonts w:hint="cs"/>
          <w:spacing w:val="0"/>
          <w:sz w:val="20"/>
          <w:rtl/>
        </w:rPr>
        <w:tab/>
      </w:r>
      <w:r w:rsidR="004E0A37" w:rsidRPr="004E0A37">
        <w:rPr>
          <w:rFonts w:hint="cs"/>
          <w:spacing w:val="0"/>
          <w:sz w:val="20"/>
          <w:rtl/>
        </w:rPr>
        <w:t>تشير اللجنة إلى أن المادة 19 من قانون مناهضة التعذيب تحظر تسليم شخص إلى دولة يتعرض فيها لخطر التعذيب، لكن المادة لا تشير إلى حالة الإبعاد أو الإعادة. وفضلاً عن ذلك، تلاحظ اللجنة أيضاً عدم تقديم معلومات عن حالة اللاجئين في البلد وعدم وجود قانون للجوء (المادة 3).</w:t>
      </w:r>
    </w:p>
    <w:p w:rsidR="004E0A37" w:rsidRPr="00DA0B1C" w:rsidRDefault="004E0A37" w:rsidP="00DA0B1C">
      <w:pPr>
        <w:pStyle w:val="SingleTxtGA"/>
        <w:jc w:val="lowKashida"/>
        <w:rPr>
          <w:rFonts w:hint="cs"/>
          <w:b/>
          <w:bCs/>
          <w:spacing w:val="0"/>
          <w:sz w:val="20"/>
          <w:rtl/>
        </w:rPr>
      </w:pPr>
      <w:r w:rsidRPr="00DA0B1C">
        <w:rPr>
          <w:rFonts w:hint="cs"/>
          <w:b/>
          <w:bCs/>
          <w:spacing w:val="0"/>
          <w:sz w:val="20"/>
          <w:rtl/>
        </w:rPr>
        <w:tab/>
        <w:t>ينبغي للدولة الطرف أن تعدل المادة 19 من قانون مناهضة التعذيب الصادر في</w:t>
      </w:r>
      <w:r w:rsidR="00DA0B1C">
        <w:rPr>
          <w:rFonts w:hint="eastAsia"/>
          <w:b/>
          <w:bCs/>
          <w:spacing w:val="0"/>
          <w:sz w:val="20"/>
          <w:rtl/>
        </w:rPr>
        <w:t> </w:t>
      </w:r>
      <w:r w:rsidRPr="00DA0B1C">
        <w:rPr>
          <w:rFonts w:hint="cs"/>
          <w:b/>
          <w:bCs/>
          <w:spacing w:val="0"/>
          <w:sz w:val="20"/>
          <w:rtl/>
        </w:rPr>
        <w:t>25 حزيران/يونيه 2008 لكي يتضمن أيضاً حالات الإبعاد والإعادة</w:t>
      </w:r>
      <w:r w:rsidR="00B345DB" w:rsidRPr="00DA0B1C">
        <w:rPr>
          <w:rFonts w:hint="cs"/>
          <w:b/>
          <w:bCs/>
          <w:spacing w:val="0"/>
          <w:sz w:val="20"/>
          <w:rtl/>
        </w:rPr>
        <w:t xml:space="preserve"> وفقاً </w:t>
      </w:r>
      <w:r w:rsidRPr="00DA0B1C">
        <w:rPr>
          <w:rFonts w:hint="cs"/>
          <w:b/>
          <w:bCs/>
          <w:spacing w:val="0"/>
          <w:sz w:val="20"/>
          <w:rtl/>
        </w:rPr>
        <w:t xml:space="preserve">لأحكام المادة 3 من الاتفاقية. وتشجع اللجنة الدولة الطرف على الانضمام إلى البروتوكول الخاص بوضع اللاجئين (1967) والانضمام كذلك إلى الاتفاقية التي تحكم المظاهر الخاصة بمشكلات اللاجئين في أفريقيا. وفضلاً عن ذلك، تدعو اللجنة الدولة الطرف إلى أن تضمن تقريرها الدوري المقبل معلومات عن حالة اللاجئين في مدغشقر. </w:t>
      </w:r>
    </w:p>
    <w:p w:rsidR="004E0A37" w:rsidRPr="004E0A37" w:rsidRDefault="004E0A37" w:rsidP="00A91B45">
      <w:pPr>
        <w:pStyle w:val="H23GA"/>
        <w:rPr>
          <w:rFonts w:hint="cs"/>
          <w:rtl/>
          <w:lang w:val="fr-CH"/>
        </w:rPr>
      </w:pPr>
      <w:r w:rsidRPr="004E0A37">
        <w:rPr>
          <w:rFonts w:hint="cs"/>
          <w:rtl/>
          <w:lang w:val="fr-CH"/>
        </w:rPr>
        <w:tab/>
      </w:r>
      <w:r w:rsidRPr="004E0A37">
        <w:rPr>
          <w:rFonts w:hint="cs"/>
          <w:rtl/>
          <w:lang w:val="fr-CH"/>
        </w:rPr>
        <w:tab/>
        <w:t>التعاون مع آليات حقوق الإنسان</w:t>
      </w:r>
    </w:p>
    <w:p w:rsidR="004E0A37" w:rsidRPr="004E0A37" w:rsidRDefault="0033301A" w:rsidP="00A91B45">
      <w:pPr>
        <w:pStyle w:val="SingleTxtGA"/>
        <w:jc w:val="lowKashida"/>
        <w:rPr>
          <w:rFonts w:hint="cs"/>
          <w:spacing w:val="0"/>
          <w:sz w:val="20"/>
          <w:rtl/>
        </w:rPr>
      </w:pPr>
      <w:r>
        <w:rPr>
          <w:rFonts w:hint="cs"/>
          <w:spacing w:val="0"/>
          <w:sz w:val="20"/>
          <w:rtl/>
        </w:rPr>
        <w:t>(</w:t>
      </w:r>
      <w:r w:rsidR="004E0A37" w:rsidRPr="004E0A37">
        <w:rPr>
          <w:rFonts w:hint="cs"/>
          <w:spacing w:val="0"/>
          <w:sz w:val="20"/>
          <w:rtl/>
        </w:rPr>
        <w:t>20</w:t>
      </w:r>
      <w:r w:rsidR="003E72B5">
        <w:rPr>
          <w:rFonts w:hint="cs"/>
          <w:spacing w:val="0"/>
          <w:sz w:val="20"/>
          <w:rtl/>
        </w:rPr>
        <w:t>)</w:t>
      </w:r>
      <w:r w:rsidR="003E72B5">
        <w:rPr>
          <w:rFonts w:hint="cs"/>
          <w:spacing w:val="0"/>
          <w:sz w:val="20"/>
          <w:rtl/>
        </w:rPr>
        <w:tab/>
      </w:r>
      <w:r w:rsidR="004E0A37" w:rsidRPr="004E0A37">
        <w:rPr>
          <w:rFonts w:hint="cs"/>
          <w:spacing w:val="0"/>
          <w:sz w:val="20"/>
          <w:rtl/>
        </w:rPr>
        <w:t>توصي اللجنة الدولة الطرف بأن تكثف تعاونها مع آليات حقوق الإنسان التابعة للأمم المتحدة، ولا سيما عن طريق السماح بالزيارات التي يقوم بها على سبيل المثال المقرر الخاص المعني بمسألة بالتعذيب وغيره من ضروب المعاملة أو العقوبة القاسية أو اللاإنسانية أو</w:t>
      </w:r>
      <w:r w:rsidR="00A91B45">
        <w:rPr>
          <w:rFonts w:hint="eastAsia"/>
          <w:spacing w:val="0"/>
          <w:sz w:val="20"/>
          <w:rtl/>
        </w:rPr>
        <w:t> </w:t>
      </w:r>
      <w:r w:rsidR="004E0A37" w:rsidRPr="004E0A37">
        <w:rPr>
          <w:rFonts w:hint="cs"/>
          <w:spacing w:val="0"/>
          <w:sz w:val="20"/>
          <w:rtl/>
        </w:rPr>
        <w:t>المهينة، والمقرر الخاص المعني بحالات الإعدام خارج نطاق القضاء أو بإجراءات موجزة أو</w:t>
      </w:r>
      <w:r w:rsidR="00A91B45">
        <w:rPr>
          <w:rFonts w:hint="eastAsia"/>
          <w:spacing w:val="0"/>
          <w:sz w:val="20"/>
          <w:rtl/>
        </w:rPr>
        <w:t> </w:t>
      </w:r>
      <w:r w:rsidR="004E0A37" w:rsidRPr="004E0A37">
        <w:rPr>
          <w:rFonts w:hint="cs"/>
          <w:spacing w:val="0"/>
          <w:sz w:val="20"/>
          <w:rtl/>
        </w:rPr>
        <w:t xml:space="preserve">تعسفاً، والفريق العامل المعني بمسألة الاحتجاز التعسفي والمقرر الخاص المعني بحالة المدافعين عن حقوق الإنسان. </w:t>
      </w:r>
    </w:p>
    <w:p w:rsidR="004E0A37" w:rsidRPr="00DA0B1C" w:rsidRDefault="0033301A" w:rsidP="00F06F86">
      <w:pPr>
        <w:pStyle w:val="SingleTxtGA"/>
        <w:jc w:val="lowKashida"/>
        <w:rPr>
          <w:rFonts w:hint="cs"/>
          <w:spacing w:val="-2"/>
          <w:sz w:val="20"/>
          <w:rtl/>
        </w:rPr>
      </w:pPr>
      <w:r w:rsidRPr="00DA0B1C">
        <w:rPr>
          <w:rFonts w:hint="cs"/>
          <w:spacing w:val="-2"/>
          <w:sz w:val="20"/>
          <w:rtl/>
        </w:rPr>
        <w:t>(</w:t>
      </w:r>
      <w:r w:rsidR="004E0A37" w:rsidRPr="00DA0B1C">
        <w:rPr>
          <w:rFonts w:hint="cs"/>
          <w:spacing w:val="-2"/>
          <w:sz w:val="20"/>
          <w:rtl/>
        </w:rPr>
        <w:t>21</w:t>
      </w:r>
      <w:r w:rsidR="003E72B5" w:rsidRPr="00DA0B1C">
        <w:rPr>
          <w:rFonts w:hint="cs"/>
          <w:spacing w:val="-2"/>
          <w:sz w:val="20"/>
          <w:rtl/>
        </w:rPr>
        <w:t>)</w:t>
      </w:r>
      <w:r w:rsidR="003E72B5" w:rsidRPr="00DA0B1C">
        <w:rPr>
          <w:rFonts w:hint="cs"/>
          <w:spacing w:val="-2"/>
          <w:sz w:val="20"/>
          <w:rtl/>
        </w:rPr>
        <w:tab/>
      </w:r>
      <w:r w:rsidR="004E0A37" w:rsidRPr="00DA0B1C">
        <w:rPr>
          <w:rFonts w:hint="cs"/>
          <w:spacing w:val="-2"/>
          <w:sz w:val="20"/>
          <w:rtl/>
        </w:rPr>
        <w:t>وإذ تحيط اللجنة</w:t>
      </w:r>
      <w:r w:rsidR="003833F8" w:rsidRPr="00DA0B1C">
        <w:rPr>
          <w:rFonts w:hint="cs"/>
          <w:spacing w:val="-2"/>
          <w:sz w:val="20"/>
          <w:rtl/>
        </w:rPr>
        <w:t xml:space="preserve"> علماً </w:t>
      </w:r>
      <w:r w:rsidR="004E0A37" w:rsidRPr="00DA0B1C">
        <w:rPr>
          <w:rFonts w:hint="cs"/>
          <w:spacing w:val="-2"/>
          <w:sz w:val="20"/>
          <w:rtl/>
        </w:rPr>
        <w:t>بتعهد الدولة الطرف أثناء عملية الاستعراض الدوري الشامل والحوار مع اللجنة، فهي توصي بأن تصدق الدولة الطرف على البروتوكول الاختياري لاتفاقية مناهضة التعذيب وغيره من ضروب المعاملة أو العقوبة القاسية أو اللاإنسانية أو</w:t>
      </w:r>
      <w:r w:rsidR="00F06F86" w:rsidRPr="00DA0B1C">
        <w:rPr>
          <w:rFonts w:hint="eastAsia"/>
          <w:spacing w:val="-2"/>
          <w:sz w:val="20"/>
          <w:rtl/>
        </w:rPr>
        <w:t> </w:t>
      </w:r>
      <w:r w:rsidR="004E0A37" w:rsidRPr="00DA0B1C">
        <w:rPr>
          <w:rFonts w:hint="cs"/>
          <w:spacing w:val="-2"/>
          <w:sz w:val="20"/>
          <w:rtl/>
        </w:rPr>
        <w:t xml:space="preserve">المهينة. </w:t>
      </w:r>
    </w:p>
    <w:p w:rsidR="004E0A37" w:rsidRPr="004E0A37" w:rsidRDefault="0033301A" w:rsidP="00F06F86">
      <w:pPr>
        <w:pStyle w:val="SingleTxtGA"/>
        <w:jc w:val="lowKashida"/>
        <w:rPr>
          <w:rFonts w:hint="cs"/>
          <w:spacing w:val="0"/>
          <w:sz w:val="20"/>
          <w:rtl/>
        </w:rPr>
      </w:pPr>
      <w:r>
        <w:rPr>
          <w:rFonts w:hint="cs"/>
          <w:spacing w:val="0"/>
          <w:sz w:val="20"/>
          <w:rtl/>
        </w:rPr>
        <w:t>(</w:t>
      </w:r>
      <w:r w:rsidR="004E0A37" w:rsidRPr="004E0A37">
        <w:rPr>
          <w:rFonts w:hint="cs"/>
          <w:spacing w:val="0"/>
          <w:sz w:val="20"/>
          <w:rtl/>
        </w:rPr>
        <w:t>22</w:t>
      </w:r>
      <w:r w:rsidR="003E72B5">
        <w:rPr>
          <w:rFonts w:hint="cs"/>
          <w:spacing w:val="0"/>
          <w:sz w:val="20"/>
          <w:rtl/>
        </w:rPr>
        <w:t>)</w:t>
      </w:r>
      <w:r w:rsidR="003E72B5">
        <w:rPr>
          <w:rFonts w:hint="cs"/>
          <w:spacing w:val="0"/>
          <w:sz w:val="20"/>
          <w:rtl/>
        </w:rPr>
        <w:tab/>
      </w:r>
      <w:r w:rsidR="004E0A37" w:rsidRPr="004E0A37">
        <w:rPr>
          <w:rFonts w:hint="cs"/>
          <w:spacing w:val="0"/>
          <w:sz w:val="20"/>
          <w:rtl/>
        </w:rPr>
        <w:t>وتوصي اللجنة الدولة الطرف أيضاً بأن تصدر الإعلانات المنصوص عليها في المادتين</w:t>
      </w:r>
      <w:r w:rsidR="00F06F86">
        <w:rPr>
          <w:rFonts w:hint="eastAsia"/>
          <w:spacing w:val="0"/>
          <w:sz w:val="20"/>
          <w:rtl/>
        </w:rPr>
        <w:t> </w:t>
      </w:r>
      <w:r w:rsidR="004E0A37" w:rsidRPr="004E0A37">
        <w:rPr>
          <w:rFonts w:hint="cs"/>
          <w:spacing w:val="0"/>
          <w:sz w:val="20"/>
          <w:rtl/>
        </w:rPr>
        <w:t xml:space="preserve">21 و22 من الاتفاقية، وبأن تعترف عند قيامها بذلك باختصاص اللجنة </w:t>
      </w:r>
      <w:r w:rsidR="00F96B1E">
        <w:rPr>
          <w:rFonts w:hint="cs"/>
          <w:spacing w:val="0"/>
          <w:sz w:val="20"/>
          <w:rtl/>
        </w:rPr>
        <w:t>فيما </w:t>
      </w:r>
      <w:r w:rsidR="004E0A37" w:rsidRPr="004E0A37">
        <w:rPr>
          <w:rFonts w:hint="cs"/>
          <w:spacing w:val="0"/>
          <w:sz w:val="20"/>
          <w:rtl/>
        </w:rPr>
        <w:t>يتعلق بتلقي الشكاوى المتعلقة بانتهاكات الاتفاقية، والنظر فيها.</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التصديق على الصكوك الأساسية للأمم المتحدة المتعلقة بحقوق الإنسان التي</w:t>
      </w:r>
      <w:r w:rsidR="00335AC0">
        <w:rPr>
          <w:rFonts w:hint="cs"/>
          <w:spacing w:val="0"/>
          <w:sz w:val="20"/>
          <w:rtl/>
        </w:rPr>
        <w:t xml:space="preserve"> لم </w:t>
      </w:r>
      <w:r w:rsidR="004E0A37" w:rsidRPr="004E0A37">
        <w:rPr>
          <w:rFonts w:hint="cs"/>
          <w:spacing w:val="0"/>
          <w:sz w:val="20"/>
          <w:rtl/>
        </w:rPr>
        <w:t xml:space="preserve">تصبح طرفاً فيها بعد، ولا سيما الاتفاقية الدولية لحماية حقوق جميع الأعمال المهاجرين وأفراد أسرهم، واتفاقية حقوق الأشخاص ذوي الإعاقة، والاتفاقية الدولية لحماية جميع الأشخاص من الاختفاء القسري. </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24</w:t>
      </w:r>
      <w:r w:rsidR="003E72B5">
        <w:rPr>
          <w:rFonts w:hint="cs"/>
          <w:spacing w:val="0"/>
          <w:sz w:val="20"/>
          <w:rtl/>
        </w:rPr>
        <w:t>)</w:t>
      </w:r>
      <w:r w:rsidR="003E72B5">
        <w:rPr>
          <w:rFonts w:hint="cs"/>
          <w:spacing w:val="0"/>
          <w:sz w:val="20"/>
          <w:rtl/>
        </w:rPr>
        <w:tab/>
      </w:r>
      <w:r w:rsidR="004E0A37" w:rsidRPr="004E0A37">
        <w:rPr>
          <w:rFonts w:hint="cs"/>
          <w:spacing w:val="0"/>
          <w:sz w:val="20"/>
          <w:rtl/>
        </w:rPr>
        <w:t>وتشجع اللجنة الدولة الطرف على أن تنشر التقرير المقدم إلى اللجنة وكذلك الملاحظات الختامية للجنة، على نطاق واسع، على المواقع الرسمية على الإنترنت وكذلك عن طريق وسائل الإعلام والمنظمات غير الحكومية.</w:t>
      </w:r>
    </w:p>
    <w:p w:rsidR="004E0A37" w:rsidRPr="00DA0B1C" w:rsidRDefault="0033301A" w:rsidP="00DA0B1C">
      <w:pPr>
        <w:pStyle w:val="SingleTxtGA"/>
        <w:jc w:val="lowKashida"/>
        <w:rPr>
          <w:rFonts w:hint="cs"/>
          <w:spacing w:val="0"/>
          <w:sz w:val="20"/>
          <w:rtl/>
        </w:rPr>
      </w:pPr>
      <w:r w:rsidRPr="00DA0B1C">
        <w:rPr>
          <w:rFonts w:hint="cs"/>
          <w:spacing w:val="-4"/>
          <w:sz w:val="20"/>
          <w:rtl/>
        </w:rPr>
        <w:t>(</w:t>
      </w:r>
      <w:r w:rsidR="004E0A37" w:rsidRPr="00DA0B1C">
        <w:rPr>
          <w:rFonts w:hint="cs"/>
          <w:spacing w:val="-4"/>
          <w:sz w:val="20"/>
          <w:rtl/>
        </w:rPr>
        <w:t>25</w:t>
      </w:r>
      <w:r w:rsidR="003E72B5" w:rsidRPr="00DA0B1C">
        <w:rPr>
          <w:rFonts w:hint="cs"/>
          <w:spacing w:val="-4"/>
          <w:sz w:val="20"/>
          <w:rtl/>
        </w:rPr>
        <w:t>)</w:t>
      </w:r>
      <w:r w:rsidR="003E72B5" w:rsidRPr="00DA0B1C">
        <w:rPr>
          <w:rFonts w:hint="cs"/>
          <w:spacing w:val="-4"/>
          <w:sz w:val="20"/>
          <w:rtl/>
        </w:rPr>
        <w:tab/>
      </w:r>
      <w:r w:rsidR="004E0A37" w:rsidRPr="00DA0B1C">
        <w:rPr>
          <w:rFonts w:hint="cs"/>
          <w:spacing w:val="-4"/>
          <w:sz w:val="20"/>
          <w:rtl/>
        </w:rPr>
        <w:t>وتدعو اللجنة الدولة الطرف أيضاً إلى تحديث وثيقتها الأساسية المشتركة المؤرخة 18 أيار/مايو 2004 (</w:t>
      </w:r>
      <w:r w:rsidR="004E0A37" w:rsidRPr="00DA0B1C">
        <w:rPr>
          <w:spacing w:val="-4"/>
          <w:sz w:val="20"/>
        </w:rPr>
        <w:t>HRI/CORE/1/Add.31/Rev.1</w:t>
      </w:r>
      <w:r w:rsidR="004E0A37" w:rsidRPr="00DA0B1C">
        <w:rPr>
          <w:rFonts w:hint="cs"/>
          <w:spacing w:val="-4"/>
          <w:sz w:val="20"/>
          <w:rtl/>
        </w:rPr>
        <w:t xml:space="preserve">)، وأن تتبع لهذا الغرض المبادئ التوجيهية </w:t>
      </w:r>
      <w:r w:rsidR="004E0A37" w:rsidRPr="00DA0B1C">
        <w:rPr>
          <w:rFonts w:hint="cs"/>
          <w:spacing w:val="0"/>
          <w:sz w:val="20"/>
          <w:rtl/>
        </w:rPr>
        <w:t>المنسقة</w:t>
      </w:r>
      <w:r w:rsidR="00DA0B1C" w:rsidRPr="00DA0B1C">
        <w:rPr>
          <w:rFonts w:hint="eastAsia"/>
          <w:spacing w:val="0"/>
          <w:sz w:val="20"/>
          <w:rtl/>
        </w:rPr>
        <w:t> </w:t>
      </w:r>
      <w:r w:rsidR="004E0A37" w:rsidRPr="00DA0B1C">
        <w:rPr>
          <w:rFonts w:hint="cs"/>
          <w:spacing w:val="0"/>
          <w:sz w:val="20"/>
          <w:rtl/>
        </w:rPr>
        <w:t>المتعلقة بإعداد التقارير المقدمة إلى الهيئات المنشأة بموجب الصكوك الدولية المتعلقة بحقوق الإنسان وهي المبادئ التوجيهية التي وافقت عليها في حزيران/يونيه 2009 هيئات متابعة الصكوك الدولية المتعلقة بحقوق الإنسان (</w:t>
      </w:r>
      <w:r w:rsidR="004E0A37" w:rsidRPr="00DA0B1C">
        <w:rPr>
          <w:spacing w:val="0"/>
          <w:sz w:val="20"/>
        </w:rPr>
        <w:t>HRI/GEN/2/Rev.6</w:t>
      </w:r>
      <w:r w:rsidR="004E0A37" w:rsidRPr="00DA0B1C">
        <w:rPr>
          <w:rFonts w:hint="cs"/>
          <w:spacing w:val="0"/>
          <w:sz w:val="20"/>
          <w:rtl/>
        </w:rPr>
        <w:t>).</w:t>
      </w:r>
    </w:p>
    <w:p w:rsidR="004E0A37" w:rsidRPr="00DA0B1C" w:rsidRDefault="0033301A" w:rsidP="00DA0B1C">
      <w:pPr>
        <w:pStyle w:val="SingleTxtGA"/>
        <w:jc w:val="lowKashida"/>
        <w:rPr>
          <w:rFonts w:hint="cs"/>
          <w:spacing w:val="-2"/>
          <w:sz w:val="20"/>
          <w:rtl/>
        </w:rPr>
      </w:pPr>
      <w:r w:rsidRPr="00DA0B1C">
        <w:rPr>
          <w:rFonts w:hint="cs"/>
          <w:spacing w:val="-2"/>
          <w:sz w:val="20"/>
          <w:rtl/>
        </w:rPr>
        <w:t>(</w:t>
      </w:r>
      <w:r w:rsidR="004E0A37" w:rsidRPr="00DA0B1C">
        <w:rPr>
          <w:rFonts w:hint="cs"/>
          <w:spacing w:val="-2"/>
          <w:sz w:val="20"/>
          <w:rtl/>
        </w:rPr>
        <w:t>26</w:t>
      </w:r>
      <w:r w:rsidR="003E72B5" w:rsidRPr="00DA0B1C">
        <w:rPr>
          <w:rFonts w:hint="cs"/>
          <w:spacing w:val="-2"/>
          <w:sz w:val="20"/>
          <w:rtl/>
        </w:rPr>
        <w:t>)</w:t>
      </w:r>
      <w:r w:rsidR="003E72B5" w:rsidRPr="00DA0B1C">
        <w:rPr>
          <w:rFonts w:hint="cs"/>
          <w:spacing w:val="-2"/>
          <w:sz w:val="20"/>
          <w:rtl/>
        </w:rPr>
        <w:tab/>
      </w:r>
      <w:r w:rsidR="004E0A37" w:rsidRPr="00DA0B1C">
        <w:rPr>
          <w:rFonts w:hint="cs"/>
          <w:spacing w:val="-2"/>
          <w:sz w:val="20"/>
          <w:rtl/>
        </w:rPr>
        <w:t>وتدعو اللجنة الدولة الطرف إلى أن تقدم، في موعد لا يتجاوز سنة واحدة، معلومات</w:t>
      </w:r>
      <w:r w:rsidR="00DA0B1C">
        <w:rPr>
          <w:rFonts w:hint="eastAsia"/>
          <w:spacing w:val="-2"/>
          <w:sz w:val="20"/>
          <w:rtl/>
        </w:rPr>
        <w:t> </w:t>
      </w:r>
      <w:r w:rsidR="004E0A37" w:rsidRPr="00DA0B1C">
        <w:rPr>
          <w:rFonts w:hint="cs"/>
          <w:spacing w:val="-2"/>
          <w:sz w:val="20"/>
          <w:rtl/>
        </w:rPr>
        <w:t>عن تنفيذ توصيات اللجنة الواردة في الفقرات 8 و10 و14 و15 من التقرير الحالي.</w:t>
      </w:r>
    </w:p>
    <w:p w:rsidR="004E0A37" w:rsidRPr="00DA0B1C" w:rsidRDefault="0033301A" w:rsidP="00DA0B1C">
      <w:pPr>
        <w:pStyle w:val="SingleTxtGA"/>
        <w:spacing w:line="360" w:lineRule="exact"/>
        <w:jc w:val="lowKashida"/>
        <w:rPr>
          <w:rFonts w:hint="cs"/>
          <w:spacing w:val="-2"/>
          <w:sz w:val="20"/>
          <w:rtl/>
        </w:rPr>
      </w:pPr>
      <w:r w:rsidRPr="00DA0B1C">
        <w:rPr>
          <w:rFonts w:hint="cs"/>
          <w:spacing w:val="-2"/>
          <w:sz w:val="20"/>
          <w:rtl/>
        </w:rPr>
        <w:t>(</w:t>
      </w:r>
      <w:r w:rsidR="004E0A37" w:rsidRPr="00DA0B1C">
        <w:rPr>
          <w:rFonts w:hint="cs"/>
          <w:spacing w:val="-2"/>
          <w:sz w:val="20"/>
          <w:rtl/>
        </w:rPr>
        <w:t>27</w:t>
      </w:r>
      <w:r w:rsidR="003E72B5" w:rsidRPr="00DA0B1C">
        <w:rPr>
          <w:rFonts w:hint="cs"/>
          <w:spacing w:val="-2"/>
          <w:sz w:val="20"/>
          <w:rtl/>
        </w:rPr>
        <w:t>)</w:t>
      </w:r>
      <w:r w:rsidR="003E72B5" w:rsidRPr="00DA0B1C">
        <w:rPr>
          <w:rFonts w:hint="cs"/>
          <w:spacing w:val="-2"/>
          <w:sz w:val="20"/>
          <w:rtl/>
        </w:rPr>
        <w:tab/>
      </w:r>
      <w:r w:rsidR="004E0A37" w:rsidRPr="00DA0B1C">
        <w:rPr>
          <w:rFonts w:hint="cs"/>
          <w:spacing w:val="-2"/>
          <w:sz w:val="20"/>
          <w:rtl/>
        </w:rPr>
        <w:t>وتدعو اللجنة الدولة الطرف إلى تقديم تقريرها الدوري المقبل، الذي سيكون تقريرها الثاني، في موعد أقصاه 25 تشرين الثاني/نوفمبر 2015. ولهذا الغرض، تدعو اللجنة</w:t>
      </w:r>
      <w:r w:rsidR="00A9128E" w:rsidRPr="00DA0B1C">
        <w:rPr>
          <w:rFonts w:hint="eastAsia"/>
          <w:spacing w:val="-2"/>
          <w:sz w:val="20"/>
          <w:rtl/>
        </w:rPr>
        <w:t> </w:t>
      </w:r>
      <w:r w:rsidR="004E0A37" w:rsidRPr="00DA0B1C">
        <w:rPr>
          <w:rFonts w:hint="cs"/>
          <w:spacing w:val="-2"/>
          <w:sz w:val="20"/>
          <w:rtl/>
        </w:rPr>
        <w:t>الدولة الطرف إلى الموافقة على تقديم تقريرها في موعد أقصاه 25 تشرين الثاني/نوفمبر 2012، عملاً بالإجراء الاختياري المتمثل في تقديم اللجنة قائمة مسائل إلى الدولة الطرف قبل تقديم التقرير، وتكون ردود الدولة الطرف،</w:t>
      </w:r>
      <w:r w:rsidR="00B345DB" w:rsidRPr="00DA0B1C">
        <w:rPr>
          <w:rFonts w:hint="cs"/>
          <w:spacing w:val="-2"/>
          <w:sz w:val="20"/>
          <w:rtl/>
        </w:rPr>
        <w:t xml:space="preserve"> وفقاً </w:t>
      </w:r>
      <w:r w:rsidR="004E0A37" w:rsidRPr="00DA0B1C">
        <w:rPr>
          <w:rFonts w:hint="cs"/>
          <w:spacing w:val="-2"/>
          <w:sz w:val="20"/>
          <w:rtl/>
        </w:rPr>
        <w:t>للمادة 19 من الاتفاقية، بمثابة تقريرها الدوري المقبل.</w:t>
      </w:r>
    </w:p>
    <w:p w:rsidR="004E0A37" w:rsidRPr="004E0A37" w:rsidRDefault="004E0A37" w:rsidP="00DA0B1C">
      <w:pPr>
        <w:pStyle w:val="SingleTxtGA"/>
        <w:spacing w:line="360" w:lineRule="exact"/>
        <w:jc w:val="lowKashida"/>
        <w:rPr>
          <w:spacing w:val="0"/>
          <w:sz w:val="20"/>
          <w:rtl/>
        </w:rPr>
      </w:pPr>
      <w:r w:rsidRPr="004E0A37">
        <w:rPr>
          <w:rFonts w:hint="cs"/>
          <w:spacing w:val="0"/>
          <w:sz w:val="20"/>
          <w:rtl/>
        </w:rPr>
        <w:t>57-</w:t>
      </w:r>
      <w:r w:rsidRPr="004E0A37">
        <w:rPr>
          <w:rFonts w:hint="cs"/>
          <w:spacing w:val="0"/>
          <w:sz w:val="20"/>
          <w:rtl/>
        </w:rPr>
        <w:tab/>
      </w:r>
      <w:r w:rsidRPr="00DA0B1C">
        <w:rPr>
          <w:b/>
          <w:bCs/>
          <w:spacing w:val="0"/>
          <w:sz w:val="20"/>
          <w:rtl/>
        </w:rPr>
        <w:t>المغرب</w:t>
      </w:r>
    </w:p>
    <w:p w:rsidR="004E0A37" w:rsidRPr="00DA0B1C" w:rsidRDefault="004E0A37" w:rsidP="00DA0B1C">
      <w:pPr>
        <w:pStyle w:val="SingleTxtGA"/>
        <w:spacing w:line="360" w:lineRule="exact"/>
        <w:jc w:val="lowKashida"/>
        <w:rPr>
          <w:spacing w:val="-2"/>
          <w:sz w:val="20"/>
          <w:rtl/>
        </w:rPr>
      </w:pPr>
      <w:r w:rsidRPr="00DA0B1C">
        <w:rPr>
          <w:rFonts w:hint="cs"/>
          <w:spacing w:val="-2"/>
          <w:sz w:val="20"/>
          <w:rtl/>
        </w:rPr>
        <w:t>(</w:t>
      </w:r>
      <w:r w:rsidRPr="00DA0B1C">
        <w:rPr>
          <w:spacing w:val="-2"/>
          <w:sz w:val="20"/>
          <w:rtl/>
        </w:rPr>
        <w:t>1</w:t>
      </w:r>
      <w:r w:rsidR="003E72B5" w:rsidRPr="00DA0B1C">
        <w:rPr>
          <w:rFonts w:hint="cs"/>
          <w:spacing w:val="-2"/>
          <w:sz w:val="20"/>
          <w:rtl/>
        </w:rPr>
        <w:t>)</w:t>
      </w:r>
      <w:r w:rsidR="003E72B5" w:rsidRPr="00DA0B1C">
        <w:rPr>
          <w:rFonts w:hint="cs"/>
          <w:spacing w:val="-2"/>
          <w:sz w:val="20"/>
          <w:rtl/>
        </w:rPr>
        <w:tab/>
      </w:r>
      <w:r w:rsidRPr="00DA0B1C">
        <w:rPr>
          <w:spacing w:val="-2"/>
          <w:sz w:val="20"/>
          <w:rtl/>
        </w:rPr>
        <w:t>نظرت لجنة مناهضة التعذيب في التقرير الدوري الرابع للمغرب (</w:t>
      </w:r>
      <w:r w:rsidRPr="00DA0B1C">
        <w:rPr>
          <w:spacing w:val="-2"/>
          <w:sz w:val="20"/>
        </w:rPr>
        <w:t>CAT/C/MAR/4</w:t>
      </w:r>
      <w:r w:rsidRPr="00DA0B1C">
        <w:rPr>
          <w:spacing w:val="-2"/>
          <w:sz w:val="20"/>
          <w:rtl/>
        </w:rPr>
        <w:t>) في جلستيها 1022 و1025 (</w:t>
      </w:r>
      <w:r w:rsidRPr="00DA0B1C">
        <w:rPr>
          <w:spacing w:val="-2"/>
          <w:sz w:val="20"/>
        </w:rPr>
        <w:t>CAT/C/SR.1022</w:t>
      </w:r>
      <w:r w:rsidRPr="00DA0B1C">
        <w:rPr>
          <w:spacing w:val="-2"/>
          <w:sz w:val="20"/>
          <w:rtl/>
        </w:rPr>
        <w:t xml:space="preserve"> و</w:t>
      </w:r>
      <w:r w:rsidRPr="00DA0B1C">
        <w:rPr>
          <w:spacing w:val="-2"/>
          <w:sz w:val="20"/>
        </w:rPr>
        <w:t>CAT/C/SR.1025</w:t>
      </w:r>
      <w:r w:rsidRPr="00DA0B1C">
        <w:rPr>
          <w:spacing w:val="-2"/>
          <w:sz w:val="20"/>
          <w:rtl/>
        </w:rPr>
        <w:t>)، المعقودتين في 1 و2 تشرين الثاني/نوفمبر 2011، واعتمدت في جلساتها 1042</w:t>
      </w:r>
      <w:r w:rsidRPr="00DA0B1C">
        <w:rPr>
          <w:rFonts w:hint="cs"/>
          <w:spacing w:val="-2"/>
          <w:sz w:val="20"/>
          <w:rtl/>
        </w:rPr>
        <w:t xml:space="preserve"> </w:t>
      </w:r>
      <w:r w:rsidRPr="00DA0B1C">
        <w:rPr>
          <w:spacing w:val="-2"/>
          <w:sz w:val="20"/>
          <w:rtl/>
        </w:rPr>
        <w:t>و1043</w:t>
      </w:r>
      <w:r w:rsidRPr="00DA0B1C">
        <w:rPr>
          <w:rFonts w:hint="cs"/>
          <w:spacing w:val="-2"/>
          <w:sz w:val="20"/>
          <w:rtl/>
        </w:rPr>
        <w:t xml:space="preserve"> </w:t>
      </w:r>
      <w:r w:rsidRPr="00DA0B1C">
        <w:rPr>
          <w:spacing w:val="-2"/>
          <w:sz w:val="20"/>
          <w:rtl/>
        </w:rPr>
        <w:t xml:space="preserve">و1045 </w:t>
      </w:r>
      <w:r w:rsidRPr="00DA0B1C">
        <w:rPr>
          <w:rFonts w:hint="cs"/>
          <w:spacing w:val="-2"/>
          <w:sz w:val="20"/>
          <w:rtl/>
        </w:rPr>
        <w:t>(</w:t>
      </w:r>
      <w:r w:rsidRPr="00DA0B1C">
        <w:rPr>
          <w:spacing w:val="-2"/>
          <w:sz w:val="20"/>
        </w:rPr>
        <w:t>CAT/C/SR.1042</w:t>
      </w:r>
      <w:r w:rsidRPr="00DA0B1C">
        <w:rPr>
          <w:rFonts w:hint="cs"/>
          <w:spacing w:val="-2"/>
          <w:sz w:val="20"/>
          <w:rtl/>
        </w:rPr>
        <w:t xml:space="preserve"> و</w:t>
      </w:r>
      <w:r w:rsidRPr="00DA0B1C">
        <w:rPr>
          <w:spacing w:val="-2"/>
          <w:sz w:val="20"/>
        </w:rPr>
        <w:t>CAT/C/SR.1043</w:t>
      </w:r>
      <w:r w:rsidRPr="00DA0B1C">
        <w:rPr>
          <w:rFonts w:hint="cs"/>
          <w:spacing w:val="-2"/>
          <w:sz w:val="20"/>
          <w:rtl/>
        </w:rPr>
        <w:t xml:space="preserve"> و</w:t>
      </w:r>
      <w:r w:rsidRPr="00DA0B1C">
        <w:rPr>
          <w:spacing w:val="-2"/>
          <w:sz w:val="20"/>
        </w:rPr>
        <w:t>CAT/C/SR.1045</w:t>
      </w:r>
      <w:r w:rsidRPr="00DA0B1C">
        <w:rPr>
          <w:rFonts w:hint="cs"/>
          <w:spacing w:val="-2"/>
          <w:sz w:val="20"/>
          <w:rtl/>
        </w:rPr>
        <w:t xml:space="preserve">) </w:t>
      </w:r>
      <w:r w:rsidRPr="00DA0B1C">
        <w:rPr>
          <w:spacing w:val="-2"/>
          <w:sz w:val="20"/>
          <w:rtl/>
        </w:rPr>
        <w:t>الملاحظات الختامية التالية.</w:t>
      </w:r>
    </w:p>
    <w:p w:rsidR="004E0A37" w:rsidRPr="004E0A37" w:rsidRDefault="007223C0" w:rsidP="002E2361">
      <w:pPr>
        <w:pStyle w:val="H23GA"/>
        <w:tabs>
          <w:tab w:val="left" w:pos="1939"/>
        </w:tabs>
        <w:spacing w:line="360" w:lineRule="exact"/>
        <w:rPr>
          <w:rtl/>
          <w:lang/>
        </w:rPr>
      </w:pPr>
      <w:r>
        <w:rPr>
          <w:rFonts w:hint="cs"/>
          <w:rtl/>
          <w:lang/>
        </w:rPr>
        <w:tab/>
      </w:r>
      <w:r w:rsidR="004E0A37" w:rsidRPr="004E0A37">
        <w:rPr>
          <w:rFonts w:hint="cs"/>
          <w:rtl/>
          <w:lang/>
        </w:rPr>
        <w:tab/>
      </w:r>
      <w:r w:rsidR="004E0A37" w:rsidRPr="004E0A37">
        <w:rPr>
          <w:rtl/>
          <w:lang/>
        </w:rPr>
        <w:t>ألف</w:t>
      </w:r>
      <w:r w:rsidR="004E0A37" w:rsidRPr="004E0A37">
        <w:rPr>
          <w:rFonts w:hint="cs"/>
          <w:rtl/>
          <w:lang/>
        </w:rPr>
        <w:t>-</w:t>
      </w:r>
      <w:r w:rsidR="004E0A37" w:rsidRPr="004E0A37">
        <w:rPr>
          <w:rFonts w:hint="cs"/>
          <w:rtl/>
          <w:lang/>
        </w:rPr>
        <w:tab/>
      </w:r>
      <w:r w:rsidR="004E0A37" w:rsidRPr="004E0A37">
        <w:rPr>
          <w:rtl/>
          <w:lang/>
        </w:rPr>
        <w:t>مقدمة</w:t>
      </w:r>
    </w:p>
    <w:p w:rsidR="004E0A37" w:rsidRPr="00DA0B1C" w:rsidRDefault="004E0A37" w:rsidP="00DA0B1C">
      <w:pPr>
        <w:pStyle w:val="SingleTxtGA"/>
        <w:spacing w:line="360" w:lineRule="exact"/>
        <w:jc w:val="lowKashida"/>
        <w:rPr>
          <w:spacing w:val="-2"/>
          <w:sz w:val="20"/>
          <w:rtl/>
        </w:rPr>
      </w:pPr>
      <w:r w:rsidRPr="00DA0B1C">
        <w:rPr>
          <w:rFonts w:hint="cs"/>
          <w:spacing w:val="-2"/>
          <w:sz w:val="20"/>
          <w:rtl/>
        </w:rPr>
        <w:t>(</w:t>
      </w:r>
      <w:r w:rsidRPr="00DA0B1C">
        <w:rPr>
          <w:spacing w:val="-2"/>
          <w:sz w:val="20"/>
          <w:rtl/>
        </w:rPr>
        <w:t>2</w:t>
      </w:r>
      <w:r w:rsidR="003E72B5" w:rsidRPr="00DA0B1C">
        <w:rPr>
          <w:rFonts w:hint="cs"/>
          <w:spacing w:val="-2"/>
          <w:sz w:val="20"/>
          <w:rtl/>
        </w:rPr>
        <w:t>)</w:t>
      </w:r>
      <w:r w:rsidR="003E72B5" w:rsidRPr="00DA0B1C">
        <w:rPr>
          <w:rFonts w:hint="cs"/>
          <w:spacing w:val="-2"/>
          <w:sz w:val="20"/>
          <w:rtl/>
        </w:rPr>
        <w:tab/>
      </w:r>
      <w:r w:rsidRPr="00DA0B1C">
        <w:rPr>
          <w:spacing w:val="-2"/>
          <w:sz w:val="20"/>
          <w:rtl/>
        </w:rPr>
        <w:t>تلقت اللجنة بارتياح التقرير الدوري الرابع للمغرب والردود الخطية المقدمة من قبل الدولة الطرف (</w:t>
      </w:r>
      <w:r w:rsidRPr="00DA0B1C">
        <w:rPr>
          <w:spacing w:val="-2"/>
          <w:sz w:val="20"/>
        </w:rPr>
        <w:t>CAT/C/MAR/Q/4/Add.1</w:t>
      </w:r>
      <w:r w:rsidRPr="00DA0B1C">
        <w:rPr>
          <w:spacing w:val="-2"/>
          <w:sz w:val="20"/>
          <w:rtl/>
        </w:rPr>
        <w:t>) على قائمة المسائل المطروحة (</w:t>
      </w:r>
      <w:r w:rsidRPr="00DA0B1C">
        <w:rPr>
          <w:spacing w:val="-2"/>
          <w:sz w:val="20"/>
        </w:rPr>
        <w:t>CAT/C/MAR/Q/4</w:t>
      </w:r>
      <w:r w:rsidRPr="00DA0B1C">
        <w:rPr>
          <w:spacing w:val="-2"/>
          <w:sz w:val="20"/>
          <w:rtl/>
        </w:rPr>
        <w:t>)، فضلاً</w:t>
      </w:r>
      <w:r w:rsidRPr="00DA0B1C">
        <w:rPr>
          <w:rFonts w:hint="cs"/>
          <w:spacing w:val="-2"/>
          <w:sz w:val="20"/>
          <w:rtl/>
        </w:rPr>
        <w:t> </w:t>
      </w:r>
      <w:r w:rsidRPr="00DA0B1C">
        <w:rPr>
          <w:spacing w:val="-2"/>
          <w:sz w:val="20"/>
          <w:rtl/>
        </w:rPr>
        <w:t xml:space="preserve">عن المعلومات التكميلية التي قُدمت شفوياً من </w:t>
      </w:r>
      <w:r w:rsidRPr="00DA0B1C">
        <w:rPr>
          <w:rFonts w:hint="cs"/>
          <w:spacing w:val="-2"/>
          <w:sz w:val="20"/>
          <w:rtl/>
        </w:rPr>
        <w:t>قِبل</w:t>
      </w:r>
      <w:r w:rsidRPr="00DA0B1C">
        <w:rPr>
          <w:spacing w:val="-2"/>
          <w:sz w:val="20"/>
          <w:rtl/>
        </w:rPr>
        <w:t xml:space="preserve"> الوفد المغربي أثناء النظر في التقرير، معربة عن أسفها لتأخر تقديم هذا التقرير لمدة تزيد </w:t>
      </w:r>
      <w:r w:rsidRPr="00DA0B1C">
        <w:rPr>
          <w:rFonts w:hint="cs"/>
          <w:spacing w:val="-2"/>
          <w:sz w:val="20"/>
          <w:rtl/>
        </w:rPr>
        <w:t xml:space="preserve">على </w:t>
      </w:r>
      <w:r w:rsidRPr="00DA0B1C">
        <w:rPr>
          <w:spacing w:val="-2"/>
          <w:sz w:val="20"/>
          <w:rtl/>
        </w:rPr>
        <w:t>سنتين. وأخيرا</w:t>
      </w:r>
      <w:r w:rsidRPr="00DA0B1C">
        <w:rPr>
          <w:rFonts w:hint="cs"/>
          <w:spacing w:val="-2"/>
          <w:sz w:val="20"/>
          <w:rtl/>
        </w:rPr>
        <w:t>ً</w:t>
      </w:r>
      <w:r w:rsidRPr="00DA0B1C">
        <w:rPr>
          <w:spacing w:val="-2"/>
          <w:sz w:val="20"/>
          <w:rtl/>
        </w:rPr>
        <w:t xml:space="preserve">، </w:t>
      </w:r>
      <w:r w:rsidRPr="00DA0B1C">
        <w:rPr>
          <w:rFonts w:hint="cs"/>
          <w:spacing w:val="-2"/>
          <w:sz w:val="20"/>
          <w:rtl/>
        </w:rPr>
        <w:t xml:space="preserve">ترحب </w:t>
      </w:r>
      <w:r w:rsidRPr="00DA0B1C">
        <w:rPr>
          <w:spacing w:val="-2"/>
          <w:sz w:val="20"/>
          <w:rtl/>
        </w:rPr>
        <w:t>اللجنة بالحوار البناء الذي أجرته مع الوفد المكون من خبراء مبعوثين من قبل الدولة الطرف، وتشكر الوفد على ما قدمه من أجوبة مفصلة على الأسئلة المطروحة وعلى ردوده الخطية الإضافية.</w:t>
      </w:r>
    </w:p>
    <w:p w:rsidR="004E0A37" w:rsidRPr="004E0A37" w:rsidRDefault="007223C0" w:rsidP="002E2361">
      <w:pPr>
        <w:pStyle w:val="H23GA"/>
        <w:tabs>
          <w:tab w:val="left" w:pos="1938"/>
        </w:tabs>
        <w:spacing w:line="360" w:lineRule="exact"/>
        <w:rPr>
          <w:rtl/>
          <w:lang/>
        </w:rPr>
      </w:pPr>
      <w:r>
        <w:rPr>
          <w:rFonts w:hint="cs"/>
          <w:rtl/>
          <w:lang/>
        </w:rPr>
        <w:tab/>
      </w:r>
      <w:r>
        <w:rPr>
          <w:rFonts w:hint="cs"/>
          <w:rtl/>
          <w:lang/>
        </w:rPr>
        <w:tab/>
        <w:t>باء-</w:t>
      </w:r>
      <w:r w:rsidR="004E0A37" w:rsidRPr="004E0A37">
        <w:rPr>
          <w:rtl/>
          <w:lang/>
        </w:rPr>
        <w:tab/>
        <w:t>الجوانب الإيجابية</w:t>
      </w:r>
    </w:p>
    <w:p w:rsidR="004E0A37" w:rsidRPr="004E0A37" w:rsidRDefault="004E0A37" w:rsidP="00DA0B1C">
      <w:pPr>
        <w:pStyle w:val="SingleTxtGA"/>
        <w:spacing w:line="360" w:lineRule="exact"/>
        <w:jc w:val="lowKashida"/>
        <w:rPr>
          <w:spacing w:val="0"/>
          <w:sz w:val="20"/>
          <w:rtl/>
        </w:rPr>
      </w:pPr>
      <w:r w:rsidRPr="004E0A37">
        <w:rPr>
          <w:rFonts w:hint="cs"/>
          <w:spacing w:val="0"/>
          <w:sz w:val="20"/>
          <w:rtl/>
        </w:rPr>
        <w:t>(</w:t>
      </w:r>
      <w:r w:rsidRPr="004E0A37">
        <w:rPr>
          <w:spacing w:val="0"/>
          <w:sz w:val="20"/>
          <w:rtl/>
        </w:rPr>
        <w:t>3</w:t>
      </w:r>
      <w:r w:rsidR="003E72B5">
        <w:rPr>
          <w:rFonts w:hint="cs"/>
          <w:spacing w:val="0"/>
          <w:sz w:val="20"/>
          <w:rtl/>
        </w:rPr>
        <w:t>)</w:t>
      </w:r>
      <w:r w:rsidR="003E72B5">
        <w:rPr>
          <w:rFonts w:hint="cs"/>
          <w:spacing w:val="0"/>
          <w:sz w:val="20"/>
          <w:rtl/>
        </w:rPr>
        <w:tab/>
      </w:r>
      <w:r w:rsidRPr="004E0A37">
        <w:rPr>
          <w:spacing w:val="0"/>
          <w:sz w:val="20"/>
          <w:rtl/>
        </w:rPr>
        <w:t xml:space="preserve">تلاحظ اللجنة بارتياح الإجراءات المتخذة من قبل الدولة الطرف </w:t>
      </w:r>
      <w:r w:rsidRPr="004E0A37">
        <w:rPr>
          <w:rFonts w:hint="cs"/>
          <w:spacing w:val="0"/>
          <w:sz w:val="20"/>
          <w:rtl/>
        </w:rPr>
        <w:t>أثناء</w:t>
      </w:r>
      <w:r w:rsidRPr="004E0A37">
        <w:rPr>
          <w:spacing w:val="0"/>
          <w:sz w:val="20"/>
          <w:rtl/>
        </w:rPr>
        <w:t xml:space="preserve"> الفترة المشمولة بالتقرير، والمتعلقة بالصكوك الدولية التالية المتعلقة بحقوق الإنسان:</w:t>
      </w:r>
    </w:p>
    <w:p w:rsidR="004E0A37" w:rsidRPr="004E0A37" w:rsidRDefault="004E0A37" w:rsidP="00DA0B1C">
      <w:pPr>
        <w:pStyle w:val="SingleTxtGA"/>
        <w:spacing w:line="360" w:lineRule="exact"/>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التصديق على الاتفاقية الدولية لحماية جميع الأشخاص من الاختفاء القسري، في نيسان/أبريل 2009؛</w:t>
      </w:r>
    </w:p>
    <w:p w:rsidR="004E0A37" w:rsidRPr="004E0A37" w:rsidRDefault="004E0A37" w:rsidP="00DA0B1C">
      <w:pPr>
        <w:pStyle w:val="SingleTxtGA"/>
        <w:spacing w:line="360" w:lineRule="exact"/>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التصديق على اتفاقية حقوق الأشخاص ذوي الإعاقة وبروتوكولها الاختياري، في نيسان/أبريل 2009؛</w:t>
      </w:r>
    </w:p>
    <w:p w:rsidR="004E0A37" w:rsidRPr="004E0A37" w:rsidRDefault="004E0A37" w:rsidP="00A4030E">
      <w:pPr>
        <w:pStyle w:val="SingleTxtGA"/>
        <w:jc w:val="lowKashida"/>
        <w:rPr>
          <w:spacing w:val="0"/>
          <w:sz w:val="20"/>
          <w:rtl/>
        </w:rPr>
      </w:pPr>
      <w:r w:rsidRPr="004E0A37">
        <w:rPr>
          <w:rFonts w:hint="cs"/>
          <w:spacing w:val="0"/>
          <w:sz w:val="20"/>
          <w:rtl/>
        </w:rPr>
        <w:tab/>
      </w:r>
      <w:r w:rsidRPr="004E0A37">
        <w:rPr>
          <w:spacing w:val="0"/>
          <w:sz w:val="20"/>
          <w:rtl/>
        </w:rPr>
        <w:t>(ج)</w:t>
      </w:r>
      <w:r w:rsidRPr="004E0A37">
        <w:rPr>
          <w:rFonts w:hint="cs"/>
          <w:spacing w:val="0"/>
          <w:sz w:val="20"/>
          <w:rtl/>
        </w:rPr>
        <w:tab/>
      </w:r>
      <w:r w:rsidRPr="004E0A37">
        <w:rPr>
          <w:spacing w:val="0"/>
          <w:sz w:val="20"/>
          <w:rtl/>
        </w:rPr>
        <w:t>التصديق على بروتوكول مكافحة تهريب المهاجرين عن طريق البر والبحر</w:t>
      </w:r>
      <w:r w:rsidR="00B5100A">
        <w:rPr>
          <w:rFonts w:hint="cs"/>
          <w:spacing w:val="0"/>
          <w:sz w:val="20"/>
          <w:rtl/>
        </w:rPr>
        <w:t> </w:t>
      </w:r>
      <w:r w:rsidRPr="004E0A37">
        <w:rPr>
          <w:spacing w:val="0"/>
          <w:sz w:val="20"/>
          <w:rtl/>
        </w:rPr>
        <w:t>والجو المكمل لاتفاقية الأمم المتحدة لمكافحة الجريمة المنظمة عبر ال</w:t>
      </w:r>
      <w:r w:rsidRPr="004E0A37">
        <w:rPr>
          <w:rFonts w:hint="cs"/>
          <w:spacing w:val="0"/>
          <w:sz w:val="20"/>
          <w:rtl/>
        </w:rPr>
        <w:t>وطنية</w:t>
      </w:r>
      <w:r w:rsidRPr="004E0A37">
        <w:rPr>
          <w:spacing w:val="0"/>
          <w:sz w:val="20"/>
          <w:rtl/>
        </w:rPr>
        <w:t>، في نيسان/</w:t>
      </w:r>
      <w:r w:rsidR="00B5100A">
        <w:rPr>
          <w:rFonts w:hint="cs"/>
          <w:spacing w:val="0"/>
          <w:sz w:val="20"/>
          <w:rtl/>
        </w:rPr>
        <w:t xml:space="preserve"> </w:t>
      </w:r>
      <w:r w:rsidRPr="004E0A37">
        <w:rPr>
          <w:spacing w:val="0"/>
          <w:sz w:val="20"/>
          <w:rtl/>
        </w:rPr>
        <w:t>أبريل 2011؛</w:t>
      </w:r>
    </w:p>
    <w:p w:rsidR="004E0A37" w:rsidRPr="004E0A37" w:rsidRDefault="004E0A37" w:rsidP="004E0A37">
      <w:pPr>
        <w:pStyle w:val="SingleTxtGA"/>
        <w:jc w:val="lowKashida"/>
        <w:rPr>
          <w:rFonts w:hint="cs"/>
          <w:spacing w:val="0"/>
          <w:sz w:val="20"/>
          <w:rtl/>
        </w:rPr>
      </w:pPr>
      <w:r w:rsidRPr="004E0A37">
        <w:rPr>
          <w:rFonts w:hint="cs"/>
          <w:spacing w:val="0"/>
          <w:sz w:val="20"/>
          <w:rtl/>
        </w:rPr>
        <w:tab/>
      </w:r>
      <w:r w:rsidRPr="004E0A37">
        <w:rPr>
          <w:spacing w:val="0"/>
          <w:sz w:val="20"/>
          <w:rtl/>
        </w:rPr>
        <w:t>(د)</w:t>
      </w:r>
      <w:r w:rsidRPr="004E0A37">
        <w:rPr>
          <w:rFonts w:hint="cs"/>
          <w:spacing w:val="0"/>
          <w:sz w:val="20"/>
          <w:rtl/>
        </w:rPr>
        <w:tab/>
      </w:r>
      <w:r w:rsidRPr="004E0A37">
        <w:rPr>
          <w:spacing w:val="0"/>
          <w:sz w:val="20"/>
          <w:rtl/>
        </w:rPr>
        <w:t>ا</w:t>
      </w:r>
      <w:r w:rsidRPr="004E0A37">
        <w:rPr>
          <w:rFonts w:hint="cs"/>
          <w:spacing w:val="0"/>
          <w:sz w:val="20"/>
          <w:rtl/>
        </w:rPr>
        <w:t>لا</w:t>
      </w:r>
      <w:r w:rsidRPr="004E0A37">
        <w:rPr>
          <w:spacing w:val="0"/>
          <w:sz w:val="20"/>
          <w:rtl/>
        </w:rPr>
        <w:t xml:space="preserve">عتراف </w:t>
      </w:r>
      <w:r w:rsidRPr="004E0A37">
        <w:rPr>
          <w:rFonts w:hint="cs"/>
          <w:spacing w:val="0"/>
          <w:sz w:val="20"/>
          <w:rtl/>
        </w:rPr>
        <w:t>ب</w:t>
      </w:r>
      <w:r w:rsidRPr="004E0A37">
        <w:rPr>
          <w:spacing w:val="0"/>
          <w:sz w:val="20"/>
          <w:rtl/>
        </w:rPr>
        <w:t xml:space="preserve">اختصاص اللجنة في تلقي البلاغات الفردية ودراستها بموجب </w:t>
      </w:r>
      <w:r w:rsidRPr="004E0A37">
        <w:rPr>
          <w:rFonts w:hint="cs"/>
          <w:spacing w:val="0"/>
          <w:sz w:val="20"/>
          <w:rtl/>
        </w:rPr>
        <w:t>المادة</w:t>
      </w:r>
      <w:r w:rsidRPr="004E0A37">
        <w:rPr>
          <w:spacing w:val="0"/>
          <w:sz w:val="20"/>
          <w:rtl/>
        </w:rPr>
        <w:t xml:space="preserve"> 22 من الاتفاقية</w:t>
      </w:r>
      <w:r w:rsidRPr="004E0A37">
        <w:rPr>
          <w:rFonts w:hint="cs"/>
          <w:spacing w:val="0"/>
          <w:sz w:val="20"/>
          <w:rtl/>
        </w:rPr>
        <w:t>؛</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w:t>
      </w:r>
      <w:r w:rsidRPr="004E0A37">
        <w:rPr>
          <w:rFonts w:hint="cs"/>
          <w:spacing w:val="0"/>
          <w:sz w:val="20"/>
          <w:rtl/>
        </w:rPr>
        <w:t>ﻫ</w:t>
      </w:r>
      <w:r w:rsidRPr="004E0A37">
        <w:rPr>
          <w:spacing w:val="0"/>
          <w:sz w:val="20"/>
          <w:rtl/>
        </w:rPr>
        <w:t>)</w:t>
      </w:r>
      <w:r w:rsidRPr="004E0A37">
        <w:rPr>
          <w:rFonts w:hint="cs"/>
          <w:spacing w:val="0"/>
          <w:sz w:val="20"/>
          <w:rtl/>
        </w:rPr>
        <w:tab/>
      </w:r>
      <w:r w:rsidRPr="004E0A37">
        <w:rPr>
          <w:spacing w:val="0"/>
          <w:sz w:val="20"/>
          <w:rtl/>
        </w:rPr>
        <w:t xml:space="preserve">سحب عدة تحفظات على عدد من الاتفاقيات الدولية، </w:t>
      </w:r>
      <w:r w:rsidRPr="004E0A37">
        <w:rPr>
          <w:rFonts w:hint="cs"/>
          <w:spacing w:val="0"/>
          <w:sz w:val="20"/>
          <w:rtl/>
        </w:rPr>
        <w:t xml:space="preserve">ولا سيما </w:t>
      </w:r>
      <w:r w:rsidRPr="004E0A37">
        <w:rPr>
          <w:spacing w:val="0"/>
          <w:sz w:val="20"/>
          <w:rtl/>
        </w:rPr>
        <w:t xml:space="preserve">التحفظ على </w:t>
      </w:r>
      <w:r w:rsidRPr="004E0A37">
        <w:rPr>
          <w:rFonts w:hint="cs"/>
          <w:spacing w:val="0"/>
          <w:sz w:val="20"/>
          <w:rtl/>
        </w:rPr>
        <w:t xml:space="preserve">المادة </w:t>
      </w:r>
      <w:r w:rsidRPr="004E0A37">
        <w:rPr>
          <w:spacing w:val="0"/>
          <w:sz w:val="20"/>
          <w:rtl/>
        </w:rPr>
        <w:t>14 من الاتفاقية الدولية للقضاء على جميع أشكال التمييز العنصري، و</w:t>
      </w:r>
      <w:r w:rsidRPr="004E0A37">
        <w:rPr>
          <w:rFonts w:hint="cs"/>
          <w:spacing w:val="0"/>
          <w:sz w:val="20"/>
          <w:rtl/>
        </w:rPr>
        <w:t xml:space="preserve">المادة 14 </w:t>
      </w:r>
      <w:r w:rsidRPr="004E0A37">
        <w:rPr>
          <w:spacing w:val="0"/>
          <w:sz w:val="20"/>
          <w:rtl/>
        </w:rPr>
        <w:t>من اتفاقية حقوق الطفل، فضلاً عن جميع التحفظات المتعلقة باتفاقية القضاء على جميع أشكال التمييز ضد المرأة.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4</w:t>
      </w:r>
      <w:r w:rsidR="003E72B5">
        <w:rPr>
          <w:spacing w:val="0"/>
          <w:sz w:val="20"/>
          <w:rtl/>
        </w:rPr>
        <w:t>)</w:t>
      </w:r>
      <w:r w:rsidR="003E72B5">
        <w:rPr>
          <w:spacing w:val="0"/>
          <w:sz w:val="20"/>
          <w:rtl/>
        </w:rPr>
        <w:tab/>
      </w:r>
      <w:r w:rsidR="004E0A37" w:rsidRPr="004E0A37">
        <w:rPr>
          <w:spacing w:val="0"/>
          <w:sz w:val="20"/>
          <w:rtl/>
        </w:rPr>
        <w:t>وتحيط اللجنة</w:t>
      </w:r>
      <w:r w:rsidR="003833F8">
        <w:rPr>
          <w:spacing w:val="0"/>
          <w:sz w:val="20"/>
          <w:rtl/>
        </w:rPr>
        <w:t xml:space="preserve"> علماً </w:t>
      </w:r>
      <w:r w:rsidR="004E0A37" w:rsidRPr="004E0A37">
        <w:rPr>
          <w:spacing w:val="0"/>
          <w:sz w:val="20"/>
          <w:rtl/>
        </w:rPr>
        <w:t>أيضاً بارتياح بالعناصر التالية:</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 xml:space="preserve">اعتماد دستور جديد عن طريق الاستفتاء في 1 تموز/يوليه 2011، وهو دستور يتضمن بنوداً جديدة تتعلق بحظر التعذيب وبالضمانات الأساسية </w:t>
      </w:r>
      <w:r w:rsidRPr="004E0A37">
        <w:rPr>
          <w:rFonts w:hint="cs"/>
          <w:spacing w:val="0"/>
          <w:sz w:val="20"/>
          <w:rtl/>
        </w:rPr>
        <w:t>المخوّلة ل</w:t>
      </w:r>
      <w:r w:rsidRPr="004E0A37">
        <w:rPr>
          <w:spacing w:val="0"/>
          <w:sz w:val="20"/>
          <w:rtl/>
        </w:rPr>
        <w:t xml:space="preserve">لأشخاص </w:t>
      </w:r>
      <w:r w:rsidRPr="004E0A37">
        <w:rPr>
          <w:rFonts w:hint="cs"/>
          <w:spacing w:val="0"/>
          <w:sz w:val="20"/>
          <w:rtl/>
        </w:rPr>
        <w:t>ال</w:t>
      </w:r>
      <w:r w:rsidRPr="004E0A37">
        <w:rPr>
          <w:spacing w:val="0"/>
          <w:sz w:val="20"/>
          <w:rtl/>
        </w:rPr>
        <w:t xml:space="preserve">معتقلين </w:t>
      </w:r>
      <w:r w:rsidRPr="004E0A37">
        <w:rPr>
          <w:rFonts w:hint="cs"/>
          <w:spacing w:val="0"/>
          <w:sz w:val="20"/>
          <w:rtl/>
        </w:rPr>
        <w:t>أ</w:t>
      </w:r>
      <w:r w:rsidRPr="004E0A37">
        <w:rPr>
          <w:spacing w:val="0"/>
          <w:sz w:val="20"/>
          <w:rtl/>
        </w:rPr>
        <w:t>و</w:t>
      </w:r>
      <w:r w:rsidRPr="004E0A37">
        <w:rPr>
          <w:rFonts w:hint="cs"/>
          <w:spacing w:val="0"/>
          <w:sz w:val="20"/>
          <w:rtl/>
        </w:rPr>
        <w:t xml:space="preserve"> ال</w:t>
      </w:r>
      <w:r w:rsidRPr="004E0A37">
        <w:rPr>
          <w:spacing w:val="0"/>
          <w:sz w:val="20"/>
          <w:rtl/>
        </w:rPr>
        <w:t xml:space="preserve">محتجزين </w:t>
      </w:r>
      <w:r w:rsidRPr="004E0A37">
        <w:rPr>
          <w:rFonts w:hint="cs"/>
          <w:spacing w:val="0"/>
          <w:sz w:val="20"/>
          <w:rtl/>
        </w:rPr>
        <w:t>أ</w:t>
      </w:r>
      <w:r w:rsidRPr="004E0A37">
        <w:rPr>
          <w:spacing w:val="0"/>
          <w:sz w:val="20"/>
          <w:rtl/>
        </w:rPr>
        <w:t>و</w:t>
      </w:r>
      <w:r w:rsidRPr="004E0A37">
        <w:rPr>
          <w:rFonts w:hint="cs"/>
          <w:spacing w:val="0"/>
          <w:sz w:val="20"/>
          <w:rtl/>
        </w:rPr>
        <w:t xml:space="preserve"> ال</w:t>
      </w:r>
      <w:r w:rsidRPr="004E0A37">
        <w:rPr>
          <w:spacing w:val="0"/>
          <w:sz w:val="20"/>
          <w:rtl/>
        </w:rPr>
        <w:t xml:space="preserve">ملاحقين </w:t>
      </w:r>
      <w:r w:rsidRPr="004E0A37">
        <w:rPr>
          <w:rFonts w:hint="cs"/>
          <w:spacing w:val="0"/>
          <w:sz w:val="20"/>
          <w:rtl/>
        </w:rPr>
        <w:t>أ</w:t>
      </w:r>
      <w:r w:rsidRPr="004E0A37">
        <w:rPr>
          <w:spacing w:val="0"/>
          <w:sz w:val="20"/>
          <w:rtl/>
        </w:rPr>
        <w:t>و</w:t>
      </w:r>
      <w:r w:rsidRPr="004E0A37">
        <w:rPr>
          <w:rFonts w:hint="cs"/>
          <w:spacing w:val="0"/>
          <w:sz w:val="20"/>
          <w:rtl/>
        </w:rPr>
        <w:t xml:space="preserve"> ال</w:t>
      </w:r>
      <w:r w:rsidRPr="004E0A37">
        <w:rPr>
          <w:spacing w:val="0"/>
          <w:sz w:val="20"/>
          <w:rtl/>
        </w:rPr>
        <w:t>مدانين؛</w:t>
      </w:r>
    </w:p>
    <w:p w:rsidR="004E0A37" w:rsidRPr="004E0A37" w:rsidRDefault="004E0A37" w:rsidP="004E0A37">
      <w:pPr>
        <w:pStyle w:val="SingleTxtGA"/>
        <w:jc w:val="lowKashida"/>
        <w:rPr>
          <w:rFonts w:hint="cs"/>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 xml:space="preserve">عملية تعديل النظام القضائي التي </w:t>
      </w:r>
      <w:r w:rsidRPr="004E0A37">
        <w:rPr>
          <w:rFonts w:hint="cs"/>
          <w:spacing w:val="0"/>
          <w:sz w:val="20"/>
          <w:rtl/>
        </w:rPr>
        <w:t xml:space="preserve">شرعت فيها </w:t>
      </w:r>
      <w:r w:rsidRPr="004E0A37">
        <w:rPr>
          <w:spacing w:val="0"/>
          <w:sz w:val="20"/>
          <w:rtl/>
        </w:rPr>
        <w:t xml:space="preserve">الدولة الطرف </w:t>
      </w:r>
      <w:r w:rsidRPr="004E0A37">
        <w:rPr>
          <w:rFonts w:hint="cs"/>
          <w:spacing w:val="0"/>
          <w:sz w:val="20"/>
          <w:rtl/>
        </w:rPr>
        <w:t xml:space="preserve">لتكييف وتغيير </w:t>
      </w:r>
      <w:r w:rsidRPr="004E0A37">
        <w:rPr>
          <w:spacing w:val="0"/>
          <w:sz w:val="20"/>
          <w:rtl/>
        </w:rPr>
        <w:t xml:space="preserve">القوانين والممارسات في </w:t>
      </w:r>
      <w:r w:rsidRPr="004E0A37">
        <w:rPr>
          <w:rFonts w:hint="cs"/>
          <w:spacing w:val="0"/>
          <w:sz w:val="20"/>
          <w:rtl/>
        </w:rPr>
        <w:t xml:space="preserve">البلد لتتسّق </w:t>
      </w:r>
      <w:r w:rsidRPr="004E0A37">
        <w:rPr>
          <w:spacing w:val="0"/>
          <w:sz w:val="20"/>
          <w:rtl/>
        </w:rPr>
        <w:t>مع تعهداتها الدولية</w:t>
      </w:r>
      <w:r w:rsidRPr="004E0A37">
        <w:rPr>
          <w:rFonts w:hint="cs"/>
          <w:spacing w:val="0"/>
          <w:sz w:val="20"/>
          <w:rtl/>
        </w:rPr>
        <w:t>؛</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(ج)</w:t>
      </w:r>
      <w:r w:rsidRPr="004E0A37">
        <w:rPr>
          <w:rFonts w:hint="cs"/>
          <w:spacing w:val="0"/>
          <w:sz w:val="20"/>
          <w:rtl/>
        </w:rPr>
        <w:tab/>
      </w:r>
      <w:r w:rsidRPr="004E0A37">
        <w:rPr>
          <w:spacing w:val="0"/>
          <w:sz w:val="20"/>
          <w:rtl/>
        </w:rPr>
        <w:t>إنشاء المجلس الوطني لحقوق الإنسان في 1 آذار/مارس 2011، الذي يخلف المجلس الاستشاري لحقوق الإنسان ويتمتع بصلاحيات موسعة، وإنشاء أجهزة إقليمية لحماية حقوق الإنسان؛</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(د)</w:t>
      </w:r>
      <w:r w:rsidRPr="004E0A37">
        <w:rPr>
          <w:rFonts w:hint="cs"/>
          <w:spacing w:val="0"/>
          <w:sz w:val="20"/>
          <w:rtl/>
        </w:rPr>
        <w:tab/>
      </w:r>
      <w:r w:rsidRPr="004E0A37">
        <w:rPr>
          <w:spacing w:val="0"/>
          <w:sz w:val="20"/>
          <w:rtl/>
        </w:rPr>
        <w:t>وقف تنفيذ عقوبة الإعدام بحكم الواقع؛</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w:t>
      </w:r>
      <w:r w:rsidRPr="004E0A37">
        <w:rPr>
          <w:rFonts w:hint="cs"/>
          <w:spacing w:val="0"/>
          <w:sz w:val="20"/>
          <w:rtl/>
        </w:rPr>
        <w:t>ﻫ</w:t>
      </w:r>
      <w:r w:rsidRPr="004E0A37">
        <w:rPr>
          <w:spacing w:val="0"/>
          <w:sz w:val="20"/>
          <w:rtl/>
        </w:rPr>
        <w:t>)</w:t>
      </w:r>
      <w:r w:rsidRPr="004E0A37">
        <w:rPr>
          <w:rFonts w:hint="cs"/>
          <w:spacing w:val="0"/>
          <w:sz w:val="20"/>
          <w:rtl/>
        </w:rPr>
        <w:tab/>
      </w:r>
      <w:r w:rsidRPr="004E0A37">
        <w:rPr>
          <w:spacing w:val="0"/>
          <w:sz w:val="20"/>
          <w:rtl/>
        </w:rPr>
        <w:t xml:space="preserve">إنشاء آلية للعدالة الانتقالية وهي هيئة الإنصاف والمصالحة الموكلة باستجلاءِ الحقيقة </w:t>
      </w:r>
      <w:r w:rsidR="00F96B1E">
        <w:rPr>
          <w:spacing w:val="0"/>
          <w:sz w:val="20"/>
          <w:rtl/>
        </w:rPr>
        <w:t>فيما </w:t>
      </w:r>
      <w:r w:rsidRPr="004E0A37">
        <w:rPr>
          <w:spacing w:val="0"/>
          <w:sz w:val="20"/>
          <w:rtl/>
        </w:rPr>
        <w:t xml:space="preserve">يتعلق </w:t>
      </w:r>
      <w:r w:rsidRPr="004E0A37">
        <w:rPr>
          <w:rFonts w:hint="cs"/>
          <w:spacing w:val="0"/>
          <w:sz w:val="20"/>
          <w:rtl/>
        </w:rPr>
        <w:t>ب</w:t>
      </w:r>
      <w:r w:rsidRPr="004E0A37">
        <w:rPr>
          <w:spacing w:val="0"/>
          <w:sz w:val="20"/>
          <w:rtl/>
        </w:rPr>
        <w:t>انتهاكات حقوق الإنسان التي حدثت بين عامي 1956 و1999 وبإتاحة الفرصة لتحقيق مصالحة وطنية؛</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(و)</w:t>
      </w:r>
      <w:r w:rsidRPr="004E0A37">
        <w:rPr>
          <w:rFonts w:hint="cs"/>
          <w:spacing w:val="0"/>
          <w:sz w:val="20"/>
          <w:rtl/>
        </w:rPr>
        <w:tab/>
      </w:r>
      <w:r w:rsidRPr="004E0A37">
        <w:rPr>
          <w:spacing w:val="0"/>
          <w:sz w:val="20"/>
          <w:rtl/>
        </w:rPr>
        <w:t xml:space="preserve">تنظيم أنشطة مختلفة في مجال </w:t>
      </w:r>
      <w:r w:rsidRPr="004E0A37">
        <w:rPr>
          <w:rFonts w:hint="cs"/>
          <w:spacing w:val="0"/>
          <w:sz w:val="20"/>
          <w:rtl/>
        </w:rPr>
        <w:t>التدريب</w:t>
      </w:r>
      <w:r w:rsidRPr="004E0A37">
        <w:rPr>
          <w:spacing w:val="0"/>
          <w:sz w:val="20"/>
          <w:rtl/>
        </w:rPr>
        <w:t xml:space="preserve"> والتوعية بحقوق الإنسان موجهة بصفة خاصة للقضاة ولموظفي السجون.</w:t>
      </w:r>
    </w:p>
    <w:p w:rsidR="004E0A37" w:rsidRPr="004E0A37" w:rsidRDefault="007223C0" w:rsidP="002E2361">
      <w:pPr>
        <w:pStyle w:val="H23GA"/>
        <w:tabs>
          <w:tab w:val="left" w:pos="1939"/>
        </w:tabs>
        <w:rPr>
          <w:rtl/>
          <w:lang/>
        </w:rPr>
      </w:pPr>
      <w:r>
        <w:rPr>
          <w:rFonts w:hint="cs"/>
          <w:rtl/>
          <w:lang/>
        </w:rPr>
        <w:tab/>
      </w:r>
      <w:r>
        <w:rPr>
          <w:rFonts w:hint="cs"/>
          <w:rtl/>
          <w:lang/>
        </w:rPr>
        <w:tab/>
        <w:t>جيم-</w:t>
      </w:r>
      <w:r w:rsidR="004E0A37" w:rsidRPr="004E0A37">
        <w:rPr>
          <w:rtl/>
          <w:lang/>
        </w:rPr>
        <w:tab/>
        <w:t>دواعي القلق الرئيسية والتوصيات</w:t>
      </w:r>
    </w:p>
    <w:p w:rsidR="004E0A37" w:rsidRPr="004E0A37" w:rsidRDefault="004E0A37" w:rsidP="00B5100A">
      <w:pPr>
        <w:pStyle w:val="H23GA"/>
        <w:rPr>
          <w:rtl/>
          <w:lang/>
        </w:rPr>
      </w:pPr>
      <w:r w:rsidRPr="004E0A37">
        <w:rPr>
          <w:rFonts w:hint="cs"/>
          <w:rtl/>
          <w:lang/>
        </w:rPr>
        <w:tab/>
      </w:r>
      <w:r w:rsidRPr="004E0A37">
        <w:rPr>
          <w:rtl/>
          <w:lang/>
        </w:rPr>
        <w:tab/>
        <w:t>تعريف التعذيب وتجريمه</w:t>
      </w:r>
    </w:p>
    <w:p w:rsidR="004E0A37" w:rsidRPr="004E0A37" w:rsidRDefault="0033301A" w:rsidP="00727BAF">
      <w:pPr>
        <w:pStyle w:val="SingleTxtGA"/>
        <w:jc w:val="lowKashida"/>
        <w:rPr>
          <w:rFonts w:hint="cs"/>
          <w:spacing w:val="0"/>
          <w:sz w:val="20"/>
          <w:rtl/>
        </w:rPr>
      </w:pPr>
      <w:r>
        <w:rPr>
          <w:rFonts w:hint="cs"/>
          <w:spacing w:val="0"/>
          <w:sz w:val="20"/>
          <w:rtl/>
        </w:rPr>
        <w:t>(</w:t>
      </w:r>
      <w:r w:rsidR="004E0A37" w:rsidRPr="004E0A37">
        <w:rPr>
          <w:spacing w:val="0"/>
          <w:sz w:val="20"/>
          <w:rtl/>
        </w:rPr>
        <w:t>5</w:t>
      </w:r>
      <w:r w:rsidR="003E72B5">
        <w:rPr>
          <w:spacing w:val="0"/>
          <w:sz w:val="20"/>
          <w:rtl/>
        </w:rPr>
        <w:t>)</w:t>
      </w:r>
      <w:r w:rsidR="003E72B5">
        <w:rPr>
          <w:spacing w:val="0"/>
          <w:sz w:val="20"/>
          <w:rtl/>
        </w:rPr>
        <w:tab/>
      </w:r>
      <w:r w:rsidR="004E0A37" w:rsidRPr="004E0A37">
        <w:rPr>
          <w:spacing w:val="0"/>
          <w:sz w:val="20"/>
          <w:rtl/>
        </w:rPr>
        <w:t xml:space="preserve">بالرغم من أن اللجنة تلاحظ أن مشاريع </w:t>
      </w:r>
      <w:r w:rsidR="004E0A37" w:rsidRPr="004E0A37">
        <w:rPr>
          <w:rFonts w:hint="cs"/>
          <w:spacing w:val="0"/>
          <w:sz w:val="20"/>
          <w:rtl/>
        </w:rPr>
        <w:t>ال</w:t>
      </w:r>
      <w:r w:rsidR="004E0A37" w:rsidRPr="004E0A37">
        <w:rPr>
          <w:spacing w:val="0"/>
          <w:sz w:val="20"/>
          <w:rtl/>
        </w:rPr>
        <w:t xml:space="preserve">قوانين </w:t>
      </w:r>
      <w:r w:rsidR="004E0A37" w:rsidRPr="004E0A37">
        <w:rPr>
          <w:rFonts w:hint="cs"/>
          <w:spacing w:val="0"/>
          <w:sz w:val="20"/>
          <w:rtl/>
        </w:rPr>
        <w:t xml:space="preserve">قيد الإعداد </w:t>
      </w:r>
      <w:r w:rsidR="004E0A37" w:rsidRPr="004E0A37">
        <w:rPr>
          <w:spacing w:val="0"/>
          <w:sz w:val="20"/>
          <w:rtl/>
        </w:rPr>
        <w:t xml:space="preserve">تهدف إلى تعديل القانون الجنائي، فإنها تظل قلقة </w:t>
      </w:r>
      <w:r w:rsidR="004E0A37" w:rsidRPr="004E0A37">
        <w:rPr>
          <w:rFonts w:hint="cs"/>
          <w:spacing w:val="0"/>
          <w:sz w:val="20"/>
          <w:rtl/>
        </w:rPr>
        <w:t xml:space="preserve">لعدم تطابق </w:t>
      </w:r>
      <w:r w:rsidR="004E0A37" w:rsidRPr="004E0A37">
        <w:rPr>
          <w:spacing w:val="0"/>
          <w:sz w:val="20"/>
          <w:rtl/>
        </w:rPr>
        <w:t xml:space="preserve">تعريف التعذيب </w:t>
      </w:r>
      <w:r w:rsidR="004E0A37" w:rsidRPr="004E0A37">
        <w:rPr>
          <w:rFonts w:hint="cs"/>
          <w:spacing w:val="0"/>
          <w:sz w:val="20"/>
          <w:rtl/>
        </w:rPr>
        <w:t xml:space="preserve">على النحو الوارد </w:t>
      </w:r>
      <w:r w:rsidR="004E0A37" w:rsidRPr="004E0A37">
        <w:rPr>
          <w:spacing w:val="0"/>
          <w:sz w:val="20"/>
          <w:rtl/>
        </w:rPr>
        <w:t>في المادة</w:t>
      </w:r>
      <w:r w:rsidR="004E0A37" w:rsidRPr="004E0A37">
        <w:rPr>
          <w:rFonts w:hint="cs"/>
          <w:spacing w:val="0"/>
          <w:sz w:val="20"/>
          <w:rtl/>
        </w:rPr>
        <w:t> </w:t>
      </w:r>
      <w:r w:rsidR="004E0A37" w:rsidRPr="004E0A37">
        <w:rPr>
          <w:spacing w:val="0"/>
          <w:sz w:val="20"/>
          <w:rtl/>
        </w:rPr>
        <w:t xml:space="preserve">231-1 من القانون الجنائي الساري </w:t>
      </w:r>
      <w:r w:rsidR="004E0A37" w:rsidRPr="004E0A37">
        <w:rPr>
          <w:rFonts w:hint="cs"/>
          <w:spacing w:val="0"/>
          <w:sz w:val="20"/>
          <w:rtl/>
        </w:rPr>
        <w:t xml:space="preserve">تمام المطابقة </w:t>
      </w:r>
      <w:r w:rsidR="004E0A37" w:rsidRPr="004E0A37">
        <w:rPr>
          <w:spacing w:val="0"/>
          <w:sz w:val="20"/>
          <w:rtl/>
        </w:rPr>
        <w:t>للمادة الأولى من الاتفاقية، خصوصا</w:t>
      </w:r>
      <w:r w:rsidR="004E0A37" w:rsidRPr="004E0A37">
        <w:rPr>
          <w:rFonts w:hint="cs"/>
          <w:spacing w:val="0"/>
          <w:sz w:val="20"/>
          <w:rtl/>
        </w:rPr>
        <w:t>ً</w:t>
      </w:r>
      <w:r w:rsidR="004E0A37" w:rsidRPr="004E0A37">
        <w:rPr>
          <w:spacing w:val="0"/>
          <w:sz w:val="20"/>
          <w:rtl/>
        </w:rPr>
        <w:t xml:space="preserve"> بسبب </w:t>
      </w:r>
      <w:r w:rsidR="004E0A37" w:rsidRPr="004E0A37">
        <w:rPr>
          <w:rFonts w:hint="cs"/>
          <w:spacing w:val="0"/>
          <w:sz w:val="20"/>
          <w:rtl/>
        </w:rPr>
        <w:t xml:space="preserve">ضيق </w:t>
      </w:r>
      <w:r w:rsidR="004E0A37" w:rsidRPr="004E0A37">
        <w:rPr>
          <w:spacing w:val="0"/>
          <w:sz w:val="20"/>
          <w:rtl/>
        </w:rPr>
        <w:t xml:space="preserve">مجال تطبيق هذا التعريف. </w:t>
      </w:r>
      <w:r w:rsidR="004E0A37" w:rsidRPr="004E0A37">
        <w:rPr>
          <w:rFonts w:hint="cs"/>
          <w:spacing w:val="0"/>
          <w:sz w:val="20"/>
          <w:rtl/>
        </w:rPr>
        <w:t xml:space="preserve">والواقع أن </w:t>
      </w:r>
      <w:r w:rsidR="004E0A37" w:rsidRPr="004E0A37">
        <w:rPr>
          <w:spacing w:val="0"/>
          <w:sz w:val="20"/>
          <w:rtl/>
        </w:rPr>
        <w:t xml:space="preserve">المادة </w:t>
      </w:r>
      <w:r w:rsidR="004E0A37" w:rsidRPr="004E0A37">
        <w:rPr>
          <w:rFonts w:hint="cs"/>
          <w:spacing w:val="0"/>
          <w:sz w:val="20"/>
          <w:rtl/>
        </w:rPr>
        <w:t>231-1</w:t>
      </w:r>
      <w:r w:rsidR="004E0A37" w:rsidRPr="004E0A37">
        <w:rPr>
          <w:spacing w:val="0"/>
          <w:sz w:val="20"/>
          <w:rtl/>
        </w:rPr>
        <w:t xml:space="preserve"> تقتصر على الأهداف المنصوص</w:t>
      </w:r>
      <w:r w:rsidR="004E0A37" w:rsidRPr="004E0A37">
        <w:rPr>
          <w:rFonts w:hint="cs"/>
          <w:spacing w:val="0"/>
          <w:sz w:val="20"/>
          <w:rtl/>
        </w:rPr>
        <w:t xml:space="preserve"> عليها</w:t>
      </w:r>
      <w:r w:rsidR="004E0A37" w:rsidRPr="004E0A37">
        <w:rPr>
          <w:spacing w:val="0"/>
          <w:sz w:val="20"/>
          <w:rtl/>
        </w:rPr>
        <w:t xml:space="preserve"> في المادة الأولى ولا </w:t>
      </w:r>
      <w:r w:rsidR="004E0A37" w:rsidRPr="004E0A37">
        <w:rPr>
          <w:rFonts w:hint="cs"/>
          <w:spacing w:val="0"/>
          <w:sz w:val="20"/>
          <w:rtl/>
        </w:rPr>
        <w:t>ت</w:t>
      </w:r>
      <w:r w:rsidR="004E0A37" w:rsidRPr="004E0A37">
        <w:rPr>
          <w:spacing w:val="0"/>
          <w:sz w:val="20"/>
          <w:rtl/>
        </w:rPr>
        <w:t xml:space="preserve">شمل حالة التواطؤ ولا حالة الموافقة الصريحة أو الضمنية من جانب أي موظف من موظفي إنفاذ القانون أو من جانب أي شخص آخر يتصرف بصفة رسمية. </w:t>
      </w:r>
      <w:r w:rsidR="004E0A37" w:rsidRPr="004E0A37">
        <w:rPr>
          <w:rFonts w:hint="cs"/>
          <w:spacing w:val="0"/>
          <w:sz w:val="20"/>
          <w:rtl/>
        </w:rPr>
        <w:t>و</w:t>
      </w:r>
      <w:r w:rsidR="004E0A37" w:rsidRPr="004E0A37">
        <w:rPr>
          <w:spacing w:val="0"/>
          <w:sz w:val="20"/>
          <w:rtl/>
        </w:rPr>
        <w:t>علاوة على ذلك، تأسف اللجنة لعدم وجود حكم في القانون الجنائي ينص على عدم تقادم جريمة التعذيب، رغم</w:t>
      </w:r>
      <w:r w:rsidR="004E0A37" w:rsidRPr="004E0A37">
        <w:rPr>
          <w:rFonts w:hint="cs"/>
          <w:spacing w:val="0"/>
          <w:sz w:val="20"/>
          <w:rtl/>
        </w:rPr>
        <w:t> </w:t>
      </w:r>
      <w:r w:rsidR="004E0A37" w:rsidRPr="004E0A37">
        <w:rPr>
          <w:spacing w:val="0"/>
          <w:sz w:val="20"/>
          <w:rtl/>
        </w:rPr>
        <w:t>ما قدمته من توصيات سابقة في هذا الصدد</w:t>
      </w:r>
      <w:r w:rsidR="00727BAF">
        <w:rPr>
          <w:spacing w:val="0"/>
          <w:sz w:val="20"/>
          <w:vertAlign w:val="superscript"/>
          <w:rtl/>
        </w:rPr>
        <w:t>(</w:t>
      </w:r>
      <w:r w:rsidR="00727BAF">
        <w:rPr>
          <w:rStyle w:val="FootnoteReference"/>
          <w:spacing w:val="0"/>
          <w:rtl/>
        </w:rPr>
        <w:footnoteReference w:id="6"/>
      </w:r>
      <w:r w:rsidR="00727BAF">
        <w:rPr>
          <w:spacing w:val="0"/>
          <w:sz w:val="20"/>
          <w:vertAlign w:val="superscript"/>
          <w:rtl/>
        </w:rPr>
        <w:t>)</w:t>
      </w:r>
      <w:r w:rsidR="00727BAF">
        <w:rPr>
          <w:rFonts w:hint="cs"/>
          <w:spacing w:val="0"/>
          <w:sz w:val="20"/>
          <w:rtl/>
        </w:rPr>
        <w:t xml:space="preserve"> </w:t>
      </w:r>
      <w:r w:rsidR="004E0A37" w:rsidRPr="004E0A37">
        <w:rPr>
          <w:spacing w:val="0"/>
          <w:sz w:val="20"/>
          <w:rtl/>
        </w:rPr>
        <w:t>(المادتان</w:t>
      </w:r>
      <w:r w:rsidR="00B5100A">
        <w:rPr>
          <w:rFonts w:hint="cs"/>
          <w:spacing w:val="0"/>
          <w:sz w:val="20"/>
          <w:rtl/>
        </w:rPr>
        <w:t> </w:t>
      </w:r>
      <w:r w:rsidR="004E0A37" w:rsidRPr="004E0A37">
        <w:rPr>
          <w:spacing w:val="0"/>
          <w:sz w:val="20"/>
          <w:rtl/>
        </w:rPr>
        <w:t>1 و4)</w:t>
      </w:r>
      <w:r w:rsidR="004E0A37" w:rsidRPr="004E0A37">
        <w:rPr>
          <w:rFonts w:hint="cs"/>
          <w:spacing w:val="0"/>
          <w:sz w:val="20"/>
          <w:rtl/>
        </w:rPr>
        <w:t>.</w:t>
      </w:r>
    </w:p>
    <w:p w:rsidR="004E0A37" w:rsidRPr="002E2361" w:rsidRDefault="004E0A37" w:rsidP="004E0A37">
      <w:pPr>
        <w:pStyle w:val="SingleTxtGA"/>
        <w:jc w:val="lowKashida"/>
        <w:rPr>
          <w:b/>
          <w:bCs/>
          <w:spacing w:val="0"/>
          <w:kern w:val="0"/>
          <w:sz w:val="20"/>
          <w:rtl/>
        </w:rPr>
      </w:pPr>
      <w:r w:rsidRPr="00DA0B1C">
        <w:rPr>
          <w:rFonts w:hint="cs"/>
          <w:b/>
          <w:bCs/>
          <w:spacing w:val="0"/>
          <w:sz w:val="20"/>
          <w:rtl/>
        </w:rPr>
        <w:tab/>
      </w:r>
      <w:r w:rsidRPr="00DA0B1C">
        <w:rPr>
          <w:b/>
          <w:bCs/>
          <w:spacing w:val="0"/>
          <w:sz w:val="20"/>
          <w:rtl/>
        </w:rPr>
        <w:t xml:space="preserve">ينبغي أن تتأكد الدولة الطرف من </w:t>
      </w:r>
      <w:r w:rsidRPr="00DA0B1C">
        <w:rPr>
          <w:rFonts w:hint="cs"/>
          <w:b/>
          <w:bCs/>
          <w:spacing w:val="0"/>
          <w:sz w:val="20"/>
          <w:rtl/>
        </w:rPr>
        <w:t xml:space="preserve">إفضاء </w:t>
      </w:r>
      <w:r w:rsidRPr="00DA0B1C">
        <w:rPr>
          <w:b/>
          <w:bCs/>
          <w:spacing w:val="0"/>
          <w:sz w:val="20"/>
          <w:rtl/>
        </w:rPr>
        <w:t>مشاريع القوانين المعروضة</w:t>
      </w:r>
      <w:r w:rsidR="003549AC">
        <w:rPr>
          <w:b/>
          <w:bCs/>
          <w:spacing w:val="0"/>
          <w:sz w:val="20"/>
          <w:rtl/>
        </w:rPr>
        <w:t xml:space="preserve"> حالياً </w:t>
      </w:r>
      <w:r w:rsidRPr="00DA0B1C">
        <w:rPr>
          <w:b/>
          <w:bCs/>
          <w:spacing w:val="0"/>
          <w:sz w:val="20"/>
          <w:rtl/>
        </w:rPr>
        <w:t>على البرلمان إلى توسيع نطاق تطبيق تعريف التعذيب</w:t>
      </w:r>
      <w:r w:rsidR="00B345DB" w:rsidRPr="00DA0B1C">
        <w:rPr>
          <w:b/>
          <w:bCs/>
          <w:spacing w:val="0"/>
          <w:sz w:val="20"/>
          <w:rtl/>
        </w:rPr>
        <w:t xml:space="preserve"> وفقاً </w:t>
      </w:r>
      <w:r w:rsidRPr="00DA0B1C">
        <w:rPr>
          <w:b/>
          <w:bCs/>
          <w:spacing w:val="0"/>
          <w:sz w:val="20"/>
          <w:rtl/>
        </w:rPr>
        <w:t xml:space="preserve">للمادة الأولى من اتفاقية مناهضة </w:t>
      </w:r>
      <w:r w:rsidRPr="002E2361">
        <w:rPr>
          <w:b/>
          <w:bCs/>
          <w:spacing w:val="0"/>
          <w:kern w:val="0"/>
          <w:sz w:val="20"/>
          <w:rtl/>
        </w:rPr>
        <w:t>التعذيب. وينبغي أن تتأكد، طبقا</w:t>
      </w:r>
      <w:r w:rsidRPr="002E2361">
        <w:rPr>
          <w:rFonts w:hint="cs"/>
          <w:b/>
          <w:bCs/>
          <w:spacing w:val="0"/>
          <w:kern w:val="0"/>
          <w:sz w:val="20"/>
          <w:rtl/>
        </w:rPr>
        <w:t>ً</w:t>
      </w:r>
      <w:r w:rsidRPr="002E2361">
        <w:rPr>
          <w:b/>
          <w:bCs/>
          <w:spacing w:val="0"/>
          <w:kern w:val="0"/>
          <w:sz w:val="20"/>
          <w:rtl/>
        </w:rPr>
        <w:t xml:space="preserve"> لالتزاماتها الدولية، من </w:t>
      </w:r>
      <w:r w:rsidRPr="002E2361">
        <w:rPr>
          <w:rFonts w:hint="cs"/>
          <w:b/>
          <w:bCs/>
          <w:spacing w:val="0"/>
          <w:kern w:val="0"/>
          <w:sz w:val="20"/>
          <w:rtl/>
        </w:rPr>
        <w:t>خضوع كل من يرتكب أفعال تعذيب أو يتواطأ على ارتكابها أو يحاول اقترافها أو يشارك فيها ل</w:t>
      </w:r>
      <w:r w:rsidRPr="002E2361">
        <w:rPr>
          <w:b/>
          <w:bCs/>
          <w:spacing w:val="0"/>
          <w:kern w:val="0"/>
          <w:sz w:val="20"/>
          <w:rtl/>
        </w:rPr>
        <w:t>لتحقيق و</w:t>
      </w:r>
      <w:r w:rsidRPr="002E2361">
        <w:rPr>
          <w:rFonts w:hint="cs"/>
          <w:b/>
          <w:bCs/>
          <w:spacing w:val="0"/>
          <w:kern w:val="0"/>
          <w:sz w:val="20"/>
          <w:rtl/>
        </w:rPr>
        <w:t>ال</w:t>
      </w:r>
      <w:r w:rsidRPr="002E2361">
        <w:rPr>
          <w:b/>
          <w:bCs/>
          <w:spacing w:val="0"/>
          <w:kern w:val="0"/>
          <w:sz w:val="20"/>
          <w:rtl/>
        </w:rPr>
        <w:t>ملاحقة و</w:t>
      </w:r>
      <w:r w:rsidRPr="002E2361">
        <w:rPr>
          <w:rFonts w:hint="cs"/>
          <w:b/>
          <w:bCs/>
          <w:spacing w:val="0"/>
          <w:kern w:val="0"/>
          <w:sz w:val="20"/>
          <w:rtl/>
        </w:rPr>
        <w:t>ال</w:t>
      </w:r>
      <w:r w:rsidRPr="002E2361">
        <w:rPr>
          <w:b/>
          <w:bCs/>
          <w:spacing w:val="0"/>
          <w:kern w:val="0"/>
          <w:sz w:val="20"/>
          <w:rtl/>
        </w:rPr>
        <w:t>معاقبة دون أن يتسنى له الاستفادة من أي أجل تقادم.</w:t>
      </w:r>
    </w:p>
    <w:p w:rsidR="004E0A37" w:rsidRPr="002E2361" w:rsidRDefault="0033301A" w:rsidP="004E0A37">
      <w:pPr>
        <w:pStyle w:val="SingleTxtGA"/>
        <w:jc w:val="lowKashida"/>
        <w:rPr>
          <w:rFonts w:hint="cs"/>
          <w:spacing w:val="0"/>
          <w:kern w:val="0"/>
          <w:sz w:val="20"/>
          <w:rtl/>
        </w:rPr>
      </w:pPr>
      <w:r w:rsidRPr="002E2361">
        <w:rPr>
          <w:rFonts w:hint="cs"/>
          <w:spacing w:val="0"/>
          <w:kern w:val="0"/>
          <w:sz w:val="20"/>
          <w:rtl/>
        </w:rPr>
        <w:t>(</w:t>
      </w:r>
      <w:r w:rsidR="004E0A37" w:rsidRPr="002E2361">
        <w:rPr>
          <w:spacing w:val="0"/>
          <w:kern w:val="0"/>
          <w:sz w:val="20"/>
          <w:rtl/>
        </w:rPr>
        <w:t>6</w:t>
      </w:r>
      <w:r w:rsidR="003E72B5" w:rsidRPr="002E2361">
        <w:rPr>
          <w:spacing w:val="0"/>
          <w:kern w:val="0"/>
          <w:sz w:val="20"/>
          <w:rtl/>
        </w:rPr>
        <w:t>)</w:t>
      </w:r>
      <w:r w:rsidR="003E72B5" w:rsidRPr="002E2361">
        <w:rPr>
          <w:spacing w:val="0"/>
          <w:kern w:val="0"/>
          <w:sz w:val="20"/>
          <w:rtl/>
        </w:rPr>
        <w:tab/>
      </w:r>
      <w:r w:rsidR="004E0A37" w:rsidRPr="002E2361">
        <w:rPr>
          <w:spacing w:val="0"/>
          <w:kern w:val="0"/>
          <w:sz w:val="20"/>
          <w:rtl/>
        </w:rPr>
        <w:t xml:space="preserve">وتعرب اللجنة عن قلقها إزاء بعض الأحكام </w:t>
      </w:r>
      <w:r w:rsidR="004E0A37" w:rsidRPr="002E2361">
        <w:rPr>
          <w:rFonts w:hint="cs"/>
          <w:spacing w:val="0"/>
          <w:kern w:val="0"/>
          <w:sz w:val="20"/>
          <w:rtl/>
        </w:rPr>
        <w:t xml:space="preserve">الواردة في </w:t>
      </w:r>
      <w:r w:rsidR="004E0A37" w:rsidRPr="002E2361">
        <w:rPr>
          <w:spacing w:val="0"/>
          <w:kern w:val="0"/>
          <w:sz w:val="20"/>
          <w:rtl/>
        </w:rPr>
        <w:t xml:space="preserve">الإطار القانوني الحالي المتعلق بالتعذيب، لا سيما إمكانية </w:t>
      </w:r>
      <w:r w:rsidR="004E0A37" w:rsidRPr="002E2361">
        <w:rPr>
          <w:rFonts w:hint="cs"/>
          <w:spacing w:val="0"/>
          <w:kern w:val="0"/>
          <w:sz w:val="20"/>
          <w:rtl/>
        </w:rPr>
        <w:t xml:space="preserve">منح </w:t>
      </w:r>
      <w:r w:rsidR="004E0A37" w:rsidRPr="002E2361">
        <w:rPr>
          <w:spacing w:val="0"/>
          <w:kern w:val="0"/>
          <w:sz w:val="20"/>
          <w:rtl/>
        </w:rPr>
        <w:t xml:space="preserve">العفو </w:t>
      </w:r>
      <w:r w:rsidR="004E0A37" w:rsidRPr="002E2361">
        <w:rPr>
          <w:rFonts w:hint="cs"/>
          <w:spacing w:val="0"/>
          <w:kern w:val="0"/>
          <w:sz w:val="20"/>
          <w:rtl/>
        </w:rPr>
        <w:t xml:space="preserve">العام </w:t>
      </w:r>
      <w:r w:rsidR="004E0A37" w:rsidRPr="002E2361">
        <w:rPr>
          <w:spacing w:val="0"/>
          <w:kern w:val="0"/>
          <w:sz w:val="20"/>
          <w:rtl/>
        </w:rPr>
        <w:t xml:space="preserve">لمرتكبي التعذيب </w:t>
      </w:r>
      <w:r w:rsidR="004E0A37" w:rsidRPr="002E2361">
        <w:rPr>
          <w:rFonts w:hint="cs"/>
          <w:spacing w:val="0"/>
          <w:kern w:val="0"/>
          <w:sz w:val="20"/>
          <w:rtl/>
        </w:rPr>
        <w:t>والصفح عن بعضهم وإزاء</w:t>
      </w:r>
      <w:r w:rsidR="004E0A37" w:rsidRPr="002E2361">
        <w:rPr>
          <w:rFonts w:hint="eastAsia"/>
          <w:spacing w:val="0"/>
          <w:kern w:val="0"/>
          <w:sz w:val="20"/>
          <w:rtl/>
        </w:rPr>
        <w:t> </w:t>
      </w:r>
      <w:r w:rsidR="004E0A37" w:rsidRPr="002E2361">
        <w:rPr>
          <w:rFonts w:hint="cs"/>
          <w:spacing w:val="0"/>
          <w:kern w:val="0"/>
          <w:sz w:val="20"/>
          <w:rtl/>
        </w:rPr>
        <w:t>غياب أي أحكام محدّدة ت</w:t>
      </w:r>
      <w:r w:rsidR="004E0A37" w:rsidRPr="002E2361">
        <w:rPr>
          <w:spacing w:val="0"/>
          <w:kern w:val="0"/>
          <w:sz w:val="20"/>
          <w:rtl/>
        </w:rPr>
        <w:t>نص بصورة واضحة على عدم جواز الاعتداد بأمر صادر عن</w:t>
      </w:r>
      <w:r w:rsidR="004E0A37" w:rsidRPr="002E2361">
        <w:rPr>
          <w:rFonts w:hint="cs"/>
          <w:spacing w:val="0"/>
          <w:kern w:val="0"/>
          <w:sz w:val="20"/>
          <w:rtl/>
        </w:rPr>
        <w:t> </w:t>
      </w:r>
      <w:r w:rsidR="004E0A37" w:rsidRPr="002E2361">
        <w:rPr>
          <w:spacing w:val="0"/>
          <w:kern w:val="0"/>
          <w:sz w:val="20"/>
          <w:rtl/>
        </w:rPr>
        <w:t>موظف أعلى رتبة أو عن سلطة عمومية لتبرير التعذيب، وغياب آلية محددة لحماية المرؤوسين الذين يرفضون الانصياع للأوامر الصادرة بتعذيب شخص موجود تحت حراستهم (المادتان 2 و7)</w:t>
      </w:r>
      <w:r w:rsidR="004E0A37" w:rsidRPr="002E2361">
        <w:rPr>
          <w:rFonts w:hint="cs"/>
          <w:spacing w:val="0"/>
          <w:kern w:val="0"/>
          <w:sz w:val="20"/>
          <w:rtl/>
        </w:rPr>
        <w:t>.</w:t>
      </w:r>
    </w:p>
    <w:p w:rsidR="004E0A37" w:rsidRPr="002E2361" w:rsidRDefault="004E0A37" w:rsidP="004E0A37">
      <w:pPr>
        <w:pStyle w:val="SingleTxtGA"/>
        <w:jc w:val="lowKashida"/>
        <w:rPr>
          <w:b/>
          <w:bCs/>
          <w:spacing w:val="0"/>
          <w:kern w:val="0"/>
          <w:sz w:val="20"/>
          <w:rtl/>
        </w:rPr>
      </w:pPr>
      <w:r w:rsidRPr="002E2361">
        <w:rPr>
          <w:rFonts w:hint="cs"/>
          <w:b/>
          <w:bCs/>
          <w:spacing w:val="0"/>
          <w:kern w:val="0"/>
          <w:sz w:val="20"/>
          <w:rtl/>
        </w:rPr>
        <w:tab/>
      </w:r>
      <w:r w:rsidRPr="002E2361">
        <w:rPr>
          <w:b/>
          <w:bCs/>
          <w:spacing w:val="0"/>
          <w:kern w:val="0"/>
          <w:sz w:val="20"/>
          <w:rtl/>
        </w:rPr>
        <w:t xml:space="preserve">ينبغي أن تكفل الدولة الطرف </w:t>
      </w:r>
      <w:r w:rsidRPr="002E2361">
        <w:rPr>
          <w:rFonts w:hint="cs"/>
          <w:b/>
          <w:bCs/>
          <w:spacing w:val="0"/>
          <w:kern w:val="0"/>
          <w:sz w:val="20"/>
          <w:rtl/>
        </w:rPr>
        <w:t>أن ينصّ</w:t>
      </w:r>
      <w:r w:rsidRPr="002E2361">
        <w:rPr>
          <w:b/>
          <w:bCs/>
          <w:spacing w:val="0"/>
          <w:kern w:val="0"/>
          <w:sz w:val="20"/>
          <w:rtl/>
        </w:rPr>
        <w:t xml:space="preserve"> إطارها القانوني </w:t>
      </w:r>
      <w:r w:rsidRPr="002E2361">
        <w:rPr>
          <w:rFonts w:hint="cs"/>
          <w:b/>
          <w:bCs/>
          <w:spacing w:val="0"/>
          <w:kern w:val="0"/>
          <w:sz w:val="20"/>
          <w:rtl/>
        </w:rPr>
        <w:t xml:space="preserve">على </w:t>
      </w:r>
      <w:r w:rsidRPr="002E2361">
        <w:rPr>
          <w:b/>
          <w:bCs/>
          <w:spacing w:val="0"/>
          <w:kern w:val="0"/>
          <w:sz w:val="20"/>
          <w:rtl/>
        </w:rPr>
        <w:t xml:space="preserve">حظر أي عفو </w:t>
      </w:r>
      <w:r w:rsidRPr="002E2361">
        <w:rPr>
          <w:rFonts w:hint="cs"/>
          <w:b/>
          <w:bCs/>
          <w:spacing w:val="0"/>
          <w:kern w:val="0"/>
          <w:sz w:val="20"/>
          <w:rtl/>
        </w:rPr>
        <w:t xml:space="preserve">عام </w:t>
      </w:r>
      <w:r w:rsidRPr="002E2361">
        <w:rPr>
          <w:b/>
          <w:bCs/>
          <w:spacing w:val="0"/>
          <w:kern w:val="0"/>
          <w:sz w:val="20"/>
          <w:rtl/>
        </w:rPr>
        <w:t xml:space="preserve">محتمل </w:t>
      </w:r>
      <w:r w:rsidRPr="002E2361">
        <w:rPr>
          <w:rFonts w:hint="cs"/>
          <w:b/>
          <w:bCs/>
          <w:spacing w:val="0"/>
          <w:kern w:val="0"/>
          <w:sz w:val="20"/>
          <w:rtl/>
        </w:rPr>
        <w:t xml:space="preserve">عن </w:t>
      </w:r>
      <w:r w:rsidRPr="002E2361">
        <w:rPr>
          <w:b/>
          <w:bCs/>
          <w:spacing w:val="0"/>
          <w:kern w:val="0"/>
          <w:sz w:val="20"/>
          <w:rtl/>
        </w:rPr>
        <w:t xml:space="preserve">جرائم التعذيب وحظر أي عفو ينتهك الاتفاقية. وينبغي أيضاً أن تعدّل تشريعاتها لتكرس صراحة عدم جواز الاعتداد بأمر موظف أعلى رتبة أو سلطة عمومية لتبرير التعذيب. </w:t>
      </w:r>
      <w:r w:rsidRPr="002E2361">
        <w:rPr>
          <w:rFonts w:hint="cs"/>
          <w:b/>
          <w:bCs/>
          <w:spacing w:val="0"/>
          <w:kern w:val="0"/>
          <w:sz w:val="20"/>
          <w:rtl/>
        </w:rPr>
        <w:t>و</w:t>
      </w:r>
      <w:r w:rsidRPr="002E2361">
        <w:rPr>
          <w:b/>
          <w:bCs/>
          <w:spacing w:val="0"/>
          <w:kern w:val="0"/>
          <w:sz w:val="20"/>
          <w:rtl/>
        </w:rPr>
        <w:t>ينبغي للدولة الطرف أن تنشئ آلية تهدف إلى حماية المرؤوسين الذين يرفضون الانصياع لمثل هذ</w:t>
      </w:r>
      <w:r w:rsidRPr="002E2361">
        <w:rPr>
          <w:rFonts w:hint="cs"/>
          <w:b/>
          <w:bCs/>
          <w:spacing w:val="0"/>
          <w:kern w:val="0"/>
          <w:sz w:val="20"/>
          <w:rtl/>
        </w:rPr>
        <w:t>ا</w:t>
      </w:r>
      <w:r w:rsidRPr="002E2361">
        <w:rPr>
          <w:b/>
          <w:bCs/>
          <w:spacing w:val="0"/>
          <w:kern w:val="0"/>
          <w:sz w:val="20"/>
          <w:rtl/>
        </w:rPr>
        <w:t xml:space="preserve"> الأمر. وينبغي لها</w:t>
      </w:r>
      <w:r w:rsidRPr="002E2361">
        <w:rPr>
          <w:rFonts w:hint="cs"/>
          <w:b/>
          <w:bCs/>
          <w:spacing w:val="0"/>
          <w:kern w:val="0"/>
          <w:sz w:val="20"/>
          <w:rtl/>
        </w:rPr>
        <w:t>،</w:t>
      </w:r>
      <w:r w:rsidRPr="002E2361">
        <w:rPr>
          <w:b/>
          <w:bCs/>
          <w:spacing w:val="0"/>
          <w:kern w:val="0"/>
          <w:sz w:val="20"/>
          <w:rtl/>
        </w:rPr>
        <w:t xml:space="preserve"> بالإضافة إلى ذلك</w:t>
      </w:r>
      <w:r w:rsidRPr="002E2361">
        <w:rPr>
          <w:rFonts w:hint="cs"/>
          <w:b/>
          <w:bCs/>
          <w:spacing w:val="0"/>
          <w:kern w:val="0"/>
          <w:sz w:val="20"/>
          <w:rtl/>
        </w:rPr>
        <w:t>،</w:t>
      </w:r>
      <w:r w:rsidRPr="002E2361">
        <w:rPr>
          <w:b/>
          <w:bCs/>
          <w:spacing w:val="0"/>
          <w:kern w:val="0"/>
          <w:sz w:val="20"/>
          <w:rtl/>
        </w:rPr>
        <w:t xml:space="preserve"> أن تنشر حظر الانصياع لمثل هذ</w:t>
      </w:r>
      <w:r w:rsidRPr="002E2361">
        <w:rPr>
          <w:rFonts w:hint="cs"/>
          <w:b/>
          <w:bCs/>
          <w:spacing w:val="0"/>
          <w:kern w:val="0"/>
          <w:sz w:val="20"/>
          <w:rtl/>
        </w:rPr>
        <w:t>ا</w:t>
      </w:r>
      <w:r w:rsidRPr="002E2361">
        <w:rPr>
          <w:b/>
          <w:bCs/>
          <w:spacing w:val="0"/>
          <w:kern w:val="0"/>
          <w:sz w:val="20"/>
          <w:rtl/>
        </w:rPr>
        <w:t xml:space="preserve"> الأمر وآليات الحماية المتصلة به على نطاق واسع في أوساط جميع قوات إنفاذ القانون.</w:t>
      </w:r>
    </w:p>
    <w:p w:rsidR="004E0A37" w:rsidRPr="002E2361" w:rsidRDefault="004E0A37" w:rsidP="00B5100A">
      <w:pPr>
        <w:pStyle w:val="H23GA"/>
        <w:rPr>
          <w:spacing w:val="0"/>
          <w:kern w:val="0"/>
          <w:rtl/>
          <w:lang/>
        </w:rPr>
      </w:pPr>
      <w:r w:rsidRPr="002E2361">
        <w:rPr>
          <w:rFonts w:hint="cs"/>
          <w:spacing w:val="0"/>
          <w:kern w:val="0"/>
          <w:rtl/>
          <w:lang/>
        </w:rPr>
        <w:tab/>
      </w:r>
      <w:r w:rsidRPr="002E2361">
        <w:rPr>
          <w:rFonts w:hint="cs"/>
          <w:spacing w:val="0"/>
          <w:kern w:val="0"/>
          <w:rtl/>
          <w:lang/>
        </w:rPr>
        <w:tab/>
      </w:r>
      <w:r w:rsidRPr="002E2361">
        <w:rPr>
          <w:spacing w:val="0"/>
          <w:kern w:val="0"/>
          <w:rtl/>
          <w:lang/>
        </w:rPr>
        <w:t>الضمانات القانونية الأساسية</w:t>
      </w:r>
    </w:p>
    <w:p w:rsidR="004E0A37" w:rsidRPr="002E2361" w:rsidRDefault="0033301A" w:rsidP="004E0A37">
      <w:pPr>
        <w:pStyle w:val="SingleTxtGA"/>
        <w:jc w:val="lowKashida"/>
        <w:rPr>
          <w:rFonts w:hint="cs"/>
          <w:spacing w:val="0"/>
          <w:kern w:val="0"/>
          <w:sz w:val="20"/>
          <w:rtl/>
        </w:rPr>
      </w:pPr>
      <w:r w:rsidRPr="002E2361">
        <w:rPr>
          <w:rFonts w:hint="cs"/>
          <w:spacing w:val="0"/>
          <w:kern w:val="0"/>
          <w:sz w:val="20"/>
          <w:rtl/>
        </w:rPr>
        <w:t>(</w:t>
      </w:r>
      <w:r w:rsidR="004E0A37" w:rsidRPr="002E2361">
        <w:rPr>
          <w:spacing w:val="0"/>
          <w:kern w:val="0"/>
          <w:sz w:val="20"/>
          <w:rtl/>
        </w:rPr>
        <w:t>7</w:t>
      </w:r>
      <w:r w:rsidR="003E72B5" w:rsidRPr="002E2361">
        <w:rPr>
          <w:spacing w:val="0"/>
          <w:kern w:val="0"/>
          <w:sz w:val="20"/>
          <w:rtl/>
        </w:rPr>
        <w:t>)</w:t>
      </w:r>
      <w:r w:rsidR="003E72B5" w:rsidRPr="002E2361">
        <w:rPr>
          <w:spacing w:val="0"/>
          <w:kern w:val="0"/>
          <w:sz w:val="20"/>
          <w:rtl/>
        </w:rPr>
        <w:tab/>
      </w:r>
      <w:r w:rsidR="004E0A37" w:rsidRPr="002E2361">
        <w:rPr>
          <w:spacing w:val="0"/>
          <w:kern w:val="0"/>
          <w:sz w:val="20"/>
          <w:rtl/>
        </w:rPr>
        <w:t>تلاحظ اللجنة أن القانون الوضعي المغربي يكرس العديد من الضمانات الأساسية لصالح المحتجزين من أجل منع حدوث أعمال التعذيب</w:t>
      </w:r>
      <w:r w:rsidR="004E0A37" w:rsidRPr="002E2361">
        <w:rPr>
          <w:rFonts w:hint="cs"/>
          <w:spacing w:val="0"/>
          <w:kern w:val="0"/>
          <w:sz w:val="20"/>
          <w:rtl/>
        </w:rPr>
        <w:t xml:space="preserve"> وتحيط</w:t>
      </w:r>
      <w:r w:rsidR="003833F8" w:rsidRPr="002E2361">
        <w:rPr>
          <w:rFonts w:hint="cs"/>
          <w:spacing w:val="0"/>
          <w:kern w:val="0"/>
          <w:sz w:val="20"/>
          <w:rtl/>
        </w:rPr>
        <w:t xml:space="preserve"> علماً </w:t>
      </w:r>
      <w:r w:rsidR="004E0A37" w:rsidRPr="002E2361">
        <w:rPr>
          <w:rFonts w:hint="cs"/>
          <w:spacing w:val="0"/>
          <w:kern w:val="0"/>
          <w:sz w:val="20"/>
          <w:rtl/>
        </w:rPr>
        <w:t xml:space="preserve">أيضاً </w:t>
      </w:r>
      <w:r w:rsidR="004E0A37" w:rsidRPr="002E2361">
        <w:rPr>
          <w:spacing w:val="0"/>
          <w:kern w:val="0"/>
          <w:sz w:val="20"/>
          <w:rtl/>
        </w:rPr>
        <w:t xml:space="preserve">بمشاريع الإصلاحات التشريعية التي تحتوي </w:t>
      </w:r>
      <w:r w:rsidR="004E0A37" w:rsidRPr="002E2361">
        <w:rPr>
          <w:rFonts w:hint="cs"/>
          <w:spacing w:val="0"/>
          <w:kern w:val="0"/>
          <w:sz w:val="20"/>
          <w:rtl/>
        </w:rPr>
        <w:t xml:space="preserve">جملة من المقترحات المهمّة منها تمكين الموقوف من الوصول على وجه السرعة إلى محامٍ </w:t>
      </w:r>
      <w:r w:rsidR="004E0A37" w:rsidRPr="002E2361">
        <w:rPr>
          <w:spacing w:val="0"/>
          <w:kern w:val="0"/>
          <w:sz w:val="20"/>
          <w:rtl/>
        </w:rPr>
        <w:t xml:space="preserve">أثناء </w:t>
      </w:r>
      <w:r w:rsidR="004E0A37" w:rsidRPr="002E2361">
        <w:rPr>
          <w:rFonts w:hint="cs"/>
          <w:spacing w:val="0"/>
          <w:kern w:val="0"/>
          <w:sz w:val="20"/>
          <w:rtl/>
        </w:rPr>
        <w:t xml:space="preserve">الحبس الاحتياطي. </w:t>
      </w:r>
      <w:r w:rsidR="004E0A37" w:rsidRPr="002E2361">
        <w:rPr>
          <w:spacing w:val="0"/>
          <w:kern w:val="0"/>
          <w:sz w:val="20"/>
          <w:rtl/>
        </w:rPr>
        <w:t xml:space="preserve">ومع ذلك، </w:t>
      </w:r>
      <w:r w:rsidR="004E0A37" w:rsidRPr="002E2361">
        <w:rPr>
          <w:rFonts w:hint="cs"/>
          <w:spacing w:val="0"/>
          <w:kern w:val="0"/>
          <w:sz w:val="20"/>
          <w:rtl/>
        </w:rPr>
        <w:t xml:space="preserve">فإنّها </w:t>
      </w:r>
      <w:r w:rsidR="004E0A37" w:rsidRPr="002E2361">
        <w:rPr>
          <w:spacing w:val="0"/>
          <w:kern w:val="0"/>
          <w:sz w:val="20"/>
          <w:rtl/>
        </w:rPr>
        <w:t xml:space="preserve">تظل قلقة إزاء القيود المفروضة على ممارسة بعض هذه الضمانات الأساسية، سواء في القانون الوضعي الحالي أو في الممارسة. وتشعر اللجنة بالقلق بصفة خاصة </w:t>
      </w:r>
      <w:r w:rsidR="004E0A37" w:rsidRPr="002E2361">
        <w:rPr>
          <w:rFonts w:hint="cs"/>
          <w:spacing w:val="0"/>
          <w:kern w:val="0"/>
          <w:sz w:val="20"/>
          <w:rtl/>
        </w:rPr>
        <w:t xml:space="preserve">لعدم استطاعة </w:t>
      </w:r>
      <w:r w:rsidR="004E0A37" w:rsidRPr="002E2361">
        <w:rPr>
          <w:spacing w:val="0"/>
          <w:kern w:val="0"/>
          <w:sz w:val="20"/>
          <w:rtl/>
        </w:rPr>
        <w:t>المحامي</w:t>
      </w:r>
      <w:r w:rsidR="004E0A37" w:rsidRPr="002E2361">
        <w:rPr>
          <w:rFonts w:hint="cs"/>
          <w:spacing w:val="0"/>
          <w:kern w:val="0"/>
          <w:sz w:val="20"/>
          <w:rtl/>
        </w:rPr>
        <w:t xml:space="preserve">، </w:t>
      </w:r>
      <w:r w:rsidR="004E0A37" w:rsidRPr="002E2361">
        <w:rPr>
          <w:spacing w:val="0"/>
          <w:kern w:val="0"/>
          <w:sz w:val="20"/>
          <w:rtl/>
        </w:rPr>
        <w:t>في الوقت الراهن</w:t>
      </w:r>
      <w:r w:rsidR="004E0A37" w:rsidRPr="002E2361">
        <w:rPr>
          <w:rFonts w:hint="cs"/>
          <w:spacing w:val="0"/>
          <w:kern w:val="0"/>
          <w:sz w:val="20"/>
          <w:rtl/>
        </w:rPr>
        <w:t>،</w:t>
      </w:r>
      <w:r w:rsidR="004E0A37" w:rsidRPr="002E2361">
        <w:rPr>
          <w:spacing w:val="0"/>
          <w:kern w:val="0"/>
          <w:sz w:val="20"/>
          <w:rtl/>
        </w:rPr>
        <w:t xml:space="preserve"> مقابلة موكله إلا في الساعة الأولى من فترة تمديد </w:t>
      </w:r>
      <w:r w:rsidR="004E0A37" w:rsidRPr="002E2361">
        <w:rPr>
          <w:rFonts w:hint="cs"/>
          <w:spacing w:val="0"/>
          <w:kern w:val="0"/>
          <w:sz w:val="20"/>
          <w:rtl/>
        </w:rPr>
        <w:t>الحبس الاحتياطي لا قبل ذلك وذلك</w:t>
      </w:r>
      <w:r w:rsidR="004E0A37" w:rsidRPr="002E2361">
        <w:rPr>
          <w:spacing w:val="0"/>
          <w:kern w:val="0"/>
          <w:sz w:val="20"/>
          <w:rtl/>
        </w:rPr>
        <w:t xml:space="preserve">، شريطة أن يحصل على موافقة الوكيل العام للملك. وتشعر أيضاً بالقلق من أن الاستفادة التلقائية من خدمات المساعدة القانونية </w:t>
      </w:r>
      <w:r w:rsidR="004E0A37" w:rsidRPr="002E2361">
        <w:rPr>
          <w:rFonts w:hint="cs"/>
          <w:spacing w:val="0"/>
          <w:kern w:val="0"/>
          <w:sz w:val="20"/>
          <w:rtl/>
        </w:rPr>
        <w:t>غير ممكنة</w:t>
      </w:r>
      <w:r w:rsidR="004E0A37" w:rsidRPr="002E2361">
        <w:rPr>
          <w:spacing w:val="0"/>
          <w:kern w:val="0"/>
          <w:sz w:val="20"/>
          <w:rtl/>
        </w:rPr>
        <w:t xml:space="preserve"> إلا للق</w:t>
      </w:r>
      <w:r w:rsidR="004E0A37" w:rsidRPr="002E2361">
        <w:rPr>
          <w:rFonts w:hint="cs"/>
          <w:spacing w:val="0"/>
          <w:kern w:val="0"/>
          <w:sz w:val="20"/>
          <w:rtl/>
        </w:rPr>
        <w:t>صّر</w:t>
      </w:r>
      <w:r w:rsidR="004E0A37" w:rsidRPr="002E2361">
        <w:rPr>
          <w:spacing w:val="0"/>
          <w:kern w:val="0"/>
          <w:sz w:val="20"/>
          <w:rtl/>
        </w:rPr>
        <w:t xml:space="preserve"> والأشخاص المعرضين لعقوبة سجن تتجاوز مدتها خمس سنوات. وتأسف اللجنة </w:t>
      </w:r>
      <w:r w:rsidR="004E0A37" w:rsidRPr="002E2361">
        <w:rPr>
          <w:rFonts w:hint="cs"/>
          <w:spacing w:val="0"/>
          <w:kern w:val="0"/>
          <w:sz w:val="20"/>
          <w:rtl/>
        </w:rPr>
        <w:t>ل</w:t>
      </w:r>
      <w:r w:rsidR="004E0A37" w:rsidRPr="002E2361">
        <w:rPr>
          <w:spacing w:val="0"/>
          <w:kern w:val="0"/>
          <w:sz w:val="20"/>
          <w:rtl/>
        </w:rPr>
        <w:t xml:space="preserve">قلة المعلومات المتعلقة </w:t>
      </w:r>
      <w:r w:rsidR="004E0A37" w:rsidRPr="002E2361">
        <w:rPr>
          <w:rFonts w:hint="cs"/>
          <w:spacing w:val="0"/>
          <w:kern w:val="0"/>
          <w:sz w:val="20"/>
          <w:rtl/>
        </w:rPr>
        <w:t>ب</w:t>
      </w:r>
      <w:r w:rsidR="004E0A37" w:rsidRPr="002E2361">
        <w:rPr>
          <w:spacing w:val="0"/>
          <w:kern w:val="0"/>
          <w:sz w:val="20"/>
          <w:rtl/>
        </w:rPr>
        <w:t xml:space="preserve">التنفيذ العملي للضمانات الأساسية الأخرى مثل </w:t>
      </w:r>
      <w:r w:rsidR="004E0A37" w:rsidRPr="002E2361">
        <w:rPr>
          <w:rFonts w:hint="cs"/>
          <w:spacing w:val="0"/>
          <w:kern w:val="0"/>
          <w:sz w:val="20"/>
          <w:rtl/>
        </w:rPr>
        <w:t xml:space="preserve">زيارة طبيب </w:t>
      </w:r>
      <w:r w:rsidR="004E0A37" w:rsidRPr="002E2361">
        <w:rPr>
          <w:spacing w:val="0"/>
          <w:kern w:val="0"/>
          <w:sz w:val="20"/>
          <w:rtl/>
        </w:rPr>
        <w:t>مستقل وإ</w:t>
      </w:r>
      <w:r w:rsidR="004E0A37" w:rsidRPr="002E2361">
        <w:rPr>
          <w:rFonts w:hint="cs"/>
          <w:spacing w:val="0"/>
          <w:kern w:val="0"/>
          <w:sz w:val="20"/>
          <w:rtl/>
        </w:rPr>
        <w:t>خطار</w:t>
      </w:r>
      <w:r w:rsidR="004E0A37" w:rsidRPr="002E2361">
        <w:rPr>
          <w:spacing w:val="0"/>
          <w:kern w:val="0"/>
          <w:sz w:val="20"/>
          <w:rtl/>
        </w:rPr>
        <w:t xml:space="preserve"> الأسرة (المادتان 2 و11)</w:t>
      </w:r>
      <w:r w:rsidR="004E0A37" w:rsidRPr="002E2361">
        <w:rPr>
          <w:rFonts w:hint="cs"/>
          <w:spacing w:val="0"/>
          <w:kern w:val="0"/>
          <w:sz w:val="20"/>
          <w:rtl/>
        </w:rPr>
        <w:t>.</w:t>
      </w:r>
    </w:p>
    <w:p w:rsidR="004E0A37" w:rsidRPr="00D24633" w:rsidRDefault="004E0A37" w:rsidP="004E0A37">
      <w:pPr>
        <w:pStyle w:val="SingleTxtGA"/>
        <w:jc w:val="lowKashida"/>
        <w:rPr>
          <w:b/>
          <w:bCs/>
          <w:spacing w:val="0"/>
          <w:sz w:val="20"/>
          <w:rtl/>
        </w:rPr>
      </w:pPr>
      <w:r w:rsidRPr="002E2361">
        <w:rPr>
          <w:rFonts w:hint="cs"/>
          <w:b/>
          <w:bCs/>
          <w:spacing w:val="0"/>
          <w:kern w:val="0"/>
          <w:sz w:val="20"/>
          <w:rtl/>
        </w:rPr>
        <w:tab/>
      </w:r>
      <w:r w:rsidRPr="002E2361">
        <w:rPr>
          <w:b/>
          <w:bCs/>
          <w:spacing w:val="0"/>
          <w:kern w:val="0"/>
          <w:sz w:val="20"/>
          <w:rtl/>
        </w:rPr>
        <w:t>ينبغي أن تحرص الدولة الطرف على أن تضمن مشاريع القوانين قيد البحث</w:t>
      </w:r>
      <w:r w:rsidR="003549AC" w:rsidRPr="002E2361">
        <w:rPr>
          <w:b/>
          <w:bCs/>
          <w:spacing w:val="0"/>
          <w:kern w:val="0"/>
          <w:sz w:val="20"/>
          <w:rtl/>
        </w:rPr>
        <w:t xml:space="preserve"> حالياً </w:t>
      </w:r>
      <w:r w:rsidRPr="002E2361">
        <w:rPr>
          <w:b/>
          <w:bCs/>
          <w:spacing w:val="0"/>
          <w:kern w:val="0"/>
          <w:sz w:val="20"/>
          <w:rtl/>
        </w:rPr>
        <w:t xml:space="preserve">لكل مشتبه فيه الحق في الاستفادة عملياً من الضمانات الأساسية التي ينص عليها القانون </w:t>
      </w:r>
      <w:r w:rsidRPr="002E2361">
        <w:rPr>
          <w:rFonts w:hint="cs"/>
          <w:b/>
          <w:bCs/>
          <w:spacing w:val="0"/>
          <w:kern w:val="0"/>
          <w:sz w:val="20"/>
          <w:rtl/>
        </w:rPr>
        <w:t xml:space="preserve">والتي تشمل الحق في </w:t>
      </w:r>
      <w:r w:rsidRPr="002E2361">
        <w:rPr>
          <w:b/>
          <w:bCs/>
          <w:spacing w:val="0"/>
          <w:kern w:val="0"/>
          <w:sz w:val="20"/>
          <w:rtl/>
        </w:rPr>
        <w:t xml:space="preserve">الوصول إلى محام لحظة إيقافه، وفي أن </w:t>
      </w:r>
      <w:r w:rsidRPr="002E2361">
        <w:rPr>
          <w:rFonts w:hint="cs"/>
          <w:b/>
          <w:bCs/>
          <w:spacing w:val="0"/>
          <w:kern w:val="0"/>
          <w:sz w:val="20"/>
          <w:rtl/>
        </w:rPr>
        <w:t xml:space="preserve">يتولى </w:t>
      </w:r>
      <w:r w:rsidRPr="002E2361">
        <w:rPr>
          <w:b/>
          <w:bCs/>
          <w:spacing w:val="0"/>
          <w:kern w:val="0"/>
          <w:sz w:val="20"/>
          <w:rtl/>
        </w:rPr>
        <w:t>طبيب مستقل</w:t>
      </w:r>
      <w:r w:rsidRPr="002E2361">
        <w:rPr>
          <w:rFonts w:hint="cs"/>
          <w:b/>
          <w:bCs/>
          <w:spacing w:val="0"/>
          <w:kern w:val="0"/>
          <w:sz w:val="20"/>
          <w:rtl/>
        </w:rPr>
        <w:t xml:space="preserve"> فحصه</w:t>
      </w:r>
      <w:r w:rsidRPr="002E2361">
        <w:rPr>
          <w:b/>
          <w:bCs/>
          <w:spacing w:val="0"/>
          <w:kern w:val="0"/>
          <w:sz w:val="20"/>
          <w:rtl/>
        </w:rPr>
        <w:t>،</w:t>
      </w:r>
      <w:r w:rsidRPr="00D24633">
        <w:rPr>
          <w:b/>
          <w:bCs/>
          <w:spacing w:val="0"/>
          <w:sz w:val="20"/>
          <w:rtl/>
        </w:rPr>
        <w:t xml:space="preserve"> وفي أن يتمكن من الاتصال بأحد </w:t>
      </w:r>
      <w:r w:rsidRPr="00D24633">
        <w:rPr>
          <w:rFonts w:hint="cs"/>
          <w:b/>
          <w:bCs/>
          <w:spacing w:val="0"/>
          <w:sz w:val="20"/>
          <w:rtl/>
        </w:rPr>
        <w:t>أقاربه</w:t>
      </w:r>
      <w:r w:rsidRPr="00D24633">
        <w:rPr>
          <w:b/>
          <w:bCs/>
          <w:spacing w:val="0"/>
          <w:sz w:val="20"/>
          <w:rtl/>
        </w:rPr>
        <w:t>، وفي أن يطلع على حقوقه وعلى التهم الموجهة إليه كذلك، وفي أن ي</w:t>
      </w:r>
      <w:r w:rsidRPr="00D24633">
        <w:rPr>
          <w:rFonts w:hint="cs"/>
          <w:b/>
          <w:bCs/>
          <w:spacing w:val="0"/>
          <w:sz w:val="20"/>
          <w:rtl/>
        </w:rPr>
        <w:t>ُ</w:t>
      </w:r>
      <w:r w:rsidRPr="00D24633">
        <w:rPr>
          <w:b/>
          <w:bCs/>
          <w:spacing w:val="0"/>
          <w:sz w:val="20"/>
          <w:rtl/>
        </w:rPr>
        <w:t xml:space="preserve">عرض فوراً على قاض. وينبغي أن تتخذ الدولة الطرف خطوات لإتاحة الوصول إلى محام منذ بداية </w:t>
      </w:r>
      <w:r w:rsidRPr="00D24633">
        <w:rPr>
          <w:rFonts w:hint="cs"/>
          <w:b/>
          <w:bCs/>
          <w:spacing w:val="0"/>
          <w:sz w:val="20"/>
          <w:rtl/>
        </w:rPr>
        <w:t xml:space="preserve">الحبس الاحتياطي </w:t>
      </w:r>
      <w:r w:rsidRPr="00D24633">
        <w:rPr>
          <w:b/>
          <w:bCs/>
          <w:spacing w:val="0"/>
          <w:sz w:val="20"/>
          <w:rtl/>
        </w:rPr>
        <w:t xml:space="preserve">دون </w:t>
      </w:r>
      <w:r w:rsidRPr="00D24633">
        <w:rPr>
          <w:rFonts w:hint="cs"/>
          <w:b/>
          <w:bCs/>
          <w:spacing w:val="0"/>
          <w:sz w:val="20"/>
          <w:rtl/>
        </w:rPr>
        <w:t xml:space="preserve">إذن </w:t>
      </w:r>
      <w:r w:rsidRPr="00D24633">
        <w:rPr>
          <w:b/>
          <w:bCs/>
          <w:spacing w:val="0"/>
          <w:sz w:val="20"/>
          <w:rtl/>
        </w:rPr>
        <w:t>مسبق، وأن تنشئ نظاماً فعلياً للمساعدة القانونية المجانية، يستفيد منه بصفة خاصة الأشخاص المعرضون للخطر أو</w:t>
      </w:r>
      <w:r w:rsidRPr="00D24633">
        <w:rPr>
          <w:rFonts w:hint="cs"/>
          <w:b/>
          <w:bCs/>
          <w:spacing w:val="0"/>
          <w:sz w:val="20"/>
          <w:rtl/>
        </w:rPr>
        <w:t> </w:t>
      </w:r>
      <w:r w:rsidRPr="00D24633">
        <w:rPr>
          <w:b/>
          <w:bCs/>
          <w:spacing w:val="0"/>
          <w:sz w:val="20"/>
          <w:rtl/>
        </w:rPr>
        <w:t xml:space="preserve">المنتمون إلى فئات ضعيفة. </w:t>
      </w:r>
    </w:p>
    <w:p w:rsidR="004E0A37" w:rsidRPr="004E0A37" w:rsidRDefault="004E0A37" w:rsidP="00B5100A">
      <w:pPr>
        <w:pStyle w:val="H23GA"/>
        <w:rPr>
          <w:rtl/>
          <w:lang/>
        </w:rPr>
      </w:pPr>
      <w:r w:rsidRPr="004E0A37">
        <w:rPr>
          <w:rFonts w:hint="cs"/>
          <w:rtl/>
          <w:lang/>
        </w:rPr>
        <w:tab/>
      </w:r>
      <w:r w:rsidRPr="004E0A37">
        <w:rPr>
          <w:rFonts w:hint="cs"/>
          <w:rtl/>
          <w:lang/>
        </w:rPr>
        <w:tab/>
      </w:r>
      <w:r w:rsidRPr="004E0A37">
        <w:rPr>
          <w:rtl/>
          <w:lang/>
        </w:rPr>
        <w:t>قانون مكافحة الإرهاب</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8</w:t>
      </w:r>
      <w:r w:rsidR="003E72B5">
        <w:rPr>
          <w:spacing w:val="0"/>
          <w:sz w:val="20"/>
          <w:rtl/>
        </w:rPr>
        <w:t>)</w:t>
      </w:r>
      <w:r w:rsidR="003E72B5">
        <w:rPr>
          <w:spacing w:val="0"/>
          <w:sz w:val="20"/>
          <w:rtl/>
        </w:rPr>
        <w:tab/>
      </w:r>
      <w:r w:rsidR="004E0A37" w:rsidRPr="004E0A37">
        <w:rPr>
          <w:spacing w:val="0"/>
          <w:sz w:val="20"/>
          <w:rtl/>
        </w:rPr>
        <w:t>تلاحظ اللجنة بقلق أن القانون 03-03 لعام 2003 المتصل بمكافحة الإرهاب لا يتضمن تعريفاً دقيقاً للإرهاب،</w:t>
      </w:r>
      <w:r w:rsidR="004E0A37" w:rsidRPr="004E0A37">
        <w:rPr>
          <w:rFonts w:hint="cs"/>
          <w:spacing w:val="0"/>
          <w:sz w:val="20"/>
          <w:rtl/>
        </w:rPr>
        <w:t xml:space="preserve"> </w:t>
      </w:r>
      <w:r w:rsidR="004E0A37" w:rsidRPr="004E0A37">
        <w:rPr>
          <w:spacing w:val="0"/>
          <w:sz w:val="20"/>
          <w:rtl/>
        </w:rPr>
        <w:t xml:space="preserve">مع أن مبدأ قانونية الجرائم يستلزم هذا التعريف، وأنه يشمل جرائم </w:t>
      </w:r>
      <w:r w:rsidR="004E0A37" w:rsidRPr="004E0A37">
        <w:rPr>
          <w:rFonts w:hint="cs"/>
          <w:spacing w:val="0"/>
          <w:sz w:val="20"/>
          <w:rtl/>
        </w:rPr>
        <w:t xml:space="preserve">تمجيد </w:t>
      </w:r>
      <w:r w:rsidR="004E0A37" w:rsidRPr="004E0A37">
        <w:rPr>
          <w:spacing w:val="0"/>
          <w:sz w:val="20"/>
          <w:rtl/>
        </w:rPr>
        <w:t xml:space="preserve">الإرهاب والتحريض عليه، التي لا يُشترط لتوجيه تهم بها أن تقترن بخطر ملموس مرتبط بارتكاب أعمال عنف. وإضافة إلى ذلك، ينص هذا القانون على تمديد الفترة القانونية </w:t>
      </w:r>
      <w:r w:rsidR="004E0A37" w:rsidRPr="004E0A37">
        <w:rPr>
          <w:rFonts w:hint="cs"/>
          <w:spacing w:val="0"/>
          <w:sz w:val="20"/>
          <w:rtl/>
        </w:rPr>
        <w:t xml:space="preserve">للحبس الاحتياطي </w:t>
      </w:r>
      <w:r w:rsidR="004E0A37" w:rsidRPr="004E0A37">
        <w:rPr>
          <w:spacing w:val="0"/>
          <w:sz w:val="20"/>
          <w:rtl/>
        </w:rPr>
        <w:t>في قضايا الإرهاب إلى 12 يوماً، ولا يجيز الوصول إلى محام إلا</w:t>
      </w:r>
      <w:r w:rsidR="004E0A37" w:rsidRPr="004E0A37">
        <w:rPr>
          <w:rFonts w:hint="cs"/>
          <w:spacing w:val="0"/>
          <w:sz w:val="20"/>
          <w:rtl/>
        </w:rPr>
        <w:t> </w:t>
      </w:r>
      <w:r w:rsidR="004E0A37" w:rsidRPr="004E0A37">
        <w:rPr>
          <w:spacing w:val="0"/>
          <w:sz w:val="20"/>
          <w:rtl/>
        </w:rPr>
        <w:t>بعد ستة أيام، و</w:t>
      </w:r>
      <w:r w:rsidR="004E0A37" w:rsidRPr="004E0A37">
        <w:rPr>
          <w:rFonts w:hint="cs"/>
          <w:spacing w:val="0"/>
          <w:sz w:val="20"/>
          <w:rtl/>
        </w:rPr>
        <w:t xml:space="preserve">ذلك </w:t>
      </w:r>
      <w:r w:rsidR="004E0A37" w:rsidRPr="004E0A37">
        <w:rPr>
          <w:spacing w:val="0"/>
          <w:sz w:val="20"/>
          <w:rtl/>
        </w:rPr>
        <w:t xml:space="preserve">ما يزيد من خطر تعرض </w:t>
      </w:r>
      <w:r w:rsidR="004E0A37" w:rsidRPr="004E0A37">
        <w:rPr>
          <w:rFonts w:hint="cs"/>
          <w:spacing w:val="0"/>
          <w:sz w:val="20"/>
          <w:rtl/>
        </w:rPr>
        <w:t xml:space="preserve">المشتبه فيهم المحتجزين </w:t>
      </w:r>
      <w:r w:rsidR="004E0A37" w:rsidRPr="004E0A37">
        <w:rPr>
          <w:spacing w:val="0"/>
          <w:sz w:val="20"/>
          <w:rtl/>
        </w:rPr>
        <w:t xml:space="preserve">للتعذيب. </w:t>
      </w:r>
      <w:r w:rsidR="004E0A37" w:rsidRPr="004E0A37">
        <w:rPr>
          <w:rFonts w:hint="cs"/>
          <w:spacing w:val="0"/>
          <w:sz w:val="20"/>
          <w:rtl/>
        </w:rPr>
        <w:t xml:space="preserve">والحقيقة </w:t>
      </w:r>
      <w:r w:rsidR="004E0A37" w:rsidRPr="004E0A37">
        <w:rPr>
          <w:spacing w:val="0"/>
          <w:sz w:val="20"/>
          <w:rtl/>
        </w:rPr>
        <w:t xml:space="preserve">أن </w:t>
      </w:r>
      <w:r w:rsidR="004E0A37" w:rsidRPr="004E0A37">
        <w:rPr>
          <w:rFonts w:hint="cs"/>
          <w:spacing w:val="0"/>
          <w:sz w:val="20"/>
          <w:rtl/>
        </w:rPr>
        <w:t xml:space="preserve">المشتبه فيهم أكثر عرضةً لأن يُعذّبوا بالفعل </w:t>
      </w:r>
      <w:r w:rsidR="004E0A37" w:rsidRPr="004E0A37">
        <w:rPr>
          <w:spacing w:val="0"/>
          <w:sz w:val="20"/>
          <w:rtl/>
        </w:rPr>
        <w:t>خلال الفترات التي لا يمكنهم فيها الاتصال بعائلاتهم ومحاميهم (المادتان 2 و11)</w:t>
      </w:r>
      <w:r w:rsidR="004E0A37" w:rsidRPr="004E0A37">
        <w:rPr>
          <w:rFonts w:hint="cs"/>
          <w:spacing w:val="0"/>
          <w:sz w:val="20"/>
          <w:rtl/>
        </w:rPr>
        <w:t>.</w:t>
      </w:r>
    </w:p>
    <w:p w:rsidR="004E0A37" w:rsidRPr="00D24633" w:rsidRDefault="004E0A37" w:rsidP="004E0A37">
      <w:pPr>
        <w:pStyle w:val="SingleTxtGA"/>
        <w:jc w:val="lowKashida"/>
        <w:rPr>
          <w:b/>
          <w:bCs/>
          <w:spacing w:val="0"/>
          <w:sz w:val="20"/>
          <w:rtl/>
        </w:rPr>
      </w:pPr>
      <w:r w:rsidRPr="00D24633">
        <w:rPr>
          <w:rFonts w:hint="cs"/>
          <w:b/>
          <w:bCs/>
          <w:spacing w:val="0"/>
          <w:sz w:val="20"/>
          <w:rtl/>
        </w:rPr>
        <w:tab/>
      </w:r>
      <w:r w:rsidRPr="00D24633">
        <w:rPr>
          <w:b/>
          <w:bCs/>
          <w:spacing w:val="0"/>
          <w:sz w:val="20"/>
          <w:rtl/>
        </w:rPr>
        <w:t xml:space="preserve">ينبغي </w:t>
      </w:r>
      <w:r w:rsidRPr="00D24633">
        <w:rPr>
          <w:rFonts w:hint="cs"/>
          <w:b/>
          <w:bCs/>
          <w:spacing w:val="0"/>
          <w:sz w:val="20"/>
          <w:rtl/>
        </w:rPr>
        <w:t>ل</w:t>
      </w:r>
      <w:r w:rsidRPr="00D24633">
        <w:rPr>
          <w:b/>
          <w:bCs/>
          <w:spacing w:val="0"/>
          <w:sz w:val="20"/>
          <w:rtl/>
        </w:rPr>
        <w:t>لدولة الطرف أن تراجع قانونها المتعلق بمكافحة الإرهاب 03-03</w:t>
      </w:r>
      <w:r w:rsidRPr="00D24633">
        <w:rPr>
          <w:rFonts w:hint="cs"/>
          <w:b/>
          <w:bCs/>
          <w:spacing w:val="0"/>
          <w:sz w:val="20"/>
          <w:rtl/>
        </w:rPr>
        <w:t xml:space="preserve"> </w:t>
      </w:r>
      <w:r w:rsidRPr="00D24633">
        <w:rPr>
          <w:b/>
          <w:bCs/>
          <w:spacing w:val="0"/>
          <w:sz w:val="20"/>
          <w:rtl/>
        </w:rPr>
        <w:t xml:space="preserve">لتعريف الإرهاب بشكل أدق </w:t>
      </w:r>
      <w:r w:rsidRPr="00D24633">
        <w:rPr>
          <w:rFonts w:hint="cs"/>
          <w:b/>
          <w:bCs/>
          <w:spacing w:val="0"/>
          <w:sz w:val="20"/>
          <w:rtl/>
        </w:rPr>
        <w:t xml:space="preserve">وتقليص </w:t>
      </w:r>
      <w:r w:rsidRPr="00D24633">
        <w:rPr>
          <w:b/>
          <w:bCs/>
          <w:spacing w:val="0"/>
          <w:sz w:val="20"/>
          <w:rtl/>
        </w:rPr>
        <w:t xml:space="preserve">المدة القصوى للحبس </w:t>
      </w:r>
      <w:r w:rsidRPr="00D24633">
        <w:rPr>
          <w:rFonts w:hint="cs"/>
          <w:b/>
          <w:bCs/>
          <w:spacing w:val="0"/>
          <w:sz w:val="20"/>
          <w:rtl/>
        </w:rPr>
        <w:t xml:space="preserve">الاحتياطي إلى أدنى حد ممكن وإتاحة </w:t>
      </w:r>
      <w:r w:rsidRPr="00D24633">
        <w:rPr>
          <w:b/>
          <w:bCs/>
          <w:spacing w:val="0"/>
          <w:sz w:val="20"/>
          <w:rtl/>
        </w:rPr>
        <w:t xml:space="preserve">الوصول إلى محام فور بداية </w:t>
      </w:r>
      <w:r w:rsidRPr="00D24633">
        <w:rPr>
          <w:rFonts w:hint="cs"/>
          <w:b/>
          <w:bCs/>
          <w:spacing w:val="0"/>
          <w:sz w:val="20"/>
          <w:rtl/>
        </w:rPr>
        <w:t>الاحتجاز</w:t>
      </w:r>
      <w:r w:rsidRPr="00D24633">
        <w:rPr>
          <w:b/>
          <w:bCs/>
          <w:spacing w:val="0"/>
          <w:sz w:val="20"/>
          <w:rtl/>
        </w:rPr>
        <w:t xml:space="preserve">. </w:t>
      </w:r>
      <w:r w:rsidRPr="00D24633">
        <w:rPr>
          <w:rFonts w:hint="cs"/>
          <w:b/>
          <w:bCs/>
          <w:spacing w:val="0"/>
          <w:sz w:val="20"/>
          <w:rtl/>
        </w:rPr>
        <w:t>و</w:t>
      </w:r>
      <w:r w:rsidRPr="00D24633">
        <w:rPr>
          <w:b/>
          <w:bCs/>
          <w:spacing w:val="0"/>
          <w:sz w:val="20"/>
          <w:rtl/>
        </w:rPr>
        <w:t xml:space="preserve">تذكّر اللجنة أنه لا يجوز بموجب معاهدة مناهضة التعذيب الاعتداد بأي ظروف استثنائية أياً كانت لتبرير التعذيب، وتلاحظ أيضاً أنه </w:t>
      </w:r>
      <w:r w:rsidRPr="00D24633">
        <w:rPr>
          <w:rFonts w:hint="cs"/>
          <w:b/>
          <w:bCs/>
          <w:spacing w:val="0"/>
          <w:sz w:val="20"/>
          <w:rtl/>
        </w:rPr>
        <w:t>يجب،</w:t>
      </w:r>
      <w:r w:rsidR="00B345DB" w:rsidRPr="00D24633">
        <w:rPr>
          <w:rFonts w:hint="cs"/>
          <w:b/>
          <w:bCs/>
          <w:spacing w:val="0"/>
          <w:sz w:val="20"/>
          <w:rtl/>
        </w:rPr>
        <w:t xml:space="preserve"> وفقاً </w:t>
      </w:r>
      <w:r w:rsidRPr="00D24633">
        <w:rPr>
          <w:b/>
          <w:bCs/>
          <w:spacing w:val="0"/>
          <w:sz w:val="20"/>
          <w:rtl/>
        </w:rPr>
        <w:t>لقرارات مجلس الأمن</w:t>
      </w:r>
      <w:r w:rsidRPr="00D24633">
        <w:rPr>
          <w:rFonts w:hint="cs"/>
          <w:b/>
          <w:bCs/>
          <w:spacing w:val="0"/>
          <w:sz w:val="20"/>
          <w:rtl/>
        </w:rPr>
        <w:t>،</w:t>
      </w:r>
      <w:r w:rsidRPr="00D24633">
        <w:rPr>
          <w:b/>
          <w:bCs/>
          <w:spacing w:val="0"/>
          <w:sz w:val="20"/>
          <w:rtl/>
        </w:rPr>
        <w:t xml:space="preserve"> </w:t>
      </w:r>
      <w:r w:rsidRPr="00D24633">
        <w:rPr>
          <w:rFonts w:hint="cs"/>
          <w:b/>
          <w:bCs/>
          <w:spacing w:val="0"/>
          <w:sz w:val="20"/>
          <w:rtl/>
        </w:rPr>
        <w:t>و</w:t>
      </w:r>
      <w:r w:rsidRPr="00D24633">
        <w:rPr>
          <w:b/>
          <w:bCs/>
          <w:spacing w:val="0"/>
          <w:sz w:val="20"/>
          <w:rtl/>
        </w:rPr>
        <w:t xml:space="preserve">خاصة </w:t>
      </w:r>
      <w:r w:rsidRPr="00D24633">
        <w:rPr>
          <w:rFonts w:hint="cs"/>
          <w:b/>
          <w:bCs/>
          <w:spacing w:val="0"/>
          <w:sz w:val="20"/>
          <w:rtl/>
        </w:rPr>
        <w:t xml:space="preserve">القرارين 1456(2003) و1566(2004) </w:t>
      </w:r>
      <w:r w:rsidRPr="00D24633">
        <w:rPr>
          <w:b/>
          <w:bCs/>
          <w:spacing w:val="0"/>
          <w:sz w:val="20"/>
          <w:rtl/>
        </w:rPr>
        <w:t>و</w:t>
      </w:r>
      <w:r w:rsidRPr="00D24633">
        <w:rPr>
          <w:rFonts w:hint="cs"/>
          <w:b/>
          <w:bCs/>
          <w:spacing w:val="0"/>
          <w:sz w:val="20"/>
          <w:rtl/>
        </w:rPr>
        <w:t>ال</w:t>
      </w:r>
      <w:r w:rsidRPr="00D24633">
        <w:rPr>
          <w:b/>
          <w:bCs/>
          <w:spacing w:val="0"/>
          <w:sz w:val="20"/>
          <w:rtl/>
        </w:rPr>
        <w:t xml:space="preserve">قرارات </w:t>
      </w:r>
      <w:r w:rsidRPr="00D24633">
        <w:rPr>
          <w:rFonts w:hint="cs"/>
          <w:b/>
          <w:bCs/>
          <w:spacing w:val="0"/>
          <w:sz w:val="20"/>
          <w:rtl/>
        </w:rPr>
        <w:t>ال</w:t>
      </w:r>
      <w:r w:rsidRPr="00D24633">
        <w:rPr>
          <w:b/>
          <w:bCs/>
          <w:spacing w:val="0"/>
          <w:sz w:val="20"/>
          <w:rtl/>
        </w:rPr>
        <w:t xml:space="preserve">أخرى </w:t>
      </w:r>
      <w:r w:rsidRPr="00D24633">
        <w:rPr>
          <w:rFonts w:hint="cs"/>
          <w:b/>
          <w:bCs/>
          <w:spacing w:val="0"/>
          <w:sz w:val="20"/>
          <w:rtl/>
        </w:rPr>
        <w:t>ال</w:t>
      </w:r>
      <w:r w:rsidRPr="00D24633">
        <w:rPr>
          <w:b/>
          <w:bCs/>
          <w:spacing w:val="0"/>
          <w:sz w:val="20"/>
          <w:rtl/>
        </w:rPr>
        <w:t xml:space="preserve">وثيقة الصلة بالموضوع، تطبيق تدابير مكافحة الإرهاب </w:t>
      </w:r>
      <w:r w:rsidRPr="00D24633">
        <w:rPr>
          <w:rFonts w:hint="cs"/>
          <w:b/>
          <w:bCs/>
          <w:spacing w:val="0"/>
          <w:sz w:val="20"/>
          <w:rtl/>
        </w:rPr>
        <w:t xml:space="preserve">في نطاق الاحترام التام </w:t>
      </w:r>
      <w:r w:rsidRPr="00D24633">
        <w:rPr>
          <w:b/>
          <w:bCs/>
          <w:spacing w:val="0"/>
          <w:sz w:val="20"/>
          <w:rtl/>
        </w:rPr>
        <w:t xml:space="preserve">للقانون الدولي المتعلق </w:t>
      </w:r>
      <w:r w:rsidRPr="00D24633">
        <w:rPr>
          <w:rFonts w:hint="cs"/>
          <w:b/>
          <w:bCs/>
          <w:spacing w:val="0"/>
          <w:sz w:val="20"/>
          <w:rtl/>
        </w:rPr>
        <w:t>ب</w:t>
      </w:r>
      <w:r w:rsidRPr="00D24633">
        <w:rPr>
          <w:b/>
          <w:bCs/>
          <w:spacing w:val="0"/>
          <w:sz w:val="20"/>
          <w:rtl/>
        </w:rPr>
        <w:t xml:space="preserve">حقوق الإنسان. </w:t>
      </w:r>
    </w:p>
    <w:p w:rsidR="004E0A37" w:rsidRPr="004E0A37" w:rsidRDefault="004E0A37" w:rsidP="00B5100A">
      <w:pPr>
        <w:pStyle w:val="H23GA"/>
        <w:rPr>
          <w:rtl/>
          <w:lang/>
        </w:rPr>
      </w:pPr>
      <w:r w:rsidRPr="004E0A37">
        <w:rPr>
          <w:rFonts w:hint="cs"/>
          <w:rtl/>
          <w:lang/>
        </w:rPr>
        <w:tab/>
      </w:r>
      <w:r w:rsidRPr="004E0A37">
        <w:rPr>
          <w:rFonts w:hint="cs"/>
          <w:rtl/>
          <w:lang/>
        </w:rPr>
        <w:tab/>
      </w:r>
      <w:r w:rsidRPr="004E0A37">
        <w:rPr>
          <w:rtl/>
          <w:lang/>
        </w:rPr>
        <w:t>عدم الإبعاد وخطر التعذيب</w:t>
      </w:r>
    </w:p>
    <w:p w:rsidR="004E0A37" w:rsidRPr="00D24633" w:rsidRDefault="0033301A" w:rsidP="002E2361">
      <w:pPr>
        <w:pStyle w:val="SingleTxtGA"/>
        <w:spacing w:line="374" w:lineRule="exact"/>
        <w:jc w:val="lowKashida"/>
        <w:rPr>
          <w:rFonts w:hint="cs"/>
          <w:spacing w:val="-2"/>
          <w:sz w:val="20"/>
          <w:rtl/>
        </w:rPr>
      </w:pPr>
      <w:r w:rsidRPr="00D24633">
        <w:rPr>
          <w:rFonts w:hint="cs"/>
          <w:spacing w:val="-2"/>
          <w:sz w:val="20"/>
          <w:rtl/>
        </w:rPr>
        <w:t>(</w:t>
      </w:r>
      <w:r w:rsidR="004E0A37" w:rsidRPr="00D24633">
        <w:rPr>
          <w:spacing w:val="-2"/>
          <w:sz w:val="20"/>
          <w:rtl/>
        </w:rPr>
        <w:t>9</w:t>
      </w:r>
      <w:r w:rsidR="003E72B5" w:rsidRPr="00D24633">
        <w:rPr>
          <w:spacing w:val="-2"/>
          <w:sz w:val="20"/>
          <w:rtl/>
        </w:rPr>
        <w:t>)</w:t>
      </w:r>
      <w:r w:rsidR="003E72B5" w:rsidRPr="00D24633">
        <w:rPr>
          <w:spacing w:val="-2"/>
          <w:sz w:val="20"/>
          <w:rtl/>
        </w:rPr>
        <w:tab/>
      </w:r>
      <w:r w:rsidR="004E0A37" w:rsidRPr="00D24633">
        <w:rPr>
          <w:spacing w:val="-2"/>
          <w:sz w:val="20"/>
          <w:rtl/>
        </w:rPr>
        <w:t xml:space="preserve">تشعر اللجنة بالقلق من أن الإجراءات والممارسات الحالية التي يتبعها المغرب في </w:t>
      </w:r>
      <w:r w:rsidR="004E0A37" w:rsidRPr="00D24633">
        <w:rPr>
          <w:rFonts w:hint="cs"/>
          <w:spacing w:val="-2"/>
          <w:sz w:val="20"/>
          <w:rtl/>
        </w:rPr>
        <w:t xml:space="preserve">مجال </w:t>
      </w:r>
      <w:r w:rsidR="004E0A37" w:rsidRPr="00D24633">
        <w:rPr>
          <w:spacing w:val="-2"/>
          <w:sz w:val="20"/>
          <w:rtl/>
        </w:rPr>
        <w:t xml:space="preserve">تسليم المطلوبين </w:t>
      </w:r>
      <w:r w:rsidR="004E0A37" w:rsidRPr="00D24633">
        <w:rPr>
          <w:rFonts w:hint="cs"/>
          <w:spacing w:val="-2"/>
          <w:sz w:val="20"/>
          <w:rtl/>
        </w:rPr>
        <w:t xml:space="preserve">قد </w:t>
      </w:r>
      <w:r w:rsidR="004E0A37" w:rsidRPr="00D24633">
        <w:rPr>
          <w:spacing w:val="-2"/>
          <w:sz w:val="20"/>
          <w:rtl/>
        </w:rPr>
        <w:t>تعرّض أشخاصاً للتعذيب. وفي هذا الصدد، تذك</w:t>
      </w:r>
      <w:r w:rsidR="004E0A37" w:rsidRPr="00D24633">
        <w:rPr>
          <w:rFonts w:hint="cs"/>
          <w:spacing w:val="-2"/>
          <w:sz w:val="20"/>
          <w:rtl/>
        </w:rPr>
        <w:t>ّ</w:t>
      </w:r>
      <w:r w:rsidR="004E0A37" w:rsidRPr="00D24633">
        <w:rPr>
          <w:spacing w:val="-2"/>
          <w:sz w:val="20"/>
          <w:rtl/>
        </w:rPr>
        <w:t>ر اللجنة أنه</w:t>
      </w:r>
      <w:r w:rsidR="004E0A37" w:rsidRPr="00D24633">
        <w:rPr>
          <w:rFonts w:hint="cs"/>
          <w:spacing w:val="-2"/>
          <w:sz w:val="20"/>
          <w:rtl/>
        </w:rPr>
        <w:t>ا</w:t>
      </w:r>
      <w:r w:rsidR="004E0A37" w:rsidRPr="00D24633">
        <w:rPr>
          <w:spacing w:val="-2"/>
          <w:sz w:val="20"/>
          <w:rtl/>
        </w:rPr>
        <w:t xml:space="preserve"> تلق</w:t>
      </w:r>
      <w:r w:rsidR="004E0A37" w:rsidRPr="00D24633">
        <w:rPr>
          <w:rFonts w:hint="cs"/>
          <w:spacing w:val="-2"/>
          <w:sz w:val="20"/>
          <w:rtl/>
        </w:rPr>
        <w:t>ت</w:t>
      </w:r>
      <w:r w:rsidR="004E0A37" w:rsidRPr="00D24633">
        <w:rPr>
          <w:spacing w:val="-2"/>
          <w:sz w:val="20"/>
          <w:rtl/>
        </w:rPr>
        <w:t xml:space="preserve">، بموجب المادة 22 من المعاهدة، </w:t>
      </w:r>
      <w:r w:rsidR="004E0A37" w:rsidRPr="00D24633">
        <w:rPr>
          <w:rFonts w:hint="cs"/>
          <w:spacing w:val="-2"/>
          <w:sz w:val="20"/>
          <w:rtl/>
        </w:rPr>
        <w:t xml:space="preserve">شكاوى </w:t>
      </w:r>
      <w:r w:rsidR="004E0A37" w:rsidRPr="00D24633">
        <w:rPr>
          <w:spacing w:val="-2"/>
          <w:sz w:val="20"/>
          <w:rtl/>
        </w:rPr>
        <w:t xml:space="preserve">فردية ضد الدولة الطرف بخصوص طلبات تسليم وأنها تشعر بالقلق </w:t>
      </w:r>
      <w:r w:rsidR="004E0A37" w:rsidRPr="00D24633">
        <w:rPr>
          <w:rFonts w:hint="cs"/>
          <w:spacing w:val="-2"/>
          <w:sz w:val="20"/>
          <w:rtl/>
        </w:rPr>
        <w:t xml:space="preserve">حيال </w:t>
      </w:r>
      <w:r w:rsidR="004E0A37" w:rsidRPr="00D24633">
        <w:rPr>
          <w:spacing w:val="-2"/>
          <w:sz w:val="20"/>
          <w:rtl/>
        </w:rPr>
        <w:t>القرارات والإجراءات المتخذة من ق</w:t>
      </w:r>
      <w:r w:rsidR="004E0A37" w:rsidRPr="00D24633">
        <w:rPr>
          <w:rFonts w:hint="cs"/>
          <w:spacing w:val="-2"/>
          <w:sz w:val="20"/>
          <w:rtl/>
        </w:rPr>
        <w:t>ِ</w:t>
      </w:r>
      <w:r w:rsidR="004E0A37" w:rsidRPr="00D24633">
        <w:rPr>
          <w:spacing w:val="-2"/>
          <w:sz w:val="20"/>
          <w:rtl/>
        </w:rPr>
        <w:t>بل الدولة الطرف</w:t>
      </w:r>
      <w:r w:rsidR="004E0A37" w:rsidRPr="00D24633">
        <w:rPr>
          <w:rFonts w:hint="cs"/>
          <w:spacing w:val="-2"/>
          <w:sz w:val="20"/>
          <w:rtl/>
        </w:rPr>
        <w:t xml:space="preserve"> </w:t>
      </w:r>
      <w:r w:rsidR="00F96B1E" w:rsidRPr="00D24633">
        <w:rPr>
          <w:rFonts w:hint="cs"/>
          <w:spacing w:val="-2"/>
          <w:sz w:val="20"/>
          <w:rtl/>
        </w:rPr>
        <w:t>فيما </w:t>
      </w:r>
      <w:r w:rsidR="004E0A37" w:rsidRPr="00D24633">
        <w:rPr>
          <w:rFonts w:hint="cs"/>
          <w:spacing w:val="-2"/>
          <w:sz w:val="20"/>
          <w:rtl/>
        </w:rPr>
        <w:t>يتعلق بهذه القضايا</w:t>
      </w:r>
      <w:r w:rsidR="004E0A37" w:rsidRPr="00D24633">
        <w:rPr>
          <w:spacing w:val="-2"/>
          <w:sz w:val="20"/>
          <w:rtl/>
        </w:rPr>
        <w:t xml:space="preserve">. </w:t>
      </w:r>
      <w:r w:rsidR="004E0A37" w:rsidRPr="00D24633">
        <w:rPr>
          <w:rFonts w:hint="cs"/>
          <w:spacing w:val="-2"/>
          <w:sz w:val="20"/>
          <w:rtl/>
        </w:rPr>
        <w:t>وتشعر</w:t>
      </w:r>
      <w:r w:rsidR="004E0A37" w:rsidRPr="00D24633">
        <w:rPr>
          <w:spacing w:val="-2"/>
          <w:sz w:val="20"/>
          <w:rtl/>
        </w:rPr>
        <w:t xml:space="preserve"> اللجنة </w:t>
      </w:r>
      <w:r w:rsidR="004E0A37" w:rsidRPr="00D24633">
        <w:rPr>
          <w:rFonts w:hint="cs"/>
          <w:spacing w:val="-2"/>
          <w:sz w:val="20"/>
          <w:rtl/>
        </w:rPr>
        <w:t xml:space="preserve">بالقلق </w:t>
      </w:r>
      <w:r w:rsidR="004E0A37" w:rsidRPr="00D24633">
        <w:rPr>
          <w:spacing w:val="-2"/>
          <w:sz w:val="20"/>
          <w:rtl/>
        </w:rPr>
        <w:t xml:space="preserve">فعلاً </w:t>
      </w:r>
      <w:r w:rsidR="004E0A37" w:rsidRPr="00D24633">
        <w:rPr>
          <w:rFonts w:hint="cs"/>
          <w:spacing w:val="-2"/>
          <w:sz w:val="20"/>
          <w:rtl/>
        </w:rPr>
        <w:t xml:space="preserve">بشأن </w:t>
      </w:r>
      <w:r w:rsidR="004E0A37" w:rsidRPr="00D24633">
        <w:rPr>
          <w:spacing w:val="-2"/>
          <w:sz w:val="20"/>
          <w:rtl/>
        </w:rPr>
        <w:t xml:space="preserve">القرار الحالي </w:t>
      </w:r>
      <w:r w:rsidR="004E0A37" w:rsidRPr="00D24633">
        <w:rPr>
          <w:rFonts w:hint="cs"/>
          <w:spacing w:val="-2"/>
          <w:sz w:val="20"/>
          <w:rtl/>
        </w:rPr>
        <w:t xml:space="preserve">الذي اتخذته الدولة </w:t>
      </w:r>
      <w:r w:rsidR="004E0A37" w:rsidRPr="00D24633">
        <w:rPr>
          <w:spacing w:val="-2"/>
          <w:sz w:val="20"/>
          <w:rtl/>
        </w:rPr>
        <w:t xml:space="preserve">الطرف بالاقتصار فقط على "تعليق" </w:t>
      </w:r>
      <w:r w:rsidR="004E0A37" w:rsidRPr="00D24633">
        <w:rPr>
          <w:rFonts w:hint="cs"/>
          <w:spacing w:val="-2"/>
          <w:sz w:val="20"/>
          <w:rtl/>
        </w:rPr>
        <w:t>عملية</w:t>
      </w:r>
      <w:r w:rsidR="004E0A37" w:rsidRPr="00D24633">
        <w:rPr>
          <w:spacing w:val="-2"/>
          <w:sz w:val="20"/>
          <w:rtl/>
        </w:rPr>
        <w:t xml:space="preserve"> تسليم السيد كتيتي؛ مع أن اللجنة سبق أن خلصت إلى أن </w:t>
      </w:r>
      <w:r w:rsidR="004E0A37" w:rsidRPr="00D24633">
        <w:rPr>
          <w:rFonts w:hint="cs"/>
          <w:spacing w:val="-2"/>
          <w:sz w:val="20"/>
          <w:rtl/>
        </w:rPr>
        <w:t>تلك العملية ت</w:t>
      </w:r>
      <w:r w:rsidR="004E0A37" w:rsidRPr="00D24633">
        <w:rPr>
          <w:spacing w:val="-2"/>
          <w:sz w:val="20"/>
          <w:rtl/>
        </w:rPr>
        <w:t xml:space="preserve">مثل أيضاً انتهاكاً للمادة 3 من الاتفاقية وأنها قد سبق أن أبلغت على النحو الواجب الدولةَ الطرف </w:t>
      </w:r>
      <w:r w:rsidR="004E0A37" w:rsidRPr="00D24633">
        <w:rPr>
          <w:rFonts w:hint="cs"/>
          <w:spacing w:val="-2"/>
          <w:sz w:val="20"/>
          <w:rtl/>
        </w:rPr>
        <w:t>ب</w:t>
      </w:r>
      <w:r w:rsidR="00177429">
        <w:rPr>
          <w:spacing w:val="-2"/>
          <w:sz w:val="20"/>
          <w:rtl/>
        </w:rPr>
        <w:t>قرار</w:t>
      </w:r>
      <w:r w:rsidR="004E0A37" w:rsidRPr="00D24633">
        <w:rPr>
          <w:spacing w:val="-2"/>
          <w:sz w:val="20"/>
          <w:rtl/>
        </w:rPr>
        <w:t>ها النهائي</w:t>
      </w:r>
      <w:r w:rsidR="00727BAF" w:rsidRPr="00D24633">
        <w:rPr>
          <w:spacing w:val="-2"/>
          <w:sz w:val="20"/>
          <w:vertAlign w:val="superscript"/>
          <w:rtl/>
        </w:rPr>
        <w:t>(</w:t>
      </w:r>
      <w:r w:rsidR="00727BAF" w:rsidRPr="00D24633">
        <w:rPr>
          <w:rStyle w:val="FootnoteReference"/>
          <w:spacing w:val="-2"/>
          <w:rtl/>
        </w:rPr>
        <w:footnoteReference w:id="7"/>
      </w:r>
      <w:r w:rsidR="00727BAF" w:rsidRPr="00D24633">
        <w:rPr>
          <w:spacing w:val="-2"/>
          <w:sz w:val="20"/>
          <w:vertAlign w:val="superscript"/>
          <w:rtl/>
        </w:rPr>
        <w:t>)</w:t>
      </w:r>
      <w:r w:rsidR="004E0A37" w:rsidRPr="00D24633">
        <w:rPr>
          <w:spacing w:val="-2"/>
          <w:sz w:val="20"/>
          <w:rtl/>
        </w:rPr>
        <w:t xml:space="preserve">. </w:t>
      </w:r>
      <w:r w:rsidR="004E0A37" w:rsidRPr="00D24633">
        <w:rPr>
          <w:rFonts w:hint="cs"/>
          <w:spacing w:val="-2"/>
          <w:sz w:val="20"/>
          <w:rtl/>
        </w:rPr>
        <w:t>و</w:t>
      </w:r>
      <w:r w:rsidR="004E0A37" w:rsidRPr="00D24633">
        <w:rPr>
          <w:spacing w:val="-2"/>
          <w:sz w:val="20"/>
          <w:rtl/>
        </w:rPr>
        <w:t>علاوة على ذلك، تعرب اللجنة عن قلقها العميق تجاه تسليم السيد أليكسي كالينيتشيكو إلى بلده الأصلي</w:t>
      </w:r>
      <w:r w:rsidR="004E0A37" w:rsidRPr="00D24633">
        <w:rPr>
          <w:rFonts w:hint="cs"/>
          <w:spacing w:val="-2"/>
          <w:sz w:val="20"/>
          <w:rtl/>
        </w:rPr>
        <w:t xml:space="preserve"> على الرغم من أن </w:t>
      </w:r>
      <w:r w:rsidR="004E0A37" w:rsidRPr="00D24633">
        <w:rPr>
          <w:spacing w:val="-2"/>
          <w:sz w:val="20"/>
          <w:rtl/>
        </w:rPr>
        <w:t xml:space="preserve">اللجنة قد قررت في السابق </w:t>
      </w:r>
      <w:r w:rsidR="004E0A37" w:rsidRPr="00D24633">
        <w:rPr>
          <w:rFonts w:hint="cs"/>
          <w:spacing w:val="-2"/>
          <w:sz w:val="20"/>
          <w:rtl/>
        </w:rPr>
        <w:t xml:space="preserve">تعليق </w:t>
      </w:r>
      <w:r w:rsidR="004E0A37" w:rsidRPr="00D24633">
        <w:rPr>
          <w:spacing w:val="-2"/>
          <w:sz w:val="20"/>
          <w:rtl/>
        </w:rPr>
        <w:t xml:space="preserve">التسليم </w:t>
      </w:r>
      <w:r w:rsidR="004E0A37" w:rsidRPr="00D24633">
        <w:rPr>
          <w:rFonts w:hint="cs"/>
          <w:spacing w:val="-2"/>
          <w:sz w:val="20"/>
          <w:rtl/>
        </w:rPr>
        <w:t xml:space="preserve">مؤقتاً </w:t>
      </w:r>
      <w:r w:rsidR="004E0A37" w:rsidRPr="00D24633">
        <w:rPr>
          <w:spacing w:val="-2"/>
          <w:sz w:val="20"/>
          <w:rtl/>
        </w:rPr>
        <w:t>حتى تتخذ قراراها النهائي،</w:t>
      </w:r>
      <w:r w:rsidR="004E0A37" w:rsidRPr="00D24633">
        <w:rPr>
          <w:rFonts w:hint="cs"/>
          <w:spacing w:val="-2"/>
          <w:sz w:val="20"/>
          <w:rtl/>
        </w:rPr>
        <w:t xml:space="preserve"> </w:t>
      </w:r>
      <w:r w:rsidR="004E0A37" w:rsidRPr="00D24633">
        <w:rPr>
          <w:spacing w:val="-2"/>
          <w:sz w:val="20"/>
          <w:rtl/>
        </w:rPr>
        <w:t>خصوصاً أن هذا التسليم</w:t>
      </w:r>
      <w:r w:rsidR="00335AC0" w:rsidRPr="00D24633">
        <w:rPr>
          <w:spacing w:val="-2"/>
          <w:sz w:val="20"/>
          <w:rtl/>
        </w:rPr>
        <w:t xml:space="preserve"> لم </w:t>
      </w:r>
      <w:r w:rsidR="004E0A37" w:rsidRPr="00D24633">
        <w:rPr>
          <w:spacing w:val="-2"/>
          <w:sz w:val="20"/>
          <w:rtl/>
        </w:rPr>
        <w:t>يكن مستنداً إلا</w:t>
      </w:r>
      <w:r w:rsidR="004E0A37" w:rsidRPr="00D24633">
        <w:rPr>
          <w:rFonts w:hint="cs"/>
          <w:spacing w:val="-2"/>
          <w:sz w:val="20"/>
          <w:rtl/>
        </w:rPr>
        <w:t> </w:t>
      </w:r>
      <w:r w:rsidR="004E0A37" w:rsidRPr="00D24633">
        <w:rPr>
          <w:spacing w:val="-2"/>
          <w:sz w:val="20"/>
          <w:rtl/>
        </w:rPr>
        <w:t>إلى ضمانات دبلوماسية من البلد الأصلي للسيد كالينيتشيكو (المادة 3)</w:t>
      </w:r>
      <w:r w:rsidR="004E0A37" w:rsidRPr="00D24633">
        <w:rPr>
          <w:rFonts w:hint="cs"/>
          <w:spacing w:val="-2"/>
          <w:sz w:val="20"/>
          <w:rtl/>
        </w:rPr>
        <w:t>.</w:t>
      </w:r>
    </w:p>
    <w:p w:rsidR="004E0A37" w:rsidRPr="00D24633" w:rsidRDefault="004E0A37" w:rsidP="002E2361">
      <w:pPr>
        <w:pStyle w:val="SingleTxtGA"/>
        <w:spacing w:line="374" w:lineRule="exact"/>
        <w:jc w:val="lowKashida"/>
        <w:rPr>
          <w:b/>
          <w:bCs/>
          <w:spacing w:val="0"/>
          <w:sz w:val="20"/>
          <w:rtl/>
        </w:rPr>
      </w:pPr>
      <w:r w:rsidRPr="00D24633">
        <w:rPr>
          <w:rFonts w:hint="cs"/>
          <w:b/>
          <w:bCs/>
          <w:spacing w:val="0"/>
          <w:sz w:val="20"/>
          <w:rtl/>
        </w:rPr>
        <w:tab/>
      </w:r>
      <w:r w:rsidRPr="00D24633">
        <w:rPr>
          <w:b/>
          <w:bCs/>
          <w:spacing w:val="0"/>
          <w:sz w:val="20"/>
          <w:rtl/>
        </w:rPr>
        <w:t xml:space="preserve">وينبغي </w:t>
      </w:r>
      <w:r w:rsidRPr="00D24633">
        <w:rPr>
          <w:rFonts w:hint="cs"/>
          <w:b/>
          <w:bCs/>
          <w:spacing w:val="0"/>
          <w:sz w:val="20"/>
          <w:rtl/>
        </w:rPr>
        <w:t xml:space="preserve">أن تحجم </w:t>
      </w:r>
      <w:r w:rsidRPr="00D24633">
        <w:rPr>
          <w:b/>
          <w:bCs/>
          <w:spacing w:val="0"/>
          <w:sz w:val="20"/>
          <w:rtl/>
        </w:rPr>
        <w:t>الدولة الطرف</w:t>
      </w:r>
      <w:r w:rsidRPr="00D24633">
        <w:rPr>
          <w:rFonts w:hint="cs"/>
          <w:b/>
          <w:bCs/>
          <w:spacing w:val="0"/>
          <w:sz w:val="20"/>
          <w:rtl/>
        </w:rPr>
        <w:t>،</w:t>
      </w:r>
      <w:r w:rsidRPr="00D24633">
        <w:rPr>
          <w:b/>
          <w:bCs/>
          <w:spacing w:val="0"/>
          <w:sz w:val="20"/>
          <w:rtl/>
        </w:rPr>
        <w:t xml:space="preserve"> </w:t>
      </w:r>
      <w:r w:rsidRPr="00D24633">
        <w:rPr>
          <w:rFonts w:hint="cs"/>
          <w:b/>
          <w:bCs/>
          <w:spacing w:val="0"/>
          <w:sz w:val="20"/>
          <w:rtl/>
        </w:rPr>
        <w:t xml:space="preserve">في كل الأحوال، عن </w:t>
      </w:r>
      <w:r w:rsidRPr="00D24633">
        <w:rPr>
          <w:b/>
          <w:bCs/>
          <w:spacing w:val="0"/>
          <w:sz w:val="20"/>
          <w:rtl/>
        </w:rPr>
        <w:t>طرد أو إبعاد أو تسليم أي شخص باتجاه دولة توجد بشأنها أسباب وجيهة تدعو إلى الاعتقاد بأن الشخص قد يتعرض فيها للتعذيب. وتكرر اللجنة موقفها الذي يفيد بأن دول الأطراف لا تستطيع</w:t>
      </w:r>
      <w:r w:rsidRPr="00D24633">
        <w:rPr>
          <w:rFonts w:hint="cs"/>
          <w:b/>
          <w:bCs/>
          <w:spacing w:val="0"/>
          <w:sz w:val="20"/>
          <w:rtl/>
        </w:rPr>
        <w:t>،</w:t>
      </w:r>
      <w:r w:rsidRPr="00D24633">
        <w:rPr>
          <w:b/>
          <w:bCs/>
          <w:spacing w:val="0"/>
          <w:sz w:val="20"/>
          <w:rtl/>
        </w:rPr>
        <w:t xml:space="preserve"> في أي حال من الأحوال</w:t>
      </w:r>
      <w:r w:rsidRPr="00D24633">
        <w:rPr>
          <w:rFonts w:hint="cs"/>
          <w:b/>
          <w:bCs/>
          <w:spacing w:val="0"/>
          <w:sz w:val="20"/>
          <w:rtl/>
        </w:rPr>
        <w:t>،</w:t>
      </w:r>
      <w:r w:rsidRPr="00D24633">
        <w:rPr>
          <w:b/>
          <w:bCs/>
          <w:spacing w:val="0"/>
          <w:sz w:val="20"/>
          <w:rtl/>
        </w:rPr>
        <w:t xml:space="preserve"> الاعتماد على الضمانات الدبلوماسية باعتبارها ضمانات حيال عدم حدوث التعذيب أو سوء المعاملة عندما تكون هناك أسباب وجيهة تدعو إلى الاعتقاد بأن الشخص قد يتعرض للتعذيب إذا عاد إلى بلده. ولكي تحدد الدولة الطرف مدى انطباق التزاماتها</w:t>
      </w:r>
      <w:r w:rsidRPr="00D24633">
        <w:rPr>
          <w:rFonts w:hint="cs"/>
          <w:b/>
          <w:bCs/>
          <w:spacing w:val="0"/>
          <w:sz w:val="20"/>
          <w:rtl/>
        </w:rPr>
        <w:t>،</w:t>
      </w:r>
      <w:r w:rsidRPr="00D24633">
        <w:rPr>
          <w:b/>
          <w:bCs/>
          <w:spacing w:val="0"/>
          <w:sz w:val="20"/>
          <w:rtl/>
        </w:rPr>
        <w:t xml:space="preserve"> بموجب المادة 3 من الاتفاقية، ينبغي أن تبحث كل حالة على حدة بحثاً دقيقاً من حيث الأسس الموضوعية، بما في ذلك الحالة العامة المتعلقة بالتعذيب في البلد </w:t>
      </w:r>
      <w:r w:rsidRPr="00D24633">
        <w:rPr>
          <w:rFonts w:hint="cs"/>
          <w:b/>
          <w:bCs/>
          <w:spacing w:val="0"/>
          <w:sz w:val="20"/>
          <w:rtl/>
        </w:rPr>
        <w:t>الذي يُعاد إليه الشخص المعني</w:t>
      </w:r>
      <w:r w:rsidRPr="00D24633">
        <w:rPr>
          <w:b/>
          <w:bCs/>
          <w:spacing w:val="0"/>
          <w:sz w:val="20"/>
          <w:rtl/>
        </w:rPr>
        <w:t xml:space="preserve">. </w:t>
      </w:r>
      <w:r w:rsidRPr="00D24633">
        <w:rPr>
          <w:rFonts w:hint="cs"/>
          <w:b/>
          <w:bCs/>
          <w:spacing w:val="0"/>
          <w:sz w:val="20"/>
          <w:rtl/>
        </w:rPr>
        <w:t>و</w:t>
      </w:r>
      <w:r w:rsidRPr="00D24633">
        <w:rPr>
          <w:b/>
          <w:bCs/>
          <w:spacing w:val="0"/>
          <w:sz w:val="20"/>
          <w:rtl/>
        </w:rPr>
        <w:t xml:space="preserve">علاوة على ذلك، ينبغي أن تضع </w:t>
      </w:r>
      <w:r w:rsidRPr="00D24633">
        <w:rPr>
          <w:rFonts w:hint="cs"/>
          <w:b/>
          <w:bCs/>
          <w:spacing w:val="0"/>
          <w:sz w:val="20"/>
          <w:rtl/>
        </w:rPr>
        <w:t xml:space="preserve">الدولة الطرف </w:t>
      </w:r>
      <w:r w:rsidRPr="00D24633">
        <w:rPr>
          <w:b/>
          <w:bCs/>
          <w:spacing w:val="0"/>
          <w:sz w:val="20"/>
          <w:rtl/>
        </w:rPr>
        <w:t>وتنفذ إجراءات محددة جيداً للحصول على هذه الضمانات الدبلوماسية و</w:t>
      </w:r>
      <w:r w:rsidRPr="00D24633">
        <w:rPr>
          <w:rFonts w:hint="cs"/>
          <w:b/>
          <w:bCs/>
          <w:spacing w:val="0"/>
          <w:sz w:val="20"/>
          <w:rtl/>
        </w:rPr>
        <w:t>تنشئ ال</w:t>
      </w:r>
      <w:r w:rsidRPr="00D24633">
        <w:rPr>
          <w:b/>
          <w:bCs/>
          <w:spacing w:val="0"/>
          <w:sz w:val="20"/>
          <w:rtl/>
        </w:rPr>
        <w:t xml:space="preserve">آليات </w:t>
      </w:r>
      <w:r w:rsidRPr="00D24633">
        <w:rPr>
          <w:rFonts w:hint="cs"/>
          <w:b/>
          <w:bCs/>
          <w:spacing w:val="0"/>
          <w:sz w:val="20"/>
          <w:rtl/>
        </w:rPr>
        <w:t>ال</w:t>
      </w:r>
      <w:r w:rsidRPr="00D24633">
        <w:rPr>
          <w:b/>
          <w:bCs/>
          <w:spacing w:val="0"/>
          <w:sz w:val="20"/>
          <w:rtl/>
        </w:rPr>
        <w:t xml:space="preserve">قضائية </w:t>
      </w:r>
      <w:r w:rsidRPr="00D24633">
        <w:rPr>
          <w:rFonts w:hint="cs"/>
          <w:b/>
          <w:bCs/>
          <w:spacing w:val="0"/>
          <w:sz w:val="20"/>
          <w:rtl/>
        </w:rPr>
        <w:t>ال</w:t>
      </w:r>
      <w:r w:rsidRPr="00D24633">
        <w:rPr>
          <w:b/>
          <w:bCs/>
          <w:spacing w:val="0"/>
          <w:sz w:val="20"/>
          <w:rtl/>
        </w:rPr>
        <w:t>مناسبة للرصد، وآليات فعالة للمتابعة في حال</w:t>
      </w:r>
      <w:r w:rsidRPr="00D24633">
        <w:rPr>
          <w:rFonts w:hint="cs"/>
          <w:b/>
          <w:bCs/>
          <w:spacing w:val="0"/>
          <w:sz w:val="20"/>
          <w:rtl/>
        </w:rPr>
        <w:t>ات</w:t>
      </w:r>
      <w:r w:rsidRPr="00D24633">
        <w:rPr>
          <w:b/>
          <w:bCs/>
          <w:spacing w:val="0"/>
          <w:sz w:val="20"/>
          <w:rtl/>
        </w:rPr>
        <w:t xml:space="preserve"> الإبعاد.</w:t>
      </w:r>
    </w:p>
    <w:p w:rsidR="004E0A37" w:rsidRPr="00D24633" w:rsidRDefault="004E0A37" w:rsidP="002E2361">
      <w:pPr>
        <w:pStyle w:val="SingleTxtGA"/>
        <w:spacing w:line="374" w:lineRule="exact"/>
        <w:jc w:val="lowKashida"/>
        <w:rPr>
          <w:b/>
          <w:bCs/>
          <w:spacing w:val="0"/>
          <w:sz w:val="20"/>
          <w:rtl/>
        </w:rPr>
      </w:pPr>
      <w:r w:rsidRPr="00D24633">
        <w:rPr>
          <w:rFonts w:hint="cs"/>
          <w:b/>
          <w:bCs/>
          <w:spacing w:val="0"/>
          <w:sz w:val="20"/>
          <w:rtl/>
        </w:rPr>
        <w:tab/>
        <w:t>و</w:t>
      </w:r>
      <w:r w:rsidRPr="00D24633">
        <w:rPr>
          <w:b/>
          <w:bCs/>
          <w:spacing w:val="0"/>
          <w:sz w:val="20"/>
          <w:rtl/>
        </w:rPr>
        <w:t xml:space="preserve">ينبغي </w:t>
      </w:r>
      <w:r w:rsidRPr="00D24633">
        <w:rPr>
          <w:rFonts w:hint="cs"/>
          <w:b/>
          <w:bCs/>
          <w:spacing w:val="0"/>
          <w:sz w:val="20"/>
          <w:rtl/>
        </w:rPr>
        <w:t>ل</w:t>
      </w:r>
      <w:r w:rsidRPr="00D24633">
        <w:rPr>
          <w:b/>
          <w:bCs/>
          <w:spacing w:val="0"/>
          <w:sz w:val="20"/>
          <w:rtl/>
        </w:rPr>
        <w:t xml:space="preserve">لمغرب </w:t>
      </w:r>
      <w:r w:rsidRPr="00D24633">
        <w:rPr>
          <w:rFonts w:hint="cs"/>
          <w:b/>
          <w:bCs/>
          <w:spacing w:val="0"/>
          <w:sz w:val="20"/>
          <w:rtl/>
        </w:rPr>
        <w:t xml:space="preserve">أن يحترم </w:t>
      </w:r>
      <w:r w:rsidRPr="00D24633">
        <w:rPr>
          <w:b/>
          <w:bCs/>
          <w:spacing w:val="0"/>
          <w:sz w:val="20"/>
          <w:rtl/>
        </w:rPr>
        <w:t>التزاماته الدولية وأن يمتثل للقرارات النهائية والقرارات المؤقتة التي تصدر عن اللجنة في القضايا الفردية المعروضة عليها بموجب المادة 22 من الاتفاقية. و</w:t>
      </w:r>
      <w:r w:rsidR="00F96B1E" w:rsidRPr="00D24633">
        <w:rPr>
          <w:b/>
          <w:bCs/>
          <w:spacing w:val="0"/>
          <w:sz w:val="20"/>
          <w:rtl/>
        </w:rPr>
        <w:t>فيما </w:t>
      </w:r>
      <w:r w:rsidRPr="00D24633">
        <w:rPr>
          <w:b/>
          <w:bCs/>
          <w:spacing w:val="0"/>
          <w:sz w:val="20"/>
          <w:rtl/>
        </w:rPr>
        <w:t xml:space="preserve">يتعلق </w:t>
      </w:r>
      <w:r w:rsidRPr="00D24633">
        <w:rPr>
          <w:rFonts w:hint="cs"/>
          <w:b/>
          <w:bCs/>
          <w:spacing w:val="0"/>
          <w:sz w:val="20"/>
          <w:rtl/>
        </w:rPr>
        <w:t>ب</w:t>
      </w:r>
      <w:r w:rsidRPr="00D24633">
        <w:rPr>
          <w:b/>
          <w:bCs/>
          <w:spacing w:val="0"/>
          <w:sz w:val="20"/>
          <w:rtl/>
        </w:rPr>
        <w:t xml:space="preserve">قضية السيد كتيتي، ينبغي أن يصدر المغرب قراراً يقضي نهائياً بإلغاء تسليمه إلى بلده الأصلي، وإلا </w:t>
      </w:r>
      <w:r w:rsidRPr="00D24633">
        <w:rPr>
          <w:rFonts w:hint="cs"/>
          <w:b/>
          <w:bCs/>
          <w:spacing w:val="0"/>
          <w:sz w:val="20"/>
          <w:rtl/>
        </w:rPr>
        <w:t xml:space="preserve">فإنّه سيُعدّ منتهكاً لأحكام </w:t>
      </w:r>
      <w:r w:rsidRPr="00D24633">
        <w:rPr>
          <w:b/>
          <w:bCs/>
          <w:spacing w:val="0"/>
          <w:sz w:val="20"/>
          <w:rtl/>
        </w:rPr>
        <w:t>المادة 3 من الاتفاقية.</w:t>
      </w:r>
    </w:p>
    <w:p w:rsidR="004E0A37" w:rsidRPr="004E0A37" w:rsidRDefault="004E0A37" w:rsidP="002E2361">
      <w:pPr>
        <w:pStyle w:val="H23GA"/>
        <w:spacing w:line="374" w:lineRule="exact"/>
        <w:rPr>
          <w:rtl/>
          <w:lang/>
        </w:rPr>
      </w:pPr>
      <w:r w:rsidRPr="004E0A37">
        <w:rPr>
          <w:rFonts w:hint="cs"/>
          <w:rtl/>
          <w:lang/>
        </w:rPr>
        <w:tab/>
      </w:r>
      <w:r w:rsidRPr="004E0A37">
        <w:rPr>
          <w:rFonts w:hint="cs"/>
          <w:rtl/>
          <w:lang/>
        </w:rPr>
        <w:tab/>
      </w:r>
      <w:r w:rsidRPr="004E0A37">
        <w:rPr>
          <w:rtl/>
          <w:lang/>
        </w:rPr>
        <w:t>اللجوء إلى التعذيب في الشؤون الأمنية</w:t>
      </w:r>
    </w:p>
    <w:p w:rsidR="004E0A37" w:rsidRPr="004E0A37" w:rsidRDefault="0033301A" w:rsidP="002E2361">
      <w:pPr>
        <w:pStyle w:val="SingleTxtGA"/>
        <w:spacing w:line="374" w:lineRule="exact"/>
        <w:jc w:val="lowKashida"/>
        <w:rPr>
          <w:rFonts w:hint="cs"/>
          <w:spacing w:val="0"/>
          <w:sz w:val="20"/>
          <w:rtl/>
        </w:rPr>
      </w:pPr>
      <w:r>
        <w:rPr>
          <w:rFonts w:hint="cs"/>
          <w:spacing w:val="0"/>
          <w:sz w:val="20"/>
          <w:rtl/>
        </w:rPr>
        <w:t>(</w:t>
      </w:r>
      <w:r w:rsidR="004E0A37" w:rsidRPr="004E0A37">
        <w:rPr>
          <w:spacing w:val="0"/>
          <w:sz w:val="20"/>
          <w:rtl/>
        </w:rPr>
        <w:t>10</w:t>
      </w:r>
      <w:r w:rsidR="003E72B5">
        <w:rPr>
          <w:spacing w:val="0"/>
          <w:sz w:val="20"/>
          <w:rtl/>
        </w:rPr>
        <w:t>)</w:t>
      </w:r>
      <w:r w:rsidR="003E72B5">
        <w:rPr>
          <w:spacing w:val="0"/>
          <w:sz w:val="20"/>
          <w:rtl/>
        </w:rPr>
        <w:tab/>
      </w:r>
      <w:r w:rsidR="004E0A37" w:rsidRPr="004E0A37">
        <w:rPr>
          <w:spacing w:val="0"/>
          <w:sz w:val="20"/>
          <w:rtl/>
        </w:rPr>
        <w:t xml:space="preserve">تشعر اللجنة بالقلق إزاء العديد من ادعاءات التعذيب وسوء المعاملة من قبل ضباط الشرطة وموظفي السجون ولا سيما ضباط مديرية مراقبة التراب الوطني </w:t>
      </w:r>
      <w:r w:rsidR="004E0A37" w:rsidRPr="004E0A37">
        <w:rPr>
          <w:rFonts w:hint="cs"/>
          <w:spacing w:val="0"/>
          <w:sz w:val="20"/>
          <w:rtl/>
        </w:rPr>
        <w:t>-</w:t>
      </w:r>
      <w:r w:rsidR="004E0A37" w:rsidRPr="004E0A37">
        <w:rPr>
          <w:spacing w:val="0"/>
          <w:sz w:val="20"/>
          <w:rtl/>
        </w:rPr>
        <w:t xml:space="preserve"> الذين </w:t>
      </w:r>
      <w:r w:rsidR="004E0A37" w:rsidRPr="004E0A37">
        <w:rPr>
          <w:rFonts w:hint="cs"/>
          <w:spacing w:val="0"/>
          <w:sz w:val="20"/>
          <w:rtl/>
        </w:rPr>
        <w:t xml:space="preserve">أصبحوا الآن في عداد </w:t>
      </w:r>
      <w:r w:rsidR="004E0A37" w:rsidRPr="004E0A37">
        <w:rPr>
          <w:spacing w:val="0"/>
          <w:sz w:val="20"/>
          <w:rtl/>
        </w:rPr>
        <w:t xml:space="preserve">ضباط الشرطة القضائية </w:t>
      </w:r>
      <w:r w:rsidR="004E0A37" w:rsidRPr="004E0A37">
        <w:rPr>
          <w:rFonts w:hint="cs"/>
          <w:spacing w:val="0"/>
          <w:sz w:val="20"/>
          <w:rtl/>
        </w:rPr>
        <w:t>-</w:t>
      </w:r>
      <w:r w:rsidR="004E0A37" w:rsidRPr="004E0A37">
        <w:rPr>
          <w:spacing w:val="0"/>
          <w:sz w:val="20"/>
          <w:rtl/>
        </w:rPr>
        <w:t xml:space="preserve"> حينما يحرم الأشخاص من التمتع بالضمانات القانونية الأساسية مثل الوصول إلى محام </w:t>
      </w:r>
      <w:r w:rsidR="004E0A37" w:rsidRPr="004E0A37">
        <w:rPr>
          <w:rFonts w:hint="cs"/>
          <w:spacing w:val="0"/>
          <w:sz w:val="20"/>
          <w:rtl/>
        </w:rPr>
        <w:t>ولا سيما الأشخاص</w:t>
      </w:r>
      <w:r w:rsidR="004E0A37" w:rsidRPr="004E0A37">
        <w:rPr>
          <w:spacing w:val="0"/>
          <w:sz w:val="20"/>
          <w:rtl/>
        </w:rPr>
        <w:t xml:space="preserve"> الذين يشتبه في انتمائهم إلى شبكات إرهابية أو في كونهم من أنصار استقلال الصحراء الغربية أو أثناء الاستجوابات من أجل انتزاع اعترافات من المشتبه بضلوعهم في الإرهاب (المواد 2 و4 و11 و15)</w:t>
      </w:r>
      <w:r w:rsidR="004E0A37" w:rsidRPr="004E0A37">
        <w:rPr>
          <w:rFonts w:hint="cs"/>
          <w:spacing w:val="0"/>
          <w:sz w:val="20"/>
          <w:rtl/>
        </w:rPr>
        <w:t>.</w:t>
      </w:r>
    </w:p>
    <w:p w:rsidR="004E0A37" w:rsidRPr="00D24633" w:rsidRDefault="004E0A37" w:rsidP="002E2361">
      <w:pPr>
        <w:pStyle w:val="SingleTxtGA"/>
        <w:spacing w:line="374" w:lineRule="exact"/>
        <w:jc w:val="lowKashida"/>
        <w:rPr>
          <w:b/>
          <w:bCs/>
          <w:spacing w:val="0"/>
          <w:sz w:val="20"/>
          <w:rtl/>
        </w:rPr>
      </w:pPr>
      <w:r w:rsidRPr="00D24633">
        <w:rPr>
          <w:rFonts w:hint="cs"/>
          <w:b/>
          <w:bCs/>
          <w:spacing w:val="0"/>
          <w:sz w:val="20"/>
          <w:rtl/>
        </w:rPr>
        <w:tab/>
      </w:r>
      <w:r w:rsidRPr="00D24633">
        <w:rPr>
          <w:b/>
          <w:bCs/>
          <w:spacing w:val="0"/>
          <w:sz w:val="20"/>
          <w:rtl/>
        </w:rPr>
        <w:t xml:space="preserve">ينبغي أن تتخذ الدولة الطرف </w:t>
      </w:r>
      <w:r w:rsidRPr="00D24633">
        <w:rPr>
          <w:rFonts w:hint="cs"/>
          <w:b/>
          <w:bCs/>
          <w:spacing w:val="0"/>
          <w:sz w:val="20"/>
          <w:rtl/>
        </w:rPr>
        <w:t xml:space="preserve">فوراً </w:t>
      </w:r>
      <w:r w:rsidRPr="00D24633">
        <w:rPr>
          <w:b/>
          <w:bCs/>
          <w:spacing w:val="0"/>
          <w:sz w:val="20"/>
          <w:rtl/>
        </w:rPr>
        <w:t>خطوات ملموسة للتحقيق في أعمال التعذيب وملاحقة مرتكبيه ومعاقبتهم.</w:t>
      </w:r>
      <w:r w:rsidRPr="00D24633">
        <w:rPr>
          <w:rFonts w:hint="cs"/>
          <w:b/>
          <w:bCs/>
          <w:spacing w:val="0"/>
          <w:sz w:val="20"/>
          <w:rtl/>
        </w:rPr>
        <w:t xml:space="preserve"> </w:t>
      </w:r>
      <w:r w:rsidRPr="00D24633">
        <w:rPr>
          <w:b/>
          <w:bCs/>
          <w:spacing w:val="0"/>
          <w:sz w:val="20"/>
          <w:rtl/>
        </w:rPr>
        <w:t xml:space="preserve">وينبغي </w:t>
      </w:r>
      <w:r w:rsidRPr="00D24633">
        <w:rPr>
          <w:rFonts w:hint="cs"/>
          <w:b/>
          <w:bCs/>
          <w:spacing w:val="0"/>
          <w:sz w:val="20"/>
          <w:rtl/>
        </w:rPr>
        <w:t xml:space="preserve">لها </w:t>
      </w:r>
      <w:r w:rsidRPr="00D24633">
        <w:rPr>
          <w:b/>
          <w:bCs/>
          <w:spacing w:val="0"/>
          <w:sz w:val="20"/>
          <w:rtl/>
        </w:rPr>
        <w:t xml:space="preserve">أن </w:t>
      </w:r>
      <w:r w:rsidRPr="00D24633">
        <w:rPr>
          <w:rFonts w:hint="cs"/>
          <w:b/>
          <w:bCs/>
          <w:spacing w:val="0"/>
          <w:sz w:val="20"/>
          <w:rtl/>
        </w:rPr>
        <w:t>ت</w:t>
      </w:r>
      <w:r w:rsidRPr="00D24633">
        <w:rPr>
          <w:b/>
          <w:bCs/>
          <w:spacing w:val="0"/>
          <w:sz w:val="20"/>
          <w:rtl/>
        </w:rPr>
        <w:t xml:space="preserve">ضمن ألا يمارس أفراد الشرطة التعذيب، </w:t>
      </w:r>
      <w:r w:rsidRPr="00D24633">
        <w:rPr>
          <w:rFonts w:hint="cs"/>
          <w:b/>
          <w:bCs/>
          <w:spacing w:val="0"/>
          <w:sz w:val="20"/>
          <w:rtl/>
        </w:rPr>
        <w:t>و</w:t>
      </w:r>
      <w:r w:rsidRPr="00D24633">
        <w:rPr>
          <w:b/>
          <w:bCs/>
          <w:spacing w:val="0"/>
          <w:sz w:val="20"/>
          <w:rtl/>
        </w:rPr>
        <w:t xml:space="preserve">خاصة </w:t>
      </w:r>
      <w:r w:rsidRPr="00D24633">
        <w:rPr>
          <w:rFonts w:hint="cs"/>
          <w:b/>
          <w:bCs/>
          <w:spacing w:val="0"/>
          <w:sz w:val="20"/>
          <w:rtl/>
        </w:rPr>
        <w:t>بالتوكيد مجدّداً وبوضوح على ا</w:t>
      </w:r>
      <w:r w:rsidRPr="00D24633">
        <w:rPr>
          <w:b/>
          <w:bCs/>
          <w:spacing w:val="0"/>
          <w:sz w:val="20"/>
          <w:rtl/>
        </w:rPr>
        <w:t xml:space="preserve">لحظر المطلق للتعذيب وعبر الإدانة العلنية لممارسة التعذيب لا سيما من جانب الشرطة وموظفي السجون وأفراد مديرية مراقبة التراب الوطني، وعبر الإعلان الواضح </w:t>
      </w:r>
      <w:r w:rsidRPr="00D24633">
        <w:rPr>
          <w:rFonts w:hint="cs"/>
          <w:b/>
          <w:bCs/>
          <w:spacing w:val="0"/>
          <w:sz w:val="20"/>
          <w:rtl/>
        </w:rPr>
        <w:t xml:space="preserve">عن </w:t>
      </w:r>
      <w:r w:rsidRPr="00D24633">
        <w:rPr>
          <w:b/>
          <w:bCs/>
          <w:spacing w:val="0"/>
          <w:sz w:val="20"/>
          <w:rtl/>
        </w:rPr>
        <w:t>أن كل من يرتكب مثل هذه الأعمال ويتواطأ فيها أو</w:t>
      </w:r>
      <w:r w:rsidR="00A45814">
        <w:rPr>
          <w:rFonts w:hint="cs"/>
          <w:b/>
          <w:bCs/>
          <w:spacing w:val="0"/>
          <w:sz w:val="20"/>
          <w:rtl/>
        </w:rPr>
        <w:t> </w:t>
      </w:r>
      <w:r w:rsidRPr="00D24633">
        <w:rPr>
          <w:b/>
          <w:bCs/>
          <w:spacing w:val="0"/>
          <w:sz w:val="20"/>
          <w:rtl/>
        </w:rPr>
        <w:t>يشارك فيها سيُحمّل مسؤولية شخصية على ذلك أمام القانون وسيكون عرضة للملاحقة الجنائية،</w:t>
      </w:r>
      <w:r w:rsidRPr="00D24633">
        <w:rPr>
          <w:rFonts w:hint="cs"/>
          <w:b/>
          <w:bCs/>
          <w:spacing w:val="0"/>
          <w:sz w:val="20"/>
          <w:rtl/>
        </w:rPr>
        <w:t xml:space="preserve"> </w:t>
      </w:r>
      <w:r w:rsidRPr="00D24633">
        <w:rPr>
          <w:b/>
          <w:bCs/>
          <w:spacing w:val="0"/>
          <w:sz w:val="20"/>
          <w:rtl/>
        </w:rPr>
        <w:t>وسينال العقوبات المناسبة.</w:t>
      </w:r>
    </w:p>
    <w:p w:rsidR="004E0A37" w:rsidRPr="004E0A37" w:rsidRDefault="004E0A37" w:rsidP="00A51E27">
      <w:pPr>
        <w:pStyle w:val="H23GA"/>
        <w:rPr>
          <w:rtl/>
          <w:lang/>
        </w:rPr>
      </w:pPr>
      <w:r w:rsidRPr="004E0A37">
        <w:rPr>
          <w:rFonts w:hint="cs"/>
          <w:rtl/>
          <w:lang/>
        </w:rPr>
        <w:tab/>
      </w:r>
      <w:r w:rsidRPr="004E0A37">
        <w:rPr>
          <w:rFonts w:hint="cs"/>
          <w:rtl/>
          <w:lang/>
        </w:rPr>
        <w:tab/>
      </w:r>
      <w:r w:rsidRPr="004E0A37">
        <w:rPr>
          <w:rtl/>
          <w:lang/>
        </w:rPr>
        <w:t>"عمليات الترحيل السري"</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11</w:t>
      </w:r>
      <w:r w:rsidR="003E72B5">
        <w:rPr>
          <w:spacing w:val="0"/>
          <w:sz w:val="20"/>
          <w:rtl/>
        </w:rPr>
        <w:t>)</w:t>
      </w:r>
      <w:r w:rsidR="003E72B5">
        <w:rPr>
          <w:spacing w:val="0"/>
          <w:sz w:val="20"/>
          <w:rtl/>
        </w:rPr>
        <w:tab/>
      </w:r>
      <w:r w:rsidR="004E0A37" w:rsidRPr="004E0A37">
        <w:rPr>
          <w:rFonts w:hint="cs"/>
          <w:spacing w:val="0"/>
          <w:sz w:val="20"/>
          <w:rtl/>
        </w:rPr>
        <w:t xml:space="preserve">تحيط </w:t>
      </w:r>
      <w:r w:rsidR="004E0A37" w:rsidRPr="004E0A37">
        <w:rPr>
          <w:spacing w:val="0"/>
          <w:sz w:val="20"/>
          <w:rtl/>
        </w:rPr>
        <w:t>اللجنة</w:t>
      </w:r>
      <w:r w:rsidR="003833F8">
        <w:rPr>
          <w:spacing w:val="0"/>
          <w:sz w:val="20"/>
          <w:rtl/>
        </w:rPr>
        <w:t xml:space="preserve"> علماً </w:t>
      </w:r>
      <w:r w:rsidR="004E0A37" w:rsidRPr="004E0A37">
        <w:rPr>
          <w:spacing w:val="0"/>
          <w:sz w:val="20"/>
          <w:rtl/>
        </w:rPr>
        <w:t xml:space="preserve">بيانات الدولة الطرف التي </w:t>
      </w:r>
      <w:r w:rsidR="004E0A37" w:rsidRPr="004E0A37">
        <w:rPr>
          <w:rFonts w:hint="cs"/>
          <w:spacing w:val="0"/>
          <w:sz w:val="20"/>
          <w:rtl/>
        </w:rPr>
        <w:t xml:space="preserve">تنفي فيها ضلوعها </w:t>
      </w:r>
      <w:r w:rsidR="004E0A37" w:rsidRPr="004E0A37">
        <w:rPr>
          <w:spacing w:val="0"/>
          <w:sz w:val="20"/>
          <w:rtl/>
        </w:rPr>
        <w:t>في قضايا "عمليات الترحيل السري" المنفَّذة في سياق الحرب الدولية على الإرهاب. ومع ذلك</w:t>
      </w:r>
      <w:r w:rsidR="004E0A37" w:rsidRPr="004E0A37">
        <w:rPr>
          <w:rFonts w:hint="cs"/>
          <w:spacing w:val="0"/>
          <w:sz w:val="20"/>
          <w:rtl/>
        </w:rPr>
        <w:t xml:space="preserve"> فإن </w:t>
      </w:r>
      <w:r w:rsidR="004E0A37" w:rsidRPr="004E0A37">
        <w:rPr>
          <w:spacing w:val="0"/>
          <w:sz w:val="20"/>
          <w:rtl/>
        </w:rPr>
        <w:t>اللجنة لا </w:t>
      </w:r>
      <w:r w:rsidR="004E0A37" w:rsidRPr="004E0A37">
        <w:rPr>
          <w:rFonts w:hint="cs"/>
          <w:spacing w:val="0"/>
          <w:sz w:val="20"/>
          <w:rtl/>
        </w:rPr>
        <w:t xml:space="preserve">تزال </w:t>
      </w:r>
      <w:r w:rsidR="004E0A37" w:rsidRPr="004E0A37">
        <w:rPr>
          <w:spacing w:val="0"/>
          <w:sz w:val="20"/>
          <w:rtl/>
        </w:rPr>
        <w:t xml:space="preserve">تشعر بالقلق إزاء الادعاءات التي تفيد بأن المغرب ربما مَثَّل نقطة انطلاق وعبور ومقصد </w:t>
      </w:r>
      <w:r w:rsidR="004E0A37" w:rsidRPr="004E0A37">
        <w:rPr>
          <w:rFonts w:hint="cs"/>
          <w:spacing w:val="0"/>
          <w:sz w:val="20"/>
          <w:rtl/>
        </w:rPr>
        <w:t>"</w:t>
      </w:r>
      <w:r w:rsidR="004E0A37" w:rsidRPr="004E0A37">
        <w:rPr>
          <w:spacing w:val="0"/>
          <w:sz w:val="20"/>
          <w:rtl/>
        </w:rPr>
        <w:t>ل</w:t>
      </w:r>
      <w:r w:rsidR="004E0A37" w:rsidRPr="004E0A37">
        <w:rPr>
          <w:rFonts w:hint="cs"/>
          <w:spacing w:val="0"/>
          <w:sz w:val="20"/>
          <w:rtl/>
        </w:rPr>
        <w:t>‍</w:t>
      </w:r>
      <w:r w:rsidR="004E0A37" w:rsidRPr="004E0A37">
        <w:rPr>
          <w:spacing w:val="0"/>
          <w:sz w:val="20"/>
          <w:rtl/>
        </w:rPr>
        <w:t xml:space="preserve">عمليات الترحيل السري" المنفذة خارج أي إطار قانوني، لا سيما في حالة محمد بنيام، ورامز بلشيب، ومحمد قطيط. وأشارت اللجنة إلى أن المعلومات الناقصة التي قدمتها الدولة الطرف بشأن التحقيقات التي أجرتها في هذا الصدد لا تكفي لتبديد هذه المزاعم. ويساور اللجنة قلق بالغ إزاء الادعاءات التي تفيد </w:t>
      </w:r>
      <w:r w:rsidR="004E0A37" w:rsidRPr="004E0A37">
        <w:rPr>
          <w:rFonts w:hint="cs"/>
          <w:spacing w:val="0"/>
          <w:sz w:val="20"/>
          <w:rtl/>
        </w:rPr>
        <w:t>ب</w:t>
      </w:r>
      <w:r w:rsidR="004E0A37" w:rsidRPr="004E0A37">
        <w:rPr>
          <w:spacing w:val="0"/>
          <w:sz w:val="20"/>
          <w:rtl/>
        </w:rPr>
        <w:t xml:space="preserve">أن كل "عمليات الترحيل السري" هذه ربما اقترنت بحبس انفرادي و/أو بحبس في أماكن سرية، وبأعمال تعذيب وسوء معاملة، لا سيما أثناء استجواب المشتبه فيهم، فضلاً عن حالات ترحيل إلى دول </w:t>
      </w:r>
      <w:r w:rsidR="004E0A37" w:rsidRPr="004E0A37">
        <w:rPr>
          <w:rFonts w:hint="cs"/>
          <w:spacing w:val="0"/>
          <w:sz w:val="20"/>
          <w:rtl/>
        </w:rPr>
        <w:t xml:space="preserve">قد يكون </w:t>
      </w:r>
      <w:r w:rsidR="004E0A37" w:rsidRPr="004E0A37">
        <w:rPr>
          <w:spacing w:val="0"/>
          <w:sz w:val="20"/>
          <w:rtl/>
        </w:rPr>
        <w:t>هؤلاء الأشخاص تعرضوا فيها أيضاً للتعذيب (المواد 2 و3 و5 و11 و12 و16)</w:t>
      </w:r>
      <w:r w:rsidR="004E0A37" w:rsidRPr="004E0A37">
        <w:rPr>
          <w:rFonts w:hint="cs"/>
          <w:spacing w:val="0"/>
          <w:sz w:val="20"/>
          <w:rtl/>
        </w:rPr>
        <w:t>.</w:t>
      </w:r>
    </w:p>
    <w:p w:rsidR="004E0A37" w:rsidRPr="00D24633" w:rsidRDefault="004E0A37" w:rsidP="004E0A37">
      <w:pPr>
        <w:pStyle w:val="SingleTxtGA"/>
        <w:jc w:val="lowKashida"/>
        <w:rPr>
          <w:b/>
          <w:bCs/>
          <w:spacing w:val="-2"/>
          <w:sz w:val="20"/>
          <w:rtl/>
        </w:rPr>
      </w:pPr>
      <w:r w:rsidRPr="00D24633">
        <w:rPr>
          <w:rFonts w:hint="cs"/>
          <w:b/>
          <w:bCs/>
          <w:spacing w:val="-2"/>
          <w:sz w:val="20"/>
          <w:rtl/>
        </w:rPr>
        <w:tab/>
      </w:r>
      <w:r w:rsidRPr="00D24633">
        <w:rPr>
          <w:b/>
          <w:bCs/>
          <w:spacing w:val="-2"/>
          <w:sz w:val="20"/>
          <w:rtl/>
        </w:rPr>
        <w:t>ينبغي أن تكفل الدولة الطرف عدم تعرض أي فرد وضع تحت سلطتها في وقت م</w:t>
      </w:r>
      <w:r w:rsidRPr="00D24633">
        <w:rPr>
          <w:rFonts w:hint="cs"/>
          <w:b/>
          <w:bCs/>
          <w:spacing w:val="-2"/>
          <w:sz w:val="20"/>
          <w:rtl/>
        </w:rPr>
        <w:t>ّا</w:t>
      </w:r>
      <w:r w:rsidRPr="00D24633">
        <w:rPr>
          <w:b/>
          <w:bCs/>
          <w:spacing w:val="-2"/>
          <w:sz w:val="20"/>
          <w:rtl/>
        </w:rPr>
        <w:t xml:space="preserve"> "لعمليات ترحيل" من هذا القبيل. فترحيل وإبعاد واحتجاز واستجواب الأشخاص في مثل تلك الظروف </w:t>
      </w:r>
      <w:r w:rsidRPr="00D24633">
        <w:rPr>
          <w:rFonts w:hint="cs"/>
          <w:b/>
          <w:bCs/>
          <w:spacing w:val="-2"/>
          <w:sz w:val="20"/>
          <w:rtl/>
        </w:rPr>
        <w:t xml:space="preserve">أمورٌ </w:t>
      </w:r>
      <w:r w:rsidRPr="00D24633">
        <w:rPr>
          <w:b/>
          <w:bCs/>
          <w:spacing w:val="-2"/>
          <w:sz w:val="20"/>
          <w:rtl/>
        </w:rPr>
        <w:t>تمث</w:t>
      </w:r>
      <w:r w:rsidRPr="00D24633">
        <w:rPr>
          <w:rFonts w:hint="cs"/>
          <w:b/>
          <w:bCs/>
          <w:spacing w:val="-2"/>
          <w:sz w:val="20"/>
          <w:rtl/>
        </w:rPr>
        <w:t>ّ</w:t>
      </w:r>
      <w:r w:rsidRPr="00D24633">
        <w:rPr>
          <w:b/>
          <w:bCs/>
          <w:spacing w:val="-2"/>
          <w:sz w:val="20"/>
          <w:rtl/>
        </w:rPr>
        <w:t xml:space="preserve">ل في حد ذاتها انتهاكاً للاتفاقية. وينبغي أن تجري الدولة الطرف تحقيقات فعالة </w:t>
      </w:r>
      <w:r w:rsidRPr="00D24633">
        <w:rPr>
          <w:rFonts w:hint="cs"/>
          <w:b/>
          <w:bCs/>
          <w:spacing w:val="-2"/>
          <w:sz w:val="20"/>
          <w:rtl/>
        </w:rPr>
        <w:t>ونزيهة</w:t>
      </w:r>
      <w:r w:rsidRPr="00D24633">
        <w:rPr>
          <w:b/>
          <w:bCs/>
          <w:spacing w:val="-2"/>
          <w:sz w:val="20"/>
          <w:rtl/>
        </w:rPr>
        <w:t xml:space="preserve"> وأن تسلط الضوء</w:t>
      </w:r>
      <w:r w:rsidRPr="00D24633">
        <w:rPr>
          <w:rFonts w:hint="cs"/>
          <w:b/>
          <w:bCs/>
          <w:spacing w:val="-2"/>
          <w:sz w:val="20"/>
          <w:rtl/>
        </w:rPr>
        <w:t xml:space="preserve">، عند الضرورة، </w:t>
      </w:r>
      <w:r w:rsidRPr="00D24633">
        <w:rPr>
          <w:b/>
          <w:bCs/>
          <w:spacing w:val="-2"/>
          <w:sz w:val="20"/>
          <w:rtl/>
        </w:rPr>
        <w:t xml:space="preserve">على "عمليات الترحيل السري" التي قد لعبت فيها دوراً. </w:t>
      </w:r>
      <w:r w:rsidRPr="00D24633">
        <w:rPr>
          <w:rFonts w:hint="cs"/>
          <w:b/>
          <w:bCs/>
          <w:spacing w:val="-2"/>
          <w:sz w:val="20"/>
          <w:rtl/>
        </w:rPr>
        <w:t>و</w:t>
      </w:r>
      <w:r w:rsidRPr="00D24633">
        <w:rPr>
          <w:b/>
          <w:bCs/>
          <w:spacing w:val="-2"/>
          <w:sz w:val="20"/>
          <w:rtl/>
        </w:rPr>
        <w:t xml:space="preserve">ينبغي أن تحيل إلى القضاء وتعاقب منفذي عمليات الإبعاد هذه. </w:t>
      </w:r>
    </w:p>
    <w:p w:rsidR="004E0A37" w:rsidRPr="004E0A37" w:rsidRDefault="004E0A37" w:rsidP="00A51E27">
      <w:pPr>
        <w:pStyle w:val="H23GA"/>
        <w:rPr>
          <w:rtl/>
          <w:lang/>
        </w:rPr>
      </w:pPr>
      <w:r w:rsidRPr="004E0A37">
        <w:rPr>
          <w:rFonts w:hint="cs"/>
          <w:rtl/>
          <w:lang/>
        </w:rPr>
        <w:tab/>
      </w:r>
      <w:r w:rsidRPr="004E0A37">
        <w:rPr>
          <w:rFonts w:hint="cs"/>
          <w:rtl/>
          <w:lang/>
        </w:rPr>
        <w:tab/>
      </w:r>
      <w:r w:rsidRPr="004E0A37">
        <w:rPr>
          <w:rtl/>
          <w:lang/>
        </w:rPr>
        <w:t>الأحداث المتعلقة بالصحراء الغربية</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12</w:t>
      </w:r>
      <w:r w:rsidR="003E72B5">
        <w:rPr>
          <w:spacing w:val="0"/>
          <w:sz w:val="20"/>
          <w:rtl/>
        </w:rPr>
        <w:t>)</w:t>
      </w:r>
      <w:r w:rsidR="003E72B5">
        <w:rPr>
          <w:spacing w:val="0"/>
          <w:sz w:val="20"/>
          <w:rtl/>
        </w:rPr>
        <w:tab/>
      </w:r>
      <w:r w:rsidR="004E0A37" w:rsidRPr="004E0A37">
        <w:rPr>
          <w:spacing w:val="0"/>
          <w:sz w:val="20"/>
          <w:rtl/>
        </w:rPr>
        <w:t xml:space="preserve">يساور اللجنة قلق إزاء الادعاءات الواردة بشأن الوضع في الصحراء الغربية التي </w:t>
      </w:r>
      <w:r w:rsidR="004E0A37" w:rsidRPr="004E0A37">
        <w:rPr>
          <w:rFonts w:hint="cs"/>
          <w:spacing w:val="0"/>
          <w:sz w:val="20"/>
          <w:rtl/>
        </w:rPr>
        <w:t xml:space="preserve">قد يكون </w:t>
      </w:r>
      <w:r w:rsidR="004E0A37" w:rsidRPr="004E0A37">
        <w:rPr>
          <w:spacing w:val="0"/>
          <w:sz w:val="20"/>
          <w:rtl/>
        </w:rPr>
        <w:t xml:space="preserve">مُورس فيها </w:t>
      </w:r>
      <w:r w:rsidR="004E0A37" w:rsidRPr="004E0A37">
        <w:rPr>
          <w:rFonts w:hint="cs"/>
          <w:spacing w:val="0"/>
          <w:sz w:val="20"/>
          <w:rtl/>
        </w:rPr>
        <w:t xml:space="preserve">عمليات اعتقال واحتجاز تعسفي واحتجاز انفرادي </w:t>
      </w:r>
      <w:r w:rsidR="004E0A37" w:rsidRPr="004E0A37">
        <w:rPr>
          <w:spacing w:val="0"/>
          <w:sz w:val="20"/>
          <w:rtl/>
        </w:rPr>
        <w:t xml:space="preserve">وفي أماكن سرية، وأعمال تعذيب وسوء معاملة، وانتزاع اعترافات تحت التعذيب، واستخدام مفرط للقوة من قبل قوات إنفاذ القانون ومن قبل </w:t>
      </w:r>
      <w:r w:rsidR="004E0A37" w:rsidRPr="004E0A37">
        <w:rPr>
          <w:rFonts w:hint="cs"/>
          <w:spacing w:val="0"/>
          <w:sz w:val="20"/>
          <w:rtl/>
        </w:rPr>
        <w:t>قوى</w:t>
      </w:r>
      <w:r w:rsidR="004E0A37" w:rsidRPr="004E0A37">
        <w:rPr>
          <w:spacing w:val="0"/>
          <w:sz w:val="20"/>
          <w:rtl/>
        </w:rPr>
        <w:t xml:space="preserve"> الأمن المغربية.</w:t>
      </w:r>
    </w:p>
    <w:p w:rsidR="004E0A37" w:rsidRPr="002E2361" w:rsidRDefault="004E0A37" w:rsidP="002E2361">
      <w:pPr>
        <w:pStyle w:val="SingleTxtGA"/>
        <w:spacing w:line="370" w:lineRule="exact"/>
        <w:jc w:val="lowKashida"/>
        <w:rPr>
          <w:b/>
          <w:bCs/>
          <w:spacing w:val="-2"/>
          <w:kern w:val="0"/>
          <w:sz w:val="20"/>
          <w:rtl/>
        </w:rPr>
      </w:pPr>
      <w:r w:rsidRPr="002E2361">
        <w:rPr>
          <w:rFonts w:hint="cs"/>
          <w:b/>
          <w:bCs/>
          <w:spacing w:val="-2"/>
          <w:kern w:val="0"/>
          <w:sz w:val="20"/>
          <w:rtl/>
        </w:rPr>
        <w:tab/>
      </w:r>
      <w:r w:rsidRPr="002E2361">
        <w:rPr>
          <w:b/>
          <w:bCs/>
          <w:spacing w:val="-2"/>
          <w:kern w:val="0"/>
          <w:sz w:val="20"/>
          <w:rtl/>
        </w:rPr>
        <w:t xml:space="preserve">تذكّر اللجنة أيضاً مرة أخرى </w:t>
      </w:r>
      <w:r w:rsidRPr="002E2361">
        <w:rPr>
          <w:rFonts w:hint="cs"/>
          <w:b/>
          <w:bCs/>
          <w:spacing w:val="-2"/>
          <w:kern w:val="0"/>
          <w:sz w:val="20"/>
          <w:rtl/>
        </w:rPr>
        <w:t>ب</w:t>
      </w:r>
      <w:r w:rsidRPr="002E2361">
        <w:rPr>
          <w:b/>
          <w:bCs/>
          <w:spacing w:val="-2"/>
          <w:kern w:val="0"/>
          <w:sz w:val="20"/>
          <w:rtl/>
        </w:rPr>
        <w:t>أنه لا </w:t>
      </w:r>
      <w:r w:rsidRPr="002E2361">
        <w:rPr>
          <w:rFonts w:hint="cs"/>
          <w:b/>
          <w:bCs/>
          <w:spacing w:val="-2"/>
          <w:kern w:val="0"/>
          <w:sz w:val="20"/>
          <w:rtl/>
        </w:rPr>
        <w:t xml:space="preserve">يجوز، </w:t>
      </w:r>
      <w:r w:rsidRPr="002E2361">
        <w:rPr>
          <w:b/>
          <w:bCs/>
          <w:spacing w:val="-2"/>
          <w:kern w:val="0"/>
          <w:sz w:val="20"/>
          <w:rtl/>
        </w:rPr>
        <w:t>بموجب اتفاقية مناهضة التعذيب وغيره من ضروب المعاملة أو العقوبة القاسية أو اللاإنسانية أو المهينة</w:t>
      </w:r>
      <w:r w:rsidRPr="002E2361">
        <w:rPr>
          <w:rFonts w:hint="cs"/>
          <w:b/>
          <w:bCs/>
          <w:spacing w:val="-2"/>
          <w:kern w:val="0"/>
          <w:sz w:val="20"/>
          <w:rtl/>
        </w:rPr>
        <w:t>،</w:t>
      </w:r>
      <w:r w:rsidRPr="002E2361">
        <w:rPr>
          <w:b/>
          <w:bCs/>
          <w:spacing w:val="-2"/>
          <w:kern w:val="0"/>
          <w:sz w:val="20"/>
          <w:rtl/>
        </w:rPr>
        <w:t xml:space="preserve"> الاعتداد بأي ظرف استثنائي </w:t>
      </w:r>
      <w:r w:rsidRPr="002E2361">
        <w:rPr>
          <w:rFonts w:hint="cs"/>
          <w:b/>
          <w:bCs/>
          <w:spacing w:val="-2"/>
          <w:kern w:val="0"/>
          <w:sz w:val="20"/>
          <w:rtl/>
        </w:rPr>
        <w:t xml:space="preserve">مهما </w:t>
      </w:r>
      <w:r w:rsidRPr="002E2361">
        <w:rPr>
          <w:b/>
          <w:bCs/>
          <w:spacing w:val="-2"/>
          <w:kern w:val="0"/>
          <w:sz w:val="20"/>
          <w:rtl/>
        </w:rPr>
        <w:t xml:space="preserve">كان لتبرير التعذيب في الأراضي الخاضعة للولاية القانونية للدولة الطرف، </w:t>
      </w:r>
      <w:r w:rsidRPr="002E2361">
        <w:rPr>
          <w:rFonts w:hint="cs"/>
          <w:b/>
          <w:bCs/>
          <w:spacing w:val="-2"/>
          <w:kern w:val="0"/>
          <w:sz w:val="20"/>
          <w:rtl/>
        </w:rPr>
        <w:t xml:space="preserve">كما ينبغي تطبيق </w:t>
      </w:r>
      <w:r w:rsidRPr="002E2361">
        <w:rPr>
          <w:b/>
          <w:bCs/>
          <w:spacing w:val="-2"/>
          <w:kern w:val="0"/>
          <w:sz w:val="20"/>
          <w:rtl/>
        </w:rPr>
        <w:t xml:space="preserve">تدابير حفظ النظام وإجراءات التحقيق والتحري في ظل الاحترام الكامل للقانون الدولي لحقوق الإنسان، وللإجراءات القضائية والضمانات الأساسية السارية في الدولة الطرف. وينبغي أن تتخذ الدولة الطرف تدابير عاجلة وملموسة لمنع حدوث أعمال التعذيب وسوء المعاملة </w:t>
      </w:r>
      <w:r w:rsidRPr="002E2361">
        <w:rPr>
          <w:rFonts w:hint="cs"/>
          <w:b/>
          <w:bCs/>
          <w:spacing w:val="-2"/>
          <w:kern w:val="0"/>
          <w:sz w:val="20"/>
          <w:rtl/>
        </w:rPr>
        <w:t>المذكورة آنفاً</w:t>
      </w:r>
      <w:r w:rsidRPr="002E2361">
        <w:rPr>
          <w:b/>
          <w:bCs/>
          <w:spacing w:val="-2"/>
          <w:kern w:val="0"/>
          <w:sz w:val="20"/>
          <w:rtl/>
        </w:rPr>
        <w:t xml:space="preserve">. </w:t>
      </w:r>
      <w:r w:rsidRPr="002E2361">
        <w:rPr>
          <w:rFonts w:hint="cs"/>
          <w:b/>
          <w:bCs/>
          <w:spacing w:val="-2"/>
          <w:kern w:val="0"/>
          <w:sz w:val="20"/>
          <w:rtl/>
        </w:rPr>
        <w:t>و</w:t>
      </w:r>
      <w:r w:rsidRPr="002E2361">
        <w:rPr>
          <w:b/>
          <w:bCs/>
          <w:spacing w:val="-2"/>
          <w:kern w:val="0"/>
          <w:sz w:val="20"/>
          <w:rtl/>
        </w:rPr>
        <w:t>علاوة على ذلك، ينبغي لها أن تعلن سياسة من شأنها أن تؤدي إلى نتائج يمكن قياسها بهدف القضاء على كل أعمال التعذيب وكل سوء معاملة من قبل موظفي الدولة. وينبغي أن تعزز الدولة الطرف التدابير</w:t>
      </w:r>
      <w:r w:rsidRPr="002E2361">
        <w:rPr>
          <w:rFonts w:hint="eastAsia"/>
          <w:b/>
          <w:bCs/>
          <w:spacing w:val="-2"/>
          <w:kern w:val="0"/>
          <w:sz w:val="20"/>
          <w:rtl/>
        </w:rPr>
        <w:t> </w:t>
      </w:r>
      <w:r w:rsidRPr="002E2361">
        <w:rPr>
          <w:b/>
          <w:bCs/>
          <w:spacing w:val="-2"/>
          <w:kern w:val="0"/>
          <w:sz w:val="20"/>
          <w:rtl/>
        </w:rPr>
        <w:t xml:space="preserve">المتخذة من أجل إجراء تحقيقات </w:t>
      </w:r>
      <w:r w:rsidRPr="002E2361">
        <w:rPr>
          <w:rFonts w:hint="cs"/>
          <w:b/>
          <w:bCs/>
          <w:spacing w:val="-2"/>
          <w:kern w:val="0"/>
          <w:sz w:val="20"/>
          <w:rtl/>
        </w:rPr>
        <w:t xml:space="preserve">مُسْهَبة ونزيهة </w:t>
      </w:r>
      <w:r w:rsidRPr="002E2361">
        <w:rPr>
          <w:b/>
          <w:bCs/>
          <w:spacing w:val="-2"/>
          <w:kern w:val="0"/>
          <w:sz w:val="20"/>
          <w:rtl/>
        </w:rPr>
        <w:t xml:space="preserve">وفعالة على وجه السرعة في جميع مزاعم التعذيب وسوء </w:t>
      </w:r>
      <w:r w:rsidRPr="002E2361">
        <w:rPr>
          <w:rFonts w:hint="cs"/>
          <w:b/>
          <w:bCs/>
          <w:spacing w:val="-2"/>
          <w:kern w:val="0"/>
          <w:sz w:val="20"/>
          <w:rtl/>
        </w:rPr>
        <w:t>ال</w:t>
      </w:r>
      <w:r w:rsidRPr="002E2361">
        <w:rPr>
          <w:b/>
          <w:bCs/>
          <w:spacing w:val="-2"/>
          <w:kern w:val="0"/>
          <w:sz w:val="20"/>
          <w:rtl/>
        </w:rPr>
        <w:t xml:space="preserve">معاملة التي </w:t>
      </w:r>
      <w:r w:rsidRPr="002E2361">
        <w:rPr>
          <w:rFonts w:hint="cs"/>
          <w:b/>
          <w:bCs/>
          <w:spacing w:val="-2"/>
          <w:kern w:val="0"/>
          <w:sz w:val="20"/>
          <w:rtl/>
        </w:rPr>
        <w:t>ي</w:t>
      </w:r>
      <w:r w:rsidRPr="002E2361">
        <w:rPr>
          <w:b/>
          <w:bCs/>
          <w:spacing w:val="-2"/>
          <w:kern w:val="0"/>
          <w:sz w:val="20"/>
          <w:rtl/>
        </w:rPr>
        <w:t>تعرض لها سجناء ومحتجز</w:t>
      </w:r>
      <w:r w:rsidRPr="002E2361">
        <w:rPr>
          <w:rFonts w:hint="cs"/>
          <w:b/>
          <w:bCs/>
          <w:spacing w:val="-2"/>
          <w:kern w:val="0"/>
          <w:sz w:val="20"/>
          <w:rtl/>
        </w:rPr>
        <w:t>و</w:t>
      </w:r>
      <w:r w:rsidRPr="002E2361">
        <w:rPr>
          <w:b/>
          <w:bCs/>
          <w:spacing w:val="-2"/>
          <w:kern w:val="0"/>
          <w:sz w:val="20"/>
          <w:rtl/>
        </w:rPr>
        <w:t xml:space="preserve">ن، وكذلك في جميع الحالات الأخرى. </w:t>
      </w:r>
    </w:p>
    <w:p w:rsidR="004E0A37" w:rsidRPr="004E0A37" w:rsidRDefault="004E0A37" w:rsidP="00A51E27">
      <w:pPr>
        <w:pStyle w:val="H23GA"/>
        <w:rPr>
          <w:rtl/>
          <w:lang/>
        </w:rPr>
      </w:pPr>
      <w:r w:rsidRPr="004E0A37">
        <w:rPr>
          <w:rFonts w:hint="cs"/>
          <w:rtl/>
          <w:lang/>
        </w:rPr>
        <w:tab/>
      </w:r>
      <w:r w:rsidRPr="004E0A37">
        <w:rPr>
          <w:rFonts w:hint="cs"/>
          <w:rtl/>
          <w:lang/>
        </w:rPr>
        <w:tab/>
      </w:r>
      <w:r w:rsidRPr="004E0A37">
        <w:rPr>
          <w:rtl/>
          <w:lang/>
        </w:rPr>
        <w:t>مخيم اكديم الزيك</w:t>
      </w:r>
    </w:p>
    <w:p w:rsidR="004E0A37" w:rsidRPr="004E0A37" w:rsidRDefault="0033301A" w:rsidP="00D24633">
      <w:pPr>
        <w:pStyle w:val="SingleTxtGA"/>
        <w:jc w:val="lowKashida"/>
        <w:rPr>
          <w:rFonts w:hint="cs"/>
          <w:spacing w:val="0"/>
          <w:sz w:val="20"/>
          <w:rtl/>
        </w:rPr>
      </w:pPr>
      <w:r>
        <w:rPr>
          <w:rFonts w:hint="cs"/>
          <w:spacing w:val="0"/>
          <w:sz w:val="20"/>
          <w:rtl/>
        </w:rPr>
        <w:t>(</w:t>
      </w:r>
      <w:r w:rsidR="004E0A37" w:rsidRPr="004E0A37">
        <w:rPr>
          <w:spacing w:val="0"/>
          <w:sz w:val="20"/>
          <w:rtl/>
        </w:rPr>
        <w:t>13</w:t>
      </w:r>
      <w:r w:rsidR="003E72B5">
        <w:rPr>
          <w:spacing w:val="0"/>
          <w:sz w:val="20"/>
          <w:rtl/>
        </w:rPr>
        <w:t>)</w:t>
      </w:r>
      <w:r w:rsidR="003E72B5">
        <w:rPr>
          <w:spacing w:val="0"/>
          <w:sz w:val="20"/>
          <w:rtl/>
        </w:rPr>
        <w:tab/>
      </w:r>
      <w:r w:rsidR="004E0A37" w:rsidRPr="004E0A37">
        <w:rPr>
          <w:spacing w:val="0"/>
          <w:sz w:val="20"/>
          <w:rtl/>
        </w:rPr>
        <w:t xml:space="preserve">تشعر اللجنة بقلق بالغ إزاء الظروف </w:t>
      </w:r>
      <w:r w:rsidR="004E0A37" w:rsidRPr="004E0A37">
        <w:rPr>
          <w:rFonts w:hint="cs"/>
          <w:spacing w:val="0"/>
          <w:sz w:val="20"/>
          <w:rtl/>
        </w:rPr>
        <w:t xml:space="preserve">التي لابست إخلاء </w:t>
      </w:r>
      <w:r w:rsidR="004E0A37" w:rsidRPr="004E0A37">
        <w:rPr>
          <w:spacing w:val="0"/>
          <w:sz w:val="20"/>
          <w:rtl/>
        </w:rPr>
        <w:t xml:space="preserve">مخيم اكديم الزيك في تشرين الثاني/نوفمبر عام 2010، حيث قتل الكثير من </w:t>
      </w:r>
      <w:r w:rsidR="004E0A37" w:rsidRPr="004E0A37">
        <w:rPr>
          <w:rFonts w:hint="cs"/>
          <w:spacing w:val="0"/>
          <w:sz w:val="20"/>
          <w:rtl/>
        </w:rPr>
        <w:t xml:space="preserve">الناس </w:t>
      </w:r>
      <w:r w:rsidR="004E0A37" w:rsidRPr="004E0A37">
        <w:rPr>
          <w:spacing w:val="0"/>
          <w:sz w:val="20"/>
          <w:rtl/>
        </w:rPr>
        <w:t xml:space="preserve">أثناء </w:t>
      </w:r>
      <w:r w:rsidR="004E0A37" w:rsidRPr="004E0A37">
        <w:rPr>
          <w:rFonts w:hint="cs"/>
          <w:spacing w:val="0"/>
          <w:sz w:val="20"/>
          <w:rtl/>
        </w:rPr>
        <w:t xml:space="preserve">عملية الإخلاء من بينهم </w:t>
      </w:r>
      <w:r w:rsidR="004E0A37" w:rsidRPr="004E0A37">
        <w:rPr>
          <w:spacing w:val="0"/>
          <w:sz w:val="20"/>
          <w:rtl/>
        </w:rPr>
        <w:t>أفراد القوات المكلفة بإن</w:t>
      </w:r>
      <w:r w:rsidR="00D24633">
        <w:rPr>
          <w:rFonts w:hint="cs"/>
          <w:spacing w:val="0"/>
          <w:sz w:val="20"/>
          <w:rtl/>
        </w:rPr>
        <w:t>ف</w:t>
      </w:r>
      <w:r w:rsidR="004E0A37" w:rsidRPr="004E0A37">
        <w:rPr>
          <w:spacing w:val="0"/>
          <w:sz w:val="20"/>
          <w:rtl/>
        </w:rPr>
        <w:t>اذ القانون و</w:t>
      </w:r>
      <w:r w:rsidR="004E0A37" w:rsidRPr="004E0A37">
        <w:rPr>
          <w:rFonts w:hint="cs"/>
          <w:spacing w:val="0"/>
          <w:sz w:val="20"/>
          <w:rtl/>
        </w:rPr>
        <w:t xml:space="preserve">اعتقل </w:t>
      </w:r>
      <w:r w:rsidR="004E0A37" w:rsidRPr="004E0A37">
        <w:rPr>
          <w:spacing w:val="0"/>
          <w:sz w:val="20"/>
          <w:rtl/>
        </w:rPr>
        <w:t xml:space="preserve">مئات </w:t>
      </w:r>
      <w:r w:rsidR="004E0A37" w:rsidRPr="004E0A37">
        <w:rPr>
          <w:rFonts w:hint="cs"/>
          <w:spacing w:val="0"/>
          <w:sz w:val="20"/>
          <w:rtl/>
        </w:rPr>
        <w:t>آخرون</w:t>
      </w:r>
      <w:r w:rsidR="004E0A37" w:rsidRPr="004E0A37">
        <w:rPr>
          <w:spacing w:val="0"/>
          <w:sz w:val="20"/>
          <w:rtl/>
        </w:rPr>
        <w:t xml:space="preserve">. </w:t>
      </w:r>
      <w:r w:rsidR="004E0A37" w:rsidRPr="004E0A37">
        <w:rPr>
          <w:rFonts w:hint="cs"/>
          <w:spacing w:val="0"/>
          <w:sz w:val="20"/>
          <w:rtl/>
        </w:rPr>
        <w:t>و</w:t>
      </w:r>
      <w:r w:rsidR="004E0A37" w:rsidRPr="004E0A37">
        <w:rPr>
          <w:spacing w:val="0"/>
          <w:sz w:val="20"/>
          <w:rtl/>
        </w:rPr>
        <w:t xml:space="preserve">تعترف اللجنة </w:t>
      </w:r>
      <w:r w:rsidR="004E0A37" w:rsidRPr="004E0A37">
        <w:rPr>
          <w:rFonts w:hint="cs"/>
          <w:spacing w:val="0"/>
          <w:sz w:val="20"/>
          <w:rtl/>
        </w:rPr>
        <w:t>ب</w:t>
      </w:r>
      <w:r w:rsidR="004E0A37" w:rsidRPr="004E0A37">
        <w:rPr>
          <w:spacing w:val="0"/>
          <w:sz w:val="20"/>
          <w:rtl/>
        </w:rPr>
        <w:t xml:space="preserve">أن الغالبية العظمى </w:t>
      </w:r>
      <w:r w:rsidR="004E0A37" w:rsidRPr="004E0A37">
        <w:rPr>
          <w:rFonts w:hint="cs"/>
          <w:spacing w:val="0"/>
          <w:sz w:val="20"/>
          <w:rtl/>
        </w:rPr>
        <w:t xml:space="preserve">ممّن أوقفوا </w:t>
      </w:r>
      <w:r w:rsidR="004E0A37" w:rsidRPr="004E0A37">
        <w:rPr>
          <w:spacing w:val="0"/>
          <w:sz w:val="20"/>
          <w:rtl/>
        </w:rPr>
        <w:t xml:space="preserve">تم الإفراج عنهم منذ ذلك الحين </w:t>
      </w:r>
      <w:r w:rsidR="004E0A37" w:rsidRPr="004E0A37">
        <w:rPr>
          <w:rFonts w:hint="cs"/>
          <w:spacing w:val="0"/>
          <w:sz w:val="20"/>
          <w:rtl/>
        </w:rPr>
        <w:t>ريثما تتم محاكمتهم</w:t>
      </w:r>
      <w:r w:rsidR="004E0A37" w:rsidRPr="004E0A37">
        <w:rPr>
          <w:spacing w:val="0"/>
          <w:sz w:val="20"/>
          <w:rtl/>
        </w:rPr>
        <w:t>. ومع ذلك، فإنها تشعر ببالغ القلق</w:t>
      </w:r>
      <w:r w:rsidR="004E0A37" w:rsidRPr="004E0A37">
        <w:rPr>
          <w:rFonts w:hint="cs"/>
          <w:spacing w:val="0"/>
          <w:sz w:val="20"/>
          <w:rtl/>
        </w:rPr>
        <w:t xml:space="preserve"> لأن</w:t>
      </w:r>
      <w:r w:rsidR="004E0A37" w:rsidRPr="004E0A37">
        <w:rPr>
          <w:spacing w:val="0"/>
          <w:sz w:val="20"/>
          <w:rtl/>
        </w:rPr>
        <w:t xml:space="preserve"> هذه المحاكمات ستتم في محاكم عسكرية مع أن </w:t>
      </w:r>
      <w:r w:rsidR="004E0A37" w:rsidRPr="004E0A37">
        <w:rPr>
          <w:rFonts w:hint="cs"/>
          <w:spacing w:val="0"/>
          <w:sz w:val="20"/>
          <w:rtl/>
        </w:rPr>
        <w:t xml:space="preserve">المعنييّن </w:t>
      </w:r>
      <w:r w:rsidR="004E0A37" w:rsidRPr="004E0A37">
        <w:rPr>
          <w:spacing w:val="0"/>
          <w:sz w:val="20"/>
          <w:rtl/>
        </w:rPr>
        <w:t xml:space="preserve">مدنيون. </w:t>
      </w:r>
      <w:r w:rsidR="004E0A37" w:rsidRPr="004E0A37">
        <w:rPr>
          <w:rFonts w:hint="cs"/>
          <w:spacing w:val="0"/>
          <w:sz w:val="20"/>
          <w:rtl/>
        </w:rPr>
        <w:t>و</w:t>
      </w:r>
      <w:r w:rsidR="004E0A37" w:rsidRPr="004E0A37">
        <w:rPr>
          <w:spacing w:val="0"/>
          <w:sz w:val="20"/>
          <w:rtl/>
        </w:rPr>
        <w:t xml:space="preserve">علاوة على ذلك، </w:t>
      </w:r>
      <w:r w:rsidR="004E0A37" w:rsidRPr="004E0A37">
        <w:rPr>
          <w:rFonts w:hint="cs"/>
          <w:spacing w:val="0"/>
          <w:sz w:val="20"/>
          <w:rtl/>
        </w:rPr>
        <w:t xml:space="preserve">تعرب </w:t>
      </w:r>
      <w:r w:rsidR="004E0A37" w:rsidRPr="004E0A37">
        <w:rPr>
          <w:spacing w:val="0"/>
          <w:sz w:val="20"/>
          <w:rtl/>
        </w:rPr>
        <w:t xml:space="preserve">اللجنة عن قلقها إزاء عدم فتح أي تحقيق </w:t>
      </w:r>
      <w:r w:rsidR="004E0A37" w:rsidRPr="004E0A37">
        <w:rPr>
          <w:rFonts w:hint="cs"/>
          <w:spacing w:val="0"/>
          <w:sz w:val="20"/>
          <w:rtl/>
        </w:rPr>
        <w:t xml:space="preserve">نزيه </w:t>
      </w:r>
      <w:r w:rsidR="004E0A37" w:rsidRPr="004E0A37">
        <w:rPr>
          <w:spacing w:val="0"/>
          <w:sz w:val="20"/>
          <w:rtl/>
        </w:rPr>
        <w:t>وفعال لإلقاء الضوء على هذه الأحداث وتحديد المسؤوليات المحتملة للقوات المكلفة بإن</w:t>
      </w:r>
      <w:r w:rsidR="004E0A37" w:rsidRPr="004E0A37">
        <w:rPr>
          <w:rFonts w:hint="cs"/>
          <w:spacing w:val="0"/>
          <w:sz w:val="20"/>
          <w:rtl/>
        </w:rPr>
        <w:t>ف</w:t>
      </w:r>
      <w:r w:rsidR="004E0A37" w:rsidRPr="004E0A37">
        <w:rPr>
          <w:spacing w:val="0"/>
          <w:sz w:val="20"/>
          <w:rtl/>
        </w:rPr>
        <w:t>اذ القانون (المواد 2 و11 و12</w:t>
      </w:r>
      <w:r w:rsidR="004E0A37" w:rsidRPr="004E0A37">
        <w:rPr>
          <w:rFonts w:hint="cs"/>
          <w:spacing w:val="0"/>
          <w:sz w:val="20"/>
          <w:rtl/>
        </w:rPr>
        <w:t xml:space="preserve"> </w:t>
      </w:r>
      <w:r w:rsidR="004E0A37" w:rsidRPr="004E0A37">
        <w:rPr>
          <w:spacing w:val="0"/>
          <w:sz w:val="20"/>
          <w:rtl/>
        </w:rPr>
        <w:t>و15 و16)</w:t>
      </w:r>
      <w:r w:rsidR="004E0A37" w:rsidRPr="004E0A37">
        <w:rPr>
          <w:rFonts w:hint="cs"/>
          <w:spacing w:val="0"/>
          <w:sz w:val="20"/>
          <w:rtl/>
        </w:rPr>
        <w:t>.</w:t>
      </w:r>
    </w:p>
    <w:p w:rsidR="004E0A37" w:rsidRPr="00D24633" w:rsidRDefault="004E0A37" w:rsidP="004E0A37">
      <w:pPr>
        <w:pStyle w:val="SingleTxtGA"/>
        <w:jc w:val="lowKashida"/>
        <w:rPr>
          <w:b/>
          <w:bCs/>
          <w:spacing w:val="0"/>
          <w:sz w:val="20"/>
          <w:rtl/>
        </w:rPr>
      </w:pPr>
      <w:r w:rsidRPr="00D24633">
        <w:rPr>
          <w:rFonts w:hint="cs"/>
          <w:b/>
          <w:bCs/>
          <w:spacing w:val="0"/>
          <w:sz w:val="20"/>
          <w:rtl/>
        </w:rPr>
        <w:tab/>
      </w:r>
      <w:r w:rsidRPr="00D24633">
        <w:rPr>
          <w:b/>
          <w:bCs/>
          <w:spacing w:val="0"/>
          <w:sz w:val="20"/>
          <w:rtl/>
        </w:rPr>
        <w:t xml:space="preserve">ينبغي أن تعزز الدولة الطرف التدابير المتخذة من أجل إجراء تحقيقات </w:t>
      </w:r>
      <w:r w:rsidRPr="00D24633">
        <w:rPr>
          <w:rFonts w:hint="cs"/>
          <w:b/>
          <w:bCs/>
          <w:spacing w:val="0"/>
          <w:sz w:val="20"/>
          <w:rtl/>
        </w:rPr>
        <w:t>مسهبة ونزيهة</w:t>
      </w:r>
      <w:r w:rsidRPr="00D24633">
        <w:rPr>
          <w:b/>
          <w:bCs/>
          <w:spacing w:val="0"/>
          <w:sz w:val="20"/>
          <w:rtl/>
        </w:rPr>
        <w:t xml:space="preserve"> وفعالة على وجه السرعة في أعمال العنف وفي حالات الوفيات التي وقعت أثناء</w:t>
      </w:r>
      <w:r w:rsidRPr="00D24633">
        <w:rPr>
          <w:rFonts w:hint="cs"/>
          <w:b/>
          <w:bCs/>
          <w:spacing w:val="0"/>
          <w:sz w:val="20"/>
          <w:rtl/>
        </w:rPr>
        <w:t> </w:t>
      </w:r>
      <w:r w:rsidRPr="00D24633">
        <w:rPr>
          <w:b/>
          <w:bCs/>
          <w:spacing w:val="0"/>
          <w:sz w:val="20"/>
          <w:rtl/>
        </w:rPr>
        <w:t>تفكيك مخيم اكديم ا</w:t>
      </w:r>
      <w:r w:rsidRPr="00D24633">
        <w:rPr>
          <w:rFonts w:hint="cs"/>
          <w:b/>
          <w:bCs/>
          <w:spacing w:val="0"/>
          <w:sz w:val="20"/>
          <w:rtl/>
        </w:rPr>
        <w:t>ل</w:t>
      </w:r>
      <w:r w:rsidRPr="00D24633">
        <w:rPr>
          <w:b/>
          <w:bCs/>
          <w:spacing w:val="0"/>
          <w:sz w:val="20"/>
          <w:rtl/>
        </w:rPr>
        <w:t xml:space="preserve">زيك، وأن تقدم المسؤولين عن هذه الأفعال إلى العدالة. وينبغي أن تعدّل الدولة الطرف تشريعاتها لكي تضمن </w:t>
      </w:r>
      <w:r w:rsidRPr="00D24633">
        <w:rPr>
          <w:rFonts w:hint="cs"/>
          <w:b/>
          <w:bCs/>
          <w:spacing w:val="0"/>
          <w:sz w:val="20"/>
          <w:rtl/>
        </w:rPr>
        <w:t xml:space="preserve">محاكمة </w:t>
      </w:r>
      <w:r w:rsidRPr="00D24633">
        <w:rPr>
          <w:b/>
          <w:bCs/>
          <w:spacing w:val="0"/>
          <w:sz w:val="20"/>
          <w:rtl/>
        </w:rPr>
        <w:t>جميع المدنيين أمام المحاكم المدنية</w:t>
      </w:r>
      <w:r w:rsidRPr="00D24633">
        <w:rPr>
          <w:rFonts w:hint="cs"/>
          <w:b/>
          <w:bCs/>
          <w:spacing w:val="0"/>
          <w:sz w:val="20"/>
          <w:rtl/>
        </w:rPr>
        <w:t xml:space="preserve"> دون غيرها</w:t>
      </w:r>
      <w:r w:rsidRPr="00D24633">
        <w:rPr>
          <w:b/>
          <w:bCs/>
          <w:spacing w:val="0"/>
          <w:sz w:val="20"/>
          <w:rtl/>
        </w:rPr>
        <w:t>.</w:t>
      </w:r>
    </w:p>
    <w:p w:rsidR="004E0A37" w:rsidRPr="004E0A37" w:rsidRDefault="004E0A37" w:rsidP="00A51E27">
      <w:pPr>
        <w:pStyle w:val="H23GA"/>
        <w:rPr>
          <w:rFonts w:hint="cs"/>
          <w:rtl/>
          <w:lang/>
        </w:rPr>
      </w:pPr>
      <w:r w:rsidRPr="004E0A37">
        <w:rPr>
          <w:rFonts w:hint="cs"/>
          <w:rtl/>
          <w:lang/>
        </w:rPr>
        <w:tab/>
      </w:r>
      <w:r w:rsidRPr="004E0A37">
        <w:rPr>
          <w:rFonts w:hint="cs"/>
          <w:rtl/>
          <w:lang/>
        </w:rPr>
        <w:tab/>
      </w:r>
      <w:r w:rsidRPr="004E0A37">
        <w:rPr>
          <w:rtl/>
          <w:lang/>
        </w:rPr>
        <w:t>الاعتقالات والاحتجازات السرية</w:t>
      </w:r>
      <w:r w:rsidRPr="004E0A37">
        <w:rPr>
          <w:rFonts w:hint="cs"/>
          <w:rtl/>
          <w:lang/>
        </w:rPr>
        <w:t xml:space="preserve"> الأمنية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14</w:t>
      </w:r>
      <w:r w:rsidR="003E72B5">
        <w:rPr>
          <w:spacing w:val="0"/>
          <w:sz w:val="20"/>
          <w:rtl/>
        </w:rPr>
        <w:t>)</w:t>
      </w:r>
      <w:r w:rsidR="003E72B5">
        <w:rPr>
          <w:spacing w:val="0"/>
          <w:sz w:val="20"/>
          <w:rtl/>
        </w:rPr>
        <w:tab/>
      </w:r>
      <w:r w:rsidR="004E0A37" w:rsidRPr="004E0A37">
        <w:rPr>
          <w:spacing w:val="0"/>
          <w:sz w:val="20"/>
          <w:rtl/>
        </w:rPr>
        <w:t xml:space="preserve">تشعر اللجنة بالقلق إزاء المعلومات الواردة التي تفيد </w:t>
      </w:r>
      <w:r w:rsidR="004E0A37" w:rsidRPr="004E0A37">
        <w:rPr>
          <w:rFonts w:hint="cs"/>
          <w:spacing w:val="0"/>
          <w:sz w:val="20"/>
          <w:rtl/>
        </w:rPr>
        <w:t xml:space="preserve">بعدم احترام </w:t>
      </w:r>
      <w:r w:rsidR="004E0A37" w:rsidRPr="004E0A37">
        <w:rPr>
          <w:spacing w:val="0"/>
          <w:sz w:val="20"/>
          <w:rtl/>
        </w:rPr>
        <w:t>الإجراءات القضائية التي تنظم الاعتقال والاستجواب والاحتجاز في الواقع العملي</w:t>
      </w:r>
      <w:r w:rsidR="004E0A37" w:rsidRPr="004E0A37">
        <w:rPr>
          <w:rFonts w:hint="cs"/>
          <w:spacing w:val="0"/>
          <w:sz w:val="20"/>
          <w:rtl/>
        </w:rPr>
        <w:t xml:space="preserve"> إلاّ </w:t>
      </w:r>
      <w:r w:rsidR="00F96B1E">
        <w:rPr>
          <w:rFonts w:hint="cs"/>
          <w:spacing w:val="0"/>
          <w:sz w:val="20"/>
          <w:rtl/>
        </w:rPr>
        <w:t>فيما </w:t>
      </w:r>
      <w:r w:rsidR="004E0A37" w:rsidRPr="004E0A37">
        <w:rPr>
          <w:rFonts w:hint="cs"/>
          <w:spacing w:val="0"/>
          <w:sz w:val="20"/>
          <w:rtl/>
        </w:rPr>
        <w:t>نذر</w:t>
      </w:r>
      <w:r w:rsidR="004E0A37" w:rsidRPr="004E0A37">
        <w:rPr>
          <w:spacing w:val="0"/>
          <w:sz w:val="20"/>
          <w:rtl/>
        </w:rPr>
        <w:t xml:space="preserve">، عندما </w:t>
      </w:r>
      <w:r w:rsidR="004E0A37" w:rsidRPr="004E0A37">
        <w:rPr>
          <w:rFonts w:hint="cs"/>
          <w:spacing w:val="0"/>
          <w:sz w:val="20"/>
          <w:rtl/>
        </w:rPr>
        <w:t xml:space="preserve">يتعلق </w:t>
      </w:r>
      <w:r w:rsidR="004E0A37" w:rsidRPr="004E0A37">
        <w:rPr>
          <w:spacing w:val="0"/>
          <w:sz w:val="20"/>
          <w:rtl/>
        </w:rPr>
        <w:t>الأمر</w:t>
      </w:r>
      <w:r w:rsidR="004E0A37" w:rsidRPr="004E0A37">
        <w:rPr>
          <w:rFonts w:hint="cs"/>
          <w:spacing w:val="0"/>
          <w:sz w:val="20"/>
          <w:rtl/>
        </w:rPr>
        <w:t xml:space="preserve"> </w:t>
      </w:r>
      <w:r w:rsidR="004E0A37" w:rsidRPr="004E0A37">
        <w:rPr>
          <w:spacing w:val="0"/>
          <w:sz w:val="20"/>
          <w:rtl/>
        </w:rPr>
        <w:t xml:space="preserve">بقضايا الإرهاب. وتشعر أيضاً بالقلق إزاء المزاعم المتعلقة بالنمط المتكرر </w:t>
      </w:r>
      <w:r w:rsidR="004E0A37" w:rsidRPr="004E0A37">
        <w:rPr>
          <w:rFonts w:hint="cs"/>
          <w:spacing w:val="0"/>
          <w:sz w:val="20"/>
          <w:rtl/>
        </w:rPr>
        <w:t>التالي</w:t>
      </w:r>
      <w:r w:rsidR="004E0A37" w:rsidRPr="004E0A37">
        <w:rPr>
          <w:spacing w:val="0"/>
          <w:sz w:val="20"/>
          <w:rtl/>
        </w:rPr>
        <w:t>: إلقاء القبض على المشتبه فيهم</w:t>
      </w:r>
      <w:r w:rsidR="004E0A37" w:rsidRPr="004E0A37">
        <w:rPr>
          <w:rFonts w:hint="cs"/>
          <w:spacing w:val="0"/>
          <w:sz w:val="20"/>
          <w:rtl/>
        </w:rPr>
        <w:t>، في هذه القضايا،</w:t>
      </w:r>
      <w:r w:rsidR="004E0A37" w:rsidRPr="004E0A37">
        <w:rPr>
          <w:spacing w:val="0"/>
          <w:sz w:val="20"/>
          <w:rtl/>
        </w:rPr>
        <w:t xml:space="preserve"> من قبل ضباط يرتدون </w:t>
      </w:r>
      <w:r w:rsidR="004E0A37" w:rsidRPr="004E0A37">
        <w:rPr>
          <w:rFonts w:hint="cs"/>
          <w:spacing w:val="0"/>
          <w:sz w:val="20"/>
          <w:rtl/>
        </w:rPr>
        <w:t xml:space="preserve">زيّاًَ </w:t>
      </w:r>
      <w:r w:rsidR="004E0A37" w:rsidRPr="004E0A37">
        <w:rPr>
          <w:spacing w:val="0"/>
          <w:sz w:val="20"/>
          <w:rtl/>
        </w:rPr>
        <w:t>مدنيا</w:t>
      </w:r>
      <w:r w:rsidR="004E0A37" w:rsidRPr="004E0A37">
        <w:rPr>
          <w:rFonts w:hint="cs"/>
          <w:spacing w:val="0"/>
          <w:sz w:val="20"/>
          <w:rtl/>
        </w:rPr>
        <w:t>ً</w:t>
      </w:r>
      <w:r w:rsidR="004E0A37" w:rsidRPr="004E0A37">
        <w:rPr>
          <w:spacing w:val="0"/>
          <w:sz w:val="20"/>
          <w:rtl/>
        </w:rPr>
        <w:t xml:space="preserve"> ولا يفصحون عن هويتهم بصورة واضحة، ثم يأخذون المشتبه فيهم إلى أماكن سرية لاستجوابهم واحتجازهم، وهذا يمثل في الواقع احتجازاً سرياً. </w:t>
      </w:r>
      <w:r w:rsidR="004E0A37" w:rsidRPr="004E0A37">
        <w:rPr>
          <w:rFonts w:hint="cs"/>
          <w:spacing w:val="0"/>
          <w:sz w:val="20"/>
          <w:rtl/>
        </w:rPr>
        <w:t>و</w:t>
      </w:r>
      <w:r w:rsidR="004E0A37" w:rsidRPr="004E0A37">
        <w:rPr>
          <w:spacing w:val="0"/>
          <w:sz w:val="20"/>
          <w:rtl/>
        </w:rPr>
        <w:t xml:space="preserve">يتعرض </w:t>
      </w:r>
      <w:r w:rsidR="004E0A37" w:rsidRPr="004E0A37">
        <w:rPr>
          <w:rFonts w:hint="cs"/>
          <w:spacing w:val="0"/>
          <w:sz w:val="20"/>
          <w:rtl/>
        </w:rPr>
        <w:t xml:space="preserve">المشتبه فيهم </w:t>
      </w:r>
      <w:r w:rsidR="004E0A37" w:rsidRPr="004E0A37">
        <w:rPr>
          <w:spacing w:val="0"/>
          <w:sz w:val="20"/>
          <w:rtl/>
        </w:rPr>
        <w:t xml:space="preserve">للتعذيب وغيره من ضروب المعاملة أو العقوبة القاسية أو اللاإنسانية أو المهينة دون أن يدرجوا في سجل رسمي. ويتم الاحتفاظ بهم في ظل هذه الظروف لعدة أسابيع دون أن يمثلوا أمام قاض ودون رقابة من قبل السلطات القضائية. ولا تُبَلَّغ أسرهم باعتقالهم ومآلهم ومكان احتجازهم إلا عند نقلهم إلى </w:t>
      </w:r>
      <w:r w:rsidR="004E0A37" w:rsidRPr="004E0A37">
        <w:rPr>
          <w:rFonts w:hint="cs"/>
          <w:spacing w:val="0"/>
          <w:sz w:val="20"/>
          <w:rtl/>
        </w:rPr>
        <w:t xml:space="preserve">مخافر </w:t>
      </w:r>
      <w:r w:rsidR="004E0A37" w:rsidRPr="004E0A37">
        <w:rPr>
          <w:spacing w:val="0"/>
          <w:sz w:val="20"/>
          <w:rtl/>
        </w:rPr>
        <w:t>الشرطة للتوقيع على اعترافات انتزعت منهم تحت التعذيب. وعندئذ فقط يتم تسجيلهم رسمياً في سياق العملية القضائية العادية ويعاد إدراجهم فيها مع تواريخ وبيانات مزورة</w:t>
      </w:r>
      <w:r w:rsidR="004E0A37" w:rsidRPr="004E0A37">
        <w:rPr>
          <w:rFonts w:hint="cs"/>
          <w:spacing w:val="0"/>
          <w:sz w:val="20"/>
          <w:rtl/>
        </w:rPr>
        <w:t xml:space="preserve"> في الواقع</w:t>
      </w:r>
      <w:r w:rsidR="004E0A37" w:rsidRPr="004E0A37">
        <w:rPr>
          <w:spacing w:val="0"/>
          <w:sz w:val="20"/>
          <w:rtl/>
        </w:rPr>
        <w:t xml:space="preserve"> (المواد 2 و11 و12 و15 و16)</w:t>
      </w:r>
      <w:r w:rsidR="004E0A37" w:rsidRPr="004E0A37">
        <w:rPr>
          <w:rFonts w:hint="cs"/>
          <w:spacing w:val="0"/>
          <w:sz w:val="20"/>
          <w:rtl/>
        </w:rPr>
        <w:t>.</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15</w:t>
      </w:r>
      <w:r w:rsidR="003E72B5">
        <w:rPr>
          <w:spacing w:val="0"/>
          <w:sz w:val="20"/>
          <w:rtl/>
        </w:rPr>
        <w:t>)</w:t>
      </w:r>
      <w:r w:rsidR="003E72B5">
        <w:rPr>
          <w:spacing w:val="0"/>
          <w:sz w:val="20"/>
          <w:rtl/>
        </w:rPr>
        <w:tab/>
      </w:r>
      <w:r w:rsidR="004E0A37" w:rsidRPr="004E0A37">
        <w:rPr>
          <w:rFonts w:hint="cs"/>
          <w:spacing w:val="0"/>
          <w:sz w:val="20"/>
          <w:rtl/>
        </w:rPr>
        <w:t>و</w:t>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بالبيان</w:t>
      </w:r>
      <w:r w:rsidR="004E0A37" w:rsidRPr="004E0A37">
        <w:rPr>
          <w:rFonts w:hint="cs"/>
          <w:spacing w:val="0"/>
          <w:sz w:val="20"/>
          <w:rtl/>
        </w:rPr>
        <w:t>ات</w:t>
      </w:r>
      <w:r w:rsidR="004E0A37" w:rsidRPr="004E0A37">
        <w:rPr>
          <w:spacing w:val="0"/>
          <w:sz w:val="20"/>
          <w:rtl/>
        </w:rPr>
        <w:t xml:space="preserve"> </w:t>
      </w:r>
      <w:r w:rsidR="004E0A37" w:rsidRPr="004E0A37">
        <w:rPr>
          <w:rFonts w:hint="cs"/>
          <w:spacing w:val="0"/>
          <w:sz w:val="20"/>
          <w:rtl/>
        </w:rPr>
        <w:t xml:space="preserve">التي أدلت بها </w:t>
      </w:r>
      <w:r w:rsidR="004E0A37" w:rsidRPr="004E0A37">
        <w:rPr>
          <w:spacing w:val="0"/>
          <w:sz w:val="20"/>
          <w:rtl/>
        </w:rPr>
        <w:t xml:space="preserve">الدولة الطرف خلال الحوار </w:t>
      </w:r>
      <w:r w:rsidR="004E0A37" w:rsidRPr="004E0A37">
        <w:rPr>
          <w:rFonts w:hint="cs"/>
          <w:spacing w:val="0"/>
          <w:sz w:val="20"/>
          <w:rtl/>
        </w:rPr>
        <w:t xml:space="preserve">والتي تفيد </w:t>
      </w:r>
      <w:r w:rsidR="004E0A37" w:rsidRPr="004E0A37">
        <w:rPr>
          <w:spacing w:val="0"/>
          <w:sz w:val="20"/>
          <w:rtl/>
        </w:rPr>
        <w:t xml:space="preserve">بعدم وجود أي مركز احتجاز سري في مقر مديرية مراقبة التراب الوطني في تمارة، </w:t>
      </w:r>
      <w:r w:rsidR="004E0A37" w:rsidRPr="004E0A37">
        <w:rPr>
          <w:rFonts w:hint="cs"/>
          <w:spacing w:val="0"/>
          <w:sz w:val="20"/>
          <w:rtl/>
        </w:rPr>
        <w:t>ك</w:t>
      </w:r>
      <w:r w:rsidR="004E0A37" w:rsidRPr="004E0A37">
        <w:rPr>
          <w:spacing w:val="0"/>
          <w:sz w:val="20"/>
          <w:rtl/>
        </w:rPr>
        <w:t xml:space="preserve">ما تؤكده نتائج ثلاث زيارات أجراها الوكيل العام للملك في عام 2004، </w:t>
      </w:r>
      <w:r w:rsidR="004E0A37" w:rsidRPr="004E0A37">
        <w:rPr>
          <w:rFonts w:hint="cs"/>
          <w:spacing w:val="0"/>
          <w:sz w:val="20"/>
          <w:rtl/>
        </w:rPr>
        <w:t xml:space="preserve">ويؤكده أيضاً </w:t>
      </w:r>
      <w:r w:rsidR="004E0A37" w:rsidRPr="004E0A37">
        <w:rPr>
          <w:spacing w:val="0"/>
          <w:sz w:val="20"/>
          <w:rtl/>
        </w:rPr>
        <w:t xml:space="preserve">ممثلو اللجنة الوطنية لحقوق الإنسان، </w:t>
      </w:r>
      <w:r w:rsidR="004E0A37" w:rsidRPr="004E0A37">
        <w:rPr>
          <w:rFonts w:hint="cs"/>
          <w:spacing w:val="0"/>
          <w:sz w:val="20"/>
          <w:rtl/>
        </w:rPr>
        <w:t xml:space="preserve">وعدة برلمانيين </w:t>
      </w:r>
      <w:r w:rsidR="004E0A37" w:rsidRPr="004E0A37">
        <w:rPr>
          <w:spacing w:val="0"/>
          <w:sz w:val="20"/>
          <w:rtl/>
        </w:rPr>
        <w:t xml:space="preserve">في عام 2011. ومع ذلك، </w:t>
      </w:r>
      <w:r w:rsidR="004E0A37" w:rsidRPr="004E0A37">
        <w:rPr>
          <w:rFonts w:hint="cs"/>
          <w:spacing w:val="0"/>
          <w:sz w:val="20"/>
          <w:rtl/>
        </w:rPr>
        <w:t xml:space="preserve">فإن </w:t>
      </w:r>
      <w:r w:rsidR="004E0A37" w:rsidRPr="004E0A37">
        <w:rPr>
          <w:spacing w:val="0"/>
          <w:sz w:val="20"/>
          <w:rtl/>
        </w:rPr>
        <w:t xml:space="preserve">اللجنة </w:t>
      </w:r>
      <w:r w:rsidR="004E0A37" w:rsidRPr="004E0A37">
        <w:rPr>
          <w:rFonts w:hint="cs"/>
          <w:spacing w:val="0"/>
          <w:sz w:val="20"/>
          <w:rtl/>
        </w:rPr>
        <w:t>تأسف ل</w:t>
      </w:r>
      <w:r w:rsidR="004E0A37" w:rsidRPr="004E0A37">
        <w:rPr>
          <w:spacing w:val="0"/>
          <w:sz w:val="20"/>
          <w:rtl/>
        </w:rPr>
        <w:t>نقص المعلومات بشأن تنظيم هذه الزيارات</w:t>
      </w:r>
      <w:r w:rsidR="004E0A37" w:rsidRPr="004E0A37">
        <w:rPr>
          <w:rFonts w:hint="cs"/>
          <w:spacing w:val="0"/>
          <w:sz w:val="20"/>
          <w:rtl/>
        </w:rPr>
        <w:t xml:space="preserve"> ومنهجيتها</w:t>
      </w:r>
      <w:r w:rsidR="004E0A37" w:rsidRPr="004E0A37">
        <w:rPr>
          <w:spacing w:val="0"/>
          <w:sz w:val="20"/>
          <w:rtl/>
        </w:rPr>
        <w:t>، والتي لا </w:t>
      </w:r>
      <w:r w:rsidR="004E0A37" w:rsidRPr="004E0A37">
        <w:rPr>
          <w:rFonts w:hint="cs"/>
          <w:spacing w:val="0"/>
          <w:sz w:val="20"/>
          <w:rtl/>
        </w:rPr>
        <w:t xml:space="preserve">تسمح، </w:t>
      </w:r>
      <w:r w:rsidR="004E0A37" w:rsidRPr="004E0A37">
        <w:rPr>
          <w:spacing w:val="0"/>
          <w:sz w:val="20"/>
          <w:rtl/>
        </w:rPr>
        <w:t xml:space="preserve">بالنظر إلى الحالة </w:t>
      </w:r>
      <w:r w:rsidR="004E0A37" w:rsidRPr="004E0A37">
        <w:rPr>
          <w:rFonts w:hint="cs"/>
          <w:spacing w:val="0"/>
          <w:sz w:val="20"/>
          <w:rtl/>
        </w:rPr>
        <w:t xml:space="preserve">السائدة </w:t>
      </w:r>
      <w:r w:rsidR="004E0A37" w:rsidRPr="004E0A37">
        <w:rPr>
          <w:spacing w:val="0"/>
          <w:sz w:val="20"/>
          <w:rtl/>
        </w:rPr>
        <w:t>و</w:t>
      </w:r>
      <w:r w:rsidR="004E0A37" w:rsidRPr="004E0A37">
        <w:rPr>
          <w:rFonts w:hint="cs"/>
          <w:spacing w:val="0"/>
          <w:sz w:val="20"/>
          <w:rtl/>
        </w:rPr>
        <w:t>إ</w:t>
      </w:r>
      <w:r w:rsidR="004E0A37" w:rsidRPr="004E0A37">
        <w:rPr>
          <w:spacing w:val="0"/>
          <w:sz w:val="20"/>
          <w:rtl/>
        </w:rPr>
        <w:t xml:space="preserve">لى المزاعم العديدة والمستمرة بوجود مركز احتجاز سري من هذا القبيل، </w:t>
      </w:r>
      <w:r w:rsidR="004E0A37" w:rsidRPr="004E0A37">
        <w:rPr>
          <w:rFonts w:hint="cs"/>
          <w:spacing w:val="0"/>
          <w:sz w:val="20"/>
          <w:rtl/>
        </w:rPr>
        <w:t>ب</w:t>
      </w:r>
      <w:r w:rsidR="004E0A37" w:rsidRPr="004E0A37">
        <w:rPr>
          <w:spacing w:val="0"/>
          <w:sz w:val="20"/>
          <w:rtl/>
        </w:rPr>
        <w:t xml:space="preserve">تبديد الشك </w:t>
      </w:r>
      <w:r w:rsidR="00F96B1E">
        <w:rPr>
          <w:spacing w:val="0"/>
          <w:sz w:val="20"/>
          <w:rtl/>
        </w:rPr>
        <w:t>فيما </w:t>
      </w:r>
      <w:r w:rsidR="004E0A37" w:rsidRPr="004E0A37">
        <w:rPr>
          <w:spacing w:val="0"/>
          <w:sz w:val="20"/>
          <w:rtl/>
        </w:rPr>
        <w:t>يتعلق بإمكانية وجود</w:t>
      </w:r>
      <w:r w:rsidR="004E0A37" w:rsidRPr="004E0A37">
        <w:rPr>
          <w:rFonts w:hint="cs"/>
          <w:spacing w:val="0"/>
          <w:sz w:val="20"/>
          <w:rtl/>
        </w:rPr>
        <w:t>ه</w:t>
      </w:r>
      <w:r w:rsidR="004E0A37" w:rsidRPr="004E0A37">
        <w:rPr>
          <w:spacing w:val="0"/>
          <w:sz w:val="20"/>
          <w:rtl/>
        </w:rPr>
        <w:t xml:space="preserve">. </w:t>
      </w:r>
      <w:r w:rsidR="004E0A37" w:rsidRPr="004E0A37">
        <w:rPr>
          <w:rFonts w:hint="cs"/>
          <w:spacing w:val="0"/>
          <w:sz w:val="20"/>
          <w:rtl/>
        </w:rPr>
        <w:t>و</w:t>
      </w:r>
      <w:r w:rsidR="004E0A37" w:rsidRPr="004E0A37">
        <w:rPr>
          <w:spacing w:val="0"/>
          <w:sz w:val="20"/>
          <w:rtl/>
        </w:rPr>
        <w:t xml:space="preserve">هذا المركز يبقى بطبيعة الحال مصدر قلق للجنة. </w:t>
      </w:r>
      <w:r w:rsidR="004E0A37" w:rsidRPr="004E0A37">
        <w:rPr>
          <w:rFonts w:hint="cs"/>
          <w:spacing w:val="0"/>
          <w:sz w:val="20"/>
          <w:rtl/>
        </w:rPr>
        <w:t>وهي</w:t>
      </w:r>
      <w:r w:rsidR="004E0A37" w:rsidRPr="004E0A37">
        <w:rPr>
          <w:rFonts w:hint="eastAsia"/>
          <w:spacing w:val="0"/>
          <w:sz w:val="20"/>
          <w:rtl/>
        </w:rPr>
        <w:t> </w:t>
      </w:r>
      <w:r w:rsidR="004E0A37" w:rsidRPr="004E0A37">
        <w:rPr>
          <w:spacing w:val="0"/>
          <w:sz w:val="20"/>
          <w:rtl/>
        </w:rPr>
        <w:t xml:space="preserve">تشعر أيضاً بالقلق إزاء الادعاءات بوجود مراكز احتجاز سرية حتى داخل بعض مرافق الاحتجاز الرسمية. ووفقاً للادعاءات التي </w:t>
      </w:r>
      <w:r w:rsidR="004E0A37" w:rsidRPr="004E0A37">
        <w:rPr>
          <w:rFonts w:hint="cs"/>
          <w:spacing w:val="0"/>
          <w:sz w:val="20"/>
          <w:rtl/>
        </w:rPr>
        <w:t xml:space="preserve">نمت إلى علم </w:t>
      </w:r>
      <w:r w:rsidR="004E0A37" w:rsidRPr="004E0A37">
        <w:rPr>
          <w:spacing w:val="0"/>
          <w:sz w:val="20"/>
          <w:rtl/>
        </w:rPr>
        <w:t xml:space="preserve">اللجنة، فإن </w:t>
      </w:r>
      <w:r w:rsidR="004E0A37" w:rsidRPr="004E0A37">
        <w:rPr>
          <w:rFonts w:hint="cs"/>
          <w:spacing w:val="0"/>
          <w:sz w:val="20"/>
          <w:rtl/>
        </w:rPr>
        <w:t xml:space="preserve">تلك </w:t>
      </w:r>
      <w:r w:rsidR="004E0A37" w:rsidRPr="004E0A37">
        <w:rPr>
          <w:spacing w:val="0"/>
          <w:sz w:val="20"/>
          <w:rtl/>
        </w:rPr>
        <w:t xml:space="preserve">المعتقلات السرية لا تخضع لأية مراقبة ولا </w:t>
      </w:r>
      <w:r w:rsidR="004E0A37" w:rsidRPr="004E0A37">
        <w:rPr>
          <w:rFonts w:hint="cs"/>
          <w:spacing w:val="0"/>
          <w:sz w:val="20"/>
          <w:rtl/>
        </w:rPr>
        <w:t xml:space="preserve">لأي </w:t>
      </w:r>
      <w:r w:rsidR="004E0A37" w:rsidRPr="004E0A37">
        <w:rPr>
          <w:spacing w:val="0"/>
          <w:sz w:val="20"/>
          <w:rtl/>
        </w:rPr>
        <w:t>تفتيش من قبل هيئات مستقلة. وأخيراً، تشعر اللجنة ب</w:t>
      </w:r>
      <w:r w:rsidR="004E0A37" w:rsidRPr="004E0A37">
        <w:rPr>
          <w:rFonts w:hint="cs"/>
          <w:spacing w:val="0"/>
          <w:sz w:val="20"/>
          <w:rtl/>
        </w:rPr>
        <w:t>ال</w:t>
      </w:r>
      <w:r w:rsidR="004E0A37" w:rsidRPr="004E0A37">
        <w:rPr>
          <w:spacing w:val="0"/>
          <w:sz w:val="20"/>
          <w:rtl/>
        </w:rPr>
        <w:t xml:space="preserve">قلق إزاء الإدعاءات ببناء سجن سري جديد في ضواحي عين عودة، قرب العاصمة الرباط، لاستعماله في احتجاز أشخاص </w:t>
      </w:r>
      <w:r w:rsidR="004E0A37" w:rsidRPr="004E0A37">
        <w:rPr>
          <w:rFonts w:hint="cs"/>
          <w:spacing w:val="0"/>
          <w:sz w:val="20"/>
          <w:rtl/>
        </w:rPr>
        <w:t xml:space="preserve">يُشتبه </w:t>
      </w:r>
      <w:r w:rsidR="004E0A37" w:rsidRPr="004E0A37">
        <w:rPr>
          <w:spacing w:val="0"/>
          <w:sz w:val="20"/>
          <w:rtl/>
        </w:rPr>
        <w:t>في ارتباطهم بحركات إرهابية (المواد 2 و11 و12 و15 و16)</w:t>
      </w:r>
      <w:r w:rsidR="004E0A37" w:rsidRPr="004E0A37">
        <w:rPr>
          <w:rFonts w:hint="cs"/>
          <w:spacing w:val="0"/>
          <w:sz w:val="20"/>
          <w:rtl/>
        </w:rPr>
        <w:t>.</w:t>
      </w:r>
    </w:p>
    <w:p w:rsidR="004E0A37" w:rsidRPr="00D24633" w:rsidRDefault="004E0A37" w:rsidP="004E0A37">
      <w:pPr>
        <w:pStyle w:val="SingleTxtGA"/>
        <w:jc w:val="lowKashida"/>
        <w:rPr>
          <w:b/>
          <w:bCs/>
          <w:spacing w:val="0"/>
          <w:sz w:val="20"/>
          <w:rtl/>
        </w:rPr>
      </w:pPr>
      <w:r w:rsidRPr="00D24633">
        <w:rPr>
          <w:rFonts w:hint="cs"/>
          <w:b/>
          <w:bCs/>
          <w:spacing w:val="0"/>
          <w:sz w:val="20"/>
          <w:rtl/>
        </w:rPr>
        <w:tab/>
      </w:r>
      <w:r w:rsidRPr="00D24633">
        <w:rPr>
          <w:b/>
          <w:bCs/>
          <w:spacing w:val="0"/>
          <w:sz w:val="20"/>
          <w:rtl/>
        </w:rPr>
        <w:t xml:space="preserve">ينبغي أن </w:t>
      </w:r>
      <w:r w:rsidRPr="00D24633">
        <w:rPr>
          <w:rFonts w:hint="cs"/>
          <w:b/>
          <w:bCs/>
          <w:spacing w:val="0"/>
          <w:sz w:val="20"/>
          <w:rtl/>
        </w:rPr>
        <w:t xml:space="preserve">تكفل </w:t>
      </w:r>
      <w:r w:rsidRPr="00D24633">
        <w:rPr>
          <w:b/>
          <w:bCs/>
          <w:spacing w:val="0"/>
          <w:sz w:val="20"/>
          <w:rtl/>
        </w:rPr>
        <w:t xml:space="preserve">الدولة الطرف </w:t>
      </w:r>
      <w:r w:rsidRPr="00D24633">
        <w:rPr>
          <w:rFonts w:hint="cs"/>
          <w:b/>
          <w:bCs/>
          <w:spacing w:val="0"/>
          <w:sz w:val="20"/>
          <w:rtl/>
        </w:rPr>
        <w:t xml:space="preserve">استفادة </w:t>
      </w:r>
      <w:r w:rsidRPr="00D24633">
        <w:rPr>
          <w:b/>
          <w:bCs/>
          <w:spacing w:val="0"/>
          <w:sz w:val="20"/>
          <w:rtl/>
        </w:rPr>
        <w:t xml:space="preserve">كل شخص معتقل ومحتجز </w:t>
      </w:r>
      <w:r w:rsidRPr="00D24633">
        <w:rPr>
          <w:rFonts w:hint="cs"/>
          <w:b/>
          <w:bCs/>
          <w:spacing w:val="0"/>
          <w:sz w:val="20"/>
          <w:rtl/>
        </w:rPr>
        <w:t xml:space="preserve">من </w:t>
      </w:r>
      <w:r w:rsidRPr="00D24633">
        <w:rPr>
          <w:b/>
          <w:bCs/>
          <w:spacing w:val="0"/>
          <w:sz w:val="20"/>
          <w:rtl/>
        </w:rPr>
        <w:t xml:space="preserve">الإجراءات القانونية السارية </w:t>
      </w:r>
      <w:r w:rsidRPr="00D24633">
        <w:rPr>
          <w:rFonts w:hint="cs"/>
          <w:b/>
          <w:bCs/>
          <w:spacing w:val="0"/>
          <w:sz w:val="20"/>
          <w:rtl/>
        </w:rPr>
        <w:t xml:space="preserve">وتكفل </w:t>
      </w:r>
      <w:r w:rsidRPr="00D24633">
        <w:rPr>
          <w:b/>
          <w:bCs/>
          <w:spacing w:val="0"/>
          <w:sz w:val="20"/>
          <w:rtl/>
        </w:rPr>
        <w:t>الضمانات الأساسية المكرسة في القانون الوضعي:</w:t>
      </w:r>
      <w:r w:rsidRPr="00D24633">
        <w:rPr>
          <w:rFonts w:hint="cs"/>
          <w:b/>
          <w:bCs/>
          <w:spacing w:val="0"/>
          <w:sz w:val="20"/>
          <w:rtl/>
        </w:rPr>
        <w:t xml:space="preserve"> ومن الأمثلة على ذلك:</w:t>
      </w:r>
      <w:r w:rsidRPr="00D24633">
        <w:rPr>
          <w:b/>
          <w:bCs/>
          <w:spacing w:val="0"/>
          <w:sz w:val="20"/>
          <w:rtl/>
        </w:rPr>
        <w:t xml:space="preserve"> </w:t>
      </w:r>
      <w:r w:rsidRPr="00D24633">
        <w:rPr>
          <w:rFonts w:hint="cs"/>
          <w:b/>
          <w:bCs/>
          <w:spacing w:val="0"/>
          <w:sz w:val="20"/>
          <w:rtl/>
        </w:rPr>
        <w:t>السماح ل</w:t>
      </w:r>
      <w:r w:rsidRPr="00D24633">
        <w:rPr>
          <w:b/>
          <w:bCs/>
          <w:spacing w:val="0"/>
          <w:sz w:val="20"/>
          <w:rtl/>
        </w:rPr>
        <w:t xml:space="preserve">لمعتقل </w:t>
      </w:r>
      <w:r w:rsidRPr="00D24633">
        <w:rPr>
          <w:rFonts w:hint="cs"/>
          <w:b/>
          <w:bCs/>
          <w:spacing w:val="0"/>
          <w:sz w:val="20"/>
          <w:rtl/>
        </w:rPr>
        <w:t xml:space="preserve">بالوصول </w:t>
      </w:r>
      <w:r w:rsidRPr="00D24633">
        <w:rPr>
          <w:b/>
          <w:bCs/>
          <w:spacing w:val="0"/>
          <w:sz w:val="20"/>
          <w:rtl/>
        </w:rPr>
        <w:t xml:space="preserve">إلى محام وإلى طبيب مستقل، </w:t>
      </w:r>
      <w:r w:rsidRPr="00D24633">
        <w:rPr>
          <w:rFonts w:hint="cs"/>
          <w:b/>
          <w:bCs/>
          <w:spacing w:val="0"/>
          <w:sz w:val="20"/>
          <w:rtl/>
        </w:rPr>
        <w:t xml:space="preserve">ومنحه الحق </w:t>
      </w:r>
      <w:r w:rsidRPr="00D24633">
        <w:rPr>
          <w:b/>
          <w:bCs/>
          <w:spacing w:val="0"/>
          <w:sz w:val="20"/>
          <w:rtl/>
        </w:rPr>
        <w:t xml:space="preserve">في </w:t>
      </w:r>
      <w:r w:rsidRPr="00D24633">
        <w:rPr>
          <w:rFonts w:hint="cs"/>
          <w:b/>
          <w:bCs/>
          <w:spacing w:val="0"/>
          <w:sz w:val="20"/>
          <w:rtl/>
        </w:rPr>
        <w:t xml:space="preserve">إخطار </w:t>
      </w:r>
      <w:r w:rsidRPr="00D24633">
        <w:rPr>
          <w:b/>
          <w:bCs/>
          <w:spacing w:val="0"/>
          <w:sz w:val="20"/>
          <w:rtl/>
        </w:rPr>
        <w:t xml:space="preserve">أسرته باعتقاله وبمكان احتجازه ومثوله أمام قاض. </w:t>
      </w:r>
    </w:p>
    <w:p w:rsidR="004E0A37" w:rsidRPr="00D24633" w:rsidRDefault="004E0A37" w:rsidP="004E0A37">
      <w:pPr>
        <w:pStyle w:val="SingleTxtGA"/>
        <w:jc w:val="lowKashida"/>
        <w:rPr>
          <w:b/>
          <w:bCs/>
          <w:spacing w:val="0"/>
          <w:sz w:val="20"/>
          <w:rtl/>
        </w:rPr>
      </w:pPr>
      <w:r w:rsidRPr="00D24633">
        <w:rPr>
          <w:rFonts w:hint="cs"/>
          <w:b/>
          <w:bCs/>
          <w:spacing w:val="0"/>
          <w:sz w:val="20"/>
          <w:rtl/>
        </w:rPr>
        <w:tab/>
      </w:r>
      <w:r w:rsidRPr="00D24633">
        <w:rPr>
          <w:b/>
          <w:bCs/>
          <w:spacing w:val="0"/>
          <w:sz w:val="20"/>
          <w:rtl/>
        </w:rPr>
        <w:t xml:space="preserve">ينبغي أن تتخذ الدولة الطرف تدابير لضمان </w:t>
      </w:r>
      <w:r w:rsidRPr="00D24633">
        <w:rPr>
          <w:rFonts w:hint="cs"/>
          <w:b/>
          <w:bCs/>
          <w:spacing w:val="0"/>
          <w:sz w:val="20"/>
          <w:rtl/>
        </w:rPr>
        <w:t xml:space="preserve">مسك </w:t>
      </w:r>
      <w:r w:rsidRPr="00D24633">
        <w:rPr>
          <w:b/>
          <w:bCs/>
          <w:spacing w:val="0"/>
          <w:sz w:val="20"/>
          <w:rtl/>
        </w:rPr>
        <w:t xml:space="preserve">السجلات والمحاضر وجميع الوثائق الرسمية المتعلقة باعتقال واحتجاز الأشخاص وفق أكبر قدر من الصرامة، وأن تدون فيها جميع العناصر المتصلة بالاعتقال والاحتجاز وأن يشهد عليها كل من ضباط الشرطة القضائية والشخص المعني. وينبغي أن تتأكد الدولة الطرف من إجراء تحقيقات </w:t>
      </w:r>
      <w:r w:rsidRPr="00D24633">
        <w:rPr>
          <w:rFonts w:hint="cs"/>
          <w:b/>
          <w:bCs/>
          <w:spacing w:val="0"/>
          <w:sz w:val="20"/>
          <w:rtl/>
        </w:rPr>
        <w:t xml:space="preserve">مسهبة ونزيهة </w:t>
      </w:r>
      <w:r w:rsidRPr="00D24633">
        <w:rPr>
          <w:b/>
          <w:bCs/>
          <w:spacing w:val="0"/>
          <w:sz w:val="20"/>
          <w:rtl/>
        </w:rPr>
        <w:t xml:space="preserve">وفعالة على وجه السرعة </w:t>
      </w:r>
      <w:r w:rsidRPr="00D24633">
        <w:rPr>
          <w:rFonts w:hint="cs"/>
          <w:b/>
          <w:bCs/>
          <w:spacing w:val="0"/>
          <w:sz w:val="20"/>
          <w:rtl/>
        </w:rPr>
        <w:t xml:space="preserve">بشأن </w:t>
      </w:r>
      <w:r w:rsidRPr="00D24633">
        <w:rPr>
          <w:b/>
          <w:bCs/>
          <w:spacing w:val="0"/>
          <w:sz w:val="20"/>
          <w:rtl/>
        </w:rPr>
        <w:t>جميع المزاعم المتعلقة بحالات ا</w:t>
      </w:r>
      <w:r w:rsidRPr="00D24633">
        <w:rPr>
          <w:rFonts w:hint="cs"/>
          <w:b/>
          <w:bCs/>
          <w:spacing w:val="0"/>
          <w:sz w:val="20"/>
          <w:rtl/>
        </w:rPr>
        <w:t>لا</w:t>
      </w:r>
      <w:r w:rsidRPr="00D24633">
        <w:rPr>
          <w:b/>
          <w:bCs/>
          <w:spacing w:val="0"/>
          <w:sz w:val="20"/>
          <w:rtl/>
        </w:rPr>
        <w:t>عتقال وا</w:t>
      </w:r>
      <w:r w:rsidRPr="00D24633">
        <w:rPr>
          <w:rFonts w:hint="cs"/>
          <w:b/>
          <w:bCs/>
          <w:spacing w:val="0"/>
          <w:sz w:val="20"/>
          <w:rtl/>
        </w:rPr>
        <w:t>لا</w:t>
      </w:r>
      <w:r w:rsidRPr="00D24633">
        <w:rPr>
          <w:b/>
          <w:bCs/>
          <w:spacing w:val="0"/>
          <w:sz w:val="20"/>
          <w:rtl/>
        </w:rPr>
        <w:t xml:space="preserve">حتجاز </w:t>
      </w:r>
      <w:r w:rsidRPr="00D24633">
        <w:rPr>
          <w:rFonts w:hint="cs"/>
          <w:b/>
          <w:bCs/>
          <w:spacing w:val="0"/>
          <w:sz w:val="20"/>
          <w:rtl/>
        </w:rPr>
        <w:t xml:space="preserve">التعسفية </w:t>
      </w:r>
      <w:r w:rsidRPr="00D24633">
        <w:rPr>
          <w:b/>
          <w:bCs/>
          <w:spacing w:val="0"/>
          <w:sz w:val="20"/>
          <w:rtl/>
        </w:rPr>
        <w:t xml:space="preserve">وأن </w:t>
      </w:r>
      <w:r w:rsidRPr="00D24633">
        <w:rPr>
          <w:rFonts w:hint="cs"/>
          <w:b/>
          <w:bCs/>
          <w:spacing w:val="0"/>
          <w:sz w:val="20"/>
          <w:rtl/>
        </w:rPr>
        <w:t>ت</w:t>
      </w:r>
      <w:r w:rsidRPr="00D24633">
        <w:rPr>
          <w:b/>
          <w:bCs/>
          <w:spacing w:val="0"/>
          <w:sz w:val="20"/>
          <w:rtl/>
        </w:rPr>
        <w:t>تم إحالة من يحتمل مسؤوليتهم عنها إلى العدالة.</w:t>
      </w:r>
    </w:p>
    <w:p w:rsidR="004E0A37" w:rsidRPr="00D24633" w:rsidRDefault="004E0A37" w:rsidP="004E0A37">
      <w:pPr>
        <w:pStyle w:val="SingleTxtGA"/>
        <w:jc w:val="lowKashida"/>
        <w:rPr>
          <w:b/>
          <w:bCs/>
          <w:spacing w:val="0"/>
          <w:sz w:val="20"/>
          <w:rtl/>
        </w:rPr>
      </w:pPr>
      <w:r w:rsidRPr="00D24633">
        <w:rPr>
          <w:rFonts w:hint="cs"/>
          <w:b/>
          <w:bCs/>
          <w:spacing w:val="0"/>
          <w:sz w:val="20"/>
          <w:rtl/>
        </w:rPr>
        <w:tab/>
      </w:r>
      <w:r w:rsidRPr="00D24633">
        <w:rPr>
          <w:b/>
          <w:bCs/>
          <w:spacing w:val="0"/>
          <w:sz w:val="20"/>
          <w:rtl/>
        </w:rPr>
        <w:t>وينبغي أن تكفل الدولة الطرف ألا يُحتفظ بأي شخص في مركز احتجاز سري خاضع لسيطرتها الفعلية بحكم الواقع.</w:t>
      </w:r>
      <w:r w:rsidRPr="00D24633">
        <w:rPr>
          <w:rFonts w:hint="cs"/>
          <w:b/>
          <w:bCs/>
          <w:spacing w:val="0"/>
          <w:sz w:val="20"/>
          <w:rtl/>
        </w:rPr>
        <w:t xml:space="preserve"> و</w:t>
      </w:r>
      <w:r w:rsidRPr="00D24633">
        <w:rPr>
          <w:b/>
          <w:bCs/>
          <w:spacing w:val="0"/>
          <w:sz w:val="20"/>
          <w:rtl/>
        </w:rPr>
        <w:t xml:space="preserve">كما أكدته اللجنة مراراً، يعد احتجاز أشخاص في ظل هذه الظروف انتهاكاً للاتفاقية. وينبغي أن تفتح الدولة الطرف تحقيقاً </w:t>
      </w:r>
      <w:r w:rsidRPr="00D24633">
        <w:rPr>
          <w:rFonts w:hint="cs"/>
          <w:b/>
          <w:bCs/>
          <w:spacing w:val="0"/>
          <w:sz w:val="20"/>
          <w:rtl/>
        </w:rPr>
        <w:t xml:space="preserve">نزيهاً </w:t>
      </w:r>
      <w:r w:rsidRPr="00D24633">
        <w:rPr>
          <w:b/>
          <w:bCs/>
          <w:spacing w:val="0"/>
          <w:sz w:val="20"/>
          <w:rtl/>
        </w:rPr>
        <w:t xml:space="preserve">وفعالاً بشأن مدى وجود مراكز احتجاز من هذا القبيل. </w:t>
      </w:r>
      <w:r w:rsidRPr="00D24633">
        <w:rPr>
          <w:rFonts w:hint="cs"/>
          <w:b/>
          <w:bCs/>
          <w:spacing w:val="0"/>
          <w:sz w:val="20"/>
          <w:rtl/>
        </w:rPr>
        <w:t>و</w:t>
      </w:r>
      <w:r w:rsidRPr="00D24633">
        <w:rPr>
          <w:b/>
          <w:bCs/>
          <w:spacing w:val="0"/>
          <w:sz w:val="20"/>
          <w:rtl/>
        </w:rPr>
        <w:t>يجب أن تخضع كل أماكن الاحتجاز السرية للرصد والمراقبة</w:t>
      </w:r>
      <w:r w:rsidRPr="00D24633">
        <w:rPr>
          <w:rFonts w:hint="cs"/>
          <w:b/>
          <w:bCs/>
          <w:spacing w:val="0"/>
          <w:sz w:val="20"/>
          <w:rtl/>
        </w:rPr>
        <w:t xml:space="preserve"> على نحو منتظم</w:t>
      </w:r>
      <w:r w:rsidRPr="00D24633">
        <w:rPr>
          <w:b/>
          <w:bCs/>
          <w:spacing w:val="0"/>
          <w:sz w:val="20"/>
          <w:rtl/>
        </w:rPr>
        <w:t>.</w:t>
      </w:r>
    </w:p>
    <w:p w:rsidR="004E0A37" w:rsidRPr="004E0A37" w:rsidRDefault="004E0A37" w:rsidP="00A51E27">
      <w:pPr>
        <w:pStyle w:val="H23GA"/>
        <w:rPr>
          <w:rtl/>
          <w:lang/>
        </w:rPr>
      </w:pPr>
      <w:r w:rsidRPr="004E0A37">
        <w:rPr>
          <w:rFonts w:hint="cs"/>
          <w:rtl/>
          <w:lang/>
        </w:rPr>
        <w:tab/>
      </w:r>
      <w:r w:rsidRPr="004E0A37">
        <w:rPr>
          <w:rFonts w:hint="cs"/>
          <w:rtl/>
          <w:lang/>
        </w:rPr>
        <w:tab/>
      </w:r>
      <w:r w:rsidRPr="004E0A37">
        <w:rPr>
          <w:rtl/>
          <w:lang/>
        </w:rPr>
        <w:t>مقاضاة مرتكبي أعمال التعذيب وسوء المعاملة</w:t>
      </w:r>
    </w:p>
    <w:p w:rsidR="004E0A37" w:rsidRPr="004E0A37" w:rsidRDefault="0033301A" w:rsidP="00F07223">
      <w:pPr>
        <w:pStyle w:val="SingleTxtGA"/>
        <w:spacing w:line="360" w:lineRule="exact"/>
        <w:jc w:val="lowKashida"/>
        <w:rPr>
          <w:rFonts w:hint="cs"/>
          <w:spacing w:val="0"/>
          <w:sz w:val="20"/>
          <w:rtl/>
        </w:rPr>
      </w:pPr>
      <w:r>
        <w:rPr>
          <w:rFonts w:hint="cs"/>
          <w:spacing w:val="0"/>
          <w:sz w:val="20"/>
          <w:rtl/>
        </w:rPr>
        <w:t>(</w:t>
      </w:r>
      <w:r w:rsidR="004E0A37" w:rsidRPr="004E0A37">
        <w:rPr>
          <w:spacing w:val="0"/>
          <w:sz w:val="20"/>
          <w:rtl/>
        </w:rPr>
        <w:t>16</w:t>
      </w:r>
      <w:r w:rsidR="003E72B5">
        <w:rPr>
          <w:spacing w:val="0"/>
          <w:sz w:val="20"/>
          <w:rtl/>
        </w:rPr>
        <w:t>)</w:t>
      </w:r>
      <w:r w:rsidR="003E72B5">
        <w:rPr>
          <w:spacing w:val="0"/>
          <w:sz w:val="20"/>
          <w:rtl/>
        </w:rPr>
        <w:tab/>
      </w:r>
      <w:r w:rsidR="004E0A37" w:rsidRPr="004E0A37">
        <w:rPr>
          <w:spacing w:val="0"/>
          <w:sz w:val="20"/>
          <w:rtl/>
        </w:rPr>
        <w:t xml:space="preserve">تشعر اللجنة بالقلق بصفة خاصة </w:t>
      </w:r>
      <w:r w:rsidR="004E0A37" w:rsidRPr="004E0A37">
        <w:rPr>
          <w:rFonts w:hint="cs"/>
          <w:spacing w:val="0"/>
          <w:sz w:val="20"/>
          <w:rtl/>
        </w:rPr>
        <w:t>ل</w:t>
      </w:r>
      <w:r w:rsidR="004E0A37" w:rsidRPr="004E0A37">
        <w:rPr>
          <w:spacing w:val="0"/>
          <w:sz w:val="20"/>
          <w:rtl/>
        </w:rPr>
        <w:t>أنها</w:t>
      </w:r>
      <w:r w:rsidR="004E0A37" w:rsidRPr="004E0A37">
        <w:rPr>
          <w:rFonts w:hint="cs"/>
          <w:spacing w:val="0"/>
          <w:sz w:val="20"/>
          <w:rtl/>
        </w:rPr>
        <w:t>،</w:t>
      </w:r>
      <w:r w:rsidR="00335AC0">
        <w:rPr>
          <w:spacing w:val="0"/>
          <w:sz w:val="20"/>
          <w:rtl/>
        </w:rPr>
        <w:t xml:space="preserve"> لم </w:t>
      </w:r>
      <w:r w:rsidR="004E0A37" w:rsidRPr="004E0A37">
        <w:rPr>
          <w:spacing w:val="0"/>
          <w:sz w:val="20"/>
          <w:rtl/>
        </w:rPr>
        <w:t>تتلق حتى اليوم أية معلومة تتعلق بإدانة مسؤول متورط فعلاً في قضية تعذيب بموجب المادة 231-1 من القانون الجنائي. وتلاحظ اللجنة بقلق أن ضباط الشرطة ي</w:t>
      </w:r>
      <w:r w:rsidR="004E0A37" w:rsidRPr="004E0A37">
        <w:rPr>
          <w:rFonts w:hint="cs"/>
          <w:spacing w:val="0"/>
          <w:sz w:val="20"/>
          <w:rtl/>
        </w:rPr>
        <w:t>ُ</w:t>
      </w:r>
      <w:r w:rsidR="004E0A37" w:rsidRPr="004E0A37">
        <w:rPr>
          <w:spacing w:val="0"/>
          <w:sz w:val="20"/>
          <w:rtl/>
        </w:rPr>
        <w:t>لاحقون</w:t>
      </w:r>
      <w:r w:rsidR="004E0A37" w:rsidRPr="004E0A37">
        <w:rPr>
          <w:rFonts w:hint="cs"/>
          <w:spacing w:val="0"/>
          <w:sz w:val="20"/>
          <w:rtl/>
        </w:rPr>
        <w:t>،</w:t>
      </w:r>
      <w:r w:rsidR="004E0A37" w:rsidRPr="004E0A37">
        <w:rPr>
          <w:spacing w:val="0"/>
          <w:sz w:val="20"/>
          <w:rtl/>
        </w:rPr>
        <w:t xml:space="preserve"> في أحسن الأحوال</w:t>
      </w:r>
      <w:r w:rsidR="004E0A37" w:rsidRPr="004E0A37">
        <w:rPr>
          <w:rFonts w:hint="cs"/>
          <w:spacing w:val="0"/>
          <w:sz w:val="20"/>
          <w:rtl/>
        </w:rPr>
        <w:t>،</w:t>
      </w:r>
      <w:r w:rsidR="004E0A37" w:rsidRPr="004E0A37">
        <w:rPr>
          <w:spacing w:val="0"/>
          <w:sz w:val="20"/>
          <w:rtl/>
        </w:rPr>
        <w:t xml:space="preserve"> بتهمة ارتكاب عنف أو بتهمة </w:t>
      </w:r>
      <w:r w:rsidR="004E0A37" w:rsidRPr="004E0A37">
        <w:rPr>
          <w:rFonts w:hint="cs"/>
          <w:spacing w:val="0"/>
          <w:sz w:val="20"/>
          <w:rtl/>
        </w:rPr>
        <w:t>الاعتداء والضرب</w:t>
      </w:r>
      <w:r w:rsidR="004E0A37" w:rsidRPr="004E0A37">
        <w:rPr>
          <w:spacing w:val="0"/>
          <w:sz w:val="20"/>
          <w:rtl/>
        </w:rPr>
        <w:t>، لا بتهمة ارتكاب جريمة التعذيب، وأن العقوبات الإدارية والتأديبية المتخذة</w:t>
      </w:r>
      <w:r w:rsidR="004E0A37" w:rsidRPr="004E0A37">
        <w:rPr>
          <w:rFonts w:hint="cs"/>
          <w:spacing w:val="0"/>
          <w:sz w:val="20"/>
          <w:rtl/>
        </w:rPr>
        <w:t xml:space="preserve"> ضدّ </w:t>
      </w:r>
      <w:r w:rsidR="004E0A37" w:rsidRPr="004E0A37">
        <w:rPr>
          <w:spacing w:val="0"/>
          <w:sz w:val="20"/>
          <w:rtl/>
        </w:rPr>
        <w:t>الضباط المعنيين لا </w:t>
      </w:r>
      <w:r w:rsidR="004E0A37" w:rsidRPr="004E0A37">
        <w:rPr>
          <w:rFonts w:hint="cs"/>
          <w:spacing w:val="0"/>
          <w:sz w:val="20"/>
          <w:rtl/>
        </w:rPr>
        <w:t xml:space="preserve">تتناسب، </w:t>
      </w:r>
      <w:r w:rsidR="00F96B1E">
        <w:rPr>
          <w:spacing w:val="0"/>
          <w:sz w:val="20"/>
          <w:rtl/>
        </w:rPr>
        <w:t>فيما </w:t>
      </w:r>
      <w:r w:rsidR="004E0A37" w:rsidRPr="004E0A37">
        <w:rPr>
          <w:spacing w:val="0"/>
          <w:sz w:val="20"/>
          <w:rtl/>
        </w:rPr>
        <w:t>يبدو،</w:t>
      </w:r>
      <w:r w:rsidR="00B345DB">
        <w:rPr>
          <w:spacing w:val="0"/>
          <w:sz w:val="20"/>
          <w:rtl/>
        </w:rPr>
        <w:t xml:space="preserve"> وفقاً </w:t>
      </w:r>
      <w:r w:rsidR="004E0A37" w:rsidRPr="004E0A37">
        <w:rPr>
          <w:spacing w:val="0"/>
          <w:sz w:val="20"/>
          <w:rtl/>
        </w:rPr>
        <w:t xml:space="preserve">للبيانات التي قدمتها الدولة الطرف، مع جسامة الأفعال المرتكبة. </w:t>
      </w:r>
      <w:r w:rsidR="004E0A37" w:rsidRPr="004E0A37">
        <w:rPr>
          <w:rFonts w:hint="cs"/>
          <w:spacing w:val="0"/>
          <w:sz w:val="20"/>
          <w:rtl/>
        </w:rPr>
        <w:t>و</w:t>
      </w:r>
      <w:r w:rsidR="004E0A37" w:rsidRPr="004E0A37">
        <w:rPr>
          <w:spacing w:val="0"/>
          <w:sz w:val="20"/>
          <w:rtl/>
        </w:rPr>
        <w:t xml:space="preserve">تلاحظ اللجنة بقلق أن ادعاءات التعذيب، على الرغم من كثرتها وتواترها، نادراً ما تكون </w:t>
      </w:r>
      <w:r w:rsidR="004E0A37" w:rsidRPr="004E0A37">
        <w:rPr>
          <w:rFonts w:hint="cs"/>
          <w:spacing w:val="0"/>
          <w:sz w:val="20"/>
          <w:rtl/>
        </w:rPr>
        <w:t xml:space="preserve">موضوع </w:t>
      </w:r>
      <w:r w:rsidR="004E0A37" w:rsidRPr="004E0A37">
        <w:rPr>
          <w:spacing w:val="0"/>
          <w:sz w:val="20"/>
          <w:rtl/>
        </w:rPr>
        <w:t xml:space="preserve">تحقيقات وملاحقات قضائية، وأن مناخاً من الإفلات من العقاب قد </w:t>
      </w:r>
      <w:r w:rsidR="004E0A37" w:rsidRPr="004E0A37">
        <w:rPr>
          <w:rFonts w:hint="cs"/>
          <w:spacing w:val="0"/>
          <w:sz w:val="20"/>
          <w:rtl/>
        </w:rPr>
        <w:t xml:space="preserve">خيّم </w:t>
      </w:r>
      <w:r w:rsidR="00F96B1E">
        <w:rPr>
          <w:spacing w:val="0"/>
          <w:sz w:val="20"/>
          <w:rtl/>
        </w:rPr>
        <w:t>فيما </w:t>
      </w:r>
      <w:r w:rsidR="004E0A37" w:rsidRPr="004E0A37">
        <w:rPr>
          <w:spacing w:val="0"/>
          <w:sz w:val="20"/>
          <w:rtl/>
        </w:rPr>
        <w:t xml:space="preserve">يبدو بسبب غياب تدابير تأديبية حقيقية وملاحقات قضائية ذات </w:t>
      </w:r>
      <w:r w:rsidR="004E0A37" w:rsidRPr="004E0A37">
        <w:rPr>
          <w:rFonts w:hint="cs"/>
          <w:spacing w:val="0"/>
          <w:sz w:val="20"/>
          <w:rtl/>
        </w:rPr>
        <w:t xml:space="preserve">دلالة </w:t>
      </w:r>
      <w:r w:rsidR="004E0A37" w:rsidRPr="004E0A37">
        <w:rPr>
          <w:spacing w:val="0"/>
          <w:sz w:val="20"/>
          <w:rtl/>
        </w:rPr>
        <w:t xml:space="preserve">في حق موظفي الدولة المتهمين بارتكاب أعمال مشمولة </w:t>
      </w:r>
      <w:r w:rsidR="004E0A37" w:rsidRPr="004E0A37">
        <w:rPr>
          <w:rFonts w:hint="cs"/>
          <w:spacing w:val="0"/>
          <w:sz w:val="20"/>
          <w:rtl/>
        </w:rPr>
        <w:t>ب</w:t>
      </w:r>
      <w:r w:rsidR="004E0A37" w:rsidRPr="004E0A37">
        <w:rPr>
          <w:spacing w:val="0"/>
          <w:sz w:val="20"/>
          <w:rtl/>
        </w:rPr>
        <w:t>الاتفاقية</w:t>
      </w:r>
      <w:r w:rsidR="004E0A37" w:rsidRPr="004E0A37">
        <w:rPr>
          <w:rFonts w:hint="cs"/>
          <w:spacing w:val="0"/>
          <w:sz w:val="20"/>
          <w:rtl/>
        </w:rPr>
        <w:t xml:space="preserve"> بمن فيهم </w:t>
      </w:r>
      <w:r w:rsidR="004E0A37" w:rsidRPr="004E0A37">
        <w:rPr>
          <w:spacing w:val="0"/>
          <w:sz w:val="20"/>
          <w:rtl/>
        </w:rPr>
        <w:t>المسؤولون عن الانتهاكات الخطيرة و</w:t>
      </w:r>
      <w:r w:rsidR="004E0A37" w:rsidRPr="004E0A37">
        <w:rPr>
          <w:rFonts w:hint="cs"/>
          <w:spacing w:val="0"/>
          <w:sz w:val="20"/>
          <w:rtl/>
        </w:rPr>
        <w:t>ال</w:t>
      </w:r>
      <w:r w:rsidR="004E0A37" w:rsidRPr="004E0A37">
        <w:rPr>
          <w:spacing w:val="0"/>
          <w:sz w:val="20"/>
          <w:rtl/>
        </w:rPr>
        <w:t>واسعة النطاق لحقوق الإنسان التي وقعت بين عامي</w:t>
      </w:r>
      <w:r w:rsidR="00A51E27">
        <w:rPr>
          <w:rFonts w:hint="cs"/>
          <w:spacing w:val="0"/>
          <w:sz w:val="20"/>
          <w:rtl/>
        </w:rPr>
        <w:t> </w:t>
      </w:r>
      <w:r w:rsidR="004E0A37" w:rsidRPr="004E0A37">
        <w:rPr>
          <w:spacing w:val="0"/>
          <w:sz w:val="20"/>
          <w:rtl/>
        </w:rPr>
        <w:t>1956 و1999</w:t>
      </w:r>
      <w:r w:rsidR="004E0A37" w:rsidRPr="004E0A37">
        <w:rPr>
          <w:rFonts w:hint="cs"/>
          <w:spacing w:val="0"/>
          <w:sz w:val="20"/>
          <w:rtl/>
        </w:rPr>
        <w:t xml:space="preserve"> </w:t>
      </w:r>
      <w:r w:rsidR="004E0A37" w:rsidRPr="004E0A37">
        <w:rPr>
          <w:spacing w:val="0"/>
          <w:sz w:val="20"/>
          <w:rtl/>
        </w:rPr>
        <w:t>(المواد 2و4</w:t>
      </w:r>
      <w:r w:rsidR="009318CA">
        <w:rPr>
          <w:rFonts w:hint="cs"/>
          <w:spacing w:val="0"/>
          <w:sz w:val="20"/>
          <w:rtl/>
        </w:rPr>
        <w:t xml:space="preserve"> </w:t>
      </w:r>
      <w:r w:rsidR="004E0A37" w:rsidRPr="004E0A37">
        <w:rPr>
          <w:spacing w:val="0"/>
          <w:sz w:val="20"/>
          <w:rtl/>
        </w:rPr>
        <w:t>و12)</w:t>
      </w:r>
      <w:r w:rsidR="004E0A37" w:rsidRPr="004E0A37">
        <w:rPr>
          <w:rFonts w:hint="cs"/>
          <w:spacing w:val="0"/>
          <w:sz w:val="20"/>
          <w:rtl/>
        </w:rPr>
        <w:t>.</w:t>
      </w:r>
    </w:p>
    <w:p w:rsidR="004E0A37" w:rsidRPr="00D24633" w:rsidRDefault="004E0A37" w:rsidP="00F07223">
      <w:pPr>
        <w:pStyle w:val="SingleTxtGA"/>
        <w:spacing w:line="360" w:lineRule="exact"/>
        <w:jc w:val="lowKashida"/>
        <w:rPr>
          <w:b/>
          <w:bCs/>
          <w:spacing w:val="-2"/>
          <w:sz w:val="20"/>
          <w:rtl/>
        </w:rPr>
      </w:pPr>
      <w:r w:rsidRPr="00D24633">
        <w:rPr>
          <w:rFonts w:hint="cs"/>
          <w:b/>
          <w:bCs/>
          <w:spacing w:val="-2"/>
          <w:sz w:val="20"/>
          <w:rtl/>
        </w:rPr>
        <w:tab/>
      </w:r>
      <w:r w:rsidRPr="00D24633">
        <w:rPr>
          <w:b/>
          <w:bCs/>
          <w:spacing w:val="-2"/>
          <w:sz w:val="20"/>
          <w:rtl/>
        </w:rPr>
        <w:t xml:space="preserve">ينبغي أن تكفل الدولة الطرف على وجه السرعة إجراء تحقيق فعال </w:t>
      </w:r>
      <w:r w:rsidRPr="00D24633">
        <w:rPr>
          <w:rFonts w:hint="cs"/>
          <w:b/>
          <w:bCs/>
          <w:spacing w:val="-2"/>
          <w:sz w:val="20"/>
          <w:rtl/>
        </w:rPr>
        <w:t xml:space="preserve">ونزيه بشأن </w:t>
      </w:r>
      <w:r w:rsidRPr="00D24633">
        <w:rPr>
          <w:b/>
          <w:bCs/>
          <w:spacing w:val="-2"/>
          <w:sz w:val="20"/>
          <w:rtl/>
        </w:rPr>
        <w:t>جميع مزاعم التعذيب وإساءة المعاملة، وملاحقة مرتكبيها قضائياً وإدانتهم بأحكام تتناسب مع جسامة أفعالهم،</w:t>
      </w:r>
      <w:r w:rsidR="00B345DB" w:rsidRPr="00D24633">
        <w:rPr>
          <w:b/>
          <w:bCs/>
          <w:spacing w:val="-2"/>
          <w:sz w:val="20"/>
          <w:rtl/>
        </w:rPr>
        <w:t xml:space="preserve"> وفقاً </w:t>
      </w:r>
      <w:r w:rsidRPr="00D24633">
        <w:rPr>
          <w:b/>
          <w:bCs/>
          <w:spacing w:val="-2"/>
          <w:sz w:val="20"/>
          <w:rtl/>
        </w:rPr>
        <w:t>لما تنص عليه المادة 4 من الاتفاقية. وإضافة إلى ذلك، ينبغي أن تعد</w:t>
      </w:r>
      <w:r w:rsidRPr="00D24633">
        <w:rPr>
          <w:rFonts w:hint="cs"/>
          <w:b/>
          <w:bCs/>
          <w:spacing w:val="-2"/>
          <w:sz w:val="20"/>
          <w:rtl/>
        </w:rPr>
        <w:t>ّ</w:t>
      </w:r>
      <w:r w:rsidRPr="00D24633">
        <w:rPr>
          <w:b/>
          <w:bCs/>
          <w:spacing w:val="-2"/>
          <w:sz w:val="20"/>
          <w:rtl/>
        </w:rPr>
        <w:t xml:space="preserve">ل الدولة الطرف تشريعاتها لتنص صراحة على </w:t>
      </w:r>
      <w:r w:rsidRPr="00D24633">
        <w:rPr>
          <w:rFonts w:hint="cs"/>
          <w:b/>
          <w:bCs/>
          <w:spacing w:val="-2"/>
          <w:sz w:val="20"/>
          <w:rtl/>
        </w:rPr>
        <w:t xml:space="preserve">عدم جواز </w:t>
      </w:r>
      <w:r w:rsidRPr="00D24633">
        <w:rPr>
          <w:b/>
          <w:bCs/>
          <w:spacing w:val="-2"/>
          <w:sz w:val="20"/>
          <w:rtl/>
        </w:rPr>
        <w:t>الاعتداد بأمر موظف أعلى رتبة أو</w:t>
      </w:r>
      <w:r w:rsidR="00A51E27" w:rsidRPr="00D24633">
        <w:rPr>
          <w:rFonts w:hint="cs"/>
          <w:b/>
          <w:bCs/>
          <w:spacing w:val="-2"/>
          <w:sz w:val="20"/>
          <w:rtl/>
        </w:rPr>
        <w:t> </w:t>
      </w:r>
      <w:r w:rsidRPr="00D24633">
        <w:rPr>
          <w:b/>
          <w:bCs/>
          <w:spacing w:val="-2"/>
          <w:sz w:val="20"/>
          <w:rtl/>
        </w:rPr>
        <w:t>سلطة عمومية لتبرير التعذيب. وينبغي أيضاً أن تحرص الدولة الطرف عمليا</w:t>
      </w:r>
      <w:r w:rsidRPr="00D24633">
        <w:rPr>
          <w:rFonts w:hint="cs"/>
          <w:b/>
          <w:bCs/>
          <w:spacing w:val="-2"/>
          <w:sz w:val="20"/>
          <w:rtl/>
        </w:rPr>
        <w:t>ً</w:t>
      </w:r>
      <w:r w:rsidRPr="00D24633">
        <w:rPr>
          <w:b/>
          <w:bCs/>
          <w:spacing w:val="-2"/>
          <w:sz w:val="20"/>
          <w:rtl/>
        </w:rPr>
        <w:t xml:space="preserve"> على حماية المشتكين والشهود من أي سوء معاملة ومن أي </w:t>
      </w:r>
      <w:r w:rsidRPr="00D24633">
        <w:rPr>
          <w:rFonts w:hint="cs"/>
          <w:b/>
          <w:bCs/>
          <w:spacing w:val="-2"/>
          <w:sz w:val="20"/>
          <w:rtl/>
        </w:rPr>
        <w:t xml:space="preserve">ترهيب بسبب </w:t>
      </w:r>
      <w:r w:rsidRPr="00D24633">
        <w:rPr>
          <w:b/>
          <w:bCs/>
          <w:spacing w:val="-2"/>
          <w:sz w:val="20"/>
          <w:rtl/>
        </w:rPr>
        <w:t>شكواهم أو شهادتهم.</w:t>
      </w:r>
    </w:p>
    <w:p w:rsidR="004E0A37" w:rsidRPr="004E0A37" w:rsidRDefault="004E0A37" w:rsidP="00F07223">
      <w:pPr>
        <w:pStyle w:val="H23GA"/>
        <w:spacing w:line="360" w:lineRule="exact"/>
        <w:rPr>
          <w:rtl/>
          <w:lang/>
        </w:rPr>
      </w:pPr>
      <w:r w:rsidRPr="004E0A37">
        <w:rPr>
          <w:rFonts w:hint="cs"/>
          <w:rtl/>
          <w:lang/>
        </w:rPr>
        <w:tab/>
      </w:r>
      <w:r w:rsidRPr="004E0A37">
        <w:rPr>
          <w:rFonts w:hint="cs"/>
          <w:rtl/>
          <w:lang/>
        </w:rPr>
        <w:tab/>
      </w:r>
      <w:r w:rsidRPr="004E0A37">
        <w:rPr>
          <w:rtl/>
          <w:lang/>
        </w:rPr>
        <w:t>الاعتراف تحت الإكراه</w:t>
      </w:r>
    </w:p>
    <w:p w:rsidR="004E0A37" w:rsidRPr="004E0A37" w:rsidRDefault="0033301A" w:rsidP="00F07223">
      <w:pPr>
        <w:pStyle w:val="SingleTxtGA"/>
        <w:spacing w:line="360" w:lineRule="exact"/>
        <w:jc w:val="lowKashida"/>
        <w:rPr>
          <w:rFonts w:hint="cs"/>
          <w:spacing w:val="0"/>
          <w:sz w:val="20"/>
          <w:rtl/>
        </w:rPr>
      </w:pPr>
      <w:r>
        <w:rPr>
          <w:rFonts w:hint="cs"/>
          <w:spacing w:val="0"/>
          <w:sz w:val="20"/>
          <w:rtl/>
        </w:rPr>
        <w:t>(</w:t>
      </w:r>
      <w:r w:rsidR="004E0A37" w:rsidRPr="004E0A37">
        <w:rPr>
          <w:spacing w:val="0"/>
          <w:sz w:val="20"/>
          <w:rtl/>
        </w:rPr>
        <w:t>17</w:t>
      </w:r>
      <w:r w:rsidR="003E72B5">
        <w:rPr>
          <w:spacing w:val="0"/>
          <w:sz w:val="20"/>
          <w:rtl/>
        </w:rPr>
        <w:t>)</w:t>
      </w:r>
      <w:r w:rsidR="003E72B5">
        <w:rPr>
          <w:spacing w:val="0"/>
          <w:sz w:val="20"/>
          <w:rtl/>
        </w:rPr>
        <w:tab/>
      </w:r>
      <w:r w:rsidR="004E0A37" w:rsidRPr="004E0A37">
        <w:rPr>
          <w:spacing w:val="0"/>
          <w:sz w:val="20"/>
          <w:rtl/>
        </w:rPr>
        <w:t xml:space="preserve">تشعر اللجنة بالقلق </w:t>
      </w:r>
      <w:r w:rsidR="004E0A37" w:rsidRPr="004E0A37">
        <w:rPr>
          <w:rFonts w:hint="cs"/>
          <w:spacing w:val="0"/>
          <w:sz w:val="20"/>
          <w:rtl/>
        </w:rPr>
        <w:t xml:space="preserve">لأن </w:t>
      </w:r>
      <w:r w:rsidR="004E0A37" w:rsidRPr="004E0A37">
        <w:rPr>
          <w:spacing w:val="0"/>
          <w:sz w:val="20"/>
          <w:rtl/>
        </w:rPr>
        <w:t>من الشائع جدا</w:t>
      </w:r>
      <w:r w:rsidR="004E0A37" w:rsidRPr="004E0A37">
        <w:rPr>
          <w:rFonts w:hint="cs"/>
          <w:spacing w:val="0"/>
          <w:sz w:val="20"/>
          <w:rtl/>
        </w:rPr>
        <w:t>ً،</w:t>
      </w:r>
      <w:r w:rsidR="004E0A37" w:rsidRPr="004E0A37">
        <w:rPr>
          <w:spacing w:val="0"/>
          <w:sz w:val="20"/>
          <w:rtl/>
        </w:rPr>
        <w:t xml:space="preserve"> في نظام التحقيق المعمول به في الدولة الطرف</w:t>
      </w:r>
      <w:r w:rsidR="004E0A37" w:rsidRPr="004E0A37">
        <w:rPr>
          <w:rFonts w:hint="cs"/>
          <w:spacing w:val="0"/>
          <w:sz w:val="20"/>
          <w:rtl/>
        </w:rPr>
        <w:t>،</w:t>
      </w:r>
      <w:r w:rsidR="004E0A37" w:rsidRPr="004E0A37">
        <w:rPr>
          <w:spacing w:val="0"/>
          <w:sz w:val="20"/>
          <w:rtl/>
        </w:rPr>
        <w:t xml:space="preserve"> أن يشكل الاعتراف دليلاً يسمح بملاحقة شخص وبمعاقبته.</w:t>
      </w:r>
      <w:r w:rsidR="004E0A37" w:rsidRPr="004E0A37">
        <w:rPr>
          <w:rFonts w:hint="cs"/>
          <w:spacing w:val="0"/>
          <w:sz w:val="20"/>
          <w:rtl/>
        </w:rPr>
        <w:t xml:space="preserve"> وتعرب </w:t>
      </w:r>
      <w:r w:rsidR="004E0A37" w:rsidRPr="004E0A37">
        <w:rPr>
          <w:spacing w:val="0"/>
          <w:sz w:val="20"/>
          <w:rtl/>
        </w:rPr>
        <w:t xml:space="preserve">عن قلقها </w:t>
      </w:r>
      <w:r w:rsidR="004E0A37" w:rsidRPr="004E0A37">
        <w:rPr>
          <w:rFonts w:hint="cs"/>
          <w:spacing w:val="0"/>
          <w:sz w:val="20"/>
          <w:rtl/>
        </w:rPr>
        <w:t xml:space="preserve">من استناد الكثير من الإدانات الجنائية إلى </w:t>
      </w:r>
      <w:r w:rsidR="004E0A37" w:rsidRPr="004E0A37">
        <w:rPr>
          <w:spacing w:val="0"/>
          <w:sz w:val="20"/>
          <w:rtl/>
        </w:rPr>
        <w:t xml:space="preserve">اعترافات بما في ذلك </w:t>
      </w:r>
      <w:r w:rsidR="00F96B1E">
        <w:rPr>
          <w:rFonts w:hint="cs"/>
          <w:spacing w:val="0"/>
          <w:sz w:val="20"/>
          <w:rtl/>
        </w:rPr>
        <w:t>فيما </w:t>
      </w:r>
      <w:r w:rsidR="004E0A37" w:rsidRPr="004E0A37">
        <w:rPr>
          <w:rFonts w:hint="cs"/>
          <w:spacing w:val="0"/>
          <w:sz w:val="20"/>
          <w:rtl/>
        </w:rPr>
        <w:t xml:space="preserve">يتعلق بقضايا </w:t>
      </w:r>
      <w:r w:rsidR="004E0A37" w:rsidRPr="004E0A37">
        <w:rPr>
          <w:spacing w:val="0"/>
          <w:sz w:val="20"/>
          <w:rtl/>
        </w:rPr>
        <w:t>الإرهاب، مما</w:t>
      </w:r>
      <w:r w:rsidR="004E0A37" w:rsidRPr="004E0A37">
        <w:rPr>
          <w:rFonts w:hint="cs"/>
          <w:spacing w:val="0"/>
          <w:sz w:val="20"/>
          <w:rtl/>
        </w:rPr>
        <w:t> </w:t>
      </w:r>
      <w:r w:rsidR="004E0A37" w:rsidRPr="004E0A37">
        <w:rPr>
          <w:spacing w:val="0"/>
          <w:sz w:val="20"/>
          <w:rtl/>
        </w:rPr>
        <w:t>يهيئ ظروفا</w:t>
      </w:r>
      <w:r w:rsidR="004E0A37" w:rsidRPr="004E0A37">
        <w:rPr>
          <w:rFonts w:hint="cs"/>
          <w:spacing w:val="0"/>
          <w:sz w:val="20"/>
          <w:rtl/>
        </w:rPr>
        <w:t>ً</w:t>
      </w:r>
      <w:r w:rsidR="004E0A37" w:rsidRPr="004E0A37">
        <w:rPr>
          <w:spacing w:val="0"/>
          <w:sz w:val="20"/>
          <w:rtl/>
        </w:rPr>
        <w:t xml:space="preserve"> من شأنها أن تشجع </w:t>
      </w:r>
      <w:r w:rsidR="004E0A37" w:rsidRPr="004E0A37">
        <w:rPr>
          <w:rFonts w:hint="cs"/>
          <w:spacing w:val="0"/>
          <w:sz w:val="20"/>
          <w:rtl/>
        </w:rPr>
        <w:t>اللجوء إلى</w:t>
      </w:r>
      <w:r w:rsidR="004E0A37" w:rsidRPr="004E0A37">
        <w:rPr>
          <w:spacing w:val="0"/>
          <w:sz w:val="20"/>
          <w:rtl/>
        </w:rPr>
        <w:t xml:space="preserve"> التعذيب وإساءة معاملة الشخص المشتبه فيه (المادتان 2 و15)</w:t>
      </w:r>
      <w:r w:rsidR="004E0A37" w:rsidRPr="004E0A37">
        <w:rPr>
          <w:rFonts w:hint="cs"/>
          <w:spacing w:val="0"/>
          <w:sz w:val="20"/>
          <w:rtl/>
        </w:rPr>
        <w:t>.</w:t>
      </w:r>
    </w:p>
    <w:p w:rsidR="004E0A37" w:rsidRPr="00D24633" w:rsidRDefault="004E0A37" w:rsidP="00D24633">
      <w:pPr>
        <w:pStyle w:val="SingleTxtGA"/>
        <w:spacing w:line="360" w:lineRule="exact"/>
        <w:jc w:val="lowKashida"/>
        <w:rPr>
          <w:b/>
          <w:bCs/>
          <w:spacing w:val="0"/>
          <w:sz w:val="20"/>
          <w:rtl/>
        </w:rPr>
      </w:pPr>
      <w:r w:rsidRPr="00D24633">
        <w:rPr>
          <w:rFonts w:hint="cs"/>
          <w:b/>
          <w:bCs/>
          <w:spacing w:val="0"/>
          <w:sz w:val="20"/>
          <w:rtl/>
        </w:rPr>
        <w:tab/>
      </w:r>
      <w:r w:rsidRPr="00D24633">
        <w:rPr>
          <w:b/>
          <w:bCs/>
          <w:spacing w:val="0"/>
          <w:sz w:val="20"/>
          <w:rtl/>
        </w:rPr>
        <w:t xml:space="preserve">ينبغي أن تتخذ الدولة الطرف التدابير اللازمة لضمان </w:t>
      </w:r>
      <w:r w:rsidRPr="00D24633">
        <w:rPr>
          <w:rFonts w:hint="cs"/>
          <w:b/>
          <w:bCs/>
          <w:spacing w:val="0"/>
          <w:sz w:val="20"/>
          <w:rtl/>
        </w:rPr>
        <w:t xml:space="preserve">استناد الإدانات </w:t>
      </w:r>
      <w:r w:rsidRPr="00D24633">
        <w:rPr>
          <w:b/>
          <w:bCs/>
          <w:spacing w:val="0"/>
          <w:sz w:val="20"/>
          <w:rtl/>
        </w:rPr>
        <w:t xml:space="preserve">الجنائية إلى أدلة </w:t>
      </w:r>
      <w:r w:rsidRPr="00D24633">
        <w:rPr>
          <w:rFonts w:hint="cs"/>
          <w:b/>
          <w:bCs/>
          <w:spacing w:val="0"/>
          <w:sz w:val="20"/>
          <w:rtl/>
        </w:rPr>
        <w:t xml:space="preserve">أخرى </w:t>
      </w:r>
      <w:r w:rsidRPr="00D24633">
        <w:rPr>
          <w:b/>
          <w:bCs/>
          <w:spacing w:val="0"/>
          <w:sz w:val="20"/>
          <w:rtl/>
        </w:rPr>
        <w:t>غير اعترافات المتهم، خاصة حينما يتراجع المهم عن اعترافاته أثناء المحاكمة، وألا</w:t>
      </w:r>
      <w:r w:rsidRPr="00D24633">
        <w:rPr>
          <w:rFonts w:hint="cs"/>
          <w:b/>
          <w:bCs/>
          <w:spacing w:val="0"/>
          <w:sz w:val="20"/>
          <w:rtl/>
        </w:rPr>
        <w:t> </w:t>
      </w:r>
      <w:r w:rsidRPr="00D24633">
        <w:rPr>
          <w:b/>
          <w:bCs/>
          <w:spacing w:val="0"/>
          <w:sz w:val="20"/>
          <w:rtl/>
        </w:rPr>
        <w:t>يعتد بالتصريحات المنتزعة تحت التعذيب كدليل يمكن استخدامه أثناء الإجراءات، إلا</w:t>
      </w:r>
      <w:r w:rsidRPr="00D24633">
        <w:rPr>
          <w:rFonts w:hint="cs"/>
          <w:b/>
          <w:bCs/>
          <w:spacing w:val="0"/>
          <w:sz w:val="20"/>
          <w:rtl/>
        </w:rPr>
        <w:t> </w:t>
      </w:r>
      <w:r w:rsidRPr="00D24633">
        <w:rPr>
          <w:b/>
          <w:bCs/>
          <w:spacing w:val="0"/>
          <w:sz w:val="20"/>
          <w:rtl/>
        </w:rPr>
        <w:t xml:space="preserve">إذا كانت هذه الإجراءات ضد الشخص المتهم بارتكاب التعذيب، </w:t>
      </w:r>
      <w:r w:rsidRPr="00D24633">
        <w:rPr>
          <w:rFonts w:hint="cs"/>
          <w:b/>
          <w:bCs/>
          <w:spacing w:val="0"/>
          <w:sz w:val="20"/>
          <w:rtl/>
        </w:rPr>
        <w:t>وذلك</w:t>
      </w:r>
      <w:r w:rsidR="00B345DB" w:rsidRPr="00D24633">
        <w:rPr>
          <w:rFonts w:hint="cs"/>
          <w:b/>
          <w:bCs/>
          <w:spacing w:val="0"/>
          <w:sz w:val="20"/>
          <w:rtl/>
        </w:rPr>
        <w:t xml:space="preserve"> وفقاً </w:t>
      </w:r>
      <w:r w:rsidRPr="00D24633">
        <w:rPr>
          <w:b/>
          <w:bCs/>
          <w:spacing w:val="0"/>
          <w:sz w:val="20"/>
          <w:rtl/>
        </w:rPr>
        <w:t>لأحكام الاتفاقية.</w:t>
      </w:r>
    </w:p>
    <w:p w:rsidR="004E0A37" w:rsidRPr="00D24633" w:rsidRDefault="004E0A37" w:rsidP="004E0A37">
      <w:pPr>
        <w:pStyle w:val="SingleTxtGA"/>
        <w:jc w:val="lowKashida"/>
        <w:rPr>
          <w:b/>
          <w:bCs/>
          <w:spacing w:val="0"/>
          <w:sz w:val="20"/>
          <w:rtl/>
        </w:rPr>
      </w:pPr>
      <w:r w:rsidRPr="00D24633">
        <w:rPr>
          <w:rFonts w:hint="cs"/>
          <w:b/>
          <w:bCs/>
          <w:spacing w:val="0"/>
          <w:sz w:val="20"/>
          <w:rtl/>
        </w:rPr>
        <w:tab/>
        <w:t>و</w:t>
      </w:r>
      <w:r w:rsidRPr="00D24633">
        <w:rPr>
          <w:b/>
          <w:bCs/>
          <w:spacing w:val="0"/>
          <w:sz w:val="20"/>
          <w:rtl/>
        </w:rPr>
        <w:t>ي</w:t>
      </w:r>
      <w:r w:rsidRPr="00D24633">
        <w:rPr>
          <w:rFonts w:hint="cs"/>
          <w:b/>
          <w:bCs/>
          <w:spacing w:val="0"/>
          <w:sz w:val="20"/>
          <w:rtl/>
        </w:rPr>
        <w:t>ُ</w:t>
      </w:r>
      <w:r w:rsidRPr="00D24633">
        <w:rPr>
          <w:b/>
          <w:bCs/>
          <w:spacing w:val="0"/>
          <w:sz w:val="20"/>
          <w:rtl/>
        </w:rPr>
        <w:t>رجى من الدولة الطرف أن تراجع الإدانات الجنائية الصادرة بالاستناد إلى ا</w:t>
      </w:r>
      <w:r w:rsidRPr="00D24633">
        <w:rPr>
          <w:rFonts w:hint="cs"/>
          <w:b/>
          <w:bCs/>
          <w:spacing w:val="0"/>
          <w:sz w:val="20"/>
          <w:rtl/>
        </w:rPr>
        <w:t>لا</w:t>
      </w:r>
      <w:r w:rsidRPr="00D24633">
        <w:rPr>
          <w:b/>
          <w:bCs/>
          <w:spacing w:val="0"/>
          <w:sz w:val="20"/>
          <w:rtl/>
        </w:rPr>
        <w:t>عترافات</w:t>
      </w:r>
      <w:r w:rsidRPr="00D24633">
        <w:rPr>
          <w:rFonts w:hint="cs"/>
          <w:b/>
          <w:bCs/>
          <w:spacing w:val="0"/>
          <w:sz w:val="20"/>
          <w:rtl/>
        </w:rPr>
        <w:t xml:space="preserve"> فقط</w:t>
      </w:r>
      <w:r w:rsidRPr="00D24633">
        <w:rPr>
          <w:b/>
          <w:bCs/>
          <w:spacing w:val="0"/>
          <w:sz w:val="20"/>
          <w:rtl/>
        </w:rPr>
        <w:t xml:space="preserve">، حتى يتسنى تحديد الحالات التي استندت فيها الإدانة إلى اعترافات منتزعة تحت التعذيب أو سوء المعاملة. </w:t>
      </w:r>
      <w:r w:rsidRPr="00D24633">
        <w:rPr>
          <w:rFonts w:hint="cs"/>
          <w:b/>
          <w:bCs/>
          <w:spacing w:val="0"/>
          <w:sz w:val="20"/>
          <w:rtl/>
        </w:rPr>
        <w:t>كما يطلب إليها</w:t>
      </w:r>
      <w:r w:rsidRPr="00D24633">
        <w:rPr>
          <w:b/>
          <w:bCs/>
          <w:spacing w:val="0"/>
          <w:sz w:val="20"/>
          <w:rtl/>
        </w:rPr>
        <w:t xml:space="preserve">، من جهة أخرى، اتخاذ جميع الإجراءات التصحيحية المناسبة وإبلاغ اللجنة بالنتائج التي </w:t>
      </w:r>
      <w:r w:rsidRPr="00D24633">
        <w:rPr>
          <w:rFonts w:hint="cs"/>
          <w:b/>
          <w:bCs/>
          <w:spacing w:val="0"/>
          <w:sz w:val="20"/>
          <w:rtl/>
        </w:rPr>
        <w:t xml:space="preserve">تخلص </w:t>
      </w:r>
      <w:r w:rsidRPr="00D24633">
        <w:rPr>
          <w:b/>
          <w:bCs/>
          <w:spacing w:val="0"/>
          <w:sz w:val="20"/>
          <w:rtl/>
        </w:rPr>
        <w:t>إليها.</w:t>
      </w:r>
    </w:p>
    <w:p w:rsidR="004E0A37" w:rsidRPr="004E0A37" w:rsidRDefault="004E0A37" w:rsidP="00A51E27">
      <w:pPr>
        <w:pStyle w:val="H23GA"/>
        <w:rPr>
          <w:rFonts w:hint="cs"/>
          <w:rtl/>
          <w:lang/>
        </w:rPr>
      </w:pPr>
      <w:r w:rsidRPr="004E0A37">
        <w:rPr>
          <w:rFonts w:hint="cs"/>
          <w:rtl/>
          <w:lang/>
        </w:rPr>
        <w:tab/>
      </w:r>
      <w:r w:rsidRPr="004E0A37">
        <w:rPr>
          <w:rFonts w:hint="cs"/>
          <w:rtl/>
          <w:lang/>
        </w:rPr>
        <w:tab/>
      </w:r>
      <w:r w:rsidRPr="004E0A37">
        <w:rPr>
          <w:rtl/>
          <w:lang/>
        </w:rPr>
        <w:t>مراقبة وتفتيش أماكن الاحتجاز</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18</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بالمعلومات المفصلة التي قدمتها الدولة الطرف بشأن أنواع مختلفة من الزيارات التي يجريها لأماكن الاحتجاز وكيلُ الملك، ومختلفُ القضاة، واللجانُ الإقليمية لمراقبة السجون، وممثلو المجلس الوطني لحقوق الإنسان. وتحيط</w:t>
      </w:r>
      <w:r w:rsidR="003833F8">
        <w:rPr>
          <w:spacing w:val="0"/>
          <w:sz w:val="20"/>
          <w:rtl/>
        </w:rPr>
        <w:t xml:space="preserve"> علماً </w:t>
      </w:r>
      <w:r w:rsidR="004E0A37" w:rsidRPr="004E0A37">
        <w:rPr>
          <w:spacing w:val="0"/>
          <w:sz w:val="20"/>
          <w:rtl/>
        </w:rPr>
        <w:t xml:space="preserve">أيضاً بمشاريع الإصلاح الهادفة إلى اعتبار المجلس الوطني لحقوق الإنسان آلية وقائية وطنية توطئةً لانضمام المغرب مستقبلاً إلى البروتوكول الاختياري المتعلق باتفاقية مناهضة التعذيب. ومع ذلك، تشعر اللجنة بالقلق إزاء رفض تخويل العديد من المنظمات غير الحكومية، التي كانت ترغب </w:t>
      </w:r>
      <w:r w:rsidR="004E0A37" w:rsidRPr="004E0A37">
        <w:rPr>
          <w:rFonts w:hint="cs"/>
          <w:spacing w:val="0"/>
          <w:sz w:val="20"/>
          <w:rtl/>
        </w:rPr>
        <w:t xml:space="preserve">في </w:t>
      </w:r>
      <w:r w:rsidR="004E0A37" w:rsidRPr="004E0A37">
        <w:rPr>
          <w:spacing w:val="0"/>
          <w:sz w:val="20"/>
          <w:rtl/>
        </w:rPr>
        <w:t xml:space="preserve">رصد الوضع </w:t>
      </w:r>
      <w:r w:rsidR="004E0A37" w:rsidRPr="004E0A37">
        <w:rPr>
          <w:rFonts w:hint="cs"/>
          <w:spacing w:val="0"/>
          <w:sz w:val="20"/>
          <w:rtl/>
        </w:rPr>
        <w:t xml:space="preserve">السائد </w:t>
      </w:r>
      <w:r w:rsidR="004E0A37" w:rsidRPr="004E0A37">
        <w:rPr>
          <w:spacing w:val="0"/>
          <w:sz w:val="20"/>
          <w:rtl/>
        </w:rPr>
        <w:t xml:space="preserve">في مرافق الاحتجاز، الحق في زيارة مراكز الاحتجاز. ويبدو أن هذه الزيارات حق مخول حصرياً للجان الإقليمية بموجب المادة 620 من قانون الإجراءات الجنائية (المسطرة الجنائية). وتأسف اللجنة أيضاً </w:t>
      </w:r>
      <w:r w:rsidR="004E0A37" w:rsidRPr="004E0A37">
        <w:rPr>
          <w:rFonts w:hint="cs"/>
          <w:spacing w:val="0"/>
          <w:sz w:val="20"/>
          <w:rtl/>
        </w:rPr>
        <w:t xml:space="preserve">لعدم وجود </w:t>
      </w:r>
      <w:r w:rsidR="004E0A37" w:rsidRPr="004E0A37">
        <w:rPr>
          <w:spacing w:val="0"/>
          <w:sz w:val="20"/>
          <w:rtl/>
        </w:rPr>
        <w:t>معلومات عن متابعة هذه الزيارات وعن نتائجها (المادتان 11 و16)</w:t>
      </w:r>
      <w:r w:rsidR="004E0A37" w:rsidRPr="004E0A37">
        <w:rPr>
          <w:rFonts w:hint="cs"/>
          <w:spacing w:val="0"/>
          <w:sz w:val="20"/>
          <w:rtl/>
        </w:rPr>
        <w:t>.</w:t>
      </w:r>
    </w:p>
    <w:p w:rsidR="004E0A37" w:rsidRPr="00F07223" w:rsidRDefault="004E0A37" w:rsidP="002E2361">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ينبغي أن تتأكد الدولة الطرف من </w:t>
      </w:r>
      <w:r w:rsidRPr="00F07223">
        <w:rPr>
          <w:rFonts w:hint="cs"/>
          <w:b/>
          <w:bCs/>
          <w:spacing w:val="0"/>
          <w:sz w:val="20"/>
          <w:rtl/>
        </w:rPr>
        <w:t xml:space="preserve">قدرة </w:t>
      </w:r>
      <w:r w:rsidRPr="00F07223">
        <w:rPr>
          <w:b/>
          <w:bCs/>
          <w:spacing w:val="0"/>
          <w:sz w:val="20"/>
          <w:rtl/>
        </w:rPr>
        <w:t>الآلية الوطنية لرصد أماكن الاحتجاز على ضمان مراقبة جميع أماكن الاحتجاز</w:t>
      </w:r>
      <w:r w:rsidRPr="00F07223">
        <w:rPr>
          <w:rFonts w:hint="cs"/>
          <w:b/>
          <w:bCs/>
          <w:spacing w:val="0"/>
          <w:sz w:val="20"/>
          <w:rtl/>
        </w:rPr>
        <w:t xml:space="preserve"> وتفتيشها بفعالية</w:t>
      </w:r>
      <w:r w:rsidRPr="00F07223">
        <w:rPr>
          <w:b/>
          <w:bCs/>
          <w:spacing w:val="0"/>
          <w:sz w:val="20"/>
          <w:rtl/>
        </w:rPr>
        <w:t xml:space="preserve">، </w:t>
      </w:r>
      <w:r w:rsidRPr="00F07223">
        <w:rPr>
          <w:rFonts w:hint="cs"/>
          <w:b/>
          <w:bCs/>
          <w:spacing w:val="0"/>
          <w:sz w:val="20"/>
          <w:rtl/>
        </w:rPr>
        <w:t>و</w:t>
      </w:r>
      <w:r w:rsidRPr="00F07223">
        <w:rPr>
          <w:b/>
          <w:bCs/>
          <w:spacing w:val="0"/>
          <w:sz w:val="20"/>
          <w:rtl/>
        </w:rPr>
        <w:t xml:space="preserve">متابعة نتائج التفتيش هذه. وينبغي أن تتضمن الآلية المذكورة زيارات دورية ومفاجئة </w:t>
      </w:r>
      <w:r w:rsidRPr="00F07223">
        <w:rPr>
          <w:rFonts w:hint="cs"/>
          <w:b/>
          <w:bCs/>
          <w:spacing w:val="0"/>
          <w:sz w:val="20"/>
          <w:rtl/>
        </w:rPr>
        <w:t xml:space="preserve">يقوم بها مراقبون وطنيون ودوليون </w:t>
      </w:r>
      <w:r w:rsidRPr="00F07223">
        <w:rPr>
          <w:b/>
          <w:bCs/>
          <w:spacing w:val="0"/>
          <w:sz w:val="20"/>
          <w:rtl/>
        </w:rPr>
        <w:t>لمنع حدوث التعذيب وغيره من ضروب العقوبة أو المعاملة القاسية أو</w:t>
      </w:r>
      <w:r w:rsidR="002E2361">
        <w:rPr>
          <w:rFonts w:hint="cs"/>
          <w:b/>
          <w:bCs/>
          <w:spacing w:val="0"/>
          <w:sz w:val="20"/>
          <w:rtl/>
        </w:rPr>
        <w:t> </w:t>
      </w:r>
      <w:r w:rsidRPr="00F07223">
        <w:rPr>
          <w:b/>
          <w:bCs/>
          <w:spacing w:val="0"/>
          <w:sz w:val="20"/>
          <w:rtl/>
        </w:rPr>
        <w:t>اللاإنسانية أو المهينة. وينبغي أيضاً أن ت</w:t>
      </w:r>
      <w:r w:rsidRPr="00F07223">
        <w:rPr>
          <w:rFonts w:hint="cs"/>
          <w:b/>
          <w:bCs/>
          <w:spacing w:val="0"/>
          <w:sz w:val="20"/>
          <w:rtl/>
        </w:rPr>
        <w:t>عم</w:t>
      </w:r>
      <w:r w:rsidRPr="00F07223">
        <w:rPr>
          <w:b/>
          <w:bCs/>
          <w:spacing w:val="0"/>
          <w:sz w:val="20"/>
          <w:rtl/>
        </w:rPr>
        <w:t xml:space="preserve">ل الدولة الطرف </w:t>
      </w:r>
      <w:r w:rsidRPr="00F07223">
        <w:rPr>
          <w:rFonts w:hint="cs"/>
          <w:b/>
          <w:bCs/>
          <w:spacing w:val="0"/>
          <w:sz w:val="20"/>
          <w:rtl/>
        </w:rPr>
        <w:t xml:space="preserve">على حضور </w:t>
      </w:r>
      <w:r w:rsidRPr="00F07223">
        <w:rPr>
          <w:b/>
          <w:bCs/>
          <w:spacing w:val="0"/>
          <w:sz w:val="20"/>
          <w:rtl/>
        </w:rPr>
        <w:t xml:space="preserve">هذه الزيارات </w:t>
      </w:r>
      <w:r w:rsidRPr="00F07223">
        <w:rPr>
          <w:rFonts w:hint="cs"/>
          <w:b/>
          <w:bCs/>
          <w:spacing w:val="0"/>
          <w:sz w:val="20"/>
          <w:rtl/>
        </w:rPr>
        <w:t xml:space="preserve">من قبل </w:t>
      </w:r>
      <w:r w:rsidRPr="00F07223">
        <w:rPr>
          <w:b/>
          <w:bCs/>
          <w:spacing w:val="0"/>
          <w:sz w:val="20"/>
          <w:rtl/>
        </w:rPr>
        <w:t>أطباء شرعي</w:t>
      </w:r>
      <w:r w:rsidRPr="00F07223">
        <w:rPr>
          <w:rFonts w:hint="cs"/>
          <w:b/>
          <w:bCs/>
          <w:spacing w:val="0"/>
          <w:sz w:val="20"/>
          <w:rtl/>
        </w:rPr>
        <w:t>ي</w:t>
      </w:r>
      <w:r w:rsidRPr="00F07223">
        <w:rPr>
          <w:b/>
          <w:bCs/>
          <w:spacing w:val="0"/>
          <w:sz w:val="20"/>
          <w:rtl/>
        </w:rPr>
        <w:t>ن مدرب</w:t>
      </w:r>
      <w:r w:rsidRPr="00F07223">
        <w:rPr>
          <w:rFonts w:hint="cs"/>
          <w:b/>
          <w:bCs/>
          <w:spacing w:val="0"/>
          <w:sz w:val="20"/>
          <w:rtl/>
        </w:rPr>
        <w:t>ي</w:t>
      </w:r>
      <w:r w:rsidRPr="00F07223">
        <w:rPr>
          <w:b/>
          <w:bCs/>
          <w:spacing w:val="0"/>
          <w:sz w:val="20"/>
          <w:rtl/>
        </w:rPr>
        <w:t>ن على كشف علامات التعذيب. وإضافة إلى ذلك، ينبغي لها أن تعد</w:t>
      </w:r>
      <w:r w:rsidRPr="00F07223">
        <w:rPr>
          <w:rFonts w:hint="cs"/>
          <w:b/>
          <w:bCs/>
          <w:spacing w:val="0"/>
          <w:sz w:val="20"/>
          <w:rtl/>
        </w:rPr>
        <w:t>ّ</w:t>
      </w:r>
      <w:r w:rsidRPr="00F07223">
        <w:rPr>
          <w:b/>
          <w:bCs/>
          <w:spacing w:val="0"/>
          <w:sz w:val="20"/>
          <w:rtl/>
        </w:rPr>
        <w:t>ل تشريعاتها لتتيح أيضاً للمنظمات غير الحكومية إمكانية إجراء زيارات منتظمة ومستقلة ومفاجئة وغير محدودة لأماكن الاحتجاز.</w:t>
      </w:r>
    </w:p>
    <w:p w:rsidR="004E0A37" w:rsidRPr="004E0A37" w:rsidRDefault="004E0A37" w:rsidP="00A51E27">
      <w:pPr>
        <w:pStyle w:val="H23GA"/>
        <w:rPr>
          <w:rtl/>
          <w:lang/>
        </w:rPr>
      </w:pPr>
      <w:r w:rsidRPr="004E0A37">
        <w:rPr>
          <w:rFonts w:hint="cs"/>
          <w:rtl/>
          <w:lang/>
        </w:rPr>
        <w:tab/>
      </w:r>
      <w:r w:rsidRPr="004E0A37">
        <w:rPr>
          <w:rFonts w:hint="cs"/>
          <w:rtl/>
          <w:lang/>
        </w:rPr>
        <w:tab/>
      </w:r>
      <w:r w:rsidRPr="004E0A37">
        <w:rPr>
          <w:rtl/>
          <w:lang/>
        </w:rPr>
        <w:t>ظروف الاحتجاز</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19</w:t>
      </w:r>
      <w:r w:rsidR="003E72B5">
        <w:rPr>
          <w:spacing w:val="0"/>
          <w:sz w:val="20"/>
          <w:rtl/>
        </w:rPr>
        <w:t>)</w:t>
      </w:r>
      <w:r w:rsidR="003E72B5">
        <w:rPr>
          <w:spacing w:val="0"/>
          <w:sz w:val="20"/>
          <w:rtl/>
        </w:rPr>
        <w:tab/>
      </w:r>
      <w:r w:rsidR="004E0A37" w:rsidRPr="004E0A37">
        <w:rPr>
          <w:spacing w:val="0"/>
          <w:sz w:val="20"/>
          <w:rtl/>
        </w:rPr>
        <w:t>ت</w:t>
      </w:r>
      <w:r w:rsidR="004E0A37" w:rsidRPr="004E0A37">
        <w:rPr>
          <w:rFonts w:hint="cs"/>
          <w:spacing w:val="0"/>
          <w:sz w:val="20"/>
          <w:rtl/>
        </w:rPr>
        <w:t xml:space="preserve">لاحظ </w:t>
      </w:r>
      <w:r w:rsidR="004E0A37" w:rsidRPr="004E0A37">
        <w:rPr>
          <w:spacing w:val="0"/>
          <w:sz w:val="20"/>
          <w:rtl/>
        </w:rPr>
        <w:t xml:space="preserve">اللجنة </w:t>
      </w:r>
      <w:r w:rsidR="004E0A37" w:rsidRPr="004E0A37">
        <w:rPr>
          <w:rFonts w:hint="cs"/>
          <w:spacing w:val="0"/>
          <w:sz w:val="20"/>
          <w:rtl/>
        </w:rPr>
        <w:t xml:space="preserve">بارتياح المعلومات </w:t>
      </w:r>
      <w:r w:rsidR="004E0A37" w:rsidRPr="004E0A37">
        <w:rPr>
          <w:spacing w:val="0"/>
          <w:sz w:val="20"/>
          <w:rtl/>
        </w:rPr>
        <w:t>التي قدمتها الدولة الطرف عن خطتها لبناء وترميم أماكن الاحتجاز.</w:t>
      </w:r>
      <w:r w:rsidR="004E0A37" w:rsidRPr="004E0A37">
        <w:rPr>
          <w:rFonts w:hint="cs"/>
          <w:spacing w:val="0"/>
          <w:sz w:val="20"/>
          <w:rtl/>
        </w:rPr>
        <w:t xml:space="preserve"> وقد أدت تلك الخطة، </w:t>
      </w:r>
      <w:r w:rsidR="004E0A37" w:rsidRPr="004E0A37">
        <w:rPr>
          <w:spacing w:val="0"/>
          <w:sz w:val="20"/>
          <w:rtl/>
        </w:rPr>
        <w:t>على الأرجح</w:t>
      </w:r>
      <w:r w:rsidR="004E0A37" w:rsidRPr="004E0A37">
        <w:rPr>
          <w:rFonts w:hint="cs"/>
          <w:spacing w:val="0"/>
          <w:sz w:val="20"/>
          <w:rtl/>
        </w:rPr>
        <w:t>،</w:t>
      </w:r>
      <w:r w:rsidR="004E0A37" w:rsidRPr="004E0A37">
        <w:rPr>
          <w:spacing w:val="0"/>
          <w:sz w:val="20"/>
          <w:rtl/>
        </w:rPr>
        <w:t xml:space="preserve"> إلى بعض التحسن في ظروف الاحتجاز داخل </w:t>
      </w:r>
      <w:r w:rsidR="004E0A37" w:rsidRPr="004E0A37">
        <w:rPr>
          <w:rFonts w:hint="cs"/>
          <w:spacing w:val="0"/>
          <w:sz w:val="20"/>
          <w:rtl/>
        </w:rPr>
        <w:t>المرافق</w:t>
      </w:r>
      <w:r w:rsidR="004E0A37" w:rsidRPr="004E0A37">
        <w:rPr>
          <w:spacing w:val="0"/>
          <w:sz w:val="20"/>
          <w:rtl/>
        </w:rPr>
        <w:t xml:space="preserve">. ومع ذلك، تظل اللجنة قلقة إزاء ما وردها من معلومات تفيد بأن ظروف الاحتجاز في معظم السجون لا تزال </w:t>
      </w:r>
      <w:r w:rsidR="004E0A37" w:rsidRPr="004E0A37">
        <w:rPr>
          <w:rFonts w:hint="cs"/>
          <w:spacing w:val="0"/>
          <w:sz w:val="20"/>
          <w:rtl/>
        </w:rPr>
        <w:t xml:space="preserve">مثيرة للقلق ولا سيما </w:t>
      </w:r>
      <w:r w:rsidR="004E0A37" w:rsidRPr="004E0A37">
        <w:rPr>
          <w:spacing w:val="0"/>
          <w:sz w:val="20"/>
          <w:rtl/>
        </w:rPr>
        <w:t>بسبب الاكتظاظ وسوء المعاملة والعقاب التأديبي بما في</w:t>
      </w:r>
      <w:r w:rsidR="004E0A37" w:rsidRPr="004E0A37">
        <w:rPr>
          <w:rFonts w:hint="cs"/>
          <w:spacing w:val="0"/>
          <w:sz w:val="20"/>
          <w:rtl/>
        </w:rPr>
        <w:t xml:space="preserve"> ذلك</w:t>
      </w:r>
      <w:r w:rsidR="004E0A37" w:rsidRPr="004E0A37">
        <w:rPr>
          <w:spacing w:val="0"/>
          <w:sz w:val="20"/>
          <w:rtl/>
        </w:rPr>
        <w:t xml:space="preserve"> الحبس الانفرادي لفترات طويلة، </w:t>
      </w:r>
      <w:r w:rsidR="004E0A37" w:rsidRPr="004E0A37">
        <w:rPr>
          <w:rFonts w:hint="cs"/>
          <w:spacing w:val="0"/>
          <w:sz w:val="20"/>
          <w:rtl/>
        </w:rPr>
        <w:t>وأوضاع النظافة</w:t>
      </w:r>
      <w:r w:rsidR="004E0A37" w:rsidRPr="004E0A37">
        <w:rPr>
          <w:spacing w:val="0"/>
          <w:sz w:val="20"/>
          <w:rtl/>
        </w:rPr>
        <w:t>، والإمدادات الغذائية، و</w:t>
      </w:r>
      <w:r w:rsidR="004E0A37" w:rsidRPr="004E0A37">
        <w:rPr>
          <w:rFonts w:hint="cs"/>
          <w:spacing w:val="0"/>
          <w:sz w:val="20"/>
          <w:rtl/>
        </w:rPr>
        <w:t xml:space="preserve">الحصول على </w:t>
      </w:r>
      <w:r w:rsidR="004E0A37" w:rsidRPr="004E0A37">
        <w:rPr>
          <w:spacing w:val="0"/>
          <w:sz w:val="20"/>
          <w:rtl/>
        </w:rPr>
        <w:t xml:space="preserve">الرعاية الطبية. وتشعر اللجنة بالقلق </w:t>
      </w:r>
      <w:r w:rsidR="004E0A37" w:rsidRPr="004E0A37">
        <w:rPr>
          <w:rFonts w:hint="cs"/>
          <w:spacing w:val="0"/>
          <w:sz w:val="20"/>
          <w:rtl/>
        </w:rPr>
        <w:t>ل</w:t>
      </w:r>
      <w:r w:rsidR="004E0A37" w:rsidRPr="004E0A37">
        <w:rPr>
          <w:spacing w:val="0"/>
          <w:sz w:val="20"/>
          <w:rtl/>
        </w:rPr>
        <w:t>أن هذه الظروف قد دفعت بعض السجناء إلى بدء إضراب عن الطعام ودفعت البعض الآخر إلى التمرد والمشاركة في حركات احتجاجية قمعت بعنف من جانب القوات المكلفة بإنفاذ القانون (المادتان 11 و16)</w:t>
      </w:r>
      <w:r w:rsidR="004E0A37" w:rsidRPr="004E0A37">
        <w:rPr>
          <w:rFonts w:hint="cs"/>
          <w:spacing w:val="0"/>
          <w:sz w:val="20"/>
          <w:rtl/>
        </w:rPr>
        <w:t>.</w:t>
      </w:r>
    </w:p>
    <w:p w:rsidR="004E0A37" w:rsidRPr="00F07223" w:rsidRDefault="004E0A37" w:rsidP="00727BAF">
      <w:pPr>
        <w:pStyle w:val="SingleTxtGA"/>
        <w:jc w:val="lowKashida"/>
        <w:rPr>
          <w:b/>
          <w:bCs/>
          <w:spacing w:val="0"/>
          <w:sz w:val="20"/>
          <w:rtl/>
        </w:rPr>
      </w:pPr>
      <w:r w:rsidRPr="00F07223">
        <w:rPr>
          <w:rFonts w:hint="cs"/>
          <w:b/>
          <w:bCs/>
          <w:spacing w:val="0"/>
          <w:sz w:val="20"/>
          <w:rtl/>
        </w:rPr>
        <w:tab/>
      </w:r>
      <w:r w:rsidRPr="00F07223">
        <w:rPr>
          <w:b/>
          <w:bCs/>
          <w:spacing w:val="0"/>
          <w:sz w:val="20"/>
          <w:rtl/>
        </w:rPr>
        <w:t>لجعل ظروف الاحتجاز في جميع أنحاء الأراضي المغربية موافقة لمجموعة القواعد النموذجية الدنيا لمعاملة السجناء</w:t>
      </w:r>
      <w:r w:rsidR="00727BAF" w:rsidRPr="00F07223">
        <w:rPr>
          <w:spacing w:val="0"/>
          <w:sz w:val="20"/>
          <w:vertAlign w:val="superscript"/>
          <w:rtl/>
        </w:rPr>
        <w:t>(</w:t>
      </w:r>
      <w:r w:rsidR="00727BAF" w:rsidRPr="00F07223">
        <w:rPr>
          <w:rStyle w:val="FootnoteReference"/>
          <w:spacing w:val="0"/>
          <w:rtl/>
        </w:rPr>
        <w:footnoteReference w:id="8"/>
      </w:r>
      <w:r w:rsidR="00727BAF" w:rsidRPr="00F07223">
        <w:rPr>
          <w:spacing w:val="0"/>
          <w:sz w:val="20"/>
          <w:vertAlign w:val="superscript"/>
          <w:rtl/>
        </w:rPr>
        <w:t>)</w:t>
      </w:r>
      <w:r w:rsidRPr="00F07223">
        <w:rPr>
          <w:b/>
          <w:bCs/>
          <w:spacing w:val="0"/>
          <w:sz w:val="20"/>
          <w:rtl/>
        </w:rPr>
        <w:t xml:space="preserve">، ينبغي أن تواصل الدولة الطرف جهودها </w:t>
      </w:r>
      <w:r w:rsidR="00F96B1E" w:rsidRPr="00F07223">
        <w:rPr>
          <w:b/>
          <w:bCs/>
          <w:spacing w:val="0"/>
          <w:sz w:val="20"/>
          <w:rtl/>
        </w:rPr>
        <w:t>فيما </w:t>
      </w:r>
      <w:r w:rsidRPr="00F07223">
        <w:rPr>
          <w:b/>
          <w:bCs/>
          <w:spacing w:val="0"/>
          <w:sz w:val="20"/>
          <w:rtl/>
        </w:rPr>
        <w:t>يتعلق</w:t>
      </w:r>
      <w:r w:rsidRPr="00F07223">
        <w:rPr>
          <w:rFonts w:hint="cs"/>
          <w:b/>
          <w:bCs/>
          <w:spacing w:val="0"/>
          <w:sz w:val="20"/>
          <w:rtl/>
        </w:rPr>
        <w:t xml:space="preserve"> ب</w:t>
      </w:r>
      <w:r w:rsidRPr="00F07223">
        <w:rPr>
          <w:b/>
          <w:bCs/>
          <w:spacing w:val="0"/>
          <w:sz w:val="20"/>
          <w:rtl/>
        </w:rPr>
        <w:t xml:space="preserve">بناء مرافق احتجاز جديدة وترميم القديم منها، </w:t>
      </w:r>
      <w:r w:rsidRPr="00F07223">
        <w:rPr>
          <w:rFonts w:hint="cs"/>
          <w:b/>
          <w:bCs/>
          <w:spacing w:val="0"/>
          <w:sz w:val="20"/>
          <w:rtl/>
        </w:rPr>
        <w:t xml:space="preserve">والاستمرار في </w:t>
      </w:r>
      <w:r w:rsidRPr="00F07223">
        <w:rPr>
          <w:b/>
          <w:bCs/>
          <w:spacing w:val="0"/>
          <w:sz w:val="20"/>
          <w:rtl/>
        </w:rPr>
        <w:t xml:space="preserve">زيادة الموارد المخصصة لتشغيل مرافق الاحتجاز، لا سيما </w:t>
      </w:r>
      <w:r w:rsidR="00F96B1E" w:rsidRPr="00F07223">
        <w:rPr>
          <w:b/>
          <w:bCs/>
          <w:spacing w:val="0"/>
          <w:sz w:val="20"/>
          <w:rtl/>
        </w:rPr>
        <w:t>فيما </w:t>
      </w:r>
      <w:r w:rsidRPr="00F07223">
        <w:rPr>
          <w:b/>
          <w:bCs/>
          <w:spacing w:val="0"/>
          <w:sz w:val="20"/>
          <w:rtl/>
        </w:rPr>
        <w:t xml:space="preserve">يتصل بالغذاء والرعاية الطبية. ولمكافحة اكتظاظ السجون، الذي يعزى بدرجة كبيرة إلى </w:t>
      </w:r>
      <w:r w:rsidRPr="00F07223">
        <w:rPr>
          <w:rFonts w:hint="cs"/>
          <w:b/>
          <w:bCs/>
          <w:spacing w:val="0"/>
          <w:sz w:val="20"/>
          <w:rtl/>
        </w:rPr>
        <w:t xml:space="preserve">احتجاز </w:t>
      </w:r>
      <w:r w:rsidRPr="00F07223">
        <w:rPr>
          <w:b/>
          <w:bCs/>
          <w:spacing w:val="0"/>
          <w:sz w:val="20"/>
          <w:rtl/>
        </w:rPr>
        <w:t>نصف نزلاء السجون المغربية على أساس وقائي، ينبغي أن تعدِّل الدولة الطرف تشريعاتها لتتيح اللجوء إلى تدابير بديلة عن الاحتجاز الوقائي</w:t>
      </w:r>
      <w:r w:rsidR="00B345DB" w:rsidRPr="00F07223">
        <w:rPr>
          <w:b/>
          <w:bCs/>
          <w:spacing w:val="0"/>
          <w:sz w:val="20"/>
          <w:rtl/>
        </w:rPr>
        <w:t xml:space="preserve"> وفقاً </w:t>
      </w:r>
      <w:r w:rsidRPr="00F07223">
        <w:rPr>
          <w:b/>
          <w:bCs/>
          <w:spacing w:val="0"/>
          <w:sz w:val="20"/>
          <w:rtl/>
        </w:rPr>
        <w:t>لقواعد الأمم المتحدة النموذجية الدنيا للتدابير غير الاحتجازية (قواعد طوكيو)</w:t>
      </w:r>
      <w:r w:rsidR="00727BAF" w:rsidRPr="00A45814">
        <w:rPr>
          <w:spacing w:val="0"/>
          <w:sz w:val="20"/>
          <w:vertAlign w:val="superscript"/>
          <w:rtl/>
        </w:rPr>
        <w:t>(</w:t>
      </w:r>
      <w:r w:rsidR="00727BAF" w:rsidRPr="00A45814">
        <w:rPr>
          <w:rStyle w:val="FootnoteReference"/>
          <w:spacing w:val="0"/>
          <w:rtl/>
        </w:rPr>
        <w:footnoteReference w:id="9"/>
      </w:r>
      <w:r w:rsidR="00727BAF" w:rsidRPr="00A45814">
        <w:rPr>
          <w:spacing w:val="0"/>
          <w:sz w:val="20"/>
          <w:vertAlign w:val="superscript"/>
          <w:rtl/>
        </w:rPr>
        <w:t>)</w:t>
      </w:r>
      <w:r w:rsidRPr="00F07223">
        <w:rPr>
          <w:b/>
          <w:bCs/>
          <w:spacing w:val="0"/>
          <w:sz w:val="20"/>
          <w:rtl/>
        </w:rPr>
        <w:t xml:space="preserve">. وفي هذا الصدد، يمكن للدولة الطرف أن تطور </w:t>
      </w:r>
      <w:r w:rsidRPr="00F07223">
        <w:rPr>
          <w:rFonts w:hint="cs"/>
          <w:b/>
          <w:bCs/>
          <w:spacing w:val="0"/>
          <w:sz w:val="20"/>
          <w:rtl/>
        </w:rPr>
        <w:t>نظاماً للكفالة</w:t>
      </w:r>
      <w:r w:rsidRPr="00F07223">
        <w:rPr>
          <w:b/>
          <w:bCs/>
          <w:spacing w:val="0"/>
          <w:sz w:val="20"/>
          <w:rtl/>
        </w:rPr>
        <w:t>، وزيادة اللجوء إلى عقوبات غير سالب</w:t>
      </w:r>
      <w:r w:rsidRPr="00F07223">
        <w:rPr>
          <w:rFonts w:hint="cs"/>
          <w:b/>
          <w:bCs/>
          <w:spacing w:val="0"/>
          <w:sz w:val="20"/>
          <w:rtl/>
        </w:rPr>
        <w:t>ة</w:t>
      </w:r>
      <w:r w:rsidRPr="00F07223">
        <w:rPr>
          <w:b/>
          <w:bCs/>
          <w:spacing w:val="0"/>
          <w:sz w:val="20"/>
          <w:rtl/>
        </w:rPr>
        <w:t xml:space="preserve"> للحرية </w:t>
      </w:r>
      <w:r w:rsidR="00F96B1E" w:rsidRPr="00F07223">
        <w:rPr>
          <w:b/>
          <w:bCs/>
          <w:spacing w:val="0"/>
          <w:sz w:val="20"/>
          <w:rtl/>
        </w:rPr>
        <w:t>فيما </w:t>
      </w:r>
      <w:r w:rsidRPr="00F07223">
        <w:rPr>
          <w:b/>
          <w:bCs/>
          <w:spacing w:val="0"/>
          <w:sz w:val="20"/>
          <w:rtl/>
        </w:rPr>
        <w:t>يتعلق</w:t>
      </w:r>
      <w:r w:rsidRPr="00F07223">
        <w:rPr>
          <w:rFonts w:hint="cs"/>
          <w:b/>
          <w:bCs/>
          <w:spacing w:val="0"/>
          <w:sz w:val="20"/>
          <w:rtl/>
        </w:rPr>
        <w:t xml:space="preserve"> ب</w:t>
      </w:r>
      <w:r w:rsidRPr="00F07223">
        <w:rPr>
          <w:b/>
          <w:bCs/>
          <w:spacing w:val="0"/>
          <w:sz w:val="20"/>
          <w:rtl/>
        </w:rPr>
        <w:t xml:space="preserve">المخالفات الأقل خطورة. </w:t>
      </w:r>
    </w:p>
    <w:p w:rsidR="004E0A37" w:rsidRPr="004E0A37" w:rsidRDefault="004E0A37" w:rsidP="00A51E27">
      <w:pPr>
        <w:pStyle w:val="H23GA"/>
        <w:rPr>
          <w:rtl/>
          <w:lang/>
        </w:rPr>
      </w:pPr>
      <w:r w:rsidRPr="004E0A37">
        <w:rPr>
          <w:rFonts w:hint="cs"/>
          <w:rtl/>
          <w:lang/>
        </w:rPr>
        <w:tab/>
      </w:r>
      <w:r w:rsidRPr="004E0A37">
        <w:rPr>
          <w:rFonts w:hint="cs"/>
          <w:rtl/>
          <w:lang/>
        </w:rPr>
        <w:tab/>
      </w:r>
      <w:r w:rsidRPr="004E0A37">
        <w:rPr>
          <w:rtl/>
          <w:lang/>
        </w:rPr>
        <w:t>الوفيات في السجون</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20</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المفصلة المقدمة بشأن عدد الوفيات في السجون المغربية وأسبابها </w:t>
      </w:r>
      <w:r w:rsidR="004E0A37" w:rsidRPr="004E0A37">
        <w:rPr>
          <w:rFonts w:hint="cs"/>
          <w:spacing w:val="0"/>
          <w:sz w:val="20"/>
          <w:rtl/>
        </w:rPr>
        <w:t>حسب المصادر الرسمية</w:t>
      </w:r>
      <w:r w:rsidR="004E0A37" w:rsidRPr="004E0A37">
        <w:rPr>
          <w:spacing w:val="0"/>
          <w:sz w:val="20"/>
          <w:rtl/>
        </w:rPr>
        <w:t xml:space="preserve">. غير أنها تعرب عن أسفها لانعدام </w:t>
      </w:r>
      <w:r w:rsidR="004E0A37" w:rsidRPr="004E0A37">
        <w:rPr>
          <w:rFonts w:hint="cs"/>
          <w:spacing w:val="0"/>
          <w:sz w:val="20"/>
          <w:rtl/>
        </w:rPr>
        <w:t>ال</w:t>
      </w:r>
      <w:r w:rsidR="004E0A37" w:rsidRPr="004E0A37">
        <w:rPr>
          <w:spacing w:val="0"/>
          <w:sz w:val="20"/>
          <w:rtl/>
        </w:rPr>
        <w:t xml:space="preserve">معلومات عن الآليات القائمة التي تسمح بالتحقيق بشكل منهجي ومستقل في أسباب </w:t>
      </w:r>
      <w:r w:rsidR="004E0A37" w:rsidRPr="004E0A37">
        <w:rPr>
          <w:rFonts w:hint="cs"/>
          <w:spacing w:val="0"/>
          <w:sz w:val="20"/>
          <w:rtl/>
        </w:rPr>
        <w:t xml:space="preserve">تلك </w:t>
      </w:r>
      <w:r w:rsidR="004E0A37" w:rsidRPr="004E0A37">
        <w:rPr>
          <w:spacing w:val="0"/>
          <w:sz w:val="20"/>
          <w:rtl/>
        </w:rPr>
        <w:t>الوفيات،</w:t>
      </w:r>
      <w:r w:rsidR="003833F8">
        <w:rPr>
          <w:rFonts w:hint="cs"/>
          <w:spacing w:val="0"/>
          <w:sz w:val="20"/>
          <w:rtl/>
        </w:rPr>
        <w:t xml:space="preserve"> علماً </w:t>
      </w:r>
      <w:r w:rsidR="004E0A37" w:rsidRPr="004E0A37">
        <w:rPr>
          <w:rFonts w:hint="cs"/>
          <w:spacing w:val="0"/>
          <w:sz w:val="20"/>
          <w:rtl/>
        </w:rPr>
        <w:t>ب</w:t>
      </w:r>
      <w:r w:rsidR="004E0A37" w:rsidRPr="004E0A37">
        <w:rPr>
          <w:spacing w:val="0"/>
          <w:sz w:val="20"/>
          <w:rtl/>
        </w:rPr>
        <w:t>أن حالات الانتحار تخضع لتحقيق منهجي (المواد 11 و12 و16)</w:t>
      </w:r>
      <w:r w:rsidR="004E0A37" w:rsidRPr="004E0A37">
        <w:rPr>
          <w:rFonts w:hint="cs"/>
          <w:spacing w:val="0"/>
          <w:sz w:val="20"/>
          <w:rtl/>
        </w:rPr>
        <w:t>.</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ينبغي أن تجري الدولة الطرف تحقيقات عاجلة </w:t>
      </w:r>
      <w:r w:rsidRPr="00F07223">
        <w:rPr>
          <w:rFonts w:hint="cs"/>
          <w:b/>
          <w:bCs/>
          <w:spacing w:val="0"/>
          <w:sz w:val="20"/>
          <w:rtl/>
        </w:rPr>
        <w:t xml:space="preserve">مسهبة ونزيهة </w:t>
      </w:r>
      <w:r w:rsidRPr="00F07223">
        <w:rPr>
          <w:b/>
          <w:bCs/>
          <w:spacing w:val="0"/>
          <w:sz w:val="20"/>
          <w:rtl/>
        </w:rPr>
        <w:t xml:space="preserve">في جميع حالات الوفايات في الحجز، وأن تلاحق المسؤولين عنها عند اللزوم. وينبغي لها أن تقدم إلى اللجنة معلومات عن كل حالة وفاة في الحجز نتيجة التعذيب وسوء المعاملة أو الإهمال المتعمد. </w:t>
      </w:r>
      <w:r w:rsidRPr="00F07223">
        <w:rPr>
          <w:rFonts w:hint="cs"/>
          <w:b/>
          <w:bCs/>
          <w:spacing w:val="0"/>
          <w:sz w:val="20"/>
          <w:rtl/>
        </w:rPr>
        <w:t>و</w:t>
      </w:r>
      <w:r w:rsidRPr="00F07223">
        <w:rPr>
          <w:b/>
          <w:bCs/>
          <w:spacing w:val="0"/>
          <w:sz w:val="20"/>
          <w:rtl/>
        </w:rPr>
        <w:t xml:space="preserve">ينبغي أن تحرص الدولة الطرف أيضاً على أن يتم إجراء الفحوصات من قبل أطباء شرعيين مستقلين وأن تقبل نتائج </w:t>
      </w:r>
      <w:r w:rsidRPr="00F07223">
        <w:rPr>
          <w:rFonts w:hint="cs"/>
          <w:b/>
          <w:bCs/>
          <w:spacing w:val="0"/>
          <w:sz w:val="20"/>
          <w:rtl/>
        </w:rPr>
        <w:t xml:space="preserve">تلك </w:t>
      </w:r>
      <w:r w:rsidRPr="00F07223">
        <w:rPr>
          <w:b/>
          <w:bCs/>
          <w:spacing w:val="0"/>
          <w:sz w:val="20"/>
          <w:rtl/>
        </w:rPr>
        <w:t>الفحوصات كدليل يعتد به في الإجراءات الجنائية والمدنية.</w:t>
      </w:r>
    </w:p>
    <w:p w:rsidR="004E0A37" w:rsidRPr="004E0A37" w:rsidRDefault="004E0A37" w:rsidP="00A51E27">
      <w:pPr>
        <w:pStyle w:val="H23GA"/>
        <w:rPr>
          <w:rtl/>
          <w:lang/>
        </w:rPr>
      </w:pPr>
      <w:r w:rsidRPr="004E0A37">
        <w:rPr>
          <w:rFonts w:hint="cs"/>
          <w:rtl/>
          <w:lang/>
        </w:rPr>
        <w:tab/>
      </w:r>
      <w:r w:rsidRPr="004E0A37">
        <w:rPr>
          <w:rFonts w:hint="cs"/>
          <w:rtl/>
          <w:lang/>
        </w:rPr>
        <w:tab/>
      </w:r>
      <w:r w:rsidRPr="004E0A37">
        <w:rPr>
          <w:rtl/>
          <w:lang/>
        </w:rPr>
        <w:t>المحكوم عليهم بالإعدام</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21</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بالوقف الاختياري لتنفيذ عقوبة الإعدام بحكم الواقع والساري منذ عام 1993 وبمشروع الإصلاح التشريعي الهادف إلى الحد بصورة كبيرة من عدد الجرائم التي يعاقب عليها بالإعدام وإلى ضرورة إصدار مثل هذه الأحكام بالإجماع. </w:t>
      </w:r>
      <w:r w:rsidR="004E0A37" w:rsidRPr="004E0A37">
        <w:rPr>
          <w:rFonts w:hint="cs"/>
          <w:spacing w:val="0"/>
          <w:sz w:val="20"/>
          <w:rtl/>
        </w:rPr>
        <w:t>وتعرب</w:t>
      </w:r>
      <w:r w:rsidR="004E0A37" w:rsidRPr="004E0A37">
        <w:rPr>
          <w:spacing w:val="0"/>
          <w:sz w:val="20"/>
          <w:rtl/>
        </w:rPr>
        <w:t xml:space="preserve"> اللجنة </w:t>
      </w:r>
      <w:r w:rsidR="004E0A37" w:rsidRPr="004E0A37">
        <w:rPr>
          <w:rFonts w:hint="cs"/>
          <w:spacing w:val="0"/>
          <w:sz w:val="20"/>
          <w:rtl/>
        </w:rPr>
        <w:t>عن قلقها أيضاً</w:t>
      </w:r>
      <w:r w:rsidR="004E0A37" w:rsidRPr="004E0A37">
        <w:rPr>
          <w:spacing w:val="0"/>
          <w:sz w:val="20"/>
          <w:rtl/>
        </w:rPr>
        <w:t xml:space="preserve"> إزاء أوضاع سَجْن المحكوم عليهم بالإعدام. </w:t>
      </w:r>
      <w:r w:rsidR="004E0A37" w:rsidRPr="004E0A37">
        <w:rPr>
          <w:rFonts w:hint="cs"/>
          <w:spacing w:val="0"/>
          <w:sz w:val="20"/>
          <w:rtl/>
        </w:rPr>
        <w:t xml:space="preserve">ذلك أن </w:t>
      </w:r>
      <w:r w:rsidR="004E0A37" w:rsidRPr="004E0A37">
        <w:rPr>
          <w:spacing w:val="0"/>
          <w:sz w:val="20"/>
          <w:rtl/>
        </w:rPr>
        <w:t xml:space="preserve">هذه الأوضاع يمكن أن تشكل ضرباً من ضروب المعاملة القاسية أو اللاإنسانية أو المهينة، لا سيما بالنظر إلى طول مدة الاحتجاز في انتظار تنفيذ حكم الإعدام والغموض الذي </w:t>
      </w:r>
      <w:r w:rsidR="004E0A37" w:rsidRPr="004E0A37">
        <w:rPr>
          <w:rFonts w:hint="cs"/>
          <w:spacing w:val="0"/>
          <w:sz w:val="20"/>
          <w:rtl/>
        </w:rPr>
        <w:t xml:space="preserve">يكتنف </w:t>
      </w:r>
      <w:r w:rsidR="004E0A37" w:rsidRPr="004E0A37">
        <w:rPr>
          <w:spacing w:val="0"/>
          <w:sz w:val="20"/>
          <w:rtl/>
        </w:rPr>
        <w:t xml:space="preserve">مصير المدانين خاصة بسبب </w:t>
      </w:r>
      <w:r w:rsidR="004E0A37" w:rsidRPr="004E0A37">
        <w:rPr>
          <w:rFonts w:hint="cs"/>
          <w:spacing w:val="0"/>
          <w:sz w:val="20"/>
          <w:rtl/>
        </w:rPr>
        <w:t xml:space="preserve">انسداد </w:t>
      </w:r>
      <w:r w:rsidR="004E0A37" w:rsidRPr="004E0A37">
        <w:rPr>
          <w:spacing w:val="0"/>
          <w:sz w:val="20"/>
          <w:rtl/>
        </w:rPr>
        <w:t>أي أفق لتخفيف عقوباتهم (المواد 2 و11 و16)</w:t>
      </w:r>
      <w:r w:rsidR="004E0A37" w:rsidRPr="004E0A37">
        <w:rPr>
          <w:rFonts w:hint="cs"/>
          <w:spacing w:val="0"/>
          <w:sz w:val="20"/>
          <w:rtl/>
        </w:rPr>
        <w:t>.</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توصي اللجنة الدولة الطرف بأن تنظر في التصديق على البروتوكول الاختياري الثاني الملحق بالعهد الدولي الخاص بالحقوق المدنية والسياسية، الذي يرمي إلى إلغاء عقوبة الإعدام. وفي انتظار ذلك، ينبغي أن تستمر الدولة الطرف في توقفها الفعلي عن تنفيذ عقوبة الإعدام، وأن </w:t>
      </w:r>
      <w:r w:rsidRPr="00F07223">
        <w:rPr>
          <w:rFonts w:hint="cs"/>
          <w:b/>
          <w:bCs/>
          <w:spacing w:val="0"/>
          <w:sz w:val="20"/>
          <w:rtl/>
        </w:rPr>
        <w:t xml:space="preserve">تعمل على </w:t>
      </w:r>
      <w:r w:rsidRPr="00F07223">
        <w:rPr>
          <w:b/>
          <w:bCs/>
          <w:spacing w:val="0"/>
          <w:sz w:val="20"/>
          <w:rtl/>
        </w:rPr>
        <w:t>أن تتيح تشريع</w:t>
      </w:r>
      <w:r w:rsidRPr="00F07223">
        <w:rPr>
          <w:rFonts w:hint="cs"/>
          <w:b/>
          <w:bCs/>
          <w:spacing w:val="0"/>
          <w:sz w:val="20"/>
          <w:rtl/>
        </w:rPr>
        <w:t>ات</w:t>
      </w:r>
      <w:r w:rsidRPr="00F07223">
        <w:rPr>
          <w:b/>
          <w:bCs/>
          <w:spacing w:val="0"/>
          <w:sz w:val="20"/>
          <w:rtl/>
        </w:rPr>
        <w:t xml:space="preserve">ها إمكانية تخفيف أحكام الإعدام، وأن </w:t>
      </w:r>
      <w:r w:rsidRPr="00F07223">
        <w:rPr>
          <w:rFonts w:hint="cs"/>
          <w:b/>
          <w:bCs/>
          <w:spacing w:val="0"/>
          <w:sz w:val="20"/>
          <w:rtl/>
        </w:rPr>
        <w:t>ي</w:t>
      </w:r>
      <w:r w:rsidRPr="00F07223">
        <w:rPr>
          <w:b/>
          <w:bCs/>
          <w:spacing w:val="0"/>
          <w:sz w:val="20"/>
          <w:rtl/>
        </w:rPr>
        <w:t>ستفيد جميع المحكوم عليهم بالإعدام من الحماية التي توفرها الاتفاقية.</w:t>
      </w:r>
      <w:r w:rsidRPr="00F07223">
        <w:rPr>
          <w:rFonts w:hint="cs"/>
          <w:b/>
          <w:bCs/>
          <w:spacing w:val="0"/>
          <w:sz w:val="20"/>
          <w:rtl/>
        </w:rPr>
        <w:t xml:space="preserve"> وعلاوة على </w:t>
      </w:r>
      <w:r w:rsidRPr="00F07223">
        <w:rPr>
          <w:b/>
          <w:bCs/>
          <w:spacing w:val="0"/>
          <w:sz w:val="20"/>
          <w:rtl/>
        </w:rPr>
        <w:t>ذلك، ينبغي لها أن تكفل معاملة هؤلاء المحكوم عليهم بالإعدام معاملة إنسانية، و</w:t>
      </w:r>
      <w:r w:rsidRPr="00F07223">
        <w:rPr>
          <w:rFonts w:hint="cs"/>
          <w:b/>
          <w:bCs/>
          <w:spacing w:val="0"/>
          <w:sz w:val="20"/>
          <w:rtl/>
        </w:rPr>
        <w:t>ب</w:t>
      </w:r>
      <w:r w:rsidRPr="00F07223">
        <w:rPr>
          <w:b/>
          <w:bCs/>
          <w:spacing w:val="0"/>
          <w:sz w:val="20"/>
          <w:rtl/>
        </w:rPr>
        <w:t>خاصة إتاح</w:t>
      </w:r>
      <w:r w:rsidRPr="00F07223">
        <w:rPr>
          <w:rFonts w:hint="cs"/>
          <w:b/>
          <w:bCs/>
          <w:spacing w:val="0"/>
          <w:sz w:val="20"/>
          <w:rtl/>
        </w:rPr>
        <w:t>ة</w:t>
      </w:r>
      <w:r w:rsidRPr="00F07223">
        <w:rPr>
          <w:b/>
          <w:bCs/>
          <w:spacing w:val="0"/>
          <w:sz w:val="20"/>
          <w:rtl/>
        </w:rPr>
        <w:t xml:space="preserve"> </w:t>
      </w:r>
      <w:r w:rsidRPr="00F07223">
        <w:rPr>
          <w:rFonts w:hint="cs"/>
          <w:b/>
          <w:bCs/>
          <w:spacing w:val="0"/>
          <w:sz w:val="20"/>
          <w:rtl/>
        </w:rPr>
        <w:t>ال</w:t>
      </w:r>
      <w:r w:rsidRPr="00F07223">
        <w:rPr>
          <w:b/>
          <w:bCs/>
          <w:spacing w:val="0"/>
          <w:sz w:val="20"/>
          <w:rtl/>
        </w:rPr>
        <w:t xml:space="preserve">فرصة </w:t>
      </w:r>
      <w:r w:rsidRPr="00F07223">
        <w:rPr>
          <w:rFonts w:hint="cs"/>
          <w:b/>
          <w:bCs/>
          <w:spacing w:val="0"/>
          <w:sz w:val="20"/>
          <w:rtl/>
        </w:rPr>
        <w:t xml:space="preserve">أمامهم لتلقي </w:t>
      </w:r>
      <w:r w:rsidRPr="00F07223">
        <w:rPr>
          <w:b/>
          <w:bCs/>
          <w:spacing w:val="0"/>
          <w:sz w:val="20"/>
          <w:rtl/>
        </w:rPr>
        <w:t xml:space="preserve">زيارات عائلاتهم ومحاميهم. </w:t>
      </w:r>
    </w:p>
    <w:p w:rsidR="004E0A37" w:rsidRPr="004E0A37" w:rsidRDefault="004E0A37" w:rsidP="002E2361">
      <w:pPr>
        <w:pStyle w:val="H23GA"/>
        <w:keepNext/>
        <w:rPr>
          <w:rtl/>
          <w:lang/>
        </w:rPr>
      </w:pPr>
      <w:r w:rsidRPr="004E0A37">
        <w:rPr>
          <w:rFonts w:hint="cs"/>
          <w:rtl/>
          <w:lang/>
        </w:rPr>
        <w:tab/>
      </w:r>
      <w:r w:rsidRPr="004E0A37">
        <w:rPr>
          <w:rFonts w:hint="cs"/>
          <w:rtl/>
          <w:lang/>
        </w:rPr>
        <w:tab/>
      </w:r>
      <w:r w:rsidRPr="004E0A37">
        <w:rPr>
          <w:rtl/>
          <w:lang/>
        </w:rPr>
        <w:t>مستشفيات الأمراض النفس</w:t>
      </w:r>
      <w:r w:rsidRPr="004E0A37">
        <w:rPr>
          <w:rFonts w:hint="cs"/>
          <w:rtl/>
          <w:lang/>
        </w:rPr>
        <w:t>ان</w:t>
      </w:r>
      <w:r w:rsidRPr="004E0A37">
        <w:rPr>
          <w:rtl/>
          <w:lang/>
        </w:rPr>
        <w:t>ية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22</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الخطية الإضافية التي أحالتها إليها الدولة الطرف بشأن الإجراءات </w:t>
      </w:r>
      <w:r w:rsidR="004E0A37" w:rsidRPr="004E0A37">
        <w:rPr>
          <w:rFonts w:hint="cs"/>
          <w:spacing w:val="0"/>
          <w:sz w:val="20"/>
          <w:rtl/>
        </w:rPr>
        <w:t xml:space="preserve">المزمع اتخاذها </w:t>
      </w:r>
      <w:r w:rsidR="004E0A37" w:rsidRPr="004E0A37">
        <w:rPr>
          <w:spacing w:val="0"/>
          <w:sz w:val="20"/>
          <w:rtl/>
        </w:rPr>
        <w:t>لمكافحة سوء المعام</w:t>
      </w:r>
      <w:r w:rsidR="004E0A37" w:rsidRPr="004E0A37">
        <w:rPr>
          <w:rFonts w:hint="cs"/>
          <w:spacing w:val="0"/>
          <w:sz w:val="20"/>
          <w:rtl/>
        </w:rPr>
        <w:t>لة</w:t>
      </w:r>
      <w:r w:rsidR="004E0A37" w:rsidRPr="004E0A37">
        <w:rPr>
          <w:spacing w:val="0"/>
          <w:sz w:val="20"/>
          <w:rtl/>
        </w:rPr>
        <w:t xml:space="preserve"> في المستشفيات </w:t>
      </w:r>
      <w:r w:rsidR="004E0A37" w:rsidRPr="004E0A37">
        <w:rPr>
          <w:rFonts w:hint="cs"/>
          <w:spacing w:val="0"/>
          <w:sz w:val="20"/>
          <w:rtl/>
        </w:rPr>
        <w:t xml:space="preserve">النفسانية </w:t>
      </w:r>
      <w:r w:rsidR="004E0A37" w:rsidRPr="004E0A37">
        <w:rPr>
          <w:spacing w:val="0"/>
          <w:sz w:val="20"/>
          <w:rtl/>
        </w:rPr>
        <w:t>وبشأن القانون الإطاري الجديد لعام 2011 المتعلق بالنظام الصحي. غير أن</w:t>
      </w:r>
      <w:r w:rsidR="004E0A37" w:rsidRPr="004E0A37">
        <w:rPr>
          <w:rFonts w:hint="cs"/>
          <w:spacing w:val="0"/>
          <w:sz w:val="20"/>
          <w:rtl/>
        </w:rPr>
        <w:t>ها لا </w:t>
      </w:r>
      <w:r w:rsidR="004E0A37" w:rsidRPr="004E0A37">
        <w:rPr>
          <w:spacing w:val="0"/>
          <w:sz w:val="20"/>
          <w:rtl/>
        </w:rPr>
        <w:t>تزال تشعر بالقلق إزاء نقص المعلومات بشأن مراقبة وتفتيش مؤسسات العلاج النفس</w:t>
      </w:r>
      <w:r w:rsidR="004E0A37" w:rsidRPr="004E0A37">
        <w:rPr>
          <w:rFonts w:hint="cs"/>
          <w:spacing w:val="0"/>
          <w:sz w:val="20"/>
          <w:rtl/>
        </w:rPr>
        <w:t>ان</w:t>
      </w:r>
      <w:r w:rsidR="004E0A37" w:rsidRPr="004E0A37">
        <w:rPr>
          <w:spacing w:val="0"/>
          <w:sz w:val="20"/>
          <w:rtl/>
        </w:rPr>
        <w:t>ي التي يحتمل أن يستقبل مرضى معتقلين وبشأن النتائج المحتملة لهذه المراقبة أو التفتيش (المادة 16)</w:t>
      </w:r>
      <w:r w:rsidR="004E0A37" w:rsidRPr="004E0A37">
        <w:rPr>
          <w:rFonts w:hint="cs"/>
          <w:spacing w:val="0"/>
          <w:sz w:val="20"/>
          <w:rtl/>
        </w:rPr>
        <w:t>.</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ينبغي أن تتأكد الدولة الطرف من </w:t>
      </w:r>
      <w:r w:rsidRPr="00F07223">
        <w:rPr>
          <w:rFonts w:hint="cs"/>
          <w:b/>
          <w:bCs/>
          <w:spacing w:val="0"/>
          <w:sz w:val="20"/>
          <w:rtl/>
        </w:rPr>
        <w:t xml:space="preserve">قدرة </w:t>
      </w:r>
      <w:r w:rsidRPr="00F07223">
        <w:rPr>
          <w:b/>
          <w:bCs/>
          <w:spacing w:val="0"/>
          <w:sz w:val="20"/>
          <w:rtl/>
        </w:rPr>
        <w:t>الآلية الوطنية لرصد ومراقبة مرافق الاحتجاز، التي يجب أن تنشأ قريبا</w:t>
      </w:r>
      <w:r w:rsidRPr="00F07223">
        <w:rPr>
          <w:rFonts w:hint="cs"/>
          <w:b/>
          <w:bCs/>
          <w:spacing w:val="0"/>
          <w:sz w:val="20"/>
          <w:rtl/>
        </w:rPr>
        <w:t>ً</w:t>
      </w:r>
      <w:r w:rsidRPr="00F07223">
        <w:rPr>
          <w:b/>
          <w:bCs/>
          <w:spacing w:val="0"/>
          <w:sz w:val="20"/>
          <w:rtl/>
        </w:rPr>
        <w:t xml:space="preserve">، أيضاً </w:t>
      </w:r>
      <w:r w:rsidRPr="00F07223">
        <w:rPr>
          <w:rFonts w:hint="cs"/>
          <w:b/>
          <w:bCs/>
          <w:spacing w:val="0"/>
          <w:sz w:val="20"/>
          <w:rtl/>
        </w:rPr>
        <w:t xml:space="preserve">على </w:t>
      </w:r>
      <w:r w:rsidRPr="00F07223">
        <w:rPr>
          <w:b/>
          <w:bCs/>
          <w:spacing w:val="0"/>
          <w:sz w:val="20"/>
          <w:rtl/>
        </w:rPr>
        <w:t>تفتيش أماكن الاحتجاز الأخرى، مثل مستشفيات الأمراض النفس</w:t>
      </w:r>
      <w:r w:rsidRPr="00F07223">
        <w:rPr>
          <w:rFonts w:hint="cs"/>
          <w:b/>
          <w:bCs/>
          <w:spacing w:val="0"/>
          <w:sz w:val="20"/>
          <w:rtl/>
        </w:rPr>
        <w:t>ان</w:t>
      </w:r>
      <w:r w:rsidRPr="00F07223">
        <w:rPr>
          <w:b/>
          <w:bCs/>
          <w:spacing w:val="0"/>
          <w:sz w:val="20"/>
          <w:rtl/>
        </w:rPr>
        <w:t xml:space="preserve">ية. </w:t>
      </w:r>
      <w:r w:rsidRPr="00F07223">
        <w:rPr>
          <w:rFonts w:hint="cs"/>
          <w:b/>
          <w:bCs/>
          <w:spacing w:val="0"/>
          <w:sz w:val="20"/>
          <w:rtl/>
        </w:rPr>
        <w:t>و</w:t>
      </w:r>
      <w:r w:rsidRPr="00F07223">
        <w:rPr>
          <w:b/>
          <w:bCs/>
          <w:spacing w:val="0"/>
          <w:sz w:val="20"/>
          <w:rtl/>
        </w:rPr>
        <w:t xml:space="preserve">إضافة إلى ذلك، ينبغي لها أن تكفل متابعة نتائج عملية الرصد هذه. وينبغي أن تشمل الآلية المذكورة زيارات دورية ومفاجئة من شأنها أن تمنع حدوث التعذيب وغيره من ضروب المعاقبة أو المعاملة القاسية أو اللاإنسانية أو المهينة. وينبغي أن تكفل الدولة الطرف أيضاً أن يحضر هذه الزيارات أطباء شرعيون مدربون على كشف علامات التعذيب. </w:t>
      </w:r>
      <w:r w:rsidRPr="00F07223">
        <w:rPr>
          <w:rFonts w:hint="cs"/>
          <w:b/>
          <w:bCs/>
          <w:spacing w:val="0"/>
          <w:sz w:val="20"/>
          <w:rtl/>
        </w:rPr>
        <w:t>و</w:t>
      </w:r>
      <w:r w:rsidRPr="00F07223">
        <w:rPr>
          <w:b/>
          <w:bCs/>
          <w:spacing w:val="0"/>
          <w:sz w:val="20"/>
          <w:rtl/>
        </w:rPr>
        <w:t xml:space="preserve">ينبغي للدولة الطرف أن تضمن للمرضى المعتقلين في </w:t>
      </w:r>
      <w:r w:rsidRPr="00F07223">
        <w:rPr>
          <w:rFonts w:hint="cs"/>
          <w:b/>
          <w:bCs/>
          <w:spacing w:val="0"/>
          <w:sz w:val="20"/>
          <w:rtl/>
        </w:rPr>
        <w:t xml:space="preserve">تلك </w:t>
      </w:r>
      <w:r w:rsidRPr="00F07223">
        <w:rPr>
          <w:b/>
          <w:bCs/>
          <w:spacing w:val="0"/>
          <w:sz w:val="20"/>
          <w:rtl/>
        </w:rPr>
        <w:t>المؤسسات بدون إرادتهم إمكانية طلب استئناف قرار الاعتقال وإمكانية الاتصال بطبيب من اختيارهم.</w:t>
      </w:r>
    </w:p>
    <w:p w:rsidR="004E0A37" w:rsidRPr="004E0A37" w:rsidRDefault="004E0A37" w:rsidP="004E0A37">
      <w:pPr>
        <w:pStyle w:val="H23GA"/>
        <w:jc w:val="lowKashida"/>
        <w:rPr>
          <w:rFonts w:hint="cs"/>
          <w:spacing w:val="0"/>
          <w:sz w:val="20"/>
          <w:rtl/>
          <w:lang/>
        </w:rPr>
      </w:pPr>
      <w:r w:rsidRPr="004E0A37">
        <w:rPr>
          <w:rFonts w:hint="cs"/>
          <w:spacing w:val="0"/>
          <w:sz w:val="20"/>
          <w:rtl/>
          <w:lang/>
        </w:rPr>
        <w:tab/>
      </w:r>
      <w:r w:rsidRPr="004E0A37">
        <w:rPr>
          <w:rFonts w:hint="cs"/>
          <w:spacing w:val="0"/>
          <w:sz w:val="20"/>
          <w:rtl/>
          <w:lang/>
        </w:rPr>
        <w:tab/>
      </w:r>
      <w:r w:rsidRPr="004E0A37">
        <w:rPr>
          <w:spacing w:val="0"/>
          <w:sz w:val="20"/>
          <w:rtl/>
          <w:lang/>
        </w:rPr>
        <w:t>العنف المرتكب في حق المرأة</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23</w:t>
      </w:r>
      <w:r w:rsidR="003E72B5">
        <w:rPr>
          <w:spacing w:val="0"/>
          <w:sz w:val="20"/>
          <w:rtl/>
        </w:rPr>
        <w:t>)</w:t>
      </w:r>
      <w:r w:rsidR="003E72B5">
        <w:rPr>
          <w:spacing w:val="0"/>
          <w:sz w:val="20"/>
          <w:rtl/>
        </w:rPr>
        <w:tab/>
      </w:r>
      <w:r w:rsidR="004E0A37" w:rsidRPr="004E0A37">
        <w:rPr>
          <w:spacing w:val="0"/>
          <w:sz w:val="20"/>
          <w:rtl/>
        </w:rPr>
        <w:t>نظراً للأهمية التي يشكلها العنف المرتكب في حق المرأة في المغرب، تعرب اللجنة عن بالغ قلقها إزاء عدم وجود إطار قانوني محدد وشامل في آن واحد يهدف إلى تفادي وقوع أعمال العنف المرتكبة في حق المرأة وقمعها جنائياً، وإلى حماية ضحايا وشهود أعمال العنف هذه. وتشعر اللجنة بالقلق أيضاً إزاء قلة عدد الشكاوى المقدمة من قبل الضحايا، وإزاء عدم وجود إجراء جنائي قيد الدراسة في النيابة العامة، وإزاء عدم خضوع البلاغات المقدمة لتحقيقات منهجية بما في ذلك حالات ا</w:t>
      </w:r>
      <w:r w:rsidR="004E0A37" w:rsidRPr="004E0A37">
        <w:rPr>
          <w:rFonts w:hint="cs"/>
          <w:spacing w:val="0"/>
          <w:sz w:val="20"/>
          <w:rtl/>
        </w:rPr>
        <w:t>لا</w:t>
      </w:r>
      <w:r w:rsidR="004E0A37" w:rsidRPr="004E0A37">
        <w:rPr>
          <w:spacing w:val="0"/>
          <w:sz w:val="20"/>
          <w:rtl/>
        </w:rPr>
        <w:t xml:space="preserve">غتصاب، وكذلك أيضاً إزاء ما ثبت </w:t>
      </w:r>
      <w:r w:rsidR="004E0A37" w:rsidRPr="004E0A37">
        <w:rPr>
          <w:rFonts w:hint="cs"/>
          <w:spacing w:val="0"/>
          <w:sz w:val="20"/>
          <w:rtl/>
        </w:rPr>
        <w:t xml:space="preserve">من </w:t>
      </w:r>
      <w:r w:rsidR="004E0A37" w:rsidRPr="004E0A37">
        <w:rPr>
          <w:spacing w:val="0"/>
          <w:sz w:val="20"/>
          <w:rtl/>
        </w:rPr>
        <w:t xml:space="preserve">أن عبء الإثبات عبء </w:t>
      </w:r>
      <w:r w:rsidR="004E0A37" w:rsidRPr="004E0A37">
        <w:rPr>
          <w:rFonts w:hint="cs"/>
          <w:spacing w:val="0"/>
          <w:sz w:val="20"/>
          <w:rtl/>
        </w:rPr>
        <w:t xml:space="preserve">فادح </w:t>
      </w:r>
      <w:r w:rsidR="004E0A37" w:rsidRPr="004E0A37">
        <w:rPr>
          <w:spacing w:val="0"/>
          <w:sz w:val="20"/>
          <w:rtl/>
        </w:rPr>
        <w:t xml:space="preserve">وأنه يقع فقط على الضحية في سياق اجتماعي </w:t>
      </w:r>
      <w:r w:rsidR="004E0A37" w:rsidRPr="004E0A37">
        <w:rPr>
          <w:rFonts w:hint="cs"/>
          <w:spacing w:val="0"/>
          <w:sz w:val="20"/>
          <w:rtl/>
        </w:rPr>
        <w:t xml:space="preserve">قد يتعرض </w:t>
      </w:r>
      <w:r w:rsidR="004E0A37" w:rsidRPr="004E0A37">
        <w:rPr>
          <w:spacing w:val="0"/>
          <w:sz w:val="20"/>
          <w:rtl/>
        </w:rPr>
        <w:t xml:space="preserve">فيه للوصم </w:t>
      </w:r>
      <w:r w:rsidR="004E0A37" w:rsidRPr="004E0A37">
        <w:rPr>
          <w:rFonts w:hint="cs"/>
          <w:spacing w:val="0"/>
          <w:sz w:val="20"/>
          <w:rtl/>
        </w:rPr>
        <w:t xml:space="preserve">بشكل </w:t>
      </w:r>
      <w:r w:rsidR="004E0A37" w:rsidRPr="004E0A37">
        <w:rPr>
          <w:spacing w:val="0"/>
          <w:sz w:val="20"/>
          <w:rtl/>
        </w:rPr>
        <w:t xml:space="preserve">كبير. وإضافة إلى ذلك، تشعر اللجنة بالقلق إزاء عدم وجود أي نص قانوني محدد يعتبر </w:t>
      </w:r>
      <w:r w:rsidR="004E0A37" w:rsidRPr="004E0A37">
        <w:rPr>
          <w:rFonts w:hint="cs"/>
          <w:spacing w:val="0"/>
          <w:sz w:val="20"/>
          <w:rtl/>
        </w:rPr>
        <w:t xml:space="preserve">اغتصاب الزوج لزوجته </w:t>
      </w:r>
      <w:r w:rsidR="004E0A37" w:rsidRPr="004E0A37">
        <w:rPr>
          <w:spacing w:val="0"/>
          <w:sz w:val="20"/>
          <w:rtl/>
        </w:rPr>
        <w:t xml:space="preserve">جريمة. وأخيراً، تشعر اللجنة بقلق بالغ إزاء كون القانون الوضعي المغربي يتيح </w:t>
      </w:r>
      <w:r w:rsidR="004E0A37" w:rsidRPr="004E0A37">
        <w:rPr>
          <w:rFonts w:hint="cs"/>
          <w:spacing w:val="0"/>
          <w:sz w:val="20"/>
          <w:rtl/>
        </w:rPr>
        <w:t xml:space="preserve">لمن يغتصب فتاة قاصراً </w:t>
      </w:r>
      <w:r w:rsidR="004E0A37" w:rsidRPr="004E0A37">
        <w:rPr>
          <w:spacing w:val="0"/>
          <w:sz w:val="20"/>
          <w:rtl/>
        </w:rPr>
        <w:t>إمكانية التنصل من مسؤوليته الجنائية عن طريق الزواج من الضحية. وتعرب اللجنة</w:t>
      </w:r>
      <w:r w:rsidR="004E0A37" w:rsidRPr="004E0A37">
        <w:rPr>
          <w:rFonts w:hint="cs"/>
          <w:spacing w:val="0"/>
          <w:sz w:val="20"/>
          <w:rtl/>
        </w:rPr>
        <w:t>،</w:t>
      </w:r>
      <w:r w:rsidR="004E0A37" w:rsidRPr="004E0A37">
        <w:rPr>
          <w:spacing w:val="0"/>
          <w:sz w:val="20"/>
          <w:rtl/>
        </w:rPr>
        <w:t xml:space="preserve"> في هذا الصدد</w:t>
      </w:r>
      <w:r w:rsidR="004E0A37" w:rsidRPr="004E0A37">
        <w:rPr>
          <w:rFonts w:hint="cs"/>
          <w:spacing w:val="0"/>
          <w:sz w:val="20"/>
          <w:rtl/>
        </w:rPr>
        <w:t>،</w:t>
      </w:r>
      <w:r w:rsidR="004E0A37" w:rsidRPr="004E0A37">
        <w:rPr>
          <w:spacing w:val="0"/>
          <w:sz w:val="20"/>
          <w:rtl/>
        </w:rPr>
        <w:t xml:space="preserve"> عن أسفها لقلة المعلومات المتعلقة بعدد الحالات التي تزوجت فيها الضحية من المغتصِب أو رفضت فيها مثل هذا الزواج (المواد 2 و12 و13 و16)</w:t>
      </w:r>
      <w:r w:rsidR="004E0A37" w:rsidRPr="004E0A37">
        <w:rPr>
          <w:rFonts w:hint="cs"/>
          <w:spacing w:val="0"/>
          <w:sz w:val="20"/>
          <w:rtl/>
        </w:rPr>
        <w:t>.</w:t>
      </w:r>
    </w:p>
    <w:p w:rsidR="004E0A37" w:rsidRPr="00F07223" w:rsidRDefault="004E0A37" w:rsidP="002E2361">
      <w:pPr>
        <w:pStyle w:val="SingleTxtGA"/>
        <w:jc w:val="lowKashida"/>
        <w:rPr>
          <w:b/>
          <w:bCs/>
          <w:spacing w:val="0"/>
          <w:sz w:val="20"/>
          <w:rtl/>
        </w:rPr>
      </w:pPr>
      <w:r w:rsidRPr="00F07223">
        <w:rPr>
          <w:rFonts w:hint="cs"/>
          <w:b/>
          <w:bCs/>
          <w:spacing w:val="0"/>
          <w:sz w:val="20"/>
          <w:rtl/>
        </w:rPr>
        <w:tab/>
      </w:r>
      <w:r w:rsidRPr="00F07223">
        <w:rPr>
          <w:b/>
          <w:bCs/>
          <w:spacing w:val="0"/>
          <w:sz w:val="20"/>
          <w:rtl/>
        </w:rPr>
        <w:t>وتحث اللجنة الدولة الطرف على سن</w:t>
      </w:r>
      <w:r w:rsidRPr="00F07223">
        <w:rPr>
          <w:rFonts w:hint="cs"/>
          <w:b/>
          <w:bCs/>
          <w:spacing w:val="0"/>
          <w:sz w:val="20"/>
          <w:rtl/>
        </w:rPr>
        <w:t>ّ</w:t>
      </w:r>
      <w:r w:rsidRPr="00F07223">
        <w:rPr>
          <w:b/>
          <w:bCs/>
          <w:spacing w:val="0"/>
          <w:sz w:val="20"/>
          <w:rtl/>
        </w:rPr>
        <w:t xml:space="preserve"> قانون في أسرع وقت بشأن العنف المرتكب في حق النساء والفتيات،</w:t>
      </w:r>
      <w:r w:rsidRPr="00F07223">
        <w:rPr>
          <w:rFonts w:hint="cs"/>
          <w:b/>
          <w:bCs/>
          <w:spacing w:val="0"/>
          <w:sz w:val="20"/>
          <w:rtl/>
        </w:rPr>
        <w:t xml:space="preserve"> </w:t>
      </w:r>
      <w:r w:rsidRPr="00F07223">
        <w:rPr>
          <w:b/>
          <w:bCs/>
          <w:spacing w:val="0"/>
          <w:sz w:val="20"/>
          <w:rtl/>
        </w:rPr>
        <w:t xml:space="preserve">بصفة تجرم جميع أشكال العنف ضد النساء. </w:t>
      </w:r>
      <w:r w:rsidRPr="00F07223">
        <w:rPr>
          <w:rFonts w:hint="cs"/>
          <w:b/>
          <w:bCs/>
          <w:spacing w:val="0"/>
          <w:sz w:val="20"/>
          <w:rtl/>
        </w:rPr>
        <w:t>وعلاوة</w:t>
      </w:r>
      <w:r w:rsidR="002E2361">
        <w:rPr>
          <w:rFonts w:hint="eastAsia"/>
          <w:b/>
          <w:bCs/>
          <w:spacing w:val="0"/>
          <w:sz w:val="20"/>
          <w:rtl/>
        </w:rPr>
        <w:t> </w:t>
      </w:r>
      <w:r w:rsidRPr="00F07223">
        <w:rPr>
          <w:rFonts w:hint="cs"/>
          <w:b/>
          <w:bCs/>
          <w:spacing w:val="0"/>
          <w:sz w:val="20"/>
          <w:rtl/>
        </w:rPr>
        <w:t xml:space="preserve">على </w:t>
      </w:r>
      <w:r w:rsidRPr="00F07223">
        <w:rPr>
          <w:b/>
          <w:bCs/>
          <w:spacing w:val="0"/>
          <w:sz w:val="20"/>
          <w:rtl/>
        </w:rPr>
        <w:t>ذلك، ت</w:t>
      </w:r>
      <w:r w:rsidRPr="00F07223">
        <w:rPr>
          <w:rFonts w:hint="cs"/>
          <w:b/>
          <w:bCs/>
          <w:spacing w:val="0"/>
          <w:sz w:val="20"/>
          <w:rtl/>
        </w:rPr>
        <w:t>ُ</w:t>
      </w:r>
      <w:r w:rsidRPr="00F07223">
        <w:rPr>
          <w:b/>
          <w:bCs/>
          <w:spacing w:val="0"/>
          <w:sz w:val="20"/>
          <w:rtl/>
        </w:rPr>
        <w:t xml:space="preserve">شَجَّع الدولة الطرف على ضمان وصول النساء والفتيات ضحايا العنف </w:t>
      </w:r>
      <w:r w:rsidRPr="00F07223">
        <w:rPr>
          <w:rFonts w:hint="cs"/>
          <w:b/>
          <w:bCs/>
          <w:spacing w:val="0"/>
          <w:sz w:val="20"/>
          <w:rtl/>
        </w:rPr>
        <w:t xml:space="preserve">فوراً </w:t>
      </w:r>
      <w:r w:rsidRPr="00F07223">
        <w:rPr>
          <w:b/>
          <w:bCs/>
          <w:spacing w:val="0"/>
          <w:sz w:val="20"/>
          <w:rtl/>
        </w:rPr>
        <w:t xml:space="preserve">إلى وسائل الحماية، بما في ذلك دور الإيواء، وعلى تمكينهن من الحصول على تعويضات، وعلى مقاضاة الجناة ومعاقبتهم على النحو المناسب. </w:t>
      </w:r>
      <w:r w:rsidRPr="00F07223">
        <w:rPr>
          <w:rFonts w:hint="cs"/>
          <w:b/>
          <w:bCs/>
          <w:spacing w:val="0"/>
          <w:sz w:val="20"/>
          <w:rtl/>
        </w:rPr>
        <w:t xml:space="preserve">وتؤكد </w:t>
      </w:r>
      <w:r w:rsidRPr="00F07223">
        <w:rPr>
          <w:b/>
          <w:bCs/>
          <w:spacing w:val="0"/>
          <w:sz w:val="20"/>
          <w:rtl/>
        </w:rPr>
        <w:t xml:space="preserve">اللجنة </w:t>
      </w:r>
      <w:r w:rsidRPr="00F07223">
        <w:rPr>
          <w:rFonts w:hint="cs"/>
          <w:b/>
          <w:bCs/>
          <w:spacing w:val="0"/>
          <w:sz w:val="20"/>
          <w:rtl/>
        </w:rPr>
        <w:t xml:space="preserve">مجدّداً، </w:t>
      </w:r>
      <w:r w:rsidRPr="00F07223">
        <w:rPr>
          <w:b/>
          <w:bCs/>
          <w:spacing w:val="0"/>
          <w:sz w:val="20"/>
          <w:rtl/>
        </w:rPr>
        <w:t>في هذا الصدد</w:t>
      </w:r>
      <w:r w:rsidRPr="00F07223">
        <w:rPr>
          <w:rFonts w:hint="cs"/>
          <w:b/>
          <w:bCs/>
          <w:spacing w:val="0"/>
          <w:sz w:val="20"/>
          <w:rtl/>
        </w:rPr>
        <w:t>، على</w:t>
      </w:r>
      <w:r w:rsidRPr="00F07223">
        <w:rPr>
          <w:b/>
          <w:bCs/>
          <w:spacing w:val="0"/>
          <w:sz w:val="20"/>
          <w:rtl/>
        </w:rPr>
        <w:t xml:space="preserve"> توصيات لجنة القضاء على التمييز ضد المرأة</w:t>
      </w:r>
      <w:r w:rsidR="00727BAF" w:rsidRPr="002E2361">
        <w:rPr>
          <w:spacing w:val="0"/>
          <w:sz w:val="20"/>
          <w:vertAlign w:val="superscript"/>
          <w:rtl/>
        </w:rPr>
        <w:t>(</w:t>
      </w:r>
      <w:r w:rsidR="00727BAF" w:rsidRPr="002E2361">
        <w:rPr>
          <w:rStyle w:val="FootnoteReference"/>
          <w:spacing w:val="0"/>
          <w:rtl/>
        </w:rPr>
        <w:footnoteReference w:id="10"/>
      </w:r>
      <w:r w:rsidR="00727BAF" w:rsidRPr="002E2361">
        <w:rPr>
          <w:spacing w:val="0"/>
          <w:sz w:val="20"/>
          <w:vertAlign w:val="superscript"/>
          <w:rtl/>
        </w:rPr>
        <w:t>)</w:t>
      </w:r>
      <w:r w:rsidRPr="00F07223">
        <w:rPr>
          <w:b/>
          <w:bCs/>
          <w:spacing w:val="0"/>
          <w:sz w:val="20"/>
          <w:rtl/>
        </w:rPr>
        <w:t xml:space="preserve">. وينبغي للدولة الطرف أن تعدّل، دون مزيد من الإبطاء، القانون الجنائي بصفة تجرم الاغتصاب في إطار الزواج وأن تضمن عدم إفلات المغتصبين من الملاحقة الجنائية في حالة زواجهم من الضحية. وينبغي لها أيضاً أن تجري دراسات بشأن أسباب ومدى انتشار العنف المرتكب في حق النساء والفتيات، بما في ذلك العنف الجنسي والعنف </w:t>
      </w:r>
      <w:r w:rsidRPr="00F07223">
        <w:rPr>
          <w:rFonts w:hint="cs"/>
          <w:b/>
          <w:bCs/>
          <w:spacing w:val="0"/>
          <w:sz w:val="20"/>
          <w:rtl/>
        </w:rPr>
        <w:t>الأُسري</w:t>
      </w:r>
      <w:r w:rsidRPr="00F07223">
        <w:rPr>
          <w:b/>
          <w:bCs/>
          <w:spacing w:val="0"/>
          <w:sz w:val="20"/>
          <w:rtl/>
        </w:rPr>
        <w:t>.</w:t>
      </w:r>
      <w:r w:rsidRPr="00F07223">
        <w:rPr>
          <w:rFonts w:hint="cs"/>
          <w:b/>
          <w:bCs/>
          <w:spacing w:val="0"/>
          <w:sz w:val="20"/>
          <w:rtl/>
        </w:rPr>
        <w:t xml:space="preserve"> و</w:t>
      </w:r>
      <w:r w:rsidRPr="00F07223">
        <w:rPr>
          <w:b/>
          <w:bCs/>
          <w:spacing w:val="0"/>
          <w:sz w:val="20"/>
          <w:rtl/>
        </w:rPr>
        <w:t xml:space="preserve">علاوة على ذلك، ينبغي </w:t>
      </w:r>
      <w:r w:rsidRPr="00F07223">
        <w:rPr>
          <w:rFonts w:hint="cs"/>
          <w:b/>
          <w:bCs/>
          <w:spacing w:val="0"/>
          <w:sz w:val="20"/>
          <w:rtl/>
        </w:rPr>
        <w:t>ل</w:t>
      </w:r>
      <w:r w:rsidRPr="00F07223">
        <w:rPr>
          <w:b/>
          <w:bCs/>
          <w:spacing w:val="0"/>
          <w:sz w:val="20"/>
          <w:rtl/>
        </w:rPr>
        <w:t>لدولة الطرف أن تقدم، في تقريرها المقبل إلى اللجنة، معلومات عن القوانين والسياسات السارية لمكافحة أعمال العنف المرتكبة في حق المرأة، وأن تقدم معلومات عن آثار التدابير</w:t>
      </w:r>
      <w:r w:rsidRPr="00F07223">
        <w:rPr>
          <w:rFonts w:hint="cs"/>
          <w:b/>
          <w:bCs/>
          <w:spacing w:val="0"/>
          <w:sz w:val="20"/>
          <w:rtl/>
        </w:rPr>
        <w:t> </w:t>
      </w:r>
      <w:r w:rsidRPr="00F07223">
        <w:rPr>
          <w:b/>
          <w:bCs/>
          <w:spacing w:val="0"/>
          <w:sz w:val="20"/>
          <w:rtl/>
        </w:rPr>
        <w:t>المتخذة.</w:t>
      </w:r>
    </w:p>
    <w:p w:rsidR="004E0A37" w:rsidRPr="004E0A37" w:rsidRDefault="004E0A37" w:rsidP="004E0A37">
      <w:pPr>
        <w:pStyle w:val="H23GA"/>
        <w:jc w:val="lowKashida"/>
        <w:rPr>
          <w:spacing w:val="0"/>
          <w:sz w:val="20"/>
          <w:rtl/>
          <w:lang/>
        </w:rPr>
      </w:pPr>
      <w:r w:rsidRPr="004E0A37">
        <w:rPr>
          <w:rFonts w:hint="cs"/>
          <w:spacing w:val="0"/>
          <w:sz w:val="20"/>
          <w:rtl/>
          <w:lang/>
        </w:rPr>
        <w:tab/>
      </w:r>
      <w:r w:rsidRPr="004E0A37">
        <w:rPr>
          <w:rFonts w:hint="cs"/>
          <w:spacing w:val="0"/>
          <w:sz w:val="20"/>
          <w:rtl/>
          <w:lang/>
        </w:rPr>
        <w:tab/>
      </w:r>
      <w:r w:rsidRPr="004E0A37">
        <w:rPr>
          <w:spacing w:val="0"/>
          <w:sz w:val="20"/>
          <w:rtl/>
          <w:lang/>
        </w:rPr>
        <w:t>العقاب البدني</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24</w:t>
      </w:r>
      <w:r w:rsidR="003E72B5">
        <w:rPr>
          <w:spacing w:val="0"/>
          <w:sz w:val="20"/>
          <w:rtl/>
        </w:rPr>
        <w:t>)</w:t>
      </w:r>
      <w:r w:rsidR="003E72B5">
        <w:rPr>
          <w:spacing w:val="0"/>
          <w:sz w:val="20"/>
          <w:rtl/>
        </w:rPr>
        <w:tab/>
      </w:r>
      <w:r w:rsidR="004E0A37" w:rsidRPr="004E0A37">
        <w:rPr>
          <w:spacing w:val="0"/>
          <w:sz w:val="20"/>
          <w:rtl/>
        </w:rPr>
        <w:t xml:space="preserve">تلاحظ اللجنة بقلق عدم وجود أحكام في التشريعات المغربية تحظر </w:t>
      </w:r>
      <w:r w:rsidR="004E0A37" w:rsidRPr="004E0A37">
        <w:rPr>
          <w:rFonts w:hint="cs"/>
          <w:spacing w:val="0"/>
          <w:sz w:val="20"/>
          <w:rtl/>
        </w:rPr>
        <w:t xml:space="preserve">العقاب البدني </w:t>
      </w:r>
      <w:r w:rsidR="004E0A37" w:rsidRPr="004E0A37">
        <w:rPr>
          <w:spacing w:val="0"/>
          <w:sz w:val="20"/>
          <w:rtl/>
        </w:rPr>
        <w:t>داخل الأسرة والمدرسة والمؤسسات العاملة في مجال رعاية الطفل (المادة 16)</w:t>
      </w:r>
      <w:r w:rsidR="004E0A37" w:rsidRPr="004E0A37">
        <w:rPr>
          <w:rFonts w:hint="cs"/>
          <w:spacing w:val="0"/>
          <w:sz w:val="20"/>
          <w:rtl/>
        </w:rPr>
        <w:t>.</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ينبغي أن تعدّل الدولة الطرف تشريعاتها بهدف منع اللجوء إلى العقاب البدني في</w:t>
      </w:r>
      <w:r w:rsidRPr="00F07223">
        <w:rPr>
          <w:rFonts w:hint="cs"/>
          <w:b/>
          <w:bCs/>
          <w:spacing w:val="0"/>
          <w:sz w:val="20"/>
          <w:rtl/>
        </w:rPr>
        <w:t> </w:t>
      </w:r>
      <w:r w:rsidRPr="00F07223">
        <w:rPr>
          <w:b/>
          <w:bCs/>
          <w:spacing w:val="0"/>
          <w:sz w:val="20"/>
          <w:rtl/>
        </w:rPr>
        <w:t xml:space="preserve">سياق تربية الأطفال سواء داخل الأسرة أو داخل مراكز حماية الطفل. وينبغي لها أيضاً أن تقوم بتوعية الجمهور </w:t>
      </w:r>
      <w:r w:rsidR="00F96B1E" w:rsidRPr="00F07223">
        <w:rPr>
          <w:rFonts w:hint="cs"/>
          <w:b/>
          <w:bCs/>
          <w:spacing w:val="0"/>
          <w:sz w:val="20"/>
          <w:rtl/>
        </w:rPr>
        <w:t>فيما </w:t>
      </w:r>
      <w:r w:rsidRPr="00F07223">
        <w:rPr>
          <w:rFonts w:hint="cs"/>
          <w:b/>
          <w:bCs/>
          <w:spacing w:val="0"/>
          <w:sz w:val="20"/>
          <w:rtl/>
        </w:rPr>
        <w:t>يتعلق ب</w:t>
      </w:r>
      <w:r w:rsidRPr="00F07223">
        <w:rPr>
          <w:b/>
          <w:bCs/>
          <w:spacing w:val="0"/>
          <w:sz w:val="20"/>
          <w:rtl/>
        </w:rPr>
        <w:t>أشكال التأديب الإيجابية التشاركية لا على الأشكال</w:t>
      </w:r>
      <w:r w:rsidRPr="00F07223">
        <w:rPr>
          <w:rFonts w:hint="cs"/>
          <w:b/>
          <w:bCs/>
          <w:spacing w:val="0"/>
          <w:sz w:val="20"/>
          <w:rtl/>
        </w:rPr>
        <w:t> </w:t>
      </w:r>
      <w:r w:rsidRPr="00F07223">
        <w:rPr>
          <w:b/>
          <w:bCs/>
          <w:spacing w:val="0"/>
          <w:sz w:val="20"/>
          <w:rtl/>
        </w:rPr>
        <w:t xml:space="preserve">العنيفة. </w:t>
      </w:r>
    </w:p>
    <w:p w:rsidR="004E0A37" w:rsidRPr="004E0A37" w:rsidRDefault="004E0A37" w:rsidP="004E0A37">
      <w:pPr>
        <w:pStyle w:val="H23GA"/>
        <w:jc w:val="lowKashida"/>
        <w:rPr>
          <w:spacing w:val="0"/>
          <w:sz w:val="20"/>
          <w:rtl/>
          <w:lang/>
        </w:rPr>
      </w:pPr>
      <w:r w:rsidRPr="004E0A37">
        <w:rPr>
          <w:rFonts w:hint="cs"/>
          <w:spacing w:val="0"/>
          <w:sz w:val="20"/>
          <w:rtl/>
          <w:lang/>
        </w:rPr>
        <w:tab/>
      </w:r>
      <w:r w:rsidRPr="004E0A37">
        <w:rPr>
          <w:rFonts w:hint="cs"/>
          <w:spacing w:val="0"/>
          <w:sz w:val="20"/>
          <w:rtl/>
          <w:lang/>
        </w:rPr>
        <w:tab/>
      </w:r>
      <w:r w:rsidRPr="004E0A37">
        <w:rPr>
          <w:spacing w:val="0"/>
          <w:sz w:val="20"/>
          <w:rtl/>
          <w:lang/>
        </w:rPr>
        <w:t>معاملة اللاجئين وطالبي اللجوء</w:t>
      </w:r>
    </w:p>
    <w:p w:rsidR="004E0A37" w:rsidRPr="004E0A37" w:rsidRDefault="0033301A" w:rsidP="004E0A37">
      <w:pPr>
        <w:pStyle w:val="SingleTxtGA"/>
        <w:jc w:val="lowKashida"/>
        <w:rPr>
          <w:rFonts w:hint="cs"/>
          <w:spacing w:val="0"/>
          <w:sz w:val="20"/>
          <w:rtl/>
        </w:rPr>
      </w:pPr>
      <w:r>
        <w:rPr>
          <w:rFonts w:hint="cs"/>
          <w:spacing w:val="0"/>
          <w:sz w:val="20"/>
          <w:rtl/>
        </w:rPr>
        <w:t>(</w:t>
      </w:r>
      <w:r w:rsidR="004E0A37" w:rsidRPr="004E0A37">
        <w:rPr>
          <w:spacing w:val="0"/>
          <w:sz w:val="20"/>
          <w:rtl/>
        </w:rPr>
        <w:t>25</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التي قدمتها الدولة الطرف بشأن زيادة تعاونها مع المفوضية السامية لشؤون اللاجئين، خصوصاً </w:t>
      </w:r>
      <w:r w:rsidR="00F96B1E">
        <w:rPr>
          <w:spacing w:val="0"/>
          <w:sz w:val="20"/>
          <w:rtl/>
        </w:rPr>
        <w:t>فيما </w:t>
      </w:r>
      <w:r w:rsidR="004E0A37" w:rsidRPr="004E0A37">
        <w:rPr>
          <w:spacing w:val="0"/>
          <w:sz w:val="20"/>
          <w:rtl/>
        </w:rPr>
        <w:t xml:space="preserve">يتعلق </w:t>
      </w:r>
      <w:r w:rsidR="004E0A37" w:rsidRPr="004E0A37">
        <w:rPr>
          <w:rFonts w:hint="cs"/>
          <w:spacing w:val="0"/>
          <w:sz w:val="20"/>
          <w:rtl/>
        </w:rPr>
        <w:t>ب</w:t>
      </w:r>
      <w:r w:rsidR="004E0A37" w:rsidRPr="004E0A37">
        <w:rPr>
          <w:spacing w:val="0"/>
          <w:sz w:val="20"/>
          <w:rtl/>
        </w:rPr>
        <w:t xml:space="preserve">زيادة قدرات الدولة الطرف في مجال استقبال طالبي اللجوء واللاجئين وتحديد هوياتهم وحمايتهم. </w:t>
      </w:r>
      <w:r w:rsidR="004E0A37" w:rsidRPr="004E0A37">
        <w:rPr>
          <w:rFonts w:hint="cs"/>
          <w:spacing w:val="0"/>
          <w:sz w:val="20"/>
          <w:rtl/>
        </w:rPr>
        <w:t xml:space="preserve">ومع ذلك فإنها </w:t>
      </w:r>
      <w:r w:rsidR="004E0A37" w:rsidRPr="004E0A37">
        <w:rPr>
          <w:spacing w:val="0"/>
          <w:sz w:val="20"/>
          <w:rtl/>
        </w:rPr>
        <w:t xml:space="preserve">تشعر بالقلق إزاء عدم وجود إطار قانوني خاص باللاجئين ولطالبي اللجوء والذي قد يحول دون وقوع أي خلط بينهم وبين المهاجرين غير الشرعيين. </w:t>
      </w:r>
      <w:r w:rsidR="004E0A37" w:rsidRPr="004E0A37">
        <w:rPr>
          <w:rFonts w:hint="cs"/>
          <w:spacing w:val="0"/>
          <w:sz w:val="20"/>
          <w:rtl/>
        </w:rPr>
        <w:t xml:space="preserve">كما </w:t>
      </w:r>
      <w:r w:rsidR="004E0A37" w:rsidRPr="004E0A37">
        <w:rPr>
          <w:spacing w:val="0"/>
          <w:sz w:val="20"/>
          <w:rtl/>
        </w:rPr>
        <w:t xml:space="preserve">تشعر بالقلق </w:t>
      </w:r>
      <w:r w:rsidR="004E0A37" w:rsidRPr="004E0A37">
        <w:rPr>
          <w:rFonts w:hint="cs"/>
          <w:spacing w:val="0"/>
          <w:sz w:val="20"/>
          <w:rtl/>
        </w:rPr>
        <w:t>لعدم قدرة</w:t>
      </w:r>
      <w:r w:rsidR="004E0A37" w:rsidRPr="004E0A37">
        <w:rPr>
          <w:spacing w:val="0"/>
          <w:sz w:val="20"/>
          <w:rtl/>
        </w:rPr>
        <w:t xml:space="preserve">، </w:t>
      </w:r>
      <w:r w:rsidR="004E0A37" w:rsidRPr="004E0A37">
        <w:rPr>
          <w:rFonts w:hint="cs"/>
          <w:spacing w:val="0"/>
          <w:sz w:val="20"/>
          <w:rtl/>
        </w:rPr>
        <w:t xml:space="preserve">طالبي </w:t>
      </w:r>
      <w:r w:rsidR="004E0A37" w:rsidRPr="004E0A37">
        <w:rPr>
          <w:spacing w:val="0"/>
          <w:sz w:val="20"/>
          <w:rtl/>
        </w:rPr>
        <w:t>اللجوء</w:t>
      </w:r>
      <w:r w:rsidR="004E0A37" w:rsidRPr="004E0A37">
        <w:rPr>
          <w:rFonts w:hint="cs"/>
          <w:spacing w:val="0"/>
          <w:sz w:val="20"/>
          <w:rtl/>
        </w:rPr>
        <w:t>،</w:t>
      </w:r>
      <w:r w:rsidR="004E0A37" w:rsidRPr="004E0A37">
        <w:rPr>
          <w:spacing w:val="0"/>
          <w:sz w:val="20"/>
          <w:rtl/>
        </w:rPr>
        <w:t xml:space="preserve"> </w:t>
      </w:r>
      <w:r w:rsidR="004E0A37" w:rsidRPr="004E0A37">
        <w:rPr>
          <w:rFonts w:hint="cs"/>
          <w:spacing w:val="0"/>
          <w:sz w:val="20"/>
          <w:rtl/>
        </w:rPr>
        <w:t xml:space="preserve">في الظروف الراهنة، حتى الآن </w:t>
      </w:r>
      <w:r w:rsidR="004E0A37" w:rsidRPr="004E0A37">
        <w:rPr>
          <w:spacing w:val="0"/>
          <w:sz w:val="20"/>
          <w:rtl/>
        </w:rPr>
        <w:t>على تقديم طلبات لجوئهم إلى السلطات المختصة، لا سيما في منافذ دخول الأراضي المغربية، حيث يعامَلون كمهاجرين غير شرعيين. وتشعر اللجنة بالقلق أيضاً إزاء عدم وجود مكتب خاص يوفر للاجئين ولعديمي الجنسية فرصة معالجة طلبات لجوئهم بطريقة سريعة وفعالة، ويضمن للاجئين التمتع بجميع حقوقهم في الأراضي المغربية (المواد 2 و3 و16)</w:t>
      </w:r>
      <w:r w:rsidR="004E0A37" w:rsidRPr="004E0A37">
        <w:rPr>
          <w:rFonts w:hint="cs"/>
          <w:spacing w:val="0"/>
          <w:sz w:val="20"/>
          <w:rtl/>
        </w:rPr>
        <w:t>.</w:t>
      </w:r>
    </w:p>
    <w:p w:rsidR="004E0A37" w:rsidRPr="002E2361" w:rsidRDefault="004E0A37" w:rsidP="002E2361">
      <w:pPr>
        <w:pStyle w:val="SingleTxtGA"/>
        <w:spacing w:line="374" w:lineRule="exact"/>
        <w:jc w:val="lowKashida"/>
        <w:rPr>
          <w:b/>
          <w:bCs/>
          <w:spacing w:val="0"/>
          <w:kern w:val="0"/>
          <w:sz w:val="20"/>
          <w:rtl/>
        </w:rPr>
      </w:pPr>
      <w:r w:rsidRPr="002E2361">
        <w:rPr>
          <w:rFonts w:hint="cs"/>
          <w:b/>
          <w:bCs/>
          <w:spacing w:val="0"/>
          <w:kern w:val="0"/>
          <w:sz w:val="20"/>
          <w:rtl/>
        </w:rPr>
        <w:tab/>
      </w:r>
      <w:r w:rsidRPr="002E2361">
        <w:rPr>
          <w:b/>
          <w:bCs/>
          <w:spacing w:val="0"/>
          <w:kern w:val="0"/>
          <w:sz w:val="20"/>
          <w:rtl/>
        </w:rPr>
        <w:t xml:space="preserve">ينبغي أن تضع الدولة الطرف إطاراً قانونياً لضمان حقوق اللاجئين وطالبي اللجوء، وأن تطور الأدوات المؤسسية والإدارية القادرة على تنفيذ هذه الحماية، لا سيما بتعزيز تعاونها مع المفوضية السامية لشؤون اللاجئين وبمنح المفوضية السامية صفة مراقب </w:t>
      </w:r>
      <w:r w:rsidRPr="002E2361">
        <w:rPr>
          <w:rFonts w:hint="cs"/>
          <w:b/>
          <w:bCs/>
          <w:spacing w:val="0"/>
          <w:kern w:val="0"/>
          <w:sz w:val="20"/>
          <w:rtl/>
        </w:rPr>
        <w:t xml:space="preserve">في سياق </w:t>
      </w:r>
      <w:r w:rsidRPr="002E2361">
        <w:rPr>
          <w:b/>
          <w:bCs/>
          <w:spacing w:val="0"/>
          <w:kern w:val="0"/>
          <w:sz w:val="20"/>
          <w:rtl/>
        </w:rPr>
        <w:t>عملية إصلاح نظام اللجوء. وينبغي لها أن تكفل وضع إجراءات وآليات قادرة على ضمان تحديد هوية طالبي اللجوء المحتملين بصورة منهجية في جميع نقاط الدخول إلى الأراضي المغربية.</w:t>
      </w:r>
      <w:r w:rsidRPr="002E2361">
        <w:rPr>
          <w:rFonts w:hint="cs"/>
          <w:b/>
          <w:bCs/>
          <w:spacing w:val="0"/>
          <w:kern w:val="0"/>
          <w:sz w:val="20"/>
          <w:rtl/>
        </w:rPr>
        <w:t xml:space="preserve"> </w:t>
      </w:r>
      <w:r w:rsidRPr="002E2361">
        <w:rPr>
          <w:b/>
          <w:bCs/>
          <w:spacing w:val="0"/>
          <w:kern w:val="0"/>
          <w:sz w:val="20"/>
          <w:rtl/>
        </w:rPr>
        <w:t xml:space="preserve">وينبغي </w:t>
      </w:r>
      <w:r w:rsidRPr="002E2361">
        <w:rPr>
          <w:rFonts w:hint="cs"/>
          <w:b/>
          <w:bCs/>
          <w:spacing w:val="0"/>
          <w:kern w:val="0"/>
          <w:sz w:val="20"/>
          <w:rtl/>
        </w:rPr>
        <w:t>ل</w:t>
      </w:r>
      <w:r w:rsidRPr="002E2361">
        <w:rPr>
          <w:b/>
          <w:bCs/>
          <w:spacing w:val="0"/>
          <w:kern w:val="0"/>
          <w:sz w:val="20"/>
          <w:rtl/>
        </w:rPr>
        <w:t>لدولة الطرف أيضاً</w:t>
      </w:r>
      <w:r w:rsidRPr="002E2361">
        <w:rPr>
          <w:rFonts w:hint="cs"/>
          <w:b/>
          <w:bCs/>
          <w:spacing w:val="0"/>
          <w:kern w:val="0"/>
          <w:sz w:val="20"/>
          <w:rtl/>
        </w:rPr>
        <w:t xml:space="preserve"> أن تمكن </w:t>
      </w:r>
      <w:r w:rsidRPr="002E2361">
        <w:rPr>
          <w:b/>
          <w:bCs/>
          <w:spacing w:val="0"/>
          <w:kern w:val="0"/>
          <w:sz w:val="20"/>
          <w:rtl/>
        </w:rPr>
        <w:t xml:space="preserve">هؤلاء الأشخاص من تقديم طلبات لجوئهم. وينبغي أن تضمن هذه الآليات أيضاً إمكانية تعرض القرارات المتخذة </w:t>
      </w:r>
      <w:r w:rsidRPr="002E2361">
        <w:rPr>
          <w:rFonts w:hint="cs"/>
          <w:b/>
          <w:bCs/>
          <w:spacing w:val="0"/>
          <w:kern w:val="0"/>
          <w:sz w:val="20"/>
          <w:rtl/>
        </w:rPr>
        <w:t>ل</w:t>
      </w:r>
      <w:r w:rsidRPr="002E2361">
        <w:rPr>
          <w:b/>
          <w:bCs/>
          <w:spacing w:val="0"/>
          <w:kern w:val="0"/>
          <w:sz w:val="20"/>
          <w:rtl/>
        </w:rPr>
        <w:t xml:space="preserve">لطعن وأن يقترن ذلك بوقف التنفيذ وعدم إبعاد الشخص </w:t>
      </w:r>
      <w:r w:rsidRPr="002E2361">
        <w:rPr>
          <w:rFonts w:hint="cs"/>
          <w:b/>
          <w:bCs/>
          <w:spacing w:val="0"/>
          <w:kern w:val="0"/>
          <w:sz w:val="20"/>
          <w:rtl/>
        </w:rPr>
        <w:t xml:space="preserve">المعني </w:t>
      </w:r>
      <w:r w:rsidRPr="002E2361">
        <w:rPr>
          <w:b/>
          <w:bCs/>
          <w:spacing w:val="0"/>
          <w:kern w:val="0"/>
          <w:sz w:val="20"/>
          <w:rtl/>
        </w:rPr>
        <w:t>إلى بلد يو</w:t>
      </w:r>
      <w:r w:rsidRPr="002E2361">
        <w:rPr>
          <w:rFonts w:hint="cs"/>
          <w:b/>
          <w:bCs/>
          <w:spacing w:val="0"/>
          <w:kern w:val="0"/>
          <w:sz w:val="20"/>
          <w:rtl/>
        </w:rPr>
        <w:t xml:space="preserve">اجه </w:t>
      </w:r>
      <w:r w:rsidRPr="002E2361">
        <w:rPr>
          <w:b/>
          <w:bCs/>
          <w:spacing w:val="0"/>
          <w:kern w:val="0"/>
          <w:sz w:val="20"/>
          <w:rtl/>
        </w:rPr>
        <w:t xml:space="preserve">فيه خطر التعذيب. </w:t>
      </w:r>
    </w:p>
    <w:p w:rsidR="004E0A37" w:rsidRPr="002E2361" w:rsidRDefault="004E0A37" w:rsidP="002E2361">
      <w:pPr>
        <w:pStyle w:val="SingleTxtGA"/>
        <w:spacing w:line="374" w:lineRule="exact"/>
        <w:jc w:val="lowKashida"/>
        <w:rPr>
          <w:b/>
          <w:bCs/>
          <w:spacing w:val="0"/>
          <w:kern w:val="0"/>
          <w:sz w:val="20"/>
          <w:rtl/>
        </w:rPr>
      </w:pPr>
      <w:r w:rsidRPr="002E2361">
        <w:rPr>
          <w:rFonts w:hint="cs"/>
          <w:b/>
          <w:bCs/>
          <w:spacing w:val="0"/>
          <w:kern w:val="0"/>
          <w:sz w:val="20"/>
          <w:rtl/>
        </w:rPr>
        <w:tab/>
      </w:r>
      <w:r w:rsidRPr="002E2361">
        <w:rPr>
          <w:b/>
          <w:bCs/>
          <w:spacing w:val="0"/>
          <w:kern w:val="0"/>
          <w:sz w:val="20"/>
          <w:rtl/>
        </w:rPr>
        <w:t>وينبغي أن تنظر الدولة الطرف في الانضمام إلى الاتفاقية المتعلقة بوضع الأشخاص عديمي الجنسية لعام 1954 وإلى اتفاقية خفض حالات انعدام الجنسية لعام 196</w:t>
      </w:r>
      <w:r w:rsidR="009318CA" w:rsidRPr="002E2361">
        <w:rPr>
          <w:rFonts w:hint="cs"/>
          <w:b/>
          <w:bCs/>
          <w:spacing w:val="0"/>
          <w:kern w:val="0"/>
          <w:sz w:val="20"/>
          <w:rtl/>
        </w:rPr>
        <w:t>1</w:t>
      </w:r>
      <w:r w:rsidRPr="002E2361">
        <w:rPr>
          <w:b/>
          <w:bCs/>
          <w:spacing w:val="0"/>
          <w:kern w:val="0"/>
          <w:sz w:val="20"/>
          <w:rtl/>
        </w:rPr>
        <w:t xml:space="preserve">. </w:t>
      </w:r>
    </w:p>
    <w:p w:rsidR="004E0A37" w:rsidRPr="002E2361" w:rsidRDefault="004E0A37" w:rsidP="002E2361">
      <w:pPr>
        <w:pStyle w:val="H23GA"/>
        <w:spacing w:line="374" w:lineRule="exact"/>
        <w:jc w:val="lowKashida"/>
        <w:rPr>
          <w:spacing w:val="0"/>
          <w:kern w:val="0"/>
          <w:sz w:val="20"/>
          <w:rtl/>
          <w:lang/>
        </w:rPr>
      </w:pPr>
      <w:r w:rsidRPr="002E2361">
        <w:rPr>
          <w:rFonts w:hint="cs"/>
          <w:spacing w:val="0"/>
          <w:kern w:val="0"/>
          <w:sz w:val="20"/>
          <w:rtl/>
          <w:lang/>
        </w:rPr>
        <w:tab/>
      </w:r>
      <w:r w:rsidRPr="002E2361">
        <w:rPr>
          <w:rFonts w:hint="cs"/>
          <w:spacing w:val="0"/>
          <w:kern w:val="0"/>
          <w:sz w:val="20"/>
          <w:rtl/>
          <w:lang/>
        </w:rPr>
        <w:tab/>
      </w:r>
      <w:r w:rsidRPr="002E2361">
        <w:rPr>
          <w:spacing w:val="0"/>
          <w:kern w:val="0"/>
          <w:sz w:val="20"/>
          <w:rtl/>
          <w:lang/>
        </w:rPr>
        <w:t>معاملة المهاجرين والأجانب</w:t>
      </w:r>
    </w:p>
    <w:p w:rsidR="004E0A37" w:rsidRPr="002E2361" w:rsidRDefault="0033301A" w:rsidP="002E2361">
      <w:pPr>
        <w:pStyle w:val="SingleTxtGA"/>
        <w:spacing w:line="374" w:lineRule="exact"/>
        <w:jc w:val="lowKashida"/>
        <w:rPr>
          <w:rFonts w:hint="cs"/>
          <w:spacing w:val="0"/>
          <w:kern w:val="0"/>
          <w:sz w:val="20"/>
          <w:rtl/>
        </w:rPr>
      </w:pPr>
      <w:r w:rsidRPr="002E2361">
        <w:rPr>
          <w:rFonts w:hint="cs"/>
          <w:spacing w:val="0"/>
          <w:kern w:val="0"/>
          <w:sz w:val="20"/>
          <w:rtl/>
        </w:rPr>
        <w:t>(</w:t>
      </w:r>
      <w:r w:rsidR="004E0A37" w:rsidRPr="002E2361">
        <w:rPr>
          <w:spacing w:val="0"/>
          <w:kern w:val="0"/>
          <w:sz w:val="20"/>
          <w:rtl/>
        </w:rPr>
        <w:t>26</w:t>
      </w:r>
      <w:r w:rsidR="003E72B5" w:rsidRPr="002E2361">
        <w:rPr>
          <w:spacing w:val="0"/>
          <w:kern w:val="0"/>
          <w:sz w:val="20"/>
          <w:rtl/>
        </w:rPr>
        <w:t>)</w:t>
      </w:r>
      <w:r w:rsidR="003E72B5" w:rsidRPr="002E2361">
        <w:rPr>
          <w:spacing w:val="0"/>
          <w:kern w:val="0"/>
          <w:sz w:val="20"/>
          <w:rtl/>
        </w:rPr>
        <w:tab/>
      </w:r>
      <w:r w:rsidR="004E0A37" w:rsidRPr="002E2361">
        <w:rPr>
          <w:spacing w:val="0"/>
          <w:kern w:val="0"/>
          <w:sz w:val="20"/>
          <w:rtl/>
        </w:rPr>
        <w:t>تحيط اللجنة</w:t>
      </w:r>
      <w:r w:rsidR="003833F8" w:rsidRPr="002E2361">
        <w:rPr>
          <w:spacing w:val="0"/>
          <w:kern w:val="0"/>
          <w:sz w:val="20"/>
          <w:rtl/>
        </w:rPr>
        <w:t xml:space="preserve"> علماً </w:t>
      </w:r>
      <w:r w:rsidR="004E0A37" w:rsidRPr="002E2361">
        <w:rPr>
          <w:spacing w:val="0"/>
          <w:kern w:val="0"/>
          <w:sz w:val="20"/>
          <w:rtl/>
        </w:rPr>
        <w:t>بالمعلومات التي قدمتها الدولة الطرف بشأن الإطار القانوني الذي يحكم تدابير إبعاد المهاجرين غير الشرعيين، لا سيما بموجب القانون 02-03 المتعلق بدخول الأجانب إلى المغرب وإقامتهم فيه، وبنماذج من حالات إبعاد أجانب قد وقعت</w:t>
      </w:r>
      <w:r w:rsidR="00B345DB" w:rsidRPr="002E2361">
        <w:rPr>
          <w:spacing w:val="0"/>
          <w:kern w:val="0"/>
          <w:sz w:val="20"/>
          <w:rtl/>
        </w:rPr>
        <w:t xml:space="preserve"> وفقاً </w:t>
      </w:r>
      <w:r w:rsidR="004E0A37" w:rsidRPr="002E2361">
        <w:rPr>
          <w:spacing w:val="0"/>
          <w:kern w:val="0"/>
          <w:sz w:val="20"/>
          <w:rtl/>
        </w:rPr>
        <w:t xml:space="preserve">لأحكام القانون المذكور. ومع ذلك، لا تزال اللجنة تشعر بالقلق إزاء المعلومات الواردة التي تفيد بأنه قد تم فعلاً اقتياد مهاجرين غير شرعيين إلى الحدود أو طردهم، في انتهاك للقوانين المغربية، دون أن يتمكنوا من التمتع بحقوقهم. </w:t>
      </w:r>
      <w:r w:rsidR="004E0A37" w:rsidRPr="002E2361">
        <w:rPr>
          <w:rFonts w:hint="cs"/>
          <w:spacing w:val="0"/>
          <w:kern w:val="0"/>
          <w:sz w:val="20"/>
          <w:rtl/>
        </w:rPr>
        <w:t xml:space="preserve">وتوحي </w:t>
      </w:r>
      <w:r w:rsidR="004E0A37" w:rsidRPr="002E2361">
        <w:rPr>
          <w:spacing w:val="0"/>
          <w:kern w:val="0"/>
          <w:sz w:val="20"/>
          <w:rtl/>
        </w:rPr>
        <w:t xml:space="preserve">الكثير من الادعاءات </w:t>
      </w:r>
      <w:r w:rsidR="004E0A37" w:rsidRPr="002E2361">
        <w:rPr>
          <w:rFonts w:hint="cs"/>
          <w:spacing w:val="0"/>
          <w:kern w:val="0"/>
          <w:sz w:val="20"/>
          <w:rtl/>
        </w:rPr>
        <w:t xml:space="preserve">بأن المئات منهم رُبّما تُركوا </w:t>
      </w:r>
      <w:r w:rsidR="004E0A37" w:rsidRPr="002E2361">
        <w:rPr>
          <w:spacing w:val="0"/>
          <w:kern w:val="0"/>
          <w:sz w:val="20"/>
          <w:rtl/>
        </w:rPr>
        <w:t xml:space="preserve">في الصحراء بلا ماء ولا طعام. وتأسف اللجنة </w:t>
      </w:r>
      <w:r w:rsidR="004E0A37" w:rsidRPr="002E2361">
        <w:rPr>
          <w:rFonts w:hint="cs"/>
          <w:spacing w:val="0"/>
          <w:kern w:val="0"/>
          <w:sz w:val="20"/>
          <w:rtl/>
        </w:rPr>
        <w:t>ل</w:t>
      </w:r>
      <w:r w:rsidR="004E0A37" w:rsidRPr="002E2361">
        <w:rPr>
          <w:spacing w:val="0"/>
          <w:kern w:val="0"/>
          <w:sz w:val="20"/>
          <w:rtl/>
        </w:rPr>
        <w:t xml:space="preserve">نقص المعلومات </w:t>
      </w:r>
      <w:r w:rsidR="004E0A37" w:rsidRPr="002E2361">
        <w:rPr>
          <w:rFonts w:hint="cs"/>
          <w:spacing w:val="0"/>
          <w:kern w:val="0"/>
          <w:sz w:val="20"/>
          <w:rtl/>
        </w:rPr>
        <w:t xml:space="preserve">التي تقدمها </w:t>
      </w:r>
      <w:r w:rsidR="004E0A37" w:rsidRPr="002E2361">
        <w:rPr>
          <w:spacing w:val="0"/>
          <w:kern w:val="0"/>
          <w:sz w:val="20"/>
          <w:rtl/>
        </w:rPr>
        <w:t xml:space="preserve">الدولة الطرف عن هذه الأحداث وعن أماكن احتجاز أجانب غير مشمولين بسلطة إدارة السجون في انتظار ترحيلهم وعن الأنظمة الخاصة باحتجازهم. وأخيراً، تعرب اللجنة عن استيائها </w:t>
      </w:r>
      <w:r w:rsidR="004E0A37" w:rsidRPr="002E2361">
        <w:rPr>
          <w:rFonts w:hint="cs"/>
          <w:spacing w:val="0"/>
          <w:kern w:val="0"/>
          <w:sz w:val="20"/>
          <w:rtl/>
        </w:rPr>
        <w:t>ل</w:t>
      </w:r>
      <w:r w:rsidR="004E0A37" w:rsidRPr="002E2361">
        <w:rPr>
          <w:spacing w:val="0"/>
          <w:kern w:val="0"/>
          <w:sz w:val="20"/>
          <w:rtl/>
        </w:rPr>
        <w:t>نقص المعلومات المتعلقة بالتحقيقات التي ربما قد أجريت بشأن أعمال العنف المرتَكبة من قبل قوات إنفاذ القانون في حق المهاجرين في منطقتي سبتة ومليلية في عام 2005 (المواد 3 و12 و13 و16)</w:t>
      </w:r>
      <w:r w:rsidR="004E0A37" w:rsidRPr="002E2361">
        <w:rPr>
          <w:rFonts w:hint="cs"/>
          <w:spacing w:val="0"/>
          <w:kern w:val="0"/>
          <w:sz w:val="20"/>
          <w:rtl/>
        </w:rPr>
        <w:t>.</w:t>
      </w:r>
    </w:p>
    <w:p w:rsidR="004E0A37" w:rsidRPr="002E2361" w:rsidRDefault="004E0A37" w:rsidP="002E2361">
      <w:pPr>
        <w:pStyle w:val="SingleTxtGA"/>
        <w:spacing w:line="374" w:lineRule="exact"/>
        <w:jc w:val="lowKashida"/>
        <w:rPr>
          <w:b/>
          <w:bCs/>
          <w:spacing w:val="0"/>
          <w:kern w:val="0"/>
          <w:sz w:val="20"/>
          <w:rtl/>
        </w:rPr>
      </w:pPr>
      <w:r w:rsidRPr="002E2361">
        <w:rPr>
          <w:rFonts w:hint="cs"/>
          <w:b/>
          <w:bCs/>
          <w:spacing w:val="0"/>
          <w:kern w:val="0"/>
          <w:sz w:val="20"/>
          <w:rtl/>
        </w:rPr>
        <w:tab/>
      </w:r>
      <w:r w:rsidRPr="002E2361">
        <w:rPr>
          <w:b/>
          <w:bCs/>
          <w:spacing w:val="0"/>
          <w:kern w:val="0"/>
          <w:sz w:val="20"/>
          <w:rtl/>
        </w:rPr>
        <w:t xml:space="preserve">ينبغي أن تتخذ الدولة الطرف تدابير تكفل </w:t>
      </w:r>
      <w:r w:rsidRPr="002E2361">
        <w:rPr>
          <w:rFonts w:hint="cs"/>
          <w:b/>
          <w:bCs/>
          <w:spacing w:val="0"/>
          <w:kern w:val="0"/>
          <w:sz w:val="20"/>
          <w:rtl/>
        </w:rPr>
        <w:t xml:space="preserve">تطبيق </w:t>
      </w:r>
      <w:r w:rsidRPr="002E2361">
        <w:rPr>
          <w:b/>
          <w:bCs/>
          <w:spacing w:val="0"/>
          <w:kern w:val="0"/>
          <w:sz w:val="20"/>
          <w:rtl/>
        </w:rPr>
        <w:t xml:space="preserve">الضمانات القانونية التي تحكم اقتياد المهاجرين غير الشرعيين إلى الحدود وطرد الأجانب عملياً على الدوام، وأن تكون عمليات الاقتياد والطرد منسجمة مع القانون المغربي. وينبغي لها أن تجري تحقيقات </w:t>
      </w:r>
      <w:r w:rsidRPr="002E2361">
        <w:rPr>
          <w:rFonts w:hint="cs"/>
          <w:b/>
          <w:bCs/>
          <w:spacing w:val="0"/>
          <w:kern w:val="0"/>
          <w:sz w:val="20"/>
          <w:rtl/>
        </w:rPr>
        <w:t>نزيهة</w:t>
      </w:r>
      <w:r w:rsidRPr="002E2361">
        <w:rPr>
          <w:b/>
          <w:bCs/>
          <w:spacing w:val="0"/>
          <w:kern w:val="0"/>
          <w:sz w:val="20"/>
          <w:rtl/>
        </w:rPr>
        <w:t xml:space="preserve"> وفعالة في الادعاءات التي تفيد </w:t>
      </w:r>
      <w:r w:rsidRPr="002E2361">
        <w:rPr>
          <w:rFonts w:hint="cs"/>
          <w:b/>
          <w:bCs/>
          <w:spacing w:val="0"/>
          <w:kern w:val="0"/>
          <w:sz w:val="20"/>
          <w:rtl/>
        </w:rPr>
        <w:t xml:space="preserve">باحتمال </w:t>
      </w:r>
      <w:r w:rsidRPr="002E2361">
        <w:rPr>
          <w:b/>
          <w:bCs/>
          <w:spacing w:val="0"/>
          <w:kern w:val="0"/>
          <w:sz w:val="20"/>
          <w:rtl/>
        </w:rPr>
        <w:t xml:space="preserve">الاستخدام المفرط للقوة وإساءة معاملة المهاجرين </w:t>
      </w:r>
      <w:r w:rsidRPr="002E2361">
        <w:rPr>
          <w:rFonts w:hint="cs"/>
          <w:b/>
          <w:bCs/>
          <w:spacing w:val="0"/>
          <w:kern w:val="0"/>
          <w:sz w:val="20"/>
          <w:rtl/>
        </w:rPr>
        <w:t xml:space="preserve">في سياق </w:t>
      </w:r>
      <w:r w:rsidRPr="002E2361">
        <w:rPr>
          <w:b/>
          <w:bCs/>
          <w:spacing w:val="0"/>
          <w:kern w:val="0"/>
          <w:sz w:val="20"/>
          <w:rtl/>
        </w:rPr>
        <w:t xml:space="preserve">عمليات طرد مهاجرين. </w:t>
      </w:r>
      <w:r w:rsidRPr="002E2361">
        <w:rPr>
          <w:rFonts w:hint="cs"/>
          <w:b/>
          <w:bCs/>
          <w:spacing w:val="0"/>
          <w:kern w:val="0"/>
          <w:sz w:val="20"/>
          <w:rtl/>
        </w:rPr>
        <w:t xml:space="preserve">وعلاوة على </w:t>
      </w:r>
      <w:r w:rsidRPr="002E2361">
        <w:rPr>
          <w:b/>
          <w:bCs/>
          <w:spacing w:val="0"/>
          <w:kern w:val="0"/>
          <w:sz w:val="20"/>
          <w:rtl/>
        </w:rPr>
        <w:t xml:space="preserve">ذلك، ينبغي للدولة الطرف أن تكفل تقديم المسؤولين عن ذلك إلى العدالة </w:t>
      </w:r>
      <w:r w:rsidRPr="002E2361">
        <w:rPr>
          <w:rFonts w:hint="cs"/>
          <w:b/>
          <w:bCs/>
          <w:spacing w:val="0"/>
          <w:kern w:val="0"/>
          <w:sz w:val="20"/>
          <w:rtl/>
        </w:rPr>
        <w:t xml:space="preserve">وإنزال عقوبات عليهم تتناسب </w:t>
      </w:r>
      <w:r w:rsidRPr="002E2361">
        <w:rPr>
          <w:b/>
          <w:bCs/>
          <w:spacing w:val="0"/>
          <w:kern w:val="0"/>
          <w:sz w:val="20"/>
          <w:rtl/>
        </w:rPr>
        <w:t xml:space="preserve">مع جسامة أفعالهم. </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ويُطلب </w:t>
      </w:r>
      <w:r w:rsidRPr="00F07223">
        <w:rPr>
          <w:rFonts w:hint="cs"/>
          <w:b/>
          <w:bCs/>
          <w:spacing w:val="0"/>
          <w:sz w:val="20"/>
          <w:rtl/>
        </w:rPr>
        <w:t xml:space="preserve">إلى </w:t>
      </w:r>
      <w:r w:rsidRPr="00F07223">
        <w:rPr>
          <w:b/>
          <w:bCs/>
          <w:spacing w:val="0"/>
          <w:sz w:val="20"/>
          <w:rtl/>
        </w:rPr>
        <w:t>الدولة الطرف أن تقدم في تقريرها القادم معلومات مفصلة عن أماكن الاحتجاز وعن أنظمة حبس الأجانب في انتظار طردهم وعن بيانات مصنّفة حسب السنة ونوع الجنس ومكان ومدة الاحتجاز والسبب الذي يبرر الاحتجاز والطرد.</w:t>
      </w:r>
    </w:p>
    <w:p w:rsidR="004E0A37" w:rsidRPr="004E0A37" w:rsidRDefault="004E0A37" w:rsidP="004E0A37">
      <w:pPr>
        <w:pStyle w:val="H23GA"/>
        <w:jc w:val="lowKashida"/>
        <w:rPr>
          <w:spacing w:val="0"/>
          <w:sz w:val="20"/>
          <w:rtl/>
          <w:lang/>
        </w:rPr>
      </w:pPr>
      <w:r w:rsidRPr="004E0A37">
        <w:rPr>
          <w:rFonts w:hint="cs"/>
          <w:spacing w:val="0"/>
          <w:sz w:val="20"/>
          <w:rtl/>
          <w:lang/>
        </w:rPr>
        <w:tab/>
      </w:r>
      <w:r w:rsidRPr="004E0A37">
        <w:rPr>
          <w:rFonts w:hint="cs"/>
          <w:spacing w:val="0"/>
          <w:sz w:val="20"/>
          <w:rtl/>
          <w:lang/>
        </w:rPr>
        <w:tab/>
      </w:r>
      <w:r w:rsidRPr="004E0A37">
        <w:rPr>
          <w:spacing w:val="0"/>
          <w:sz w:val="20"/>
          <w:rtl/>
          <w:lang/>
        </w:rPr>
        <w:t>الاتجار بالبشر</w:t>
      </w:r>
    </w:p>
    <w:p w:rsidR="004E0A37" w:rsidRPr="004E0A37" w:rsidRDefault="0033301A" w:rsidP="004E0A37">
      <w:pPr>
        <w:pStyle w:val="SingleTxtGA"/>
        <w:jc w:val="lowKashida"/>
        <w:rPr>
          <w:spacing w:val="0"/>
          <w:sz w:val="20"/>
          <w:rtl/>
        </w:rPr>
      </w:pPr>
      <w:r>
        <w:rPr>
          <w:rFonts w:hint="cs"/>
          <w:spacing w:val="0"/>
          <w:sz w:val="20"/>
          <w:rtl/>
        </w:rPr>
        <w:t>(</w:t>
      </w:r>
      <w:r w:rsidR="004E0A37" w:rsidRPr="004E0A37">
        <w:rPr>
          <w:spacing w:val="0"/>
          <w:sz w:val="20"/>
          <w:rtl/>
        </w:rPr>
        <w:t>27</w:t>
      </w:r>
      <w:r w:rsidR="003E72B5">
        <w:rPr>
          <w:spacing w:val="0"/>
          <w:sz w:val="20"/>
          <w:rtl/>
        </w:rPr>
        <w:t>)</w:t>
      </w:r>
      <w:r w:rsidR="003E72B5">
        <w:rPr>
          <w:spacing w:val="0"/>
          <w:sz w:val="20"/>
          <w:rtl/>
        </w:rPr>
        <w:tab/>
      </w:r>
      <w:r w:rsidR="004E0A37" w:rsidRPr="004E0A37">
        <w:rPr>
          <w:spacing w:val="0"/>
          <w:sz w:val="20"/>
          <w:rtl/>
        </w:rPr>
        <w:t xml:space="preserve">تشعر اللجنة بالقلق إزاء انعدام </w:t>
      </w:r>
      <w:r w:rsidR="004E0A37" w:rsidRPr="004E0A37">
        <w:rPr>
          <w:rFonts w:hint="cs"/>
          <w:spacing w:val="0"/>
          <w:sz w:val="20"/>
          <w:rtl/>
        </w:rPr>
        <w:t>ا</w:t>
      </w:r>
      <w:r w:rsidR="004E0A37" w:rsidRPr="004E0A37">
        <w:rPr>
          <w:spacing w:val="0"/>
          <w:sz w:val="20"/>
          <w:rtl/>
        </w:rPr>
        <w:t>لمعلومات</w:t>
      </w:r>
      <w:r w:rsidR="004E0A37" w:rsidRPr="004E0A37">
        <w:rPr>
          <w:rFonts w:hint="cs"/>
          <w:spacing w:val="0"/>
          <w:sz w:val="20"/>
          <w:rtl/>
        </w:rPr>
        <w:t xml:space="preserve">، بشكل عام، </w:t>
      </w:r>
      <w:r w:rsidR="004E0A37" w:rsidRPr="004E0A37">
        <w:rPr>
          <w:spacing w:val="0"/>
          <w:sz w:val="20"/>
          <w:rtl/>
        </w:rPr>
        <w:t xml:space="preserve">عن ممارسة الاتجار بالنساء والأطفال لأغراض الاستغلال الجنسي وغيره، وعن مدى انتشار الاتجار بالبشر في الدولة الطرف، لا سيما </w:t>
      </w:r>
      <w:r w:rsidR="00F96B1E">
        <w:rPr>
          <w:spacing w:val="0"/>
          <w:sz w:val="20"/>
          <w:rtl/>
        </w:rPr>
        <w:t>فيما </w:t>
      </w:r>
      <w:r w:rsidR="004E0A37" w:rsidRPr="004E0A37">
        <w:rPr>
          <w:spacing w:val="0"/>
          <w:sz w:val="20"/>
          <w:rtl/>
        </w:rPr>
        <w:t>يتصل بعدد الشكاوى والتحقيقات والملاحقات القضائية والإدانات وكذلك عن التدابير المتخذة لمنع حدوث هذه الظاهرة ومكافحتها (المواد 2 و4 و12 و13</w:t>
      </w:r>
      <w:r w:rsidR="004E0A37" w:rsidRPr="004E0A37">
        <w:rPr>
          <w:rFonts w:hint="cs"/>
          <w:spacing w:val="0"/>
          <w:sz w:val="20"/>
          <w:rtl/>
        </w:rPr>
        <w:t> </w:t>
      </w:r>
      <w:r w:rsidR="004E0A37" w:rsidRPr="004E0A37">
        <w:rPr>
          <w:spacing w:val="0"/>
          <w:sz w:val="20"/>
          <w:rtl/>
        </w:rPr>
        <w:t>و16).</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ينبغي أن تكثف الدولة الطرف جهودها لمنع ومكافحة الاتجار بالنساء والأطفال، لا سيما عن طريق سن قانون محدد بشأن منع حدوثه وقمع عملية الاتجار وحماية الضحايا، بتوفير الحماية لهم وبضمان حصول الضحايا على خدمات تأهيلية وكذلك على خدمات طبية واجتماعية وقانونية، وعلى خدمات </w:t>
      </w:r>
      <w:r w:rsidRPr="00F07223">
        <w:rPr>
          <w:rFonts w:hint="cs"/>
          <w:b/>
          <w:bCs/>
          <w:spacing w:val="0"/>
          <w:sz w:val="20"/>
          <w:rtl/>
        </w:rPr>
        <w:t xml:space="preserve">التوعية </w:t>
      </w:r>
      <w:r w:rsidRPr="00F07223">
        <w:rPr>
          <w:b/>
          <w:bCs/>
          <w:spacing w:val="0"/>
          <w:sz w:val="20"/>
          <w:rtl/>
        </w:rPr>
        <w:t xml:space="preserve">عند الحاجة. وينبغي كذلك أن </w:t>
      </w:r>
      <w:r w:rsidRPr="00F07223">
        <w:rPr>
          <w:rFonts w:hint="cs"/>
          <w:b/>
          <w:bCs/>
          <w:spacing w:val="0"/>
          <w:sz w:val="20"/>
          <w:rtl/>
        </w:rPr>
        <w:t xml:space="preserve">تهيئ </w:t>
      </w:r>
      <w:r w:rsidRPr="00F07223">
        <w:rPr>
          <w:b/>
          <w:bCs/>
          <w:spacing w:val="0"/>
          <w:sz w:val="20"/>
          <w:rtl/>
        </w:rPr>
        <w:t>الدولة الطرف ظروفاً مواتية لممارسة الضحايا حقهم في تقديم الشكاوى. وينبغي لها أن تقوم</w:t>
      </w:r>
      <w:r w:rsidRPr="00F07223">
        <w:rPr>
          <w:rFonts w:hint="cs"/>
          <w:b/>
          <w:bCs/>
          <w:spacing w:val="0"/>
          <w:sz w:val="20"/>
          <w:rtl/>
        </w:rPr>
        <w:t>،</w:t>
      </w:r>
      <w:r w:rsidRPr="00F07223">
        <w:rPr>
          <w:b/>
          <w:bCs/>
          <w:spacing w:val="0"/>
          <w:sz w:val="20"/>
          <w:rtl/>
        </w:rPr>
        <w:t xml:space="preserve"> على وجه السرعة</w:t>
      </w:r>
      <w:r w:rsidRPr="00F07223">
        <w:rPr>
          <w:rFonts w:hint="cs"/>
          <w:b/>
          <w:bCs/>
          <w:spacing w:val="0"/>
          <w:sz w:val="20"/>
          <w:rtl/>
        </w:rPr>
        <w:t>،</w:t>
      </w:r>
      <w:r w:rsidRPr="00F07223">
        <w:rPr>
          <w:b/>
          <w:bCs/>
          <w:spacing w:val="0"/>
          <w:sz w:val="20"/>
          <w:rtl/>
        </w:rPr>
        <w:t xml:space="preserve"> بإجراء تحقيقات </w:t>
      </w:r>
      <w:r w:rsidRPr="00F07223">
        <w:rPr>
          <w:rFonts w:hint="cs"/>
          <w:b/>
          <w:bCs/>
          <w:spacing w:val="0"/>
          <w:sz w:val="20"/>
          <w:rtl/>
        </w:rPr>
        <w:t xml:space="preserve">نزيهة </w:t>
      </w:r>
      <w:r w:rsidRPr="00F07223">
        <w:rPr>
          <w:b/>
          <w:bCs/>
          <w:spacing w:val="0"/>
          <w:sz w:val="20"/>
          <w:rtl/>
        </w:rPr>
        <w:t xml:space="preserve">وفعالة </w:t>
      </w:r>
      <w:r w:rsidRPr="00F07223">
        <w:rPr>
          <w:rFonts w:hint="cs"/>
          <w:b/>
          <w:bCs/>
          <w:spacing w:val="0"/>
          <w:sz w:val="20"/>
          <w:rtl/>
        </w:rPr>
        <w:t xml:space="preserve">بشأن </w:t>
      </w:r>
      <w:r w:rsidRPr="00F07223">
        <w:rPr>
          <w:b/>
          <w:bCs/>
          <w:spacing w:val="0"/>
          <w:sz w:val="20"/>
          <w:rtl/>
        </w:rPr>
        <w:t>جميع ا</w:t>
      </w:r>
      <w:r w:rsidRPr="00F07223">
        <w:rPr>
          <w:rFonts w:hint="cs"/>
          <w:b/>
          <w:bCs/>
          <w:spacing w:val="0"/>
          <w:sz w:val="20"/>
          <w:rtl/>
        </w:rPr>
        <w:t>لا</w:t>
      </w:r>
      <w:r w:rsidRPr="00F07223">
        <w:rPr>
          <w:b/>
          <w:bCs/>
          <w:spacing w:val="0"/>
          <w:sz w:val="20"/>
          <w:rtl/>
        </w:rPr>
        <w:t xml:space="preserve">دعاءات </w:t>
      </w:r>
      <w:r w:rsidRPr="00F07223">
        <w:rPr>
          <w:rFonts w:hint="cs"/>
          <w:b/>
          <w:bCs/>
          <w:spacing w:val="0"/>
          <w:sz w:val="20"/>
          <w:rtl/>
        </w:rPr>
        <w:t>المتعلقة ب</w:t>
      </w:r>
      <w:r w:rsidRPr="00F07223">
        <w:rPr>
          <w:b/>
          <w:bCs/>
          <w:spacing w:val="0"/>
          <w:sz w:val="20"/>
          <w:rtl/>
        </w:rPr>
        <w:t xml:space="preserve">الاتجار بالبشر، وأن تقوم كذلك بضمان تقديم المسؤولين عنها إلى العدالة، ومعاقبتهم عقاباً يتناسب مع </w:t>
      </w:r>
      <w:r w:rsidRPr="00F07223">
        <w:rPr>
          <w:rFonts w:hint="cs"/>
          <w:b/>
          <w:bCs/>
          <w:spacing w:val="0"/>
          <w:sz w:val="20"/>
          <w:rtl/>
        </w:rPr>
        <w:t xml:space="preserve">جسامة </w:t>
      </w:r>
      <w:r w:rsidRPr="00F07223">
        <w:rPr>
          <w:b/>
          <w:bCs/>
          <w:spacing w:val="0"/>
          <w:sz w:val="20"/>
          <w:rtl/>
        </w:rPr>
        <w:t>ممارساتهم.</w:t>
      </w:r>
    </w:p>
    <w:p w:rsidR="004E0A37" w:rsidRPr="004E0A37" w:rsidRDefault="004E0A37" w:rsidP="004E0A37">
      <w:pPr>
        <w:pStyle w:val="H23GA"/>
        <w:spacing w:line="360" w:lineRule="exact"/>
        <w:jc w:val="lowKashida"/>
        <w:rPr>
          <w:spacing w:val="0"/>
          <w:sz w:val="20"/>
          <w:rtl/>
          <w:lang/>
        </w:rPr>
      </w:pPr>
      <w:r w:rsidRPr="004E0A37">
        <w:rPr>
          <w:rFonts w:hint="cs"/>
          <w:spacing w:val="0"/>
          <w:sz w:val="20"/>
          <w:rtl/>
          <w:lang/>
        </w:rPr>
        <w:tab/>
      </w:r>
      <w:r w:rsidRPr="004E0A37">
        <w:rPr>
          <w:rFonts w:hint="cs"/>
          <w:spacing w:val="0"/>
          <w:sz w:val="20"/>
          <w:rtl/>
          <w:lang/>
        </w:rPr>
        <w:tab/>
      </w:r>
      <w:r w:rsidRPr="004E0A37">
        <w:rPr>
          <w:spacing w:val="0"/>
          <w:sz w:val="20"/>
          <w:rtl/>
          <w:lang/>
        </w:rPr>
        <w:t>التدريب</w:t>
      </w:r>
    </w:p>
    <w:p w:rsidR="004E0A37" w:rsidRPr="004E0A37" w:rsidRDefault="005225BF" w:rsidP="004E0A37">
      <w:pPr>
        <w:pStyle w:val="SingleTxtGA"/>
        <w:jc w:val="lowKashida"/>
        <w:rPr>
          <w:rFonts w:hint="cs"/>
          <w:spacing w:val="0"/>
          <w:sz w:val="20"/>
          <w:rtl/>
        </w:rPr>
      </w:pPr>
      <w:r>
        <w:rPr>
          <w:rFonts w:hint="cs"/>
          <w:spacing w:val="0"/>
          <w:sz w:val="20"/>
          <w:rtl/>
        </w:rPr>
        <w:t>(</w:t>
      </w:r>
      <w:r w:rsidR="004E0A37" w:rsidRPr="004E0A37">
        <w:rPr>
          <w:spacing w:val="0"/>
          <w:sz w:val="20"/>
          <w:rtl/>
        </w:rPr>
        <w:t>28</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المقدمة والمتعلقة بالأنشطة التدريبية والحلقات الدراسية والدورات المنظمة حول حقوق الإنسان والموجهة إلى القضاة وأفراد الشرطة وموظفي السجون. ومع ذلك </w:t>
      </w:r>
      <w:r w:rsidR="004E0A37" w:rsidRPr="004E0A37">
        <w:rPr>
          <w:rFonts w:hint="cs"/>
          <w:spacing w:val="0"/>
          <w:sz w:val="20"/>
          <w:rtl/>
        </w:rPr>
        <w:t xml:space="preserve">فإنّها </w:t>
      </w:r>
      <w:r w:rsidR="004E0A37" w:rsidRPr="004E0A37">
        <w:rPr>
          <w:spacing w:val="0"/>
          <w:sz w:val="20"/>
          <w:rtl/>
        </w:rPr>
        <w:t xml:space="preserve">تشعر بالقلق إزاء انعدام التدريب الموجه إلى أفراد مديرية مراقبة التراب الوطني، والعسكريين، والأطباء الشرعيين، وموظفي القطاع الطبي المتعاملين مع المحتجزين أو مع الأشخاص </w:t>
      </w:r>
      <w:r w:rsidR="004E0A37" w:rsidRPr="004E0A37">
        <w:rPr>
          <w:rFonts w:hint="cs"/>
          <w:spacing w:val="0"/>
          <w:sz w:val="20"/>
          <w:rtl/>
        </w:rPr>
        <w:t xml:space="preserve">المودعين </w:t>
      </w:r>
      <w:r w:rsidR="004E0A37" w:rsidRPr="004E0A37">
        <w:rPr>
          <w:spacing w:val="0"/>
          <w:sz w:val="20"/>
          <w:rtl/>
        </w:rPr>
        <w:t>في مؤسسات الأمراض النفس</w:t>
      </w:r>
      <w:r w:rsidR="004E0A37" w:rsidRPr="004E0A37">
        <w:rPr>
          <w:rFonts w:hint="cs"/>
          <w:spacing w:val="0"/>
          <w:sz w:val="20"/>
          <w:rtl/>
        </w:rPr>
        <w:t>ان</w:t>
      </w:r>
      <w:r w:rsidR="004E0A37" w:rsidRPr="004E0A37">
        <w:rPr>
          <w:spacing w:val="0"/>
          <w:sz w:val="20"/>
          <w:rtl/>
        </w:rPr>
        <w:t>ية، لا سيما التدريب على الطرق الخاصة للكشف عن الآثار الجسدية والنفسية للتعذيب (المادة 10)</w:t>
      </w:r>
      <w:r w:rsidR="004E0A37" w:rsidRPr="004E0A37">
        <w:rPr>
          <w:rFonts w:hint="cs"/>
          <w:spacing w:val="0"/>
          <w:sz w:val="20"/>
          <w:rtl/>
        </w:rPr>
        <w:t>.</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ينبغي أن تواصل الدولة الطرف وضع برامج التدريب، وتعزيز </w:t>
      </w:r>
      <w:r w:rsidRPr="00F07223">
        <w:rPr>
          <w:rFonts w:hint="cs"/>
          <w:b/>
          <w:bCs/>
          <w:spacing w:val="0"/>
          <w:sz w:val="20"/>
          <w:rtl/>
        </w:rPr>
        <w:t>تلك</w:t>
      </w:r>
      <w:r w:rsidRPr="00F07223">
        <w:rPr>
          <w:b/>
          <w:bCs/>
          <w:spacing w:val="0"/>
          <w:sz w:val="20"/>
          <w:rtl/>
        </w:rPr>
        <w:t xml:space="preserve"> البرامج ليتسنى لجميع الموظفين - </w:t>
      </w:r>
      <w:r w:rsidRPr="00F07223">
        <w:rPr>
          <w:rFonts w:hint="cs"/>
          <w:b/>
          <w:bCs/>
          <w:spacing w:val="0"/>
          <w:sz w:val="20"/>
          <w:rtl/>
        </w:rPr>
        <w:t xml:space="preserve">العاملين ضمن </w:t>
      </w:r>
      <w:r w:rsidRPr="00F07223">
        <w:rPr>
          <w:b/>
          <w:bCs/>
          <w:spacing w:val="0"/>
          <w:sz w:val="20"/>
          <w:rtl/>
        </w:rPr>
        <w:t>قوات إنقاذ القانون، وأجهزة الاستخبارات، وأفراد الأمن، والعسكريين، وموظفي السجون، وموظفي القطاع الطبي العاملين في السجون أوفي مستشفيات الأمراض النفس</w:t>
      </w:r>
      <w:r w:rsidRPr="00F07223">
        <w:rPr>
          <w:rFonts w:hint="cs"/>
          <w:b/>
          <w:bCs/>
          <w:spacing w:val="0"/>
          <w:sz w:val="20"/>
          <w:rtl/>
        </w:rPr>
        <w:t>ان</w:t>
      </w:r>
      <w:r w:rsidRPr="00F07223">
        <w:rPr>
          <w:b/>
          <w:bCs/>
          <w:spacing w:val="0"/>
          <w:sz w:val="20"/>
          <w:rtl/>
        </w:rPr>
        <w:t xml:space="preserve">ية </w:t>
      </w:r>
      <w:r w:rsidRPr="00F07223">
        <w:rPr>
          <w:rFonts w:hint="cs"/>
          <w:b/>
          <w:bCs/>
          <w:spacing w:val="0"/>
          <w:sz w:val="20"/>
          <w:rtl/>
        </w:rPr>
        <w:t>-</w:t>
      </w:r>
      <w:r w:rsidRPr="00F07223">
        <w:rPr>
          <w:b/>
          <w:bCs/>
          <w:spacing w:val="0"/>
          <w:sz w:val="20"/>
          <w:rtl/>
        </w:rPr>
        <w:t xml:space="preserve"> من معرفة أحكام الاتفاقية</w:t>
      </w:r>
      <w:r w:rsidRPr="00F07223">
        <w:rPr>
          <w:rFonts w:hint="cs"/>
          <w:b/>
          <w:bCs/>
          <w:spacing w:val="0"/>
          <w:sz w:val="20"/>
          <w:rtl/>
        </w:rPr>
        <w:t xml:space="preserve"> تمام المعرفة</w:t>
      </w:r>
      <w:r w:rsidRPr="00F07223">
        <w:rPr>
          <w:b/>
          <w:bCs/>
          <w:spacing w:val="0"/>
          <w:sz w:val="20"/>
          <w:rtl/>
        </w:rPr>
        <w:t xml:space="preserve">، ولكيلا يُتسامح في أمر الانتهاكات التي يبلغ عنها، وأن يحقق في ِشأن </w:t>
      </w:r>
      <w:r w:rsidRPr="00F07223">
        <w:rPr>
          <w:rFonts w:hint="cs"/>
          <w:b/>
          <w:bCs/>
          <w:spacing w:val="0"/>
          <w:sz w:val="20"/>
          <w:rtl/>
        </w:rPr>
        <w:t>تلك</w:t>
      </w:r>
      <w:r w:rsidRPr="00F07223">
        <w:rPr>
          <w:b/>
          <w:bCs/>
          <w:spacing w:val="0"/>
          <w:sz w:val="20"/>
          <w:rtl/>
        </w:rPr>
        <w:t xml:space="preserve"> الانتهاكات،</w:t>
      </w:r>
      <w:r w:rsidRPr="00F07223">
        <w:rPr>
          <w:rFonts w:hint="cs"/>
          <w:b/>
          <w:bCs/>
          <w:spacing w:val="0"/>
          <w:sz w:val="20"/>
          <w:rtl/>
        </w:rPr>
        <w:t xml:space="preserve"> </w:t>
      </w:r>
      <w:r w:rsidRPr="00F07223">
        <w:rPr>
          <w:b/>
          <w:bCs/>
          <w:spacing w:val="0"/>
          <w:sz w:val="20"/>
          <w:rtl/>
        </w:rPr>
        <w:t xml:space="preserve">وأن يلاحَق مرتكبوها قضائياً. </w:t>
      </w:r>
      <w:r w:rsidRPr="00F07223">
        <w:rPr>
          <w:rFonts w:hint="cs"/>
          <w:b/>
          <w:bCs/>
          <w:spacing w:val="0"/>
          <w:sz w:val="20"/>
          <w:rtl/>
        </w:rPr>
        <w:t xml:space="preserve">وعلاوة على </w:t>
      </w:r>
      <w:r w:rsidRPr="00F07223">
        <w:rPr>
          <w:b/>
          <w:bCs/>
          <w:spacing w:val="0"/>
          <w:sz w:val="20"/>
          <w:rtl/>
        </w:rPr>
        <w:t xml:space="preserve">ذلك، ينبغي أن تتأكد الدولة الطرف من </w:t>
      </w:r>
      <w:r w:rsidRPr="00F07223">
        <w:rPr>
          <w:rFonts w:hint="cs"/>
          <w:b/>
          <w:bCs/>
          <w:spacing w:val="0"/>
          <w:sz w:val="20"/>
          <w:rtl/>
        </w:rPr>
        <w:t xml:space="preserve">تعلّم </w:t>
      </w:r>
      <w:r w:rsidRPr="00F07223">
        <w:rPr>
          <w:b/>
          <w:bCs/>
          <w:spacing w:val="0"/>
          <w:sz w:val="20"/>
          <w:rtl/>
        </w:rPr>
        <w:t xml:space="preserve">جميع الموظفين المعنيين، بمن فيهم </w:t>
      </w:r>
      <w:r w:rsidRPr="00F07223">
        <w:rPr>
          <w:rFonts w:hint="cs"/>
          <w:b/>
          <w:bCs/>
          <w:spacing w:val="0"/>
          <w:sz w:val="20"/>
          <w:rtl/>
        </w:rPr>
        <w:t xml:space="preserve">الطواقم </w:t>
      </w:r>
      <w:r w:rsidRPr="00F07223">
        <w:rPr>
          <w:b/>
          <w:bCs/>
          <w:spacing w:val="0"/>
          <w:sz w:val="20"/>
          <w:rtl/>
        </w:rPr>
        <w:t xml:space="preserve">الطبية، كيفية كشف علامات التعذيب وسوء المعاملة عن طريق </w:t>
      </w:r>
      <w:r w:rsidRPr="00F07223">
        <w:rPr>
          <w:rFonts w:hint="cs"/>
          <w:b/>
          <w:bCs/>
          <w:spacing w:val="0"/>
          <w:sz w:val="20"/>
          <w:rtl/>
        </w:rPr>
        <w:t xml:space="preserve">تنظيم </w:t>
      </w:r>
      <w:r w:rsidRPr="00F07223">
        <w:rPr>
          <w:b/>
          <w:bCs/>
          <w:spacing w:val="0"/>
          <w:sz w:val="20"/>
          <w:rtl/>
        </w:rPr>
        <w:t xml:space="preserve">دورات خاصة تعتمد على دليل </w:t>
      </w:r>
      <w:r w:rsidRPr="00F07223">
        <w:rPr>
          <w:rFonts w:hint="cs"/>
          <w:b/>
          <w:bCs/>
          <w:spacing w:val="0"/>
          <w:sz w:val="20"/>
          <w:rtl/>
        </w:rPr>
        <w:t xml:space="preserve">التحري </w:t>
      </w:r>
      <w:r w:rsidRPr="00F07223">
        <w:rPr>
          <w:b/>
          <w:bCs/>
          <w:spacing w:val="0"/>
          <w:sz w:val="20"/>
          <w:rtl/>
        </w:rPr>
        <w:t>والتوثيق الفعالين بشأن</w:t>
      </w:r>
      <w:r w:rsidRPr="00F07223">
        <w:rPr>
          <w:rFonts w:hint="eastAsia"/>
          <w:b/>
          <w:bCs/>
          <w:spacing w:val="0"/>
          <w:sz w:val="20"/>
          <w:rtl/>
        </w:rPr>
        <w:t> </w:t>
      </w:r>
      <w:r w:rsidRPr="00F07223">
        <w:rPr>
          <w:b/>
          <w:bCs/>
          <w:spacing w:val="0"/>
          <w:sz w:val="20"/>
          <w:rtl/>
        </w:rPr>
        <w:t>التعذيب وغيره من ضروب المعاملة أو العقوبة القاسية أو اللاإنسانية أو</w:t>
      </w:r>
      <w:r w:rsidRPr="00F07223">
        <w:rPr>
          <w:rFonts w:hint="cs"/>
          <w:b/>
          <w:bCs/>
          <w:spacing w:val="0"/>
          <w:sz w:val="20"/>
          <w:rtl/>
        </w:rPr>
        <w:t> </w:t>
      </w:r>
      <w:r w:rsidRPr="00F07223">
        <w:rPr>
          <w:b/>
          <w:bCs/>
          <w:spacing w:val="0"/>
          <w:sz w:val="20"/>
          <w:rtl/>
        </w:rPr>
        <w:t xml:space="preserve">المهينة (بروتوكول </w:t>
      </w:r>
      <w:r w:rsidR="002C1EA7" w:rsidRPr="00F07223">
        <w:rPr>
          <w:b/>
          <w:bCs/>
          <w:spacing w:val="0"/>
          <w:sz w:val="20"/>
          <w:rtl/>
        </w:rPr>
        <w:t>اسطنبول</w:t>
      </w:r>
      <w:r w:rsidRPr="00F07223">
        <w:rPr>
          <w:b/>
          <w:bCs/>
          <w:spacing w:val="0"/>
          <w:sz w:val="20"/>
          <w:rtl/>
        </w:rPr>
        <w:t>). وأخيرا</w:t>
      </w:r>
      <w:r w:rsidRPr="00F07223">
        <w:rPr>
          <w:rFonts w:hint="cs"/>
          <w:b/>
          <w:bCs/>
          <w:spacing w:val="0"/>
          <w:sz w:val="20"/>
          <w:rtl/>
        </w:rPr>
        <w:t>ً</w:t>
      </w:r>
      <w:r w:rsidRPr="00F07223">
        <w:rPr>
          <w:b/>
          <w:bCs/>
          <w:spacing w:val="0"/>
          <w:sz w:val="20"/>
          <w:rtl/>
        </w:rPr>
        <w:t>،</w:t>
      </w:r>
      <w:r w:rsidRPr="00F07223">
        <w:rPr>
          <w:rFonts w:hint="cs"/>
          <w:b/>
          <w:bCs/>
          <w:spacing w:val="0"/>
          <w:sz w:val="20"/>
          <w:rtl/>
        </w:rPr>
        <w:t xml:space="preserve"> </w:t>
      </w:r>
      <w:r w:rsidRPr="00F07223">
        <w:rPr>
          <w:b/>
          <w:bCs/>
          <w:spacing w:val="0"/>
          <w:sz w:val="20"/>
          <w:rtl/>
        </w:rPr>
        <w:t>ينبغي أن تقي</w:t>
      </w:r>
      <w:r w:rsidRPr="00F07223">
        <w:rPr>
          <w:rFonts w:hint="cs"/>
          <w:b/>
          <w:bCs/>
          <w:spacing w:val="0"/>
          <w:sz w:val="20"/>
          <w:rtl/>
        </w:rPr>
        <w:t>ّ</w:t>
      </w:r>
      <w:r w:rsidRPr="00F07223">
        <w:rPr>
          <w:b/>
          <w:bCs/>
          <w:spacing w:val="0"/>
          <w:sz w:val="20"/>
          <w:rtl/>
        </w:rPr>
        <w:t>م الدولة الطرف فعالية وتأثير هذه البرامج التدريبية وهذا التعليم.</w:t>
      </w:r>
    </w:p>
    <w:p w:rsidR="004E0A37" w:rsidRPr="004E0A37" w:rsidRDefault="004E0A37" w:rsidP="004E0A37">
      <w:pPr>
        <w:pStyle w:val="H23GA"/>
        <w:spacing w:line="360" w:lineRule="exact"/>
        <w:jc w:val="lowKashida"/>
        <w:rPr>
          <w:spacing w:val="0"/>
          <w:sz w:val="20"/>
          <w:rtl/>
          <w:lang/>
        </w:rPr>
      </w:pPr>
      <w:r w:rsidRPr="004E0A37">
        <w:rPr>
          <w:rFonts w:hint="cs"/>
          <w:spacing w:val="0"/>
          <w:sz w:val="20"/>
          <w:rtl/>
          <w:lang/>
        </w:rPr>
        <w:tab/>
      </w:r>
      <w:r w:rsidRPr="004E0A37">
        <w:rPr>
          <w:rFonts w:hint="cs"/>
          <w:spacing w:val="0"/>
          <w:sz w:val="20"/>
          <w:rtl/>
          <w:lang/>
        </w:rPr>
        <w:tab/>
      </w:r>
      <w:r w:rsidRPr="004E0A37">
        <w:rPr>
          <w:spacing w:val="0"/>
          <w:sz w:val="20"/>
          <w:rtl/>
          <w:lang/>
        </w:rPr>
        <w:t>هيئة الإنصاف والمصالحة ومسألة التعويضات</w:t>
      </w:r>
    </w:p>
    <w:p w:rsidR="004E0A37" w:rsidRPr="004E0A37" w:rsidRDefault="005225BF" w:rsidP="004E0A37">
      <w:pPr>
        <w:pStyle w:val="SingleTxtGA"/>
        <w:jc w:val="lowKashida"/>
        <w:rPr>
          <w:rFonts w:hint="cs"/>
          <w:spacing w:val="0"/>
          <w:sz w:val="20"/>
          <w:rtl/>
        </w:rPr>
      </w:pPr>
      <w:r>
        <w:rPr>
          <w:rFonts w:hint="cs"/>
          <w:spacing w:val="0"/>
          <w:sz w:val="20"/>
          <w:rtl/>
        </w:rPr>
        <w:t>(</w:t>
      </w:r>
      <w:r w:rsidR="004E0A37" w:rsidRPr="004E0A37">
        <w:rPr>
          <w:spacing w:val="0"/>
          <w:sz w:val="20"/>
          <w:rtl/>
        </w:rPr>
        <w:t>29</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التي قدمتها الدولة الطرف عن العمل الهائل الذي أنجزته آلية العدالة الانتقالية، أي هيئة الإنصاف والمصالحة، في الفترة بين عامي 2003 و2005، والتي حققت </w:t>
      </w:r>
      <w:r w:rsidR="004E0A37" w:rsidRPr="004E0A37">
        <w:rPr>
          <w:rFonts w:hint="cs"/>
          <w:spacing w:val="0"/>
          <w:sz w:val="20"/>
          <w:rtl/>
        </w:rPr>
        <w:t>ب</w:t>
      </w:r>
      <w:r w:rsidR="004E0A37" w:rsidRPr="004E0A37">
        <w:rPr>
          <w:spacing w:val="0"/>
          <w:sz w:val="20"/>
          <w:rtl/>
        </w:rPr>
        <w:t xml:space="preserve">شأن انتهاكات حقوق الإنسان </w:t>
      </w:r>
      <w:r w:rsidR="004E0A37" w:rsidRPr="004E0A37">
        <w:rPr>
          <w:rFonts w:hint="cs"/>
          <w:spacing w:val="0"/>
          <w:sz w:val="20"/>
          <w:rtl/>
        </w:rPr>
        <w:t xml:space="preserve">الجسيمة </w:t>
      </w:r>
      <w:r w:rsidR="004E0A37" w:rsidRPr="004E0A37">
        <w:rPr>
          <w:spacing w:val="0"/>
          <w:sz w:val="20"/>
          <w:rtl/>
        </w:rPr>
        <w:t>و</w:t>
      </w:r>
      <w:r w:rsidR="004E0A37" w:rsidRPr="004E0A37">
        <w:rPr>
          <w:rFonts w:hint="cs"/>
          <w:spacing w:val="0"/>
          <w:sz w:val="20"/>
          <w:rtl/>
        </w:rPr>
        <w:t>ال</w:t>
      </w:r>
      <w:r w:rsidR="004E0A37" w:rsidRPr="004E0A37">
        <w:rPr>
          <w:spacing w:val="0"/>
          <w:sz w:val="20"/>
          <w:rtl/>
        </w:rPr>
        <w:t xml:space="preserve">واسعة النطاق والممنهجة التي </w:t>
      </w:r>
      <w:r w:rsidR="004E0A37" w:rsidRPr="004E0A37">
        <w:rPr>
          <w:rFonts w:hint="cs"/>
          <w:spacing w:val="0"/>
          <w:sz w:val="20"/>
          <w:rtl/>
        </w:rPr>
        <w:t>اُ</w:t>
      </w:r>
      <w:r w:rsidR="004E0A37" w:rsidRPr="004E0A37">
        <w:rPr>
          <w:spacing w:val="0"/>
          <w:sz w:val="20"/>
          <w:rtl/>
        </w:rPr>
        <w:t xml:space="preserve">رتُكبت في المغرب بين عامي 1956 و1999. </w:t>
      </w:r>
      <w:r w:rsidR="004E0A37" w:rsidRPr="004E0A37">
        <w:rPr>
          <w:rFonts w:hint="cs"/>
          <w:spacing w:val="0"/>
          <w:sz w:val="20"/>
          <w:rtl/>
        </w:rPr>
        <w:t xml:space="preserve">وقد ساعدت تلك </w:t>
      </w:r>
      <w:r w:rsidR="004E0A37" w:rsidRPr="004E0A37">
        <w:rPr>
          <w:spacing w:val="0"/>
          <w:sz w:val="20"/>
          <w:rtl/>
        </w:rPr>
        <w:t xml:space="preserve">التحقيقات في تسليط الضوء على عدد كبير من </w:t>
      </w:r>
      <w:r w:rsidR="004E0A37" w:rsidRPr="004E0A37">
        <w:rPr>
          <w:rFonts w:hint="cs"/>
          <w:spacing w:val="0"/>
          <w:sz w:val="20"/>
          <w:rtl/>
        </w:rPr>
        <w:t xml:space="preserve">تلك </w:t>
      </w:r>
      <w:r w:rsidR="004E0A37" w:rsidRPr="004E0A37">
        <w:rPr>
          <w:spacing w:val="0"/>
          <w:sz w:val="20"/>
          <w:rtl/>
        </w:rPr>
        <w:t xml:space="preserve">الانتهاكات خاصة بتوضيح ملابسات العديد من حالات الاختفاء القسري. وبفضل </w:t>
      </w:r>
      <w:r w:rsidR="004E0A37" w:rsidRPr="004E0A37">
        <w:rPr>
          <w:rFonts w:hint="cs"/>
          <w:spacing w:val="0"/>
          <w:sz w:val="20"/>
          <w:rtl/>
        </w:rPr>
        <w:t>تلك</w:t>
      </w:r>
      <w:r w:rsidR="004E0A37" w:rsidRPr="004E0A37">
        <w:rPr>
          <w:spacing w:val="0"/>
          <w:sz w:val="20"/>
          <w:rtl/>
        </w:rPr>
        <w:t xml:space="preserve"> التحقيقات تمكَّن العديد من الضحايا من الاستفادة </w:t>
      </w:r>
      <w:r w:rsidR="004E0A37" w:rsidRPr="004E0A37">
        <w:rPr>
          <w:rFonts w:hint="cs"/>
          <w:spacing w:val="0"/>
          <w:sz w:val="20"/>
          <w:rtl/>
        </w:rPr>
        <w:t xml:space="preserve">من </w:t>
      </w:r>
      <w:r w:rsidR="004E0A37" w:rsidRPr="004E0A37">
        <w:rPr>
          <w:spacing w:val="0"/>
          <w:sz w:val="20"/>
          <w:rtl/>
        </w:rPr>
        <w:t xml:space="preserve">تعويضات في أشكال مختلفة. ومع ذلك، لا تزال اللجنة قلقة إزاء </w:t>
      </w:r>
      <w:r w:rsidR="004E0A37" w:rsidRPr="004E0A37">
        <w:rPr>
          <w:rFonts w:hint="cs"/>
          <w:spacing w:val="0"/>
          <w:sz w:val="20"/>
          <w:rtl/>
        </w:rPr>
        <w:t xml:space="preserve">النواقص التي شابت تلك </w:t>
      </w:r>
      <w:r w:rsidR="004E0A37" w:rsidRPr="004E0A37">
        <w:rPr>
          <w:spacing w:val="0"/>
          <w:sz w:val="20"/>
          <w:rtl/>
        </w:rPr>
        <w:t>الأعمال، لأنها</w:t>
      </w:r>
      <w:r w:rsidR="00335AC0">
        <w:rPr>
          <w:spacing w:val="0"/>
          <w:sz w:val="20"/>
          <w:rtl/>
        </w:rPr>
        <w:t xml:space="preserve"> لم </w:t>
      </w:r>
      <w:r w:rsidR="004E0A37" w:rsidRPr="004E0A37">
        <w:rPr>
          <w:spacing w:val="0"/>
          <w:sz w:val="20"/>
          <w:rtl/>
        </w:rPr>
        <w:t>تتطرق للانتهاكات المرتكبة في الصحراء الغربية، وإزاء عدم تسوية بعض قضايا الاختفاء القسري في نهاية أعمال هيئة الإنصاف والمصالحة في عام 2005. وإضافة إلى</w:t>
      </w:r>
      <w:r w:rsidR="004E0A37" w:rsidRPr="004E0A37">
        <w:rPr>
          <w:rFonts w:hint="cs"/>
          <w:spacing w:val="0"/>
          <w:sz w:val="20"/>
          <w:rtl/>
        </w:rPr>
        <w:t> </w:t>
      </w:r>
      <w:r w:rsidR="004E0A37" w:rsidRPr="004E0A37">
        <w:rPr>
          <w:spacing w:val="0"/>
          <w:sz w:val="20"/>
          <w:rtl/>
        </w:rPr>
        <w:t xml:space="preserve">ذلك، يساور اللجنة القلق من أن أعمال هيئة الإنصاف والمصالحة </w:t>
      </w:r>
      <w:r w:rsidR="004E0A37" w:rsidRPr="004E0A37">
        <w:rPr>
          <w:rFonts w:hint="cs"/>
          <w:spacing w:val="0"/>
          <w:sz w:val="20"/>
          <w:rtl/>
        </w:rPr>
        <w:t xml:space="preserve">قد </w:t>
      </w:r>
      <w:r w:rsidR="004E0A37" w:rsidRPr="004E0A37">
        <w:rPr>
          <w:spacing w:val="0"/>
          <w:sz w:val="20"/>
          <w:rtl/>
        </w:rPr>
        <w:t>تؤدي إلى إفلات منتهكي الاتفاقية في تلك الفترة من العقاب بحكم الأمر الواقع، لأنه</w:t>
      </w:r>
      <w:r w:rsidR="00335AC0">
        <w:rPr>
          <w:spacing w:val="0"/>
          <w:sz w:val="20"/>
          <w:rtl/>
        </w:rPr>
        <w:t xml:space="preserve"> لم </w:t>
      </w:r>
      <w:r w:rsidR="004E0A37" w:rsidRPr="004E0A37">
        <w:rPr>
          <w:spacing w:val="0"/>
          <w:sz w:val="20"/>
          <w:rtl/>
        </w:rPr>
        <w:t>يلاحَق قضائياً أي</w:t>
      </w:r>
      <w:r w:rsidR="004E0A37" w:rsidRPr="004E0A37">
        <w:rPr>
          <w:rFonts w:hint="cs"/>
          <w:spacing w:val="0"/>
          <w:sz w:val="20"/>
          <w:rtl/>
        </w:rPr>
        <w:t> </w:t>
      </w:r>
      <w:r w:rsidR="004E0A37" w:rsidRPr="004E0A37">
        <w:rPr>
          <w:spacing w:val="0"/>
          <w:sz w:val="20"/>
          <w:rtl/>
        </w:rPr>
        <w:t>منهم إلى اليوم. وأخيراً، تشعر اللجنة بالقلق إزاء المعلومات الواردة التي تفيد بأن كل الضحايا وجميع أسر الضحايا ربما</w:t>
      </w:r>
      <w:r w:rsidR="00335AC0">
        <w:rPr>
          <w:rFonts w:hint="cs"/>
          <w:spacing w:val="0"/>
          <w:sz w:val="20"/>
          <w:rtl/>
        </w:rPr>
        <w:t xml:space="preserve"> لم </w:t>
      </w:r>
      <w:r w:rsidR="004E0A37" w:rsidRPr="004E0A37">
        <w:rPr>
          <w:spacing w:val="0"/>
          <w:sz w:val="20"/>
          <w:rtl/>
        </w:rPr>
        <w:t>يحصلوا على تعويضات وبأن التعويضات المسددة ربما</w:t>
      </w:r>
      <w:r w:rsidR="00335AC0">
        <w:rPr>
          <w:spacing w:val="0"/>
          <w:sz w:val="20"/>
          <w:rtl/>
        </w:rPr>
        <w:t xml:space="preserve"> لم </w:t>
      </w:r>
      <w:r w:rsidR="004E0A37" w:rsidRPr="004E0A37">
        <w:rPr>
          <w:spacing w:val="0"/>
          <w:sz w:val="20"/>
          <w:rtl/>
        </w:rPr>
        <w:t>تكن دائماً منصفة ومناسبة أو مجدية (المواد 12 و13 و14)</w:t>
      </w:r>
      <w:r w:rsidR="004E0A37" w:rsidRPr="004E0A37">
        <w:rPr>
          <w:rFonts w:hint="cs"/>
          <w:spacing w:val="0"/>
          <w:sz w:val="20"/>
          <w:rtl/>
        </w:rPr>
        <w:t>.</w:t>
      </w:r>
    </w:p>
    <w:p w:rsidR="004E0A37" w:rsidRPr="00F07223" w:rsidRDefault="004E0A37" w:rsidP="004E0A37">
      <w:pPr>
        <w:pStyle w:val="SingleTxtGA"/>
        <w:jc w:val="lowKashida"/>
        <w:rPr>
          <w:b/>
          <w:bCs/>
          <w:spacing w:val="0"/>
          <w:sz w:val="20"/>
          <w:rtl/>
        </w:rPr>
      </w:pPr>
      <w:r w:rsidRPr="00F07223">
        <w:rPr>
          <w:rFonts w:hint="cs"/>
          <w:b/>
          <w:bCs/>
          <w:spacing w:val="0"/>
          <w:sz w:val="20"/>
          <w:rtl/>
        </w:rPr>
        <w:tab/>
      </w:r>
      <w:r w:rsidRPr="00F07223">
        <w:rPr>
          <w:b/>
          <w:bCs/>
          <w:spacing w:val="0"/>
          <w:sz w:val="20"/>
          <w:rtl/>
        </w:rPr>
        <w:t xml:space="preserve">ينبغي أن تتأكد الدولة الطرف من </w:t>
      </w:r>
      <w:r w:rsidRPr="00F07223">
        <w:rPr>
          <w:rFonts w:hint="cs"/>
          <w:b/>
          <w:bCs/>
          <w:spacing w:val="0"/>
          <w:sz w:val="20"/>
          <w:rtl/>
        </w:rPr>
        <w:t xml:space="preserve">استمرار </w:t>
      </w:r>
      <w:r w:rsidRPr="00F07223">
        <w:rPr>
          <w:b/>
          <w:bCs/>
          <w:spacing w:val="0"/>
          <w:sz w:val="20"/>
          <w:rtl/>
        </w:rPr>
        <w:t>المجلس الوطني لحقوق الإنسان، الذي أنيطت به مهمة استكمال أعمال هيئة الإنصاف والمصالحة، في بذل الجهد لتوضيح ملابسات حالات الاختفاء القسري التي وقعت بين عام</w:t>
      </w:r>
      <w:r w:rsidRPr="00F07223">
        <w:rPr>
          <w:rFonts w:hint="cs"/>
          <w:b/>
          <w:bCs/>
          <w:spacing w:val="0"/>
          <w:sz w:val="20"/>
          <w:rtl/>
        </w:rPr>
        <w:t>ي</w:t>
      </w:r>
      <w:r w:rsidRPr="00F07223">
        <w:rPr>
          <w:b/>
          <w:bCs/>
          <w:spacing w:val="0"/>
          <w:sz w:val="20"/>
          <w:rtl/>
        </w:rPr>
        <w:t xml:space="preserve"> 1956 </w:t>
      </w:r>
      <w:r w:rsidRPr="00F07223">
        <w:rPr>
          <w:rFonts w:hint="cs"/>
          <w:b/>
          <w:bCs/>
          <w:spacing w:val="0"/>
          <w:sz w:val="20"/>
          <w:rtl/>
        </w:rPr>
        <w:t>و</w:t>
      </w:r>
      <w:r w:rsidRPr="00F07223">
        <w:rPr>
          <w:b/>
          <w:bCs/>
          <w:spacing w:val="0"/>
          <w:sz w:val="20"/>
          <w:rtl/>
        </w:rPr>
        <w:t>1999 والتي</w:t>
      </w:r>
      <w:r w:rsidR="00335AC0" w:rsidRPr="00F07223">
        <w:rPr>
          <w:b/>
          <w:bCs/>
          <w:spacing w:val="0"/>
          <w:sz w:val="20"/>
          <w:rtl/>
        </w:rPr>
        <w:t xml:space="preserve"> لم </w:t>
      </w:r>
      <w:r w:rsidRPr="00F07223">
        <w:rPr>
          <w:b/>
          <w:bCs/>
          <w:spacing w:val="0"/>
          <w:sz w:val="20"/>
          <w:rtl/>
        </w:rPr>
        <w:t xml:space="preserve">توضح بعد، بما في ذلك القضايا المتعلقة بالصحراء الغربية. وينبغي أن تكثف الدولة الطرف أيضاً جهودها لإنصاف ضحايا التعذيب وسوء المعاملة </w:t>
      </w:r>
      <w:r w:rsidRPr="00F07223">
        <w:rPr>
          <w:rFonts w:hint="cs"/>
          <w:b/>
          <w:bCs/>
          <w:spacing w:val="0"/>
          <w:sz w:val="20"/>
          <w:rtl/>
        </w:rPr>
        <w:t xml:space="preserve">في </w:t>
      </w:r>
      <w:r w:rsidRPr="00F07223">
        <w:rPr>
          <w:b/>
          <w:bCs/>
          <w:spacing w:val="0"/>
          <w:sz w:val="20"/>
          <w:rtl/>
        </w:rPr>
        <w:t xml:space="preserve">شكل تعويض منصف وكاف وإعادة تأهيلهم على أكمل وجه ممكن. ولتحقيق هذا الغرض، ينبغي أن تدرج الدولة الطرف في تشريعاتها أحكاماً بشأن حق ضحايا التعذيب في الحصول على تعويض منصف ومناسب عن الضرر الذي لحق بهم. </w:t>
      </w:r>
    </w:p>
    <w:p w:rsidR="004E0A37" w:rsidRPr="004E0A37" w:rsidRDefault="004E0A37" w:rsidP="004E0A37">
      <w:pPr>
        <w:pStyle w:val="H23GA"/>
        <w:jc w:val="lowKashida"/>
        <w:rPr>
          <w:spacing w:val="0"/>
          <w:sz w:val="20"/>
          <w:rtl/>
          <w:lang/>
        </w:rPr>
      </w:pPr>
      <w:r w:rsidRPr="004E0A37">
        <w:rPr>
          <w:rFonts w:hint="cs"/>
          <w:spacing w:val="0"/>
          <w:sz w:val="20"/>
          <w:rtl/>
          <w:lang/>
        </w:rPr>
        <w:tab/>
      </w:r>
      <w:r w:rsidRPr="004E0A37">
        <w:rPr>
          <w:rFonts w:hint="cs"/>
          <w:spacing w:val="0"/>
          <w:sz w:val="20"/>
          <w:rtl/>
          <w:lang/>
        </w:rPr>
        <w:tab/>
      </w:r>
      <w:r w:rsidRPr="004E0A37">
        <w:rPr>
          <w:spacing w:val="0"/>
          <w:sz w:val="20"/>
          <w:rtl/>
          <w:lang/>
        </w:rPr>
        <w:t>التعاون مع آليات الأمم المتحدة</w:t>
      </w:r>
    </w:p>
    <w:p w:rsidR="004E0A37" w:rsidRPr="004E0A37" w:rsidRDefault="005225BF" w:rsidP="004E0A37">
      <w:pPr>
        <w:pStyle w:val="SingleTxtGA"/>
        <w:jc w:val="lowKashida"/>
        <w:rPr>
          <w:spacing w:val="0"/>
          <w:sz w:val="20"/>
          <w:rtl/>
        </w:rPr>
      </w:pPr>
      <w:r>
        <w:rPr>
          <w:rFonts w:hint="cs"/>
          <w:spacing w:val="0"/>
          <w:sz w:val="20"/>
          <w:rtl/>
        </w:rPr>
        <w:t>(</w:t>
      </w:r>
      <w:r w:rsidR="004E0A37" w:rsidRPr="004E0A37">
        <w:rPr>
          <w:spacing w:val="0"/>
          <w:sz w:val="20"/>
          <w:rtl/>
        </w:rPr>
        <w:t>30</w:t>
      </w:r>
      <w:r w:rsidR="003E72B5">
        <w:rPr>
          <w:spacing w:val="0"/>
          <w:sz w:val="20"/>
          <w:rtl/>
        </w:rPr>
        <w:t>)</w:t>
      </w:r>
      <w:r w:rsidR="003E72B5">
        <w:rPr>
          <w:spacing w:val="0"/>
          <w:sz w:val="20"/>
          <w:rtl/>
        </w:rPr>
        <w:tab/>
      </w:r>
      <w:r w:rsidR="004E0A37" w:rsidRPr="004E0A37">
        <w:rPr>
          <w:spacing w:val="0"/>
          <w:sz w:val="20"/>
          <w:rtl/>
        </w:rPr>
        <w:t xml:space="preserve">توصي اللجنة الدولة الطرف بتكثيف تعاونها مع آليات حقوق الإنسان التابعة للأمم المتحدة، خاصة بترخيص الزيارات والتي من بينها زيارة فريق العمل المعني بالاحتجاز التعسفي، وزيارة المقررة الخاصة المعنية بالاتجار بالبشر، </w:t>
      </w:r>
      <w:r w:rsidR="004E0A37" w:rsidRPr="004E0A37">
        <w:rPr>
          <w:rFonts w:hint="cs"/>
          <w:spacing w:val="0"/>
          <w:sz w:val="20"/>
          <w:rtl/>
        </w:rPr>
        <w:t>و</w:t>
      </w:r>
      <w:r w:rsidR="004E0A37" w:rsidRPr="004E0A37">
        <w:rPr>
          <w:spacing w:val="0"/>
          <w:sz w:val="20"/>
          <w:rtl/>
        </w:rPr>
        <w:t xml:space="preserve">خاصة النساء والأطفال، وزيارة المقرر الخاص المعني بحرية التجمع وتكوين الجمعيات. </w:t>
      </w:r>
    </w:p>
    <w:p w:rsidR="004E0A37" w:rsidRPr="004E0A37" w:rsidRDefault="005225BF" w:rsidP="004E0A37">
      <w:pPr>
        <w:pStyle w:val="SingleTxtGA"/>
        <w:jc w:val="lowKashida"/>
        <w:rPr>
          <w:spacing w:val="0"/>
          <w:sz w:val="20"/>
          <w:rtl/>
        </w:rPr>
      </w:pPr>
      <w:r>
        <w:rPr>
          <w:rFonts w:hint="cs"/>
          <w:spacing w:val="0"/>
          <w:sz w:val="20"/>
          <w:rtl/>
        </w:rPr>
        <w:t>(</w:t>
      </w:r>
      <w:r w:rsidR="004E0A37" w:rsidRPr="004E0A37">
        <w:rPr>
          <w:spacing w:val="0"/>
          <w:sz w:val="20"/>
          <w:rtl/>
        </w:rPr>
        <w:t>31</w:t>
      </w:r>
      <w:r w:rsidR="003E72B5">
        <w:rPr>
          <w:spacing w:val="0"/>
          <w:sz w:val="20"/>
          <w:rtl/>
        </w:rPr>
        <w:t>)</w:t>
      </w:r>
      <w:r w:rsidR="003E72B5">
        <w:rPr>
          <w:spacing w:val="0"/>
          <w:sz w:val="20"/>
          <w:rtl/>
        </w:rPr>
        <w:tab/>
      </w:r>
      <w:r w:rsidR="004E0A37" w:rsidRPr="004E0A37">
        <w:rPr>
          <w:spacing w:val="0"/>
          <w:sz w:val="20"/>
          <w:rtl/>
        </w:rPr>
        <w:t>وتدعو اللجنة الدولة الطرف إلى النظر في الانضمام إلى المعاهدات الأساسية المتعلقة بحقوق الإنسان التي</w:t>
      </w:r>
      <w:r w:rsidR="00335AC0">
        <w:rPr>
          <w:spacing w:val="0"/>
          <w:sz w:val="20"/>
          <w:rtl/>
        </w:rPr>
        <w:t xml:space="preserve"> لم </w:t>
      </w:r>
      <w:r w:rsidR="004E0A37" w:rsidRPr="004E0A37">
        <w:rPr>
          <w:spacing w:val="0"/>
          <w:sz w:val="20"/>
          <w:rtl/>
        </w:rPr>
        <w:t xml:space="preserve">تنضم إليها بعد، لا سيما البروتوكول الاختياري لاتفاقية مناهضة التعذيب وغيره من ضروب المعاملة القاسية أو اللاإنسانية أو المهينة، ونظام روما الأساسي للمحكمة الجنائية الدولية. </w:t>
      </w:r>
    </w:p>
    <w:p w:rsidR="004E0A37" w:rsidRPr="004E0A37" w:rsidRDefault="005225BF" w:rsidP="004E0A37">
      <w:pPr>
        <w:pStyle w:val="SingleTxtGA"/>
        <w:jc w:val="lowKashida"/>
        <w:rPr>
          <w:spacing w:val="0"/>
          <w:sz w:val="20"/>
          <w:rtl/>
        </w:rPr>
      </w:pPr>
      <w:r>
        <w:rPr>
          <w:rFonts w:hint="cs"/>
          <w:spacing w:val="0"/>
          <w:sz w:val="20"/>
          <w:rtl/>
        </w:rPr>
        <w:t>(</w:t>
      </w:r>
      <w:r w:rsidR="004E0A37" w:rsidRPr="004E0A37">
        <w:rPr>
          <w:spacing w:val="0"/>
          <w:sz w:val="20"/>
          <w:rtl/>
        </w:rPr>
        <w:t>32</w:t>
      </w:r>
      <w:r w:rsidR="003E72B5">
        <w:rPr>
          <w:spacing w:val="0"/>
          <w:sz w:val="20"/>
          <w:rtl/>
        </w:rPr>
        <w:t>)</w:t>
      </w:r>
      <w:r w:rsidR="003E72B5">
        <w:rPr>
          <w:spacing w:val="0"/>
          <w:sz w:val="20"/>
          <w:rtl/>
        </w:rPr>
        <w:tab/>
      </w:r>
      <w:r w:rsidR="004E0A37" w:rsidRPr="004E0A37">
        <w:rPr>
          <w:spacing w:val="0"/>
          <w:sz w:val="20"/>
          <w:rtl/>
        </w:rPr>
        <w:t>وتحث</w:t>
      </w:r>
      <w:r w:rsidR="004E0A37" w:rsidRPr="004E0A37">
        <w:rPr>
          <w:rFonts w:hint="cs"/>
          <w:spacing w:val="0"/>
          <w:sz w:val="20"/>
          <w:rtl/>
        </w:rPr>
        <w:t>ّ اللجنة</w:t>
      </w:r>
      <w:r w:rsidR="004E0A37" w:rsidRPr="004E0A37">
        <w:rPr>
          <w:spacing w:val="0"/>
          <w:sz w:val="20"/>
          <w:rtl/>
        </w:rPr>
        <w:t xml:space="preserve"> الدولة الطرف على أن تنشر</w:t>
      </w:r>
      <w:r w:rsidR="004E0A37" w:rsidRPr="004E0A37">
        <w:rPr>
          <w:rFonts w:hint="cs"/>
          <w:spacing w:val="0"/>
          <w:sz w:val="20"/>
          <w:rtl/>
        </w:rPr>
        <w:t>،</w:t>
      </w:r>
      <w:r w:rsidR="004E0A37" w:rsidRPr="004E0A37">
        <w:rPr>
          <w:spacing w:val="0"/>
          <w:sz w:val="20"/>
          <w:rtl/>
        </w:rPr>
        <w:t xml:space="preserve"> على نطاق واسع</w:t>
      </w:r>
      <w:r w:rsidR="004E0A37" w:rsidRPr="004E0A37">
        <w:rPr>
          <w:rFonts w:hint="cs"/>
          <w:spacing w:val="0"/>
          <w:sz w:val="20"/>
          <w:rtl/>
        </w:rPr>
        <w:t>،</w:t>
      </w:r>
      <w:r w:rsidR="004E0A37" w:rsidRPr="004E0A37">
        <w:rPr>
          <w:spacing w:val="0"/>
          <w:sz w:val="20"/>
          <w:rtl/>
        </w:rPr>
        <w:t xml:space="preserve"> التقارير التي قدمتها إلى اللجنة وكذلك استنتاجات اللجنة وتوصياتها، عن طريق مواقع الانترنت الرسمية وعبر وسائل الإعلام والمنظمات غير الحكومية. </w:t>
      </w:r>
    </w:p>
    <w:p w:rsidR="004E0A37" w:rsidRPr="004E0A37" w:rsidRDefault="005225BF" w:rsidP="004E0A37">
      <w:pPr>
        <w:pStyle w:val="SingleTxtGA"/>
        <w:jc w:val="lowKashida"/>
        <w:rPr>
          <w:spacing w:val="0"/>
          <w:sz w:val="20"/>
          <w:rtl/>
        </w:rPr>
      </w:pPr>
      <w:r>
        <w:rPr>
          <w:rFonts w:hint="cs"/>
          <w:spacing w:val="0"/>
          <w:sz w:val="20"/>
          <w:rtl/>
        </w:rPr>
        <w:t>(</w:t>
      </w:r>
      <w:r w:rsidR="004E0A37" w:rsidRPr="004E0A37">
        <w:rPr>
          <w:spacing w:val="0"/>
          <w:sz w:val="20"/>
          <w:rtl/>
        </w:rPr>
        <w:t>33</w:t>
      </w:r>
      <w:r w:rsidR="003E72B5">
        <w:rPr>
          <w:spacing w:val="0"/>
          <w:sz w:val="20"/>
          <w:rtl/>
        </w:rPr>
        <w:t>)</w:t>
      </w:r>
      <w:r w:rsidR="003E72B5">
        <w:rPr>
          <w:spacing w:val="0"/>
          <w:sz w:val="20"/>
          <w:rtl/>
        </w:rPr>
        <w:tab/>
      </w:r>
      <w:r w:rsidR="004E0A37" w:rsidRPr="004E0A37">
        <w:rPr>
          <w:spacing w:val="0"/>
          <w:sz w:val="20"/>
          <w:rtl/>
        </w:rPr>
        <w:t xml:space="preserve">وتناشد اللجنةُ الدولةَ الطرف أن تقدم إليها، قبل 25 تشرين الثاني/نوفمبر 2012، معلومات عن متابعتها للتوصيات المقدمة والتي تهدف إلى: 1) حماية وتعزيز الضمانات القانونية للأشخاص المعتقلين؛ 2) إجراء تحقيقات فورية </w:t>
      </w:r>
      <w:r w:rsidR="004E0A37" w:rsidRPr="004E0A37">
        <w:rPr>
          <w:rFonts w:hint="cs"/>
          <w:spacing w:val="0"/>
          <w:sz w:val="20"/>
          <w:rtl/>
        </w:rPr>
        <w:t>ونزيهة</w:t>
      </w:r>
      <w:r w:rsidR="004E0A37" w:rsidRPr="004E0A37">
        <w:rPr>
          <w:spacing w:val="0"/>
          <w:sz w:val="20"/>
          <w:rtl/>
        </w:rPr>
        <w:t xml:space="preserve"> وفعالة؛</w:t>
      </w:r>
      <w:r w:rsidR="004E0A37" w:rsidRPr="004E0A37">
        <w:rPr>
          <w:rFonts w:hint="cs"/>
          <w:spacing w:val="0"/>
          <w:sz w:val="20"/>
          <w:rtl/>
        </w:rPr>
        <w:t> </w:t>
      </w:r>
      <w:r w:rsidR="004E0A37" w:rsidRPr="004E0A37">
        <w:rPr>
          <w:spacing w:val="0"/>
          <w:sz w:val="20"/>
          <w:rtl/>
        </w:rPr>
        <w:t xml:space="preserve">3) ملاحقة المتهمين ومعاقبة ممارسي التعذيب وسوء المعاملة؛ 4) </w:t>
      </w:r>
      <w:r w:rsidR="004E0A37" w:rsidRPr="004E0A37">
        <w:rPr>
          <w:rFonts w:hint="cs"/>
          <w:spacing w:val="0"/>
          <w:sz w:val="20"/>
          <w:rtl/>
        </w:rPr>
        <w:t xml:space="preserve">منح </w:t>
      </w:r>
      <w:r w:rsidR="004E0A37" w:rsidRPr="004E0A37">
        <w:rPr>
          <w:spacing w:val="0"/>
          <w:sz w:val="20"/>
          <w:rtl/>
        </w:rPr>
        <w:t>التعويضات المشار إليها في الفقرات 7</w:t>
      </w:r>
      <w:r w:rsidR="004E0A37" w:rsidRPr="004E0A37">
        <w:rPr>
          <w:rFonts w:hint="cs"/>
          <w:spacing w:val="0"/>
          <w:sz w:val="20"/>
          <w:rtl/>
        </w:rPr>
        <w:t xml:space="preserve"> </w:t>
      </w:r>
      <w:r w:rsidR="004E0A37" w:rsidRPr="004E0A37">
        <w:rPr>
          <w:spacing w:val="0"/>
          <w:sz w:val="20"/>
          <w:rtl/>
        </w:rPr>
        <w:t>و11</w:t>
      </w:r>
      <w:r w:rsidR="004E0A37" w:rsidRPr="004E0A37">
        <w:rPr>
          <w:rFonts w:hint="cs"/>
          <w:spacing w:val="0"/>
          <w:sz w:val="20"/>
          <w:rtl/>
        </w:rPr>
        <w:t xml:space="preserve"> </w:t>
      </w:r>
      <w:r w:rsidR="004E0A37" w:rsidRPr="004E0A37">
        <w:rPr>
          <w:spacing w:val="0"/>
          <w:sz w:val="20"/>
          <w:rtl/>
        </w:rPr>
        <w:t>و15</w:t>
      </w:r>
      <w:r w:rsidR="004E0A37" w:rsidRPr="004E0A37">
        <w:rPr>
          <w:rFonts w:hint="cs"/>
          <w:spacing w:val="0"/>
          <w:sz w:val="20"/>
          <w:rtl/>
        </w:rPr>
        <w:t xml:space="preserve"> </w:t>
      </w:r>
      <w:r w:rsidR="004E0A37" w:rsidRPr="004E0A37">
        <w:rPr>
          <w:spacing w:val="0"/>
          <w:sz w:val="20"/>
          <w:rtl/>
        </w:rPr>
        <w:t xml:space="preserve">و28 من هذه الوثيقة. </w:t>
      </w:r>
      <w:r w:rsidR="004E0A37" w:rsidRPr="004E0A37">
        <w:rPr>
          <w:rFonts w:hint="cs"/>
          <w:spacing w:val="0"/>
          <w:sz w:val="20"/>
          <w:rtl/>
        </w:rPr>
        <w:t xml:space="preserve">وعلاوة </w:t>
      </w:r>
      <w:r w:rsidR="004E0A37" w:rsidRPr="004E0A37">
        <w:rPr>
          <w:spacing w:val="0"/>
          <w:sz w:val="20"/>
          <w:rtl/>
        </w:rPr>
        <w:t xml:space="preserve">على ذلك، تطلب اللجنة من الدولة الطرف معلومات ذات صلة عن تنفيذ التوصيات التي قدمتها إليها </w:t>
      </w:r>
      <w:r w:rsidR="004E0A37" w:rsidRPr="004E0A37">
        <w:rPr>
          <w:rFonts w:hint="cs"/>
          <w:spacing w:val="0"/>
          <w:sz w:val="20"/>
          <w:rtl/>
        </w:rPr>
        <w:t>ب</w:t>
      </w:r>
      <w:r w:rsidR="004E0A37" w:rsidRPr="004E0A37">
        <w:rPr>
          <w:spacing w:val="0"/>
          <w:sz w:val="20"/>
          <w:rtl/>
        </w:rPr>
        <w:t>شأن قانون مكافحة الإرهاب المذكور</w:t>
      </w:r>
      <w:r w:rsidR="004E0A37" w:rsidRPr="004E0A37">
        <w:rPr>
          <w:rFonts w:hint="cs"/>
          <w:spacing w:val="0"/>
          <w:sz w:val="20"/>
          <w:rtl/>
        </w:rPr>
        <w:t xml:space="preserve"> </w:t>
      </w:r>
      <w:r w:rsidR="004E0A37" w:rsidRPr="004E0A37">
        <w:rPr>
          <w:spacing w:val="0"/>
          <w:sz w:val="20"/>
          <w:rtl/>
        </w:rPr>
        <w:t xml:space="preserve">في الفقرة </w:t>
      </w:r>
      <w:r w:rsidR="004E0A37" w:rsidRPr="004E0A37">
        <w:rPr>
          <w:rFonts w:hint="cs"/>
          <w:spacing w:val="0"/>
          <w:sz w:val="20"/>
          <w:rtl/>
        </w:rPr>
        <w:t xml:space="preserve">8 </w:t>
      </w:r>
      <w:r w:rsidR="004E0A37" w:rsidRPr="004E0A37">
        <w:rPr>
          <w:spacing w:val="0"/>
          <w:sz w:val="20"/>
          <w:rtl/>
        </w:rPr>
        <w:t xml:space="preserve">من هذه الوثيقة. </w:t>
      </w:r>
    </w:p>
    <w:p w:rsidR="004E0A37" w:rsidRPr="004E0A37" w:rsidRDefault="005225BF" w:rsidP="00A4030E">
      <w:pPr>
        <w:pStyle w:val="SingleTxtGA"/>
        <w:jc w:val="lowKashida"/>
        <w:rPr>
          <w:spacing w:val="0"/>
          <w:sz w:val="20"/>
          <w:rtl/>
        </w:rPr>
      </w:pPr>
      <w:r>
        <w:rPr>
          <w:rFonts w:hint="cs"/>
          <w:spacing w:val="0"/>
          <w:sz w:val="20"/>
          <w:rtl/>
        </w:rPr>
        <w:t>(</w:t>
      </w:r>
      <w:r w:rsidR="004E0A37" w:rsidRPr="004E0A37">
        <w:rPr>
          <w:spacing w:val="0"/>
          <w:sz w:val="20"/>
          <w:rtl/>
        </w:rPr>
        <w:t>34</w:t>
      </w:r>
      <w:r w:rsidR="003E72B5">
        <w:rPr>
          <w:rFonts w:hint="cs"/>
          <w:spacing w:val="0"/>
          <w:sz w:val="20"/>
          <w:rtl/>
        </w:rPr>
        <w:t>)</w:t>
      </w:r>
      <w:r w:rsidR="003E72B5">
        <w:rPr>
          <w:rFonts w:hint="cs"/>
          <w:spacing w:val="0"/>
          <w:sz w:val="20"/>
          <w:rtl/>
        </w:rPr>
        <w:tab/>
      </w:r>
      <w:r w:rsidR="004E0A37" w:rsidRPr="004E0A37">
        <w:rPr>
          <w:spacing w:val="0"/>
          <w:sz w:val="20"/>
          <w:rtl/>
        </w:rPr>
        <w:t>وتدعو اللجنة الدولة الطرف إلى تحديث وثيقتها الأساسية المؤرخة 15 نيسان/</w:t>
      </w:r>
      <w:r w:rsidR="00F07223">
        <w:rPr>
          <w:rFonts w:hint="cs"/>
          <w:spacing w:val="0"/>
          <w:sz w:val="20"/>
          <w:rtl/>
        </w:rPr>
        <w:t xml:space="preserve"> </w:t>
      </w:r>
      <w:r w:rsidR="004E0A37" w:rsidRPr="004E0A37">
        <w:rPr>
          <w:spacing w:val="0"/>
          <w:sz w:val="20"/>
          <w:rtl/>
        </w:rPr>
        <w:t>أبريل</w:t>
      </w:r>
      <w:r w:rsidR="00A4030E">
        <w:rPr>
          <w:rFonts w:hint="cs"/>
          <w:spacing w:val="0"/>
          <w:sz w:val="20"/>
          <w:rtl/>
        </w:rPr>
        <w:t> </w:t>
      </w:r>
      <w:r w:rsidR="004E0A37" w:rsidRPr="004E0A37">
        <w:rPr>
          <w:spacing w:val="0"/>
          <w:sz w:val="20"/>
          <w:rtl/>
        </w:rPr>
        <w:t>2002 (</w:t>
      </w:r>
      <w:r w:rsidR="004E0A37" w:rsidRPr="004E0A37">
        <w:rPr>
          <w:spacing w:val="0"/>
          <w:sz w:val="20"/>
        </w:rPr>
        <w:t>HRI/CORE/1/Add.23/Rev.1</w:t>
      </w:r>
      <w:r w:rsidR="004E0A37" w:rsidRPr="004E0A37">
        <w:rPr>
          <w:spacing w:val="0"/>
          <w:sz w:val="20"/>
          <w:rtl/>
        </w:rPr>
        <w:t xml:space="preserve"> و</w:t>
      </w:r>
      <w:r w:rsidR="004E0A37" w:rsidRPr="004E0A37">
        <w:rPr>
          <w:spacing w:val="0"/>
          <w:sz w:val="20"/>
        </w:rPr>
        <w:t>Corr.1</w:t>
      </w:r>
      <w:r w:rsidR="004E0A37" w:rsidRPr="004E0A37">
        <w:rPr>
          <w:spacing w:val="0"/>
          <w:sz w:val="20"/>
          <w:rtl/>
        </w:rPr>
        <w:t>)</w:t>
      </w:r>
      <w:r w:rsidR="004E0A37" w:rsidRPr="004E0A37">
        <w:rPr>
          <w:rFonts w:hint="cs"/>
          <w:spacing w:val="0"/>
          <w:sz w:val="20"/>
          <w:rtl/>
        </w:rPr>
        <w:t xml:space="preserve">، عند اللزوم، </w:t>
      </w:r>
      <w:r w:rsidR="004E0A37" w:rsidRPr="004E0A37">
        <w:rPr>
          <w:spacing w:val="0"/>
          <w:sz w:val="20"/>
          <w:rtl/>
        </w:rPr>
        <w:t>وفق التعليمات المتعلقة بالوثيقة الأساسية الموحدة والواردة في المبادئ التوجيهية المنسقة المتعلقة بإعداد التقارير المقدمة بموجب الصكوك الدولية لحقوق الإنسان (</w:t>
      </w:r>
      <w:r w:rsidR="004E0A37" w:rsidRPr="004E0A37">
        <w:rPr>
          <w:spacing w:val="0"/>
          <w:sz w:val="20"/>
        </w:rPr>
        <w:t>HRI/GEN/2/Rev.6</w:t>
      </w:r>
      <w:r w:rsidR="004E0A37" w:rsidRPr="004E0A37">
        <w:rPr>
          <w:spacing w:val="0"/>
          <w:sz w:val="20"/>
          <w:rtl/>
        </w:rPr>
        <w:t>).</w:t>
      </w:r>
    </w:p>
    <w:p w:rsidR="004E0A37" w:rsidRPr="004E0A37" w:rsidRDefault="005225BF" w:rsidP="004E0A37">
      <w:pPr>
        <w:pStyle w:val="SingleTxtGA"/>
        <w:jc w:val="lowKashida"/>
        <w:rPr>
          <w:rFonts w:hint="cs"/>
          <w:spacing w:val="0"/>
          <w:sz w:val="20"/>
          <w:rtl/>
        </w:rPr>
      </w:pPr>
      <w:r>
        <w:rPr>
          <w:rFonts w:hint="cs"/>
          <w:spacing w:val="0"/>
          <w:sz w:val="20"/>
          <w:rtl/>
        </w:rPr>
        <w:t>(</w:t>
      </w:r>
      <w:r w:rsidR="004E0A37" w:rsidRPr="004E0A37">
        <w:rPr>
          <w:spacing w:val="0"/>
          <w:sz w:val="20"/>
          <w:rtl/>
        </w:rPr>
        <w:t>35</w:t>
      </w:r>
      <w:r w:rsidR="003E72B5">
        <w:rPr>
          <w:spacing w:val="0"/>
          <w:sz w:val="20"/>
          <w:rtl/>
        </w:rPr>
        <w:t>)</w:t>
      </w:r>
      <w:r w:rsidR="003E72B5">
        <w:rPr>
          <w:spacing w:val="0"/>
          <w:sz w:val="20"/>
          <w:rtl/>
        </w:rPr>
        <w:tab/>
      </w:r>
      <w:r w:rsidR="004E0A37" w:rsidRPr="004E0A37">
        <w:rPr>
          <w:spacing w:val="0"/>
          <w:sz w:val="20"/>
          <w:rtl/>
        </w:rPr>
        <w:t>وتدعو اللجنة الدولة الطرف</w:t>
      </w:r>
      <w:r w:rsidR="004E0A37" w:rsidRPr="004E0A37">
        <w:rPr>
          <w:rFonts w:hint="cs"/>
          <w:spacing w:val="0"/>
          <w:sz w:val="20"/>
          <w:rtl/>
        </w:rPr>
        <w:t xml:space="preserve"> إلى</w:t>
      </w:r>
      <w:r w:rsidR="004E0A37" w:rsidRPr="004E0A37">
        <w:rPr>
          <w:spacing w:val="0"/>
          <w:sz w:val="20"/>
          <w:rtl/>
        </w:rPr>
        <w:t xml:space="preserve"> أن تقدم تقريرها الدوري المقبل، </w:t>
      </w:r>
      <w:r w:rsidR="004E0A37" w:rsidRPr="004E0A37">
        <w:rPr>
          <w:rFonts w:hint="cs"/>
          <w:spacing w:val="0"/>
          <w:sz w:val="20"/>
          <w:rtl/>
        </w:rPr>
        <w:t xml:space="preserve">وهو </w:t>
      </w:r>
      <w:r w:rsidR="004E0A37" w:rsidRPr="004E0A37">
        <w:rPr>
          <w:spacing w:val="0"/>
          <w:sz w:val="20"/>
          <w:rtl/>
        </w:rPr>
        <w:t xml:space="preserve">الخامس، في موعد لا يتجاوز 25 تشرين الثاني/نوفمبر 2015 على أبعد تقدير. </w:t>
      </w:r>
      <w:r w:rsidR="004E0A37" w:rsidRPr="004E0A37">
        <w:rPr>
          <w:rFonts w:hint="cs"/>
          <w:spacing w:val="0"/>
          <w:sz w:val="20"/>
          <w:rtl/>
        </w:rPr>
        <w:t>ل</w:t>
      </w:r>
      <w:r w:rsidR="004E0A37" w:rsidRPr="004E0A37">
        <w:rPr>
          <w:spacing w:val="0"/>
          <w:sz w:val="20"/>
          <w:rtl/>
        </w:rPr>
        <w:t xml:space="preserve">تحقيق هذه الغاية، تدعو اللجنة الدولة الطرف أن تقبل، قبل 25 تشرين الثاني/نوفمبر 2012، بتقديم تقريرها طبقاً للإجراء الاختياري </w:t>
      </w:r>
      <w:r w:rsidR="004E0A37" w:rsidRPr="004E0A37">
        <w:rPr>
          <w:rFonts w:hint="cs"/>
          <w:spacing w:val="0"/>
          <w:sz w:val="20"/>
          <w:rtl/>
        </w:rPr>
        <w:t xml:space="preserve">الذي يتمثل في إحالة </w:t>
      </w:r>
      <w:r w:rsidR="004E0A37" w:rsidRPr="004E0A37">
        <w:rPr>
          <w:spacing w:val="0"/>
          <w:sz w:val="20"/>
          <w:rtl/>
        </w:rPr>
        <w:t xml:space="preserve">اللجنة </w:t>
      </w:r>
      <w:r w:rsidR="004E0A37" w:rsidRPr="004E0A37">
        <w:rPr>
          <w:rFonts w:hint="cs"/>
          <w:spacing w:val="0"/>
          <w:sz w:val="20"/>
          <w:rtl/>
        </w:rPr>
        <w:t xml:space="preserve">إلى </w:t>
      </w:r>
      <w:r w:rsidR="004E0A37" w:rsidRPr="004E0A37">
        <w:rPr>
          <w:spacing w:val="0"/>
          <w:sz w:val="20"/>
          <w:rtl/>
        </w:rPr>
        <w:t xml:space="preserve">الدولة الطرف مجموعة أسئلة تمهيداً للتقرير الدوري. </w:t>
      </w:r>
      <w:r w:rsidR="004E0A37" w:rsidRPr="004E0A37">
        <w:rPr>
          <w:rFonts w:hint="cs"/>
          <w:spacing w:val="0"/>
          <w:sz w:val="20"/>
          <w:rtl/>
        </w:rPr>
        <w:t xml:space="preserve">وستشكل ردود </w:t>
      </w:r>
      <w:r w:rsidR="004E0A37" w:rsidRPr="004E0A37">
        <w:rPr>
          <w:spacing w:val="0"/>
          <w:sz w:val="20"/>
          <w:rtl/>
        </w:rPr>
        <w:t xml:space="preserve">الدولة الطرف على هذه المجموعة من الأسئلة التقرير الدوري المقبل للدولة الطرف بموجب المادة 19 من الاتفاقية. </w:t>
      </w:r>
    </w:p>
    <w:p w:rsidR="004E0A37" w:rsidRPr="004E0A37" w:rsidRDefault="004E0A37" w:rsidP="004E0A37">
      <w:pPr>
        <w:pStyle w:val="SingleTxtGA"/>
        <w:jc w:val="lowKashida"/>
        <w:rPr>
          <w:spacing w:val="0"/>
          <w:sz w:val="20"/>
          <w:rtl/>
        </w:rPr>
      </w:pPr>
      <w:r w:rsidRPr="004E0A37">
        <w:rPr>
          <w:rFonts w:hint="cs"/>
          <w:spacing w:val="0"/>
          <w:sz w:val="20"/>
          <w:rtl/>
          <w:lang/>
        </w:rPr>
        <w:t>58-</w:t>
      </w:r>
      <w:r w:rsidRPr="004E0A37">
        <w:rPr>
          <w:rFonts w:hint="cs"/>
          <w:spacing w:val="0"/>
          <w:sz w:val="20"/>
          <w:rtl/>
          <w:lang/>
        </w:rPr>
        <w:tab/>
      </w:r>
      <w:r w:rsidRPr="00F07223">
        <w:rPr>
          <w:b/>
          <w:bCs/>
          <w:spacing w:val="0"/>
          <w:sz w:val="20"/>
          <w:rtl/>
        </w:rPr>
        <w:t>باراغواي</w:t>
      </w:r>
    </w:p>
    <w:p w:rsidR="004E0A37" w:rsidRPr="00F07223" w:rsidRDefault="004E0A37" w:rsidP="004E0A37">
      <w:pPr>
        <w:pStyle w:val="SingleTxtGA"/>
        <w:jc w:val="lowKashida"/>
        <w:rPr>
          <w:spacing w:val="-2"/>
          <w:sz w:val="20"/>
          <w:rtl/>
        </w:rPr>
      </w:pPr>
      <w:r w:rsidRPr="00F07223">
        <w:rPr>
          <w:rFonts w:hint="cs"/>
          <w:spacing w:val="-2"/>
          <w:sz w:val="20"/>
          <w:rtl/>
        </w:rPr>
        <w:t>(</w:t>
      </w:r>
      <w:r w:rsidRPr="00F07223">
        <w:rPr>
          <w:spacing w:val="-2"/>
          <w:sz w:val="20"/>
          <w:rtl/>
        </w:rPr>
        <w:t>1</w:t>
      </w:r>
      <w:r w:rsidR="003E72B5" w:rsidRPr="00F07223">
        <w:rPr>
          <w:rFonts w:hint="cs"/>
          <w:spacing w:val="-2"/>
          <w:sz w:val="20"/>
          <w:rtl/>
        </w:rPr>
        <w:t>)</w:t>
      </w:r>
      <w:r w:rsidR="003E72B5" w:rsidRPr="00F07223">
        <w:rPr>
          <w:rFonts w:hint="cs"/>
          <w:spacing w:val="-2"/>
          <w:sz w:val="20"/>
          <w:rtl/>
        </w:rPr>
        <w:tab/>
      </w:r>
      <w:r w:rsidRPr="00F07223">
        <w:rPr>
          <w:spacing w:val="-2"/>
          <w:sz w:val="20"/>
          <w:rtl/>
        </w:rPr>
        <w:t>نظرت لجنة مناهضة التعذيب في التقرير الجامع للتقارير الدورية الرابع والخامس والسادس لباراغواي (</w:t>
      </w:r>
      <w:r w:rsidRPr="00F07223">
        <w:rPr>
          <w:spacing w:val="-2"/>
          <w:sz w:val="20"/>
        </w:rPr>
        <w:t>CAT/C/PRY/4-6</w:t>
      </w:r>
      <w:r w:rsidRPr="00F07223">
        <w:rPr>
          <w:spacing w:val="-2"/>
          <w:sz w:val="20"/>
          <w:rtl/>
        </w:rPr>
        <w:t>) في جلستيها 1026 و1029 (</w:t>
      </w:r>
      <w:r w:rsidRPr="00F07223">
        <w:rPr>
          <w:spacing w:val="-2"/>
          <w:sz w:val="20"/>
        </w:rPr>
        <w:t>CAT/C/SR.1026</w:t>
      </w:r>
      <w:r w:rsidRPr="00F07223">
        <w:rPr>
          <w:spacing w:val="-2"/>
          <w:sz w:val="20"/>
          <w:rtl/>
        </w:rPr>
        <w:t xml:space="preserve"> و1029)، المعقودتين يومي 3 و4 تشرين الثاني/نوفمبر 2011، واعتمدت في جلستها 1048 (</w:t>
      </w:r>
      <w:r w:rsidRPr="00F07223">
        <w:rPr>
          <w:spacing w:val="-2"/>
          <w:sz w:val="20"/>
        </w:rPr>
        <w:t>CAT/C/SR.1048</w:t>
      </w:r>
      <w:r w:rsidRPr="00F07223">
        <w:rPr>
          <w:spacing w:val="-2"/>
          <w:sz w:val="20"/>
          <w:rtl/>
        </w:rPr>
        <w:t>) المعقودة في 21 تشرين الثاني/نوفمبر 2011 الملاحظات الختامية التالية.</w:t>
      </w:r>
    </w:p>
    <w:p w:rsidR="004E0A37" w:rsidRPr="004E0A37" w:rsidRDefault="007223C0" w:rsidP="002E2361">
      <w:pPr>
        <w:pStyle w:val="H23GA"/>
        <w:tabs>
          <w:tab w:val="left" w:pos="1925"/>
        </w:tabs>
        <w:rPr>
          <w:rtl/>
        </w:rPr>
      </w:pPr>
      <w:r>
        <w:rPr>
          <w:rFonts w:hint="cs"/>
          <w:rtl/>
        </w:rPr>
        <w:tab/>
      </w:r>
      <w:r w:rsidR="004E0A37" w:rsidRPr="004E0A37">
        <w:rPr>
          <w:rtl/>
        </w:rPr>
        <w:tab/>
        <w:t>ألف-</w:t>
      </w:r>
      <w:r w:rsidR="004E0A37" w:rsidRPr="004E0A37">
        <w:rPr>
          <w:rFonts w:hint="cs"/>
          <w:rtl/>
        </w:rPr>
        <w:tab/>
      </w:r>
      <w:r w:rsidR="004E0A37" w:rsidRPr="004E0A37">
        <w:rPr>
          <w:rtl/>
        </w:rPr>
        <w:t>مقدمة</w:t>
      </w:r>
    </w:p>
    <w:p w:rsidR="004E0A37" w:rsidRPr="00E34C33" w:rsidRDefault="004E0A37" w:rsidP="004E0A37">
      <w:pPr>
        <w:pStyle w:val="SingleTxtGA"/>
        <w:jc w:val="lowKashida"/>
        <w:rPr>
          <w:spacing w:val="-2"/>
          <w:sz w:val="20"/>
          <w:rtl/>
        </w:rPr>
      </w:pPr>
      <w:r w:rsidRPr="00E34C33">
        <w:rPr>
          <w:rFonts w:hint="cs"/>
          <w:spacing w:val="-2"/>
          <w:sz w:val="20"/>
          <w:rtl/>
        </w:rPr>
        <w:t>(</w:t>
      </w:r>
      <w:r w:rsidRPr="00E34C33">
        <w:rPr>
          <w:spacing w:val="-2"/>
          <w:sz w:val="20"/>
          <w:rtl/>
        </w:rPr>
        <w:t>2</w:t>
      </w:r>
      <w:r w:rsidR="003E72B5" w:rsidRPr="00E34C33">
        <w:rPr>
          <w:rFonts w:hint="cs"/>
          <w:spacing w:val="-2"/>
          <w:sz w:val="20"/>
          <w:rtl/>
        </w:rPr>
        <w:t>)</w:t>
      </w:r>
      <w:r w:rsidR="003E72B5" w:rsidRPr="00E34C33">
        <w:rPr>
          <w:rFonts w:hint="cs"/>
          <w:spacing w:val="-2"/>
          <w:sz w:val="20"/>
          <w:rtl/>
        </w:rPr>
        <w:tab/>
      </w:r>
      <w:r w:rsidRPr="00E34C33">
        <w:rPr>
          <w:spacing w:val="-2"/>
          <w:sz w:val="20"/>
          <w:rtl/>
        </w:rPr>
        <w:t xml:space="preserve">ترحب اللجنة بتقديم باراغواي تقريرها الجامع لتقاريرها الدورية الرابع والخامس </w:t>
      </w:r>
      <w:r w:rsidRPr="00E34C33">
        <w:rPr>
          <w:rFonts w:hint="cs"/>
          <w:spacing w:val="-2"/>
          <w:sz w:val="20"/>
          <w:rtl/>
        </w:rPr>
        <w:t>والسادس</w:t>
      </w:r>
      <w:r w:rsidRPr="00E34C33">
        <w:rPr>
          <w:spacing w:val="-2"/>
          <w:sz w:val="20"/>
          <w:rtl/>
        </w:rPr>
        <w:t xml:space="preserve"> ردا</w:t>
      </w:r>
      <w:r w:rsidRPr="00E34C33">
        <w:rPr>
          <w:rFonts w:hint="cs"/>
          <w:spacing w:val="-2"/>
          <w:sz w:val="20"/>
          <w:rtl/>
        </w:rPr>
        <w:t>ً</w:t>
      </w:r>
      <w:r w:rsidRPr="00E34C33">
        <w:rPr>
          <w:spacing w:val="-2"/>
          <w:sz w:val="20"/>
          <w:rtl/>
        </w:rPr>
        <w:t xml:space="preserve"> على قائمة المسائل المحالة إليها قبل تقديم التقارير (</w:t>
      </w:r>
      <w:r w:rsidRPr="00E34C33">
        <w:rPr>
          <w:spacing w:val="-2"/>
          <w:sz w:val="20"/>
        </w:rPr>
        <w:t>CAT/C/PRY/Q/4-6</w:t>
      </w:r>
      <w:r w:rsidRPr="00E34C33">
        <w:rPr>
          <w:spacing w:val="-2"/>
          <w:sz w:val="20"/>
          <w:rtl/>
        </w:rPr>
        <w:t xml:space="preserve">). وتعرب اللجنة عن تقديرها للدولة الطرف على قبولها الإجراء الجديد لتقديم التقارير الدورية الذي يسهل التعاون بين الدولة الطرف واللجنة ويركز النظر في التقرير وكذا الحوار مع الوفد. </w:t>
      </w:r>
    </w:p>
    <w:p w:rsidR="004E0A37" w:rsidRPr="004E0A37" w:rsidRDefault="005225BF" w:rsidP="004E0A37">
      <w:pPr>
        <w:pStyle w:val="SingleTxtGA"/>
        <w:jc w:val="lowKashida"/>
        <w:rPr>
          <w:spacing w:val="0"/>
          <w:sz w:val="20"/>
          <w:rtl/>
        </w:rPr>
      </w:pPr>
      <w:r>
        <w:rPr>
          <w:rFonts w:hint="cs"/>
          <w:spacing w:val="0"/>
          <w:sz w:val="20"/>
          <w:rtl/>
        </w:rPr>
        <w:t>(</w:t>
      </w:r>
      <w:r w:rsidR="004E0A37" w:rsidRPr="004E0A37">
        <w:rPr>
          <w:spacing w:val="0"/>
          <w:sz w:val="20"/>
          <w:rtl/>
        </w:rPr>
        <w:t>3</w:t>
      </w:r>
      <w:r w:rsidR="003E72B5">
        <w:rPr>
          <w:spacing w:val="0"/>
          <w:sz w:val="20"/>
          <w:rtl/>
        </w:rPr>
        <w:t>)</w:t>
      </w:r>
      <w:r w:rsidR="003E72B5">
        <w:rPr>
          <w:spacing w:val="0"/>
          <w:sz w:val="20"/>
          <w:rtl/>
        </w:rPr>
        <w:tab/>
      </w:r>
      <w:r w:rsidR="004E0A37" w:rsidRPr="004E0A37">
        <w:rPr>
          <w:spacing w:val="0"/>
          <w:sz w:val="20"/>
          <w:rtl/>
        </w:rPr>
        <w:t>كما تعرب اللجنة عن تقديرها للحوار الصريح والبناء مع وفد الدولة الطرف والمعلومات الإضافية التي قدمها أثناء النظر في التقرير، وإن كانت تعرب عن أسفها لعدم الرد على بعض الأسئلة المطروحة على الدولة الطرف.</w:t>
      </w:r>
    </w:p>
    <w:p w:rsidR="004E0A37" w:rsidRPr="004E0A37" w:rsidRDefault="007223C0" w:rsidP="002E2361">
      <w:pPr>
        <w:pStyle w:val="H23GA"/>
        <w:tabs>
          <w:tab w:val="left" w:pos="1911"/>
        </w:tabs>
        <w:rPr>
          <w:rtl/>
        </w:rPr>
      </w:pPr>
      <w:r>
        <w:rPr>
          <w:rtl/>
        </w:rPr>
        <w:tab/>
      </w:r>
      <w:r>
        <w:rPr>
          <w:rtl/>
        </w:rPr>
        <w:tab/>
        <w:t>باء-</w:t>
      </w:r>
      <w:r w:rsidR="004E0A37" w:rsidRPr="004E0A37">
        <w:rPr>
          <w:rFonts w:hint="cs"/>
          <w:rtl/>
        </w:rPr>
        <w:tab/>
      </w:r>
      <w:r w:rsidR="004E0A37" w:rsidRPr="004E0A37">
        <w:rPr>
          <w:rtl/>
        </w:rPr>
        <w:t>الجوانب الإيجابية</w:t>
      </w:r>
    </w:p>
    <w:p w:rsidR="004E0A37" w:rsidRPr="004E0A37" w:rsidRDefault="004E0A37" w:rsidP="00E34C33">
      <w:pPr>
        <w:pStyle w:val="SingleTxtGA"/>
        <w:spacing w:line="360" w:lineRule="exact"/>
        <w:jc w:val="lowKashida"/>
        <w:rPr>
          <w:rFonts w:hint="cs"/>
          <w:spacing w:val="0"/>
          <w:sz w:val="20"/>
          <w:rtl/>
        </w:rPr>
      </w:pPr>
      <w:r w:rsidRPr="004E0A37">
        <w:rPr>
          <w:rFonts w:hint="cs"/>
          <w:spacing w:val="0"/>
          <w:sz w:val="20"/>
          <w:rtl/>
        </w:rPr>
        <w:t>(</w:t>
      </w:r>
      <w:r w:rsidRPr="004E0A37">
        <w:rPr>
          <w:spacing w:val="0"/>
          <w:sz w:val="20"/>
          <w:rtl/>
        </w:rPr>
        <w:t>4</w:t>
      </w:r>
      <w:r w:rsidR="003E72B5">
        <w:rPr>
          <w:rFonts w:hint="cs"/>
          <w:spacing w:val="0"/>
          <w:sz w:val="20"/>
          <w:rtl/>
        </w:rPr>
        <w:t>)</w:t>
      </w:r>
      <w:r w:rsidR="003E72B5">
        <w:rPr>
          <w:rFonts w:hint="cs"/>
          <w:spacing w:val="0"/>
          <w:sz w:val="20"/>
          <w:rtl/>
        </w:rPr>
        <w:tab/>
      </w:r>
      <w:r w:rsidRPr="004E0A37">
        <w:rPr>
          <w:spacing w:val="0"/>
          <w:sz w:val="20"/>
          <w:rtl/>
        </w:rPr>
        <w:t xml:space="preserve">تشير </w:t>
      </w:r>
      <w:r w:rsidRPr="004E0A37">
        <w:rPr>
          <w:rFonts w:hint="cs"/>
          <w:spacing w:val="0"/>
          <w:sz w:val="20"/>
          <w:rtl/>
        </w:rPr>
        <w:t xml:space="preserve">اللجنة </w:t>
      </w:r>
      <w:r w:rsidRPr="004E0A37">
        <w:rPr>
          <w:spacing w:val="0"/>
          <w:sz w:val="20"/>
          <w:rtl/>
        </w:rPr>
        <w:t xml:space="preserve">بارتياح إلى أن الدولة الطرف قد عمدت، منذ النظر في تقريرها الدوري الثالث، إلى التصديق </w:t>
      </w:r>
      <w:r w:rsidRPr="004E0A37">
        <w:rPr>
          <w:rFonts w:hint="cs"/>
          <w:spacing w:val="0"/>
          <w:sz w:val="20"/>
          <w:rtl/>
        </w:rPr>
        <w:t xml:space="preserve">على </w:t>
      </w:r>
      <w:r w:rsidRPr="004E0A37">
        <w:rPr>
          <w:spacing w:val="0"/>
          <w:sz w:val="20"/>
          <w:rtl/>
        </w:rPr>
        <w:t>الصكوك الدولية التالية</w:t>
      </w:r>
      <w:r w:rsidRPr="004E0A37">
        <w:rPr>
          <w:rFonts w:hint="cs"/>
          <w:spacing w:val="0"/>
          <w:sz w:val="20"/>
          <w:rtl/>
        </w:rPr>
        <w:t xml:space="preserve"> </w:t>
      </w:r>
      <w:r w:rsidRPr="004E0A37">
        <w:rPr>
          <w:spacing w:val="0"/>
          <w:sz w:val="20"/>
          <w:rtl/>
        </w:rPr>
        <w:t>أو الانضمام إل</w:t>
      </w:r>
      <w:r w:rsidRPr="004E0A37">
        <w:rPr>
          <w:rFonts w:hint="cs"/>
          <w:spacing w:val="0"/>
          <w:sz w:val="20"/>
          <w:rtl/>
        </w:rPr>
        <w:t>يها</w:t>
      </w:r>
      <w:r w:rsidRPr="004E0A37">
        <w:rPr>
          <w:spacing w:val="0"/>
          <w:sz w:val="20"/>
          <w:rtl/>
        </w:rPr>
        <w:t>:</w:t>
      </w:r>
    </w:p>
    <w:p w:rsidR="004E0A37" w:rsidRPr="004E0A37" w:rsidRDefault="004E0A37" w:rsidP="002E2361">
      <w:pPr>
        <w:pStyle w:val="SingleTxtGA"/>
        <w:spacing w:after="60" w:line="360" w:lineRule="exact"/>
        <w:jc w:val="lowKashida"/>
        <w:rPr>
          <w:spacing w:val="0"/>
          <w:sz w:val="20"/>
          <w:rtl/>
        </w:rPr>
      </w:pPr>
      <w:r w:rsidRPr="004E0A37">
        <w:rPr>
          <w:rFonts w:hint="cs"/>
          <w:spacing w:val="0"/>
          <w:sz w:val="20"/>
          <w:rtl/>
        </w:rPr>
        <w:tab/>
      </w:r>
      <w:r w:rsidRPr="004E0A37">
        <w:rPr>
          <w:spacing w:val="0"/>
          <w:sz w:val="20"/>
          <w:rtl/>
        </w:rPr>
        <w:t>(أ)</w:t>
      </w:r>
      <w:r w:rsidRPr="004E0A37">
        <w:rPr>
          <w:spacing w:val="0"/>
          <w:sz w:val="20"/>
          <w:rtl/>
        </w:rPr>
        <w:tab/>
        <w:t>البروتوكول الاختياري لاتفاقية القضاء على جميع أشكال التمييز ضد المرأة (14 أيار/مايو 2001)؛</w:t>
      </w:r>
    </w:p>
    <w:p w:rsidR="004E0A37" w:rsidRPr="004E0A37" w:rsidRDefault="004E0A37" w:rsidP="002E2361">
      <w:pPr>
        <w:pStyle w:val="SingleTxtGA"/>
        <w:spacing w:after="60" w:line="360" w:lineRule="exact"/>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نظام روما الأساسي للمحكمة الجنائية الدولية (14 أيار/مايو 2001)؛</w:t>
      </w:r>
    </w:p>
    <w:p w:rsidR="004E0A37" w:rsidRPr="00F07223" w:rsidRDefault="004E0A37" w:rsidP="002E2361">
      <w:pPr>
        <w:pStyle w:val="SingleTxtGA"/>
        <w:spacing w:after="60" w:line="360" w:lineRule="exact"/>
        <w:jc w:val="lowKashida"/>
        <w:rPr>
          <w:rFonts w:hint="cs"/>
          <w:rtl/>
        </w:rPr>
      </w:pPr>
      <w:r w:rsidRPr="00F07223">
        <w:rPr>
          <w:rFonts w:hint="cs"/>
          <w:rtl/>
        </w:rPr>
        <w:tab/>
      </w:r>
      <w:r w:rsidRPr="00F07223">
        <w:rPr>
          <w:rtl/>
        </w:rPr>
        <w:t>(ج)</w:t>
      </w:r>
      <w:r w:rsidRPr="00F07223">
        <w:rPr>
          <w:rFonts w:hint="cs"/>
          <w:rtl/>
        </w:rPr>
        <w:tab/>
      </w:r>
      <w:r w:rsidRPr="00F07223">
        <w:rPr>
          <w:rtl/>
        </w:rPr>
        <w:t>اتفاقية منع جريمة الإبادة الجماعية والمعاقبة عليها (3 تشرين الأول/</w:t>
      </w:r>
      <w:r w:rsidR="00F07223">
        <w:rPr>
          <w:rFonts w:hint="cs"/>
          <w:rtl/>
        </w:rPr>
        <w:t xml:space="preserve"> </w:t>
      </w:r>
      <w:r w:rsidRPr="00F07223">
        <w:rPr>
          <w:rtl/>
        </w:rPr>
        <w:t>أكتوبر 2001)؛</w:t>
      </w:r>
    </w:p>
    <w:p w:rsidR="004E0A37" w:rsidRPr="004E0A37" w:rsidRDefault="004E0A37" w:rsidP="002E2361">
      <w:pPr>
        <w:pStyle w:val="SingleTxtGA"/>
        <w:spacing w:after="60" w:line="360" w:lineRule="exact"/>
        <w:jc w:val="lowKashida"/>
        <w:rPr>
          <w:spacing w:val="0"/>
          <w:sz w:val="20"/>
          <w:rtl/>
        </w:rPr>
      </w:pPr>
      <w:r w:rsidRPr="004E0A37">
        <w:rPr>
          <w:rFonts w:hint="cs"/>
          <w:spacing w:val="0"/>
          <w:sz w:val="20"/>
          <w:rtl/>
        </w:rPr>
        <w:tab/>
      </w:r>
      <w:r w:rsidRPr="004E0A37">
        <w:rPr>
          <w:spacing w:val="0"/>
          <w:sz w:val="20"/>
          <w:rtl/>
        </w:rPr>
        <w:t>(د)</w:t>
      </w:r>
      <w:r w:rsidRPr="004E0A37">
        <w:rPr>
          <w:rFonts w:hint="cs"/>
          <w:spacing w:val="0"/>
          <w:sz w:val="20"/>
          <w:rtl/>
        </w:rPr>
        <w:tab/>
      </w:r>
      <w:r w:rsidRPr="004E0A37">
        <w:rPr>
          <w:spacing w:val="0"/>
          <w:sz w:val="20"/>
          <w:rtl/>
        </w:rPr>
        <w:t>البروتوكولان الاختياريان لاتفاقية حقوق الطفل بشأن إشراك الأطفال في النزاعات المسلحة (27 أيلول/سبتمبر 2002) وبشأن بيع الأطفال وبغاء الأطفال واستغلال الأطفال في المواد الإباحية (18 آب/أغسطس 2003)؛</w:t>
      </w:r>
    </w:p>
    <w:p w:rsidR="004E0A37" w:rsidRPr="004E0A37" w:rsidRDefault="004E0A37" w:rsidP="002E2361">
      <w:pPr>
        <w:pStyle w:val="SingleTxtGA"/>
        <w:spacing w:after="60" w:line="360" w:lineRule="exact"/>
        <w:jc w:val="lowKashida"/>
        <w:rPr>
          <w:spacing w:val="0"/>
          <w:sz w:val="20"/>
          <w:rtl/>
        </w:rPr>
      </w:pPr>
      <w:r w:rsidRPr="004E0A37">
        <w:rPr>
          <w:rFonts w:hint="cs"/>
          <w:spacing w:val="0"/>
          <w:sz w:val="20"/>
          <w:rtl/>
        </w:rPr>
        <w:tab/>
      </w:r>
      <w:r w:rsidRPr="004E0A37">
        <w:rPr>
          <w:spacing w:val="0"/>
          <w:sz w:val="20"/>
          <w:rtl/>
        </w:rPr>
        <w:t>(</w:t>
      </w:r>
      <w:r w:rsidRPr="004E0A37">
        <w:rPr>
          <w:rFonts w:hint="cs"/>
          <w:spacing w:val="0"/>
          <w:sz w:val="20"/>
          <w:rtl/>
        </w:rPr>
        <w:t>ﻫ</w:t>
      </w:r>
      <w:r w:rsidRPr="004E0A37">
        <w:rPr>
          <w:spacing w:val="0"/>
          <w:sz w:val="20"/>
          <w:rtl/>
        </w:rPr>
        <w:t>)</w:t>
      </w:r>
      <w:r w:rsidRPr="004E0A37">
        <w:rPr>
          <w:rFonts w:hint="cs"/>
          <w:spacing w:val="0"/>
          <w:sz w:val="20"/>
          <w:rtl/>
        </w:rPr>
        <w:tab/>
      </w:r>
      <w:r w:rsidRPr="004E0A37">
        <w:rPr>
          <w:spacing w:val="0"/>
          <w:sz w:val="20"/>
          <w:rtl/>
        </w:rPr>
        <w:t>البروتوكول الاختياري الثاني الملحق بالعهد الدولي الخاص بالحقوق المدنية والسياسية والهادف إلى إلغاء عقوبة الإعدام (18 آب/أغسطس 2003). وتشير اللجنة بارتياح، في هذا الصدد، إلى أن الدولة الطرف قد ألغت عقوبة الإعدام وتوصيها بأن تلغيها إلغاء صريحا</w:t>
      </w:r>
      <w:r w:rsidRPr="004E0A37">
        <w:rPr>
          <w:rFonts w:hint="cs"/>
          <w:spacing w:val="0"/>
          <w:sz w:val="20"/>
          <w:rtl/>
        </w:rPr>
        <w:t>ً</w:t>
      </w:r>
      <w:r w:rsidRPr="004E0A37">
        <w:rPr>
          <w:spacing w:val="0"/>
          <w:sz w:val="20"/>
          <w:rtl/>
        </w:rPr>
        <w:t xml:space="preserve"> من مجال </w:t>
      </w:r>
      <w:r w:rsidRPr="004E0A37">
        <w:rPr>
          <w:rFonts w:hint="cs"/>
          <w:spacing w:val="0"/>
          <w:sz w:val="20"/>
          <w:rtl/>
        </w:rPr>
        <w:t>القضاء العسكري</w:t>
      </w:r>
      <w:r w:rsidRPr="004E0A37">
        <w:rPr>
          <w:spacing w:val="0"/>
          <w:sz w:val="20"/>
          <w:rtl/>
        </w:rPr>
        <w:t>؛</w:t>
      </w:r>
    </w:p>
    <w:p w:rsidR="004E0A37" w:rsidRPr="00E34C33" w:rsidRDefault="004E0A37" w:rsidP="002E2361">
      <w:pPr>
        <w:pStyle w:val="SingleTxtGA"/>
        <w:spacing w:after="60"/>
        <w:jc w:val="lowKashida"/>
        <w:rPr>
          <w:spacing w:val="0"/>
          <w:sz w:val="20"/>
          <w:rtl/>
        </w:rPr>
      </w:pPr>
      <w:r w:rsidRPr="00E34C33">
        <w:rPr>
          <w:rFonts w:hint="cs"/>
          <w:spacing w:val="0"/>
          <w:sz w:val="20"/>
          <w:rtl/>
        </w:rPr>
        <w:tab/>
      </w:r>
      <w:r w:rsidRPr="00E34C33">
        <w:rPr>
          <w:spacing w:val="0"/>
          <w:sz w:val="20"/>
          <w:rtl/>
        </w:rPr>
        <w:t>(و)</w:t>
      </w:r>
      <w:r w:rsidRPr="00E34C33">
        <w:rPr>
          <w:rFonts w:hint="cs"/>
          <w:spacing w:val="0"/>
          <w:sz w:val="20"/>
          <w:rtl/>
        </w:rPr>
        <w:tab/>
      </w:r>
      <w:r w:rsidRPr="00E34C33">
        <w:rPr>
          <w:spacing w:val="0"/>
          <w:sz w:val="20"/>
          <w:rtl/>
        </w:rPr>
        <w:t>الاتفاقية الدولية للقضاء على جميع أشكال التمييز العنصري (18 آب/أغسطس 2003)؛</w:t>
      </w:r>
    </w:p>
    <w:p w:rsidR="004E0A37" w:rsidRPr="00E34C33" w:rsidRDefault="004E0A37" w:rsidP="002E2361">
      <w:pPr>
        <w:pStyle w:val="SingleTxtGA"/>
        <w:spacing w:after="60"/>
        <w:jc w:val="lowKashida"/>
        <w:rPr>
          <w:spacing w:val="0"/>
          <w:sz w:val="20"/>
          <w:rtl/>
        </w:rPr>
      </w:pPr>
      <w:r w:rsidRPr="00E34C33">
        <w:rPr>
          <w:rFonts w:hint="cs"/>
          <w:spacing w:val="0"/>
          <w:sz w:val="20"/>
          <w:rtl/>
        </w:rPr>
        <w:tab/>
      </w:r>
      <w:r w:rsidRPr="00E34C33">
        <w:rPr>
          <w:spacing w:val="0"/>
          <w:sz w:val="20"/>
          <w:rtl/>
        </w:rPr>
        <w:t>(ز)</w:t>
      </w:r>
      <w:r w:rsidRPr="00E34C33">
        <w:rPr>
          <w:rFonts w:hint="cs"/>
          <w:spacing w:val="0"/>
          <w:sz w:val="20"/>
          <w:rtl/>
        </w:rPr>
        <w:tab/>
      </w:r>
      <w:r w:rsidRPr="00E34C33">
        <w:rPr>
          <w:spacing w:val="0"/>
          <w:sz w:val="20"/>
          <w:rtl/>
        </w:rPr>
        <w:t xml:space="preserve">اتفاقية الأمم المتحدة لمكافحة الجريمة المنظمة عبر الوطنية والبروتوكول المكمل لها لمنع وقمع الاتجار بالأشخاص والمعاقبة عليه، وبخاصة الاتجار بالنساء والأطفال (22 أيلول/سبتمبر 2004)؛ </w:t>
      </w:r>
    </w:p>
    <w:p w:rsidR="004E0A37" w:rsidRPr="00E34C33" w:rsidRDefault="004E0A37" w:rsidP="002E2361">
      <w:pPr>
        <w:pStyle w:val="SingleTxtGA"/>
        <w:spacing w:after="60"/>
        <w:jc w:val="lowKashida"/>
        <w:rPr>
          <w:spacing w:val="0"/>
          <w:sz w:val="20"/>
          <w:rtl/>
        </w:rPr>
      </w:pPr>
      <w:r w:rsidRPr="00E34C33">
        <w:rPr>
          <w:rFonts w:hint="cs"/>
          <w:spacing w:val="0"/>
          <w:sz w:val="20"/>
          <w:rtl/>
        </w:rPr>
        <w:tab/>
      </w:r>
      <w:r w:rsidRPr="00E34C33">
        <w:rPr>
          <w:spacing w:val="0"/>
          <w:sz w:val="20"/>
          <w:rtl/>
        </w:rPr>
        <w:t>(ح)</w:t>
      </w:r>
      <w:r w:rsidRPr="00E34C33">
        <w:rPr>
          <w:rFonts w:hint="cs"/>
          <w:spacing w:val="0"/>
          <w:sz w:val="20"/>
          <w:rtl/>
        </w:rPr>
        <w:tab/>
      </w:r>
      <w:r w:rsidRPr="00E34C33">
        <w:rPr>
          <w:spacing w:val="0"/>
          <w:sz w:val="20"/>
          <w:rtl/>
        </w:rPr>
        <w:t xml:space="preserve">البروتوكول الاختياري لاتفاقية مناهضة التعذيب وغيره من ضروب المعاملة أو العقوبة القاسية أو اللاإنسانية أو المهينة (2 كانون الأول/ديسمبر 2005)؛ </w:t>
      </w:r>
    </w:p>
    <w:p w:rsidR="004E0A37" w:rsidRPr="00E34C33" w:rsidRDefault="004E0A37" w:rsidP="002E2361">
      <w:pPr>
        <w:pStyle w:val="SingleTxtGA"/>
        <w:spacing w:after="60"/>
        <w:jc w:val="lowKashida"/>
        <w:rPr>
          <w:spacing w:val="0"/>
          <w:sz w:val="20"/>
          <w:rtl/>
        </w:rPr>
      </w:pPr>
      <w:r w:rsidRPr="00E34C33">
        <w:rPr>
          <w:rFonts w:hint="cs"/>
          <w:spacing w:val="0"/>
          <w:sz w:val="20"/>
          <w:rtl/>
        </w:rPr>
        <w:tab/>
      </w:r>
      <w:r w:rsidRPr="00E34C33">
        <w:rPr>
          <w:spacing w:val="0"/>
          <w:sz w:val="20"/>
          <w:rtl/>
        </w:rPr>
        <w:t>(ط)</w:t>
      </w:r>
      <w:r w:rsidRPr="00E34C33">
        <w:rPr>
          <w:rFonts w:hint="cs"/>
          <w:spacing w:val="0"/>
          <w:sz w:val="20"/>
          <w:rtl/>
        </w:rPr>
        <w:tab/>
      </w:r>
      <w:r w:rsidRPr="00E34C33">
        <w:rPr>
          <w:spacing w:val="0"/>
          <w:sz w:val="20"/>
          <w:rtl/>
        </w:rPr>
        <w:t>اتفاقية حقوق الأشخاص ذوي الإعاقة وبروتوكولها الاختياري (3 أيلول/</w:t>
      </w:r>
      <w:r w:rsidR="00F07223" w:rsidRPr="00E34C33">
        <w:rPr>
          <w:rFonts w:hint="cs"/>
          <w:spacing w:val="0"/>
          <w:sz w:val="20"/>
          <w:rtl/>
        </w:rPr>
        <w:t xml:space="preserve"> </w:t>
      </w:r>
      <w:r w:rsidRPr="00E34C33">
        <w:rPr>
          <w:spacing w:val="0"/>
          <w:sz w:val="20"/>
          <w:rtl/>
        </w:rPr>
        <w:t xml:space="preserve">سبتمبر 2008)؛ </w:t>
      </w:r>
    </w:p>
    <w:p w:rsidR="004E0A37" w:rsidRPr="00E34C33" w:rsidRDefault="004E0A37" w:rsidP="002E2361">
      <w:pPr>
        <w:pStyle w:val="SingleTxtGA"/>
        <w:spacing w:after="60"/>
        <w:jc w:val="lowKashida"/>
        <w:rPr>
          <w:spacing w:val="0"/>
          <w:sz w:val="20"/>
          <w:rtl/>
        </w:rPr>
      </w:pPr>
      <w:r w:rsidRPr="00E34C33">
        <w:rPr>
          <w:rFonts w:hint="cs"/>
          <w:spacing w:val="0"/>
          <w:sz w:val="20"/>
          <w:rtl/>
        </w:rPr>
        <w:tab/>
      </w:r>
      <w:r w:rsidRPr="00E34C33">
        <w:rPr>
          <w:spacing w:val="0"/>
          <w:sz w:val="20"/>
          <w:rtl/>
        </w:rPr>
        <w:t>(ي)</w:t>
      </w:r>
      <w:r w:rsidRPr="00E34C33">
        <w:rPr>
          <w:rFonts w:hint="cs"/>
          <w:spacing w:val="0"/>
          <w:sz w:val="20"/>
          <w:rtl/>
        </w:rPr>
        <w:tab/>
      </w:r>
      <w:r w:rsidRPr="00E34C33">
        <w:rPr>
          <w:spacing w:val="0"/>
          <w:sz w:val="20"/>
          <w:rtl/>
        </w:rPr>
        <w:t>الاتفاقية الدولية لحماية حقوق جميع العمال المهاجرين وأفراد أسرهم (23 أيلول/سبتمبر 2008)؛</w:t>
      </w:r>
    </w:p>
    <w:p w:rsidR="004E0A37" w:rsidRPr="00E34C33" w:rsidRDefault="004E0A37" w:rsidP="00F07223">
      <w:pPr>
        <w:pStyle w:val="SingleTxtGA"/>
        <w:jc w:val="lowKashida"/>
        <w:rPr>
          <w:spacing w:val="0"/>
          <w:sz w:val="20"/>
          <w:rtl/>
        </w:rPr>
      </w:pPr>
      <w:r w:rsidRPr="00E34C33">
        <w:rPr>
          <w:rFonts w:hint="cs"/>
          <w:spacing w:val="0"/>
          <w:sz w:val="20"/>
          <w:rtl/>
        </w:rPr>
        <w:tab/>
      </w:r>
      <w:r w:rsidRPr="00E34C33">
        <w:rPr>
          <w:spacing w:val="0"/>
          <w:sz w:val="20"/>
          <w:rtl/>
        </w:rPr>
        <w:t>(ك)</w:t>
      </w:r>
      <w:r w:rsidRPr="00E34C33">
        <w:rPr>
          <w:rFonts w:hint="cs"/>
          <w:spacing w:val="0"/>
          <w:sz w:val="20"/>
          <w:rtl/>
        </w:rPr>
        <w:tab/>
      </w:r>
      <w:r w:rsidRPr="00E34C33">
        <w:rPr>
          <w:spacing w:val="0"/>
          <w:sz w:val="20"/>
          <w:rtl/>
        </w:rPr>
        <w:t>الاتفاقية الدولية لحماية جميع الأشخاص من الاختفاء القسري (3 آب/أغسطس 2010).</w:t>
      </w:r>
    </w:p>
    <w:p w:rsidR="004E0A37" w:rsidRPr="00E34C33" w:rsidRDefault="00BE7198" w:rsidP="00C27637">
      <w:pPr>
        <w:pStyle w:val="SingleTxtGA"/>
        <w:jc w:val="lowKashida"/>
        <w:rPr>
          <w:spacing w:val="0"/>
          <w:rtl/>
        </w:rPr>
      </w:pPr>
      <w:r w:rsidRPr="00E34C33">
        <w:rPr>
          <w:rFonts w:hint="cs"/>
          <w:spacing w:val="0"/>
          <w:rtl/>
        </w:rPr>
        <w:t>(</w:t>
      </w:r>
      <w:r w:rsidR="004E0A37" w:rsidRPr="00E34C33">
        <w:rPr>
          <w:spacing w:val="0"/>
          <w:rtl/>
        </w:rPr>
        <w:t>5</w:t>
      </w:r>
      <w:r w:rsidR="003E72B5" w:rsidRPr="00E34C33">
        <w:rPr>
          <w:spacing w:val="0"/>
          <w:rtl/>
        </w:rPr>
        <w:t>)</w:t>
      </w:r>
      <w:r w:rsidR="003E72B5" w:rsidRPr="00E34C33">
        <w:rPr>
          <w:spacing w:val="0"/>
          <w:rtl/>
        </w:rPr>
        <w:tab/>
      </w:r>
      <w:r w:rsidR="004E0A37" w:rsidRPr="00E34C33">
        <w:rPr>
          <w:spacing w:val="0"/>
          <w:rtl/>
        </w:rPr>
        <w:t>وترحب اللجنة بالزيارتين اللتين قامت بهما اللجنة الفرعية لمنع التعذيب وغيره</w:t>
      </w:r>
      <w:r w:rsidR="00E34C33">
        <w:rPr>
          <w:rFonts w:hint="cs"/>
          <w:spacing w:val="0"/>
          <w:rtl/>
        </w:rPr>
        <w:t xml:space="preserve"> </w:t>
      </w:r>
      <w:r w:rsidR="004E0A37" w:rsidRPr="00E34C33">
        <w:rPr>
          <w:spacing w:val="0"/>
          <w:rtl/>
        </w:rPr>
        <w:t xml:space="preserve">من </w:t>
      </w:r>
      <w:r w:rsidR="004E0A37" w:rsidRPr="00C27637">
        <w:rPr>
          <w:spacing w:val="-6"/>
          <w:rtl/>
        </w:rPr>
        <w:t xml:space="preserve">ضروب </w:t>
      </w:r>
      <w:r w:rsidR="004E0A37" w:rsidRPr="00C27637">
        <w:rPr>
          <w:spacing w:val="-4"/>
          <w:rtl/>
        </w:rPr>
        <w:t>المعاملة أو العقوبة القاسية أو اللاإنسانية</w:t>
      </w:r>
      <w:r w:rsidR="004E0A37" w:rsidRPr="00C27637">
        <w:rPr>
          <w:spacing w:val="-6"/>
          <w:rtl/>
        </w:rPr>
        <w:t xml:space="preserve"> أو المهينة إلى الدولة الطرف في آذار/مارس 2009</w:t>
      </w:r>
      <w:r w:rsidR="004E0A37" w:rsidRPr="00E34C33">
        <w:rPr>
          <w:spacing w:val="0"/>
          <w:rtl/>
        </w:rPr>
        <w:t xml:space="preserve"> وأيلول/سبتمبر 2010 (زيارة المتابعة)، وكذا بسماح الدولة الطرف بنشر تقارير اللجنة الفرعية وبإرسالها ردودا</w:t>
      </w:r>
      <w:r w:rsidR="004E0A37" w:rsidRPr="00E34C33">
        <w:rPr>
          <w:rFonts w:hint="cs"/>
          <w:spacing w:val="0"/>
          <w:rtl/>
        </w:rPr>
        <w:t>ً</w:t>
      </w:r>
      <w:r w:rsidR="004E0A37" w:rsidRPr="00E34C33">
        <w:rPr>
          <w:spacing w:val="0"/>
          <w:rtl/>
        </w:rPr>
        <w:t xml:space="preserve"> كتابية على هذه التقارير.</w:t>
      </w:r>
    </w:p>
    <w:p w:rsidR="004E0A37" w:rsidRPr="00E34C33" w:rsidRDefault="00BE7198" w:rsidP="00F07223">
      <w:pPr>
        <w:pStyle w:val="SingleTxtGA"/>
        <w:jc w:val="lowKashida"/>
        <w:rPr>
          <w:spacing w:val="0"/>
          <w:rtl/>
        </w:rPr>
      </w:pPr>
      <w:r w:rsidRPr="00E34C33">
        <w:rPr>
          <w:rFonts w:hint="cs"/>
          <w:spacing w:val="0"/>
          <w:rtl/>
        </w:rPr>
        <w:t>(</w:t>
      </w:r>
      <w:r w:rsidR="004E0A37" w:rsidRPr="00E34C33">
        <w:rPr>
          <w:spacing w:val="0"/>
          <w:rtl/>
        </w:rPr>
        <w:t>6</w:t>
      </w:r>
      <w:r w:rsidR="003E72B5" w:rsidRPr="00E34C33">
        <w:rPr>
          <w:spacing w:val="0"/>
          <w:rtl/>
        </w:rPr>
        <w:t>)</w:t>
      </w:r>
      <w:r w:rsidR="003E72B5" w:rsidRPr="00E34C33">
        <w:rPr>
          <w:spacing w:val="0"/>
          <w:rtl/>
        </w:rPr>
        <w:tab/>
      </w:r>
      <w:r w:rsidR="004E0A37" w:rsidRPr="00E34C33">
        <w:rPr>
          <w:spacing w:val="0"/>
          <w:rtl/>
        </w:rPr>
        <w:t>وتهنئ اللجنة الدولة الطرف على الإعلان الذي أصدرته في 29 أيار/مايو 2002 والذي تعترف بموجبه باختصاص اللجنة في تسلم بلاغات بموجب المادتين 21 و22 من اتفاقية مناهضة التعذيب.</w:t>
      </w:r>
    </w:p>
    <w:p w:rsidR="004E0A37" w:rsidRPr="00E34C33" w:rsidRDefault="00BE7198" w:rsidP="00F07223">
      <w:pPr>
        <w:pStyle w:val="SingleTxtGA"/>
        <w:jc w:val="lowKashida"/>
        <w:rPr>
          <w:spacing w:val="0"/>
          <w:rtl/>
        </w:rPr>
      </w:pPr>
      <w:r w:rsidRPr="00E34C33">
        <w:rPr>
          <w:rFonts w:hint="cs"/>
          <w:spacing w:val="0"/>
          <w:rtl/>
        </w:rPr>
        <w:t>(</w:t>
      </w:r>
      <w:r w:rsidR="004E0A37" w:rsidRPr="00E34C33">
        <w:rPr>
          <w:spacing w:val="0"/>
          <w:rtl/>
        </w:rPr>
        <w:t>7</w:t>
      </w:r>
      <w:r w:rsidR="003E72B5" w:rsidRPr="00E34C33">
        <w:rPr>
          <w:spacing w:val="0"/>
          <w:rtl/>
        </w:rPr>
        <w:t>)</w:t>
      </w:r>
      <w:r w:rsidR="003E72B5" w:rsidRPr="00E34C33">
        <w:rPr>
          <w:spacing w:val="0"/>
          <w:rtl/>
        </w:rPr>
        <w:tab/>
      </w:r>
      <w:r w:rsidR="004E0A37" w:rsidRPr="00E34C33">
        <w:rPr>
          <w:spacing w:val="0"/>
          <w:rtl/>
        </w:rPr>
        <w:t>وتشير اللجنة بتقدير إلى توجيه الدولة الطرف منذ عام 2003 دعوة دائمة إلى جميع المكلفين بولايات الإجراءات الخاصة لمجلس حقوق الإنسان. واستقبلت باراغواي، منذ النظر في تقريرها الدوري السابق، زيارات لأربعة من مقرري المجلس، من بينهم المقرر الخاص المعني بالتعذيب.</w:t>
      </w:r>
    </w:p>
    <w:p w:rsidR="004E0A37" w:rsidRPr="00E34C33" w:rsidRDefault="00BE7198" w:rsidP="00F07223">
      <w:pPr>
        <w:pStyle w:val="SingleTxtGA"/>
        <w:jc w:val="lowKashida"/>
        <w:rPr>
          <w:spacing w:val="0"/>
          <w:rtl/>
        </w:rPr>
      </w:pPr>
      <w:r w:rsidRPr="00E34C33">
        <w:rPr>
          <w:rFonts w:hint="cs"/>
          <w:spacing w:val="0"/>
          <w:rtl/>
        </w:rPr>
        <w:t>(</w:t>
      </w:r>
      <w:r w:rsidR="004E0A37" w:rsidRPr="00E34C33">
        <w:rPr>
          <w:spacing w:val="0"/>
          <w:rtl/>
        </w:rPr>
        <w:t>8</w:t>
      </w:r>
      <w:r w:rsidR="003E72B5" w:rsidRPr="00E34C33">
        <w:rPr>
          <w:spacing w:val="0"/>
          <w:rtl/>
        </w:rPr>
        <w:t>)</w:t>
      </w:r>
      <w:r w:rsidR="003E72B5" w:rsidRPr="00E34C33">
        <w:rPr>
          <w:spacing w:val="0"/>
          <w:rtl/>
        </w:rPr>
        <w:tab/>
      </w:r>
      <w:r w:rsidR="004E0A37" w:rsidRPr="00E34C33">
        <w:rPr>
          <w:spacing w:val="0"/>
          <w:rtl/>
        </w:rPr>
        <w:t>وتحيط اللجنة</w:t>
      </w:r>
      <w:r w:rsidR="003833F8" w:rsidRPr="00E34C33">
        <w:rPr>
          <w:spacing w:val="0"/>
          <w:rtl/>
        </w:rPr>
        <w:t xml:space="preserve"> علماً </w:t>
      </w:r>
      <w:r w:rsidR="004E0A37" w:rsidRPr="00E34C33">
        <w:rPr>
          <w:spacing w:val="0"/>
          <w:rtl/>
        </w:rPr>
        <w:t>بالجهود التي تبذلها الدولة الطرف من أجل مراجعة تشريعاتها بغية الامتثال لتوصيات اللجنة وتعزيز تنفيذ الاتفاقيات، ومنها ما يلي:</w:t>
      </w:r>
    </w:p>
    <w:p w:rsidR="004E0A37" w:rsidRPr="00E34C33" w:rsidRDefault="004E0A37" w:rsidP="002E2361">
      <w:pPr>
        <w:pStyle w:val="SingleTxtGA"/>
        <w:spacing w:after="60"/>
        <w:jc w:val="lowKashida"/>
        <w:rPr>
          <w:spacing w:val="0"/>
          <w:sz w:val="20"/>
          <w:rtl/>
        </w:rPr>
      </w:pPr>
      <w:r w:rsidRPr="00E34C33">
        <w:rPr>
          <w:spacing w:val="0"/>
          <w:sz w:val="20"/>
          <w:rtl/>
        </w:rPr>
        <w:tab/>
        <w:t>(أ)</w:t>
      </w:r>
      <w:r w:rsidRPr="00E34C33">
        <w:rPr>
          <w:rFonts w:hint="cs"/>
          <w:spacing w:val="0"/>
          <w:sz w:val="20"/>
          <w:rtl/>
        </w:rPr>
        <w:tab/>
      </w:r>
      <w:r w:rsidRPr="00E34C33">
        <w:rPr>
          <w:spacing w:val="0"/>
          <w:sz w:val="20"/>
          <w:rtl/>
        </w:rPr>
        <w:t>الموافقة في 20 نيسان/أبريل 2011 على القانون رقم 4288 المنشئ للآلية الوطنية لمنع التعذيب وغيره من ضروب المعاملة أو العقوبة القاسية أو اللاإنسانية أو المهينة؛</w:t>
      </w:r>
    </w:p>
    <w:p w:rsidR="004E0A37" w:rsidRPr="006D33AD" w:rsidRDefault="004E0A37" w:rsidP="002E2361">
      <w:pPr>
        <w:pStyle w:val="SingleTxtGA"/>
        <w:spacing w:after="60"/>
        <w:jc w:val="lowKashida"/>
        <w:rPr>
          <w:spacing w:val="0"/>
          <w:sz w:val="20"/>
          <w:rtl/>
        </w:rPr>
      </w:pPr>
      <w:r w:rsidRPr="006D33AD">
        <w:rPr>
          <w:rFonts w:hint="cs"/>
          <w:spacing w:val="0"/>
          <w:sz w:val="20"/>
          <w:rtl/>
        </w:rPr>
        <w:tab/>
      </w:r>
      <w:r w:rsidRPr="006D33AD">
        <w:rPr>
          <w:spacing w:val="0"/>
          <w:sz w:val="20"/>
          <w:rtl/>
        </w:rPr>
        <w:t>(ب)</w:t>
      </w:r>
      <w:r w:rsidRPr="006D33AD">
        <w:rPr>
          <w:rFonts w:hint="cs"/>
          <w:spacing w:val="0"/>
          <w:sz w:val="20"/>
          <w:rtl/>
        </w:rPr>
        <w:tab/>
      </w:r>
      <w:r w:rsidRPr="006D33AD">
        <w:rPr>
          <w:spacing w:val="0"/>
          <w:sz w:val="20"/>
          <w:rtl/>
        </w:rPr>
        <w:t>اعتماد القانون الأساسي رقم 4423 المتعلق بهيئة المساعدة القانونية، في</w:t>
      </w:r>
      <w:r w:rsidR="00F07223" w:rsidRPr="006D33AD">
        <w:rPr>
          <w:rFonts w:hint="cs"/>
          <w:spacing w:val="0"/>
          <w:sz w:val="20"/>
          <w:rtl/>
        </w:rPr>
        <w:t> </w:t>
      </w:r>
      <w:r w:rsidRPr="006D33AD">
        <w:rPr>
          <w:spacing w:val="0"/>
          <w:sz w:val="20"/>
          <w:rtl/>
        </w:rPr>
        <w:t>12</w:t>
      </w:r>
      <w:r w:rsidR="00C27637" w:rsidRPr="006D33AD">
        <w:rPr>
          <w:rFonts w:hint="cs"/>
          <w:spacing w:val="0"/>
          <w:sz w:val="20"/>
          <w:rtl/>
        </w:rPr>
        <w:t> </w:t>
      </w:r>
      <w:r w:rsidRPr="006D33AD">
        <w:rPr>
          <w:spacing w:val="0"/>
          <w:sz w:val="20"/>
          <w:rtl/>
        </w:rPr>
        <w:t>تشرين الأول/أكتوبر 2011، والذي يعطي الاستقلالية الوظيفية والمالية لهذه المؤسسة؛</w:t>
      </w:r>
    </w:p>
    <w:p w:rsidR="004E0A37" w:rsidRPr="00E34C33" w:rsidRDefault="004E0A37" w:rsidP="002E2361">
      <w:pPr>
        <w:pStyle w:val="SingleTxtGA"/>
        <w:spacing w:after="60"/>
        <w:jc w:val="lowKashida"/>
        <w:rPr>
          <w:spacing w:val="0"/>
          <w:sz w:val="20"/>
          <w:rtl/>
        </w:rPr>
      </w:pPr>
      <w:r w:rsidRPr="00E34C33">
        <w:rPr>
          <w:rFonts w:hint="cs"/>
          <w:spacing w:val="0"/>
          <w:sz w:val="20"/>
          <w:rtl/>
        </w:rPr>
        <w:tab/>
      </w:r>
      <w:r w:rsidRPr="00E34C33">
        <w:rPr>
          <w:spacing w:val="0"/>
          <w:sz w:val="20"/>
          <w:rtl/>
        </w:rPr>
        <w:t>(ج)</w:t>
      </w:r>
      <w:r w:rsidRPr="00E34C33">
        <w:rPr>
          <w:rFonts w:hint="cs"/>
          <w:spacing w:val="0"/>
          <w:sz w:val="20"/>
          <w:rtl/>
        </w:rPr>
        <w:tab/>
      </w:r>
      <w:r w:rsidRPr="00E34C33">
        <w:rPr>
          <w:spacing w:val="0"/>
          <w:sz w:val="20"/>
          <w:rtl/>
        </w:rPr>
        <w:t xml:space="preserve">الموافقة في 11 آب/أغسطس 2011 على القانون رقم 4381 الذي </w:t>
      </w:r>
      <w:r w:rsidRPr="00E34C33">
        <w:rPr>
          <w:rFonts w:hint="cs"/>
          <w:spacing w:val="0"/>
          <w:sz w:val="20"/>
          <w:rtl/>
        </w:rPr>
        <w:t>يقضي</w:t>
      </w:r>
      <w:r w:rsidRPr="00E34C33">
        <w:rPr>
          <w:spacing w:val="0"/>
          <w:sz w:val="20"/>
          <w:rtl/>
        </w:rPr>
        <w:t xml:space="preserve"> </w:t>
      </w:r>
      <w:r w:rsidRPr="00E34C33">
        <w:rPr>
          <w:rFonts w:hint="cs"/>
          <w:spacing w:val="0"/>
          <w:sz w:val="20"/>
          <w:rtl/>
        </w:rPr>
        <w:t>ب</w:t>
      </w:r>
      <w:r w:rsidRPr="00E34C33">
        <w:rPr>
          <w:spacing w:val="0"/>
          <w:sz w:val="20"/>
          <w:rtl/>
        </w:rPr>
        <w:t>عدم تقادم الحق في طلب التعويض المكفول لضحايا انتهاكات حقوق الإنسان في ظل النظام الدكتاتوري الذي ساد منذ 1954 حتى 19</w:t>
      </w:r>
      <w:r w:rsidR="009318CA">
        <w:rPr>
          <w:rFonts w:hint="cs"/>
          <w:spacing w:val="0"/>
          <w:sz w:val="20"/>
          <w:rtl/>
        </w:rPr>
        <w:t>5</w:t>
      </w:r>
      <w:r w:rsidRPr="00E34C33">
        <w:rPr>
          <w:spacing w:val="0"/>
          <w:sz w:val="20"/>
          <w:rtl/>
        </w:rPr>
        <w:t>9؛ والقانون رقم 3603 لعام 2008 الذي يخول لأبناء الضحايا المطالبة بهذا التعويض؛</w:t>
      </w:r>
    </w:p>
    <w:p w:rsidR="004E0A37" w:rsidRPr="00C27637" w:rsidRDefault="004E0A37" w:rsidP="002E2361">
      <w:pPr>
        <w:pStyle w:val="SingleTxtGA"/>
        <w:spacing w:after="60"/>
        <w:jc w:val="lowKashida"/>
        <w:rPr>
          <w:spacing w:val="-5"/>
          <w:rtl/>
        </w:rPr>
      </w:pPr>
      <w:r w:rsidRPr="00C27637">
        <w:rPr>
          <w:rFonts w:hint="cs"/>
          <w:spacing w:val="-5"/>
          <w:rtl/>
        </w:rPr>
        <w:tab/>
      </w:r>
      <w:r w:rsidRPr="00C27637">
        <w:rPr>
          <w:spacing w:val="-5"/>
          <w:rtl/>
        </w:rPr>
        <w:t>(د)</w:t>
      </w:r>
      <w:r w:rsidRPr="00C27637">
        <w:rPr>
          <w:rFonts w:hint="cs"/>
          <w:spacing w:val="-5"/>
          <w:rtl/>
        </w:rPr>
        <w:tab/>
      </w:r>
      <w:r w:rsidRPr="00C27637">
        <w:rPr>
          <w:spacing w:val="-5"/>
          <w:rtl/>
        </w:rPr>
        <w:t>إنشاء لجنة الحقيقة والعدالة، بموجب القانون رقم 2225 لعام 2003، والمكلفة بالتحقيق في انتهاكات حقوق الإنسان التي ارتكبها الموظفون الحكوميون أو شبه الحكوميين في</w:t>
      </w:r>
      <w:r w:rsidR="00C27637">
        <w:rPr>
          <w:rFonts w:hint="cs"/>
          <w:spacing w:val="-5"/>
          <w:rtl/>
        </w:rPr>
        <w:t> </w:t>
      </w:r>
      <w:r w:rsidRPr="00C27637">
        <w:rPr>
          <w:spacing w:val="-5"/>
          <w:rtl/>
        </w:rPr>
        <w:t>الفترة الممتدة بين 1954 و2003، والتي بدأت العمل الفعلي في آب/أغسطس 2004؛</w:t>
      </w:r>
    </w:p>
    <w:p w:rsidR="004E0A37" w:rsidRPr="00E34C33" w:rsidRDefault="004E0A37" w:rsidP="00F07223">
      <w:pPr>
        <w:pStyle w:val="SingleTxtGA"/>
        <w:jc w:val="lowKashida"/>
        <w:rPr>
          <w:spacing w:val="0"/>
          <w:rtl/>
        </w:rPr>
      </w:pPr>
      <w:r w:rsidRPr="00E34C33">
        <w:rPr>
          <w:rFonts w:hint="cs"/>
          <w:spacing w:val="0"/>
          <w:rtl/>
        </w:rPr>
        <w:tab/>
      </w:r>
      <w:r w:rsidRPr="00E34C33">
        <w:rPr>
          <w:spacing w:val="0"/>
          <w:rtl/>
        </w:rPr>
        <w:t>(</w:t>
      </w:r>
      <w:r w:rsidRPr="00E34C33">
        <w:rPr>
          <w:rFonts w:hint="cs"/>
          <w:spacing w:val="0"/>
          <w:rtl/>
        </w:rPr>
        <w:t>ﻫ</w:t>
      </w:r>
      <w:r w:rsidRPr="00E34C33">
        <w:rPr>
          <w:spacing w:val="0"/>
          <w:rtl/>
        </w:rPr>
        <w:t>)</w:t>
      </w:r>
      <w:r w:rsidRPr="00E34C33">
        <w:rPr>
          <w:rFonts w:hint="cs"/>
          <w:spacing w:val="0"/>
          <w:rtl/>
        </w:rPr>
        <w:tab/>
      </w:r>
      <w:r w:rsidRPr="00E34C33">
        <w:rPr>
          <w:spacing w:val="0"/>
          <w:rtl/>
        </w:rPr>
        <w:t>القرار رقم 195 الصادر في 5 أيار/مايو 2008 عن الغرفة الدستورية لمحكمة العدل العليا الذي يفيد بأن الدعوى الجنائية وكذا العقوبة الجنائية المحكوم بها في جرائم التعذيب غير قابلة للتقادم.</w:t>
      </w:r>
    </w:p>
    <w:p w:rsidR="004E0A37" w:rsidRPr="00E34C33" w:rsidRDefault="00BE7198" w:rsidP="00F07223">
      <w:pPr>
        <w:pStyle w:val="SingleTxtGA"/>
        <w:jc w:val="lowKashida"/>
        <w:rPr>
          <w:spacing w:val="0"/>
          <w:rtl/>
        </w:rPr>
      </w:pPr>
      <w:r w:rsidRPr="00E34C33">
        <w:rPr>
          <w:rFonts w:hint="cs"/>
          <w:spacing w:val="0"/>
          <w:rtl/>
        </w:rPr>
        <w:t>(</w:t>
      </w:r>
      <w:r w:rsidR="004E0A37" w:rsidRPr="00E34C33">
        <w:rPr>
          <w:spacing w:val="0"/>
          <w:rtl/>
        </w:rPr>
        <w:t>9</w:t>
      </w:r>
      <w:r w:rsidR="003E72B5" w:rsidRPr="00E34C33">
        <w:rPr>
          <w:spacing w:val="0"/>
          <w:rtl/>
        </w:rPr>
        <w:t>)</w:t>
      </w:r>
      <w:r w:rsidR="003E72B5" w:rsidRPr="00E34C33">
        <w:rPr>
          <w:spacing w:val="0"/>
          <w:rtl/>
        </w:rPr>
        <w:tab/>
      </w:r>
      <w:r w:rsidR="004E0A37" w:rsidRPr="00E34C33">
        <w:rPr>
          <w:spacing w:val="0"/>
          <w:rtl/>
        </w:rPr>
        <w:t>وتشيد اللجنة أيضاً بالجهود التي بذلتها الدولة الطرف من أجل تغيير سياساتها وإجراءاتها سعيا</w:t>
      </w:r>
      <w:r w:rsidR="004E0A37" w:rsidRPr="00E34C33">
        <w:rPr>
          <w:rFonts w:hint="cs"/>
          <w:spacing w:val="0"/>
          <w:rtl/>
        </w:rPr>
        <w:t>ً</w:t>
      </w:r>
      <w:r w:rsidR="004E0A37" w:rsidRPr="00E34C33">
        <w:rPr>
          <w:spacing w:val="0"/>
          <w:rtl/>
        </w:rPr>
        <w:t xml:space="preserve"> إلى ضمان حماية أفضل لحقوق الإنسان وتنفيذ الاتفاقية، ولا سيما ما يلي:</w:t>
      </w:r>
    </w:p>
    <w:p w:rsidR="004E0A37" w:rsidRPr="00E34C33" w:rsidRDefault="004E0A37" w:rsidP="002E2361">
      <w:pPr>
        <w:pStyle w:val="SingleTxtGA"/>
        <w:spacing w:after="60"/>
        <w:jc w:val="lowKashida"/>
        <w:rPr>
          <w:spacing w:val="0"/>
          <w:rtl/>
        </w:rPr>
      </w:pPr>
      <w:r w:rsidRPr="00E34C33">
        <w:rPr>
          <w:rFonts w:hint="cs"/>
          <w:spacing w:val="0"/>
          <w:rtl/>
        </w:rPr>
        <w:tab/>
      </w:r>
      <w:r w:rsidRPr="00E34C33">
        <w:rPr>
          <w:spacing w:val="0"/>
          <w:rtl/>
        </w:rPr>
        <w:t>(أ)</w:t>
      </w:r>
      <w:r w:rsidRPr="00E34C33">
        <w:rPr>
          <w:rFonts w:hint="cs"/>
          <w:spacing w:val="0"/>
          <w:rtl/>
        </w:rPr>
        <w:tab/>
      </w:r>
      <w:r w:rsidRPr="00E34C33">
        <w:rPr>
          <w:spacing w:val="0"/>
          <w:rtl/>
        </w:rPr>
        <w:t>إنشاء اللجنة الوطنية لإصلاح السجون، بموجب المرسوم رقم 4674 المؤرخ 9 تموز/يوليه 2010، بوصفها منتدى تقنيا</w:t>
      </w:r>
      <w:r w:rsidRPr="00E34C33">
        <w:rPr>
          <w:rFonts w:hint="cs"/>
          <w:spacing w:val="0"/>
          <w:rtl/>
        </w:rPr>
        <w:t>ً</w:t>
      </w:r>
      <w:r w:rsidRPr="00E34C33">
        <w:rPr>
          <w:spacing w:val="0"/>
          <w:rtl/>
        </w:rPr>
        <w:t xml:space="preserve"> للحوار وحشد التأييد لوضع خطة تسعى إلى إعادة صياغة طريقة معاملة الأشخاص المحرومين من الحرية وإدارة السجون؛</w:t>
      </w:r>
    </w:p>
    <w:p w:rsidR="004E0A37" w:rsidRPr="00E34C33" w:rsidRDefault="004E0A37" w:rsidP="002E2361">
      <w:pPr>
        <w:pStyle w:val="SingleTxtGA"/>
        <w:spacing w:after="60"/>
        <w:jc w:val="lowKashida"/>
        <w:rPr>
          <w:spacing w:val="0"/>
          <w:rtl/>
        </w:rPr>
      </w:pPr>
      <w:r w:rsidRPr="00E34C33">
        <w:rPr>
          <w:rFonts w:hint="cs"/>
          <w:spacing w:val="0"/>
          <w:rtl/>
        </w:rPr>
        <w:tab/>
      </w:r>
      <w:r w:rsidRPr="00E34C33">
        <w:rPr>
          <w:spacing w:val="0"/>
          <w:rtl/>
        </w:rPr>
        <w:t>(ب)</w:t>
      </w:r>
      <w:r w:rsidRPr="00E34C33">
        <w:rPr>
          <w:rFonts w:hint="cs"/>
          <w:spacing w:val="0"/>
          <w:rtl/>
        </w:rPr>
        <w:tab/>
      </w:r>
      <w:r w:rsidRPr="00E34C33">
        <w:rPr>
          <w:spacing w:val="0"/>
          <w:rtl/>
        </w:rPr>
        <w:t>إنشاء شبكة حقوق الإنسان التابعة للسلطة التنفيذية، بموجب المرسوم رقم</w:t>
      </w:r>
      <w:r w:rsidR="00F07223" w:rsidRPr="00E34C33">
        <w:rPr>
          <w:rFonts w:hint="cs"/>
          <w:spacing w:val="0"/>
          <w:rtl/>
        </w:rPr>
        <w:t> </w:t>
      </w:r>
      <w:r w:rsidRPr="00E34C33">
        <w:rPr>
          <w:spacing w:val="0"/>
          <w:rtl/>
        </w:rPr>
        <w:t>2290 لعام 2009، بهدف تنسيق سياسات وخطط وبرامج حقوق الإنسان؛</w:t>
      </w:r>
    </w:p>
    <w:p w:rsidR="004E0A37" w:rsidRPr="00E34C33" w:rsidRDefault="004E0A37" w:rsidP="002E2361">
      <w:pPr>
        <w:pStyle w:val="SingleTxtGA"/>
        <w:spacing w:after="60"/>
        <w:jc w:val="lowKashida"/>
        <w:rPr>
          <w:spacing w:val="0"/>
          <w:rtl/>
        </w:rPr>
      </w:pPr>
      <w:r w:rsidRPr="00E34C33">
        <w:rPr>
          <w:spacing w:val="0"/>
          <w:rtl/>
        </w:rPr>
        <w:tab/>
        <w:t>(ج)</w:t>
      </w:r>
      <w:r w:rsidRPr="00E34C33">
        <w:rPr>
          <w:rFonts w:hint="cs"/>
          <w:spacing w:val="0"/>
          <w:rtl/>
        </w:rPr>
        <w:tab/>
      </w:r>
      <w:r w:rsidRPr="00E34C33">
        <w:rPr>
          <w:spacing w:val="0"/>
          <w:rtl/>
        </w:rPr>
        <w:t>القيام في آب/أغسطس 2008 بنشر التقرير النهائي "لن يتكرر هذا أبدا</w:t>
      </w:r>
      <w:r w:rsidRPr="00E34C33">
        <w:rPr>
          <w:rFonts w:hint="cs"/>
          <w:spacing w:val="0"/>
          <w:rtl/>
        </w:rPr>
        <w:t>ً</w:t>
      </w:r>
      <w:r w:rsidRPr="00E34C33">
        <w:rPr>
          <w:spacing w:val="0"/>
          <w:rtl/>
        </w:rPr>
        <w:t>" (</w:t>
      </w:r>
      <w:r w:rsidRPr="00E34C33">
        <w:rPr>
          <w:spacing w:val="0"/>
        </w:rPr>
        <w:t>Anive Haguã Oiko</w:t>
      </w:r>
      <w:r w:rsidRPr="00E34C33">
        <w:rPr>
          <w:spacing w:val="0"/>
          <w:rtl/>
        </w:rPr>
        <w:t>) للجنة الحقيقة والعدالة مع نتائج تحقيقاتها في الانتهاكات الجسيمة لحقوق الإنسان التي عرفتها باراغواي خلال الفترة الممتدة بين 1954 و2003؛</w:t>
      </w:r>
    </w:p>
    <w:p w:rsidR="004E0A37" w:rsidRPr="00E34C33" w:rsidRDefault="004E0A37" w:rsidP="002E2361">
      <w:pPr>
        <w:pStyle w:val="SingleTxtGA"/>
        <w:spacing w:after="60"/>
        <w:jc w:val="lowKashida"/>
        <w:rPr>
          <w:spacing w:val="0"/>
          <w:rtl/>
        </w:rPr>
      </w:pPr>
      <w:r w:rsidRPr="00E34C33">
        <w:rPr>
          <w:rFonts w:hint="cs"/>
          <w:spacing w:val="0"/>
          <w:rtl/>
        </w:rPr>
        <w:tab/>
      </w:r>
      <w:r w:rsidRPr="00E34C33">
        <w:rPr>
          <w:spacing w:val="0"/>
          <w:rtl/>
        </w:rPr>
        <w:t>(د)</w:t>
      </w:r>
      <w:r w:rsidRPr="00E34C33">
        <w:rPr>
          <w:rFonts w:hint="cs"/>
          <w:spacing w:val="0"/>
          <w:rtl/>
        </w:rPr>
        <w:tab/>
      </w:r>
      <w:r w:rsidRPr="00E34C33">
        <w:rPr>
          <w:spacing w:val="0"/>
          <w:rtl/>
        </w:rPr>
        <w:t>إنشاء اللجنة المشتركة بين المؤسسات لمنع ومكافحة الاتجار بالأشخاص في جمهورية باراغواي، بموجب المرسوم رقم 5093 لعام 2005، المكلفة بوضع السياسات العامة بشأن هذا الموضوع؛</w:t>
      </w:r>
    </w:p>
    <w:p w:rsidR="004E0A37" w:rsidRPr="00E34C33" w:rsidRDefault="004E0A37" w:rsidP="002E2361">
      <w:pPr>
        <w:pStyle w:val="SingleTxtGA"/>
        <w:spacing w:after="60"/>
        <w:jc w:val="lowKashida"/>
        <w:rPr>
          <w:spacing w:val="0"/>
          <w:rtl/>
        </w:rPr>
      </w:pPr>
      <w:r w:rsidRPr="00E34C33">
        <w:rPr>
          <w:rFonts w:hint="cs"/>
          <w:spacing w:val="0"/>
          <w:rtl/>
        </w:rPr>
        <w:tab/>
      </w:r>
      <w:r w:rsidRPr="00E34C33">
        <w:rPr>
          <w:spacing w:val="0"/>
          <w:rtl/>
        </w:rPr>
        <w:t>(</w:t>
      </w:r>
      <w:r w:rsidRPr="00E34C33">
        <w:rPr>
          <w:rFonts w:hint="cs"/>
          <w:spacing w:val="0"/>
          <w:rtl/>
        </w:rPr>
        <w:t>ﻫ</w:t>
      </w:r>
      <w:r w:rsidRPr="00E34C33">
        <w:rPr>
          <w:spacing w:val="0"/>
          <w:rtl/>
        </w:rPr>
        <w:t>)</w:t>
      </w:r>
      <w:r w:rsidRPr="00E34C33">
        <w:rPr>
          <w:rFonts w:hint="cs"/>
          <w:spacing w:val="0"/>
          <w:rtl/>
        </w:rPr>
        <w:tab/>
      </w:r>
      <w:r w:rsidRPr="00E34C33">
        <w:rPr>
          <w:spacing w:val="0"/>
          <w:rtl/>
        </w:rPr>
        <w:t xml:space="preserve">تعيين أمين للمظالم، بموجب قرار </w:t>
      </w:r>
      <w:r w:rsidRPr="00E34C33">
        <w:rPr>
          <w:rFonts w:hint="cs"/>
          <w:spacing w:val="0"/>
          <w:rtl/>
        </w:rPr>
        <w:t xml:space="preserve">مجلس النواب </w:t>
      </w:r>
      <w:r w:rsidRPr="00E34C33">
        <w:rPr>
          <w:spacing w:val="0"/>
          <w:rtl/>
        </w:rPr>
        <w:t>رقم 768 في تشرين الأول/أكتوبر 2001، يتوفر ديوانه</w:t>
      </w:r>
      <w:r w:rsidR="003549AC">
        <w:rPr>
          <w:spacing w:val="0"/>
          <w:rtl/>
        </w:rPr>
        <w:t xml:space="preserve"> حالياً </w:t>
      </w:r>
      <w:r w:rsidRPr="00E34C33">
        <w:rPr>
          <w:spacing w:val="0"/>
          <w:rtl/>
        </w:rPr>
        <w:t>على مندوبيات في مختلف مدن باراغواي؛</w:t>
      </w:r>
    </w:p>
    <w:p w:rsidR="004E0A37" w:rsidRPr="00E34C33" w:rsidRDefault="004E0A37" w:rsidP="00F07223">
      <w:pPr>
        <w:pStyle w:val="SingleTxtGA"/>
        <w:jc w:val="lowKashida"/>
        <w:rPr>
          <w:spacing w:val="0"/>
          <w:rtl/>
        </w:rPr>
      </w:pPr>
      <w:r w:rsidRPr="00E34C33">
        <w:rPr>
          <w:rFonts w:hint="cs"/>
          <w:spacing w:val="0"/>
          <w:rtl/>
        </w:rPr>
        <w:tab/>
      </w:r>
      <w:r w:rsidRPr="00E34C33">
        <w:rPr>
          <w:spacing w:val="0"/>
          <w:rtl/>
        </w:rPr>
        <w:t>(و)</w:t>
      </w:r>
      <w:r w:rsidRPr="00E34C33">
        <w:rPr>
          <w:rFonts w:hint="cs"/>
          <w:spacing w:val="0"/>
          <w:rtl/>
        </w:rPr>
        <w:tab/>
      </w:r>
      <w:r w:rsidRPr="00E34C33">
        <w:rPr>
          <w:spacing w:val="0"/>
          <w:rtl/>
        </w:rPr>
        <w:t>وضع خطة عمل وطنية لحقوق الإنسان بمبادرة من الدولة الطرف، عبر عملية تشاركية.</w:t>
      </w:r>
    </w:p>
    <w:p w:rsidR="004E0A37" w:rsidRPr="004E0A37" w:rsidRDefault="007223C0" w:rsidP="002E2361">
      <w:pPr>
        <w:pStyle w:val="H23GA"/>
        <w:tabs>
          <w:tab w:val="left" w:pos="1953"/>
        </w:tabs>
        <w:rPr>
          <w:rtl/>
        </w:rPr>
      </w:pPr>
      <w:r>
        <w:rPr>
          <w:rtl/>
        </w:rPr>
        <w:tab/>
      </w:r>
      <w:r>
        <w:rPr>
          <w:rtl/>
        </w:rPr>
        <w:tab/>
        <w:t>جيم-</w:t>
      </w:r>
      <w:r w:rsidR="004E0A37" w:rsidRPr="004E0A37">
        <w:rPr>
          <w:rFonts w:hint="cs"/>
          <w:rtl/>
        </w:rPr>
        <w:tab/>
      </w:r>
      <w:r w:rsidR="004E0A37" w:rsidRPr="004E0A37">
        <w:rPr>
          <w:rtl/>
        </w:rPr>
        <w:t xml:space="preserve">دواعي القلق الرئيسية والتوصيات </w:t>
      </w:r>
    </w:p>
    <w:p w:rsidR="004E0A37" w:rsidRPr="004E0A37" w:rsidRDefault="004E0A37" w:rsidP="006D33AD">
      <w:pPr>
        <w:pStyle w:val="H23GA"/>
        <w:rPr>
          <w:rtl/>
        </w:rPr>
      </w:pPr>
      <w:r w:rsidRPr="004E0A37">
        <w:rPr>
          <w:rtl/>
        </w:rPr>
        <w:tab/>
      </w:r>
      <w:r w:rsidRPr="004E0A37">
        <w:rPr>
          <w:rtl/>
        </w:rPr>
        <w:tab/>
        <w:t>تعريف جريمة التعذيب</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10</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بوجود مشروع قانون لتعديل التوصيف الجنائي الحالي للتعذيب. بيد أن اللجنة تأسف لعدم تصنيف قانون عقوبات الدولة الطرف </w:t>
      </w:r>
      <w:r w:rsidR="004E0A37" w:rsidRPr="004E0A37">
        <w:rPr>
          <w:rFonts w:hint="cs"/>
          <w:spacing w:val="0"/>
          <w:sz w:val="20"/>
          <w:rtl/>
        </w:rPr>
        <w:t>لجريمة التعذيب</w:t>
      </w:r>
      <w:r w:rsidR="00B345DB">
        <w:rPr>
          <w:rFonts w:hint="cs"/>
          <w:spacing w:val="0"/>
          <w:sz w:val="20"/>
          <w:rtl/>
        </w:rPr>
        <w:t xml:space="preserve"> وفقاً </w:t>
      </w:r>
      <w:r w:rsidR="004E0A37" w:rsidRPr="004E0A37">
        <w:rPr>
          <w:rFonts w:hint="cs"/>
          <w:spacing w:val="0"/>
          <w:sz w:val="20"/>
          <w:rtl/>
        </w:rPr>
        <w:t xml:space="preserve">لتعريفها الوارد </w:t>
      </w:r>
      <w:r w:rsidR="004E0A37" w:rsidRPr="004E0A37">
        <w:rPr>
          <w:spacing w:val="0"/>
          <w:sz w:val="20"/>
          <w:rtl/>
        </w:rPr>
        <w:t xml:space="preserve">في المادة 1 من الاتفاقية، بالرغم من التوصيات السابقة للجنة ولمختلف آليات حقوق الإنسان الإقليمية والدولية (المادتان 1 و4). </w:t>
      </w:r>
    </w:p>
    <w:p w:rsidR="004E0A37" w:rsidRPr="006D33AD" w:rsidRDefault="004E0A37" w:rsidP="009318CA">
      <w:pPr>
        <w:pStyle w:val="SingleTxtGA"/>
        <w:jc w:val="lowKashida"/>
        <w:rPr>
          <w:b/>
          <w:bCs/>
          <w:spacing w:val="0"/>
          <w:sz w:val="20"/>
          <w:rtl/>
        </w:rPr>
      </w:pPr>
      <w:r w:rsidRPr="006D33AD">
        <w:rPr>
          <w:rFonts w:hint="cs"/>
          <w:b/>
          <w:bCs/>
          <w:spacing w:val="0"/>
          <w:sz w:val="20"/>
          <w:rtl/>
        </w:rPr>
        <w:tab/>
      </w:r>
      <w:r w:rsidRPr="006D33AD">
        <w:rPr>
          <w:b/>
          <w:bCs/>
          <w:spacing w:val="0"/>
          <w:sz w:val="20"/>
          <w:rtl/>
        </w:rPr>
        <w:t>تكرر اللجنة توصيتها السابقة (</w:t>
      </w:r>
      <w:r w:rsidRPr="006D33AD">
        <w:rPr>
          <w:b/>
          <w:bCs/>
          <w:spacing w:val="0"/>
          <w:sz w:val="20"/>
        </w:rPr>
        <w:t>A/55/44</w:t>
      </w:r>
      <w:r w:rsidRPr="006D33AD">
        <w:rPr>
          <w:b/>
          <w:bCs/>
          <w:spacing w:val="0"/>
          <w:sz w:val="20"/>
          <w:rtl/>
        </w:rPr>
        <w:t>، الفقرة 151) بأن تعتمد الدولة الطرف تعريفاً للتعذيب يشمل جميع العناصر الواردة في المادة 1 من الاتفاقية. كما ينبغي لها أن</w:t>
      </w:r>
      <w:r w:rsidR="009318CA">
        <w:rPr>
          <w:rFonts w:hint="cs"/>
          <w:b/>
          <w:bCs/>
          <w:spacing w:val="0"/>
          <w:sz w:val="20"/>
          <w:rtl/>
        </w:rPr>
        <w:t> </w:t>
      </w:r>
      <w:r w:rsidRPr="006D33AD">
        <w:rPr>
          <w:b/>
          <w:bCs/>
          <w:spacing w:val="0"/>
          <w:sz w:val="20"/>
          <w:rtl/>
        </w:rPr>
        <w:t>تكفل فرض عقوبات ملائمة على هذه الجرائم تأخذ في الحسبان مدى خطورتها، حسبما ورد في الفقرة 2 من المادة 4 من الاتفاقية.</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الضمانات الإجرائية الأساسية</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11</w:t>
      </w:r>
      <w:r w:rsidR="003E72B5">
        <w:rPr>
          <w:spacing w:val="0"/>
          <w:sz w:val="20"/>
          <w:rtl/>
        </w:rPr>
        <w:t>)</w:t>
      </w:r>
      <w:r w:rsidR="003E72B5">
        <w:rPr>
          <w:spacing w:val="0"/>
          <w:sz w:val="20"/>
          <w:rtl/>
        </w:rPr>
        <w:tab/>
      </w:r>
      <w:r w:rsidR="004E0A37" w:rsidRPr="004E0A37">
        <w:rPr>
          <w:spacing w:val="0"/>
          <w:sz w:val="20"/>
          <w:rtl/>
        </w:rPr>
        <w:t>يساور اللجنة القلق من عدم الإعمال الفعلي للعديد من حقوق الإنسان المكفولة للأشخاص المحرومين من الحرية، بمن فيهم القصَّر، المنصوص عليها في تشريعات باراغواي. وتعرب اللجنة عن قلقها على نحو خاص من عدم وجود آليات تسمح بإعمال حقوق الأشخاص المحرومين من الحرية في المساعدة القانونية منذ اللحظة الأولى للاحتجاز وفي الفحوصات الطبية المستقلة وفي إبلاغ قريب للمحتجز أو شخص محل ثقته باحتجازه وفي إطلاعه على حقوقه وأسباب اعتقاله لحظة احتجازه. و</w:t>
      </w:r>
      <w:r w:rsidR="00F96B1E">
        <w:rPr>
          <w:spacing w:val="0"/>
          <w:sz w:val="20"/>
          <w:rtl/>
        </w:rPr>
        <w:t>فيما </w:t>
      </w:r>
      <w:r w:rsidR="004E0A37" w:rsidRPr="004E0A37">
        <w:rPr>
          <w:spacing w:val="0"/>
          <w:sz w:val="20"/>
          <w:rtl/>
        </w:rPr>
        <w:t xml:space="preserve">يتعلق بالحق في المثول أمام القضاء، تشير اللجنة بقلق إلى المعلومات الواردة </w:t>
      </w:r>
      <w:r w:rsidR="004E0A37" w:rsidRPr="004E0A37">
        <w:rPr>
          <w:rFonts w:hint="cs"/>
          <w:spacing w:val="0"/>
          <w:sz w:val="20"/>
          <w:rtl/>
        </w:rPr>
        <w:t>إ</w:t>
      </w:r>
      <w:r w:rsidR="004E0A37" w:rsidRPr="004E0A37">
        <w:rPr>
          <w:spacing w:val="0"/>
          <w:sz w:val="20"/>
          <w:rtl/>
        </w:rPr>
        <w:t xml:space="preserve">ليها </w:t>
      </w:r>
      <w:r w:rsidR="004E0A37" w:rsidRPr="004E0A37">
        <w:rPr>
          <w:rFonts w:hint="cs"/>
          <w:spacing w:val="0"/>
          <w:sz w:val="20"/>
          <w:rtl/>
        </w:rPr>
        <w:t>و</w:t>
      </w:r>
      <w:r w:rsidR="004E0A37" w:rsidRPr="004E0A37">
        <w:rPr>
          <w:spacing w:val="0"/>
          <w:sz w:val="20"/>
          <w:rtl/>
        </w:rPr>
        <w:t xml:space="preserve">تفيد </w:t>
      </w:r>
      <w:r w:rsidR="004E0A37" w:rsidRPr="004E0A37">
        <w:rPr>
          <w:rFonts w:hint="cs"/>
          <w:spacing w:val="0"/>
          <w:sz w:val="20"/>
          <w:rtl/>
        </w:rPr>
        <w:t>ب</w:t>
      </w:r>
      <w:r w:rsidR="004E0A37" w:rsidRPr="004E0A37">
        <w:rPr>
          <w:spacing w:val="0"/>
          <w:sz w:val="20"/>
          <w:rtl/>
        </w:rPr>
        <w:t xml:space="preserve">أن الإجراء المذكور قد يتطلب </w:t>
      </w:r>
      <w:r w:rsidR="004E0A37" w:rsidRPr="004E0A37">
        <w:rPr>
          <w:rFonts w:hint="cs"/>
          <w:spacing w:val="0"/>
          <w:sz w:val="20"/>
          <w:rtl/>
        </w:rPr>
        <w:t>البتّ فيه</w:t>
      </w:r>
      <w:r w:rsidR="004E0A37" w:rsidRPr="004E0A37">
        <w:rPr>
          <w:spacing w:val="0"/>
          <w:sz w:val="20"/>
          <w:rtl/>
        </w:rPr>
        <w:t xml:space="preserve"> 30 يوما</w:t>
      </w:r>
      <w:r w:rsidR="004E0A37" w:rsidRPr="004E0A37">
        <w:rPr>
          <w:rFonts w:hint="cs"/>
          <w:spacing w:val="0"/>
          <w:sz w:val="20"/>
          <w:rtl/>
        </w:rPr>
        <w:t>ً</w:t>
      </w:r>
      <w:r w:rsidR="004E0A37" w:rsidRPr="004E0A37">
        <w:rPr>
          <w:spacing w:val="0"/>
          <w:sz w:val="20"/>
          <w:rtl/>
        </w:rPr>
        <w:t>. و</w:t>
      </w:r>
      <w:r w:rsidR="00F96B1E">
        <w:rPr>
          <w:spacing w:val="0"/>
          <w:sz w:val="20"/>
          <w:rtl/>
        </w:rPr>
        <w:t>فيما </w:t>
      </w:r>
      <w:r w:rsidR="004E0A37" w:rsidRPr="004E0A37">
        <w:rPr>
          <w:spacing w:val="0"/>
          <w:sz w:val="20"/>
          <w:rtl/>
        </w:rPr>
        <w:t>يتعلق بالفحوصات الطبية عند بداية الاحتجاز، يساور اللجنة القلق من عدم إجراء تلك الفحوصات عادة ومن إجرائها في حضور أفراد الشرطة. كما يساورها القلق من المعلومات التي تفيد بأن الأشخاص المحرومين من الحرية يمكثون رهن الحبس الاحتياطي لفترات مطولة دون تسجيلهم في السجل الملائم وأن عددا</w:t>
      </w:r>
      <w:r w:rsidR="004E0A37" w:rsidRPr="004E0A37">
        <w:rPr>
          <w:rFonts w:hint="cs"/>
          <w:spacing w:val="0"/>
          <w:sz w:val="20"/>
          <w:rtl/>
        </w:rPr>
        <w:t>ً</w:t>
      </w:r>
      <w:r w:rsidR="004E0A37" w:rsidRPr="004E0A37">
        <w:rPr>
          <w:spacing w:val="0"/>
          <w:sz w:val="20"/>
          <w:rtl/>
        </w:rPr>
        <w:t xml:space="preserve"> هاما</w:t>
      </w:r>
      <w:r w:rsidR="004E0A37" w:rsidRPr="004E0A37">
        <w:rPr>
          <w:rFonts w:hint="cs"/>
          <w:spacing w:val="0"/>
          <w:sz w:val="20"/>
          <w:rtl/>
        </w:rPr>
        <w:t>ً</w:t>
      </w:r>
      <w:r w:rsidR="004E0A37" w:rsidRPr="004E0A37">
        <w:rPr>
          <w:spacing w:val="0"/>
          <w:sz w:val="20"/>
          <w:rtl/>
        </w:rPr>
        <w:t xml:space="preserve"> من مخافر الشرطة</w:t>
      </w:r>
      <w:r w:rsidR="004E0A37" w:rsidRPr="004E0A37">
        <w:rPr>
          <w:rFonts w:hint="cs"/>
          <w:spacing w:val="0"/>
          <w:sz w:val="20"/>
          <w:rtl/>
        </w:rPr>
        <w:t xml:space="preserve"> لا </w:t>
      </w:r>
      <w:r w:rsidR="004E0A37" w:rsidRPr="004E0A37">
        <w:rPr>
          <w:spacing w:val="0"/>
          <w:sz w:val="20"/>
          <w:rtl/>
        </w:rPr>
        <w:t>تمتثل في ممارساتها للقواعد المنظمة لإجراءات تسجيل المحتجزين. وإجمالا</w:t>
      </w:r>
      <w:r w:rsidR="004E0A37" w:rsidRPr="004E0A37">
        <w:rPr>
          <w:rFonts w:hint="cs"/>
          <w:spacing w:val="0"/>
          <w:sz w:val="20"/>
          <w:rtl/>
        </w:rPr>
        <w:t>ً</w:t>
      </w:r>
      <w:r w:rsidR="004E0A37" w:rsidRPr="004E0A37">
        <w:rPr>
          <w:spacing w:val="0"/>
          <w:sz w:val="20"/>
          <w:rtl/>
        </w:rPr>
        <w:t>، تعرب اللجنة عن قلقها مما ذكره وفد الدولة الطرف من وجود صعوبات أمام تنفيذ القرار رقم 176/2010 الصادر عن قيادة الشرطة الوطنية الذي يأمر بإنشاء نظام للتسجيل في مخافر الشرطة على الصعيد الوطني (المواد 2 و11 و12).</w:t>
      </w:r>
    </w:p>
    <w:p w:rsidR="004E0A37" w:rsidRPr="006D33AD" w:rsidRDefault="004E0A37" w:rsidP="004E0A37">
      <w:pPr>
        <w:pStyle w:val="SingleTxtGA"/>
        <w:jc w:val="lowKashida"/>
        <w:rPr>
          <w:b/>
          <w:bCs/>
          <w:spacing w:val="0"/>
          <w:sz w:val="20"/>
          <w:rtl/>
        </w:rPr>
      </w:pPr>
      <w:r w:rsidRPr="006D33AD">
        <w:rPr>
          <w:rFonts w:hint="cs"/>
          <w:b/>
          <w:bCs/>
          <w:spacing w:val="0"/>
          <w:sz w:val="20"/>
          <w:rtl/>
        </w:rPr>
        <w:tab/>
      </w:r>
      <w:r w:rsidRPr="006D33AD">
        <w:rPr>
          <w:b/>
          <w:bCs/>
          <w:spacing w:val="0"/>
          <w:sz w:val="20"/>
          <w:rtl/>
        </w:rPr>
        <w:t>ينبغي للدولة الطرف أن تتخذ على وجه السرعة تدابير فعالة تكفل عملياً إتاحة جميع الضمانات القانونية الأساسية لجميع المحتجزين منذ الوهلة الأولى لاحتجازهم. وينبغي للدولة الطرف أن تكفل عمليا</w:t>
      </w:r>
      <w:r w:rsidRPr="006D33AD">
        <w:rPr>
          <w:rFonts w:hint="cs"/>
          <w:b/>
          <w:bCs/>
          <w:spacing w:val="0"/>
          <w:sz w:val="20"/>
          <w:rtl/>
        </w:rPr>
        <w:t>ً</w:t>
      </w:r>
      <w:r w:rsidRPr="006D33AD">
        <w:rPr>
          <w:b/>
          <w:bCs/>
          <w:spacing w:val="0"/>
          <w:sz w:val="20"/>
          <w:rtl/>
        </w:rPr>
        <w:t xml:space="preserve"> إبلاغ جميع المحتجزين فورا</w:t>
      </w:r>
      <w:r w:rsidRPr="006D33AD">
        <w:rPr>
          <w:rFonts w:hint="cs"/>
          <w:b/>
          <w:bCs/>
          <w:spacing w:val="0"/>
          <w:sz w:val="20"/>
          <w:rtl/>
        </w:rPr>
        <w:t>ً</w:t>
      </w:r>
      <w:r w:rsidRPr="006D33AD">
        <w:rPr>
          <w:b/>
          <w:bCs/>
          <w:spacing w:val="0"/>
          <w:sz w:val="20"/>
          <w:rtl/>
        </w:rPr>
        <w:t xml:space="preserve"> بسبب احتجازهم وبحقوقهم، وضمان حق المحتجز في الوصول إلى محام وفي إخطار أحد أقاربه أو شخص محل ثقته باحتجازه. وينبغي تنقيح</w:t>
      </w:r>
      <w:r w:rsidRPr="006D33AD">
        <w:rPr>
          <w:rFonts w:hint="cs"/>
          <w:b/>
          <w:bCs/>
          <w:spacing w:val="0"/>
          <w:sz w:val="20"/>
          <w:rtl/>
        </w:rPr>
        <w:t xml:space="preserve"> إجراءات إعمال</w:t>
      </w:r>
      <w:r w:rsidRPr="006D33AD">
        <w:rPr>
          <w:b/>
          <w:bCs/>
          <w:spacing w:val="0"/>
          <w:sz w:val="20"/>
          <w:rtl/>
        </w:rPr>
        <w:t xml:space="preserve"> الحق في المثول أمام القضاء وتعزيزه</w:t>
      </w:r>
      <w:r w:rsidRPr="006D33AD">
        <w:rPr>
          <w:rFonts w:hint="cs"/>
          <w:b/>
          <w:bCs/>
          <w:spacing w:val="0"/>
          <w:sz w:val="20"/>
          <w:rtl/>
        </w:rPr>
        <w:t>ا</w:t>
      </w:r>
      <w:r w:rsidRPr="006D33AD">
        <w:rPr>
          <w:b/>
          <w:bCs/>
          <w:spacing w:val="0"/>
          <w:sz w:val="20"/>
          <w:rtl/>
        </w:rPr>
        <w:t xml:space="preserve"> واتخاذ التدابير اللازمة لكي </w:t>
      </w:r>
      <w:r w:rsidRPr="006D33AD">
        <w:rPr>
          <w:rFonts w:hint="cs"/>
          <w:b/>
          <w:bCs/>
          <w:spacing w:val="0"/>
          <w:sz w:val="20"/>
          <w:rtl/>
        </w:rPr>
        <w:t>ت</w:t>
      </w:r>
      <w:r w:rsidRPr="006D33AD">
        <w:rPr>
          <w:b/>
          <w:bCs/>
          <w:spacing w:val="0"/>
          <w:sz w:val="20"/>
          <w:rtl/>
        </w:rPr>
        <w:t xml:space="preserve">كون </w:t>
      </w:r>
      <w:r w:rsidRPr="006D33AD">
        <w:rPr>
          <w:rFonts w:hint="cs"/>
          <w:b/>
          <w:bCs/>
          <w:spacing w:val="0"/>
          <w:sz w:val="20"/>
          <w:rtl/>
        </w:rPr>
        <w:t xml:space="preserve">تلك </w:t>
      </w:r>
      <w:r w:rsidRPr="006D33AD">
        <w:rPr>
          <w:b/>
          <w:bCs/>
          <w:spacing w:val="0"/>
          <w:sz w:val="20"/>
          <w:rtl/>
        </w:rPr>
        <w:t>الإجراء</w:t>
      </w:r>
      <w:r w:rsidRPr="006D33AD">
        <w:rPr>
          <w:rFonts w:hint="cs"/>
          <w:b/>
          <w:bCs/>
          <w:spacing w:val="0"/>
          <w:sz w:val="20"/>
          <w:rtl/>
        </w:rPr>
        <w:t>ات</w:t>
      </w:r>
      <w:r w:rsidRPr="006D33AD">
        <w:rPr>
          <w:b/>
          <w:bCs/>
          <w:spacing w:val="0"/>
          <w:sz w:val="20"/>
          <w:rtl/>
        </w:rPr>
        <w:t xml:space="preserve"> موجز</w:t>
      </w:r>
      <w:r w:rsidRPr="006D33AD">
        <w:rPr>
          <w:rFonts w:hint="cs"/>
          <w:b/>
          <w:bCs/>
          <w:spacing w:val="0"/>
          <w:sz w:val="20"/>
          <w:rtl/>
        </w:rPr>
        <w:t>ة</w:t>
      </w:r>
      <w:r w:rsidRPr="006D33AD">
        <w:rPr>
          <w:b/>
          <w:bCs/>
          <w:spacing w:val="0"/>
          <w:sz w:val="20"/>
          <w:rtl/>
        </w:rPr>
        <w:t xml:space="preserve"> وسريع</w:t>
      </w:r>
      <w:r w:rsidRPr="006D33AD">
        <w:rPr>
          <w:rFonts w:hint="cs"/>
          <w:b/>
          <w:bCs/>
          <w:spacing w:val="0"/>
          <w:sz w:val="20"/>
          <w:rtl/>
        </w:rPr>
        <w:t>ة</w:t>
      </w:r>
      <w:r w:rsidRPr="006D33AD">
        <w:rPr>
          <w:b/>
          <w:bCs/>
          <w:spacing w:val="0"/>
          <w:sz w:val="20"/>
          <w:rtl/>
        </w:rPr>
        <w:t xml:space="preserve"> ويبت في</w:t>
      </w:r>
      <w:r w:rsidRPr="006D33AD">
        <w:rPr>
          <w:rFonts w:hint="cs"/>
          <w:b/>
          <w:bCs/>
          <w:spacing w:val="0"/>
          <w:sz w:val="20"/>
          <w:rtl/>
        </w:rPr>
        <w:t>ها</w:t>
      </w:r>
      <w:r w:rsidRPr="006D33AD">
        <w:rPr>
          <w:b/>
          <w:bCs/>
          <w:spacing w:val="0"/>
          <w:sz w:val="20"/>
          <w:rtl/>
        </w:rPr>
        <w:t xml:space="preserve"> في جميع الحالات </w:t>
      </w:r>
      <w:r w:rsidRPr="006D33AD">
        <w:rPr>
          <w:rFonts w:hint="cs"/>
          <w:b/>
          <w:bCs/>
          <w:spacing w:val="0"/>
          <w:sz w:val="20"/>
          <w:rtl/>
        </w:rPr>
        <w:t>في غضون</w:t>
      </w:r>
      <w:r w:rsidRPr="006D33AD">
        <w:rPr>
          <w:b/>
          <w:bCs/>
          <w:spacing w:val="0"/>
          <w:sz w:val="20"/>
          <w:rtl/>
        </w:rPr>
        <w:t xml:space="preserve"> الآجال القانونية. وينبغي للدولة الطرف أن تضمن للمحتجزين رهن الحبس الاحتياطي إمكانية الخضوع لفحص طبي مستقل ودون حضور الشرطة، منذ الوهلة الأولى لاحتجازهم. وينبغي للدولة الطرف التحقق من تسجيل جميع المحرومين من الحرية دون إبطاء وكفالة تفتيش سجلات المحتجزين في مخافر الشرطة بصورة دورية لكفالة امتثالها للإجراءات التي ينص عليها القانون. وينبغي للدولة الطرف أيضاً أن تكفل إنفاذ أحكام القرار رقم 176/2010 المتعلق بسجل المحتجزين وأن تنظر، لهذه الغاية، في تحويل هذه القاعدة الإدارية إلى قانون.</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المساعدة القانونية المجانية</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spacing w:val="0"/>
          <w:sz w:val="20"/>
          <w:rtl/>
        </w:rPr>
        <w:t>12</w:t>
      </w:r>
      <w:r w:rsidR="003E72B5">
        <w:rPr>
          <w:spacing w:val="0"/>
          <w:sz w:val="20"/>
          <w:rtl/>
        </w:rPr>
        <w:t>)</w:t>
      </w:r>
      <w:r w:rsidR="003E72B5">
        <w:rPr>
          <w:spacing w:val="0"/>
          <w:sz w:val="20"/>
          <w:rtl/>
        </w:rPr>
        <w:tab/>
      </w:r>
      <w:r w:rsidR="004E0A37" w:rsidRPr="004E0A37">
        <w:rPr>
          <w:spacing w:val="0"/>
          <w:sz w:val="20"/>
          <w:rtl/>
        </w:rPr>
        <w:t>تهنئ اللجنة الدولة الطرف على اعتمادها مؤخرا</w:t>
      </w:r>
      <w:r w:rsidR="004E0A37" w:rsidRPr="004E0A37">
        <w:rPr>
          <w:rFonts w:hint="cs"/>
          <w:spacing w:val="0"/>
          <w:sz w:val="20"/>
          <w:rtl/>
        </w:rPr>
        <w:t>ً</w:t>
      </w:r>
      <w:r w:rsidR="004E0A37" w:rsidRPr="004E0A37">
        <w:rPr>
          <w:spacing w:val="0"/>
          <w:sz w:val="20"/>
          <w:rtl/>
        </w:rPr>
        <w:t xml:space="preserve"> القانون الأساسي لهيئة المساعدة القانونية وزيادة موارد هذه المؤسسة، </w:t>
      </w:r>
      <w:r w:rsidR="004E0A37" w:rsidRPr="004E0A37">
        <w:rPr>
          <w:rFonts w:hint="cs"/>
          <w:spacing w:val="0"/>
          <w:sz w:val="20"/>
          <w:rtl/>
        </w:rPr>
        <w:t xml:space="preserve">ولكنها </w:t>
      </w:r>
      <w:r w:rsidR="004E0A37" w:rsidRPr="004E0A37">
        <w:rPr>
          <w:spacing w:val="0"/>
          <w:sz w:val="20"/>
          <w:rtl/>
        </w:rPr>
        <w:t xml:space="preserve">يساورها القلق من محدودية عدد محامي هيئة المساعدة القانونية في البلد، وهو ما يحول دون </w:t>
      </w:r>
      <w:r w:rsidR="004E0A37" w:rsidRPr="004E0A37">
        <w:rPr>
          <w:rFonts w:hint="cs"/>
          <w:spacing w:val="0"/>
          <w:sz w:val="20"/>
          <w:rtl/>
        </w:rPr>
        <w:t xml:space="preserve">حصول </w:t>
      </w:r>
      <w:r w:rsidR="004E0A37" w:rsidRPr="004E0A37">
        <w:rPr>
          <w:spacing w:val="0"/>
          <w:sz w:val="20"/>
          <w:rtl/>
        </w:rPr>
        <w:t xml:space="preserve">العديد من المحرومين من حريتهم على المساعدة القانونية المناسبة. </w:t>
      </w:r>
    </w:p>
    <w:p w:rsidR="004E0A37" w:rsidRPr="006D33AD" w:rsidRDefault="004E0A37" w:rsidP="004E0A37">
      <w:pPr>
        <w:pStyle w:val="SingleTxtGA"/>
        <w:jc w:val="lowKashida"/>
        <w:rPr>
          <w:b/>
          <w:bCs/>
          <w:spacing w:val="0"/>
          <w:sz w:val="20"/>
          <w:rtl/>
        </w:rPr>
      </w:pPr>
      <w:r w:rsidRPr="006D33AD">
        <w:rPr>
          <w:rFonts w:hint="cs"/>
          <w:b/>
          <w:bCs/>
          <w:spacing w:val="0"/>
          <w:sz w:val="20"/>
          <w:rtl/>
        </w:rPr>
        <w:tab/>
      </w:r>
      <w:r w:rsidRPr="006D33AD">
        <w:rPr>
          <w:b/>
          <w:bCs/>
          <w:spacing w:val="0"/>
          <w:sz w:val="20"/>
          <w:rtl/>
        </w:rPr>
        <w:t>ينبغي للدولة الطرف أن تضمن المساعدة القانونية المجانية منذ اللحظات الأولى للاحتجاز لجميع من يطلبها ممن تعوزهم. ولهذا الغرض، ينبغي للدولة الطرف أن تحسن شروط العمل في هيئة المساعدة القانونية وأن تخصص لهذه المؤسسة قدرا</w:t>
      </w:r>
      <w:r w:rsidRPr="006D33AD">
        <w:rPr>
          <w:rFonts w:hint="cs"/>
          <w:b/>
          <w:bCs/>
          <w:spacing w:val="0"/>
          <w:sz w:val="20"/>
          <w:rtl/>
        </w:rPr>
        <w:t>ً</w:t>
      </w:r>
      <w:r w:rsidRPr="006D33AD">
        <w:rPr>
          <w:b/>
          <w:bCs/>
          <w:spacing w:val="0"/>
          <w:sz w:val="20"/>
          <w:rtl/>
        </w:rPr>
        <w:t xml:space="preserve"> أهم من الموارد البشرية والمالية والمادية التي </w:t>
      </w:r>
      <w:r w:rsidRPr="006D33AD">
        <w:rPr>
          <w:rFonts w:hint="cs"/>
          <w:b/>
          <w:bCs/>
          <w:spacing w:val="0"/>
          <w:sz w:val="20"/>
          <w:rtl/>
        </w:rPr>
        <w:t xml:space="preserve">تمكنها من </w:t>
      </w:r>
      <w:r w:rsidRPr="006D33AD">
        <w:rPr>
          <w:b/>
          <w:bCs/>
          <w:spacing w:val="0"/>
          <w:sz w:val="20"/>
          <w:rtl/>
        </w:rPr>
        <w:t>إنجاز مهامها.</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حالة الطوارئ</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13</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بإعلان حالة الطوارئ بموجب القانون رقم 4473 المؤرخ 10 تشرين الأول/أكتوبر 2011 في مقاطعتي كونسبسيون وسان بدرو بالدولة الطرف لفترة 60 يوما</w:t>
      </w:r>
      <w:r w:rsidR="004E0A37" w:rsidRPr="004E0A37">
        <w:rPr>
          <w:rFonts w:hint="cs"/>
          <w:spacing w:val="0"/>
          <w:sz w:val="20"/>
          <w:rtl/>
        </w:rPr>
        <w:t>ً</w:t>
      </w:r>
      <w:r w:rsidR="004E0A37" w:rsidRPr="004E0A37">
        <w:rPr>
          <w:spacing w:val="0"/>
          <w:sz w:val="20"/>
          <w:rtl/>
        </w:rPr>
        <w:t>. وتشير اللجنة بقلق إلى إعلان حالة الطوارئ في ثلاث مناسبات أخرى خلال الفترة المشمولة بتقرير الدولة الطرف. وبالرغم من المعلومات المقدمة من الدولة الطرف بشأن التدابير المتخذة لضمان احترام حقوق الإنسان للأشخاص المتضررين، يساور اللجنة القلق من تقييد حقوق الإنسان خلال هذه الفترة وكذلك إمكانية حدوث انتهاكات للاتفاقية خلال حالة الطوارئ.</w:t>
      </w:r>
    </w:p>
    <w:p w:rsidR="004E0A37" w:rsidRPr="006D33AD" w:rsidRDefault="004E0A37" w:rsidP="004E0A37">
      <w:pPr>
        <w:pStyle w:val="SingleTxtGA"/>
        <w:jc w:val="lowKashida"/>
        <w:rPr>
          <w:b/>
          <w:bCs/>
          <w:spacing w:val="0"/>
          <w:sz w:val="20"/>
          <w:rtl/>
        </w:rPr>
      </w:pPr>
      <w:r w:rsidRPr="006D33AD">
        <w:rPr>
          <w:rFonts w:hint="cs"/>
          <w:b/>
          <w:bCs/>
          <w:spacing w:val="0"/>
          <w:sz w:val="20"/>
          <w:rtl/>
        </w:rPr>
        <w:tab/>
      </w:r>
      <w:r w:rsidRPr="006D33AD">
        <w:rPr>
          <w:b/>
          <w:bCs/>
          <w:spacing w:val="0"/>
          <w:sz w:val="20"/>
          <w:rtl/>
        </w:rPr>
        <w:t>ينبغي للدولة الطرف ألا تعلن حالة الطوارئ إلا في حالات الضرورة القصوى، وأن تحترم دائما</w:t>
      </w:r>
      <w:r w:rsidRPr="006D33AD">
        <w:rPr>
          <w:rFonts w:hint="cs"/>
          <w:b/>
          <w:bCs/>
          <w:spacing w:val="0"/>
          <w:sz w:val="20"/>
          <w:rtl/>
        </w:rPr>
        <w:t>ً</w:t>
      </w:r>
      <w:r w:rsidRPr="006D33AD">
        <w:rPr>
          <w:b/>
          <w:bCs/>
          <w:spacing w:val="0"/>
          <w:sz w:val="20"/>
          <w:rtl/>
        </w:rPr>
        <w:t xml:space="preserve"> أحكام المادة 4 من العهد الدولي الخاص بالحقوق المدنية والسياسية. وينبغي للدولة الطرف أيضاً أن تكفل التطبيق الصارم لحظر التعذيب حظراً مطلقاً،</w:t>
      </w:r>
      <w:r w:rsidR="00B345DB" w:rsidRPr="006D33AD">
        <w:rPr>
          <w:b/>
          <w:bCs/>
          <w:spacing w:val="0"/>
          <w:sz w:val="20"/>
          <w:rtl/>
        </w:rPr>
        <w:t xml:space="preserve"> وفقاً </w:t>
      </w:r>
      <w:r w:rsidRPr="006D33AD">
        <w:rPr>
          <w:b/>
          <w:bCs/>
          <w:spacing w:val="0"/>
          <w:sz w:val="20"/>
          <w:rtl/>
        </w:rPr>
        <w:t>للفقرة 2 من المادة 2 من الاتفاقية التي تنص على أنه لا يجوز التذرع بأية ظروف استثنائية، أياً كانت، سواء أكانت هذه الظروف حالة حرب أو تهديداً بالحرب، أو عدم استقرار سياسي داخلي، أو أي حالة من حالات الطوارئ الأخرى كمبرر للتعذيب.</w:t>
      </w:r>
    </w:p>
    <w:p w:rsidR="004E0A37" w:rsidRPr="004E0A37" w:rsidRDefault="004E0A37" w:rsidP="004E0A37">
      <w:pPr>
        <w:pStyle w:val="H23GA"/>
        <w:jc w:val="lowKashida"/>
        <w:rPr>
          <w:rFonts w:hint="cs"/>
          <w:spacing w:val="0"/>
          <w:sz w:val="20"/>
          <w:rtl/>
        </w:rPr>
      </w:pPr>
      <w:r w:rsidRPr="004E0A37">
        <w:rPr>
          <w:spacing w:val="0"/>
          <w:sz w:val="20"/>
          <w:rtl/>
        </w:rPr>
        <w:tab/>
      </w:r>
      <w:r w:rsidRPr="004E0A37">
        <w:rPr>
          <w:spacing w:val="0"/>
          <w:sz w:val="20"/>
          <w:rtl/>
        </w:rPr>
        <w:tab/>
        <w:t>المؤسسة الوطنية لحقوق الإنسان</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14</w:t>
      </w:r>
      <w:r w:rsidR="003E72B5">
        <w:rPr>
          <w:spacing w:val="0"/>
          <w:sz w:val="20"/>
          <w:rtl/>
        </w:rPr>
        <w:t>)</w:t>
      </w:r>
      <w:r w:rsidR="003E72B5">
        <w:rPr>
          <w:spacing w:val="0"/>
          <w:sz w:val="20"/>
          <w:rtl/>
        </w:rPr>
        <w:tab/>
      </w:r>
      <w:r w:rsidR="004E0A37" w:rsidRPr="004E0A37">
        <w:rPr>
          <w:spacing w:val="0"/>
          <w:sz w:val="20"/>
          <w:rtl/>
        </w:rPr>
        <w:t>تعرب اللجنة عن ارتياحها لتعيين أول أمين مظالم عام 2001، وهو التعيين الذي ظل معلقا</w:t>
      </w:r>
      <w:r w:rsidR="004E0A37" w:rsidRPr="004E0A37">
        <w:rPr>
          <w:rFonts w:hint="cs"/>
          <w:spacing w:val="0"/>
          <w:sz w:val="20"/>
          <w:rtl/>
        </w:rPr>
        <w:t>ً</w:t>
      </w:r>
      <w:r w:rsidR="004E0A37" w:rsidRPr="004E0A37">
        <w:rPr>
          <w:spacing w:val="0"/>
          <w:sz w:val="20"/>
          <w:rtl/>
        </w:rPr>
        <w:t xml:space="preserve"> لأكثر من سبع سنوات. بيد أن اللجنة يساورها القلق</w:t>
      </w:r>
      <w:r w:rsidR="004E0A37" w:rsidRPr="004E0A37">
        <w:rPr>
          <w:rFonts w:hint="cs"/>
          <w:spacing w:val="0"/>
          <w:sz w:val="20"/>
          <w:rtl/>
        </w:rPr>
        <w:t xml:space="preserve"> من انقضاء</w:t>
      </w:r>
      <w:r w:rsidR="004E0A37" w:rsidRPr="004E0A37">
        <w:rPr>
          <w:spacing w:val="0"/>
          <w:sz w:val="20"/>
          <w:rtl/>
        </w:rPr>
        <w:t xml:space="preserve"> </w:t>
      </w:r>
      <w:r w:rsidR="004E0A37" w:rsidRPr="004E0A37">
        <w:rPr>
          <w:rFonts w:hint="cs"/>
          <w:spacing w:val="0"/>
          <w:sz w:val="20"/>
          <w:rtl/>
        </w:rPr>
        <w:t xml:space="preserve">الفترة </w:t>
      </w:r>
      <w:r w:rsidR="004E0A37" w:rsidRPr="004E0A37">
        <w:rPr>
          <w:spacing w:val="0"/>
          <w:sz w:val="20"/>
          <w:rtl/>
        </w:rPr>
        <w:t>الحالية لأمين المظالم، حسبما ذكر وفد الدولة الطرف، ومن عدم تعيين خلف</w:t>
      </w:r>
      <w:r w:rsidR="00B602A3">
        <w:rPr>
          <w:rFonts w:hint="cs"/>
          <w:spacing w:val="0"/>
          <w:sz w:val="20"/>
          <w:rtl/>
        </w:rPr>
        <w:t xml:space="preserve">اً </w:t>
      </w:r>
      <w:r w:rsidR="004E0A37" w:rsidRPr="004E0A37">
        <w:rPr>
          <w:rFonts w:hint="cs"/>
          <w:spacing w:val="0"/>
          <w:sz w:val="20"/>
          <w:rtl/>
        </w:rPr>
        <w:t>له</w:t>
      </w:r>
      <w:r w:rsidR="004E0A37" w:rsidRPr="004E0A37">
        <w:rPr>
          <w:spacing w:val="0"/>
          <w:sz w:val="20"/>
          <w:rtl/>
        </w:rPr>
        <w:t xml:space="preserve"> يستوفي شروط الكفاءة اللازمة</w:t>
      </w:r>
      <w:r w:rsidR="004E0A37" w:rsidRPr="004E0A37">
        <w:rPr>
          <w:rFonts w:hint="cs"/>
          <w:spacing w:val="0"/>
          <w:sz w:val="20"/>
          <w:rtl/>
        </w:rPr>
        <w:t xml:space="preserve"> </w:t>
      </w:r>
      <w:r w:rsidR="004E0A37" w:rsidRPr="004E0A37">
        <w:rPr>
          <w:spacing w:val="0"/>
          <w:sz w:val="20"/>
          <w:rtl/>
        </w:rPr>
        <w:t xml:space="preserve">حتى الآن. كما يساور اللجنة القلق من عدم توافر ما يلزم ديوان المظالم من موارد لاضطلاعه بمهمة حماية حقوق الإنسان وتعزيزها بصورة فعالة ومستقلة (المادة 2). </w:t>
      </w:r>
    </w:p>
    <w:p w:rsidR="004E0A37" w:rsidRPr="006D33AD" w:rsidRDefault="004E0A37" w:rsidP="004E0A37">
      <w:pPr>
        <w:pStyle w:val="SingleTxtGA"/>
        <w:jc w:val="lowKashida"/>
        <w:rPr>
          <w:rFonts w:hint="cs"/>
          <w:b/>
          <w:bCs/>
          <w:spacing w:val="0"/>
          <w:sz w:val="20"/>
          <w:rtl/>
        </w:rPr>
      </w:pPr>
      <w:r w:rsidRPr="006D33AD">
        <w:rPr>
          <w:rFonts w:hint="cs"/>
          <w:b/>
          <w:bCs/>
          <w:spacing w:val="0"/>
          <w:sz w:val="20"/>
          <w:rtl/>
        </w:rPr>
        <w:tab/>
      </w:r>
      <w:r w:rsidRPr="006D33AD">
        <w:rPr>
          <w:b/>
          <w:bCs/>
          <w:spacing w:val="0"/>
          <w:sz w:val="20"/>
          <w:rtl/>
        </w:rPr>
        <w:t>توصي اللجنة الدولة الطرف باتخاذ التدابير اللازمة الرامية إلى تعيين أمين مظالم جديد يستوفي شروط الكفاءة اللازمة في أقرب وقت ممكن ووفقاً للإجراءات القانونية المكرسة. وينبغي للدولة الطرف أن تُمِد ديوان أمين المظالم بالموارد المالية والمادية والبشرية الكافية لإنجاز ولايته بطريقة فعالة ومستقلة</w:t>
      </w:r>
      <w:r w:rsidR="00B345DB" w:rsidRPr="006D33AD">
        <w:rPr>
          <w:b/>
          <w:bCs/>
          <w:spacing w:val="0"/>
          <w:sz w:val="20"/>
          <w:rtl/>
        </w:rPr>
        <w:t xml:space="preserve"> وفقاً </w:t>
      </w:r>
      <w:r w:rsidRPr="006D33AD">
        <w:rPr>
          <w:b/>
          <w:bCs/>
          <w:spacing w:val="0"/>
          <w:sz w:val="20"/>
          <w:rtl/>
        </w:rPr>
        <w:t xml:space="preserve">لمبادئ باريس (قرار الجمعية العامة للأمم المتحدة 48/134 لعام 1993، المرفق). </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 xml:space="preserve">الآلية الوقائية الوطنية </w:t>
      </w:r>
    </w:p>
    <w:p w:rsidR="004E0A37" w:rsidRPr="004E0A37" w:rsidRDefault="00BE7198" w:rsidP="006D33AD">
      <w:pPr>
        <w:pStyle w:val="SingleTxtGA"/>
        <w:jc w:val="lowKashida"/>
        <w:rPr>
          <w:spacing w:val="0"/>
          <w:sz w:val="20"/>
          <w:rtl/>
        </w:rPr>
      </w:pPr>
      <w:r>
        <w:rPr>
          <w:rFonts w:hint="cs"/>
          <w:spacing w:val="0"/>
          <w:sz w:val="20"/>
          <w:rtl/>
        </w:rPr>
        <w:t>(</w:t>
      </w:r>
      <w:r w:rsidR="004E0A37" w:rsidRPr="004E0A37">
        <w:rPr>
          <w:spacing w:val="0"/>
          <w:sz w:val="20"/>
          <w:rtl/>
        </w:rPr>
        <w:t>15</w:t>
      </w:r>
      <w:r w:rsidR="003E72B5">
        <w:rPr>
          <w:spacing w:val="0"/>
          <w:sz w:val="20"/>
          <w:rtl/>
        </w:rPr>
        <w:t>)</w:t>
      </w:r>
      <w:r w:rsidR="003E72B5">
        <w:rPr>
          <w:spacing w:val="0"/>
          <w:sz w:val="20"/>
          <w:rtl/>
        </w:rPr>
        <w:tab/>
      </w:r>
      <w:r w:rsidR="004E0A37" w:rsidRPr="004E0A37">
        <w:rPr>
          <w:spacing w:val="0"/>
          <w:sz w:val="20"/>
          <w:rtl/>
        </w:rPr>
        <w:t xml:space="preserve">تشير اللجنة باهتمام إلى المعلومات التي قدمها وفد الدولة الطرف بشأن الجهود التي تبذل من أجل </w:t>
      </w:r>
      <w:r w:rsidR="004E0A37" w:rsidRPr="004E0A37">
        <w:rPr>
          <w:rFonts w:hint="cs"/>
          <w:spacing w:val="0"/>
          <w:sz w:val="20"/>
          <w:rtl/>
        </w:rPr>
        <w:t>تشغيل</w:t>
      </w:r>
      <w:r w:rsidR="004E0A37" w:rsidRPr="004E0A37">
        <w:rPr>
          <w:spacing w:val="0"/>
          <w:sz w:val="20"/>
          <w:rtl/>
        </w:rPr>
        <w:t xml:space="preserve"> </w:t>
      </w:r>
      <w:r w:rsidR="004E0A37" w:rsidRPr="004E0A37">
        <w:rPr>
          <w:rFonts w:hint="cs"/>
          <w:spacing w:val="0"/>
          <w:sz w:val="20"/>
          <w:rtl/>
        </w:rPr>
        <w:t>ا</w:t>
      </w:r>
      <w:r w:rsidR="004E0A37" w:rsidRPr="004E0A37">
        <w:rPr>
          <w:spacing w:val="0"/>
          <w:sz w:val="20"/>
          <w:rtl/>
        </w:rPr>
        <w:t xml:space="preserve">لآلية الوقائية الوطنية المنشأة بموجب القانون رقم 4288. </w:t>
      </w:r>
      <w:r w:rsidR="004E0A37" w:rsidRPr="004E0A37">
        <w:rPr>
          <w:rFonts w:hint="cs"/>
          <w:spacing w:val="0"/>
          <w:sz w:val="20"/>
          <w:rtl/>
        </w:rPr>
        <w:t>على أن اللجنة</w:t>
      </w:r>
      <w:r w:rsidR="004E0A37" w:rsidRPr="004E0A37">
        <w:rPr>
          <w:spacing w:val="0"/>
          <w:sz w:val="20"/>
          <w:rtl/>
        </w:rPr>
        <w:t xml:space="preserve"> تشير بقلق إلى أنه كان</w:t>
      </w:r>
      <w:r w:rsidR="004E0A37" w:rsidRPr="004E0A37">
        <w:rPr>
          <w:rFonts w:hint="cs"/>
          <w:spacing w:val="0"/>
          <w:sz w:val="20"/>
          <w:rtl/>
        </w:rPr>
        <w:t xml:space="preserve"> من المفروض إنشاء</w:t>
      </w:r>
      <w:r w:rsidR="004E0A37" w:rsidRPr="004E0A37">
        <w:rPr>
          <w:spacing w:val="0"/>
          <w:sz w:val="20"/>
          <w:rtl/>
        </w:rPr>
        <w:t xml:space="preserve"> الآلية الوقائية الوطنية للدولة الطرف </w:t>
      </w:r>
      <w:r w:rsidR="004E0A37" w:rsidRPr="004E0A37">
        <w:rPr>
          <w:rFonts w:hint="cs"/>
          <w:spacing w:val="0"/>
          <w:sz w:val="20"/>
          <w:rtl/>
        </w:rPr>
        <w:t xml:space="preserve">في </w:t>
      </w:r>
      <w:r w:rsidR="004E0A37" w:rsidRPr="004E0A37">
        <w:rPr>
          <w:spacing w:val="0"/>
          <w:sz w:val="20"/>
          <w:rtl/>
        </w:rPr>
        <w:t>عام</w:t>
      </w:r>
      <w:r w:rsidR="006D33AD">
        <w:rPr>
          <w:rFonts w:hint="cs"/>
          <w:spacing w:val="0"/>
          <w:sz w:val="20"/>
          <w:rtl/>
        </w:rPr>
        <w:t> </w:t>
      </w:r>
      <w:r w:rsidR="004E0A37" w:rsidRPr="004E0A37">
        <w:rPr>
          <w:spacing w:val="0"/>
          <w:sz w:val="20"/>
          <w:rtl/>
        </w:rPr>
        <w:t xml:space="preserve">2007 </w:t>
      </w:r>
      <w:r w:rsidR="004E0A37" w:rsidRPr="004E0A37">
        <w:rPr>
          <w:rFonts w:hint="cs"/>
          <w:spacing w:val="0"/>
          <w:sz w:val="20"/>
          <w:rtl/>
        </w:rPr>
        <w:t>و</w:t>
      </w:r>
      <w:r w:rsidR="004E0A37" w:rsidRPr="004E0A37">
        <w:rPr>
          <w:spacing w:val="0"/>
          <w:sz w:val="20"/>
          <w:rtl/>
        </w:rPr>
        <w:t>لكن</w:t>
      </w:r>
      <w:r w:rsidR="004E0A37" w:rsidRPr="004E0A37">
        <w:rPr>
          <w:rFonts w:hint="cs"/>
          <w:spacing w:val="0"/>
          <w:sz w:val="20"/>
          <w:rtl/>
        </w:rPr>
        <w:t xml:space="preserve"> هذه الآلية</w:t>
      </w:r>
      <w:r w:rsidR="00335AC0">
        <w:rPr>
          <w:spacing w:val="0"/>
          <w:sz w:val="20"/>
          <w:rtl/>
        </w:rPr>
        <w:t xml:space="preserve"> لم </w:t>
      </w:r>
      <w:r w:rsidR="004E0A37" w:rsidRPr="004E0A37">
        <w:rPr>
          <w:spacing w:val="0"/>
          <w:sz w:val="20"/>
          <w:rtl/>
        </w:rPr>
        <w:t xml:space="preserve">تبدأ العمل بعد. </w:t>
      </w:r>
    </w:p>
    <w:p w:rsidR="004E0A37" w:rsidRPr="006D33AD" w:rsidRDefault="004E0A37" w:rsidP="004E0A37">
      <w:pPr>
        <w:pStyle w:val="SingleTxtGA"/>
        <w:jc w:val="lowKashida"/>
        <w:rPr>
          <w:rFonts w:hint="cs"/>
          <w:b/>
          <w:bCs/>
          <w:spacing w:val="0"/>
          <w:sz w:val="20"/>
          <w:rtl/>
        </w:rPr>
      </w:pPr>
      <w:r w:rsidRPr="006D33AD">
        <w:rPr>
          <w:rFonts w:hint="cs"/>
          <w:b/>
          <w:bCs/>
          <w:spacing w:val="0"/>
          <w:sz w:val="20"/>
          <w:rtl/>
        </w:rPr>
        <w:tab/>
      </w:r>
      <w:r w:rsidRPr="006D33AD">
        <w:rPr>
          <w:b/>
          <w:bCs/>
          <w:spacing w:val="0"/>
          <w:sz w:val="20"/>
          <w:rtl/>
        </w:rPr>
        <w:t xml:space="preserve">ينبغي للدولة الطرف تسريع عملية تنفيذ القانون المنشئ للآلية الوقائية الوطنية، ولا سيما تشكيل هيئة الاختيار </w:t>
      </w:r>
      <w:r w:rsidRPr="006D33AD">
        <w:rPr>
          <w:rFonts w:hint="cs"/>
          <w:b/>
          <w:bCs/>
          <w:spacing w:val="0"/>
          <w:sz w:val="20"/>
          <w:rtl/>
        </w:rPr>
        <w:t>المنصوص عليها في</w:t>
      </w:r>
      <w:r w:rsidRPr="006D33AD">
        <w:rPr>
          <w:b/>
          <w:bCs/>
          <w:spacing w:val="0"/>
          <w:sz w:val="20"/>
          <w:rtl/>
        </w:rPr>
        <w:t xml:space="preserve"> ذلك القانون في أقرب الآجال. وينبغي للدولة الطرف ضمان توافر ما يلزم من الموارد البشرية والمادية المالية للآلية المذكورة لاضطلاعها بولايتها بطريقة مستقلة وفعالة في جميع أنحاء إقليمها. </w:t>
      </w:r>
    </w:p>
    <w:p w:rsidR="004E0A37" w:rsidRPr="004E0A37" w:rsidRDefault="004E0A37" w:rsidP="004E0A37">
      <w:pPr>
        <w:pStyle w:val="H23GA"/>
        <w:jc w:val="lowKashida"/>
        <w:rPr>
          <w:rFonts w:hint="cs"/>
          <w:spacing w:val="0"/>
          <w:sz w:val="20"/>
          <w:rtl/>
        </w:rPr>
      </w:pPr>
      <w:r w:rsidRPr="004E0A37">
        <w:rPr>
          <w:spacing w:val="0"/>
          <w:sz w:val="20"/>
          <w:rtl/>
        </w:rPr>
        <w:tab/>
      </w:r>
      <w:r w:rsidRPr="004E0A37">
        <w:rPr>
          <w:spacing w:val="0"/>
          <w:sz w:val="20"/>
          <w:rtl/>
        </w:rPr>
        <w:tab/>
        <w:t>منع الفساد والقضاء عليه</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16</w:t>
      </w:r>
      <w:r w:rsidR="003E72B5">
        <w:rPr>
          <w:spacing w:val="0"/>
          <w:sz w:val="20"/>
          <w:rtl/>
        </w:rPr>
        <w:t>)</w:t>
      </w:r>
      <w:r w:rsidR="003E72B5">
        <w:rPr>
          <w:spacing w:val="0"/>
          <w:sz w:val="20"/>
          <w:rtl/>
        </w:rPr>
        <w:tab/>
      </w:r>
      <w:r w:rsidR="004E0A37" w:rsidRPr="004E0A37">
        <w:rPr>
          <w:spacing w:val="0"/>
          <w:sz w:val="20"/>
          <w:rtl/>
        </w:rPr>
        <w:t xml:space="preserve">يساور اللجنة بالغ القلق من المزاعم </w:t>
      </w:r>
      <w:r w:rsidR="004E0A37" w:rsidRPr="004E0A37">
        <w:rPr>
          <w:rFonts w:hint="cs"/>
          <w:spacing w:val="0"/>
          <w:sz w:val="20"/>
          <w:rtl/>
        </w:rPr>
        <w:t>المتواترة</w:t>
      </w:r>
      <w:r w:rsidR="004E0A37" w:rsidRPr="004E0A37">
        <w:rPr>
          <w:spacing w:val="0"/>
          <w:sz w:val="20"/>
          <w:rtl/>
        </w:rPr>
        <w:t xml:space="preserve"> بشأن </w:t>
      </w:r>
      <w:r w:rsidR="004E0A37" w:rsidRPr="004E0A37">
        <w:rPr>
          <w:rFonts w:hint="cs"/>
          <w:spacing w:val="0"/>
          <w:sz w:val="20"/>
          <w:rtl/>
        </w:rPr>
        <w:t xml:space="preserve">استشراء </w:t>
      </w:r>
      <w:r w:rsidR="004E0A37" w:rsidRPr="004E0A37">
        <w:rPr>
          <w:spacing w:val="0"/>
          <w:sz w:val="20"/>
          <w:rtl/>
        </w:rPr>
        <w:t>الفساد في نظام السجون وفي أوساط شرطة الدولة الطرف. ووفقاً لهذه المزاعم، يتعين على المحرومين من الحرية إرشاء الموظفين العموميين من أجل الحصول على العناية الطبية أو الأغذية أو تلقي الزيارات. كما تعرب اللجنة عن قلقها من منح فوائد غير مستحقة لبعض الأشخاص المحرومين من حريتهم بسبب ممارسات فاسدة. وتعرب اللجنة عن أسفها من عدم تقديم الدولة الطرف معلومات عن هذه المسائل (المواد 2 و10 و12).</w:t>
      </w:r>
    </w:p>
    <w:p w:rsidR="004E0A37" w:rsidRPr="006D33AD" w:rsidRDefault="004E0A37" w:rsidP="004E0A37">
      <w:pPr>
        <w:pStyle w:val="SingleTxtGA"/>
        <w:jc w:val="lowKashida"/>
        <w:rPr>
          <w:rFonts w:hint="cs"/>
          <w:b/>
          <w:bCs/>
          <w:spacing w:val="0"/>
          <w:sz w:val="20"/>
          <w:rtl/>
        </w:rPr>
      </w:pPr>
      <w:r w:rsidRPr="006D33AD">
        <w:rPr>
          <w:rFonts w:hint="cs"/>
          <w:b/>
          <w:bCs/>
          <w:spacing w:val="0"/>
          <w:sz w:val="20"/>
          <w:rtl/>
        </w:rPr>
        <w:tab/>
      </w:r>
      <w:r w:rsidRPr="006D33AD">
        <w:rPr>
          <w:b/>
          <w:bCs/>
          <w:spacing w:val="0"/>
          <w:sz w:val="20"/>
          <w:rtl/>
        </w:rPr>
        <w:t>ينبغي للدولة الطرف أن تتخذ تدابير فورية وعاجلة للقضاء على الفساد في أوساط الشرطة ونظام السجون لأنه يشكِّل عقبة أمام التنفيذ الفعال للاتفاقية. وينبغي أن تتضمن هذه التدابير إجراء عمليات تمحيص تحدد سلوكيات الفساد ومخاطره، وتصوغ توصيات بالتدابير التي تضمن الرقابة الداخلية والخارجية. وينبغي للدولة الطرف أيضاً أن تزيد قدراتها على التحقيق في قضايا الفساد ومقاضاة مرتكبيها. وإضافة إلى ذلك، ينبغي للدولة الطرف تنفيذ برامج للتدريب والتوعية وبناء القدرات في مجال مكافحة الفساد ومدونات قواعد السلوك المهني ذات الصلة لفائدة أفراد الشرطة وغيرهم من الموظفين المكلفين بإنفاذ القانون والمدعين العامين والقضاة، وكذلك إنشاء آليات عملية وقانونية لضمان شفافية سلوك الموظفين العموميين. وتطلب اللجنة إلى الدولة الطرف أن تقدم لها تقريرا</w:t>
      </w:r>
      <w:r w:rsidRPr="006D33AD">
        <w:rPr>
          <w:rFonts w:hint="cs"/>
          <w:b/>
          <w:bCs/>
          <w:spacing w:val="0"/>
          <w:sz w:val="20"/>
          <w:rtl/>
        </w:rPr>
        <w:t>ً</w:t>
      </w:r>
      <w:r w:rsidRPr="006D33AD">
        <w:rPr>
          <w:b/>
          <w:bCs/>
          <w:spacing w:val="0"/>
          <w:sz w:val="20"/>
          <w:rtl/>
        </w:rPr>
        <w:t xml:space="preserve"> عما تتخذه من تدابير وما تواجهه من صعوبات في مكافحة الفساد. كما تطلب اللجنة إلى الدولة الطرف موافاتها بمعلومات عن عدد الموظفين، بمن فيهم كبار الموظفين، الذين خضعوا للملاحقة القضائية وللعقوبات بتهمة الفساد.</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 xml:space="preserve">عدم الإعادة القسرية </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17</w:t>
      </w:r>
      <w:r w:rsidR="003E72B5">
        <w:rPr>
          <w:spacing w:val="0"/>
          <w:sz w:val="20"/>
          <w:rtl/>
        </w:rPr>
        <w:t>)</w:t>
      </w:r>
      <w:r w:rsidR="003E72B5">
        <w:rPr>
          <w:spacing w:val="0"/>
          <w:sz w:val="20"/>
          <w:rtl/>
        </w:rPr>
        <w:tab/>
      </w:r>
      <w:r w:rsidR="004E0A37" w:rsidRPr="004E0A37">
        <w:rPr>
          <w:spacing w:val="0"/>
          <w:sz w:val="20"/>
          <w:rtl/>
        </w:rPr>
        <w:t>يساور اللجنة القلق بشأن المزاعم المتعلقة بحالات تسليم الدولة الطرف أشخاص</w:t>
      </w:r>
      <w:r w:rsidR="004E0A37" w:rsidRPr="004E0A37">
        <w:rPr>
          <w:rFonts w:hint="cs"/>
          <w:spacing w:val="0"/>
          <w:sz w:val="20"/>
          <w:rtl/>
        </w:rPr>
        <w:t>اً</w:t>
      </w:r>
      <w:r w:rsidR="004E0A37" w:rsidRPr="004E0A37">
        <w:rPr>
          <w:spacing w:val="0"/>
          <w:sz w:val="20"/>
          <w:rtl/>
        </w:rPr>
        <w:t xml:space="preserve"> دون تقييم خطر تعرض الشخص المسلم للتعذيب في بلد الاستقبال. ويساور اللجنة القلق أيضاً من عدم وجود تدريبات محددة لأفراد السلطة القضائية للدولة الطرف بشأن نطاق المادة 3 من الاتفاقية (المادة 3). </w:t>
      </w:r>
    </w:p>
    <w:p w:rsidR="004E0A37" w:rsidRPr="006D33AD" w:rsidRDefault="004E0A37" w:rsidP="004E0A37">
      <w:pPr>
        <w:pStyle w:val="SingleTxtGA"/>
        <w:jc w:val="lowKashida"/>
        <w:rPr>
          <w:b/>
          <w:bCs/>
          <w:spacing w:val="0"/>
          <w:sz w:val="20"/>
          <w:rtl/>
        </w:rPr>
      </w:pPr>
      <w:r w:rsidRPr="006D33AD">
        <w:rPr>
          <w:rFonts w:hint="cs"/>
          <w:b/>
          <w:bCs/>
          <w:spacing w:val="0"/>
          <w:sz w:val="20"/>
          <w:rtl/>
        </w:rPr>
        <w:tab/>
      </w:r>
      <w:r w:rsidRPr="006D33AD">
        <w:rPr>
          <w:b/>
          <w:bCs/>
          <w:spacing w:val="0"/>
          <w:sz w:val="20"/>
          <w:rtl/>
        </w:rPr>
        <w:t xml:space="preserve">ينبغي للدولة الطرف أن </w:t>
      </w:r>
      <w:r w:rsidRPr="006D33AD">
        <w:rPr>
          <w:rFonts w:hint="cs"/>
          <w:b/>
          <w:bCs/>
          <w:spacing w:val="0"/>
          <w:sz w:val="20"/>
          <w:rtl/>
        </w:rPr>
        <w:t xml:space="preserve">تسَنَّ </w:t>
      </w:r>
      <w:r w:rsidRPr="006D33AD">
        <w:rPr>
          <w:b/>
          <w:bCs/>
          <w:spacing w:val="0"/>
          <w:sz w:val="20"/>
          <w:rtl/>
        </w:rPr>
        <w:t xml:space="preserve">وتعتمد </w:t>
      </w:r>
      <w:r w:rsidRPr="006D33AD">
        <w:rPr>
          <w:rFonts w:hint="cs"/>
          <w:b/>
          <w:bCs/>
          <w:spacing w:val="0"/>
          <w:sz w:val="20"/>
          <w:rtl/>
        </w:rPr>
        <w:t xml:space="preserve">أحكاماً </w:t>
      </w:r>
      <w:r w:rsidRPr="006D33AD">
        <w:rPr>
          <w:b/>
          <w:bCs/>
          <w:spacing w:val="0"/>
          <w:sz w:val="20"/>
          <w:rtl/>
        </w:rPr>
        <w:t xml:space="preserve">قانونية تخولها </w:t>
      </w:r>
      <w:r w:rsidRPr="006D33AD">
        <w:rPr>
          <w:rFonts w:hint="cs"/>
          <w:b/>
          <w:bCs/>
          <w:spacing w:val="0"/>
          <w:sz w:val="20"/>
          <w:rtl/>
        </w:rPr>
        <w:t xml:space="preserve">إدراج المادة 3 من الاتفاقية </w:t>
      </w:r>
      <w:r w:rsidRPr="006D33AD">
        <w:rPr>
          <w:b/>
          <w:bCs/>
          <w:spacing w:val="0"/>
          <w:sz w:val="20"/>
          <w:rtl/>
        </w:rPr>
        <w:t xml:space="preserve">في قانونها المحلي وأن تكفل سريان هذه </w:t>
      </w:r>
      <w:r w:rsidRPr="006D33AD">
        <w:rPr>
          <w:rFonts w:hint="cs"/>
          <w:b/>
          <w:bCs/>
          <w:spacing w:val="0"/>
          <w:sz w:val="20"/>
          <w:rtl/>
        </w:rPr>
        <w:t xml:space="preserve">الأحكام </w:t>
      </w:r>
      <w:r w:rsidRPr="006D33AD">
        <w:rPr>
          <w:b/>
          <w:bCs/>
          <w:spacing w:val="0"/>
          <w:sz w:val="20"/>
          <w:rtl/>
        </w:rPr>
        <w:t>على حالات طرد الأجانب أو إعادتهم أو تسليمهم. وينبغي ألا تقوم الدولة الطرف، تحت أي ظرف من الظروف، بطرد أو إعادة أو تسليم أي شخص إلى دولة أخرى إذا و</w:t>
      </w:r>
      <w:r w:rsidRPr="006D33AD">
        <w:rPr>
          <w:rFonts w:hint="cs"/>
          <w:b/>
          <w:bCs/>
          <w:spacing w:val="0"/>
          <w:sz w:val="20"/>
          <w:rtl/>
        </w:rPr>
        <w:t>ُ</w:t>
      </w:r>
      <w:r w:rsidRPr="006D33AD">
        <w:rPr>
          <w:b/>
          <w:bCs/>
          <w:spacing w:val="0"/>
          <w:sz w:val="20"/>
          <w:rtl/>
        </w:rPr>
        <w:t>جدت أسباب معقولة تدعو إلى الاعتقاد بأن هذا الشخص معرض لخطر التعذيب أو سوء المعاملة في بلد الاستقبال.</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الإفلات من العقاب على أفعال التعذيب وسوء المعاملة</w:t>
      </w:r>
    </w:p>
    <w:p w:rsidR="004E0A37" w:rsidRPr="004E0A37" w:rsidRDefault="00BE7198" w:rsidP="00DF0D05">
      <w:pPr>
        <w:pStyle w:val="SingleTxtGA"/>
        <w:spacing w:line="360" w:lineRule="exact"/>
        <w:jc w:val="lowKashida"/>
        <w:rPr>
          <w:spacing w:val="0"/>
          <w:sz w:val="20"/>
          <w:rtl/>
        </w:rPr>
      </w:pPr>
      <w:r>
        <w:rPr>
          <w:rFonts w:hint="cs"/>
          <w:spacing w:val="0"/>
          <w:sz w:val="20"/>
          <w:rtl/>
        </w:rPr>
        <w:t>(</w:t>
      </w:r>
      <w:r w:rsidR="004E0A37" w:rsidRPr="004E0A37">
        <w:rPr>
          <w:spacing w:val="0"/>
          <w:sz w:val="20"/>
          <w:rtl/>
        </w:rPr>
        <w:t>18</w:t>
      </w:r>
      <w:r w:rsidR="003E72B5">
        <w:rPr>
          <w:spacing w:val="0"/>
          <w:sz w:val="20"/>
          <w:rtl/>
        </w:rPr>
        <w:t>)</w:t>
      </w:r>
      <w:r w:rsidR="003E72B5">
        <w:rPr>
          <w:spacing w:val="0"/>
          <w:sz w:val="20"/>
          <w:rtl/>
        </w:rPr>
        <w:tab/>
      </w:r>
      <w:r w:rsidR="004E0A37" w:rsidRPr="004E0A37">
        <w:rPr>
          <w:spacing w:val="0"/>
          <w:sz w:val="20"/>
          <w:rtl/>
        </w:rPr>
        <w:t>يساور اللجنة القلق من المزاعم العديدة والمتطابقة بشأن تعذيب الأشخاص المحرومين من الحرية وإساءة معاملتهم، وبخاصة على يد أفراد الشرطة. وتعرب اللجنة عن أسفها لعدم وجود بيانات موحدة بشأن حالات الإبلاغ عن التعذيب والتحقيق فيها والعقوبات الصادرة خلال الفترة المشمولة بتقرير الدولة الطرف. وتحيط اللجنة</w:t>
      </w:r>
      <w:r w:rsidR="003833F8">
        <w:rPr>
          <w:spacing w:val="0"/>
          <w:sz w:val="20"/>
          <w:rtl/>
        </w:rPr>
        <w:t xml:space="preserve"> علماً </w:t>
      </w:r>
      <w:r w:rsidR="004E0A37" w:rsidRPr="004E0A37">
        <w:rPr>
          <w:spacing w:val="0"/>
          <w:sz w:val="20"/>
          <w:rtl/>
        </w:rPr>
        <w:t>بالإحصاءات المتعلقة بالإجراءات الإدارية الموجزة المتخذة في حق موظفي الشرطة المقدمة في تقرير الدولة الطرف، لكنها تشير إلى أنها لا تذكر عدد الحالات التي جرت فيها محاكمات. ويساور اللجنة القلق أيضاً من ذكر المعلومات الواردة في تقرير الدولة الطرف أنه</w:t>
      </w:r>
      <w:r w:rsidR="00335AC0">
        <w:rPr>
          <w:spacing w:val="0"/>
          <w:sz w:val="20"/>
          <w:rtl/>
        </w:rPr>
        <w:t xml:space="preserve"> لم </w:t>
      </w:r>
      <w:r w:rsidR="004E0A37" w:rsidRPr="004E0A37">
        <w:rPr>
          <w:spacing w:val="0"/>
          <w:sz w:val="20"/>
          <w:rtl/>
        </w:rPr>
        <w:t>تقدم خلال عام 2009 إلا</w:t>
      </w:r>
      <w:r w:rsidR="006D33AD">
        <w:rPr>
          <w:rFonts w:hint="cs"/>
          <w:spacing w:val="0"/>
          <w:sz w:val="20"/>
          <w:rtl/>
        </w:rPr>
        <w:t> </w:t>
      </w:r>
      <w:r w:rsidR="004E0A37" w:rsidRPr="004E0A37">
        <w:rPr>
          <w:spacing w:val="0"/>
          <w:sz w:val="20"/>
          <w:rtl/>
        </w:rPr>
        <w:t>تسع شكاوى تتعلق بالتعذيب في سجون الدولة الطرف. وترى اللجنة أن هذه البيانات متضاربة مع المزاعم المتواصلة والوثائق الكثيرة الواردة من مصادر أخرى بشأن حالات تعذيب الأشخاص المحرومين من الحرية وإساءة معاملتهم. ويساور اللجنة القلق أيضاً من تدني فعالية ما يوجد من آليات الرقابة والإشراف على الشرطة، وكذا من عدم وجود تعويضات لضحايا التعذيب وسوء المعاملة وإعادة تأهيلهم (المواد 2 و12</w:t>
      </w:r>
      <w:r w:rsidR="00DF0D05">
        <w:rPr>
          <w:rFonts w:hint="cs"/>
          <w:spacing w:val="0"/>
          <w:sz w:val="20"/>
          <w:rtl/>
        </w:rPr>
        <w:t>-14</w:t>
      </w:r>
      <w:r w:rsidR="004E0A37" w:rsidRPr="004E0A37">
        <w:rPr>
          <w:spacing w:val="0"/>
          <w:sz w:val="20"/>
          <w:rtl/>
        </w:rPr>
        <w:t xml:space="preserve"> و16).</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توصي اللجنة الدولة الطرف بما يلي:</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rFonts w:hint="cs"/>
          <w:b/>
          <w:bCs/>
          <w:spacing w:val="0"/>
          <w:sz w:val="20"/>
          <w:rtl/>
        </w:rPr>
        <w:tab/>
      </w:r>
      <w:r w:rsidRPr="00E85F6E">
        <w:rPr>
          <w:b/>
          <w:bCs/>
          <w:spacing w:val="0"/>
          <w:sz w:val="20"/>
          <w:rtl/>
        </w:rPr>
        <w:t xml:space="preserve">أن تعتمد على سبيل الاستعجال تدابير ذات أثر فوري وفعال لمنع أعمال التعذيب وسوء المعاملة عن طريقة جملة أمور منها إعلان سياسة ذات نواتج قابلة للقياس </w:t>
      </w:r>
      <w:r w:rsidR="00F96B1E" w:rsidRPr="00E85F6E">
        <w:rPr>
          <w:b/>
          <w:bCs/>
          <w:spacing w:val="0"/>
          <w:sz w:val="20"/>
          <w:rtl/>
        </w:rPr>
        <w:t>فيما </w:t>
      </w:r>
      <w:r w:rsidRPr="00E85F6E">
        <w:rPr>
          <w:b/>
          <w:bCs/>
          <w:spacing w:val="0"/>
          <w:sz w:val="20"/>
          <w:rtl/>
        </w:rPr>
        <w:t xml:space="preserve">يتعلق بالقضاء على ارتكاب موظفي الدولة للأفعال المذكورة؛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rFonts w:hint="cs"/>
          <w:b/>
          <w:bCs/>
          <w:spacing w:val="0"/>
          <w:sz w:val="20"/>
          <w:rtl/>
        </w:rPr>
        <w:tab/>
      </w:r>
      <w:r w:rsidRPr="00E85F6E">
        <w:rPr>
          <w:b/>
          <w:bCs/>
          <w:spacing w:val="0"/>
          <w:sz w:val="20"/>
          <w:rtl/>
        </w:rPr>
        <w:t>اتخاذ تدابير ملائمة لضمان تحقيق هيئة مستقلة بطريقة سريعة ومحايدة في جميع شكاوى التعذيب وسوء المعاملة؛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(ج)</w:t>
      </w:r>
      <w:r w:rsidRPr="00E85F6E">
        <w:rPr>
          <w:rFonts w:hint="cs"/>
          <w:b/>
          <w:bCs/>
          <w:spacing w:val="0"/>
          <w:sz w:val="20"/>
          <w:rtl/>
        </w:rPr>
        <w:tab/>
      </w:r>
      <w:r w:rsidRPr="00E85F6E">
        <w:rPr>
          <w:b/>
          <w:bCs/>
          <w:spacing w:val="0"/>
          <w:sz w:val="20"/>
          <w:rtl/>
        </w:rPr>
        <w:t>إعادة النظر في مدى فعالية نظام تقديم الشكاوى الداخلية المتاح للأشخاص المحرومين من الحرية والنظر في إنشاء آلية مستقلة لتلقي الشكاوى من جميع الأشخاص المحرومين من الحرية؛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(د)</w:t>
      </w:r>
      <w:r w:rsidRPr="00E85F6E">
        <w:rPr>
          <w:rFonts w:hint="cs"/>
          <w:b/>
          <w:bCs/>
          <w:spacing w:val="0"/>
          <w:sz w:val="20"/>
          <w:rtl/>
        </w:rPr>
        <w:tab/>
      </w:r>
      <w:r w:rsidRPr="00E85F6E">
        <w:rPr>
          <w:b/>
          <w:bCs/>
          <w:spacing w:val="0"/>
          <w:sz w:val="20"/>
          <w:rtl/>
        </w:rPr>
        <w:t>ضمان تحقيق النيابة العامة وتحريكها، حسب الاقتضاء، بصورة تلقائية لدعاوى جنائية عند وجود أسباب معقولة تحمل على الاعتقاد بارتكاب أعمال تعذيب؛</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w:t>
      </w:r>
      <w:r w:rsidRPr="00E85F6E">
        <w:rPr>
          <w:rFonts w:hint="cs"/>
          <w:b/>
          <w:bCs/>
          <w:spacing w:val="0"/>
          <w:sz w:val="20"/>
          <w:rtl/>
        </w:rPr>
        <w:t>ﻫ</w:t>
      </w:r>
      <w:r w:rsidRPr="00E85F6E">
        <w:rPr>
          <w:b/>
          <w:bCs/>
          <w:spacing w:val="0"/>
          <w:sz w:val="20"/>
          <w:rtl/>
        </w:rPr>
        <w:t>)</w:t>
      </w:r>
      <w:r w:rsidRPr="00E85F6E">
        <w:rPr>
          <w:rFonts w:hint="cs"/>
          <w:b/>
          <w:bCs/>
          <w:spacing w:val="0"/>
          <w:sz w:val="20"/>
          <w:rtl/>
        </w:rPr>
        <w:tab/>
      </w:r>
      <w:r w:rsidRPr="00E85F6E">
        <w:rPr>
          <w:b/>
          <w:bCs/>
          <w:spacing w:val="0"/>
          <w:sz w:val="20"/>
          <w:rtl/>
        </w:rPr>
        <w:t>مقاضاة المرتكبين المزعومين لأعمال التعذيب أو سوء المعاملة على النحو الواجب، والحكم عليهم في حالة الإدانة بعقوبات متناسبة مع خطورة أعمالهم؛</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w:t>
      </w:r>
      <w:r w:rsidRPr="00E85F6E">
        <w:rPr>
          <w:rFonts w:hint="cs"/>
          <w:b/>
          <w:bCs/>
          <w:spacing w:val="0"/>
          <w:sz w:val="20"/>
          <w:rtl/>
        </w:rPr>
        <w:tab/>
      </w:r>
      <w:r w:rsidRPr="00E85F6E">
        <w:rPr>
          <w:b/>
          <w:bCs/>
          <w:spacing w:val="0"/>
          <w:sz w:val="20"/>
          <w:rtl/>
        </w:rPr>
        <w:t>تعزيز ما يوجد من آليات الرقابة والإشراف على الشرطة بحيث تضمن إشرافا</w:t>
      </w:r>
      <w:r w:rsidRPr="00E85F6E">
        <w:rPr>
          <w:rFonts w:hint="cs"/>
          <w:b/>
          <w:bCs/>
          <w:spacing w:val="0"/>
          <w:sz w:val="20"/>
          <w:rtl/>
        </w:rPr>
        <w:t>ً</w:t>
      </w:r>
      <w:r w:rsidRPr="00E85F6E">
        <w:rPr>
          <w:b/>
          <w:bCs/>
          <w:spacing w:val="0"/>
          <w:sz w:val="20"/>
          <w:rtl/>
        </w:rPr>
        <w:t xml:space="preserve"> مستقلا</w:t>
      </w:r>
      <w:r w:rsidRPr="00E85F6E">
        <w:rPr>
          <w:rFonts w:hint="cs"/>
          <w:b/>
          <w:bCs/>
          <w:spacing w:val="0"/>
          <w:sz w:val="20"/>
          <w:rtl/>
        </w:rPr>
        <w:t>ً</w:t>
      </w:r>
      <w:r w:rsidRPr="00E85F6E">
        <w:rPr>
          <w:b/>
          <w:bCs/>
          <w:spacing w:val="0"/>
          <w:sz w:val="20"/>
          <w:rtl/>
        </w:rPr>
        <w:t xml:space="preserve"> وفعالا</w:t>
      </w:r>
      <w:r w:rsidRPr="00E85F6E">
        <w:rPr>
          <w:rFonts w:hint="cs"/>
          <w:b/>
          <w:bCs/>
          <w:spacing w:val="0"/>
          <w:sz w:val="20"/>
          <w:rtl/>
        </w:rPr>
        <w:t>ً</w:t>
      </w:r>
      <w:r w:rsidRPr="00E85F6E">
        <w:rPr>
          <w:b/>
          <w:bCs/>
          <w:spacing w:val="0"/>
          <w:sz w:val="20"/>
          <w:rtl/>
        </w:rPr>
        <w:t>؛</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(ز)</w:t>
      </w:r>
      <w:r w:rsidRPr="00E85F6E">
        <w:rPr>
          <w:rFonts w:hint="cs"/>
          <w:b/>
          <w:bCs/>
          <w:spacing w:val="0"/>
          <w:sz w:val="20"/>
          <w:rtl/>
        </w:rPr>
        <w:tab/>
      </w:r>
      <w:r w:rsidRPr="00E85F6E">
        <w:rPr>
          <w:b/>
          <w:bCs/>
          <w:spacing w:val="0"/>
          <w:sz w:val="20"/>
          <w:rtl/>
        </w:rPr>
        <w:t>منح الضحايا تعويضا</w:t>
      </w:r>
      <w:r w:rsidRPr="00E85F6E">
        <w:rPr>
          <w:rFonts w:hint="cs"/>
          <w:b/>
          <w:bCs/>
          <w:spacing w:val="0"/>
          <w:sz w:val="20"/>
          <w:rtl/>
        </w:rPr>
        <w:t>ً</w:t>
      </w:r>
      <w:r w:rsidRPr="00E85F6E">
        <w:rPr>
          <w:b/>
          <w:bCs/>
          <w:spacing w:val="0"/>
          <w:sz w:val="20"/>
          <w:rtl/>
        </w:rPr>
        <w:t xml:space="preserve"> مناسبا</w:t>
      </w:r>
      <w:r w:rsidRPr="00E85F6E">
        <w:rPr>
          <w:rFonts w:hint="cs"/>
          <w:b/>
          <w:bCs/>
          <w:spacing w:val="0"/>
          <w:sz w:val="20"/>
          <w:rtl/>
        </w:rPr>
        <w:t>ً</w:t>
      </w:r>
      <w:r w:rsidRPr="00E85F6E">
        <w:rPr>
          <w:b/>
          <w:bCs/>
          <w:spacing w:val="0"/>
          <w:sz w:val="20"/>
          <w:rtl/>
        </w:rPr>
        <w:t xml:space="preserve"> وبذل جهود لإعادة تأهيلهم على أكمل وجه ممكن.</w:t>
      </w:r>
    </w:p>
    <w:p w:rsidR="004E0A37" w:rsidRPr="004E0A37" w:rsidRDefault="004E0A37" w:rsidP="004E0A37">
      <w:pPr>
        <w:pStyle w:val="H23GA"/>
        <w:jc w:val="lowKashida"/>
        <w:rPr>
          <w:rFonts w:hint="cs"/>
          <w:spacing w:val="0"/>
          <w:sz w:val="20"/>
          <w:rtl/>
        </w:rPr>
      </w:pPr>
      <w:r w:rsidRPr="004E0A37">
        <w:rPr>
          <w:spacing w:val="0"/>
          <w:sz w:val="20"/>
          <w:rtl/>
        </w:rPr>
        <w:tab/>
      </w:r>
      <w:r w:rsidRPr="004E0A37">
        <w:rPr>
          <w:spacing w:val="0"/>
          <w:sz w:val="20"/>
          <w:rtl/>
        </w:rPr>
        <w:tab/>
        <w:t>ظروف الاحتجاز واللجوء إلى الحبس الاحتياطي</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spacing w:val="0"/>
          <w:sz w:val="20"/>
          <w:rtl/>
        </w:rPr>
        <w:t>19</w:t>
      </w:r>
      <w:r w:rsidR="003E72B5">
        <w:rPr>
          <w:spacing w:val="0"/>
          <w:sz w:val="20"/>
          <w:rtl/>
        </w:rPr>
        <w:t>)</w:t>
      </w:r>
      <w:r w:rsidR="003E72B5">
        <w:rPr>
          <w:spacing w:val="0"/>
          <w:sz w:val="20"/>
          <w:rtl/>
        </w:rPr>
        <w:tab/>
      </w:r>
      <w:r w:rsidR="004E0A37" w:rsidRPr="004E0A37">
        <w:rPr>
          <w:spacing w:val="0"/>
          <w:sz w:val="20"/>
          <w:rtl/>
        </w:rPr>
        <w:t xml:space="preserve">يساور اللجنة القلق من اللجوء إلى الحبس الاحتياطي بصورة معتادة ومطولة، وهو ما من شأنه المساس </w:t>
      </w:r>
      <w:r w:rsidR="004E0A37" w:rsidRPr="004E0A37">
        <w:rPr>
          <w:rFonts w:hint="cs"/>
          <w:spacing w:val="0"/>
          <w:sz w:val="20"/>
          <w:rtl/>
        </w:rPr>
        <w:t>ب</w:t>
      </w:r>
      <w:r w:rsidR="004E0A37" w:rsidRPr="004E0A37">
        <w:rPr>
          <w:spacing w:val="0"/>
          <w:sz w:val="20"/>
          <w:rtl/>
        </w:rPr>
        <w:t>الحق في البراءة الأصلية، وذلك على حساب التدابير غير الحبسية. ويساور اللجنة القلق أيضاً من عدم احترام الفترة القانونية القصوى للحبس الاحتياطي ووجود تشريع في الدولة الطرف يقيد إمكانية اللجوء إلى تدابير بديلة عن الحبس الاحتياطي. ويساور اللجنة القلق على نحو خاص من الحبس الاحتياطي المطول للأطفال الذين تتراوح أعمارهم بين 16 و18 سنة. ويساور اللجنة القلق من كثرة المعلومات الواردة من مصادر شتى بشأن الظروف المادية المزرية في العديد من مخافر الشرطة والسجون في الدولة الطرف، ومن فرط اكتظاظها، ومن عدم كفاية الخدمات الطبية، ومن الغياب شبه التام للأنشطة لفائدة المحبوسين. وتعرب اللجنة عن قلقها بوجه خاص من الظروف المادية بجناح الطب النفسي بالسجن الوطني لتاكومبو وغياب العناية الطبية المتخصصة بنزلائه. وعلاوة على ذلك، يساور اللجنة القلق من مزاعم التمييز ضد فئة المثليات والمثليين و</w:t>
      </w:r>
      <w:r w:rsidR="004E0A37" w:rsidRPr="004E0A37">
        <w:rPr>
          <w:rFonts w:hint="cs"/>
          <w:spacing w:val="0"/>
          <w:sz w:val="20"/>
          <w:rtl/>
        </w:rPr>
        <w:t xml:space="preserve">مزدوجي الميل الجنسي </w:t>
      </w:r>
      <w:r w:rsidR="004E0A37" w:rsidRPr="004E0A37">
        <w:rPr>
          <w:spacing w:val="0"/>
          <w:sz w:val="20"/>
          <w:rtl/>
        </w:rPr>
        <w:t>ومغايري الهوية الجنسية في سجون الدولة الطرف، بما في ذلك التمييز في الحصول على الزيارات الحميمية. وأخيرا</w:t>
      </w:r>
      <w:r w:rsidR="004E0A37" w:rsidRPr="004E0A37">
        <w:rPr>
          <w:rFonts w:hint="cs"/>
          <w:spacing w:val="0"/>
          <w:sz w:val="20"/>
          <w:rtl/>
        </w:rPr>
        <w:t>ً</w:t>
      </w:r>
      <w:r w:rsidR="004E0A37" w:rsidRPr="004E0A37">
        <w:rPr>
          <w:spacing w:val="0"/>
          <w:sz w:val="20"/>
          <w:rtl/>
        </w:rPr>
        <w:t>، يساور اللجنة القلق من اللجوء التعسفي إلى الحبس الانفرادي كشكل من أشكال العقوبة في سجون الدولة الطرف (المواد 2 و11 و16).</w:t>
      </w:r>
      <w:r w:rsidR="004E0A37" w:rsidRPr="004E0A37">
        <w:rPr>
          <w:rFonts w:hint="cs"/>
          <w:spacing w:val="0"/>
          <w:sz w:val="20"/>
          <w:rtl/>
        </w:rPr>
        <w:t xml:space="preserve">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 اتخاذ تدابير فعالة لضمان امتثال سياستها للحبس الاحتياطي للمعايير الدولية وعدم استخدام الحبس الاحتياطي إلا كملجأ أخير ولفترة محدودة،</w:t>
      </w:r>
      <w:r w:rsidR="00B345DB" w:rsidRPr="00E85F6E">
        <w:rPr>
          <w:b/>
          <w:bCs/>
          <w:spacing w:val="0"/>
          <w:sz w:val="20"/>
          <w:rtl/>
        </w:rPr>
        <w:t xml:space="preserve"> وفقاً </w:t>
      </w:r>
      <w:r w:rsidRPr="00E85F6E">
        <w:rPr>
          <w:b/>
          <w:bCs/>
          <w:spacing w:val="0"/>
          <w:sz w:val="20"/>
          <w:rtl/>
        </w:rPr>
        <w:t>للشروط المنصوص عليها في تشريعاتها. ولهذه الغاية، ينبغي للدولة الطرف إعادة النظر في اللجوء إلى الحبس الاحتياطي، بوصفة التدبير الأول، في حالة المتهمين الذين ينتظرون المحاكمة والنظر في إمكانية العمل بتدابير بديلة عن الحبس، من مثل ما هو وارد في قواعد الأمم المتحدة الدنيا النموذجية للتدابير غير السجنية (قواعد طوكيو) التي وافقت عليها الجمعية العامة بموجب القرار 45/110، ولا سيما في حالة القصَّر. كما ينبغي تعزيز الرقابة القضائية على فترة الحبس الاحتياطي.</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وينبغي للدولة الطرف اتخاذ تدابير عاجلة لجعل ظروف الاحتجاز في مخافر الشرطة والسجون وغيرها من مراكز الاحتجاز متماشية مع القواعد النموذجية الدنيا لمعاملة السجناء التي أقرها المجلس الاقتصادي والاجتماعي في قراريه 663 جيم (د-24) و2076 (د-62). وتوصي اللجنة الدولة الطرف، على وجه الخصوص، بما يلي:</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rFonts w:hint="cs"/>
          <w:b/>
          <w:bCs/>
          <w:spacing w:val="0"/>
          <w:sz w:val="20"/>
          <w:rtl/>
        </w:rPr>
        <w:tab/>
      </w:r>
      <w:r w:rsidRPr="00E85F6E">
        <w:rPr>
          <w:b/>
          <w:bCs/>
          <w:spacing w:val="0"/>
          <w:sz w:val="20"/>
          <w:rtl/>
        </w:rPr>
        <w:t xml:space="preserve">اعتماد خطة لتحسين البنية التحتية لمخافر الشرطة والسجون في البلد من أجل ضمان ظروف العيش الكريم للمحبوسين؛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rFonts w:hint="cs"/>
          <w:b/>
          <w:bCs/>
          <w:spacing w:val="0"/>
          <w:sz w:val="20"/>
          <w:rtl/>
        </w:rPr>
        <w:tab/>
      </w:r>
      <w:r w:rsidRPr="00E85F6E">
        <w:rPr>
          <w:b/>
          <w:bCs/>
          <w:spacing w:val="0"/>
          <w:sz w:val="20"/>
          <w:rtl/>
        </w:rPr>
        <w:t xml:space="preserve">ضمان عدد كاف من الأخصائيين الطبيين، بمن فيهم أخصائيو الصحة العقلية، من أجل تأمين عناية طبية جيدة للمحبوسين؛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(ج)</w:t>
      </w:r>
      <w:r w:rsidRPr="00E85F6E">
        <w:rPr>
          <w:rFonts w:hint="cs"/>
          <w:b/>
          <w:bCs/>
          <w:spacing w:val="0"/>
          <w:sz w:val="20"/>
          <w:rtl/>
        </w:rPr>
        <w:tab/>
      </w:r>
      <w:r w:rsidRPr="00E85F6E">
        <w:rPr>
          <w:b/>
          <w:bCs/>
          <w:spacing w:val="0"/>
          <w:sz w:val="20"/>
          <w:rtl/>
        </w:rPr>
        <w:t>توفير مكان للاستقبال والعلاج الطبي النفسي الملائم للمحبوسين المحتاجين لإشراف وعلاج الطب النفسي؛</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(د)</w:t>
      </w:r>
      <w:r w:rsidRPr="00E85F6E">
        <w:rPr>
          <w:rFonts w:hint="cs"/>
          <w:b/>
          <w:bCs/>
          <w:spacing w:val="0"/>
          <w:sz w:val="20"/>
          <w:rtl/>
        </w:rPr>
        <w:tab/>
      </w:r>
      <w:r w:rsidRPr="00E85F6E">
        <w:rPr>
          <w:b/>
          <w:bCs/>
          <w:spacing w:val="0"/>
          <w:sz w:val="20"/>
          <w:rtl/>
        </w:rPr>
        <w:t>مضاعفة الجهود لمكافحة التميز ضد الفئات المستضعفة، ولا سيما فئة المثليات والمثليين و</w:t>
      </w:r>
      <w:r w:rsidRPr="00E85F6E">
        <w:rPr>
          <w:rFonts w:hint="cs"/>
          <w:b/>
          <w:bCs/>
          <w:spacing w:val="0"/>
          <w:sz w:val="20"/>
          <w:rtl/>
        </w:rPr>
        <w:t xml:space="preserve">مزدوجي الميل الجنسي </w:t>
      </w:r>
      <w:r w:rsidRPr="00E85F6E">
        <w:rPr>
          <w:b/>
          <w:bCs/>
          <w:spacing w:val="0"/>
          <w:sz w:val="20"/>
          <w:rtl/>
        </w:rPr>
        <w:t>ومغايري الهوية الجنسية؛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w:t>
      </w:r>
      <w:r w:rsidRPr="00E85F6E">
        <w:rPr>
          <w:rFonts w:hint="cs"/>
          <w:b/>
          <w:bCs/>
          <w:spacing w:val="0"/>
          <w:sz w:val="20"/>
          <w:rtl/>
        </w:rPr>
        <w:t>ﻫ</w:t>
      </w:r>
      <w:r w:rsidRPr="00E85F6E">
        <w:rPr>
          <w:b/>
          <w:bCs/>
          <w:spacing w:val="0"/>
          <w:sz w:val="20"/>
          <w:rtl/>
        </w:rPr>
        <w:t>)</w:t>
      </w:r>
      <w:r w:rsidRPr="00E85F6E">
        <w:rPr>
          <w:rFonts w:hint="cs"/>
          <w:b/>
          <w:bCs/>
          <w:spacing w:val="0"/>
          <w:sz w:val="20"/>
          <w:rtl/>
        </w:rPr>
        <w:tab/>
      </w:r>
      <w:r w:rsidRPr="00E85F6E">
        <w:rPr>
          <w:b/>
          <w:bCs/>
          <w:spacing w:val="0"/>
          <w:sz w:val="20"/>
          <w:rtl/>
        </w:rPr>
        <w:t>عدم اللجوء إلى الحبس الانفرادي إلا كملجأ أخير، ولأقصر وقت ممكن، وتحت إشراف صارم، وبإمكانية الرقابة القضائية.</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 xml:space="preserve">الإفادات </w:t>
      </w:r>
      <w:r w:rsidRPr="004E0A37">
        <w:rPr>
          <w:rFonts w:hint="cs"/>
          <w:spacing w:val="0"/>
          <w:sz w:val="20"/>
          <w:rtl/>
        </w:rPr>
        <w:t>المنتزعة</w:t>
      </w:r>
      <w:r w:rsidRPr="004E0A37">
        <w:rPr>
          <w:spacing w:val="0"/>
          <w:sz w:val="20"/>
          <w:rtl/>
        </w:rPr>
        <w:t xml:space="preserve"> تحت الإكراه</w:t>
      </w:r>
    </w:p>
    <w:p w:rsidR="004E0A37" w:rsidRPr="004E0A37" w:rsidRDefault="00BE7198" w:rsidP="00E85F6E">
      <w:pPr>
        <w:pStyle w:val="SingleTxtGA"/>
        <w:spacing w:line="360" w:lineRule="exact"/>
        <w:jc w:val="lowKashida"/>
        <w:rPr>
          <w:spacing w:val="0"/>
          <w:sz w:val="20"/>
          <w:rtl/>
        </w:rPr>
      </w:pPr>
      <w:r>
        <w:rPr>
          <w:rFonts w:hint="cs"/>
          <w:spacing w:val="0"/>
          <w:sz w:val="20"/>
          <w:rtl/>
        </w:rPr>
        <w:t>(</w:t>
      </w:r>
      <w:r w:rsidR="004E0A37" w:rsidRPr="004E0A37">
        <w:rPr>
          <w:spacing w:val="0"/>
          <w:sz w:val="20"/>
          <w:rtl/>
        </w:rPr>
        <w:t>20</w:t>
      </w:r>
      <w:r w:rsidR="003E72B5">
        <w:rPr>
          <w:spacing w:val="0"/>
          <w:sz w:val="20"/>
          <w:rtl/>
        </w:rPr>
        <w:t>)</w:t>
      </w:r>
      <w:r w:rsidR="003E72B5">
        <w:rPr>
          <w:spacing w:val="0"/>
          <w:sz w:val="20"/>
          <w:rtl/>
        </w:rPr>
        <w:tab/>
      </w:r>
      <w:r w:rsidR="004E0A37" w:rsidRPr="004E0A37">
        <w:rPr>
          <w:spacing w:val="0"/>
          <w:sz w:val="20"/>
          <w:rtl/>
        </w:rPr>
        <w:t xml:space="preserve">تعرب اللجنة عن قلقها من المعلومات التي تفيد أنه بالرغم </w:t>
      </w:r>
      <w:r w:rsidR="004E0A37" w:rsidRPr="004E0A37">
        <w:rPr>
          <w:rFonts w:hint="cs"/>
          <w:spacing w:val="0"/>
          <w:sz w:val="20"/>
          <w:rtl/>
        </w:rPr>
        <w:t>من أحكام</w:t>
      </w:r>
      <w:r w:rsidR="004E0A37" w:rsidRPr="004E0A37">
        <w:rPr>
          <w:spacing w:val="0"/>
          <w:sz w:val="20"/>
          <w:rtl/>
        </w:rPr>
        <w:t xml:space="preserve"> المادة 90 من قانون الإجراءات الجنائية </w:t>
      </w:r>
      <w:r w:rsidR="004E0A37" w:rsidRPr="004E0A37">
        <w:rPr>
          <w:rFonts w:hint="cs"/>
          <w:spacing w:val="0"/>
          <w:sz w:val="20"/>
          <w:rtl/>
        </w:rPr>
        <w:t>التي تنص على</w:t>
      </w:r>
      <w:r w:rsidR="004E0A37" w:rsidRPr="004E0A37">
        <w:rPr>
          <w:spacing w:val="0"/>
          <w:sz w:val="20"/>
          <w:rtl/>
        </w:rPr>
        <w:t xml:space="preserve"> عدم جواز انتزاع الشرطة إفادات من شخص رهن الاحتجاز، لا تزال الشرطة في الواقع تنتزع الإفادات تحت التعذيب أو بإساءة المعاملة. كما يساور اللجنة القلق من كون محاكم الدولة تستخدم هذه الإفادات أحيانا</w:t>
      </w:r>
      <w:r w:rsidR="004E0A37" w:rsidRPr="004E0A37">
        <w:rPr>
          <w:rFonts w:hint="cs"/>
          <w:spacing w:val="0"/>
          <w:sz w:val="20"/>
          <w:rtl/>
        </w:rPr>
        <w:t>ً</w:t>
      </w:r>
      <w:r w:rsidR="004E0A37" w:rsidRPr="004E0A37">
        <w:rPr>
          <w:spacing w:val="0"/>
          <w:sz w:val="20"/>
          <w:rtl/>
        </w:rPr>
        <w:t xml:space="preserve"> كأدلة إثبات. ويساور اللجنة القلق أيضاً من عدم وجود معلومات </w:t>
      </w:r>
      <w:r w:rsidR="004E0A37" w:rsidRPr="004E0A37">
        <w:rPr>
          <w:rFonts w:hint="cs"/>
          <w:spacing w:val="0"/>
          <w:sz w:val="20"/>
          <w:rtl/>
        </w:rPr>
        <w:t>تتعلق بمحاكمة موظفين ومعاقبتهم</w:t>
      </w:r>
      <w:r w:rsidR="004E0A37" w:rsidRPr="004E0A37">
        <w:rPr>
          <w:spacing w:val="0"/>
          <w:sz w:val="20"/>
          <w:rtl/>
        </w:rPr>
        <w:t xml:space="preserve"> على انتزاع إفادات</w:t>
      </w:r>
      <w:r w:rsidR="004E0A37" w:rsidRPr="004E0A37">
        <w:rPr>
          <w:rFonts w:hint="cs"/>
          <w:spacing w:val="0"/>
          <w:sz w:val="20"/>
          <w:rtl/>
        </w:rPr>
        <w:t xml:space="preserve"> بهذه الطريقة</w:t>
      </w:r>
      <w:r w:rsidR="004E0A37" w:rsidRPr="004E0A37">
        <w:rPr>
          <w:spacing w:val="0"/>
          <w:sz w:val="20"/>
          <w:rtl/>
        </w:rPr>
        <w:t xml:space="preserve"> (المواد 2 و4 و10 و15).</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 اتخاذ التدابير اللازمة لضمان عدم مقبولية الإفادات المنتزعة تحت التعذيب أمام المحاكم في جميع الدعاوى،</w:t>
      </w:r>
      <w:r w:rsidR="00B345DB" w:rsidRPr="00E85F6E">
        <w:rPr>
          <w:b/>
          <w:bCs/>
          <w:spacing w:val="0"/>
          <w:sz w:val="20"/>
          <w:rtl/>
        </w:rPr>
        <w:t xml:space="preserve"> وفقاً </w:t>
      </w:r>
      <w:r w:rsidRPr="00E85F6E">
        <w:rPr>
          <w:b/>
          <w:bCs/>
          <w:spacing w:val="0"/>
          <w:sz w:val="20"/>
          <w:rtl/>
        </w:rPr>
        <w:t>لأحكام المادة 15 من الاتفاقية. وتطلب اللجنة إلى الدولة الطرف أن تكفل عمليا</w:t>
      </w:r>
      <w:r w:rsidRPr="00E85F6E">
        <w:rPr>
          <w:rFonts w:hint="cs"/>
          <w:b/>
          <w:bCs/>
          <w:spacing w:val="0"/>
          <w:sz w:val="20"/>
          <w:rtl/>
        </w:rPr>
        <w:t>ً</w:t>
      </w:r>
      <w:r w:rsidRPr="00E85F6E">
        <w:rPr>
          <w:b/>
          <w:bCs/>
          <w:spacing w:val="0"/>
          <w:sz w:val="20"/>
          <w:rtl/>
        </w:rPr>
        <w:t xml:space="preserve"> عدم مقبولية الأدلة المحصل عليها بالتعذيب، وأن توافيها بمعلومات عما إذا كانت جرت محاكمة ومعاقبة أي موظف على حصوله على إفادات بهذه الطريقة، وكذا أمثلة للدعاوى التي حكم ببطلانها بسبب انتزاع إفاد</w:t>
      </w:r>
      <w:r w:rsidRPr="00E85F6E">
        <w:rPr>
          <w:rFonts w:hint="cs"/>
          <w:b/>
          <w:bCs/>
          <w:spacing w:val="0"/>
          <w:sz w:val="20"/>
          <w:rtl/>
        </w:rPr>
        <w:t>ات</w:t>
      </w:r>
      <w:r w:rsidRPr="00E85F6E">
        <w:rPr>
          <w:b/>
          <w:bCs/>
          <w:spacing w:val="0"/>
          <w:sz w:val="20"/>
          <w:rtl/>
        </w:rPr>
        <w:t xml:space="preserve"> تحت التعذيب. كما ينبغي للدولة الطرف كفالة تدريب الموظفين المكلفين بإنفاذ القوانين والقضاة والمحامين على أساليب كشف حالات الإفادات المنتزعة تحت التعذيب والتحقيق فيها.</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العنف ضد المرأة</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21</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بالتدابير المختلفة التي اتخذتها الدولة الطرف لمكافحة العنف ضد المرأة، ومنها تعزيز خمسة مخافر شرطة من أجل تسجيل شكاوى العنف المنزلي. كما تحيط</w:t>
      </w:r>
      <w:r w:rsidR="003833F8">
        <w:rPr>
          <w:spacing w:val="0"/>
          <w:sz w:val="20"/>
          <w:rtl/>
        </w:rPr>
        <w:t xml:space="preserve"> علماً </w:t>
      </w:r>
      <w:r w:rsidR="004E0A37" w:rsidRPr="004E0A37">
        <w:rPr>
          <w:spacing w:val="0"/>
          <w:sz w:val="20"/>
          <w:rtl/>
        </w:rPr>
        <w:t>بتنفيذ البرنامج الوطني لمنع العنف الجنساني والرعاية الشاملة لضحاياه في سبع مستشفيات عامة وإدراج الحبس كعقوبة لأعمال العنف الأسري. بيد أن اللجنة يساورها القلق من عدم وجود قانون محدد لمنع العنف ضد المرأة والمعاقبة عليه والقضاء عليه، ولا سيما الاعتداء الجنسي والعنف المنزلي ووفيات النساء بسبب العنف، وذلك بالرغم من ارتفاع معدلاته في الدولة الطرف (المواد 2 و12 و13 و16).</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ينبغي للدولة الطرف تكثيف جهودها من أجل كفالة تنفيذ تدابير حماية عاجلة وفعالة ترمي إلى منع ومكافحة جميع أشكال العنف ضد المرأة والفتاة، ولا سيما الاعتداء الجنسي والعنف المنزلي ووفيات النساء بسبب العنف. وينبغي للتدابير المذكورة أن تشمل على وجه الخصوص اعتماد قانون لمنع العنف ضد المرأة والمعاقبة عليه والقضاء عليه في أقرب وقت ممكن، وأن تكون متماشية مع اتفاقية القضاء على جميع أشكال التمييز ضد المرأة والتوصية العامة رقم 19 لعام 1994 للجنة المعنية بالقضاء على التمييز ضد المرأة المتعلقة بالعنف ضد المرأة. وينبغي للدولة الطرف أيضاً أن </w:t>
      </w:r>
      <w:r w:rsidRPr="00E85F6E">
        <w:rPr>
          <w:rFonts w:hint="cs"/>
          <w:b/>
          <w:bCs/>
          <w:spacing w:val="0"/>
          <w:sz w:val="20"/>
          <w:rtl/>
        </w:rPr>
        <w:t>تنظم</w:t>
      </w:r>
      <w:r w:rsidRPr="00E85F6E">
        <w:rPr>
          <w:b/>
          <w:bCs/>
          <w:spacing w:val="0"/>
          <w:sz w:val="20"/>
          <w:rtl/>
        </w:rPr>
        <w:t xml:space="preserve"> حملات توعية واسعة ودورات تدريبية بشأن منع العنف ضد المرأة والفتاة موجهة إلى الموظفين الذين لهم اتصال مباشر بالضحايا (الموظف</w:t>
      </w:r>
      <w:r w:rsidRPr="00E85F6E">
        <w:rPr>
          <w:rFonts w:hint="cs"/>
          <w:b/>
          <w:bCs/>
          <w:spacing w:val="0"/>
          <w:sz w:val="20"/>
          <w:rtl/>
        </w:rPr>
        <w:t>و</w:t>
      </w:r>
      <w:r w:rsidRPr="00E85F6E">
        <w:rPr>
          <w:b/>
          <w:bCs/>
          <w:spacing w:val="0"/>
          <w:sz w:val="20"/>
          <w:rtl/>
        </w:rPr>
        <w:t>ن المكلف</w:t>
      </w:r>
      <w:r w:rsidRPr="00E85F6E">
        <w:rPr>
          <w:rFonts w:hint="cs"/>
          <w:b/>
          <w:bCs/>
          <w:spacing w:val="0"/>
          <w:sz w:val="20"/>
          <w:rtl/>
        </w:rPr>
        <w:t>و</w:t>
      </w:r>
      <w:r w:rsidRPr="00E85F6E">
        <w:rPr>
          <w:b/>
          <w:bCs/>
          <w:spacing w:val="0"/>
          <w:sz w:val="20"/>
          <w:rtl/>
        </w:rPr>
        <w:t>ن بإنفاذ القوانين والقضاة والمحام</w:t>
      </w:r>
      <w:r w:rsidRPr="00E85F6E">
        <w:rPr>
          <w:rFonts w:hint="cs"/>
          <w:b/>
          <w:bCs/>
          <w:spacing w:val="0"/>
          <w:sz w:val="20"/>
          <w:rtl/>
        </w:rPr>
        <w:t>و</w:t>
      </w:r>
      <w:r w:rsidRPr="00E85F6E">
        <w:rPr>
          <w:b/>
          <w:bCs/>
          <w:spacing w:val="0"/>
          <w:sz w:val="20"/>
          <w:rtl/>
        </w:rPr>
        <w:t>ن و</w:t>
      </w:r>
      <w:r w:rsidRPr="00E85F6E">
        <w:rPr>
          <w:rFonts w:hint="cs"/>
          <w:b/>
          <w:bCs/>
          <w:spacing w:val="0"/>
          <w:sz w:val="20"/>
          <w:rtl/>
        </w:rPr>
        <w:t xml:space="preserve">المرشدون </w:t>
      </w:r>
      <w:r w:rsidRPr="00E85F6E">
        <w:rPr>
          <w:b/>
          <w:bCs/>
          <w:spacing w:val="0"/>
          <w:sz w:val="20"/>
          <w:rtl/>
        </w:rPr>
        <w:t>الاجتماعي</w:t>
      </w:r>
      <w:r w:rsidRPr="00E85F6E">
        <w:rPr>
          <w:rFonts w:hint="cs"/>
          <w:b/>
          <w:bCs/>
          <w:spacing w:val="0"/>
          <w:sz w:val="20"/>
          <w:rtl/>
        </w:rPr>
        <w:t>و</w:t>
      </w:r>
      <w:r w:rsidRPr="00E85F6E">
        <w:rPr>
          <w:b/>
          <w:bCs/>
          <w:spacing w:val="0"/>
          <w:sz w:val="20"/>
          <w:rtl/>
        </w:rPr>
        <w:t>ن وما إليهم) وعامة الجمهور.</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22</w:t>
      </w:r>
      <w:r w:rsidR="003E72B5">
        <w:rPr>
          <w:spacing w:val="0"/>
          <w:sz w:val="20"/>
          <w:rtl/>
        </w:rPr>
        <w:t>)</w:t>
      </w:r>
      <w:r w:rsidR="003E72B5">
        <w:rPr>
          <w:spacing w:val="0"/>
          <w:sz w:val="20"/>
          <w:rtl/>
        </w:rPr>
        <w:tab/>
      </w:r>
      <w:r w:rsidR="004E0A37" w:rsidRPr="004E0A37">
        <w:rPr>
          <w:spacing w:val="0"/>
          <w:sz w:val="20"/>
          <w:rtl/>
        </w:rPr>
        <w:t>وت</w:t>
      </w:r>
      <w:r w:rsidR="004E0A37" w:rsidRPr="004E0A37">
        <w:rPr>
          <w:rFonts w:hint="cs"/>
          <w:spacing w:val="0"/>
          <w:sz w:val="20"/>
          <w:rtl/>
        </w:rPr>
        <w:t>لاحظ</w:t>
      </w:r>
      <w:r w:rsidR="004E0A37" w:rsidRPr="004E0A37">
        <w:rPr>
          <w:spacing w:val="0"/>
          <w:sz w:val="20"/>
          <w:rtl/>
        </w:rPr>
        <w:t xml:space="preserve"> اللجنة </w:t>
      </w:r>
      <w:r w:rsidR="004E0A37" w:rsidRPr="004E0A37">
        <w:rPr>
          <w:rFonts w:hint="cs"/>
          <w:spacing w:val="0"/>
          <w:sz w:val="20"/>
          <w:rtl/>
        </w:rPr>
        <w:t>مع</w:t>
      </w:r>
      <w:r w:rsidR="004E0A37" w:rsidRPr="004E0A37">
        <w:rPr>
          <w:spacing w:val="0"/>
          <w:sz w:val="20"/>
          <w:rtl/>
        </w:rPr>
        <w:t xml:space="preserve"> </w:t>
      </w:r>
      <w:r w:rsidR="004E0A37" w:rsidRPr="004E0A37">
        <w:rPr>
          <w:rFonts w:hint="cs"/>
          <w:spacing w:val="0"/>
          <w:sz w:val="20"/>
          <w:rtl/>
        </w:rPr>
        <w:t>ال</w:t>
      </w:r>
      <w:r w:rsidR="004E0A37" w:rsidRPr="004E0A37">
        <w:rPr>
          <w:spacing w:val="0"/>
          <w:sz w:val="20"/>
          <w:rtl/>
        </w:rPr>
        <w:t xml:space="preserve">قلق الحظر العام للإجهاض </w:t>
      </w:r>
      <w:r w:rsidR="004E0A37" w:rsidRPr="004E0A37">
        <w:rPr>
          <w:rFonts w:hint="cs"/>
          <w:spacing w:val="0"/>
          <w:sz w:val="20"/>
          <w:rtl/>
        </w:rPr>
        <w:t xml:space="preserve">بموجب </w:t>
      </w:r>
      <w:r w:rsidR="004E0A37" w:rsidRPr="004E0A37">
        <w:rPr>
          <w:spacing w:val="0"/>
          <w:sz w:val="20"/>
          <w:rtl/>
        </w:rPr>
        <w:t>المادة 109 من قانون العقوبات، بما في ذلك في حالات العنف الجنسي أو سفاح المحارم أو انعدام فرص بقاء الجنين، مع استثناء وحيد هو الوفاة غير المباشرة للجنين نتيجة تدخل ضروري لحماية الأم من خطر حقيقي يتهدد حياتها. وتنطوي هذه الحالة على تعريض النساء المتضررات بشكل دائم للانتهاكات المرتكبة في حقهن، وهو ما يخلف توترا</w:t>
      </w:r>
      <w:r w:rsidR="004E0A37" w:rsidRPr="004E0A37">
        <w:rPr>
          <w:rFonts w:hint="cs"/>
          <w:spacing w:val="0"/>
          <w:sz w:val="20"/>
          <w:rtl/>
        </w:rPr>
        <w:t>ً</w:t>
      </w:r>
      <w:r w:rsidR="004E0A37" w:rsidRPr="004E0A37">
        <w:rPr>
          <w:spacing w:val="0"/>
          <w:sz w:val="20"/>
          <w:rtl/>
        </w:rPr>
        <w:t xml:space="preserve"> خطيرا</w:t>
      </w:r>
      <w:r w:rsidR="004E0A37" w:rsidRPr="004E0A37">
        <w:rPr>
          <w:rFonts w:hint="cs"/>
          <w:spacing w:val="0"/>
          <w:sz w:val="20"/>
          <w:rtl/>
        </w:rPr>
        <w:t>ً</w:t>
      </w:r>
      <w:r w:rsidR="004E0A37" w:rsidRPr="004E0A37">
        <w:rPr>
          <w:spacing w:val="0"/>
          <w:sz w:val="20"/>
          <w:rtl/>
        </w:rPr>
        <w:t xml:space="preserve"> ناتجا</w:t>
      </w:r>
      <w:r w:rsidR="004E0A37" w:rsidRPr="004E0A37">
        <w:rPr>
          <w:rFonts w:hint="cs"/>
          <w:spacing w:val="0"/>
          <w:sz w:val="20"/>
          <w:rtl/>
        </w:rPr>
        <w:t>ً</w:t>
      </w:r>
      <w:r w:rsidR="004E0A37" w:rsidRPr="004E0A37">
        <w:rPr>
          <w:spacing w:val="0"/>
          <w:sz w:val="20"/>
          <w:rtl/>
        </w:rPr>
        <w:t xml:space="preserve"> عن الصدمة النفسية مع خطر المعاناة من مشاكل نفسية لفترات طويلة. وتشير اللجنة بقلق أيضاً إلى تعرض النساء اللائي يسعين إلى الإجهاض بسبب </w:t>
      </w:r>
      <w:r w:rsidR="004E0A37" w:rsidRPr="004E0A37">
        <w:rPr>
          <w:rFonts w:hint="cs"/>
          <w:spacing w:val="0"/>
          <w:sz w:val="20"/>
          <w:rtl/>
        </w:rPr>
        <w:t>الظروف</w:t>
      </w:r>
      <w:r w:rsidR="004E0A37" w:rsidRPr="004E0A37">
        <w:rPr>
          <w:spacing w:val="0"/>
          <w:sz w:val="20"/>
          <w:rtl/>
        </w:rPr>
        <w:t xml:space="preserve"> المشار إليها أعلاه إلى العقاب. ويساور اللجنة القلق أيضاً من رفض تقديم الرعاية الطبية للنساء اللائي قررن الإجهاض، وهو ما قد يضر ضررا</w:t>
      </w:r>
      <w:r w:rsidR="004E0A37" w:rsidRPr="004E0A37">
        <w:rPr>
          <w:rFonts w:hint="cs"/>
          <w:spacing w:val="0"/>
          <w:sz w:val="20"/>
          <w:rtl/>
        </w:rPr>
        <w:t>ً</w:t>
      </w:r>
      <w:r w:rsidR="004E0A37" w:rsidRPr="004E0A37">
        <w:rPr>
          <w:spacing w:val="0"/>
          <w:sz w:val="20"/>
          <w:rtl/>
        </w:rPr>
        <w:t xml:space="preserve"> بالغا</w:t>
      </w:r>
      <w:r w:rsidR="004E0A37" w:rsidRPr="004E0A37">
        <w:rPr>
          <w:rFonts w:hint="cs"/>
          <w:spacing w:val="0"/>
          <w:sz w:val="20"/>
          <w:rtl/>
        </w:rPr>
        <w:t>ً</w:t>
      </w:r>
      <w:r w:rsidR="004E0A37" w:rsidRPr="004E0A37">
        <w:rPr>
          <w:spacing w:val="0"/>
          <w:sz w:val="20"/>
          <w:rtl/>
        </w:rPr>
        <w:t xml:space="preserve"> بالصحة البدنية والعقلية للنساء ويمكن أن </w:t>
      </w:r>
      <w:r w:rsidR="004E0A37" w:rsidRPr="004E0A37">
        <w:rPr>
          <w:rFonts w:hint="cs"/>
          <w:spacing w:val="0"/>
          <w:sz w:val="20"/>
          <w:rtl/>
        </w:rPr>
        <w:t>يكون بمثابة</w:t>
      </w:r>
      <w:r w:rsidR="004E0A37" w:rsidRPr="004E0A37">
        <w:rPr>
          <w:spacing w:val="0"/>
          <w:sz w:val="20"/>
          <w:rtl/>
        </w:rPr>
        <w:t xml:space="preserve"> </w:t>
      </w:r>
      <w:r w:rsidR="004E0A37" w:rsidRPr="004E0A37">
        <w:rPr>
          <w:rFonts w:hint="cs"/>
          <w:spacing w:val="0"/>
          <w:sz w:val="20"/>
          <w:rtl/>
        </w:rPr>
        <w:t>معاملة</w:t>
      </w:r>
      <w:r w:rsidR="004E0A37" w:rsidRPr="004E0A37">
        <w:rPr>
          <w:spacing w:val="0"/>
          <w:sz w:val="20"/>
          <w:rtl/>
        </w:rPr>
        <w:t xml:space="preserve"> قاسية ولا</w:t>
      </w:r>
      <w:r w:rsidR="004E0A37" w:rsidRPr="004E0A37">
        <w:rPr>
          <w:rFonts w:hint="cs"/>
          <w:spacing w:val="0"/>
          <w:sz w:val="20"/>
          <w:rtl/>
        </w:rPr>
        <w:t xml:space="preserve"> </w:t>
      </w:r>
      <w:r w:rsidR="004E0A37" w:rsidRPr="004E0A37">
        <w:rPr>
          <w:spacing w:val="0"/>
          <w:sz w:val="20"/>
          <w:rtl/>
        </w:rPr>
        <w:t>إنسانية. وبهذا المعنى، تعرب اللجنة عن بالغ قلقها من استمرار حالات الإجهاض السري من بين الأسباب الرئيسية للوفيات في صفوف النساء. كما تشير اللجنة بقلق إلى احتمال تحقيق أجهزة الدولة الطرف مع الطبيب الشخصي ومعاقبته على ممارسة الإجهاض العلاجي. وتشير اللجنة بقلق أيضاً إلى إبلاغ العاملين الطبيين عن حالات الإجهاض التي يعلمون عنها في إطار السر المهني، بشكل ينتهك أخلاقيات المهنة (المادتان 2 و16).</w:t>
      </w:r>
    </w:p>
    <w:p w:rsidR="004E0A37" w:rsidRPr="00E85F6E" w:rsidRDefault="004E0A37" w:rsidP="002E2361">
      <w:pPr>
        <w:pStyle w:val="SingleTxtGA"/>
        <w:spacing w:line="374" w:lineRule="exact"/>
        <w:jc w:val="lowKashida"/>
        <w:rPr>
          <w:b/>
          <w:bCs/>
          <w:spacing w:val="0"/>
          <w:sz w:val="20"/>
          <w:rtl/>
        </w:rPr>
      </w:pPr>
      <w:r w:rsidRPr="00E85F6E">
        <w:rPr>
          <w:rFonts w:hint="cs"/>
          <w:b/>
          <w:bCs/>
          <w:spacing w:val="0"/>
          <w:sz w:val="20"/>
          <w:rtl/>
        </w:rPr>
        <w:tab/>
      </w:r>
      <w:r w:rsidRPr="00E85F6E">
        <w:rPr>
          <w:b/>
          <w:bCs/>
          <w:spacing w:val="0"/>
          <w:sz w:val="20"/>
          <w:rtl/>
        </w:rPr>
        <w:t>تحث اللجنة الدولة الطرف على مراجعة تشريعاتها المتعلقة بالإجهاض، على النحو الذي أوصى به كل من مجلس حقوق الإنسان واللجنة المعنية بحقوق الإنسان واللجنة المعنية بالقضاء على التمييز ضد المرأة ولجنة الحقوق الاقتصادية والاجتماعية والثقافية في توصياتها الختامية، وعلى دراسة إمكانية الأخذ باستثناءات إضافية للحظر العام للإجهاض، ولا سيما في حالات الإجهاض العلاجي والحمل الناتج عن الاغتصاب أو سفاح المحارم. ووفقاً للمبادئ التوجيهية لمنظمة الصحة العالمية، يتعين على الدولة الطرف أن تكفل العلاج الفوري وغير المشروط للأشخاص الذي يسعون إلى الحصول على الرعاية الطبية العاجلة. وينبغي للدولة الطرف أيضاً اتخاذ تدابير للحفاظ على سرية العلاقة بين الطبيب ومريضه عندما يكون سبب المساعدة الطبية هو المضاعفات الناجمة عن الإجهاض.</w:t>
      </w:r>
    </w:p>
    <w:p w:rsidR="004E0A37" w:rsidRPr="004E0A37" w:rsidRDefault="004E0A37" w:rsidP="002E2361">
      <w:pPr>
        <w:pStyle w:val="H23GA"/>
        <w:spacing w:line="374" w:lineRule="exact"/>
        <w:jc w:val="lowKashida"/>
        <w:rPr>
          <w:spacing w:val="0"/>
          <w:sz w:val="20"/>
          <w:rtl/>
        </w:rPr>
      </w:pPr>
      <w:r w:rsidRPr="004E0A37">
        <w:rPr>
          <w:spacing w:val="0"/>
          <w:sz w:val="20"/>
          <w:rtl/>
        </w:rPr>
        <w:tab/>
      </w:r>
      <w:r w:rsidRPr="004E0A37">
        <w:rPr>
          <w:spacing w:val="0"/>
          <w:sz w:val="20"/>
          <w:rtl/>
        </w:rPr>
        <w:tab/>
        <w:t>الاتجار بالأشخاص</w:t>
      </w:r>
    </w:p>
    <w:p w:rsidR="004E0A37" w:rsidRPr="004E0A37" w:rsidRDefault="00BE7198" w:rsidP="002E2361">
      <w:pPr>
        <w:pStyle w:val="SingleTxtGA"/>
        <w:spacing w:line="374" w:lineRule="exact"/>
        <w:jc w:val="lowKashida"/>
        <w:rPr>
          <w:spacing w:val="0"/>
          <w:sz w:val="20"/>
          <w:rtl/>
        </w:rPr>
      </w:pPr>
      <w:r>
        <w:rPr>
          <w:rFonts w:hint="cs"/>
          <w:spacing w:val="0"/>
          <w:sz w:val="20"/>
          <w:rtl/>
        </w:rPr>
        <w:t>(</w:t>
      </w:r>
      <w:r w:rsidR="004E0A37" w:rsidRPr="004E0A37">
        <w:rPr>
          <w:spacing w:val="0"/>
          <w:sz w:val="20"/>
          <w:rtl/>
        </w:rPr>
        <w:t>23</w:t>
      </w:r>
      <w:r w:rsidR="003E72B5">
        <w:rPr>
          <w:spacing w:val="0"/>
          <w:sz w:val="20"/>
          <w:rtl/>
        </w:rPr>
        <w:t>)</w:t>
      </w:r>
      <w:r w:rsidR="003E72B5">
        <w:rPr>
          <w:spacing w:val="0"/>
          <w:sz w:val="20"/>
          <w:rtl/>
        </w:rPr>
        <w:tab/>
      </w:r>
      <w:r w:rsidR="004E0A37" w:rsidRPr="004E0A37">
        <w:rPr>
          <w:spacing w:val="0"/>
          <w:sz w:val="20"/>
          <w:rtl/>
        </w:rPr>
        <w:t>تقر اللجنة بالجهود التي تبذلها الدولة الطرف في التصدي للاتجار بالأشخاص والتي تشمل إنشاء لجنة مشتركة بين المؤسسات لمنع الاتجار بالأشخاص ومكافحته، ووحدات متخصصة في أمانة الطفولة والمراهقة وأمانة المرأة، ومركز الرعاية الشاملة لضحايا الاتجار بالأشخاص، وصياغة مشروع قانون لمكافحة الاتجار بالأشخاص. وتشير اللجنة باهتمام إلى فتح مركز إقامة مؤقتة لضحايا الاتجار، لكنها تلاحظ أن الطاقة الإيوائية للمركز المذكور محدودة وأنه لا يستقبل إلا الإناث من الضحايا. ويساور اللجنة القلق من استمرار باراغواي بلدَ منش</w:t>
      </w:r>
      <w:r w:rsidR="004E0A37" w:rsidRPr="004E0A37">
        <w:rPr>
          <w:rFonts w:hint="cs"/>
          <w:spacing w:val="0"/>
          <w:sz w:val="20"/>
          <w:rtl/>
        </w:rPr>
        <w:t>أ</w:t>
      </w:r>
      <w:r w:rsidR="004E0A37" w:rsidRPr="004E0A37">
        <w:rPr>
          <w:spacing w:val="0"/>
          <w:sz w:val="20"/>
          <w:rtl/>
        </w:rPr>
        <w:t xml:space="preserve"> وعبور للاتجار بالأشخاص وتعرب عن أسفها لعدم وجود معلومات شاملة عن قضايا الاتجار وكذا الأحكام الصادرة </w:t>
      </w:r>
      <w:r w:rsidR="004E0A37" w:rsidRPr="004E0A37">
        <w:rPr>
          <w:rFonts w:hint="cs"/>
          <w:spacing w:val="0"/>
          <w:sz w:val="20"/>
          <w:rtl/>
        </w:rPr>
        <w:t>في</w:t>
      </w:r>
      <w:r w:rsidR="004E0A37" w:rsidRPr="004E0A37">
        <w:rPr>
          <w:spacing w:val="0"/>
          <w:sz w:val="20"/>
          <w:rtl/>
        </w:rPr>
        <w:t xml:space="preserve"> هذه </w:t>
      </w:r>
      <w:r w:rsidR="004E0A37" w:rsidRPr="004E0A37">
        <w:rPr>
          <w:rFonts w:hint="cs"/>
          <w:spacing w:val="0"/>
          <w:sz w:val="20"/>
          <w:rtl/>
        </w:rPr>
        <w:t>القضايا</w:t>
      </w:r>
      <w:r w:rsidR="004E0A37" w:rsidRPr="004E0A37">
        <w:rPr>
          <w:spacing w:val="0"/>
          <w:sz w:val="20"/>
          <w:rtl/>
        </w:rPr>
        <w:t xml:space="preserve"> (المواد 2 و10 و16). </w:t>
      </w:r>
    </w:p>
    <w:p w:rsidR="004E0A37" w:rsidRPr="00E85F6E" w:rsidRDefault="004E0A37" w:rsidP="002E2361">
      <w:pPr>
        <w:pStyle w:val="SingleTxtGA"/>
        <w:spacing w:line="374" w:lineRule="exact"/>
        <w:jc w:val="lowKashida"/>
        <w:rPr>
          <w:b/>
          <w:bCs/>
          <w:spacing w:val="0"/>
          <w:sz w:val="20"/>
          <w:rtl/>
        </w:rPr>
      </w:pPr>
      <w:r w:rsidRPr="00E85F6E">
        <w:rPr>
          <w:rFonts w:hint="cs"/>
          <w:b/>
          <w:bCs/>
          <w:spacing w:val="0"/>
          <w:sz w:val="20"/>
          <w:rtl/>
        </w:rPr>
        <w:tab/>
      </w:r>
      <w:r w:rsidRPr="00E85F6E">
        <w:rPr>
          <w:b/>
          <w:bCs/>
          <w:spacing w:val="0"/>
          <w:sz w:val="20"/>
          <w:rtl/>
        </w:rPr>
        <w:t>ينبغي للدولة الطرف أن تكفل إجراء تحقيق فوري ومحايد وشامل في جميع الادعاءات المتعلقة بالاتجار بالأشخاص ومحاكمة الفاعلين ومعاقبتهم على ارتكابهم جريمة الاتجار بالأشخاص. وينبغي للدولة الطرف أن تواصل تنظيم حملات توعية في جميع أنحاء البلد، وتوفير برامج مناسبة لمساعدة ضحايا الاتجار وتمكينهم من التعافي وإعادة إدماجهم، وتوفير التدريب لموظفي إنفاذ القوانين، والقضاة والمدعين العامين، وموظفي الهجرة، وشرطة الحدود بشأن أسباب وعواقب وانعكاسات الاتجار وغيره من أشكال الاستغلال. وينبغي للدولة الطرف على وجه الخصوص أن تبذل جهودا</w:t>
      </w:r>
      <w:r w:rsidRPr="00E85F6E">
        <w:rPr>
          <w:rFonts w:hint="cs"/>
          <w:b/>
          <w:bCs/>
          <w:spacing w:val="0"/>
          <w:sz w:val="20"/>
          <w:rtl/>
        </w:rPr>
        <w:t>ً</w:t>
      </w:r>
      <w:r w:rsidRPr="00E85F6E">
        <w:rPr>
          <w:b/>
          <w:bCs/>
          <w:spacing w:val="0"/>
          <w:sz w:val="20"/>
          <w:rtl/>
        </w:rPr>
        <w:t xml:space="preserve"> لتنفيذ الخطة الوطنية لمنع الاستغلال الجنسي التجاري للأطفال والمراهقين والقضاء عليه ولتخصيص الموارد البشرية والمالية اللازمة لذلك. كما توصي اللجنة الدولة الطرف بأن تضاعف جهودها لإنشاء سبل وآليات للتعاون الدولي والإقليمي والثنائي مع بلدان المصدر والعبور والمقصد لمنع حالات الاتجار بالأشخاص والتحقيق فيها والمعاقبة عليها.</w:t>
      </w:r>
    </w:p>
    <w:p w:rsidR="004E0A37" w:rsidRPr="004E0A37" w:rsidRDefault="004E0A37" w:rsidP="002E2361">
      <w:pPr>
        <w:pStyle w:val="H23GA"/>
        <w:spacing w:line="374" w:lineRule="exact"/>
        <w:jc w:val="lowKashida"/>
        <w:rPr>
          <w:spacing w:val="0"/>
          <w:sz w:val="20"/>
          <w:rtl/>
        </w:rPr>
      </w:pPr>
      <w:r w:rsidRPr="004E0A37">
        <w:rPr>
          <w:spacing w:val="0"/>
          <w:sz w:val="20"/>
          <w:rtl/>
        </w:rPr>
        <w:tab/>
      </w:r>
      <w:r w:rsidRPr="004E0A37">
        <w:rPr>
          <w:spacing w:val="0"/>
          <w:sz w:val="20"/>
          <w:rtl/>
        </w:rPr>
        <w:tab/>
        <w:t xml:space="preserve">التدريب وتطبيق بروتوكول </w:t>
      </w:r>
      <w:r w:rsidR="002C1EA7">
        <w:rPr>
          <w:rFonts w:hint="cs"/>
          <w:spacing w:val="0"/>
          <w:sz w:val="20"/>
          <w:rtl/>
        </w:rPr>
        <w:t>اسطنبول</w:t>
      </w:r>
    </w:p>
    <w:p w:rsidR="004E0A37" w:rsidRPr="004E0A37" w:rsidRDefault="00BE7198" w:rsidP="002E2361">
      <w:pPr>
        <w:pStyle w:val="SingleTxtGA"/>
        <w:spacing w:line="374" w:lineRule="exact"/>
        <w:jc w:val="lowKashida"/>
        <w:rPr>
          <w:spacing w:val="0"/>
          <w:sz w:val="20"/>
          <w:rtl/>
        </w:rPr>
      </w:pPr>
      <w:r>
        <w:rPr>
          <w:rFonts w:hint="cs"/>
          <w:spacing w:val="0"/>
          <w:sz w:val="20"/>
          <w:rtl/>
        </w:rPr>
        <w:t>(</w:t>
      </w:r>
      <w:r w:rsidR="004E0A37" w:rsidRPr="004E0A37">
        <w:rPr>
          <w:spacing w:val="0"/>
          <w:sz w:val="20"/>
          <w:rtl/>
        </w:rPr>
        <w:t>24</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الواردة في تقرير الدولة الطرف بشأن برامج تدريب القوات المسلحة والمدعين العامين وأفراد الشرطة الوطنية، لكنها تعرب عن أسفها لندرة المعلومات المتاحة عن تقييم البرامج المذكورة ومدى فعاليتها في الحد من حالات التعذيب وسوء المعاملة. وتعرب عن أسفها خاصة من عدم وجود معلومات عن التدريب على دليل التقصي والتوثيق الفعالين للتعذيب وغيره من ضروب المعاملة أو العقوبة القاسية أو اللاإنسانية أو المهينة (برتوكول </w:t>
      </w:r>
      <w:r w:rsidR="002C1EA7">
        <w:rPr>
          <w:rFonts w:hint="cs"/>
          <w:spacing w:val="0"/>
          <w:sz w:val="20"/>
          <w:rtl/>
        </w:rPr>
        <w:t>اسطنبول</w:t>
      </w:r>
      <w:r w:rsidR="004E0A37" w:rsidRPr="004E0A37">
        <w:rPr>
          <w:spacing w:val="0"/>
          <w:sz w:val="20"/>
          <w:rtl/>
        </w:rPr>
        <w:t>) لفائدة الموظفين المكلفين بالتحقيق في حالات التعذيب وتحديدها ومعالجتها (المادة 10).</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 القيام بما يلي:</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b/>
          <w:bCs/>
          <w:spacing w:val="0"/>
          <w:sz w:val="20"/>
          <w:rtl/>
        </w:rPr>
        <w:tab/>
        <w:t>أن تواصل برامج التدريب التي تهدف إلى ضمان إدراك كافة الموظفين العموميين كافة، ولا سيما أفراد الشرطة وغيرهم من الموظفين المكلفين بإنفاذ القوانين، إدرا</w:t>
      </w:r>
      <w:r w:rsidRPr="00E85F6E">
        <w:rPr>
          <w:rFonts w:hint="cs"/>
          <w:b/>
          <w:bCs/>
          <w:spacing w:val="0"/>
          <w:sz w:val="20"/>
          <w:rtl/>
        </w:rPr>
        <w:t>ك</w:t>
      </w:r>
      <w:r w:rsidRPr="00E85F6E">
        <w:rPr>
          <w:b/>
          <w:bCs/>
          <w:spacing w:val="0"/>
          <w:sz w:val="20"/>
          <w:rtl/>
        </w:rPr>
        <w:t>اً تاما</w:t>
      </w:r>
      <w:r w:rsidRPr="00E85F6E">
        <w:rPr>
          <w:rFonts w:hint="cs"/>
          <w:b/>
          <w:bCs/>
          <w:spacing w:val="0"/>
          <w:sz w:val="20"/>
          <w:rtl/>
        </w:rPr>
        <w:t>ً</w:t>
      </w:r>
      <w:r w:rsidRPr="00E85F6E">
        <w:rPr>
          <w:b/>
          <w:bCs/>
          <w:spacing w:val="0"/>
          <w:sz w:val="20"/>
          <w:rtl/>
        </w:rPr>
        <w:t xml:space="preserve"> لأحكام الاتفاقية؛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rFonts w:hint="cs"/>
          <w:b/>
          <w:bCs/>
          <w:spacing w:val="0"/>
          <w:sz w:val="20"/>
          <w:rtl/>
        </w:rPr>
        <w:tab/>
      </w:r>
      <w:r w:rsidRPr="00E85F6E">
        <w:rPr>
          <w:b/>
          <w:bCs/>
          <w:spacing w:val="0"/>
          <w:sz w:val="20"/>
          <w:rtl/>
        </w:rPr>
        <w:t>أن تقيّم مدى كفاءة البرامج التدريبية والتثقيفية ومدى تأثيرها في الحد من حالات التعذيب وإساءة المعاملة؛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(ج)</w:t>
      </w:r>
      <w:r w:rsidRPr="00E85F6E">
        <w:rPr>
          <w:rFonts w:hint="cs"/>
          <w:b/>
          <w:bCs/>
          <w:spacing w:val="0"/>
          <w:sz w:val="20"/>
          <w:rtl/>
        </w:rPr>
        <w:tab/>
      </w:r>
      <w:r w:rsidRPr="00E85F6E">
        <w:rPr>
          <w:b/>
          <w:bCs/>
          <w:spacing w:val="0"/>
          <w:sz w:val="20"/>
          <w:rtl/>
        </w:rPr>
        <w:t xml:space="preserve">أن تضع خطة لتدريب جميع الموظفين المكلفين بالتحقيق في حالات التعذيب وتحديدها، بمن فيهم محامو المساعدة القانونية والأطباء والأطباء النفسيون، من أجل التعريف بمضمون بروتوكول </w:t>
      </w:r>
      <w:r w:rsidR="002C1EA7" w:rsidRPr="00E85F6E">
        <w:rPr>
          <w:rFonts w:hint="cs"/>
          <w:b/>
          <w:bCs/>
          <w:spacing w:val="0"/>
          <w:sz w:val="20"/>
          <w:rtl/>
        </w:rPr>
        <w:t>اسطنبول</w:t>
      </w:r>
      <w:r w:rsidRPr="00E85F6E">
        <w:rPr>
          <w:b/>
          <w:bCs/>
          <w:spacing w:val="0"/>
          <w:sz w:val="20"/>
          <w:rtl/>
        </w:rPr>
        <w:t xml:space="preserve"> وتطبيقه عمليا</w:t>
      </w:r>
      <w:r w:rsidRPr="00E85F6E">
        <w:rPr>
          <w:rFonts w:hint="cs"/>
          <w:b/>
          <w:bCs/>
          <w:spacing w:val="0"/>
          <w:sz w:val="20"/>
          <w:rtl/>
        </w:rPr>
        <w:t>ً</w:t>
      </w:r>
      <w:r w:rsidRPr="00E85F6E">
        <w:rPr>
          <w:b/>
          <w:bCs/>
          <w:spacing w:val="0"/>
          <w:sz w:val="20"/>
          <w:rtl/>
        </w:rPr>
        <w:t>.</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جبر الضرر، بما في ذلك التعويض وإعادة التأهيل</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25</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الواردة في تقرير الدولة الطرف بشأن التعويضات المالية التي منحت لضحايا انتهاكات حقوق الإنسان، بما فيها التعذيب، التي حدثت خلال الفترة الممتدة من 1954 إلى 1989. وتعرب اللجنة عن أسفها من عدم تلقي أية معلومات عن اتخاذ تدابير لإعادة تأهيل هؤلاء الضحايا، من مثل المساعدة النفسية أو التدريب. وتعرب اللجنة عن أسفها من الغياب التام للمعلومات بشأن تدابير جبر ضرر ضحايا التعذيب </w:t>
      </w:r>
      <w:r w:rsidR="004E0A37" w:rsidRPr="004E0A37">
        <w:rPr>
          <w:rFonts w:hint="cs"/>
          <w:spacing w:val="0"/>
          <w:sz w:val="20"/>
          <w:rtl/>
        </w:rPr>
        <w:t>بعد انتهاء</w:t>
      </w:r>
      <w:r w:rsidR="004E0A37" w:rsidRPr="004E0A37">
        <w:rPr>
          <w:spacing w:val="0"/>
          <w:sz w:val="20"/>
          <w:rtl/>
        </w:rPr>
        <w:t xml:space="preserve"> فترة الدكتاتورية (المادة 14).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ينبغي للدولة الطرف ضمان اتخاذ التدابير الملائمة لجبر </w:t>
      </w:r>
      <w:r w:rsidRPr="00E85F6E">
        <w:rPr>
          <w:rFonts w:hint="cs"/>
          <w:b/>
          <w:bCs/>
          <w:spacing w:val="0"/>
          <w:sz w:val="20"/>
          <w:rtl/>
        </w:rPr>
        <w:t>ال</w:t>
      </w:r>
      <w:r w:rsidRPr="00E85F6E">
        <w:rPr>
          <w:b/>
          <w:bCs/>
          <w:spacing w:val="0"/>
          <w:sz w:val="20"/>
          <w:rtl/>
        </w:rPr>
        <w:t xml:space="preserve">ضرر </w:t>
      </w:r>
      <w:r w:rsidRPr="00E85F6E">
        <w:rPr>
          <w:rFonts w:hint="cs"/>
          <w:b/>
          <w:bCs/>
          <w:spacing w:val="0"/>
          <w:sz w:val="20"/>
          <w:rtl/>
        </w:rPr>
        <w:t>الذي لحق ب</w:t>
      </w:r>
      <w:r w:rsidRPr="00E85F6E">
        <w:rPr>
          <w:b/>
          <w:bCs/>
          <w:spacing w:val="0"/>
          <w:sz w:val="20"/>
          <w:rtl/>
        </w:rPr>
        <w:t>ضحايا التعذيب وسوء المعاملة، بما في ذلك منحهم تعويضا</w:t>
      </w:r>
      <w:r w:rsidRPr="00E85F6E">
        <w:rPr>
          <w:rFonts w:hint="cs"/>
          <w:b/>
          <w:bCs/>
          <w:spacing w:val="0"/>
          <w:sz w:val="20"/>
          <w:rtl/>
        </w:rPr>
        <w:t>ً</w:t>
      </w:r>
      <w:r w:rsidRPr="00E85F6E">
        <w:rPr>
          <w:b/>
          <w:bCs/>
          <w:spacing w:val="0"/>
          <w:sz w:val="20"/>
          <w:rtl/>
        </w:rPr>
        <w:t xml:space="preserve"> عادلا</w:t>
      </w:r>
      <w:r w:rsidRPr="00E85F6E">
        <w:rPr>
          <w:rFonts w:hint="cs"/>
          <w:b/>
          <w:bCs/>
          <w:spacing w:val="0"/>
          <w:sz w:val="20"/>
          <w:rtl/>
        </w:rPr>
        <w:t>ً</w:t>
      </w:r>
      <w:r w:rsidRPr="00E85F6E">
        <w:rPr>
          <w:b/>
          <w:bCs/>
          <w:spacing w:val="0"/>
          <w:sz w:val="20"/>
          <w:rtl/>
        </w:rPr>
        <w:t xml:space="preserve"> ومناسبا</w:t>
      </w:r>
      <w:r w:rsidRPr="00E85F6E">
        <w:rPr>
          <w:rFonts w:hint="cs"/>
          <w:b/>
          <w:bCs/>
          <w:spacing w:val="0"/>
          <w:sz w:val="20"/>
          <w:rtl/>
        </w:rPr>
        <w:t>ً</w:t>
      </w:r>
      <w:r w:rsidRPr="00E85F6E">
        <w:rPr>
          <w:b/>
          <w:bCs/>
          <w:spacing w:val="0"/>
          <w:sz w:val="20"/>
          <w:rtl/>
        </w:rPr>
        <w:t xml:space="preserve"> وإعادة تأهيلهم على أكمل وجه ممكن.</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وتطلب اللجنة إلى الدولة الطرف أن تدرج في تقريرها الدوري المقبل بيانات إحصائية ومعلومات كاملة عن الحالات التي تم فيها جبر </w:t>
      </w:r>
      <w:r w:rsidRPr="00E85F6E">
        <w:rPr>
          <w:rFonts w:hint="cs"/>
          <w:b/>
          <w:bCs/>
          <w:spacing w:val="0"/>
          <w:sz w:val="20"/>
          <w:rtl/>
        </w:rPr>
        <w:t>ال</w:t>
      </w:r>
      <w:r w:rsidRPr="00E85F6E">
        <w:rPr>
          <w:b/>
          <w:bCs/>
          <w:spacing w:val="0"/>
          <w:sz w:val="20"/>
          <w:rtl/>
        </w:rPr>
        <w:t xml:space="preserve">ضرر </w:t>
      </w:r>
      <w:r w:rsidRPr="00E85F6E">
        <w:rPr>
          <w:rFonts w:hint="cs"/>
          <w:b/>
          <w:bCs/>
          <w:spacing w:val="0"/>
          <w:sz w:val="20"/>
          <w:rtl/>
        </w:rPr>
        <w:t>الذي لحق ب</w:t>
      </w:r>
      <w:r w:rsidRPr="00E85F6E">
        <w:rPr>
          <w:b/>
          <w:bCs/>
          <w:spacing w:val="0"/>
          <w:sz w:val="20"/>
          <w:rtl/>
        </w:rPr>
        <w:t>الضحايا جبرا</w:t>
      </w:r>
      <w:r w:rsidRPr="00E85F6E">
        <w:rPr>
          <w:rFonts w:hint="cs"/>
          <w:b/>
          <w:bCs/>
          <w:spacing w:val="0"/>
          <w:sz w:val="20"/>
          <w:rtl/>
        </w:rPr>
        <w:t>ً</w:t>
      </w:r>
      <w:r w:rsidRPr="00E85F6E">
        <w:rPr>
          <w:b/>
          <w:bCs/>
          <w:spacing w:val="0"/>
          <w:sz w:val="20"/>
          <w:rtl/>
        </w:rPr>
        <w:t xml:space="preserve"> كاملا</w:t>
      </w:r>
      <w:r w:rsidRPr="00E85F6E">
        <w:rPr>
          <w:rFonts w:hint="cs"/>
          <w:b/>
          <w:bCs/>
          <w:spacing w:val="0"/>
          <w:sz w:val="20"/>
          <w:rtl/>
        </w:rPr>
        <w:t>ً</w:t>
      </w:r>
      <w:r w:rsidRPr="00E85F6E">
        <w:rPr>
          <w:b/>
          <w:bCs/>
          <w:spacing w:val="0"/>
          <w:sz w:val="20"/>
          <w:rtl/>
        </w:rPr>
        <w:t>، بما في ذلك التحقيق مع المسؤولين ومعاقبتهم وتعويض الضحايا وإعادة تأهيلهم.</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العنف ضد الأطفال</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26</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بالتدابير المتخذة لمنع العقوبة البدنية للأطفال الذين ي</w:t>
      </w:r>
      <w:r w:rsidR="004E0A37" w:rsidRPr="004E0A37">
        <w:rPr>
          <w:rFonts w:hint="cs"/>
          <w:spacing w:val="0"/>
          <w:sz w:val="20"/>
          <w:rtl/>
        </w:rPr>
        <w:t>و</w:t>
      </w:r>
      <w:r w:rsidR="004E0A37" w:rsidRPr="004E0A37">
        <w:rPr>
          <w:spacing w:val="0"/>
          <w:sz w:val="20"/>
          <w:rtl/>
        </w:rPr>
        <w:t>جدون مع أمهاتهم المحبوسات وفي مراكز الإيواء. كما تحيط اللجنة</w:t>
      </w:r>
      <w:r w:rsidR="003833F8">
        <w:rPr>
          <w:spacing w:val="0"/>
          <w:sz w:val="20"/>
          <w:rtl/>
        </w:rPr>
        <w:t xml:space="preserve"> علماً </w:t>
      </w:r>
      <w:r w:rsidR="004E0A37" w:rsidRPr="004E0A37">
        <w:rPr>
          <w:spacing w:val="0"/>
          <w:sz w:val="20"/>
          <w:rtl/>
        </w:rPr>
        <w:t xml:space="preserve">بالمعلومات التي قدمها وفد الدولة الطرف بشأن وجود مشروع مضاد لقانون حظر العقوبة البدنية. بيد أن اللجنة يساورها القلق من عدم حظر العقوبة البدنية في الوسط المنزلي (المادة 16).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توصي اللجنة الدولة الطرف بحظر العقوبة البدنية للأطفال حظرا</w:t>
      </w:r>
      <w:r w:rsidRPr="00E85F6E">
        <w:rPr>
          <w:rFonts w:hint="cs"/>
          <w:b/>
          <w:bCs/>
          <w:spacing w:val="0"/>
          <w:sz w:val="20"/>
          <w:rtl/>
        </w:rPr>
        <w:t>ً</w:t>
      </w:r>
      <w:r w:rsidRPr="00E85F6E">
        <w:rPr>
          <w:b/>
          <w:bCs/>
          <w:spacing w:val="0"/>
          <w:sz w:val="20"/>
          <w:rtl/>
        </w:rPr>
        <w:t xml:space="preserve"> صريحا</w:t>
      </w:r>
      <w:r w:rsidRPr="00E85F6E">
        <w:rPr>
          <w:rFonts w:hint="cs"/>
          <w:b/>
          <w:bCs/>
          <w:spacing w:val="0"/>
          <w:sz w:val="20"/>
          <w:rtl/>
        </w:rPr>
        <w:t>ً</w:t>
      </w:r>
      <w:r w:rsidRPr="00E85F6E">
        <w:rPr>
          <w:b/>
          <w:bCs/>
          <w:spacing w:val="0"/>
          <w:sz w:val="20"/>
          <w:rtl/>
        </w:rPr>
        <w:t xml:space="preserve"> في جميع الظروف، حتى في الوسط المنزلي.</w:t>
      </w:r>
    </w:p>
    <w:p w:rsidR="004E0A37" w:rsidRPr="004E0A37" w:rsidRDefault="004E0A37" w:rsidP="004E0A37">
      <w:pPr>
        <w:pStyle w:val="H23GA"/>
        <w:jc w:val="lowKashida"/>
        <w:rPr>
          <w:rFonts w:hint="cs"/>
          <w:spacing w:val="0"/>
          <w:sz w:val="20"/>
          <w:rtl/>
        </w:rPr>
      </w:pPr>
      <w:r w:rsidRPr="004E0A37">
        <w:rPr>
          <w:spacing w:val="0"/>
          <w:sz w:val="20"/>
          <w:rtl/>
        </w:rPr>
        <w:tab/>
      </w:r>
      <w:r w:rsidRPr="004E0A37">
        <w:rPr>
          <w:spacing w:val="0"/>
          <w:sz w:val="20"/>
          <w:rtl/>
        </w:rPr>
        <w:tab/>
        <w:t xml:space="preserve">حماية </w:t>
      </w:r>
      <w:r w:rsidRPr="004E0A37">
        <w:rPr>
          <w:rFonts w:hint="cs"/>
          <w:spacing w:val="0"/>
          <w:sz w:val="20"/>
          <w:rtl/>
        </w:rPr>
        <w:t>السكان</w:t>
      </w:r>
      <w:r w:rsidRPr="004E0A37">
        <w:rPr>
          <w:spacing w:val="0"/>
          <w:sz w:val="20"/>
          <w:rtl/>
        </w:rPr>
        <w:t xml:space="preserve"> الأصلي</w:t>
      </w:r>
      <w:r w:rsidRPr="004E0A37">
        <w:rPr>
          <w:rFonts w:hint="cs"/>
          <w:spacing w:val="0"/>
          <w:sz w:val="20"/>
          <w:rtl/>
        </w:rPr>
        <w:t>ين</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27</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بالتدابير التي اتخذتها الدولة الطرف سلفا</w:t>
      </w:r>
      <w:r w:rsidR="004E0A37" w:rsidRPr="004E0A37">
        <w:rPr>
          <w:rFonts w:hint="cs"/>
          <w:spacing w:val="0"/>
          <w:sz w:val="20"/>
          <w:rtl/>
        </w:rPr>
        <w:t>ً</w:t>
      </w:r>
      <w:r w:rsidR="004E0A37" w:rsidRPr="004E0A37">
        <w:rPr>
          <w:spacing w:val="0"/>
          <w:sz w:val="20"/>
          <w:rtl/>
        </w:rPr>
        <w:t xml:space="preserve"> امتثالا</w:t>
      </w:r>
      <w:r w:rsidR="004E0A37" w:rsidRPr="004E0A37">
        <w:rPr>
          <w:rFonts w:hint="cs"/>
          <w:spacing w:val="0"/>
          <w:sz w:val="20"/>
          <w:rtl/>
        </w:rPr>
        <w:t>ً</w:t>
      </w:r>
      <w:r w:rsidR="004E0A37" w:rsidRPr="004E0A37">
        <w:rPr>
          <w:spacing w:val="0"/>
          <w:sz w:val="20"/>
          <w:rtl/>
        </w:rPr>
        <w:t xml:space="preserve"> لأحكام وقرارات منظومة البلدان الأمريكية لحقوق الإنسان المتعلقة بحماية الشعوب الأصلية داخل إقليمها. وتحيط اللجنة</w:t>
      </w:r>
      <w:r w:rsidR="003833F8">
        <w:rPr>
          <w:spacing w:val="0"/>
          <w:sz w:val="20"/>
          <w:rtl/>
        </w:rPr>
        <w:t xml:space="preserve"> علماً </w:t>
      </w:r>
      <w:r w:rsidR="004E0A37" w:rsidRPr="004E0A37">
        <w:rPr>
          <w:spacing w:val="0"/>
          <w:sz w:val="20"/>
          <w:rtl/>
        </w:rPr>
        <w:t xml:space="preserve">أيضاً بالتدابير المتخذة بتعاون مع منظمة العمل الدولية لمكافحة استغلال العمال من هذه الشعوب. بيد أن اللجنة تعرب عن قلقها من المعلومات الواردة بشأن استمرار حالات استغلال العمال من </w:t>
      </w:r>
      <w:r w:rsidR="004E0A37" w:rsidRPr="004E0A37">
        <w:rPr>
          <w:rFonts w:hint="cs"/>
          <w:spacing w:val="0"/>
          <w:sz w:val="20"/>
          <w:rtl/>
        </w:rPr>
        <w:t>السكان</w:t>
      </w:r>
      <w:r w:rsidR="004E0A37" w:rsidRPr="004E0A37">
        <w:rPr>
          <w:spacing w:val="0"/>
          <w:sz w:val="20"/>
          <w:rtl/>
        </w:rPr>
        <w:t xml:space="preserve"> الأصلي</w:t>
      </w:r>
      <w:r w:rsidR="004E0A37" w:rsidRPr="004E0A37">
        <w:rPr>
          <w:rFonts w:hint="cs"/>
          <w:spacing w:val="0"/>
          <w:sz w:val="20"/>
          <w:rtl/>
        </w:rPr>
        <w:t>ين</w:t>
      </w:r>
      <w:r w:rsidR="004E0A37" w:rsidRPr="004E0A37">
        <w:rPr>
          <w:spacing w:val="0"/>
          <w:sz w:val="20"/>
          <w:rtl/>
        </w:rPr>
        <w:t xml:space="preserve"> في باراغواي، وهو ما يرقى إلى معاملة لا إنسانية تنتهك الاتفاقية (المادة 16).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توصي اللجنة الدولة الطرف باتخاذ جميع التدابير اللازمة للقضاء على جميع أشكال استغلال العمال من </w:t>
      </w:r>
      <w:r w:rsidRPr="00E85F6E">
        <w:rPr>
          <w:rFonts w:hint="cs"/>
          <w:b/>
          <w:bCs/>
          <w:spacing w:val="0"/>
          <w:sz w:val="20"/>
          <w:rtl/>
        </w:rPr>
        <w:t>السكان</w:t>
      </w:r>
      <w:r w:rsidRPr="00E85F6E">
        <w:rPr>
          <w:b/>
          <w:bCs/>
          <w:spacing w:val="0"/>
          <w:sz w:val="20"/>
          <w:rtl/>
        </w:rPr>
        <w:t xml:space="preserve"> الأصلي</w:t>
      </w:r>
      <w:r w:rsidRPr="00E85F6E">
        <w:rPr>
          <w:rFonts w:hint="cs"/>
          <w:b/>
          <w:bCs/>
          <w:spacing w:val="0"/>
          <w:sz w:val="20"/>
          <w:rtl/>
        </w:rPr>
        <w:t>ين</w:t>
      </w:r>
      <w:r w:rsidRPr="00E85F6E">
        <w:rPr>
          <w:b/>
          <w:bCs/>
          <w:spacing w:val="0"/>
          <w:sz w:val="20"/>
          <w:rtl/>
        </w:rPr>
        <w:t xml:space="preserve">. كما ينبغي للدولة الطرف أن تنفذ بالكامل وفي فترة زمنية معقولة جميع أحكام محكمة البلدان الأمريكية لحقوق الإنسان التي تلزمها باتخاذ تدابير لحماية </w:t>
      </w:r>
      <w:r w:rsidRPr="00E85F6E">
        <w:rPr>
          <w:rFonts w:hint="cs"/>
          <w:b/>
          <w:bCs/>
          <w:spacing w:val="0"/>
          <w:sz w:val="20"/>
          <w:rtl/>
        </w:rPr>
        <w:t>السكان</w:t>
      </w:r>
      <w:r w:rsidRPr="00E85F6E">
        <w:rPr>
          <w:b/>
          <w:bCs/>
          <w:spacing w:val="0"/>
          <w:sz w:val="20"/>
          <w:rtl/>
        </w:rPr>
        <w:t xml:space="preserve"> الأصلي</w:t>
      </w:r>
      <w:r w:rsidRPr="00E85F6E">
        <w:rPr>
          <w:rFonts w:hint="cs"/>
          <w:b/>
          <w:bCs/>
          <w:spacing w:val="0"/>
          <w:sz w:val="20"/>
          <w:rtl/>
        </w:rPr>
        <w:t>ين</w:t>
      </w:r>
      <w:r w:rsidRPr="00E85F6E">
        <w:rPr>
          <w:b/>
          <w:bCs/>
          <w:spacing w:val="0"/>
          <w:sz w:val="20"/>
          <w:rtl/>
        </w:rPr>
        <w:t>.</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28</w:t>
      </w:r>
      <w:r w:rsidR="003E72B5">
        <w:rPr>
          <w:spacing w:val="0"/>
          <w:sz w:val="20"/>
          <w:rtl/>
        </w:rPr>
        <w:t>)</w:t>
      </w:r>
      <w:r w:rsidR="003E72B5">
        <w:rPr>
          <w:spacing w:val="0"/>
          <w:sz w:val="20"/>
          <w:rtl/>
        </w:rPr>
        <w:tab/>
      </w:r>
      <w:r w:rsidR="004E0A37" w:rsidRPr="004E0A37">
        <w:rPr>
          <w:spacing w:val="0"/>
          <w:sz w:val="20"/>
          <w:rtl/>
        </w:rPr>
        <w:t>تحث اللجنة الدولة الطرف على أن تنشر على نطاق واسع هذا التقرير المقدم إلى اللجنة وكذلك ملاحظاتها الختامية، وذلك عن طريق المواقع الرسمية على الإنترنت ووسائط الإعلام والمنظمات غير الحكومية.</w:t>
      </w:r>
    </w:p>
    <w:p w:rsidR="004E0A37" w:rsidRPr="004E0A37" w:rsidRDefault="00BE7198" w:rsidP="00A4030E">
      <w:pPr>
        <w:pStyle w:val="SingleTxtGA"/>
        <w:jc w:val="lowKashida"/>
        <w:rPr>
          <w:spacing w:val="0"/>
          <w:sz w:val="20"/>
          <w:rtl/>
        </w:rPr>
      </w:pPr>
      <w:r>
        <w:rPr>
          <w:rFonts w:hint="cs"/>
          <w:spacing w:val="0"/>
          <w:sz w:val="20"/>
          <w:rtl/>
        </w:rPr>
        <w:t>(</w:t>
      </w:r>
      <w:r w:rsidR="004E0A37" w:rsidRPr="004E0A37">
        <w:rPr>
          <w:spacing w:val="0"/>
          <w:sz w:val="20"/>
          <w:rtl/>
        </w:rPr>
        <w:t>29</w:t>
      </w:r>
      <w:r w:rsidR="003E72B5">
        <w:rPr>
          <w:spacing w:val="0"/>
          <w:sz w:val="20"/>
          <w:rtl/>
        </w:rPr>
        <w:t>)</w:t>
      </w:r>
      <w:r w:rsidR="003E72B5">
        <w:rPr>
          <w:spacing w:val="0"/>
          <w:sz w:val="20"/>
          <w:rtl/>
        </w:rPr>
        <w:tab/>
      </w:r>
      <w:r w:rsidR="004E0A37" w:rsidRPr="004E0A37">
        <w:rPr>
          <w:spacing w:val="0"/>
          <w:sz w:val="20"/>
          <w:rtl/>
        </w:rPr>
        <w:t>وتطلب اللجنة إلى الدولة الطرف أن تقدم، في أجل أقصاه 25 تشرين الثاني/</w:t>
      </w:r>
      <w:r w:rsidR="00E85F6E">
        <w:rPr>
          <w:rFonts w:hint="cs"/>
          <w:spacing w:val="0"/>
          <w:sz w:val="20"/>
          <w:rtl/>
        </w:rPr>
        <w:t xml:space="preserve"> </w:t>
      </w:r>
      <w:r w:rsidR="004E0A37" w:rsidRPr="004E0A37">
        <w:rPr>
          <w:spacing w:val="0"/>
          <w:sz w:val="20"/>
          <w:rtl/>
        </w:rPr>
        <w:t>نوفمبر</w:t>
      </w:r>
      <w:r w:rsidR="00A4030E">
        <w:rPr>
          <w:rFonts w:hint="cs"/>
          <w:spacing w:val="0"/>
          <w:sz w:val="20"/>
          <w:rtl/>
        </w:rPr>
        <w:t> </w:t>
      </w:r>
      <w:r w:rsidR="004E0A37" w:rsidRPr="004E0A37">
        <w:rPr>
          <w:spacing w:val="0"/>
          <w:sz w:val="20"/>
          <w:rtl/>
        </w:rPr>
        <w:t>2012، معلومات عن متابعتها لتنفيذ توصيات اللجنة بشأن ما يلي: (أ)</w:t>
      </w:r>
      <w:r w:rsidR="004E0A37" w:rsidRPr="004E0A37">
        <w:rPr>
          <w:rFonts w:hint="cs"/>
          <w:spacing w:val="0"/>
          <w:sz w:val="20"/>
          <w:rtl/>
        </w:rPr>
        <w:t> </w:t>
      </w:r>
      <w:r w:rsidR="004E0A37" w:rsidRPr="004E0A37">
        <w:rPr>
          <w:spacing w:val="0"/>
          <w:sz w:val="20"/>
          <w:rtl/>
        </w:rPr>
        <w:t>إتاحة وتعزيز</w:t>
      </w:r>
      <w:r w:rsidR="00E85F6E">
        <w:rPr>
          <w:rFonts w:hint="cs"/>
          <w:spacing w:val="0"/>
          <w:sz w:val="20"/>
          <w:rtl/>
        </w:rPr>
        <w:t> </w:t>
      </w:r>
      <w:r w:rsidR="004E0A37" w:rsidRPr="004E0A37">
        <w:rPr>
          <w:spacing w:val="0"/>
          <w:sz w:val="20"/>
          <w:rtl/>
        </w:rPr>
        <w:t>الضمانات القانونية للمحتجزين؛ (ب)</w:t>
      </w:r>
      <w:r w:rsidR="004E0A37" w:rsidRPr="004E0A37">
        <w:rPr>
          <w:rFonts w:hint="cs"/>
          <w:spacing w:val="0"/>
          <w:sz w:val="20"/>
          <w:rtl/>
        </w:rPr>
        <w:t> </w:t>
      </w:r>
      <w:r w:rsidR="004E0A37" w:rsidRPr="004E0A37">
        <w:rPr>
          <w:spacing w:val="0"/>
          <w:sz w:val="20"/>
          <w:rtl/>
        </w:rPr>
        <w:t>وإجراء تحقيقات سريعة ومحايدة وفعالة؛ (ج)</w:t>
      </w:r>
      <w:r w:rsidR="004E0A37" w:rsidRPr="004E0A37">
        <w:rPr>
          <w:rFonts w:hint="cs"/>
          <w:spacing w:val="0"/>
          <w:sz w:val="20"/>
          <w:rtl/>
        </w:rPr>
        <w:t> </w:t>
      </w:r>
      <w:r w:rsidR="004E0A37" w:rsidRPr="004E0A37">
        <w:rPr>
          <w:spacing w:val="0"/>
          <w:sz w:val="20"/>
          <w:rtl/>
        </w:rPr>
        <w:t>ومحاكمة المشتبه في ارتكابهم أعمال التعذيب وغيرها من ضروب سوء المعاملة الواردة في الفقرتين 11 و18 من هذه الوثيقة ومعاقبة المسؤولين عنها. وعلاوة على ذلك، تطلب اللجنة معلومات عن متابعة التدابير المتخذة لمنع الاتجار بالأشخاص ومكافحته والقضاء عليه الواردة في الفقرة 23 من هذه الوثيقة.</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spacing w:val="0"/>
          <w:sz w:val="20"/>
          <w:rtl/>
        </w:rPr>
        <w:t>30</w:t>
      </w:r>
      <w:r w:rsidR="003E72B5">
        <w:rPr>
          <w:spacing w:val="0"/>
          <w:sz w:val="20"/>
          <w:rtl/>
        </w:rPr>
        <w:t>)</w:t>
      </w:r>
      <w:r w:rsidR="003E72B5">
        <w:rPr>
          <w:spacing w:val="0"/>
          <w:sz w:val="20"/>
          <w:rtl/>
        </w:rPr>
        <w:tab/>
      </w:r>
      <w:r w:rsidR="004E0A37" w:rsidRPr="004E0A37">
        <w:rPr>
          <w:spacing w:val="0"/>
          <w:sz w:val="20"/>
          <w:rtl/>
        </w:rPr>
        <w:t xml:space="preserve">وتدعو اللجنة الدولة الطرف إلى تقديم تقريرها الدوري السابع في أجل أقصاه 25 تشرين الثاني/نوفمبر 2015. ولهذا الغرض، ستحيل اللجنة إلى الدولة الطرف، في الوقت المناسب، قائمة من الأسئلة قبل تقديم التقرير، بالنظر إلى أن الدولة الطرف قد قبلت </w:t>
      </w:r>
      <w:r w:rsidR="004E0A37" w:rsidRPr="004E0A37">
        <w:rPr>
          <w:rFonts w:hint="cs"/>
          <w:spacing w:val="0"/>
          <w:sz w:val="20"/>
          <w:rtl/>
        </w:rPr>
        <w:t>ب</w:t>
      </w:r>
      <w:r w:rsidR="004E0A37" w:rsidRPr="004E0A37">
        <w:rPr>
          <w:spacing w:val="0"/>
          <w:sz w:val="20"/>
          <w:rtl/>
        </w:rPr>
        <w:t>تقديم تقاريرها إلى اللجنة وفق الإجراء الاختياري لتقديم التقارير.</w:t>
      </w:r>
    </w:p>
    <w:p w:rsidR="004E0A37" w:rsidRPr="004E0A37" w:rsidRDefault="004E0A37" w:rsidP="004E0A37">
      <w:pPr>
        <w:pStyle w:val="SingleTxtGA"/>
        <w:jc w:val="lowKashida"/>
        <w:rPr>
          <w:spacing w:val="0"/>
          <w:sz w:val="20"/>
          <w:rtl/>
        </w:rPr>
      </w:pPr>
      <w:r w:rsidRPr="004E0A37">
        <w:rPr>
          <w:rFonts w:hint="cs"/>
          <w:spacing w:val="0"/>
          <w:sz w:val="20"/>
          <w:rtl/>
        </w:rPr>
        <w:t>59-</w:t>
      </w:r>
      <w:r w:rsidRPr="004E0A37">
        <w:rPr>
          <w:rFonts w:hint="cs"/>
          <w:spacing w:val="0"/>
          <w:sz w:val="20"/>
          <w:rtl/>
        </w:rPr>
        <w:tab/>
      </w:r>
      <w:r w:rsidRPr="00E85F6E">
        <w:rPr>
          <w:b/>
          <w:bCs/>
          <w:spacing w:val="0"/>
          <w:sz w:val="20"/>
          <w:rtl/>
        </w:rPr>
        <w:t>سري لانكا</w:t>
      </w:r>
    </w:p>
    <w:p w:rsidR="004E0A37" w:rsidRPr="004E0A37" w:rsidRDefault="004E0A37" w:rsidP="00A4030E">
      <w:pPr>
        <w:pStyle w:val="SingleTxtGA"/>
        <w:jc w:val="lowKashida"/>
        <w:rPr>
          <w:spacing w:val="0"/>
          <w:sz w:val="20"/>
          <w:rtl/>
        </w:rPr>
      </w:pPr>
      <w:r w:rsidRPr="004E0A37">
        <w:rPr>
          <w:rFonts w:hint="cs"/>
          <w:spacing w:val="0"/>
          <w:sz w:val="20"/>
          <w:rtl/>
        </w:rPr>
        <w:t>(</w:t>
      </w:r>
      <w:r w:rsidRPr="004E0A37">
        <w:rPr>
          <w:spacing w:val="0"/>
          <w:sz w:val="20"/>
          <w:rtl/>
        </w:rPr>
        <w:t>1</w:t>
      </w:r>
      <w:r w:rsidR="003E72B5">
        <w:rPr>
          <w:rFonts w:hint="cs"/>
          <w:spacing w:val="0"/>
          <w:sz w:val="20"/>
          <w:rtl/>
        </w:rPr>
        <w:t>)</w:t>
      </w:r>
      <w:r w:rsidR="003E72B5">
        <w:rPr>
          <w:rFonts w:hint="cs"/>
          <w:spacing w:val="0"/>
          <w:sz w:val="20"/>
          <w:rtl/>
        </w:rPr>
        <w:tab/>
      </w:r>
      <w:r w:rsidRPr="004E0A37">
        <w:rPr>
          <w:spacing w:val="0"/>
          <w:sz w:val="20"/>
          <w:rtl/>
        </w:rPr>
        <w:t>نظرت اللجنة في تقرير سري لانكا الجامع لتقريريها الدوريين الثالث والرابع (</w:t>
      </w:r>
      <w:r w:rsidRPr="004E0A37">
        <w:rPr>
          <w:spacing w:val="0"/>
          <w:sz w:val="20"/>
        </w:rPr>
        <w:t>CAT/C/LKA/3-4</w:t>
      </w:r>
      <w:r w:rsidRPr="004E0A37">
        <w:rPr>
          <w:spacing w:val="0"/>
          <w:sz w:val="20"/>
          <w:rtl/>
        </w:rPr>
        <w:t>) في جلستيها 1030 و1033، المعقودتين في 8 و9 تشرين الثاني/</w:t>
      </w:r>
      <w:r w:rsidR="00E85F6E">
        <w:rPr>
          <w:rFonts w:hint="cs"/>
          <w:spacing w:val="0"/>
          <w:sz w:val="20"/>
          <w:rtl/>
        </w:rPr>
        <w:t xml:space="preserve"> </w:t>
      </w:r>
      <w:r w:rsidRPr="00E85F6E">
        <w:rPr>
          <w:spacing w:val="-4"/>
          <w:sz w:val="20"/>
          <w:rtl/>
        </w:rPr>
        <w:t>نوفمبر</w:t>
      </w:r>
      <w:r w:rsidR="00A4030E">
        <w:rPr>
          <w:rFonts w:hint="cs"/>
          <w:spacing w:val="-4"/>
          <w:sz w:val="20"/>
          <w:rtl/>
        </w:rPr>
        <w:t> </w:t>
      </w:r>
      <w:r w:rsidRPr="00E85F6E">
        <w:rPr>
          <w:spacing w:val="-4"/>
          <w:sz w:val="20"/>
          <w:rtl/>
        </w:rPr>
        <w:t>2011 (</w:t>
      </w:r>
      <w:r w:rsidRPr="00E85F6E">
        <w:rPr>
          <w:spacing w:val="-4"/>
          <w:sz w:val="20"/>
        </w:rPr>
        <w:t>CAT/C/SR.1030</w:t>
      </w:r>
      <w:r w:rsidRPr="00E85F6E">
        <w:rPr>
          <w:spacing w:val="-4"/>
          <w:sz w:val="20"/>
          <w:rtl/>
        </w:rPr>
        <w:t xml:space="preserve"> و1033)</w:t>
      </w:r>
      <w:r w:rsidRPr="00E85F6E">
        <w:rPr>
          <w:rFonts w:hint="cs"/>
          <w:spacing w:val="-4"/>
          <w:sz w:val="20"/>
          <w:rtl/>
        </w:rPr>
        <w:t>،</w:t>
      </w:r>
      <w:r w:rsidRPr="00E85F6E">
        <w:rPr>
          <w:spacing w:val="-4"/>
          <w:sz w:val="20"/>
          <w:rtl/>
        </w:rPr>
        <w:t xml:space="preserve"> واعتمدت في جلساتها 1050 و1051 و1052</w:t>
      </w:r>
      <w:r w:rsidRPr="004E0A37">
        <w:rPr>
          <w:spacing w:val="0"/>
          <w:sz w:val="20"/>
          <w:rtl/>
        </w:rPr>
        <w:t xml:space="preserve"> (</w:t>
      </w:r>
      <w:r w:rsidRPr="004E0A37">
        <w:rPr>
          <w:spacing w:val="0"/>
          <w:sz w:val="20"/>
        </w:rPr>
        <w:t>CAT/C/SR.1050</w:t>
      </w:r>
      <w:r w:rsidRPr="004E0A37">
        <w:rPr>
          <w:spacing w:val="0"/>
          <w:sz w:val="20"/>
          <w:rtl/>
        </w:rPr>
        <w:t xml:space="preserve"> و1051 و1052)، المعقودة في 22 و23 تشرين الثاني/نوفمبر 2011</w:t>
      </w:r>
      <w:r w:rsidRPr="004E0A37">
        <w:rPr>
          <w:rFonts w:hint="cs"/>
          <w:spacing w:val="0"/>
          <w:sz w:val="20"/>
          <w:rtl/>
        </w:rPr>
        <w:t xml:space="preserve">، </w:t>
      </w:r>
      <w:r w:rsidRPr="004E0A37">
        <w:rPr>
          <w:spacing w:val="0"/>
          <w:sz w:val="20"/>
          <w:rtl/>
        </w:rPr>
        <w:t>الملاحظات الختامية التالية.</w:t>
      </w:r>
    </w:p>
    <w:p w:rsidR="004E0A37" w:rsidRPr="004E0A37" w:rsidRDefault="007223C0" w:rsidP="002E2361">
      <w:pPr>
        <w:pStyle w:val="H23GA"/>
        <w:tabs>
          <w:tab w:val="left" w:pos="1939"/>
        </w:tabs>
        <w:rPr>
          <w:rtl/>
        </w:rPr>
      </w:pPr>
      <w:r>
        <w:rPr>
          <w:rFonts w:hint="cs"/>
          <w:rtl/>
        </w:rPr>
        <w:tab/>
      </w:r>
      <w:r w:rsidR="004E0A37" w:rsidRPr="004E0A37">
        <w:rPr>
          <w:rtl/>
        </w:rPr>
        <w:tab/>
        <w:t>ألف-</w:t>
      </w:r>
      <w:r w:rsidR="004E0A37" w:rsidRPr="004E0A37">
        <w:rPr>
          <w:rtl/>
        </w:rPr>
        <w:tab/>
        <w:t>مقدمة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2</w:t>
      </w:r>
      <w:r w:rsidR="003E72B5">
        <w:rPr>
          <w:rFonts w:hint="cs"/>
          <w:spacing w:val="0"/>
          <w:sz w:val="20"/>
          <w:rtl/>
        </w:rPr>
        <w:t>)</w:t>
      </w:r>
      <w:r w:rsidR="003E72B5">
        <w:rPr>
          <w:rFonts w:hint="cs"/>
          <w:spacing w:val="0"/>
          <w:sz w:val="20"/>
          <w:rtl/>
        </w:rPr>
        <w:tab/>
      </w:r>
      <w:r w:rsidRPr="004E0A37">
        <w:rPr>
          <w:spacing w:val="0"/>
          <w:sz w:val="20"/>
          <w:rtl/>
        </w:rPr>
        <w:t xml:space="preserve">ترحب اللجنة بتقديم سري لانكا </w:t>
      </w:r>
      <w:r w:rsidRPr="004E0A37">
        <w:rPr>
          <w:rFonts w:hint="cs"/>
          <w:spacing w:val="0"/>
          <w:sz w:val="20"/>
          <w:rtl/>
        </w:rPr>
        <w:t>ا</w:t>
      </w:r>
      <w:r w:rsidRPr="004E0A37">
        <w:rPr>
          <w:spacing w:val="0"/>
          <w:sz w:val="20"/>
          <w:rtl/>
        </w:rPr>
        <w:t>لتقرير الجامع لتقريريها الدوريين الثالث والرابع، الذي يتبع بصورة عامة المبادئ التوجيهية للجنة بشأن تقديم التقارير. لكن اللجنة تأسف لأن التقرير يفتقر إلى بيانات إحصائية ومعلومات عملية عن تنفيذ أحكام الاتفاقية ولأن تقديمه تأخر بسنتين. وتعرب اللجنة عن تقديرها للحوار الذي أُجري مع الوفد وللردود التي قُدمت شفهياً أثناء النظر في التقرير وللبيانات الخطية الإضافية.</w:t>
      </w:r>
    </w:p>
    <w:p w:rsidR="004E0A37" w:rsidRPr="004E0A37" w:rsidRDefault="007223C0" w:rsidP="002E2361">
      <w:pPr>
        <w:pStyle w:val="H23GA"/>
        <w:tabs>
          <w:tab w:val="left" w:pos="1925"/>
        </w:tabs>
        <w:rPr>
          <w:rtl/>
        </w:rPr>
      </w:pPr>
      <w:r>
        <w:rPr>
          <w:rFonts w:hint="cs"/>
          <w:rtl/>
        </w:rPr>
        <w:tab/>
      </w:r>
      <w:r>
        <w:rPr>
          <w:rFonts w:hint="cs"/>
          <w:rtl/>
        </w:rPr>
        <w:tab/>
        <w:t>باء-</w:t>
      </w:r>
      <w:r w:rsidR="004E0A37" w:rsidRPr="004E0A37">
        <w:rPr>
          <w:rtl/>
        </w:rPr>
        <w:tab/>
        <w:t>الجوانب الإيجابية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3</w:t>
      </w:r>
      <w:r w:rsidR="003E72B5">
        <w:rPr>
          <w:rFonts w:hint="cs"/>
          <w:spacing w:val="0"/>
          <w:sz w:val="20"/>
          <w:rtl/>
        </w:rPr>
        <w:t>)</w:t>
      </w:r>
      <w:r w:rsidR="003E72B5">
        <w:rPr>
          <w:rFonts w:hint="cs"/>
          <w:spacing w:val="0"/>
          <w:sz w:val="20"/>
          <w:rtl/>
        </w:rPr>
        <w:tab/>
      </w:r>
      <w:r w:rsidRPr="004E0A37">
        <w:rPr>
          <w:spacing w:val="0"/>
          <w:sz w:val="20"/>
          <w:rtl/>
        </w:rPr>
        <w:t>ترحب اللجنة بتصديق الدولة الطرف، منذ النظر في تقريرها الدوري الثاني، على الصكوك الدولية التالية أو انضمامها إليها:</w:t>
      </w:r>
    </w:p>
    <w:p w:rsidR="004E0A37" w:rsidRPr="004E0A37" w:rsidRDefault="004E0A37" w:rsidP="004E0A37">
      <w:pPr>
        <w:pStyle w:val="SingleTxtGA"/>
        <w:jc w:val="lowKashida"/>
        <w:rPr>
          <w:rFonts w:hint="cs"/>
          <w:spacing w:val="0"/>
          <w:sz w:val="20"/>
          <w:rtl/>
        </w:rPr>
      </w:pPr>
      <w:r w:rsidRPr="004E0A37">
        <w:rPr>
          <w:spacing w:val="0"/>
          <w:sz w:val="20"/>
          <w:rtl/>
        </w:rPr>
        <w:tab/>
        <w:t>(أ)</w:t>
      </w:r>
      <w:r w:rsidRPr="004E0A37">
        <w:rPr>
          <w:spacing w:val="0"/>
          <w:sz w:val="20"/>
          <w:rtl/>
        </w:rPr>
        <w:tab/>
        <w:t>البروتوكول الاختياري لاتفاقية حقوق الطفل المتعلق ببيع</w:t>
      </w:r>
      <w:r w:rsidRPr="004E0A37">
        <w:rPr>
          <w:rFonts w:hint="cs"/>
          <w:spacing w:val="0"/>
          <w:sz w:val="20"/>
          <w:rtl/>
        </w:rPr>
        <w:t xml:space="preserve"> </w:t>
      </w:r>
      <w:r w:rsidRPr="004E0A37">
        <w:rPr>
          <w:spacing w:val="0"/>
          <w:sz w:val="20"/>
          <w:rtl/>
        </w:rPr>
        <w:t>الأطفال وبغاء الأطفال واستغلال الأطفال في المواد الإباحية، في أيلول/سبتمبر 2006؛</w:t>
      </w:r>
    </w:p>
    <w:p w:rsidR="004E0A37" w:rsidRPr="004E0A37" w:rsidRDefault="004E0A37" w:rsidP="00A4030E">
      <w:pPr>
        <w:pStyle w:val="SingleTxtGA"/>
        <w:jc w:val="lowKashida"/>
        <w:rPr>
          <w:rFonts w:hint="cs"/>
          <w:spacing w:val="0"/>
          <w:sz w:val="20"/>
          <w:rtl/>
        </w:rPr>
      </w:pPr>
      <w:r w:rsidRPr="004E0A37">
        <w:rPr>
          <w:spacing w:val="0"/>
          <w:sz w:val="20"/>
          <w:rtl/>
        </w:rPr>
        <w:tab/>
        <w:t>(ب)</w:t>
      </w:r>
      <w:r w:rsidRPr="004E0A37">
        <w:rPr>
          <w:spacing w:val="0"/>
          <w:sz w:val="20"/>
          <w:rtl/>
        </w:rPr>
        <w:tab/>
        <w:t>اتفاقية الأمم المتحدة لمكافحة الجريمة المنظمة عبر الوطنية، في أيلول/</w:t>
      </w:r>
      <w:r w:rsidR="00E85F6E">
        <w:rPr>
          <w:rFonts w:hint="cs"/>
          <w:spacing w:val="0"/>
          <w:sz w:val="20"/>
          <w:rtl/>
        </w:rPr>
        <w:t xml:space="preserve"> </w:t>
      </w:r>
      <w:r w:rsidRPr="004E0A37">
        <w:rPr>
          <w:spacing w:val="0"/>
          <w:sz w:val="20"/>
          <w:rtl/>
        </w:rPr>
        <w:t>سبتمبر</w:t>
      </w:r>
      <w:r w:rsidR="00A4030E">
        <w:rPr>
          <w:rFonts w:hint="cs"/>
          <w:spacing w:val="0"/>
          <w:sz w:val="20"/>
          <w:rtl/>
        </w:rPr>
        <w:t> </w:t>
      </w:r>
      <w:r w:rsidRPr="004E0A37">
        <w:rPr>
          <w:spacing w:val="0"/>
          <w:sz w:val="20"/>
          <w:rtl/>
        </w:rPr>
        <w:t>2006</w:t>
      </w:r>
      <w:r w:rsidRPr="004E0A37">
        <w:rPr>
          <w:rFonts w:hint="cs"/>
          <w:spacing w:val="0"/>
          <w:sz w:val="20"/>
          <w:rtl/>
        </w:rPr>
        <w:t>.</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4</w:t>
      </w:r>
      <w:r w:rsidR="003E72B5">
        <w:rPr>
          <w:spacing w:val="0"/>
          <w:sz w:val="20"/>
          <w:rtl/>
        </w:rPr>
        <w:t>)</w:t>
      </w:r>
      <w:r w:rsidR="003E72B5">
        <w:rPr>
          <w:spacing w:val="0"/>
          <w:sz w:val="20"/>
          <w:rtl/>
        </w:rPr>
        <w:tab/>
      </w:r>
      <w:r w:rsidR="004E0A37" w:rsidRPr="004E0A37">
        <w:rPr>
          <w:rFonts w:hint="cs"/>
          <w:spacing w:val="0"/>
          <w:sz w:val="20"/>
          <w:rtl/>
        </w:rPr>
        <w:t>وتنوه</w:t>
      </w:r>
      <w:r w:rsidR="004E0A37" w:rsidRPr="004E0A37">
        <w:rPr>
          <w:spacing w:val="0"/>
          <w:sz w:val="20"/>
          <w:rtl/>
        </w:rPr>
        <w:t xml:space="preserve"> اللجنة </w:t>
      </w:r>
      <w:r w:rsidR="004E0A37" w:rsidRPr="004E0A37">
        <w:rPr>
          <w:rFonts w:hint="cs"/>
          <w:spacing w:val="0"/>
          <w:sz w:val="20"/>
          <w:rtl/>
        </w:rPr>
        <w:t>ب</w:t>
      </w:r>
      <w:r w:rsidR="004E0A37" w:rsidRPr="004E0A37">
        <w:rPr>
          <w:spacing w:val="0"/>
          <w:sz w:val="20"/>
          <w:rtl/>
        </w:rPr>
        <w:t xml:space="preserve">الجهود التي </w:t>
      </w:r>
      <w:r w:rsidR="004E0A37" w:rsidRPr="004E0A37">
        <w:rPr>
          <w:rFonts w:hint="cs"/>
          <w:spacing w:val="0"/>
          <w:sz w:val="20"/>
          <w:rtl/>
        </w:rPr>
        <w:t xml:space="preserve">بذلتها </w:t>
      </w:r>
      <w:r w:rsidR="004E0A37" w:rsidRPr="004E0A37">
        <w:rPr>
          <w:spacing w:val="0"/>
          <w:sz w:val="20"/>
          <w:rtl/>
        </w:rPr>
        <w:t xml:space="preserve">الدولة الطرف من أجل إصلاح تشريعاتها، </w:t>
      </w:r>
      <w:r w:rsidR="004E0A37" w:rsidRPr="004E0A37">
        <w:rPr>
          <w:rFonts w:hint="cs"/>
          <w:spacing w:val="0"/>
          <w:sz w:val="20"/>
          <w:rtl/>
        </w:rPr>
        <w:t xml:space="preserve">ومن ذلك </w:t>
      </w:r>
      <w:r w:rsidR="004E0A37" w:rsidRPr="004E0A37">
        <w:rPr>
          <w:spacing w:val="0"/>
          <w:sz w:val="20"/>
          <w:rtl/>
        </w:rPr>
        <w:t>ما يلي:</w:t>
      </w:r>
    </w:p>
    <w:p w:rsidR="004E0A37" w:rsidRPr="004E0A37" w:rsidRDefault="004E0A37" w:rsidP="004E0A37">
      <w:pPr>
        <w:pStyle w:val="SingleTxtGA"/>
        <w:jc w:val="lowKashida"/>
        <w:rPr>
          <w:spacing w:val="0"/>
          <w:sz w:val="20"/>
          <w:rtl/>
        </w:rPr>
      </w:pPr>
      <w:r w:rsidRPr="004E0A37">
        <w:rPr>
          <w:spacing w:val="0"/>
          <w:sz w:val="20"/>
          <w:rtl/>
        </w:rPr>
        <w:tab/>
        <w:t>(أ)</w:t>
      </w:r>
      <w:r w:rsidRPr="004E0A37">
        <w:rPr>
          <w:spacing w:val="0"/>
          <w:sz w:val="20"/>
          <w:rtl/>
        </w:rPr>
        <w:tab/>
        <w:t>اعتماد القانون رقم 34 المتعلق بمنع العنف المنزلي، الذي ينص على إصدار أوامر قضائية لحماية الأطفال والنساء</w:t>
      </w:r>
      <w:r w:rsidRPr="004E0A37">
        <w:rPr>
          <w:rFonts w:hint="cs"/>
          <w:spacing w:val="0"/>
          <w:sz w:val="20"/>
          <w:rtl/>
        </w:rPr>
        <w:t>،</w:t>
      </w:r>
      <w:r w:rsidRPr="004E0A37">
        <w:rPr>
          <w:spacing w:val="0"/>
          <w:sz w:val="20"/>
          <w:rtl/>
        </w:rPr>
        <w:t xml:space="preserve"> في عام 2005؛</w:t>
      </w:r>
    </w:p>
    <w:p w:rsidR="004E0A37" w:rsidRPr="004E0A37" w:rsidRDefault="004E0A37" w:rsidP="004E0A37">
      <w:pPr>
        <w:pStyle w:val="SingleTxtGA"/>
        <w:jc w:val="lowKashida"/>
        <w:rPr>
          <w:spacing w:val="0"/>
          <w:sz w:val="20"/>
          <w:rtl/>
        </w:rPr>
      </w:pPr>
      <w:r w:rsidRPr="004E0A37">
        <w:rPr>
          <w:spacing w:val="0"/>
          <w:sz w:val="20"/>
          <w:rtl/>
        </w:rPr>
        <w:tab/>
        <w:t>(ب)</w:t>
      </w:r>
      <w:r w:rsidRPr="004E0A37">
        <w:rPr>
          <w:spacing w:val="0"/>
          <w:sz w:val="20"/>
          <w:rtl/>
        </w:rPr>
        <w:tab/>
        <w:t xml:space="preserve">اعتماد قانون العقوبات (المعدل) رقم 16، الذي </w:t>
      </w:r>
      <w:r w:rsidRPr="004E0A37">
        <w:rPr>
          <w:rFonts w:hint="cs"/>
          <w:spacing w:val="0"/>
          <w:sz w:val="20"/>
          <w:rtl/>
        </w:rPr>
        <w:t xml:space="preserve">قضى، في جملة أمور أخرى، بتجريم </w:t>
      </w:r>
      <w:r w:rsidRPr="004E0A37">
        <w:rPr>
          <w:spacing w:val="0"/>
          <w:sz w:val="20"/>
          <w:rtl/>
        </w:rPr>
        <w:t>تجنيد الأطفال في النزاعات المسلحة واستخدامهم في عمالة الأطفال، والاتجار بهم واستغلالهم في المواد الإباحية، في عام 2006.</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5</w:t>
      </w:r>
      <w:r w:rsidR="003E72B5">
        <w:rPr>
          <w:rFonts w:hint="cs"/>
          <w:spacing w:val="0"/>
          <w:sz w:val="20"/>
          <w:rtl/>
        </w:rPr>
        <w:t>)</w:t>
      </w:r>
      <w:r w:rsidR="003E72B5">
        <w:rPr>
          <w:rFonts w:hint="cs"/>
          <w:spacing w:val="0"/>
          <w:sz w:val="20"/>
          <w:rtl/>
        </w:rPr>
        <w:tab/>
      </w:r>
      <w:r w:rsidRPr="004E0A37">
        <w:rPr>
          <w:spacing w:val="0"/>
          <w:sz w:val="20"/>
          <w:rtl/>
        </w:rPr>
        <w:t xml:space="preserve">وترحب اللجنة أيضاً بالجهود التي تبذلها الدولة الطرف بشأن السياسات والإجراءات الجارية، </w:t>
      </w:r>
      <w:r w:rsidRPr="004E0A37">
        <w:rPr>
          <w:rFonts w:hint="cs"/>
          <w:spacing w:val="0"/>
          <w:sz w:val="20"/>
          <w:rtl/>
        </w:rPr>
        <w:t xml:space="preserve">ومن ذلك </w:t>
      </w:r>
      <w:r w:rsidRPr="004E0A37">
        <w:rPr>
          <w:spacing w:val="0"/>
          <w:sz w:val="20"/>
          <w:rtl/>
        </w:rPr>
        <w:t>ما يلي:</w:t>
      </w:r>
    </w:p>
    <w:p w:rsidR="004E0A37" w:rsidRPr="004E0A37" w:rsidRDefault="004E0A37" w:rsidP="004E0A37">
      <w:pPr>
        <w:pStyle w:val="SingleTxtGA"/>
        <w:jc w:val="lowKashida"/>
        <w:rPr>
          <w:spacing w:val="0"/>
          <w:sz w:val="20"/>
          <w:rtl/>
        </w:rPr>
      </w:pPr>
      <w:r w:rsidRPr="004E0A37">
        <w:rPr>
          <w:spacing w:val="0"/>
          <w:sz w:val="20"/>
          <w:rtl/>
        </w:rPr>
        <w:tab/>
        <w:t>(أ)</w:t>
      </w:r>
      <w:r w:rsidRPr="004E0A37">
        <w:rPr>
          <w:spacing w:val="0"/>
          <w:sz w:val="20"/>
          <w:rtl/>
        </w:rPr>
        <w:tab/>
        <w:t>اعتماد خطة عمل وطنية خاصة بالأطفال (02010-2015)؛</w:t>
      </w:r>
    </w:p>
    <w:p w:rsidR="004E0A37" w:rsidRPr="004E0A37" w:rsidRDefault="004E0A37" w:rsidP="004E0A37">
      <w:pPr>
        <w:pStyle w:val="SingleTxtGA"/>
        <w:jc w:val="lowKashida"/>
        <w:rPr>
          <w:spacing w:val="0"/>
          <w:sz w:val="20"/>
          <w:rtl/>
        </w:rPr>
      </w:pPr>
      <w:r w:rsidRPr="004E0A37">
        <w:rPr>
          <w:spacing w:val="0"/>
          <w:sz w:val="20"/>
          <w:rtl/>
        </w:rPr>
        <w:tab/>
        <w:t>(ب)</w:t>
      </w:r>
      <w:r w:rsidRPr="004E0A37">
        <w:rPr>
          <w:spacing w:val="0"/>
          <w:sz w:val="20"/>
          <w:rtl/>
        </w:rPr>
        <w:tab/>
        <w:t>إجراء مشاورات مع منظمات المجتمع المدني بشأن العناصر التي يتعين إدراجها في مشروع خطة العمل الوطنية الخاصة بحقوق الإنسان، التي ستتضمن مجال</w:t>
      </w:r>
      <w:r w:rsidRPr="004E0A37">
        <w:rPr>
          <w:rFonts w:hint="cs"/>
          <w:spacing w:val="0"/>
          <w:sz w:val="20"/>
          <w:rtl/>
        </w:rPr>
        <w:t xml:space="preserve"> الاهتمام المتمثل في </w:t>
      </w:r>
      <w:r w:rsidRPr="004E0A37">
        <w:rPr>
          <w:spacing w:val="0"/>
          <w:sz w:val="20"/>
          <w:rtl/>
        </w:rPr>
        <w:t>منع التعذيب؛</w:t>
      </w:r>
    </w:p>
    <w:p w:rsidR="004E0A37" w:rsidRPr="004E0A37" w:rsidRDefault="004E0A37" w:rsidP="004E0A37">
      <w:pPr>
        <w:pStyle w:val="SingleTxtGA"/>
        <w:jc w:val="lowKashida"/>
        <w:rPr>
          <w:spacing w:val="0"/>
          <w:sz w:val="20"/>
          <w:rtl/>
        </w:rPr>
      </w:pPr>
      <w:r w:rsidRPr="004E0A37">
        <w:rPr>
          <w:spacing w:val="0"/>
          <w:sz w:val="20"/>
          <w:rtl/>
        </w:rPr>
        <w:tab/>
        <w:t>(ج)</w:t>
      </w:r>
      <w:r w:rsidRPr="004E0A37">
        <w:rPr>
          <w:spacing w:val="0"/>
          <w:sz w:val="20"/>
          <w:rtl/>
        </w:rPr>
        <w:tab/>
        <w:t>إنشاء اللجنة المعنية بالدروس المستفادة والمصالحة في أيار/مايو 2010.</w:t>
      </w:r>
    </w:p>
    <w:p w:rsidR="004E0A37" w:rsidRPr="004E0A37" w:rsidRDefault="007223C0" w:rsidP="002E2361">
      <w:pPr>
        <w:pStyle w:val="H23GA"/>
        <w:keepNext/>
        <w:tabs>
          <w:tab w:val="left" w:pos="1925"/>
        </w:tabs>
        <w:rPr>
          <w:rtl/>
        </w:rPr>
      </w:pPr>
      <w:r>
        <w:rPr>
          <w:rtl/>
        </w:rPr>
        <w:tab/>
      </w:r>
      <w:r>
        <w:rPr>
          <w:rtl/>
        </w:rPr>
        <w:tab/>
        <w:t>جيم-</w:t>
      </w:r>
      <w:r w:rsidR="004E0A37" w:rsidRPr="004E0A37">
        <w:rPr>
          <w:rtl/>
        </w:rPr>
        <w:tab/>
        <w:t>دواعي القلق الرئيسية والتوصيات</w:t>
      </w:r>
    </w:p>
    <w:p w:rsidR="004E0A37" w:rsidRPr="004E0A37" w:rsidRDefault="004E0A37" w:rsidP="00E85F6E">
      <w:pPr>
        <w:pStyle w:val="H23GA"/>
        <w:rPr>
          <w:rtl/>
        </w:rPr>
      </w:pPr>
      <w:r w:rsidRPr="004E0A37">
        <w:rPr>
          <w:rtl/>
        </w:rPr>
        <w:tab/>
      </w:r>
      <w:r w:rsidRPr="004E0A37">
        <w:rPr>
          <w:rtl/>
        </w:rPr>
        <w:tab/>
        <w:t>الادعاءات المتعلقة بانتشار استخدام التعذيب وسوء المعاملة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6</w:t>
      </w:r>
      <w:r w:rsidR="003E72B5">
        <w:rPr>
          <w:rFonts w:hint="cs"/>
          <w:spacing w:val="0"/>
          <w:sz w:val="20"/>
          <w:rtl/>
        </w:rPr>
        <w:t>)</w:t>
      </w:r>
      <w:r w:rsidR="003E72B5">
        <w:rPr>
          <w:rFonts w:hint="cs"/>
          <w:spacing w:val="0"/>
          <w:sz w:val="20"/>
          <w:rtl/>
        </w:rPr>
        <w:tab/>
      </w:r>
      <w:r w:rsidRPr="004E0A37">
        <w:rPr>
          <w:spacing w:val="0"/>
          <w:sz w:val="20"/>
          <w:rtl/>
        </w:rPr>
        <w:t xml:space="preserve">رغم الظروف الجديدة السائدة بعد انهزام حركة </w:t>
      </w:r>
      <w:r w:rsidRPr="004E0A37">
        <w:rPr>
          <w:rFonts w:hint="cs"/>
          <w:spacing w:val="0"/>
          <w:sz w:val="20"/>
          <w:rtl/>
        </w:rPr>
        <w:t>نمور</w:t>
      </w:r>
      <w:r w:rsidRPr="004E0A37">
        <w:rPr>
          <w:spacing w:val="0"/>
          <w:sz w:val="20"/>
          <w:rtl/>
        </w:rPr>
        <w:t xml:space="preserve"> تحرير التام</w:t>
      </w:r>
      <w:r w:rsidRPr="004E0A37">
        <w:rPr>
          <w:rFonts w:hint="cs"/>
          <w:spacing w:val="0"/>
          <w:sz w:val="20"/>
          <w:rtl/>
        </w:rPr>
        <w:t>ي</w:t>
      </w:r>
      <w:r w:rsidRPr="004E0A37">
        <w:rPr>
          <w:spacing w:val="0"/>
          <w:sz w:val="20"/>
          <w:rtl/>
        </w:rPr>
        <w:t xml:space="preserve">ل وانتهاء النزاع العسكري الذي </w:t>
      </w:r>
      <w:r w:rsidRPr="004E0A37">
        <w:rPr>
          <w:rFonts w:hint="cs"/>
          <w:spacing w:val="0"/>
          <w:sz w:val="20"/>
          <w:rtl/>
        </w:rPr>
        <w:t xml:space="preserve">أنهك </w:t>
      </w:r>
      <w:r w:rsidRPr="004E0A37">
        <w:rPr>
          <w:spacing w:val="0"/>
          <w:sz w:val="20"/>
          <w:rtl/>
        </w:rPr>
        <w:t xml:space="preserve">البلد لمدة 30 عاماً تقريباً، ورغم التزام الدولة الطرف علناً إزاء اللجنة بأن </w:t>
      </w:r>
      <w:r w:rsidRPr="004E0A37">
        <w:rPr>
          <w:rFonts w:hint="cs"/>
          <w:spacing w:val="0"/>
          <w:sz w:val="20"/>
          <w:rtl/>
        </w:rPr>
        <w:t>تنتهج</w:t>
      </w:r>
      <w:r w:rsidRPr="004E0A37">
        <w:rPr>
          <w:spacing w:val="0"/>
          <w:sz w:val="20"/>
          <w:rtl/>
        </w:rPr>
        <w:t xml:space="preserve"> سياسة عدم التسامح مطلقاً مع </w:t>
      </w:r>
      <w:r w:rsidRPr="004E0A37">
        <w:rPr>
          <w:rFonts w:hint="cs"/>
          <w:spacing w:val="0"/>
          <w:sz w:val="20"/>
          <w:rtl/>
        </w:rPr>
        <w:t xml:space="preserve">ممارسة </w:t>
      </w:r>
      <w:r w:rsidRPr="004E0A37">
        <w:rPr>
          <w:spacing w:val="0"/>
          <w:sz w:val="20"/>
          <w:rtl/>
        </w:rPr>
        <w:t xml:space="preserve">التعذيب </w:t>
      </w:r>
      <w:r w:rsidRPr="004E0A37">
        <w:rPr>
          <w:rFonts w:hint="cs"/>
          <w:spacing w:val="0"/>
          <w:sz w:val="20"/>
          <w:rtl/>
        </w:rPr>
        <w:t xml:space="preserve">باعتبار ذلك </w:t>
      </w:r>
      <w:r w:rsidRPr="004E0A37">
        <w:rPr>
          <w:spacing w:val="0"/>
          <w:sz w:val="20"/>
          <w:rtl/>
        </w:rPr>
        <w:t xml:space="preserve">مسألة </w:t>
      </w:r>
      <w:r w:rsidRPr="004E0A37">
        <w:rPr>
          <w:rFonts w:hint="cs"/>
          <w:spacing w:val="0"/>
          <w:sz w:val="20"/>
          <w:rtl/>
        </w:rPr>
        <w:t xml:space="preserve">تندرج في إطار </w:t>
      </w:r>
      <w:r w:rsidRPr="004E0A37">
        <w:rPr>
          <w:spacing w:val="0"/>
          <w:sz w:val="20"/>
          <w:rtl/>
        </w:rPr>
        <w:t xml:space="preserve">سياسة الدولة وممارستها، ما زالت اللجنة تشعر بقلق بالغ إزاء الادعاءات المتواصلة والمتسقة التي تتعلق بانتشار استخدام التعذيب وغيره من ضروب المعاملة القاسية أو اللاإنسانية أو المهينة في حق المشتبه فيهم </w:t>
      </w:r>
      <w:r w:rsidRPr="004E0A37">
        <w:rPr>
          <w:rFonts w:hint="cs"/>
          <w:spacing w:val="0"/>
          <w:sz w:val="20"/>
          <w:rtl/>
        </w:rPr>
        <w:t>المحتجزين احتياطياً</w:t>
      </w:r>
      <w:r w:rsidRPr="004E0A37">
        <w:rPr>
          <w:spacing w:val="0"/>
          <w:sz w:val="20"/>
          <w:rtl/>
        </w:rPr>
        <w:t xml:space="preserve">، لا سيما بهدف انتزاع اعترافات أو معلومات منهم لاستخدامها في </w:t>
      </w:r>
      <w:r w:rsidRPr="004E0A37">
        <w:rPr>
          <w:rFonts w:hint="cs"/>
          <w:spacing w:val="0"/>
          <w:sz w:val="20"/>
          <w:rtl/>
        </w:rPr>
        <w:t xml:space="preserve">الدعاوى </w:t>
      </w:r>
      <w:r w:rsidRPr="004E0A37">
        <w:rPr>
          <w:spacing w:val="0"/>
          <w:sz w:val="20"/>
          <w:rtl/>
        </w:rPr>
        <w:t>الجنائية. ويساور اللجنة القلق أيضاً بسبب التقارير التي تفيد بأن أفعال التعذيب وسوء المعاملة التي ترتكبها جهات حكومية فاعلة، وهي الجيش والشرطة، ظلت متواصلة في أجزاء عديدة من البلد بعد انتهاء النزاع في أيار/مايو 2009، وما</w:t>
      </w:r>
      <w:r w:rsidRPr="004E0A37">
        <w:rPr>
          <w:rFonts w:hint="cs"/>
          <w:spacing w:val="0"/>
          <w:sz w:val="20"/>
          <w:rtl/>
        </w:rPr>
        <w:t> </w:t>
      </w:r>
      <w:r w:rsidRPr="004E0A37">
        <w:rPr>
          <w:spacing w:val="0"/>
          <w:sz w:val="20"/>
          <w:rtl/>
        </w:rPr>
        <w:t>زالت تحدث في عام 2011 (المواد 2 و4 و11 و15).</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تطلب اللجنة من الدولة الطرف</w:t>
      </w:r>
      <w:r w:rsidRPr="00E85F6E">
        <w:rPr>
          <w:rFonts w:hint="cs"/>
          <w:b/>
          <w:bCs/>
          <w:spacing w:val="0"/>
          <w:sz w:val="20"/>
          <w:rtl/>
        </w:rPr>
        <w:t xml:space="preserve">، </w:t>
      </w:r>
      <w:r w:rsidRPr="00E85F6E">
        <w:rPr>
          <w:b/>
          <w:bCs/>
          <w:spacing w:val="0"/>
          <w:sz w:val="20"/>
          <w:rtl/>
        </w:rPr>
        <w:t xml:space="preserve">على سبيل الاستعجال، اتخاذ تدابير فورية وفعالة للتحقيق في جميع أفعال التعذيب وسوء المعاملة وملاحقة المسؤولين عنها ومعاقبتهم بعقوبات تتناسب مع جسامة أفعالهم. كما تدعو الدولة الطرف إلى ضمان </w:t>
      </w:r>
      <w:r w:rsidRPr="00E85F6E">
        <w:rPr>
          <w:rFonts w:hint="cs"/>
          <w:b/>
          <w:bCs/>
          <w:spacing w:val="0"/>
          <w:sz w:val="20"/>
          <w:rtl/>
        </w:rPr>
        <w:t xml:space="preserve">عدم لجوء </w:t>
      </w:r>
      <w:r w:rsidRPr="00E85F6E">
        <w:rPr>
          <w:b/>
          <w:bCs/>
          <w:spacing w:val="0"/>
          <w:sz w:val="20"/>
          <w:rtl/>
        </w:rPr>
        <w:t>الموظفين المكلفين بإنفاذ القانون وأفراد الجيش</w:t>
      </w:r>
      <w:r w:rsidRPr="00E85F6E">
        <w:rPr>
          <w:rFonts w:hint="cs"/>
          <w:b/>
          <w:bCs/>
          <w:spacing w:val="0"/>
          <w:sz w:val="20"/>
          <w:rtl/>
        </w:rPr>
        <w:t xml:space="preserve"> إلى ممارسة التعذيب</w:t>
      </w:r>
      <w:r w:rsidRPr="00E85F6E">
        <w:rPr>
          <w:b/>
          <w:bCs/>
          <w:spacing w:val="0"/>
          <w:sz w:val="20"/>
          <w:rtl/>
        </w:rPr>
        <w:t>. وفضلاً عن هذه التدابير، ينبغي للدولة الطرف أن تؤكد من جديد بوضوح لا لبس فيه الحظر المطلق للتعذيب وأن تدين علناً ممارسات التعذيب، على أن تقترن هذه الإدانة بتوجيه إنذار واضح مفاده أن أي شخص يرتكب مثل هذه الأفعال أو يتواطأ أو يشارك بأي شكل آخر في ممارسة التعذيب سيكون مسؤولاً مسؤولية شخصية أمام القانون عن مثل هذه الأفعال وسيخضع للملاحقة الجنائية ولعقوبات مناسبة.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وتذكِّر اللجنة بالحظر المطلق للتعذيب المنصوص عليه في الفقرة 2 من المادة 2 من الاتفاقية، التي جاء فيها</w:t>
      </w:r>
      <w:r w:rsidRPr="00E85F6E">
        <w:rPr>
          <w:rFonts w:hint="cs"/>
          <w:b/>
          <w:bCs/>
          <w:spacing w:val="0"/>
          <w:sz w:val="20"/>
          <w:rtl/>
        </w:rPr>
        <w:t xml:space="preserve"> أنه</w:t>
      </w:r>
      <w:r w:rsidRPr="00E85F6E">
        <w:rPr>
          <w:b/>
          <w:bCs/>
          <w:spacing w:val="0"/>
          <w:sz w:val="20"/>
          <w:rtl/>
        </w:rPr>
        <w:t xml:space="preserve"> "لا يجوز التذرع بأية ظروف استثنائية أياً كانت، سواء أكانت هذه الظروف حالة حرب أو تهديداً بالحرب أو عدم استقرار سياسي داخلي أو أية حالة من حالات الطوارئ العامة الأخرى كمبرر للتعذيب"، كما تذكِّر ببيان ممثل الدولة الطرف الذي يؤكد هذ</w:t>
      </w:r>
      <w:r w:rsidRPr="00E85F6E">
        <w:rPr>
          <w:rFonts w:hint="cs"/>
          <w:b/>
          <w:bCs/>
          <w:spacing w:val="0"/>
          <w:sz w:val="20"/>
          <w:rtl/>
        </w:rPr>
        <w:t>ه المسألة</w:t>
      </w:r>
      <w:r w:rsidRPr="00E85F6E">
        <w:rPr>
          <w:b/>
          <w:bCs/>
          <w:spacing w:val="0"/>
          <w:sz w:val="20"/>
          <w:rtl/>
        </w:rPr>
        <w:t xml:space="preserve"> من جديد.</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الضمانات القانونية الأساسية</w:t>
      </w:r>
    </w:p>
    <w:p w:rsidR="004E0A37" w:rsidRPr="004E0A37" w:rsidRDefault="00BE7198" w:rsidP="00043F1D">
      <w:pPr>
        <w:pStyle w:val="SingleTxtGA"/>
        <w:jc w:val="lowKashida"/>
        <w:rPr>
          <w:spacing w:val="0"/>
          <w:sz w:val="20"/>
          <w:rtl/>
        </w:rPr>
      </w:pPr>
      <w:r w:rsidRPr="002E2361">
        <w:rPr>
          <w:rFonts w:hint="cs"/>
          <w:spacing w:val="-2"/>
          <w:kern w:val="0"/>
          <w:sz w:val="20"/>
          <w:rtl/>
        </w:rPr>
        <w:t>(</w:t>
      </w:r>
      <w:r w:rsidR="004E0A37" w:rsidRPr="002E2361">
        <w:rPr>
          <w:spacing w:val="-2"/>
          <w:kern w:val="0"/>
          <w:sz w:val="20"/>
          <w:rtl/>
        </w:rPr>
        <w:t>7</w:t>
      </w:r>
      <w:r w:rsidR="003E72B5" w:rsidRPr="002E2361">
        <w:rPr>
          <w:spacing w:val="-2"/>
          <w:kern w:val="0"/>
          <w:sz w:val="20"/>
          <w:rtl/>
        </w:rPr>
        <w:t>)</w:t>
      </w:r>
      <w:r w:rsidR="003E72B5" w:rsidRPr="002E2361">
        <w:rPr>
          <w:spacing w:val="-2"/>
          <w:kern w:val="0"/>
          <w:sz w:val="20"/>
          <w:rtl/>
        </w:rPr>
        <w:tab/>
      </w:r>
      <w:r w:rsidR="004E0A37" w:rsidRPr="002E2361">
        <w:rPr>
          <w:spacing w:val="-2"/>
          <w:kern w:val="0"/>
          <w:sz w:val="20"/>
          <w:rtl/>
        </w:rPr>
        <w:t>في حين تحيط اللجنة</w:t>
      </w:r>
      <w:r w:rsidR="003833F8" w:rsidRPr="002E2361">
        <w:rPr>
          <w:spacing w:val="-2"/>
          <w:kern w:val="0"/>
          <w:sz w:val="20"/>
          <w:rtl/>
        </w:rPr>
        <w:t xml:space="preserve"> علماً </w:t>
      </w:r>
      <w:r w:rsidR="004E0A37" w:rsidRPr="002E2361">
        <w:rPr>
          <w:spacing w:val="-2"/>
          <w:kern w:val="0"/>
          <w:sz w:val="20"/>
          <w:rtl/>
        </w:rPr>
        <w:t xml:space="preserve">بالمعلومات التي قدمتها الدولة الطرف بشأن مضمون التوجيهات الرئاسية المؤرخة 7 تموز/يوليه 2006 (الصادرة من جديد في عام 2007) والقواعد المتعلقة بالأشخاص المحتجزين </w:t>
      </w:r>
      <w:r w:rsidR="004E0A37" w:rsidRPr="002E2361">
        <w:rPr>
          <w:rFonts w:hint="cs"/>
          <w:spacing w:val="-2"/>
          <w:kern w:val="0"/>
          <w:sz w:val="20"/>
          <w:rtl/>
        </w:rPr>
        <w:t xml:space="preserve">احتياطياً </w:t>
      </w:r>
      <w:r w:rsidR="004E0A37" w:rsidRPr="002E2361">
        <w:rPr>
          <w:spacing w:val="-2"/>
          <w:kern w:val="0"/>
          <w:sz w:val="20"/>
          <w:rtl/>
        </w:rPr>
        <w:t>(القانون المتعلق بالأمر الوزاري رقم أ</w:t>
      </w:r>
      <w:r w:rsidR="004E0A37" w:rsidRPr="002E2361">
        <w:rPr>
          <w:rFonts w:hint="cs"/>
          <w:spacing w:val="-2"/>
          <w:kern w:val="0"/>
          <w:sz w:val="20"/>
          <w:rtl/>
        </w:rPr>
        <w:t>لف</w:t>
      </w:r>
      <w:r w:rsidR="004E0A37" w:rsidRPr="002E2361">
        <w:rPr>
          <w:spacing w:val="-2"/>
          <w:kern w:val="0"/>
          <w:sz w:val="20"/>
          <w:rtl/>
        </w:rPr>
        <w:t xml:space="preserve"> 20)، تعرب اللجنة عن قلقها البالغ لأن الدولة الطرف لا توفر في الواقع لجميع المحتجزين،</w:t>
      </w:r>
      <w:r w:rsidR="004E0A37" w:rsidRPr="004E0A37">
        <w:rPr>
          <w:spacing w:val="0"/>
          <w:sz w:val="20"/>
          <w:rtl/>
        </w:rPr>
        <w:t xml:space="preserve"> بمن فيهم المحتجزون بموجب قوانين مكافحة الإرهاب، كافة الضمانات الأساسية منذ بداية احتجازهم. ويساور اللجنة القلق لأنه رغم مضمون التوجيهات الرئاسية لعام 2006، لا </w:t>
      </w:r>
      <w:r w:rsidR="004E0A37" w:rsidRPr="004E0A37">
        <w:rPr>
          <w:rFonts w:hint="cs"/>
          <w:spacing w:val="0"/>
          <w:sz w:val="20"/>
          <w:rtl/>
        </w:rPr>
        <w:t>ي</w:t>
      </w:r>
      <w:r w:rsidR="004E0A37" w:rsidRPr="004E0A37">
        <w:rPr>
          <w:spacing w:val="0"/>
          <w:sz w:val="20"/>
          <w:rtl/>
        </w:rPr>
        <w:t xml:space="preserve">زال المشتبه فيهم جنائياً المحتجزون </w:t>
      </w:r>
      <w:r w:rsidR="004E0A37" w:rsidRPr="004E0A37">
        <w:rPr>
          <w:rFonts w:hint="cs"/>
          <w:spacing w:val="0"/>
          <w:sz w:val="20"/>
          <w:rtl/>
        </w:rPr>
        <w:t>احتياطياً محرومون من ال</w:t>
      </w:r>
      <w:r w:rsidR="004E0A37" w:rsidRPr="004E0A37">
        <w:rPr>
          <w:spacing w:val="0"/>
          <w:sz w:val="20"/>
          <w:rtl/>
        </w:rPr>
        <w:t xml:space="preserve">حق </w:t>
      </w:r>
      <w:r w:rsidR="004E0A37" w:rsidRPr="004E0A37">
        <w:rPr>
          <w:rFonts w:hint="cs"/>
          <w:spacing w:val="0"/>
          <w:sz w:val="20"/>
          <w:rtl/>
        </w:rPr>
        <w:t>ال</w:t>
      </w:r>
      <w:r w:rsidR="004E0A37" w:rsidRPr="004E0A37">
        <w:rPr>
          <w:spacing w:val="0"/>
          <w:sz w:val="20"/>
          <w:rtl/>
        </w:rPr>
        <w:t>قانوني في إخبار فرد من أفراد أسرهم بالاعتقال أو في الاستعانة على وجه السرعة بمحام من اختيارهم. ويفتقر قانون الإجراءات الجنائية أيضاً إلى ضمانات قانونية أساسية أخرى، مثل الحق في الاستعانة بمحام يحضر كل استجواب وفي الحصول على مساعدة مترجم فوري والحق في الاتصال المحاط بالسرية بين المحامي وموكله. وتلاحظ اللجنة بقلق أن الحصول على خدمات طبيب أمر يُترك لتقدير موظف الشرطة المسؤول عن مركز الشرطة. وتعرب أيضاً عن قلقها إزاء التقارير التي تفيد بأن الشرطة لا </w:t>
      </w:r>
      <w:r w:rsidR="004E0A37" w:rsidRPr="004E0A37">
        <w:rPr>
          <w:rFonts w:hint="cs"/>
          <w:spacing w:val="0"/>
          <w:sz w:val="20"/>
          <w:rtl/>
        </w:rPr>
        <w:t>تقدم</w:t>
      </w:r>
      <w:r w:rsidR="004E0A37" w:rsidRPr="004E0A37">
        <w:rPr>
          <w:spacing w:val="0"/>
          <w:sz w:val="20"/>
          <w:rtl/>
        </w:rPr>
        <w:t xml:space="preserve"> المشتبه فيه أمام قاض خلال المهلة التي ينص عليها القانون وبأن الأشخاص المتهمين لا يحصلون في أغلب الأحيان على معلومات كافية بشأن حقوقهم.</w:t>
      </w:r>
      <w:r w:rsidR="004E0A37" w:rsidRPr="004E0A37">
        <w:rPr>
          <w:rFonts w:hint="cs"/>
          <w:spacing w:val="0"/>
          <w:sz w:val="20"/>
          <w:rtl/>
        </w:rPr>
        <w:t xml:space="preserve"> </w:t>
      </w:r>
      <w:r w:rsidR="004E0A37" w:rsidRPr="004E0A37">
        <w:rPr>
          <w:spacing w:val="0"/>
          <w:sz w:val="20"/>
          <w:rtl/>
        </w:rPr>
        <w:t>كما</w:t>
      </w:r>
      <w:r w:rsidR="00DF0D05">
        <w:rPr>
          <w:rFonts w:hint="cs"/>
          <w:spacing w:val="0"/>
          <w:sz w:val="20"/>
          <w:rtl/>
        </w:rPr>
        <w:t> </w:t>
      </w:r>
      <w:r w:rsidR="004E0A37" w:rsidRPr="004E0A37">
        <w:rPr>
          <w:spacing w:val="0"/>
          <w:sz w:val="20"/>
          <w:rtl/>
        </w:rPr>
        <w:t xml:space="preserve">تعرب اللجنة عن قلقها إزاء </w:t>
      </w:r>
      <w:r w:rsidR="004E0A37" w:rsidRPr="004E0A37">
        <w:rPr>
          <w:rFonts w:hint="cs"/>
          <w:spacing w:val="0"/>
          <w:sz w:val="20"/>
          <w:rtl/>
        </w:rPr>
        <w:t xml:space="preserve">عدم وجود </w:t>
      </w:r>
      <w:r w:rsidR="004E0A37" w:rsidRPr="004E0A37">
        <w:rPr>
          <w:spacing w:val="0"/>
          <w:sz w:val="20"/>
          <w:rtl/>
        </w:rPr>
        <w:t xml:space="preserve">برنامج للمساعدة القانونية ترعاه الدولة؛ وإزاء تنوع الحواجز المؤسسية والتقنية والإجرائية التي </w:t>
      </w:r>
      <w:r w:rsidR="004E0A37" w:rsidRPr="004E0A37">
        <w:rPr>
          <w:rFonts w:hint="cs"/>
          <w:spacing w:val="0"/>
          <w:sz w:val="20"/>
          <w:rtl/>
        </w:rPr>
        <w:t xml:space="preserve">تجعل أمر </w:t>
      </w:r>
      <w:r w:rsidR="004E0A37" w:rsidRPr="004E0A37">
        <w:rPr>
          <w:spacing w:val="0"/>
          <w:sz w:val="20"/>
          <w:rtl/>
        </w:rPr>
        <w:t xml:space="preserve">الإحضار أمام المحكمة </w:t>
      </w:r>
      <w:r w:rsidR="004E0A37" w:rsidRPr="004E0A37">
        <w:rPr>
          <w:rFonts w:hint="cs"/>
          <w:spacing w:val="0"/>
          <w:sz w:val="20"/>
          <w:rtl/>
        </w:rPr>
        <w:t xml:space="preserve">عديم </w:t>
      </w:r>
      <w:r w:rsidR="004E0A37" w:rsidRPr="004E0A37">
        <w:rPr>
          <w:spacing w:val="0"/>
          <w:sz w:val="20"/>
          <w:rtl/>
        </w:rPr>
        <w:t>الفعالية</w:t>
      </w:r>
      <w:r w:rsidR="00043F1D">
        <w:rPr>
          <w:rFonts w:hint="cs"/>
          <w:spacing w:val="0"/>
          <w:sz w:val="20"/>
          <w:rtl/>
        </w:rPr>
        <w:t> </w:t>
      </w:r>
      <w:r w:rsidR="004E0A37" w:rsidRPr="004E0A37">
        <w:rPr>
          <w:spacing w:val="0"/>
          <w:sz w:val="20"/>
          <w:rtl/>
        </w:rPr>
        <w:t>(المادة</w:t>
      </w:r>
      <w:r w:rsidR="004E0A37" w:rsidRPr="004E0A37">
        <w:rPr>
          <w:rFonts w:hint="cs"/>
          <w:spacing w:val="0"/>
          <w:sz w:val="20"/>
          <w:rtl/>
        </w:rPr>
        <w:t> </w:t>
      </w:r>
      <w:r w:rsidR="004E0A37" w:rsidRPr="004E0A37">
        <w:rPr>
          <w:spacing w:val="0"/>
          <w:sz w:val="20"/>
          <w:rtl/>
        </w:rPr>
        <w:t>2).</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ينبغي للدولة الطرف أن تتخذ تدابير عاجلة وفعالة لكي تكفل، في القانون وفي الممارسة، توفير جميع الضمانات القانونية لجميع المحتجزين منذ </w:t>
      </w:r>
      <w:r w:rsidRPr="00E85F6E">
        <w:rPr>
          <w:rFonts w:hint="cs"/>
          <w:b/>
          <w:bCs/>
          <w:spacing w:val="0"/>
          <w:sz w:val="20"/>
          <w:rtl/>
        </w:rPr>
        <w:t>الوهلة الأولى ل</w:t>
      </w:r>
      <w:r w:rsidRPr="00E85F6E">
        <w:rPr>
          <w:b/>
          <w:bCs/>
          <w:spacing w:val="0"/>
          <w:sz w:val="20"/>
          <w:rtl/>
        </w:rPr>
        <w:t xml:space="preserve">احتجازهم. ويشمل هذا، بالأخص، حقوق كل محتجز في أن يبلَّغ بأسباب اعتقاله، بما فيها أي تهم موجهة إليه؛ وفي الحصول بسرعة على خدمات محام والتشاور معه على انفراد، والاستفادة، عند الحاجة، من المساعدة القانونية وكذلك من فحص طبي مستقل، على يد طبيب من اختياره إذا أمكن؛ وفي إعلام أحد الأقارب والحصول على معلومات بشأن حقوقه؛ وفي الاستعانة بمحام يحضر كل استجواب تجريه الشرطة </w:t>
      </w:r>
      <w:r w:rsidRPr="00E85F6E">
        <w:rPr>
          <w:rFonts w:hint="cs"/>
          <w:b/>
          <w:bCs/>
          <w:spacing w:val="0"/>
          <w:sz w:val="20"/>
          <w:rtl/>
        </w:rPr>
        <w:t xml:space="preserve">معه </w:t>
      </w:r>
      <w:r w:rsidRPr="00E85F6E">
        <w:rPr>
          <w:b/>
          <w:bCs/>
          <w:spacing w:val="0"/>
          <w:sz w:val="20"/>
          <w:rtl/>
        </w:rPr>
        <w:t>والحصول على مساعدة مترجم فوري؛ وفي</w:t>
      </w:r>
      <w:r w:rsidRPr="00E85F6E">
        <w:rPr>
          <w:rFonts w:hint="cs"/>
          <w:b/>
          <w:bCs/>
          <w:spacing w:val="0"/>
          <w:sz w:val="20"/>
          <w:rtl/>
        </w:rPr>
        <w:t> </w:t>
      </w:r>
      <w:r w:rsidRPr="00E85F6E">
        <w:rPr>
          <w:b/>
          <w:bCs/>
          <w:spacing w:val="0"/>
          <w:sz w:val="20"/>
          <w:rtl/>
        </w:rPr>
        <w:t>المثول بسرعة أمام قاض وأن تستعرض محكمة مشروعية احتجازه،</w:t>
      </w:r>
      <w:r w:rsidR="00B345DB" w:rsidRPr="00E85F6E">
        <w:rPr>
          <w:b/>
          <w:bCs/>
          <w:spacing w:val="0"/>
          <w:sz w:val="20"/>
          <w:rtl/>
        </w:rPr>
        <w:t xml:space="preserve"> وفقاً </w:t>
      </w:r>
      <w:r w:rsidRPr="00E85F6E">
        <w:rPr>
          <w:b/>
          <w:bCs/>
          <w:spacing w:val="0"/>
          <w:sz w:val="20"/>
          <w:rtl/>
        </w:rPr>
        <w:t>للصكوك الدولية.</w:t>
      </w:r>
    </w:p>
    <w:p w:rsidR="004E0A37" w:rsidRPr="00E85F6E" w:rsidRDefault="004E0A37" w:rsidP="004E0A37">
      <w:pPr>
        <w:pStyle w:val="SingleTxtGA"/>
        <w:jc w:val="lowKashida"/>
        <w:rPr>
          <w:b/>
          <w:bCs/>
          <w:spacing w:val="2"/>
          <w:sz w:val="20"/>
          <w:rtl/>
        </w:rPr>
      </w:pPr>
      <w:r w:rsidRPr="00E85F6E">
        <w:rPr>
          <w:rFonts w:hint="cs"/>
          <w:b/>
          <w:bCs/>
          <w:spacing w:val="2"/>
          <w:sz w:val="20"/>
          <w:rtl/>
        </w:rPr>
        <w:tab/>
      </w:r>
      <w:r w:rsidRPr="00E85F6E">
        <w:rPr>
          <w:b/>
          <w:bCs/>
          <w:spacing w:val="2"/>
          <w:sz w:val="20"/>
          <w:rtl/>
        </w:rPr>
        <w:t xml:space="preserve">وينبغي للدولة الطرف أن تكفل، عند إحضار الشرطة للمشتبه فيهم أمام المحاكم، أن يسأل القضاة دائماً عما إذا كان المشتبه فيه قد تعرض للتعذيب أو سوء المعاملة على يد الشرطة وقت احتجازه. وينبغي للدولة الطرف أن </w:t>
      </w:r>
      <w:r w:rsidRPr="00E85F6E">
        <w:rPr>
          <w:rFonts w:hint="cs"/>
          <w:b/>
          <w:bCs/>
          <w:spacing w:val="2"/>
          <w:sz w:val="20"/>
          <w:rtl/>
        </w:rPr>
        <w:t xml:space="preserve">تكفل حرص </w:t>
      </w:r>
      <w:r w:rsidRPr="00E85F6E">
        <w:rPr>
          <w:b/>
          <w:bCs/>
          <w:spacing w:val="2"/>
          <w:sz w:val="20"/>
          <w:rtl/>
        </w:rPr>
        <w:t xml:space="preserve">الموظفين الحكوميين، لا سيما الموظفون القضائيون الطبيون وأطباء السجون وموظفو السجون والقضاة الذين لديهم أسباب للاشتباه في وقوع عمل من أعمال التعذيب أو سوء المعاملة، </w:t>
      </w:r>
      <w:r w:rsidRPr="00E85F6E">
        <w:rPr>
          <w:rFonts w:hint="cs"/>
          <w:b/>
          <w:bCs/>
          <w:spacing w:val="2"/>
          <w:sz w:val="20"/>
          <w:rtl/>
        </w:rPr>
        <w:t xml:space="preserve">على تسجيل </w:t>
      </w:r>
      <w:r w:rsidRPr="00E85F6E">
        <w:rPr>
          <w:b/>
          <w:bCs/>
          <w:spacing w:val="2"/>
          <w:sz w:val="20"/>
          <w:rtl/>
        </w:rPr>
        <w:t xml:space="preserve">أي عمل من هذا القبيل </w:t>
      </w:r>
      <w:r w:rsidRPr="00E85F6E">
        <w:rPr>
          <w:rFonts w:hint="cs"/>
          <w:b/>
          <w:bCs/>
          <w:spacing w:val="2"/>
          <w:sz w:val="20"/>
          <w:rtl/>
        </w:rPr>
        <w:t>ي</w:t>
      </w:r>
      <w:r w:rsidRPr="00E85F6E">
        <w:rPr>
          <w:b/>
          <w:bCs/>
          <w:spacing w:val="2"/>
          <w:sz w:val="20"/>
          <w:rtl/>
        </w:rPr>
        <w:t xml:space="preserve">شتبه في وقوعه أو يُدعى وقوعه </w:t>
      </w:r>
      <w:r w:rsidRPr="00E85F6E">
        <w:rPr>
          <w:rFonts w:hint="cs"/>
          <w:b/>
          <w:bCs/>
          <w:spacing w:val="2"/>
          <w:sz w:val="20"/>
          <w:rtl/>
        </w:rPr>
        <w:t xml:space="preserve">وعلى إبلاغ </w:t>
      </w:r>
      <w:r w:rsidRPr="00E85F6E">
        <w:rPr>
          <w:b/>
          <w:bCs/>
          <w:spacing w:val="2"/>
          <w:sz w:val="20"/>
          <w:rtl/>
        </w:rPr>
        <w:t>السلطات المعنية</w:t>
      </w:r>
      <w:r w:rsidRPr="00E85F6E">
        <w:rPr>
          <w:rFonts w:hint="cs"/>
          <w:b/>
          <w:bCs/>
          <w:spacing w:val="2"/>
          <w:sz w:val="20"/>
          <w:rtl/>
        </w:rPr>
        <w:t xml:space="preserve"> بذلك</w:t>
      </w:r>
      <w:r w:rsidRPr="00E85F6E">
        <w:rPr>
          <w:b/>
          <w:bCs/>
          <w:spacing w:val="2"/>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مراكز الاحتجاز السرية</w:t>
      </w:r>
    </w:p>
    <w:p w:rsidR="004E0A37" w:rsidRPr="00E85F6E" w:rsidRDefault="00BE7198" w:rsidP="004E0A37">
      <w:pPr>
        <w:pStyle w:val="SingleTxtGA"/>
        <w:jc w:val="lowKashida"/>
        <w:rPr>
          <w:spacing w:val="-2"/>
          <w:sz w:val="20"/>
          <w:rtl/>
        </w:rPr>
      </w:pPr>
      <w:r w:rsidRPr="00E85F6E">
        <w:rPr>
          <w:rFonts w:hint="cs"/>
          <w:spacing w:val="-2"/>
          <w:sz w:val="20"/>
          <w:rtl/>
        </w:rPr>
        <w:t>(</w:t>
      </w:r>
      <w:r w:rsidR="004E0A37" w:rsidRPr="00E85F6E">
        <w:rPr>
          <w:spacing w:val="-2"/>
          <w:sz w:val="20"/>
          <w:rtl/>
        </w:rPr>
        <w:t>8</w:t>
      </w:r>
      <w:r w:rsidR="003E72B5" w:rsidRPr="00E85F6E">
        <w:rPr>
          <w:spacing w:val="-2"/>
          <w:sz w:val="20"/>
          <w:rtl/>
        </w:rPr>
        <w:t>)</w:t>
      </w:r>
      <w:r w:rsidR="003E72B5" w:rsidRPr="00E85F6E">
        <w:rPr>
          <w:spacing w:val="-2"/>
          <w:sz w:val="20"/>
          <w:rtl/>
        </w:rPr>
        <w:tab/>
      </w:r>
      <w:r w:rsidR="004E0A37" w:rsidRPr="00E85F6E">
        <w:rPr>
          <w:spacing w:val="-2"/>
          <w:sz w:val="20"/>
          <w:rtl/>
        </w:rPr>
        <w:t xml:space="preserve">رغم البيان الذي أدلى به وفد سري لانكا والذي ينفي بشدة جميع الادعاءات المتعلقة بوجود مرافق للاحتجاز غير </w:t>
      </w:r>
      <w:r w:rsidR="004E0A37" w:rsidRPr="00E85F6E">
        <w:rPr>
          <w:rFonts w:hint="cs"/>
          <w:spacing w:val="-2"/>
          <w:sz w:val="20"/>
          <w:rtl/>
        </w:rPr>
        <w:t xml:space="preserve">معلن عنها </w:t>
      </w:r>
      <w:r w:rsidR="004E0A37" w:rsidRPr="00E85F6E">
        <w:rPr>
          <w:spacing w:val="-2"/>
          <w:sz w:val="20"/>
          <w:rtl/>
        </w:rPr>
        <w:t xml:space="preserve">في أراضي سري لانكا، فإن اللجنة تشعر بقلق بالغ بسبب التقارير التي وردت من مصادر غير حكومية وتفيد بوجود مراكز سرية للاحتجاز تديرها المخابرات العسكرية والجماعات شبه العسكرية السريلانكية </w:t>
      </w:r>
      <w:r w:rsidR="004E0A37" w:rsidRPr="00E85F6E">
        <w:rPr>
          <w:rFonts w:hint="cs"/>
          <w:spacing w:val="-2"/>
          <w:sz w:val="20"/>
          <w:rtl/>
        </w:rPr>
        <w:t xml:space="preserve">يدعي أن </w:t>
      </w:r>
      <w:r w:rsidR="004E0A37" w:rsidRPr="00E85F6E">
        <w:rPr>
          <w:spacing w:val="-2"/>
          <w:sz w:val="20"/>
          <w:rtl/>
        </w:rPr>
        <w:t>عمليات اختفاء</w:t>
      </w:r>
      <w:r w:rsidR="004E0A37" w:rsidRPr="00E85F6E">
        <w:rPr>
          <w:rFonts w:hint="cs"/>
          <w:spacing w:val="-2"/>
          <w:sz w:val="20"/>
          <w:rtl/>
        </w:rPr>
        <w:t> </w:t>
      </w:r>
      <w:r w:rsidR="004E0A37" w:rsidRPr="00E85F6E">
        <w:rPr>
          <w:spacing w:val="-2"/>
          <w:sz w:val="20"/>
          <w:rtl/>
        </w:rPr>
        <w:t xml:space="preserve">قسري وتعذيب وقتل خارج نطاق القضاء </w:t>
      </w:r>
      <w:r w:rsidR="004E0A37" w:rsidRPr="00E85F6E">
        <w:rPr>
          <w:rFonts w:hint="cs"/>
          <w:spacing w:val="-2"/>
          <w:sz w:val="20"/>
          <w:rtl/>
        </w:rPr>
        <w:t xml:space="preserve">قد ارتكبت فيها </w:t>
      </w:r>
      <w:r w:rsidR="004E0A37" w:rsidRPr="00E85F6E">
        <w:rPr>
          <w:spacing w:val="-2"/>
          <w:sz w:val="20"/>
          <w:rtl/>
        </w:rPr>
        <w:t>(المادتان 2 و11).</w:t>
      </w:r>
    </w:p>
    <w:p w:rsidR="004E0A37" w:rsidRPr="00E85F6E" w:rsidRDefault="004E0A37" w:rsidP="00E85F6E">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ينبغي للدولة الطرف ضمان </w:t>
      </w:r>
      <w:r w:rsidRPr="00E85F6E">
        <w:rPr>
          <w:rFonts w:hint="cs"/>
          <w:b/>
          <w:bCs/>
          <w:spacing w:val="0"/>
          <w:sz w:val="20"/>
          <w:rtl/>
        </w:rPr>
        <w:t>عدم احتجاز</w:t>
      </w:r>
      <w:r w:rsidRPr="00E85F6E">
        <w:rPr>
          <w:b/>
          <w:bCs/>
          <w:spacing w:val="0"/>
          <w:sz w:val="20"/>
          <w:rtl/>
        </w:rPr>
        <w:t xml:space="preserve"> أي شخص في أي مركز احتجاز سري، بما أن هذه المراكز </w:t>
      </w:r>
      <w:r w:rsidRPr="00E85F6E">
        <w:rPr>
          <w:rFonts w:hint="cs"/>
          <w:b/>
          <w:bCs/>
          <w:spacing w:val="0"/>
          <w:sz w:val="20"/>
          <w:rtl/>
        </w:rPr>
        <w:t xml:space="preserve">تشكل </w:t>
      </w:r>
      <w:r w:rsidRPr="00E85F6E">
        <w:rPr>
          <w:b/>
          <w:bCs/>
          <w:spacing w:val="0"/>
          <w:sz w:val="20"/>
          <w:rtl/>
        </w:rPr>
        <w:t>في حد ذاتها انتهاكاً للاتفاقية. وينبغي للدولة الطرف أن</w:t>
      </w:r>
      <w:r w:rsidR="00E85F6E">
        <w:rPr>
          <w:rFonts w:hint="cs"/>
          <w:b/>
          <w:bCs/>
          <w:spacing w:val="0"/>
          <w:sz w:val="20"/>
          <w:rtl/>
        </w:rPr>
        <w:t> </w:t>
      </w:r>
      <w:r w:rsidRPr="00E85F6E">
        <w:rPr>
          <w:b/>
          <w:bCs/>
          <w:spacing w:val="0"/>
          <w:sz w:val="20"/>
          <w:rtl/>
        </w:rPr>
        <w:t>تحقق في</w:t>
      </w:r>
      <w:r w:rsidRPr="00E85F6E">
        <w:rPr>
          <w:rFonts w:hint="cs"/>
          <w:b/>
          <w:bCs/>
          <w:spacing w:val="0"/>
          <w:sz w:val="20"/>
          <w:rtl/>
        </w:rPr>
        <w:t> </w:t>
      </w:r>
      <w:r w:rsidRPr="00E85F6E">
        <w:rPr>
          <w:b/>
          <w:bCs/>
          <w:spacing w:val="0"/>
          <w:sz w:val="20"/>
          <w:rtl/>
        </w:rPr>
        <w:t>وجود أي مرافق من هذا النوع و</w:t>
      </w:r>
      <w:r w:rsidRPr="00E85F6E">
        <w:rPr>
          <w:rFonts w:hint="cs"/>
          <w:b/>
          <w:bCs/>
          <w:spacing w:val="0"/>
          <w:sz w:val="20"/>
          <w:rtl/>
        </w:rPr>
        <w:t xml:space="preserve">أن تبحث </w:t>
      </w:r>
      <w:r w:rsidRPr="00E85F6E">
        <w:rPr>
          <w:b/>
          <w:bCs/>
          <w:spacing w:val="0"/>
          <w:sz w:val="20"/>
          <w:rtl/>
        </w:rPr>
        <w:t>عن السلطة التي أنشئ بموجبها أي</w:t>
      </w:r>
      <w:r w:rsidR="00E85F6E">
        <w:rPr>
          <w:rFonts w:hint="cs"/>
          <w:b/>
          <w:bCs/>
          <w:spacing w:val="0"/>
          <w:sz w:val="20"/>
          <w:rtl/>
        </w:rPr>
        <w:t> </w:t>
      </w:r>
      <w:r w:rsidRPr="00E85F6E">
        <w:rPr>
          <w:b/>
          <w:bCs/>
          <w:spacing w:val="0"/>
          <w:sz w:val="20"/>
          <w:rtl/>
        </w:rPr>
        <w:t>منها و</w:t>
      </w:r>
      <w:r w:rsidRPr="00E85F6E">
        <w:rPr>
          <w:rFonts w:hint="cs"/>
          <w:b/>
          <w:bCs/>
          <w:spacing w:val="0"/>
          <w:sz w:val="20"/>
          <w:rtl/>
        </w:rPr>
        <w:t>أن</w:t>
      </w:r>
      <w:r w:rsidRPr="00E85F6E">
        <w:rPr>
          <w:rFonts w:hint="eastAsia"/>
          <w:b/>
          <w:bCs/>
          <w:spacing w:val="0"/>
          <w:sz w:val="20"/>
          <w:rtl/>
        </w:rPr>
        <w:t> </w:t>
      </w:r>
      <w:r w:rsidRPr="00E85F6E">
        <w:rPr>
          <w:b/>
          <w:bCs/>
          <w:spacing w:val="0"/>
          <w:sz w:val="20"/>
          <w:rtl/>
        </w:rPr>
        <w:t xml:space="preserve">تكشف </w:t>
      </w:r>
      <w:r w:rsidRPr="00E85F6E">
        <w:rPr>
          <w:rFonts w:hint="cs"/>
          <w:b/>
          <w:bCs/>
          <w:spacing w:val="0"/>
          <w:sz w:val="20"/>
          <w:rtl/>
        </w:rPr>
        <w:t>عن هذه المرافق والسلطات</w:t>
      </w:r>
      <w:r w:rsidRPr="00E85F6E">
        <w:rPr>
          <w:b/>
          <w:bCs/>
          <w:spacing w:val="0"/>
          <w:sz w:val="20"/>
          <w:rtl/>
        </w:rPr>
        <w:t xml:space="preserve">. وينبغي للدولة الطرف أن تضمن الإعلان عن نتائج التحقيقات. وينبغي لها تدمير </w:t>
      </w:r>
      <w:r w:rsidRPr="00E85F6E">
        <w:rPr>
          <w:rFonts w:hint="cs"/>
          <w:b/>
          <w:bCs/>
          <w:spacing w:val="0"/>
          <w:sz w:val="20"/>
          <w:rtl/>
        </w:rPr>
        <w:t>إزالة</w:t>
      </w:r>
      <w:r w:rsidRPr="00E85F6E">
        <w:rPr>
          <w:b/>
          <w:bCs/>
          <w:spacing w:val="0"/>
          <w:sz w:val="20"/>
          <w:rtl/>
        </w:rPr>
        <w:t xml:space="preserve"> المرافق ومساءلة </w:t>
      </w:r>
      <w:r w:rsidRPr="00E85F6E">
        <w:rPr>
          <w:rFonts w:hint="cs"/>
          <w:b/>
          <w:bCs/>
          <w:spacing w:val="0"/>
          <w:sz w:val="20"/>
          <w:rtl/>
        </w:rPr>
        <w:t>كل من ي</w:t>
      </w:r>
      <w:r w:rsidRPr="00E85F6E">
        <w:rPr>
          <w:b/>
          <w:bCs/>
          <w:spacing w:val="0"/>
          <w:sz w:val="20"/>
          <w:rtl/>
        </w:rPr>
        <w:t xml:space="preserve">ثبت </w:t>
      </w:r>
      <w:r w:rsidRPr="00E85F6E">
        <w:rPr>
          <w:rFonts w:hint="cs"/>
          <w:b/>
          <w:bCs/>
          <w:spacing w:val="0"/>
          <w:sz w:val="20"/>
          <w:rtl/>
        </w:rPr>
        <w:t>تورطه في الأمر</w:t>
      </w:r>
      <w:r w:rsidRPr="00E85F6E">
        <w:rPr>
          <w:b/>
          <w:bCs/>
          <w:spacing w:val="0"/>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حالات الاختفاء القسري</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spacing w:val="0"/>
          <w:sz w:val="20"/>
          <w:rtl/>
        </w:rPr>
        <w:t>9</w:t>
      </w:r>
      <w:r w:rsidR="003E72B5">
        <w:rPr>
          <w:spacing w:val="0"/>
          <w:sz w:val="20"/>
          <w:rtl/>
        </w:rPr>
        <w:t>)</w:t>
      </w:r>
      <w:r w:rsidR="003E72B5">
        <w:rPr>
          <w:spacing w:val="0"/>
          <w:sz w:val="20"/>
          <w:rtl/>
        </w:rPr>
        <w:tab/>
      </w:r>
      <w:r w:rsidR="004E0A37" w:rsidRPr="004E0A37">
        <w:rPr>
          <w:spacing w:val="0"/>
          <w:sz w:val="20"/>
          <w:rtl/>
        </w:rPr>
        <w:t xml:space="preserve">في حين ترحب اللجنة بالحكم الذي أصدرته المحكمة العليا في الدولة الطرف في </w:t>
      </w:r>
      <w:r w:rsidR="004E0A37" w:rsidRPr="004E0A37">
        <w:rPr>
          <w:i/>
          <w:iCs/>
          <w:spacing w:val="0"/>
          <w:sz w:val="20"/>
          <w:rtl/>
        </w:rPr>
        <w:t xml:space="preserve">قضية كانباتيبيلي ماشافلافان ضد </w:t>
      </w:r>
      <w:r w:rsidR="004E0A37" w:rsidRPr="004E0A37">
        <w:rPr>
          <w:rFonts w:hint="cs"/>
          <w:i/>
          <w:iCs/>
          <w:spacing w:val="0"/>
          <w:sz w:val="20"/>
          <w:rtl/>
        </w:rPr>
        <w:t>ال</w:t>
      </w:r>
      <w:r w:rsidR="004E0A37" w:rsidRPr="004E0A37">
        <w:rPr>
          <w:i/>
          <w:iCs/>
          <w:spacing w:val="0"/>
          <w:sz w:val="20"/>
          <w:rtl/>
        </w:rPr>
        <w:t xml:space="preserve">موظف </w:t>
      </w:r>
      <w:r w:rsidR="004E0A37" w:rsidRPr="004E0A37">
        <w:rPr>
          <w:rFonts w:hint="cs"/>
          <w:i/>
          <w:iCs/>
          <w:spacing w:val="0"/>
          <w:sz w:val="20"/>
          <w:rtl/>
        </w:rPr>
        <w:t>ال</w:t>
      </w:r>
      <w:r w:rsidR="004E0A37" w:rsidRPr="004E0A37">
        <w:rPr>
          <w:i/>
          <w:iCs/>
          <w:spacing w:val="0"/>
          <w:sz w:val="20"/>
          <w:rtl/>
        </w:rPr>
        <w:t>مسؤول عن معسكر الجيش في بلانتين بوينت</w:t>
      </w:r>
      <w:r w:rsidR="004E0A37" w:rsidRPr="004E0A37">
        <w:rPr>
          <w:spacing w:val="0"/>
          <w:sz w:val="20"/>
          <w:rtl/>
        </w:rPr>
        <w:t xml:space="preserve">، </w:t>
      </w:r>
      <w:r w:rsidR="004E0A37" w:rsidRPr="004E0A37">
        <w:rPr>
          <w:i/>
          <w:iCs/>
          <w:spacing w:val="0"/>
          <w:sz w:val="20"/>
          <w:rtl/>
        </w:rPr>
        <w:t>وتر</w:t>
      </w:r>
      <w:r w:rsidR="004E0A37" w:rsidRPr="004E0A37">
        <w:rPr>
          <w:rFonts w:hint="cs"/>
          <w:i/>
          <w:iCs/>
          <w:spacing w:val="0"/>
          <w:sz w:val="20"/>
          <w:rtl/>
        </w:rPr>
        <w:t>ي</w:t>
      </w:r>
      <w:r w:rsidR="004E0A37" w:rsidRPr="004E0A37">
        <w:rPr>
          <w:i/>
          <w:iCs/>
          <w:spacing w:val="0"/>
          <w:sz w:val="20"/>
          <w:rtl/>
        </w:rPr>
        <w:t>نكومالي وثلاثة أشخاص آخرين</w:t>
      </w:r>
      <w:r w:rsidR="004E0A37" w:rsidRPr="004E0A37">
        <w:rPr>
          <w:spacing w:val="0"/>
          <w:sz w:val="20"/>
          <w:rtl/>
        </w:rPr>
        <w:t xml:space="preserve"> (2005)، والذي جاء فيه أن الاختفاء القسري يمكن أن يشكل انتهاكاً للمادة 13(4) من الدستور، تلاحظ اللجنة </w:t>
      </w:r>
      <w:r w:rsidR="004E0A37" w:rsidRPr="004E0A37">
        <w:rPr>
          <w:rFonts w:hint="cs"/>
          <w:spacing w:val="0"/>
          <w:sz w:val="20"/>
          <w:rtl/>
        </w:rPr>
        <w:t xml:space="preserve">بقلق </w:t>
      </w:r>
      <w:r w:rsidR="004E0A37" w:rsidRPr="004E0A37">
        <w:rPr>
          <w:spacing w:val="0"/>
          <w:sz w:val="20"/>
          <w:rtl/>
        </w:rPr>
        <w:t xml:space="preserve">أن هذا </w:t>
      </w:r>
      <w:r w:rsidR="004E0A37" w:rsidRPr="004E0A37">
        <w:rPr>
          <w:rFonts w:hint="cs"/>
          <w:spacing w:val="0"/>
          <w:sz w:val="20"/>
          <w:rtl/>
        </w:rPr>
        <w:t>التعليل لا </w:t>
      </w:r>
      <w:r w:rsidR="004E0A37" w:rsidRPr="004E0A37">
        <w:rPr>
          <w:spacing w:val="0"/>
          <w:sz w:val="20"/>
          <w:rtl/>
        </w:rPr>
        <w:t xml:space="preserve">يتجلى في القرارات الأحدث عهداً. وتلاحظ اللجنة أيضاً أن الاختفاء القسري ليس جريمة منفصلة بموجب القانون الجنائي في سري لانكا وأن إدانة أفعال من هذا القبيل تكون على أساس جرائم أخرى في قانون العقوبات، بما فيها الخطف والاختطاف والاحتجاز غير المشروع. وتعرب اللجنة عن قلقها لأن هناك 475 حالة جديدة من الاختفاء القسري أحالها الفريق العامل المعني بحالات الاختفاء القسري أو غير الطوعي إلى الدولة الطرف في إطار إجرائه العاجل خلال الفترة 2006-2010، وادعاءات بأن مرتكبيها المزعومين هم </w:t>
      </w:r>
      <w:r w:rsidR="004E0A37" w:rsidRPr="004E0A37">
        <w:rPr>
          <w:rFonts w:hint="cs"/>
          <w:spacing w:val="0"/>
          <w:sz w:val="20"/>
          <w:rtl/>
        </w:rPr>
        <w:t xml:space="preserve">أفراد من </w:t>
      </w:r>
      <w:r w:rsidR="004E0A37" w:rsidRPr="004E0A37">
        <w:rPr>
          <w:spacing w:val="0"/>
          <w:sz w:val="20"/>
          <w:rtl/>
        </w:rPr>
        <w:t xml:space="preserve">الجيش والشرطة ودائرة التحقيقات الجنائية والجماعات شبه العسكرية. وتشعر اللجنة بالقلق أيضاً بسبب التقارير التي تفيد بأن الصلاحيات الواسعة الممنوحة بموجب تشريعات مكافحة الإرهاب ساهمت في </w:t>
      </w:r>
      <w:r w:rsidR="004E0A37" w:rsidRPr="004E0A37">
        <w:rPr>
          <w:rFonts w:hint="cs"/>
          <w:spacing w:val="0"/>
          <w:sz w:val="20"/>
          <w:rtl/>
        </w:rPr>
        <w:t>هذا ال</w:t>
      </w:r>
      <w:r w:rsidR="004E0A37" w:rsidRPr="004E0A37">
        <w:rPr>
          <w:spacing w:val="0"/>
          <w:sz w:val="20"/>
          <w:rtl/>
        </w:rPr>
        <w:t xml:space="preserve">عدد </w:t>
      </w:r>
      <w:r w:rsidR="004E0A37" w:rsidRPr="004E0A37">
        <w:rPr>
          <w:rFonts w:hint="cs"/>
          <w:spacing w:val="0"/>
          <w:sz w:val="20"/>
          <w:rtl/>
        </w:rPr>
        <w:t>ال</w:t>
      </w:r>
      <w:r w:rsidR="004E0A37" w:rsidRPr="004E0A37">
        <w:rPr>
          <w:spacing w:val="0"/>
          <w:sz w:val="20"/>
          <w:rtl/>
        </w:rPr>
        <w:t xml:space="preserve">كبير من حالات الاختفاء القسري </w:t>
      </w:r>
      <w:r w:rsidR="004E0A37" w:rsidRPr="004E0A37">
        <w:rPr>
          <w:rFonts w:hint="cs"/>
          <w:spacing w:val="0"/>
          <w:sz w:val="20"/>
          <w:rtl/>
        </w:rPr>
        <w:t xml:space="preserve">الجديدة </w:t>
      </w:r>
      <w:r w:rsidR="004E0A37" w:rsidRPr="004E0A37">
        <w:rPr>
          <w:spacing w:val="0"/>
          <w:sz w:val="20"/>
          <w:rtl/>
        </w:rPr>
        <w:t>(المواد 2 و11 و12 و13 و16).</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b/>
          <w:bCs/>
          <w:spacing w:val="0"/>
          <w:sz w:val="20"/>
          <w:rtl/>
        </w:rPr>
        <w:tab/>
        <w:t xml:space="preserve">أن تتخذ جميع التدابير اللازمة لضمان </w:t>
      </w:r>
      <w:r w:rsidRPr="00E85F6E">
        <w:rPr>
          <w:rFonts w:hint="cs"/>
          <w:b/>
          <w:bCs/>
          <w:spacing w:val="0"/>
          <w:sz w:val="20"/>
          <w:rtl/>
        </w:rPr>
        <w:t>تجريم</w:t>
      </w:r>
      <w:r w:rsidRPr="00E85F6E">
        <w:rPr>
          <w:b/>
          <w:bCs/>
          <w:spacing w:val="0"/>
          <w:sz w:val="20"/>
          <w:rtl/>
        </w:rPr>
        <w:t xml:space="preserve"> الاختفاء القسري </w:t>
      </w:r>
      <w:r w:rsidRPr="00E85F6E">
        <w:rPr>
          <w:rFonts w:hint="cs"/>
          <w:b/>
          <w:bCs/>
          <w:spacing w:val="0"/>
          <w:sz w:val="20"/>
          <w:rtl/>
        </w:rPr>
        <w:t xml:space="preserve">في </w:t>
      </w:r>
      <w:r w:rsidRPr="00E85F6E">
        <w:rPr>
          <w:b/>
          <w:bCs/>
          <w:spacing w:val="0"/>
          <w:sz w:val="20"/>
          <w:rtl/>
        </w:rPr>
        <w:t>قانونها</w:t>
      </w:r>
      <w:r w:rsidRPr="00E85F6E">
        <w:rPr>
          <w:rFonts w:hint="cs"/>
          <w:b/>
          <w:bCs/>
          <w:spacing w:val="0"/>
          <w:sz w:val="20"/>
          <w:rtl/>
        </w:rPr>
        <w:t> </w:t>
      </w:r>
      <w:r w:rsidRPr="00E85F6E">
        <w:rPr>
          <w:b/>
          <w:bCs/>
          <w:spacing w:val="0"/>
          <w:sz w:val="20"/>
          <w:rtl/>
        </w:rPr>
        <w:t>المحلي؛</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b/>
          <w:bCs/>
          <w:spacing w:val="0"/>
          <w:sz w:val="20"/>
          <w:rtl/>
        </w:rPr>
        <w:tab/>
        <w:t>أن تضمن إجراء تحقيقات شاملة وفعلية في حالات الاختفاء القسري، وملاحقة المشتبه فيهم ومعاقبة من ثبتت إدانتهم بعقوبات تتناسب مع جسامة جرائمهم؛</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(‌ج)</w:t>
      </w:r>
      <w:r w:rsidRPr="00E85F6E">
        <w:rPr>
          <w:b/>
          <w:bCs/>
          <w:spacing w:val="0"/>
          <w:sz w:val="20"/>
          <w:rtl/>
        </w:rPr>
        <w:tab/>
        <w:t xml:space="preserve">أن تضمن </w:t>
      </w:r>
      <w:r w:rsidRPr="00E85F6E">
        <w:rPr>
          <w:rFonts w:hint="cs"/>
          <w:b/>
          <w:bCs/>
          <w:spacing w:val="0"/>
          <w:sz w:val="20"/>
          <w:rtl/>
        </w:rPr>
        <w:t>حصول</w:t>
      </w:r>
      <w:r w:rsidRPr="00E85F6E">
        <w:rPr>
          <w:b/>
          <w:bCs/>
          <w:spacing w:val="0"/>
          <w:sz w:val="20"/>
          <w:rtl/>
        </w:rPr>
        <w:t xml:space="preserve"> أي شخص عانى أضراراً كنتيجة مباشرة لاختفاء قسري على معلومات بشأن مصير الشخص المختفي، وعلى تعويض عادل ومناسب؛</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(‌د)</w:t>
      </w:r>
      <w:r w:rsidRPr="00E85F6E">
        <w:rPr>
          <w:b/>
          <w:bCs/>
          <w:spacing w:val="0"/>
          <w:sz w:val="20"/>
          <w:rtl/>
        </w:rPr>
        <w:tab/>
        <w:t>أن تعتمد تدابير لتوضيح حالات الاختفاء القسري المعلقة والاستجابة لطلب الزيارة الذي تقدم به الفريق العامل المعني بحالات الاختفاء القسري أو غير الطوعي (</w:t>
      </w:r>
      <w:r w:rsidRPr="00E85F6E">
        <w:rPr>
          <w:b/>
          <w:bCs/>
          <w:spacing w:val="0"/>
          <w:sz w:val="20"/>
        </w:rPr>
        <w:t>A/HRC/16/48</w:t>
      </w:r>
      <w:r w:rsidRPr="00E85F6E">
        <w:rPr>
          <w:b/>
          <w:bCs/>
          <w:spacing w:val="0"/>
          <w:sz w:val="20"/>
          <w:rtl/>
        </w:rPr>
        <w:t>، الفقرة 450).</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وتدعو اللجنة الدولة الطرف كذلك إلى النظر في التصديق على الاتفاقية الدولية لحماية جميع الأشخاص من الاختفاء القسري.</w:t>
      </w:r>
    </w:p>
    <w:p w:rsidR="004E0A37" w:rsidRPr="004E0A37" w:rsidRDefault="004E0A37" w:rsidP="004E0A37">
      <w:pPr>
        <w:pStyle w:val="H23GA"/>
        <w:spacing w:line="360" w:lineRule="exact"/>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تدابير مكافحة الإرهاب</w:t>
      </w:r>
    </w:p>
    <w:p w:rsidR="004E0A37" w:rsidRPr="00E85F6E" w:rsidRDefault="00BE7198" w:rsidP="004E0A37">
      <w:pPr>
        <w:pStyle w:val="SingleTxtGA"/>
        <w:jc w:val="lowKashida"/>
        <w:rPr>
          <w:spacing w:val="-2"/>
          <w:sz w:val="20"/>
          <w:rtl/>
        </w:rPr>
      </w:pPr>
      <w:r w:rsidRPr="00E85F6E">
        <w:rPr>
          <w:rFonts w:hint="cs"/>
          <w:spacing w:val="-2"/>
          <w:sz w:val="20"/>
          <w:rtl/>
        </w:rPr>
        <w:t>(</w:t>
      </w:r>
      <w:r w:rsidR="004E0A37" w:rsidRPr="00E85F6E">
        <w:rPr>
          <w:spacing w:val="-2"/>
          <w:sz w:val="20"/>
          <w:rtl/>
        </w:rPr>
        <w:t>10</w:t>
      </w:r>
      <w:r w:rsidR="003E72B5" w:rsidRPr="00E85F6E">
        <w:rPr>
          <w:spacing w:val="-2"/>
          <w:sz w:val="20"/>
          <w:rtl/>
        </w:rPr>
        <w:t>)</w:t>
      </w:r>
      <w:r w:rsidR="003E72B5" w:rsidRPr="00E85F6E">
        <w:rPr>
          <w:spacing w:val="-2"/>
          <w:sz w:val="20"/>
          <w:rtl/>
        </w:rPr>
        <w:tab/>
      </w:r>
      <w:r w:rsidR="004E0A37" w:rsidRPr="00E85F6E">
        <w:rPr>
          <w:spacing w:val="-2"/>
          <w:sz w:val="20"/>
          <w:rtl/>
        </w:rPr>
        <w:t xml:space="preserve">في حين تلاحظ اللجنة قرار الدولة الطرف رفع حالة الطوارئ </w:t>
      </w:r>
      <w:r w:rsidR="004E0A37" w:rsidRPr="00E85F6E">
        <w:rPr>
          <w:rFonts w:hint="cs"/>
          <w:spacing w:val="-2"/>
          <w:sz w:val="20"/>
          <w:rtl/>
        </w:rPr>
        <w:t>التي طال أمدها</w:t>
      </w:r>
      <w:r w:rsidR="004E0A37" w:rsidRPr="00E85F6E">
        <w:rPr>
          <w:spacing w:val="-2"/>
          <w:sz w:val="20"/>
          <w:rtl/>
        </w:rPr>
        <w:t xml:space="preserve"> في</w:t>
      </w:r>
      <w:r w:rsidR="004E0A37" w:rsidRPr="00E85F6E">
        <w:rPr>
          <w:rFonts w:hint="cs"/>
          <w:spacing w:val="-2"/>
          <w:sz w:val="20"/>
          <w:rtl/>
        </w:rPr>
        <w:t> </w:t>
      </w:r>
      <w:r w:rsidR="004E0A37" w:rsidRPr="00E85F6E">
        <w:rPr>
          <w:spacing w:val="-2"/>
          <w:sz w:val="20"/>
          <w:rtl/>
        </w:rPr>
        <w:t xml:space="preserve">31 آب/أغسطس 2011، تعرب اللجنة عن قلقها لأنه قبل 24 ساعة </w:t>
      </w:r>
      <w:r w:rsidR="004E0A37" w:rsidRPr="00E85F6E">
        <w:rPr>
          <w:rFonts w:hint="cs"/>
          <w:spacing w:val="-2"/>
          <w:sz w:val="20"/>
          <w:rtl/>
        </w:rPr>
        <w:t xml:space="preserve">من </w:t>
      </w:r>
      <w:r w:rsidR="004E0A37" w:rsidRPr="00E85F6E">
        <w:rPr>
          <w:spacing w:val="-2"/>
          <w:sz w:val="20"/>
          <w:rtl/>
        </w:rPr>
        <w:t>إنهاء حالة الطوارئ صدرت لوائح جديدة بموجب قانون منع الإرهاب رقم 48 لعام 1979. وتشعر اللجنة بالقلق إزاء الطابع الشامل لهذه اللوائح، التي تقيد بدون مبرر الضمانات القانونية الخاصة بالأشخاص المشتبه فيهم أو المتهمين بارتكاب جريمة إرهابية أو جريمة ذات صلة بالإرهاب، مثلما أشار إلى ذلك كل من اللجنة المعنية بحقوق الإنسان والمقرر الخاص المعني بمسألة التعذيب. وتلاحظ اللجنة استمرار الرئيس في التذرع بال</w:t>
      </w:r>
      <w:r w:rsidR="004E0A37" w:rsidRPr="00E85F6E">
        <w:rPr>
          <w:rFonts w:hint="cs"/>
          <w:spacing w:val="-2"/>
          <w:sz w:val="20"/>
          <w:rtl/>
        </w:rPr>
        <w:t xml:space="preserve">مادة </w:t>
      </w:r>
      <w:r w:rsidR="004E0A37" w:rsidRPr="00E85F6E">
        <w:rPr>
          <w:spacing w:val="-2"/>
          <w:sz w:val="20"/>
          <w:rtl/>
        </w:rPr>
        <w:t>12 من قانون الأمن العام (الفصل 40) من أجل السماح للقوات المسلحة بالاحتفاظ بسلطات الشرطة في جميع المقاطعات البالغ عددها 25 مقاطعة (الأمر الرئاسي المؤرخ 6 آب/أغسطس 2011)</w:t>
      </w:r>
      <w:r w:rsidR="004E0A37" w:rsidRPr="007B0865">
        <w:rPr>
          <w:rFonts w:hint="cs"/>
          <w:spacing w:val="-2"/>
          <w:sz w:val="20"/>
          <w:vertAlign w:val="superscript"/>
          <w:rtl/>
        </w:rPr>
        <w:t>(1)</w:t>
      </w:r>
      <w:r w:rsidR="004E0A37" w:rsidRPr="00E85F6E">
        <w:rPr>
          <w:spacing w:val="-2"/>
          <w:sz w:val="20"/>
          <w:rtl/>
        </w:rPr>
        <w:t>. وفي</w:t>
      </w:r>
      <w:r w:rsidR="004E0A37" w:rsidRPr="00E85F6E">
        <w:rPr>
          <w:rFonts w:hint="cs"/>
          <w:spacing w:val="-2"/>
          <w:sz w:val="20"/>
          <w:rtl/>
        </w:rPr>
        <w:t> </w:t>
      </w:r>
      <w:r w:rsidR="004E0A37" w:rsidRPr="00E85F6E">
        <w:rPr>
          <w:spacing w:val="-2"/>
          <w:sz w:val="20"/>
          <w:rtl/>
        </w:rPr>
        <w:t>هذا الصدد، تلاحظ اللجنة بقلق أنه بعد انقضاء فترة حالة الطوارئ، يبدو أن الضمانات المحدودة الواردة في لائحة الطوارئ (أحكام وسلطات متفرقة) رقم 1 لعام 2005، التي كانت تطبق في حالات الاعتقال على يد القوات المسلحة،</w:t>
      </w:r>
      <w:r w:rsidR="00335AC0" w:rsidRPr="00E85F6E">
        <w:rPr>
          <w:spacing w:val="-2"/>
          <w:sz w:val="20"/>
          <w:rtl/>
        </w:rPr>
        <w:t xml:space="preserve"> لم </w:t>
      </w:r>
      <w:r w:rsidR="004E0A37" w:rsidRPr="00E85F6E">
        <w:rPr>
          <w:spacing w:val="-2"/>
          <w:sz w:val="20"/>
          <w:rtl/>
        </w:rPr>
        <w:t>تعد سارية المفعول بموجب اللوائح</w:t>
      </w:r>
      <w:r w:rsidR="004E0A37" w:rsidRPr="00E85F6E">
        <w:rPr>
          <w:rFonts w:hint="cs"/>
          <w:spacing w:val="-2"/>
          <w:sz w:val="20"/>
          <w:rtl/>
        </w:rPr>
        <w:t> </w:t>
      </w:r>
      <w:r w:rsidR="004E0A37" w:rsidRPr="00E85F6E">
        <w:rPr>
          <w:spacing w:val="-2"/>
          <w:sz w:val="20"/>
          <w:rtl/>
        </w:rPr>
        <w:t>الجديدة لقانون منع الإرهاب (على سبيل المثال، عند اعتقال شخص على يد أحد أفراد</w:t>
      </w:r>
      <w:r w:rsidR="004E0A37" w:rsidRPr="00E85F6E">
        <w:rPr>
          <w:rFonts w:hint="cs"/>
          <w:spacing w:val="-2"/>
          <w:sz w:val="20"/>
          <w:rtl/>
        </w:rPr>
        <w:t> </w:t>
      </w:r>
      <w:r w:rsidR="004E0A37" w:rsidRPr="00E85F6E">
        <w:rPr>
          <w:spacing w:val="-2"/>
          <w:sz w:val="20"/>
          <w:rtl/>
        </w:rPr>
        <w:t>القوات المسلحة، كان يجب تسليمه إلى الشرطة في غضون 24 ساعة) (المادتان 2 و16).</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 أن تكفل احترام الضمانات القانونية الأساسية وأن تتخذ جميع التدابير الضرورية لضمان مواءمة تدابيرها التشريعية والإدارية وغيرها من التدابير المتعلقة</w:t>
      </w:r>
      <w:r w:rsidRPr="00E85F6E">
        <w:rPr>
          <w:rFonts w:hint="cs"/>
          <w:b/>
          <w:bCs/>
          <w:spacing w:val="0"/>
          <w:sz w:val="20"/>
          <w:rtl/>
        </w:rPr>
        <w:t> </w:t>
      </w:r>
      <w:r w:rsidRPr="00E85F6E">
        <w:rPr>
          <w:b/>
          <w:bCs/>
          <w:spacing w:val="0"/>
          <w:sz w:val="20"/>
          <w:rtl/>
        </w:rPr>
        <w:t>بمكافحة الإرهاب مع أحكام الاتفاقية، ولا سيما مع أحكام الفقرة 2 من المادة 2.</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الاعترافات المنتزعة بالإكراه</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11</w:t>
      </w:r>
      <w:r w:rsidR="003E72B5">
        <w:rPr>
          <w:spacing w:val="0"/>
          <w:sz w:val="20"/>
          <w:rtl/>
        </w:rPr>
        <w:t>)</w:t>
      </w:r>
      <w:r w:rsidR="003E72B5">
        <w:rPr>
          <w:spacing w:val="0"/>
          <w:sz w:val="20"/>
          <w:rtl/>
        </w:rPr>
        <w:tab/>
      </w:r>
      <w:r w:rsidR="004E0A37" w:rsidRPr="004E0A37">
        <w:rPr>
          <w:spacing w:val="0"/>
          <w:sz w:val="20"/>
          <w:rtl/>
        </w:rPr>
        <w:t>في حين تحيط اللجنة</w:t>
      </w:r>
      <w:r w:rsidR="003833F8">
        <w:rPr>
          <w:spacing w:val="0"/>
          <w:sz w:val="20"/>
          <w:rtl/>
        </w:rPr>
        <w:t xml:space="preserve"> علماً </w:t>
      </w:r>
      <w:r w:rsidR="004E0A37" w:rsidRPr="004E0A37">
        <w:rPr>
          <w:spacing w:val="0"/>
          <w:sz w:val="20"/>
          <w:rtl/>
        </w:rPr>
        <w:t>بالتوضيح الذي قدمته الدولة الطرف بشأن عدم مقبولية الأدلة المنتزعة عن طريق التعذيب، بموجب قانون الأدلة لعام 1985، فإنها لا تزال تشعر بالقلق لأن قانون منع الإرهاب يسمح بقبول جميع الاعترافات التي يحصل عليها أفراد الشرطة من رتبة مساعد مدير الشرطة أو رتبة أعلى (</w:t>
      </w:r>
      <w:r w:rsidR="004E0A37" w:rsidRPr="004E0A37">
        <w:rPr>
          <w:rFonts w:hint="cs"/>
          <w:spacing w:val="0"/>
          <w:sz w:val="20"/>
          <w:rtl/>
        </w:rPr>
        <w:t>المادة</w:t>
      </w:r>
      <w:r w:rsidR="004E0A37" w:rsidRPr="004E0A37">
        <w:rPr>
          <w:spacing w:val="0"/>
          <w:sz w:val="20"/>
          <w:rtl/>
        </w:rPr>
        <w:t xml:space="preserve"> 16)، ويضع على عاتق المتهم عبء الإثبات بأن الاعتراف منتزع بالإكراه (</w:t>
      </w:r>
      <w:r w:rsidR="004E0A37" w:rsidRPr="004E0A37">
        <w:rPr>
          <w:rFonts w:hint="cs"/>
          <w:spacing w:val="0"/>
          <w:sz w:val="20"/>
          <w:rtl/>
        </w:rPr>
        <w:t>المادة</w:t>
      </w:r>
      <w:r w:rsidR="004E0A37" w:rsidRPr="004E0A37">
        <w:rPr>
          <w:spacing w:val="0"/>
          <w:sz w:val="20"/>
          <w:rtl/>
        </w:rPr>
        <w:t xml:space="preserve"> 17(2)). كما تشعر اللجنة بالقلق إزاء التقارير</w:t>
      </w:r>
      <w:r w:rsidR="004E0A37" w:rsidRPr="004E0A37">
        <w:rPr>
          <w:rFonts w:hint="cs"/>
          <w:spacing w:val="0"/>
          <w:sz w:val="20"/>
          <w:rtl/>
        </w:rPr>
        <w:t> </w:t>
      </w:r>
      <w:r w:rsidR="004E0A37" w:rsidRPr="004E0A37">
        <w:rPr>
          <w:spacing w:val="0"/>
          <w:sz w:val="20"/>
          <w:rtl/>
        </w:rPr>
        <w:t>التي تفيد بأنه في معظم القضايا المرفوعة بموجب قانون منع الإرهاب، فإن الأدلة الوحيدة التي يُعتمد عليها هي الاعترافات التي يحصل عليها مساعد مدير الشرطة أو موظف ذو رتبة أعلى. وتحيط اللجنة</w:t>
      </w:r>
      <w:r w:rsidR="003833F8">
        <w:rPr>
          <w:spacing w:val="0"/>
          <w:sz w:val="20"/>
          <w:rtl/>
        </w:rPr>
        <w:t xml:space="preserve"> علماً </w:t>
      </w:r>
      <w:r w:rsidR="004E0A37" w:rsidRPr="004E0A37">
        <w:rPr>
          <w:spacing w:val="0"/>
          <w:sz w:val="20"/>
          <w:rtl/>
        </w:rPr>
        <w:t xml:space="preserve">بقلق </w:t>
      </w:r>
      <w:r w:rsidR="004E0A37" w:rsidRPr="004E0A37">
        <w:rPr>
          <w:rFonts w:hint="cs"/>
          <w:spacing w:val="0"/>
          <w:sz w:val="20"/>
          <w:rtl/>
        </w:rPr>
        <w:t xml:space="preserve">كذلك </w:t>
      </w:r>
      <w:r w:rsidR="004E0A37" w:rsidRPr="004E0A37">
        <w:rPr>
          <w:spacing w:val="0"/>
          <w:sz w:val="20"/>
          <w:rtl/>
        </w:rPr>
        <w:t xml:space="preserve">بالتقارير التي توثق حالات فردية للتعذيب وسوء المعاملة حيث </w:t>
      </w:r>
      <w:r w:rsidR="004E0A37" w:rsidRPr="004E0A37">
        <w:rPr>
          <w:rFonts w:hint="cs"/>
          <w:spacing w:val="0"/>
          <w:sz w:val="20"/>
          <w:rtl/>
        </w:rPr>
        <w:t xml:space="preserve">يدعي أن </w:t>
      </w:r>
      <w:r w:rsidR="004E0A37" w:rsidRPr="004E0A37">
        <w:rPr>
          <w:spacing w:val="0"/>
          <w:sz w:val="20"/>
          <w:rtl/>
        </w:rPr>
        <w:t xml:space="preserve">أفراد الشرطة </w:t>
      </w:r>
      <w:r w:rsidR="004E0A37" w:rsidRPr="004E0A37">
        <w:rPr>
          <w:rFonts w:hint="cs"/>
          <w:spacing w:val="0"/>
          <w:sz w:val="20"/>
          <w:rtl/>
        </w:rPr>
        <w:t xml:space="preserve">يختارون </w:t>
      </w:r>
      <w:r w:rsidR="004E0A37" w:rsidRPr="004E0A37">
        <w:rPr>
          <w:spacing w:val="0"/>
          <w:sz w:val="20"/>
          <w:rtl/>
        </w:rPr>
        <w:t>الضحايا بشكل عشوائي، لاعتقالهم واحتجازهم بسبب</w:t>
      </w:r>
      <w:r w:rsidR="004E0A37" w:rsidRPr="004E0A37">
        <w:rPr>
          <w:rFonts w:hint="cs"/>
          <w:spacing w:val="0"/>
          <w:sz w:val="20"/>
          <w:rtl/>
        </w:rPr>
        <w:t xml:space="preserve"> تهم</w:t>
      </w:r>
      <w:r w:rsidR="004E0A37" w:rsidRPr="004E0A37">
        <w:rPr>
          <w:spacing w:val="0"/>
          <w:sz w:val="20"/>
          <w:rtl/>
        </w:rPr>
        <w:t xml:space="preserve"> </w:t>
      </w:r>
      <w:r w:rsidR="004E0A37" w:rsidRPr="004E0A37">
        <w:rPr>
          <w:rFonts w:hint="cs"/>
          <w:spacing w:val="0"/>
          <w:sz w:val="20"/>
          <w:rtl/>
        </w:rPr>
        <w:t>يتبين أنها لا </w:t>
      </w:r>
      <w:r w:rsidR="004E0A37" w:rsidRPr="004E0A37">
        <w:rPr>
          <w:spacing w:val="0"/>
          <w:sz w:val="20"/>
          <w:rtl/>
        </w:rPr>
        <w:t xml:space="preserve">أساس لها </w:t>
      </w:r>
      <w:r w:rsidR="004E0A37" w:rsidRPr="004E0A37">
        <w:rPr>
          <w:rFonts w:hint="cs"/>
          <w:spacing w:val="0"/>
          <w:sz w:val="20"/>
          <w:rtl/>
        </w:rPr>
        <w:t>من الصحة</w:t>
      </w:r>
      <w:r w:rsidR="004E0A37" w:rsidRPr="004E0A37">
        <w:rPr>
          <w:spacing w:val="0"/>
          <w:sz w:val="20"/>
          <w:rtl/>
        </w:rPr>
        <w:t>، وإخضاعهم لاحقاً للتعذيب أو</w:t>
      </w:r>
      <w:r w:rsidR="004E0A37" w:rsidRPr="004E0A37">
        <w:rPr>
          <w:rFonts w:hint="cs"/>
          <w:spacing w:val="0"/>
          <w:sz w:val="20"/>
          <w:rtl/>
        </w:rPr>
        <w:t> </w:t>
      </w:r>
      <w:r w:rsidR="004E0A37" w:rsidRPr="004E0A37">
        <w:rPr>
          <w:spacing w:val="0"/>
          <w:sz w:val="20"/>
          <w:rtl/>
        </w:rPr>
        <w:t>سوء المعاملة بغية انتزاع اعتراف بشأن تلك التهم (المادة 2 و11 و15 و16).</w:t>
      </w:r>
    </w:p>
    <w:p w:rsidR="004E0A37" w:rsidRPr="00E85F6E" w:rsidRDefault="004E0A37" w:rsidP="00E85F6E">
      <w:pPr>
        <w:pStyle w:val="SingleTxtGA"/>
        <w:jc w:val="lowKashida"/>
        <w:rPr>
          <w:b/>
          <w:bCs/>
          <w:spacing w:val="-4"/>
          <w:sz w:val="20"/>
          <w:rtl/>
        </w:rPr>
      </w:pPr>
      <w:r w:rsidRPr="00E85F6E">
        <w:rPr>
          <w:rFonts w:hint="cs"/>
          <w:b/>
          <w:bCs/>
          <w:spacing w:val="-4"/>
          <w:sz w:val="20"/>
          <w:rtl/>
        </w:rPr>
        <w:tab/>
      </w:r>
      <w:r w:rsidRPr="00E85F6E">
        <w:rPr>
          <w:b/>
          <w:bCs/>
          <w:spacing w:val="-4"/>
          <w:sz w:val="20"/>
          <w:rtl/>
        </w:rPr>
        <w:t xml:space="preserve">ينبغي للدولة الطرف أن </w:t>
      </w:r>
      <w:r w:rsidRPr="00E85F6E">
        <w:rPr>
          <w:rFonts w:hint="cs"/>
          <w:b/>
          <w:bCs/>
          <w:spacing w:val="-4"/>
          <w:sz w:val="20"/>
          <w:rtl/>
        </w:rPr>
        <w:t xml:space="preserve">تتوخى نصاً صريحاً يستبعد اللجوء إلى </w:t>
      </w:r>
      <w:r w:rsidRPr="00E85F6E">
        <w:rPr>
          <w:b/>
          <w:bCs/>
          <w:spacing w:val="-4"/>
          <w:sz w:val="20"/>
          <w:rtl/>
        </w:rPr>
        <w:t xml:space="preserve">أي أدلة يُحصل عليها كنتيجة للتعذيب وأن تضمن </w:t>
      </w:r>
      <w:r w:rsidRPr="00E85F6E">
        <w:rPr>
          <w:rFonts w:hint="cs"/>
          <w:b/>
          <w:bCs/>
          <w:spacing w:val="-4"/>
          <w:sz w:val="20"/>
          <w:rtl/>
        </w:rPr>
        <w:t xml:space="preserve">مواءمة </w:t>
      </w:r>
      <w:r w:rsidRPr="00E85F6E">
        <w:rPr>
          <w:b/>
          <w:bCs/>
          <w:spacing w:val="-4"/>
          <w:sz w:val="20"/>
          <w:rtl/>
        </w:rPr>
        <w:t>التشريعات، بما فيها تشريعات مكافحة الإرهاب، المتعلقـة بالأدلـة المقدمة في الإجراءات القضائية مع أحكام المادة 15 من</w:t>
      </w:r>
      <w:r w:rsidR="00E85F6E" w:rsidRPr="00E85F6E">
        <w:rPr>
          <w:rFonts w:hint="cs"/>
          <w:b/>
          <w:bCs/>
          <w:spacing w:val="-4"/>
          <w:sz w:val="20"/>
          <w:rtl/>
        </w:rPr>
        <w:t> </w:t>
      </w:r>
      <w:r w:rsidRPr="00E85F6E">
        <w:rPr>
          <w:b/>
          <w:bCs/>
          <w:spacing w:val="-4"/>
          <w:sz w:val="20"/>
          <w:rtl/>
        </w:rPr>
        <w:t>الاتفاقية.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وينبغي للدولة الطرف أن تضمن أيضاً أن يسأل القاضي جميع المحتجزين عما إذا تعرضوا أم لا لسوء المعاملة أو التعذيب خلال احتجازهم. وينبغي للدولة الطرف ضمان </w:t>
      </w:r>
      <w:r w:rsidRPr="00E85F6E">
        <w:rPr>
          <w:rFonts w:hint="cs"/>
          <w:b/>
          <w:bCs/>
          <w:spacing w:val="0"/>
          <w:sz w:val="20"/>
          <w:rtl/>
        </w:rPr>
        <w:t xml:space="preserve">إصدار </w:t>
      </w:r>
      <w:r w:rsidRPr="00E85F6E">
        <w:rPr>
          <w:b/>
          <w:bCs/>
          <w:spacing w:val="0"/>
          <w:sz w:val="20"/>
          <w:rtl/>
        </w:rPr>
        <w:t xml:space="preserve">القضاة </w:t>
      </w:r>
      <w:r w:rsidRPr="00E85F6E">
        <w:rPr>
          <w:rFonts w:hint="cs"/>
          <w:b/>
          <w:bCs/>
          <w:spacing w:val="0"/>
          <w:sz w:val="20"/>
          <w:rtl/>
        </w:rPr>
        <w:t>ال</w:t>
      </w:r>
      <w:r w:rsidRPr="00E85F6E">
        <w:rPr>
          <w:b/>
          <w:bCs/>
          <w:spacing w:val="0"/>
          <w:sz w:val="20"/>
          <w:rtl/>
        </w:rPr>
        <w:t>أمر بإجراء فحوصات طبية مستقلة متى طلب مشتبه فيه فحصاً من هذا القبيل في المحكمة وأن تُجرى تحقيقات فورية ونزيهة كلما كان هناك سبب يدعو إلى الاعتقاد بوقوع عمل من أعمال التعذيب، لا سيما في القضايا التي يكون فيها الدليل الوحيد المقدم هو ا</w:t>
      </w:r>
      <w:r w:rsidRPr="00E85F6E">
        <w:rPr>
          <w:rFonts w:hint="cs"/>
          <w:b/>
          <w:bCs/>
          <w:spacing w:val="0"/>
          <w:sz w:val="20"/>
          <w:rtl/>
        </w:rPr>
        <w:t>لا</w:t>
      </w:r>
      <w:r w:rsidRPr="00E85F6E">
        <w:rPr>
          <w:b/>
          <w:bCs/>
          <w:spacing w:val="0"/>
          <w:sz w:val="20"/>
          <w:rtl/>
        </w:rPr>
        <w:t xml:space="preserve">عتراف. وينبغي أن يستبعد القاضي هذه التصريحات إذا طلب المشتبه فيه ذلك في المحكمة وأيد الفحص الطبي ادعاءه. وينبغي أن يحصل المحتجزون على نسخة تؤكد طلبهم </w:t>
      </w:r>
      <w:r w:rsidRPr="00E85F6E">
        <w:rPr>
          <w:rFonts w:hint="cs"/>
          <w:b/>
          <w:bCs/>
          <w:spacing w:val="0"/>
          <w:sz w:val="20"/>
          <w:rtl/>
        </w:rPr>
        <w:t xml:space="preserve">وضع </w:t>
      </w:r>
      <w:r w:rsidRPr="00E85F6E">
        <w:rPr>
          <w:b/>
          <w:bCs/>
          <w:spacing w:val="0"/>
          <w:sz w:val="20"/>
          <w:rtl/>
        </w:rPr>
        <w:t>تقرير طبي و</w:t>
      </w:r>
      <w:r w:rsidRPr="00E85F6E">
        <w:rPr>
          <w:rFonts w:hint="cs"/>
          <w:b/>
          <w:bCs/>
          <w:spacing w:val="0"/>
          <w:sz w:val="20"/>
          <w:rtl/>
        </w:rPr>
        <w:t xml:space="preserve">الحصول على </w:t>
      </w:r>
      <w:r w:rsidRPr="00E85F6E">
        <w:rPr>
          <w:b/>
          <w:bCs/>
          <w:spacing w:val="0"/>
          <w:sz w:val="20"/>
          <w:rtl/>
        </w:rPr>
        <w:t>نسخة من التقرير نفسه.</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تسجيل جميع المحتجزين</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12</w:t>
      </w:r>
      <w:r w:rsidR="003E72B5">
        <w:rPr>
          <w:spacing w:val="0"/>
          <w:sz w:val="20"/>
          <w:rtl/>
        </w:rPr>
        <w:t>)</w:t>
      </w:r>
      <w:r w:rsidR="003E72B5">
        <w:rPr>
          <w:spacing w:val="0"/>
          <w:sz w:val="20"/>
          <w:rtl/>
        </w:rPr>
        <w:tab/>
      </w:r>
      <w:r w:rsidR="004E0A37" w:rsidRPr="004E0A37">
        <w:rPr>
          <w:spacing w:val="0"/>
          <w:sz w:val="20"/>
          <w:rtl/>
        </w:rPr>
        <w:t>تلاحظ اللجنة أنه</w:t>
      </w:r>
      <w:r w:rsidR="00B345DB">
        <w:rPr>
          <w:spacing w:val="0"/>
          <w:sz w:val="20"/>
          <w:rtl/>
        </w:rPr>
        <w:t xml:space="preserve"> وفقاً </w:t>
      </w:r>
      <w:r w:rsidR="004E0A37" w:rsidRPr="004E0A37">
        <w:rPr>
          <w:spacing w:val="0"/>
          <w:sz w:val="20"/>
          <w:rtl/>
        </w:rPr>
        <w:t xml:space="preserve">لما جاء في التقرير الأساسي للدولة الطرف، فقد سُجن سنوياً على مدى الفترة 2000-2005 أكثر من </w:t>
      </w:r>
      <w:r w:rsidR="004E0A37" w:rsidRPr="004E0A37">
        <w:rPr>
          <w:rFonts w:hint="cs"/>
          <w:spacing w:val="0"/>
          <w:sz w:val="20"/>
          <w:rtl/>
        </w:rPr>
        <w:t>000 80</w:t>
      </w:r>
      <w:r w:rsidR="004E0A37" w:rsidRPr="004E0A37">
        <w:rPr>
          <w:spacing w:val="0"/>
          <w:sz w:val="20"/>
          <w:rtl/>
        </w:rPr>
        <w:t xml:space="preserve"> شخص، منهم أكثر من </w:t>
      </w:r>
      <w:r w:rsidR="004E0A37" w:rsidRPr="004E0A37">
        <w:rPr>
          <w:rFonts w:hint="cs"/>
          <w:spacing w:val="0"/>
          <w:sz w:val="20"/>
          <w:rtl/>
        </w:rPr>
        <w:t>000 60</w:t>
      </w:r>
      <w:r w:rsidR="004E0A37" w:rsidRPr="004E0A37">
        <w:rPr>
          <w:spacing w:val="0"/>
          <w:sz w:val="20"/>
          <w:rtl/>
        </w:rPr>
        <w:t xml:space="preserve"> شخص</w:t>
      </w:r>
      <w:r w:rsidR="00335AC0">
        <w:rPr>
          <w:spacing w:val="0"/>
          <w:sz w:val="20"/>
          <w:rtl/>
        </w:rPr>
        <w:t xml:space="preserve"> لم </w:t>
      </w:r>
      <w:r w:rsidR="004E0A37" w:rsidRPr="004E0A37">
        <w:rPr>
          <w:spacing w:val="0"/>
          <w:sz w:val="20"/>
          <w:rtl/>
        </w:rPr>
        <w:t xml:space="preserve">يُدانوا أبداً. وإلى جانب هذا، وحسب المعلومات الخطية الإضافية التي </w:t>
      </w:r>
      <w:r w:rsidR="004E0A37" w:rsidRPr="004E0A37">
        <w:rPr>
          <w:rFonts w:hint="cs"/>
          <w:spacing w:val="0"/>
          <w:sz w:val="20"/>
          <w:rtl/>
        </w:rPr>
        <w:t>قدمها</w:t>
      </w:r>
      <w:r w:rsidR="004E0A37" w:rsidRPr="004E0A37">
        <w:rPr>
          <w:spacing w:val="0"/>
          <w:sz w:val="20"/>
          <w:rtl/>
        </w:rPr>
        <w:t xml:space="preserve"> وفد الدولة الطرف، هناك 765 شخصاً محتجزاً في سري لانكا بموجب أوامر للاحتجاز الإداري حتى 11 تشرين الثاني/نوفمبر 2011 لكن لا </w:t>
      </w:r>
      <w:r w:rsidR="004E0A37" w:rsidRPr="004E0A37">
        <w:rPr>
          <w:rFonts w:hint="cs"/>
          <w:spacing w:val="0"/>
          <w:sz w:val="20"/>
          <w:rtl/>
        </w:rPr>
        <w:t xml:space="preserve">يوجد </w:t>
      </w:r>
      <w:r w:rsidR="004E0A37" w:rsidRPr="004E0A37">
        <w:rPr>
          <w:spacing w:val="0"/>
          <w:sz w:val="20"/>
          <w:rtl/>
        </w:rPr>
        <w:t xml:space="preserve">سجل مركزي </w:t>
      </w:r>
      <w:r w:rsidR="00F96B1E">
        <w:rPr>
          <w:spacing w:val="0"/>
          <w:sz w:val="20"/>
          <w:rtl/>
        </w:rPr>
        <w:t>فيما </w:t>
      </w:r>
      <w:r w:rsidR="004E0A37" w:rsidRPr="004E0A37">
        <w:rPr>
          <w:spacing w:val="0"/>
          <w:sz w:val="20"/>
          <w:rtl/>
        </w:rPr>
        <w:t xml:space="preserve">يخص حالات الاحتجاز </w:t>
      </w:r>
      <w:r w:rsidR="004E0A37" w:rsidRPr="004E0A37">
        <w:rPr>
          <w:rFonts w:hint="cs"/>
          <w:spacing w:val="0"/>
          <w:sz w:val="20"/>
          <w:rtl/>
        </w:rPr>
        <w:t xml:space="preserve">التي جرت في إطار </w:t>
      </w:r>
      <w:r w:rsidR="004E0A37" w:rsidRPr="004E0A37">
        <w:rPr>
          <w:spacing w:val="0"/>
          <w:sz w:val="20"/>
          <w:rtl/>
        </w:rPr>
        <w:t>قانون منع الإرهاب. وتذكّر اللجنة بقلق بأنه استجابة للتحقيق السري للجنة بموجب المادة 20 من الاتفاقية (</w:t>
      </w:r>
      <w:r w:rsidR="004E0A37" w:rsidRPr="004E0A37">
        <w:rPr>
          <w:spacing w:val="0"/>
          <w:sz w:val="20"/>
        </w:rPr>
        <w:t>A/57/44</w:t>
      </w:r>
      <w:r w:rsidR="004E0A37" w:rsidRPr="004E0A37">
        <w:rPr>
          <w:spacing w:val="0"/>
          <w:sz w:val="20"/>
          <w:rtl/>
        </w:rPr>
        <w:t xml:space="preserve">، الفقرات من 123 إلى 195)، أخبرت الدولة الطرف اللجنة بإنشاء سجل مركزي محوسب للشرطة، لكن </w:t>
      </w:r>
      <w:r w:rsidR="004E0A37" w:rsidRPr="004E0A37">
        <w:rPr>
          <w:rFonts w:hint="cs"/>
          <w:spacing w:val="0"/>
          <w:sz w:val="20"/>
          <w:rtl/>
        </w:rPr>
        <w:t>تبيّن الآن أن ذلك</w:t>
      </w:r>
      <w:r w:rsidR="00335AC0">
        <w:rPr>
          <w:rFonts w:hint="cs"/>
          <w:spacing w:val="0"/>
          <w:sz w:val="20"/>
          <w:rtl/>
        </w:rPr>
        <w:t xml:space="preserve"> لم </w:t>
      </w:r>
      <w:r w:rsidR="004E0A37" w:rsidRPr="004E0A37">
        <w:rPr>
          <w:rFonts w:hint="cs"/>
          <w:spacing w:val="0"/>
          <w:sz w:val="20"/>
          <w:rtl/>
        </w:rPr>
        <w:t xml:space="preserve">يحدث </w:t>
      </w:r>
      <w:r w:rsidR="004E0A37" w:rsidRPr="004E0A37">
        <w:rPr>
          <w:spacing w:val="0"/>
          <w:sz w:val="20"/>
          <w:rtl/>
        </w:rPr>
        <w:t>(المواد 2 و11 و16).</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b/>
          <w:bCs/>
          <w:spacing w:val="0"/>
          <w:sz w:val="20"/>
          <w:rtl/>
        </w:rPr>
        <w:tab/>
        <w:t xml:space="preserve">ضمان </w:t>
      </w:r>
      <w:r w:rsidRPr="00E85F6E">
        <w:rPr>
          <w:rFonts w:hint="cs"/>
          <w:b/>
          <w:bCs/>
          <w:spacing w:val="0"/>
          <w:sz w:val="20"/>
          <w:rtl/>
        </w:rPr>
        <w:t>التسجيل الفوري ل</w:t>
      </w:r>
      <w:r w:rsidRPr="00E85F6E">
        <w:rPr>
          <w:b/>
          <w:bCs/>
          <w:spacing w:val="0"/>
          <w:sz w:val="20"/>
          <w:rtl/>
        </w:rPr>
        <w:t xml:space="preserve">جميع الأشخاص المشتبه فيهم في إطار </w:t>
      </w:r>
      <w:r w:rsidRPr="00E85F6E">
        <w:rPr>
          <w:rFonts w:hint="cs"/>
          <w:b/>
          <w:bCs/>
          <w:spacing w:val="0"/>
          <w:sz w:val="20"/>
          <w:rtl/>
        </w:rPr>
        <w:t>ال</w:t>
      </w:r>
      <w:r w:rsidRPr="00E85F6E">
        <w:rPr>
          <w:b/>
          <w:bCs/>
          <w:spacing w:val="0"/>
          <w:sz w:val="20"/>
          <w:rtl/>
        </w:rPr>
        <w:t xml:space="preserve">تحقيقات </w:t>
      </w:r>
      <w:r w:rsidRPr="00E85F6E">
        <w:rPr>
          <w:rFonts w:hint="cs"/>
          <w:b/>
          <w:bCs/>
          <w:spacing w:val="0"/>
          <w:sz w:val="20"/>
          <w:rtl/>
        </w:rPr>
        <w:t>ال</w:t>
      </w:r>
      <w:r w:rsidRPr="00E85F6E">
        <w:rPr>
          <w:b/>
          <w:bCs/>
          <w:spacing w:val="0"/>
          <w:sz w:val="20"/>
          <w:rtl/>
        </w:rPr>
        <w:t xml:space="preserve">جنائية، منذ ساعة القبض عليهم وليس فقط عند اعتقالهم أو توجيه </w:t>
      </w:r>
      <w:r w:rsidRPr="00E85F6E">
        <w:rPr>
          <w:rFonts w:hint="cs"/>
          <w:b/>
          <w:bCs/>
          <w:spacing w:val="0"/>
          <w:sz w:val="20"/>
          <w:rtl/>
        </w:rPr>
        <w:t>ال</w:t>
      </w:r>
      <w:r w:rsidRPr="00E85F6E">
        <w:rPr>
          <w:b/>
          <w:bCs/>
          <w:spacing w:val="0"/>
          <w:sz w:val="20"/>
          <w:rtl/>
        </w:rPr>
        <w:t>تهم إليهم رسمياً؛</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b/>
          <w:bCs/>
          <w:spacing w:val="0"/>
          <w:sz w:val="20"/>
          <w:rtl/>
        </w:rPr>
        <w:tab/>
        <w:t>استحداث سجل مركزي على الفور يشمل جميع الأشخاص المحتجزين بشكل رسمي، بمن فيهم الأشخاص المحتجزون في السجون ومراكز الشرطة و"مراكز إعادة التأهيل"، إلى جانب الأشخاص المحتجزين بموجب قانون منع الإرهاب؛</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(‌ج)</w:t>
      </w:r>
      <w:r w:rsidRPr="00E85F6E">
        <w:rPr>
          <w:b/>
          <w:bCs/>
          <w:spacing w:val="0"/>
          <w:sz w:val="20"/>
          <w:rtl/>
        </w:rPr>
        <w:tab/>
        <w:t>نشر قائمة بجميع المحتجزين وأماكن الاحتجاز.</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r>
      <w:r w:rsidRPr="004E0A37">
        <w:rPr>
          <w:spacing w:val="0"/>
          <w:sz w:val="20"/>
          <w:rtl/>
        </w:rPr>
        <w:t>المدافعون عن حقوق الإنسان ومحامو الدفاع والصحفيون وغيرهم من العناصر الفاعلة في المجتمع المدني المعرضون للخطر</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13</w:t>
      </w:r>
      <w:r w:rsidR="003E72B5">
        <w:rPr>
          <w:spacing w:val="0"/>
          <w:sz w:val="20"/>
          <w:rtl/>
        </w:rPr>
        <w:t>)</w:t>
      </w:r>
      <w:r w:rsidR="003E72B5">
        <w:rPr>
          <w:spacing w:val="0"/>
          <w:sz w:val="20"/>
          <w:rtl/>
        </w:rPr>
        <w:tab/>
      </w:r>
      <w:r w:rsidR="004E0A37" w:rsidRPr="004E0A37">
        <w:rPr>
          <w:spacing w:val="0"/>
          <w:sz w:val="20"/>
          <w:rtl/>
        </w:rPr>
        <w:t xml:space="preserve">تعرب اللجنة عن قلقها إزاء التقارير التي جاء فيها أن المدافعين عن حقوق الإنسان ومحامي الدفاع وغيرهم من العناصر الفاعلة في المجتمع المدني، بمن فيهم الناشطون السياسيون والنقابيون والصحفيون في وسائط الإعلام المستقلة، كانوا مستهدفين دون غيرهم بأعمال </w:t>
      </w:r>
      <w:r w:rsidR="004E0A37" w:rsidRPr="004E0A37">
        <w:rPr>
          <w:rFonts w:hint="cs"/>
          <w:spacing w:val="0"/>
          <w:sz w:val="20"/>
          <w:rtl/>
        </w:rPr>
        <w:t xml:space="preserve">التخويف </w:t>
      </w:r>
      <w:r w:rsidR="004E0A37" w:rsidRPr="004E0A37">
        <w:rPr>
          <w:spacing w:val="0"/>
          <w:sz w:val="20"/>
          <w:rtl/>
        </w:rPr>
        <w:t xml:space="preserve">والمضايقة بما في ذلك التهديدات بالقتل والاعتداءات الجسدية والتهم لدوافع سياسية. وتأسف اللجنة لأن </w:t>
      </w:r>
      <w:r w:rsidR="004E0A37" w:rsidRPr="004E0A37">
        <w:rPr>
          <w:rFonts w:hint="cs"/>
          <w:spacing w:val="0"/>
          <w:sz w:val="20"/>
          <w:rtl/>
        </w:rPr>
        <w:t xml:space="preserve">الذين يدعى مسؤوليتهم </w:t>
      </w:r>
      <w:r w:rsidR="004E0A37" w:rsidRPr="004E0A37">
        <w:rPr>
          <w:spacing w:val="0"/>
          <w:sz w:val="20"/>
          <w:rtl/>
        </w:rPr>
        <w:t>عن أفعال الترهيب والانتقام يتمتعون بالإفلات من العقاب في العديد من الحالات على ما يبدو. وتشير اللجنة بأسف إلى أن الدولة الطرف</w:t>
      </w:r>
      <w:r w:rsidR="00335AC0">
        <w:rPr>
          <w:spacing w:val="0"/>
          <w:sz w:val="20"/>
          <w:rtl/>
        </w:rPr>
        <w:t xml:space="preserve"> لم </w:t>
      </w:r>
      <w:r w:rsidR="004E0A37" w:rsidRPr="004E0A37">
        <w:rPr>
          <w:spacing w:val="0"/>
          <w:sz w:val="20"/>
          <w:rtl/>
        </w:rPr>
        <w:t>تستطع تقديم معلومات كافية عن الحوادث المعينة التي حققت فيها اللجنة، بما فيها قضايا صحفيين مثل بودالا جايانتا وبراغيت إكناليغودا وج. س. تيسيناياغام، ومحاميين مثل ج. س. وليامونا وأميتا أريارانتن. ونتيجة ل</w:t>
      </w:r>
      <w:r w:rsidR="004E0A37" w:rsidRPr="004E0A37">
        <w:rPr>
          <w:rFonts w:hint="cs"/>
          <w:spacing w:val="0"/>
          <w:sz w:val="20"/>
          <w:rtl/>
        </w:rPr>
        <w:t>ذلك</w:t>
      </w:r>
      <w:r w:rsidR="004E0A37" w:rsidRPr="004E0A37">
        <w:rPr>
          <w:spacing w:val="0"/>
          <w:sz w:val="20"/>
          <w:rtl/>
        </w:rPr>
        <w:t xml:space="preserve">، تلقت اللجنة من بعض الأفراد المعنيين عدداً من </w:t>
      </w:r>
      <w:r w:rsidR="004E0A37" w:rsidRPr="004E0A37">
        <w:rPr>
          <w:rFonts w:hint="cs"/>
          <w:spacing w:val="0"/>
          <w:sz w:val="20"/>
          <w:rtl/>
        </w:rPr>
        <w:t xml:space="preserve">الرسائل </w:t>
      </w:r>
      <w:r w:rsidR="004E0A37" w:rsidRPr="004E0A37">
        <w:rPr>
          <w:spacing w:val="0"/>
          <w:sz w:val="20"/>
          <w:rtl/>
        </w:rPr>
        <w:t xml:space="preserve">التي تضمنت معلومات متضاربة. وتشعر اللجنة أيضاً بالقلق بسبب المعلومات الواردة التي تفيد بأن وزارة الدفاع نشرت مقالات على موقعها الإلكتروني جاء فيها أن المحاميين الذين يدافعون عن الأفراد هم "خونة" للبلد. وتشعر اللجنة بالقلق لأن مقالاً من هذه المقالات، بعنوان "خونة بعباءات سوداء يكتسون ومع أمثالهم يجتمعون"، تضمن أسماء وصور خمسة محاميين، مما يعرضهم لخطر </w:t>
      </w:r>
      <w:r w:rsidR="004E0A37" w:rsidRPr="004E0A37">
        <w:rPr>
          <w:rFonts w:hint="cs"/>
          <w:spacing w:val="0"/>
          <w:sz w:val="20"/>
          <w:rtl/>
        </w:rPr>
        <w:t xml:space="preserve">الاعتداء عليهم </w:t>
      </w:r>
      <w:r w:rsidR="004E0A37" w:rsidRPr="004E0A37">
        <w:rPr>
          <w:spacing w:val="0"/>
          <w:sz w:val="20"/>
          <w:rtl/>
        </w:rPr>
        <w:t>(المواد 2 و12 و13 و16).</w:t>
      </w:r>
    </w:p>
    <w:p w:rsidR="004E0A37" w:rsidRPr="00E85F6E" w:rsidRDefault="004E0A37" w:rsidP="004E0A37">
      <w:pPr>
        <w:pStyle w:val="SingleTxtGA"/>
        <w:jc w:val="lowKashida"/>
        <w:rPr>
          <w:rFonts w:hint="cs"/>
          <w:b/>
          <w:bCs/>
          <w:spacing w:val="0"/>
          <w:sz w:val="20"/>
          <w:rtl/>
        </w:rPr>
      </w:pPr>
      <w:r w:rsidRPr="00E85F6E">
        <w:rPr>
          <w:rFonts w:hint="cs"/>
          <w:b/>
          <w:bCs/>
          <w:spacing w:val="0"/>
          <w:sz w:val="20"/>
          <w:rtl/>
        </w:rPr>
        <w:tab/>
        <w:t>ينبغي للدولة الطرف:</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b/>
          <w:bCs/>
          <w:spacing w:val="0"/>
          <w:sz w:val="20"/>
          <w:rtl/>
        </w:rPr>
        <w:tab/>
        <w:t xml:space="preserve">أن تضمن حماية جميع الأشخاص، بمن فيهم الأشخاص الذين يرصدون حقوق الإنسان ويناهضون التعذيب والإفلات من العقاب، من </w:t>
      </w:r>
      <w:r w:rsidRPr="00E85F6E">
        <w:rPr>
          <w:rFonts w:hint="cs"/>
          <w:b/>
          <w:bCs/>
          <w:spacing w:val="0"/>
          <w:sz w:val="20"/>
          <w:rtl/>
        </w:rPr>
        <w:t>التخويف</w:t>
      </w:r>
      <w:r w:rsidRPr="00E85F6E">
        <w:rPr>
          <w:b/>
          <w:bCs/>
          <w:spacing w:val="0"/>
          <w:sz w:val="20"/>
          <w:rtl/>
        </w:rPr>
        <w:t xml:space="preserve"> أو العنف كنتيجة لأنشطتهم؛</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b/>
          <w:bCs/>
          <w:spacing w:val="0"/>
          <w:sz w:val="20"/>
          <w:rtl/>
        </w:rPr>
        <w:tab/>
        <w:t xml:space="preserve">أن تتخذ تدابير فورية وفعالة، بما فيها إجراءات التحقيق والملاحقة، لمعالجة الشواغل المتعلقة بالبيئة المعادية جداً للمدافعين </w:t>
      </w:r>
      <w:r w:rsidRPr="00E85F6E">
        <w:rPr>
          <w:rFonts w:hint="cs"/>
          <w:b/>
          <w:bCs/>
          <w:spacing w:val="0"/>
          <w:sz w:val="20"/>
          <w:rtl/>
        </w:rPr>
        <w:t xml:space="preserve">عن </w:t>
      </w:r>
      <w:r w:rsidRPr="00E85F6E">
        <w:rPr>
          <w:b/>
          <w:bCs/>
          <w:spacing w:val="0"/>
          <w:sz w:val="20"/>
          <w:rtl/>
        </w:rPr>
        <w:t xml:space="preserve">حقوق الإنسان والمحاميين </w:t>
      </w:r>
      <w:r w:rsidRPr="00E85F6E">
        <w:rPr>
          <w:rFonts w:hint="cs"/>
          <w:b/>
          <w:bCs/>
          <w:spacing w:val="0"/>
          <w:sz w:val="20"/>
          <w:rtl/>
        </w:rPr>
        <w:t xml:space="preserve">والصحفيين </w:t>
      </w:r>
      <w:r w:rsidRPr="00E85F6E">
        <w:rPr>
          <w:b/>
          <w:bCs/>
          <w:spacing w:val="0"/>
          <w:sz w:val="20"/>
          <w:rtl/>
        </w:rPr>
        <w:t xml:space="preserve">وغيرهم من </w:t>
      </w:r>
      <w:r w:rsidRPr="00E85F6E">
        <w:rPr>
          <w:rFonts w:hint="cs"/>
          <w:b/>
          <w:bCs/>
          <w:spacing w:val="0"/>
          <w:sz w:val="20"/>
          <w:rtl/>
        </w:rPr>
        <w:t xml:space="preserve">العناصر الفاعلة </w:t>
      </w:r>
      <w:r w:rsidRPr="00E85F6E">
        <w:rPr>
          <w:b/>
          <w:bCs/>
          <w:spacing w:val="0"/>
          <w:sz w:val="20"/>
          <w:rtl/>
        </w:rPr>
        <w:t xml:space="preserve">في المجتمع المدني في </w:t>
      </w:r>
      <w:r w:rsidRPr="00E85F6E">
        <w:rPr>
          <w:rFonts w:hint="cs"/>
          <w:b/>
          <w:bCs/>
          <w:spacing w:val="0"/>
          <w:sz w:val="20"/>
          <w:rtl/>
        </w:rPr>
        <w:t>سري </w:t>
      </w:r>
      <w:r w:rsidRPr="00E85F6E">
        <w:rPr>
          <w:b/>
          <w:bCs/>
          <w:spacing w:val="0"/>
          <w:sz w:val="20"/>
          <w:rtl/>
        </w:rPr>
        <w:t>لانكا.</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ظروف الاحتجاز في مراكز الشرطة والسجون</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14</w:t>
      </w:r>
      <w:r w:rsidR="003E72B5">
        <w:rPr>
          <w:spacing w:val="0"/>
          <w:sz w:val="20"/>
          <w:rtl/>
        </w:rPr>
        <w:t>)</w:t>
      </w:r>
      <w:r w:rsidR="003E72B5">
        <w:rPr>
          <w:spacing w:val="0"/>
          <w:sz w:val="20"/>
          <w:rtl/>
        </w:rPr>
        <w:tab/>
      </w:r>
      <w:r w:rsidR="004E0A37" w:rsidRPr="004E0A37">
        <w:rPr>
          <w:spacing w:val="0"/>
          <w:sz w:val="20"/>
          <w:rtl/>
        </w:rPr>
        <w:t xml:space="preserve">تشعر اللجنة بالقلق بسبب مستويات </w:t>
      </w:r>
      <w:r w:rsidR="004E0A37" w:rsidRPr="004E0A37">
        <w:rPr>
          <w:rFonts w:hint="cs"/>
          <w:spacing w:val="0"/>
          <w:sz w:val="20"/>
          <w:rtl/>
        </w:rPr>
        <w:t xml:space="preserve">الاكتظاظ التي تدعو إلى الحسرة والظروف السيئة </w:t>
      </w:r>
      <w:r w:rsidR="004E0A37" w:rsidRPr="004E0A37">
        <w:rPr>
          <w:spacing w:val="0"/>
          <w:sz w:val="20"/>
          <w:rtl/>
        </w:rPr>
        <w:t>السائدة في مراكز الشرطة والسجون، لا سيما قلة النظافة الصحية والافتقار إلى الرعاية الطبية وعدم فصل السجناء المدانين عن السجناء المحتجزين رهن الحبس الاحتياطي وعدم فصل المحتجزين البالغين عن الجناة الأحداث، مثلما أفاد بذلك المقرر الخاص المعني بمسألة التعذيب (</w:t>
      </w:r>
      <w:r w:rsidR="004E0A37" w:rsidRPr="004E0A37">
        <w:rPr>
          <w:spacing w:val="0"/>
          <w:sz w:val="20"/>
        </w:rPr>
        <w:t>A/HRC/7/3/Add.6</w:t>
      </w:r>
      <w:r w:rsidR="004E0A37" w:rsidRPr="004E0A37">
        <w:rPr>
          <w:spacing w:val="0"/>
          <w:sz w:val="20"/>
          <w:rtl/>
        </w:rPr>
        <w:t xml:space="preserve"> و</w:t>
      </w:r>
      <w:r w:rsidR="004E0A37" w:rsidRPr="004E0A37">
        <w:rPr>
          <w:spacing w:val="0"/>
          <w:sz w:val="20"/>
        </w:rPr>
        <w:t>A/HRC/13/39/Add.6</w:t>
      </w:r>
      <w:r w:rsidR="004E0A37" w:rsidRPr="004E0A37">
        <w:rPr>
          <w:spacing w:val="0"/>
          <w:sz w:val="20"/>
          <w:rtl/>
        </w:rPr>
        <w:t>). وفي هذا الصدد، تأسف اللجنة لعدم تقديم الدولة الطرف معلومات عن التدابير المتخذة من أجل تحسين ظروف احتجاز الأشخاص المحبوسين حبساً احتياطياً والأشخاص المدانين (المادتان 11 و16).</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b/>
          <w:bCs/>
          <w:spacing w:val="0"/>
          <w:sz w:val="20"/>
          <w:rtl/>
        </w:rPr>
        <w:tab/>
        <w:t xml:space="preserve">ضمان </w:t>
      </w:r>
      <w:r w:rsidRPr="00E85F6E">
        <w:rPr>
          <w:rFonts w:hint="cs"/>
          <w:b/>
          <w:bCs/>
          <w:spacing w:val="0"/>
          <w:sz w:val="20"/>
          <w:rtl/>
        </w:rPr>
        <w:t xml:space="preserve">انسجام </w:t>
      </w:r>
      <w:r w:rsidRPr="00E85F6E">
        <w:rPr>
          <w:b/>
          <w:bCs/>
          <w:spacing w:val="0"/>
          <w:sz w:val="20"/>
          <w:rtl/>
        </w:rPr>
        <w:t>ظروف الاحتجاز في سجون البلد مع القواعد الدنيا النموذجية لمعاملة السجناء وقواعد معاملة النساء السجينات والتدابير غير الاحتجازية لل</w:t>
      </w:r>
      <w:r w:rsidRPr="00E85F6E">
        <w:rPr>
          <w:rFonts w:hint="cs"/>
          <w:b/>
          <w:bCs/>
          <w:spacing w:val="0"/>
          <w:sz w:val="20"/>
          <w:rtl/>
        </w:rPr>
        <w:t>جاني</w:t>
      </w:r>
      <w:r w:rsidRPr="00E85F6E">
        <w:rPr>
          <w:b/>
          <w:bCs/>
          <w:spacing w:val="0"/>
          <w:sz w:val="20"/>
          <w:rtl/>
        </w:rPr>
        <w:t>ات (قواعد بانكوك)؛</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b/>
          <w:bCs/>
          <w:spacing w:val="0"/>
          <w:sz w:val="20"/>
          <w:rtl/>
        </w:rPr>
        <w:tab/>
        <w:t>بذل مزيد من الجهود لحل مشكلة الاكتظاظ في السجون، لا سيما من خلال وضع أحكام بديلة للأحكام بالسجن؛</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(‌ج)</w:t>
      </w:r>
      <w:r w:rsidRPr="00E85F6E">
        <w:rPr>
          <w:b/>
          <w:bCs/>
          <w:spacing w:val="0"/>
          <w:sz w:val="20"/>
          <w:rtl/>
        </w:rPr>
        <w:tab/>
        <w:t>مواصلة توسيع الهياكل الأساسية للسجون ومراكز الحبس الاحتياطي، بما فيها تلك الخاصة بالجناة الأحداث؛</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(‌د)</w:t>
      </w:r>
      <w:r w:rsidRPr="00E85F6E">
        <w:rPr>
          <w:b/>
          <w:bCs/>
          <w:spacing w:val="0"/>
          <w:sz w:val="20"/>
          <w:rtl/>
        </w:rPr>
        <w:tab/>
        <w:t>اتخاذ تدابير فعالة لزيادة مواءمة موارد الرعاية الصحية في المؤسسات الإصلاحية، وضمان أن تكون المساعدة الطبية المقدمة للمحتجزين عالية الجودة.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حالات الوفاة أثناء الاحتجاز</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15</w:t>
      </w:r>
      <w:r w:rsidR="003E72B5">
        <w:rPr>
          <w:spacing w:val="0"/>
          <w:sz w:val="20"/>
          <w:rtl/>
        </w:rPr>
        <w:t>)</w:t>
      </w:r>
      <w:r w:rsidR="003E72B5">
        <w:rPr>
          <w:spacing w:val="0"/>
          <w:sz w:val="20"/>
          <w:rtl/>
        </w:rPr>
        <w:tab/>
      </w:r>
      <w:r w:rsidR="004E0A37" w:rsidRPr="004E0A37">
        <w:rPr>
          <w:spacing w:val="0"/>
          <w:sz w:val="20"/>
          <w:rtl/>
        </w:rPr>
        <w:t xml:space="preserve">تشعر اللجنة بالقلق بسبب التقارير الواردة من المنظمات غير الحكومية بشأن حالات الوفاة أثناء الاحتجاز، بما فيها حالات قتل الشرطة لمشتبه فيهم جنائياً في "صدامات" مباغتة أو محاولات "هروب" مزعومة. وتلاحظ اللجنة بقلق أنه </w:t>
      </w:r>
      <w:r w:rsidR="00F96B1E">
        <w:rPr>
          <w:spacing w:val="0"/>
          <w:sz w:val="20"/>
          <w:rtl/>
        </w:rPr>
        <w:t>فيما </w:t>
      </w:r>
      <w:r w:rsidR="004E0A37" w:rsidRPr="004E0A37">
        <w:rPr>
          <w:spacing w:val="0"/>
          <w:sz w:val="20"/>
          <w:rtl/>
        </w:rPr>
        <w:t>يخص الفترة 2006-2011،</w:t>
      </w:r>
      <w:r w:rsidR="00335AC0">
        <w:rPr>
          <w:spacing w:val="0"/>
          <w:sz w:val="20"/>
          <w:rtl/>
        </w:rPr>
        <w:t xml:space="preserve"> لم </w:t>
      </w:r>
      <w:r w:rsidR="004E0A37" w:rsidRPr="004E0A37">
        <w:rPr>
          <w:spacing w:val="0"/>
          <w:sz w:val="20"/>
          <w:rtl/>
        </w:rPr>
        <w:t>تبلغ الدولة الطرف إلا عن حالتي وفاة أثناء الاحتجاز، وجُزم بأن سبب الوفاة فيهما هو الانتحار، في حين بل</w:t>
      </w:r>
      <w:r w:rsidR="004E0A37" w:rsidRPr="004E0A37">
        <w:rPr>
          <w:rFonts w:hint="cs"/>
          <w:spacing w:val="0"/>
          <w:sz w:val="20"/>
          <w:rtl/>
        </w:rPr>
        <w:t>ّ</w:t>
      </w:r>
      <w:r w:rsidR="004E0A37" w:rsidRPr="004E0A37">
        <w:rPr>
          <w:spacing w:val="0"/>
          <w:sz w:val="20"/>
          <w:rtl/>
        </w:rPr>
        <w:t xml:space="preserve">غت الدولة الطرف </w:t>
      </w:r>
      <w:r w:rsidR="00F96B1E">
        <w:rPr>
          <w:spacing w:val="0"/>
          <w:sz w:val="20"/>
          <w:rtl/>
        </w:rPr>
        <w:t>فيما </w:t>
      </w:r>
      <w:r w:rsidR="004E0A37" w:rsidRPr="004E0A37">
        <w:rPr>
          <w:spacing w:val="0"/>
          <w:sz w:val="20"/>
          <w:rtl/>
        </w:rPr>
        <w:t xml:space="preserve">يخص فترة مماثلة ممتدة بين سنتي 2000 و2005 في تقريرها الأساسي عن حوالي 65 حالة وفاة سنوية أثناء الاحتجاز </w:t>
      </w:r>
      <w:r w:rsidR="004E0A37" w:rsidRPr="004E0A37">
        <w:rPr>
          <w:rFonts w:hint="cs"/>
          <w:spacing w:val="0"/>
          <w:sz w:val="20"/>
          <w:rtl/>
        </w:rPr>
        <w:t>قيل أنها لأسباب شتى</w:t>
      </w:r>
      <w:r w:rsidR="004E0A37" w:rsidRPr="004E0A37">
        <w:rPr>
          <w:spacing w:val="0"/>
          <w:sz w:val="20"/>
          <w:rtl/>
        </w:rPr>
        <w:t xml:space="preserve"> (</w:t>
      </w:r>
      <w:r w:rsidR="004E0A37" w:rsidRPr="004E0A37">
        <w:rPr>
          <w:spacing w:val="0"/>
          <w:sz w:val="20"/>
        </w:rPr>
        <w:t>HRI/CORE/LKA/2008</w:t>
      </w:r>
      <w:r w:rsidR="004E0A37" w:rsidRPr="004E0A37">
        <w:rPr>
          <w:spacing w:val="0"/>
          <w:sz w:val="20"/>
          <w:rtl/>
        </w:rPr>
        <w:t>، الصفحة 89).</w:t>
      </w:r>
    </w:p>
    <w:p w:rsidR="004E0A37" w:rsidRPr="00E85F6E" w:rsidRDefault="004E0A37" w:rsidP="004E0A37">
      <w:pPr>
        <w:pStyle w:val="SingleTxtGA"/>
        <w:jc w:val="lowKashida"/>
        <w:rPr>
          <w:b/>
          <w:bCs/>
          <w:spacing w:val="-2"/>
          <w:sz w:val="20"/>
          <w:rtl/>
        </w:rPr>
      </w:pPr>
      <w:r w:rsidRPr="00E85F6E">
        <w:rPr>
          <w:rFonts w:hint="cs"/>
          <w:b/>
          <w:bCs/>
          <w:spacing w:val="-2"/>
          <w:sz w:val="20"/>
          <w:rtl/>
        </w:rPr>
        <w:tab/>
      </w:r>
      <w:r w:rsidRPr="00E85F6E">
        <w:rPr>
          <w:b/>
          <w:bCs/>
          <w:spacing w:val="-2"/>
          <w:sz w:val="20"/>
          <w:rtl/>
        </w:rPr>
        <w:t>تحث اللجنة الدولة الطرف على التحقيق السريع والشامل والمحايد في جميع وفيات</w:t>
      </w:r>
      <w:r w:rsidRPr="00E85F6E">
        <w:rPr>
          <w:rFonts w:hint="cs"/>
          <w:b/>
          <w:bCs/>
          <w:spacing w:val="-2"/>
          <w:sz w:val="20"/>
          <w:rtl/>
        </w:rPr>
        <w:t> </w:t>
      </w:r>
      <w:r w:rsidRPr="00E85F6E">
        <w:rPr>
          <w:b/>
          <w:bCs/>
          <w:spacing w:val="-2"/>
          <w:sz w:val="20"/>
          <w:rtl/>
        </w:rPr>
        <w:t>المحتجزين، وعلى تقييم المسؤولية المحتملة للموظفين المكلفين بإنفاذ القانون وموظفي السجن</w:t>
      </w:r>
      <w:r w:rsidRPr="00E85F6E">
        <w:rPr>
          <w:rFonts w:hint="cs"/>
          <w:b/>
          <w:bCs/>
          <w:spacing w:val="-2"/>
          <w:sz w:val="20"/>
          <w:rtl/>
        </w:rPr>
        <w:t xml:space="preserve"> عنها</w:t>
      </w:r>
      <w:r w:rsidRPr="00E85F6E">
        <w:rPr>
          <w:b/>
          <w:bCs/>
          <w:spacing w:val="-2"/>
          <w:sz w:val="20"/>
          <w:rtl/>
        </w:rPr>
        <w:t>، وعلى معاقبة الجناة وتعويض أسر الضحايا حيثما اقتضى الأمر ذلك.</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وينبغي للدولة الطرف أن تقدم بيانات بشأن الوفيات أثناء الاحتجاز المبلغ عنها، تكون شاملة ومصنفة حسب مكان الاحتجاز وجنس الأشخاص المتوفين وسنهم وأصلهم العرقي وسبب وفاتهم.</w:t>
      </w:r>
    </w:p>
    <w:p w:rsidR="004E0A37" w:rsidRPr="004E0A37" w:rsidRDefault="004E0A37" w:rsidP="00043F1D">
      <w:pPr>
        <w:pStyle w:val="H23GA"/>
        <w:keepNext/>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رصد مرافق الاحتجاز</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16</w:t>
      </w:r>
      <w:r w:rsidR="003E72B5">
        <w:rPr>
          <w:spacing w:val="0"/>
          <w:sz w:val="20"/>
          <w:rtl/>
        </w:rPr>
        <w:t>)</w:t>
      </w:r>
      <w:r w:rsidR="003E72B5">
        <w:rPr>
          <w:spacing w:val="0"/>
          <w:sz w:val="20"/>
          <w:rtl/>
        </w:rPr>
        <w:tab/>
      </w:r>
      <w:r w:rsidR="004E0A37" w:rsidRPr="004E0A37">
        <w:rPr>
          <w:spacing w:val="0"/>
          <w:sz w:val="20"/>
          <w:rtl/>
        </w:rPr>
        <w:t>في حين تحيط اللجنة</w:t>
      </w:r>
      <w:r w:rsidR="003833F8">
        <w:rPr>
          <w:spacing w:val="0"/>
          <w:sz w:val="20"/>
          <w:rtl/>
        </w:rPr>
        <w:t xml:space="preserve"> علماً </w:t>
      </w:r>
      <w:r w:rsidR="004E0A37" w:rsidRPr="004E0A37">
        <w:rPr>
          <w:spacing w:val="0"/>
          <w:sz w:val="20"/>
          <w:rtl/>
        </w:rPr>
        <w:t xml:space="preserve">بصلاحيات التحري الواسعة التي تحظى بها لجنة حقوق الإنسان في سري لانكا من أجل التحقيق في انتهاكات حقوق الإنسان، </w:t>
      </w:r>
      <w:r w:rsidR="004E0A37" w:rsidRPr="004E0A37">
        <w:rPr>
          <w:rFonts w:hint="cs"/>
          <w:spacing w:val="0"/>
          <w:sz w:val="20"/>
          <w:rtl/>
        </w:rPr>
        <w:t>والمنصوص</w:t>
      </w:r>
      <w:r w:rsidR="004E0A37" w:rsidRPr="004E0A37">
        <w:rPr>
          <w:spacing w:val="0"/>
          <w:sz w:val="20"/>
          <w:rtl/>
        </w:rPr>
        <w:t xml:space="preserve"> </w:t>
      </w:r>
      <w:r w:rsidR="004E0A37" w:rsidRPr="004E0A37">
        <w:rPr>
          <w:rFonts w:hint="cs"/>
          <w:spacing w:val="0"/>
          <w:sz w:val="20"/>
          <w:rtl/>
        </w:rPr>
        <w:t>ع</w:t>
      </w:r>
      <w:r w:rsidR="004E0A37" w:rsidRPr="004E0A37">
        <w:rPr>
          <w:spacing w:val="0"/>
          <w:sz w:val="20"/>
          <w:rtl/>
        </w:rPr>
        <w:t xml:space="preserve">ليها في </w:t>
      </w:r>
      <w:r w:rsidR="004E0A37" w:rsidRPr="004E0A37">
        <w:rPr>
          <w:rFonts w:hint="cs"/>
          <w:spacing w:val="0"/>
          <w:sz w:val="20"/>
          <w:rtl/>
        </w:rPr>
        <w:t xml:space="preserve">المادة </w:t>
      </w:r>
      <w:r w:rsidR="004E0A37" w:rsidRPr="004E0A37">
        <w:rPr>
          <w:spacing w:val="0"/>
          <w:sz w:val="20"/>
          <w:rtl/>
        </w:rPr>
        <w:t xml:space="preserve">11 من قانون لجنة حقوق الإنسان رقم </w:t>
      </w:r>
      <w:r w:rsidR="004E0A37" w:rsidRPr="004E0A37">
        <w:rPr>
          <w:rFonts w:hint="cs"/>
          <w:spacing w:val="0"/>
          <w:sz w:val="20"/>
          <w:rtl/>
        </w:rPr>
        <w:t>21</w:t>
      </w:r>
      <w:r w:rsidR="004E0A37" w:rsidRPr="004E0A37">
        <w:rPr>
          <w:spacing w:val="0"/>
          <w:sz w:val="20"/>
          <w:rtl/>
        </w:rPr>
        <w:t xml:space="preserve"> لعام 1996، تشعر اللجنة بالقلق بسبب ما جاء في التقارير بشأن ت</w:t>
      </w:r>
      <w:r w:rsidR="004E0A37" w:rsidRPr="004E0A37">
        <w:rPr>
          <w:rFonts w:hint="cs"/>
          <w:spacing w:val="0"/>
          <w:sz w:val="20"/>
          <w:rtl/>
        </w:rPr>
        <w:t xml:space="preserve">وقف نشاط </w:t>
      </w:r>
      <w:r w:rsidR="004E0A37" w:rsidRPr="004E0A37">
        <w:rPr>
          <w:spacing w:val="0"/>
          <w:sz w:val="20"/>
          <w:rtl/>
        </w:rPr>
        <w:t xml:space="preserve">هذه اللجنة وعدم تعاون الشرطة والحكومة معها ومواردها المحدودة والتحديات التي تواجه استقلاليتها وحيادها كنتيجة للتعديل 18 لدستور سري لانكا، الذي يمنح رئيس الدولة وحده صلاحية تعيين أعضائها. وتشعر اللجنة أيضاً بالقلق لأنه خلافاً للمعلومات التي قدمتها الدولة الطرف، لا يُسمح للجنة الدولية للصليب الأحمر بزيارة "مراكز إعادة التأهيل" أو المرافق التي يُحتجز فيها المشتبه في انتمائهم إلى حركة </w:t>
      </w:r>
      <w:r w:rsidR="004E0A37" w:rsidRPr="004E0A37">
        <w:rPr>
          <w:rFonts w:hint="cs"/>
          <w:spacing w:val="0"/>
          <w:sz w:val="20"/>
          <w:rtl/>
        </w:rPr>
        <w:t>نمور</w:t>
      </w:r>
      <w:r w:rsidR="004E0A37" w:rsidRPr="004E0A37">
        <w:rPr>
          <w:spacing w:val="0"/>
          <w:sz w:val="20"/>
          <w:rtl/>
        </w:rPr>
        <w:t xml:space="preserve"> تحرير التاميل الذين</w:t>
      </w:r>
      <w:r w:rsidR="00335AC0">
        <w:rPr>
          <w:spacing w:val="0"/>
          <w:sz w:val="20"/>
          <w:rtl/>
        </w:rPr>
        <w:t xml:space="preserve"> لم </w:t>
      </w:r>
      <w:r w:rsidR="004E0A37" w:rsidRPr="004E0A37">
        <w:rPr>
          <w:spacing w:val="0"/>
          <w:sz w:val="20"/>
          <w:rtl/>
        </w:rPr>
        <w:t>توجه إليهم بعد تهم بشكل رسمي. وتشير اللجنة بقلق إلى أن الإدارة العسكرية في مخيمات الاحتجاز المغلقة الخاصة بالمشردين داخلياً قد منعت المنظمات الإنسانية، بما فيها الأمم المتحدة واللجنة الدولية للصليب الأحمر، خلال سنة 2009 من الوصول إلى هذه المخيمات (المواد 2 و11 و12 و13 و16).</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تدعو اللجنة الدولة الطرف إلى إنشاء نظام وطني مستقل لرصد وتفتيش جميع أماكن الاحتجاز بصورة فعالة، بما فيها المرافق التي يُحتجز فيها المشتبه في انتمائهم إلى</w:t>
      </w:r>
      <w:r w:rsidRPr="00E85F6E">
        <w:rPr>
          <w:rFonts w:hint="cs"/>
          <w:b/>
          <w:bCs/>
          <w:spacing w:val="0"/>
          <w:sz w:val="20"/>
          <w:rtl/>
        </w:rPr>
        <w:t> </w:t>
      </w:r>
      <w:r w:rsidRPr="00E85F6E">
        <w:rPr>
          <w:b/>
          <w:bCs/>
          <w:spacing w:val="0"/>
          <w:sz w:val="20"/>
          <w:rtl/>
        </w:rPr>
        <w:t>حركة نمور تحرير التاميل ومخيمات المشردين داخلياً المغلقة، وإلى متابعة نتائج رصدها</w:t>
      </w:r>
      <w:r w:rsidRPr="00E85F6E">
        <w:rPr>
          <w:rFonts w:hint="cs"/>
          <w:b/>
          <w:bCs/>
          <w:spacing w:val="0"/>
          <w:sz w:val="20"/>
          <w:rtl/>
        </w:rPr>
        <w:t> </w:t>
      </w:r>
      <w:r w:rsidRPr="00E85F6E">
        <w:rPr>
          <w:b/>
          <w:bCs/>
          <w:spacing w:val="0"/>
          <w:sz w:val="20"/>
          <w:rtl/>
        </w:rPr>
        <w:t>المنهجي.</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وينبغي للدولة الطرف أن تتخذ التدابير اللازمة لدعم عمل لجنة حقوق الإنسان في سري لانكا، مع ضمان تنفيذ توصياتها تنفيذاً كاملاً. وينبغي لها أيضاً أن تقدم معلومات مفصلة عن الإجراءات المتخذة بشأن التوصيات التي قدمتها اللجنة المذكورة </w:t>
      </w:r>
      <w:r w:rsidR="00F96B1E" w:rsidRPr="00E85F6E">
        <w:rPr>
          <w:b/>
          <w:bCs/>
          <w:spacing w:val="0"/>
          <w:sz w:val="20"/>
          <w:rtl/>
        </w:rPr>
        <w:t>فيما </w:t>
      </w:r>
      <w:r w:rsidRPr="00E85F6E">
        <w:rPr>
          <w:b/>
          <w:bCs/>
          <w:spacing w:val="0"/>
          <w:sz w:val="20"/>
          <w:rtl/>
        </w:rPr>
        <w:t>يتعلق بزيارتها إلى مركز الشرطة في ماونت لافينيا في 15 آب/أغسطس 2011.</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وينبغي للدولة الطرف أن تعزز قدرات المنظمات غير الحكومية التي تضطلع بأنشطة الرصد وأن تعتمد جميع التدابير المناسبة لتمكين هذه المنظمات من إجراء زيارات دورية ومستقلة ومفاجئة إلى أماكن الاحتجاز.</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وتشجع اللجنة الدولة الطرف بشدة على النظر في إمكانية التصديق على البروتوكول الاختياري لاتفاقية مناهضة التعذيب، بهدف إنشاء نظام زيارات منتظمة ومفاجئة يجريها المكلفون بعمليات الرصد على المستويين الوطني والدولي لمنع التعذيب وغيره من ضروب المعاملة أو العقوبة القاسية أو اللاإنسانية أو المهينة.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لجنة حقوق الإنسان في سري لانكا</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17</w:t>
      </w:r>
      <w:r w:rsidR="003E72B5">
        <w:rPr>
          <w:spacing w:val="0"/>
          <w:sz w:val="20"/>
          <w:rtl/>
        </w:rPr>
        <w:t>)</w:t>
      </w:r>
      <w:r w:rsidR="003E72B5">
        <w:rPr>
          <w:spacing w:val="0"/>
          <w:sz w:val="20"/>
          <w:rtl/>
        </w:rPr>
        <w:tab/>
      </w:r>
      <w:r w:rsidR="004E0A37" w:rsidRPr="004E0A37">
        <w:rPr>
          <w:spacing w:val="0"/>
          <w:sz w:val="20"/>
          <w:rtl/>
        </w:rPr>
        <w:t xml:space="preserve">تشعر اللجنة بالقلق لأن عملية التعيين الجديدة المحددة في التعديل 18 لدستور سري لانكا (أيلول/سبتمبر 2010)، الذي ينهي دور البرلمان في الموافقة على التعيينات، تقوض استقلالية لجنة حقوق الإنسان في سري لانكا. وتشعر اللجنة بالقلق أيضاً إزاء الصعوبات التي واجهتها اللجنة المذكورة أثناء أداء مهمتها والتي تُعزى </w:t>
      </w:r>
      <w:r w:rsidR="004E0A37" w:rsidRPr="004E0A37">
        <w:rPr>
          <w:rFonts w:hint="cs"/>
          <w:spacing w:val="0"/>
          <w:sz w:val="20"/>
          <w:rtl/>
        </w:rPr>
        <w:t>في جزء منها</w:t>
      </w:r>
      <w:r w:rsidR="004E0A37" w:rsidRPr="004E0A37">
        <w:rPr>
          <w:spacing w:val="0"/>
          <w:sz w:val="20"/>
          <w:rtl/>
        </w:rPr>
        <w:t xml:space="preserve"> إلى عدم تعاون المؤسسات الأخرى للدولة الطرف، وقلة الموارد البشرية والمالية، مما أدى إلى إضعاف قدرتها على التحقيق في حوادث معينة وإصدار توصيات للتعويض عن الضرر، وعجزها عن نشر التقارير المتعلقة بتحقيقاتها (المادتان 2 و12). </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 xml:space="preserve">ينبغي للدولة الطرف أن تضمن </w:t>
      </w:r>
      <w:r w:rsidRPr="00E85F6E">
        <w:rPr>
          <w:rFonts w:hint="cs"/>
          <w:b/>
          <w:bCs/>
          <w:spacing w:val="0"/>
          <w:sz w:val="20"/>
          <w:rtl/>
        </w:rPr>
        <w:t>اضطلاع</w:t>
      </w:r>
      <w:r w:rsidRPr="00E85F6E">
        <w:rPr>
          <w:b/>
          <w:bCs/>
          <w:spacing w:val="0"/>
          <w:sz w:val="20"/>
          <w:rtl/>
        </w:rPr>
        <w:t xml:space="preserve"> لجنة حقوق الإنسان في سري لانكا بولايتها على نحو فعال وأنها تتلقى الموارد اللازمة لهذا الغرض. وينبغي لها أيضاً أن ت</w:t>
      </w:r>
      <w:r w:rsidRPr="00E85F6E">
        <w:rPr>
          <w:rFonts w:hint="cs"/>
          <w:b/>
          <w:bCs/>
          <w:spacing w:val="0"/>
          <w:sz w:val="20"/>
          <w:rtl/>
        </w:rPr>
        <w:t>كفل ل</w:t>
      </w:r>
      <w:r w:rsidRPr="00E85F6E">
        <w:rPr>
          <w:b/>
          <w:bCs/>
          <w:spacing w:val="0"/>
          <w:sz w:val="20"/>
          <w:rtl/>
        </w:rPr>
        <w:t xml:space="preserve">هذه اللجنة </w:t>
      </w:r>
      <w:r w:rsidRPr="00E85F6E">
        <w:rPr>
          <w:rFonts w:hint="cs"/>
          <w:b/>
          <w:bCs/>
          <w:spacing w:val="0"/>
          <w:sz w:val="20"/>
          <w:rtl/>
        </w:rPr>
        <w:t xml:space="preserve">القدرة </w:t>
      </w:r>
      <w:r w:rsidRPr="00E85F6E">
        <w:rPr>
          <w:b/>
          <w:bCs/>
          <w:spacing w:val="0"/>
          <w:sz w:val="20"/>
          <w:rtl/>
        </w:rPr>
        <w:t xml:space="preserve">على </w:t>
      </w:r>
      <w:r w:rsidRPr="00E85F6E">
        <w:rPr>
          <w:rFonts w:hint="cs"/>
          <w:b/>
          <w:bCs/>
          <w:spacing w:val="0"/>
          <w:sz w:val="20"/>
          <w:rtl/>
        </w:rPr>
        <w:t xml:space="preserve">فتح </w:t>
      </w:r>
      <w:r w:rsidRPr="00E85F6E">
        <w:rPr>
          <w:b/>
          <w:bCs/>
          <w:spacing w:val="0"/>
          <w:sz w:val="20"/>
          <w:rtl/>
        </w:rPr>
        <w:t>تحقيقات مستقلة في حالات التعذيب وسوء المعاملة المزعومة والمحتملة</w:t>
      </w:r>
      <w:r w:rsidRPr="00E85F6E">
        <w:rPr>
          <w:rFonts w:hint="cs"/>
          <w:b/>
          <w:bCs/>
          <w:spacing w:val="0"/>
          <w:sz w:val="20"/>
          <w:rtl/>
        </w:rPr>
        <w:t xml:space="preserve"> والاضطلاع بها</w:t>
      </w:r>
      <w:r w:rsidRPr="00E85F6E">
        <w:rPr>
          <w:b/>
          <w:bCs/>
          <w:spacing w:val="0"/>
          <w:sz w:val="20"/>
          <w:rtl/>
        </w:rPr>
        <w:t>، بما فيها تلك المتعلقة بمبان عسكرية و"مراكز إعادة التأهيل" وغيرها من المرافق الخاضعة لمراقبة الحكومة م</w:t>
      </w:r>
      <w:r w:rsidRPr="00E85F6E">
        <w:rPr>
          <w:rFonts w:hint="cs"/>
          <w:b/>
          <w:bCs/>
          <w:spacing w:val="0"/>
          <w:sz w:val="20"/>
          <w:rtl/>
        </w:rPr>
        <w:t xml:space="preserve">ثل </w:t>
      </w:r>
      <w:r w:rsidRPr="00E85F6E">
        <w:rPr>
          <w:b/>
          <w:bCs/>
          <w:spacing w:val="0"/>
          <w:sz w:val="20"/>
          <w:rtl/>
        </w:rPr>
        <w:t>"مراكز الرفاه"، و</w:t>
      </w:r>
      <w:r w:rsidRPr="00E85F6E">
        <w:rPr>
          <w:rFonts w:hint="cs"/>
          <w:b/>
          <w:bCs/>
          <w:spacing w:val="0"/>
          <w:sz w:val="20"/>
          <w:rtl/>
        </w:rPr>
        <w:t xml:space="preserve">القدرة </w:t>
      </w:r>
      <w:r w:rsidRPr="00E85F6E">
        <w:rPr>
          <w:b/>
          <w:bCs/>
          <w:spacing w:val="0"/>
          <w:sz w:val="20"/>
          <w:rtl/>
        </w:rPr>
        <w:t xml:space="preserve">على نشر نتائج </w:t>
      </w:r>
      <w:r w:rsidRPr="00E85F6E">
        <w:rPr>
          <w:rFonts w:hint="cs"/>
          <w:b/>
          <w:bCs/>
          <w:spacing w:val="0"/>
          <w:sz w:val="20"/>
          <w:rtl/>
        </w:rPr>
        <w:t xml:space="preserve">هذه </w:t>
      </w:r>
      <w:r w:rsidRPr="00E85F6E">
        <w:rPr>
          <w:b/>
          <w:bCs/>
          <w:spacing w:val="0"/>
          <w:sz w:val="20"/>
          <w:rtl/>
        </w:rPr>
        <w:t>التحقيقات. وينبغي للدولة الطرف وضع إجراء شفاف وقائم على التشاور من أجل اختيار أعضاء اللجنة لضمان استقلاليتها التامة تماشياً مع مبادئ باريس.</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 xml:space="preserve">إفلات مرتكبي أفعال التعذيب وإساءة المعاملة من العقاب </w:t>
      </w:r>
    </w:p>
    <w:p w:rsidR="004E0A37" w:rsidRPr="00E85F6E" w:rsidRDefault="00BE7198" w:rsidP="00E85F6E">
      <w:pPr>
        <w:pStyle w:val="SingleTxtGA"/>
        <w:jc w:val="lowKashida"/>
        <w:rPr>
          <w:spacing w:val="2"/>
          <w:sz w:val="20"/>
          <w:rtl/>
        </w:rPr>
      </w:pPr>
      <w:r w:rsidRPr="00E85F6E">
        <w:rPr>
          <w:rFonts w:hint="cs"/>
          <w:spacing w:val="2"/>
          <w:sz w:val="20"/>
          <w:rtl/>
        </w:rPr>
        <w:t>(</w:t>
      </w:r>
      <w:r w:rsidR="004E0A37" w:rsidRPr="00E85F6E">
        <w:rPr>
          <w:spacing w:val="2"/>
          <w:sz w:val="20"/>
          <w:rtl/>
        </w:rPr>
        <w:t>18</w:t>
      </w:r>
      <w:r w:rsidR="003E72B5" w:rsidRPr="00E85F6E">
        <w:rPr>
          <w:spacing w:val="2"/>
          <w:sz w:val="20"/>
          <w:rtl/>
        </w:rPr>
        <w:t>)</w:t>
      </w:r>
      <w:r w:rsidR="003E72B5" w:rsidRPr="00E85F6E">
        <w:rPr>
          <w:spacing w:val="2"/>
          <w:sz w:val="20"/>
          <w:rtl/>
        </w:rPr>
        <w:tab/>
      </w:r>
      <w:r w:rsidR="004E0A37" w:rsidRPr="00E85F6E">
        <w:rPr>
          <w:spacing w:val="2"/>
          <w:sz w:val="20"/>
          <w:rtl/>
        </w:rPr>
        <w:t xml:space="preserve">لا تزال اللجنة قلقة بسبب </w:t>
      </w:r>
      <w:r w:rsidR="004E0A37" w:rsidRPr="00E85F6E">
        <w:rPr>
          <w:rFonts w:hint="cs"/>
          <w:spacing w:val="2"/>
          <w:sz w:val="20"/>
          <w:rtl/>
        </w:rPr>
        <w:t xml:space="preserve">مناخ </w:t>
      </w:r>
      <w:r w:rsidR="004E0A37" w:rsidRPr="00E85F6E">
        <w:rPr>
          <w:spacing w:val="2"/>
          <w:sz w:val="20"/>
          <w:rtl/>
        </w:rPr>
        <w:t>الإفلات من العقاب السائد في الدولة الطرف والفشل</w:t>
      </w:r>
      <w:r w:rsidR="004E0A37" w:rsidRPr="00E85F6E">
        <w:rPr>
          <w:rFonts w:hint="cs"/>
          <w:spacing w:val="2"/>
          <w:sz w:val="20"/>
          <w:rtl/>
        </w:rPr>
        <w:t> </w:t>
      </w:r>
      <w:r w:rsidR="004E0A37" w:rsidRPr="00E85F6E">
        <w:rPr>
          <w:spacing w:val="2"/>
          <w:sz w:val="20"/>
          <w:rtl/>
        </w:rPr>
        <w:t>الواضح في إجراء تحقيقات فورية ونزيهة كلما كانت هناك أسباب معقولة تدعو إلى الاعتقاد بأن فعلاً من أفعال التعذيب قد ارتُكب. وتلاحظ اللجنة أيضاً عدم وجود آلية فعالة ومستقلة للرصد من أجل التحقيق في شكاوى التعذيب. وتعرب اللجنة عن قلقها إزاء</w:t>
      </w:r>
      <w:r w:rsidR="00E85F6E">
        <w:rPr>
          <w:rFonts w:hint="cs"/>
          <w:spacing w:val="2"/>
          <w:sz w:val="20"/>
          <w:rtl/>
        </w:rPr>
        <w:t> </w:t>
      </w:r>
      <w:r w:rsidR="004E0A37" w:rsidRPr="00E85F6E">
        <w:rPr>
          <w:spacing w:val="2"/>
          <w:sz w:val="20"/>
          <w:rtl/>
        </w:rPr>
        <w:t>التقارير التي تفيد بأن مكتب النائب العام توقف عن إحالة القضايا إلى وحدة التحقيقات الخاصة التابعة</w:t>
      </w:r>
      <w:r w:rsidR="004E0A37" w:rsidRPr="00E85F6E">
        <w:rPr>
          <w:rFonts w:hint="cs"/>
          <w:spacing w:val="2"/>
          <w:sz w:val="20"/>
          <w:rtl/>
        </w:rPr>
        <w:t> </w:t>
      </w:r>
      <w:r w:rsidR="004E0A37" w:rsidRPr="00E85F6E">
        <w:rPr>
          <w:spacing w:val="2"/>
          <w:sz w:val="20"/>
          <w:rtl/>
        </w:rPr>
        <w:t>للشرطة وبأن عدداً كبيراً من القضايا المعلقة</w:t>
      </w:r>
      <w:r w:rsidR="00335AC0" w:rsidRPr="00E85F6E">
        <w:rPr>
          <w:spacing w:val="2"/>
          <w:sz w:val="20"/>
          <w:rtl/>
        </w:rPr>
        <w:t xml:space="preserve"> لم </w:t>
      </w:r>
      <w:r w:rsidR="004E0A37" w:rsidRPr="00E85F6E">
        <w:rPr>
          <w:spacing w:val="2"/>
          <w:sz w:val="20"/>
          <w:rtl/>
        </w:rPr>
        <w:t xml:space="preserve">يبت فيه بعد. وتشعر اللجنة بالقلق أيضاً بسبب التقارير العديدة </w:t>
      </w:r>
      <w:r w:rsidR="004E0A37" w:rsidRPr="00E85F6E">
        <w:rPr>
          <w:rFonts w:hint="cs"/>
          <w:spacing w:val="2"/>
          <w:sz w:val="20"/>
          <w:rtl/>
        </w:rPr>
        <w:t>التي تتحدث عن</w:t>
      </w:r>
      <w:r w:rsidR="004E0A37" w:rsidRPr="00E85F6E">
        <w:rPr>
          <w:spacing w:val="2"/>
          <w:sz w:val="20"/>
          <w:rtl/>
        </w:rPr>
        <w:t xml:space="preserve"> عدم استقلال القضاء (المواد 11 و12 و13).</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ينبغي للدولة الطرف:</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(‌أ)</w:t>
      </w:r>
      <w:r w:rsidRPr="00E85F6E">
        <w:rPr>
          <w:b/>
          <w:bCs/>
          <w:spacing w:val="0"/>
          <w:sz w:val="20"/>
          <w:rtl/>
        </w:rPr>
        <w:tab/>
        <w:t>أن تضمن إجراء تحقيقات فورية ونزيهة في جميع الشكاوى المتعلقة بالتعذيب أو سوء المعاملة. وينبغي أن تكون هذه التحقيقات، بشكل خاص، تحت مسؤولية هيئة مستقلة لا تخضع لسلطة الشرطة؛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(‌ب)</w:t>
      </w:r>
      <w:r w:rsidRPr="00E85F6E">
        <w:rPr>
          <w:b/>
          <w:bCs/>
          <w:spacing w:val="0"/>
          <w:sz w:val="20"/>
          <w:rtl/>
        </w:rPr>
        <w:tab/>
        <w:t xml:space="preserve">أن تستحدث نظاماً مستقلاً للشكاوى </w:t>
      </w:r>
      <w:r w:rsidRPr="00E85F6E">
        <w:rPr>
          <w:rFonts w:hint="cs"/>
          <w:b/>
          <w:bCs/>
          <w:spacing w:val="0"/>
          <w:sz w:val="20"/>
          <w:rtl/>
        </w:rPr>
        <w:t>يكون متاحاً</w:t>
      </w:r>
      <w:r w:rsidRPr="00E85F6E">
        <w:rPr>
          <w:b/>
          <w:bCs/>
          <w:spacing w:val="0"/>
          <w:sz w:val="20"/>
          <w:rtl/>
        </w:rPr>
        <w:t xml:space="preserve"> </w:t>
      </w:r>
      <w:r w:rsidRPr="00E85F6E">
        <w:rPr>
          <w:rFonts w:hint="cs"/>
          <w:b/>
          <w:bCs/>
          <w:spacing w:val="0"/>
          <w:sz w:val="20"/>
          <w:rtl/>
        </w:rPr>
        <w:t>ل</w:t>
      </w:r>
      <w:r w:rsidRPr="00E85F6E">
        <w:rPr>
          <w:b/>
          <w:bCs/>
          <w:spacing w:val="0"/>
          <w:sz w:val="20"/>
          <w:rtl/>
        </w:rPr>
        <w:t>جميع الأشخاص المحرومين من حريتهم؛</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(‌ج)</w:t>
      </w:r>
      <w:r w:rsidRPr="00E85F6E">
        <w:rPr>
          <w:b/>
          <w:bCs/>
          <w:spacing w:val="0"/>
          <w:sz w:val="20"/>
          <w:rtl/>
        </w:rPr>
        <w:tab/>
        <w:t>أن تشرع تلقائياً في إجراء تحقيقات فورية ونزيهة كلما كانت هناك أسباب معقولة تدعو إلى الاعتقاد بأن فعلاً من أفعال التعذيب قد ارتُكب؛</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(‌د)</w:t>
      </w:r>
      <w:r w:rsidRPr="00E85F6E">
        <w:rPr>
          <w:b/>
          <w:bCs/>
          <w:spacing w:val="0"/>
          <w:sz w:val="20"/>
          <w:rtl/>
        </w:rPr>
        <w:tab/>
        <w:t xml:space="preserve">أن تضمن </w:t>
      </w:r>
      <w:r w:rsidRPr="00E85F6E">
        <w:rPr>
          <w:rFonts w:hint="cs"/>
          <w:b/>
          <w:bCs/>
          <w:spacing w:val="0"/>
          <w:sz w:val="20"/>
          <w:rtl/>
        </w:rPr>
        <w:t>اضطلاع</w:t>
      </w:r>
      <w:r w:rsidRPr="00E85F6E">
        <w:rPr>
          <w:b/>
          <w:bCs/>
          <w:spacing w:val="0"/>
          <w:sz w:val="20"/>
          <w:rtl/>
        </w:rPr>
        <w:t xml:space="preserve"> مكتب النائب العام بمسؤولياته </w:t>
      </w:r>
      <w:r w:rsidRPr="00E85F6E">
        <w:rPr>
          <w:rFonts w:hint="cs"/>
          <w:b/>
          <w:bCs/>
          <w:spacing w:val="0"/>
          <w:sz w:val="20"/>
          <w:rtl/>
        </w:rPr>
        <w:t xml:space="preserve">عن </w:t>
      </w:r>
      <w:r w:rsidRPr="00E85F6E">
        <w:rPr>
          <w:b/>
          <w:bCs/>
          <w:spacing w:val="0"/>
          <w:sz w:val="20"/>
          <w:rtl/>
        </w:rPr>
        <w:t>إحالة القضايا إلى وحدة التحقيقات الخاصة؛</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w:t>
      </w:r>
      <w:r w:rsidRPr="00E85F6E">
        <w:rPr>
          <w:rFonts w:hint="cs"/>
          <w:b/>
          <w:bCs/>
          <w:spacing w:val="0"/>
          <w:sz w:val="20"/>
          <w:rtl/>
        </w:rPr>
        <w:t>ﻫ</w:t>
      </w:r>
      <w:r w:rsidRPr="00E85F6E">
        <w:rPr>
          <w:b/>
          <w:bCs/>
          <w:spacing w:val="0"/>
          <w:sz w:val="20"/>
          <w:rtl/>
        </w:rPr>
        <w:t>)</w:t>
      </w:r>
      <w:r w:rsidRPr="00E85F6E">
        <w:rPr>
          <w:b/>
          <w:bCs/>
          <w:spacing w:val="0"/>
          <w:sz w:val="20"/>
          <w:rtl/>
        </w:rPr>
        <w:tab/>
        <w:t>أن تعمل، في الحالات التي يُزعم فيها وقوع تعذيب، على إيقاف المشتبه فيهم فوراً عن أداء مهامهم خلال مدة التحقيق، خاصة إذا كان استبقاؤهم يمكن أن يتسبب في تكرار الفعل المزعوم وقوعه أو في عرقلة التحقيق؛</w:t>
      </w:r>
    </w:p>
    <w:p w:rsidR="004E0A37" w:rsidRPr="00E85F6E" w:rsidRDefault="004E0A37" w:rsidP="004E0A37">
      <w:pPr>
        <w:pStyle w:val="SingleTxtGA"/>
        <w:jc w:val="lowKashida"/>
        <w:rPr>
          <w:b/>
          <w:bCs/>
          <w:spacing w:val="0"/>
          <w:sz w:val="20"/>
          <w:rtl/>
        </w:rPr>
      </w:pPr>
      <w:r w:rsidRPr="00E85F6E">
        <w:rPr>
          <w:rFonts w:hint="cs"/>
          <w:b/>
          <w:bCs/>
          <w:spacing w:val="0"/>
          <w:sz w:val="20"/>
          <w:rtl/>
        </w:rPr>
        <w:tab/>
      </w:r>
      <w:r w:rsidRPr="00E85F6E">
        <w:rPr>
          <w:b/>
          <w:bCs/>
          <w:spacing w:val="0"/>
          <w:sz w:val="20"/>
          <w:rtl/>
        </w:rPr>
        <w:t>(‌و)</w:t>
      </w:r>
      <w:r w:rsidRPr="00E85F6E">
        <w:rPr>
          <w:b/>
          <w:bCs/>
          <w:spacing w:val="0"/>
          <w:sz w:val="20"/>
          <w:rtl/>
        </w:rPr>
        <w:tab/>
        <w:t xml:space="preserve">أن </w:t>
      </w:r>
      <w:r w:rsidRPr="00E85F6E">
        <w:rPr>
          <w:rFonts w:hint="cs"/>
          <w:b/>
          <w:bCs/>
          <w:spacing w:val="0"/>
          <w:sz w:val="20"/>
          <w:rtl/>
        </w:rPr>
        <w:t>تكفل</w:t>
      </w:r>
      <w:r w:rsidRPr="00E85F6E">
        <w:rPr>
          <w:b/>
          <w:bCs/>
          <w:spacing w:val="0"/>
          <w:sz w:val="20"/>
          <w:rtl/>
        </w:rPr>
        <w:t xml:space="preserve">، في الممارسة العملية، </w:t>
      </w:r>
      <w:r w:rsidRPr="00E85F6E">
        <w:rPr>
          <w:rFonts w:hint="cs"/>
          <w:b/>
          <w:bCs/>
          <w:spacing w:val="0"/>
          <w:sz w:val="20"/>
          <w:rtl/>
        </w:rPr>
        <w:t>ل</w:t>
      </w:r>
      <w:r w:rsidRPr="00E85F6E">
        <w:rPr>
          <w:b/>
          <w:bCs/>
          <w:spacing w:val="0"/>
          <w:sz w:val="20"/>
          <w:rtl/>
        </w:rPr>
        <w:t xml:space="preserve">لمدعين والشهود </w:t>
      </w:r>
      <w:r w:rsidRPr="00E85F6E">
        <w:rPr>
          <w:rFonts w:hint="cs"/>
          <w:b/>
          <w:bCs/>
          <w:spacing w:val="0"/>
          <w:sz w:val="20"/>
          <w:rtl/>
        </w:rPr>
        <w:t>ال</w:t>
      </w:r>
      <w:r w:rsidRPr="00E85F6E">
        <w:rPr>
          <w:b/>
          <w:bCs/>
          <w:spacing w:val="0"/>
          <w:sz w:val="20"/>
          <w:rtl/>
        </w:rPr>
        <w:t>حماية من كل سوء معاملة وكل عمل تخويف يتصل بشكواهم أو شهادتهم؛</w:t>
      </w:r>
    </w:p>
    <w:p w:rsidR="004E0A37" w:rsidRPr="00E85F6E" w:rsidRDefault="004E0A37" w:rsidP="00614E22">
      <w:pPr>
        <w:pStyle w:val="SingleTxtGA"/>
        <w:jc w:val="lowKashida"/>
        <w:rPr>
          <w:b/>
          <w:bCs/>
          <w:spacing w:val="0"/>
          <w:sz w:val="20"/>
          <w:rtl/>
        </w:rPr>
      </w:pPr>
      <w:r w:rsidRPr="00E85F6E">
        <w:rPr>
          <w:rFonts w:hint="cs"/>
          <w:b/>
          <w:bCs/>
          <w:spacing w:val="0"/>
          <w:sz w:val="20"/>
          <w:rtl/>
        </w:rPr>
        <w:tab/>
      </w:r>
      <w:r w:rsidRPr="00E85F6E">
        <w:rPr>
          <w:b/>
          <w:bCs/>
          <w:spacing w:val="0"/>
          <w:sz w:val="20"/>
          <w:rtl/>
        </w:rPr>
        <w:t>(‌ز)</w:t>
      </w:r>
      <w:r w:rsidRPr="00E85F6E">
        <w:rPr>
          <w:b/>
          <w:bCs/>
          <w:spacing w:val="0"/>
          <w:sz w:val="20"/>
          <w:rtl/>
        </w:rPr>
        <w:tab/>
        <w:t>أن تقاضي من يُدّعى أنهم ارتكبوا أفعال التعذيب وسوء المعاملة، وأن تُنزل بهم، في حالة ثبوت التهمة عليهم، عقوبات تتناسب مع جسامة ما ارتكبوه من أفعال. وفي هذا الصدد</w:t>
      </w:r>
      <w:r w:rsidRPr="00E85F6E">
        <w:rPr>
          <w:rFonts w:hint="cs"/>
          <w:b/>
          <w:bCs/>
          <w:spacing w:val="0"/>
          <w:sz w:val="20"/>
          <w:rtl/>
        </w:rPr>
        <w:t>،</w:t>
      </w:r>
      <w:r w:rsidRPr="00E85F6E">
        <w:rPr>
          <w:b/>
          <w:bCs/>
          <w:spacing w:val="0"/>
          <w:sz w:val="20"/>
          <w:rtl/>
        </w:rPr>
        <w:t xml:space="preserve"> ينبغي اتخاذ تدابير تشريعية من أجل ضمان استقلال القضاء.</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حماية الشهود والضحايا</w:t>
      </w:r>
    </w:p>
    <w:p w:rsidR="004E0A37" w:rsidRPr="004E0A37" w:rsidRDefault="00BE7198" w:rsidP="00E85F6E">
      <w:pPr>
        <w:pStyle w:val="SingleTxtGA"/>
        <w:spacing w:line="360" w:lineRule="exact"/>
        <w:jc w:val="lowKashida"/>
        <w:rPr>
          <w:spacing w:val="0"/>
          <w:sz w:val="20"/>
          <w:rtl/>
        </w:rPr>
      </w:pPr>
      <w:r>
        <w:rPr>
          <w:rFonts w:hint="cs"/>
          <w:spacing w:val="0"/>
          <w:sz w:val="20"/>
          <w:rtl/>
        </w:rPr>
        <w:t>(</w:t>
      </w:r>
      <w:r w:rsidR="004E0A37" w:rsidRPr="004E0A37">
        <w:rPr>
          <w:spacing w:val="0"/>
          <w:sz w:val="20"/>
          <w:rtl/>
        </w:rPr>
        <w:t>19</w:t>
      </w:r>
      <w:r w:rsidR="003E72B5">
        <w:rPr>
          <w:spacing w:val="0"/>
          <w:sz w:val="20"/>
          <w:rtl/>
        </w:rPr>
        <w:t>)</w:t>
      </w:r>
      <w:r w:rsidR="003E72B5">
        <w:rPr>
          <w:spacing w:val="0"/>
          <w:sz w:val="20"/>
          <w:rtl/>
        </w:rPr>
        <w:tab/>
      </w:r>
      <w:r w:rsidR="004E0A37" w:rsidRPr="004E0A37">
        <w:rPr>
          <w:spacing w:val="0"/>
          <w:sz w:val="20"/>
          <w:rtl/>
        </w:rPr>
        <w:t xml:space="preserve">لا تزال اللجنة قلقة بسبب عدم وجود أي آلية فعالة لتوفير الحماية والمساعدة لشهود وضحايا انتهاكات وتجاوزات حقوق الإنسان، مما يؤثر سلباً في استعداد الشهود والضحايا وقدرتهم على المشاركة في التحقيقات أو الإدلاء بشهاداتهم أثناء الإجراءات. وفي هذا الصدد، تعرب اللجنة عن قلقها إزاء إفلات </w:t>
      </w:r>
      <w:r w:rsidR="004E0A37" w:rsidRPr="004E0A37">
        <w:rPr>
          <w:rFonts w:hint="cs"/>
          <w:spacing w:val="0"/>
          <w:sz w:val="20"/>
          <w:rtl/>
        </w:rPr>
        <w:t xml:space="preserve">الجناة </w:t>
      </w:r>
      <w:r w:rsidR="004E0A37" w:rsidRPr="004E0A37">
        <w:rPr>
          <w:spacing w:val="0"/>
          <w:sz w:val="20"/>
          <w:rtl/>
        </w:rPr>
        <w:t xml:space="preserve">من العقاب في حالات الهجمات التي تستهدف الشهود والضحايا، مثلما تبين ذلك قضية جيرالد بيريرا والأشخاص </w:t>
      </w:r>
      <w:r w:rsidR="004E0A37" w:rsidRPr="004E0A37">
        <w:rPr>
          <w:rFonts w:hint="cs"/>
          <w:spacing w:val="0"/>
          <w:sz w:val="20"/>
          <w:rtl/>
        </w:rPr>
        <w:t xml:space="preserve">الذين يدعى تورطهم </w:t>
      </w:r>
      <w:r w:rsidR="004E0A37" w:rsidRPr="004E0A37">
        <w:rPr>
          <w:spacing w:val="0"/>
          <w:sz w:val="20"/>
          <w:rtl/>
        </w:rPr>
        <w:t xml:space="preserve">في مقتله عقب </w:t>
      </w:r>
      <w:r w:rsidR="004E0A37" w:rsidRPr="004E0A37">
        <w:rPr>
          <w:rFonts w:hint="cs"/>
          <w:spacing w:val="0"/>
          <w:sz w:val="20"/>
          <w:rtl/>
        </w:rPr>
        <w:t xml:space="preserve">دعوى </w:t>
      </w:r>
      <w:r w:rsidR="004E0A37" w:rsidRPr="004E0A37">
        <w:rPr>
          <w:spacing w:val="0"/>
          <w:sz w:val="20"/>
          <w:rtl/>
        </w:rPr>
        <w:t xml:space="preserve">التعذيب </w:t>
      </w:r>
      <w:r w:rsidR="004E0A37" w:rsidRPr="004E0A37">
        <w:rPr>
          <w:rFonts w:hint="cs"/>
          <w:spacing w:val="0"/>
          <w:sz w:val="20"/>
          <w:rtl/>
        </w:rPr>
        <w:t xml:space="preserve">التي رفعها </w:t>
      </w:r>
      <w:r w:rsidR="004E0A37" w:rsidRPr="004E0A37">
        <w:rPr>
          <w:spacing w:val="0"/>
          <w:sz w:val="20"/>
          <w:rtl/>
        </w:rPr>
        <w:t>ضد عدة موظفين في الشرطة. وتلاحظ اللجنة بقلق أن هناك مشروع قانون بشأن حماية الشهود والضحايا مدرج على جدول أعمال البرلمان منذ سنة</w:t>
      </w:r>
      <w:r w:rsidR="004E0A37" w:rsidRPr="004E0A37">
        <w:rPr>
          <w:rFonts w:hint="cs"/>
          <w:spacing w:val="0"/>
          <w:sz w:val="20"/>
          <w:rtl/>
        </w:rPr>
        <w:t> </w:t>
      </w:r>
      <w:r w:rsidR="004E0A37" w:rsidRPr="004E0A37">
        <w:rPr>
          <w:spacing w:val="0"/>
          <w:sz w:val="20"/>
          <w:rtl/>
        </w:rPr>
        <w:t xml:space="preserve">2008. وتأسف اللجنة لضآلة المعلومات الجوهرية التي قدمتها الدولة الطرف بشأن قضية سياغونا كوسغوداج أنتون سوغات نيشانتا فرناندو، الذي قدم شكوى بشأن قضية تعذيب </w:t>
      </w:r>
      <w:r w:rsidR="004E0A37" w:rsidRPr="004E0A37">
        <w:rPr>
          <w:rFonts w:hint="cs"/>
          <w:spacing w:val="0"/>
          <w:sz w:val="20"/>
          <w:rtl/>
        </w:rPr>
        <w:t>أمام</w:t>
      </w:r>
      <w:r w:rsidR="004E0A37" w:rsidRPr="004E0A37">
        <w:rPr>
          <w:rFonts w:hint="eastAsia"/>
          <w:spacing w:val="0"/>
          <w:sz w:val="20"/>
          <w:rtl/>
        </w:rPr>
        <w:t> </w:t>
      </w:r>
      <w:r w:rsidR="004E0A37" w:rsidRPr="004E0A37">
        <w:rPr>
          <w:spacing w:val="0"/>
          <w:sz w:val="20"/>
          <w:rtl/>
        </w:rPr>
        <w:t>المحكمة العليا، وقُتل على يد مسلحين مجهولين في 20 أيلول/سبتمبر 2008. وقد طلب الضحية مراراً وتكرار</w:t>
      </w:r>
      <w:r w:rsidR="004E0A37" w:rsidRPr="004E0A37">
        <w:rPr>
          <w:rFonts w:hint="cs"/>
          <w:spacing w:val="0"/>
          <w:sz w:val="20"/>
          <w:rtl/>
        </w:rPr>
        <w:t>اً</w:t>
      </w:r>
      <w:r w:rsidR="004E0A37" w:rsidRPr="004E0A37">
        <w:rPr>
          <w:spacing w:val="0"/>
          <w:sz w:val="20"/>
          <w:rtl/>
        </w:rPr>
        <w:t xml:space="preserve"> توفير الحماية له ولأسرته من الجناة المزعومين (المواد 2 و11 و12 و13 و15).</w:t>
      </w:r>
    </w:p>
    <w:p w:rsidR="004E0A37" w:rsidRPr="00E85F6E" w:rsidRDefault="004E0A37" w:rsidP="00E85F6E">
      <w:pPr>
        <w:pStyle w:val="SingleTxtGA"/>
        <w:jc w:val="lowKashida"/>
        <w:rPr>
          <w:b/>
          <w:bCs/>
          <w:spacing w:val="0"/>
          <w:sz w:val="20"/>
          <w:rtl/>
        </w:rPr>
      </w:pPr>
      <w:r w:rsidRPr="00E85F6E">
        <w:rPr>
          <w:rFonts w:hint="cs"/>
          <w:b/>
          <w:bCs/>
          <w:spacing w:val="0"/>
          <w:sz w:val="20"/>
          <w:rtl/>
        </w:rPr>
        <w:tab/>
      </w:r>
      <w:r w:rsidRPr="00E85F6E">
        <w:rPr>
          <w:b/>
          <w:bCs/>
          <w:spacing w:val="0"/>
          <w:sz w:val="20"/>
          <w:rtl/>
        </w:rPr>
        <w:t>تكرر اللجنة توصيتها السابقة (</w:t>
      </w:r>
      <w:r w:rsidRPr="00E85F6E">
        <w:rPr>
          <w:b/>
          <w:bCs/>
          <w:spacing w:val="0"/>
          <w:sz w:val="20"/>
        </w:rPr>
        <w:t>CAT/C/LKA/CO/2</w:t>
      </w:r>
      <w:r w:rsidRPr="00E85F6E">
        <w:rPr>
          <w:b/>
          <w:bCs/>
          <w:spacing w:val="0"/>
          <w:sz w:val="20"/>
          <w:rtl/>
        </w:rPr>
        <w:t>، الفقرة 15) بأنه ينبغي للدولة الطرف أن توفر لشهود وضحايا انتهاكات حقوق الإنسان الحماية والمساعدة على</w:t>
      </w:r>
      <w:r w:rsidR="00E85F6E">
        <w:rPr>
          <w:rFonts w:hint="cs"/>
          <w:b/>
          <w:bCs/>
          <w:spacing w:val="0"/>
          <w:sz w:val="20"/>
          <w:rtl/>
        </w:rPr>
        <w:t> </w:t>
      </w:r>
      <w:r w:rsidRPr="00E85F6E">
        <w:rPr>
          <w:b/>
          <w:bCs/>
          <w:spacing w:val="0"/>
          <w:sz w:val="20"/>
          <w:rtl/>
        </w:rPr>
        <w:t xml:space="preserve">نحو فعال، لا سيما من خلال ضمان </w:t>
      </w:r>
      <w:r w:rsidRPr="00E85F6E">
        <w:rPr>
          <w:rFonts w:hint="cs"/>
          <w:b/>
          <w:bCs/>
          <w:spacing w:val="0"/>
          <w:sz w:val="20"/>
          <w:rtl/>
        </w:rPr>
        <w:t>عدم تأثير</w:t>
      </w:r>
      <w:r w:rsidRPr="00E85F6E">
        <w:rPr>
          <w:b/>
          <w:bCs/>
          <w:spacing w:val="0"/>
          <w:sz w:val="20"/>
          <w:rtl/>
        </w:rPr>
        <w:t xml:space="preserve"> الجناة في آليات الحماية </w:t>
      </w:r>
      <w:r w:rsidRPr="00E85F6E">
        <w:rPr>
          <w:rFonts w:hint="cs"/>
          <w:b/>
          <w:bCs/>
          <w:spacing w:val="0"/>
          <w:sz w:val="20"/>
          <w:rtl/>
        </w:rPr>
        <w:t>ومساءلتهم</w:t>
      </w:r>
      <w:r w:rsidRPr="00E85F6E">
        <w:rPr>
          <w:b/>
          <w:bCs/>
          <w:spacing w:val="0"/>
          <w:sz w:val="20"/>
          <w:rtl/>
        </w:rPr>
        <w:t xml:space="preserve"> عن أفعالهم.</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الأشخاص المشردون داخليا</w:t>
      </w:r>
      <w:r w:rsidRPr="004E0A37">
        <w:rPr>
          <w:rFonts w:hint="cs"/>
          <w:spacing w:val="0"/>
          <w:sz w:val="20"/>
          <w:rtl/>
        </w:rPr>
        <w:t>ً</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20</w:t>
      </w:r>
      <w:r w:rsidR="003E72B5">
        <w:rPr>
          <w:spacing w:val="0"/>
          <w:sz w:val="20"/>
          <w:rtl/>
        </w:rPr>
        <w:t>)</w:t>
      </w:r>
      <w:r w:rsidR="003E72B5">
        <w:rPr>
          <w:spacing w:val="0"/>
          <w:sz w:val="20"/>
          <w:rtl/>
        </w:rPr>
        <w:tab/>
      </w:r>
      <w:r w:rsidR="004E0A37" w:rsidRPr="004E0A37">
        <w:rPr>
          <w:spacing w:val="0"/>
          <w:sz w:val="20"/>
          <w:rtl/>
        </w:rPr>
        <w:t>تلاحظ اللجنة أنه عندما أوشك النزاع المسلح على نهايته في عام 2009، فر</w:t>
      </w:r>
      <w:r w:rsidR="004E0A37" w:rsidRPr="004E0A37">
        <w:rPr>
          <w:rFonts w:hint="cs"/>
          <w:spacing w:val="0"/>
          <w:sz w:val="20"/>
          <w:rtl/>
        </w:rPr>
        <w:t>ّ</w:t>
      </w:r>
      <w:r w:rsidR="004E0A37" w:rsidRPr="004E0A37">
        <w:rPr>
          <w:spacing w:val="0"/>
          <w:sz w:val="20"/>
          <w:rtl/>
        </w:rPr>
        <w:t xml:space="preserve"> </w:t>
      </w:r>
      <w:r w:rsidR="004E0A37" w:rsidRPr="004E0A37">
        <w:rPr>
          <w:rFonts w:hint="cs"/>
          <w:spacing w:val="0"/>
          <w:sz w:val="20"/>
          <w:rtl/>
        </w:rPr>
        <w:t>أكثر</w:t>
      </w:r>
      <w:r w:rsidR="004E0A37" w:rsidRPr="004E0A37">
        <w:rPr>
          <w:spacing w:val="0"/>
          <w:sz w:val="20"/>
          <w:rtl/>
        </w:rPr>
        <w:t xml:space="preserve"> من </w:t>
      </w:r>
      <w:r w:rsidR="004E0A37" w:rsidRPr="004E0A37">
        <w:rPr>
          <w:rFonts w:hint="cs"/>
          <w:spacing w:val="0"/>
          <w:sz w:val="20"/>
          <w:rtl/>
        </w:rPr>
        <w:t>000 280</w:t>
      </w:r>
      <w:r w:rsidR="004E0A37" w:rsidRPr="004E0A37">
        <w:rPr>
          <w:spacing w:val="0"/>
          <w:sz w:val="20"/>
          <w:rtl/>
        </w:rPr>
        <w:t xml:space="preserve"> شخص من المناطق الشمالية الخاضعة لسيطرة حركة نمور تحرير التاميل إلى الأراضي الخاضعة لسيطرة الحكومة في مقاطعات فافونيا ومانار وجافنا وترينكومالي، وهناك دخل السواد الأعظم منهم إلى مخيمات احتجاز مغلقة يديرها الجيش. وفي حين تحيط اللجنة</w:t>
      </w:r>
      <w:r w:rsidR="003833F8">
        <w:rPr>
          <w:spacing w:val="0"/>
          <w:sz w:val="20"/>
          <w:rtl/>
        </w:rPr>
        <w:t xml:space="preserve"> علماً </w:t>
      </w:r>
      <w:r w:rsidR="004E0A37" w:rsidRPr="004E0A37">
        <w:rPr>
          <w:spacing w:val="0"/>
          <w:sz w:val="20"/>
          <w:rtl/>
        </w:rPr>
        <w:t xml:space="preserve">بالمعلومات التي قدمتها الدولة الطرف بشأن الجهود الكبيرة المبذولة للاستجابة لتدفق الأشخاص المشردين، لا تزال اللجنة تشعر بالقلق إزاء حالة الأشخاص المشردين داخلياً في البلد، لا سيما أولئك الذين ما زالوا في "مراكز الرفاه". وحسب ما أفادت به الدولة الطرف، فقد أُتيحت للأشخاص المشردين داخلياً في البداية "بيئة آمنة وقُدمت لهم الرعاية في الوقت نفسه الذي </w:t>
      </w:r>
      <w:r w:rsidR="004E0A37" w:rsidRPr="004E0A37">
        <w:rPr>
          <w:rFonts w:hint="cs"/>
          <w:spacing w:val="0"/>
          <w:sz w:val="20"/>
          <w:rtl/>
        </w:rPr>
        <w:t xml:space="preserve">كانوا يخضعون فيه للفرز </w:t>
      </w:r>
      <w:r w:rsidR="004E0A37" w:rsidRPr="004E0A37">
        <w:rPr>
          <w:spacing w:val="0"/>
          <w:sz w:val="20"/>
          <w:rtl/>
        </w:rPr>
        <w:t>لتحديد كوادر الإرهابيين الذين تسللوا بين السكان المدنيين الذين أنقذوا في نهاية النزاع المسلح". لكن اللجنة ما</w:t>
      </w:r>
      <w:r w:rsidR="004E0A37" w:rsidRPr="004E0A37">
        <w:rPr>
          <w:rFonts w:hint="cs"/>
          <w:spacing w:val="0"/>
          <w:sz w:val="20"/>
          <w:rtl/>
        </w:rPr>
        <w:t xml:space="preserve"> </w:t>
      </w:r>
      <w:r w:rsidR="004E0A37" w:rsidRPr="004E0A37">
        <w:rPr>
          <w:spacing w:val="0"/>
          <w:sz w:val="20"/>
          <w:rtl/>
        </w:rPr>
        <w:t xml:space="preserve">زالت تشعر بالقلق إزاء الإدعاءات المتسقة المتعلقة بتعرض المقيمين في المخيمات للتعذيب وسوء المعاملة خلال استجوابهم على يد أفراد دائرة التحقيقات الجنائية ودائرة التحقيقات </w:t>
      </w:r>
      <w:r w:rsidR="004E0A37" w:rsidRPr="004E0A37">
        <w:rPr>
          <w:rFonts w:hint="cs"/>
          <w:spacing w:val="0"/>
          <w:sz w:val="20"/>
          <w:rtl/>
        </w:rPr>
        <w:t>المتصلة ب</w:t>
      </w:r>
      <w:r w:rsidR="004E0A37" w:rsidRPr="004E0A37">
        <w:rPr>
          <w:spacing w:val="0"/>
          <w:sz w:val="20"/>
          <w:rtl/>
        </w:rPr>
        <w:t xml:space="preserve">الإرهاب. وتشعر اللجنة بالقلق </w:t>
      </w:r>
      <w:r w:rsidR="004E0A37" w:rsidRPr="004E0A37">
        <w:rPr>
          <w:rFonts w:hint="cs"/>
          <w:spacing w:val="0"/>
          <w:sz w:val="20"/>
          <w:rtl/>
        </w:rPr>
        <w:t>لعدم ال</w:t>
      </w:r>
      <w:r w:rsidR="004E0A37" w:rsidRPr="004E0A37">
        <w:rPr>
          <w:spacing w:val="0"/>
          <w:sz w:val="20"/>
          <w:rtl/>
        </w:rPr>
        <w:t>تحقيق في هذه الادعاءات خارج سياق إجراء اللجنة المعنية بالدروس المستفادة والمصالحة ول</w:t>
      </w:r>
      <w:r w:rsidR="004E0A37" w:rsidRPr="004E0A37">
        <w:rPr>
          <w:rFonts w:hint="cs"/>
          <w:spacing w:val="0"/>
          <w:sz w:val="20"/>
          <w:rtl/>
        </w:rPr>
        <w:t>عدم</w:t>
      </w:r>
      <w:r w:rsidR="004E0A37" w:rsidRPr="004E0A37">
        <w:rPr>
          <w:spacing w:val="0"/>
          <w:sz w:val="20"/>
          <w:rtl/>
        </w:rPr>
        <w:t xml:space="preserve"> </w:t>
      </w:r>
      <w:r w:rsidR="004E0A37" w:rsidRPr="004E0A37">
        <w:rPr>
          <w:rFonts w:hint="cs"/>
          <w:spacing w:val="0"/>
          <w:sz w:val="20"/>
          <w:rtl/>
        </w:rPr>
        <w:t xml:space="preserve">اتخاذ </w:t>
      </w:r>
      <w:r w:rsidR="004E0A37" w:rsidRPr="004E0A37">
        <w:rPr>
          <w:spacing w:val="0"/>
          <w:sz w:val="20"/>
          <w:rtl/>
        </w:rPr>
        <w:t>أي إجراء قضائي بشأنها. كما تشعر اللجنة بالقلق إزاء التقارير التي تشير إلى الاكتظاظ الشديد والأوضاع الرديئة من حيث النظافة الصحية والصرف الصحي وسوء التغذية وعدم كفاية المساعدة الطبية والنفسية وافتقار المقيمين في المخيمات إلى حرية التنقل خلال المراحل النهائية من الحرب وبعدها (المواد 2 و11 و16).</w:t>
      </w:r>
    </w:p>
    <w:p w:rsidR="004E0A37" w:rsidRPr="00D85A41" w:rsidRDefault="004E0A37" w:rsidP="00D85A41">
      <w:pPr>
        <w:pStyle w:val="SingleTxtGA"/>
        <w:spacing w:line="360" w:lineRule="exact"/>
        <w:jc w:val="lowKashida"/>
        <w:rPr>
          <w:b/>
          <w:bCs/>
          <w:spacing w:val="0"/>
          <w:sz w:val="20"/>
          <w:rtl/>
        </w:rPr>
      </w:pPr>
      <w:r w:rsidRPr="00D85A41">
        <w:rPr>
          <w:rFonts w:hint="cs"/>
          <w:b/>
          <w:bCs/>
          <w:spacing w:val="0"/>
          <w:sz w:val="20"/>
          <w:rtl/>
        </w:rPr>
        <w:tab/>
      </w:r>
      <w:r w:rsidRPr="00D85A41">
        <w:rPr>
          <w:b/>
          <w:bCs/>
          <w:spacing w:val="0"/>
          <w:sz w:val="20"/>
          <w:rtl/>
        </w:rPr>
        <w:t>ينبغي للدولة الطرف:</w:t>
      </w:r>
    </w:p>
    <w:p w:rsidR="004E0A37" w:rsidRPr="00D85A41" w:rsidRDefault="004E0A37" w:rsidP="00D85A41">
      <w:pPr>
        <w:pStyle w:val="SingleTxtGA"/>
        <w:spacing w:line="360" w:lineRule="exact"/>
        <w:jc w:val="lowKashida"/>
        <w:rPr>
          <w:b/>
          <w:bCs/>
          <w:spacing w:val="0"/>
          <w:sz w:val="20"/>
          <w:rtl/>
        </w:rPr>
      </w:pPr>
      <w:r w:rsidRPr="00D85A41">
        <w:rPr>
          <w:rFonts w:hint="cs"/>
          <w:b/>
          <w:bCs/>
          <w:spacing w:val="0"/>
          <w:sz w:val="20"/>
          <w:rtl/>
        </w:rPr>
        <w:tab/>
      </w:r>
      <w:r w:rsidRPr="00D85A41">
        <w:rPr>
          <w:b/>
          <w:bCs/>
          <w:spacing w:val="0"/>
          <w:sz w:val="20"/>
          <w:rtl/>
        </w:rPr>
        <w:t>(‌أ)</w:t>
      </w:r>
      <w:r w:rsidRPr="00D85A41">
        <w:rPr>
          <w:b/>
          <w:bCs/>
          <w:spacing w:val="0"/>
          <w:sz w:val="20"/>
          <w:rtl/>
        </w:rPr>
        <w:tab/>
        <w:t>اعتماد التدابير اللازمة لكي تكفل للأشخاص المشردين داخلياً السلامة البدنية وتلبي</w:t>
      </w:r>
      <w:r w:rsidRPr="00D85A41">
        <w:rPr>
          <w:rFonts w:hint="cs"/>
          <w:b/>
          <w:bCs/>
          <w:spacing w:val="0"/>
          <w:sz w:val="20"/>
          <w:rtl/>
        </w:rPr>
        <w:t> </w:t>
      </w:r>
      <w:r w:rsidRPr="00D85A41">
        <w:rPr>
          <w:b/>
          <w:bCs/>
          <w:spacing w:val="0"/>
          <w:sz w:val="20"/>
          <w:rtl/>
        </w:rPr>
        <w:t>احتياجاتهم الخاصة،</w:t>
      </w:r>
      <w:r w:rsidR="00B345DB" w:rsidRPr="00D85A41">
        <w:rPr>
          <w:b/>
          <w:bCs/>
          <w:spacing w:val="0"/>
          <w:sz w:val="20"/>
          <w:rtl/>
        </w:rPr>
        <w:t xml:space="preserve"> وفقاً </w:t>
      </w:r>
      <w:r w:rsidRPr="00D85A41">
        <w:rPr>
          <w:b/>
          <w:bCs/>
          <w:spacing w:val="0"/>
          <w:sz w:val="20"/>
          <w:rtl/>
        </w:rPr>
        <w:t xml:space="preserve">للمبادئ التوجيهية </w:t>
      </w:r>
      <w:r w:rsidRPr="00D85A41">
        <w:rPr>
          <w:rFonts w:hint="cs"/>
          <w:b/>
          <w:bCs/>
          <w:spacing w:val="0"/>
          <w:sz w:val="20"/>
          <w:rtl/>
        </w:rPr>
        <w:t xml:space="preserve">المتعلقة بالتشرد </w:t>
      </w:r>
      <w:r w:rsidRPr="00D85A41">
        <w:rPr>
          <w:b/>
          <w:bCs/>
          <w:spacing w:val="0"/>
          <w:sz w:val="20"/>
          <w:rtl/>
        </w:rPr>
        <w:t>الداخلي (</w:t>
      </w:r>
      <w:r w:rsidRPr="00D85A41">
        <w:rPr>
          <w:b/>
          <w:bCs/>
          <w:spacing w:val="0"/>
          <w:sz w:val="20"/>
        </w:rPr>
        <w:t>E/CN.4/1998/53/Add.2</w:t>
      </w:r>
      <w:r w:rsidRPr="00D85A41">
        <w:rPr>
          <w:b/>
          <w:bCs/>
          <w:spacing w:val="0"/>
          <w:sz w:val="20"/>
          <w:rtl/>
        </w:rPr>
        <w:t>)، بما في ذلك ما يحتاجون إليه من رعاية طبية وعناية نفسية؛</w:t>
      </w:r>
    </w:p>
    <w:p w:rsidR="004E0A37" w:rsidRPr="00D85A41" w:rsidRDefault="004E0A37" w:rsidP="00D85A41">
      <w:pPr>
        <w:pStyle w:val="SingleTxtGA"/>
        <w:spacing w:line="360" w:lineRule="exact"/>
        <w:jc w:val="lowKashida"/>
        <w:rPr>
          <w:b/>
          <w:bCs/>
          <w:spacing w:val="0"/>
          <w:sz w:val="20"/>
          <w:rtl/>
        </w:rPr>
      </w:pPr>
      <w:r w:rsidRPr="00D85A41">
        <w:rPr>
          <w:rFonts w:hint="cs"/>
          <w:b/>
          <w:bCs/>
          <w:spacing w:val="0"/>
          <w:sz w:val="20"/>
          <w:rtl/>
        </w:rPr>
        <w:tab/>
      </w:r>
      <w:r w:rsidRPr="00D85A41">
        <w:rPr>
          <w:b/>
          <w:bCs/>
          <w:spacing w:val="0"/>
          <w:sz w:val="20"/>
          <w:rtl/>
        </w:rPr>
        <w:t>(‌ب)</w:t>
      </w:r>
      <w:r w:rsidRPr="00D85A41">
        <w:rPr>
          <w:b/>
          <w:bCs/>
          <w:spacing w:val="0"/>
          <w:sz w:val="20"/>
          <w:rtl/>
        </w:rPr>
        <w:tab/>
        <w:t xml:space="preserve">ضمان إجراء تحقيقات في </w:t>
      </w:r>
      <w:r w:rsidRPr="00D85A41">
        <w:rPr>
          <w:rFonts w:hint="cs"/>
          <w:b/>
          <w:bCs/>
          <w:spacing w:val="0"/>
          <w:sz w:val="20"/>
          <w:rtl/>
        </w:rPr>
        <w:t>حالات ال</w:t>
      </w:r>
      <w:r w:rsidRPr="00D85A41">
        <w:rPr>
          <w:b/>
          <w:bCs/>
          <w:spacing w:val="0"/>
          <w:sz w:val="20"/>
          <w:rtl/>
        </w:rPr>
        <w:t>تعذيب</w:t>
      </w:r>
      <w:r w:rsidRPr="00D85A41">
        <w:rPr>
          <w:rFonts w:hint="cs"/>
          <w:b/>
          <w:bCs/>
          <w:spacing w:val="0"/>
          <w:sz w:val="20"/>
          <w:rtl/>
        </w:rPr>
        <w:t xml:space="preserve"> المزعومة</w:t>
      </w:r>
      <w:r w:rsidRPr="00D85A41">
        <w:rPr>
          <w:b/>
          <w:bCs/>
          <w:spacing w:val="0"/>
          <w:sz w:val="20"/>
          <w:rtl/>
        </w:rPr>
        <w:t xml:space="preserve">، بما في ذلك </w:t>
      </w:r>
      <w:r w:rsidRPr="00D85A41">
        <w:rPr>
          <w:rFonts w:hint="cs"/>
          <w:b/>
          <w:bCs/>
          <w:spacing w:val="0"/>
          <w:sz w:val="20"/>
          <w:rtl/>
        </w:rPr>
        <w:t xml:space="preserve">حالات </w:t>
      </w:r>
      <w:r w:rsidRPr="00D85A41">
        <w:rPr>
          <w:b/>
          <w:bCs/>
          <w:spacing w:val="0"/>
          <w:sz w:val="20"/>
          <w:rtl/>
        </w:rPr>
        <w:t xml:space="preserve">العنف الجنسي، </w:t>
      </w:r>
      <w:r w:rsidRPr="00D85A41">
        <w:rPr>
          <w:rFonts w:hint="cs"/>
          <w:b/>
          <w:bCs/>
          <w:spacing w:val="0"/>
          <w:sz w:val="20"/>
          <w:rtl/>
        </w:rPr>
        <w:t xml:space="preserve">التي تعرض لها المقيمون </w:t>
      </w:r>
      <w:r w:rsidRPr="00D85A41">
        <w:rPr>
          <w:b/>
          <w:bCs/>
          <w:spacing w:val="0"/>
          <w:sz w:val="20"/>
          <w:rtl/>
        </w:rPr>
        <w:t>في المخيمات، و</w:t>
      </w:r>
      <w:r w:rsidRPr="00D85A41">
        <w:rPr>
          <w:rFonts w:hint="cs"/>
          <w:b/>
          <w:bCs/>
          <w:spacing w:val="0"/>
          <w:sz w:val="20"/>
          <w:rtl/>
        </w:rPr>
        <w:t xml:space="preserve">تقديم مرتكبي </w:t>
      </w:r>
      <w:r w:rsidRPr="00D85A41">
        <w:rPr>
          <w:b/>
          <w:bCs/>
          <w:spacing w:val="0"/>
          <w:sz w:val="20"/>
          <w:rtl/>
        </w:rPr>
        <w:t>هذه الأفعال أمام المحاكم؛</w:t>
      </w:r>
    </w:p>
    <w:p w:rsidR="004E0A37" w:rsidRPr="00D85A41" w:rsidRDefault="004E0A37" w:rsidP="00D85A41">
      <w:pPr>
        <w:pStyle w:val="SingleTxtGA"/>
        <w:spacing w:line="360" w:lineRule="exact"/>
        <w:jc w:val="lowKashida"/>
        <w:rPr>
          <w:rFonts w:hint="cs"/>
          <w:b/>
          <w:bCs/>
          <w:spacing w:val="0"/>
          <w:sz w:val="20"/>
          <w:rtl/>
        </w:rPr>
      </w:pPr>
      <w:r w:rsidRPr="00D85A41">
        <w:rPr>
          <w:rFonts w:hint="cs"/>
          <w:b/>
          <w:bCs/>
          <w:spacing w:val="0"/>
          <w:sz w:val="20"/>
          <w:rtl/>
        </w:rPr>
        <w:tab/>
      </w:r>
      <w:r w:rsidRPr="00D85A41">
        <w:rPr>
          <w:b/>
          <w:bCs/>
          <w:spacing w:val="0"/>
          <w:sz w:val="20"/>
          <w:rtl/>
        </w:rPr>
        <w:t>(‌ج)</w:t>
      </w:r>
      <w:r w:rsidRPr="00D85A41">
        <w:rPr>
          <w:b/>
          <w:bCs/>
          <w:spacing w:val="0"/>
          <w:sz w:val="20"/>
          <w:rtl/>
        </w:rPr>
        <w:tab/>
        <w:t xml:space="preserve">تقديم برامج التدريب الإلزامي </w:t>
      </w:r>
      <w:r w:rsidRPr="00D85A41">
        <w:rPr>
          <w:rFonts w:hint="cs"/>
          <w:b/>
          <w:bCs/>
          <w:spacing w:val="0"/>
          <w:sz w:val="20"/>
          <w:rtl/>
        </w:rPr>
        <w:t xml:space="preserve">أثناء الخدمة </w:t>
      </w:r>
      <w:r w:rsidRPr="00D85A41">
        <w:rPr>
          <w:b/>
          <w:bCs/>
          <w:spacing w:val="0"/>
          <w:sz w:val="20"/>
          <w:rtl/>
        </w:rPr>
        <w:t>في مجالات حقوق الإنسان والتشرد الداخلي والعنف القائم على نوع الجنس، لصالح أفراد الجيش والموظفين المكلفين بإنفاذ القانون العاملين في المخيمات</w:t>
      </w:r>
      <w:r w:rsidRPr="00D85A41">
        <w:rPr>
          <w:rFonts w:hint="cs"/>
          <w:b/>
          <w:bCs/>
          <w:spacing w:val="0"/>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عملية المساءلة واللجنة المعنية بالدروس المستفادة والمصالحة</w:t>
      </w:r>
    </w:p>
    <w:p w:rsidR="004E0A37" w:rsidRPr="00043F1D" w:rsidRDefault="00BE7198" w:rsidP="00043F1D">
      <w:pPr>
        <w:pStyle w:val="SingleTxtGA"/>
        <w:spacing w:line="370" w:lineRule="exact"/>
        <w:jc w:val="lowKashida"/>
        <w:rPr>
          <w:spacing w:val="-2"/>
          <w:kern w:val="0"/>
          <w:sz w:val="20"/>
          <w:rtl/>
        </w:rPr>
      </w:pPr>
      <w:r w:rsidRPr="00043F1D">
        <w:rPr>
          <w:rFonts w:hint="cs"/>
          <w:spacing w:val="-2"/>
          <w:kern w:val="0"/>
          <w:sz w:val="20"/>
          <w:rtl/>
        </w:rPr>
        <w:t>(</w:t>
      </w:r>
      <w:r w:rsidR="004E0A37" w:rsidRPr="00043F1D">
        <w:rPr>
          <w:spacing w:val="-2"/>
          <w:kern w:val="0"/>
          <w:sz w:val="20"/>
          <w:rtl/>
        </w:rPr>
        <w:t>21</w:t>
      </w:r>
      <w:r w:rsidR="003E72B5" w:rsidRPr="00043F1D">
        <w:rPr>
          <w:spacing w:val="-2"/>
          <w:kern w:val="0"/>
          <w:sz w:val="20"/>
          <w:rtl/>
        </w:rPr>
        <w:t>)</w:t>
      </w:r>
      <w:r w:rsidR="003E72B5" w:rsidRPr="00043F1D">
        <w:rPr>
          <w:spacing w:val="-2"/>
          <w:kern w:val="0"/>
          <w:sz w:val="20"/>
          <w:rtl/>
        </w:rPr>
        <w:tab/>
      </w:r>
      <w:r w:rsidR="004E0A37" w:rsidRPr="00043F1D">
        <w:rPr>
          <w:spacing w:val="-2"/>
          <w:kern w:val="0"/>
          <w:sz w:val="20"/>
          <w:rtl/>
        </w:rPr>
        <w:t xml:space="preserve">تلاحظ اللجنة أن هناك عدداً من لجان التحقيق المخصصة للتحري بشأن انتهاكات حقوق الإنسان التي وقعت في الماضي، ومنها </w:t>
      </w:r>
      <w:r w:rsidR="004E0A37" w:rsidRPr="00043F1D">
        <w:rPr>
          <w:rFonts w:hint="cs"/>
          <w:spacing w:val="-2"/>
          <w:kern w:val="0"/>
          <w:sz w:val="20"/>
          <w:rtl/>
        </w:rPr>
        <w:t>ال</w:t>
      </w:r>
      <w:r w:rsidR="004E0A37" w:rsidRPr="00043F1D">
        <w:rPr>
          <w:spacing w:val="-2"/>
          <w:kern w:val="0"/>
          <w:sz w:val="20"/>
          <w:rtl/>
        </w:rPr>
        <w:t>لجنة الرئاسية المعنية بالتحقيق في الحالات الخطيرة لانتهاكات حقوق الإنسان التي حدثت منذ 1 آب/أغسطس 2005، لكنها</w:t>
      </w:r>
      <w:r w:rsidR="00335AC0" w:rsidRPr="00043F1D">
        <w:rPr>
          <w:spacing w:val="-2"/>
          <w:kern w:val="0"/>
          <w:sz w:val="20"/>
          <w:rtl/>
        </w:rPr>
        <w:t xml:space="preserve"> لم </w:t>
      </w:r>
      <w:r w:rsidR="004E0A37" w:rsidRPr="00043F1D">
        <w:rPr>
          <w:spacing w:val="-2"/>
          <w:kern w:val="0"/>
          <w:sz w:val="20"/>
          <w:rtl/>
        </w:rPr>
        <w:t xml:space="preserve">تستجب للمعايير الدولية </w:t>
      </w:r>
      <w:r w:rsidR="00F96B1E" w:rsidRPr="00043F1D">
        <w:rPr>
          <w:spacing w:val="-2"/>
          <w:kern w:val="0"/>
          <w:sz w:val="20"/>
          <w:rtl/>
        </w:rPr>
        <w:t>فيما </w:t>
      </w:r>
      <w:r w:rsidR="004E0A37" w:rsidRPr="00043F1D">
        <w:rPr>
          <w:spacing w:val="-2"/>
          <w:kern w:val="0"/>
          <w:sz w:val="20"/>
          <w:rtl/>
        </w:rPr>
        <w:t>يتعلق بالاستقلالية وحماية الشهود والضحايا والشفافية حسب</w:t>
      </w:r>
      <w:r w:rsidR="004E0A37" w:rsidRPr="00043F1D">
        <w:rPr>
          <w:rFonts w:hint="cs"/>
          <w:spacing w:val="-2"/>
          <w:kern w:val="0"/>
          <w:sz w:val="20"/>
          <w:rtl/>
        </w:rPr>
        <w:t>ما أفاد به</w:t>
      </w:r>
      <w:r w:rsidR="004E0A37" w:rsidRPr="00043F1D">
        <w:rPr>
          <w:spacing w:val="-2"/>
          <w:kern w:val="0"/>
          <w:sz w:val="20"/>
          <w:rtl/>
        </w:rPr>
        <w:t xml:space="preserve"> الفريق المستقل الدولي للشخصيات البارزة. وتحيط اللجنة</w:t>
      </w:r>
      <w:r w:rsidR="003833F8" w:rsidRPr="00043F1D">
        <w:rPr>
          <w:spacing w:val="-2"/>
          <w:kern w:val="0"/>
          <w:sz w:val="20"/>
          <w:rtl/>
        </w:rPr>
        <w:t xml:space="preserve"> علماً </w:t>
      </w:r>
      <w:r w:rsidR="004E0A37" w:rsidRPr="00043F1D">
        <w:rPr>
          <w:spacing w:val="-2"/>
          <w:kern w:val="0"/>
          <w:sz w:val="20"/>
          <w:rtl/>
        </w:rPr>
        <w:t>بالمعلومات المتعلقة بولاية وتشك</w:t>
      </w:r>
      <w:r w:rsidR="004E0A37" w:rsidRPr="00043F1D">
        <w:rPr>
          <w:rFonts w:hint="cs"/>
          <w:spacing w:val="-2"/>
          <w:kern w:val="0"/>
          <w:sz w:val="20"/>
          <w:rtl/>
        </w:rPr>
        <w:t>ي</w:t>
      </w:r>
      <w:r w:rsidR="004E0A37" w:rsidRPr="00043F1D">
        <w:rPr>
          <w:spacing w:val="-2"/>
          <w:kern w:val="0"/>
          <w:sz w:val="20"/>
          <w:rtl/>
        </w:rPr>
        <w:t>لة وأساليب عمل اللجنة المعنية بالدروس المستفادة والمصالحة واللجنة الاستشارية المشتركة بين الوكالات، اللتين أنشئتا في أيار/مايو وأيلول/سبتمبر 2010 على التوالي. وتحيط اللجنة</w:t>
      </w:r>
      <w:r w:rsidR="003833F8" w:rsidRPr="00043F1D">
        <w:rPr>
          <w:spacing w:val="-2"/>
          <w:kern w:val="0"/>
          <w:sz w:val="20"/>
          <w:rtl/>
        </w:rPr>
        <w:t xml:space="preserve"> علماً </w:t>
      </w:r>
      <w:r w:rsidR="004E0A37" w:rsidRPr="00043F1D">
        <w:rPr>
          <w:spacing w:val="-2"/>
          <w:kern w:val="0"/>
          <w:sz w:val="20"/>
          <w:rtl/>
        </w:rPr>
        <w:t>بتأكيدات وفد الدولة الطرف أن للجنة الاستشارية المشتركة بين الوكالات صلاحية توجيه الشكاوى الواردة</w:t>
      </w:r>
      <w:r w:rsidR="004E0A37" w:rsidRPr="00043F1D">
        <w:rPr>
          <w:rFonts w:hint="cs"/>
          <w:spacing w:val="-2"/>
          <w:kern w:val="0"/>
          <w:sz w:val="20"/>
          <w:rtl/>
        </w:rPr>
        <w:t xml:space="preserve"> إليها</w:t>
      </w:r>
      <w:r w:rsidR="004E0A37" w:rsidRPr="00043F1D">
        <w:rPr>
          <w:spacing w:val="-2"/>
          <w:kern w:val="0"/>
          <w:sz w:val="20"/>
          <w:rtl/>
        </w:rPr>
        <w:t xml:space="preserve"> "مع إمكانية مباشرة تحقيق فوري واتخاذ</w:t>
      </w:r>
      <w:r w:rsidR="004E0A37" w:rsidRPr="004E0A37">
        <w:rPr>
          <w:spacing w:val="0"/>
          <w:sz w:val="20"/>
          <w:rtl/>
        </w:rPr>
        <w:t xml:space="preserve"> </w:t>
      </w:r>
      <w:r w:rsidR="004E0A37" w:rsidRPr="00043F1D">
        <w:rPr>
          <w:spacing w:val="-2"/>
          <w:kern w:val="0"/>
          <w:sz w:val="20"/>
          <w:rtl/>
        </w:rPr>
        <w:t xml:space="preserve">إجراءات لجبر الضرر"، وأن للنائب العام "صلاحية الشروع في إجراءات جنائية بالاستناد إلى المعلومات المجمَّعة خلال مسار التوصيات الصادرة عن اللجنة الاستشارية المشتركة بين الوكالات". </w:t>
      </w:r>
      <w:r w:rsidR="004E0A37" w:rsidRPr="00043F1D">
        <w:rPr>
          <w:rFonts w:hint="cs"/>
          <w:spacing w:val="-2"/>
          <w:kern w:val="0"/>
          <w:sz w:val="20"/>
          <w:rtl/>
        </w:rPr>
        <w:t>على أن</w:t>
      </w:r>
      <w:r w:rsidR="004E0A37" w:rsidRPr="00043F1D">
        <w:rPr>
          <w:spacing w:val="-2"/>
          <w:kern w:val="0"/>
          <w:sz w:val="20"/>
          <w:rtl/>
        </w:rPr>
        <w:t xml:space="preserve"> اللجنة تأسف </w:t>
      </w:r>
      <w:r w:rsidR="004E0A37" w:rsidRPr="00043F1D">
        <w:rPr>
          <w:rFonts w:hint="cs"/>
          <w:spacing w:val="-2"/>
          <w:kern w:val="0"/>
          <w:sz w:val="20"/>
          <w:rtl/>
        </w:rPr>
        <w:t>للتقيد ال</w:t>
      </w:r>
      <w:r w:rsidR="004E0A37" w:rsidRPr="00043F1D">
        <w:rPr>
          <w:spacing w:val="-2"/>
          <w:kern w:val="0"/>
          <w:sz w:val="20"/>
          <w:rtl/>
        </w:rPr>
        <w:t xml:space="preserve">واضح </w:t>
      </w:r>
      <w:r w:rsidR="004E0A37" w:rsidRPr="00043F1D">
        <w:rPr>
          <w:rFonts w:hint="cs"/>
          <w:spacing w:val="-2"/>
          <w:kern w:val="0"/>
          <w:sz w:val="20"/>
          <w:rtl/>
        </w:rPr>
        <w:t xml:space="preserve">لولاية </w:t>
      </w:r>
      <w:r w:rsidR="004E0A37" w:rsidRPr="00043F1D">
        <w:rPr>
          <w:spacing w:val="-2"/>
          <w:kern w:val="0"/>
          <w:sz w:val="20"/>
          <w:rtl/>
        </w:rPr>
        <w:t xml:space="preserve">اللجنة الاستشارية المشتركة بين الوكالات وافتقارها </w:t>
      </w:r>
      <w:r w:rsidR="004E0A37" w:rsidRPr="00043F1D">
        <w:rPr>
          <w:rFonts w:hint="cs"/>
          <w:spacing w:val="-2"/>
          <w:kern w:val="0"/>
          <w:sz w:val="20"/>
          <w:rtl/>
        </w:rPr>
        <w:t xml:space="preserve">المزعوم </w:t>
      </w:r>
      <w:r w:rsidR="004E0A37" w:rsidRPr="00043F1D">
        <w:rPr>
          <w:spacing w:val="-2"/>
          <w:kern w:val="0"/>
          <w:sz w:val="20"/>
          <w:rtl/>
        </w:rPr>
        <w:t>إلى الاستقلالية. كما تأسف لقلة المعلومات المقدمة من الدولة الطرف عن التحقيقات التي جرت بشأن ا</w:t>
      </w:r>
      <w:r w:rsidR="004E0A37" w:rsidRPr="00043F1D">
        <w:rPr>
          <w:rFonts w:hint="cs"/>
          <w:spacing w:val="-2"/>
          <w:kern w:val="0"/>
          <w:sz w:val="20"/>
          <w:rtl/>
        </w:rPr>
        <w:t>لا</w:t>
      </w:r>
      <w:r w:rsidR="004E0A37" w:rsidRPr="00043F1D">
        <w:rPr>
          <w:spacing w:val="-2"/>
          <w:kern w:val="0"/>
          <w:sz w:val="20"/>
          <w:rtl/>
        </w:rPr>
        <w:t xml:space="preserve">دعاءات </w:t>
      </w:r>
      <w:r w:rsidR="004E0A37" w:rsidRPr="00043F1D">
        <w:rPr>
          <w:rFonts w:hint="cs"/>
          <w:spacing w:val="-2"/>
          <w:kern w:val="0"/>
          <w:sz w:val="20"/>
          <w:rtl/>
        </w:rPr>
        <w:t>ب</w:t>
      </w:r>
      <w:r w:rsidR="004E0A37" w:rsidRPr="00043F1D">
        <w:rPr>
          <w:spacing w:val="-2"/>
          <w:kern w:val="0"/>
          <w:sz w:val="20"/>
          <w:rtl/>
        </w:rPr>
        <w:t>وقوع انتهاكات خطيرة للقانون الدولي لحقوق الإنسان، من قبيل التعذيب، بما في</w:t>
      </w:r>
      <w:r w:rsidR="004E0A37" w:rsidRPr="00043F1D">
        <w:rPr>
          <w:rFonts w:hint="cs"/>
          <w:spacing w:val="-2"/>
          <w:kern w:val="0"/>
          <w:sz w:val="20"/>
          <w:rtl/>
        </w:rPr>
        <w:t xml:space="preserve"> ذلك</w:t>
      </w:r>
      <w:r w:rsidR="004E0A37" w:rsidRPr="00043F1D">
        <w:rPr>
          <w:spacing w:val="-2"/>
          <w:kern w:val="0"/>
          <w:sz w:val="20"/>
          <w:rtl/>
        </w:rPr>
        <w:t xml:space="preserve"> الاغتصاب وحالات الاختفاء القسري، و</w:t>
      </w:r>
      <w:r w:rsidR="004E0A37" w:rsidRPr="00043F1D">
        <w:rPr>
          <w:rFonts w:hint="cs"/>
          <w:spacing w:val="-2"/>
          <w:kern w:val="0"/>
          <w:sz w:val="20"/>
          <w:rtl/>
        </w:rPr>
        <w:t>ما</w:t>
      </w:r>
      <w:r w:rsidR="004E0A37" w:rsidRPr="00043F1D">
        <w:rPr>
          <w:rFonts w:hint="eastAsia"/>
          <w:spacing w:val="-2"/>
          <w:kern w:val="0"/>
          <w:sz w:val="20"/>
          <w:rtl/>
        </w:rPr>
        <w:t> </w:t>
      </w:r>
      <w:r w:rsidR="004E0A37" w:rsidRPr="00043F1D">
        <w:rPr>
          <w:rFonts w:hint="cs"/>
          <w:spacing w:val="-2"/>
          <w:kern w:val="0"/>
          <w:sz w:val="20"/>
          <w:rtl/>
        </w:rPr>
        <w:t xml:space="preserve">إلى ذلك </w:t>
      </w:r>
      <w:r w:rsidR="004E0A37" w:rsidRPr="00043F1D">
        <w:rPr>
          <w:spacing w:val="-2"/>
          <w:kern w:val="0"/>
          <w:sz w:val="20"/>
          <w:rtl/>
        </w:rPr>
        <w:t>من ضروب سوء المعاملة التي زُعم وقوعها خلال المراحل الأخيرة من النزاع وفي مرحلة ما بعد النزاع، مثلما أفادت بذلك عدة مصادر، بما فيها المقرر الخاص المعني بمسألة التعذيب، والمقرر الخاص المعني بحالات الإعدام خارج القضاء أو بإجراءات موجزة أو تعسفاً، وفريق الخبراء الاستشاري التابع للأمين العام والمعني بالمساءلة في سري لانكا. وتلاحظ اللجنة أن الدولة الطرف تؤكد أن "اللجنة الاستشارية المشتركة بين الوكالات قد أحاطت</w:t>
      </w:r>
      <w:r w:rsidR="003833F8" w:rsidRPr="00043F1D">
        <w:rPr>
          <w:spacing w:val="-2"/>
          <w:kern w:val="0"/>
          <w:sz w:val="20"/>
          <w:rtl/>
        </w:rPr>
        <w:t xml:space="preserve"> علماً </w:t>
      </w:r>
      <w:r w:rsidR="004E0A37" w:rsidRPr="00043F1D">
        <w:rPr>
          <w:spacing w:val="-2"/>
          <w:kern w:val="0"/>
          <w:sz w:val="20"/>
          <w:rtl/>
        </w:rPr>
        <w:t>بجميع الادعاءات"، لكنها تأسف لأنها</w:t>
      </w:r>
      <w:r w:rsidR="00335AC0" w:rsidRPr="00043F1D">
        <w:rPr>
          <w:spacing w:val="-2"/>
          <w:kern w:val="0"/>
          <w:sz w:val="20"/>
          <w:rtl/>
        </w:rPr>
        <w:t xml:space="preserve"> لم </w:t>
      </w:r>
      <w:r w:rsidR="004E0A37" w:rsidRPr="00043F1D">
        <w:rPr>
          <w:spacing w:val="-2"/>
          <w:kern w:val="0"/>
          <w:sz w:val="20"/>
          <w:rtl/>
        </w:rPr>
        <w:t>تتلق أي معلومات بهذا الشأن. وتحيط اللجنة</w:t>
      </w:r>
      <w:r w:rsidR="003833F8" w:rsidRPr="00043F1D">
        <w:rPr>
          <w:spacing w:val="-2"/>
          <w:kern w:val="0"/>
          <w:sz w:val="20"/>
          <w:rtl/>
        </w:rPr>
        <w:t xml:space="preserve"> علماً </w:t>
      </w:r>
      <w:r w:rsidR="004E0A37" w:rsidRPr="00043F1D">
        <w:rPr>
          <w:spacing w:val="-2"/>
          <w:kern w:val="0"/>
          <w:sz w:val="20"/>
          <w:rtl/>
        </w:rPr>
        <w:t>بأن الدولة الطرف "(...) ستنتظر صدور تقرير اللجنة الاستشارية المشتركة بين الوكالات قبل أن تنظر في أي إجراءات أخرى" وأنها "ستقدم رداً شاملا</w:t>
      </w:r>
      <w:r w:rsidR="004E0A37" w:rsidRPr="00043F1D">
        <w:rPr>
          <w:rFonts w:hint="cs"/>
          <w:spacing w:val="-2"/>
          <w:kern w:val="0"/>
          <w:sz w:val="20"/>
          <w:rtl/>
        </w:rPr>
        <w:t>ً</w:t>
      </w:r>
      <w:r w:rsidR="004E0A37" w:rsidRPr="00043F1D">
        <w:rPr>
          <w:spacing w:val="-2"/>
          <w:kern w:val="0"/>
          <w:sz w:val="20"/>
          <w:rtl/>
        </w:rPr>
        <w:t>" إلى اللجنة بشأن استحداث برامج لمساعدة ضحايا أفعال التعذيب وسوء المعاملة التي وقعت خلال فترة النزاع المسلح "بمجرد استكمال تقرير اللجنة الاستشارية المشتركة بين الوكالات ونشره" (المواد 2 و12 و13 و14 و16).</w:t>
      </w:r>
    </w:p>
    <w:p w:rsidR="004E0A37" w:rsidRPr="00043F1D" w:rsidRDefault="004E0A37" w:rsidP="00043F1D">
      <w:pPr>
        <w:pStyle w:val="SingleTxtGA"/>
        <w:spacing w:line="370" w:lineRule="exact"/>
        <w:jc w:val="lowKashida"/>
        <w:rPr>
          <w:b/>
          <w:bCs/>
          <w:spacing w:val="0"/>
          <w:kern w:val="0"/>
          <w:sz w:val="20"/>
          <w:rtl/>
        </w:rPr>
      </w:pPr>
      <w:r w:rsidRPr="00043F1D">
        <w:rPr>
          <w:rFonts w:hint="cs"/>
          <w:b/>
          <w:bCs/>
          <w:spacing w:val="0"/>
          <w:kern w:val="0"/>
          <w:sz w:val="20"/>
          <w:rtl/>
        </w:rPr>
        <w:tab/>
      </w:r>
      <w:r w:rsidRPr="00043F1D">
        <w:rPr>
          <w:b/>
          <w:bCs/>
          <w:spacing w:val="0"/>
          <w:kern w:val="0"/>
          <w:sz w:val="20"/>
          <w:rtl/>
        </w:rPr>
        <w:t xml:space="preserve">عملاً بمبادرة اللجنة الاستشارية المشتركة بين الوكالات، ينبغي للدولة الطرف الشروع على وجه السرعة في إجراء تحقيقات نزيهة </w:t>
      </w:r>
      <w:r w:rsidRPr="00043F1D">
        <w:rPr>
          <w:rFonts w:hint="cs"/>
          <w:b/>
          <w:bCs/>
          <w:spacing w:val="0"/>
          <w:kern w:val="0"/>
          <w:sz w:val="20"/>
          <w:rtl/>
        </w:rPr>
        <w:t>و</w:t>
      </w:r>
      <w:r w:rsidRPr="00043F1D">
        <w:rPr>
          <w:b/>
          <w:bCs/>
          <w:spacing w:val="0"/>
          <w:kern w:val="0"/>
          <w:sz w:val="20"/>
          <w:rtl/>
        </w:rPr>
        <w:t>فعالة في جميع الادعاءات المتعلقة بوقوع</w:t>
      </w:r>
      <w:r w:rsidR="00043F1D" w:rsidRPr="00043F1D">
        <w:rPr>
          <w:rFonts w:hint="cs"/>
          <w:b/>
          <w:bCs/>
          <w:spacing w:val="0"/>
          <w:kern w:val="0"/>
          <w:sz w:val="20"/>
          <w:rtl/>
        </w:rPr>
        <w:t xml:space="preserve"> </w:t>
      </w:r>
      <w:r w:rsidRPr="00043F1D">
        <w:rPr>
          <w:b/>
          <w:bCs/>
          <w:spacing w:val="0"/>
          <w:kern w:val="0"/>
          <w:sz w:val="20"/>
          <w:rtl/>
        </w:rPr>
        <w:t>انتهاكات للاتفاقية، بما فيها التعذيب والاغتصاب والاختفاء القسري وأشكال أخرى من سوء المعاملة، خلال المراحل الأخيرة من النزاع وفي مرحلة ما بعد النزاع، من</w:t>
      </w:r>
      <w:r w:rsidR="00043F1D">
        <w:rPr>
          <w:rFonts w:hint="eastAsia"/>
          <w:b/>
          <w:bCs/>
          <w:spacing w:val="0"/>
          <w:kern w:val="0"/>
          <w:sz w:val="20"/>
          <w:rtl/>
        </w:rPr>
        <w:t> </w:t>
      </w:r>
      <w:r w:rsidRPr="00043F1D">
        <w:rPr>
          <w:b/>
          <w:bCs/>
          <w:spacing w:val="0"/>
          <w:kern w:val="0"/>
          <w:sz w:val="20"/>
          <w:rtl/>
        </w:rPr>
        <w:t>أجل مساءلة الأشخاص المسؤولين عنها وتقديم سبل انتصاف فعالة لضحايا هذه</w:t>
      </w:r>
      <w:r w:rsidR="00043F1D">
        <w:rPr>
          <w:rFonts w:hint="cs"/>
          <w:b/>
          <w:bCs/>
          <w:spacing w:val="0"/>
          <w:kern w:val="0"/>
          <w:sz w:val="20"/>
          <w:rtl/>
        </w:rPr>
        <w:t> </w:t>
      </w:r>
      <w:r w:rsidRPr="00043F1D">
        <w:rPr>
          <w:b/>
          <w:bCs/>
          <w:spacing w:val="0"/>
          <w:kern w:val="0"/>
          <w:sz w:val="20"/>
          <w:rtl/>
        </w:rPr>
        <w:t>الانتهاكات.</w:t>
      </w:r>
    </w:p>
    <w:p w:rsidR="004E0A37" w:rsidRPr="00D85A41" w:rsidRDefault="004E0A37" w:rsidP="00043F1D">
      <w:pPr>
        <w:pStyle w:val="SingleTxtGA"/>
        <w:spacing w:line="370" w:lineRule="exact"/>
        <w:jc w:val="lowKashida"/>
        <w:rPr>
          <w:rFonts w:hint="cs"/>
          <w:b/>
          <w:bCs/>
          <w:spacing w:val="0"/>
          <w:sz w:val="20"/>
          <w:rtl/>
        </w:rPr>
      </w:pPr>
      <w:r w:rsidRPr="00D85A41">
        <w:rPr>
          <w:rFonts w:hint="cs"/>
          <w:b/>
          <w:bCs/>
          <w:spacing w:val="0"/>
          <w:sz w:val="20"/>
          <w:rtl/>
        </w:rPr>
        <w:tab/>
      </w:r>
      <w:r w:rsidRPr="00D85A41">
        <w:rPr>
          <w:b/>
          <w:bCs/>
          <w:spacing w:val="0"/>
          <w:sz w:val="20"/>
          <w:rtl/>
        </w:rPr>
        <w:t xml:space="preserve">وينبغي للدولة الطرف أن تنظر أيضاً في إمكانية قبول هيئة تحقيق دولية، من شأنها معالجة الشواغل السابقة بشأن الافتقار إلى المصداقية في التحقيقات السابقة وأي </w:t>
      </w:r>
      <w:r w:rsidRPr="00D85A41">
        <w:rPr>
          <w:rFonts w:hint="cs"/>
          <w:b/>
          <w:bCs/>
          <w:spacing w:val="0"/>
          <w:sz w:val="20"/>
          <w:rtl/>
        </w:rPr>
        <w:t xml:space="preserve">شاغل ذي بال </w:t>
      </w:r>
      <w:r w:rsidRPr="00D85A41">
        <w:rPr>
          <w:b/>
          <w:bCs/>
          <w:spacing w:val="0"/>
          <w:sz w:val="20"/>
          <w:rtl/>
        </w:rPr>
        <w:t>بخصوص اللجنة الاستشارية المشتركة بين الوكالات.</w:t>
      </w:r>
    </w:p>
    <w:p w:rsidR="004E0A37" w:rsidRPr="004E0A37" w:rsidRDefault="004E0A37" w:rsidP="00043F1D">
      <w:pPr>
        <w:pStyle w:val="H23GA"/>
        <w:spacing w:line="370" w:lineRule="exact"/>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العنف ضد النساء بما فيه العنف الجنسي</w:t>
      </w:r>
    </w:p>
    <w:p w:rsidR="004E0A37" w:rsidRPr="004E0A37" w:rsidRDefault="00BE7198" w:rsidP="00043F1D">
      <w:pPr>
        <w:pStyle w:val="SingleTxtGA"/>
        <w:spacing w:line="370" w:lineRule="exact"/>
        <w:jc w:val="lowKashida"/>
        <w:rPr>
          <w:spacing w:val="0"/>
          <w:sz w:val="20"/>
          <w:rtl/>
        </w:rPr>
      </w:pPr>
      <w:r>
        <w:rPr>
          <w:rFonts w:hint="cs"/>
          <w:spacing w:val="0"/>
          <w:sz w:val="20"/>
          <w:rtl/>
        </w:rPr>
        <w:t>(</w:t>
      </w:r>
      <w:r w:rsidR="004E0A37" w:rsidRPr="004E0A37">
        <w:rPr>
          <w:spacing w:val="0"/>
          <w:sz w:val="20"/>
          <w:rtl/>
        </w:rPr>
        <w:t>22</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مع القلق بالتقارير التي تفيد بتزايد عدد حالات العنف ضد النساء، بما فيه العنف الجنسي والمنزلي، وقلة المعلومات المقدمة من الدولة الطرف في هذا الصدد. وتلاحظ اللجنة أيضاً مع القلق أن </w:t>
      </w:r>
      <w:r w:rsidR="004E0A37" w:rsidRPr="004E0A37">
        <w:rPr>
          <w:rFonts w:hint="cs"/>
          <w:spacing w:val="0"/>
          <w:sz w:val="20"/>
          <w:rtl/>
        </w:rPr>
        <w:t xml:space="preserve">الإقرار </w:t>
      </w:r>
      <w:r w:rsidR="004E0A37" w:rsidRPr="004E0A37">
        <w:rPr>
          <w:spacing w:val="0"/>
          <w:sz w:val="20"/>
          <w:rtl/>
        </w:rPr>
        <w:t>بالعنف المنزلي والاغتصاب الزوجي لا </w:t>
      </w:r>
      <w:r w:rsidR="004E0A37" w:rsidRPr="004E0A37">
        <w:rPr>
          <w:rFonts w:hint="cs"/>
          <w:spacing w:val="0"/>
          <w:sz w:val="20"/>
          <w:rtl/>
        </w:rPr>
        <w:t xml:space="preserve">يتأتى </w:t>
      </w:r>
      <w:r w:rsidR="004E0A37" w:rsidRPr="004E0A37">
        <w:rPr>
          <w:spacing w:val="0"/>
          <w:sz w:val="20"/>
          <w:rtl/>
        </w:rPr>
        <w:t>إلا</w:t>
      </w:r>
      <w:r w:rsidR="004E0A37" w:rsidRPr="004E0A37">
        <w:rPr>
          <w:rFonts w:hint="cs"/>
          <w:spacing w:val="0"/>
          <w:sz w:val="20"/>
          <w:rtl/>
        </w:rPr>
        <w:t> </w:t>
      </w:r>
      <w:r w:rsidR="004E0A37" w:rsidRPr="004E0A37">
        <w:rPr>
          <w:spacing w:val="0"/>
          <w:sz w:val="20"/>
          <w:rtl/>
        </w:rPr>
        <w:t>بعد إقرار قانوني من القاضي بانفصال الزوجين. كما تشعر اللجنة بالقلق إزاء الحالات المبلغ عنها المتعلقة بالاغتصاب في وقت الحرب وغيره من أعمال العنف الجنسي التي وقعت بعد انتهاء النزاع، لا سيما في المخيمات التي تخضع لسيطرة الجيش (المواد 2 و12 و13 و16).</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ينبغي للدولة الطرف أن تكفل إجراء تحقيقات فورية ونزيهة وفعالة في جميع ا</w:t>
      </w:r>
      <w:r w:rsidRPr="00D85A41">
        <w:rPr>
          <w:rFonts w:hint="cs"/>
          <w:b/>
          <w:bCs/>
          <w:spacing w:val="0"/>
          <w:sz w:val="20"/>
          <w:rtl/>
        </w:rPr>
        <w:t>لا</w:t>
      </w:r>
      <w:r w:rsidRPr="00D85A41">
        <w:rPr>
          <w:b/>
          <w:bCs/>
          <w:spacing w:val="0"/>
          <w:sz w:val="20"/>
          <w:rtl/>
        </w:rPr>
        <w:t xml:space="preserve">دعاءات </w:t>
      </w:r>
      <w:r w:rsidRPr="00D85A41">
        <w:rPr>
          <w:rFonts w:hint="cs"/>
          <w:b/>
          <w:bCs/>
          <w:spacing w:val="0"/>
          <w:sz w:val="20"/>
          <w:rtl/>
        </w:rPr>
        <w:t xml:space="preserve">بممارسة </w:t>
      </w:r>
      <w:r w:rsidRPr="00D85A41">
        <w:rPr>
          <w:b/>
          <w:bCs/>
          <w:spacing w:val="0"/>
          <w:sz w:val="20"/>
          <w:rtl/>
        </w:rPr>
        <w:t>العنف الجنسي، وينبغي لها ملاحقة المشتبه فيهم ومعاقبة الجناة.</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وتكرر اللجنة التوصية التي قدمتها اللجنة المعنية بالقضاء على التمييز ضد المرأة (</w:t>
      </w:r>
      <w:r w:rsidRPr="00D85A41">
        <w:rPr>
          <w:b/>
          <w:bCs/>
          <w:spacing w:val="0"/>
          <w:sz w:val="20"/>
        </w:rPr>
        <w:t>CEDAW/C/LKA/CO/7</w:t>
      </w:r>
      <w:r w:rsidRPr="00D85A41">
        <w:rPr>
          <w:b/>
          <w:bCs/>
          <w:spacing w:val="0"/>
          <w:sz w:val="20"/>
          <w:rtl/>
        </w:rPr>
        <w:t>) بأن توسع الدولة الطرف نطاق تجريم الاغتصاب الزوجي، بصرف النظر عن الإقرار القضائي بالانفصال.</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وينبغي للدولة الطرف تزويد اللجنة بمعلومات عن التحقيقات المتعلقة بحالات الاغتصاب في وقت الحرب وغيرها من أعمال العنف الجنسي التي وقعت خلال المراحل الأخيرة من النزاع، وفي مرحلة ما بعد النزاع، و</w:t>
      </w:r>
      <w:r w:rsidRPr="00D85A41">
        <w:rPr>
          <w:rFonts w:hint="cs"/>
          <w:b/>
          <w:bCs/>
          <w:spacing w:val="0"/>
          <w:sz w:val="20"/>
          <w:rtl/>
        </w:rPr>
        <w:t>ب</w:t>
      </w:r>
      <w:r w:rsidRPr="00D85A41">
        <w:rPr>
          <w:b/>
          <w:bCs/>
          <w:spacing w:val="0"/>
          <w:sz w:val="20"/>
          <w:rtl/>
        </w:rPr>
        <w:t xml:space="preserve">نتائج المحاكمات في مثل هذه الحالات، بما في ذلك </w:t>
      </w:r>
      <w:r w:rsidRPr="00D85A41">
        <w:rPr>
          <w:rFonts w:hint="cs"/>
          <w:b/>
          <w:bCs/>
          <w:spacing w:val="0"/>
          <w:sz w:val="20"/>
          <w:rtl/>
        </w:rPr>
        <w:t>ال</w:t>
      </w:r>
      <w:r w:rsidRPr="00D85A41">
        <w:rPr>
          <w:b/>
          <w:bCs/>
          <w:spacing w:val="0"/>
          <w:sz w:val="20"/>
          <w:rtl/>
        </w:rPr>
        <w:t>معلومات عن العقوبات المحكوم بها، وسبل الجبر والتعويض المقدمة للضحايا.</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الاستغلال الجنسي للأطفال وإساءة معاملتهم على يد قوات حفظ السلام</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23</w:t>
      </w:r>
      <w:r w:rsidR="003E72B5">
        <w:rPr>
          <w:spacing w:val="0"/>
          <w:sz w:val="20"/>
          <w:rtl/>
        </w:rPr>
        <w:t>)</w:t>
      </w:r>
      <w:r w:rsidR="003E72B5">
        <w:rPr>
          <w:spacing w:val="0"/>
          <w:sz w:val="20"/>
          <w:rtl/>
        </w:rPr>
        <w:tab/>
      </w:r>
      <w:r w:rsidR="004E0A37" w:rsidRPr="004E0A37">
        <w:rPr>
          <w:spacing w:val="0"/>
          <w:sz w:val="20"/>
          <w:rtl/>
        </w:rPr>
        <w:t>تعرب اللجنة عن قلقها البالغ إزاء ا</w:t>
      </w:r>
      <w:r w:rsidR="004E0A37" w:rsidRPr="004E0A37">
        <w:rPr>
          <w:rFonts w:hint="cs"/>
          <w:spacing w:val="0"/>
          <w:sz w:val="20"/>
          <w:rtl/>
        </w:rPr>
        <w:t>لا</w:t>
      </w:r>
      <w:r w:rsidR="004E0A37" w:rsidRPr="004E0A37">
        <w:rPr>
          <w:spacing w:val="0"/>
          <w:sz w:val="20"/>
          <w:rtl/>
        </w:rPr>
        <w:t xml:space="preserve">دعاءات </w:t>
      </w:r>
      <w:r w:rsidR="004E0A37" w:rsidRPr="004E0A37">
        <w:rPr>
          <w:rFonts w:hint="cs"/>
          <w:spacing w:val="0"/>
          <w:sz w:val="20"/>
          <w:rtl/>
        </w:rPr>
        <w:t xml:space="preserve">التي تتحدث عن قيام </w:t>
      </w:r>
      <w:r w:rsidR="004E0A37" w:rsidRPr="004E0A37">
        <w:rPr>
          <w:spacing w:val="0"/>
          <w:sz w:val="20"/>
          <w:rtl/>
        </w:rPr>
        <w:t xml:space="preserve">أفراد عسكريين من الوحدة السريلانكية في بعثة الأمم المتحدة لتحقيق الاستقرار في هايتي </w:t>
      </w:r>
      <w:r w:rsidR="004E0A37" w:rsidRPr="004E0A37">
        <w:rPr>
          <w:rFonts w:hint="cs"/>
          <w:spacing w:val="0"/>
          <w:sz w:val="20"/>
          <w:rtl/>
        </w:rPr>
        <w:t xml:space="preserve">باستغلال </w:t>
      </w:r>
      <w:r w:rsidR="004E0A37" w:rsidRPr="004E0A37">
        <w:rPr>
          <w:spacing w:val="0"/>
          <w:sz w:val="20"/>
          <w:rtl/>
        </w:rPr>
        <w:t xml:space="preserve">قصر جنسياً </w:t>
      </w:r>
      <w:r w:rsidR="004E0A37" w:rsidRPr="004E0A37">
        <w:rPr>
          <w:rFonts w:hint="cs"/>
          <w:spacing w:val="0"/>
          <w:sz w:val="20"/>
          <w:rtl/>
        </w:rPr>
        <w:t>وإساءة</w:t>
      </w:r>
      <w:r w:rsidR="004E0A37" w:rsidRPr="004E0A37">
        <w:rPr>
          <w:spacing w:val="0"/>
          <w:sz w:val="20"/>
          <w:rtl/>
        </w:rPr>
        <w:t xml:space="preserve"> معاملتهم في عام 2007. وبينما تحيط اللجنة</w:t>
      </w:r>
      <w:r w:rsidR="003833F8">
        <w:rPr>
          <w:spacing w:val="0"/>
          <w:sz w:val="20"/>
          <w:rtl/>
        </w:rPr>
        <w:t xml:space="preserve"> علماً </w:t>
      </w:r>
      <w:r w:rsidR="004E0A37" w:rsidRPr="004E0A37">
        <w:rPr>
          <w:spacing w:val="0"/>
          <w:sz w:val="20"/>
          <w:rtl/>
        </w:rPr>
        <w:t xml:space="preserve">بالمعلومات المقدمة من وفد الدولة الطرف التي تفيد بأن الجنود المعنيين قد أعيدوا إلى وطنهم وجرى التعامل معهم </w:t>
      </w:r>
      <w:r w:rsidR="004E0A37" w:rsidRPr="004E0A37">
        <w:rPr>
          <w:rFonts w:hint="cs"/>
          <w:spacing w:val="0"/>
          <w:sz w:val="20"/>
          <w:rtl/>
        </w:rPr>
        <w:t xml:space="preserve">في إطار </w:t>
      </w:r>
      <w:r w:rsidR="004E0A37" w:rsidRPr="004E0A37">
        <w:rPr>
          <w:spacing w:val="0"/>
          <w:sz w:val="20"/>
          <w:rtl/>
        </w:rPr>
        <w:t xml:space="preserve">القانون العسكري، فإن اللجنة تعرب عن أسفها لنقص المعلومات المتاحة بشأن </w:t>
      </w:r>
      <w:r w:rsidR="004E0A37" w:rsidRPr="004E0A37">
        <w:rPr>
          <w:rFonts w:hint="cs"/>
          <w:spacing w:val="0"/>
          <w:sz w:val="20"/>
          <w:rtl/>
        </w:rPr>
        <w:t>ال</w:t>
      </w:r>
      <w:r w:rsidR="004E0A37" w:rsidRPr="004E0A37">
        <w:rPr>
          <w:spacing w:val="0"/>
          <w:sz w:val="20"/>
          <w:rtl/>
        </w:rPr>
        <w:t xml:space="preserve">اتهامات أو </w:t>
      </w:r>
      <w:r w:rsidR="004E0A37" w:rsidRPr="004E0A37">
        <w:rPr>
          <w:rFonts w:hint="cs"/>
          <w:spacing w:val="0"/>
          <w:sz w:val="20"/>
          <w:rtl/>
        </w:rPr>
        <w:t>ال</w:t>
      </w:r>
      <w:r w:rsidR="004E0A37" w:rsidRPr="004E0A37">
        <w:rPr>
          <w:spacing w:val="0"/>
          <w:sz w:val="20"/>
          <w:rtl/>
        </w:rPr>
        <w:t xml:space="preserve">عقوبات </w:t>
      </w:r>
      <w:r w:rsidR="004E0A37" w:rsidRPr="004E0A37">
        <w:rPr>
          <w:rFonts w:hint="cs"/>
          <w:spacing w:val="0"/>
          <w:sz w:val="20"/>
          <w:rtl/>
        </w:rPr>
        <w:t>ال</w:t>
      </w:r>
      <w:r w:rsidR="004E0A37" w:rsidRPr="004E0A37">
        <w:rPr>
          <w:spacing w:val="0"/>
          <w:sz w:val="20"/>
          <w:rtl/>
        </w:rPr>
        <w:t xml:space="preserve">محددة </w:t>
      </w:r>
      <w:r w:rsidR="004E0A37" w:rsidRPr="004E0A37">
        <w:rPr>
          <w:rFonts w:hint="cs"/>
          <w:spacing w:val="0"/>
          <w:sz w:val="20"/>
          <w:rtl/>
        </w:rPr>
        <w:t>ال</w:t>
      </w:r>
      <w:r w:rsidR="004E0A37" w:rsidRPr="004E0A37">
        <w:rPr>
          <w:spacing w:val="0"/>
          <w:sz w:val="20"/>
          <w:rtl/>
        </w:rPr>
        <w:t>موجهة لأ</w:t>
      </w:r>
      <w:r w:rsidR="004E0A37" w:rsidRPr="004E0A37">
        <w:rPr>
          <w:rFonts w:hint="cs"/>
          <w:spacing w:val="0"/>
          <w:sz w:val="20"/>
          <w:rtl/>
        </w:rPr>
        <w:t xml:space="preserve">فراد </w:t>
      </w:r>
      <w:r w:rsidR="004E0A37" w:rsidRPr="004E0A37">
        <w:rPr>
          <w:spacing w:val="0"/>
          <w:sz w:val="20"/>
          <w:rtl/>
        </w:rPr>
        <w:t xml:space="preserve">الوحدة السريلانكية </w:t>
      </w:r>
      <w:r w:rsidR="004E0A37" w:rsidRPr="004E0A37">
        <w:rPr>
          <w:rFonts w:hint="cs"/>
          <w:spacing w:val="0"/>
          <w:sz w:val="20"/>
          <w:rtl/>
        </w:rPr>
        <w:t>ال‍</w:t>
      </w:r>
      <w:r w:rsidR="004E0A37" w:rsidRPr="004E0A37">
        <w:rPr>
          <w:rFonts w:hint="eastAsia"/>
          <w:spacing w:val="0"/>
          <w:sz w:val="20"/>
          <w:rtl/>
        </w:rPr>
        <w:t> </w:t>
      </w:r>
      <w:r w:rsidR="004E0A37" w:rsidRPr="004E0A37">
        <w:rPr>
          <w:spacing w:val="0"/>
          <w:sz w:val="20"/>
          <w:rtl/>
        </w:rPr>
        <w:t>114 الذين أعيدوا إلى وطنهم لأسباب تأديبية (المواد 2 و5 و12 و16).</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 xml:space="preserve">ينبغي للدولة الطرف أن تجري تحقيقات في الادعاءات المتعلقة بحوادث الاستغلال الجنسي وإساءة المعاملة التي ارتكبها أفراد عسكريون من الوحدة السريلانكية في بعثة الأمم المتحدة لتحقيق الاستقرار في هايتي، وأن تصدر تقريراً عن نتائج هذه التحقيقات والتدابير المتخذة </w:t>
      </w:r>
      <w:r w:rsidRPr="00D85A41">
        <w:rPr>
          <w:rFonts w:hint="cs"/>
          <w:b/>
          <w:bCs/>
          <w:spacing w:val="0"/>
          <w:sz w:val="20"/>
          <w:rtl/>
        </w:rPr>
        <w:t xml:space="preserve">تبعاً </w:t>
      </w:r>
      <w:r w:rsidRPr="00D85A41">
        <w:rPr>
          <w:b/>
          <w:bCs/>
          <w:spacing w:val="0"/>
          <w:sz w:val="20"/>
          <w:rtl/>
        </w:rPr>
        <w:t>لذلك، بما في</w:t>
      </w:r>
      <w:r w:rsidRPr="00D85A41">
        <w:rPr>
          <w:rFonts w:hint="cs"/>
          <w:b/>
          <w:bCs/>
          <w:spacing w:val="0"/>
          <w:sz w:val="20"/>
          <w:rtl/>
        </w:rPr>
        <w:t xml:space="preserve"> ذلك ما أسفر عنها من حيث </w:t>
      </w:r>
      <w:r w:rsidRPr="00D85A41">
        <w:rPr>
          <w:b/>
          <w:bCs/>
          <w:spacing w:val="0"/>
          <w:sz w:val="20"/>
          <w:rtl/>
        </w:rPr>
        <w:t xml:space="preserve">عدد </w:t>
      </w:r>
      <w:r w:rsidRPr="00D85A41">
        <w:rPr>
          <w:rFonts w:hint="cs"/>
          <w:b/>
          <w:bCs/>
          <w:spacing w:val="0"/>
          <w:sz w:val="20"/>
          <w:rtl/>
        </w:rPr>
        <w:t>ال</w:t>
      </w:r>
      <w:r w:rsidRPr="00D85A41">
        <w:rPr>
          <w:b/>
          <w:bCs/>
          <w:spacing w:val="0"/>
          <w:sz w:val="20"/>
          <w:rtl/>
        </w:rPr>
        <w:t>اتهامات و</w:t>
      </w:r>
      <w:r w:rsidRPr="00D85A41">
        <w:rPr>
          <w:rFonts w:hint="cs"/>
          <w:b/>
          <w:bCs/>
          <w:spacing w:val="0"/>
          <w:sz w:val="20"/>
          <w:rtl/>
        </w:rPr>
        <w:t>ال</w:t>
      </w:r>
      <w:r w:rsidRPr="00D85A41">
        <w:rPr>
          <w:b/>
          <w:bCs/>
          <w:spacing w:val="0"/>
          <w:sz w:val="20"/>
          <w:rtl/>
        </w:rPr>
        <w:t>ملاحقات و</w:t>
      </w:r>
      <w:r w:rsidRPr="00D85A41">
        <w:rPr>
          <w:rFonts w:hint="cs"/>
          <w:b/>
          <w:bCs/>
          <w:spacing w:val="0"/>
          <w:sz w:val="20"/>
          <w:rtl/>
        </w:rPr>
        <w:t>ال</w:t>
      </w:r>
      <w:r w:rsidRPr="00D85A41">
        <w:rPr>
          <w:b/>
          <w:bCs/>
          <w:spacing w:val="0"/>
          <w:sz w:val="20"/>
          <w:rtl/>
        </w:rPr>
        <w:t>إدانات، والتدابير المتخذة لمنع وقوع مزيد من هذه الحوادث. وتشجع اللجنة الدولة الطرف على مواصلة تعاونها مع الإدارات المختصة في الأمم المتحدة من أجل إحراز تقدم بشأن هذه المسألة.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الاتجار بالبشر والعنف ضد العمال المهاجرين السريلانكيين</w:t>
      </w:r>
    </w:p>
    <w:p w:rsidR="004E0A37" w:rsidRPr="00D85A41" w:rsidRDefault="00BE7198" w:rsidP="00043F1D">
      <w:pPr>
        <w:pStyle w:val="SingleTxtGA"/>
        <w:jc w:val="lowKashida"/>
        <w:rPr>
          <w:spacing w:val="-2"/>
          <w:sz w:val="20"/>
          <w:rtl/>
        </w:rPr>
      </w:pPr>
      <w:r w:rsidRPr="00D85A41">
        <w:rPr>
          <w:rFonts w:hint="cs"/>
          <w:spacing w:val="-2"/>
          <w:sz w:val="20"/>
          <w:rtl/>
        </w:rPr>
        <w:t>(</w:t>
      </w:r>
      <w:r w:rsidR="004E0A37" w:rsidRPr="00D85A41">
        <w:rPr>
          <w:spacing w:val="-2"/>
          <w:sz w:val="20"/>
          <w:rtl/>
        </w:rPr>
        <w:t>24</w:t>
      </w:r>
      <w:r w:rsidR="003E72B5" w:rsidRPr="00D85A41">
        <w:rPr>
          <w:spacing w:val="-2"/>
          <w:sz w:val="20"/>
          <w:rtl/>
        </w:rPr>
        <w:t>)</w:t>
      </w:r>
      <w:r w:rsidR="003E72B5" w:rsidRPr="00D85A41">
        <w:rPr>
          <w:spacing w:val="-2"/>
          <w:sz w:val="20"/>
          <w:rtl/>
        </w:rPr>
        <w:tab/>
      </w:r>
      <w:r w:rsidR="004E0A37" w:rsidRPr="00D85A41">
        <w:rPr>
          <w:spacing w:val="-2"/>
          <w:sz w:val="20"/>
          <w:rtl/>
        </w:rPr>
        <w:t>في حين تحيط اللجنة</w:t>
      </w:r>
      <w:r w:rsidR="003833F8" w:rsidRPr="00D85A41">
        <w:rPr>
          <w:spacing w:val="-2"/>
          <w:sz w:val="20"/>
          <w:rtl/>
        </w:rPr>
        <w:t xml:space="preserve"> علماً </w:t>
      </w:r>
      <w:r w:rsidR="004E0A37" w:rsidRPr="00D85A41">
        <w:rPr>
          <w:spacing w:val="-2"/>
          <w:sz w:val="20"/>
          <w:rtl/>
        </w:rPr>
        <w:t xml:space="preserve">باعتماد قانون العقوبات (المعدل) رقم 16 في عام 2006، فإنها تشعر بالقلق بسبب التقارير الواردة باستمرار بشأن الاتجار بالنساء والأطفال داخل الدولة الطرف لأغراض السخرة والاستغلال الجنسي، </w:t>
      </w:r>
      <w:r w:rsidR="004E0A37" w:rsidRPr="00D85A41">
        <w:rPr>
          <w:rFonts w:hint="cs"/>
          <w:spacing w:val="-2"/>
          <w:sz w:val="20"/>
          <w:rtl/>
        </w:rPr>
        <w:t xml:space="preserve">كما تشعر بالقلق إزاء </w:t>
      </w:r>
      <w:r w:rsidR="004E0A37" w:rsidRPr="00D85A41">
        <w:rPr>
          <w:spacing w:val="-2"/>
          <w:sz w:val="20"/>
          <w:rtl/>
        </w:rPr>
        <w:t xml:space="preserve">ضآلة أعداد الإدانات المتصلة بالاتجار بالبشر، واحتجاز ضحايا الاتجار. وتشعر اللجنة أيضاً بالقلق إزاء </w:t>
      </w:r>
      <w:r w:rsidR="004E0A37" w:rsidRPr="00D85A41">
        <w:rPr>
          <w:rFonts w:hint="cs"/>
          <w:spacing w:val="-2"/>
          <w:sz w:val="20"/>
          <w:rtl/>
        </w:rPr>
        <w:t>التقارير التي</w:t>
      </w:r>
      <w:r w:rsidR="00D85A41">
        <w:rPr>
          <w:rFonts w:hint="eastAsia"/>
          <w:spacing w:val="-2"/>
          <w:sz w:val="20"/>
          <w:rtl/>
        </w:rPr>
        <w:t> </w:t>
      </w:r>
      <w:r w:rsidR="004E0A37" w:rsidRPr="00D85A41">
        <w:rPr>
          <w:rFonts w:hint="cs"/>
          <w:spacing w:val="-2"/>
          <w:sz w:val="20"/>
          <w:rtl/>
        </w:rPr>
        <w:t xml:space="preserve">تتحدث عن الاستغلال الذي يتعرض له </w:t>
      </w:r>
      <w:r w:rsidR="004E0A37" w:rsidRPr="00D85A41">
        <w:rPr>
          <w:spacing w:val="-2"/>
          <w:sz w:val="20"/>
          <w:rtl/>
        </w:rPr>
        <w:t xml:space="preserve">العديد من العمال المهاجرين السريلانكيين، لا سيما النساء، الذين يسافرون إلى الخارج </w:t>
      </w:r>
      <w:r w:rsidR="004E0A37" w:rsidRPr="00D85A41">
        <w:rPr>
          <w:rFonts w:hint="cs"/>
          <w:spacing w:val="-2"/>
          <w:sz w:val="20"/>
          <w:rtl/>
        </w:rPr>
        <w:t xml:space="preserve">للعمل </w:t>
      </w:r>
      <w:r w:rsidR="004E0A37" w:rsidRPr="00D85A41">
        <w:rPr>
          <w:spacing w:val="-2"/>
          <w:sz w:val="20"/>
          <w:rtl/>
        </w:rPr>
        <w:t>ويواجهون بالتالي ظروف السخرة أو</w:t>
      </w:r>
      <w:r w:rsidR="00043F1D">
        <w:rPr>
          <w:rFonts w:hint="cs"/>
          <w:spacing w:val="-2"/>
          <w:sz w:val="20"/>
          <w:rtl/>
        </w:rPr>
        <w:t> </w:t>
      </w:r>
      <w:r w:rsidR="004E0A37" w:rsidRPr="00D85A41">
        <w:rPr>
          <w:spacing w:val="-2"/>
          <w:sz w:val="20"/>
          <w:rtl/>
        </w:rPr>
        <w:t xml:space="preserve">أشكال أخرى من </w:t>
      </w:r>
      <w:r w:rsidR="004E0A37" w:rsidRPr="00D85A41">
        <w:rPr>
          <w:rFonts w:hint="cs"/>
          <w:spacing w:val="-2"/>
          <w:sz w:val="20"/>
          <w:rtl/>
        </w:rPr>
        <w:t xml:space="preserve">الإساءة </w:t>
      </w:r>
      <w:r w:rsidR="004E0A37" w:rsidRPr="00D85A41">
        <w:rPr>
          <w:spacing w:val="-2"/>
          <w:sz w:val="20"/>
          <w:rtl/>
        </w:rPr>
        <w:t xml:space="preserve">في البلد المضيف، مثلما </w:t>
      </w:r>
      <w:r w:rsidR="004E0A37" w:rsidRPr="00D85A41">
        <w:rPr>
          <w:rFonts w:hint="cs"/>
          <w:spacing w:val="-2"/>
          <w:sz w:val="20"/>
          <w:rtl/>
        </w:rPr>
        <w:t>ا</w:t>
      </w:r>
      <w:r w:rsidR="004E0A37" w:rsidRPr="00D85A41">
        <w:rPr>
          <w:spacing w:val="-2"/>
          <w:sz w:val="20"/>
          <w:rtl/>
        </w:rPr>
        <w:t>دعى ذلك ممثل الدولة الطرف. وفي هذا الصدد تحيط اللجنة</w:t>
      </w:r>
      <w:r w:rsidR="003833F8" w:rsidRPr="00D85A41">
        <w:rPr>
          <w:spacing w:val="-2"/>
          <w:sz w:val="20"/>
          <w:rtl/>
        </w:rPr>
        <w:t xml:space="preserve"> علماً </w:t>
      </w:r>
      <w:r w:rsidR="004E0A37" w:rsidRPr="00D85A41">
        <w:rPr>
          <w:spacing w:val="-2"/>
          <w:sz w:val="20"/>
          <w:rtl/>
        </w:rPr>
        <w:t>باهتمام ببيان ممثل الدولة الطرف الذي أفاد فيه بأن مشروع خطة العمل الوطنية</w:t>
      </w:r>
      <w:r w:rsidR="00D85A41">
        <w:rPr>
          <w:rFonts w:hint="cs"/>
          <w:spacing w:val="-2"/>
          <w:sz w:val="20"/>
          <w:rtl/>
        </w:rPr>
        <w:t> </w:t>
      </w:r>
      <w:r w:rsidR="004E0A37" w:rsidRPr="00D85A41">
        <w:rPr>
          <w:spacing w:val="-2"/>
          <w:sz w:val="20"/>
          <w:rtl/>
        </w:rPr>
        <w:t>بشأن حقوق الإنسان يتضمن فرعاً مخصصاً لحماية العمال المهاجرين السريلانكيين (المواد 2 و12 و16).</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ينبغي للدولة الطرف:</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(‌أ)</w:t>
      </w:r>
      <w:r w:rsidRPr="00D85A41">
        <w:rPr>
          <w:b/>
          <w:bCs/>
          <w:spacing w:val="0"/>
          <w:sz w:val="20"/>
          <w:rtl/>
        </w:rPr>
        <w:tab/>
        <w:t xml:space="preserve">زيادة جهودها من أجل مكافحة الاتجار بالبشر عن طريق اتخاذ تدابير فعالة للتحقيق </w:t>
      </w:r>
      <w:r w:rsidRPr="00D85A41">
        <w:rPr>
          <w:rFonts w:hint="cs"/>
          <w:b/>
          <w:bCs/>
          <w:spacing w:val="0"/>
          <w:sz w:val="20"/>
          <w:rtl/>
        </w:rPr>
        <w:t xml:space="preserve">في هذه الأفعال </w:t>
      </w:r>
      <w:r w:rsidRPr="00D85A41">
        <w:rPr>
          <w:b/>
          <w:bCs/>
          <w:spacing w:val="0"/>
          <w:sz w:val="20"/>
          <w:rtl/>
        </w:rPr>
        <w:t>وملاحقة ومعاقبة المسؤولين، وعن طريق مواصلة تعزيز التعاون الدولي مع بلدان المنشأ والعبور والمقصد؛</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(‌ب)</w:t>
      </w:r>
      <w:r w:rsidRPr="00D85A41">
        <w:rPr>
          <w:b/>
          <w:bCs/>
          <w:spacing w:val="0"/>
          <w:sz w:val="20"/>
          <w:rtl/>
        </w:rPr>
        <w:tab/>
        <w:t xml:space="preserve">مراجعة التشريعات والممارسات من أجل منع ملاحقة أو احتجاز أو </w:t>
      </w:r>
      <w:r w:rsidRPr="00D85A41">
        <w:rPr>
          <w:rFonts w:hint="cs"/>
          <w:b/>
          <w:bCs/>
          <w:spacing w:val="0"/>
          <w:sz w:val="20"/>
          <w:rtl/>
        </w:rPr>
        <w:t xml:space="preserve">معاقبة </w:t>
      </w:r>
      <w:r w:rsidRPr="00D85A41">
        <w:rPr>
          <w:b/>
          <w:bCs/>
          <w:spacing w:val="0"/>
          <w:sz w:val="20"/>
          <w:rtl/>
        </w:rPr>
        <w:t xml:space="preserve">ضحايا الاتجار بسبب دخولهم </w:t>
      </w:r>
      <w:r w:rsidRPr="00D85A41">
        <w:rPr>
          <w:rFonts w:hint="cs"/>
          <w:b/>
          <w:bCs/>
          <w:spacing w:val="0"/>
          <w:sz w:val="20"/>
          <w:rtl/>
        </w:rPr>
        <w:t xml:space="preserve">البلد </w:t>
      </w:r>
      <w:r w:rsidRPr="00D85A41">
        <w:rPr>
          <w:b/>
          <w:bCs/>
          <w:spacing w:val="0"/>
          <w:sz w:val="20"/>
          <w:rtl/>
        </w:rPr>
        <w:t xml:space="preserve">أو إقامتهم </w:t>
      </w:r>
      <w:r w:rsidRPr="00D85A41">
        <w:rPr>
          <w:rFonts w:hint="cs"/>
          <w:b/>
          <w:bCs/>
          <w:spacing w:val="0"/>
          <w:sz w:val="20"/>
          <w:rtl/>
        </w:rPr>
        <w:t xml:space="preserve">فيه </w:t>
      </w:r>
      <w:r w:rsidRPr="00D85A41">
        <w:rPr>
          <w:b/>
          <w:bCs/>
          <w:spacing w:val="0"/>
          <w:sz w:val="20"/>
          <w:rtl/>
        </w:rPr>
        <w:t>بشكل غير شرعي أو بسبب الأنشطة التي يشاركون فيه</w:t>
      </w:r>
      <w:r w:rsidRPr="00D85A41">
        <w:rPr>
          <w:rFonts w:hint="cs"/>
          <w:b/>
          <w:bCs/>
          <w:spacing w:val="0"/>
          <w:sz w:val="20"/>
          <w:rtl/>
        </w:rPr>
        <w:t>ا</w:t>
      </w:r>
      <w:r w:rsidRPr="00D85A41">
        <w:rPr>
          <w:b/>
          <w:bCs/>
          <w:spacing w:val="0"/>
          <w:sz w:val="20"/>
          <w:rtl/>
        </w:rPr>
        <w:t xml:space="preserve"> كنتيجة مباشرة لوضعهم كضحايا الاتجار؛</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(‌ج)</w:t>
      </w:r>
      <w:r w:rsidRPr="00D85A41">
        <w:rPr>
          <w:b/>
          <w:bCs/>
          <w:spacing w:val="0"/>
          <w:sz w:val="20"/>
          <w:rtl/>
        </w:rPr>
        <w:tab/>
        <w:t xml:space="preserve">توجيه تعليمات إلى السلطات القنصلية أو الدبلوماسية من أجل توفير الحماية والمساعدة للعمال المهاجرين السريلانكيين لحماية حقوقهم في عدم التعرض لأعمال العنف والحبس </w:t>
      </w:r>
      <w:r w:rsidRPr="00D85A41">
        <w:rPr>
          <w:rFonts w:hint="cs"/>
          <w:b/>
          <w:bCs/>
          <w:spacing w:val="0"/>
          <w:sz w:val="20"/>
          <w:rtl/>
        </w:rPr>
        <w:t xml:space="preserve">والإساءة مما ينطوي على </w:t>
      </w:r>
      <w:r w:rsidRPr="00D85A41">
        <w:rPr>
          <w:b/>
          <w:bCs/>
          <w:spacing w:val="0"/>
          <w:sz w:val="20"/>
          <w:rtl/>
        </w:rPr>
        <w:t>انتهاك للاتفاقية؛</w:t>
      </w:r>
    </w:p>
    <w:p w:rsidR="004E0A37" w:rsidRPr="00D85A41" w:rsidRDefault="004E0A37" w:rsidP="00043F1D">
      <w:pPr>
        <w:pStyle w:val="SingleTxtGA"/>
        <w:jc w:val="lowKashida"/>
        <w:rPr>
          <w:b/>
          <w:bCs/>
          <w:spacing w:val="0"/>
          <w:sz w:val="20"/>
          <w:rtl/>
        </w:rPr>
      </w:pPr>
      <w:r w:rsidRPr="00D85A41">
        <w:rPr>
          <w:rFonts w:hint="cs"/>
          <w:b/>
          <w:bCs/>
          <w:spacing w:val="0"/>
          <w:sz w:val="20"/>
          <w:rtl/>
        </w:rPr>
        <w:tab/>
      </w:r>
      <w:r w:rsidRPr="00D85A41">
        <w:rPr>
          <w:b/>
          <w:bCs/>
          <w:spacing w:val="0"/>
          <w:sz w:val="20"/>
          <w:rtl/>
        </w:rPr>
        <w:t>(‌د)</w:t>
      </w:r>
      <w:r w:rsidRPr="00D85A41">
        <w:rPr>
          <w:b/>
          <w:bCs/>
          <w:spacing w:val="0"/>
          <w:sz w:val="20"/>
          <w:rtl/>
        </w:rPr>
        <w:tab/>
        <w:t>النظر في إمكانية التصديق على بروتوكول منع وقمع ومعاقبة الاتجار بالأشخاص، وبخاصة النساء والأطفال، وبروتوكول مكافحة تهريب المهاجرين عن طريق</w:t>
      </w:r>
      <w:r w:rsidR="00043F1D">
        <w:rPr>
          <w:rFonts w:hint="cs"/>
          <w:b/>
          <w:bCs/>
          <w:spacing w:val="0"/>
          <w:sz w:val="20"/>
          <w:rtl/>
        </w:rPr>
        <w:t> </w:t>
      </w:r>
      <w:r w:rsidRPr="00D85A41">
        <w:rPr>
          <w:b/>
          <w:bCs/>
          <w:spacing w:val="0"/>
          <w:sz w:val="20"/>
          <w:rtl/>
        </w:rPr>
        <w:t>البر والبحر والجو</w:t>
      </w:r>
      <w:r w:rsidRPr="00D85A41">
        <w:rPr>
          <w:rFonts w:hint="cs"/>
          <w:b/>
          <w:bCs/>
          <w:spacing w:val="0"/>
          <w:sz w:val="20"/>
          <w:rtl/>
        </w:rPr>
        <w:t>،</w:t>
      </w:r>
      <w:r w:rsidRPr="00D85A41">
        <w:rPr>
          <w:b/>
          <w:bCs/>
          <w:spacing w:val="0"/>
          <w:sz w:val="20"/>
          <w:rtl/>
        </w:rPr>
        <w:t xml:space="preserve"> المكملين لاتفاقية الأمم المتحدة لمكافحة الجريمة المنظمة عبر الحدود الوطني.</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تعريف التعذيب</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25</w:t>
      </w:r>
      <w:r w:rsidR="003E72B5">
        <w:rPr>
          <w:spacing w:val="0"/>
          <w:sz w:val="20"/>
          <w:rtl/>
        </w:rPr>
        <w:t>)</w:t>
      </w:r>
      <w:r w:rsidR="003E72B5">
        <w:rPr>
          <w:spacing w:val="0"/>
          <w:sz w:val="20"/>
          <w:rtl/>
        </w:rPr>
        <w:tab/>
      </w:r>
      <w:r w:rsidR="004E0A37" w:rsidRPr="004E0A37">
        <w:rPr>
          <w:spacing w:val="0"/>
          <w:sz w:val="20"/>
          <w:rtl/>
        </w:rPr>
        <w:t xml:space="preserve">تؤكد اللجنة من جديد رأيها القائل إن تعريف التعذيب الوارد في </w:t>
      </w:r>
      <w:r w:rsidR="004E0A37" w:rsidRPr="004E0A37">
        <w:rPr>
          <w:rFonts w:hint="cs"/>
          <w:spacing w:val="0"/>
          <w:sz w:val="20"/>
          <w:rtl/>
        </w:rPr>
        <w:t>المادة</w:t>
      </w:r>
      <w:r w:rsidR="004E0A37" w:rsidRPr="004E0A37">
        <w:rPr>
          <w:spacing w:val="0"/>
          <w:sz w:val="20"/>
          <w:rtl/>
        </w:rPr>
        <w:t xml:space="preserve"> 12 من قانون عام 1994 المتعلق باتفاقية مناهضة التعذيب (المشار إليه </w:t>
      </w:r>
      <w:r w:rsidR="00F96B1E">
        <w:rPr>
          <w:spacing w:val="0"/>
          <w:sz w:val="20"/>
          <w:rtl/>
        </w:rPr>
        <w:t>فيما </w:t>
      </w:r>
      <w:r w:rsidR="004E0A37" w:rsidRPr="004E0A37">
        <w:rPr>
          <w:spacing w:val="0"/>
          <w:sz w:val="20"/>
          <w:rtl/>
        </w:rPr>
        <w:t xml:space="preserve">يلي بقانون الاتفاقية) لا يعكس تماماً التعريف المتفق عليه دولياً الوارد في الاتفاقية. </w:t>
      </w:r>
      <w:r w:rsidR="004E0A37" w:rsidRPr="004E0A37">
        <w:rPr>
          <w:rFonts w:hint="cs"/>
          <w:spacing w:val="0"/>
          <w:sz w:val="20"/>
          <w:rtl/>
        </w:rPr>
        <w:t xml:space="preserve">فهو </w:t>
      </w:r>
      <w:r w:rsidR="004E0A37" w:rsidRPr="004E0A37">
        <w:rPr>
          <w:spacing w:val="0"/>
          <w:sz w:val="20"/>
          <w:rtl/>
        </w:rPr>
        <w:t xml:space="preserve">يحصر أفعال التعذيب في "أي </w:t>
      </w:r>
      <w:r w:rsidR="004E0A37" w:rsidRPr="004E0A37">
        <w:rPr>
          <w:rFonts w:hint="cs"/>
          <w:spacing w:val="0"/>
          <w:sz w:val="20"/>
          <w:rtl/>
        </w:rPr>
        <w:t xml:space="preserve">فعل </w:t>
      </w:r>
      <w:r w:rsidR="004E0A37" w:rsidRPr="004E0A37">
        <w:rPr>
          <w:spacing w:val="0"/>
          <w:sz w:val="20"/>
          <w:rtl/>
        </w:rPr>
        <w:t>ينتج عنه ألم شديد، جسدياً كان أم عقليا</w:t>
      </w:r>
      <w:r w:rsidR="004E0A37" w:rsidRPr="004E0A37">
        <w:rPr>
          <w:rFonts w:hint="cs"/>
          <w:spacing w:val="0"/>
          <w:sz w:val="20"/>
          <w:rtl/>
        </w:rPr>
        <w:t>ً</w:t>
      </w:r>
      <w:r w:rsidR="004E0A37" w:rsidRPr="004E0A37">
        <w:rPr>
          <w:spacing w:val="0"/>
          <w:sz w:val="20"/>
          <w:rtl/>
        </w:rPr>
        <w:t>"، في حين يحيل التعريف الوارد في الاتفاقية إلى "</w:t>
      </w:r>
      <w:r w:rsidR="004E0A37" w:rsidRPr="004E0A37">
        <w:rPr>
          <w:rFonts w:hint="cs"/>
          <w:spacing w:val="0"/>
          <w:sz w:val="20"/>
          <w:rtl/>
        </w:rPr>
        <w:t>ال</w:t>
      </w:r>
      <w:r w:rsidR="004E0A37" w:rsidRPr="004E0A37">
        <w:rPr>
          <w:spacing w:val="0"/>
          <w:sz w:val="20"/>
          <w:rtl/>
        </w:rPr>
        <w:t xml:space="preserve">ألم أو </w:t>
      </w:r>
      <w:r w:rsidR="004E0A37" w:rsidRPr="004E0A37">
        <w:rPr>
          <w:rFonts w:hint="cs"/>
          <w:spacing w:val="0"/>
          <w:sz w:val="20"/>
          <w:rtl/>
        </w:rPr>
        <w:t>المعاناة ال</w:t>
      </w:r>
      <w:r w:rsidR="004E0A37" w:rsidRPr="004E0A37">
        <w:rPr>
          <w:spacing w:val="0"/>
          <w:sz w:val="20"/>
          <w:rtl/>
        </w:rPr>
        <w:t>شديد</w:t>
      </w:r>
      <w:r w:rsidR="004E0A37" w:rsidRPr="004E0A37">
        <w:rPr>
          <w:rFonts w:hint="cs"/>
          <w:spacing w:val="0"/>
          <w:sz w:val="20"/>
          <w:rtl/>
        </w:rPr>
        <w:t>ين</w:t>
      </w:r>
      <w:r w:rsidR="004E0A37" w:rsidRPr="004E0A37">
        <w:rPr>
          <w:spacing w:val="0"/>
          <w:sz w:val="20"/>
          <w:rtl/>
        </w:rPr>
        <w:t xml:space="preserve">". وبالتالي فإنه لا يغطي الأفعال </w:t>
      </w:r>
      <w:r w:rsidR="004E0A37" w:rsidRPr="004E0A37">
        <w:rPr>
          <w:rFonts w:hint="cs"/>
          <w:spacing w:val="0"/>
          <w:sz w:val="20"/>
          <w:rtl/>
        </w:rPr>
        <w:t>غير ال</w:t>
      </w:r>
      <w:r w:rsidR="004E0A37" w:rsidRPr="004E0A37">
        <w:rPr>
          <w:spacing w:val="0"/>
          <w:sz w:val="20"/>
          <w:rtl/>
        </w:rPr>
        <w:t xml:space="preserve">عنيفة في حد ذاتها، لكنها تسبب </w:t>
      </w:r>
      <w:r w:rsidR="004E0A37" w:rsidRPr="004E0A37">
        <w:rPr>
          <w:rFonts w:hint="cs"/>
          <w:spacing w:val="0"/>
          <w:sz w:val="20"/>
          <w:rtl/>
        </w:rPr>
        <w:t xml:space="preserve">المعاناة </w:t>
      </w:r>
      <w:r w:rsidR="004E0A37" w:rsidRPr="004E0A37">
        <w:rPr>
          <w:spacing w:val="0"/>
          <w:sz w:val="20"/>
          <w:rtl/>
        </w:rPr>
        <w:t>رغم ذلك (المادتان 1 و4).</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تكرر اللجنة التوصية التي قدمتها في ملاحظاتها الختامية السابقة (</w:t>
      </w:r>
      <w:r w:rsidRPr="00D85A41">
        <w:rPr>
          <w:b/>
          <w:bCs/>
          <w:spacing w:val="0"/>
          <w:sz w:val="20"/>
        </w:rPr>
        <w:t>CAT/C/LKA/CO/2</w:t>
      </w:r>
      <w:r w:rsidRPr="00D85A41">
        <w:rPr>
          <w:b/>
          <w:bCs/>
          <w:spacing w:val="0"/>
          <w:sz w:val="20"/>
          <w:rtl/>
        </w:rPr>
        <w:t>، الفقرة</w:t>
      </w:r>
      <w:r w:rsidRPr="00D85A41">
        <w:rPr>
          <w:rFonts w:hint="cs"/>
          <w:b/>
          <w:bCs/>
          <w:spacing w:val="0"/>
          <w:sz w:val="20"/>
          <w:rtl/>
        </w:rPr>
        <w:t> </w:t>
      </w:r>
      <w:r w:rsidRPr="00D85A41">
        <w:rPr>
          <w:b/>
          <w:bCs/>
          <w:spacing w:val="0"/>
          <w:sz w:val="20"/>
          <w:rtl/>
        </w:rPr>
        <w:t xml:space="preserve">5)، بأن تعدل للدولة الطرف تعريف التعذيب الوارد في </w:t>
      </w:r>
      <w:r w:rsidRPr="00D85A41">
        <w:rPr>
          <w:rFonts w:hint="cs"/>
          <w:b/>
          <w:bCs/>
          <w:spacing w:val="0"/>
          <w:sz w:val="20"/>
          <w:rtl/>
        </w:rPr>
        <w:t>المادة</w:t>
      </w:r>
      <w:r w:rsidRPr="00D85A41">
        <w:rPr>
          <w:b/>
          <w:bCs/>
          <w:spacing w:val="0"/>
          <w:sz w:val="20"/>
          <w:rtl/>
        </w:rPr>
        <w:t xml:space="preserve"> 12 من قانون الاتفاقية من أجل توسيع تعريف التعذيب ليشمل جميع أعمال التعذيب، بما في ذلك تلك التي تسبب </w:t>
      </w:r>
      <w:r w:rsidRPr="00D85A41">
        <w:rPr>
          <w:rFonts w:hint="cs"/>
          <w:b/>
          <w:bCs/>
          <w:spacing w:val="0"/>
          <w:sz w:val="20"/>
          <w:rtl/>
        </w:rPr>
        <w:t>معاناة</w:t>
      </w:r>
      <w:r w:rsidRPr="00D85A41">
        <w:rPr>
          <w:b/>
          <w:bCs/>
          <w:spacing w:val="0"/>
          <w:sz w:val="20"/>
          <w:rtl/>
        </w:rPr>
        <w:t xml:space="preserve"> شديد</w:t>
      </w:r>
      <w:r w:rsidRPr="00D85A41">
        <w:rPr>
          <w:rFonts w:hint="cs"/>
          <w:b/>
          <w:bCs/>
          <w:spacing w:val="0"/>
          <w:sz w:val="20"/>
          <w:rtl/>
        </w:rPr>
        <w:t>ة</w:t>
      </w:r>
      <w:r w:rsidRPr="00D85A41">
        <w:rPr>
          <w:b/>
          <w:bCs/>
          <w:spacing w:val="0"/>
          <w:sz w:val="20"/>
          <w:rtl/>
        </w:rPr>
        <w:t>،</w:t>
      </w:r>
      <w:r w:rsidR="00B345DB" w:rsidRPr="00D85A41">
        <w:rPr>
          <w:b/>
          <w:bCs/>
          <w:spacing w:val="0"/>
          <w:sz w:val="20"/>
          <w:rtl/>
        </w:rPr>
        <w:t xml:space="preserve"> وفقاً </w:t>
      </w:r>
      <w:r w:rsidRPr="00D85A41">
        <w:rPr>
          <w:b/>
          <w:bCs/>
          <w:spacing w:val="0"/>
          <w:sz w:val="20"/>
          <w:rtl/>
        </w:rPr>
        <w:t>للمادة 1 من الاتفاقية. وفي هذا الصدد، تلفت اللجنة الانتباه إلى تعليقها العام رقم 2(2007)، الذي يشير إلى أن التناقضات الخطيرة بين التعريف المحدد في الاتفاقية وذلك الوارد في القانون المحلي تؤدي إلى ثغرات فعلية أو محتملة تتيح إمكانية الإفلات من العقاب (</w:t>
      </w:r>
      <w:r w:rsidRPr="00D85A41">
        <w:rPr>
          <w:b/>
          <w:bCs/>
          <w:spacing w:val="0"/>
          <w:sz w:val="20"/>
        </w:rPr>
        <w:t>CAT/C/GC/2</w:t>
      </w:r>
      <w:r w:rsidRPr="00D85A41">
        <w:rPr>
          <w:b/>
          <w:bCs/>
          <w:spacing w:val="0"/>
          <w:sz w:val="20"/>
          <w:rtl/>
        </w:rPr>
        <w:t>، الفقرة 9).</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الولاية القضائية بشأن أعمال التعذيب</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26</w:t>
      </w:r>
      <w:r w:rsidR="003E72B5">
        <w:rPr>
          <w:spacing w:val="0"/>
          <w:sz w:val="20"/>
          <w:rtl/>
        </w:rPr>
        <w:t>)</w:t>
      </w:r>
      <w:r w:rsidR="003E72B5">
        <w:rPr>
          <w:spacing w:val="0"/>
          <w:sz w:val="20"/>
          <w:rtl/>
        </w:rPr>
        <w:tab/>
      </w:r>
      <w:r w:rsidR="004E0A37" w:rsidRPr="004E0A37">
        <w:rPr>
          <w:spacing w:val="0"/>
          <w:sz w:val="20"/>
          <w:rtl/>
        </w:rPr>
        <w:t>في حين تحيط اللجنة</w:t>
      </w:r>
      <w:r w:rsidR="003833F8">
        <w:rPr>
          <w:spacing w:val="0"/>
          <w:sz w:val="20"/>
          <w:rtl/>
        </w:rPr>
        <w:t xml:space="preserve"> علماً </w:t>
      </w:r>
      <w:r w:rsidR="004E0A37" w:rsidRPr="004E0A37">
        <w:rPr>
          <w:spacing w:val="0"/>
          <w:sz w:val="20"/>
          <w:rtl/>
        </w:rPr>
        <w:t>بالمعلومات المقدمة من الدولة الطرف عن تطبيق المواد من</w:t>
      </w:r>
      <w:r w:rsidR="004E0A37" w:rsidRPr="004E0A37">
        <w:rPr>
          <w:rFonts w:hint="cs"/>
          <w:spacing w:val="0"/>
          <w:sz w:val="20"/>
          <w:rtl/>
        </w:rPr>
        <w:t> </w:t>
      </w:r>
      <w:r w:rsidR="004E0A37" w:rsidRPr="004E0A37">
        <w:rPr>
          <w:spacing w:val="0"/>
          <w:sz w:val="20"/>
          <w:rtl/>
        </w:rPr>
        <w:t xml:space="preserve">5 إلى 8 من الاتفاقية، فإنها تأسف لعدم توضيح </w:t>
      </w:r>
      <w:r w:rsidR="00F96B1E">
        <w:rPr>
          <w:rFonts w:hint="cs"/>
          <w:spacing w:val="0"/>
          <w:sz w:val="20"/>
          <w:rtl/>
        </w:rPr>
        <w:t>فيما </w:t>
      </w:r>
      <w:r w:rsidR="004E0A37" w:rsidRPr="004E0A37">
        <w:rPr>
          <w:rFonts w:hint="cs"/>
          <w:spacing w:val="0"/>
          <w:sz w:val="20"/>
          <w:rtl/>
        </w:rPr>
        <w:t>يتعلق بوجود</w:t>
      </w:r>
      <w:r w:rsidR="004E0A37" w:rsidRPr="004E0A37">
        <w:rPr>
          <w:spacing w:val="0"/>
          <w:sz w:val="20"/>
          <w:rtl/>
        </w:rPr>
        <w:t xml:space="preserve"> التدابير اللازمة لإقامة</w:t>
      </w:r>
      <w:r w:rsidR="004E0A37" w:rsidRPr="004E0A37">
        <w:rPr>
          <w:rFonts w:hint="cs"/>
          <w:spacing w:val="0"/>
          <w:sz w:val="20"/>
          <w:rtl/>
        </w:rPr>
        <w:t> </w:t>
      </w:r>
      <w:r w:rsidR="004E0A37" w:rsidRPr="004E0A37">
        <w:rPr>
          <w:spacing w:val="0"/>
          <w:sz w:val="20"/>
          <w:rtl/>
        </w:rPr>
        <w:t xml:space="preserve">الولاية القضائية للدولة الطرف بشأن أعمال التعذيب. وفي حين ينص قانون الاتفاقية لعام 1994 على الولاية القضائية على مرتكبي التعذيب المزعومين الموجودين في أراضي الدولة الطرف، سواء كانوا من المواطنين أو من غيرهم، ليس من الواضح ما إذا كان القانون ينص على إقامة ولاية قضائية عالمية أو أن هذا أمر يُترك لتقدير المحكمة العليا، </w:t>
      </w:r>
      <w:r w:rsidR="004E0A37" w:rsidRPr="004E0A37">
        <w:rPr>
          <w:rFonts w:hint="cs"/>
          <w:spacing w:val="0"/>
          <w:sz w:val="20"/>
          <w:rtl/>
        </w:rPr>
        <w:t>كما يفهم من المادة</w:t>
      </w:r>
      <w:r w:rsidR="004E0A37" w:rsidRPr="004E0A37">
        <w:rPr>
          <w:spacing w:val="0"/>
          <w:sz w:val="20"/>
          <w:rtl/>
        </w:rPr>
        <w:t xml:space="preserve"> 4(2) من قانون الاتفاقية. </w:t>
      </w:r>
      <w:r w:rsidR="004E0A37" w:rsidRPr="004E0A37">
        <w:rPr>
          <w:rFonts w:hint="cs"/>
          <w:spacing w:val="0"/>
          <w:sz w:val="20"/>
          <w:rtl/>
        </w:rPr>
        <w:t>وعلاوة على ذلك</w:t>
      </w:r>
      <w:r w:rsidR="004E0A37" w:rsidRPr="004E0A37">
        <w:rPr>
          <w:spacing w:val="0"/>
          <w:sz w:val="20"/>
          <w:rtl/>
        </w:rPr>
        <w:t xml:space="preserve">، يبدو أن </w:t>
      </w:r>
      <w:r w:rsidR="004E0A37" w:rsidRPr="004E0A37">
        <w:rPr>
          <w:rFonts w:hint="cs"/>
          <w:spacing w:val="0"/>
          <w:sz w:val="20"/>
          <w:rtl/>
        </w:rPr>
        <w:t xml:space="preserve">المادة </w:t>
      </w:r>
      <w:r w:rsidR="004E0A37" w:rsidRPr="004E0A37">
        <w:rPr>
          <w:spacing w:val="0"/>
          <w:sz w:val="20"/>
          <w:rtl/>
        </w:rPr>
        <w:t xml:space="preserve">7 من قانون الاتفاقية </w:t>
      </w:r>
      <w:r w:rsidR="004E0A37" w:rsidRPr="004E0A37">
        <w:rPr>
          <w:rFonts w:hint="cs"/>
          <w:spacing w:val="0"/>
          <w:sz w:val="20"/>
          <w:rtl/>
        </w:rPr>
        <w:t>ت</w:t>
      </w:r>
      <w:r w:rsidR="004E0A37" w:rsidRPr="004E0A37">
        <w:rPr>
          <w:spacing w:val="0"/>
          <w:sz w:val="20"/>
          <w:rtl/>
        </w:rPr>
        <w:t xml:space="preserve">قتضي رفض طلب بالتسليم قبل </w:t>
      </w:r>
      <w:r w:rsidR="004E0A37" w:rsidRPr="004E0A37">
        <w:rPr>
          <w:rFonts w:hint="cs"/>
          <w:spacing w:val="0"/>
          <w:sz w:val="20"/>
          <w:rtl/>
        </w:rPr>
        <w:t xml:space="preserve">اشتراط </w:t>
      </w:r>
      <w:r w:rsidR="004E0A37" w:rsidRPr="004E0A37">
        <w:rPr>
          <w:spacing w:val="0"/>
          <w:sz w:val="20"/>
          <w:rtl/>
        </w:rPr>
        <w:t xml:space="preserve">إحالة القضية إلى السلطات المختصة. وتذكِّر اللجنة بآرائها السابقة المتعلقة بمضمون الالتزام بالتسليم أو المحاكمة (مبدأ التسليم أو المحاكمة)، </w:t>
      </w:r>
      <w:r w:rsidR="004E0A37" w:rsidRPr="004E0A37">
        <w:rPr>
          <w:rFonts w:hint="cs"/>
          <w:spacing w:val="0"/>
          <w:sz w:val="20"/>
          <w:rtl/>
        </w:rPr>
        <w:t>حيث جاء فيها</w:t>
      </w:r>
      <w:r w:rsidR="004E0A37" w:rsidRPr="004E0A37">
        <w:rPr>
          <w:spacing w:val="0"/>
          <w:sz w:val="20"/>
          <w:rtl/>
        </w:rPr>
        <w:t xml:space="preserve"> </w:t>
      </w:r>
      <w:r w:rsidR="004E0A37" w:rsidRPr="004E0A37">
        <w:rPr>
          <w:rFonts w:hint="cs"/>
          <w:spacing w:val="0"/>
          <w:sz w:val="20"/>
          <w:rtl/>
        </w:rPr>
        <w:t xml:space="preserve">أن واجب </w:t>
      </w:r>
      <w:r w:rsidR="004E0A37" w:rsidRPr="004E0A37">
        <w:rPr>
          <w:spacing w:val="0"/>
          <w:sz w:val="20"/>
          <w:rtl/>
        </w:rPr>
        <w:t xml:space="preserve">الدولة الطرف بملاحقة الشخص الذي يُدعى أنه ارتكب أفعال التعذيب لا يتوقف على وجود مسبق لطلب بالتسليم (المواد 5 و6 و7 و8). </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تكرر اللجنة توصيتها السابقة (</w:t>
      </w:r>
      <w:r w:rsidRPr="00D85A41">
        <w:rPr>
          <w:b/>
          <w:bCs/>
          <w:spacing w:val="0"/>
          <w:sz w:val="20"/>
        </w:rPr>
        <w:t>CAT/C/LKA/CO/2</w:t>
      </w:r>
      <w:r w:rsidRPr="00D85A41">
        <w:rPr>
          <w:b/>
          <w:bCs/>
          <w:spacing w:val="0"/>
          <w:sz w:val="20"/>
          <w:rtl/>
        </w:rPr>
        <w:t>، الفقرة 10) بأن تعمل الدولة الطرف على أن تسمح تشريعاتها المحلية بإقامة الولاية القضائية بشأن أعمال التعذيب</w:t>
      </w:r>
      <w:r w:rsidR="00B345DB" w:rsidRPr="00D85A41">
        <w:rPr>
          <w:b/>
          <w:bCs/>
          <w:spacing w:val="0"/>
          <w:sz w:val="20"/>
          <w:rtl/>
        </w:rPr>
        <w:t xml:space="preserve"> وفقاً </w:t>
      </w:r>
      <w:r w:rsidRPr="00D85A41">
        <w:rPr>
          <w:b/>
          <w:bCs/>
          <w:spacing w:val="0"/>
          <w:sz w:val="20"/>
          <w:rtl/>
        </w:rPr>
        <w:t xml:space="preserve">للمادة 5 من الاتفاقية، بما في ذلك الأحكام المتعلقة ببدء إجراءات جنائية بموجب المادة 7 ضد المواطنين غير السريلانكيين الذين ارتكبوا أعمال التعذيب خارج أراضي الدولة الطرف، لكنهم موجودون على أراضيها ولم يجر تسليمهم. </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اللاجئون وعدم الإعادة القسرية</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27</w:t>
      </w:r>
      <w:r w:rsidR="003E72B5">
        <w:rPr>
          <w:spacing w:val="0"/>
          <w:sz w:val="20"/>
          <w:rtl/>
        </w:rPr>
        <w:t>)</w:t>
      </w:r>
      <w:r w:rsidR="003E72B5">
        <w:rPr>
          <w:spacing w:val="0"/>
          <w:sz w:val="20"/>
          <w:rtl/>
        </w:rPr>
        <w:tab/>
      </w:r>
      <w:r w:rsidR="004E0A37" w:rsidRPr="004E0A37">
        <w:rPr>
          <w:spacing w:val="0"/>
          <w:sz w:val="20"/>
          <w:rtl/>
        </w:rPr>
        <w:t xml:space="preserve">تلاحظ اللجنة مع القلق عدم وجود تشريعات محلية أو سياسة وطنية </w:t>
      </w:r>
      <w:r w:rsidR="004E0A37" w:rsidRPr="004E0A37">
        <w:rPr>
          <w:rFonts w:hint="cs"/>
          <w:spacing w:val="0"/>
          <w:sz w:val="20"/>
          <w:rtl/>
        </w:rPr>
        <w:t xml:space="preserve">تكفل </w:t>
      </w:r>
      <w:r w:rsidR="004E0A37" w:rsidRPr="004E0A37">
        <w:rPr>
          <w:spacing w:val="0"/>
          <w:sz w:val="20"/>
          <w:rtl/>
        </w:rPr>
        <w:t xml:space="preserve">الحماية للاجئين وملتمسي اللجوء في الدولة الطرف وللأشخاص الذين يطلبون الحماية الدولية. وتأسف اللجنة لقلة المعلومات المقدمة من الدولة الطرف بشأن عدد حالات الإعادة القسرية والتسليم والطرد التي جرت خلال الفترة المشمولة بالتقرير وعدد الحالات التي قدَّمت فيها </w:t>
      </w:r>
      <w:r w:rsidR="004E0A37" w:rsidRPr="004E0A37">
        <w:rPr>
          <w:rFonts w:hint="cs"/>
          <w:spacing w:val="0"/>
          <w:sz w:val="20"/>
          <w:rtl/>
        </w:rPr>
        <w:t>تطمينات</w:t>
      </w:r>
      <w:r w:rsidR="004E0A37" w:rsidRPr="004E0A37">
        <w:rPr>
          <w:spacing w:val="0"/>
          <w:sz w:val="20"/>
          <w:rtl/>
        </w:rPr>
        <w:t xml:space="preserve"> أو ضمانات دبلوماسية (المادة 3).</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 xml:space="preserve">ينبغي للدولة الطرف أن تعتمد سياسة وطنية، </w:t>
      </w:r>
      <w:r w:rsidRPr="00D85A41">
        <w:rPr>
          <w:rFonts w:hint="cs"/>
          <w:b/>
          <w:bCs/>
          <w:spacing w:val="0"/>
          <w:sz w:val="20"/>
          <w:rtl/>
        </w:rPr>
        <w:t>وأن تتخذ</w:t>
      </w:r>
      <w:r w:rsidRPr="00D85A41">
        <w:rPr>
          <w:b/>
          <w:bCs/>
          <w:spacing w:val="0"/>
          <w:sz w:val="20"/>
          <w:rtl/>
        </w:rPr>
        <w:t xml:space="preserve"> التدابير التشريعية والإدارية اللازمة، لضمان حماية اللاجئين وملتمسي اللجوء والأشخاص عديمي الجنسية.</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 xml:space="preserve">وتشجع اللجنة الدولة الطرف على النظر في إمكانية التصديق على </w:t>
      </w:r>
      <w:r w:rsidRPr="00D85A41">
        <w:rPr>
          <w:b/>
          <w:bCs/>
          <w:spacing w:val="0"/>
          <w:sz w:val="20"/>
          <w:cs/>
        </w:rPr>
        <w:t>‎‎</w:t>
      </w:r>
      <w:r w:rsidRPr="00D85A41">
        <w:rPr>
          <w:b/>
          <w:bCs/>
          <w:spacing w:val="0"/>
          <w:sz w:val="20"/>
          <w:rtl/>
        </w:rPr>
        <w:t>الاتفاقية الخاصة بوضع اللاجئين‏ والبروتوكول الخاص بوضع اللاجئين واتفاقية وضع الأشخاص عديمي الجنسية‏‏ واتفاقية خفض حالات انعدام الجنسية.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التدريب</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28</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بالمعلومات المتعلقة بتدريب أفراد الشرطة والجيش في مجال حقوق الإنسان، الواردة في تقرير الدولة الطرف والردود على قائمة المسائل. لكنها تأسف لعدم تقديم معلومات بشأن تقييم هذه البرامج </w:t>
      </w:r>
      <w:r w:rsidR="004E0A37" w:rsidRPr="004E0A37">
        <w:rPr>
          <w:rFonts w:hint="cs"/>
          <w:spacing w:val="0"/>
          <w:sz w:val="20"/>
          <w:rtl/>
        </w:rPr>
        <w:t xml:space="preserve">بشأن </w:t>
      </w:r>
      <w:r w:rsidR="004E0A37" w:rsidRPr="004E0A37">
        <w:rPr>
          <w:spacing w:val="0"/>
          <w:sz w:val="20"/>
          <w:rtl/>
        </w:rPr>
        <w:t>الحد من وقوع أفعال التعذيب وسوء المعاملة، كما تأسف لعدم وجود تدريب معين لصالح الموظفين الطبيين العاملين في مرافق الاحتجاز للكشف عن علامات التعذيب وسوء المعاملة (المادتان 10 و11).</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ينبغي للدولة الطرف:</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(‌أ)</w:t>
      </w:r>
      <w:r w:rsidRPr="00D85A41">
        <w:rPr>
          <w:b/>
          <w:bCs/>
          <w:spacing w:val="0"/>
          <w:sz w:val="20"/>
          <w:rtl/>
        </w:rPr>
        <w:tab/>
        <w:t xml:space="preserve">أن تواصل تقديم برامج التدريب الإلزامي لكي تضمن </w:t>
      </w:r>
      <w:r w:rsidRPr="00D85A41">
        <w:rPr>
          <w:rFonts w:hint="cs"/>
          <w:b/>
          <w:bCs/>
          <w:spacing w:val="0"/>
          <w:sz w:val="20"/>
          <w:rtl/>
        </w:rPr>
        <w:t xml:space="preserve">إطلاع </w:t>
      </w:r>
      <w:r w:rsidRPr="00D85A41">
        <w:rPr>
          <w:b/>
          <w:bCs/>
          <w:spacing w:val="0"/>
          <w:sz w:val="20"/>
          <w:rtl/>
        </w:rPr>
        <w:t xml:space="preserve">جميع الموظفين الحكوميين، بمن فيهم أفراد قوات الشرطة والجيش، </w:t>
      </w:r>
      <w:r w:rsidRPr="00D85A41">
        <w:rPr>
          <w:rFonts w:hint="cs"/>
          <w:b/>
          <w:bCs/>
          <w:spacing w:val="0"/>
          <w:sz w:val="20"/>
          <w:rtl/>
        </w:rPr>
        <w:t xml:space="preserve">إطلاعاً كاملاً على </w:t>
      </w:r>
      <w:r w:rsidRPr="00D85A41">
        <w:rPr>
          <w:b/>
          <w:bCs/>
          <w:spacing w:val="0"/>
          <w:sz w:val="20"/>
          <w:rtl/>
        </w:rPr>
        <w:t>أحكام الاتفاقية وعدم التسامح مع المخالفين لها والتحقيق معهم ومقاضاتهم؛</w:t>
      </w:r>
    </w:p>
    <w:p w:rsidR="004E0A37" w:rsidRPr="00D85A41" w:rsidRDefault="004E0A37" w:rsidP="004E0A37">
      <w:pPr>
        <w:pStyle w:val="SingleTxtGA"/>
        <w:jc w:val="lowKashida"/>
        <w:rPr>
          <w:b/>
          <w:bCs/>
          <w:spacing w:val="0"/>
          <w:sz w:val="20"/>
          <w:rtl/>
        </w:rPr>
      </w:pPr>
      <w:r w:rsidRPr="00D85A41">
        <w:rPr>
          <w:rFonts w:hint="cs"/>
          <w:b/>
          <w:bCs/>
          <w:spacing w:val="0"/>
          <w:sz w:val="20"/>
          <w:rtl/>
        </w:rPr>
        <w:tab/>
      </w:r>
      <w:r w:rsidRPr="00D85A41">
        <w:rPr>
          <w:b/>
          <w:bCs/>
          <w:spacing w:val="0"/>
          <w:sz w:val="20"/>
          <w:rtl/>
        </w:rPr>
        <w:t>(‌ب)</w:t>
      </w:r>
      <w:r w:rsidRPr="00D85A41">
        <w:rPr>
          <w:b/>
          <w:bCs/>
          <w:spacing w:val="0"/>
          <w:sz w:val="20"/>
          <w:rtl/>
        </w:rPr>
        <w:tab/>
        <w:t>أن تقي</w:t>
      </w:r>
      <w:r w:rsidRPr="00D85A41">
        <w:rPr>
          <w:rFonts w:hint="cs"/>
          <w:b/>
          <w:bCs/>
          <w:spacing w:val="0"/>
          <w:sz w:val="20"/>
          <w:rtl/>
        </w:rPr>
        <w:t>ّ</w:t>
      </w:r>
      <w:r w:rsidRPr="00D85A41">
        <w:rPr>
          <w:b/>
          <w:bCs/>
          <w:spacing w:val="0"/>
          <w:sz w:val="20"/>
          <w:rtl/>
        </w:rPr>
        <w:t xml:space="preserve">م </w:t>
      </w:r>
      <w:r w:rsidRPr="00D85A41">
        <w:rPr>
          <w:rFonts w:hint="cs"/>
          <w:b/>
          <w:bCs/>
          <w:spacing w:val="0"/>
          <w:sz w:val="20"/>
          <w:rtl/>
        </w:rPr>
        <w:t xml:space="preserve">مدى </w:t>
      </w:r>
      <w:r w:rsidRPr="00D85A41">
        <w:rPr>
          <w:b/>
          <w:bCs/>
          <w:spacing w:val="0"/>
          <w:sz w:val="20"/>
          <w:rtl/>
        </w:rPr>
        <w:t>فعالية برامج التدريب والتثقيف وأثرها في الحد من وقوع حالات التعذيب وسوء المعاملة؛</w:t>
      </w:r>
    </w:p>
    <w:p w:rsidR="004E0A37" w:rsidRPr="00D85A41" w:rsidRDefault="004E0A37" w:rsidP="004E0A37">
      <w:pPr>
        <w:pStyle w:val="SingleTxtGA"/>
        <w:jc w:val="lowKashida"/>
        <w:rPr>
          <w:b/>
          <w:bCs/>
          <w:spacing w:val="-4"/>
          <w:sz w:val="20"/>
          <w:rtl/>
        </w:rPr>
      </w:pPr>
      <w:r w:rsidRPr="00D85A41">
        <w:rPr>
          <w:rFonts w:hint="cs"/>
          <w:b/>
          <w:bCs/>
          <w:spacing w:val="-4"/>
          <w:sz w:val="20"/>
          <w:rtl/>
        </w:rPr>
        <w:tab/>
      </w:r>
      <w:r w:rsidRPr="00D85A41">
        <w:rPr>
          <w:b/>
          <w:bCs/>
          <w:spacing w:val="-4"/>
          <w:sz w:val="20"/>
          <w:rtl/>
        </w:rPr>
        <w:t>(‌ج)</w:t>
      </w:r>
      <w:r w:rsidRPr="00D85A41">
        <w:rPr>
          <w:b/>
          <w:bCs/>
          <w:spacing w:val="-4"/>
          <w:sz w:val="20"/>
          <w:rtl/>
        </w:rPr>
        <w:tab/>
        <w:t>أن تدعم أنشطة التدريب المتعلقة باستخدام دليل كفاءة التحقيق والتوثيق في</w:t>
      </w:r>
      <w:r w:rsidRPr="00D85A41">
        <w:rPr>
          <w:rFonts w:hint="cs"/>
          <w:b/>
          <w:bCs/>
          <w:spacing w:val="-4"/>
          <w:sz w:val="20"/>
          <w:rtl/>
        </w:rPr>
        <w:t> </w:t>
      </w:r>
      <w:r w:rsidRPr="00D85A41">
        <w:rPr>
          <w:b/>
          <w:bCs/>
          <w:spacing w:val="-4"/>
          <w:sz w:val="20"/>
          <w:rtl/>
        </w:rPr>
        <w:t xml:space="preserve">حالات التعذيب وغيره من ضروب المعاملة أو العقوبة القاسية أو اللاإنسانية أو المهينة (برتوكول </w:t>
      </w:r>
      <w:r w:rsidR="002C1EA7" w:rsidRPr="00D85A41">
        <w:rPr>
          <w:b/>
          <w:bCs/>
          <w:spacing w:val="-4"/>
          <w:sz w:val="20"/>
          <w:rtl/>
        </w:rPr>
        <w:t>اسطنبول</w:t>
      </w:r>
      <w:r w:rsidRPr="00D85A41">
        <w:rPr>
          <w:b/>
          <w:bCs/>
          <w:spacing w:val="-4"/>
          <w:sz w:val="20"/>
          <w:rtl/>
        </w:rPr>
        <w:t>)، والموجهة إلى جميع الموظفين المعنيين، بمن فيهم الموظفون الطبيون.</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الجبر، بما في ذلك التعويض وإعادة التأهيل</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29</w:t>
      </w:r>
      <w:r w:rsidR="003E72B5">
        <w:rPr>
          <w:spacing w:val="0"/>
          <w:sz w:val="20"/>
          <w:rtl/>
        </w:rPr>
        <w:t>)</w:t>
      </w:r>
      <w:r w:rsidR="003E72B5">
        <w:rPr>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 xml:space="preserve">بتوضيح الدولة الطرف الذي يفيد بأنه بموجب الولاية القضائية المتعلقة بالحقوق الأساسية، يجوز للمحاكم السريلانكية أن تمنح تعويضات (رُفعت 529 قضية منذ عام 2006 ضد موظفين في الشرطة)، </w:t>
      </w:r>
      <w:r w:rsidR="004E0A37" w:rsidRPr="004E0A37">
        <w:rPr>
          <w:rFonts w:hint="cs"/>
          <w:spacing w:val="0"/>
          <w:sz w:val="20"/>
          <w:rtl/>
        </w:rPr>
        <w:t>وأنه</w:t>
      </w:r>
      <w:r w:rsidR="004E0A37" w:rsidRPr="004E0A37">
        <w:rPr>
          <w:spacing w:val="0"/>
          <w:sz w:val="20"/>
          <w:rtl/>
        </w:rPr>
        <w:t xml:space="preserve"> كان هناك عدد من الحالات التي منحت فيها المحكمة العليا تعويضات مالية عن التعذيب، وأنه يمكن الحصول على التعويض عن طريق رفع دعوى للتعويض عن الضرر إلى محكمة المقاطعة. ومع ذلك، تشير اللجنة إلى التقارير التي تفيد بأن مبالغ التعويض غير متناسقة. وفي هذا الصدد، تعرب اللجنة عن أسفها لنقص المعلومات الواردة في تقرير الدولة الطرف عن قرارات المحكمة العليا </w:t>
      </w:r>
      <w:r w:rsidR="004E0A37" w:rsidRPr="004E0A37">
        <w:rPr>
          <w:rFonts w:hint="cs"/>
          <w:spacing w:val="0"/>
          <w:sz w:val="20"/>
          <w:rtl/>
        </w:rPr>
        <w:t>ومحاكم</w:t>
      </w:r>
      <w:r w:rsidR="004E0A37" w:rsidRPr="004E0A37">
        <w:rPr>
          <w:spacing w:val="0"/>
          <w:sz w:val="20"/>
          <w:rtl/>
        </w:rPr>
        <w:t xml:space="preserve"> المقاطع</w:t>
      </w:r>
      <w:r w:rsidR="004E0A37" w:rsidRPr="004E0A37">
        <w:rPr>
          <w:rFonts w:hint="cs"/>
          <w:spacing w:val="0"/>
          <w:sz w:val="20"/>
          <w:rtl/>
        </w:rPr>
        <w:t>ات</w:t>
      </w:r>
      <w:r w:rsidR="004E0A37" w:rsidRPr="004E0A37">
        <w:rPr>
          <w:spacing w:val="0"/>
          <w:sz w:val="20"/>
          <w:rtl/>
        </w:rPr>
        <w:t xml:space="preserve"> التي مُنحت بموجبها تعويضات لضحايا التعذيب وسوء المعاملة، أو لأسرهم، والمبالغ الممنوحة في هذه القضايا. كما تلاحظ اللجنة مع القلق عدم وجود أي حكم في قانون الاتفاقية لعام</w:t>
      </w:r>
      <w:r w:rsidR="004E0A37" w:rsidRPr="004E0A37">
        <w:rPr>
          <w:rFonts w:hint="cs"/>
          <w:spacing w:val="0"/>
          <w:sz w:val="20"/>
          <w:rtl/>
        </w:rPr>
        <w:t> </w:t>
      </w:r>
      <w:r w:rsidR="004E0A37" w:rsidRPr="004E0A37">
        <w:rPr>
          <w:spacing w:val="0"/>
          <w:sz w:val="20"/>
          <w:rtl/>
        </w:rPr>
        <w:t xml:space="preserve">1994، أو في قانون العقوبات، بشأن تقديم </w:t>
      </w:r>
      <w:r w:rsidR="004E0A37" w:rsidRPr="004E0A37">
        <w:rPr>
          <w:rFonts w:hint="cs"/>
          <w:spacing w:val="0"/>
          <w:sz w:val="20"/>
          <w:rtl/>
        </w:rPr>
        <w:t>ال</w:t>
      </w:r>
      <w:r w:rsidR="004E0A37" w:rsidRPr="004E0A37">
        <w:rPr>
          <w:spacing w:val="0"/>
          <w:sz w:val="20"/>
          <w:rtl/>
        </w:rPr>
        <w:t>تعويضات أو غيرها من أشكال الجبر لضحايا التعذيب. وأخيراً، فإن اللجنة تأسف لعدم كفاية المعلومات المقدمة عن خدمات العلاج وإعادة التأهيل الاجتماعي، بما في ذلك إعادة التأهيل الطبي والنفسي والاجتماعي، المتاحة لجميع ضحايا التعذيب (المادة 14).</w:t>
      </w:r>
    </w:p>
    <w:p w:rsidR="004E0A37" w:rsidRPr="00043F1D" w:rsidRDefault="004E0A37" w:rsidP="00043F1D">
      <w:pPr>
        <w:pStyle w:val="SingleTxtGA"/>
        <w:jc w:val="lowKashida"/>
        <w:rPr>
          <w:b/>
          <w:bCs/>
          <w:spacing w:val="0"/>
          <w:kern w:val="0"/>
          <w:sz w:val="20"/>
          <w:rtl/>
        </w:rPr>
      </w:pPr>
      <w:r w:rsidRPr="00043F1D">
        <w:rPr>
          <w:rFonts w:hint="cs"/>
          <w:b/>
          <w:bCs/>
          <w:spacing w:val="0"/>
          <w:kern w:val="0"/>
          <w:sz w:val="20"/>
          <w:rtl/>
        </w:rPr>
        <w:tab/>
      </w:r>
      <w:r w:rsidRPr="00043F1D">
        <w:rPr>
          <w:b/>
          <w:bCs/>
          <w:spacing w:val="0"/>
          <w:kern w:val="0"/>
          <w:sz w:val="20"/>
          <w:rtl/>
        </w:rPr>
        <w:t>ينبغي للدولة الطرف أن تعزز جهودها من أجل توفير سبل الجبر لضحايا التعذيب وسوء المعاملة، بما في ذلك التعويض العادل والمناسب، وإعادة تأهيلهم على أكمل وجه</w:t>
      </w:r>
      <w:r w:rsidR="00043F1D">
        <w:rPr>
          <w:rFonts w:hint="cs"/>
          <w:b/>
          <w:bCs/>
          <w:spacing w:val="0"/>
          <w:kern w:val="0"/>
          <w:sz w:val="20"/>
          <w:rtl/>
        </w:rPr>
        <w:t> </w:t>
      </w:r>
      <w:r w:rsidRPr="00043F1D">
        <w:rPr>
          <w:b/>
          <w:bCs/>
          <w:spacing w:val="0"/>
          <w:kern w:val="0"/>
          <w:sz w:val="20"/>
          <w:rtl/>
        </w:rPr>
        <w:t>ممكن.</w:t>
      </w:r>
    </w:p>
    <w:p w:rsidR="004E0A37" w:rsidRPr="00D85A41" w:rsidRDefault="004E0A37" w:rsidP="004E0A37">
      <w:pPr>
        <w:pStyle w:val="SingleTxtGA"/>
        <w:jc w:val="lowKashida"/>
        <w:rPr>
          <w:b/>
          <w:bCs/>
          <w:spacing w:val="0"/>
          <w:sz w:val="20"/>
          <w:rtl/>
        </w:rPr>
      </w:pPr>
      <w:r w:rsidRPr="00D85A41">
        <w:rPr>
          <w:b/>
          <w:bCs/>
          <w:spacing w:val="0"/>
          <w:sz w:val="20"/>
          <w:rtl/>
        </w:rPr>
        <w:tab/>
      </w:r>
      <w:r w:rsidRPr="00D85A41">
        <w:rPr>
          <w:rFonts w:hint="cs"/>
          <w:b/>
          <w:bCs/>
          <w:spacing w:val="0"/>
          <w:sz w:val="20"/>
          <w:rtl/>
        </w:rPr>
        <w:t>و</w:t>
      </w:r>
      <w:r w:rsidRPr="00D85A41">
        <w:rPr>
          <w:b/>
          <w:bCs/>
          <w:spacing w:val="0"/>
          <w:sz w:val="20"/>
          <w:rtl/>
        </w:rPr>
        <w:t>تكرر اللجنة توصيتها السابقة (</w:t>
      </w:r>
      <w:r w:rsidRPr="00D85A41">
        <w:rPr>
          <w:b/>
          <w:bCs/>
          <w:spacing w:val="0"/>
          <w:sz w:val="20"/>
        </w:rPr>
        <w:t>CAT/C/LKA/CO/2</w:t>
      </w:r>
      <w:r w:rsidRPr="00D85A41">
        <w:rPr>
          <w:b/>
          <w:bCs/>
          <w:spacing w:val="0"/>
          <w:sz w:val="20"/>
          <w:rtl/>
        </w:rPr>
        <w:t>، الفقرة 16) بأن تضمن الدولة الطرف توفير برامج إعادة التأهيل المناسبة لجميع ضحايا التعذيب وسوء المعاملة، بما فيها برامج المساعدة الطبية والنفسية.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العقوبة البدنية</w:t>
      </w:r>
    </w:p>
    <w:p w:rsidR="004E0A37" w:rsidRPr="004E0A37" w:rsidRDefault="00BE7198" w:rsidP="00ED3910">
      <w:pPr>
        <w:pStyle w:val="SingleTxtGA"/>
        <w:jc w:val="lowKashida"/>
        <w:rPr>
          <w:rFonts w:hint="cs"/>
          <w:spacing w:val="0"/>
          <w:sz w:val="20"/>
          <w:rtl/>
        </w:rPr>
      </w:pPr>
      <w:r>
        <w:rPr>
          <w:rFonts w:hint="cs"/>
          <w:spacing w:val="0"/>
          <w:sz w:val="20"/>
          <w:rtl/>
        </w:rPr>
        <w:t>(</w:t>
      </w:r>
      <w:r w:rsidR="004E0A37" w:rsidRPr="004E0A37">
        <w:rPr>
          <w:spacing w:val="0"/>
          <w:sz w:val="20"/>
          <w:rtl/>
        </w:rPr>
        <w:t>30</w:t>
      </w:r>
      <w:r w:rsidR="003E72B5">
        <w:rPr>
          <w:spacing w:val="0"/>
          <w:sz w:val="20"/>
          <w:rtl/>
        </w:rPr>
        <w:t>)</w:t>
      </w:r>
      <w:r w:rsidR="003E72B5">
        <w:rPr>
          <w:spacing w:val="0"/>
          <w:sz w:val="20"/>
          <w:rtl/>
        </w:rPr>
        <w:tab/>
      </w:r>
      <w:r w:rsidR="004E0A37" w:rsidRPr="004E0A37">
        <w:rPr>
          <w:spacing w:val="0"/>
          <w:sz w:val="20"/>
          <w:rtl/>
        </w:rPr>
        <w:t xml:space="preserve">تلاحظ اللجنة أنه إذا كانت العقوبة البدنية محظورة كعقوبة جنائية بموجب القانون (إلغاء) العقوبة البدنية رقم 23 لعام 2005، فإنها غير محظورة كإجراء تأديبي في المؤسسات العقابية الخاصة بالجناة الأحداث، وفي البيت وفي </w:t>
      </w:r>
      <w:r w:rsidR="004E0A37" w:rsidRPr="004E0A37">
        <w:rPr>
          <w:rFonts w:hint="cs"/>
          <w:spacing w:val="0"/>
          <w:sz w:val="20"/>
          <w:rtl/>
        </w:rPr>
        <w:t xml:space="preserve">مؤسسات </w:t>
      </w:r>
      <w:r w:rsidR="004E0A37" w:rsidRPr="004E0A37">
        <w:rPr>
          <w:spacing w:val="0"/>
          <w:sz w:val="20"/>
          <w:rtl/>
        </w:rPr>
        <w:t>الرعاية البديلة، بموجب المادة</w:t>
      </w:r>
      <w:r w:rsidR="004E0A37" w:rsidRPr="004E0A37">
        <w:rPr>
          <w:rFonts w:hint="cs"/>
          <w:spacing w:val="0"/>
          <w:sz w:val="20"/>
          <w:rtl/>
        </w:rPr>
        <w:t> </w:t>
      </w:r>
      <w:r w:rsidR="004E0A37" w:rsidRPr="004E0A37">
        <w:rPr>
          <w:spacing w:val="0"/>
          <w:sz w:val="20"/>
          <w:rtl/>
        </w:rPr>
        <w:t xml:space="preserve">82 من قانون العقوبات. كما تلاحظ اللجنة مع القلق أنه رغم إصدار وزارة التربية </w:t>
      </w:r>
      <w:r w:rsidR="004E0A37" w:rsidRPr="004E0A37">
        <w:rPr>
          <w:rFonts w:hint="cs"/>
          <w:spacing w:val="0"/>
          <w:sz w:val="20"/>
          <w:rtl/>
        </w:rPr>
        <w:t>ا</w:t>
      </w:r>
      <w:r w:rsidR="004E0A37" w:rsidRPr="004E0A37">
        <w:rPr>
          <w:spacing w:val="0"/>
          <w:sz w:val="20"/>
          <w:rtl/>
        </w:rPr>
        <w:t>لتعميم رقم</w:t>
      </w:r>
      <w:r w:rsidR="004E0A37" w:rsidRPr="004E0A37">
        <w:rPr>
          <w:rFonts w:hint="cs"/>
          <w:spacing w:val="0"/>
          <w:sz w:val="20"/>
          <w:rtl/>
        </w:rPr>
        <w:t> </w:t>
      </w:r>
      <w:r w:rsidR="004E0A37" w:rsidRPr="004E0A37">
        <w:rPr>
          <w:spacing w:val="0"/>
          <w:sz w:val="20"/>
          <w:rtl/>
        </w:rPr>
        <w:t>2005/17</w:t>
      </w:r>
      <w:r w:rsidR="004E0A37" w:rsidRPr="004E0A37">
        <w:rPr>
          <w:rFonts w:hint="cs"/>
          <w:spacing w:val="0"/>
          <w:sz w:val="20"/>
          <w:rtl/>
        </w:rPr>
        <w:t xml:space="preserve"> في عام 2005</w:t>
      </w:r>
      <w:r w:rsidR="004E0A37" w:rsidRPr="004E0A37">
        <w:rPr>
          <w:spacing w:val="0"/>
          <w:sz w:val="20"/>
          <w:rtl/>
        </w:rPr>
        <w:t xml:space="preserve">، الذي </w:t>
      </w:r>
      <w:r w:rsidR="004E0A37" w:rsidRPr="004E0A37">
        <w:rPr>
          <w:rFonts w:hint="cs"/>
          <w:spacing w:val="0"/>
          <w:sz w:val="20"/>
          <w:rtl/>
        </w:rPr>
        <w:t xml:space="preserve">جاء فيه </w:t>
      </w:r>
      <w:r w:rsidR="004E0A37" w:rsidRPr="004E0A37">
        <w:rPr>
          <w:spacing w:val="0"/>
          <w:sz w:val="20"/>
          <w:rtl/>
        </w:rPr>
        <w:t xml:space="preserve">أنه ينبغي </w:t>
      </w:r>
      <w:r w:rsidR="004E0A37" w:rsidRPr="004E0A37">
        <w:rPr>
          <w:rFonts w:hint="cs"/>
          <w:spacing w:val="0"/>
          <w:sz w:val="20"/>
          <w:rtl/>
        </w:rPr>
        <w:t xml:space="preserve">عدم اللجوء إلى </w:t>
      </w:r>
      <w:r w:rsidR="004E0A37" w:rsidRPr="004E0A37">
        <w:rPr>
          <w:spacing w:val="0"/>
          <w:sz w:val="20"/>
          <w:rtl/>
        </w:rPr>
        <w:t>العقوبة البدنية في</w:t>
      </w:r>
      <w:r w:rsidR="00ED3910">
        <w:rPr>
          <w:rFonts w:hint="eastAsia"/>
          <w:spacing w:val="0"/>
          <w:sz w:val="20"/>
          <w:rtl/>
        </w:rPr>
        <w:t> </w:t>
      </w:r>
      <w:r w:rsidR="004E0A37" w:rsidRPr="004E0A37">
        <w:rPr>
          <w:spacing w:val="0"/>
          <w:sz w:val="20"/>
          <w:rtl/>
        </w:rPr>
        <w:t>المدارس، فإنه لا يوجد ما يحظرها في القانون ولا يزال استخدامها واسع الانتشار (المادتان</w:t>
      </w:r>
      <w:r w:rsidR="00ED3910">
        <w:rPr>
          <w:rFonts w:hint="cs"/>
          <w:spacing w:val="0"/>
          <w:sz w:val="20"/>
          <w:rtl/>
        </w:rPr>
        <w:t> </w:t>
      </w:r>
      <w:r w:rsidR="004E0A37" w:rsidRPr="004E0A37">
        <w:rPr>
          <w:spacing w:val="0"/>
          <w:sz w:val="20"/>
          <w:rtl/>
        </w:rPr>
        <w:t>10 و16)</w:t>
      </w:r>
      <w:r w:rsidR="004E0A37" w:rsidRPr="004E0A37">
        <w:rPr>
          <w:rFonts w:hint="cs"/>
          <w:spacing w:val="0"/>
          <w:sz w:val="20"/>
          <w:rtl/>
        </w:rPr>
        <w:t>.</w:t>
      </w:r>
    </w:p>
    <w:p w:rsidR="004E0A37" w:rsidRPr="006C4108" w:rsidRDefault="004E0A37" w:rsidP="004E0A37">
      <w:pPr>
        <w:pStyle w:val="SingleTxtGA"/>
        <w:jc w:val="lowKashida"/>
        <w:rPr>
          <w:b/>
          <w:bCs/>
          <w:spacing w:val="0"/>
          <w:sz w:val="20"/>
          <w:rtl/>
        </w:rPr>
      </w:pPr>
      <w:r w:rsidRPr="006C4108">
        <w:rPr>
          <w:rFonts w:hint="cs"/>
          <w:b/>
          <w:bCs/>
          <w:spacing w:val="0"/>
          <w:sz w:val="20"/>
          <w:rtl/>
        </w:rPr>
        <w:tab/>
      </w:r>
      <w:r w:rsidRPr="006C4108">
        <w:rPr>
          <w:b/>
          <w:bCs/>
          <w:spacing w:val="0"/>
          <w:sz w:val="20"/>
          <w:rtl/>
        </w:rPr>
        <w:t>ينبغي للدولة الطرف أن تنظر في تعديل قانون العقوبات، بهدف حظر العقوبة البدنية في جميع الأماكن، وإذكاء الوعي العام</w:t>
      </w:r>
      <w:r w:rsidRPr="006C4108">
        <w:rPr>
          <w:rFonts w:hint="cs"/>
          <w:b/>
          <w:bCs/>
          <w:spacing w:val="0"/>
          <w:sz w:val="20"/>
          <w:rtl/>
        </w:rPr>
        <w:t xml:space="preserve"> بهذه المسألة</w:t>
      </w:r>
      <w:r w:rsidRPr="006C4108">
        <w:rPr>
          <w:b/>
          <w:bCs/>
          <w:spacing w:val="0"/>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الوثائق المطلوبة بشأن الامتثال للاتفاقية</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31</w:t>
      </w:r>
      <w:r w:rsidR="003E72B5">
        <w:rPr>
          <w:spacing w:val="0"/>
          <w:sz w:val="20"/>
          <w:rtl/>
        </w:rPr>
        <w:t>)</w:t>
      </w:r>
      <w:r w:rsidR="003E72B5">
        <w:rPr>
          <w:spacing w:val="0"/>
          <w:sz w:val="20"/>
          <w:rtl/>
        </w:rPr>
        <w:tab/>
      </w:r>
      <w:r w:rsidR="004E0A37" w:rsidRPr="004E0A37">
        <w:rPr>
          <w:spacing w:val="0"/>
          <w:sz w:val="20"/>
          <w:rtl/>
        </w:rPr>
        <w:t>على الرغم من التوصية السابقة للجنة بأن تزودها الدولة الطرف بمعلومات إحصائية مفصلة عن مجموعة متنوعة من المسائل الجنائية الأساسية وغيرها من المسائل الإحصائية (</w:t>
      </w:r>
      <w:r w:rsidR="004E0A37" w:rsidRPr="004E0A37">
        <w:rPr>
          <w:spacing w:val="0"/>
          <w:sz w:val="20"/>
        </w:rPr>
        <w:t>CAT/C/LKA/CO/2</w:t>
      </w:r>
      <w:r w:rsidR="004E0A37" w:rsidRPr="004E0A37">
        <w:rPr>
          <w:spacing w:val="0"/>
          <w:sz w:val="20"/>
          <w:rtl/>
        </w:rPr>
        <w:t>، الفقرة 19)، فإن اللجنة تشعر بالقلق لأن الدولة الطرف</w:t>
      </w:r>
      <w:r w:rsidR="00335AC0">
        <w:rPr>
          <w:spacing w:val="0"/>
          <w:sz w:val="20"/>
          <w:rtl/>
        </w:rPr>
        <w:t xml:space="preserve"> لم </w:t>
      </w:r>
      <w:r w:rsidR="004E0A37" w:rsidRPr="004E0A37">
        <w:rPr>
          <w:spacing w:val="0"/>
          <w:sz w:val="20"/>
          <w:rtl/>
        </w:rPr>
        <w:t xml:space="preserve">تقدم هذه المعلومات لا في تقريرها الدوري ولا في ردها على قائمة المسائل ولا في المواد التكميلية الخطية. وإن عدم وجود بيانات شاملة ومصنفة بشأن الشكاوى </w:t>
      </w:r>
      <w:r w:rsidR="004E0A37" w:rsidRPr="004E0A37">
        <w:rPr>
          <w:rFonts w:hint="cs"/>
          <w:spacing w:val="0"/>
          <w:sz w:val="20"/>
          <w:rtl/>
        </w:rPr>
        <w:t>و</w:t>
      </w:r>
      <w:r w:rsidR="004E0A37" w:rsidRPr="004E0A37">
        <w:rPr>
          <w:spacing w:val="0"/>
          <w:sz w:val="20"/>
          <w:rtl/>
        </w:rPr>
        <w:t xml:space="preserve">التحقيقات والملاحقات والإدانات في قضايا التعذيب وسوء المعاملة </w:t>
      </w:r>
      <w:r w:rsidR="004E0A37" w:rsidRPr="004E0A37">
        <w:rPr>
          <w:rFonts w:hint="cs"/>
          <w:spacing w:val="0"/>
          <w:sz w:val="20"/>
          <w:rtl/>
        </w:rPr>
        <w:t>المرفوعة ضد</w:t>
      </w:r>
      <w:r w:rsidR="004E0A37" w:rsidRPr="004E0A37">
        <w:rPr>
          <w:spacing w:val="0"/>
          <w:sz w:val="20"/>
          <w:rtl/>
        </w:rPr>
        <w:t xml:space="preserve"> موظفين مكلفين بإنفاذ القانون وأفراد</w:t>
      </w:r>
      <w:r w:rsidR="004E0A37" w:rsidRPr="004E0A37">
        <w:rPr>
          <w:rFonts w:hint="cs"/>
          <w:spacing w:val="0"/>
          <w:sz w:val="20"/>
          <w:rtl/>
        </w:rPr>
        <w:t xml:space="preserve"> من</w:t>
      </w:r>
      <w:r w:rsidR="004E0A37" w:rsidRPr="004E0A37">
        <w:rPr>
          <w:spacing w:val="0"/>
          <w:sz w:val="20"/>
          <w:rtl/>
        </w:rPr>
        <w:t xml:space="preserve"> الجيش وموظفي</w:t>
      </w:r>
      <w:r w:rsidR="004E0A37" w:rsidRPr="004E0A37">
        <w:rPr>
          <w:rFonts w:hint="cs"/>
          <w:spacing w:val="0"/>
          <w:sz w:val="20"/>
          <w:rtl/>
        </w:rPr>
        <w:t>ن في</w:t>
      </w:r>
      <w:r w:rsidR="004E0A37" w:rsidRPr="004E0A37">
        <w:rPr>
          <w:spacing w:val="0"/>
          <w:sz w:val="20"/>
          <w:rtl/>
        </w:rPr>
        <w:t xml:space="preserve"> السجون، بما في ذلك حالات الاختفاء القسري والاغتصاب والعنف ضد النساء، وأشكال أخرى من التعذيب وسوء المعاملة، هو أمر يعوق تحديد </w:t>
      </w:r>
      <w:r w:rsidR="004E0A37" w:rsidRPr="004E0A37">
        <w:rPr>
          <w:rFonts w:hint="cs"/>
          <w:spacing w:val="0"/>
          <w:sz w:val="20"/>
          <w:rtl/>
        </w:rPr>
        <w:t>نوع الإساءة التي ت</w:t>
      </w:r>
      <w:r w:rsidR="004E0A37" w:rsidRPr="004E0A37">
        <w:rPr>
          <w:spacing w:val="0"/>
          <w:sz w:val="20"/>
          <w:rtl/>
        </w:rPr>
        <w:t>تطلب الاهتمام وتنفيذ الاتفاقية تنفيذاً فعالاً (المواد 2 و19).</w:t>
      </w:r>
    </w:p>
    <w:p w:rsidR="004E0A37" w:rsidRPr="006C4108" w:rsidRDefault="004E0A37" w:rsidP="004E0A37">
      <w:pPr>
        <w:pStyle w:val="SingleTxtGA"/>
        <w:jc w:val="lowKashida"/>
        <w:rPr>
          <w:b/>
          <w:bCs/>
          <w:spacing w:val="0"/>
          <w:sz w:val="20"/>
          <w:rtl/>
        </w:rPr>
      </w:pPr>
      <w:r w:rsidRPr="006C4108">
        <w:rPr>
          <w:rFonts w:hint="cs"/>
          <w:b/>
          <w:bCs/>
          <w:spacing w:val="0"/>
          <w:sz w:val="20"/>
          <w:rtl/>
        </w:rPr>
        <w:tab/>
      </w:r>
      <w:r w:rsidRPr="006C4108">
        <w:rPr>
          <w:b/>
          <w:bCs/>
          <w:spacing w:val="0"/>
          <w:sz w:val="20"/>
          <w:rtl/>
        </w:rPr>
        <w:t xml:space="preserve">ينبغي أن تجمِّع الدولة الطرف بيانات إحصائية تتصل برصد تنفيذ الاتفاقية على الصعيدين الوطني والمحلي، على أن تكون مصنفة بحسب نوع الجنس، والانتماء العرقي، والسن، والمنطقة الجغرافية، ونوع مكان الحرمان من الحرية وموقعه، بما في ذلك بيانات بشأن الشكاوى والتحقيقات والملاحقات في قضايا التعذيب وإساءة المعاملة </w:t>
      </w:r>
      <w:r w:rsidRPr="006C4108">
        <w:rPr>
          <w:rFonts w:hint="cs"/>
          <w:b/>
          <w:bCs/>
          <w:spacing w:val="0"/>
          <w:sz w:val="20"/>
          <w:rtl/>
        </w:rPr>
        <w:t xml:space="preserve">المرفوعة ضد </w:t>
      </w:r>
      <w:r w:rsidRPr="006C4108">
        <w:rPr>
          <w:b/>
          <w:bCs/>
          <w:spacing w:val="0"/>
          <w:sz w:val="20"/>
          <w:rtl/>
        </w:rPr>
        <w:t xml:space="preserve">موظفين مكلفين بإنفاذ القانون وأفراد </w:t>
      </w:r>
      <w:r w:rsidRPr="006C4108">
        <w:rPr>
          <w:rFonts w:hint="cs"/>
          <w:b/>
          <w:bCs/>
          <w:spacing w:val="0"/>
          <w:sz w:val="20"/>
          <w:rtl/>
        </w:rPr>
        <w:t xml:space="preserve">من </w:t>
      </w:r>
      <w:r w:rsidRPr="006C4108">
        <w:rPr>
          <w:b/>
          <w:bCs/>
          <w:spacing w:val="0"/>
          <w:sz w:val="20"/>
          <w:rtl/>
        </w:rPr>
        <w:t>الجيش وموظفي</w:t>
      </w:r>
      <w:r w:rsidRPr="006C4108">
        <w:rPr>
          <w:rFonts w:hint="cs"/>
          <w:b/>
          <w:bCs/>
          <w:spacing w:val="0"/>
          <w:sz w:val="20"/>
          <w:rtl/>
        </w:rPr>
        <w:t>ن</w:t>
      </w:r>
      <w:r w:rsidRPr="006C4108">
        <w:rPr>
          <w:b/>
          <w:bCs/>
          <w:spacing w:val="0"/>
          <w:sz w:val="20"/>
          <w:rtl/>
        </w:rPr>
        <w:t xml:space="preserve"> </w:t>
      </w:r>
      <w:r w:rsidRPr="006C4108">
        <w:rPr>
          <w:rFonts w:hint="cs"/>
          <w:b/>
          <w:bCs/>
          <w:spacing w:val="0"/>
          <w:sz w:val="20"/>
          <w:rtl/>
        </w:rPr>
        <w:t xml:space="preserve">في </w:t>
      </w:r>
      <w:r w:rsidRPr="006C4108">
        <w:rPr>
          <w:b/>
          <w:bCs/>
          <w:spacing w:val="0"/>
          <w:sz w:val="20"/>
          <w:rtl/>
        </w:rPr>
        <w:t>السجون، وبشأن حالات الاختفاء القسري والاغتصاب والعنف ضد النساء.</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32</w:t>
      </w:r>
      <w:r w:rsidR="003E72B5">
        <w:rPr>
          <w:spacing w:val="0"/>
          <w:sz w:val="20"/>
          <w:rtl/>
        </w:rPr>
        <w:t>)</w:t>
      </w:r>
      <w:r w:rsidR="003E72B5">
        <w:rPr>
          <w:spacing w:val="0"/>
          <w:sz w:val="20"/>
          <w:rtl/>
        </w:rPr>
        <w:tab/>
      </w:r>
      <w:r w:rsidR="004E0A37" w:rsidRPr="004E0A37">
        <w:rPr>
          <w:spacing w:val="0"/>
          <w:sz w:val="20"/>
          <w:rtl/>
        </w:rPr>
        <w:t>بعد أن أحاطت اللجنة</w:t>
      </w:r>
      <w:r w:rsidR="003833F8">
        <w:rPr>
          <w:spacing w:val="0"/>
          <w:sz w:val="20"/>
          <w:rtl/>
        </w:rPr>
        <w:t xml:space="preserve"> علماً </w:t>
      </w:r>
      <w:r w:rsidR="004E0A37" w:rsidRPr="004E0A37">
        <w:rPr>
          <w:spacing w:val="0"/>
          <w:sz w:val="20"/>
          <w:rtl/>
        </w:rPr>
        <w:t>بالالتزامات الطوعية التي تعهدت بها الدولة الطرف في سياق الاستعراض الدوري الشامل لمجلس حقوق الإنسان في شهر أيار/مايو 2008 (</w:t>
      </w:r>
      <w:r w:rsidR="004E0A37" w:rsidRPr="004E0A37">
        <w:rPr>
          <w:spacing w:val="0"/>
          <w:sz w:val="20"/>
        </w:rPr>
        <w:t>A/HRC/8/46</w:t>
      </w:r>
      <w:r w:rsidR="004E0A37" w:rsidRPr="004E0A37">
        <w:rPr>
          <w:spacing w:val="0"/>
          <w:sz w:val="20"/>
          <w:rtl/>
        </w:rPr>
        <w:t>، الفقرات 90 و108-110)، توصي اللجنة الدولة الطرف بالنظر في اعتماد مشروع قانون بشأن حماية الشهود والضحايا ومشروع قانون بشأن حقوق المشردين داخليا</w:t>
      </w:r>
      <w:r w:rsidR="004E0A37" w:rsidRPr="004E0A37">
        <w:rPr>
          <w:rFonts w:hint="cs"/>
          <w:spacing w:val="0"/>
          <w:sz w:val="20"/>
          <w:rtl/>
        </w:rPr>
        <w:t>ً</w:t>
      </w:r>
      <w:r w:rsidR="004E0A37" w:rsidRPr="004E0A37">
        <w:rPr>
          <w:spacing w:val="0"/>
          <w:sz w:val="20"/>
          <w:rtl/>
        </w:rPr>
        <w:t>؛ وتحسين وتطوير مرافق الاحتجاز؛ وتحسين قدرة الشرطة في مجال إجراء التحقيقات، مع توفير أنشطة إضافية للتدريب على التحقيق والملاحقة.</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33</w:t>
      </w:r>
      <w:r w:rsidR="003E72B5">
        <w:rPr>
          <w:spacing w:val="0"/>
          <w:sz w:val="20"/>
          <w:rtl/>
        </w:rPr>
        <w:t>)</w:t>
      </w:r>
      <w:r w:rsidR="003E72B5">
        <w:rPr>
          <w:spacing w:val="0"/>
          <w:sz w:val="20"/>
          <w:rtl/>
        </w:rPr>
        <w:tab/>
      </w:r>
      <w:r w:rsidR="004E0A37" w:rsidRPr="004E0A37">
        <w:rPr>
          <w:spacing w:val="0"/>
          <w:sz w:val="20"/>
          <w:rtl/>
        </w:rPr>
        <w:t>وتوصي اللجنة بأن تنظر الدولة الطرف في التصديق على البروتوكول الاختياري للاتفاقية.</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34</w:t>
      </w:r>
      <w:r w:rsidR="003E72B5">
        <w:rPr>
          <w:spacing w:val="0"/>
          <w:sz w:val="20"/>
          <w:rtl/>
        </w:rPr>
        <w:t>)</w:t>
      </w:r>
      <w:r w:rsidR="003E72B5">
        <w:rPr>
          <w:spacing w:val="0"/>
          <w:sz w:val="20"/>
          <w:rtl/>
        </w:rPr>
        <w:tab/>
      </w:r>
      <w:r w:rsidR="004E0A37" w:rsidRPr="004E0A37">
        <w:rPr>
          <w:spacing w:val="0"/>
          <w:sz w:val="20"/>
          <w:rtl/>
        </w:rPr>
        <w:t xml:space="preserve">وتوصي اللجنة بأن تنظر الدولة الطرف في </w:t>
      </w:r>
      <w:r w:rsidR="004E0A37" w:rsidRPr="004E0A37">
        <w:rPr>
          <w:rFonts w:hint="cs"/>
          <w:spacing w:val="0"/>
          <w:sz w:val="20"/>
          <w:rtl/>
        </w:rPr>
        <w:t xml:space="preserve">تقديم </w:t>
      </w:r>
      <w:r w:rsidR="004E0A37" w:rsidRPr="004E0A37">
        <w:rPr>
          <w:spacing w:val="0"/>
          <w:sz w:val="20"/>
          <w:rtl/>
        </w:rPr>
        <w:t>الإعلانين المنصوص عليهما في المادة</w:t>
      </w:r>
      <w:r w:rsidR="004E0A37" w:rsidRPr="004E0A37">
        <w:rPr>
          <w:rFonts w:hint="cs"/>
          <w:spacing w:val="0"/>
          <w:sz w:val="20"/>
          <w:rtl/>
        </w:rPr>
        <w:t> </w:t>
      </w:r>
      <w:r w:rsidR="004E0A37" w:rsidRPr="004E0A37">
        <w:rPr>
          <w:spacing w:val="0"/>
          <w:sz w:val="20"/>
          <w:rtl/>
        </w:rPr>
        <w:t xml:space="preserve">21 والمادة 22 من الاتفاقية. </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35</w:t>
      </w:r>
      <w:r w:rsidR="003E72B5">
        <w:rPr>
          <w:spacing w:val="0"/>
          <w:sz w:val="20"/>
          <w:rtl/>
        </w:rPr>
        <w:t>)</w:t>
      </w:r>
      <w:r w:rsidR="003E72B5">
        <w:rPr>
          <w:spacing w:val="0"/>
          <w:sz w:val="20"/>
          <w:rtl/>
        </w:rPr>
        <w:tab/>
      </w:r>
      <w:r w:rsidR="004E0A37" w:rsidRPr="004E0A37">
        <w:rPr>
          <w:spacing w:val="0"/>
          <w:sz w:val="20"/>
          <w:rtl/>
        </w:rPr>
        <w:t>وتدعو اللجنة الدولة الطرف إلى النظر في التصديق على معاهدات الأمم المتحدة الرئيسية لحقوق الإنسان التي</w:t>
      </w:r>
      <w:r w:rsidR="00335AC0">
        <w:rPr>
          <w:spacing w:val="0"/>
          <w:sz w:val="20"/>
          <w:rtl/>
        </w:rPr>
        <w:t xml:space="preserve"> لم </w:t>
      </w:r>
      <w:r w:rsidR="004E0A37" w:rsidRPr="004E0A37">
        <w:rPr>
          <w:rFonts w:hint="cs"/>
          <w:spacing w:val="0"/>
          <w:sz w:val="20"/>
          <w:rtl/>
        </w:rPr>
        <w:t xml:space="preserve">تنضم إليها </w:t>
      </w:r>
      <w:r w:rsidR="004E0A37" w:rsidRPr="004E0A37">
        <w:rPr>
          <w:spacing w:val="0"/>
          <w:sz w:val="20"/>
          <w:rtl/>
        </w:rPr>
        <w:t>بعد.</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36</w:t>
      </w:r>
      <w:r w:rsidR="003E72B5">
        <w:rPr>
          <w:spacing w:val="0"/>
          <w:sz w:val="20"/>
          <w:rtl/>
        </w:rPr>
        <w:t>)</w:t>
      </w:r>
      <w:r w:rsidR="003E72B5">
        <w:rPr>
          <w:spacing w:val="0"/>
          <w:sz w:val="20"/>
          <w:rtl/>
        </w:rPr>
        <w:tab/>
      </w:r>
      <w:r w:rsidR="004E0A37" w:rsidRPr="004E0A37">
        <w:rPr>
          <w:spacing w:val="0"/>
          <w:sz w:val="20"/>
          <w:rtl/>
        </w:rPr>
        <w:t>وتشجَّع الدولة الطرف على أن تنشر على نطاق واسع، وباللغات المناسبة، التقارير التي قدمتها سري لانكا إلى اللجنة وهذه الملاحظات الختامية، عن طريق المواقع الرسمية على شبكة الإنترنت ووسائط الإعلام والمنظمات غير الحكومية.</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37</w:t>
      </w:r>
      <w:r w:rsidR="003E72B5">
        <w:rPr>
          <w:spacing w:val="0"/>
          <w:sz w:val="20"/>
          <w:rtl/>
        </w:rPr>
        <w:t>)</w:t>
      </w:r>
      <w:r w:rsidR="003E72B5">
        <w:rPr>
          <w:spacing w:val="0"/>
          <w:sz w:val="20"/>
          <w:rtl/>
        </w:rPr>
        <w:tab/>
      </w:r>
      <w:r w:rsidR="004E0A37" w:rsidRPr="004E0A37">
        <w:rPr>
          <w:spacing w:val="0"/>
          <w:sz w:val="20"/>
          <w:rtl/>
        </w:rPr>
        <w:t>وتدعو اللجنة الدولة الطرف إلى تحديث وثيقتها الأساسية الموحدة (</w:t>
      </w:r>
      <w:r w:rsidR="004E0A37" w:rsidRPr="004E0A37">
        <w:rPr>
          <w:spacing w:val="0"/>
          <w:sz w:val="20"/>
        </w:rPr>
        <w:t>HRI/CORE/LKA/2008</w:t>
      </w:r>
      <w:r w:rsidR="004E0A37" w:rsidRPr="004E0A37">
        <w:rPr>
          <w:spacing w:val="0"/>
          <w:sz w:val="20"/>
          <w:rtl/>
        </w:rPr>
        <w:t>)،</w:t>
      </w:r>
      <w:r w:rsidR="00B345DB">
        <w:rPr>
          <w:spacing w:val="0"/>
          <w:sz w:val="20"/>
          <w:rtl/>
        </w:rPr>
        <w:t xml:space="preserve"> وفقاً </w:t>
      </w:r>
      <w:r w:rsidR="004E0A37" w:rsidRPr="004E0A37">
        <w:rPr>
          <w:spacing w:val="0"/>
          <w:sz w:val="20"/>
          <w:rtl/>
        </w:rPr>
        <w:t>لمتطلبات الوثيقة الأساسية الموحدة الواردة في المبادئ التوجيهية المنسقة لتقديم التقارير في إطار المعاهدات الدولية لحقوق الإنسان (</w:t>
      </w:r>
      <w:r w:rsidR="004E0A37" w:rsidRPr="004E0A37">
        <w:rPr>
          <w:spacing w:val="0"/>
          <w:sz w:val="20"/>
        </w:rPr>
        <w:t>HRI/GEN.2/Rev.6</w:t>
      </w:r>
      <w:r w:rsidR="004E0A37" w:rsidRPr="004E0A37">
        <w:rPr>
          <w:spacing w:val="0"/>
          <w:sz w:val="20"/>
          <w:rtl/>
        </w:rPr>
        <w:t>).</w:t>
      </w:r>
    </w:p>
    <w:p w:rsidR="004E0A37" w:rsidRPr="004E0A37" w:rsidRDefault="00BE7198" w:rsidP="004E0A37">
      <w:pPr>
        <w:pStyle w:val="SingleTxtGA"/>
        <w:jc w:val="lowKashida"/>
        <w:rPr>
          <w:spacing w:val="0"/>
          <w:sz w:val="20"/>
          <w:rtl/>
        </w:rPr>
      </w:pPr>
      <w:r>
        <w:rPr>
          <w:rFonts w:hint="cs"/>
          <w:spacing w:val="0"/>
          <w:sz w:val="20"/>
          <w:rtl/>
        </w:rPr>
        <w:t>(</w:t>
      </w:r>
      <w:r w:rsidR="004E0A37" w:rsidRPr="004E0A37">
        <w:rPr>
          <w:spacing w:val="0"/>
          <w:sz w:val="20"/>
          <w:rtl/>
        </w:rPr>
        <w:t>38</w:t>
      </w:r>
      <w:r w:rsidR="003E72B5">
        <w:rPr>
          <w:spacing w:val="0"/>
          <w:sz w:val="20"/>
          <w:rtl/>
        </w:rPr>
        <w:t>)</w:t>
      </w:r>
      <w:r w:rsidR="003E72B5">
        <w:rPr>
          <w:spacing w:val="0"/>
          <w:sz w:val="20"/>
          <w:rtl/>
        </w:rPr>
        <w:tab/>
      </w:r>
      <w:r w:rsidR="004E0A37" w:rsidRPr="004E0A37">
        <w:rPr>
          <w:spacing w:val="0"/>
          <w:sz w:val="20"/>
          <w:rtl/>
        </w:rPr>
        <w:t xml:space="preserve">وتطلب اللجنة من الدولة الطرف أن تقدم بحلول 25 تشرين الثاني/نوفمبر 2012 معلومات عن </w:t>
      </w:r>
      <w:r w:rsidR="004E0A37" w:rsidRPr="004E0A37">
        <w:rPr>
          <w:rFonts w:hint="cs"/>
          <w:spacing w:val="0"/>
          <w:sz w:val="20"/>
          <w:rtl/>
        </w:rPr>
        <w:t xml:space="preserve">الإجراءات المتخذة </w:t>
      </w:r>
      <w:r w:rsidR="004E0A37" w:rsidRPr="004E0A37">
        <w:rPr>
          <w:spacing w:val="0"/>
          <w:sz w:val="20"/>
          <w:rtl/>
        </w:rPr>
        <w:t>استجابة لتوصيات اللجنة بشأن (1) كفالة أو تعزيز الضمانات القانونية المقدمة للأشخاص المحتجزين (2) وإجراء تحقيقات فورية ونزيهة وفعالة</w:t>
      </w:r>
      <w:r w:rsidR="004E0A37" w:rsidRPr="004E0A37">
        <w:rPr>
          <w:rFonts w:hint="cs"/>
          <w:spacing w:val="0"/>
          <w:sz w:val="20"/>
          <w:rtl/>
        </w:rPr>
        <w:t> </w:t>
      </w:r>
      <w:r w:rsidR="004E0A37" w:rsidRPr="004E0A37">
        <w:rPr>
          <w:spacing w:val="0"/>
          <w:sz w:val="20"/>
          <w:rtl/>
        </w:rPr>
        <w:t xml:space="preserve">(3) وملاحقة المشتبه فيهم ومعاقبة مرتكبي أفعال التعذيب أو سوء المعاملة، على النحو الوارد في الفقرات 7 و11 و18 و21 من هذه الوثيقة. وبالإضافة إلى هذا، تطلب اللجنة معلومات عن </w:t>
      </w:r>
      <w:r w:rsidR="004E0A37" w:rsidRPr="004E0A37">
        <w:rPr>
          <w:rFonts w:hint="cs"/>
          <w:spacing w:val="0"/>
          <w:sz w:val="20"/>
          <w:rtl/>
        </w:rPr>
        <w:t xml:space="preserve">الإجراءات المتخذة </w:t>
      </w:r>
      <w:r w:rsidR="004E0A37" w:rsidRPr="004E0A37">
        <w:rPr>
          <w:spacing w:val="0"/>
          <w:sz w:val="20"/>
          <w:rtl/>
        </w:rPr>
        <w:t xml:space="preserve">بشأن سبل الانتصاف والجبر لصالح الضحايا </w:t>
      </w:r>
      <w:r w:rsidR="004E0A37" w:rsidRPr="004E0A37">
        <w:rPr>
          <w:rFonts w:hint="cs"/>
          <w:spacing w:val="0"/>
          <w:sz w:val="20"/>
          <w:rtl/>
        </w:rPr>
        <w:t xml:space="preserve">المشار إليها </w:t>
      </w:r>
      <w:r w:rsidR="004E0A37" w:rsidRPr="004E0A37">
        <w:rPr>
          <w:spacing w:val="0"/>
          <w:sz w:val="20"/>
          <w:rtl/>
        </w:rPr>
        <w:t>في الفقرات</w:t>
      </w:r>
      <w:r w:rsidR="004E0A37" w:rsidRPr="004E0A37">
        <w:rPr>
          <w:rFonts w:hint="cs"/>
          <w:spacing w:val="0"/>
          <w:sz w:val="20"/>
          <w:rtl/>
        </w:rPr>
        <w:t xml:space="preserve"> </w:t>
      </w:r>
      <w:r w:rsidR="004E0A37" w:rsidRPr="004E0A37">
        <w:rPr>
          <w:spacing w:val="0"/>
          <w:sz w:val="20"/>
          <w:rtl/>
        </w:rPr>
        <w:t>المذكورة.</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spacing w:val="0"/>
          <w:sz w:val="20"/>
          <w:rtl/>
        </w:rPr>
        <w:t>39</w:t>
      </w:r>
      <w:r w:rsidR="003E72B5">
        <w:rPr>
          <w:spacing w:val="0"/>
          <w:sz w:val="20"/>
          <w:rtl/>
        </w:rPr>
        <w:t>)</w:t>
      </w:r>
      <w:r w:rsidR="003E72B5">
        <w:rPr>
          <w:spacing w:val="0"/>
          <w:sz w:val="20"/>
          <w:rtl/>
        </w:rPr>
        <w:tab/>
      </w:r>
      <w:r w:rsidR="004E0A37" w:rsidRPr="004E0A37">
        <w:rPr>
          <w:spacing w:val="0"/>
          <w:sz w:val="20"/>
          <w:rtl/>
        </w:rPr>
        <w:t xml:space="preserve">ودعت اللجنة الدولة الطرف إلى تقديم تقريرها المقبل، الذي سيكون التقرير الدوري الخامس، بحلول 25 تشرين الثاني/نوفمبر 2015. ولهذا الغرض، تدعو اللجنة الدولة الطرف إلى أن </w:t>
      </w:r>
      <w:r w:rsidR="004E0A37" w:rsidRPr="004E0A37">
        <w:rPr>
          <w:rFonts w:hint="cs"/>
          <w:spacing w:val="0"/>
          <w:sz w:val="20"/>
          <w:rtl/>
        </w:rPr>
        <w:t>تعرب</w:t>
      </w:r>
      <w:r w:rsidR="004E0A37" w:rsidRPr="004E0A37">
        <w:rPr>
          <w:spacing w:val="0"/>
          <w:sz w:val="20"/>
          <w:rtl/>
        </w:rPr>
        <w:t xml:space="preserve">، بحلول 25 تشرين الثاني/نوفمبر 2012، </w:t>
      </w:r>
      <w:r w:rsidR="004E0A37" w:rsidRPr="004E0A37">
        <w:rPr>
          <w:rFonts w:hint="cs"/>
          <w:spacing w:val="0"/>
          <w:sz w:val="20"/>
          <w:rtl/>
        </w:rPr>
        <w:t xml:space="preserve">عن قبولها </w:t>
      </w:r>
      <w:r w:rsidR="004E0A37" w:rsidRPr="004E0A37">
        <w:rPr>
          <w:spacing w:val="0"/>
          <w:sz w:val="20"/>
          <w:rtl/>
        </w:rPr>
        <w:t>تقديم التقارير بموجب إجراء اللجنة الاختياري لتقديم التقارير، المتمثل في إحالة قائمة من المسائل من اللجنة إلى الدولة الطرف قبل تقديم التقرير الدوري. وسوف يشكل رد الدولة الطرف على قائمة المسائل هذه، بموجب المادة 19 من الاتفاقية، تقريرها الدوري المقبل.</w:t>
      </w:r>
    </w:p>
    <w:p w:rsidR="004E0A37" w:rsidRPr="004E0A37" w:rsidRDefault="004E0A37" w:rsidP="004E0A37">
      <w:pPr>
        <w:pStyle w:val="SingleTxtGA"/>
        <w:jc w:val="lowKashida"/>
        <w:rPr>
          <w:rFonts w:hint="cs"/>
          <w:spacing w:val="0"/>
          <w:sz w:val="20"/>
          <w:rtl/>
        </w:rPr>
      </w:pPr>
      <w:r w:rsidRPr="004E0A37">
        <w:rPr>
          <w:rFonts w:hint="cs"/>
          <w:spacing w:val="0"/>
          <w:sz w:val="20"/>
          <w:rtl/>
        </w:rPr>
        <w:t>60-</w:t>
      </w:r>
      <w:r w:rsidRPr="004E0A37">
        <w:rPr>
          <w:rFonts w:hint="cs"/>
          <w:spacing w:val="0"/>
          <w:sz w:val="20"/>
          <w:rtl/>
        </w:rPr>
        <w:tab/>
      </w:r>
      <w:r w:rsidRPr="006C4108">
        <w:rPr>
          <w:rFonts w:hint="cs"/>
          <w:b/>
          <w:bCs/>
          <w:spacing w:val="0"/>
          <w:sz w:val="20"/>
          <w:rtl/>
        </w:rPr>
        <w:t>ألبانيا</w:t>
      </w:r>
    </w:p>
    <w:p w:rsidR="004E0A37" w:rsidRPr="00BE7198" w:rsidRDefault="004E0A37" w:rsidP="004E0A37">
      <w:pPr>
        <w:pStyle w:val="SingleTxtGA"/>
        <w:jc w:val="lowKashida"/>
        <w:rPr>
          <w:rFonts w:hint="cs"/>
          <w:spacing w:val="-2"/>
          <w:sz w:val="20"/>
          <w:rtl/>
        </w:rPr>
      </w:pPr>
      <w:r w:rsidRPr="00BE7198">
        <w:rPr>
          <w:rFonts w:hint="cs"/>
          <w:spacing w:val="-2"/>
          <w:sz w:val="20"/>
          <w:rtl/>
        </w:rPr>
        <w:t>(1</w:t>
      </w:r>
      <w:r w:rsidR="003E72B5" w:rsidRPr="00BE7198">
        <w:rPr>
          <w:rFonts w:hint="cs"/>
          <w:spacing w:val="-2"/>
          <w:sz w:val="20"/>
          <w:rtl/>
        </w:rPr>
        <w:t>)</w:t>
      </w:r>
      <w:r w:rsidR="003E72B5" w:rsidRPr="00BE7198">
        <w:rPr>
          <w:rFonts w:hint="cs"/>
          <w:spacing w:val="-2"/>
          <w:sz w:val="20"/>
          <w:rtl/>
        </w:rPr>
        <w:tab/>
      </w:r>
      <w:r w:rsidRPr="00BE7198">
        <w:rPr>
          <w:rFonts w:hint="cs"/>
          <w:spacing w:val="-2"/>
          <w:sz w:val="20"/>
          <w:rtl/>
        </w:rPr>
        <w:t>نظرت لجنة مناهضة التعذيب في التقرير الدوري الثاني لألبانيا (</w:t>
      </w:r>
      <w:r w:rsidRPr="00BE7198">
        <w:rPr>
          <w:spacing w:val="-2"/>
          <w:sz w:val="20"/>
        </w:rPr>
        <w:t>CAT/C/ALB/2</w:t>
      </w:r>
      <w:r w:rsidRPr="00BE7198">
        <w:rPr>
          <w:rFonts w:hint="cs"/>
          <w:spacing w:val="-2"/>
          <w:sz w:val="20"/>
          <w:rtl/>
        </w:rPr>
        <w:t>)، في جلستيها 1060 و1063 (</w:t>
      </w:r>
      <w:r w:rsidRPr="00BE7198">
        <w:rPr>
          <w:spacing w:val="-2"/>
          <w:sz w:val="20"/>
        </w:rPr>
        <w:t>CAT/C/SR.1060</w:t>
      </w:r>
      <w:r w:rsidRPr="00BE7198">
        <w:rPr>
          <w:rFonts w:hint="cs"/>
          <w:spacing w:val="-2"/>
          <w:sz w:val="20"/>
          <w:rtl/>
        </w:rPr>
        <w:t xml:space="preserve"> و</w:t>
      </w:r>
      <w:r w:rsidRPr="00BE7198">
        <w:rPr>
          <w:spacing w:val="-2"/>
          <w:sz w:val="20"/>
        </w:rPr>
        <w:t>1063</w:t>
      </w:r>
      <w:r w:rsidRPr="00BE7198">
        <w:rPr>
          <w:rFonts w:hint="cs"/>
          <w:spacing w:val="-2"/>
          <w:sz w:val="20"/>
          <w:rtl/>
        </w:rPr>
        <w:t>)، المعقودتين في 8 و9 أيار/مايو 2012، واعتمدت في جلستها 1084 (</w:t>
      </w:r>
      <w:r w:rsidRPr="00BE7198">
        <w:rPr>
          <w:spacing w:val="-2"/>
          <w:sz w:val="20"/>
        </w:rPr>
        <w:t>CAT/C/SR.1084</w:t>
      </w:r>
      <w:r w:rsidRPr="00BE7198">
        <w:rPr>
          <w:rFonts w:hint="cs"/>
          <w:spacing w:val="-2"/>
          <w:sz w:val="20"/>
          <w:rtl/>
        </w:rPr>
        <w:t>)، المعقودة في 25 أيار/مايو 2012، الملاحظات الختامية التالية.</w:t>
      </w:r>
    </w:p>
    <w:p w:rsidR="004E0A37" w:rsidRPr="004E0A37" w:rsidRDefault="007223C0" w:rsidP="00043F1D">
      <w:pPr>
        <w:pStyle w:val="H23GA"/>
        <w:tabs>
          <w:tab w:val="left" w:pos="1939"/>
        </w:tabs>
        <w:rPr>
          <w:rFonts w:hint="cs"/>
          <w:rtl/>
        </w:rPr>
      </w:pPr>
      <w:r>
        <w:rPr>
          <w:rFonts w:hint="cs"/>
          <w:rtl/>
        </w:rPr>
        <w:tab/>
      </w:r>
      <w:r w:rsidR="004E0A37" w:rsidRPr="004E0A37">
        <w:rPr>
          <w:rFonts w:hint="cs"/>
          <w:rtl/>
        </w:rPr>
        <w:tab/>
        <w:t>ألف-</w:t>
      </w:r>
      <w:r w:rsidR="004E0A37" w:rsidRPr="004E0A37">
        <w:rPr>
          <w:rFonts w:hint="cs"/>
          <w:rtl/>
        </w:rPr>
        <w:tab/>
        <w:t>مقدمة</w:t>
      </w:r>
    </w:p>
    <w:p w:rsidR="004E0A37" w:rsidRPr="004E0A37" w:rsidRDefault="004E0A37" w:rsidP="004E0A37">
      <w:pPr>
        <w:pStyle w:val="SingleTxtGA"/>
        <w:jc w:val="lowKashida"/>
        <w:rPr>
          <w:rFonts w:hint="cs"/>
          <w:spacing w:val="0"/>
          <w:sz w:val="20"/>
          <w:rtl/>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rFonts w:hint="cs"/>
          <w:spacing w:val="0"/>
          <w:sz w:val="20"/>
          <w:rtl/>
        </w:rPr>
        <w:t>ترحب اللجنة بتقديم الدولة الطرف تقريرها الدوري الثاني على الرغم من مرور قرابة السنتين على الموعد المحدد لتقديمه. وتلاحظ اللجنة أن تقرير الدولة الطرف يمتثل، بوجه عام، للمبادئ التوجيهية لتقديم التقارير، وإن كان يفتقر لبيانات محددة مصنفة بحسب الجنس والسن والجنسية، ولا سيما بشأن أفعال التعذيب وسوء المعاملة من جانب الموظفين المكلفين بإنفاذ القانون.</w:t>
      </w:r>
    </w:p>
    <w:p w:rsidR="004E0A37" w:rsidRPr="004E0A37" w:rsidRDefault="004E0A37" w:rsidP="004E0A37">
      <w:pPr>
        <w:pStyle w:val="SingleTxtGA"/>
        <w:jc w:val="lowKashida"/>
        <w:rPr>
          <w:rFonts w:hint="cs"/>
          <w:spacing w:val="0"/>
          <w:sz w:val="20"/>
          <w:rtl/>
        </w:rPr>
      </w:pPr>
      <w:r w:rsidRPr="004E0A37">
        <w:rPr>
          <w:rFonts w:hint="cs"/>
          <w:spacing w:val="0"/>
          <w:sz w:val="20"/>
          <w:rtl/>
        </w:rPr>
        <w:t>(3</w:t>
      </w:r>
      <w:r w:rsidR="003E72B5">
        <w:rPr>
          <w:rFonts w:hint="cs"/>
          <w:spacing w:val="0"/>
          <w:sz w:val="20"/>
          <w:rtl/>
        </w:rPr>
        <w:t>)</w:t>
      </w:r>
      <w:r w:rsidR="003E72B5">
        <w:rPr>
          <w:rFonts w:hint="cs"/>
          <w:spacing w:val="0"/>
          <w:sz w:val="20"/>
          <w:rtl/>
        </w:rPr>
        <w:tab/>
      </w:r>
      <w:r w:rsidRPr="004E0A37">
        <w:rPr>
          <w:rFonts w:hint="cs"/>
          <w:spacing w:val="0"/>
          <w:sz w:val="20"/>
          <w:rtl/>
        </w:rPr>
        <w:t xml:space="preserve">وتعرب اللجنة عن تقديرها للحوار المفتوح والبناء مع وفد الدولة الطرف المشرك بين الإدارات والذي شمل جميع المجالات التي تغطيها الاتفاقية. وتعرب اللجنة عن تقديرها أيضاً لتقديم الدولة الطرف ردوداً مكتوبة مفصلة على قائمة المسائل، قبل فترة زمنية من انعقاد الدورة، لتيسير النظر في تقريرها. </w:t>
      </w:r>
    </w:p>
    <w:p w:rsidR="004E0A37" w:rsidRPr="004E0A37" w:rsidRDefault="007223C0" w:rsidP="00043F1D">
      <w:pPr>
        <w:pStyle w:val="H23GA"/>
        <w:tabs>
          <w:tab w:val="left" w:pos="1938"/>
        </w:tabs>
        <w:rPr>
          <w:rFonts w:hint="cs"/>
          <w:rtl/>
        </w:rPr>
      </w:pPr>
      <w:r>
        <w:rPr>
          <w:rFonts w:hint="cs"/>
          <w:rtl/>
        </w:rPr>
        <w:tab/>
      </w:r>
      <w:r>
        <w:rPr>
          <w:rFonts w:hint="cs"/>
          <w:rtl/>
        </w:rPr>
        <w:tab/>
        <w:t>باء-</w:t>
      </w:r>
      <w:r w:rsidR="004E0A37" w:rsidRPr="004E0A37">
        <w:rPr>
          <w:rFonts w:hint="cs"/>
          <w:rtl/>
        </w:rPr>
        <w:tab/>
        <w:t xml:space="preserve">الجوانب الإيجابية </w:t>
      </w:r>
    </w:p>
    <w:p w:rsidR="004E0A37" w:rsidRPr="004E0A37" w:rsidRDefault="004E0A37" w:rsidP="004E0A37">
      <w:pPr>
        <w:pStyle w:val="SingleTxtGA"/>
        <w:jc w:val="lowKashida"/>
        <w:rPr>
          <w:rFonts w:hint="cs"/>
          <w:spacing w:val="0"/>
          <w:sz w:val="20"/>
          <w:rtl/>
        </w:rPr>
      </w:pPr>
      <w:r w:rsidRPr="004E0A37">
        <w:rPr>
          <w:rFonts w:hint="cs"/>
          <w:spacing w:val="0"/>
          <w:sz w:val="20"/>
          <w:rtl/>
        </w:rPr>
        <w:t>(4</w:t>
      </w:r>
      <w:r w:rsidR="003E72B5">
        <w:rPr>
          <w:rFonts w:hint="cs"/>
          <w:spacing w:val="0"/>
          <w:sz w:val="20"/>
          <w:rtl/>
        </w:rPr>
        <w:t>)</w:t>
      </w:r>
      <w:r w:rsidR="003E72B5">
        <w:rPr>
          <w:rFonts w:hint="cs"/>
          <w:spacing w:val="0"/>
          <w:sz w:val="20"/>
          <w:rtl/>
        </w:rPr>
        <w:tab/>
      </w:r>
      <w:r w:rsidRPr="004E0A37">
        <w:rPr>
          <w:rFonts w:hint="cs"/>
          <w:spacing w:val="0"/>
          <w:sz w:val="20"/>
          <w:rtl/>
        </w:rPr>
        <w:t>ترحب اللجنة بتصديق الدولة الطرف على الصكوك الدولية التالية:</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الاتفاقية الدولية لحماية حقوق جميع العمال المهاجرين وأفراد أسرهم، في 5 حزيران/يونيه 2007؛</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البروتوكول الاختياري الملحق بالعهد الدولي الخاص بالحقوق المدنية والسياسية، في 4 تشرين الأول/أكتوبر 2007؛</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t>البروتوكول الاختياري الثاني الملحق بالعهد الدولي الخاص بالحقوق المدنية والسياسية والهادف إلى إلغاء عقوبة الإعدام، في 17 تشرين الأول/أكتوبر 2007؛</w:t>
      </w:r>
    </w:p>
    <w:p w:rsidR="004E0A37" w:rsidRPr="004E0A37" w:rsidRDefault="004E0A37" w:rsidP="004E0A37">
      <w:pPr>
        <w:pStyle w:val="SingleTxtGA"/>
        <w:jc w:val="lowKashida"/>
        <w:rPr>
          <w:rFonts w:hint="cs"/>
          <w:spacing w:val="0"/>
          <w:sz w:val="20"/>
          <w:rtl/>
        </w:rPr>
      </w:pPr>
      <w:r w:rsidRPr="004E0A37">
        <w:rPr>
          <w:rFonts w:hint="cs"/>
          <w:spacing w:val="0"/>
          <w:sz w:val="20"/>
          <w:rtl/>
        </w:rPr>
        <w:tab/>
        <w:t>(د)</w:t>
      </w:r>
      <w:r w:rsidRPr="004E0A37">
        <w:rPr>
          <w:rFonts w:hint="cs"/>
          <w:spacing w:val="0"/>
          <w:sz w:val="20"/>
          <w:rtl/>
        </w:rPr>
        <w:tab/>
        <w:t>الاتفاقية الدولية لحماية جميع الأشخاص من الاختفاء القسري، في 8 تشرين الثاني/نوفمبر 2007؛</w:t>
      </w:r>
    </w:p>
    <w:p w:rsidR="004E0A37" w:rsidRPr="004E0A37" w:rsidRDefault="004E0A37" w:rsidP="004E0A37">
      <w:pPr>
        <w:pStyle w:val="SingleTxtGA"/>
        <w:jc w:val="lowKashida"/>
        <w:rPr>
          <w:rFonts w:hint="cs"/>
          <w:spacing w:val="0"/>
          <w:sz w:val="20"/>
          <w:rtl/>
        </w:rPr>
      </w:pPr>
      <w:r w:rsidRPr="004E0A37">
        <w:rPr>
          <w:rFonts w:hint="cs"/>
          <w:spacing w:val="0"/>
          <w:sz w:val="20"/>
          <w:rtl/>
        </w:rPr>
        <w:tab/>
        <w:t>(ﻫ)</w:t>
      </w:r>
      <w:r w:rsidRPr="004E0A37">
        <w:rPr>
          <w:rFonts w:hint="cs"/>
          <w:spacing w:val="0"/>
          <w:sz w:val="20"/>
          <w:rtl/>
        </w:rPr>
        <w:tab/>
        <w:t>البروتوكول الاختياري الملحق باتفاقية حقوق الطفل بشأن بيع الأطفال واستغلال الأطفال في البغاء وفي المواد الإباحية، في 5 شباط/فبراير 2008؛</w:t>
      </w:r>
    </w:p>
    <w:p w:rsidR="004E0A37" w:rsidRPr="004E0A37" w:rsidRDefault="004E0A37" w:rsidP="004E0A37">
      <w:pPr>
        <w:pStyle w:val="SingleTxtGA"/>
        <w:jc w:val="lowKashida"/>
        <w:rPr>
          <w:rFonts w:hint="cs"/>
          <w:spacing w:val="0"/>
          <w:sz w:val="20"/>
          <w:rtl/>
        </w:rPr>
      </w:pPr>
      <w:r w:rsidRPr="004E0A37">
        <w:rPr>
          <w:rFonts w:hint="cs"/>
          <w:spacing w:val="0"/>
          <w:sz w:val="20"/>
          <w:rtl/>
        </w:rPr>
        <w:tab/>
        <w:t>(و)</w:t>
      </w:r>
      <w:r w:rsidRPr="004E0A37">
        <w:rPr>
          <w:rFonts w:hint="cs"/>
          <w:spacing w:val="0"/>
          <w:sz w:val="20"/>
          <w:rtl/>
        </w:rPr>
        <w:tab/>
        <w:t>البروتوكول الاختياري لاتفاقية حقوق الطفل بشأن اشتراك الأطفال في</w:t>
      </w:r>
      <w:r w:rsidR="00177429">
        <w:rPr>
          <w:rFonts w:hint="cs"/>
          <w:spacing w:val="0"/>
          <w:sz w:val="20"/>
          <w:rtl/>
        </w:rPr>
        <w:t xml:space="preserve"> المناز</w:t>
      </w:r>
      <w:r w:rsidRPr="004E0A37">
        <w:rPr>
          <w:rFonts w:hint="cs"/>
          <w:spacing w:val="0"/>
          <w:sz w:val="20"/>
          <w:rtl/>
        </w:rPr>
        <w:t>عات المسلحة، في 9 كانون الأول/ديسمبر 2008؛</w:t>
      </w:r>
    </w:p>
    <w:p w:rsidR="004E0A37" w:rsidRPr="004E0A37" w:rsidRDefault="004E0A37" w:rsidP="004E0A37">
      <w:pPr>
        <w:pStyle w:val="SingleTxtGA"/>
        <w:jc w:val="lowKashida"/>
        <w:rPr>
          <w:rFonts w:hint="cs"/>
          <w:spacing w:val="0"/>
          <w:sz w:val="20"/>
          <w:rtl/>
        </w:rPr>
      </w:pPr>
      <w:r w:rsidRPr="004E0A37">
        <w:rPr>
          <w:rFonts w:hint="cs"/>
          <w:spacing w:val="0"/>
          <w:sz w:val="20"/>
          <w:rtl/>
        </w:rPr>
        <w:tab/>
        <w:t>(ز)</w:t>
      </w:r>
      <w:r w:rsidRPr="004E0A37">
        <w:rPr>
          <w:rFonts w:hint="cs"/>
          <w:spacing w:val="0"/>
          <w:sz w:val="20"/>
          <w:rtl/>
        </w:rPr>
        <w:tab/>
        <w:t>اتفاقية مجلس أوروبا بشأن إجراءات مكافحة الاتجار بالبشر، في 6 شباط/فبراير 2007؛</w:t>
      </w:r>
    </w:p>
    <w:p w:rsidR="004E0A37" w:rsidRPr="00BE7198" w:rsidRDefault="004E0A37" w:rsidP="004E0A37">
      <w:pPr>
        <w:pStyle w:val="SingleTxtGA"/>
        <w:jc w:val="lowKashida"/>
        <w:rPr>
          <w:rFonts w:hint="cs"/>
          <w:spacing w:val="-2"/>
          <w:sz w:val="20"/>
          <w:rtl/>
        </w:rPr>
      </w:pPr>
      <w:r w:rsidRPr="00BE7198">
        <w:rPr>
          <w:rFonts w:hint="cs"/>
          <w:spacing w:val="-2"/>
          <w:sz w:val="20"/>
          <w:rtl/>
        </w:rPr>
        <w:tab/>
        <w:t>(ح)</w:t>
      </w:r>
      <w:r w:rsidRPr="00BE7198">
        <w:rPr>
          <w:rFonts w:hint="cs"/>
          <w:spacing w:val="-2"/>
          <w:sz w:val="20"/>
          <w:rtl/>
        </w:rPr>
        <w:tab/>
        <w:t>البروتوكول رقم 13 الملحق بالاتفاقية الأوربية لحماية حقوق الإنسان والحريات الأساسية الخاص بإلغاء عقوبة الإعدام في جميع الظروف، في 6 شباط/فبراير 2007.</w:t>
      </w:r>
    </w:p>
    <w:p w:rsidR="004E0A37" w:rsidRPr="004E0A37" w:rsidRDefault="004E0A37" w:rsidP="004E0A37">
      <w:pPr>
        <w:pStyle w:val="SingleTxtGA"/>
        <w:jc w:val="lowKashida"/>
        <w:rPr>
          <w:rFonts w:hint="cs"/>
          <w:spacing w:val="0"/>
          <w:sz w:val="20"/>
          <w:rtl/>
        </w:rPr>
      </w:pPr>
      <w:r w:rsidRPr="004E0A37">
        <w:rPr>
          <w:rFonts w:hint="cs"/>
          <w:spacing w:val="0"/>
          <w:sz w:val="20"/>
          <w:rtl/>
        </w:rPr>
        <w:t>(5</w:t>
      </w:r>
      <w:r w:rsidR="003E72B5">
        <w:rPr>
          <w:rFonts w:hint="cs"/>
          <w:spacing w:val="0"/>
          <w:sz w:val="20"/>
          <w:rtl/>
        </w:rPr>
        <w:t>)</w:t>
      </w:r>
      <w:r w:rsidR="003E72B5">
        <w:rPr>
          <w:rFonts w:hint="cs"/>
          <w:spacing w:val="0"/>
          <w:sz w:val="20"/>
          <w:rtl/>
        </w:rPr>
        <w:tab/>
      </w:r>
      <w:r w:rsidRPr="004E0A37">
        <w:rPr>
          <w:rFonts w:hint="cs"/>
          <w:spacing w:val="0"/>
          <w:sz w:val="20"/>
          <w:rtl/>
        </w:rPr>
        <w:t>وترحب اللجنة بإصدار التشريعين التاليين:</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 xml:space="preserve">القانون رقم 9686 الصادر في 26 شباط/فبراير 2007، المعدل لتعريف التعذيب الوارد في المادة 86 من القانون الجنائي، والذي يجرم الأفعال التي تقع ضمن نطاق المادة 1 من الاتفاقية، بما في ذلك عندما يرتكبها أشخاص يتصرفون بصفة رسمية، ويضيف الظروف المشددة إلى المادة 50 من القانون الجنائي، </w:t>
      </w:r>
      <w:r w:rsidR="00F96B1E">
        <w:rPr>
          <w:rFonts w:hint="cs"/>
          <w:spacing w:val="0"/>
          <w:sz w:val="20"/>
          <w:rtl/>
        </w:rPr>
        <w:t>فيما </w:t>
      </w:r>
      <w:r w:rsidRPr="004E0A37">
        <w:rPr>
          <w:rFonts w:hint="cs"/>
          <w:spacing w:val="0"/>
          <w:sz w:val="20"/>
          <w:rtl/>
        </w:rPr>
        <w:t>يتعلق بالمعاقبة على جرائم يتم ارتكابها بدافع عوامل مثل نوع الجنس أو العرق أو الدين؛</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القانون رقم 9669 الصادر في 18 كانون الأول/ديسمبر 2006، بشأن "تدابير مكافحة العنف في العلاقات الأسرية"، والقانون رقم 10494 الصادر في 22 كانون الأول/ديسمبر 2011، "بشأن الرصد الإلكتروني للأشخاص المحرومين من الحرية</w:t>
      </w:r>
      <w:r w:rsidR="00B345DB">
        <w:rPr>
          <w:rFonts w:hint="cs"/>
          <w:spacing w:val="0"/>
          <w:sz w:val="20"/>
          <w:rtl/>
        </w:rPr>
        <w:t xml:space="preserve"> وفقاً </w:t>
      </w:r>
      <w:r w:rsidRPr="004E0A37">
        <w:rPr>
          <w:rFonts w:hint="cs"/>
          <w:spacing w:val="0"/>
          <w:sz w:val="20"/>
          <w:rtl/>
        </w:rPr>
        <w:t>لقرارات المحاكم"، الرامي إلى منع حالات العنف داخل الأسرة.</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6</w:t>
      </w:r>
      <w:r w:rsidR="003E72B5">
        <w:rPr>
          <w:rFonts w:hint="cs"/>
          <w:spacing w:val="0"/>
          <w:sz w:val="20"/>
          <w:rtl/>
        </w:rPr>
        <w:t>)</w:t>
      </w:r>
      <w:r w:rsidR="003E72B5">
        <w:rPr>
          <w:rFonts w:hint="cs"/>
          <w:spacing w:val="0"/>
          <w:sz w:val="20"/>
          <w:rtl/>
        </w:rPr>
        <w:tab/>
      </w:r>
      <w:r w:rsidR="004E0A37" w:rsidRPr="004E0A37">
        <w:rPr>
          <w:rFonts w:hint="cs"/>
          <w:spacing w:val="0"/>
          <w:sz w:val="20"/>
          <w:rtl/>
        </w:rPr>
        <w:t>وترحب اللجنة أيضاً بما يلي:</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قيام البرلمان الألباني، في 2008، بتعيين محامي الشعب كآلية وقائية وطنية لمنع التعذيب، بموجب البروتوكول الاختياري لاتفاقية مناهضة التعذيب وغيره من ضروب المعاملة أو العقوبة القاسية أو اللاإنسانية أو المهينة؛</w:t>
      </w:r>
    </w:p>
    <w:p w:rsidR="004E0A37" w:rsidRPr="004E0A37" w:rsidRDefault="004E0A37" w:rsidP="006C4108">
      <w:pPr>
        <w:pStyle w:val="SingleTxtGA"/>
        <w:spacing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الموافقة على "دليل معاملة الأشخاص المحتجزين لدى الشرطة" الذي وافق عليه المدير العام لشرطة الدولة، في كانون الأول/ديسمبر 2009؛</w:t>
      </w:r>
    </w:p>
    <w:p w:rsidR="004E0A37" w:rsidRPr="004E0A37" w:rsidRDefault="004E0A37" w:rsidP="006C4108">
      <w:pPr>
        <w:pStyle w:val="SingleTxtGA"/>
        <w:spacing w:line="360" w:lineRule="exact"/>
        <w:jc w:val="lowKashida"/>
        <w:rPr>
          <w:rFonts w:hint="cs"/>
          <w:spacing w:val="0"/>
          <w:sz w:val="20"/>
          <w:rtl/>
        </w:rPr>
      </w:pPr>
      <w:r w:rsidRPr="004E0A37">
        <w:rPr>
          <w:rFonts w:hint="cs"/>
          <w:spacing w:val="0"/>
          <w:sz w:val="20"/>
          <w:rtl/>
        </w:rPr>
        <w:tab/>
        <w:t>(ج)</w:t>
      </w:r>
      <w:r w:rsidRPr="004E0A37">
        <w:rPr>
          <w:rFonts w:hint="cs"/>
          <w:spacing w:val="0"/>
          <w:sz w:val="20"/>
          <w:rtl/>
        </w:rPr>
        <w:tab/>
        <w:t>اعتماد الاستراتيجية الوطنية بشأن المساواة بين الجنسين والحد من العنف القائم على نوع الجنس والعنف داخل الأسرة، للفترة 2011-2015، بموجب قرار مجلس الوزراء رقم 573 الصادر في 16 حزيران/يونيه 2011.</w:t>
      </w:r>
    </w:p>
    <w:p w:rsidR="004E0A37" w:rsidRPr="004E0A37" w:rsidRDefault="00BE7198" w:rsidP="006C410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7</w:t>
      </w:r>
      <w:r w:rsidR="003E72B5">
        <w:rPr>
          <w:rFonts w:hint="cs"/>
          <w:spacing w:val="0"/>
          <w:sz w:val="20"/>
          <w:rtl/>
        </w:rPr>
        <w:t>)</w:t>
      </w:r>
      <w:r w:rsidR="003E72B5">
        <w:rPr>
          <w:rFonts w:hint="cs"/>
          <w:spacing w:val="0"/>
          <w:sz w:val="20"/>
          <w:rtl/>
        </w:rPr>
        <w:tab/>
      </w:r>
      <w:r w:rsidR="004E0A37" w:rsidRPr="004E0A37">
        <w:rPr>
          <w:rFonts w:hint="cs"/>
          <w:spacing w:val="0"/>
          <w:sz w:val="20"/>
          <w:rtl/>
        </w:rPr>
        <w:t>وتحيط اللجنة</w:t>
      </w:r>
      <w:r w:rsidR="003833F8">
        <w:rPr>
          <w:rFonts w:hint="cs"/>
          <w:spacing w:val="0"/>
          <w:sz w:val="20"/>
          <w:rtl/>
        </w:rPr>
        <w:t xml:space="preserve"> علماً </w:t>
      </w:r>
      <w:r w:rsidR="004E0A37" w:rsidRPr="004E0A37">
        <w:rPr>
          <w:rFonts w:hint="cs"/>
          <w:spacing w:val="0"/>
          <w:sz w:val="20"/>
          <w:rtl/>
        </w:rPr>
        <w:t>بوجود مجتمع مدني نشيط يسهم بصورة ملحوظة في رصد حالات التعذيب وسوء المعاملة مما ييسر التنفيذ الفعال للاتفاقية في الدولة الطرف.</w:t>
      </w:r>
    </w:p>
    <w:p w:rsidR="004E0A37" w:rsidRPr="004E0A37" w:rsidRDefault="007223C0" w:rsidP="00043F1D">
      <w:pPr>
        <w:pStyle w:val="H23GA"/>
        <w:keepNext/>
        <w:tabs>
          <w:tab w:val="left" w:pos="1938"/>
        </w:tabs>
        <w:spacing w:line="360" w:lineRule="exact"/>
        <w:rPr>
          <w:rFonts w:hint="cs"/>
          <w:rtl/>
        </w:rPr>
      </w:pPr>
      <w:r>
        <w:rPr>
          <w:rFonts w:hint="cs"/>
          <w:rtl/>
        </w:rPr>
        <w:tab/>
      </w:r>
      <w:r>
        <w:rPr>
          <w:rFonts w:hint="cs"/>
          <w:rtl/>
        </w:rPr>
        <w:tab/>
        <w:t>جيم-</w:t>
      </w:r>
      <w:r w:rsidR="004E0A37" w:rsidRPr="004E0A37">
        <w:rPr>
          <w:rFonts w:hint="cs"/>
          <w:rtl/>
        </w:rPr>
        <w:tab/>
        <w:t>دواعي القلق الرئيسية والتوصيات</w:t>
      </w:r>
    </w:p>
    <w:p w:rsidR="004E0A37" w:rsidRPr="004E0A37" w:rsidRDefault="004E0A37" w:rsidP="006C4108">
      <w:pPr>
        <w:pStyle w:val="H23GA"/>
        <w:spacing w:line="360" w:lineRule="exact"/>
        <w:rPr>
          <w:rFonts w:hint="cs"/>
          <w:rtl/>
        </w:rPr>
      </w:pPr>
      <w:r w:rsidRPr="004E0A37">
        <w:rPr>
          <w:rFonts w:hint="cs"/>
          <w:rtl/>
        </w:rPr>
        <w:tab/>
      </w:r>
      <w:r w:rsidRPr="004E0A37">
        <w:rPr>
          <w:rFonts w:hint="cs"/>
          <w:rtl/>
        </w:rPr>
        <w:tab/>
        <w:t>تعريف التعذيب وتجريمه</w:t>
      </w:r>
    </w:p>
    <w:p w:rsidR="004E0A37" w:rsidRPr="004E0A37" w:rsidRDefault="00BE7198" w:rsidP="006C410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8</w:t>
      </w:r>
      <w:r w:rsidR="003E72B5">
        <w:rPr>
          <w:rFonts w:hint="cs"/>
          <w:spacing w:val="0"/>
          <w:sz w:val="20"/>
          <w:rtl/>
        </w:rPr>
        <w:t>)</w:t>
      </w:r>
      <w:r w:rsidR="003E72B5">
        <w:rPr>
          <w:rFonts w:hint="cs"/>
          <w:spacing w:val="0"/>
          <w:sz w:val="20"/>
          <w:rtl/>
        </w:rPr>
        <w:tab/>
      </w:r>
      <w:r w:rsidR="004E0A37" w:rsidRPr="004E0A37">
        <w:rPr>
          <w:rFonts w:hint="cs"/>
          <w:spacing w:val="0"/>
          <w:sz w:val="20"/>
          <w:rtl/>
        </w:rPr>
        <w:t>ترحب اللجنة بانسجام المادة 86 من القانون الجنائي للدولة الطرف مع أحكام المادة</w:t>
      </w:r>
      <w:r w:rsidR="006C4108">
        <w:rPr>
          <w:rFonts w:hint="eastAsia"/>
          <w:spacing w:val="0"/>
          <w:sz w:val="20"/>
          <w:rtl/>
        </w:rPr>
        <w:t> </w:t>
      </w:r>
      <w:r w:rsidR="004E0A37" w:rsidRPr="004E0A37">
        <w:rPr>
          <w:rFonts w:hint="cs"/>
          <w:spacing w:val="0"/>
          <w:sz w:val="20"/>
          <w:rtl/>
        </w:rPr>
        <w:t>1 من الاتفاقية، لكنها تعرب عن قلقها بالغ لعدم تقديم أية معلومات عن تطبيق المادة</w:t>
      </w:r>
      <w:r w:rsidR="006C4108">
        <w:rPr>
          <w:rFonts w:hint="eastAsia"/>
          <w:spacing w:val="0"/>
          <w:sz w:val="20"/>
          <w:rtl/>
        </w:rPr>
        <w:t> </w:t>
      </w:r>
      <w:r w:rsidR="004E0A37" w:rsidRPr="004E0A37">
        <w:rPr>
          <w:rFonts w:hint="cs"/>
          <w:spacing w:val="0"/>
          <w:sz w:val="20"/>
          <w:rtl/>
        </w:rPr>
        <w:t>86 من القانون الجنائي ولا عن النمط المتبع لإعادة تصنيف حالات التعذيب المبلغ عنها كأفعال تعسفية في إطار المادة 250 من القانون الجنائي (المادتان 1 و4).</w:t>
      </w:r>
    </w:p>
    <w:p w:rsidR="004E0A37" w:rsidRPr="006C4108" w:rsidRDefault="004E0A37" w:rsidP="006C4108">
      <w:pPr>
        <w:pStyle w:val="SingleTxtGA"/>
        <w:spacing w:line="360" w:lineRule="exact"/>
        <w:jc w:val="lowKashida"/>
        <w:rPr>
          <w:rFonts w:hint="cs"/>
          <w:b/>
          <w:bCs/>
          <w:spacing w:val="0"/>
          <w:sz w:val="20"/>
          <w:rtl/>
        </w:rPr>
      </w:pPr>
      <w:r w:rsidRPr="006C4108">
        <w:rPr>
          <w:rFonts w:hint="cs"/>
          <w:b/>
          <w:bCs/>
          <w:spacing w:val="0"/>
          <w:sz w:val="20"/>
          <w:rtl/>
        </w:rPr>
        <w:tab/>
        <w:t>وفقاً لتعليق اللجنة العام رقم 2(2007) بشأن تنفيذ المادة 2 من جانب الدول الأطراف، ينبغي للدولة الطرف أن تكفل تجميع الأدلة المتعلقة بأفعال تدخل في تصنيف أفعال التعذيب بموجب المادة 86 من القانون الجنائي وتقييمها على النحو الواجب، والعدول عن إعادة تصنيف حالات التعذيب المبلغ عنها كأفعال تعسفية في إطار المادة</w:t>
      </w:r>
      <w:r w:rsidR="006C4108" w:rsidRPr="006C4108">
        <w:rPr>
          <w:rFonts w:hint="eastAsia"/>
          <w:b/>
          <w:bCs/>
          <w:spacing w:val="0"/>
          <w:sz w:val="20"/>
          <w:rtl/>
        </w:rPr>
        <w:t> </w:t>
      </w:r>
      <w:r w:rsidRPr="006C4108">
        <w:rPr>
          <w:rFonts w:hint="cs"/>
          <w:b/>
          <w:bCs/>
          <w:spacing w:val="0"/>
          <w:sz w:val="20"/>
          <w:rtl/>
        </w:rPr>
        <w:t>250 من القانون الجنائي. وينبغي للدولة الطرف أيضاً أن توضح حالات سوء المعاملة من جانب الموظفين المكلفين بإنفاذ القانون المبلغ عنها رداً على قائمة المسائل وأثناء الحوار، التي تصل إلى درجة التعذيب وغيره من ضروب المعاملة أو العقوبة القاسية أو</w:t>
      </w:r>
      <w:r w:rsidR="006C4108">
        <w:rPr>
          <w:rFonts w:hint="eastAsia"/>
          <w:b/>
          <w:bCs/>
          <w:spacing w:val="0"/>
          <w:sz w:val="20"/>
          <w:rtl/>
        </w:rPr>
        <w:t> </w:t>
      </w:r>
      <w:r w:rsidRPr="006C4108">
        <w:rPr>
          <w:rFonts w:hint="cs"/>
          <w:b/>
          <w:bCs/>
          <w:spacing w:val="0"/>
          <w:sz w:val="20"/>
          <w:rtl/>
        </w:rPr>
        <w:t>اللاإنسانية أو المهينة، وكذلك التدابير المتخذة لضمان تمكن المدعين العامين من تطبيق أحكام المادة 86 من القانون الجنائي.</w:t>
      </w:r>
    </w:p>
    <w:p w:rsidR="004E0A37" w:rsidRPr="004E0A37" w:rsidRDefault="004E0A37" w:rsidP="006C4108">
      <w:pPr>
        <w:pStyle w:val="H23GA"/>
        <w:spacing w:line="360" w:lineRule="exact"/>
        <w:jc w:val="lowKashida"/>
        <w:rPr>
          <w:rFonts w:hint="cs"/>
          <w:spacing w:val="0"/>
          <w:sz w:val="20"/>
          <w:rtl/>
        </w:rPr>
      </w:pPr>
      <w:r w:rsidRPr="004E0A37">
        <w:rPr>
          <w:rFonts w:hint="cs"/>
          <w:spacing w:val="0"/>
          <w:sz w:val="20"/>
          <w:rtl/>
        </w:rPr>
        <w:tab/>
      </w:r>
      <w:r w:rsidRPr="004E0A37">
        <w:rPr>
          <w:rFonts w:hint="cs"/>
          <w:spacing w:val="0"/>
          <w:sz w:val="20"/>
          <w:rtl/>
        </w:rPr>
        <w:tab/>
        <w:t>الانطباق المباشر للاتفاقية</w:t>
      </w:r>
    </w:p>
    <w:p w:rsidR="004E0A37" w:rsidRPr="004E0A37" w:rsidRDefault="00BE7198" w:rsidP="006C410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9</w:t>
      </w:r>
      <w:r w:rsidR="003E72B5">
        <w:rPr>
          <w:rFonts w:hint="cs"/>
          <w:spacing w:val="0"/>
          <w:sz w:val="20"/>
          <w:rtl/>
        </w:rPr>
        <w:t>)</w:t>
      </w:r>
      <w:r w:rsidR="003E72B5">
        <w:rPr>
          <w:rFonts w:hint="cs"/>
          <w:spacing w:val="0"/>
          <w:sz w:val="20"/>
          <w:rtl/>
        </w:rPr>
        <w:tab/>
      </w:r>
      <w:r w:rsidR="00F96B1E">
        <w:rPr>
          <w:rFonts w:hint="cs"/>
          <w:spacing w:val="0"/>
          <w:sz w:val="20"/>
          <w:rtl/>
        </w:rPr>
        <w:t>فيما </w:t>
      </w:r>
      <w:r w:rsidR="004E0A37" w:rsidRPr="004E0A37">
        <w:rPr>
          <w:rFonts w:hint="cs"/>
          <w:spacing w:val="0"/>
          <w:sz w:val="20"/>
          <w:rtl/>
        </w:rPr>
        <w:t>ترحب اللجنة بالانطباق المباشر للاتفاقية</w:t>
      </w:r>
      <w:r w:rsidR="00B345DB">
        <w:rPr>
          <w:rFonts w:hint="cs"/>
          <w:spacing w:val="0"/>
          <w:sz w:val="20"/>
          <w:rtl/>
        </w:rPr>
        <w:t xml:space="preserve"> وفقاً </w:t>
      </w:r>
      <w:r w:rsidR="004E0A37" w:rsidRPr="004E0A37">
        <w:rPr>
          <w:rFonts w:hint="cs"/>
          <w:spacing w:val="0"/>
          <w:sz w:val="20"/>
          <w:rtl/>
        </w:rPr>
        <w:t>لأحكام المادة 112 من الدستور الألباني، فإنها تلاحظ مع القلق أن الدولة الطرف اعترفت أثناء الحوار بأنها لا تملك معلومات محددة بشأن القضايا التي تم بشأنها، أمام المحاكم المحلية، الاحتجاج بالاتفاقية وتطبيقها مباشرة (المادتان 2 و10).</w:t>
      </w:r>
    </w:p>
    <w:p w:rsidR="004E0A37" w:rsidRPr="006C4108" w:rsidRDefault="004E0A37" w:rsidP="006C4108">
      <w:pPr>
        <w:pStyle w:val="SingleTxtGA"/>
        <w:spacing w:line="360" w:lineRule="exact"/>
        <w:jc w:val="lowKashida"/>
        <w:rPr>
          <w:rFonts w:hint="cs"/>
          <w:b/>
          <w:bCs/>
          <w:spacing w:val="0"/>
          <w:sz w:val="20"/>
          <w:rtl/>
        </w:rPr>
      </w:pPr>
      <w:r w:rsidRPr="006C4108">
        <w:rPr>
          <w:rFonts w:hint="cs"/>
          <w:b/>
          <w:bCs/>
          <w:spacing w:val="0"/>
          <w:sz w:val="20"/>
          <w:rtl/>
        </w:rPr>
        <w:tab/>
        <w:t xml:space="preserve">توصي اللجنة الدولة الطرف باتخاذ الخطوات التالية: </w:t>
      </w:r>
    </w:p>
    <w:p w:rsidR="004E0A37" w:rsidRPr="006C4108" w:rsidRDefault="004E0A37" w:rsidP="006C4108">
      <w:pPr>
        <w:pStyle w:val="SingleTxtGA"/>
        <w:spacing w:line="360" w:lineRule="exact"/>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ضمان التنفيذ الفعال للاتفاقية وتطبيقها وإنفاذها مباشرة ضمن الإطار القانوني الوطني، ونشرها على جميع السلطات العامة المعنية، بما في ذلك السلطة القضائية، وبالتالي تيسير تطبيقها مباشرة أمام المحاكم الوطنية؛</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تقديم معلومات محدثة، في تقريرها الدوري المقبل، عن حالات توضح التطبيق المباشر للاتفاقية أمام الهيئات القضائية المحلية.</w:t>
      </w:r>
    </w:p>
    <w:p w:rsidR="004E0A37" w:rsidRPr="004E0A37" w:rsidRDefault="006C4108" w:rsidP="006C4108">
      <w:pPr>
        <w:pStyle w:val="H23GA"/>
        <w:rPr>
          <w:rFonts w:hint="cs"/>
          <w:rtl/>
        </w:rPr>
      </w:pPr>
      <w:r>
        <w:rPr>
          <w:rFonts w:hint="cs"/>
          <w:rtl/>
        </w:rPr>
        <w:tab/>
      </w:r>
      <w:r>
        <w:rPr>
          <w:rFonts w:hint="cs"/>
          <w:rtl/>
        </w:rPr>
        <w:tab/>
      </w:r>
      <w:r w:rsidR="004E0A37" w:rsidRPr="004E0A37">
        <w:rPr>
          <w:rFonts w:hint="cs"/>
          <w:rtl/>
        </w:rPr>
        <w:t>مكتب محامي الشعب كآلية وقائية</w:t>
      </w:r>
      <w:r>
        <w:rPr>
          <w:rFonts w:hint="cs"/>
          <w:rtl/>
        </w:rPr>
        <w:t xml:space="preserve"> وطنية</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10</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يساور اللجنة القلق إزاء التقارير التي تفيد بأن محامي الشعب، الذي يتصرف باعتباره آلية وقائية وطنية، لا يرصد الأوضاع في مكان الاحتجاز - من خلال وحدة منع التعذيب - إلا بعد تلقي ادعاءات بسوء المعاملة وبعد موافقة مسبقة، مما يحد من الجوانب الحمائية لزياراته الوقائية (المادة 2). </w:t>
      </w:r>
    </w:p>
    <w:p w:rsidR="004E0A37" w:rsidRPr="006C4108" w:rsidRDefault="004E0A37" w:rsidP="004E0A37">
      <w:pPr>
        <w:pStyle w:val="SingleTxtGA"/>
        <w:jc w:val="lowKashida"/>
        <w:rPr>
          <w:rFonts w:hint="cs"/>
          <w:b/>
          <w:bCs/>
          <w:spacing w:val="-2"/>
          <w:sz w:val="20"/>
          <w:rtl/>
        </w:rPr>
      </w:pPr>
      <w:r w:rsidRPr="006C4108">
        <w:rPr>
          <w:rFonts w:hint="cs"/>
          <w:b/>
          <w:bCs/>
          <w:spacing w:val="-2"/>
          <w:sz w:val="20"/>
          <w:rtl/>
        </w:rPr>
        <w:tab/>
        <w:t>توصي اللجنة الدولة الطرف بأن تكفل إمكانية وصول محامي الشعب بصورة منتظمة وفي حينه إلى جميع أماكن الاحتجاز دون تقييد زياراته لتقتصر على التحقيق في الموقع في ادعاءات سوء المعاملة، ودون موافقة مسبقة من السلطات المعنية لإجراء الزيارة.</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11</w:t>
      </w:r>
      <w:r w:rsidR="003E72B5">
        <w:rPr>
          <w:rFonts w:hint="cs"/>
          <w:spacing w:val="0"/>
          <w:sz w:val="20"/>
          <w:rtl/>
        </w:rPr>
        <w:t>)</w:t>
      </w:r>
      <w:r w:rsidR="003E72B5">
        <w:rPr>
          <w:rFonts w:hint="cs"/>
          <w:spacing w:val="0"/>
          <w:sz w:val="20"/>
          <w:rtl/>
        </w:rPr>
        <w:tab/>
      </w:r>
      <w:r w:rsidR="004E0A37" w:rsidRPr="004E0A37">
        <w:rPr>
          <w:rFonts w:hint="cs"/>
          <w:spacing w:val="0"/>
          <w:sz w:val="20"/>
          <w:rtl/>
        </w:rPr>
        <w:t>ويساور اللجنة القلق أيضاً إزاء افتقار مكتب محامي الشعب للموظفين المهنيين والموارد المالية والمنهجية، وإزاء التقارير التي تدعي ممارسة ضغوط لا داعي لها تتعلق بسير عمل محامي الشعب، من قبيل عدم تعيينه لفترة تتجاوز السنتين مما يؤدي إلى زيارة أماكن الاحتجاز بصورة غير منتظمة وبالتالي إلى الحد من اضطلاعه، على النحو الواجب بمهمة الرصد، وإلى الحد من دور وأهمية هذه المؤسسة (المادتان 2 و12).</w:t>
      </w:r>
    </w:p>
    <w:p w:rsidR="004E0A37" w:rsidRPr="00043F1D" w:rsidRDefault="004E0A37" w:rsidP="00043F1D">
      <w:pPr>
        <w:pStyle w:val="SingleTxtGA"/>
        <w:jc w:val="lowKashida"/>
        <w:rPr>
          <w:rFonts w:hint="cs"/>
          <w:b/>
          <w:bCs/>
          <w:spacing w:val="-4"/>
          <w:kern w:val="0"/>
          <w:sz w:val="20"/>
          <w:rtl/>
        </w:rPr>
      </w:pPr>
      <w:r w:rsidRPr="006C4108">
        <w:rPr>
          <w:rFonts w:hint="cs"/>
          <w:b/>
          <w:bCs/>
          <w:spacing w:val="0"/>
          <w:sz w:val="20"/>
          <w:rtl/>
        </w:rPr>
        <w:tab/>
        <w:t>توصي اللجنة الدولة الطرف بتزويد مكتب محامي الشعب بما يكفي من موارد بشرية ومالية وتقنية ولوجستية لتمكينه من الاضطلاع بمهامه بصورة فعالة ومستقلة،</w:t>
      </w:r>
      <w:r w:rsidR="00B345DB" w:rsidRPr="006C4108">
        <w:rPr>
          <w:rFonts w:hint="cs"/>
          <w:b/>
          <w:bCs/>
          <w:spacing w:val="0"/>
          <w:sz w:val="20"/>
          <w:rtl/>
        </w:rPr>
        <w:t xml:space="preserve"> وفقاً </w:t>
      </w:r>
      <w:r w:rsidRPr="006C4108">
        <w:rPr>
          <w:rFonts w:hint="cs"/>
          <w:b/>
          <w:bCs/>
          <w:spacing w:val="0"/>
          <w:sz w:val="20"/>
          <w:rtl/>
        </w:rPr>
        <w:t xml:space="preserve">لأحكام الفقرة 3 من المادة 18 من البروتوكول الاختياري والمبدأين التوجيهيين 11 و12 للجنة الفرعية لمنع التعذيب وغيره من ضروب المعاملة أو العقوبة القاسية </w:t>
      </w:r>
      <w:r w:rsidRPr="00043F1D">
        <w:rPr>
          <w:rFonts w:hint="cs"/>
          <w:b/>
          <w:bCs/>
          <w:spacing w:val="-4"/>
          <w:kern w:val="0"/>
          <w:sz w:val="20"/>
          <w:rtl/>
        </w:rPr>
        <w:t>أو</w:t>
      </w:r>
      <w:r w:rsidR="00043F1D" w:rsidRPr="00043F1D">
        <w:rPr>
          <w:rFonts w:hint="eastAsia"/>
          <w:b/>
          <w:bCs/>
          <w:spacing w:val="-4"/>
          <w:kern w:val="0"/>
          <w:sz w:val="20"/>
          <w:rtl/>
        </w:rPr>
        <w:t> </w:t>
      </w:r>
      <w:r w:rsidRPr="00043F1D">
        <w:rPr>
          <w:rFonts w:hint="cs"/>
          <w:b/>
          <w:bCs/>
          <w:spacing w:val="-4"/>
          <w:kern w:val="0"/>
          <w:sz w:val="20"/>
          <w:rtl/>
        </w:rPr>
        <w:t xml:space="preserve">اللاإنسانية أو المهينة، والتأكد من عمل مؤسسة محامي الشعب دون ضغوط غير ضرورية. </w:t>
      </w:r>
    </w:p>
    <w:p w:rsidR="004E0A37" w:rsidRPr="004E0A37" w:rsidRDefault="00BE7198"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و</w:t>
      </w:r>
      <w:r w:rsidR="00F96B1E">
        <w:rPr>
          <w:rFonts w:hint="cs"/>
          <w:spacing w:val="0"/>
          <w:sz w:val="20"/>
          <w:rtl/>
        </w:rPr>
        <w:t>فيما </w:t>
      </w:r>
      <w:r w:rsidR="004E0A37" w:rsidRPr="004E0A37">
        <w:rPr>
          <w:rFonts w:hint="cs"/>
          <w:spacing w:val="0"/>
          <w:sz w:val="20"/>
          <w:rtl/>
        </w:rPr>
        <w:t xml:space="preserve">تثني اللجنة على التوصيات التي قدمها محامي الشعب الرامية إلى أمور منها تحسين ظروف الاحتجاز في زنزانات مخافر الشرطة، فإنها تلاحظ مع القلق الافتقار للحوار والمتابعة من جانب البرلمان </w:t>
      </w:r>
      <w:r w:rsidR="00F96B1E">
        <w:rPr>
          <w:rFonts w:hint="cs"/>
          <w:spacing w:val="0"/>
          <w:sz w:val="20"/>
          <w:rtl/>
        </w:rPr>
        <w:t>فيما </w:t>
      </w:r>
      <w:r w:rsidR="004E0A37" w:rsidRPr="004E0A37">
        <w:rPr>
          <w:rFonts w:hint="cs"/>
          <w:spacing w:val="0"/>
          <w:sz w:val="20"/>
          <w:rtl/>
        </w:rPr>
        <w:t>يتعلق بتوصيات محامي الشعب على النحو الذي يقتضيه القانون، وكذلك انعدام وعي الجمهور بتوصياته. وتلاحظ اللجنة أيضاً مع القلق افتقار ولاية محامي الشعب لمهمة تعزيز حقوق الإنسان للمحتجزين، والافتقار إلى إمكانية الوصول إلى المؤسسة على المستوى الإقليمي، وإلى التفاعل بشكل منتظم مع النظام الدولي لحقوق الإنسان، وإلى الشفافية في عملية التعيين في مجالس الإدارة (المادتان 2 و12).</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توصي اللجنة الدولة الطرف بما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اتخاذ خطوات لتحسين الحوار والمتابعة من جانب البرلمان بهدف تنفيذ استنتاجات وتوصيات محامي الشعب بعد الزيارات التي تجريها وحدة لمنع التعذيب التابعة له، لمراكز الاحتجاز،</w:t>
      </w:r>
      <w:r w:rsidR="00B345DB" w:rsidRPr="006C4108">
        <w:rPr>
          <w:rFonts w:hint="cs"/>
          <w:b/>
          <w:bCs/>
          <w:spacing w:val="0"/>
          <w:sz w:val="20"/>
          <w:rtl/>
        </w:rPr>
        <w:t xml:space="preserve"> وفقاً </w:t>
      </w:r>
      <w:r w:rsidRPr="006C4108">
        <w:rPr>
          <w:rFonts w:hint="cs"/>
          <w:b/>
          <w:bCs/>
          <w:spacing w:val="0"/>
          <w:sz w:val="20"/>
          <w:rtl/>
        </w:rPr>
        <w:t>لما يقتضيه القانون؛</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الإعلان، باستخدام جميع وسائل الاتصال المناسبة، عن الخطوات التي تتخذها الدولة الطرف لضمان التنفيذ الفعال لاستنتاجات وتوصيات محامي الشعب وزيادة وعي الجمهور بها؛</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القيام بتجميع ونشر أفضل ممارسات محامي الشعب، ونشرها بصورة منتظمة، وتنظيم دورات تدريبية ذات صلة عن تلك الممارسات للعاملين في مكتبه؛</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(د)</w:t>
      </w:r>
      <w:r w:rsidRPr="006C4108">
        <w:rPr>
          <w:rFonts w:hint="cs"/>
          <w:b/>
          <w:bCs/>
          <w:spacing w:val="0"/>
          <w:sz w:val="20"/>
          <w:rtl/>
        </w:rPr>
        <w:tab/>
        <w:t>تعزيز ولاية محامي الشعب من خلال تضمينها مهمة النهوض بحقوق الإنسان لتحسين ضمانات وظروف معيشة ومعاملة المحتجزين، وتيسير إمكانية الاتصال به من خلال تهيئة وجود إقليمي دائم، وتحسين تفاعله المنتظم مع النظام الدولي لحقوق الإنسان، وتحسين الشفافية في عمليات التعيين في مجالس الإدارة.</w:t>
      </w:r>
    </w:p>
    <w:p w:rsidR="004E0A37" w:rsidRPr="004E0A37" w:rsidRDefault="004E0A37" w:rsidP="00043F1D">
      <w:pPr>
        <w:pStyle w:val="H23GA"/>
        <w:spacing w:line="374" w:lineRule="exact"/>
        <w:jc w:val="lowKashida"/>
        <w:rPr>
          <w:rFonts w:hint="cs"/>
          <w:spacing w:val="0"/>
          <w:sz w:val="20"/>
          <w:rtl/>
        </w:rPr>
      </w:pPr>
      <w:r w:rsidRPr="004E0A37">
        <w:rPr>
          <w:rFonts w:hint="cs"/>
          <w:spacing w:val="0"/>
          <w:sz w:val="20"/>
          <w:rtl/>
        </w:rPr>
        <w:tab/>
      </w:r>
      <w:r w:rsidRPr="004E0A37">
        <w:rPr>
          <w:rFonts w:hint="cs"/>
          <w:spacing w:val="0"/>
          <w:sz w:val="20"/>
          <w:rtl/>
        </w:rPr>
        <w:tab/>
        <w:t xml:space="preserve">الضمانات القانونية الأساسية </w:t>
      </w:r>
    </w:p>
    <w:p w:rsidR="004E0A37" w:rsidRPr="004E0A37" w:rsidRDefault="00BE7198" w:rsidP="00043F1D">
      <w:pPr>
        <w:pStyle w:val="SingleTxtGA"/>
        <w:spacing w:line="374" w:lineRule="exact"/>
        <w:jc w:val="lowKashida"/>
        <w:rPr>
          <w:rFonts w:hint="cs"/>
          <w:spacing w:val="0"/>
          <w:sz w:val="20"/>
          <w:rtl/>
        </w:rPr>
      </w:pPr>
      <w:r>
        <w:rPr>
          <w:rFonts w:hint="cs"/>
          <w:spacing w:val="0"/>
          <w:sz w:val="20"/>
          <w:rtl/>
        </w:rPr>
        <w:t>(</w:t>
      </w:r>
      <w:r w:rsidR="004E0A37" w:rsidRPr="004E0A37">
        <w:rPr>
          <w:rFonts w:hint="cs"/>
          <w:spacing w:val="0"/>
          <w:sz w:val="20"/>
          <w:rtl/>
        </w:rPr>
        <w:t>13</w:t>
      </w:r>
      <w:r w:rsidR="003E72B5">
        <w:rPr>
          <w:rFonts w:hint="cs"/>
          <w:spacing w:val="0"/>
          <w:sz w:val="20"/>
          <w:rtl/>
        </w:rPr>
        <w:t>)</w:t>
      </w:r>
      <w:r w:rsidR="003E72B5">
        <w:rPr>
          <w:rFonts w:hint="cs"/>
          <w:spacing w:val="0"/>
          <w:sz w:val="20"/>
          <w:rtl/>
        </w:rPr>
        <w:tab/>
      </w:r>
      <w:r w:rsidR="004E0A37" w:rsidRPr="004E0A37">
        <w:rPr>
          <w:rFonts w:hint="cs"/>
          <w:spacing w:val="0"/>
          <w:sz w:val="20"/>
          <w:rtl/>
        </w:rPr>
        <w:t>تعرب اللجنة عن بالغ قلقها إزاء التقارير التي تفيد بأن الضمانات الأساسية للحماية من سوء المعاملة أثناء الحبس الاحتياطي لا تزال غير مطبقة بصورة منتظمة وفعالة لأن المحتجزين لا يُعلَمون دائماً بجميع حقوقهم الأساسية منذ الوهلة الأولى لحرمانهم من الحرية، ويحرمون من الوصول في حينه إلى محامٍ وطبيب ومن الحق في إعلام أحد أفراد أسرهم أو شخص من اختيارهم بإلقاء القبض عليهم ومكان احتجازهم الحالي، ولا يمثلون في الغالب أمام قاضٍ ضمن الفترات المنصوص عليها في الدستور (المواد 2 و11 و16).</w:t>
      </w:r>
    </w:p>
    <w:p w:rsidR="004E0A37" w:rsidRPr="006C4108" w:rsidRDefault="004E0A37" w:rsidP="00043F1D">
      <w:pPr>
        <w:pStyle w:val="SingleTxtGA"/>
        <w:spacing w:line="374" w:lineRule="exact"/>
        <w:jc w:val="lowKashida"/>
        <w:rPr>
          <w:rFonts w:hint="cs"/>
          <w:b/>
          <w:bCs/>
          <w:spacing w:val="0"/>
          <w:sz w:val="20"/>
          <w:rtl/>
        </w:rPr>
      </w:pPr>
      <w:r w:rsidRPr="006C4108">
        <w:rPr>
          <w:rFonts w:hint="cs"/>
          <w:b/>
          <w:bCs/>
          <w:spacing w:val="0"/>
          <w:sz w:val="20"/>
          <w:rtl/>
        </w:rPr>
        <w:tab/>
        <w:t>توصي اللجنة الدولة الطرف بما يلي:</w:t>
      </w:r>
    </w:p>
    <w:p w:rsidR="004E0A37" w:rsidRPr="006C4108" w:rsidRDefault="004E0A37" w:rsidP="00043F1D">
      <w:pPr>
        <w:pStyle w:val="SingleTxtGA"/>
        <w:spacing w:line="374" w:lineRule="exact"/>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أن تتخذ التدابير لضمان إعلام جميع الأشخاص المحتجزين من قبل الشرطة بجميع حقوقهم الأساسية منذ الوهلة الأولى لحرمانهم من الحرية، واشتراط تقديم معلومات شفهية بشأن هذه الحقوق منذ الوهلة الأولى للاحتجاز، واستكمال ذلك من خلال تقديم صحيفة معلومات، في أبكر وقت ممكن، على أن يوقع الشخص المحتجز على ما يفيد باستلامها؛</w:t>
      </w:r>
    </w:p>
    <w:p w:rsidR="004E0A37" w:rsidRPr="006C4108" w:rsidRDefault="004E0A37" w:rsidP="00043F1D">
      <w:pPr>
        <w:pStyle w:val="SingleTxtGA"/>
        <w:spacing w:line="374" w:lineRule="exact"/>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القيام بشكل منتظم بتدريب ضباط الشرطة على الالتزام القانوني بإتاحة إمكانية الوصول إلى محامٍ وطبيب منذ الوهلة الأولى لحرمان الشخص من الحرية، وإبلاغ أحد أفراد أسرة الشخص المحتجز أو شخص من اختياره بإلقاء القبض عليه ومكان احتجازه الحالي؛</w:t>
      </w:r>
    </w:p>
    <w:p w:rsidR="004E0A37" w:rsidRPr="006C4108" w:rsidRDefault="004E0A37" w:rsidP="00043F1D">
      <w:pPr>
        <w:pStyle w:val="SingleTxtGA"/>
        <w:spacing w:line="374" w:lineRule="exact"/>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ضمان إحضار جميع الأشخاص المحتجزين من قبل الشرطة أمام قاضٍ في غضون الفترات المنصوص عليها في الدستور.</w:t>
      </w:r>
    </w:p>
    <w:p w:rsidR="004E0A37" w:rsidRPr="004E0A37" w:rsidRDefault="004E0A37" w:rsidP="00043F1D">
      <w:pPr>
        <w:pStyle w:val="H23GA"/>
        <w:spacing w:line="374" w:lineRule="exact"/>
        <w:rPr>
          <w:rFonts w:hint="cs"/>
          <w:rtl/>
        </w:rPr>
      </w:pPr>
      <w:r w:rsidRPr="004E0A37">
        <w:rPr>
          <w:rFonts w:hint="cs"/>
          <w:rtl/>
        </w:rPr>
        <w:tab/>
      </w:r>
      <w:r w:rsidRPr="004E0A37">
        <w:rPr>
          <w:rFonts w:hint="cs"/>
          <w:rtl/>
        </w:rPr>
        <w:tab/>
        <w:t>العنف ضد المرأة والعنف المنزلي والعنف ضد الأطفال</w:t>
      </w:r>
    </w:p>
    <w:p w:rsidR="004E0A37" w:rsidRPr="00553388" w:rsidRDefault="00BE7198" w:rsidP="00043F1D">
      <w:pPr>
        <w:pStyle w:val="SingleTxtGA"/>
        <w:spacing w:line="374" w:lineRule="exact"/>
        <w:jc w:val="lowKashida"/>
        <w:rPr>
          <w:rFonts w:hint="cs"/>
          <w:spacing w:val="-4"/>
          <w:sz w:val="20"/>
          <w:rtl/>
        </w:rPr>
      </w:pPr>
      <w:r>
        <w:rPr>
          <w:rFonts w:hint="cs"/>
          <w:spacing w:val="0"/>
          <w:sz w:val="20"/>
          <w:rtl/>
        </w:rPr>
        <w:t>(</w:t>
      </w:r>
      <w:r w:rsidR="004E0A37" w:rsidRPr="00553388">
        <w:rPr>
          <w:rFonts w:hint="cs"/>
          <w:spacing w:val="-4"/>
          <w:sz w:val="20"/>
          <w:rtl/>
        </w:rPr>
        <w:t>14</w:t>
      </w:r>
      <w:r w:rsidR="003E72B5">
        <w:rPr>
          <w:rFonts w:hint="cs"/>
          <w:spacing w:val="-4"/>
          <w:sz w:val="20"/>
          <w:rtl/>
        </w:rPr>
        <w:t>)</w:t>
      </w:r>
      <w:r w:rsidR="003E72B5">
        <w:rPr>
          <w:rFonts w:hint="cs"/>
          <w:spacing w:val="-4"/>
          <w:sz w:val="20"/>
          <w:rtl/>
        </w:rPr>
        <w:tab/>
      </w:r>
      <w:r w:rsidR="00F96B1E" w:rsidRPr="00553388">
        <w:rPr>
          <w:rFonts w:hint="cs"/>
          <w:spacing w:val="-4"/>
          <w:sz w:val="20"/>
          <w:rtl/>
        </w:rPr>
        <w:t>فيما </w:t>
      </w:r>
      <w:r w:rsidR="004E0A37" w:rsidRPr="00553388">
        <w:rPr>
          <w:rFonts w:hint="cs"/>
          <w:spacing w:val="-4"/>
          <w:sz w:val="20"/>
          <w:rtl/>
        </w:rPr>
        <w:t xml:space="preserve">ترحب اللجنة بالقانون رقم 9669، الصادر في 18 كانون الأول/ديسمبر 2006 بشأن </w:t>
      </w:r>
      <w:r w:rsidR="00553388">
        <w:rPr>
          <w:rFonts w:hint="cs"/>
          <w:spacing w:val="-4"/>
          <w:sz w:val="20"/>
          <w:rtl/>
        </w:rPr>
        <w:t>‘</w:t>
      </w:r>
      <w:r w:rsidR="004E0A37" w:rsidRPr="00553388">
        <w:rPr>
          <w:rFonts w:hint="cs"/>
          <w:spacing w:val="-4"/>
          <w:sz w:val="20"/>
          <w:rtl/>
        </w:rPr>
        <w:t>تدابير مكافحة العنف في العلاقات الأسرية‘، الذي يحث على إنشاء هياكل شرطية مناسبة</w:t>
      </w:r>
      <w:r w:rsidR="00553388">
        <w:rPr>
          <w:rFonts w:hint="eastAsia"/>
          <w:spacing w:val="-4"/>
          <w:sz w:val="20"/>
          <w:rtl/>
        </w:rPr>
        <w:t> </w:t>
      </w:r>
      <w:r w:rsidR="004E0A37" w:rsidRPr="00553388">
        <w:rPr>
          <w:rFonts w:hint="cs"/>
          <w:spacing w:val="-4"/>
          <w:sz w:val="20"/>
          <w:rtl/>
        </w:rPr>
        <w:t xml:space="preserve">وآليات لحماية ضحايا العنف في إطار الأسرة وسلسلة من الأنشطة التدريبية، وإذ تلاحظ </w:t>
      </w:r>
      <w:r w:rsidR="00553388">
        <w:rPr>
          <w:rFonts w:hint="cs"/>
          <w:spacing w:val="-4"/>
          <w:sz w:val="20"/>
          <w:rtl/>
        </w:rPr>
        <w:t>‘</w:t>
      </w:r>
      <w:r w:rsidR="004E0A37" w:rsidRPr="00553388">
        <w:rPr>
          <w:rFonts w:hint="cs"/>
          <w:spacing w:val="-4"/>
          <w:sz w:val="20"/>
          <w:rtl/>
        </w:rPr>
        <w:t>اعتماد الاستراتيجية الوطنية بشأن المساواة بين الجنسين والحد من العنف القائم على نوع الجنس والعنف داخل الأسرة‘، في 16 حزيران/يونيه 2011، تعرب عن قلقها إزاء الافتقار إلى النص على جرائم جنائية محددة للمعاقبة على العنف ضد المرأة، بما يعتبر الاغتصاب في إطار الزواج والعنف المنزلي جريمتين جنائيتين محددتين. ويساور اللجنة قلق خاص بسبب ارتفاع عدد حالات العنف الممارس ضد الأطفال داخل الأسرة وفي المدارس، وتقبل الناس للعقاب البدني للأطفال (المادتان 2 و16).</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تحث اللجنة الدولة الطرف على 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القيام، من باب الأولوية، بإعداد واعتماد تشريع شامل بشأن العنف ضد المرأة ينص على أن الاغتصاب في إطار الزواج والعنف المنزلي هما جريمتان جنائيتان محددتان؛</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اعتماد المشروع الجديد لقانون مكافحة العنف ضد الأطفال في المدارس، وحظر العقاب البدني في جميع الأوساط، بما في ذلك في المنزل وفي أوساط الرعاية البديلة، وتحميل الجناة المسؤولية عن هذه الأفعال؛</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اتخاذ تدابير على جميع مستويات الحكومة لضمان توعية الجمهور بحظر العنف ضد الأطفال والنساء في جميع القطاعات والأذى المترتب عليه.</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الاتجار بالأشخاص</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15</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 xml:space="preserve">بالمعلومات التي قدمتها الدولة الطرف بشأن التعديلات التشريعية على القانون الجنائي للتصدي للاتجار بالأشخاص (المواد 110/أ و114/ب و128/ب)، وأنشطة المنسق الوطني لمكافحة الاتجار بالأشخاص، واعتماد "إجراءات موحدة للعمل لتحديد هوية ضحايا الاتجار المحتملين وإحالتهم" في 27 تموز/يوليه 2011. ومع ذلك، تعرب عن قلق بالغ لعدم وجود بيانات بشأن التدابير الرامية إلى منع أفعال الاتجار، والملاحقات القضائية، وأنواع الأحكام الصادرة </w:t>
      </w:r>
      <w:r w:rsidR="00F96B1E">
        <w:rPr>
          <w:rFonts w:hint="cs"/>
          <w:spacing w:val="0"/>
          <w:sz w:val="20"/>
          <w:rtl/>
        </w:rPr>
        <w:t>فيما </w:t>
      </w:r>
      <w:r w:rsidR="004E0A37" w:rsidRPr="004E0A37">
        <w:rPr>
          <w:rFonts w:hint="cs"/>
          <w:spacing w:val="0"/>
          <w:sz w:val="20"/>
          <w:rtl/>
        </w:rPr>
        <w:t>يتعلق بمثل هذه الأفعال (المواد 2 و3 و12 و13 و14 و16).</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تحث اللجنة الدولة الطرف على 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 xml:space="preserve">مواصلة اتخاذ تدابير فعالة لزيادة حماية ضحايا الاتجار بالأشخاص؛ </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منع الاتجار بالأشخاص والممارسات المتصلة به، وإجراء تحقيقات فورية وشاملة ونزيهة، وملاحقة ومعاقبة الجناة؛</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توفير سبل الانتصاف لضحايا الاتجار، بما في ذلك تقديم المساعدة إلى الضحايا عند إبلاغ الشرطة بحالات الاتجار، ولا سيما من خلال تقديم المساعدة القانونية والطبية والنفسية وفي مجال إعادة التأهيل بما في ذلك توفير المأوى المناسب،</w:t>
      </w:r>
      <w:r w:rsidR="00B345DB" w:rsidRPr="006C4108">
        <w:rPr>
          <w:rFonts w:hint="cs"/>
          <w:b/>
          <w:bCs/>
          <w:spacing w:val="0"/>
          <w:sz w:val="20"/>
          <w:rtl/>
        </w:rPr>
        <w:t xml:space="preserve"> وفقاً </w:t>
      </w:r>
      <w:r w:rsidRPr="006C4108">
        <w:rPr>
          <w:rFonts w:hint="cs"/>
          <w:b/>
          <w:bCs/>
          <w:spacing w:val="0"/>
          <w:sz w:val="20"/>
          <w:rtl/>
        </w:rPr>
        <w:t>لأحكام المادة 14 من الاتفاقية؛</w:t>
      </w:r>
    </w:p>
    <w:p w:rsidR="004E0A37" w:rsidRPr="006C4108" w:rsidRDefault="004E0A37" w:rsidP="006C4108">
      <w:pPr>
        <w:pStyle w:val="SingleTxtGA"/>
        <w:jc w:val="lowKashida"/>
        <w:rPr>
          <w:rFonts w:hint="cs"/>
          <w:b/>
          <w:bCs/>
          <w:spacing w:val="0"/>
          <w:sz w:val="20"/>
          <w:rtl/>
        </w:rPr>
      </w:pPr>
      <w:r w:rsidRPr="006C4108">
        <w:rPr>
          <w:rFonts w:hint="cs"/>
          <w:b/>
          <w:bCs/>
          <w:spacing w:val="0"/>
          <w:sz w:val="20"/>
          <w:rtl/>
        </w:rPr>
        <w:tab/>
        <w:t>(د)</w:t>
      </w:r>
      <w:r w:rsidRPr="006C4108">
        <w:rPr>
          <w:rFonts w:hint="cs"/>
          <w:b/>
          <w:bCs/>
          <w:spacing w:val="0"/>
          <w:sz w:val="20"/>
          <w:rtl/>
        </w:rPr>
        <w:tab/>
        <w:t>منع عودة الأشخاص المتجر بهم إلى بلدانهم الأصلية إذا توافر سبب حقيقي يدعو إلى الاعتقاد بأنهم سيتعرضون لخطر التعذيب، لضمان الامتثال لأحكام المادة</w:t>
      </w:r>
      <w:r w:rsidR="006C4108">
        <w:rPr>
          <w:rFonts w:hint="eastAsia"/>
          <w:b/>
          <w:bCs/>
          <w:spacing w:val="0"/>
          <w:sz w:val="20"/>
          <w:rtl/>
        </w:rPr>
        <w:t> </w:t>
      </w:r>
      <w:r w:rsidRPr="006C4108">
        <w:rPr>
          <w:rFonts w:hint="cs"/>
          <w:b/>
          <w:bCs/>
          <w:spacing w:val="0"/>
          <w:sz w:val="20"/>
          <w:rtl/>
        </w:rPr>
        <w:t>3 من الاتفاقية؛</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(ﻫ)</w:t>
      </w:r>
      <w:r w:rsidRPr="006C4108">
        <w:rPr>
          <w:rFonts w:hint="cs"/>
          <w:b/>
          <w:bCs/>
          <w:spacing w:val="0"/>
          <w:sz w:val="20"/>
          <w:rtl/>
        </w:rPr>
        <w:tab/>
        <w:t>تقديم التدريب المنتظم إلى الشرطة والمدعين العامين والقضاة بشأن القيام بفعالية بمنع أفعال الاتجار والتحقيق فيها ومقاضاة ومعاقبة مرتكبيها، بما في ذلك التدريب على ضمانات الحق في التمثيل من جانب محامٍ من اختيار الفرد، وإعلام عامة الجمهور بالطبيعة الجنائية لهذه الأفعال؛</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(و)</w:t>
      </w:r>
      <w:r w:rsidRPr="006C4108">
        <w:rPr>
          <w:rFonts w:hint="cs"/>
          <w:b/>
          <w:bCs/>
          <w:spacing w:val="0"/>
          <w:sz w:val="20"/>
          <w:rtl/>
        </w:rPr>
        <w:tab/>
        <w:t>تجميع بيانات مصنفة عن الضحايا، والملاحقات القضائية، وأنواع الأحكام الصادرة بشأن أفعال الاتجار، وجبر الضحايا، والتدابير المتخذة لمنع أفعال الاتجار وكذلك الصعوبات التي يتم مواجهتها لمنع هذه الأفعال.</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 xml:space="preserve">الحبس الاحتياطي </w:t>
      </w:r>
    </w:p>
    <w:p w:rsidR="004E0A37" w:rsidRPr="004E0A37" w:rsidRDefault="004F2F36" w:rsidP="00A4030E">
      <w:pPr>
        <w:pStyle w:val="SingleTxtGA"/>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4E0A37" w:rsidRPr="004E0A37">
        <w:rPr>
          <w:rFonts w:hint="cs"/>
          <w:spacing w:val="0"/>
          <w:sz w:val="20"/>
          <w:rtl/>
        </w:rPr>
        <w:t>ترحب اللجنة باعتماد القانون رقم 10494 الصادر في 22 كانون الأول/</w:t>
      </w:r>
      <w:r w:rsidR="006C4108">
        <w:rPr>
          <w:rFonts w:hint="cs"/>
          <w:spacing w:val="0"/>
          <w:sz w:val="20"/>
          <w:rtl/>
        </w:rPr>
        <w:t xml:space="preserve"> </w:t>
      </w:r>
      <w:r w:rsidR="004E0A37" w:rsidRPr="004E0A37">
        <w:rPr>
          <w:rFonts w:hint="cs"/>
          <w:spacing w:val="0"/>
          <w:sz w:val="20"/>
          <w:rtl/>
        </w:rPr>
        <w:t>ديسمبر</w:t>
      </w:r>
      <w:r w:rsidR="00A4030E">
        <w:rPr>
          <w:rFonts w:hint="eastAsia"/>
          <w:spacing w:val="0"/>
          <w:sz w:val="20"/>
          <w:rtl/>
        </w:rPr>
        <w:t> </w:t>
      </w:r>
      <w:r w:rsidR="004E0A37" w:rsidRPr="004E0A37">
        <w:rPr>
          <w:rFonts w:hint="cs"/>
          <w:spacing w:val="0"/>
          <w:sz w:val="20"/>
          <w:rtl/>
        </w:rPr>
        <w:t xml:space="preserve">2011 بشأن </w:t>
      </w:r>
      <w:r w:rsidR="00553388">
        <w:rPr>
          <w:rFonts w:hint="cs"/>
          <w:spacing w:val="0"/>
          <w:sz w:val="20"/>
          <w:rtl/>
        </w:rPr>
        <w:t>‘</w:t>
      </w:r>
      <w:r w:rsidR="004E0A37" w:rsidRPr="004E0A37">
        <w:rPr>
          <w:rFonts w:hint="cs"/>
          <w:spacing w:val="0"/>
          <w:sz w:val="20"/>
          <w:rtl/>
        </w:rPr>
        <w:t>الرصد الإلكتروني للأشخاص المقيدة حريتهم بموجب قرار من المحكمة‘ الرامي إلى الحد من حالات الحبس الاحتياطي؛ ومع ذلك، فإنها تلاحظ مع القلق أن الحبس الاحتياطي لا يزال يطبق بشكل مفرط. ويساور اللجنة القلق بشكل خاص إزاء التقارير بوجود عدد كبير من حالات التعذيب وسوء المعاملة أثناء الحبس الاحتياطي، وإزاء مدة الحبس الاحتياطي التي تصل إلى ثلاث سنوات، وكذلك إزاء التقارير التي تفيد بأن قرارات تصدر عن المحاكم بفرض الحبس الاحتياطي، دون مبرر في معظم الأحيان. وفضلاً عن ذلك، يساور اللجنة القلق أيضاً إزاء التقارير التي تفيد بأن الأشخاص الذين احتُجزوا لفترات طويلة والذين</w:t>
      </w:r>
      <w:r w:rsidR="00335AC0">
        <w:rPr>
          <w:rFonts w:hint="cs"/>
          <w:spacing w:val="0"/>
          <w:sz w:val="20"/>
          <w:rtl/>
        </w:rPr>
        <w:t xml:space="preserve"> لم </w:t>
      </w:r>
      <w:r w:rsidR="004E0A37" w:rsidRPr="004E0A37">
        <w:rPr>
          <w:rFonts w:hint="cs"/>
          <w:spacing w:val="0"/>
          <w:sz w:val="20"/>
          <w:rtl/>
        </w:rPr>
        <w:t>يتم احترام حقوقهم أثناء الحبس الاحتياطي يواجهون، في معظم الأحيان، صعوبات في الوصول إلى العدالة والتماس التعويض (المواد 2 و11 و14).</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تحث اللجنة الدولة الطرف على 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أن تجري تعديلاً على التشريع الجنائي ذي الصلة بهدف عدم فرض إجراء الحبس الاحتياطي إلا كخيار أخير، ولا سيما عندما تصل خطورة الجريمة إلى درجة تجعل أي تدبير آخر غير مناسب وبوضوح؛</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استنباط تدابير بديلة للحبس الاحتياطي وضمان تطبيقها بفعالية من جانب الهيئة القضائية؛</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اعتماد جميع التدابير اللازمة للحد من مدة الحبس الاحتياطي وفرضه، ومراعاة أحكام قواعد الأمم المتحدة النموذجية الدنيا للتدابير غير الاحتجازية (قواعد طوكيو) عند استنباط تدابير بديلة للحجز التحفظي؛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(د)</w:t>
      </w:r>
      <w:r w:rsidRPr="006C4108">
        <w:rPr>
          <w:rFonts w:hint="cs"/>
          <w:b/>
          <w:bCs/>
          <w:spacing w:val="0"/>
          <w:sz w:val="20"/>
          <w:rtl/>
        </w:rPr>
        <w:tab/>
        <w:t>ضمان توفير التدريب المناسب للموظفين المكلفين بإنفاذ القانون وغيرهم من الموظفين، بشأن اللجوء إلى الحبس الاحتياطي؛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(ﻫ)</w:t>
      </w:r>
      <w:r w:rsidRPr="006C4108">
        <w:rPr>
          <w:rFonts w:hint="cs"/>
          <w:b/>
          <w:bCs/>
          <w:spacing w:val="0"/>
          <w:sz w:val="20"/>
          <w:rtl/>
        </w:rPr>
        <w:tab/>
        <w:t>إجراء تحقيق فوري في جميع أفعال التعذيب وسوء المعاملة في أماكن الحبس الاحتياطي وإتاحة إمكانية لجوء الضحايا إلى القضاء وسبل التظلم.</w:t>
      </w:r>
    </w:p>
    <w:p w:rsidR="004E0A37" w:rsidRPr="004E0A37" w:rsidRDefault="004E0A37" w:rsidP="00043F1D">
      <w:pPr>
        <w:pStyle w:val="H23GA"/>
        <w:keepNex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الاحتجاز الإداري</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لا تزال اللجنة تشعر بالقلق إزاء استمرار تطبيق الاحتجاز الإداري لمدة عشر ساعات لغرض التحقيق قبل بدء حساب مدة ال‍ 48 ساعة التي يجب في غضونها أن يمثل المشتبه به أمام قاض (المادتان 2 و16).</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توصي اللجنة الدولة الطرف بأن تلغي فترة الاحتجاز الإداري لمدة عشر ساعات لغرض التحقيق المعمول بها حالياً، وأن تكفل بلوغ أهداف عملية التأكد من هوية المشتبه به في غضون 48 ساعة وهي المدة التي يجب أن يمثل خلالها المشتبه به أمام قاض.</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عدم الإعادة القسرية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18</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مع القلق الافتقار للمعلومات المتعلقة بأسس الطرد وسبل الحماية للأفراد الذين يعتبرون تهديداً للأمن،</w:t>
      </w:r>
      <w:r w:rsidR="00B345DB">
        <w:rPr>
          <w:rFonts w:hint="cs"/>
          <w:spacing w:val="0"/>
          <w:sz w:val="20"/>
          <w:rtl/>
        </w:rPr>
        <w:t xml:space="preserve"> وفقاً </w:t>
      </w:r>
      <w:r w:rsidR="004E0A37" w:rsidRPr="004E0A37">
        <w:rPr>
          <w:rFonts w:hint="cs"/>
          <w:spacing w:val="0"/>
          <w:sz w:val="20"/>
          <w:rtl/>
        </w:rPr>
        <w:t>لأحكام المادة 3 من الاتفاقية (المادة 3).</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توصي اللجنة الدولة الطرف بأن تلتزم بدقة، وفي جميع الحالات، بالمادة 3 من الاتفاقية التي تقضي بأنه لا يجوز للدولة الطرف أن تطرد أي شخص أو أن تعيده أو أن تسلمه إلى دولة أخرى إذا توافرت لديها أسباب حقيقية تدعو إلى الاعتقاد بأنه سيكون في خطر التعرض للتعذيب.</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الضمانات الدبلوماسية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19</w:t>
      </w:r>
      <w:r w:rsidR="003E72B5">
        <w:rPr>
          <w:rFonts w:hint="cs"/>
          <w:spacing w:val="0"/>
          <w:sz w:val="20"/>
          <w:rtl/>
        </w:rPr>
        <w:t>)</w:t>
      </w:r>
      <w:r w:rsidR="003E72B5">
        <w:rPr>
          <w:rFonts w:hint="cs"/>
          <w:spacing w:val="0"/>
          <w:sz w:val="20"/>
          <w:rtl/>
        </w:rPr>
        <w:tab/>
      </w:r>
      <w:r w:rsidR="00F96B1E">
        <w:rPr>
          <w:rFonts w:hint="cs"/>
          <w:spacing w:val="0"/>
          <w:sz w:val="20"/>
          <w:rtl/>
        </w:rPr>
        <w:t>فيما </w:t>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بالمعلومات المحدثة الواردة من ألبانيا بشأن حالة ومركز ووثائق تسعة من المعتقلين السابقين في غوانتانامو وأطفالهم، فإنها تلاحظ مع القلق الافتقار إلى المعلومات بشأن معايير طلب الضمانات الدبلوماسية ومنحها، بما في ذلك الإشارة إلى ما إذا كان بالإمكان استخدامها لتعديل الاستنتاج بوجود خطر لتعرض الشخص للتعذيب عند عودته إلى بلده الأصلي (المادة 3).</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توصي اللجنة الدولة الطرف بأن تعدل عن التماس وقبول الضمانات الدبلوماسية وذلك في كل من سياق التسليم والترحيل، من دولة تكون فيها أسباب حقيقية تدعو للاعتقاد بأن الشخص سيتعرض لخطر التعذيب أو سوء المعاملة عند عودته إلى الدولة المعنية، وأن تكف عن إعادة أشخاص إلى بلدانهم الأصلية حيث يكون هناك خطر التعرض للتعذيب أو سوء المعاملة.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الوصول إلى آليات تقديم الشكاوى</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20</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المعلومات بأن الضحايا المزعومين لسوء المعاملة من قبل الشرطة ليسوا على دراية بإجراءات تقديم الشكاوى غير تلك المتعلقة بتقديم الشكوى إلى الشرطة، التي رفضت في بعض الحالات قبول الادعاءات بسوء تصرف رجالها. ويساور اللجنة القلق أيضاً إزاء الحالات المبلغ عنها بسوء معاملة أشخاص في حالة من الضعف، عزفوا عن تقديم شكوى ضد الشرطة خوفاً من شكاوى مضادة تقدمها الشرطة، أو غيرها من أشكال الانتقام (المواد 12 و13 و16).</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توصي اللجنة الدولة الطرف باتخاذ تدابير مناسبة لضمان 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إتاحة المعلومات بشأن إمكانية وإجراءات تقديم الشكاوى ضد الشرطة ونشرها على نطاق واسع، بما في ذلك من خلال عرضها في مكان بارز في جميع مخافر الشرطة في الدولة الطرف؛</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إجراء تقييم وتحقيق على النحو الواجب في جميع مزاعم سوء تصرف الشرطة، بما في ذلك حالات التخويف أو الانتقام ولا سيما ضد أشخاص في حالة من الضعف، بسبب الشكاوى التي قاموا بتقديمها بشأن سوء المعاملة من جانب الشرطة.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التحقيقات الفورية والمستقلة والشاملة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21</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انتشار بيانات محدودة عن التحقيق في حالات التعذيب وسوء المعاملة والاستخدام غير المشروع للقوة من جانب الشرطة. ويساور اللجنة القلق بصفة خاصة لعدم إجراء تحقيقات فعالة في حالات التعذيب وسوء المعاملة وذلك لأن وزارة الداخلية تشترك في عملية التحقيق في الانتهاكات المزعومة من جانب وحداتها الفرعية، وهو سلوك يخالف مبدأ النزاهة. ويساور اللجنة القلق أيضاً إزاء الافتقار للمعلومات التي تبين ما إذا كان التحقيق في حادث مقتل ثلاثة متظاهرين برصاص الشرطة خلال الاحتجاجات ضد الحكومة في تيرانا في كانون الثاني/يناير 2011، قد أُجري فوراً وبصورة مستقلة وشاملة. ولذلك تكرر اللجنة الإعراب عن قلقها بشأن عدم إجراء تحقيق مستقل وفعال في مزاعم التعذيب وسوء المعاملة من جانب الموظفين المكلفين بإنفاذ القانون والافتقار لمساءلة مرتكبي هذه الأفعال. ويساور اللجنة القلق أيضاً إزاء انعدام عمليات التحقيق في الحالات المبلغ عنها بسوء معاملة الأطفال في أوساط الرعاية الاجتماعية (المواد 12 و13 و16).</w:t>
      </w:r>
    </w:p>
    <w:p w:rsidR="004E0A37" w:rsidRPr="006C4108" w:rsidRDefault="004E0A37" w:rsidP="004E0A37">
      <w:pPr>
        <w:pStyle w:val="SingleTxtGA"/>
        <w:jc w:val="lowKashida"/>
        <w:rPr>
          <w:rFonts w:hint="cs"/>
          <w:b/>
          <w:bCs/>
          <w:spacing w:val="0"/>
          <w:sz w:val="20"/>
          <w:rtl/>
        </w:rPr>
      </w:pPr>
      <w:r w:rsidRPr="006C4108">
        <w:rPr>
          <w:b/>
          <w:bCs/>
          <w:spacing w:val="0"/>
          <w:sz w:val="20"/>
          <w:rtl/>
        </w:rPr>
        <w:tab/>
      </w:r>
      <w:r w:rsidRPr="006C4108">
        <w:rPr>
          <w:rFonts w:hint="cs"/>
          <w:b/>
          <w:bCs/>
          <w:spacing w:val="0"/>
          <w:sz w:val="20"/>
          <w:rtl/>
        </w:rPr>
        <w:t>توصي اللجنة الدولة الطرف بما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أن تتخذ جميع التدابير المناسبة لضمان أن يتم التحقيق في جميع ادعاءات التعذيب وسوء المعاملة من جانب الشرطة، فوراً وبشكل شامل من جانب هيئات مستقلة، دون أن يكون هناك اتصال مؤسسي أو هرمي بين المحققين والجناة المزعومين من الشرطة، ومقاضاة المسؤولين واتخاذ جميع التدابير لضمان عدم انتشار حالات الإفلات من العقاب، على النحو الموصى به في سياق عملية الاستعراض الدوري الشامل لألبانيا؛</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أن تزود اللجنة، من باب الأولوية، بمعلومات عن التحقيق في حادث مقتل ثلاثة متظاهرين برصاص الشرطة أثناء الاحتجاجات ضد الحكومة في تيرانا في كانون الثاني/يناير 2011، الذي ينبغي القيام به فوراً وبصورة مستقلة وشاملة؛</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أن تقوم بتجميع بيانات دقيقة عن عمليات التحقيق في التعذيب وسوء المعاملة والاستخدام غير المشروع للقوة من جانب الشرطة وأن تقدم معلومات محدثة عنها إلى اللجنة؛</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(د)</w:t>
      </w:r>
      <w:r w:rsidRPr="006C4108">
        <w:rPr>
          <w:rFonts w:hint="cs"/>
          <w:b/>
          <w:bCs/>
          <w:spacing w:val="0"/>
          <w:sz w:val="20"/>
          <w:rtl/>
        </w:rPr>
        <w:tab/>
        <w:t>أن تضمن التحقيق الفعال في الحوادث المبلغ عنها لسوء معاملة الأطفال في أوساط الرعاية الاجتماعية.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الاحتجاز السري</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22</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مع القلق أن الحكومة</w:t>
      </w:r>
      <w:r w:rsidR="00335AC0">
        <w:rPr>
          <w:rFonts w:hint="cs"/>
          <w:spacing w:val="0"/>
          <w:sz w:val="20"/>
          <w:rtl/>
        </w:rPr>
        <w:t xml:space="preserve"> لم </w:t>
      </w:r>
      <w:r w:rsidR="004E0A37" w:rsidRPr="004E0A37">
        <w:rPr>
          <w:rFonts w:hint="cs"/>
          <w:spacing w:val="0"/>
          <w:sz w:val="20"/>
          <w:rtl/>
        </w:rPr>
        <w:t>تجر تحقيقاً ذي دلالة في مزاعم الاحتجاز السري الذي تم على أراضي الدولة الطرف في سياق تعاونها في مجال مكافحة الإرهاب. ويساور اللجنة القلق أيضاً لأن الدولة الطرف</w:t>
      </w:r>
      <w:r w:rsidR="00335AC0">
        <w:rPr>
          <w:rFonts w:hint="cs"/>
          <w:spacing w:val="0"/>
          <w:sz w:val="20"/>
          <w:rtl/>
        </w:rPr>
        <w:t xml:space="preserve"> لم </w:t>
      </w:r>
      <w:r w:rsidR="004E0A37" w:rsidRPr="004E0A37">
        <w:rPr>
          <w:rFonts w:hint="cs"/>
          <w:spacing w:val="0"/>
          <w:sz w:val="20"/>
          <w:rtl/>
        </w:rPr>
        <w:t>تقدم معلومات عن التدابير المحددة التي اتخذتها لتنفيذ توصيات الدراسة</w:t>
      </w:r>
      <w:r w:rsidR="004E0A37" w:rsidRPr="004E0A37">
        <w:rPr>
          <w:rFonts w:hint="cs"/>
          <w:spacing w:val="0"/>
          <w:sz w:val="20"/>
          <w:rtl/>
          <w:lang/>
        </w:rPr>
        <w:t xml:space="preserve"> المشتركة للأمم المتحدة بشأن الممارسات العالمية </w:t>
      </w:r>
      <w:r w:rsidR="00F96B1E">
        <w:rPr>
          <w:rFonts w:hint="cs"/>
          <w:spacing w:val="0"/>
          <w:sz w:val="20"/>
          <w:rtl/>
          <w:lang/>
        </w:rPr>
        <w:t>فيما </w:t>
      </w:r>
      <w:r w:rsidR="004E0A37" w:rsidRPr="004E0A37">
        <w:rPr>
          <w:rFonts w:hint="cs"/>
          <w:spacing w:val="0"/>
          <w:sz w:val="20"/>
          <w:rtl/>
          <w:lang/>
        </w:rPr>
        <w:t>يتصل بالاحتجاز السري في سياق مكافحة الإرهاب</w:t>
      </w:r>
      <w:r w:rsidR="004E0A37" w:rsidRPr="004E0A37">
        <w:rPr>
          <w:rFonts w:hint="cs"/>
          <w:spacing w:val="0"/>
          <w:sz w:val="20"/>
          <w:rtl/>
        </w:rPr>
        <w:t xml:space="preserve"> (</w:t>
      </w:r>
      <w:r w:rsidR="004E0A37" w:rsidRPr="004E0A37">
        <w:rPr>
          <w:spacing w:val="0"/>
          <w:sz w:val="20"/>
        </w:rPr>
        <w:t>A/HRC/13/42</w:t>
      </w:r>
      <w:r w:rsidR="004E0A37" w:rsidRPr="004E0A37">
        <w:rPr>
          <w:rFonts w:hint="cs"/>
          <w:spacing w:val="0"/>
          <w:sz w:val="20"/>
          <w:rtl/>
        </w:rPr>
        <w:t>) (المواد 2 و3 و12).</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تحث اللجنة الدولة الطرف على 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أن تقدم معلومات عن التدابير المتخذة لبدء تحقيق حكومي في المشاركة المزعومة لموظفين مكلفين بإنفاذ القانون في الدولة الطرف في برامج التسليم والاحتجاز</w:t>
      </w:r>
      <w:r w:rsidRPr="006C4108">
        <w:rPr>
          <w:rFonts w:hint="eastAsia"/>
          <w:b/>
          <w:bCs/>
          <w:spacing w:val="0"/>
          <w:sz w:val="20"/>
          <w:rtl/>
        </w:rPr>
        <w:t> </w:t>
      </w:r>
      <w:r w:rsidRPr="006C4108">
        <w:rPr>
          <w:rFonts w:hint="cs"/>
          <w:b/>
          <w:bCs/>
          <w:spacing w:val="0"/>
          <w:sz w:val="20"/>
          <w:rtl/>
        </w:rPr>
        <w:t>السري؛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أن تعلن عن نتائج عمليات التحقيق؛</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أن تتخذ جميع التدابير اللازمة لمنع وقوع مثل هذه الحالات في المستقبل؛</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(د)</w:t>
      </w:r>
      <w:r w:rsidRPr="006C4108">
        <w:rPr>
          <w:rFonts w:hint="cs"/>
          <w:b/>
          <w:bCs/>
          <w:spacing w:val="0"/>
          <w:sz w:val="20"/>
          <w:rtl/>
        </w:rPr>
        <w:tab/>
        <w:t xml:space="preserve">أن تتخذ تدابير محددة ترمي إلى تنفيذ توصيات الدراسة المشتركة للأمم المتحدة بشأن الممارسات العالمية </w:t>
      </w:r>
      <w:r w:rsidR="00F96B1E" w:rsidRPr="006C4108">
        <w:rPr>
          <w:rFonts w:hint="cs"/>
          <w:b/>
          <w:bCs/>
          <w:spacing w:val="0"/>
          <w:sz w:val="20"/>
          <w:rtl/>
        </w:rPr>
        <w:t>فيما </w:t>
      </w:r>
      <w:r w:rsidRPr="006C4108">
        <w:rPr>
          <w:rFonts w:hint="cs"/>
          <w:b/>
          <w:bCs/>
          <w:spacing w:val="0"/>
          <w:sz w:val="20"/>
          <w:rtl/>
        </w:rPr>
        <w:t>يتصل بالاحتجاز السري في سياق مكافحة الإرهاب (</w:t>
      </w:r>
      <w:r w:rsidRPr="006C4108">
        <w:rPr>
          <w:b/>
          <w:bCs/>
          <w:spacing w:val="0"/>
          <w:sz w:val="20"/>
        </w:rPr>
        <w:t>A/HRC/13/42</w:t>
      </w:r>
      <w:r w:rsidRPr="006C4108">
        <w:rPr>
          <w:rFonts w:hint="cs"/>
          <w:b/>
          <w:bCs/>
          <w:spacing w:val="0"/>
          <w:sz w:val="20"/>
          <w:rtl/>
        </w:rPr>
        <w:t>).</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تدريب الموظفين المكلفين بإنفاذ القانون</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F96B1E">
        <w:rPr>
          <w:rFonts w:hint="cs"/>
          <w:spacing w:val="0"/>
          <w:sz w:val="20"/>
          <w:rtl/>
        </w:rPr>
        <w:t>فيما </w:t>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 xml:space="preserve">باعتماد دليل معاملة الأشخاص المحتجزين لدى الشرطة، في كانون الأول/ديسمبر 2009، فإنها لا تزال تشعر بالقلق إزاء التقارير التي تفيد بأن موظفي مخافر الشرطة ليسوا على دراية بوجود الدليل ومقتضياته. وتعرب اللجنة أيضاً عن القلق إزاء الافتقار للتدريب المحدد لجميع المهنيين الذين يشاركون مباشرة في عمليات التحقيق والتوثيق المتعلقة بآثار التعذيب الجسدية والنفسية وكذلك الموظفين الطبيين وغيرهم من الذين يتعاملون مع المحتجزين وملتمسي اللجوء، على دليل التقصي والتوثيق الفعالين بشأن التعذيب وغيره من ضروب المعاملة أو العقوبة القاسية أو اللاإنسانية أو المهينة (بروتوكول </w:t>
      </w:r>
      <w:r w:rsidR="002C1EA7">
        <w:rPr>
          <w:rFonts w:hint="cs"/>
          <w:spacing w:val="0"/>
          <w:sz w:val="20"/>
          <w:rtl/>
        </w:rPr>
        <w:t>اسطنبول</w:t>
      </w:r>
      <w:r w:rsidR="004E0A37" w:rsidRPr="004E0A37">
        <w:rPr>
          <w:rFonts w:hint="cs"/>
          <w:spacing w:val="0"/>
          <w:sz w:val="20"/>
          <w:rtl/>
        </w:rPr>
        <w:t>). ويساور اللجنة القلق أيضاً إزاء الافتقار للمعلومات المتعلقة ببرامج تدريب القضاة على الاتفاقية وتعليق اللجنة العام رقم 2(2007) (المادة 10).</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توصي اللجنة بأن تكفل الدولة الطرف ما يلي:</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(أ)</w:t>
      </w:r>
      <w:r w:rsidRPr="006C4108">
        <w:rPr>
          <w:rFonts w:hint="cs"/>
          <w:b/>
          <w:bCs/>
          <w:spacing w:val="0"/>
          <w:sz w:val="20"/>
          <w:rtl/>
        </w:rPr>
        <w:tab/>
        <w:t>توفير التدريب المناسب على مقتضيات دليل معاملة الأشخاص المحتجزين لدى الشرطة لجميع موظفي الشرطة؛</w:t>
      </w:r>
    </w:p>
    <w:p w:rsidR="004E0A37" w:rsidRPr="006C4108" w:rsidRDefault="004E0A37" w:rsidP="006C4108">
      <w:pPr>
        <w:pStyle w:val="SingleTxtGA"/>
        <w:jc w:val="lowKashida"/>
        <w:rPr>
          <w:rFonts w:hint="cs"/>
          <w:b/>
          <w:bCs/>
          <w:spacing w:val="0"/>
          <w:sz w:val="20"/>
          <w:rtl/>
        </w:rPr>
      </w:pPr>
      <w:r w:rsidRPr="006C4108">
        <w:rPr>
          <w:rFonts w:hint="cs"/>
          <w:b/>
          <w:bCs/>
          <w:spacing w:val="0"/>
          <w:sz w:val="20"/>
          <w:rtl/>
        </w:rPr>
        <w:tab/>
        <w:t>(ب)</w:t>
      </w:r>
      <w:r w:rsidRPr="006C4108">
        <w:rPr>
          <w:rFonts w:hint="cs"/>
          <w:b/>
          <w:bCs/>
          <w:spacing w:val="0"/>
          <w:sz w:val="20"/>
          <w:rtl/>
        </w:rPr>
        <w:tab/>
        <w:t>توفير التدريب المنتظم لجميع الموظفين المكلفين بإنفاذ القانون والموظفين الطبيين وغيرهم من الموظفين الذين يشاركون في عمليات الاحتجاز أو الاستجواب أو</w:t>
      </w:r>
      <w:r w:rsidR="006C4108">
        <w:rPr>
          <w:rFonts w:hint="eastAsia"/>
          <w:b/>
          <w:bCs/>
          <w:spacing w:val="0"/>
          <w:sz w:val="20"/>
          <w:rtl/>
        </w:rPr>
        <w:t> </w:t>
      </w:r>
      <w:r w:rsidRPr="006C4108">
        <w:rPr>
          <w:rFonts w:hint="cs"/>
          <w:b/>
          <w:bCs/>
          <w:spacing w:val="0"/>
          <w:sz w:val="20"/>
          <w:rtl/>
        </w:rPr>
        <w:t xml:space="preserve">التعامل مع أي شخص يخضع لأي شكل من أشكال التوقيف أو الاحتجاز أو السجن، وفي توثيق حالات التعذيب والتحقيق فيها، على دليل التقصي والتوثيق الفعالين بشأن التعذيب وغيره من ضروب المعاملة أو العقوبة القاسية أو اللاإنسانية أو المهينة (بروتوكول </w:t>
      </w:r>
      <w:r w:rsidR="002C1EA7" w:rsidRPr="006C4108">
        <w:rPr>
          <w:rFonts w:hint="cs"/>
          <w:b/>
          <w:bCs/>
          <w:spacing w:val="0"/>
          <w:sz w:val="20"/>
          <w:rtl/>
        </w:rPr>
        <w:t>اسطنبول</w:t>
      </w:r>
      <w:r w:rsidRPr="006C4108">
        <w:rPr>
          <w:rFonts w:hint="cs"/>
          <w:b/>
          <w:bCs/>
          <w:spacing w:val="0"/>
          <w:sz w:val="20"/>
          <w:rtl/>
        </w:rPr>
        <w:t>) الذي يقضي بتحديد كل من الآثار الجسدية والنفسية لضحايا التعذيب؛</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(ج)</w:t>
      </w:r>
      <w:r w:rsidRPr="006C4108">
        <w:rPr>
          <w:rFonts w:hint="cs"/>
          <w:b/>
          <w:bCs/>
          <w:spacing w:val="0"/>
          <w:sz w:val="20"/>
          <w:rtl/>
        </w:rPr>
        <w:tab/>
        <w:t>تقديم هذا التدريب أيضاً إلى الموظفين المعنيين بإجراءات تحديد مركز</w:t>
      </w:r>
      <w:r w:rsidRPr="006C4108">
        <w:rPr>
          <w:rFonts w:hint="eastAsia"/>
          <w:b/>
          <w:bCs/>
          <w:spacing w:val="0"/>
          <w:sz w:val="20"/>
          <w:rtl/>
        </w:rPr>
        <w:t> </w:t>
      </w:r>
      <w:r w:rsidRPr="006C4108">
        <w:rPr>
          <w:rFonts w:hint="cs"/>
          <w:b/>
          <w:bCs/>
          <w:spacing w:val="0"/>
          <w:sz w:val="20"/>
          <w:rtl/>
        </w:rPr>
        <w:t>اللاجئ؛</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(د)</w:t>
      </w:r>
      <w:r w:rsidRPr="006C4108">
        <w:rPr>
          <w:rFonts w:hint="cs"/>
          <w:b/>
          <w:bCs/>
          <w:spacing w:val="0"/>
          <w:sz w:val="20"/>
          <w:rtl/>
        </w:rPr>
        <w:tab/>
        <w:t>وضع برامج تدريبية فعالة للقضاة بشأن تطبيق الاتفاقية وتعليق اللجنة العام رقم 2(2007).</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أطفال الروما المفقودين</w:t>
      </w:r>
    </w:p>
    <w:p w:rsidR="004E0A37" w:rsidRPr="004E0A37" w:rsidRDefault="004F2F36" w:rsidP="00A4030E">
      <w:pPr>
        <w:pStyle w:val="SingleTxtGA"/>
        <w:jc w:val="lowKashida"/>
        <w:rPr>
          <w:rFonts w:hint="cs"/>
          <w:spacing w:val="0"/>
          <w:sz w:val="20"/>
          <w:rtl/>
        </w:rPr>
      </w:pPr>
      <w:r>
        <w:rPr>
          <w:rFonts w:hint="cs"/>
          <w:spacing w:val="0"/>
          <w:sz w:val="20"/>
          <w:rtl/>
        </w:rPr>
        <w:t>(</w:t>
      </w:r>
      <w:r w:rsidR="004E0A37" w:rsidRPr="004E0A37">
        <w:rPr>
          <w:rFonts w:hint="cs"/>
          <w:spacing w:val="0"/>
          <w:sz w:val="20"/>
          <w:rtl/>
        </w:rPr>
        <w:t>24</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المعلومات التي تفيد بأن 502 من أصل 661 من أطفال</w:t>
      </w:r>
      <w:r w:rsidR="006C4108">
        <w:rPr>
          <w:rFonts w:hint="eastAsia"/>
          <w:spacing w:val="0"/>
          <w:sz w:val="20"/>
          <w:rtl/>
        </w:rPr>
        <w:t> </w:t>
      </w:r>
      <w:r w:rsidR="004E0A37" w:rsidRPr="004E0A37">
        <w:rPr>
          <w:rFonts w:hint="cs"/>
          <w:spacing w:val="0"/>
          <w:sz w:val="20"/>
          <w:rtl/>
        </w:rPr>
        <w:t>الشوارع من الروما الألبانيين أصبحوا في عداد المفقودين بعد إيداعهم خلال</w:t>
      </w:r>
      <w:r w:rsidR="006C4108">
        <w:rPr>
          <w:rFonts w:hint="cs"/>
          <w:spacing w:val="0"/>
          <w:sz w:val="20"/>
          <w:rtl/>
        </w:rPr>
        <w:t xml:space="preserve"> </w:t>
      </w:r>
      <w:r w:rsidR="004E0A37" w:rsidRPr="004E0A37">
        <w:rPr>
          <w:rFonts w:hint="cs"/>
          <w:spacing w:val="0"/>
          <w:sz w:val="20"/>
          <w:rtl/>
        </w:rPr>
        <w:t>الفترة</w:t>
      </w:r>
      <w:r w:rsidR="00A4030E">
        <w:rPr>
          <w:rFonts w:hint="eastAsia"/>
          <w:spacing w:val="0"/>
          <w:sz w:val="20"/>
          <w:rtl/>
        </w:rPr>
        <w:t> </w:t>
      </w:r>
      <w:r w:rsidR="004E0A37" w:rsidRPr="004E0A37">
        <w:rPr>
          <w:rFonts w:hint="cs"/>
          <w:spacing w:val="0"/>
          <w:sz w:val="20"/>
          <w:rtl/>
        </w:rPr>
        <w:t>1998-2002 في مؤسسة أغهيا فارفارا للأطفال في اليونان. ويساور اللجنة القلق</w:t>
      </w:r>
      <w:r w:rsidR="006C4108">
        <w:rPr>
          <w:rFonts w:hint="eastAsia"/>
          <w:spacing w:val="0"/>
          <w:sz w:val="20"/>
          <w:rtl/>
        </w:rPr>
        <w:t> </w:t>
      </w:r>
      <w:r w:rsidR="004E0A37" w:rsidRPr="004E0A37">
        <w:rPr>
          <w:rFonts w:hint="cs"/>
          <w:spacing w:val="0"/>
          <w:sz w:val="20"/>
          <w:rtl/>
        </w:rPr>
        <w:t>بشكل خاص لأن سلطات الدولة الطرف</w:t>
      </w:r>
      <w:r w:rsidR="00335AC0">
        <w:rPr>
          <w:rFonts w:hint="cs"/>
          <w:spacing w:val="0"/>
          <w:sz w:val="20"/>
          <w:rtl/>
        </w:rPr>
        <w:t xml:space="preserve"> لم </w:t>
      </w:r>
      <w:r w:rsidR="004E0A37" w:rsidRPr="004E0A37">
        <w:rPr>
          <w:rFonts w:hint="cs"/>
          <w:spacing w:val="0"/>
          <w:sz w:val="20"/>
          <w:rtl/>
        </w:rPr>
        <w:t>تبذل الجهود الفعالة لإجراء تحقيق فوري</w:t>
      </w:r>
      <w:r w:rsidR="006C4108">
        <w:rPr>
          <w:rFonts w:hint="eastAsia"/>
          <w:spacing w:val="0"/>
          <w:sz w:val="20"/>
          <w:rtl/>
        </w:rPr>
        <w:t> </w:t>
      </w:r>
      <w:r w:rsidR="004E0A37" w:rsidRPr="004E0A37">
        <w:rPr>
          <w:rFonts w:hint="cs"/>
          <w:spacing w:val="0"/>
          <w:sz w:val="20"/>
          <w:rtl/>
        </w:rPr>
        <w:t>وفعال</w:t>
      </w:r>
      <w:r w:rsidR="006C4108">
        <w:rPr>
          <w:rFonts w:hint="eastAsia"/>
          <w:spacing w:val="0"/>
          <w:sz w:val="20"/>
          <w:rtl/>
        </w:rPr>
        <w:t> </w:t>
      </w:r>
      <w:r w:rsidR="004E0A37" w:rsidRPr="004E0A37">
        <w:rPr>
          <w:rFonts w:hint="cs"/>
          <w:spacing w:val="0"/>
          <w:sz w:val="20"/>
          <w:rtl/>
        </w:rPr>
        <w:t>في الحالات المسماة باختفاء أطفال الروما على يد السلطات المختصة في اليونان (المواد 2 و11 و12 و14).</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تحث اللجنة الدولة الطرف على أن تجري فوراً حواراً مع السلطات اليونانية بهدف إنشاء آلية فعالة فوراً للتحقيق في هذه الحالات، بغية تحديد أماكن وجود الأطفال المفقودين، وذلك بالتعاون مع أمناء المظالم من كلا البلدين ومنظمات المجتمع المدني المعنية، وتحديد المسؤوليات التأديبية والجنائية للمتورطين، قبل إمكانية أن تسقط هذه الاتهامات</w:t>
      </w:r>
      <w:r w:rsidRPr="006C4108">
        <w:rPr>
          <w:rFonts w:hint="eastAsia"/>
          <w:b/>
          <w:bCs/>
          <w:spacing w:val="0"/>
          <w:sz w:val="20"/>
          <w:rtl/>
        </w:rPr>
        <w:t> </w:t>
      </w:r>
      <w:r w:rsidRPr="006C4108">
        <w:rPr>
          <w:rFonts w:hint="cs"/>
          <w:b/>
          <w:bCs/>
          <w:spacing w:val="0"/>
          <w:sz w:val="20"/>
          <w:rtl/>
        </w:rPr>
        <w:t xml:space="preserve">بالتقادم. </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الثأر</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25</w:t>
      </w:r>
      <w:r w:rsidR="003E72B5">
        <w:rPr>
          <w:rFonts w:hint="cs"/>
          <w:spacing w:val="0"/>
          <w:sz w:val="20"/>
          <w:rtl/>
        </w:rPr>
        <w:t>)</w:t>
      </w:r>
      <w:r w:rsidR="003E72B5">
        <w:rPr>
          <w:rFonts w:hint="cs"/>
          <w:spacing w:val="0"/>
          <w:sz w:val="20"/>
          <w:rtl/>
        </w:rPr>
        <w:tab/>
      </w:r>
      <w:r w:rsidR="00F96B1E">
        <w:rPr>
          <w:rFonts w:hint="cs"/>
          <w:spacing w:val="0"/>
          <w:sz w:val="20"/>
          <w:rtl/>
        </w:rPr>
        <w:t>فيما </w:t>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 xml:space="preserve">بالمعلومات المقدمة من الدولة الطرف بشأن انخفاض حالات القتل الانتقامي لحماية الشرف، خارج النظام القانوني العادي، فإنها تعرب عن قلقها لأن هذه الممارسة لا تزال راسخة في أجزاء معينة من المجتمع، ولا سيما بسبب انتشار الصور النمطية المتغلغلة جذورها للدفاع عن شرف العائلة المفقود بسبب حالة القتل الأولى واستعادته. </w:t>
      </w:r>
    </w:p>
    <w:p w:rsidR="004E0A37" w:rsidRPr="006C4108" w:rsidRDefault="004E0A37" w:rsidP="004E0A37">
      <w:pPr>
        <w:pStyle w:val="SingleTxtGA"/>
        <w:jc w:val="lowKashida"/>
        <w:rPr>
          <w:rFonts w:hint="cs"/>
          <w:b/>
          <w:bCs/>
          <w:spacing w:val="0"/>
          <w:sz w:val="20"/>
          <w:rtl/>
        </w:rPr>
      </w:pPr>
      <w:r w:rsidRPr="006C4108">
        <w:rPr>
          <w:rFonts w:hint="cs"/>
          <w:b/>
          <w:bCs/>
          <w:spacing w:val="0"/>
          <w:sz w:val="20"/>
          <w:rtl/>
        </w:rPr>
        <w:tab/>
        <w:t xml:space="preserve">إن اللجنة، إذ تشير إلى توصيات اللجنة المعنية بحقوق الإنسان والمقرر الخاص المعني بحالات الإعدام خارج القضاء أو بإجراءات موجزة أو تعسفاً، توصي الدولة الطرف باتخاذ مزيد من التدابير بما في ذلك إجراء بحوث وتنظيم حملات التوعية للقضاء على المعتقدات المتمثلة في حماية الشرف خارج النظام القانوني العادي وإجراء تحقيقات في هذه الجرائم ومقاضاة ومعاقبة جميع مرتكبيها. </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 xml:space="preserve">تحديد هوية أفراد مجموعات التدخل في السجون </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26</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التقارير التي تفيد بأن أفراد مجموعات التدخل الخاصة في مؤسسات السجون غير ملزمين بارتداء شارات تبين هويتهم الشخصية، أثناء ممارسة مهامهم (المواد 12 و13 و14).</w:t>
      </w:r>
    </w:p>
    <w:p w:rsidR="004E0A37" w:rsidRPr="007B0865" w:rsidRDefault="004E0A37" w:rsidP="004E0A37">
      <w:pPr>
        <w:pStyle w:val="SingleTxtGA"/>
        <w:jc w:val="lowKashida"/>
        <w:rPr>
          <w:rFonts w:hint="cs"/>
          <w:b/>
          <w:bCs/>
          <w:spacing w:val="0"/>
          <w:sz w:val="20"/>
          <w:rtl/>
        </w:rPr>
      </w:pPr>
      <w:r w:rsidRPr="007B0865">
        <w:rPr>
          <w:rFonts w:hint="cs"/>
          <w:b/>
          <w:bCs/>
          <w:spacing w:val="0"/>
          <w:sz w:val="20"/>
          <w:rtl/>
        </w:rPr>
        <w:tab/>
        <w:t>توصي اللجنة الدولة الطرف بأن تكفل إظهار أفراد مجموعات التدخل الخاصة شارات تظهر هويتهم على نحو سليم في جميع الأوقات عند اتصالهم بالسجناء، وذلك لمنع سوء المعاملة وتوفير ما يلزم للمساءلة.</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التعويض المناسب</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27</w:t>
      </w:r>
      <w:r w:rsidR="003E72B5">
        <w:rPr>
          <w:rFonts w:hint="cs"/>
          <w:spacing w:val="0"/>
          <w:sz w:val="20"/>
          <w:rtl/>
        </w:rPr>
        <w:t>)</w:t>
      </w:r>
      <w:r w:rsidR="003E72B5">
        <w:rPr>
          <w:rFonts w:hint="cs"/>
          <w:spacing w:val="0"/>
          <w:sz w:val="20"/>
          <w:rtl/>
        </w:rPr>
        <w:tab/>
      </w:r>
      <w:r w:rsidR="00F96B1E">
        <w:rPr>
          <w:rFonts w:hint="cs"/>
          <w:spacing w:val="0"/>
          <w:sz w:val="20"/>
          <w:rtl/>
        </w:rPr>
        <w:t>فيما </w:t>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بأن المادة 44 من الدستور تكفل تعويض الأفراد الذين عانوا من أذى بسبب فعل غير قانوني أو انعدام الفعل من جانب سلطات الدولة أو موظفيها، فإنها تعرب عن قلقها إزاء التقارير التي تفيد بأن العديد من ضحايا التعذيب أو سوء المعاملة من جانب ضباط الشرطة أو غيرهم من المسؤولين العموميين يضطرون في واقع الأمر إلى رفع دعاوى مدنية للحصول على التعويض (المادة 14).</w:t>
      </w:r>
    </w:p>
    <w:p w:rsidR="004E0A37" w:rsidRPr="00AF1A27" w:rsidRDefault="004E0A37" w:rsidP="004E0A37">
      <w:pPr>
        <w:pStyle w:val="SingleTxtGA"/>
        <w:jc w:val="lowKashida"/>
        <w:rPr>
          <w:rFonts w:hint="cs"/>
          <w:b/>
          <w:bCs/>
          <w:spacing w:val="0"/>
          <w:sz w:val="20"/>
          <w:rtl/>
        </w:rPr>
      </w:pPr>
      <w:r w:rsidRPr="00AF1A27">
        <w:rPr>
          <w:rFonts w:hint="cs"/>
          <w:b/>
          <w:bCs/>
          <w:spacing w:val="0"/>
          <w:sz w:val="20"/>
          <w:rtl/>
        </w:rPr>
        <w:tab/>
        <w:t xml:space="preserve">تحث اللجنة الدولة الطرف على اتخاذ تدابير قانونية وغيرها من التدابير فوراً لضمان إنصاف ضحايا التعذيب وسوء المعاملة وتمتعهم بحق قابل للتنفيذ في تعويض عادل ومناسب، بما في ذلك وسائل إعادة التأهيل على أكمل وجه ممكن، ولا سيما السجناء السياسيين السابقين والأشخاص المضطهدين، وعلى جمع البيانات وتضمين تقريرها الدوري المقبل معلومات بشأن حالات وأنواع التعويض وإعادة التأهيل المقدم. </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جمع البيانات</w:t>
      </w:r>
    </w:p>
    <w:p w:rsidR="004E0A37" w:rsidRPr="004E0A37" w:rsidRDefault="004F2F36" w:rsidP="00B602A3">
      <w:pPr>
        <w:pStyle w:val="SingleTxtGA"/>
        <w:jc w:val="lowKashida"/>
        <w:rPr>
          <w:rFonts w:hint="cs"/>
          <w:spacing w:val="0"/>
          <w:sz w:val="20"/>
          <w:rtl/>
        </w:rPr>
      </w:pPr>
      <w:r>
        <w:rPr>
          <w:rFonts w:hint="cs"/>
          <w:spacing w:val="0"/>
          <w:sz w:val="20"/>
          <w:rtl/>
        </w:rPr>
        <w:t>(</w:t>
      </w:r>
      <w:r w:rsidR="004E0A37" w:rsidRPr="004E0A37">
        <w:rPr>
          <w:rFonts w:hint="cs"/>
          <w:spacing w:val="0"/>
          <w:sz w:val="20"/>
          <w:rtl/>
        </w:rPr>
        <w:t>28</w:t>
      </w:r>
      <w:r w:rsidR="003E72B5">
        <w:rPr>
          <w:rFonts w:hint="cs"/>
          <w:spacing w:val="0"/>
          <w:sz w:val="20"/>
          <w:rtl/>
        </w:rPr>
        <w:t>)</w:t>
      </w:r>
      <w:r w:rsidR="003E72B5">
        <w:rPr>
          <w:rFonts w:hint="cs"/>
          <w:spacing w:val="0"/>
          <w:sz w:val="20"/>
          <w:rtl/>
        </w:rPr>
        <w:tab/>
      </w:r>
      <w:r w:rsidR="004E0A37" w:rsidRPr="004E0A37">
        <w:rPr>
          <w:rFonts w:hint="cs"/>
          <w:spacing w:val="0"/>
          <w:sz w:val="20"/>
          <w:rtl/>
        </w:rPr>
        <w:t>تعرب اللجنة عن تقديرها لقيام الدولة الطرف بتجميع إحصاءات عن الجرائم، بما</w:t>
      </w:r>
      <w:r w:rsidR="00B602A3">
        <w:rPr>
          <w:rFonts w:hint="eastAsia"/>
          <w:spacing w:val="0"/>
          <w:sz w:val="20"/>
          <w:rtl/>
        </w:rPr>
        <w:t> </w:t>
      </w:r>
      <w:r w:rsidR="004E0A37" w:rsidRPr="004E0A37">
        <w:rPr>
          <w:rFonts w:hint="cs"/>
          <w:spacing w:val="0"/>
          <w:sz w:val="20"/>
          <w:rtl/>
        </w:rPr>
        <w:t>في ذلك سوء المعاملة من جانب الشرطة والاتجار بالبشر. وتحيط</w:t>
      </w:r>
      <w:r w:rsidR="003833F8">
        <w:rPr>
          <w:rFonts w:hint="cs"/>
          <w:spacing w:val="0"/>
          <w:sz w:val="20"/>
          <w:rtl/>
        </w:rPr>
        <w:t xml:space="preserve"> علماً </w:t>
      </w:r>
      <w:r w:rsidR="004E0A37" w:rsidRPr="004E0A37">
        <w:rPr>
          <w:rFonts w:hint="cs"/>
          <w:spacing w:val="0"/>
          <w:sz w:val="20"/>
          <w:rtl/>
        </w:rPr>
        <w:t>بالبيانات المتعلقة بشكاوى سوء المعاملة من جانب الموظفين المكلفين بإنفاذ القانون، المصنفة بحسب الجريمة المشتبه بارتكابها. ومع ذلك، تأسف اللجنة لعدم تقديم بيانات شاملة ومصنفة بشأن الشكاوى، والتحقيقات والملاحقات القضائية والإدانات المتعلقة بحالات التعذيب وسوء المعاملة من جانب الموظفين المكلفين بإنفاذ القانون وموظفي الأمن والعسكريين وموظفي السجون، وكذلك بشأن جرائم الشرف، والعنف المنزلي والجنسي، وحالات الاختفاء القسري، وبشأن سبل الانتصاف بما في ذلك التعويض وإعادة التأهيل المقدمين للضحايا (المواد</w:t>
      </w:r>
      <w:r w:rsidR="004E0A37" w:rsidRPr="004E0A37">
        <w:rPr>
          <w:rFonts w:hint="eastAsia"/>
          <w:spacing w:val="0"/>
          <w:sz w:val="20"/>
          <w:rtl/>
        </w:rPr>
        <w:t> </w:t>
      </w:r>
      <w:r w:rsidR="004E0A37" w:rsidRPr="004E0A37">
        <w:rPr>
          <w:rFonts w:hint="cs"/>
          <w:spacing w:val="0"/>
          <w:sz w:val="20"/>
          <w:rtl/>
        </w:rPr>
        <w:t>2 و12 و13 و16).</w:t>
      </w:r>
    </w:p>
    <w:p w:rsidR="004E0A37" w:rsidRPr="00AF1A27" w:rsidRDefault="004E0A37" w:rsidP="004E0A37">
      <w:pPr>
        <w:pStyle w:val="SingleTxtGA"/>
        <w:jc w:val="lowKashida"/>
        <w:rPr>
          <w:rFonts w:hint="cs"/>
          <w:b/>
          <w:bCs/>
          <w:spacing w:val="0"/>
          <w:sz w:val="20"/>
          <w:rtl/>
        </w:rPr>
      </w:pPr>
      <w:r w:rsidRPr="00AF1A27">
        <w:rPr>
          <w:rFonts w:hint="cs"/>
          <w:b/>
          <w:bCs/>
          <w:spacing w:val="0"/>
          <w:sz w:val="20"/>
          <w:rtl/>
        </w:rPr>
        <w:tab/>
        <w:t>توصي اللجنة الدولة الطرف بتجميع بيانات إحصائية تتعلق برصد تنفيذ الاتفاقية على المستوى الوطني، بما في ذلك بيانات عن الشكاوى والتحقيقات والملاحقات القضائية والإدانات المتعلقة بحالات التعذيب وسوء المعاملة من جانب الموظفين المكلفين بإنفاذ القانون وموظفي الأمن والعسكريين وموظفي السجون، وكذلك عن جرائم الشرف، والعنف المنزلي والجنسي، وحالات الاختفاء القسري، وبشأن سبل الانتصاف بما في ذلك التعويض وإعادة التأهيل المقدمين للضحايا.</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29</w:t>
      </w:r>
      <w:r w:rsidR="003E72B5">
        <w:rPr>
          <w:rFonts w:hint="cs"/>
          <w:spacing w:val="0"/>
          <w:sz w:val="20"/>
          <w:rtl/>
        </w:rPr>
        <w:t>)</w:t>
      </w:r>
      <w:r w:rsidR="003E72B5">
        <w:rPr>
          <w:rFonts w:hint="cs"/>
          <w:spacing w:val="0"/>
          <w:sz w:val="20"/>
          <w:rtl/>
        </w:rPr>
        <w:tab/>
      </w:r>
      <w:r w:rsidR="004E0A37" w:rsidRPr="004E0A37">
        <w:rPr>
          <w:rFonts w:hint="cs"/>
          <w:spacing w:val="0"/>
          <w:sz w:val="20"/>
          <w:rtl/>
        </w:rPr>
        <w:t>وتوصي اللجنة الدولة الطرف بالنظر في إصدار الإعلانين المنصوص عليهما في المادتين 21 و22 من الاتفاقية، بغية الاعتراف باختصاص اللجنة بتلقي البلاغات المقدمة من الدول والبلاغات المقدمة من الأفراد ودراستها، على النحو الذي أشار إليه الوفد.</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30</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التصديق على المعاهدات الأساسية للأمم المتحدة في مجال حقوق الإنسان التي ليست طرفاً فيها بعد، ولا سيما اتفاقية حقوق الأشخاص ذوي الإعاقة وبروتوكولها الاختياري، والبروتوكول الاختياري الملحق بالعهد الدولي الخاص بالحقوق الاقتصادية والاجتماعية والثقافية.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31</w:t>
      </w:r>
      <w:r w:rsidR="003E72B5">
        <w:rPr>
          <w:rFonts w:hint="cs"/>
          <w:spacing w:val="0"/>
          <w:sz w:val="20"/>
          <w:rtl/>
        </w:rPr>
        <w:t>)</w:t>
      </w:r>
      <w:r w:rsidR="003E72B5">
        <w:rPr>
          <w:rFonts w:hint="cs"/>
          <w:spacing w:val="0"/>
          <w:sz w:val="20"/>
          <w:rtl/>
        </w:rPr>
        <w:tab/>
      </w:r>
      <w:r w:rsidR="004E0A37" w:rsidRPr="004E0A37">
        <w:rPr>
          <w:rFonts w:hint="cs"/>
          <w:spacing w:val="0"/>
          <w:sz w:val="20"/>
          <w:rtl/>
        </w:rPr>
        <w:t>ويرجى من الدولة الطرف أن تنشر، على نطاق واسع وباللغات المناسبة، تقريرها المقدم إلى اللجنة وكذلك الملاحظات الختامية للجنة، وذلك من خلال المواقع الشبكية الرسمية ووسائط الإعلام والمنظمات غير الحكومية.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32</w:t>
      </w:r>
      <w:r w:rsidR="003E72B5">
        <w:rPr>
          <w:rFonts w:hint="cs"/>
          <w:spacing w:val="0"/>
          <w:sz w:val="20"/>
          <w:rtl/>
        </w:rPr>
        <w:t>)</w:t>
      </w:r>
      <w:r w:rsidR="003E72B5">
        <w:rPr>
          <w:rFonts w:hint="cs"/>
          <w:spacing w:val="0"/>
          <w:sz w:val="20"/>
          <w:rtl/>
        </w:rPr>
        <w:tab/>
      </w:r>
      <w:r w:rsidR="004E0A37" w:rsidRPr="004E0A37">
        <w:rPr>
          <w:rFonts w:hint="cs"/>
          <w:spacing w:val="0"/>
          <w:sz w:val="20"/>
          <w:rtl/>
        </w:rPr>
        <w:t>والدولة الطرف مدعوة إلى تقديم وثيقتها الأساسية الموحدة،</w:t>
      </w:r>
      <w:r w:rsidR="00B345DB">
        <w:rPr>
          <w:rFonts w:hint="cs"/>
          <w:spacing w:val="0"/>
          <w:sz w:val="20"/>
          <w:rtl/>
        </w:rPr>
        <w:t xml:space="preserve"> وفقاً </w:t>
      </w:r>
      <w:r w:rsidR="004E0A37" w:rsidRPr="004E0A37">
        <w:rPr>
          <w:rFonts w:hint="cs"/>
          <w:spacing w:val="0"/>
          <w:sz w:val="20"/>
          <w:rtl/>
        </w:rPr>
        <w:t xml:space="preserve">لمتطلبات الوثيقة الأساسية الموحدة الواردة في المبادئ التوجيهية المنسقة لتقديم التقارير بموجب المعاهدات الدولية لحقوق الإنسان </w:t>
      </w:r>
      <w:r w:rsidR="004E0A37" w:rsidRPr="004E0A37">
        <w:rPr>
          <w:spacing w:val="0"/>
          <w:sz w:val="20"/>
        </w:rPr>
        <w:t>(HRI/GEN.2/Rev.6)</w:t>
      </w:r>
      <w:r w:rsidR="004E0A37" w:rsidRPr="004E0A37">
        <w:rPr>
          <w:rFonts w:hint="cs"/>
          <w:spacing w:val="0"/>
          <w:sz w:val="20"/>
          <w:rtl/>
        </w:rPr>
        <w:t>.</w:t>
      </w:r>
    </w:p>
    <w:p w:rsidR="004E0A37" w:rsidRPr="004E0A37" w:rsidRDefault="004F2F36" w:rsidP="00177429">
      <w:pPr>
        <w:pStyle w:val="SingleTxtGA"/>
        <w:jc w:val="lowKashida"/>
        <w:rPr>
          <w:rFonts w:hint="cs"/>
          <w:spacing w:val="0"/>
          <w:sz w:val="20"/>
          <w:rtl/>
        </w:rPr>
      </w:pPr>
      <w:r>
        <w:rPr>
          <w:rFonts w:hint="cs"/>
          <w:spacing w:val="0"/>
          <w:sz w:val="20"/>
          <w:rtl/>
        </w:rPr>
        <w:t>(</w:t>
      </w:r>
      <w:r w:rsidR="004E0A37" w:rsidRPr="004E0A37">
        <w:rPr>
          <w:rFonts w:hint="cs"/>
          <w:spacing w:val="0"/>
          <w:sz w:val="20"/>
          <w:rtl/>
        </w:rPr>
        <w:t>33</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وتطلب اللجنة من الدولة الطرف أن تقدم، بحلول 1 حزيران/يونيه 2013، معلومات عن إجراءات المتابعة التي اتخذت رداً على توصيات اللجنة </w:t>
      </w:r>
      <w:r w:rsidR="00F96B1E">
        <w:rPr>
          <w:rFonts w:hint="cs"/>
          <w:spacing w:val="0"/>
          <w:sz w:val="20"/>
          <w:rtl/>
        </w:rPr>
        <w:t>فيما </w:t>
      </w:r>
      <w:r w:rsidR="004E0A37" w:rsidRPr="004E0A37">
        <w:rPr>
          <w:rFonts w:hint="cs"/>
          <w:spacing w:val="0"/>
          <w:sz w:val="20"/>
          <w:rtl/>
        </w:rPr>
        <w:t>يتعلق بالتالي: (أ)</w:t>
      </w:r>
      <w:r w:rsidR="007B0865">
        <w:rPr>
          <w:rFonts w:hint="eastAsia"/>
          <w:spacing w:val="0"/>
          <w:sz w:val="20"/>
          <w:rtl/>
        </w:rPr>
        <w:t> </w:t>
      </w:r>
      <w:r w:rsidR="004E0A37" w:rsidRPr="004E0A37">
        <w:rPr>
          <w:rFonts w:hint="cs"/>
          <w:spacing w:val="0"/>
          <w:sz w:val="20"/>
          <w:rtl/>
        </w:rPr>
        <w:t>كفالة أو تعزيز الضمانات القانونية للأشخاص المحتجزين؛ (ب) إجراء تحقيقات فورية ومحايدة وفعالة، ومقاضاة الأشخاص المشتبه بارتكابهم أفعال التعذيب أو سوء المعاملة ومعاقبة مرتكبيها على النحو الوارد في الفقرتين 13 و21 من هذه الوثيقة. وفضلاً عن ذلك، تطلب اللجنة من الدولة الطرف تقديم معلومات عن الخط</w:t>
      </w:r>
      <w:r w:rsidR="00177429">
        <w:rPr>
          <w:rFonts w:hint="cs"/>
          <w:spacing w:val="0"/>
          <w:sz w:val="20"/>
          <w:rtl/>
        </w:rPr>
        <w:t>و</w:t>
      </w:r>
      <w:r w:rsidR="004E0A37" w:rsidRPr="004E0A37">
        <w:rPr>
          <w:rFonts w:hint="cs"/>
          <w:spacing w:val="0"/>
          <w:sz w:val="20"/>
          <w:rtl/>
        </w:rPr>
        <w:t>ات التي اتخذت بشأن تقديم التعويض العادل والمناسب للضحايا، وكذلك بشأن جمع البيانات، على النحو الوارد في الفقرتين 27 و28 من هذه الوثيقة.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34</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والدولة الطرف مدعوة إلى تقديم تقريرها المقبل، الذي سيكون التقرير الدوري الثالث، بحلول 1 حزيران/يونيه 2016. ولهذا الغرض، تدعو اللجنة الدولة الطرف إلى أن توافق بحلول 1 حزيران/يونيه 2013، على تقديم التقارير بموجب إجرائها الاختياري لتقديم التقارير، الذي يتمثل في إحالة اللجنة إلى الدولة الطرف قائمة مسائل قبل تقديم تقريرها. وسيشكل رد الدولة الطرف على قائمة المسائل، بموجب المادة 19 من الاتفاقية، تقريرها الدوري المقبل. </w:t>
      </w:r>
    </w:p>
    <w:p w:rsidR="004E0A37" w:rsidRPr="004E0A37" w:rsidRDefault="004E0A37" w:rsidP="004E0A37">
      <w:pPr>
        <w:pStyle w:val="SingleTxtGA"/>
        <w:jc w:val="lowKashida"/>
        <w:rPr>
          <w:rFonts w:hint="cs"/>
          <w:spacing w:val="0"/>
          <w:sz w:val="20"/>
          <w:rtl/>
        </w:rPr>
      </w:pPr>
      <w:r w:rsidRPr="004E0A37">
        <w:rPr>
          <w:rFonts w:hint="cs"/>
          <w:spacing w:val="0"/>
          <w:sz w:val="20"/>
          <w:rtl/>
        </w:rPr>
        <w:t>61-</w:t>
      </w:r>
      <w:r w:rsidRPr="004E0A37">
        <w:rPr>
          <w:rFonts w:hint="cs"/>
          <w:spacing w:val="0"/>
          <w:sz w:val="20"/>
          <w:rtl/>
        </w:rPr>
        <w:tab/>
      </w:r>
      <w:r w:rsidRPr="00AF1A27">
        <w:rPr>
          <w:rFonts w:hint="cs"/>
          <w:b/>
          <w:bCs/>
          <w:spacing w:val="0"/>
          <w:sz w:val="20"/>
          <w:rtl/>
        </w:rPr>
        <w:t>أرمينيا</w:t>
      </w:r>
    </w:p>
    <w:p w:rsidR="004E0A37" w:rsidRPr="004E0A37" w:rsidRDefault="004E0A37" w:rsidP="004E0A37">
      <w:pPr>
        <w:pStyle w:val="SingleTxtGA"/>
        <w:jc w:val="lowKashida"/>
        <w:rPr>
          <w:rFonts w:hint="cs"/>
          <w:spacing w:val="0"/>
          <w:sz w:val="20"/>
          <w:rtl/>
        </w:rPr>
      </w:pPr>
      <w:r w:rsidRPr="004E0A37">
        <w:rPr>
          <w:rFonts w:hint="cs"/>
          <w:spacing w:val="0"/>
          <w:sz w:val="20"/>
          <w:rtl/>
        </w:rPr>
        <w:t>(1</w:t>
      </w:r>
      <w:r w:rsidR="003E72B5">
        <w:rPr>
          <w:rFonts w:hint="cs"/>
          <w:spacing w:val="0"/>
          <w:sz w:val="20"/>
          <w:rtl/>
        </w:rPr>
        <w:t>)</w:t>
      </w:r>
      <w:r w:rsidR="003E72B5">
        <w:rPr>
          <w:rFonts w:hint="cs"/>
          <w:spacing w:val="0"/>
          <w:sz w:val="20"/>
          <w:rtl/>
        </w:rPr>
        <w:tab/>
      </w:r>
      <w:r w:rsidRPr="004E0A37">
        <w:rPr>
          <w:rFonts w:hint="cs"/>
          <w:spacing w:val="0"/>
          <w:sz w:val="20"/>
          <w:rtl/>
        </w:rPr>
        <w:t xml:space="preserve">نظرت لجنة مناهضة التعذيب في التقرير الدوري الثالث لأرمينيا </w:t>
      </w:r>
      <w:r w:rsidRPr="004E0A37">
        <w:rPr>
          <w:spacing w:val="0"/>
          <w:sz w:val="20"/>
        </w:rPr>
        <w:t>(CAT/C/ARM/3)</w:t>
      </w:r>
      <w:r w:rsidRPr="004E0A37">
        <w:rPr>
          <w:rFonts w:hint="cs"/>
          <w:spacing w:val="0"/>
          <w:sz w:val="20"/>
          <w:rtl/>
        </w:rPr>
        <w:t xml:space="preserve"> في جلستيها 1064 و1067 (</w:t>
      </w:r>
      <w:r w:rsidRPr="004E0A37">
        <w:rPr>
          <w:spacing w:val="0"/>
          <w:sz w:val="20"/>
        </w:rPr>
        <w:t>CAT/C/SR.1064</w:t>
      </w:r>
      <w:r w:rsidRPr="004E0A37">
        <w:rPr>
          <w:rFonts w:hint="cs"/>
          <w:spacing w:val="0"/>
          <w:sz w:val="20"/>
          <w:rtl/>
        </w:rPr>
        <w:t xml:space="preserve"> و</w:t>
      </w:r>
      <w:r w:rsidRPr="004E0A37">
        <w:rPr>
          <w:spacing w:val="0"/>
          <w:sz w:val="20"/>
        </w:rPr>
        <w:t>1067</w:t>
      </w:r>
      <w:r w:rsidRPr="004E0A37">
        <w:rPr>
          <w:rFonts w:hint="cs"/>
          <w:spacing w:val="0"/>
          <w:sz w:val="20"/>
          <w:rtl/>
        </w:rPr>
        <w:t>) المعقودتين يومي 10 و11 أيار/مايو 2012، واعتمدت في جلستيها 1085 و1086 (</w:t>
      </w:r>
      <w:r w:rsidRPr="004E0A37">
        <w:rPr>
          <w:spacing w:val="0"/>
          <w:sz w:val="20"/>
        </w:rPr>
        <w:t>CAT/C/SR.1085</w:t>
      </w:r>
      <w:r w:rsidRPr="004E0A37">
        <w:rPr>
          <w:rFonts w:hint="cs"/>
          <w:spacing w:val="0"/>
          <w:sz w:val="20"/>
          <w:rtl/>
        </w:rPr>
        <w:t xml:space="preserve"> و</w:t>
      </w:r>
      <w:r w:rsidRPr="004E0A37">
        <w:rPr>
          <w:spacing w:val="0"/>
          <w:sz w:val="20"/>
        </w:rPr>
        <w:t>1086</w:t>
      </w:r>
      <w:r w:rsidRPr="004E0A37">
        <w:rPr>
          <w:rFonts w:hint="cs"/>
          <w:spacing w:val="0"/>
          <w:sz w:val="20"/>
          <w:rtl/>
        </w:rPr>
        <w:t>) المعقودتين يومي 28 و29 أيار/مايو 2012 الملاحظات الختامية التالية.</w:t>
      </w:r>
    </w:p>
    <w:p w:rsidR="004E0A37" w:rsidRPr="004E0A37" w:rsidRDefault="007B0865" w:rsidP="00043F1D">
      <w:pPr>
        <w:pStyle w:val="H23GA"/>
        <w:tabs>
          <w:tab w:val="left" w:pos="1938"/>
        </w:tabs>
        <w:rPr>
          <w:rFonts w:hint="cs"/>
          <w:rtl/>
        </w:rPr>
      </w:pPr>
      <w:r>
        <w:rPr>
          <w:rFonts w:hint="cs"/>
          <w:rtl/>
        </w:rPr>
        <w:tab/>
      </w:r>
      <w:r w:rsidR="004E0A37" w:rsidRPr="004E0A37">
        <w:rPr>
          <w:rFonts w:hint="cs"/>
          <w:rtl/>
        </w:rPr>
        <w:tab/>
        <w:t>ألف-</w:t>
      </w:r>
      <w:r w:rsidR="004E0A37" w:rsidRPr="004E0A37">
        <w:rPr>
          <w:rFonts w:hint="cs"/>
          <w:rtl/>
        </w:rPr>
        <w:tab/>
        <w:t>مقدمة</w:t>
      </w:r>
    </w:p>
    <w:p w:rsidR="004E0A37" w:rsidRPr="004E0A37" w:rsidRDefault="004E0A37" w:rsidP="004E0A37">
      <w:pPr>
        <w:pStyle w:val="SingleTxtGA"/>
        <w:jc w:val="lowKashida"/>
        <w:rPr>
          <w:rFonts w:hint="cs"/>
          <w:spacing w:val="0"/>
          <w:sz w:val="20"/>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rFonts w:hint="cs"/>
          <w:spacing w:val="0"/>
          <w:sz w:val="20"/>
          <w:rtl/>
        </w:rPr>
        <w:t>ترحب اللجنة بتقديم الدولة الطرف تقريرها الدوري الثالث</w:t>
      </w:r>
      <w:r w:rsidR="00B345DB">
        <w:rPr>
          <w:rFonts w:hint="cs"/>
          <w:spacing w:val="0"/>
          <w:sz w:val="20"/>
          <w:rtl/>
        </w:rPr>
        <w:t xml:space="preserve"> وفقاً </w:t>
      </w:r>
      <w:r w:rsidRPr="004E0A37">
        <w:rPr>
          <w:rFonts w:hint="cs"/>
          <w:spacing w:val="0"/>
          <w:sz w:val="20"/>
          <w:rtl/>
        </w:rPr>
        <w:t xml:space="preserve">للمبادئ التوجيهية العامة المتعلقة بشكل التقارير الدورية ومحتوياتها. بيد أنها تأسف </w:t>
      </w:r>
      <w:r w:rsidRPr="004E0A37">
        <w:rPr>
          <w:rFonts w:hint="cs"/>
          <w:spacing w:val="0"/>
          <w:sz w:val="20"/>
          <w:rtl/>
          <w:lang/>
        </w:rPr>
        <w:t xml:space="preserve">لتأخُّر الدولة الطرف في </w:t>
      </w:r>
      <w:r w:rsidRPr="004E0A37">
        <w:rPr>
          <w:rFonts w:hint="cs"/>
          <w:spacing w:val="0"/>
          <w:sz w:val="20"/>
          <w:rtl/>
        </w:rPr>
        <w:t xml:space="preserve">تقديم التقرير لمدة سبع سنوات. </w:t>
      </w:r>
    </w:p>
    <w:p w:rsidR="004E0A37" w:rsidRPr="004E0A37" w:rsidRDefault="004E0A37" w:rsidP="004E0A37">
      <w:pPr>
        <w:pStyle w:val="SingleTxtGA"/>
        <w:jc w:val="lowKashida"/>
        <w:rPr>
          <w:rFonts w:hint="cs"/>
          <w:spacing w:val="0"/>
          <w:sz w:val="20"/>
          <w:rtl/>
        </w:rPr>
      </w:pPr>
      <w:r w:rsidRPr="004E0A37">
        <w:rPr>
          <w:rFonts w:hint="cs"/>
          <w:spacing w:val="0"/>
          <w:sz w:val="20"/>
          <w:rtl/>
        </w:rPr>
        <w:t>(3</w:t>
      </w:r>
      <w:r w:rsidR="003E72B5">
        <w:rPr>
          <w:rFonts w:hint="cs"/>
          <w:spacing w:val="0"/>
          <w:sz w:val="20"/>
          <w:rtl/>
        </w:rPr>
        <w:t>)</w:t>
      </w:r>
      <w:r w:rsidR="003E72B5">
        <w:rPr>
          <w:rFonts w:hint="cs"/>
          <w:spacing w:val="0"/>
          <w:sz w:val="20"/>
          <w:rtl/>
        </w:rPr>
        <w:tab/>
      </w:r>
      <w:r w:rsidRPr="004E0A37">
        <w:rPr>
          <w:rFonts w:hint="cs"/>
          <w:spacing w:val="0"/>
          <w:sz w:val="20"/>
          <w:rtl/>
        </w:rPr>
        <w:t>وترحب اللجنة بالفرصة المتاحة للنظر في الامتثال للاتفاقية مع وفد الدولة الطرف الرفيع المستوى. وتعرب عن تقديرها للردود الخطية المستفيضة على قائمة المسائل (</w:t>
      </w:r>
      <w:r w:rsidRPr="004E0A37">
        <w:rPr>
          <w:spacing w:val="0"/>
          <w:sz w:val="20"/>
        </w:rPr>
        <w:t>CAT/C/ARM/Q/3</w:t>
      </w:r>
      <w:r w:rsidRPr="004E0A37">
        <w:rPr>
          <w:rFonts w:hint="cs"/>
          <w:spacing w:val="0"/>
          <w:sz w:val="20"/>
          <w:rtl/>
        </w:rPr>
        <w:t xml:space="preserve"> و</w:t>
      </w:r>
      <w:r w:rsidRPr="004E0A37">
        <w:rPr>
          <w:spacing w:val="0"/>
          <w:sz w:val="20"/>
        </w:rPr>
        <w:t>(Add.1</w:t>
      </w:r>
      <w:r w:rsidRPr="004E0A37">
        <w:rPr>
          <w:rFonts w:hint="cs"/>
          <w:spacing w:val="0"/>
          <w:sz w:val="20"/>
          <w:rtl/>
        </w:rPr>
        <w:t xml:space="preserve">، وللمعلومات الإضافية التي قدمها الوفد شفوياً وخطياً. </w:t>
      </w:r>
    </w:p>
    <w:p w:rsidR="004E0A37" w:rsidRPr="004E0A37" w:rsidRDefault="007B0865" w:rsidP="00043F1D">
      <w:pPr>
        <w:pStyle w:val="H23GA"/>
        <w:tabs>
          <w:tab w:val="left" w:pos="1939"/>
        </w:tabs>
        <w:spacing w:line="360" w:lineRule="exact"/>
        <w:rPr>
          <w:rFonts w:hint="cs"/>
          <w:rtl/>
        </w:rPr>
      </w:pPr>
      <w:r>
        <w:rPr>
          <w:rFonts w:hint="cs"/>
          <w:rtl/>
        </w:rPr>
        <w:tab/>
      </w:r>
      <w:r w:rsidR="004E0A37" w:rsidRPr="004E0A37">
        <w:rPr>
          <w:rFonts w:hint="cs"/>
          <w:rtl/>
        </w:rPr>
        <w:tab/>
        <w:t>باء-</w:t>
      </w:r>
      <w:r w:rsidR="004E0A37" w:rsidRPr="004E0A37">
        <w:rPr>
          <w:rFonts w:hint="cs"/>
          <w:rtl/>
        </w:rPr>
        <w:tab/>
        <w:t>الجوانب الإيجابية</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(4</w:t>
      </w:r>
      <w:r w:rsidR="003E72B5">
        <w:rPr>
          <w:rFonts w:hint="cs"/>
          <w:spacing w:val="0"/>
          <w:sz w:val="20"/>
          <w:rtl/>
        </w:rPr>
        <w:t>)</w:t>
      </w:r>
      <w:r w:rsidR="003E72B5">
        <w:rPr>
          <w:rFonts w:hint="cs"/>
          <w:spacing w:val="0"/>
          <w:sz w:val="20"/>
          <w:rtl/>
        </w:rPr>
        <w:tab/>
      </w:r>
      <w:r w:rsidRPr="004E0A37">
        <w:rPr>
          <w:rFonts w:hint="cs"/>
          <w:spacing w:val="0"/>
          <w:sz w:val="20"/>
          <w:rtl/>
        </w:rPr>
        <w:t>ترحب اللجنة بتصديق الدولة الطرف على عدد من الصكوك الدولية والإقليمية، بما</w:t>
      </w:r>
      <w:r w:rsidRPr="004E0A37">
        <w:rPr>
          <w:rFonts w:hint="eastAsia"/>
          <w:spacing w:val="0"/>
          <w:sz w:val="20"/>
          <w:rtl/>
        </w:rPr>
        <w:t> </w:t>
      </w:r>
      <w:r w:rsidRPr="004E0A37">
        <w:rPr>
          <w:rFonts w:hint="cs"/>
          <w:spacing w:val="0"/>
          <w:sz w:val="20"/>
          <w:rtl/>
        </w:rPr>
        <w:t xml:space="preserve">في ذلك: </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البروتوكول الاختياري لا</w:t>
      </w:r>
      <w:r w:rsidRPr="004E0A37">
        <w:rPr>
          <w:spacing w:val="0"/>
          <w:sz w:val="20"/>
          <w:rtl/>
        </w:rPr>
        <w:t xml:space="preserve">تفاقية </w:t>
      </w:r>
      <w:r w:rsidRPr="004E0A37">
        <w:rPr>
          <w:rFonts w:hint="cs"/>
          <w:spacing w:val="0"/>
          <w:sz w:val="20"/>
          <w:rtl/>
        </w:rPr>
        <w:t>مناهضة التعذيب وغيره من ضروب المعاملة أو العقوبة القاسية أو اللاإنسانية أو المهينة، في أيلول/سبتمبر 2006؛</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ا</w:t>
      </w:r>
      <w:r w:rsidRPr="004E0A37">
        <w:rPr>
          <w:spacing w:val="0"/>
          <w:sz w:val="20"/>
          <w:rtl/>
        </w:rPr>
        <w:t>لاتفاقية الدولية لحماية جميع الأشخاص من الاختفاء القسري</w:t>
      </w:r>
      <w:r w:rsidRPr="004E0A37">
        <w:rPr>
          <w:rFonts w:hint="cs"/>
          <w:spacing w:val="0"/>
          <w:sz w:val="20"/>
          <w:rtl/>
        </w:rPr>
        <w:t>، في كانون الثاني/يناير 2011؛</w:t>
      </w:r>
    </w:p>
    <w:p w:rsidR="004E0A37" w:rsidRPr="004E0A37" w:rsidRDefault="004E0A37" w:rsidP="00A4030E">
      <w:pPr>
        <w:pStyle w:val="SingleTxtGA"/>
        <w:spacing w:line="360" w:lineRule="exact"/>
        <w:jc w:val="lowKashida"/>
        <w:rPr>
          <w:rFonts w:hint="cs"/>
          <w:spacing w:val="0"/>
          <w:sz w:val="20"/>
          <w:rtl/>
        </w:rPr>
      </w:pPr>
      <w:r w:rsidRPr="004E0A37">
        <w:rPr>
          <w:rFonts w:hint="cs"/>
          <w:spacing w:val="0"/>
          <w:sz w:val="20"/>
          <w:rtl/>
        </w:rPr>
        <w:tab/>
        <w:t>(ج)</w:t>
      </w:r>
      <w:r w:rsidRPr="004E0A37">
        <w:rPr>
          <w:rFonts w:hint="cs"/>
          <w:spacing w:val="0"/>
          <w:sz w:val="20"/>
          <w:rtl/>
        </w:rPr>
        <w:tab/>
      </w:r>
      <w:r w:rsidRPr="004E0A37">
        <w:rPr>
          <w:spacing w:val="0"/>
          <w:sz w:val="20"/>
          <w:rtl/>
        </w:rPr>
        <w:t>اتفاقية حقوق الأشخاص ذوي الإعاقة</w:t>
      </w:r>
      <w:r w:rsidRPr="004E0A37">
        <w:rPr>
          <w:rFonts w:hint="cs"/>
          <w:spacing w:val="0"/>
          <w:sz w:val="20"/>
          <w:rtl/>
        </w:rPr>
        <w:t xml:space="preserve"> وبروتوكولها الاختياري، في أيلول/</w:t>
      </w:r>
      <w:r w:rsidR="00AF1A27">
        <w:rPr>
          <w:rFonts w:hint="cs"/>
          <w:spacing w:val="0"/>
          <w:sz w:val="20"/>
          <w:rtl/>
        </w:rPr>
        <w:t xml:space="preserve"> </w:t>
      </w:r>
      <w:r w:rsidRPr="004E0A37">
        <w:rPr>
          <w:rFonts w:hint="cs"/>
          <w:spacing w:val="0"/>
          <w:sz w:val="20"/>
          <w:rtl/>
        </w:rPr>
        <w:t>سبتمبر 2010؛</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ab/>
        <w:t>(د)</w:t>
      </w:r>
      <w:r w:rsidRPr="004E0A37">
        <w:rPr>
          <w:rFonts w:hint="cs"/>
          <w:spacing w:val="0"/>
          <w:sz w:val="20"/>
          <w:rtl/>
        </w:rPr>
        <w:tab/>
        <w:t>البروتوكول الاختياري لاتفاقية القضاء على جميع أشكال التمييز ضد المرأة، في أيلول/سبتمبر 2006؛</w:t>
      </w:r>
    </w:p>
    <w:p w:rsidR="004E0A37" w:rsidRPr="004E0A37" w:rsidRDefault="004E0A37" w:rsidP="00AF1A27">
      <w:pPr>
        <w:pStyle w:val="SingleTxtGA"/>
        <w:spacing w:line="360" w:lineRule="exact"/>
        <w:jc w:val="lowKashida"/>
        <w:rPr>
          <w:spacing w:val="0"/>
          <w:sz w:val="20"/>
          <w:rtl/>
        </w:rPr>
      </w:pPr>
      <w:r w:rsidRPr="004E0A37">
        <w:rPr>
          <w:rFonts w:hint="cs"/>
          <w:spacing w:val="0"/>
          <w:sz w:val="20"/>
          <w:rtl/>
        </w:rPr>
        <w:tab/>
        <w:t>(ﻫ)</w:t>
      </w:r>
      <w:r w:rsidRPr="004E0A37">
        <w:rPr>
          <w:rFonts w:hint="cs"/>
          <w:spacing w:val="0"/>
          <w:sz w:val="20"/>
          <w:rtl/>
        </w:rPr>
        <w:tab/>
        <w:t xml:space="preserve">البروتوكولان الاختياريان لاتفاقية حقوق الطفل بشأن إشراك الأطفال في النـزاعات المسلحة، في أيلول/سبتمبر 2005، وبشأن بيع الأطفال وبغاء الأطفال واستغلال الأطفال في المواد الإباحية، في حزيران/يونيه 2005. </w:t>
      </w:r>
    </w:p>
    <w:p w:rsidR="004E0A37" w:rsidRPr="004E0A37" w:rsidRDefault="004E0A37" w:rsidP="00AF1A27">
      <w:pPr>
        <w:pStyle w:val="SingleTxtGA"/>
        <w:spacing w:line="360" w:lineRule="exact"/>
        <w:jc w:val="lowKashida"/>
        <w:rPr>
          <w:spacing w:val="0"/>
          <w:sz w:val="20"/>
        </w:rPr>
      </w:pPr>
      <w:r w:rsidRPr="004E0A37">
        <w:rPr>
          <w:rFonts w:hint="cs"/>
          <w:spacing w:val="0"/>
          <w:sz w:val="20"/>
          <w:rtl/>
        </w:rPr>
        <w:t>(5</w:t>
      </w:r>
      <w:r w:rsidR="003E72B5">
        <w:rPr>
          <w:rFonts w:hint="cs"/>
          <w:spacing w:val="0"/>
          <w:sz w:val="20"/>
          <w:rtl/>
        </w:rPr>
        <w:t>)</w:t>
      </w:r>
      <w:r w:rsidR="003E72B5">
        <w:rPr>
          <w:rFonts w:hint="cs"/>
          <w:spacing w:val="0"/>
          <w:sz w:val="20"/>
          <w:rtl/>
        </w:rPr>
        <w:tab/>
      </w:r>
      <w:r w:rsidRPr="004E0A37">
        <w:rPr>
          <w:rFonts w:hint="cs"/>
          <w:spacing w:val="0"/>
          <w:sz w:val="20"/>
          <w:rtl/>
        </w:rPr>
        <w:t>وترحب اللجنة بالتدابير التشريعية المتخذة أثناء الفترة قيد الاستعراض، بما في ذلك:</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اعتماد قانون في عام 2008 يعيِّن المدافع عن حقوق الإنسان بصفته الآلية الوقائية الوطنية التي ينص عليها البروتوكول الاختياري لاتفاقية مناهضة التعذيب وغيره من ضروب المعاملة أو العقوبة القاسية أو اللاإنسانية أو المهينة؛</w:t>
      </w:r>
    </w:p>
    <w:p w:rsidR="004E0A37" w:rsidRPr="00AF1A27" w:rsidRDefault="004E0A37" w:rsidP="00A4030E">
      <w:pPr>
        <w:pStyle w:val="SingleTxtGA"/>
        <w:spacing w:line="360" w:lineRule="exact"/>
        <w:jc w:val="lowKashida"/>
        <w:rPr>
          <w:rFonts w:hint="cs"/>
          <w:spacing w:val="0"/>
          <w:rtl/>
        </w:rPr>
      </w:pPr>
      <w:r w:rsidRPr="00AF1A27">
        <w:rPr>
          <w:rFonts w:hint="cs"/>
          <w:spacing w:val="0"/>
          <w:rtl/>
        </w:rPr>
        <w:tab/>
        <w:t>(ب)</w:t>
      </w:r>
      <w:r w:rsidRPr="00AF1A27">
        <w:rPr>
          <w:rFonts w:hint="cs"/>
          <w:spacing w:val="0"/>
          <w:rtl/>
        </w:rPr>
        <w:tab/>
        <w:t>سن القانون المتعلق بالمحتجزين وسجناء الحبس الاحتياطي، في آذار/</w:t>
      </w:r>
      <w:r w:rsidR="00AF1A27" w:rsidRPr="00AF1A27">
        <w:rPr>
          <w:rFonts w:hint="cs"/>
          <w:spacing w:val="0"/>
          <w:rtl/>
        </w:rPr>
        <w:t xml:space="preserve"> </w:t>
      </w:r>
      <w:r w:rsidRPr="00AF1A27">
        <w:rPr>
          <w:rFonts w:hint="cs"/>
          <w:spacing w:val="0"/>
          <w:rtl/>
        </w:rPr>
        <w:t>مارس</w:t>
      </w:r>
      <w:r w:rsidR="00A4030E">
        <w:rPr>
          <w:rFonts w:hint="eastAsia"/>
          <w:spacing w:val="0"/>
          <w:rtl/>
        </w:rPr>
        <w:t> </w:t>
      </w:r>
      <w:r w:rsidRPr="00AF1A27">
        <w:rPr>
          <w:rFonts w:hint="cs"/>
          <w:spacing w:val="0"/>
          <w:rtl/>
        </w:rPr>
        <w:t>2002؛</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ab/>
        <w:t>(ج)</w:t>
      </w:r>
      <w:r w:rsidRPr="004E0A37">
        <w:rPr>
          <w:rFonts w:hint="cs"/>
          <w:spacing w:val="0"/>
          <w:sz w:val="20"/>
          <w:rtl/>
        </w:rPr>
        <w:tab/>
        <w:t>اعتماد القانون المتعلق بالسجون في كانون الأول/ديسمبر 2004.</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(6</w:t>
      </w:r>
      <w:r w:rsidR="003E72B5">
        <w:rPr>
          <w:rFonts w:hint="cs"/>
          <w:spacing w:val="0"/>
          <w:sz w:val="20"/>
          <w:rtl/>
        </w:rPr>
        <w:t>)</w:t>
      </w:r>
      <w:r w:rsidR="003E72B5">
        <w:rPr>
          <w:rFonts w:hint="cs"/>
          <w:spacing w:val="0"/>
          <w:sz w:val="20"/>
          <w:rtl/>
        </w:rPr>
        <w:tab/>
      </w:r>
      <w:r w:rsidRPr="004E0A37">
        <w:rPr>
          <w:rFonts w:hint="cs"/>
          <w:spacing w:val="0"/>
          <w:sz w:val="20"/>
          <w:rtl/>
        </w:rPr>
        <w:t>وترحب اللجنة أيضاً بما يلي:</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إنشاء مجموعات مراقبة عامة في عام 2006 تتألف من أعضاء حكوميين وغير حكوميين؛</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توجيه دعوة دائمة إلى المكلفين بولايات في إطار الإجراءات الخاصة التابعين للأمم المتحدة في نيسان/أبريل 2006، والزيارة التي قام بها الفريق العامل المعني بالاحتجاز التعسفي في عام 2010.</w:t>
      </w:r>
    </w:p>
    <w:p w:rsidR="004E0A37" w:rsidRPr="004E0A37" w:rsidRDefault="004E0A37" w:rsidP="00AF1A27">
      <w:pPr>
        <w:pStyle w:val="SingleTxtGA"/>
        <w:spacing w:line="360" w:lineRule="exact"/>
        <w:jc w:val="lowKashida"/>
        <w:rPr>
          <w:rFonts w:hint="cs"/>
          <w:spacing w:val="0"/>
          <w:sz w:val="20"/>
          <w:rtl/>
        </w:rPr>
      </w:pPr>
      <w:r w:rsidRPr="004E0A37">
        <w:rPr>
          <w:rFonts w:hint="cs"/>
          <w:spacing w:val="0"/>
          <w:sz w:val="20"/>
          <w:rtl/>
        </w:rPr>
        <w:t>(7</w:t>
      </w:r>
      <w:r w:rsidR="003E72B5">
        <w:rPr>
          <w:rFonts w:hint="cs"/>
          <w:spacing w:val="0"/>
          <w:sz w:val="20"/>
          <w:rtl/>
        </w:rPr>
        <w:t>)</w:t>
      </w:r>
      <w:r w:rsidR="003E72B5">
        <w:rPr>
          <w:rFonts w:hint="cs"/>
          <w:spacing w:val="0"/>
          <w:sz w:val="20"/>
          <w:rtl/>
        </w:rPr>
        <w:tab/>
      </w:r>
      <w:r w:rsidRPr="004E0A37">
        <w:rPr>
          <w:rFonts w:hint="cs"/>
          <w:spacing w:val="0"/>
          <w:sz w:val="20"/>
          <w:rtl/>
        </w:rPr>
        <w:t>وترحب اللجنة بالبيان الشفوي الذي أدلى به الوفد ومؤداه أن الدولة الطرف تعتزم النظر في إصدار الإعلان المنصوص عليه في المادة 22 من الاتفاقية من أجل الاعتراف باختصاص اللجنة في تسلّم البلاغات التي ترد من الأفراد ودراستها.</w:t>
      </w:r>
    </w:p>
    <w:p w:rsidR="004E0A37" w:rsidRPr="00AF1A27" w:rsidRDefault="007223C0" w:rsidP="00043F1D">
      <w:pPr>
        <w:pStyle w:val="H23GA"/>
        <w:tabs>
          <w:tab w:val="left" w:pos="1938"/>
        </w:tabs>
        <w:jc w:val="lowKashida"/>
        <w:rPr>
          <w:rFonts w:hint="cs"/>
          <w:spacing w:val="0"/>
          <w:rtl/>
          <w:lang w:val="fr-CH"/>
        </w:rPr>
      </w:pPr>
      <w:r>
        <w:rPr>
          <w:rFonts w:hint="cs"/>
          <w:spacing w:val="0"/>
          <w:rtl/>
          <w:lang w:val="fr-CH"/>
        </w:rPr>
        <w:tab/>
      </w:r>
      <w:r>
        <w:rPr>
          <w:rFonts w:hint="cs"/>
          <w:spacing w:val="0"/>
          <w:rtl/>
          <w:lang w:val="fr-CH"/>
        </w:rPr>
        <w:tab/>
        <w:t>جيم-</w:t>
      </w:r>
      <w:r w:rsidR="004E0A37" w:rsidRPr="00AF1A27">
        <w:rPr>
          <w:rFonts w:hint="cs"/>
          <w:spacing w:val="0"/>
          <w:rtl/>
          <w:lang w:val="fr-CH"/>
        </w:rPr>
        <w:tab/>
        <w:t>دواعي القلق الرئيسية والتوصيات</w:t>
      </w:r>
    </w:p>
    <w:p w:rsidR="004E0A37" w:rsidRPr="00AF1A27" w:rsidRDefault="004E0A37" w:rsidP="00AF1A27">
      <w:pPr>
        <w:pStyle w:val="H23GA"/>
        <w:jc w:val="lowKashida"/>
        <w:rPr>
          <w:rFonts w:hint="cs"/>
          <w:spacing w:val="0"/>
          <w:rtl/>
          <w:lang w:val="fr-CH"/>
        </w:rPr>
      </w:pPr>
      <w:r w:rsidRPr="00AF1A27">
        <w:rPr>
          <w:rFonts w:hint="cs"/>
          <w:spacing w:val="0"/>
          <w:rtl/>
          <w:lang w:val="fr-CH"/>
        </w:rPr>
        <w:tab/>
      </w:r>
      <w:r w:rsidRPr="00AF1A27">
        <w:rPr>
          <w:rFonts w:hint="cs"/>
          <w:spacing w:val="0"/>
          <w:rtl/>
          <w:lang w:val="fr-CH"/>
        </w:rPr>
        <w:tab/>
        <w:t>ادعاءات التعرض للتعذيب وسوء المعاملة عند الاحتجاز في مراكز الشرطة</w:t>
      </w:r>
    </w:p>
    <w:p w:rsidR="004E0A37" w:rsidRPr="004E0A37" w:rsidRDefault="004E0A37" w:rsidP="004E0A37">
      <w:pPr>
        <w:pStyle w:val="SingleTxtGA"/>
        <w:jc w:val="lowKashida"/>
        <w:rPr>
          <w:rFonts w:hint="cs"/>
          <w:spacing w:val="0"/>
          <w:sz w:val="20"/>
          <w:rtl/>
        </w:rPr>
      </w:pPr>
      <w:r w:rsidRPr="004E0A37">
        <w:rPr>
          <w:rFonts w:hint="cs"/>
          <w:spacing w:val="0"/>
          <w:sz w:val="20"/>
          <w:rtl/>
        </w:rPr>
        <w:t>(8</w:t>
      </w:r>
      <w:r w:rsidR="003E72B5">
        <w:rPr>
          <w:rFonts w:hint="cs"/>
          <w:spacing w:val="0"/>
          <w:sz w:val="20"/>
          <w:rtl/>
        </w:rPr>
        <w:t>)</w:t>
      </w:r>
      <w:r w:rsidR="003E72B5">
        <w:rPr>
          <w:rFonts w:hint="cs"/>
          <w:spacing w:val="0"/>
          <w:sz w:val="20"/>
          <w:rtl/>
        </w:rPr>
        <w:tab/>
      </w:r>
      <w:r w:rsidRPr="004E0A37">
        <w:rPr>
          <w:rFonts w:hint="cs"/>
          <w:spacing w:val="0"/>
          <w:sz w:val="20"/>
          <w:rtl/>
        </w:rPr>
        <w:t>يساور اللجنة بالغ القلق إزاء الادعاءات العديدة والمتسقة التي تؤيدها مصادر مختلفة بشأن اللجوء إلى تعذيب المشتبه بهم وإساءة معاملتهم بصورة روتينية عند احتجازهم في</w:t>
      </w:r>
      <w:r w:rsidRPr="004E0A37">
        <w:rPr>
          <w:rFonts w:hint="eastAsia"/>
          <w:spacing w:val="0"/>
          <w:sz w:val="20"/>
          <w:rtl/>
        </w:rPr>
        <w:t> </w:t>
      </w:r>
      <w:r w:rsidRPr="004E0A37">
        <w:rPr>
          <w:rFonts w:hint="cs"/>
          <w:spacing w:val="0"/>
          <w:sz w:val="20"/>
          <w:rtl/>
        </w:rPr>
        <w:t>مراكز الشرطة، ولا سيما لانتزاع اعترافات تستخدم في إجراءات جنائية (المواد 2 و4 و12 و16).</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ينبغي أن تتخذ الدولة الطرف، على سبيل الاستعجال، خطوات فورية لمنع وقوع أعمال التعذيب وسوء المعاملة في جميع أنحاء البلد. وتحث اللجنة الدولة الطرف على التحقيق في جميع ادعاءات التعذيب وسوء المعاملة والوفاة قيد الاحتجاز على نحو سريع وواف ونزيه، ومقاضاة مرتكبي هذه الأعمال والإبلاغ علناً عن نتائج هذه المقاضاة. وفضلاً عن ذلك، ينبغي للدولة الطرف أن تكرّر تأكيد حظر التعذيب بصورة لا لبس فيها وأن تحذر علناً من عدم إفلات أي شخص يرتكب هذه الأعمال أو يتواطأ بشكل من الأشكال في ارتكابها أو يوافق عليها من المساءلة أمام القانون عن هذه الأعمال ومن المقاضاة الجنائية والعقاب المناسب.</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التنكيل وسوء المعاملة في القوات المسلحة</w:t>
      </w:r>
    </w:p>
    <w:p w:rsidR="004E0A37" w:rsidRPr="004E0A37" w:rsidRDefault="004E0A37" w:rsidP="004F2F36">
      <w:pPr>
        <w:pStyle w:val="SingleTxtGA"/>
        <w:jc w:val="lowKashida"/>
        <w:rPr>
          <w:rFonts w:hint="cs"/>
          <w:spacing w:val="0"/>
          <w:sz w:val="20"/>
          <w:rtl/>
        </w:rPr>
      </w:pPr>
      <w:r w:rsidRPr="004E0A37">
        <w:rPr>
          <w:rFonts w:hint="cs"/>
          <w:spacing w:val="0"/>
          <w:sz w:val="20"/>
          <w:rtl/>
        </w:rPr>
        <w:t>(9</w:t>
      </w:r>
      <w:r w:rsidR="003E72B5">
        <w:rPr>
          <w:rFonts w:hint="cs"/>
          <w:spacing w:val="0"/>
          <w:sz w:val="20"/>
          <w:rtl/>
        </w:rPr>
        <w:t>)</w:t>
      </w:r>
      <w:r w:rsidR="003E72B5">
        <w:rPr>
          <w:rFonts w:hint="cs"/>
          <w:spacing w:val="0"/>
          <w:sz w:val="20"/>
          <w:rtl/>
        </w:rPr>
        <w:tab/>
      </w:r>
      <w:r w:rsidRPr="004E0A37">
        <w:rPr>
          <w:rFonts w:hint="cs"/>
          <w:spacing w:val="0"/>
          <w:sz w:val="20"/>
          <w:rtl/>
        </w:rPr>
        <w:t>لا يزال القلق يساور اللجنة إزاء الادعاءات بشأن استمرار حالات الوفاة المشتبه بها في صفوف القوات المسلحة الأرمينية خارج نطاق القتال، واستمرار ممارسة التنكيل وغيره من إساءة معاملة المجندين من جانب الضباط أو نظرائهم الجنود برضاء الضباط أو غيرهم من الموظفين أو بقبولهم أو بموافقتهم. وبينما تشير اللجنة إلى المعلومات التي قدمها الوفد، فإنها لا تزال قلقة إزاء التقارير التي تفيد بأن العديد من هذه الحوادث إما أنه</w:t>
      </w:r>
      <w:r w:rsidR="00335AC0">
        <w:rPr>
          <w:rFonts w:hint="cs"/>
          <w:spacing w:val="0"/>
          <w:sz w:val="20"/>
          <w:rtl/>
        </w:rPr>
        <w:t xml:space="preserve"> لم </w:t>
      </w:r>
      <w:r w:rsidRPr="004E0A37">
        <w:rPr>
          <w:rFonts w:hint="cs"/>
          <w:spacing w:val="0"/>
          <w:sz w:val="20"/>
          <w:rtl/>
        </w:rPr>
        <w:t>يجر فيها أي تحقيق وإما أن التحقيقات التي أجريت فيها كانت قاصرة، بما في ذلك التحقيقات في وفاة فردان سيفيان وأرتاك نازيريان وأرتور هاكوبيان. وتشعر اللجنة بالقلق أيضاً إزاء الإبلاغ عن عدم</w:t>
      </w:r>
      <w:r w:rsidR="004F2F36">
        <w:rPr>
          <w:rFonts w:hint="eastAsia"/>
          <w:spacing w:val="0"/>
          <w:sz w:val="20"/>
          <w:rtl/>
        </w:rPr>
        <w:t> </w:t>
      </w:r>
      <w:r w:rsidRPr="004E0A37">
        <w:rPr>
          <w:rFonts w:hint="cs"/>
          <w:spacing w:val="0"/>
          <w:sz w:val="20"/>
          <w:rtl/>
        </w:rPr>
        <w:t>إجراء تحقيقات فعالة في الادعاءات بالتعرض للإيذاء، مثل الادعاءات المقدمة ضد فاردان</w:t>
      </w:r>
      <w:r w:rsidR="004F2F36">
        <w:rPr>
          <w:rFonts w:hint="eastAsia"/>
          <w:spacing w:val="0"/>
          <w:sz w:val="20"/>
          <w:rtl/>
        </w:rPr>
        <w:t> </w:t>
      </w:r>
      <w:r w:rsidRPr="004E0A37">
        <w:rPr>
          <w:rFonts w:hint="cs"/>
          <w:spacing w:val="0"/>
          <w:sz w:val="20"/>
          <w:rtl/>
        </w:rPr>
        <w:t>مارتيروسيان، والعقوبات غير المناسبة المنزلة بحق المدانين بإساءة المعاملة السالفة الذكر (المواد 2 و4 و12 و13 و16).</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ينبغي للدولة الطرف أن تعزز التدابير الرامية إلى حظر التسلط في القوات المسلحة والقضاء علي هذه الممارسة وضمان إجراء تحقيق فوري ونزيه ووافٍ في جميع الادعاءات بالتعرض للتسلط وبالوفاة خارج نطاق القتال في صفوف الجيش. وينبغي للدولة الطرف، حيثما ثبت وجود ممارسة التسلط، أن تضمن ملاحقة جميع الحوادث وإنزال العقوبات المناسبة بالجناة، ونشر نتائج هذه التحقيقات، وتقديم تعويضات للضحايا وإعادة تأهيلهم، بما في ذلك عن طريق المساعدة الطبية والنفسية المناسبة.</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تعريف التعذيب وحظره حظراً مطلقاً وتجريمه</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10</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عدم اتساق التشريع الوطني الذي يجرّم "التعذيب" (المادة</w:t>
      </w:r>
      <w:r w:rsidR="004E0A37" w:rsidRPr="004E0A37">
        <w:rPr>
          <w:rFonts w:hint="eastAsia"/>
          <w:spacing w:val="0"/>
          <w:sz w:val="20"/>
          <w:rtl/>
        </w:rPr>
        <w:t> </w:t>
      </w:r>
      <w:r w:rsidR="004E0A37" w:rsidRPr="004E0A37">
        <w:rPr>
          <w:rFonts w:hint="cs"/>
          <w:spacing w:val="0"/>
          <w:sz w:val="20"/>
          <w:rtl/>
        </w:rPr>
        <w:t>19 من القانون الجنائي) مع تعريف التعذيب</w:t>
      </w:r>
      <w:r w:rsidR="00B345DB">
        <w:rPr>
          <w:rFonts w:hint="cs"/>
          <w:spacing w:val="0"/>
          <w:sz w:val="20"/>
          <w:rtl/>
        </w:rPr>
        <w:t xml:space="preserve"> وفقاً </w:t>
      </w:r>
      <w:r w:rsidR="004E0A37" w:rsidRPr="004E0A37">
        <w:rPr>
          <w:rFonts w:hint="cs"/>
          <w:spacing w:val="0"/>
          <w:sz w:val="20"/>
          <w:rtl/>
        </w:rPr>
        <w:t>للمادة 1 من الاتفاقية، وأن التعذيب بتعريفه الحالي في الدولة الطرف لا يشمل الجرائم التي يرتكبها الموظفون الحكوميون، ويغطي فقط جرائم الأفراد الذين يتصرفون بصفتهم الشخصية، مما أدى إلى عدم إدانة الدولة الطرف أي موظف حكومي بالتعذيب. ويساورها القلق أيضاً إزاء التقارير المتعلقة بحفظ ملفات بعض القضايا المتعلقة بالتعذيب على أساس تصالح المتهم مع الضحية. وتشعر بالقلق أيضاً من أن العقوبات الحالية (وهي عقوبة السجن المشددة التي لا تقل مدتها عن ثلاث سنوات ولا تزيد على سبع سنوات) لا تعكس خطورة الجريمة. وأخيراً، يساورها القلق إزاء إصدار عفو بحقّ عدة أشخاص أدينوا بالتعذيب أو إساءة المعاملة بموجب مواد أخرى من القانون الجنائي (المادتان 1 و4).</w:t>
      </w:r>
    </w:p>
    <w:p w:rsidR="004E0A37" w:rsidRPr="009B46FD" w:rsidRDefault="004E0A37" w:rsidP="007B0865">
      <w:pPr>
        <w:pStyle w:val="SingleTxtGA"/>
        <w:jc w:val="lowKashida"/>
        <w:rPr>
          <w:rFonts w:hint="cs"/>
          <w:b/>
          <w:bCs/>
          <w:spacing w:val="0"/>
          <w:sz w:val="20"/>
          <w:rtl/>
        </w:rPr>
      </w:pPr>
      <w:r w:rsidRPr="009B46FD">
        <w:rPr>
          <w:rFonts w:hint="cs"/>
          <w:b/>
          <w:bCs/>
          <w:spacing w:val="0"/>
          <w:sz w:val="20"/>
          <w:rtl/>
        </w:rPr>
        <w:tab/>
        <w:t>بينما تعرب اللجنة عن تقديرها للبيان الشفوي الذي أدلى به الوفد باعتزام الدولة الطرف تعديل تشريعها الجنائي، توصي بأن تضمن اتساق تعريف التعذيب بصورة كاملة مع المادتين 1 و4 من الاتفاقية. وينبغي للدولة الطرف أيضاً أن تكفل الملاحقة الواجبة لجميع الموظفين الحكوميين الذين يرتكبون فعلا يعد بمثابة تعذيب أو إساءة معاملة، وأن تعكس العقوبة المنزلة في هذه الجريمة خطورة عملية التعذيب</w:t>
      </w:r>
      <w:r w:rsidR="00B345DB" w:rsidRPr="009B46FD">
        <w:rPr>
          <w:rFonts w:hint="cs"/>
          <w:b/>
          <w:bCs/>
          <w:spacing w:val="0"/>
          <w:sz w:val="20"/>
          <w:rtl/>
        </w:rPr>
        <w:t xml:space="preserve"> وفقاً </w:t>
      </w:r>
      <w:r w:rsidRPr="009B46FD">
        <w:rPr>
          <w:rFonts w:hint="cs"/>
          <w:b/>
          <w:bCs/>
          <w:spacing w:val="0"/>
          <w:sz w:val="20"/>
          <w:rtl/>
        </w:rPr>
        <w:t>لما تنص عليه المادة</w:t>
      </w:r>
      <w:r w:rsidR="007B0865">
        <w:rPr>
          <w:rFonts w:hint="eastAsia"/>
          <w:b/>
          <w:bCs/>
          <w:spacing w:val="0"/>
          <w:sz w:val="20"/>
          <w:rtl/>
        </w:rPr>
        <w:t> </w:t>
      </w:r>
      <w:r w:rsidRPr="009B46FD">
        <w:rPr>
          <w:rFonts w:hint="cs"/>
          <w:b/>
          <w:bCs/>
          <w:spacing w:val="0"/>
          <w:sz w:val="20"/>
          <w:rtl/>
        </w:rPr>
        <w:t>4 من الاتفاقية. وينبغي للدولة الطرف كذلك أن تضمن عدم خضوع الأشخاص المدانين بالتعذيب أو غيره من الأفعال التي تعتبر كذلك بموجب القانون الجنائي لأي نظام من نظم التقادم، وأن تجبر السلطات على التحقيق مع الأشخاص المعنيين بهذه الأفعال ومعاقبتهم بغض النظر عن تأكيدات التصالح بين المتهم/المتهمين والضحية/الضحايا.</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الضمانات القانونية الأساسية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11</w:t>
      </w:r>
      <w:r w:rsidR="003E72B5">
        <w:rPr>
          <w:rFonts w:hint="cs"/>
          <w:spacing w:val="0"/>
          <w:sz w:val="20"/>
          <w:rtl/>
        </w:rPr>
        <w:t>)</w:t>
      </w:r>
      <w:r w:rsidR="003E72B5">
        <w:rPr>
          <w:rFonts w:hint="cs"/>
          <w:spacing w:val="0"/>
          <w:sz w:val="20"/>
          <w:rtl/>
        </w:rPr>
        <w:tab/>
      </w:r>
      <w:r w:rsidR="004E0A37" w:rsidRPr="004E0A37">
        <w:rPr>
          <w:rFonts w:hint="cs"/>
          <w:spacing w:val="0"/>
          <w:sz w:val="20"/>
          <w:rtl/>
        </w:rPr>
        <w:t>بغض النظر عن الضمانات التي ينص عليها القانون في المرسوم الحكومي رقم</w:t>
      </w:r>
      <w:r w:rsidR="004E0A37" w:rsidRPr="004E0A37">
        <w:rPr>
          <w:rFonts w:hint="eastAsia"/>
          <w:spacing w:val="0"/>
          <w:sz w:val="20"/>
          <w:rtl/>
        </w:rPr>
        <w:t> </w:t>
      </w:r>
      <w:r w:rsidR="004E0A37" w:rsidRPr="004E0A37">
        <w:rPr>
          <w:spacing w:val="0"/>
          <w:sz w:val="20"/>
        </w:rPr>
        <w:t>574-N</w:t>
      </w:r>
      <w:r w:rsidR="004E0A37" w:rsidRPr="004E0A37" w:rsidDel="000A3CAB">
        <w:rPr>
          <w:rFonts w:hint="cs"/>
          <w:spacing w:val="0"/>
          <w:sz w:val="20"/>
          <w:rtl/>
        </w:rPr>
        <w:t xml:space="preserve"> </w:t>
      </w:r>
      <w:r w:rsidR="004E0A37" w:rsidRPr="004E0A37">
        <w:rPr>
          <w:rFonts w:hint="cs"/>
          <w:spacing w:val="0"/>
          <w:sz w:val="20"/>
          <w:rtl/>
        </w:rPr>
        <w:t xml:space="preserve">المؤرخ حزيران/يونيه 2008 وتوجيه مدير دائرة الشرطة </w:t>
      </w:r>
      <w:r w:rsidR="004E0A37" w:rsidRPr="004E0A37">
        <w:rPr>
          <w:spacing w:val="0"/>
          <w:sz w:val="20"/>
        </w:rPr>
        <w:t xml:space="preserve">12-C </w:t>
      </w:r>
      <w:r w:rsidR="004E0A37" w:rsidRPr="004E0A37">
        <w:rPr>
          <w:rFonts w:hint="cs"/>
          <w:spacing w:val="0"/>
          <w:sz w:val="20"/>
          <w:rtl/>
        </w:rPr>
        <w:t>المؤرخ نيسان/أبريل 2010، والحكم الصادر عن محكمة النقض في كانون الأول/ديسمبر 2009 في قضية</w:t>
      </w:r>
      <w:r w:rsidR="004E0A37" w:rsidRPr="004E0A37">
        <w:rPr>
          <w:rFonts w:hint="eastAsia"/>
          <w:spacing w:val="0"/>
          <w:sz w:val="20"/>
          <w:rtl/>
        </w:rPr>
        <w:t> </w:t>
      </w:r>
      <w:r w:rsidR="004E0A37" w:rsidRPr="004E0A37">
        <w:rPr>
          <w:rFonts w:hint="cs"/>
          <w:spacing w:val="0"/>
          <w:sz w:val="20"/>
          <w:rtl/>
        </w:rPr>
        <w:t>ج. ميكائيليان، تعرب اللجنة عن بالغ القلق إزاء التقارير الواردة بشأن عدم تمكين الدولة الطرف كافة السجناء عملياً من جميع الضمانات الأساسية منذ بداية حرمانهم الفعلي من حريتهم، بما في ذلك الاتصال فوراً بمحامٍ والفحص على يد طبيب والحق في الاتصال بأفراد الأسرة. وتشعر اللجنة بالقلق إزاء التقارير التي تفيد بأن المسؤولين في دوائر الشرطة لا يحتفظون بسجلات دقيقة عن جميع فترات الحرمان من الحرية؛ ولا يتيحون الضمانات الأساسية للأفراد المحتجزين، وبخاصة للأشخاص المحرومين من حريتهم الذين</w:t>
      </w:r>
      <w:r w:rsidR="00335AC0">
        <w:rPr>
          <w:rFonts w:hint="cs"/>
          <w:spacing w:val="0"/>
          <w:sz w:val="20"/>
          <w:rtl/>
        </w:rPr>
        <w:t xml:space="preserve"> لم </w:t>
      </w:r>
      <w:r w:rsidR="004E0A37" w:rsidRPr="004E0A37">
        <w:rPr>
          <w:rFonts w:hint="cs"/>
          <w:spacing w:val="0"/>
          <w:sz w:val="20"/>
          <w:rtl/>
        </w:rPr>
        <w:t>تصدر بحقهم أوامر احتجاز؛ وعدم إخطار المحتجزين فعلاً بحقوقهم عند احتجازهم، وعدم احترام حد الثلاثة أيام لنقل الأشخاص المحرومين من حريتهم من مراكز الشرطة إلى مرافق الاحتجاز؛ وعدم مثول المحتجزين فوراً أمام قاضٍ. وتشير اللجنة أيضاً إلى أن عدد المحامين العامين في الدولة الطرف يظل غير كافٍ (المادة 2).</w:t>
      </w:r>
    </w:p>
    <w:p w:rsidR="004E0A37" w:rsidRPr="009B46FD" w:rsidRDefault="004E0A37" w:rsidP="004E0A37">
      <w:pPr>
        <w:pStyle w:val="SingleTxtGA"/>
        <w:jc w:val="lowKashida"/>
        <w:rPr>
          <w:rFonts w:hint="cs"/>
          <w:b/>
          <w:bCs/>
          <w:spacing w:val="0"/>
          <w:sz w:val="20"/>
        </w:rPr>
      </w:pPr>
      <w:r w:rsidRPr="009B46FD">
        <w:rPr>
          <w:rFonts w:hint="cs"/>
          <w:b/>
          <w:bCs/>
          <w:spacing w:val="0"/>
          <w:sz w:val="20"/>
          <w:rtl/>
        </w:rPr>
        <w:tab/>
        <w:t>في سياق التعديل التشريعي الحالي، بما في ذلك تعديل قانون الإجراءات الجنائية، ينبغي للدولة الطرف أن تتخذ تدابير فورية وفعالة تضمن، قانونياً وعملياً، تمكين جميع المحتجزين من الضمانات القانونية كافة منذ بداية حرمانهم من حريتهم. وتشمل هذه الضمانات الحق في الاتصال بمحام، والحق في فحص طبي مستقل، والحق في الاتصال بأحد الأقرباء، والحق في إبلاغ المحتجزين بحقوقهم، والحق في المثول فوراً أمام أحد القضاة.</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وينبغي للدولة الطرف أن تتخذ تدابير لضمان التسجيل السمعي أو بالفيديو لجميع الاستجوابات في مراكز الشرطة ومرافق الاحتجاز كتدبير وقائي آخر. وتشجع اللجنة الدولة الطرف على الإسراع قدر الإمكان في تنفيذ البرنامج الذي يطالب أفراد الشرطة بتحرير مخاطر احتجاز الكترونية فور حرمان الأشخاص فعلاً من حريتهم في مراكز الشرطة. وينبغي للدولة الطرف أن تضمن للمحامين ولأقرباء المحتجزين الاطلاع على هذه السجلات.</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 xml:space="preserve">وينبغي للدولة الطرف أن تعزز التمويل المتاح لمكتب المدافعين العامين التابع لنقابة المحامين لضمان توفير المساعدة القانونية الفعالة. </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التحقيقات والإفلات من العقاب</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بالغ القلق من أن ادعاءات التعذيب و/أو سوء المعاملة التي يرتكبها الموظفون المكلفون بإنفاذ القوانين وأفراد الجيش لا تخضع للتحقيق وللمقاضاة الفورية أو</w:t>
      </w:r>
      <w:r w:rsidR="004E0A37" w:rsidRPr="004E0A37">
        <w:rPr>
          <w:rFonts w:hint="eastAsia"/>
          <w:spacing w:val="0"/>
          <w:sz w:val="20"/>
          <w:rtl/>
        </w:rPr>
        <w:t> </w:t>
      </w:r>
      <w:r w:rsidR="004E0A37" w:rsidRPr="004E0A37">
        <w:rPr>
          <w:rFonts w:hint="cs"/>
          <w:spacing w:val="0"/>
          <w:sz w:val="20"/>
          <w:rtl/>
        </w:rPr>
        <w:t>النزيهة أو الفعالة. وتشعر اللجنة ببالغ القلق إزاء التقارير التي تفيد بأن مكتب المدعي العام يكلف أفراد الشرطة بالتحقيق في بعض ادعاءات التعذيب وسوء المعاملة التي يُزعَم ارتكاب موظفي الشرطة لها، بدل تكليف دائرة تحقيق مستقلة بهذه الشكاوى. وفي هذا الصدد، تشعر اللجنة بالقلق لعدم قيام مكتب المدعي العام بانتظام بضمان إشراف مدعين عامين مختلفين على عدم التحقيق في جرائم وادعاءات التعذيب ضد موظفي الشرطة من جانب المرتكب المزعوم لهذه الجريمة. واللجنة قلقة أيضاً من أن دائرة التحقيق الخاصة</w:t>
      </w:r>
      <w:r w:rsidR="00335AC0">
        <w:rPr>
          <w:rFonts w:hint="cs"/>
          <w:spacing w:val="0"/>
          <w:sz w:val="20"/>
          <w:rtl/>
        </w:rPr>
        <w:t xml:space="preserve"> لم </w:t>
      </w:r>
      <w:r w:rsidR="004E0A37" w:rsidRPr="004E0A37">
        <w:rPr>
          <w:rFonts w:hint="cs"/>
          <w:spacing w:val="0"/>
          <w:sz w:val="20"/>
          <w:rtl/>
        </w:rPr>
        <w:t>تتمكن من جمْع أدلة كافية للتعرف على الجناة في عدد من القضايا التي يُدَّعى فيها ارتكاب التعذيب أو سوء المعاملة من جانب المسؤولين، مما يثير شواغل تتعلق بفعاليتها. وتشعر اللجنة بالقلق أيضاً إزاء تقارير يُزعم فيها أن المسؤولين الذين يُدّعى ارتكابهم التعذيب أو سوء المعاملة لا يوقفون فوراً عن الخدمة أو يُنقلون عند الاقتضاء أثناء التحقيق، وبخاصة عند احتمال تكرار هذا العمل أو</w:t>
      </w:r>
      <w:r w:rsidR="004E0A37" w:rsidRPr="004E0A37">
        <w:rPr>
          <w:rFonts w:hint="eastAsia"/>
          <w:spacing w:val="0"/>
          <w:sz w:val="20"/>
          <w:rtl/>
        </w:rPr>
        <w:t> </w:t>
      </w:r>
      <w:r w:rsidR="004E0A37" w:rsidRPr="004E0A37">
        <w:rPr>
          <w:rFonts w:hint="cs"/>
          <w:spacing w:val="0"/>
          <w:sz w:val="20"/>
          <w:rtl/>
        </w:rPr>
        <w:t xml:space="preserve">عرقلة التحقيق (المواد 2 و11 و12 و13 و16). </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 xml:space="preserve">ينبغي للدولة الطرف أن تقوم بما يلي: </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(أ)</w:t>
      </w:r>
      <w:r w:rsidRPr="009B46FD">
        <w:rPr>
          <w:rFonts w:hint="cs"/>
          <w:b/>
          <w:bCs/>
          <w:spacing w:val="0"/>
          <w:sz w:val="20"/>
          <w:rtl/>
        </w:rPr>
        <w:tab/>
        <w:t>اتخاذ خطوات ملموسة تضمن التحقيق الفوري والوافي والنزيه في ادعاءات التعذيب وسوء المعاملة من جانب الموظفين المكلفين بإنفاذ القوانين وأفراد الجيش تؤدي إلى مقاضاة الجناة ومعاقبتهم بعقوبات تتناسب مع خطورة العمل المرتكب؛</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(ب)</w:t>
      </w:r>
      <w:r w:rsidRPr="009B46FD">
        <w:rPr>
          <w:rFonts w:hint="cs"/>
          <w:b/>
          <w:bCs/>
          <w:spacing w:val="0"/>
          <w:sz w:val="20"/>
          <w:rtl/>
        </w:rPr>
        <w:tab/>
        <w:t xml:space="preserve">ضمان قيام هيئة مستقلة ومحايدة بالتحقيق في الجرائم التي تشمل موظفين حكوميين؛ </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(ج)</w:t>
      </w:r>
      <w:r w:rsidRPr="009B46FD">
        <w:rPr>
          <w:rFonts w:hint="cs"/>
          <w:b/>
          <w:bCs/>
          <w:spacing w:val="0"/>
          <w:sz w:val="20"/>
          <w:rtl/>
        </w:rPr>
        <w:tab/>
        <w:t>ضمان وقف جميع المسؤولين الذين يُدَّعى أنهم مسؤولون عن انتهاك الاتفاقية عن العمل طوال التحقيق في ادعاءات التعذيب.</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 xml:space="preserve">وتحث اللجنة الدولة الطرف على تقديم معلومات عن عدد الشكاوى المرفوعة ضد المسؤولين الحكوميين الذين يُدعى ارتكابهم أعمالاً تعتبر تعذيباً أو إساءة معاملة بموجب الاتفاقية، وكذلك معلومات عن نتائج التحقيقات في هذه الشكاوى وعن أي إجراءات متخذة، على المستويين الجنائي والتأديبي. وينبغي أن تصف كل معلومة من هذه المعلومات الادعاء المعني وأن تذكر السلطة التي أجرت التحقيق. </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الوفيات أثناء الاحتجاز</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13</w:t>
      </w:r>
      <w:r w:rsidR="003E72B5">
        <w:rPr>
          <w:rFonts w:hint="cs"/>
          <w:spacing w:val="0"/>
          <w:sz w:val="20"/>
          <w:rtl/>
        </w:rPr>
        <w:t>)</w:t>
      </w:r>
      <w:r w:rsidR="003E72B5">
        <w:rPr>
          <w:rFonts w:hint="cs"/>
          <w:spacing w:val="0"/>
          <w:sz w:val="20"/>
          <w:rtl/>
        </w:rPr>
        <w:tab/>
      </w:r>
      <w:r w:rsidR="004E0A37" w:rsidRPr="004E0A37">
        <w:rPr>
          <w:rFonts w:hint="cs"/>
          <w:spacing w:val="0"/>
          <w:sz w:val="20"/>
          <w:rtl/>
        </w:rPr>
        <w:t>تشعر اللجنة بالقلق إزاء التقارير الواردة من الدولة الطرف ومنظمات غير حكومية بشأن الوفيات أثناء الاحتجاز، بما في ذلك وفاة فاهان خالَفيان وليفون غوليان أثناء احتجازهما في مركز الشرطة (المواد 2 و11 و12 و16).</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 xml:space="preserve">تحث اللجنة الدولة الطرف على التحقيق الفوري والنزيه والفعال في جميع حالات وفاة المحتجزين، وتقييم أي مسؤولية للموظفين الحكوميين، وضمان معاقبة الجناة ودفع تعويضات لأسر الضحايا. وتطلب اللجنة إلى الدولة الطرف تقديم معلومات محدثة شاملة عن جميع الوفيات أثناء الاحتجاز المبلغ عنها، بما في ذلك عن مكان وسبب الوفاة ونتائج أي تحقيقات أُجريت في هذه الوفيات، وعن الإجراءات التي اتخذت لمعاقبة الجناة أو دفع تعويضات لأقرباء الضحايا. </w:t>
      </w:r>
    </w:p>
    <w:p w:rsidR="004E0A37" w:rsidRPr="004E0A37" w:rsidRDefault="004E0A37" w:rsidP="006C4108">
      <w:pPr>
        <w:pStyle w:val="H23GA"/>
        <w:jc w:val="lowKashida"/>
        <w:rPr>
          <w:rFonts w:hint="cs"/>
          <w:rtl/>
          <w:lang w:val="fr-CH"/>
        </w:rPr>
      </w:pPr>
      <w:r w:rsidRPr="004E0A37">
        <w:rPr>
          <w:rFonts w:hint="cs"/>
          <w:rtl/>
          <w:lang w:val="fr-CH"/>
        </w:rPr>
        <w:tab/>
      </w:r>
      <w:r w:rsidRPr="004E0A37">
        <w:rPr>
          <w:rFonts w:hint="cs"/>
          <w:rtl/>
          <w:lang w:val="fr-CH"/>
        </w:rPr>
        <w:tab/>
        <w:t>شكاوى الضحايا والشهود والمدافعين عن حقوق الإنسان والأعمال الانتقامية ضدهم وحمايتهم</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14</w:t>
      </w:r>
      <w:r w:rsidR="003E72B5">
        <w:rPr>
          <w:rFonts w:hint="cs"/>
          <w:spacing w:val="0"/>
          <w:sz w:val="20"/>
          <w:rtl/>
        </w:rPr>
        <w:t>)</w:t>
      </w:r>
      <w:r w:rsidR="003E72B5">
        <w:rPr>
          <w:rFonts w:hint="cs"/>
          <w:spacing w:val="0"/>
          <w:sz w:val="20"/>
          <w:rtl/>
        </w:rPr>
        <w:tab/>
      </w:r>
      <w:r w:rsidR="004E0A37" w:rsidRPr="004E0A37">
        <w:rPr>
          <w:rFonts w:hint="cs"/>
          <w:spacing w:val="0"/>
          <w:sz w:val="20"/>
          <w:rtl/>
        </w:rPr>
        <w:t>تشير اللجنة مع القلق إلى تقارير عن عدم قيام ضحايا التعذيب وسوء المعاملة والشهود عليهما بتقديم شكاوى إلى السلطات خوفاً من الانتقام. وتشير كذلك إلى تقارير المدافعين عن حقوق الإنسان وكذلك الصحفيين الذين تعرضوا للتهديد والتخويف نتيجة قيامهم بعملهم، واكتفاء الدولة الطرف باتخاذ خطوات قليلة لضمان حمايتهم (المواد 2 و11 و12 و13 و15 و16).</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 xml:space="preserve">تحث اللجنة الدولة الطرف على وضع آلية فعالة لتيسير تقديم ضحايا التعذيب وسوء المعاملة والشهود عليهما شكاوى إلى السلطات العامة، وضمان حماية المشتكين عملياً من أي سوء معاملة أو تخويف أو أعمال انتقامية نتيجة تقديم الشكاوى. وينبغي للدولة الطرف أن تتخذ جميع الخطوات اللازمة لضمان حماية المدافعين عن حقوق الإنسان والصحفيين كذلك من أي تخويف أو عنف. </w:t>
      </w:r>
    </w:p>
    <w:p w:rsidR="004E0A37" w:rsidRPr="004E0A37" w:rsidRDefault="004E0A37" w:rsidP="006C4108">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الجبر، بما في ذلك التعويض وإعادة التأهيل</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15</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تشير اللجنة إلى أن الدولة الطرف دفعت تعويضاً إلى الضحايا بعد صدور حكم المحكمة الأوروبية لحقوق الإنسان في تموز/يوليه 2011، فإنها تأسف لعدم إتاحة الدولة الطرف بيانات تتعلق بمبلغ هذا التعويض الممنوح من المحاكم لضحايا انتهاك الاتفاقية، بما في ذلك الأفراد الذين حرموا من الضمانات الأساسية أو تعرضوا للتعذيب أو لسوء المعاملة أثناء الاحتجاز. وتشعر اللجنة بالقلق من عدم توفير القانون وسائل تعويض لضحايا التعذيب إلى جانب التعويض المالي. وتشير اللجنة أيضاً إلى عدم وجود معلومات بشأن دوائر العلاج وإعادة التأهيل الاجتماعي، بما في ذلك إعادة التأهيل الطبي والنفسي - الاجتماعي، المقدم إلى الضحايا (المادة 14).</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 xml:space="preserve">ينبغي للدولة الطرف أن تعزز جهودها الرامية إلى جبر أضرار ضحايا التعذيب وسوء المعاملة، بما يشمل دفع تعويض منصف ومناسب، وإعادة تأهيلهم تأهيلاً كاملاً حسب الإمكان. وينبغي للدولة الطرف أن تعدل تشريعها ليشمل أحكاماً صريحة بشأن حق ضحايا التعذيب في الجبر، بما في ذلك التعويض وإعادة التأهيل المناسبين مقابل الأضرار الناتجة عن التعذيب، بما يتسق مع المادة 14 من الاتفاقية. وينبغي لها أن تقدم للجنة معلومات عن التدابير المتخذة في هذا الصدد، بما في ذلك تخصيص موارد لتنفيذ برامج إعادة التأهيل بصورة فعالة. </w:t>
      </w:r>
    </w:p>
    <w:p w:rsidR="004E0A37" w:rsidRPr="004E0A37" w:rsidRDefault="004E0A37" w:rsidP="006C4108">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الاعترافات القسرية</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يساور اللجنة القلق إزاء الادعاءات المتعلقة باستخدام الاعترافات القسرية كأدلة في محاكم الدولة الطرف. ويساور اللجنة القلق أيضاً إزاء التقارير المتعلقة بعدم وقف الإجراءات الجنائية بعد ادعاء المتهم أن اعترافاته انتزعت عن طريق التعذيب، ومطالبة المحاكم بتحقيقات وافية. وتشعر اللجنة بالقلق أيضاً إزاء عدم وجود معلومات عن القضايا التي اعتبرت فيها محاكم الدولة الطرف الاعترافات غير مقبولة كأدلة على أساس انتزاعها عن طريق التعذيب (المواد 2 و11 و15 و16). </w:t>
      </w:r>
    </w:p>
    <w:p w:rsidR="004E0A37" w:rsidRPr="009B46FD" w:rsidRDefault="004E0A37" w:rsidP="004E0A37">
      <w:pPr>
        <w:pStyle w:val="SingleTxtGA"/>
        <w:jc w:val="lowKashida"/>
        <w:rPr>
          <w:b/>
          <w:bCs/>
          <w:spacing w:val="0"/>
          <w:sz w:val="20"/>
        </w:rPr>
      </w:pPr>
      <w:r w:rsidRPr="009B46FD">
        <w:rPr>
          <w:rFonts w:hint="cs"/>
          <w:b/>
          <w:bCs/>
          <w:spacing w:val="0"/>
          <w:sz w:val="20"/>
          <w:rtl/>
        </w:rPr>
        <w:tab/>
        <w:t xml:space="preserve">تحث اللجنة الدولة الطرف على أن تكفل عملياً عدم الاحتجاج بالاعترافات المنتزعة عن طريق التعذيب كأدلة في أي دعاوى. وينبغي للدولة الطرف أن تعمل على وقف الإجراءات، في أي قضية يدعي فيها شخص انتزاع اعترافاته عن طريق التعذيب، في انتظار التحقيق بصورة وافية في الادعاء. وتحث اللجنة الدولة الطرف على إعادة النظر في قضايا الإدانة التي استندت إلى اعترافات فقط. </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وتحث اللجنة الدولة الطرف على أن تتصدى بحزم لأي لجوء إلى التعذيب لانتزاع اعترافات، وأن تكفل عملياً عدم الاستناد مطلقاً إلى الاعترافات المنتزعة عن طريق التعذيب في الإجراءات القضائية. وينبغي للدولة الطرف أن تعدّل تشريعها المتعلق بالأدلة المقدمة في الدعاوى القضائية بما يتمشى مع المادة 15 من الاتفاقية، وأن تقدم معلومات عن مدى ملاحقة أي مسؤولين ومعاقبتهم بسبب انتزاع هذه الاعترافات.</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استقلال الجهاز القضائي</w:t>
      </w:r>
    </w:p>
    <w:p w:rsidR="004E0A37" w:rsidRPr="004E0A37" w:rsidRDefault="004F2F36"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التقارير المتعلقة بعدم استقلال الجهاز القضائي، وبخاصة إزاء مسؤولية رئيس الدولة والسلطة التنفيذية عن تعيين القضاة وترقيتهم وعزلهم. وتشعر اللجنة بالقلق أيضاً من أن تشريع الدولة الطرف ينص على المسؤولية الجنائية للقضاة عند إصدار حكمٍ غير عادل أو أي إجراءات قضائية أخرى (المواد 2 و12 و13).</w:t>
      </w:r>
    </w:p>
    <w:p w:rsidR="004E0A37" w:rsidRPr="009B46FD" w:rsidRDefault="004E0A37" w:rsidP="007B0865">
      <w:pPr>
        <w:pStyle w:val="SingleTxtGA"/>
        <w:jc w:val="lowKashida"/>
        <w:rPr>
          <w:rFonts w:hint="cs"/>
          <w:b/>
          <w:bCs/>
          <w:spacing w:val="0"/>
          <w:sz w:val="20"/>
          <w:rtl/>
        </w:rPr>
      </w:pPr>
      <w:r w:rsidRPr="009B46FD">
        <w:rPr>
          <w:rFonts w:hint="cs"/>
          <w:b/>
          <w:bCs/>
          <w:spacing w:val="0"/>
          <w:sz w:val="20"/>
          <w:rtl/>
        </w:rPr>
        <w:tab/>
        <w:t>ينبغي للدولة الطرف أن تتخذ تدابير تكفل استقلال الجهاز القضائي وحياده بصورة كاملة في أداء وظائفه، وأن تعيد النظر في نظام تعيين القضاة وترقيتهم وعزلهم بما</w:t>
      </w:r>
      <w:r w:rsidR="007B0865">
        <w:rPr>
          <w:rFonts w:hint="eastAsia"/>
          <w:b/>
          <w:bCs/>
          <w:spacing w:val="0"/>
          <w:sz w:val="20"/>
          <w:rtl/>
        </w:rPr>
        <w:t> </w:t>
      </w:r>
      <w:r w:rsidRPr="009B46FD">
        <w:rPr>
          <w:rFonts w:hint="cs"/>
          <w:b/>
          <w:bCs/>
          <w:spacing w:val="0"/>
          <w:sz w:val="20"/>
          <w:rtl/>
        </w:rPr>
        <w:t xml:space="preserve">يتسق مع المعايير الدولية ذات الصلة، بما في ذلك "المبادئ الأساسية بشأن استقلال السلطة القضائية"، التي تقضي بأمور منها </w:t>
      </w:r>
      <w:r w:rsidRPr="009B46FD">
        <w:rPr>
          <w:rFonts w:hint="cs"/>
          <w:b/>
          <w:bCs/>
          <w:spacing w:val="0"/>
          <w:sz w:val="20"/>
          <w:rtl/>
          <w:lang/>
        </w:rPr>
        <w:t>ألا يكون القضاة عرضة للإيقاف أو للعزل إلا</w:t>
      </w:r>
      <w:r w:rsidRPr="009B46FD">
        <w:rPr>
          <w:rFonts w:hint="eastAsia"/>
          <w:b/>
          <w:bCs/>
          <w:spacing w:val="0"/>
          <w:sz w:val="20"/>
          <w:rtl/>
          <w:lang/>
        </w:rPr>
        <w:t> </w:t>
      </w:r>
      <w:r w:rsidRPr="009B46FD">
        <w:rPr>
          <w:rFonts w:hint="cs"/>
          <w:b/>
          <w:bCs/>
          <w:spacing w:val="0"/>
          <w:sz w:val="20"/>
          <w:rtl/>
          <w:lang/>
        </w:rPr>
        <w:t>لدواعي العجز أو دواعي السلوك التي تجعلهم غير مؤهلين لأداء مهامهم.</w:t>
      </w:r>
    </w:p>
    <w:p w:rsidR="004E0A37" w:rsidRPr="004E0A37" w:rsidRDefault="004E0A37" w:rsidP="006C4108">
      <w:pPr>
        <w:pStyle w:val="H23GA"/>
        <w:rPr>
          <w:rFonts w:hint="cs"/>
          <w:rtl/>
          <w:lang w:val="fr-CH"/>
        </w:rPr>
      </w:pPr>
      <w:r w:rsidRPr="004E0A37">
        <w:rPr>
          <w:rFonts w:hint="cs"/>
          <w:rtl/>
          <w:lang w:val="fr-CH"/>
        </w:rPr>
        <w:tab/>
      </w:r>
      <w:r w:rsidRPr="004E0A37">
        <w:rPr>
          <w:rFonts w:hint="cs"/>
          <w:rtl/>
          <w:lang w:val="fr-CH"/>
        </w:rPr>
        <w:tab/>
        <w:t>العنف ضد النساء، بما في ذلك الاتجار بهن</w:t>
      </w:r>
    </w:p>
    <w:p w:rsidR="004E0A37" w:rsidRPr="009B46FD" w:rsidRDefault="004F2F36" w:rsidP="004E0A37">
      <w:pPr>
        <w:pStyle w:val="SingleTxtGA"/>
        <w:jc w:val="lowKashida"/>
        <w:rPr>
          <w:rFonts w:hint="cs"/>
          <w:spacing w:val="-3"/>
          <w:sz w:val="20"/>
          <w:rtl/>
        </w:rPr>
      </w:pPr>
      <w:r w:rsidRPr="009B46FD">
        <w:rPr>
          <w:rFonts w:hint="cs"/>
          <w:spacing w:val="-3"/>
          <w:sz w:val="20"/>
          <w:rtl/>
        </w:rPr>
        <w:t>(</w:t>
      </w:r>
      <w:r w:rsidR="004E0A37" w:rsidRPr="009B46FD">
        <w:rPr>
          <w:rFonts w:hint="cs"/>
          <w:spacing w:val="-3"/>
          <w:sz w:val="20"/>
          <w:rtl/>
        </w:rPr>
        <w:t>18</w:t>
      </w:r>
      <w:r w:rsidR="003E72B5" w:rsidRPr="009B46FD">
        <w:rPr>
          <w:rFonts w:hint="cs"/>
          <w:spacing w:val="-3"/>
          <w:sz w:val="20"/>
          <w:rtl/>
        </w:rPr>
        <w:t>)</w:t>
      </w:r>
      <w:r w:rsidR="003E72B5" w:rsidRPr="009B46FD">
        <w:rPr>
          <w:rFonts w:hint="cs"/>
          <w:spacing w:val="-3"/>
          <w:sz w:val="20"/>
          <w:rtl/>
        </w:rPr>
        <w:tab/>
      </w:r>
      <w:r w:rsidR="004E0A37" w:rsidRPr="009B46FD">
        <w:rPr>
          <w:rFonts w:hint="cs"/>
          <w:spacing w:val="-3"/>
          <w:sz w:val="20"/>
          <w:rtl/>
        </w:rPr>
        <w:t>يساور اللجنة القلق إزاء مدى العنف البدني والجنسي المزعوم ضد النساء. وفضلاً عن ذلك، يساور اللجنة القلق من أن النساء نادراً ما يُبلّغن الشرطة عن سوء المعاملة والعنف. وتشعر اللجنة ببالغ القلق إزاء التقارير الواردة عن عدم إتاحة ملاجئ حكومية للنساء ضحايا العنف الجنسي، وهي فئة من العنف لا تجرمها الدولة الطرف. وتأسف اللجنة لعدم تقديم الدولة الطرف معلومات عن توفير الجبر والتعويض لضحايا العنف ضد النساء، بما في ذلك إعادة تأهيلهن. وبينما تشير اللجنة مع الارتياح إلى اعتماد عدة خطط وطنية لمكافحة الاتجار بالأشخاص أثناء الفترة قيد الاستعراض، فإنها يساورها القلق للتقارير التي تفيد بأن أرمينيا لا تزال من بلدان المصدر والمقصد للنساء والفتيات لأغراض الاتجار (المواد 2 و12 و13</w:t>
      </w:r>
      <w:r w:rsidR="004E0A37" w:rsidRPr="009B46FD">
        <w:rPr>
          <w:rFonts w:hint="eastAsia"/>
          <w:spacing w:val="-3"/>
          <w:sz w:val="20"/>
          <w:rtl/>
        </w:rPr>
        <w:t> </w:t>
      </w:r>
      <w:r w:rsidR="004E0A37" w:rsidRPr="009B46FD">
        <w:rPr>
          <w:rFonts w:hint="cs"/>
          <w:spacing w:val="-3"/>
          <w:sz w:val="20"/>
          <w:rtl/>
        </w:rPr>
        <w:t xml:space="preserve">و16). </w:t>
      </w:r>
    </w:p>
    <w:p w:rsidR="004E0A37" w:rsidRPr="009B46FD" w:rsidRDefault="004E0A37" w:rsidP="004E0A37">
      <w:pPr>
        <w:pStyle w:val="SingleTxtGA"/>
        <w:jc w:val="lowKashida"/>
        <w:rPr>
          <w:rFonts w:hint="cs"/>
          <w:b/>
          <w:bCs/>
          <w:spacing w:val="-4"/>
          <w:sz w:val="20"/>
          <w:rtl/>
        </w:rPr>
      </w:pPr>
      <w:r w:rsidRPr="009B46FD">
        <w:rPr>
          <w:rFonts w:hint="cs"/>
          <w:b/>
          <w:bCs/>
          <w:spacing w:val="-4"/>
          <w:sz w:val="20"/>
          <w:rtl/>
        </w:rPr>
        <w:tab/>
        <w:t xml:space="preserve">ينبغي للدولة الطرف أن تعزز جهودها الرامية إلى منع ارتكاب العنف ضد النساء والأطفال ومكافحته ومعاقبة مرتكبيه، ولا سيما العنف المنزلي، وذلك بطرائق منها تعديل تشريعاتها الجنائية بصيغة تعتبر العنف المنزلي جريمة منفصلة. وينبغي لها تنظيم حملات توعية وتدريب على نطاق واسع تتناول العنف المنزلي لفائدة الموظفين المكلفين بإنفاذ القوانين وعامة الجمهور، وتمكين ضحايا العنف من الحماية والجبر الفوريين، وبخاصة إعادة تأهيلهم. </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وينبغي لها أيضاً أن تهيئ الظروف المناسبة لضحايا العنف ضدّ النساء، بما في ذلك العنف المنزلي والاتجار لممارسة حقهن في تقديم شكاوى. وينبغي لها أن تحقق بصورة وافية في جميع ادعاءات العنف المنزلي والاتجار، وأن تقاضي الجناة وتعاقبهم.</w:t>
      </w:r>
    </w:p>
    <w:p w:rsidR="004E0A37" w:rsidRPr="009B46FD" w:rsidRDefault="004E0A37" w:rsidP="004E0A37">
      <w:pPr>
        <w:pStyle w:val="SingleTxtGA"/>
        <w:jc w:val="lowKashida"/>
        <w:rPr>
          <w:rFonts w:hint="cs"/>
          <w:b/>
          <w:bCs/>
          <w:spacing w:val="0"/>
          <w:sz w:val="20"/>
          <w:rtl/>
        </w:rPr>
      </w:pPr>
      <w:r w:rsidRPr="009B46FD">
        <w:rPr>
          <w:rFonts w:hint="cs"/>
          <w:b/>
          <w:bCs/>
          <w:spacing w:val="0"/>
          <w:sz w:val="20"/>
          <w:rtl/>
        </w:rPr>
        <w:tab/>
        <w:t xml:space="preserve">وتوصي اللجنة الدولة الطرف بأن تضمن تنفيذ آلية الإحالة الوطنية للأشخاص المتاجر بهم لعام 2008 وتوفير الخدمات لضحايا الاتجار، بما في ذلك توفير الملاجئ، والاستفادة من المساعدة المهنية والطبية والنفسية، وكذلك من برامج التدريب. </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ظروف الاحتجاز</w:t>
      </w:r>
    </w:p>
    <w:p w:rsidR="004E0A37" w:rsidRPr="009B46FD" w:rsidRDefault="004F2F36" w:rsidP="009B46FD">
      <w:pPr>
        <w:pStyle w:val="SingleTxtGA"/>
        <w:jc w:val="lowKashida"/>
        <w:rPr>
          <w:rFonts w:hint="cs"/>
          <w:spacing w:val="-2"/>
          <w:sz w:val="20"/>
          <w:rtl/>
        </w:rPr>
      </w:pPr>
      <w:r w:rsidRPr="009B46FD">
        <w:rPr>
          <w:rFonts w:hint="cs"/>
          <w:spacing w:val="-2"/>
          <w:sz w:val="20"/>
          <w:rtl/>
        </w:rPr>
        <w:t>(</w:t>
      </w:r>
      <w:r w:rsidR="004E0A37" w:rsidRPr="009B46FD">
        <w:rPr>
          <w:rFonts w:hint="cs"/>
          <w:spacing w:val="-2"/>
          <w:sz w:val="20"/>
          <w:rtl/>
        </w:rPr>
        <w:t>19</w:t>
      </w:r>
      <w:r w:rsidR="003E72B5" w:rsidRPr="009B46FD">
        <w:rPr>
          <w:rFonts w:hint="cs"/>
          <w:spacing w:val="-2"/>
          <w:sz w:val="20"/>
          <w:rtl/>
        </w:rPr>
        <w:t>)</w:t>
      </w:r>
      <w:r w:rsidR="003E72B5" w:rsidRPr="009B46FD">
        <w:rPr>
          <w:rFonts w:hint="cs"/>
          <w:spacing w:val="-2"/>
          <w:sz w:val="20"/>
          <w:rtl/>
        </w:rPr>
        <w:tab/>
      </w:r>
      <w:r w:rsidR="004E0A37" w:rsidRPr="009B46FD">
        <w:rPr>
          <w:rFonts w:hint="cs"/>
          <w:spacing w:val="-2"/>
          <w:sz w:val="20"/>
          <w:rtl/>
        </w:rPr>
        <w:t>بينما ترحب اللجنة بالجهود التي تبذلها الدولة الطرف</w:t>
      </w:r>
      <w:r w:rsidR="003549AC">
        <w:rPr>
          <w:rFonts w:hint="cs"/>
          <w:spacing w:val="-2"/>
          <w:sz w:val="20"/>
          <w:rtl/>
        </w:rPr>
        <w:t xml:space="preserve"> حالياً </w:t>
      </w:r>
      <w:r w:rsidR="004E0A37" w:rsidRPr="009B46FD">
        <w:rPr>
          <w:rFonts w:hint="cs"/>
          <w:spacing w:val="-2"/>
          <w:sz w:val="20"/>
          <w:rtl/>
        </w:rPr>
        <w:t>لتحسين ظروف الاحتجاز في السجون بما في ذلك تجديد بعض المرافق والعمل على بناء سجن جديد، فإن القلق لا يزال يساورها إزاء استمرار تلقي تقارير عن الاكتظاظ الحاد ونقص عدد الموظفين وعدم كفاية الأغذية والرعاية الصحية. وتشعر اللجنة بالقلق من ادعاءات الفساد في السجون، بما في ذلك بين السجناء الذين يؤيد المسؤولون عن السجون على ما يبدو سلوكهم. ويساورها القلق أيضاً من تقارير عن استهداف هذه المجموعات من السجناء بعض ضحايا العنف أو التمييز ويتصرّفون معهم بطريقة سيئة على أساس الميول الجنسية المفترضة أو جنسياتهم. وتأسف اللجنة لعدم تسجيل زيادة تذكر في عمل المحاكم بالتدابير البديلة للاحتجاز. وتعرب عن أسفها أيضاً</w:t>
      </w:r>
      <w:r w:rsidR="009B46FD">
        <w:rPr>
          <w:rFonts w:hint="eastAsia"/>
          <w:spacing w:val="-2"/>
          <w:sz w:val="20"/>
          <w:rtl/>
        </w:rPr>
        <w:t> </w:t>
      </w:r>
      <w:r w:rsidR="004E0A37" w:rsidRPr="009B46FD">
        <w:rPr>
          <w:rFonts w:hint="cs"/>
          <w:spacing w:val="-2"/>
          <w:sz w:val="20"/>
          <w:rtl/>
        </w:rPr>
        <w:t>لعدم وجود آلية سرية تمكّن المحتجزين من تقديم شكاوى ضد التعذيب أو سوء المعاملة. وتشير اللجنة إلى إنشاء مجموعات متابعة عامة، تتألف من ممثلين عن منظمات غير حكومية، مكلفين بمراقبة السجون ومراكز الشرطة. بيد أن اللجنة تشعر بالقلق لعدم تمكين مجموعة مراقبة الشرطة من الوصول إلى مراكز الشرطة (المواد 2 و11 و16).</w:t>
      </w:r>
    </w:p>
    <w:p w:rsidR="004E0A37" w:rsidRPr="00BA7A9E" w:rsidRDefault="004E0A37" w:rsidP="007B0865">
      <w:pPr>
        <w:pStyle w:val="SingleTxtGA"/>
        <w:jc w:val="lowKashida"/>
        <w:rPr>
          <w:rFonts w:hint="cs"/>
          <w:b/>
          <w:bCs/>
          <w:spacing w:val="0"/>
          <w:sz w:val="20"/>
          <w:rtl/>
        </w:rPr>
      </w:pPr>
      <w:r w:rsidRPr="00BA7A9E">
        <w:rPr>
          <w:rFonts w:hint="cs"/>
          <w:b/>
          <w:bCs/>
          <w:spacing w:val="0"/>
          <w:sz w:val="20"/>
          <w:rtl/>
        </w:rPr>
        <w:tab/>
        <w:t>ينبغي للدولة الطرف أن تواصل اتخاذ تدابير فعالة لتحسين ظروف أماكن الاحتجاز وتخفيف الاكتظاظ في هذه الأماكن. وتوصي اللجنة الدولة الطرف بتكثيف جهودها للحد من اكتظاظ السجون بما في ذلك عن طريق تطبيق تدابير بديلة للسجن بما</w:t>
      </w:r>
      <w:r w:rsidR="007B0865">
        <w:rPr>
          <w:rFonts w:hint="eastAsia"/>
          <w:b/>
          <w:bCs/>
          <w:spacing w:val="0"/>
          <w:sz w:val="20"/>
          <w:rtl/>
        </w:rPr>
        <w:t> </w:t>
      </w:r>
      <w:r w:rsidRPr="00BA7A9E">
        <w:rPr>
          <w:rFonts w:hint="cs"/>
          <w:b/>
          <w:bCs/>
          <w:spacing w:val="0"/>
          <w:sz w:val="20"/>
          <w:rtl/>
        </w:rPr>
        <w:t>يتسق مع قواعد الأمم المتحدة النموذجية الدنيا للتدابير غير الاحتجازية (قواعد طوكيو) ومدّ اللجنة بمعلومات عن أي دائرة تجريبية تزمع إنشاءها تُكلَّف بمسائل العقاب البديل والإفراج المشروط وإعادة التأهيل.</w:t>
      </w:r>
    </w:p>
    <w:p w:rsidR="004E0A37" w:rsidRPr="00BA7A9E" w:rsidRDefault="004E0A37" w:rsidP="00BA7A9E">
      <w:pPr>
        <w:pStyle w:val="SingleTxtGA"/>
        <w:spacing w:line="360" w:lineRule="exact"/>
        <w:jc w:val="lowKashida"/>
        <w:rPr>
          <w:rFonts w:hint="cs"/>
          <w:b/>
          <w:bCs/>
          <w:spacing w:val="0"/>
          <w:sz w:val="20"/>
          <w:rtl/>
        </w:rPr>
      </w:pPr>
      <w:r w:rsidRPr="00BA7A9E">
        <w:rPr>
          <w:rFonts w:hint="cs"/>
          <w:b/>
          <w:bCs/>
          <w:spacing w:val="0"/>
          <w:sz w:val="20"/>
          <w:rtl/>
        </w:rPr>
        <w:tab/>
        <w:t>وينبغي للدولة الطرف أن تتخذ التدابير اللازمة للقضاء على أي شكل من أشكال العنف أو التمييز ضد السجناء على أساس ميولهم الجنسية أو جنسيتهم، بما في ذلك جميع أعمال الإيذاء والتمييز التي يقوم بها نزلاء السجون ضد السجناء الآخرين. وينبغي لها أن تضع نظاماً سرياً لتلقي ومعالجة الشكاوى بشأن التعذيب أو سوء المعاملة وأن تضمن ذلك في جميع أماكن الحرمان من الحرية. وينبغي للدولة الطرف أيضاً أن تكفل التحقيق فوراً بصورة محايدة وفعالة في جميع الشكاوى التي ترفع إليها ومعاقبة الجناة على النحو المناسب.</w:t>
      </w:r>
    </w:p>
    <w:p w:rsidR="004E0A37" w:rsidRPr="00BA7A9E" w:rsidRDefault="004E0A37" w:rsidP="004E0A37">
      <w:pPr>
        <w:pStyle w:val="SingleTxtGA"/>
        <w:jc w:val="lowKashida"/>
        <w:rPr>
          <w:rFonts w:hint="cs"/>
          <w:b/>
          <w:bCs/>
          <w:spacing w:val="0"/>
          <w:sz w:val="20"/>
          <w:rtl/>
        </w:rPr>
      </w:pPr>
      <w:r w:rsidRPr="00BA7A9E">
        <w:rPr>
          <w:rFonts w:hint="cs"/>
          <w:b/>
          <w:bCs/>
          <w:spacing w:val="0"/>
          <w:sz w:val="20"/>
          <w:rtl/>
        </w:rPr>
        <w:tab/>
        <w:t>وينبغي للدولة الطرف أن تضمن وصول مجموعة مراقبة الشرطة إلى جميع مراكز الشرطة، بما في ذلك القدرة على القيام بزيارات مفاجئة. وينبغي لها أيضاً أن تتخذ التدابير الفعالة للاستعراض المنهجي لجميع أماكن الاحتجاز، بما في ذلك الخدمات الصحية القائمة والمتاحة فيها، وينبغي لها أن تتخذ تدابير للقضاء على الفساد في السجون.</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أعمال العنف التالية للانتخابات</w:t>
      </w:r>
    </w:p>
    <w:p w:rsidR="004E0A37" w:rsidRPr="00043F1D" w:rsidRDefault="004F2F36" w:rsidP="00043F1D">
      <w:pPr>
        <w:pStyle w:val="SingleTxtGA"/>
        <w:jc w:val="lowKashida"/>
        <w:rPr>
          <w:spacing w:val="-2"/>
          <w:kern w:val="0"/>
          <w:sz w:val="20"/>
          <w:rtl/>
        </w:rPr>
      </w:pPr>
      <w:r w:rsidRPr="00043F1D">
        <w:rPr>
          <w:rFonts w:hint="cs"/>
          <w:spacing w:val="-2"/>
          <w:kern w:val="0"/>
          <w:sz w:val="20"/>
          <w:rtl/>
        </w:rPr>
        <w:t>(</w:t>
      </w:r>
      <w:r w:rsidR="004E0A37" w:rsidRPr="00043F1D">
        <w:rPr>
          <w:rFonts w:hint="cs"/>
          <w:spacing w:val="-2"/>
          <w:kern w:val="0"/>
          <w:sz w:val="20"/>
          <w:rtl/>
        </w:rPr>
        <w:t>20</w:t>
      </w:r>
      <w:r w:rsidR="003E72B5" w:rsidRPr="00043F1D">
        <w:rPr>
          <w:rFonts w:hint="cs"/>
          <w:spacing w:val="-2"/>
          <w:kern w:val="0"/>
          <w:sz w:val="20"/>
          <w:rtl/>
        </w:rPr>
        <w:t>)</w:t>
      </w:r>
      <w:r w:rsidR="003E72B5" w:rsidRPr="00043F1D">
        <w:rPr>
          <w:rFonts w:hint="cs"/>
          <w:spacing w:val="-2"/>
          <w:kern w:val="0"/>
          <w:sz w:val="20"/>
          <w:rtl/>
        </w:rPr>
        <w:tab/>
      </w:r>
      <w:r w:rsidR="004E0A37" w:rsidRPr="00043F1D">
        <w:rPr>
          <w:rFonts w:hint="cs"/>
          <w:spacing w:val="-2"/>
          <w:kern w:val="0"/>
          <w:sz w:val="20"/>
          <w:rtl/>
        </w:rPr>
        <w:t>تشير اللجنة مع القلق إلى أنه بالرغم من الجهود التي بذلتها الدولة الطرف للتحقيق في ادعاءات لجوء أفراد الشرطة إلى القوة المفرطة والعشوائية في المواجهات بين الشرطة والمتظاهرين التي تلت انتخابات شباط/فبراير 2008، فإن دائرة التحقيق الخاصة لا تزال تحقق في وفاة 10 أشخاص أثناء المواجهات. وتشير اللجنة مع القلق أيضاً إلى استمرار ادعاءات احتجاز العديد من الأشخاص تعسفاً بعد وقوع أعمال العنف مباشرة، حيث أُنكر عليهم الحق في الاتصال بمحامين يختارونهم بأنفسهم، وتعرضوا لسوء المعاملة أثناء الاحتجاز. كما يساورها القلق من عدم التحقيق في هذه الادعاءات بصورة مناسبة (المواد 2 و12 و13</w:t>
      </w:r>
      <w:r w:rsidR="00043F1D" w:rsidRPr="00043F1D">
        <w:rPr>
          <w:rFonts w:hint="cs"/>
          <w:spacing w:val="-2"/>
          <w:kern w:val="0"/>
          <w:sz w:val="20"/>
          <w:rtl/>
        </w:rPr>
        <w:t xml:space="preserve"> </w:t>
      </w:r>
      <w:r w:rsidR="004E0A37" w:rsidRPr="00043F1D">
        <w:rPr>
          <w:rFonts w:hint="cs"/>
          <w:spacing w:val="-2"/>
          <w:kern w:val="0"/>
          <w:sz w:val="20"/>
          <w:rtl/>
        </w:rPr>
        <w:t>و16).</w:t>
      </w:r>
    </w:p>
    <w:p w:rsidR="004E0A37" w:rsidRPr="00043F1D" w:rsidRDefault="004E0A37" w:rsidP="00043F1D">
      <w:pPr>
        <w:pStyle w:val="SingleTxtGA"/>
        <w:spacing w:line="370" w:lineRule="exact"/>
        <w:jc w:val="lowKashida"/>
        <w:rPr>
          <w:b/>
          <w:bCs/>
          <w:spacing w:val="0"/>
          <w:kern w:val="0"/>
          <w:sz w:val="20"/>
        </w:rPr>
      </w:pPr>
      <w:r w:rsidRPr="00043F1D">
        <w:rPr>
          <w:rFonts w:hint="cs"/>
          <w:b/>
          <w:bCs/>
          <w:spacing w:val="0"/>
          <w:kern w:val="0"/>
          <w:sz w:val="20"/>
          <w:rtl/>
        </w:rPr>
        <w:tab/>
        <w:t xml:space="preserve">ينبغي للدولة الطرف أن تسرّع التحقيق في الوفيات العشر الناجمة عن أعمال العنف التي تلت انتخابات شباط/فبراير 2008 وأن تضمن ملاحقة أي موظف مكلَّف بإنفاذ القوانين يثبت لجوءه إلى القوة المفرطة أو العشوائية ومعاقبته بما يتناسب مع خطورة الجريمة، وإتاحة سُبُل الجَبر لأُسر الضحايا، بما في ذلك دفع التعويضات. وينبغي للدولة الطرف أيضاً أن تضمن التحقيق المستقل والفعال في الادعاءات الأوسع نطاقاً بلجوء الشرطة إلى استخدام القوة المفرطة والعشوائية وإساءة المعاملة والحرمان من الضمانات في أعقاب تلك الانتخابات. وينبغي للدولة الطرف أن تتخذ تدابير تكفَل حماية الأشخاص </w:t>
      </w:r>
      <w:r w:rsidRPr="00043F1D">
        <w:rPr>
          <w:rFonts w:hint="cs"/>
          <w:b/>
          <w:bCs/>
          <w:spacing w:val="0"/>
          <w:kern w:val="0"/>
          <w:sz w:val="20"/>
          <w:rtl/>
          <w:lang/>
        </w:rPr>
        <w:t xml:space="preserve">الذين يعتقد أن لديهم </w:t>
      </w:r>
      <w:r w:rsidRPr="00043F1D">
        <w:rPr>
          <w:rFonts w:hint="cs"/>
          <w:b/>
          <w:bCs/>
          <w:spacing w:val="0"/>
          <w:kern w:val="0"/>
          <w:sz w:val="20"/>
          <w:rtl/>
        </w:rPr>
        <w:t>معلومات عن أحداث آذار/مارس 2008 حمايةً فعالة من الأعمال الانتقامية والترهيب.</w:t>
      </w:r>
    </w:p>
    <w:p w:rsidR="004E0A37" w:rsidRPr="004E0A37" w:rsidRDefault="004E0A37" w:rsidP="00043F1D">
      <w:pPr>
        <w:pStyle w:val="H23GA"/>
        <w:spacing w:line="37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قضاء الأحداث</w:t>
      </w:r>
    </w:p>
    <w:p w:rsidR="004E0A37" w:rsidRPr="004E0A37" w:rsidRDefault="004F2F36"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21</w:t>
      </w:r>
      <w:r w:rsidR="003E72B5">
        <w:rPr>
          <w:rFonts w:hint="cs"/>
          <w:spacing w:val="0"/>
          <w:sz w:val="20"/>
          <w:rtl/>
        </w:rPr>
        <w:t>)</w:t>
      </w:r>
      <w:r w:rsidR="003E72B5">
        <w:rPr>
          <w:rFonts w:hint="cs"/>
          <w:spacing w:val="0"/>
          <w:sz w:val="20"/>
          <w:rtl/>
        </w:rPr>
        <w:tab/>
      </w:r>
      <w:r w:rsidR="004E0A37" w:rsidRPr="004E0A37">
        <w:rPr>
          <w:rFonts w:hint="cs"/>
          <w:spacing w:val="0"/>
          <w:sz w:val="20"/>
          <w:rtl/>
        </w:rPr>
        <w:t>تأسف اللجنة لعدم وجود قضاء للأحداث، وبالأخص عدم وجود محاكم للأحداث. وتشير اللجنة إلى إنشاء مجموعة مراقبة عامة، تتألف من ممثلين عن المنظمات غير الحكومية مكلّفة بمراقبة المدارس الداخلية الخاصة. بيد أن القلق يساور اللجنة إزاء الممارسة المزعومة المتمثلة في احتجاز الأحداث في الحبس الانفرادي لفترة تصل إلى عشرة أيام كعقاب تأديبي في هذه المدارس الخاصة (المواد 11 و12 و16).</w:t>
      </w:r>
    </w:p>
    <w:p w:rsidR="004E0A37" w:rsidRPr="00BA7A9E" w:rsidRDefault="004E0A37" w:rsidP="00043F1D">
      <w:pPr>
        <w:pStyle w:val="SingleTxtGA"/>
        <w:spacing w:line="370" w:lineRule="exact"/>
        <w:jc w:val="lowKashida"/>
        <w:rPr>
          <w:rFonts w:hint="cs"/>
          <w:b/>
          <w:bCs/>
          <w:spacing w:val="0"/>
          <w:sz w:val="20"/>
          <w:rtl/>
        </w:rPr>
      </w:pPr>
      <w:r w:rsidRPr="00BA7A9E">
        <w:rPr>
          <w:rFonts w:hint="cs"/>
          <w:b/>
          <w:bCs/>
          <w:spacing w:val="0"/>
          <w:sz w:val="20"/>
          <w:rtl/>
        </w:rPr>
        <w:tab/>
        <w:t>تشجع اللجنة الدولة الطرف على إنشاء قضاء للأحداث، وبخاصة على إنشاء شعبة أو هيئة قضائية متخصصة في شؤون الأحداث مجهزة بالقضاة والموظفين القضائيين ذوي الكفاءة المهنية لمعالجة قضايا الأحداث، وأن تضمن أداءها السليم بما يتسق مع المعايير الدولية. وينبغي للدولة الطرف أن ترصد عن كثب أوضاع المدارس الخاصة على نحو يكفل عدم تعريض الأطفال للترهيب أو سوء المعاملة أو العنف. وينبغي للدولة الطرف أن تت</w:t>
      </w:r>
      <w:r w:rsidR="00B6289A" w:rsidRPr="00BA7A9E">
        <w:rPr>
          <w:rFonts w:hint="cs"/>
          <w:b/>
          <w:bCs/>
          <w:spacing w:val="0"/>
          <w:sz w:val="20"/>
          <w:rtl/>
        </w:rPr>
        <w:t>أ</w:t>
      </w:r>
      <w:r w:rsidRPr="00BA7A9E">
        <w:rPr>
          <w:rFonts w:hint="cs"/>
          <w:b/>
          <w:bCs/>
          <w:spacing w:val="0"/>
          <w:sz w:val="20"/>
          <w:rtl/>
        </w:rPr>
        <w:t>كد من أن استخدام إجراء الحبس الانفرادي لا يكون إلا في الملاذ الأخير، ولأقصر مدة ممكنة، وفي ظل إشراف صارم مع إمكانية المراجعة القضائية. كما ينبغي أن يقتصر الحبس الانفرادي على الحالات الاستثنائية جداً.</w:t>
      </w:r>
    </w:p>
    <w:p w:rsidR="004E0A37" w:rsidRPr="004E0A37" w:rsidRDefault="004E0A37" w:rsidP="00043F1D">
      <w:pPr>
        <w:pStyle w:val="H23GA"/>
        <w:spacing w:line="37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فعالية المدافعين عن حقوق الإنسان</w:t>
      </w:r>
    </w:p>
    <w:p w:rsidR="004E0A37" w:rsidRPr="004E0A37" w:rsidRDefault="004F2F36"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22</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عدم كفاية المواد المتاحة للمدافع عن حقوق الإنسان (أمين</w:t>
      </w:r>
      <w:r w:rsidR="004E0A37" w:rsidRPr="004E0A37">
        <w:rPr>
          <w:rFonts w:hint="eastAsia"/>
          <w:spacing w:val="0"/>
          <w:sz w:val="20"/>
          <w:rtl/>
        </w:rPr>
        <w:t> </w:t>
      </w:r>
      <w:r w:rsidR="004E0A37" w:rsidRPr="004E0A37">
        <w:rPr>
          <w:rFonts w:hint="cs"/>
          <w:spacing w:val="0"/>
          <w:sz w:val="20"/>
          <w:rtl/>
        </w:rPr>
        <w:t>المظالم)، الذي عُيّن بصفته الآلية الوقائية الوطنية في أرمينيا، للاضطلاع بولايته بصورة فعالة. ويساور اللجنة القلق أيضاً إزاء عدم تنفيذ بعض التوصيات التي تقدَّم بها المدافع عن حقوق الإنسان إلى السلطات (المادتان 2 و12).</w:t>
      </w:r>
    </w:p>
    <w:p w:rsidR="004E0A37" w:rsidRPr="00BA7A9E" w:rsidRDefault="004E0A37" w:rsidP="00043F1D">
      <w:pPr>
        <w:pStyle w:val="SingleTxtGA"/>
        <w:spacing w:line="370" w:lineRule="exact"/>
        <w:jc w:val="lowKashida"/>
        <w:rPr>
          <w:rFonts w:hint="cs"/>
          <w:b/>
          <w:bCs/>
          <w:spacing w:val="0"/>
          <w:sz w:val="20"/>
          <w:rtl/>
        </w:rPr>
      </w:pPr>
      <w:r w:rsidRPr="00BA7A9E">
        <w:rPr>
          <w:rFonts w:hint="cs"/>
          <w:b/>
          <w:bCs/>
          <w:spacing w:val="0"/>
          <w:sz w:val="20"/>
          <w:rtl/>
        </w:rPr>
        <w:tab/>
        <w:t>توصي اللجنة الدولة الطرف بتوفير الموارد الضرورية لمكتب المدافع عن حقوق الإنسان للاضطلاع بولايته المزدوجة بصفته أميناً للمظالم والآلية الوقائية الوطنية لأرمينيا بصورة فعالة</w:t>
      </w:r>
      <w:r w:rsidR="00B345DB" w:rsidRPr="00BA7A9E">
        <w:rPr>
          <w:rFonts w:hint="cs"/>
          <w:b/>
          <w:bCs/>
          <w:spacing w:val="0"/>
          <w:sz w:val="20"/>
          <w:rtl/>
        </w:rPr>
        <w:t xml:space="preserve"> وفقاً </w:t>
      </w:r>
      <w:r w:rsidRPr="00BA7A9E">
        <w:rPr>
          <w:rFonts w:hint="cs"/>
          <w:b/>
          <w:bCs/>
          <w:spacing w:val="0"/>
          <w:sz w:val="20"/>
          <w:rtl/>
        </w:rPr>
        <w:t>للمبادئ التوجيهية بشأن الآليات الوقائية الوطنية التي وضعتها اللجنة الفرعية لمنع التعذيب. وينبغي للدولة الطرف أن تضمن تعاون الموظفين المكلفين بإنفاذ القوانين وأعضاء النيابة العامة وأفراد الجيش وموظفي السجون مع المدافع عن حقوق الإنسان وأن تتخذ خطوات لتنفيذ توصياته.</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الخدمة العسكرية البديلة</w:t>
      </w:r>
    </w:p>
    <w:p w:rsidR="004E0A37" w:rsidRPr="004E0A37" w:rsidRDefault="004F2F36"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تحيط اللجنة</w:t>
      </w:r>
      <w:r w:rsidR="003833F8">
        <w:rPr>
          <w:rFonts w:hint="cs"/>
          <w:spacing w:val="0"/>
          <w:sz w:val="20"/>
          <w:rtl/>
        </w:rPr>
        <w:t xml:space="preserve"> علماً </w:t>
      </w:r>
      <w:r w:rsidR="004E0A37" w:rsidRPr="004E0A37">
        <w:rPr>
          <w:rFonts w:hint="cs"/>
          <w:spacing w:val="0"/>
          <w:sz w:val="20"/>
          <w:rtl/>
        </w:rPr>
        <w:t>بمشروع القانون المتعلق بتعديل قانون الخدمة العسكرية البديلة واستكماله، لا يزال القلق يساورها إزاء اعتراف الدولة الطرف باستمرار احتجازها العديد من الأفراد بسبب تهربهم من الخدمة العسكرية، وكون بعضهم طبقاً للتقارير من المستنكفين ضميرياً الذين يعترضون على أداء الخدمة البديلة على أساس أنها تخضع لإشراف العاملين في صفوف الجيش حصراً (المادة 16).</w:t>
      </w:r>
    </w:p>
    <w:p w:rsidR="004E0A37" w:rsidRPr="00BA7A9E" w:rsidRDefault="004E0A37" w:rsidP="00043F1D">
      <w:pPr>
        <w:pStyle w:val="SingleTxtGA"/>
        <w:spacing w:line="370" w:lineRule="exact"/>
        <w:jc w:val="lowKashida"/>
        <w:rPr>
          <w:rFonts w:hint="cs"/>
          <w:b/>
          <w:bCs/>
          <w:spacing w:val="0"/>
          <w:sz w:val="20"/>
          <w:rtl/>
        </w:rPr>
      </w:pPr>
      <w:r w:rsidRPr="00BA7A9E">
        <w:rPr>
          <w:rFonts w:hint="cs"/>
          <w:b/>
          <w:bCs/>
          <w:spacing w:val="0"/>
          <w:sz w:val="20"/>
          <w:rtl/>
        </w:rPr>
        <w:tab/>
        <w:t xml:space="preserve">توصي اللجنة الدولة الطرف بأن تعتمد مشروع قانون الخدمة العسكرية البديلة وبأن تعيد النظر في احتجاز المسجونين بسبب رفضهم أداء الخدمة العسكرية البديلة بناءً على أسس دينية. </w:t>
      </w:r>
    </w:p>
    <w:p w:rsidR="004E0A37" w:rsidRPr="004E0A37" w:rsidRDefault="004E0A37" w:rsidP="00043F1D">
      <w:pPr>
        <w:pStyle w:val="H23GA"/>
        <w:spacing w:before="80" w:line="37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عدم الإعادة القسرية</w:t>
      </w:r>
    </w:p>
    <w:p w:rsidR="004E0A37" w:rsidRPr="004E0A37" w:rsidRDefault="004F2F36"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24</w:t>
      </w:r>
      <w:r w:rsidR="003E72B5">
        <w:rPr>
          <w:rFonts w:hint="cs"/>
          <w:spacing w:val="0"/>
          <w:sz w:val="20"/>
          <w:rtl/>
        </w:rPr>
        <w:t>)</w:t>
      </w:r>
      <w:r w:rsidR="003E72B5">
        <w:rPr>
          <w:rFonts w:hint="cs"/>
          <w:spacing w:val="0"/>
          <w:sz w:val="20"/>
          <w:rtl/>
        </w:rPr>
        <w:tab/>
      </w:r>
      <w:r w:rsidR="004E0A37" w:rsidRPr="004E0A37">
        <w:rPr>
          <w:rFonts w:hint="cs"/>
          <w:spacing w:val="0"/>
          <w:sz w:val="20"/>
          <w:rtl/>
        </w:rPr>
        <w:t>تأسف اللجنة لعدم وجود معلومات تتعلق بضمانات عدم التعرض للتعذيب عند التسليم والطرد. وفضلاً عن ذلك، يساور اللجنة القلق إزاء عدم وجود معلومات عن أي ضمانات دبلوماسية تؤمنها الدولة الطرف عند إعادة المتقدمين بطلبات اللجوء إلى بلدان مجاورة وعند تنفيذ اتفاق التسليم المزعوم بين الشرطة الوطنية لأرمينيا وشرطة الاتحاد الروسي، وعدم وجود بيانات عن عدد الأشخاص المسلمين</w:t>
      </w:r>
      <w:r w:rsidR="00B345DB">
        <w:rPr>
          <w:rFonts w:hint="cs"/>
          <w:spacing w:val="0"/>
          <w:sz w:val="20"/>
          <w:rtl/>
        </w:rPr>
        <w:t xml:space="preserve"> وفقاً </w:t>
      </w:r>
      <w:r w:rsidR="004E0A37" w:rsidRPr="004E0A37">
        <w:rPr>
          <w:rFonts w:hint="cs"/>
          <w:spacing w:val="0"/>
          <w:sz w:val="20"/>
          <w:rtl/>
        </w:rPr>
        <w:t>لذلك الاتفاق. وتشعر اللجنة بالقلق إزاء التقارير الواردة عن إصدار الدولة الطرف أوامر بالتسليم دون تمكين الأشخاص المعنيين من ممارسة حقهم في الطعن</w:t>
      </w:r>
      <w:r w:rsidR="00B345DB">
        <w:rPr>
          <w:rFonts w:hint="cs"/>
          <w:spacing w:val="0"/>
          <w:sz w:val="20"/>
          <w:rtl/>
        </w:rPr>
        <w:t xml:space="preserve"> وفقاً </w:t>
      </w:r>
      <w:r w:rsidR="004E0A37" w:rsidRPr="004E0A37">
        <w:rPr>
          <w:rFonts w:hint="cs"/>
          <w:spacing w:val="0"/>
          <w:sz w:val="20"/>
          <w:rtl/>
        </w:rPr>
        <w:t>للفقرة 2 من المادة 479 من قانون الإجراءات الجنائية ودون الامتثال للإجراءات العادية للتسليم (المادة 3).</w:t>
      </w:r>
    </w:p>
    <w:p w:rsidR="004E0A37" w:rsidRPr="00043F1D" w:rsidRDefault="004E0A37" w:rsidP="00043F1D">
      <w:pPr>
        <w:pStyle w:val="SingleTxtGA"/>
        <w:spacing w:line="360" w:lineRule="exact"/>
        <w:jc w:val="lowKashida"/>
        <w:rPr>
          <w:rFonts w:hint="cs"/>
          <w:b/>
          <w:bCs/>
          <w:spacing w:val="0"/>
          <w:kern w:val="0"/>
          <w:sz w:val="20"/>
          <w:rtl/>
        </w:rPr>
      </w:pPr>
      <w:r w:rsidRPr="00043F1D">
        <w:rPr>
          <w:rFonts w:hint="cs"/>
          <w:b/>
          <w:bCs/>
          <w:spacing w:val="0"/>
          <w:kern w:val="0"/>
          <w:sz w:val="20"/>
          <w:rtl/>
        </w:rPr>
        <w:tab/>
        <w:t>ينبغي للدولة الطرف أن تمتنع عن طلب الضمانات الدبلوماسية وقبولها من دولة توجد فيها أسباب جدية للاعتقاد بتعرض الشخص المسلم إليها للتعذيب. وينبغي للدولة الطرف أن تقدم معلومات مفصَّلة إلى اللجنة عن جميع القضايا التي قُدِّمت فيها مثل هذه</w:t>
      </w:r>
      <w:r w:rsidR="00043F1D">
        <w:rPr>
          <w:rFonts w:hint="eastAsia"/>
          <w:b/>
          <w:bCs/>
          <w:spacing w:val="0"/>
          <w:kern w:val="0"/>
          <w:sz w:val="20"/>
          <w:rtl/>
        </w:rPr>
        <w:t> </w:t>
      </w:r>
      <w:r w:rsidRPr="00043F1D">
        <w:rPr>
          <w:rFonts w:hint="cs"/>
          <w:b/>
          <w:bCs/>
          <w:spacing w:val="0"/>
          <w:kern w:val="0"/>
          <w:sz w:val="20"/>
          <w:rtl/>
        </w:rPr>
        <w:t>الضمانات.</w:t>
      </w:r>
    </w:p>
    <w:p w:rsidR="004E0A37" w:rsidRPr="00BA7A9E" w:rsidRDefault="004E0A37" w:rsidP="00043F1D">
      <w:pPr>
        <w:pStyle w:val="SingleTxtGA"/>
        <w:spacing w:line="360" w:lineRule="exact"/>
        <w:jc w:val="lowKashida"/>
        <w:rPr>
          <w:rFonts w:hint="cs"/>
          <w:b/>
          <w:bCs/>
          <w:spacing w:val="0"/>
          <w:sz w:val="20"/>
          <w:rtl/>
        </w:rPr>
      </w:pPr>
      <w:r w:rsidRPr="00BA7A9E">
        <w:rPr>
          <w:rFonts w:hint="cs"/>
          <w:b/>
          <w:bCs/>
          <w:spacing w:val="0"/>
          <w:sz w:val="20"/>
          <w:rtl/>
        </w:rPr>
        <w:tab/>
        <w:t>وتوصي اللجنة الدولة الطرف باحترام التزاماتها في مجال عدم التسليم، بموجب المادة 3 من الاتفاقية، بما في ذلك الحق في الطعن في أمر التسليم، كما تقضي بذلك الفقرة</w:t>
      </w:r>
      <w:r w:rsidRPr="00BA7A9E">
        <w:rPr>
          <w:rFonts w:hint="eastAsia"/>
          <w:b/>
          <w:bCs/>
          <w:spacing w:val="0"/>
          <w:sz w:val="20"/>
          <w:rtl/>
        </w:rPr>
        <w:t> </w:t>
      </w:r>
      <w:r w:rsidRPr="00BA7A9E">
        <w:rPr>
          <w:rFonts w:hint="cs"/>
          <w:b/>
          <w:bCs/>
          <w:spacing w:val="0"/>
          <w:sz w:val="20"/>
          <w:rtl/>
        </w:rPr>
        <w:t>2 من المادة 479 من قانون الإجراءات الجنائية.</w:t>
      </w:r>
    </w:p>
    <w:p w:rsidR="004E0A37" w:rsidRPr="004E0A37" w:rsidRDefault="004E0A37" w:rsidP="00043F1D">
      <w:pPr>
        <w:pStyle w:val="H23GA"/>
        <w:spacing w:before="80" w:line="37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التدريب</w:t>
      </w:r>
    </w:p>
    <w:p w:rsidR="004E0A37" w:rsidRPr="004E0A37" w:rsidRDefault="004F2F36" w:rsidP="00043F1D">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25</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ترحِّب اللجنة بوضع برامج للتدريب على حقوق الإنسان لفائدة الموظفين المكلفين بإنفاذ القوانين والعسكريين أثناء الفترة قيد الاستعراض. بيد أن اللجنة تأسف لعدم وجود معلومات عن متابعة وتقييم أثر هذه البرامج التدريبية في الحد من انتشار التعذيب وسوء المعاملة. وتأسف اللجنة لعدم وجود معلومات عن التدريب على استعمال "دليل التقصي والتوثيق الفعالين بشأن التعذيب وغيره من ضروب المعاملة أو العقوبة القاسية أو اللاإنسانية أو المهينة" (بروتوكول </w:t>
      </w:r>
      <w:r w:rsidR="002C1EA7">
        <w:rPr>
          <w:rFonts w:hint="cs"/>
          <w:spacing w:val="0"/>
          <w:sz w:val="20"/>
          <w:rtl/>
        </w:rPr>
        <w:t>اسطنبول</w:t>
      </w:r>
      <w:r w:rsidR="004E0A37" w:rsidRPr="004E0A37">
        <w:rPr>
          <w:rFonts w:hint="cs"/>
          <w:spacing w:val="0"/>
          <w:sz w:val="20"/>
          <w:rtl/>
        </w:rPr>
        <w:t>) في هذه البرامج التدريبية (المادة 10).</w:t>
      </w:r>
    </w:p>
    <w:p w:rsidR="004E0A37" w:rsidRPr="00BA7A9E" w:rsidRDefault="004E0A37" w:rsidP="00043F1D">
      <w:pPr>
        <w:pStyle w:val="SingleTxtGA"/>
        <w:spacing w:line="370" w:lineRule="exact"/>
        <w:jc w:val="lowKashida"/>
        <w:rPr>
          <w:rFonts w:hint="cs"/>
          <w:b/>
          <w:bCs/>
          <w:spacing w:val="0"/>
          <w:sz w:val="20"/>
          <w:rtl/>
        </w:rPr>
      </w:pPr>
      <w:r w:rsidRPr="00BA7A9E">
        <w:rPr>
          <w:rFonts w:hint="cs"/>
          <w:b/>
          <w:bCs/>
          <w:spacing w:val="0"/>
          <w:sz w:val="20"/>
          <w:rtl/>
        </w:rPr>
        <w:tab/>
        <w:t xml:space="preserve">ينبغي للدولة الطرف أن تعزز برامج التدريب لفائدة الموظفين المكلفين بإنفاذ القوانين والعسكريين وموظفي السجون على شروط الاتفاقية وتقييم أثر هذه البرامج التدريبية. وينبغي للدولة الطرف أن تضمن تلقي المسؤولين المعنيين التدريب على استعمال بروتوكول </w:t>
      </w:r>
      <w:r w:rsidR="002C1EA7" w:rsidRPr="00BA7A9E">
        <w:rPr>
          <w:rFonts w:hint="cs"/>
          <w:b/>
          <w:bCs/>
          <w:spacing w:val="0"/>
          <w:sz w:val="20"/>
          <w:rtl/>
        </w:rPr>
        <w:t>اسطنبول</w:t>
      </w:r>
      <w:r w:rsidRPr="00BA7A9E">
        <w:rPr>
          <w:rFonts w:hint="cs"/>
          <w:b/>
          <w:bCs/>
          <w:spacing w:val="0"/>
          <w:sz w:val="20"/>
          <w:rtl/>
        </w:rPr>
        <w:t xml:space="preserve"> للتعرف على آثار التعذيب وسوء المعاملة.</w:t>
      </w:r>
    </w:p>
    <w:p w:rsidR="004E0A37" w:rsidRPr="00043F1D" w:rsidRDefault="00926D7D" w:rsidP="00043F1D">
      <w:pPr>
        <w:pStyle w:val="SingleTxtGA"/>
        <w:spacing w:line="370" w:lineRule="exact"/>
        <w:jc w:val="lowKashida"/>
        <w:rPr>
          <w:spacing w:val="-4"/>
          <w:kern w:val="0"/>
          <w:sz w:val="20"/>
        </w:rPr>
      </w:pPr>
      <w:r w:rsidRPr="00043F1D">
        <w:rPr>
          <w:rFonts w:hint="cs"/>
          <w:spacing w:val="-4"/>
          <w:kern w:val="0"/>
          <w:sz w:val="20"/>
          <w:rtl/>
        </w:rPr>
        <w:t>(</w:t>
      </w:r>
      <w:r w:rsidR="004E0A37" w:rsidRPr="00043F1D">
        <w:rPr>
          <w:rFonts w:hint="cs"/>
          <w:spacing w:val="-4"/>
          <w:kern w:val="0"/>
          <w:sz w:val="20"/>
          <w:rtl/>
        </w:rPr>
        <w:t>26</w:t>
      </w:r>
      <w:r w:rsidR="003E72B5" w:rsidRPr="00043F1D">
        <w:rPr>
          <w:rFonts w:hint="cs"/>
          <w:spacing w:val="-4"/>
          <w:kern w:val="0"/>
          <w:sz w:val="20"/>
          <w:rtl/>
        </w:rPr>
        <w:t>)</w:t>
      </w:r>
      <w:r w:rsidR="003E72B5" w:rsidRPr="00043F1D">
        <w:rPr>
          <w:rFonts w:hint="cs"/>
          <w:spacing w:val="-4"/>
          <w:kern w:val="0"/>
          <w:sz w:val="20"/>
          <w:rtl/>
        </w:rPr>
        <w:tab/>
      </w:r>
      <w:r w:rsidR="004E0A37" w:rsidRPr="00043F1D">
        <w:rPr>
          <w:rFonts w:hint="cs"/>
          <w:spacing w:val="-4"/>
          <w:kern w:val="0"/>
          <w:sz w:val="20"/>
          <w:rtl/>
        </w:rPr>
        <w:t>وتدعو اللجنة الدولة الطرف إلى النظر في التصديق على معاهدات الأمم المتحدة الأساسية الأخرى لحقوق الإنسان التي</w:t>
      </w:r>
      <w:r w:rsidR="00335AC0" w:rsidRPr="00043F1D">
        <w:rPr>
          <w:rFonts w:hint="cs"/>
          <w:spacing w:val="-4"/>
          <w:kern w:val="0"/>
          <w:sz w:val="20"/>
          <w:rtl/>
        </w:rPr>
        <w:t xml:space="preserve"> لم </w:t>
      </w:r>
      <w:r w:rsidR="004E0A37" w:rsidRPr="00043F1D">
        <w:rPr>
          <w:rFonts w:hint="cs"/>
          <w:spacing w:val="-4"/>
          <w:kern w:val="0"/>
          <w:sz w:val="20"/>
          <w:rtl/>
        </w:rPr>
        <w:t>تنضم إليها بعد، وهي اتفاقية حماية حقوق جميع العمال المهاجرين وأفراد أسرهم، والبروتوكول</w:t>
      </w:r>
      <w:r w:rsidR="00043F1D" w:rsidRPr="00043F1D">
        <w:rPr>
          <w:rFonts w:hint="cs"/>
          <w:spacing w:val="-4"/>
          <w:kern w:val="0"/>
          <w:sz w:val="20"/>
          <w:rtl/>
        </w:rPr>
        <w:t xml:space="preserve"> </w:t>
      </w:r>
      <w:r w:rsidR="004E0A37" w:rsidRPr="00043F1D">
        <w:rPr>
          <w:rFonts w:hint="cs"/>
          <w:spacing w:val="-4"/>
          <w:kern w:val="0"/>
          <w:sz w:val="20"/>
          <w:rtl/>
        </w:rPr>
        <w:t>الاختياري</w:t>
      </w:r>
      <w:r w:rsidR="00043F1D" w:rsidRPr="00043F1D">
        <w:rPr>
          <w:rFonts w:hint="cs"/>
          <w:spacing w:val="-4"/>
          <w:kern w:val="0"/>
          <w:sz w:val="20"/>
          <w:rtl/>
        </w:rPr>
        <w:t xml:space="preserve"> </w:t>
      </w:r>
      <w:r w:rsidR="004E0A37" w:rsidRPr="00043F1D">
        <w:rPr>
          <w:rFonts w:hint="cs"/>
          <w:spacing w:val="-4"/>
          <w:kern w:val="0"/>
          <w:sz w:val="20"/>
          <w:rtl/>
        </w:rPr>
        <w:t>لاتفاقية</w:t>
      </w:r>
      <w:r w:rsidR="00043F1D" w:rsidRPr="00043F1D">
        <w:rPr>
          <w:rFonts w:hint="cs"/>
          <w:spacing w:val="-4"/>
          <w:kern w:val="0"/>
          <w:sz w:val="20"/>
          <w:rtl/>
        </w:rPr>
        <w:t xml:space="preserve"> </w:t>
      </w:r>
      <w:r w:rsidR="004E0A37" w:rsidRPr="00043F1D">
        <w:rPr>
          <w:rFonts w:hint="cs"/>
          <w:spacing w:val="-4"/>
          <w:kern w:val="0"/>
          <w:sz w:val="20"/>
          <w:rtl/>
        </w:rPr>
        <w:t>حقوق</w:t>
      </w:r>
      <w:r w:rsidR="00043F1D" w:rsidRPr="00043F1D">
        <w:rPr>
          <w:rFonts w:hint="cs"/>
          <w:spacing w:val="-4"/>
          <w:kern w:val="0"/>
          <w:sz w:val="20"/>
          <w:rtl/>
        </w:rPr>
        <w:t xml:space="preserve"> </w:t>
      </w:r>
      <w:r w:rsidR="004E0A37" w:rsidRPr="00043F1D">
        <w:rPr>
          <w:rFonts w:hint="cs"/>
          <w:spacing w:val="-4"/>
          <w:kern w:val="0"/>
          <w:sz w:val="20"/>
          <w:rtl/>
        </w:rPr>
        <w:t>الأشخاص</w:t>
      </w:r>
      <w:r w:rsidR="00043F1D" w:rsidRPr="00043F1D">
        <w:rPr>
          <w:rFonts w:hint="cs"/>
          <w:spacing w:val="-4"/>
          <w:kern w:val="0"/>
          <w:sz w:val="20"/>
          <w:rtl/>
        </w:rPr>
        <w:t xml:space="preserve"> </w:t>
      </w:r>
      <w:r w:rsidR="004E0A37" w:rsidRPr="00043F1D">
        <w:rPr>
          <w:rFonts w:hint="cs"/>
          <w:spacing w:val="-4"/>
          <w:kern w:val="0"/>
          <w:sz w:val="20"/>
          <w:rtl/>
        </w:rPr>
        <w:t xml:space="preserve">ذوي الإعاقة، والبروتوكول الاختياري للعهد الدولي الخاص بالحقوق الاقتصادية والاجتماعية والثقافية. </w:t>
      </w:r>
    </w:p>
    <w:p w:rsidR="004E0A37" w:rsidRPr="004E0A37" w:rsidRDefault="00926D7D"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lang/>
        </w:rPr>
        <w:t>27</w:t>
      </w:r>
      <w:r w:rsidR="003E72B5">
        <w:rPr>
          <w:rFonts w:hint="cs"/>
          <w:spacing w:val="0"/>
          <w:sz w:val="20"/>
          <w:rtl/>
          <w:lang/>
        </w:rPr>
        <w:t>)</w:t>
      </w:r>
      <w:r w:rsidR="003E72B5">
        <w:rPr>
          <w:rFonts w:hint="cs"/>
          <w:spacing w:val="0"/>
          <w:sz w:val="20"/>
          <w:rtl/>
          <w:lang/>
        </w:rPr>
        <w:tab/>
      </w:r>
      <w:r w:rsidR="004E0A37" w:rsidRPr="004E0A37">
        <w:rPr>
          <w:rFonts w:hint="cs"/>
          <w:spacing w:val="0"/>
          <w:sz w:val="20"/>
          <w:rtl/>
        </w:rPr>
        <w:t xml:space="preserve">ويُرجى من الدولة الطرف أن تنشر على نطاق واسع التقرير الذي قدمته إلى اللجنة وهذه الملاحظات الختامية باللغات المناسبة عن طريق المواقع الرسمية على الإنترنت ووسائط الإعلام والمنظمات غير الحكومية. </w:t>
      </w:r>
    </w:p>
    <w:p w:rsidR="004E0A37" w:rsidRPr="004E0A37" w:rsidRDefault="00926D7D"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28</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تحديث وثيقتها الأساسية المشتركة (</w:t>
      </w:r>
      <w:r w:rsidR="004E0A37" w:rsidRPr="004E0A37">
        <w:rPr>
          <w:spacing w:val="0"/>
          <w:sz w:val="20"/>
        </w:rPr>
        <w:t>HRI/CORE/1/Add.57</w:t>
      </w:r>
      <w:r w:rsidR="004E0A37" w:rsidRPr="004E0A37">
        <w:rPr>
          <w:rFonts w:hint="cs"/>
          <w:spacing w:val="0"/>
          <w:sz w:val="20"/>
          <w:rtl/>
        </w:rPr>
        <w:t>)،</w:t>
      </w:r>
      <w:r w:rsidR="00B345DB">
        <w:rPr>
          <w:rFonts w:hint="cs"/>
          <w:spacing w:val="0"/>
          <w:sz w:val="20"/>
          <w:rtl/>
        </w:rPr>
        <w:t xml:space="preserve"> وفقاً </w:t>
      </w:r>
      <w:r w:rsidR="004E0A37" w:rsidRPr="004E0A37">
        <w:rPr>
          <w:rFonts w:hint="cs"/>
          <w:spacing w:val="0"/>
          <w:sz w:val="20"/>
          <w:rtl/>
        </w:rPr>
        <w:t>لمتطلبات الوثيقة الأساسية المشتركة الواردة في المبادئ التوجيهية المنسقة لتقديم التقارير بموجب المعاهدات الدولية لحقوق الإنسان (</w:t>
      </w:r>
      <w:r w:rsidR="004E0A37" w:rsidRPr="004E0A37">
        <w:rPr>
          <w:spacing w:val="0"/>
          <w:sz w:val="20"/>
        </w:rPr>
        <w:t>HRI/GEN.2/Rev.6</w:t>
      </w:r>
      <w:r w:rsidR="004E0A37" w:rsidRPr="004E0A37">
        <w:rPr>
          <w:rFonts w:hint="cs"/>
          <w:spacing w:val="0"/>
          <w:sz w:val="20"/>
          <w:rtl/>
        </w:rPr>
        <w:t>).</w:t>
      </w:r>
    </w:p>
    <w:p w:rsidR="004E0A37" w:rsidRPr="004E0A37" w:rsidRDefault="00926D7D"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29</w:t>
      </w:r>
      <w:r w:rsidR="003E72B5">
        <w:rPr>
          <w:rFonts w:hint="cs"/>
          <w:spacing w:val="0"/>
          <w:sz w:val="20"/>
          <w:rtl/>
        </w:rPr>
        <w:t>)</w:t>
      </w:r>
      <w:r w:rsidR="003E72B5">
        <w:rPr>
          <w:rFonts w:hint="cs"/>
          <w:spacing w:val="0"/>
          <w:sz w:val="20"/>
          <w:rtl/>
        </w:rPr>
        <w:tab/>
      </w:r>
      <w:r w:rsidR="004E0A37" w:rsidRPr="004E0A37">
        <w:rPr>
          <w:rFonts w:hint="cs"/>
          <w:spacing w:val="0"/>
          <w:sz w:val="20"/>
          <w:rtl/>
        </w:rPr>
        <w:t>وتطلب اللجنة إلى الدولة الطرف أن تقدم، بحلول 1 حزيران/يونيه 2013، معلومات عن المتابعة استجابةً لتوصيات اللجنة المتعلقة بما يلي: (أ) إجراء تحقيقات فورية ونزيهة وفعالة؛ (ب) كفالة أو تعزيز الضمانات القانونية للمحتجزين؛ و(ج) مقاضاة المشتبه فيهم ومعاقبة مرتكبي أعمال التعذيب أو سوء المعاملة، على النحو الوارد في الفقرات 8 و11 و12 من هذه الوثيقة.</w:t>
      </w:r>
    </w:p>
    <w:p w:rsidR="004E0A37" w:rsidRPr="004E0A37" w:rsidRDefault="00926D7D" w:rsidP="00043F1D">
      <w:pPr>
        <w:pStyle w:val="SingleTxtGA"/>
        <w:spacing w:line="370" w:lineRule="exact"/>
        <w:jc w:val="lowKashida"/>
        <w:rPr>
          <w:rFonts w:hint="cs"/>
          <w:spacing w:val="0"/>
          <w:sz w:val="20"/>
          <w:rtl/>
        </w:rPr>
      </w:pPr>
      <w:r>
        <w:rPr>
          <w:rFonts w:hint="cs"/>
          <w:spacing w:val="0"/>
          <w:sz w:val="20"/>
          <w:rtl/>
        </w:rPr>
        <w:t>(</w:t>
      </w:r>
      <w:r w:rsidR="004E0A37" w:rsidRPr="004E0A37">
        <w:rPr>
          <w:rFonts w:hint="cs"/>
          <w:spacing w:val="0"/>
          <w:sz w:val="20"/>
          <w:rtl/>
        </w:rPr>
        <w:t>30</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تقديم تقريرها المقبل، وهو تقريرها الدوري الرابع، قبل 1 حزيران/يونيه 2016. وتحقيقاً لهذا الغرض، تدعو اللجنة الدولة الطرف إلى أن تقبل بحلول 1 حزيران/يونيه 2013، بتقديم تقرير بموجب إجرائها الاختياري لتقديم التقارير، والمتمثل في إحالة اللجنة قائمة من المسائل إلى الدولة الطرف، قبل تقديم التقرير الدوري. وسيشكل رد الدولة الطرف على هذه القائمة من المسائل، بموجب المادة 19 من الاتفاقية، تقريرها الدوري القادم إلى اللجنة.</w:t>
      </w:r>
    </w:p>
    <w:p w:rsidR="004E0A37" w:rsidRPr="004E0A37" w:rsidRDefault="004E0A37" w:rsidP="00043F1D">
      <w:pPr>
        <w:pStyle w:val="SingleTxtGA"/>
        <w:spacing w:before="120"/>
        <w:jc w:val="lowKashida"/>
        <w:rPr>
          <w:spacing w:val="0"/>
          <w:sz w:val="20"/>
          <w:rtl/>
        </w:rPr>
      </w:pPr>
      <w:r w:rsidRPr="004E0A37">
        <w:rPr>
          <w:rFonts w:hint="cs"/>
          <w:spacing w:val="0"/>
          <w:sz w:val="20"/>
          <w:rtl/>
        </w:rPr>
        <w:t>62-</w:t>
      </w:r>
      <w:r w:rsidRPr="004E0A37">
        <w:rPr>
          <w:rFonts w:hint="cs"/>
          <w:spacing w:val="0"/>
          <w:sz w:val="20"/>
          <w:rtl/>
        </w:rPr>
        <w:tab/>
      </w:r>
      <w:r w:rsidRPr="004E0A37">
        <w:rPr>
          <w:rFonts w:hint="cs"/>
          <w:b/>
          <w:bCs/>
          <w:spacing w:val="0"/>
          <w:sz w:val="20"/>
          <w:rtl/>
        </w:rPr>
        <w:t>كندا</w:t>
      </w:r>
    </w:p>
    <w:p w:rsidR="004E0A37" w:rsidRPr="004E0A37" w:rsidRDefault="004E0A37" w:rsidP="004E0A37">
      <w:pPr>
        <w:pStyle w:val="SingleTxtGA"/>
        <w:jc w:val="lowKashida"/>
        <w:rPr>
          <w:rFonts w:hint="cs"/>
          <w:spacing w:val="0"/>
          <w:sz w:val="20"/>
          <w:rtl/>
        </w:rPr>
      </w:pPr>
      <w:r w:rsidRPr="004E0A37">
        <w:rPr>
          <w:rFonts w:hint="cs"/>
          <w:spacing w:val="0"/>
          <w:sz w:val="20"/>
          <w:rtl/>
        </w:rPr>
        <w:t>(1</w:t>
      </w:r>
      <w:r w:rsidR="003E72B5">
        <w:rPr>
          <w:rFonts w:hint="cs"/>
          <w:spacing w:val="0"/>
          <w:sz w:val="20"/>
          <w:rtl/>
        </w:rPr>
        <w:t>)</w:t>
      </w:r>
      <w:r w:rsidR="003E72B5">
        <w:rPr>
          <w:rFonts w:hint="cs"/>
          <w:spacing w:val="0"/>
          <w:sz w:val="20"/>
          <w:rtl/>
        </w:rPr>
        <w:tab/>
      </w:r>
      <w:r w:rsidRPr="004E0A37">
        <w:rPr>
          <w:rFonts w:hint="cs"/>
          <w:spacing w:val="0"/>
          <w:sz w:val="20"/>
          <w:rtl/>
        </w:rPr>
        <w:t xml:space="preserve">نظرت لجنة مناهضة التعذيب، في جلستيها 1076 و1079، المعقودتين يومي 21 و22 أيار/مايو 2012 </w:t>
      </w:r>
      <w:r w:rsidRPr="004E0A37">
        <w:rPr>
          <w:spacing w:val="0"/>
          <w:sz w:val="20"/>
        </w:rPr>
        <w:t>CAT/C/SR.1076)</w:t>
      </w:r>
      <w:r w:rsidRPr="004E0A37">
        <w:rPr>
          <w:rFonts w:hint="cs"/>
          <w:spacing w:val="0"/>
          <w:sz w:val="20"/>
          <w:rtl/>
        </w:rPr>
        <w:t xml:space="preserve"> و</w:t>
      </w:r>
      <w:r w:rsidRPr="004E0A37">
        <w:rPr>
          <w:spacing w:val="0"/>
          <w:sz w:val="20"/>
        </w:rPr>
        <w:t>1079</w:t>
      </w:r>
      <w:r w:rsidRPr="004E0A37">
        <w:rPr>
          <w:rFonts w:hint="cs"/>
          <w:spacing w:val="0"/>
          <w:sz w:val="20"/>
          <w:rtl/>
        </w:rPr>
        <w:t xml:space="preserve">)، في التقرير الدوري السادس لكندا </w:t>
      </w:r>
      <w:r w:rsidRPr="004E0A37">
        <w:rPr>
          <w:spacing w:val="0"/>
          <w:sz w:val="20"/>
        </w:rPr>
        <w:t>(CAT/C/CAN/6)</w:t>
      </w:r>
      <w:r w:rsidRPr="004E0A37">
        <w:rPr>
          <w:rFonts w:hint="cs"/>
          <w:spacing w:val="0"/>
          <w:sz w:val="20"/>
          <w:rtl/>
        </w:rPr>
        <w:t>، واعتمدت في جلستيها 1087 و1088 (</w:t>
      </w:r>
      <w:r w:rsidRPr="004E0A37">
        <w:rPr>
          <w:spacing w:val="0"/>
          <w:sz w:val="20"/>
        </w:rPr>
        <w:t>CAT/C/SR.1087</w:t>
      </w:r>
      <w:r w:rsidRPr="004E0A37">
        <w:rPr>
          <w:rFonts w:hint="cs"/>
          <w:spacing w:val="0"/>
          <w:sz w:val="20"/>
          <w:rtl/>
        </w:rPr>
        <w:t xml:space="preserve"> و</w:t>
      </w:r>
      <w:r w:rsidRPr="004E0A37">
        <w:rPr>
          <w:spacing w:val="0"/>
          <w:sz w:val="20"/>
        </w:rPr>
        <w:t>1088</w:t>
      </w:r>
      <w:r w:rsidRPr="004E0A37">
        <w:rPr>
          <w:rFonts w:hint="cs"/>
          <w:spacing w:val="0"/>
          <w:sz w:val="20"/>
          <w:rtl/>
        </w:rPr>
        <w:t>)، الملاحظات الختامية التالية.</w:t>
      </w:r>
    </w:p>
    <w:p w:rsidR="004E0A37" w:rsidRPr="004E0A37" w:rsidRDefault="007B0865" w:rsidP="00043F1D">
      <w:pPr>
        <w:pStyle w:val="H23GA"/>
        <w:tabs>
          <w:tab w:val="left" w:pos="1938"/>
        </w:tabs>
        <w:rPr>
          <w:rFonts w:hint="cs"/>
          <w:rtl/>
        </w:rPr>
      </w:pPr>
      <w:r>
        <w:rPr>
          <w:rFonts w:hint="cs"/>
          <w:rtl/>
        </w:rPr>
        <w:tab/>
      </w:r>
      <w:r w:rsidR="004E0A37" w:rsidRPr="004E0A37">
        <w:rPr>
          <w:rFonts w:hint="cs"/>
          <w:rtl/>
        </w:rPr>
        <w:tab/>
        <w:t>ألف-</w:t>
      </w:r>
      <w:r w:rsidR="004E0A37" w:rsidRPr="004E0A37">
        <w:rPr>
          <w:rFonts w:hint="cs"/>
          <w:rtl/>
        </w:rPr>
        <w:tab/>
        <w:t>مقدمة</w:t>
      </w:r>
    </w:p>
    <w:p w:rsidR="004E0A37" w:rsidRPr="004E0A37" w:rsidRDefault="004E0A37" w:rsidP="004E0A37">
      <w:pPr>
        <w:pStyle w:val="SingleTxtGA"/>
        <w:jc w:val="lowKashida"/>
        <w:rPr>
          <w:rFonts w:hint="cs"/>
          <w:spacing w:val="0"/>
          <w:sz w:val="20"/>
          <w:rtl/>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rFonts w:hint="cs"/>
          <w:spacing w:val="0"/>
          <w:sz w:val="20"/>
          <w:rtl/>
        </w:rPr>
        <w:t xml:space="preserve">ترحب اللجنة بتقديم الدولة الطرف تقريرها الدوري السادس، الذي يتماشى إجمالاً مع المبادئ التوجيهية للجنة المتعلقة بشكل التقارير الدورية ومحتواها، بيد أنها تأسف لتقديمه متأخراً بثلاث سنوات. </w:t>
      </w:r>
    </w:p>
    <w:p w:rsidR="004E0A37" w:rsidRPr="004E0A37" w:rsidRDefault="004E0A37" w:rsidP="004E0A37">
      <w:pPr>
        <w:pStyle w:val="SingleTxtGA"/>
        <w:jc w:val="lowKashida"/>
        <w:rPr>
          <w:rFonts w:hint="cs"/>
          <w:spacing w:val="0"/>
          <w:sz w:val="20"/>
          <w:rtl/>
        </w:rPr>
      </w:pPr>
      <w:r w:rsidRPr="004E0A37">
        <w:rPr>
          <w:rFonts w:hint="cs"/>
          <w:spacing w:val="0"/>
          <w:sz w:val="20"/>
          <w:rtl/>
        </w:rPr>
        <w:t>(3</w:t>
      </w:r>
      <w:r w:rsidR="003E72B5">
        <w:rPr>
          <w:rFonts w:hint="cs"/>
          <w:spacing w:val="0"/>
          <w:sz w:val="20"/>
          <w:rtl/>
        </w:rPr>
        <w:t>)</w:t>
      </w:r>
      <w:r w:rsidR="003E72B5">
        <w:rPr>
          <w:rFonts w:hint="cs"/>
          <w:spacing w:val="0"/>
          <w:sz w:val="20"/>
          <w:rtl/>
        </w:rPr>
        <w:tab/>
      </w:r>
      <w:r w:rsidRPr="004E0A37">
        <w:rPr>
          <w:rFonts w:hint="cs"/>
          <w:spacing w:val="0"/>
          <w:sz w:val="20"/>
          <w:rtl/>
        </w:rPr>
        <w:t xml:space="preserve">وترحب اللجنة بالحوار المنفتح مع الوفد الوزاري للدولة الطرف وبالجهود التي بذلها لتقديم ردود شاملة على المسائل التي أثارها أعضاء اللجنة أثناء الحوار. وتُثني اللجنة كذلك على ما قدمته الدولة الطرف من ردود خطية مفصلة على قائمة المسائل، وهي الردود التي تأخرت رغم ذلك لفترة ثلاثة أشهر، إذ أتاحتها مباشرة قبل إجراء الحوار. وحال هذا التأخير دون إجراء اللجنة تحليلاً دقيقاً للمعلومات التي قدمتها الدولة الطرف. </w:t>
      </w:r>
    </w:p>
    <w:p w:rsidR="004E0A37" w:rsidRPr="004E0A37" w:rsidRDefault="004E0A37" w:rsidP="004E0A37">
      <w:pPr>
        <w:pStyle w:val="SingleTxtGA"/>
        <w:jc w:val="lowKashida"/>
        <w:rPr>
          <w:rFonts w:hint="cs"/>
          <w:spacing w:val="0"/>
          <w:sz w:val="20"/>
          <w:rtl/>
        </w:rPr>
      </w:pPr>
      <w:r w:rsidRPr="004E0A37">
        <w:rPr>
          <w:rFonts w:hint="cs"/>
          <w:spacing w:val="0"/>
          <w:sz w:val="20"/>
          <w:rtl/>
        </w:rPr>
        <w:t>(4</w:t>
      </w:r>
      <w:r w:rsidR="003E72B5">
        <w:rPr>
          <w:rFonts w:hint="cs"/>
          <w:spacing w:val="0"/>
          <w:sz w:val="20"/>
          <w:rtl/>
        </w:rPr>
        <w:t>)</w:t>
      </w:r>
      <w:r w:rsidR="003E72B5">
        <w:rPr>
          <w:rFonts w:hint="cs"/>
          <w:spacing w:val="0"/>
          <w:sz w:val="20"/>
          <w:rtl/>
        </w:rPr>
        <w:tab/>
      </w:r>
      <w:r w:rsidRPr="004E0A37">
        <w:rPr>
          <w:rFonts w:hint="cs"/>
          <w:spacing w:val="0"/>
          <w:sz w:val="20"/>
          <w:rtl/>
        </w:rPr>
        <w:t>وتدرك اللجنة أن للدولة الطرف هيكلاً اتحادياً، لكنها تُذكّر بأن كندا هي دولة واحدة بموجب القانون الدولي وأنها ملتزمة بتنفيذ الاتفاقية بالكامل على المستوى المحلي.</w:t>
      </w:r>
    </w:p>
    <w:p w:rsidR="004E0A37" w:rsidRPr="004E0A37" w:rsidRDefault="007B0865" w:rsidP="00043F1D">
      <w:pPr>
        <w:pStyle w:val="H23GA"/>
        <w:tabs>
          <w:tab w:val="left" w:pos="1938"/>
        </w:tabs>
        <w:rPr>
          <w:rFonts w:hint="cs"/>
          <w:rtl/>
          <w:lang w:val="fr-CH"/>
        </w:rPr>
      </w:pPr>
      <w:r>
        <w:rPr>
          <w:rFonts w:hint="cs"/>
          <w:rtl/>
          <w:lang w:val="fr-CH"/>
        </w:rPr>
        <w:tab/>
      </w:r>
      <w:r w:rsidR="004E0A37" w:rsidRPr="004E0A37">
        <w:rPr>
          <w:rFonts w:hint="cs"/>
          <w:rtl/>
          <w:lang w:val="fr-CH"/>
        </w:rPr>
        <w:tab/>
        <w:t>باء-</w:t>
      </w:r>
      <w:r w:rsidR="004E0A37" w:rsidRPr="004E0A37">
        <w:rPr>
          <w:rFonts w:hint="cs"/>
          <w:rtl/>
          <w:lang w:val="fr-CH"/>
        </w:rPr>
        <w:tab/>
        <w:t>الجوانب الإيجابية</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(5</w:t>
      </w:r>
      <w:r w:rsidR="003E72B5">
        <w:rPr>
          <w:rFonts w:hint="cs"/>
          <w:spacing w:val="0"/>
          <w:sz w:val="20"/>
          <w:rtl/>
        </w:rPr>
        <w:t>)</w:t>
      </w:r>
      <w:r w:rsidR="003E72B5">
        <w:rPr>
          <w:rFonts w:hint="cs"/>
          <w:spacing w:val="0"/>
          <w:sz w:val="20"/>
          <w:rtl/>
        </w:rPr>
        <w:tab/>
      </w:r>
      <w:r w:rsidRPr="004E0A37">
        <w:rPr>
          <w:rFonts w:hint="cs"/>
          <w:spacing w:val="0"/>
          <w:sz w:val="20"/>
          <w:rtl/>
        </w:rPr>
        <w:t>تلاحظ اللجنة مواصلة بذل الدولة الطرف جهوداً لتعديل تشريعاتها وسياساتها وإجراءاتها في المجالات ذات الصلة بالاتفاقية بما فيها:</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إنشاء شعبة لطعون اللاجئين تابعة لمجلس الهجرة واللاجئين المستقل بموجب القانون المتعلق بتدابير الإصلاح المنصفة لأوضاع اللاجئين لعام 2011؛</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إجراء تحقيق داخلي في الإجراءات التي اتخذها المسؤولون الكنديون بشأن عبدالله المالكي وأحمد أبو المعاطي ومؤيد نور الدين (تحقيق ياكوبوتشي) في كانون الأول/ديسمبر 2006؛</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(ج)</w:t>
      </w:r>
      <w:r w:rsidRPr="004E0A37">
        <w:rPr>
          <w:rFonts w:hint="cs"/>
          <w:spacing w:val="0"/>
          <w:sz w:val="20"/>
          <w:rtl/>
        </w:rPr>
        <w:tab/>
        <w:t>إنشاء حكومة أونتاريو في عام 2007 اللجنة المعنية بالأولويات والإجراءات في إيبارواش للعمل على تنفيذ توصيات تقرير التحقيق في إيبارواش؛</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(د)</w:t>
      </w:r>
      <w:r w:rsidRPr="004E0A37">
        <w:rPr>
          <w:rFonts w:hint="cs"/>
          <w:spacing w:val="0"/>
          <w:sz w:val="20"/>
          <w:rtl/>
        </w:rPr>
        <w:tab/>
        <w:t>إنشاء اللجنة المشتركة على مستوى الولاية المعنية بالنظر في مصير الأشخاص المفقودين في ساسكاتشيوان في كانون الثاني/يناير 2006؛</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(ﻫ)</w:t>
      </w:r>
      <w:r w:rsidRPr="004E0A37">
        <w:rPr>
          <w:rFonts w:hint="cs"/>
          <w:spacing w:val="0"/>
          <w:sz w:val="20"/>
          <w:rtl/>
        </w:rPr>
        <w:tab/>
        <w:t>تحقيق برايدوود، الذي بادرت به ولاية كولومبيا البريطانية في عام</w:t>
      </w:r>
      <w:r w:rsidRPr="004E0A37">
        <w:rPr>
          <w:rFonts w:hint="eastAsia"/>
          <w:spacing w:val="0"/>
          <w:sz w:val="20"/>
          <w:rtl/>
        </w:rPr>
        <w:t> </w:t>
      </w:r>
      <w:r w:rsidRPr="004E0A37">
        <w:rPr>
          <w:rFonts w:hint="cs"/>
          <w:spacing w:val="0"/>
          <w:sz w:val="20"/>
          <w:rtl/>
        </w:rPr>
        <w:t>2008 للنظر في قضية روبير دزييكنسكي.</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(6</w:t>
      </w:r>
      <w:r w:rsidR="003E72B5">
        <w:rPr>
          <w:rFonts w:hint="cs"/>
          <w:spacing w:val="0"/>
          <w:sz w:val="20"/>
          <w:rtl/>
        </w:rPr>
        <w:t>)</w:t>
      </w:r>
      <w:r w:rsidR="003E72B5">
        <w:rPr>
          <w:rFonts w:hint="cs"/>
          <w:spacing w:val="0"/>
          <w:sz w:val="20"/>
          <w:rtl/>
        </w:rPr>
        <w:tab/>
      </w:r>
      <w:r w:rsidRPr="004E0A37">
        <w:rPr>
          <w:rFonts w:hint="cs"/>
          <w:spacing w:val="0"/>
          <w:sz w:val="20"/>
          <w:rtl/>
        </w:rPr>
        <w:t>وتشير اللجنة بارتياح إلى تقديم اعتذار رسمي وتعويضات إلى ماهر عرار وأسرته مباشرةً بعد إصدار تقرير لجنة التحقيق في الإجراءات التي اتخذها المسؤولون الكنديون بشأن ماهر عرار.</w:t>
      </w:r>
    </w:p>
    <w:p w:rsidR="004E0A37" w:rsidRPr="004E0A37" w:rsidRDefault="00926D7D" w:rsidP="00FA6C1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7</w:t>
      </w:r>
      <w:r w:rsidR="003E72B5">
        <w:rPr>
          <w:rFonts w:hint="cs"/>
          <w:spacing w:val="0"/>
          <w:sz w:val="20"/>
          <w:rtl/>
        </w:rPr>
        <w:t>)</w:t>
      </w:r>
      <w:r w:rsidR="003E72B5">
        <w:rPr>
          <w:rFonts w:hint="cs"/>
          <w:spacing w:val="0"/>
          <w:sz w:val="20"/>
          <w:rtl/>
        </w:rPr>
        <w:tab/>
      </w:r>
      <w:r w:rsidR="004E0A37" w:rsidRPr="004E0A37">
        <w:rPr>
          <w:rFonts w:hint="cs"/>
          <w:spacing w:val="0"/>
          <w:sz w:val="20"/>
          <w:rtl/>
        </w:rPr>
        <w:t>وتشير اللجنة بارتياح إلى الاعتذار الرسمي الصادر عن شرطة الخيالة الكندية الملكية إلى والدة روبير دزييكنسكي بسبب فقدان ابنها.</w:t>
      </w:r>
    </w:p>
    <w:p w:rsidR="004E0A37" w:rsidRPr="004E0A37" w:rsidRDefault="007B0865" w:rsidP="00043F1D">
      <w:pPr>
        <w:pStyle w:val="H23GA"/>
        <w:tabs>
          <w:tab w:val="left" w:pos="1911"/>
        </w:tabs>
        <w:spacing w:line="360" w:lineRule="exact"/>
        <w:rPr>
          <w:rFonts w:hint="cs"/>
          <w:rtl/>
          <w:lang w:val="fr-CH"/>
        </w:rPr>
      </w:pPr>
      <w:r>
        <w:rPr>
          <w:rtl/>
          <w:lang w:val="fr-CH"/>
        </w:rPr>
        <w:tab/>
      </w:r>
      <w:r w:rsidR="004E0A37" w:rsidRPr="004E0A37">
        <w:rPr>
          <w:rFonts w:hint="cs"/>
          <w:rtl/>
          <w:lang w:val="fr-CH"/>
        </w:rPr>
        <w:tab/>
        <w:t>جيم-</w:t>
      </w:r>
      <w:r w:rsidR="004E0A37" w:rsidRPr="004E0A37">
        <w:rPr>
          <w:rFonts w:hint="cs"/>
          <w:rtl/>
          <w:lang w:val="fr-CH"/>
        </w:rPr>
        <w:tab/>
        <w:t>دواعي القلق الرئيسية والتوصيات</w:t>
      </w:r>
    </w:p>
    <w:p w:rsidR="004E0A37" w:rsidRPr="004E0A37" w:rsidRDefault="004E0A37" w:rsidP="00FA6C18">
      <w:pPr>
        <w:pStyle w:val="H23GA"/>
        <w:spacing w:line="360" w:lineRule="exact"/>
        <w:rPr>
          <w:rFonts w:hint="cs"/>
          <w:rtl/>
          <w:lang w:val="fr-CH"/>
        </w:rPr>
      </w:pPr>
      <w:r w:rsidRPr="004E0A37">
        <w:rPr>
          <w:rFonts w:hint="cs"/>
          <w:rtl/>
          <w:lang w:val="fr-CH"/>
        </w:rPr>
        <w:tab/>
      </w:r>
      <w:r w:rsidRPr="004E0A37">
        <w:rPr>
          <w:rFonts w:hint="cs"/>
          <w:rtl/>
          <w:lang w:val="fr-CH"/>
        </w:rPr>
        <w:tab/>
        <w:t>دمج أحكام الاتفاقية في النظام القانوني المحلي</w:t>
      </w:r>
    </w:p>
    <w:p w:rsidR="004E0A37" w:rsidRPr="004E0A37" w:rsidRDefault="00926D7D" w:rsidP="00FA6C1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8</w:t>
      </w:r>
      <w:r w:rsidR="003E72B5">
        <w:rPr>
          <w:rFonts w:hint="cs"/>
          <w:spacing w:val="0"/>
          <w:sz w:val="20"/>
          <w:rtl/>
        </w:rPr>
        <w:t>)</w:t>
      </w:r>
      <w:r w:rsidR="003E72B5">
        <w:rPr>
          <w:rFonts w:hint="cs"/>
          <w:spacing w:val="0"/>
          <w:sz w:val="20"/>
          <w:rtl/>
        </w:rPr>
        <w:tab/>
      </w:r>
      <w:r w:rsidR="004E0A37" w:rsidRPr="004E0A37">
        <w:rPr>
          <w:rFonts w:hint="cs"/>
          <w:spacing w:val="0"/>
          <w:sz w:val="20"/>
          <w:rtl/>
        </w:rPr>
        <w:t>ترحب اللجنة ببيان الوفد أن الحكومة الكندية بجميع مستوياتها تأخذ بجدية التزاماتها بموجب الاتفاقية، بيد أنها تأسف لعدم دمج كندا جميع أحكام الاتفاقية في القانون المحلي وعدم إمكانية الاحتجاج بهذه الأحكام بصفة مستقلة كأساس لدعوة قانونية أمام المحاكم إلا</w:t>
      </w:r>
      <w:r w:rsidR="00ED7623">
        <w:rPr>
          <w:rFonts w:hint="eastAsia"/>
          <w:spacing w:val="0"/>
          <w:sz w:val="20"/>
          <w:rtl/>
        </w:rPr>
        <w:t> </w:t>
      </w:r>
      <w:r w:rsidR="004E0A37" w:rsidRPr="004E0A37">
        <w:rPr>
          <w:rFonts w:hint="cs"/>
          <w:spacing w:val="0"/>
          <w:sz w:val="20"/>
          <w:rtl/>
        </w:rPr>
        <w:t>عن طريق الصكوك القانونية المحلية. وترى اللجنة أن إدراج الاتفاقية في القانون الكندي</w:t>
      </w:r>
      <w:r w:rsidR="00335AC0">
        <w:rPr>
          <w:rFonts w:hint="cs"/>
          <w:spacing w:val="0"/>
          <w:sz w:val="20"/>
          <w:rtl/>
        </w:rPr>
        <w:t xml:space="preserve"> لن </w:t>
      </w:r>
      <w:r w:rsidR="004E0A37" w:rsidRPr="004E0A37">
        <w:rPr>
          <w:rFonts w:hint="cs"/>
          <w:spacing w:val="0"/>
          <w:sz w:val="20"/>
          <w:rtl/>
        </w:rPr>
        <w:t xml:space="preserve">يكتسي طبيعة رمزية فحسب بل سيُعزّز أيضاً حماية الأشخاص بتمكينهم من الاحتجاج بأحكام الاتفاقية مباشرةً أمام المحاكم (المادة 2). </w:t>
      </w:r>
    </w:p>
    <w:p w:rsidR="004E0A37" w:rsidRPr="00ED7623" w:rsidRDefault="004E0A37" w:rsidP="00FA6C18">
      <w:pPr>
        <w:pStyle w:val="SingleTxtGA"/>
        <w:spacing w:line="360" w:lineRule="exact"/>
        <w:jc w:val="lowKashida"/>
        <w:rPr>
          <w:rFonts w:hint="cs"/>
          <w:b/>
          <w:bCs/>
          <w:spacing w:val="0"/>
          <w:sz w:val="20"/>
          <w:rtl/>
        </w:rPr>
      </w:pPr>
      <w:r w:rsidRPr="00ED7623">
        <w:rPr>
          <w:rFonts w:hint="cs"/>
          <w:b/>
          <w:bCs/>
          <w:spacing w:val="0"/>
          <w:sz w:val="20"/>
          <w:rtl/>
        </w:rPr>
        <w:tab/>
        <w:t>توصي اللجنة الدولة الطرف بأن تدمج جميع أحكام الاتفاقية في القانون الكندي لتمكين الأشخاص من الاحتجاج بها أمام المحاكم مباشرةً، وأن تولي الاتفاقية الأهمية القصوى وأن تزيد الوعي بأحكامها لدى أعضاء الهيئة القضائية ولدى عامة الجمهور. وينبغي للدولة الطرف بصورة خاصة أن تتخذ جميع الخطوات اللازمة لكفالة تطبيق أحكام الاتفاقية التي تُثير الولاية القضائية خارج الإقليم مباشرةً أمام المحاكم المحلية.</w:t>
      </w:r>
    </w:p>
    <w:p w:rsidR="004E0A37" w:rsidRPr="004E0A37" w:rsidRDefault="004E0A37" w:rsidP="00FA6C18">
      <w:pPr>
        <w:pStyle w:val="H23GA"/>
        <w:spacing w:line="36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مبدأ عدم الرد</w:t>
      </w:r>
    </w:p>
    <w:p w:rsidR="004E0A37" w:rsidRPr="004E0A37" w:rsidRDefault="00926D7D" w:rsidP="00FA6C1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9</w:t>
      </w:r>
      <w:r w:rsidR="003E72B5">
        <w:rPr>
          <w:rFonts w:hint="cs"/>
          <w:spacing w:val="0"/>
          <w:sz w:val="20"/>
          <w:rtl/>
        </w:rPr>
        <w:t>)</w:t>
      </w:r>
      <w:r w:rsidR="003E72B5">
        <w:rPr>
          <w:rFonts w:hint="cs"/>
          <w:spacing w:val="0"/>
          <w:sz w:val="20"/>
          <w:rtl/>
        </w:rPr>
        <w:tab/>
      </w:r>
      <w:r w:rsidR="004E0A37" w:rsidRPr="004E0A37">
        <w:rPr>
          <w:rFonts w:hint="cs"/>
          <w:spacing w:val="0"/>
          <w:sz w:val="20"/>
          <w:rtl/>
        </w:rPr>
        <w:t>تشير اللجنة إلى المعلومات التي قدمتها الدولة الطرف ومفادها أن القانون الذي يسمح بالترحيل بالرغم من احتمال التعرُّض للتعذيب هو مجرد قانون نظري. ولكن في الواقع هذا القانون هو المعمول به حالياً. وعليه، لا يزال يساور اللجنة القلق إزاء ما يلي (المادة</w:t>
      </w:r>
      <w:r w:rsidR="004E0A37" w:rsidRPr="004E0A37">
        <w:rPr>
          <w:rFonts w:hint="eastAsia"/>
          <w:spacing w:val="0"/>
          <w:sz w:val="20"/>
          <w:rtl/>
        </w:rPr>
        <w:t> </w:t>
      </w:r>
      <w:r w:rsidR="004E0A37" w:rsidRPr="004E0A37">
        <w:rPr>
          <w:rFonts w:hint="cs"/>
          <w:spacing w:val="0"/>
          <w:sz w:val="20"/>
          <w:rtl/>
        </w:rPr>
        <w:t>3):</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أن القانون الكندي، بما في ذلك الفقرة الفرعية 115(2) من قانون حماية المهاجرين واللاجئين، لا يزال ينص على استثناءات تشريعية لمبدأ عدم الردّ؛</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أن الدولة الطرف لا تزال عملياً تلجأ إلى عمليات الترحيل أو التسليم أو غيرها من عمليات الإبعاد، وأنها كثيراً ما تلجأ إلى الشهادات الأمنية بموجب قانون حماية المهاجرين واللاجئين وتلجأ أحياناً إلى الضمانات الدبلوماسية، التي يمكن أن تؤدي إلى انتهاك مبدأ عدم الرد؛</w:t>
      </w:r>
    </w:p>
    <w:p w:rsidR="004E0A37" w:rsidRPr="004E0A37" w:rsidRDefault="004E0A37" w:rsidP="00FA6C18">
      <w:pPr>
        <w:pStyle w:val="SingleTxtGA"/>
        <w:spacing w:line="360" w:lineRule="exact"/>
        <w:jc w:val="lowKashida"/>
        <w:rPr>
          <w:rFonts w:hint="cs"/>
          <w:spacing w:val="0"/>
          <w:sz w:val="20"/>
          <w:rtl/>
        </w:rPr>
      </w:pPr>
      <w:r w:rsidRPr="004E0A37">
        <w:rPr>
          <w:rFonts w:hint="cs"/>
          <w:spacing w:val="0"/>
          <w:sz w:val="20"/>
          <w:rtl/>
        </w:rPr>
        <w:tab/>
        <w:t>(ج)</w:t>
      </w:r>
      <w:r w:rsidRPr="004E0A37">
        <w:rPr>
          <w:rFonts w:hint="cs"/>
          <w:spacing w:val="0"/>
          <w:sz w:val="20"/>
          <w:rtl/>
        </w:rPr>
        <w:tab/>
        <w:t>عدم تقديم معلومات كافية عن التحقيقات في جميع الادعاءات المتعلقة بانتهاك المادة 3 من الاتفاقية، وسُبُل التظلُّم المتاحة للضحايا والتدابير المتخذة لضمان ترتيبات</w:t>
      </w:r>
      <w:r w:rsidRPr="004E0A37">
        <w:rPr>
          <w:rFonts w:hint="cs"/>
          <w:spacing w:val="0"/>
          <w:sz w:val="20"/>
          <w:rtl/>
          <w:lang/>
        </w:rPr>
        <w:t xml:space="preserve"> الرصد الفعالة المتخذة لمرحلة ما بعد الإعادة</w:t>
      </w:r>
      <w:r w:rsidRPr="004E0A37">
        <w:rPr>
          <w:rFonts w:hint="cs"/>
          <w:spacing w:val="0"/>
          <w:sz w:val="20"/>
          <w:rtl/>
        </w:rPr>
        <w:t>.</w:t>
      </w:r>
    </w:p>
    <w:p w:rsidR="004E0A37" w:rsidRPr="00FA6C18" w:rsidRDefault="004E0A37" w:rsidP="00FA6C18">
      <w:pPr>
        <w:pStyle w:val="SingleTxtGA"/>
        <w:spacing w:line="360" w:lineRule="exact"/>
        <w:jc w:val="lowKashida"/>
        <w:rPr>
          <w:rFonts w:hint="cs"/>
          <w:b/>
          <w:bCs/>
          <w:spacing w:val="0"/>
          <w:sz w:val="20"/>
          <w:rtl/>
        </w:rPr>
      </w:pPr>
      <w:r w:rsidRPr="00FA6C18">
        <w:rPr>
          <w:rFonts w:hint="cs"/>
          <w:b/>
          <w:bCs/>
          <w:spacing w:val="0"/>
          <w:sz w:val="20"/>
          <w:rtl/>
        </w:rPr>
        <w:tab/>
        <w:t>وإذ تذكِّر اللجنة بتوصياتها السابقة (</w:t>
      </w:r>
      <w:r w:rsidRPr="00FA6C18">
        <w:rPr>
          <w:b/>
          <w:bCs/>
          <w:spacing w:val="0"/>
          <w:sz w:val="20"/>
        </w:rPr>
        <w:t>CAT/C/CR/34/CAN</w:t>
      </w:r>
      <w:r w:rsidRPr="00FA6C18">
        <w:rPr>
          <w:rFonts w:hint="cs"/>
          <w:b/>
          <w:bCs/>
          <w:spacing w:val="0"/>
          <w:sz w:val="20"/>
          <w:rtl/>
        </w:rPr>
        <w:t>، الفقرة 5(أ) و(ب))، تحث الدولة الطرف على تعديل القوانين ذات الصلة، بما فيها قانون حماية المهاجرين واللاجئين، وذلك قصد احترام مبدأ عدم الرد على نحو غير مشروط</w:t>
      </w:r>
      <w:r w:rsidR="00B345DB" w:rsidRPr="00FA6C18">
        <w:rPr>
          <w:rFonts w:hint="cs"/>
          <w:b/>
          <w:bCs/>
          <w:spacing w:val="0"/>
          <w:sz w:val="20"/>
          <w:rtl/>
        </w:rPr>
        <w:t xml:space="preserve"> وفقاً </w:t>
      </w:r>
      <w:r w:rsidRPr="00FA6C18">
        <w:rPr>
          <w:rFonts w:hint="cs"/>
          <w:b/>
          <w:bCs/>
          <w:spacing w:val="0"/>
          <w:sz w:val="20"/>
          <w:rtl/>
        </w:rPr>
        <w:t xml:space="preserve">للمادة 3 من الاتفاقية، وعلى اتخاذ جميع التدابير اللازمة لتنفيذها تنفيذاً تاماً وعملياً في جميع </w:t>
      </w:r>
      <w:r w:rsidRPr="00FA6C18">
        <w:rPr>
          <w:rFonts w:hint="cs"/>
          <w:b/>
          <w:bCs/>
          <w:spacing w:val="0"/>
          <w:sz w:val="20"/>
          <w:rtl/>
          <w:lang/>
        </w:rPr>
        <w:t>الحالات</w:t>
      </w:r>
      <w:r w:rsidRPr="00FA6C18">
        <w:rPr>
          <w:rFonts w:hint="cs"/>
          <w:b/>
          <w:bCs/>
          <w:spacing w:val="0"/>
          <w:sz w:val="20"/>
          <w:rtl/>
        </w:rPr>
        <w:t>. وفضلاً عن ذلك، ينبغي للدولة الطرف أن تمتنع عن اللجوء إلى الضمانات الدبلوماسية كأداة لإعادة شخص ما إلى بلد آخر كلما كانت هناك أُسس موضوعية للاعتقاد بأنه سيتعرض للتعذيب.</w:t>
      </w:r>
    </w:p>
    <w:p w:rsidR="004E0A37" w:rsidRPr="004E0A37" w:rsidRDefault="00926D7D" w:rsidP="00FA6C1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10</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وتعرب اللجنة عن خشيتها من أن رفض الدولة الطرف الامتثال في جميع الحالات لقرارات اللجنة بموجب المادة 22 من الاتفاقية ولطلبات اتخاذ تدابير مؤقتة للحماية، </w:t>
      </w:r>
      <w:r w:rsidR="004E0A37" w:rsidRPr="00FA6C18">
        <w:rPr>
          <w:rFonts w:hint="cs"/>
          <w:spacing w:val="-2"/>
          <w:sz w:val="20"/>
          <w:rtl/>
        </w:rPr>
        <w:t>ولا سيما في الحالات التي تنطوي على ترحيل وتسليم (في إشارة إلى البلاغ رقم 258/2004</w:t>
      </w:r>
      <w:r w:rsidR="004E0A37" w:rsidRPr="004E0A37">
        <w:rPr>
          <w:rFonts w:hint="cs"/>
          <w:spacing w:val="0"/>
          <w:sz w:val="20"/>
          <w:rtl/>
        </w:rPr>
        <w:t xml:space="preserve">، </w:t>
      </w:r>
      <w:r w:rsidR="004E0A37" w:rsidRPr="004E0A37">
        <w:rPr>
          <w:rFonts w:hint="cs"/>
          <w:i/>
          <w:iCs/>
          <w:spacing w:val="0"/>
          <w:sz w:val="20"/>
          <w:rtl/>
        </w:rPr>
        <w:t>دادار ضد كندا</w:t>
      </w:r>
      <w:r w:rsidR="004E0A37" w:rsidRPr="004E0A37">
        <w:rPr>
          <w:rFonts w:hint="cs"/>
          <w:spacing w:val="0"/>
          <w:sz w:val="20"/>
          <w:rtl/>
        </w:rPr>
        <w:t xml:space="preserve">، والبلاغ رقم 297/2007، </w:t>
      </w:r>
      <w:r w:rsidR="004E0A37" w:rsidRPr="004E0A37">
        <w:rPr>
          <w:rFonts w:hint="cs"/>
          <w:i/>
          <w:iCs/>
          <w:spacing w:val="0"/>
          <w:sz w:val="20"/>
          <w:rtl/>
        </w:rPr>
        <w:t>سوجي ضد كندا</w:t>
      </w:r>
      <w:r w:rsidR="004E0A37" w:rsidRPr="004E0A37">
        <w:rPr>
          <w:rFonts w:hint="cs"/>
          <w:spacing w:val="0"/>
          <w:sz w:val="20"/>
          <w:rtl/>
        </w:rPr>
        <w:t xml:space="preserve">)، قد يقوّض التزامها باحترام الاتفاقية. وتذكِّر اللجنة بأن الدولة الطرف، </w:t>
      </w:r>
      <w:r w:rsidR="004E0A37" w:rsidRPr="004E0A37">
        <w:rPr>
          <w:rFonts w:hint="cs"/>
          <w:spacing w:val="0"/>
          <w:sz w:val="20"/>
          <w:rtl/>
          <w:lang/>
        </w:rPr>
        <w:t xml:space="preserve">بتصديقها على الاتفاقية وقبولها طوعاً اختصاص اللجنة بموجب المادة 22، قد تعهدت بأن تتعاون </w:t>
      </w:r>
      <w:r w:rsidR="004E0A37" w:rsidRPr="004E0A37">
        <w:rPr>
          <w:rFonts w:hint="cs"/>
          <w:spacing w:val="0"/>
          <w:sz w:val="20"/>
          <w:rtl/>
        </w:rPr>
        <w:t>معها</w:t>
      </w:r>
      <w:r w:rsidR="004E0A37" w:rsidRPr="004E0A37">
        <w:rPr>
          <w:rFonts w:hint="cs"/>
          <w:spacing w:val="0"/>
          <w:sz w:val="20"/>
          <w:rtl/>
          <w:lang/>
        </w:rPr>
        <w:t xml:space="preserve"> بحسن نية في التطبيق والإنفاذ الكامل لإجراء النظر في الشكاوى التي يتقدم بها الأفراد والذي تنص عليه المادة المذكورة</w:t>
      </w:r>
      <w:r w:rsidR="004E0A37" w:rsidRPr="004E0A37">
        <w:rPr>
          <w:rFonts w:hint="cs"/>
          <w:spacing w:val="0"/>
          <w:sz w:val="20"/>
          <w:rtl/>
        </w:rPr>
        <w:t>. وعلى هذا الأساس، ترى</w:t>
      </w:r>
      <w:r w:rsidR="004E0A37" w:rsidRPr="004E0A37">
        <w:rPr>
          <w:rFonts w:hint="eastAsia"/>
          <w:spacing w:val="0"/>
          <w:sz w:val="20"/>
          <w:rtl/>
        </w:rPr>
        <w:t> </w:t>
      </w:r>
      <w:r w:rsidR="004E0A37" w:rsidRPr="004E0A37">
        <w:rPr>
          <w:rFonts w:hint="cs"/>
          <w:spacing w:val="0"/>
          <w:sz w:val="20"/>
          <w:rtl/>
        </w:rPr>
        <w:t>اللجنة أن الدولة الطرف، بترحيل أصحاب بلاغات بالرغم من قرارات اللجنة أو</w:t>
      </w:r>
      <w:r w:rsidR="004E0A37" w:rsidRPr="004E0A37">
        <w:rPr>
          <w:rFonts w:hint="eastAsia"/>
          <w:spacing w:val="0"/>
          <w:sz w:val="20"/>
          <w:rtl/>
        </w:rPr>
        <w:t> </w:t>
      </w:r>
      <w:r w:rsidR="004E0A37" w:rsidRPr="004E0A37">
        <w:rPr>
          <w:rFonts w:hint="cs"/>
          <w:spacing w:val="0"/>
          <w:sz w:val="20"/>
          <w:rtl/>
        </w:rPr>
        <w:t>طلباتها</w:t>
      </w:r>
      <w:r w:rsidR="004E0A37" w:rsidRPr="004E0A37">
        <w:rPr>
          <w:rFonts w:hint="eastAsia"/>
          <w:spacing w:val="0"/>
          <w:sz w:val="20"/>
          <w:rtl/>
        </w:rPr>
        <w:t> </w:t>
      </w:r>
      <w:r w:rsidR="004E0A37" w:rsidRPr="004E0A37">
        <w:rPr>
          <w:rFonts w:hint="cs"/>
          <w:spacing w:val="0"/>
          <w:sz w:val="20"/>
          <w:rtl/>
        </w:rPr>
        <w:t>باتخاذ</w:t>
      </w:r>
      <w:r w:rsidR="004E0A37" w:rsidRPr="004E0A37">
        <w:rPr>
          <w:rFonts w:hint="eastAsia"/>
          <w:spacing w:val="0"/>
          <w:sz w:val="20"/>
          <w:rtl/>
        </w:rPr>
        <w:t> </w:t>
      </w:r>
      <w:r w:rsidR="004E0A37" w:rsidRPr="004E0A37">
        <w:rPr>
          <w:rFonts w:hint="cs"/>
          <w:spacing w:val="0"/>
          <w:sz w:val="20"/>
          <w:rtl/>
        </w:rPr>
        <w:t>تدابير مؤقتة، تكون قد انتهكتً لالتزاماتها بموجب المادتين 3 و22 من الاتفاقية (المادتان 3 و22).</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ينبغي للدولة الطرف أن تتعاون تعاوناً كاملاً مع اللجنة، ولا سيما باحترام قراراتها وطلباتها باتخاذ تدابير مؤقتة في جميع الأحوال. وتوصي اللجنة الدولة الطرف بإعادة النظر في سياستها ذات الصلة، وذلك بأن تنظر بحُسن نية في الطلبات المقدمة باتخاذ تدابير مؤقتة</w:t>
      </w:r>
      <w:r w:rsidR="00B345DB" w:rsidRPr="00FA6C18">
        <w:rPr>
          <w:rFonts w:hint="cs"/>
          <w:b/>
          <w:bCs/>
          <w:spacing w:val="0"/>
          <w:sz w:val="20"/>
          <w:rtl/>
        </w:rPr>
        <w:t xml:space="preserve"> وفقاً </w:t>
      </w:r>
      <w:r w:rsidRPr="00FA6C18">
        <w:rPr>
          <w:rFonts w:hint="cs"/>
          <w:b/>
          <w:bCs/>
          <w:spacing w:val="0"/>
          <w:sz w:val="20"/>
          <w:rtl/>
        </w:rPr>
        <w:t>لالتزاماتها بموجب المادتين 3 و22 من الاتفاقية.</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11</w:t>
      </w:r>
      <w:r w:rsidR="003E72B5">
        <w:rPr>
          <w:rFonts w:hint="cs"/>
          <w:spacing w:val="0"/>
          <w:sz w:val="20"/>
          <w:rtl/>
        </w:rPr>
        <w:t>)</w:t>
      </w:r>
      <w:r w:rsidR="003E72B5">
        <w:rPr>
          <w:rFonts w:hint="cs"/>
          <w:spacing w:val="0"/>
          <w:sz w:val="20"/>
          <w:rtl/>
        </w:rPr>
        <w:tab/>
      </w:r>
      <w:r w:rsidR="004E0A37" w:rsidRPr="004E0A37">
        <w:rPr>
          <w:rFonts w:hint="cs"/>
          <w:spacing w:val="0"/>
          <w:sz w:val="20"/>
          <w:rtl/>
        </w:rPr>
        <w:t>وبينما تشير اللجنة إلى بيان الدولة الطرف أن القوات الكندية قيّمت احتمال التعرُّض للتعذيب أو لإساءة المعاملة قبل نقل مُحتَجَز إلى عهدة السلطات الأفغانية (</w:t>
      </w:r>
      <w:r w:rsidR="004E0A37" w:rsidRPr="004E0A37">
        <w:rPr>
          <w:spacing w:val="0"/>
          <w:sz w:val="20"/>
        </w:rPr>
        <w:t>CAT/C/CAN/Q/6/Add.1</w:t>
      </w:r>
      <w:r w:rsidR="004E0A37" w:rsidRPr="004E0A37">
        <w:rPr>
          <w:rFonts w:hint="cs"/>
          <w:spacing w:val="0"/>
          <w:sz w:val="20"/>
          <w:rtl/>
        </w:rPr>
        <w:t>، الفقرة 155)، يساورها القلق إزاء عدة تقارير بشأن تعرض بعض السجناء الذين سلمتهم القوات الكندية في أفغانستان لسلطات بلدان أخرى للتعذيب ولسوء المعاملة (المادة 3).</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ينبغي للدولة الطرف أن تعتمد سياسة بشأن العمليات العسكرية المقبلة تحظر صراحةً نقل سجين إلى بلد آخر عندما تكون هناك أسباب موضوعية للاعتقاد باحتمال تعرضه للتعذيب، وينبغي لها أيضاً أن تقر بأنه لا يمكن الاعتماد على الضمانات الدبلوماسية وترتيبات الرصد لتبرير عمليات نقل الأشخاص عند وجود هذه المخاطر الموضوعية للتعرض للتعذيب.</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الشهادات الأمنية الصادرة بموجب قانون حماية المهاجرين واللاجئين</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 xml:space="preserve">بنظام المحامين الخاصين المعتمد بموجب قانون حماية المهاجرين واللاجئين المعدل استجابة للشواغل التي أثارها مختلف الأطراف الفاعلة والقرار الصادر عن المحكمة العليا في قضية </w:t>
      </w:r>
      <w:r w:rsidR="004E0A37" w:rsidRPr="004E0A37">
        <w:rPr>
          <w:rFonts w:hint="cs"/>
          <w:i/>
          <w:iCs/>
          <w:spacing w:val="0"/>
          <w:sz w:val="20"/>
          <w:rtl/>
        </w:rPr>
        <w:t>الشرقاوي ضد كندا</w:t>
      </w:r>
      <w:r w:rsidR="004E0A37" w:rsidRPr="004E0A37">
        <w:rPr>
          <w:rFonts w:hint="cs"/>
          <w:spacing w:val="0"/>
          <w:sz w:val="20"/>
          <w:rtl/>
        </w:rPr>
        <w:t>، بيد أن القلق لا يزال يساورها إزاء ما يلي (المواد</w:t>
      </w:r>
      <w:r w:rsidR="004E0A37" w:rsidRPr="004E0A37">
        <w:rPr>
          <w:rFonts w:hint="eastAsia"/>
          <w:spacing w:val="0"/>
          <w:sz w:val="20"/>
          <w:rtl/>
        </w:rPr>
        <w:t> </w:t>
      </w:r>
      <w:r w:rsidR="004E0A37" w:rsidRPr="004E0A37">
        <w:rPr>
          <w:rFonts w:hint="cs"/>
          <w:spacing w:val="0"/>
          <w:sz w:val="20"/>
          <w:rtl/>
        </w:rPr>
        <w:t>2 و3 و15 و16):</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قدرة المحامين الخاصين المحدودة جداً على استجواب شهود الخصم أو السعي للحصول على أدلة بصورة مستقلة؛</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اطّلاع الأفراد الخاضعين للشهادات الأمنية على موجز للوثائق السرية الخاصة بهم ولكن لا يمكنهم مناقشة محتواها الكامل مباشرة مع المحامين الخاصين. وعليه، يتعذر على المحامين الاطلاع اطلاعاً وافياً على القضية التي وكّلوا بشأنها أو تقديم الردود المطلوبة أو الدفاع عن موكليهم دفاعا كامل</w:t>
      </w:r>
      <w:r w:rsidR="0081655E">
        <w:rPr>
          <w:rFonts w:hint="cs"/>
          <w:spacing w:val="0"/>
          <w:sz w:val="20"/>
          <w:rtl/>
        </w:rPr>
        <w:t>اً،</w:t>
      </w:r>
      <w:r w:rsidRPr="004E0A37">
        <w:rPr>
          <w:rFonts w:hint="cs"/>
          <w:spacing w:val="0"/>
          <w:sz w:val="20"/>
          <w:rtl/>
        </w:rPr>
        <w:t xml:space="preserve"> وفي ذلك انتهاك للمبادئ الأساسية للعدالة والمعاملة</w:t>
      </w:r>
      <w:r w:rsidR="00B345DB">
        <w:rPr>
          <w:rFonts w:hint="cs"/>
          <w:spacing w:val="0"/>
          <w:sz w:val="20"/>
          <w:rtl/>
        </w:rPr>
        <w:t xml:space="preserve"> وفقاً </w:t>
      </w:r>
      <w:r w:rsidRPr="004E0A37">
        <w:rPr>
          <w:rFonts w:hint="cs"/>
          <w:spacing w:val="0"/>
          <w:sz w:val="20"/>
          <w:rtl/>
        </w:rPr>
        <w:t>للأصول القانونية؛</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t>طول مدة هذا الاحتجاز دون توجيه تهمة غير محددة واحتجاز بعض الأفراد لفترات مطوَّلة؛</w:t>
      </w:r>
    </w:p>
    <w:p w:rsidR="004E0A37" w:rsidRPr="004E0A37" w:rsidRDefault="004E0A37" w:rsidP="004E0A37">
      <w:pPr>
        <w:pStyle w:val="SingleTxtGA"/>
        <w:jc w:val="lowKashida"/>
        <w:rPr>
          <w:rFonts w:hint="cs"/>
          <w:spacing w:val="0"/>
          <w:sz w:val="20"/>
          <w:rtl/>
        </w:rPr>
      </w:pPr>
      <w:r w:rsidRPr="004E0A37">
        <w:rPr>
          <w:rFonts w:hint="cs"/>
          <w:spacing w:val="0"/>
          <w:sz w:val="20"/>
          <w:rtl/>
        </w:rPr>
        <w:tab/>
        <w:t>(د)</w:t>
      </w:r>
      <w:r w:rsidRPr="004E0A37">
        <w:rPr>
          <w:rFonts w:hint="cs"/>
          <w:spacing w:val="0"/>
          <w:sz w:val="20"/>
          <w:rtl/>
        </w:rPr>
        <w:tab/>
        <w:t>الإبلاغ عن استخدام معلومات انتُزعت عن طريق التعذيب لتشكل أساس الشهادات الأمنية، كما أثبتت ذلك الأدلة المقدمة في قضية حسن المرعي.</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توصي اللجنة الدولة الطرف بإعادة النظر في سياسة اللجوء إلى الاحتجاز الإداري والتشريع المتعلق بالمهاجرين لاحتجاز غير المواطنين وترحيلهم بدواعي الأمن القومي وذلك بطرائق منها إعادة النظر بصورة معمقة في استخدام الشهادات الأمنية وكفالة حظر استعمال المعلومات التي تُنتزع عن طريق التعذيب، بما يتسق مع القوانين المحلية والدولية ذات الصلة. وفي هذا الصدد، ينبغي للدولة الطرف أن تنفذ التوصيات التي</w:t>
      </w:r>
      <w:r w:rsidR="00335AC0" w:rsidRPr="00FA6C18">
        <w:rPr>
          <w:rFonts w:hint="cs"/>
          <w:b/>
          <w:bCs/>
          <w:spacing w:val="0"/>
          <w:sz w:val="20"/>
          <w:rtl/>
        </w:rPr>
        <w:t xml:space="preserve"> لم </w:t>
      </w:r>
      <w:r w:rsidRPr="00FA6C18">
        <w:rPr>
          <w:rFonts w:hint="cs"/>
          <w:b/>
          <w:bCs/>
          <w:spacing w:val="0"/>
          <w:sz w:val="20"/>
          <w:rtl/>
        </w:rPr>
        <w:t>تُنفَّذ بعد والتي قدمها الفريق العامل المعني بالاحتجاز التعسفي في أعقاب زيارته إلى كندا في عام 2005، وتنص بصورة خاصة على وجوب احتجاز المشتبه بهم بالإرهاب في إطار إجراءات جنائية وبما يتماشى مع الضمانات المناسبة المكرسة في القانون الدولي ذي الصلة (</w:t>
      </w:r>
      <w:r w:rsidRPr="00FA6C18">
        <w:rPr>
          <w:b/>
          <w:bCs/>
          <w:spacing w:val="0"/>
          <w:sz w:val="20"/>
        </w:rPr>
        <w:t>E/CN.4/2006/7/Add.2</w:t>
      </w:r>
      <w:r w:rsidRPr="00FA6C18">
        <w:rPr>
          <w:rFonts w:hint="cs"/>
          <w:b/>
          <w:bCs/>
          <w:spacing w:val="0"/>
          <w:sz w:val="20"/>
          <w:rtl/>
        </w:rPr>
        <w:t>، الفقرة 92).</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احتجاز المهاجرين</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13</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بينما تلاحظ اللجنة حاجة الدولة الطرف إلى إدخال تعديل قانوني يضمن مكافحة تهريب الأشخاص، يساورها بالغ القلق إزاء مشروع القانون </w:t>
      </w:r>
      <w:r w:rsidR="004E0A37" w:rsidRPr="004E0A37">
        <w:rPr>
          <w:spacing w:val="0"/>
          <w:sz w:val="20"/>
        </w:rPr>
        <w:t>C-31</w:t>
      </w:r>
      <w:r w:rsidR="004E0A37" w:rsidRPr="004E0A37">
        <w:rPr>
          <w:rFonts w:hint="cs"/>
          <w:spacing w:val="0"/>
          <w:sz w:val="20"/>
          <w:rtl/>
        </w:rPr>
        <w:t xml:space="preserve"> (قانون نظام حماية المهاجرين في كندا)، نظراً إلى أن هذا القانون سيمكِّن بما تضمّنه من صلاحيات وزارية واسعة (المواد 2 و3 و11 و16) من تحقيق ما يلي:</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اعتماد الاحتجاز الإلزامي للأفراد الذين يدخلون إقليم الدولة الطرف بصورة غير قانونية؛</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استثناء "الوافدين بطريقة غير قانونية" والأفراد من رعايا البلدان التي تُعتَبر بلداناً "آمنة" من الطعن في رفض طلب اللجوء. وسيزيد ذلك من احتمال تعرض هؤلاء الأفراد للرَّد.</w:t>
      </w:r>
    </w:p>
    <w:p w:rsidR="004E0A37" w:rsidRPr="00FA6C18" w:rsidRDefault="004E0A37" w:rsidP="00114876">
      <w:pPr>
        <w:pStyle w:val="SingleTxtGA"/>
        <w:spacing w:line="364" w:lineRule="exact"/>
        <w:jc w:val="lowKashida"/>
        <w:rPr>
          <w:rFonts w:hint="cs"/>
          <w:b/>
          <w:bCs/>
          <w:spacing w:val="0"/>
          <w:sz w:val="20"/>
          <w:rtl/>
        </w:rPr>
      </w:pPr>
      <w:r w:rsidRPr="00FA6C18">
        <w:rPr>
          <w:rFonts w:hint="cs"/>
          <w:b/>
          <w:bCs/>
          <w:spacing w:val="0"/>
          <w:sz w:val="20"/>
          <w:rtl/>
        </w:rPr>
        <w:tab/>
        <w:t xml:space="preserve">توصي اللجنة الدولة الطرف بتعديل مشروع القانون </w:t>
      </w:r>
      <w:r w:rsidRPr="00FA6C18">
        <w:rPr>
          <w:b/>
          <w:bCs/>
          <w:spacing w:val="0"/>
          <w:sz w:val="20"/>
        </w:rPr>
        <w:t>C-31</w:t>
      </w:r>
      <w:r w:rsidRPr="00FA6C18">
        <w:rPr>
          <w:rFonts w:hint="cs"/>
          <w:b/>
          <w:bCs/>
          <w:spacing w:val="0"/>
          <w:sz w:val="20"/>
          <w:rtl/>
        </w:rPr>
        <w:t>، وبخاصة تعديل أحكامه المتعلقة بالاحتجاز الإلزامي وإنكار حقوق الطعن، بسبب الانتهاك المحتمل للحقوق التي تحميها الاتفاقية. وفضلاً عن ذلك، ينبغي للدولة الطرف أن تكفل ما يلي:</w:t>
      </w:r>
    </w:p>
    <w:p w:rsidR="004E0A37" w:rsidRPr="00114876" w:rsidRDefault="004E0A37" w:rsidP="00114876">
      <w:pPr>
        <w:pStyle w:val="SingleTxtGA"/>
        <w:spacing w:line="364" w:lineRule="exact"/>
        <w:jc w:val="lowKashida"/>
        <w:rPr>
          <w:rFonts w:hint="cs"/>
          <w:b/>
          <w:bCs/>
          <w:spacing w:val="0"/>
          <w:kern w:val="0"/>
          <w:sz w:val="20"/>
          <w:rtl/>
        </w:rPr>
      </w:pPr>
      <w:r w:rsidRPr="00114876">
        <w:rPr>
          <w:rFonts w:hint="cs"/>
          <w:b/>
          <w:bCs/>
          <w:spacing w:val="0"/>
          <w:kern w:val="0"/>
          <w:sz w:val="20"/>
          <w:rtl/>
        </w:rPr>
        <w:tab/>
        <w:t>(أ)</w:t>
      </w:r>
      <w:r w:rsidRPr="00114876">
        <w:rPr>
          <w:rFonts w:hint="cs"/>
          <w:b/>
          <w:bCs/>
          <w:spacing w:val="0"/>
          <w:kern w:val="0"/>
          <w:sz w:val="20"/>
          <w:rtl/>
        </w:rPr>
        <w:tab/>
        <w:t>عدم اللجوء إلى الاحتجاز إلا في الملاذ الأخير، وتحديد فترة معقولة للاحتجاز، وإتاحة تدابير غير احتجازية وبدائل عن الاحتجاز للأشخاص الموجودين في مراكز احتجاز المهاجرين؛</w:t>
      </w:r>
    </w:p>
    <w:p w:rsidR="004E0A37" w:rsidRPr="00114876" w:rsidRDefault="004E0A37" w:rsidP="00114876">
      <w:pPr>
        <w:pStyle w:val="SingleTxtGA"/>
        <w:spacing w:line="364" w:lineRule="exact"/>
        <w:jc w:val="lowKashida"/>
        <w:rPr>
          <w:rFonts w:hint="cs"/>
          <w:b/>
          <w:bCs/>
          <w:spacing w:val="0"/>
          <w:kern w:val="0"/>
          <w:sz w:val="20"/>
          <w:rtl/>
        </w:rPr>
      </w:pPr>
      <w:r w:rsidRPr="00114876">
        <w:rPr>
          <w:rFonts w:hint="cs"/>
          <w:b/>
          <w:bCs/>
          <w:spacing w:val="0"/>
          <w:kern w:val="0"/>
          <w:sz w:val="20"/>
          <w:rtl/>
        </w:rPr>
        <w:tab/>
        <w:t>(ب)</w:t>
      </w:r>
      <w:r w:rsidRPr="00114876">
        <w:rPr>
          <w:rFonts w:hint="cs"/>
          <w:b/>
          <w:bCs/>
          <w:spacing w:val="0"/>
          <w:kern w:val="0"/>
          <w:sz w:val="20"/>
          <w:rtl/>
        </w:rPr>
        <w:tab/>
        <w:t>تمكين جميع اللاجئين الذين ترفض طلباتهم من جلسات استماع كاملة لطعونهم أمام شعبة الطعون للاجئين.</w:t>
      </w:r>
    </w:p>
    <w:p w:rsidR="004E0A37" w:rsidRPr="00114876" w:rsidRDefault="004E0A37" w:rsidP="00114876">
      <w:pPr>
        <w:pStyle w:val="H23GA"/>
        <w:spacing w:line="364" w:lineRule="exact"/>
        <w:jc w:val="lowKashida"/>
        <w:rPr>
          <w:rFonts w:hint="cs"/>
          <w:spacing w:val="0"/>
          <w:kern w:val="0"/>
          <w:sz w:val="20"/>
          <w:rtl/>
          <w:lang w:val="fr-CH"/>
        </w:rPr>
      </w:pPr>
      <w:r w:rsidRPr="00114876">
        <w:rPr>
          <w:rFonts w:hint="cs"/>
          <w:spacing w:val="0"/>
          <w:kern w:val="0"/>
          <w:sz w:val="20"/>
          <w:rtl/>
          <w:lang w:val="fr-CH"/>
        </w:rPr>
        <w:tab/>
      </w:r>
      <w:r w:rsidRPr="00114876">
        <w:rPr>
          <w:rFonts w:hint="cs"/>
          <w:spacing w:val="0"/>
          <w:kern w:val="0"/>
          <w:sz w:val="20"/>
          <w:rtl/>
          <w:lang w:val="fr-CH"/>
        </w:rPr>
        <w:tab/>
        <w:t>الولاية القضائية العالمية</w:t>
      </w:r>
    </w:p>
    <w:p w:rsidR="004E0A37" w:rsidRPr="00114876" w:rsidRDefault="00926D7D" w:rsidP="00114876">
      <w:pPr>
        <w:pStyle w:val="SingleTxtGA"/>
        <w:spacing w:line="364" w:lineRule="exact"/>
        <w:jc w:val="lowKashida"/>
        <w:rPr>
          <w:rFonts w:hint="cs"/>
          <w:spacing w:val="-2"/>
          <w:kern w:val="0"/>
          <w:sz w:val="20"/>
          <w:rtl/>
        </w:rPr>
      </w:pPr>
      <w:r w:rsidRPr="00114876">
        <w:rPr>
          <w:rFonts w:hint="cs"/>
          <w:spacing w:val="-2"/>
          <w:kern w:val="0"/>
          <w:sz w:val="20"/>
          <w:rtl/>
        </w:rPr>
        <w:t>(</w:t>
      </w:r>
      <w:r w:rsidR="004E0A37" w:rsidRPr="00114876">
        <w:rPr>
          <w:rFonts w:hint="cs"/>
          <w:spacing w:val="-2"/>
          <w:kern w:val="0"/>
          <w:sz w:val="20"/>
          <w:rtl/>
        </w:rPr>
        <w:t>14</w:t>
      </w:r>
      <w:r w:rsidR="003E72B5" w:rsidRPr="00114876">
        <w:rPr>
          <w:rFonts w:hint="cs"/>
          <w:spacing w:val="-2"/>
          <w:kern w:val="0"/>
          <w:sz w:val="20"/>
          <w:rtl/>
        </w:rPr>
        <w:t>)</w:t>
      </w:r>
      <w:r w:rsidR="003E72B5" w:rsidRPr="00114876">
        <w:rPr>
          <w:rFonts w:hint="cs"/>
          <w:spacing w:val="-2"/>
          <w:kern w:val="0"/>
          <w:sz w:val="20"/>
          <w:rtl/>
        </w:rPr>
        <w:tab/>
      </w:r>
      <w:r w:rsidR="004E0A37" w:rsidRPr="00114876">
        <w:rPr>
          <w:rFonts w:hint="cs"/>
          <w:spacing w:val="-2"/>
          <w:kern w:val="0"/>
          <w:sz w:val="20"/>
          <w:rtl/>
        </w:rPr>
        <w:t>تشير اللجنة باهتمام إلى أن أي شخص موجود في إقليم الدولة الطرف ويشتبه في ارتكابه أعمال تعذيب يمكن أن يُقاضى ويحاكم في الدولة الطرف بموجب القانون الجنائي وقانون الجرائم المرتكبة ضد الإنسانية وجرائم الحرب. بيد أن العدد المتدني جداً من حالات مقاضاة جرائم الحرب والجرائم المرتكبة ضد الإنسانية، بما في ذلك جرائم التعذيب، بموجب القوانين السالفة الذكر، يثير مسائل تتعلق بسياسة الدولة الطرف في مجال ممارسة الولاية القضائية العالمية. وتشعر اللجنة بالقلق أيضاً إزاء التقارير العديدة والمتواصلة ومفادها أن سياسة الدولة الطرف في اللجوء إلى الإجراءات المتعلقة بالهجرة بترحيل أو طرد الجناة من إقليمها بدل محاكمتهم جنائياً تنشأ عنها ثغرات فعلية أو محتملة للإفلات من العقاب. ووفقاً لتقارير تلقتها اللجنة، طُرد عدد من الأفراد الذين يدَّعى أنهم مسؤولون عن التعذيب وعن جرائم أخرى بموجب القانون الدولي ولم يمثلوا أمام العدالة في بلدانهم الأصلية. وفي هذا الصدد، تشير اللجنة مع الأسف إلى مبادرة اتُّخذت مؤخراً بنشر أسماء وصور 30 شخصاً يعيشون في كندا وتأكد عدم السماح لهم بالإقامة فيها بسبب احتمال مسؤولياتهم عن جرائم حرب أو ارتكاب جرائم ضد الإنسانية. وإذا ما أوقفوا ورُحِّلوا، فقد يفلتون من العدالة ومن العقاب (المواد 5 و7 و8).</w:t>
      </w:r>
    </w:p>
    <w:p w:rsidR="004E0A37" w:rsidRPr="00114876" w:rsidRDefault="004E0A37" w:rsidP="00114876">
      <w:pPr>
        <w:pStyle w:val="SingleTxtGA"/>
        <w:spacing w:line="364" w:lineRule="exact"/>
        <w:jc w:val="lowKashida"/>
        <w:rPr>
          <w:rFonts w:hint="cs"/>
          <w:b/>
          <w:bCs/>
          <w:spacing w:val="0"/>
          <w:kern w:val="0"/>
          <w:sz w:val="20"/>
          <w:rtl/>
        </w:rPr>
      </w:pPr>
      <w:r w:rsidRPr="00114876">
        <w:rPr>
          <w:rFonts w:hint="cs"/>
          <w:b/>
          <w:bCs/>
          <w:spacing w:val="0"/>
          <w:kern w:val="0"/>
          <w:sz w:val="20"/>
          <w:rtl/>
        </w:rPr>
        <w:tab/>
        <w:t>توصي اللجنة الدولة الطرف باتخاذ جميع التدابير اللازمة لكفالة ممارسة الولاية القضائية العالمية على أشخاص مسؤولين عن أعمال التعذيب، بمن فيهم الجناة الأجانب الذين يوجدون بصورة مؤقتة في كندا،</w:t>
      </w:r>
      <w:r w:rsidR="00B345DB" w:rsidRPr="00114876">
        <w:rPr>
          <w:rFonts w:hint="cs"/>
          <w:b/>
          <w:bCs/>
          <w:spacing w:val="0"/>
          <w:kern w:val="0"/>
          <w:sz w:val="20"/>
          <w:rtl/>
        </w:rPr>
        <w:t xml:space="preserve"> وفقاً </w:t>
      </w:r>
      <w:r w:rsidRPr="00114876">
        <w:rPr>
          <w:rFonts w:hint="cs"/>
          <w:b/>
          <w:bCs/>
          <w:spacing w:val="0"/>
          <w:kern w:val="0"/>
          <w:sz w:val="20"/>
          <w:rtl/>
        </w:rPr>
        <w:t>للمادة 5 من الاتفاقية. وينبغي للدولة الطرف أن تكثف جهودها، بوسائل منها زيادة الموارد، بحيث تكفل عدم إيلاء سياسة "الملاذ الآمن" أولوية للإجراءات الجنائية أو إجراءات التسليم مقابل الترحيل والإبعاد بموجب عمليات الهجرة.</w:t>
      </w:r>
    </w:p>
    <w:p w:rsidR="004E0A37" w:rsidRPr="00114876" w:rsidRDefault="004E0A37" w:rsidP="00114876">
      <w:pPr>
        <w:pStyle w:val="H23GA"/>
        <w:spacing w:line="364" w:lineRule="exact"/>
        <w:jc w:val="lowKashida"/>
        <w:rPr>
          <w:rFonts w:hint="cs"/>
          <w:spacing w:val="0"/>
          <w:kern w:val="0"/>
          <w:sz w:val="20"/>
          <w:rtl/>
          <w:lang w:val="fr-CH"/>
        </w:rPr>
      </w:pPr>
      <w:r w:rsidRPr="00114876">
        <w:rPr>
          <w:rFonts w:hint="cs"/>
          <w:spacing w:val="0"/>
          <w:kern w:val="0"/>
          <w:sz w:val="20"/>
          <w:rtl/>
          <w:lang w:val="fr-CH"/>
        </w:rPr>
        <w:tab/>
      </w:r>
      <w:r w:rsidRPr="00114876">
        <w:rPr>
          <w:rFonts w:hint="cs"/>
          <w:spacing w:val="0"/>
          <w:kern w:val="0"/>
          <w:sz w:val="20"/>
          <w:rtl/>
          <w:lang w:val="fr-CH"/>
        </w:rPr>
        <w:tab/>
        <w:t>سبل الانتصاف المدنية وحصانة الدولة</w:t>
      </w:r>
    </w:p>
    <w:p w:rsidR="004E0A37" w:rsidRPr="004E0A37" w:rsidRDefault="00926D7D" w:rsidP="00114876">
      <w:pPr>
        <w:pStyle w:val="SingleTxtGA"/>
        <w:spacing w:line="364" w:lineRule="exact"/>
        <w:jc w:val="lowKashida"/>
        <w:rPr>
          <w:rFonts w:hint="cs"/>
          <w:spacing w:val="0"/>
          <w:sz w:val="20"/>
          <w:rtl/>
        </w:rPr>
      </w:pPr>
      <w:r>
        <w:rPr>
          <w:rFonts w:hint="cs"/>
          <w:spacing w:val="0"/>
          <w:sz w:val="20"/>
          <w:rtl/>
        </w:rPr>
        <w:t>(</w:t>
      </w:r>
      <w:r w:rsidR="004E0A37" w:rsidRPr="004E0A37">
        <w:rPr>
          <w:rFonts w:hint="cs"/>
          <w:spacing w:val="0"/>
          <w:sz w:val="20"/>
          <w:rtl/>
        </w:rPr>
        <w:t>15</w:t>
      </w:r>
      <w:r w:rsidR="003E72B5">
        <w:rPr>
          <w:rFonts w:hint="cs"/>
          <w:spacing w:val="0"/>
          <w:sz w:val="20"/>
          <w:rtl/>
        </w:rPr>
        <w:t>)</w:t>
      </w:r>
      <w:r w:rsidR="003E72B5">
        <w:rPr>
          <w:rFonts w:hint="cs"/>
          <w:spacing w:val="0"/>
          <w:sz w:val="20"/>
          <w:rtl/>
        </w:rPr>
        <w:tab/>
      </w:r>
      <w:r w:rsidR="004E0A37" w:rsidRPr="004E0A37">
        <w:rPr>
          <w:rFonts w:hint="cs"/>
          <w:spacing w:val="0"/>
          <w:sz w:val="20"/>
          <w:rtl/>
        </w:rPr>
        <w:t>لا يزال القلق يساور اللجنة إزاء عدم اتخاذ تدابير فعالة لإتاحة سبل الانتصاف، بما في ذلك التعويض، عن طريق الولاية القضائية المدنية لجميع ضحايا التعذيب، وهو ما يُعزى أساساً إلى القيود المفروضة بموجب أحكام القانون المتعلق بحصانة الدولة (المادة 14).</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ينبغي أن تضمن الدولة الطرف حصول جميع ضحايا التعذيب على تعويض وجبر الضرر، حيثما حدثت أعمال التعذيب هذه وبغض النظر عن جنسية الجاني أو الضحية. وفي هذا الصدد، ينبغي لها أن تنظر في تعديل القانون المتعلق بحصانة الدولة بهدف إزالة العوائق التي تحول دون إتاحة سبيل للتظلم لجميع ضحايا التعذيب.</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تعرُّض الكنديين المحتجزين في الخارج للتعذيب وسوء المعاملة</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بالغ القلق إزاء إحجام الدولة الطرف الواضح عن حماية حقوق جميع الكنديين المحتجزين في بلدان أخرى، على غرار قضية ماهر عرار. ويساور اللجنة بالغ القلق إزاء ما يلي (المواد 2 و5 و11 و14):</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رفض الدولة الطرف تقديم اعتذار رسمي وتعويضات للكنديين الثلاثة بالرغم من استنتاجات تحقيق ياكوبوتشي. وقضاياهم مماثلة لقضية عرار، حيث تعرضوا جميعاً للتعذيب في الخارج ولانتهاك حقوقهم بتواطؤ المسؤولين الكنديين؛</w:t>
      </w:r>
    </w:p>
    <w:p w:rsidR="004E0A37" w:rsidRPr="004E0A37" w:rsidRDefault="004E0A37" w:rsidP="007B0865">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 xml:space="preserve">تواطؤ المسؤولين الكنديين في انتهاك حقوق عمر خضر عندما كان محتجزاً في خليج غونتانامو، </w:t>
      </w:r>
      <w:r w:rsidRPr="004E0A37">
        <w:rPr>
          <w:rFonts w:hint="cs"/>
          <w:i/>
          <w:iCs/>
          <w:spacing w:val="0"/>
          <w:sz w:val="20"/>
          <w:rtl/>
        </w:rPr>
        <w:t>(كندا (رئيس الوزراء) ضد خضر</w:t>
      </w:r>
      <w:r w:rsidRPr="004E0A37">
        <w:rPr>
          <w:rFonts w:hint="cs"/>
          <w:spacing w:val="0"/>
          <w:sz w:val="20"/>
          <w:rtl/>
        </w:rPr>
        <w:t xml:space="preserve">، القرار رقم 3 لعام 2010 الصادر عن المحكمة العليا في كندا؛ </w:t>
      </w:r>
      <w:r w:rsidRPr="004E0A37">
        <w:rPr>
          <w:rFonts w:hint="cs"/>
          <w:i/>
          <w:iCs/>
          <w:spacing w:val="0"/>
          <w:sz w:val="20"/>
          <w:rtl/>
        </w:rPr>
        <w:t>وكندا (العدل) ضد خضر</w:t>
      </w:r>
      <w:r w:rsidRPr="004E0A37">
        <w:rPr>
          <w:rFonts w:hint="cs"/>
          <w:spacing w:val="0"/>
          <w:sz w:val="20"/>
          <w:rtl/>
        </w:rPr>
        <w:t xml:space="preserve"> القرار رقم 28 لعام 2008 الصادر عن المحكمة العليا في كندا) والتأخير في الموافقة على طلب نقله إلى كندا لقضاء ما تبقى من فترة عقوبته.</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في ضوء استنتاجات تحقيق ياكوبوتشي، توصي اللجنة الدولة الطرف باتخاذ تدابير فورية لكفالة إنصاف عبدالله المالكي وأحمد أبو المعاطي ومُؤيِد نور الدين، بما في ذلك منحهم تعويضاً مناسباً وردَّ الاعتبار إليهم. وفضلاً عن ذلك، تحث اللجنة الدولة الطرف على المبادرة فوراً إلى إقرار طلب نقل محمد خضر وضمان إنصافه على النحو المناسب بسبب انتهاك حقوقه</w:t>
      </w:r>
      <w:r w:rsidR="00B345DB" w:rsidRPr="00FA6C18">
        <w:rPr>
          <w:rFonts w:hint="cs"/>
          <w:b/>
          <w:bCs/>
          <w:spacing w:val="0"/>
          <w:sz w:val="20"/>
          <w:rtl/>
        </w:rPr>
        <w:t xml:space="preserve"> وفقاً </w:t>
      </w:r>
      <w:r w:rsidRPr="00FA6C18">
        <w:rPr>
          <w:rFonts w:hint="cs"/>
          <w:b/>
          <w:bCs/>
          <w:spacing w:val="0"/>
          <w:sz w:val="20"/>
          <w:rtl/>
        </w:rPr>
        <w:t>للحكم الصادر عن المحكمة العليا في كندا.</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المعلومات التي انتزعتها دوائر المخابرات عن طريق التعذيب</w:t>
      </w:r>
    </w:p>
    <w:p w:rsidR="004E0A37" w:rsidRPr="004E0A37" w:rsidRDefault="00926D7D" w:rsidP="00B602A3">
      <w:pPr>
        <w:pStyle w:val="SingleTxtGA"/>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تحيط اللجنة</w:t>
      </w:r>
      <w:r w:rsidR="003833F8">
        <w:rPr>
          <w:rFonts w:hint="cs"/>
          <w:spacing w:val="0"/>
          <w:sz w:val="20"/>
          <w:rtl/>
        </w:rPr>
        <w:t xml:space="preserve"> علماً </w:t>
      </w:r>
      <w:r w:rsidR="004E0A37" w:rsidRPr="004E0A37">
        <w:rPr>
          <w:rFonts w:hint="cs"/>
          <w:spacing w:val="0"/>
          <w:sz w:val="20"/>
          <w:rtl/>
        </w:rPr>
        <w:t>بالأولويات الأمنية الوطنية للدولة الطرف، تُعرب عن بالغ القلق إزاء الأمر التوجيهي الوزاري إلى دائرة المخابرات الأمنية الكندية، الذي قد يؤدّي تطبيقه إلى انتهاك المادة 15 من الاتفاقية، حيث يُمكِّن من استخدام معلومات الاستخبارات التي قد تُنتزع عن طريق إساءة المعاملة من جانب دول أجنبية واستخدامها داخل كندا؛ ويمكّن هذا الأمر دائرة المخابرات من تبادل المعلومات مع وكالات أجنبية رغم أن ذلك قد يؤدي إلى احتمال كبير للتعرض للتعذيب، في قضايا استثنائية تشمل تهديد السلامة العامة، بما</w:t>
      </w:r>
      <w:r w:rsidR="00B602A3">
        <w:rPr>
          <w:rFonts w:hint="eastAsia"/>
          <w:spacing w:val="0"/>
          <w:sz w:val="20"/>
          <w:rtl/>
        </w:rPr>
        <w:t> </w:t>
      </w:r>
      <w:r w:rsidR="004E0A37" w:rsidRPr="004E0A37">
        <w:rPr>
          <w:rFonts w:hint="cs"/>
          <w:spacing w:val="0"/>
          <w:sz w:val="20"/>
          <w:rtl/>
        </w:rPr>
        <w:t>ينتهك التوصية 14 الصادرة عن تحقيق عرار (المواد 2 و10 و15 و16).</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توصي اللجنة الدولة الطرف بتعديل الأمر التوجيهي الوزاري إلى دائرة المخابرات الأمنية الكندية بصيغة تتسق مع التزامات كندا بموجب الاتفاقية. وينبغي للدولة الطرف أن تعزّز توفير التدريب على حظر التعذيب حظراً مطلقاً في سياق أنشطة دوائر المخابرات.</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آلية الرقابة على عمليات الأمن والمخابرات</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18</w:t>
      </w:r>
      <w:r w:rsidR="003E72B5">
        <w:rPr>
          <w:rFonts w:hint="cs"/>
          <w:spacing w:val="0"/>
          <w:sz w:val="20"/>
          <w:rtl/>
        </w:rPr>
        <w:t>)</w:t>
      </w:r>
      <w:r w:rsidR="003E72B5">
        <w:rPr>
          <w:rFonts w:hint="cs"/>
          <w:spacing w:val="0"/>
          <w:sz w:val="20"/>
          <w:rtl/>
        </w:rPr>
        <w:tab/>
      </w:r>
      <w:r w:rsidR="004E0A37" w:rsidRPr="004E0A37">
        <w:rPr>
          <w:rFonts w:hint="cs"/>
          <w:spacing w:val="0"/>
          <w:sz w:val="20"/>
          <w:rtl/>
        </w:rPr>
        <w:t>تشعر اللجنة بالقلق من عدم وجود معلومات عن التدابير التي اتخذتها الدولة الطرف لتنفيذ المقترحات التي تضمنها تقرير السياسة العامة المنبثق عن تحقيق عرار والذي يقضي بوضع نموذج شامل لاستعراض عمل الوكالات المكلَّفة بإنفاذ القانون والأمن العاملة في إطار دوائر الأمن الوطني ومراقبتها (المواد 2 و12 و13 و16).</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توصي اللجنة الدولة الطرف بما يلي:</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(أ)</w:t>
      </w:r>
      <w:r w:rsidRPr="00FA6C18">
        <w:rPr>
          <w:rFonts w:hint="cs"/>
          <w:b/>
          <w:bCs/>
          <w:spacing w:val="0"/>
          <w:sz w:val="20"/>
          <w:rtl/>
        </w:rPr>
        <w:tab/>
        <w:t>النظر في خيارات تحديث وتعزيز إطار استعراض الأمن الوطني في وقت أكثر ملاءمة وبصورة شفافة؛</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(ب)</w:t>
      </w:r>
      <w:r w:rsidRPr="00FA6C18">
        <w:rPr>
          <w:rFonts w:hint="cs"/>
          <w:b/>
          <w:bCs/>
          <w:spacing w:val="0"/>
          <w:sz w:val="20"/>
          <w:rtl/>
        </w:rPr>
        <w:tab/>
        <w:t>النظر في التعجيل بتنفيذ نموذج الرقابة على المؤسسات العاملة مع وكالات الأمن الوطني،</w:t>
      </w:r>
      <w:r w:rsidR="00B345DB" w:rsidRPr="00FA6C18">
        <w:rPr>
          <w:rFonts w:hint="cs"/>
          <w:b/>
          <w:bCs/>
          <w:spacing w:val="0"/>
          <w:sz w:val="20"/>
          <w:rtl/>
        </w:rPr>
        <w:t xml:space="preserve"> وفقاً </w:t>
      </w:r>
      <w:r w:rsidRPr="00FA6C18">
        <w:rPr>
          <w:rFonts w:hint="cs"/>
          <w:b/>
          <w:bCs/>
          <w:spacing w:val="0"/>
          <w:sz w:val="20"/>
          <w:rtl/>
        </w:rPr>
        <w:t>لمقترح تحقيق عرار؛</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(ج)</w:t>
      </w:r>
      <w:r w:rsidRPr="00FA6C18">
        <w:rPr>
          <w:rFonts w:hint="cs"/>
          <w:b/>
          <w:bCs/>
          <w:spacing w:val="0"/>
          <w:sz w:val="20"/>
          <w:rtl/>
        </w:rPr>
        <w:tab/>
        <w:t>إبلاغ اللجنة في التقرير الدوري المقبل بالتغييرات التي سيجري إدخالها على آلية الرقابة على عمليات الأمن والمخابرات.</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ظروف الاحتجاز</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19</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تشير اللجنة إلى البرنامج الخاص بالتحول الذي بادرت إليه دائرة الإصلاحيات في كندا بهدف تحسين عملها، لا يزال القلق يساورها إزاء ما يلي (المواد 2 و11 و16):</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عدم تناسب الهياكل الأساسية لمرافق الاحتجاز في التعامل مع احتياجات النزلاء المتزايدة والمُعقَّدة، وبخاصة المصابون بأمراض عقلية؛</w:t>
      </w:r>
    </w:p>
    <w:p w:rsidR="004E0A37" w:rsidRPr="004E0A37" w:rsidRDefault="004E0A37" w:rsidP="007B0865">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انتشار حوادث العنف بين النزلاء والوفيات رهن الاحتجاز الناجمة عن أنماط الحياة الشديدة الخطورة مثل الإدمان على المخدرات والكحول، والتي لا تزال</w:t>
      </w:r>
      <w:r w:rsidR="00B345DB">
        <w:rPr>
          <w:rFonts w:hint="cs"/>
          <w:spacing w:val="0"/>
          <w:sz w:val="20"/>
          <w:rtl/>
        </w:rPr>
        <w:t xml:space="preserve"> وفقاً </w:t>
      </w:r>
      <w:r w:rsidRPr="004E0A37">
        <w:rPr>
          <w:rFonts w:hint="cs"/>
          <w:spacing w:val="0"/>
          <w:sz w:val="20"/>
          <w:rtl/>
        </w:rPr>
        <w:t>لما</w:t>
      </w:r>
      <w:r w:rsidR="007B0865">
        <w:rPr>
          <w:rFonts w:hint="eastAsia"/>
          <w:spacing w:val="0"/>
          <w:sz w:val="20"/>
          <w:rtl/>
        </w:rPr>
        <w:t> </w:t>
      </w:r>
      <w:r w:rsidRPr="004E0A37">
        <w:rPr>
          <w:rFonts w:hint="cs"/>
          <w:spacing w:val="0"/>
          <w:sz w:val="20"/>
          <w:rtl/>
        </w:rPr>
        <w:t>اعترف به الوفد متداولة في أماكن الاحتجاز؛</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t>اللجوء إلى الحبس الانفرادي، في شكل عزل تأديبي وإداري، يُمَدَّد في كثير من الأحيان على نطاق واسع، ويشمل كذلك المصابين بأمراض عقلية.</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ينبغي للدولة الطرف أن تتخذ جميع التدابير اللازمة لضمان اتساق ظروف الاحتجاز في جميع أماكن الحرمان من الحرية مع القواعد النموذجية الدنيا لمعاملة السجناء. وينبغي لها أن تتخذ قرارات تشمل ما يلي:</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(أ)</w:t>
      </w:r>
      <w:r w:rsidRPr="00FA6C18">
        <w:rPr>
          <w:rFonts w:hint="cs"/>
          <w:b/>
          <w:bCs/>
          <w:spacing w:val="0"/>
          <w:sz w:val="20"/>
          <w:rtl/>
        </w:rPr>
        <w:tab/>
        <w:t>تكثيف جهودها لاعتماد تدابير فعالة ترمي إلى تحسين الظروف المادية في السجون، والحدّ من الاكتظاظ السائد، والاستجابة على النحو المناسب للاحتياجات الأساسية لجميع الأشخاص المحرومين من حريتهم والقضاء على المخدرات؛</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(ب)</w:t>
      </w:r>
      <w:r w:rsidRPr="00FA6C18">
        <w:rPr>
          <w:rFonts w:hint="cs"/>
          <w:b/>
          <w:bCs/>
          <w:spacing w:val="0"/>
          <w:sz w:val="20"/>
          <w:rtl/>
        </w:rPr>
        <w:tab/>
        <w:t>زيادة قدرة استيعاب مراكز معالجة النزلاء الذين يعانون من أعراض صحية عقلية من المستوى المتوسط والحاد؛</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(ج)</w:t>
      </w:r>
      <w:r w:rsidRPr="00FA6C18">
        <w:rPr>
          <w:rFonts w:hint="cs"/>
          <w:b/>
          <w:bCs/>
          <w:spacing w:val="0"/>
          <w:sz w:val="20"/>
          <w:rtl/>
        </w:rPr>
        <w:tab/>
        <w:t>عدم اللجوء إلى إجراء الحبس الانفرادي إلا في الملاذ الأخير، ولأقصر مدة ممكنة وتحت إشراف صارم مع إمكانية المراجعة القضائية؛</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(د)</w:t>
      </w:r>
      <w:r w:rsidRPr="00FA6C18">
        <w:rPr>
          <w:rFonts w:hint="cs"/>
          <w:b/>
          <w:bCs/>
          <w:spacing w:val="0"/>
          <w:sz w:val="20"/>
          <w:rtl/>
        </w:rPr>
        <w:tab/>
        <w:t>إلغاء اللجوء إلى إجراء الحبس الانفرادي بالنسبة إلى المصابين بأمراض عقلية خطيرة أو حادة.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العنف ضد المرأة</w:t>
      </w:r>
    </w:p>
    <w:p w:rsidR="004E0A37" w:rsidRPr="004E0A37" w:rsidRDefault="00926D7D" w:rsidP="00177429">
      <w:pPr>
        <w:pStyle w:val="SingleTxtGA"/>
        <w:jc w:val="lowKashida"/>
        <w:rPr>
          <w:rFonts w:hint="cs"/>
          <w:spacing w:val="0"/>
          <w:sz w:val="20"/>
          <w:rtl/>
        </w:rPr>
      </w:pPr>
      <w:r>
        <w:rPr>
          <w:rFonts w:hint="cs"/>
          <w:spacing w:val="0"/>
          <w:sz w:val="20"/>
          <w:rtl/>
        </w:rPr>
        <w:t>(</w:t>
      </w:r>
      <w:r w:rsidR="004E0A37" w:rsidRPr="004E0A37">
        <w:rPr>
          <w:rFonts w:hint="cs"/>
          <w:spacing w:val="0"/>
          <w:sz w:val="20"/>
          <w:rtl/>
        </w:rPr>
        <w:t>20</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بينما تلاحظ اللجنة التدابير العديدة التي اتخذتها الحكومة الاتحادية وحكومات الولايات للتصدي لنسبة العنف المرتفعة في أوساط نساء وفتيات الشعوب الأصلية، بما في ذلك حالات القتل والاختفاء </w:t>
      </w:r>
      <w:r w:rsidR="004E0A37" w:rsidRPr="004E0A37">
        <w:rPr>
          <w:spacing w:val="0"/>
          <w:sz w:val="20"/>
        </w:rPr>
        <w:t>CAT/C/CAN/Q/6/Add.1)</w:t>
      </w:r>
      <w:r w:rsidR="004E0A37" w:rsidRPr="004E0A37">
        <w:rPr>
          <w:rFonts w:hint="cs"/>
          <w:spacing w:val="0"/>
          <w:sz w:val="20"/>
          <w:rtl/>
        </w:rPr>
        <w:t>، الفقرة 76(و))، يساورها القلق إزاء استمرار تلقّي تقارير بشأن ما يلي: (أ) تعرُّض النساء المهمَّشات، ولا سيما من نساء الشعوب الأصلية، على نحو غير متناسب لمستويات عالية، من أشكال العنف التي تُهدد الحياة، وقتل الزوجات والاختفاء القسري؛ و(ب) عدم مبادرة الدولة الطرف إلى التحقيق فوراً وبفعالية ومقاضاة الجناة ومعاقبتهم أو توفير حماية مناسبة للضحايا. وفضلاً عن ذلك، تأسف اللجنة للبيان الصادر عن الوفد من أن مسائل العنف ضد المرأة تندرج في الواقع ضمن ولاية هيئات معاهدات أخرى، وتُذكِّر بأن الدولة تتحمل مسؤولية ذلك وينبغي اعتبار موظفيها مرتكبين أو متواطئين أو مسؤولين بشكل أو بآخر، بموجب الاتفاقية، بسبب إقرارهم أو</w:t>
      </w:r>
      <w:r w:rsidR="00B602A3">
        <w:rPr>
          <w:rFonts w:hint="eastAsia"/>
          <w:spacing w:val="0"/>
          <w:sz w:val="20"/>
          <w:rtl/>
        </w:rPr>
        <w:t> </w:t>
      </w:r>
      <w:r w:rsidR="004E0A37" w:rsidRPr="004E0A37">
        <w:rPr>
          <w:rFonts w:hint="cs"/>
          <w:spacing w:val="0"/>
          <w:sz w:val="20"/>
          <w:rtl/>
        </w:rPr>
        <w:t>سكوتهم عن أفعال التعذيب أو سوء المعاملة (المواد 2 و12 و13 و16).</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ينبغي للدولة الطرف أن تكثف جهودها لبذل الحرص الواجب في التدخل لوقف أعمال التعذيب أو إساءة المعاملة ومعاقبة مرتكبيها من المسؤولين غير التابعين لدوائر الدولة أو الجهات الفاعِلة الخاصة، وتقديم تعويضات للضحايا. وتوصي اللجنة الدولة الطرف بتكثيف جهودها لوضع حدّ لجميع أشكال العنف ضد النساء والفتيات من الشعوب الأصلية بأمور منها وضع خطة عمل وطنية شاملة وتنسيقها بالتعاون الوثيق مع منظمات نساء الشعوب الأصلية، على أن تشمل هذه الخطة تدابير لكفالة التحقيق المحايد في حينه مع المسؤولين عن حالات اختفاء وقتل النساء من الشعوب الأصلية ومقاضاتهم وإدانتهم ومعاقبتهم، وتنفيذ التوصيات الصادرة عن الهيئات الوطنية والدولية فوراً في هذا الصدد، بما في ذلك لجنة القضاء على التمييز العنصري واللجنة المعنية بالقضاء على التمييز ضد المرأة والفريق العامل المعني بالنساء المفقودات.</w:t>
      </w:r>
    </w:p>
    <w:p w:rsidR="004E0A37" w:rsidRPr="004E0A37" w:rsidRDefault="004E0A37" w:rsidP="00E60529">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استخدام أسلحة الطاقة الموجهة</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21</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تشير اللجنة إلى مختلف المبادرات التي اتخذتها الدولة الطرف لاعتماد قدر أكبر من المساءلة ومعايير أشد صرامة تحكم استخدام أسلحة الطاقة الموجهة، بما في ذلك المبادئ التوجيهية الوطنية الصادرة عن الحكومة الاتحادية في عام 2010. بيد أن القلق لا يزال يساورها إزاء ورود تقارير عن عدم وجود معايير متسقة ومترابطة تنطبق على جميع قوات الشرطة على المستوى الاتحادي وعلى مستوى الولايات وإزاء الإطار القانوني غير الواضح لتجربة النماذج الجديدة لهذه الأسلحة وإقرارها لتستخدمها قوات الشرطة في كندا. وفضلاً عن ذلك، تأسف اللجنة لكون المبادئ التوجيهية الوطنية غير ملزمة ولا تحدد سقفاً متسقاً وعالياً بما فيه الكفاية يحكم استخدام هذه الأسلحة في جميع أنحاء البلد (المادتان 2 و16). </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مع مراعاة الأثر المميت والخطر لأسلحة الطاقة الموجهة</w:t>
      </w:r>
      <w:r w:rsidRPr="00FA6C18">
        <w:rPr>
          <w:b/>
          <w:bCs/>
          <w:spacing w:val="0"/>
          <w:sz w:val="20"/>
        </w:rPr>
        <w:t> </w:t>
      </w:r>
      <w:r w:rsidRPr="00FA6C18">
        <w:rPr>
          <w:rFonts w:hint="cs"/>
          <w:b/>
          <w:bCs/>
          <w:spacing w:val="0"/>
          <w:sz w:val="20"/>
          <w:rtl/>
        </w:rPr>
        <w:t>في الحالة البدينة والعقلية للأشخاص المستهدفين، وهو أثر قد ينتهك المادتين 2 و16 من الاتفاقية، توصي اللجنة الدولة الطرف بضمان ألاّ تستخدم هذه الأسلحة إلا في الحالات القصوى والمحددة حصراً. وينبغي للدولة الطرف أن تراجع اللوائح التي تحكم استخدام هذه الأسلحة، بما في ذلك المبادئ التوجيهية الوطنية، من أجل وضع سقف عال لاستخدامها واعتماد إطار تشريعي يحكم تجريب وإقرار جميع الأسلحة التي يستخدمها الموظفون المكلفون بإنفاذ القانون. وفضلاً عن ذلك، ينبغي للدولة الطرف أن تنظر في التخلي عن استخدام أسلحة الطاقة الموجهة من قبيل "التايزر".</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أساليب مكافحة الشرطة لأعمال الشغب</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22</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تشعر اللجنة بالقلق إزاء تقارير عن فرط استخدام القوة في كثير من الأحيان من جانب الموظفين المكلفين بإنفاذ القانون في إطار مكافحة أعمال الشغب على المستوى الاتحادي وعلى مستوى الولايات، مع الإشارة بصورة خاصة إلى الاحتجاجات المتعلقة بحيازة أراضي السكان الأصليين في إبّارواش وتيانديناغا وكذلك في إطار الاحتجاجات التي نُظّمت بمناسبة عقد اجتماعي قمتي مجموعة الثمانية ومجموعة العشرين. ويساور اللجنة بالغ القلق إزاء تقارير عن اللجوء إلى أساليب قاسية لمكافحة أعمال الشغب وعن ظروف سجن غير إنسانية في مراكز الاحتجاز المؤقتة (المادتان 11 و16). </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 xml:space="preserve">توصي اللجنة الدولة الطرف بتكثيف جهودها لضمان إجراء هيئة مستقلة تحقيقاً فورياً ومحايداً في جميع ادعاءات إساءة أفراد الشرطة المعاملة ولجوئهم إلى استخدام القوة المفرطة ومقاضاة المسؤولين عن هذه الانتهاكات وإصدار العقوبات المناسبة بحقهم. وفضلاً عن ذلك، ينبغي أن تجري الدولة الطرف وحكومة ولاية أونتاريو تحقيقاً في معالجة أفراد الشرطة في ولاية أونتاريو للأحداث في تيانديناغا وفي جميع جوانب عمليات الشرطة والأمن أثناء اجتماعي قمتي مجموعة الثمانية ومجموعة العشرين. </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جمع البيانات</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4E0A37" w:rsidRPr="004E0A37">
        <w:rPr>
          <w:rFonts w:hint="cs"/>
          <w:spacing w:val="0"/>
          <w:sz w:val="20"/>
          <w:rtl/>
        </w:rPr>
        <w:t>تعرب اللجنة عن أسفها لعدم توافر بيانات شاملة ومبوبة عن الشكاوى والتحقيقات والمحاكمات والإدانات المتعلقة بحالات التعذيب وسوء المعاملة التي ارتكبها الموظفون المكلفون بإنفاذ القانون، وأفراد جهاز الأمن والجيش ونظام السجون، وكذلك حالات الإعدام خارج القضاء، وحالات الاختفاء القسري، والاتِّجار بالأشخاص، والعنف المنزلي والعنف الجنسي.</w:t>
      </w:r>
    </w:p>
    <w:p w:rsidR="004E0A37" w:rsidRPr="00FA6C18" w:rsidRDefault="004E0A37" w:rsidP="004E0A37">
      <w:pPr>
        <w:pStyle w:val="SingleTxtGA"/>
        <w:jc w:val="lowKashida"/>
        <w:rPr>
          <w:rFonts w:hint="cs"/>
          <w:b/>
          <w:bCs/>
          <w:spacing w:val="2"/>
          <w:sz w:val="20"/>
          <w:rtl/>
        </w:rPr>
      </w:pPr>
      <w:r w:rsidRPr="00FA6C18">
        <w:rPr>
          <w:rFonts w:hint="cs"/>
          <w:b/>
          <w:bCs/>
          <w:spacing w:val="2"/>
          <w:sz w:val="20"/>
          <w:rtl/>
        </w:rPr>
        <w:tab/>
        <w:t>ينبغي للدولة الطرف أن تجمّع بيانات إحصائية تتصل برصد تنفيذ الاتفاقية على الصعيد الوطني، بما في ذلك بيانات بشأن الشكاوى والتحقيقات والمحاكمات والإدانات المتعلقة بحالات التعذيب وسوء المعاملة، وظروف الاحتجاز والإيذاء على أيدي المسؤولين العموميين، والاحتجاز الإداري، والاتِّجار بالأشخاص، والعنف المنزلي والعنف الجنسي، وكذلك بيانات عن الجبر، بما في ذلك التعويضات وخدمات إعادة التأهيل المقدمة إلى الضحايا.</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24</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توصي اللجنة بأن تعزز الدولة الطرف تعاونها مع آليات الأمم المتحدة لحقوق الإنسان، وتكثّف جهودها لتنفيذ توصياتها. وينبغي للدولة الطرف أن تتخذ خطوات أخرى تضمن اعتماد نهج محكم التنسيق وشفاف وفي متناول الجمهور للإشراف على تنفيذ كندا التزاماتها بموجب آليات حقوق الإنسان التابعة للأمم المتحدة، بما في ذلك الاتفاقية. </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25</w:t>
      </w:r>
      <w:r w:rsidR="003E72B5">
        <w:rPr>
          <w:rFonts w:hint="cs"/>
          <w:spacing w:val="0"/>
          <w:sz w:val="20"/>
          <w:rtl/>
        </w:rPr>
        <w:t>)</w:t>
      </w:r>
      <w:r w:rsidR="003E72B5">
        <w:rPr>
          <w:rFonts w:hint="cs"/>
          <w:spacing w:val="0"/>
          <w:sz w:val="20"/>
          <w:rtl/>
        </w:rPr>
        <w:tab/>
      </w:r>
      <w:r w:rsidR="004E0A37" w:rsidRPr="004E0A37">
        <w:rPr>
          <w:rFonts w:hint="cs"/>
          <w:spacing w:val="0"/>
          <w:sz w:val="20"/>
          <w:rtl/>
        </w:rPr>
        <w:t>وفي ضوء تعهدات الدولة الطرف أمام مجلس حقوق الإنسان في عام 2006 وقبولها توصيات الفريق العامل المعني بالاستعراض الدوري الشامل (</w:t>
      </w:r>
      <w:r w:rsidR="004E0A37" w:rsidRPr="004E0A37">
        <w:rPr>
          <w:spacing w:val="0"/>
          <w:sz w:val="20"/>
        </w:rPr>
        <w:t>A/HRC/11/17</w:t>
      </w:r>
      <w:r w:rsidR="004E0A37" w:rsidRPr="004E0A37">
        <w:rPr>
          <w:rFonts w:hint="cs"/>
          <w:spacing w:val="0"/>
          <w:sz w:val="20"/>
          <w:rtl/>
        </w:rPr>
        <w:t xml:space="preserve">، الفقرة 86(2))، تحث اللجنة الدولة الطرف على التعجيل بالمناقشات الداخلية الجارية والتصديق على البروتوكول الاختياري لاتفاقية مناهضة التعذيب وغيره من ضروب المعاملة أو العقوبة القاسية أو اللاإنسانية أو المهينة في أسرع وقت ممكن. </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26</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وتدعو اللجنة الدولة الطرف إلى التصديق على معاهدات الأمم المتحدة الأساسية لحقوق الإنسان التي ليست بعد طرفاً فيها، وهي اتفاقية حماية جميع الأشخاص من الاختفاء القسري والاتفاقية الدولية لحماية حقوق جميع العمال المهاجرين وأفراد أسرهم. </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27</w:t>
      </w:r>
      <w:r w:rsidR="003E72B5">
        <w:rPr>
          <w:rFonts w:hint="cs"/>
          <w:spacing w:val="0"/>
          <w:sz w:val="20"/>
          <w:rtl/>
        </w:rPr>
        <w:t>)</w:t>
      </w:r>
      <w:r w:rsidR="003E72B5">
        <w:rPr>
          <w:rFonts w:hint="cs"/>
          <w:spacing w:val="0"/>
          <w:sz w:val="20"/>
          <w:rtl/>
        </w:rPr>
        <w:tab/>
      </w:r>
      <w:r w:rsidR="004E0A37" w:rsidRPr="004E0A37">
        <w:rPr>
          <w:rFonts w:hint="cs"/>
          <w:spacing w:val="0"/>
          <w:sz w:val="20"/>
          <w:rtl/>
        </w:rPr>
        <w:t>وتطلب إلى الدولة الطرف أن تنشر التقرير المقدم إلى اللجنة وملاحظات اللجنة الختامية على نطاق واسع، باللغات المناسبة، بواسطة المواقع الشبكية الرسمية ووسائط الإعلام والمنظمات غير الحكومية.</w:t>
      </w:r>
    </w:p>
    <w:p w:rsidR="004E0A37" w:rsidRPr="004E0A37" w:rsidRDefault="00926D7D"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28</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وتدعو اللجنة الدولة الطرف إلى أن تواصل تحديث وثيقتها الأساسية المشتركة </w:t>
      </w:r>
      <w:r w:rsidR="004E0A37" w:rsidRPr="004E0A37">
        <w:rPr>
          <w:spacing w:val="0"/>
          <w:sz w:val="20"/>
        </w:rPr>
        <w:t>HRI/CORE/1/Add.91)</w:t>
      </w:r>
      <w:r w:rsidR="004E0A37" w:rsidRPr="004E0A37">
        <w:rPr>
          <w:rFonts w:hint="cs"/>
          <w:spacing w:val="0"/>
          <w:sz w:val="20"/>
          <w:rtl/>
        </w:rPr>
        <w:t>)،</w:t>
      </w:r>
      <w:r w:rsidR="00B345DB">
        <w:rPr>
          <w:rFonts w:hint="cs"/>
          <w:spacing w:val="0"/>
          <w:sz w:val="20"/>
          <w:rtl/>
        </w:rPr>
        <w:t xml:space="preserve"> وفقاً </w:t>
      </w:r>
      <w:r w:rsidR="004E0A37" w:rsidRPr="004E0A37">
        <w:rPr>
          <w:rFonts w:hint="cs"/>
          <w:spacing w:val="0"/>
          <w:sz w:val="20"/>
          <w:rtl/>
        </w:rPr>
        <w:t>لمتطلبات الوثيقة الأساسية المشتركة الواردة في المبادئ التوجيهية المنسقة لتقديم التقارير بموجب المعاهدات الدولية لحقوق الإنسان (</w:t>
      </w:r>
      <w:r w:rsidR="004E0A37" w:rsidRPr="004E0A37">
        <w:rPr>
          <w:spacing w:val="0"/>
          <w:sz w:val="20"/>
        </w:rPr>
        <w:t>HRI/GEN.2/Rev.6</w:t>
      </w:r>
      <w:r w:rsidR="004E0A37" w:rsidRPr="004E0A37">
        <w:rPr>
          <w:rFonts w:hint="cs"/>
          <w:spacing w:val="0"/>
          <w:sz w:val="20"/>
          <w:rtl/>
        </w:rPr>
        <w:t>).</w:t>
      </w:r>
    </w:p>
    <w:p w:rsidR="004E0A37" w:rsidRPr="004E0A37" w:rsidRDefault="00926D7D" w:rsidP="00A4030E">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29</w:t>
      </w:r>
      <w:r w:rsidR="003E72B5">
        <w:rPr>
          <w:rFonts w:hint="cs"/>
          <w:spacing w:val="0"/>
          <w:sz w:val="20"/>
          <w:rtl/>
        </w:rPr>
        <w:t>)</w:t>
      </w:r>
      <w:r w:rsidR="003E72B5">
        <w:rPr>
          <w:rFonts w:hint="cs"/>
          <w:spacing w:val="0"/>
          <w:sz w:val="20"/>
          <w:rtl/>
        </w:rPr>
        <w:tab/>
      </w:r>
      <w:r w:rsidR="004E0A37" w:rsidRPr="004E0A37">
        <w:rPr>
          <w:rFonts w:hint="cs"/>
          <w:spacing w:val="0"/>
          <w:sz w:val="20"/>
          <w:rtl/>
        </w:rPr>
        <w:t>وترجو اللجنة من الدولة الطرف أن تقدم، في موعد لا يتجاوز 1 حزيران/</w:t>
      </w:r>
      <w:r w:rsidR="00FA6C18">
        <w:rPr>
          <w:rFonts w:hint="cs"/>
          <w:spacing w:val="0"/>
          <w:sz w:val="20"/>
          <w:rtl/>
        </w:rPr>
        <w:t xml:space="preserve"> </w:t>
      </w:r>
      <w:r w:rsidR="004E0A37" w:rsidRPr="004E0A37">
        <w:rPr>
          <w:rFonts w:hint="cs"/>
          <w:spacing w:val="0"/>
          <w:sz w:val="20"/>
          <w:rtl/>
        </w:rPr>
        <w:t>يونيه</w:t>
      </w:r>
      <w:r w:rsidR="00A4030E">
        <w:rPr>
          <w:rFonts w:hint="eastAsia"/>
          <w:spacing w:val="0"/>
          <w:sz w:val="20"/>
          <w:rtl/>
        </w:rPr>
        <w:t> </w:t>
      </w:r>
      <w:r w:rsidR="004E0A37" w:rsidRPr="004E0A37">
        <w:rPr>
          <w:rFonts w:hint="cs"/>
          <w:spacing w:val="0"/>
          <w:sz w:val="20"/>
          <w:rtl/>
        </w:rPr>
        <w:t xml:space="preserve">2013، معلومات على سبيل المتابعة رداً على توصيات اللجنة </w:t>
      </w:r>
      <w:r w:rsidR="00F96B1E">
        <w:rPr>
          <w:rFonts w:hint="cs"/>
          <w:spacing w:val="0"/>
          <w:sz w:val="20"/>
          <w:rtl/>
        </w:rPr>
        <w:t>فيما </w:t>
      </w:r>
      <w:r w:rsidR="004E0A37" w:rsidRPr="004E0A37">
        <w:rPr>
          <w:rFonts w:hint="cs"/>
          <w:spacing w:val="0"/>
          <w:sz w:val="20"/>
          <w:rtl/>
        </w:rPr>
        <w:t>يتعلق ب‍ما يلي: (أ)</w:t>
      </w:r>
      <w:r w:rsidR="004E0A37" w:rsidRPr="004E0A37">
        <w:rPr>
          <w:rFonts w:hint="eastAsia"/>
          <w:spacing w:val="0"/>
          <w:sz w:val="20"/>
          <w:rtl/>
        </w:rPr>
        <w:t> </w:t>
      </w:r>
      <w:r w:rsidR="004E0A37" w:rsidRPr="004E0A37">
        <w:rPr>
          <w:rFonts w:hint="cs"/>
          <w:spacing w:val="0"/>
          <w:sz w:val="20"/>
          <w:rtl/>
        </w:rPr>
        <w:t>كفالة وضع ضمانات قانونية للمحتجزين أو تعزيزها؛ (ب) إجراء تحقيقات فورية ومحايدة وفعالة؛ (ج) مقاضاة المشتبه بهم في ممارسة أعمال التعذيب أو معاقبة مرتكبيها، على النحو المشار إليه في الفقرات 12 و13 و16 و17 من هذه الوثيقة.</w:t>
      </w:r>
    </w:p>
    <w:p w:rsidR="004E0A37" w:rsidRPr="004E0A37" w:rsidRDefault="00926D7D" w:rsidP="00FA6C18">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30</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تقديم تقريرها الدوري المقبل الذي سيكون التقرير الدوري السابع، في موعد أقصاه 1 حزيران/يونيه 2016. ولهذا الغرض، تدعو اللجنة الدولة الطرف إلى أن توافق، في موعد أقصاه 1 حزيران/يونيه 2013، على تقديم تقرير بموجب إجراءات تقديم التقارير الاختيارية، يتضمن إحالة اللجنة إلى الدولة الطرف قائمة المسائل قبل تقديم التقرير الدوري. وسيشكّل رد الدولة الطرف على قائمة المسائل هذه، بموجب المادة</w:t>
      </w:r>
      <w:r w:rsidR="004E0A37" w:rsidRPr="004E0A37">
        <w:rPr>
          <w:rFonts w:hint="eastAsia"/>
          <w:spacing w:val="0"/>
          <w:sz w:val="20"/>
          <w:rtl/>
        </w:rPr>
        <w:t> </w:t>
      </w:r>
      <w:r w:rsidR="004E0A37" w:rsidRPr="004E0A37">
        <w:rPr>
          <w:rFonts w:hint="cs"/>
          <w:spacing w:val="0"/>
          <w:sz w:val="20"/>
          <w:rtl/>
        </w:rPr>
        <w:t>19 من الاتفاقية، تقريرها الدوري المقبل المقدم إلى اللجنة.</w:t>
      </w:r>
    </w:p>
    <w:p w:rsidR="004E0A37" w:rsidRPr="004E0A37" w:rsidRDefault="004E0A37" w:rsidP="004E0A37">
      <w:pPr>
        <w:pStyle w:val="SingleTxtGA"/>
        <w:jc w:val="lowKashida"/>
        <w:rPr>
          <w:rFonts w:hint="cs"/>
          <w:spacing w:val="0"/>
          <w:sz w:val="20"/>
          <w:rtl/>
        </w:rPr>
      </w:pPr>
      <w:r w:rsidRPr="004E0A37">
        <w:rPr>
          <w:rFonts w:hint="cs"/>
          <w:spacing w:val="0"/>
          <w:sz w:val="20"/>
          <w:rtl/>
        </w:rPr>
        <w:t>63-</w:t>
      </w:r>
      <w:r w:rsidRPr="004E0A37">
        <w:rPr>
          <w:rFonts w:hint="cs"/>
          <w:spacing w:val="0"/>
          <w:sz w:val="20"/>
          <w:rtl/>
        </w:rPr>
        <w:tab/>
      </w:r>
      <w:r w:rsidRPr="004E0A37">
        <w:rPr>
          <w:rFonts w:hint="cs"/>
          <w:b/>
          <w:bCs/>
          <w:spacing w:val="0"/>
          <w:sz w:val="20"/>
          <w:rtl/>
        </w:rPr>
        <w:t>كوبا</w:t>
      </w:r>
    </w:p>
    <w:p w:rsidR="004E0A37" w:rsidRPr="004E0A37" w:rsidRDefault="004E0A37" w:rsidP="00A4030E">
      <w:pPr>
        <w:pStyle w:val="SingleTxtGA"/>
        <w:jc w:val="lowKashida"/>
        <w:rPr>
          <w:rFonts w:hint="cs"/>
          <w:spacing w:val="0"/>
          <w:sz w:val="20"/>
          <w:rtl/>
        </w:rPr>
      </w:pPr>
      <w:r w:rsidRPr="004E0A37">
        <w:rPr>
          <w:rFonts w:hint="cs"/>
          <w:spacing w:val="0"/>
          <w:sz w:val="20"/>
          <w:rtl/>
        </w:rPr>
        <w:t>(1</w:t>
      </w:r>
      <w:r w:rsidR="003E72B5">
        <w:rPr>
          <w:rFonts w:hint="cs"/>
          <w:spacing w:val="0"/>
          <w:sz w:val="20"/>
          <w:rtl/>
        </w:rPr>
        <w:t>)</w:t>
      </w:r>
      <w:r w:rsidR="003E72B5">
        <w:rPr>
          <w:rFonts w:hint="cs"/>
          <w:spacing w:val="0"/>
          <w:sz w:val="20"/>
          <w:rtl/>
        </w:rPr>
        <w:tab/>
      </w:r>
      <w:r w:rsidRPr="004E0A37">
        <w:rPr>
          <w:rFonts w:hint="cs"/>
          <w:spacing w:val="0"/>
          <w:sz w:val="20"/>
          <w:rtl/>
        </w:rPr>
        <w:t>نظرت لجنة مناهضة التعذيب في التقرير الدوري الثاني لكوبا (</w:t>
      </w:r>
      <w:r w:rsidRPr="004E0A37">
        <w:rPr>
          <w:spacing w:val="0"/>
          <w:sz w:val="20"/>
        </w:rPr>
        <w:t>CAT/C/CUB/2</w:t>
      </w:r>
      <w:r w:rsidRPr="004E0A37">
        <w:rPr>
          <w:rFonts w:hint="cs"/>
          <w:spacing w:val="0"/>
          <w:sz w:val="20"/>
          <w:rtl/>
        </w:rPr>
        <w:t>) في</w:t>
      </w:r>
      <w:r w:rsidR="00FA6C18">
        <w:rPr>
          <w:rFonts w:hint="eastAsia"/>
          <w:spacing w:val="0"/>
          <w:sz w:val="20"/>
          <w:rtl/>
        </w:rPr>
        <w:t> </w:t>
      </w:r>
      <w:r w:rsidRPr="004E0A37">
        <w:rPr>
          <w:rFonts w:hint="cs"/>
          <w:spacing w:val="0"/>
          <w:sz w:val="20"/>
          <w:rtl/>
        </w:rPr>
        <w:t>جلستيها 1078 و1081 (</w:t>
      </w:r>
      <w:r w:rsidRPr="004E0A37">
        <w:rPr>
          <w:spacing w:val="0"/>
          <w:sz w:val="20"/>
        </w:rPr>
        <w:t>CAT/C/SR.1078</w:t>
      </w:r>
      <w:r w:rsidRPr="004E0A37">
        <w:rPr>
          <w:rFonts w:hint="cs"/>
          <w:spacing w:val="0"/>
          <w:sz w:val="20"/>
          <w:rtl/>
        </w:rPr>
        <w:t xml:space="preserve"> و</w:t>
      </w:r>
      <w:r w:rsidRPr="004E0A37">
        <w:rPr>
          <w:spacing w:val="0"/>
          <w:sz w:val="20"/>
        </w:rPr>
        <w:t>SR.1081</w:t>
      </w:r>
      <w:r w:rsidRPr="004E0A37">
        <w:rPr>
          <w:rFonts w:hint="cs"/>
          <w:spacing w:val="0"/>
          <w:sz w:val="20"/>
          <w:rtl/>
        </w:rPr>
        <w:t>)، المعقودتين في 22 و23 أيار/</w:t>
      </w:r>
      <w:r w:rsidR="00FA6C18">
        <w:rPr>
          <w:rFonts w:hint="cs"/>
          <w:spacing w:val="0"/>
          <w:sz w:val="20"/>
          <w:rtl/>
        </w:rPr>
        <w:t xml:space="preserve"> </w:t>
      </w:r>
      <w:r w:rsidRPr="004E0A37">
        <w:rPr>
          <w:rFonts w:hint="cs"/>
          <w:spacing w:val="0"/>
          <w:sz w:val="20"/>
          <w:rtl/>
        </w:rPr>
        <w:t>مايو 2012، واعتمدت، في جلستيها 1089 و1090 (</w:t>
      </w:r>
      <w:r w:rsidRPr="004E0A37">
        <w:rPr>
          <w:spacing w:val="0"/>
          <w:sz w:val="20"/>
        </w:rPr>
        <w:t>CAT/C/SR.1089</w:t>
      </w:r>
      <w:r w:rsidRPr="004E0A37">
        <w:rPr>
          <w:rFonts w:hint="cs"/>
          <w:spacing w:val="0"/>
          <w:sz w:val="20"/>
          <w:rtl/>
        </w:rPr>
        <w:t xml:space="preserve"> و</w:t>
      </w:r>
      <w:r w:rsidRPr="004E0A37">
        <w:rPr>
          <w:spacing w:val="0"/>
          <w:sz w:val="20"/>
        </w:rPr>
        <w:t>SR.1090</w:t>
      </w:r>
      <w:r w:rsidRPr="004E0A37">
        <w:rPr>
          <w:rFonts w:hint="cs"/>
          <w:spacing w:val="0"/>
          <w:sz w:val="20"/>
          <w:rtl/>
        </w:rPr>
        <w:t>)، الملاحظات الختامية التالية.</w:t>
      </w:r>
    </w:p>
    <w:p w:rsidR="004E0A37" w:rsidRPr="004E0A37" w:rsidRDefault="007B0865" w:rsidP="00114876">
      <w:pPr>
        <w:pStyle w:val="H23GA"/>
        <w:tabs>
          <w:tab w:val="left" w:pos="1925"/>
        </w:tabs>
        <w:rPr>
          <w:rFonts w:hint="cs"/>
          <w:rtl/>
        </w:rPr>
      </w:pPr>
      <w:r>
        <w:rPr>
          <w:rFonts w:hint="cs"/>
          <w:rtl/>
        </w:rPr>
        <w:tab/>
      </w:r>
      <w:r w:rsidR="004E0A37" w:rsidRPr="004E0A37">
        <w:rPr>
          <w:rFonts w:hint="cs"/>
          <w:rtl/>
        </w:rPr>
        <w:tab/>
        <w:t>ألف-</w:t>
      </w:r>
      <w:r w:rsidR="004E0A37" w:rsidRPr="004E0A37">
        <w:rPr>
          <w:rFonts w:hint="cs"/>
          <w:rtl/>
        </w:rPr>
        <w:tab/>
        <w:t>مقدمة</w:t>
      </w:r>
    </w:p>
    <w:p w:rsidR="004E0A37" w:rsidRPr="004E0A37" w:rsidRDefault="004E0A37" w:rsidP="004E0A37">
      <w:pPr>
        <w:pStyle w:val="SingleTxtGA"/>
        <w:jc w:val="lowKashida"/>
        <w:rPr>
          <w:rFonts w:hint="cs"/>
          <w:spacing w:val="0"/>
          <w:sz w:val="20"/>
          <w:rtl/>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rFonts w:hint="cs"/>
          <w:spacing w:val="0"/>
          <w:sz w:val="20"/>
          <w:rtl/>
        </w:rPr>
        <w:t>ترحِّب اللجنة بارتياح بتقديم التقرير الدوري الثاني لكوبا وتُعرب عن تقديرها للفرصة التي أُتيحت لها لتجديد الحوار البناء مع الدولة الطرف. ولكنها تشير إلى أن التقرير الدوري، الذي تأخر تقديمه أكثر من تسعة أعوام،</w:t>
      </w:r>
      <w:r w:rsidR="00335AC0">
        <w:rPr>
          <w:rFonts w:hint="cs"/>
          <w:spacing w:val="0"/>
          <w:sz w:val="20"/>
          <w:rtl/>
        </w:rPr>
        <w:t xml:space="preserve"> لم </w:t>
      </w:r>
      <w:r w:rsidRPr="004E0A37">
        <w:rPr>
          <w:rFonts w:hint="cs"/>
          <w:spacing w:val="0"/>
          <w:sz w:val="20"/>
          <w:rtl/>
        </w:rPr>
        <w:t xml:space="preserve">يُقدَّم بطريقة تتماشى بالكامل </w:t>
      </w:r>
      <w:r w:rsidRPr="004E0A37">
        <w:rPr>
          <w:rFonts w:hint="cs"/>
          <w:spacing w:val="0"/>
          <w:sz w:val="20"/>
          <w:rtl/>
          <w:lang/>
        </w:rPr>
        <w:t>مع التوجيهات المتعلقة بشكل التقارير الدورية ومضمونها.</w:t>
      </w:r>
    </w:p>
    <w:p w:rsidR="004E0A37" w:rsidRPr="004E0A37" w:rsidRDefault="004E0A37" w:rsidP="004E0A37">
      <w:pPr>
        <w:pStyle w:val="SingleTxtGA"/>
        <w:jc w:val="lowKashida"/>
        <w:rPr>
          <w:rFonts w:hint="cs"/>
          <w:spacing w:val="0"/>
          <w:sz w:val="20"/>
          <w:rtl/>
        </w:rPr>
      </w:pPr>
      <w:r w:rsidRPr="004E0A37">
        <w:rPr>
          <w:rFonts w:hint="cs"/>
          <w:spacing w:val="0"/>
          <w:sz w:val="20"/>
          <w:rtl/>
        </w:rPr>
        <w:t>(3</w:t>
      </w:r>
      <w:r w:rsidR="003E72B5">
        <w:rPr>
          <w:rFonts w:hint="cs"/>
          <w:spacing w:val="0"/>
          <w:sz w:val="20"/>
          <w:rtl/>
        </w:rPr>
        <w:t>)</w:t>
      </w:r>
      <w:r w:rsidR="003E72B5">
        <w:rPr>
          <w:rFonts w:hint="cs"/>
          <w:spacing w:val="0"/>
          <w:sz w:val="20"/>
          <w:rtl/>
        </w:rPr>
        <w:tab/>
      </w:r>
      <w:r w:rsidRPr="004E0A37">
        <w:rPr>
          <w:rFonts w:hint="cs"/>
          <w:spacing w:val="0"/>
          <w:sz w:val="20"/>
          <w:rtl/>
        </w:rPr>
        <w:t>وتُعرب اللجنة عن تقديرها للردود الخطية (</w:t>
      </w:r>
      <w:r w:rsidRPr="004E0A37">
        <w:rPr>
          <w:spacing w:val="0"/>
          <w:sz w:val="20"/>
        </w:rPr>
        <w:t>CAT/C/CUB/Q/2/Add.1</w:t>
      </w:r>
      <w:r w:rsidRPr="004E0A37">
        <w:rPr>
          <w:rFonts w:hint="cs"/>
          <w:spacing w:val="0"/>
          <w:sz w:val="20"/>
          <w:rtl/>
        </w:rPr>
        <w:t>) على قائمة المسائل التي ينبغي معالجتها وللمعلومات التكميلية المقدمة أثناء النظر في التقرير. كما تعرب عن ارتياحها للحوار الذي أجرته مع الوفد، بيد أنها تأسف لعدم الإجابة عن بعض الأسئلة المطروحة.</w:t>
      </w:r>
    </w:p>
    <w:p w:rsidR="004E0A37" w:rsidRPr="004E0A37" w:rsidRDefault="007B0865" w:rsidP="00114876">
      <w:pPr>
        <w:pStyle w:val="H23GA"/>
        <w:tabs>
          <w:tab w:val="left" w:pos="1939"/>
        </w:tabs>
        <w:rPr>
          <w:rFonts w:hint="cs"/>
          <w:rtl/>
        </w:rPr>
      </w:pPr>
      <w:r>
        <w:rPr>
          <w:rtl/>
        </w:rPr>
        <w:tab/>
      </w:r>
      <w:r w:rsidR="004E0A37" w:rsidRPr="004E0A37">
        <w:rPr>
          <w:rFonts w:hint="cs"/>
          <w:rtl/>
        </w:rPr>
        <w:tab/>
        <w:t>باء-</w:t>
      </w:r>
      <w:r w:rsidR="004E0A37" w:rsidRPr="004E0A37">
        <w:rPr>
          <w:rFonts w:hint="cs"/>
          <w:rtl/>
        </w:rPr>
        <w:tab/>
        <w:t>الجوانب الإيجابية</w:t>
      </w:r>
    </w:p>
    <w:p w:rsidR="004E0A37" w:rsidRPr="004E0A37" w:rsidRDefault="004E0A37" w:rsidP="004E0A37">
      <w:pPr>
        <w:pStyle w:val="SingleTxtGA"/>
        <w:jc w:val="lowKashida"/>
        <w:rPr>
          <w:rFonts w:hint="cs"/>
          <w:spacing w:val="0"/>
          <w:sz w:val="20"/>
          <w:rtl/>
        </w:rPr>
      </w:pPr>
      <w:r w:rsidRPr="004E0A37">
        <w:rPr>
          <w:rFonts w:hint="cs"/>
          <w:spacing w:val="0"/>
          <w:sz w:val="20"/>
          <w:rtl/>
        </w:rPr>
        <w:t>(4</w:t>
      </w:r>
      <w:r w:rsidR="003E72B5">
        <w:rPr>
          <w:rFonts w:hint="cs"/>
          <w:spacing w:val="0"/>
          <w:sz w:val="20"/>
          <w:rtl/>
        </w:rPr>
        <w:t>)</w:t>
      </w:r>
      <w:r w:rsidR="003E72B5">
        <w:rPr>
          <w:rFonts w:hint="cs"/>
          <w:spacing w:val="0"/>
          <w:sz w:val="20"/>
          <w:rtl/>
        </w:rPr>
        <w:tab/>
      </w:r>
      <w:r w:rsidRPr="004E0A37">
        <w:rPr>
          <w:rFonts w:hint="cs"/>
          <w:spacing w:val="0"/>
          <w:sz w:val="20"/>
          <w:rtl/>
        </w:rPr>
        <w:t>تلاحظ اللجنة بارتياح تصديق الدولة الطرف، في الفترة التي أعقبت النظر في التقرير الأولي، على الصكوك الدولية التالية:</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البروتوكول الاختياري لاتفاقية حقوق الطفل بشأن بيع الأطفال واستغلال الأطفال في البغاء وفي المواد الإباحية (25 أيلول/سبتمبر 2001)؛</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البروتوكول الاختياري لاتفاقية حقوق الطفل بشأن اشتراك الأطفال في المنازعات المسلحة (9 شباط/فبراير 2007)؛</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t>اتفاقية حقوق الأشخاص ذوي الإعاقة (6 أيلول/سبتمبر 2007)،</w:t>
      </w:r>
    </w:p>
    <w:p w:rsidR="004E0A37" w:rsidRPr="004E0A37" w:rsidRDefault="004E0A37" w:rsidP="004E0A37">
      <w:pPr>
        <w:pStyle w:val="SingleTxtGA"/>
        <w:jc w:val="lowKashida"/>
        <w:rPr>
          <w:rFonts w:hint="cs"/>
          <w:spacing w:val="0"/>
          <w:sz w:val="20"/>
          <w:rtl/>
        </w:rPr>
      </w:pPr>
      <w:r w:rsidRPr="004E0A37">
        <w:rPr>
          <w:rFonts w:hint="cs"/>
          <w:spacing w:val="0"/>
          <w:sz w:val="20"/>
          <w:rtl/>
        </w:rPr>
        <w:tab/>
        <w:t>(د)</w:t>
      </w:r>
      <w:r w:rsidRPr="004E0A37">
        <w:rPr>
          <w:rFonts w:hint="cs"/>
          <w:spacing w:val="0"/>
          <w:sz w:val="20"/>
          <w:rtl/>
        </w:rPr>
        <w:tab/>
      </w:r>
      <w:r w:rsidRPr="004E0A37">
        <w:rPr>
          <w:spacing w:val="0"/>
          <w:sz w:val="20"/>
          <w:rtl/>
        </w:rPr>
        <w:t>الاتفاقية</w:t>
      </w:r>
      <w:r w:rsidRPr="004E0A37">
        <w:rPr>
          <w:spacing w:val="0"/>
          <w:sz w:val="20"/>
        </w:rPr>
        <w:t xml:space="preserve"> </w:t>
      </w:r>
      <w:r w:rsidRPr="004E0A37">
        <w:rPr>
          <w:spacing w:val="0"/>
          <w:sz w:val="20"/>
          <w:rtl/>
        </w:rPr>
        <w:t>الدولية</w:t>
      </w:r>
      <w:r w:rsidRPr="004E0A37">
        <w:rPr>
          <w:spacing w:val="0"/>
          <w:sz w:val="20"/>
        </w:rPr>
        <w:t xml:space="preserve"> </w:t>
      </w:r>
      <w:r w:rsidRPr="004E0A37">
        <w:rPr>
          <w:spacing w:val="0"/>
          <w:sz w:val="20"/>
          <w:rtl/>
        </w:rPr>
        <w:t>لحماية</w:t>
      </w:r>
      <w:r w:rsidRPr="004E0A37">
        <w:rPr>
          <w:spacing w:val="0"/>
          <w:sz w:val="20"/>
        </w:rPr>
        <w:t xml:space="preserve"> </w:t>
      </w:r>
      <w:r w:rsidRPr="004E0A37">
        <w:rPr>
          <w:spacing w:val="0"/>
          <w:sz w:val="20"/>
          <w:rtl/>
        </w:rPr>
        <w:t>جميع</w:t>
      </w:r>
      <w:r w:rsidRPr="004E0A37">
        <w:rPr>
          <w:spacing w:val="0"/>
          <w:sz w:val="20"/>
        </w:rPr>
        <w:t xml:space="preserve"> </w:t>
      </w:r>
      <w:r w:rsidRPr="004E0A37">
        <w:rPr>
          <w:spacing w:val="0"/>
          <w:sz w:val="20"/>
          <w:rtl/>
        </w:rPr>
        <w:t>الأشخاص</w:t>
      </w:r>
      <w:r w:rsidRPr="004E0A37">
        <w:rPr>
          <w:spacing w:val="0"/>
          <w:sz w:val="20"/>
        </w:rPr>
        <w:t xml:space="preserve"> </w:t>
      </w:r>
      <w:r w:rsidRPr="004E0A37">
        <w:rPr>
          <w:spacing w:val="0"/>
          <w:sz w:val="20"/>
          <w:rtl/>
        </w:rPr>
        <w:t>من</w:t>
      </w:r>
      <w:r w:rsidRPr="004E0A37">
        <w:rPr>
          <w:spacing w:val="0"/>
          <w:sz w:val="20"/>
        </w:rPr>
        <w:t xml:space="preserve"> </w:t>
      </w:r>
      <w:r w:rsidRPr="004E0A37">
        <w:rPr>
          <w:spacing w:val="0"/>
          <w:sz w:val="20"/>
          <w:rtl/>
        </w:rPr>
        <w:t>الاختفاء</w:t>
      </w:r>
      <w:r w:rsidRPr="004E0A37">
        <w:rPr>
          <w:spacing w:val="0"/>
          <w:sz w:val="20"/>
        </w:rPr>
        <w:t xml:space="preserve"> </w:t>
      </w:r>
      <w:r w:rsidRPr="004E0A37">
        <w:rPr>
          <w:spacing w:val="0"/>
          <w:sz w:val="20"/>
          <w:rtl/>
        </w:rPr>
        <w:t>القسري</w:t>
      </w:r>
      <w:r w:rsidRPr="004E0A37">
        <w:rPr>
          <w:rFonts w:hint="cs"/>
          <w:spacing w:val="0"/>
          <w:sz w:val="20"/>
          <w:rtl/>
        </w:rPr>
        <w:t xml:space="preserve"> (2 شباط/فبراير 2009).</w:t>
      </w:r>
    </w:p>
    <w:p w:rsidR="004E0A37" w:rsidRPr="00FA6C18" w:rsidRDefault="004E0A37" w:rsidP="00FA6C18">
      <w:pPr>
        <w:pStyle w:val="SingleTxtGA"/>
        <w:jc w:val="lowKashida"/>
        <w:rPr>
          <w:rFonts w:hint="cs"/>
          <w:spacing w:val="-4"/>
          <w:sz w:val="20"/>
          <w:rtl/>
        </w:rPr>
      </w:pPr>
      <w:r w:rsidRPr="00FA6C18">
        <w:rPr>
          <w:rFonts w:hint="cs"/>
          <w:spacing w:val="-4"/>
          <w:sz w:val="20"/>
          <w:rtl/>
        </w:rPr>
        <w:t>(5</w:t>
      </w:r>
      <w:r w:rsidR="003E72B5" w:rsidRPr="00FA6C18">
        <w:rPr>
          <w:rFonts w:hint="cs"/>
          <w:spacing w:val="-4"/>
          <w:sz w:val="20"/>
          <w:rtl/>
        </w:rPr>
        <w:t>)</w:t>
      </w:r>
      <w:r w:rsidR="003E72B5" w:rsidRPr="00FA6C18">
        <w:rPr>
          <w:rFonts w:hint="cs"/>
          <w:spacing w:val="-4"/>
          <w:sz w:val="20"/>
          <w:rtl/>
        </w:rPr>
        <w:tab/>
      </w:r>
      <w:r w:rsidRPr="00FA6C18">
        <w:rPr>
          <w:rFonts w:hint="cs"/>
          <w:spacing w:val="-4"/>
          <w:sz w:val="20"/>
          <w:rtl/>
        </w:rPr>
        <w:t>وترحب اللجنة أيضاً بالجهود التي تبذلها الدولة الطرف لتغيير سياساتها وإجراءاتها السارية</w:t>
      </w:r>
      <w:r w:rsidR="00FA6C18">
        <w:rPr>
          <w:rFonts w:hint="eastAsia"/>
          <w:spacing w:val="-4"/>
          <w:sz w:val="20"/>
          <w:rtl/>
        </w:rPr>
        <w:t> </w:t>
      </w:r>
      <w:r w:rsidRPr="00FA6C18">
        <w:rPr>
          <w:rFonts w:hint="cs"/>
          <w:spacing w:val="-4"/>
          <w:sz w:val="20"/>
          <w:rtl/>
        </w:rPr>
        <w:t>بما يسمح بضمان حماية حقوق الإنسان حماية أفضل وبتنفيذ الاتفاقية، وخاصة ما</w:t>
      </w:r>
      <w:r w:rsidRPr="00FA6C18">
        <w:rPr>
          <w:rFonts w:hint="eastAsia"/>
          <w:spacing w:val="-4"/>
          <w:sz w:val="20"/>
          <w:rtl/>
        </w:rPr>
        <w:t> </w:t>
      </w:r>
      <w:r w:rsidRPr="00FA6C18">
        <w:rPr>
          <w:rFonts w:hint="cs"/>
          <w:spacing w:val="-4"/>
          <w:sz w:val="20"/>
          <w:rtl/>
        </w:rPr>
        <w:t>يلي:</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اعتماد الخطة الاستثمارية لنظام السجون، التي ستُنفَّذ إلى غاية حلول عام</w:t>
      </w:r>
      <w:r w:rsidRPr="004E0A37">
        <w:rPr>
          <w:rFonts w:hint="eastAsia"/>
          <w:spacing w:val="0"/>
          <w:sz w:val="20"/>
          <w:rtl/>
        </w:rPr>
        <w:t> </w:t>
      </w:r>
      <w:r w:rsidRPr="004E0A37">
        <w:rPr>
          <w:rFonts w:hint="cs"/>
          <w:spacing w:val="0"/>
          <w:sz w:val="20"/>
          <w:rtl/>
        </w:rPr>
        <w:t>2017؛</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مواصلة برنامج المنح الدراسية التي تقدمها الدولة إلى اللاجئين لتمكينهم من الالتحاق بالتعليم الثانوي أو بالمرحلة الأولى أو الثانية من التعليم الجامعي، وهو برنامج يستفيد منه</w:t>
      </w:r>
      <w:r w:rsidR="003549AC">
        <w:rPr>
          <w:rFonts w:hint="cs"/>
          <w:spacing w:val="0"/>
          <w:sz w:val="20"/>
          <w:rtl/>
        </w:rPr>
        <w:t xml:space="preserve"> حالياً </w:t>
      </w:r>
      <w:r w:rsidRPr="004E0A37">
        <w:rPr>
          <w:rFonts w:hint="cs"/>
          <w:spacing w:val="0"/>
          <w:sz w:val="20"/>
          <w:rtl/>
        </w:rPr>
        <w:t>366 لاجئاً، معظمهم صحراويون؛</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t xml:space="preserve">مواصلة أعمال </w:t>
      </w:r>
      <w:r w:rsidRPr="004E0A37">
        <w:rPr>
          <w:spacing w:val="0"/>
          <w:sz w:val="20"/>
          <w:rtl/>
        </w:rPr>
        <w:t xml:space="preserve">الفريق الوطني للوقاية من العنف </w:t>
      </w:r>
      <w:r w:rsidRPr="004E0A37">
        <w:rPr>
          <w:rFonts w:hint="cs"/>
          <w:spacing w:val="0"/>
          <w:sz w:val="20"/>
          <w:rtl/>
        </w:rPr>
        <w:t>وقمعه داخل</w:t>
      </w:r>
      <w:r w:rsidRPr="004E0A37">
        <w:rPr>
          <w:spacing w:val="0"/>
          <w:sz w:val="20"/>
          <w:rtl/>
        </w:rPr>
        <w:t xml:space="preserve"> الأسرة</w:t>
      </w:r>
      <w:r w:rsidRPr="004E0A37">
        <w:rPr>
          <w:rFonts w:hint="cs"/>
          <w:spacing w:val="0"/>
          <w:sz w:val="20"/>
          <w:rtl/>
        </w:rPr>
        <w:t>.</w:t>
      </w:r>
    </w:p>
    <w:p w:rsidR="004E0A37" w:rsidRPr="004E0A37" w:rsidRDefault="004E0A37" w:rsidP="007B0865">
      <w:pPr>
        <w:pStyle w:val="SingleTxtGA"/>
        <w:jc w:val="lowKashida"/>
        <w:rPr>
          <w:rFonts w:hint="cs"/>
          <w:spacing w:val="0"/>
          <w:sz w:val="20"/>
          <w:rtl/>
        </w:rPr>
      </w:pPr>
      <w:r w:rsidRPr="004E0A37">
        <w:rPr>
          <w:rFonts w:hint="cs"/>
          <w:spacing w:val="0"/>
          <w:sz w:val="20"/>
          <w:rtl/>
        </w:rPr>
        <w:t>(6</w:t>
      </w:r>
      <w:r w:rsidR="003E72B5">
        <w:rPr>
          <w:rFonts w:hint="cs"/>
          <w:spacing w:val="0"/>
          <w:sz w:val="20"/>
          <w:rtl/>
        </w:rPr>
        <w:t>)</w:t>
      </w:r>
      <w:r w:rsidR="003E72B5">
        <w:rPr>
          <w:rFonts w:hint="cs"/>
          <w:spacing w:val="0"/>
          <w:sz w:val="20"/>
          <w:rtl/>
        </w:rPr>
        <w:tab/>
      </w:r>
      <w:r w:rsidRPr="004E0A37">
        <w:rPr>
          <w:rFonts w:hint="cs"/>
          <w:spacing w:val="0"/>
          <w:sz w:val="20"/>
          <w:rtl/>
        </w:rPr>
        <w:t>وتحيط اللجنة</w:t>
      </w:r>
      <w:r w:rsidR="003833F8">
        <w:rPr>
          <w:rFonts w:hint="cs"/>
          <w:spacing w:val="0"/>
          <w:sz w:val="20"/>
          <w:rtl/>
        </w:rPr>
        <w:t xml:space="preserve"> علماً </w:t>
      </w:r>
      <w:r w:rsidRPr="004E0A37">
        <w:rPr>
          <w:rFonts w:hint="cs"/>
          <w:spacing w:val="0"/>
          <w:sz w:val="20"/>
          <w:rtl/>
        </w:rPr>
        <w:t>بالرد الإيجابي الذي قدمته الدولة الطرف على طلب زيارة المقرر الخاص المعني بمسألة التعذيب، والذي أكدته لاحق</w:t>
      </w:r>
      <w:r w:rsidR="00B602A3">
        <w:rPr>
          <w:rFonts w:hint="cs"/>
          <w:spacing w:val="0"/>
          <w:sz w:val="20"/>
          <w:rtl/>
        </w:rPr>
        <w:t xml:space="preserve">اً </w:t>
      </w:r>
      <w:r w:rsidRPr="004E0A37">
        <w:rPr>
          <w:rFonts w:hint="cs"/>
          <w:spacing w:val="0"/>
          <w:sz w:val="20"/>
          <w:rtl/>
        </w:rPr>
        <w:t>في الالتزامات الطوعية التي تعهدت بها أثناء الاستعراض الدوري الشامل الذي أجراه مجلس حقوق الإنسان في شباط/فبراير 2009 (</w:t>
      </w:r>
      <w:r w:rsidRPr="004E0A37">
        <w:rPr>
          <w:spacing w:val="0"/>
          <w:sz w:val="20"/>
        </w:rPr>
        <w:t>A/HRC/11/22</w:t>
      </w:r>
      <w:r w:rsidRPr="004E0A37">
        <w:rPr>
          <w:rFonts w:hint="cs"/>
          <w:spacing w:val="0"/>
          <w:sz w:val="20"/>
          <w:rtl/>
        </w:rPr>
        <w:t>، الفقرة 130</w:t>
      </w:r>
      <w:r w:rsidR="007B0865">
        <w:rPr>
          <w:rFonts w:hint="cs"/>
          <w:spacing w:val="0"/>
          <w:sz w:val="20"/>
          <w:rtl/>
        </w:rPr>
        <w:t>(</w:t>
      </w:r>
      <w:r w:rsidRPr="004E0A37">
        <w:rPr>
          <w:rFonts w:hint="cs"/>
          <w:spacing w:val="0"/>
          <w:sz w:val="20"/>
          <w:rtl/>
        </w:rPr>
        <w:t>37</w:t>
      </w:r>
      <w:r w:rsidR="007B0865">
        <w:rPr>
          <w:rFonts w:hint="cs"/>
          <w:spacing w:val="0"/>
          <w:sz w:val="20"/>
          <w:rtl/>
        </w:rPr>
        <w:t>)</w:t>
      </w:r>
      <w:r w:rsidRPr="004E0A37">
        <w:rPr>
          <w:rFonts w:hint="cs"/>
          <w:spacing w:val="0"/>
          <w:sz w:val="20"/>
          <w:rtl/>
        </w:rPr>
        <w:t>). وقد ردت الدولة الطرف كذلك بالإيجاب على طلب المقرر الخاص الجديد الذي يرغب في القيام بهذه الزيارة في مواعيد</w:t>
      </w:r>
      <w:r w:rsidR="00335AC0">
        <w:rPr>
          <w:rFonts w:hint="cs"/>
          <w:spacing w:val="0"/>
          <w:sz w:val="20"/>
          <w:rtl/>
        </w:rPr>
        <w:t xml:space="preserve"> لم </w:t>
      </w:r>
      <w:r w:rsidRPr="004E0A37">
        <w:rPr>
          <w:rFonts w:hint="cs"/>
          <w:spacing w:val="0"/>
          <w:sz w:val="20"/>
          <w:rtl/>
        </w:rPr>
        <w:t>تُحدَّد بعد (</w:t>
      </w:r>
      <w:r w:rsidRPr="004E0A37">
        <w:rPr>
          <w:spacing w:val="0"/>
          <w:sz w:val="20"/>
        </w:rPr>
        <w:t>A/HRC/19/61</w:t>
      </w:r>
      <w:r w:rsidRPr="004E0A37">
        <w:rPr>
          <w:rFonts w:hint="cs"/>
          <w:spacing w:val="0"/>
          <w:sz w:val="20"/>
          <w:rtl/>
        </w:rPr>
        <w:t>، الفقرة 6).</w:t>
      </w:r>
    </w:p>
    <w:p w:rsidR="004E0A37" w:rsidRPr="004E0A37" w:rsidRDefault="007B0865" w:rsidP="00114876">
      <w:pPr>
        <w:pStyle w:val="H23GA"/>
        <w:tabs>
          <w:tab w:val="left" w:pos="1925"/>
        </w:tabs>
        <w:rPr>
          <w:rFonts w:hint="cs"/>
          <w:rtl/>
          <w:lang w:val="fr-CH"/>
        </w:rPr>
      </w:pPr>
      <w:r>
        <w:rPr>
          <w:rtl/>
        </w:rPr>
        <w:tab/>
      </w:r>
      <w:r w:rsidR="004E0A37" w:rsidRPr="004E0A37">
        <w:rPr>
          <w:rFonts w:hint="cs"/>
          <w:rtl/>
          <w:lang w:val="fr-CH"/>
        </w:rPr>
        <w:tab/>
        <w:t>جيم-</w:t>
      </w:r>
      <w:r w:rsidR="004E0A37" w:rsidRPr="004E0A37">
        <w:rPr>
          <w:rFonts w:hint="cs"/>
          <w:rtl/>
          <w:lang w:val="fr-CH"/>
        </w:rPr>
        <w:tab/>
        <w:t xml:space="preserve">دواعي القلق </w:t>
      </w:r>
      <w:r w:rsidR="004E0A37" w:rsidRPr="004E0A37">
        <w:rPr>
          <w:rFonts w:hint="cs"/>
          <w:rtl/>
        </w:rPr>
        <w:t>الرئيسية</w:t>
      </w:r>
      <w:r w:rsidR="004E0A37" w:rsidRPr="004E0A37">
        <w:rPr>
          <w:rFonts w:hint="cs"/>
          <w:rtl/>
          <w:lang w:val="fr-CH"/>
        </w:rPr>
        <w:t xml:space="preserve"> والتوصيات</w:t>
      </w:r>
    </w:p>
    <w:p w:rsidR="004E0A37" w:rsidRPr="004E0A37" w:rsidRDefault="004E0A37" w:rsidP="00FA6C18">
      <w:pPr>
        <w:pStyle w:val="H23GA"/>
        <w:rPr>
          <w:rFonts w:hint="cs"/>
          <w:rtl/>
          <w:lang w:val="fr-CH"/>
        </w:rPr>
      </w:pPr>
      <w:r w:rsidRPr="004E0A37">
        <w:rPr>
          <w:rFonts w:hint="cs"/>
          <w:rtl/>
          <w:lang w:val="fr-CH"/>
        </w:rPr>
        <w:tab/>
      </w:r>
      <w:r w:rsidRPr="004E0A37">
        <w:rPr>
          <w:rFonts w:hint="cs"/>
          <w:rtl/>
          <w:lang w:val="fr-CH"/>
        </w:rPr>
        <w:tab/>
        <w:t>تعريف التعذيب وتجريمه</w:t>
      </w:r>
    </w:p>
    <w:p w:rsidR="004E0A37" w:rsidRPr="00FA6C18" w:rsidRDefault="004E0A37" w:rsidP="004E0A37">
      <w:pPr>
        <w:pStyle w:val="SingleTxtGA"/>
        <w:jc w:val="lowKashida"/>
        <w:rPr>
          <w:rFonts w:hint="cs"/>
          <w:spacing w:val="-2"/>
          <w:sz w:val="20"/>
          <w:rtl/>
        </w:rPr>
      </w:pPr>
      <w:r w:rsidRPr="00FA6C18">
        <w:rPr>
          <w:rFonts w:hint="cs"/>
          <w:spacing w:val="-2"/>
          <w:sz w:val="20"/>
          <w:rtl/>
        </w:rPr>
        <w:t>(7</w:t>
      </w:r>
      <w:r w:rsidR="003E72B5" w:rsidRPr="00FA6C18">
        <w:rPr>
          <w:rFonts w:hint="cs"/>
          <w:spacing w:val="-2"/>
          <w:sz w:val="20"/>
          <w:rtl/>
        </w:rPr>
        <w:t>)</w:t>
      </w:r>
      <w:r w:rsidR="003E72B5" w:rsidRPr="00FA6C18">
        <w:rPr>
          <w:rFonts w:hint="cs"/>
          <w:spacing w:val="-2"/>
          <w:sz w:val="20"/>
          <w:rtl/>
        </w:rPr>
        <w:tab/>
      </w:r>
      <w:r w:rsidRPr="00FA6C18">
        <w:rPr>
          <w:rFonts w:hint="cs"/>
          <w:spacing w:val="-2"/>
          <w:sz w:val="20"/>
          <w:rtl/>
        </w:rPr>
        <w:t>تحيط اللجنة</w:t>
      </w:r>
      <w:r w:rsidR="003833F8" w:rsidRPr="00FA6C18">
        <w:rPr>
          <w:rFonts w:hint="cs"/>
          <w:spacing w:val="-2"/>
          <w:sz w:val="20"/>
          <w:rtl/>
        </w:rPr>
        <w:t xml:space="preserve"> علماً </w:t>
      </w:r>
      <w:r w:rsidRPr="00FA6C18">
        <w:rPr>
          <w:rFonts w:hint="cs"/>
          <w:spacing w:val="-2"/>
          <w:sz w:val="20"/>
          <w:rtl/>
        </w:rPr>
        <w:t xml:space="preserve">بالمعلومات التي قدمتها الدولة الطرف بشأن دراسات أُجريت بهدف إصلاح القانون الجنائي عند الاقتضاء، لكنها تأسف لعدم تصنيف جريمة التعذيب حتى الآن جريمةً قائمةً بذاتها، حسب التعريف الوارد في المادة الأولى من الاتفاقية. أما </w:t>
      </w:r>
      <w:r w:rsidR="00F96B1E" w:rsidRPr="00FA6C18">
        <w:rPr>
          <w:rFonts w:hint="cs"/>
          <w:spacing w:val="-2"/>
          <w:sz w:val="20"/>
          <w:rtl/>
        </w:rPr>
        <w:t>فيما </w:t>
      </w:r>
      <w:r w:rsidRPr="00FA6C18">
        <w:rPr>
          <w:rFonts w:hint="cs"/>
          <w:spacing w:val="-2"/>
          <w:sz w:val="20"/>
          <w:rtl/>
        </w:rPr>
        <w:t>يتعلق باعتراض الدولة الطرف التي تشير إلى أن تشريعاتها الداخلية تتضمن جرائم جنائية أخرى تشمل أعمال التعذيب، فإن اللجنة تلفت انتباه الدولة الطرف إلى تعليقها العام رقم 2(2007) بشأن تنفيذ المادة 2، والذي تسلط فيه</w:t>
      </w:r>
      <w:r w:rsidRPr="00FA6C18">
        <w:rPr>
          <w:rFonts w:hint="eastAsia"/>
          <w:spacing w:val="-2"/>
          <w:sz w:val="20"/>
          <w:rtl/>
        </w:rPr>
        <w:t> </w:t>
      </w:r>
      <w:r w:rsidRPr="00FA6C18">
        <w:rPr>
          <w:rFonts w:hint="cs"/>
          <w:spacing w:val="-2"/>
          <w:sz w:val="20"/>
          <w:rtl/>
        </w:rPr>
        <w:t>الضوء على القيمة الوقائية لتعريف التعذيب كجريمة مستقلة (</w:t>
      </w:r>
      <w:r w:rsidRPr="00FA6C18">
        <w:rPr>
          <w:spacing w:val="-2"/>
          <w:sz w:val="20"/>
        </w:rPr>
        <w:t>CAT/C/GC/2</w:t>
      </w:r>
      <w:r w:rsidRPr="00FA6C18">
        <w:rPr>
          <w:rFonts w:hint="cs"/>
          <w:spacing w:val="-2"/>
          <w:sz w:val="20"/>
          <w:rtl/>
        </w:rPr>
        <w:t>، الفقرة</w:t>
      </w:r>
      <w:r w:rsidRPr="00FA6C18">
        <w:rPr>
          <w:rFonts w:hint="eastAsia"/>
          <w:spacing w:val="-2"/>
          <w:sz w:val="20"/>
          <w:rtl/>
        </w:rPr>
        <w:t> </w:t>
      </w:r>
      <w:r w:rsidRPr="00FA6C18">
        <w:rPr>
          <w:rFonts w:hint="cs"/>
          <w:spacing w:val="-2"/>
          <w:sz w:val="20"/>
          <w:rtl/>
        </w:rPr>
        <w:t>11) (المادتان 1 و4).</w:t>
      </w:r>
    </w:p>
    <w:p w:rsidR="004E0A37" w:rsidRPr="00FA6C18" w:rsidRDefault="004E0A37" w:rsidP="004E0A37">
      <w:pPr>
        <w:pStyle w:val="SingleTxtGA"/>
        <w:jc w:val="lowKashida"/>
        <w:rPr>
          <w:rFonts w:hint="cs"/>
          <w:b/>
          <w:bCs/>
          <w:spacing w:val="0"/>
          <w:sz w:val="20"/>
          <w:rtl/>
        </w:rPr>
      </w:pPr>
      <w:r w:rsidRPr="00FA6C18">
        <w:rPr>
          <w:rFonts w:hint="cs"/>
          <w:b/>
          <w:bCs/>
          <w:spacing w:val="0"/>
          <w:sz w:val="20"/>
          <w:rtl/>
        </w:rPr>
        <w:tab/>
        <w:t>تذكِّر اللجنة بالتوصية التي قدمتها في عام 1997 (</w:t>
      </w:r>
      <w:r w:rsidRPr="00FA6C18">
        <w:rPr>
          <w:b/>
          <w:bCs/>
          <w:spacing w:val="0"/>
          <w:sz w:val="20"/>
        </w:rPr>
        <w:t>A/53/44</w:t>
      </w:r>
      <w:r w:rsidRPr="00FA6C18">
        <w:rPr>
          <w:rFonts w:hint="cs"/>
          <w:b/>
          <w:bCs/>
          <w:spacing w:val="0"/>
          <w:sz w:val="20"/>
          <w:rtl/>
        </w:rPr>
        <w:t>، الفقرة 118(أ)) التي تحث الدولة الطرف على أن تدرج في قانونها المحلي نصاً يجرم التعذيب وأن تعتمد تعريفاً للتعذيب يشمل جميع العناصر الواردة في المادة 1 من الاتفاقية. وينبغي للدولة الطرف أيضاً أن تطبق على مرتكبي هذه الجريمة عقوبات تتناسب وطابعها الخطير، على النحو المنصوص عليه في الفقرة 2 من المادة 4 من الاتفاقية.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الضمانات القانونية الأساسية</w:t>
      </w:r>
    </w:p>
    <w:p w:rsidR="004E0A37" w:rsidRPr="00114876" w:rsidRDefault="00926D7D" w:rsidP="004E0A37">
      <w:pPr>
        <w:pStyle w:val="SingleTxtGA"/>
        <w:jc w:val="lowKashida"/>
        <w:rPr>
          <w:rFonts w:hint="cs"/>
          <w:spacing w:val="-2"/>
          <w:kern w:val="0"/>
          <w:sz w:val="20"/>
          <w:rtl/>
          <w:lang/>
        </w:rPr>
      </w:pPr>
      <w:r w:rsidRPr="00114876">
        <w:rPr>
          <w:rFonts w:hint="cs"/>
          <w:spacing w:val="-2"/>
          <w:kern w:val="0"/>
          <w:sz w:val="20"/>
          <w:rtl/>
        </w:rPr>
        <w:t>(</w:t>
      </w:r>
      <w:r w:rsidR="004E0A37" w:rsidRPr="00114876">
        <w:rPr>
          <w:rFonts w:hint="cs"/>
          <w:spacing w:val="-2"/>
          <w:kern w:val="0"/>
          <w:sz w:val="20"/>
          <w:rtl/>
        </w:rPr>
        <w:t>8</w:t>
      </w:r>
      <w:r w:rsidR="003E72B5" w:rsidRPr="00114876">
        <w:rPr>
          <w:rFonts w:hint="cs"/>
          <w:spacing w:val="-2"/>
          <w:kern w:val="0"/>
          <w:sz w:val="20"/>
          <w:rtl/>
        </w:rPr>
        <w:t>)</w:t>
      </w:r>
      <w:r w:rsidR="003E72B5" w:rsidRPr="00114876">
        <w:rPr>
          <w:rFonts w:hint="cs"/>
          <w:spacing w:val="-2"/>
          <w:kern w:val="0"/>
          <w:sz w:val="20"/>
          <w:rtl/>
        </w:rPr>
        <w:tab/>
      </w:r>
      <w:r w:rsidR="004E0A37" w:rsidRPr="00114876">
        <w:rPr>
          <w:rFonts w:hint="cs"/>
          <w:spacing w:val="-2"/>
          <w:kern w:val="0"/>
          <w:sz w:val="20"/>
          <w:rtl/>
        </w:rPr>
        <w:t>تحيط اللجنة</w:t>
      </w:r>
      <w:r w:rsidR="003833F8" w:rsidRPr="00114876">
        <w:rPr>
          <w:rFonts w:hint="cs"/>
          <w:spacing w:val="-2"/>
          <w:kern w:val="0"/>
          <w:sz w:val="20"/>
          <w:rtl/>
        </w:rPr>
        <w:t xml:space="preserve"> علماً </w:t>
      </w:r>
      <w:r w:rsidR="004E0A37" w:rsidRPr="00114876">
        <w:rPr>
          <w:rFonts w:hint="cs"/>
          <w:spacing w:val="-2"/>
          <w:kern w:val="0"/>
          <w:sz w:val="20"/>
          <w:rtl/>
        </w:rPr>
        <w:t>بالمعلومات التي قدمتها الدولة الطرف بشأن مضمون قانون الإجراءات الجنائية وأحكام تطبيقه، لكنها تلاحظ أنها</w:t>
      </w:r>
      <w:r w:rsidR="00335AC0" w:rsidRPr="00114876">
        <w:rPr>
          <w:rFonts w:hint="cs"/>
          <w:spacing w:val="-2"/>
          <w:kern w:val="0"/>
          <w:sz w:val="20"/>
          <w:rtl/>
        </w:rPr>
        <w:t xml:space="preserve"> لم </w:t>
      </w:r>
      <w:r w:rsidR="004E0A37" w:rsidRPr="00114876">
        <w:rPr>
          <w:rFonts w:hint="cs"/>
          <w:spacing w:val="-2"/>
          <w:kern w:val="0"/>
          <w:sz w:val="20"/>
          <w:rtl/>
        </w:rPr>
        <w:t>تتلق أي معلومات عن الإجراءات المعمول بها لكفالة احترام الضمانات القانونية الأساسية عملياً. وتعرب اللجنة عن قلقها إزاء ما</w:t>
      </w:r>
      <w:r w:rsidR="004E0A37" w:rsidRPr="00114876">
        <w:rPr>
          <w:rFonts w:hint="eastAsia"/>
          <w:spacing w:val="-2"/>
          <w:kern w:val="0"/>
          <w:sz w:val="20"/>
          <w:rtl/>
        </w:rPr>
        <w:t> </w:t>
      </w:r>
      <w:r w:rsidR="004E0A37" w:rsidRPr="00114876">
        <w:rPr>
          <w:rFonts w:hint="cs"/>
          <w:spacing w:val="-2"/>
          <w:kern w:val="0"/>
          <w:sz w:val="20"/>
          <w:rtl/>
        </w:rPr>
        <w:t>وردها من تقارير متطابقة مفادها أن الدولة الطرف لا توفر لجميع المحتجزين، ولا سيما المحرومين منهم من الحرية لأسباب سياسية مفترضة، كل الضمانات الأساسية منذ بداية احتجازهم، مثل إمكانية الاتصال بمحام على وجه السرعة والخضوع لفحص طبي مستقل أو</w:t>
      </w:r>
      <w:r w:rsidR="004E0A37" w:rsidRPr="00114876">
        <w:rPr>
          <w:rFonts w:hint="eastAsia"/>
          <w:spacing w:val="-2"/>
          <w:kern w:val="0"/>
          <w:sz w:val="20"/>
          <w:rtl/>
        </w:rPr>
        <w:t> </w:t>
      </w:r>
      <w:r w:rsidR="004E0A37" w:rsidRPr="00114876">
        <w:rPr>
          <w:rFonts w:hint="cs"/>
          <w:spacing w:val="-2"/>
          <w:kern w:val="0"/>
          <w:sz w:val="20"/>
          <w:rtl/>
        </w:rPr>
        <w:t>إبلاغ أحد أفراد الأسرة بالاحتجاز. وتأسف اللجنة لعدم تلقيها بيانات إحصائية بشأن الشكاوى المتعلقة بهذه المسألة وبحالات اللجوء إلى</w:t>
      </w:r>
      <w:r w:rsidR="004E0A37" w:rsidRPr="00114876">
        <w:rPr>
          <w:rFonts w:hint="cs"/>
          <w:spacing w:val="-2"/>
          <w:kern w:val="0"/>
          <w:sz w:val="20"/>
          <w:rtl/>
          <w:lang/>
        </w:rPr>
        <w:t xml:space="preserve"> الحق في المثول أمام القضاء خلال الفترة التي يغطيها التقرير. وتعرب اللجنة عن القلق مما نصت عليه المادة 245 من قانون الإجراءات الجنائية من أن طلبات الاستئناف بمقتضى الحق في المثول أمام القضاء غير مقبولة "في الحالات التي يستند فيها الحرمان من الحرية إلى حكم قضائي أو أمر بالحجز المؤقت". وتحيط اللجنة</w:t>
      </w:r>
      <w:r w:rsidR="003833F8" w:rsidRPr="00114876">
        <w:rPr>
          <w:rFonts w:hint="cs"/>
          <w:spacing w:val="-2"/>
          <w:kern w:val="0"/>
          <w:sz w:val="20"/>
          <w:rtl/>
          <w:lang/>
        </w:rPr>
        <w:t xml:space="preserve"> علماً </w:t>
      </w:r>
      <w:r w:rsidR="004E0A37" w:rsidRPr="00114876">
        <w:rPr>
          <w:rFonts w:hint="cs"/>
          <w:spacing w:val="-2"/>
          <w:kern w:val="0"/>
          <w:sz w:val="20"/>
          <w:rtl/>
          <w:lang/>
        </w:rPr>
        <w:t>بالإيضاحات التي قدمها الوفد بخصوص هذه المسألة لكنها تعتبر أن هذا الحكم يقيد بطريقة غير مبررة حق الطعن في شرعية الاحتجاز لأنه يستثني حالات الحرمان من الحرية، التي قُررت مبدئيا</w:t>
      </w:r>
      <w:r w:rsidR="00B345DB" w:rsidRPr="00114876">
        <w:rPr>
          <w:rFonts w:hint="cs"/>
          <w:spacing w:val="-2"/>
          <w:kern w:val="0"/>
          <w:sz w:val="20"/>
          <w:rtl/>
          <w:lang/>
        </w:rPr>
        <w:t xml:space="preserve"> وفقاً </w:t>
      </w:r>
      <w:r w:rsidR="004E0A37" w:rsidRPr="00114876">
        <w:rPr>
          <w:rFonts w:hint="cs"/>
          <w:spacing w:val="-2"/>
          <w:kern w:val="0"/>
          <w:sz w:val="20"/>
          <w:rtl/>
          <w:lang/>
        </w:rPr>
        <w:t xml:space="preserve">القانون المعمول به، لكنها تحولت إلى حالات غير شرعية </w:t>
      </w:r>
      <w:r w:rsidR="00F96B1E" w:rsidRPr="00114876">
        <w:rPr>
          <w:rFonts w:hint="cs"/>
          <w:spacing w:val="-2"/>
          <w:kern w:val="0"/>
          <w:sz w:val="20"/>
          <w:rtl/>
          <w:lang/>
        </w:rPr>
        <w:t>فيما </w:t>
      </w:r>
      <w:r w:rsidR="004E0A37" w:rsidRPr="00114876">
        <w:rPr>
          <w:rFonts w:hint="cs"/>
          <w:spacing w:val="-2"/>
          <w:kern w:val="0"/>
          <w:sz w:val="20"/>
          <w:rtl/>
          <w:lang/>
        </w:rPr>
        <w:t>بعد (المادتان 2 و16).</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ينبغي أن تتخذ الدولة الطرف فوراً تدابير فعالة لضمان استفادة جميع المحتجزين عملياً من كل الضمانات القانونية الأساسية، بما فيها حق الشخص المعني في الوصول إلى محام بعد توقيفه مباشرة، وفي أن يُعرض على طبيب مستقل لفحصه، وفي أن يتمكن من الاتصال بأحد أقاربه، وفي أن يحاط</w:t>
      </w:r>
      <w:r w:rsidR="003833F8" w:rsidRPr="00BA04D2">
        <w:rPr>
          <w:rFonts w:hint="cs"/>
          <w:b/>
          <w:bCs/>
          <w:spacing w:val="0"/>
          <w:sz w:val="20"/>
          <w:rtl/>
        </w:rPr>
        <w:t xml:space="preserve"> علماً </w:t>
      </w:r>
      <w:r w:rsidRPr="00BA04D2">
        <w:rPr>
          <w:rFonts w:hint="cs"/>
          <w:b/>
          <w:bCs/>
          <w:spacing w:val="0"/>
          <w:sz w:val="20"/>
          <w:rtl/>
        </w:rPr>
        <w:t xml:space="preserve">بحقوقه وبالتهم الموجهة إليه كذلك، وفي أن يمثل فوراً أمام قاضٍ. </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 xml:space="preserve">وإضافة إلى ذلك، ينبغي أن تتخذ الدولة الطرف ما يلزم من تدابير لتضمن، من الناحيتين القانونية والعملية، حق أي شخص محروم من حريته في </w:t>
      </w:r>
      <w:r w:rsidRPr="00BA04D2">
        <w:rPr>
          <w:rFonts w:hint="cs"/>
          <w:b/>
          <w:bCs/>
          <w:spacing w:val="0"/>
          <w:sz w:val="20"/>
          <w:rtl/>
          <w:lang/>
        </w:rPr>
        <w:t>الحصول على سبيل تظلم فوري للطعن في شرعية احتجازه.</w:t>
      </w:r>
    </w:p>
    <w:p w:rsidR="004E0A37" w:rsidRPr="004E0A37" w:rsidRDefault="004E0A37" w:rsidP="004E0A37">
      <w:pPr>
        <w:pStyle w:val="H23GA"/>
        <w:jc w:val="lowKashida"/>
        <w:rPr>
          <w:rFonts w:hint="cs"/>
          <w:spacing w:val="0"/>
          <w:sz w:val="20"/>
          <w:rtl/>
          <w:lang/>
        </w:rPr>
      </w:pPr>
      <w:r w:rsidRPr="004E0A37">
        <w:rPr>
          <w:rFonts w:hint="cs"/>
          <w:spacing w:val="0"/>
          <w:sz w:val="20"/>
          <w:rtl/>
          <w:lang w:val="fr-CH"/>
        </w:rPr>
        <w:tab/>
      </w:r>
      <w:r w:rsidRPr="004E0A37">
        <w:rPr>
          <w:rFonts w:hint="cs"/>
          <w:spacing w:val="0"/>
          <w:sz w:val="20"/>
          <w:rtl/>
          <w:lang w:val="fr-CH"/>
        </w:rPr>
        <w:tab/>
        <w:t xml:space="preserve">مبدأ </w:t>
      </w:r>
      <w:r w:rsidRPr="004E0A37">
        <w:rPr>
          <w:rFonts w:hint="cs"/>
          <w:spacing w:val="0"/>
          <w:sz w:val="20"/>
          <w:rtl/>
          <w:lang/>
        </w:rPr>
        <w:t>عدم الإعادة القسرية وإمكانية الإفادة من إجراءات لجوء سريعة وعادلة</w:t>
      </w:r>
    </w:p>
    <w:p w:rsidR="004E0A37" w:rsidRPr="004E0A37" w:rsidRDefault="00926D7D" w:rsidP="00BA04D2">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9</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لعدم وجود إطار قانوني مناسب لحماية اللاجئين وملتمسي اللجوء وعديمي الجنسية. وتحيط اللجنة</w:t>
      </w:r>
      <w:r w:rsidR="003833F8">
        <w:rPr>
          <w:rFonts w:hint="cs"/>
          <w:spacing w:val="0"/>
          <w:sz w:val="20"/>
          <w:rtl/>
        </w:rPr>
        <w:t xml:space="preserve"> علماً </w:t>
      </w:r>
      <w:r w:rsidR="004E0A37" w:rsidRPr="004E0A37">
        <w:rPr>
          <w:rFonts w:hint="cs"/>
          <w:spacing w:val="0"/>
          <w:sz w:val="20"/>
          <w:rtl/>
        </w:rPr>
        <w:t>بالمعلومات التي قدمتها الدولة الطرف التي أوضحت أن بوسع الأشخاص الذين حددت مفوضية الأمم المتحدة السامية لشؤون اللاجئين هويتهم كلاجئين أن يمكثوا في البلد ريثما يجدون بلداً لإعادة توطينهم، لكنها تؤكد أن هذه الحماية المؤقتة الفعلية لا تفترض اعتراف السلطات الكوبية بوضع اللاجئ. وتلاحظ أيضاً بقلق أنه رغم إتاحة خدمات الصحة والتعليم مجاناً للاجئين وملتمسي اللجوء، فإنه ليس بوسعهم الحصول على ترخيص عمل ولا تُتَاح لهم خدمات الإسكان وغيرها من الخدمات العامة. كما تلاحظ اللجنة بقلق كون إعادة التوطين في بلد ثالث هي الحل الدائم الوحيد الممكن بالنسبة للاجئي كوبا في غياب الإمكانيات لإدماجهم محلياً. ومن جهة أخرى، ينبغي أن تحرص الدولة الطرف في جميع الحالات على جعل عمليات الطرد القسري تجري في ظروف مطابقة لأحكام الاتفاقية. وتلاحظ اللجنة بقلق أنها</w:t>
      </w:r>
      <w:r w:rsidR="00335AC0">
        <w:rPr>
          <w:rFonts w:hint="cs"/>
          <w:spacing w:val="0"/>
          <w:sz w:val="20"/>
          <w:rtl/>
        </w:rPr>
        <w:t xml:space="preserve"> لم </w:t>
      </w:r>
      <w:r w:rsidR="004E0A37" w:rsidRPr="004E0A37">
        <w:rPr>
          <w:rFonts w:hint="cs"/>
          <w:spacing w:val="0"/>
          <w:sz w:val="20"/>
          <w:rtl/>
        </w:rPr>
        <w:t>تلق معلومات تذكر عن الظروف التي يجري فيها إعادة المهاجرين الهايتيين غير الشرعيين إلى وطنهم. وتأسف أيضاً لعدم تلقيها معلومات عما إذا كانت هناك أجهزة لإدارة تدفقات الهجرة كفيلة بتسهيل عملية تحديد الأشخاص المحتاجين إلى حماية دولية (المواد 2 و3 و11 و16).</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توصي اللجنة الدولة الطرف بما يلي:</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(أ)</w:t>
      </w:r>
      <w:r w:rsidRPr="00BA04D2">
        <w:rPr>
          <w:rFonts w:hint="cs"/>
          <w:b/>
          <w:bCs/>
          <w:spacing w:val="0"/>
          <w:sz w:val="20"/>
          <w:rtl/>
        </w:rPr>
        <w:tab/>
        <w:t>اتخاذ التدابير التشريعية الضرورية لضمان حماية اللاجئين وملتمسي اللجوء وعديمي الجنسية. وتشجِّع اللجنة إذَن الدولة الطرف على النظر في إمكانية التصديق على الاتفاقية الخاصة بوضع اللاجئين والبروتوكول الخاص بوضع اللاجئين واتفاقية وضع الأشخاص عديمي الجنسية واتفاقية خفض حالات انعدام الجنسية؛</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(ب)</w:t>
      </w:r>
      <w:r w:rsidRPr="00BA04D2">
        <w:rPr>
          <w:rFonts w:hint="cs"/>
          <w:b/>
          <w:bCs/>
          <w:spacing w:val="0"/>
          <w:sz w:val="20"/>
          <w:rtl/>
        </w:rPr>
        <w:tab/>
        <w:t>وضع آليات تمكن من تحديد ورعاية اللاجئين وغيرهم من الأشخاص ذوي الاحتياجات الخاصة في سياق تدفقات الهجرة، بغية تلبية احتياجاتهم في مجال الحماية؛</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(ج)</w:t>
      </w:r>
      <w:r w:rsidRPr="00BA04D2">
        <w:rPr>
          <w:rFonts w:hint="cs"/>
          <w:b/>
          <w:bCs/>
          <w:spacing w:val="0"/>
          <w:sz w:val="20"/>
          <w:rtl/>
        </w:rPr>
        <w:tab/>
        <w:t xml:space="preserve">تيسير الإدماج المحلي للاجئين الموجودين على الأراضي الكوبية، بالتعاون مع </w:t>
      </w:r>
      <w:r w:rsidRPr="00BA04D2">
        <w:rPr>
          <w:rFonts w:hint="cs"/>
          <w:b/>
          <w:bCs/>
          <w:spacing w:val="0"/>
          <w:sz w:val="20"/>
          <w:rtl/>
          <w:lang/>
        </w:rPr>
        <w:t>مفوضية الأمم المتحدة السامية لشؤون اللاجئين</w:t>
      </w:r>
      <w:r w:rsidRPr="00BA04D2">
        <w:rPr>
          <w:rFonts w:hint="cs"/>
          <w:b/>
          <w:bCs/>
          <w:spacing w:val="0"/>
          <w:sz w:val="20"/>
          <w:rtl/>
        </w:rPr>
        <w:t>؛</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(د)</w:t>
      </w:r>
      <w:r w:rsidRPr="00BA04D2">
        <w:rPr>
          <w:rFonts w:hint="cs"/>
          <w:b/>
          <w:bCs/>
          <w:spacing w:val="0"/>
          <w:sz w:val="20"/>
          <w:rtl/>
        </w:rPr>
        <w:tab/>
        <w:t>تنقيح التشريعات السارية المتعلقة بالهجرة (قانون الهجرة رقم 1312 وقانون الأجانب رقم 1313 لعام 1976).</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t>ظروف الاحتجاز</w:t>
      </w:r>
    </w:p>
    <w:p w:rsidR="004E0A37" w:rsidRPr="004E0A37" w:rsidRDefault="00926D7D" w:rsidP="00114876">
      <w:pPr>
        <w:pStyle w:val="SingleTxtGA"/>
        <w:spacing w:line="374" w:lineRule="exact"/>
        <w:jc w:val="lowKashida"/>
        <w:rPr>
          <w:rFonts w:hint="cs"/>
          <w:spacing w:val="0"/>
          <w:sz w:val="20"/>
          <w:rtl/>
        </w:rPr>
      </w:pPr>
      <w:r>
        <w:rPr>
          <w:rFonts w:hint="cs"/>
          <w:spacing w:val="0"/>
          <w:sz w:val="20"/>
          <w:rtl/>
        </w:rPr>
        <w:t>(</w:t>
      </w:r>
      <w:r w:rsidR="004E0A37" w:rsidRPr="004E0A37">
        <w:rPr>
          <w:rFonts w:hint="cs"/>
          <w:spacing w:val="0"/>
          <w:sz w:val="20"/>
          <w:rtl/>
        </w:rPr>
        <w:t>10</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أن الدولة الطرف توفر في السجون خططاً دراسية لكل مستويات التعليم وأنها اعتمدت خطة استثمارية لنظام السجون. ولكنها تأسف لعدم تلقي بيانات دقيقة بشأن معدلات النزلاء في مراكز الاحتجاز. ولا يزال يساورها بالغ القلق إزاء ما يردها من تقارير يدعي أصحابها أن نزلاء السجون يعيشون ظروفا تتسم بالاكتظاظ وسوء التغذية وقلة النظافة الصحية وسوء الصرف الصحي ونقص الرعاية الطبية. وتتحدث هذه التقارير أيضاً عن فرض قيود غير مبررَّة على الزيارات العائلية، ونقل النزلاء إلى سجون بعيدة عن محيطهم العائلي والاجتماعي، وإيداعهم في زنزانات انفرادية في ظروف مهينة، وإساءة معاملتهم جسدياً وسبهم. ولكل هذه الأسباب، تأسف اللجنة لغياب بيانات، مصنفة حسب السن وحسب الجنس، تشير إلى الشكاوى المقدَّمة من المحتجزين أو أسرهم، إلى جانب التحقيقات التي يمكن أن تكون قد أُجريت، ونتائجها (المادتان 11 و16).</w:t>
      </w:r>
    </w:p>
    <w:p w:rsidR="004E0A37" w:rsidRPr="00BA04D2" w:rsidRDefault="004E0A37" w:rsidP="00114876">
      <w:pPr>
        <w:pStyle w:val="SingleTxtGA"/>
        <w:spacing w:line="374" w:lineRule="exact"/>
        <w:jc w:val="lowKashida"/>
        <w:rPr>
          <w:rFonts w:hint="cs"/>
          <w:b/>
          <w:bCs/>
          <w:spacing w:val="0"/>
          <w:sz w:val="20"/>
          <w:rtl/>
        </w:rPr>
      </w:pPr>
      <w:r w:rsidRPr="00BA04D2">
        <w:rPr>
          <w:rFonts w:hint="cs"/>
          <w:b/>
          <w:bCs/>
          <w:spacing w:val="0"/>
          <w:sz w:val="20"/>
          <w:rtl/>
        </w:rPr>
        <w:tab/>
        <w:t>نظراً إلى الالتزامات الطوعية التي تعهدت بها الدولة الطرف في نهاية الاستعراض الدوري الشامل، في شباط/فبراير 2009 (</w:t>
      </w:r>
      <w:r w:rsidRPr="00BA04D2">
        <w:rPr>
          <w:b/>
          <w:bCs/>
          <w:spacing w:val="0"/>
          <w:sz w:val="20"/>
        </w:rPr>
        <w:t>A/HRC/11/22</w:t>
      </w:r>
      <w:r w:rsidRPr="00BA04D2">
        <w:rPr>
          <w:rFonts w:hint="cs"/>
          <w:b/>
          <w:bCs/>
          <w:spacing w:val="0"/>
          <w:sz w:val="20"/>
          <w:rtl/>
        </w:rPr>
        <w:t>، الفقرة 130</w:t>
      </w:r>
      <w:r w:rsidR="007B0865">
        <w:rPr>
          <w:rFonts w:hint="cs"/>
          <w:b/>
          <w:bCs/>
          <w:spacing w:val="0"/>
          <w:sz w:val="20"/>
          <w:rtl/>
        </w:rPr>
        <w:t>(</w:t>
      </w:r>
      <w:r w:rsidRPr="00BA04D2">
        <w:rPr>
          <w:rFonts w:hint="cs"/>
          <w:b/>
          <w:bCs/>
          <w:spacing w:val="0"/>
          <w:sz w:val="20"/>
          <w:rtl/>
        </w:rPr>
        <w:t>45</w:t>
      </w:r>
      <w:r w:rsidR="007B0865">
        <w:rPr>
          <w:rFonts w:hint="cs"/>
          <w:b/>
          <w:bCs/>
          <w:spacing w:val="0"/>
          <w:sz w:val="20"/>
          <w:rtl/>
        </w:rPr>
        <w:t>)</w:t>
      </w:r>
      <w:r w:rsidRPr="00BA04D2">
        <w:rPr>
          <w:rFonts w:hint="cs"/>
          <w:b/>
          <w:bCs/>
          <w:spacing w:val="0"/>
          <w:sz w:val="20"/>
          <w:rtl/>
        </w:rPr>
        <w:t>)، توصي اللجنة الدولة الطرف باتخاذ كل التدابير الضرورية لجعل ظروف الاحتجاز في السجون وغيرها من مراكز الاحتجاز تتماشى مع القواعد النموذجية الدنيا لمعاملة السجناء (قرارا المجلس الاقتصادي والاجتماعي</w:t>
      </w:r>
      <w:r w:rsidRPr="00BA04D2">
        <w:rPr>
          <w:b/>
          <w:bCs/>
          <w:spacing w:val="0"/>
          <w:sz w:val="20"/>
          <w:rtl/>
        </w:rPr>
        <w:t xml:space="preserve"> 663 جيم (د-24) المؤرخ 31 تموز/يول</w:t>
      </w:r>
      <w:r w:rsidRPr="00BA04D2">
        <w:rPr>
          <w:rFonts w:hint="cs"/>
          <w:b/>
          <w:bCs/>
          <w:spacing w:val="0"/>
          <w:sz w:val="20"/>
          <w:rtl/>
        </w:rPr>
        <w:t>يه</w:t>
      </w:r>
      <w:r w:rsidRPr="00BA04D2">
        <w:rPr>
          <w:b/>
          <w:bCs/>
          <w:spacing w:val="0"/>
          <w:sz w:val="20"/>
          <w:rtl/>
        </w:rPr>
        <w:t xml:space="preserve"> 1957 و2076 (د-62) المؤرخ 13 أيار/مايو 1977</w:t>
      </w:r>
      <w:r w:rsidRPr="00BA04D2">
        <w:rPr>
          <w:rFonts w:hint="cs"/>
          <w:b/>
          <w:bCs/>
          <w:spacing w:val="0"/>
          <w:sz w:val="20"/>
          <w:rtl/>
        </w:rPr>
        <w:t>) ومع قواعد الأمم المتحدة لمعاملة النساء السجينات والتدابير غير الاحتجازية للجانحات (قواعد بانكوك التي اعتمدتها الجمعية العامة في قرارها 65/229 المؤرخ 21 كانون الأول/ديسمبر 2010). وينبغي أن تقوم الدولة الطرف على وجه الخصوص بما يلي:</w:t>
      </w:r>
    </w:p>
    <w:p w:rsidR="004E0A37" w:rsidRPr="00BA04D2" w:rsidRDefault="004E0A37" w:rsidP="00114876">
      <w:pPr>
        <w:pStyle w:val="SingleTxtGA"/>
        <w:spacing w:line="374" w:lineRule="exact"/>
        <w:jc w:val="lowKashida"/>
        <w:rPr>
          <w:rFonts w:hint="cs"/>
          <w:b/>
          <w:bCs/>
          <w:spacing w:val="0"/>
          <w:sz w:val="20"/>
          <w:rtl/>
        </w:rPr>
      </w:pPr>
      <w:r w:rsidRPr="00BA04D2">
        <w:rPr>
          <w:rFonts w:hint="cs"/>
          <w:b/>
          <w:bCs/>
          <w:spacing w:val="0"/>
          <w:sz w:val="20"/>
          <w:rtl/>
        </w:rPr>
        <w:tab/>
        <w:t>(أ)</w:t>
      </w:r>
      <w:r w:rsidRPr="00BA04D2">
        <w:rPr>
          <w:rFonts w:hint="cs"/>
          <w:b/>
          <w:bCs/>
          <w:spacing w:val="0"/>
          <w:sz w:val="20"/>
          <w:rtl/>
        </w:rPr>
        <w:tab/>
        <w:t>مواصلة جهودها الرامية إلى تحسين الهياكل الأساسية وخفض معدل النزلاء في السجون، لا سيما عن طريق تنفيذ تدابير بديلة للحرمان من الحرية؛</w:t>
      </w:r>
    </w:p>
    <w:p w:rsidR="004E0A37" w:rsidRPr="00BA04D2" w:rsidRDefault="004E0A37" w:rsidP="00114876">
      <w:pPr>
        <w:pStyle w:val="SingleTxtGA"/>
        <w:spacing w:line="374" w:lineRule="exact"/>
        <w:jc w:val="lowKashida"/>
        <w:rPr>
          <w:rFonts w:hint="cs"/>
          <w:b/>
          <w:bCs/>
          <w:spacing w:val="0"/>
          <w:sz w:val="20"/>
        </w:rPr>
      </w:pPr>
      <w:r w:rsidRPr="00BA04D2">
        <w:rPr>
          <w:rFonts w:hint="cs"/>
          <w:b/>
          <w:bCs/>
          <w:spacing w:val="0"/>
          <w:sz w:val="20"/>
          <w:rtl/>
        </w:rPr>
        <w:tab/>
        <w:t>(ب)</w:t>
      </w:r>
      <w:r w:rsidRPr="00BA04D2">
        <w:rPr>
          <w:rFonts w:hint="cs"/>
          <w:b/>
          <w:bCs/>
          <w:spacing w:val="0"/>
          <w:sz w:val="20"/>
          <w:rtl/>
        </w:rPr>
        <w:tab/>
        <w:t>تحسين التغذية وزيادة الموارد المخصصة للرعاية الطبية وللظروف الصحية للمحتجزين؛</w:t>
      </w:r>
    </w:p>
    <w:p w:rsidR="004E0A37" w:rsidRPr="00BA04D2" w:rsidRDefault="004E0A37" w:rsidP="00114876">
      <w:pPr>
        <w:pStyle w:val="SingleTxtGA"/>
        <w:spacing w:line="374" w:lineRule="exact"/>
        <w:jc w:val="lowKashida"/>
        <w:rPr>
          <w:rFonts w:hint="cs"/>
          <w:b/>
          <w:bCs/>
          <w:spacing w:val="0"/>
          <w:sz w:val="20"/>
        </w:rPr>
      </w:pPr>
      <w:r w:rsidRPr="00BA04D2">
        <w:rPr>
          <w:rFonts w:hint="cs"/>
          <w:b/>
          <w:bCs/>
          <w:spacing w:val="0"/>
          <w:sz w:val="20"/>
          <w:rtl/>
        </w:rPr>
        <w:tab/>
        <w:t>(ج)</w:t>
      </w:r>
      <w:r w:rsidRPr="00BA04D2">
        <w:rPr>
          <w:rFonts w:hint="cs"/>
          <w:b/>
          <w:bCs/>
          <w:spacing w:val="0"/>
          <w:sz w:val="20"/>
          <w:rtl/>
        </w:rPr>
        <w:tab/>
        <w:t>ضمان تمتع جميع المحرومين من الحرية بالحق في الاتصال بأقاربهم وبمحام؛</w:t>
      </w:r>
    </w:p>
    <w:p w:rsidR="004E0A37" w:rsidRPr="00BA04D2" w:rsidRDefault="004E0A37" w:rsidP="00114876">
      <w:pPr>
        <w:pStyle w:val="SingleTxtGA"/>
        <w:spacing w:line="374" w:lineRule="exact"/>
        <w:jc w:val="lowKashida"/>
        <w:rPr>
          <w:rFonts w:hint="cs"/>
          <w:b/>
          <w:bCs/>
          <w:spacing w:val="0"/>
          <w:sz w:val="20"/>
        </w:rPr>
      </w:pPr>
      <w:r w:rsidRPr="00BA04D2">
        <w:rPr>
          <w:rFonts w:hint="cs"/>
          <w:b/>
          <w:bCs/>
          <w:spacing w:val="0"/>
          <w:sz w:val="20"/>
          <w:rtl/>
        </w:rPr>
        <w:tab/>
        <w:t>(د)</w:t>
      </w:r>
      <w:r w:rsidRPr="00BA04D2">
        <w:rPr>
          <w:rFonts w:hint="cs"/>
          <w:b/>
          <w:bCs/>
          <w:spacing w:val="0"/>
          <w:sz w:val="20"/>
          <w:rtl/>
        </w:rPr>
        <w:tab/>
        <w:t>التأكد من حظر اللجوء إلى أي عقوبات قاسية أو لاإنسانية أو مهينة، مثل إيداع السجين في زنزانة انفرادية في ظروف مزرية كتدابير تأديبية، حظرا</w:t>
      </w:r>
      <w:r w:rsidR="00BA04D2">
        <w:rPr>
          <w:rFonts w:hint="cs"/>
          <w:b/>
          <w:bCs/>
          <w:spacing w:val="0"/>
          <w:sz w:val="20"/>
          <w:rtl/>
        </w:rPr>
        <w:t>ً</w:t>
      </w:r>
      <w:r w:rsidRPr="00BA04D2">
        <w:rPr>
          <w:rFonts w:hint="cs"/>
          <w:b/>
          <w:bCs/>
          <w:spacing w:val="0"/>
          <w:sz w:val="20"/>
          <w:rtl/>
        </w:rPr>
        <w:t xml:space="preserve"> مطلقا</w:t>
      </w:r>
      <w:r w:rsidR="00BA04D2">
        <w:rPr>
          <w:rFonts w:hint="cs"/>
          <w:b/>
          <w:bCs/>
          <w:spacing w:val="0"/>
          <w:sz w:val="20"/>
          <w:rtl/>
        </w:rPr>
        <w:t>ً</w:t>
      </w:r>
      <w:r w:rsidRPr="00BA04D2">
        <w:rPr>
          <w:rFonts w:hint="cs"/>
          <w:b/>
          <w:bCs/>
          <w:spacing w:val="0"/>
          <w:sz w:val="20"/>
          <w:rtl/>
        </w:rPr>
        <w:t>.</w:t>
      </w:r>
    </w:p>
    <w:p w:rsidR="004E0A37" w:rsidRPr="004E0A37" w:rsidRDefault="004E0A37" w:rsidP="00114876">
      <w:pPr>
        <w:pStyle w:val="H23GA"/>
        <w:spacing w:line="374" w:lineRule="exact"/>
        <w:jc w:val="lowKashida"/>
        <w:rPr>
          <w:rFonts w:hint="cs"/>
          <w:spacing w:val="0"/>
          <w:sz w:val="20"/>
          <w:rtl/>
        </w:rPr>
      </w:pPr>
      <w:r w:rsidRPr="004E0A37">
        <w:rPr>
          <w:rFonts w:hint="cs"/>
          <w:spacing w:val="0"/>
          <w:sz w:val="20"/>
          <w:rtl/>
        </w:rPr>
        <w:tab/>
      </w:r>
      <w:r w:rsidRPr="004E0A37">
        <w:rPr>
          <w:rFonts w:hint="cs"/>
          <w:spacing w:val="0"/>
          <w:sz w:val="20"/>
          <w:rtl/>
        </w:rPr>
        <w:tab/>
        <w:t>الاحتجاز الاحتياطي لفترة طويلة، والسجن بتهمة الإخلال بأمن الدولة، ونظام الإذن بالخروج من السجن (</w:t>
      </w:r>
      <w:r w:rsidRPr="004E0A37">
        <w:rPr>
          <w:spacing w:val="0"/>
          <w:sz w:val="20"/>
          <w:lang w:val="fr-CH"/>
        </w:rPr>
        <w:t>"licencia extrapenal"</w:t>
      </w:r>
      <w:r w:rsidRPr="004E0A37">
        <w:rPr>
          <w:rFonts w:hint="cs"/>
          <w:spacing w:val="0"/>
          <w:sz w:val="20"/>
          <w:rtl/>
        </w:rPr>
        <w:t>)</w:t>
      </w:r>
    </w:p>
    <w:p w:rsidR="004E0A37" w:rsidRPr="004E0A37" w:rsidRDefault="00926D7D" w:rsidP="00114876">
      <w:pPr>
        <w:pStyle w:val="SingleTxtGA"/>
        <w:spacing w:line="374" w:lineRule="exact"/>
        <w:jc w:val="lowKashida"/>
        <w:rPr>
          <w:rFonts w:hint="cs"/>
          <w:spacing w:val="0"/>
          <w:sz w:val="20"/>
          <w:rtl/>
        </w:rPr>
      </w:pPr>
      <w:r>
        <w:rPr>
          <w:rFonts w:hint="cs"/>
          <w:spacing w:val="0"/>
          <w:sz w:val="20"/>
          <w:rtl/>
        </w:rPr>
        <w:t>(</w:t>
      </w:r>
      <w:r w:rsidR="004E0A37" w:rsidRPr="004E0A37">
        <w:rPr>
          <w:rFonts w:hint="cs"/>
          <w:spacing w:val="0"/>
          <w:sz w:val="20"/>
          <w:rtl/>
        </w:rPr>
        <w:t>11</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بالتوضيحات التي قدمها الوفد ومفادها أن نظام كوبا القانوني لا ينص على نظام الاحتجاز الانفرادي. ولكنها لا تزال قلقة إزاء تقارير المنظمات غير الحكومية التي تشير إلى حالات الاحتجاز الاحتياطي لفترات طويلة ومن الاحتجاز لفترة غير محددة، بمقتضى أحكام المادة 107 من قانون الإجراءات الجنائية، يشكو منها خاصةً على ما</w:t>
      </w:r>
      <w:r w:rsidR="00BA04D2">
        <w:rPr>
          <w:rFonts w:hint="eastAsia"/>
          <w:spacing w:val="0"/>
          <w:sz w:val="20"/>
          <w:rtl/>
        </w:rPr>
        <w:t> </w:t>
      </w:r>
      <w:r w:rsidR="004E0A37" w:rsidRPr="004E0A37">
        <w:rPr>
          <w:rFonts w:hint="cs"/>
          <w:spacing w:val="0"/>
          <w:sz w:val="20"/>
          <w:rtl/>
        </w:rPr>
        <w:t>يبدو الأشخاص المحرومون من حريتهم لأسباب سياسية. وتأسف اللجنة لعدم تلقيها أي معلومات عن عدد ووضع الأشخاص المحرومين من حريتهم بتهمة الإخلال بأمن الدولة،</w:t>
      </w:r>
      <w:r w:rsidR="00B345DB">
        <w:rPr>
          <w:rFonts w:hint="cs"/>
          <w:spacing w:val="0"/>
          <w:sz w:val="20"/>
          <w:rtl/>
        </w:rPr>
        <w:t xml:space="preserve"> وفقاً </w:t>
      </w:r>
      <w:r w:rsidR="004E0A37" w:rsidRPr="004E0A37">
        <w:rPr>
          <w:rFonts w:hint="cs"/>
          <w:spacing w:val="0"/>
          <w:sz w:val="20"/>
          <w:rtl/>
        </w:rPr>
        <w:t>للمادة 243 من قانون الإجراءات الجنائية. وأخيراً، يساور اللجنة القلق إزاء الغموض الذي يعتري الوضع القانوني للسجناء المفرج عنهم</w:t>
      </w:r>
      <w:r w:rsidR="00B345DB">
        <w:rPr>
          <w:rFonts w:hint="cs"/>
          <w:spacing w:val="0"/>
          <w:sz w:val="20"/>
          <w:rtl/>
        </w:rPr>
        <w:t xml:space="preserve"> وفقاً </w:t>
      </w:r>
      <w:r w:rsidR="004E0A37" w:rsidRPr="004E0A37">
        <w:rPr>
          <w:rFonts w:hint="cs"/>
          <w:spacing w:val="0"/>
          <w:sz w:val="20"/>
          <w:rtl/>
        </w:rPr>
        <w:t>لنظام الإذن بالخروج من السجن، وإزاء المعلومات التي تفيد بفرض قيود تعسفية على حريتهم الشخصية وعلى حريتهم في التنقل. ويساور اللجنة القلق، على الخصوص، بشأن حالة كل من خوسي دانييل فيرير وأوسكار إلياس بيسيت (المواد 2 و11 و16).</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ينبغي أن تتخذ الدولة الطرف جميع التدابير الضرورية من أجل:</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(أ)</w:t>
      </w:r>
      <w:r w:rsidRPr="00BA04D2">
        <w:rPr>
          <w:rFonts w:hint="cs"/>
          <w:b/>
          <w:bCs/>
          <w:spacing w:val="0"/>
          <w:sz w:val="20"/>
          <w:rtl/>
        </w:rPr>
        <w:tab/>
        <w:t>ضمان عدم استغراق الاحتجاز الاحتياطي، قانونياً وعملياً، فترة أطول من اللازم؛</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(ب)</w:t>
      </w:r>
      <w:r w:rsidRPr="00BA04D2">
        <w:rPr>
          <w:rFonts w:hint="cs"/>
          <w:b/>
          <w:bCs/>
          <w:spacing w:val="0"/>
          <w:sz w:val="20"/>
          <w:rtl/>
        </w:rPr>
        <w:tab/>
        <w:t>تعديل قانون الإجراءات الجنائية بما يسمح بتفادي حالات تمديد التحقيق التمهيدي في القضية إلى ما لا نهاية؛</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(ج)</w:t>
      </w:r>
      <w:r w:rsidRPr="00BA04D2">
        <w:rPr>
          <w:rFonts w:hint="cs"/>
          <w:b/>
          <w:bCs/>
          <w:spacing w:val="0"/>
          <w:sz w:val="20"/>
          <w:rtl/>
        </w:rPr>
        <w:tab/>
        <w:t>ضمان المراقبة القانونية المستقلة لتدابير الحرمان من الحرية وكفالة الحصول فوراً على المساعدة من محام؛</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(د)</w:t>
      </w:r>
      <w:r w:rsidRPr="00BA04D2">
        <w:rPr>
          <w:rFonts w:hint="cs"/>
          <w:b/>
          <w:bCs/>
          <w:spacing w:val="0"/>
          <w:sz w:val="20"/>
          <w:rtl/>
        </w:rPr>
        <w:tab/>
        <w:t>ضمان احترام الحرية الشخصية للأشخاص المفرج عنهم</w:t>
      </w:r>
      <w:r w:rsidR="00B345DB" w:rsidRPr="00BA04D2">
        <w:rPr>
          <w:rFonts w:hint="cs"/>
          <w:b/>
          <w:bCs/>
          <w:spacing w:val="0"/>
          <w:sz w:val="20"/>
          <w:rtl/>
        </w:rPr>
        <w:t xml:space="preserve"> وفقاً </w:t>
      </w:r>
      <w:r w:rsidRPr="00BA04D2">
        <w:rPr>
          <w:rFonts w:hint="cs"/>
          <w:b/>
          <w:bCs/>
          <w:spacing w:val="0"/>
          <w:sz w:val="20"/>
          <w:rtl/>
        </w:rPr>
        <w:t>لنظام الإذن بالخروج من السجن وضمان احترام حريتهم في التنقل، بما في ذلك حقهم في العودة إلى كوبا.</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t>التدابير الأمنية الوقائية</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إزاء الأحكام الواردة في الباب الحادي عشر من المجلد الأول من القانون الجنائي ("حالة الخطر والتدابير الأمنية")، ولا سيما إزاء التعريف الذي يستند إلى مفاهيم ذاتية وغير دقيقة البتة تتعلق ب‍ "حالة الخطر" الذي يقصد به "جُنوح الفرد الخاص الذي يظهر من خلال سلوكه الذي يتنافى صراحةً مع القواعد الأخلاقية الاشتراكية" (المادة</w:t>
      </w:r>
      <w:r w:rsidR="004E0A37" w:rsidRPr="004E0A37">
        <w:rPr>
          <w:rFonts w:hint="eastAsia"/>
          <w:spacing w:val="0"/>
          <w:sz w:val="20"/>
          <w:rtl/>
        </w:rPr>
        <w:t> </w:t>
      </w:r>
      <w:r w:rsidR="004E0A37" w:rsidRPr="004E0A37">
        <w:rPr>
          <w:rFonts w:hint="cs"/>
          <w:spacing w:val="0"/>
          <w:sz w:val="20"/>
          <w:rtl/>
        </w:rPr>
        <w:t>72). وتحيط اللجنة</w:t>
      </w:r>
      <w:r w:rsidR="003833F8">
        <w:rPr>
          <w:rFonts w:hint="cs"/>
          <w:spacing w:val="0"/>
          <w:sz w:val="20"/>
          <w:rtl/>
        </w:rPr>
        <w:t xml:space="preserve"> علماً </w:t>
      </w:r>
      <w:r w:rsidR="004E0A37" w:rsidRPr="004E0A37">
        <w:rPr>
          <w:rFonts w:hint="cs"/>
          <w:spacing w:val="0"/>
          <w:sz w:val="20"/>
          <w:rtl/>
        </w:rPr>
        <w:t>بردِّ الوفد الذي أوضح أن بلده لا يفرض أي عقوبات جنائية على الأشخاص الذين يُعلن أنهم في "حالة الخطر". ولكنها تلاحظ أن تدابير إعادة التأهيل أو</w:t>
      </w:r>
      <w:r w:rsidR="004E0A37" w:rsidRPr="004E0A37">
        <w:rPr>
          <w:rFonts w:hint="eastAsia"/>
          <w:spacing w:val="0"/>
          <w:sz w:val="20"/>
          <w:rtl/>
        </w:rPr>
        <w:t> </w:t>
      </w:r>
      <w:r w:rsidR="004E0A37" w:rsidRPr="004E0A37">
        <w:rPr>
          <w:rFonts w:hint="cs"/>
          <w:spacing w:val="0"/>
          <w:sz w:val="20"/>
          <w:rtl/>
        </w:rPr>
        <w:t>التدابير العلاجية أو تدابير المراقبة المنصوص عليها في المواد من 78 إلى 84 من القانون الجنائي قد تؤدي إلى الإيداع، لفترة تمتد من سنة إلى أربع سنوات، في مؤسسات متخصصة للعمل أو</w:t>
      </w:r>
      <w:r w:rsidR="004E0A37" w:rsidRPr="004E0A37">
        <w:rPr>
          <w:rFonts w:hint="eastAsia"/>
          <w:spacing w:val="0"/>
          <w:sz w:val="20"/>
          <w:rtl/>
        </w:rPr>
        <w:t> </w:t>
      </w:r>
      <w:r w:rsidR="004E0A37" w:rsidRPr="004E0A37">
        <w:rPr>
          <w:rFonts w:hint="cs"/>
          <w:spacing w:val="0"/>
          <w:sz w:val="20"/>
          <w:rtl/>
        </w:rPr>
        <w:t>الدراسة أو مؤسسات للرعاية الاجتماعية أو الطب النفسي أو مراكز لعلاج الإدمان على المخدرات. ويساور اللجنة القلق لعدم تلقيها أي معلومات عن نظام الإيداع في هذه المراكز (المواد 2 و11 و16).</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في إطار عملية إصلاح التشريع الجنائي التي أعلن عنها الوفد، توصي اللجنة الدولة الطرف بتعديل أحكام القانون الجنائي الواردة أعلاه قصد إلغاء الاحتجاز الإداري المقرر حسب مفاهيم جنائية ذاتية وغامضة وغير دقيقة من قبيل خطورة الفرد على المجتمع قبل الجريمة.</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t>مراقبة أماكن الاحتجاز وتفتيشها</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13</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أن مكتب النائب العام ووزارة الداخلية لهما صلاحية تفتيش مراكز الاحتجاز وأن بإمكان القضاة والمدعين العامين، بمقتضى القانون الساري، دخول السجون وغيرها من أماكن الحرمان من الحرية. ولكنها</w:t>
      </w:r>
      <w:r w:rsidR="00335AC0">
        <w:rPr>
          <w:rFonts w:hint="cs"/>
          <w:spacing w:val="0"/>
          <w:sz w:val="20"/>
          <w:rtl/>
        </w:rPr>
        <w:t xml:space="preserve"> لم </w:t>
      </w:r>
      <w:r w:rsidR="004E0A37" w:rsidRPr="004E0A37">
        <w:rPr>
          <w:rFonts w:hint="cs"/>
          <w:spacing w:val="0"/>
          <w:sz w:val="20"/>
          <w:rtl/>
        </w:rPr>
        <w:t>تتلق معلومات بشأن عدد وطبيعة الزيارات التي قام بها مكتب النائب العام أو غيره من الهيئات خلال الفترة التي يغطيها التقرير ولا بشأن مضمون استنتاجات المكتب وقراراته ومتابعتها. ولا يزال القلق يساور اللجنة إزاء غياب مراقبة جميع أماكن الاحتجاز وتفتيشها على نحو منتظم وفعال ومستقل، كما أنها لا تتفق مع الدولة الطرف عندما تذكر هذه الأخيرة أن "تحسين هذا النظام على الدوام لا يستلزم أنواعاً أخرى من الزيارة ولا يستدعي اتخاذ تدابير تكميلية" (المادتان 11 و12).</w:t>
      </w:r>
    </w:p>
    <w:p w:rsidR="004E0A37" w:rsidRPr="00BA04D2" w:rsidRDefault="004E0A37" w:rsidP="003549AC">
      <w:pPr>
        <w:pStyle w:val="SingleTxtGA"/>
        <w:spacing w:line="360" w:lineRule="exact"/>
        <w:jc w:val="lowKashida"/>
        <w:rPr>
          <w:rFonts w:hint="cs"/>
          <w:b/>
          <w:bCs/>
          <w:spacing w:val="0"/>
          <w:sz w:val="20"/>
          <w:rtl/>
        </w:rPr>
      </w:pPr>
      <w:r w:rsidRPr="00BA04D2">
        <w:rPr>
          <w:rFonts w:hint="cs"/>
          <w:b/>
          <w:bCs/>
          <w:spacing w:val="0"/>
          <w:sz w:val="20"/>
          <w:rtl/>
        </w:rPr>
        <w:tab/>
        <w:t>تكرر اللجنة التوصية التي قدمتها من قبل إلى الدولة الطرف (</w:t>
      </w:r>
      <w:r w:rsidRPr="00BA04D2">
        <w:rPr>
          <w:b/>
          <w:bCs/>
          <w:spacing w:val="0"/>
          <w:sz w:val="20"/>
        </w:rPr>
        <w:t>A/53/44</w:t>
      </w:r>
      <w:r w:rsidRPr="00BA04D2">
        <w:rPr>
          <w:rFonts w:hint="cs"/>
          <w:b/>
          <w:bCs/>
          <w:spacing w:val="0"/>
          <w:sz w:val="20"/>
          <w:rtl/>
        </w:rPr>
        <w:t>، الفقرة</w:t>
      </w:r>
      <w:r w:rsidR="003549AC">
        <w:rPr>
          <w:rFonts w:hint="eastAsia"/>
          <w:b/>
          <w:bCs/>
          <w:spacing w:val="0"/>
          <w:sz w:val="20"/>
          <w:rtl/>
        </w:rPr>
        <w:t> </w:t>
      </w:r>
      <w:r w:rsidRPr="00BA04D2">
        <w:rPr>
          <w:rFonts w:hint="cs"/>
          <w:b/>
          <w:bCs/>
          <w:spacing w:val="0"/>
          <w:sz w:val="20"/>
          <w:rtl/>
        </w:rPr>
        <w:t>118(د))، بوضع نظام وطني يسمح بمراقبة وتفتيش أماكن الاحتجاز كافة وبمتابعة نتائج هذه المراقبة المنتظمة.</w:t>
      </w:r>
    </w:p>
    <w:p w:rsidR="004E0A37" w:rsidRPr="00BA04D2" w:rsidRDefault="004E0A37" w:rsidP="00BA04D2">
      <w:pPr>
        <w:pStyle w:val="SingleTxtGA"/>
        <w:spacing w:line="360" w:lineRule="exact"/>
        <w:jc w:val="lowKashida"/>
        <w:rPr>
          <w:rFonts w:hint="cs"/>
          <w:b/>
          <w:bCs/>
          <w:spacing w:val="0"/>
          <w:sz w:val="20"/>
          <w:rtl/>
        </w:rPr>
      </w:pPr>
      <w:r w:rsidRPr="00BA04D2">
        <w:rPr>
          <w:rFonts w:hint="cs"/>
          <w:b/>
          <w:bCs/>
          <w:spacing w:val="0"/>
          <w:sz w:val="20"/>
          <w:rtl/>
        </w:rPr>
        <w:tab/>
        <w:t>وتدعو اللجنة الدولة الطرف إلى النظر في إمكانية التصديق على البروتوكول الاختياري الملحق بالاتفاقية بغية وضع برنامج زيارات دورية دون إشعار مسبق من جانب مراقبين وطنيين ودوليين بهدف منع التعذيب وغيره من ضروب العقوبة أو المعاملة اللاإنسانية أو المهينة.</w:t>
      </w:r>
    </w:p>
    <w:p w:rsidR="004E0A37" w:rsidRPr="00BA04D2" w:rsidRDefault="004E0A37" w:rsidP="00BA04D2">
      <w:pPr>
        <w:pStyle w:val="SingleTxtGA"/>
        <w:spacing w:line="360" w:lineRule="exact"/>
        <w:jc w:val="lowKashida"/>
        <w:rPr>
          <w:rFonts w:hint="cs"/>
          <w:b/>
          <w:bCs/>
          <w:spacing w:val="0"/>
          <w:sz w:val="20"/>
          <w:rtl/>
        </w:rPr>
      </w:pPr>
      <w:r w:rsidRPr="00BA04D2">
        <w:rPr>
          <w:rFonts w:hint="cs"/>
          <w:b/>
          <w:bCs/>
          <w:spacing w:val="0"/>
          <w:sz w:val="20"/>
          <w:rtl/>
        </w:rPr>
        <w:tab/>
        <w:t>وتوصي اللجنة الدولة الطرف مجدداً أيضاً (المرجع نفسه، (ط)) بأن تسمح للمنظمات غير الحكومية المعنية بالدفاع عن حقوق الإنسان بدخول البلد والتعاون معها لتحديد ما إذا كانت ثمة حالات تعذيب وسوء معاملة.</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t>عقوبة الإعدام</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14</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بالمعلومات التي قدمتها الدولة الطرف عن حالات الإعدام الأخيرة لثلاثة أشخاص حكم عليهم بالإعدام، التي نُفذت في 11 نيسان/أبريل 2003 عقب إجراءات موجز للغاية. ورغم م</w:t>
      </w:r>
      <w:r w:rsidR="00B6289A">
        <w:rPr>
          <w:rFonts w:hint="cs"/>
          <w:spacing w:val="0"/>
          <w:sz w:val="20"/>
          <w:rtl/>
        </w:rPr>
        <w:t>ا قدمه الوفد من أيضا</w:t>
      </w:r>
      <w:r w:rsidR="004E0A37" w:rsidRPr="004E0A37">
        <w:rPr>
          <w:rFonts w:hint="cs"/>
          <w:spacing w:val="0"/>
          <w:sz w:val="20"/>
          <w:rtl/>
        </w:rPr>
        <w:t>حات، فإن اللجنة تتمسك بتحفظاتها الشديدة إزاء احترام الضمانات القضائية في تلك الحالات الثلاث، كالحق في الحصول على الوقت الكافي والمرافق الضرورية لتحضير الدفاع والحق في الاتصال بمحام من اختيار الشخص. وبينما تلاحظ اللجنة أنه لا يوجد</w:t>
      </w:r>
      <w:r w:rsidR="003549AC">
        <w:rPr>
          <w:rFonts w:hint="cs"/>
          <w:spacing w:val="0"/>
          <w:sz w:val="20"/>
          <w:rtl/>
        </w:rPr>
        <w:t xml:space="preserve"> حالياً </w:t>
      </w:r>
      <w:r w:rsidR="004E0A37" w:rsidRPr="004E0A37">
        <w:rPr>
          <w:rFonts w:hint="cs"/>
          <w:spacing w:val="0"/>
          <w:sz w:val="20"/>
          <w:rtl/>
        </w:rPr>
        <w:t>في الدولة الطرف محكومين عليهم بالإعدام ينتظرون تنفيذ عقوبة الإعدام فيهم، وأن جميع حالات الحكم بالإعدام قد حُوّلت إلى عقوبات بالسجن لمدة ثلاثين سنة أو بالسجن المؤبد، فإنها لا تزال قلقة إزاء العدد المرتفع للجرائم التي يعاقَبُ على ارتكابها بالإعدام، ومن بينها بعض جرائم القانون العام وفئات من المخالفات المعرّفة تعريفا غامضاً جداً تتعلق بأمن الدولة (المواد 2 و11 و16).</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تدعو اللجنة الدولة الطرف بإلحاح إلى احترام المعايير الدولية المكرَّسة في الضمانات التي تكفل حماية حقوق الذين يواجهون عقوبة الإعدام (اعتمدها المجلس الاقتصادي والاجتماعي في قراره 1984/50، المؤرخ 25 أيار/مايو 1984). وترجو اللجنة من الدولة الطرف أن تنظر في إمكانية إلغاء عقوبة الإعدام والتصديق على العهد الدولي الخاص بالحقوق المدنية والسياسية والبروتوكول الاختياري الثاني الملحق به الهادف إلى إلغاء عقوبة الإعدام.</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t>حالات الوفاة أثناء الاحتجاز</w:t>
      </w:r>
    </w:p>
    <w:p w:rsidR="004E0A37" w:rsidRPr="00BA04D2" w:rsidRDefault="00E16FB7" w:rsidP="009F0969">
      <w:pPr>
        <w:pStyle w:val="SingleTxtGA"/>
        <w:jc w:val="lowKashida"/>
        <w:rPr>
          <w:rFonts w:hint="cs"/>
          <w:spacing w:val="-2"/>
          <w:sz w:val="20"/>
          <w:rtl/>
        </w:rPr>
      </w:pPr>
      <w:r w:rsidRPr="00BA04D2">
        <w:rPr>
          <w:rFonts w:hint="cs"/>
          <w:spacing w:val="-2"/>
          <w:sz w:val="20"/>
          <w:rtl/>
        </w:rPr>
        <w:t>(</w:t>
      </w:r>
      <w:r w:rsidR="004E0A37" w:rsidRPr="00BA04D2">
        <w:rPr>
          <w:rFonts w:hint="cs"/>
          <w:spacing w:val="-2"/>
          <w:sz w:val="20"/>
          <w:rtl/>
        </w:rPr>
        <w:t>15</w:t>
      </w:r>
      <w:r w:rsidR="003E72B5" w:rsidRPr="00BA04D2">
        <w:rPr>
          <w:rFonts w:hint="cs"/>
          <w:spacing w:val="-2"/>
          <w:sz w:val="20"/>
          <w:rtl/>
        </w:rPr>
        <w:t>)</w:t>
      </w:r>
      <w:r w:rsidR="003E72B5" w:rsidRPr="00BA04D2">
        <w:rPr>
          <w:rFonts w:hint="cs"/>
          <w:spacing w:val="-2"/>
          <w:sz w:val="20"/>
          <w:rtl/>
        </w:rPr>
        <w:tab/>
      </w:r>
      <w:r w:rsidR="004E0A37" w:rsidRPr="00BA04D2">
        <w:rPr>
          <w:rFonts w:hint="cs"/>
          <w:spacing w:val="-2"/>
          <w:sz w:val="20"/>
          <w:rtl/>
        </w:rPr>
        <w:t>استناداً إلى المعلومات التي قدمتها الدولة الطرف،</w:t>
      </w:r>
      <w:r w:rsidR="00335AC0" w:rsidRPr="00BA04D2">
        <w:rPr>
          <w:rFonts w:hint="cs"/>
          <w:spacing w:val="-2"/>
          <w:sz w:val="20"/>
          <w:rtl/>
        </w:rPr>
        <w:t xml:space="preserve"> لم </w:t>
      </w:r>
      <w:r w:rsidR="004E0A37" w:rsidRPr="00BA04D2">
        <w:rPr>
          <w:rFonts w:hint="cs"/>
          <w:spacing w:val="-2"/>
          <w:sz w:val="20"/>
          <w:rtl/>
        </w:rPr>
        <w:t>تثبت مسؤولية قوات الأمن في أي</w:t>
      </w:r>
      <w:r w:rsidR="00BA04D2">
        <w:rPr>
          <w:rFonts w:hint="eastAsia"/>
          <w:spacing w:val="-2"/>
          <w:sz w:val="20"/>
          <w:rtl/>
        </w:rPr>
        <w:t> </w:t>
      </w:r>
      <w:r w:rsidR="004E0A37" w:rsidRPr="00BA04D2">
        <w:rPr>
          <w:rFonts w:hint="cs"/>
          <w:spacing w:val="-2"/>
          <w:sz w:val="20"/>
          <w:rtl/>
        </w:rPr>
        <w:t>حالة من حالات الوفاة أثناء الاحتجاز المسجلة خلال الفترة التي يغطيها التقرير، ولم</w:t>
      </w:r>
      <w:r w:rsidR="00BA04D2">
        <w:rPr>
          <w:rFonts w:hint="eastAsia"/>
          <w:spacing w:val="-2"/>
          <w:sz w:val="20"/>
          <w:rtl/>
        </w:rPr>
        <w:t> </w:t>
      </w:r>
      <w:r w:rsidR="004E0A37" w:rsidRPr="00BA04D2">
        <w:rPr>
          <w:rFonts w:hint="cs"/>
          <w:spacing w:val="-2"/>
          <w:sz w:val="20"/>
          <w:rtl/>
        </w:rPr>
        <w:t>تكشف عمليات التشريح في أي من هذه الحالات عن علامات تشير إلى تعرض الشخص للعنف الجسدي. ولكن اللجنة تأسف لعدم تقديم الدولة الطرف أي معلومات إحصائية عن</w:t>
      </w:r>
      <w:r w:rsidR="00BA04D2">
        <w:rPr>
          <w:rFonts w:hint="eastAsia"/>
          <w:spacing w:val="-2"/>
          <w:sz w:val="20"/>
          <w:rtl/>
        </w:rPr>
        <w:t> </w:t>
      </w:r>
      <w:r w:rsidR="004E0A37" w:rsidRPr="00BA04D2">
        <w:rPr>
          <w:rFonts w:hint="cs"/>
          <w:spacing w:val="-2"/>
          <w:sz w:val="20"/>
          <w:rtl/>
        </w:rPr>
        <w:t>أسباب حالات الوفاة أثناء الاحتجاز ولا عن معدل الوفيات في أماكن الاحتجاز. وحسب</w:t>
      </w:r>
      <w:r w:rsidR="00BA04D2">
        <w:rPr>
          <w:rFonts w:hint="eastAsia"/>
          <w:spacing w:val="-2"/>
          <w:sz w:val="20"/>
          <w:rtl/>
        </w:rPr>
        <w:t> </w:t>
      </w:r>
      <w:r w:rsidR="004E0A37" w:rsidRPr="00BA04D2">
        <w:rPr>
          <w:rFonts w:hint="cs"/>
          <w:spacing w:val="-2"/>
          <w:sz w:val="20"/>
          <w:rtl/>
        </w:rPr>
        <w:t>المعلومات الضئيلة المقدمة، سُجل ما مجموعه مائتان وحالتا وفاة في نظام السجون بين عامي 2010 و2011، وهو عدد تعتبرهُ اللجنة مرتفعاً. ومن جهة أخرى، تأسف اللجنة لتقديم المعلومات المتعلقة بوفاة السجين أورلاندو ساباتا تامايو، الذي كان مضرباً عن الطعام، بعد فوات الأوان، مما تعذَّر إجراء حوار بشأنها. وتأسف اللجنة أيضاً لعدم تقديم معلومات عن وفاة خوان ولفريدو سوتو غارسيا أثناء احتجازه الاحتياطي، على النحو المطلوب في قائمة المسائل التي ينبغي معالجتها (المواد</w:t>
      </w:r>
      <w:r w:rsidR="004E0A37" w:rsidRPr="00BA04D2">
        <w:rPr>
          <w:rFonts w:hint="eastAsia"/>
          <w:spacing w:val="-2"/>
          <w:sz w:val="20"/>
          <w:rtl/>
        </w:rPr>
        <w:t> </w:t>
      </w:r>
      <w:r w:rsidR="004E0A37" w:rsidRPr="00BA04D2">
        <w:rPr>
          <w:rFonts w:hint="cs"/>
          <w:spacing w:val="-2"/>
          <w:sz w:val="20"/>
          <w:rtl/>
        </w:rPr>
        <w:t>2 و11 و16).</w:t>
      </w:r>
    </w:p>
    <w:p w:rsidR="004E0A37" w:rsidRPr="00BA04D2" w:rsidRDefault="004E0A37" w:rsidP="009F0969">
      <w:pPr>
        <w:pStyle w:val="SingleTxtGA"/>
        <w:jc w:val="lowKashida"/>
        <w:rPr>
          <w:rFonts w:hint="cs"/>
          <w:b/>
          <w:bCs/>
          <w:spacing w:val="0"/>
          <w:sz w:val="20"/>
          <w:rtl/>
        </w:rPr>
      </w:pPr>
      <w:r w:rsidRPr="00BA04D2">
        <w:rPr>
          <w:rFonts w:hint="cs"/>
          <w:b/>
          <w:bCs/>
          <w:spacing w:val="0"/>
          <w:sz w:val="20"/>
          <w:rtl/>
        </w:rPr>
        <w:tab/>
        <w:t>ينبغي أن تحرص الدولة الطرف على إجراء تحقيق معمق ومحايد وشامل وفور في جميع حالات وفيات المحتجزين، وأن يتضمن هذا التحقيق تقييماً لخدمات الرعاية الصحية المقدمة إلى السجناء وبحثاً عن مسؤولية موظفي السجن المحتملة وضمان تقديم التعويض المناسب لأسر الضحايا حيثما اقتضى الأمر ذلك.</w:t>
      </w:r>
    </w:p>
    <w:p w:rsidR="004E0A37" w:rsidRPr="00BA04D2" w:rsidRDefault="004E0A37" w:rsidP="009F0969">
      <w:pPr>
        <w:pStyle w:val="SingleTxtGA"/>
        <w:jc w:val="lowKashida"/>
        <w:rPr>
          <w:rFonts w:hint="cs"/>
          <w:b/>
          <w:bCs/>
          <w:spacing w:val="0"/>
          <w:sz w:val="20"/>
          <w:rtl/>
        </w:rPr>
      </w:pPr>
      <w:r w:rsidRPr="00BA04D2">
        <w:rPr>
          <w:rFonts w:hint="cs"/>
          <w:b/>
          <w:bCs/>
          <w:spacing w:val="0"/>
          <w:sz w:val="20"/>
          <w:rtl/>
        </w:rPr>
        <w:tab/>
        <w:t>وينبغي للدولة الطرف أن تضمن متابعة السجناء المضربين عن الطعام واستفادتهم من الرعاية الطبية الملائمة.</w:t>
      </w:r>
    </w:p>
    <w:p w:rsidR="004E0A37" w:rsidRPr="004E0A37" w:rsidRDefault="004E0A37" w:rsidP="009F0969">
      <w:pPr>
        <w:pStyle w:val="H23GA"/>
        <w:jc w:val="lowKashida"/>
        <w:rPr>
          <w:rFonts w:hint="cs"/>
          <w:spacing w:val="0"/>
          <w:sz w:val="20"/>
          <w:rtl/>
        </w:rPr>
      </w:pPr>
      <w:r w:rsidRPr="004E0A37">
        <w:rPr>
          <w:rFonts w:hint="cs"/>
          <w:spacing w:val="0"/>
          <w:sz w:val="20"/>
          <w:rtl/>
        </w:rPr>
        <w:tab/>
      </w:r>
      <w:r w:rsidRPr="004E0A37">
        <w:rPr>
          <w:rFonts w:hint="cs"/>
          <w:spacing w:val="0"/>
          <w:sz w:val="20"/>
          <w:rtl/>
        </w:rPr>
        <w:tab/>
        <w:t>آلية النظر في الشكاوى</w:t>
      </w:r>
    </w:p>
    <w:p w:rsidR="004E0A37" w:rsidRPr="004E0A37" w:rsidRDefault="00E16FB7" w:rsidP="009F0969">
      <w:pPr>
        <w:pStyle w:val="SingleTxtGA"/>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4E0A37" w:rsidRPr="004E0A37">
        <w:rPr>
          <w:rFonts w:hint="cs"/>
          <w:spacing w:val="0"/>
          <w:sz w:val="20"/>
          <w:rtl/>
        </w:rPr>
        <w:t>رغم المعلومات المقدمة من الدولة الطرف عن مختلف الهيئات وشتى الآليات المعنية بالنظر في الشكاوى والطلبات التي يقدمها المواطنون، فإن اللجنة تأسف لعدم وجود آلية محددة ومستقلة وفعالة لتلقي الشكاوى ومباشرة تحقيق سريع ومحايد في الشكاوى المتعلقة بالتعذيب وسوء المعاملة والحرص على معاقبة المعتدين كما يجب. وتلاحظ اللجنة أيضاً عدم وجود بيانات إحصائية بشأن عدد الشكاوى وملفات التحقيق والملاحقات والعقوبات المفروضة على مرتكبي أعمال التعذيب وسوء المعاملة، سواء على المستوى الجنائي أو التأديبي (المواد 2 و12 و13 و16).</w:t>
      </w:r>
    </w:p>
    <w:p w:rsidR="004E0A37" w:rsidRPr="00BA04D2" w:rsidRDefault="004E0A37" w:rsidP="009F0969">
      <w:pPr>
        <w:pStyle w:val="SingleTxtGA"/>
        <w:jc w:val="lowKashida"/>
        <w:rPr>
          <w:rFonts w:hint="cs"/>
          <w:b/>
          <w:bCs/>
          <w:spacing w:val="0"/>
          <w:sz w:val="20"/>
          <w:rtl/>
        </w:rPr>
      </w:pPr>
      <w:r w:rsidRPr="00BA04D2">
        <w:rPr>
          <w:rFonts w:hint="cs"/>
          <w:b/>
          <w:bCs/>
          <w:spacing w:val="0"/>
          <w:sz w:val="20"/>
          <w:rtl/>
        </w:rPr>
        <w:tab/>
        <w:t>تعيد اللجنة تأكيد توصياتها السابقة (</w:t>
      </w:r>
      <w:r w:rsidRPr="00BA04D2">
        <w:rPr>
          <w:b/>
          <w:bCs/>
          <w:spacing w:val="0"/>
          <w:sz w:val="20"/>
        </w:rPr>
        <w:t>A/53/44</w:t>
      </w:r>
      <w:r w:rsidRPr="00BA04D2">
        <w:rPr>
          <w:rFonts w:hint="cs"/>
          <w:b/>
          <w:bCs/>
          <w:spacing w:val="0"/>
          <w:sz w:val="20"/>
          <w:rtl/>
        </w:rPr>
        <w:t>، الفقرة 118(ب) و(ز)) التي حثت فيها الدولة الطرف على ما يلي:</w:t>
      </w:r>
    </w:p>
    <w:p w:rsidR="004E0A37" w:rsidRPr="00BA04D2" w:rsidRDefault="004E0A37" w:rsidP="009F0969">
      <w:pPr>
        <w:pStyle w:val="SingleTxtGA"/>
        <w:jc w:val="lowKashida"/>
        <w:rPr>
          <w:rFonts w:hint="cs"/>
          <w:b/>
          <w:bCs/>
          <w:spacing w:val="0"/>
          <w:sz w:val="20"/>
          <w:rtl/>
        </w:rPr>
      </w:pPr>
      <w:r w:rsidRPr="00BA04D2">
        <w:rPr>
          <w:rFonts w:hint="cs"/>
          <w:b/>
          <w:bCs/>
          <w:spacing w:val="0"/>
          <w:sz w:val="20"/>
          <w:rtl/>
        </w:rPr>
        <w:tab/>
        <w:t>(أ)</w:t>
      </w:r>
      <w:r w:rsidRPr="00BA04D2">
        <w:rPr>
          <w:rFonts w:hint="cs"/>
          <w:b/>
          <w:bCs/>
          <w:spacing w:val="0"/>
          <w:sz w:val="20"/>
          <w:rtl/>
        </w:rPr>
        <w:tab/>
        <w:t>وضع آلية محددة ومستقلة تسمح بتلقي الشكاوى المتعلقة بالتعذيب وسوء المعاملة قصد النظر في هذه الشكاوى على وجه السرعة وبطريقة محايدة؛</w:t>
      </w:r>
    </w:p>
    <w:p w:rsidR="004E0A37" w:rsidRPr="00BA04D2" w:rsidRDefault="004E0A37" w:rsidP="009F0969">
      <w:pPr>
        <w:pStyle w:val="SingleTxtGA"/>
        <w:jc w:val="lowKashida"/>
        <w:rPr>
          <w:rFonts w:hint="cs"/>
          <w:b/>
          <w:bCs/>
          <w:spacing w:val="0"/>
          <w:sz w:val="20"/>
        </w:rPr>
      </w:pPr>
      <w:r w:rsidRPr="00BA04D2">
        <w:rPr>
          <w:rFonts w:hint="cs"/>
          <w:b/>
          <w:bCs/>
          <w:spacing w:val="0"/>
          <w:sz w:val="20"/>
          <w:rtl/>
        </w:rPr>
        <w:tab/>
        <w:t>(ب)</w:t>
      </w:r>
      <w:r w:rsidRPr="00BA04D2">
        <w:rPr>
          <w:rFonts w:hint="cs"/>
          <w:b/>
          <w:bCs/>
          <w:spacing w:val="0"/>
          <w:sz w:val="20"/>
          <w:rtl/>
        </w:rPr>
        <w:tab/>
        <w:t xml:space="preserve">وضع سجل مركزي يتضمن بيانات بشأن الشكاوى وملفات التحقيق والملاحقات والإدانات المتعلقة بحالات التعذيب وسوء المعاملة. وينبغي أن يكون هذا السجل متاحاً لعامة الناس. </w:t>
      </w:r>
    </w:p>
    <w:p w:rsidR="004E0A37" w:rsidRPr="00BA04D2" w:rsidRDefault="004E0A37" w:rsidP="009F0969">
      <w:pPr>
        <w:pStyle w:val="SingleTxtGA"/>
        <w:jc w:val="lowKashida"/>
        <w:rPr>
          <w:rFonts w:hint="cs"/>
          <w:b/>
          <w:bCs/>
          <w:spacing w:val="0"/>
          <w:sz w:val="20"/>
          <w:rtl/>
        </w:rPr>
      </w:pPr>
      <w:r w:rsidRPr="00BA04D2">
        <w:rPr>
          <w:rFonts w:hint="cs"/>
          <w:b/>
          <w:bCs/>
          <w:spacing w:val="0"/>
          <w:sz w:val="20"/>
          <w:rtl/>
        </w:rPr>
        <w:tab/>
        <w:t>وينبغي للدولة الطرف أن تضمن حصول أصحاب الشكاوى وشهود أعمال التعذيب وسوء المعاملة على ما يلزم من الحماية والمساعدة.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التحقيقات والإجراءات القضائية</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استناداً إلى البيانات المقدمة من الدولة الطرف، نظر مكتب النائب العام للجمهورية في 263 شكوى تتعلق بسوء المعاملة في السجون ومراكز الاحتجاز في الفترة من عام</w:t>
      </w:r>
      <w:r w:rsidR="004E0A37" w:rsidRPr="004E0A37">
        <w:rPr>
          <w:rFonts w:hint="eastAsia"/>
          <w:spacing w:val="0"/>
          <w:sz w:val="20"/>
          <w:rtl/>
        </w:rPr>
        <w:t> </w:t>
      </w:r>
      <w:r w:rsidR="004E0A37" w:rsidRPr="004E0A37">
        <w:rPr>
          <w:rFonts w:hint="cs"/>
          <w:spacing w:val="0"/>
          <w:sz w:val="20"/>
          <w:rtl/>
        </w:rPr>
        <w:t>2007 إلى عام 2011، وبعد التحقيقات في تلك الشكاوى، ثبتت المسؤولية الجنائية على‍ 46 فرداً من أفراد قوات الأمن. وتأسف اللجنة لعدم تقديم الوفد، أثناء التحاور معه، معلومات إضافية أكثر تفصيلاً عن التحقيقات والملاحقات والإجراءات التأديبية والتعويضات التي تمخضت عنها الشكاوى. ولم تتلق اللجنة أيضاً معلومات عن الإدانات والعقوبات الجنائية أو التأديبية المفروضة على مرتكبي الجرائم؛ ولم تبلغ عما إذا كان الأشخاص المشتبه في ارتكابهم الأفعال المذكورة قد نُقلوا من الوظيفة العامة أو فُصلوا عنها في انتظار إعلان نتيجة التحقيق في الشكاوى. وفي غياب هذه المعلومات، يتعذر مرة أخرى على اللجنة تقييم سلوك الدولة الطرف في ضوء الأحكام التي تنص عليها المادة 12 من الاتفاقية (المواد 2 و12 و13 و14 و16).</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تحث اللجنة الدولة الطرف على ما يلي:</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(أ)</w:t>
      </w:r>
      <w:r w:rsidRPr="00BA04D2">
        <w:rPr>
          <w:rFonts w:hint="cs"/>
          <w:b/>
          <w:bCs/>
          <w:spacing w:val="0"/>
          <w:sz w:val="20"/>
          <w:rtl/>
        </w:rPr>
        <w:tab/>
        <w:t xml:space="preserve">ضمان </w:t>
      </w:r>
      <w:r w:rsidRPr="00BA04D2">
        <w:rPr>
          <w:b/>
          <w:bCs/>
          <w:spacing w:val="0"/>
          <w:sz w:val="20"/>
          <w:rtl/>
        </w:rPr>
        <w:t xml:space="preserve">إجراء تحقيقات فورية ونزيهة في جميع الشكاوى المتعلقة </w:t>
      </w:r>
      <w:r w:rsidRPr="00BA04D2">
        <w:rPr>
          <w:rFonts w:hint="cs"/>
          <w:b/>
          <w:bCs/>
          <w:spacing w:val="0"/>
          <w:sz w:val="20"/>
          <w:rtl/>
        </w:rPr>
        <w:t xml:space="preserve">بأعمال </w:t>
      </w:r>
      <w:r w:rsidRPr="00BA04D2">
        <w:rPr>
          <w:b/>
          <w:bCs/>
          <w:spacing w:val="0"/>
          <w:sz w:val="20"/>
          <w:rtl/>
        </w:rPr>
        <w:t>التعذيب أو سوء المعاملة</w:t>
      </w:r>
      <w:r w:rsidRPr="00BA04D2">
        <w:rPr>
          <w:rFonts w:hint="cs"/>
          <w:b/>
          <w:bCs/>
          <w:spacing w:val="0"/>
          <w:sz w:val="20"/>
          <w:rtl/>
        </w:rPr>
        <w:t>. وينبغي تسند المسؤولية عن إجراء تلك التحقيقات إلى هيئة مستقلة لا تخضع للسلطة التنفيذية؛</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(ب)</w:t>
      </w:r>
      <w:r w:rsidRPr="00BA04D2">
        <w:rPr>
          <w:rFonts w:hint="cs"/>
          <w:b/>
          <w:bCs/>
          <w:spacing w:val="0"/>
          <w:sz w:val="20"/>
          <w:rtl/>
        </w:rPr>
        <w:tab/>
        <w:t xml:space="preserve">الشروع </w:t>
      </w:r>
      <w:r w:rsidRPr="00BA04D2">
        <w:rPr>
          <w:b/>
          <w:bCs/>
          <w:spacing w:val="0"/>
          <w:sz w:val="20"/>
          <w:rtl/>
        </w:rPr>
        <w:t xml:space="preserve">تلقائياً في إجراء تحقيق فوري ونزيه </w:t>
      </w:r>
      <w:r w:rsidRPr="00BA04D2">
        <w:rPr>
          <w:rFonts w:hint="cs"/>
          <w:b/>
          <w:bCs/>
          <w:spacing w:val="0"/>
          <w:sz w:val="20"/>
          <w:rtl/>
        </w:rPr>
        <w:t>متى</w:t>
      </w:r>
      <w:r w:rsidRPr="00BA04D2">
        <w:rPr>
          <w:b/>
          <w:bCs/>
          <w:spacing w:val="0"/>
          <w:sz w:val="20"/>
          <w:rtl/>
        </w:rPr>
        <w:t xml:space="preserve"> </w:t>
      </w:r>
      <w:r w:rsidRPr="00BA04D2">
        <w:rPr>
          <w:rFonts w:hint="cs"/>
          <w:b/>
          <w:bCs/>
          <w:spacing w:val="0"/>
          <w:sz w:val="20"/>
          <w:rtl/>
        </w:rPr>
        <w:t>توفرت</w:t>
      </w:r>
      <w:r w:rsidRPr="00BA04D2">
        <w:rPr>
          <w:b/>
          <w:bCs/>
          <w:spacing w:val="0"/>
          <w:sz w:val="20"/>
          <w:rtl/>
        </w:rPr>
        <w:t xml:space="preserve"> أسباب معقولة تدعو إلى الاعتقاد بأن </w:t>
      </w:r>
      <w:r w:rsidRPr="00BA04D2">
        <w:rPr>
          <w:rFonts w:hint="cs"/>
          <w:b/>
          <w:bCs/>
          <w:spacing w:val="0"/>
          <w:sz w:val="20"/>
          <w:rtl/>
        </w:rPr>
        <w:t>عم</w:t>
      </w:r>
      <w:r w:rsidRPr="00BA04D2">
        <w:rPr>
          <w:b/>
          <w:bCs/>
          <w:spacing w:val="0"/>
          <w:sz w:val="20"/>
          <w:rtl/>
        </w:rPr>
        <w:t>لاً من أ</w:t>
      </w:r>
      <w:r w:rsidRPr="00BA04D2">
        <w:rPr>
          <w:rFonts w:hint="cs"/>
          <w:b/>
          <w:bCs/>
          <w:spacing w:val="0"/>
          <w:sz w:val="20"/>
          <w:rtl/>
        </w:rPr>
        <w:t>عم</w:t>
      </w:r>
      <w:r w:rsidRPr="00BA04D2">
        <w:rPr>
          <w:b/>
          <w:bCs/>
          <w:spacing w:val="0"/>
          <w:sz w:val="20"/>
          <w:rtl/>
        </w:rPr>
        <w:t>ال التعذيب قد ارتُكب؛</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(ج)</w:t>
      </w:r>
      <w:r w:rsidRPr="00BA04D2">
        <w:rPr>
          <w:rFonts w:hint="cs"/>
          <w:b/>
          <w:bCs/>
          <w:spacing w:val="0"/>
          <w:sz w:val="20"/>
          <w:rtl/>
        </w:rPr>
        <w:tab/>
        <w:t>التأكد، في حالة ادعاء وقوع تعذيب أو سوء معاملة، من إيقاف المشتبه فيهم فوراً عن أداء مهامهم خلال مدة التحقيق، لا سيما إذا كان استبقاؤهم قد يتسبب في تكرار الفعل المزعوم أو في عرقلة التحقيق؛</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(د)</w:t>
      </w:r>
      <w:r w:rsidRPr="00BA04D2">
        <w:rPr>
          <w:rFonts w:hint="cs"/>
          <w:b/>
          <w:bCs/>
          <w:spacing w:val="0"/>
          <w:sz w:val="20"/>
          <w:rtl/>
        </w:rPr>
        <w:tab/>
        <w:t xml:space="preserve">مقاضاة المتهمين بارتكاب أعمال التعذيب أو </w:t>
      </w:r>
      <w:r w:rsidRPr="00BA04D2">
        <w:rPr>
          <w:b/>
          <w:bCs/>
          <w:spacing w:val="0"/>
          <w:sz w:val="20"/>
          <w:rtl/>
        </w:rPr>
        <w:t>سوء المعاملة</w:t>
      </w:r>
      <w:r w:rsidRPr="00BA04D2">
        <w:rPr>
          <w:rFonts w:hint="cs"/>
          <w:b/>
          <w:bCs/>
          <w:spacing w:val="0"/>
          <w:sz w:val="20"/>
          <w:rtl/>
        </w:rPr>
        <w:t xml:space="preserve"> والحكم عليهم بعقوبات تتناسب مع جسامة أعمالهم في حال ثبوت التهمة عليهم، وكفالة تقديم تعويض إلى الضحايا.</w:t>
      </w:r>
    </w:p>
    <w:p w:rsidR="004E0A37" w:rsidRPr="004E0A37" w:rsidRDefault="004E0A37" w:rsidP="00114876">
      <w:pPr>
        <w:pStyle w:val="H23GA"/>
        <w:keepNex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استقلال القضاء ودور المحامين</w:t>
      </w:r>
    </w:p>
    <w:p w:rsidR="004E0A37" w:rsidRPr="004E0A37" w:rsidRDefault="00E16FB7" w:rsidP="009F0969">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18</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بقلق عدم حدوث تغير كبير في النظام القضائي للدولة الطرف منذ تقديم تقريرها الأولي في عام 1997. ويساورها القلق خاصة إزاء عدم استقلال هيئتي القضاء والمحامين عن السلطتين التنفيذية والتشريعية (المادة 2، الفقرة 1).</w:t>
      </w:r>
    </w:p>
    <w:p w:rsidR="004E0A37" w:rsidRPr="00BA04D2" w:rsidRDefault="004E0A37" w:rsidP="009F0969">
      <w:pPr>
        <w:pStyle w:val="SingleTxtGA"/>
        <w:spacing w:line="360" w:lineRule="exact"/>
        <w:jc w:val="lowKashida"/>
        <w:rPr>
          <w:rFonts w:hint="cs"/>
          <w:b/>
          <w:bCs/>
          <w:spacing w:val="0"/>
          <w:sz w:val="20"/>
          <w:rtl/>
        </w:rPr>
      </w:pPr>
      <w:r w:rsidRPr="00BA04D2">
        <w:rPr>
          <w:rFonts w:hint="cs"/>
          <w:b/>
          <w:bCs/>
          <w:spacing w:val="0"/>
          <w:sz w:val="20"/>
          <w:rtl/>
        </w:rPr>
        <w:tab/>
        <w:t>ترى اللجنة، في ضوء توصيتها السابقة (</w:t>
      </w:r>
      <w:r w:rsidRPr="00BA04D2">
        <w:rPr>
          <w:b/>
          <w:bCs/>
          <w:spacing w:val="0"/>
          <w:sz w:val="20"/>
        </w:rPr>
        <w:t>A/53/44</w:t>
      </w:r>
      <w:r w:rsidRPr="00BA04D2">
        <w:rPr>
          <w:rFonts w:hint="cs"/>
          <w:b/>
          <w:bCs/>
          <w:spacing w:val="0"/>
          <w:sz w:val="20"/>
          <w:rtl/>
        </w:rPr>
        <w:t>، الفقرة 118(ﻫ))، أن من الضروري اتخاذ تدابير تشريعية لضمان استقلال السلطة القضائية. وتوصي اللجنة الدولة الطرف أيضاً بضمان احترام المبادئ الأساسية المتعلقة بدور المحامين (</w:t>
      </w:r>
      <w:r w:rsidRPr="00BA04D2">
        <w:rPr>
          <w:b/>
          <w:bCs/>
          <w:spacing w:val="0"/>
          <w:sz w:val="20"/>
          <w:rtl/>
        </w:rPr>
        <w:t>مؤتمر الأمم المتحدة الثامن لمنع الجريمة ومعاملة المجرمين</w:t>
      </w:r>
      <w:r w:rsidRPr="00BA04D2">
        <w:rPr>
          <w:rFonts w:hint="cs"/>
          <w:b/>
          <w:bCs/>
          <w:spacing w:val="0"/>
          <w:sz w:val="20"/>
          <w:rtl/>
        </w:rPr>
        <w:t xml:space="preserve">، </w:t>
      </w:r>
      <w:r w:rsidRPr="00BA04D2">
        <w:rPr>
          <w:b/>
          <w:bCs/>
          <w:spacing w:val="0"/>
          <w:sz w:val="20"/>
          <w:rtl/>
        </w:rPr>
        <w:t>المعقود</w:t>
      </w:r>
      <w:r w:rsidRPr="00BA04D2">
        <w:rPr>
          <w:rFonts w:hint="cs"/>
          <w:b/>
          <w:bCs/>
          <w:spacing w:val="0"/>
          <w:sz w:val="20"/>
          <w:rtl/>
        </w:rPr>
        <w:t xml:space="preserve"> </w:t>
      </w:r>
      <w:r w:rsidRPr="00BA04D2">
        <w:rPr>
          <w:b/>
          <w:bCs/>
          <w:spacing w:val="0"/>
          <w:sz w:val="20"/>
          <w:rtl/>
        </w:rPr>
        <w:t>في هافانا</w:t>
      </w:r>
      <w:r w:rsidRPr="00BA04D2">
        <w:rPr>
          <w:rFonts w:hint="cs"/>
          <w:b/>
          <w:bCs/>
          <w:spacing w:val="0"/>
          <w:sz w:val="20"/>
          <w:rtl/>
        </w:rPr>
        <w:t>،</w:t>
      </w:r>
      <w:r w:rsidRPr="00BA04D2">
        <w:rPr>
          <w:b/>
          <w:bCs/>
          <w:spacing w:val="0"/>
          <w:sz w:val="20"/>
          <w:rtl/>
        </w:rPr>
        <w:t xml:space="preserve"> من 27 آب/أغسطس إلى 7 أيلول/سبتمبر 1990</w:t>
      </w:r>
      <w:r w:rsidRPr="00BA04D2">
        <w:rPr>
          <w:rFonts w:hint="cs"/>
          <w:b/>
          <w:bCs/>
          <w:spacing w:val="0"/>
          <w:sz w:val="20"/>
          <w:rtl/>
        </w:rPr>
        <w:t xml:space="preserve"> ((</w:t>
      </w:r>
      <w:r w:rsidRPr="00BA04D2">
        <w:rPr>
          <w:b/>
          <w:bCs/>
          <w:spacing w:val="0"/>
          <w:sz w:val="20"/>
        </w:rPr>
        <w:t>A/CONF/144/28/Rev.1</w:t>
      </w:r>
      <w:r w:rsidRPr="00BA04D2">
        <w:rPr>
          <w:rFonts w:hint="cs"/>
          <w:b/>
          <w:bCs/>
          <w:spacing w:val="0"/>
          <w:sz w:val="20"/>
          <w:rtl/>
        </w:rPr>
        <w:t>)، الصفحة 118).</w:t>
      </w:r>
    </w:p>
    <w:p w:rsidR="004E0A37" w:rsidRPr="004E0A37" w:rsidRDefault="004E0A37" w:rsidP="009F0969">
      <w:pPr>
        <w:pStyle w:val="H23GA"/>
        <w:spacing w:line="36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مؤسسات الطب النفسي</w:t>
      </w:r>
    </w:p>
    <w:p w:rsidR="004E0A37" w:rsidRPr="004E0A37" w:rsidRDefault="00E16FB7" w:rsidP="009F0969">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19</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بالمعلومات التي قدمتها الدولة الطرف بشأن مضمون الحكم الصادر في 31 كانون الثاني/يناير 2011 عن الغرفة الجنائية الثانية للمحكمة الإقليمية الشعبية لهافانا في القضية التي يمثل فيها مدير مستشفى الطب النفسي في هافانا ونوابه وغيرهم من الموظفين، عقب وفاة 26 مريضاً بفعل البرودة الشديدة في كانون الثاني/يناير 2010. وتأسف اللجنة لعدم تلقيها المعلومات التي طلبتها عن تدابير الجبر والتعويض التي أمرت المحاكم باتخاذها وعن التعويضات الممنوحة فعلياً لأقارب الضحايا وللمرضى الآخرين الذين تضرروا من تلك الحادثة. وتحيط اللجنة</w:t>
      </w:r>
      <w:r w:rsidR="003833F8">
        <w:rPr>
          <w:rFonts w:hint="cs"/>
          <w:spacing w:val="0"/>
          <w:sz w:val="20"/>
          <w:rtl/>
        </w:rPr>
        <w:t xml:space="preserve"> علماً </w:t>
      </w:r>
      <w:r w:rsidR="004E0A37" w:rsidRPr="004E0A37">
        <w:rPr>
          <w:rFonts w:hint="cs"/>
          <w:spacing w:val="0"/>
          <w:sz w:val="20"/>
          <w:rtl/>
        </w:rPr>
        <w:t>بوجود خطة وزارية للصحة العامة تهدف إلى تعزيز فعالية هذه المؤسسة، بيد أنها تشير إلى عدم تلقيها أي معلومات عن محتوى تلك الخطة. وأخيراً، تأسف اللجنة لعدم موافاتها بأي بيانات إحصائية بشأن عدد الأشخاص المصابين بإعاقة نفسية - اجتماعية الذين يتلقون</w:t>
      </w:r>
      <w:r w:rsidR="003549AC">
        <w:rPr>
          <w:rFonts w:hint="cs"/>
          <w:spacing w:val="0"/>
          <w:sz w:val="20"/>
          <w:rtl/>
        </w:rPr>
        <w:t xml:space="preserve"> حالياً </w:t>
      </w:r>
      <w:r w:rsidR="004E0A37" w:rsidRPr="004E0A37">
        <w:rPr>
          <w:rFonts w:hint="cs"/>
          <w:spacing w:val="0"/>
          <w:sz w:val="20"/>
          <w:rtl/>
        </w:rPr>
        <w:t>علاجاً طبياً قسرياً (المواد 2 و11 و14 و16).</w:t>
      </w:r>
    </w:p>
    <w:p w:rsidR="004E0A37" w:rsidRPr="00BA04D2" w:rsidRDefault="004E0A37" w:rsidP="009F0969">
      <w:pPr>
        <w:pStyle w:val="SingleTxtGA"/>
        <w:spacing w:line="360" w:lineRule="exact"/>
        <w:jc w:val="lowKashida"/>
        <w:rPr>
          <w:rFonts w:hint="cs"/>
          <w:b/>
          <w:bCs/>
          <w:spacing w:val="0"/>
          <w:sz w:val="20"/>
          <w:rtl/>
        </w:rPr>
      </w:pPr>
      <w:r w:rsidRPr="00BA04D2">
        <w:rPr>
          <w:rFonts w:hint="cs"/>
          <w:b/>
          <w:bCs/>
          <w:spacing w:val="0"/>
          <w:sz w:val="20"/>
          <w:rtl/>
        </w:rPr>
        <w:tab/>
        <w:t>تطلب اللجنة إلى الدولة الطرف أن توافيها بمعلومات عن تدابير الجبر والتعويض التي أمرت المحاكم باتخاذها وعن التعويضات الممنوحة فعلياً للضحايا و/أو لأقاربهم عقب حالات الوفاة التي حدثت في مستشفى الطب النفسي في هافانا في عام 2010.</w:t>
      </w:r>
    </w:p>
    <w:p w:rsidR="004E0A37" w:rsidRPr="00BA04D2" w:rsidRDefault="004E0A37" w:rsidP="009F0969">
      <w:pPr>
        <w:pStyle w:val="SingleTxtGA"/>
        <w:spacing w:line="360" w:lineRule="exact"/>
        <w:jc w:val="lowKashida"/>
        <w:rPr>
          <w:rFonts w:hint="cs"/>
          <w:b/>
          <w:bCs/>
          <w:spacing w:val="-4"/>
          <w:sz w:val="20"/>
          <w:rtl/>
        </w:rPr>
      </w:pPr>
      <w:r w:rsidRPr="00BA04D2">
        <w:rPr>
          <w:rFonts w:hint="cs"/>
          <w:b/>
          <w:bCs/>
          <w:spacing w:val="-4"/>
          <w:sz w:val="20"/>
          <w:rtl/>
        </w:rPr>
        <w:tab/>
        <w:t>وينبغي أن تتخذ الدولة الطرف التدابير الضرورية لمعالجة أوجه القصور التي قد تعتري شبكة مستشفيات الطب النفسي ومن ثم ضمان عدم تكرار هذا النوع من الحوادث. وتوصي اللجنة بتحليل طريقة العمل الفعلية لمؤسسات الطب النفسي فوراً بواسطة عمليات</w:t>
      </w:r>
      <w:r w:rsidR="00BA04D2">
        <w:rPr>
          <w:rFonts w:hint="eastAsia"/>
          <w:b/>
          <w:bCs/>
          <w:spacing w:val="-4"/>
          <w:sz w:val="20"/>
          <w:rtl/>
        </w:rPr>
        <w:t> </w:t>
      </w:r>
      <w:r w:rsidRPr="00BA04D2">
        <w:rPr>
          <w:rFonts w:hint="cs"/>
          <w:b/>
          <w:bCs/>
          <w:spacing w:val="-4"/>
          <w:sz w:val="20"/>
          <w:rtl/>
        </w:rPr>
        <w:t>تدقيق خارجية وداخلية للمؤسسات المعنية تُتخذ على أساسها تدابير تشريعية وإدارية</w:t>
      </w:r>
      <w:r w:rsidR="00BA04D2">
        <w:rPr>
          <w:rFonts w:hint="eastAsia"/>
          <w:b/>
          <w:bCs/>
          <w:spacing w:val="-4"/>
          <w:sz w:val="20"/>
          <w:rtl/>
        </w:rPr>
        <w:t> </w:t>
      </w:r>
      <w:r w:rsidRPr="00BA04D2">
        <w:rPr>
          <w:rFonts w:hint="cs"/>
          <w:b/>
          <w:bCs/>
          <w:spacing w:val="-4"/>
          <w:sz w:val="20"/>
          <w:rtl/>
        </w:rPr>
        <w:t>من أجل كفالة احترام فعلي للضمانات الضرورية لمنع التعذيب وسوء المعاملة.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الجهات الفاعلة في المجتمع المدني المعرضة للخطر</w:t>
      </w:r>
    </w:p>
    <w:p w:rsidR="004E0A37" w:rsidRPr="004E0A37" w:rsidRDefault="00E16FB7" w:rsidP="00B602A3">
      <w:pPr>
        <w:pStyle w:val="SingleTxtGA"/>
        <w:jc w:val="lowKashida"/>
        <w:rPr>
          <w:rFonts w:hint="cs"/>
          <w:spacing w:val="0"/>
          <w:sz w:val="20"/>
          <w:rtl/>
        </w:rPr>
      </w:pPr>
      <w:r>
        <w:rPr>
          <w:rFonts w:hint="cs"/>
          <w:spacing w:val="0"/>
          <w:sz w:val="20"/>
          <w:rtl/>
        </w:rPr>
        <w:t>(</w:t>
      </w:r>
      <w:r w:rsidR="004E0A37" w:rsidRPr="004E0A37">
        <w:rPr>
          <w:rFonts w:hint="cs"/>
          <w:spacing w:val="0"/>
          <w:sz w:val="20"/>
          <w:rtl/>
        </w:rPr>
        <w:t>20</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 xml:space="preserve">بأن الدولة الطرف تنفي ارتفاع عدد المعارضين السياسيين والمدافعين عن حقوق الإنسان والصحفيين المستقلين المحتجزين لفترة وجيزة دون صدور أمر باعتقالهم، وهي ظاهرة أبلغت عنها منظمات الدفاع عن حقوق الإنسان أمام اللجنة. ولكن، نظراً لعدم وجود بيانات رسمية، ما زالت اللجنة قلقة للغاية إزاء الشكاوى المستمرة التي تشير إلى حالات احتجاز تعسفي لفترات وجيزة، واستخدام مفاهيم جنائية غامضة من قبيل "خطورة الفرد على المجتمع قبل الجريمة" لتبرير اتخاذ تدابير أمنية، وفرض قيود على حرية التنقل، وإجراء عمليات مراقبة تنطوي على تعد، وارتكاب اعتداءات جسدية وغيرها من أعمال الترهيب والمضايقة المنسوبة إلى أفراد الشرطة الوطنية الثورية وموظفي الأجهزة الأمنية للدولة. ويساور اللجنة القلق أيضاً إزاء المعلومات عن إتيان </w:t>
      </w:r>
      <w:r w:rsidR="00553388">
        <w:rPr>
          <w:rFonts w:hint="cs"/>
          <w:spacing w:val="0"/>
          <w:sz w:val="20"/>
          <w:rtl/>
        </w:rPr>
        <w:t>"</w:t>
      </w:r>
      <w:r w:rsidR="004E0A37" w:rsidRPr="004E0A37">
        <w:rPr>
          <w:rFonts w:hint="cs"/>
          <w:spacing w:val="0"/>
          <w:sz w:val="20"/>
          <w:rtl/>
        </w:rPr>
        <w:t>أفعال النبذ</w:t>
      </w:r>
      <w:r w:rsidR="00553388">
        <w:rPr>
          <w:rFonts w:hint="cs"/>
          <w:spacing w:val="0"/>
          <w:sz w:val="20"/>
          <w:rtl/>
        </w:rPr>
        <w:t xml:space="preserve">" </w:t>
      </w:r>
      <w:r w:rsidR="004E0A37" w:rsidRPr="004E0A37">
        <w:rPr>
          <w:rFonts w:hint="cs"/>
          <w:spacing w:val="0"/>
          <w:sz w:val="20"/>
          <w:rtl/>
        </w:rPr>
        <w:t>أمام منازل أعضاء الاتحاد الوطني الكوبي وتجمّع السيدات المرتديات ثياباً بيضاء (</w:t>
      </w:r>
      <w:r w:rsidR="004E0A37" w:rsidRPr="004E0A37">
        <w:rPr>
          <w:spacing w:val="0"/>
          <w:sz w:val="20"/>
        </w:rPr>
        <w:t>Damas</w:t>
      </w:r>
      <w:r w:rsidR="00B602A3">
        <w:rPr>
          <w:spacing w:val="0"/>
          <w:sz w:val="20"/>
        </w:rPr>
        <w:t> </w:t>
      </w:r>
      <w:r w:rsidR="004E0A37" w:rsidRPr="004E0A37">
        <w:rPr>
          <w:spacing w:val="0"/>
          <w:sz w:val="20"/>
        </w:rPr>
        <w:t>de</w:t>
      </w:r>
      <w:r w:rsidR="00B602A3">
        <w:rPr>
          <w:spacing w:val="0"/>
          <w:sz w:val="20"/>
        </w:rPr>
        <w:t> </w:t>
      </w:r>
      <w:r w:rsidR="004E0A37" w:rsidRPr="004E0A37">
        <w:rPr>
          <w:spacing w:val="0"/>
          <w:sz w:val="20"/>
        </w:rPr>
        <w:t>Blanco</w:t>
      </w:r>
      <w:r w:rsidR="004E0A37" w:rsidRPr="004E0A37">
        <w:rPr>
          <w:rFonts w:hint="cs"/>
          <w:spacing w:val="0"/>
          <w:sz w:val="20"/>
          <w:rtl/>
        </w:rPr>
        <w:t>) من بين آخرين. وتأسف اللجنة لتلكؤ الدولة الطرف في تقديم معلومات وافية عن الحوادث المدرجة في قائمة</w:t>
      </w:r>
      <w:r w:rsidR="004E0A37" w:rsidRPr="004E0A37">
        <w:rPr>
          <w:rFonts w:hint="eastAsia"/>
          <w:spacing w:val="0"/>
          <w:sz w:val="20"/>
          <w:rtl/>
        </w:rPr>
        <w:t> </w:t>
      </w:r>
      <w:r w:rsidR="004E0A37" w:rsidRPr="004E0A37">
        <w:rPr>
          <w:rFonts w:hint="cs"/>
          <w:spacing w:val="0"/>
          <w:sz w:val="20"/>
          <w:rtl/>
        </w:rPr>
        <w:t>المسائل التي ينبغي معالجتها وعن التدابير المتخذة لتجنب هذا النوع من الأعمال المنسقة التي</w:t>
      </w:r>
      <w:r w:rsidR="004E0A37" w:rsidRPr="004E0A37">
        <w:rPr>
          <w:rFonts w:hint="eastAsia"/>
          <w:spacing w:val="0"/>
          <w:sz w:val="20"/>
          <w:rtl/>
        </w:rPr>
        <w:t> </w:t>
      </w:r>
      <w:r w:rsidR="004E0A37" w:rsidRPr="004E0A37">
        <w:rPr>
          <w:rFonts w:hint="cs"/>
          <w:spacing w:val="0"/>
          <w:sz w:val="20"/>
          <w:rtl/>
        </w:rPr>
        <w:t>يظهر من خلالها وجود تواطؤ محتمل بين مرتكبي المضايقات وسلطات الشرطة (المادتان</w:t>
      </w:r>
      <w:r w:rsidR="004E0A37" w:rsidRPr="004E0A37">
        <w:rPr>
          <w:rFonts w:hint="eastAsia"/>
          <w:spacing w:val="0"/>
          <w:sz w:val="20"/>
          <w:rtl/>
        </w:rPr>
        <w:t> </w:t>
      </w:r>
      <w:r w:rsidR="004E0A37" w:rsidRPr="004E0A37">
        <w:rPr>
          <w:rFonts w:hint="cs"/>
          <w:spacing w:val="0"/>
          <w:sz w:val="20"/>
          <w:rtl/>
        </w:rPr>
        <w:t>2 و16).</w:t>
      </w:r>
    </w:p>
    <w:p w:rsidR="004E0A37" w:rsidRPr="003549AC" w:rsidRDefault="004E0A37" w:rsidP="004E0A37">
      <w:pPr>
        <w:pStyle w:val="SingleTxtGA"/>
        <w:jc w:val="lowKashida"/>
        <w:rPr>
          <w:rFonts w:hint="cs"/>
          <w:b/>
          <w:bCs/>
          <w:spacing w:val="-4"/>
          <w:sz w:val="20"/>
          <w:rtl/>
        </w:rPr>
      </w:pPr>
      <w:r w:rsidRPr="003549AC">
        <w:rPr>
          <w:rFonts w:hint="cs"/>
          <w:b/>
          <w:bCs/>
          <w:spacing w:val="-4"/>
          <w:sz w:val="20"/>
          <w:rtl/>
        </w:rPr>
        <w:tab/>
        <w:t>في ضوء الملاحظات الختامية السابقة التي قدمتها اللجنة (</w:t>
      </w:r>
      <w:r w:rsidRPr="003549AC">
        <w:rPr>
          <w:b/>
          <w:bCs/>
          <w:spacing w:val="-4"/>
          <w:sz w:val="20"/>
        </w:rPr>
        <w:t>A/53/44</w:t>
      </w:r>
      <w:r w:rsidRPr="003549AC">
        <w:rPr>
          <w:rFonts w:hint="cs"/>
          <w:b/>
          <w:bCs/>
          <w:spacing w:val="-4"/>
          <w:sz w:val="20"/>
          <w:rtl/>
        </w:rPr>
        <w:t>، الفقرة 114)، تدعو هذه الأخيرة الدولة الطرف إلى القيام فوراً بما يلي:</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(أ)</w:t>
      </w:r>
      <w:r w:rsidRPr="00BA04D2">
        <w:rPr>
          <w:rFonts w:hint="cs"/>
          <w:b/>
          <w:bCs/>
          <w:spacing w:val="0"/>
          <w:sz w:val="20"/>
          <w:rtl/>
        </w:rPr>
        <w:tab/>
        <w:t>اتخاذ التدابير الضرورية لوضع حد لأشكال القمع المشار إليها أعلاه، كالاحتجاز التعسفي أو تنفيذ تدابير أمنية قبل الجريمة ضد المعارضين السياسيين ونشطاء حقوق الإنسان والمدافعين عنها والصحفيين المستقلين وغيرهم من الفاعلين في المجتمع المدني المعرضين للخطر وأقاربهم. ويجب أن تحرص الدولة الطرف أيضاً على التحقيق حسب الأصول في أعمال القمع والترهيب والمضايقة وعلى معاقبة المسؤولين عنها؛</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(ب)</w:t>
      </w:r>
      <w:r w:rsidRPr="00BA04D2">
        <w:rPr>
          <w:rFonts w:hint="cs"/>
          <w:b/>
          <w:bCs/>
          <w:spacing w:val="0"/>
          <w:sz w:val="20"/>
          <w:rtl/>
        </w:rPr>
        <w:tab/>
        <w:t>ضمان حماية جميع الأشخاص من تدابير التخويف أو أعمال العنف التي قد يتعرضون لها بسبب أنشطتهم أو لمجرد ممارسة حريتهم في الرأي والتعبير وحقهم في تكوين الجمعيات والتجمع السلمي؛</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(ج)</w:t>
      </w:r>
      <w:r w:rsidRPr="00BA04D2">
        <w:rPr>
          <w:rFonts w:hint="cs"/>
          <w:b/>
          <w:bCs/>
          <w:spacing w:val="0"/>
          <w:sz w:val="20"/>
          <w:rtl/>
        </w:rPr>
        <w:tab/>
        <w:t>السماح بتسجيل المنظمات غير الحكومية المعنية بحقوق الإنسان، التي تلتمس التسجيل، في سجل الجمعيات الوطنية،</w:t>
      </w:r>
      <w:r w:rsidR="00B345DB" w:rsidRPr="00BA04D2">
        <w:rPr>
          <w:rFonts w:hint="cs"/>
          <w:b/>
          <w:bCs/>
          <w:spacing w:val="0"/>
          <w:sz w:val="20"/>
          <w:rtl/>
        </w:rPr>
        <w:t xml:space="preserve"> وفقاً </w:t>
      </w:r>
      <w:r w:rsidRPr="00BA04D2">
        <w:rPr>
          <w:rFonts w:hint="cs"/>
          <w:b/>
          <w:bCs/>
          <w:spacing w:val="0"/>
          <w:sz w:val="20"/>
          <w:rtl/>
        </w:rPr>
        <w:t>لأحكام القانون رقم 54 المؤرخ 27 كانون الأول/ديسمبر 1985 (قانون الجمعيات).</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العنف الجنسي</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21</w:t>
      </w:r>
      <w:r w:rsidR="003E72B5">
        <w:rPr>
          <w:rFonts w:hint="cs"/>
          <w:spacing w:val="0"/>
          <w:sz w:val="20"/>
          <w:rtl/>
        </w:rPr>
        <w:t>)</w:t>
      </w:r>
      <w:r w:rsidR="003E72B5">
        <w:rPr>
          <w:rFonts w:hint="cs"/>
          <w:spacing w:val="0"/>
          <w:sz w:val="20"/>
          <w:rtl/>
        </w:rPr>
        <w:tab/>
      </w:r>
      <w:r w:rsidR="004E0A37" w:rsidRPr="004E0A37">
        <w:rPr>
          <w:rFonts w:hint="cs"/>
          <w:spacing w:val="0"/>
          <w:sz w:val="20"/>
          <w:rtl/>
        </w:rPr>
        <w:t>تلاحظ اللجنة بقلق أن الدولة الطرف</w:t>
      </w:r>
      <w:r w:rsidR="00335AC0">
        <w:rPr>
          <w:rFonts w:hint="cs"/>
          <w:spacing w:val="0"/>
          <w:sz w:val="20"/>
          <w:rtl/>
        </w:rPr>
        <w:t xml:space="preserve"> لم </w:t>
      </w:r>
      <w:r w:rsidR="004E0A37" w:rsidRPr="004E0A37">
        <w:rPr>
          <w:rFonts w:hint="cs"/>
          <w:spacing w:val="0"/>
          <w:sz w:val="20"/>
          <w:rtl/>
        </w:rPr>
        <w:t>تقدم أي معلومات عن الإطار القانوني القائم لمكافحة العنف ضد المرأة في كوبا ولا عن التدابير المتخذة للقضاء على هذه الظاهرة، لا سيما العنف المنزلي والجنسي. كما تأسف اللجنة لعدم تقديم بيانات إحصائية تغطي فترة الاستعراض بشأن مختلف أشكال العنف ضد المرأة (المادتان 2 و16).</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تحث اللجنة الدولة الطرف على تقديم معلومات مفصلة عن التشريعات السارية في هذا المجال وعن حالات ممارسة العنف ضد المرأة المسجلة خلال فترة الاستعراض.</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الاعترافات المنتزعة بالإكراه</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22</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بالضمانات الدستورية وبأحكام قانون الإجراءات الجنائية المتعلقة بعدم جواز قبول الأدلة المنتزعة عن طريق التعذيب، لكنها تعرب عن قلقها إزاء المعلومات التي تتحدث عن اللجوء إلى أساليب قسرية أثناء الاستجوابات، لا سيما الحرمان من النوم والحبس الانفرادي وتعريض الأشخاص لتغيرات مفاجئة في درجة الحرارة. وتحيط اللجنة</w:t>
      </w:r>
      <w:r w:rsidR="003833F8">
        <w:rPr>
          <w:rFonts w:hint="cs"/>
          <w:spacing w:val="0"/>
          <w:sz w:val="20"/>
          <w:rtl/>
        </w:rPr>
        <w:t xml:space="preserve"> علماً </w:t>
      </w:r>
      <w:r w:rsidR="004E0A37" w:rsidRPr="004E0A37">
        <w:rPr>
          <w:rFonts w:hint="cs"/>
          <w:spacing w:val="0"/>
          <w:sz w:val="20"/>
          <w:rtl/>
        </w:rPr>
        <w:t>بالمعلومات المقدمة من الدولة الطرف التي تفيد بأن فترة الاستعراض</w:t>
      </w:r>
      <w:r w:rsidR="00335AC0">
        <w:rPr>
          <w:rFonts w:hint="cs"/>
          <w:spacing w:val="0"/>
          <w:sz w:val="20"/>
          <w:rtl/>
        </w:rPr>
        <w:t xml:space="preserve"> لم </w:t>
      </w:r>
      <w:r w:rsidR="004E0A37" w:rsidRPr="004E0A37">
        <w:rPr>
          <w:rFonts w:hint="cs"/>
          <w:spacing w:val="0"/>
          <w:sz w:val="20"/>
          <w:rtl/>
        </w:rPr>
        <w:t>تشهد أي حالة أوقفت فيها الدعوى لأن الأدلة أو الاعترافات انتُزعت عن طريق التعذيب أو سوء المعاملة؛ ومن جهة أخرى، أشار الوفد إلى أنه</w:t>
      </w:r>
      <w:r w:rsidR="00335AC0">
        <w:rPr>
          <w:rFonts w:hint="cs"/>
          <w:spacing w:val="0"/>
          <w:sz w:val="20"/>
          <w:rtl/>
        </w:rPr>
        <w:t xml:space="preserve"> لم </w:t>
      </w:r>
      <w:r w:rsidR="004E0A37" w:rsidRPr="004E0A37">
        <w:rPr>
          <w:rFonts w:hint="cs"/>
          <w:spacing w:val="0"/>
          <w:sz w:val="20"/>
          <w:rtl/>
        </w:rPr>
        <w:t>يُحتج في أي قضية من القضايا باتخاذ التعذيب وسيلة (المادتان 2 و15).</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يجب أن تتخذ الدولة الطرف تدابير فعالة لجعل الاعترافات المنتزعة بالإكراه غير مقبولة عملياً. وينبغي أن تحرص الدولة الطرف على تدريب الموظفين المكلفين بإنفاذ القوانين والقضاة والمحامين على الأساليب التي يجب اتباعها لكشف حالات نزع الاعترافات بالإكراه والتحقيق فيها.</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التدريب</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بالمعلومات عن برامج التدريب التقني والمهني المتاحة للموظفين الطبيين وأفراد الشرطة الوطنية الثورية وموظفي إدارة السجون والمساعدين القضائيين، لكنها تأسف لقلة المعلومات المتوفرة عن تقييم تلك البرامج وآثارها على الحد من أعمال التعذيب وسوء المعاملة. وتلاحظ اللجنة أيضاً أن الدولة الطرف</w:t>
      </w:r>
      <w:r w:rsidR="00335AC0">
        <w:rPr>
          <w:rFonts w:hint="cs"/>
          <w:spacing w:val="0"/>
          <w:sz w:val="20"/>
          <w:rtl/>
        </w:rPr>
        <w:t xml:space="preserve"> لم </w:t>
      </w:r>
      <w:r w:rsidR="004E0A37" w:rsidRPr="004E0A37">
        <w:rPr>
          <w:rFonts w:hint="cs"/>
          <w:spacing w:val="0"/>
          <w:sz w:val="20"/>
          <w:rtl/>
        </w:rPr>
        <w:t xml:space="preserve">تقدم معلومات عن برامج تدريبية محددة ولا عن استخدام دليل التقصي والتوثيق الفعالين بشأن التعذيب وغيره من ضروب المعاملة أو العقوبة القاسية أو اللاإنسانية أو المهينة (بروتوكول </w:t>
      </w:r>
      <w:r w:rsidR="002C1EA7">
        <w:rPr>
          <w:rFonts w:hint="cs"/>
          <w:spacing w:val="0"/>
          <w:sz w:val="20"/>
          <w:rtl/>
        </w:rPr>
        <w:t>اسطنبول</w:t>
      </w:r>
      <w:r w:rsidR="004E0A37" w:rsidRPr="004E0A37">
        <w:rPr>
          <w:rFonts w:hint="cs"/>
          <w:spacing w:val="0"/>
          <w:sz w:val="20"/>
          <w:rtl/>
        </w:rPr>
        <w:t>) (المادة 10).</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ينبغي للدولة الطرف:</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(أ)</w:t>
      </w:r>
      <w:r w:rsidRPr="00BA04D2">
        <w:rPr>
          <w:rFonts w:hint="cs"/>
          <w:b/>
          <w:bCs/>
          <w:spacing w:val="0"/>
          <w:sz w:val="20"/>
          <w:rtl/>
        </w:rPr>
        <w:tab/>
        <w:t>أن تستمر في وضع البرامج التدريبية وتنفيذها لكي يكون القضاة والمدعون العامون وأفراد قوات الأمن العام وموظفو السجون على علم بأحكام الاتفاقية ولحظر التسامح مع الانتهاكات ومباشرة التحقيق فيها وإحالة المرتكبين إلى القضاء؛</w:t>
      </w:r>
    </w:p>
    <w:p w:rsidR="004E0A37" w:rsidRPr="00BA04D2" w:rsidRDefault="004E0A37" w:rsidP="004E0A37">
      <w:pPr>
        <w:pStyle w:val="SingleTxtGA"/>
        <w:jc w:val="lowKashida"/>
        <w:rPr>
          <w:rFonts w:hint="cs"/>
          <w:b/>
          <w:bCs/>
          <w:spacing w:val="0"/>
          <w:sz w:val="20"/>
        </w:rPr>
      </w:pPr>
      <w:r w:rsidRPr="00BA04D2">
        <w:rPr>
          <w:rFonts w:hint="cs"/>
          <w:b/>
          <w:bCs/>
          <w:spacing w:val="0"/>
          <w:sz w:val="20"/>
          <w:rtl/>
        </w:rPr>
        <w:tab/>
        <w:t>(ب)</w:t>
      </w:r>
      <w:r w:rsidRPr="00BA04D2">
        <w:rPr>
          <w:rFonts w:hint="cs"/>
          <w:b/>
          <w:bCs/>
          <w:spacing w:val="0"/>
          <w:sz w:val="20"/>
          <w:rtl/>
        </w:rPr>
        <w:tab/>
        <w:t>أن تضع وتطبق منهجية لتقييم فعالية البرامج التدريبية وآثارها على الحد من حالات التعذيب وسوء المعاملة؛</w:t>
      </w:r>
    </w:p>
    <w:p w:rsidR="004E0A37" w:rsidRPr="00BA04D2" w:rsidRDefault="004E0A37" w:rsidP="004E0A37">
      <w:pPr>
        <w:pStyle w:val="SingleTxtGA"/>
        <w:jc w:val="lowKashida"/>
        <w:rPr>
          <w:rFonts w:hint="cs"/>
          <w:b/>
          <w:bCs/>
          <w:spacing w:val="-4"/>
          <w:sz w:val="20"/>
        </w:rPr>
      </w:pPr>
      <w:r w:rsidRPr="00BA04D2">
        <w:rPr>
          <w:rFonts w:hint="cs"/>
          <w:b/>
          <w:bCs/>
          <w:spacing w:val="-4"/>
          <w:sz w:val="20"/>
          <w:rtl/>
        </w:rPr>
        <w:tab/>
        <w:t>(ج)</w:t>
      </w:r>
      <w:r w:rsidRPr="00BA04D2">
        <w:rPr>
          <w:rFonts w:hint="cs"/>
          <w:b/>
          <w:bCs/>
          <w:spacing w:val="-4"/>
          <w:sz w:val="20"/>
          <w:rtl/>
        </w:rPr>
        <w:tab/>
        <w:t xml:space="preserve">ضمان تلقي جميع الموظفين المعنيين تدريباً محدداً بشأن بروتوكول </w:t>
      </w:r>
      <w:r w:rsidR="002C1EA7" w:rsidRPr="00BA04D2">
        <w:rPr>
          <w:rFonts w:hint="cs"/>
          <w:b/>
          <w:bCs/>
          <w:spacing w:val="-4"/>
          <w:sz w:val="20"/>
          <w:rtl/>
        </w:rPr>
        <w:t>اسطنبول</w:t>
      </w:r>
      <w:r w:rsidRPr="00BA04D2">
        <w:rPr>
          <w:rFonts w:hint="cs"/>
          <w:b/>
          <w:bCs/>
          <w:spacing w:val="-4"/>
          <w:sz w:val="20"/>
          <w:rtl/>
        </w:rPr>
        <w:t>.</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الجبر، بما في ذلك التعويض وإعادة التأهيل</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24</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 xml:space="preserve">بالمعلومات الواردة في التقرير الدوري عن إجراءات المسؤولية المدنية التي تسمح بالحصول على تعويض والولاية المؤسسية لصندوق التعويض، لكنها تلاحظ بقلق أن ضحايا أعمال التعذيب أو سوء المعاملة لا يمكنهم الحصول على تعويض إذا خضع مرتكب أعمال التعذيب أو سوء المعاملة إلى عقوبات تأديبية وليس إلى عقوبات جنائية. وتأسف اللجنة مجدداً لعدم تقديم الدولة الطرف أي معلومات عن تدابير الجبر أو التعويض، بما فيها وسائل إعادة التأهيل، التي قضت بها المحاكم وعن التعويضات التي حصل عليها فعلاً ضحايا التعذيب وسوء معاملة (انظر </w:t>
      </w:r>
      <w:r w:rsidR="004E0A37" w:rsidRPr="004E0A37">
        <w:rPr>
          <w:spacing w:val="0"/>
          <w:sz w:val="20"/>
        </w:rPr>
        <w:t>A/53/44</w:t>
      </w:r>
      <w:r w:rsidR="004E0A37" w:rsidRPr="004E0A37">
        <w:rPr>
          <w:rFonts w:hint="cs"/>
          <w:spacing w:val="0"/>
          <w:sz w:val="20"/>
          <w:rtl/>
        </w:rPr>
        <w:t>، الفقرة 117) (المادة 14).</w:t>
      </w:r>
    </w:p>
    <w:p w:rsidR="004E0A37" w:rsidRPr="00BA04D2" w:rsidRDefault="004E0A37" w:rsidP="00BA04D2">
      <w:pPr>
        <w:pStyle w:val="SingleTxtGA"/>
        <w:spacing w:line="360" w:lineRule="exact"/>
        <w:jc w:val="lowKashida"/>
        <w:rPr>
          <w:rFonts w:hint="cs"/>
          <w:b/>
          <w:bCs/>
          <w:spacing w:val="0"/>
          <w:sz w:val="20"/>
          <w:rtl/>
        </w:rPr>
      </w:pPr>
      <w:r w:rsidRPr="00BA04D2">
        <w:rPr>
          <w:rFonts w:hint="cs"/>
          <w:b/>
          <w:bCs/>
          <w:spacing w:val="0"/>
          <w:sz w:val="20"/>
          <w:rtl/>
        </w:rPr>
        <w:tab/>
        <w:t>ينبغي للدولة الطرف:</w:t>
      </w:r>
    </w:p>
    <w:p w:rsidR="004E0A37" w:rsidRPr="00BA04D2" w:rsidRDefault="004E0A37" w:rsidP="00BA04D2">
      <w:pPr>
        <w:pStyle w:val="SingleTxtGA"/>
        <w:spacing w:line="360" w:lineRule="exact"/>
        <w:jc w:val="lowKashida"/>
        <w:rPr>
          <w:rFonts w:hint="cs"/>
          <w:b/>
          <w:bCs/>
          <w:spacing w:val="0"/>
          <w:sz w:val="20"/>
          <w:rtl/>
        </w:rPr>
      </w:pPr>
      <w:r w:rsidRPr="00BA04D2">
        <w:rPr>
          <w:rFonts w:hint="cs"/>
          <w:b/>
          <w:bCs/>
          <w:spacing w:val="0"/>
          <w:sz w:val="20"/>
          <w:rtl/>
        </w:rPr>
        <w:tab/>
        <w:t>(أ)</w:t>
      </w:r>
      <w:r w:rsidRPr="00BA04D2">
        <w:rPr>
          <w:rFonts w:hint="cs"/>
          <w:b/>
          <w:bCs/>
          <w:spacing w:val="0"/>
          <w:sz w:val="20"/>
          <w:rtl/>
        </w:rPr>
        <w:tab/>
        <w:t>أن تسهر على حصول جميع ضحايا التعذيب وسوء المعاملة على جبر الأضرار التي لحقت بهم وتمتعهم بالحق الواجب التنفيذ في الحصول على تعويض عادل وكاف، بما في ذلك وسائل إعادة التأهيل على أكمل وجه ممكن؛</w:t>
      </w:r>
    </w:p>
    <w:p w:rsidR="004E0A37" w:rsidRPr="00BA04D2" w:rsidRDefault="004E0A37" w:rsidP="00BA04D2">
      <w:pPr>
        <w:pStyle w:val="SingleTxtGA"/>
        <w:spacing w:line="360" w:lineRule="exact"/>
        <w:jc w:val="lowKashida"/>
        <w:rPr>
          <w:rFonts w:hint="cs"/>
          <w:b/>
          <w:bCs/>
          <w:spacing w:val="0"/>
          <w:sz w:val="20"/>
        </w:rPr>
      </w:pPr>
      <w:r w:rsidRPr="00BA04D2">
        <w:rPr>
          <w:rFonts w:hint="cs"/>
          <w:b/>
          <w:bCs/>
          <w:spacing w:val="0"/>
          <w:sz w:val="20"/>
          <w:rtl/>
        </w:rPr>
        <w:tab/>
        <w:t>(ب)</w:t>
      </w:r>
      <w:r w:rsidRPr="00BA04D2">
        <w:rPr>
          <w:rFonts w:hint="cs"/>
          <w:b/>
          <w:bCs/>
          <w:spacing w:val="0"/>
          <w:sz w:val="20"/>
          <w:rtl/>
        </w:rPr>
        <w:tab/>
        <w:t>ضمان فعالية الآليات الرامية إلى كفالة الجبر والتعويض الكافي لصالح ضحايا التعذيب وغيره من ضروب المعاملة السيئة.</w:t>
      </w:r>
    </w:p>
    <w:p w:rsidR="004E0A37" w:rsidRPr="00BA04D2" w:rsidRDefault="004E0A37" w:rsidP="00BA04D2">
      <w:pPr>
        <w:pStyle w:val="SingleTxtGA"/>
        <w:spacing w:line="360" w:lineRule="exact"/>
        <w:jc w:val="lowKashida"/>
        <w:rPr>
          <w:rFonts w:hint="cs"/>
          <w:b/>
          <w:bCs/>
          <w:spacing w:val="0"/>
          <w:sz w:val="20"/>
          <w:rtl/>
        </w:rPr>
      </w:pPr>
      <w:r w:rsidRPr="00BA04D2">
        <w:rPr>
          <w:rFonts w:hint="cs"/>
          <w:b/>
          <w:bCs/>
          <w:spacing w:val="0"/>
          <w:sz w:val="20"/>
          <w:rtl/>
        </w:rPr>
        <w:tab/>
        <w:t>وتعيد اللجنة تأكيد توصيتها (</w:t>
      </w:r>
      <w:r w:rsidRPr="00BA04D2">
        <w:rPr>
          <w:b/>
          <w:bCs/>
          <w:spacing w:val="0"/>
          <w:sz w:val="20"/>
        </w:rPr>
        <w:t>A/53/44</w:t>
      </w:r>
      <w:r w:rsidRPr="00BA04D2">
        <w:rPr>
          <w:rFonts w:hint="cs"/>
          <w:b/>
          <w:bCs/>
          <w:spacing w:val="0"/>
          <w:sz w:val="20"/>
          <w:rtl/>
        </w:rPr>
        <w:t>، الفقرة 118(ح)) بأن تنشئ الدولة الطرف صندوقاً لتعويض ضحايا التعذيب وسوء المعاملة.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المؤسسة الوطنية لحقوق الإنسان</w:t>
      </w:r>
    </w:p>
    <w:p w:rsidR="004E0A37" w:rsidRPr="004E0A37" w:rsidRDefault="00E16FB7"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25</w:t>
      </w:r>
      <w:r w:rsidR="003E72B5">
        <w:rPr>
          <w:rFonts w:hint="cs"/>
          <w:spacing w:val="0"/>
          <w:sz w:val="20"/>
          <w:rtl/>
        </w:rPr>
        <w:t>)</w:t>
      </w:r>
      <w:r w:rsidR="003E72B5">
        <w:rPr>
          <w:rFonts w:hint="cs"/>
          <w:spacing w:val="0"/>
          <w:sz w:val="20"/>
          <w:rtl/>
        </w:rPr>
        <w:tab/>
      </w:r>
      <w:r w:rsidR="004E0A37" w:rsidRPr="004E0A37">
        <w:rPr>
          <w:rFonts w:hint="cs"/>
          <w:spacing w:val="0"/>
          <w:sz w:val="20"/>
          <w:rtl/>
        </w:rPr>
        <w:t>تشعر اللجنة بالقلق لأن الدولة الطرف لا ترى استصواب إنشاء مؤسسة وطنية تعنى بحقوق الإنسان</w:t>
      </w:r>
      <w:r w:rsidR="00B345DB">
        <w:rPr>
          <w:rFonts w:hint="cs"/>
          <w:spacing w:val="0"/>
          <w:sz w:val="20"/>
          <w:rtl/>
        </w:rPr>
        <w:t xml:space="preserve"> وفقاً </w:t>
      </w:r>
      <w:r w:rsidR="004E0A37" w:rsidRPr="004E0A37">
        <w:rPr>
          <w:rFonts w:hint="cs"/>
          <w:spacing w:val="0"/>
          <w:sz w:val="20"/>
          <w:rtl/>
        </w:rPr>
        <w:t>لمبادئ باريس (قرار الجمعية العامة 48/134، المرفق). وتحيط اللجنة</w:t>
      </w:r>
      <w:r w:rsidR="003833F8">
        <w:rPr>
          <w:rFonts w:hint="cs"/>
          <w:spacing w:val="0"/>
          <w:sz w:val="20"/>
          <w:rtl/>
        </w:rPr>
        <w:t xml:space="preserve"> علماً </w:t>
      </w:r>
      <w:r w:rsidR="004E0A37" w:rsidRPr="004E0A37">
        <w:rPr>
          <w:rFonts w:hint="cs"/>
          <w:spacing w:val="0"/>
          <w:sz w:val="20"/>
          <w:rtl/>
        </w:rPr>
        <w:t>بأن من بين مهام مكتب النائب العام وغيره من مؤسسات الدولة النظر في الشكاوى المقدمة من المواطنين التي يزعمون فيها انتهاك حقوقهم، لكنها تشير إلى أن الهيئات التي ذكرتها الدولة الطرف ليس فيها هيئة واحدة مؤهلة لأن تكون بمثابة مؤسسة وطنية مستقلة لحقوق الإنسان (المادة</w:t>
      </w:r>
      <w:r w:rsidR="004E0A37" w:rsidRPr="004E0A37">
        <w:rPr>
          <w:rFonts w:hint="eastAsia"/>
          <w:spacing w:val="0"/>
          <w:sz w:val="20"/>
          <w:rtl/>
        </w:rPr>
        <w:t> </w:t>
      </w:r>
      <w:r w:rsidR="004E0A37" w:rsidRPr="004E0A37">
        <w:rPr>
          <w:rFonts w:hint="cs"/>
          <w:spacing w:val="0"/>
          <w:sz w:val="20"/>
          <w:rtl/>
        </w:rPr>
        <w:t>2).</w:t>
      </w:r>
    </w:p>
    <w:p w:rsidR="004E0A37" w:rsidRPr="00BA04D2" w:rsidRDefault="004E0A37" w:rsidP="004E0A37">
      <w:pPr>
        <w:pStyle w:val="SingleTxtGA"/>
        <w:jc w:val="lowKashida"/>
        <w:rPr>
          <w:rFonts w:hint="cs"/>
          <w:b/>
          <w:bCs/>
          <w:spacing w:val="0"/>
          <w:sz w:val="20"/>
          <w:rtl/>
        </w:rPr>
      </w:pPr>
      <w:r w:rsidRPr="00BA04D2">
        <w:rPr>
          <w:rFonts w:hint="cs"/>
          <w:b/>
          <w:bCs/>
          <w:spacing w:val="0"/>
          <w:sz w:val="20"/>
          <w:rtl/>
        </w:rPr>
        <w:tab/>
        <w:t>تشجع اللجنة الدولة الطرف على النظر في إنشاء مؤسسة وطنية لحقوق الإنسان</w:t>
      </w:r>
      <w:r w:rsidR="00B345DB" w:rsidRPr="00BA04D2">
        <w:rPr>
          <w:rFonts w:hint="cs"/>
          <w:b/>
          <w:bCs/>
          <w:spacing w:val="0"/>
          <w:sz w:val="20"/>
          <w:rtl/>
        </w:rPr>
        <w:t xml:space="preserve"> وفقاً </w:t>
      </w:r>
      <w:r w:rsidRPr="00BA04D2">
        <w:rPr>
          <w:rFonts w:hint="cs"/>
          <w:b/>
          <w:bCs/>
          <w:spacing w:val="0"/>
          <w:sz w:val="20"/>
          <w:rtl/>
        </w:rPr>
        <w:t>لمبادئ باريس.</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جمع البيانات</w:t>
      </w:r>
    </w:p>
    <w:p w:rsidR="004E0A37" w:rsidRPr="004E0A37" w:rsidRDefault="00E16FB7" w:rsidP="00BA04D2">
      <w:pPr>
        <w:pStyle w:val="SingleTxtGA"/>
        <w:jc w:val="lowKashida"/>
        <w:rPr>
          <w:rFonts w:hint="cs"/>
          <w:spacing w:val="0"/>
          <w:sz w:val="20"/>
          <w:rtl/>
        </w:rPr>
      </w:pPr>
      <w:r>
        <w:rPr>
          <w:rFonts w:hint="cs"/>
          <w:spacing w:val="0"/>
          <w:sz w:val="20"/>
          <w:rtl/>
        </w:rPr>
        <w:t>(</w:t>
      </w:r>
      <w:r w:rsidR="004E0A37" w:rsidRPr="004E0A37">
        <w:rPr>
          <w:rFonts w:hint="cs"/>
          <w:spacing w:val="0"/>
          <w:sz w:val="20"/>
          <w:rtl/>
        </w:rPr>
        <w:t>26</w:t>
      </w:r>
      <w:r w:rsidR="003E72B5">
        <w:rPr>
          <w:rFonts w:hint="cs"/>
          <w:spacing w:val="0"/>
          <w:sz w:val="20"/>
          <w:rtl/>
        </w:rPr>
        <w:t>)</w:t>
      </w:r>
      <w:r w:rsidR="003E72B5">
        <w:rPr>
          <w:rFonts w:hint="cs"/>
          <w:spacing w:val="0"/>
          <w:sz w:val="20"/>
          <w:rtl/>
        </w:rPr>
        <w:tab/>
      </w:r>
      <w:r w:rsidR="004E0A37" w:rsidRPr="004E0A37">
        <w:rPr>
          <w:rFonts w:hint="cs"/>
          <w:spacing w:val="0"/>
          <w:sz w:val="20"/>
          <w:rtl/>
        </w:rPr>
        <w:t>يساور اللجنة القلق لعدم تقديم الدولة الطرف بيانات إحصائية مفصلة عن مسائل مختلفة رغم التوصية التي أصدرتها اللجنة سابقاً (</w:t>
      </w:r>
      <w:r w:rsidR="004E0A37" w:rsidRPr="004E0A37">
        <w:rPr>
          <w:spacing w:val="0"/>
          <w:sz w:val="20"/>
        </w:rPr>
        <w:t>A/53/44</w:t>
      </w:r>
      <w:r w:rsidR="004E0A37" w:rsidRPr="004E0A37">
        <w:rPr>
          <w:rFonts w:hint="cs"/>
          <w:spacing w:val="0"/>
          <w:sz w:val="20"/>
          <w:rtl/>
        </w:rPr>
        <w:t>، الفقرة 118(ي)). وتأسف اللجنة لقرار الدولة الطرف عدم تقديم جميع المعلومات المطلوبة. ذلك أن عدم وجود بيانات مصنفة بشأن الشكاوى والتحقيقات والملاحقات والإدانات في قضايا التعذيب وسوء المعاملة وفي</w:t>
      </w:r>
      <w:r w:rsidR="00BA04D2">
        <w:rPr>
          <w:rFonts w:hint="eastAsia"/>
          <w:spacing w:val="0"/>
          <w:sz w:val="20"/>
          <w:rtl/>
        </w:rPr>
        <w:t> </w:t>
      </w:r>
      <w:r w:rsidR="004E0A37" w:rsidRPr="004E0A37">
        <w:rPr>
          <w:rFonts w:hint="cs"/>
          <w:spacing w:val="0"/>
          <w:sz w:val="20"/>
          <w:rtl/>
        </w:rPr>
        <w:t>حالات الوفاة أثناء الاحتجاز أو قضايا العنف ضد المرأة أو الاتجار بالبشر يعيق تحديد الانتهاكات التي يتعين أخذها في الحسبان، كما يحول دون تنفيذ الاتفاقية تنفيذاً فعالاً (المواد</w:t>
      </w:r>
      <w:r w:rsidR="00BA04D2">
        <w:rPr>
          <w:rFonts w:hint="eastAsia"/>
          <w:spacing w:val="0"/>
          <w:sz w:val="20"/>
          <w:rtl/>
        </w:rPr>
        <w:t> </w:t>
      </w:r>
      <w:r w:rsidR="004E0A37" w:rsidRPr="004E0A37">
        <w:rPr>
          <w:rFonts w:hint="cs"/>
          <w:spacing w:val="0"/>
          <w:sz w:val="20"/>
          <w:rtl/>
        </w:rPr>
        <w:t>2 و16 و19).</w:t>
      </w:r>
    </w:p>
    <w:p w:rsidR="004E0A37" w:rsidRPr="00BA04D2" w:rsidRDefault="004E0A37" w:rsidP="004E0A37">
      <w:pPr>
        <w:pStyle w:val="SingleTxtGA"/>
        <w:jc w:val="lowKashida"/>
        <w:rPr>
          <w:rFonts w:hint="cs"/>
          <w:b/>
          <w:bCs/>
          <w:spacing w:val="-2"/>
          <w:sz w:val="20"/>
          <w:rtl/>
        </w:rPr>
      </w:pPr>
      <w:r w:rsidRPr="00BA04D2">
        <w:rPr>
          <w:rFonts w:hint="cs"/>
          <w:b/>
          <w:bCs/>
          <w:spacing w:val="-2"/>
          <w:sz w:val="20"/>
          <w:rtl/>
        </w:rPr>
        <w:tab/>
      </w:r>
      <w:r w:rsidRPr="00BA04D2">
        <w:rPr>
          <w:b/>
          <w:bCs/>
          <w:spacing w:val="-2"/>
          <w:sz w:val="20"/>
          <w:rtl/>
        </w:rPr>
        <w:t xml:space="preserve">ينبغي أن تجمِّع الدولة الطرف بيانات إحصائية </w:t>
      </w:r>
      <w:r w:rsidRPr="00BA04D2">
        <w:rPr>
          <w:rFonts w:hint="cs"/>
          <w:b/>
          <w:bCs/>
          <w:spacing w:val="-2"/>
          <w:sz w:val="20"/>
          <w:rtl/>
        </w:rPr>
        <w:t xml:space="preserve">مفيدة لمتابعة </w:t>
      </w:r>
      <w:r w:rsidRPr="00BA04D2">
        <w:rPr>
          <w:b/>
          <w:bCs/>
          <w:spacing w:val="-2"/>
          <w:sz w:val="20"/>
          <w:rtl/>
        </w:rPr>
        <w:t xml:space="preserve">تنفيذ الاتفاقية على الصعيدين الوطني والمحلي، على أن تكون </w:t>
      </w:r>
      <w:r w:rsidRPr="00BA04D2">
        <w:rPr>
          <w:rFonts w:hint="cs"/>
          <w:b/>
          <w:bCs/>
          <w:spacing w:val="-2"/>
          <w:sz w:val="20"/>
          <w:rtl/>
        </w:rPr>
        <w:t xml:space="preserve">هذه البيانات </w:t>
      </w:r>
      <w:r w:rsidRPr="00BA04D2">
        <w:rPr>
          <w:b/>
          <w:bCs/>
          <w:spacing w:val="-2"/>
          <w:sz w:val="20"/>
          <w:rtl/>
        </w:rPr>
        <w:t xml:space="preserve">مصنفة بحسب نوع الجنس، والانتماء العرقي، والسن، والمنطقة الجغرافية، ونوع </w:t>
      </w:r>
      <w:r w:rsidRPr="00BA04D2">
        <w:rPr>
          <w:rFonts w:hint="cs"/>
          <w:b/>
          <w:bCs/>
          <w:spacing w:val="-2"/>
          <w:sz w:val="20"/>
          <w:rtl/>
        </w:rPr>
        <w:t>و</w:t>
      </w:r>
      <w:r w:rsidRPr="00BA04D2">
        <w:rPr>
          <w:b/>
          <w:bCs/>
          <w:spacing w:val="-2"/>
          <w:sz w:val="20"/>
          <w:rtl/>
        </w:rPr>
        <w:t>مكان الحرمان من الحرية، بما في</w:t>
      </w:r>
      <w:r w:rsidRPr="00BA04D2">
        <w:rPr>
          <w:rFonts w:hint="cs"/>
          <w:b/>
          <w:bCs/>
          <w:spacing w:val="-2"/>
          <w:sz w:val="20"/>
          <w:rtl/>
        </w:rPr>
        <w:t>ها ال</w:t>
      </w:r>
      <w:r w:rsidRPr="00BA04D2">
        <w:rPr>
          <w:b/>
          <w:bCs/>
          <w:spacing w:val="-2"/>
          <w:sz w:val="20"/>
          <w:rtl/>
        </w:rPr>
        <w:t xml:space="preserve">بيانات </w:t>
      </w:r>
      <w:r w:rsidRPr="00BA04D2">
        <w:rPr>
          <w:rFonts w:hint="cs"/>
          <w:b/>
          <w:bCs/>
          <w:spacing w:val="-2"/>
          <w:sz w:val="20"/>
          <w:rtl/>
        </w:rPr>
        <w:t>المتعلقة ب</w:t>
      </w:r>
      <w:r w:rsidRPr="00BA04D2">
        <w:rPr>
          <w:b/>
          <w:bCs/>
          <w:spacing w:val="-2"/>
          <w:sz w:val="20"/>
          <w:rtl/>
        </w:rPr>
        <w:t xml:space="preserve">الشكاوى والتحقيقات والملاحقات في قضايا التعذيب </w:t>
      </w:r>
      <w:r w:rsidRPr="00BA04D2">
        <w:rPr>
          <w:rFonts w:hint="cs"/>
          <w:b/>
          <w:bCs/>
          <w:spacing w:val="-2"/>
          <w:sz w:val="20"/>
          <w:rtl/>
        </w:rPr>
        <w:t xml:space="preserve">وسوء </w:t>
      </w:r>
      <w:r w:rsidRPr="00BA04D2">
        <w:rPr>
          <w:b/>
          <w:bCs/>
          <w:spacing w:val="-2"/>
          <w:sz w:val="20"/>
          <w:rtl/>
        </w:rPr>
        <w:t xml:space="preserve">المعاملة </w:t>
      </w:r>
      <w:r w:rsidRPr="00BA04D2">
        <w:rPr>
          <w:rFonts w:hint="cs"/>
          <w:b/>
          <w:bCs/>
          <w:spacing w:val="-2"/>
          <w:sz w:val="20"/>
          <w:rtl/>
        </w:rPr>
        <w:t>التي يرتكبها موظفو قوات الأمن العام وأفراد الجيش و</w:t>
      </w:r>
      <w:r w:rsidRPr="00BA04D2">
        <w:rPr>
          <w:b/>
          <w:bCs/>
          <w:spacing w:val="-2"/>
          <w:sz w:val="20"/>
          <w:rtl/>
        </w:rPr>
        <w:t>موظف</w:t>
      </w:r>
      <w:r w:rsidRPr="00BA04D2">
        <w:rPr>
          <w:rFonts w:hint="cs"/>
          <w:b/>
          <w:bCs/>
          <w:spacing w:val="-2"/>
          <w:sz w:val="20"/>
          <w:rtl/>
        </w:rPr>
        <w:t xml:space="preserve">و </w:t>
      </w:r>
      <w:r w:rsidRPr="00BA04D2">
        <w:rPr>
          <w:b/>
          <w:bCs/>
          <w:spacing w:val="-2"/>
          <w:sz w:val="20"/>
          <w:rtl/>
        </w:rPr>
        <w:t>السج</w:t>
      </w:r>
      <w:r w:rsidRPr="00BA04D2">
        <w:rPr>
          <w:rFonts w:hint="cs"/>
          <w:b/>
          <w:bCs/>
          <w:spacing w:val="-2"/>
          <w:sz w:val="20"/>
          <w:rtl/>
        </w:rPr>
        <w:t>ون، وكذلك تلك المتعلقة بحالات الوفاة أثناء الاحتجاز وممارسة العنف ضد المرأة والاتجار بالبشر. وينبغي لها أيضاً أن تجمع معلومات عن كل شكل من أشكال التعويض أو الجبر التي يحصل عليها الضحايا.</w:t>
      </w:r>
    </w:p>
    <w:p w:rsidR="004E0A37" w:rsidRPr="003549AC" w:rsidRDefault="003549AC" w:rsidP="004E0A37">
      <w:pPr>
        <w:pStyle w:val="SingleTxtGA"/>
        <w:jc w:val="lowKashida"/>
        <w:rPr>
          <w:rFonts w:hint="cs"/>
          <w:spacing w:val="0"/>
          <w:sz w:val="20"/>
          <w:rtl/>
        </w:rPr>
      </w:pPr>
      <w:r>
        <w:rPr>
          <w:rFonts w:hint="cs"/>
          <w:spacing w:val="0"/>
          <w:sz w:val="20"/>
          <w:rtl/>
        </w:rPr>
        <w:t>(27)</w:t>
      </w:r>
      <w:r w:rsidR="00BA04D2" w:rsidRPr="003549AC">
        <w:rPr>
          <w:rFonts w:hint="cs"/>
          <w:spacing w:val="0"/>
          <w:sz w:val="20"/>
          <w:rtl/>
        </w:rPr>
        <w:tab/>
      </w:r>
      <w:r w:rsidR="004E0A37" w:rsidRPr="003549AC">
        <w:rPr>
          <w:rFonts w:hint="cs"/>
          <w:spacing w:val="0"/>
          <w:sz w:val="20"/>
          <w:rtl/>
        </w:rPr>
        <w:t>وتأسف اللجنة لعدم تزويدها بأي معلومات عن القرارات المحددة الصادرة عن المحاكم الوطنية وأشير فيها إلى الاتفاقية وإلى الأحكام الواردة فيها.</w:t>
      </w:r>
    </w:p>
    <w:p w:rsidR="004E0A37" w:rsidRPr="004E0A37" w:rsidRDefault="003549AC" w:rsidP="003549AC">
      <w:pPr>
        <w:pStyle w:val="SingleTxtGA"/>
        <w:spacing w:line="360" w:lineRule="exact"/>
        <w:jc w:val="lowKashida"/>
        <w:rPr>
          <w:rFonts w:hint="cs"/>
          <w:spacing w:val="0"/>
          <w:sz w:val="20"/>
        </w:rPr>
      </w:pPr>
      <w:r>
        <w:rPr>
          <w:rFonts w:hint="cs"/>
          <w:spacing w:val="0"/>
          <w:sz w:val="20"/>
          <w:rtl/>
        </w:rPr>
        <w:t>(28)</w:t>
      </w:r>
      <w:r>
        <w:rPr>
          <w:rFonts w:hint="cs"/>
          <w:spacing w:val="0"/>
          <w:sz w:val="20"/>
          <w:rtl/>
        </w:rPr>
        <w:tab/>
      </w:r>
      <w:r w:rsidR="004E0A37" w:rsidRPr="004E0A37">
        <w:rPr>
          <w:rFonts w:hint="cs"/>
          <w:spacing w:val="0"/>
          <w:sz w:val="20"/>
          <w:rtl/>
        </w:rPr>
        <w:t>وتوصي اللجنة الدولة الطرف بالنظر في إمكانية إصدار الإعلانيين المنصوص عليهما في المادتين 21 و22 من الاتفاقية.</w:t>
      </w:r>
    </w:p>
    <w:p w:rsidR="004E0A37" w:rsidRPr="004E0A37" w:rsidRDefault="003549AC" w:rsidP="003549AC">
      <w:pPr>
        <w:pStyle w:val="SingleTxtGA"/>
        <w:spacing w:line="360" w:lineRule="exact"/>
        <w:jc w:val="lowKashida"/>
        <w:rPr>
          <w:rFonts w:hint="cs"/>
          <w:spacing w:val="0"/>
          <w:sz w:val="20"/>
        </w:rPr>
      </w:pPr>
      <w:r>
        <w:rPr>
          <w:rFonts w:hint="cs"/>
          <w:spacing w:val="0"/>
          <w:sz w:val="20"/>
          <w:rtl/>
        </w:rPr>
        <w:t>(29)</w:t>
      </w:r>
      <w:r>
        <w:rPr>
          <w:rFonts w:hint="cs"/>
          <w:spacing w:val="0"/>
          <w:sz w:val="20"/>
          <w:rtl/>
        </w:rPr>
        <w:tab/>
      </w:r>
      <w:r w:rsidR="004E0A37" w:rsidRPr="004E0A37">
        <w:rPr>
          <w:rFonts w:hint="cs"/>
          <w:spacing w:val="0"/>
          <w:sz w:val="20"/>
          <w:rtl/>
        </w:rPr>
        <w:t>وتدعو اللجنة الدولة الطرف إلى النظر في إمكانية التصديق على صكوك الأمم المتحدة الأساسية المتعلقة بحقوق الإنسان التي ليست طرفاً فيها بعد، لا سيما العهد الدولي الخاص بالحقوق المدنية والسياسية، والعهد الدولي الخاص بالحقوق الاقتصادية والاجتماعية والثقافية، والبروتوكول الاختياري لاتفاقية القضاء على جميع أشكال التمييز ضد المرأة، والاتفاقية الدولية لحماية حقوق جميع العمال المهاجرين وأفراد أسرهم، والبروتوكول الاختياري لاتفاقية حقوق الأشخاص ذوي الإعاقة.</w:t>
      </w:r>
    </w:p>
    <w:p w:rsidR="004E0A37" w:rsidRPr="003549AC" w:rsidRDefault="003549AC" w:rsidP="003549AC">
      <w:pPr>
        <w:pStyle w:val="SingleTxtGA"/>
        <w:spacing w:line="360" w:lineRule="exact"/>
        <w:jc w:val="lowKashida"/>
        <w:rPr>
          <w:rFonts w:hint="cs"/>
          <w:spacing w:val="-4"/>
          <w:sz w:val="20"/>
        </w:rPr>
      </w:pPr>
      <w:r w:rsidRPr="003549AC">
        <w:rPr>
          <w:rFonts w:hint="cs"/>
          <w:spacing w:val="-4"/>
          <w:sz w:val="20"/>
          <w:rtl/>
        </w:rPr>
        <w:t>(30)</w:t>
      </w:r>
      <w:r w:rsidRPr="003549AC">
        <w:rPr>
          <w:rFonts w:hint="cs"/>
          <w:spacing w:val="-4"/>
          <w:sz w:val="20"/>
          <w:rtl/>
        </w:rPr>
        <w:tab/>
      </w:r>
      <w:r w:rsidR="004E0A37" w:rsidRPr="003549AC">
        <w:rPr>
          <w:rFonts w:hint="cs"/>
          <w:spacing w:val="-4"/>
          <w:sz w:val="20"/>
          <w:rtl/>
        </w:rPr>
        <w:t>وتشجِّع اللجنة الدولة الطرف على نشر التقرير الذي قدمته إلى اللجنة وهذه الملاحظات الختامية على نطاق واسع، عن طريق وسائط الإعلام الرسمية والمنظمات غير الحكومية.</w:t>
      </w:r>
    </w:p>
    <w:p w:rsidR="004E0A37" w:rsidRPr="004E0A37" w:rsidRDefault="003549AC" w:rsidP="003549AC">
      <w:pPr>
        <w:pStyle w:val="SingleTxtGA"/>
        <w:spacing w:line="360" w:lineRule="exact"/>
        <w:jc w:val="lowKashida"/>
        <w:rPr>
          <w:rFonts w:hint="cs"/>
          <w:spacing w:val="0"/>
          <w:sz w:val="20"/>
        </w:rPr>
      </w:pPr>
      <w:r>
        <w:rPr>
          <w:rFonts w:hint="cs"/>
          <w:spacing w:val="0"/>
          <w:sz w:val="20"/>
          <w:rtl/>
        </w:rPr>
        <w:t>(31)</w:t>
      </w:r>
      <w:r>
        <w:rPr>
          <w:rFonts w:hint="cs"/>
          <w:spacing w:val="0"/>
          <w:sz w:val="20"/>
          <w:rtl/>
        </w:rPr>
        <w:tab/>
      </w:r>
      <w:r w:rsidR="004E0A37" w:rsidRPr="004E0A37">
        <w:rPr>
          <w:rFonts w:hint="cs"/>
          <w:spacing w:val="0"/>
          <w:sz w:val="20"/>
          <w:rtl/>
        </w:rPr>
        <w:t>وتُشجَّع الدولة الطرف على تحديث وثيقتها الأساسية الموحدة (</w:t>
      </w:r>
      <w:r w:rsidR="004E0A37" w:rsidRPr="004E0A37">
        <w:rPr>
          <w:spacing w:val="0"/>
          <w:sz w:val="20"/>
        </w:rPr>
        <w:t>HRI/CORE/1/Add.84</w:t>
      </w:r>
      <w:r w:rsidR="004E0A37" w:rsidRPr="004E0A37">
        <w:rPr>
          <w:rFonts w:hint="cs"/>
          <w:spacing w:val="0"/>
          <w:sz w:val="20"/>
          <w:rtl/>
        </w:rPr>
        <w:t>)</w:t>
      </w:r>
      <w:r w:rsidR="00B345DB">
        <w:rPr>
          <w:rFonts w:hint="cs"/>
          <w:spacing w:val="0"/>
          <w:sz w:val="20"/>
          <w:rtl/>
        </w:rPr>
        <w:t xml:space="preserve"> وفقاً </w:t>
      </w:r>
      <w:r w:rsidR="004E0A37" w:rsidRPr="004E0A37">
        <w:rPr>
          <w:rFonts w:hint="cs"/>
          <w:spacing w:val="0"/>
          <w:sz w:val="20"/>
          <w:rtl/>
        </w:rPr>
        <w:t>لشروط تقديم الوثيقة الأساسية الواردة في المبادئ التوجيهية المنسقة لتقديم التقارير بموجب الصكوك الدولية لحقوق الإنسان (</w:t>
      </w:r>
      <w:r w:rsidR="004E0A37" w:rsidRPr="004E0A37">
        <w:rPr>
          <w:spacing w:val="0"/>
          <w:sz w:val="20"/>
        </w:rPr>
        <w:t>HRI/Gen.2/Rev.6</w:t>
      </w:r>
      <w:r w:rsidR="004E0A37" w:rsidRPr="004E0A37">
        <w:rPr>
          <w:rFonts w:hint="cs"/>
          <w:spacing w:val="0"/>
          <w:sz w:val="20"/>
          <w:rtl/>
        </w:rPr>
        <w:t>).</w:t>
      </w:r>
    </w:p>
    <w:p w:rsidR="004E0A37" w:rsidRPr="004E0A37" w:rsidRDefault="003549AC" w:rsidP="003549AC">
      <w:pPr>
        <w:pStyle w:val="SingleTxtGA"/>
        <w:spacing w:line="360" w:lineRule="exact"/>
        <w:jc w:val="lowKashida"/>
        <w:rPr>
          <w:rFonts w:hint="cs"/>
          <w:spacing w:val="0"/>
          <w:sz w:val="20"/>
        </w:rPr>
      </w:pPr>
      <w:r>
        <w:rPr>
          <w:rFonts w:hint="cs"/>
          <w:spacing w:val="0"/>
          <w:sz w:val="20"/>
          <w:rtl/>
        </w:rPr>
        <w:t>(32)</w:t>
      </w:r>
      <w:r>
        <w:rPr>
          <w:rFonts w:hint="cs"/>
          <w:spacing w:val="0"/>
          <w:sz w:val="20"/>
          <w:rtl/>
        </w:rPr>
        <w:tab/>
      </w:r>
      <w:r w:rsidR="004E0A37" w:rsidRPr="004E0A37">
        <w:rPr>
          <w:rFonts w:hint="cs"/>
          <w:spacing w:val="0"/>
          <w:sz w:val="20"/>
          <w:rtl/>
        </w:rPr>
        <w:t>وتطلب اللجنة إلى الدولة الطرف أن تقدم بحلول 1 حزيران/يونيه 2013، معلومات عن الإجراءات المتخذة استجابة لتوصيات اللجنة بشأن: (أ) احترام أو تعزيز الضمانات القانونية الأساسية المتاحة للأشخاص المحتجزين؛ (ب) إجراء تحقيقات فورية ونزيهة وفعالة؛ (ج) وإجراءات الملاحقة المتخذة ضد المشتبه فيهم والعقوبات المفروضة على مرتكبي أعمال التعذيب أو سوء المعاملة، المنصوص عليها في الفقرة 10(ج) والفقرة 16(ب) والفقرتين 19 و21 من هذه الوثيقة. وإضافة إلى ذلك، تود اللجنة الحصول على معلومات عن الإجراءات المتخذة استجابةً للتوصيات المتعلقة بسبل الانتصاف والجبر المتاحة للضحايا المشار إليهم في الفقرات المذكورة.</w:t>
      </w:r>
    </w:p>
    <w:p w:rsidR="004E0A37" w:rsidRPr="004E0A37" w:rsidRDefault="003549AC" w:rsidP="003549AC">
      <w:pPr>
        <w:pStyle w:val="SingleTxtGA"/>
        <w:spacing w:line="360" w:lineRule="exact"/>
        <w:jc w:val="lowKashida"/>
        <w:rPr>
          <w:rFonts w:hint="cs"/>
          <w:spacing w:val="0"/>
          <w:sz w:val="20"/>
          <w:rtl/>
        </w:rPr>
      </w:pPr>
      <w:r>
        <w:rPr>
          <w:rFonts w:hint="cs"/>
          <w:spacing w:val="0"/>
          <w:sz w:val="20"/>
          <w:rtl/>
        </w:rPr>
        <w:t>(33)</w:t>
      </w:r>
      <w:r>
        <w:rPr>
          <w:rFonts w:hint="cs"/>
          <w:spacing w:val="0"/>
          <w:sz w:val="20"/>
          <w:rtl/>
        </w:rPr>
        <w:tab/>
      </w:r>
      <w:r w:rsidR="004E0A37" w:rsidRPr="004E0A37">
        <w:rPr>
          <w:rFonts w:hint="cs"/>
          <w:spacing w:val="0"/>
          <w:sz w:val="20"/>
          <w:rtl/>
        </w:rPr>
        <w:t>ويُرجى من الدولة الطرف أن تقدم تقريرها الدوري المقبل، الذي سيكون بمثابة تقريرها الدوري الثالث، وذلك بحلول 1 حزيران/يونيه 2016 كآخر أجل. ولهذا الغرض، تدعو اللجنة الدولة الطرف إلى أن تقبل، بحلول 1 حزيران/يونيه 2013، تقديم التقارير بموجب الإجراء الاختياري لتقديم التقارير، المتمثل في إحالة قائمة من المسائل التي ينبغي معالجتها من اللجنة إلى الدولة الطرف قبل تقديم التقرير الدوري. وسوف يشكل رد الدولة الطرف على قائمة المسائل هذه تقريرها الدوري المقبل بموجب المادة 19 من الاتفاقية.</w:t>
      </w:r>
    </w:p>
    <w:p w:rsidR="004E0A37" w:rsidRPr="004E0A37" w:rsidRDefault="004E0A37" w:rsidP="004E0A37">
      <w:pPr>
        <w:pStyle w:val="SingleTxtGA"/>
        <w:jc w:val="lowKashida"/>
        <w:rPr>
          <w:spacing w:val="0"/>
          <w:sz w:val="20"/>
          <w:rtl/>
        </w:rPr>
      </w:pPr>
      <w:r w:rsidRPr="004E0A37">
        <w:rPr>
          <w:rFonts w:hint="cs"/>
          <w:spacing w:val="0"/>
          <w:sz w:val="20"/>
          <w:rtl/>
        </w:rPr>
        <w:t>64-</w:t>
      </w:r>
      <w:r w:rsidRPr="004E0A37">
        <w:rPr>
          <w:rFonts w:hint="cs"/>
          <w:spacing w:val="0"/>
          <w:sz w:val="20"/>
          <w:rtl/>
        </w:rPr>
        <w:tab/>
      </w:r>
      <w:r w:rsidRPr="003549AC">
        <w:rPr>
          <w:b/>
          <w:bCs/>
          <w:spacing w:val="0"/>
          <w:sz w:val="20"/>
          <w:rtl/>
        </w:rPr>
        <w:t>الجمهورية التشيكية</w:t>
      </w:r>
    </w:p>
    <w:p w:rsidR="004E0A37" w:rsidRPr="004E0A37" w:rsidRDefault="004E0A37" w:rsidP="003549AC">
      <w:pPr>
        <w:pStyle w:val="SingleTxtGA"/>
        <w:spacing w:line="360" w:lineRule="exact"/>
        <w:jc w:val="lowKashida"/>
        <w:rPr>
          <w:spacing w:val="0"/>
          <w:sz w:val="20"/>
          <w:rtl/>
        </w:rPr>
      </w:pPr>
      <w:r w:rsidRPr="004E0A37">
        <w:rPr>
          <w:rFonts w:hint="cs"/>
          <w:spacing w:val="0"/>
          <w:sz w:val="20"/>
          <w:rtl/>
        </w:rPr>
        <w:t>(</w:t>
      </w:r>
      <w:r w:rsidRPr="004E0A37">
        <w:rPr>
          <w:spacing w:val="0"/>
          <w:sz w:val="20"/>
          <w:rtl/>
        </w:rPr>
        <w:t>1</w:t>
      </w:r>
      <w:r w:rsidR="003E72B5">
        <w:rPr>
          <w:rFonts w:hint="cs"/>
          <w:spacing w:val="0"/>
          <w:sz w:val="20"/>
          <w:rtl/>
        </w:rPr>
        <w:t>)</w:t>
      </w:r>
      <w:r w:rsidR="003E72B5">
        <w:rPr>
          <w:rFonts w:hint="cs"/>
          <w:spacing w:val="0"/>
          <w:sz w:val="20"/>
          <w:rtl/>
        </w:rPr>
        <w:tab/>
      </w:r>
      <w:r w:rsidRPr="004E0A37">
        <w:rPr>
          <w:spacing w:val="0"/>
          <w:sz w:val="20"/>
          <w:rtl/>
        </w:rPr>
        <w:t>نظرت لجنة مناهضة التعذيب، في جلستيها 1068 و1071 (</w:t>
      </w:r>
      <w:r w:rsidRPr="004E0A37">
        <w:rPr>
          <w:spacing w:val="0"/>
          <w:sz w:val="20"/>
        </w:rPr>
        <w:t>CAT/C/SR.1068</w:t>
      </w:r>
      <w:r w:rsidRPr="004E0A37">
        <w:rPr>
          <w:spacing w:val="0"/>
          <w:sz w:val="20"/>
          <w:rtl/>
        </w:rPr>
        <w:t xml:space="preserve"> و</w:t>
      </w:r>
      <w:r w:rsidRPr="004E0A37">
        <w:rPr>
          <w:spacing w:val="0"/>
          <w:sz w:val="20"/>
        </w:rPr>
        <w:t>CAT/C/SR.1071</w:t>
      </w:r>
      <w:r w:rsidRPr="004E0A37">
        <w:rPr>
          <w:spacing w:val="0"/>
          <w:sz w:val="20"/>
          <w:rtl/>
        </w:rPr>
        <w:t>)، المعقودتين في يومي 14 و15 أيار/مايو 2012، في التقريرين الدوريين المدمجين الرابع والخامس للجمهورية التشيكية (</w:t>
      </w:r>
      <w:r w:rsidRPr="004E0A37">
        <w:rPr>
          <w:spacing w:val="0"/>
          <w:sz w:val="20"/>
        </w:rPr>
        <w:t>CAT/C/CZE/4-5</w:t>
      </w:r>
      <w:r w:rsidRPr="004E0A37">
        <w:rPr>
          <w:spacing w:val="0"/>
          <w:sz w:val="20"/>
          <w:rtl/>
        </w:rPr>
        <w:t>)</w:t>
      </w:r>
      <w:r w:rsidRPr="004E0A37">
        <w:rPr>
          <w:rFonts w:hint="cs"/>
          <w:spacing w:val="0"/>
          <w:sz w:val="20"/>
          <w:rtl/>
        </w:rPr>
        <w:t>،</w:t>
      </w:r>
      <w:r w:rsidRPr="004E0A37">
        <w:rPr>
          <w:spacing w:val="0"/>
          <w:sz w:val="20"/>
          <w:rtl/>
        </w:rPr>
        <w:t xml:space="preserve"> واعتمدت في جلستها</w:t>
      </w:r>
      <w:r w:rsidRPr="004E0A37">
        <w:rPr>
          <w:rFonts w:hint="cs"/>
          <w:spacing w:val="0"/>
          <w:sz w:val="20"/>
          <w:rtl/>
        </w:rPr>
        <w:t> </w:t>
      </w:r>
      <w:r w:rsidRPr="004E0A37">
        <w:rPr>
          <w:spacing w:val="0"/>
          <w:sz w:val="20"/>
          <w:rtl/>
        </w:rPr>
        <w:t>1087 (</w:t>
      </w:r>
      <w:r w:rsidRPr="004E0A37">
        <w:rPr>
          <w:spacing w:val="0"/>
          <w:sz w:val="20"/>
        </w:rPr>
        <w:t>CAT/C/SR.1087</w:t>
      </w:r>
      <w:r w:rsidRPr="004E0A37">
        <w:rPr>
          <w:spacing w:val="0"/>
          <w:sz w:val="20"/>
          <w:rtl/>
        </w:rPr>
        <w:t>) الملاحظات الختامية التالية.</w:t>
      </w:r>
    </w:p>
    <w:p w:rsidR="004E0A37" w:rsidRPr="003549AC" w:rsidRDefault="007223C0" w:rsidP="009F0969">
      <w:pPr>
        <w:pStyle w:val="H23GA"/>
        <w:tabs>
          <w:tab w:val="left" w:pos="1938"/>
        </w:tabs>
        <w:rPr>
          <w:spacing w:val="0"/>
          <w:rtl/>
        </w:rPr>
      </w:pPr>
      <w:r>
        <w:rPr>
          <w:spacing w:val="0"/>
          <w:rtl/>
        </w:rPr>
        <w:tab/>
      </w:r>
      <w:r>
        <w:rPr>
          <w:spacing w:val="0"/>
          <w:rtl/>
        </w:rPr>
        <w:tab/>
        <w:t>ألف-</w:t>
      </w:r>
      <w:r w:rsidR="004E0A37" w:rsidRPr="003549AC">
        <w:rPr>
          <w:spacing w:val="0"/>
          <w:rtl/>
        </w:rPr>
        <w:tab/>
        <w:t>مقدمة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2</w:t>
      </w:r>
      <w:r w:rsidR="003E72B5">
        <w:rPr>
          <w:rFonts w:hint="cs"/>
          <w:spacing w:val="0"/>
          <w:sz w:val="20"/>
          <w:rtl/>
        </w:rPr>
        <w:t>)</w:t>
      </w:r>
      <w:r w:rsidR="003E72B5">
        <w:rPr>
          <w:rFonts w:hint="cs"/>
          <w:spacing w:val="0"/>
          <w:sz w:val="20"/>
          <w:rtl/>
        </w:rPr>
        <w:tab/>
      </w:r>
      <w:r w:rsidRPr="004E0A37">
        <w:rPr>
          <w:spacing w:val="0"/>
          <w:sz w:val="20"/>
          <w:rtl/>
        </w:rPr>
        <w:t>ترحب اللجنة بتقديم التقريرين الدوريين الرابع والخامس للجمهورية التشيكية في الموعد المحدد ووفقاً للمبادئ التوجيهية لتقديم التقارير، وبردودها المفصلة</w:t>
      </w:r>
      <w:r w:rsidRPr="004E0A37">
        <w:rPr>
          <w:rFonts w:hint="cs"/>
          <w:spacing w:val="0"/>
          <w:sz w:val="20"/>
          <w:rtl/>
        </w:rPr>
        <w:t xml:space="preserve"> </w:t>
      </w:r>
      <w:r w:rsidRPr="004E0A37">
        <w:rPr>
          <w:spacing w:val="0"/>
          <w:sz w:val="20"/>
          <w:rtl/>
        </w:rPr>
        <w:t>(</w:t>
      </w:r>
      <w:r w:rsidRPr="004E0A37">
        <w:rPr>
          <w:spacing w:val="0"/>
          <w:sz w:val="20"/>
        </w:rPr>
        <w:t>CAT/C/CZE/Q/4-5/Add.1</w:t>
      </w:r>
      <w:r w:rsidRPr="004E0A37">
        <w:rPr>
          <w:spacing w:val="0"/>
          <w:sz w:val="20"/>
          <w:rtl/>
        </w:rPr>
        <w:t>) على قائمة المسائل (</w:t>
      </w:r>
      <w:r w:rsidRPr="004E0A37">
        <w:rPr>
          <w:spacing w:val="0"/>
          <w:sz w:val="20"/>
        </w:rPr>
        <w:t>CAT/C/CZE/Q/4-5</w:t>
      </w:r>
      <w:r w:rsidRPr="004E0A37">
        <w:rPr>
          <w:spacing w:val="0"/>
          <w:sz w:val="20"/>
          <w:rtl/>
        </w:rPr>
        <w:t>). وتعرب اللجنة عن تقديرها للدولة الطرف لقبولها الإجراء الاختياري لتقديم التقارير الدورية رغم أنها</w:t>
      </w:r>
      <w:r w:rsidR="00335AC0">
        <w:rPr>
          <w:spacing w:val="0"/>
          <w:sz w:val="20"/>
          <w:rtl/>
        </w:rPr>
        <w:t xml:space="preserve"> لم </w:t>
      </w:r>
      <w:r w:rsidRPr="004E0A37">
        <w:rPr>
          <w:spacing w:val="0"/>
          <w:sz w:val="20"/>
          <w:rtl/>
        </w:rPr>
        <w:t xml:space="preserve">تقدم هذا التقرير بموجبه </w:t>
      </w:r>
      <w:r w:rsidRPr="004E0A37">
        <w:rPr>
          <w:rFonts w:hint="cs"/>
          <w:spacing w:val="0"/>
          <w:sz w:val="20"/>
          <w:rtl/>
        </w:rPr>
        <w:t>لأن صياغة هذا التقرير كانت قد بلغت</w:t>
      </w:r>
      <w:r w:rsidRPr="004E0A37">
        <w:rPr>
          <w:spacing w:val="0"/>
          <w:sz w:val="20"/>
          <w:rtl/>
        </w:rPr>
        <w:t xml:space="preserve"> مرحلة متقدمة.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3</w:t>
      </w:r>
      <w:r w:rsidR="003E72B5">
        <w:rPr>
          <w:rFonts w:hint="cs"/>
          <w:spacing w:val="0"/>
          <w:sz w:val="20"/>
          <w:rtl/>
        </w:rPr>
        <w:t>)</w:t>
      </w:r>
      <w:r w:rsidR="003E72B5">
        <w:rPr>
          <w:rFonts w:hint="cs"/>
          <w:spacing w:val="0"/>
          <w:sz w:val="20"/>
          <w:rtl/>
        </w:rPr>
        <w:tab/>
      </w:r>
      <w:r w:rsidRPr="004E0A37">
        <w:rPr>
          <w:spacing w:val="0"/>
          <w:sz w:val="20"/>
          <w:rtl/>
        </w:rPr>
        <w:t>وتشيد اللجنة بالحوار الصريح والبن</w:t>
      </w:r>
      <w:r w:rsidRPr="004E0A37">
        <w:rPr>
          <w:rFonts w:hint="cs"/>
          <w:spacing w:val="0"/>
          <w:sz w:val="20"/>
          <w:rtl/>
        </w:rPr>
        <w:t>َّ</w:t>
      </w:r>
      <w:r w:rsidRPr="004E0A37">
        <w:rPr>
          <w:spacing w:val="0"/>
          <w:sz w:val="20"/>
          <w:rtl/>
        </w:rPr>
        <w:t>اء مع وفد الدولة الطرف المتعدد القطاعات وتشكره على ردوده على المسائل التي أثارها أعضاء اللجنة.</w:t>
      </w:r>
    </w:p>
    <w:p w:rsidR="004E0A37" w:rsidRPr="003549AC" w:rsidRDefault="007223C0" w:rsidP="009F0969">
      <w:pPr>
        <w:pStyle w:val="H23GA"/>
        <w:tabs>
          <w:tab w:val="left" w:pos="1938"/>
        </w:tabs>
        <w:rPr>
          <w:spacing w:val="0"/>
          <w:rtl/>
        </w:rPr>
      </w:pPr>
      <w:r>
        <w:rPr>
          <w:spacing w:val="0"/>
          <w:rtl/>
        </w:rPr>
        <w:tab/>
      </w:r>
      <w:r>
        <w:rPr>
          <w:spacing w:val="0"/>
          <w:rtl/>
        </w:rPr>
        <w:tab/>
        <w:t>باء-</w:t>
      </w:r>
      <w:r w:rsidR="004E0A37" w:rsidRPr="003549AC">
        <w:rPr>
          <w:spacing w:val="0"/>
          <w:rtl/>
        </w:rPr>
        <w:tab/>
        <w:t>الجوانب الإيجابية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4</w:t>
      </w:r>
      <w:r w:rsidR="003E72B5">
        <w:rPr>
          <w:rFonts w:hint="cs"/>
          <w:spacing w:val="0"/>
          <w:sz w:val="20"/>
          <w:rtl/>
        </w:rPr>
        <w:t>)</w:t>
      </w:r>
      <w:r w:rsidR="003E72B5">
        <w:rPr>
          <w:rFonts w:hint="cs"/>
          <w:spacing w:val="0"/>
          <w:sz w:val="20"/>
          <w:rtl/>
        </w:rPr>
        <w:tab/>
      </w:r>
      <w:r w:rsidRPr="004E0A37">
        <w:rPr>
          <w:spacing w:val="0"/>
          <w:sz w:val="20"/>
          <w:rtl/>
        </w:rPr>
        <w:t>ترحب اللجنة بتصديق الدولة الطرف على الصكوك الدولية التالية أو انضمامها إليها منذ النظر في تقريرها الدوري الثالث:</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spacing w:val="0"/>
          <w:sz w:val="20"/>
          <w:rtl/>
        </w:rPr>
        <w:tab/>
        <w:t>البروتوكول الاختياري لاتفاقية مناهضة التعذيب وغيره من ضروب المعاملة أو العقوبة القاسية أو اللاإنسانية أو المهينة (20 تموز/يوليه 2006)؛</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(ب)</w:t>
      </w:r>
      <w:r w:rsidRPr="004E0A37">
        <w:rPr>
          <w:rFonts w:hint="cs"/>
          <w:spacing w:val="0"/>
          <w:sz w:val="20"/>
          <w:rtl/>
        </w:rPr>
        <w:tab/>
      </w:r>
      <w:r w:rsidRPr="004E0A37">
        <w:rPr>
          <w:spacing w:val="0"/>
          <w:sz w:val="20"/>
          <w:rtl/>
        </w:rPr>
        <w:t>البروتوكول الاختياري لاتفاقية حقوق الطفل المتعلق ببيع الأطفال وبغاء الأطفال واستغلال الأطفال في المواد الإباحية (26 كانون الثاني/يناير 2005)؛</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(ج)</w:t>
      </w:r>
      <w:r w:rsidRPr="004E0A37">
        <w:rPr>
          <w:spacing w:val="0"/>
          <w:sz w:val="20"/>
          <w:rtl/>
        </w:rPr>
        <w:tab/>
        <w:t>اتفاقية حقوق الأشخاص ذوي الإعاقة (28 أيلول/سبتمبر 2009)؛</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(د)</w:t>
      </w:r>
      <w:r w:rsidRPr="004E0A37">
        <w:rPr>
          <w:spacing w:val="0"/>
          <w:sz w:val="20"/>
          <w:rtl/>
        </w:rPr>
        <w:tab/>
        <w:t>نظام روما الأساسي للمحكمة الجنائية الدولية (21 تموز/يوليه 2009).</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5</w:t>
      </w:r>
      <w:r w:rsidR="003E72B5">
        <w:rPr>
          <w:rFonts w:hint="cs"/>
          <w:spacing w:val="0"/>
          <w:sz w:val="20"/>
          <w:rtl/>
        </w:rPr>
        <w:t>)</w:t>
      </w:r>
      <w:r w:rsidR="003E72B5">
        <w:rPr>
          <w:rFonts w:hint="cs"/>
          <w:spacing w:val="0"/>
          <w:sz w:val="20"/>
          <w:rtl/>
        </w:rPr>
        <w:tab/>
      </w:r>
      <w:r w:rsidRPr="004E0A37">
        <w:rPr>
          <w:spacing w:val="0"/>
          <w:sz w:val="20"/>
          <w:rtl/>
        </w:rPr>
        <w:t>وت</w:t>
      </w:r>
      <w:r w:rsidRPr="004E0A37">
        <w:rPr>
          <w:rFonts w:hint="cs"/>
          <w:spacing w:val="0"/>
          <w:sz w:val="20"/>
          <w:rtl/>
        </w:rPr>
        <w:t>نوه</w:t>
      </w:r>
      <w:r w:rsidRPr="004E0A37">
        <w:rPr>
          <w:spacing w:val="0"/>
          <w:sz w:val="20"/>
          <w:rtl/>
        </w:rPr>
        <w:t xml:space="preserve"> اللجنة </w:t>
      </w:r>
      <w:r w:rsidRPr="004E0A37">
        <w:rPr>
          <w:rFonts w:hint="cs"/>
          <w:spacing w:val="0"/>
          <w:sz w:val="20"/>
          <w:rtl/>
        </w:rPr>
        <w:t>ب</w:t>
      </w:r>
      <w:r w:rsidRPr="004E0A37">
        <w:rPr>
          <w:spacing w:val="0"/>
          <w:sz w:val="20"/>
          <w:rtl/>
        </w:rPr>
        <w:t>جهود الدولة الطرف الكبيرة والمتواصلة من أجل مراجعة قوانينها في المجالات ذات الصلة بالاتفاقية، بما في ذلك:</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spacing w:val="0"/>
          <w:sz w:val="20"/>
          <w:rtl/>
        </w:rPr>
        <w:tab/>
        <w:t>تعديل القانون المتعلق بمؤسسة أمين المظالم الذي يمنحها صلاحية القيام بدور الآلية الوقائية الوطنية</w:t>
      </w:r>
      <w:r w:rsidR="00B345DB">
        <w:rPr>
          <w:spacing w:val="0"/>
          <w:sz w:val="20"/>
          <w:rtl/>
        </w:rPr>
        <w:t xml:space="preserve"> وفقاً </w:t>
      </w:r>
      <w:r w:rsidRPr="004E0A37">
        <w:rPr>
          <w:spacing w:val="0"/>
          <w:sz w:val="20"/>
          <w:rtl/>
        </w:rPr>
        <w:t>للبروتوكول الاختياري للاتفاقية الذي دخل حيز النفاذ في 1 كانون الثاني/يناير 2006 (القانون رقم 381/2005)؛</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(ب)</w:t>
      </w:r>
      <w:r w:rsidRPr="004E0A37">
        <w:rPr>
          <w:spacing w:val="0"/>
          <w:sz w:val="20"/>
          <w:rtl/>
        </w:rPr>
        <w:tab/>
        <w:t>التعديلان المُدخلان على قانون الإجراءات الجنائية في عامي 2008 و2011 والمتعلقان بمسألتي تسليم المطلوبين ومطالبة ضحايا الجريمة، بما في ذلك التعذيب، بالتعويض (القانونان رقم 457/2008 ورقم 181/2011)؛</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(ج)</w:t>
      </w:r>
      <w:r w:rsidRPr="004E0A37">
        <w:rPr>
          <w:spacing w:val="0"/>
          <w:sz w:val="20"/>
          <w:rtl/>
        </w:rPr>
        <w:tab/>
        <w:t>التعديلان المُدخلان على قانون اللجوء في عام 2006 (القانون رقم</w:t>
      </w:r>
      <w:r w:rsidRPr="004E0A37">
        <w:rPr>
          <w:rFonts w:hint="cs"/>
          <w:spacing w:val="0"/>
          <w:sz w:val="20"/>
          <w:rtl/>
        </w:rPr>
        <w:t> </w:t>
      </w:r>
      <w:r w:rsidRPr="004E0A37">
        <w:rPr>
          <w:spacing w:val="0"/>
          <w:sz w:val="20"/>
          <w:rtl/>
        </w:rPr>
        <w:t>165/2006) وفي عام 2011 (القانون رقم 303/2011)؛</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(د)</w:t>
      </w:r>
      <w:r w:rsidRPr="004E0A37">
        <w:rPr>
          <w:spacing w:val="0"/>
          <w:sz w:val="20"/>
          <w:rtl/>
        </w:rPr>
        <w:tab/>
        <w:t>تعديلات قانون مكافحة العنف المنزلي التي دخلت حيز النفاذ في 1 كانون الثاني/يناير 2007 (القانون رقم 135/2006)؛</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(ه</w:t>
      </w:r>
      <w:r w:rsidRPr="004E0A37">
        <w:rPr>
          <w:rFonts w:hint="cs"/>
          <w:spacing w:val="0"/>
          <w:sz w:val="20"/>
          <w:rtl/>
        </w:rPr>
        <w:t>‍(</w:t>
      </w:r>
      <w:r w:rsidRPr="004E0A37">
        <w:rPr>
          <w:spacing w:val="0"/>
          <w:sz w:val="20"/>
          <w:rtl/>
        </w:rPr>
        <w:tab/>
        <w:t>القانون الجديد المتعلق بقوات الشرطة في الجمهورية التشيكية (القانون رقم</w:t>
      </w:r>
      <w:r w:rsidRPr="004E0A37">
        <w:rPr>
          <w:rFonts w:hint="cs"/>
          <w:spacing w:val="0"/>
          <w:sz w:val="20"/>
          <w:rtl/>
        </w:rPr>
        <w:t> </w:t>
      </w:r>
      <w:r w:rsidRPr="004E0A37">
        <w:rPr>
          <w:spacing w:val="0"/>
          <w:sz w:val="20"/>
          <w:rtl/>
        </w:rPr>
        <w:t>273/2008)؛</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(و)</w:t>
      </w:r>
      <w:r w:rsidRPr="004E0A37">
        <w:rPr>
          <w:spacing w:val="0"/>
          <w:sz w:val="20"/>
          <w:rtl/>
        </w:rPr>
        <w:tab/>
        <w:t>دخول القانون الجديد المتعلق بالاحتجاز لأسباب أمنية (القانون رقم</w:t>
      </w:r>
      <w:r w:rsidRPr="004E0A37">
        <w:rPr>
          <w:rFonts w:hint="cs"/>
          <w:spacing w:val="0"/>
          <w:sz w:val="20"/>
          <w:rtl/>
        </w:rPr>
        <w:t> </w:t>
      </w:r>
      <w:r w:rsidRPr="004E0A37">
        <w:rPr>
          <w:spacing w:val="0"/>
          <w:sz w:val="20"/>
          <w:rtl/>
        </w:rPr>
        <w:t>129/2008) حيز النفاذ في 1 كانون الثاني/يناير 2009؛</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(ز)</w:t>
      </w:r>
      <w:r w:rsidRPr="004E0A37">
        <w:rPr>
          <w:spacing w:val="0"/>
          <w:sz w:val="20"/>
          <w:rtl/>
        </w:rPr>
        <w:tab/>
        <w:t>دخول القانون رقم 198/2009 المتعلق بالمساواة في المعاملة والوسائل القانونية للحماية من التمييز (قانون مكافحة التمييز) حيز النفاذ في 1 أيلول/سبتمبر 2009؛</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(ح)</w:t>
      </w:r>
      <w:r w:rsidRPr="004E0A37">
        <w:rPr>
          <w:spacing w:val="0"/>
          <w:sz w:val="20"/>
          <w:rtl/>
        </w:rPr>
        <w:tab/>
        <w:t xml:space="preserve">دخول القانون الجنائي الجديد (القانون رقم 40/2009) الذي يدرج الدافع العنصري ضمن ظروف التشديد </w:t>
      </w:r>
      <w:r w:rsidR="00F96B1E">
        <w:rPr>
          <w:spacing w:val="0"/>
          <w:sz w:val="20"/>
          <w:rtl/>
        </w:rPr>
        <w:t>فيما </w:t>
      </w:r>
      <w:r w:rsidRPr="004E0A37">
        <w:rPr>
          <w:spacing w:val="0"/>
          <w:sz w:val="20"/>
          <w:rtl/>
        </w:rPr>
        <w:t>يخص عددا</w:t>
      </w:r>
      <w:r w:rsidRPr="004E0A37">
        <w:rPr>
          <w:rFonts w:hint="cs"/>
          <w:spacing w:val="0"/>
          <w:sz w:val="20"/>
          <w:rtl/>
        </w:rPr>
        <w:t>ً</w:t>
      </w:r>
      <w:r w:rsidRPr="004E0A37">
        <w:rPr>
          <w:spacing w:val="0"/>
          <w:sz w:val="20"/>
          <w:rtl/>
        </w:rPr>
        <w:t xml:space="preserve"> من الجرائم حيز النفاذ في 1 كانون الثاني/يناير 2010؛</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(ط)</w:t>
      </w:r>
      <w:r w:rsidRPr="004E0A37">
        <w:rPr>
          <w:spacing w:val="0"/>
          <w:sz w:val="20"/>
          <w:rtl/>
        </w:rPr>
        <w:tab/>
        <w:t>القانون الجديد المتعلق بالخدمات الطبية الخاصة (القانون رقم</w:t>
      </w:r>
      <w:r w:rsidRPr="004E0A37">
        <w:rPr>
          <w:rFonts w:hint="cs"/>
          <w:spacing w:val="0"/>
          <w:sz w:val="20"/>
          <w:rtl/>
        </w:rPr>
        <w:t> </w:t>
      </w:r>
      <w:r w:rsidRPr="004E0A37">
        <w:rPr>
          <w:spacing w:val="0"/>
          <w:sz w:val="20"/>
          <w:rtl/>
        </w:rPr>
        <w:t>373/2012) الساري المفعول منذ 1 نيسان/أبريل 2012.</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6</w:t>
      </w:r>
      <w:r w:rsidR="003E72B5">
        <w:rPr>
          <w:rFonts w:hint="cs"/>
          <w:spacing w:val="0"/>
          <w:sz w:val="20"/>
          <w:rtl/>
        </w:rPr>
        <w:t>)</w:t>
      </w:r>
      <w:r w:rsidR="003E72B5">
        <w:rPr>
          <w:rFonts w:hint="cs"/>
          <w:spacing w:val="0"/>
          <w:sz w:val="20"/>
          <w:rtl/>
        </w:rPr>
        <w:tab/>
      </w:r>
      <w:r w:rsidRPr="004E0A37">
        <w:rPr>
          <w:spacing w:val="0"/>
          <w:sz w:val="20"/>
          <w:rtl/>
        </w:rPr>
        <w:t>كما ترحب اللجنة بجهود الدولة الطرف من أجل تعديل سياساتها وبرامجها وتدابيرها الإدارية بغية ضمان حماية حقوق الإنسان بقدر أكبر وتفعيل الاتفاقية، بما في ذلك:</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spacing w:val="0"/>
          <w:sz w:val="20"/>
          <w:rtl/>
        </w:rPr>
        <w:tab/>
        <w:t xml:space="preserve">اعتماد استراتيجية عمل قوات الشرطة التشيكية </w:t>
      </w:r>
      <w:r w:rsidR="00F96B1E">
        <w:rPr>
          <w:spacing w:val="0"/>
          <w:sz w:val="20"/>
          <w:rtl/>
        </w:rPr>
        <w:t>فيما </w:t>
      </w:r>
      <w:r w:rsidRPr="004E0A37">
        <w:rPr>
          <w:spacing w:val="0"/>
          <w:sz w:val="20"/>
          <w:rtl/>
        </w:rPr>
        <w:t>يتعلق بالأقليات للفترة</w:t>
      </w:r>
      <w:r w:rsidRPr="004E0A37">
        <w:rPr>
          <w:rFonts w:hint="cs"/>
          <w:spacing w:val="0"/>
          <w:sz w:val="20"/>
          <w:rtl/>
        </w:rPr>
        <w:t> </w:t>
      </w:r>
      <w:r w:rsidRPr="004E0A37">
        <w:rPr>
          <w:spacing w:val="0"/>
          <w:sz w:val="20"/>
          <w:rtl/>
        </w:rPr>
        <w:t>2008-2012؛</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(ب)</w:t>
      </w:r>
      <w:r w:rsidRPr="004E0A37">
        <w:rPr>
          <w:spacing w:val="0"/>
          <w:sz w:val="20"/>
          <w:rtl/>
        </w:rPr>
        <w:tab/>
        <w:t>اعتماد خطة العمل الوطنية لتنفيذ الاستراتيجية الوطنية لمنع العنف ضد الأطفال في الجمهورية التشيكية للفترة 2008-2012؛</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(ج)</w:t>
      </w:r>
      <w:r w:rsidRPr="004E0A37">
        <w:rPr>
          <w:spacing w:val="0"/>
          <w:sz w:val="20"/>
          <w:rtl/>
        </w:rPr>
        <w:tab/>
        <w:t>الموافقة على خطة العمل الوطنية لتغيير وتوحيد نظام رعاية الأطفال المستضعفين في الفترة 2009-2011؛</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(د)</w:t>
      </w:r>
      <w:r w:rsidRPr="004E0A37">
        <w:rPr>
          <w:spacing w:val="0"/>
          <w:sz w:val="20"/>
          <w:rtl/>
        </w:rPr>
        <w:tab/>
        <w:t>اعتماد خطة العمل الوطنية لمنع العنف المنزلي للفترة 2011-2014؛</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(ه</w:t>
      </w:r>
      <w:r w:rsidRPr="004E0A37">
        <w:rPr>
          <w:rFonts w:hint="cs"/>
          <w:spacing w:val="0"/>
          <w:sz w:val="20"/>
          <w:rtl/>
        </w:rPr>
        <w:t>‍(</w:t>
      </w:r>
      <w:r w:rsidRPr="004E0A37">
        <w:rPr>
          <w:spacing w:val="0"/>
          <w:sz w:val="20"/>
          <w:rtl/>
        </w:rPr>
        <w:tab/>
        <w:t>اعتماد الاستراتيجية الوطنية لمكافحة الاتجار بالأشخاص في الجمهورية التشيكية للفترة 2012-2015؛</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(و)</w:t>
      </w:r>
      <w:r w:rsidRPr="004E0A37">
        <w:rPr>
          <w:spacing w:val="0"/>
          <w:sz w:val="20"/>
          <w:rtl/>
        </w:rPr>
        <w:tab/>
        <w:t>إنشاء هيئة التفتيش العام لقوات الأمن في كانون الثاني/يناير 2012 (القانون رقم 341/2011).</w:t>
      </w:r>
    </w:p>
    <w:p w:rsidR="004E0A37" w:rsidRPr="003549AC" w:rsidRDefault="007223C0" w:rsidP="009F0969">
      <w:pPr>
        <w:pStyle w:val="H23GA"/>
        <w:tabs>
          <w:tab w:val="left" w:pos="1953"/>
        </w:tabs>
        <w:rPr>
          <w:spacing w:val="0"/>
          <w:rtl/>
        </w:rPr>
      </w:pPr>
      <w:r>
        <w:rPr>
          <w:spacing w:val="0"/>
          <w:rtl/>
        </w:rPr>
        <w:tab/>
      </w:r>
      <w:r>
        <w:rPr>
          <w:spacing w:val="0"/>
          <w:rtl/>
        </w:rPr>
        <w:tab/>
        <w:t>جيم-</w:t>
      </w:r>
      <w:r w:rsidR="004E0A37" w:rsidRPr="003549AC">
        <w:rPr>
          <w:spacing w:val="0"/>
          <w:rtl/>
        </w:rPr>
        <w:tab/>
        <w:t>دواعي القلق الرئيسية والتوصيات</w:t>
      </w:r>
    </w:p>
    <w:p w:rsidR="004E0A37" w:rsidRPr="003549AC" w:rsidRDefault="004E0A37" w:rsidP="003549AC">
      <w:pPr>
        <w:pStyle w:val="H23GA"/>
        <w:rPr>
          <w:spacing w:val="0"/>
          <w:rtl/>
        </w:rPr>
      </w:pPr>
      <w:r w:rsidRPr="003549AC">
        <w:rPr>
          <w:spacing w:val="0"/>
          <w:rtl/>
        </w:rPr>
        <w:tab/>
      </w:r>
      <w:r w:rsidRPr="003549AC">
        <w:rPr>
          <w:spacing w:val="0"/>
          <w:rtl/>
        </w:rPr>
        <w:tab/>
        <w:t>تعريف التعذيب</w:t>
      </w:r>
    </w:p>
    <w:p w:rsidR="004E0A37" w:rsidRPr="004E0A37" w:rsidRDefault="00E16FB7" w:rsidP="004E0A37">
      <w:pPr>
        <w:pStyle w:val="SingleTxtGA"/>
        <w:jc w:val="lowKashida"/>
        <w:rPr>
          <w:spacing w:val="0"/>
          <w:sz w:val="20"/>
          <w:rtl/>
        </w:rPr>
      </w:pPr>
      <w:r>
        <w:rPr>
          <w:rFonts w:hint="cs"/>
          <w:spacing w:val="0"/>
          <w:sz w:val="20"/>
          <w:rtl/>
        </w:rPr>
        <w:t>(</w:t>
      </w:r>
      <w:r w:rsidR="004E0A37" w:rsidRPr="004E0A37">
        <w:rPr>
          <w:spacing w:val="0"/>
          <w:sz w:val="20"/>
          <w:rtl/>
        </w:rPr>
        <w:t>7</w:t>
      </w:r>
      <w:r w:rsidR="003E72B5">
        <w:rPr>
          <w:spacing w:val="0"/>
          <w:sz w:val="20"/>
          <w:rtl/>
        </w:rPr>
        <w:t>)</w:t>
      </w:r>
      <w:r w:rsidR="003E72B5">
        <w:rPr>
          <w:spacing w:val="0"/>
          <w:sz w:val="20"/>
          <w:rtl/>
        </w:rPr>
        <w:tab/>
      </w:r>
      <w:r w:rsidR="004E0A37" w:rsidRPr="004E0A37">
        <w:rPr>
          <w:rFonts w:hint="cs"/>
          <w:spacing w:val="0"/>
          <w:sz w:val="20"/>
          <w:rtl/>
        </w:rPr>
        <w:t xml:space="preserve">في حين </w:t>
      </w:r>
      <w:r w:rsidR="004E0A37" w:rsidRPr="004E0A37">
        <w:rPr>
          <w:spacing w:val="0"/>
          <w:sz w:val="20"/>
          <w:rtl/>
        </w:rPr>
        <w:t xml:space="preserve">تلاحظ </w:t>
      </w:r>
      <w:r w:rsidR="004E0A37" w:rsidRPr="004E0A37">
        <w:rPr>
          <w:rFonts w:hint="cs"/>
          <w:spacing w:val="0"/>
          <w:sz w:val="20"/>
          <w:rtl/>
        </w:rPr>
        <w:t xml:space="preserve">اللجنة </w:t>
      </w:r>
      <w:r w:rsidR="004E0A37" w:rsidRPr="004E0A37">
        <w:rPr>
          <w:spacing w:val="0"/>
          <w:sz w:val="20"/>
          <w:rtl/>
        </w:rPr>
        <w:t xml:space="preserve">أن المادة 10 من الدستور تعطي الأولوية للمعاهدات الدولية التي وافق عليها البرلمان على القوانين المحلية، </w:t>
      </w:r>
      <w:r w:rsidR="004E0A37" w:rsidRPr="004E0A37">
        <w:rPr>
          <w:rFonts w:hint="cs"/>
          <w:spacing w:val="0"/>
          <w:sz w:val="20"/>
          <w:rtl/>
        </w:rPr>
        <w:t xml:space="preserve">فإنها </w:t>
      </w:r>
      <w:r w:rsidR="004E0A37" w:rsidRPr="004E0A37">
        <w:rPr>
          <w:spacing w:val="0"/>
          <w:sz w:val="20"/>
          <w:rtl/>
        </w:rPr>
        <w:t>تشعر بالقلق لأن القانون الجنائي الجديد يكتفي بتحديد مفهوم جريمة التعذيب وغيره من ضروب المعاملة اللاإنسانية والقاسية ولا</w:t>
      </w:r>
      <w:r w:rsidR="004E0A37" w:rsidRPr="004E0A37">
        <w:rPr>
          <w:rFonts w:hint="cs"/>
          <w:spacing w:val="0"/>
          <w:sz w:val="20"/>
          <w:rtl/>
        </w:rPr>
        <w:t> </w:t>
      </w:r>
      <w:r w:rsidR="004E0A37" w:rsidRPr="004E0A37">
        <w:rPr>
          <w:spacing w:val="0"/>
          <w:sz w:val="20"/>
          <w:rtl/>
        </w:rPr>
        <w:t>يعرِّف التعذيب وفق أحكام الاتفاقية (المادة 1).</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توصي اللجنة الدولة الطرف بأن تعدِّل قانونها الجنائي لاعتماد تعريف للتعذيب يشمل جميع العناصر الواردة في المادة 1 من الاتفاقية.</w:t>
      </w:r>
    </w:p>
    <w:p w:rsidR="004E0A37" w:rsidRPr="003549AC" w:rsidRDefault="004E0A37" w:rsidP="003549AC">
      <w:pPr>
        <w:pStyle w:val="H23GA"/>
        <w:rPr>
          <w:spacing w:val="0"/>
          <w:rtl/>
        </w:rPr>
      </w:pPr>
      <w:r w:rsidRPr="003549AC">
        <w:rPr>
          <w:rFonts w:hint="cs"/>
          <w:spacing w:val="0"/>
          <w:rtl/>
        </w:rPr>
        <w:tab/>
      </w:r>
      <w:r w:rsidRPr="003549AC">
        <w:rPr>
          <w:rFonts w:hint="cs"/>
          <w:spacing w:val="0"/>
          <w:rtl/>
        </w:rPr>
        <w:tab/>
      </w:r>
      <w:r w:rsidRPr="003549AC">
        <w:rPr>
          <w:spacing w:val="0"/>
          <w:rtl/>
        </w:rPr>
        <w:t xml:space="preserve">رحلات الطيران </w:t>
      </w:r>
      <w:r w:rsidRPr="003549AC">
        <w:rPr>
          <w:rFonts w:hint="cs"/>
          <w:spacing w:val="0"/>
          <w:rtl/>
        </w:rPr>
        <w:t>لأغراض ترحيل الأشخاص سرّا</w:t>
      </w:r>
      <w:r w:rsidR="003549AC">
        <w:rPr>
          <w:rFonts w:hint="cs"/>
          <w:spacing w:val="0"/>
          <w:rtl/>
        </w:rPr>
        <w:t>ً</w:t>
      </w:r>
      <w:r w:rsidRPr="003549AC">
        <w:rPr>
          <w:rFonts w:hint="cs"/>
          <w:spacing w:val="0"/>
          <w:rtl/>
        </w:rPr>
        <w:t xml:space="preserve"> </w:t>
      </w:r>
      <w:r w:rsidRPr="003549AC">
        <w:rPr>
          <w:spacing w:val="0"/>
          <w:rtl/>
        </w:rPr>
        <w:t>والضمانات الدبلوماسية</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8</w:t>
      </w:r>
      <w:r w:rsidR="003E72B5">
        <w:rPr>
          <w:spacing w:val="0"/>
          <w:sz w:val="20"/>
          <w:rtl/>
        </w:rPr>
        <w:t>)</w:t>
      </w:r>
      <w:r w:rsidR="003E72B5">
        <w:rPr>
          <w:spacing w:val="0"/>
          <w:sz w:val="20"/>
          <w:rtl/>
        </w:rPr>
        <w:tab/>
      </w:r>
      <w:r w:rsidR="004E0A37" w:rsidRPr="004E0A37">
        <w:rPr>
          <w:rFonts w:hint="cs"/>
          <w:spacing w:val="0"/>
          <w:sz w:val="20"/>
          <w:rtl/>
        </w:rPr>
        <w:t>تلاحظ</w:t>
      </w:r>
      <w:r w:rsidR="004E0A37" w:rsidRPr="004E0A37">
        <w:rPr>
          <w:spacing w:val="0"/>
          <w:sz w:val="20"/>
          <w:rtl/>
        </w:rPr>
        <w:t xml:space="preserve"> اللجنة </w:t>
      </w:r>
      <w:r w:rsidR="004E0A37" w:rsidRPr="004E0A37">
        <w:rPr>
          <w:rFonts w:hint="cs"/>
          <w:spacing w:val="0"/>
          <w:sz w:val="20"/>
          <w:rtl/>
        </w:rPr>
        <w:t>ب</w:t>
      </w:r>
      <w:r w:rsidR="004E0A37" w:rsidRPr="004E0A37">
        <w:rPr>
          <w:spacing w:val="0"/>
          <w:sz w:val="20"/>
          <w:rtl/>
        </w:rPr>
        <w:t xml:space="preserve">قلق </w:t>
      </w:r>
      <w:r w:rsidR="004E0A37" w:rsidRPr="004E0A37">
        <w:rPr>
          <w:rFonts w:hint="cs"/>
          <w:spacing w:val="0"/>
          <w:sz w:val="20"/>
          <w:rtl/>
        </w:rPr>
        <w:t>أن</w:t>
      </w:r>
      <w:r w:rsidR="004E0A37" w:rsidRPr="004E0A37">
        <w:rPr>
          <w:spacing w:val="0"/>
          <w:sz w:val="20"/>
          <w:rtl/>
        </w:rPr>
        <w:t xml:space="preserve"> الدولة الطرف </w:t>
      </w:r>
      <w:r w:rsidR="004E0A37" w:rsidRPr="004E0A37">
        <w:rPr>
          <w:rFonts w:hint="cs"/>
          <w:spacing w:val="0"/>
          <w:sz w:val="20"/>
          <w:rtl/>
        </w:rPr>
        <w:t xml:space="preserve">تذرعت </w:t>
      </w:r>
      <w:r w:rsidR="004E0A37" w:rsidRPr="004E0A37">
        <w:rPr>
          <w:spacing w:val="0"/>
          <w:sz w:val="20"/>
          <w:rtl/>
        </w:rPr>
        <w:t xml:space="preserve">في </w:t>
      </w:r>
      <w:r w:rsidR="004E0A37" w:rsidRPr="004E0A37">
        <w:rPr>
          <w:rFonts w:hint="cs"/>
          <w:spacing w:val="0"/>
          <w:sz w:val="20"/>
          <w:rtl/>
        </w:rPr>
        <w:t>ردو</w:t>
      </w:r>
      <w:r w:rsidR="004E0A37" w:rsidRPr="004E0A37">
        <w:rPr>
          <w:spacing w:val="0"/>
          <w:sz w:val="20"/>
          <w:rtl/>
        </w:rPr>
        <w:t xml:space="preserve">دها الخطية باتفاقية الطيران المدني الدولي (اتفاقية شيكاغو) كمبرر لعدم طلب تفتيش الطائرات المدنية. وتلاحظ اللجنة أن الدولة الطرف أوضحت </w:t>
      </w:r>
      <w:r w:rsidR="004E0A37" w:rsidRPr="004E0A37">
        <w:rPr>
          <w:rFonts w:hint="cs"/>
          <w:spacing w:val="0"/>
          <w:sz w:val="20"/>
          <w:rtl/>
        </w:rPr>
        <w:t>أثناء</w:t>
      </w:r>
      <w:r w:rsidR="004E0A37" w:rsidRPr="004E0A37">
        <w:rPr>
          <w:spacing w:val="0"/>
          <w:sz w:val="20"/>
          <w:rtl/>
        </w:rPr>
        <w:t xml:space="preserve"> الحوار الشفوي أن</w:t>
      </w:r>
      <w:r w:rsidR="004E0A37" w:rsidRPr="004E0A37">
        <w:rPr>
          <w:rFonts w:hint="cs"/>
          <w:spacing w:val="0"/>
          <w:sz w:val="20"/>
          <w:rtl/>
        </w:rPr>
        <w:t xml:space="preserve"> تطبيق</w:t>
      </w:r>
      <w:r w:rsidR="004E0A37" w:rsidRPr="004E0A37">
        <w:rPr>
          <w:spacing w:val="0"/>
          <w:sz w:val="20"/>
          <w:rtl/>
        </w:rPr>
        <w:t xml:space="preserve"> اتفاقية شيكاغو لا </w:t>
      </w:r>
      <w:r w:rsidR="004E0A37" w:rsidRPr="004E0A37">
        <w:rPr>
          <w:rFonts w:hint="cs"/>
          <w:spacing w:val="0"/>
          <w:sz w:val="20"/>
          <w:rtl/>
        </w:rPr>
        <w:t xml:space="preserve">يهدف إلى </w:t>
      </w:r>
      <w:r w:rsidR="004E0A37" w:rsidRPr="004E0A37">
        <w:rPr>
          <w:spacing w:val="0"/>
          <w:sz w:val="20"/>
          <w:rtl/>
        </w:rPr>
        <w:t xml:space="preserve">منع أو </w:t>
      </w:r>
      <w:r w:rsidR="004E0A37" w:rsidRPr="004E0A37">
        <w:rPr>
          <w:rFonts w:hint="cs"/>
          <w:spacing w:val="0"/>
          <w:sz w:val="20"/>
          <w:rtl/>
        </w:rPr>
        <w:t>إعاقة</w:t>
      </w:r>
      <w:r w:rsidR="004E0A37" w:rsidRPr="004E0A37">
        <w:rPr>
          <w:spacing w:val="0"/>
          <w:sz w:val="20"/>
          <w:rtl/>
        </w:rPr>
        <w:t xml:space="preserve"> تنفيذ اتفاقية مناهضة التعذيب. ويساور اللجنة القلق أيضاً لقبول الدولة الطرف ضمانات دبلوماسية </w:t>
      </w:r>
      <w:r w:rsidR="00F96B1E">
        <w:rPr>
          <w:spacing w:val="0"/>
          <w:sz w:val="20"/>
          <w:rtl/>
        </w:rPr>
        <w:t>فيما </w:t>
      </w:r>
      <w:r w:rsidR="004E0A37" w:rsidRPr="004E0A37">
        <w:rPr>
          <w:spacing w:val="0"/>
          <w:sz w:val="20"/>
          <w:rtl/>
        </w:rPr>
        <w:t xml:space="preserve">يتعلق بترحيل أشخاص من أراضيها إلى دول قد يتعرضون فيها للتعذيب. ويساور اللجنة القلق كذلك لعدم تقديم معلومات بشأن نوع الضمانات الدبلوماسية </w:t>
      </w:r>
      <w:r w:rsidR="004E0A37" w:rsidRPr="004E0A37">
        <w:rPr>
          <w:rFonts w:hint="cs"/>
          <w:spacing w:val="0"/>
          <w:sz w:val="20"/>
          <w:rtl/>
        </w:rPr>
        <w:t>التي تلقتها</w:t>
      </w:r>
      <w:r w:rsidR="004E0A37" w:rsidRPr="004E0A37">
        <w:rPr>
          <w:spacing w:val="0"/>
          <w:sz w:val="20"/>
          <w:rtl/>
        </w:rPr>
        <w:t xml:space="preserve"> أو </w:t>
      </w:r>
      <w:r w:rsidR="004E0A37" w:rsidRPr="004E0A37">
        <w:rPr>
          <w:rFonts w:hint="cs"/>
          <w:spacing w:val="0"/>
          <w:sz w:val="20"/>
          <w:rtl/>
        </w:rPr>
        <w:t>التي طلبتها</w:t>
      </w:r>
      <w:r w:rsidR="004E0A37" w:rsidRPr="004E0A37">
        <w:rPr>
          <w:spacing w:val="0"/>
          <w:sz w:val="20"/>
          <w:rtl/>
        </w:rPr>
        <w:t xml:space="preserve"> (المواد 3 و6 و7).</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 xml:space="preserve">توصي اللجنة الدولة الطرف برفض قبول الضمانات الدبلوماسية </w:t>
      </w:r>
      <w:r w:rsidR="00F96B1E" w:rsidRPr="002310A5">
        <w:rPr>
          <w:b/>
          <w:bCs/>
          <w:spacing w:val="0"/>
          <w:sz w:val="20"/>
          <w:rtl/>
        </w:rPr>
        <w:t>فيما </w:t>
      </w:r>
      <w:r w:rsidRPr="002310A5">
        <w:rPr>
          <w:b/>
          <w:bCs/>
          <w:spacing w:val="0"/>
          <w:sz w:val="20"/>
          <w:rtl/>
        </w:rPr>
        <w:t xml:space="preserve">يتعلق بترحيل الأشخاص من أراضيها إلى دول قد يتعرضون فيها للتعذيب إذ لا يمكن أن تشكل تلك الضمانات أداة لتغيير الوضع في حالة التصميم على انتهاك المادة 3 من الاتفاقية. كما تطلب إلى الدولة الطرف أن تقدم إليها معلومات بشأن عدد </w:t>
      </w:r>
      <w:r w:rsidRPr="002310A5">
        <w:rPr>
          <w:rFonts w:hint="cs"/>
          <w:b/>
          <w:bCs/>
          <w:spacing w:val="0"/>
          <w:sz w:val="20"/>
          <w:rtl/>
        </w:rPr>
        <w:t xml:space="preserve">ونوع </w:t>
      </w:r>
      <w:r w:rsidRPr="002310A5">
        <w:rPr>
          <w:b/>
          <w:bCs/>
          <w:spacing w:val="0"/>
          <w:sz w:val="20"/>
          <w:rtl/>
        </w:rPr>
        <w:t xml:space="preserve">الضمانات الدبلوماسية التي تلقتها منذ عام 2004 </w:t>
      </w:r>
      <w:r w:rsidRPr="002310A5">
        <w:rPr>
          <w:rFonts w:hint="cs"/>
          <w:b/>
          <w:bCs/>
          <w:spacing w:val="0"/>
          <w:sz w:val="20"/>
          <w:rtl/>
        </w:rPr>
        <w:t xml:space="preserve">مع ذكر </w:t>
      </w:r>
      <w:r w:rsidRPr="002310A5">
        <w:rPr>
          <w:b/>
          <w:bCs/>
          <w:spacing w:val="0"/>
          <w:sz w:val="20"/>
          <w:rtl/>
        </w:rPr>
        <w:t>البلدان المعنية.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ظروف الاحتجاز</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9</w:t>
      </w:r>
      <w:r w:rsidR="003E72B5">
        <w:rPr>
          <w:spacing w:val="0"/>
          <w:sz w:val="20"/>
          <w:rtl/>
        </w:rPr>
        <w:t>)</w:t>
      </w:r>
      <w:r w:rsidR="003E72B5">
        <w:rPr>
          <w:spacing w:val="0"/>
          <w:sz w:val="20"/>
          <w:rtl/>
        </w:rPr>
        <w:tab/>
      </w:r>
      <w:r w:rsidR="004E0A37" w:rsidRPr="004E0A37">
        <w:rPr>
          <w:spacing w:val="0"/>
          <w:sz w:val="20"/>
          <w:rtl/>
        </w:rPr>
        <w:t xml:space="preserve">يساور اللجنةَ القلق إزاء تزايد الاكتظاظ في مرافق الاحتجاز </w:t>
      </w:r>
      <w:r w:rsidR="004E0A37" w:rsidRPr="004E0A37">
        <w:rPr>
          <w:rFonts w:hint="cs"/>
          <w:spacing w:val="0"/>
          <w:sz w:val="20"/>
          <w:rtl/>
        </w:rPr>
        <w:t>بما</w:t>
      </w:r>
      <w:r w:rsidR="004E0A37" w:rsidRPr="004E0A37">
        <w:rPr>
          <w:spacing w:val="0"/>
          <w:sz w:val="20"/>
          <w:rtl/>
        </w:rPr>
        <w:t xml:space="preserve"> يؤدي إلى تزايد أعمال العنف </w:t>
      </w:r>
      <w:r w:rsidR="00F96B1E">
        <w:rPr>
          <w:spacing w:val="0"/>
          <w:sz w:val="20"/>
          <w:rtl/>
        </w:rPr>
        <w:t>فيما </w:t>
      </w:r>
      <w:r w:rsidR="004E0A37" w:rsidRPr="004E0A37">
        <w:rPr>
          <w:spacing w:val="0"/>
          <w:sz w:val="20"/>
          <w:rtl/>
        </w:rPr>
        <w:t xml:space="preserve">بين السجناء؛ وإزاء استعمال أسلوب الرش بالفلفل في </w:t>
      </w:r>
      <w:r w:rsidR="004E0A37" w:rsidRPr="004E0A37">
        <w:rPr>
          <w:rFonts w:hint="cs"/>
          <w:spacing w:val="0"/>
          <w:sz w:val="20"/>
          <w:rtl/>
        </w:rPr>
        <w:t>أ</w:t>
      </w:r>
      <w:r w:rsidR="004E0A37" w:rsidRPr="004E0A37">
        <w:rPr>
          <w:spacing w:val="0"/>
          <w:sz w:val="20"/>
          <w:rtl/>
        </w:rPr>
        <w:t>ماكن مغلقة في السجون؛ وإزاء عدد حالات الانتحار في أماكن الاحتجاز وعدم وجود معلومات بشأن أسبابها؛ وإزاء حضور موظفي السجون خلال الفحص الطبي للسجناء؛ وإزاء فحص الأطباء النفسيين للنزلاء عبر السياجات الأمنية العازلة وعدم وجود معلومات بشأن ممارسة الحبس الانفرادي المزعومة (المادتان 11 و16).</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 xml:space="preserve">توصي اللجنة الدولة الطرف بأن </w:t>
      </w:r>
      <w:r w:rsidRPr="002310A5">
        <w:rPr>
          <w:rFonts w:hint="cs"/>
          <w:b/>
          <w:bCs/>
          <w:spacing w:val="0"/>
          <w:sz w:val="20"/>
          <w:rtl/>
        </w:rPr>
        <w:t>تلجأ أكثر فأكثر إلى</w:t>
      </w:r>
      <w:r w:rsidRPr="002310A5">
        <w:rPr>
          <w:b/>
          <w:bCs/>
          <w:spacing w:val="0"/>
          <w:sz w:val="20"/>
          <w:rtl/>
        </w:rPr>
        <w:t xml:space="preserve"> التدابير البديلة غير الاحتجازية تماشياً مع قواعد الأمم المتحدة النموذجية الدنيا للتدابير غير الاحتجازية (قواعد طوكيو) وبأن تقلص عدد عقوبات الحبس الناجمة عن عدم تنفيذ العقوبات البديلة التي تتحول بالتالي إلى عقوبة الحبس. وتوصي الدولةَ الطرفَ بأن تراجع الأنظمة المتعلقة باستعمال أسلوب الرش بالفلفل في الأماكن المغلقة. كما توصي اللجنةُ بأن تُجرى دراسة بشأن أسباب الانتحار في أماكن الاحتجاز وبأن تحسِّن دائرةُ السجون وسائل رصد و</w:t>
      </w:r>
      <w:r w:rsidRPr="002310A5">
        <w:rPr>
          <w:rFonts w:hint="cs"/>
          <w:b/>
          <w:bCs/>
          <w:spacing w:val="0"/>
          <w:sz w:val="20"/>
          <w:rtl/>
        </w:rPr>
        <w:t>تحديد</w:t>
      </w:r>
      <w:r w:rsidRPr="002310A5">
        <w:rPr>
          <w:b/>
          <w:bCs/>
          <w:spacing w:val="0"/>
          <w:sz w:val="20"/>
          <w:rtl/>
        </w:rPr>
        <w:t xml:space="preserve"> المحتجزين الذين قد يقدِمون على الانتحار وبأن تتخذ تدابير وقائية بخصوص خطر الانتحار والعنف </w:t>
      </w:r>
      <w:r w:rsidR="00F96B1E" w:rsidRPr="002310A5">
        <w:rPr>
          <w:b/>
          <w:bCs/>
          <w:spacing w:val="0"/>
          <w:sz w:val="20"/>
          <w:rtl/>
        </w:rPr>
        <w:t>فيما </w:t>
      </w:r>
      <w:r w:rsidRPr="002310A5">
        <w:rPr>
          <w:b/>
          <w:bCs/>
          <w:spacing w:val="0"/>
          <w:sz w:val="20"/>
          <w:rtl/>
        </w:rPr>
        <w:t xml:space="preserve">بين السجناء، بما في ذلك نصب كاميرات وزيادة عدد موظفي السجون. كما توصي بتعديل القواعد التي تنظم الفحص الطبي للسجناء لضمان </w:t>
      </w:r>
      <w:r w:rsidRPr="002310A5">
        <w:rPr>
          <w:rFonts w:hint="cs"/>
          <w:b/>
          <w:bCs/>
          <w:spacing w:val="0"/>
          <w:sz w:val="20"/>
          <w:rtl/>
        </w:rPr>
        <w:t>سريته واستقلاليته،</w:t>
      </w:r>
      <w:r w:rsidRPr="002310A5">
        <w:rPr>
          <w:b/>
          <w:bCs/>
          <w:spacing w:val="0"/>
          <w:sz w:val="20"/>
          <w:rtl/>
        </w:rPr>
        <w:t xml:space="preserve"> وأن لا يفحص الأطباء النفسيون النزلاء عبر السياجات الأمنية العازلة</w:t>
      </w:r>
      <w:r w:rsidRPr="002310A5">
        <w:rPr>
          <w:rFonts w:hint="cs"/>
          <w:b/>
          <w:bCs/>
          <w:spacing w:val="0"/>
          <w:sz w:val="20"/>
          <w:rtl/>
        </w:rPr>
        <w:t>،</w:t>
      </w:r>
      <w:r w:rsidRPr="002310A5">
        <w:rPr>
          <w:b/>
          <w:bCs/>
          <w:spacing w:val="0"/>
          <w:sz w:val="20"/>
          <w:rtl/>
        </w:rPr>
        <w:t xml:space="preserve"> وأن تُنقَل مهمة تقديم الخدمات الصحية للمحتجزين من دائرة السجون التابعة لوزارة العدل إلى وزارة الصحة. وتود اللجنة أن تتلقى معلومات بشأن </w:t>
      </w:r>
      <w:r w:rsidRPr="002310A5">
        <w:rPr>
          <w:rFonts w:hint="cs"/>
          <w:b/>
          <w:bCs/>
          <w:spacing w:val="0"/>
          <w:sz w:val="20"/>
          <w:rtl/>
        </w:rPr>
        <w:t>ممارسة</w:t>
      </w:r>
      <w:r w:rsidRPr="002310A5">
        <w:rPr>
          <w:b/>
          <w:bCs/>
          <w:spacing w:val="0"/>
          <w:sz w:val="20"/>
          <w:rtl/>
        </w:rPr>
        <w:t xml:space="preserve"> الحبس الانفرادي في الجمهورية التشيكية، بما في ذلك قوانينه وأنظمته ومدته وعدد من يخضعون له وما إذا كان يخضع للرقابة القضائية التي تشمل المراجعة القضائية.</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10</w:t>
      </w:r>
      <w:r w:rsidR="003E72B5">
        <w:rPr>
          <w:spacing w:val="0"/>
          <w:sz w:val="20"/>
          <w:rtl/>
        </w:rPr>
        <w:t>)</w:t>
      </w:r>
      <w:r w:rsidR="003E72B5">
        <w:rPr>
          <w:spacing w:val="0"/>
          <w:sz w:val="20"/>
          <w:rtl/>
        </w:rPr>
        <w:tab/>
      </w:r>
      <w:r w:rsidR="004E0A37" w:rsidRPr="004E0A37">
        <w:rPr>
          <w:spacing w:val="0"/>
          <w:sz w:val="20"/>
          <w:rtl/>
        </w:rPr>
        <w:t xml:space="preserve">ويساور اللجنة القلق إزاء استمرار سياسة إلزام بعض الفئات من المحتجزين </w:t>
      </w:r>
      <w:r w:rsidR="004E0A37" w:rsidRPr="004E0A37">
        <w:rPr>
          <w:rFonts w:hint="cs"/>
          <w:spacing w:val="0"/>
          <w:sz w:val="20"/>
          <w:rtl/>
        </w:rPr>
        <w:t>بسداد نحو</w:t>
      </w:r>
      <w:r w:rsidR="004E0A37" w:rsidRPr="004E0A37">
        <w:rPr>
          <w:spacing w:val="0"/>
          <w:sz w:val="20"/>
          <w:rtl/>
        </w:rPr>
        <w:t xml:space="preserve"> 32 في المائة من تكاليف احتجازهم (المادتان 2 و11).</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 xml:space="preserve">توصي اللجنة الدولة الطرف بأن تنهي على الفور سياسة إلزام بعض الفئات من المحتجزين </w:t>
      </w:r>
      <w:r w:rsidRPr="002310A5">
        <w:rPr>
          <w:rFonts w:hint="cs"/>
          <w:b/>
          <w:bCs/>
          <w:spacing w:val="0"/>
          <w:sz w:val="20"/>
          <w:rtl/>
        </w:rPr>
        <w:t xml:space="preserve">بسداد </w:t>
      </w:r>
      <w:r w:rsidRPr="002310A5">
        <w:rPr>
          <w:b/>
          <w:bCs/>
          <w:spacing w:val="0"/>
          <w:sz w:val="20"/>
          <w:rtl/>
        </w:rPr>
        <w:t>تكلفة احتجازهم.</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معاملة أقلية الروما</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11</w:t>
      </w:r>
      <w:r w:rsidR="003E72B5">
        <w:rPr>
          <w:spacing w:val="0"/>
          <w:sz w:val="20"/>
          <w:rtl/>
        </w:rPr>
        <w:t>)</w:t>
      </w:r>
      <w:r w:rsidR="003E72B5">
        <w:rPr>
          <w:spacing w:val="0"/>
          <w:sz w:val="20"/>
          <w:rtl/>
        </w:rPr>
        <w:tab/>
      </w:r>
      <w:r w:rsidR="004E0A37" w:rsidRPr="004E0A37">
        <w:rPr>
          <w:spacing w:val="0"/>
          <w:sz w:val="20"/>
          <w:rtl/>
        </w:rPr>
        <w:t>يساور اللجنة قلق بالغ إزاء التقارير الواردة بشأن استمرار تهميش المنتمين إلى أقلية الروما والتمييز ضدهم. و</w:t>
      </w:r>
      <w:r w:rsidR="004E0A37" w:rsidRPr="004E0A37">
        <w:rPr>
          <w:rFonts w:hint="cs"/>
          <w:spacing w:val="0"/>
          <w:sz w:val="20"/>
          <w:rtl/>
        </w:rPr>
        <w:t xml:space="preserve">قد وقعت عدة </w:t>
      </w:r>
      <w:r w:rsidR="004E0A37" w:rsidRPr="004E0A37">
        <w:rPr>
          <w:spacing w:val="0"/>
          <w:sz w:val="20"/>
          <w:rtl/>
        </w:rPr>
        <w:t xml:space="preserve">حوادث </w:t>
      </w:r>
      <w:r w:rsidR="004E0A37" w:rsidRPr="004E0A37">
        <w:rPr>
          <w:rFonts w:hint="cs"/>
          <w:spacing w:val="0"/>
          <w:sz w:val="20"/>
          <w:rtl/>
        </w:rPr>
        <w:t xml:space="preserve">في الآونة الأخيرة، منها </w:t>
      </w:r>
      <w:r w:rsidR="004E0A37" w:rsidRPr="004E0A37">
        <w:rPr>
          <w:spacing w:val="0"/>
          <w:sz w:val="20"/>
          <w:rtl/>
        </w:rPr>
        <w:t>مقتل ثلاثة أشخاص</w:t>
      </w:r>
      <w:r w:rsidR="004E0A37" w:rsidRPr="004E0A37">
        <w:rPr>
          <w:rFonts w:hint="cs"/>
          <w:spacing w:val="0"/>
          <w:sz w:val="20"/>
          <w:rtl/>
        </w:rPr>
        <w:t>،</w:t>
      </w:r>
      <w:r w:rsidR="004E0A37" w:rsidRPr="004E0A37">
        <w:rPr>
          <w:spacing w:val="0"/>
          <w:sz w:val="20"/>
          <w:rtl/>
        </w:rPr>
        <w:t xml:space="preserve"> و</w:t>
      </w:r>
      <w:r w:rsidR="004E0A37" w:rsidRPr="004E0A37">
        <w:rPr>
          <w:rFonts w:hint="cs"/>
          <w:spacing w:val="0"/>
          <w:sz w:val="20"/>
          <w:rtl/>
        </w:rPr>
        <w:t>المظاهرات ال</w:t>
      </w:r>
      <w:r w:rsidR="004E0A37" w:rsidRPr="004E0A37">
        <w:rPr>
          <w:spacing w:val="0"/>
          <w:sz w:val="20"/>
          <w:rtl/>
        </w:rPr>
        <w:t>مناهضة للروما</w:t>
      </w:r>
      <w:r w:rsidR="004E0A37" w:rsidRPr="004E0A37">
        <w:rPr>
          <w:rFonts w:hint="cs"/>
          <w:spacing w:val="0"/>
          <w:sz w:val="20"/>
          <w:rtl/>
        </w:rPr>
        <w:t>،</w:t>
      </w:r>
      <w:r w:rsidR="004E0A37" w:rsidRPr="004E0A37">
        <w:rPr>
          <w:spacing w:val="0"/>
          <w:sz w:val="20"/>
          <w:rtl/>
        </w:rPr>
        <w:t xml:space="preserve"> و</w:t>
      </w:r>
      <w:r w:rsidR="004E0A37" w:rsidRPr="004E0A37">
        <w:rPr>
          <w:rFonts w:hint="cs"/>
          <w:spacing w:val="0"/>
          <w:sz w:val="20"/>
          <w:rtl/>
        </w:rPr>
        <w:t>إضرام النيران في</w:t>
      </w:r>
      <w:r w:rsidR="004E0A37" w:rsidRPr="004E0A37">
        <w:rPr>
          <w:spacing w:val="0"/>
          <w:sz w:val="20"/>
          <w:rtl/>
        </w:rPr>
        <w:t xml:space="preserve"> بيوت الروما. كما يساور اللجنة القلق </w:t>
      </w:r>
      <w:r w:rsidR="004E0A37" w:rsidRPr="004E0A37">
        <w:rPr>
          <w:rFonts w:hint="cs"/>
          <w:spacing w:val="0"/>
          <w:sz w:val="20"/>
          <w:rtl/>
        </w:rPr>
        <w:t>ل</w:t>
      </w:r>
      <w:r w:rsidR="004E0A37" w:rsidRPr="004E0A37">
        <w:rPr>
          <w:spacing w:val="0"/>
          <w:sz w:val="20"/>
          <w:rtl/>
        </w:rPr>
        <w:t xml:space="preserve">عدم </w:t>
      </w:r>
      <w:r w:rsidR="004E0A37" w:rsidRPr="004E0A37">
        <w:rPr>
          <w:rFonts w:hint="cs"/>
          <w:spacing w:val="0"/>
          <w:sz w:val="20"/>
          <w:rtl/>
        </w:rPr>
        <w:t xml:space="preserve">إجراء </w:t>
      </w:r>
      <w:r w:rsidR="004E0A37" w:rsidRPr="004E0A37">
        <w:rPr>
          <w:spacing w:val="0"/>
          <w:sz w:val="20"/>
          <w:rtl/>
        </w:rPr>
        <w:t xml:space="preserve">تحقيقات فورية وحيادية وفعالة </w:t>
      </w:r>
      <w:r w:rsidR="004E0A37" w:rsidRPr="004E0A37">
        <w:rPr>
          <w:rFonts w:hint="cs"/>
          <w:spacing w:val="0"/>
          <w:sz w:val="20"/>
          <w:rtl/>
        </w:rPr>
        <w:t xml:space="preserve">في هذه الحوادث </w:t>
      </w:r>
      <w:r w:rsidR="004E0A37" w:rsidRPr="004E0A37">
        <w:rPr>
          <w:spacing w:val="0"/>
          <w:sz w:val="20"/>
          <w:rtl/>
        </w:rPr>
        <w:t>وملاحق</w:t>
      </w:r>
      <w:r w:rsidR="004E0A37" w:rsidRPr="004E0A37">
        <w:rPr>
          <w:rFonts w:hint="cs"/>
          <w:spacing w:val="0"/>
          <w:sz w:val="20"/>
          <w:rtl/>
        </w:rPr>
        <w:t>ة الجناة</w:t>
      </w:r>
      <w:r w:rsidR="004E0A37" w:rsidRPr="004E0A37">
        <w:rPr>
          <w:spacing w:val="0"/>
          <w:sz w:val="20"/>
          <w:rtl/>
        </w:rPr>
        <w:t xml:space="preserve"> قضائي</w:t>
      </w:r>
      <w:r w:rsidR="004E0A37" w:rsidRPr="004E0A37">
        <w:rPr>
          <w:rFonts w:hint="cs"/>
          <w:spacing w:val="0"/>
          <w:sz w:val="20"/>
          <w:rtl/>
        </w:rPr>
        <w:t>ا</w:t>
      </w:r>
      <w:r w:rsidR="004E0A37" w:rsidRPr="004E0A37">
        <w:rPr>
          <w:spacing w:val="0"/>
          <w:sz w:val="20"/>
          <w:rtl/>
        </w:rPr>
        <w:t xml:space="preserve"> (المواد 2 و12 و13 و16).</w:t>
      </w:r>
    </w:p>
    <w:p w:rsidR="004E0A37" w:rsidRPr="004E0A37" w:rsidRDefault="007F7966" w:rsidP="007F7966">
      <w:pPr>
        <w:pStyle w:val="H23GA"/>
        <w:tabs>
          <w:tab w:val="clear" w:pos="1021"/>
          <w:tab w:val="left" w:pos="1938"/>
        </w:tabs>
        <w:jc w:val="lowKashida"/>
        <w:rPr>
          <w:rFonts w:hint="cs"/>
          <w:spacing w:val="0"/>
          <w:sz w:val="20"/>
          <w:rtl/>
        </w:rPr>
      </w:pPr>
      <w:r>
        <w:rPr>
          <w:rFonts w:hint="cs"/>
          <w:spacing w:val="0"/>
          <w:sz w:val="20"/>
          <w:rtl/>
        </w:rPr>
        <w:tab/>
      </w:r>
      <w:r w:rsidR="004E0A37" w:rsidRPr="004E0A37">
        <w:rPr>
          <w:rFonts w:hint="cs"/>
          <w:spacing w:val="0"/>
          <w:sz w:val="20"/>
          <w:rtl/>
        </w:rPr>
        <w:tab/>
      </w:r>
      <w:r w:rsidR="004E0A37" w:rsidRPr="004E0A37">
        <w:rPr>
          <w:spacing w:val="0"/>
          <w:sz w:val="20"/>
          <w:rtl/>
        </w:rPr>
        <w:t>يجب على الدولة الطرف</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(أ)</w:t>
      </w:r>
      <w:r w:rsidRPr="002310A5">
        <w:rPr>
          <w:b/>
          <w:bCs/>
          <w:spacing w:val="0"/>
          <w:sz w:val="20"/>
          <w:rtl/>
        </w:rPr>
        <w:tab/>
        <w:t xml:space="preserve">أن تكفل حماية المواطنين المنتمين إلى أقلية الروما وممتلكاتهم بتعزيز تدابير المراقبة والوقاية. وينبغي التحقيق بشكل شامل وفعال في جميع </w:t>
      </w:r>
      <w:r w:rsidRPr="002310A5">
        <w:rPr>
          <w:rFonts w:hint="cs"/>
          <w:b/>
          <w:bCs/>
          <w:spacing w:val="0"/>
          <w:sz w:val="20"/>
          <w:rtl/>
        </w:rPr>
        <w:t xml:space="preserve">أعمال </w:t>
      </w:r>
      <w:r w:rsidRPr="002310A5">
        <w:rPr>
          <w:b/>
          <w:bCs/>
          <w:spacing w:val="0"/>
          <w:sz w:val="20"/>
          <w:rtl/>
        </w:rPr>
        <w:t>العنف والتمييز ضد أقلية الروما وتقديم الجناة إلى العدالة و</w:t>
      </w:r>
      <w:r w:rsidRPr="002310A5">
        <w:rPr>
          <w:rFonts w:hint="cs"/>
          <w:b/>
          <w:bCs/>
          <w:spacing w:val="0"/>
          <w:sz w:val="20"/>
          <w:rtl/>
        </w:rPr>
        <w:t>توفير</w:t>
      </w:r>
      <w:r w:rsidRPr="002310A5">
        <w:rPr>
          <w:b/>
          <w:bCs/>
          <w:spacing w:val="0"/>
          <w:sz w:val="20"/>
          <w:rtl/>
        </w:rPr>
        <w:t xml:space="preserve"> سبل الانتصاف </w:t>
      </w:r>
      <w:r w:rsidRPr="002310A5">
        <w:rPr>
          <w:rFonts w:hint="cs"/>
          <w:b/>
          <w:bCs/>
          <w:spacing w:val="0"/>
          <w:sz w:val="20"/>
          <w:rtl/>
        </w:rPr>
        <w:t xml:space="preserve">والتعويض </w:t>
      </w:r>
      <w:r w:rsidRPr="002310A5">
        <w:rPr>
          <w:b/>
          <w:bCs/>
          <w:spacing w:val="0"/>
          <w:sz w:val="20"/>
          <w:rtl/>
        </w:rPr>
        <w:t>للضحايا. وينبغي أن يتلقى موظفو إنفاذ القوانين التدريب في مجال مكافحة الجرائم ضد الأقليات وأن يعيَّن أفراد من جماعة الروما في قوات الشرطة. وتوصي اللجنةُ بتجميع إحصاءات بشأن الجرائم المتسمة بالتطرف وبشأن نتائج التحقيقات والملاحقات القضائية و</w:t>
      </w:r>
      <w:r w:rsidRPr="002310A5">
        <w:rPr>
          <w:rFonts w:hint="cs"/>
          <w:b/>
          <w:bCs/>
          <w:spacing w:val="0"/>
          <w:sz w:val="20"/>
          <w:rtl/>
        </w:rPr>
        <w:t>ال</w:t>
      </w:r>
      <w:r w:rsidRPr="002310A5">
        <w:rPr>
          <w:b/>
          <w:bCs/>
          <w:spacing w:val="0"/>
          <w:sz w:val="20"/>
          <w:rtl/>
        </w:rPr>
        <w:t xml:space="preserve">تدابير </w:t>
      </w:r>
      <w:r w:rsidRPr="002310A5">
        <w:rPr>
          <w:rFonts w:hint="cs"/>
          <w:b/>
          <w:bCs/>
          <w:spacing w:val="0"/>
          <w:sz w:val="20"/>
          <w:rtl/>
        </w:rPr>
        <w:t>ال</w:t>
      </w:r>
      <w:r w:rsidRPr="002310A5">
        <w:rPr>
          <w:b/>
          <w:bCs/>
          <w:spacing w:val="0"/>
          <w:sz w:val="20"/>
          <w:rtl/>
        </w:rPr>
        <w:t>إصلاح</w:t>
      </w:r>
      <w:r w:rsidRPr="002310A5">
        <w:rPr>
          <w:rFonts w:hint="cs"/>
          <w:b/>
          <w:bCs/>
          <w:spacing w:val="0"/>
          <w:sz w:val="20"/>
          <w:rtl/>
        </w:rPr>
        <w:t>ية</w:t>
      </w:r>
      <w:r w:rsidRPr="002310A5">
        <w:rPr>
          <w:b/>
          <w:bCs/>
          <w:spacing w:val="0"/>
          <w:sz w:val="20"/>
          <w:rtl/>
        </w:rPr>
        <w:t xml:space="preserve"> المتخذة </w:t>
      </w:r>
      <w:r w:rsidR="00F96B1E" w:rsidRPr="002310A5">
        <w:rPr>
          <w:b/>
          <w:bCs/>
          <w:spacing w:val="0"/>
          <w:sz w:val="20"/>
          <w:rtl/>
        </w:rPr>
        <w:t>فيما </w:t>
      </w:r>
      <w:r w:rsidRPr="002310A5">
        <w:rPr>
          <w:b/>
          <w:bCs/>
          <w:spacing w:val="0"/>
          <w:sz w:val="20"/>
          <w:rtl/>
        </w:rPr>
        <w:t>يتعلق بهذه الجرائم؛</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(ب)</w:t>
      </w:r>
      <w:r w:rsidRPr="002310A5">
        <w:rPr>
          <w:b/>
          <w:bCs/>
          <w:spacing w:val="0"/>
          <w:sz w:val="20"/>
          <w:rtl/>
        </w:rPr>
        <w:tab/>
        <w:t xml:space="preserve">أن تشجب علناً الاعتداءات اللفظية والبدنية على الروما وتحظر وتمنع الدعوة إلى خطاب الكراهية وتنظم حملات للتوعية والإعلام تشجع </w:t>
      </w:r>
      <w:r w:rsidRPr="002310A5">
        <w:rPr>
          <w:rFonts w:hint="cs"/>
          <w:b/>
          <w:bCs/>
          <w:spacing w:val="0"/>
          <w:sz w:val="20"/>
          <w:rtl/>
        </w:rPr>
        <w:t xml:space="preserve">على </w:t>
      </w:r>
      <w:r w:rsidRPr="002310A5">
        <w:rPr>
          <w:b/>
          <w:bCs/>
          <w:spacing w:val="0"/>
          <w:sz w:val="20"/>
          <w:rtl/>
        </w:rPr>
        <w:t>التسامح واحترام التنوع. وينبغي ترجمة القانون المتعلق بالمساواة في المعاملة والوسائل القانونية للحماية من التمييز (قانون مكافحة التمييز) إلى لغة أقلية الروما.</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12</w:t>
      </w:r>
      <w:r w:rsidR="003E72B5">
        <w:rPr>
          <w:spacing w:val="0"/>
          <w:sz w:val="20"/>
          <w:rtl/>
        </w:rPr>
        <w:t>)</w:t>
      </w:r>
      <w:r w:rsidR="003E72B5">
        <w:rPr>
          <w:spacing w:val="0"/>
          <w:sz w:val="20"/>
          <w:rtl/>
        </w:rPr>
        <w:tab/>
      </w:r>
      <w:r w:rsidR="004E0A37" w:rsidRPr="004E0A37">
        <w:rPr>
          <w:spacing w:val="0"/>
          <w:sz w:val="20"/>
          <w:rtl/>
        </w:rPr>
        <w:t xml:space="preserve">ويساور اللجنة القلق إزاء </w:t>
      </w:r>
      <w:r w:rsidR="004E0A37" w:rsidRPr="004E0A37">
        <w:rPr>
          <w:rFonts w:hint="cs"/>
          <w:spacing w:val="0"/>
          <w:sz w:val="20"/>
          <w:rtl/>
        </w:rPr>
        <w:t>المعلومات التي تفيد</w:t>
      </w:r>
      <w:r w:rsidR="004E0A37" w:rsidRPr="004E0A37">
        <w:rPr>
          <w:spacing w:val="0"/>
          <w:sz w:val="20"/>
          <w:rtl/>
        </w:rPr>
        <w:t xml:space="preserve"> </w:t>
      </w:r>
      <w:r w:rsidR="004E0A37" w:rsidRPr="004E0A37">
        <w:rPr>
          <w:rFonts w:hint="cs"/>
          <w:spacing w:val="0"/>
          <w:sz w:val="20"/>
          <w:rtl/>
        </w:rPr>
        <w:t>بأن</w:t>
      </w:r>
      <w:r w:rsidR="004E0A37" w:rsidRPr="004E0A37">
        <w:rPr>
          <w:spacing w:val="0"/>
          <w:sz w:val="20"/>
          <w:rtl/>
        </w:rPr>
        <w:t xml:space="preserve"> نساء من الروما </w:t>
      </w:r>
      <w:r w:rsidR="004E0A37" w:rsidRPr="004E0A37">
        <w:rPr>
          <w:rFonts w:hint="cs"/>
          <w:spacing w:val="0"/>
          <w:sz w:val="20"/>
          <w:rtl/>
        </w:rPr>
        <w:t xml:space="preserve">تعرضن للتعقيم </w:t>
      </w:r>
      <w:r w:rsidR="004E0A37" w:rsidRPr="004E0A37">
        <w:rPr>
          <w:spacing w:val="0"/>
          <w:sz w:val="20"/>
          <w:rtl/>
        </w:rPr>
        <w:t xml:space="preserve">دون موافقتهن </w:t>
      </w:r>
      <w:r w:rsidR="004E0A37" w:rsidRPr="004E0A37">
        <w:rPr>
          <w:rFonts w:hint="cs"/>
          <w:spacing w:val="0"/>
          <w:sz w:val="20"/>
          <w:rtl/>
        </w:rPr>
        <w:t>الحرة والمستنيرة،</w:t>
      </w:r>
      <w:r w:rsidR="004E0A37" w:rsidRPr="004E0A37">
        <w:rPr>
          <w:spacing w:val="0"/>
          <w:sz w:val="20"/>
          <w:rtl/>
        </w:rPr>
        <w:t xml:space="preserve"> و</w:t>
      </w:r>
      <w:r w:rsidR="004E0A37" w:rsidRPr="004E0A37">
        <w:rPr>
          <w:rFonts w:hint="cs"/>
          <w:spacing w:val="0"/>
          <w:sz w:val="20"/>
          <w:rtl/>
        </w:rPr>
        <w:t>بأن</w:t>
      </w:r>
      <w:r w:rsidR="004E0A37" w:rsidRPr="004E0A37">
        <w:rPr>
          <w:spacing w:val="0"/>
          <w:sz w:val="20"/>
          <w:rtl/>
        </w:rPr>
        <w:t xml:space="preserve"> السجلات الطبية المتعلقة بحالات التعقيم القسري</w:t>
      </w:r>
      <w:r w:rsidR="004E0A37" w:rsidRPr="004E0A37">
        <w:rPr>
          <w:rFonts w:hint="cs"/>
          <w:spacing w:val="0"/>
          <w:sz w:val="20"/>
          <w:rtl/>
        </w:rPr>
        <w:t xml:space="preserve"> قد أتلفت،</w:t>
      </w:r>
      <w:r w:rsidR="004E0A37" w:rsidRPr="004E0A37">
        <w:rPr>
          <w:spacing w:val="0"/>
          <w:sz w:val="20"/>
          <w:rtl/>
        </w:rPr>
        <w:t xml:space="preserve"> و</w:t>
      </w:r>
      <w:r w:rsidR="004E0A37" w:rsidRPr="004E0A37">
        <w:rPr>
          <w:rFonts w:hint="cs"/>
          <w:spacing w:val="0"/>
          <w:sz w:val="20"/>
          <w:rtl/>
        </w:rPr>
        <w:t xml:space="preserve">بأن ثمة </w:t>
      </w:r>
      <w:r w:rsidR="004E0A37" w:rsidRPr="004E0A37">
        <w:rPr>
          <w:spacing w:val="0"/>
          <w:sz w:val="20"/>
          <w:rtl/>
        </w:rPr>
        <w:t xml:space="preserve">صعوبات يلاقيها الضحايا </w:t>
      </w:r>
      <w:r w:rsidR="004E0A37" w:rsidRPr="004E0A37">
        <w:rPr>
          <w:rFonts w:hint="cs"/>
          <w:spacing w:val="0"/>
          <w:sz w:val="20"/>
          <w:rtl/>
        </w:rPr>
        <w:t>للحصول على</w:t>
      </w:r>
      <w:r w:rsidR="004E0A37" w:rsidRPr="004E0A37">
        <w:rPr>
          <w:spacing w:val="0"/>
          <w:sz w:val="20"/>
          <w:rtl/>
        </w:rPr>
        <w:t xml:space="preserve"> الانتصاف (المواد 2 و14 و16).</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توصي اللجنة الدولة الطرف بأن تحقق فوراً وبشكل حيادي وفعال في جميع ادعاءات التعقيم القسري للنساء من الروما وبأن تمدد الأجل المحدد لتقديم الشكاوى وتلاحق وتعاقب الجناة وتوفر للضحايا سبلا</w:t>
      </w:r>
      <w:r w:rsidRPr="002310A5">
        <w:rPr>
          <w:rFonts w:hint="cs"/>
          <w:b/>
          <w:bCs/>
          <w:spacing w:val="0"/>
          <w:sz w:val="20"/>
          <w:rtl/>
        </w:rPr>
        <w:t>ً</w:t>
      </w:r>
      <w:r w:rsidRPr="002310A5">
        <w:rPr>
          <w:b/>
          <w:bCs/>
          <w:spacing w:val="0"/>
          <w:sz w:val="20"/>
          <w:rtl/>
        </w:rPr>
        <w:t xml:space="preserve"> عادلة وكافية للانتصاف. وي</w:t>
      </w:r>
      <w:r w:rsidRPr="002310A5">
        <w:rPr>
          <w:rFonts w:hint="cs"/>
          <w:b/>
          <w:bCs/>
          <w:spacing w:val="0"/>
          <w:sz w:val="20"/>
          <w:rtl/>
        </w:rPr>
        <w:t>مكن</w:t>
      </w:r>
      <w:r w:rsidRPr="002310A5">
        <w:rPr>
          <w:b/>
          <w:bCs/>
          <w:spacing w:val="0"/>
          <w:sz w:val="20"/>
          <w:rtl/>
        </w:rPr>
        <w:t xml:space="preserve"> </w:t>
      </w:r>
      <w:r w:rsidRPr="002310A5">
        <w:rPr>
          <w:rFonts w:hint="cs"/>
          <w:b/>
          <w:bCs/>
          <w:spacing w:val="0"/>
          <w:sz w:val="20"/>
          <w:rtl/>
        </w:rPr>
        <w:t xml:space="preserve">مساءلة </w:t>
      </w:r>
      <w:r w:rsidRPr="002310A5">
        <w:rPr>
          <w:b/>
          <w:bCs/>
          <w:spacing w:val="0"/>
          <w:sz w:val="20"/>
          <w:rtl/>
        </w:rPr>
        <w:t>الموظف</w:t>
      </w:r>
      <w:r w:rsidRPr="002310A5">
        <w:rPr>
          <w:rFonts w:hint="cs"/>
          <w:b/>
          <w:bCs/>
          <w:spacing w:val="0"/>
          <w:sz w:val="20"/>
          <w:rtl/>
        </w:rPr>
        <w:t>ي</w:t>
      </w:r>
      <w:r w:rsidRPr="002310A5">
        <w:rPr>
          <w:b/>
          <w:bCs/>
          <w:spacing w:val="0"/>
          <w:sz w:val="20"/>
          <w:rtl/>
        </w:rPr>
        <w:t>ن الطبي</w:t>
      </w:r>
      <w:r w:rsidRPr="002310A5">
        <w:rPr>
          <w:rFonts w:hint="cs"/>
          <w:b/>
          <w:bCs/>
          <w:spacing w:val="0"/>
          <w:sz w:val="20"/>
          <w:rtl/>
        </w:rPr>
        <w:t>ي</w:t>
      </w:r>
      <w:r w:rsidRPr="002310A5">
        <w:rPr>
          <w:b/>
          <w:bCs/>
          <w:spacing w:val="0"/>
          <w:sz w:val="20"/>
          <w:rtl/>
        </w:rPr>
        <w:t xml:space="preserve">ن الذين يجرون عمليات التعقيم دون الموافقة الحرة والكاملة والمستنيرة للأشخاص المعنيين </w:t>
      </w:r>
      <w:r w:rsidRPr="002310A5">
        <w:rPr>
          <w:rFonts w:hint="cs"/>
          <w:b/>
          <w:bCs/>
          <w:spacing w:val="0"/>
          <w:sz w:val="20"/>
          <w:rtl/>
        </w:rPr>
        <w:t xml:space="preserve">جنائياً. </w:t>
      </w:r>
      <w:r w:rsidRPr="002310A5">
        <w:rPr>
          <w:b/>
          <w:bCs/>
          <w:spacing w:val="0"/>
          <w:sz w:val="20"/>
          <w:rtl/>
        </w:rPr>
        <w:t xml:space="preserve">وينبغي </w:t>
      </w:r>
      <w:r w:rsidRPr="002310A5">
        <w:rPr>
          <w:rFonts w:hint="cs"/>
          <w:b/>
          <w:bCs/>
          <w:spacing w:val="0"/>
          <w:sz w:val="20"/>
          <w:rtl/>
        </w:rPr>
        <w:t xml:space="preserve">عدم تدمير </w:t>
      </w:r>
      <w:r w:rsidRPr="002310A5">
        <w:rPr>
          <w:b/>
          <w:bCs/>
          <w:spacing w:val="0"/>
          <w:sz w:val="20"/>
          <w:rtl/>
        </w:rPr>
        <w:t xml:space="preserve">السجلات الطبية المتعلقة بعمليات التعقيم القسري المحتمل </w:t>
      </w:r>
      <w:r w:rsidRPr="002310A5">
        <w:rPr>
          <w:rFonts w:hint="cs"/>
          <w:b/>
          <w:bCs/>
          <w:spacing w:val="0"/>
          <w:sz w:val="20"/>
          <w:rtl/>
        </w:rPr>
        <w:t xml:space="preserve">خلال الفترة الزمنية التي يحددها </w:t>
      </w:r>
      <w:r w:rsidRPr="002310A5">
        <w:rPr>
          <w:b/>
          <w:bCs/>
          <w:spacing w:val="0"/>
          <w:sz w:val="20"/>
          <w:rtl/>
        </w:rPr>
        <w:t>القانون. وينبغي تدريب الموظفين الطبيين على الوسائل المناسبة لمعرفة كيفية الحصول على الموافقة الحرة والمستنيرة من النساء اللائي يخضعن لعمليات التعقيم وينبغي ترجمة كل المواد الخطية المتعلقة بالتعقيم إلى لغة الروما.</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الإنصاف والتعويض، بما في ذلك إعادة التأهيل</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13</w:t>
      </w:r>
      <w:r w:rsidR="003E72B5">
        <w:rPr>
          <w:spacing w:val="0"/>
          <w:sz w:val="20"/>
          <w:rtl/>
        </w:rPr>
        <w:t>)</w:t>
      </w:r>
      <w:r w:rsidR="003E72B5">
        <w:rPr>
          <w:spacing w:val="0"/>
          <w:sz w:val="20"/>
          <w:rtl/>
        </w:rPr>
        <w:tab/>
      </w:r>
      <w:r w:rsidR="004E0A37" w:rsidRPr="004E0A37">
        <w:rPr>
          <w:spacing w:val="0"/>
          <w:sz w:val="20"/>
          <w:rtl/>
        </w:rPr>
        <w:t>يساور اللجنة القلق إزاء عدم وجود بيانات إحصائية بشأن تعويض ضحايا التعذيب و</w:t>
      </w:r>
      <w:r w:rsidR="004E0A37" w:rsidRPr="004E0A37">
        <w:rPr>
          <w:rFonts w:hint="cs"/>
          <w:spacing w:val="0"/>
          <w:sz w:val="20"/>
          <w:rtl/>
        </w:rPr>
        <w:t xml:space="preserve">سوء </w:t>
      </w:r>
      <w:r w:rsidR="004E0A37" w:rsidRPr="004E0A37">
        <w:rPr>
          <w:spacing w:val="0"/>
          <w:sz w:val="20"/>
          <w:rtl/>
        </w:rPr>
        <w:t>المعاملة، بمن فيهم ضحايا التعقيم القسري والإخصاء الجراحي و</w:t>
      </w:r>
      <w:r w:rsidR="004E0A37" w:rsidRPr="004E0A37">
        <w:rPr>
          <w:rFonts w:hint="cs"/>
          <w:spacing w:val="0"/>
          <w:sz w:val="20"/>
          <w:rtl/>
        </w:rPr>
        <w:t xml:space="preserve">سوء </w:t>
      </w:r>
      <w:r w:rsidR="004E0A37" w:rsidRPr="004E0A37">
        <w:rPr>
          <w:spacing w:val="0"/>
          <w:sz w:val="20"/>
          <w:rtl/>
        </w:rPr>
        <w:t xml:space="preserve">المعاملة في مؤسسات الرعاية الطبية وعلاج الأمراض النفسية والاعتداءات العنيفة على الأقليات الإثنية والاتجار والعنف المنزلي والجنسي. كما </w:t>
      </w:r>
      <w:r w:rsidR="004E0A37" w:rsidRPr="004E0A37">
        <w:rPr>
          <w:rFonts w:hint="cs"/>
          <w:spacing w:val="0"/>
          <w:sz w:val="20"/>
          <w:rtl/>
        </w:rPr>
        <w:t xml:space="preserve">يساور اللجنة القلق إزاء </w:t>
      </w:r>
      <w:r w:rsidR="004E0A37" w:rsidRPr="004E0A37">
        <w:rPr>
          <w:spacing w:val="0"/>
          <w:sz w:val="20"/>
          <w:rtl/>
        </w:rPr>
        <w:t>الآجال المحددة لتقديم الشكاوى (المادتان 14 و16).</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 xml:space="preserve">توصي اللجنة الدولة الطرف </w:t>
      </w:r>
      <w:r w:rsidRPr="002310A5">
        <w:rPr>
          <w:rFonts w:hint="cs"/>
          <w:b/>
          <w:bCs/>
          <w:spacing w:val="0"/>
          <w:sz w:val="20"/>
          <w:rtl/>
        </w:rPr>
        <w:t>بأن تكفل</w:t>
      </w:r>
      <w:r w:rsidRPr="002310A5">
        <w:rPr>
          <w:b/>
          <w:bCs/>
          <w:spacing w:val="0"/>
          <w:sz w:val="20"/>
          <w:rtl/>
        </w:rPr>
        <w:t xml:space="preserve"> </w:t>
      </w:r>
      <w:r w:rsidRPr="002310A5">
        <w:rPr>
          <w:rFonts w:hint="cs"/>
          <w:b/>
          <w:bCs/>
          <w:spacing w:val="0"/>
          <w:sz w:val="20"/>
          <w:rtl/>
        </w:rPr>
        <w:t>ل</w:t>
      </w:r>
      <w:r w:rsidRPr="002310A5">
        <w:rPr>
          <w:b/>
          <w:bCs/>
          <w:spacing w:val="0"/>
          <w:sz w:val="20"/>
          <w:rtl/>
        </w:rPr>
        <w:t>ضحايا التعذيب و</w:t>
      </w:r>
      <w:r w:rsidRPr="002310A5">
        <w:rPr>
          <w:rFonts w:hint="cs"/>
          <w:b/>
          <w:bCs/>
          <w:spacing w:val="0"/>
          <w:sz w:val="20"/>
          <w:rtl/>
        </w:rPr>
        <w:t xml:space="preserve">سوء </w:t>
      </w:r>
      <w:r w:rsidRPr="002310A5">
        <w:rPr>
          <w:b/>
          <w:bCs/>
          <w:spacing w:val="0"/>
          <w:sz w:val="20"/>
          <w:rtl/>
        </w:rPr>
        <w:t xml:space="preserve">المعاملة الحق في الانتصاف والتعويض الكافي، بما في ذلك إعادة التأهيل، وأن </w:t>
      </w:r>
      <w:r w:rsidRPr="002310A5">
        <w:rPr>
          <w:rFonts w:hint="cs"/>
          <w:b/>
          <w:bCs/>
          <w:spacing w:val="0"/>
          <w:sz w:val="20"/>
          <w:rtl/>
        </w:rPr>
        <w:t>تيسر</w:t>
      </w:r>
      <w:r w:rsidRPr="002310A5">
        <w:rPr>
          <w:b/>
          <w:bCs/>
          <w:spacing w:val="0"/>
          <w:sz w:val="20"/>
          <w:rtl/>
        </w:rPr>
        <w:t xml:space="preserve"> لهم سبل </w:t>
      </w:r>
      <w:r w:rsidRPr="002310A5">
        <w:rPr>
          <w:rFonts w:hint="cs"/>
          <w:b/>
          <w:bCs/>
          <w:spacing w:val="0"/>
          <w:sz w:val="20"/>
          <w:rtl/>
        </w:rPr>
        <w:t>التمتع به</w:t>
      </w:r>
      <w:r w:rsidR="00B345DB" w:rsidRPr="002310A5">
        <w:rPr>
          <w:b/>
          <w:bCs/>
          <w:spacing w:val="0"/>
          <w:sz w:val="20"/>
          <w:rtl/>
        </w:rPr>
        <w:t xml:space="preserve"> وفقاً </w:t>
      </w:r>
      <w:r w:rsidRPr="002310A5">
        <w:rPr>
          <w:b/>
          <w:bCs/>
          <w:spacing w:val="0"/>
          <w:sz w:val="20"/>
          <w:rtl/>
        </w:rPr>
        <w:t>للمادة 14 من الاتفاقية. وتوصي الدولةَ الطرفَ بأن تزودها ببيانات إحصائية بشأن عدد الضحايا الذين حصلوا على التعويض وغيره من أشكال المساعدة، بمن فيهم ضحايا التعقيم القسري والإخصاء الجراحي و</w:t>
      </w:r>
      <w:r w:rsidRPr="002310A5">
        <w:rPr>
          <w:rFonts w:hint="cs"/>
          <w:b/>
          <w:bCs/>
          <w:spacing w:val="0"/>
          <w:sz w:val="20"/>
          <w:rtl/>
        </w:rPr>
        <w:t xml:space="preserve">سوء </w:t>
      </w:r>
      <w:r w:rsidRPr="002310A5">
        <w:rPr>
          <w:b/>
          <w:bCs/>
          <w:spacing w:val="0"/>
          <w:sz w:val="20"/>
          <w:rtl/>
        </w:rPr>
        <w:t>المعاملة في مؤسسات الرعاية الطبية وعلاج الأمراض النفسية والاعتداءات العنيفة على الأقليات الإثنية والاتجار والعنف المنزلي والجنسي. كما توصي بتمديد الأجل المحدد لتقديم المطالبات.</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أطفال الروما</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14</w:t>
      </w:r>
      <w:r w:rsidR="003E72B5">
        <w:rPr>
          <w:spacing w:val="0"/>
          <w:sz w:val="20"/>
          <w:rtl/>
        </w:rPr>
        <w:t>)</w:t>
      </w:r>
      <w:r w:rsidR="003E72B5">
        <w:rPr>
          <w:spacing w:val="0"/>
          <w:sz w:val="20"/>
          <w:rtl/>
        </w:rPr>
        <w:tab/>
      </w:r>
      <w:r w:rsidR="004E0A37" w:rsidRPr="004E0A37">
        <w:rPr>
          <w:spacing w:val="0"/>
          <w:sz w:val="20"/>
          <w:rtl/>
        </w:rPr>
        <w:t>يساور اللجنة القلق لوضع أطفال الروما في المرافق التعليمية الخاصة بالأطفال ذوي الإعاقات العقلية الخفيفة أو التي تعتمد منهاجا</w:t>
      </w:r>
      <w:r w:rsidR="004E0A37" w:rsidRPr="004E0A37">
        <w:rPr>
          <w:rFonts w:hint="cs"/>
          <w:spacing w:val="0"/>
          <w:sz w:val="20"/>
          <w:rtl/>
        </w:rPr>
        <w:t>ً</w:t>
      </w:r>
      <w:r w:rsidR="004E0A37" w:rsidRPr="004E0A37">
        <w:rPr>
          <w:spacing w:val="0"/>
          <w:sz w:val="20"/>
          <w:rtl/>
        </w:rPr>
        <w:t xml:space="preserve"> </w:t>
      </w:r>
      <w:r w:rsidR="004E0A37" w:rsidRPr="004E0A37">
        <w:rPr>
          <w:rFonts w:hint="cs"/>
          <w:spacing w:val="0"/>
          <w:sz w:val="20"/>
          <w:rtl/>
        </w:rPr>
        <w:t xml:space="preserve">دراسياً </w:t>
      </w:r>
      <w:r w:rsidR="004E0A37" w:rsidRPr="004E0A37">
        <w:rPr>
          <w:spacing w:val="0"/>
          <w:sz w:val="20"/>
          <w:rtl/>
        </w:rPr>
        <w:t>مقلَّصا</w:t>
      </w:r>
      <w:r w:rsidR="004E0A37" w:rsidRPr="004E0A37">
        <w:rPr>
          <w:rFonts w:hint="cs"/>
          <w:spacing w:val="0"/>
          <w:sz w:val="20"/>
          <w:rtl/>
        </w:rPr>
        <w:t>ً</w:t>
      </w:r>
      <w:r w:rsidR="004E0A37" w:rsidRPr="004E0A37">
        <w:rPr>
          <w:spacing w:val="0"/>
          <w:sz w:val="20"/>
          <w:rtl/>
        </w:rPr>
        <w:t xml:space="preserve"> كان يُستعمَل سابقاً في المدارس الخاصة، وهو ما يضر بتطورهم لاحقاً في مجال التعليم (المواد 2 و10 و12 و13 و16).</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 xml:space="preserve">تذكِّر اللجنة، في ضوء تعليقها العام رقم 2(2007) بشأن تنفيذ </w:t>
      </w:r>
      <w:r w:rsidRPr="002310A5">
        <w:rPr>
          <w:rFonts w:hint="cs"/>
          <w:b/>
          <w:bCs/>
          <w:spacing w:val="0"/>
          <w:sz w:val="20"/>
          <w:rtl/>
        </w:rPr>
        <w:t>ا</w:t>
      </w:r>
      <w:r w:rsidRPr="002310A5">
        <w:rPr>
          <w:b/>
          <w:bCs/>
          <w:spacing w:val="0"/>
          <w:sz w:val="20"/>
          <w:rtl/>
        </w:rPr>
        <w:t>لمادة 2، بأن توفير الحماية الخاصة للمعرضين للخطر بصفة خاصة من بعض الأقليات أو المهمشين أفراداً أو جماعات يندرج ضمن التزامات الدول الأطراف بموجب الاتفاقية. وفي هذا الصدد، ينبغي للدولة الطرف أن تكفل قبول أطفال الروما في نظام التعليم العادي ما</w:t>
      </w:r>
      <w:r w:rsidR="00335AC0" w:rsidRPr="002310A5">
        <w:rPr>
          <w:b/>
          <w:bCs/>
          <w:spacing w:val="0"/>
          <w:sz w:val="20"/>
          <w:rtl/>
        </w:rPr>
        <w:t xml:space="preserve"> لم </w:t>
      </w:r>
      <w:r w:rsidRPr="002310A5">
        <w:rPr>
          <w:rFonts w:hint="cs"/>
          <w:b/>
          <w:bCs/>
          <w:spacing w:val="0"/>
          <w:sz w:val="20"/>
          <w:rtl/>
        </w:rPr>
        <w:t xml:space="preserve">يخلص </w:t>
      </w:r>
      <w:r w:rsidRPr="002310A5">
        <w:rPr>
          <w:b/>
          <w:bCs/>
          <w:spacing w:val="0"/>
          <w:sz w:val="20"/>
          <w:rtl/>
        </w:rPr>
        <w:t xml:space="preserve">تقييم </w:t>
      </w:r>
      <w:r w:rsidRPr="002310A5">
        <w:rPr>
          <w:rFonts w:hint="cs"/>
          <w:b/>
          <w:bCs/>
          <w:spacing w:val="0"/>
          <w:sz w:val="20"/>
          <w:rtl/>
        </w:rPr>
        <w:t>جاد</w:t>
      </w:r>
      <w:r w:rsidRPr="002310A5">
        <w:rPr>
          <w:b/>
          <w:bCs/>
          <w:spacing w:val="0"/>
          <w:sz w:val="20"/>
          <w:rtl/>
        </w:rPr>
        <w:t xml:space="preserve"> إلى أن الطفل يعاني من إعاقة عقلية وطلب ولي أمره القانوني وضعه في مدرسة خاصة. وينبغي أن يتكيف نظام الاختبار الموحد مع </w:t>
      </w:r>
      <w:r w:rsidRPr="002310A5">
        <w:rPr>
          <w:rFonts w:hint="cs"/>
          <w:b/>
          <w:bCs/>
          <w:spacing w:val="0"/>
          <w:sz w:val="20"/>
          <w:rtl/>
        </w:rPr>
        <w:t xml:space="preserve">الخصائص </w:t>
      </w:r>
      <w:r w:rsidRPr="002310A5">
        <w:rPr>
          <w:b/>
          <w:bCs/>
          <w:spacing w:val="0"/>
          <w:sz w:val="20"/>
          <w:rtl/>
        </w:rPr>
        <w:t xml:space="preserve">الاجتماعية والثقافية واللغوية للأقليات وأن يتلقى </w:t>
      </w:r>
      <w:r w:rsidRPr="002310A5">
        <w:rPr>
          <w:rFonts w:hint="cs"/>
          <w:b/>
          <w:bCs/>
          <w:spacing w:val="0"/>
          <w:sz w:val="20"/>
          <w:rtl/>
        </w:rPr>
        <w:t>المعلمون</w:t>
      </w:r>
      <w:r w:rsidRPr="002310A5">
        <w:rPr>
          <w:b/>
          <w:bCs/>
          <w:spacing w:val="0"/>
          <w:sz w:val="20"/>
          <w:rtl/>
        </w:rPr>
        <w:t xml:space="preserve"> وموظفو المدارس التدريب في مبادئ عدم التمييز.</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 xml:space="preserve">الشكاوى والتحقيقات وملاحقة مرتكبي </w:t>
      </w:r>
      <w:r w:rsidRPr="004E0A37">
        <w:rPr>
          <w:rFonts w:hint="cs"/>
          <w:spacing w:val="0"/>
          <w:sz w:val="20"/>
          <w:rtl/>
        </w:rPr>
        <w:t xml:space="preserve">أعمال </w:t>
      </w:r>
      <w:r w:rsidRPr="004E0A37">
        <w:rPr>
          <w:spacing w:val="0"/>
          <w:sz w:val="20"/>
          <w:rtl/>
        </w:rPr>
        <w:t>التعذيب و</w:t>
      </w:r>
      <w:r w:rsidRPr="004E0A37">
        <w:rPr>
          <w:rFonts w:hint="cs"/>
          <w:spacing w:val="0"/>
          <w:sz w:val="20"/>
          <w:rtl/>
        </w:rPr>
        <w:t xml:space="preserve">سوء </w:t>
      </w:r>
      <w:r w:rsidRPr="004E0A37">
        <w:rPr>
          <w:spacing w:val="0"/>
          <w:sz w:val="20"/>
          <w:rtl/>
        </w:rPr>
        <w:t xml:space="preserve">المعاملة </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15</w:t>
      </w:r>
      <w:r w:rsidR="003E72B5">
        <w:rPr>
          <w:spacing w:val="0"/>
          <w:sz w:val="20"/>
          <w:rtl/>
        </w:rPr>
        <w:t>)</w:t>
      </w:r>
      <w:r w:rsidR="003E72B5">
        <w:rPr>
          <w:spacing w:val="0"/>
          <w:sz w:val="20"/>
          <w:rtl/>
        </w:rPr>
        <w:tab/>
      </w:r>
      <w:r w:rsidR="004E0A37" w:rsidRPr="004E0A37">
        <w:rPr>
          <w:spacing w:val="0"/>
          <w:sz w:val="20"/>
          <w:rtl/>
        </w:rPr>
        <w:t xml:space="preserve">يساور اللجنة القلق إزاء المشاكل المطروحة </w:t>
      </w:r>
      <w:r w:rsidR="004E0A37" w:rsidRPr="004E0A37">
        <w:rPr>
          <w:rFonts w:hint="cs"/>
          <w:spacing w:val="0"/>
          <w:sz w:val="20"/>
          <w:rtl/>
        </w:rPr>
        <w:t xml:space="preserve">بشأن </w:t>
      </w:r>
      <w:r w:rsidR="004E0A37" w:rsidRPr="004E0A37">
        <w:rPr>
          <w:spacing w:val="0"/>
          <w:sz w:val="20"/>
          <w:rtl/>
        </w:rPr>
        <w:t>تسجيل الشكاوى واستقلال نظام معالجتها. ويساور اللجنة القلق على وجه الخصوص إزاء التباين القائم بين عدد الشكاوى المتعلقة بالتعذيب و</w:t>
      </w:r>
      <w:r w:rsidR="004E0A37" w:rsidRPr="004E0A37">
        <w:rPr>
          <w:rFonts w:hint="cs"/>
          <w:spacing w:val="0"/>
          <w:sz w:val="20"/>
          <w:rtl/>
        </w:rPr>
        <w:t xml:space="preserve">سوء </w:t>
      </w:r>
      <w:r w:rsidR="004E0A37" w:rsidRPr="004E0A37">
        <w:rPr>
          <w:spacing w:val="0"/>
          <w:sz w:val="20"/>
          <w:rtl/>
        </w:rPr>
        <w:t>المعاملة في أماكن الحرمان من الحرية، ولا سيما تلك التي توصف بأنها مبررة أو مبررة جزئيا</w:t>
      </w:r>
      <w:r w:rsidR="004E0A37" w:rsidRPr="004E0A37">
        <w:rPr>
          <w:rFonts w:hint="cs"/>
          <w:spacing w:val="0"/>
          <w:sz w:val="20"/>
          <w:rtl/>
        </w:rPr>
        <w:t>ً</w:t>
      </w:r>
      <w:r w:rsidR="004E0A37" w:rsidRPr="004E0A37">
        <w:rPr>
          <w:spacing w:val="0"/>
          <w:sz w:val="20"/>
          <w:rtl/>
        </w:rPr>
        <w:t xml:space="preserve">، </w:t>
      </w:r>
      <w:r w:rsidR="004E0A37" w:rsidRPr="004E0A37">
        <w:rPr>
          <w:rFonts w:hint="cs"/>
          <w:spacing w:val="0"/>
          <w:sz w:val="20"/>
          <w:rtl/>
        </w:rPr>
        <w:t xml:space="preserve">وعدم </w:t>
      </w:r>
      <w:r w:rsidR="004E0A37" w:rsidRPr="004E0A37">
        <w:rPr>
          <w:spacing w:val="0"/>
          <w:sz w:val="20"/>
          <w:rtl/>
        </w:rPr>
        <w:t xml:space="preserve">الملاحقة القضائية </w:t>
      </w:r>
      <w:r w:rsidR="004E0A37" w:rsidRPr="004E0A37">
        <w:rPr>
          <w:rFonts w:hint="cs"/>
          <w:spacing w:val="0"/>
          <w:sz w:val="20"/>
          <w:rtl/>
        </w:rPr>
        <w:t xml:space="preserve">عن أعمال </w:t>
      </w:r>
      <w:r w:rsidR="004E0A37" w:rsidRPr="004E0A37">
        <w:rPr>
          <w:spacing w:val="0"/>
          <w:sz w:val="20"/>
          <w:rtl/>
        </w:rPr>
        <w:t>التعذيب و</w:t>
      </w:r>
      <w:r w:rsidR="004E0A37" w:rsidRPr="004E0A37">
        <w:rPr>
          <w:rFonts w:hint="cs"/>
          <w:spacing w:val="0"/>
          <w:sz w:val="20"/>
          <w:rtl/>
        </w:rPr>
        <w:t xml:space="preserve">سوء </w:t>
      </w:r>
      <w:r w:rsidR="004E0A37" w:rsidRPr="004E0A37">
        <w:rPr>
          <w:spacing w:val="0"/>
          <w:sz w:val="20"/>
          <w:rtl/>
        </w:rPr>
        <w:t>المعاملة التي ارتكبها موظفو الشرطة والسجون (المادتان 12 و13).</w:t>
      </w:r>
    </w:p>
    <w:p w:rsidR="004E0A37" w:rsidRPr="002310A5" w:rsidRDefault="004E0A37" w:rsidP="004E0A37">
      <w:pPr>
        <w:pStyle w:val="SingleTxtGA"/>
        <w:jc w:val="lowKashida"/>
        <w:rPr>
          <w:b/>
          <w:bCs/>
          <w:spacing w:val="0"/>
          <w:sz w:val="20"/>
          <w:rtl/>
        </w:rPr>
      </w:pPr>
      <w:r w:rsidRPr="002310A5">
        <w:rPr>
          <w:rFonts w:hint="cs"/>
          <w:b/>
          <w:bCs/>
          <w:spacing w:val="0"/>
          <w:sz w:val="20"/>
          <w:rtl/>
        </w:rPr>
        <w:tab/>
      </w:r>
      <w:r w:rsidRPr="002310A5">
        <w:rPr>
          <w:b/>
          <w:bCs/>
          <w:spacing w:val="0"/>
          <w:sz w:val="20"/>
          <w:rtl/>
        </w:rPr>
        <w:t xml:space="preserve">توصي اللجنة بأن تحقق هيئة التفتيش العام لقوات الأمن بشكل فوري وحيادي وفعال في جميع </w:t>
      </w:r>
      <w:r w:rsidRPr="002310A5">
        <w:rPr>
          <w:rFonts w:hint="cs"/>
          <w:b/>
          <w:bCs/>
          <w:spacing w:val="0"/>
          <w:sz w:val="20"/>
          <w:rtl/>
        </w:rPr>
        <w:t xml:space="preserve">ادعاءات </w:t>
      </w:r>
      <w:r w:rsidRPr="002310A5">
        <w:rPr>
          <w:b/>
          <w:bCs/>
          <w:spacing w:val="0"/>
          <w:sz w:val="20"/>
          <w:rtl/>
        </w:rPr>
        <w:t>التعذيب و</w:t>
      </w:r>
      <w:r w:rsidRPr="002310A5">
        <w:rPr>
          <w:rFonts w:hint="cs"/>
          <w:b/>
          <w:bCs/>
          <w:spacing w:val="0"/>
          <w:sz w:val="20"/>
          <w:rtl/>
        </w:rPr>
        <w:t xml:space="preserve">سوء </w:t>
      </w:r>
      <w:r w:rsidRPr="002310A5">
        <w:rPr>
          <w:b/>
          <w:bCs/>
          <w:spacing w:val="0"/>
          <w:sz w:val="20"/>
          <w:rtl/>
        </w:rPr>
        <w:t>المعاملة التي ارتكبها موظفو إنفاذ القوانين والسجون و</w:t>
      </w:r>
      <w:r w:rsidRPr="002310A5">
        <w:rPr>
          <w:rFonts w:hint="cs"/>
          <w:b/>
          <w:bCs/>
          <w:spacing w:val="0"/>
          <w:sz w:val="20"/>
          <w:rtl/>
        </w:rPr>
        <w:t xml:space="preserve">بأن </w:t>
      </w:r>
      <w:r w:rsidRPr="002310A5">
        <w:rPr>
          <w:b/>
          <w:bCs/>
          <w:spacing w:val="0"/>
          <w:sz w:val="20"/>
          <w:rtl/>
        </w:rPr>
        <w:t>تلاحق قضائيا</w:t>
      </w:r>
      <w:r w:rsidRPr="002310A5">
        <w:rPr>
          <w:rFonts w:hint="cs"/>
          <w:b/>
          <w:bCs/>
          <w:spacing w:val="0"/>
          <w:sz w:val="20"/>
          <w:rtl/>
        </w:rPr>
        <w:t>ً</w:t>
      </w:r>
      <w:r w:rsidRPr="002310A5">
        <w:rPr>
          <w:b/>
          <w:bCs/>
          <w:spacing w:val="0"/>
          <w:sz w:val="20"/>
          <w:rtl/>
        </w:rPr>
        <w:t xml:space="preserve"> مرتكبي هذه </w:t>
      </w:r>
      <w:r w:rsidRPr="002310A5">
        <w:rPr>
          <w:rFonts w:hint="cs"/>
          <w:b/>
          <w:bCs/>
          <w:spacing w:val="0"/>
          <w:sz w:val="20"/>
          <w:rtl/>
        </w:rPr>
        <w:t xml:space="preserve">الأعمال </w:t>
      </w:r>
      <w:r w:rsidRPr="002310A5">
        <w:rPr>
          <w:b/>
          <w:bCs/>
          <w:spacing w:val="0"/>
          <w:sz w:val="20"/>
          <w:rtl/>
        </w:rPr>
        <w:t xml:space="preserve">وتوفر سبل الانتصاف، بما في ذلك التعويض، للضحايا. وينبغي أن تقدم الدولة الطرف إلى اللجنة بيانات مصنفة حسب جنس الضحايا وأعمارهم وانتمائهم الإثني وأصلهم مع </w:t>
      </w:r>
      <w:r w:rsidRPr="002310A5">
        <w:rPr>
          <w:rFonts w:hint="cs"/>
          <w:b/>
          <w:bCs/>
          <w:spacing w:val="0"/>
          <w:sz w:val="20"/>
          <w:rtl/>
        </w:rPr>
        <w:t xml:space="preserve">بيان تفصيلي للأسباب </w:t>
      </w:r>
      <w:r w:rsidRPr="002310A5">
        <w:rPr>
          <w:b/>
          <w:bCs/>
          <w:spacing w:val="0"/>
          <w:sz w:val="20"/>
          <w:rtl/>
        </w:rPr>
        <w:t>المحددة في القانون لتقديم الشكاوى.</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الاتجار بالأشخاص</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16</w:t>
      </w:r>
      <w:r w:rsidR="003E72B5">
        <w:rPr>
          <w:spacing w:val="0"/>
          <w:sz w:val="20"/>
          <w:rtl/>
        </w:rPr>
        <w:t>)</w:t>
      </w:r>
      <w:r w:rsidR="003E72B5">
        <w:rPr>
          <w:spacing w:val="0"/>
          <w:sz w:val="20"/>
          <w:rtl/>
        </w:rPr>
        <w:tab/>
      </w:r>
      <w:r w:rsidR="004E0A37" w:rsidRPr="004E0A37">
        <w:rPr>
          <w:spacing w:val="0"/>
          <w:sz w:val="20"/>
          <w:rtl/>
        </w:rPr>
        <w:t xml:space="preserve">يساور اللجنة القلق لعدم حصول جميع ضحايا الاتجار </w:t>
      </w:r>
      <w:r w:rsidR="004E0A37" w:rsidRPr="004E0A37">
        <w:rPr>
          <w:rFonts w:hint="cs"/>
          <w:spacing w:val="0"/>
          <w:sz w:val="20"/>
          <w:rtl/>
        </w:rPr>
        <w:t xml:space="preserve">بالأشخاص </w:t>
      </w:r>
      <w:r w:rsidR="004E0A37" w:rsidRPr="004E0A37">
        <w:rPr>
          <w:spacing w:val="0"/>
          <w:sz w:val="20"/>
          <w:rtl/>
        </w:rPr>
        <w:t>على ما يكفي من الحماية والرعاية الصحية والإرشاد والإيواء وسبل الانتصاف، بما في ذلك التعويض وإعادة التأهيل، وحصول من يتعاونون مع السلطات فقط على معاملة خاصة (المواد 10 و12 و13 و14 و16).</w:t>
      </w:r>
    </w:p>
    <w:p w:rsidR="004E0A37" w:rsidRPr="002F25AA" w:rsidRDefault="004E0A37" w:rsidP="004E0A37">
      <w:pPr>
        <w:pStyle w:val="SingleTxtGA"/>
        <w:jc w:val="lowKashida"/>
        <w:rPr>
          <w:b/>
          <w:bCs/>
          <w:spacing w:val="0"/>
          <w:sz w:val="20"/>
          <w:rtl/>
        </w:rPr>
      </w:pPr>
      <w:r w:rsidRPr="002F25AA">
        <w:rPr>
          <w:rFonts w:hint="cs"/>
          <w:b/>
          <w:bCs/>
          <w:spacing w:val="0"/>
          <w:sz w:val="20"/>
          <w:rtl/>
        </w:rPr>
        <w:tab/>
      </w:r>
      <w:r w:rsidRPr="002F25AA">
        <w:rPr>
          <w:b/>
          <w:bCs/>
          <w:spacing w:val="0"/>
          <w:sz w:val="20"/>
          <w:rtl/>
        </w:rPr>
        <w:t xml:space="preserve">توصي اللجنة الدولة الطرف بأن تعزز التحقيق في جميع أنواع الاتجار بالأشخاص وتلاحق الجناة وتوفر لجميع الضحايا، بمن فيهم من تم الاتجار بهم لأغراض الاستغلال الجنسي والمهني، مستوى متكافئ من الحماية والاستفادة من الرعاية الصحية والإرشاد والإيواء وسبل الانتصاف، بما في ذلك التعويض وإعادة التأهيل. وينبغي بذل جهود </w:t>
      </w:r>
      <w:r w:rsidRPr="002F25AA">
        <w:rPr>
          <w:rFonts w:hint="cs"/>
          <w:b/>
          <w:bCs/>
          <w:spacing w:val="0"/>
          <w:sz w:val="20"/>
          <w:rtl/>
        </w:rPr>
        <w:t xml:space="preserve">لتوعية </w:t>
      </w:r>
      <w:r w:rsidRPr="002F25AA">
        <w:rPr>
          <w:b/>
          <w:bCs/>
          <w:spacing w:val="0"/>
          <w:sz w:val="20"/>
          <w:rtl/>
        </w:rPr>
        <w:t>موظفي إنفاذ القوانين والقضاة والمدعين العامين بتدابير مكافحة الاتجار بالأشخاص وتدريبهم عليها وتحسين عملية تحديد ضحايا الاتجار بالأشخاص.</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احتجاز طالبي اللجوء والأشخاص الآخرين غير المواطنين</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17</w:t>
      </w:r>
      <w:r w:rsidR="003E72B5">
        <w:rPr>
          <w:spacing w:val="0"/>
          <w:sz w:val="20"/>
          <w:rtl/>
        </w:rPr>
        <w:t>)</w:t>
      </w:r>
      <w:r w:rsidR="003E72B5">
        <w:rPr>
          <w:spacing w:val="0"/>
          <w:sz w:val="20"/>
          <w:rtl/>
        </w:rPr>
        <w:tab/>
      </w:r>
      <w:r w:rsidR="004E0A37" w:rsidRPr="004E0A37">
        <w:rPr>
          <w:spacing w:val="0"/>
          <w:sz w:val="20"/>
          <w:rtl/>
        </w:rPr>
        <w:t>يساور اللجنة القلق إزاء استمرار ممارسة احتجاز طالبي اللجوء، بمن فيهم الأسر التي لديها أطفال والقصر بصحبة أولياء شرعيين، والقيود المفروضة على حرية تنقل طالبي اللجوء في مراكز الإيواء المغلقة ونظام الاحتجاز وظروفه المادية في المراكز الخاصة بالأجانب الذين ينتظرون الترحيل (المادتان 3 و11).</w:t>
      </w:r>
    </w:p>
    <w:p w:rsidR="004E0A37" w:rsidRPr="002F25AA" w:rsidRDefault="004E0A37" w:rsidP="004E0A37">
      <w:pPr>
        <w:pStyle w:val="SingleTxtGA"/>
        <w:jc w:val="lowKashida"/>
        <w:rPr>
          <w:b/>
          <w:bCs/>
          <w:spacing w:val="0"/>
          <w:sz w:val="20"/>
          <w:rtl/>
        </w:rPr>
      </w:pPr>
      <w:r w:rsidRPr="002F25AA">
        <w:rPr>
          <w:rFonts w:hint="cs"/>
          <w:b/>
          <w:bCs/>
          <w:spacing w:val="0"/>
          <w:sz w:val="20"/>
          <w:rtl/>
        </w:rPr>
        <w:tab/>
      </w:r>
      <w:r w:rsidRPr="002F25AA">
        <w:rPr>
          <w:b/>
          <w:bCs/>
          <w:spacing w:val="0"/>
          <w:sz w:val="20"/>
          <w:rtl/>
        </w:rPr>
        <w:t>توصي اللجنة بأن تنفِّذ الدولة الطرف تدابير بديلة لاحتجاز طالبي اللجوء، بما في ذلك الإفراج غير المشروط، وبخاصة عن الأسر التي لديها أطفال والبالغين من طالبي اللجوء المسؤولين عن أطفال؛ وبأن يتمتع طالبو اللجوء بحرية التنقل في مراكز الإيواء المغلقة وبظروف إيواء ملائمة؛ وبأن تراجع الدولة الطرف مدة القيود المفروضة على حرية تنقل طالبي اللجوء في مراكز الإيواء المغلقة وبأن تعيد النظر في النظام المتبع والظروف المادية السائدة في المراكز الخاصة بالأجانب الذين ينتظرون الترحيل لضمان توافقها مع مبدأ عدم الإبعاد المنصوص عليه في المادة 3 من الاتفاقية وفي اتفاقية عام</w:t>
      </w:r>
      <w:r w:rsidRPr="002F25AA">
        <w:rPr>
          <w:rFonts w:hint="cs"/>
          <w:b/>
          <w:bCs/>
          <w:spacing w:val="0"/>
          <w:sz w:val="20"/>
          <w:rtl/>
        </w:rPr>
        <w:t> </w:t>
      </w:r>
      <w:r w:rsidRPr="002F25AA">
        <w:rPr>
          <w:b/>
          <w:bCs/>
          <w:spacing w:val="0"/>
          <w:sz w:val="20"/>
          <w:rtl/>
        </w:rPr>
        <w:t>1951 المتعلقة بوضع اللاجئين.</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التدريب</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18</w:t>
      </w:r>
      <w:r w:rsidR="003E72B5">
        <w:rPr>
          <w:spacing w:val="0"/>
          <w:sz w:val="20"/>
          <w:rtl/>
        </w:rPr>
        <w:t>)</w:t>
      </w:r>
      <w:r w:rsidR="003E72B5">
        <w:rPr>
          <w:spacing w:val="0"/>
          <w:sz w:val="20"/>
          <w:rtl/>
        </w:rPr>
        <w:tab/>
      </w:r>
      <w:r w:rsidR="004E0A37" w:rsidRPr="004E0A37">
        <w:rPr>
          <w:spacing w:val="0"/>
          <w:sz w:val="20"/>
          <w:rtl/>
        </w:rPr>
        <w:t xml:space="preserve">يساور اللجنة القلق إزاء تأكيد الدولة الطرف أن آثار الأضرار البدنية والنفسية الناجمة عن التعذيب واضحة </w:t>
      </w:r>
      <w:r w:rsidR="004E0A37" w:rsidRPr="004E0A37">
        <w:rPr>
          <w:rFonts w:hint="cs"/>
          <w:spacing w:val="0"/>
          <w:sz w:val="20"/>
          <w:rtl/>
        </w:rPr>
        <w:t>بما فيه الكفاية بحيث</w:t>
      </w:r>
      <w:r w:rsidR="004E0A37" w:rsidRPr="004E0A37">
        <w:rPr>
          <w:spacing w:val="0"/>
          <w:sz w:val="20"/>
          <w:rtl/>
        </w:rPr>
        <w:t xml:space="preserve"> لا يحتاج </w:t>
      </w:r>
      <w:r w:rsidR="004E0A37" w:rsidRPr="004E0A37">
        <w:rPr>
          <w:rFonts w:hint="cs"/>
          <w:spacing w:val="0"/>
          <w:sz w:val="20"/>
          <w:rtl/>
        </w:rPr>
        <w:t>الأ</w:t>
      </w:r>
      <w:r w:rsidR="004E0A37" w:rsidRPr="004E0A37">
        <w:rPr>
          <w:spacing w:val="0"/>
          <w:sz w:val="20"/>
          <w:rtl/>
        </w:rPr>
        <w:t xml:space="preserve">خصائي </w:t>
      </w:r>
      <w:r w:rsidR="004E0A37" w:rsidRPr="004E0A37">
        <w:rPr>
          <w:rFonts w:hint="cs"/>
          <w:spacing w:val="0"/>
          <w:sz w:val="20"/>
          <w:rtl/>
        </w:rPr>
        <w:t>ال</w:t>
      </w:r>
      <w:r w:rsidR="004E0A37" w:rsidRPr="004E0A37">
        <w:rPr>
          <w:spacing w:val="0"/>
          <w:sz w:val="20"/>
          <w:rtl/>
        </w:rPr>
        <w:t>متمرس للتدريب لاكتشافها (المادة 10).</w:t>
      </w:r>
    </w:p>
    <w:p w:rsidR="004E0A37" w:rsidRPr="002F25AA" w:rsidRDefault="004E0A37" w:rsidP="004E0A37">
      <w:pPr>
        <w:pStyle w:val="SingleTxtGA"/>
        <w:jc w:val="lowKashida"/>
        <w:rPr>
          <w:b/>
          <w:bCs/>
          <w:spacing w:val="0"/>
          <w:sz w:val="20"/>
          <w:rtl/>
        </w:rPr>
      </w:pPr>
      <w:r w:rsidRPr="002F25AA">
        <w:rPr>
          <w:rFonts w:hint="cs"/>
          <w:b/>
          <w:bCs/>
          <w:spacing w:val="0"/>
          <w:sz w:val="20"/>
          <w:rtl/>
        </w:rPr>
        <w:tab/>
      </w:r>
      <w:r w:rsidRPr="002F25AA">
        <w:rPr>
          <w:b/>
          <w:bCs/>
          <w:spacing w:val="0"/>
          <w:sz w:val="20"/>
          <w:rtl/>
        </w:rPr>
        <w:t>توصي اللجنة بإلحاح بأن يُدرج التدريب على اكتشاف وعلاج آثار الأضرار البدنية والنفسية الناجمة عن التعذيب و</w:t>
      </w:r>
      <w:r w:rsidRPr="002F25AA">
        <w:rPr>
          <w:rFonts w:hint="cs"/>
          <w:b/>
          <w:bCs/>
          <w:spacing w:val="0"/>
          <w:sz w:val="20"/>
          <w:rtl/>
        </w:rPr>
        <w:t xml:space="preserve">سوء </w:t>
      </w:r>
      <w:r w:rsidRPr="002F25AA">
        <w:rPr>
          <w:b/>
          <w:bCs/>
          <w:spacing w:val="0"/>
          <w:sz w:val="20"/>
          <w:rtl/>
        </w:rPr>
        <w:t>المعاملة على النحو الموضح في دليل التقصي والتوثيق الفعالين بشأن التعذيب وغيره من ضروب المعاملة أو العقوبة القاسية أو</w:t>
      </w:r>
      <w:r w:rsidRPr="002F25AA">
        <w:rPr>
          <w:rFonts w:hint="cs"/>
          <w:b/>
          <w:bCs/>
          <w:spacing w:val="0"/>
          <w:sz w:val="20"/>
          <w:rtl/>
        </w:rPr>
        <w:t> </w:t>
      </w:r>
      <w:r w:rsidRPr="002F25AA">
        <w:rPr>
          <w:b/>
          <w:bCs/>
          <w:spacing w:val="0"/>
          <w:sz w:val="20"/>
          <w:rtl/>
        </w:rPr>
        <w:t xml:space="preserve">اللاإنسانية أو المهينة (بروتوكول </w:t>
      </w:r>
      <w:r w:rsidR="002C1EA7" w:rsidRPr="002F25AA">
        <w:rPr>
          <w:b/>
          <w:bCs/>
          <w:spacing w:val="0"/>
          <w:sz w:val="20"/>
          <w:rtl/>
        </w:rPr>
        <w:t>اسطنبول</w:t>
      </w:r>
      <w:r w:rsidRPr="002F25AA">
        <w:rPr>
          <w:b/>
          <w:bCs/>
          <w:spacing w:val="0"/>
          <w:sz w:val="20"/>
          <w:rtl/>
        </w:rPr>
        <w:t xml:space="preserve">) في برنامج تدريب الممرضين والموظفين الطبيين وشبه الطبيين وغيرهم من مزاولي المهن التي لها صلة </w:t>
      </w:r>
      <w:r w:rsidRPr="002F25AA">
        <w:rPr>
          <w:rFonts w:hint="cs"/>
          <w:b/>
          <w:bCs/>
          <w:spacing w:val="0"/>
          <w:sz w:val="20"/>
          <w:rtl/>
        </w:rPr>
        <w:t>بال</w:t>
      </w:r>
      <w:r w:rsidRPr="002F25AA">
        <w:rPr>
          <w:b/>
          <w:bCs/>
          <w:spacing w:val="0"/>
          <w:sz w:val="20"/>
          <w:rtl/>
        </w:rPr>
        <w:t xml:space="preserve">توثيق والتقصي </w:t>
      </w:r>
      <w:r w:rsidR="00F96B1E" w:rsidRPr="002F25AA">
        <w:rPr>
          <w:b/>
          <w:bCs/>
          <w:spacing w:val="0"/>
          <w:sz w:val="20"/>
          <w:rtl/>
        </w:rPr>
        <w:t>فيما </w:t>
      </w:r>
      <w:r w:rsidRPr="002F25AA">
        <w:rPr>
          <w:b/>
          <w:bCs/>
          <w:spacing w:val="0"/>
          <w:sz w:val="20"/>
          <w:rtl/>
        </w:rPr>
        <w:t>يتعلق بادعاءات التعذيب و</w:t>
      </w:r>
      <w:r w:rsidRPr="002F25AA">
        <w:rPr>
          <w:rFonts w:hint="cs"/>
          <w:b/>
          <w:bCs/>
          <w:spacing w:val="0"/>
          <w:sz w:val="20"/>
          <w:rtl/>
        </w:rPr>
        <w:t xml:space="preserve">سوء </w:t>
      </w:r>
      <w:r w:rsidRPr="002F25AA">
        <w:rPr>
          <w:b/>
          <w:bCs/>
          <w:spacing w:val="0"/>
          <w:sz w:val="20"/>
          <w:rtl/>
        </w:rPr>
        <w:t>المعاملة، وذلك لضمان اكتشاف كل حالات التعذيب ومعاقبة الجناة على النحو الواجب.</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عديمو الجنسية</w:t>
      </w:r>
    </w:p>
    <w:p w:rsidR="004E0A37" w:rsidRPr="004E0A37" w:rsidRDefault="00AC7D2B" w:rsidP="00336665">
      <w:pPr>
        <w:pStyle w:val="SingleTxtGA"/>
        <w:spacing w:line="360" w:lineRule="exact"/>
        <w:jc w:val="lowKashida"/>
        <w:rPr>
          <w:spacing w:val="0"/>
          <w:sz w:val="20"/>
          <w:rtl/>
        </w:rPr>
      </w:pPr>
      <w:r>
        <w:rPr>
          <w:rFonts w:hint="cs"/>
          <w:spacing w:val="0"/>
          <w:sz w:val="20"/>
          <w:rtl/>
        </w:rPr>
        <w:t>(</w:t>
      </w:r>
      <w:r w:rsidR="004E0A37" w:rsidRPr="004E0A37">
        <w:rPr>
          <w:spacing w:val="0"/>
          <w:sz w:val="20"/>
          <w:rtl/>
        </w:rPr>
        <w:t>19</w:t>
      </w:r>
      <w:r w:rsidR="003E72B5">
        <w:rPr>
          <w:spacing w:val="0"/>
          <w:sz w:val="20"/>
          <w:rtl/>
        </w:rPr>
        <w:t>)</w:t>
      </w:r>
      <w:r w:rsidR="003E72B5">
        <w:rPr>
          <w:spacing w:val="0"/>
          <w:sz w:val="20"/>
          <w:rtl/>
        </w:rPr>
        <w:tab/>
      </w:r>
      <w:r w:rsidR="004E0A37" w:rsidRPr="004E0A37">
        <w:rPr>
          <w:spacing w:val="0"/>
          <w:sz w:val="20"/>
          <w:rtl/>
        </w:rPr>
        <w:t xml:space="preserve">تلاحظ اللجنة أن الدولة الطرف صدقت على اتفاقية عام 1954 المتعلقة بوضع الأشخاص عديمي الجنسية واتفاقية عام 1961 لخفض حالة انعدام الجنسية، </w:t>
      </w:r>
      <w:r w:rsidR="004E0A37" w:rsidRPr="004E0A37">
        <w:rPr>
          <w:rFonts w:hint="cs"/>
          <w:spacing w:val="0"/>
          <w:sz w:val="20"/>
          <w:rtl/>
        </w:rPr>
        <w:t xml:space="preserve">ولكنها قلقة </w:t>
      </w:r>
      <w:r w:rsidR="004E0A37" w:rsidRPr="004E0A37">
        <w:rPr>
          <w:spacing w:val="0"/>
          <w:sz w:val="20"/>
          <w:rtl/>
        </w:rPr>
        <w:t xml:space="preserve">إزاء حالة الضعف الشديد التي يعاني منها عديمو الجنسية، وبخاصة </w:t>
      </w:r>
      <w:r w:rsidR="004E0A37" w:rsidRPr="004E0A37">
        <w:rPr>
          <w:rFonts w:hint="cs"/>
          <w:spacing w:val="0"/>
          <w:sz w:val="20"/>
          <w:rtl/>
        </w:rPr>
        <w:t>الذين لا يملكون</w:t>
      </w:r>
      <w:r w:rsidR="004E0A37" w:rsidRPr="004E0A37">
        <w:rPr>
          <w:spacing w:val="0"/>
          <w:sz w:val="20"/>
          <w:rtl/>
        </w:rPr>
        <w:t xml:space="preserve"> وثائق سارية الصلاحية وإقامة دائمة في الدولة الطرف؛ و</w:t>
      </w:r>
      <w:r w:rsidR="004E0A37" w:rsidRPr="004E0A37">
        <w:rPr>
          <w:rFonts w:hint="cs"/>
          <w:spacing w:val="0"/>
          <w:sz w:val="20"/>
          <w:rtl/>
        </w:rPr>
        <w:t xml:space="preserve">إزاء </w:t>
      </w:r>
      <w:r w:rsidR="004E0A37" w:rsidRPr="004E0A37">
        <w:rPr>
          <w:spacing w:val="0"/>
          <w:sz w:val="20"/>
          <w:rtl/>
        </w:rPr>
        <w:t>عدم وجود تعريف لحالة انعدام الجنسية و</w:t>
      </w:r>
      <w:r w:rsidR="004E0A37" w:rsidRPr="004E0A37">
        <w:rPr>
          <w:rFonts w:hint="cs"/>
          <w:spacing w:val="0"/>
          <w:sz w:val="20"/>
          <w:rtl/>
        </w:rPr>
        <w:t>لا</w:t>
      </w:r>
      <w:r w:rsidR="00B602A3">
        <w:rPr>
          <w:rFonts w:hint="eastAsia"/>
          <w:spacing w:val="0"/>
          <w:sz w:val="20"/>
          <w:rtl/>
        </w:rPr>
        <w:t> </w:t>
      </w:r>
      <w:r w:rsidR="004E0A37" w:rsidRPr="004E0A37">
        <w:rPr>
          <w:spacing w:val="0"/>
          <w:sz w:val="20"/>
          <w:rtl/>
        </w:rPr>
        <w:t>قاعدة بيانات مركزية لعديمي الجنسية و</w:t>
      </w:r>
      <w:r w:rsidR="004E0A37" w:rsidRPr="004E0A37">
        <w:rPr>
          <w:rFonts w:hint="cs"/>
          <w:spacing w:val="0"/>
          <w:sz w:val="20"/>
          <w:rtl/>
        </w:rPr>
        <w:t xml:space="preserve">لا </w:t>
      </w:r>
      <w:r w:rsidR="004E0A37" w:rsidRPr="004E0A37">
        <w:rPr>
          <w:spacing w:val="0"/>
          <w:sz w:val="20"/>
          <w:rtl/>
        </w:rPr>
        <w:t xml:space="preserve">إطار قانوني </w:t>
      </w:r>
      <w:r w:rsidR="004E0A37" w:rsidRPr="004E0A37">
        <w:rPr>
          <w:rFonts w:hint="cs"/>
          <w:spacing w:val="0"/>
          <w:sz w:val="20"/>
          <w:rtl/>
        </w:rPr>
        <w:t>أ</w:t>
      </w:r>
      <w:r w:rsidR="004E0A37" w:rsidRPr="004E0A37">
        <w:rPr>
          <w:spacing w:val="0"/>
          <w:sz w:val="20"/>
          <w:rtl/>
        </w:rPr>
        <w:t>و</w:t>
      </w:r>
      <w:r w:rsidR="004E0A37" w:rsidRPr="004E0A37">
        <w:rPr>
          <w:rFonts w:hint="cs"/>
          <w:spacing w:val="0"/>
          <w:sz w:val="20"/>
          <w:rtl/>
        </w:rPr>
        <w:t xml:space="preserve"> </w:t>
      </w:r>
      <w:r w:rsidR="004E0A37" w:rsidRPr="004E0A37">
        <w:rPr>
          <w:spacing w:val="0"/>
          <w:sz w:val="20"/>
          <w:rtl/>
        </w:rPr>
        <w:t xml:space="preserve">إجراءات أو آليات لتحديد وضعهم؛ وإزاء </w:t>
      </w:r>
      <w:r w:rsidR="004E0A37" w:rsidRPr="004E0A37">
        <w:rPr>
          <w:rFonts w:hint="cs"/>
          <w:spacing w:val="0"/>
          <w:sz w:val="20"/>
          <w:rtl/>
        </w:rPr>
        <w:t xml:space="preserve">إمكانية تكريس </w:t>
      </w:r>
      <w:r w:rsidR="004E0A37" w:rsidRPr="004E0A37">
        <w:rPr>
          <w:spacing w:val="0"/>
          <w:sz w:val="20"/>
          <w:rtl/>
        </w:rPr>
        <w:t>قانون الجنسية الجديد التمييز بين مختلف فئات عديمي الجنسية (المادتان 3 و16).</w:t>
      </w:r>
    </w:p>
    <w:p w:rsidR="004E0A37" w:rsidRPr="002F25AA" w:rsidRDefault="004E0A37" w:rsidP="00336665">
      <w:pPr>
        <w:pStyle w:val="SingleTxtGA"/>
        <w:spacing w:line="360" w:lineRule="exact"/>
        <w:jc w:val="lowKashida"/>
        <w:rPr>
          <w:b/>
          <w:bCs/>
          <w:spacing w:val="-2"/>
          <w:sz w:val="20"/>
          <w:rtl/>
        </w:rPr>
      </w:pPr>
      <w:r w:rsidRPr="002F25AA">
        <w:rPr>
          <w:rFonts w:hint="cs"/>
          <w:b/>
          <w:bCs/>
          <w:spacing w:val="-2"/>
          <w:sz w:val="20"/>
          <w:rtl/>
        </w:rPr>
        <w:tab/>
      </w:r>
      <w:r w:rsidRPr="002F25AA">
        <w:rPr>
          <w:b/>
          <w:bCs/>
          <w:spacing w:val="-2"/>
          <w:sz w:val="20"/>
          <w:rtl/>
        </w:rPr>
        <w:t xml:space="preserve">توصي اللجنة الدولة الطرف بأن </w:t>
      </w:r>
      <w:r w:rsidRPr="002F25AA">
        <w:rPr>
          <w:rFonts w:hint="cs"/>
          <w:b/>
          <w:bCs/>
          <w:spacing w:val="-2"/>
          <w:sz w:val="20"/>
          <w:rtl/>
        </w:rPr>
        <w:t xml:space="preserve">تدرج </w:t>
      </w:r>
      <w:r w:rsidRPr="002F25AA">
        <w:rPr>
          <w:b/>
          <w:bCs/>
          <w:spacing w:val="-2"/>
          <w:sz w:val="20"/>
          <w:rtl/>
        </w:rPr>
        <w:t>تعريف</w:t>
      </w:r>
      <w:r w:rsidR="00B602A3">
        <w:rPr>
          <w:rFonts w:hint="cs"/>
          <w:b/>
          <w:bCs/>
          <w:spacing w:val="-2"/>
          <w:sz w:val="20"/>
          <w:rtl/>
        </w:rPr>
        <w:t xml:space="preserve">اً </w:t>
      </w:r>
      <w:r w:rsidRPr="002F25AA">
        <w:rPr>
          <w:rFonts w:hint="cs"/>
          <w:b/>
          <w:bCs/>
          <w:spacing w:val="-2"/>
          <w:sz w:val="20"/>
          <w:rtl/>
        </w:rPr>
        <w:t>ل</w:t>
      </w:r>
      <w:r w:rsidRPr="002F25AA">
        <w:rPr>
          <w:b/>
          <w:bCs/>
          <w:spacing w:val="-2"/>
          <w:sz w:val="20"/>
          <w:rtl/>
        </w:rPr>
        <w:t xml:space="preserve">حالة انعدام الجنسية في قوانينها وبأن تضع إجراءات وآليات لتحديد وضع عديمي الجنسية وتنشئ قاعدة بيانات مركزية متعلقة بعديمي الجنسية الموجودين على أراضيها. ولتجنب التمييز </w:t>
      </w:r>
      <w:r w:rsidR="00F96B1E" w:rsidRPr="002F25AA">
        <w:rPr>
          <w:b/>
          <w:bCs/>
          <w:spacing w:val="-2"/>
          <w:sz w:val="20"/>
          <w:rtl/>
        </w:rPr>
        <w:t>فيما </w:t>
      </w:r>
      <w:r w:rsidRPr="002F25AA">
        <w:rPr>
          <w:b/>
          <w:bCs/>
          <w:spacing w:val="-2"/>
          <w:sz w:val="20"/>
          <w:rtl/>
        </w:rPr>
        <w:t xml:space="preserve">بين مختلف فئات عديمي الجنسية، ينبغي للدولة الطرف أن تراجع الأحكام </w:t>
      </w:r>
      <w:r w:rsidRPr="002F25AA">
        <w:rPr>
          <w:rFonts w:hint="cs"/>
          <w:b/>
          <w:bCs/>
          <w:spacing w:val="-2"/>
          <w:sz w:val="20"/>
          <w:rtl/>
        </w:rPr>
        <w:t xml:space="preserve">الواردة </w:t>
      </w:r>
      <w:r w:rsidRPr="002F25AA">
        <w:rPr>
          <w:b/>
          <w:bCs/>
          <w:spacing w:val="-2"/>
          <w:sz w:val="20"/>
          <w:rtl/>
        </w:rPr>
        <w:t xml:space="preserve">في مشروع قانون الجنسية </w:t>
      </w:r>
      <w:r w:rsidRPr="002F25AA">
        <w:rPr>
          <w:rFonts w:hint="cs"/>
          <w:b/>
          <w:bCs/>
          <w:spacing w:val="-2"/>
          <w:sz w:val="20"/>
          <w:rtl/>
        </w:rPr>
        <w:t>المتعلقة</w:t>
      </w:r>
      <w:r w:rsidR="002F25AA">
        <w:rPr>
          <w:rFonts w:hint="eastAsia"/>
          <w:b/>
          <w:bCs/>
          <w:spacing w:val="-2"/>
          <w:sz w:val="20"/>
          <w:rtl/>
        </w:rPr>
        <w:t> </w:t>
      </w:r>
      <w:r w:rsidRPr="002F25AA">
        <w:rPr>
          <w:b/>
          <w:bCs/>
          <w:spacing w:val="-2"/>
          <w:sz w:val="20"/>
          <w:rtl/>
        </w:rPr>
        <w:t>بمسألة اكتساب الجنسية بالنسبة للأطفال الذين سيكونون في حالة عدم اكتسابها عديمي الجنسية أو الذين يولدون خارج نطاق العلاقة الزوجية لأمهات أجنبيات عديمات الجنسية. وبالإضافة إلى ذلك، توصي اللجنة بأن يُزوَّد عديمو الجنسية بوثائق</w:t>
      </w:r>
      <w:r w:rsidRPr="002F25AA">
        <w:rPr>
          <w:rFonts w:hint="cs"/>
          <w:b/>
          <w:bCs/>
          <w:spacing w:val="-2"/>
          <w:sz w:val="20"/>
          <w:rtl/>
        </w:rPr>
        <w:t xml:space="preserve"> الهوية</w:t>
      </w:r>
      <w:r w:rsidRPr="002F25AA">
        <w:rPr>
          <w:b/>
          <w:bCs/>
          <w:spacing w:val="-2"/>
          <w:sz w:val="20"/>
          <w:rtl/>
        </w:rPr>
        <w:t>.</w:t>
      </w:r>
    </w:p>
    <w:p w:rsidR="004E0A37" w:rsidRPr="004E0A37" w:rsidRDefault="004E0A37" w:rsidP="00336665">
      <w:pPr>
        <w:pStyle w:val="H23GA"/>
        <w:spacing w:line="360" w:lineRule="exact"/>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الإخصاء الجراحي لمرتكبي جريمة الاعتداء الجنسي</w:t>
      </w:r>
    </w:p>
    <w:p w:rsidR="004E0A37" w:rsidRPr="004E0A37" w:rsidRDefault="00AC7D2B" w:rsidP="00336665">
      <w:pPr>
        <w:pStyle w:val="SingleTxtGA"/>
        <w:spacing w:line="360" w:lineRule="exact"/>
        <w:jc w:val="lowKashida"/>
        <w:rPr>
          <w:spacing w:val="0"/>
          <w:sz w:val="20"/>
          <w:rtl/>
        </w:rPr>
      </w:pPr>
      <w:r>
        <w:rPr>
          <w:rFonts w:hint="cs"/>
          <w:spacing w:val="0"/>
          <w:sz w:val="20"/>
          <w:rtl/>
        </w:rPr>
        <w:t>(</w:t>
      </w:r>
      <w:r w:rsidR="004E0A37" w:rsidRPr="004E0A37">
        <w:rPr>
          <w:spacing w:val="0"/>
          <w:sz w:val="20"/>
          <w:rtl/>
        </w:rPr>
        <w:t>20</w:t>
      </w:r>
      <w:r w:rsidR="003E72B5">
        <w:rPr>
          <w:spacing w:val="0"/>
          <w:sz w:val="20"/>
          <w:rtl/>
        </w:rPr>
        <w:t>)</w:t>
      </w:r>
      <w:r w:rsidR="003E72B5">
        <w:rPr>
          <w:spacing w:val="0"/>
          <w:sz w:val="20"/>
          <w:rtl/>
        </w:rPr>
        <w:tab/>
      </w:r>
      <w:r w:rsidR="004E0A37" w:rsidRPr="004E0A37">
        <w:rPr>
          <w:spacing w:val="0"/>
          <w:sz w:val="20"/>
          <w:rtl/>
        </w:rPr>
        <w:t xml:space="preserve">يساور اللجنة القلق إزاء استمرار ممارسة الإخصاء الجراحي لمرتكبي جريمة الاعتداء الجنسي المحتجزين. ويساور اللجنة القلق أيضاً لإجراء الإخصاء الجراحي عادة في سياق تدبير </w:t>
      </w:r>
      <w:r w:rsidR="004E0A37" w:rsidRPr="004E0A37">
        <w:rPr>
          <w:rFonts w:hint="cs"/>
          <w:spacing w:val="0"/>
          <w:sz w:val="20"/>
          <w:rtl/>
        </w:rPr>
        <w:t>ا</w:t>
      </w:r>
      <w:r w:rsidR="004E0A37" w:rsidRPr="004E0A37">
        <w:rPr>
          <w:spacing w:val="0"/>
          <w:sz w:val="20"/>
          <w:rtl/>
        </w:rPr>
        <w:t xml:space="preserve">لعلاج الوقائي (العلاج الإلزامي في مستشفى </w:t>
      </w:r>
      <w:r w:rsidR="004E0A37" w:rsidRPr="004E0A37">
        <w:rPr>
          <w:rFonts w:hint="cs"/>
          <w:spacing w:val="0"/>
          <w:sz w:val="20"/>
          <w:rtl/>
        </w:rPr>
        <w:t>ا</w:t>
      </w:r>
      <w:r w:rsidR="004E0A37" w:rsidRPr="004E0A37">
        <w:rPr>
          <w:spacing w:val="0"/>
          <w:sz w:val="20"/>
          <w:rtl/>
        </w:rPr>
        <w:t xml:space="preserve">لأمراض النفسية) وأن المادة 99 من القانون الجنائي تفيد ضمناً بأنه يجوز إيداع المرضى في المستشفيات وعلاجهم دون موافقتهم. ويساور اللجنة القلق أيضاً لاحتمال </w:t>
      </w:r>
      <w:r w:rsidR="004E0A37" w:rsidRPr="004E0A37">
        <w:rPr>
          <w:rFonts w:hint="cs"/>
          <w:spacing w:val="0"/>
          <w:sz w:val="20"/>
          <w:rtl/>
        </w:rPr>
        <w:t>عدم تحديد مدة</w:t>
      </w:r>
      <w:r w:rsidR="004E0A37" w:rsidRPr="004E0A37">
        <w:rPr>
          <w:spacing w:val="0"/>
          <w:sz w:val="20"/>
          <w:rtl/>
        </w:rPr>
        <w:t xml:space="preserve"> احتجاز مرتكبي جريمة الاعتداء الجنسي </w:t>
      </w:r>
      <w:r w:rsidR="004E0A37" w:rsidRPr="004E0A37">
        <w:rPr>
          <w:rFonts w:hint="cs"/>
          <w:spacing w:val="0"/>
          <w:sz w:val="20"/>
          <w:rtl/>
        </w:rPr>
        <w:t>في</w:t>
      </w:r>
      <w:r w:rsidR="004E0A37" w:rsidRPr="004E0A37">
        <w:rPr>
          <w:spacing w:val="0"/>
          <w:sz w:val="20"/>
          <w:rtl/>
        </w:rPr>
        <w:t xml:space="preserve"> القانون الجديد المتعلق بمسألة "الاحتجاز لأغراض الطب الشرعي". ويساور اللجنة القلق إزاء </w:t>
      </w:r>
      <w:r w:rsidR="004E0A37" w:rsidRPr="004E0A37">
        <w:rPr>
          <w:rFonts w:hint="cs"/>
          <w:spacing w:val="0"/>
          <w:sz w:val="20"/>
          <w:rtl/>
        </w:rPr>
        <w:t xml:space="preserve">الممارسة المعهودة التي تحمل </w:t>
      </w:r>
      <w:r w:rsidR="004E0A37" w:rsidRPr="004E0A37">
        <w:rPr>
          <w:spacing w:val="0"/>
          <w:sz w:val="20"/>
          <w:rtl/>
        </w:rPr>
        <w:t xml:space="preserve">الأشخاص </w:t>
      </w:r>
      <w:r w:rsidR="004E0A37" w:rsidRPr="004E0A37">
        <w:rPr>
          <w:rFonts w:hint="cs"/>
          <w:spacing w:val="0"/>
          <w:sz w:val="20"/>
          <w:rtl/>
        </w:rPr>
        <w:t>على الاعتقاد</w:t>
      </w:r>
      <w:r w:rsidR="004E0A37" w:rsidRPr="004E0A37">
        <w:rPr>
          <w:spacing w:val="0"/>
          <w:sz w:val="20"/>
          <w:rtl/>
        </w:rPr>
        <w:t xml:space="preserve"> أن رفض الإخصاء الجراحي يعني الاحتجاز مدى الحياة (المادتان 2 و16).</w:t>
      </w:r>
    </w:p>
    <w:p w:rsidR="004E0A37" w:rsidRPr="00336665" w:rsidRDefault="004E0A37" w:rsidP="00336665">
      <w:pPr>
        <w:pStyle w:val="SingleTxtGA"/>
        <w:spacing w:line="360" w:lineRule="exact"/>
        <w:jc w:val="lowKashida"/>
        <w:rPr>
          <w:b/>
          <w:bCs/>
          <w:spacing w:val="-4"/>
          <w:kern w:val="0"/>
          <w:sz w:val="20"/>
          <w:rtl/>
        </w:rPr>
      </w:pPr>
      <w:r w:rsidRPr="00336665">
        <w:rPr>
          <w:rFonts w:hint="cs"/>
          <w:b/>
          <w:bCs/>
          <w:spacing w:val="-4"/>
          <w:kern w:val="0"/>
          <w:sz w:val="20"/>
          <w:rtl/>
        </w:rPr>
        <w:tab/>
      </w:r>
      <w:r w:rsidRPr="00336665">
        <w:rPr>
          <w:b/>
          <w:bCs/>
          <w:spacing w:val="-4"/>
          <w:kern w:val="0"/>
          <w:sz w:val="20"/>
          <w:rtl/>
        </w:rPr>
        <w:t>توصي اللجنة الدولة الطرف بأن تقلع عن ممارسة الإخصاء الجراحي وتعدِّل قوانينها</w:t>
      </w:r>
      <w:r w:rsidR="00336665">
        <w:rPr>
          <w:rFonts w:hint="cs"/>
          <w:b/>
          <w:bCs/>
          <w:spacing w:val="-4"/>
          <w:kern w:val="0"/>
          <w:sz w:val="20"/>
          <w:rtl/>
        </w:rPr>
        <w:t> </w:t>
      </w:r>
      <w:r w:rsidRPr="00336665">
        <w:rPr>
          <w:b/>
          <w:bCs/>
          <w:spacing w:val="-4"/>
          <w:kern w:val="0"/>
          <w:sz w:val="20"/>
          <w:rtl/>
        </w:rPr>
        <w:t xml:space="preserve">لجعلها متوافقة مع </w:t>
      </w:r>
      <w:r w:rsidRPr="00336665">
        <w:rPr>
          <w:rFonts w:hint="cs"/>
          <w:b/>
          <w:bCs/>
          <w:spacing w:val="-4"/>
          <w:kern w:val="0"/>
          <w:sz w:val="20"/>
          <w:rtl/>
        </w:rPr>
        <w:t>ال</w:t>
      </w:r>
      <w:r w:rsidRPr="00336665">
        <w:rPr>
          <w:b/>
          <w:bCs/>
          <w:spacing w:val="-4"/>
          <w:kern w:val="0"/>
          <w:sz w:val="20"/>
          <w:rtl/>
        </w:rPr>
        <w:t xml:space="preserve">معايير </w:t>
      </w:r>
      <w:r w:rsidRPr="00336665">
        <w:rPr>
          <w:rFonts w:hint="cs"/>
          <w:b/>
          <w:bCs/>
          <w:spacing w:val="-4"/>
          <w:kern w:val="0"/>
          <w:sz w:val="20"/>
          <w:rtl/>
        </w:rPr>
        <w:t>ال</w:t>
      </w:r>
      <w:r w:rsidRPr="00336665">
        <w:rPr>
          <w:b/>
          <w:bCs/>
          <w:spacing w:val="-4"/>
          <w:kern w:val="0"/>
          <w:sz w:val="20"/>
          <w:rtl/>
        </w:rPr>
        <w:t xml:space="preserve">دولية </w:t>
      </w:r>
      <w:r w:rsidRPr="00336665">
        <w:rPr>
          <w:rFonts w:hint="cs"/>
          <w:b/>
          <w:bCs/>
          <w:spacing w:val="-4"/>
          <w:kern w:val="0"/>
          <w:sz w:val="20"/>
          <w:rtl/>
        </w:rPr>
        <w:t xml:space="preserve">مثل </w:t>
      </w:r>
      <w:r w:rsidRPr="00336665">
        <w:rPr>
          <w:b/>
          <w:bCs/>
          <w:spacing w:val="-4"/>
          <w:kern w:val="0"/>
          <w:sz w:val="20"/>
          <w:rtl/>
        </w:rPr>
        <w:t>"معايير الرعاية لمعاملة مرتكبي جريمة الاعتداء الجنسي البالغين". وينبغي أن تشمل القوانين المتعلقة بمرتكبي جريمة الاعتداء الجنسي ضمانات إجرائية</w:t>
      </w:r>
      <w:r w:rsidR="00336665">
        <w:rPr>
          <w:rFonts w:hint="cs"/>
          <w:b/>
          <w:bCs/>
          <w:spacing w:val="-4"/>
          <w:kern w:val="0"/>
          <w:sz w:val="20"/>
          <w:rtl/>
        </w:rPr>
        <w:t> </w:t>
      </w:r>
      <w:r w:rsidRPr="00336665">
        <w:rPr>
          <w:b/>
          <w:bCs/>
          <w:spacing w:val="-4"/>
          <w:kern w:val="0"/>
          <w:sz w:val="20"/>
          <w:rtl/>
        </w:rPr>
        <w:t>وأنظمة دقيقة وتعليمات مهنية بشأن معاملتهم واحتجازهم، بما</w:t>
      </w:r>
      <w:r w:rsidRPr="00336665">
        <w:rPr>
          <w:rFonts w:hint="cs"/>
          <w:b/>
          <w:bCs/>
          <w:spacing w:val="-4"/>
          <w:kern w:val="0"/>
          <w:sz w:val="20"/>
          <w:rtl/>
        </w:rPr>
        <w:t> </w:t>
      </w:r>
      <w:r w:rsidRPr="00336665">
        <w:rPr>
          <w:b/>
          <w:bCs/>
          <w:spacing w:val="-4"/>
          <w:kern w:val="0"/>
          <w:sz w:val="20"/>
          <w:rtl/>
        </w:rPr>
        <w:t>في ذلك مدته.</w:t>
      </w:r>
    </w:p>
    <w:p w:rsidR="004E0A37" w:rsidRPr="004E0A37" w:rsidRDefault="004E0A37" w:rsidP="00336665">
      <w:pPr>
        <w:pStyle w:val="H23GA"/>
        <w:spacing w:line="360" w:lineRule="exact"/>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مرافق علاج الأمراض النفسية</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21</w:t>
      </w:r>
      <w:r w:rsidR="003E72B5">
        <w:rPr>
          <w:spacing w:val="0"/>
          <w:sz w:val="20"/>
          <w:rtl/>
        </w:rPr>
        <w:t>)</w:t>
      </w:r>
      <w:r w:rsidR="003E72B5">
        <w:rPr>
          <w:spacing w:val="0"/>
          <w:sz w:val="20"/>
          <w:rtl/>
        </w:rPr>
        <w:tab/>
      </w:r>
      <w:r w:rsidR="004E0A37" w:rsidRPr="004E0A37">
        <w:rPr>
          <w:spacing w:val="0"/>
          <w:sz w:val="20"/>
          <w:rtl/>
        </w:rPr>
        <w:t xml:space="preserve">رغم تعديلات القوانين التي أعلن عنها وفد الدولة الطرف، فإن اللجنة يساورها القلق إزاء التقارير </w:t>
      </w:r>
      <w:r w:rsidR="004E0A37" w:rsidRPr="004E0A37">
        <w:rPr>
          <w:rFonts w:hint="cs"/>
          <w:spacing w:val="0"/>
          <w:sz w:val="20"/>
          <w:rtl/>
        </w:rPr>
        <w:t>التي تتحدث</w:t>
      </w:r>
      <w:r w:rsidR="004E0A37" w:rsidRPr="004E0A37">
        <w:rPr>
          <w:spacing w:val="0"/>
          <w:sz w:val="20"/>
          <w:rtl/>
        </w:rPr>
        <w:t xml:space="preserve"> عن تواتر ممارسة إيداع ذوي الإعاقات الذهنية أو النفسية</w:t>
      </w:r>
      <w:r w:rsidR="004E0A37" w:rsidRPr="004E0A37">
        <w:rPr>
          <w:rFonts w:hint="cs"/>
          <w:spacing w:val="0"/>
          <w:sz w:val="20"/>
          <w:rtl/>
        </w:rPr>
        <w:t xml:space="preserve"> </w:t>
      </w:r>
      <w:r w:rsidR="004E0A37" w:rsidRPr="004E0A37">
        <w:rPr>
          <w:spacing w:val="0"/>
          <w:sz w:val="20"/>
          <w:rtl/>
        </w:rPr>
        <w:t>-</w:t>
      </w:r>
      <w:r w:rsidR="004E0A37" w:rsidRPr="004E0A37">
        <w:rPr>
          <w:rFonts w:hint="cs"/>
          <w:spacing w:val="0"/>
          <w:sz w:val="20"/>
          <w:rtl/>
        </w:rPr>
        <w:t xml:space="preserve"> </w:t>
      </w:r>
      <w:r w:rsidR="004E0A37" w:rsidRPr="004E0A37">
        <w:rPr>
          <w:spacing w:val="0"/>
          <w:sz w:val="20"/>
          <w:rtl/>
        </w:rPr>
        <w:t xml:space="preserve">الاجتماعية في المؤسسات الاجتماعية أو الطبية أو الخاصة بالأمراض النفسية دون موافقتهم الحرة والمستنيرة؛ وبخصوص الاستمرار في استعمال الأسِرَّة القفصية، رغم الحظر القانوني، والأسِرَّة الشبكية واستعمال أساليب أخرى لتقييد الحركة من قبيل الربط إلى السرير والأصفاد والحبس الانفرادي، وذلك في ظروف تتسم في كثير من الأحيان بانعدام النظافة وبالإهمال البدني. كما يساور اللجنة القلق إزاء عدم إجراء تحقيقات في حالات </w:t>
      </w:r>
      <w:r w:rsidR="004E0A37" w:rsidRPr="004E0A37">
        <w:rPr>
          <w:rFonts w:hint="cs"/>
          <w:spacing w:val="0"/>
          <w:sz w:val="20"/>
          <w:rtl/>
        </w:rPr>
        <w:t xml:space="preserve">سوء </w:t>
      </w:r>
      <w:r w:rsidR="004E0A37" w:rsidRPr="004E0A37">
        <w:rPr>
          <w:spacing w:val="0"/>
          <w:sz w:val="20"/>
          <w:rtl/>
        </w:rPr>
        <w:t>المعاملة والوفيات التي حصلت للمحبوسين في أسِرَّة قفصية وشبكية بمؤسسات الأمراض العقلية، بما</w:t>
      </w:r>
      <w:r w:rsidR="004E0A37" w:rsidRPr="004E0A37">
        <w:rPr>
          <w:rFonts w:hint="cs"/>
          <w:spacing w:val="0"/>
          <w:sz w:val="20"/>
          <w:rtl/>
        </w:rPr>
        <w:t> </w:t>
      </w:r>
      <w:r w:rsidR="004E0A37" w:rsidRPr="004E0A37">
        <w:rPr>
          <w:spacing w:val="0"/>
          <w:sz w:val="20"/>
          <w:rtl/>
        </w:rPr>
        <w:t>في ذلك حالات الانتحار (المادتان 11 و16).</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توصي اللجنة الدولة الطرف بما يلي:</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(أ)</w:t>
      </w:r>
      <w:r w:rsidRPr="004E0A37">
        <w:rPr>
          <w:spacing w:val="0"/>
          <w:sz w:val="20"/>
          <w:rtl/>
        </w:rPr>
        <w:tab/>
        <w:t>أن تخصص التمويل المناسب لتنفيذ الخطة الوطنية لتغيير الخدمات النفسية والصحية والاجتماعية وغيرها من الخدمات الخاصة بالبالغين والأطفال ذوي الإعاقات الذهنية أو النفسية</w:t>
      </w:r>
      <w:r w:rsidRPr="004E0A37">
        <w:rPr>
          <w:rFonts w:hint="cs"/>
          <w:spacing w:val="0"/>
          <w:sz w:val="20"/>
          <w:rtl/>
        </w:rPr>
        <w:t xml:space="preserve"> </w:t>
      </w:r>
      <w:r w:rsidRPr="004E0A37">
        <w:rPr>
          <w:spacing w:val="0"/>
          <w:sz w:val="20"/>
          <w:rtl/>
        </w:rPr>
        <w:t>-</w:t>
      </w:r>
      <w:r w:rsidRPr="004E0A37">
        <w:rPr>
          <w:rFonts w:hint="cs"/>
          <w:spacing w:val="0"/>
          <w:sz w:val="20"/>
          <w:rtl/>
        </w:rPr>
        <w:t xml:space="preserve"> </w:t>
      </w:r>
      <w:r w:rsidRPr="004E0A37">
        <w:rPr>
          <w:spacing w:val="0"/>
          <w:sz w:val="20"/>
          <w:rtl/>
        </w:rPr>
        <w:t>الاجتماعية بما يضمن إنهاء ممارسة الإيداع في المؤسسات والتحول بسرعة إلى خدمات أكثر تجذرا</w:t>
      </w:r>
      <w:r w:rsidRPr="004E0A37">
        <w:rPr>
          <w:rFonts w:hint="cs"/>
          <w:spacing w:val="0"/>
          <w:sz w:val="20"/>
          <w:rtl/>
        </w:rPr>
        <w:t>ً</w:t>
      </w:r>
      <w:r w:rsidRPr="004E0A37">
        <w:rPr>
          <w:spacing w:val="0"/>
          <w:sz w:val="20"/>
          <w:rtl/>
        </w:rPr>
        <w:t xml:space="preserve"> في المجتمع و/أو السكن المعقول التكلفة؛</w:t>
      </w:r>
    </w:p>
    <w:p w:rsidR="004E0A37" w:rsidRPr="002F25AA" w:rsidRDefault="004E0A37" w:rsidP="004E0A37">
      <w:pPr>
        <w:pStyle w:val="SingleTxtGA"/>
        <w:jc w:val="lowKashida"/>
        <w:rPr>
          <w:spacing w:val="-2"/>
          <w:sz w:val="20"/>
          <w:rtl/>
        </w:rPr>
      </w:pPr>
      <w:r w:rsidRPr="002F25AA">
        <w:rPr>
          <w:rFonts w:hint="cs"/>
          <w:spacing w:val="-2"/>
          <w:sz w:val="20"/>
          <w:rtl/>
        </w:rPr>
        <w:tab/>
      </w:r>
      <w:r w:rsidRPr="002F25AA">
        <w:rPr>
          <w:spacing w:val="-2"/>
          <w:sz w:val="20"/>
          <w:rtl/>
        </w:rPr>
        <w:t>(ب)</w:t>
      </w:r>
      <w:r w:rsidRPr="002F25AA">
        <w:rPr>
          <w:spacing w:val="-2"/>
          <w:sz w:val="20"/>
          <w:rtl/>
        </w:rPr>
        <w:tab/>
        <w:t>أن تنشئ آلية لضمان معاينة الأجهزة القضائية ومراقبتها عن كثب لأي حالة إيداع ذوي الإعاقات الذهنية أو النفسية</w:t>
      </w:r>
      <w:r w:rsidRPr="002F25AA">
        <w:rPr>
          <w:rFonts w:hint="cs"/>
          <w:spacing w:val="-2"/>
          <w:sz w:val="20"/>
          <w:rtl/>
        </w:rPr>
        <w:t xml:space="preserve"> </w:t>
      </w:r>
      <w:r w:rsidRPr="002F25AA">
        <w:rPr>
          <w:spacing w:val="-2"/>
          <w:sz w:val="20"/>
          <w:rtl/>
        </w:rPr>
        <w:t>-</w:t>
      </w:r>
      <w:r w:rsidRPr="002F25AA">
        <w:rPr>
          <w:rFonts w:hint="cs"/>
          <w:spacing w:val="-2"/>
          <w:sz w:val="20"/>
          <w:rtl/>
        </w:rPr>
        <w:t xml:space="preserve"> </w:t>
      </w:r>
      <w:r w:rsidRPr="002F25AA">
        <w:rPr>
          <w:spacing w:val="-2"/>
          <w:sz w:val="20"/>
          <w:rtl/>
        </w:rPr>
        <w:t>الاجتماعية</w:t>
      </w:r>
      <w:r w:rsidRPr="002F25AA">
        <w:rPr>
          <w:rFonts w:hint="cs"/>
          <w:spacing w:val="-2"/>
          <w:sz w:val="20"/>
          <w:rtl/>
        </w:rPr>
        <w:t xml:space="preserve"> </w:t>
      </w:r>
      <w:r w:rsidRPr="002F25AA">
        <w:rPr>
          <w:spacing w:val="-2"/>
          <w:sz w:val="20"/>
          <w:rtl/>
        </w:rPr>
        <w:t xml:space="preserve">في مؤسسات، مع كفالة الضمانات القانونية المناسبة وزيارات هيئات المراقبة المستقلة. وينبغي أن يستند الإيداع في المؤسسة والعلاج إلى الموافقة الحرة والمستنيرة للأشخاص المعنيين </w:t>
      </w:r>
      <w:r w:rsidRPr="002F25AA">
        <w:rPr>
          <w:rFonts w:hint="cs"/>
          <w:spacing w:val="-2"/>
          <w:sz w:val="20"/>
          <w:rtl/>
        </w:rPr>
        <w:t xml:space="preserve">وإبلاغهم </w:t>
      </w:r>
      <w:r w:rsidRPr="002F25AA">
        <w:rPr>
          <w:spacing w:val="-2"/>
          <w:sz w:val="20"/>
          <w:rtl/>
        </w:rPr>
        <w:t>مسبقا</w:t>
      </w:r>
      <w:r w:rsidRPr="002F25AA">
        <w:rPr>
          <w:rFonts w:hint="cs"/>
          <w:spacing w:val="-2"/>
          <w:sz w:val="20"/>
          <w:rtl/>
        </w:rPr>
        <w:t>ً</w:t>
      </w:r>
      <w:r w:rsidRPr="002F25AA">
        <w:rPr>
          <w:spacing w:val="-2"/>
          <w:sz w:val="20"/>
          <w:rtl/>
        </w:rPr>
        <w:t xml:space="preserve"> بالعلاج المزمع؛</w:t>
      </w:r>
    </w:p>
    <w:p w:rsidR="004E0A37" w:rsidRPr="004E0A37" w:rsidRDefault="004E0A37" w:rsidP="00B602A3">
      <w:pPr>
        <w:pStyle w:val="SingleTxtGA"/>
        <w:jc w:val="lowKashida"/>
        <w:rPr>
          <w:spacing w:val="0"/>
          <w:sz w:val="20"/>
          <w:rtl/>
        </w:rPr>
      </w:pPr>
      <w:r w:rsidRPr="004E0A37">
        <w:rPr>
          <w:rFonts w:hint="cs"/>
          <w:spacing w:val="0"/>
          <w:sz w:val="20"/>
          <w:rtl/>
        </w:rPr>
        <w:tab/>
      </w:r>
      <w:r w:rsidRPr="004E0A37">
        <w:rPr>
          <w:spacing w:val="0"/>
          <w:sz w:val="20"/>
          <w:rtl/>
        </w:rPr>
        <w:t>(ج)</w:t>
      </w:r>
      <w:r w:rsidRPr="004E0A37">
        <w:rPr>
          <w:spacing w:val="0"/>
          <w:sz w:val="20"/>
          <w:rtl/>
        </w:rPr>
        <w:tab/>
        <w:t>أن تتخذ جميع التدابير اللازمة لضمان حظر استعمال الأسِرة القفصية</w:t>
      </w:r>
      <w:r w:rsidRPr="004E0A37">
        <w:rPr>
          <w:rFonts w:hint="cs"/>
          <w:spacing w:val="0"/>
          <w:sz w:val="20"/>
          <w:rtl/>
        </w:rPr>
        <w:t xml:space="preserve"> حظر</w:t>
      </w:r>
      <w:r w:rsidR="00B602A3">
        <w:rPr>
          <w:rFonts w:hint="cs"/>
          <w:spacing w:val="0"/>
          <w:sz w:val="20"/>
          <w:rtl/>
        </w:rPr>
        <w:t xml:space="preserve">اً </w:t>
      </w:r>
      <w:r w:rsidRPr="004E0A37">
        <w:rPr>
          <w:rFonts w:hint="cs"/>
          <w:spacing w:val="0"/>
          <w:sz w:val="20"/>
          <w:rtl/>
        </w:rPr>
        <w:t>فعليا</w:t>
      </w:r>
      <w:r w:rsidR="00B602A3">
        <w:rPr>
          <w:rFonts w:hint="cs"/>
          <w:spacing w:val="0"/>
          <w:sz w:val="20"/>
          <w:rtl/>
        </w:rPr>
        <w:t>ً</w:t>
      </w:r>
      <w:r w:rsidRPr="004E0A37">
        <w:rPr>
          <w:spacing w:val="0"/>
          <w:sz w:val="20"/>
          <w:rtl/>
        </w:rPr>
        <w:t>،</w:t>
      </w:r>
      <w:r w:rsidR="00B345DB">
        <w:rPr>
          <w:spacing w:val="0"/>
          <w:sz w:val="20"/>
          <w:rtl/>
        </w:rPr>
        <w:t xml:space="preserve"> وفقاً </w:t>
      </w:r>
      <w:r w:rsidRPr="004E0A37">
        <w:rPr>
          <w:rFonts w:hint="cs"/>
          <w:spacing w:val="0"/>
          <w:sz w:val="20"/>
          <w:rtl/>
        </w:rPr>
        <w:t>لما نص</w:t>
      </w:r>
      <w:r w:rsidRPr="004E0A37">
        <w:rPr>
          <w:spacing w:val="0"/>
          <w:sz w:val="20"/>
          <w:rtl/>
        </w:rPr>
        <w:t xml:space="preserve"> عليه قانون الخدمات الطبية (القانون رقم</w:t>
      </w:r>
      <w:r w:rsidRPr="004E0A37">
        <w:rPr>
          <w:rFonts w:hint="cs"/>
          <w:spacing w:val="0"/>
          <w:sz w:val="20"/>
          <w:rtl/>
        </w:rPr>
        <w:t> </w:t>
      </w:r>
      <w:r w:rsidRPr="004E0A37">
        <w:rPr>
          <w:spacing w:val="0"/>
          <w:sz w:val="20"/>
          <w:rtl/>
        </w:rPr>
        <w:t>372/2011). وبالإضافة إلى ذلك، توصي اللجنة ب</w:t>
      </w:r>
      <w:r w:rsidRPr="004E0A37">
        <w:rPr>
          <w:rFonts w:hint="cs"/>
          <w:spacing w:val="0"/>
          <w:sz w:val="20"/>
          <w:rtl/>
        </w:rPr>
        <w:t>ت</w:t>
      </w:r>
      <w:r w:rsidRPr="004E0A37">
        <w:rPr>
          <w:spacing w:val="0"/>
          <w:sz w:val="20"/>
          <w:rtl/>
        </w:rPr>
        <w:t>عد</w:t>
      </w:r>
      <w:r w:rsidRPr="004E0A37">
        <w:rPr>
          <w:rFonts w:hint="cs"/>
          <w:spacing w:val="0"/>
          <w:sz w:val="20"/>
          <w:rtl/>
        </w:rPr>
        <w:t>ي</w:t>
      </w:r>
      <w:r w:rsidRPr="004E0A37">
        <w:rPr>
          <w:spacing w:val="0"/>
          <w:sz w:val="20"/>
          <w:rtl/>
        </w:rPr>
        <w:t xml:space="preserve">ل هذا القانون </w:t>
      </w:r>
      <w:r w:rsidRPr="004E0A37">
        <w:rPr>
          <w:rFonts w:hint="cs"/>
          <w:spacing w:val="0"/>
          <w:sz w:val="20"/>
          <w:rtl/>
        </w:rPr>
        <w:t xml:space="preserve">بحيث </w:t>
      </w:r>
      <w:r w:rsidRPr="004E0A37">
        <w:rPr>
          <w:spacing w:val="0"/>
          <w:sz w:val="20"/>
          <w:rtl/>
        </w:rPr>
        <w:t>يشمل حظر استعمال الأسِرة الشبكية ما</w:t>
      </w:r>
      <w:r w:rsidR="00B602A3">
        <w:rPr>
          <w:rFonts w:hint="cs"/>
          <w:spacing w:val="0"/>
          <w:sz w:val="20"/>
          <w:rtl/>
        </w:rPr>
        <w:t> </w:t>
      </w:r>
      <w:r w:rsidRPr="004E0A37">
        <w:rPr>
          <w:spacing w:val="0"/>
          <w:sz w:val="20"/>
          <w:rtl/>
        </w:rPr>
        <w:t>دامت آثارها مماثلة لآثار الأسِرة القفصية؛</w:t>
      </w:r>
    </w:p>
    <w:p w:rsidR="004E0A37" w:rsidRPr="004E0A37" w:rsidRDefault="004E0A37" w:rsidP="004E0A37">
      <w:pPr>
        <w:pStyle w:val="SingleTxtGA"/>
        <w:jc w:val="lowKashida"/>
        <w:rPr>
          <w:spacing w:val="0"/>
          <w:sz w:val="20"/>
          <w:rtl/>
        </w:rPr>
      </w:pPr>
      <w:r w:rsidRPr="004E0A37">
        <w:rPr>
          <w:rFonts w:hint="cs"/>
          <w:spacing w:val="0"/>
          <w:sz w:val="20"/>
          <w:rtl/>
        </w:rPr>
        <w:tab/>
      </w:r>
      <w:r w:rsidRPr="004E0A37">
        <w:rPr>
          <w:spacing w:val="0"/>
          <w:sz w:val="20"/>
          <w:rtl/>
        </w:rPr>
        <w:t>(د)</w:t>
      </w:r>
      <w:r w:rsidRPr="004E0A37">
        <w:rPr>
          <w:spacing w:val="0"/>
          <w:sz w:val="20"/>
          <w:rtl/>
        </w:rPr>
        <w:tab/>
        <w:t xml:space="preserve">أن تكفل المراقبة الفعالة والتقييم المستقل للظروف السائدة في المؤسسات، بما في ذلك </w:t>
      </w:r>
      <w:r w:rsidRPr="004E0A37">
        <w:rPr>
          <w:rFonts w:hint="cs"/>
          <w:spacing w:val="0"/>
          <w:sz w:val="20"/>
          <w:rtl/>
        </w:rPr>
        <w:t>الظروف المتعلقة ب</w:t>
      </w:r>
      <w:r w:rsidR="00B6289A">
        <w:rPr>
          <w:spacing w:val="0"/>
          <w:sz w:val="20"/>
          <w:rtl/>
        </w:rPr>
        <w:t>النظافة وحالات ال</w:t>
      </w:r>
      <w:r w:rsidR="00B6289A">
        <w:rPr>
          <w:rFonts w:hint="cs"/>
          <w:spacing w:val="0"/>
          <w:sz w:val="20"/>
          <w:rtl/>
        </w:rPr>
        <w:t>إ</w:t>
      </w:r>
      <w:r w:rsidRPr="004E0A37">
        <w:rPr>
          <w:spacing w:val="0"/>
          <w:sz w:val="20"/>
          <w:rtl/>
        </w:rPr>
        <w:t xml:space="preserve">همال. وينبغي أن تنشئ آلية لمعالجة الشكاوى وأن تكفل الإرشاد وتوفر التدريب للموظفين الطبيين وغير الطبيين </w:t>
      </w:r>
      <w:r w:rsidR="00F96B1E">
        <w:rPr>
          <w:spacing w:val="0"/>
          <w:sz w:val="20"/>
          <w:rtl/>
        </w:rPr>
        <w:t>فيما </w:t>
      </w:r>
      <w:r w:rsidRPr="004E0A37">
        <w:rPr>
          <w:spacing w:val="0"/>
          <w:sz w:val="20"/>
          <w:rtl/>
        </w:rPr>
        <w:t xml:space="preserve">يتعلق بكيفية تقديم الرعاية بطريقة خالية من العنف والإكراه. وينبغي </w:t>
      </w:r>
      <w:r w:rsidRPr="004E0A37">
        <w:rPr>
          <w:rFonts w:hint="cs"/>
          <w:spacing w:val="0"/>
          <w:sz w:val="20"/>
          <w:rtl/>
        </w:rPr>
        <w:t xml:space="preserve">التحقيق </w:t>
      </w:r>
      <w:r w:rsidRPr="004E0A37">
        <w:rPr>
          <w:spacing w:val="0"/>
          <w:sz w:val="20"/>
          <w:rtl/>
        </w:rPr>
        <w:t xml:space="preserve">بشكل فعال في جميع حالات </w:t>
      </w:r>
      <w:r w:rsidRPr="004E0A37">
        <w:rPr>
          <w:rFonts w:hint="cs"/>
          <w:spacing w:val="0"/>
          <w:sz w:val="20"/>
          <w:rtl/>
        </w:rPr>
        <w:t xml:space="preserve">سوء </w:t>
      </w:r>
      <w:r w:rsidRPr="004E0A37">
        <w:rPr>
          <w:spacing w:val="0"/>
          <w:sz w:val="20"/>
          <w:rtl/>
        </w:rPr>
        <w:t>المعاملة والوفيات، ومنها حالة فيرا موسيلوفا البالغ عمرها 30 سنة التي</w:t>
      </w:r>
      <w:r w:rsidRPr="004E0A37">
        <w:rPr>
          <w:rFonts w:hint="cs"/>
          <w:spacing w:val="0"/>
          <w:sz w:val="20"/>
          <w:rtl/>
        </w:rPr>
        <w:t> جرت وقائعها</w:t>
      </w:r>
      <w:r w:rsidRPr="004E0A37">
        <w:rPr>
          <w:spacing w:val="0"/>
          <w:sz w:val="20"/>
          <w:rtl/>
        </w:rPr>
        <w:t xml:space="preserve"> في عام 2006، وانتحار امرأة عمرها 51 سنة في 20 كانون الثاني/يناير</w:t>
      </w:r>
      <w:r w:rsidRPr="004E0A37">
        <w:rPr>
          <w:rFonts w:hint="cs"/>
          <w:spacing w:val="0"/>
          <w:sz w:val="20"/>
          <w:rtl/>
        </w:rPr>
        <w:t> </w:t>
      </w:r>
      <w:r w:rsidRPr="004E0A37">
        <w:rPr>
          <w:spacing w:val="0"/>
          <w:sz w:val="20"/>
          <w:rtl/>
        </w:rPr>
        <w:t>2012، وملاحقة المسؤولين عن</w:t>
      </w:r>
      <w:r w:rsidRPr="004E0A37">
        <w:rPr>
          <w:rFonts w:hint="cs"/>
          <w:spacing w:val="0"/>
          <w:sz w:val="20"/>
          <w:rtl/>
        </w:rPr>
        <w:t xml:space="preserve"> هذه الحالات</w:t>
      </w:r>
      <w:r w:rsidRPr="004E0A37">
        <w:rPr>
          <w:spacing w:val="0"/>
          <w:sz w:val="20"/>
          <w:rtl/>
        </w:rPr>
        <w:t xml:space="preserve">، وتوفير سبل </w:t>
      </w:r>
      <w:r w:rsidRPr="004E0A37">
        <w:rPr>
          <w:rFonts w:hint="cs"/>
          <w:spacing w:val="0"/>
          <w:sz w:val="20"/>
          <w:rtl/>
        </w:rPr>
        <w:t>الا</w:t>
      </w:r>
      <w:r w:rsidRPr="004E0A37">
        <w:rPr>
          <w:spacing w:val="0"/>
          <w:sz w:val="20"/>
          <w:rtl/>
        </w:rPr>
        <w:t>نتصاف للضحايا ولذويهم، بما في ذلك التعويض ورد الاعتبار</w:t>
      </w:r>
      <w:r w:rsidRPr="004E0A37">
        <w:rPr>
          <w:rFonts w:hint="cs"/>
          <w:spacing w:val="0"/>
          <w:sz w:val="20"/>
          <w:rtl/>
        </w:rPr>
        <w:t xml:space="preserve"> لهم</w:t>
      </w:r>
      <w:r w:rsidRPr="004E0A37">
        <w:rPr>
          <w:spacing w:val="0"/>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العقاب البدني</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22</w:t>
      </w:r>
      <w:r w:rsidR="003E72B5">
        <w:rPr>
          <w:spacing w:val="0"/>
          <w:sz w:val="20"/>
          <w:rtl/>
        </w:rPr>
        <w:t>)</w:t>
      </w:r>
      <w:r w:rsidR="003E72B5">
        <w:rPr>
          <w:spacing w:val="0"/>
          <w:sz w:val="20"/>
          <w:rtl/>
        </w:rPr>
        <w:tab/>
      </w:r>
      <w:r w:rsidR="004E0A37" w:rsidRPr="004E0A37">
        <w:rPr>
          <w:spacing w:val="0"/>
          <w:sz w:val="20"/>
          <w:rtl/>
        </w:rPr>
        <w:t xml:space="preserve">يساور اللجنة القلق إزاء التساهل </w:t>
      </w:r>
      <w:r w:rsidR="004E0A37" w:rsidRPr="004E0A37">
        <w:rPr>
          <w:rFonts w:hint="cs"/>
          <w:spacing w:val="0"/>
          <w:sz w:val="20"/>
          <w:rtl/>
        </w:rPr>
        <w:t xml:space="preserve">على نطاق </w:t>
      </w:r>
      <w:r w:rsidR="004E0A37" w:rsidRPr="004E0A37">
        <w:rPr>
          <w:spacing w:val="0"/>
          <w:sz w:val="20"/>
          <w:rtl/>
        </w:rPr>
        <w:t xml:space="preserve">واسع الانتشار </w:t>
      </w:r>
      <w:r w:rsidR="004E0A37" w:rsidRPr="004E0A37">
        <w:rPr>
          <w:rFonts w:hint="cs"/>
          <w:spacing w:val="0"/>
          <w:sz w:val="20"/>
          <w:rtl/>
        </w:rPr>
        <w:t xml:space="preserve">مع </w:t>
      </w:r>
      <w:r w:rsidR="004E0A37" w:rsidRPr="004E0A37">
        <w:rPr>
          <w:spacing w:val="0"/>
          <w:sz w:val="20"/>
          <w:rtl/>
        </w:rPr>
        <w:t xml:space="preserve">ممارسة العقاب البدني في الدولة الطرف وعدم وجود قوانين تحظره بشكل صريح. كما </w:t>
      </w:r>
      <w:r w:rsidR="004E0A37" w:rsidRPr="004E0A37">
        <w:rPr>
          <w:rFonts w:hint="cs"/>
          <w:spacing w:val="0"/>
          <w:sz w:val="20"/>
          <w:rtl/>
        </w:rPr>
        <w:t xml:space="preserve">يساورها </w:t>
      </w:r>
      <w:r w:rsidR="004E0A37" w:rsidRPr="004E0A37">
        <w:rPr>
          <w:spacing w:val="0"/>
          <w:sz w:val="20"/>
          <w:rtl/>
        </w:rPr>
        <w:t xml:space="preserve">القلق </w:t>
      </w:r>
      <w:r w:rsidR="004E0A37" w:rsidRPr="004E0A37">
        <w:rPr>
          <w:rFonts w:hint="cs"/>
          <w:spacing w:val="0"/>
          <w:sz w:val="20"/>
          <w:rtl/>
        </w:rPr>
        <w:t>إزاء ا</w:t>
      </w:r>
      <w:r w:rsidR="004E0A37" w:rsidRPr="004E0A37">
        <w:rPr>
          <w:spacing w:val="0"/>
          <w:sz w:val="20"/>
          <w:rtl/>
        </w:rPr>
        <w:t>لحكم الوارد في قانون الأسرة رقم 94/1963 الذي ينص على أن الآباء لديهم الحق في اعتماد "التدابير التربوية المناسبة" وأن هذه المسألة ستُعالَج بشكل مماثل في القانون المدني الجديد (المادتان 2 و16).</w:t>
      </w:r>
    </w:p>
    <w:p w:rsidR="004E0A37" w:rsidRPr="002F25AA" w:rsidRDefault="004E0A37" w:rsidP="004E0A37">
      <w:pPr>
        <w:pStyle w:val="SingleTxtGA"/>
        <w:jc w:val="lowKashida"/>
        <w:rPr>
          <w:b/>
          <w:bCs/>
          <w:spacing w:val="0"/>
          <w:sz w:val="20"/>
          <w:rtl/>
        </w:rPr>
      </w:pPr>
      <w:r w:rsidRPr="002F25AA">
        <w:rPr>
          <w:rFonts w:hint="cs"/>
          <w:b/>
          <w:bCs/>
          <w:spacing w:val="0"/>
          <w:sz w:val="20"/>
          <w:rtl/>
        </w:rPr>
        <w:tab/>
      </w:r>
      <w:r w:rsidRPr="002F25AA">
        <w:rPr>
          <w:b/>
          <w:bCs/>
          <w:spacing w:val="0"/>
          <w:sz w:val="20"/>
          <w:rtl/>
        </w:rPr>
        <w:t xml:space="preserve">توصي اللجنة الدولة الطرف بأن تعدِّل قوانينها، بما في ذلك قانون الأسرة والقانون المدني الجديد، بغرض اعتماد حظر صريح للعقاب البدني في جميع الظروف. وينبغي للدولة الطرف أن تقوم بحملات </w:t>
      </w:r>
      <w:r w:rsidRPr="002F25AA">
        <w:rPr>
          <w:rFonts w:hint="cs"/>
          <w:b/>
          <w:bCs/>
          <w:spacing w:val="0"/>
          <w:sz w:val="20"/>
          <w:rtl/>
        </w:rPr>
        <w:t xml:space="preserve">توعية للجمهور بشأن عدم </w:t>
      </w:r>
      <w:r w:rsidRPr="002F25AA">
        <w:rPr>
          <w:b/>
          <w:bCs/>
          <w:spacing w:val="0"/>
          <w:sz w:val="20"/>
          <w:rtl/>
        </w:rPr>
        <w:t>جواز العقاب البدني وب</w:t>
      </w:r>
      <w:r w:rsidRPr="002F25AA">
        <w:rPr>
          <w:rFonts w:hint="cs"/>
          <w:b/>
          <w:bCs/>
          <w:spacing w:val="0"/>
          <w:sz w:val="20"/>
          <w:rtl/>
        </w:rPr>
        <w:t>شأن الأضرار الناجمة عنه</w:t>
      </w:r>
      <w:r w:rsidRPr="002F25AA">
        <w:rPr>
          <w:b/>
          <w:bCs/>
          <w:spacing w:val="0"/>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spacing w:val="0"/>
          <w:sz w:val="20"/>
          <w:rtl/>
        </w:rPr>
        <w:t>جمع البيانات</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23</w:t>
      </w:r>
      <w:r w:rsidR="003E72B5">
        <w:rPr>
          <w:spacing w:val="0"/>
          <w:sz w:val="20"/>
          <w:rtl/>
        </w:rPr>
        <w:t>)</w:t>
      </w:r>
      <w:r w:rsidR="003E72B5">
        <w:rPr>
          <w:spacing w:val="0"/>
          <w:sz w:val="20"/>
          <w:rtl/>
        </w:rPr>
        <w:tab/>
      </w:r>
      <w:r w:rsidR="004E0A37" w:rsidRPr="004E0A37">
        <w:rPr>
          <w:spacing w:val="0"/>
          <w:sz w:val="20"/>
          <w:rtl/>
        </w:rPr>
        <w:t>تأسف اللجنة لعدم وجود بيانات شاملة ومصنفة بشأن الشكاوى والتحقيقات والملاحقات القضائية والإدانات المتعلقة بحالات التعذيب و</w:t>
      </w:r>
      <w:r w:rsidR="004E0A37" w:rsidRPr="004E0A37">
        <w:rPr>
          <w:rFonts w:hint="cs"/>
          <w:spacing w:val="0"/>
          <w:sz w:val="20"/>
          <w:rtl/>
        </w:rPr>
        <w:t xml:space="preserve">سوء </w:t>
      </w:r>
      <w:r w:rsidR="004E0A37" w:rsidRPr="004E0A37">
        <w:rPr>
          <w:spacing w:val="0"/>
          <w:sz w:val="20"/>
          <w:rtl/>
        </w:rPr>
        <w:t>المعاملة التي تورط فيها موظفو إنفاذ القوانين والأمن والسجون، ومنها ما يتعلق بالتعقيم القسري والإخصاء الجراحي والعلاج والإيداع القسريين في المؤسسات الاجتماعية، بما في ذلك استعمال القيود، وبشأن الاعتداءات العنيفة على الأقليات الإثنية، وبخاصة جماعة الروما، والاتجار بالأشخاص والعنف المنزلي والجنسي.</w:t>
      </w:r>
    </w:p>
    <w:p w:rsidR="004E0A37" w:rsidRPr="002F25AA" w:rsidRDefault="004E0A37" w:rsidP="004E0A37">
      <w:pPr>
        <w:pStyle w:val="SingleTxtGA"/>
        <w:jc w:val="lowKashida"/>
        <w:rPr>
          <w:b/>
          <w:bCs/>
          <w:spacing w:val="0"/>
          <w:sz w:val="20"/>
          <w:rtl/>
        </w:rPr>
      </w:pPr>
      <w:r w:rsidRPr="002F25AA">
        <w:rPr>
          <w:rFonts w:hint="cs"/>
          <w:b/>
          <w:bCs/>
          <w:spacing w:val="0"/>
          <w:sz w:val="20"/>
          <w:rtl/>
        </w:rPr>
        <w:tab/>
      </w:r>
      <w:r w:rsidRPr="002F25AA">
        <w:rPr>
          <w:b/>
          <w:bCs/>
          <w:spacing w:val="0"/>
          <w:sz w:val="20"/>
          <w:rtl/>
        </w:rPr>
        <w:t>ينبغي للدولة الطرف أن تجم</w:t>
      </w:r>
      <w:r w:rsidRPr="002F25AA">
        <w:rPr>
          <w:rFonts w:hint="cs"/>
          <w:b/>
          <w:bCs/>
          <w:spacing w:val="0"/>
          <w:sz w:val="20"/>
          <w:rtl/>
        </w:rPr>
        <w:t>ّ</w:t>
      </w:r>
      <w:r w:rsidRPr="002F25AA">
        <w:rPr>
          <w:b/>
          <w:bCs/>
          <w:spacing w:val="0"/>
          <w:sz w:val="20"/>
          <w:rtl/>
        </w:rPr>
        <w:t xml:space="preserve">ع بيانات إحصائية </w:t>
      </w:r>
      <w:r w:rsidRPr="002F25AA">
        <w:rPr>
          <w:rFonts w:hint="cs"/>
          <w:b/>
          <w:bCs/>
          <w:spacing w:val="0"/>
          <w:sz w:val="20"/>
          <w:rtl/>
        </w:rPr>
        <w:t xml:space="preserve">عن </w:t>
      </w:r>
      <w:r w:rsidRPr="002F25AA">
        <w:rPr>
          <w:b/>
          <w:bCs/>
          <w:spacing w:val="0"/>
          <w:sz w:val="20"/>
          <w:rtl/>
        </w:rPr>
        <w:t>تنفيذ الاتفاقية على الصعيد الوطني، وذلك في مجالات من قبيل البيانات بشأن الشكاوى والتحقيقات والملاحقات القضائية والإدانات المتعلقة بحالات التعذيب و</w:t>
      </w:r>
      <w:r w:rsidRPr="002F25AA">
        <w:rPr>
          <w:rFonts w:hint="cs"/>
          <w:b/>
          <w:bCs/>
          <w:spacing w:val="0"/>
          <w:sz w:val="20"/>
          <w:rtl/>
        </w:rPr>
        <w:t xml:space="preserve">سوء </w:t>
      </w:r>
      <w:r w:rsidRPr="002F25AA">
        <w:rPr>
          <w:b/>
          <w:bCs/>
          <w:spacing w:val="0"/>
          <w:sz w:val="20"/>
          <w:rtl/>
        </w:rPr>
        <w:t>المعاملة وبالتعقيم القسري والإخصاء الجراحي والعلاج والإيداع القسريين في المؤسسات الاجتماعية واستعمال القيود، وبشأن الاعتداءات العنيفة على الأقليات الإثنية، وبخاصة جماعة الروما، والاتجار بالأشخاص والعنف المنزلي والجنسي، وكذلك بشأن سبل الإنصاف المتاحة للضحايا، بما في ذلك التعويض ورد الاعتبار.</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24</w:t>
      </w:r>
      <w:r w:rsidR="003E72B5">
        <w:rPr>
          <w:spacing w:val="0"/>
          <w:sz w:val="20"/>
          <w:rtl/>
        </w:rPr>
        <w:t>)</w:t>
      </w:r>
      <w:r w:rsidR="003E72B5">
        <w:rPr>
          <w:spacing w:val="0"/>
          <w:sz w:val="20"/>
          <w:rtl/>
        </w:rPr>
        <w:tab/>
      </w:r>
      <w:r w:rsidR="004E0A37" w:rsidRPr="004E0A37">
        <w:rPr>
          <w:spacing w:val="0"/>
          <w:sz w:val="20"/>
          <w:rtl/>
        </w:rPr>
        <w:t>وتدعو اللجنة الدولة الطرف إلى أن تصدق على معاهدات الأمم المتحدة الأساسية لحقوق الإنسان التي</w:t>
      </w:r>
      <w:r w:rsidR="00335AC0">
        <w:rPr>
          <w:spacing w:val="0"/>
          <w:sz w:val="20"/>
          <w:rtl/>
        </w:rPr>
        <w:t xml:space="preserve"> لم </w:t>
      </w:r>
      <w:r w:rsidR="004E0A37" w:rsidRPr="004E0A37">
        <w:rPr>
          <w:spacing w:val="0"/>
          <w:sz w:val="20"/>
          <w:rtl/>
        </w:rPr>
        <w:t>تنضم إليها بعد، وهي الاتفاقية الدولية لحماية حقوق جميع العمال المهاجرين وأفراد أسرهم واتفاقية حماية جميع الأشخاص من الاختفاء القسري والبروتوكول الاختياري للعهد الدولي الخاص بالحقوق الاقتصادية والاجتماعية والثقافية والبروتوكول الاختياري لاتفاقية حقوق الطفل المتعلق ببيع الأطفال وبغاء الأطفال واستغلال الأطفال في المواد الإباحية.</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25</w:t>
      </w:r>
      <w:r w:rsidR="003E72B5">
        <w:rPr>
          <w:spacing w:val="0"/>
          <w:sz w:val="20"/>
          <w:rtl/>
        </w:rPr>
        <w:t>)</w:t>
      </w:r>
      <w:r w:rsidR="003E72B5">
        <w:rPr>
          <w:spacing w:val="0"/>
          <w:sz w:val="20"/>
          <w:rtl/>
        </w:rPr>
        <w:tab/>
      </w:r>
      <w:r w:rsidR="004E0A37" w:rsidRPr="004E0A37">
        <w:rPr>
          <w:spacing w:val="0"/>
          <w:sz w:val="20"/>
          <w:rtl/>
        </w:rPr>
        <w:t xml:space="preserve">والدولة الطرف </w:t>
      </w:r>
      <w:r w:rsidR="004E0A37" w:rsidRPr="004E0A37">
        <w:rPr>
          <w:rFonts w:hint="cs"/>
          <w:spacing w:val="0"/>
          <w:sz w:val="20"/>
          <w:rtl/>
        </w:rPr>
        <w:t>مدعوة ل</w:t>
      </w:r>
      <w:r w:rsidR="004E0A37" w:rsidRPr="004E0A37">
        <w:rPr>
          <w:spacing w:val="0"/>
          <w:sz w:val="20"/>
          <w:rtl/>
        </w:rPr>
        <w:t>أن تنشر التقرير المقدم إلى اللجنة و</w:t>
      </w:r>
      <w:r w:rsidR="004E0A37" w:rsidRPr="004E0A37">
        <w:rPr>
          <w:rFonts w:hint="cs"/>
          <w:spacing w:val="0"/>
          <w:sz w:val="20"/>
          <w:rtl/>
        </w:rPr>
        <w:t>هذه ال</w:t>
      </w:r>
      <w:r w:rsidR="004E0A37" w:rsidRPr="004E0A37">
        <w:rPr>
          <w:spacing w:val="0"/>
          <w:sz w:val="20"/>
          <w:rtl/>
        </w:rPr>
        <w:t>ملاحظات الختامية على نطاق واسع وباللغات المناسبة</w:t>
      </w:r>
      <w:r w:rsidR="004E0A37" w:rsidRPr="004E0A37">
        <w:rPr>
          <w:rFonts w:hint="cs"/>
          <w:spacing w:val="0"/>
          <w:sz w:val="20"/>
          <w:rtl/>
        </w:rPr>
        <w:t>، وذلك</w:t>
      </w:r>
      <w:r w:rsidR="004E0A37" w:rsidRPr="004E0A37">
        <w:rPr>
          <w:spacing w:val="0"/>
          <w:sz w:val="20"/>
          <w:rtl/>
        </w:rPr>
        <w:t xml:space="preserve"> عبر المواقع الشبكية الرسمية ووسائط الإعلام والمنظمات غير الحكومية.</w:t>
      </w:r>
    </w:p>
    <w:p w:rsidR="004E0A37" w:rsidRPr="004E0A37" w:rsidRDefault="00AC7D2B" w:rsidP="00336665">
      <w:pPr>
        <w:pStyle w:val="SingleTxtGA"/>
        <w:spacing w:line="364" w:lineRule="exact"/>
        <w:jc w:val="lowKashida"/>
        <w:rPr>
          <w:spacing w:val="0"/>
          <w:sz w:val="20"/>
          <w:rtl/>
        </w:rPr>
      </w:pPr>
      <w:r>
        <w:rPr>
          <w:rFonts w:hint="cs"/>
          <w:spacing w:val="0"/>
          <w:sz w:val="20"/>
          <w:rtl/>
        </w:rPr>
        <w:t>(</w:t>
      </w:r>
      <w:r w:rsidR="004E0A37" w:rsidRPr="004E0A37">
        <w:rPr>
          <w:spacing w:val="0"/>
          <w:sz w:val="20"/>
          <w:rtl/>
        </w:rPr>
        <w:t>26</w:t>
      </w:r>
      <w:r w:rsidR="003E72B5">
        <w:rPr>
          <w:spacing w:val="0"/>
          <w:sz w:val="20"/>
          <w:rtl/>
        </w:rPr>
        <w:t>)</w:t>
      </w:r>
      <w:r w:rsidR="003E72B5">
        <w:rPr>
          <w:spacing w:val="0"/>
          <w:sz w:val="20"/>
          <w:rtl/>
        </w:rPr>
        <w:tab/>
      </w:r>
      <w:r w:rsidR="004E0A37" w:rsidRPr="004E0A37">
        <w:rPr>
          <w:spacing w:val="0"/>
          <w:sz w:val="20"/>
          <w:rtl/>
        </w:rPr>
        <w:t>وتطلب اللجنة من الدولة الطرف أن تقدم، بحلول 1 حزيران/يونيه 2013، معلومات عن إجراءات المتابعة استجابة لتوصيات اللجنة بشأن (أ) كفالة أو تعزيز الضمانات القانونية للمحتجزين</w:t>
      </w:r>
      <w:r w:rsidR="007F7966">
        <w:rPr>
          <w:rFonts w:hint="cs"/>
          <w:spacing w:val="0"/>
          <w:sz w:val="20"/>
          <w:rtl/>
        </w:rPr>
        <w:t>؛</w:t>
      </w:r>
      <w:r w:rsidR="004E0A37" w:rsidRPr="004E0A37">
        <w:rPr>
          <w:spacing w:val="0"/>
          <w:sz w:val="20"/>
          <w:rtl/>
        </w:rPr>
        <w:t xml:space="preserve"> (ب) إجراء تحقيقات فورية وحيادية وفعالة</w:t>
      </w:r>
      <w:r w:rsidR="007F7966">
        <w:rPr>
          <w:rFonts w:hint="cs"/>
          <w:spacing w:val="0"/>
          <w:sz w:val="20"/>
          <w:rtl/>
        </w:rPr>
        <w:t>؛</w:t>
      </w:r>
      <w:r w:rsidR="004E0A37" w:rsidRPr="004E0A37">
        <w:rPr>
          <w:spacing w:val="0"/>
          <w:sz w:val="20"/>
          <w:rtl/>
        </w:rPr>
        <w:t xml:space="preserve"> (ج) ملاحقة المشتبه بهم ومعاقبة مرتكبي التعذيب و</w:t>
      </w:r>
      <w:r w:rsidR="004E0A37" w:rsidRPr="004E0A37">
        <w:rPr>
          <w:rFonts w:hint="cs"/>
          <w:spacing w:val="0"/>
          <w:sz w:val="20"/>
          <w:rtl/>
        </w:rPr>
        <w:t xml:space="preserve">سوء </w:t>
      </w:r>
      <w:r w:rsidR="004E0A37" w:rsidRPr="004E0A37">
        <w:rPr>
          <w:spacing w:val="0"/>
          <w:sz w:val="20"/>
          <w:rtl/>
        </w:rPr>
        <w:t>المعاملة، وذلك على النحو الوارد في الفقرات 11 و14 و21 من هذه الوثيقة.</w:t>
      </w:r>
    </w:p>
    <w:p w:rsidR="004E0A37" w:rsidRPr="004E0A37" w:rsidRDefault="00AC7D2B" w:rsidP="00336665">
      <w:pPr>
        <w:pStyle w:val="SingleTxtGA"/>
        <w:spacing w:line="364" w:lineRule="exact"/>
        <w:jc w:val="lowKashida"/>
        <w:rPr>
          <w:rFonts w:hint="cs"/>
          <w:spacing w:val="0"/>
          <w:sz w:val="20"/>
          <w:rtl/>
        </w:rPr>
      </w:pPr>
      <w:r>
        <w:rPr>
          <w:rFonts w:hint="cs"/>
          <w:spacing w:val="0"/>
          <w:sz w:val="20"/>
          <w:rtl/>
        </w:rPr>
        <w:t>(</w:t>
      </w:r>
      <w:r w:rsidR="004E0A37" w:rsidRPr="004E0A37">
        <w:rPr>
          <w:spacing w:val="0"/>
          <w:sz w:val="20"/>
          <w:rtl/>
        </w:rPr>
        <w:t>27</w:t>
      </w:r>
      <w:r w:rsidR="003E72B5">
        <w:rPr>
          <w:spacing w:val="0"/>
          <w:sz w:val="20"/>
          <w:rtl/>
        </w:rPr>
        <w:t>)</w:t>
      </w:r>
      <w:r w:rsidR="003E72B5">
        <w:rPr>
          <w:spacing w:val="0"/>
          <w:sz w:val="20"/>
          <w:rtl/>
        </w:rPr>
        <w:tab/>
      </w:r>
      <w:r w:rsidR="004E0A37" w:rsidRPr="004E0A37">
        <w:rPr>
          <w:spacing w:val="0"/>
          <w:sz w:val="20"/>
          <w:rtl/>
        </w:rPr>
        <w:t xml:space="preserve">وتدعو اللجنة الدولة الطرف إلى أن تقدم تقريرها المقبل، </w:t>
      </w:r>
      <w:r w:rsidR="004E0A37" w:rsidRPr="004E0A37">
        <w:rPr>
          <w:rFonts w:hint="cs"/>
          <w:spacing w:val="0"/>
          <w:sz w:val="20"/>
          <w:rtl/>
        </w:rPr>
        <w:t>أي</w:t>
      </w:r>
      <w:r w:rsidR="004E0A37" w:rsidRPr="004E0A37">
        <w:rPr>
          <w:spacing w:val="0"/>
          <w:sz w:val="20"/>
          <w:rtl/>
        </w:rPr>
        <w:t xml:space="preserve"> تقرير</w:t>
      </w:r>
      <w:r w:rsidR="004E0A37" w:rsidRPr="004E0A37">
        <w:rPr>
          <w:rFonts w:hint="cs"/>
          <w:spacing w:val="0"/>
          <w:sz w:val="20"/>
          <w:rtl/>
        </w:rPr>
        <w:t>ها</w:t>
      </w:r>
      <w:r w:rsidR="004E0A37" w:rsidRPr="004E0A37">
        <w:rPr>
          <w:spacing w:val="0"/>
          <w:sz w:val="20"/>
          <w:rtl/>
        </w:rPr>
        <w:t xml:space="preserve"> الدوري السادس، بحلول 1 حزيران/يونيه 2016. ولتحقيق هذا الغرض، ستقدم اللجنة إلى الدولة الطرف، في الموعد المناسب، قائمة المسائل السابقة لتقديم التقرير، بالنظر إلى أنها قد قبلت تقد</w:t>
      </w:r>
      <w:r w:rsidR="004E0A37" w:rsidRPr="004E0A37">
        <w:rPr>
          <w:rFonts w:hint="cs"/>
          <w:spacing w:val="0"/>
          <w:sz w:val="20"/>
          <w:rtl/>
        </w:rPr>
        <w:t>ي</w:t>
      </w:r>
      <w:r w:rsidR="004E0A37" w:rsidRPr="004E0A37">
        <w:rPr>
          <w:spacing w:val="0"/>
          <w:sz w:val="20"/>
          <w:rtl/>
        </w:rPr>
        <w:t>م تقريرها إلى اللجنة بموجب الإجراء الاختياري لتقديم التقارير.</w:t>
      </w:r>
    </w:p>
    <w:p w:rsidR="004E0A37" w:rsidRPr="004E0A37" w:rsidRDefault="004E0A37" w:rsidP="00336665">
      <w:pPr>
        <w:pStyle w:val="SingleTxtGA"/>
        <w:spacing w:line="364" w:lineRule="exact"/>
        <w:jc w:val="lowKashida"/>
        <w:rPr>
          <w:spacing w:val="0"/>
          <w:sz w:val="20"/>
          <w:rtl/>
        </w:rPr>
      </w:pPr>
      <w:r w:rsidRPr="004E0A37">
        <w:rPr>
          <w:rFonts w:hint="cs"/>
          <w:spacing w:val="0"/>
          <w:sz w:val="20"/>
          <w:rtl/>
        </w:rPr>
        <w:t>65-</w:t>
      </w:r>
      <w:r w:rsidRPr="004E0A37">
        <w:rPr>
          <w:rFonts w:hint="cs"/>
          <w:spacing w:val="0"/>
          <w:sz w:val="20"/>
          <w:rtl/>
        </w:rPr>
        <w:tab/>
      </w:r>
      <w:r w:rsidRPr="002F25AA">
        <w:rPr>
          <w:rFonts w:hint="cs"/>
          <w:b/>
          <w:bCs/>
          <w:spacing w:val="0"/>
          <w:sz w:val="20"/>
          <w:rtl/>
        </w:rPr>
        <w:t>اليونان</w:t>
      </w:r>
    </w:p>
    <w:p w:rsidR="004E0A37" w:rsidRPr="004E0A37" w:rsidRDefault="004E0A37" w:rsidP="00336665">
      <w:pPr>
        <w:pStyle w:val="SingleTxtGA"/>
        <w:spacing w:line="364" w:lineRule="exact"/>
        <w:jc w:val="lowKashida"/>
        <w:rPr>
          <w:rFonts w:hint="cs"/>
          <w:spacing w:val="0"/>
          <w:sz w:val="20"/>
          <w:rtl/>
        </w:rPr>
      </w:pPr>
      <w:r w:rsidRPr="004E0A37">
        <w:rPr>
          <w:rFonts w:hint="cs"/>
          <w:spacing w:val="0"/>
          <w:sz w:val="20"/>
          <w:rtl/>
        </w:rPr>
        <w:t>(1</w:t>
      </w:r>
      <w:r w:rsidR="003E72B5">
        <w:rPr>
          <w:rFonts w:hint="cs"/>
          <w:spacing w:val="0"/>
          <w:sz w:val="20"/>
          <w:rtl/>
        </w:rPr>
        <w:t>)</w:t>
      </w:r>
      <w:r w:rsidR="003E72B5">
        <w:rPr>
          <w:rFonts w:hint="cs"/>
          <w:spacing w:val="0"/>
          <w:sz w:val="20"/>
          <w:rtl/>
        </w:rPr>
        <w:tab/>
      </w:r>
      <w:r w:rsidRPr="004E0A37">
        <w:rPr>
          <w:rFonts w:hint="cs"/>
          <w:spacing w:val="0"/>
          <w:sz w:val="20"/>
          <w:rtl/>
        </w:rPr>
        <w:t xml:space="preserve">نظرت لجنة مناهضة التعذيب، في جلستيها 1062 و1065 </w:t>
      </w:r>
      <w:r w:rsidRPr="004E0A37">
        <w:rPr>
          <w:spacing w:val="0"/>
          <w:sz w:val="20"/>
        </w:rPr>
        <w:t>CAT/C/SR.1062)</w:t>
      </w:r>
      <w:r w:rsidRPr="004E0A37">
        <w:rPr>
          <w:rFonts w:hint="cs"/>
          <w:spacing w:val="0"/>
          <w:sz w:val="20"/>
          <w:rtl/>
        </w:rPr>
        <w:t xml:space="preserve"> و</w:t>
      </w:r>
      <w:r w:rsidRPr="004E0A37">
        <w:rPr>
          <w:spacing w:val="0"/>
          <w:sz w:val="20"/>
        </w:rPr>
        <w:t>1065</w:t>
      </w:r>
      <w:r w:rsidRPr="004E0A37">
        <w:rPr>
          <w:rFonts w:hint="cs"/>
          <w:spacing w:val="0"/>
          <w:sz w:val="20"/>
          <w:rtl/>
        </w:rPr>
        <w:t xml:space="preserve">)، المعقودتين يومي 9 و10 أيار/مايو 2012، في التقرير الدوري الموحد الجامع للتقريرين الخامس والسادس لليونان </w:t>
      </w:r>
      <w:r w:rsidRPr="004E0A37">
        <w:rPr>
          <w:spacing w:val="0"/>
          <w:sz w:val="20"/>
        </w:rPr>
        <w:t>(CAT/C/GRC/5-6)</w:t>
      </w:r>
      <w:r w:rsidRPr="004E0A37">
        <w:rPr>
          <w:rFonts w:hint="cs"/>
          <w:spacing w:val="0"/>
          <w:sz w:val="20"/>
          <w:rtl/>
        </w:rPr>
        <w:t>، واعتمدت في جلستيها 1084 و1085 (</w:t>
      </w:r>
      <w:r w:rsidRPr="004E0A37">
        <w:rPr>
          <w:spacing w:val="0"/>
          <w:sz w:val="20"/>
        </w:rPr>
        <w:t>CAT/C/SR.1084</w:t>
      </w:r>
      <w:r w:rsidRPr="004E0A37">
        <w:rPr>
          <w:rFonts w:hint="cs"/>
          <w:spacing w:val="0"/>
          <w:sz w:val="20"/>
          <w:rtl/>
        </w:rPr>
        <w:t xml:space="preserve"> و</w:t>
      </w:r>
      <w:r w:rsidRPr="004E0A37">
        <w:rPr>
          <w:spacing w:val="0"/>
          <w:sz w:val="20"/>
        </w:rPr>
        <w:t>1085</w:t>
      </w:r>
      <w:r w:rsidRPr="004E0A37">
        <w:rPr>
          <w:rFonts w:hint="cs"/>
          <w:spacing w:val="0"/>
          <w:sz w:val="20"/>
          <w:rtl/>
        </w:rPr>
        <w:t>)، المعقودتين في 25 أيار/مايو 2012، الملاحظات الختامية التالية.</w:t>
      </w:r>
    </w:p>
    <w:p w:rsidR="004E0A37" w:rsidRPr="002F25AA" w:rsidRDefault="007223C0" w:rsidP="00336665">
      <w:pPr>
        <w:pStyle w:val="H23GA"/>
        <w:tabs>
          <w:tab w:val="left" w:pos="1953"/>
        </w:tabs>
        <w:spacing w:line="364" w:lineRule="exact"/>
        <w:rPr>
          <w:rFonts w:hint="cs"/>
          <w:spacing w:val="0"/>
          <w:rtl/>
          <w:lang w:val="fr-CH"/>
        </w:rPr>
      </w:pPr>
      <w:r>
        <w:rPr>
          <w:rFonts w:hint="cs"/>
          <w:spacing w:val="0"/>
          <w:rtl/>
          <w:lang w:val="fr-CH"/>
        </w:rPr>
        <w:tab/>
      </w:r>
      <w:r>
        <w:rPr>
          <w:rFonts w:hint="cs"/>
          <w:spacing w:val="0"/>
          <w:rtl/>
          <w:lang w:val="fr-CH"/>
        </w:rPr>
        <w:tab/>
        <w:t>ألف-</w:t>
      </w:r>
      <w:r w:rsidR="004E0A37" w:rsidRPr="002F25AA">
        <w:rPr>
          <w:rFonts w:hint="cs"/>
          <w:spacing w:val="0"/>
          <w:rtl/>
          <w:lang w:val="fr-CH"/>
        </w:rPr>
        <w:tab/>
        <w:t>مقدمة</w:t>
      </w:r>
    </w:p>
    <w:p w:rsidR="004E0A37" w:rsidRPr="004E0A37" w:rsidRDefault="004E0A37" w:rsidP="00336665">
      <w:pPr>
        <w:pStyle w:val="SingleTxtGA"/>
        <w:spacing w:line="364" w:lineRule="exact"/>
        <w:jc w:val="lowKashida"/>
        <w:rPr>
          <w:rFonts w:hint="cs"/>
          <w:spacing w:val="0"/>
          <w:sz w:val="20"/>
          <w:rtl/>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spacing w:val="0"/>
          <w:sz w:val="20"/>
          <w:rtl/>
        </w:rPr>
        <w:t xml:space="preserve">ترحب اللجنة بتقديم </w:t>
      </w:r>
      <w:r w:rsidRPr="004E0A37">
        <w:rPr>
          <w:rFonts w:hint="cs"/>
          <w:spacing w:val="0"/>
          <w:sz w:val="20"/>
          <w:rtl/>
        </w:rPr>
        <w:t xml:space="preserve">اليونان </w:t>
      </w:r>
      <w:r w:rsidRPr="004E0A37">
        <w:rPr>
          <w:spacing w:val="0"/>
          <w:sz w:val="20"/>
          <w:rtl/>
        </w:rPr>
        <w:t xml:space="preserve">تقريرها الدوري الجامع </w:t>
      </w:r>
      <w:r w:rsidRPr="004E0A37">
        <w:rPr>
          <w:rFonts w:hint="cs"/>
          <w:spacing w:val="0"/>
          <w:sz w:val="20"/>
          <w:rtl/>
        </w:rPr>
        <w:t>ل</w:t>
      </w:r>
      <w:r w:rsidRPr="004E0A37">
        <w:rPr>
          <w:spacing w:val="0"/>
          <w:sz w:val="20"/>
          <w:rtl/>
        </w:rPr>
        <w:t>لتقرير</w:t>
      </w:r>
      <w:r w:rsidRPr="004E0A37">
        <w:rPr>
          <w:rFonts w:hint="cs"/>
          <w:spacing w:val="0"/>
          <w:sz w:val="20"/>
          <w:rtl/>
        </w:rPr>
        <w:t xml:space="preserve">ين الخامس والسادس </w:t>
      </w:r>
      <w:r w:rsidRPr="004E0A37">
        <w:rPr>
          <w:spacing w:val="0"/>
          <w:sz w:val="20"/>
          <w:rtl/>
        </w:rPr>
        <w:t>ردا</w:t>
      </w:r>
      <w:r w:rsidRPr="004E0A37">
        <w:rPr>
          <w:rFonts w:hint="cs"/>
          <w:spacing w:val="0"/>
          <w:sz w:val="20"/>
          <w:rtl/>
        </w:rPr>
        <w:t>ً</w:t>
      </w:r>
      <w:r w:rsidRPr="004E0A37">
        <w:rPr>
          <w:spacing w:val="0"/>
          <w:sz w:val="20"/>
          <w:rtl/>
        </w:rPr>
        <w:t xml:space="preserve"> على قائمة المسائل </w:t>
      </w:r>
      <w:r w:rsidRPr="004E0A37">
        <w:rPr>
          <w:rFonts w:hint="cs"/>
          <w:spacing w:val="0"/>
          <w:sz w:val="20"/>
          <w:rtl/>
        </w:rPr>
        <w:t>أحيلت</w:t>
      </w:r>
      <w:r w:rsidRPr="004E0A37">
        <w:rPr>
          <w:spacing w:val="0"/>
          <w:sz w:val="20"/>
          <w:rtl/>
        </w:rPr>
        <w:t xml:space="preserve"> إليها قبل تقديم التقرير</w:t>
      </w:r>
      <w:r w:rsidRPr="004E0A37">
        <w:rPr>
          <w:rFonts w:hint="cs"/>
          <w:spacing w:val="0"/>
          <w:sz w:val="20"/>
          <w:rtl/>
        </w:rPr>
        <w:t>ين</w:t>
      </w:r>
      <w:r w:rsidRPr="004E0A37">
        <w:rPr>
          <w:spacing w:val="0"/>
          <w:sz w:val="20"/>
          <w:rtl/>
        </w:rPr>
        <w:t xml:space="preserve"> </w:t>
      </w:r>
      <w:r w:rsidRPr="004E0A37">
        <w:rPr>
          <w:spacing w:val="0"/>
          <w:sz w:val="20"/>
        </w:rPr>
        <w:t>(CAT/C/GRC/Q/5-6)</w:t>
      </w:r>
      <w:r w:rsidRPr="004E0A37">
        <w:rPr>
          <w:rFonts w:hint="cs"/>
          <w:spacing w:val="0"/>
          <w:sz w:val="20"/>
          <w:rtl/>
        </w:rPr>
        <w:t>.</w:t>
      </w:r>
      <w:r w:rsidRPr="004E0A37">
        <w:rPr>
          <w:spacing w:val="0"/>
          <w:sz w:val="20"/>
          <w:rtl/>
        </w:rPr>
        <w:t xml:space="preserve"> وتعرب اللجنة عن تقديرها للدولة الطرف على قبولها الإجراء </w:t>
      </w:r>
      <w:r w:rsidRPr="004E0A37">
        <w:rPr>
          <w:rFonts w:hint="cs"/>
          <w:spacing w:val="0"/>
          <w:sz w:val="20"/>
          <w:rtl/>
        </w:rPr>
        <w:t>الاختياري</w:t>
      </w:r>
      <w:r w:rsidRPr="004E0A37">
        <w:rPr>
          <w:spacing w:val="0"/>
          <w:sz w:val="20"/>
          <w:rtl/>
        </w:rPr>
        <w:t xml:space="preserve"> لتقديم التقارير الدورية</w:t>
      </w:r>
      <w:r w:rsidRPr="004E0A37">
        <w:rPr>
          <w:rFonts w:hint="cs"/>
          <w:spacing w:val="0"/>
          <w:sz w:val="20"/>
          <w:rtl/>
        </w:rPr>
        <w:t xml:space="preserve"> وتقديمها تقريرها الدوري بموجب هذا الإجراء</w:t>
      </w:r>
      <w:r w:rsidRPr="004E0A37">
        <w:rPr>
          <w:spacing w:val="0"/>
          <w:sz w:val="20"/>
          <w:rtl/>
        </w:rPr>
        <w:t xml:space="preserve"> الذي </w:t>
      </w:r>
      <w:r w:rsidRPr="004E0A37">
        <w:rPr>
          <w:rFonts w:hint="cs"/>
          <w:spacing w:val="0"/>
          <w:sz w:val="20"/>
          <w:rtl/>
        </w:rPr>
        <w:t>يعزز</w:t>
      </w:r>
      <w:r w:rsidRPr="004E0A37">
        <w:rPr>
          <w:spacing w:val="0"/>
          <w:sz w:val="20"/>
          <w:rtl/>
        </w:rPr>
        <w:t xml:space="preserve"> التعاون بين الدولة الطرف واللجنة ويرك</w:t>
      </w:r>
      <w:r w:rsidRPr="004E0A37">
        <w:rPr>
          <w:rFonts w:hint="cs"/>
          <w:spacing w:val="0"/>
          <w:sz w:val="20"/>
          <w:rtl/>
        </w:rPr>
        <w:t>ّ</w:t>
      </w:r>
      <w:r w:rsidRPr="004E0A37">
        <w:rPr>
          <w:spacing w:val="0"/>
          <w:sz w:val="20"/>
          <w:rtl/>
        </w:rPr>
        <w:t xml:space="preserve">ز </w:t>
      </w:r>
      <w:r w:rsidRPr="004E0A37">
        <w:rPr>
          <w:rFonts w:hint="cs"/>
          <w:spacing w:val="0"/>
          <w:sz w:val="20"/>
          <w:rtl/>
        </w:rPr>
        <w:t xml:space="preserve">على </w:t>
      </w:r>
      <w:r w:rsidRPr="004E0A37">
        <w:rPr>
          <w:spacing w:val="0"/>
          <w:sz w:val="20"/>
          <w:rtl/>
        </w:rPr>
        <w:t>النظر في التقرير وكذا الحوار مع الوفد.</w:t>
      </w:r>
    </w:p>
    <w:p w:rsidR="004E0A37" w:rsidRPr="002F25AA" w:rsidRDefault="00AC7D2B" w:rsidP="00336665">
      <w:pPr>
        <w:pStyle w:val="SingleTxtGA"/>
        <w:spacing w:line="364" w:lineRule="exact"/>
        <w:jc w:val="lowKashida"/>
        <w:rPr>
          <w:rFonts w:hint="cs"/>
          <w:spacing w:val="-4"/>
          <w:sz w:val="20"/>
          <w:rtl/>
        </w:rPr>
      </w:pPr>
      <w:r w:rsidRPr="002F25AA">
        <w:rPr>
          <w:rFonts w:hint="cs"/>
          <w:spacing w:val="-4"/>
          <w:sz w:val="20"/>
          <w:rtl/>
        </w:rPr>
        <w:t>(</w:t>
      </w:r>
      <w:r w:rsidR="004E0A37" w:rsidRPr="002F25AA">
        <w:rPr>
          <w:rFonts w:hint="cs"/>
          <w:spacing w:val="-4"/>
          <w:sz w:val="20"/>
          <w:rtl/>
        </w:rPr>
        <w:t>3</w:t>
      </w:r>
      <w:r w:rsidR="003E72B5" w:rsidRPr="002F25AA">
        <w:rPr>
          <w:rFonts w:hint="cs"/>
          <w:spacing w:val="-4"/>
          <w:sz w:val="20"/>
          <w:rtl/>
        </w:rPr>
        <w:t>)</w:t>
      </w:r>
      <w:r w:rsidR="003E72B5" w:rsidRPr="002F25AA">
        <w:rPr>
          <w:rFonts w:hint="cs"/>
          <w:spacing w:val="-4"/>
          <w:sz w:val="20"/>
          <w:rtl/>
        </w:rPr>
        <w:tab/>
      </w:r>
      <w:r w:rsidR="004E0A37" w:rsidRPr="002F25AA">
        <w:rPr>
          <w:spacing w:val="-4"/>
          <w:sz w:val="20"/>
          <w:rtl/>
        </w:rPr>
        <w:t>كما تعرب اللجنة عن تقديرها للحوار الصريح والبناء مع وفد الدولة الطرف</w:t>
      </w:r>
      <w:r w:rsidR="004E0A37" w:rsidRPr="002F25AA">
        <w:rPr>
          <w:rFonts w:hint="cs"/>
          <w:spacing w:val="-4"/>
          <w:sz w:val="20"/>
          <w:rtl/>
        </w:rPr>
        <w:t xml:space="preserve"> الرفيع المستوى</w:t>
      </w:r>
      <w:r w:rsidR="004E0A37" w:rsidRPr="002F25AA">
        <w:rPr>
          <w:spacing w:val="-4"/>
          <w:sz w:val="20"/>
          <w:rtl/>
        </w:rPr>
        <w:t xml:space="preserve"> والمعلومات الإضافية التي قدمها أثناء النظر في التقرير، وإن كانت تعرب عن أسفها لعدم الرد على بعض الأسئلة المطروحة على الدولة الطرف.</w:t>
      </w:r>
      <w:r w:rsidR="004E0A37" w:rsidRPr="002F25AA">
        <w:rPr>
          <w:rFonts w:hint="cs"/>
          <w:spacing w:val="-4"/>
          <w:sz w:val="20"/>
          <w:rtl/>
        </w:rPr>
        <w:t xml:space="preserve"> </w:t>
      </w:r>
      <w:r w:rsidR="004E0A37" w:rsidRPr="002F25AA">
        <w:rPr>
          <w:rFonts w:hint="cs"/>
          <w:spacing w:val="-4"/>
          <w:sz w:val="20"/>
          <w:rtl/>
          <w:lang/>
        </w:rPr>
        <w:t>واللجنة على يقين من أن الحوار والتوصيات المنبثقة عنه ستسهم في اتخاذ الدولة الطرف الخطوات اللازمة للامتثال للاتفاقية عملياً.</w:t>
      </w:r>
    </w:p>
    <w:p w:rsidR="004E0A37" w:rsidRPr="002F25AA" w:rsidRDefault="007223C0" w:rsidP="00336665">
      <w:pPr>
        <w:pStyle w:val="H23GA"/>
        <w:tabs>
          <w:tab w:val="left" w:pos="1925"/>
        </w:tabs>
        <w:spacing w:line="364" w:lineRule="exact"/>
        <w:rPr>
          <w:rFonts w:hint="cs"/>
          <w:spacing w:val="0"/>
          <w:rtl/>
          <w:lang w:val="fr-CH"/>
        </w:rPr>
      </w:pPr>
      <w:r>
        <w:rPr>
          <w:rFonts w:hint="cs"/>
          <w:spacing w:val="0"/>
          <w:rtl/>
          <w:lang w:val="fr-CH"/>
        </w:rPr>
        <w:tab/>
      </w:r>
      <w:r>
        <w:rPr>
          <w:rFonts w:hint="cs"/>
          <w:spacing w:val="0"/>
          <w:rtl/>
          <w:lang w:val="fr-CH"/>
        </w:rPr>
        <w:tab/>
        <w:t>باء-</w:t>
      </w:r>
      <w:r w:rsidR="004E0A37" w:rsidRPr="002F25AA">
        <w:rPr>
          <w:rFonts w:hint="cs"/>
          <w:spacing w:val="0"/>
          <w:rtl/>
          <w:lang w:val="fr-CH"/>
        </w:rPr>
        <w:tab/>
        <w:t>الجوانب الإيجابية</w:t>
      </w:r>
    </w:p>
    <w:p w:rsidR="004E0A37" w:rsidRPr="004E0A37" w:rsidRDefault="004E0A37" w:rsidP="00336665">
      <w:pPr>
        <w:pStyle w:val="SingleTxtGA"/>
        <w:spacing w:line="364" w:lineRule="exact"/>
        <w:jc w:val="lowKashida"/>
        <w:rPr>
          <w:rFonts w:hint="cs"/>
          <w:spacing w:val="0"/>
          <w:sz w:val="20"/>
          <w:rtl/>
        </w:rPr>
      </w:pPr>
      <w:r w:rsidRPr="004E0A37">
        <w:rPr>
          <w:rFonts w:hint="cs"/>
          <w:spacing w:val="0"/>
          <w:sz w:val="20"/>
          <w:rtl/>
        </w:rPr>
        <w:t>(4</w:t>
      </w:r>
      <w:r w:rsidR="003E72B5">
        <w:rPr>
          <w:rFonts w:hint="cs"/>
          <w:spacing w:val="0"/>
          <w:sz w:val="20"/>
          <w:rtl/>
        </w:rPr>
        <w:t>)</w:t>
      </w:r>
      <w:r w:rsidR="003E72B5">
        <w:rPr>
          <w:rFonts w:hint="cs"/>
          <w:spacing w:val="0"/>
          <w:sz w:val="20"/>
          <w:rtl/>
        </w:rPr>
        <w:tab/>
      </w:r>
      <w:r w:rsidRPr="004E0A37">
        <w:rPr>
          <w:spacing w:val="0"/>
          <w:sz w:val="20"/>
          <w:rtl/>
        </w:rPr>
        <w:t xml:space="preserve">تشير </w:t>
      </w:r>
      <w:r w:rsidRPr="004E0A37">
        <w:rPr>
          <w:rFonts w:hint="cs"/>
          <w:spacing w:val="0"/>
          <w:sz w:val="20"/>
          <w:rtl/>
        </w:rPr>
        <w:t xml:space="preserve">اللجنة </w:t>
      </w:r>
      <w:r w:rsidRPr="004E0A37">
        <w:rPr>
          <w:spacing w:val="0"/>
          <w:sz w:val="20"/>
          <w:rtl/>
        </w:rPr>
        <w:t xml:space="preserve">بارتياح إلى أن الدولة الطرف قد عمدت، منذ النظر في تقريرها الدوري </w:t>
      </w:r>
      <w:r w:rsidRPr="004E0A37">
        <w:rPr>
          <w:rFonts w:hint="cs"/>
          <w:spacing w:val="0"/>
          <w:sz w:val="20"/>
          <w:rtl/>
        </w:rPr>
        <w:t>الرابع</w:t>
      </w:r>
      <w:r w:rsidRPr="004E0A37">
        <w:rPr>
          <w:spacing w:val="0"/>
          <w:sz w:val="20"/>
          <w:rtl/>
        </w:rPr>
        <w:t xml:space="preserve">، إلى التصديق </w:t>
      </w:r>
      <w:r w:rsidRPr="004E0A37">
        <w:rPr>
          <w:rFonts w:hint="cs"/>
          <w:spacing w:val="0"/>
          <w:sz w:val="20"/>
          <w:rtl/>
        </w:rPr>
        <w:t xml:space="preserve">على </w:t>
      </w:r>
      <w:r w:rsidRPr="004E0A37">
        <w:rPr>
          <w:spacing w:val="0"/>
          <w:sz w:val="20"/>
          <w:rtl/>
        </w:rPr>
        <w:t>الصكوك الدولية التالية أو الانضمام إل</w:t>
      </w:r>
      <w:r w:rsidRPr="004E0A37">
        <w:rPr>
          <w:rFonts w:hint="cs"/>
          <w:spacing w:val="0"/>
          <w:sz w:val="20"/>
          <w:rtl/>
        </w:rPr>
        <w:t>يها</w:t>
      </w:r>
      <w:r w:rsidRPr="004E0A37">
        <w:rPr>
          <w:spacing w:val="0"/>
          <w:sz w:val="20"/>
          <w:rtl/>
        </w:rPr>
        <w:t>:</w:t>
      </w:r>
    </w:p>
    <w:p w:rsidR="004E0A37" w:rsidRPr="004E0A37" w:rsidRDefault="004E0A37" w:rsidP="00336665">
      <w:pPr>
        <w:pStyle w:val="SingleTxtGA"/>
        <w:spacing w:line="364" w:lineRule="exact"/>
        <w:jc w:val="lowKashida"/>
        <w:rPr>
          <w:spacing w:val="0"/>
          <w:sz w:val="20"/>
          <w:rtl/>
        </w:rPr>
      </w:pPr>
      <w:r w:rsidRPr="004E0A37">
        <w:rPr>
          <w:rFonts w:hint="cs"/>
          <w:spacing w:val="0"/>
          <w:sz w:val="20"/>
          <w:rtl/>
        </w:rPr>
        <w:tab/>
      </w:r>
      <w:r w:rsidRPr="004E0A37">
        <w:rPr>
          <w:spacing w:val="0"/>
          <w:sz w:val="20"/>
          <w:rtl/>
        </w:rPr>
        <w:t>(أ)</w:t>
      </w:r>
      <w:r w:rsidRPr="004E0A37">
        <w:rPr>
          <w:rFonts w:hint="cs"/>
          <w:spacing w:val="0"/>
          <w:sz w:val="20"/>
          <w:rtl/>
        </w:rPr>
        <w:tab/>
      </w:r>
      <w:r w:rsidRPr="004E0A37">
        <w:rPr>
          <w:spacing w:val="0"/>
          <w:sz w:val="20"/>
          <w:rtl/>
        </w:rPr>
        <w:t>اتفاقية الأمم المتحدة لمكافحة الجريمة المنظمة عبر الوطنية والبروتوكول المكمل لها لمنع وقمع الاتجار بالأشخاص والمعاقبة عليه، وبخاصة الاتجار بالنساء والأطفال (</w:t>
      </w:r>
      <w:r w:rsidRPr="004E0A37">
        <w:rPr>
          <w:rFonts w:hint="cs"/>
          <w:spacing w:val="0"/>
          <w:sz w:val="20"/>
          <w:rtl/>
        </w:rPr>
        <w:t>بروتوكول باليرمو)، في كانون الثاني/يناير 2011؛</w:t>
      </w:r>
      <w:r w:rsidRPr="004E0A37">
        <w:rPr>
          <w:spacing w:val="0"/>
          <w:sz w:val="20"/>
          <w:rtl/>
        </w:rPr>
        <w:t xml:space="preserve"> </w:t>
      </w:r>
    </w:p>
    <w:p w:rsidR="004E0A37" w:rsidRPr="004E0A37" w:rsidRDefault="004E0A37" w:rsidP="00336665">
      <w:pPr>
        <w:pStyle w:val="SingleTxtGA"/>
        <w:spacing w:line="364" w:lineRule="exact"/>
        <w:jc w:val="lowKashida"/>
        <w:rPr>
          <w:rFonts w:hint="cs"/>
          <w:spacing w:val="0"/>
          <w:sz w:val="20"/>
          <w:rtl/>
        </w:rPr>
      </w:pPr>
      <w:r w:rsidRPr="004E0A37">
        <w:rPr>
          <w:rFonts w:hint="cs"/>
          <w:spacing w:val="0"/>
          <w:sz w:val="20"/>
          <w:rtl/>
        </w:rPr>
        <w:tab/>
      </w:r>
      <w:r w:rsidRPr="004E0A37">
        <w:rPr>
          <w:spacing w:val="0"/>
          <w:sz w:val="20"/>
          <w:rtl/>
        </w:rPr>
        <w:t>(</w:t>
      </w:r>
      <w:r w:rsidRPr="004E0A37">
        <w:rPr>
          <w:rFonts w:hint="cs"/>
          <w:spacing w:val="0"/>
          <w:sz w:val="20"/>
          <w:rtl/>
        </w:rPr>
        <w:t>ب</w:t>
      </w:r>
      <w:r w:rsidRPr="004E0A37">
        <w:rPr>
          <w:spacing w:val="0"/>
          <w:sz w:val="20"/>
          <w:rtl/>
        </w:rPr>
        <w:t>)</w:t>
      </w:r>
      <w:r w:rsidRPr="004E0A37">
        <w:rPr>
          <w:rFonts w:hint="cs"/>
          <w:spacing w:val="0"/>
          <w:sz w:val="20"/>
          <w:rtl/>
        </w:rPr>
        <w:tab/>
      </w:r>
      <w:r w:rsidRPr="004E0A37">
        <w:rPr>
          <w:spacing w:val="0"/>
          <w:sz w:val="20"/>
          <w:rtl/>
        </w:rPr>
        <w:t>البروتوكول الاختياري لاتفاقية حقوق الطفل بشأن بيع الأطفال وبغاء الأطفال واستغلال الأطفال في المواد الإباحية</w:t>
      </w:r>
      <w:r w:rsidRPr="004E0A37">
        <w:rPr>
          <w:rFonts w:hint="cs"/>
          <w:spacing w:val="0"/>
          <w:sz w:val="20"/>
          <w:rtl/>
        </w:rPr>
        <w:t>، في شباط/فبراير 2008.</w:t>
      </w:r>
    </w:p>
    <w:p w:rsidR="004E0A37" w:rsidRPr="004E0A37" w:rsidRDefault="004E0A37" w:rsidP="004E0A37">
      <w:pPr>
        <w:pStyle w:val="SingleTxtGA"/>
        <w:jc w:val="lowKashida"/>
        <w:rPr>
          <w:spacing w:val="0"/>
          <w:sz w:val="20"/>
        </w:rPr>
      </w:pPr>
      <w:r w:rsidRPr="004E0A37">
        <w:rPr>
          <w:rFonts w:hint="cs"/>
          <w:spacing w:val="0"/>
          <w:sz w:val="20"/>
          <w:rtl/>
        </w:rPr>
        <w:t>(5</w:t>
      </w:r>
      <w:r w:rsidR="003E72B5">
        <w:rPr>
          <w:rFonts w:hint="cs"/>
          <w:spacing w:val="0"/>
          <w:sz w:val="20"/>
          <w:rtl/>
        </w:rPr>
        <w:t>)</w:t>
      </w:r>
      <w:r w:rsidR="003E72B5">
        <w:rPr>
          <w:rFonts w:hint="cs"/>
          <w:spacing w:val="0"/>
          <w:sz w:val="20"/>
          <w:rtl/>
        </w:rPr>
        <w:tab/>
      </w:r>
      <w:r w:rsidRPr="004E0A37">
        <w:rPr>
          <w:rFonts w:hint="cs"/>
          <w:spacing w:val="0"/>
          <w:sz w:val="20"/>
          <w:rtl/>
        </w:rPr>
        <w:t>وترحب اللجنة باعتماد الدولة الطرف "خطة العمل الوطنية الخاصة بإدارة الهجرة"، في عام 2010، لتحسين إجراء وظروف اللجوء من أجل معالجة حالات رعايا البلدان الثالثة الذين يدخلون البلد بطريقة غير مشروعة، بمن فيهم ملتمسو اللجوء؛ واعتماد مرسوم رئاسي</w:t>
      </w:r>
      <w:r w:rsidRPr="004E0A37">
        <w:rPr>
          <w:rFonts w:hint="eastAsia"/>
          <w:spacing w:val="0"/>
          <w:sz w:val="20"/>
          <w:rtl/>
        </w:rPr>
        <w:t> </w:t>
      </w:r>
      <w:r w:rsidRPr="004E0A37">
        <w:rPr>
          <w:rFonts w:hint="cs"/>
          <w:spacing w:val="0"/>
          <w:sz w:val="20"/>
          <w:rtl/>
        </w:rPr>
        <w:t xml:space="preserve">(م ر 114/2010) في تشرين الثاني/نوفمبر 2010 يُعدّل التشريع السابق المتعلق بإجراء اللجوء، ويضع، لمرحلة انتقالية، المعايير والضمانات المناسبة للنظر المنصف والفعال في طلبات ملتمسي اللجوء، وكذلك إصدار قانون شامل (ل-3907/2011) في كانون الثاني/يناير 2011 يقضي بإنشاء دائرة لجوء جديدة مستقلة عن الشرطة، تشرف تدريجياً على قضايا اللجوء بصورة كاملة، وإنشاء دائرة استقبال أولية تُعنى بتهيئة مراكز الاستقبال الأولية في المراكز الحدودية. </w:t>
      </w:r>
    </w:p>
    <w:p w:rsidR="004E0A37" w:rsidRPr="004E0A37" w:rsidRDefault="004E0A37" w:rsidP="004E0A37">
      <w:pPr>
        <w:pStyle w:val="SingleTxtGA"/>
        <w:jc w:val="lowKashida"/>
        <w:rPr>
          <w:rFonts w:hint="cs"/>
          <w:spacing w:val="0"/>
          <w:sz w:val="20"/>
          <w:rtl/>
        </w:rPr>
      </w:pPr>
      <w:r w:rsidRPr="004E0A37">
        <w:rPr>
          <w:rFonts w:hint="cs"/>
          <w:spacing w:val="0"/>
          <w:sz w:val="20"/>
          <w:rtl/>
        </w:rPr>
        <w:t>(6</w:t>
      </w:r>
      <w:r w:rsidR="003E72B5">
        <w:rPr>
          <w:rFonts w:hint="cs"/>
          <w:spacing w:val="0"/>
          <w:sz w:val="20"/>
          <w:rtl/>
        </w:rPr>
        <w:t>)</w:t>
      </w:r>
      <w:r w:rsidR="003E72B5">
        <w:rPr>
          <w:rFonts w:hint="cs"/>
          <w:spacing w:val="0"/>
          <w:sz w:val="20"/>
          <w:rtl/>
        </w:rPr>
        <w:tab/>
      </w:r>
      <w:r w:rsidRPr="004E0A37">
        <w:rPr>
          <w:rFonts w:hint="cs"/>
          <w:spacing w:val="0"/>
          <w:sz w:val="20"/>
          <w:rtl/>
        </w:rPr>
        <w:t>وتشير اللجنة مع الارتياح إلى اتخاذ الدولة الطرف عدداً من المبادرات التشريعية الأخرى بهدف الامتثال لتوصيات اللجنة وتحسين تنفيذ الاتفاقية، بما في ذلك في مجالات الاحتجاز قبل المحاكمة والمحاكمة المنصفة وظروف الاحتجاز والاتجار بالأشخاص والعنف المنزلي وما إلى ذلك.</w:t>
      </w:r>
    </w:p>
    <w:p w:rsidR="004E0A37" w:rsidRPr="004E0A37" w:rsidRDefault="004E0A37" w:rsidP="004E0A37">
      <w:pPr>
        <w:pStyle w:val="SingleTxtGA"/>
        <w:jc w:val="lowKashida"/>
        <w:rPr>
          <w:rFonts w:hint="cs"/>
          <w:spacing w:val="0"/>
          <w:sz w:val="20"/>
          <w:rtl/>
        </w:rPr>
      </w:pPr>
      <w:r w:rsidRPr="004E0A37">
        <w:rPr>
          <w:rFonts w:hint="cs"/>
          <w:spacing w:val="0"/>
          <w:sz w:val="20"/>
          <w:rtl/>
        </w:rPr>
        <w:t>(7</w:t>
      </w:r>
      <w:r w:rsidR="003E72B5">
        <w:rPr>
          <w:rFonts w:hint="cs"/>
          <w:spacing w:val="0"/>
          <w:sz w:val="20"/>
          <w:rtl/>
        </w:rPr>
        <w:t>)</w:t>
      </w:r>
      <w:r w:rsidR="003E72B5">
        <w:rPr>
          <w:rFonts w:hint="cs"/>
          <w:spacing w:val="0"/>
          <w:sz w:val="20"/>
          <w:rtl/>
        </w:rPr>
        <w:tab/>
      </w:r>
      <w:r w:rsidRPr="004E0A37">
        <w:rPr>
          <w:rFonts w:hint="cs"/>
          <w:spacing w:val="0"/>
          <w:sz w:val="20"/>
          <w:rtl/>
        </w:rPr>
        <w:t>وتعرب اللجنة عن تقديرها للجهود التي بذلتها الدولة الطرف لتعديل سياساتها وإجراءاتها بما يكفل تحسين حماية حقوق الإنسان وتنفيذ الاتفاقية، بما في ذلك ما يلي:</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المبادرة، في حزيران/يونيه 2011، إلى وضع سجل لتدوين إصابات المحتجزين في كل سجن من السجون وكذلك سجل لتدوين عمليات التفتيش الجسدي في كل سجن من سجون النساء؛</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إقامة خط هاتفي مباشر يمكّن السجناء من الاتصال بإدارة السجون المركزية ويمكّن الإدارة من الاستماع لهم.</w:t>
      </w:r>
    </w:p>
    <w:p w:rsidR="004E0A37" w:rsidRPr="004E0A37" w:rsidRDefault="004E0A37" w:rsidP="004E0A37">
      <w:pPr>
        <w:pStyle w:val="SingleTxtGA"/>
        <w:jc w:val="lowKashida"/>
        <w:rPr>
          <w:rFonts w:hint="cs"/>
          <w:spacing w:val="0"/>
          <w:sz w:val="20"/>
          <w:rtl/>
        </w:rPr>
      </w:pPr>
      <w:r w:rsidRPr="004E0A37">
        <w:rPr>
          <w:rFonts w:hint="cs"/>
          <w:spacing w:val="0"/>
          <w:sz w:val="20"/>
          <w:rtl/>
        </w:rPr>
        <w:t>(8</w:t>
      </w:r>
      <w:r w:rsidR="003E72B5">
        <w:rPr>
          <w:rFonts w:hint="cs"/>
          <w:spacing w:val="0"/>
          <w:sz w:val="20"/>
          <w:rtl/>
        </w:rPr>
        <w:t>)</w:t>
      </w:r>
      <w:r w:rsidR="003E72B5">
        <w:rPr>
          <w:rFonts w:hint="cs"/>
          <w:spacing w:val="0"/>
          <w:sz w:val="20"/>
          <w:rtl/>
        </w:rPr>
        <w:tab/>
      </w:r>
      <w:r w:rsidRPr="004E0A37">
        <w:rPr>
          <w:rFonts w:hint="cs"/>
          <w:spacing w:val="0"/>
          <w:sz w:val="20"/>
          <w:rtl/>
        </w:rPr>
        <w:t xml:space="preserve">وتشير اللجنة مع الارتياح إلى توجيه الدولة الطرف دعوة دائمة إلى جميع المكلفين بولايات في إطار الإجراءات الخاصة التابعين لمجلس حقوق الإنسان لزيارة البلد. واستضافت الدولة الطرف، منذ النظر في تقريرها الدوري السابق، زيارة ثلاثة مقررين خاصين تابعين للمجلس، بمن فيهم المقرر الخاص المعني بمسألة التعذيب وغيره من ضروب المعاملة أو العقوبة القاسية أو اللاإنسانية أو المهينة. </w:t>
      </w:r>
    </w:p>
    <w:p w:rsidR="004E0A37" w:rsidRPr="002F25AA" w:rsidRDefault="007223C0" w:rsidP="00336665">
      <w:pPr>
        <w:pStyle w:val="H23GA"/>
        <w:tabs>
          <w:tab w:val="left" w:pos="1939"/>
        </w:tabs>
        <w:rPr>
          <w:rFonts w:hint="cs"/>
          <w:spacing w:val="0"/>
          <w:rtl/>
          <w:lang w:val="fr-CH"/>
        </w:rPr>
      </w:pPr>
      <w:r>
        <w:rPr>
          <w:rFonts w:hint="cs"/>
          <w:spacing w:val="0"/>
          <w:rtl/>
          <w:lang w:val="fr-CH"/>
        </w:rPr>
        <w:tab/>
      </w:r>
      <w:r>
        <w:rPr>
          <w:rFonts w:hint="cs"/>
          <w:spacing w:val="0"/>
          <w:rtl/>
          <w:lang w:val="fr-CH"/>
        </w:rPr>
        <w:tab/>
        <w:t>جيم-</w:t>
      </w:r>
      <w:r w:rsidR="004E0A37" w:rsidRPr="002F25AA">
        <w:rPr>
          <w:rFonts w:hint="cs"/>
          <w:spacing w:val="0"/>
          <w:rtl/>
          <w:lang w:val="fr-CH"/>
        </w:rPr>
        <w:tab/>
        <w:t>دواعي القلق الرئيسية والتوصيات</w:t>
      </w:r>
    </w:p>
    <w:p w:rsidR="004E0A37" w:rsidRPr="002F25AA" w:rsidRDefault="004E0A37" w:rsidP="002F25AA">
      <w:pPr>
        <w:pStyle w:val="H23GA"/>
        <w:rPr>
          <w:rFonts w:hint="cs"/>
          <w:spacing w:val="0"/>
          <w:rtl/>
          <w:lang w:val="fr-CH"/>
        </w:rPr>
      </w:pPr>
      <w:r w:rsidRPr="002F25AA">
        <w:rPr>
          <w:rFonts w:hint="cs"/>
          <w:spacing w:val="0"/>
          <w:rtl/>
          <w:lang w:val="fr-CH"/>
        </w:rPr>
        <w:tab/>
      </w:r>
      <w:r w:rsidRPr="002F25AA">
        <w:rPr>
          <w:rFonts w:hint="cs"/>
          <w:spacing w:val="0"/>
          <w:rtl/>
          <w:lang w:val="fr-CH"/>
        </w:rPr>
        <w:tab/>
        <w:t>تعريف التعذيب</w:t>
      </w:r>
    </w:p>
    <w:p w:rsidR="004E0A37" w:rsidRPr="004E0A37" w:rsidRDefault="004E0A37" w:rsidP="004E0A37">
      <w:pPr>
        <w:pStyle w:val="SingleTxtGA"/>
        <w:jc w:val="lowKashida"/>
        <w:rPr>
          <w:rFonts w:hint="cs"/>
          <w:spacing w:val="0"/>
          <w:sz w:val="20"/>
          <w:rtl/>
        </w:rPr>
      </w:pPr>
      <w:r w:rsidRPr="004E0A37">
        <w:rPr>
          <w:rFonts w:hint="cs"/>
          <w:spacing w:val="0"/>
          <w:sz w:val="20"/>
          <w:rtl/>
        </w:rPr>
        <w:t>(9</w:t>
      </w:r>
      <w:r w:rsidR="003E72B5">
        <w:rPr>
          <w:rFonts w:hint="cs"/>
          <w:spacing w:val="0"/>
          <w:sz w:val="20"/>
          <w:rtl/>
        </w:rPr>
        <w:t>)</w:t>
      </w:r>
      <w:r w:rsidR="003E72B5">
        <w:rPr>
          <w:rFonts w:hint="cs"/>
          <w:spacing w:val="0"/>
          <w:sz w:val="20"/>
          <w:rtl/>
        </w:rPr>
        <w:tab/>
      </w:r>
      <w:r w:rsidRPr="004E0A37">
        <w:rPr>
          <w:rFonts w:hint="cs"/>
          <w:spacing w:val="0"/>
          <w:sz w:val="20"/>
          <w:rtl/>
        </w:rPr>
        <w:t>تحيط اللجنة</w:t>
      </w:r>
      <w:r w:rsidR="003833F8">
        <w:rPr>
          <w:rFonts w:hint="cs"/>
          <w:spacing w:val="0"/>
          <w:sz w:val="20"/>
          <w:rtl/>
        </w:rPr>
        <w:t xml:space="preserve"> علماً </w:t>
      </w:r>
      <w:r w:rsidRPr="004E0A37">
        <w:rPr>
          <w:rFonts w:hint="cs"/>
          <w:spacing w:val="0"/>
          <w:sz w:val="20"/>
          <w:rtl/>
        </w:rPr>
        <w:t xml:space="preserve">بأن القانون الجنائي في الدولة الطرف يعاقب أعمال التعذيب (المادتان 137 ألف و137 باء)، بيد أن القلق يساورها إزاء عدم امتثال هذا التعريف للصيغة الواردة في المادة 1 من الاتفاقية حيث إنه لا يتضمن جميع العناصر المطلوبة (المادة 1). </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 xml:space="preserve">ينبغي للدولة الطرف أن تدرج في تشريعها الجنائي تعريفاً للتعذيب يكون مطابقاً تماماً لأحكام المادة 1 من الاتفاقية ويغطي جميع العناصر الواردة فيها. ومن شأن هذا التعريف أن يلبي واجب الوضوح وقابلية التنبؤ في القانون الجنائي، من جهة، وضرورة التفريق بمقتضى الاتفاقية، من جهة أخرى، بين أعمال التعذيب التي يرتكبها </w:t>
      </w:r>
      <w:r w:rsidRPr="002F25AA">
        <w:rPr>
          <w:rFonts w:hint="eastAsia"/>
          <w:b/>
          <w:bCs/>
          <w:spacing w:val="0"/>
          <w:sz w:val="20"/>
          <w:rtl/>
        </w:rPr>
        <w:t>أو يحرض عليه</w:t>
      </w:r>
      <w:r w:rsidRPr="002F25AA">
        <w:rPr>
          <w:rFonts w:hint="cs"/>
          <w:b/>
          <w:bCs/>
          <w:spacing w:val="0"/>
          <w:sz w:val="20"/>
          <w:rtl/>
        </w:rPr>
        <w:t>ا</w:t>
      </w:r>
      <w:r w:rsidRPr="002F25AA">
        <w:rPr>
          <w:rFonts w:hint="eastAsia"/>
          <w:b/>
          <w:bCs/>
          <w:spacing w:val="0"/>
          <w:sz w:val="20"/>
          <w:rtl/>
        </w:rPr>
        <w:t xml:space="preserve"> أو</w:t>
      </w:r>
      <w:r w:rsidRPr="002F25AA">
        <w:rPr>
          <w:rFonts w:hint="cs"/>
          <w:b/>
          <w:bCs/>
          <w:spacing w:val="0"/>
          <w:sz w:val="20"/>
          <w:rtl/>
        </w:rPr>
        <w:t> </w:t>
      </w:r>
      <w:r w:rsidRPr="002F25AA">
        <w:rPr>
          <w:rFonts w:hint="eastAsia"/>
          <w:b/>
          <w:bCs/>
          <w:spacing w:val="0"/>
          <w:sz w:val="20"/>
          <w:rtl/>
        </w:rPr>
        <w:t>يوافق عليه</w:t>
      </w:r>
      <w:r w:rsidRPr="002F25AA">
        <w:rPr>
          <w:rFonts w:hint="cs"/>
          <w:b/>
          <w:bCs/>
          <w:spacing w:val="0"/>
          <w:sz w:val="20"/>
          <w:rtl/>
        </w:rPr>
        <w:t>ا</w:t>
      </w:r>
      <w:r w:rsidRPr="002F25AA">
        <w:rPr>
          <w:rFonts w:hint="eastAsia"/>
          <w:b/>
          <w:bCs/>
          <w:spacing w:val="0"/>
          <w:sz w:val="20"/>
          <w:rtl/>
        </w:rPr>
        <w:t xml:space="preserve"> </w:t>
      </w:r>
      <w:r w:rsidRPr="002F25AA">
        <w:rPr>
          <w:rFonts w:hint="cs"/>
          <w:b/>
          <w:bCs/>
          <w:spacing w:val="0"/>
          <w:sz w:val="20"/>
          <w:rtl/>
        </w:rPr>
        <w:t>بشكل صريح أو ضمني</w:t>
      </w:r>
      <w:r w:rsidRPr="002F25AA">
        <w:rPr>
          <w:rFonts w:hint="eastAsia"/>
          <w:b/>
          <w:bCs/>
          <w:spacing w:val="0"/>
          <w:sz w:val="20"/>
          <w:rtl/>
        </w:rPr>
        <w:t xml:space="preserve"> موظف رسمي أو أي شخص آخر يتصرف بصفته</w:t>
      </w:r>
      <w:r w:rsidRPr="002F25AA">
        <w:rPr>
          <w:b/>
          <w:bCs/>
          <w:spacing w:val="0"/>
          <w:sz w:val="20"/>
          <w:rtl/>
        </w:rPr>
        <w:t xml:space="preserve"> </w:t>
      </w:r>
      <w:r w:rsidRPr="002F25AA">
        <w:rPr>
          <w:rFonts w:hint="eastAsia"/>
          <w:b/>
          <w:bCs/>
          <w:spacing w:val="0"/>
          <w:sz w:val="20"/>
          <w:rtl/>
        </w:rPr>
        <w:t>الرسمية</w:t>
      </w:r>
      <w:r w:rsidRPr="002F25AA">
        <w:rPr>
          <w:rFonts w:hint="cs"/>
          <w:b/>
          <w:bCs/>
          <w:spacing w:val="0"/>
          <w:sz w:val="20"/>
          <w:rtl/>
        </w:rPr>
        <w:t xml:space="preserve">، وأعمال العنف بالمعنى العام التي يقوم بها فاعلون غير تابعين للدولة. </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ادعاءات التعذيب وسوء المعاملة والإفلات من العقاب</w:t>
      </w:r>
    </w:p>
    <w:p w:rsidR="004E0A37" w:rsidRPr="004E0A37" w:rsidRDefault="004E0A37" w:rsidP="004E0A37">
      <w:pPr>
        <w:pStyle w:val="SingleTxtGA"/>
        <w:jc w:val="lowKashida"/>
        <w:rPr>
          <w:rFonts w:hint="cs"/>
          <w:spacing w:val="0"/>
          <w:sz w:val="20"/>
          <w:rtl/>
        </w:rPr>
      </w:pPr>
      <w:r w:rsidRPr="004E0A37">
        <w:rPr>
          <w:rFonts w:hint="cs"/>
          <w:spacing w:val="0"/>
          <w:sz w:val="20"/>
          <w:rtl/>
        </w:rPr>
        <w:t>(10</w:t>
      </w:r>
      <w:r w:rsidR="003E72B5">
        <w:rPr>
          <w:rFonts w:hint="cs"/>
          <w:spacing w:val="0"/>
          <w:sz w:val="20"/>
          <w:rtl/>
        </w:rPr>
        <w:t>)</w:t>
      </w:r>
      <w:r w:rsidR="003E72B5">
        <w:rPr>
          <w:rFonts w:hint="cs"/>
          <w:spacing w:val="0"/>
          <w:sz w:val="20"/>
          <w:rtl/>
        </w:rPr>
        <w:tab/>
      </w:r>
      <w:r w:rsidRPr="004E0A37">
        <w:rPr>
          <w:rFonts w:hint="cs"/>
          <w:spacing w:val="0"/>
          <w:sz w:val="20"/>
          <w:rtl/>
        </w:rPr>
        <w:t xml:space="preserve">تعرب اللجنة عن بالغ القلق إزاء استمرار ادعاءات التعذيب وإساءة المعاملة من جانب الموظفين المكلفين بإنفاذ القانون أثناء التوقيف أو الاحتجاز، بما في ذلك في مقار إدارة التحقيق الجنائي. ويساور اللجنة القلق أيضاً إزاء العدد المحدود من الملاحقات في هذه الحالات، والعدد المحدود جداً من الإدانات النهائية، وعدم وجود عقوبات بسبب ظروف التخفيف وما في حكمها، في الحالات التي صدرت فيها إدانات. وتشير اللجنة إلى أن ذلك لا يتماشى مع القرارات والتوجيهات الصادرة مؤخراً عن الهيئات الدولية، بما فيها اللجنة المعنية بحقوق الإنسان والمحكمة الأوروبية لحقوق الإنسان، وكذلك مع استمرار تلقي ادعاءات </w:t>
      </w:r>
      <w:r w:rsidRPr="004E0A37">
        <w:rPr>
          <w:rFonts w:hint="cs"/>
          <w:spacing w:val="0"/>
          <w:sz w:val="20"/>
          <w:rtl/>
          <w:lang/>
        </w:rPr>
        <w:t xml:space="preserve">وكَمّ كبير من الوثائق </w:t>
      </w:r>
      <w:r w:rsidRPr="004E0A37">
        <w:rPr>
          <w:rFonts w:hint="cs"/>
          <w:spacing w:val="0"/>
          <w:sz w:val="20"/>
          <w:rtl/>
        </w:rPr>
        <w:t xml:space="preserve">من مصادر أخرى. وتكرر اللجنة أيضاً الإعراب عن قلقها إزاء استمرار تحفظ المدعين العامين على إقامة دعاوى جنائية بموجب المادة 137 ألف من القانون الجنائي، كما تعرب عن قلقها لإصدار إدانة في قضية واحدة بموجب هذه المادة. وفضلاً عن ذلك، تشاطر اللجنة القلق الذي أبداه المقرر الخاص المعني بمسألة التعذيب والذي يتعلق بالقدر المحدود من أدلة الطب الشرعي المتاحة لتأييد ادعاءات إساءة المعاملة التي تعتبر بمثابة تعذيب (المواد 1 و2 و4 و12 و16). </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ينبغي للدولة الطرف أن تقوم بما يلي:</w:t>
      </w:r>
    </w:p>
    <w:p w:rsidR="004E0A37" w:rsidRPr="00336665" w:rsidRDefault="004E0A37" w:rsidP="00336665">
      <w:pPr>
        <w:pStyle w:val="SingleTxtGA"/>
        <w:jc w:val="lowKashida"/>
        <w:rPr>
          <w:rFonts w:hint="cs"/>
          <w:b/>
          <w:bCs/>
          <w:spacing w:val="0"/>
          <w:kern w:val="0"/>
          <w:sz w:val="20"/>
          <w:rtl/>
        </w:rPr>
      </w:pPr>
      <w:r w:rsidRPr="00336665">
        <w:rPr>
          <w:rFonts w:hint="cs"/>
          <w:b/>
          <w:bCs/>
          <w:spacing w:val="0"/>
          <w:kern w:val="0"/>
          <w:sz w:val="20"/>
          <w:rtl/>
        </w:rPr>
        <w:tab/>
        <w:t>(أ)</w:t>
      </w:r>
      <w:r w:rsidRPr="00336665">
        <w:rPr>
          <w:rFonts w:hint="cs"/>
          <w:b/>
          <w:bCs/>
          <w:spacing w:val="0"/>
          <w:kern w:val="0"/>
          <w:sz w:val="20"/>
          <w:rtl/>
        </w:rPr>
        <w:tab/>
        <w:t>اعتماد</w:t>
      </w:r>
      <w:r w:rsidRPr="00336665">
        <w:rPr>
          <w:b/>
          <w:bCs/>
          <w:spacing w:val="0"/>
          <w:kern w:val="0"/>
          <w:sz w:val="20"/>
          <w:rtl/>
        </w:rPr>
        <w:t xml:space="preserve"> تدابير </w:t>
      </w:r>
      <w:r w:rsidRPr="00336665">
        <w:rPr>
          <w:rFonts w:hint="cs"/>
          <w:b/>
          <w:bCs/>
          <w:spacing w:val="0"/>
          <w:kern w:val="0"/>
          <w:sz w:val="20"/>
          <w:rtl/>
        </w:rPr>
        <w:t xml:space="preserve">عاجلة </w:t>
      </w:r>
      <w:r w:rsidRPr="00336665">
        <w:rPr>
          <w:b/>
          <w:bCs/>
          <w:spacing w:val="0"/>
          <w:kern w:val="0"/>
          <w:sz w:val="20"/>
          <w:rtl/>
        </w:rPr>
        <w:t xml:space="preserve">ذات أثر فوري وفعال لمنع أعمال التعذيب </w:t>
      </w:r>
      <w:r w:rsidRPr="00336665">
        <w:rPr>
          <w:rFonts w:hint="cs"/>
          <w:b/>
          <w:bCs/>
          <w:spacing w:val="0"/>
          <w:kern w:val="0"/>
          <w:sz w:val="20"/>
          <w:rtl/>
        </w:rPr>
        <w:t>وإساءة</w:t>
      </w:r>
      <w:r w:rsidRPr="00336665">
        <w:rPr>
          <w:b/>
          <w:bCs/>
          <w:spacing w:val="0"/>
          <w:kern w:val="0"/>
          <w:sz w:val="20"/>
          <w:rtl/>
        </w:rPr>
        <w:t xml:space="preserve"> المعاملة عن طريق أمور منها </w:t>
      </w:r>
      <w:r w:rsidRPr="00336665">
        <w:rPr>
          <w:rFonts w:hint="cs"/>
          <w:b/>
          <w:bCs/>
          <w:spacing w:val="0"/>
          <w:kern w:val="0"/>
          <w:sz w:val="20"/>
          <w:rtl/>
        </w:rPr>
        <w:t xml:space="preserve">التوعية العامة وكذلك </w:t>
      </w:r>
      <w:r w:rsidRPr="00336665">
        <w:rPr>
          <w:b/>
          <w:bCs/>
          <w:spacing w:val="0"/>
          <w:kern w:val="0"/>
          <w:sz w:val="20"/>
          <w:rtl/>
        </w:rPr>
        <w:t xml:space="preserve">إعلان سياسة </w:t>
      </w:r>
      <w:r w:rsidRPr="00336665">
        <w:rPr>
          <w:rFonts w:hint="cs"/>
          <w:b/>
          <w:bCs/>
          <w:spacing w:val="0"/>
          <w:kern w:val="0"/>
          <w:sz w:val="20"/>
          <w:rtl/>
        </w:rPr>
        <w:t xml:space="preserve">تعطي </w:t>
      </w:r>
      <w:r w:rsidRPr="00336665">
        <w:rPr>
          <w:b/>
          <w:bCs/>
          <w:spacing w:val="0"/>
          <w:kern w:val="0"/>
          <w:sz w:val="20"/>
          <w:rtl/>
        </w:rPr>
        <w:t>نت</w:t>
      </w:r>
      <w:r w:rsidRPr="00336665">
        <w:rPr>
          <w:rFonts w:hint="cs"/>
          <w:b/>
          <w:bCs/>
          <w:spacing w:val="0"/>
          <w:kern w:val="0"/>
          <w:sz w:val="20"/>
          <w:rtl/>
        </w:rPr>
        <w:t>ائ</w:t>
      </w:r>
      <w:r w:rsidRPr="00336665">
        <w:rPr>
          <w:b/>
          <w:bCs/>
          <w:spacing w:val="0"/>
          <w:kern w:val="0"/>
          <w:sz w:val="20"/>
          <w:rtl/>
        </w:rPr>
        <w:t xml:space="preserve">ج قابلة للقياس </w:t>
      </w:r>
      <w:r w:rsidR="00F96B1E" w:rsidRPr="00336665">
        <w:rPr>
          <w:b/>
          <w:bCs/>
          <w:spacing w:val="0"/>
          <w:kern w:val="0"/>
          <w:sz w:val="20"/>
          <w:rtl/>
        </w:rPr>
        <w:t>فيما </w:t>
      </w:r>
      <w:r w:rsidRPr="00336665">
        <w:rPr>
          <w:b/>
          <w:bCs/>
          <w:spacing w:val="0"/>
          <w:kern w:val="0"/>
          <w:sz w:val="20"/>
          <w:rtl/>
        </w:rPr>
        <w:t xml:space="preserve">يتعلق بالقضاء على ارتكاب موظفي الدولة </w:t>
      </w:r>
      <w:r w:rsidRPr="00336665">
        <w:rPr>
          <w:rFonts w:hint="cs"/>
          <w:b/>
          <w:bCs/>
          <w:spacing w:val="0"/>
          <w:kern w:val="0"/>
          <w:sz w:val="20"/>
          <w:rtl/>
        </w:rPr>
        <w:t>التعذيب أو إساءة المعاملة، واعتماد هذه</w:t>
      </w:r>
      <w:r w:rsidR="00336665">
        <w:rPr>
          <w:rFonts w:hint="eastAsia"/>
          <w:b/>
          <w:bCs/>
          <w:spacing w:val="0"/>
          <w:kern w:val="0"/>
          <w:sz w:val="20"/>
          <w:rtl/>
        </w:rPr>
        <w:t> </w:t>
      </w:r>
      <w:r w:rsidRPr="00336665">
        <w:rPr>
          <w:rFonts w:hint="cs"/>
          <w:b/>
          <w:bCs/>
          <w:spacing w:val="0"/>
          <w:kern w:val="0"/>
          <w:sz w:val="20"/>
          <w:rtl/>
        </w:rPr>
        <w:t>السياسة</w:t>
      </w:r>
      <w:r w:rsidRPr="00336665">
        <w:rPr>
          <w:b/>
          <w:bCs/>
          <w:spacing w:val="0"/>
          <w:kern w:val="0"/>
          <w:sz w:val="20"/>
          <w:rtl/>
        </w:rPr>
        <w:t xml:space="preserve">؛ </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(ب)</w:t>
      </w:r>
      <w:r w:rsidRPr="002F25AA">
        <w:rPr>
          <w:rFonts w:hint="cs"/>
          <w:b/>
          <w:bCs/>
          <w:spacing w:val="0"/>
          <w:sz w:val="20"/>
          <w:rtl/>
        </w:rPr>
        <w:tab/>
        <w:t>المسارعة إلى تعديل قواعد وإجراءات الاستجواب، من قبيل استعمال التسجيل الصوتي أو التصوير بالفيديو بغية منع التعذيب وإساءة المعاملة؛</w:t>
      </w:r>
    </w:p>
    <w:p w:rsidR="004E0A37" w:rsidRPr="002F25AA" w:rsidRDefault="004E0A37" w:rsidP="004E0A37">
      <w:pPr>
        <w:pStyle w:val="SingleTxtGA"/>
        <w:jc w:val="lowKashida"/>
        <w:rPr>
          <w:b/>
          <w:bCs/>
          <w:spacing w:val="0"/>
          <w:sz w:val="20"/>
          <w:rtl/>
        </w:rPr>
      </w:pPr>
      <w:r w:rsidRPr="002F25AA">
        <w:rPr>
          <w:rFonts w:hint="cs"/>
          <w:b/>
          <w:bCs/>
          <w:spacing w:val="0"/>
          <w:sz w:val="20"/>
          <w:rtl/>
        </w:rPr>
        <w:tab/>
        <w:t>(ج)</w:t>
      </w:r>
      <w:r w:rsidRPr="002F25AA">
        <w:rPr>
          <w:rFonts w:hint="cs"/>
          <w:b/>
          <w:bCs/>
          <w:spacing w:val="0"/>
          <w:sz w:val="20"/>
          <w:rtl/>
        </w:rPr>
        <w:tab/>
        <w:t>ملاحقة</w:t>
      </w:r>
      <w:r w:rsidRPr="002F25AA">
        <w:rPr>
          <w:b/>
          <w:bCs/>
          <w:spacing w:val="0"/>
          <w:sz w:val="20"/>
          <w:rtl/>
        </w:rPr>
        <w:t xml:space="preserve"> المرتكبين المزعومين لأعمال التعذيب أو </w:t>
      </w:r>
      <w:r w:rsidRPr="002F25AA">
        <w:rPr>
          <w:rFonts w:hint="cs"/>
          <w:b/>
          <w:bCs/>
          <w:spacing w:val="0"/>
          <w:sz w:val="20"/>
          <w:rtl/>
        </w:rPr>
        <w:t xml:space="preserve">إساءة </w:t>
      </w:r>
      <w:r w:rsidRPr="002F25AA">
        <w:rPr>
          <w:b/>
          <w:bCs/>
          <w:spacing w:val="0"/>
          <w:sz w:val="20"/>
          <w:rtl/>
        </w:rPr>
        <w:t>المعاملة على النحو الواجب، و</w:t>
      </w:r>
      <w:r w:rsidRPr="002F25AA">
        <w:rPr>
          <w:rFonts w:hint="cs"/>
          <w:b/>
          <w:bCs/>
          <w:spacing w:val="0"/>
          <w:sz w:val="20"/>
          <w:rtl/>
        </w:rPr>
        <w:t xml:space="preserve">معاقبتهم </w:t>
      </w:r>
      <w:r w:rsidRPr="002F25AA">
        <w:rPr>
          <w:b/>
          <w:bCs/>
          <w:spacing w:val="0"/>
          <w:sz w:val="20"/>
          <w:rtl/>
        </w:rPr>
        <w:t xml:space="preserve">في حالة الإدانة بعقوبات متناسبة مع خطورة </w:t>
      </w:r>
      <w:r w:rsidRPr="002F25AA">
        <w:rPr>
          <w:rFonts w:hint="cs"/>
          <w:b/>
          <w:bCs/>
          <w:spacing w:val="0"/>
          <w:sz w:val="20"/>
          <w:rtl/>
        </w:rPr>
        <w:t xml:space="preserve">أفعالهم. </w:t>
      </w:r>
    </w:p>
    <w:p w:rsidR="004E0A37" w:rsidRPr="004E0A37" w:rsidRDefault="004E0A37" w:rsidP="00336665">
      <w:pPr>
        <w:pStyle w:val="H23GA"/>
        <w:keepNext/>
        <w:spacing w:line="376"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 xml:space="preserve">استخدام أفراد الشرطة المفرط للقوة </w:t>
      </w:r>
    </w:p>
    <w:p w:rsidR="004E0A37" w:rsidRPr="004E0A37" w:rsidRDefault="00AC7D2B" w:rsidP="00336665">
      <w:pPr>
        <w:pStyle w:val="SingleTxtGA"/>
        <w:spacing w:line="376" w:lineRule="exact"/>
        <w:jc w:val="lowKashida"/>
        <w:rPr>
          <w:rFonts w:hint="cs"/>
          <w:spacing w:val="0"/>
          <w:sz w:val="20"/>
          <w:rtl/>
        </w:rPr>
      </w:pPr>
      <w:r>
        <w:rPr>
          <w:rFonts w:hint="cs"/>
          <w:spacing w:val="0"/>
          <w:sz w:val="20"/>
          <w:rtl/>
        </w:rPr>
        <w:t>(</w:t>
      </w:r>
      <w:r w:rsidR="004E0A37" w:rsidRPr="004E0A37">
        <w:rPr>
          <w:rFonts w:hint="cs"/>
          <w:spacing w:val="0"/>
          <w:sz w:val="20"/>
          <w:rtl/>
        </w:rPr>
        <w:t>11</w:t>
      </w:r>
      <w:r w:rsidR="003E72B5">
        <w:rPr>
          <w:rFonts w:hint="cs"/>
          <w:spacing w:val="0"/>
          <w:sz w:val="20"/>
          <w:rtl/>
        </w:rPr>
        <w:t>)</w:t>
      </w:r>
      <w:r w:rsidR="003E72B5">
        <w:rPr>
          <w:rFonts w:hint="cs"/>
          <w:spacing w:val="0"/>
          <w:sz w:val="20"/>
          <w:rtl/>
        </w:rPr>
        <w:tab/>
      </w:r>
      <w:r w:rsidR="004E0A37" w:rsidRPr="004E0A37">
        <w:rPr>
          <w:rFonts w:hint="cs"/>
          <w:spacing w:val="0"/>
          <w:sz w:val="20"/>
          <w:rtl/>
        </w:rPr>
        <w:t>تكرر اللجنة الإعراب عن قلقها إزاء استمرار ادعاءات استخدام الموظفين المكلفين بإنفاذ القوانين المفرط للقوة، الذي غالباً ما يتم في إطار تصدي أفراد الشرطة للمظاهرات وأعمال الشغب (المادتان 12 و16).</w:t>
      </w:r>
    </w:p>
    <w:p w:rsidR="004E0A37" w:rsidRPr="002F25AA" w:rsidRDefault="004E0A37" w:rsidP="00336665">
      <w:pPr>
        <w:pStyle w:val="SingleTxtGA"/>
        <w:spacing w:line="376" w:lineRule="exact"/>
        <w:jc w:val="lowKashida"/>
        <w:rPr>
          <w:rFonts w:hint="cs"/>
          <w:b/>
          <w:bCs/>
          <w:spacing w:val="0"/>
          <w:sz w:val="20"/>
          <w:rtl/>
        </w:rPr>
      </w:pPr>
      <w:r w:rsidRPr="002F25AA">
        <w:rPr>
          <w:rFonts w:hint="cs"/>
          <w:b/>
          <w:bCs/>
          <w:spacing w:val="0"/>
          <w:sz w:val="20"/>
          <w:rtl/>
        </w:rPr>
        <w:tab/>
        <w:t xml:space="preserve">ينبغي للدولة الطرف أن تتخذ تدابير فورية وفعالة تضمن عدم استخدام الموظفين المكلفين بإنفاذ القوانين المفرط للقوة واللجوء إلى القوة فقط عندما تحتم ذلك الضرورة وفي حدود ما يتطلبه أداء واجباتهم. </w:t>
      </w:r>
    </w:p>
    <w:p w:rsidR="004E0A37" w:rsidRPr="00336665" w:rsidRDefault="004E0A37" w:rsidP="00336665">
      <w:pPr>
        <w:pStyle w:val="H23GA"/>
        <w:spacing w:line="376" w:lineRule="exact"/>
        <w:jc w:val="lowKashida"/>
        <w:rPr>
          <w:rFonts w:hint="cs"/>
          <w:spacing w:val="-4"/>
          <w:kern w:val="0"/>
          <w:sz w:val="20"/>
          <w:rtl/>
          <w:lang w:val="fr-CH"/>
        </w:rPr>
      </w:pPr>
      <w:r w:rsidRPr="00336665">
        <w:rPr>
          <w:rFonts w:hint="cs"/>
          <w:spacing w:val="-4"/>
          <w:kern w:val="0"/>
          <w:sz w:val="20"/>
          <w:rtl/>
          <w:lang w:val="fr-CH"/>
        </w:rPr>
        <w:tab/>
      </w:r>
      <w:r w:rsidRPr="00336665">
        <w:rPr>
          <w:rFonts w:hint="cs"/>
          <w:spacing w:val="-4"/>
          <w:kern w:val="0"/>
          <w:sz w:val="20"/>
          <w:rtl/>
          <w:lang w:val="fr-CH"/>
        </w:rPr>
        <w:tab/>
        <w:t>إساءة معاملة المهاجرين غير الحائزين لوثائق رسمية وملتمسي اللجوء والأقليات وأفراد الروما</w:t>
      </w:r>
    </w:p>
    <w:p w:rsidR="004E0A37" w:rsidRPr="004E0A37" w:rsidRDefault="00AC7D2B" w:rsidP="00336665">
      <w:pPr>
        <w:pStyle w:val="SingleTxtGA"/>
        <w:spacing w:line="376" w:lineRule="exact"/>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تعرب اللجنة عن القلق إزاء المعلومات المتواترة والمتسقة التي تُفيد بإساءة الموظفين المكلفين بإنفاذ القوانين معاملة المهاجرين غير الحائزين لوثائق رسمية وملتمسي اللجوء وأفراد الروما، بما في ذلك في مرافق الاحتجاز وفي سياق عمليات التفتيش التي يقوم بها أفراد الشرطة بصورة منتظمة في الشوارع وفي المناطق الحضرية، انتهاكاً للاتفاقية. ويساور اللجنة القلق أيضاً إزاء المعلومات التي تفيد بإحجام الضحايا على نطاق واسع عن رفع شكاوى بسبب عدم وجود آلية شكاوى مأمونة، وعدم كفاية عدد المترجمين الشفويين، وعدم الثقة في السلطات. وتأسف اللجنة كذلك لزيادة انتشار ظاهرتي كره الأجانب والهجمات العنصرية ضد الرعايا الأجانب، بصرف النظر عن وضعهم القانوني، من جانب جهات تشمل مجموعات المواطنين ومجموعات اليمين المتطرف،</w:t>
      </w:r>
      <w:r w:rsidR="00B345DB">
        <w:rPr>
          <w:rFonts w:hint="cs"/>
          <w:spacing w:val="0"/>
          <w:sz w:val="20"/>
          <w:rtl/>
        </w:rPr>
        <w:t xml:space="preserve"> وفقاً </w:t>
      </w:r>
      <w:r w:rsidR="004E0A37" w:rsidRPr="004E0A37">
        <w:rPr>
          <w:rFonts w:hint="cs"/>
          <w:spacing w:val="0"/>
          <w:sz w:val="20"/>
          <w:rtl/>
        </w:rPr>
        <w:t>لاستنتاجات "شبكة تسجيل أعمال العنف العنصرية" شبه الرسمية. وفضلاً عن ذلك، تشير اللجنة مع القلق إلى أن أقلية المسلمين في تراقيا هي الأقلية الوحيدة المعترف بها في البلد (المواد 2 و12 و16).</w:t>
      </w:r>
    </w:p>
    <w:p w:rsidR="004E0A37" w:rsidRPr="002F25AA" w:rsidRDefault="004E0A37" w:rsidP="00336665">
      <w:pPr>
        <w:pStyle w:val="SingleTxtGA"/>
        <w:spacing w:line="376" w:lineRule="exact"/>
        <w:jc w:val="lowKashida"/>
        <w:rPr>
          <w:rFonts w:hint="cs"/>
          <w:b/>
          <w:bCs/>
          <w:spacing w:val="0"/>
          <w:sz w:val="20"/>
          <w:rtl/>
        </w:rPr>
      </w:pPr>
      <w:r w:rsidRPr="002F25AA">
        <w:rPr>
          <w:rFonts w:hint="cs"/>
          <w:b/>
          <w:bCs/>
          <w:spacing w:val="0"/>
          <w:sz w:val="20"/>
          <w:rtl/>
        </w:rPr>
        <w:tab/>
        <w:t>ينبغي أن تتصدى الدولة الطرف بقوة لتزايد ظاهرتي التمييز العنصري وكره الأجانب وما يتعلق بهما من عنف، بما في ذلك عن طريق التنديد علناً بجميع مظاهر التعصب والعنف المرتكب على أساس هذه الدوافع وتوجيه رسالة واضحة لا لبس فيها بأن الأعمال العنصرية أو التمييزية، بما في ذلك من جانب أفراد الشرطة وغيرهم من موظفي الدولة، غير مقبولة، وعن طريق ملاحقة مرتكبي هذه الأفعال ومعاقبتهم. وينبغي للدولة الطرف أن تتخذ تدابير فعالة لمنع التمييز ضد جميع الأقليات، سواء المعترف بها أو غير المعترف بها، وكفالة احترامها، بما يتسق مع التوصية العامة للجنة رقم 2(2007) بشأن تنفيذ الدول الأطراف للمادة 2. وتتضمن هذه التدابير زيادة انتداب أفراد الأقليات في الإدارة العامة، بما في ذلك المؤسسات المكلفة بإنفاذ القوانين.</w:t>
      </w:r>
    </w:p>
    <w:p w:rsidR="004E0A37" w:rsidRPr="004E0A37" w:rsidRDefault="004E0A37" w:rsidP="00336665">
      <w:pPr>
        <w:pStyle w:val="H23GA"/>
        <w:spacing w:line="376" w:lineRule="exact"/>
        <w:jc w:val="lowKashida"/>
        <w:rPr>
          <w:spacing w:val="0"/>
          <w:sz w:val="20"/>
          <w:lang w:val="fr-CH"/>
        </w:rPr>
      </w:pPr>
      <w:r w:rsidRPr="004E0A37">
        <w:rPr>
          <w:rFonts w:hint="cs"/>
          <w:spacing w:val="0"/>
          <w:sz w:val="20"/>
          <w:rtl/>
          <w:lang w:val="fr-CH"/>
        </w:rPr>
        <w:tab/>
      </w:r>
      <w:r w:rsidRPr="004E0A37">
        <w:rPr>
          <w:rFonts w:hint="cs"/>
          <w:spacing w:val="0"/>
          <w:sz w:val="20"/>
          <w:rtl/>
          <w:lang w:val="fr-CH"/>
        </w:rPr>
        <w:tab/>
        <w:t>إجراء تحقيقات فورية ونزيهة وفعالة</w:t>
      </w:r>
    </w:p>
    <w:p w:rsidR="004E0A37" w:rsidRPr="004E0A37" w:rsidRDefault="00AC7D2B" w:rsidP="00336665">
      <w:pPr>
        <w:pStyle w:val="SingleTxtGA"/>
        <w:spacing w:line="376" w:lineRule="exact"/>
        <w:jc w:val="lowKashida"/>
        <w:rPr>
          <w:rFonts w:hint="cs"/>
          <w:spacing w:val="0"/>
          <w:sz w:val="20"/>
          <w:rtl/>
        </w:rPr>
      </w:pPr>
      <w:r>
        <w:rPr>
          <w:rFonts w:hint="cs"/>
          <w:spacing w:val="0"/>
          <w:sz w:val="20"/>
          <w:rtl/>
        </w:rPr>
        <w:t>(</w:t>
      </w:r>
      <w:r w:rsidR="004E0A37" w:rsidRPr="004E0A37">
        <w:rPr>
          <w:rFonts w:hint="cs"/>
          <w:spacing w:val="0"/>
          <w:sz w:val="20"/>
          <w:rtl/>
        </w:rPr>
        <w:t>13</w:t>
      </w:r>
      <w:r w:rsidR="003E72B5">
        <w:rPr>
          <w:rFonts w:hint="cs"/>
          <w:spacing w:val="0"/>
          <w:sz w:val="20"/>
          <w:rtl/>
        </w:rPr>
        <w:t>)</w:t>
      </w:r>
      <w:r w:rsidR="003E72B5">
        <w:rPr>
          <w:rFonts w:hint="cs"/>
          <w:spacing w:val="0"/>
          <w:sz w:val="20"/>
          <w:rtl/>
        </w:rPr>
        <w:tab/>
      </w:r>
      <w:r w:rsidR="004E0A37" w:rsidRPr="004E0A37">
        <w:rPr>
          <w:rFonts w:hint="cs"/>
          <w:spacing w:val="0"/>
          <w:sz w:val="20"/>
          <w:rtl/>
        </w:rPr>
        <w:t>بينما تشير اللجنة إلى إنشاء مكتب تابع لوزارة حماية المواطن، يُعنى بمعالجة ادعاءات التعسف ضد الموظفين المكلفين بإنفاذ القانون، تعرب عن قلقها إزاء وجود معلومات تفيد بأن المكتب</w:t>
      </w:r>
      <w:r w:rsidR="00335AC0">
        <w:rPr>
          <w:rFonts w:hint="cs"/>
          <w:spacing w:val="0"/>
          <w:sz w:val="20"/>
          <w:rtl/>
        </w:rPr>
        <w:t xml:space="preserve"> لم </w:t>
      </w:r>
      <w:r w:rsidR="004E0A37" w:rsidRPr="004E0A37">
        <w:rPr>
          <w:rFonts w:hint="cs"/>
          <w:spacing w:val="0"/>
          <w:sz w:val="20"/>
          <w:rtl/>
        </w:rPr>
        <w:t>يبدأ العمل بعد، وبأن ولايته تقتصر،</w:t>
      </w:r>
      <w:r w:rsidR="00B345DB">
        <w:rPr>
          <w:rFonts w:hint="cs"/>
          <w:spacing w:val="0"/>
          <w:sz w:val="20"/>
          <w:rtl/>
        </w:rPr>
        <w:t xml:space="preserve"> وفقاً </w:t>
      </w:r>
      <w:r w:rsidR="004E0A37" w:rsidRPr="004E0A37">
        <w:rPr>
          <w:rFonts w:hint="cs"/>
          <w:spacing w:val="0"/>
          <w:sz w:val="20"/>
          <w:rtl/>
        </w:rPr>
        <w:t>للادعاءات، على النظر في مقبولية الشكاوى وإحالتها إلى الهيئات التأديبية ذات الصلة التابعة لقوات الأمن لإجراء مزيد من التحقيقات. وعليه، لا تزال اللجنة قلقة إزاء عدم وجود نظام فعال ومستقل للتحقيق في شكاوى التعذيب أو إساءة المعاملة أو فرط استخدام القوة. وتشعر بالقلق أيضاً إزاء النواقص التي تحول دون توفير الحماية من إساءة معاملة الضحايا أو تخويفهم نتيجة تقديم شكاوى أو تقديم أدلة (المادتان 12 و13).</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ينبغي للدولة الطرف أن تقوم بما يلي:</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(أ)</w:t>
      </w:r>
      <w:r w:rsidRPr="002F25AA">
        <w:rPr>
          <w:rFonts w:hint="cs"/>
          <w:b/>
          <w:bCs/>
          <w:spacing w:val="0"/>
          <w:sz w:val="20"/>
          <w:rtl/>
        </w:rPr>
        <w:tab/>
        <w:t>تعزيز الآليات القائمة لرصد أفراد الشرطة وغيرهم من المسؤولين العامين ومراقبتهم، بما في ذلك عن طريق إقامة نظام فعال وموثوق ومستقل لمعالجة الشكاوى يسهل الوصول إليه، بهدف إجراء تحقيقات سريعة ونزيهة وفعالة في جميع دعاوى التعذيب أو إساءة المعاملة أو فرط استخدام القوة؛</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(ب)</w:t>
      </w:r>
      <w:r w:rsidRPr="002F25AA">
        <w:rPr>
          <w:rFonts w:hint="cs"/>
          <w:b/>
          <w:bCs/>
          <w:spacing w:val="0"/>
          <w:sz w:val="20"/>
          <w:rtl/>
        </w:rPr>
        <w:tab/>
        <w:t>التأكيد على تسجيل هذه الادعاءات خطياً، والأمر فوراً، بإجراء فحص الطب الشرعي، واتخاذ الخطوات اللازمة لكفالة التحقيق المناسب في هذه الادعاءات. وينبغي اتباع هذا النهج سواء أكان الشخص المعني يحمل آثار إصابات خارجية أم لا؛</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(ج)</w:t>
      </w:r>
      <w:r w:rsidRPr="002F25AA">
        <w:rPr>
          <w:rFonts w:hint="cs"/>
          <w:b/>
          <w:bCs/>
          <w:spacing w:val="0"/>
          <w:sz w:val="20"/>
          <w:rtl/>
        </w:rPr>
        <w:tab/>
        <w:t>العمل، في الحالات التي يُزعم فيها وقوع أعمال تعذيب، على إيقاف المشتبه فيهم فوراً عن أداء مهامهم خلال مدة التحقيق، ولا سيما إذا كان استبقاؤهم يمكن أن يتسبب في تكرار الفعل المزعوم وقوعه أو في عرقلة التحقيق؛</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(د)</w:t>
      </w:r>
      <w:r w:rsidRPr="002F25AA">
        <w:rPr>
          <w:rFonts w:hint="cs"/>
          <w:b/>
          <w:bCs/>
          <w:spacing w:val="0"/>
          <w:sz w:val="20"/>
          <w:rtl/>
        </w:rPr>
        <w:tab/>
        <w:t>ضمان توفير حماية ملائمة لجميع المبلغين عن أعمال التعذيب أو إساءة المعاملة.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ظروف الاحتجاز</w:t>
      </w:r>
    </w:p>
    <w:p w:rsidR="004E0A37" w:rsidRPr="004E0A37" w:rsidRDefault="00AC7D2B" w:rsidP="002F25AA">
      <w:pPr>
        <w:pStyle w:val="SingleTxtGA"/>
        <w:jc w:val="lowKashida"/>
        <w:rPr>
          <w:rFonts w:hint="cs"/>
          <w:spacing w:val="0"/>
          <w:sz w:val="20"/>
          <w:rtl/>
        </w:rPr>
      </w:pPr>
      <w:r w:rsidRPr="002F25AA">
        <w:rPr>
          <w:rFonts w:hint="cs"/>
          <w:spacing w:val="-2"/>
          <w:sz w:val="20"/>
          <w:rtl/>
        </w:rPr>
        <w:t>(</w:t>
      </w:r>
      <w:r w:rsidR="004E0A37" w:rsidRPr="002F25AA">
        <w:rPr>
          <w:rFonts w:hint="cs"/>
          <w:spacing w:val="-2"/>
          <w:sz w:val="20"/>
          <w:rtl/>
        </w:rPr>
        <w:t>14</w:t>
      </w:r>
      <w:r w:rsidR="003E72B5" w:rsidRPr="002F25AA">
        <w:rPr>
          <w:rFonts w:hint="cs"/>
          <w:spacing w:val="-2"/>
          <w:sz w:val="20"/>
          <w:rtl/>
        </w:rPr>
        <w:t>)</w:t>
      </w:r>
      <w:r w:rsidR="003E72B5" w:rsidRPr="002F25AA">
        <w:rPr>
          <w:rFonts w:hint="cs"/>
          <w:spacing w:val="-2"/>
          <w:sz w:val="20"/>
          <w:rtl/>
        </w:rPr>
        <w:tab/>
      </w:r>
      <w:r w:rsidR="004E0A37" w:rsidRPr="002F25AA">
        <w:rPr>
          <w:rFonts w:hint="cs"/>
          <w:spacing w:val="-2"/>
          <w:sz w:val="20"/>
          <w:rtl/>
        </w:rPr>
        <w:t>تكرر اللجنة الإعراب عن بالغ قلقها إزاء عدم تحسين سلطات الدولة الطرف ظروف الاحتجاز في مراكز الشرطة والسجون. وتشعر اللجنة بقلق شديد إزاء معدلات اكتظاظ السجون التي تظل مفجعة، بالرغم من إدخال تحسينات على بعض المرافق. وتشعر اللجنة ببالغ</w:t>
      </w:r>
      <w:r w:rsidR="002F25AA">
        <w:rPr>
          <w:rFonts w:hint="eastAsia"/>
          <w:spacing w:val="-2"/>
          <w:sz w:val="20"/>
          <w:rtl/>
        </w:rPr>
        <w:t> </w:t>
      </w:r>
      <w:r w:rsidR="004E0A37" w:rsidRPr="002F25AA">
        <w:rPr>
          <w:rFonts w:hint="cs"/>
          <w:spacing w:val="-2"/>
          <w:sz w:val="20"/>
          <w:rtl/>
        </w:rPr>
        <w:t>القلق أيضاً إزاء الظروف المادية والصحية المزرية في العديد من مراكز الشرطة والسجون، وعدم كفاية الموظفين، بمن فيهم العاملون في القطاع الطبي، وعدم توفير الإمدادات</w:t>
      </w:r>
      <w:r w:rsidR="004E0A37" w:rsidRPr="004E0A37">
        <w:rPr>
          <w:rFonts w:hint="cs"/>
          <w:spacing w:val="0"/>
          <w:sz w:val="20"/>
          <w:rtl/>
        </w:rPr>
        <w:t xml:space="preserve"> الأساسية (المواد 2 و11 و16).</w:t>
      </w:r>
    </w:p>
    <w:p w:rsidR="004E0A37" w:rsidRPr="002F25AA" w:rsidRDefault="004E0A37" w:rsidP="004E0A37">
      <w:pPr>
        <w:pStyle w:val="SingleTxtGA"/>
        <w:jc w:val="lowKashida"/>
        <w:rPr>
          <w:rFonts w:hint="cs"/>
          <w:b/>
          <w:bCs/>
          <w:spacing w:val="0"/>
          <w:sz w:val="20"/>
          <w:rtl/>
        </w:rPr>
      </w:pPr>
      <w:r w:rsidRPr="002F25AA">
        <w:rPr>
          <w:rFonts w:hint="cs"/>
          <w:b/>
          <w:bCs/>
          <w:spacing w:val="0"/>
          <w:sz w:val="20"/>
          <w:rtl/>
        </w:rPr>
        <w:tab/>
        <w:t>ينبغي للدولة الطرف اتخاذ تدابير فورية وفعالة لضمان امتثال ظروف الاحتجاز السائدة في مراكز الشرطة وفي السجون وفي غيرها من مرافق الاحتجاز لقواعد الأمم المتحدة النموذجية الدنيا لمعاملة السجناء (قواعد بيجين). وينبغي للدولة الطرف أن تقوم بصفة خاصة بما يلي:</w:t>
      </w:r>
    </w:p>
    <w:p w:rsidR="004E0A37" w:rsidRPr="002F25AA" w:rsidRDefault="004E0A37" w:rsidP="00336665">
      <w:pPr>
        <w:pStyle w:val="SingleTxtGA"/>
        <w:spacing w:line="360" w:lineRule="exact"/>
        <w:jc w:val="lowKashida"/>
        <w:rPr>
          <w:rFonts w:hint="cs"/>
          <w:b/>
          <w:bCs/>
          <w:spacing w:val="0"/>
          <w:sz w:val="20"/>
          <w:rtl/>
        </w:rPr>
      </w:pPr>
      <w:r w:rsidRPr="002F25AA">
        <w:rPr>
          <w:rFonts w:hint="cs"/>
          <w:b/>
          <w:bCs/>
          <w:spacing w:val="0"/>
          <w:sz w:val="20"/>
          <w:rtl/>
        </w:rPr>
        <w:tab/>
        <w:t>(أ)</w:t>
      </w:r>
      <w:r w:rsidRPr="002F25AA">
        <w:rPr>
          <w:rFonts w:hint="cs"/>
          <w:b/>
          <w:bCs/>
          <w:spacing w:val="0"/>
          <w:sz w:val="20"/>
          <w:rtl/>
        </w:rPr>
        <w:tab/>
        <w:t>التخفيف من اكتظاظ السجون، بما في ذلك عن طريق تكثيف اللجوء إلى التدابير غير السالبة للحرية كبديل للأحكام بالسجن؛</w:t>
      </w:r>
    </w:p>
    <w:p w:rsidR="004E0A37" w:rsidRPr="002F25AA" w:rsidRDefault="004E0A37" w:rsidP="00336665">
      <w:pPr>
        <w:pStyle w:val="SingleTxtGA"/>
        <w:spacing w:line="360" w:lineRule="exact"/>
        <w:jc w:val="lowKashida"/>
        <w:rPr>
          <w:rFonts w:hint="cs"/>
          <w:b/>
          <w:bCs/>
          <w:spacing w:val="0"/>
          <w:sz w:val="20"/>
          <w:rtl/>
        </w:rPr>
      </w:pPr>
      <w:r w:rsidRPr="002F25AA">
        <w:rPr>
          <w:rFonts w:hint="cs"/>
          <w:b/>
          <w:bCs/>
          <w:spacing w:val="0"/>
          <w:sz w:val="20"/>
          <w:rtl/>
        </w:rPr>
        <w:tab/>
        <w:t>(ب)</w:t>
      </w:r>
      <w:r w:rsidRPr="002F25AA">
        <w:rPr>
          <w:rFonts w:hint="cs"/>
          <w:b/>
          <w:bCs/>
          <w:spacing w:val="0"/>
          <w:sz w:val="20"/>
          <w:rtl/>
        </w:rPr>
        <w:tab/>
        <w:t xml:space="preserve">اتخاذ تدابير فورية وفعالة لتحسين الظروف المادية والصحية في كل من مراكز الشرطة والسجون، تكفل توفير الإمدادات الأساسية، وانتداب عدد كافٍ من الموظفين المدربين، بمن فيهم </w:t>
      </w:r>
      <w:r w:rsidRPr="002F25AA">
        <w:rPr>
          <w:rFonts w:hint="cs"/>
          <w:b/>
          <w:bCs/>
          <w:spacing w:val="0"/>
          <w:sz w:val="20"/>
          <w:rtl/>
          <w:lang/>
        </w:rPr>
        <w:t>المشتغلون في المهن الطبية</w:t>
      </w:r>
      <w:r w:rsidRPr="002F25AA">
        <w:rPr>
          <w:rFonts w:hint="cs"/>
          <w:b/>
          <w:bCs/>
          <w:spacing w:val="0"/>
          <w:sz w:val="20"/>
          <w:rtl/>
        </w:rPr>
        <w:t>.</w:t>
      </w:r>
    </w:p>
    <w:p w:rsidR="004E0A37" w:rsidRPr="004E0A37" w:rsidRDefault="004E0A37" w:rsidP="00336665">
      <w:pPr>
        <w:pStyle w:val="H23GA"/>
        <w:spacing w:line="36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الفترات المطَّولة لاحتجاز الأحداث قبل المحاكمة</w:t>
      </w:r>
    </w:p>
    <w:p w:rsidR="004E0A37" w:rsidRPr="002F25AA" w:rsidRDefault="00AC7D2B" w:rsidP="00336665">
      <w:pPr>
        <w:pStyle w:val="SingleTxtGA"/>
        <w:spacing w:line="360" w:lineRule="exact"/>
        <w:jc w:val="lowKashida"/>
        <w:rPr>
          <w:rFonts w:hint="cs"/>
          <w:spacing w:val="-4"/>
          <w:sz w:val="20"/>
          <w:rtl/>
        </w:rPr>
      </w:pPr>
      <w:r w:rsidRPr="002F25AA">
        <w:rPr>
          <w:rFonts w:hint="cs"/>
          <w:spacing w:val="-4"/>
          <w:sz w:val="20"/>
          <w:rtl/>
        </w:rPr>
        <w:t>(</w:t>
      </w:r>
      <w:r w:rsidR="004E0A37" w:rsidRPr="002F25AA">
        <w:rPr>
          <w:rFonts w:hint="cs"/>
          <w:spacing w:val="-4"/>
          <w:sz w:val="20"/>
          <w:rtl/>
        </w:rPr>
        <w:t>15</w:t>
      </w:r>
      <w:r w:rsidR="003E72B5" w:rsidRPr="002F25AA">
        <w:rPr>
          <w:rFonts w:hint="cs"/>
          <w:spacing w:val="-4"/>
          <w:sz w:val="20"/>
          <w:rtl/>
        </w:rPr>
        <w:t>)</w:t>
      </w:r>
      <w:r w:rsidR="003E72B5" w:rsidRPr="002F25AA">
        <w:rPr>
          <w:rFonts w:hint="cs"/>
          <w:spacing w:val="-4"/>
          <w:sz w:val="20"/>
          <w:rtl/>
        </w:rPr>
        <w:tab/>
      </w:r>
      <w:r w:rsidR="004E0A37" w:rsidRPr="002F25AA">
        <w:rPr>
          <w:rFonts w:hint="cs"/>
          <w:spacing w:val="-4"/>
          <w:sz w:val="20"/>
          <w:rtl/>
        </w:rPr>
        <w:t>بينما تشير اللجنة إلى بعض المبادرات التشريعية التي اتخذتها الدولة الطرف مؤخراً، يساورها القلق إزاء الفترات الطويلة للاحتجاز قبل المحاكمة، بما في ذلك في حالة الأحداث، بسبب أوجه القصور التي يعاني منها نظام العدالة والتأخيرات الكبيرة في النظر في القضايا. ويساور اللجنة القلق أيضاً إزاء اللجوء المحدود إلى التدابير غير السالبة للحرية بالنسبة إلى</w:t>
      </w:r>
      <w:r w:rsidR="004E0A37" w:rsidRPr="002F25AA">
        <w:rPr>
          <w:rFonts w:hint="eastAsia"/>
          <w:spacing w:val="-4"/>
          <w:sz w:val="20"/>
          <w:rtl/>
        </w:rPr>
        <w:t> </w:t>
      </w:r>
      <w:r w:rsidR="004E0A37" w:rsidRPr="002F25AA">
        <w:rPr>
          <w:rFonts w:hint="cs"/>
          <w:spacing w:val="-4"/>
          <w:sz w:val="20"/>
          <w:rtl/>
        </w:rPr>
        <w:t>المحتجزين الأحداث. وتشعر اللجنة بالقلق أيضاً من عدم كفالة الفصل دوماً بين المحتجزين</w:t>
      </w:r>
      <w:r w:rsidR="004E0A37" w:rsidRPr="002F25AA">
        <w:rPr>
          <w:rFonts w:hint="eastAsia"/>
          <w:spacing w:val="-4"/>
          <w:sz w:val="20"/>
          <w:rtl/>
        </w:rPr>
        <w:t> </w:t>
      </w:r>
      <w:r w:rsidR="004E0A37" w:rsidRPr="002F25AA">
        <w:rPr>
          <w:rFonts w:hint="cs"/>
          <w:spacing w:val="-4"/>
          <w:sz w:val="20"/>
          <w:rtl/>
        </w:rPr>
        <w:t>الذين ينتظرون</w:t>
      </w:r>
      <w:r w:rsidR="00FE6DB5">
        <w:rPr>
          <w:rFonts w:hint="eastAsia"/>
          <w:spacing w:val="-4"/>
          <w:sz w:val="20"/>
          <w:rtl/>
        </w:rPr>
        <w:t> </w:t>
      </w:r>
      <w:r w:rsidR="004E0A37" w:rsidRPr="002F25AA">
        <w:rPr>
          <w:rFonts w:hint="cs"/>
          <w:spacing w:val="-4"/>
          <w:sz w:val="20"/>
          <w:rtl/>
        </w:rPr>
        <w:t>المحاكمة والمحتجزين المحكوم عليهم وكذلك بين الأحداث والبالغين (المادتان 2 و11).</w:t>
      </w:r>
    </w:p>
    <w:p w:rsidR="004E0A37" w:rsidRPr="002F25AA" w:rsidRDefault="004E0A37" w:rsidP="00336665">
      <w:pPr>
        <w:pStyle w:val="SingleTxtGA"/>
        <w:spacing w:line="360" w:lineRule="exact"/>
        <w:jc w:val="lowKashida"/>
        <w:rPr>
          <w:rFonts w:hint="cs"/>
          <w:b/>
          <w:bCs/>
          <w:spacing w:val="0"/>
          <w:sz w:val="20"/>
          <w:rtl/>
        </w:rPr>
      </w:pPr>
      <w:r w:rsidRPr="002F25AA">
        <w:rPr>
          <w:rFonts w:hint="cs"/>
          <w:b/>
          <w:bCs/>
          <w:spacing w:val="0"/>
          <w:sz w:val="20"/>
          <w:rtl/>
        </w:rPr>
        <w:tab/>
        <w:t xml:space="preserve">ينبغي للدولة الطرف أن تتخذ تدابير فعالة لتقليص طول فترة الاحتجاز قبل المحاكمة إلى حد كبير. ويجب أن تشمل هذه التدابير إصلاح النظام القضائي بصورة تضمن محاكمة المحتجزين الذين ينتظرون المحاكمة محاكمةً منصفة وسريعة، وكذلك تطبيق القيود البديلة للاحتجاز قبل المحاكمة. وفي حالة الأحداث، ينبغي ألا يُلجأ إلى الاحتجاز إلا في الظروف الاستثنائية أو كملاذ أخير، وعلى أسس يحددها القانون صراحة ولأقصر فترة زمنية ممكنة. وفضلاً عن ذلك، ينبغي للدولة الطرف أن تسهر على تحقيق الفصل التام بين المحتجزين الذين ينتظرون المحاكمة والمحتجزين المحكوم عليهم وبين الأحداث والبالغين في جميع مرافق الاحتجاز. </w:t>
      </w:r>
    </w:p>
    <w:p w:rsidR="004E0A37" w:rsidRPr="004E0A37" w:rsidRDefault="004E0A37" w:rsidP="00336665">
      <w:pPr>
        <w:pStyle w:val="H23GA"/>
        <w:spacing w:line="36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تفتيش التجويفات الجسدية</w:t>
      </w:r>
    </w:p>
    <w:p w:rsidR="004E0A37" w:rsidRPr="004E0A37" w:rsidRDefault="00AC7D2B" w:rsidP="00336665">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4E0A37" w:rsidRPr="004E0A37">
        <w:rPr>
          <w:rFonts w:hint="cs"/>
          <w:spacing w:val="0"/>
          <w:sz w:val="20"/>
          <w:rtl/>
        </w:rPr>
        <w:t>تشعر اللجنة ببالغ القلق إزاء استمرار اللجوء إلى تفتيش التجويفات الجسدية التقحمية، ولا سيما التفتيش، في مرافق الاحتجاز (المادتان 11 و16).</w:t>
      </w:r>
    </w:p>
    <w:p w:rsidR="004E0A37" w:rsidRPr="002F25AA" w:rsidRDefault="004E0A37" w:rsidP="00336665">
      <w:pPr>
        <w:pStyle w:val="SingleTxtGA"/>
        <w:spacing w:line="360" w:lineRule="exact"/>
        <w:jc w:val="lowKashida"/>
        <w:rPr>
          <w:rFonts w:hint="cs"/>
          <w:b/>
          <w:bCs/>
          <w:spacing w:val="0"/>
          <w:sz w:val="20"/>
          <w:rtl/>
        </w:rPr>
      </w:pPr>
      <w:r w:rsidRPr="002F25AA">
        <w:rPr>
          <w:rFonts w:hint="cs"/>
          <w:b/>
          <w:bCs/>
          <w:spacing w:val="0"/>
          <w:sz w:val="20"/>
          <w:rtl/>
        </w:rPr>
        <w:tab/>
        <w:t xml:space="preserve">ينبغي للدولة الطرف ممارسة رقابة صارمة على إجراءات التفتيش الجسدي، وبخاصة عمليات التفتيش الداخلي، وذلك بضمان أن تكون أقل تقحماً وأكثر احتراماً للسلامة الجسدية للأشخاص، وعلى أن تكون هذه العمليات في جميع الحالات مراعية لأحكام الاتفاقية. وتوصي اللجنة الدولة الطرف كذلك بالنظر في بدائل، مثل أساليب الكشف الإلكتروني. </w:t>
      </w:r>
    </w:p>
    <w:p w:rsidR="004E0A37" w:rsidRPr="004E0A37" w:rsidRDefault="004E0A37" w:rsidP="00336665">
      <w:pPr>
        <w:pStyle w:val="H23GA"/>
        <w:spacing w:line="360" w:lineRule="exac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 xml:space="preserve">الرصد المنهجي لمراكز الاحتجاز، والآلية الوقائية الوطنية </w:t>
      </w:r>
    </w:p>
    <w:p w:rsidR="004E0A37" w:rsidRPr="004E0A37" w:rsidRDefault="00AC7D2B" w:rsidP="00336665">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بينما تلاحظ اللجنة إسناد ولاية زيارة أماكن الاحتجاز لعدد من المنظمات، وكذلك السياسة التي أشار إليها الوفد والمتمثلة في السماح للمنظمات غير الحكومية وغيرها من الهيئات بزيارة السجون، تشعر بالقلق من أن هذه الزيارات تجري</w:t>
      </w:r>
      <w:r w:rsidR="003549AC">
        <w:rPr>
          <w:rFonts w:hint="cs"/>
          <w:spacing w:val="0"/>
          <w:sz w:val="20"/>
          <w:rtl/>
        </w:rPr>
        <w:t xml:space="preserve"> حالياً </w:t>
      </w:r>
      <w:r w:rsidR="004E0A37" w:rsidRPr="004E0A37">
        <w:rPr>
          <w:rFonts w:hint="cs"/>
          <w:spacing w:val="0"/>
          <w:sz w:val="20"/>
          <w:rtl/>
        </w:rPr>
        <w:t>في حالات معينة بسبب عدم وجود منظمة مستقلة مكلفة برصد جميع مرافق الاحتجاز بصورة منتظمة. بيد أن اللجنة تشير إلى أن الدولة الطرف وقعت على البروتوكول الاختياري للاتفاقية في 3 آذار/</w:t>
      </w:r>
      <w:r w:rsidR="00FE6DB5">
        <w:rPr>
          <w:rFonts w:hint="cs"/>
          <w:spacing w:val="0"/>
          <w:sz w:val="20"/>
          <w:rtl/>
        </w:rPr>
        <w:t xml:space="preserve"> </w:t>
      </w:r>
      <w:r w:rsidR="004E0A37" w:rsidRPr="004E0A37">
        <w:rPr>
          <w:rFonts w:hint="cs"/>
          <w:spacing w:val="0"/>
          <w:sz w:val="20"/>
          <w:rtl/>
        </w:rPr>
        <w:t>مارس 2011 وأن مشروع قانون عيّن مؤخراً أمين المظالم في اليونان بصفته الآلية الوقائية الوطنية (المادتان 2 و11).</w:t>
      </w:r>
    </w:p>
    <w:p w:rsidR="004E0A37" w:rsidRPr="00FE6DB5" w:rsidRDefault="004E0A37" w:rsidP="004E0A37">
      <w:pPr>
        <w:pStyle w:val="SingleTxtGA"/>
        <w:jc w:val="lowKashida"/>
        <w:rPr>
          <w:rFonts w:hint="cs"/>
          <w:b/>
          <w:bCs/>
          <w:spacing w:val="0"/>
          <w:sz w:val="20"/>
          <w:rtl/>
        </w:rPr>
      </w:pPr>
      <w:r w:rsidRPr="00FE6DB5">
        <w:rPr>
          <w:rFonts w:hint="cs"/>
          <w:b/>
          <w:bCs/>
          <w:spacing w:val="0"/>
          <w:sz w:val="20"/>
          <w:rtl/>
        </w:rPr>
        <w:tab/>
        <w:t xml:space="preserve">ينبغي للدولة الطرف أن تضمن إقامة نظام للرصد المنتظم لجميع مرافق الاحتجاز، بما فيها المرافق المعدّة للمهاجرين وملتمسي اللجوء. وفي هذا الصدد، توصي اللجنة الدولة الطرف بالتصديق على البروتوكول الاختياري في أسرع وقت ممكن وضمان تعيين آلية وقائية وطنية مكلفة بولاية تتسق مع أحكام البروتوكول الاختياري. وينبغي للدولة الطرف أيضاً أن تضمن توفير الموارد البشرية والمادية والمالية الكافية لهذه الآلية كيما تضطلع بولايتها على نحو مستقل وفعال في جميع أنحاء البلد. </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الاستفادة من إجراء منصف ونزيه للبت في طلبات اللجوء</w:t>
      </w:r>
      <w:r w:rsidRPr="004E0A37">
        <w:rPr>
          <w:rFonts w:hint="cs"/>
          <w:spacing w:val="0"/>
          <w:sz w:val="20"/>
          <w:rtl/>
          <w:lang/>
        </w:rPr>
        <w:t xml:space="preserve"> الفردية</w:t>
      </w:r>
    </w:p>
    <w:p w:rsidR="004E0A37" w:rsidRPr="004E0A37" w:rsidRDefault="00AC7D2B" w:rsidP="004930E5">
      <w:pPr>
        <w:pStyle w:val="SingleTxtGA"/>
        <w:jc w:val="lowKashida"/>
        <w:rPr>
          <w:rFonts w:hint="cs"/>
          <w:spacing w:val="0"/>
          <w:sz w:val="20"/>
          <w:rtl/>
        </w:rPr>
      </w:pPr>
      <w:r>
        <w:rPr>
          <w:rFonts w:hint="cs"/>
          <w:spacing w:val="0"/>
          <w:sz w:val="20"/>
          <w:rtl/>
        </w:rPr>
        <w:t>(</w:t>
      </w:r>
      <w:r w:rsidR="004E0A37" w:rsidRPr="004E0A37">
        <w:rPr>
          <w:rFonts w:hint="cs"/>
          <w:spacing w:val="0"/>
          <w:sz w:val="20"/>
          <w:rtl/>
        </w:rPr>
        <w:t>18</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تسلّم اللجنة بالتحديات والأعباء التي تواجهها الدولة الطرف بصفتها المعبر الرئيسي الذي يسلكه العديد من المهاجرين وملتمسي اللجوء إلى أوروبا بسبب موقعها الجغرافي. وترحب بالجهود التي تبذلها لتحسين </w:t>
      </w:r>
      <w:r w:rsidR="004E0A37" w:rsidRPr="004E0A37">
        <w:rPr>
          <w:rFonts w:hint="cs"/>
          <w:spacing w:val="0"/>
          <w:sz w:val="20"/>
          <w:rtl/>
          <w:lang/>
        </w:rPr>
        <w:t xml:space="preserve">نوعية </w:t>
      </w:r>
      <w:r w:rsidR="004E0A37" w:rsidRPr="004E0A37">
        <w:rPr>
          <w:rFonts w:hint="cs"/>
          <w:spacing w:val="0"/>
          <w:sz w:val="20"/>
          <w:rtl/>
        </w:rPr>
        <w:t xml:space="preserve">إجراء اللجوء </w:t>
      </w:r>
      <w:r w:rsidR="004E0A37" w:rsidRPr="004E0A37">
        <w:rPr>
          <w:rFonts w:hint="cs"/>
          <w:spacing w:val="0"/>
          <w:sz w:val="20"/>
          <w:rtl/>
          <w:lang/>
        </w:rPr>
        <w:t>وجاهزيته.</w:t>
      </w:r>
      <w:r w:rsidR="004E0A37" w:rsidRPr="004E0A37">
        <w:rPr>
          <w:rFonts w:hint="cs"/>
          <w:spacing w:val="0"/>
          <w:sz w:val="20"/>
          <w:rtl/>
        </w:rPr>
        <w:t xml:space="preserve"> بيد أن اللجنة تشير مع القلق إلى أن ملتمسي اللجوء يواجهون عوائق حقيقية تحول دون استفادتهم من إجراء اللجوء بسبب أوجه القصور الهيكلي وعدم تشغيل آليات الفرز في مراكز الحدود اليونانية وفي مقر "مديرية شرطة الأجانب في أتيكا" (بيترو رالّي). وتشمل هذه </w:t>
      </w:r>
      <w:r w:rsidR="004930E5">
        <w:rPr>
          <w:rFonts w:hint="cs"/>
          <w:spacing w:val="0"/>
          <w:sz w:val="20"/>
          <w:rtl/>
        </w:rPr>
        <w:t xml:space="preserve">العوائق </w:t>
      </w:r>
      <w:r w:rsidR="004E0A37" w:rsidRPr="004E0A37">
        <w:rPr>
          <w:rFonts w:hint="cs"/>
          <w:spacing w:val="0"/>
          <w:sz w:val="20"/>
          <w:rtl/>
        </w:rPr>
        <w:t xml:space="preserve">عدم وجود ضمانات إجرائية، بما في ذلك المساعدة القانونية المجانية والترجمة الشفوية والمعلومات الكافية، وكذلك شرط توفير عنوان إقامة دائم. وتشير اللجنة إلى أن الدولة الطرف قد تخلصت من بعض قضايا اللجوء والطعون المتراكمة، بما في ذلك عن طريق إنشاء لجان الطعون من الدرجة الثانية، غير أنها تأسف لأن آلاف القضايا لا تزال تنتظر اتخاذ إجراءات بشأنها. ولا يزال القلق يساورها أيضاً من انخفاض نسب الاعتراف باللاجئين (المادة 2). </w:t>
      </w:r>
    </w:p>
    <w:p w:rsidR="004E0A37" w:rsidRPr="00FE6DB5" w:rsidRDefault="004E0A37" w:rsidP="00804CC7">
      <w:pPr>
        <w:pStyle w:val="SingleTxtGA"/>
        <w:jc w:val="lowKashida"/>
        <w:rPr>
          <w:rFonts w:hint="cs"/>
          <w:b/>
          <w:bCs/>
          <w:spacing w:val="0"/>
          <w:sz w:val="20"/>
          <w:rtl/>
        </w:rPr>
      </w:pPr>
      <w:r w:rsidRPr="00FE6DB5">
        <w:rPr>
          <w:rFonts w:hint="cs"/>
          <w:b/>
          <w:bCs/>
          <w:spacing w:val="0"/>
          <w:sz w:val="20"/>
          <w:rtl/>
        </w:rPr>
        <w:tab/>
        <w:t xml:space="preserve">ينبغي للدولة الطرف أن تضمن وتيسّر بصورة كاملة إمكانية الاستفادة من إجراء </w:t>
      </w:r>
      <w:r w:rsidRPr="00FE6DB5">
        <w:rPr>
          <w:rFonts w:hint="cs"/>
          <w:b/>
          <w:bCs/>
          <w:spacing w:val="0"/>
          <w:sz w:val="20"/>
          <w:rtl/>
          <w:lang/>
        </w:rPr>
        <w:t xml:space="preserve">البت في </w:t>
      </w:r>
      <w:r w:rsidRPr="00FE6DB5">
        <w:rPr>
          <w:rFonts w:hint="cs"/>
          <w:b/>
          <w:bCs/>
          <w:spacing w:val="0"/>
          <w:sz w:val="20"/>
          <w:rtl/>
        </w:rPr>
        <w:t>طلبات اللجوء الفردية بصورة منصفة ونزيهة. وينبغي للدولة الطرف، لهذا الغرض، أن تكفل أيضاً التنفيذ الفعلي للضمانات الهامة لنوعية ونزاهة إجراء اللجوء على النحو الوارد في تشريع اللجوء المعتمد مؤخراً وأن تدعمه بالهياكل الأساسية المناسبة، بما</w:t>
      </w:r>
      <w:r w:rsidR="00804CC7">
        <w:rPr>
          <w:rFonts w:hint="eastAsia"/>
          <w:b/>
          <w:bCs/>
          <w:spacing w:val="0"/>
          <w:sz w:val="20"/>
          <w:rtl/>
        </w:rPr>
        <w:t> </w:t>
      </w:r>
      <w:r w:rsidRPr="00FE6DB5">
        <w:rPr>
          <w:rFonts w:hint="cs"/>
          <w:b/>
          <w:bCs/>
          <w:spacing w:val="0"/>
          <w:sz w:val="20"/>
          <w:rtl/>
        </w:rPr>
        <w:t>في ذلك عن طريق بدء تشغيل "دائرة اللجوء" فوراً و"دائرة الاستقبال" الأولية. وينبغي للدولة الطرف أيضاً أن تضمن توفير معلومات وافية باللغات المناسبة، وتقديم المساعدة القانونية وخدمات الترجمة الشفوية لتيسير تلك الاستفادة. وفضلاً عن ذلك، ينبغي للدولة الطرف أن تخصّص الموارد البشرية والمالية اللازمة لمعالجة التراكم الكبير في عدد الطعون في القرارات المتعلقة باللجوء.</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مبدأ عدم الإعادة القسرية</w:t>
      </w:r>
    </w:p>
    <w:p w:rsidR="004E0A37" w:rsidRPr="004E0A37" w:rsidRDefault="00AC7D2B" w:rsidP="00FE6DB5">
      <w:pPr>
        <w:pStyle w:val="SingleTxtGA"/>
        <w:jc w:val="lowKashida"/>
        <w:rPr>
          <w:rFonts w:hint="cs"/>
          <w:spacing w:val="0"/>
          <w:sz w:val="20"/>
          <w:rtl/>
        </w:rPr>
      </w:pPr>
      <w:r>
        <w:rPr>
          <w:rFonts w:hint="cs"/>
          <w:spacing w:val="0"/>
          <w:sz w:val="20"/>
          <w:rtl/>
        </w:rPr>
        <w:t>(</w:t>
      </w:r>
      <w:r w:rsidR="004E0A37" w:rsidRPr="004E0A37">
        <w:rPr>
          <w:rFonts w:hint="cs"/>
          <w:spacing w:val="0"/>
          <w:sz w:val="20"/>
          <w:rtl/>
        </w:rPr>
        <w:t>19</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تلاحظ اللجنة بقلق شديد أن الأفراد لا يتمتعون في كثير من الأحيان بالحماية الكاملة المنصوص عليها في المواد ذات الصلة من الاتفاقية </w:t>
      </w:r>
      <w:r w:rsidR="00F96B1E">
        <w:rPr>
          <w:rFonts w:hint="cs"/>
          <w:spacing w:val="0"/>
          <w:sz w:val="20"/>
          <w:rtl/>
        </w:rPr>
        <w:t>فيما </w:t>
      </w:r>
      <w:r w:rsidR="004E0A37" w:rsidRPr="004E0A37">
        <w:rPr>
          <w:rFonts w:hint="cs"/>
          <w:spacing w:val="0"/>
          <w:sz w:val="20"/>
          <w:rtl/>
        </w:rPr>
        <w:t>يتعلق بطردهم أو إعادتهم أو</w:t>
      </w:r>
      <w:r w:rsidR="00FE6DB5">
        <w:rPr>
          <w:rFonts w:hint="eastAsia"/>
          <w:spacing w:val="0"/>
          <w:sz w:val="20"/>
          <w:rtl/>
        </w:rPr>
        <w:t> </w:t>
      </w:r>
      <w:r w:rsidR="004E0A37" w:rsidRPr="004E0A37">
        <w:rPr>
          <w:rFonts w:hint="cs"/>
          <w:spacing w:val="0"/>
          <w:sz w:val="20"/>
          <w:rtl/>
        </w:rPr>
        <w:t>تسليمهم إلى بلد آخر. وتكرّر اللجنة الإعراب عن قلقها إزاء تنفيذ الدولة الطرف إجراءات الإعادة القسرية، بما في ذلك عن طريق التسليم المباشر وتطبيق اتفاق إعادة القبول مع تركيا. وتشعر بالقلق أيضاً من أن الأشخاص الذين يتعرضون للإعادة القسرية لا يتمتعون بالضمانات الإجرائية الفعالة للوصول إلى سُبُل الانتصاف القانونية أو إلى إجراء اللجوء وعدم حصولهم على المساعدة القانونية المجانية أو المعلومات الفعَّالة المقدَّمة عن طريق خدمات الترجمة الشفوية. إذ إنه، يتعذّر بذلك على هؤلاء الأشخاص الطعن بفعالية في أوامر التسليم و/أو ما ينجرّ عنها من احتجاز. وتشعر اللجنة بالقلق من أن هؤلاء الأشخاص يتعرضون بشدة لخطر الإعادة القسرية، بما في ذلك عمليات الإعادة القسرية المتسلسلة (المادة 3).</w:t>
      </w:r>
    </w:p>
    <w:p w:rsidR="004E0A37" w:rsidRPr="00FE6DB5" w:rsidRDefault="004E0A37" w:rsidP="004E0A37">
      <w:pPr>
        <w:pStyle w:val="SingleTxtGA"/>
        <w:jc w:val="lowKashida"/>
        <w:rPr>
          <w:rFonts w:hint="cs"/>
          <w:b/>
          <w:bCs/>
          <w:spacing w:val="0"/>
          <w:sz w:val="20"/>
          <w:rtl/>
        </w:rPr>
      </w:pPr>
      <w:r w:rsidRPr="00FE6DB5">
        <w:rPr>
          <w:rFonts w:hint="cs"/>
          <w:b/>
          <w:bCs/>
          <w:spacing w:val="0"/>
          <w:sz w:val="20"/>
          <w:rtl/>
        </w:rPr>
        <w:tab/>
        <w:t xml:space="preserve">ينبغي للدولة الطرف أن تكفَل الحماية الكاملة من الإعادة القسرية بوضع الضمانات اللازمة لإجراءات الإعادة القسرية وبالتالي أن تضمن في جميع الأوقات عدم إعادة شخص في حاجة إلى حماية دولية إلى بلد يخشى أن يتعرض فيه الاضطهاد أو لأعمال التعذيب أو المعاملة القاسية أو العقوبة اللاإنسانية أو المهينة، بما في ذلك الإعادة القسرية المتسلسلة. ولتحقيق هذه الغاية، ينبغي للدولة الطرف أن تُعيد النظر في محتوى اتفاق السماح بالعودة المُبرم مع تركيا لضمان امتثاله لالتزامات الدولة الطرف في مجال القانون الدولي. وينبغي لها أيضاً أن تضمن أن يكون للطعون في أوامر الإعادة أو الطرد أثر آلي وفوري مُوقف لتنفيذ الأوامر. </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الاحتجاز الإداري لملتمسي اللجوء والمهاجرين</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20</w:t>
      </w:r>
      <w:r w:rsidR="003E72B5">
        <w:rPr>
          <w:rFonts w:hint="cs"/>
          <w:spacing w:val="0"/>
          <w:sz w:val="20"/>
          <w:rtl/>
        </w:rPr>
        <w:t>)</w:t>
      </w:r>
      <w:r w:rsidR="003E72B5">
        <w:rPr>
          <w:rFonts w:hint="cs"/>
          <w:spacing w:val="0"/>
          <w:sz w:val="20"/>
          <w:rtl/>
        </w:rPr>
        <w:tab/>
      </w:r>
      <w:r w:rsidR="004E0A37" w:rsidRPr="004E0A37">
        <w:rPr>
          <w:rFonts w:hint="cs"/>
          <w:spacing w:val="0"/>
          <w:sz w:val="20"/>
          <w:rtl/>
        </w:rPr>
        <w:t>تُعرب اللجنة عن بالغ القلق إزاء سياسة الاحتجاز الحالية التي تُطبَّق على ملتمسي اللجوء والمهاجرين غير الشرعيين، بما في ذلك إزاء التقارير التي تفيد بتعرُّض ملتمسي اللجوء في المراكز الحدودية بصورة منتظمة للاحتجاز الإداري لفترات طويلة. وتعتبر مدة الاحتجاز، بالاقتران مع ظروف الاحتجاز المزرية، معاملة لا إنسانية أو مهينة وتشكِّل عائقاً خطيراً يحول دون تقديم ملتمسي اللجوء طلب اللجوء. وفضلاً عن ذلك، يساور اللجنة بالغ القلق إزاء الظروف المروعة في مرافق الاحتجاز، بما في ذلك مراكز الشرطة ومراكز حرس الحدود النظامية في جميع أنحاء البلد، وبخاصة في منطقة إيفروس، بسبب الاكتظاظ الشديد وعدم كفاية الموظفين، وعدم وجود إمدادات أساسية، فضلاً عن عدم كفاية الدعم الطبي والنفسي والاجتماعي والقانوني (المواد 2 و11 و16).</w:t>
      </w:r>
    </w:p>
    <w:p w:rsidR="004E0A37" w:rsidRPr="00FE6DB5" w:rsidRDefault="004E0A37" w:rsidP="004E0A37">
      <w:pPr>
        <w:pStyle w:val="SingleTxtGA"/>
        <w:jc w:val="lowKashida"/>
        <w:rPr>
          <w:rFonts w:hint="cs"/>
          <w:b/>
          <w:bCs/>
          <w:spacing w:val="0"/>
          <w:sz w:val="20"/>
          <w:rtl/>
        </w:rPr>
      </w:pPr>
      <w:r w:rsidRPr="00FE6DB5">
        <w:rPr>
          <w:rFonts w:hint="cs"/>
          <w:b/>
          <w:bCs/>
          <w:spacing w:val="0"/>
          <w:sz w:val="20"/>
          <w:rtl/>
        </w:rPr>
        <w:tab/>
        <w:t>ينبغي للدولة الطرف أن تضمَن عدم تطبيق الاحتجاز الإداري على ملتمسي اللجوء بحجة الدخول غير الشرعي إلى البلد. ولا ينبغي تحديد</w:t>
      </w:r>
      <w:r w:rsidR="00804CC7">
        <w:rPr>
          <w:rFonts w:hint="cs"/>
          <w:b/>
          <w:bCs/>
          <w:spacing w:val="0"/>
          <w:sz w:val="20"/>
          <w:rtl/>
        </w:rPr>
        <w:t xml:space="preserve">اً </w:t>
      </w:r>
      <w:r w:rsidRPr="00FE6DB5">
        <w:rPr>
          <w:rFonts w:hint="cs"/>
          <w:b/>
          <w:bCs/>
          <w:spacing w:val="0"/>
          <w:sz w:val="20"/>
          <w:rtl/>
        </w:rPr>
        <w:t xml:space="preserve">اللجوء إلى احتجاز ملتمسي اللجوء إلا في الظروف الاستثنائية أو كملاذ أخير، وأن يكون ذلك على أُسس يحددها القانون صراحة ولأقصر فترة زمنية ممكنة. ولتحقيق هذه الغاية، ينبغي النظر على النحو الواجب في بدائل الاحتجاز واستنفادها ولا سيما </w:t>
      </w:r>
      <w:r w:rsidR="00F96B1E" w:rsidRPr="00FE6DB5">
        <w:rPr>
          <w:rFonts w:hint="cs"/>
          <w:b/>
          <w:bCs/>
          <w:spacing w:val="0"/>
          <w:sz w:val="20"/>
          <w:rtl/>
        </w:rPr>
        <w:t>فيما </w:t>
      </w:r>
      <w:r w:rsidRPr="00FE6DB5">
        <w:rPr>
          <w:rFonts w:hint="cs"/>
          <w:b/>
          <w:bCs/>
          <w:spacing w:val="0"/>
          <w:sz w:val="20"/>
          <w:rtl/>
        </w:rPr>
        <w:t>يتعلق بالفئات الضعيفة.</w:t>
      </w:r>
    </w:p>
    <w:p w:rsidR="004E0A37" w:rsidRPr="00FE6DB5" w:rsidRDefault="004E0A37" w:rsidP="004E0A37">
      <w:pPr>
        <w:pStyle w:val="SingleTxtGA"/>
        <w:jc w:val="lowKashida"/>
        <w:rPr>
          <w:rFonts w:hint="cs"/>
          <w:b/>
          <w:bCs/>
          <w:spacing w:val="0"/>
          <w:sz w:val="20"/>
          <w:rtl/>
        </w:rPr>
      </w:pPr>
      <w:r w:rsidRPr="00FE6DB5">
        <w:rPr>
          <w:rFonts w:hint="cs"/>
          <w:b/>
          <w:bCs/>
          <w:spacing w:val="0"/>
          <w:sz w:val="20"/>
          <w:rtl/>
        </w:rPr>
        <w:tab/>
        <w:t xml:space="preserve">وينبغي للدولة الطرف أن تتخذ تدابير عاجلة وفعالة تكفل تحسين ظروف الاحتجاز الإداري عن طريق التخفيف من الاكتظاظ، وأن تعيِّن ما يكفي من الموظفين المدرَّبين، وتوفّر الإمدادات الأساسية مثل الرعاية والعلاج الطبيين، وكميات الغذاء والمياه </w:t>
      </w:r>
      <w:r w:rsidRPr="00FE6DB5">
        <w:rPr>
          <w:rFonts w:hint="cs"/>
          <w:b/>
          <w:bCs/>
          <w:spacing w:val="0"/>
          <w:sz w:val="20"/>
          <w:rtl/>
          <w:lang/>
        </w:rPr>
        <w:t xml:space="preserve">وأدوات النظافة الصحية الشخصية </w:t>
      </w:r>
      <w:r w:rsidRPr="00FE6DB5">
        <w:rPr>
          <w:rFonts w:hint="cs"/>
          <w:b/>
          <w:bCs/>
          <w:spacing w:val="0"/>
          <w:sz w:val="20"/>
          <w:rtl/>
        </w:rPr>
        <w:t>المناسبة في أي مرفق من المرافق المستخدَمة لاحتجاز الرعايا الأجانب.</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الاحتجاز لأسباب تتعلق بالصحة العامة</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21</w:t>
      </w:r>
      <w:r w:rsidR="003E72B5">
        <w:rPr>
          <w:rFonts w:hint="cs"/>
          <w:spacing w:val="0"/>
          <w:sz w:val="20"/>
          <w:rtl/>
        </w:rPr>
        <w:t>)</w:t>
      </w:r>
      <w:r w:rsidR="003E72B5">
        <w:rPr>
          <w:rFonts w:hint="cs"/>
          <w:spacing w:val="0"/>
          <w:sz w:val="20"/>
          <w:rtl/>
        </w:rPr>
        <w:tab/>
      </w:r>
      <w:r w:rsidR="004E0A37" w:rsidRPr="004E0A37">
        <w:rPr>
          <w:rFonts w:hint="cs"/>
          <w:spacing w:val="0"/>
          <w:sz w:val="20"/>
          <w:rtl/>
        </w:rPr>
        <w:t>تُعرب اللجنة عن بالغ القلق إزاء التعديل التشريعي الذي اعتُمِد مؤخراً والذي يمكِّن من احتجاز مهاجر أو ملتمس لجوء إذا كان يمثّل خطراً على الصحة العامة أو كان يُعاني من مرضٍ مُعدٍ أو ينتمي إلى فئة من الفئات التي تتعرَّض للأمراض المُعدية (المادتان 2 و16).</w:t>
      </w:r>
    </w:p>
    <w:p w:rsidR="004E0A37" w:rsidRPr="00FE6DB5" w:rsidRDefault="004E0A37" w:rsidP="004E0A37">
      <w:pPr>
        <w:pStyle w:val="SingleTxtGA"/>
        <w:jc w:val="lowKashida"/>
        <w:rPr>
          <w:rFonts w:hint="cs"/>
          <w:b/>
          <w:bCs/>
          <w:spacing w:val="0"/>
          <w:sz w:val="20"/>
          <w:rtl/>
        </w:rPr>
      </w:pPr>
      <w:r w:rsidRPr="00FE6DB5">
        <w:rPr>
          <w:rFonts w:hint="cs"/>
          <w:b/>
          <w:bCs/>
          <w:spacing w:val="0"/>
          <w:sz w:val="20"/>
          <w:rtl/>
        </w:rPr>
        <w:tab/>
        <w:t>تحث اللجنة الدولة الطرف على إلغاء الحكم الذي يجيز احتجاز المهاجرين وملتمسي اللجوء لأسباب تتعلق بالصحة العامة، والاستعاضة عن الاحتجاز لهذه الأسباب بالتدابير الطبية المناسبة.</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ملتمسو اللجوء القصَّر غير المصحوبين</w:t>
      </w:r>
    </w:p>
    <w:p w:rsidR="004E0A37" w:rsidRPr="00FE6DB5" w:rsidRDefault="00AC7D2B" w:rsidP="004E0A37">
      <w:pPr>
        <w:pStyle w:val="SingleTxtGA"/>
        <w:jc w:val="lowKashida"/>
        <w:rPr>
          <w:rFonts w:hint="cs"/>
          <w:spacing w:val="-2"/>
          <w:sz w:val="20"/>
          <w:rtl/>
        </w:rPr>
      </w:pPr>
      <w:r w:rsidRPr="00FE6DB5">
        <w:rPr>
          <w:rFonts w:hint="cs"/>
          <w:spacing w:val="-2"/>
          <w:sz w:val="20"/>
          <w:rtl/>
        </w:rPr>
        <w:t>(</w:t>
      </w:r>
      <w:r w:rsidR="004E0A37" w:rsidRPr="00FE6DB5">
        <w:rPr>
          <w:rFonts w:hint="cs"/>
          <w:spacing w:val="-2"/>
          <w:sz w:val="20"/>
          <w:rtl/>
        </w:rPr>
        <w:t>22</w:t>
      </w:r>
      <w:r w:rsidR="003E72B5" w:rsidRPr="00FE6DB5">
        <w:rPr>
          <w:rFonts w:hint="cs"/>
          <w:spacing w:val="-2"/>
          <w:sz w:val="20"/>
          <w:rtl/>
        </w:rPr>
        <w:t>)</w:t>
      </w:r>
      <w:r w:rsidR="003E72B5" w:rsidRPr="00FE6DB5">
        <w:rPr>
          <w:rFonts w:hint="cs"/>
          <w:spacing w:val="-2"/>
          <w:sz w:val="20"/>
          <w:rtl/>
        </w:rPr>
        <w:tab/>
      </w:r>
      <w:r w:rsidR="004E0A37" w:rsidRPr="00FE6DB5">
        <w:rPr>
          <w:rFonts w:hint="cs"/>
          <w:spacing w:val="-2"/>
          <w:sz w:val="20"/>
          <w:rtl/>
        </w:rPr>
        <w:t>يساور اللجنة بالغ القلق من أن ملتمسي اللجوء القصَّر غير المصحوبين أو المنفصلين عن والديهم كثيراً ما لا يُسجَّلون على النحو الواجب ويُحتجَزون بصورة منتظمة، وكثيراً ما</w:t>
      </w:r>
      <w:r w:rsidR="004E0A37" w:rsidRPr="00FE6DB5">
        <w:rPr>
          <w:rFonts w:hint="eastAsia"/>
          <w:spacing w:val="-2"/>
          <w:sz w:val="20"/>
          <w:rtl/>
        </w:rPr>
        <w:t> </w:t>
      </w:r>
      <w:r w:rsidR="004E0A37" w:rsidRPr="00FE6DB5">
        <w:rPr>
          <w:rFonts w:hint="cs"/>
          <w:spacing w:val="-2"/>
          <w:sz w:val="20"/>
          <w:rtl/>
        </w:rPr>
        <w:t>يكون ذلك في مرافق احتجاز المهاجرين المشتَرَكة مع البالغين. ويساور اللجنة القلق أيضاً من أن المرسوم الرئاسي الانتقالي 114/2010</w:t>
      </w:r>
      <w:r w:rsidR="00335AC0" w:rsidRPr="00FE6DB5">
        <w:rPr>
          <w:rFonts w:hint="cs"/>
          <w:spacing w:val="-2"/>
          <w:sz w:val="20"/>
          <w:rtl/>
        </w:rPr>
        <w:t xml:space="preserve"> لم </w:t>
      </w:r>
      <w:r w:rsidR="004E0A37" w:rsidRPr="00FE6DB5">
        <w:rPr>
          <w:rFonts w:hint="cs"/>
          <w:spacing w:val="-2"/>
          <w:sz w:val="20"/>
          <w:rtl/>
        </w:rPr>
        <w:t>يتضمن حظراً قانونياً على احتجاز هؤلاء القصَّر وأن العدد المحدود من مراكز الاستقبال الخاصة بالقصَّر غير المصحوبين يُسهم في طول مدة احتجازهم. وتشعر بالقلق كذلك من تشرُّد العديد من القصَّر غير المصحوبين وعيشهم في الشوارع حيث كثيراً ما يتعرّضون لمزيد من مخاطر الاستغلال والعنف (المواد 2 و11 و16).</w:t>
      </w:r>
    </w:p>
    <w:p w:rsidR="004E0A37" w:rsidRPr="00FE6DB5" w:rsidRDefault="004E0A37" w:rsidP="004E0A37">
      <w:pPr>
        <w:pStyle w:val="SingleTxtGA"/>
        <w:jc w:val="lowKashida"/>
        <w:rPr>
          <w:rFonts w:hint="cs"/>
          <w:b/>
          <w:bCs/>
          <w:spacing w:val="-2"/>
          <w:sz w:val="20"/>
          <w:rtl/>
        </w:rPr>
      </w:pPr>
      <w:r w:rsidRPr="00FE6DB5">
        <w:rPr>
          <w:rFonts w:hint="cs"/>
          <w:b/>
          <w:bCs/>
          <w:spacing w:val="-2"/>
          <w:sz w:val="20"/>
          <w:rtl/>
        </w:rPr>
        <w:tab/>
        <w:t>ينبغي للدولة الطرف أن تكثّف جهودها لتوفير الحماية والرعاية المناسبتين للقصَّر غير المصحوبين أو المنفصلين عن والديهم الوافدين على البلد، بما في ذلك عن طريق تعديل تشريعها فوراً لحظر احتجازهم. وتؤيد اللجنة توصية المقرر الخاص المعني بمسألة التعذيب والتي تقضي بوجوب تعاون وزارة الصحة ووزارة الداخلية عن كثَب على ضمان إيداع هؤلاء القصَّر في مراكز استقبال مناسبة ومنفصلة. وفضلاً عن ذلك، ينبغي اتخاذ تدابير خاصة لمنع تشرُّد أفراد هذه الفئة وتمكينهم من الدعم الاجتماعي وخدمات التعليم.</w:t>
      </w:r>
    </w:p>
    <w:p w:rsidR="004E0A37" w:rsidRPr="004E0A37" w:rsidRDefault="004E0A37" w:rsidP="00336665">
      <w:pPr>
        <w:pStyle w:val="H23GA"/>
        <w:keepNext/>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العنف ضد المرأة</w:t>
      </w:r>
    </w:p>
    <w:p w:rsidR="004E0A37" w:rsidRPr="004E0A37" w:rsidRDefault="00AC7D2B" w:rsidP="00FE6DB5">
      <w:pPr>
        <w:pStyle w:val="SingleTxtGA"/>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4E0A37" w:rsidRPr="004E0A37">
        <w:rPr>
          <w:rFonts w:hint="cs"/>
          <w:spacing w:val="0"/>
          <w:sz w:val="20"/>
          <w:rtl/>
        </w:rPr>
        <w:t>تحيط اللجنة</w:t>
      </w:r>
      <w:r w:rsidR="003833F8">
        <w:rPr>
          <w:rFonts w:hint="cs"/>
          <w:spacing w:val="0"/>
          <w:sz w:val="20"/>
          <w:rtl/>
        </w:rPr>
        <w:t xml:space="preserve"> علماً </w:t>
      </w:r>
      <w:r w:rsidR="004E0A37" w:rsidRPr="004E0A37">
        <w:rPr>
          <w:rFonts w:hint="cs"/>
          <w:spacing w:val="0"/>
          <w:sz w:val="20"/>
          <w:rtl/>
        </w:rPr>
        <w:t>بالتدابير التشريعية والتدابير الأخرى التي اعتمدتها الدولة الطرف لمكافحة العنف ضد النساء، بما في ذلك سنّ القانون 3500/2006 لمكافحة العنف المنزلي، واعتماد خطة عمل وطنية بشأن العنف ضد المرأة (2009-2013). بيد أن اللجنة لا تزال تشعر بالقلق إزاء استمرار العنف ضد النساء والأطفال، بما في ذلك العنف المنزلي والعنف الجنسي، وإزاء العدد المحدود من حالات ملاحقة الجُناة وإدانتهم. وبينما تُشير اللجنة إلى إنشاء الدولة الطرف "لجنة دائمة" تعكف على صياغة مشروع قانون يتعلق بمكافحة العنف القائم على نوع الجنس ضد المرأة، يساورها القلق من أن القانون الجنائي للدولة الطرف لا يذكر صراحة الاغتصاب وغيره من أشكال العنف الجنسي ضمن أشكال التعذيب (المواد</w:t>
      </w:r>
      <w:r w:rsidR="00FE6DB5">
        <w:rPr>
          <w:rFonts w:hint="eastAsia"/>
          <w:spacing w:val="0"/>
          <w:sz w:val="20"/>
          <w:rtl/>
        </w:rPr>
        <w:t> </w:t>
      </w:r>
      <w:r w:rsidR="004E0A37" w:rsidRPr="004E0A37">
        <w:rPr>
          <w:rFonts w:hint="cs"/>
          <w:spacing w:val="0"/>
          <w:sz w:val="20"/>
          <w:rtl/>
        </w:rPr>
        <w:t>2 و12 و16).</w:t>
      </w:r>
    </w:p>
    <w:p w:rsidR="004E0A37" w:rsidRPr="0079579E" w:rsidRDefault="004E0A37" w:rsidP="0079579E">
      <w:pPr>
        <w:pStyle w:val="SingleTxtGA"/>
        <w:jc w:val="lowKashida"/>
        <w:rPr>
          <w:rFonts w:hint="cs"/>
          <w:b/>
          <w:bCs/>
          <w:spacing w:val="0"/>
          <w:sz w:val="20"/>
          <w:rtl/>
        </w:rPr>
      </w:pPr>
      <w:r w:rsidRPr="0079579E">
        <w:rPr>
          <w:rFonts w:hint="cs"/>
          <w:b/>
          <w:bCs/>
          <w:spacing w:val="0"/>
          <w:sz w:val="20"/>
          <w:rtl/>
        </w:rPr>
        <w:tab/>
        <w:t>ينبغي للدولة الطرف أن تتخذ تدابير حمائية فورية وفعالة لمنع جميع أشكال العنف ضد النساء والفتيات ومكافحتها، ولا سيما العنف المنزلي والعنف الجنسي، بما في ذلك عن طريق التحقيق في هذه الجرائم والمعاقبة عليها. وفي هذا السياق، ينبغي تعديل المادة</w:t>
      </w:r>
      <w:r w:rsidR="0079579E">
        <w:rPr>
          <w:rFonts w:hint="eastAsia"/>
          <w:b/>
          <w:bCs/>
          <w:spacing w:val="0"/>
          <w:sz w:val="20"/>
          <w:rtl/>
        </w:rPr>
        <w:t> </w:t>
      </w:r>
      <w:r w:rsidRPr="0079579E">
        <w:rPr>
          <w:rFonts w:hint="cs"/>
          <w:b/>
          <w:bCs/>
          <w:spacing w:val="0"/>
          <w:sz w:val="20"/>
          <w:rtl/>
        </w:rPr>
        <w:t>137 ألف من القانون الجنائي في الدولة الطرف بحيث تذكر صراحة الاغتصاب وغيره من أشكال العنف الجنسي ضمن أشكال التعذيب بدل اعتباره كما هو الأمر</w:t>
      </w:r>
      <w:r w:rsidR="003549AC" w:rsidRPr="0079579E">
        <w:rPr>
          <w:rFonts w:hint="cs"/>
          <w:b/>
          <w:bCs/>
          <w:spacing w:val="0"/>
          <w:sz w:val="20"/>
          <w:rtl/>
        </w:rPr>
        <w:t xml:space="preserve"> حالياً </w:t>
      </w:r>
      <w:r w:rsidRPr="0079579E">
        <w:rPr>
          <w:rFonts w:hint="cs"/>
          <w:b/>
          <w:bCs/>
          <w:spacing w:val="0"/>
          <w:sz w:val="20"/>
          <w:rtl/>
        </w:rPr>
        <w:t>مجرد "انتهاك خطير للكرامة الجنسية". وينبغي للدولة الطرف أن تنظّم حملات توعية واسعة النطاق ودورات تدريبية تتناول منع العنف ضد النساء والفتيات موجهة إلى الموظفين الذين لهم اتصال مباشر بالضحايا (الموظفون المكلَّفون بإنفاذ القانون والقضاة والمحامون والمرشدون الاجتماعيون وغيرهم) وإلى عامة الجمهور.</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الاتجار بالأشخاص</w:t>
      </w:r>
    </w:p>
    <w:p w:rsidR="004E0A37" w:rsidRPr="004E0A37" w:rsidRDefault="00AC7D2B" w:rsidP="00C13FCF">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24</w:t>
      </w:r>
      <w:r w:rsidR="003E72B5">
        <w:rPr>
          <w:rFonts w:hint="cs"/>
          <w:spacing w:val="0"/>
          <w:sz w:val="20"/>
          <w:rtl/>
        </w:rPr>
        <w:t>)</w:t>
      </w:r>
      <w:r w:rsidR="003E72B5">
        <w:rPr>
          <w:rFonts w:hint="cs"/>
          <w:spacing w:val="0"/>
          <w:sz w:val="20"/>
          <w:rtl/>
        </w:rPr>
        <w:tab/>
      </w:r>
      <w:r w:rsidR="004E0A37" w:rsidRPr="004E0A37">
        <w:rPr>
          <w:spacing w:val="0"/>
          <w:sz w:val="20"/>
          <w:rtl/>
        </w:rPr>
        <w:t>تقر اللجنة بالجهود التي تبذلها الدولة الطرف في التصدي للاتجار بالأشخاص</w:t>
      </w:r>
      <w:r w:rsidR="004E0A37" w:rsidRPr="004E0A37">
        <w:rPr>
          <w:rFonts w:hint="cs"/>
          <w:spacing w:val="0"/>
          <w:sz w:val="20"/>
          <w:rtl/>
        </w:rPr>
        <w:t xml:space="preserve">. بيد أنها تعرب عن القلق إزاء استمرار ورود تقارير عن الاتجار بالنساء والأطفال لأغراض الاستغلال الجنسي ولمآرب أخرى ترمي إلى استغلالهم. ويساورها القلق أيضاً إزاء العدد القليل جداً من حالات ملاحقة مرتكبي هذه الجرائم وإدانتهم. وتشعر اللجنة بالقلق كذلك </w:t>
      </w:r>
      <w:r w:rsidR="004E0A37" w:rsidRPr="00C13FCF">
        <w:rPr>
          <w:rFonts w:hint="cs"/>
          <w:spacing w:val="-4"/>
          <w:sz w:val="20"/>
          <w:rtl/>
        </w:rPr>
        <w:t>من أن العوائق التي تحول دون وصول ضحايا هذه الجرائم إلى العدالة تشمل عدم كفاية معرفة القضاة والمدعين العامين بأحكام بروتوكول باليرمو وعدم توفير خدمات الترجمة الشفوية إلى الضحايا أثناء المحاكمات المتعلقة بالاتجار. وتأسف اللجنة لعدم كفاية خدمات الدعم الصحي المتاحة لضحايا الاتجار باعتبار ذلك جزءاً من محاولة إعادة تأهيلهم (المواد 2 و10 و12 و16).</w:t>
      </w:r>
      <w:r w:rsidR="004E0A37" w:rsidRPr="004E0A37">
        <w:rPr>
          <w:rFonts w:hint="cs"/>
          <w:spacing w:val="0"/>
          <w:sz w:val="20"/>
          <w:rtl/>
        </w:rPr>
        <w:t xml:space="preserve"> </w:t>
      </w:r>
    </w:p>
    <w:p w:rsidR="004E0A37" w:rsidRPr="00C13FCF" w:rsidRDefault="004E0A37" w:rsidP="00C13FCF">
      <w:pPr>
        <w:pStyle w:val="SingleTxtGA"/>
        <w:spacing w:line="360" w:lineRule="exact"/>
        <w:jc w:val="lowKashida"/>
        <w:rPr>
          <w:rFonts w:hint="cs"/>
          <w:b/>
          <w:bCs/>
          <w:spacing w:val="0"/>
          <w:sz w:val="20"/>
          <w:rtl/>
        </w:rPr>
      </w:pPr>
      <w:r w:rsidRPr="00C13FCF">
        <w:rPr>
          <w:rFonts w:hint="cs"/>
          <w:b/>
          <w:bCs/>
          <w:spacing w:val="0"/>
          <w:sz w:val="20"/>
          <w:rtl/>
        </w:rPr>
        <w:tab/>
      </w:r>
      <w:r w:rsidRPr="00C13FCF">
        <w:rPr>
          <w:b/>
          <w:bCs/>
          <w:spacing w:val="0"/>
          <w:sz w:val="20"/>
          <w:rtl/>
        </w:rPr>
        <w:t xml:space="preserve">ينبغي للدولة الطرف أن تكفل إجراء تحقيق فوري </w:t>
      </w:r>
      <w:r w:rsidRPr="00C13FCF">
        <w:rPr>
          <w:rFonts w:hint="cs"/>
          <w:b/>
          <w:bCs/>
          <w:spacing w:val="0"/>
          <w:sz w:val="20"/>
          <w:rtl/>
        </w:rPr>
        <w:t xml:space="preserve">ونزيه </w:t>
      </w:r>
      <w:r w:rsidRPr="00C13FCF">
        <w:rPr>
          <w:b/>
          <w:bCs/>
          <w:spacing w:val="0"/>
          <w:sz w:val="20"/>
          <w:rtl/>
        </w:rPr>
        <w:t>وشامل</w:t>
      </w:r>
      <w:r w:rsidRPr="00C13FCF">
        <w:rPr>
          <w:rFonts w:hint="cs"/>
          <w:b/>
          <w:bCs/>
          <w:spacing w:val="0"/>
          <w:sz w:val="20"/>
          <w:rtl/>
        </w:rPr>
        <w:t xml:space="preserve"> وفعال</w:t>
      </w:r>
      <w:r w:rsidRPr="00C13FCF">
        <w:rPr>
          <w:b/>
          <w:bCs/>
          <w:spacing w:val="0"/>
          <w:sz w:val="20"/>
          <w:rtl/>
        </w:rPr>
        <w:t xml:space="preserve"> في جميع الادعاءات المتعلقة بالاتجار بالأشخاص ومحاكمة الفاعلين ومعاقبتهم على ارتكابهم </w:t>
      </w:r>
      <w:r w:rsidRPr="00C13FCF">
        <w:rPr>
          <w:rFonts w:hint="cs"/>
          <w:b/>
          <w:bCs/>
          <w:spacing w:val="0"/>
          <w:sz w:val="20"/>
          <w:rtl/>
        </w:rPr>
        <w:t>هذه الجرائم</w:t>
      </w:r>
      <w:r w:rsidRPr="00C13FCF">
        <w:rPr>
          <w:b/>
          <w:bCs/>
          <w:spacing w:val="0"/>
          <w:sz w:val="20"/>
          <w:rtl/>
        </w:rPr>
        <w:t xml:space="preserve">. </w:t>
      </w:r>
      <w:r w:rsidRPr="00C13FCF">
        <w:rPr>
          <w:rFonts w:hint="cs"/>
          <w:b/>
          <w:bCs/>
          <w:spacing w:val="0"/>
          <w:sz w:val="20"/>
          <w:rtl/>
        </w:rPr>
        <w:t xml:space="preserve">وينبغي للدولة الطرف أيضاً أن تضمن تمكين الضحايا من المساعدة القانونية والاجتماعية الفعالة ومن خدمات الترجمة الشفوية عند إجراء المحاكمات. </w:t>
      </w:r>
      <w:r w:rsidRPr="00C13FCF">
        <w:rPr>
          <w:b/>
          <w:bCs/>
          <w:spacing w:val="0"/>
          <w:sz w:val="20"/>
          <w:rtl/>
        </w:rPr>
        <w:t>وينبغي للدولة الطرف أن تواصل تنظيم حملات توعية في جميع أنحاء البلد، و</w:t>
      </w:r>
      <w:r w:rsidRPr="00C13FCF">
        <w:rPr>
          <w:rFonts w:hint="cs"/>
          <w:b/>
          <w:bCs/>
          <w:spacing w:val="0"/>
          <w:sz w:val="20"/>
          <w:rtl/>
        </w:rPr>
        <w:t xml:space="preserve">أن توفر </w:t>
      </w:r>
      <w:r w:rsidRPr="00C13FCF">
        <w:rPr>
          <w:b/>
          <w:bCs/>
          <w:spacing w:val="0"/>
          <w:sz w:val="20"/>
          <w:rtl/>
        </w:rPr>
        <w:t>برامج مناسبة لمساعدة ضحايا الاتجار وتمكينهم من التعافي وإعادة إدماجهم</w:t>
      </w:r>
      <w:r w:rsidRPr="00C13FCF">
        <w:rPr>
          <w:rFonts w:hint="cs"/>
          <w:b/>
          <w:bCs/>
          <w:spacing w:val="0"/>
          <w:sz w:val="20"/>
          <w:rtl/>
        </w:rPr>
        <w:t xml:space="preserve">. وفضلاً عن ذلك، ينبغي للدولة الطرف أن </w:t>
      </w:r>
      <w:r w:rsidRPr="00C13FCF">
        <w:rPr>
          <w:b/>
          <w:bCs/>
          <w:spacing w:val="0"/>
          <w:sz w:val="20"/>
          <w:rtl/>
        </w:rPr>
        <w:t>توف</w:t>
      </w:r>
      <w:r w:rsidRPr="00C13FCF">
        <w:rPr>
          <w:rFonts w:hint="cs"/>
          <w:b/>
          <w:bCs/>
          <w:spacing w:val="0"/>
          <w:sz w:val="20"/>
          <w:rtl/>
        </w:rPr>
        <w:t>ّ</w:t>
      </w:r>
      <w:r w:rsidRPr="00C13FCF">
        <w:rPr>
          <w:b/>
          <w:bCs/>
          <w:spacing w:val="0"/>
          <w:sz w:val="20"/>
          <w:rtl/>
        </w:rPr>
        <w:t xml:space="preserve">ر التدريب </w:t>
      </w:r>
      <w:r w:rsidRPr="00C13FCF">
        <w:rPr>
          <w:rFonts w:hint="cs"/>
          <w:b/>
          <w:bCs/>
          <w:spacing w:val="0"/>
          <w:sz w:val="20"/>
          <w:rtl/>
        </w:rPr>
        <w:t>ل</w:t>
      </w:r>
      <w:r w:rsidRPr="00C13FCF">
        <w:rPr>
          <w:b/>
          <w:bCs/>
          <w:spacing w:val="0"/>
          <w:sz w:val="20"/>
          <w:rtl/>
        </w:rPr>
        <w:t>لموظفي</w:t>
      </w:r>
      <w:r w:rsidRPr="00C13FCF">
        <w:rPr>
          <w:rFonts w:hint="cs"/>
          <w:b/>
          <w:bCs/>
          <w:spacing w:val="0"/>
          <w:sz w:val="20"/>
          <w:rtl/>
        </w:rPr>
        <w:t>ن المكلفين</w:t>
      </w:r>
      <w:r w:rsidRPr="00C13FCF">
        <w:rPr>
          <w:b/>
          <w:bCs/>
          <w:spacing w:val="0"/>
          <w:sz w:val="20"/>
          <w:rtl/>
        </w:rPr>
        <w:t xml:space="preserve"> </w:t>
      </w:r>
      <w:r w:rsidRPr="00C13FCF">
        <w:rPr>
          <w:rFonts w:hint="cs"/>
          <w:b/>
          <w:bCs/>
          <w:spacing w:val="0"/>
          <w:sz w:val="20"/>
          <w:rtl/>
        </w:rPr>
        <w:t>ب</w:t>
      </w:r>
      <w:r w:rsidRPr="00C13FCF">
        <w:rPr>
          <w:b/>
          <w:bCs/>
          <w:spacing w:val="0"/>
          <w:sz w:val="20"/>
          <w:rtl/>
        </w:rPr>
        <w:t>إنفاذ القوانين والقضاة والمدعين العامين وموظفي الهجرة وشرطة الحدود بشأن أسباب وعواقب وانعكاسات الاتجار وغيره من أشكال الاستغلال</w:t>
      </w:r>
      <w:r w:rsidRPr="00C13FCF">
        <w:rPr>
          <w:rFonts w:hint="cs"/>
          <w:b/>
          <w:bCs/>
          <w:spacing w:val="0"/>
          <w:sz w:val="20"/>
          <w:rtl/>
        </w:rPr>
        <w:t>، فضلاً عن أحكام بروتوكول باليرمو.</w:t>
      </w:r>
    </w:p>
    <w:p w:rsidR="004E0A37" w:rsidRPr="004E0A37" w:rsidRDefault="004E0A37" w:rsidP="004E0A37">
      <w:pPr>
        <w:pStyle w:val="H23GA"/>
        <w:jc w:val="lowKashida"/>
        <w:rPr>
          <w:rFonts w:hint="cs"/>
          <w:spacing w:val="0"/>
          <w:sz w:val="20"/>
          <w:rtl/>
        </w:rPr>
      </w:pPr>
      <w:r w:rsidRPr="004E0A37">
        <w:rPr>
          <w:rFonts w:hint="cs"/>
          <w:spacing w:val="0"/>
          <w:sz w:val="20"/>
          <w:rtl/>
        </w:rPr>
        <w:tab/>
      </w:r>
      <w:r w:rsidRPr="004E0A37">
        <w:rPr>
          <w:rFonts w:hint="cs"/>
          <w:spacing w:val="0"/>
          <w:sz w:val="20"/>
          <w:rtl/>
        </w:rPr>
        <w:tab/>
        <w:t>التدريب</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rFonts w:hint="cs"/>
          <w:spacing w:val="0"/>
          <w:sz w:val="20"/>
          <w:rtl/>
        </w:rPr>
        <w:t>25</w:t>
      </w:r>
      <w:r w:rsidR="003E72B5">
        <w:rPr>
          <w:rFonts w:hint="cs"/>
          <w:spacing w:val="0"/>
          <w:sz w:val="20"/>
          <w:rtl/>
        </w:rPr>
        <w:t>)</w:t>
      </w:r>
      <w:r w:rsidR="003E72B5">
        <w:rPr>
          <w:rFonts w:hint="cs"/>
          <w:spacing w:val="0"/>
          <w:sz w:val="20"/>
          <w:rtl/>
        </w:rPr>
        <w:tab/>
      </w:r>
      <w:r w:rsidR="004E0A37" w:rsidRPr="004E0A37">
        <w:rPr>
          <w:spacing w:val="0"/>
          <w:sz w:val="20"/>
          <w:rtl/>
        </w:rPr>
        <w:t>تحيط اللجنة</w:t>
      </w:r>
      <w:r w:rsidR="003833F8">
        <w:rPr>
          <w:spacing w:val="0"/>
          <w:sz w:val="20"/>
          <w:rtl/>
        </w:rPr>
        <w:t xml:space="preserve"> علماً </w:t>
      </w:r>
      <w:r w:rsidR="004E0A37" w:rsidRPr="004E0A37">
        <w:rPr>
          <w:spacing w:val="0"/>
          <w:sz w:val="20"/>
          <w:rtl/>
        </w:rPr>
        <w:t>بالمعلومات الواردة في تقرير الدولة الطرف</w:t>
      </w:r>
      <w:r w:rsidR="004E0A37" w:rsidRPr="004E0A37">
        <w:rPr>
          <w:rFonts w:hint="cs"/>
          <w:spacing w:val="0"/>
          <w:sz w:val="20"/>
          <w:rtl/>
        </w:rPr>
        <w:t xml:space="preserve"> والمعلومات التي قدمها الوفد</w:t>
      </w:r>
      <w:r w:rsidR="004E0A37" w:rsidRPr="004E0A37">
        <w:rPr>
          <w:spacing w:val="0"/>
          <w:sz w:val="20"/>
          <w:rtl/>
        </w:rPr>
        <w:t xml:space="preserve"> بشأن برامج تدريب </w:t>
      </w:r>
      <w:r w:rsidR="004E0A37" w:rsidRPr="004E0A37">
        <w:rPr>
          <w:rFonts w:hint="cs"/>
          <w:spacing w:val="0"/>
          <w:sz w:val="20"/>
          <w:rtl/>
        </w:rPr>
        <w:t>ال</w:t>
      </w:r>
      <w:r w:rsidR="004E0A37" w:rsidRPr="004E0A37">
        <w:rPr>
          <w:spacing w:val="0"/>
          <w:sz w:val="20"/>
          <w:rtl/>
        </w:rPr>
        <w:t>موظف</w:t>
      </w:r>
      <w:r w:rsidR="004E0A37" w:rsidRPr="004E0A37">
        <w:rPr>
          <w:rFonts w:hint="cs"/>
          <w:spacing w:val="0"/>
          <w:sz w:val="20"/>
          <w:rtl/>
        </w:rPr>
        <w:t>ين المكلفين</w:t>
      </w:r>
      <w:r w:rsidR="004E0A37" w:rsidRPr="004E0A37">
        <w:rPr>
          <w:spacing w:val="0"/>
          <w:sz w:val="20"/>
          <w:rtl/>
        </w:rPr>
        <w:t xml:space="preserve"> </w:t>
      </w:r>
      <w:r w:rsidR="004E0A37" w:rsidRPr="004E0A37">
        <w:rPr>
          <w:rFonts w:hint="cs"/>
          <w:spacing w:val="0"/>
          <w:sz w:val="20"/>
          <w:rtl/>
        </w:rPr>
        <w:t>ب</w:t>
      </w:r>
      <w:r w:rsidR="004E0A37" w:rsidRPr="004E0A37">
        <w:rPr>
          <w:spacing w:val="0"/>
          <w:sz w:val="20"/>
          <w:rtl/>
        </w:rPr>
        <w:t xml:space="preserve">إنفاذ القوانين، لكنها تعرب عن أسفها لندرة المعلومات المتاحة عن تقييم البرامج المذكورة ومدى فعاليتها في الحد من حالات التعذيب </w:t>
      </w:r>
      <w:r w:rsidR="004E0A37" w:rsidRPr="004E0A37">
        <w:rPr>
          <w:rFonts w:hint="cs"/>
          <w:spacing w:val="0"/>
          <w:sz w:val="20"/>
          <w:rtl/>
        </w:rPr>
        <w:t>وإساءة</w:t>
      </w:r>
      <w:r w:rsidR="004E0A37" w:rsidRPr="004E0A37">
        <w:rPr>
          <w:spacing w:val="0"/>
          <w:sz w:val="20"/>
          <w:rtl/>
        </w:rPr>
        <w:t xml:space="preserve"> المعاملة. وتعرب عن أسفها أيضاً </w:t>
      </w:r>
      <w:r w:rsidR="004E0A37" w:rsidRPr="004E0A37">
        <w:rPr>
          <w:rFonts w:hint="cs"/>
          <w:spacing w:val="0"/>
          <w:sz w:val="20"/>
          <w:rtl/>
        </w:rPr>
        <w:t>ل</w:t>
      </w:r>
      <w:r w:rsidR="004E0A37" w:rsidRPr="004E0A37">
        <w:rPr>
          <w:spacing w:val="0"/>
          <w:sz w:val="20"/>
          <w:rtl/>
        </w:rPr>
        <w:t xml:space="preserve">عدم وجود معلومات عن التدريب على دليل التقصي والتوثيق الفعالين للتعذيب وغيره من ضروب المعاملة أو العقوبة القاسية أو اللاإنسانية أو المهينة (برتوكول </w:t>
      </w:r>
      <w:r w:rsidR="002C1EA7">
        <w:rPr>
          <w:rFonts w:hint="cs"/>
          <w:spacing w:val="0"/>
          <w:sz w:val="20"/>
          <w:rtl/>
        </w:rPr>
        <w:t>اسطنبول</w:t>
      </w:r>
      <w:r w:rsidR="004E0A37" w:rsidRPr="004E0A37">
        <w:rPr>
          <w:spacing w:val="0"/>
          <w:sz w:val="20"/>
          <w:rtl/>
        </w:rPr>
        <w:t>) لفائدة الموظفين المكلفين بالتحقيق في حالات التعذيب</w:t>
      </w:r>
      <w:r w:rsidR="004E0A37" w:rsidRPr="004E0A37">
        <w:rPr>
          <w:rFonts w:hint="cs"/>
          <w:spacing w:val="0"/>
          <w:sz w:val="20"/>
          <w:rtl/>
        </w:rPr>
        <w:t xml:space="preserve"> وإساءة المعاملة</w:t>
      </w:r>
      <w:r w:rsidR="004E0A37" w:rsidRPr="004E0A37">
        <w:rPr>
          <w:spacing w:val="0"/>
          <w:sz w:val="20"/>
          <w:rtl/>
        </w:rPr>
        <w:t xml:space="preserve"> وتحديدها (المادة 10).</w:t>
      </w:r>
    </w:p>
    <w:p w:rsidR="004E0A37" w:rsidRPr="00C13FCF" w:rsidRDefault="004E0A37" w:rsidP="004E0A37">
      <w:pPr>
        <w:pStyle w:val="SingleTxtGA"/>
        <w:jc w:val="lowKashida"/>
        <w:rPr>
          <w:rFonts w:hint="cs"/>
          <w:b/>
          <w:bCs/>
          <w:spacing w:val="0"/>
          <w:sz w:val="20"/>
          <w:rtl/>
        </w:rPr>
      </w:pPr>
      <w:r w:rsidRPr="00C13FCF">
        <w:rPr>
          <w:rFonts w:hint="cs"/>
          <w:b/>
          <w:bCs/>
          <w:spacing w:val="0"/>
          <w:sz w:val="20"/>
          <w:rtl/>
        </w:rPr>
        <w:tab/>
      </w:r>
      <w:r w:rsidRPr="00C13FCF">
        <w:rPr>
          <w:b/>
          <w:bCs/>
          <w:spacing w:val="0"/>
          <w:sz w:val="20"/>
          <w:rtl/>
        </w:rPr>
        <w:t xml:space="preserve">ينبغي للدولة الطرف </w:t>
      </w:r>
      <w:r w:rsidRPr="00C13FCF">
        <w:rPr>
          <w:rFonts w:hint="cs"/>
          <w:b/>
          <w:bCs/>
          <w:spacing w:val="0"/>
          <w:sz w:val="20"/>
          <w:rtl/>
        </w:rPr>
        <w:t>أ</w:t>
      </w:r>
      <w:r w:rsidRPr="00C13FCF">
        <w:rPr>
          <w:b/>
          <w:bCs/>
          <w:spacing w:val="0"/>
          <w:sz w:val="20"/>
          <w:rtl/>
        </w:rPr>
        <w:t xml:space="preserve">ن تواصل </w:t>
      </w:r>
      <w:r w:rsidRPr="00C13FCF">
        <w:rPr>
          <w:rFonts w:hint="cs"/>
          <w:b/>
          <w:bCs/>
          <w:spacing w:val="0"/>
          <w:sz w:val="20"/>
          <w:rtl/>
        </w:rPr>
        <w:t xml:space="preserve">إتاحة </w:t>
      </w:r>
      <w:r w:rsidRPr="00C13FCF">
        <w:rPr>
          <w:b/>
          <w:bCs/>
          <w:spacing w:val="0"/>
          <w:sz w:val="20"/>
          <w:rtl/>
        </w:rPr>
        <w:t xml:space="preserve">برامج التدريب التي تهدف إلى ضمان </w:t>
      </w:r>
      <w:r w:rsidRPr="00C13FCF">
        <w:rPr>
          <w:rFonts w:hint="cs"/>
          <w:b/>
          <w:bCs/>
          <w:spacing w:val="0"/>
          <w:sz w:val="20"/>
          <w:rtl/>
        </w:rPr>
        <w:t xml:space="preserve">إلمام </w:t>
      </w:r>
      <w:r w:rsidRPr="00C13FCF">
        <w:rPr>
          <w:b/>
          <w:bCs/>
          <w:spacing w:val="0"/>
          <w:sz w:val="20"/>
          <w:rtl/>
        </w:rPr>
        <w:t>كافة الموظفين العموميين، ولا سيما أفراد الشرطة وغيرهم من الموظفين المكلفين بإنفاذ القوانين، إ</w:t>
      </w:r>
      <w:r w:rsidRPr="00C13FCF">
        <w:rPr>
          <w:rFonts w:hint="cs"/>
          <w:b/>
          <w:bCs/>
          <w:spacing w:val="0"/>
          <w:sz w:val="20"/>
          <w:rtl/>
        </w:rPr>
        <w:t xml:space="preserve">لماماً </w:t>
      </w:r>
      <w:r w:rsidRPr="00C13FCF">
        <w:rPr>
          <w:b/>
          <w:bCs/>
          <w:spacing w:val="0"/>
          <w:sz w:val="20"/>
          <w:rtl/>
        </w:rPr>
        <w:t>تاما</w:t>
      </w:r>
      <w:r w:rsidRPr="00C13FCF">
        <w:rPr>
          <w:rFonts w:hint="cs"/>
          <w:b/>
          <w:bCs/>
          <w:spacing w:val="0"/>
          <w:sz w:val="20"/>
          <w:rtl/>
        </w:rPr>
        <w:t>ً</w:t>
      </w:r>
      <w:r w:rsidRPr="00C13FCF">
        <w:rPr>
          <w:b/>
          <w:bCs/>
          <w:spacing w:val="0"/>
          <w:sz w:val="20"/>
          <w:rtl/>
        </w:rPr>
        <w:t xml:space="preserve"> </w:t>
      </w:r>
      <w:r w:rsidRPr="00C13FCF">
        <w:rPr>
          <w:rFonts w:hint="cs"/>
          <w:b/>
          <w:bCs/>
          <w:spacing w:val="0"/>
          <w:sz w:val="20"/>
          <w:rtl/>
        </w:rPr>
        <w:t>ب</w:t>
      </w:r>
      <w:r w:rsidRPr="00C13FCF">
        <w:rPr>
          <w:b/>
          <w:bCs/>
          <w:spacing w:val="0"/>
          <w:sz w:val="20"/>
          <w:rtl/>
        </w:rPr>
        <w:t>أحكام الاتفاقية</w:t>
      </w:r>
      <w:r w:rsidRPr="00C13FCF">
        <w:rPr>
          <w:rFonts w:hint="cs"/>
          <w:b/>
          <w:bCs/>
          <w:spacing w:val="0"/>
          <w:sz w:val="20"/>
          <w:rtl/>
        </w:rPr>
        <w:t>. و</w:t>
      </w:r>
      <w:r w:rsidRPr="00C13FCF">
        <w:rPr>
          <w:b/>
          <w:bCs/>
          <w:spacing w:val="0"/>
          <w:sz w:val="20"/>
          <w:rtl/>
        </w:rPr>
        <w:t>ينبغي للدولة الطرف</w:t>
      </w:r>
      <w:r w:rsidRPr="00C13FCF">
        <w:rPr>
          <w:rFonts w:hint="cs"/>
          <w:b/>
          <w:bCs/>
          <w:spacing w:val="0"/>
          <w:sz w:val="20"/>
          <w:rtl/>
        </w:rPr>
        <w:t xml:space="preserve"> أيضاً</w:t>
      </w:r>
      <w:r w:rsidRPr="00C13FCF">
        <w:rPr>
          <w:b/>
          <w:bCs/>
          <w:spacing w:val="0"/>
          <w:sz w:val="20"/>
          <w:rtl/>
        </w:rPr>
        <w:t xml:space="preserve"> </w:t>
      </w:r>
      <w:r w:rsidRPr="00C13FCF">
        <w:rPr>
          <w:rFonts w:hint="cs"/>
          <w:b/>
          <w:bCs/>
          <w:spacing w:val="0"/>
          <w:sz w:val="20"/>
          <w:rtl/>
        </w:rPr>
        <w:t>أ</w:t>
      </w:r>
      <w:r w:rsidRPr="00C13FCF">
        <w:rPr>
          <w:b/>
          <w:bCs/>
          <w:spacing w:val="0"/>
          <w:sz w:val="20"/>
          <w:rtl/>
        </w:rPr>
        <w:t>ن</w:t>
      </w:r>
      <w:r w:rsidRPr="00C13FCF">
        <w:rPr>
          <w:rFonts w:hint="cs"/>
          <w:b/>
          <w:bCs/>
          <w:spacing w:val="0"/>
          <w:sz w:val="20"/>
          <w:rtl/>
        </w:rPr>
        <w:t xml:space="preserve"> تضمن إتاحة التدريب المتخصص على الالتزامات الناشئة عن القانون الدولي للاجئين وحقوق الإنسان لفائدة السلطات المكلفة بعمليات مراقبة الحدود، وكذلك الممارسة اللاحقة للرقابة الداخلية المنتظمة. </w:t>
      </w:r>
    </w:p>
    <w:p w:rsidR="004E0A37" w:rsidRPr="00C13FCF" w:rsidRDefault="004E0A37" w:rsidP="004E0A37">
      <w:pPr>
        <w:pStyle w:val="SingleTxtGA"/>
        <w:jc w:val="lowKashida"/>
        <w:rPr>
          <w:rFonts w:hint="cs"/>
          <w:b/>
          <w:bCs/>
          <w:spacing w:val="0"/>
          <w:sz w:val="20"/>
          <w:rtl/>
        </w:rPr>
      </w:pPr>
      <w:r w:rsidRPr="00C13FCF">
        <w:rPr>
          <w:rFonts w:hint="cs"/>
          <w:b/>
          <w:bCs/>
          <w:spacing w:val="0"/>
          <w:sz w:val="20"/>
          <w:rtl/>
        </w:rPr>
        <w:tab/>
        <w:t xml:space="preserve">وفضلاً عن ذلك، </w:t>
      </w:r>
      <w:r w:rsidRPr="00C13FCF">
        <w:rPr>
          <w:b/>
          <w:bCs/>
          <w:spacing w:val="0"/>
          <w:sz w:val="20"/>
          <w:rtl/>
        </w:rPr>
        <w:t>ينبغي للدولة الطرف أن تضع خطة لتدريب جميع الموظفين المكلفين بالتحقيق في حالات التعذيب وتحديدها، بمن فيهم محامو المساعدة القانونية والأطباء والأطباء النفس</w:t>
      </w:r>
      <w:r w:rsidRPr="00C13FCF">
        <w:rPr>
          <w:rFonts w:hint="cs"/>
          <w:b/>
          <w:bCs/>
          <w:spacing w:val="0"/>
          <w:sz w:val="20"/>
          <w:rtl/>
        </w:rPr>
        <w:t>انيو</w:t>
      </w:r>
      <w:r w:rsidRPr="00C13FCF">
        <w:rPr>
          <w:b/>
          <w:bCs/>
          <w:spacing w:val="0"/>
          <w:sz w:val="20"/>
          <w:rtl/>
        </w:rPr>
        <w:t xml:space="preserve">ن، من أجل التعريف بمضمون بروتوكول </w:t>
      </w:r>
      <w:r w:rsidR="002C1EA7" w:rsidRPr="00C13FCF">
        <w:rPr>
          <w:rFonts w:hint="cs"/>
          <w:b/>
          <w:bCs/>
          <w:spacing w:val="0"/>
          <w:sz w:val="20"/>
          <w:rtl/>
        </w:rPr>
        <w:t>اسطنبول</w:t>
      </w:r>
      <w:r w:rsidRPr="00C13FCF">
        <w:rPr>
          <w:b/>
          <w:bCs/>
          <w:spacing w:val="0"/>
          <w:sz w:val="20"/>
          <w:rtl/>
        </w:rPr>
        <w:t xml:space="preserve"> وتطبيقه عمليا</w:t>
      </w:r>
      <w:r w:rsidRPr="00C13FCF">
        <w:rPr>
          <w:rFonts w:hint="cs"/>
          <w:b/>
          <w:bCs/>
          <w:spacing w:val="0"/>
          <w:sz w:val="20"/>
          <w:rtl/>
        </w:rPr>
        <w:t>ً</w:t>
      </w:r>
      <w:r w:rsidRPr="00C13FCF">
        <w:rPr>
          <w:b/>
          <w:bCs/>
          <w:spacing w:val="0"/>
          <w:sz w:val="20"/>
          <w:rtl/>
        </w:rPr>
        <w:t>.</w:t>
      </w:r>
      <w:r w:rsidRPr="00C13FCF">
        <w:rPr>
          <w:rFonts w:hint="cs"/>
          <w:b/>
          <w:bCs/>
          <w:spacing w:val="0"/>
          <w:sz w:val="20"/>
          <w:rtl/>
        </w:rPr>
        <w:t xml:space="preserve"> وينبغي لها كذلك </w:t>
      </w:r>
      <w:r w:rsidRPr="00C13FCF">
        <w:rPr>
          <w:b/>
          <w:bCs/>
          <w:spacing w:val="0"/>
          <w:sz w:val="20"/>
          <w:rtl/>
        </w:rPr>
        <w:t>أن تقيّم مدى كفاءة البرامج التدريبية والتثقيفية ومدى تأثيرها في الحد من حالات التعذيب وإساءة المعاملة</w:t>
      </w:r>
      <w:r w:rsidRPr="00C13FCF">
        <w:rPr>
          <w:rFonts w:hint="cs"/>
          <w:b/>
          <w:bCs/>
          <w:spacing w:val="0"/>
          <w:sz w:val="20"/>
          <w:rtl/>
        </w:rPr>
        <w:t xml:space="preserve">. </w:t>
      </w:r>
    </w:p>
    <w:p w:rsidR="004E0A37" w:rsidRPr="004E0A37" w:rsidRDefault="004E0A37" w:rsidP="004E0A37">
      <w:pPr>
        <w:pStyle w:val="H23GA"/>
        <w:jc w:val="lowKashida"/>
        <w:rPr>
          <w:spacing w:val="0"/>
          <w:sz w:val="20"/>
          <w:rtl/>
        </w:rPr>
      </w:pPr>
      <w:r w:rsidRPr="004E0A37">
        <w:rPr>
          <w:spacing w:val="0"/>
          <w:sz w:val="20"/>
          <w:rtl/>
        </w:rPr>
        <w:tab/>
      </w:r>
      <w:r w:rsidRPr="004E0A37">
        <w:rPr>
          <w:spacing w:val="0"/>
          <w:sz w:val="20"/>
          <w:rtl/>
        </w:rPr>
        <w:tab/>
        <w:t>جبر الضرر، بما في ذلك التعويض وإعادة التأهيل</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26</w:t>
      </w:r>
      <w:r w:rsidR="003E72B5">
        <w:rPr>
          <w:rFonts w:hint="cs"/>
          <w:spacing w:val="0"/>
          <w:sz w:val="20"/>
          <w:rtl/>
        </w:rPr>
        <w:t>)</w:t>
      </w:r>
      <w:r w:rsidR="003E72B5">
        <w:rPr>
          <w:rFonts w:hint="cs"/>
          <w:spacing w:val="0"/>
          <w:sz w:val="20"/>
          <w:rtl/>
        </w:rPr>
        <w:tab/>
      </w:r>
      <w:r w:rsidR="004E0A37" w:rsidRPr="004E0A37">
        <w:rPr>
          <w:rFonts w:hint="cs"/>
          <w:spacing w:val="0"/>
          <w:sz w:val="20"/>
          <w:rtl/>
        </w:rPr>
        <w:t>تكرر اللجنة الإعراب عن قلقها إزاء عدم كفاية المعلومات المتوفرة عن جبر الضرر وتقديم تعويضات منصفة ومناسبة، بما في ذلك إعادة تأهيل ضحايا التعذيب أو من تقع عليهم إعالتهم،</w:t>
      </w:r>
      <w:r w:rsidR="00B345DB">
        <w:rPr>
          <w:rFonts w:hint="cs"/>
          <w:spacing w:val="0"/>
          <w:sz w:val="20"/>
          <w:rtl/>
        </w:rPr>
        <w:t xml:space="preserve"> وفقاً </w:t>
      </w:r>
      <w:r w:rsidR="004E0A37" w:rsidRPr="004E0A37">
        <w:rPr>
          <w:rFonts w:hint="cs"/>
          <w:spacing w:val="0"/>
          <w:sz w:val="20"/>
          <w:rtl/>
        </w:rPr>
        <w:t xml:space="preserve">للمادة 14 من الاتفاقية. وتشعر اللجنة بالقلق أيضاً إزاء التأخير الهام في </w:t>
      </w:r>
      <w:r w:rsidR="004E0A37" w:rsidRPr="004E0A37">
        <w:rPr>
          <w:rFonts w:hint="cs"/>
          <w:spacing w:val="0"/>
          <w:sz w:val="20"/>
          <w:rtl/>
          <w:lang/>
        </w:rPr>
        <w:t xml:space="preserve">جبر ضرر ضحايا العنف الذي حددته الهيئات الإشرافية والمحاكم الدولية (المادة 14). </w:t>
      </w:r>
    </w:p>
    <w:p w:rsidR="004E0A37" w:rsidRPr="00C13FCF" w:rsidRDefault="004E0A37" w:rsidP="00C13FCF">
      <w:pPr>
        <w:pStyle w:val="SingleTxtGA"/>
        <w:spacing w:line="360" w:lineRule="exact"/>
        <w:jc w:val="lowKashida"/>
        <w:rPr>
          <w:rFonts w:hint="cs"/>
          <w:b/>
          <w:bCs/>
          <w:spacing w:val="0"/>
          <w:sz w:val="20"/>
          <w:rtl/>
          <w:lang/>
        </w:rPr>
      </w:pPr>
      <w:r w:rsidRPr="00C13FCF">
        <w:rPr>
          <w:rFonts w:hint="cs"/>
          <w:b/>
          <w:bCs/>
          <w:spacing w:val="0"/>
          <w:sz w:val="20"/>
          <w:rtl/>
        </w:rPr>
        <w:tab/>
        <w:t xml:space="preserve">ينبغي للدولة الطرف أن تضاعف جهودها </w:t>
      </w:r>
      <w:r w:rsidR="00F96B1E" w:rsidRPr="00C13FCF">
        <w:rPr>
          <w:rFonts w:hint="cs"/>
          <w:b/>
          <w:bCs/>
          <w:spacing w:val="0"/>
          <w:sz w:val="20"/>
          <w:rtl/>
        </w:rPr>
        <w:t>فيما </w:t>
      </w:r>
      <w:r w:rsidRPr="00C13FCF">
        <w:rPr>
          <w:rFonts w:hint="cs"/>
          <w:b/>
          <w:bCs/>
          <w:spacing w:val="0"/>
          <w:sz w:val="20"/>
          <w:rtl/>
        </w:rPr>
        <w:t>يتعلق ب</w:t>
      </w:r>
      <w:r w:rsidRPr="00C13FCF">
        <w:rPr>
          <w:b/>
          <w:bCs/>
          <w:spacing w:val="0"/>
          <w:sz w:val="20"/>
          <w:rtl/>
        </w:rPr>
        <w:t>جبر الضرر</w:t>
      </w:r>
      <w:r w:rsidRPr="00C13FCF">
        <w:rPr>
          <w:rFonts w:hint="cs"/>
          <w:b/>
          <w:bCs/>
          <w:spacing w:val="0"/>
          <w:sz w:val="20"/>
          <w:rtl/>
        </w:rPr>
        <w:t>، بما في ذلك التعويض ووسائل إعادة التأهيل على أكمل وجه ممكن، وأن تضع برنامجاً خاصاً لمساعدة ضحايا التعذيب والمعاملة السيئة. وينبغي للدولة الطرف أن تضع أيضاً إجراءات أكثر فعالية ويسراً تكفل ممارسة الضحايا حقهم في التعويض</w:t>
      </w:r>
      <w:r w:rsidR="00B345DB" w:rsidRPr="00C13FCF">
        <w:rPr>
          <w:rFonts w:hint="cs"/>
          <w:b/>
          <w:bCs/>
          <w:spacing w:val="0"/>
          <w:sz w:val="20"/>
          <w:rtl/>
        </w:rPr>
        <w:t xml:space="preserve"> وفقاً </w:t>
      </w:r>
      <w:r w:rsidRPr="00C13FCF">
        <w:rPr>
          <w:rFonts w:hint="cs"/>
          <w:b/>
          <w:bCs/>
          <w:spacing w:val="0"/>
          <w:sz w:val="20"/>
          <w:rtl/>
        </w:rPr>
        <w:t>للقانون 3811/2009، ولا سيما بالحد من الفترة الزمنية التي يستغرقها نظر المحاكم في هذه القضايا لمنح تعويضات. وتوصي اللجنة الدولة الطرف بأن تقدم فور</w:t>
      </w:r>
      <w:r w:rsidR="0081655E">
        <w:rPr>
          <w:rFonts w:hint="cs"/>
          <w:b/>
          <w:bCs/>
          <w:spacing w:val="0"/>
          <w:sz w:val="20"/>
          <w:rtl/>
        </w:rPr>
        <w:t xml:space="preserve">اً </w:t>
      </w:r>
      <w:r w:rsidRPr="00C13FCF">
        <w:rPr>
          <w:rFonts w:hint="cs"/>
          <w:b/>
          <w:bCs/>
          <w:spacing w:val="0"/>
          <w:sz w:val="20"/>
          <w:rtl/>
        </w:rPr>
        <w:t xml:space="preserve">لضحايا العنف، على سبيل الاستعجال ودون استثناء، </w:t>
      </w:r>
      <w:r w:rsidRPr="00C13FCF">
        <w:rPr>
          <w:rFonts w:hint="cs"/>
          <w:b/>
          <w:bCs/>
          <w:spacing w:val="0"/>
          <w:sz w:val="20"/>
          <w:rtl/>
          <w:lang/>
        </w:rPr>
        <w:t xml:space="preserve">التعويضات التي قررتها الهيئات الإشرافية والمحاكم الدولية، مثل هذه اللجنة واللجنة المعنية بحقوق الإنسان والمحكمة الأوروبية لحقوق الإنسان. </w:t>
      </w:r>
    </w:p>
    <w:p w:rsidR="004E0A37" w:rsidRPr="004E0A37" w:rsidRDefault="004E0A37" w:rsidP="004E0A37">
      <w:pPr>
        <w:pStyle w:val="H23GA"/>
        <w:jc w:val="lowKashida"/>
        <w:rPr>
          <w:rFonts w:hint="cs"/>
          <w:spacing w:val="0"/>
          <w:sz w:val="20"/>
          <w:rtl/>
          <w:lang/>
        </w:rPr>
      </w:pPr>
      <w:r w:rsidRPr="004E0A37">
        <w:rPr>
          <w:rFonts w:hint="cs"/>
          <w:spacing w:val="0"/>
          <w:sz w:val="20"/>
          <w:rtl/>
          <w:lang/>
        </w:rPr>
        <w:tab/>
      </w:r>
      <w:r w:rsidRPr="004E0A37">
        <w:rPr>
          <w:rFonts w:hint="cs"/>
          <w:spacing w:val="0"/>
          <w:sz w:val="20"/>
          <w:rtl/>
          <w:lang/>
        </w:rPr>
        <w:tab/>
        <w:t>قضية آغيا فرفارا</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27</w:t>
      </w:r>
      <w:r w:rsidR="003E72B5">
        <w:rPr>
          <w:rFonts w:hint="cs"/>
          <w:spacing w:val="0"/>
          <w:sz w:val="20"/>
          <w:rtl/>
        </w:rPr>
        <w:t>)</w:t>
      </w:r>
      <w:r w:rsidR="003E72B5">
        <w:rPr>
          <w:rFonts w:hint="cs"/>
          <w:spacing w:val="0"/>
          <w:sz w:val="20"/>
          <w:rtl/>
        </w:rPr>
        <w:tab/>
      </w:r>
      <w:r w:rsidR="004E0A37" w:rsidRPr="004E0A37">
        <w:rPr>
          <w:rFonts w:hint="cs"/>
          <w:spacing w:val="0"/>
          <w:sz w:val="20"/>
          <w:rtl/>
        </w:rPr>
        <w:t>تكرر اللجنة الإعراب عن القلق الذي أبدته سابقاً إزاء الادعاء الذي مؤداه أن 502 من بين</w:t>
      </w:r>
      <w:r w:rsidR="004E0A37" w:rsidRPr="004E0A37">
        <w:rPr>
          <w:rFonts w:hint="eastAsia"/>
          <w:spacing w:val="0"/>
          <w:sz w:val="20"/>
          <w:rtl/>
        </w:rPr>
        <w:t> </w:t>
      </w:r>
      <w:r w:rsidR="004E0A37" w:rsidRPr="004E0A37">
        <w:rPr>
          <w:rFonts w:hint="cs"/>
          <w:spacing w:val="0"/>
          <w:sz w:val="20"/>
          <w:rtl/>
        </w:rPr>
        <w:t>661 طفلاً من أطفال الشوارع المنتمين إلى طائفة الروما الألبانية أصبحوا في عداد</w:t>
      </w:r>
      <w:r w:rsidR="004E0A37" w:rsidRPr="004E0A37">
        <w:rPr>
          <w:rFonts w:hint="eastAsia"/>
          <w:spacing w:val="0"/>
          <w:sz w:val="20"/>
          <w:rtl/>
        </w:rPr>
        <w:t> </w:t>
      </w:r>
      <w:r w:rsidR="004E0A37" w:rsidRPr="004E0A37">
        <w:rPr>
          <w:rFonts w:hint="cs"/>
          <w:spacing w:val="0"/>
          <w:sz w:val="20"/>
          <w:rtl/>
        </w:rPr>
        <w:t>المفقودين عقب إيداعهم في مؤسسة آغيا فارفارا اليونانية لرعاية الطفولة في الفترة</w:t>
      </w:r>
      <w:r w:rsidR="004E0A37" w:rsidRPr="004E0A37">
        <w:rPr>
          <w:rFonts w:hint="eastAsia"/>
          <w:spacing w:val="0"/>
          <w:sz w:val="20"/>
          <w:rtl/>
        </w:rPr>
        <w:t> </w:t>
      </w:r>
      <w:r w:rsidR="004E0A37" w:rsidRPr="004E0A37">
        <w:rPr>
          <w:rFonts w:hint="cs"/>
          <w:spacing w:val="0"/>
          <w:sz w:val="20"/>
          <w:rtl/>
        </w:rPr>
        <w:t xml:space="preserve">1998-2002. ويساورها القلق بصفة خاصة من عدم تحقيق السلطات المعنية في الدولة الطرف في هذه الحالات (المادتان 2 و12). </w:t>
      </w:r>
    </w:p>
    <w:p w:rsidR="004E0A37" w:rsidRPr="00C13FCF" w:rsidRDefault="004E0A37" w:rsidP="00C13FCF">
      <w:pPr>
        <w:pStyle w:val="SingleTxtGA"/>
        <w:jc w:val="lowKashida"/>
        <w:rPr>
          <w:rFonts w:hint="cs"/>
          <w:b/>
          <w:bCs/>
          <w:spacing w:val="-2"/>
          <w:sz w:val="20"/>
          <w:rtl/>
        </w:rPr>
      </w:pPr>
      <w:r w:rsidRPr="00C13FCF">
        <w:rPr>
          <w:rFonts w:hint="cs"/>
          <w:b/>
          <w:bCs/>
          <w:spacing w:val="-2"/>
          <w:sz w:val="20"/>
          <w:rtl/>
        </w:rPr>
        <w:tab/>
        <w:t>تحث اللجنة الدولة الطرف على التعاون مع السلطات الألبانية على إنشاء آلية فعالة فوراً تكلف بمسؤولية التحقيق في هذه الحالات للكشف عن مكان وجود الأطفال المفقودين، بالتعاون مع أمينيْ مظالم كلا البلدين ومنظمات المجتمع المدني ذات الصلة، وتحديد</w:t>
      </w:r>
      <w:r w:rsidR="00C13FCF">
        <w:rPr>
          <w:rFonts w:hint="eastAsia"/>
          <w:b/>
          <w:bCs/>
          <w:spacing w:val="-2"/>
          <w:sz w:val="20"/>
          <w:rtl/>
        </w:rPr>
        <w:t> </w:t>
      </w:r>
      <w:r w:rsidRPr="00C13FCF">
        <w:rPr>
          <w:rFonts w:hint="cs"/>
          <w:b/>
          <w:bCs/>
          <w:spacing w:val="-2"/>
          <w:sz w:val="20"/>
          <w:rtl/>
        </w:rPr>
        <w:t xml:space="preserve">المسؤوليات التأديبية والجنائية </w:t>
      </w:r>
      <w:r w:rsidRPr="00C13FCF">
        <w:rPr>
          <w:rFonts w:hint="cs"/>
          <w:b/>
          <w:bCs/>
          <w:spacing w:val="-2"/>
          <w:sz w:val="20"/>
          <w:rtl/>
          <w:lang/>
        </w:rPr>
        <w:t>للضالعين في حالات الاختفاء هذه، قبل أن يصعب، مع مرور الوقت، التأكد من الحقائق</w:t>
      </w:r>
      <w:r w:rsidRPr="00C13FCF">
        <w:rPr>
          <w:rFonts w:hint="cs"/>
          <w:b/>
          <w:bCs/>
          <w:spacing w:val="-2"/>
          <w:sz w:val="20"/>
          <w:rtl/>
        </w:rPr>
        <w:t xml:space="preserve">. وتوصي اللجنة الدولة الطرف كذلك باعتماد سياسة شاملة لمكافحة انتهاك حقوق أطفال الشوارع لتفادي تكرار حدوث ذلك مستقبلاً. </w:t>
      </w:r>
    </w:p>
    <w:p w:rsidR="004E0A37" w:rsidRPr="004E0A37" w:rsidRDefault="004E0A37" w:rsidP="004E0A37">
      <w:pPr>
        <w:pStyle w:val="H23GA"/>
        <w:jc w:val="lowKashida"/>
        <w:rPr>
          <w:rFonts w:hint="cs"/>
          <w:spacing w:val="0"/>
          <w:sz w:val="20"/>
          <w:rtl/>
          <w:lang w:val="fr-CH"/>
        </w:rPr>
      </w:pPr>
      <w:r w:rsidRPr="004E0A37">
        <w:rPr>
          <w:rFonts w:hint="cs"/>
          <w:spacing w:val="0"/>
          <w:sz w:val="20"/>
          <w:rtl/>
          <w:lang w:val="fr-CH"/>
        </w:rPr>
        <w:tab/>
      </w:r>
      <w:r w:rsidRPr="004E0A37">
        <w:rPr>
          <w:rFonts w:hint="cs"/>
          <w:spacing w:val="0"/>
          <w:sz w:val="20"/>
          <w:rtl/>
          <w:lang w:val="fr-CH"/>
        </w:rPr>
        <w:tab/>
        <w:t>جمع البيانات</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28</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بينما تشير اللجنة مع الاهتمام إلى إنشاء فريق عامل خاص مؤخراً معني بتقديم مقترح شامل لإعادة تنظيم </w:t>
      </w:r>
      <w:r w:rsidR="004E0A37" w:rsidRPr="004E0A37">
        <w:rPr>
          <w:rFonts w:hint="cs"/>
          <w:spacing w:val="0"/>
          <w:sz w:val="20"/>
          <w:rtl/>
          <w:lang/>
        </w:rPr>
        <w:t xml:space="preserve">إحصاءات العدالة </w:t>
      </w:r>
      <w:r w:rsidR="004E0A37" w:rsidRPr="004E0A37">
        <w:rPr>
          <w:rFonts w:hint="cs"/>
          <w:spacing w:val="0"/>
          <w:sz w:val="20"/>
          <w:rtl/>
        </w:rPr>
        <w:t xml:space="preserve">وتحديثها </w:t>
      </w:r>
      <w:r w:rsidR="004E0A37" w:rsidRPr="004E0A37">
        <w:rPr>
          <w:rFonts w:hint="cs"/>
          <w:spacing w:val="0"/>
          <w:sz w:val="20"/>
          <w:rtl/>
          <w:lang/>
        </w:rPr>
        <w:t xml:space="preserve">في الدولة الطرف، </w:t>
      </w:r>
      <w:r w:rsidR="004E0A37" w:rsidRPr="004E0A37">
        <w:rPr>
          <w:rFonts w:hint="cs"/>
          <w:spacing w:val="0"/>
          <w:sz w:val="20"/>
          <w:rtl/>
        </w:rPr>
        <w:t>تأسف لعدم وجود بيانات شاملة ومبوبة عن الشكاوى وعمليات التحقيق والملاحقة والإدانة في قضايا التعذيب وإساءة المعاملة من جانب الموظفين المكلفين بإنفاذ القوانين، بمن فيهم أفراد الشرطة والعاملون في السجون وحرس الحدود، وكذلك عن الاتجار بالأشخاص والعنف المنزلي والجنسي (المادتان 11 و12).</w:t>
      </w:r>
    </w:p>
    <w:p w:rsidR="004E0A37" w:rsidRPr="00C13FCF" w:rsidRDefault="004E0A37" w:rsidP="00336665">
      <w:pPr>
        <w:pStyle w:val="SingleTxtGA"/>
        <w:jc w:val="lowKashida"/>
        <w:rPr>
          <w:rFonts w:hint="cs"/>
          <w:b/>
          <w:bCs/>
          <w:spacing w:val="0"/>
          <w:sz w:val="20"/>
          <w:rtl/>
        </w:rPr>
      </w:pPr>
      <w:r w:rsidRPr="00C13FCF">
        <w:rPr>
          <w:rFonts w:hint="cs"/>
          <w:b/>
          <w:bCs/>
          <w:spacing w:val="0"/>
          <w:sz w:val="20"/>
          <w:rtl/>
        </w:rPr>
        <w:tab/>
        <w:t>ينبغي للدولة الطرف أن تضع نظاماً فعالاً لجمع البيانات الإحصائية المتعلقة برصد تنفيذ الاتفاقية على المستوى الوطني، بما في ذلك البيانات المتعلقة بالشكاوى وعمليات التحقيق والملاحقة والإدانة في قضايا التعذيب وإساءة المعاملة، وعن الاتجار بالأشخاص والعنف المنزلي والجنسي، وعن سبل الانتصاف المتاحة للضحايا، بما فيها التعويض وإعادة</w:t>
      </w:r>
      <w:r w:rsidR="00336665">
        <w:rPr>
          <w:rFonts w:hint="eastAsia"/>
          <w:b/>
          <w:bCs/>
          <w:spacing w:val="0"/>
          <w:sz w:val="20"/>
          <w:rtl/>
        </w:rPr>
        <w:t> </w:t>
      </w:r>
      <w:r w:rsidRPr="00C13FCF">
        <w:rPr>
          <w:rFonts w:hint="cs"/>
          <w:b/>
          <w:bCs/>
          <w:spacing w:val="0"/>
          <w:sz w:val="20"/>
          <w:rtl/>
        </w:rPr>
        <w:t>التأهيل.</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29</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التصديق على معاهدات الأمم المتحدة الرئيسية المتعلقة بحقوق الإنسان التي</w:t>
      </w:r>
      <w:r w:rsidR="00335AC0">
        <w:rPr>
          <w:rFonts w:hint="cs"/>
          <w:spacing w:val="0"/>
          <w:sz w:val="20"/>
          <w:rtl/>
        </w:rPr>
        <w:t xml:space="preserve"> لم </w:t>
      </w:r>
      <w:r w:rsidR="004E0A37" w:rsidRPr="004E0A37">
        <w:rPr>
          <w:rFonts w:hint="cs"/>
          <w:spacing w:val="0"/>
          <w:sz w:val="20"/>
          <w:rtl/>
        </w:rPr>
        <w:t>تنضم إليها بعد، ولا سيما الاتفاقية الدولية لحماية حقوق جميع العمال المهاجرين وأفراد أسرهم، واتفاقية حقوق الأشخاص ذوي الإعاقة، والاتفاقية الدولية لحماية جميع الأشخاص من الاختفاء القسري.</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30</w:t>
      </w:r>
      <w:r w:rsidR="003E72B5">
        <w:rPr>
          <w:rFonts w:hint="cs"/>
          <w:spacing w:val="0"/>
          <w:sz w:val="20"/>
          <w:rtl/>
        </w:rPr>
        <w:t>)</w:t>
      </w:r>
      <w:r w:rsidR="003E72B5">
        <w:rPr>
          <w:rFonts w:hint="cs"/>
          <w:spacing w:val="0"/>
          <w:sz w:val="20"/>
          <w:rtl/>
        </w:rPr>
        <w:tab/>
      </w:r>
      <w:r w:rsidR="004E0A37" w:rsidRPr="004E0A37">
        <w:rPr>
          <w:rFonts w:hint="cs"/>
          <w:spacing w:val="0"/>
          <w:sz w:val="20"/>
          <w:rtl/>
        </w:rPr>
        <w:t>وتطلب اللجنة إلى</w:t>
      </w:r>
      <w:r w:rsidR="004E0A37" w:rsidRPr="004E0A37">
        <w:rPr>
          <w:spacing w:val="0"/>
          <w:sz w:val="20"/>
          <w:rtl/>
        </w:rPr>
        <w:t xml:space="preserve"> الدولة الطرف أن تنشر على نطاق واسع، وباللغات المناسبة، التقرير ال</w:t>
      </w:r>
      <w:r w:rsidR="004E0A37" w:rsidRPr="004E0A37">
        <w:rPr>
          <w:rFonts w:hint="cs"/>
          <w:spacing w:val="0"/>
          <w:sz w:val="20"/>
          <w:rtl/>
        </w:rPr>
        <w:t xml:space="preserve">مقدم </w:t>
      </w:r>
      <w:r w:rsidR="004E0A37" w:rsidRPr="004E0A37">
        <w:rPr>
          <w:spacing w:val="0"/>
          <w:sz w:val="20"/>
          <w:rtl/>
        </w:rPr>
        <w:t>إلى اللجنة و</w:t>
      </w:r>
      <w:r w:rsidR="004E0A37" w:rsidRPr="004E0A37">
        <w:rPr>
          <w:rFonts w:hint="cs"/>
          <w:spacing w:val="0"/>
          <w:sz w:val="20"/>
          <w:rtl/>
        </w:rPr>
        <w:t>ا</w:t>
      </w:r>
      <w:r w:rsidR="004E0A37" w:rsidRPr="004E0A37">
        <w:rPr>
          <w:spacing w:val="0"/>
          <w:sz w:val="20"/>
          <w:rtl/>
        </w:rPr>
        <w:t>لملاحظات الختامية</w:t>
      </w:r>
      <w:r w:rsidR="004E0A37" w:rsidRPr="004E0A37">
        <w:rPr>
          <w:rFonts w:hint="cs"/>
          <w:spacing w:val="0"/>
          <w:sz w:val="20"/>
          <w:rtl/>
        </w:rPr>
        <w:t xml:space="preserve"> للجنة،</w:t>
      </w:r>
      <w:r w:rsidR="004E0A37" w:rsidRPr="004E0A37">
        <w:rPr>
          <w:spacing w:val="0"/>
          <w:sz w:val="20"/>
          <w:rtl/>
        </w:rPr>
        <w:t xml:space="preserve"> عن طريق المواقع الرسمية على شبكة الإنترنت ووسائط الإعلام والمنظمات غير الحكومية.</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31</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تقديم وثيقتها الأساسية المشتركة</w:t>
      </w:r>
      <w:r w:rsidR="00B345DB">
        <w:rPr>
          <w:rFonts w:hint="cs"/>
          <w:spacing w:val="0"/>
          <w:sz w:val="20"/>
          <w:rtl/>
        </w:rPr>
        <w:t xml:space="preserve"> وفقاً </w:t>
      </w:r>
      <w:r w:rsidR="004E0A37" w:rsidRPr="004E0A37">
        <w:rPr>
          <w:rFonts w:hint="cs"/>
          <w:spacing w:val="0"/>
          <w:sz w:val="20"/>
          <w:rtl/>
        </w:rPr>
        <w:t>لمتطلبات الوثيقة الأساسية المشتركة الواردة في المبادئ التوجيهية المنسقة لتقديم التقارير بموجب المعاهدات الدولية لحقوق الإنسان (</w:t>
      </w:r>
      <w:r w:rsidR="004E0A37" w:rsidRPr="004E0A37">
        <w:rPr>
          <w:spacing w:val="0"/>
          <w:sz w:val="20"/>
        </w:rPr>
        <w:t>HRI/GEN.2/Rev.6</w:t>
      </w:r>
      <w:r w:rsidR="004E0A37" w:rsidRPr="004E0A37">
        <w:rPr>
          <w:rFonts w:hint="cs"/>
          <w:spacing w:val="0"/>
          <w:sz w:val="20"/>
          <w:rtl/>
        </w:rPr>
        <w:t>).</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rFonts w:hint="cs"/>
          <w:spacing w:val="0"/>
          <w:sz w:val="20"/>
          <w:rtl/>
        </w:rPr>
        <w:t>32</w:t>
      </w:r>
      <w:r w:rsidR="003E72B5">
        <w:rPr>
          <w:rFonts w:hint="cs"/>
          <w:spacing w:val="0"/>
          <w:sz w:val="20"/>
          <w:rtl/>
        </w:rPr>
        <w:t>)</w:t>
      </w:r>
      <w:r w:rsidR="003E72B5">
        <w:rPr>
          <w:rFonts w:hint="cs"/>
          <w:spacing w:val="0"/>
          <w:sz w:val="20"/>
          <w:rtl/>
        </w:rPr>
        <w:tab/>
      </w:r>
      <w:r w:rsidR="004E0A37" w:rsidRPr="004E0A37">
        <w:rPr>
          <w:spacing w:val="0"/>
          <w:sz w:val="20"/>
          <w:rtl/>
        </w:rPr>
        <w:t xml:space="preserve">وتطلب اللجنة </w:t>
      </w:r>
      <w:r w:rsidR="004E0A37" w:rsidRPr="004E0A37">
        <w:rPr>
          <w:rFonts w:hint="cs"/>
          <w:spacing w:val="0"/>
          <w:sz w:val="20"/>
          <w:rtl/>
        </w:rPr>
        <w:t>إلى</w:t>
      </w:r>
      <w:r w:rsidR="004E0A37" w:rsidRPr="004E0A37">
        <w:rPr>
          <w:spacing w:val="0"/>
          <w:sz w:val="20"/>
          <w:rtl/>
        </w:rPr>
        <w:t xml:space="preserve"> الدولة الطرف أن تقدم بحلول </w:t>
      </w:r>
      <w:r w:rsidR="004E0A37" w:rsidRPr="004E0A37">
        <w:rPr>
          <w:rFonts w:hint="cs"/>
          <w:spacing w:val="0"/>
          <w:sz w:val="20"/>
          <w:rtl/>
        </w:rPr>
        <w:t>1 حزيران/يونيه 2013</w:t>
      </w:r>
      <w:r w:rsidR="004E0A37" w:rsidRPr="004E0A37">
        <w:rPr>
          <w:spacing w:val="0"/>
          <w:sz w:val="20"/>
          <w:rtl/>
        </w:rPr>
        <w:t xml:space="preserve"> معلومات</w:t>
      </w:r>
      <w:r w:rsidR="004E0A37" w:rsidRPr="004E0A37">
        <w:rPr>
          <w:rFonts w:hint="cs"/>
          <w:spacing w:val="0"/>
          <w:sz w:val="20"/>
          <w:rtl/>
        </w:rPr>
        <w:t xml:space="preserve"> </w:t>
      </w:r>
      <w:r w:rsidR="004E0A37" w:rsidRPr="004E0A37">
        <w:rPr>
          <w:spacing w:val="0"/>
          <w:sz w:val="20"/>
          <w:rtl/>
        </w:rPr>
        <w:t xml:space="preserve">عن </w:t>
      </w:r>
      <w:r w:rsidR="004E0A37" w:rsidRPr="004E0A37">
        <w:rPr>
          <w:rFonts w:hint="cs"/>
          <w:spacing w:val="0"/>
          <w:sz w:val="20"/>
          <w:rtl/>
        </w:rPr>
        <w:t>متابعة</w:t>
      </w:r>
      <w:r w:rsidR="004E0A37" w:rsidRPr="004E0A37">
        <w:rPr>
          <w:spacing w:val="0"/>
          <w:sz w:val="20"/>
          <w:rtl/>
        </w:rPr>
        <w:t xml:space="preserve"> </w:t>
      </w:r>
      <w:r w:rsidR="004E0A37" w:rsidRPr="004E0A37">
        <w:rPr>
          <w:rFonts w:hint="cs"/>
          <w:spacing w:val="0"/>
          <w:sz w:val="20"/>
          <w:rtl/>
        </w:rPr>
        <w:t xml:space="preserve">الإجراءات المتخذة </w:t>
      </w:r>
      <w:r w:rsidR="004E0A37" w:rsidRPr="004E0A37">
        <w:rPr>
          <w:spacing w:val="0"/>
          <w:sz w:val="20"/>
          <w:rtl/>
        </w:rPr>
        <w:t xml:space="preserve">استجابة لتوصيات اللجنة بشأن </w:t>
      </w:r>
      <w:r w:rsidR="004E0A37" w:rsidRPr="004E0A37">
        <w:rPr>
          <w:rFonts w:hint="cs"/>
          <w:spacing w:val="0"/>
          <w:sz w:val="20"/>
          <w:rtl/>
        </w:rPr>
        <w:t xml:space="preserve">ما يلي: </w:t>
      </w:r>
      <w:r w:rsidR="004E0A37" w:rsidRPr="004E0A37">
        <w:rPr>
          <w:spacing w:val="0"/>
          <w:sz w:val="20"/>
          <w:rtl/>
        </w:rPr>
        <w:t>(</w:t>
      </w:r>
      <w:r w:rsidR="004E0A37" w:rsidRPr="004E0A37">
        <w:rPr>
          <w:rFonts w:hint="cs"/>
          <w:spacing w:val="0"/>
          <w:sz w:val="20"/>
          <w:rtl/>
        </w:rPr>
        <w:t>أ</w:t>
      </w:r>
      <w:r w:rsidR="004E0A37" w:rsidRPr="004E0A37">
        <w:rPr>
          <w:spacing w:val="0"/>
          <w:sz w:val="20"/>
          <w:rtl/>
        </w:rPr>
        <w:t>) إجراء تحقيقات فورية ونزيهة وفعالة</w:t>
      </w:r>
      <w:r w:rsidR="004E0A37" w:rsidRPr="004E0A37">
        <w:rPr>
          <w:rFonts w:hint="cs"/>
          <w:spacing w:val="0"/>
          <w:sz w:val="20"/>
          <w:rtl/>
        </w:rPr>
        <w:t>؛</w:t>
      </w:r>
      <w:r w:rsidR="004E0A37" w:rsidRPr="004E0A37">
        <w:rPr>
          <w:spacing w:val="0"/>
          <w:sz w:val="20"/>
          <w:rtl/>
        </w:rPr>
        <w:t xml:space="preserve"> (</w:t>
      </w:r>
      <w:r w:rsidR="004E0A37" w:rsidRPr="004E0A37">
        <w:rPr>
          <w:rFonts w:hint="cs"/>
          <w:spacing w:val="0"/>
          <w:sz w:val="20"/>
          <w:rtl/>
        </w:rPr>
        <w:t>ب</w:t>
      </w:r>
      <w:r w:rsidR="004E0A37" w:rsidRPr="004E0A37">
        <w:rPr>
          <w:spacing w:val="0"/>
          <w:sz w:val="20"/>
          <w:rtl/>
        </w:rPr>
        <w:t xml:space="preserve">) ملاحقة المشتبه فيهم ومعاقبة مرتكبي أفعال التعذيب أو </w:t>
      </w:r>
      <w:r w:rsidR="004E0A37" w:rsidRPr="004E0A37">
        <w:rPr>
          <w:rFonts w:hint="cs"/>
          <w:spacing w:val="0"/>
          <w:sz w:val="20"/>
          <w:rtl/>
        </w:rPr>
        <w:t>إساءة</w:t>
      </w:r>
      <w:r w:rsidR="004E0A37" w:rsidRPr="004E0A37">
        <w:rPr>
          <w:spacing w:val="0"/>
          <w:sz w:val="20"/>
          <w:rtl/>
        </w:rPr>
        <w:t xml:space="preserve"> المعاملة، على النحو الوارد في الفقرت</w:t>
      </w:r>
      <w:r w:rsidR="004E0A37" w:rsidRPr="004E0A37">
        <w:rPr>
          <w:rFonts w:hint="cs"/>
          <w:spacing w:val="0"/>
          <w:sz w:val="20"/>
          <w:rtl/>
        </w:rPr>
        <w:t xml:space="preserve">ين 10 و13 </w:t>
      </w:r>
      <w:r w:rsidR="004E0A37" w:rsidRPr="004E0A37">
        <w:rPr>
          <w:spacing w:val="0"/>
          <w:sz w:val="20"/>
          <w:rtl/>
        </w:rPr>
        <w:t xml:space="preserve">من هذه الوثيقة. وبالإضافة إلى </w:t>
      </w:r>
      <w:r w:rsidR="004E0A37" w:rsidRPr="004E0A37">
        <w:rPr>
          <w:rFonts w:hint="cs"/>
          <w:spacing w:val="0"/>
          <w:sz w:val="20"/>
          <w:rtl/>
        </w:rPr>
        <w:t xml:space="preserve">ذلك، </w:t>
      </w:r>
      <w:r w:rsidR="004E0A37" w:rsidRPr="004E0A37">
        <w:rPr>
          <w:spacing w:val="0"/>
          <w:sz w:val="20"/>
          <w:rtl/>
        </w:rPr>
        <w:t>تطلب اللجنة</w:t>
      </w:r>
      <w:r w:rsidR="004E0A37" w:rsidRPr="004E0A37">
        <w:rPr>
          <w:rFonts w:hint="cs"/>
          <w:spacing w:val="0"/>
          <w:sz w:val="20"/>
          <w:rtl/>
        </w:rPr>
        <w:t xml:space="preserve"> تلقي </w:t>
      </w:r>
      <w:r w:rsidR="004E0A37" w:rsidRPr="004E0A37">
        <w:rPr>
          <w:spacing w:val="0"/>
          <w:sz w:val="20"/>
          <w:rtl/>
        </w:rPr>
        <w:t xml:space="preserve">معلومات </w:t>
      </w:r>
      <w:r w:rsidR="004E0A37" w:rsidRPr="004E0A37">
        <w:rPr>
          <w:rFonts w:hint="cs"/>
          <w:spacing w:val="0"/>
          <w:sz w:val="20"/>
          <w:rtl/>
        </w:rPr>
        <w:t>عن متابعة</w:t>
      </w:r>
      <w:r w:rsidR="004E0A37" w:rsidRPr="004E0A37">
        <w:rPr>
          <w:spacing w:val="0"/>
          <w:sz w:val="20"/>
          <w:rtl/>
        </w:rPr>
        <w:t xml:space="preserve"> </w:t>
      </w:r>
      <w:r w:rsidR="004E0A37" w:rsidRPr="004E0A37">
        <w:rPr>
          <w:rFonts w:hint="cs"/>
          <w:spacing w:val="0"/>
          <w:sz w:val="20"/>
          <w:rtl/>
        </w:rPr>
        <w:t>ظروف الاحتجاز والاحتجاز الإداري لملتمسي اللجوء والمهاجرين وفق</w:t>
      </w:r>
      <w:r w:rsidR="00177429">
        <w:rPr>
          <w:rFonts w:hint="cs"/>
          <w:spacing w:val="0"/>
          <w:sz w:val="20"/>
          <w:rtl/>
        </w:rPr>
        <w:t xml:space="preserve"> </w:t>
      </w:r>
      <w:r w:rsidR="004E0A37" w:rsidRPr="004E0A37">
        <w:rPr>
          <w:rFonts w:hint="cs"/>
          <w:spacing w:val="0"/>
          <w:sz w:val="20"/>
          <w:rtl/>
        </w:rPr>
        <w:t xml:space="preserve">ما ورد </w:t>
      </w:r>
      <w:r w:rsidR="004E0A37" w:rsidRPr="004E0A37">
        <w:rPr>
          <w:spacing w:val="0"/>
          <w:sz w:val="20"/>
          <w:rtl/>
        </w:rPr>
        <w:t>في الفقرت</w:t>
      </w:r>
      <w:r w:rsidR="004E0A37" w:rsidRPr="004E0A37">
        <w:rPr>
          <w:rFonts w:hint="cs"/>
          <w:spacing w:val="0"/>
          <w:sz w:val="20"/>
          <w:rtl/>
        </w:rPr>
        <w:t>ين 14 و20 من هذه الوثيقة</w:t>
      </w:r>
      <w:r w:rsidR="004E0A37" w:rsidRPr="004E0A37">
        <w:rPr>
          <w:spacing w:val="0"/>
          <w:sz w:val="20"/>
          <w:rtl/>
        </w:rPr>
        <w:t>.</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33</w:t>
      </w:r>
      <w:r w:rsidR="003E72B5">
        <w:rPr>
          <w:rFonts w:hint="cs"/>
          <w:spacing w:val="0"/>
          <w:sz w:val="20"/>
          <w:rtl/>
        </w:rPr>
        <w:t>)</w:t>
      </w:r>
      <w:r w:rsidR="003E72B5">
        <w:rPr>
          <w:rFonts w:hint="cs"/>
          <w:spacing w:val="0"/>
          <w:sz w:val="20"/>
          <w:rtl/>
        </w:rPr>
        <w:tab/>
      </w:r>
      <w:r w:rsidR="004E0A37" w:rsidRPr="004E0A37">
        <w:rPr>
          <w:rFonts w:hint="cs"/>
          <w:spacing w:val="0"/>
          <w:sz w:val="20"/>
          <w:rtl/>
        </w:rPr>
        <w:t>وتدعو اللجنة الدولة الطرف إلى تقديم تقريرها الدوري المقبل، الذي سيكون التقرير الدوري السابع، في موعد أقصاه 1 حزيران/يونيه 2016. ولهذا الغرض، ستحيل اللجنة إلى الدولة الطرف في الوقت المناسب قائمة المسائل قبل تقديم التقرير الدوري، بالنظر إلى أن الدولة الطرف</w:t>
      </w:r>
      <w:r w:rsidR="004E0A37" w:rsidRPr="004E0A37">
        <w:rPr>
          <w:spacing w:val="0"/>
          <w:sz w:val="20"/>
          <w:rtl/>
        </w:rPr>
        <w:t xml:space="preserve"> قبل</w:t>
      </w:r>
      <w:r w:rsidR="004E0A37" w:rsidRPr="004E0A37">
        <w:rPr>
          <w:rFonts w:hint="cs"/>
          <w:spacing w:val="0"/>
          <w:sz w:val="20"/>
          <w:rtl/>
        </w:rPr>
        <w:t xml:space="preserve">ت </w:t>
      </w:r>
      <w:r w:rsidR="004E0A37" w:rsidRPr="004E0A37">
        <w:rPr>
          <w:spacing w:val="0"/>
          <w:sz w:val="20"/>
          <w:rtl/>
        </w:rPr>
        <w:t xml:space="preserve">الإجراء </w:t>
      </w:r>
      <w:r w:rsidR="004E0A37" w:rsidRPr="004E0A37">
        <w:rPr>
          <w:rFonts w:hint="cs"/>
          <w:spacing w:val="0"/>
          <w:sz w:val="20"/>
          <w:rtl/>
        </w:rPr>
        <w:t>الاختياري</w:t>
      </w:r>
      <w:r w:rsidR="004E0A37" w:rsidRPr="004E0A37">
        <w:rPr>
          <w:spacing w:val="0"/>
          <w:sz w:val="20"/>
          <w:rtl/>
        </w:rPr>
        <w:t xml:space="preserve"> لتقديم التقارير الدورية</w:t>
      </w:r>
      <w:r w:rsidR="004E0A37" w:rsidRPr="004E0A37">
        <w:rPr>
          <w:rFonts w:hint="cs"/>
          <w:spacing w:val="0"/>
          <w:sz w:val="20"/>
          <w:rtl/>
        </w:rPr>
        <w:t xml:space="preserve"> إلى اللجنة.</w:t>
      </w:r>
    </w:p>
    <w:p w:rsidR="004E0A37" w:rsidRPr="004E0A37" w:rsidRDefault="004E0A37" w:rsidP="004E0A37">
      <w:pPr>
        <w:pStyle w:val="SingleTxtGA"/>
        <w:jc w:val="lowKashida"/>
        <w:rPr>
          <w:spacing w:val="0"/>
          <w:sz w:val="20"/>
          <w:rtl/>
        </w:rPr>
      </w:pPr>
      <w:r w:rsidRPr="004E0A37">
        <w:rPr>
          <w:rFonts w:hint="cs"/>
          <w:spacing w:val="0"/>
          <w:sz w:val="20"/>
          <w:rtl/>
        </w:rPr>
        <w:t>66-</w:t>
      </w:r>
      <w:r w:rsidRPr="004E0A37">
        <w:rPr>
          <w:rFonts w:hint="cs"/>
          <w:spacing w:val="0"/>
          <w:sz w:val="20"/>
          <w:rtl/>
        </w:rPr>
        <w:tab/>
      </w:r>
      <w:r w:rsidRPr="00C13FCF">
        <w:rPr>
          <w:b/>
          <w:bCs/>
          <w:spacing w:val="0"/>
          <w:sz w:val="20"/>
          <w:rtl/>
        </w:rPr>
        <w:t>رواندا</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1</w:t>
      </w:r>
      <w:r w:rsidR="003E72B5">
        <w:rPr>
          <w:rFonts w:hint="cs"/>
          <w:spacing w:val="0"/>
          <w:sz w:val="20"/>
          <w:rtl/>
        </w:rPr>
        <w:t>)</w:t>
      </w:r>
      <w:r w:rsidR="003E72B5">
        <w:rPr>
          <w:rFonts w:hint="cs"/>
          <w:spacing w:val="0"/>
          <w:sz w:val="20"/>
          <w:rtl/>
        </w:rPr>
        <w:tab/>
      </w:r>
      <w:r w:rsidRPr="004E0A37">
        <w:rPr>
          <w:spacing w:val="0"/>
          <w:sz w:val="20"/>
          <w:rtl/>
        </w:rPr>
        <w:t>نظرت اللجنة في تقرير رواندا الأوَّلي (</w:t>
      </w:r>
      <w:r w:rsidRPr="004E0A37">
        <w:rPr>
          <w:spacing w:val="0"/>
          <w:sz w:val="20"/>
        </w:rPr>
        <w:t>CAT/C/RWA/1</w:t>
      </w:r>
      <w:r w:rsidRPr="004E0A37">
        <w:rPr>
          <w:spacing w:val="0"/>
          <w:sz w:val="20"/>
          <w:rtl/>
        </w:rPr>
        <w:t>) في جلستيها 1070 و1073 (</w:t>
      </w:r>
      <w:r w:rsidRPr="004E0A37">
        <w:rPr>
          <w:spacing w:val="0"/>
          <w:sz w:val="20"/>
        </w:rPr>
        <w:t>CAT/C/SR.1070</w:t>
      </w:r>
      <w:r w:rsidRPr="004E0A37">
        <w:rPr>
          <w:spacing w:val="0"/>
          <w:sz w:val="20"/>
          <w:rtl/>
        </w:rPr>
        <w:t xml:space="preserve"> و</w:t>
      </w:r>
      <w:r w:rsidRPr="004E0A37">
        <w:rPr>
          <w:spacing w:val="0"/>
          <w:sz w:val="20"/>
        </w:rPr>
        <w:t>1073</w:t>
      </w:r>
      <w:r w:rsidRPr="004E0A37">
        <w:rPr>
          <w:spacing w:val="0"/>
          <w:sz w:val="20"/>
          <w:rtl/>
        </w:rPr>
        <w:t>)، المعقودتين في 15 أيار/مايو 2012</w:t>
      </w:r>
      <w:r w:rsidRPr="004E0A37">
        <w:rPr>
          <w:rFonts w:hint="cs"/>
          <w:spacing w:val="0"/>
          <w:sz w:val="20"/>
          <w:rtl/>
        </w:rPr>
        <w:t>،</w:t>
      </w:r>
      <w:r w:rsidRPr="004E0A37">
        <w:rPr>
          <w:spacing w:val="0"/>
          <w:sz w:val="20"/>
          <w:rtl/>
        </w:rPr>
        <w:t xml:space="preserve"> واعتمدت في جلستيها 1090 و1091 (</w:t>
      </w:r>
      <w:r w:rsidRPr="004E0A37">
        <w:rPr>
          <w:spacing w:val="0"/>
          <w:sz w:val="20"/>
        </w:rPr>
        <w:t>CAT/C/SR.1090</w:t>
      </w:r>
      <w:r w:rsidRPr="004E0A37">
        <w:rPr>
          <w:spacing w:val="0"/>
          <w:sz w:val="20"/>
          <w:rtl/>
        </w:rPr>
        <w:t xml:space="preserve"> و</w:t>
      </w:r>
      <w:r w:rsidRPr="004E0A37">
        <w:rPr>
          <w:spacing w:val="0"/>
          <w:sz w:val="20"/>
        </w:rPr>
        <w:t>1091</w:t>
      </w:r>
      <w:r w:rsidRPr="004E0A37">
        <w:rPr>
          <w:spacing w:val="0"/>
          <w:sz w:val="20"/>
          <w:rtl/>
        </w:rPr>
        <w:t>)، المعقودتين في 31 أيار/مايو 2012</w:t>
      </w:r>
      <w:r w:rsidRPr="004E0A37">
        <w:rPr>
          <w:rFonts w:hint="cs"/>
          <w:spacing w:val="0"/>
          <w:sz w:val="20"/>
          <w:rtl/>
        </w:rPr>
        <w:t xml:space="preserve">، </w:t>
      </w:r>
      <w:r w:rsidRPr="004E0A37">
        <w:rPr>
          <w:spacing w:val="0"/>
          <w:sz w:val="20"/>
          <w:rtl/>
        </w:rPr>
        <w:t>الملاحظات الختامية التالية.</w:t>
      </w:r>
    </w:p>
    <w:p w:rsidR="004E0A37" w:rsidRPr="00C13FCF" w:rsidRDefault="007223C0" w:rsidP="00B65A46">
      <w:pPr>
        <w:pStyle w:val="H23GA"/>
        <w:tabs>
          <w:tab w:val="left" w:pos="1938"/>
        </w:tabs>
        <w:rPr>
          <w:spacing w:val="0"/>
          <w:rtl/>
        </w:rPr>
      </w:pPr>
      <w:r>
        <w:rPr>
          <w:rFonts w:hint="cs"/>
          <w:spacing w:val="0"/>
          <w:rtl/>
        </w:rPr>
        <w:tab/>
      </w:r>
      <w:r>
        <w:rPr>
          <w:rFonts w:hint="cs"/>
          <w:spacing w:val="0"/>
          <w:rtl/>
        </w:rPr>
        <w:tab/>
        <w:t>ألف-</w:t>
      </w:r>
      <w:r w:rsidR="004E0A37" w:rsidRPr="00C13FCF">
        <w:rPr>
          <w:spacing w:val="0"/>
          <w:rtl/>
        </w:rPr>
        <w:tab/>
        <w:t>مقدمة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2</w:t>
      </w:r>
      <w:r w:rsidR="003E72B5">
        <w:rPr>
          <w:rFonts w:hint="cs"/>
          <w:spacing w:val="0"/>
          <w:sz w:val="20"/>
          <w:rtl/>
        </w:rPr>
        <w:t>)</w:t>
      </w:r>
      <w:r w:rsidR="003E72B5">
        <w:rPr>
          <w:rFonts w:hint="cs"/>
          <w:spacing w:val="0"/>
          <w:sz w:val="20"/>
          <w:rtl/>
        </w:rPr>
        <w:tab/>
      </w:r>
      <w:r w:rsidRPr="004E0A37">
        <w:rPr>
          <w:spacing w:val="0"/>
          <w:sz w:val="20"/>
          <w:rtl/>
        </w:rPr>
        <w:t>ترحب اللجنة بتقديم رواندا تقريرها الأوَّلي الذي يتبع المبادئ التوجيهية للجنة بشأن تقديم التقارير. لكن اللجنة تأسف ل</w:t>
      </w:r>
      <w:r w:rsidRPr="004E0A37">
        <w:rPr>
          <w:rFonts w:hint="cs"/>
          <w:spacing w:val="0"/>
          <w:sz w:val="20"/>
          <w:rtl/>
        </w:rPr>
        <w:t>افتقار</w:t>
      </w:r>
      <w:r w:rsidRPr="004E0A37">
        <w:rPr>
          <w:spacing w:val="0"/>
          <w:sz w:val="20"/>
          <w:rtl/>
        </w:rPr>
        <w:t xml:space="preserve"> التقرير إلى بيانات إحصائية عن تنفيذ أحكام الاتفاقية. وتعرب اللجنة عن تقديرها للحوار الصريح والمفتوح الذي أجري مع وفد الدولة الطرف، وللردود التي قُدمت شفهياً أثناء النظر في التقرير وللبيانات الخطية الإضافية.</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3</w:t>
      </w:r>
      <w:r w:rsidR="003E72B5">
        <w:rPr>
          <w:rFonts w:hint="cs"/>
          <w:spacing w:val="0"/>
          <w:sz w:val="20"/>
          <w:rtl/>
        </w:rPr>
        <w:t>)</w:t>
      </w:r>
      <w:r w:rsidR="003E72B5">
        <w:rPr>
          <w:rFonts w:hint="cs"/>
          <w:spacing w:val="0"/>
          <w:sz w:val="20"/>
          <w:rtl/>
        </w:rPr>
        <w:tab/>
      </w:r>
      <w:r w:rsidRPr="004E0A37">
        <w:rPr>
          <w:spacing w:val="0"/>
          <w:sz w:val="20"/>
          <w:rtl/>
        </w:rPr>
        <w:t>و</w:t>
      </w:r>
      <w:r w:rsidRPr="004E0A37">
        <w:rPr>
          <w:rFonts w:hint="cs"/>
          <w:spacing w:val="0"/>
          <w:sz w:val="20"/>
          <w:rtl/>
        </w:rPr>
        <w:t xml:space="preserve">تشير </w:t>
      </w:r>
      <w:r w:rsidRPr="004E0A37">
        <w:rPr>
          <w:spacing w:val="0"/>
          <w:sz w:val="20"/>
          <w:rtl/>
        </w:rPr>
        <w:t xml:space="preserve">اللجنة أيضاً </w:t>
      </w:r>
      <w:r w:rsidRPr="004E0A37">
        <w:rPr>
          <w:rFonts w:hint="cs"/>
          <w:spacing w:val="0"/>
          <w:sz w:val="20"/>
          <w:rtl/>
        </w:rPr>
        <w:t xml:space="preserve">إلى </w:t>
      </w:r>
      <w:r w:rsidRPr="004E0A37">
        <w:rPr>
          <w:spacing w:val="0"/>
          <w:sz w:val="20"/>
          <w:rtl/>
        </w:rPr>
        <w:t xml:space="preserve">التقدم الذي أحرز نحو </w:t>
      </w:r>
      <w:r w:rsidRPr="004E0A37">
        <w:rPr>
          <w:rFonts w:hint="cs"/>
          <w:spacing w:val="0"/>
          <w:sz w:val="20"/>
          <w:rtl/>
        </w:rPr>
        <w:t xml:space="preserve">تحقيق </w:t>
      </w:r>
      <w:r w:rsidRPr="004E0A37">
        <w:rPr>
          <w:spacing w:val="0"/>
          <w:sz w:val="20"/>
          <w:rtl/>
        </w:rPr>
        <w:t xml:space="preserve">المصالحة الكاملة لشعب رواندا بعد الإبادة الجماعية التي وقعت في عام 1994، وكذلك </w:t>
      </w:r>
      <w:r w:rsidRPr="004E0A37">
        <w:rPr>
          <w:rFonts w:hint="cs"/>
          <w:spacing w:val="0"/>
          <w:sz w:val="20"/>
          <w:rtl/>
        </w:rPr>
        <w:t xml:space="preserve">إلى </w:t>
      </w:r>
      <w:r w:rsidRPr="004E0A37">
        <w:rPr>
          <w:spacing w:val="0"/>
          <w:sz w:val="20"/>
          <w:rtl/>
        </w:rPr>
        <w:t>الجهود المبذولة لتوفير العدالة لضحايا الإبادة الجماعية ولبناء دولة تقوم على سيادة القانون.</w:t>
      </w:r>
    </w:p>
    <w:p w:rsidR="004E0A37" w:rsidRPr="00C13FCF" w:rsidRDefault="007223C0" w:rsidP="00B65A46">
      <w:pPr>
        <w:pStyle w:val="H23GA"/>
        <w:tabs>
          <w:tab w:val="left" w:pos="1939"/>
        </w:tabs>
        <w:rPr>
          <w:spacing w:val="0"/>
          <w:rtl/>
        </w:rPr>
      </w:pPr>
      <w:r>
        <w:rPr>
          <w:rFonts w:hint="cs"/>
          <w:spacing w:val="0"/>
          <w:rtl/>
        </w:rPr>
        <w:tab/>
      </w:r>
      <w:r>
        <w:rPr>
          <w:rFonts w:hint="cs"/>
          <w:spacing w:val="0"/>
          <w:rtl/>
        </w:rPr>
        <w:tab/>
        <w:t>باء-</w:t>
      </w:r>
      <w:r w:rsidR="004E0A37" w:rsidRPr="00C13FCF">
        <w:rPr>
          <w:spacing w:val="0"/>
          <w:rtl/>
        </w:rPr>
        <w:tab/>
        <w:t>الجوانب الإيجابية</w:t>
      </w:r>
    </w:p>
    <w:p w:rsidR="004E0A37" w:rsidRPr="00C27568" w:rsidRDefault="004E0A37" w:rsidP="004E0A37">
      <w:pPr>
        <w:pStyle w:val="SingleTxtGA"/>
        <w:jc w:val="lowKashida"/>
        <w:rPr>
          <w:spacing w:val="-4"/>
          <w:sz w:val="20"/>
          <w:rtl/>
        </w:rPr>
      </w:pPr>
      <w:r w:rsidRPr="00C27568">
        <w:rPr>
          <w:rFonts w:hint="cs"/>
          <w:spacing w:val="-4"/>
          <w:sz w:val="20"/>
          <w:rtl/>
        </w:rPr>
        <w:t>(</w:t>
      </w:r>
      <w:r w:rsidRPr="00C27568">
        <w:rPr>
          <w:spacing w:val="-4"/>
          <w:sz w:val="20"/>
          <w:rtl/>
        </w:rPr>
        <w:t>4</w:t>
      </w:r>
      <w:r w:rsidR="003E72B5" w:rsidRPr="00C27568">
        <w:rPr>
          <w:rFonts w:hint="cs"/>
          <w:spacing w:val="-4"/>
          <w:sz w:val="20"/>
          <w:rtl/>
        </w:rPr>
        <w:t>)</w:t>
      </w:r>
      <w:r w:rsidR="003E72B5" w:rsidRPr="00C27568">
        <w:rPr>
          <w:rFonts w:hint="cs"/>
          <w:spacing w:val="-4"/>
          <w:sz w:val="20"/>
          <w:rtl/>
        </w:rPr>
        <w:tab/>
      </w:r>
      <w:r w:rsidRPr="00C27568">
        <w:rPr>
          <w:spacing w:val="-4"/>
          <w:sz w:val="20"/>
          <w:rtl/>
        </w:rPr>
        <w:t>ترحب اللجنة بتصديق الدولة الطرف على الصكوك الدولية التالية أو انضمامها إليها:</w:t>
      </w:r>
    </w:p>
    <w:p w:rsidR="004E0A37" w:rsidRPr="004E0A37" w:rsidRDefault="004E0A37" w:rsidP="004E0A37">
      <w:pPr>
        <w:pStyle w:val="SingleTxtGA"/>
        <w:jc w:val="lowKashida"/>
        <w:rPr>
          <w:spacing w:val="0"/>
          <w:sz w:val="20"/>
          <w:rtl/>
        </w:rPr>
      </w:pPr>
      <w:r w:rsidRPr="004E0A37">
        <w:rPr>
          <w:spacing w:val="0"/>
          <w:sz w:val="20"/>
          <w:rtl/>
        </w:rPr>
        <w:tab/>
        <w:t>(أ)</w:t>
      </w:r>
      <w:r w:rsidRPr="004E0A37">
        <w:rPr>
          <w:spacing w:val="0"/>
          <w:sz w:val="20"/>
          <w:rtl/>
        </w:rPr>
        <w:tab/>
        <w:t>البروتوكول الاختياري الملحق بالعهد الدولي الخاص بالحقوق المدنية والسياسية والهادف إلى إلغاء عقوبة الإعدام، في 15 كانون الأول/ديسمبر 2008؛</w:t>
      </w:r>
    </w:p>
    <w:p w:rsidR="004E0A37" w:rsidRPr="004E0A37" w:rsidRDefault="004E0A37" w:rsidP="004E0A37">
      <w:pPr>
        <w:pStyle w:val="SingleTxtGA"/>
        <w:jc w:val="lowKashida"/>
        <w:rPr>
          <w:spacing w:val="0"/>
          <w:sz w:val="20"/>
          <w:rtl/>
        </w:rPr>
      </w:pPr>
      <w:r w:rsidRPr="004E0A37">
        <w:rPr>
          <w:spacing w:val="0"/>
          <w:sz w:val="20"/>
          <w:rtl/>
        </w:rPr>
        <w:tab/>
        <w:t>(ب)</w:t>
      </w:r>
      <w:r w:rsidRPr="004E0A37">
        <w:rPr>
          <w:spacing w:val="0"/>
          <w:sz w:val="20"/>
          <w:rtl/>
        </w:rPr>
        <w:tab/>
        <w:t>البروتوكول الاختياري لاتفاقية القضاء على جميع أشكال التمييز ضد المرأة، في</w:t>
      </w:r>
      <w:r w:rsidRPr="004E0A37">
        <w:rPr>
          <w:rFonts w:hint="cs"/>
          <w:spacing w:val="0"/>
          <w:sz w:val="20"/>
          <w:rtl/>
        </w:rPr>
        <w:t> </w:t>
      </w:r>
      <w:r w:rsidRPr="004E0A37">
        <w:rPr>
          <w:spacing w:val="0"/>
          <w:sz w:val="20"/>
          <w:rtl/>
        </w:rPr>
        <w:t>15 كانون الأول/ديسمبر 2008؛</w:t>
      </w:r>
    </w:p>
    <w:p w:rsidR="004E0A37" w:rsidRPr="004E0A37" w:rsidRDefault="004E0A37" w:rsidP="004E0A37">
      <w:pPr>
        <w:pStyle w:val="SingleTxtGA"/>
        <w:jc w:val="lowKashida"/>
        <w:rPr>
          <w:spacing w:val="0"/>
          <w:sz w:val="20"/>
          <w:rtl/>
        </w:rPr>
      </w:pPr>
      <w:r w:rsidRPr="004E0A37">
        <w:rPr>
          <w:spacing w:val="0"/>
          <w:sz w:val="20"/>
          <w:rtl/>
        </w:rPr>
        <w:tab/>
        <w:t>(ج)</w:t>
      </w:r>
      <w:r w:rsidRPr="004E0A37">
        <w:rPr>
          <w:spacing w:val="0"/>
          <w:sz w:val="20"/>
          <w:rtl/>
        </w:rPr>
        <w:tab/>
        <w:t>الاتفاقية الدولية لحماية حقوق جميع العمال المهاجرين وأفراد أسرهم، في</w:t>
      </w:r>
      <w:r w:rsidRPr="004E0A37">
        <w:rPr>
          <w:rFonts w:hint="cs"/>
          <w:spacing w:val="0"/>
          <w:sz w:val="20"/>
          <w:rtl/>
        </w:rPr>
        <w:t> </w:t>
      </w:r>
      <w:r w:rsidRPr="004E0A37">
        <w:rPr>
          <w:spacing w:val="0"/>
          <w:sz w:val="20"/>
          <w:rtl/>
        </w:rPr>
        <w:t>15 كانون الأول/ديسمبر 2008؛</w:t>
      </w:r>
    </w:p>
    <w:p w:rsidR="004E0A37" w:rsidRPr="00C27568" w:rsidRDefault="004E0A37" w:rsidP="004E0A37">
      <w:pPr>
        <w:pStyle w:val="SingleTxtGA"/>
        <w:jc w:val="lowKashida"/>
        <w:rPr>
          <w:spacing w:val="-4"/>
          <w:sz w:val="20"/>
          <w:rtl/>
        </w:rPr>
      </w:pPr>
      <w:r w:rsidRPr="00C27568">
        <w:rPr>
          <w:spacing w:val="-4"/>
          <w:sz w:val="20"/>
          <w:rtl/>
        </w:rPr>
        <w:tab/>
        <w:t>(د)</w:t>
      </w:r>
      <w:r w:rsidRPr="00C27568">
        <w:rPr>
          <w:spacing w:val="-4"/>
          <w:sz w:val="20"/>
          <w:rtl/>
        </w:rPr>
        <w:tab/>
        <w:t>اتفاقية حقوق الأشخاص ذوي الإعاقة، في 15 كانون الأول/ديسمبر 2008؛</w:t>
      </w:r>
    </w:p>
    <w:p w:rsidR="004E0A37" w:rsidRPr="004E0A37" w:rsidRDefault="004E0A37" w:rsidP="004E0A37">
      <w:pPr>
        <w:pStyle w:val="SingleTxtGA"/>
        <w:jc w:val="lowKashida"/>
        <w:rPr>
          <w:spacing w:val="0"/>
          <w:sz w:val="20"/>
          <w:rtl/>
        </w:rPr>
      </w:pPr>
      <w:r w:rsidRPr="004E0A37">
        <w:rPr>
          <w:spacing w:val="0"/>
          <w:sz w:val="20"/>
          <w:rtl/>
        </w:rPr>
        <w:tab/>
        <w:t>(</w:t>
      </w:r>
      <w:r w:rsidRPr="004E0A37">
        <w:rPr>
          <w:rFonts w:hint="cs"/>
          <w:spacing w:val="0"/>
          <w:sz w:val="20"/>
          <w:rtl/>
        </w:rPr>
        <w:t>ﻫ</w:t>
      </w:r>
      <w:r w:rsidRPr="004E0A37">
        <w:rPr>
          <w:spacing w:val="0"/>
          <w:sz w:val="20"/>
          <w:rtl/>
        </w:rPr>
        <w:t>)</w:t>
      </w:r>
      <w:r w:rsidRPr="004E0A37">
        <w:rPr>
          <w:spacing w:val="0"/>
          <w:sz w:val="20"/>
          <w:rtl/>
        </w:rPr>
        <w:tab/>
        <w:t>البروتوكول الاختياري لاتفاقية حقوق الأشخاص ذوي الإعاقة في 15 كانون الأول/ديسمبر 2008.</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5</w:t>
      </w:r>
      <w:r w:rsidR="003E72B5">
        <w:rPr>
          <w:rFonts w:hint="cs"/>
          <w:spacing w:val="0"/>
          <w:sz w:val="20"/>
          <w:rtl/>
        </w:rPr>
        <w:t>)</w:t>
      </w:r>
      <w:r w:rsidR="003E72B5">
        <w:rPr>
          <w:rFonts w:hint="cs"/>
          <w:spacing w:val="0"/>
          <w:sz w:val="20"/>
          <w:rtl/>
        </w:rPr>
        <w:tab/>
      </w:r>
      <w:r w:rsidRPr="004E0A37">
        <w:rPr>
          <w:spacing w:val="0"/>
          <w:sz w:val="20"/>
          <w:rtl/>
        </w:rPr>
        <w:t>وتنوه اللجنة بالجهود التي بذلتها الدولة الطرف من أجل إصلاح تشريعاتها، ومن ذلك ما يلي:</w:t>
      </w:r>
    </w:p>
    <w:p w:rsidR="004E0A37" w:rsidRPr="004E0A37" w:rsidRDefault="004E0A37" w:rsidP="004E0A37">
      <w:pPr>
        <w:pStyle w:val="SingleTxtGA"/>
        <w:jc w:val="lowKashida"/>
        <w:rPr>
          <w:spacing w:val="0"/>
          <w:sz w:val="20"/>
          <w:rtl/>
        </w:rPr>
      </w:pPr>
      <w:r w:rsidRPr="004E0A37">
        <w:rPr>
          <w:spacing w:val="0"/>
          <w:sz w:val="20"/>
          <w:rtl/>
        </w:rPr>
        <w:tab/>
        <w:t>(أ)</w:t>
      </w:r>
      <w:r w:rsidRPr="004E0A37">
        <w:rPr>
          <w:spacing w:val="0"/>
          <w:sz w:val="20"/>
          <w:rtl/>
        </w:rPr>
        <w:tab/>
        <w:t xml:space="preserve">اعتماد الدستور في عام 2003، </w:t>
      </w:r>
      <w:r w:rsidRPr="004E0A37">
        <w:rPr>
          <w:rFonts w:hint="cs"/>
          <w:spacing w:val="0"/>
          <w:sz w:val="20"/>
          <w:rtl/>
        </w:rPr>
        <w:t xml:space="preserve">الذي </w:t>
      </w:r>
      <w:r w:rsidRPr="004E0A37">
        <w:rPr>
          <w:spacing w:val="0"/>
          <w:sz w:val="20"/>
          <w:rtl/>
        </w:rPr>
        <w:t xml:space="preserve">تنص المادة 15 منه على عدم إخضاع أي شخص للتعذيب أو </w:t>
      </w:r>
      <w:r w:rsidRPr="004E0A37">
        <w:rPr>
          <w:rFonts w:hint="cs"/>
          <w:spacing w:val="0"/>
          <w:sz w:val="20"/>
          <w:rtl/>
        </w:rPr>
        <w:t xml:space="preserve">الإيذاء </w:t>
      </w:r>
      <w:r w:rsidRPr="004E0A37">
        <w:rPr>
          <w:spacing w:val="0"/>
          <w:sz w:val="20"/>
          <w:rtl/>
        </w:rPr>
        <w:t>الجسدي أو المعاملة القاسية أو اللاإنسانية أو المهينة؛</w:t>
      </w:r>
    </w:p>
    <w:p w:rsidR="004E0A37" w:rsidRPr="004E0A37" w:rsidRDefault="004E0A37" w:rsidP="004E0A37">
      <w:pPr>
        <w:pStyle w:val="SingleTxtGA"/>
        <w:jc w:val="lowKashida"/>
        <w:rPr>
          <w:spacing w:val="0"/>
          <w:sz w:val="20"/>
          <w:rtl/>
        </w:rPr>
      </w:pPr>
      <w:r w:rsidRPr="004E0A37">
        <w:rPr>
          <w:spacing w:val="0"/>
          <w:sz w:val="20"/>
          <w:rtl/>
        </w:rPr>
        <w:tab/>
        <w:t>(ب)</w:t>
      </w:r>
      <w:r w:rsidRPr="004E0A37">
        <w:rPr>
          <w:spacing w:val="0"/>
          <w:sz w:val="20"/>
          <w:rtl/>
        </w:rPr>
        <w:tab/>
        <w:t>اعتماد قانون جنائي جديد في عام 2012 يعرف جريمة التعذيب؛</w:t>
      </w:r>
    </w:p>
    <w:p w:rsidR="004E0A37" w:rsidRPr="004E0A37" w:rsidRDefault="004E0A37" w:rsidP="004E0A37">
      <w:pPr>
        <w:pStyle w:val="SingleTxtGA"/>
        <w:jc w:val="lowKashida"/>
        <w:rPr>
          <w:spacing w:val="0"/>
          <w:sz w:val="20"/>
          <w:rtl/>
        </w:rPr>
      </w:pPr>
      <w:r w:rsidRPr="004E0A37">
        <w:rPr>
          <w:spacing w:val="0"/>
          <w:sz w:val="20"/>
          <w:rtl/>
        </w:rPr>
        <w:tab/>
        <w:t>(ج)</w:t>
      </w:r>
      <w:r w:rsidRPr="004E0A37">
        <w:rPr>
          <w:spacing w:val="0"/>
          <w:sz w:val="20"/>
          <w:rtl/>
        </w:rPr>
        <w:tab/>
        <w:t>اعتماد القانون رقم 15/2004 في عام 2004</w:t>
      </w:r>
      <w:r w:rsidRPr="004E0A37">
        <w:rPr>
          <w:rFonts w:hint="cs"/>
          <w:spacing w:val="0"/>
          <w:sz w:val="20"/>
          <w:rtl/>
        </w:rPr>
        <w:t xml:space="preserve"> </w:t>
      </w:r>
      <w:r w:rsidRPr="004E0A37">
        <w:rPr>
          <w:spacing w:val="0"/>
          <w:sz w:val="20"/>
          <w:rtl/>
        </w:rPr>
        <w:t xml:space="preserve">المتعلق </w:t>
      </w:r>
      <w:r w:rsidRPr="004E0A37">
        <w:rPr>
          <w:rFonts w:hint="cs"/>
          <w:spacing w:val="0"/>
          <w:sz w:val="20"/>
          <w:rtl/>
        </w:rPr>
        <w:t xml:space="preserve">بالأدلة </w:t>
      </w:r>
      <w:r w:rsidRPr="004E0A37">
        <w:rPr>
          <w:spacing w:val="0"/>
          <w:sz w:val="20"/>
          <w:rtl/>
        </w:rPr>
        <w:t xml:space="preserve">وكيفية </w:t>
      </w:r>
      <w:r w:rsidRPr="004E0A37">
        <w:rPr>
          <w:rFonts w:hint="cs"/>
          <w:spacing w:val="0"/>
          <w:sz w:val="20"/>
          <w:rtl/>
        </w:rPr>
        <w:t>الحصول عليها</w:t>
      </w:r>
      <w:r w:rsidRPr="004E0A37">
        <w:rPr>
          <w:spacing w:val="0"/>
          <w:sz w:val="20"/>
          <w:rtl/>
        </w:rPr>
        <w:t>؛</w:t>
      </w:r>
    </w:p>
    <w:p w:rsidR="004E0A37" w:rsidRPr="004E0A37" w:rsidRDefault="004E0A37" w:rsidP="004E0A37">
      <w:pPr>
        <w:pStyle w:val="SingleTxtGA"/>
        <w:jc w:val="lowKashida"/>
        <w:rPr>
          <w:spacing w:val="0"/>
          <w:sz w:val="20"/>
          <w:rtl/>
        </w:rPr>
      </w:pPr>
      <w:r w:rsidRPr="004E0A37">
        <w:rPr>
          <w:spacing w:val="0"/>
          <w:sz w:val="20"/>
          <w:rtl/>
        </w:rPr>
        <w:tab/>
        <w:t>(د)</w:t>
      </w:r>
      <w:r w:rsidRPr="004E0A37">
        <w:rPr>
          <w:spacing w:val="0"/>
          <w:sz w:val="20"/>
          <w:rtl/>
        </w:rPr>
        <w:tab/>
        <w:t>اعتماد القانون رقم 27/2001 في عام 2001 المتعلق بحقوق الطفل وحماي</w:t>
      </w:r>
      <w:r w:rsidRPr="004E0A37">
        <w:rPr>
          <w:rFonts w:hint="cs"/>
          <w:spacing w:val="0"/>
          <w:sz w:val="20"/>
          <w:rtl/>
        </w:rPr>
        <w:t>ته</w:t>
      </w:r>
      <w:r w:rsidRPr="004E0A37">
        <w:rPr>
          <w:spacing w:val="0"/>
          <w:sz w:val="20"/>
          <w:rtl/>
        </w:rPr>
        <w:t xml:space="preserve"> من العنف</w:t>
      </w:r>
      <w:r w:rsidRPr="004E0A37">
        <w:rPr>
          <w:rFonts w:hint="cs"/>
          <w:spacing w:val="0"/>
          <w:sz w:val="20"/>
          <w:rtl/>
        </w:rPr>
        <w:t xml:space="preserve"> </w:t>
      </w:r>
      <w:r w:rsidRPr="004E0A37">
        <w:rPr>
          <w:spacing w:val="0"/>
          <w:sz w:val="20"/>
          <w:rtl/>
        </w:rPr>
        <w:t>وهو قانون ينص على أنه لا يجوز إخضاع الطفل للتعذيب أو المعاملة القاسية أو اللاإنسانية أو المهينة؛</w:t>
      </w:r>
    </w:p>
    <w:p w:rsidR="004E0A37" w:rsidRPr="004E0A37" w:rsidRDefault="004E0A37" w:rsidP="004E0A37">
      <w:pPr>
        <w:pStyle w:val="SingleTxtGA"/>
        <w:jc w:val="lowKashida"/>
        <w:rPr>
          <w:spacing w:val="0"/>
          <w:sz w:val="20"/>
          <w:rtl/>
        </w:rPr>
      </w:pPr>
      <w:r w:rsidRPr="004E0A37">
        <w:rPr>
          <w:spacing w:val="0"/>
          <w:sz w:val="20"/>
          <w:rtl/>
        </w:rPr>
        <w:tab/>
        <w:t>(</w:t>
      </w:r>
      <w:r w:rsidRPr="004E0A37">
        <w:rPr>
          <w:rFonts w:hint="cs"/>
          <w:spacing w:val="0"/>
          <w:sz w:val="20"/>
          <w:rtl/>
        </w:rPr>
        <w:t>ﻫ</w:t>
      </w:r>
      <w:r w:rsidRPr="004E0A37">
        <w:rPr>
          <w:spacing w:val="0"/>
          <w:sz w:val="20"/>
          <w:rtl/>
        </w:rPr>
        <w:t>)</w:t>
      </w:r>
      <w:r w:rsidRPr="004E0A37">
        <w:rPr>
          <w:spacing w:val="0"/>
          <w:sz w:val="20"/>
          <w:rtl/>
        </w:rPr>
        <w:tab/>
        <w:t>اعتماد القانون الأساسي رقم 37/2007 في عام 2007</w:t>
      </w:r>
      <w:r w:rsidRPr="004E0A37">
        <w:rPr>
          <w:rFonts w:hint="cs"/>
          <w:spacing w:val="0"/>
          <w:sz w:val="20"/>
          <w:rtl/>
        </w:rPr>
        <w:t xml:space="preserve"> </w:t>
      </w:r>
      <w:r w:rsidRPr="004E0A37">
        <w:rPr>
          <w:spacing w:val="0"/>
          <w:sz w:val="20"/>
          <w:rtl/>
        </w:rPr>
        <w:t>بشأن إلغاء عقوبة</w:t>
      </w:r>
      <w:r w:rsidRPr="004E0A37">
        <w:rPr>
          <w:rFonts w:hint="cs"/>
          <w:spacing w:val="0"/>
          <w:sz w:val="20"/>
          <w:rtl/>
        </w:rPr>
        <w:t> </w:t>
      </w:r>
      <w:r w:rsidRPr="004E0A37">
        <w:rPr>
          <w:spacing w:val="0"/>
          <w:sz w:val="20"/>
          <w:rtl/>
        </w:rPr>
        <w:t>الإعدام؛</w:t>
      </w:r>
    </w:p>
    <w:p w:rsidR="004E0A37" w:rsidRPr="004E0A37" w:rsidRDefault="004E0A37" w:rsidP="004E0A37">
      <w:pPr>
        <w:pStyle w:val="SingleTxtGA"/>
        <w:jc w:val="lowKashida"/>
        <w:rPr>
          <w:spacing w:val="0"/>
          <w:sz w:val="20"/>
          <w:rtl/>
        </w:rPr>
      </w:pPr>
      <w:r w:rsidRPr="004E0A37">
        <w:rPr>
          <w:spacing w:val="0"/>
          <w:sz w:val="20"/>
          <w:rtl/>
        </w:rPr>
        <w:tab/>
        <w:t>(و)</w:t>
      </w:r>
      <w:r w:rsidRPr="004E0A37">
        <w:rPr>
          <w:spacing w:val="0"/>
          <w:sz w:val="20"/>
          <w:rtl/>
        </w:rPr>
        <w:tab/>
        <w:t xml:space="preserve">اعتماد قانون </w:t>
      </w:r>
      <w:r w:rsidRPr="004E0A37">
        <w:rPr>
          <w:rFonts w:hint="cs"/>
          <w:spacing w:val="0"/>
          <w:sz w:val="20"/>
          <w:rtl/>
        </w:rPr>
        <w:t xml:space="preserve">في عام 2008 </w:t>
      </w:r>
      <w:r w:rsidRPr="004E0A37">
        <w:rPr>
          <w:spacing w:val="0"/>
          <w:sz w:val="20"/>
          <w:rtl/>
        </w:rPr>
        <w:t xml:space="preserve">بشأن </w:t>
      </w:r>
      <w:r w:rsidRPr="004E0A37">
        <w:rPr>
          <w:rFonts w:hint="cs"/>
          <w:spacing w:val="0"/>
          <w:sz w:val="20"/>
          <w:rtl/>
        </w:rPr>
        <w:t xml:space="preserve">منع </w:t>
      </w:r>
      <w:r w:rsidRPr="004E0A37">
        <w:rPr>
          <w:spacing w:val="0"/>
          <w:sz w:val="20"/>
          <w:rtl/>
        </w:rPr>
        <w:t>العنف القائم على نوع الجنس والمعاقبة عليه.</w:t>
      </w:r>
    </w:p>
    <w:p w:rsidR="004E0A37" w:rsidRPr="004E0A37" w:rsidRDefault="004E0A37" w:rsidP="004E0A37">
      <w:pPr>
        <w:pStyle w:val="SingleTxtGA"/>
        <w:jc w:val="lowKashida"/>
        <w:rPr>
          <w:spacing w:val="0"/>
          <w:sz w:val="20"/>
          <w:rtl/>
        </w:rPr>
      </w:pPr>
      <w:r w:rsidRPr="004E0A37">
        <w:rPr>
          <w:rFonts w:hint="cs"/>
          <w:spacing w:val="0"/>
          <w:sz w:val="20"/>
          <w:rtl/>
        </w:rPr>
        <w:t>(</w:t>
      </w:r>
      <w:r w:rsidRPr="004E0A37">
        <w:rPr>
          <w:spacing w:val="0"/>
          <w:sz w:val="20"/>
          <w:rtl/>
        </w:rPr>
        <w:t>6</w:t>
      </w:r>
      <w:r w:rsidR="003E72B5">
        <w:rPr>
          <w:rFonts w:hint="cs"/>
          <w:spacing w:val="0"/>
          <w:sz w:val="20"/>
          <w:rtl/>
        </w:rPr>
        <w:t>)</w:t>
      </w:r>
      <w:r w:rsidR="003E72B5">
        <w:rPr>
          <w:rFonts w:hint="cs"/>
          <w:spacing w:val="0"/>
          <w:sz w:val="20"/>
          <w:rtl/>
        </w:rPr>
        <w:tab/>
      </w:r>
      <w:r w:rsidRPr="004E0A37">
        <w:rPr>
          <w:spacing w:val="0"/>
          <w:sz w:val="20"/>
          <w:rtl/>
        </w:rPr>
        <w:t xml:space="preserve">وترحب اللجنة أيضاً بالجهود التي بذلتها الدولة الطرف </w:t>
      </w:r>
      <w:r w:rsidR="00F96B1E">
        <w:rPr>
          <w:spacing w:val="0"/>
          <w:sz w:val="20"/>
          <w:rtl/>
        </w:rPr>
        <w:t>فيما </w:t>
      </w:r>
      <w:r w:rsidRPr="004E0A37">
        <w:rPr>
          <w:spacing w:val="0"/>
          <w:sz w:val="20"/>
          <w:rtl/>
        </w:rPr>
        <w:t>يتعلق بالسياسات والإجراءات الجارية، بما في ذلك إنشاء مكتب أمين المظالم.</w:t>
      </w:r>
    </w:p>
    <w:p w:rsidR="004E0A37" w:rsidRPr="00C27568" w:rsidRDefault="007223C0" w:rsidP="00B65A46">
      <w:pPr>
        <w:pStyle w:val="H23GA"/>
        <w:tabs>
          <w:tab w:val="left" w:pos="1938"/>
        </w:tabs>
        <w:rPr>
          <w:spacing w:val="0"/>
          <w:rtl/>
        </w:rPr>
      </w:pPr>
      <w:r>
        <w:rPr>
          <w:rFonts w:hint="cs"/>
          <w:spacing w:val="0"/>
          <w:rtl/>
        </w:rPr>
        <w:tab/>
      </w:r>
      <w:r>
        <w:rPr>
          <w:rFonts w:hint="cs"/>
          <w:spacing w:val="0"/>
          <w:rtl/>
        </w:rPr>
        <w:tab/>
        <w:t>جيم-</w:t>
      </w:r>
      <w:r w:rsidR="004E0A37" w:rsidRPr="00C27568">
        <w:rPr>
          <w:spacing w:val="0"/>
          <w:rtl/>
        </w:rPr>
        <w:tab/>
        <w:t>دواعي القلق الرئيسية والتوصيات</w:t>
      </w:r>
    </w:p>
    <w:p w:rsidR="004E0A37" w:rsidRPr="00C27568" w:rsidRDefault="004E0A37" w:rsidP="00C27568">
      <w:pPr>
        <w:pStyle w:val="H23GA"/>
        <w:rPr>
          <w:spacing w:val="0"/>
          <w:rtl/>
        </w:rPr>
      </w:pPr>
      <w:r w:rsidRPr="00C27568">
        <w:rPr>
          <w:rFonts w:hint="cs"/>
          <w:spacing w:val="0"/>
          <w:rtl/>
        </w:rPr>
        <w:tab/>
      </w:r>
      <w:r w:rsidRPr="00C27568">
        <w:rPr>
          <w:rFonts w:hint="cs"/>
          <w:spacing w:val="0"/>
          <w:rtl/>
        </w:rPr>
        <w:tab/>
      </w:r>
      <w:r w:rsidRPr="00C27568">
        <w:rPr>
          <w:rFonts w:hint="eastAsia"/>
          <w:spacing w:val="0"/>
          <w:rtl/>
        </w:rPr>
        <w:t>تعريف</w:t>
      </w:r>
      <w:r w:rsidRPr="00C27568">
        <w:rPr>
          <w:spacing w:val="0"/>
          <w:rtl/>
        </w:rPr>
        <w:t xml:space="preserve"> التعذيب وتجريمه</w:t>
      </w:r>
    </w:p>
    <w:p w:rsidR="004E0A37" w:rsidRPr="004E0A37" w:rsidRDefault="004E0A37" w:rsidP="00C27568">
      <w:pPr>
        <w:pStyle w:val="SingleTxtGA"/>
        <w:jc w:val="lowKashida"/>
        <w:rPr>
          <w:spacing w:val="0"/>
          <w:sz w:val="20"/>
          <w:rtl/>
        </w:rPr>
      </w:pPr>
      <w:r w:rsidRPr="004E0A37">
        <w:rPr>
          <w:rFonts w:hint="cs"/>
          <w:spacing w:val="0"/>
          <w:sz w:val="20"/>
          <w:rtl/>
        </w:rPr>
        <w:t>(</w:t>
      </w:r>
      <w:r w:rsidRPr="004E0A37">
        <w:rPr>
          <w:spacing w:val="0"/>
          <w:sz w:val="20"/>
          <w:rtl/>
        </w:rPr>
        <w:t>7</w:t>
      </w:r>
      <w:r w:rsidR="003E72B5">
        <w:rPr>
          <w:rFonts w:hint="cs"/>
          <w:spacing w:val="0"/>
          <w:sz w:val="20"/>
          <w:rtl/>
        </w:rPr>
        <w:t>)</w:t>
      </w:r>
      <w:r w:rsidR="003E72B5">
        <w:rPr>
          <w:rFonts w:hint="cs"/>
          <w:spacing w:val="0"/>
          <w:sz w:val="20"/>
          <w:rtl/>
        </w:rPr>
        <w:tab/>
      </w:r>
      <w:r w:rsidRPr="004E0A37">
        <w:rPr>
          <w:rFonts w:hint="cs"/>
          <w:spacing w:val="0"/>
          <w:sz w:val="20"/>
          <w:rtl/>
        </w:rPr>
        <w:t xml:space="preserve">في حين </w:t>
      </w:r>
      <w:r w:rsidRPr="004E0A37">
        <w:rPr>
          <w:spacing w:val="0"/>
          <w:sz w:val="20"/>
          <w:rtl/>
        </w:rPr>
        <w:t xml:space="preserve">ترحب اللجنة بالمعلومات المقدمة من الوفد التي تفيد </w:t>
      </w:r>
      <w:r w:rsidRPr="004E0A37">
        <w:rPr>
          <w:rFonts w:hint="cs"/>
          <w:spacing w:val="0"/>
          <w:sz w:val="20"/>
          <w:rtl/>
        </w:rPr>
        <w:t>ب</w:t>
      </w:r>
      <w:r w:rsidRPr="004E0A37">
        <w:rPr>
          <w:spacing w:val="0"/>
          <w:sz w:val="20"/>
          <w:rtl/>
        </w:rPr>
        <w:t>أن القانون الجنائي الذي اعتُمد حديثاً دون إصداره بعد، يتضمن تعريفاً للتعذيب في المادة 166</w:t>
      </w:r>
      <w:r w:rsidRPr="004E0A37">
        <w:rPr>
          <w:rFonts w:hint="cs"/>
          <w:spacing w:val="0"/>
          <w:sz w:val="20"/>
          <w:rtl/>
        </w:rPr>
        <w:t xml:space="preserve"> منه</w:t>
      </w:r>
      <w:r w:rsidRPr="004E0A37">
        <w:rPr>
          <w:spacing w:val="0"/>
          <w:sz w:val="20"/>
          <w:rtl/>
        </w:rPr>
        <w:t xml:space="preserve">، </w:t>
      </w:r>
      <w:r w:rsidRPr="004E0A37">
        <w:rPr>
          <w:rFonts w:hint="cs"/>
          <w:spacing w:val="0"/>
          <w:sz w:val="20"/>
          <w:rtl/>
        </w:rPr>
        <w:t>فإنها تشعر</w:t>
      </w:r>
      <w:r w:rsidR="00C27568">
        <w:rPr>
          <w:rFonts w:hint="eastAsia"/>
          <w:spacing w:val="0"/>
          <w:sz w:val="20"/>
          <w:rtl/>
        </w:rPr>
        <w:t> </w:t>
      </w:r>
      <w:r w:rsidRPr="004E0A37">
        <w:rPr>
          <w:rFonts w:hint="cs"/>
          <w:spacing w:val="0"/>
          <w:sz w:val="20"/>
          <w:rtl/>
        </w:rPr>
        <w:t>ب</w:t>
      </w:r>
      <w:r w:rsidRPr="004E0A37">
        <w:rPr>
          <w:spacing w:val="0"/>
          <w:sz w:val="20"/>
          <w:rtl/>
        </w:rPr>
        <w:t>القلق لأن العقوبات (التي تتراوح بين ستة أشهر وخمس سنوات) المنصوص عليها في</w:t>
      </w:r>
      <w:r w:rsidRPr="004E0A37">
        <w:rPr>
          <w:rFonts w:hint="cs"/>
          <w:spacing w:val="0"/>
          <w:sz w:val="20"/>
          <w:rtl/>
        </w:rPr>
        <w:t> </w:t>
      </w:r>
      <w:r w:rsidRPr="004E0A37">
        <w:rPr>
          <w:spacing w:val="0"/>
          <w:sz w:val="20"/>
          <w:rtl/>
        </w:rPr>
        <w:t>المادة</w:t>
      </w:r>
      <w:r w:rsidRPr="004E0A37">
        <w:rPr>
          <w:rFonts w:hint="cs"/>
          <w:spacing w:val="0"/>
          <w:sz w:val="20"/>
          <w:rtl/>
        </w:rPr>
        <w:t> </w:t>
      </w:r>
      <w:r w:rsidRPr="004E0A37">
        <w:rPr>
          <w:spacing w:val="0"/>
          <w:sz w:val="20"/>
          <w:rtl/>
        </w:rPr>
        <w:t>205 من القانو</w:t>
      </w:r>
      <w:r w:rsidRPr="004E0A37">
        <w:rPr>
          <w:rFonts w:hint="eastAsia"/>
          <w:spacing w:val="0"/>
          <w:sz w:val="20"/>
          <w:rtl/>
        </w:rPr>
        <w:t>ن</w:t>
      </w:r>
      <w:r w:rsidRPr="004E0A37">
        <w:rPr>
          <w:spacing w:val="0"/>
          <w:sz w:val="20"/>
          <w:rtl/>
        </w:rPr>
        <w:t xml:space="preserve"> المذكور، هي عقوبات مخففة. وفضلاً عن ذلك، فإن هذه العقوبات لا تشمل أفعال التعذيب التي يترتب عليها إلحاق أذى عقلي أو التسبب في معاناة (المادتان</w:t>
      </w:r>
      <w:r w:rsidRPr="004E0A37">
        <w:rPr>
          <w:rFonts w:hint="cs"/>
          <w:spacing w:val="0"/>
          <w:sz w:val="20"/>
          <w:rtl/>
        </w:rPr>
        <w:t> </w:t>
      </w:r>
      <w:r w:rsidRPr="004E0A37">
        <w:rPr>
          <w:spacing w:val="0"/>
          <w:sz w:val="20"/>
          <w:rtl/>
        </w:rPr>
        <w:t>1 و4).</w:t>
      </w:r>
    </w:p>
    <w:p w:rsidR="004E0A37" w:rsidRPr="00C27568" w:rsidRDefault="004E0A37" w:rsidP="004E0A37">
      <w:pPr>
        <w:pStyle w:val="SingleTxtGA"/>
        <w:jc w:val="lowKashida"/>
        <w:rPr>
          <w:b/>
          <w:bCs/>
          <w:spacing w:val="0"/>
          <w:sz w:val="20"/>
          <w:rtl/>
        </w:rPr>
      </w:pPr>
      <w:r w:rsidRPr="00C27568">
        <w:rPr>
          <w:b/>
          <w:bCs/>
          <w:spacing w:val="0"/>
          <w:sz w:val="20"/>
          <w:rtl/>
        </w:rPr>
        <w:tab/>
      </w:r>
      <w:r w:rsidRPr="00C27568">
        <w:rPr>
          <w:rFonts w:hint="cs"/>
          <w:b/>
          <w:bCs/>
          <w:spacing w:val="0"/>
          <w:sz w:val="20"/>
          <w:rtl/>
        </w:rPr>
        <w:t xml:space="preserve">ينبغي </w:t>
      </w:r>
      <w:r w:rsidRPr="00C27568">
        <w:rPr>
          <w:b/>
          <w:bCs/>
          <w:spacing w:val="0"/>
          <w:sz w:val="20"/>
          <w:rtl/>
        </w:rPr>
        <w:t>أن تصدر الدولة الطرف وتنفذ القانون الجنائي المعتمد حديثاً، في أسرع وقت ممكن، وأن تكفل تعريف التعذيب</w:t>
      </w:r>
      <w:r w:rsidR="00B345DB" w:rsidRPr="00C27568">
        <w:rPr>
          <w:b/>
          <w:bCs/>
          <w:spacing w:val="0"/>
          <w:sz w:val="20"/>
          <w:rtl/>
        </w:rPr>
        <w:t xml:space="preserve"> وفقاً </w:t>
      </w:r>
      <w:r w:rsidRPr="00C27568">
        <w:rPr>
          <w:b/>
          <w:bCs/>
          <w:spacing w:val="0"/>
          <w:sz w:val="20"/>
          <w:rtl/>
        </w:rPr>
        <w:t xml:space="preserve">لأحكام الاتفاقية. وينبغي للدولة الطرف أيضاً أن تكفل </w:t>
      </w:r>
      <w:r w:rsidRPr="00C27568">
        <w:rPr>
          <w:rFonts w:hint="cs"/>
          <w:b/>
          <w:bCs/>
          <w:spacing w:val="0"/>
          <w:sz w:val="20"/>
          <w:rtl/>
        </w:rPr>
        <w:t>إدراج حكم</w:t>
      </w:r>
      <w:r w:rsidRPr="00C27568">
        <w:rPr>
          <w:b/>
          <w:bCs/>
          <w:spacing w:val="0"/>
          <w:sz w:val="20"/>
          <w:rtl/>
        </w:rPr>
        <w:t xml:space="preserve"> في ذلك القانون </w:t>
      </w:r>
      <w:r w:rsidRPr="00C27568">
        <w:rPr>
          <w:rFonts w:hint="cs"/>
          <w:b/>
          <w:bCs/>
          <w:spacing w:val="0"/>
          <w:sz w:val="20"/>
          <w:rtl/>
        </w:rPr>
        <w:t xml:space="preserve">ينص </w:t>
      </w:r>
      <w:r w:rsidRPr="00C27568">
        <w:rPr>
          <w:b/>
          <w:bCs/>
          <w:spacing w:val="0"/>
          <w:sz w:val="20"/>
          <w:rtl/>
        </w:rPr>
        <w:t xml:space="preserve">على عقوبات مناسبة بشأن أفعال التعذيب بما في ذلك إلحاق أذى عقلي أو التسبب </w:t>
      </w:r>
      <w:r w:rsidRPr="00C27568">
        <w:rPr>
          <w:rFonts w:hint="eastAsia"/>
          <w:b/>
          <w:bCs/>
          <w:spacing w:val="0"/>
          <w:sz w:val="20"/>
          <w:rtl/>
        </w:rPr>
        <w:t>في</w:t>
      </w:r>
      <w:r w:rsidRPr="00C27568">
        <w:rPr>
          <w:b/>
          <w:bCs/>
          <w:spacing w:val="0"/>
          <w:sz w:val="20"/>
          <w:rtl/>
        </w:rPr>
        <w:t xml:space="preserve"> معاناة.</w:t>
      </w:r>
    </w:p>
    <w:p w:rsidR="004E0A37" w:rsidRPr="00C27568" w:rsidRDefault="004E0A37" w:rsidP="00C27568">
      <w:pPr>
        <w:pStyle w:val="H23GA"/>
        <w:rPr>
          <w:spacing w:val="0"/>
          <w:rtl/>
        </w:rPr>
      </w:pPr>
      <w:r w:rsidRPr="00C27568">
        <w:rPr>
          <w:rFonts w:hint="cs"/>
          <w:spacing w:val="0"/>
          <w:rtl/>
        </w:rPr>
        <w:tab/>
      </w:r>
      <w:r w:rsidRPr="00C27568">
        <w:rPr>
          <w:rFonts w:hint="cs"/>
          <w:spacing w:val="0"/>
          <w:rtl/>
        </w:rPr>
        <w:tab/>
      </w:r>
      <w:r w:rsidRPr="00C27568">
        <w:rPr>
          <w:rFonts w:hint="eastAsia"/>
          <w:spacing w:val="0"/>
          <w:rtl/>
        </w:rPr>
        <w:t>التطبيق</w:t>
      </w:r>
      <w:r w:rsidRPr="00C27568">
        <w:rPr>
          <w:spacing w:val="0"/>
          <w:rtl/>
        </w:rPr>
        <w:t xml:space="preserve"> المباشر للاتفاقية أمام المحاكم الوطنية</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8</w:t>
      </w:r>
      <w:r w:rsidR="003E72B5">
        <w:rPr>
          <w:spacing w:val="0"/>
          <w:sz w:val="20"/>
          <w:rtl/>
        </w:rPr>
        <w:t>)</w:t>
      </w:r>
      <w:r w:rsidR="003E72B5">
        <w:rPr>
          <w:spacing w:val="0"/>
          <w:sz w:val="20"/>
          <w:rtl/>
        </w:rPr>
        <w:tab/>
      </w:r>
      <w:r w:rsidR="004E0A37" w:rsidRPr="004E0A37">
        <w:rPr>
          <w:rFonts w:hint="cs"/>
          <w:spacing w:val="0"/>
          <w:sz w:val="20"/>
          <w:rtl/>
        </w:rPr>
        <w:t xml:space="preserve">في حين تشير </w:t>
      </w:r>
      <w:r w:rsidR="004E0A37" w:rsidRPr="004E0A37">
        <w:rPr>
          <w:spacing w:val="0"/>
          <w:sz w:val="20"/>
          <w:rtl/>
        </w:rPr>
        <w:t xml:space="preserve">اللجنة </w:t>
      </w:r>
      <w:r w:rsidR="004E0A37" w:rsidRPr="004E0A37">
        <w:rPr>
          <w:rFonts w:hint="cs"/>
          <w:spacing w:val="0"/>
          <w:sz w:val="20"/>
          <w:rtl/>
        </w:rPr>
        <w:t xml:space="preserve">إلى إمكانية </w:t>
      </w:r>
      <w:r w:rsidR="004E0A37" w:rsidRPr="004E0A37">
        <w:rPr>
          <w:spacing w:val="0"/>
          <w:sz w:val="20"/>
          <w:rtl/>
        </w:rPr>
        <w:t xml:space="preserve">الاحتجاج بالاتفاقية مباشرة أمام المحاكم الوطنية، </w:t>
      </w:r>
      <w:r w:rsidR="004E0A37" w:rsidRPr="004E0A37">
        <w:rPr>
          <w:rFonts w:hint="cs"/>
          <w:spacing w:val="0"/>
          <w:sz w:val="20"/>
          <w:rtl/>
        </w:rPr>
        <w:t xml:space="preserve">فهي </w:t>
      </w:r>
      <w:r w:rsidR="004E0A37" w:rsidRPr="004E0A37">
        <w:rPr>
          <w:spacing w:val="0"/>
          <w:sz w:val="20"/>
          <w:rtl/>
        </w:rPr>
        <w:t xml:space="preserve">تعرب عن قلقها إزاء الافتقار لمعلومات </w:t>
      </w:r>
      <w:r w:rsidR="004E0A37" w:rsidRPr="004E0A37">
        <w:rPr>
          <w:rFonts w:hint="cs"/>
          <w:spacing w:val="0"/>
          <w:sz w:val="20"/>
          <w:rtl/>
        </w:rPr>
        <w:t>عن ال</w:t>
      </w:r>
      <w:r w:rsidR="004E0A37" w:rsidRPr="004E0A37">
        <w:rPr>
          <w:spacing w:val="0"/>
          <w:sz w:val="20"/>
          <w:rtl/>
        </w:rPr>
        <w:t xml:space="preserve">حالات </w:t>
      </w:r>
      <w:r w:rsidR="004E0A37" w:rsidRPr="004E0A37">
        <w:rPr>
          <w:rFonts w:hint="cs"/>
          <w:spacing w:val="0"/>
          <w:sz w:val="20"/>
          <w:rtl/>
        </w:rPr>
        <w:t xml:space="preserve">التي </w:t>
      </w:r>
      <w:r w:rsidR="004E0A37" w:rsidRPr="004E0A37">
        <w:rPr>
          <w:spacing w:val="0"/>
          <w:sz w:val="20"/>
          <w:rtl/>
        </w:rPr>
        <w:t xml:space="preserve">طُبقت فيها الاتفاقية أو تم الاحتجاج </w:t>
      </w:r>
      <w:r w:rsidR="004E0A37" w:rsidRPr="004E0A37">
        <w:rPr>
          <w:rFonts w:hint="cs"/>
          <w:spacing w:val="0"/>
          <w:sz w:val="20"/>
          <w:rtl/>
        </w:rPr>
        <w:t>ب</w:t>
      </w:r>
      <w:r w:rsidR="004E0A37" w:rsidRPr="004E0A37">
        <w:rPr>
          <w:spacing w:val="0"/>
          <w:sz w:val="20"/>
          <w:rtl/>
        </w:rPr>
        <w:t>ها أمام محاكم الدولة الطرف (المواد 2 و10 و12 و13 و16).</w:t>
      </w:r>
    </w:p>
    <w:p w:rsidR="004E0A37" w:rsidRPr="00C27568" w:rsidRDefault="004E0A37" w:rsidP="004E0A37">
      <w:pPr>
        <w:pStyle w:val="SingleTxtGA"/>
        <w:jc w:val="lowKashida"/>
        <w:rPr>
          <w:b/>
          <w:bCs/>
          <w:spacing w:val="0"/>
          <w:sz w:val="20"/>
          <w:rtl/>
        </w:rPr>
      </w:pPr>
      <w:r w:rsidRPr="00C27568">
        <w:rPr>
          <w:b/>
          <w:bCs/>
          <w:spacing w:val="0"/>
          <w:sz w:val="20"/>
          <w:rtl/>
        </w:rPr>
        <w:tab/>
        <w:t xml:space="preserve">ينبغي للدولة الطرف أن تكفل تلقي الموظفين العموميين والقضاة وقضاة محكمة الصلح والمدعين العامين والمحامين التدريب </w:t>
      </w:r>
      <w:r w:rsidRPr="00C27568">
        <w:rPr>
          <w:rFonts w:hint="cs"/>
          <w:b/>
          <w:bCs/>
          <w:spacing w:val="0"/>
          <w:sz w:val="20"/>
          <w:rtl/>
        </w:rPr>
        <w:t xml:space="preserve">على </w:t>
      </w:r>
      <w:r w:rsidRPr="00C27568">
        <w:rPr>
          <w:b/>
          <w:bCs/>
          <w:spacing w:val="0"/>
          <w:sz w:val="20"/>
          <w:rtl/>
        </w:rPr>
        <w:t xml:space="preserve">أحكام الاتفاقية لتيسير الاحتجاج بها مباشرة أمام المحاكم الوطنية وتطبيقها. وينبغي للدولة الطرف أيضاً أن تكفل، أثناء الفترة الانتقالية قبل </w:t>
      </w:r>
      <w:r w:rsidRPr="00C27568">
        <w:rPr>
          <w:rFonts w:hint="eastAsia"/>
          <w:b/>
          <w:bCs/>
          <w:spacing w:val="0"/>
          <w:sz w:val="20"/>
          <w:rtl/>
        </w:rPr>
        <w:t>إصدار</w:t>
      </w:r>
      <w:r w:rsidRPr="00C27568">
        <w:rPr>
          <w:b/>
          <w:bCs/>
          <w:spacing w:val="0"/>
          <w:sz w:val="20"/>
          <w:rtl/>
        </w:rPr>
        <w:t xml:space="preserve"> القانون الجديد، التعويض عن الافتقار لتعريف التعذيب في القانون الجنائي من خلال التطبيق المباشر من جانب المحاكم الوطنية لتعريف التعذيب الوارد في الاتفاقية. وينبغي للدولة الطرف أيضاً أن تزود اللجنة، في تقريرها الدوري المقبل، بمعلومات توضح </w:t>
      </w:r>
      <w:r w:rsidRPr="00C27568">
        <w:rPr>
          <w:rFonts w:hint="cs"/>
          <w:b/>
          <w:bCs/>
          <w:spacing w:val="0"/>
          <w:sz w:val="20"/>
          <w:rtl/>
        </w:rPr>
        <w:t>ال</w:t>
      </w:r>
      <w:r w:rsidRPr="00C27568">
        <w:rPr>
          <w:b/>
          <w:bCs/>
          <w:spacing w:val="0"/>
          <w:sz w:val="20"/>
          <w:rtl/>
        </w:rPr>
        <w:t xml:space="preserve">حالات </w:t>
      </w:r>
      <w:r w:rsidRPr="00C27568">
        <w:rPr>
          <w:rFonts w:hint="cs"/>
          <w:b/>
          <w:bCs/>
          <w:spacing w:val="0"/>
          <w:sz w:val="20"/>
          <w:rtl/>
        </w:rPr>
        <w:t xml:space="preserve">التي </w:t>
      </w:r>
      <w:r w:rsidRPr="00C27568">
        <w:rPr>
          <w:b/>
          <w:bCs/>
          <w:spacing w:val="0"/>
          <w:sz w:val="20"/>
          <w:rtl/>
        </w:rPr>
        <w:t>طبقت فيه</w:t>
      </w:r>
      <w:r w:rsidRPr="00C27568">
        <w:rPr>
          <w:rFonts w:hint="eastAsia"/>
          <w:b/>
          <w:bCs/>
          <w:spacing w:val="0"/>
          <w:sz w:val="20"/>
          <w:rtl/>
        </w:rPr>
        <w:t>ا</w:t>
      </w:r>
      <w:r w:rsidRPr="00C27568">
        <w:rPr>
          <w:b/>
          <w:bCs/>
          <w:spacing w:val="0"/>
          <w:sz w:val="20"/>
          <w:rtl/>
        </w:rPr>
        <w:t xml:space="preserve"> الاتفاقية مباشرة.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الأوامر</w:t>
      </w:r>
      <w:r w:rsidRPr="004E0A37">
        <w:rPr>
          <w:spacing w:val="0"/>
          <w:sz w:val="20"/>
          <w:rtl/>
        </w:rPr>
        <w:t xml:space="preserve"> الصادرة عن الرؤساء</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9</w:t>
      </w:r>
      <w:r w:rsidR="003E72B5">
        <w:rPr>
          <w:spacing w:val="0"/>
          <w:sz w:val="20"/>
          <w:rtl/>
        </w:rPr>
        <w:t>)</w:t>
      </w:r>
      <w:r w:rsidR="003E72B5">
        <w:rPr>
          <w:spacing w:val="0"/>
          <w:sz w:val="20"/>
          <w:rtl/>
        </w:rPr>
        <w:tab/>
      </w:r>
      <w:r w:rsidR="00F96B1E">
        <w:rPr>
          <w:spacing w:val="0"/>
          <w:sz w:val="20"/>
          <w:rtl/>
        </w:rPr>
        <w:t>فيما </w:t>
      </w:r>
      <w:r w:rsidR="004E0A37" w:rsidRPr="004E0A37">
        <w:rPr>
          <w:spacing w:val="0"/>
          <w:sz w:val="20"/>
          <w:rtl/>
        </w:rPr>
        <w:t>تأخذ اللجنة</w:t>
      </w:r>
      <w:r w:rsidR="003833F8">
        <w:rPr>
          <w:spacing w:val="0"/>
          <w:sz w:val="20"/>
          <w:rtl/>
        </w:rPr>
        <w:t xml:space="preserve"> علماً </w:t>
      </w:r>
      <w:r w:rsidR="004E0A37" w:rsidRPr="004E0A37">
        <w:rPr>
          <w:spacing w:val="0"/>
          <w:sz w:val="20"/>
          <w:rtl/>
        </w:rPr>
        <w:t>بأن الفقرة 2 من المادة 48 من الدستور تنص على حق أي مواطن في الاعتراض على أمر صادر عن رئيسه وأن التعليمات الداخلية للشرطة الوطنية تنص أيضاً على أنه لا يجوز للمرؤوسين أن ينفذوا أوامر تخالف القانون، تعرب عن قلقها للافتقار لإجراءات تك</w:t>
      </w:r>
      <w:r w:rsidR="004E0A37" w:rsidRPr="004E0A37">
        <w:rPr>
          <w:rFonts w:hint="eastAsia"/>
          <w:spacing w:val="0"/>
          <w:sz w:val="20"/>
          <w:rtl/>
        </w:rPr>
        <w:t>فل</w:t>
      </w:r>
      <w:r w:rsidR="004E0A37" w:rsidRPr="004E0A37">
        <w:rPr>
          <w:spacing w:val="0"/>
          <w:sz w:val="20"/>
          <w:rtl/>
        </w:rPr>
        <w:t xml:space="preserve"> التنفيذ الفعال لهذه القواعد (المادة 2).</w:t>
      </w:r>
    </w:p>
    <w:p w:rsidR="004E0A37" w:rsidRPr="00C27568" w:rsidRDefault="004E0A37" w:rsidP="004E0A37">
      <w:pPr>
        <w:pStyle w:val="SingleTxtGA"/>
        <w:jc w:val="lowKashida"/>
        <w:rPr>
          <w:b/>
          <w:bCs/>
          <w:spacing w:val="0"/>
          <w:sz w:val="20"/>
          <w:rtl/>
        </w:rPr>
      </w:pPr>
      <w:r w:rsidRPr="00C27568">
        <w:rPr>
          <w:b/>
          <w:bCs/>
          <w:spacing w:val="0"/>
          <w:sz w:val="20"/>
          <w:rtl/>
        </w:rPr>
        <w:tab/>
        <w:t xml:space="preserve">ينبغي للدولة الطرف أن تكفل، </w:t>
      </w:r>
      <w:r w:rsidRPr="00C27568">
        <w:rPr>
          <w:rFonts w:hint="cs"/>
          <w:b/>
          <w:bCs/>
          <w:spacing w:val="0"/>
          <w:sz w:val="20"/>
          <w:rtl/>
        </w:rPr>
        <w:t>في واقع</w:t>
      </w:r>
      <w:r w:rsidRPr="00C27568">
        <w:rPr>
          <w:b/>
          <w:bCs/>
          <w:spacing w:val="0"/>
          <w:sz w:val="20"/>
          <w:rtl/>
        </w:rPr>
        <w:t xml:space="preserve"> الممارسة، حق المرؤوسين رفض تنفيذ أمر صادر عن الرئيس يخالف أحكام الاتفاقية. وينبغي أن تكفل أيضاً، </w:t>
      </w:r>
      <w:r w:rsidRPr="00C27568">
        <w:rPr>
          <w:rFonts w:hint="cs"/>
          <w:b/>
          <w:bCs/>
          <w:spacing w:val="0"/>
          <w:sz w:val="20"/>
          <w:rtl/>
        </w:rPr>
        <w:t xml:space="preserve">في </w:t>
      </w:r>
      <w:r w:rsidRPr="00C27568">
        <w:rPr>
          <w:b/>
          <w:bCs/>
          <w:spacing w:val="0"/>
          <w:sz w:val="20"/>
          <w:rtl/>
        </w:rPr>
        <w:t>الممارسة</w:t>
      </w:r>
      <w:r w:rsidRPr="00C27568">
        <w:rPr>
          <w:rFonts w:hint="cs"/>
          <w:b/>
          <w:bCs/>
          <w:spacing w:val="0"/>
          <w:sz w:val="20"/>
          <w:rtl/>
        </w:rPr>
        <w:t xml:space="preserve"> الفعلية</w:t>
      </w:r>
      <w:r w:rsidRPr="00C27568">
        <w:rPr>
          <w:b/>
          <w:bCs/>
          <w:spacing w:val="0"/>
          <w:sz w:val="20"/>
          <w:rtl/>
        </w:rPr>
        <w:t xml:space="preserve">، </w:t>
      </w:r>
      <w:r w:rsidRPr="00C27568">
        <w:rPr>
          <w:rFonts w:hint="cs"/>
          <w:b/>
          <w:bCs/>
          <w:spacing w:val="0"/>
          <w:sz w:val="20"/>
          <w:rtl/>
        </w:rPr>
        <w:t>أ</w:t>
      </w:r>
      <w:r w:rsidRPr="00C27568">
        <w:rPr>
          <w:b/>
          <w:bCs/>
          <w:spacing w:val="0"/>
          <w:sz w:val="20"/>
          <w:rtl/>
        </w:rPr>
        <w:t>لا</w:t>
      </w:r>
      <w:r w:rsidRPr="00C27568">
        <w:rPr>
          <w:rFonts w:hint="cs"/>
          <w:b/>
          <w:bCs/>
          <w:spacing w:val="0"/>
          <w:sz w:val="20"/>
          <w:rtl/>
        </w:rPr>
        <w:t> </w:t>
      </w:r>
      <w:r w:rsidRPr="00C27568">
        <w:rPr>
          <w:b/>
          <w:bCs/>
          <w:spacing w:val="0"/>
          <w:sz w:val="20"/>
          <w:rtl/>
        </w:rPr>
        <w:t>يكون تنفيذ مثل هذا الأمر مبرر</w:t>
      </w:r>
      <w:r w:rsidRPr="00C27568">
        <w:rPr>
          <w:rFonts w:hint="cs"/>
          <w:b/>
          <w:bCs/>
          <w:spacing w:val="0"/>
          <w:sz w:val="20"/>
          <w:rtl/>
        </w:rPr>
        <w:t>اً</w:t>
      </w:r>
      <w:r w:rsidRPr="00C27568">
        <w:rPr>
          <w:b/>
          <w:bCs/>
          <w:spacing w:val="0"/>
          <w:sz w:val="20"/>
          <w:rtl/>
        </w:rPr>
        <w:t xml:space="preserve"> </w:t>
      </w:r>
      <w:r w:rsidRPr="00C27568">
        <w:rPr>
          <w:rFonts w:hint="cs"/>
          <w:b/>
          <w:bCs/>
          <w:spacing w:val="0"/>
          <w:sz w:val="20"/>
          <w:rtl/>
        </w:rPr>
        <w:t>لممارسة ا</w:t>
      </w:r>
      <w:r w:rsidRPr="00C27568">
        <w:rPr>
          <w:b/>
          <w:bCs/>
          <w:spacing w:val="0"/>
          <w:sz w:val="20"/>
          <w:rtl/>
        </w:rPr>
        <w:t xml:space="preserve">لتعذيب، وذلك </w:t>
      </w:r>
      <w:r w:rsidRPr="00C27568">
        <w:rPr>
          <w:rFonts w:hint="cs"/>
          <w:b/>
          <w:bCs/>
          <w:spacing w:val="0"/>
          <w:sz w:val="20"/>
          <w:rtl/>
        </w:rPr>
        <w:t>في سبيل الامتثال التام ل</w:t>
      </w:r>
      <w:r w:rsidRPr="00C27568">
        <w:rPr>
          <w:b/>
          <w:bCs/>
          <w:spacing w:val="0"/>
          <w:sz w:val="20"/>
          <w:rtl/>
        </w:rPr>
        <w:t>أحكام الفقرة 3 من المادة 2 من الاتفاقية.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الادعاءات</w:t>
      </w:r>
      <w:r w:rsidRPr="004E0A37">
        <w:rPr>
          <w:spacing w:val="0"/>
          <w:sz w:val="20"/>
          <w:rtl/>
        </w:rPr>
        <w:t xml:space="preserve"> بالتعذيب وسوء المعاملة</w:t>
      </w:r>
    </w:p>
    <w:p w:rsidR="004E0A37" w:rsidRPr="00C27568" w:rsidRDefault="00AC7D2B" w:rsidP="00C27568">
      <w:pPr>
        <w:pStyle w:val="SingleTxtGA"/>
        <w:jc w:val="lowKashida"/>
        <w:rPr>
          <w:spacing w:val="-4"/>
          <w:sz w:val="20"/>
          <w:rtl/>
        </w:rPr>
      </w:pPr>
      <w:r w:rsidRPr="00C27568">
        <w:rPr>
          <w:rFonts w:hint="cs"/>
          <w:spacing w:val="-4"/>
          <w:sz w:val="20"/>
          <w:rtl/>
        </w:rPr>
        <w:t>(</w:t>
      </w:r>
      <w:r w:rsidR="004E0A37" w:rsidRPr="00C27568">
        <w:rPr>
          <w:spacing w:val="-4"/>
          <w:sz w:val="20"/>
          <w:rtl/>
        </w:rPr>
        <w:t>10</w:t>
      </w:r>
      <w:r w:rsidR="003E72B5" w:rsidRPr="00C27568">
        <w:rPr>
          <w:spacing w:val="-4"/>
          <w:sz w:val="20"/>
          <w:rtl/>
        </w:rPr>
        <w:t>)</w:t>
      </w:r>
      <w:r w:rsidR="003E72B5" w:rsidRPr="00C27568">
        <w:rPr>
          <w:spacing w:val="-4"/>
          <w:sz w:val="20"/>
          <w:rtl/>
        </w:rPr>
        <w:tab/>
      </w:r>
      <w:r w:rsidR="004E0A37" w:rsidRPr="00C27568">
        <w:rPr>
          <w:spacing w:val="-4"/>
          <w:sz w:val="20"/>
          <w:rtl/>
        </w:rPr>
        <w:t xml:space="preserve">تعرب اللجنة عن قلقها إزاء ادعاءات </w:t>
      </w:r>
      <w:r w:rsidR="004E0A37" w:rsidRPr="00C27568">
        <w:rPr>
          <w:rFonts w:hint="cs"/>
          <w:spacing w:val="-4"/>
          <w:sz w:val="20"/>
          <w:rtl/>
        </w:rPr>
        <w:t xml:space="preserve">ممارسة </w:t>
      </w:r>
      <w:r w:rsidR="004E0A37" w:rsidRPr="00C27568">
        <w:rPr>
          <w:spacing w:val="-4"/>
          <w:sz w:val="20"/>
          <w:rtl/>
        </w:rPr>
        <w:t>التعذيب في بعض مرافق الاحتجاز في الدولة الطرف، ولا سيما إزاء التقارير المتعلقة ب</w:t>
      </w:r>
      <w:r w:rsidR="004E0A37" w:rsidRPr="00C27568">
        <w:rPr>
          <w:rFonts w:hint="cs"/>
          <w:spacing w:val="-4"/>
          <w:sz w:val="20"/>
          <w:rtl/>
        </w:rPr>
        <w:t xml:space="preserve">ثماني عشرة </w:t>
      </w:r>
      <w:r w:rsidR="004E0A37" w:rsidRPr="00C27568">
        <w:rPr>
          <w:spacing w:val="-4"/>
          <w:sz w:val="20"/>
          <w:rtl/>
        </w:rPr>
        <w:t xml:space="preserve">حالة تعذيب وسوء معاملة (مثل الضرب المبرح والتعذيب بالصدمات الكهربائية) خلال عمليات الاستجواب </w:t>
      </w:r>
      <w:r w:rsidR="004E0A37" w:rsidRPr="00C27568">
        <w:rPr>
          <w:rFonts w:hint="cs"/>
          <w:spacing w:val="-4"/>
          <w:sz w:val="20"/>
          <w:rtl/>
        </w:rPr>
        <w:t>بواسطة</w:t>
      </w:r>
      <w:r w:rsidR="00C27568">
        <w:rPr>
          <w:rFonts w:hint="cs"/>
          <w:spacing w:val="-4"/>
          <w:sz w:val="20"/>
          <w:rtl/>
        </w:rPr>
        <w:t xml:space="preserve"> </w:t>
      </w:r>
      <w:r w:rsidR="004E0A37" w:rsidRPr="00C27568">
        <w:rPr>
          <w:spacing w:val="-4"/>
          <w:sz w:val="20"/>
          <w:rtl/>
        </w:rPr>
        <w:t>الاستخبارات العس</w:t>
      </w:r>
      <w:r w:rsidR="004E0A37" w:rsidRPr="00C27568">
        <w:rPr>
          <w:rFonts w:hint="eastAsia"/>
          <w:spacing w:val="-4"/>
          <w:sz w:val="20"/>
          <w:rtl/>
        </w:rPr>
        <w:t>كرية</w:t>
      </w:r>
      <w:r w:rsidR="004E0A37" w:rsidRPr="00C27568">
        <w:rPr>
          <w:spacing w:val="-4"/>
          <w:sz w:val="20"/>
          <w:rtl/>
        </w:rPr>
        <w:t xml:space="preserve"> الرواندية في مخيمي كامي وكينيينغا، </w:t>
      </w:r>
      <w:r w:rsidR="004E0A37" w:rsidRPr="00C27568">
        <w:rPr>
          <w:rFonts w:hint="cs"/>
          <w:spacing w:val="-4"/>
          <w:sz w:val="20"/>
          <w:rtl/>
        </w:rPr>
        <w:t xml:space="preserve">وأفراد من جهات أمنية أخرى </w:t>
      </w:r>
      <w:r w:rsidR="004E0A37" w:rsidRPr="00C27568">
        <w:rPr>
          <w:spacing w:val="-4"/>
          <w:sz w:val="20"/>
          <w:rtl/>
        </w:rPr>
        <w:t>في</w:t>
      </w:r>
      <w:r w:rsidR="00C27568">
        <w:rPr>
          <w:rFonts w:hint="cs"/>
          <w:spacing w:val="-4"/>
          <w:sz w:val="20"/>
          <w:rtl/>
        </w:rPr>
        <w:t> </w:t>
      </w:r>
      <w:r w:rsidR="004E0A37" w:rsidRPr="00C27568">
        <w:rPr>
          <w:spacing w:val="-4"/>
          <w:sz w:val="20"/>
          <w:rtl/>
        </w:rPr>
        <w:t xml:space="preserve">"أماكن غير </w:t>
      </w:r>
      <w:r w:rsidR="004E0A37" w:rsidRPr="00C27568">
        <w:rPr>
          <w:rFonts w:hint="cs"/>
          <w:spacing w:val="-4"/>
          <w:sz w:val="20"/>
          <w:rtl/>
        </w:rPr>
        <w:t>قانونية</w:t>
      </w:r>
      <w:r w:rsidR="004E0A37" w:rsidRPr="00C27568">
        <w:rPr>
          <w:spacing w:val="-4"/>
          <w:sz w:val="20"/>
          <w:rtl/>
        </w:rPr>
        <w:t>" ومنها سوء معاملة السجناء السياسيين ولا سيما بيرتراند نتاغاندا، وسيليستان يومفيهوزي، ودومينيك شيرامبيري، وفيكتوار إنغابيري (المواد</w:t>
      </w:r>
      <w:r w:rsidR="004E0A37" w:rsidRPr="00C27568">
        <w:rPr>
          <w:rFonts w:hint="cs"/>
          <w:spacing w:val="-4"/>
          <w:sz w:val="20"/>
          <w:rtl/>
        </w:rPr>
        <w:t> </w:t>
      </w:r>
      <w:r w:rsidR="004E0A37" w:rsidRPr="00C27568">
        <w:rPr>
          <w:spacing w:val="-4"/>
          <w:sz w:val="20"/>
          <w:rtl/>
        </w:rPr>
        <w:t>2 و11 و12 و13).</w:t>
      </w:r>
    </w:p>
    <w:p w:rsidR="004E0A37" w:rsidRPr="00C27568" w:rsidRDefault="004E0A37" w:rsidP="00C27568">
      <w:pPr>
        <w:pStyle w:val="SingleTxtGA"/>
        <w:jc w:val="lowKashida"/>
        <w:rPr>
          <w:rFonts w:hint="cs"/>
          <w:b/>
          <w:bCs/>
          <w:spacing w:val="-2"/>
          <w:sz w:val="20"/>
          <w:rtl/>
        </w:rPr>
      </w:pPr>
      <w:r w:rsidRPr="00C27568">
        <w:rPr>
          <w:b/>
          <w:bCs/>
          <w:spacing w:val="-2"/>
          <w:sz w:val="20"/>
          <w:rtl/>
        </w:rPr>
        <w:tab/>
        <w:t xml:space="preserve">ينبغي للدولة الطرف أن تتخذ تدابير فورية وفعالة، لمنع التعذيب وسوء المعاملة في جميع أماكن الاحتجاز وغيرها من أماكن الحرمان من الحرية على أراضيها. وينبغي للدولة الطرف أن تجري تحقيقاً فورياً ونزيهاً وشاملاً في حالات التعذيب </w:t>
      </w:r>
      <w:r w:rsidRPr="00C27568">
        <w:rPr>
          <w:rFonts w:hint="cs"/>
          <w:b/>
          <w:bCs/>
          <w:spacing w:val="-2"/>
          <w:sz w:val="20"/>
          <w:rtl/>
        </w:rPr>
        <w:t>الثمانية عشرة</w:t>
      </w:r>
      <w:r w:rsidRPr="00C27568">
        <w:rPr>
          <w:b/>
          <w:bCs/>
          <w:spacing w:val="-2"/>
          <w:sz w:val="20"/>
          <w:rtl/>
        </w:rPr>
        <w:t>، وفي</w:t>
      </w:r>
      <w:r w:rsidR="00C27568">
        <w:rPr>
          <w:rFonts w:hint="cs"/>
          <w:b/>
          <w:bCs/>
          <w:spacing w:val="-2"/>
          <w:sz w:val="20"/>
          <w:rtl/>
        </w:rPr>
        <w:t> </w:t>
      </w:r>
      <w:r w:rsidRPr="00C27568">
        <w:rPr>
          <w:b/>
          <w:bCs/>
          <w:spacing w:val="-2"/>
          <w:sz w:val="20"/>
          <w:rtl/>
        </w:rPr>
        <w:t>حالات تعذيب وسوء معاملة السجناء السياسيين</w:t>
      </w:r>
      <w:r w:rsidRPr="00C27568">
        <w:rPr>
          <w:rFonts w:hint="eastAsia"/>
          <w:b/>
          <w:bCs/>
          <w:spacing w:val="-2"/>
          <w:sz w:val="20"/>
          <w:rtl/>
        </w:rPr>
        <w:t xml:space="preserve"> المبلغ</w:t>
      </w:r>
      <w:r w:rsidRPr="00C27568">
        <w:rPr>
          <w:b/>
          <w:bCs/>
          <w:spacing w:val="-2"/>
          <w:sz w:val="20"/>
          <w:rtl/>
        </w:rPr>
        <w:t xml:space="preserve"> عنها، وملاحقة المسؤولين</w:t>
      </w:r>
      <w:r w:rsidRPr="00C27568">
        <w:rPr>
          <w:rFonts w:hint="cs"/>
          <w:b/>
          <w:bCs/>
          <w:spacing w:val="-2"/>
          <w:sz w:val="20"/>
          <w:rtl/>
        </w:rPr>
        <w:t xml:space="preserve"> ومعاقبتهم </w:t>
      </w:r>
      <w:r w:rsidRPr="00C27568">
        <w:rPr>
          <w:b/>
          <w:bCs/>
          <w:spacing w:val="-2"/>
          <w:sz w:val="20"/>
          <w:rtl/>
        </w:rPr>
        <w:t xml:space="preserve">بعقوبات مناسبة. وينبغي للدولة الطرف، بعد إجراء التحقيق، أن تكفل </w:t>
      </w:r>
      <w:r w:rsidRPr="00C27568">
        <w:rPr>
          <w:rFonts w:hint="cs"/>
          <w:b/>
          <w:bCs/>
          <w:spacing w:val="-2"/>
          <w:sz w:val="20"/>
          <w:rtl/>
        </w:rPr>
        <w:t>حصول ا</w:t>
      </w:r>
      <w:r w:rsidRPr="00C27568">
        <w:rPr>
          <w:b/>
          <w:bCs/>
          <w:spacing w:val="-2"/>
          <w:sz w:val="20"/>
          <w:rtl/>
        </w:rPr>
        <w:t>لأشخاص الذين تعرضوا للتعذيب وسوء المعاملة</w:t>
      </w:r>
      <w:r w:rsidRPr="00C27568">
        <w:rPr>
          <w:rFonts w:hint="cs"/>
          <w:b/>
          <w:bCs/>
          <w:spacing w:val="-2"/>
          <w:sz w:val="20"/>
          <w:rtl/>
        </w:rPr>
        <w:t xml:space="preserve"> على </w:t>
      </w:r>
      <w:r w:rsidRPr="00C27568">
        <w:rPr>
          <w:b/>
          <w:bCs/>
          <w:spacing w:val="-2"/>
          <w:sz w:val="20"/>
          <w:rtl/>
        </w:rPr>
        <w:t>الجبر</w:t>
      </w:r>
      <w:r w:rsidRPr="00C27568">
        <w:rPr>
          <w:rFonts w:hint="cs"/>
          <w:b/>
          <w:bCs/>
          <w:spacing w:val="-2"/>
          <w:sz w:val="20"/>
          <w:rtl/>
        </w:rPr>
        <w:t>،</w:t>
      </w:r>
      <w:r w:rsidRPr="00C27568">
        <w:rPr>
          <w:b/>
          <w:bCs/>
          <w:spacing w:val="-2"/>
          <w:sz w:val="20"/>
          <w:rtl/>
        </w:rPr>
        <w:t xml:space="preserve"> بما في ذلك إعادة التأهيل</w:t>
      </w:r>
      <w:r w:rsidRPr="00C27568">
        <w:rPr>
          <w:rFonts w:hint="cs"/>
          <w:b/>
          <w:bCs/>
          <w:spacing w:val="-2"/>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تقرير</w:t>
      </w:r>
      <w:r w:rsidRPr="004E0A37">
        <w:rPr>
          <w:spacing w:val="0"/>
          <w:sz w:val="20"/>
          <w:rtl/>
        </w:rPr>
        <w:t xml:space="preserve"> عن أماكن الاحتجاز السرية</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11</w:t>
      </w:r>
      <w:r w:rsidR="003E72B5">
        <w:rPr>
          <w:spacing w:val="0"/>
          <w:sz w:val="20"/>
          <w:rtl/>
        </w:rPr>
        <w:t>)</w:t>
      </w:r>
      <w:r w:rsidR="003E72B5">
        <w:rPr>
          <w:spacing w:val="0"/>
          <w:sz w:val="20"/>
          <w:rtl/>
        </w:rPr>
        <w:tab/>
      </w:r>
      <w:r w:rsidR="004E0A37" w:rsidRPr="004E0A37">
        <w:rPr>
          <w:rFonts w:hint="cs"/>
          <w:spacing w:val="0"/>
          <w:sz w:val="20"/>
          <w:rtl/>
        </w:rPr>
        <w:t xml:space="preserve">تشير </w:t>
      </w:r>
      <w:r w:rsidR="004E0A37" w:rsidRPr="004E0A37">
        <w:rPr>
          <w:spacing w:val="0"/>
          <w:sz w:val="20"/>
          <w:rtl/>
        </w:rPr>
        <w:t xml:space="preserve">اللجنة </w:t>
      </w:r>
      <w:r w:rsidR="004E0A37" w:rsidRPr="004E0A37">
        <w:rPr>
          <w:rFonts w:hint="cs"/>
          <w:spacing w:val="0"/>
          <w:sz w:val="20"/>
          <w:rtl/>
        </w:rPr>
        <w:t xml:space="preserve">إلى </w:t>
      </w:r>
      <w:r w:rsidR="004E0A37" w:rsidRPr="004E0A37">
        <w:rPr>
          <w:spacing w:val="0"/>
          <w:sz w:val="20"/>
          <w:rtl/>
        </w:rPr>
        <w:t xml:space="preserve">بيان الوفد الذي </w:t>
      </w:r>
      <w:r w:rsidR="004E0A37" w:rsidRPr="004E0A37">
        <w:rPr>
          <w:rFonts w:hint="cs"/>
          <w:spacing w:val="0"/>
          <w:sz w:val="20"/>
          <w:rtl/>
        </w:rPr>
        <w:t xml:space="preserve">ينفي </w:t>
      </w:r>
      <w:r w:rsidR="004E0A37" w:rsidRPr="004E0A37">
        <w:rPr>
          <w:spacing w:val="0"/>
          <w:sz w:val="20"/>
          <w:rtl/>
        </w:rPr>
        <w:t xml:space="preserve">وجود أماكن احتجاز سرية، </w:t>
      </w:r>
      <w:r w:rsidR="004E0A37" w:rsidRPr="004E0A37">
        <w:rPr>
          <w:rFonts w:hint="cs"/>
          <w:spacing w:val="0"/>
          <w:sz w:val="20"/>
          <w:rtl/>
        </w:rPr>
        <w:t xml:space="preserve">بيد أنها </w:t>
      </w:r>
      <w:r w:rsidR="004E0A37" w:rsidRPr="004E0A37">
        <w:rPr>
          <w:spacing w:val="0"/>
          <w:sz w:val="20"/>
          <w:rtl/>
        </w:rPr>
        <w:t xml:space="preserve">تعرب عن قلقها إزاء التقارير التي تفيد باحتجاز أشخاص في </w:t>
      </w:r>
      <w:r w:rsidR="004E0A37" w:rsidRPr="004E0A37">
        <w:rPr>
          <w:rFonts w:hint="cs"/>
          <w:spacing w:val="0"/>
          <w:sz w:val="20"/>
          <w:rtl/>
        </w:rPr>
        <w:t>"</w:t>
      </w:r>
      <w:r w:rsidR="004E0A37" w:rsidRPr="004E0A37">
        <w:rPr>
          <w:spacing w:val="0"/>
          <w:sz w:val="20"/>
          <w:rtl/>
        </w:rPr>
        <w:t>مراكز احتجاز غير رسمية"</w:t>
      </w:r>
      <w:r w:rsidR="004E0A37" w:rsidRPr="004E0A37">
        <w:rPr>
          <w:rFonts w:hint="cs"/>
          <w:spacing w:val="0"/>
          <w:sz w:val="20"/>
          <w:rtl/>
        </w:rPr>
        <w:t xml:space="preserve"> </w:t>
      </w:r>
      <w:r w:rsidR="004E0A37" w:rsidRPr="004E0A37">
        <w:rPr>
          <w:spacing w:val="0"/>
          <w:sz w:val="20"/>
          <w:rtl/>
        </w:rPr>
        <w:t xml:space="preserve">دون توجيه تهم إليهم بارتكاب جريمة أو </w:t>
      </w:r>
      <w:r w:rsidR="004E0A37" w:rsidRPr="004E0A37">
        <w:rPr>
          <w:rFonts w:hint="cs"/>
          <w:spacing w:val="0"/>
          <w:sz w:val="20"/>
          <w:rtl/>
        </w:rPr>
        <w:t>تقديمهم للمثول</w:t>
      </w:r>
      <w:r w:rsidR="004E0A37" w:rsidRPr="004E0A37">
        <w:rPr>
          <w:spacing w:val="0"/>
          <w:sz w:val="20"/>
          <w:rtl/>
        </w:rPr>
        <w:t xml:space="preserve"> أمام محكمة أو تمكينهم من الوصول إلى محامٍ م</w:t>
      </w:r>
      <w:r w:rsidR="004E0A37" w:rsidRPr="004E0A37">
        <w:rPr>
          <w:rFonts w:hint="eastAsia"/>
          <w:spacing w:val="0"/>
          <w:sz w:val="20"/>
          <w:rtl/>
        </w:rPr>
        <w:t>ستقل</w:t>
      </w:r>
      <w:r w:rsidR="004E0A37" w:rsidRPr="004E0A37">
        <w:rPr>
          <w:spacing w:val="0"/>
          <w:sz w:val="20"/>
          <w:rtl/>
        </w:rPr>
        <w:t xml:space="preserve"> أو طبيب. ويساور اللجنة القلق إزاء </w:t>
      </w:r>
      <w:r w:rsidR="004E0A37" w:rsidRPr="004E0A37">
        <w:rPr>
          <w:rFonts w:hint="cs"/>
          <w:spacing w:val="0"/>
          <w:sz w:val="20"/>
          <w:rtl/>
        </w:rPr>
        <w:t>حالات ال</w:t>
      </w:r>
      <w:r w:rsidR="004E0A37" w:rsidRPr="004E0A37">
        <w:rPr>
          <w:spacing w:val="0"/>
          <w:sz w:val="20"/>
          <w:rtl/>
        </w:rPr>
        <w:t xml:space="preserve">احتجاز غير </w:t>
      </w:r>
      <w:r w:rsidR="004E0A37" w:rsidRPr="004E0A37">
        <w:rPr>
          <w:rFonts w:hint="cs"/>
          <w:spacing w:val="0"/>
          <w:sz w:val="20"/>
          <w:rtl/>
        </w:rPr>
        <w:t>ال</w:t>
      </w:r>
      <w:r w:rsidR="004E0A37" w:rsidRPr="004E0A37">
        <w:rPr>
          <w:spacing w:val="0"/>
          <w:sz w:val="20"/>
          <w:rtl/>
        </w:rPr>
        <w:t xml:space="preserve">قانوني </w:t>
      </w:r>
      <w:r w:rsidR="004E0A37" w:rsidRPr="004E0A37">
        <w:rPr>
          <w:rFonts w:hint="cs"/>
          <w:spacing w:val="0"/>
          <w:sz w:val="20"/>
          <w:rtl/>
        </w:rPr>
        <w:t>(</w:t>
      </w:r>
      <w:r w:rsidR="004E0A37" w:rsidRPr="004E0A37">
        <w:rPr>
          <w:spacing w:val="0"/>
          <w:sz w:val="20"/>
          <w:rtl/>
        </w:rPr>
        <w:t xml:space="preserve">45 </w:t>
      </w:r>
      <w:r w:rsidR="004E0A37" w:rsidRPr="004E0A37">
        <w:rPr>
          <w:rFonts w:hint="cs"/>
          <w:spacing w:val="0"/>
          <w:sz w:val="20"/>
          <w:rtl/>
        </w:rPr>
        <w:t xml:space="preserve">حالة) </w:t>
      </w:r>
      <w:r w:rsidR="004E0A37" w:rsidRPr="004E0A37">
        <w:rPr>
          <w:spacing w:val="0"/>
          <w:sz w:val="20"/>
          <w:rtl/>
        </w:rPr>
        <w:t>في مخيمات عسكرية ومرافق احتجاز سرية أخرى مزعومة</w:t>
      </w:r>
      <w:r w:rsidR="004E0A37" w:rsidRPr="004E0A37">
        <w:rPr>
          <w:rFonts w:hint="cs"/>
          <w:spacing w:val="0"/>
          <w:sz w:val="20"/>
          <w:rtl/>
        </w:rPr>
        <w:t xml:space="preserve"> المبلغ عنها في عامي 2010 و2011</w:t>
      </w:r>
      <w:r w:rsidR="004E0A37" w:rsidRPr="004E0A37">
        <w:rPr>
          <w:spacing w:val="0"/>
          <w:sz w:val="20"/>
          <w:rtl/>
        </w:rPr>
        <w:t>، حيث تراوحت مدة الاحتجاز بين 10 أيام وسنتين دون توفير ضمانات قانونية (المواد 2 و</w:t>
      </w:r>
      <w:r w:rsidR="004E0A37" w:rsidRPr="004E0A37">
        <w:rPr>
          <w:rFonts w:hint="cs"/>
          <w:spacing w:val="0"/>
          <w:sz w:val="20"/>
          <w:rtl/>
        </w:rPr>
        <w:t>1</w:t>
      </w:r>
      <w:r w:rsidR="004E0A37" w:rsidRPr="004E0A37">
        <w:rPr>
          <w:spacing w:val="0"/>
          <w:sz w:val="20"/>
          <w:rtl/>
        </w:rPr>
        <w:t>1 و12).</w:t>
      </w:r>
    </w:p>
    <w:p w:rsidR="004E0A37" w:rsidRPr="00C27568" w:rsidRDefault="004E0A37" w:rsidP="00B65A46">
      <w:pPr>
        <w:pStyle w:val="SingleTxtGA"/>
        <w:spacing w:line="360" w:lineRule="exact"/>
        <w:jc w:val="lowKashida"/>
        <w:rPr>
          <w:b/>
          <w:bCs/>
          <w:spacing w:val="0"/>
          <w:sz w:val="20"/>
          <w:rtl/>
        </w:rPr>
      </w:pPr>
      <w:r w:rsidRPr="00C27568">
        <w:rPr>
          <w:b/>
          <w:bCs/>
          <w:spacing w:val="0"/>
          <w:sz w:val="20"/>
          <w:rtl/>
        </w:rPr>
        <w:tab/>
        <w:t>ينبغي للدولة الطرف أن تكفل عدم احتجاز أي شخص في مرفق سري أو غير رسمي وأن تحظر جميع أشكال الاحتجاز غير القانوني في أراضيها</w:t>
      </w:r>
      <w:r w:rsidRPr="00C27568">
        <w:rPr>
          <w:rFonts w:hint="cs"/>
          <w:b/>
          <w:bCs/>
          <w:spacing w:val="0"/>
          <w:sz w:val="20"/>
          <w:rtl/>
        </w:rPr>
        <w:t>،</w:t>
      </w:r>
      <w:r w:rsidRPr="00C27568">
        <w:rPr>
          <w:b/>
          <w:bCs/>
          <w:spacing w:val="0"/>
          <w:sz w:val="20"/>
          <w:rtl/>
        </w:rPr>
        <w:t xml:space="preserve"> </w:t>
      </w:r>
      <w:r w:rsidRPr="00C27568">
        <w:rPr>
          <w:rFonts w:hint="cs"/>
          <w:b/>
          <w:bCs/>
          <w:spacing w:val="0"/>
          <w:sz w:val="20"/>
          <w:rtl/>
        </w:rPr>
        <w:t xml:space="preserve">فضلاً عن الشروع </w:t>
      </w:r>
      <w:r w:rsidRPr="00C27568">
        <w:rPr>
          <w:b/>
          <w:bCs/>
          <w:spacing w:val="0"/>
          <w:sz w:val="20"/>
          <w:rtl/>
        </w:rPr>
        <w:t xml:space="preserve">في عمليات تحقيق في مثل هذه الادعاءات. وينبغي للدولة الطرف، أن تغلق مثل هذه المرافق على وجه السرعة وأن تكفل للمحتجزين فيها جميع الضمانات القانونية ولا سيما الحق في </w:t>
      </w:r>
      <w:r w:rsidRPr="00C27568">
        <w:rPr>
          <w:rFonts w:hint="cs"/>
          <w:b/>
          <w:bCs/>
          <w:spacing w:val="0"/>
          <w:sz w:val="20"/>
          <w:rtl/>
        </w:rPr>
        <w:t xml:space="preserve">المثول </w:t>
      </w:r>
      <w:r w:rsidRPr="00C27568">
        <w:rPr>
          <w:b/>
          <w:bCs/>
          <w:spacing w:val="0"/>
          <w:sz w:val="20"/>
          <w:rtl/>
        </w:rPr>
        <w:t xml:space="preserve">فوراً أمام قاضٍ، في فترة لا تتجاوز 48 ساعة بعد </w:t>
      </w:r>
      <w:r w:rsidRPr="00C27568">
        <w:rPr>
          <w:rFonts w:hint="cs"/>
          <w:b/>
          <w:bCs/>
          <w:spacing w:val="0"/>
          <w:sz w:val="20"/>
          <w:rtl/>
        </w:rPr>
        <w:t xml:space="preserve">التوقيف </w:t>
      </w:r>
      <w:r w:rsidRPr="00C27568">
        <w:rPr>
          <w:b/>
          <w:bCs/>
          <w:spacing w:val="0"/>
          <w:sz w:val="20"/>
          <w:rtl/>
        </w:rPr>
        <w:t>أو</w:t>
      </w:r>
      <w:r w:rsidRPr="00C27568">
        <w:rPr>
          <w:rFonts w:hint="cs"/>
          <w:b/>
          <w:bCs/>
          <w:spacing w:val="0"/>
          <w:sz w:val="20"/>
          <w:rtl/>
        </w:rPr>
        <w:t> </w:t>
      </w:r>
      <w:r w:rsidRPr="00C27568">
        <w:rPr>
          <w:b/>
          <w:bCs/>
          <w:spacing w:val="0"/>
          <w:sz w:val="20"/>
          <w:rtl/>
        </w:rPr>
        <w:t xml:space="preserve">الاحتجاز (انظر المبادئ الأساسية لدور المحامين، الفقرة 7)، وحق </w:t>
      </w:r>
      <w:r w:rsidRPr="00C27568">
        <w:rPr>
          <w:rFonts w:hint="cs"/>
          <w:b/>
          <w:bCs/>
          <w:spacing w:val="0"/>
          <w:sz w:val="20"/>
          <w:rtl/>
        </w:rPr>
        <w:t xml:space="preserve">كل منهم </w:t>
      </w:r>
      <w:r w:rsidRPr="00C27568">
        <w:rPr>
          <w:b/>
          <w:bCs/>
          <w:spacing w:val="0"/>
          <w:sz w:val="20"/>
          <w:rtl/>
        </w:rPr>
        <w:t xml:space="preserve">في الاستعانة بمحامٍ </w:t>
      </w:r>
      <w:r w:rsidRPr="00C27568">
        <w:rPr>
          <w:rFonts w:hint="cs"/>
          <w:b/>
          <w:bCs/>
          <w:spacing w:val="0"/>
          <w:sz w:val="20"/>
          <w:rtl/>
        </w:rPr>
        <w:t>يختاره بنفسه</w:t>
      </w:r>
      <w:r w:rsidRPr="00C27568">
        <w:rPr>
          <w:b/>
          <w:bCs/>
          <w:spacing w:val="0"/>
          <w:sz w:val="20"/>
          <w:rtl/>
        </w:rPr>
        <w:t xml:space="preserve"> والحق في </w:t>
      </w:r>
      <w:r w:rsidRPr="00C27568">
        <w:rPr>
          <w:rFonts w:hint="cs"/>
          <w:b/>
          <w:bCs/>
          <w:spacing w:val="0"/>
          <w:sz w:val="20"/>
          <w:rtl/>
        </w:rPr>
        <w:t>الخضوع ل</w:t>
      </w:r>
      <w:r w:rsidRPr="00C27568">
        <w:rPr>
          <w:b/>
          <w:bCs/>
          <w:spacing w:val="0"/>
          <w:sz w:val="20"/>
          <w:rtl/>
        </w:rPr>
        <w:t>فحص طبي. وينبغي للدولة ا</w:t>
      </w:r>
      <w:r w:rsidRPr="00C27568">
        <w:rPr>
          <w:rFonts w:hint="eastAsia"/>
          <w:b/>
          <w:bCs/>
          <w:spacing w:val="0"/>
          <w:sz w:val="20"/>
          <w:rtl/>
        </w:rPr>
        <w:t>لطرف</w:t>
      </w:r>
      <w:r w:rsidRPr="00C27568">
        <w:rPr>
          <w:b/>
          <w:bCs/>
          <w:spacing w:val="0"/>
          <w:sz w:val="20"/>
          <w:rtl/>
        </w:rPr>
        <w:t xml:space="preserve"> أن</w:t>
      </w:r>
      <w:r w:rsidRPr="00C27568">
        <w:rPr>
          <w:rFonts w:hint="cs"/>
          <w:b/>
          <w:bCs/>
          <w:spacing w:val="0"/>
          <w:sz w:val="20"/>
          <w:rtl/>
        </w:rPr>
        <w:t xml:space="preserve"> تضع </w:t>
      </w:r>
      <w:r w:rsidRPr="00C27568">
        <w:rPr>
          <w:b/>
          <w:bCs/>
          <w:spacing w:val="0"/>
          <w:sz w:val="20"/>
          <w:rtl/>
        </w:rPr>
        <w:t xml:space="preserve">قائمة رسمية بجميع أماكن الاحتجاز </w:t>
      </w:r>
      <w:r w:rsidRPr="00C27568">
        <w:rPr>
          <w:rFonts w:hint="cs"/>
          <w:b/>
          <w:bCs/>
          <w:spacing w:val="0"/>
          <w:sz w:val="20"/>
          <w:rtl/>
        </w:rPr>
        <w:t>وتعلن عنها بنص القانون</w:t>
      </w:r>
      <w:r w:rsidRPr="00C27568">
        <w:rPr>
          <w:b/>
          <w:bCs/>
          <w:spacing w:val="0"/>
          <w:sz w:val="20"/>
          <w:rtl/>
        </w:rPr>
        <w:t xml:space="preserve">، وأن </w:t>
      </w:r>
      <w:r w:rsidRPr="00C27568">
        <w:rPr>
          <w:rFonts w:hint="cs"/>
          <w:b/>
          <w:bCs/>
          <w:spacing w:val="0"/>
          <w:sz w:val="20"/>
          <w:rtl/>
        </w:rPr>
        <w:t xml:space="preserve">تحدد </w:t>
      </w:r>
      <w:r w:rsidRPr="00C27568">
        <w:rPr>
          <w:b/>
          <w:bCs/>
          <w:spacing w:val="0"/>
          <w:sz w:val="20"/>
          <w:rtl/>
        </w:rPr>
        <w:t>العقوبات التي تفرض على المسؤولين عن احتجاز أشخاص خارج مراكز الاحتجاز القانوني.</w:t>
      </w:r>
    </w:p>
    <w:p w:rsidR="004E0A37" w:rsidRPr="004E0A37" w:rsidRDefault="004E0A37" w:rsidP="00B65A46">
      <w:pPr>
        <w:pStyle w:val="H23GA"/>
        <w:spacing w:line="360" w:lineRule="exact"/>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الضمانات</w:t>
      </w:r>
      <w:r w:rsidRPr="004E0A37">
        <w:rPr>
          <w:spacing w:val="0"/>
          <w:sz w:val="20"/>
          <w:rtl/>
        </w:rPr>
        <w:t xml:space="preserve"> القانونية الأساسية</w:t>
      </w:r>
    </w:p>
    <w:p w:rsidR="004E0A37" w:rsidRPr="00C27568" w:rsidRDefault="00AC7D2B" w:rsidP="00B65A46">
      <w:pPr>
        <w:pStyle w:val="SingleTxtGA"/>
        <w:spacing w:line="360" w:lineRule="exact"/>
        <w:jc w:val="lowKashida"/>
        <w:rPr>
          <w:spacing w:val="-2"/>
          <w:sz w:val="20"/>
          <w:rtl/>
        </w:rPr>
      </w:pPr>
      <w:r w:rsidRPr="00C27568">
        <w:rPr>
          <w:rFonts w:hint="cs"/>
          <w:spacing w:val="-2"/>
          <w:sz w:val="20"/>
          <w:rtl/>
        </w:rPr>
        <w:t>(</w:t>
      </w:r>
      <w:r w:rsidR="004E0A37" w:rsidRPr="00C27568">
        <w:rPr>
          <w:spacing w:val="-2"/>
          <w:sz w:val="20"/>
          <w:rtl/>
        </w:rPr>
        <w:t>12</w:t>
      </w:r>
      <w:r w:rsidR="003E72B5" w:rsidRPr="00C27568">
        <w:rPr>
          <w:spacing w:val="-2"/>
          <w:sz w:val="20"/>
          <w:rtl/>
        </w:rPr>
        <w:t>)</w:t>
      </w:r>
      <w:r w:rsidR="003E72B5" w:rsidRPr="00C27568">
        <w:rPr>
          <w:spacing w:val="-2"/>
          <w:sz w:val="20"/>
          <w:rtl/>
        </w:rPr>
        <w:tab/>
      </w:r>
      <w:r w:rsidR="00F96B1E" w:rsidRPr="00C27568">
        <w:rPr>
          <w:spacing w:val="-2"/>
          <w:sz w:val="20"/>
          <w:rtl/>
        </w:rPr>
        <w:t>فيما </w:t>
      </w:r>
      <w:r w:rsidR="004E0A37" w:rsidRPr="00C27568">
        <w:rPr>
          <w:spacing w:val="-2"/>
          <w:sz w:val="20"/>
          <w:rtl/>
        </w:rPr>
        <w:t>تأخذ اللجنة</w:t>
      </w:r>
      <w:r w:rsidR="003833F8" w:rsidRPr="00C27568">
        <w:rPr>
          <w:spacing w:val="-2"/>
          <w:sz w:val="20"/>
          <w:rtl/>
        </w:rPr>
        <w:t xml:space="preserve"> علماً </w:t>
      </w:r>
      <w:r w:rsidR="004E0A37" w:rsidRPr="00C27568">
        <w:rPr>
          <w:spacing w:val="-2"/>
          <w:sz w:val="20"/>
          <w:rtl/>
        </w:rPr>
        <w:t xml:space="preserve">بأن تشريع الدولة الطرف ينص على ضمانات قانونية للمحتجزين، يساورها القلق إزاء التقارير التي تفيد بأن الضمانات القانونية الأساسية للمحتجزين في مخافر الشرطة والسجون أو غيرها من مرافق الاحتجاز، لا تطبق بصورة </w:t>
      </w:r>
      <w:r w:rsidR="004E0A37" w:rsidRPr="00C27568">
        <w:rPr>
          <w:rFonts w:hint="cs"/>
          <w:spacing w:val="-2"/>
          <w:sz w:val="20"/>
          <w:rtl/>
        </w:rPr>
        <w:t>منهجية</w:t>
      </w:r>
      <w:r w:rsidR="00B345DB" w:rsidRPr="00C27568">
        <w:rPr>
          <w:rFonts w:hint="cs"/>
          <w:spacing w:val="-2"/>
          <w:sz w:val="20"/>
          <w:rtl/>
        </w:rPr>
        <w:t xml:space="preserve"> وفقاً </w:t>
      </w:r>
      <w:r w:rsidR="004E0A37" w:rsidRPr="00C27568">
        <w:rPr>
          <w:spacing w:val="-2"/>
          <w:sz w:val="20"/>
          <w:rtl/>
        </w:rPr>
        <w:t>للمعايير الدو</w:t>
      </w:r>
      <w:r w:rsidR="004E0A37" w:rsidRPr="00C27568">
        <w:rPr>
          <w:rFonts w:hint="eastAsia"/>
          <w:spacing w:val="-2"/>
          <w:sz w:val="20"/>
          <w:rtl/>
        </w:rPr>
        <w:t>لية</w:t>
      </w:r>
      <w:r w:rsidR="004E0A37" w:rsidRPr="00C27568">
        <w:rPr>
          <w:spacing w:val="-2"/>
          <w:sz w:val="20"/>
          <w:rtl/>
        </w:rPr>
        <w:t xml:space="preserve">. ويساور اللجنة قلق خاص </w:t>
      </w:r>
      <w:r w:rsidR="004E0A37" w:rsidRPr="00C27568">
        <w:rPr>
          <w:rFonts w:hint="cs"/>
          <w:spacing w:val="-2"/>
          <w:sz w:val="20"/>
          <w:rtl/>
        </w:rPr>
        <w:t xml:space="preserve">إزاء </w:t>
      </w:r>
      <w:r w:rsidR="004E0A37" w:rsidRPr="00C27568">
        <w:rPr>
          <w:spacing w:val="-2"/>
          <w:sz w:val="20"/>
          <w:rtl/>
        </w:rPr>
        <w:t>المزاعم</w:t>
      </w:r>
      <w:r w:rsidR="004E0A37" w:rsidRPr="00C27568">
        <w:rPr>
          <w:rFonts w:hint="cs"/>
          <w:spacing w:val="-2"/>
          <w:sz w:val="20"/>
          <w:rtl/>
        </w:rPr>
        <w:t xml:space="preserve"> التي تفيد بإمكانية وضع ال</w:t>
      </w:r>
      <w:r w:rsidR="004E0A37" w:rsidRPr="00C27568">
        <w:rPr>
          <w:spacing w:val="-2"/>
          <w:sz w:val="20"/>
          <w:rtl/>
        </w:rPr>
        <w:t>أشخاص</w:t>
      </w:r>
      <w:r w:rsidR="00C27568">
        <w:rPr>
          <w:rFonts w:hint="cs"/>
          <w:spacing w:val="-2"/>
          <w:sz w:val="20"/>
          <w:rtl/>
        </w:rPr>
        <w:t> </w:t>
      </w:r>
      <w:r w:rsidR="004E0A37" w:rsidRPr="00C27568">
        <w:rPr>
          <w:rFonts w:hint="cs"/>
          <w:spacing w:val="-2"/>
          <w:sz w:val="20"/>
          <w:rtl/>
        </w:rPr>
        <w:t xml:space="preserve">رهن الحبس الاحتياطي </w:t>
      </w:r>
      <w:r w:rsidR="004E0A37" w:rsidRPr="00C27568">
        <w:rPr>
          <w:spacing w:val="-2"/>
          <w:sz w:val="20"/>
          <w:rtl/>
        </w:rPr>
        <w:t xml:space="preserve">لفترة طويلة دون </w:t>
      </w:r>
      <w:r w:rsidR="004E0A37" w:rsidRPr="00C27568">
        <w:rPr>
          <w:rFonts w:hint="cs"/>
          <w:spacing w:val="-2"/>
          <w:sz w:val="20"/>
          <w:rtl/>
        </w:rPr>
        <w:t xml:space="preserve">مثولهم </w:t>
      </w:r>
      <w:r w:rsidR="004E0A37" w:rsidRPr="00C27568">
        <w:rPr>
          <w:spacing w:val="-2"/>
          <w:sz w:val="20"/>
          <w:rtl/>
        </w:rPr>
        <w:t>أمام قاضٍ، ودون إمكانية الوصول إلى محامٍ أو</w:t>
      </w:r>
      <w:r w:rsidR="004E0A37" w:rsidRPr="00C27568">
        <w:rPr>
          <w:rFonts w:hint="cs"/>
          <w:spacing w:val="-2"/>
          <w:sz w:val="20"/>
          <w:rtl/>
        </w:rPr>
        <w:t> </w:t>
      </w:r>
      <w:r w:rsidR="004E0A37" w:rsidRPr="00C27568">
        <w:rPr>
          <w:spacing w:val="-2"/>
          <w:sz w:val="20"/>
          <w:rtl/>
        </w:rPr>
        <w:t>طبيب من اختيارهم أو الحصول على فحص طبي مستقل،</w:t>
      </w:r>
      <w:r w:rsidR="00B345DB" w:rsidRPr="00C27568">
        <w:rPr>
          <w:spacing w:val="-2"/>
          <w:sz w:val="20"/>
          <w:rtl/>
        </w:rPr>
        <w:t xml:space="preserve"> وفقاً </w:t>
      </w:r>
      <w:r w:rsidR="004E0A37" w:rsidRPr="00C27568">
        <w:rPr>
          <w:spacing w:val="-2"/>
          <w:sz w:val="20"/>
          <w:rtl/>
        </w:rPr>
        <w:t>للمعايير الدولية. وفضلاً عن</w:t>
      </w:r>
      <w:r w:rsidR="004E0A37" w:rsidRPr="00C27568">
        <w:rPr>
          <w:rFonts w:hint="cs"/>
          <w:spacing w:val="-2"/>
          <w:sz w:val="20"/>
          <w:rtl/>
        </w:rPr>
        <w:t> </w:t>
      </w:r>
      <w:r w:rsidR="004E0A37" w:rsidRPr="00C27568">
        <w:rPr>
          <w:spacing w:val="-2"/>
          <w:sz w:val="20"/>
          <w:rtl/>
        </w:rPr>
        <w:t xml:space="preserve">ذلك، فإنهم يحرمون </w:t>
      </w:r>
      <w:r w:rsidR="004E0A37" w:rsidRPr="00C27568">
        <w:rPr>
          <w:rFonts w:hint="eastAsia"/>
          <w:spacing w:val="-2"/>
          <w:sz w:val="20"/>
          <w:rtl/>
        </w:rPr>
        <w:t>من</w:t>
      </w:r>
      <w:r w:rsidR="004E0A37" w:rsidRPr="00C27568">
        <w:rPr>
          <w:spacing w:val="-2"/>
          <w:sz w:val="20"/>
          <w:rtl/>
        </w:rPr>
        <w:t xml:space="preserve"> الحق في إخطار أفراد أسرهم أو أقاربهم. ويساور اللجنة القلق أيضاً </w:t>
      </w:r>
      <w:r w:rsidR="004E0A37" w:rsidRPr="00C27568">
        <w:rPr>
          <w:rFonts w:hint="cs"/>
          <w:spacing w:val="-2"/>
          <w:sz w:val="20"/>
          <w:rtl/>
        </w:rPr>
        <w:t xml:space="preserve">لعدم وجود </w:t>
      </w:r>
      <w:r w:rsidR="004E0A37" w:rsidRPr="00C27568">
        <w:rPr>
          <w:spacing w:val="-2"/>
          <w:sz w:val="20"/>
          <w:rtl/>
        </w:rPr>
        <w:t xml:space="preserve">نظام مركزي </w:t>
      </w:r>
      <w:r w:rsidR="004E0A37" w:rsidRPr="00C27568">
        <w:rPr>
          <w:rFonts w:hint="cs"/>
          <w:spacing w:val="-2"/>
          <w:sz w:val="20"/>
          <w:rtl/>
        </w:rPr>
        <w:t xml:space="preserve">لتسجيل </w:t>
      </w:r>
      <w:r w:rsidR="004E0A37" w:rsidRPr="00C27568">
        <w:rPr>
          <w:spacing w:val="-2"/>
          <w:sz w:val="20"/>
          <w:rtl/>
        </w:rPr>
        <w:t>الأشخاص المحرومين من حريتهم (المادة</w:t>
      </w:r>
      <w:r w:rsidR="004E0A37" w:rsidRPr="00C27568">
        <w:rPr>
          <w:rFonts w:hint="cs"/>
          <w:spacing w:val="-2"/>
          <w:sz w:val="20"/>
          <w:rtl/>
        </w:rPr>
        <w:t> </w:t>
      </w:r>
      <w:r w:rsidR="004E0A37" w:rsidRPr="00C27568">
        <w:rPr>
          <w:spacing w:val="-2"/>
          <w:sz w:val="20"/>
          <w:rtl/>
        </w:rPr>
        <w:t>2).</w:t>
      </w:r>
    </w:p>
    <w:p w:rsidR="004E0A37" w:rsidRPr="00C27568" w:rsidRDefault="004E0A37" w:rsidP="00B65A46">
      <w:pPr>
        <w:pStyle w:val="SingleTxtGA"/>
        <w:spacing w:line="360" w:lineRule="exact"/>
        <w:jc w:val="lowKashida"/>
        <w:rPr>
          <w:b/>
          <w:bCs/>
          <w:spacing w:val="0"/>
          <w:sz w:val="20"/>
          <w:rtl/>
        </w:rPr>
      </w:pPr>
      <w:r w:rsidRPr="00C27568">
        <w:rPr>
          <w:b/>
          <w:bCs/>
          <w:spacing w:val="0"/>
          <w:sz w:val="20"/>
          <w:rtl/>
        </w:rPr>
        <w:tab/>
        <w:t xml:space="preserve">ينبغي للدولة الطرف أن تتخذ تدابير عاجلة وفعالة لكي تكفل، في القانون والممارسة، توفير جميع الضمانات القانونية لجميع المحتجزين منذ الوهلة الأولى لاحتجازهم. ويشمل ذلك حقوق كل محتجز في أن يبلَّغ بأسباب اعتقاله، بما فيها أي تهم موجهة إليه؛ وفي إعلامه بحقوقه </w:t>
      </w:r>
      <w:r w:rsidRPr="00C27568">
        <w:rPr>
          <w:rFonts w:hint="cs"/>
          <w:b/>
          <w:bCs/>
          <w:spacing w:val="0"/>
          <w:sz w:val="20"/>
          <w:rtl/>
        </w:rPr>
        <w:t>المرتبطة</w:t>
      </w:r>
      <w:r w:rsidRPr="00C27568">
        <w:rPr>
          <w:b/>
          <w:bCs/>
          <w:spacing w:val="0"/>
          <w:sz w:val="20"/>
          <w:rtl/>
        </w:rPr>
        <w:t xml:space="preserve"> باحتجازه؛ وفي </w:t>
      </w:r>
      <w:r w:rsidRPr="00C27568">
        <w:rPr>
          <w:rFonts w:hint="cs"/>
          <w:b/>
          <w:bCs/>
          <w:spacing w:val="0"/>
          <w:sz w:val="20"/>
          <w:rtl/>
        </w:rPr>
        <w:t xml:space="preserve">تمكينه </w:t>
      </w:r>
      <w:r w:rsidRPr="00C27568">
        <w:rPr>
          <w:b/>
          <w:bCs/>
          <w:spacing w:val="0"/>
          <w:sz w:val="20"/>
          <w:rtl/>
        </w:rPr>
        <w:t xml:space="preserve">بسرعة </w:t>
      </w:r>
      <w:r w:rsidRPr="00C27568">
        <w:rPr>
          <w:rFonts w:hint="cs"/>
          <w:b/>
          <w:bCs/>
          <w:spacing w:val="0"/>
          <w:sz w:val="20"/>
          <w:rtl/>
        </w:rPr>
        <w:t>من الوصول إ</w:t>
      </w:r>
      <w:r w:rsidRPr="00C27568">
        <w:rPr>
          <w:b/>
          <w:bCs/>
          <w:spacing w:val="0"/>
          <w:sz w:val="20"/>
          <w:rtl/>
        </w:rPr>
        <w:t xml:space="preserve">لى محامٍ، </w:t>
      </w:r>
      <w:r w:rsidRPr="00C27568">
        <w:rPr>
          <w:rFonts w:hint="cs"/>
          <w:b/>
          <w:bCs/>
          <w:spacing w:val="0"/>
          <w:sz w:val="20"/>
          <w:rtl/>
        </w:rPr>
        <w:t xml:space="preserve">أو الحصول، إذا دعت الحاجة، </w:t>
      </w:r>
      <w:r w:rsidRPr="00C27568">
        <w:rPr>
          <w:b/>
          <w:bCs/>
          <w:spacing w:val="0"/>
          <w:sz w:val="20"/>
          <w:rtl/>
        </w:rPr>
        <w:t>على مساعدة قانونية، وأن يتمكن من التشاور معه على انفراد؛ وأن يحصل على فحص طبي مستقل على يد طبيب من اختياره إذا أمكن؛ وفي إعلام أحد الأقارب باحتجازه؛ وفي الاستعانة بمحامٍ يحضر كل استجواب ت</w:t>
      </w:r>
      <w:r w:rsidRPr="00C27568">
        <w:rPr>
          <w:rFonts w:hint="eastAsia"/>
          <w:b/>
          <w:bCs/>
          <w:spacing w:val="0"/>
          <w:sz w:val="20"/>
          <w:rtl/>
        </w:rPr>
        <w:t>جريه</w:t>
      </w:r>
      <w:r w:rsidRPr="00C27568">
        <w:rPr>
          <w:b/>
          <w:bCs/>
          <w:spacing w:val="0"/>
          <w:sz w:val="20"/>
          <w:rtl/>
        </w:rPr>
        <w:t xml:space="preserve"> الشرطة معه؛ وفي الحصول على </w:t>
      </w:r>
      <w:r w:rsidRPr="00C27568">
        <w:rPr>
          <w:rFonts w:hint="cs"/>
          <w:b/>
          <w:bCs/>
          <w:spacing w:val="0"/>
          <w:sz w:val="20"/>
          <w:rtl/>
        </w:rPr>
        <w:t>ال</w:t>
      </w:r>
      <w:r w:rsidRPr="00C27568">
        <w:rPr>
          <w:b/>
          <w:bCs/>
          <w:spacing w:val="0"/>
          <w:sz w:val="20"/>
          <w:rtl/>
        </w:rPr>
        <w:t xml:space="preserve">مساعدة </w:t>
      </w:r>
      <w:r w:rsidRPr="00C27568">
        <w:rPr>
          <w:rFonts w:hint="cs"/>
          <w:b/>
          <w:bCs/>
          <w:spacing w:val="0"/>
          <w:sz w:val="20"/>
          <w:rtl/>
        </w:rPr>
        <w:t xml:space="preserve">من </w:t>
      </w:r>
      <w:r w:rsidRPr="00C27568">
        <w:rPr>
          <w:b/>
          <w:bCs/>
          <w:spacing w:val="0"/>
          <w:sz w:val="20"/>
          <w:rtl/>
        </w:rPr>
        <w:t xml:space="preserve">مترجم فوري، عند الضرورة؛ وفي المثول فوراً أمام قاضٍ وفي أن </w:t>
      </w:r>
      <w:r w:rsidRPr="00C27568">
        <w:rPr>
          <w:rFonts w:hint="cs"/>
          <w:b/>
          <w:bCs/>
          <w:spacing w:val="0"/>
          <w:sz w:val="20"/>
          <w:rtl/>
        </w:rPr>
        <w:t>تتعرض مسألة</w:t>
      </w:r>
      <w:r w:rsidRPr="00C27568">
        <w:rPr>
          <w:b/>
          <w:bCs/>
          <w:spacing w:val="0"/>
          <w:sz w:val="20"/>
          <w:rtl/>
        </w:rPr>
        <w:t xml:space="preserve"> مشروعية احتجازه</w:t>
      </w:r>
      <w:r w:rsidRPr="00C27568">
        <w:rPr>
          <w:rFonts w:hint="cs"/>
          <w:b/>
          <w:bCs/>
          <w:spacing w:val="0"/>
          <w:sz w:val="20"/>
          <w:rtl/>
        </w:rPr>
        <w:t xml:space="preserve"> على محكمة</w:t>
      </w:r>
      <w:r w:rsidRPr="00C27568">
        <w:rPr>
          <w:b/>
          <w:bCs/>
          <w:spacing w:val="0"/>
          <w:sz w:val="20"/>
          <w:rtl/>
        </w:rPr>
        <w:t>.</w:t>
      </w:r>
    </w:p>
    <w:p w:rsidR="004E0A37" w:rsidRPr="00C27568" w:rsidRDefault="004E0A37" w:rsidP="00B65A46">
      <w:pPr>
        <w:pStyle w:val="SingleTxtGA"/>
        <w:spacing w:line="360" w:lineRule="exact"/>
        <w:jc w:val="lowKashida"/>
        <w:rPr>
          <w:b/>
          <w:bCs/>
          <w:spacing w:val="0"/>
          <w:sz w:val="20"/>
          <w:rtl/>
        </w:rPr>
      </w:pPr>
      <w:r w:rsidRPr="00C27568">
        <w:rPr>
          <w:b/>
          <w:bCs/>
          <w:spacing w:val="0"/>
          <w:sz w:val="20"/>
          <w:rtl/>
        </w:rPr>
        <w:tab/>
        <w:t xml:space="preserve">وينبغي للدولة الطرف أن تكفل </w:t>
      </w:r>
      <w:r w:rsidRPr="00C27568">
        <w:rPr>
          <w:rFonts w:hint="cs"/>
          <w:b/>
          <w:bCs/>
          <w:spacing w:val="0"/>
          <w:sz w:val="20"/>
          <w:rtl/>
        </w:rPr>
        <w:t>اضطلاع</w:t>
      </w:r>
      <w:r w:rsidRPr="00C27568">
        <w:rPr>
          <w:b/>
          <w:bCs/>
          <w:spacing w:val="0"/>
          <w:sz w:val="20"/>
          <w:rtl/>
        </w:rPr>
        <w:t xml:space="preserve"> الموظف</w:t>
      </w:r>
      <w:r w:rsidRPr="00C27568">
        <w:rPr>
          <w:rFonts w:hint="cs"/>
          <w:b/>
          <w:bCs/>
          <w:spacing w:val="0"/>
          <w:sz w:val="20"/>
          <w:rtl/>
        </w:rPr>
        <w:t>ي</w:t>
      </w:r>
      <w:r w:rsidRPr="00C27568">
        <w:rPr>
          <w:b/>
          <w:bCs/>
          <w:spacing w:val="0"/>
          <w:sz w:val="20"/>
          <w:rtl/>
        </w:rPr>
        <w:t>ن الحكومي</w:t>
      </w:r>
      <w:r w:rsidRPr="00C27568">
        <w:rPr>
          <w:rFonts w:hint="cs"/>
          <w:b/>
          <w:bCs/>
          <w:spacing w:val="0"/>
          <w:sz w:val="20"/>
          <w:rtl/>
        </w:rPr>
        <w:t>ي</w:t>
      </w:r>
      <w:r w:rsidRPr="00C27568">
        <w:rPr>
          <w:b/>
          <w:bCs/>
          <w:spacing w:val="0"/>
          <w:sz w:val="20"/>
          <w:rtl/>
        </w:rPr>
        <w:t>ن</w:t>
      </w:r>
      <w:r w:rsidRPr="00C27568">
        <w:rPr>
          <w:rFonts w:hint="cs"/>
          <w:b/>
          <w:bCs/>
          <w:spacing w:val="0"/>
          <w:sz w:val="20"/>
          <w:rtl/>
        </w:rPr>
        <w:t>،</w:t>
      </w:r>
      <w:r w:rsidRPr="00C27568">
        <w:rPr>
          <w:b/>
          <w:bCs/>
          <w:spacing w:val="0"/>
          <w:sz w:val="20"/>
          <w:rtl/>
        </w:rPr>
        <w:t xml:space="preserve"> ولا سيما الموظفون القضائيون والموظفون الطبيون وأطباء السجون وموظفو السجون والقضاة الذين لديهم أسباب للاشتباه في وقوع عمل من أعمال التعذيب أو سوء المعاملة، بتسجيل أي عمل من هذا القبيل يشتبه في وقوعه أو يدَّعى وقوعه وإبلاغ السلطات المعنية بذلك. وينبغي للدولة الطرف أيضاً أن تنظر في إنشاء نظام تسجيل مركزي </w:t>
      </w:r>
      <w:r w:rsidRPr="00C27568">
        <w:rPr>
          <w:rFonts w:hint="cs"/>
          <w:b/>
          <w:bCs/>
          <w:spacing w:val="0"/>
          <w:sz w:val="20"/>
          <w:rtl/>
        </w:rPr>
        <w:t xml:space="preserve">يبيّن </w:t>
      </w:r>
      <w:r w:rsidRPr="00C27568">
        <w:rPr>
          <w:b/>
          <w:bCs/>
          <w:spacing w:val="0"/>
          <w:sz w:val="20"/>
          <w:rtl/>
        </w:rPr>
        <w:t>أسماء الأشخاص المحرومين من حريتهم.</w:t>
      </w:r>
    </w:p>
    <w:p w:rsidR="004E0A37" w:rsidRPr="004E0A37" w:rsidRDefault="004E0A37" w:rsidP="00B65A46">
      <w:pPr>
        <w:pStyle w:val="H23GA"/>
        <w:spacing w:line="360" w:lineRule="exact"/>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نظام</w:t>
      </w:r>
      <w:r w:rsidRPr="004E0A37">
        <w:rPr>
          <w:spacing w:val="0"/>
          <w:sz w:val="20"/>
          <w:rtl/>
        </w:rPr>
        <w:t xml:space="preserve"> رصد أماكن الاحتجاز</w:t>
      </w:r>
    </w:p>
    <w:p w:rsidR="004E0A37" w:rsidRPr="004E0A37" w:rsidRDefault="00AC7D2B" w:rsidP="00B65A46">
      <w:pPr>
        <w:pStyle w:val="SingleTxtGA"/>
        <w:spacing w:line="360" w:lineRule="exact"/>
        <w:jc w:val="lowKashida"/>
        <w:rPr>
          <w:spacing w:val="0"/>
          <w:sz w:val="20"/>
          <w:rtl/>
        </w:rPr>
      </w:pPr>
      <w:r>
        <w:rPr>
          <w:rFonts w:hint="cs"/>
          <w:spacing w:val="0"/>
          <w:sz w:val="20"/>
          <w:rtl/>
        </w:rPr>
        <w:t>(</w:t>
      </w:r>
      <w:r w:rsidR="004E0A37" w:rsidRPr="004E0A37">
        <w:rPr>
          <w:spacing w:val="0"/>
          <w:sz w:val="20"/>
          <w:rtl/>
        </w:rPr>
        <w:t>13</w:t>
      </w:r>
      <w:r w:rsidR="003E72B5">
        <w:rPr>
          <w:spacing w:val="0"/>
          <w:sz w:val="20"/>
          <w:rtl/>
        </w:rPr>
        <w:t>)</w:t>
      </w:r>
      <w:r w:rsidR="003E72B5">
        <w:rPr>
          <w:spacing w:val="0"/>
          <w:sz w:val="20"/>
          <w:rtl/>
        </w:rPr>
        <w:tab/>
      </w:r>
      <w:r w:rsidR="004E0A37" w:rsidRPr="004E0A37">
        <w:rPr>
          <w:spacing w:val="0"/>
          <w:sz w:val="20"/>
          <w:rtl/>
        </w:rPr>
        <w:t>تلاحظ اللجنة أن هناك قوانين ولوائح وتعليمات وكذلك معلومات تفيد بأن اللجنة الوطنية لحقوق الإنسان ومكتب أمين المظالم وبعض المنظمات غير الحكومية تقوم برصد مخافر الشرطة والسجون. ومع ذلك، يساور اللجنة القلق للافتقار لآلية تكفل رصد جميع أماكن الاحتجاز. وتأسف اللجنة أيضاً ل</w:t>
      </w:r>
      <w:r w:rsidR="004E0A37" w:rsidRPr="004E0A37">
        <w:rPr>
          <w:rFonts w:hint="cs"/>
          <w:spacing w:val="0"/>
          <w:sz w:val="20"/>
          <w:rtl/>
        </w:rPr>
        <w:t>قلة ا</w:t>
      </w:r>
      <w:r w:rsidR="004E0A37" w:rsidRPr="004E0A37">
        <w:rPr>
          <w:spacing w:val="0"/>
          <w:sz w:val="20"/>
          <w:rtl/>
        </w:rPr>
        <w:t>لمعلومات المقدمة بشأن وجود آليات لتقديم الشكاوى في مثل هذه المرافق للاحتجاز، بما في ذلك إمكانية تقديم الشكاوى دون الخوف من الانتقام (المواد 2 و11 و12 و13 و16).</w:t>
      </w:r>
    </w:p>
    <w:p w:rsidR="004E0A37" w:rsidRPr="00C27568" w:rsidRDefault="004E0A37" w:rsidP="00C27568">
      <w:pPr>
        <w:pStyle w:val="SingleTxtGA"/>
        <w:jc w:val="lowKashida"/>
        <w:rPr>
          <w:b/>
          <w:bCs/>
          <w:spacing w:val="0"/>
          <w:sz w:val="20"/>
          <w:rtl/>
        </w:rPr>
      </w:pPr>
      <w:r w:rsidRPr="00C27568">
        <w:rPr>
          <w:rFonts w:hint="cs"/>
          <w:b/>
          <w:bCs/>
          <w:spacing w:val="0"/>
          <w:sz w:val="20"/>
          <w:rtl/>
        </w:rPr>
        <w:tab/>
      </w:r>
      <w:r w:rsidRPr="00C27568">
        <w:rPr>
          <w:b/>
          <w:bCs/>
          <w:spacing w:val="0"/>
          <w:sz w:val="20"/>
          <w:rtl/>
        </w:rPr>
        <w:t xml:space="preserve">ينبغي للدولة الطرف أن </w:t>
      </w:r>
      <w:r w:rsidRPr="00C27568">
        <w:rPr>
          <w:rFonts w:hint="cs"/>
          <w:b/>
          <w:bCs/>
          <w:spacing w:val="0"/>
          <w:sz w:val="20"/>
          <w:rtl/>
        </w:rPr>
        <w:t>تتيح</w:t>
      </w:r>
      <w:r w:rsidRPr="00C27568">
        <w:rPr>
          <w:b/>
          <w:bCs/>
          <w:spacing w:val="0"/>
          <w:sz w:val="20"/>
          <w:rtl/>
        </w:rPr>
        <w:t xml:space="preserve"> للمؤسسات والمنظمات غير حكومية إمكانية إجراء مزيد من الزيارات لأماكن الحرمان من الحرية لأغراض الرصد، وأن تكفل للمحتجزين تقديم شكاوى دون الخوف من الانتقام. وينبغي </w:t>
      </w:r>
      <w:r w:rsidRPr="00C27568">
        <w:rPr>
          <w:rFonts w:hint="cs"/>
          <w:b/>
          <w:bCs/>
          <w:spacing w:val="0"/>
          <w:sz w:val="20"/>
          <w:rtl/>
        </w:rPr>
        <w:t xml:space="preserve">إجراء </w:t>
      </w:r>
      <w:r w:rsidRPr="00C27568">
        <w:rPr>
          <w:b/>
          <w:bCs/>
          <w:spacing w:val="0"/>
          <w:sz w:val="20"/>
          <w:rtl/>
        </w:rPr>
        <w:t xml:space="preserve">تحقيق </w:t>
      </w:r>
      <w:r w:rsidRPr="00C27568">
        <w:rPr>
          <w:rFonts w:hint="cs"/>
          <w:b/>
          <w:bCs/>
          <w:spacing w:val="0"/>
          <w:sz w:val="20"/>
          <w:rtl/>
        </w:rPr>
        <w:t xml:space="preserve">فوري ونزيه ومستقل </w:t>
      </w:r>
      <w:r w:rsidRPr="00C27568">
        <w:rPr>
          <w:b/>
          <w:bCs/>
          <w:spacing w:val="0"/>
          <w:sz w:val="20"/>
          <w:rtl/>
        </w:rPr>
        <w:t>في</w:t>
      </w:r>
      <w:r w:rsidR="00C27568">
        <w:rPr>
          <w:rFonts w:hint="cs"/>
          <w:b/>
          <w:bCs/>
          <w:spacing w:val="0"/>
          <w:sz w:val="20"/>
          <w:rtl/>
        </w:rPr>
        <w:t> </w:t>
      </w:r>
      <w:r w:rsidRPr="00C27568">
        <w:rPr>
          <w:b/>
          <w:bCs/>
          <w:spacing w:val="0"/>
          <w:sz w:val="20"/>
          <w:rtl/>
        </w:rPr>
        <w:t>الشكاوى.</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حالات</w:t>
      </w:r>
      <w:r w:rsidRPr="004E0A37">
        <w:rPr>
          <w:spacing w:val="0"/>
          <w:sz w:val="20"/>
          <w:rtl/>
        </w:rPr>
        <w:t xml:space="preserve"> الاختفاء القسري</w:t>
      </w:r>
    </w:p>
    <w:p w:rsidR="004E0A37" w:rsidRPr="004E0A37" w:rsidRDefault="00AC7D2B" w:rsidP="00C27568">
      <w:pPr>
        <w:pStyle w:val="SingleTxtGA"/>
        <w:jc w:val="lowKashida"/>
        <w:rPr>
          <w:spacing w:val="0"/>
          <w:sz w:val="20"/>
          <w:rtl/>
        </w:rPr>
      </w:pPr>
      <w:r>
        <w:rPr>
          <w:rFonts w:hint="cs"/>
          <w:spacing w:val="0"/>
          <w:sz w:val="20"/>
          <w:rtl/>
        </w:rPr>
        <w:t>(</w:t>
      </w:r>
      <w:r w:rsidR="004E0A37" w:rsidRPr="004E0A37">
        <w:rPr>
          <w:spacing w:val="0"/>
          <w:sz w:val="20"/>
          <w:rtl/>
        </w:rPr>
        <w:t>14</w:t>
      </w:r>
      <w:r w:rsidR="003E72B5">
        <w:rPr>
          <w:spacing w:val="0"/>
          <w:sz w:val="20"/>
          <w:rtl/>
        </w:rPr>
        <w:t>)</w:t>
      </w:r>
      <w:r w:rsidR="003E72B5">
        <w:rPr>
          <w:spacing w:val="0"/>
          <w:sz w:val="20"/>
          <w:rtl/>
        </w:rPr>
        <w:tab/>
      </w:r>
      <w:r w:rsidR="004E0A37" w:rsidRPr="004E0A37">
        <w:rPr>
          <w:spacing w:val="0"/>
          <w:sz w:val="20"/>
          <w:rtl/>
        </w:rPr>
        <w:t xml:space="preserve">يساور اللجنة القلق إزاء </w:t>
      </w:r>
      <w:r w:rsidR="004E0A37" w:rsidRPr="004E0A37">
        <w:rPr>
          <w:rFonts w:hint="cs"/>
          <w:spacing w:val="0"/>
          <w:sz w:val="20"/>
          <w:rtl/>
        </w:rPr>
        <w:t xml:space="preserve">المعلومات التي تتحدث عن وجود </w:t>
      </w:r>
      <w:r w:rsidR="004E0A37" w:rsidRPr="004E0A37">
        <w:rPr>
          <w:spacing w:val="0"/>
          <w:sz w:val="20"/>
          <w:rtl/>
        </w:rPr>
        <w:t>حالات اختفاء قسري</w:t>
      </w:r>
      <w:r w:rsidR="004E0A37" w:rsidRPr="004E0A37">
        <w:rPr>
          <w:rFonts w:hint="cs"/>
          <w:spacing w:val="0"/>
          <w:sz w:val="20"/>
          <w:rtl/>
        </w:rPr>
        <w:t xml:space="preserve"> وإزاء عدم تقديم </w:t>
      </w:r>
      <w:r w:rsidR="004E0A37" w:rsidRPr="004E0A37">
        <w:rPr>
          <w:spacing w:val="0"/>
          <w:sz w:val="20"/>
          <w:rtl/>
        </w:rPr>
        <w:t>الدولة الطرف معلومات عن أماكن وجود الأشخاص المفقودين و</w:t>
      </w:r>
      <w:r w:rsidR="004E0A37" w:rsidRPr="004E0A37">
        <w:rPr>
          <w:rFonts w:hint="cs"/>
          <w:spacing w:val="0"/>
          <w:sz w:val="20"/>
          <w:rtl/>
        </w:rPr>
        <w:t>عدم إجراء</w:t>
      </w:r>
      <w:r w:rsidR="00C27568">
        <w:rPr>
          <w:rFonts w:hint="cs"/>
          <w:spacing w:val="0"/>
          <w:sz w:val="20"/>
          <w:rtl/>
        </w:rPr>
        <w:t> </w:t>
      </w:r>
      <w:r w:rsidR="004E0A37" w:rsidRPr="004E0A37">
        <w:rPr>
          <w:spacing w:val="0"/>
          <w:sz w:val="20"/>
          <w:rtl/>
        </w:rPr>
        <w:t>تحقيقات شاملة في حالات الاختفاء، ولا سيما في حال</w:t>
      </w:r>
      <w:r w:rsidR="004E0A37" w:rsidRPr="004E0A37">
        <w:rPr>
          <w:rFonts w:hint="cs"/>
          <w:spacing w:val="0"/>
          <w:sz w:val="20"/>
          <w:rtl/>
        </w:rPr>
        <w:t>تي</w:t>
      </w:r>
      <w:r w:rsidR="004E0A37" w:rsidRPr="004E0A37">
        <w:rPr>
          <w:spacing w:val="0"/>
          <w:sz w:val="20"/>
          <w:rtl/>
        </w:rPr>
        <w:t xml:space="preserve"> أندريا كاغوا رويسيريكا وأوغسطين</w:t>
      </w:r>
      <w:r w:rsidR="00C27568">
        <w:rPr>
          <w:rFonts w:hint="cs"/>
          <w:spacing w:val="0"/>
          <w:sz w:val="20"/>
          <w:rtl/>
        </w:rPr>
        <w:t> </w:t>
      </w:r>
      <w:r w:rsidR="004E0A37" w:rsidRPr="004E0A37">
        <w:rPr>
          <w:spacing w:val="0"/>
          <w:sz w:val="20"/>
          <w:rtl/>
        </w:rPr>
        <w:t xml:space="preserve">سيزا. ويساور </w:t>
      </w:r>
      <w:r w:rsidR="004E0A37" w:rsidRPr="004E0A37">
        <w:rPr>
          <w:rFonts w:hint="eastAsia"/>
          <w:spacing w:val="0"/>
          <w:sz w:val="20"/>
          <w:rtl/>
        </w:rPr>
        <w:t>اللجنة</w:t>
      </w:r>
      <w:r w:rsidR="004E0A37" w:rsidRPr="004E0A37">
        <w:rPr>
          <w:spacing w:val="0"/>
          <w:sz w:val="20"/>
          <w:rtl/>
        </w:rPr>
        <w:t xml:space="preserve"> القلق أيضاً </w:t>
      </w:r>
      <w:r w:rsidR="004E0A37" w:rsidRPr="004E0A37">
        <w:rPr>
          <w:rFonts w:hint="cs"/>
          <w:spacing w:val="0"/>
          <w:sz w:val="20"/>
          <w:rtl/>
        </w:rPr>
        <w:t>لعدم البت حتى الآن في</w:t>
      </w:r>
      <w:r w:rsidR="004E0A37" w:rsidRPr="004E0A37">
        <w:rPr>
          <w:spacing w:val="0"/>
          <w:sz w:val="20"/>
          <w:rtl/>
        </w:rPr>
        <w:t xml:space="preserve"> 21 حالة </w:t>
      </w:r>
      <w:r w:rsidR="004E0A37" w:rsidRPr="004E0A37">
        <w:rPr>
          <w:rFonts w:hint="cs"/>
          <w:spacing w:val="0"/>
          <w:sz w:val="20"/>
          <w:rtl/>
        </w:rPr>
        <w:t>من الحالات ا</w:t>
      </w:r>
      <w:r w:rsidR="00C27568" w:rsidRPr="00C27568">
        <w:rPr>
          <w:rFonts w:hint="cs"/>
          <w:spacing w:val="0"/>
          <w:sz w:val="30"/>
          <w:rtl/>
        </w:rPr>
        <w:t>ل‍</w:t>
      </w:r>
      <w:r w:rsidR="004E0A37" w:rsidRPr="004E0A37">
        <w:rPr>
          <w:spacing w:val="0"/>
          <w:sz w:val="20"/>
          <w:rtl/>
        </w:rPr>
        <w:t xml:space="preserve"> 24 </w:t>
      </w:r>
      <w:r w:rsidR="004E0A37" w:rsidRPr="004E0A37">
        <w:rPr>
          <w:rFonts w:hint="cs"/>
          <w:spacing w:val="0"/>
          <w:sz w:val="20"/>
          <w:rtl/>
        </w:rPr>
        <w:t>التي</w:t>
      </w:r>
      <w:r w:rsidR="004E0A37" w:rsidRPr="004E0A37">
        <w:rPr>
          <w:spacing w:val="0"/>
          <w:sz w:val="20"/>
          <w:rtl/>
        </w:rPr>
        <w:t xml:space="preserve"> قدمها الفريق العامل المعني بالاحتجاز القسري أو غير الطوعي إلى الدولة الطرف (المواد 2 و11 و12 و13 و14 و15).</w:t>
      </w:r>
    </w:p>
    <w:p w:rsidR="004E0A37" w:rsidRPr="00C27568" w:rsidRDefault="004E0A37" w:rsidP="004E0A37">
      <w:pPr>
        <w:pStyle w:val="SingleTxtGA"/>
        <w:jc w:val="lowKashida"/>
        <w:rPr>
          <w:b/>
          <w:bCs/>
          <w:spacing w:val="0"/>
          <w:sz w:val="20"/>
          <w:rtl/>
        </w:rPr>
      </w:pPr>
      <w:r w:rsidRPr="00C27568">
        <w:rPr>
          <w:b/>
          <w:bCs/>
          <w:spacing w:val="0"/>
          <w:sz w:val="20"/>
          <w:rtl/>
        </w:rPr>
        <w:tab/>
        <w:t>ينبغي للدولة الطرف أن تتخذ جميع الخطوات المناسبة لحماية جميع الأشخاص من الاختفاء القسري حماية فعالة. وينبغي للدولة الطرف أن تكفل إجراء تحقيقات شاملة في جميع حالات الاختفاء القسري ومقاضاة الأشخاص المسؤولين عن الاختفاء القسري ومعاقبتهم بعقوبا</w:t>
      </w:r>
      <w:r w:rsidRPr="00C27568">
        <w:rPr>
          <w:rFonts w:hint="eastAsia"/>
          <w:b/>
          <w:bCs/>
          <w:spacing w:val="0"/>
          <w:sz w:val="20"/>
          <w:rtl/>
        </w:rPr>
        <w:t>ت</w:t>
      </w:r>
      <w:r w:rsidRPr="00C27568">
        <w:rPr>
          <w:b/>
          <w:bCs/>
          <w:spacing w:val="0"/>
          <w:sz w:val="20"/>
          <w:rtl/>
        </w:rPr>
        <w:t xml:space="preserve"> مناسبة</w:t>
      </w:r>
      <w:r w:rsidRPr="00C27568">
        <w:rPr>
          <w:rFonts w:hint="cs"/>
          <w:b/>
          <w:bCs/>
          <w:spacing w:val="0"/>
          <w:sz w:val="20"/>
          <w:rtl/>
        </w:rPr>
        <w:t xml:space="preserve"> إذا ثبتت إدانتهم</w:t>
      </w:r>
      <w:r w:rsidRPr="00C27568">
        <w:rPr>
          <w:b/>
          <w:bCs/>
          <w:spacing w:val="0"/>
          <w:sz w:val="20"/>
          <w:rtl/>
        </w:rPr>
        <w:t>.</w:t>
      </w:r>
      <w:r w:rsidRPr="00C27568">
        <w:rPr>
          <w:rFonts w:hint="cs"/>
          <w:b/>
          <w:bCs/>
          <w:spacing w:val="0"/>
          <w:sz w:val="20"/>
          <w:rtl/>
        </w:rPr>
        <w:t xml:space="preserve"> </w:t>
      </w:r>
      <w:r w:rsidRPr="00C27568">
        <w:rPr>
          <w:b/>
          <w:bCs/>
          <w:spacing w:val="0"/>
          <w:sz w:val="20"/>
          <w:rtl/>
        </w:rPr>
        <w:t xml:space="preserve">وينبغي للدولة الطرف أيضاً أن تكفل لأي فرد </w:t>
      </w:r>
      <w:r w:rsidRPr="00C27568">
        <w:rPr>
          <w:rFonts w:hint="cs"/>
          <w:b/>
          <w:bCs/>
          <w:spacing w:val="0"/>
          <w:sz w:val="20"/>
          <w:rtl/>
        </w:rPr>
        <w:t>تعرض ل</w:t>
      </w:r>
      <w:r w:rsidRPr="00C27568">
        <w:rPr>
          <w:b/>
          <w:bCs/>
          <w:spacing w:val="0"/>
          <w:sz w:val="20"/>
          <w:rtl/>
        </w:rPr>
        <w:t xml:space="preserve">لأذى كنتيجة مباشرة للاختفاء القسري الوصول إلى جميع المعلومات التي قد تكون مفيدة في تحديد </w:t>
      </w:r>
      <w:r w:rsidRPr="00C27568">
        <w:rPr>
          <w:rFonts w:hint="cs"/>
          <w:b/>
          <w:bCs/>
          <w:spacing w:val="0"/>
          <w:sz w:val="20"/>
          <w:rtl/>
        </w:rPr>
        <w:t xml:space="preserve">مكان </w:t>
      </w:r>
      <w:r w:rsidRPr="00C27568">
        <w:rPr>
          <w:b/>
          <w:bCs/>
          <w:spacing w:val="0"/>
          <w:sz w:val="20"/>
          <w:rtl/>
        </w:rPr>
        <w:t>وجود الشخص المفقود، وكذلك الحصول على تعويض عادل ومناسب. وينبغي للدولة الطرف أن تكثف جهودها لتوضيح جمي</w:t>
      </w:r>
      <w:r w:rsidRPr="00C27568">
        <w:rPr>
          <w:rFonts w:hint="eastAsia"/>
          <w:b/>
          <w:bCs/>
          <w:spacing w:val="0"/>
          <w:sz w:val="20"/>
          <w:rtl/>
        </w:rPr>
        <w:t>ع</w:t>
      </w:r>
      <w:r w:rsidRPr="00C27568">
        <w:rPr>
          <w:b/>
          <w:bCs/>
          <w:spacing w:val="0"/>
          <w:sz w:val="20"/>
          <w:rtl/>
        </w:rPr>
        <w:t xml:space="preserve"> الحالات المعلقة التي أحالها إليها الفريق العامل المعني بالاختفاء القسري أو غير الطوعي. وفضلاً عن ذلك، تحث اللجنة الحكومة على التصديق على الاتفاقية الدولية لحماية جميع الأشخاص من الاختفاء القسري.</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محاكم</w:t>
      </w:r>
      <w:r w:rsidRPr="004E0A37">
        <w:rPr>
          <w:spacing w:val="0"/>
          <w:sz w:val="20"/>
          <w:rtl/>
        </w:rPr>
        <w:t xml:space="preserve"> غاكاكا </w:t>
      </w:r>
      <w:r w:rsidRPr="004E0A37">
        <w:rPr>
          <w:rFonts w:hint="cs"/>
          <w:spacing w:val="0"/>
          <w:sz w:val="20"/>
          <w:rtl/>
        </w:rPr>
        <w:t>-</w:t>
      </w:r>
      <w:r w:rsidRPr="004E0A37">
        <w:rPr>
          <w:spacing w:val="0"/>
          <w:sz w:val="20"/>
          <w:rtl/>
        </w:rPr>
        <w:t xml:space="preserve"> نظام العدالة التقليدي</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15</w:t>
      </w:r>
      <w:r w:rsidR="003E72B5">
        <w:rPr>
          <w:spacing w:val="0"/>
          <w:sz w:val="20"/>
          <w:rtl/>
        </w:rPr>
        <w:t>)</w:t>
      </w:r>
      <w:r w:rsidR="003E72B5">
        <w:rPr>
          <w:spacing w:val="0"/>
          <w:sz w:val="20"/>
          <w:rtl/>
        </w:rPr>
        <w:tab/>
      </w:r>
      <w:r w:rsidR="004E0A37" w:rsidRPr="004E0A37">
        <w:rPr>
          <w:spacing w:val="0"/>
          <w:sz w:val="20"/>
          <w:rtl/>
        </w:rPr>
        <w:t xml:space="preserve">ترحب اللجنة بالتوضيحات التي قدمتها الدولة الطرف بشأن نظام محاكم غاكاكا، التي تم إنشاؤها </w:t>
      </w:r>
      <w:r w:rsidR="004E0A37" w:rsidRPr="004E0A37">
        <w:rPr>
          <w:rFonts w:hint="cs"/>
          <w:spacing w:val="0"/>
          <w:sz w:val="20"/>
          <w:rtl/>
        </w:rPr>
        <w:t xml:space="preserve">لتسريع الملاحقات </w:t>
      </w:r>
      <w:r w:rsidR="004E0A37" w:rsidRPr="004E0A37">
        <w:rPr>
          <w:spacing w:val="0"/>
          <w:sz w:val="20"/>
          <w:rtl/>
        </w:rPr>
        <w:t>القضائية المتعلقة بالإبادة الجماعية التي حدثت في عام</w:t>
      </w:r>
      <w:r w:rsidR="004E0A37" w:rsidRPr="004E0A37">
        <w:rPr>
          <w:rFonts w:hint="cs"/>
          <w:spacing w:val="0"/>
          <w:sz w:val="20"/>
          <w:rtl/>
        </w:rPr>
        <w:t> </w:t>
      </w:r>
      <w:r w:rsidR="004E0A37" w:rsidRPr="004E0A37">
        <w:rPr>
          <w:spacing w:val="0"/>
          <w:sz w:val="20"/>
          <w:rtl/>
        </w:rPr>
        <w:t xml:space="preserve">1994، وإغلاقها الوشيك </w:t>
      </w:r>
      <w:r w:rsidR="00B6289A">
        <w:rPr>
          <w:rFonts w:hint="cs"/>
          <w:spacing w:val="0"/>
          <w:sz w:val="20"/>
          <w:rtl/>
        </w:rPr>
        <w:t>فور ا</w:t>
      </w:r>
      <w:r w:rsidR="004E0A37" w:rsidRPr="004E0A37">
        <w:rPr>
          <w:rFonts w:hint="cs"/>
          <w:spacing w:val="0"/>
          <w:sz w:val="20"/>
          <w:rtl/>
        </w:rPr>
        <w:t xml:space="preserve">نتهاء </w:t>
      </w:r>
      <w:r w:rsidR="004E0A37" w:rsidRPr="004E0A37">
        <w:rPr>
          <w:spacing w:val="0"/>
          <w:sz w:val="20"/>
          <w:rtl/>
        </w:rPr>
        <w:t>ولايتها. ومع ذلك</w:t>
      </w:r>
      <w:r w:rsidR="004E0A37" w:rsidRPr="004E0A37">
        <w:rPr>
          <w:rFonts w:hint="cs"/>
          <w:spacing w:val="0"/>
          <w:sz w:val="20"/>
          <w:rtl/>
        </w:rPr>
        <w:t>،</w:t>
      </w:r>
      <w:r w:rsidR="004E0A37" w:rsidRPr="004E0A37">
        <w:rPr>
          <w:spacing w:val="0"/>
          <w:sz w:val="20"/>
          <w:rtl/>
        </w:rPr>
        <w:t xml:space="preserve"> يساور اللجنة القلق إزاء الانتقادات التي وج</w:t>
      </w:r>
      <w:r w:rsidR="004E0A37" w:rsidRPr="004E0A37">
        <w:rPr>
          <w:rFonts w:hint="eastAsia"/>
          <w:spacing w:val="0"/>
          <w:sz w:val="20"/>
          <w:rtl/>
        </w:rPr>
        <w:t>هت</w:t>
      </w:r>
      <w:r w:rsidR="004E0A37" w:rsidRPr="004E0A37">
        <w:rPr>
          <w:spacing w:val="0"/>
          <w:sz w:val="20"/>
          <w:rtl/>
        </w:rPr>
        <w:t xml:space="preserve"> </w:t>
      </w:r>
      <w:r w:rsidR="00F96B1E">
        <w:rPr>
          <w:spacing w:val="0"/>
          <w:sz w:val="20"/>
          <w:rtl/>
        </w:rPr>
        <w:t>فيما </w:t>
      </w:r>
      <w:r w:rsidR="004E0A37" w:rsidRPr="004E0A37">
        <w:rPr>
          <w:spacing w:val="0"/>
          <w:sz w:val="20"/>
          <w:rtl/>
        </w:rPr>
        <w:t>يتعلق بانعدام الضمانات الأساسية أمام محاكم غاكاكا، (المواد</w:t>
      </w:r>
      <w:r w:rsidR="004E0A37" w:rsidRPr="004E0A37">
        <w:rPr>
          <w:rFonts w:hint="cs"/>
          <w:spacing w:val="0"/>
          <w:sz w:val="20"/>
          <w:rtl/>
        </w:rPr>
        <w:t> </w:t>
      </w:r>
      <w:r w:rsidR="004E0A37" w:rsidRPr="004E0A37">
        <w:rPr>
          <w:spacing w:val="0"/>
          <w:sz w:val="20"/>
          <w:rtl/>
        </w:rPr>
        <w:t>2 و10</w:t>
      </w:r>
      <w:r w:rsidR="004E0A37" w:rsidRPr="004E0A37">
        <w:rPr>
          <w:rFonts w:hint="cs"/>
          <w:spacing w:val="0"/>
          <w:sz w:val="20"/>
          <w:rtl/>
        </w:rPr>
        <w:t>-</w:t>
      </w:r>
      <w:r w:rsidR="004E0A37" w:rsidRPr="004E0A37">
        <w:rPr>
          <w:spacing w:val="0"/>
          <w:sz w:val="20"/>
          <w:rtl/>
        </w:rPr>
        <w:t>13 و15 و16).</w:t>
      </w:r>
    </w:p>
    <w:p w:rsidR="004E0A37" w:rsidRPr="00C27568" w:rsidRDefault="004E0A37" w:rsidP="004E0A37">
      <w:pPr>
        <w:pStyle w:val="SingleTxtGA"/>
        <w:jc w:val="lowKashida"/>
        <w:rPr>
          <w:b/>
          <w:bCs/>
          <w:spacing w:val="0"/>
          <w:sz w:val="20"/>
          <w:rtl/>
        </w:rPr>
      </w:pPr>
      <w:r w:rsidRPr="00C27568">
        <w:rPr>
          <w:b/>
          <w:bCs/>
          <w:spacing w:val="0"/>
          <w:sz w:val="20"/>
          <w:rtl/>
        </w:rPr>
        <w:tab/>
        <w:t xml:space="preserve">ينبغي للدولة الطرف أن تكفل تطابق نظام محاكم غاكاكا مع الالتزامات الدولية للدولة الطرف في مجال حقوق الإنسان، ولا سيما التزاماتها بموجب الاتفاقية المتعلقة بالضمانات القانونية الأساسية </w:t>
      </w:r>
      <w:r w:rsidRPr="00C27568">
        <w:rPr>
          <w:rFonts w:hint="cs"/>
          <w:b/>
          <w:bCs/>
          <w:spacing w:val="0"/>
          <w:sz w:val="20"/>
          <w:rtl/>
        </w:rPr>
        <w:t>ل</w:t>
      </w:r>
      <w:r w:rsidRPr="00C27568">
        <w:rPr>
          <w:b/>
          <w:bCs/>
          <w:spacing w:val="0"/>
          <w:sz w:val="20"/>
          <w:rtl/>
        </w:rPr>
        <w:t xml:space="preserve">لمحاكمة </w:t>
      </w:r>
      <w:r w:rsidRPr="00C27568">
        <w:rPr>
          <w:rFonts w:hint="cs"/>
          <w:b/>
          <w:bCs/>
          <w:spacing w:val="0"/>
          <w:sz w:val="20"/>
          <w:rtl/>
        </w:rPr>
        <w:t>ال</w:t>
      </w:r>
      <w:r w:rsidRPr="00C27568">
        <w:rPr>
          <w:b/>
          <w:bCs/>
          <w:spacing w:val="0"/>
          <w:sz w:val="20"/>
          <w:rtl/>
        </w:rPr>
        <w:t xml:space="preserve">عادلة. وأن تكفل </w:t>
      </w:r>
      <w:r w:rsidRPr="00C27568">
        <w:rPr>
          <w:rFonts w:hint="cs"/>
          <w:b/>
          <w:bCs/>
          <w:spacing w:val="0"/>
          <w:sz w:val="20"/>
          <w:rtl/>
        </w:rPr>
        <w:t xml:space="preserve">البت في </w:t>
      </w:r>
      <w:r w:rsidRPr="00C27568">
        <w:rPr>
          <w:b/>
          <w:bCs/>
          <w:spacing w:val="0"/>
          <w:sz w:val="20"/>
          <w:rtl/>
        </w:rPr>
        <w:t xml:space="preserve">الدعاوى المتبقية أمام محاكم غاكاكا </w:t>
      </w:r>
      <w:r w:rsidRPr="00C27568">
        <w:rPr>
          <w:rFonts w:hint="cs"/>
          <w:b/>
          <w:bCs/>
          <w:spacing w:val="0"/>
          <w:sz w:val="20"/>
          <w:rtl/>
        </w:rPr>
        <w:t xml:space="preserve">على نحو يراعي </w:t>
      </w:r>
      <w:r w:rsidRPr="00C27568">
        <w:rPr>
          <w:b/>
          <w:bCs/>
          <w:spacing w:val="0"/>
          <w:sz w:val="20"/>
          <w:rtl/>
        </w:rPr>
        <w:t xml:space="preserve">هذه المعايير. وينبغي للدولة الطرف أن تكفل أيضاً إمكانية الطعن في القرارات الصادرة </w:t>
      </w:r>
      <w:r w:rsidRPr="00C27568">
        <w:rPr>
          <w:rFonts w:hint="cs"/>
          <w:b/>
          <w:bCs/>
          <w:spacing w:val="0"/>
          <w:sz w:val="20"/>
          <w:rtl/>
        </w:rPr>
        <w:t xml:space="preserve">عن هذه المحاكم </w:t>
      </w:r>
      <w:r w:rsidRPr="00C27568">
        <w:rPr>
          <w:b/>
          <w:bCs/>
          <w:spacing w:val="0"/>
          <w:sz w:val="20"/>
          <w:rtl/>
        </w:rPr>
        <w:t>أمام محاكم عادية.</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العنف</w:t>
      </w:r>
      <w:r w:rsidRPr="004E0A37">
        <w:rPr>
          <w:spacing w:val="0"/>
          <w:sz w:val="20"/>
          <w:rtl/>
        </w:rPr>
        <w:t xml:space="preserve"> ضد المرأة والطفل والعنف المنزلي بما في ذلك الاعتداء الجنسي</w:t>
      </w:r>
    </w:p>
    <w:p w:rsidR="004E0A37" w:rsidRPr="004E0A37" w:rsidRDefault="00AC7D2B" w:rsidP="00C27568">
      <w:pPr>
        <w:pStyle w:val="SingleTxtGA"/>
        <w:jc w:val="lowKashida"/>
        <w:rPr>
          <w:spacing w:val="0"/>
          <w:sz w:val="20"/>
          <w:rtl/>
        </w:rPr>
      </w:pPr>
      <w:r>
        <w:rPr>
          <w:rFonts w:hint="cs"/>
          <w:spacing w:val="0"/>
          <w:sz w:val="20"/>
          <w:rtl/>
        </w:rPr>
        <w:t>(</w:t>
      </w:r>
      <w:r w:rsidR="004E0A37" w:rsidRPr="004E0A37">
        <w:rPr>
          <w:spacing w:val="0"/>
          <w:sz w:val="20"/>
          <w:rtl/>
        </w:rPr>
        <w:t>16</w:t>
      </w:r>
      <w:r w:rsidR="003E72B5">
        <w:rPr>
          <w:spacing w:val="0"/>
          <w:sz w:val="20"/>
          <w:rtl/>
        </w:rPr>
        <w:t>)</w:t>
      </w:r>
      <w:r w:rsidR="003E72B5">
        <w:rPr>
          <w:spacing w:val="0"/>
          <w:sz w:val="20"/>
          <w:rtl/>
        </w:rPr>
        <w:tab/>
      </w:r>
      <w:r w:rsidR="004E0A37" w:rsidRPr="004E0A37">
        <w:rPr>
          <w:rFonts w:hint="cs"/>
          <w:spacing w:val="0"/>
          <w:sz w:val="20"/>
          <w:rtl/>
        </w:rPr>
        <w:t xml:space="preserve">تشير </w:t>
      </w:r>
      <w:r w:rsidR="004E0A37" w:rsidRPr="004E0A37">
        <w:rPr>
          <w:spacing w:val="0"/>
          <w:sz w:val="20"/>
          <w:rtl/>
        </w:rPr>
        <w:t xml:space="preserve">اللجنة </w:t>
      </w:r>
      <w:r w:rsidR="004E0A37" w:rsidRPr="004E0A37">
        <w:rPr>
          <w:rFonts w:hint="cs"/>
          <w:spacing w:val="0"/>
          <w:sz w:val="20"/>
          <w:rtl/>
        </w:rPr>
        <w:t xml:space="preserve">إلى </w:t>
      </w:r>
      <w:r w:rsidR="004E0A37" w:rsidRPr="004E0A37">
        <w:rPr>
          <w:spacing w:val="0"/>
          <w:sz w:val="20"/>
          <w:rtl/>
        </w:rPr>
        <w:t xml:space="preserve">التدابير التي اتخذتها الدولة الطرف لمكافحة العنف المنزلي، ولا سيما العنف ضد النساء والفتيات. </w:t>
      </w:r>
      <w:r w:rsidR="004E0A37" w:rsidRPr="004E0A37">
        <w:rPr>
          <w:rFonts w:hint="cs"/>
          <w:spacing w:val="0"/>
          <w:sz w:val="20"/>
          <w:rtl/>
        </w:rPr>
        <w:t xml:space="preserve">كما تشير إلى </w:t>
      </w:r>
      <w:r w:rsidR="004E0A37" w:rsidRPr="004E0A37">
        <w:rPr>
          <w:spacing w:val="0"/>
          <w:sz w:val="20"/>
          <w:rtl/>
        </w:rPr>
        <w:t>أن عدد حالات الاغتصاب انخفضت بين عامي</w:t>
      </w:r>
      <w:r w:rsidR="004E0A37" w:rsidRPr="004E0A37">
        <w:rPr>
          <w:rFonts w:hint="cs"/>
          <w:spacing w:val="0"/>
          <w:sz w:val="20"/>
          <w:rtl/>
        </w:rPr>
        <w:t> </w:t>
      </w:r>
      <w:r w:rsidR="004E0A37" w:rsidRPr="004E0A37">
        <w:rPr>
          <w:spacing w:val="0"/>
          <w:sz w:val="20"/>
          <w:rtl/>
        </w:rPr>
        <w:t>2006 و2009. ومع ذلك</w:t>
      </w:r>
      <w:r w:rsidR="004E0A37" w:rsidRPr="004E0A37">
        <w:rPr>
          <w:rFonts w:hint="cs"/>
          <w:spacing w:val="0"/>
          <w:sz w:val="20"/>
          <w:rtl/>
        </w:rPr>
        <w:t>،</w:t>
      </w:r>
      <w:r w:rsidR="004E0A37" w:rsidRPr="004E0A37">
        <w:rPr>
          <w:spacing w:val="0"/>
          <w:sz w:val="20"/>
          <w:rtl/>
        </w:rPr>
        <w:t xml:space="preserve"> لا تزال اللجنة تشعر بالقلق إزاء استمرار هذه الظاهرة، ع</w:t>
      </w:r>
      <w:r w:rsidR="004E0A37" w:rsidRPr="004E0A37">
        <w:rPr>
          <w:rFonts w:hint="eastAsia"/>
          <w:spacing w:val="0"/>
          <w:sz w:val="20"/>
          <w:rtl/>
        </w:rPr>
        <w:t>لى</w:t>
      </w:r>
      <w:r w:rsidR="004E0A37" w:rsidRPr="004E0A37">
        <w:rPr>
          <w:spacing w:val="0"/>
          <w:sz w:val="20"/>
          <w:rtl/>
        </w:rPr>
        <w:t xml:space="preserve"> النحو الذي أشير إليه في تقرير الدولة الطرف، وتلاحظ أن الدولة الطرف </w:t>
      </w:r>
      <w:r w:rsidR="004E0A37" w:rsidRPr="004E0A37">
        <w:rPr>
          <w:rFonts w:hint="cs"/>
          <w:spacing w:val="0"/>
          <w:sz w:val="20"/>
          <w:rtl/>
        </w:rPr>
        <w:t>سجلت</w:t>
      </w:r>
      <w:r w:rsidR="00C27568">
        <w:rPr>
          <w:rFonts w:hint="eastAsia"/>
          <w:spacing w:val="0"/>
          <w:sz w:val="20"/>
          <w:rtl/>
        </w:rPr>
        <w:t> </w:t>
      </w:r>
      <w:r w:rsidR="004E0A37" w:rsidRPr="004E0A37">
        <w:rPr>
          <w:spacing w:val="0"/>
          <w:sz w:val="20"/>
          <w:rtl/>
        </w:rPr>
        <w:t>570</w:t>
      </w:r>
      <w:r w:rsidR="004E0A37" w:rsidRPr="004E0A37">
        <w:rPr>
          <w:rFonts w:hint="cs"/>
          <w:spacing w:val="0"/>
          <w:sz w:val="20"/>
          <w:rtl/>
        </w:rPr>
        <w:t> </w:t>
      </w:r>
      <w:r w:rsidR="004E0A37" w:rsidRPr="004E0A37">
        <w:rPr>
          <w:spacing w:val="0"/>
          <w:sz w:val="20"/>
          <w:rtl/>
        </w:rPr>
        <w:t xml:space="preserve">1 حالة اغتصاب للأطفال في عام 2009. وتأسف اللجنة أيضاً </w:t>
      </w:r>
      <w:r w:rsidR="004E0A37" w:rsidRPr="004E0A37">
        <w:rPr>
          <w:rFonts w:hint="cs"/>
          <w:spacing w:val="0"/>
          <w:sz w:val="20"/>
          <w:rtl/>
        </w:rPr>
        <w:t xml:space="preserve">لعدم توفر </w:t>
      </w:r>
      <w:r w:rsidR="004E0A37" w:rsidRPr="004E0A37">
        <w:rPr>
          <w:spacing w:val="0"/>
          <w:sz w:val="20"/>
          <w:rtl/>
        </w:rPr>
        <w:t xml:space="preserve">بيانات إحصائية شاملة وحديثة عن العنف المنزلي، وكذلك عن عمليات التحقيق والملاحقة </w:t>
      </w:r>
      <w:r w:rsidR="004E0A37" w:rsidRPr="004E0A37">
        <w:rPr>
          <w:rFonts w:hint="cs"/>
          <w:spacing w:val="0"/>
          <w:sz w:val="20"/>
          <w:rtl/>
        </w:rPr>
        <w:t xml:space="preserve">القضائية </w:t>
      </w:r>
      <w:r w:rsidR="004E0A37" w:rsidRPr="004E0A37">
        <w:rPr>
          <w:spacing w:val="0"/>
          <w:sz w:val="20"/>
          <w:rtl/>
        </w:rPr>
        <w:t>والإدانة والعقوبات المفروض</w:t>
      </w:r>
      <w:r w:rsidR="004E0A37" w:rsidRPr="004E0A37">
        <w:rPr>
          <w:rFonts w:hint="eastAsia"/>
          <w:spacing w:val="0"/>
          <w:sz w:val="20"/>
          <w:rtl/>
        </w:rPr>
        <w:t>ة</w:t>
      </w:r>
      <w:r w:rsidR="004E0A37" w:rsidRPr="004E0A37">
        <w:rPr>
          <w:spacing w:val="0"/>
          <w:sz w:val="20"/>
          <w:rtl/>
        </w:rPr>
        <w:t xml:space="preserve"> على مرتكبي هذه الأفعال. وتعرب اللجنة عن قلقها أيضاً إزاء الافتقار لتشريع شامل يحظر العقوبة البدنية للطفل (المادة 2 ومن 12 إلى 14).</w:t>
      </w:r>
    </w:p>
    <w:p w:rsidR="004E0A37" w:rsidRPr="00C27568" w:rsidRDefault="004E0A37" w:rsidP="00C27568">
      <w:pPr>
        <w:pStyle w:val="SingleTxtGA"/>
        <w:spacing w:line="360" w:lineRule="exact"/>
        <w:jc w:val="lowKashida"/>
        <w:rPr>
          <w:b/>
          <w:bCs/>
          <w:spacing w:val="0"/>
          <w:sz w:val="20"/>
          <w:rtl/>
        </w:rPr>
      </w:pPr>
      <w:r w:rsidRPr="00C27568">
        <w:rPr>
          <w:b/>
          <w:bCs/>
          <w:spacing w:val="0"/>
          <w:sz w:val="20"/>
          <w:rtl/>
        </w:rPr>
        <w:tab/>
        <w:t xml:space="preserve">ينبغي للدولة الطرف أن تعزز تدابير القضاء على العنف المنزلي، ولا سيما العنف ضد النساء والفتيات، بما في ذلك </w:t>
      </w:r>
      <w:r w:rsidRPr="00C27568">
        <w:rPr>
          <w:rFonts w:hint="cs"/>
          <w:b/>
          <w:bCs/>
          <w:spacing w:val="0"/>
          <w:sz w:val="20"/>
          <w:rtl/>
        </w:rPr>
        <w:t xml:space="preserve">عن طريق </w:t>
      </w:r>
      <w:r w:rsidRPr="00C27568">
        <w:rPr>
          <w:b/>
          <w:bCs/>
          <w:spacing w:val="0"/>
          <w:sz w:val="20"/>
          <w:rtl/>
        </w:rPr>
        <w:t xml:space="preserve">اعتماد </w:t>
      </w:r>
      <w:r w:rsidRPr="00C27568">
        <w:rPr>
          <w:rFonts w:hint="cs"/>
          <w:b/>
          <w:bCs/>
          <w:spacing w:val="0"/>
          <w:sz w:val="20"/>
          <w:rtl/>
        </w:rPr>
        <w:t>ا</w:t>
      </w:r>
      <w:r w:rsidRPr="00C27568">
        <w:rPr>
          <w:b/>
          <w:bCs/>
          <w:spacing w:val="0"/>
          <w:sz w:val="20"/>
          <w:rtl/>
        </w:rPr>
        <w:t xml:space="preserve">ستراتيجية شاملة. وينبغي للدولة الطرف أن تيسر للنساء تقديم الشكاوى ضد مرتكبي هذه الأفعال وأن تكفل </w:t>
      </w:r>
      <w:r w:rsidRPr="00C27568">
        <w:rPr>
          <w:rFonts w:hint="cs"/>
          <w:b/>
          <w:bCs/>
          <w:spacing w:val="0"/>
          <w:sz w:val="20"/>
          <w:rtl/>
        </w:rPr>
        <w:t xml:space="preserve">إجراء </w:t>
      </w:r>
      <w:r w:rsidRPr="00C27568">
        <w:rPr>
          <w:b/>
          <w:bCs/>
          <w:spacing w:val="0"/>
          <w:sz w:val="20"/>
          <w:rtl/>
        </w:rPr>
        <w:t xml:space="preserve">تحقيقات فورية ونزيهة وفعالة في جميع ادعاءات </w:t>
      </w:r>
      <w:r w:rsidRPr="00C27568">
        <w:rPr>
          <w:rFonts w:hint="cs"/>
          <w:b/>
          <w:bCs/>
          <w:spacing w:val="0"/>
          <w:sz w:val="20"/>
          <w:rtl/>
        </w:rPr>
        <w:t>التعرض ل</w:t>
      </w:r>
      <w:r w:rsidRPr="00C27568">
        <w:rPr>
          <w:b/>
          <w:bCs/>
          <w:spacing w:val="0"/>
          <w:sz w:val="20"/>
          <w:rtl/>
        </w:rPr>
        <w:t xml:space="preserve">لعنف الجنسي وكذلك مقاضاة المشتبه فيهم ومعاقبة الجناة. وينبغي للدولة الطرف أن تواصل </w:t>
      </w:r>
      <w:r w:rsidRPr="00C27568">
        <w:rPr>
          <w:rFonts w:hint="cs"/>
          <w:b/>
          <w:bCs/>
          <w:spacing w:val="0"/>
          <w:sz w:val="20"/>
          <w:rtl/>
        </w:rPr>
        <w:t xml:space="preserve">تقديم </w:t>
      </w:r>
      <w:r w:rsidRPr="00C27568">
        <w:rPr>
          <w:b/>
          <w:bCs/>
          <w:spacing w:val="0"/>
          <w:sz w:val="20"/>
          <w:rtl/>
        </w:rPr>
        <w:t xml:space="preserve">المساعدة </w:t>
      </w:r>
      <w:r w:rsidRPr="00C27568">
        <w:rPr>
          <w:rFonts w:hint="cs"/>
          <w:b/>
          <w:bCs/>
          <w:spacing w:val="0"/>
          <w:sz w:val="20"/>
          <w:rtl/>
        </w:rPr>
        <w:t xml:space="preserve">للضحايا من النساء، </w:t>
      </w:r>
      <w:r w:rsidRPr="00C27568">
        <w:rPr>
          <w:b/>
          <w:bCs/>
          <w:spacing w:val="0"/>
          <w:sz w:val="20"/>
          <w:rtl/>
        </w:rPr>
        <w:t>بما في ذلك المأوى والمساعدة الطبية وتدابير إعادة التأهيل. وفضلاً عن ذلك، ينبغي للدولة الطرف أن تحظر صراحة العقوبة البدنية للأطفا</w:t>
      </w:r>
      <w:r w:rsidRPr="00C27568">
        <w:rPr>
          <w:rFonts w:hint="eastAsia"/>
          <w:b/>
          <w:bCs/>
          <w:spacing w:val="0"/>
          <w:sz w:val="20"/>
          <w:rtl/>
        </w:rPr>
        <w:t>ل</w:t>
      </w:r>
      <w:r w:rsidRPr="00C27568">
        <w:rPr>
          <w:b/>
          <w:bCs/>
          <w:spacing w:val="0"/>
          <w:sz w:val="20"/>
          <w:rtl/>
        </w:rPr>
        <w:t xml:space="preserve"> في جميع الأوساط.</w:t>
      </w:r>
    </w:p>
    <w:p w:rsidR="004E0A37" w:rsidRPr="00C27568" w:rsidRDefault="004E0A37" w:rsidP="00C27568">
      <w:pPr>
        <w:pStyle w:val="SingleTxtGA"/>
        <w:spacing w:line="360" w:lineRule="exact"/>
        <w:jc w:val="lowKashida"/>
        <w:rPr>
          <w:b/>
          <w:bCs/>
          <w:spacing w:val="0"/>
          <w:sz w:val="20"/>
          <w:rtl/>
        </w:rPr>
      </w:pPr>
      <w:r w:rsidRPr="00C27568">
        <w:rPr>
          <w:b/>
          <w:bCs/>
          <w:spacing w:val="0"/>
          <w:sz w:val="20"/>
          <w:rtl/>
        </w:rPr>
        <w:tab/>
        <w:t>وينبغي للدولة الطرف أن تزود اللجنة بمعلومات عن التحقيقات في حالات العنف المنزلي، ولا سيما العنف ضد النساء والفتيات، بما في ذلك الاغتصاب وغيره من الجرائم، ومنها العنف الجنسي، وعن نتائج المحاكمات</w:t>
      </w:r>
      <w:r w:rsidRPr="00C27568">
        <w:rPr>
          <w:rFonts w:hint="cs"/>
          <w:b/>
          <w:bCs/>
          <w:spacing w:val="0"/>
          <w:sz w:val="20"/>
          <w:rtl/>
        </w:rPr>
        <w:t>،</w:t>
      </w:r>
      <w:r w:rsidRPr="00C27568">
        <w:rPr>
          <w:b/>
          <w:bCs/>
          <w:spacing w:val="0"/>
          <w:sz w:val="20"/>
          <w:rtl/>
        </w:rPr>
        <w:t xml:space="preserve"> بما في ذلك معلومات عن العقوبات المفروضة على الجناة وسبل التظل</w:t>
      </w:r>
      <w:r w:rsidRPr="00C27568">
        <w:rPr>
          <w:rFonts w:hint="eastAsia"/>
          <w:b/>
          <w:bCs/>
          <w:spacing w:val="0"/>
          <w:sz w:val="20"/>
          <w:rtl/>
        </w:rPr>
        <w:t>م</w:t>
      </w:r>
      <w:r w:rsidRPr="00C27568">
        <w:rPr>
          <w:b/>
          <w:bCs/>
          <w:spacing w:val="0"/>
          <w:sz w:val="20"/>
          <w:rtl/>
        </w:rPr>
        <w:t xml:space="preserve"> والتعويض المتاحة للضحايا. </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المنظمات</w:t>
      </w:r>
      <w:r w:rsidRPr="004E0A37">
        <w:rPr>
          <w:spacing w:val="0"/>
          <w:sz w:val="20"/>
          <w:rtl/>
        </w:rPr>
        <w:t xml:space="preserve"> غير الحكومية والمدافعون عن حقوق الإنسان والصحفيون</w:t>
      </w:r>
    </w:p>
    <w:p w:rsidR="004E0A37" w:rsidRPr="004E0A37" w:rsidRDefault="00AC7D2B" w:rsidP="00B65A46">
      <w:pPr>
        <w:pStyle w:val="SingleTxtGA"/>
        <w:jc w:val="lowKashida"/>
        <w:rPr>
          <w:spacing w:val="0"/>
          <w:sz w:val="20"/>
          <w:rtl/>
        </w:rPr>
      </w:pPr>
      <w:r>
        <w:rPr>
          <w:rFonts w:hint="cs"/>
          <w:spacing w:val="0"/>
          <w:sz w:val="20"/>
          <w:rtl/>
        </w:rPr>
        <w:t>(</w:t>
      </w:r>
      <w:r w:rsidR="004E0A37" w:rsidRPr="004E0A37">
        <w:rPr>
          <w:spacing w:val="0"/>
          <w:sz w:val="20"/>
          <w:rtl/>
        </w:rPr>
        <w:t>17</w:t>
      </w:r>
      <w:r w:rsidR="003E72B5">
        <w:rPr>
          <w:spacing w:val="0"/>
          <w:sz w:val="20"/>
          <w:rtl/>
        </w:rPr>
        <w:t>)</w:t>
      </w:r>
      <w:r w:rsidR="003E72B5">
        <w:rPr>
          <w:spacing w:val="0"/>
          <w:sz w:val="20"/>
          <w:rtl/>
        </w:rPr>
        <w:tab/>
      </w:r>
      <w:r w:rsidR="004E0A37" w:rsidRPr="004E0A37">
        <w:rPr>
          <w:rFonts w:hint="cs"/>
          <w:spacing w:val="0"/>
          <w:sz w:val="20"/>
          <w:rtl/>
        </w:rPr>
        <w:t xml:space="preserve">في حين تشير </w:t>
      </w:r>
      <w:r w:rsidR="004E0A37" w:rsidRPr="004E0A37">
        <w:rPr>
          <w:spacing w:val="0"/>
          <w:sz w:val="20"/>
          <w:rtl/>
        </w:rPr>
        <w:t xml:space="preserve">اللجنة </w:t>
      </w:r>
      <w:r w:rsidR="004E0A37" w:rsidRPr="004E0A37">
        <w:rPr>
          <w:rFonts w:hint="cs"/>
          <w:spacing w:val="0"/>
          <w:sz w:val="20"/>
          <w:rtl/>
        </w:rPr>
        <w:t xml:space="preserve">إلى </w:t>
      </w:r>
      <w:r w:rsidR="004E0A37" w:rsidRPr="004E0A37">
        <w:rPr>
          <w:spacing w:val="0"/>
          <w:sz w:val="20"/>
          <w:rtl/>
        </w:rPr>
        <w:t xml:space="preserve">المعلومات التي قدمها وفد الدولة الطرف بشأن علاقتها </w:t>
      </w:r>
      <w:r w:rsidR="004E0A37" w:rsidRPr="004E0A37">
        <w:rPr>
          <w:rFonts w:hint="cs"/>
          <w:spacing w:val="0"/>
          <w:sz w:val="20"/>
          <w:rtl/>
        </w:rPr>
        <w:t>ب</w:t>
      </w:r>
      <w:r w:rsidR="004E0A37" w:rsidRPr="004E0A37">
        <w:rPr>
          <w:spacing w:val="0"/>
          <w:sz w:val="20"/>
          <w:rtl/>
        </w:rPr>
        <w:t xml:space="preserve">المجتمع المدني، يساورها القلق إزاء التقارير التي تفيد بأن ممارسة التخويف والتهديد حالت دون مشاركة </w:t>
      </w:r>
      <w:r w:rsidR="004E0A37" w:rsidRPr="004E0A37">
        <w:rPr>
          <w:rFonts w:hint="cs"/>
          <w:spacing w:val="0"/>
          <w:sz w:val="20"/>
          <w:rtl/>
        </w:rPr>
        <w:t>ا</w:t>
      </w:r>
      <w:r w:rsidR="004E0A37" w:rsidRPr="004E0A37">
        <w:rPr>
          <w:spacing w:val="0"/>
          <w:sz w:val="20"/>
          <w:rtl/>
        </w:rPr>
        <w:t xml:space="preserve">لمنظمات غير الحكومية </w:t>
      </w:r>
      <w:r w:rsidR="004E0A37" w:rsidRPr="004E0A37">
        <w:rPr>
          <w:rFonts w:hint="cs"/>
          <w:spacing w:val="0"/>
          <w:sz w:val="20"/>
          <w:rtl/>
        </w:rPr>
        <w:t xml:space="preserve">مشاركة فعالة </w:t>
      </w:r>
      <w:r w:rsidR="004E0A37" w:rsidRPr="004E0A37">
        <w:rPr>
          <w:spacing w:val="0"/>
          <w:sz w:val="20"/>
          <w:rtl/>
        </w:rPr>
        <w:t xml:space="preserve">في أنشطة حقوق الإنسان. ويساور اللجنة القلق </w:t>
      </w:r>
      <w:r w:rsidR="004E0A37" w:rsidRPr="004E0A37">
        <w:rPr>
          <w:rFonts w:hint="eastAsia"/>
          <w:spacing w:val="0"/>
          <w:sz w:val="20"/>
          <w:rtl/>
        </w:rPr>
        <w:t>بصفة</w:t>
      </w:r>
      <w:r w:rsidR="004E0A37" w:rsidRPr="004E0A37">
        <w:rPr>
          <w:spacing w:val="0"/>
          <w:sz w:val="20"/>
          <w:rtl/>
        </w:rPr>
        <w:t xml:space="preserve"> خاصة إزاء المعلومات المتعلقة بإلقاء القبض على المدافعين عن حقوق الإنسان والصحفيين واحتجازهم، وتأسف للافتقار </w:t>
      </w:r>
      <w:r w:rsidR="004E0A37" w:rsidRPr="004E0A37">
        <w:rPr>
          <w:rFonts w:hint="cs"/>
          <w:spacing w:val="0"/>
          <w:sz w:val="20"/>
          <w:rtl/>
        </w:rPr>
        <w:t xml:space="preserve">إلى </w:t>
      </w:r>
      <w:r w:rsidR="004E0A37" w:rsidRPr="004E0A37">
        <w:rPr>
          <w:spacing w:val="0"/>
          <w:sz w:val="20"/>
          <w:rtl/>
        </w:rPr>
        <w:t xml:space="preserve">معلومات عن التحقيقات </w:t>
      </w:r>
      <w:r w:rsidR="004E0A37" w:rsidRPr="004E0A37">
        <w:rPr>
          <w:rFonts w:hint="cs"/>
          <w:spacing w:val="0"/>
          <w:sz w:val="20"/>
          <w:rtl/>
        </w:rPr>
        <w:t xml:space="preserve">التي أجريت </w:t>
      </w:r>
      <w:r w:rsidR="004E0A37" w:rsidRPr="004E0A37">
        <w:rPr>
          <w:spacing w:val="0"/>
          <w:sz w:val="20"/>
          <w:rtl/>
        </w:rPr>
        <w:t>في مثل هذه الادعاءات. و</w:t>
      </w:r>
      <w:r w:rsidR="004E0A37" w:rsidRPr="004E0A37">
        <w:rPr>
          <w:rFonts w:hint="cs"/>
          <w:spacing w:val="0"/>
          <w:sz w:val="20"/>
          <w:rtl/>
        </w:rPr>
        <w:t>تشير</w:t>
      </w:r>
      <w:r w:rsidR="004E0A37" w:rsidRPr="004E0A37">
        <w:rPr>
          <w:spacing w:val="0"/>
          <w:sz w:val="20"/>
          <w:rtl/>
        </w:rPr>
        <w:t xml:space="preserve"> اللجنة </w:t>
      </w:r>
      <w:r w:rsidR="004E0A37" w:rsidRPr="004E0A37">
        <w:rPr>
          <w:rFonts w:hint="cs"/>
          <w:spacing w:val="0"/>
          <w:sz w:val="20"/>
          <w:rtl/>
        </w:rPr>
        <w:t xml:space="preserve">إلى </w:t>
      </w:r>
      <w:r w:rsidR="004E0A37" w:rsidRPr="004E0A37">
        <w:rPr>
          <w:spacing w:val="0"/>
          <w:sz w:val="20"/>
          <w:rtl/>
        </w:rPr>
        <w:t xml:space="preserve">المعلومات المقدمة التي تفيد </w:t>
      </w:r>
      <w:r w:rsidR="004E0A37" w:rsidRPr="004E0A37">
        <w:rPr>
          <w:rFonts w:hint="cs"/>
          <w:spacing w:val="0"/>
          <w:sz w:val="20"/>
          <w:rtl/>
        </w:rPr>
        <w:t>بالسماح</w:t>
      </w:r>
      <w:r w:rsidR="003549AC">
        <w:rPr>
          <w:rFonts w:hint="cs"/>
          <w:spacing w:val="0"/>
          <w:sz w:val="20"/>
          <w:rtl/>
        </w:rPr>
        <w:t xml:space="preserve"> حالياً </w:t>
      </w:r>
      <w:r w:rsidR="004E0A37" w:rsidRPr="004E0A37">
        <w:rPr>
          <w:rFonts w:hint="cs"/>
          <w:spacing w:val="0"/>
          <w:sz w:val="20"/>
          <w:rtl/>
        </w:rPr>
        <w:t xml:space="preserve">بتسجيل </w:t>
      </w:r>
      <w:r w:rsidR="004E0A37" w:rsidRPr="004E0A37">
        <w:rPr>
          <w:spacing w:val="0"/>
          <w:sz w:val="20"/>
          <w:rtl/>
        </w:rPr>
        <w:t xml:space="preserve">المنظمات الدولية غير الحكومية لمدة خمس سنوات بدلاً من سنة واحدة، وأن المنظمات المحلية معفاة من التسجيل. ومع ذلك، يساور اللجنة القلق إزاء التقارير </w:t>
      </w:r>
      <w:r w:rsidR="004E0A37" w:rsidRPr="004E0A37">
        <w:rPr>
          <w:rFonts w:hint="cs"/>
          <w:spacing w:val="0"/>
          <w:sz w:val="20"/>
          <w:rtl/>
        </w:rPr>
        <w:t xml:space="preserve">المتعلقة </w:t>
      </w:r>
      <w:r w:rsidR="004E0A37" w:rsidRPr="004E0A37">
        <w:rPr>
          <w:spacing w:val="0"/>
          <w:sz w:val="20"/>
          <w:rtl/>
        </w:rPr>
        <w:t xml:space="preserve">بوجود عقبات </w:t>
      </w:r>
      <w:r w:rsidR="004E0A37" w:rsidRPr="004E0A37">
        <w:rPr>
          <w:rFonts w:hint="cs"/>
          <w:spacing w:val="0"/>
          <w:sz w:val="20"/>
          <w:rtl/>
        </w:rPr>
        <w:t xml:space="preserve">تواجه عملية </w:t>
      </w:r>
      <w:r w:rsidR="004E0A37" w:rsidRPr="004E0A37">
        <w:rPr>
          <w:spacing w:val="0"/>
          <w:sz w:val="20"/>
          <w:rtl/>
        </w:rPr>
        <w:t xml:space="preserve">تسجيل المنظمات غير الحكومية </w:t>
      </w:r>
      <w:r w:rsidR="004E0A37" w:rsidRPr="004E0A37">
        <w:rPr>
          <w:rFonts w:hint="cs"/>
          <w:spacing w:val="0"/>
          <w:sz w:val="20"/>
          <w:rtl/>
        </w:rPr>
        <w:t xml:space="preserve">وعملها </w:t>
      </w:r>
      <w:r w:rsidR="004E0A37" w:rsidRPr="004E0A37">
        <w:rPr>
          <w:spacing w:val="0"/>
          <w:sz w:val="20"/>
          <w:rtl/>
        </w:rPr>
        <w:t>(المواد 2 و12 و13 و16).</w:t>
      </w:r>
    </w:p>
    <w:p w:rsidR="004E0A37" w:rsidRPr="00C27568" w:rsidRDefault="004E0A37" w:rsidP="00B65A46">
      <w:pPr>
        <w:pStyle w:val="SingleTxtGA"/>
        <w:jc w:val="lowKashida"/>
        <w:rPr>
          <w:b/>
          <w:bCs/>
          <w:spacing w:val="0"/>
          <w:sz w:val="20"/>
          <w:rtl/>
        </w:rPr>
      </w:pPr>
      <w:r w:rsidRPr="00C27568">
        <w:rPr>
          <w:b/>
          <w:bCs/>
          <w:spacing w:val="0"/>
          <w:sz w:val="20"/>
          <w:rtl/>
        </w:rPr>
        <w:tab/>
        <w:t>ينبغي للدولة الطرف أن تزيل العقبات التي تؤثر على عمل المنظمات غير الحكومية وأن توفر الحماية الفعالة من تخويف وتهديد و</w:t>
      </w:r>
      <w:r w:rsidRPr="00C27568">
        <w:rPr>
          <w:rFonts w:hint="cs"/>
          <w:b/>
          <w:bCs/>
          <w:spacing w:val="0"/>
          <w:sz w:val="20"/>
          <w:rtl/>
        </w:rPr>
        <w:t>توقيف</w:t>
      </w:r>
      <w:r w:rsidRPr="00C27568">
        <w:rPr>
          <w:b/>
          <w:bCs/>
          <w:spacing w:val="0"/>
          <w:sz w:val="20"/>
          <w:rtl/>
        </w:rPr>
        <w:t xml:space="preserve"> واحتجاز المدافعين عن حقوق الإنسان والصحفيين، بما في ذلك </w:t>
      </w:r>
      <w:r w:rsidRPr="00C27568">
        <w:rPr>
          <w:rFonts w:hint="cs"/>
          <w:b/>
          <w:bCs/>
          <w:spacing w:val="0"/>
          <w:sz w:val="20"/>
          <w:rtl/>
        </w:rPr>
        <w:t xml:space="preserve">عن طريق </w:t>
      </w:r>
      <w:r w:rsidRPr="00C27568">
        <w:rPr>
          <w:b/>
          <w:bCs/>
          <w:spacing w:val="0"/>
          <w:sz w:val="20"/>
          <w:rtl/>
        </w:rPr>
        <w:t>مقاضاة ومعاقبة المس</w:t>
      </w:r>
      <w:r w:rsidRPr="00C27568">
        <w:rPr>
          <w:rFonts w:hint="cs"/>
          <w:b/>
          <w:bCs/>
          <w:spacing w:val="0"/>
          <w:sz w:val="20"/>
          <w:rtl/>
        </w:rPr>
        <w:t>ؤ</w:t>
      </w:r>
      <w:r w:rsidRPr="00C27568">
        <w:rPr>
          <w:b/>
          <w:bCs/>
          <w:spacing w:val="0"/>
          <w:sz w:val="20"/>
          <w:rtl/>
        </w:rPr>
        <w:t>ولين عن هذه الأفعال. ولهذا الغرض، ينبغي ل</w:t>
      </w:r>
      <w:r w:rsidRPr="00C27568">
        <w:rPr>
          <w:rFonts w:hint="eastAsia"/>
          <w:b/>
          <w:bCs/>
          <w:spacing w:val="0"/>
          <w:sz w:val="20"/>
          <w:rtl/>
        </w:rPr>
        <w:t>لدولة</w:t>
      </w:r>
      <w:r w:rsidRPr="00C27568">
        <w:rPr>
          <w:b/>
          <w:bCs/>
          <w:spacing w:val="0"/>
          <w:sz w:val="20"/>
          <w:rtl/>
        </w:rPr>
        <w:t xml:space="preserve"> الطرف أن تنفذ بفعالية قرارها بمنح ترخيص للمنظمات الدولية غير الحكومية للتسجيل لمدة خمس سنوات وإعفاء المنظمات المحلية غير</w:t>
      </w:r>
      <w:r w:rsidR="00C27568">
        <w:rPr>
          <w:rFonts w:hint="cs"/>
          <w:b/>
          <w:bCs/>
          <w:spacing w:val="0"/>
          <w:sz w:val="20"/>
          <w:rtl/>
        </w:rPr>
        <w:t> </w:t>
      </w:r>
      <w:r w:rsidRPr="00C27568">
        <w:rPr>
          <w:b/>
          <w:bCs/>
          <w:spacing w:val="0"/>
          <w:sz w:val="20"/>
          <w:rtl/>
        </w:rPr>
        <w:t>الحكومية من التسجيل.</w:t>
      </w:r>
    </w:p>
    <w:p w:rsidR="004E0A37" w:rsidRPr="004E0A37" w:rsidRDefault="004E0A37" w:rsidP="00B65A46">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عدم</w:t>
      </w:r>
      <w:r w:rsidRPr="004E0A37">
        <w:rPr>
          <w:spacing w:val="0"/>
          <w:sz w:val="20"/>
          <w:rtl/>
        </w:rPr>
        <w:t xml:space="preserve"> الإعادة القسرية </w:t>
      </w:r>
    </w:p>
    <w:p w:rsidR="004E0A37" w:rsidRPr="004E0A37" w:rsidRDefault="00AC7D2B" w:rsidP="00B65A46">
      <w:pPr>
        <w:pStyle w:val="SingleTxtGA"/>
        <w:jc w:val="lowKashida"/>
        <w:rPr>
          <w:spacing w:val="0"/>
          <w:sz w:val="20"/>
          <w:rtl/>
        </w:rPr>
      </w:pPr>
      <w:r>
        <w:rPr>
          <w:rFonts w:hint="cs"/>
          <w:spacing w:val="0"/>
          <w:sz w:val="20"/>
          <w:rtl/>
        </w:rPr>
        <w:t>(</w:t>
      </w:r>
      <w:r w:rsidR="004E0A37" w:rsidRPr="004E0A37">
        <w:rPr>
          <w:spacing w:val="0"/>
          <w:sz w:val="20"/>
          <w:rtl/>
        </w:rPr>
        <w:t>18</w:t>
      </w:r>
      <w:r w:rsidR="003E72B5">
        <w:rPr>
          <w:spacing w:val="0"/>
          <w:sz w:val="20"/>
          <w:rtl/>
        </w:rPr>
        <w:t>)</w:t>
      </w:r>
      <w:r w:rsidR="003E72B5">
        <w:rPr>
          <w:spacing w:val="0"/>
          <w:sz w:val="20"/>
          <w:rtl/>
        </w:rPr>
        <w:tab/>
      </w:r>
      <w:r w:rsidR="004E0A37" w:rsidRPr="004E0A37">
        <w:rPr>
          <w:spacing w:val="0"/>
          <w:sz w:val="20"/>
          <w:rtl/>
        </w:rPr>
        <w:t>يساور اللجنة القلق لأن الأجنبي "الذي يعر</w:t>
      </w:r>
      <w:r w:rsidR="004E0A37" w:rsidRPr="004E0A37">
        <w:rPr>
          <w:rFonts w:hint="cs"/>
          <w:spacing w:val="0"/>
          <w:sz w:val="20"/>
          <w:rtl/>
        </w:rPr>
        <w:t>ّ</w:t>
      </w:r>
      <w:r w:rsidR="004E0A37" w:rsidRPr="004E0A37">
        <w:rPr>
          <w:spacing w:val="0"/>
          <w:sz w:val="20"/>
          <w:rtl/>
        </w:rPr>
        <w:t xml:space="preserve">ض أو يهدد </w:t>
      </w:r>
      <w:r w:rsidR="004E0A37" w:rsidRPr="004E0A37">
        <w:rPr>
          <w:rFonts w:hint="cs"/>
          <w:spacing w:val="0"/>
          <w:sz w:val="20"/>
          <w:rtl/>
        </w:rPr>
        <w:t xml:space="preserve">بتعريض </w:t>
      </w:r>
      <w:r w:rsidR="004E0A37" w:rsidRPr="004E0A37">
        <w:rPr>
          <w:spacing w:val="0"/>
          <w:sz w:val="20"/>
          <w:rtl/>
        </w:rPr>
        <w:t>الأمن العام للخطر"</w:t>
      </w:r>
      <w:r w:rsidR="004E0A37" w:rsidRPr="004E0A37">
        <w:rPr>
          <w:rFonts w:hint="cs"/>
          <w:spacing w:val="0"/>
          <w:sz w:val="20"/>
          <w:rtl/>
        </w:rPr>
        <w:t xml:space="preserve"> </w:t>
      </w:r>
      <w:r w:rsidR="004E0A37" w:rsidRPr="004E0A37">
        <w:rPr>
          <w:spacing w:val="0"/>
          <w:sz w:val="20"/>
          <w:rtl/>
        </w:rPr>
        <w:t xml:space="preserve">يُطرد </w:t>
      </w:r>
      <w:r w:rsidR="004E0A37" w:rsidRPr="004E0A37">
        <w:rPr>
          <w:rFonts w:hint="cs"/>
          <w:spacing w:val="0"/>
          <w:sz w:val="20"/>
          <w:rtl/>
        </w:rPr>
        <w:t xml:space="preserve">أو يُسَّلم </w:t>
      </w:r>
      <w:r w:rsidR="004E0A37" w:rsidRPr="004E0A37">
        <w:rPr>
          <w:spacing w:val="0"/>
          <w:sz w:val="20"/>
          <w:rtl/>
        </w:rPr>
        <w:t xml:space="preserve">أو يُعاد إلى بلده الذي ربما يتعرض فيه لخطر التعذيب، وذلك يشكل انتهاكاً لمبدأ عدم الإعادة القسرية، ويعود </w:t>
      </w:r>
      <w:r w:rsidR="004E0A37" w:rsidRPr="004E0A37">
        <w:rPr>
          <w:rFonts w:hint="cs"/>
          <w:spacing w:val="0"/>
          <w:sz w:val="20"/>
          <w:rtl/>
        </w:rPr>
        <w:t xml:space="preserve">ذلك </w:t>
      </w:r>
      <w:r w:rsidR="004E0A37" w:rsidRPr="004E0A37">
        <w:rPr>
          <w:spacing w:val="0"/>
          <w:sz w:val="20"/>
          <w:rtl/>
        </w:rPr>
        <w:t xml:space="preserve">إلى عدم وجود آلية فعالة لإجراء تقييم مناسب لوضع الشخص المعني </w:t>
      </w:r>
      <w:r w:rsidR="00F96B1E">
        <w:rPr>
          <w:spacing w:val="0"/>
          <w:sz w:val="20"/>
          <w:rtl/>
        </w:rPr>
        <w:t>فيما </w:t>
      </w:r>
      <w:r w:rsidR="004E0A37" w:rsidRPr="004E0A37">
        <w:rPr>
          <w:spacing w:val="0"/>
          <w:sz w:val="20"/>
          <w:rtl/>
        </w:rPr>
        <w:t>يتع</w:t>
      </w:r>
      <w:r w:rsidR="004E0A37" w:rsidRPr="004E0A37">
        <w:rPr>
          <w:rFonts w:hint="eastAsia"/>
          <w:spacing w:val="0"/>
          <w:sz w:val="20"/>
          <w:rtl/>
        </w:rPr>
        <w:t>لق</w:t>
      </w:r>
      <w:r w:rsidR="004E0A37" w:rsidRPr="004E0A37">
        <w:rPr>
          <w:spacing w:val="0"/>
          <w:sz w:val="20"/>
          <w:rtl/>
        </w:rPr>
        <w:t xml:space="preserve"> بخطر </w:t>
      </w:r>
      <w:r w:rsidR="004E0A37" w:rsidRPr="004E0A37">
        <w:rPr>
          <w:rFonts w:hint="cs"/>
          <w:spacing w:val="0"/>
          <w:sz w:val="20"/>
          <w:rtl/>
        </w:rPr>
        <w:t>التعرض ل</w:t>
      </w:r>
      <w:r w:rsidR="004E0A37" w:rsidRPr="004E0A37">
        <w:rPr>
          <w:spacing w:val="0"/>
          <w:sz w:val="20"/>
          <w:rtl/>
        </w:rPr>
        <w:t>لتعذيب في بلد المقصد (المادة 3).</w:t>
      </w:r>
    </w:p>
    <w:p w:rsidR="004E0A37" w:rsidRPr="00C27568" w:rsidRDefault="004E0A37" w:rsidP="00B65A46">
      <w:pPr>
        <w:pStyle w:val="SingleTxtGA"/>
        <w:jc w:val="lowKashida"/>
        <w:rPr>
          <w:b/>
          <w:bCs/>
          <w:spacing w:val="0"/>
          <w:sz w:val="20"/>
          <w:rtl/>
        </w:rPr>
      </w:pPr>
      <w:r w:rsidRPr="00C27568">
        <w:rPr>
          <w:rFonts w:hint="cs"/>
          <w:b/>
          <w:bCs/>
          <w:spacing w:val="0"/>
          <w:sz w:val="20"/>
          <w:rtl/>
        </w:rPr>
        <w:tab/>
      </w:r>
      <w:r w:rsidRPr="00C27568">
        <w:rPr>
          <w:rFonts w:hint="eastAsia"/>
          <w:b/>
          <w:bCs/>
          <w:spacing w:val="0"/>
          <w:sz w:val="20"/>
          <w:rtl/>
        </w:rPr>
        <w:t>ينبغي</w:t>
      </w:r>
      <w:r w:rsidRPr="00C27568">
        <w:rPr>
          <w:b/>
          <w:bCs/>
          <w:spacing w:val="0"/>
          <w:sz w:val="20"/>
          <w:rtl/>
        </w:rPr>
        <w:t xml:space="preserve"> للدولة الطرف أن تكفل عدم طرد </w:t>
      </w:r>
      <w:r w:rsidRPr="00C27568">
        <w:rPr>
          <w:rFonts w:hint="cs"/>
          <w:b/>
          <w:bCs/>
          <w:spacing w:val="0"/>
          <w:sz w:val="20"/>
          <w:rtl/>
        </w:rPr>
        <w:t xml:space="preserve">أو تسليم </w:t>
      </w:r>
      <w:r w:rsidRPr="00C27568">
        <w:rPr>
          <w:b/>
          <w:bCs/>
          <w:spacing w:val="0"/>
          <w:sz w:val="20"/>
          <w:rtl/>
        </w:rPr>
        <w:t xml:space="preserve">أو إعادة أشخاص إلى دول تكون فيها </w:t>
      </w:r>
      <w:r w:rsidRPr="00C27568">
        <w:rPr>
          <w:rFonts w:hint="cs"/>
          <w:b/>
          <w:bCs/>
          <w:spacing w:val="0"/>
          <w:sz w:val="20"/>
          <w:rtl/>
        </w:rPr>
        <w:t xml:space="preserve">أسباب حقيقية </w:t>
      </w:r>
      <w:r w:rsidRPr="00C27568">
        <w:rPr>
          <w:b/>
          <w:bCs/>
          <w:spacing w:val="0"/>
          <w:sz w:val="20"/>
          <w:rtl/>
        </w:rPr>
        <w:t xml:space="preserve">تدعو إلى الاعتقاد بأنهم </w:t>
      </w:r>
      <w:r w:rsidRPr="00C27568">
        <w:rPr>
          <w:rFonts w:hint="cs"/>
          <w:b/>
          <w:bCs/>
          <w:spacing w:val="0"/>
          <w:sz w:val="20"/>
          <w:rtl/>
        </w:rPr>
        <w:t xml:space="preserve">سيواجهون </w:t>
      </w:r>
      <w:r w:rsidRPr="00C27568">
        <w:rPr>
          <w:b/>
          <w:bCs/>
          <w:spacing w:val="0"/>
          <w:sz w:val="20"/>
          <w:rtl/>
        </w:rPr>
        <w:t>خطر التعرض للتعذيب. وينبغي للدولة الطرف أن تتخذ خطوات لضمان تطبيق مبدأ عدم الإعادة القسرية تطبيقاً صحيحاً من جانب المحكمة العليا عندما تصدر قر</w:t>
      </w:r>
      <w:r w:rsidRPr="00C27568">
        <w:rPr>
          <w:rFonts w:hint="eastAsia"/>
          <w:b/>
          <w:bCs/>
          <w:spacing w:val="0"/>
          <w:sz w:val="20"/>
          <w:rtl/>
        </w:rPr>
        <w:t>اراً</w:t>
      </w:r>
      <w:r w:rsidRPr="00C27568">
        <w:rPr>
          <w:b/>
          <w:bCs/>
          <w:spacing w:val="0"/>
          <w:sz w:val="20"/>
          <w:rtl/>
        </w:rPr>
        <w:t xml:space="preserve"> بشأن مثل هذه الحالات. وينبغي للدولة الطرف أيضاً أن تكفل تضمين مشروع القانون المتعلق بتسليم المجرمين</w:t>
      </w:r>
      <w:r w:rsidRPr="00C27568">
        <w:rPr>
          <w:rFonts w:hint="cs"/>
          <w:b/>
          <w:bCs/>
          <w:spacing w:val="0"/>
          <w:sz w:val="20"/>
          <w:rtl/>
        </w:rPr>
        <w:t>،</w:t>
      </w:r>
      <w:r w:rsidRPr="00C27568">
        <w:rPr>
          <w:b/>
          <w:bCs/>
          <w:spacing w:val="0"/>
          <w:sz w:val="20"/>
          <w:rtl/>
        </w:rPr>
        <w:t xml:space="preserve"> </w:t>
      </w:r>
      <w:r w:rsidRPr="00C27568">
        <w:rPr>
          <w:rFonts w:hint="cs"/>
          <w:b/>
          <w:bCs/>
          <w:spacing w:val="0"/>
          <w:sz w:val="20"/>
          <w:rtl/>
        </w:rPr>
        <w:t>قيد ال</w:t>
      </w:r>
      <w:r w:rsidRPr="00C27568">
        <w:rPr>
          <w:b/>
          <w:bCs/>
          <w:spacing w:val="0"/>
          <w:sz w:val="20"/>
          <w:rtl/>
        </w:rPr>
        <w:t>مناقش</w:t>
      </w:r>
      <w:r w:rsidRPr="00C27568">
        <w:rPr>
          <w:rFonts w:hint="cs"/>
          <w:b/>
          <w:bCs/>
          <w:spacing w:val="0"/>
          <w:sz w:val="20"/>
          <w:rtl/>
        </w:rPr>
        <w:t>ة</w:t>
      </w:r>
      <w:r w:rsidRPr="00C27568">
        <w:rPr>
          <w:b/>
          <w:bCs/>
          <w:spacing w:val="0"/>
          <w:sz w:val="20"/>
          <w:rtl/>
        </w:rPr>
        <w:t xml:space="preserve"> في البرلمان، الالتزامات الدولية بموجب المادة 3 من الاتفاقية.</w:t>
      </w:r>
    </w:p>
    <w:p w:rsidR="004E0A37" w:rsidRPr="004E0A37" w:rsidRDefault="004E0A37" w:rsidP="00B65A46">
      <w:pPr>
        <w:pStyle w:val="H23GA"/>
        <w:jc w:val="lowKashida"/>
        <w:rPr>
          <w:rFonts w:hint="cs"/>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الأوضاع</w:t>
      </w:r>
      <w:r w:rsidRPr="004E0A37">
        <w:rPr>
          <w:spacing w:val="0"/>
          <w:sz w:val="20"/>
          <w:rtl/>
        </w:rPr>
        <w:t xml:space="preserve"> في السجون</w:t>
      </w:r>
    </w:p>
    <w:p w:rsidR="004E0A37" w:rsidRPr="004E0A37" w:rsidRDefault="00AC7D2B" w:rsidP="00B65A46">
      <w:pPr>
        <w:pStyle w:val="SingleTxtGA"/>
        <w:jc w:val="lowKashida"/>
        <w:rPr>
          <w:spacing w:val="0"/>
          <w:sz w:val="20"/>
          <w:rtl/>
        </w:rPr>
      </w:pPr>
      <w:r>
        <w:rPr>
          <w:rFonts w:hint="cs"/>
          <w:spacing w:val="0"/>
          <w:sz w:val="20"/>
          <w:rtl/>
        </w:rPr>
        <w:t>(</w:t>
      </w:r>
      <w:r w:rsidR="004E0A37" w:rsidRPr="004E0A37">
        <w:rPr>
          <w:spacing w:val="0"/>
          <w:sz w:val="20"/>
          <w:rtl/>
        </w:rPr>
        <w:t>19</w:t>
      </w:r>
      <w:r w:rsidR="003E72B5">
        <w:rPr>
          <w:spacing w:val="0"/>
          <w:sz w:val="20"/>
          <w:rtl/>
        </w:rPr>
        <w:t>)</w:t>
      </w:r>
      <w:r w:rsidR="003E72B5">
        <w:rPr>
          <w:spacing w:val="0"/>
          <w:sz w:val="20"/>
          <w:rtl/>
        </w:rPr>
        <w:tab/>
      </w:r>
      <w:r w:rsidR="004E0A37" w:rsidRPr="004E0A37">
        <w:rPr>
          <w:rFonts w:hint="cs"/>
          <w:spacing w:val="0"/>
          <w:sz w:val="20"/>
          <w:rtl/>
        </w:rPr>
        <w:t xml:space="preserve">في حين تشير </w:t>
      </w:r>
      <w:r w:rsidR="004E0A37" w:rsidRPr="004E0A37">
        <w:rPr>
          <w:spacing w:val="0"/>
          <w:sz w:val="20"/>
          <w:rtl/>
        </w:rPr>
        <w:t xml:space="preserve">اللجنة </w:t>
      </w:r>
      <w:r w:rsidR="004E0A37" w:rsidRPr="004E0A37">
        <w:rPr>
          <w:rFonts w:hint="cs"/>
          <w:spacing w:val="0"/>
          <w:sz w:val="20"/>
          <w:rtl/>
        </w:rPr>
        <w:t xml:space="preserve">إلى </w:t>
      </w:r>
      <w:r w:rsidR="004E0A37" w:rsidRPr="004E0A37">
        <w:rPr>
          <w:spacing w:val="0"/>
          <w:sz w:val="20"/>
          <w:rtl/>
        </w:rPr>
        <w:t xml:space="preserve">جهود الحكومة، يساورها القلق إزاء </w:t>
      </w:r>
      <w:r w:rsidR="004E0A37" w:rsidRPr="004E0A37">
        <w:rPr>
          <w:rFonts w:hint="cs"/>
          <w:spacing w:val="0"/>
          <w:sz w:val="20"/>
          <w:rtl/>
        </w:rPr>
        <w:t>ال</w:t>
      </w:r>
      <w:r w:rsidR="004E0A37" w:rsidRPr="004E0A37">
        <w:rPr>
          <w:spacing w:val="0"/>
          <w:sz w:val="20"/>
          <w:rtl/>
        </w:rPr>
        <w:t xml:space="preserve">ظروف غير اللائقة </w:t>
      </w:r>
      <w:r w:rsidR="004E0A37" w:rsidRPr="004E0A37">
        <w:rPr>
          <w:rFonts w:hint="cs"/>
          <w:spacing w:val="0"/>
          <w:sz w:val="20"/>
          <w:rtl/>
        </w:rPr>
        <w:t xml:space="preserve">في السجون </w:t>
      </w:r>
      <w:r w:rsidR="004E0A37" w:rsidRPr="004E0A37">
        <w:rPr>
          <w:spacing w:val="0"/>
          <w:sz w:val="20"/>
          <w:rtl/>
        </w:rPr>
        <w:t xml:space="preserve">في الدولة الطرف، ولا سيما </w:t>
      </w:r>
      <w:r w:rsidR="00F96B1E">
        <w:rPr>
          <w:spacing w:val="0"/>
          <w:sz w:val="20"/>
          <w:rtl/>
        </w:rPr>
        <w:t>فيما </w:t>
      </w:r>
      <w:r w:rsidR="004E0A37" w:rsidRPr="004E0A37">
        <w:rPr>
          <w:spacing w:val="0"/>
          <w:sz w:val="20"/>
          <w:rtl/>
        </w:rPr>
        <w:t xml:space="preserve">يتعلق </w:t>
      </w:r>
      <w:r w:rsidR="004E0A37" w:rsidRPr="004E0A37">
        <w:rPr>
          <w:rFonts w:hint="cs"/>
          <w:spacing w:val="0"/>
          <w:sz w:val="20"/>
          <w:rtl/>
        </w:rPr>
        <w:t xml:space="preserve">بالنظافة العامة </w:t>
      </w:r>
      <w:r w:rsidR="004E0A37" w:rsidRPr="004E0A37">
        <w:rPr>
          <w:spacing w:val="0"/>
          <w:sz w:val="20"/>
          <w:rtl/>
        </w:rPr>
        <w:t>والوصول إلى الرعاية الصحية والغذاء. ويساور اللجنة القلق إزاء ارتفاع معدلات الاكتظاظ في السجون واحتمال استمرار الاحتجاز حتى بعد إ</w:t>
      </w:r>
      <w:r w:rsidR="004E0A37" w:rsidRPr="004E0A37">
        <w:rPr>
          <w:rFonts w:hint="eastAsia"/>
          <w:spacing w:val="0"/>
          <w:sz w:val="20"/>
          <w:rtl/>
        </w:rPr>
        <w:t>نهاء</w:t>
      </w:r>
      <w:r w:rsidR="004E0A37" w:rsidRPr="004E0A37">
        <w:rPr>
          <w:spacing w:val="0"/>
          <w:sz w:val="20"/>
          <w:rtl/>
        </w:rPr>
        <w:t xml:space="preserve"> مدة العقوبة. ويساور اللجنة القلق أيضاً إزاء التقارير التي تفيد باحتجاز أعداد كبيرة من الأمهات مع </w:t>
      </w:r>
      <w:r w:rsidR="004E0A37" w:rsidRPr="004E0A37">
        <w:rPr>
          <w:rFonts w:hint="cs"/>
          <w:spacing w:val="0"/>
          <w:sz w:val="20"/>
          <w:rtl/>
        </w:rPr>
        <w:t>أطفالهن الرضع</w:t>
      </w:r>
      <w:r w:rsidR="004E0A37" w:rsidRPr="004E0A37">
        <w:rPr>
          <w:spacing w:val="0"/>
          <w:sz w:val="20"/>
          <w:rtl/>
        </w:rPr>
        <w:t xml:space="preserve"> في ظروف احتجاز صعبة للغاية. (المواد</w:t>
      </w:r>
      <w:r w:rsidR="004E0A37" w:rsidRPr="004E0A37">
        <w:rPr>
          <w:rFonts w:hint="cs"/>
          <w:spacing w:val="0"/>
          <w:sz w:val="20"/>
          <w:rtl/>
        </w:rPr>
        <w:t> </w:t>
      </w:r>
      <w:r w:rsidR="004E0A37" w:rsidRPr="004E0A37">
        <w:rPr>
          <w:spacing w:val="0"/>
          <w:sz w:val="20"/>
          <w:rtl/>
        </w:rPr>
        <w:t>2 و11 و16).</w:t>
      </w:r>
    </w:p>
    <w:p w:rsidR="004E0A37" w:rsidRPr="00C27568" w:rsidRDefault="004E0A37" w:rsidP="00B65A46">
      <w:pPr>
        <w:pStyle w:val="SingleTxtGA"/>
        <w:jc w:val="lowKashida"/>
        <w:rPr>
          <w:b/>
          <w:bCs/>
          <w:spacing w:val="0"/>
          <w:sz w:val="20"/>
          <w:rtl/>
        </w:rPr>
      </w:pPr>
      <w:r w:rsidRPr="00C27568">
        <w:rPr>
          <w:b/>
          <w:bCs/>
          <w:spacing w:val="0"/>
          <w:sz w:val="20"/>
          <w:rtl/>
        </w:rPr>
        <w:tab/>
        <w:t xml:space="preserve">ينبغي للدولة الطرف أن تعزز جهودها لتحسين </w:t>
      </w:r>
      <w:r w:rsidRPr="00C27568">
        <w:rPr>
          <w:rFonts w:hint="cs"/>
          <w:b/>
          <w:bCs/>
          <w:spacing w:val="0"/>
          <w:sz w:val="20"/>
          <w:rtl/>
        </w:rPr>
        <w:t>ال</w:t>
      </w:r>
      <w:r w:rsidRPr="00C27568">
        <w:rPr>
          <w:b/>
          <w:bCs/>
          <w:spacing w:val="0"/>
          <w:sz w:val="20"/>
          <w:rtl/>
        </w:rPr>
        <w:t xml:space="preserve">ظروف </w:t>
      </w:r>
      <w:r w:rsidRPr="00C27568">
        <w:rPr>
          <w:rFonts w:hint="cs"/>
          <w:b/>
          <w:bCs/>
          <w:spacing w:val="0"/>
          <w:sz w:val="20"/>
          <w:rtl/>
        </w:rPr>
        <w:t xml:space="preserve">في السجون </w:t>
      </w:r>
      <w:r w:rsidRPr="00C27568">
        <w:rPr>
          <w:b/>
          <w:bCs/>
          <w:spacing w:val="0"/>
          <w:sz w:val="20"/>
          <w:rtl/>
        </w:rPr>
        <w:t xml:space="preserve">وضمان امتثالها للقواعد النموذجية الدنيا لمعاملة السجناء </w:t>
      </w:r>
      <w:r w:rsidRPr="00C27568">
        <w:rPr>
          <w:rFonts w:hint="cs"/>
          <w:b/>
          <w:bCs/>
          <w:spacing w:val="0"/>
          <w:sz w:val="20"/>
          <w:rtl/>
        </w:rPr>
        <w:t xml:space="preserve">عن طريق </w:t>
      </w:r>
      <w:r w:rsidRPr="00C27568">
        <w:rPr>
          <w:b/>
          <w:bCs/>
          <w:spacing w:val="0"/>
          <w:sz w:val="20"/>
          <w:rtl/>
        </w:rPr>
        <w:t>ما يلي:</w:t>
      </w:r>
    </w:p>
    <w:p w:rsidR="004E0A37" w:rsidRPr="00C27568" w:rsidRDefault="004E0A37" w:rsidP="00B65A46">
      <w:pPr>
        <w:pStyle w:val="SingleTxtGA"/>
        <w:jc w:val="lowKashida"/>
        <w:rPr>
          <w:b/>
          <w:bCs/>
          <w:spacing w:val="0"/>
          <w:sz w:val="20"/>
          <w:rtl/>
        </w:rPr>
      </w:pPr>
      <w:r w:rsidRPr="00C27568">
        <w:rPr>
          <w:b/>
          <w:bCs/>
          <w:spacing w:val="0"/>
          <w:sz w:val="20"/>
          <w:rtl/>
        </w:rPr>
        <w:tab/>
        <w:t>(أ)</w:t>
      </w:r>
      <w:r w:rsidRPr="00C27568">
        <w:rPr>
          <w:b/>
          <w:bCs/>
          <w:spacing w:val="0"/>
          <w:sz w:val="20"/>
          <w:rtl/>
        </w:rPr>
        <w:tab/>
        <w:t xml:space="preserve">الحد من المعدلات العالية للاكتظاظ في السجون ولا سيما </w:t>
      </w:r>
      <w:r w:rsidRPr="00C27568">
        <w:rPr>
          <w:rFonts w:hint="cs"/>
          <w:b/>
          <w:bCs/>
          <w:spacing w:val="0"/>
          <w:sz w:val="20"/>
          <w:rtl/>
        </w:rPr>
        <w:t xml:space="preserve">عن طريق </w:t>
      </w:r>
      <w:r w:rsidRPr="00C27568">
        <w:rPr>
          <w:b/>
          <w:bCs/>
          <w:spacing w:val="0"/>
          <w:sz w:val="20"/>
          <w:rtl/>
        </w:rPr>
        <w:t xml:space="preserve">زيادة اللجوء إلى تدابير غير احتجازية كبديل للسجن، في ضوء قواعد الأمم المتحدة النموذجية الدنيا للتدابير غير الاحتجازية (قواعد طوكيو)؛ </w:t>
      </w:r>
    </w:p>
    <w:p w:rsidR="004E0A37" w:rsidRPr="00C27568" w:rsidRDefault="004E0A37" w:rsidP="004E0A37">
      <w:pPr>
        <w:pStyle w:val="SingleTxtGA"/>
        <w:jc w:val="lowKashida"/>
        <w:rPr>
          <w:b/>
          <w:bCs/>
          <w:spacing w:val="0"/>
          <w:sz w:val="20"/>
          <w:rtl/>
        </w:rPr>
      </w:pPr>
      <w:r w:rsidRPr="00C27568">
        <w:rPr>
          <w:b/>
          <w:bCs/>
          <w:spacing w:val="0"/>
          <w:sz w:val="20"/>
          <w:rtl/>
        </w:rPr>
        <w:tab/>
        <w:t>(ب)</w:t>
      </w:r>
      <w:r w:rsidRPr="00C27568">
        <w:rPr>
          <w:b/>
          <w:bCs/>
          <w:spacing w:val="0"/>
          <w:sz w:val="20"/>
          <w:rtl/>
        </w:rPr>
        <w:tab/>
        <w:t>الإفراج عن المحتجزين الذين أنهوا معظم مدة عقوبتهم والذين تعتبر السلطات المختصة أن</w:t>
      </w:r>
      <w:r w:rsidRPr="00C27568">
        <w:rPr>
          <w:rFonts w:hint="cs"/>
          <w:b/>
          <w:bCs/>
          <w:spacing w:val="0"/>
          <w:sz w:val="20"/>
          <w:rtl/>
        </w:rPr>
        <w:t>هم أهل</w:t>
      </w:r>
      <w:r w:rsidRPr="00C27568">
        <w:rPr>
          <w:b/>
          <w:bCs/>
          <w:spacing w:val="0"/>
          <w:sz w:val="20"/>
          <w:rtl/>
        </w:rPr>
        <w:t xml:space="preserve"> </w:t>
      </w:r>
      <w:r w:rsidRPr="00C27568">
        <w:rPr>
          <w:rFonts w:hint="cs"/>
          <w:b/>
          <w:bCs/>
          <w:spacing w:val="0"/>
          <w:sz w:val="20"/>
          <w:rtl/>
        </w:rPr>
        <w:t>ل</w:t>
      </w:r>
      <w:r w:rsidRPr="00C27568">
        <w:rPr>
          <w:b/>
          <w:bCs/>
          <w:spacing w:val="0"/>
          <w:sz w:val="20"/>
          <w:rtl/>
        </w:rPr>
        <w:t>إعادة إدماجهم في المجتمع؛</w:t>
      </w:r>
    </w:p>
    <w:p w:rsidR="004E0A37" w:rsidRPr="00C27568" w:rsidRDefault="004E0A37" w:rsidP="004E0A37">
      <w:pPr>
        <w:pStyle w:val="SingleTxtGA"/>
        <w:jc w:val="lowKashida"/>
        <w:rPr>
          <w:b/>
          <w:bCs/>
          <w:spacing w:val="0"/>
          <w:sz w:val="20"/>
          <w:rtl/>
        </w:rPr>
      </w:pPr>
      <w:r w:rsidRPr="00C27568">
        <w:rPr>
          <w:b/>
          <w:bCs/>
          <w:spacing w:val="0"/>
          <w:sz w:val="20"/>
          <w:rtl/>
        </w:rPr>
        <w:tab/>
        <w:t>(ج)</w:t>
      </w:r>
      <w:r w:rsidRPr="00C27568">
        <w:rPr>
          <w:b/>
          <w:bCs/>
          <w:spacing w:val="0"/>
          <w:sz w:val="20"/>
          <w:rtl/>
        </w:rPr>
        <w:tab/>
        <w:t>تجنب فترات الحبس الاحتياطي لمدة طويلة وضمان تلقي المحتجزين في الحبس الاحتياطي محاكمة عادلة وسريعة؛</w:t>
      </w:r>
    </w:p>
    <w:p w:rsidR="004E0A37" w:rsidRPr="00C27568" w:rsidRDefault="004E0A37" w:rsidP="004E0A37">
      <w:pPr>
        <w:pStyle w:val="SingleTxtGA"/>
        <w:jc w:val="lowKashida"/>
        <w:rPr>
          <w:b/>
          <w:bCs/>
          <w:spacing w:val="0"/>
          <w:sz w:val="20"/>
          <w:rtl/>
        </w:rPr>
      </w:pPr>
      <w:r w:rsidRPr="00C27568">
        <w:rPr>
          <w:b/>
          <w:bCs/>
          <w:spacing w:val="0"/>
          <w:sz w:val="20"/>
          <w:rtl/>
        </w:rPr>
        <w:tab/>
        <w:t>(د)</w:t>
      </w:r>
      <w:r w:rsidRPr="00C27568">
        <w:rPr>
          <w:b/>
          <w:bCs/>
          <w:spacing w:val="0"/>
          <w:sz w:val="20"/>
          <w:rtl/>
        </w:rPr>
        <w:tab/>
        <w:t xml:space="preserve">ضمان فصل القاصرين </w:t>
      </w:r>
      <w:r w:rsidRPr="00C27568">
        <w:rPr>
          <w:rFonts w:hint="cs"/>
          <w:b/>
          <w:bCs/>
          <w:spacing w:val="0"/>
          <w:sz w:val="20"/>
          <w:rtl/>
        </w:rPr>
        <w:t xml:space="preserve">عن </w:t>
      </w:r>
      <w:r w:rsidRPr="00C27568">
        <w:rPr>
          <w:b/>
          <w:bCs/>
          <w:spacing w:val="0"/>
          <w:sz w:val="20"/>
          <w:rtl/>
        </w:rPr>
        <w:t xml:space="preserve">البالغين وفصل المحتجزين في الحبس الاحتياطي </w:t>
      </w:r>
      <w:r w:rsidRPr="00C27568">
        <w:rPr>
          <w:rFonts w:hint="cs"/>
          <w:b/>
          <w:bCs/>
          <w:spacing w:val="0"/>
          <w:sz w:val="20"/>
          <w:rtl/>
        </w:rPr>
        <w:t xml:space="preserve">عن </w:t>
      </w:r>
      <w:r w:rsidRPr="00C27568">
        <w:rPr>
          <w:b/>
          <w:bCs/>
          <w:spacing w:val="0"/>
          <w:sz w:val="20"/>
          <w:rtl/>
        </w:rPr>
        <w:t xml:space="preserve">المدانين؛ </w:t>
      </w:r>
    </w:p>
    <w:p w:rsidR="004E0A37" w:rsidRPr="00C27568" w:rsidRDefault="004E0A37" w:rsidP="004E0A37">
      <w:pPr>
        <w:pStyle w:val="SingleTxtGA"/>
        <w:jc w:val="lowKashida"/>
        <w:rPr>
          <w:rFonts w:hint="cs"/>
          <w:b/>
          <w:bCs/>
          <w:spacing w:val="0"/>
          <w:sz w:val="20"/>
          <w:rtl/>
        </w:rPr>
      </w:pPr>
      <w:r w:rsidRPr="00C27568">
        <w:rPr>
          <w:b/>
          <w:bCs/>
          <w:spacing w:val="0"/>
          <w:sz w:val="20"/>
          <w:rtl/>
        </w:rPr>
        <w:tab/>
        <w:t>(</w:t>
      </w:r>
      <w:r w:rsidRPr="00C27568">
        <w:rPr>
          <w:rFonts w:hint="cs"/>
          <w:b/>
          <w:bCs/>
          <w:spacing w:val="0"/>
          <w:sz w:val="20"/>
          <w:rtl/>
        </w:rPr>
        <w:t>ﻫ</w:t>
      </w:r>
      <w:r w:rsidRPr="00C27568">
        <w:rPr>
          <w:b/>
          <w:bCs/>
          <w:spacing w:val="0"/>
          <w:sz w:val="20"/>
          <w:rtl/>
        </w:rPr>
        <w:t>)</w:t>
      </w:r>
      <w:r w:rsidRPr="00C27568">
        <w:rPr>
          <w:b/>
          <w:bCs/>
          <w:spacing w:val="0"/>
          <w:sz w:val="20"/>
          <w:rtl/>
        </w:rPr>
        <w:tab/>
        <w:t xml:space="preserve">ضمان إيداع الأمهات المحتجزات مع </w:t>
      </w:r>
      <w:r w:rsidRPr="00C27568">
        <w:rPr>
          <w:rFonts w:hint="cs"/>
          <w:b/>
          <w:bCs/>
          <w:spacing w:val="0"/>
          <w:sz w:val="20"/>
          <w:rtl/>
        </w:rPr>
        <w:t>أطفالهن الرضع</w:t>
      </w:r>
      <w:r w:rsidRPr="00C27568">
        <w:rPr>
          <w:b/>
          <w:bCs/>
          <w:spacing w:val="0"/>
          <w:sz w:val="20"/>
          <w:rtl/>
        </w:rPr>
        <w:t xml:space="preserve"> في </w:t>
      </w:r>
      <w:r w:rsidRPr="00C27568">
        <w:rPr>
          <w:rFonts w:hint="cs"/>
          <w:b/>
          <w:bCs/>
          <w:spacing w:val="0"/>
          <w:sz w:val="20"/>
          <w:rtl/>
        </w:rPr>
        <w:t>محيط</w:t>
      </w:r>
      <w:r w:rsidR="00C27568">
        <w:rPr>
          <w:b/>
          <w:bCs/>
          <w:spacing w:val="0"/>
          <w:sz w:val="20"/>
          <w:rtl/>
        </w:rPr>
        <w:t xml:space="preserve"> أنسب.</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قضاء</w:t>
      </w:r>
      <w:r w:rsidRPr="004E0A37">
        <w:rPr>
          <w:spacing w:val="0"/>
          <w:sz w:val="20"/>
          <w:rtl/>
        </w:rPr>
        <w:t xml:space="preserve"> الأحداث</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20</w:t>
      </w:r>
      <w:r w:rsidR="003E72B5">
        <w:rPr>
          <w:spacing w:val="0"/>
          <w:sz w:val="20"/>
          <w:rtl/>
        </w:rPr>
        <w:t>)</w:t>
      </w:r>
      <w:r w:rsidR="003E72B5">
        <w:rPr>
          <w:spacing w:val="0"/>
          <w:sz w:val="20"/>
          <w:rtl/>
        </w:rPr>
        <w:tab/>
      </w:r>
      <w:r w:rsidR="004E0A37" w:rsidRPr="004E0A37">
        <w:rPr>
          <w:rFonts w:hint="cs"/>
          <w:spacing w:val="0"/>
          <w:sz w:val="20"/>
          <w:rtl/>
        </w:rPr>
        <w:t>تلاحظ</w:t>
      </w:r>
      <w:r w:rsidR="004E0A37" w:rsidRPr="004E0A37">
        <w:rPr>
          <w:spacing w:val="0"/>
          <w:sz w:val="20"/>
          <w:rtl/>
        </w:rPr>
        <w:t xml:space="preserve"> اللجنة </w:t>
      </w:r>
      <w:r w:rsidR="004E0A37" w:rsidRPr="004E0A37">
        <w:rPr>
          <w:rFonts w:hint="cs"/>
          <w:spacing w:val="0"/>
          <w:sz w:val="20"/>
          <w:rtl/>
        </w:rPr>
        <w:t>ب</w:t>
      </w:r>
      <w:r w:rsidR="004E0A37" w:rsidRPr="004E0A37">
        <w:rPr>
          <w:spacing w:val="0"/>
          <w:sz w:val="20"/>
          <w:rtl/>
        </w:rPr>
        <w:t>قلق أن القاصر</w:t>
      </w:r>
      <w:r w:rsidR="004E0A37" w:rsidRPr="004E0A37">
        <w:rPr>
          <w:rFonts w:hint="cs"/>
          <w:spacing w:val="0"/>
          <w:sz w:val="20"/>
          <w:rtl/>
        </w:rPr>
        <w:t>ين</w:t>
      </w:r>
      <w:r w:rsidR="004E0A37" w:rsidRPr="004E0A37">
        <w:rPr>
          <w:spacing w:val="0"/>
          <w:sz w:val="20"/>
          <w:rtl/>
        </w:rPr>
        <w:t xml:space="preserve"> دون سن 12 عاماً </w:t>
      </w:r>
      <w:r w:rsidR="004E0A37" w:rsidRPr="004E0A37">
        <w:rPr>
          <w:rFonts w:hint="cs"/>
          <w:spacing w:val="0"/>
          <w:sz w:val="20"/>
          <w:rtl/>
        </w:rPr>
        <w:t xml:space="preserve">الذين يخالفون </w:t>
      </w:r>
      <w:r w:rsidR="004E0A37" w:rsidRPr="004E0A37">
        <w:rPr>
          <w:spacing w:val="0"/>
          <w:sz w:val="20"/>
          <w:rtl/>
        </w:rPr>
        <w:t xml:space="preserve">القانون </w:t>
      </w:r>
      <w:r w:rsidR="004E0A37" w:rsidRPr="004E0A37">
        <w:rPr>
          <w:rFonts w:hint="cs"/>
          <w:spacing w:val="0"/>
          <w:sz w:val="20"/>
          <w:rtl/>
        </w:rPr>
        <w:t xml:space="preserve">يمكن احتجازهم </w:t>
      </w:r>
      <w:r w:rsidR="004E0A37" w:rsidRPr="004E0A37">
        <w:rPr>
          <w:spacing w:val="0"/>
          <w:sz w:val="20"/>
          <w:rtl/>
        </w:rPr>
        <w:t xml:space="preserve">لفترة </w:t>
      </w:r>
      <w:r w:rsidR="004E0A37" w:rsidRPr="004E0A37">
        <w:rPr>
          <w:rFonts w:hint="cs"/>
          <w:spacing w:val="0"/>
          <w:sz w:val="20"/>
          <w:rtl/>
        </w:rPr>
        <w:t>قد تصل إلى</w:t>
      </w:r>
      <w:r w:rsidR="004E0A37" w:rsidRPr="004E0A37">
        <w:rPr>
          <w:spacing w:val="0"/>
          <w:sz w:val="20"/>
          <w:rtl/>
        </w:rPr>
        <w:t xml:space="preserve"> ثمانية أشهر في السجن </w:t>
      </w:r>
      <w:r w:rsidR="004E0A37" w:rsidRPr="004E0A37">
        <w:rPr>
          <w:rFonts w:hint="cs"/>
          <w:spacing w:val="0"/>
          <w:sz w:val="20"/>
          <w:rtl/>
        </w:rPr>
        <w:t>ولا يفصلون دائما</w:t>
      </w:r>
      <w:r w:rsidR="00C27568">
        <w:rPr>
          <w:rFonts w:hint="cs"/>
          <w:spacing w:val="0"/>
          <w:sz w:val="20"/>
          <w:rtl/>
        </w:rPr>
        <w:t>ً</w:t>
      </w:r>
      <w:r w:rsidR="004E0A37" w:rsidRPr="004E0A37">
        <w:rPr>
          <w:rFonts w:hint="cs"/>
          <w:spacing w:val="0"/>
          <w:sz w:val="20"/>
          <w:rtl/>
        </w:rPr>
        <w:t xml:space="preserve"> </w:t>
      </w:r>
      <w:r w:rsidR="004E0A37" w:rsidRPr="004E0A37">
        <w:rPr>
          <w:spacing w:val="0"/>
          <w:sz w:val="20"/>
          <w:rtl/>
        </w:rPr>
        <w:t xml:space="preserve">عن البالغين. ويساور اللجنة القلق أيضاً إزاء التقارير </w:t>
      </w:r>
      <w:r w:rsidR="004E0A37" w:rsidRPr="004E0A37">
        <w:rPr>
          <w:rFonts w:hint="cs"/>
          <w:spacing w:val="0"/>
          <w:sz w:val="20"/>
          <w:rtl/>
        </w:rPr>
        <w:t xml:space="preserve">التي تفيد </w:t>
      </w:r>
      <w:r w:rsidR="004E0A37" w:rsidRPr="004E0A37">
        <w:rPr>
          <w:spacing w:val="0"/>
          <w:sz w:val="20"/>
          <w:rtl/>
        </w:rPr>
        <w:t xml:space="preserve">بأن بعض القاصرين </w:t>
      </w:r>
      <w:r w:rsidR="004E0A37" w:rsidRPr="004E0A37">
        <w:rPr>
          <w:rFonts w:hint="cs"/>
          <w:spacing w:val="0"/>
          <w:sz w:val="20"/>
          <w:rtl/>
        </w:rPr>
        <w:t>يلقى</w:t>
      </w:r>
      <w:r w:rsidR="004E0A37" w:rsidRPr="004E0A37">
        <w:rPr>
          <w:spacing w:val="0"/>
          <w:sz w:val="20"/>
          <w:rtl/>
        </w:rPr>
        <w:t xml:space="preserve"> القبض عليهم و</w:t>
      </w:r>
      <w:r w:rsidR="004E0A37" w:rsidRPr="004E0A37">
        <w:rPr>
          <w:rFonts w:hint="cs"/>
          <w:spacing w:val="0"/>
          <w:sz w:val="20"/>
          <w:rtl/>
        </w:rPr>
        <w:t>ي</w:t>
      </w:r>
      <w:r w:rsidR="004E0A37" w:rsidRPr="004E0A37">
        <w:rPr>
          <w:rFonts w:hint="eastAsia"/>
          <w:spacing w:val="0"/>
          <w:sz w:val="20"/>
          <w:rtl/>
        </w:rPr>
        <w:t>حتجز</w:t>
      </w:r>
      <w:r w:rsidR="004E0A37" w:rsidRPr="004E0A37">
        <w:rPr>
          <w:rFonts w:hint="cs"/>
          <w:spacing w:val="0"/>
          <w:sz w:val="20"/>
          <w:rtl/>
        </w:rPr>
        <w:t>ون</w:t>
      </w:r>
      <w:r w:rsidR="004E0A37" w:rsidRPr="004E0A37">
        <w:rPr>
          <w:spacing w:val="0"/>
          <w:sz w:val="20"/>
          <w:rtl/>
        </w:rPr>
        <w:t xml:space="preserve"> بسبب التسول دون أي ضمانات قانونية (المواد 2 و10 و16).</w:t>
      </w:r>
    </w:p>
    <w:p w:rsidR="004E0A37" w:rsidRPr="00C27568" w:rsidRDefault="004E0A37" w:rsidP="004E0A37">
      <w:pPr>
        <w:pStyle w:val="SingleTxtGA"/>
        <w:jc w:val="lowKashida"/>
        <w:rPr>
          <w:b/>
          <w:bCs/>
          <w:spacing w:val="0"/>
          <w:sz w:val="20"/>
          <w:rtl/>
        </w:rPr>
      </w:pPr>
      <w:r w:rsidRPr="00C27568">
        <w:rPr>
          <w:b/>
          <w:bCs/>
          <w:spacing w:val="0"/>
          <w:sz w:val="20"/>
          <w:rtl/>
        </w:rPr>
        <w:tab/>
        <w:t xml:space="preserve">ينبغي للدولة الطرف أن تتخذ خطوات، </w:t>
      </w:r>
      <w:r w:rsidRPr="00C27568">
        <w:rPr>
          <w:rFonts w:hint="cs"/>
          <w:b/>
          <w:bCs/>
          <w:spacing w:val="0"/>
          <w:sz w:val="20"/>
          <w:rtl/>
        </w:rPr>
        <w:t>على سبيل الاستعجال</w:t>
      </w:r>
      <w:r w:rsidRPr="00C27568">
        <w:rPr>
          <w:b/>
          <w:bCs/>
          <w:spacing w:val="0"/>
          <w:sz w:val="20"/>
          <w:rtl/>
        </w:rPr>
        <w:t xml:space="preserve">، لتجنب احتجاز القاصرين المخالفين للقانون وأن </w:t>
      </w:r>
      <w:r w:rsidRPr="00C27568">
        <w:rPr>
          <w:rFonts w:hint="cs"/>
          <w:b/>
          <w:bCs/>
          <w:spacing w:val="0"/>
          <w:sz w:val="20"/>
          <w:rtl/>
        </w:rPr>
        <w:t>تكفل لهم حماية خاصة</w:t>
      </w:r>
      <w:r w:rsidRPr="00C27568">
        <w:rPr>
          <w:b/>
          <w:bCs/>
          <w:spacing w:val="0"/>
          <w:sz w:val="20"/>
          <w:rtl/>
        </w:rPr>
        <w:t xml:space="preserve">، كبديل للاحتجاز. وينبغي للدولة الطرف أيضاً أن تكفل عدم حرمان </w:t>
      </w:r>
      <w:r w:rsidRPr="00C27568">
        <w:rPr>
          <w:rFonts w:hint="cs"/>
          <w:b/>
          <w:bCs/>
          <w:spacing w:val="0"/>
          <w:sz w:val="20"/>
          <w:rtl/>
        </w:rPr>
        <w:t>أي</w:t>
      </w:r>
      <w:r w:rsidRPr="00C27568">
        <w:rPr>
          <w:b/>
          <w:bCs/>
          <w:spacing w:val="0"/>
          <w:sz w:val="20"/>
          <w:rtl/>
        </w:rPr>
        <w:t xml:space="preserve"> قاصر من حريته إلا كملاذ أخير ولفترة قصيرة من الزمن. وينبغي للدولة الطرف أيضاً أن تكفل تمتع القاصرين المحرومين من الحرية بجميع الضمانات القانونية </w:t>
      </w:r>
      <w:r w:rsidRPr="00C27568">
        <w:rPr>
          <w:rFonts w:hint="cs"/>
          <w:b/>
          <w:bCs/>
          <w:spacing w:val="0"/>
          <w:sz w:val="20"/>
          <w:rtl/>
        </w:rPr>
        <w:t>واحتجازهم</w:t>
      </w:r>
      <w:r w:rsidRPr="00C27568">
        <w:rPr>
          <w:b/>
          <w:bCs/>
          <w:spacing w:val="0"/>
          <w:sz w:val="20"/>
          <w:rtl/>
        </w:rPr>
        <w:t xml:space="preserve">، في حال إدانتهم، </w:t>
      </w:r>
      <w:r w:rsidRPr="00C27568">
        <w:rPr>
          <w:rFonts w:hint="cs"/>
          <w:b/>
          <w:bCs/>
          <w:spacing w:val="0"/>
          <w:sz w:val="20"/>
          <w:rtl/>
        </w:rPr>
        <w:t xml:space="preserve">في مرافق </w:t>
      </w:r>
      <w:r w:rsidRPr="00C27568">
        <w:rPr>
          <w:b/>
          <w:bCs/>
          <w:spacing w:val="0"/>
          <w:sz w:val="20"/>
          <w:rtl/>
        </w:rPr>
        <w:t>منفصلة عن البالغين.</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التدريب</w:t>
      </w:r>
    </w:p>
    <w:p w:rsidR="004E0A37" w:rsidRPr="00C27568" w:rsidRDefault="00AC7D2B" w:rsidP="00C27568">
      <w:pPr>
        <w:pStyle w:val="SingleTxtGA"/>
        <w:jc w:val="lowKashida"/>
        <w:rPr>
          <w:spacing w:val="-2"/>
          <w:sz w:val="20"/>
          <w:rtl/>
        </w:rPr>
      </w:pPr>
      <w:r w:rsidRPr="00C27568">
        <w:rPr>
          <w:rFonts w:hint="cs"/>
          <w:spacing w:val="-2"/>
          <w:sz w:val="20"/>
          <w:rtl/>
        </w:rPr>
        <w:t>(</w:t>
      </w:r>
      <w:r w:rsidR="004E0A37" w:rsidRPr="00C27568">
        <w:rPr>
          <w:spacing w:val="-2"/>
          <w:sz w:val="20"/>
          <w:rtl/>
        </w:rPr>
        <w:t>21</w:t>
      </w:r>
      <w:r w:rsidR="003E72B5" w:rsidRPr="00C27568">
        <w:rPr>
          <w:spacing w:val="-2"/>
          <w:sz w:val="20"/>
          <w:rtl/>
        </w:rPr>
        <w:t>)</w:t>
      </w:r>
      <w:r w:rsidR="003E72B5" w:rsidRPr="00C27568">
        <w:rPr>
          <w:spacing w:val="-2"/>
          <w:sz w:val="20"/>
          <w:rtl/>
        </w:rPr>
        <w:tab/>
      </w:r>
      <w:r w:rsidR="004E0A37" w:rsidRPr="00C27568">
        <w:rPr>
          <w:rFonts w:hint="cs"/>
          <w:spacing w:val="-2"/>
          <w:sz w:val="20"/>
          <w:rtl/>
        </w:rPr>
        <w:t xml:space="preserve">في حين تشير </w:t>
      </w:r>
      <w:r w:rsidR="004E0A37" w:rsidRPr="00C27568">
        <w:rPr>
          <w:spacing w:val="-2"/>
          <w:sz w:val="20"/>
          <w:rtl/>
        </w:rPr>
        <w:t xml:space="preserve">اللجنة </w:t>
      </w:r>
      <w:r w:rsidR="004E0A37" w:rsidRPr="00C27568">
        <w:rPr>
          <w:rFonts w:hint="cs"/>
          <w:spacing w:val="-2"/>
          <w:sz w:val="20"/>
          <w:rtl/>
        </w:rPr>
        <w:t xml:space="preserve">إلى </w:t>
      </w:r>
      <w:r w:rsidR="004E0A37" w:rsidRPr="00C27568">
        <w:rPr>
          <w:spacing w:val="-2"/>
          <w:sz w:val="20"/>
          <w:rtl/>
        </w:rPr>
        <w:t xml:space="preserve">المعلومات التي قدمتها الدولة الطرف </w:t>
      </w:r>
      <w:r w:rsidR="004E0A37" w:rsidRPr="00C27568">
        <w:rPr>
          <w:rFonts w:hint="cs"/>
          <w:spacing w:val="-2"/>
          <w:sz w:val="20"/>
          <w:rtl/>
        </w:rPr>
        <w:t xml:space="preserve">عن توفير </w:t>
      </w:r>
      <w:r w:rsidR="004E0A37" w:rsidRPr="00C27568">
        <w:rPr>
          <w:spacing w:val="-2"/>
          <w:sz w:val="20"/>
          <w:rtl/>
        </w:rPr>
        <w:t xml:space="preserve">التدريب في مجال حقوق الإنسان </w:t>
      </w:r>
      <w:r w:rsidR="004E0A37" w:rsidRPr="00C27568">
        <w:rPr>
          <w:rFonts w:hint="cs"/>
          <w:spacing w:val="-2"/>
          <w:sz w:val="20"/>
          <w:rtl/>
        </w:rPr>
        <w:t>ل</w:t>
      </w:r>
      <w:r w:rsidR="004E0A37" w:rsidRPr="00C27568">
        <w:rPr>
          <w:spacing w:val="-2"/>
          <w:sz w:val="20"/>
          <w:rtl/>
        </w:rPr>
        <w:t xml:space="preserve">لموظفين المكلفين بإنفاذ القانون والأطباء والممرضين والممرضات، وموظفي </w:t>
      </w:r>
      <w:r w:rsidR="004E0A37" w:rsidRPr="00C27568">
        <w:rPr>
          <w:rFonts w:hint="cs"/>
          <w:spacing w:val="-2"/>
          <w:sz w:val="20"/>
          <w:rtl/>
        </w:rPr>
        <w:t xml:space="preserve">الإدارة الوطنية </w:t>
      </w:r>
      <w:r w:rsidR="004E0A37" w:rsidRPr="00C27568">
        <w:rPr>
          <w:spacing w:val="-2"/>
          <w:sz w:val="20"/>
          <w:rtl/>
        </w:rPr>
        <w:t xml:space="preserve">للسجون، وموظفي الشرطة القضائية، بما في ذلك </w:t>
      </w:r>
      <w:r w:rsidR="004E0A37" w:rsidRPr="00C27568">
        <w:rPr>
          <w:rFonts w:hint="cs"/>
          <w:spacing w:val="-2"/>
          <w:sz w:val="20"/>
          <w:rtl/>
        </w:rPr>
        <w:t xml:space="preserve">التدريب في مجال </w:t>
      </w:r>
      <w:r w:rsidR="004E0A37" w:rsidRPr="00C27568">
        <w:rPr>
          <w:spacing w:val="-2"/>
          <w:sz w:val="20"/>
          <w:rtl/>
        </w:rPr>
        <w:t xml:space="preserve">المبادئ المنصوص عليها في الاتفاقية، يساورها القلق </w:t>
      </w:r>
      <w:r w:rsidR="004E0A37" w:rsidRPr="00C27568">
        <w:rPr>
          <w:rFonts w:hint="cs"/>
          <w:spacing w:val="-2"/>
          <w:sz w:val="20"/>
          <w:rtl/>
        </w:rPr>
        <w:t>إزاء ا</w:t>
      </w:r>
      <w:r w:rsidR="004E0A37" w:rsidRPr="00C27568">
        <w:rPr>
          <w:spacing w:val="-2"/>
          <w:sz w:val="20"/>
          <w:rtl/>
        </w:rPr>
        <w:t xml:space="preserve">لافتقار </w:t>
      </w:r>
      <w:r w:rsidR="004E0A37" w:rsidRPr="00C27568">
        <w:rPr>
          <w:rFonts w:hint="cs"/>
          <w:spacing w:val="-2"/>
          <w:sz w:val="20"/>
          <w:rtl/>
        </w:rPr>
        <w:t xml:space="preserve">إلى </w:t>
      </w:r>
      <w:r w:rsidR="004E0A37" w:rsidRPr="00C27568">
        <w:rPr>
          <w:spacing w:val="-2"/>
          <w:sz w:val="20"/>
          <w:rtl/>
        </w:rPr>
        <w:t xml:space="preserve">معلومات عن أثر مثل هذا التدريب في مكافحة التعذيب وسوء المعاملة وعن تقييمه. ويساور اللجنة القلق أيضاً إزاء الافتقار </w:t>
      </w:r>
      <w:r w:rsidR="004E0A37" w:rsidRPr="00C27568">
        <w:rPr>
          <w:rFonts w:hint="cs"/>
          <w:spacing w:val="-2"/>
          <w:sz w:val="20"/>
          <w:rtl/>
        </w:rPr>
        <w:t>إلى ا</w:t>
      </w:r>
      <w:r w:rsidR="004E0A37" w:rsidRPr="00C27568">
        <w:rPr>
          <w:spacing w:val="-2"/>
          <w:sz w:val="20"/>
          <w:rtl/>
        </w:rPr>
        <w:t xml:space="preserve">لمعلومات بشأن التدريب المقدم إلى الأطباء </w:t>
      </w:r>
      <w:r w:rsidR="00F96B1E" w:rsidRPr="00C27568">
        <w:rPr>
          <w:spacing w:val="-2"/>
          <w:sz w:val="20"/>
          <w:rtl/>
        </w:rPr>
        <w:t>فيما</w:t>
      </w:r>
      <w:r w:rsidR="00C27568">
        <w:rPr>
          <w:rFonts w:hint="cs"/>
          <w:spacing w:val="-2"/>
          <w:sz w:val="20"/>
          <w:rtl/>
        </w:rPr>
        <w:t xml:space="preserve"> </w:t>
      </w:r>
      <w:r w:rsidR="004E0A37" w:rsidRPr="00C27568">
        <w:rPr>
          <w:spacing w:val="-2"/>
          <w:sz w:val="20"/>
          <w:rtl/>
        </w:rPr>
        <w:t xml:space="preserve">يتعلق بالكشف عن أفعال التعذيب بما في ذلك إطلاعهم على </w:t>
      </w:r>
      <w:r w:rsidR="004E0A37" w:rsidRPr="00C92E64">
        <w:rPr>
          <w:i/>
          <w:iCs/>
          <w:spacing w:val="-2"/>
          <w:sz w:val="20"/>
          <w:rtl/>
        </w:rPr>
        <w:t>دل</w:t>
      </w:r>
      <w:r w:rsidR="004E0A37" w:rsidRPr="00C92E64">
        <w:rPr>
          <w:rFonts w:hint="eastAsia"/>
          <w:i/>
          <w:iCs/>
          <w:spacing w:val="-2"/>
          <w:sz w:val="20"/>
          <w:rtl/>
        </w:rPr>
        <w:t>يل</w:t>
      </w:r>
      <w:r w:rsidR="004E0A37" w:rsidRPr="00C92E64">
        <w:rPr>
          <w:i/>
          <w:iCs/>
          <w:spacing w:val="-2"/>
          <w:sz w:val="20"/>
          <w:rtl/>
        </w:rPr>
        <w:t xml:space="preserve"> كفاءة التحقيق والتوثيق في حالات التعذيب وغيره من ضروب المعاملة والعقوبة القاسية أو اللاإنسانية أو المهينة (بروتوكول </w:t>
      </w:r>
      <w:r w:rsidR="002C1EA7" w:rsidRPr="00C92E64">
        <w:rPr>
          <w:i/>
          <w:iCs/>
          <w:spacing w:val="-2"/>
          <w:sz w:val="20"/>
          <w:rtl/>
        </w:rPr>
        <w:t>اسطنبول</w:t>
      </w:r>
      <w:r w:rsidR="004E0A37" w:rsidRPr="00C92E64">
        <w:rPr>
          <w:i/>
          <w:iCs/>
          <w:spacing w:val="-2"/>
          <w:sz w:val="20"/>
          <w:rtl/>
        </w:rPr>
        <w:t>)</w:t>
      </w:r>
      <w:r w:rsidR="004E0A37" w:rsidRPr="00C27568">
        <w:rPr>
          <w:spacing w:val="-2"/>
          <w:sz w:val="20"/>
          <w:rtl/>
        </w:rPr>
        <w:t xml:space="preserve"> (المادة 10).</w:t>
      </w:r>
    </w:p>
    <w:p w:rsidR="004E0A37" w:rsidRPr="00C27568" w:rsidRDefault="004E0A37" w:rsidP="004E0A37">
      <w:pPr>
        <w:pStyle w:val="SingleTxtGA"/>
        <w:jc w:val="lowKashida"/>
        <w:rPr>
          <w:b/>
          <w:bCs/>
          <w:spacing w:val="0"/>
          <w:sz w:val="20"/>
          <w:rtl/>
        </w:rPr>
      </w:pPr>
      <w:r w:rsidRPr="00C27568">
        <w:rPr>
          <w:b/>
          <w:bCs/>
          <w:spacing w:val="0"/>
          <w:sz w:val="20"/>
          <w:rtl/>
        </w:rPr>
        <w:tab/>
        <w:t>ينبغي للدولة الطرف أن تعزز البرامج التدريبية الموجهة إلى موظفي إنفاذ القوانين والموظفين المدنيين والعسكريين والطبيين والموظفين العموميين وغيرهم من الأشخاص الذين قد يشاركون في عمليات حبس أو استجواب أو معاملة أشخاص معرضين للاعتقال أو</w:t>
      </w:r>
      <w:r w:rsidRPr="00C27568">
        <w:rPr>
          <w:rFonts w:hint="cs"/>
          <w:b/>
          <w:bCs/>
          <w:spacing w:val="0"/>
          <w:sz w:val="20"/>
          <w:rtl/>
        </w:rPr>
        <w:t> </w:t>
      </w:r>
      <w:r w:rsidRPr="00C27568">
        <w:rPr>
          <w:b/>
          <w:bCs/>
          <w:spacing w:val="0"/>
          <w:sz w:val="20"/>
          <w:rtl/>
        </w:rPr>
        <w:t>الاحتجاز</w:t>
      </w:r>
      <w:r w:rsidRPr="00C27568">
        <w:rPr>
          <w:rFonts w:hint="cs"/>
          <w:b/>
          <w:bCs/>
          <w:spacing w:val="0"/>
          <w:sz w:val="20"/>
          <w:rtl/>
        </w:rPr>
        <w:t xml:space="preserve"> أو السجن</w:t>
      </w:r>
      <w:r w:rsidRPr="00C27568">
        <w:rPr>
          <w:b/>
          <w:bCs/>
          <w:spacing w:val="0"/>
          <w:sz w:val="20"/>
          <w:rtl/>
        </w:rPr>
        <w:t xml:space="preserve">. وينبغي للدولة الطرف تقييم فعالية التدريب المقدم وأن تكفل </w:t>
      </w:r>
      <w:r w:rsidRPr="00C92E64">
        <w:rPr>
          <w:b/>
          <w:bCs/>
          <w:i/>
          <w:iCs/>
          <w:spacing w:val="0"/>
          <w:sz w:val="20"/>
          <w:rtl/>
        </w:rPr>
        <w:t>إدراج دليل كفاءة التحقيق والتوثيق في حالات التعذيب وغيره من ضروب المعاملة أو</w:t>
      </w:r>
      <w:r w:rsidRPr="00C92E64">
        <w:rPr>
          <w:rFonts w:hint="cs"/>
          <w:b/>
          <w:bCs/>
          <w:i/>
          <w:iCs/>
          <w:spacing w:val="0"/>
          <w:sz w:val="20"/>
          <w:rtl/>
        </w:rPr>
        <w:t> </w:t>
      </w:r>
      <w:r w:rsidRPr="00C92E64">
        <w:rPr>
          <w:b/>
          <w:bCs/>
          <w:i/>
          <w:iCs/>
          <w:spacing w:val="0"/>
          <w:sz w:val="20"/>
          <w:rtl/>
        </w:rPr>
        <w:t xml:space="preserve">العقوبة القاسية أو اللاإنسانية أو المهينة (بروتوكول </w:t>
      </w:r>
      <w:r w:rsidR="002C1EA7" w:rsidRPr="00C92E64">
        <w:rPr>
          <w:b/>
          <w:bCs/>
          <w:i/>
          <w:iCs/>
          <w:spacing w:val="0"/>
          <w:sz w:val="20"/>
          <w:rtl/>
        </w:rPr>
        <w:t>اسطنبول</w:t>
      </w:r>
      <w:r w:rsidRPr="00C92E64">
        <w:rPr>
          <w:b/>
          <w:bCs/>
          <w:i/>
          <w:iCs/>
          <w:spacing w:val="0"/>
          <w:sz w:val="20"/>
          <w:rtl/>
        </w:rPr>
        <w:t>) في البرامج التدريبية</w:t>
      </w:r>
      <w:r w:rsidRPr="00C27568">
        <w:rPr>
          <w:b/>
          <w:bCs/>
          <w:spacing w:val="0"/>
          <w:sz w:val="20"/>
          <w:rtl/>
        </w:rPr>
        <w:t>.</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الجبر</w:t>
      </w:r>
      <w:r w:rsidRPr="004E0A37">
        <w:rPr>
          <w:rFonts w:hint="cs"/>
          <w:spacing w:val="0"/>
          <w:sz w:val="20"/>
          <w:rtl/>
        </w:rPr>
        <w:t>،</w:t>
      </w:r>
      <w:r w:rsidRPr="004E0A37">
        <w:rPr>
          <w:spacing w:val="0"/>
          <w:sz w:val="20"/>
          <w:rtl/>
        </w:rPr>
        <w:t xml:space="preserve"> بما في ذلك التعويض وإعادة التأهيل</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22</w:t>
      </w:r>
      <w:r w:rsidR="003E72B5">
        <w:rPr>
          <w:spacing w:val="0"/>
          <w:sz w:val="20"/>
          <w:rtl/>
        </w:rPr>
        <w:t>)</w:t>
      </w:r>
      <w:r w:rsidR="003E72B5">
        <w:rPr>
          <w:spacing w:val="0"/>
          <w:sz w:val="20"/>
          <w:rtl/>
        </w:rPr>
        <w:tab/>
      </w:r>
      <w:r w:rsidR="004E0A37" w:rsidRPr="004E0A37">
        <w:rPr>
          <w:spacing w:val="0"/>
          <w:sz w:val="20"/>
          <w:rtl/>
        </w:rPr>
        <w:t>يساور اللجنة القلق إزاء المعلومات التي قدمتها الدولة الطرف في تقرير</w:t>
      </w:r>
      <w:r w:rsidR="004E0A37" w:rsidRPr="004E0A37">
        <w:rPr>
          <w:rFonts w:hint="cs"/>
          <w:spacing w:val="0"/>
          <w:sz w:val="20"/>
          <w:rtl/>
        </w:rPr>
        <w:t>ها</w:t>
      </w:r>
      <w:r w:rsidR="004E0A37" w:rsidRPr="004E0A37">
        <w:rPr>
          <w:spacing w:val="0"/>
          <w:sz w:val="20"/>
          <w:rtl/>
        </w:rPr>
        <w:t xml:space="preserve"> والتي تفيد بأنه</w:t>
      </w:r>
      <w:r w:rsidR="004E0A37" w:rsidRPr="004E0A37">
        <w:rPr>
          <w:rFonts w:hint="cs"/>
          <w:spacing w:val="0"/>
          <w:sz w:val="20"/>
          <w:rtl/>
        </w:rPr>
        <w:t>،</w:t>
      </w:r>
      <w:r w:rsidR="004E0A37" w:rsidRPr="004E0A37">
        <w:rPr>
          <w:spacing w:val="0"/>
          <w:sz w:val="20"/>
          <w:rtl/>
        </w:rPr>
        <w:t xml:space="preserve"> </w:t>
      </w:r>
      <w:r w:rsidR="004E0A37" w:rsidRPr="004E0A37">
        <w:rPr>
          <w:rFonts w:hint="cs"/>
          <w:spacing w:val="0"/>
          <w:sz w:val="20"/>
          <w:rtl/>
        </w:rPr>
        <w:t>عملاً</w:t>
      </w:r>
      <w:r w:rsidR="004E0A37" w:rsidRPr="004E0A37">
        <w:rPr>
          <w:spacing w:val="0"/>
          <w:sz w:val="20"/>
          <w:rtl/>
        </w:rPr>
        <w:t xml:space="preserve"> للقانون</w:t>
      </w:r>
      <w:r w:rsidR="004E0A37" w:rsidRPr="004E0A37">
        <w:rPr>
          <w:rFonts w:hint="cs"/>
          <w:spacing w:val="0"/>
          <w:sz w:val="20"/>
          <w:rtl/>
        </w:rPr>
        <w:t>،</w:t>
      </w:r>
      <w:r w:rsidR="004E0A37" w:rsidRPr="004E0A37">
        <w:rPr>
          <w:spacing w:val="0"/>
          <w:sz w:val="20"/>
          <w:rtl/>
        </w:rPr>
        <w:t xml:space="preserve"> "يكون حق الضحايا في الحصول على تعويض </w:t>
      </w:r>
      <w:r w:rsidR="004E0A37" w:rsidRPr="004E0A37">
        <w:rPr>
          <w:rFonts w:hint="cs"/>
          <w:spacing w:val="0"/>
          <w:sz w:val="20"/>
          <w:rtl/>
        </w:rPr>
        <w:t>مشروطاً</w:t>
      </w:r>
      <w:r w:rsidR="004E0A37" w:rsidRPr="004E0A37">
        <w:rPr>
          <w:spacing w:val="0"/>
          <w:sz w:val="20"/>
          <w:rtl/>
        </w:rPr>
        <w:t xml:space="preserve"> </w:t>
      </w:r>
      <w:r w:rsidR="004E0A37" w:rsidRPr="004E0A37">
        <w:rPr>
          <w:rFonts w:hint="cs"/>
          <w:spacing w:val="0"/>
          <w:sz w:val="20"/>
          <w:rtl/>
        </w:rPr>
        <w:t>بوجود سند رسمي</w:t>
      </w:r>
      <w:r w:rsidR="004E0A37" w:rsidRPr="004E0A37">
        <w:rPr>
          <w:spacing w:val="0"/>
          <w:sz w:val="20"/>
          <w:rtl/>
        </w:rPr>
        <w:t xml:space="preserve"> أو</w:t>
      </w:r>
      <w:r w:rsidR="004E0A37" w:rsidRPr="004E0A37">
        <w:rPr>
          <w:rFonts w:hint="cs"/>
          <w:spacing w:val="0"/>
          <w:sz w:val="20"/>
          <w:rtl/>
        </w:rPr>
        <w:t> </w:t>
      </w:r>
      <w:r w:rsidR="004E0A37" w:rsidRPr="004E0A37">
        <w:rPr>
          <w:spacing w:val="0"/>
          <w:sz w:val="20"/>
          <w:rtl/>
        </w:rPr>
        <w:t xml:space="preserve">اعتراف من جانب مرتكب الجريمة التي </w:t>
      </w:r>
      <w:r w:rsidR="004E0A37" w:rsidRPr="004E0A37">
        <w:rPr>
          <w:rFonts w:hint="cs"/>
          <w:spacing w:val="0"/>
          <w:sz w:val="20"/>
          <w:rtl/>
        </w:rPr>
        <w:t>توجب</w:t>
      </w:r>
      <w:r w:rsidR="004E0A37" w:rsidRPr="004E0A37">
        <w:rPr>
          <w:spacing w:val="0"/>
          <w:sz w:val="20"/>
          <w:rtl/>
        </w:rPr>
        <w:t xml:space="preserve"> التعويض". وترى اللجنة أن هذا الشرط ربما يحول دون حصو</w:t>
      </w:r>
      <w:r w:rsidR="004E0A37" w:rsidRPr="004E0A37">
        <w:rPr>
          <w:rFonts w:hint="eastAsia"/>
          <w:spacing w:val="0"/>
          <w:sz w:val="20"/>
          <w:rtl/>
        </w:rPr>
        <w:t>ل</w:t>
      </w:r>
      <w:r w:rsidR="004E0A37" w:rsidRPr="004E0A37">
        <w:rPr>
          <w:spacing w:val="0"/>
          <w:sz w:val="20"/>
          <w:rtl/>
        </w:rPr>
        <w:t xml:space="preserve"> ضحايا التعذيب أو سوء المعاملة على الانتصاف</w:t>
      </w:r>
      <w:r w:rsidR="004E0A37" w:rsidRPr="004E0A37">
        <w:rPr>
          <w:rFonts w:hint="cs"/>
          <w:spacing w:val="0"/>
          <w:sz w:val="20"/>
          <w:rtl/>
        </w:rPr>
        <w:t>،</w:t>
      </w:r>
      <w:r w:rsidR="004E0A37" w:rsidRPr="004E0A37">
        <w:rPr>
          <w:spacing w:val="0"/>
          <w:sz w:val="20"/>
          <w:rtl/>
        </w:rPr>
        <w:t xml:space="preserve"> بما في ذلك التعويض،</w:t>
      </w:r>
      <w:r w:rsidR="00B345DB">
        <w:rPr>
          <w:spacing w:val="0"/>
          <w:sz w:val="20"/>
          <w:rtl/>
        </w:rPr>
        <w:t xml:space="preserve"> وفقاً </w:t>
      </w:r>
      <w:r w:rsidR="004E0A37" w:rsidRPr="004E0A37">
        <w:rPr>
          <w:spacing w:val="0"/>
          <w:sz w:val="20"/>
          <w:rtl/>
        </w:rPr>
        <w:t xml:space="preserve">لأحكام الاتفاقية. وتعرب اللجنة عن قلقها أيضاً </w:t>
      </w:r>
      <w:r w:rsidR="004E0A37" w:rsidRPr="004E0A37">
        <w:rPr>
          <w:rFonts w:hint="cs"/>
          <w:spacing w:val="0"/>
          <w:sz w:val="20"/>
          <w:rtl/>
        </w:rPr>
        <w:t xml:space="preserve">لعدم ذكر </w:t>
      </w:r>
      <w:r w:rsidR="004E0A37" w:rsidRPr="004E0A37">
        <w:rPr>
          <w:spacing w:val="0"/>
          <w:sz w:val="20"/>
          <w:rtl/>
        </w:rPr>
        <w:t xml:space="preserve">حالات </w:t>
      </w:r>
      <w:r w:rsidR="004E0A37" w:rsidRPr="004E0A37">
        <w:rPr>
          <w:rFonts w:hint="cs"/>
          <w:spacing w:val="0"/>
          <w:sz w:val="20"/>
          <w:rtl/>
        </w:rPr>
        <w:t xml:space="preserve">كانت </w:t>
      </w:r>
      <w:r w:rsidR="004E0A37" w:rsidRPr="004E0A37">
        <w:rPr>
          <w:spacing w:val="0"/>
          <w:sz w:val="20"/>
          <w:rtl/>
        </w:rPr>
        <w:t>فيها الدولة الطرف مسؤولة عن التعويض عن الأضرار الناجمة عن أفعال قام بها وكلاؤها تتعلق بالتعذيب وسوء المعاملة، على الرغ</w:t>
      </w:r>
      <w:r w:rsidR="004E0A37" w:rsidRPr="004E0A37">
        <w:rPr>
          <w:rFonts w:hint="eastAsia"/>
          <w:spacing w:val="0"/>
          <w:sz w:val="20"/>
          <w:rtl/>
        </w:rPr>
        <w:t>م</w:t>
      </w:r>
      <w:r w:rsidR="004E0A37" w:rsidRPr="004E0A37">
        <w:rPr>
          <w:spacing w:val="0"/>
          <w:sz w:val="20"/>
          <w:rtl/>
        </w:rPr>
        <w:t xml:space="preserve"> من أحكام القانون المدني (الكتاب الثالث، المواد من</w:t>
      </w:r>
      <w:r w:rsidR="004E0A37" w:rsidRPr="004E0A37">
        <w:rPr>
          <w:rFonts w:hint="cs"/>
          <w:spacing w:val="0"/>
          <w:sz w:val="20"/>
          <w:rtl/>
        </w:rPr>
        <w:t> </w:t>
      </w:r>
      <w:r w:rsidR="004E0A37" w:rsidRPr="004E0A37">
        <w:rPr>
          <w:spacing w:val="0"/>
          <w:sz w:val="20"/>
          <w:rtl/>
        </w:rPr>
        <w:t>2</w:t>
      </w:r>
      <w:r w:rsidR="004E0A37" w:rsidRPr="004E0A37">
        <w:rPr>
          <w:rFonts w:hint="cs"/>
          <w:spacing w:val="0"/>
          <w:sz w:val="20"/>
          <w:rtl/>
        </w:rPr>
        <w:t>5</w:t>
      </w:r>
      <w:r w:rsidR="004E0A37" w:rsidRPr="004E0A37">
        <w:rPr>
          <w:spacing w:val="0"/>
          <w:sz w:val="20"/>
          <w:rtl/>
        </w:rPr>
        <w:t>8 إلى 262) المتعلقة بالمسؤولية المدنية المتصلة بالجرائم وشبه الجرائم (المادة 14).</w:t>
      </w:r>
    </w:p>
    <w:p w:rsidR="004E0A37" w:rsidRPr="00C27568" w:rsidRDefault="004E0A37" w:rsidP="004E0A37">
      <w:pPr>
        <w:pStyle w:val="SingleTxtGA"/>
        <w:jc w:val="lowKashida"/>
        <w:rPr>
          <w:b/>
          <w:bCs/>
          <w:spacing w:val="0"/>
          <w:sz w:val="20"/>
          <w:rtl/>
        </w:rPr>
      </w:pPr>
      <w:r w:rsidRPr="00C27568">
        <w:rPr>
          <w:b/>
          <w:bCs/>
          <w:spacing w:val="0"/>
          <w:sz w:val="20"/>
          <w:rtl/>
        </w:rPr>
        <w:tab/>
        <w:t>ينبغي للدولة الطرف أن تراجع تشريعها وتحذف شرط "اعتراف الجاني بالجرم" وذلك لكي تكفل لضحايا التعذيب إمكانية التماس والحصول على تعويض فوري وعادل ومناسب، بما في ذلك في حالات تثار فيها المسؤولية المدنية للدولة الطرف</w:t>
      </w:r>
      <w:r w:rsidRPr="00C27568">
        <w:rPr>
          <w:rFonts w:hint="cs"/>
          <w:b/>
          <w:bCs/>
          <w:spacing w:val="0"/>
          <w:sz w:val="20"/>
          <w:rtl/>
        </w:rPr>
        <w:t>.</w:t>
      </w:r>
      <w:r w:rsidRPr="00C27568">
        <w:rPr>
          <w:b/>
          <w:bCs/>
          <w:spacing w:val="0"/>
          <w:sz w:val="20"/>
          <w:rtl/>
        </w:rPr>
        <w:t xml:space="preserve"> وينبغي للدولة الطرف أن تزود اللجنة ببيان</w:t>
      </w:r>
      <w:r w:rsidRPr="00C27568">
        <w:rPr>
          <w:rFonts w:hint="eastAsia"/>
          <w:b/>
          <w:bCs/>
          <w:spacing w:val="0"/>
          <w:sz w:val="20"/>
          <w:rtl/>
        </w:rPr>
        <w:t>ات</w:t>
      </w:r>
      <w:r w:rsidRPr="00C27568">
        <w:rPr>
          <w:b/>
          <w:bCs/>
          <w:spacing w:val="0"/>
          <w:sz w:val="20"/>
          <w:rtl/>
        </w:rPr>
        <w:t xml:space="preserve"> إحصائية عن حالات قدمت فيها الدولة الطرف تعويضاً لضحايا التعذيب أو سوء المعاملة، </w:t>
      </w:r>
      <w:r w:rsidRPr="00C27568">
        <w:rPr>
          <w:rFonts w:hint="cs"/>
          <w:b/>
          <w:bCs/>
          <w:spacing w:val="0"/>
          <w:sz w:val="20"/>
          <w:rtl/>
        </w:rPr>
        <w:t>مع ذكر</w:t>
      </w:r>
      <w:r w:rsidRPr="00C27568">
        <w:rPr>
          <w:b/>
          <w:bCs/>
          <w:spacing w:val="0"/>
          <w:sz w:val="20"/>
          <w:rtl/>
        </w:rPr>
        <w:t xml:space="preserve"> مبالغ هذا التعويض.</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الاعترافات</w:t>
      </w:r>
      <w:r w:rsidRPr="004E0A37">
        <w:rPr>
          <w:spacing w:val="0"/>
          <w:sz w:val="20"/>
          <w:rtl/>
        </w:rPr>
        <w:t xml:space="preserve"> المنتزعة بالإكراه</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23</w:t>
      </w:r>
      <w:r w:rsidR="003E72B5">
        <w:rPr>
          <w:spacing w:val="0"/>
          <w:sz w:val="20"/>
          <w:rtl/>
        </w:rPr>
        <w:t>)</w:t>
      </w:r>
      <w:r w:rsidR="003E72B5">
        <w:rPr>
          <w:spacing w:val="0"/>
          <w:sz w:val="20"/>
          <w:rtl/>
        </w:rPr>
        <w:tab/>
      </w:r>
      <w:r w:rsidR="004E0A37" w:rsidRPr="004E0A37">
        <w:rPr>
          <w:rFonts w:hint="cs"/>
          <w:spacing w:val="0"/>
          <w:sz w:val="20"/>
          <w:rtl/>
        </w:rPr>
        <w:t xml:space="preserve">في حين تشير </w:t>
      </w:r>
      <w:r w:rsidR="004E0A37" w:rsidRPr="004E0A37">
        <w:rPr>
          <w:spacing w:val="0"/>
          <w:sz w:val="20"/>
          <w:rtl/>
        </w:rPr>
        <w:t xml:space="preserve">اللجنة </w:t>
      </w:r>
      <w:r w:rsidR="004E0A37" w:rsidRPr="004E0A37">
        <w:rPr>
          <w:rFonts w:hint="cs"/>
          <w:spacing w:val="0"/>
          <w:sz w:val="20"/>
          <w:rtl/>
        </w:rPr>
        <w:t xml:space="preserve">إلى </w:t>
      </w:r>
      <w:r w:rsidR="004E0A37" w:rsidRPr="004E0A37">
        <w:rPr>
          <w:spacing w:val="0"/>
          <w:sz w:val="20"/>
          <w:rtl/>
        </w:rPr>
        <w:t xml:space="preserve">المعلومات الواردة في تقرير الدولة الطرف التي تفيد </w:t>
      </w:r>
      <w:r w:rsidR="004E0A37" w:rsidRPr="004E0A37">
        <w:rPr>
          <w:rFonts w:hint="cs"/>
          <w:spacing w:val="0"/>
          <w:sz w:val="20"/>
          <w:rtl/>
        </w:rPr>
        <w:t xml:space="preserve">بحظر الحصول على الأدلة عن طريق </w:t>
      </w:r>
      <w:r w:rsidR="004E0A37" w:rsidRPr="004E0A37">
        <w:rPr>
          <w:spacing w:val="0"/>
          <w:sz w:val="20"/>
          <w:rtl/>
        </w:rPr>
        <w:t>التعذيب أو بأي طريقة قاسية أو مهينة، يساور</w:t>
      </w:r>
      <w:r w:rsidR="004E0A37" w:rsidRPr="004E0A37">
        <w:rPr>
          <w:rFonts w:hint="cs"/>
          <w:spacing w:val="0"/>
          <w:sz w:val="20"/>
          <w:rtl/>
        </w:rPr>
        <w:t>ها</w:t>
      </w:r>
      <w:r w:rsidR="004E0A37" w:rsidRPr="004E0A37">
        <w:rPr>
          <w:spacing w:val="0"/>
          <w:sz w:val="20"/>
          <w:rtl/>
        </w:rPr>
        <w:t xml:space="preserve"> القلق إزاء التقارير </w:t>
      </w:r>
      <w:r w:rsidR="004E0A37" w:rsidRPr="004E0A37">
        <w:rPr>
          <w:rFonts w:hint="cs"/>
          <w:spacing w:val="0"/>
          <w:sz w:val="20"/>
          <w:rtl/>
        </w:rPr>
        <w:t xml:space="preserve">التي تفيد </w:t>
      </w:r>
      <w:r w:rsidR="004E0A37" w:rsidRPr="004E0A37">
        <w:rPr>
          <w:spacing w:val="0"/>
          <w:sz w:val="20"/>
          <w:rtl/>
        </w:rPr>
        <w:t xml:space="preserve">بأن الأشخاص </w:t>
      </w:r>
      <w:r w:rsidR="004E0A37" w:rsidRPr="004E0A37">
        <w:rPr>
          <w:rFonts w:hint="cs"/>
          <w:spacing w:val="0"/>
          <w:sz w:val="20"/>
          <w:rtl/>
        </w:rPr>
        <w:t xml:space="preserve">المتهمين </w:t>
      </w:r>
      <w:r w:rsidR="004E0A37" w:rsidRPr="004E0A37">
        <w:rPr>
          <w:spacing w:val="0"/>
          <w:sz w:val="20"/>
          <w:rtl/>
        </w:rPr>
        <w:t xml:space="preserve">بتهديد الأمن القومي المحتجزين في </w:t>
      </w:r>
      <w:r w:rsidR="004E0A37" w:rsidRPr="004E0A37">
        <w:rPr>
          <w:rFonts w:hint="cs"/>
          <w:spacing w:val="0"/>
          <w:sz w:val="20"/>
          <w:rtl/>
        </w:rPr>
        <w:t xml:space="preserve">معسكر </w:t>
      </w:r>
      <w:r w:rsidR="004E0A37" w:rsidRPr="004E0A37">
        <w:rPr>
          <w:spacing w:val="0"/>
          <w:sz w:val="20"/>
          <w:rtl/>
        </w:rPr>
        <w:t>كامي أو</w:t>
      </w:r>
      <w:r w:rsidR="004E0A37" w:rsidRPr="004E0A37">
        <w:rPr>
          <w:rFonts w:hint="cs"/>
          <w:spacing w:val="0"/>
          <w:sz w:val="20"/>
          <w:rtl/>
        </w:rPr>
        <w:t> </w:t>
      </w:r>
      <w:r w:rsidR="004E0A37" w:rsidRPr="004E0A37">
        <w:rPr>
          <w:spacing w:val="0"/>
          <w:sz w:val="20"/>
          <w:rtl/>
        </w:rPr>
        <w:t xml:space="preserve">موكاميرا </w:t>
      </w:r>
      <w:r w:rsidR="004E0A37" w:rsidRPr="004E0A37">
        <w:rPr>
          <w:rFonts w:hint="cs"/>
          <w:spacing w:val="0"/>
          <w:sz w:val="20"/>
          <w:rtl/>
        </w:rPr>
        <w:t xml:space="preserve">العسكريين </w:t>
      </w:r>
      <w:r w:rsidR="004E0A37" w:rsidRPr="004E0A37">
        <w:rPr>
          <w:spacing w:val="0"/>
          <w:sz w:val="20"/>
          <w:rtl/>
        </w:rPr>
        <w:t>وكذلك في "</w:t>
      </w:r>
      <w:r w:rsidR="004E0A37" w:rsidRPr="004E0A37">
        <w:rPr>
          <w:rFonts w:hint="cs"/>
          <w:spacing w:val="0"/>
          <w:sz w:val="20"/>
          <w:rtl/>
        </w:rPr>
        <w:t>أماكن احتجاز غير رسمية</w:t>
      </w:r>
      <w:r w:rsidR="004E0A37" w:rsidRPr="004E0A37">
        <w:rPr>
          <w:spacing w:val="0"/>
          <w:sz w:val="20"/>
          <w:rtl/>
        </w:rPr>
        <w:t xml:space="preserve">" في كيغالي قدموا اعترافات نتيجة </w:t>
      </w:r>
      <w:r w:rsidR="004E0A37" w:rsidRPr="004E0A37">
        <w:rPr>
          <w:rFonts w:hint="cs"/>
          <w:spacing w:val="0"/>
          <w:sz w:val="20"/>
          <w:rtl/>
        </w:rPr>
        <w:t>تعرضهم ل</w:t>
      </w:r>
      <w:r w:rsidR="004E0A37" w:rsidRPr="004E0A37">
        <w:rPr>
          <w:spacing w:val="0"/>
          <w:sz w:val="20"/>
          <w:rtl/>
        </w:rPr>
        <w:t>لضرب والتعذيب. ويساور اللجنة قلق خاص لأن القضاة</w:t>
      </w:r>
      <w:r w:rsidR="00335AC0">
        <w:rPr>
          <w:spacing w:val="0"/>
          <w:sz w:val="20"/>
          <w:rtl/>
        </w:rPr>
        <w:t xml:space="preserve"> لم </w:t>
      </w:r>
      <w:r w:rsidR="004E0A37" w:rsidRPr="004E0A37">
        <w:rPr>
          <w:spacing w:val="0"/>
          <w:sz w:val="20"/>
          <w:rtl/>
        </w:rPr>
        <w:t>يطالبوا بإجراء تحقيق</w:t>
      </w:r>
      <w:r w:rsidR="004E0A37" w:rsidRPr="004E0A37">
        <w:rPr>
          <w:rFonts w:hint="cs"/>
          <w:spacing w:val="0"/>
          <w:sz w:val="20"/>
          <w:rtl/>
        </w:rPr>
        <w:t>ات</w:t>
      </w:r>
      <w:r w:rsidR="004E0A37" w:rsidRPr="004E0A37">
        <w:rPr>
          <w:spacing w:val="0"/>
          <w:sz w:val="20"/>
          <w:rtl/>
        </w:rPr>
        <w:t xml:space="preserve"> في مثل هذه الحالات لكنهم ألقوا عبء الإثبات على </w:t>
      </w:r>
      <w:r w:rsidR="004E0A37" w:rsidRPr="004E0A37">
        <w:rPr>
          <w:rFonts w:hint="cs"/>
          <w:spacing w:val="0"/>
          <w:sz w:val="20"/>
          <w:rtl/>
        </w:rPr>
        <w:t>المتهمين</w:t>
      </w:r>
      <w:r w:rsidR="004E0A37" w:rsidRPr="004E0A37">
        <w:rPr>
          <w:spacing w:val="0"/>
          <w:sz w:val="20"/>
          <w:rtl/>
        </w:rPr>
        <w:t>. (المادة 15).</w:t>
      </w:r>
    </w:p>
    <w:p w:rsidR="004E0A37" w:rsidRPr="00C27568" w:rsidRDefault="004E0A37" w:rsidP="004E0A37">
      <w:pPr>
        <w:pStyle w:val="SingleTxtGA"/>
        <w:jc w:val="lowKashida"/>
        <w:rPr>
          <w:b/>
          <w:bCs/>
          <w:spacing w:val="0"/>
          <w:sz w:val="20"/>
          <w:rtl/>
        </w:rPr>
      </w:pPr>
      <w:r w:rsidRPr="00C27568">
        <w:rPr>
          <w:b/>
          <w:bCs/>
          <w:spacing w:val="0"/>
          <w:sz w:val="20"/>
          <w:rtl/>
        </w:rPr>
        <w:tab/>
        <w:t>ينبغي للدولة الطرف أن تكفل عدم الاحتجاج بالاعترافات و</w:t>
      </w:r>
      <w:r w:rsidRPr="00C27568">
        <w:rPr>
          <w:rFonts w:hint="cs"/>
          <w:b/>
          <w:bCs/>
          <w:spacing w:val="0"/>
          <w:sz w:val="20"/>
          <w:rtl/>
        </w:rPr>
        <w:t>الإفادات</w:t>
      </w:r>
      <w:r w:rsidRPr="00C27568">
        <w:rPr>
          <w:b/>
          <w:bCs/>
          <w:spacing w:val="0"/>
          <w:sz w:val="20"/>
          <w:rtl/>
        </w:rPr>
        <w:t xml:space="preserve"> و</w:t>
      </w:r>
      <w:r w:rsidRPr="00C27568">
        <w:rPr>
          <w:rFonts w:hint="cs"/>
          <w:b/>
          <w:bCs/>
          <w:spacing w:val="0"/>
          <w:sz w:val="20"/>
          <w:rtl/>
        </w:rPr>
        <w:t xml:space="preserve">الأدلة </w:t>
      </w:r>
      <w:r w:rsidRPr="00C27568">
        <w:rPr>
          <w:b/>
          <w:bCs/>
          <w:spacing w:val="0"/>
          <w:sz w:val="20"/>
          <w:rtl/>
        </w:rPr>
        <w:t>التي ي</w:t>
      </w:r>
      <w:r w:rsidRPr="00C27568">
        <w:rPr>
          <w:rFonts w:hint="cs"/>
          <w:b/>
          <w:bCs/>
          <w:spacing w:val="0"/>
          <w:sz w:val="20"/>
          <w:rtl/>
        </w:rPr>
        <w:t>ُ</w:t>
      </w:r>
      <w:r w:rsidRPr="00C27568">
        <w:rPr>
          <w:b/>
          <w:bCs/>
          <w:spacing w:val="0"/>
          <w:sz w:val="20"/>
          <w:rtl/>
        </w:rPr>
        <w:t xml:space="preserve">حصل عليها </w:t>
      </w:r>
      <w:r w:rsidRPr="00C27568">
        <w:rPr>
          <w:rFonts w:hint="cs"/>
          <w:b/>
          <w:bCs/>
          <w:spacing w:val="0"/>
          <w:sz w:val="20"/>
          <w:rtl/>
        </w:rPr>
        <w:t xml:space="preserve">عن طريق </w:t>
      </w:r>
      <w:r w:rsidRPr="00C27568">
        <w:rPr>
          <w:b/>
          <w:bCs/>
          <w:spacing w:val="0"/>
          <w:sz w:val="20"/>
          <w:rtl/>
        </w:rPr>
        <w:t xml:space="preserve">التعذيب أو سوء المعاملة، كدليل في أي إجراء من الإجراءات القضائية، باستثناء تلك المتخذة ضد شخص متهم </w:t>
      </w:r>
      <w:r w:rsidRPr="00C27568">
        <w:rPr>
          <w:rFonts w:hint="cs"/>
          <w:b/>
          <w:bCs/>
          <w:spacing w:val="0"/>
          <w:sz w:val="20"/>
          <w:rtl/>
        </w:rPr>
        <w:t xml:space="preserve">بممارسة </w:t>
      </w:r>
      <w:r w:rsidRPr="00C27568">
        <w:rPr>
          <w:b/>
          <w:bCs/>
          <w:spacing w:val="0"/>
          <w:sz w:val="20"/>
          <w:rtl/>
        </w:rPr>
        <w:t xml:space="preserve">التعذيب، كدليل </w:t>
      </w:r>
      <w:r w:rsidRPr="00C27568">
        <w:rPr>
          <w:rFonts w:hint="cs"/>
          <w:b/>
          <w:bCs/>
          <w:spacing w:val="0"/>
          <w:sz w:val="20"/>
          <w:rtl/>
        </w:rPr>
        <w:t>على ا</w:t>
      </w:r>
      <w:r w:rsidRPr="00C27568">
        <w:rPr>
          <w:b/>
          <w:bCs/>
          <w:spacing w:val="0"/>
          <w:sz w:val="20"/>
          <w:rtl/>
        </w:rPr>
        <w:t>لإدلاء</w:t>
      </w:r>
      <w:r w:rsidRPr="00C27568">
        <w:rPr>
          <w:rFonts w:hint="cs"/>
          <w:b/>
          <w:bCs/>
          <w:spacing w:val="0"/>
          <w:sz w:val="20"/>
          <w:rtl/>
        </w:rPr>
        <w:t xml:space="preserve"> بتلك الإفادة</w:t>
      </w:r>
      <w:r w:rsidRPr="00C27568">
        <w:rPr>
          <w:b/>
          <w:bCs/>
          <w:spacing w:val="0"/>
          <w:sz w:val="20"/>
          <w:rtl/>
        </w:rPr>
        <w:t>. وينبغي للدولة الطرف أن ت</w:t>
      </w:r>
      <w:r w:rsidRPr="00C27568">
        <w:rPr>
          <w:rFonts w:hint="eastAsia"/>
          <w:b/>
          <w:bCs/>
          <w:spacing w:val="0"/>
          <w:sz w:val="20"/>
          <w:rtl/>
        </w:rPr>
        <w:t>جري</w:t>
      </w:r>
      <w:r w:rsidRPr="00C27568">
        <w:rPr>
          <w:b/>
          <w:bCs/>
          <w:spacing w:val="0"/>
          <w:sz w:val="20"/>
          <w:rtl/>
        </w:rPr>
        <w:t xml:space="preserve"> تحقيقاً في الاعترافات التي ي</w:t>
      </w:r>
      <w:r w:rsidRPr="00C27568">
        <w:rPr>
          <w:rFonts w:hint="cs"/>
          <w:b/>
          <w:bCs/>
          <w:spacing w:val="0"/>
          <w:sz w:val="20"/>
          <w:rtl/>
        </w:rPr>
        <w:t>ُ</w:t>
      </w:r>
      <w:r w:rsidRPr="00C27568">
        <w:rPr>
          <w:b/>
          <w:bCs/>
          <w:spacing w:val="0"/>
          <w:sz w:val="20"/>
          <w:rtl/>
        </w:rPr>
        <w:t xml:space="preserve">حصل عليها </w:t>
      </w:r>
      <w:r w:rsidRPr="00C27568">
        <w:rPr>
          <w:rFonts w:hint="cs"/>
          <w:b/>
          <w:bCs/>
          <w:spacing w:val="0"/>
          <w:sz w:val="20"/>
          <w:rtl/>
        </w:rPr>
        <w:t xml:space="preserve">عن طريق </w:t>
      </w:r>
      <w:r w:rsidRPr="00C27568">
        <w:rPr>
          <w:b/>
          <w:bCs/>
          <w:spacing w:val="0"/>
          <w:sz w:val="20"/>
          <w:rtl/>
        </w:rPr>
        <w:t xml:space="preserve">التعذيب وأن تلاحق وتعاقب المسؤولين. وينبغي للدولة الطرف أن تقوم بمراجعة الإدانات الجنائية التي لا تقوم سوى على اعترافات بغية تحديد الحالات التي </w:t>
      </w:r>
      <w:r w:rsidRPr="00C27568">
        <w:rPr>
          <w:rFonts w:hint="cs"/>
          <w:b/>
          <w:bCs/>
          <w:spacing w:val="0"/>
          <w:sz w:val="20"/>
          <w:rtl/>
        </w:rPr>
        <w:t xml:space="preserve">صدرت </w:t>
      </w:r>
      <w:r w:rsidRPr="00C27568">
        <w:rPr>
          <w:b/>
          <w:bCs/>
          <w:spacing w:val="0"/>
          <w:sz w:val="20"/>
          <w:rtl/>
        </w:rPr>
        <w:t xml:space="preserve">فيها إدانات خاطئة تقوم على </w:t>
      </w:r>
      <w:r w:rsidRPr="00C27568">
        <w:rPr>
          <w:rFonts w:hint="cs"/>
          <w:b/>
          <w:bCs/>
          <w:spacing w:val="0"/>
          <w:sz w:val="20"/>
          <w:rtl/>
        </w:rPr>
        <w:t xml:space="preserve">أدلة </w:t>
      </w:r>
      <w:r w:rsidRPr="00C27568">
        <w:rPr>
          <w:b/>
          <w:bCs/>
          <w:spacing w:val="0"/>
          <w:sz w:val="20"/>
          <w:rtl/>
        </w:rPr>
        <w:t xml:space="preserve">تم الحصول عليها </w:t>
      </w:r>
      <w:r w:rsidRPr="00C27568">
        <w:rPr>
          <w:rFonts w:hint="cs"/>
          <w:b/>
          <w:bCs/>
          <w:spacing w:val="0"/>
          <w:sz w:val="20"/>
          <w:rtl/>
        </w:rPr>
        <w:t xml:space="preserve">عن طريق </w:t>
      </w:r>
      <w:r w:rsidRPr="00C27568">
        <w:rPr>
          <w:b/>
          <w:bCs/>
          <w:spacing w:val="0"/>
          <w:sz w:val="20"/>
          <w:rtl/>
        </w:rPr>
        <w:t>التعذيب وسوء المعاملة، وأن تتخذ تدابير علاجية مناسبة وأن تُعلم اللجنة باستنتاجاتها.</w:t>
      </w:r>
    </w:p>
    <w:p w:rsidR="004E0A37" w:rsidRPr="004E0A37" w:rsidRDefault="004E0A37" w:rsidP="004E0A37">
      <w:pPr>
        <w:pStyle w:val="H23GA"/>
        <w:jc w:val="lowKashida"/>
        <w:rPr>
          <w:spacing w:val="0"/>
          <w:sz w:val="20"/>
          <w:rtl/>
        </w:rPr>
      </w:pPr>
      <w:r w:rsidRPr="004E0A37">
        <w:rPr>
          <w:rFonts w:hint="cs"/>
          <w:spacing w:val="0"/>
          <w:sz w:val="20"/>
          <w:rtl/>
        </w:rPr>
        <w:tab/>
      </w:r>
      <w:r w:rsidRPr="004E0A37">
        <w:rPr>
          <w:rFonts w:hint="cs"/>
          <w:spacing w:val="0"/>
          <w:sz w:val="20"/>
          <w:rtl/>
        </w:rPr>
        <w:tab/>
      </w:r>
      <w:r w:rsidRPr="004E0A37">
        <w:rPr>
          <w:rFonts w:hint="eastAsia"/>
          <w:spacing w:val="0"/>
          <w:sz w:val="20"/>
          <w:rtl/>
        </w:rPr>
        <w:t>اللجنة</w:t>
      </w:r>
      <w:r w:rsidRPr="004E0A37">
        <w:rPr>
          <w:spacing w:val="0"/>
          <w:sz w:val="20"/>
          <w:rtl/>
        </w:rPr>
        <w:t xml:space="preserve"> الوطنية لحقوق الإنسان</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24</w:t>
      </w:r>
      <w:r w:rsidR="003E72B5">
        <w:rPr>
          <w:spacing w:val="0"/>
          <w:sz w:val="20"/>
          <w:rtl/>
        </w:rPr>
        <w:t>)</w:t>
      </w:r>
      <w:r w:rsidR="003E72B5">
        <w:rPr>
          <w:spacing w:val="0"/>
          <w:sz w:val="20"/>
          <w:rtl/>
        </w:rPr>
        <w:tab/>
      </w:r>
      <w:r w:rsidR="004E0A37" w:rsidRPr="004E0A37">
        <w:rPr>
          <w:rFonts w:hint="cs"/>
          <w:spacing w:val="0"/>
          <w:sz w:val="20"/>
          <w:rtl/>
        </w:rPr>
        <w:t xml:space="preserve">في حين </w:t>
      </w:r>
      <w:r w:rsidR="004E0A37" w:rsidRPr="004E0A37">
        <w:rPr>
          <w:spacing w:val="0"/>
          <w:sz w:val="20"/>
          <w:rtl/>
        </w:rPr>
        <w:t xml:space="preserve">ترحب اللجنة بالتوضيحات التي قدمها الوفد بشأن أنشطة اللجنة الوطنية لحقوق الإنسان، يساورها القلق إزاء </w:t>
      </w:r>
      <w:r w:rsidR="004E0A37" w:rsidRPr="004E0A37">
        <w:rPr>
          <w:rFonts w:hint="cs"/>
          <w:spacing w:val="0"/>
          <w:sz w:val="20"/>
          <w:rtl/>
        </w:rPr>
        <w:t>المعلومات التي تتحدث عن</w:t>
      </w:r>
      <w:r w:rsidR="004E0A37" w:rsidRPr="004E0A37">
        <w:rPr>
          <w:spacing w:val="0"/>
          <w:sz w:val="20"/>
          <w:rtl/>
        </w:rPr>
        <w:t xml:space="preserve"> </w:t>
      </w:r>
      <w:r w:rsidR="004E0A37" w:rsidRPr="004E0A37">
        <w:rPr>
          <w:rFonts w:hint="cs"/>
          <w:spacing w:val="0"/>
          <w:sz w:val="20"/>
          <w:rtl/>
        </w:rPr>
        <w:t>افتقار اللجنة</w:t>
      </w:r>
      <w:r w:rsidR="004E0A37" w:rsidRPr="004E0A37">
        <w:rPr>
          <w:spacing w:val="0"/>
          <w:sz w:val="20"/>
          <w:rtl/>
        </w:rPr>
        <w:t xml:space="preserve"> </w:t>
      </w:r>
      <w:r w:rsidR="004E0A37" w:rsidRPr="004E0A37">
        <w:rPr>
          <w:rFonts w:hint="cs"/>
          <w:spacing w:val="0"/>
          <w:sz w:val="20"/>
          <w:rtl/>
        </w:rPr>
        <w:t>ل</w:t>
      </w:r>
      <w:r w:rsidR="004E0A37" w:rsidRPr="004E0A37">
        <w:rPr>
          <w:spacing w:val="0"/>
          <w:sz w:val="20"/>
          <w:rtl/>
        </w:rPr>
        <w:t>لاستقلالية الفعل</w:t>
      </w:r>
      <w:r w:rsidR="004E0A37" w:rsidRPr="004E0A37">
        <w:rPr>
          <w:rFonts w:hint="cs"/>
          <w:spacing w:val="0"/>
          <w:sz w:val="20"/>
          <w:rtl/>
        </w:rPr>
        <w:t>ي</w:t>
      </w:r>
      <w:r w:rsidR="004E0A37" w:rsidRPr="004E0A37">
        <w:rPr>
          <w:spacing w:val="0"/>
          <w:sz w:val="20"/>
          <w:rtl/>
        </w:rPr>
        <w:t>ة وعدم</w:t>
      </w:r>
      <w:r w:rsidR="004E0A37" w:rsidRPr="004E0A37">
        <w:rPr>
          <w:rFonts w:hint="cs"/>
          <w:spacing w:val="0"/>
          <w:sz w:val="20"/>
          <w:rtl/>
        </w:rPr>
        <w:t> </w:t>
      </w:r>
      <w:r w:rsidR="004E0A37" w:rsidRPr="004E0A37">
        <w:rPr>
          <w:spacing w:val="0"/>
          <w:sz w:val="20"/>
          <w:rtl/>
        </w:rPr>
        <w:t xml:space="preserve">كفاية الموارد المالية والبشرية اللازمة لتمكينها من الاضطلاع بولايتها بصورة مناسبة (المادة 2). </w:t>
      </w:r>
    </w:p>
    <w:p w:rsidR="004E0A37" w:rsidRPr="00C27568" w:rsidRDefault="004E0A37" w:rsidP="004E0A37">
      <w:pPr>
        <w:pStyle w:val="SingleTxtGA"/>
        <w:jc w:val="lowKashida"/>
        <w:rPr>
          <w:b/>
          <w:bCs/>
          <w:spacing w:val="0"/>
          <w:sz w:val="20"/>
          <w:rtl/>
        </w:rPr>
      </w:pPr>
      <w:r w:rsidRPr="00C27568">
        <w:rPr>
          <w:b/>
          <w:bCs/>
          <w:spacing w:val="0"/>
          <w:sz w:val="20"/>
          <w:rtl/>
        </w:rPr>
        <w:tab/>
        <w:t>ينبغي للدولة الطرف أن تتخذ تدابير مناسبة لكي تضمن، من الناحية العملية، استقلالية اللجنة الوطنية لحقوق الإنسان، وأن تزودها بالموارد المالية والبشرية الكافية لتمكينها من الاضطلاع بمهمته</w:t>
      </w:r>
      <w:r w:rsidRPr="00C27568">
        <w:rPr>
          <w:rFonts w:hint="cs"/>
          <w:b/>
          <w:bCs/>
          <w:spacing w:val="0"/>
          <w:sz w:val="20"/>
          <w:rtl/>
        </w:rPr>
        <w:t>ا بفعالية</w:t>
      </w:r>
      <w:r w:rsidRPr="00C27568">
        <w:rPr>
          <w:b/>
          <w:bCs/>
          <w:spacing w:val="0"/>
          <w:sz w:val="20"/>
          <w:rtl/>
        </w:rPr>
        <w:t xml:space="preserve">، بشكل يتطابق </w:t>
      </w:r>
      <w:r w:rsidRPr="00C27568">
        <w:rPr>
          <w:rFonts w:hint="cs"/>
          <w:b/>
          <w:bCs/>
          <w:spacing w:val="0"/>
          <w:sz w:val="20"/>
          <w:rtl/>
        </w:rPr>
        <w:t>تطابق</w:t>
      </w:r>
      <w:r w:rsidR="0081655E">
        <w:rPr>
          <w:rFonts w:hint="cs"/>
          <w:b/>
          <w:bCs/>
          <w:spacing w:val="0"/>
          <w:sz w:val="20"/>
          <w:rtl/>
        </w:rPr>
        <w:t xml:space="preserve">اً </w:t>
      </w:r>
      <w:r w:rsidRPr="00C27568">
        <w:rPr>
          <w:rFonts w:hint="cs"/>
          <w:b/>
          <w:bCs/>
          <w:spacing w:val="0"/>
          <w:sz w:val="20"/>
          <w:rtl/>
        </w:rPr>
        <w:t>كامل</w:t>
      </w:r>
      <w:r w:rsidR="0081655E">
        <w:rPr>
          <w:rFonts w:hint="cs"/>
          <w:b/>
          <w:bCs/>
          <w:spacing w:val="0"/>
          <w:sz w:val="20"/>
          <w:rtl/>
        </w:rPr>
        <w:t xml:space="preserve">اً </w:t>
      </w:r>
      <w:r w:rsidRPr="00C27568">
        <w:rPr>
          <w:b/>
          <w:bCs/>
          <w:spacing w:val="0"/>
          <w:sz w:val="20"/>
          <w:rtl/>
        </w:rPr>
        <w:t>مع المبادئ المتعلقة بمركز المؤسسات الوطني</w:t>
      </w:r>
      <w:r w:rsidRPr="00C27568">
        <w:rPr>
          <w:rFonts w:hint="eastAsia"/>
          <w:b/>
          <w:bCs/>
          <w:spacing w:val="0"/>
          <w:sz w:val="20"/>
          <w:rtl/>
        </w:rPr>
        <w:t>ة</w:t>
      </w:r>
      <w:r w:rsidRPr="00C27568">
        <w:rPr>
          <w:b/>
          <w:bCs/>
          <w:spacing w:val="0"/>
          <w:sz w:val="20"/>
          <w:rtl/>
        </w:rPr>
        <w:t xml:space="preserve"> (مبادئ باريس).</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25</w:t>
      </w:r>
      <w:r w:rsidR="003E72B5">
        <w:rPr>
          <w:spacing w:val="0"/>
          <w:sz w:val="20"/>
          <w:rtl/>
        </w:rPr>
        <w:t>)</w:t>
      </w:r>
      <w:r w:rsidR="003E72B5">
        <w:rPr>
          <w:spacing w:val="0"/>
          <w:sz w:val="20"/>
          <w:rtl/>
        </w:rPr>
        <w:tab/>
      </w:r>
      <w:r w:rsidR="004E0A37" w:rsidRPr="004E0A37">
        <w:rPr>
          <w:spacing w:val="0"/>
          <w:sz w:val="20"/>
          <w:rtl/>
        </w:rPr>
        <w:t>توصي اللجنة الدولة الطرف بأن تنظر في التصديق</w:t>
      </w:r>
      <w:r w:rsidR="004E0A37" w:rsidRPr="004E0A37">
        <w:rPr>
          <w:rFonts w:hint="cs"/>
          <w:spacing w:val="0"/>
          <w:sz w:val="20"/>
          <w:rtl/>
        </w:rPr>
        <w:t xml:space="preserve">، </w:t>
      </w:r>
      <w:r w:rsidR="004E0A37" w:rsidRPr="004E0A37">
        <w:rPr>
          <w:spacing w:val="0"/>
          <w:sz w:val="20"/>
          <w:rtl/>
        </w:rPr>
        <w:t>في أقرب وقت ممكن</w:t>
      </w:r>
      <w:r w:rsidR="004E0A37" w:rsidRPr="004E0A37">
        <w:rPr>
          <w:rFonts w:hint="cs"/>
          <w:spacing w:val="0"/>
          <w:sz w:val="20"/>
          <w:rtl/>
        </w:rPr>
        <w:t>،</w:t>
      </w:r>
      <w:r w:rsidR="004E0A37" w:rsidRPr="004E0A37">
        <w:rPr>
          <w:spacing w:val="0"/>
          <w:sz w:val="20"/>
          <w:rtl/>
        </w:rPr>
        <w:t xml:space="preserve"> على البروتوكول الاختياري لاتفاقية مناهضة التعذيب وغيره من ضروب المعاملة أو العقوبة </w:t>
      </w:r>
      <w:r w:rsidR="004E0A37" w:rsidRPr="004E0A37">
        <w:rPr>
          <w:rFonts w:hint="cs"/>
          <w:spacing w:val="0"/>
          <w:sz w:val="20"/>
          <w:rtl/>
        </w:rPr>
        <w:t xml:space="preserve">القاسية أو </w:t>
      </w:r>
      <w:r w:rsidR="004E0A37" w:rsidRPr="004E0A37">
        <w:rPr>
          <w:spacing w:val="0"/>
          <w:sz w:val="20"/>
          <w:rtl/>
        </w:rPr>
        <w:t>اللاإنسانية أو</w:t>
      </w:r>
      <w:r w:rsidR="004E0A37" w:rsidRPr="004E0A37">
        <w:rPr>
          <w:rFonts w:hint="cs"/>
          <w:spacing w:val="0"/>
          <w:sz w:val="20"/>
          <w:rtl/>
        </w:rPr>
        <w:t> </w:t>
      </w:r>
      <w:r w:rsidR="004E0A37" w:rsidRPr="004E0A37">
        <w:rPr>
          <w:spacing w:val="0"/>
          <w:sz w:val="20"/>
          <w:rtl/>
        </w:rPr>
        <w:t xml:space="preserve">المهينة. </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26</w:t>
      </w:r>
      <w:r w:rsidR="003E72B5">
        <w:rPr>
          <w:spacing w:val="0"/>
          <w:sz w:val="20"/>
          <w:rtl/>
        </w:rPr>
        <w:t>)</w:t>
      </w:r>
      <w:r w:rsidR="003E72B5">
        <w:rPr>
          <w:spacing w:val="0"/>
          <w:sz w:val="20"/>
          <w:rtl/>
        </w:rPr>
        <w:tab/>
      </w:r>
      <w:r w:rsidR="004E0A37" w:rsidRPr="004E0A37">
        <w:rPr>
          <w:spacing w:val="0"/>
          <w:sz w:val="20"/>
          <w:rtl/>
        </w:rPr>
        <w:t xml:space="preserve">وتوصي اللجنة الدولة الطرف بأن تنظر في تقديم الإعلانين </w:t>
      </w:r>
      <w:r w:rsidR="004E0A37" w:rsidRPr="004E0A37">
        <w:rPr>
          <w:rFonts w:hint="cs"/>
          <w:spacing w:val="0"/>
          <w:sz w:val="20"/>
          <w:rtl/>
        </w:rPr>
        <w:t xml:space="preserve">المنصوص عليهما في </w:t>
      </w:r>
      <w:r w:rsidR="004E0A37" w:rsidRPr="004E0A37">
        <w:rPr>
          <w:spacing w:val="0"/>
          <w:sz w:val="20"/>
          <w:rtl/>
        </w:rPr>
        <w:t>المادتين</w:t>
      </w:r>
      <w:r w:rsidR="004E0A37" w:rsidRPr="004E0A37">
        <w:rPr>
          <w:rFonts w:hint="cs"/>
          <w:spacing w:val="0"/>
          <w:sz w:val="20"/>
          <w:rtl/>
        </w:rPr>
        <w:t> </w:t>
      </w:r>
      <w:r w:rsidR="004E0A37" w:rsidRPr="004E0A37">
        <w:rPr>
          <w:spacing w:val="0"/>
          <w:sz w:val="20"/>
          <w:rtl/>
        </w:rPr>
        <w:t xml:space="preserve">21 و22 من الاتفاقية بغية الاعتراف بصلاحية اللجنة في تلقي </w:t>
      </w:r>
      <w:r w:rsidR="004E0A37" w:rsidRPr="004E0A37">
        <w:rPr>
          <w:rFonts w:hint="cs"/>
          <w:spacing w:val="0"/>
          <w:sz w:val="20"/>
          <w:rtl/>
        </w:rPr>
        <w:t>ال</w:t>
      </w:r>
      <w:r w:rsidR="004E0A37" w:rsidRPr="004E0A37">
        <w:rPr>
          <w:spacing w:val="0"/>
          <w:sz w:val="20"/>
          <w:rtl/>
        </w:rPr>
        <w:t xml:space="preserve">بلاغات والنظر فيها. </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27</w:t>
      </w:r>
      <w:r w:rsidR="003E72B5">
        <w:rPr>
          <w:spacing w:val="0"/>
          <w:sz w:val="20"/>
          <w:rtl/>
        </w:rPr>
        <w:t>)</w:t>
      </w:r>
      <w:r w:rsidR="003E72B5">
        <w:rPr>
          <w:spacing w:val="0"/>
          <w:sz w:val="20"/>
          <w:rtl/>
        </w:rPr>
        <w:tab/>
      </w:r>
      <w:r w:rsidR="004E0A37" w:rsidRPr="004E0A37">
        <w:rPr>
          <w:spacing w:val="0"/>
          <w:sz w:val="20"/>
          <w:rtl/>
        </w:rPr>
        <w:t>وت</w:t>
      </w:r>
      <w:r w:rsidR="004E0A37" w:rsidRPr="004E0A37">
        <w:rPr>
          <w:rFonts w:hint="cs"/>
          <w:spacing w:val="0"/>
          <w:sz w:val="20"/>
          <w:rtl/>
        </w:rPr>
        <w:t>طلب</w:t>
      </w:r>
      <w:r w:rsidR="004E0A37" w:rsidRPr="004E0A37">
        <w:rPr>
          <w:spacing w:val="0"/>
          <w:sz w:val="20"/>
          <w:rtl/>
        </w:rPr>
        <w:t xml:space="preserve"> اللجنة من الدولة الطرف أن تنشر على نطاق واسع، وباللغات </w:t>
      </w:r>
      <w:r w:rsidR="004E0A37" w:rsidRPr="004E0A37">
        <w:rPr>
          <w:rFonts w:hint="cs"/>
          <w:spacing w:val="0"/>
          <w:sz w:val="20"/>
          <w:rtl/>
        </w:rPr>
        <w:t xml:space="preserve">المناسبة، </w:t>
      </w:r>
      <w:r w:rsidR="004E0A37" w:rsidRPr="004E0A37">
        <w:rPr>
          <w:spacing w:val="0"/>
          <w:sz w:val="20"/>
          <w:rtl/>
        </w:rPr>
        <w:t>التقرير الذي قدمته الدولة الطرف إلى اللجنة وهذه الملاحظات الختامية، عن طريق المواقع الرسمية على شبكة الإنترنت، ووسائط الإعلام والمنظمات غير الحكومية.</w:t>
      </w:r>
    </w:p>
    <w:p w:rsidR="004E0A37" w:rsidRPr="00266D23" w:rsidRDefault="00AC7D2B" w:rsidP="004E0A37">
      <w:pPr>
        <w:pStyle w:val="SingleTxtGA"/>
        <w:jc w:val="lowKashida"/>
        <w:rPr>
          <w:spacing w:val="-2"/>
          <w:sz w:val="20"/>
          <w:rtl/>
        </w:rPr>
      </w:pPr>
      <w:r w:rsidRPr="00266D23">
        <w:rPr>
          <w:rFonts w:hint="cs"/>
          <w:spacing w:val="-2"/>
          <w:sz w:val="20"/>
          <w:rtl/>
        </w:rPr>
        <w:t>(</w:t>
      </w:r>
      <w:r w:rsidR="004E0A37" w:rsidRPr="00266D23">
        <w:rPr>
          <w:spacing w:val="-2"/>
          <w:sz w:val="20"/>
          <w:rtl/>
        </w:rPr>
        <w:t>28</w:t>
      </w:r>
      <w:r w:rsidR="003E72B5" w:rsidRPr="00266D23">
        <w:rPr>
          <w:spacing w:val="-2"/>
          <w:sz w:val="20"/>
          <w:rtl/>
        </w:rPr>
        <w:t>)</w:t>
      </w:r>
      <w:r w:rsidR="003E72B5" w:rsidRPr="00266D23">
        <w:rPr>
          <w:spacing w:val="-2"/>
          <w:sz w:val="20"/>
          <w:rtl/>
        </w:rPr>
        <w:tab/>
      </w:r>
      <w:r w:rsidR="004E0A37" w:rsidRPr="00266D23">
        <w:rPr>
          <w:spacing w:val="-2"/>
          <w:sz w:val="20"/>
          <w:rtl/>
        </w:rPr>
        <w:t>وتدعو اللجنة الدولة الطرف إلى تقديم الوثيقة الأساسية الموحدة</w:t>
      </w:r>
      <w:r w:rsidR="00B345DB" w:rsidRPr="00266D23">
        <w:rPr>
          <w:spacing w:val="-2"/>
          <w:sz w:val="20"/>
          <w:rtl/>
        </w:rPr>
        <w:t xml:space="preserve"> وفقاً </w:t>
      </w:r>
      <w:r w:rsidR="004E0A37" w:rsidRPr="00266D23">
        <w:rPr>
          <w:spacing w:val="-2"/>
          <w:sz w:val="20"/>
          <w:rtl/>
        </w:rPr>
        <w:t>لمتطلبات الوثيقة الأساسية الموحدة الواردة في المبادئ التوجيهية المنسقة لتقديم التقارير في إطار المعاهدات الدولية لحقوق الإنسان (</w:t>
      </w:r>
      <w:r w:rsidR="004E0A37" w:rsidRPr="00266D23">
        <w:rPr>
          <w:spacing w:val="-2"/>
          <w:sz w:val="20"/>
        </w:rPr>
        <w:t>HRI/GEN.2/Rev.6</w:t>
      </w:r>
      <w:r w:rsidR="004E0A37" w:rsidRPr="00266D23">
        <w:rPr>
          <w:spacing w:val="-2"/>
          <w:sz w:val="20"/>
          <w:rtl/>
        </w:rPr>
        <w:t>) التي وافق عليها الاجتماع المشترك بين الل</w:t>
      </w:r>
      <w:r w:rsidR="004E0A37" w:rsidRPr="00266D23">
        <w:rPr>
          <w:rFonts w:hint="eastAsia"/>
          <w:spacing w:val="-2"/>
          <w:sz w:val="20"/>
          <w:rtl/>
        </w:rPr>
        <w:t>جان</w:t>
      </w:r>
      <w:r w:rsidR="004E0A37" w:rsidRPr="00266D23">
        <w:rPr>
          <w:spacing w:val="-2"/>
          <w:sz w:val="20"/>
          <w:rtl/>
        </w:rPr>
        <w:t xml:space="preserve"> لهيئات معاهدات حقوق الإنسان، وأن تتقيد بال</w:t>
      </w:r>
      <w:r w:rsidR="004E0A37" w:rsidRPr="00266D23">
        <w:rPr>
          <w:rFonts w:hint="cs"/>
          <w:spacing w:val="-2"/>
          <w:sz w:val="20"/>
          <w:rtl/>
        </w:rPr>
        <w:t>حد</w:t>
      </w:r>
      <w:r w:rsidR="004E0A37" w:rsidRPr="00266D23">
        <w:rPr>
          <w:spacing w:val="-2"/>
          <w:sz w:val="20"/>
          <w:rtl/>
        </w:rPr>
        <w:t xml:space="preserve"> الأقصى ل</w:t>
      </w:r>
      <w:r w:rsidR="004E0A37" w:rsidRPr="00266D23">
        <w:rPr>
          <w:rFonts w:hint="cs"/>
          <w:spacing w:val="-2"/>
          <w:sz w:val="20"/>
          <w:rtl/>
        </w:rPr>
        <w:t>عدد ا</w:t>
      </w:r>
      <w:r w:rsidR="004E0A37" w:rsidRPr="00266D23">
        <w:rPr>
          <w:spacing w:val="-2"/>
          <w:sz w:val="20"/>
          <w:rtl/>
        </w:rPr>
        <w:t>لصفحات المحدد ب‍</w:t>
      </w:r>
      <w:r w:rsidR="004E0A37" w:rsidRPr="00266D23">
        <w:rPr>
          <w:rFonts w:hint="cs"/>
          <w:spacing w:val="-2"/>
          <w:sz w:val="20"/>
          <w:rtl/>
        </w:rPr>
        <w:t> </w:t>
      </w:r>
      <w:r w:rsidR="004E0A37" w:rsidRPr="00266D23">
        <w:rPr>
          <w:spacing w:val="-2"/>
          <w:sz w:val="20"/>
          <w:rtl/>
        </w:rPr>
        <w:t>80 صفحة للوثيقة الأساسية المشتركة.</w:t>
      </w:r>
    </w:p>
    <w:p w:rsidR="004E0A37" w:rsidRPr="004E0A37" w:rsidRDefault="00AC7D2B" w:rsidP="004E0A37">
      <w:pPr>
        <w:pStyle w:val="SingleTxtGA"/>
        <w:jc w:val="lowKashida"/>
        <w:rPr>
          <w:spacing w:val="0"/>
          <w:sz w:val="20"/>
          <w:rtl/>
        </w:rPr>
      </w:pPr>
      <w:r>
        <w:rPr>
          <w:rFonts w:hint="cs"/>
          <w:spacing w:val="0"/>
          <w:sz w:val="20"/>
          <w:rtl/>
        </w:rPr>
        <w:t>(</w:t>
      </w:r>
      <w:r w:rsidR="004E0A37" w:rsidRPr="004E0A37">
        <w:rPr>
          <w:spacing w:val="0"/>
          <w:sz w:val="20"/>
          <w:rtl/>
        </w:rPr>
        <w:t>29</w:t>
      </w:r>
      <w:r w:rsidR="003E72B5">
        <w:rPr>
          <w:spacing w:val="0"/>
          <w:sz w:val="20"/>
          <w:rtl/>
        </w:rPr>
        <w:t>)</w:t>
      </w:r>
      <w:r w:rsidR="003E72B5">
        <w:rPr>
          <w:spacing w:val="0"/>
          <w:sz w:val="20"/>
          <w:rtl/>
        </w:rPr>
        <w:tab/>
      </w:r>
      <w:r w:rsidR="004E0A37" w:rsidRPr="004E0A37">
        <w:rPr>
          <w:spacing w:val="0"/>
          <w:sz w:val="20"/>
          <w:rtl/>
        </w:rPr>
        <w:t xml:space="preserve">وتطلب اللجنة من الدولة الطرف أن تقدم بحلول 1 حزيران/يونيه 2013 معلومات </w:t>
      </w:r>
      <w:r w:rsidR="004E0A37" w:rsidRPr="004E0A37">
        <w:rPr>
          <w:rFonts w:hint="cs"/>
          <w:spacing w:val="0"/>
          <w:sz w:val="20"/>
          <w:rtl/>
        </w:rPr>
        <w:t>عن الإجراءات التي اتخذت</w:t>
      </w:r>
      <w:r w:rsidR="004E0A37" w:rsidRPr="004E0A37">
        <w:rPr>
          <w:spacing w:val="0"/>
          <w:sz w:val="20"/>
          <w:rtl/>
        </w:rPr>
        <w:t xml:space="preserve"> رداً على توصيات اللجنة </w:t>
      </w:r>
      <w:r w:rsidR="004E0A37" w:rsidRPr="004E0A37">
        <w:rPr>
          <w:rFonts w:hint="cs"/>
          <w:spacing w:val="0"/>
          <w:sz w:val="20"/>
          <w:rtl/>
        </w:rPr>
        <w:t>بخصوص ما يلي:</w:t>
      </w:r>
      <w:r w:rsidR="004E0A37" w:rsidRPr="004E0A37">
        <w:rPr>
          <w:spacing w:val="0"/>
          <w:sz w:val="20"/>
          <w:rtl/>
        </w:rPr>
        <w:t xml:space="preserve"> </w:t>
      </w:r>
      <w:r w:rsidR="004E0A37" w:rsidRPr="004E0A37">
        <w:rPr>
          <w:rFonts w:hint="cs"/>
          <w:spacing w:val="0"/>
          <w:sz w:val="20"/>
          <w:rtl/>
        </w:rPr>
        <w:t>(</w:t>
      </w:r>
      <w:r w:rsidR="004E0A37" w:rsidRPr="004E0A37">
        <w:rPr>
          <w:spacing w:val="0"/>
          <w:sz w:val="20"/>
          <w:rtl/>
        </w:rPr>
        <w:t>1</w:t>
      </w:r>
      <w:r w:rsidR="004E0A37" w:rsidRPr="004E0A37">
        <w:rPr>
          <w:rFonts w:hint="cs"/>
          <w:spacing w:val="0"/>
          <w:sz w:val="20"/>
          <w:rtl/>
        </w:rPr>
        <w:t>)</w:t>
      </w:r>
      <w:r w:rsidR="004E0A37" w:rsidRPr="004E0A37">
        <w:rPr>
          <w:spacing w:val="0"/>
          <w:sz w:val="20"/>
          <w:rtl/>
        </w:rPr>
        <w:t xml:space="preserve"> إجراء تحقيقات فورية ونزيهة وفعالة؛ </w:t>
      </w:r>
      <w:r w:rsidR="004E0A37" w:rsidRPr="004E0A37">
        <w:rPr>
          <w:rFonts w:hint="cs"/>
          <w:spacing w:val="0"/>
          <w:sz w:val="20"/>
          <w:rtl/>
        </w:rPr>
        <w:t>(</w:t>
      </w:r>
      <w:r w:rsidR="004E0A37" w:rsidRPr="004E0A37">
        <w:rPr>
          <w:spacing w:val="0"/>
          <w:sz w:val="20"/>
          <w:rtl/>
        </w:rPr>
        <w:t>2</w:t>
      </w:r>
      <w:r w:rsidR="004E0A37" w:rsidRPr="004E0A37">
        <w:rPr>
          <w:rFonts w:hint="cs"/>
          <w:spacing w:val="0"/>
          <w:sz w:val="20"/>
          <w:rtl/>
        </w:rPr>
        <w:t>) </w:t>
      </w:r>
      <w:r w:rsidR="004E0A37" w:rsidRPr="004E0A37">
        <w:rPr>
          <w:spacing w:val="0"/>
          <w:sz w:val="20"/>
          <w:rtl/>
        </w:rPr>
        <w:t xml:space="preserve">ملاحقة المشتبه فيهم ومعاقبة مرتكبي أفعال التعذيب أو سوء المعاملة؛ </w:t>
      </w:r>
      <w:r w:rsidR="004E0A37" w:rsidRPr="004E0A37">
        <w:rPr>
          <w:rFonts w:hint="cs"/>
          <w:spacing w:val="0"/>
          <w:sz w:val="20"/>
          <w:rtl/>
        </w:rPr>
        <w:t>(</w:t>
      </w:r>
      <w:r w:rsidR="004E0A37" w:rsidRPr="004E0A37">
        <w:rPr>
          <w:spacing w:val="0"/>
          <w:sz w:val="20"/>
          <w:rtl/>
        </w:rPr>
        <w:t>3</w:t>
      </w:r>
      <w:r w:rsidR="004E0A37" w:rsidRPr="004E0A37">
        <w:rPr>
          <w:rFonts w:hint="cs"/>
          <w:spacing w:val="0"/>
          <w:sz w:val="20"/>
          <w:rtl/>
        </w:rPr>
        <w:t>)</w:t>
      </w:r>
      <w:r w:rsidR="004E0A37" w:rsidRPr="004E0A37">
        <w:rPr>
          <w:spacing w:val="0"/>
          <w:sz w:val="20"/>
          <w:rtl/>
        </w:rPr>
        <w:t>‘</w:t>
      </w:r>
      <w:r w:rsidR="004E0A37" w:rsidRPr="004E0A37">
        <w:rPr>
          <w:rFonts w:hint="cs"/>
          <w:spacing w:val="0"/>
          <w:sz w:val="20"/>
          <w:rtl/>
        </w:rPr>
        <w:t> </w:t>
      </w:r>
      <w:r w:rsidR="004E0A37" w:rsidRPr="004E0A37">
        <w:rPr>
          <w:spacing w:val="0"/>
          <w:sz w:val="20"/>
          <w:rtl/>
        </w:rPr>
        <w:t xml:space="preserve">جبر الضحايا؛ </w:t>
      </w:r>
      <w:r w:rsidR="004E0A37" w:rsidRPr="004E0A37">
        <w:rPr>
          <w:rFonts w:hint="cs"/>
          <w:spacing w:val="0"/>
          <w:sz w:val="20"/>
          <w:rtl/>
        </w:rPr>
        <w:t>(</w:t>
      </w:r>
      <w:r w:rsidR="004E0A37" w:rsidRPr="004E0A37">
        <w:rPr>
          <w:spacing w:val="0"/>
          <w:sz w:val="20"/>
          <w:rtl/>
        </w:rPr>
        <w:t>4</w:t>
      </w:r>
      <w:r w:rsidR="004E0A37" w:rsidRPr="004E0A37">
        <w:rPr>
          <w:rFonts w:hint="cs"/>
          <w:spacing w:val="0"/>
          <w:sz w:val="20"/>
          <w:rtl/>
        </w:rPr>
        <w:t xml:space="preserve">) وتوفير </w:t>
      </w:r>
      <w:r w:rsidR="004E0A37" w:rsidRPr="004E0A37">
        <w:rPr>
          <w:spacing w:val="0"/>
          <w:sz w:val="20"/>
          <w:rtl/>
        </w:rPr>
        <w:t>ا</w:t>
      </w:r>
      <w:r w:rsidR="004E0A37" w:rsidRPr="004E0A37">
        <w:rPr>
          <w:rFonts w:hint="eastAsia"/>
          <w:spacing w:val="0"/>
          <w:sz w:val="20"/>
          <w:rtl/>
        </w:rPr>
        <w:t>لضمانات</w:t>
      </w:r>
      <w:r w:rsidR="004E0A37" w:rsidRPr="004E0A37">
        <w:rPr>
          <w:spacing w:val="0"/>
          <w:sz w:val="20"/>
          <w:rtl/>
        </w:rPr>
        <w:t xml:space="preserve"> القانون الأساسية للمحتجزين في مخافر الشرطة، على النحو الوارد في الفقرات 10 و12 و14 من </w:t>
      </w:r>
      <w:r w:rsidR="004E0A37" w:rsidRPr="004E0A37">
        <w:rPr>
          <w:rFonts w:hint="cs"/>
          <w:spacing w:val="0"/>
          <w:sz w:val="20"/>
          <w:rtl/>
        </w:rPr>
        <w:t xml:space="preserve">هذه </w:t>
      </w:r>
      <w:r w:rsidR="004E0A37" w:rsidRPr="004E0A37">
        <w:rPr>
          <w:spacing w:val="0"/>
          <w:sz w:val="20"/>
          <w:rtl/>
        </w:rPr>
        <w:t>الملاحظات الختامية. وفضلاً عن ذلك، ت</w:t>
      </w:r>
      <w:r w:rsidR="004E0A37" w:rsidRPr="004E0A37">
        <w:rPr>
          <w:rFonts w:hint="cs"/>
          <w:spacing w:val="0"/>
          <w:sz w:val="20"/>
          <w:rtl/>
        </w:rPr>
        <w:t>طلب</w:t>
      </w:r>
      <w:r w:rsidR="004E0A37" w:rsidRPr="004E0A37">
        <w:rPr>
          <w:spacing w:val="0"/>
          <w:sz w:val="20"/>
          <w:rtl/>
        </w:rPr>
        <w:t xml:space="preserve"> اللجنة من الدولة الطرف تقديم معلومات </w:t>
      </w:r>
      <w:r w:rsidR="004E0A37" w:rsidRPr="004E0A37">
        <w:rPr>
          <w:rFonts w:hint="cs"/>
          <w:spacing w:val="0"/>
          <w:sz w:val="20"/>
          <w:rtl/>
        </w:rPr>
        <w:t>عما اتخذته من إجراءات</w:t>
      </w:r>
      <w:r w:rsidR="004E0A37" w:rsidRPr="004E0A37">
        <w:rPr>
          <w:spacing w:val="0"/>
          <w:sz w:val="20"/>
          <w:rtl/>
        </w:rPr>
        <w:t xml:space="preserve"> بشأن مراكز الاحتجاز السرية والحد من الاكتظاظ في السجون، على النحو الوا</w:t>
      </w:r>
      <w:r w:rsidR="004E0A37" w:rsidRPr="004E0A37">
        <w:rPr>
          <w:rFonts w:hint="eastAsia"/>
          <w:spacing w:val="0"/>
          <w:sz w:val="20"/>
          <w:rtl/>
        </w:rPr>
        <w:t>رد</w:t>
      </w:r>
      <w:r w:rsidR="004E0A37" w:rsidRPr="004E0A37">
        <w:rPr>
          <w:spacing w:val="0"/>
          <w:sz w:val="20"/>
          <w:rtl/>
        </w:rPr>
        <w:t xml:space="preserve"> في </w:t>
      </w:r>
      <w:r w:rsidR="004E0A37" w:rsidRPr="004E0A37">
        <w:rPr>
          <w:rFonts w:hint="cs"/>
          <w:spacing w:val="0"/>
          <w:sz w:val="20"/>
          <w:rtl/>
        </w:rPr>
        <w:t xml:space="preserve">الفقرتين </w:t>
      </w:r>
      <w:r w:rsidR="004E0A37" w:rsidRPr="004E0A37">
        <w:rPr>
          <w:spacing w:val="0"/>
          <w:sz w:val="20"/>
          <w:rtl/>
        </w:rPr>
        <w:t xml:space="preserve">11 و19(أ) و(ب) من </w:t>
      </w:r>
      <w:r w:rsidR="004E0A37" w:rsidRPr="004E0A37">
        <w:rPr>
          <w:rFonts w:hint="cs"/>
          <w:spacing w:val="0"/>
          <w:sz w:val="20"/>
          <w:rtl/>
        </w:rPr>
        <w:t xml:space="preserve">هذه </w:t>
      </w:r>
      <w:r w:rsidR="004E0A37" w:rsidRPr="004E0A37">
        <w:rPr>
          <w:spacing w:val="0"/>
          <w:sz w:val="20"/>
          <w:rtl/>
        </w:rPr>
        <w:t xml:space="preserve">الملاحظات الختامية. </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spacing w:val="0"/>
          <w:sz w:val="20"/>
          <w:rtl/>
        </w:rPr>
        <w:t>30</w:t>
      </w:r>
      <w:r w:rsidR="003E72B5">
        <w:rPr>
          <w:spacing w:val="0"/>
          <w:sz w:val="20"/>
          <w:rtl/>
        </w:rPr>
        <w:t>)</w:t>
      </w:r>
      <w:r w:rsidR="003E72B5">
        <w:rPr>
          <w:spacing w:val="0"/>
          <w:sz w:val="20"/>
          <w:rtl/>
        </w:rPr>
        <w:tab/>
      </w:r>
      <w:r w:rsidR="004E0A37" w:rsidRPr="004E0A37">
        <w:rPr>
          <w:spacing w:val="0"/>
          <w:sz w:val="20"/>
          <w:rtl/>
        </w:rPr>
        <w:t>وتدعو اللجنة الدولة الطرف إلى تقديم تقريرها المقبل، الذي سيكون التقرير الدوري الثاني، بحلول 1 حزيران/يونيه 2016</w:t>
      </w:r>
      <w:r w:rsidR="004E0A37" w:rsidRPr="004E0A37">
        <w:rPr>
          <w:rFonts w:hint="cs"/>
          <w:spacing w:val="0"/>
          <w:sz w:val="20"/>
          <w:rtl/>
        </w:rPr>
        <w:t>.</w:t>
      </w:r>
      <w:r w:rsidR="004E0A37" w:rsidRPr="004E0A37">
        <w:rPr>
          <w:spacing w:val="0"/>
          <w:sz w:val="20"/>
          <w:rtl/>
        </w:rPr>
        <w:t xml:space="preserve"> ولهذا الغرض، تدعو اللجنة الدولة الطرف إلى أن توافق، بحلول 1 حزيران/يونيه 2013، على تقديم تقرير بموجب إجراء اللجنة الاختياري لتقديم التقاري</w:t>
      </w:r>
      <w:r w:rsidR="004E0A37" w:rsidRPr="004E0A37">
        <w:rPr>
          <w:rFonts w:hint="eastAsia"/>
          <w:spacing w:val="0"/>
          <w:sz w:val="20"/>
          <w:rtl/>
        </w:rPr>
        <w:t>ر،</w:t>
      </w:r>
      <w:r w:rsidR="004E0A37" w:rsidRPr="004E0A37">
        <w:rPr>
          <w:spacing w:val="0"/>
          <w:sz w:val="20"/>
          <w:rtl/>
        </w:rPr>
        <w:t xml:space="preserve"> المتمثل في إحالة قائمة المسائل من اللجنة إلى الدولة الطرف قبل تقديم تقريرها الدوري. وسوف يشكل رد الدولة الطرف على قائمة المسائل هذه، بموجب المادة 19 من الاتفاقية، تقريرها الدوري المقبل.</w:t>
      </w:r>
    </w:p>
    <w:p w:rsidR="004E0A37" w:rsidRPr="004E0A37" w:rsidRDefault="004E0A37" w:rsidP="004E0A37">
      <w:pPr>
        <w:pStyle w:val="SingleTxtGA"/>
        <w:jc w:val="lowKashida"/>
        <w:rPr>
          <w:rFonts w:hint="cs"/>
          <w:spacing w:val="0"/>
          <w:sz w:val="20"/>
          <w:rtl/>
        </w:rPr>
      </w:pPr>
      <w:r w:rsidRPr="004E0A37">
        <w:rPr>
          <w:rFonts w:hint="cs"/>
          <w:spacing w:val="0"/>
          <w:sz w:val="20"/>
          <w:rtl/>
        </w:rPr>
        <w:t>67-</w:t>
      </w:r>
      <w:r w:rsidRPr="004E0A37">
        <w:rPr>
          <w:rFonts w:hint="cs"/>
          <w:spacing w:val="0"/>
          <w:sz w:val="20"/>
          <w:rtl/>
        </w:rPr>
        <w:tab/>
      </w:r>
      <w:r w:rsidRPr="00266D23">
        <w:rPr>
          <w:rFonts w:hint="cs"/>
          <w:b/>
          <w:bCs/>
          <w:spacing w:val="0"/>
          <w:sz w:val="20"/>
          <w:rtl/>
        </w:rPr>
        <w:t>الجمهورية العربية السورية</w:t>
      </w:r>
    </w:p>
    <w:p w:rsidR="004E0A37" w:rsidRPr="004E0A37" w:rsidRDefault="004E0A37" w:rsidP="004E0A37">
      <w:pPr>
        <w:pStyle w:val="SingleTxtGA"/>
        <w:jc w:val="lowKashida"/>
        <w:rPr>
          <w:rFonts w:hint="cs"/>
          <w:spacing w:val="0"/>
          <w:sz w:val="20"/>
          <w:rtl/>
        </w:rPr>
      </w:pPr>
      <w:r w:rsidRPr="004E0A37">
        <w:rPr>
          <w:rFonts w:hint="cs"/>
          <w:spacing w:val="0"/>
          <w:sz w:val="20"/>
          <w:rtl/>
        </w:rPr>
        <w:t>(1</w:t>
      </w:r>
      <w:r w:rsidR="003E72B5">
        <w:rPr>
          <w:rFonts w:hint="cs"/>
          <w:spacing w:val="0"/>
          <w:sz w:val="20"/>
          <w:rtl/>
        </w:rPr>
        <w:t>)</w:t>
      </w:r>
      <w:r w:rsidR="003E72B5">
        <w:rPr>
          <w:rFonts w:hint="cs"/>
          <w:spacing w:val="0"/>
          <w:sz w:val="20"/>
          <w:rtl/>
        </w:rPr>
        <w:tab/>
      </w:r>
      <w:r w:rsidRPr="004E0A37">
        <w:rPr>
          <w:rFonts w:hint="cs"/>
          <w:spacing w:val="0"/>
          <w:sz w:val="20"/>
          <w:rtl/>
        </w:rPr>
        <w:t>بحثت لجنة مناهضة التعذيب مدى تنفيذ الاتفاقية في الجمهورية العربية السورية، في ظل عدم تقديم التقرير الخاص الذي طلبته منها اللجنة في جلستها 1072 المعقودة في 16 أيار/مايو 2012 (</w:t>
      </w:r>
      <w:r w:rsidRPr="004E0A37">
        <w:rPr>
          <w:spacing w:val="0"/>
          <w:sz w:val="20"/>
        </w:rPr>
        <w:t>CAT/C/SR.1072</w:t>
      </w:r>
      <w:r w:rsidRPr="004E0A37">
        <w:rPr>
          <w:rFonts w:hint="cs"/>
          <w:spacing w:val="0"/>
          <w:sz w:val="20"/>
          <w:rtl/>
        </w:rPr>
        <w:t>)، واعتمدت في جلستها 1089 (</w:t>
      </w:r>
      <w:r w:rsidRPr="004E0A37">
        <w:rPr>
          <w:spacing w:val="0"/>
          <w:sz w:val="20"/>
        </w:rPr>
        <w:t>CAT/C/SR.1089</w:t>
      </w:r>
      <w:r w:rsidRPr="004E0A37">
        <w:rPr>
          <w:rFonts w:hint="cs"/>
          <w:spacing w:val="0"/>
          <w:sz w:val="20"/>
          <w:rtl/>
        </w:rPr>
        <w:t>)، المعقودة في 30 أيار/مايو 2012، الملاحظات الختامية التالية.</w:t>
      </w:r>
    </w:p>
    <w:p w:rsidR="004E0A37" w:rsidRPr="00266D23" w:rsidRDefault="007223C0" w:rsidP="00B65A46">
      <w:pPr>
        <w:pStyle w:val="H23GA"/>
        <w:tabs>
          <w:tab w:val="left" w:pos="1938"/>
        </w:tabs>
        <w:rPr>
          <w:rFonts w:hint="cs"/>
          <w:spacing w:val="0"/>
          <w:rtl/>
        </w:rPr>
      </w:pPr>
      <w:r>
        <w:rPr>
          <w:rFonts w:hint="cs"/>
          <w:spacing w:val="0"/>
          <w:rtl/>
        </w:rPr>
        <w:tab/>
      </w:r>
      <w:r>
        <w:rPr>
          <w:rFonts w:hint="cs"/>
          <w:spacing w:val="0"/>
          <w:rtl/>
        </w:rPr>
        <w:tab/>
        <w:t>ألف-</w:t>
      </w:r>
      <w:r w:rsidR="004E0A37" w:rsidRPr="00266D23">
        <w:rPr>
          <w:rFonts w:hint="cs"/>
          <w:spacing w:val="0"/>
          <w:rtl/>
        </w:rPr>
        <w:tab/>
        <w:t>مقدمة</w:t>
      </w:r>
    </w:p>
    <w:p w:rsidR="004E0A37" w:rsidRPr="00266D23" w:rsidRDefault="004E0A37" w:rsidP="00266D23">
      <w:pPr>
        <w:pStyle w:val="H23GA"/>
        <w:rPr>
          <w:rFonts w:hint="cs"/>
          <w:spacing w:val="0"/>
          <w:rtl/>
        </w:rPr>
      </w:pPr>
      <w:r w:rsidRPr="00266D23">
        <w:rPr>
          <w:rFonts w:hint="cs"/>
          <w:spacing w:val="0"/>
          <w:rtl/>
        </w:rPr>
        <w:tab/>
      </w:r>
      <w:r w:rsidRPr="00266D23">
        <w:rPr>
          <w:rFonts w:hint="cs"/>
          <w:spacing w:val="0"/>
          <w:rtl/>
        </w:rPr>
        <w:tab/>
        <w:t>طلب اللجنة</w:t>
      </w:r>
    </w:p>
    <w:p w:rsidR="004E0A37" w:rsidRPr="004E0A37" w:rsidRDefault="004E0A37" w:rsidP="00A4030E">
      <w:pPr>
        <w:pStyle w:val="SingleTxtGA"/>
        <w:jc w:val="lowKashida"/>
        <w:rPr>
          <w:rFonts w:hint="cs"/>
          <w:spacing w:val="0"/>
          <w:sz w:val="20"/>
          <w:rtl/>
        </w:rPr>
      </w:pPr>
      <w:r w:rsidRPr="004E0A37">
        <w:rPr>
          <w:rFonts w:hint="cs"/>
          <w:spacing w:val="0"/>
          <w:sz w:val="20"/>
          <w:rtl/>
        </w:rPr>
        <w:t>(2</w:t>
      </w:r>
      <w:r w:rsidR="003E72B5">
        <w:rPr>
          <w:rFonts w:hint="cs"/>
          <w:spacing w:val="0"/>
          <w:sz w:val="20"/>
          <w:rtl/>
        </w:rPr>
        <w:t>)</w:t>
      </w:r>
      <w:r w:rsidR="003E72B5">
        <w:rPr>
          <w:rFonts w:hint="cs"/>
          <w:spacing w:val="0"/>
          <w:sz w:val="20"/>
          <w:rtl/>
        </w:rPr>
        <w:tab/>
      </w:r>
      <w:r w:rsidRPr="004E0A37">
        <w:rPr>
          <w:rFonts w:hint="cs"/>
          <w:spacing w:val="0"/>
          <w:sz w:val="20"/>
          <w:rtl/>
        </w:rPr>
        <w:t>دعت اللجنة الجمهورية العربية السورية، في رسالة مؤرخة 23 تشرين الثاني/</w:t>
      </w:r>
      <w:r w:rsidR="00266D23">
        <w:rPr>
          <w:rFonts w:hint="cs"/>
          <w:spacing w:val="0"/>
          <w:sz w:val="20"/>
          <w:rtl/>
        </w:rPr>
        <w:t xml:space="preserve"> </w:t>
      </w:r>
      <w:r w:rsidRPr="004E0A37">
        <w:rPr>
          <w:rFonts w:hint="cs"/>
          <w:spacing w:val="0"/>
          <w:sz w:val="20"/>
          <w:rtl/>
        </w:rPr>
        <w:t>نوفمبر</w:t>
      </w:r>
      <w:r w:rsidR="00A4030E">
        <w:rPr>
          <w:rFonts w:hint="eastAsia"/>
          <w:spacing w:val="0"/>
          <w:sz w:val="20"/>
          <w:rtl/>
        </w:rPr>
        <w:t> </w:t>
      </w:r>
      <w:r w:rsidRPr="004E0A37">
        <w:rPr>
          <w:rFonts w:hint="cs"/>
          <w:spacing w:val="0"/>
          <w:sz w:val="20"/>
          <w:rtl/>
        </w:rPr>
        <w:t>2011 وجهتها إلى البعثة الدائمة للجمهورية العربية السورية إلى تقديم تقرير خاص عن التدابير المتخذة لضمان التنفيذ التام لجميع التزامات الجمهورية العربية السورية بموجب الاتفاقية وأعربت عن قلقها الشديد لورود تقارير عديدة متسقة وموثقة من مصادر جديرة بالثقة بشأن انتهاكات لأحكام الاتفاقية ارتكبتها السلطات السورية على نطاق واسع بما فيها ما يلي:</w:t>
      </w:r>
    </w:p>
    <w:p w:rsidR="004E0A37" w:rsidRPr="004E0A37" w:rsidRDefault="004E0A37" w:rsidP="004E0A37">
      <w:pPr>
        <w:pStyle w:val="SingleTxtGA"/>
        <w:jc w:val="lowKashida"/>
        <w:rPr>
          <w:rFonts w:hint="cs"/>
          <w:spacing w:val="0"/>
          <w:sz w:val="20"/>
          <w:rtl/>
        </w:rPr>
      </w:pPr>
      <w:r w:rsidRPr="004E0A37">
        <w:rPr>
          <w:rFonts w:hint="cs"/>
          <w:spacing w:val="0"/>
          <w:sz w:val="20"/>
          <w:rtl/>
        </w:rPr>
        <w:tab/>
        <w:t>(أ)</w:t>
      </w:r>
      <w:r w:rsidRPr="004E0A37">
        <w:rPr>
          <w:rFonts w:hint="cs"/>
          <w:spacing w:val="0"/>
          <w:sz w:val="20"/>
          <w:rtl/>
        </w:rPr>
        <w:tab/>
        <w:t>تعذيب المحتجزين بمن فيهم الأطفال الذين تعرضوا للتعذيب والتشويه أثناء الاحتجاز وسوء معاملتهم؛</w:t>
      </w:r>
    </w:p>
    <w:p w:rsidR="004E0A37" w:rsidRPr="004E0A37" w:rsidRDefault="004E0A37" w:rsidP="004E0A37">
      <w:pPr>
        <w:pStyle w:val="SingleTxtGA"/>
        <w:jc w:val="lowKashida"/>
        <w:rPr>
          <w:rFonts w:hint="cs"/>
          <w:spacing w:val="0"/>
          <w:sz w:val="20"/>
          <w:rtl/>
        </w:rPr>
      </w:pPr>
      <w:r w:rsidRPr="004E0A37">
        <w:rPr>
          <w:rFonts w:hint="cs"/>
          <w:spacing w:val="0"/>
          <w:sz w:val="20"/>
          <w:rtl/>
        </w:rPr>
        <w:tab/>
        <w:t>(ب)</w:t>
      </w:r>
      <w:r w:rsidRPr="004E0A37">
        <w:rPr>
          <w:rFonts w:hint="cs"/>
          <w:spacing w:val="0"/>
          <w:sz w:val="20"/>
          <w:rtl/>
        </w:rPr>
        <w:tab/>
        <w:t>شن هجمات واسعة النطاق أو منهجية على السكان المدنيين بما في ذلك قتل المتظاهرين المسالمين والاستخدام المفرط للقوة ضدهم؛</w:t>
      </w:r>
    </w:p>
    <w:p w:rsidR="004E0A37" w:rsidRPr="004E0A37" w:rsidRDefault="004E0A37" w:rsidP="004E0A37">
      <w:pPr>
        <w:pStyle w:val="SingleTxtGA"/>
        <w:jc w:val="lowKashida"/>
        <w:rPr>
          <w:rFonts w:hint="cs"/>
          <w:spacing w:val="0"/>
          <w:sz w:val="20"/>
          <w:rtl/>
        </w:rPr>
      </w:pPr>
      <w:r w:rsidRPr="004E0A37">
        <w:rPr>
          <w:rFonts w:hint="cs"/>
          <w:spacing w:val="0"/>
          <w:sz w:val="20"/>
          <w:rtl/>
        </w:rPr>
        <w:tab/>
        <w:t>(ج)</w:t>
      </w:r>
      <w:r w:rsidRPr="004E0A37">
        <w:rPr>
          <w:rFonts w:hint="cs"/>
          <w:spacing w:val="0"/>
          <w:sz w:val="20"/>
          <w:rtl/>
        </w:rPr>
        <w:tab/>
        <w:t>الإعدام خارج القضاء أو بإجراءات موجزة أو تعسفاً؛</w:t>
      </w:r>
    </w:p>
    <w:p w:rsidR="004E0A37" w:rsidRPr="004E0A37" w:rsidRDefault="004E0A37" w:rsidP="004E0A37">
      <w:pPr>
        <w:pStyle w:val="SingleTxtGA"/>
        <w:jc w:val="lowKashida"/>
        <w:rPr>
          <w:rFonts w:hint="cs"/>
          <w:spacing w:val="0"/>
          <w:sz w:val="20"/>
          <w:rtl/>
        </w:rPr>
      </w:pPr>
      <w:r w:rsidRPr="004E0A37">
        <w:rPr>
          <w:rFonts w:hint="cs"/>
          <w:spacing w:val="0"/>
          <w:sz w:val="20"/>
          <w:rtl/>
        </w:rPr>
        <w:tab/>
        <w:t>(د)</w:t>
      </w:r>
      <w:r w:rsidRPr="004E0A37">
        <w:rPr>
          <w:rFonts w:hint="cs"/>
          <w:spacing w:val="0"/>
          <w:sz w:val="20"/>
          <w:rtl/>
        </w:rPr>
        <w:tab/>
        <w:t>الاحتجاز التعسفي على أيدي قوات الشرطة والجيش؛</w:t>
      </w:r>
    </w:p>
    <w:p w:rsidR="004E0A37" w:rsidRPr="004E0A37" w:rsidRDefault="004E0A37" w:rsidP="004E0A37">
      <w:pPr>
        <w:pStyle w:val="SingleTxtGA"/>
        <w:jc w:val="lowKashida"/>
        <w:rPr>
          <w:rFonts w:hint="cs"/>
          <w:spacing w:val="0"/>
          <w:sz w:val="20"/>
          <w:rtl/>
        </w:rPr>
      </w:pPr>
      <w:r w:rsidRPr="004E0A37">
        <w:rPr>
          <w:rFonts w:hint="cs"/>
          <w:spacing w:val="0"/>
          <w:sz w:val="20"/>
          <w:rtl/>
        </w:rPr>
        <w:tab/>
        <w:t>(ﻫ)</w:t>
      </w:r>
      <w:r w:rsidRPr="004E0A37">
        <w:rPr>
          <w:rFonts w:hint="cs"/>
          <w:spacing w:val="0"/>
          <w:sz w:val="20"/>
          <w:rtl/>
        </w:rPr>
        <w:tab/>
        <w:t>الاختفاء القسري أو غير الطوعي؛</w:t>
      </w:r>
    </w:p>
    <w:p w:rsidR="004E0A37" w:rsidRPr="004E0A37" w:rsidRDefault="004E0A37" w:rsidP="004E0A37">
      <w:pPr>
        <w:pStyle w:val="SingleTxtGA"/>
        <w:jc w:val="lowKashida"/>
        <w:rPr>
          <w:rFonts w:hint="cs"/>
          <w:spacing w:val="0"/>
          <w:sz w:val="20"/>
          <w:rtl/>
        </w:rPr>
      </w:pPr>
      <w:r w:rsidRPr="004E0A37">
        <w:rPr>
          <w:rFonts w:hint="cs"/>
          <w:spacing w:val="0"/>
          <w:sz w:val="20"/>
          <w:rtl/>
        </w:rPr>
        <w:tab/>
        <w:t>(و)</w:t>
      </w:r>
      <w:r w:rsidRPr="004E0A37">
        <w:rPr>
          <w:rFonts w:hint="cs"/>
          <w:spacing w:val="0"/>
          <w:sz w:val="20"/>
          <w:rtl/>
        </w:rPr>
        <w:tab/>
        <w:t>اضطهاد المدافعين عن حقوق الإنسان والناشطين في مجال حقوق الإنسان.</w:t>
      </w:r>
    </w:p>
    <w:p w:rsidR="004E0A37" w:rsidRPr="004E0A37" w:rsidRDefault="004E0A37" w:rsidP="004E0A37">
      <w:pPr>
        <w:pStyle w:val="SingleTxtGA"/>
        <w:jc w:val="lowKashida"/>
        <w:rPr>
          <w:rFonts w:hint="cs"/>
          <w:spacing w:val="0"/>
          <w:sz w:val="20"/>
          <w:rtl/>
        </w:rPr>
      </w:pPr>
      <w:r w:rsidRPr="004E0A37">
        <w:rPr>
          <w:rFonts w:hint="cs"/>
          <w:spacing w:val="0"/>
          <w:sz w:val="20"/>
          <w:rtl/>
        </w:rPr>
        <w:t>(3</w:t>
      </w:r>
      <w:r w:rsidR="003E72B5">
        <w:rPr>
          <w:rFonts w:hint="cs"/>
          <w:spacing w:val="0"/>
          <w:sz w:val="20"/>
          <w:rtl/>
        </w:rPr>
        <w:t>)</w:t>
      </w:r>
      <w:r w:rsidR="003E72B5">
        <w:rPr>
          <w:rFonts w:hint="cs"/>
          <w:spacing w:val="0"/>
          <w:sz w:val="20"/>
          <w:rtl/>
        </w:rPr>
        <w:tab/>
      </w:r>
      <w:r w:rsidRPr="004E0A37">
        <w:rPr>
          <w:rFonts w:hint="cs"/>
          <w:spacing w:val="0"/>
          <w:sz w:val="20"/>
          <w:rtl/>
        </w:rPr>
        <w:t>ولاحظت اللجنة أن انتهاكات حقوق الإنسان تلك الواسعة النطاق تحدث في سياق الإفلات التام والمطلق من العقاب نظراً إلى عدم إجراء تحقيقات فورية وشاملة ونزيهة في تلك الحالات من جانب السلطات السورية. ولاحظت أيضاً أنه يُدعى أن تلك الانتهاكات المنتشرة ترتكب بأمر مباشر من السلطات العامة أو بتحريض منها أو بموافقتها أو برضاها.</w:t>
      </w:r>
    </w:p>
    <w:p w:rsidR="004E0A37" w:rsidRPr="004E0A37" w:rsidRDefault="004E0A37" w:rsidP="004E0A37">
      <w:pPr>
        <w:pStyle w:val="SingleTxtGA"/>
        <w:jc w:val="lowKashida"/>
        <w:rPr>
          <w:rFonts w:hint="cs"/>
          <w:spacing w:val="0"/>
          <w:sz w:val="20"/>
          <w:rtl/>
        </w:rPr>
      </w:pPr>
      <w:r w:rsidRPr="004E0A37">
        <w:rPr>
          <w:rFonts w:hint="cs"/>
          <w:spacing w:val="0"/>
          <w:sz w:val="20"/>
          <w:rtl/>
        </w:rPr>
        <w:t>(4</w:t>
      </w:r>
      <w:r w:rsidR="003E72B5">
        <w:rPr>
          <w:rFonts w:hint="cs"/>
          <w:spacing w:val="0"/>
          <w:sz w:val="20"/>
          <w:rtl/>
        </w:rPr>
        <w:t>)</w:t>
      </w:r>
      <w:r w:rsidR="003E72B5">
        <w:rPr>
          <w:rFonts w:hint="cs"/>
          <w:spacing w:val="0"/>
          <w:sz w:val="20"/>
          <w:rtl/>
        </w:rPr>
        <w:tab/>
      </w:r>
      <w:r w:rsidRPr="004E0A37">
        <w:rPr>
          <w:rFonts w:hint="cs"/>
          <w:spacing w:val="0"/>
          <w:sz w:val="20"/>
          <w:rtl/>
        </w:rPr>
        <w:t>ورأت اللجنة أن التعليقات وردود المتابعة على الملاحظات الختامية للجنة (</w:t>
      </w:r>
      <w:r w:rsidRPr="004E0A37">
        <w:rPr>
          <w:spacing w:val="0"/>
          <w:sz w:val="20"/>
        </w:rPr>
        <w:t>CAT/C/SYR/CO/1/Add.1</w:t>
      </w:r>
      <w:r w:rsidRPr="004E0A37">
        <w:rPr>
          <w:rFonts w:hint="cs"/>
          <w:spacing w:val="0"/>
          <w:sz w:val="20"/>
          <w:rtl/>
        </w:rPr>
        <w:t>)</w:t>
      </w:r>
      <w:r w:rsidR="00335AC0">
        <w:rPr>
          <w:rFonts w:hint="cs"/>
          <w:spacing w:val="0"/>
          <w:sz w:val="20"/>
          <w:rtl/>
        </w:rPr>
        <w:t xml:space="preserve"> لم </w:t>
      </w:r>
      <w:r w:rsidRPr="004E0A37">
        <w:rPr>
          <w:rFonts w:hint="cs"/>
          <w:spacing w:val="0"/>
          <w:sz w:val="20"/>
          <w:rtl/>
        </w:rPr>
        <w:t>توفر معلومات كافية لإزالة دواعي قلق اللجنة إزاء الانتهاكات الواسعة النطاق لأحكام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(5</w:t>
      </w:r>
      <w:r w:rsidR="003E72B5">
        <w:rPr>
          <w:rFonts w:hint="cs"/>
          <w:spacing w:val="0"/>
          <w:sz w:val="20"/>
          <w:rtl/>
        </w:rPr>
        <w:t>)</w:t>
      </w:r>
      <w:r w:rsidR="003E72B5">
        <w:rPr>
          <w:rFonts w:hint="cs"/>
          <w:spacing w:val="0"/>
          <w:sz w:val="20"/>
          <w:rtl/>
        </w:rPr>
        <w:tab/>
      </w:r>
      <w:r w:rsidRPr="004E0A37">
        <w:rPr>
          <w:rFonts w:hint="cs"/>
          <w:spacing w:val="0"/>
          <w:sz w:val="20"/>
          <w:rtl/>
        </w:rPr>
        <w:t>وقد طُلب تقديم التقرير الخاص عملاً بنهاية الفقرة 1 من المادة 19 من الاتفاقية التي تنص على أن تقدم الدول الأطراف "غير ذلك من التقارير التي قد تطلبها اللجنة".</w:t>
      </w:r>
    </w:p>
    <w:p w:rsidR="004E0A37" w:rsidRPr="004E0A37" w:rsidRDefault="004E0A37" w:rsidP="004E0A37">
      <w:pPr>
        <w:pStyle w:val="SingleTxtGA"/>
        <w:jc w:val="lowKashida"/>
        <w:rPr>
          <w:rFonts w:hint="cs"/>
          <w:spacing w:val="0"/>
          <w:sz w:val="20"/>
          <w:rtl/>
        </w:rPr>
      </w:pPr>
      <w:r w:rsidRPr="004E0A37">
        <w:rPr>
          <w:rFonts w:hint="cs"/>
          <w:spacing w:val="0"/>
          <w:sz w:val="20"/>
          <w:rtl/>
        </w:rPr>
        <w:t>(6</w:t>
      </w:r>
      <w:r w:rsidR="003E72B5">
        <w:rPr>
          <w:rFonts w:hint="cs"/>
          <w:spacing w:val="0"/>
          <w:sz w:val="20"/>
          <w:rtl/>
        </w:rPr>
        <w:t>)</w:t>
      </w:r>
      <w:r w:rsidR="003E72B5">
        <w:rPr>
          <w:rFonts w:hint="cs"/>
          <w:spacing w:val="0"/>
          <w:sz w:val="20"/>
          <w:rtl/>
        </w:rPr>
        <w:tab/>
      </w:r>
      <w:r w:rsidRPr="004E0A37">
        <w:rPr>
          <w:rFonts w:hint="cs"/>
          <w:spacing w:val="0"/>
          <w:sz w:val="20"/>
          <w:rtl/>
        </w:rPr>
        <w:t>وكررت اللجنة طلبها إلى الجمهورية العربية السورية في رسالة مؤرخة 12 آذار/مارس 2012 تدعو فيها الدولة الطرف إلى تحديد الممثلين الذين سيحضرون جلستي</w:t>
      </w:r>
      <w:r w:rsidRPr="004E0A37">
        <w:rPr>
          <w:rFonts w:hint="eastAsia"/>
          <w:spacing w:val="0"/>
          <w:sz w:val="20"/>
          <w:rtl/>
        </w:rPr>
        <w:t> </w:t>
      </w:r>
      <w:r w:rsidRPr="004E0A37">
        <w:rPr>
          <w:rFonts w:hint="cs"/>
          <w:spacing w:val="0"/>
          <w:sz w:val="20"/>
          <w:rtl/>
        </w:rPr>
        <w:t>16 و18 أيار/مايو 2012، لإجراء استعراض لمدى الامتثال وحوار تفاعلي مع</w:t>
      </w:r>
      <w:r w:rsidRPr="004E0A37">
        <w:rPr>
          <w:rFonts w:hint="eastAsia"/>
          <w:spacing w:val="0"/>
          <w:sz w:val="20"/>
          <w:rtl/>
        </w:rPr>
        <w:t> </w:t>
      </w:r>
      <w:r w:rsidRPr="004E0A37">
        <w:rPr>
          <w:rFonts w:hint="cs"/>
          <w:spacing w:val="0"/>
          <w:sz w:val="20"/>
          <w:rtl/>
        </w:rPr>
        <w:t>اللجنة.</w:t>
      </w:r>
    </w:p>
    <w:p w:rsidR="004E0A37" w:rsidRPr="00266D23" w:rsidRDefault="004E0A37" w:rsidP="00266D23">
      <w:pPr>
        <w:pStyle w:val="H23GA"/>
        <w:rPr>
          <w:rFonts w:hint="cs"/>
          <w:spacing w:val="0"/>
          <w:rtl/>
        </w:rPr>
      </w:pPr>
      <w:r w:rsidRPr="00266D23">
        <w:rPr>
          <w:rFonts w:hint="cs"/>
          <w:spacing w:val="0"/>
          <w:rtl/>
        </w:rPr>
        <w:tab/>
      </w:r>
      <w:r w:rsidRPr="00266D23">
        <w:rPr>
          <w:rFonts w:hint="cs"/>
          <w:spacing w:val="0"/>
          <w:rtl/>
        </w:rPr>
        <w:tab/>
        <w:t>ردود الجمهورية العربية السورية</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7</w:t>
      </w:r>
      <w:r w:rsidR="003E72B5">
        <w:rPr>
          <w:rFonts w:hint="cs"/>
          <w:spacing w:val="0"/>
          <w:sz w:val="20"/>
          <w:rtl/>
        </w:rPr>
        <w:t>)</w:t>
      </w:r>
      <w:r w:rsidR="003E72B5">
        <w:rPr>
          <w:rFonts w:hint="cs"/>
          <w:spacing w:val="0"/>
          <w:sz w:val="20"/>
          <w:rtl/>
        </w:rPr>
        <w:tab/>
      </w:r>
      <w:r w:rsidR="004E0A37" w:rsidRPr="004E0A37">
        <w:rPr>
          <w:rFonts w:hint="cs"/>
          <w:spacing w:val="0"/>
          <w:sz w:val="20"/>
          <w:rtl/>
        </w:rPr>
        <w:t>ذكرت البعثة الدائمة للجمهورية العربية السورية، في مذكرة شفوية مؤرخة 20 شباط/فبراير 2012، أن حكومتها ستطلع اللجنة على التدابير التي اتخذتها لتنفيذ تعهداتها بموجب الاتفاقية في تقريرها الدوري القادم المقرر تقديمه في عام 2014، وأن الجمهورية العربية السورية ترى أن المادة 19 من الاتفاقية لا تنص على إمكانية طلب اللجنة تقديم تقرير</w:t>
      </w:r>
      <w:r w:rsidR="004E0A37" w:rsidRPr="004E0A37">
        <w:rPr>
          <w:rFonts w:hint="eastAsia"/>
          <w:spacing w:val="0"/>
          <w:sz w:val="20"/>
          <w:rtl/>
        </w:rPr>
        <w:t> </w:t>
      </w:r>
      <w:r w:rsidR="004E0A37" w:rsidRPr="004E0A37">
        <w:rPr>
          <w:rFonts w:hint="cs"/>
          <w:spacing w:val="0"/>
          <w:sz w:val="20"/>
          <w:rtl/>
        </w:rPr>
        <w:t>خاص.</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8</w:t>
      </w:r>
      <w:r w:rsidR="003E72B5">
        <w:rPr>
          <w:rFonts w:hint="cs"/>
          <w:spacing w:val="0"/>
          <w:sz w:val="20"/>
          <w:rtl/>
        </w:rPr>
        <w:t>)</w:t>
      </w:r>
      <w:r w:rsidR="003E72B5">
        <w:rPr>
          <w:rFonts w:hint="cs"/>
          <w:spacing w:val="0"/>
          <w:sz w:val="20"/>
          <w:rtl/>
        </w:rPr>
        <w:tab/>
      </w:r>
      <w:r w:rsidR="004E0A37" w:rsidRPr="004E0A37">
        <w:rPr>
          <w:rFonts w:hint="cs"/>
          <w:spacing w:val="0"/>
          <w:sz w:val="20"/>
          <w:rtl/>
        </w:rPr>
        <w:t>وأشارت البعثة الدائمة للجمهورية العربية السورية في مذكرة شفوية مؤرخة 21 آذار/مارس 2012 إلى مجموعة أسباب من ضمنها أن المادة 19 من الاتفاقية تخول اللجنة الحق في طلب تقرير تكميلي في حال اتخاذ أي تدابير جديدة فقط وهذا أمر</w:t>
      </w:r>
      <w:r w:rsidR="00335AC0">
        <w:rPr>
          <w:rFonts w:hint="cs"/>
          <w:spacing w:val="0"/>
          <w:sz w:val="20"/>
          <w:rtl/>
        </w:rPr>
        <w:t xml:space="preserve"> لم </w:t>
      </w:r>
      <w:r w:rsidR="004E0A37" w:rsidRPr="004E0A37">
        <w:rPr>
          <w:rFonts w:hint="cs"/>
          <w:spacing w:val="0"/>
          <w:sz w:val="20"/>
          <w:rtl/>
        </w:rPr>
        <w:t xml:space="preserve">تشر اللجنة إليه. وطلبت الجمهورية العربية السورية من اللجنة أن تسحب طلبها الداعي إلى تقديم تقرير خاص وتلغي الجلستين اللتين من المقرر بحث ذلك التقرير فيها. </w:t>
      </w:r>
    </w:p>
    <w:p w:rsidR="004E0A37" w:rsidRPr="00266D23" w:rsidRDefault="00AC7D2B" w:rsidP="00266D23">
      <w:pPr>
        <w:pStyle w:val="SingleTxtGA"/>
        <w:jc w:val="lowKashida"/>
        <w:rPr>
          <w:rFonts w:hint="cs"/>
          <w:spacing w:val="-4"/>
          <w:sz w:val="20"/>
          <w:rtl/>
        </w:rPr>
      </w:pPr>
      <w:r w:rsidRPr="00266D23">
        <w:rPr>
          <w:rFonts w:hint="cs"/>
          <w:spacing w:val="-4"/>
          <w:sz w:val="20"/>
          <w:rtl/>
        </w:rPr>
        <w:t>(</w:t>
      </w:r>
      <w:r w:rsidR="004E0A37" w:rsidRPr="00266D23">
        <w:rPr>
          <w:rFonts w:hint="cs"/>
          <w:spacing w:val="-4"/>
          <w:sz w:val="20"/>
          <w:rtl/>
        </w:rPr>
        <w:t>9</w:t>
      </w:r>
      <w:r w:rsidR="003E72B5" w:rsidRPr="00266D23">
        <w:rPr>
          <w:rFonts w:hint="cs"/>
          <w:spacing w:val="-4"/>
          <w:sz w:val="20"/>
          <w:rtl/>
        </w:rPr>
        <w:t>)</w:t>
      </w:r>
      <w:r w:rsidR="003E72B5" w:rsidRPr="00266D23">
        <w:rPr>
          <w:rFonts w:hint="cs"/>
          <w:spacing w:val="-4"/>
          <w:sz w:val="20"/>
          <w:rtl/>
        </w:rPr>
        <w:tab/>
      </w:r>
      <w:r w:rsidR="004E0A37" w:rsidRPr="00266D23">
        <w:rPr>
          <w:rFonts w:hint="cs"/>
          <w:spacing w:val="-4"/>
          <w:sz w:val="20"/>
          <w:rtl/>
        </w:rPr>
        <w:t>وأخطرت البعثة الدائمة للجمهورية العربية السورية في مذكرة شفوية مؤرخة 2 نيسان/أبريل 2012 الأمين العام ومجلس الأمن واللجنة بالخسائر البشرية والمادية التي وقعت في</w:t>
      </w:r>
      <w:r w:rsidR="00266D23">
        <w:rPr>
          <w:rFonts w:hint="eastAsia"/>
          <w:spacing w:val="-4"/>
          <w:sz w:val="20"/>
          <w:rtl/>
        </w:rPr>
        <w:t> </w:t>
      </w:r>
      <w:r w:rsidR="004E0A37" w:rsidRPr="00266D23">
        <w:rPr>
          <w:rFonts w:hint="cs"/>
          <w:spacing w:val="-4"/>
          <w:sz w:val="20"/>
          <w:rtl/>
        </w:rPr>
        <w:t>الجمهورية العربية السورية منذ بداية الأحداث في الدولة الطرف حتى 15 آذار/مارس 2012 والناتجة عن "أعمال المجموعات الإرهابية المسلحة".</w:t>
      </w:r>
    </w:p>
    <w:p w:rsidR="004E0A37" w:rsidRPr="00266D23" w:rsidRDefault="00AC7D2B" w:rsidP="00A4030E">
      <w:pPr>
        <w:pStyle w:val="SingleTxtGA"/>
        <w:jc w:val="lowKashida"/>
        <w:rPr>
          <w:rFonts w:hint="cs"/>
          <w:spacing w:val="-4"/>
          <w:sz w:val="20"/>
          <w:rtl/>
        </w:rPr>
      </w:pPr>
      <w:r w:rsidRPr="00266D23">
        <w:rPr>
          <w:rFonts w:hint="cs"/>
          <w:spacing w:val="-4"/>
          <w:sz w:val="20"/>
          <w:rtl/>
        </w:rPr>
        <w:t>(</w:t>
      </w:r>
      <w:r w:rsidR="004E0A37" w:rsidRPr="00266D23">
        <w:rPr>
          <w:rFonts w:hint="cs"/>
          <w:spacing w:val="-4"/>
          <w:sz w:val="20"/>
          <w:rtl/>
        </w:rPr>
        <w:t>10</w:t>
      </w:r>
      <w:r w:rsidR="003E72B5" w:rsidRPr="00266D23">
        <w:rPr>
          <w:rFonts w:hint="cs"/>
          <w:spacing w:val="-4"/>
          <w:sz w:val="20"/>
          <w:rtl/>
        </w:rPr>
        <w:t>)</w:t>
      </w:r>
      <w:r w:rsidR="003E72B5" w:rsidRPr="00266D23">
        <w:rPr>
          <w:rFonts w:hint="cs"/>
          <w:spacing w:val="-4"/>
          <w:sz w:val="20"/>
          <w:rtl/>
        </w:rPr>
        <w:tab/>
      </w:r>
      <w:r w:rsidR="004E0A37" w:rsidRPr="00266D23">
        <w:rPr>
          <w:rFonts w:hint="cs"/>
          <w:spacing w:val="-4"/>
          <w:sz w:val="20"/>
          <w:rtl/>
        </w:rPr>
        <w:t>وقدمت البعثة الدائمة للجمهورية العربية السورية في مذكرة شفوية مؤرخة 24 أيار/</w:t>
      </w:r>
      <w:r w:rsidR="00266D23">
        <w:rPr>
          <w:rFonts w:hint="cs"/>
          <w:spacing w:val="-4"/>
          <w:sz w:val="20"/>
          <w:rtl/>
        </w:rPr>
        <w:t xml:space="preserve"> </w:t>
      </w:r>
      <w:r w:rsidR="004E0A37" w:rsidRPr="00266D23">
        <w:rPr>
          <w:rFonts w:hint="cs"/>
          <w:spacing w:val="-4"/>
          <w:sz w:val="20"/>
          <w:rtl/>
        </w:rPr>
        <w:t>مايو 2012 رداً رسمياً بالإشارة إلى الجلسة العامة التي عقدتها اللجنة في 16 أيار/مايو 2012.</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11</w:t>
      </w:r>
      <w:r w:rsidR="003E72B5">
        <w:rPr>
          <w:rFonts w:hint="cs"/>
          <w:spacing w:val="0"/>
          <w:sz w:val="20"/>
          <w:rtl/>
        </w:rPr>
        <w:t>)</w:t>
      </w:r>
      <w:r w:rsidR="003E72B5">
        <w:rPr>
          <w:rFonts w:hint="cs"/>
          <w:spacing w:val="0"/>
          <w:sz w:val="20"/>
          <w:rtl/>
        </w:rPr>
        <w:tab/>
      </w:r>
      <w:r w:rsidR="004E0A37" w:rsidRPr="004E0A37">
        <w:rPr>
          <w:rFonts w:hint="cs"/>
          <w:spacing w:val="0"/>
          <w:sz w:val="20"/>
          <w:rtl/>
        </w:rPr>
        <w:t xml:space="preserve">ورسائل اللجنة والمذكرات الشفوية للبعثة الدائمة للجمهورية العربية السورية متاحة للاطلاع عليها على الموقع الإلكتروني التالي: </w:t>
      </w:r>
      <w:hyperlink r:id="rId23" w:history="1">
        <w:r w:rsidR="004E0A37" w:rsidRPr="004E0A37">
          <w:rPr>
            <w:rStyle w:val="Hyperlink"/>
            <w:rFonts w:cs="Traditional Arabic"/>
            <w:color w:val="auto"/>
            <w:spacing w:val="0"/>
            <w:sz w:val="20"/>
            <w:u w:val="none"/>
          </w:rPr>
          <w:t>www.ohchr.org</w:t>
        </w:r>
      </w:hyperlink>
      <w:r w:rsidR="004E0A37" w:rsidRPr="004E0A37">
        <w:rPr>
          <w:rFonts w:hint="cs"/>
          <w:spacing w:val="0"/>
          <w:sz w:val="20"/>
          <w:rtl/>
        </w:rPr>
        <w:t>.</w:t>
      </w:r>
    </w:p>
    <w:p w:rsidR="004E0A37" w:rsidRPr="00266D23" w:rsidRDefault="004E0A37" w:rsidP="00266D23">
      <w:pPr>
        <w:pStyle w:val="H23GA"/>
        <w:rPr>
          <w:rFonts w:hint="cs"/>
          <w:spacing w:val="0"/>
          <w:rtl/>
        </w:rPr>
      </w:pPr>
      <w:r w:rsidRPr="00266D23">
        <w:rPr>
          <w:rFonts w:hint="cs"/>
          <w:spacing w:val="0"/>
          <w:rtl/>
        </w:rPr>
        <w:tab/>
      </w:r>
      <w:r w:rsidRPr="00266D23">
        <w:rPr>
          <w:rFonts w:hint="cs"/>
          <w:spacing w:val="0"/>
          <w:rtl/>
        </w:rPr>
        <w:tab/>
        <w:t>السلطة المخولة للجنة لطلب تقديم تقرير خاص</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12</w:t>
      </w:r>
      <w:r w:rsidR="003E72B5">
        <w:rPr>
          <w:rFonts w:hint="cs"/>
          <w:spacing w:val="0"/>
          <w:sz w:val="20"/>
          <w:rtl/>
        </w:rPr>
        <w:t>)</w:t>
      </w:r>
      <w:r w:rsidR="003E72B5">
        <w:rPr>
          <w:rFonts w:hint="cs"/>
          <w:spacing w:val="0"/>
          <w:sz w:val="20"/>
          <w:rtl/>
        </w:rPr>
        <w:tab/>
      </w:r>
      <w:r w:rsidR="004E0A37" w:rsidRPr="004E0A37">
        <w:rPr>
          <w:rFonts w:hint="cs"/>
          <w:spacing w:val="0"/>
          <w:sz w:val="20"/>
          <w:rtl/>
        </w:rPr>
        <w:t>تذكر اللجنة بأن نهاية الفقرة 1 من المادة 19 تنص صراحة على أن تقدم الدول الأطراف "غير ذلك من التقارير التي قد تطلبها اللجنة". وقد استخدمت اللجنة هذا الإجراء في الماضي.</w:t>
      </w:r>
    </w:p>
    <w:p w:rsidR="004E0A37" w:rsidRPr="00266D23" w:rsidRDefault="00AC7D2B" w:rsidP="004E0A37">
      <w:pPr>
        <w:pStyle w:val="SingleTxtGA"/>
        <w:jc w:val="lowKashida"/>
        <w:rPr>
          <w:rFonts w:hint="cs"/>
          <w:spacing w:val="-4"/>
          <w:sz w:val="20"/>
          <w:rtl/>
        </w:rPr>
      </w:pPr>
      <w:r w:rsidRPr="00266D23">
        <w:rPr>
          <w:rFonts w:hint="cs"/>
          <w:spacing w:val="-4"/>
          <w:sz w:val="20"/>
          <w:rtl/>
        </w:rPr>
        <w:t>(</w:t>
      </w:r>
      <w:r w:rsidR="004E0A37" w:rsidRPr="00266D23">
        <w:rPr>
          <w:rFonts w:hint="cs"/>
          <w:spacing w:val="-4"/>
          <w:sz w:val="20"/>
          <w:rtl/>
        </w:rPr>
        <w:t>13</w:t>
      </w:r>
      <w:r w:rsidR="003E72B5" w:rsidRPr="00266D23">
        <w:rPr>
          <w:rFonts w:hint="cs"/>
          <w:spacing w:val="-4"/>
          <w:sz w:val="20"/>
          <w:rtl/>
        </w:rPr>
        <w:t>)</w:t>
      </w:r>
      <w:r w:rsidR="003E72B5" w:rsidRPr="00266D23">
        <w:rPr>
          <w:rFonts w:hint="cs"/>
          <w:spacing w:val="-4"/>
          <w:sz w:val="20"/>
          <w:rtl/>
        </w:rPr>
        <w:tab/>
      </w:r>
      <w:r w:rsidR="004E0A37" w:rsidRPr="00266D23">
        <w:rPr>
          <w:rFonts w:hint="cs"/>
          <w:spacing w:val="-4"/>
          <w:sz w:val="20"/>
          <w:rtl/>
        </w:rPr>
        <w:t>ويندرج هذا الطلب تماماً وبوضوح في نطاق مهام اللجنة بموجب الاتفاقية. ويتسق طلب اللجنة تماماً مع موضوع الاتفاقية وغرضها المتمثلين في منع ممارسات التعذيب وغيره من ضروب المعاملة أو العقوبة القاسية أو اللاإنسانية أو المهينة وقمعها وزيادة فعالية النضال ضدها.</w:t>
      </w:r>
    </w:p>
    <w:p w:rsidR="004E0A37" w:rsidRPr="00614E22" w:rsidRDefault="007223C0" w:rsidP="00B65A46">
      <w:pPr>
        <w:pStyle w:val="H23GA"/>
        <w:tabs>
          <w:tab w:val="left" w:pos="1925"/>
        </w:tabs>
        <w:jc w:val="lowKashida"/>
        <w:rPr>
          <w:rFonts w:hint="cs"/>
          <w:spacing w:val="0"/>
          <w:rtl/>
        </w:rPr>
      </w:pPr>
      <w:r>
        <w:rPr>
          <w:rFonts w:hint="cs"/>
          <w:spacing w:val="0"/>
          <w:rtl/>
        </w:rPr>
        <w:tab/>
      </w:r>
      <w:r>
        <w:rPr>
          <w:rFonts w:hint="cs"/>
          <w:spacing w:val="0"/>
          <w:rtl/>
        </w:rPr>
        <w:tab/>
        <w:t>باء-</w:t>
      </w:r>
      <w:r w:rsidR="004E0A37" w:rsidRPr="00614E22">
        <w:rPr>
          <w:rFonts w:hint="cs"/>
          <w:spacing w:val="0"/>
          <w:rtl/>
        </w:rPr>
        <w:tab/>
        <w:t>النظر في تنفيذ الاتفاقية في الجمهورية العربية السورية في ظل عدم تقديم تقرير خاص مطلوب من اللجنة</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14</w:t>
      </w:r>
      <w:r w:rsidR="003E72B5">
        <w:rPr>
          <w:rFonts w:hint="cs"/>
          <w:spacing w:val="0"/>
          <w:sz w:val="20"/>
          <w:rtl/>
        </w:rPr>
        <w:t>)</w:t>
      </w:r>
      <w:r w:rsidR="003E72B5">
        <w:rPr>
          <w:rFonts w:hint="cs"/>
          <w:spacing w:val="0"/>
          <w:sz w:val="20"/>
          <w:rtl/>
        </w:rPr>
        <w:tab/>
      </w:r>
      <w:r w:rsidR="004E0A37" w:rsidRPr="004E0A37">
        <w:rPr>
          <w:rFonts w:hint="cs"/>
          <w:spacing w:val="0"/>
          <w:sz w:val="20"/>
          <w:rtl/>
        </w:rPr>
        <w:t>نظرت اللجنة في جلسة عامة عقدتها في 16 أيار/مايو 2012 في مدى تنفيذ الاتفاقية في الجمهورية العربية السورية استناداً إلى المعلومات المتاحة.</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15</w:t>
      </w:r>
      <w:r w:rsidR="003E72B5">
        <w:rPr>
          <w:rFonts w:hint="cs"/>
          <w:spacing w:val="0"/>
          <w:sz w:val="20"/>
          <w:rtl/>
        </w:rPr>
        <w:t>)</w:t>
      </w:r>
      <w:r w:rsidR="003E72B5">
        <w:rPr>
          <w:rFonts w:hint="cs"/>
          <w:spacing w:val="0"/>
          <w:sz w:val="20"/>
          <w:rtl/>
        </w:rPr>
        <w:tab/>
      </w:r>
      <w:r w:rsidR="004E0A37" w:rsidRPr="004E0A37">
        <w:rPr>
          <w:rFonts w:hint="cs"/>
          <w:spacing w:val="0"/>
          <w:sz w:val="20"/>
          <w:rtl/>
        </w:rPr>
        <w:t>وأعربت اللجنة عن أسفها لأن الدولة الطرف</w:t>
      </w:r>
      <w:r w:rsidR="00335AC0">
        <w:rPr>
          <w:rFonts w:hint="cs"/>
          <w:spacing w:val="0"/>
          <w:sz w:val="20"/>
          <w:rtl/>
        </w:rPr>
        <w:t xml:space="preserve"> لم </w:t>
      </w:r>
      <w:r w:rsidR="004E0A37" w:rsidRPr="004E0A37">
        <w:rPr>
          <w:rFonts w:hint="cs"/>
          <w:spacing w:val="0"/>
          <w:sz w:val="20"/>
          <w:rtl/>
        </w:rPr>
        <w:t>تقدم التقرير المطلوب ولم ترسل وفداً لحضور الجلسة المعقودة في 16 أيار/مايو 2012.</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16</w:t>
      </w:r>
      <w:r w:rsidR="003E72B5">
        <w:rPr>
          <w:rFonts w:hint="cs"/>
          <w:spacing w:val="0"/>
          <w:sz w:val="20"/>
          <w:rtl/>
        </w:rPr>
        <w:t>)</w:t>
      </w:r>
      <w:r w:rsidR="003E72B5">
        <w:rPr>
          <w:rFonts w:hint="cs"/>
          <w:spacing w:val="0"/>
          <w:sz w:val="20"/>
          <w:rtl/>
        </w:rPr>
        <w:tab/>
      </w:r>
      <w:r w:rsidR="004E0A37" w:rsidRPr="004E0A37">
        <w:rPr>
          <w:rFonts w:hint="cs"/>
          <w:spacing w:val="0"/>
          <w:sz w:val="20"/>
          <w:rtl/>
        </w:rPr>
        <w:t>ونظرت اللجنة في تنفيذ الاتفاقية في الدولة الطرف استناداً إلى المعلومات المتاحة من مصادر عديدة جديرة بالتصديق والثقة تشمل ما يلي:</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تقريرا لجنة التحقيق الدولية بشأن الجمهورية العربية السورية المقدمان إلى مجلس حقوق الإنسان (</w:t>
      </w:r>
      <w:r w:rsidRPr="004E0A37">
        <w:rPr>
          <w:spacing w:val="0"/>
          <w:sz w:val="20"/>
        </w:rPr>
        <w:t>A/HRC/S-17/2/Add.1</w:t>
      </w:r>
      <w:r w:rsidRPr="004E0A37">
        <w:rPr>
          <w:rFonts w:hint="cs"/>
          <w:spacing w:val="0"/>
          <w:sz w:val="20"/>
          <w:rtl/>
        </w:rPr>
        <w:t xml:space="preserve"> و</w:t>
      </w:r>
      <w:r w:rsidRPr="004E0A37">
        <w:rPr>
          <w:spacing w:val="0"/>
          <w:sz w:val="20"/>
        </w:rPr>
        <w:t>A/HRC/19/69</w:t>
      </w:r>
      <w:r w:rsidRPr="004E0A37">
        <w:rPr>
          <w:rFonts w:hint="cs"/>
          <w:spacing w:val="0"/>
          <w:sz w:val="20"/>
          <w:rtl/>
        </w:rPr>
        <w:t>)؛</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تقرير مفوضة الأمم المتحدة السامية لحقوق الإنسان عن حالة حقوق الإنسان في الجمهورية العربية السورية (</w:t>
      </w:r>
      <w:r w:rsidRPr="004E0A37">
        <w:rPr>
          <w:spacing w:val="0"/>
          <w:sz w:val="20"/>
        </w:rPr>
        <w:t>A/HRC/18/53</w:t>
      </w:r>
      <w:r w:rsidRPr="004E0A37">
        <w:rPr>
          <w:rFonts w:hint="cs"/>
          <w:spacing w:val="0"/>
          <w:sz w:val="20"/>
          <w:rtl/>
        </w:rPr>
        <w:t>)؛</w:t>
      </w:r>
    </w:p>
    <w:p w:rsidR="004E0A37" w:rsidRPr="004E0A37" w:rsidRDefault="004E0A37" w:rsidP="00B65A46">
      <w:pPr>
        <w:pStyle w:val="SingleTxtGA"/>
        <w:spacing w:after="60" w:line="370" w:lineRule="exact"/>
        <w:jc w:val="lowKashida"/>
        <w:rPr>
          <w:spacing w:val="0"/>
          <w:sz w:val="20"/>
          <w:rtl/>
        </w:rPr>
      </w:pPr>
      <w:r w:rsidRPr="004E0A37">
        <w:rPr>
          <w:rFonts w:hint="cs"/>
          <w:spacing w:val="0"/>
          <w:sz w:val="20"/>
          <w:rtl/>
        </w:rPr>
        <w:tab/>
        <w:t>(ج)</w:t>
      </w:r>
      <w:r w:rsidRPr="004E0A37">
        <w:rPr>
          <w:rFonts w:hint="cs"/>
          <w:spacing w:val="0"/>
          <w:sz w:val="20"/>
          <w:rtl/>
        </w:rPr>
        <w:tab/>
        <w:t xml:space="preserve">النداءات العاجلة الموجهة من المكلفين بولايات في إطار الإجراءات الخاصة لمجلس حقوق </w:t>
      </w:r>
      <w:r w:rsidRPr="004E0A37">
        <w:rPr>
          <w:spacing w:val="0"/>
          <w:sz w:val="20"/>
          <w:rtl/>
        </w:rPr>
        <w:t>الإنسان</w:t>
      </w:r>
      <w:r w:rsidRPr="004E0A37">
        <w:rPr>
          <w:rFonts w:hint="cs"/>
          <w:spacing w:val="0"/>
          <w:sz w:val="20"/>
          <w:rtl/>
        </w:rPr>
        <w:t>،</w:t>
      </w:r>
      <w:r w:rsidRPr="004E0A37">
        <w:rPr>
          <w:spacing w:val="0"/>
          <w:sz w:val="20"/>
          <w:rtl/>
        </w:rPr>
        <w:t xml:space="preserve"> أي الفريق العامل المعني ب</w:t>
      </w:r>
      <w:r w:rsidRPr="004E0A37">
        <w:rPr>
          <w:rFonts w:hint="cs"/>
          <w:spacing w:val="0"/>
          <w:sz w:val="20"/>
          <w:rtl/>
        </w:rPr>
        <w:t>الاحتجاز التعسفي</w:t>
      </w:r>
      <w:r w:rsidRPr="004E0A37">
        <w:rPr>
          <w:spacing w:val="0"/>
          <w:sz w:val="20"/>
          <w:rtl/>
        </w:rPr>
        <w:t xml:space="preserve"> </w:t>
      </w:r>
      <w:r w:rsidRPr="004E0A37">
        <w:rPr>
          <w:rFonts w:hint="cs"/>
          <w:spacing w:val="0"/>
          <w:sz w:val="20"/>
          <w:rtl/>
        </w:rPr>
        <w:t>و</w:t>
      </w:r>
      <w:r w:rsidRPr="004E0A37">
        <w:rPr>
          <w:spacing w:val="0"/>
          <w:sz w:val="20"/>
          <w:rtl/>
        </w:rPr>
        <w:t>الفريق العامل المعني بحالات الاختفاء</w:t>
      </w:r>
      <w:r w:rsidRPr="004E0A37">
        <w:rPr>
          <w:spacing w:val="0"/>
          <w:sz w:val="20"/>
        </w:rPr>
        <w:t xml:space="preserve"> </w:t>
      </w:r>
      <w:r w:rsidRPr="004E0A37">
        <w:rPr>
          <w:spacing w:val="0"/>
          <w:sz w:val="20"/>
          <w:rtl/>
        </w:rPr>
        <w:t>القسري</w:t>
      </w:r>
      <w:r w:rsidRPr="004E0A37">
        <w:rPr>
          <w:rFonts w:hint="cs"/>
          <w:spacing w:val="0"/>
          <w:sz w:val="20"/>
          <w:rtl/>
        </w:rPr>
        <w:t xml:space="preserve"> أو غير الطوعي والمقرر الخاص المعني بتعزيز وحماية الحق في حرية الرأي والتعبير والمقرر الخاص المعني بحالة المدافعين عن حقوق الإنسان والمقرر الخاص المعني</w:t>
      </w:r>
      <w:r w:rsidRPr="004E0A37">
        <w:rPr>
          <w:rFonts w:hint="eastAsia"/>
          <w:spacing w:val="0"/>
          <w:sz w:val="20"/>
          <w:rtl/>
        </w:rPr>
        <w:t> </w:t>
      </w:r>
      <w:r w:rsidRPr="004E0A37">
        <w:rPr>
          <w:rFonts w:hint="cs"/>
          <w:spacing w:val="0"/>
          <w:sz w:val="20"/>
          <w:rtl/>
        </w:rPr>
        <w:t>بمسألة التعذيب وغيره من ضروب المعاملة أو العقوبة القاسية أو اللاإنسانية أو المهينة (</w:t>
      </w:r>
      <w:r w:rsidRPr="004E0A37">
        <w:rPr>
          <w:spacing w:val="0"/>
          <w:sz w:val="20"/>
        </w:rPr>
        <w:t>UA G/SO 218</w:t>
      </w:r>
      <w:r w:rsidRPr="004E0A37">
        <w:rPr>
          <w:rFonts w:hint="cs"/>
          <w:spacing w:val="0"/>
          <w:sz w:val="20"/>
          <w:rtl/>
        </w:rPr>
        <w:t xml:space="preserve"> و</w:t>
      </w:r>
      <w:r w:rsidRPr="004E0A37">
        <w:rPr>
          <w:spacing w:val="0"/>
          <w:sz w:val="20"/>
        </w:rPr>
        <w:t>G/SO 217/1</w:t>
      </w:r>
      <w:r w:rsidRPr="004E0A37">
        <w:rPr>
          <w:rFonts w:hint="cs"/>
          <w:spacing w:val="0"/>
          <w:sz w:val="20"/>
          <w:rtl/>
        </w:rPr>
        <w:t xml:space="preserve"> و</w:t>
      </w:r>
      <w:r w:rsidRPr="004E0A37">
        <w:rPr>
          <w:spacing w:val="0"/>
          <w:sz w:val="20"/>
        </w:rPr>
        <w:t>G/SO 214 (76-17)</w:t>
      </w:r>
      <w:r w:rsidRPr="004E0A37">
        <w:rPr>
          <w:rFonts w:hint="cs"/>
          <w:spacing w:val="0"/>
          <w:sz w:val="20"/>
          <w:rtl/>
        </w:rPr>
        <w:t xml:space="preserve"> و</w:t>
      </w:r>
      <w:r w:rsidRPr="004E0A37">
        <w:rPr>
          <w:spacing w:val="0"/>
          <w:sz w:val="20"/>
        </w:rPr>
        <w:t>G/SO 214 (107-109)</w:t>
      </w:r>
      <w:r w:rsidRPr="004E0A37">
        <w:rPr>
          <w:rFonts w:hint="cs"/>
          <w:spacing w:val="0"/>
          <w:sz w:val="20"/>
          <w:rtl/>
        </w:rPr>
        <w:t xml:space="preserve"> و</w:t>
      </w:r>
      <w:r w:rsidRPr="004E0A37">
        <w:rPr>
          <w:spacing w:val="0"/>
          <w:sz w:val="20"/>
        </w:rPr>
        <w:t>214 (53-24)</w:t>
      </w:r>
      <w:r w:rsidRPr="004E0A37">
        <w:rPr>
          <w:rFonts w:hint="cs"/>
          <w:spacing w:val="0"/>
          <w:sz w:val="20"/>
          <w:rtl/>
        </w:rPr>
        <w:t>) ورسالة الادعاء المرسلة من المقرر الخاص المعني بحالات الإعدام خارج القضاء أو بإجراءات موجزة أو تعسفاً ومن المقرر الخاص المعني بمسألة التعذيب وغيره من ضروب المعاملة أو</w:t>
      </w:r>
      <w:r w:rsidR="00266D23">
        <w:rPr>
          <w:rFonts w:hint="eastAsia"/>
          <w:spacing w:val="0"/>
          <w:sz w:val="20"/>
          <w:rtl/>
        </w:rPr>
        <w:t> </w:t>
      </w:r>
      <w:r w:rsidRPr="004E0A37">
        <w:rPr>
          <w:rFonts w:hint="cs"/>
          <w:spacing w:val="0"/>
          <w:sz w:val="20"/>
          <w:rtl/>
        </w:rPr>
        <w:t>العقوبة القاسية أو اللاإنسانية أو المهينة (</w:t>
      </w:r>
      <w:r w:rsidRPr="004E0A37">
        <w:rPr>
          <w:spacing w:val="0"/>
          <w:sz w:val="20"/>
        </w:rPr>
        <w:t>G/SO 214 (33-27)</w:t>
      </w:r>
      <w:r w:rsidRPr="004E0A37">
        <w:rPr>
          <w:rFonts w:hint="cs"/>
          <w:spacing w:val="0"/>
          <w:sz w:val="20"/>
          <w:rtl/>
        </w:rPr>
        <w:t xml:space="preserve"> و</w:t>
      </w:r>
      <w:r w:rsidRPr="004E0A37">
        <w:rPr>
          <w:spacing w:val="0"/>
          <w:sz w:val="20"/>
        </w:rPr>
        <w:t>G/SO 214 (53-24)</w:t>
      </w:r>
      <w:r w:rsidRPr="004E0A37">
        <w:rPr>
          <w:rFonts w:hint="cs"/>
          <w:spacing w:val="0"/>
          <w:sz w:val="20"/>
          <w:rtl/>
        </w:rPr>
        <w:t>)</w:t>
      </w:r>
      <w:r w:rsidRPr="004E0A37">
        <w:rPr>
          <w:spacing w:val="0"/>
          <w:sz w:val="20"/>
          <w:rtl/>
        </w:rPr>
        <w:t>؛</w:t>
      </w:r>
    </w:p>
    <w:p w:rsidR="004E0A37" w:rsidRPr="004E0A37" w:rsidRDefault="004E0A37" w:rsidP="00B65A46">
      <w:pPr>
        <w:pStyle w:val="SingleTxtGA"/>
        <w:spacing w:after="60" w:line="370" w:lineRule="exact"/>
        <w:jc w:val="lowKashida"/>
        <w:rPr>
          <w:rFonts w:hint="cs"/>
          <w:spacing w:val="0"/>
          <w:sz w:val="20"/>
          <w:rtl/>
        </w:rPr>
      </w:pPr>
      <w:r w:rsidRPr="004E0A37">
        <w:rPr>
          <w:rFonts w:hint="cs"/>
          <w:spacing w:val="0"/>
          <w:sz w:val="20"/>
          <w:rtl/>
        </w:rPr>
        <w:tab/>
        <w:t>(د)</w:t>
      </w:r>
      <w:r w:rsidRPr="004E0A37">
        <w:rPr>
          <w:rFonts w:hint="cs"/>
          <w:spacing w:val="0"/>
          <w:sz w:val="20"/>
          <w:rtl/>
        </w:rPr>
        <w:tab/>
        <w:t xml:space="preserve">تقرير الفريق العامل المعني بالاستعراض الدوري الشامل بشأن الجمهورية العربية السورية (الوثيقة </w:t>
      </w:r>
      <w:r w:rsidRPr="004E0A37">
        <w:rPr>
          <w:spacing w:val="0"/>
          <w:sz w:val="20"/>
        </w:rPr>
        <w:t>A/HRC/19/11</w:t>
      </w:r>
      <w:r w:rsidRPr="004E0A37">
        <w:rPr>
          <w:rFonts w:hint="cs"/>
          <w:spacing w:val="0"/>
          <w:sz w:val="20"/>
          <w:rtl/>
        </w:rPr>
        <w:t>)؛</w:t>
      </w:r>
    </w:p>
    <w:p w:rsidR="004E0A37" w:rsidRPr="004E0A37" w:rsidRDefault="004E0A37" w:rsidP="00B65A46">
      <w:pPr>
        <w:pStyle w:val="SingleTxtGA"/>
        <w:spacing w:after="60" w:line="370" w:lineRule="exact"/>
        <w:jc w:val="lowKashida"/>
        <w:rPr>
          <w:rFonts w:hint="cs"/>
          <w:spacing w:val="0"/>
          <w:sz w:val="20"/>
          <w:rtl/>
        </w:rPr>
      </w:pPr>
      <w:r w:rsidRPr="004E0A37">
        <w:rPr>
          <w:rFonts w:hint="cs"/>
          <w:spacing w:val="0"/>
          <w:sz w:val="20"/>
          <w:rtl/>
        </w:rPr>
        <w:tab/>
        <w:t>(ﻫ)</w:t>
      </w:r>
      <w:r w:rsidRPr="004E0A37">
        <w:rPr>
          <w:rFonts w:hint="cs"/>
          <w:spacing w:val="0"/>
          <w:sz w:val="20"/>
          <w:rtl/>
        </w:rPr>
        <w:tab/>
      </w:r>
      <w:r w:rsidRPr="004E0A37">
        <w:rPr>
          <w:rFonts w:eastAsia="Calibri" w:hint="cs"/>
          <w:spacing w:val="0"/>
          <w:sz w:val="20"/>
          <w:rtl/>
          <w:lang w:eastAsia="de-DE"/>
        </w:rPr>
        <w:t xml:space="preserve">الملاحظات الختامية </w:t>
      </w:r>
      <w:r w:rsidRPr="004E0A37">
        <w:rPr>
          <w:rFonts w:hint="cs"/>
          <w:spacing w:val="0"/>
          <w:sz w:val="20"/>
          <w:rtl/>
        </w:rPr>
        <w:t>للجنة حقوق الطفل بشأن التقريرين الدوريين الثالث والرابع للجمهورية العربية السورية المقدمين بموجب اتفاقية حقوق الطفل (</w:t>
      </w:r>
      <w:r w:rsidRPr="004E0A37">
        <w:rPr>
          <w:spacing w:val="0"/>
          <w:sz w:val="20"/>
        </w:rPr>
        <w:t>CRC/C/SYR/CO/3-4</w:t>
      </w:r>
      <w:r w:rsidRPr="004E0A37">
        <w:rPr>
          <w:rFonts w:hint="cs"/>
          <w:spacing w:val="0"/>
          <w:sz w:val="20"/>
          <w:rtl/>
        </w:rPr>
        <w:t>)؛</w:t>
      </w:r>
    </w:p>
    <w:p w:rsidR="004E0A37" w:rsidRPr="004E0A37" w:rsidRDefault="004E0A37" w:rsidP="00B65A46">
      <w:pPr>
        <w:pStyle w:val="SingleTxtGA"/>
        <w:spacing w:after="60" w:line="370" w:lineRule="exact"/>
        <w:jc w:val="lowKashida"/>
        <w:rPr>
          <w:rFonts w:hint="cs"/>
          <w:spacing w:val="0"/>
          <w:sz w:val="20"/>
          <w:rtl/>
        </w:rPr>
      </w:pPr>
      <w:r w:rsidRPr="004E0A37">
        <w:rPr>
          <w:rFonts w:hint="cs"/>
          <w:spacing w:val="0"/>
          <w:sz w:val="20"/>
          <w:rtl/>
        </w:rPr>
        <w:tab/>
        <w:t>(و)</w:t>
      </w:r>
      <w:r w:rsidRPr="004E0A37">
        <w:rPr>
          <w:rFonts w:hint="cs"/>
          <w:spacing w:val="0"/>
          <w:sz w:val="20"/>
          <w:rtl/>
        </w:rPr>
        <w:tab/>
        <w:t>التقارير العامة المقدمة من وكالات الأمم المتحدة المتخصصة والمنظمات غير</w:t>
      </w:r>
      <w:r w:rsidR="00266D23">
        <w:rPr>
          <w:rFonts w:hint="eastAsia"/>
          <w:spacing w:val="0"/>
          <w:sz w:val="20"/>
          <w:rtl/>
        </w:rPr>
        <w:t> </w:t>
      </w:r>
      <w:r w:rsidRPr="004E0A37">
        <w:rPr>
          <w:rFonts w:hint="cs"/>
          <w:spacing w:val="0"/>
          <w:sz w:val="20"/>
          <w:rtl/>
        </w:rPr>
        <w:t>الحكومية.</w:t>
      </w:r>
    </w:p>
    <w:p w:rsidR="004E0A37" w:rsidRPr="004E0A37" w:rsidRDefault="00AC7D2B" w:rsidP="00B65A46">
      <w:pPr>
        <w:pStyle w:val="SingleTxtGA"/>
        <w:spacing w:after="60" w:line="370" w:lineRule="exact"/>
        <w:jc w:val="lowKashida"/>
        <w:rPr>
          <w:rFonts w:hint="cs"/>
          <w:spacing w:val="0"/>
          <w:sz w:val="20"/>
          <w:rtl/>
        </w:rPr>
      </w:pPr>
      <w:r>
        <w:rPr>
          <w:rFonts w:hint="cs"/>
          <w:spacing w:val="0"/>
          <w:sz w:val="20"/>
          <w:rtl/>
        </w:rPr>
        <w:t>(</w:t>
      </w:r>
      <w:r w:rsidR="004E0A37" w:rsidRPr="004E0A37">
        <w:rPr>
          <w:rFonts w:hint="cs"/>
          <w:spacing w:val="0"/>
          <w:sz w:val="20"/>
          <w:rtl/>
        </w:rPr>
        <w:t>17</w:t>
      </w:r>
      <w:r w:rsidR="003E72B5">
        <w:rPr>
          <w:rFonts w:hint="cs"/>
          <w:spacing w:val="0"/>
          <w:sz w:val="20"/>
          <w:rtl/>
        </w:rPr>
        <w:t>)</w:t>
      </w:r>
      <w:r w:rsidR="003E72B5">
        <w:rPr>
          <w:rFonts w:hint="cs"/>
          <w:spacing w:val="0"/>
          <w:sz w:val="20"/>
          <w:rtl/>
        </w:rPr>
        <w:tab/>
      </w:r>
      <w:r w:rsidR="004E0A37" w:rsidRPr="004E0A37">
        <w:rPr>
          <w:rFonts w:hint="cs"/>
          <w:spacing w:val="0"/>
          <w:sz w:val="20"/>
          <w:rtl/>
        </w:rPr>
        <w:t>وأحاطت اللجنة</w:t>
      </w:r>
      <w:r w:rsidR="003833F8">
        <w:rPr>
          <w:rFonts w:hint="cs"/>
          <w:spacing w:val="0"/>
          <w:sz w:val="20"/>
          <w:rtl/>
        </w:rPr>
        <w:t xml:space="preserve"> علماً </w:t>
      </w:r>
      <w:r w:rsidR="004E0A37" w:rsidRPr="004E0A37">
        <w:rPr>
          <w:rFonts w:hint="cs"/>
          <w:spacing w:val="0"/>
          <w:sz w:val="20"/>
          <w:rtl/>
        </w:rPr>
        <w:t>أيضاً بالمعلومات الواردة في القرارات التالية بشأن الحالة في الدولة الطرف:</w:t>
      </w:r>
    </w:p>
    <w:p w:rsidR="004E0A37" w:rsidRPr="004E0A37" w:rsidRDefault="004E0A37" w:rsidP="00B65A46">
      <w:pPr>
        <w:pStyle w:val="SingleTxtGA"/>
        <w:spacing w:after="60" w:line="370" w:lineRule="exact"/>
        <w:jc w:val="lowKashida"/>
        <w:rPr>
          <w:rFonts w:hint="cs"/>
          <w:spacing w:val="0"/>
          <w:sz w:val="20"/>
          <w:rtl/>
        </w:rPr>
      </w:pPr>
      <w:r w:rsidRPr="004E0A37">
        <w:rPr>
          <w:rFonts w:hint="cs"/>
          <w:spacing w:val="0"/>
          <w:sz w:val="20"/>
          <w:rtl/>
        </w:rPr>
        <w:tab/>
        <w:t>(أ)</w:t>
      </w:r>
      <w:r w:rsidRPr="004E0A37">
        <w:rPr>
          <w:rFonts w:hint="cs"/>
          <w:spacing w:val="0"/>
          <w:sz w:val="20"/>
          <w:rtl/>
        </w:rPr>
        <w:tab/>
        <w:t>قرارا الجمعية العامة 66/253 و66/176؛</w:t>
      </w:r>
    </w:p>
    <w:p w:rsidR="004E0A37" w:rsidRPr="004E0A37" w:rsidRDefault="004E0A37" w:rsidP="00B65A46">
      <w:pPr>
        <w:pStyle w:val="SingleTxtGA"/>
        <w:spacing w:after="60" w:line="370" w:lineRule="exact"/>
        <w:jc w:val="lowKashida"/>
        <w:rPr>
          <w:rFonts w:hint="cs"/>
          <w:spacing w:val="0"/>
          <w:sz w:val="20"/>
          <w:rtl/>
        </w:rPr>
      </w:pPr>
      <w:r w:rsidRPr="004E0A37">
        <w:rPr>
          <w:rFonts w:hint="cs"/>
          <w:spacing w:val="0"/>
          <w:sz w:val="20"/>
          <w:rtl/>
        </w:rPr>
        <w:tab/>
        <w:t>(ب)</w:t>
      </w:r>
      <w:r w:rsidRPr="004E0A37">
        <w:rPr>
          <w:rFonts w:hint="cs"/>
          <w:spacing w:val="0"/>
          <w:sz w:val="20"/>
          <w:rtl/>
        </w:rPr>
        <w:tab/>
        <w:t>قرارا مجلس الأمن 2043(2012) و2042(2012)؛</w:t>
      </w:r>
    </w:p>
    <w:p w:rsidR="004E0A37" w:rsidRPr="004E0A37" w:rsidRDefault="004E0A37" w:rsidP="00B65A46">
      <w:pPr>
        <w:pStyle w:val="SingleTxtGA"/>
        <w:spacing w:line="370" w:lineRule="exact"/>
        <w:jc w:val="lowKashida"/>
        <w:rPr>
          <w:rFonts w:hint="cs"/>
          <w:spacing w:val="0"/>
          <w:sz w:val="20"/>
          <w:rtl/>
        </w:rPr>
      </w:pPr>
      <w:r w:rsidRPr="004E0A37">
        <w:rPr>
          <w:rFonts w:hint="cs"/>
          <w:spacing w:val="0"/>
          <w:sz w:val="20"/>
          <w:rtl/>
        </w:rPr>
        <w:tab/>
        <w:t>(ج)</w:t>
      </w:r>
      <w:r w:rsidRPr="004E0A37">
        <w:rPr>
          <w:rFonts w:hint="cs"/>
          <w:spacing w:val="0"/>
          <w:sz w:val="20"/>
          <w:rtl/>
        </w:rPr>
        <w:tab/>
        <w:t>قرارات مجلس حقوق الإنسان بما فيها القرارات الصادرة في ثلاث دورات استثنائية: 19/22 و19/1 ودإ-18/1 ودإ-17/1 ودإ-16/1.</w:t>
      </w:r>
    </w:p>
    <w:p w:rsidR="004E0A37" w:rsidRPr="00614E22" w:rsidRDefault="007223C0" w:rsidP="00B65A46">
      <w:pPr>
        <w:pStyle w:val="H23GA"/>
        <w:tabs>
          <w:tab w:val="left" w:pos="1938"/>
        </w:tabs>
        <w:jc w:val="lowKashida"/>
        <w:rPr>
          <w:rFonts w:hint="cs"/>
          <w:spacing w:val="0"/>
          <w:rtl/>
        </w:rPr>
      </w:pPr>
      <w:r>
        <w:rPr>
          <w:rFonts w:hint="cs"/>
          <w:spacing w:val="0"/>
          <w:rtl/>
        </w:rPr>
        <w:tab/>
      </w:r>
      <w:r>
        <w:rPr>
          <w:rFonts w:hint="cs"/>
          <w:spacing w:val="0"/>
          <w:rtl/>
        </w:rPr>
        <w:tab/>
        <w:t>جيم-</w:t>
      </w:r>
      <w:r w:rsidR="004E0A37" w:rsidRPr="00614E22">
        <w:rPr>
          <w:rFonts w:hint="cs"/>
          <w:spacing w:val="0"/>
          <w:rtl/>
        </w:rPr>
        <w:tab/>
        <w:t>دواعي القلق الرئيسية</w:t>
      </w:r>
    </w:p>
    <w:p w:rsidR="004E0A37" w:rsidRPr="00614E22" w:rsidRDefault="00AC7D2B" w:rsidP="00266D23">
      <w:pPr>
        <w:pStyle w:val="SingleTxtGA"/>
        <w:jc w:val="lowKashida"/>
        <w:rPr>
          <w:rFonts w:hint="cs"/>
          <w:spacing w:val="0"/>
          <w:sz w:val="20"/>
          <w:rtl/>
        </w:rPr>
      </w:pPr>
      <w:r w:rsidRPr="00614E22">
        <w:rPr>
          <w:rFonts w:hint="cs"/>
          <w:spacing w:val="0"/>
          <w:sz w:val="20"/>
          <w:rtl/>
        </w:rPr>
        <w:t>(</w:t>
      </w:r>
      <w:r w:rsidR="004E0A37" w:rsidRPr="00614E22">
        <w:rPr>
          <w:rFonts w:hint="cs"/>
          <w:spacing w:val="0"/>
          <w:sz w:val="20"/>
          <w:rtl/>
        </w:rPr>
        <w:t>18</w:t>
      </w:r>
      <w:r w:rsidR="003E72B5" w:rsidRPr="00614E22">
        <w:rPr>
          <w:rFonts w:hint="cs"/>
          <w:spacing w:val="0"/>
          <w:sz w:val="20"/>
          <w:rtl/>
        </w:rPr>
        <w:t>)</w:t>
      </w:r>
      <w:r w:rsidR="003E72B5" w:rsidRPr="00614E22">
        <w:rPr>
          <w:rFonts w:hint="cs"/>
          <w:spacing w:val="0"/>
          <w:sz w:val="20"/>
          <w:rtl/>
        </w:rPr>
        <w:tab/>
      </w:r>
      <w:r w:rsidR="004E0A37" w:rsidRPr="00614E22">
        <w:rPr>
          <w:rFonts w:hint="cs"/>
          <w:spacing w:val="0"/>
          <w:sz w:val="20"/>
          <w:rtl/>
        </w:rPr>
        <w:t>يساور اللجنة قلق شديد إزاء الادعاءات المتسقة الموثوق بها والموثقة والمؤيَّدة بالأدلة</w:t>
      </w:r>
      <w:r w:rsidR="00266D23" w:rsidRPr="00614E22">
        <w:rPr>
          <w:rFonts w:hint="eastAsia"/>
          <w:spacing w:val="0"/>
          <w:sz w:val="20"/>
          <w:rtl/>
        </w:rPr>
        <w:t> </w:t>
      </w:r>
      <w:r w:rsidR="004E0A37" w:rsidRPr="00614E22">
        <w:rPr>
          <w:rFonts w:hint="cs"/>
          <w:spacing w:val="0"/>
          <w:sz w:val="20"/>
          <w:rtl/>
        </w:rPr>
        <w:t>التي تشير إلى انتهاكات واسعة النطاق ومنهجية لأحكام الاتفاقية مرتكبة في حق السكان المدنيين في الجمهورية العربية السورية من جانب سلطات الدولة الطرف ومليشيات (مثل الشبيحة) تعمل بتحريض من هذه السلطات أو بموافقتها أو برضاها.</w:t>
      </w:r>
    </w:p>
    <w:p w:rsidR="004E0A37" w:rsidRPr="00614E22" w:rsidRDefault="00AC7D2B" w:rsidP="00266D23">
      <w:pPr>
        <w:pStyle w:val="SingleTxtGA"/>
        <w:jc w:val="lowKashida"/>
        <w:rPr>
          <w:rFonts w:hint="cs"/>
          <w:spacing w:val="0"/>
          <w:sz w:val="20"/>
          <w:rtl/>
        </w:rPr>
      </w:pPr>
      <w:r w:rsidRPr="00614E22">
        <w:rPr>
          <w:rFonts w:hint="cs"/>
          <w:spacing w:val="0"/>
          <w:sz w:val="20"/>
          <w:rtl/>
        </w:rPr>
        <w:t>(</w:t>
      </w:r>
      <w:r w:rsidR="004E0A37" w:rsidRPr="00614E22">
        <w:rPr>
          <w:rFonts w:hint="cs"/>
          <w:spacing w:val="0"/>
          <w:sz w:val="20"/>
          <w:rtl/>
        </w:rPr>
        <w:t>19</w:t>
      </w:r>
      <w:r w:rsidR="003E72B5" w:rsidRPr="00614E22">
        <w:rPr>
          <w:rFonts w:hint="cs"/>
          <w:spacing w:val="0"/>
          <w:sz w:val="20"/>
          <w:rtl/>
        </w:rPr>
        <w:t>)</w:t>
      </w:r>
      <w:r w:rsidR="003E72B5" w:rsidRPr="00614E22">
        <w:rPr>
          <w:rFonts w:hint="cs"/>
          <w:spacing w:val="0"/>
          <w:sz w:val="20"/>
          <w:rtl/>
        </w:rPr>
        <w:tab/>
      </w:r>
      <w:r w:rsidR="004E0A37" w:rsidRPr="00614E22">
        <w:rPr>
          <w:rFonts w:hint="cs"/>
          <w:spacing w:val="0"/>
          <w:sz w:val="20"/>
          <w:rtl/>
        </w:rPr>
        <w:t xml:space="preserve">وتأخذ اللجنة في حسبانها ما خلصت إليه لجنة التحقيق الدولية بشأن الجمهورية العربية السورية من وجود مجموعة موثوقة من الأدلة التي توفر أسباباً معقولة </w:t>
      </w:r>
      <w:r w:rsidR="004E0A37" w:rsidRPr="00614E22">
        <w:rPr>
          <w:spacing w:val="0"/>
          <w:sz w:val="20"/>
          <w:rtl/>
        </w:rPr>
        <w:t xml:space="preserve">للاعتقاد بأن أفراداً بعينهم، </w:t>
      </w:r>
      <w:r w:rsidR="004E0A37" w:rsidRPr="00614E22">
        <w:rPr>
          <w:rFonts w:hint="cs"/>
          <w:spacing w:val="0"/>
          <w:sz w:val="20"/>
          <w:rtl/>
        </w:rPr>
        <w:t>"بمن</w:t>
      </w:r>
      <w:r w:rsidR="004E0A37" w:rsidRPr="00614E22">
        <w:rPr>
          <w:spacing w:val="0"/>
          <w:sz w:val="20"/>
          <w:rtl/>
        </w:rPr>
        <w:t xml:space="preserve"> في</w:t>
      </w:r>
      <w:r w:rsidR="004E0A37" w:rsidRPr="00614E22">
        <w:rPr>
          <w:rFonts w:hint="cs"/>
          <w:spacing w:val="0"/>
          <w:sz w:val="20"/>
          <w:rtl/>
        </w:rPr>
        <w:t>هم</w:t>
      </w:r>
      <w:r w:rsidR="004E0A37" w:rsidRPr="00614E22">
        <w:rPr>
          <w:spacing w:val="0"/>
          <w:sz w:val="20"/>
          <w:rtl/>
        </w:rPr>
        <w:t xml:space="preserve"> ضباط قيادة ومسؤول</w:t>
      </w:r>
      <w:r w:rsidR="004E0A37" w:rsidRPr="00614E22">
        <w:rPr>
          <w:rFonts w:hint="cs"/>
          <w:spacing w:val="0"/>
          <w:sz w:val="20"/>
          <w:rtl/>
        </w:rPr>
        <w:t>و</w:t>
      </w:r>
      <w:r w:rsidR="004E0A37" w:rsidRPr="00614E22">
        <w:rPr>
          <w:spacing w:val="0"/>
          <w:sz w:val="20"/>
          <w:rtl/>
        </w:rPr>
        <w:t>ن في أعلى مستويات الحكومة، يتحملون المسؤولية عن ارتكاب جرائم ضد الإنسانية وانتهاكات جسيمة أخرى لحقوق الإنسان</w:t>
      </w:r>
      <w:r w:rsidR="004E0A37" w:rsidRPr="00614E22">
        <w:rPr>
          <w:rFonts w:hint="cs"/>
          <w:spacing w:val="0"/>
          <w:sz w:val="20"/>
          <w:rtl/>
        </w:rPr>
        <w:t>" (</w:t>
      </w:r>
      <w:r w:rsidR="004E0A37" w:rsidRPr="00614E22">
        <w:rPr>
          <w:spacing w:val="0"/>
          <w:sz w:val="20"/>
        </w:rPr>
        <w:t>A/HRC/19/69</w:t>
      </w:r>
      <w:r w:rsidR="004E0A37" w:rsidRPr="00614E22">
        <w:rPr>
          <w:rFonts w:hint="cs"/>
          <w:spacing w:val="0"/>
          <w:sz w:val="20"/>
          <w:rtl/>
        </w:rPr>
        <w:t>، الفقرة 87). وتحيط</w:t>
      </w:r>
      <w:r w:rsidR="003833F8" w:rsidRPr="00614E22">
        <w:rPr>
          <w:rFonts w:hint="cs"/>
          <w:spacing w:val="0"/>
          <w:sz w:val="20"/>
          <w:rtl/>
        </w:rPr>
        <w:t xml:space="preserve"> علماً </w:t>
      </w:r>
      <w:r w:rsidR="004E0A37" w:rsidRPr="00614E22">
        <w:rPr>
          <w:rFonts w:hint="cs"/>
          <w:spacing w:val="0"/>
          <w:sz w:val="20"/>
          <w:rtl/>
        </w:rPr>
        <w:t xml:space="preserve">أيضاً ببيان </w:t>
      </w:r>
      <w:r w:rsidR="004E0A37" w:rsidRPr="00614E22">
        <w:rPr>
          <w:spacing w:val="0"/>
          <w:sz w:val="20"/>
          <w:rtl/>
        </w:rPr>
        <w:t>مفوضة الأمم المتحدة السامية لحقوق الإنسان</w:t>
      </w:r>
      <w:r w:rsidR="004E0A37" w:rsidRPr="00614E22">
        <w:rPr>
          <w:rFonts w:hint="cs"/>
          <w:spacing w:val="0"/>
          <w:sz w:val="20"/>
          <w:rtl/>
        </w:rPr>
        <w:t xml:space="preserve"> الذي صدر في 27 أيار/مايو 2012 وقالت فيه ما يلي: "إ</w:t>
      </w:r>
      <w:r w:rsidR="004E0A37" w:rsidRPr="00614E22">
        <w:rPr>
          <w:spacing w:val="0"/>
          <w:sz w:val="20"/>
          <w:rtl/>
        </w:rPr>
        <w:t xml:space="preserve">ن قتل </w:t>
      </w:r>
      <w:r w:rsidR="004E0A37" w:rsidRPr="00614E22">
        <w:rPr>
          <w:rFonts w:hint="cs"/>
          <w:spacing w:val="0"/>
          <w:sz w:val="20"/>
          <w:rtl/>
        </w:rPr>
        <w:t xml:space="preserve">سكان القرى </w:t>
      </w:r>
      <w:r w:rsidR="004E0A37" w:rsidRPr="00614E22">
        <w:rPr>
          <w:spacing w:val="0"/>
          <w:sz w:val="20"/>
          <w:rtl/>
        </w:rPr>
        <w:t>بشكلٍ عشوائي ور</w:t>
      </w:r>
      <w:r w:rsidR="004E0A37" w:rsidRPr="00614E22">
        <w:rPr>
          <w:rFonts w:hint="cs"/>
          <w:spacing w:val="0"/>
          <w:sz w:val="20"/>
          <w:rtl/>
        </w:rPr>
        <w:t>ب</w:t>
      </w:r>
      <w:r w:rsidR="004E0A37" w:rsidRPr="00614E22">
        <w:rPr>
          <w:spacing w:val="0"/>
          <w:sz w:val="20"/>
          <w:rtl/>
        </w:rPr>
        <w:t>ما</w:t>
      </w:r>
      <w:r w:rsidR="00266D23" w:rsidRPr="00614E22">
        <w:rPr>
          <w:rFonts w:hint="cs"/>
          <w:spacing w:val="0"/>
          <w:sz w:val="20"/>
          <w:rtl/>
        </w:rPr>
        <w:t> </w:t>
      </w:r>
      <w:r w:rsidR="004E0A37" w:rsidRPr="00614E22">
        <w:rPr>
          <w:spacing w:val="0"/>
          <w:sz w:val="20"/>
          <w:rtl/>
        </w:rPr>
        <w:t xml:space="preserve">متعمد في منطقة </w:t>
      </w:r>
      <w:r w:rsidR="004E0A37" w:rsidRPr="00614E22">
        <w:rPr>
          <w:rFonts w:hint="cs"/>
          <w:spacing w:val="0"/>
          <w:sz w:val="20"/>
          <w:rtl/>
        </w:rPr>
        <w:t>ال</w:t>
      </w:r>
      <w:r w:rsidR="004E0A37" w:rsidRPr="00614E22">
        <w:rPr>
          <w:spacing w:val="0"/>
          <w:sz w:val="20"/>
          <w:rtl/>
        </w:rPr>
        <w:t>حول</w:t>
      </w:r>
      <w:r w:rsidR="004E0A37" w:rsidRPr="00614E22">
        <w:rPr>
          <w:rFonts w:hint="cs"/>
          <w:spacing w:val="0"/>
          <w:sz w:val="20"/>
          <w:rtl/>
        </w:rPr>
        <w:t>ة</w:t>
      </w:r>
      <w:r w:rsidR="004E0A37" w:rsidRPr="00614E22">
        <w:rPr>
          <w:spacing w:val="0"/>
          <w:sz w:val="20"/>
          <w:rtl/>
        </w:rPr>
        <w:t xml:space="preserve"> </w:t>
      </w:r>
      <w:r w:rsidR="004E0A37" w:rsidRPr="00614E22">
        <w:rPr>
          <w:rFonts w:hint="cs"/>
          <w:spacing w:val="0"/>
          <w:sz w:val="20"/>
          <w:rtl/>
        </w:rPr>
        <w:t xml:space="preserve">في حمص بسوريا قد يشكل جرائم </w:t>
      </w:r>
      <w:r w:rsidR="004E0A37" w:rsidRPr="00614E22">
        <w:rPr>
          <w:spacing w:val="0"/>
          <w:sz w:val="20"/>
          <w:rtl/>
        </w:rPr>
        <w:t>ضد الإنسانية أو</w:t>
      </w:r>
      <w:r w:rsidR="004E0A37" w:rsidRPr="00614E22">
        <w:rPr>
          <w:rFonts w:hint="cs"/>
          <w:spacing w:val="0"/>
          <w:sz w:val="20"/>
          <w:rtl/>
        </w:rPr>
        <w:t> </w:t>
      </w:r>
      <w:r w:rsidR="004E0A37" w:rsidRPr="00614E22">
        <w:rPr>
          <w:spacing w:val="0"/>
          <w:sz w:val="20"/>
          <w:rtl/>
        </w:rPr>
        <w:t>غيرها من أشكال الجريمة الدولية</w:t>
      </w:r>
      <w:r w:rsidR="004E0A37" w:rsidRPr="00614E22">
        <w:rPr>
          <w:rFonts w:hint="cs"/>
          <w:spacing w:val="0"/>
          <w:sz w:val="20"/>
          <w:rtl/>
        </w:rPr>
        <w:t>"</w:t>
      </w:r>
      <w:r w:rsidR="00727BAF" w:rsidRPr="00614E22">
        <w:rPr>
          <w:spacing w:val="0"/>
          <w:sz w:val="20"/>
          <w:vertAlign w:val="superscript"/>
          <w:rtl/>
        </w:rPr>
        <w:t>(</w:t>
      </w:r>
      <w:r w:rsidR="00727BAF" w:rsidRPr="00614E22">
        <w:rPr>
          <w:rStyle w:val="FootnoteReference"/>
          <w:spacing w:val="0"/>
          <w:rtl/>
        </w:rPr>
        <w:footnoteReference w:id="11"/>
      </w:r>
      <w:r w:rsidR="00727BAF" w:rsidRPr="00614E22">
        <w:rPr>
          <w:spacing w:val="0"/>
          <w:sz w:val="20"/>
          <w:vertAlign w:val="superscript"/>
          <w:rtl/>
        </w:rPr>
        <w:t>)</w:t>
      </w:r>
      <w:r w:rsidR="004E0A37" w:rsidRPr="00614E22">
        <w:rPr>
          <w:rFonts w:hint="cs"/>
          <w:spacing w:val="0"/>
          <w:sz w:val="20"/>
          <w:rtl/>
        </w:rPr>
        <w:t>.</w:t>
      </w:r>
    </w:p>
    <w:p w:rsidR="004E0A37" w:rsidRPr="00614E22" w:rsidRDefault="00AC7D2B" w:rsidP="004E0A37">
      <w:pPr>
        <w:pStyle w:val="SingleTxtGA"/>
        <w:jc w:val="lowKashida"/>
        <w:rPr>
          <w:rFonts w:hint="cs"/>
          <w:spacing w:val="0"/>
          <w:sz w:val="20"/>
          <w:rtl/>
        </w:rPr>
      </w:pPr>
      <w:r w:rsidRPr="00614E22">
        <w:rPr>
          <w:rFonts w:hint="cs"/>
          <w:spacing w:val="0"/>
          <w:sz w:val="20"/>
          <w:rtl/>
        </w:rPr>
        <w:t>(</w:t>
      </w:r>
      <w:r w:rsidR="004E0A37" w:rsidRPr="00614E22">
        <w:rPr>
          <w:rFonts w:hint="cs"/>
          <w:spacing w:val="0"/>
          <w:sz w:val="20"/>
          <w:rtl/>
        </w:rPr>
        <w:t>20</w:t>
      </w:r>
      <w:r w:rsidR="003E72B5" w:rsidRPr="00614E22">
        <w:rPr>
          <w:rFonts w:hint="cs"/>
          <w:spacing w:val="0"/>
          <w:sz w:val="20"/>
          <w:rtl/>
        </w:rPr>
        <w:t>)</w:t>
      </w:r>
      <w:r w:rsidR="003E72B5" w:rsidRPr="00614E22">
        <w:rPr>
          <w:rFonts w:hint="cs"/>
          <w:spacing w:val="0"/>
          <w:sz w:val="20"/>
          <w:rtl/>
        </w:rPr>
        <w:tab/>
      </w:r>
      <w:r w:rsidR="004E0A37" w:rsidRPr="00614E22">
        <w:rPr>
          <w:rFonts w:hint="cs"/>
          <w:spacing w:val="0"/>
          <w:sz w:val="20"/>
          <w:rtl/>
        </w:rPr>
        <w:t>وتعبر اللجنة عن بالغ قلقها إزاء انتشار وتواصل انتهاكات الاتفاقية وحدوثها الذي</w:t>
      </w:r>
      <w:r w:rsidR="00335AC0" w:rsidRPr="00614E22">
        <w:rPr>
          <w:rFonts w:hint="cs"/>
          <w:spacing w:val="0"/>
          <w:sz w:val="20"/>
          <w:rtl/>
        </w:rPr>
        <w:t xml:space="preserve"> لم </w:t>
      </w:r>
      <w:r w:rsidR="004E0A37" w:rsidRPr="00614E22">
        <w:rPr>
          <w:rFonts w:hint="cs"/>
          <w:spacing w:val="0"/>
          <w:sz w:val="20"/>
          <w:rtl/>
        </w:rPr>
        <w:t>يفند في الدولة الطرف حسبما تؤكده التقارير المشار إليها أعلاه:</w:t>
      </w:r>
    </w:p>
    <w:p w:rsidR="004E0A37" w:rsidRPr="00614E22" w:rsidRDefault="004E0A37" w:rsidP="004E0A37">
      <w:pPr>
        <w:pStyle w:val="SingleTxtGA"/>
        <w:jc w:val="lowKashida"/>
        <w:rPr>
          <w:rFonts w:hint="cs"/>
          <w:spacing w:val="0"/>
          <w:sz w:val="20"/>
          <w:rtl/>
        </w:rPr>
      </w:pPr>
      <w:r w:rsidRPr="00614E22">
        <w:rPr>
          <w:rFonts w:hint="cs"/>
          <w:spacing w:val="0"/>
          <w:sz w:val="20"/>
          <w:rtl/>
        </w:rPr>
        <w:tab/>
        <w:t>(أ)</w:t>
      </w:r>
      <w:r w:rsidRPr="00614E22">
        <w:rPr>
          <w:rFonts w:hint="cs"/>
          <w:spacing w:val="0"/>
          <w:sz w:val="20"/>
          <w:rtl/>
        </w:rPr>
        <w:tab/>
        <w:t>انتشار اللجوء إلى ممارسات التعذيب والمعاملة القاسية واللاإنسانية التي يتعرض لها المحتجزون والأفراد المشتبه بمشاركتهم في المظاهرات والصحفيون والمدونون على الإنترنت والمنشقون عن قوات الأمن والجرحى أو المصابون والنساء والأطفال (المواد 2 و11 و13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(ب)</w:t>
      </w:r>
      <w:r w:rsidRPr="00614E22">
        <w:rPr>
          <w:rFonts w:hint="cs"/>
          <w:spacing w:val="0"/>
          <w:sz w:val="20"/>
          <w:rtl/>
        </w:rPr>
        <w:tab/>
        <w:t>اللجوء المعتاد إلى ممارسات التعذيب والمعاملة القاسية واللاإنسانية كأداة تبدو متعمدة وجزءاً من سياسة الدولة لبث الرعب وتخويف السكان المدنيين وترويعهم (المادتان 2 و16) وتجاهل سلطات الدولة الطرف التام لطلبات الهيئات الدولية الرسمية والخبراء الدوليين بوقف تلك الانتهاكات (المادة 2)؛</w:t>
      </w:r>
      <w:r w:rsidRPr="00614E22">
        <w:rPr>
          <w:spacing w:val="0"/>
          <w:sz w:val="20"/>
          <w:rtl/>
        </w:rPr>
        <w:t xml:space="preserve"> </w:t>
      </w:r>
    </w:p>
    <w:p w:rsidR="004E0A37" w:rsidRPr="00614E22" w:rsidRDefault="004E0A37" w:rsidP="004E0A37">
      <w:pPr>
        <w:pStyle w:val="SingleTxtGA"/>
        <w:jc w:val="lowKashida"/>
        <w:rPr>
          <w:rFonts w:hint="cs"/>
          <w:spacing w:val="0"/>
          <w:sz w:val="20"/>
          <w:rtl/>
        </w:rPr>
      </w:pPr>
      <w:r w:rsidRPr="00614E22">
        <w:rPr>
          <w:rFonts w:hint="cs"/>
          <w:spacing w:val="0"/>
          <w:sz w:val="20"/>
          <w:rtl/>
        </w:rPr>
        <w:tab/>
        <w:t>(ج)</w:t>
      </w:r>
      <w:r w:rsidRPr="00614E22">
        <w:rPr>
          <w:rFonts w:hint="cs"/>
          <w:spacing w:val="0"/>
          <w:sz w:val="20"/>
          <w:rtl/>
        </w:rPr>
        <w:tab/>
        <w:t>التقارير الواسعة النطاق عن العنف الجنسي الذي يرتكبه موظفون حكوميون ولا سيما ضد المحتجزين الذكور والأطفال (المادتان 2 و16)؛</w:t>
      </w:r>
      <w:r w:rsidRPr="00614E22">
        <w:rPr>
          <w:spacing w:val="0"/>
          <w:sz w:val="20"/>
          <w:rtl/>
        </w:rPr>
        <w:t xml:space="preserve"> </w:t>
      </w:r>
    </w:p>
    <w:p w:rsidR="004E0A37" w:rsidRPr="00614E22" w:rsidRDefault="004E0A37" w:rsidP="004E0A37">
      <w:pPr>
        <w:pStyle w:val="SingleTxtGA"/>
        <w:jc w:val="lowKashida"/>
        <w:rPr>
          <w:rFonts w:hint="cs"/>
          <w:spacing w:val="0"/>
          <w:sz w:val="20"/>
          <w:rtl/>
        </w:rPr>
      </w:pPr>
      <w:r w:rsidRPr="00614E22">
        <w:rPr>
          <w:rFonts w:hint="cs"/>
          <w:spacing w:val="0"/>
          <w:sz w:val="20"/>
          <w:rtl/>
        </w:rPr>
        <w:tab/>
        <w:t>(د)</w:t>
      </w:r>
      <w:r w:rsidRPr="00614E22">
        <w:rPr>
          <w:rFonts w:hint="cs"/>
          <w:spacing w:val="0"/>
          <w:sz w:val="20"/>
          <w:rtl/>
        </w:rPr>
        <w:tab/>
        <w:t>الانتهاكات الجسيمة لحقوق الطفل التي ترتكبها السلطات السورية على نطاق واسع، بما فيها تعذيب الأطفال وإساءة معاملتهم وقتلهم في أثناء المظاهرات واحتجازهم بشكل تعسفي؛</w:t>
      </w:r>
    </w:p>
    <w:p w:rsidR="004E0A37" w:rsidRPr="00614E22" w:rsidRDefault="004E0A37" w:rsidP="004E0A37">
      <w:pPr>
        <w:pStyle w:val="SingleTxtGA"/>
        <w:jc w:val="lowKashida"/>
        <w:rPr>
          <w:rFonts w:hint="cs"/>
          <w:spacing w:val="0"/>
          <w:sz w:val="20"/>
          <w:rtl/>
        </w:rPr>
      </w:pPr>
      <w:r w:rsidRPr="00614E22">
        <w:rPr>
          <w:rFonts w:hint="cs"/>
          <w:spacing w:val="0"/>
          <w:sz w:val="20"/>
          <w:rtl/>
        </w:rPr>
        <w:tab/>
        <w:t>(ﻫ)</w:t>
      </w:r>
      <w:r w:rsidRPr="00614E22">
        <w:rPr>
          <w:rFonts w:hint="cs"/>
          <w:spacing w:val="0"/>
          <w:sz w:val="20"/>
          <w:rtl/>
        </w:rPr>
        <w:tab/>
        <w:t>التقارير التي تشير إلى اختفاء ما لا يقل عن 47 طفلاً، بعضهم لا تتجاوز أعمارهم 15 سنة وقد يرجع اختفاؤهم إلى تاريخ احتجازهم (المادة 16)؛</w:t>
      </w:r>
    </w:p>
    <w:p w:rsidR="004E0A37" w:rsidRPr="00614E22" w:rsidRDefault="004E0A37" w:rsidP="004E0A37">
      <w:pPr>
        <w:pStyle w:val="SingleTxtGA"/>
        <w:jc w:val="lowKashida"/>
        <w:rPr>
          <w:rFonts w:hint="cs"/>
          <w:spacing w:val="0"/>
          <w:sz w:val="20"/>
          <w:rtl/>
        </w:rPr>
      </w:pPr>
      <w:r w:rsidRPr="00614E22">
        <w:rPr>
          <w:rFonts w:hint="cs"/>
          <w:spacing w:val="0"/>
          <w:sz w:val="20"/>
          <w:rtl/>
        </w:rPr>
        <w:tab/>
        <w:t>(و)</w:t>
      </w:r>
      <w:r w:rsidRPr="00614E22">
        <w:rPr>
          <w:rFonts w:hint="cs"/>
          <w:spacing w:val="0"/>
          <w:sz w:val="20"/>
          <w:rtl/>
        </w:rPr>
        <w:tab/>
        <w:t>ظروف الاحتجاز القاسية أو اللاإنسانية أو المهينة بما في ذلك اكتظاظ المرافق (المادتان 11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(ز)</w:t>
      </w:r>
      <w:r w:rsidRPr="00614E22">
        <w:rPr>
          <w:rFonts w:hint="cs"/>
          <w:spacing w:val="0"/>
          <w:sz w:val="20"/>
          <w:rtl/>
        </w:rPr>
        <w:tab/>
        <w:t>التبليغ عن وجود أماكن احتجاز سرية وعن عدم تمكن جهات الرصد والمنظمات الدولية والوطنية في الوصول إلى أماكن الاحتجاز. ومراكز الاحتجاز السرية تشكل في حد ذاتها خرقاً لأحكام الاتفاقية وتؤدي لا محالة إلى حالات تعذيب وسوء معاملة مخالفة للاتفاقية (المواد 2 و11 و12 و13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(ح)</w:t>
      </w:r>
      <w:r w:rsidRPr="00614E22">
        <w:rPr>
          <w:rFonts w:hint="cs"/>
          <w:spacing w:val="0"/>
          <w:sz w:val="20"/>
          <w:rtl/>
        </w:rPr>
        <w:tab/>
        <w:t>شن هجمات واسعة النطاق من جانب قوات الأمن على السكان المدنيين في جميع أنحاء البلد ما أسفر عن العديد من حالات الإعدام بإجراءات موجزة بما فيها حالات</w:t>
      </w:r>
      <w:r w:rsidRPr="00614E22">
        <w:rPr>
          <w:rFonts w:hint="eastAsia"/>
          <w:spacing w:val="0"/>
          <w:sz w:val="20"/>
          <w:rtl/>
        </w:rPr>
        <w:t> </w:t>
      </w:r>
      <w:r w:rsidRPr="00614E22">
        <w:rPr>
          <w:rFonts w:hint="cs"/>
          <w:spacing w:val="0"/>
          <w:sz w:val="20"/>
          <w:rtl/>
        </w:rPr>
        <w:t>قتل المسنين والنساء والأطفال الذين يحاولون الفرار من الهجمات على المدن والقرى (المادة 2)؛</w:t>
      </w:r>
    </w:p>
    <w:p w:rsidR="004E0A37" w:rsidRPr="00614E22" w:rsidRDefault="004E0A37" w:rsidP="004E0A37">
      <w:pPr>
        <w:pStyle w:val="SingleTxtGA"/>
        <w:jc w:val="lowKashida"/>
        <w:rPr>
          <w:rFonts w:hint="cs"/>
          <w:spacing w:val="0"/>
          <w:sz w:val="20"/>
          <w:rtl/>
        </w:rPr>
      </w:pPr>
      <w:r w:rsidRPr="00614E22">
        <w:rPr>
          <w:rFonts w:hint="cs"/>
          <w:spacing w:val="0"/>
          <w:sz w:val="20"/>
          <w:rtl/>
        </w:rPr>
        <w:tab/>
        <w:t>(ط)</w:t>
      </w:r>
      <w:r w:rsidRPr="00614E22">
        <w:rPr>
          <w:rFonts w:hint="cs"/>
          <w:spacing w:val="0"/>
          <w:sz w:val="20"/>
          <w:rtl/>
        </w:rPr>
        <w:tab/>
        <w:t>وقوع الأحداث المروعة والمأساوية في 25 أيار/مايو 2012 في الحولة حيث قتل أكثر من 100 شخص منهم 34 طفلاً على الأقل دون العاشرة من العمر نتيجة لهجمة عشوائية شنت على القرية (المادة 2)؛</w:t>
      </w:r>
    </w:p>
    <w:p w:rsidR="004E0A37" w:rsidRPr="00614E22" w:rsidRDefault="004E0A37" w:rsidP="004E0A37">
      <w:pPr>
        <w:pStyle w:val="SingleTxtGA"/>
        <w:jc w:val="lowKashida"/>
        <w:rPr>
          <w:rFonts w:hint="cs"/>
          <w:spacing w:val="0"/>
          <w:sz w:val="20"/>
          <w:rtl/>
        </w:rPr>
      </w:pPr>
      <w:r w:rsidRPr="00614E22">
        <w:rPr>
          <w:rFonts w:hint="cs"/>
          <w:spacing w:val="0"/>
          <w:sz w:val="20"/>
          <w:rtl/>
        </w:rPr>
        <w:tab/>
        <w:t>(ي)</w:t>
      </w:r>
      <w:r w:rsidRPr="00614E22">
        <w:rPr>
          <w:rFonts w:hint="cs"/>
          <w:spacing w:val="0"/>
          <w:sz w:val="20"/>
          <w:rtl/>
        </w:rPr>
        <w:tab/>
        <w:t>الاستخدام المفرط للقوة، وبخاصة استخدام الأسلحة الفتاكة الثقيلة ضد المتظاهرين المشاركين في مظاهرات سلمية والاستخدام المتواصل للقصف المدفعي للمناطق السكنية من جانب وحدات تابعة للقوات المسلحة السورية وقوات الأمن المختلفة والطابع المنسق لهذه الاعتداءات بما في ذلك هدم المنازل وتدميرها عمداً كوسيلة للانتقام أو المعاقبة (المادتان 2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(ك)</w:t>
      </w:r>
      <w:r w:rsidRPr="00614E22">
        <w:rPr>
          <w:rFonts w:hint="cs"/>
          <w:spacing w:val="0"/>
          <w:sz w:val="20"/>
          <w:rtl/>
        </w:rPr>
        <w:tab/>
        <w:t>شن حملات مداهمة منتظمة من جانب قوات الأمن داخل المستشفيات للبحث عن المتظاهرين الجرحى وقتلهم وحرمان المحتجين الجرحى المعتاد من المساعدة الطبية ما تسبب أحياناً في وفاة أشخاص (المواد 2 و11 و12 و13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(ل)</w:t>
      </w:r>
      <w:r w:rsidRPr="00614E22">
        <w:rPr>
          <w:rFonts w:hint="cs"/>
          <w:spacing w:val="0"/>
          <w:sz w:val="20"/>
          <w:rtl/>
        </w:rPr>
        <w:tab/>
        <w:t>قتل الصحفيين والمحامين والمدافعين عن حقوق الإنسان والناشطين في مجال حقوق الإنسان (المواد 2 و13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(م)</w:t>
      </w:r>
      <w:r w:rsidRPr="00614E22">
        <w:rPr>
          <w:rFonts w:hint="cs"/>
          <w:spacing w:val="0"/>
          <w:sz w:val="20"/>
          <w:rtl/>
        </w:rPr>
        <w:tab/>
        <w:t>انتشار محاولات إخفاء أعمال القتل التي ترتكبها قوات الأمن بما في ذلك استخدام القبور الجماعية (المادتان 12 و13)؛</w:t>
      </w:r>
    </w:p>
    <w:p w:rsidR="004E0A37" w:rsidRPr="00614E22" w:rsidRDefault="004E0A37" w:rsidP="004E0A37">
      <w:pPr>
        <w:pStyle w:val="SingleTxtGA"/>
        <w:jc w:val="lowKashida"/>
        <w:rPr>
          <w:rFonts w:hint="cs"/>
          <w:spacing w:val="0"/>
          <w:sz w:val="20"/>
          <w:rtl/>
        </w:rPr>
      </w:pPr>
      <w:r w:rsidRPr="00614E22">
        <w:rPr>
          <w:rFonts w:hint="cs"/>
          <w:spacing w:val="0"/>
          <w:sz w:val="20"/>
          <w:rtl/>
        </w:rPr>
        <w:tab/>
        <w:t>(ن)</w:t>
      </w:r>
      <w:r w:rsidRPr="00614E22">
        <w:rPr>
          <w:rFonts w:hint="cs"/>
          <w:spacing w:val="0"/>
          <w:sz w:val="20"/>
          <w:rtl/>
        </w:rPr>
        <w:tab/>
        <w:t>انتشار التوقيف التعسفي وغير المشروع وما يعقبه من احتجاز غير مشروع للسكان المدنيين بمن فيهم المسنون والأطفال والنساء (المادتان 2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(س)</w:t>
      </w:r>
      <w:r w:rsidRPr="00614E22">
        <w:rPr>
          <w:rFonts w:hint="cs"/>
          <w:spacing w:val="0"/>
          <w:sz w:val="20"/>
          <w:rtl/>
        </w:rPr>
        <w:tab/>
        <w:t>بدء نفاذ المرسوم التشريعي رقم 55/2011 الذي يعدل المادة 17 من قانون الإجراءات الجنائية في 21 نيسان/أبريل 2011 للسماح باحتجاز المشتبه فيهم لمدة سبعة أيام قابلة للتمديد حتى 60 يوماً كحد أقصى رهن التحقيق واستجواب المشتبه في ارتكابهم جرائم معينة (المادتان 2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(ع)</w:t>
      </w:r>
      <w:r w:rsidRPr="00614E22">
        <w:rPr>
          <w:rFonts w:hint="cs"/>
          <w:spacing w:val="0"/>
          <w:sz w:val="20"/>
          <w:rtl/>
        </w:rPr>
        <w:tab/>
        <w:t>حالات التوقيف التعسفي غير المعترف بها رسمياً وعزل المشتبه فيهم عن العالم الخارجي في كثير من الأحيان دون إعلام أسرهم بتوقيفهم أو بمكان وجودهم (المادتان</w:t>
      </w:r>
      <w:r w:rsidRPr="00614E22">
        <w:rPr>
          <w:rFonts w:hint="eastAsia"/>
          <w:spacing w:val="0"/>
          <w:sz w:val="20"/>
          <w:rtl/>
        </w:rPr>
        <w:t> </w:t>
      </w:r>
      <w:r w:rsidRPr="00614E22">
        <w:rPr>
          <w:rFonts w:hint="cs"/>
          <w:spacing w:val="0"/>
          <w:sz w:val="20"/>
          <w:rtl/>
        </w:rPr>
        <w:t>2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(ف)</w:t>
      </w:r>
      <w:r w:rsidRPr="00614E22">
        <w:rPr>
          <w:rFonts w:hint="cs"/>
          <w:spacing w:val="0"/>
          <w:sz w:val="20"/>
          <w:rtl/>
        </w:rPr>
        <w:tab/>
        <w:t>التقارير العديدة عن حالات الاختفاء القسري ووفاة المحتجزين أثناء احتجازهم نتيجة لشدة تعذيبهم (المواد 2 و11 و12 و13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(ص)</w:t>
      </w:r>
      <w:r w:rsidRPr="00614E22">
        <w:rPr>
          <w:rFonts w:hint="cs"/>
          <w:spacing w:val="0"/>
          <w:sz w:val="20"/>
          <w:rtl/>
        </w:rPr>
        <w:tab/>
        <w:t>حالات التوقيف التعسفي للناشطين الذين شاركوا أو ساهموا في تنظيم المتظاهرين والذين وردت أسماؤهم في قوائم قوات الأمن؛ والتوقيف التعسفي لأسر الأشخاص ال</w:t>
      </w:r>
      <w:r w:rsidRPr="00614E22">
        <w:rPr>
          <w:spacing w:val="0"/>
          <w:sz w:val="20"/>
          <w:rtl/>
        </w:rPr>
        <w:t xml:space="preserve">مطلوبين </w:t>
      </w:r>
      <w:r w:rsidRPr="00614E22">
        <w:rPr>
          <w:rFonts w:hint="cs"/>
          <w:spacing w:val="0"/>
          <w:sz w:val="20"/>
          <w:rtl/>
        </w:rPr>
        <w:t>ومعارفهم كتدبير للتخويف والعقاب (المواد 2 و12 و13 و16)؛</w:t>
      </w:r>
    </w:p>
    <w:p w:rsidR="004E0A37" w:rsidRPr="00614E22" w:rsidRDefault="004E0A37" w:rsidP="004E0A37">
      <w:pPr>
        <w:pStyle w:val="SingleTxtGA"/>
        <w:jc w:val="lowKashida"/>
        <w:rPr>
          <w:rFonts w:hint="cs"/>
          <w:spacing w:val="0"/>
          <w:sz w:val="20"/>
          <w:rtl/>
        </w:rPr>
      </w:pPr>
      <w:r w:rsidRPr="00614E22">
        <w:rPr>
          <w:rFonts w:hint="cs"/>
          <w:spacing w:val="0"/>
          <w:sz w:val="20"/>
          <w:rtl/>
        </w:rPr>
        <w:tab/>
        <w:t>(ق)</w:t>
      </w:r>
      <w:r w:rsidRPr="00614E22">
        <w:rPr>
          <w:rFonts w:hint="cs"/>
          <w:spacing w:val="0"/>
          <w:sz w:val="20"/>
          <w:rtl/>
        </w:rPr>
        <w:tab/>
        <w:t>تواصل منح أفراد قوات الأمن الحصانة من الملاحقة القضائية ما يشجع ثقافة الانتهاك والإفلات من العقاب المستمرة منذ فترة طويلة حسبما يتبين من استمرار سريان المرسوم التشريعي رقم 14 الصادر في كانون الثاني/يناير 1969 والمرسوم رقم 69 الصادر في أيلول/سبتمبر 2008 (المادتان 12 و13).</w:t>
      </w:r>
    </w:p>
    <w:p w:rsidR="004E0A37" w:rsidRPr="00614E22" w:rsidRDefault="00AC7D2B" w:rsidP="00B65A46">
      <w:pPr>
        <w:pStyle w:val="SingleTxtGA"/>
        <w:spacing w:line="360" w:lineRule="exact"/>
        <w:jc w:val="lowKashida"/>
        <w:rPr>
          <w:rFonts w:hint="cs"/>
          <w:spacing w:val="0"/>
          <w:sz w:val="20"/>
          <w:rtl/>
        </w:rPr>
      </w:pPr>
      <w:r w:rsidRPr="00614E22">
        <w:rPr>
          <w:rFonts w:hint="cs"/>
          <w:spacing w:val="0"/>
          <w:sz w:val="20"/>
          <w:rtl/>
        </w:rPr>
        <w:t>(</w:t>
      </w:r>
      <w:r w:rsidR="004E0A37" w:rsidRPr="00614E22">
        <w:rPr>
          <w:rFonts w:hint="cs"/>
          <w:spacing w:val="0"/>
          <w:sz w:val="20"/>
          <w:rtl/>
        </w:rPr>
        <w:t>21</w:t>
      </w:r>
      <w:r w:rsidR="003E72B5" w:rsidRPr="00614E22">
        <w:rPr>
          <w:rFonts w:hint="cs"/>
          <w:spacing w:val="0"/>
          <w:sz w:val="20"/>
          <w:rtl/>
        </w:rPr>
        <w:t>)</w:t>
      </w:r>
      <w:r w:rsidR="003E72B5" w:rsidRPr="00614E22">
        <w:rPr>
          <w:rFonts w:hint="cs"/>
          <w:spacing w:val="0"/>
          <w:sz w:val="20"/>
          <w:rtl/>
        </w:rPr>
        <w:tab/>
      </w:r>
      <w:r w:rsidR="004E0A37" w:rsidRPr="00614E22">
        <w:rPr>
          <w:rFonts w:hint="cs"/>
          <w:spacing w:val="0"/>
          <w:sz w:val="20"/>
          <w:rtl/>
        </w:rPr>
        <w:t>ويساور اللجنة أيضاً قلق شديد لما تلقته من ادعاءات تتصل بأفعال التعذيب والمعاملة القاسية واللاإنسانية وحالات الإعدام بإجراءات موجزة وعمليات الاختطاف التي ارتكبتها جماعات المعارضة المسلحة.</w:t>
      </w:r>
    </w:p>
    <w:p w:rsidR="004E0A37" w:rsidRPr="00614E22" w:rsidRDefault="00B65A46" w:rsidP="00B65A46">
      <w:pPr>
        <w:pStyle w:val="H23GA"/>
        <w:tabs>
          <w:tab w:val="left" w:pos="1938"/>
        </w:tabs>
        <w:spacing w:line="360" w:lineRule="exact"/>
        <w:jc w:val="lowKashida"/>
        <w:rPr>
          <w:rFonts w:hint="cs"/>
          <w:spacing w:val="0"/>
          <w:rtl/>
        </w:rPr>
      </w:pPr>
      <w:r>
        <w:rPr>
          <w:rFonts w:hint="cs"/>
          <w:spacing w:val="0"/>
          <w:rtl/>
        </w:rPr>
        <w:tab/>
      </w:r>
      <w:r w:rsidR="004E0A37" w:rsidRPr="00614E22">
        <w:rPr>
          <w:rFonts w:hint="cs"/>
          <w:spacing w:val="0"/>
          <w:rtl/>
        </w:rPr>
        <w:tab/>
        <w:t>دال-</w:t>
      </w:r>
      <w:r w:rsidR="004E0A37" w:rsidRPr="00614E22">
        <w:rPr>
          <w:rFonts w:hint="cs"/>
          <w:spacing w:val="0"/>
          <w:rtl/>
        </w:rPr>
        <w:tab/>
        <w:t>التوصيات</w:t>
      </w:r>
    </w:p>
    <w:p w:rsidR="004E0A37" w:rsidRPr="004E0A37" w:rsidRDefault="00AC7D2B" w:rsidP="00B65A46">
      <w:pPr>
        <w:pStyle w:val="SingleTxtGA"/>
        <w:spacing w:line="360" w:lineRule="exact"/>
        <w:jc w:val="lowKashida"/>
        <w:rPr>
          <w:rFonts w:hint="cs"/>
          <w:spacing w:val="0"/>
          <w:sz w:val="20"/>
          <w:rtl/>
        </w:rPr>
      </w:pPr>
      <w:r>
        <w:rPr>
          <w:rFonts w:hint="cs"/>
          <w:spacing w:val="0"/>
          <w:sz w:val="20"/>
          <w:rtl/>
        </w:rPr>
        <w:t>(</w:t>
      </w:r>
      <w:r w:rsidR="004E0A37" w:rsidRPr="004E0A37">
        <w:rPr>
          <w:rFonts w:hint="cs"/>
          <w:spacing w:val="0"/>
          <w:sz w:val="20"/>
          <w:rtl/>
        </w:rPr>
        <w:t>22</w:t>
      </w:r>
      <w:r w:rsidR="003E72B5">
        <w:rPr>
          <w:rFonts w:hint="cs"/>
          <w:spacing w:val="0"/>
          <w:sz w:val="20"/>
          <w:rtl/>
        </w:rPr>
        <w:t>)</w:t>
      </w:r>
      <w:r w:rsidR="003E72B5">
        <w:rPr>
          <w:rFonts w:hint="cs"/>
          <w:spacing w:val="0"/>
          <w:sz w:val="20"/>
          <w:rtl/>
        </w:rPr>
        <w:tab/>
      </w:r>
      <w:r w:rsidR="004E0A37" w:rsidRPr="004E0A37">
        <w:rPr>
          <w:rFonts w:hint="cs"/>
          <w:spacing w:val="0"/>
          <w:sz w:val="20"/>
          <w:rtl/>
        </w:rPr>
        <w:t>تكرر اللجنة توصياتها السابقة الموجهة إلى الجمهورية العربية السورية (</w:t>
      </w:r>
      <w:r w:rsidR="004E0A37" w:rsidRPr="004E0A37">
        <w:rPr>
          <w:spacing w:val="0"/>
          <w:sz w:val="20"/>
        </w:rPr>
        <w:t>CAT/C/SYR/CO/1</w:t>
      </w:r>
      <w:r w:rsidR="004E0A37" w:rsidRPr="004E0A37">
        <w:rPr>
          <w:rFonts w:hint="cs"/>
          <w:spacing w:val="0"/>
          <w:sz w:val="20"/>
          <w:rtl/>
        </w:rPr>
        <w:t>) عقب تقريرها الدوري الأول حيث تدعوها إلى ما يلي:</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إعادة التأكيد، بوضوح لا لبس فيه، على الطابع المطلق لحظر التعذيب ووضع حد فور</w:t>
      </w:r>
      <w:r w:rsidR="0081655E">
        <w:rPr>
          <w:rFonts w:hint="cs"/>
          <w:spacing w:val="0"/>
          <w:sz w:val="20"/>
          <w:rtl/>
        </w:rPr>
        <w:t xml:space="preserve">اً </w:t>
      </w:r>
      <w:r w:rsidRPr="004E0A37">
        <w:rPr>
          <w:rFonts w:hint="cs"/>
          <w:spacing w:val="0"/>
          <w:sz w:val="20"/>
          <w:rtl/>
        </w:rPr>
        <w:t>لممارسات التعذيب الواسعة النطاق والمنهجية وبخاصة ممارسات قوات الأمن وإدانتها علناً، مع توجيه تحذير واضح مؤداه أن أي شخص يرتكب مثل هذه الأفعال أو</w:t>
      </w:r>
      <w:r w:rsidR="00266D23">
        <w:rPr>
          <w:rFonts w:hint="eastAsia"/>
          <w:spacing w:val="0"/>
          <w:sz w:val="20"/>
          <w:rtl/>
        </w:rPr>
        <w:t> </w:t>
      </w:r>
      <w:r w:rsidRPr="004E0A37">
        <w:rPr>
          <w:rFonts w:hint="cs"/>
          <w:spacing w:val="0"/>
          <w:sz w:val="20"/>
          <w:rtl/>
        </w:rPr>
        <w:t>يتواطأ أو يشارك بأي شكل آخر في ممارسة التعذيب سيكون مسؤولاً مسؤولية شخصية أمام القانون عن هذه الأفعال وسيخضع للملاحقة الجنائية والعقوبات المناسبة؛</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اتخاذ تدابير صارمة على وجه السرعة لإلغاء المراسيم التي تمنح الحصانة من المساءلة عن الجرائم المرتكبة أثناء الخدمة، وهو ما يفضي من الناحية العملية إلى ظاهرة الإفلات من العقاب على أفعال التعذيب التي يرتكبها أفراد أجهزة الأمن وأجهزة الاستخبارات والشرطة؛</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(ج)</w:t>
      </w:r>
      <w:r w:rsidRPr="004E0A37">
        <w:rPr>
          <w:rFonts w:hint="cs"/>
          <w:spacing w:val="0"/>
          <w:sz w:val="20"/>
          <w:rtl/>
        </w:rPr>
        <w:tab/>
        <w:t>إنشاء نظام وطني مستقل لرصد جميع أماكن الاحتجاز وتفتيشها بصورة فعالة ومتابعة نتائج هذا الرصد المنهجي ولا سيما بالسماح للمكلفين بعمليات الرصد على المستويين الوطني والدولي بإجراء زيارات منتظمة ومفاجئة لمنع التعذيب وغيره من ضروب المعاملة أو العقوبة القاسية أو اللاإنسانية أو المهينة؛</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(د)</w:t>
      </w:r>
      <w:r w:rsidRPr="004E0A37">
        <w:rPr>
          <w:rFonts w:hint="cs"/>
          <w:spacing w:val="0"/>
          <w:sz w:val="20"/>
          <w:rtl/>
        </w:rPr>
        <w:tab/>
        <w:t>الإفراج عن جميع الأشخاص المحتجزين تعسفاً وضمان عدم احتجاز أي شخص في مرفق احتجاز سري يخضع للسيطرة الفعلية لسلطات الدولة بحكم الواقع والتحقيق في مسألة وجود هذه المرافق والكشف عنها وعن السلطة التي تقف وراء إنشائها وطريقة معاملة المحتجزين فيها والعمل فوراً على إغلاق جميع هذه المرافق؛</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(ﻫ)</w:t>
      </w:r>
      <w:r w:rsidRPr="004E0A37">
        <w:rPr>
          <w:rFonts w:hint="cs"/>
          <w:spacing w:val="0"/>
          <w:sz w:val="20"/>
          <w:rtl/>
        </w:rPr>
        <w:tab/>
        <w:t>التحقيق على وجه السرعة في كل قضية تتعلق بحالات الاختفاء القسري المبلغ عنها وإبلاغ نتائج التحقيقات إلى أسر الأشخاص المفقودين؛</w:t>
      </w:r>
    </w:p>
    <w:p w:rsidR="004E0A37" w:rsidRPr="004E0A37" w:rsidRDefault="004E0A37" w:rsidP="00B65A46">
      <w:pPr>
        <w:pStyle w:val="SingleTxtGA"/>
        <w:spacing w:after="60" w:line="360" w:lineRule="exact"/>
        <w:jc w:val="lowKashida"/>
        <w:rPr>
          <w:rFonts w:hint="cs"/>
          <w:spacing w:val="0"/>
          <w:sz w:val="20"/>
          <w:rtl/>
        </w:rPr>
      </w:pPr>
      <w:r w:rsidRPr="004E0A37">
        <w:rPr>
          <w:rFonts w:hint="cs"/>
          <w:spacing w:val="0"/>
          <w:sz w:val="20"/>
          <w:rtl/>
        </w:rPr>
        <w:tab/>
        <w:t>(و)</w:t>
      </w:r>
      <w:r w:rsidRPr="004E0A37">
        <w:rPr>
          <w:rFonts w:hint="cs"/>
          <w:spacing w:val="0"/>
          <w:sz w:val="20"/>
          <w:rtl/>
        </w:rPr>
        <w:tab/>
        <w:t>الوقف الفوري لجميع الاعتداءات على الصحفيين والمدافعين عن حقوق الإنسان والمناصرين لها واتخاذ كل التدابير اللازمة لضمان حماية جميع الأشخاص، بمن فيهم القائمون على رصد حقوق الإنسان، من أي ترهيب أو عنف نتيجة لأنشطتهم وتطبيق ضمانات حقوق الإنسان، لكفالة التحقيق الفوري والنزيه والفعال في هذه الأفعال ولمحاكمة مرتكبيها ومعاقبتهم وتوفير سبل الجبر، بما في ذلك التعويض، للضحايا؛</w:t>
      </w:r>
    </w:p>
    <w:p w:rsidR="004E0A37" w:rsidRPr="004E0A37" w:rsidRDefault="004E0A37" w:rsidP="004E0A37">
      <w:pPr>
        <w:pStyle w:val="SingleTxtGA"/>
        <w:jc w:val="lowKashida"/>
        <w:rPr>
          <w:rFonts w:hint="cs"/>
          <w:spacing w:val="0"/>
          <w:sz w:val="20"/>
          <w:rtl/>
        </w:rPr>
      </w:pPr>
      <w:r w:rsidRPr="004E0A37">
        <w:rPr>
          <w:rFonts w:hint="cs"/>
          <w:spacing w:val="0"/>
          <w:sz w:val="20"/>
          <w:rtl/>
        </w:rPr>
        <w:tab/>
        <w:t>(ز)</w:t>
      </w:r>
      <w:r w:rsidRPr="004E0A37">
        <w:rPr>
          <w:rFonts w:hint="cs"/>
          <w:spacing w:val="0"/>
          <w:sz w:val="20"/>
          <w:rtl/>
        </w:rPr>
        <w:tab/>
        <w:t xml:space="preserve">اتخاذ تدابير الحماية فوراً لجميع ضحايا التعذيب وإساءة المعاملة ويشمل ذلك إتاحة الحصول بسرعة على الرعاية الطبية ومنح جميع هؤلاء الضحايا الجبر بما في ذلك التعويض المنصف والكافي وإعادة تأهيلهم على أكمل وجه ممكن. </w:t>
      </w:r>
    </w:p>
    <w:p w:rsidR="004E0A37" w:rsidRPr="004E0A37" w:rsidRDefault="00AC7D2B" w:rsidP="004E0A37">
      <w:pPr>
        <w:pStyle w:val="SingleTxtGA"/>
        <w:jc w:val="lowKashida"/>
        <w:rPr>
          <w:rFonts w:hint="cs"/>
          <w:spacing w:val="0"/>
          <w:sz w:val="20"/>
          <w:rtl/>
        </w:rPr>
      </w:pPr>
      <w:r>
        <w:rPr>
          <w:rFonts w:hint="cs"/>
          <w:spacing w:val="0"/>
          <w:sz w:val="20"/>
          <w:rtl/>
        </w:rPr>
        <w:t>(</w:t>
      </w:r>
      <w:r w:rsidR="004E0A37" w:rsidRPr="004E0A37">
        <w:rPr>
          <w:rFonts w:hint="cs"/>
          <w:spacing w:val="0"/>
          <w:sz w:val="20"/>
          <w:rtl/>
        </w:rPr>
        <w:t>23</w:t>
      </w:r>
      <w:r w:rsidR="003E72B5">
        <w:rPr>
          <w:rFonts w:hint="cs"/>
          <w:spacing w:val="0"/>
          <w:sz w:val="20"/>
          <w:rtl/>
        </w:rPr>
        <w:t>)</w:t>
      </w:r>
      <w:r w:rsidR="003E72B5">
        <w:rPr>
          <w:rFonts w:hint="cs"/>
          <w:spacing w:val="0"/>
          <w:sz w:val="20"/>
          <w:rtl/>
        </w:rPr>
        <w:tab/>
      </w:r>
      <w:r w:rsidR="004E0A37" w:rsidRPr="004E0A37">
        <w:rPr>
          <w:rFonts w:hint="cs"/>
          <w:spacing w:val="0"/>
          <w:sz w:val="20"/>
          <w:rtl/>
        </w:rPr>
        <w:t>وعلاوة على ذلك، تشدد اللجنة بصورة ملحة، بالنظر إلى انتهاكات الاتفاقية الموثقة</w:t>
      </w:r>
      <w:r w:rsidR="004E0A37" w:rsidRPr="004E0A37">
        <w:rPr>
          <w:rFonts w:hint="eastAsia"/>
          <w:spacing w:val="0"/>
          <w:sz w:val="20"/>
          <w:rtl/>
        </w:rPr>
        <w:t> </w:t>
      </w:r>
      <w:r w:rsidR="004E0A37" w:rsidRPr="004E0A37">
        <w:rPr>
          <w:rFonts w:hint="cs"/>
          <w:spacing w:val="0"/>
          <w:sz w:val="20"/>
          <w:rtl/>
        </w:rPr>
        <w:t>بشكل مستفيض والتي تتواصل بلا هوادة، على ضرورة اضطلاع الجمهورية العربية السورية</w:t>
      </w:r>
      <w:r w:rsidR="004E0A37" w:rsidRPr="004E0A37">
        <w:rPr>
          <w:rFonts w:hint="eastAsia"/>
          <w:spacing w:val="0"/>
          <w:sz w:val="20"/>
          <w:rtl/>
        </w:rPr>
        <w:t> </w:t>
      </w:r>
      <w:r w:rsidR="004E0A37" w:rsidRPr="004E0A37">
        <w:rPr>
          <w:rFonts w:hint="cs"/>
          <w:spacing w:val="0"/>
          <w:sz w:val="20"/>
          <w:rtl/>
        </w:rPr>
        <w:t>بما يلي:</w:t>
      </w:r>
    </w:p>
    <w:p w:rsidR="004E0A37" w:rsidRPr="004E0A37" w:rsidRDefault="004E0A37" w:rsidP="00614E22">
      <w:pPr>
        <w:pStyle w:val="SingleTxtGA"/>
        <w:spacing w:line="360" w:lineRule="exact"/>
        <w:jc w:val="lowKashida"/>
        <w:rPr>
          <w:rFonts w:hint="cs"/>
          <w:spacing w:val="0"/>
          <w:sz w:val="20"/>
          <w:rtl/>
        </w:rPr>
      </w:pPr>
      <w:r w:rsidRPr="004E0A37">
        <w:rPr>
          <w:rFonts w:hint="cs"/>
          <w:spacing w:val="0"/>
          <w:sz w:val="20"/>
          <w:rtl/>
        </w:rPr>
        <w:tab/>
        <w:t>(أ)</w:t>
      </w:r>
      <w:r w:rsidRPr="004E0A37">
        <w:rPr>
          <w:rFonts w:hint="cs"/>
          <w:spacing w:val="0"/>
          <w:sz w:val="20"/>
          <w:rtl/>
        </w:rPr>
        <w:tab/>
        <w:t>الوفاء على الفور بالتزاماتها بموجب الاتفاقية المتمثلة في وقاية وحماية جميع الأفراد الخاضعين لولايتها من ممارسات التعذيب وغيره من ضروب المعاملة أو العقوبة القاسية أو اللاإنسانية أو المهينة. وتذكر اللجنة في هذا الصدد بأنه لا يجوز التذرع بأي ظروف استثنائية أياً كانت سواء أكانت هذه الظروف حالة حرب أم تهديداً بالحرب أم عدم استقرار سياسي داخلي أم أي حالة من حالات الطوارئ العامة الأخرى كمبرر للتعذيب؛</w:t>
      </w:r>
    </w:p>
    <w:p w:rsidR="004E0A37" w:rsidRPr="004E0A37" w:rsidRDefault="004E0A37" w:rsidP="00614E22">
      <w:pPr>
        <w:pStyle w:val="SingleTxtGA"/>
        <w:spacing w:line="360" w:lineRule="exact"/>
        <w:jc w:val="lowKashida"/>
        <w:rPr>
          <w:rFonts w:hint="cs"/>
          <w:spacing w:val="0"/>
          <w:sz w:val="20"/>
          <w:rtl/>
        </w:rPr>
      </w:pPr>
      <w:r w:rsidRPr="004E0A37">
        <w:rPr>
          <w:rFonts w:hint="cs"/>
          <w:spacing w:val="0"/>
          <w:sz w:val="20"/>
          <w:rtl/>
        </w:rPr>
        <w:tab/>
        <w:t>(ب)</w:t>
      </w:r>
      <w:r w:rsidRPr="004E0A37">
        <w:rPr>
          <w:rFonts w:hint="cs"/>
          <w:spacing w:val="0"/>
          <w:sz w:val="20"/>
          <w:rtl/>
        </w:rPr>
        <w:tab/>
        <w:t>وضع حد فوري لجميع الاعتداءات على سكانها ولا سيما المتظاهرين المسالمين والنساء والأطفال والمسنين؛ وضمان وقف كل الأفعال التي تنتهك الاتفاقية؛ ووقف الانتهاكات الجسيمة والمتواصلة على نطاق واسع لحقوق الإنسان لجميع الأشخاص الخاضعين لولايتها وخصوصاً الحرمان المنهجي في بعض المناطق من المقتضيات الأساسية لحياة الإنسان مثل الغذاء والماء والرعاية الطبية؛</w:t>
      </w:r>
    </w:p>
    <w:p w:rsidR="004E0A37" w:rsidRPr="004E0A37" w:rsidRDefault="004E0A37" w:rsidP="00614E22">
      <w:pPr>
        <w:pStyle w:val="SingleTxtGA"/>
        <w:spacing w:line="360" w:lineRule="exact"/>
        <w:jc w:val="lowKashida"/>
        <w:rPr>
          <w:rFonts w:hint="cs"/>
          <w:spacing w:val="0"/>
          <w:sz w:val="20"/>
          <w:rtl/>
        </w:rPr>
      </w:pPr>
      <w:r w:rsidRPr="004E0A37">
        <w:rPr>
          <w:rFonts w:hint="cs"/>
          <w:spacing w:val="0"/>
          <w:sz w:val="20"/>
          <w:rtl/>
        </w:rPr>
        <w:tab/>
        <w:t>(ج)</w:t>
      </w:r>
      <w:r w:rsidRPr="004E0A37">
        <w:rPr>
          <w:rFonts w:hint="cs"/>
          <w:spacing w:val="0"/>
          <w:sz w:val="20"/>
          <w:rtl/>
        </w:rPr>
        <w:tab/>
        <w:t>إنشاء لجنة مستقلة بمساعدة المجتمع الدولي تعنى بالتحقيق في الادعاءات الخطيرة المتعلقة بانتهاكات حقوق الإنسان التي ارتكبتها قوات الأمن والجماعات المسلحة العاملة تحت إشراف سلطات الدولة أو بموافقتها أو برضاها؛ ووقف أفراد قوات الأمن الذين توجد ادعاءات موثوقة بانتهاكهم حقوق الإنسان عن العمل ريثما تستكمل عمليات التحقيق؛ وضمان عدم تعرض المتعاونين من الأفراد أو الجماعات مع لجنة التحقيق لأي أعمال انتقامية أو لسوء المعاملة أو للتخويف نتيجة لهذا التعاون؛</w:t>
      </w:r>
    </w:p>
    <w:p w:rsidR="004E0A37" w:rsidRPr="004E0A37" w:rsidRDefault="004E0A37" w:rsidP="00614E22">
      <w:pPr>
        <w:pStyle w:val="SingleTxtGA"/>
        <w:spacing w:line="360" w:lineRule="exact"/>
        <w:jc w:val="lowKashida"/>
        <w:rPr>
          <w:rFonts w:hint="cs"/>
          <w:spacing w:val="0"/>
          <w:sz w:val="20"/>
          <w:rtl/>
        </w:rPr>
      </w:pPr>
      <w:r w:rsidRPr="004E0A37">
        <w:rPr>
          <w:rFonts w:hint="cs"/>
          <w:spacing w:val="0"/>
          <w:sz w:val="20"/>
          <w:rtl/>
        </w:rPr>
        <w:tab/>
        <w:t>(د)</w:t>
      </w:r>
      <w:r w:rsidRPr="004E0A37">
        <w:rPr>
          <w:rFonts w:hint="cs"/>
          <w:spacing w:val="0"/>
          <w:sz w:val="20"/>
          <w:rtl/>
        </w:rPr>
        <w:tab/>
        <w:t>ضمان إجراء تحقيقات فورية ونزيهة وشاملة في ادعاءات الإعدام بإجراءات موجزة والاختفاء القسري والتوقيف والاحتجاز التعسفيين والتعذيب أو المعاملة أو العقوبة القاسية أو اللاإنسانية أو المهينة على أيدي موظفي الدولة أو عناصر فاعلة غير تابعة للدولة ومحاكمة المسؤولين أمام محاكم مستقلة ونزيهة تفي بالمعايير الدولية للمحاكمة العادلة ومعاقبتهم</w:t>
      </w:r>
      <w:r w:rsidR="00B345DB">
        <w:rPr>
          <w:rFonts w:hint="cs"/>
          <w:spacing w:val="0"/>
          <w:sz w:val="20"/>
          <w:rtl/>
        </w:rPr>
        <w:t xml:space="preserve"> وفقاً </w:t>
      </w:r>
      <w:r w:rsidRPr="004E0A37">
        <w:rPr>
          <w:rFonts w:hint="cs"/>
          <w:spacing w:val="0"/>
          <w:sz w:val="20"/>
          <w:rtl/>
        </w:rPr>
        <w:t>لخطورة جرائمهم. وينبغي أن تشمل ملاحقة أفراد قوات الأمن المتورطين في الانتهاكات الجسيمة لحقوق الإنسان والجرائم ضد الإنسانية المدعى ارتكابها إجراء تحقيقات لا تستثني أعلى مستويات سلسلة القيادة.</w:t>
      </w:r>
    </w:p>
    <w:p w:rsidR="004E0A37" w:rsidRPr="004E0A37" w:rsidRDefault="00AC7D2B" w:rsidP="00614E22">
      <w:pPr>
        <w:pStyle w:val="SingleTxtGA"/>
        <w:spacing w:line="360" w:lineRule="exact"/>
        <w:jc w:val="lowKashida"/>
        <w:rPr>
          <w:spacing w:val="0"/>
          <w:sz w:val="20"/>
          <w:rtl/>
        </w:rPr>
      </w:pPr>
      <w:r>
        <w:rPr>
          <w:rFonts w:hint="cs"/>
          <w:spacing w:val="0"/>
          <w:sz w:val="20"/>
          <w:rtl/>
        </w:rPr>
        <w:t>(</w:t>
      </w:r>
      <w:r w:rsidR="004E0A37" w:rsidRPr="004E0A37">
        <w:rPr>
          <w:rFonts w:hint="cs"/>
          <w:spacing w:val="0"/>
          <w:sz w:val="20"/>
          <w:rtl/>
        </w:rPr>
        <w:t>24</w:t>
      </w:r>
      <w:r w:rsidR="003E72B5">
        <w:rPr>
          <w:rFonts w:hint="cs"/>
          <w:spacing w:val="0"/>
          <w:sz w:val="20"/>
          <w:rtl/>
        </w:rPr>
        <w:t>)</w:t>
      </w:r>
      <w:r w:rsidR="003E72B5">
        <w:rPr>
          <w:rFonts w:hint="cs"/>
          <w:spacing w:val="0"/>
          <w:sz w:val="20"/>
          <w:rtl/>
        </w:rPr>
        <w:tab/>
      </w:r>
      <w:r w:rsidR="004E0A37" w:rsidRPr="004E0A37">
        <w:rPr>
          <w:rFonts w:hint="cs"/>
          <w:spacing w:val="0"/>
          <w:sz w:val="20"/>
          <w:rtl/>
        </w:rPr>
        <w:t>وتهيب اللجنة بسلطات الجمهورية العربية السورية أن تكف عن خرقها الواضح للالتزامات بموجب الاتفاقية. وتطلب من الدولة الطرف وضع حد لممارساتها الحالية التي تنتهك الاتفاقية والتي لا يمكن قبولها على الإطلاق وتنفيذ برنامج فوري وصارم لضمان الامتثال للاتفاقية، لا سيما بالتعاون الفوري والمباشر مع اللجنة. وتحقيقاً لذلك، تطلب اللجنة، عملاً بنهاية الفقرة 1 من المادة 19 من الاتفاقية، من الجمهورية العربية السورية أن تقدم إليها، في موعد أقصاه 31 آب/أغسطس 2012، تقرير متابعة خاصاً عن التدابير المتخذة لتنفيذ التوصيات المذكورة أعلاه.</w:t>
      </w:r>
    </w:p>
    <w:p w:rsidR="004E0A37" w:rsidRPr="004E0A37" w:rsidRDefault="004E0A37" w:rsidP="00614E22">
      <w:pPr>
        <w:pStyle w:val="HChGA"/>
        <w:spacing w:before="120"/>
        <w:rPr>
          <w:rFonts w:hint="cs"/>
          <w:rtl/>
          <w:lang w:val="fr-CH"/>
        </w:rPr>
      </w:pPr>
      <w:r w:rsidRPr="004E0A37">
        <w:rPr>
          <w:rFonts w:hint="cs"/>
          <w:rtl/>
          <w:lang w:val="fr-CH"/>
        </w:rPr>
        <w:tab/>
        <w:t>رابعاً-</w:t>
      </w:r>
      <w:r w:rsidRPr="004E0A37">
        <w:rPr>
          <w:rFonts w:hint="cs"/>
          <w:rtl/>
          <w:lang w:val="fr-CH"/>
        </w:rPr>
        <w:tab/>
        <w:t>متابعة الملاحظات الختامية بشأن تقارير الدول الأطراف</w:t>
      </w:r>
    </w:p>
    <w:p w:rsidR="004E0A37" w:rsidRPr="004E0A37" w:rsidRDefault="004E0A37" w:rsidP="00A4030E">
      <w:pPr>
        <w:pStyle w:val="SingleTxtGA"/>
        <w:jc w:val="lowKashida"/>
        <w:rPr>
          <w:rFonts w:hint="cs"/>
          <w:spacing w:val="0"/>
          <w:sz w:val="20"/>
          <w:rtl/>
        </w:rPr>
      </w:pPr>
      <w:r w:rsidRPr="004E0A37">
        <w:rPr>
          <w:rFonts w:hint="cs"/>
          <w:spacing w:val="0"/>
          <w:sz w:val="20"/>
          <w:rtl/>
        </w:rPr>
        <w:t>68-</w:t>
      </w:r>
      <w:r w:rsidRPr="004E0A37">
        <w:rPr>
          <w:rFonts w:hint="cs"/>
          <w:spacing w:val="0"/>
          <w:sz w:val="20"/>
          <w:rtl/>
          <w:lang/>
        </w:rPr>
        <w:tab/>
        <w:t xml:space="preserve">يقدم هذا الفصل </w:t>
      </w:r>
      <w:r w:rsidRPr="004E0A37">
        <w:rPr>
          <w:rFonts w:hint="cs"/>
          <w:spacing w:val="0"/>
          <w:sz w:val="20"/>
          <w:rtl/>
        </w:rPr>
        <w:t>معلومات عن ردود المتابعة الواردة من الدول الأطراف وعن أنشطة المقررة المعنية بمتابعة الملاحظات الختامية بموجب المادة 19 من الاتفاقية، بما في ذلك آراء المقررة بشأن نتائج هذا الإجراء. وقد تم تحديث هذه المعلومات إلى غاية 1 حزيران/</w:t>
      </w:r>
      <w:r w:rsidR="0081655E">
        <w:rPr>
          <w:rFonts w:hint="cs"/>
          <w:spacing w:val="0"/>
          <w:sz w:val="20"/>
          <w:rtl/>
        </w:rPr>
        <w:t xml:space="preserve"> </w:t>
      </w:r>
      <w:r w:rsidRPr="004E0A37">
        <w:rPr>
          <w:rFonts w:hint="cs"/>
          <w:spacing w:val="0"/>
          <w:sz w:val="20"/>
          <w:rtl/>
        </w:rPr>
        <w:t xml:space="preserve">يونيه 2012، موعد انتهاء الدورة الثامنة والأربعين للجنة. </w:t>
      </w:r>
    </w:p>
    <w:p w:rsidR="004E0A37" w:rsidRPr="004E0A37" w:rsidRDefault="004E0A37" w:rsidP="00727BAF">
      <w:pPr>
        <w:pStyle w:val="SingleTxtGA"/>
        <w:jc w:val="lowKashida"/>
        <w:rPr>
          <w:rFonts w:hint="cs"/>
          <w:spacing w:val="0"/>
          <w:sz w:val="20"/>
          <w:rtl/>
        </w:rPr>
      </w:pPr>
      <w:r w:rsidRPr="004E0A37">
        <w:rPr>
          <w:rFonts w:hint="cs"/>
          <w:spacing w:val="0"/>
          <w:sz w:val="20"/>
          <w:rtl/>
        </w:rPr>
        <w:t>69-</w:t>
      </w:r>
      <w:r w:rsidRPr="004E0A37">
        <w:rPr>
          <w:rFonts w:hint="cs"/>
          <w:spacing w:val="0"/>
          <w:sz w:val="20"/>
          <w:rtl/>
        </w:rPr>
        <w:tab/>
        <w:t>وقدمت اللجنة في تقريرها السنوي لعامي 2005-2006</w:t>
      </w:r>
      <w:r w:rsidR="00727BAF">
        <w:rPr>
          <w:spacing w:val="0"/>
          <w:sz w:val="20"/>
          <w:vertAlign w:val="superscript"/>
          <w:rtl/>
        </w:rPr>
        <w:t>(</w:t>
      </w:r>
      <w:r w:rsidR="00727BAF">
        <w:rPr>
          <w:rStyle w:val="FootnoteReference"/>
          <w:spacing w:val="0"/>
          <w:rtl/>
        </w:rPr>
        <w:footnoteReference w:id="12"/>
      </w:r>
      <w:r w:rsidR="00727BAF">
        <w:rPr>
          <w:spacing w:val="0"/>
          <w:sz w:val="20"/>
          <w:vertAlign w:val="superscript"/>
          <w:rtl/>
        </w:rPr>
        <w:t>)</w:t>
      </w:r>
      <w:r w:rsidR="00727BAF">
        <w:rPr>
          <w:rFonts w:hint="cs"/>
          <w:spacing w:val="0"/>
          <w:sz w:val="20"/>
          <w:rtl/>
        </w:rPr>
        <w:t xml:space="preserve"> </w:t>
      </w:r>
      <w:r w:rsidRPr="004E0A37">
        <w:rPr>
          <w:rFonts w:hint="cs"/>
          <w:spacing w:val="0"/>
          <w:sz w:val="20"/>
          <w:rtl/>
        </w:rPr>
        <w:t>وصفاً للإطار الذي وضعته للمتابعة عقب اعتماد الملاحظات الختامية على تقارير الدول الأطراف. وقدمت اللجنة في تقاريرها للسنوات اللاحقة معلومات عن تجربتها في تلقي المعلومات المتعلقة بتدابير المتابعة التي اتخذتها الدول الأطراف منذ بدء العمل بالإجراء في أيار/مايو 2003.</w:t>
      </w:r>
    </w:p>
    <w:p w:rsidR="004E0A37" w:rsidRPr="004E0A37" w:rsidRDefault="004E0A37" w:rsidP="004E0A37">
      <w:pPr>
        <w:pStyle w:val="SingleTxtGA"/>
        <w:jc w:val="lowKashida"/>
        <w:rPr>
          <w:rFonts w:hint="cs"/>
          <w:spacing w:val="0"/>
          <w:sz w:val="20"/>
          <w:rtl/>
        </w:rPr>
      </w:pPr>
      <w:r w:rsidRPr="004E0A37">
        <w:rPr>
          <w:rFonts w:hint="cs"/>
          <w:spacing w:val="0"/>
          <w:sz w:val="20"/>
          <w:rtl/>
        </w:rPr>
        <w:t>70-</w:t>
      </w:r>
      <w:r w:rsidRPr="004E0A37">
        <w:rPr>
          <w:rFonts w:hint="cs"/>
          <w:spacing w:val="0"/>
          <w:sz w:val="20"/>
          <w:rtl/>
        </w:rPr>
        <w:tab/>
        <w:t>وأنشأت اللجنة،</w:t>
      </w:r>
      <w:r w:rsidR="00B345DB">
        <w:rPr>
          <w:rFonts w:hint="cs"/>
          <w:spacing w:val="0"/>
          <w:sz w:val="20"/>
          <w:rtl/>
        </w:rPr>
        <w:t xml:space="preserve"> وفقاً </w:t>
      </w:r>
      <w:r w:rsidRPr="004E0A37">
        <w:rPr>
          <w:rFonts w:hint="cs"/>
          <w:spacing w:val="0"/>
          <w:sz w:val="20"/>
          <w:rtl/>
        </w:rPr>
        <w:t>لنظامها الداخلي، منصب المقرر المعني بمتابعة الملاحظات الختامية الموضوعة بموجب المادة 19 من الاتفاقية وعيَّنت السيدة فيليس غايير لشغل ذلك المنصب. وفي الدورتين السابعة والأربعين والثامنة والأربعين (تشرين الأول/أكتوبر - تشرين الثاني/نوفمبر 2011 وأيار/مايو - حزيران/يونيه 2012 على التوالي)، قدّمت المقررة للجنة تقريراً مرحلياً عن نتائج هذا الإجراء.</w:t>
      </w:r>
    </w:p>
    <w:p w:rsidR="004E0A37" w:rsidRPr="004E0A37" w:rsidRDefault="004E0A37" w:rsidP="004E0A37">
      <w:pPr>
        <w:pStyle w:val="SingleTxtGA"/>
        <w:jc w:val="lowKashida"/>
        <w:rPr>
          <w:rFonts w:hint="cs"/>
          <w:spacing w:val="0"/>
          <w:sz w:val="20"/>
          <w:rtl/>
        </w:rPr>
      </w:pPr>
      <w:r w:rsidRPr="004E0A37">
        <w:rPr>
          <w:rFonts w:hint="cs"/>
          <w:spacing w:val="0"/>
          <w:sz w:val="20"/>
          <w:rtl/>
        </w:rPr>
        <w:t>71-</w:t>
      </w:r>
      <w:r w:rsidRPr="004E0A37">
        <w:rPr>
          <w:rFonts w:hint="cs"/>
          <w:spacing w:val="0"/>
          <w:sz w:val="20"/>
          <w:rtl/>
        </w:rPr>
        <w:tab/>
        <w:t>وفي اختتام استعراض اللجنة لتقرير كل دولة طرف، تحدد اللجنة دواعي القلق وتوصي بتدابير محددة بغية منع أعمال التعذيب و/أو سوء المعاملة. وتساعد اللجنة بذلك الدول الأطراف على تحديد التدابير التشريعية والقضائية والإدارية الفعالة وغيرها من التدابير من أجل جعل قوانينها وممارساتها موافقة للالتزامات الناشئة عن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72-</w:t>
      </w:r>
      <w:r w:rsidRPr="004E0A37">
        <w:rPr>
          <w:rFonts w:hint="cs"/>
          <w:spacing w:val="0"/>
          <w:sz w:val="20"/>
          <w:rtl/>
        </w:rPr>
        <w:tab/>
        <w:t>ووفقاً للإجراء الذي أنشئ بشأن المتابعة، حددت اللجنة عدداً من توصياتها التي وجهتها لكل دولة طرف على أنها تستدعي تقديم معلومات إضافية في غضون سنة واحدة. وحددت اللجنة توصيات المتابعة هذه لأنها توصيات جادة ووقائية ويُعتقد أن إنجازها ممكن في ظرف سنة واحدة. والدول الأطراف مدعوة إلى تقديم معلومات في غضون سنة بشأن التدابير المتخذة لوضع توصيات المتابعة موضع التنفيذ. وهذه التوصيات التي تتطلب المتابعة في غضون سنة واحدة مدرجة بشكل محدد في فقرة ترد في نهاية كل مجموعة من الملاحظات الختامية.</w:t>
      </w:r>
    </w:p>
    <w:p w:rsidR="004E0A37" w:rsidRPr="004E0A37" w:rsidRDefault="004E0A37" w:rsidP="00DE0C73">
      <w:pPr>
        <w:pStyle w:val="SingleTxtGA"/>
        <w:jc w:val="lowKashida"/>
        <w:rPr>
          <w:rFonts w:hint="cs"/>
          <w:spacing w:val="0"/>
          <w:sz w:val="20"/>
          <w:rtl/>
        </w:rPr>
      </w:pPr>
      <w:r w:rsidRPr="004E0A37">
        <w:rPr>
          <w:rFonts w:hint="cs"/>
          <w:spacing w:val="0"/>
          <w:sz w:val="20"/>
          <w:rtl/>
        </w:rPr>
        <w:t>73-</w:t>
      </w:r>
      <w:r w:rsidRPr="004E0A37">
        <w:rPr>
          <w:rFonts w:hint="cs"/>
          <w:spacing w:val="0"/>
          <w:sz w:val="20"/>
          <w:rtl/>
        </w:rPr>
        <w:tab/>
        <w:t xml:space="preserve">ومنذ أن أُنشئ الإجراء في الدورة الثلاثين في أيار/مايو 2003 وحتى نهاية الدورة الثامنة والأربعين في </w:t>
      </w:r>
      <w:r w:rsidRPr="004E0A37">
        <w:rPr>
          <w:rFonts w:hint="cs"/>
          <w:spacing w:val="0"/>
          <w:sz w:val="20"/>
          <w:rtl/>
          <w:lang/>
        </w:rPr>
        <w:t>وأيار/مايو - حزيران/يونيه 2012</w:t>
      </w:r>
      <w:r w:rsidRPr="004E0A37">
        <w:rPr>
          <w:rFonts w:hint="cs"/>
          <w:spacing w:val="0"/>
          <w:sz w:val="20"/>
          <w:rtl/>
        </w:rPr>
        <w:t>، استعرضت اللجنة 126 تقريرًا مقدمة من الدول الأطراف وتوصلت بشأنها إلى توصيات بالمتابعة (عدد الدول الأطراف 99 دولةً، منها 27 دولة خضعت للاستعراض مرتين)</w:t>
      </w:r>
      <w:r w:rsidR="00727BAF">
        <w:rPr>
          <w:spacing w:val="0"/>
          <w:sz w:val="20"/>
          <w:vertAlign w:val="superscript"/>
          <w:rtl/>
        </w:rPr>
        <w:t>(</w:t>
      </w:r>
      <w:r w:rsidR="00727BAF">
        <w:rPr>
          <w:rStyle w:val="FootnoteReference"/>
          <w:spacing w:val="0"/>
          <w:rtl/>
        </w:rPr>
        <w:footnoteReference w:id="13"/>
      </w:r>
      <w:r w:rsidR="00727BAF">
        <w:rPr>
          <w:spacing w:val="0"/>
          <w:sz w:val="20"/>
          <w:vertAlign w:val="superscript"/>
          <w:rtl/>
        </w:rPr>
        <w:t>)</w:t>
      </w:r>
      <w:r w:rsidRPr="004E0A37">
        <w:rPr>
          <w:rFonts w:hint="cs"/>
          <w:spacing w:val="0"/>
          <w:sz w:val="20"/>
          <w:rtl/>
        </w:rPr>
        <w:t>. ومن أصل 109 من الدول الأطراف التي كان من المقرر أن تقدم تقاريرها المتعلقة بالمتابعة بحلول 1 حزيران/يونيه 2012، وهو تاريخ اعتماد هذا التقرير، تلقت اللجنة 74 تقريراً، أي بواقع 68 في المائة من معدل الاستجابة الإجمالي. وحتى 1 حزيران/يونيه 2012،</w:t>
      </w:r>
      <w:r w:rsidR="00335AC0">
        <w:rPr>
          <w:rFonts w:hint="cs"/>
          <w:spacing w:val="0"/>
          <w:sz w:val="20"/>
          <w:rtl/>
        </w:rPr>
        <w:t xml:space="preserve"> لم </w:t>
      </w:r>
      <w:r w:rsidRPr="004E0A37">
        <w:rPr>
          <w:rFonts w:hint="cs"/>
          <w:spacing w:val="0"/>
          <w:sz w:val="20"/>
          <w:rtl/>
        </w:rPr>
        <w:t>تكن 33 دولة قد قدمت بعد معلومات بشأن المتابعة كان قد حل موعد تقديمها، وهي إثيوبيا (الدورة الخامسة والأربعون) وا</w:t>
      </w:r>
      <w:r w:rsidRPr="004E0A37">
        <w:rPr>
          <w:spacing w:val="0"/>
          <w:sz w:val="20"/>
          <w:rtl/>
        </w:rPr>
        <w:t>لأردن</w:t>
      </w:r>
      <w:r w:rsidRPr="004E0A37">
        <w:rPr>
          <w:rFonts w:hint="cs"/>
          <w:spacing w:val="0"/>
          <w:sz w:val="20"/>
          <w:rtl/>
        </w:rPr>
        <w:t xml:space="preserve"> (الدورة الرابعة والأربعون) وإكوادور (الدورة الخامسة والأربعون) </w:t>
      </w:r>
      <w:r w:rsidRPr="004E0A37">
        <w:rPr>
          <w:spacing w:val="0"/>
          <w:sz w:val="20"/>
          <w:rtl/>
        </w:rPr>
        <w:t>وإندونيسيا</w:t>
      </w:r>
      <w:r w:rsidRPr="004E0A37">
        <w:rPr>
          <w:rFonts w:hint="cs"/>
          <w:spacing w:val="0"/>
          <w:sz w:val="20"/>
          <w:rtl/>
        </w:rPr>
        <w:t xml:space="preserve"> (الدورة الأربعون) </w:t>
      </w:r>
      <w:r w:rsidRPr="004E0A37">
        <w:rPr>
          <w:spacing w:val="0"/>
          <w:sz w:val="20"/>
          <w:rtl/>
        </w:rPr>
        <w:t>وأوغندا</w:t>
      </w:r>
      <w:r w:rsidRPr="004E0A37">
        <w:rPr>
          <w:rFonts w:hint="cs"/>
          <w:spacing w:val="0"/>
          <w:sz w:val="20"/>
          <w:rtl/>
        </w:rPr>
        <w:t xml:space="preserve"> (الدورة الرابعة والثلاثون) و</w:t>
      </w:r>
      <w:r w:rsidR="00F64788">
        <w:rPr>
          <w:rFonts w:hint="cs"/>
          <w:spacing w:val="0"/>
          <w:sz w:val="20"/>
          <w:rtl/>
        </w:rPr>
        <w:t>آيرلندا</w:t>
      </w:r>
      <w:r w:rsidRPr="004E0A37">
        <w:rPr>
          <w:rFonts w:hint="cs"/>
          <w:spacing w:val="0"/>
          <w:sz w:val="20"/>
          <w:rtl/>
        </w:rPr>
        <w:t xml:space="preserve"> (الدورة السادسة والأربعون) </w:t>
      </w:r>
      <w:r w:rsidRPr="004E0A37">
        <w:rPr>
          <w:spacing w:val="0"/>
          <w:sz w:val="20"/>
          <w:rtl/>
        </w:rPr>
        <w:t>وبلغاريا</w:t>
      </w:r>
      <w:r w:rsidRPr="004E0A37">
        <w:rPr>
          <w:rFonts w:hint="cs"/>
          <w:spacing w:val="0"/>
          <w:sz w:val="20"/>
          <w:rtl/>
        </w:rPr>
        <w:t xml:space="preserve"> (الدورة الثانية والثلاثون) </w:t>
      </w:r>
      <w:r w:rsidRPr="004E0A37">
        <w:rPr>
          <w:spacing w:val="0"/>
          <w:sz w:val="20"/>
          <w:rtl/>
        </w:rPr>
        <w:t>وبنن</w:t>
      </w:r>
      <w:r w:rsidRPr="004E0A37">
        <w:rPr>
          <w:rFonts w:hint="cs"/>
          <w:spacing w:val="0"/>
          <w:sz w:val="20"/>
          <w:rtl/>
        </w:rPr>
        <w:t xml:space="preserve"> (الدورة التاسعة والثلاثون) </w:t>
      </w:r>
      <w:r w:rsidRPr="004E0A37">
        <w:rPr>
          <w:spacing w:val="0"/>
          <w:sz w:val="20"/>
          <w:rtl/>
        </w:rPr>
        <w:t>وبوروندي</w:t>
      </w:r>
      <w:r w:rsidRPr="004E0A37">
        <w:rPr>
          <w:rFonts w:hint="cs"/>
          <w:spacing w:val="0"/>
          <w:sz w:val="20"/>
          <w:rtl/>
        </w:rPr>
        <w:t xml:space="preserve"> (الدورة السابعة والثلاثون) </w:t>
      </w:r>
      <w:r w:rsidRPr="004E0A37">
        <w:rPr>
          <w:spacing w:val="0"/>
          <w:sz w:val="20"/>
          <w:rtl/>
        </w:rPr>
        <w:t>وبيرو</w:t>
      </w:r>
      <w:r w:rsidRPr="004E0A37">
        <w:rPr>
          <w:rFonts w:hint="cs"/>
          <w:spacing w:val="0"/>
          <w:sz w:val="20"/>
          <w:rtl/>
        </w:rPr>
        <w:t xml:space="preserve"> (الدورة السادسة والثلاثون) وتركمانستان (الدورة السادسة والأربعون) </w:t>
      </w:r>
      <w:r w:rsidRPr="004E0A37">
        <w:rPr>
          <w:spacing w:val="0"/>
          <w:sz w:val="20"/>
          <w:rtl/>
        </w:rPr>
        <w:t>وتشاد</w:t>
      </w:r>
      <w:r w:rsidRPr="004E0A37">
        <w:rPr>
          <w:rFonts w:hint="cs"/>
          <w:spacing w:val="0"/>
          <w:sz w:val="20"/>
          <w:rtl/>
        </w:rPr>
        <w:t xml:space="preserve"> (الدورة الثانية والأربعون) </w:t>
      </w:r>
      <w:r w:rsidRPr="004E0A37">
        <w:rPr>
          <w:spacing w:val="0"/>
          <w:sz w:val="20"/>
          <w:rtl/>
        </w:rPr>
        <w:t>وتوغو</w:t>
      </w:r>
      <w:r w:rsidRPr="004E0A37">
        <w:rPr>
          <w:rFonts w:hint="cs"/>
          <w:spacing w:val="0"/>
          <w:sz w:val="20"/>
          <w:rtl/>
        </w:rPr>
        <w:t xml:space="preserve"> (الدورة السادسة والثلاثون) وجمهورية </w:t>
      </w:r>
      <w:r w:rsidRPr="004E0A37">
        <w:rPr>
          <w:spacing w:val="0"/>
          <w:sz w:val="20"/>
          <w:rtl/>
        </w:rPr>
        <w:t>الكونغو الديمقراطية</w:t>
      </w:r>
      <w:r w:rsidRPr="004E0A37">
        <w:rPr>
          <w:rFonts w:hint="cs"/>
          <w:spacing w:val="0"/>
          <w:sz w:val="20"/>
          <w:rtl/>
        </w:rPr>
        <w:t xml:space="preserve"> (الدورة الخامسة والثلاثون) </w:t>
      </w:r>
      <w:r w:rsidRPr="004E0A37">
        <w:rPr>
          <w:spacing w:val="0"/>
          <w:sz w:val="20"/>
          <w:rtl/>
        </w:rPr>
        <w:t>وجمهورية مولدوفا</w:t>
      </w:r>
      <w:r w:rsidRPr="004E0A37">
        <w:rPr>
          <w:rFonts w:hint="cs"/>
          <w:spacing w:val="0"/>
          <w:sz w:val="20"/>
          <w:rtl/>
        </w:rPr>
        <w:t xml:space="preserve"> (الدورة الثلاثون) </w:t>
      </w:r>
      <w:r w:rsidRPr="004E0A37">
        <w:rPr>
          <w:spacing w:val="0"/>
          <w:sz w:val="20"/>
          <w:rtl/>
        </w:rPr>
        <w:t>وجنوب أفريقيا</w:t>
      </w:r>
      <w:r w:rsidRPr="004E0A37">
        <w:rPr>
          <w:rFonts w:hint="cs"/>
          <w:spacing w:val="0"/>
          <w:sz w:val="20"/>
          <w:rtl/>
        </w:rPr>
        <w:t xml:space="preserve"> (الدورة السابعة والثلاثون) </w:t>
      </w:r>
      <w:r w:rsidRPr="004E0A37">
        <w:rPr>
          <w:spacing w:val="0"/>
          <w:sz w:val="20"/>
          <w:rtl/>
        </w:rPr>
        <w:t>وزامبيا</w:t>
      </w:r>
      <w:r w:rsidRPr="004E0A37">
        <w:rPr>
          <w:rFonts w:hint="cs"/>
          <w:spacing w:val="0"/>
          <w:sz w:val="20"/>
          <w:rtl/>
        </w:rPr>
        <w:t xml:space="preserve"> (الدورة الأربعون) </w:t>
      </w:r>
      <w:r w:rsidRPr="004E0A37">
        <w:rPr>
          <w:spacing w:val="0"/>
          <w:sz w:val="20"/>
          <w:rtl/>
        </w:rPr>
        <w:t>والسلفادور</w:t>
      </w:r>
      <w:r w:rsidRPr="004E0A37">
        <w:rPr>
          <w:rFonts w:hint="cs"/>
          <w:spacing w:val="0"/>
          <w:sz w:val="20"/>
          <w:rtl/>
        </w:rPr>
        <w:t xml:space="preserve"> (الدورة الثالثة والأربعون) وسلوفينيا (الدورة السادسة والأربعون) وطاجيكستان (الدورة السابعة والثلاثون) </w:t>
      </w:r>
      <w:r w:rsidRPr="004E0A37">
        <w:rPr>
          <w:spacing w:val="0"/>
          <w:sz w:val="20"/>
          <w:rtl/>
        </w:rPr>
        <w:t>و</w:t>
      </w:r>
      <w:r w:rsidRPr="004E0A37">
        <w:rPr>
          <w:rFonts w:hint="cs"/>
          <w:spacing w:val="0"/>
          <w:sz w:val="20"/>
          <w:rtl/>
        </w:rPr>
        <w:t xml:space="preserve">غانا (الدورة السادسة والأربعون) </w:t>
      </w:r>
      <w:r w:rsidRPr="004E0A37">
        <w:rPr>
          <w:spacing w:val="0"/>
          <w:sz w:val="20"/>
          <w:rtl/>
        </w:rPr>
        <w:t>وف</w:t>
      </w:r>
      <w:r w:rsidRPr="004E0A37">
        <w:rPr>
          <w:rFonts w:hint="cs"/>
          <w:spacing w:val="0"/>
          <w:sz w:val="20"/>
          <w:rtl/>
        </w:rPr>
        <w:t>نلند</w:t>
      </w:r>
      <w:r w:rsidRPr="004E0A37">
        <w:rPr>
          <w:spacing w:val="0"/>
          <w:sz w:val="20"/>
          <w:rtl/>
        </w:rPr>
        <w:t>ا</w:t>
      </w:r>
      <w:r w:rsidRPr="004E0A37">
        <w:rPr>
          <w:rFonts w:hint="cs"/>
          <w:spacing w:val="0"/>
          <w:sz w:val="20"/>
          <w:rtl/>
        </w:rPr>
        <w:t xml:space="preserve"> (الدورة السادسة والأربعون) </w:t>
      </w:r>
      <w:r w:rsidRPr="004E0A37">
        <w:rPr>
          <w:spacing w:val="0"/>
          <w:sz w:val="20"/>
          <w:rtl/>
        </w:rPr>
        <w:t>والكاميرون</w:t>
      </w:r>
      <w:r w:rsidRPr="004E0A37">
        <w:rPr>
          <w:rFonts w:hint="cs"/>
          <w:spacing w:val="0"/>
          <w:sz w:val="20"/>
          <w:rtl/>
        </w:rPr>
        <w:t xml:space="preserve"> (الدورة الرابعة والأربعون والدورة الحادية والثلاثون) </w:t>
      </w:r>
      <w:r w:rsidRPr="004E0A37">
        <w:rPr>
          <w:spacing w:val="0"/>
          <w:sz w:val="20"/>
          <w:rtl/>
        </w:rPr>
        <w:t>وكمبوديا</w:t>
      </w:r>
      <w:r w:rsidRPr="004E0A37">
        <w:rPr>
          <w:rFonts w:hint="cs"/>
          <w:spacing w:val="0"/>
          <w:sz w:val="20"/>
          <w:rtl/>
        </w:rPr>
        <w:t xml:space="preserve"> (الدورة الخامسة والأربعون والدورة الحادية والثلاثون) </w:t>
      </w:r>
      <w:r w:rsidRPr="004E0A37">
        <w:rPr>
          <w:spacing w:val="0"/>
          <w:sz w:val="20"/>
          <w:rtl/>
        </w:rPr>
        <w:t>وكوستاريكا</w:t>
      </w:r>
      <w:r w:rsidRPr="004E0A37">
        <w:rPr>
          <w:rFonts w:hint="cs"/>
          <w:spacing w:val="0"/>
          <w:sz w:val="20"/>
          <w:rtl/>
        </w:rPr>
        <w:t xml:space="preserve"> (الدورة الأربعون) </w:t>
      </w:r>
      <w:r w:rsidRPr="004E0A37">
        <w:rPr>
          <w:spacing w:val="0"/>
          <w:sz w:val="20"/>
          <w:rtl/>
        </w:rPr>
        <w:t>و</w:t>
      </w:r>
      <w:r w:rsidRPr="004E0A37">
        <w:rPr>
          <w:rFonts w:hint="cs"/>
          <w:spacing w:val="0"/>
          <w:sz w:val="20"/>
          <w:rtl/>
        </w:rPr>
        <w:t xml:space="preserve">الكويت (الدورة السادسة والأربعون) ولكسمبرغ (الدورة الثامنة والثلاثون) ومنغوليا (الدورة الخامسة والأربعون) وموريشيوس (الدورة السادسة والأربعون) وموناكو (الدورة السادسة والأربعون) </w:t>
      </w:r>
      <w:r w:rsidRPr="004E0A37">
        <w:rPr>
          <w:spacing w:val="0"/>
          <w:sz w:val="20"/>
          <w:rtl/>
        </w:rPr>
        <w:t>ونيكاراغوا</w:t>
      </w:r>
      <w:r w:rsidRPr="004E0A37">
        <w:rPr>
          <w:rFonts w:hint="cs"/>
          <w:spacing w:val="0"/>
          <w:sz w:val="20"/>
          <w:rtl/>
        </w:rPr>
        <w:t xml:space="preserve"> (الدورة الثانية والأربعون) </w:t>
      </w:r>
      <w:r w:rsidRPr="004E0A37">
        <w:rPr>
          <w:spacing w:val="0"/>
          <w:sz w:val="20"/>
          <w:rtl/>
        </w:rPr>
        <w:t>وهندوراس</w:t>
      </w:r>
      <w:r w:rsidRPr="004E0A37">
        <w:rPr>
          <w:rFonts w:hint="cs"/>
          <w:spacing w:val="0"/>
          <w:sz w:val="20"/>
          <w:rtl/>
        </w:rPr>
        <w:t xml:space="preserve"> (الدورة الثانية والأربعون) </w:t>
      </w:r>
      <w:r w:rsidRPr="004E0A37">
        <w:rPr>
          <w:spacing w:val="0"/>
          <w:sz w:val="20"/>
          <w:rtl/>
        </w:rPr>
        <w:t>واليمن</w:t>
      </w:r>
      <w:r w:rsidRPr="004E0A37">
        <w:rPr>
          <w:rFonts w:hint="cs"/>
          <w:spacing w:val="0"/>
          <w:sz w:val="20"/>
          <w:rtl/>
        </w:rPr>
        <w:t xml:space="preserve"> (الدورة الرابعة والأربعون). وكما يتبيّن من هذه القائمة، فإن الدول الأطراف ا</w:t>
      </w:r>
      <w:r w:rsidR="00DE0C73" w:rsidRPr="00DE0C73">
        <w:rPr>
          <w:rFonts w:hint="cs"/>
          <w:spacing w:val="0"/>
          <w:sz w:val="30"/>
          <w:rtl/>
        </w:rPr>
        <w:t>ل‍</w:t>
      </w:r>
      <w:r w:rsidR="00DE0C73">
        <w:rPr>
          <w:rFonts w:hint="eastAsia"/>
          <w:spacing w:val="0"/>
          <w:sz w:val="20"/>
          <w:rtl/>
        </w:rPr>
        <w:t> </w:t>
      </w:r>
      <w:r w:rsidRPr="004E0A37">
        <w:rPr>
          <w:rFonts w:hint="cs"/>
          <w:spacing w:val="0"/>
          <w:sz w:val="20"/>
          <w:rtl/>
        </w:rPr>
        <w:t>33 التي</w:t>
      </w:r>
      <w:r w:rsidR="00335AC0">
        <w:rPr>
          <w:rFonts w:hint="cs"/>
          <w:spacing w:val="0"/>
          <w:sz w:val="20"/>
          <w:rtl/>
        </w:rPr>
        <w:t xml:space="preserve"> لم </w:t>
      </w:r>
      <w:r w:rsidRPr="004E0A37">
        <w:rPr>
          <w:rFonts w:hint="cs"/>
          <w:spacing w:val="0"/>
          <w:sz w:val="20"/>
          <w:rtl/>
        </w:rPr>
        <w:t>تقدم أية معلومات في إطار إجراء المتابعة حتى تاريخ 1 حزيران/يونيه 2012 تنتمي إلى مناطق العالم كافة.</w:t>
      </w:r>
    </w:p>
    <w:p w:rsidR="004E0A37" w:rsidRPr="004E0A37" w:rsidRDefault="004E0A37" w:rsidP="004E0A37">
      <w:pPr>
        <w:pStyle w:val="SingleTxtGA"/>
        <w:jc w:val="lowKashida"/>
        <w:rPr>
          <w:rFonts w:hint="cs"/>
          <w:spacing w:val="0"/>
          <w:sz w:val="20"/>
          <w:rtl/>
        </w:rPr>
      </w:pPr>
      <w:r w:rsidRPr="004E0A37">
        <w:rPr>
          <w:rFonts w:hint="cs"/>
          <w:spacing w:val="0"/>
          <w:sz w:val="20"/>
          <w:rtl/>
        </w:rPr>
        <w:t>74-</w:t>
      </w:r>
      <w:r w:rsidRPr="004E0A37">
        <w:rPr>
          <w:rFonts w:hint="cs"/>
          <w:spacing w:val="0"/>
          <w:sz w:val="20"/>
          <w:rtl/>
        </w:rPr>
        <w:tab/>
        <w:t xml:space="preserve">وتُوجّه المقررة رسائل تذكير تطلب فيها المعلومات المتأخرة إلى كل دولة من الدول التي حل موعد تقديم معلومات المتابعة الخاصة بها ولم تقدمها. ويمكن الاطلاع على حالة متابعة الملاحظات الختامية على الجدول المتاح على صفحات الويب التابعة للجنة. وكانت اللجنة قد أنشأت، في عام 2010، صفحة مستقلة خاصة بالمتابعة على الشبكة على العنوان التالي: </w:t>
      </w:r>
      <w:r w:rsidRPr="004E0A37">
        <w:rPr>
          <w:spacing w:val="0"/>
          <w:sz w:val="20"/>
        </w:rPr>
        <w:t>(http://www2.ohchr.org/english/bodies/cat/follow-procedure.htm)</w:t>
      </w:r>
      <w:r w:rsidRPr="004E0A37">
        <w:rPr>
          <w:rFonts w:hint="cs"/>
          <w:spacing w:val="0"/>
          <w:sz w:val="20"/>
          <w:rtl/>
        </w:rPr>
        <w:t>. وتُنشر ردود الدول الأطراف على هذه الصفحة، شأنها شأن الرسائل الموجهة من المقررة إلى الدول الأعضاء وأية مساهمات متعلقة بالمتابعة ترد من منظمات غير حكومية.</w:t>
      </w:r>
    </w:p>
    <w:p w:rsidR="004E0A37" w:rsidRPr="004E0A37" w:rsidRDefault="004E0A37" w:rsidP="004E0A37">
      <w:pPr>
        <w:pStyle w:val="SingleTxtGA"/>
        <w:jc w:val="lowKashida"/>
        <w:rPr>
          <w:rFonts w:hint="cs"/>
          <w:spacing w:val="0"/>
          <w:sz w:val="20"/>
          <w:rtl/>
        </w:rPr>
      </w:pPr>
      <w:r w:rsidRPr="004E0A37">
        <w:rPr>
          <w:rFonts w:hint="cs"/>
          <w:spacing w:val="0"/>
          <w:sz w:val="20"/>
          <w:rtl/>
        </w:rPr>
        <w:t>75-</w:t>
      </w:r>
      <w:r w:rsidRPr="004E0A37">
        <w:rPr>
          <w:rFonts w:hint="cs"/>
          <w:spacing w:val="0"/>
          <w:sz w:val="20"/>
          <w:rtl/>
        </w:rPr>
        <w:tab/>
        <w:t xml:space="preserve">وتعرب المقررة عن تقديرها للمعلومات التي قدمتها الدول الأطراف </w:t>
      </w:r>
      <w:r w:rsidR="00F96B1E">
        <w:rPr>
          <w:rFonts w:hint="cs"/>
          <w:spacing w:val="0"/>
          <w:sz w:val="20"/>
          <w:rtl/>
        </w:rPr>
        <w:t>فيما </w:t>
      </w:r>
      <w:r w:rsidRPr="004E0A37">
        <w:rPr>
          <w:rFonts w:hint="cs"/>
          <w:spacing w:val="0"/>
          <w:sz w:val="20"/>
          <w:rtl/>
        </w:rPr>
        <w:t>يتصل بالتدابير التي اتخذتها لتنفيذ التزاماتها بموجب الاتفاقية. إضافةً إلى ذلك، قيّمت المقررة الردود التي تلقتها لمعرفة إن كانت المسائل التي حددتها اللجنة للمتابعة قد عولجت جميعها، وهل استجابت المعلومات المقدمة لقلق اللجنة، وهل يحتاج الأمر إلى مزيد من المعلومات. وتردّ كل رسالة بالتحديد وبالتفصيل على المعلومات التي قدمتها الدولة الطرف. ومتى كانت هناك حاجة إلى مزيد من المعلومات، تتوجه المقررة خطياً إلى الدولة الطرف المعنية بطلبات محددة للحصول على مزيد من الإيضاحات. وحتى حينه، قدمت 23 دولة طرفاً توضيحات إضافية رد</w:t>
      </w:r>
      <w:r w:rsidR="0081655E">
        <w:rPr>
          <w:rFonts w:hint="cs"/>
          <w:spacing w:val="0"/>
          <w:sz w:val="20"/>
          <w:rtl/>
        </w:rPr>
        <w:t xml:space="preserve">اً </w:t>
      </w:r>
      <w:r w:rsidRPr="004E0A37">
        <w:rPr>
          <w:rFonts w:hint="cs"/>
          <w:spacing w:val="0"/>
          <w:sz w:val="20"/>
          <w:rtl/>
        </w:rPr>
        <w:t>على هذه الطلبات. و</w:t>
      </w:r>
      <w:r w:rsidR="00F96B1E">
        <w:rPr>
          <w:rFonts w:hint="cs"/>
          <w:spacing w:val="0"/>
          <w:sz w:val="20"/>
          <w:rtl/>
        </w:rPr>
        <w:t>فيما </w:t>
      </w:r>
      <w:r w:rsidRPr="004E0A37">
        <w:rPr>
          <w:rFonts w:hint="cs"/>
          <w:spacing w:val="0"/>
          <w:sz w:val="20"/>
          <w:rtl/>
        </w:rPr>
        <w:t>يتعلق بالدول التي</w:t>
      </w:r>
      <w:r w:rsidR="00335AC0">
        <w:rPr>
          <w:rFonts w:hint="cs"/>
          <w:spacing w:val="0"/>
          <w:sz w:val="20"/>
          <w:rtl/>
        </w:rPr>
        <w:t xml:space="preserve"> لم </w:t>
      </w:r>
      <w:r w:rsidRPr="004E0A37">
        <w:rPr>
          <w:rFonts w:hint="cs"/>
          <w:spacing w:val="0"/>
          <w:sz w:val="20"/>
          <w:rtl/>
        </w:rPr>
        <w:t>تقدم معلومات المتابعة على الإطلاق، فإن المقررة تطلب منها تقديم المعلومات المتأخرة.</w:t>
      </w:r>
    </w:p>
    <w:p w:rsidR="004E0A37" w:rsidRPr="004E0A37" w:rsidRDefault="004E0A37" w:rsidP="00B65A46">
      <w:pPr>
        <w:pStyle w:val="SingleTxtGA"/>
        <w:jc w:val="lowKashida"/>
        <w:rPr>
          <w:rFonts w:hint="cs"/>
          <w:spacing w:val="0"/>
          <w:sz w:val="20"/>
          <w:rtl/>
        </w:rPr>
      </w:pPr>
      <w:r w:rsidRPr="004E0A37">
        <w:rPr>
          <w:rFonts w:hint="cs"/>
          <w:spacing w:val="0"/>
          <w:sz w:val="20"/>
          <w:rtl/>
        </w:rPr>
        <w:t>76-</w:t>
      </w:r>
      <w:r w:rsidRPr="004E0A37">
        <w:rPr>
          <w:rFonts w:hint="cs"/>
          <w:spacing w:val="0"/>
          <w:sz w:val="20"/>
          <w:rtl/>
        </w:rPr>
        <w:tab/>
        <w:t>وتعرب المقررة عن تقديرها أيضاً للمعلومات المقدمة بموجب إجراء المتابعة من منظمات غير حكومية ومجموعات أخرى من المجتمع المدني تنشط في مجال حقوق الإنسان. وحتى 1 حزيران/يونيه 2012، تلقت اللجنة من هذ</w:t>
      </w:r>
      <w:r w:rsidR="00614E22">
        <w:rPr>
          <w:rFonts w:hint="cs"/>
          <w:spacing w:val="0"/>
          <w:sz w:val="20"/>
          <w:rtl/>
        </w:rPr>
        <w:t xml:space="preserve">ه المصادر تقارير متابعة تتعلق </w:t>
      </w:r>
      <w:r w:rsidR="00614E22" w:rsidRPr="00614E22">
        <w:rPr>
          <w:rFonts w:hint="cs"/>
          <w:spacing w:val="0"/>
          <w:sz w:val="30"/>
          <w:rtl/>
        </w:rPr>
        <w:t>ب‍</w:t>
      </w:r>
      <w:r w:rsidR="00614E22">
        <w:rPr>
          <w:rFonts w:hint="eastAsia"/>
          <w:spacing w:val="0"/>
          <w:sz w:val="20"/>
          <w:rtl/>
        </w:rPr>
        <w:t> </w:t>
      </w:r>
      <w:r w:rsidRPr="004E0A37">
        <w:rPr>
          <w:rFonts w:hint="cs"/>
          <w:spacing w:val="0"/>
          <w:sz w:val="20"/>
          <w:rtl/>
        </w:rPr>
        <w:t>19 دولة</w:t>
      </w:r>
      <w:r w:rsidR="00B65A46">
        <w:rPr>
          <w:rFonts w:hint="eastAsia"/>
          <w:spacing w:val="0"/>
          <w:sz w:val="20"/>
          <w:rtl/>
        </w:rPr>
        <w:t> </w:t>
      </w:r>
      <w:r w:rsidR="001124FE">
        <w:rPr>
          <w:rFonts w:hint="cs"/>
          <w:spacing w:val="0"/>
          <w:sz w:val="20"/>
          <w:rtl/>
        </w:rPr>
        <w:t>طرفاً</w:t>
      </w:r>
      <w:r w:rsidRPr="004E0A37">
        <w:rPr>
          <w:rFonts w:hint="cs"/>
          <w:spacing w:val="0"/>
          <w:sz w:val="20"/>
          <w:rtl/>
        </w:rPr>
        <w:t>.</w:t>
      </w:r>
    </w:p>
    <w:p w:rsidR="004E0A37" w:rsidRPr="004E0A37" w:rsidRDefault="004E0A37" w:rsidP="004E0A37">
      <w:pPr>
        <w:pStyle w:val="SingleTxtGA"/>
        <w:jc w:val="lowKashida"/>
        <w:rPr>
          <w:rFonts w:hint="cs"/>
          <w:spacing w:val="0"/>
          <w:sz w:val="20"/>
          <w:rtl/>
        </w:rPr>
      </w:pPr>
      <w:r w:rsidRPr="004E0A37">
        <w:rPr>
          <w:rFonts w:hint="cs"/>
          <w:spacing w:val="0"/>
          <w:sz w:val="20"/>
          <w:rtl/>
        </w:rPr>
        <w:t>77-</w:t>
      </w:r>
      <w:r w:rsidRPr="004E0A37">
        <w:rPr>
          <w:rFonts w:hint="cs"/>
          <w:spacing w:val="0"/>
          <w:sz w:val="20"/>
          <w:rtl/>
        </w:rPr>
        <w:tab/>
        <w:t>وبما أن التوصيات الموجهة إلى كل دولة طرف تُصاغ على نحو يعكس الحالة الخاصة بذلك البلد، فإن ردود المتابعة من الدول الأطراف والرسائل الموجهة من المقررة لطلب المزيد من الإيضاحات تتطرق لمجموعة واسعة من المواضيع. ومن بين المواضيع التي جرى التطرق لها في الرسائل الموجهة إلى الدول الأطراف لطلب المزيد من المعلومات هناك عدد من المسائل المحددة التي تعد أساسية لتنفيذ التوصية المعنية. وقد جرى التشديد على عدد من المسائل ليس فقط لتسليط الأضواء على المعلومات المقدمة، وإنما أيضاً لإبراز المسائل التي</w:t>
      </w:r>
      <w:r w:rsidR="00335AC0">
        <w:rPr>
          <w:rFonts w:hint="cs"/>
          <w:spacing w:val="0"/>
          <w:sz w:val="20"/>
          <w:rtl/>
        </w:rPr>
        <w:t xml:space="preserve"> لم </w:t>
      </w:r>
      <w:r w:rsidRPr="004E0A37">
        <w:rPr>
          <w:rFonts w:hint="cs"/>
          <w:spacing w:val="0"/>
          <w:sz w:val="20"/>
          <w:rtl/>
        </w:rPr>
        <w:t>تُعالج وتُعتبر مع ذلك أساسية بالنسبة إلى عمل اللجنة الجاري لتحقيق الفعالية في اتخاذ التدابير الوقائية والحمائية للقضاء على التعذيب وسوء المعاملة.</w:t>
      </w:r>
    </w:p>
    <w:p w:rsidR="004E0A37" w:rsidRPr="001124FE" w:rsidRDefault="004E0A37" w:rsidP="004E0A37">
      <w:pPr>
        <w:pStyle w:val="SingleTxtGA"/>
        <w:jc w:val="lowKashida"/>
        <w:rPr>
          <w:rFonts w:hint="cs"/>
          <w:spacing w:val="-2"/>
          <w:sz w:val="20"/>
          <w:rtl/>
        </w:rPr>
      </w:pPr>
      <w:r w:rsidRPr="001124FE">
        <w:rPr>
          <w:rFonts w:hint="cs"/>
          <w:spacing w:val="-2"/>
          <w:sz w:val="20"/>
          <w:rtl/>
        </w:rPr>
        <w:t>78-</w:t>
      </w:r>
      <w:r w:rsidRPr="001124FE">
        <w:rPr>
          <w:rFonts w:hint="cs"/>
          <w:spacing w:val="-2"/>
          <w:sz w:val="20"/>
          <w:rtl/>
        </w:rPr>
        <w:tab/>
        <w:t>وخلال الفترة قيد الاستعراض، أرسلت المقررة رسائل تذكير إلى إثيوبيا والأردن وإكوادور و</w:t>
      </w:r>
      <w:r w:rsidR="00F64788">
        <w:rPr>
          <w:rFonts w:hint="cs"/>
          <w:spacing w:val="-2"/>
          <w:sz w:val="20"/>
          <w:rtl/>
        </w:rPr>
        <w:t>آيرلندا</w:t>
      </w:r>
      <w:r w:rsidRPr="001124FE">
        <w:rPr>
          <w:rFonts w:hint="cs"/>
          <w:spacing w:val="-2"/>
          <w:sz w:val="20"/>
          <w:rtl/>
        </w:rPr>
        <w:t xml:space="preserve"> والبوسنة والهرسك وتركمانستان وتركيا وسلوفينيا وسويسرا وغانا وفرنسا وفنلندا والكاميرون وكمبوديا والكويت ومنغوليا وموريشيوس وموناكو والنمسا واليمن. </w:t>
      </w:r>
    </w:p>
    <w:p w:rsidR="004E0A37" w:rsidRPr="004E0A37" w:rsidRDefault="004E0A37" w:rsidP="004E0A37">
      <w:pPr>
        <w:pStyle w:val="SingleTxtGA"/>
        <w:jc w:val="lowKashida"/>
        <w:rPr>
          <w:rFonts w:hint="cs"/>
          <w:spacing w:val="0"/>
          <w:sz w:val="20"/>
          <w:rtl/>
        </w:rPr>
      </w:pPr>
      <w:r w:rsidRPr="004E0A37">
        <w:rPr>
          <w:rFonts w:hint="cs"/>
          <w:spacing w:val="0"/>
          <w:sz w:val="20"/>
          <w:rtl/>
        </w:rPr>
        <w:t>79-</w:t>
      </w:r>
      <w:r w:rsidRPr="004E0A37">
        <w:rPr>
          <w:rFonts w:hint="cs"/>
          <w:spacing w:val="0"/>
          <w:sz w:val="20"/>
          <w:rtl/>
        </w:rPr>
        <w:tab/>
        <w:t xml:space="preserve">واستمرت المقررة في موافاة اللجنة بالاستنتاجات التي توصلت إليها </w:t>
      </w:r>
      <w:r w:rsidR="00F96B1E">
        <w:rPr>
          <w:rFonts w:hint="cs"/>
          <w:spacing w:val="0"/>
          <w:sz w:val="20"/>
          <w:rtl/>
        </w:rPr>
        <w:t>فيما </w:t>
      </w:r>
      <w:r w:rsidRPr="004E0A37">
        <w:rPr>
          <w:rFonts w:hint="cs"/>
          <w:spacing w:val="0"/>
          <w:sz w:val="20"/>
          <w:rtl/>
        </w:rPr>
        <w:t xml:space="preserve">يتعلق بإجراء المتابعة في الدورتين السابعة والأربعين والثامنة والأربعين. ولاحظت أن مواضيع المتابعة الأكثر تناولاً منذ أن بدأت اللجنة عملها بإجراء المتابعة في عام 2003 هي، حسب الترتيب، المواضيع التالية: (أ) إجراء تحقيقات فورية ونزيهة وفعالة (80 في المائة من الدول الأطراف التي بحثت تقاريرها)؛ (ب) محاكمة مرتكبي أفعال التعذيب وسوء المعاملة ومعاقبتهم (60 في المائة)؛ (ج) كفالة احترام الضمانات القانونية الأساسية (55 في المائة)؛ (د) كفالة الحق في رفع شكوى والنظر فيها (43 في المائة)؛ (ﻫ) التدريب والتوعية (40 في المائة)؛ (و) </w:t>
      </w:r>
      <w:r w:rsidRPr="004E0A37">
        <w:rPr>
          <w:rFonts w:hint="cs"/>
          <w:spacing w:val="0"/>
          <w:sz w:val="20"/>
          <w:rtl/>
          <w:lang/>
        </w:rPr>
        <w:t>تقديم الجبر والتعويض، بما في ذلك إعادة التأهيل (39 في المائة)</w:t>
      </w:r>
      <w:r w:rsidRPr="004E0A37">
        <w:rPr>
          <w:rFonts w:hint="cs"/>
          <w:spacing w:val="0"/>
          <w:sz w:val="20"/>
          <w:rtl/>
        </w:rPr>
        <w:t>. وفي ضوء هذه الاستنتاجات، والعدد المتزايد للمواضيع التي حددتها اللجنة لتكون محل متابعة من قبل الدول الأطراف، اقترحت المقررة أن تنظر اللجنة في قصر البنود المتصلة بالمتابعة على المواضيع الثلاثة الأولى التي نشأت منذ عام</w:t>
      </w:r>
      <w:r w:rsidRPr="004E0A37">
        <w:rPr>
          <w:rFonts w:hint="eastAsia"/>
          <w:spacing w:val="0"/>
          <w:sz w:val="20"/>
          <w:rtl/>
        </w:rPr>
        <w:t> </w:t>
      </w:r>
      <w:r w:rsidRPr="004E0A37">
        <w:rPr>
          <w:rFonts w:hint="cs"/>
          <w:spacing w:val="0"/>
          <w:sz w:val="20"/>
          <w:rtl/>
        </w:rPr>
        <w:t>2003 (أي التحقيقات والمحاكمات والضمانات القانونية) حتى تعطي للدول الأطراف صورة أكثر انسجام</w:t>
      </w:r>
      <w:r w:rsidR="0081655E">
        <w:rPr>
          <w:rFonts w:hint="cs"/>
          <w:spacing w:val="0"/>
          <w:sz w:val="20"/>
          <w:rtl/>
        </w:rPr>
        <w:t xml:space="preserve">اً </w:t>
      </w:r>
      <w:r w:rsidRPr="004E0A37">
        <w:rPr>
          <w:rFonts w:hint="cs"/>
          <w:spacing w:val="0"/>
          <w:sz w:val="20"/>
          <w:rtl/>
        </w:rPr>
        <w:t>وأكثر وضوح</w:t>
      </w:r>
      <w:r w:rsidR="0081655E">
        <w:rPr>
          <w:rFonts w:hint="cs"/>
          <w:spacing w:val="0"/>
          <w:sz w:val="20"/>
          <w:rtl/>
        </w:rPr>
        <w:t xml:space="preserve">اً </w:t>
      </w:r>
      <w:r w:rsidRPr="004E0A37">
        <w:rPr>
          <w:rFonts w:hint="cs"/>
          <w:spacing w:val="0"/>
          <w:sz w:val="20"/>
          <w:rtl/>
        </w:rPr>
        <w:t>عن الإجراء وتبرز مدى تأكيد اللجنة على المسائل الملحة.</w:t>
      </w:r>
    </w:p>
    <w:p w:rsidR="004E0A37" w:rsidRPr="0081655E" w:rsidRDefault="004E0A37" w:rsidP="007F7966">
      <w:pPr>
        <w:pStyle w:val="SingleTxtGA"/>
        <w:jc w:val="lowKashida"/>
        <w:rPr>
          <w:rFonts w:hint="cs"/>
          <w:spacing w:val="-3"/>
          <w:sz w:val="20"/>
          <w:rtl/>
        </w:rPr>
      </w:pPr>
      <w:r w:rsidRPr="0081655E">
        <w:rPr>
          <w:rFonts w:hint="cs"/>
          <w:spacing w:val="-3"/>
          <w:sz w:val="20"/>
          <w:rtl/>
        </w:rPr>
        <w:t>80-</w:t>
      </w:r>
      <w:r w:rsidRPr="0081655E">
        <w:rPr>
          <w:rFonts w:hint="cs"/>
          <w:spacing w:val="-3"/>
          <w:sz w:val="20"/>
          <w:rtl/>
        </w:rPr>
        <w:tab/>
        <w:t>وتبعاً للاقتراح الذي تقدمت به المقررة والمناقشة التي تناولت عدد</w:t>
      </w:r>
      <w:r w:rsidR="0081655E" w:rsidRPr="0081655E">
        <w:rPr>
          <w:rFonts w:hint="cs"/>
          <w:spacing w:val="-3"/>
          <w:sz w:val="20"/>
          <w:rtl/>
        </w:rPr>
        <w:t xml:space="preserve">اً </w:t>
      </w:r>
      <w:r w:rsidRPr="0081655E">
        <w:rPr>
          <w:rFonts w:hint="cs"/>
          <w:spacing w:val="-3"/>
          <w:sz w:val="20"/>
          <w:rtl/>
        </w:rPr>
        <w:t>كبير</w:t>
      </w:r>
      <w:r w:rsidR="0081655E" w:rsidRPr="0081655E">
        <w:rPr>
          <w:rFonts w:hint="cs"/>
          <w:spacing w:val="-3"/>
          <w:sz w:val="20"/>
          <w:rtl/>
        </w:rPr>
        <w:t xml:space="preserve">اً </w:t>
      </w:r>
      <w:r w:rsidRPr="0081655E">
        <w:rPr>
          <w:rFonts w:hint="cs"/>
          <w:spacing w:val="-3"/>
          <w:sz w:val="20"/>
          <w:rtl/>
        </w:rPr>
        <w:t>ومتزايد</w:t>
      </w:r>
      <w:r w:rsidR="0081655E" w:rsidRPr="0081655E">
        <w:rPr>
          <w:rFonts w:hint="cs"/>
          <w:spacing w:val="-3"/>
          <w:sz w:val="20"/>
          <w:rtl/>
        </w:rPr>
        <w:t xml:space="preserve">اً </w:t>
      </w:r>
      <w:r w:rsidRPr="0081655E">
        <w:rPr>
          <w:rFonts w:hint="cs"/>
          <w:spacing w:val="-3"/>
          <w:sz w:val="20"/>
          <w:rtl/>
        </w:rPr>
        <w:t>من المسائل التي حددتها اللجنة لتكون محل متابعة من قبل الدول الأطراف، اعتمدت اللجنة إجراء جديد</w:t>
      </w:r>
      <w:r w:rsidR="0081655E" w:rsidRPr="0081655E">
        <w:rPr>
          <w:rFonts w:hint="cs"/>
          <w:spacing w:val="-3"/>
          <w:sz w:val="20"/>
          <w:rtl/>
        </w:rPr>
        <w:t xml:space="preserve">اً </w:t>
      </w:r>
      <w:r w:rsidRPr="0081655E">
        <w:rPr>
          <w:rFonts w:hint="cs"/>
          <w:spacing w:val="-3"/>
          <w:sz w:val="20"/>
          <w:rtl/>
        </w:rPr>
        <w:t>يرمي إلى جعل إجراء المتابعة أكثر تركيز</w:t>
      </w:r>
      <w:r w:rsidR="006E1F60">
        <w:rPr>
          <w:rFonts w:hint="cs"/>
          <w:spacing w:val="-3"/>
          <w:sz w:val="20"/>
          <w:rtl/>
        </w:rPr>
        <w:t>اً.</w:t>
      </w:r>
      <w:r w:rsidRPr="0081655E">
        <w:rPr>
          <w:rFonts w:hint="cs"/>
          <w:spacing w:val="-3"/>
          <w:sz w:val="20"/>
          <w:rtl/>
        </w:rPr>
        <w:t xml:space="preserve"> وابتداءً من مطلع تشرين الثاني/نوفمبر 2011، أدرجت اللجنة فق</w:t>
      </w:r>
      <w:r w:rsidR="004A2C77">
        <w:rPr>
          <w:rFonts w:hint="cs"/>
          <w:spacing w:val="-3"/>
          <w:sz w:val="20"/>
          <w:rtl/>
        </w:rPr>
        <w:t>ر</w:t>
      </w:r>
      <w:r w:rsidRPr="0081655E">
        <w:rPr>
          <w:rFonts w:hint="cs"/>
          <w:spacing w:val="-3"/>
          <w:sz w:val="20"/>
          <w:rtl/>
        </w:rPr>
        <w:t>ة طلبت فيها من الدولة الطرف المعنية أن تقدم، في غضون سنة، معلومات عن التدابير المتخذة لتنفيذ توصيات اللجنة المتعلقة بالمسائل التالية: (أ) كفالة أو تعزيز الضمانات القانونية للأشخاص المحرومين من حريتهم؛ (ب) إجراء تحقيقات فورية ونزيهة وفعالة؛ (ج)</w:t>
      </w:r>
      <w:r w:rsidR="007F7966">
        <w:rPr>
          <w:rFonts w:hint="eastAsia"/>
          <w:spacing w:val="-3"/>
          <w:sz w:val="20"/>
          <w:rtl/>
        </w:rPr>
        <w:t> </w:t>
      </w:r>
      <w:r w:rsidRPr="0081655E">
        <w:rPr>
          <w:rFonts w:hint="cs"/>
          <w:spacing w:val="-3"/>
          <w:sz w:val="20"/>
          <w:rtl/>
        </w:rPr>
        <w:t>محاكمة مرتكبي أفعال التعذيب وسوء المعاملة ومعاقبتهم، على النحو المذكور في الملاحظات الختامية، متى كان ذلك مطلوب</w:t>
      </w:r>
      <w:r w:rsidR="0081655E">
        <w:rPr>
          <w:rFonts w:hint="cs"/>
          <w:spacing w:val="-3"/>
          <w:sz w:val="20"/>
          <w:rtl/>
        </w:rPr>
        <w:t xml:space="preserve">اً </w:t>
      </w:r>
      <w:r w:rsidRPr="0081655E">
        <w:rPr>
          <w:rFonts w:hint="cs"/>
          <w:spacing w:val="-3"/>
          <w:sz w:val="20"/>
          <w:rtl/>
        </w:rPr>
        <w:t>للمتابعة. وإضافةً إلى ذلك، قد يُطلَب إلى الدولة الطرف المعنية أن تقدم معلومات متابعة تتعلق بأية مسائل أخرى تحددها اللجنة في الملاحظات الختامية، بما في ذلك إتاحة سبل التظلم والجبر للضحايا، إذا اعتبرت اللجنة ذلك ضروري</w:t>
      </w:r>
      <w:r w:rsidR="0081655E">
        <w:rPr>
          <w:rFonts w:hint="cs"/>
          <w:spacing w:val="-3"/>
          <w:sz w:val="20"/>
          <w:rtl/>
        </w:rPr>
        <w:t xml:space="preserve">اً </w:t>
      </w:r>
      <w:r w:rsidRPr="0081655E">
        <w:rPr>
          <w:rFonts w:hint="cs"/>
          <w:spacing w:val="-3"/>
          <w:sz w:val="20"/>
          <w:rtl/>
        </w:rPr>
        <w:t>وبحسب الحالة الخاصة في تلك الدولة الطرف.</w:t>
      </w:r>
    </w:p>
    <w:p w:rsidR="004E0A37" w:rsidRPr="004E0A37" w:rsidRDefault="004E0A37" w:rsidP="004E0A37">
      <w:pPr>
        <w:pStyle w:val="SingleTxtGA"/>
        <w:jc w:val="lowKashida"/>
        <w:rPr>
          <w:rFonts w:hint="cs"/>
          <w:spacing w:val="0"/>
          <w:sz w:val="20"/>
          <w:rtl/>
        </w:rPr>
      </w:pPr>
      <w:r w:rsidRPr="004E0A37">
        <w:rPr>
          <w:rFonts w:hint="cs"/>
          <w:spacing w:val="0"/>
          <w:sz w:val="20"/>
          <w:rtl/>
        </w:rPr>
        <w:t>81-</w:t>
      </w:r>
      <w:r w:rsidRPr="004E0A37">
        <w:rPr>
          <w:rFonts w:hint="cs"/>
          <w:spacing w:val="0"/>
          <w:sz w:val="20"/>
          <w:rtl/>
        </w:rPr>
        <w:tab/>
        <w:t>وفي الدورتين السابعة والأربعين والثامنة والأربعين أيضاً، قدمت المقررة نتائج دراسة تجريبية استخدم فيها نظام التنقيط المزدوج لتقييم الردود بشأن إجراء المتابعة. وعلى عكس نظام التنقيط الذي تستخدمه هيئة أخرى من هيئات المعاهدات، حيث يقرن تنقيطها المفرد بين (أ) معرفة إن كانت المعلومات التي طلبتها اللجنة قد قدمت، (ب) ومعرفة إن كانت التوصيات التي قدمتها اللجنة قد نفذت، استخدمت الدراسة التجريبية للجنة مناهضة التعذيب نظام تنقيط مزدوج. وهذا النظام للتنقيط المزدوج يمكّن اللجنة من التمييز بين الدولة الطرف التي تقدم كماً كبيراً من المعلومات ولكن تنفذها التوصيات قاصر إلى حد كبير والدولة الطرف التي تنفذ التوصيات بشكل ملموس</w:t>
      </w:r>
      <w:r w:rsidR="006E1F60">
        <w:rPr>
          <w:rFonts w:hint="cs"/>
          <w:spacing w:val="0"/>
          <w:sz w:val="20"/>
          <w:rtl/>
        </w:rPr>
        <w:t>اً.</w:t>
      </w:r>
      <w:r w:rsidRPr="004E0A37">
        <w:rPr>
          <w:rFonts w:hint="cs"/>
          <w:spacing w:val="0"/>
          <w:sz w:val="20"/>
          <w:rtl/>
        </w:rPr>
        <w:t xml:space="preserve"> واعتبرت المقررة في الدراسة التجريبية أن نظام التنقيط المزدوج يعكس بصورة أدق أداء الدولة الطرف إزاء توصيات المتابعة. وستجرى دراسة أخرى بشأن استخدام هذا النهج.</w:t>
      </w:r>
    </w:p>
    <w:p w:rsidR="004E0A37" w:rsidRPr="004E0A37" w:rsidRDefault="004E0A37" w:rsidP="004E0A37">
      <w:pPr>
        <w:pStyle w:val="SingleTxtGA"/>
        <w:jc w:val="lowKashida"/>
        <w:rPr>
          <w:rFonts w:hint="cs"/>
          <w:spacing w:val="0"/>
          <w:sz w:val="20"/>
          <w:rtl/>
        </w:rPr>
      </w:pPr>
      <w:r w:rsidRPr="004E0A37">
        <w:rPr>
          <w:rFonts w:hint="cs"/>
          <w:spacing w:val="0"/>
          <w:sz w:val="20"/>
          <w:rtl/>
        </w:rPr>
        <w:t>82-</w:t>
      </w:r>
      <w:r w:rsidRPr="004E0A37">
        <w:rPr>
          <w:rFonts w:hint="cs"/>
          <w:spacing w:val="0"/>
          <w:sz w:val="20"/>
          <w:rtl/>
        </w:rPr>
        <w:tab/>
        <w:t>ويورد الجدول أدناه معلومات مفصلة عن الردود المتعلقة بإجراء المتابعة حتى 1 حزيران/يونيه 2012، وهو تاريخ اختتام الدورة الثامنة والأربعين للجنة. ويتضمن الجدول أيضاً إشارات إلى تواريخ تقديم تعليقات الدول الأطراف على الملاحظات الختامية، إن وجدت، وأي إجراء تتخذه اللجنة.</w:t>
      </w:r>
    </w:p>
    <w:p w:rsidR="004E0A37" w:rsidRPr="00BC2035" w:rsidRDefault="004E0A37" w:rsidP="00BC2035">
      <w:pPr>
        <w:pStyle w:val="H1GA"/>
        <w:spacing w:before="120"/>
        <w:jc w:val="lowKashida"/>
        <w:rPr>
          <w:rFonts w:hint="cs"/>
          <w:spacing w:val="0"/>
          <w:rtl/>
        </w:rPr>
      </w:pPr>
      <w:r w:rsidRPr="004E0A37">
        <w:rPr>
          <w:rtl/>
        </w:rPr>
        <w:br w:type="page"/>
      </w:r>
      <w:r w:rsidRPr="00BC2035">
        <w:rPr>
          <w:rFonts w:hint="cs"/>
          <w:spacing w:val="0"/>
          <w:rtl/>
        </w:rPr>
        <w:tab/>
      </w:r>
      <w:r w:rsidRPr="00BC2035">
        <w:rPr>
          <w:rFonts w:hint="cs"/>
          <w:spacing w:val="0"/>
          <w:rtl/>
        </w:rPr>
        <w:tab/>
        <w:t>إجراء متابعة الاستنتاجـات والتوصيـات من أيار/مايو 2003 إلى حزيران/</w:t>
      </w:r>
      <w:r w:rsidR="00BC2035">
        <w:rPr>
          <w:rFonts w:hint="cs"/>
          <w:spacing w:val="0"/>
          <w:rtl/>
        </w:rPr>
        <w:t xml:space="preserve">     </w:t>
      </w:r>
      <w:r w:rsidRPr="00BC2035">
        <w:rPr>
          <w:rFonts w:hint="cs"/>
          <w:spacing w:val="0"/>
          <w:rtl/>
        </w:rPr>
        <w:t>يونيه 2012</w:t>
      </w:r>
      <w:r w:rsidRPr="00BC2035">
        <w:rPr>
          <w:rStyle w:val="FootnoteReference"/>
          <w:spacing w:val="0"/>
          <w:sz w:val="20"/>
          <w:szCs w:val="30"/>
          <w:vertAlign w:val="baseline"/>
          <w:rtl/>
        </w:rPr>
        <w:footnoteReference w:customMarkFollows="1" w:id="14"/>
        <w:t>*</w:t>
      </w:r>
    </w:p>
    <w:p w:rsidR="004E0A37" w:rsidRPr="00BC2035" w:rsidRDefault="004E0A37" w:rsidP="00BC2035">
      <w:pPr>
        <w:pStyle w:val="H23GA"/>
        <w:rPr>
          <w:rFonts w:hint="cs"/>
          <w:spacing w:val="0"/>
          <w:rtl/>
        </w:rPr>
      </w:pPr>
      <w:r w:rsidRPr="00BC2035">
        <w:rPr>
          <w:rFonts w:hint="cs"/>
          <w:spacing w:val="0"/>
          <w:rtl/>
        </w:rPr>
        <w:tab/>
      </w:r>
      <w:r w:rsidRPr="00BC2035">
        <w:rPr>
          <w:rFonts w:hint="cs"/>
          <w:spacing w:val="0"/>
          <w:rtl/>
        </w:rPr>
        <w:tab/>
        <w:t>الدورة الثلاثون (أيار/مايو 2003)</w:t>
      </w:r>
    </w:p>
    <w:tbl>
      <w:tblPr>
        <w:tblW w:w="8371" w:type="dxa"/>
        <w:tblInd w:w="108" w:type="dxa"/>
        <w:tblBorders>
          <w:top w:val="single" w:sz="4" w:space="0" w:color="auto"/>
          <w:bottom w:val="single" w:sz="4" w:space="0" w:color="auto"/>
          <w:insideH w:val="single" w:sz="12" w:space="0" w:color="auto"/>
        </w:tblBorders>
        <w:tblLayout w:type="fixed"/>
        <w:tblLook w:val="0000"/>
      </w:tblPr>
      <w:tblGrid>
        <w:gridCol w:w="2200"/>
        <w:gridCol w:w="2588"/>
        <w:gridCol w:w="2141"/>
        <w:gridCol w:w="1442"/>
      </w:tblGrid>
      <w:tr w:rsidR="004E0A37" w:rsidRPr="00D17401" w:rsidTr="00C51313">
        <w:tblPrEx>
          <w:tblCellMar>
            <w:top w:w="0" w:type="dxa"/>
            <w:bottom w:w="0" w:type="dxa"/>
          </w:tblCellMar>
        </w:tblPrEx>
        <w:trPr>
          <w:cantSplit/>
          <w:tblHeader/>
        </w:trPr>
        <w:tc>
          <w:tcPr>
            <w:tcW w:w="2200" w:type="dxa"/>
            <w:tcBorders>
              <w:bottom w:val="single" w:sz="12" w:space="0" w:color="auto"/>
            </w:tcBorders>
            <w:vAlign w:val="bottom"/>
          </w:tcPr>
          <w:p w:rsidR="004E0A37" w:rsidRPr="00D17401" w:rsidRDefault="004E0A37" w:rsidP="00BC2035">
            <w:pPr>
              <w:spacing w:before="40" w:after="40" w:line="300" w:lineRule="exact"/>
              <w:jc w:val="lowKashida"/>
              <w:rPr>
                <w:rFonts w:hint="cs"/>
                <w:i/>
                <w:iCs/>
                <w:spacing w:val="0"/>
                <w:sz w:val="18"/>
                <w:szCs w:val="26"/>
                <w:rtl/>
              </w:rPr>
            </w:pPr>
            <w:r w:rsidRPr="00D17401">
              <w:rPr>
                <w:rFonts w:hint="cs"/>
                <w:i/>
                <w:iCs/>
                <w:spacing w:val="0"/>
                <w:sz w:val="18"/>
                <w:szCs w:val="26"/>
                <w:rtl/>
              </w:rPr>
              <w:t>الإجراء المتخذ</w:t>
            </w:r>
          </w:p>
        </w:tc>
        <w:tc>
          <w:tcPr>
            <w:tcW w:w="2588" w:type="dxa"/>
            <w:tcBorders>
              <w:bottom w:val="single" w:sz="12" w:space="0" w:color="auto"/>
            </w:tcBorders>
            <w:vAlign w:val="bottom"/>
          </w:tcPr>
          <w:p w:rsidR="004E0A37" w:rsidRPr="00D17401" w:rsidRDefault="004E0A37" w:rsidP="00BC2035">
            <w:pPr>
              <w:spacing w:before="40" w:after="40" w:line="300" w:lineRule="exact"/>
              <w:ind w:right="170"/>
              <w:jc w:val="lowKashida"/>
              <w:rPr>
                <w:rFonts w:hint="cs"/>
                <w:i/>
                <w:iCs/>
                <w:spacing w:val="0"/>
                <w:sz w:val="18"/>
                <w:szCs w:val="26"/>
                <w:rtl/>
              </w:rPr>
            </w:pPr>
            <w:r w:rsidRPr="00D17401">
              <w:rPr>
                <w:rFonts w:hint="cs"/>
                <w:i/>
                <w:iCs/>
                <w:spacing w:val="0"/>
                <w:sz w:val="18"/>
                <w:szCs w:val="26"/>
                <w:rtl/>
              </w:rPr>
              <w:t>تاريخ تلقي المعلومات</w:t>
            </w:r>
          </w:p>
        </w:tc>
        <w:tc>
          <w:tcPr>
            <w:tcW w:w="2141" w:type="dxa"/>
            <w:tcBorders>
              <w:bottom w:val="single" w:sz="12" w:space="0" w:color="auto"/>
            </w:tcBorders>
            <w:vAlign w:val="bottom"/>
          </w:tcPr>
          <w:p w:rsidR="004E0A37" w:rsidRPr="00D17401" w:rsidRDefault="004E0A37" w:rsidP="00BC2035">
            <w:pPr>
              <w:spacing w:before="40" w:after="40" w:line="30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442" w:type="dxa"/>
            <w:tcBorders>
              <w:bottom w:val="single" w:sz="12" w:space="0" w:color="auto"/>
            </w:tcBorders>
            <w:vAlign w:val="bottom"/>
          </w:tcPr>
          <w:p w:rsidR="004E0A37" w:rsidRPr="00D17401" w:rsidRDefault="004E0A37" w:rsidP="00BC2035">
            <w:pPr>
              <w:spacing w:before="40" w:after="40" w:line="30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C51313">
        <w:tblPrEx>
          <w:tblCellMar>
            <w:top w:w="0" w:type="dxa"/>
            <w:bottom w:w="0" w:type="dxa"/>
          </w:tblCellMar>
        </w:tblPrEx>
        <w:trPr>
          <w:cantSplit/>
        </w:trPr>
        <w:tc>
          <w:tcPr>
            <w:tcW w:w="2200" w:type="dxa"/>
            <w:tcBorders>
              <w:top w:val="single" w:sz="12" w:space="0" w:color="auto"/>
              <w:bottom w:val="nil"/>
            </w:tcBorders>
          </w:tcPr>
          <w:p w:rsidR="004E0A37" w:rsidRPr="00D17401" w:rsidRDefault="004E0A37" w:rsidP="00BC2035">
            <w:pPr>
              <w:spacing w:before="40" w:after="40" w:line="300" w:lineRule="exact"/>
              <w:jc w:val="lowKashida"/>
              <w:rPr>
                <w:rFonts w:hint="cs"/>
                <w:spacing w:val="0"/>
                <w:sz w:val="18"/>
                <w:szCs w:val="26"/>
                <w:rtl/>
              </w:rPr>
            </w:pPr>
            <w:r w:rsidRPr="00D17401">
              <w:rPr>
                <w:rFonts w:hint="cs"/>
                <w:spacing w:val="0"/>
                <w:sz w:val="18"/>
                <w:szCs w:val="26"/>
                <w:rtl/>
              </w:rPr>
              <w:t>طلب مزيد من التوضيح (21 نيسان/أبريل 2006)</w:t>
            </w:r>
          </w:p>
        </w:tc>
        <w:tc>
          <w:tcPr>
            <w:tcW w:w="2588" w:type="dxa"/>
            <w:tcBorders>
              <w:top w:val="single" w:sz="12" w:space="0" w:color="auto"/>
              <w:bottom w:val="nil"/>
            </w:tcBorders>
          </w:tcPr>
          <w:p w:rsidR="004E0A37" w:rsidRPr="00D17401" w:rsidRDefault="004E0A37" w:rsidP="00731C1F">
            <w:pPr>
              <w:spacing w:before="40" w:after="40" w:line="300" w:lineRule="exact"/>
              <w:ind w:right="520"/>
              <w:rPr>
                <w:rFonts w:hint="cs"/>
                <w:spacing w:val="0"/>
                <w:sz w:val="18"/>
                <w:szCs w:val="26"/>
                <w:rtl/>
              </w:rPr>
            </w:pPr>
            <w:r w:rsidRPr="00D17401">
              <w:rPr>
                <w:rFonts w:hint="cs"/>
                <w:spacing w:val="0"/>
                <w:sz w:val="18"/>
                <w:szCs w:val="26"/>
                <w:rtl/>
              </w:rPr>
              <w:t>7 تموز/يوليه 2004</w:t>
            </w:r>
            <w:r w:rsidRPr="00D17401">
              <w:rPr>
                <w:spacing w:val="0"/>
                <w:sz w:val="18"/>
                <w:szCs w:val="26"/>
                <w:rtl/>
              </w:rPr>
              <w:br/>
            </w:r>
            <w:r w:rsidRPr="00D17401">
              <w:rPr>
                <w:spacing w:val="0"/>
                <w:sz w:val="18"/>
                <w:szCs w:val="26"/>
                <w:lang/>
              </w:rPr>
              <w:t>CAT/C/CR/30/RESP/1</w:t>
            </w:r>
          </w:p>
        </w:tc>
        <w:tc>
          <w:tcPr>
            <w:tcW w:w="2141" w:type="dxa"/>
            <w:tcBorders>
              <w:top w:val="single" w:sz="12" w:space="0" w:color="auto"/>
              <w:bottom w:val="nil"/>
            </w:tcBorders>
          </w:tcPr>
          <w:p w:rsidR="004E0A37" w:rsidRPr="00D17401" w:rsidRDefault="004E0A37" w:rsidP="00BC2035">
            <w:pPr>
              <w:spacing w:before="40" w:after="40" w:line="300" w:lineRule="exact"/>
              <w:jc w:val="lowKashida"/>
              <w:rPr>
                <w:rFonts w:hint="cs"/>
                <w:spacing w:val="0"/>
                <w:sz w:val="18"/>
                <w:szCs w:val="26"/>
                <w:rtl/>
              </w:rPr>
            </w:pPr>
            <w:r w:rsidRPr="00D17401">
              <w:rPr>
                <w:rFonts w:hint="cs"/>
                <w:spacing w:val="0"/>
                <w:sz w:val="18"/>
                <w:szCs w:val="26"/>
                <w:rtl/>
              </w:rPr>
              <w:t>أيار/مايو 2004</w:t>
            </w:r>
          </w:p>
        </w:tc>
        <w:tc>
          <w:tcPr>
            <w:tcW w:w="1442" w:type="dxa"/>
            <w:tcBorders>
              <w:top w:val="single" w:sz="12" w:space="0" w:color="auto"/>
              <w:bottom w:val="nil"/>
            </w:tcBorders>
          </w:tcPr>
          <w:p w:rsidR="004E0A37" w:rsidRPr="00D17401" w:rsidRDefault="004E0A37" w:rsidP="00BC2035">
            <w:pPr>
              <w:spacing w:before="40" w:after="40" w:line="300" w:lineRule="exact"/>
              <w:jc w:val="lowKashida"/>
              <w:rPr>
                <w:rFonts w:hint="cs"/>
                <w:spacing w:val="0"/>
                <w:sz w:val="18"/>
                <w:szCs w:val="26"/>
                <w:rtl/>
              </w:rPr>
            </w:pPr>
            <w:r w:rsidRPr="00D17401">
              <w:rPr>
                <w:rFonts w:hint="cs"/>
                <w:spacing w:val="0"/>
                <w:sz w:val="18"/>
                <w:szCs w:val="26"/>
                <w:rtl/>
              </w:rPr>
              <w:t>أذربيجان</w:t>
            </w:r>
          </w:p>
        </w:tc>
      </w:tr>
      <w:tr w:rsidR="004E0A37" w:rsidRPr="00D17401" w:rsidTr="00C51313">
        <w:tblPrEx>
          <w:tblCellMar>
            <w:top w:w="0" w:type="dxa"/>
            <w:bottom w:w="0" w:type="dxa"/>
          </w:tblCellMar>
        </w:tblPrEx>
        <w:trPr>
          <w:cantSplit/>
        </w:trPr>
        <w:tc>
          <w:tcPr>
            <w:tcW w:w="2200" w:type="dxa"/>
            <w:tcBorders>
              <w:top w:val="nil"/>
              <w:bottom w:val="single" w:sz="12" w:space="0" w:color="auto"/>
            </w:tcBorders>
          </w:tcPr>
          <w:p w:rsidR="004E0A37" w:rsidRPr="00D17401" w:rsidRDefault="004E0A37" w:rsidP="00BC2035">
            <w:pPr>
              <w:spacing w:before="40" w:after="40" w:line="300" w:lineRule="exact"/>
              <w:jc w:val="lowKashida"/>
              <w:rPr>
                <w:spacing w:val="0"/>
                <w:sz w:val="18"/>
                <w:szCs w:val="26"/>
                <w:rtl/>
              </w:rPr>
            </w:pPr>
            <w:r w:rsidRPr="00D17401">
              <w:rPr>
                <w:rFonts w:hint="cs"/>
                <w:spacing w:val="0"/>
                <w:sz w:val="18"/>
                <w:szCs w:val="26"/>
                <w:rtl/>
              </w:rPr>
              <w:t>رسالة تذكير (7 آذار/</w:t>
            </w:r>
            <w:r w:rsidR="00BC2035">
              <w:rPr>
                <w:rFonts w:hint="cs"/>
                <w:spacing w:val="0"/>
                <w:sz w:val="18"/>
                <w:szCs w:val="26"/>
                <w:rtl/>
              </w:rPr>
              <w:t xml:space="preserve">           </w:t>
            </w:r>
            <w:r w:rsidRPr="00D17401">
              <w:rPr>
                <w:rFonts w:hint="cs"/>
                <w:spacing w:val="0"/>
                <w:sz w:val="18"/>
                <w:szCs w:val="26"/>
                <w:rtl/>
              </w:rPr>
              <w:t>مارس 2006)</w:t>
            </w:r>
          </w:p>
        </w:tc>
        <w:tc>
          <w:tcPr>
            <w:tcW w:w="2588" w:type="dxa"/>
            <w:tcBorders>
              <w:top w:val="nil"/>
              <w:bottom w:val="single" w:sz="12" w:space="0" w:color="auto"/>
            </w:tcBorders>
          </w:tcPr>
          <w:p w:rsidR="004E0A37" w:rsidRPr="00D17401" w:rsidRDefault="004E0A37" w:rsidP="00BC2035">
            <w:pPr>
              <w:spacing w:before="40" w:after="40" w:line="300" w:lineRule="exact"/>
              <w:ind w:right="170"/>
              <w:jc w:val="lowKashida"/>
              <w:rPr>
                <w:rFonts w:hint="cs"/>
                <w:spacing w:val="0"/>
                <w:sz w:val="18"/>
                <w:szCs w:val="26"/>
                <w:rtl/>
              </w:rPr>
            </w:pPr>
          </w:p>
        </w:tc>
        <w:tc>
          <w:tcPr>
            <w:tcW w:w="2141" w:type="dxa"/>
            <w:tcBorders>
              <w:top w:val="nil"/>
              <w:bottom w:val="single" w:sz="12" w:space="0" w:color="auto"/>
            </w:tcBorders>
          </w:tcPr>
          <w:p w:rsidR="004E0A37" w:rsidRPr="00D17401" w:rsidRDefault="004E0A37" w:rsidP="00BC2035">
            <w:pPr>
              <w:spacing w:before="40" w:after="40" w:line="300" w:lineRule="exact"/>
              <w:jc w:val="lowKashida"/>
              <w:rPr>
                <w:rFonts w:hint="cs"/>
                <w:spacing w:val="0"/>
                <w:sz w:val="18"/>
                <w:szCs w:val="26"/>
                <w:rtl/>
              </w:rPr>
            </w:pPr>
            <w:r w:rsidRPr="00D17401">
              <w:rPr>
                <w:rFonts w:hint="cs"/>
                <w:spacing w:val="0"/>
                <w:sz w:val="18"/>
                <w:szCs w:val="26"/>
                <w:rtl/>
              </w:rPr>
              <w:t>أيار/مايو 2004</w:t>
            </w:r>
          </w:p>
        </w:tc>
        <w:tc>
          <w:tcPr>
            <w:tcW w:w="1442" w:type="dxa"/>
            <w:tcBorders>
              <w:top w:val="nil"/>
              <w:bottom w:val="single" w:sz="12" w:space="0" w:color="auto"/>
            </w:tcBorders>
          </w:tcPr>
          <w:p w:rsidR="004E0A37" w:rsidRPr="00D17401" w:rsidRDefault="004E0A37" w:rsidP="00BC2035">
            <w:pPr>
              <w:spacing w:before="40" w:after="40" w:line="300" w:lineRule="exact"/>
              <w:jc w:val="lowKashida"/>
              <w:rPr>
                <w:rFonts w:hint="cs"/>
                <w:spacing w:val="0"/>
                <w:sz w:val="18"/>
                <w:szCs w:val="26"/>
                <w:rtl/>
              </w:rPr>
            </w:pPr>
            <w:r w:rsidRPr="00D17401">
              <w:rPr>
                <w:rFonts w:hint="cs"/>
                <w:spacing w:val="0"/>
                <w:sz w:val="18"/>
                <w:szCs w:val="26"/>
                <w:rtl/>
              </w:rPr>
              <w:t>جمهورية مولدوفا</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الحادية والثلاثون (تشرين الثاني/نوفمبر 2003)</w:t>
      </w:r>
    </w:p>
    <w:tbl>
      <w:tblPr>
        <w:tblW w:w="8357" w:type="dxa"/>
        <w:tblInd w:w="122" w:type="dxa"/>
        <w:tblBorders>
          <w:top w:val="single" w:sz="4" w:space="0" w:color="auto"/>
          <w:bottom w:val="single" w:sz="4" w:space="0" w:color="auto"/>
          <w:insideH w:val="single" w:sz="4" w:space="0" w:color="auto"/>
        </w:tblBorders>
        <w:tblLayout w:type="fixed"/>
        <w:tblLook w:val="0000"/>
      </w:tblPr>
      <w:tblGrid>
        <w:gridCol w:w="2072"/>
        <w:gridCol w:w="2716"/>
        <w:gridCol w:w="2127"/>
        <w:gridCol w:w="1442"/>
      </w:tblGrid>
      <w:tr w:rsidR="004E0A37" w:rsidRPr="00D17401" w:rsidTr="00C51313">
        <w:tblPrEx>
          <w:tblCellMar>
            <w:top w:w="0" w:type="dxa"/>
            <w:bottom w:w="0" w:type="dxa"/>
          </w:tblCellMar>
        </w:tblPrEx>
        <w:trPr>
          <w:tblHeader/>
        </w:trPr>
        <w:tc>
          <w:tcPr>
            <w:tcW w:w="2072"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716" w:type="dxa"/>
            <w:tcBorders>
              <w:bottom w:val="single" w:sz="12" w:space="0" w:color="auto"/>
            </w:tcBorders>
            <w:vAlign w:val="bottom"/>
          </w:tcPr>
          <w:p w:rsidR="004E0A37" w:rsidRPr="00D17401" w:rsidRDefault="004E0A37" w:rsidP="00481F28">
            <w:pPr>
              <w:spacing w:before="40" w:after="40" w:line="280" w:lineRule="exact"/>
              <w:ind w:right="170"/>
              <w:jc w:val="lowKashida"/>
              <w:rPr>
                <w:rFonts w:hint="cs"/>
                <w:i/>
                <w:spacing w:val="0"/>
                <w:sz w:val="18"/>
                <w:szCs w:val="26"/>
                <w:rtl/>
              </w:rPr>
            </w:pPr>
            <w:r w:rsidRPr="00D17401">
              <w:rPr>
                <w:rFonts w:hint="cs"/>
                <w:iCs/>
                <w:spacing w:val="0"/>
                <w:sz w:val="18"/>
                <w:szCs w:val="26"/>
                <w:rtl/>
              </w:rPr>
              <w:t>تاريخ تلقي المعلومات</w:t>
            </w:r>
          </w:p>
        </w:tc>
        <w:tc>
          <w:tcPr>
            <w:tcW w:w="2127" w:type="dxa"/>
            <w:tcBorders>
              <w:bottom w:val="single" w:sz="12" w:space="0" w:color="auto"/>
            </w:tcBorders>
            <w:vAlign w:val="bottom"/>
          </w:tcPr>
          <w:p w:rsidR="004E0A37" w:rsidRPr="00D17401" w:rsidRDefault="004E0A37" w:rsidP="00481F28">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442"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C51313">
        <w:tblPrEx>
          <w:tblCellMar>
            <w:top w:w="0" w:type="dxa"/>
            <w:bottom w:w="0" w:type="dxa"/>
          </w:tblCellMar>
        </w:tblPrEx>
        <w:tc>
          <w:tcPr>
            <w:tcW w:w="2072"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(28 نيسان/</w:t>
            </w:r>
            <w:r w:rsidR="007F7966">
              <w:rPr>
                <w:rFonts w:hint="cs"/>
                <w:spacing w:val="0"/>
                <w:sz w:val="18"/>
                <w:szCs w:val="26"/>
                <w:rtl/>
              </w:rPr>
              <w:t xml:space="preserve">  </w:t>
            </w:r>
            <w:r w:rsidRPr="00D17401">
              <w:rPr>
                <w:rFonts w:hint="cs"/>
                <w:spacing w:val="0"/>
                <w:sz w:val="18"/>
                <w:szCs w:val="26"/>
                <w:rtl/>
              </w:rPr>
              <w:t>أبريل 2006)</w:t>
            </w:r>
          </w:p>
        </w:tc>
        <w:tc>
          <w:tcPr>
            <w:tcW w:w="2716" w:type="dxa"/>
            <w:tcBorders>
              <w:top w:val="single" w:sz="12" w:space="0" w:color="auto"/>
              <w:bottom w:val="nil"/>
            </w:tcBorders>
          </w:tcPr>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w:t>
            </w:r>
          </w:p>
        </w:tc>
        <w:tc>
          <w:tcPr>
            <w:tcW w:w="2127"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2004</w:t>
            </w:r>
          </w:p>
        </w:tc>
        <w:tc>
          <w:tcPr>
            <w:tcW w:w="1442"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كمبوديا</w:t>
            </w:r>
          </w:p>
        </w:tc>
      </w:tr>
      <w:tr w:rsidR="004E0A37" w:rsidRPr="00D17401" w:rsidTr="00C51313">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F7966">
              <w:rPr>
                <w:rFonts w:hint="cs"/>
                <w:spacing w:val="0"/>
                <w:sz w:val="18"/>
                <w:szCs w:val="26"/>
                <w:rtl/>
              </w:rPr>
              <w:t xml:space="preserve"> </w:t>
            </w:r>
            <w:r w:rsidRPr="00D17401">
              <w:rPr>
                <w:rFonts w:hint="cs"/>
                <w:spacing w:val="0"/>
                <w:sz w:val="18"/>
                <w:szCs w:val="26"/>
                <w:rtl/>
              </w:rPr>
              <w:t>فبراير 2006)</w:t>
            </w:r>
          </w:p>
        </w:tc>
        <w:tc>
          <w:tcPr>
            <w:tcW w:w="2716" w:type="dxa"/>
            <w:tcBorders>
              <w:top w:val="nil"/>
              <w:bottom w:val="nil"/>
            </w:tcBorders>
          </w:tcPr>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w:t>
            </w:r>
          </w:p>
        </w:tc>
        <w:tc>
          <w:tcPr>
            <w:tcW w:w="2127"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2004</w:t>
            </w:r>
          </w:p>
        </w:tc>
        <w:tc>
          <w:tcPr>
            <w:tcW w:w="144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الكاميرون</w:t>
            </w:r>
          </w:p>
        </w:tc>
      </w:tr>
      <w:tr w:rsidR="004E0A37" w:rsidRPr="00D17401" w:rsidTr="00C51313">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F7966">
              <w:rPr>
                <w:rFonts w:hint="cs"/>
                <w:spacing w:val="0"/>
                <w:sz w:val="18"/>
                <w:szCs w:val="26"/>
                <w:rtl/>
              </w:rPr>
              <w:t xml:space="preserve"> </w:t>
            </w:r>
            <w:r w:rsidRPr="00D17401">
              <w:rPr>
                <w:rFonts w:hint="cs"/>
                <w:spacing w:val="0"/>
                <w:sz w:val="18"/>
                <w:szCs w:val="26"/>
                <w:rtl/>
              </w:rPr>
              <w:t>فبراير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(2</w:t>
            </w:r>
            <w:r w:rsidR="007F7966">
              <w:rPr>
                <w:rFonts w:hint="eastAsia"/>
                <w:spacing w:val="0"/>
                <w:sz w:val="18"/>
                <w:szCs w:val="26"/>
                <w:rtl/>
              </w:rPr>
              <w:t> </w:t>
            </w:r>
            <w:r w:rsidRPr="00D17401">
              <w:rPr>
                <w:rFonts w:hint="cs"/>
                <w:spacing w:val="0"/>
                <w:sz w:val="18"/>
                <w:szCs w:val="26"/>
                <w:rtl/>
              </w:rPr>
              <w:t>أيار/مايو 2007)</w:t>
            </w:r>
          </w:p>
        </w:tc>
        <w:tc>
          <w:tcPr>
            <w:tcW w:w="2716" w:type="dxa"/>
            <w:tcBorders>
              <w:top w:val="nil"/>
              <w:bottom w:val="nil"/>
            </w:tcBorders>
          </w:tcPr>
          <w:p w:rsidR="004E0A37" w:rsidRPr="00D17401" w:rsidRDefault="004E0A37" w:rsidP="00731C1F">
            <w:pPr>
              <w:spacing w:before="40" w:after="40" w:line="280" w:lineRule="exact"/>
              <w:ind w:right="170"/>
              <w:rPr>
                <w:rFonts w:hint="cs"/>
                <w:spacing w:val="0"/>
                <w:sz w:val="18"/>
                <w:szCs w:val="26"/>
                <w:rtl/>
              </w:rPr>
            </w:pPr>
            <w:r w:rsidRPr="00D17401">
              <w:rPr>
                <w:rFonts w:hint="cs"/>
                <w:spacing w:val="0"/>
                <w:sz w:val="18"/>
                <w:szCs w:val="26"/>
                <w:rtl/>
              </w:rPr>
              <w:t xml:space="preserve">24 آذار/مارس 2006 </w:t>
            </w:r>
            <w:r w:rsidRPr="00D17401">
              <w:rPr>
                <w:spacing w:val="0"/>
                <w:sz w:val="18"/>
                <w:szCs w:val="26"/>
                <w:lang/>
              </w:rPr>
              <w:t>CAT/C/COL/CO/3/Add.1</w:t>
            </w:r>
          </w:p>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 xml:space="preserve">16 تشرين الأول/أكتوبر 2007 </w:t>
            </w:r>
            <w:r w:rsidRPr="00D17401">
              <w:rPr>
                <w:spacing w:val="0"/>
                <w:sz w:val="18"/>
                <w:szCs w:val="26"/>
                <w:lang/>
              </w:rPr>
              <w:t>CAT/C/COL/CO/3/Add.2</w:t>
            </w:r>
          </w:p>
        </w:tc>
        <w:tc>
          <w:tcPr>
            <w:tcW w:w="2127"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2004</w:t>
            </w:r>
          </w:p>
        </w:tc>
        <w:tc>
          <w:tcPr>
            <w:tcW w:w="144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كولومبيا</w:t>
            </w:r>
          </w:p>
        </w:tc>
      </w:tr>
      <w:tr w:rsidR="004E0A37" w:rsidRPr="00D17401" w:rsidTr="00C51313">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(21 نيسان/أبريل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nil"/>
            </w:tcBorders>
          </w:tcPr>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3 تشرين الثاني/نوفمبر 2004</w:t>
            </w:r>
          </w:p>
          <w:p w:rsidR="004E0A37" w:rsidRPr="00D17401" w:rsidRDefault="004E0A37" w:rsidP="00481F28">
            <w:pPr>
              <w:spacing w:before="40" w:after="40" w:line="280" w:lineRule="exact"/>
              <w:ind w:right="170"/>
              <w:jc w:val="lowKashida"/>
              <w:rPr>
                <w:spacing w:val="0"/>
                <w:sz w:val="18"/>
                <w:szCs w:val="26"/>
                <w:lang/>
              </w:rPr>
            </w:pPr>
            <w:r w:rsidRPr="00D17401">
              <w:rPr>
                <w:spacing w:val="0"/>
                <w:sz w:val="18"/>
                <w:szCs w:val="26"/>
                <w:lang/>
              </w:rPr>
              <w:t>CAT/C/CR/31/RESP/1</w:t>
            </w:r>
          </w:p>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14 أيار/مايو 2007</w:t>
            </w:r>
          </w:p>
          <w:p w:rsidR="004E0A37" w:rsidRPr="00D17401" w:rsidRDefault="004E0A37" w:rsidP="00481F28">
            <w:pPr>
              <w:spacing w:before="40" w:after="40" w:line="280" w:lineRule="exact"/>
              <w:ind w:right="170"/>
              <w:jc w:val="lowKashida"/>
              <w:rPr>
                <w:rFonts w:hint="cs"/>
                <w:spacing w:val="0"/>
                <w:sz w:val="18"/>
                <w:szCs w:val="26"/>
                <w:rtl/>
              </w:rPr>
            </w:pPr>
            <w:r w:rsidRPr="00D17401">
              <w:rPr>
                <w:spacing w:val="0"/>
                <w:sz w:val="18"/>
                <w:szCs w:val="26"/>
                <w:lang/>
              </w:rPr>
              <w:t>CAT/C/LVA/CO/1/Add.1</w:t>
            </w:r>
          </w:p>
        </w:tc>
        <w:tc>
          <w:tcPr>
            <w:tcW w:w="2127"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2004</w:t>
            </w:r>
          </w:p>
        </w:tc>
        <w:tc>
          <w:tcPr>
            <w:tcW w:w="144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لاتفيا</w:t>
            </w:r>
          </w:p>
        </w:tc>
      </w:tr>
      <w:tr w:rsidR="004E0A37" w:rsidRPr="00D17401" w:rsidTr="00C51313">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(21 نيسان/أبريل 2006)</w:t>
            </w:r>
          </w:p>
          <w:p w:rsidR="004E0A37" w:rsidRPr="007F7966" w:rsidRDefault="004E0A37" w:rsidP="00481F28">
            <w:pPr>
              <w:spacing w:before="40" w:after="40" w:line="280" w:lineRule="exact"/>
              <w:jc w:val="lowKashida"/>
              <w:rPr>
                <w:rFonts w:hint="cs"/>
                <w:spacing w:val="-4"/>
                <w:sz w:val="18"/>
                <w:szCs w:val="26"/>
                <w:rtl/>
              </w:rPr>
            </w:pPr>
            <w:r w:rsidRPr="007F7966">
              <w:rPr>
                <w:rFonts w:hint="cs"/>
                <w:spacing w:val="-4"/>
                <w:sz w:val="18"/>
                <w:szCs w:val="26"/>
                <w:rtl/>
              </w:rPr>
              <w:t>طلب مزيد من التوضيح (27 تشرين الأول/أكتوبر 2008)</w:t>
            </w:r>
          </w:p>
        </w:tc>
        <w:tc>
          <w:tcPr>
            <w:tcW w:w="2716" w:type="dxa"/>
            <w:tcBorders>
              <w:top w:val="nil"/>
              <w:bottom w:val="nil"/>
            </w:tcBorders>
          </w:tcPr>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7 كانون الأول/ديسمبر 2004</w:t>
            </w:r>
          </w:p>
          <w:p w:rsidR="004E0A37" w:rsidRPr="00D17401" w:rsidRDefault="004E0A37" w:rsidP="00481F28">
            <w:pPr>
              <w:spacing w:before="40" w:after="40" w:line="280" w:lineRule="exact"/>
              <w:ind w:right="170"/>
              <w:jc w:val="lowKashida"/>
              <w:rPr>
                <w:spacing w:val="0"/>
                <w:sz w:val="18"/>
                <w:szCs w:val="26"/>
                <w:lang/>
              </w:rPr>
            </w:pPr>
            <w:r w:rsidRPr="00D17401">
              <w:rPr>
                <w:spacing w:val="0"/>
                <w:sz w:val="18"/>
                <w:szCs w:val="26"/>
                <w:lang/>
              </w:rPr>
              <w:t>CAT/C/CR/31/5/RESP/1</w:t>
            </w:r>
          </w:p>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25 تشرين الأول/أكتوبر 2006</w:t>
            </w:r>
          </w:p>
          <w:p w:rsidR="004E0A37" w:rsidRPr="00D17401" w:rsidRDefault="004E0A37" w:rsidP="00481F28">
            <w:pPr>
              <w:spacing w:before="40" w:after="40" w:line="280" w:lineRule="exact"/>
              <w:ind w:right="170"/>
              <w:jc w:val="lowKashida"/>
              <w:rPr>
                <w:spacing w:val="0"/>
                <w:sz w:val="18"/>
                <w:szCs w:val="26"/>
                <w:lang/>
              </w:rPr>
            </w:pPr>
            <w:r w:rsidRPr="00D17401">
              <w:rPr>
                <w:spacing w:val="0"/>
                <w:sz w:val="18"/>
                <w:szCs w:val="26"/>
                <w:lang/>
              </w:rPr>
              <w:t>CAT/C/LTU/CO/1/Add.2</w:t>
            </w:r>
          </w:p>
        </w:tc>
        <w:tc>
          <w:tcPr>
            <w:tcW w:w="2127"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2004</w:t>
            </w:r>
          </w:p>
        </w:tc>
        <w:tc>
          <w:tcPr>
            <w:tcW w:w="144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ليتوانيا</w:t>
            </w:r>
          </w:p>
        </w:tc>
      </w:tr>
      <w:tr w:rsidR="004E0A37" w:rsidRPr="00D17401" w:rsidTr="00C51313">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p>
          <w:p w:rsidR="004E0A37" w:rsidRPr="00D17401" w:rsidRDefault="004E0A37" w:rsidP="00481F28">
            <w:pPr>
              <w:spacing w:before="40" w:after="40" w:line="280" w:lineRule="exact"/>
              <w:jc w:val="lowKashida"/>
              <w:rPr>
                <w:rFonts w:hint="cs"/>
                <w:spacing w:val="0"/>
                <w:sz w:val="18"/>
                <w:szCs w:val="26"/>
                <w:rtl/>
              </w:rPr>
            </w:pPr>
          </w:p>
          <w:p w:rsidR="004E0A37" w:rsidRPr="00D17401" w:rsidRDefault="004E0A37" w:rsidP="00481F28">
            <w:pPr>
              <w:spacing w:before="40" w:after="40" w:line="280" w:lineRule="exact"/>
              <w:jc w:val="lowKashida"/>
              <w:rPr>
                <w:rFonts w:hint="cs"/>
                <w:spacing w:val="0"/>
                <w:sz w:val="18"/>
                <w:szCs w:val="26"/>
                <w:rtl/>
              </w:rPr>
            </w:pP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(10 أيار/مايو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(17 آذار/مارس 2011)</w:t>
            </w:r>
          </w:p>
        </w:tc>
        <w:tc>
          <w:tcPr>
            <w:tcW w:w="2716" w:type="dxa"/>
            <w:tcBorders>
              <w:top w:val="nil"/>
              <w:bottom w:val="nil"/>
            </w:tcBorders>
          </w:tcPr>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22 تشرين الثاني/نوفمبر 2004</w:t>
            </w:r>
          </w:p>
          <w:p w:rsidR="004E0A37" w:rsidRPr="00D17401" w:rsidRDefault="004E0A37" w:rsidP="00481F28">
            <w:pPr>
              <w:spacing w:before="40" w:after="40" w:line="280" w:lineRule="exact"/>
              <w:ind w:right="170"/>
              <w:jc w:val="lowKashida"/>
              <w:rPr>
                <w:spacing w:val="0"/>
                <w:sz w:val="18"/>
                <w:szCs w:val="26"/>
                <w:lang/>
              </w:rPr>
            </w:pPr>
            <w:r w:rsidRPr="00D17401">
              <w:rPr>
                <w:spacing w:val="0"/>
                <w:sz w:val="18"/>
                <w:szCs w:val="26"/>
                <w:lang/>
              </w:rPr>
              <w:t>CAT/C/CR/31/2/Add.1</w:t>
            </w:r>
          </w:p>
          <w:p w:rsidR="004E0A37" w:rsidRPr="00D17401"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2 آب/أغسطس 2006</w:t>
            </w:r>
          </w:p>
          <w:p w:rsidR="004E0A37" w:rsidRPr="00D17401" w:rsidRDefault="004E0A37" w:rsidP="00481F28">
            <w:pPr>
              <w:spacing w:before="40" w:after="40" w:line="280" w:lineRule="exact"/>
              <w:ind w:right="170"/>
              <w:jc w:val="lowKashida"/>
              <w:rPr>
                <w:rFonts w:hint="cs"/>
                <w:spacing w:val="0"/>
                <w:sz w:val="18"/>
                <w:szCs w:val="26"/>
                <w:rtl/>
              </w:rPr>
            </w:pPr>
            <w:r w:rsidRPr="00D17401">
              <w:rPr>
                <w:spacing w:val="0"/>
                <w:sz w:val="18"/>
                <w:szCs w:val="26"/>
                <w:lang/>
              </w:rPr>
              <w:t>CAT/C/MAR/CO/3/Add.2</w:t>
            </w:r>
          </w:p>
          <w:p w:rsidR="004E0A37" w:rsidRPr="00D17401" w:rsidRDefault="004E0A37" w:rsidP="00481F28">
            <w:pPr>
              <w:spacing w:before="40" w:after="40" w:line="280" w:lineRule="exact"/>
              <w:ind w:right="170"/>
              <w:jc w:val="lowKashida"/>
              <w:rPr>
                <w:rFonts w:hint="cs"/>
                <w:spacing w:val="0"/>
                <w:sz w:val="18"/>
                <w:szCs w:val="26"/>
                <w:rtl/>
              </w:rPr>
            </w:pPr>
          </w:p>
          <w:p w:rsidR="004E0A37" w:rsidRPr="00D17401" w:rsidRDefault="004E0A37" w:rsidP="00481F28">
            <w:pPr>
              <w:spacing w:before="40" w:after="40" w:line="280" w:lineRule="exact"/>
              <w:ind w:right="170"/>
              <w:jc w:val="lowKashida"/>
              <w:rPr>
                <w:spacing w:val="0"/>
                <w:sz w:val="18"/>
                <w:szCs w:val="26"/>
                <w:rtl/>
              </w:rPr>
            </w:pPr>
            <w:r w:rsidRPr="00D17401">
              <w:rPr>
                <w:rFonts w:hint="cs"/>
                <w:spacing w:val="0"/>
                <w:sz w:val="18"/>
                <w:szCs w:val="26"/>
                <w:rtl/>
              </w:rPr>
              <w:t>30 تشرين الأول/أكتوبر 2006</w:t>
            </w:r>
          </w:p>
          <w:p w:rsidR="004E0A37" w:rsidRPr="00D17401" w:rsidRDefault="004E0A37" w:rsidP="00481F28">
            <w:pPr>
              <w:spacing w:before="40" w:after="40" w:line="280" w:lineRule="exact"/>
              <w:ind w:right="170"/>
              <w:jc w:val="lowKashida"/>
              <w:rPr>
                <w:rFonts w:hint="cs"/>
                <w:spacing w:val="0"/>
                <w:sz w:val="18"/>
                <w:szCs w:val="26"/>
                <w:rtl/>
              </w:rPr>
            </w:pPr>
            <w:r w:rsidRPr="00D17401">
              <w:rPr>
                <w:spacing w:val="0"/>
                <w:sz w:val="18"/>
                <w:szCs w:val="26"/>
                <w:lang/>
              </w:rPr>
              <w:t>CAT/C/MAR/CO/3/Add.3</w:t>
            </w:r>
          </w:p>
        </w:tc>
        <w:tc>
          <w:tcPr>
            <w:tcW w:w="2127"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2004</w:t>
            </w:r>
          </w:p>
        </w:tc>
        <w:tc>
          <w:tcPr>
            <w:tcW w:w="144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المغرب</w:t>
            </w:r>
          </w:p>
        </w:tc>
      </w:tr>
      <w:tr w:rsidR="004E0A37" w:rsidRPr="00D17401" w:rsidTr="00C51313">
        <w:tblPrEx>
          <w:tblCellMar>
            <w:top w:w="0" w:type="dxa"/>
            <w:bottom w:w="0" w:type="dxa"/>
          </w:tblCellMar>
        </w:tblPrEx>
        <w:tc>
          <w:tcPr>
            <w:tcW w:w="2072"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(21 نيسان/أبريل 2006)</w:t>
            </w:r>
          </w:p>
        </w:tc>
        <w:tc>
          <w:tcPr>
            <w:tcW w:w="2716" w:type="dxa"/>
            <w:tcBorders>
              <w:top w:val="nil"/>
              <w:bottom w:val="single" w:sz="12" w:space="0" w:color="auto"/>
            </w:tcBorders>
          </w:tcPr>
          <w:p w:rsidR="00C51313" w:rsidRDefault="004E0A37" w:rsidP="00481F28">
            <w:pPr>
              <w:spacing w:before="40" w:after="40" w:line="280" w:lineRule="exact"/>
              <w:ind w:right="170"/>
              <w:jc w:val="lowKashida"/>
              <w:rPr>
                <w:rFonts w:hint="cs"/>
                <w:spacing w:val="0"/>
                <w:sz w:val="18"/>
                <w:szCs w:val="26"/>
                <w:rtl/>
              </w:rPr>
            </w:pPr>
            <w:r w:rsidRPr="00D17401">
              <w:rPr>
                <w:rFonts w:hint="cs"/>
                <w:spacing w:val="0"/>
                <w:sz w:val="18"/>
                <w:szCs w:val="26"/>
                <w:rtl/>
              </w:rPr>
              <w:t>22 آب/أغسطس 2005</w:t>
            </w:r>
          </w:p>
          <w:p w:rsidR="004E0A37" w:rsidRPr="00D17401" w:rsidRDefault="004E0A37" w:rsidP="00481F28">
            <w:pPr>
              <w:spacing w:before="40" w:after="40" w:line="280" w:lineRule="exact"/>
              <w:ind w:right="170"/>
              <w:jc w:val="lowKashida"/>
              <w:rPr>
                <w:spacing w:val="0"/>
                <w:sz w:val="18"/>
                <w:szCs w:val="26"/>
                <w:lang/>
              </w:rPr>
            </w:pPr>
            <w:r w:rsidRPr="00D17401">
              <w:rPr>
                <w:spacing w:val="0"/>
                <w:sz w:val="18"/>
                <w:szCs w:val="26"/>
                <w:lang/>
              </w:rPr>
              <w:t>CAT/C/CR/31/4/Add.1</w:t>
            </w:r>
          </w:p>
        </w:tc>
        <w:tc>
          <w:tcPr>
            <w:tcW w:w="2127"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2004</w:t>
            </w:r>
          </w:p>
        </w:tc>
        <w:tc>
          <w:tcPr>
            <w:tcW w:w="1442"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اليمن</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الثانية والثلاثون (أيار/مايو 2004)</w:t>
      </w:r>
    </w:p>
    <w:tbl>
      <w:tblPr>
        <w:tblW w:w="8371" w:type="dxa"/>
        <w:tblInd w:w="108" w:type="dxa"/>
        <w:tblBorders>
          <w:top w:val="single" w:sz="4" w:space="0" w:color="auto"/>
          <w:bottom w:val="single" w:sz="4" w:space="0" w:color="auto"/>
          <w:insideH w:val="single" w:sz="4" w:space="0" w:color="auto"/>
        </w:tblBorders>
        <w:tblLayout w:type="fixed"/>
        <w:tblLook w:val="0000"/>
      </w:tblPr>
      <w:tblGrid>
        <w:gridCol w:w="2072"/>
        <w:gridCol w:w="2730"/>
        <w:gridCol w:w="2071"/>
        <w:gridCol w:w="1498"/>
      </w:tblGrid>
      <w:tr w:rsidR="004E0A37" w:rsidRPr="00D17401" w:rsidTr="00481F28">
        <w:tblPrEx>
          <w:tblCellMar>
            <w:top w:w="0" w:type="dxa"/>
            <w:bottom w:w="0" w:type="dxa"/>
          </w:tblCellMar>
        </w:tblPrEx>
        <w:trPr>
          <w:tblHeader/>
        </w:trPr>
        <w:tc>
          <w:tcPr>
            <w:tcW w:w="2072"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730"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تاريخ تلقي المعلومات</w:t>
            </w:r>
          </w:p>
        </w:tc>
        <w:tc>
          <w:tcPr>
            <w:tcW w:w="2071" w:type="dxa"/>
            <w:tcBorders>
              <w:bottom w:val="single" w:sz="12" w:space="0" w:color="auto"/>
            </w:tcBorders>
            <w:vAlign w:val="bottom"/>
          </w:tcPr>
          <w:p w:rsidR="004E0A37" w:rsidRPr="00D17401" w:rsidRDefault="004E0A37" w:rsidP="00481F28">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498"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481F28">
        <w:tblPrEx>
          <w:tblCellMar>
            <w:top w:w="0" w:type="dxa"/>
            <w:bottom w:w="0" w:type="dxa"/>
          </w:tblCellMar>
        </w:tblPrEx>
        <w:tc>
          <w:tcPr>
            <w:tcW w:w="2072"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(30 تشرين الأول/أكتوبر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(3 أيار/مايو 2011)</w:t>
            </w:r>
          </w:p>
        </w:tc>
        <w:tc>
          <w:tcPr>
            <w:tcW w:w="2730"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4 آب/أغسطس 2005</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CAT/C/CR/32/7/RESP/1</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25 أيلول/سبتمبر 2007</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CAT/C/DEU/CO/3/Add.1</w:t>
            </w:r>
          </w:p>
        </w:tc>
        <w:tc>
          <w:tcPr>
            <w:tcW w:w="2071"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2005</w:t>
            </w:r>
          </w:p>
        </w:tc>
        <w:tc>
          <w:tcPr>
            <w:tcW w:w="1498"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ألمانيا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F7966">
              <w:rPr>
                <w:rFonts w:hint="cs"/>
                <w:spacing w:val="0"/>
                <w:sz w:val="18"/>
                <w:szCs w:val="26"/>
                <w:rtl/>
              </w:rPr>
              <w:t xml:space="preserve">   </w:t>
            </w:r>
            <w:r w:rsidRPr="00D17401">
              <w:rPr>
                <w:rFonts w:hint="cs"/>
                <w:spacing w:val="0"/>
                <w:sz w:val="18"/>
                <w:szCs w:val="26"/>
                <w:rtl/>
              </w:rPr>
              <w:t>فبراير 2006)</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2005</w:t>
            </w: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بلغاريا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(16 أيار/مايو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(6 أيار/مايو 2011)</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25 نيسان/أبريل 2005</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CAT/C/CZE/CO/3/Add.1</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14 كانون الثاني/يناير 2008</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CAT/C/CZE/CO/3/Add.2</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2005</w:t>
            </w:r>
          </w:p>
        </w:tc>
        <w:tc>
          <w:tcPr>
            <w:tcW w:w="1498" w:type="dxa"/>
            <w:tcBorders>
              <w:top w:val="nil"/>
              <w:bottom w:val="nil"/>
            </w:tcBorders>
          </w:tcPr>
          <w:p w:rsidR="004E0A37" w:rsidRPr="00481F28" w:rsidRDefault="004E0A37" w:rsidP="00481F28">
            <w:pPr>
              <w:spacing w:before="40" w:after="40" w:line="280" w:lineRule="exact"/>
              <w:jc w:val="lowKashida"/>
              <w:rPr>
                <w:rFonts w:hint="cs"/>
                <w:spacing w:val="-2"/>
                <w:sz w:val="18"/>
                <w:szCs w:val="26"/>
                <w:rtl/>
              </w:rPr>
            </w:pPr>
            <w:r w:rsidRPr="00481F28">
              <w:rPr>
                <w:rFonts w:hint="cs"/>
                <w:spacing w:val="-2"/>
                <w:sz w:val="18"/>
                <w:szCs w:val="26"/>
                <w:rtl/>
              </w:rPr>
              <w:t>الجمهورية التشيكية</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F7966">
              <w:rPr>
                <w:rFonts w:hint="cs"/>
                <w:spacing w:val="0"/>
                <w:sz w:val="18"/>
                <w:szCs w:val="26"/>
                <w:rtl/>
              </w:rPr>
              <w:t xml:space="preserve">    </w:t>
            </w:r>
            <w:r w:rsidRPr="00D17401">
              <w:rPr>
                <w:rFonts w:hint="cs"/>
                <w:spacing w:val="0"/>
                <w:sz w:val="18"/>
                <w:szCs w:val="26"/>
                <w:rtl/>
              </w:rPr>
              <w:t>فبراير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(15 أيار/مايو 2008)</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22 كانون الثاني/يناير 2007</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CAT/C/38/CRP.4</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2005</w:t>
            </w: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شيلي</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31C1F">
              <w:rPr>
                <w:rFonts w:hint="cs"/>
                <w:spacing w:val="0"/>
                <w:sz w:val="18"/>
                <w:szCs w:val="26"/>
                <w:rtl/>
              </w:rPr>
              <w:t xml:space="preserve"> </w:t>
            </w:r>
            <w:r w:rsidRPr="00D17401">
              <w:rPr>
                <w:rFonts w:hint="cs"/>
                <w:spacing w:val="0"/>
                <w:sz w:val="18"/>
                <w:szCs w:val="26"/>
                <w:rtl/>
              </w:rPr>
              <w:t>فبراير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(13 أيار/مايو 2008)</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12 تموز/يوليه 2006</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CAT/C/HRV/CO/3/Add.</w:t>
            </w:r>
            <w:r w:rsidRPr="00D17401">
              <w:rPr>
                <w:spacing w:val="0"/>
                <w:sz w:val="18"/>
                <w:szCs w:val="26"/>
              </w:rPr>
              <w:t>1</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16 شباط/فبراير 2009</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CAT/C/HRV/CO/3/Add.2</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2005</w:t>
            </w: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كرواتيا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F7966">
              <w:rPr>
                <w:rFonts w:hint="cs"/>
                <w:spacing w:val="0"/>
                <w:sz w:val="18"/>
                <w:szCs w:val="26"/>
                <w:rtl/>
              </w:rPr>
              <w:t xml:space="preserve">    </w:t>
            </w:r>
            <w:r w:rsidRPr="00D17401">
              <w:rPr>
                <w:rFonts w:hint="cs"/>
                <w:spacing w:val="0"/>
                <w:sz w:val="18"/>
                <w:szCs w:val="26"/>
                <w:rtl/>
              </w:rPr>
              <w:t>فبراير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(15 أيار/مايو 2008)</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30 آذار/مارس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CAT/C/MCO/CO/4/Add.1</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2005</w:t>
            </w: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موناكو</w:t>
            </w:r>
          </w:p>
        </w:tc>
      </w:tr>
      <w:tr w:rsidR="004E0A37" w:rsidRPr="00D17401" w:rsidTr="00481F28">
        <w:tblPrEx>
          <w:tblCellMar>
            <w:top w:w="0" w:type="dxa"/>
            <w:bottom w:w="0" w:type="dxa"/>
          </w:tblCellMar>
        </w:tblPrEx>
        <w:tc>
          <w:tcPr>
            <w:tcW w:w="2072"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p>
          <w:p w:rsidR="004E0A37" w:rsidRPr="00D17401" w:rsidRDefault="004E0A37" w:rsidP="00481F28">
            <w:pPr>
              <w:spacing w:before="40" w:after="40" w:line="280" w:lineRule="exact"/>
              <w:jc w:val="lowKashida"/>
              <w:rPr>
                <w:rFonts w:hint="cs"/>
                <w:spacing w:val="0"/>
                <w:sz w:val="18"/>
                <w:szCs w:val="26"/>
                <w:rtl/>
              </w:rPr>
            </w:pP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(14 أيار/مايو 2007)</w:t>
            </w:r>
          </w:p>
        </w:tc>
        <w:tc>
          <w:tcPr>
            <w:tcW w:w="2730"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9 حزيران/يونيه 2005</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CAT/C/CR/32/4/RESP/1</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التعليقات:</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19 كانون الأول/ديسمبر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CAT/C/NZL/CO/3/Add.2</w:t>
            </w:r>
          </w:p>
        </w:tc>
        <w:tc>
          <w:tcPr>
            <w:tcW w:w="2071"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2005</w:t>
            </w:r>
          </w:p>
        </w:tc>
        <w:tc>
          <w:tcPr>
            <w:tcW w:w="1498"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نيوزيلندا</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الثالثة والثلاثون (تشرين الثاني/نوفمبر 2004)</w:t>
      </w:r>
    </w:p>
    <w:tbl>
      <w:tblPr>
        <w:tblW w:w="8371" w:type="dxa"/>
        <w:tblInd w:w="108" w:type="dxa"/>
        <w:tblBorders>
          <w:top w:val="single" w:sz="4" w:space="0" w:color="auto"/>
          <w:bottom w:val="single" w:sz="4" w:space="0" w:color="auto"/>
          <w:insideH w:val="single" w:sz="4" w:space="0" w:color="auto"/>
        </w:tblBorders>
        <w:tblLayout w:type="fixed"/>
        <w:tblLook w:val="0000"/>
      </w:tblPr>
      <w:tblGrid>
        <w:gridCol w:w="2086"/>
        <w:gridCol w:w="2674"/>
        <w:gridCol w:w="2113"/>
        <w:gridCol w:w="1498"/>
      </w:tblGrid>
      <w:tr w:rsidR="004E0A37" w:rsidRPr="00D17401" w:rsidTr="00481F28">
        <w:tblPrEx>
          <w:tblCellMar>
            <w:top w:w="0" w:type="dxa"/>
            <w:bottom w:w="0" w:type="dxa"/>
          </w:tblCellMar>
        </w:tblPrEx>
        <w:trPr>
          <w:tblHeader/>
        </w:trPr>
        <w:tc>
          <w:tcPr>
            <w:tcW w:w="2086"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674"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تاريخ تلقي المعلومات</w:t>
            </w:r>
          </w:p>
        </w:tc>
        <w:tc>
          <w:tcPr>
            <w:tcW w:w="2113" w:type="dxa"/>
            <w:tcBorders>
              <w:bottom w:val="single" w:sz="12" w:space="0" w:color="auto"/>
            </w:tcBorders>
            <w:vAlign w:val="bottom"/>
          </w:tcPr>
          <w:p w:rsidR="004E0A37" w:rsidRPr="00D17401" w:rsidRDefault="004E0A37" w:rsidP="00481F28">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498"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481F28">
        <w:tblPrEx>
          <w:tblCellMar>
            <w:top w:w="0" w:type="dxa"/>
            <w:bottom w:w="0" w:type="dxa"/>
          </w:tblCellMar>
        </w:tblPrEx>
        <w:tc>
          <w:tcPr>
            <w:tcW w:w="2086"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(11 أيار/مايو 2007)</w:t>
            </w:r>
          </w:p>
        </w:tc>
        <w:tc>
          <w:tcPr>
            <w:tcW w:w="2674"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 شباط/فبراير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CAT/C/ARG/CO/4/Add.1</w:t>
            </w:r>
          </w:p>
        </w:tc>
        <w:tc>
          <w:tcPr>
            <w:tcW w:w="2113"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2005</w:t>
            </w:r>
          </w:p>
        </w:tc>
        <w:tc>
          <w:tcPr>
            <w:tcW w:w="1498"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الأرجنتين</w:t>
            </w:r>
          </w:p>
        </w:tc>
      </w:tr>
      <w:tr w:rsidR="004E0A37" w:rsidRPr="00D17401" w:rsidTr="00481F28">
        <w:tblPrEx>
          <w:tblCellMar>
            <w:top w:w="0" w:type="dxa"/>
            <w:bottom w:w="0" w:type="dxa"/>
          </w:tblCellMar>
        </w:tblPrEx>
        <w:tc>
          <w:tcPr>
            <w:tcW w:w="2086"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31C1F">
              <w:rPr>
                <w:rFonts w:hint="cs"/>
                <w:spacing w:val="0"/>
                <w:sz w:val="18"/>
                <w:szCs w:val="26"/>
                <w:rtl/>
              </w:rPr>
              <w:t xml:space="preserve"> </w:t>
            </w:r>
            <w:r w:rsidRPr="00D17401">
              <w:rPr>
                <w:rFonts w:hint="cs"/>
                <w:spacing w:val="0"/>
                <w:sz w:val="18"/>
                <w:szCs w:val="26"/>
                <w:rtl/>
              </w:rPr>
              <w:t>فبراير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(29 نيسان/أبريل 2009)</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674"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14 آذار/مارس 2006</w:t>
            </w:r>
          </w:p>
          <w:p w:rsidR="004E0A37" w:rsidRPr="00D17401" w:rsidRDefault="004E0A37" w:rsidP="00481F28">
            <w:pPr>
              <w:spacing w:before="40" w:after="40" w:line="280" w:lineRule="exact"/>
              <w:jc w:val="lowKashida"/>
              <w:rPr>
                <w:rFonts w:hint="cs"/>
                <w:spacing w:val="0"/>
                <w:sz w:val="18"/>
                <w:szCs w:val="26"/>
                <w:rtl/>
                <w:lang/>
              </w:rPr>
            </w:pPr>
            <w:r w:rsidRPr="00D17401">
              <w:rPr>
                <w:spacing w:val="0"/>
                <w:sz w:val="18"/>
                <w:szCs w:val="26"/>
                <w:lang/>
              </w:rPr>
              <w:t>CAT/C/GBR/CO/4/Add.1</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25 آب/أغسطس 2009</w:t>
            </w:r>
          </w:p>
          <w:p w:rsidR="004E0A37" w:rsidRPr="00D17401" w:rsidRDefault="004E0A37" w:rsidP="00481F28">
            <w:pPr>
              <w:spacing w:before="40" w:after="40" w:line="280" w:lineRule="exact"/>
              <w:jc w:val="lowKashida"/>
              <w:rPr>
                <w:rFonts w:hint="cs"/>
                <w:spacing w:val="0"/>
                <w:sz w:val="18"/>
                <w:szCs w:val="26"/>
                <w:lang/>
              </w:rPr>
            </w:pPr>
            <w:r w:rsidRPr="00D17401">
              <w:rPr>
                <w:spacing w:val="0"/>
                <w:sz w:val="18"/>
                <w:szCs w:val="26"/>
                <w:lang/>
              </w:rPr>
              <w:t>CAT/C/GBR/CO/4/Add.2</w:t>
            </w:r>
          </w:p>
        </w:tc>
        <w:tc>
          <w:tcPr>
            <w:tcW w:w="2113"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2005</w:t>
            </w:r>
          </w:p>
        </w:tc>
        <w:tc>
          <w:tcPr>
            <w:tcW w:w="1498" w:type="dxa"/>
            <w:tcBorders>
              <w:top w:val="nil"/>
              <w:bottom w:val="nil"/>
            </w:tcBorders>
          </w:tcPr>
          <w:p w:rsidR="004E0A37" w:rsidRPr="00D17401" w:rsidRDefault="004E0A37" w:rsidP="00481F28">
            <w:pPr>
              <w:spacing w:before="40" w:after="40" w:line="280" w:lineRule="exact"/>
              <w:ind w:right="170"/>
              <w:jc w:val="lowKashida"/>
              <w:rPr>
                <w:rFonts w:hint="cs"/>
                <w:spacing w:val="0"/>
                <w:sz w:val="18"/>
                <w:szCs w:val="26"/>
                <w:rtl/>
              </w:rPr>
            </w:pPr>
            <w:r w:rsidRPr="00481F28">
              <w:rPr>
                <w:sz w:val="18"/>
                <w:szCs w:val="26"/>
                <w:rtl/>
              </w:rPr>
              <w:t>المملكة المتحدة</w:t>
            </w:r>
            <w:r w:rsidRPr="00D17401">
              <w:rPr>
                <w:spacing w:val="0"/>
                <w:sz w:val="18"/>
                <w:szCs w:val="26"/>
                <w:rtl/>
              </w:rPr>
              <w:t xml:space="preserve"> لبريطانيا العظمى و</w:t>
            </w:r>
            <w:r w:rsidR="00F64788">
              <w:rPr>
                <w:rFonts w:hint="cs"/>
                <w:spacing w:val="0"/>
                <w:sz w:val="18"/>
                <w:szCs w:val="26"/>
                <w:rtl/>
              </w:rPr>
              <w:t>آيرلندا</w:t>
            </w:r>
            <w:r w:rsidRPr="00D17401">
              <w:rPr>
                <w:spacing w:val="0"/>
                <w:sz w:val="18"/>
                <w:szCs w:val="26"/>
                <w:rtl/>
              </w:rPr>
              <w:t xml:space="preserve"> الشمالية</w:t>
            </w:r>
          </w:p>
        </w:tc>
      </w:tr>
      <w:tr w:rsidR="004E0A37" w:rsidRPr="00D17401" w:rsidTr="00481F28">
        <w:tblPrEx>
          <w:tblCellMar>
            <w:top w:w="0" w:type="dxa"/>
            <w:bottom w:w="0" w:type="dxa"/>
          </w:tblCellMar>
        </w:tblPrEx>
        <w:tc>
          <w:tcPr>
            <w:tcW w:w="2086"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(17 شباط/</w:t>
            </w:r>
            <w:r w:rsidR="00731C1F">
              <w:rPr>
                <w:rFonts w:hint="cs"/>
                <w:spacing w:val="0"/>
                <w:sz w:val="18"/>
                <w:szCs w:val="26"/>
                <w:rtl/>
              </w:rPr>
              <w:t xml:space="preserve"> </w:t>
            </w:r>
            <w:r w:rsidRPr="00D17401">
              <w:rPr>
                <w:rFonts w:hint="cs"/>
                <w:spacing w:val="0"/>
                <w:sz w:val="18"/>
                <w:szCs w:val="26"/>
                <w:rtl/>
              </w:rPr>
              <w:t>فبراير 2006)</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(15 أيار/مايو 2008)</w:t>
            </w:r>
          </w:p>
        </w:tc>
        <w:tc>
          <w:tcPr>
            <w:tcW w:w="2674"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14 آذار/مارس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CAT/C/GRC/CO/4/Add.1</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9 تشرين الأول/أكتوبر 2008</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CAT/C/GRC/CO/4/Add.2</w:t>
            </w:r>
          </w:p>
        </w:tc>
        <w:tc>
          <w:tcPr>
            <w:tcW w:w="2113"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2005</w:t>
            </w:r>
          </w:p>
        </w:tc>
        <w:tc>
          <w:tcPr>
            <w:tcW w:w="1498"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اليونان</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الرابعة والثلاثون (أيار/مايو 2005)</w:t>
      </w:r>
    </w:p>
    <w:tbl>
      <w:tblPr>
        <w:tblW w:w="8385" w:type="dxa"/>
        <w:tblInd w:w="108" w:type="dxa"/>
        <w:tblBorders>
          <w:top w:val="single" w:sz="4" w:space="0" w:color="auto"/>
          <w:bottom w:val="single" w:sz="4" w:space="0" w:color="auto"/>
          <w:insideH w:val="single" w:sz="4" w:space="0" w:color="auto"/>
        </w:tblBorders>
        <w:tblLayout w:type="fixed"/>
        <w:tblLook w:val="0000"/>
      </w:tblPr>
      <w:tblGrid>
        <w:gridCol w:w="2072"/>
        <w:gridCol w:w="2730"/>
        <w:gridCol w:w="2071"/>
        <w:gridCol w:w="1512"/>
      </w:tblGrid>
      <w:tr w:rsidR="004E0A37" w:rsidRPr="00D17401" w:rsidTr="00481F28">
        <w:tblPrEx>
          <w:tblCellMar>
            <w:top w:w="0" w:type="dxa"/>
            <w:bottom w:w="0" w:type="dxa"/>
          </w:tblCellMar>
        </w:tblPrEx>
        <w:trPr>
          <w:tblHeader/>
        </w:trPr>
        <w:tc>
          <w:tcPr>
            <w:tcW w:w="2072"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730"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تاريخ تلقي المعلومات</w:t>
            </w:r>
          </w:p>
        </w:tc>
        <w:tc>
          <w:tcPr>
            <w:tcW w:w="2071" w:type="dxa"/>
            <w:tcBorders>
              <w:bottom w:val="single" w:sz="12" w:space="0" w:color="auto"/>
            </w:tcBorders>
            <w:vAlign w:val="bottom"/>
          </w:tcPr>
          <w:p w:rsidR="004E0A37" w:rsidRPr="00D17401" w:rsidRDefault="004E0A37" w:rsidP="00481F28">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512"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481F28">
        <w:tblPrEx>
          <w:tblCellMar>
            <w:top w:w="0" w:type="dxa"/>
            <w:bottom w:w="0" w:type="dxa"/>
          </w:tblCellMar>
        </w:tblPrEx>
        <w:tc>
          <w:tcPr>
            <w:tcW w:w="2072" w:type="dxa"/>
            <w:tcBorders>
              <w:top w:val="single" w:sz="12" w:space="0" w:color="auto"/>
              <w:bottom w:val="nil"/>
            </w:tcBorders>
          </w:tcPr>
          <w:p w:rsidR="004E0A37" w:rsidRPr="00481F28" w:rsidRDefault="004E0A37" w:rsidP="00481F28">
            <w:pPr>
              <w:spacing w:before="40" w:after="40" w:line="280" w:lineRule="exact"/>
              <w:jc w:val="lowKashida"/>
              <w:rPr>
                <w:rFonts w:hint="cs"/>
                <w:spacing w:val="-6"/>
                <w:sz w:val="18"/>
                <w:szCs w:val="26"/>
                <w:rtl/>
              </w:rPr>
            </w:pPr>
            <w:r w:rsidRPr="00481F28">
              <w:rPr>
                <w:rFonts w:hint="cs"/>
                <w:spacing w:val="-6"/>
                <w:sz w:val="18"/>
                <w:szCs w:val="26"/>
                <w:rtl/>
              </w:rPr>
              <w:t>طلب مزيد من التوضيح (15 تشرين الثاني/نوفمبر 2008)</w:t>
            </w:r>
          </w:p>
        </w:tc>
        <w:tc>
          <w:tcPr>
            <w:tcW w:w="2730"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15 آب/أغسطس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CAT/C/ALB/CO/1/Add.1</w:t>
            </w:r>
          </w:p>
        </w:tc>
        <w:tc>
          <w:tcPr>
            <w:tcW w:w="2071"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2006</w:t>
            </w:r>
          </w:p>
        </w:tc>
        <w:tc>
          <w:tcPr>
            <w:tcW w:w="1512"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ألبانيا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(5 نيسان/</w:t>
            </w:r>
            <w:r w:rsidR="00481F28">
              <w:rPr>
                <w:rFonts w:hint="cs"/>
                <w:spacing w:val="0"/>
                <w:sz w:val="18"/>
                <w:szCs w:val="26"/>
                <w:rtl/>
              </w:rPr>
              <w:t xml:space="preserve"> </w:t>
            </w:r>
            <w:r w:rsidRPr="00D17401">
              <w:rPr>
                <w:rFonts w:hint="cs"/>
                <w:spacing w:val="0"/>
                <w:sz w:val="18"/>
                <w:szCs w:val="26"/>
                <w:rtl/>
              </w:rPr>
              <w:t>أبريل 2007)</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2006</w:t>
            </w:r>
          </w:p>
        </w:tc>
        <w:tc>
          <w:tcPr>
            <w:tcW w:w="151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أوغندا</w:t>
            </w:r>
          </w:p>
        </w:tc>
      </w:tr>
      <w:tr w:rsidR="004E0A37" w:rsidRPr="00D17401" w:rsidTr="00481F28">
        <w:tblPrEx>
          <w:tblCellMar>
            <w:top w:w="0" w:type="dxa"/>
            <w:bottom w:w="0" w:type="dxa"/>
          </w:tblCellMar>
        </w:tblPrEx>
        <w:tc>
          <w:tcPr>
            <w:tcW w:w="2072" w:type="dxa"/>
            <w:tcBorders>
              <w:top w:val="nil"/>
              <w:bottom w:val="nil"/>
            </w:tcBorders>
          </w:tcPr>
          <w:p w:rsidR="004E0A37" w:rsidRPr="00481F28" w:rsidRDefault="004E0A37" w:rsidP="00481F28">
            <w:pPr>
              <w:spacing w:before="40" w:after="40" w:line="280" w:lineRule="exact"/>
              <w:jc w:val="lowKashida"/>
              <w:rPr>
                <w:rFonts w:hint="cs"/>
                <w:spacing w:val="-6"/>
                <w:sz w:val="18"/>
                <w:szCs w:val="26"/>
                <w:rtl/>
              </w:rPr>
            </w:pPr>
            <w:r w:rsidRPr="00481F28">
              <w:rPr>
                <w:rFonts w:hint="cs"/>
                <w:spacing w:val="-6"/>
                <w:sz w:val="18"/>
                <w:szCs w:val="26"/>
                <w:rtl/>
              </w:rPr>
              <w:t>طلب مزيد من التوضيح (17 تشرين الثاني/نوفمبر 2008)</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21 تشرين الثاني/نوفمبر 2006</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CAT/C/BHR/CO/1/Add.1</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2006</w:t>
            </w:r>
          </w:p>
        </w:tc>
        <w:tc>
          <w:tcPr>
            <w:tcW w:w="151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البحرين</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(25 أيار/مايو 2011)</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13 شباط/فبراير 2009</w:t>
            </w:r>
          </w:p>
          <w:p w:rsidR="004E0A37" w:rsidRPr="00D17401" w:rsidRDefault="004E0A37" w:rsidP="00481F28">
            <w:pPr>
              <w:spacing w:before="40" w:after="40" w:line="280" w:lineRule="exact"/>
              <w:jc w:val="lowKashida"/>
              <w:rPr>
                <w:rFonts w:hint="cs"/>
                <w:spacing w:val="0"/>
                <w:sz w:val="18"/>
                <w:szCs w:val="26"/>
              </w:rPr>
            </w:pPr>
            <w:r w:rsidRPr="00D17401">
              <w:rPr>
                <w:spacing w:val="0"/>
                <w:sz w:val="18"/>
                <w:szCs w:val="26"/>
                <w:lang/>
              </w:rPr>
              <w:t>CAT/C/BHR/CO/1/Add.2</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p>
        </w:tc>
        <w:tc>
          <w:tcPr>
            <w:tcW w:w="151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(5 نيسان/</w:t>
            </w:r>
            <w:r w:rsidR="00481F28">
              <w:rPr>
                <w:rFonts w:hint="cs"/>
                <w:spacing w:val="0"/>
                <w:sz w:val="18"/>
                <w:szCs w:val="26"/>
                <w:rtl/>
              </w:rPr>
              <w:t xml:space="preserve">  </w:t>
            </w:r>
            <w:r w:rsidRPr="00D17401">
              <w:rPr>
                <w:rFonts w:hint="cs"/>
                <w:spacing w:val="0"/>
                <w:sz w:val="18"/>
                <w:szCs w:val="26"/>
                <w:rtl/>
              </w:rPr>
              <w:t>أبريل 2007)</w:t>
            </w:r>
          </w:p>
          <w:p w:rsidR="004E0A37" w:rsidRPr="00481F28" w:rsidRDefault="004E0A37" w:rsidP="00481F28">
            <w:pPr>
              <w:spacing w:before="40" w:after="40" w:line="280" w:lineRule="exact"/>
              <w:jc w:val="lowKashida"/>
              <w:rPr>
                <w:rFonts w:hint="cs"/>
                <w:spacing w:val="-4"/>
                <w:sz w:val="18"/>
                <w:szCs w:val="26"/>
                <w:rtl/>
              </w:rPr>
            </w:pPr>
            <w:r w:rsidRPr="00481F28">
              <w:rPr>
                <w:rFonts w:hint="cs"/>
                <w:spacing w:val="-4"/>
                <w:sz w:val="18"/>
                <w:szCs w:val="26"/>
                <w:rtl/>
              </w:rPr>
              <w:t>طلب مزيد من التوضيح (11 تشرين الثاني/نوفمبر 2009)</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16 حزيران/يونيه 2005</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CAT/C/CHE/CO/4/Add.1</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15 أيار/مايو 2007</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CAT/C/CHE/CO/4/Add.2</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7 كانون الأول/ديسمبر 2009</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CAT/C/CHE/CO/4/Add.3</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2006</w:t>
            </w:r>
          </w:p>
        </w:tc>
        <w:tc>
          <w:tcPr>
            <w:tcW w:w="151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سويسرا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(13 أيار/مايو 2008)</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19 أيار/مايو 2006</w:t>
            </w:r>
          </w:p>
          <w:p w:rsidR="004E0A37" w:rsidRPr="00D17401" w:rsidRDefault="004E0A37" w:rsidP="00481F28">
            <w:pPr>
              <w:spacing w:before="40" w:after="40" w:line="280" w:lineRule="exact"/>
              <w:jc w:val="lowKashida"/>
              <w:rPr>
                <w:rFonts w:hint="cs"/>
                <w:spacing w:val="0"/>
                <w:sz w:val="18"/>
                <w:szCs w:val="26"/>
                <w:lang/>
              </w:rPr>
            </w:pPr>
            <w:r w:rsidRPr="00D17401">
              <w:rPr>
                <w:spacing w:val="0"/>
                <w:sz w:val="18"/>
                <w:szCs w:val="26"/>
                <w:lang/>
              </w:rPr>
              <w:t>CAT/C/FIN/CO/4/Add.1</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2006</w:t>
            </w:r>
          </w:p>
        </w:tc>
        <w:tc>
          <w:tcPr>
            <w:tcW w:w="151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فنلندا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30"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 كانون الأول/ديسمبر 2008</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CAT/C/FIN/CO/4/Add.</w:t>
            </w:r>
            <w:r w:rsidRPr="00D17401">
              <w:rPr>
                <w:spacing w:val="0"/>
                <w:sz w:val="18"/>
                <w:szCs w:val="26"/>
              </w:rPr>
              <w:t>2</w:t>
            </w:r>
          </w:p>
        </w:tc>
        <w:tc>
          <w:tcPr>
            <w:tcW w:w="2071"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p>
        </w:tc>
        <w:tc>
          <w:tcPr>
            <w:tcW w:w="151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p>
        </w:tc>
      </w:tr>
      <w:tr w:rsidR="004E0A37" w:rsidRPr="00D17401" w:rsidTr="00481F28">
        <w:tblPrEx>
          <w:tblCellMar>
            <w:top w:w="0" w:type="dxa"/>
            <w:bottom w:w="0" w:type="dxa"/>
          </w:tblCellMar>
        </w:tblPrEx>
        <w:tc>
          <w:tcPr>
            <w:tcW w:w="2072"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(29 نيسان/أبريل 2009)</w:t>
            </w:r>
          </w:p>
        </w:tc>
        <w:tc>
          <w:tcPr>
            <w:tcW w:w="2730"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 حزيران/يونيه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CAT/C/CAN/CO/4/Add.1</w:t>
            </w:r>
          </w:p>
        </w:tc>
        <w:tc>
          <w:tcPr>
            <w:tcW w:w="2071"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أيار/مايو 2006</w:t>
            </w:r>
          </w:p>
        </w:tc>
        <w:tc>
          <w:tcPr>
            <w:tcW w:w="1512"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كندا</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الخامسة والثلاثون (تشرين الثاني/نوفمبر 2005)</w:t>
      </w:r>
    </w:p>
    <w:tbl>
      <w:tblPr>
        <w:tblW w:w="8385" w:type="dxa"/>
        <w:tblInd w:w="108" w:type="dxa"/>
        <w:tblBorders>
          <w:top w:val="single" w:sz="4" w:space="0" w:color="auto"/>
          <w:bottom w:val="single" w:sz="4" w:space="0" w:color="auto"/>
          <w:insideH w:val="single" w:sz="4" w:space="0" w:color="auto"/>
        </w:tblBorders>
        <w:tblLayout w:type="fixed"/>
        <w:tblLook w:val="0000"/>
      </w:tblPr>
      <w:tblGrid>
        <w:gridCol w:w="2086"/>
        <w:gridCol w:w="2702"/>
        <w:gridCol w:w="2099"/>
        <w:gridCol w:w="1498"/>
      </w:tblGrid>
      <w:tr w:rsidR="004E0A37" w:rsidRPr="00D17401" w:rsidTr="00481F28">
        <w:tblPrEx>
          <w:tblCellMar>
            <w:top w:w="0" w:type="dxa"/>
            <w:bottom w:w="0" w:type="dxa"/>
          </w:tblCellMar>
        </w:tblPrEx>
        <w:trPr>
          <w:tblHeader/>
        </w:trPr>
        <w:tc>
          <w:tcPr>
            <w:tcW w:w="2086"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702"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تاريخ تلقي المعلومات</w:t>
            </w:r>
          </w:p>
        </w:tc>
        <w:tc>
          <w:tcPr>
            <w:tcW w:w="2099" w:type="dxa"/>
            <w:tcBorders>
              <w:bottom w:val="single" w:sz="12" w:space="0" w:color="auto"/>
            </w:tcBorders>
            <w:vAlign w:val="bottom"/>
          </w:tcPr>
          <w:p w:rsidR="004E0A37" w:rsidRPr="00D17401" w:rsidRDefault="004E0A37" w:rsidP="00481F28">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498" w:type="dxa"/>
            <w:tcBorders>
              <w:bottom w:val="single" w:sz="12" w:space="0" w:color="auto"/>
            </w:tcBorders>
            <w:vAlign w:val="bottom"/>
          </w:tcPr>
          <w:p w:rsidR="004E0A37" w:rsidRPr="00D17401" w:rsidRDefault="004E0A37" w:rsidP="00481F28">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481F28">
        <w:tblPrEx>
          <w:tblCellMar>
            <w:top w:w="0" w:type="dxa"/>
            <w:bottom w:w="0" w:type="dxa"/>
          </w:tblCellMar>
        </w:tblPrEx>
        <w:tc>
          <w:tcPr>
            <w:tcW w:w="2086"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(11 أيار/مايو 2009)</w:t>
            </w:r>
          </w:p>
        </w:tc>
        <w:tc>
          <w:tcPr>
            <w:tcW w:w="2702"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20 تشرين الثاني/نوفمبر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CAT/C/ECU/CO/3/Add.1</w:t>
            </w:r>
          </w:p>
        </w:tc>
        <w:tc>
          <w:tcPr>
            <w:tcW w:w="2099"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2006</w:t>
            </w:r>
          </w:p>
        </w:tc>
        <w:tc>
          <w:tcPr>
            <w:tcW w:w="1498" w:type="dxa"/>
            <w:tcBorders>
              <w:top w:val="single" w:sz="12" w:space="0" w:color="auto"/>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إكوادور</w:t>
            </w:r>
          </w:p>
        </w:tc>
      </w:tr>
      <w:tr w:rsidR="004E0A37" w:rsidRPr="00D17401" w:rsidTr="00481F28">
        <w:tblPrEx>
          <w:tblCellMar>
            <w:top w:w="0" w:type="dxa"/>
            <w:bottom w:w="0" w:type="dxa"/>
          </w:tblCellMar>
        </w:tblPrEx>
        <w:tc>
          <w:tcPr>
            <w:tcW w:w="2086"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(5 نيسان/</w:t>
            </w:r>
            <w:r w:rsidR="00481F28">
              <w:rPr>
                <w:rFonts w:hint="cs"/>
                <w:spacing w:val="0"/>
                <w:sz w:val="18"/>
                <w:szCs w:val="26"/>
                <w:rtl/>
              </w:rPr>
              <w:t xml:space="preserve">   </w:t>
            </w:r>
            <w:r w:rsidRPr="00D17401">
              <w:rPr>
                <w:rFonts w:hint="cs"/>
                <w:spacing w:val="0"/>
                <w:sz w:val="18"/>
                <w:szCs w:val="26"/>
                <w:rtl/>
              </w:rPr>
              <w:t>أبريل 2007)</w:t>
            </w:r>
          </w:p>
        </w:tc>
        <w:tc>
          <w:tcPr>
            <w:tcW w:w="270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lang/>
              </w:rPr>
            </w:pPr>
            <w:r w:rsidRPr="00D17401">
              <w:rPr>
                <w:rFonts w:hint="cs"/>
                <w:spacing w:val="0"/>
                <w:sz w:val="18"/>
                <w:szCs w:val="26"/>
                <w:rtl/>
                <w:lang/>
              </w:rPr>
              <w:t>تعليقات:</w:t>
            </w:r>
          </w:p>
          <w:p w:rsidR="004E0A37" w:rsidRPr="00D17401" w:rsidRDefault="004E0A37" w:rsidP="00481F28">
            <w:pPr>
              <w:spacing w:before="40" w:after="40" w:line="280" w:lineRule="exact"/>
              <w:jc w:val="lowKashida"/>
              <w:rPr>
                <w:rFonts w:hint="cs"/>
                <w:spacing w:val="0"/>
                <w:sz w:val="18"/>
                <w:szCs w:val="26"/>
                <w:rtl/>
                <w:lang/>
              </w:rPr>
            </w:pPr>
            <w:r w:rsidRPr="00D17401">
              <w:rPr>
                <w:rFonts w:hint="cs"/>
                <w:spacing w:val="0"/>
                <w:sz w:val="18"/>
                <w:szCs w:val="26"/>
                <w:rtl/>
                <w:lang/>
              </w:rPr>
              <w:t>1 شباط/فبراير 2006</w:t>
            </w:r>
          </w:p>
          <w:p w:rsidR="004E0A37" w:rsidRPr="00D17401" w:rsidRDefault="004E0A37" w:rsidP="00481F28">
            <w:pPr>
              <w:spacing w:before="40" w:after="40" w:line="280" w:lineRule="exact"/>
              <w:jc w:val="lowKashida"/>
              <w:rPr>
                <w:rFonts w:hint="cs"/>
                <w:spacing w:val="0"/>
                <w:sz w:val="18"/>
                <w:szCs w:val="26"/>
                <w:rtl/>
                <w:lang/>
              </w:rPr>
            </w:pPr>
            <w:r w:rsidRPr="00D17401">
              <w:rPr>
                <w:spacing w:val="0"/>
                <w:sz w:val="18"/>
                <w:szCs w:val="26"/>
                <w:lang/>
              </w:rPr>
              <w:t>CAT/C/BIH/CO/1/Add.1</w:t>
            </w:r>
          </w:p>
        </w:tc>
        <w:tc>
          <w:tcPr>
            <w:tcW w:w="2099"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2006</w:t>
            </w:r>
          </w:p>
        </w:tc>
        <w:tc>
          <w:tcPr>
            <w:tcW w:w="1498" w:type="dxa"/>
            <w:tcBorders>
              <w:top w:val="nil"/>
              <w:bottom w:val="nil"/>
            </w:tcBorders>
          </w:tcPr>
          <w:p w:rsidR="004E0A37" w:rsidRPr="00D17401" w:rsidRDefault="004E0A37" w:rsidP="00481F28">
            <w:pPr>
              <w:spacing w:before="40" w:after="40" w:line="280" w:lineRule="exact"/>
              <w:rPr>
                <w:rFonts w:hint="cs"/>
                <w:spacing w:val="0"/>
                <w:sz w:val="18"/>
                <w:szCs w:val="26"/>
                <w:rtl/>
              </w:rPr>
            </w:pPr>
            <w:r w:rsidRPr="00D17401">
              <w:rPr>
                <w:rFonts w:hint="cs"/>
                <w:spacing w:val="0"/>
                <w:sz w:val="18"/>
                <w:szCs w:val="26"/>
                <w:rtl/>
              </w:rPr>
              <w:t>البوسنة والهرسك</w:t>
            </w:r>
          </w:p>
        </w:tc>
      </w:tr>
      <w:tr w:rsidR="004E0A37" w:rsidRPr="00D17401" w:rsidTr="00481F28">
        <w:tblPrEx>
          <w:tblCellMar>
            <w:top w:w="0" w:type="dxa"/>
            <w:bottom w:w="0" w:type="dxa"/>
          </w:tblCellMar>
        </w:tblPrEx>
        <w:tc>
          <w:tcPr>
            <w:tcW w:w="2086"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(12 شباط/فبراير 2008)</w:t>
            </w:r>
          </w:p>
        </w:tc>
        <w:tc>
          <w:tcPr>
            <w:tcW w:w="270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lang/>
              </w:rPr>
            </w:pPr>
            <w:r w:rsidRPr="00D17401">
              <w:rPr>
                <w:rFonts w:hint="cs"/>
                <w:spacing w:val="0"/>
                <w:sz w:val="18"/>
                <w:szCs w:val="26"/>
                <w:rtl/>
                <w:lang/>
              </w:rPr>
              <w:t>6 أيار/مايو 2007</w:t>
            </w:r>
          </w:p>
          <w:p w:rsidR="004E0A37" w:rsidRPr="00D17401" w:rsidRDefault="004E0A37" w:rsidP="00481F28">
            <w:pPr>
              <w:spacing w:before="40" w:after="40" w:line="280" w:lineRule="exact"/>
              <w:jc w:val="lowKashida"/>
              <w:rPr>
                <w:rFonts w:hint="cs"/>
                <w:spacing w:val="0"/>
                <w:sz w:val="18"/>
                <w:szCs w:val="26"/>
                <w:rtl/>
              </w:rPr>
            </w:pPr>
            <w:r w:rsidRPr="00D17401">
              <w:rPr>
                <w:spacing w:val="0"/>
                <w:sz w:val="18"/>
                <w:szCs w:val="26"/>
                <w:lang/>
              </w:rPr>
              <w:t>CAT/C/BIH/CO/1/Add.2</w:t>
            </w:r>
          </w:p>
        </w:tc>
        <w:tc>
          <w:tcPr>
            <w:tcW w:w="2099"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p>
        </w:tc>
      </w:tr>
      <w:tr w:rsidR="004E0A37" w:rsidRPr="00D17401" w:rsidTr="00481F28">
        <w:tblPrEx>
          <w:tblCellMar>
            <w:top w:w="0" w:type="dxa"/>
            <w:bottom w:w="0" w:type="dxa"/>
          </w:tblCellMar>
        </w:tblPrEx>
        <w:tc>
          <w:tcPr>
            <w:tcW w:w="2086"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(5 نيسان/</w:t>
            </w:r>
            <w:r w:rsidR="00481F28">
              <w:rPr>
                <w:rFonts w:hint="cs"/>
                <w:spacing w:val="0"/>
                <w:sz w:val="18"/>
                <w:szCs w:val="26"/>
                <w:rtl/>
              </w:rPr>
              <w:t xml:space="preserve">    </w:t>
            </w:r>
            <w:r w:rsidRPr="00D17401">
              <w:rPr>
                <w:rFonts w:hint="cs"/>
                <w:spacing w:val="0"/>
                <w:sz w:val="18"/>
                <w:szCs w:val="26"/>
                <w:rtl/>
              </w:rPr>
              <w:t>أبريل 2007)</w:t>
            </w:r>
          </w:p>
        </w:tc>
        <w:tc>
          <w:tcPr>
            <w:tcW w:w="270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w:t>
            </w:r>
          </w:p>
        </w:tc>
        <w:tc>
          <w:tcPr>
            <w:tcW w:w="2099"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2006</w:t>
            </w:r>
          </w:p>
        </w:tc>
        <w:tc>
          <w:tcPr>
            <w:tcW w:w="1498" w:type="dxa"/>
            <w:tcBorders>
              <w:top w:val="nil"/>
              <w:bottom w:val="nil"/>
            </w:tcBorders>
          </w:tcPr>
          <w:p w:rsidR="004E0A37" w:rsidRPr="00D17401" w:rsidRDefault="004E0A37" w:rsidP="00481F28">
            <w:pPr>
              <w:spacing w:before="40" w:after="40" w:line="280" w:lineRule="exact"/>
              <w:rPr>
                <w:rFonts w:hint="cs"/>
                <w:spacing w:val="0"/>
                <w:sz w:val="18"/>
                <w:szCs w:val="26"/>
                <w:rtl/>
              </w:rPr>
            </w:pPr>
            <w:r w:rsidRPr="00D17401">
              <w:rPr>
                <w:rFonts w:hint="cs"/>
                <w:spacing w:val="0"/>
                <w:sz w:val="18"/>
                <w:szCs w:val="26"/>
                <w:rtl/>
              </w:rPr>
              <w:t>جمهورية الكونغو الديمقراطية</w:t>
            </w:r>
          </w:p>
        </w:tc>
      </w:tr>
      <w:tr w:rsidR="004E0A37" w:rsidRPr="00D17401" w:rsidTr="00481F28">
        <w:tblPrEx>
          <w:tblCellMar>
            <w:top w:w="0" w:type="dxa"/>
            <w:bottom w:w="0" w:type="dxa"/>
          </w:tblCellMar>
        </w:tblPrEx>
        <w:tc>
          <w:tcPr>
            <w:tcW w:w="2086" w:type="dxa"/>
            <w:tcBorders>
              <w:top w:val="nil"/>
              <w:bottom w:val="nil"/>
            </w:tcBorders>
          </w:tcPr>
          <w:p w:rsidR="004E0A37" w:rsidRPr="00481F28" w:rsidRDefault="004E0A37" w:rsidP="00481F28">
            <w:pPr>
              <w:spacing w:before="40" w:after="40" w:line="280" w:lineRule="exact"/>
              <w:jc w:val="lowKashida"/>
              <w:rPr>
                <w:rFonts w:hint="cs"/>
                <w:spacing w:val="-6"/>
                <w:sz w:val="18"/>
                <w:szCs w:val="26"/>
                <w:rtl/>
              </w:rPr>
            </w:pPr>
            <w:r w:rsidRPr="00481F28">
              <w:rPr>
                <w:rFonts w:hint="cs"/>
                <w:spacing w:val="-6"/>
                <w:sz w:val="18"/>
                <w:szCs w:val="26"/>
                <w:rtl/>
              </w:rPr>
              <w:t>طلب مزيد من التوضيح (21 تشرين الثاني/نوفمبر 2007)</w:t>
            </w:r>
          </w:p>
        </w:tc>
        <w:tc>
          <w:tcPr>
            <w:tcW w:w="270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22 تشرين الثاني/نوفمبر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CAT/C/LKA/CO/2/Add.1</w:t>
            </w:r>
          </w:p>
        </w:tc>
        <w:tc>
          <w:tcPr>
            <w:tcW w:w="2099"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2006</w:t>
            </w: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سري لانكا</w:t>
            </w:r>
          </w:p>
        </w:tc>
      </w:tr>
      <w:tr w:rsidR="004E0A37" w:rsidRPr="00D17401" w:rsidTr="00481F28">
        <w:tblPrEx>
          <w:tblCellMar>
            <w:top w:w="0" w:type="dxa"/>
            <w:bottom w:w="0" w:type="dxa"/>
          </w:tblCellMar>
        </w:tblPrEx>
        <w:tc>
          <w:tcPr>
            <w:tcW w:w="2086"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0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13 شباط/فبراير 2007</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CAT/C/FRA/CO/3/Add.1</w:t>
            </w:r>
          </w:p>
        </w:tc>
        <w:tc>
          <w:tcPr>
            <w:tcW w:w="2099"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2006</w:t>
            </w: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فرنسا</w:t>
            </w:r>
          </w:p>
        </w:tc>
      </w:tr>
      <w:tr w:rsidR="004E0A37" w:rsidRPr="00D17401" w:rsidTr="00481F28">
        <w:tblPrEx>
          <w:tblCellMar>
            <w:top w:w="0" w:type="dxa"/>
            <w:bottom w:w="0" w:type="dxa"/>
          </w:tblCellMar>
        </w:tblPrEx>
        <w:tc>
          <w:tcPr>
            <w:tcW w:w="2086" w:type="dxa"/>
            <w:tcBorders>
              <w:top w:val="nil"/>
              <w:bottom w:val="nil"/>
            </w:tcBorders>
          </w:tcPr>
          <w:p w:rsidR="004E0A37" w:rsidRPr="00481F28" w:rsidRDefault="004E0A37" w:rsidP="00481F28">
            <w:pPr>
              <w:spacing w:before="40" w:after="40" w:line="280" w:lineRule="exact"/>
              <w:jc w:val="lowKashida"/>
              <w:rPr>
                <w:rFonts w:hint="cs"/>
                <w:spacing w:val="-4"/>
                <w:sz w:val="18"/>
                <w:szCs w:val="26"/>
                <w:rtl/>
              </w:rPr>
            </w:pPr>
            <w:r w:rsidRPr="00481F28">
              <w:rPr>
                <w:rFonts w:hint="cs"/>
                <w:spacing w:val="-4"/>
                <w:sz w:val="18"/>
                <w:szCs w:val="26"/>
                <w:rtl/>
              </w:rPr>
              <w:t>طلب مزيد من التوضيح (15 تشرين الثاني/نوفمبر 2008)</w:t>
            </w:r>
          </w:p>
        </w:tc>
        <w:tc>
          <w:tcPr>
            <w:tcW w:w="2702"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24 تشرين الثاني/نوفمبر 2006</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CAT/C/AUT/CO/3/Add.1</w:t>
            </w:r>
          </w:p>
        </w:tc>
        <w:tc>
          <w:tcPr>
            <w:tcW w:w="2099"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2006</w:t>
            </w:r>
          </w:p>
        </w:tc>
        <w:tc>
          <w:tcPr>
            <w:tcW w:w="1498" w:type="dxa"/>
            <w:tcBorders>
              <w:top w:val="nil"/>
              <w:bottom w:val="nil"/>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النمسا</w:t>
            </w:r>
          </w:p>
        </w:tc>
      </w:tr>
      <w:tr w:rsidR="004E0A37" w:rsidRPr="00D17401" w:rsidTr="00481F28">
        <w:tblPrEx>
          <w:tblCellMar>
            <w:top w:w="0" w:type="dxa"/>
            <w:bottom w:w="0" w:type="dxa"/>
          </w:tblCellMar>
        </w:tblPrEx>
        <w:tc>
          <w:tcPr>
            <w:tcW w:w="2086"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رسالة تذكير (13 نيسان/</w:t>
            </w:r>
            <w:r w:rsidR="00481F28">
              <w:rPr>
                <w:rFonts w:hint="cs"/>
                <w:spacing w:val="0"/>
                <w:sz w:val="18"/>
                <w:szCs w:val="26"/>
                <w:rtl/>
              </w:rPr>
              <w:t xml:space="preserve">  </w:t>
            </w:r>
            <w:r w:rsidRPr="00D17401">
              <w:rPr>
                <w:rFonts w:hint="cs"/>
                <w:spacing w:val="0"/>
                <w:sz w:val="18"/>
                <w:szCs w:val="26"/>
                <w:rtl/>
              </w:rPr>
              <w:t>أبريل 2007)</w:t>
            </w:r>
          </w:p>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(15 أيار/مايو 2008)</w:t>
            </w:r>
          </w:p>
        </w:tc>
        <w:tc>
          <w:tcPr>
            <w:tcW w:w="2702" w:type="dxa"/>
            <w:tcBorders>
              <w:top w:val="nil"/>
              <w:bottom w:val="single" w:sz="12" w:space="0" w:color="auto"/>
            </w:tcBorders>
          </w:tcPr>
          <w:p w:rsidR="00481F28"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1 حزيران/يونيه 2007</w:t>
            </w:r>
          </w:p>
          <w:p w:rsidR="004E0A37" w:rsidRPr="00D17401" w:rsidRDefault="004E0A37" w:rsidP="00481F28">
            <w:pPr>
              <w:spacing w:before="40" w:after="40" w:line="280" w:lineRule="exact"/>
              <w:jc w:val="lowKashida"/>
              <w:rPr>
                <w:spacing w:val="0"/>
                <w:sz w:val="18"/>
                <w:szCs w:val="26"/>
                <w:lang/>
              </w:rPr>
            </w:pPr>
            <w:r w:rsidRPr="00D17401">
              <w:rPr>
                <w:spacing w:val="0"/>
                <w:sz w:val="18"/>
                <w:szCs w:val="26"/>
                <w:lang/>
              </w:rPr>
              <w:t>CAT/C/NPL/CO/2/Add.1</w:t>
            </w:r>
          </w:p>
        </w:tc>
        <w:tc>
          <w:tcPr>
            <w:tcW w:w="2099"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2006</w:t>
            </w:r>
          </w:p>
        </w:tc>
        <w:tc>
          <w:tcPr>
            <w:tcW w:w="1498" w:type="dxa"/>
            <w:tcBorders>
              <w:top w:val="nil"/>
              <w:bottom w:val="single" w:sz="12" w:space="0" w:color="auto"/>
            </w:tcBorders>
          </w:tcPr>
          <w:p w:rsidR="004E0A37" w:rsidRPr="00D17401" w:rsidRDefault="004E0A37" w:rsidP="00481F28">
            <w:pPr>
              <w:spacing w:before="40" w:after="40" w:line="280" w:lineRule="exact"/>
              <w:jc w:val="lowKashida"/>
              <w:rPr>
                <w:rFonts w:hint="cs"/>
                <w:spacing w:val="0"/>
                <w:sz w:val="18"/>
                <w:szCs w:val="26"/>
                <w:rtl/>
              </w:rPr>
            </w:pPr>
            <w:r w:rsidRPr="00D17401">
              <w:rPr>
                <w:rFonts w:hint="cs"/>
                <w:spacing w:val="0"/>
                <w:sz w:val="18"/>
                <w:szCs w:val="26"/>
                <w:rtl/>
              </w:rPr>
              <w:t>نيبال</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السادسة والثلاثون (أيار/مايو 2006)</w:t>
      </w:r>
    </w:p>
    <w:tbl>
      <w:tblPr>
        <w:tblW w:w="8371" w:type="dxa"/>
        <w:tblInd w:w="108" w:type="dxa"/>
        <w:tblBorders>
          <w:top w:val="single" w:sz="4" w:space="0" w:color="auto"/>
          <w:bottom w:val="single" w:sz="4" w:space="0" w:color="auto"/>
          <w:insideH w:val="single" w:sz="4" w:space="0" w:color="auto"/>
        </w:tblBorders>
        <w:tblLayout w:type="fixed"/>
        <w:tblLook w:val="0000"/>
      </w:tblPr>
      <w:tblGrid>
        <w:gridCol w:w="2072"/>
        <w:gridCol w:w="2716"/>
        <w:gridCol w:w="2099"/>
        <w:gridCol w:w="1484"/>
      </w:tblGrid>
      <w:tr w:rsidR="004E0A37" w:rsidRPr="00D17401" w:rsidTr="00481F28">
        <w:tblPrEx>
          <w:tblCellMar>
            <w:top w:w="0" w:type="dxa"/>
            <w:bottom w:w="0" w:type="dxa"/>
          </w:tblCellMar>
        </w:tblPrEx>
        <w:trPr>
          <w:tblHeader/>
        </w:trPr>
        <w:tc>
          <w:tcPr>
            <w:tcW w:w="2072"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الإجراء المتخذ</w:t>
            </w:r>
          </w:p>
        </w:tc>
        <w:tc>
          <w:tcPr>
            <w:tcW w:w="2716"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تاريخ تلقي المعلومات</w:t>
            </w:r>
          </w:p>
        </w:tc>
        <w:tc>
          <w:tcPr>
            <w:tcW w:w="2099" w:type="dxa"/>
            <w:tcBorders>
              <w:bottom w:val="single" w:sz="12" w:space="0" w:color="auto"/>
            </w:tcBorders>
            <w:vAlign w:val="bottom"/>
          </w:tcPr>
          <w:p w:rsidR="004E0A37" w:rsidRPr="00D17401" w:rsidRDefault="004E0A37" w:rsidP="00481F28">
            <w:pPr>
              <w:spacing w:before="40" w:after="40" w:line="30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484"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481F28">
        <w:tblPrEx>
          <w:tblCellMar>
            <w:top w:w="0" w:type="dxa"/>
            <w:bottom w:w="0" w:type="dxa"/>
          </w:tblCellMar>
        </w:tblPrEx>
        <w:tc>
          <w:tcPr>
            <w:tcW w:w="2072"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(4 أيلول/</w:t>
            </w:r>
            <w:r w:rsidR="007F7966">
              <w:rPr>
                <w:rFonts w:hint="cs"/>
                <w:spacing w:val="0"/>
                <w:sz w:val="18"/>
                <w:szCs w:val="26"/>
                <w:rtl/>
              </w:rPr>
              <w:t xml:space="preserve">   </w:t>
            </w:r>
            <w:r w:rsidRPr="00D17401">
              <w:rPr>
                <w:rFonts w:hint="cs"/>
                <w:spacing w:val="0"/>
                <w:sz w:val="18"/>
                <w:szCs w:val="26"/>
                <w:rtl/>
              </w:rPr>
              <w:t>سبتمبر 2007)</w:t>
            </w:r>
          </w:p>
        </w:tc>
        <w:tc>
          <w:tcPr>
            <w:tcW w:w="2716"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w:t>
            </w:r>
          </w:p>
        </w:tc>
        <w:tc>
          <w:tcPr>
            <w:tcW w:w="2099"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2007</w:t>
            </w:r>
          </w:p>
        </w:tc>
        <w:tc>
          <w:tcPr>
            <w:tcW w:w="1484"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بيرو</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(4 أيلول/</w:t>
            </w:r>
            <w:r w:rsidR="007F7966">
              <w:rPr>
                <w:rFonts w:hint="cs"/>
                <w:spacing w:val="0"/>
                <w:sz w:val="18"/>
                <w:szCs w:val="26"/>
                <w:rtl/>
              </w:rPr>
              <w:t xml:space="preserve">   </w:t>
            </w:r>
            <w:r w:rsidRPr="00D17401">
              <w:rPr>
                <w:rFonts w:hint="cs"/>
                <w:spacing w:val="0"/>
                <w:sz w:val="18"/>
                <w:szCs w:val="26"/>
                <w:rtl/>
              </w:rPr>
              <w:t>سبتمبر 2007)</w:t>
            </w:r>
          </w:p>
        </w:tc>
        <w:tc>
          <w:tcPr>
            <w:tcW w:w="2716"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w:t>
            </w:r>
          </w:p>
        </w:tc>
        <w:tc>
          <w:tcPr>
            <w:tcW w:w="2099"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2007</w:t>
            </w:r>
          </w:p>
        </w:tc>
        <w:tc>
          <w:tcPr>
            <w:tcW w:w="148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توغو</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طلب مزيد من التوضيح (15 تشرين الثاني/نوفمبر 2008)</w:t>
            </w:r>
          </w:p>
        </w:tc>
        <w:tc>
          <w:tcPr>
            <w:tcW w:w="2716"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27 حزيران/يونيه 2007</w:t>
            </w:r>
          </w:p>
          <w:p w:rsidR="004E0A37" w:rsidRPr="00D17401" w:rsidRDefault="004E0A37" w:rsidP="00C51313">
            <w:pPr>
              <w:spacing w:before="40" w:after="40" w:line="300" w:lineRule="exact"/>
              <w:jc w:val="lowKashida"/>
              <w:rPr>
                <w:rFonts w:hint="cs"/>
                <w:spacing w:val="0"/>
                <w:sz w:val="18"/>
                <w:szCs w:val="26"/>
                <w:rtl/>
                <w:lang/>
              </w:rPr>
            </w:pPr>
            <w:r w:rsidRPr="00D17401">
              <w:rPr>
                <w:spacing w:val="0"/>
                <w:sz w:val="18"/>
                <w:szCs w:val="26"/>
                <w:lang/>
              </w:rPr>
              <w:t>CAT/C/KOR/CO/2/Add.1</w:t>
            </w:r>
          </w:p>
        </w:tc>
        <w:tc>
          <w:tcPr>
            <w:tcW w:w="2099"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2007</w:t>
            </w:r>
          </w:p>
        </w:tc>
        <w:tc>
          <w:tcPr>
            <w:tcW w:w="1484" w:type="dxa"/>
            <w:tcBorders>
              <w:top w:val="nil"/>
              <w:bottom w:val="nil"/>
            </w:tcBorders>
          </w:tcPr>
          <w:p w:rsidR="004E0A37" w:rsidRPr="00D17401" w:rsidRDefault="004E0A37" w:rsidP="00481F28">
            <w:pPr>
              <w:spacing w:before="40" w:after="40" w:line="300" w:lineRule="exact"/>
              <w:rPr>
                <w:rFonts w:hint="cs"/>
                <w:spacing w:val="0"/>
                <w:sz w:val="18"/>
                <w:szCs w:val="26"/>
                <w:rtl/>
              </w:rPr>
            </w:pPr>
            <w:r w:rsidRPr="00D17401">
              <w:rPr>
                <w:rFonts w:hint="cs"/>
                <w:spacing w:val="0"/>
                <w:sz w:val="18"/>
                <w:szCs w:val="26"/>
                <w:rtl/>
              </w:rPr>
              <w:t>جمهورية كوريا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طلب مزيد من التوضيح (14 أيار/مايو 2010)</w:t>
            </w:r>
          </w:p>
        </w:tc>
        <w:tc>
          <w:tcPr>
            <w:tcW w:w="2716"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10 تموز/يوليه 2009</w:t>
            </w:r>
          </w:p>
          <w:p w:rsidR="004E0A37" w:rsidRPr="00D17401" w:rsidRDefault="004E0A37" w:rsidP="00C51313">
            <w:pPr>
              <w:spacing w:before="40" w:after="40" w:line="300" w:lineRule="exact"/>
              <w:jc w:val="lowKashida"/>
              <w:rPr>
                <w:rFonts w:hint="cs"/>
                <w:spacing w:val="0"/>
                <w:sz w:val="18"/>
                <w:szCs w:val="26"/>
                <w:rtl/>
              </w:rPr>
            </w:pPr>
            <w:r w:rsidRPr="00D17401">
              <w:rPr>
                <w:spacing w:val="0"/>
                <w:sz w:val="18"/>
                <w:szCs w:val="26"/>
                <w:lang/>
              </w:rPr>
              <w:t>CAT/C/KOR/CO/2/Add.2</w:t>
            </w:r>
          </w:p>
        </w:tc>
        <w:tc>
          <w:tcPr>
            <w:tcW w:w="2099"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p>
        </w:tc>
        <w:tc>
          <w:tcPr>
            <w:tcW w:w="148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طلب مزيد من التوضيح (13 تشرين الثاني/نوفمبر 2009)</w:t>
            </w:r>
          </w:p>
        </w:tc>
        <w:tc>
          <w:tcPr>
            <w:tcW w:w="2716"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31 أيار/مايو 2007</w:t>
            </w:r>
          </w:p>
          <w:p w:rsidR="004E0A37" w:rsidRPr="00D17401" w:rsidRDefault="004E0A37" w:rsidP="00C51313">
            <w:pPr>
              <w:spacing w:before="40" w:after="40" w:line="300" w:lineRule="exact"/>
              <w:jc w:val="lowKashida"/>
              <w:rPr>
                <w:rFonts w:hint="cs"/>
                <w:spacing w:val="0"/>
                <w:sz w:val="18"/>
                <w:szCs w:val="26"/>
                <w:lang/>
              </w:rPr>
            </w:pPr>
            <w:r w:rsidRPr="00D17401">
              <w:rPr>
                <w:spacing w:val="0"/>
                <w:sz w:val="18"/>
                <w:szCs w:val="26"/>
                <w:lang/>
              </w:rPr>
              <w:t>CAT/C/GEO/CO/3/Add.1</w:t>
            </w:r>
          </w:p>
        </w:tc>
        <w:tc>
          <w:tcPr>
            <w:tcW w:w="2099"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2007</w:t>
            </w:r>
          </w:p>
        </w:tc>
        <w:tc>
          <w:tcPr>
            <w:tcW w:w="148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جورجيا</w:t>
            </w:r>
          </w:p>
        </w:tc>
      </w:tr>
      <w:tr w:rsidR="004E0A37" w:rsidRPr="00D17401" w:rsidTr="00481F28">
        <w:tblPrEx>
          <w:tblCellMar>
            <w:top w:w="0" w:type="dxa"/>
            <w:bottom w:w="0" w:type="dxa"/>
          </w:tblCellMar>
        </w:tblPrEx>
        <w:tc>
          <w:tcPr>
            <w:tcW w:w="2072" w:type="dxa"/>
            <w:tcBorders>
              <w:top w:val="nil"/>
              <w:bottom w:val="nil"/>
            </w:tcBorders>
          </w:tcPr>
          <w:p w:rsidR="004E0A37" w:rsidRPr="00481F28" w:rsidRDefault="004E0A37" w:rsidP="00C51313">
            <w:pPr>
              <w:spacing w:before="40" w:after="40" w:line="300" w:lineRule="exact"/>
              <w:jc w:val="lowKashida"/>
              <w:rPr>
                <w:rFonts w:hint="cs"/>
                <w:spacing w:val="-4"/>
                <w:sz w:val="18"/>
                <w:szCs w:val="26"/>
                <w:rtl/>
              </w:rPr>
            </w:pPr>
            <w:r w:rsidRPr="00481F28">
              <w:rPr>
                <w:rFonts w:hint="cs"/>
                <w:spacing w:val="-4"/>
                <w:sz w:val="18"/>
                <w:szCs w:val="26"/>
                <w:rtl/>
              </w:rPr>
              <w:t>رسالة تذكير (4 أيلول/</w:t>
            </w:r>
            <w:r w:rsidR="007F7966">
              <w:rPr>
                <w:rFonts w:hint="cs"/>
                <w:spacing w:val="-4"/>
                <w:sz w:val="18"/>
                <w:szCs w:val="26"/>
                <w:rtl/>
              </w:rPr>
              <w:t xml:space="preserve">   </w:t>
            </w:r>
            <w:r w:rsidRPr="00481F28">
              <w:rPr>
                <w:rFonts w:hint="cs"/>
                <w:spacing w:val="-4"/>
                <w:sz w:val="18"/>
                <w:szCs w:val="26"/>
                <w:rtl/>
              </w:rPr>
              <w:t>سبتمبر 2007)</w:t>
            </w:r>
          </w:p>
          <w:p w:rsidR="004E0A37" w:rsidRPr="00481F28" w:rsidRDefault="004E0A37" w:rsidP="00C51313">
            <w:pPr>
              <w:spacing w:before="40" w:after="40" w:line="300" w:lineRule="exact"/>
              <w:jc w:val="lowKashida"/>
              <w:rPr>
                <w:rFonts w:hint="cs"/>
                <w:spacing w:val="-4"/>
                <w:sz w:val="18"/>
                <w:szCs w:val="26"/>
                <w:rtl/>
              </w:rPr>
            </w:pPr>
            <w:r w:rsidRPr="00481F28">
              <w:rPr>
                <w:rFonts w:hint="cs"/>
                <w:spacing w:val="-4"/>
                <w:sz w:val="18"/>
                <w:szCs w:val="26"/>
                <w:rtl/>
              </w:rPr>
              <w:t>طلب معلومات إضافية (17 تشرين الثاني/نوفمبر 2008)</w:t>
            </w:r>
          </w:p>
        </w:tc>
        <w:tc>
          <w:tcPr>
            <w:tcW w:w="2716"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15 تشرين الثاني/نوفمبر 2007</w:t>
            </w:r>
          </w:p>
          <w:p w:rsidR="004E0A37" w:rsidRPr="00D17401" w:rsidRDefault="004E0A37" w:rsidP="00C51313">
            <w:pPr>
              <w:spacing w:before="40" w:after="40" w:line="300" w:lineRule="exact"/>
              <w:jc w:val="lowKashida"/>
              <w:rPr>
                <w:rFonts w:hint="cs"/>
                <w:spacing w:val="0"/>
                <w:sz w:val="18"/>
                <w:szCs w:val="26"/>
                <w:rtl/>
                <w:lang/>
              </w:rPr>
            </w:pPr>
            <w:r w:rsidRPr="00D17401">
              <w:rPr>
                <w:spacing w:val="0"/>
                <w:sz w:val="18"/>
                <w:szCs w:val="26"/>
                <w:lang/>
              </w:rPr>
              <w:t>CAT/C/GTM/CO/4/Add.1</w:t>
            </w:r>
          </w:p>
          <w:p w:rsidR="004E0A37" w:rsidRPr="00D17401" w:rsidRDefault="004E0A37" w:rsidP="00C51313">
            <w:pPr>
              <w:spacing w:before="40" w:after="40" w:line="300" w:lineRule="exact"/>
              <w:jc w:val="lowKashida"/>
              <w:rPr>
                <w:rFonts w:hint="cs"/>
                <w:spacing w:val="0"/>
                <w:sz w:val="18"/>
                <w:szCs w:val="26"/>
                <w:rtl/>
              </w:rPr>
            </w:pPr>
          </w:p>
        </w:tc>
        <w:tc>
          <w:tcPr>
            <w:tcW w:w="2099"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2007</w:t>
            </w:r>
          </w:p>
        </w:tc>
        <w:tc>
          <w:tcPr>
            <w:tcW w:w="148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غواتيمالا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9 حزيران/يونيه 2009</w:t>
            </w:r>
          </w:p>
          <w:p w:rsidR="004E0A37" w:rsidRPr="00D17401" w:rsidRDefault="004E0A37" w:rsidP="00C51313">
            <w:pPr>
              <w:spacing w:before="40" w:after="40" w:line="300" w:lineRule="exact"/>
              <w:jc w:val="lowKashida"/>
              <w:rPr>
                <w:rFonts w:hint="cs"/>
                <w:spacing w:val="0"/>
                <w:sz w:val="18"/>
                <w:szCs w:val="26"/>
                <w:rtl/>
                <w:lang/>
              </w:rPr>
            </w:pPr>
            <w:r w:rsidRPr="00D17401">
              <w:rPr>
                <w:spacing w:val="0"/>
                <w:sz w:val="18"/>
                <w:szCs w:val="26"/>
                <w:lang/>
              </w:rPr>
              <w:t>CAT/C/GTM/CO/4/Add.2</w:t>
            </w:r>
          </w:p>
        </w:tc>
        <w:tc>
          <w:tcPr>
            <w:tcW w:w="2099"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p>
        </w:tc>
        <w:tc>
          <w:tcPr>
            <w:tcW w:w="148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طلب مزيد من التوضيح (7 أيار/مايو 2010)</w:t>
            </w:r>
          </w:p>
        </w:tc>
        <w:tc>
          <w:tcPr>
            <w:tcW w:w="2716"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12 كانون الأول/ديسمبر 2006</w:t>
            </w:r>
          </w:p>
          <w:p w:rsidR="004E0A37" w:rsidRPr="00D17401" w:rsidRDefault="004E0A37" w:rsidP="00C51313">
            <w:pPr>
              <w:spacing w:before="40" w:after="40" w:line="300" w:lineRule="exact"/>
              <w:jc w:val="lowKashida"/>
              <w:rPr>
                <w:spacing w:val="0"/>
                <w:sz w:val="18"/>
                <w:szCs w:val="26"/>
                <w:lang/>
              </w:rPr>
            </w:pPr>
            <w:r w:rsidRPr="00D17401">
              <w:rPr>
                <w:spacing w:val="0"/>
                <w:sz w:val="18"/>
                <w:szCs w:val="26"/>
                <w:lang/>
              </w:rPr>
              <w:t>CAT/C/QAT/CO/1/Add.1</w:t>
            </w:r>
          </w:p>
        </w:tc>
        <w:tc>
          <w:tcPr>
            <w:tcW w:w="2099"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2007</w:t>
            </w:r>
          </w:p>
        </w:tc>
        <w:tc>
          <w:tcPr>
            <w:tcW w:w="148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قطر</w:t>
            </w:r>
          </w:p>
        </w:tc>
      </w:tr>
      <w:tr w:rsidR="004E0A37" w:rsidRPr="00D17401" w:rsidTr="00481F28">
        <w:tblPrEx>
          <w:tblCellMar>
            <w:top w:w="0" w:type="dxa"/>
            <w:bottom w:w="0" w:type="dxa"/>
          </w:tblCellMar>
        </w:tblPrEx>
        <w:tc>
          <w:tcPr>
            <w:tcW w:w="2072"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طلب مزيد من التوضيح (8</w:t>
            </w:r>
            <w:r w:rsidR="007F7966">
              <w:rPr>
                <w:rFonts w:hint="eastAsia"/>
                <w:spacing w:val="0"/>
                <w:sz w:val="18"/>
                <w:szCs w:val="26"/>
                <w:rtl/>
              </w:rPr>
              <w:t> </w:t>
            </w:r>
            <w:r w:rsidRPr="00D17401">
              <w:rPr>
                <w:rFonts w:hint="cs"/>
                <w:spacing w:val="0"/>
                <w:sz w:val="18"/>
                <w:szCs w:val="26"/>
                <w:rtl/>
              </w:rPr>
              <w:t>آب/أغسطس 2008 و14 أيار/مايو 2009)</w:t>
            </w:r>
          </w:p>
        </w:tc>
        <w:tc>
          <w:tcPr>
            <w:tcW w:w="2716"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25 تموز/يوليه 2007</w:t>
            </w:r>
          </w:p>
          <w:p w:rsidR="004E0A37" w:rsidRPr="00D17401" w:rsidRDefault="004E0A37" w:rsidP="00C51313">
            <w:pPr>
              <w:spacing w:before="40" w:after="40" w:line="300" w:lineRule="exact"/>
              <w:jc w:val="lowKashida"/>
              <w:rPr>
                <w:rFonts w:hint="cs"/>
                <w:spacing w:val="0"/>
                <w:sz w:val="18"/>
                <w:szCs w:val="26"/>
                <w:rtl/>
              </w:rPr>
            </w:pPr>
            <w:r w:rsidRPr="00D17401">
              <w:rPr>
                <w:spacing w:val="0"/>
                <w:sz w:val="18"/>
                <w:szCs w:val="26"/>
                <w:lang/>
              </w:rPr>
              <w:t>CAT/C/USA/CO/2/Add.1</w:t>
            </w:r>
          </w:p>
        </w:tc>
        <w:tc>
          <w:tcPr>
            <w:tcW w:w="2099"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2007</w:t>
            </w:r>
          </w:p>
        </w:tc>
        <w:tc>
          <w:tcPr>
            <w:tcW w:w="1484" w:type="dxa"/>
            <w:tcBorders>
              <w:top w:val="nil"/>
              <w:bottom w:val="single" w:sz="12" w:space="0" w:color="auto"/>
            </w:tcBorders>
          </w:tcPr>
          <w:p w:rsidR="004E0A37" w:rsidRPr="00D17401" w:rsidRDefault="004E0A37" w:rsidP="00481F28">
            <w:pPr>
              <w:spacing w:before="40" w:after="40" w:line="300" w:lineRule="exact"/>
              <w:rPr>
                <w:rFonts w:hint="cs"/>
                <w:spacing w:val="0"/>
                <w:sz w:val="18"/>
                <w:szCs w:val="26"/>
                <w:rtl/>
              </w:rPr>
            </w:pPr>
            <w:r w:rsidRPr="00D17401">
              <w:rPr>
                <w:rFonts w:hint="cs"/>
                <w:spacing w:val="0"/>
                <w:sz w:val="18"/>
                <w:szCs w:val="26"/>
                <w:rtl/>
              </w:rPr>
              <w:t>الولايات المتحدة الأمريكية</w:t>
            </w:r>
          </w:p>
        </w:tc>
      </w:tr>
    </w:tbl>
    <w:p w:rsidR="004E0A37" w:rsidRPr="00BC2035" w:rsidRDefault="004E0A37" w:rsidP="00481F28">
      <w:pPr>
        <w:pStyle w:val="H23GA"/>
        <w:spacing w:before="240"/>
        <w:rPr>
          <w:rFonts w:hint="cs"/>
          <w:spacing w:val="0"/>
          <w:rtl/>
        </w:rPr>
      </w:pPr>
      <w:r w:rsidRPr="00BC2035">
        <w:rPr>
          <w:rFonts w:hint="cs"/>
          <w:spacing w:val="0"/>
          <w:rtl/>
        </w:rPr>
        <w:tab/>
      </w:r>
      <w:r w:rsidRPr="00BC2035">
        <w:rPr>
          <w:rFonts w:hint="cs"/>
          <w:spacing w:val="0"/>
          <w:rtl/>
        </w:rPr>
        <w:tab/>
        <w:t>الدورة السابعة والثلاثون (تشرين الثاني/نوفمبر 2006)</w:t>
      </w:r>
    </w:p>
    <w:tbl>
      <w:tblPr>
        <w:tblW w:w="8371" w:type="dxa"/>
        <w:tblInd w:w="108" w:type="dxa"/>
        <w:tblBorders>
          <w:top w:val="single" w:sz="4" w:space="0" w:color="auto"/>
          <w:bottom w:val="single" w:sz="4" w:space="0" w:color="auto"/>
          <w:insideH w:val="single" w:sz="4" w:space="0" w:color="auto"/>
        </w:tblBorders>
        <w:tblLayout w:type="fixed"/>
        <w:tblLook w:val="0000"/>
      </w:tblPr>
      <w:tblGrid>
        <w:gridCol w:w="2072"/>
        <w:gridCol w:w="2716"/>
        <w:gridCol w:w="2112"/>
        <w:gridCol w:w="1471"/>
      </w:tblGrid>
      <w:tr w:rsidR="004E0A37" w:rsidRPr="00D17401" w:rsidTr="00481F28">
        <w:tblPrEx>
          <w:tblCellMar>
            <w:top w:w="0" w:type="dxa"/>
            <w:bottom w:w="0" w:type="dxa"/>
          </w:tblCellMar>
        </w:tblPrEx>
        <w:trPr>
          <w:tblHeader/>
        </w:trPr>
        <w:tc>
          <w:tcPr>
            <w:tcW w:w="2072" w:type="dxa"/>
            <w:tcBorders>
              <w:bottom w:val="single" w:sz="12" w:space="0" w:color="auto"/>
            </w:tcBorders>
            <w:vAlign w:val="bottom"/>
          </w:tcPr>
          <w:p w:rsidR="004E0A37" w:rsidRPr="00D17401" w:rsidRDefault="004E0A37" w:rsidP="004422FD">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716" w:type="dxa"/>
            <w:tcBorders>
              <w:bottom w:val="single" w:sz="12" w:space="0" w:color="auto"/>
            </w:tcBorders>
            <w:vAlign w:val="bottom"/>
          </w:tcPr>
          <w:p w:rsidR="004E0A37" w:rsidRPr="00D17401" w:rsidRDefault="004E0A37" w:rsidP="004422FD">
            <w:pPr>
              <w:spacing w:before="40" w:after="40" w:line="280" w:lineRule="exact"/>
              <w:jc w:val="lowKashida"/>
              <w:rPr>
                <w:rFonts w:hint="cs"/>
                <w:i/>
                <w:iCs/>
                <w:spacing w:val="0"/>
                <w:sz w:val="18"/>
                <w:szCs w:val="26"/>
                <w:rtl/>
              </w:rPr>
            </w:pPr>
            <w:r w:rsidRPr="00D17401">
              <w:rPr>
                <w:rFonts w:hint="cs"/>
                <w:i/>
                <w:iCs/>
                <w:spacing w:val="0"/>
                <w:sz w:val="18"/>
                <w:szCs w:val="26"/>
                <w:rtl/>
              </w:rPr>
              <w:t>تاريخ تلقي المعلومات</w:t>
            </w:r>
          </w:p>
        </w:tc>
        <w:tc>
          <w:tcPr>
            <w:tcW w:w="2112" w:type="dxa"/>
            <w:tcBorders>
              <w:bottom w:val="single" w:sz="12" w:space="0" w:color="auto"/>
            </w:tcBorders>
            <w:vAlign w:val="bottom"/>
          </w:tcPr>
          <w:p w:rsidR="004E0A37" w:rsidRPr="00D17401" w:rsidRDefault="004E0A37" w:rsidP="004422FD">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471" w:type="dxa"/>
            <w:tcBorders>
              <w:bottom w:val="single" w:sz="12" w:space="0" w:color="auto"/>
            </w:tcBorders>
            <w:vAlign w:val="bottom"/>
          </w:tcPr>
          <w:p w:rsidR="004E0A37" w:rsidRPr="00D17401" w:rsidRDefault="004E0A37" w:rsidP="004422FD">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481F28">
        <w:tblPrEx>
          <w:tblCellMar>
            <w:top w:w="0" w:type="dxa"/>
            <w:bottom w:w="0" w:type="dxa"/>
          </w:tblCellMar>
        </w:tblPrEx>
        <w:tc>
          <w:tcPr>
            <w:tcW w:w="2072"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(15 أيار/مايو 2009)</w:t>
            </w:r>
          </w:p>
        </w:tc>
        <w:tc>
          <w:tcPr>
            <w:tcW w:w="2716"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23 آب/أغسطس 2007</w:t>
            </w:r>
          </w:p>
          <w:p w:rsidR="004E0A37" w:rsidRPr="00D17401" w:rsidRDefault="004E0A37" w:rsidP="004422FD">
            <w:pPr>
              <w:spacing w:before="40" w:after="40" w:line="280" w:lineRule="exact"/>
              <w:jc w:val="lowKashida"/>
              <w:rPr>
                <w:rFonts w:hint="cs"/>
                <w:spacing w:val="0"/>
                <w:sz w:val="18"/>
                <w:szCs w:val="26"/>
                <w:lang/>
              </w:rPr>
            </w:pPr>
            <w:r w:rsidRPr="00D17401">
              <w:rPr>
                <w:spacing w:val="0"/>
                <w:sz w:val="18"/>
                <w:szCs w:val="26"/>
                <w:lang/>
              </w:rPr>
              <w:t>CAT/C/RUS/CO/4/Add.1</w:t>
            </w:r>
          </w:p>
        </w:tc>
        <w:tc>
          <w:tcPr>
            <w:tcW w:w="2112"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2007</w:t>
            </w:r>
          </w:p>
        </w:tc>
        <w:tc>
          <w:tcPr>
            <w:tcW w:w="1471"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الاتحاد الروسي</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رسالة تذكير (25 نيسان/</w:t>
            </w:r>
            <w:r w:rsidR="00481F28">
              <w:rPr>
                <w:rFonts w:hint="cs"/>
                <w:spacing w:val="0"/>
                <w:sz w:val="18"/>
                <w:szCs w:val="26"/>
                <w:rtl/>
              </w:rPr>
              <w:t xml:space="preserve">   </w:t>
            </w:r>
            <w:r w:rsidRPr="00D17401">
              <w:rPr>
                <w:rFonts w:hint="cs"/>
                <w:spacing w:val="0"/>
                <w:sz w:val="18"/>
                <w:szCs w:val="26"/>
                <w:rtl/>
              </w:rPr>
              <w:t>أبريل 2008)</w:t>
            </w:r>
          </w:p>
        </w:tc>
        <w:tc>
          <w:tcPr>
            <w:tcW w:w="2716"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w:t>
            </w:r>
          </w:p>
        </w:tc>
        <w:tc>
          <w:tcPr>
            <w:tcW w:w="211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2007</w:t>
            </w:r>
          </w:p>
        </w:tc>
        <w:tc>
          <w:tcPr>
            <w:tcW w:w="147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بوروندي</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رسالة تذكير (25 نيسان/</w:t>
            </w:r>
            <w:r w:rsidR="00481F28">
              <w:rPr>
                <w:rFonts w:hint="cs"/>
                <w:spacing w:val="0"/>
                <w:sz w:val="18"/>
                <w:szCs w:val="26"/>
                <w:rtl/>
              </w:rPr>
              <w:t xml:space="preserve">   </w:t>
            </w:r>
            <w:r w:rsidRPr="00D17401">
              <w:rPr>
                <w:rFonts w:hint="cs"/>
                <w:spacing w:val="0"/>
                <w:sz w:val="18"/>
                <w:szCs w:val="26"/>
                <w:rtl/>
              </w:rPr>
              <w:t>أبريل 2008)</w:t>
            </w:r>
          </w:p>
        </w:tc>
        <w:tc>
          <w:tcPr>
            <w:tcW w:w="2716"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w:t>
            </w:r>
          </w:p>
        </w:tc>
        <w:tc>
          <w:tcPr>
            <w:tcW w:w="211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2007</w:t>
            </w:r>
          </w:p>
        </w:tc>
        <w:tc>
          <w:tcPr>
            <w:tcW w:w="147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جنوب أفريقيا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رسالة تذكير (25 نيسان/</w:t>
            </w:r>
            <w:r w:rsidR="00481F28">
              <w:rPr>
                <w:rFonts w:hint="cs"/>
                <w:spacing w:val="0"/>
                <w:sz w:val="18"/>
                <w:szCs w:val="26"/>
                <w:rtl/>
              </w:rPr>
              <w:t xml:space="preserve">    </w:t>
            </w:r>
            <w:r w:rsidRPr="00D17401">
              <w:rPr>
                <w:rFonts w:hint="cs"/>
                <w:spacing w:val="0"/>
                <w:sz w:val="18"/>
                <w:szCs w:val="26"/>
                <w:rtl/>
              </w:rPr>
              <w:t>أبريل 2008)</w:t>
            </w:r>
          </w:p>
        </w:tc>
        <w:tc>
          <w:tcPr>
            <w:tcW w:w="2716" w:type="dxa"/>
            <w:tcBorders>
              <w:top w:val="nil"/>
              <w:bottom w:val="nil"/>
            </w:tcBorders>
          </w:tcPr>
          <w:p w:rsidR="004E0A37" w:rsidRPr="00D17401" w:rsidRDefault="004E0A37" w:rsidP="004422FD">
            <w:pPr>
              <w:spacing w:before="40" w:after="40" w:line="280" w:lineRule="exact"/>
              <w:jc w:val="lowKashida"/>
              <w:rPr>
                <w:rFonts w:hint="cs"/>
                <w:spacing w:val="0"/>
                <w:sz w:val="18"/>
                <w:szCs w:val="26"/>
                <w:lang/>
              </w:rPr>
            </w:pPr>
            <w:r w:rsidRPr="00D17401">
              <w:rPr>
                <w:rFonts w:hint="cs"/>
                <w:spacing w:val="0"/>
                <w:sz w:val="18"/>
                <w:szCs w:val="26"/>
                <w:rtl/>
              </w:rPr>
              <w:t>-</w:t>
            </w:r>
          </w:p>
        </w:tc>
        <w:tc>
          <w:tcPr>
            <w:tcW w:w="211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2007</w:t>
            </w:r>
          </w:p>
        </w:tc>
        <w:tc>
          <w:tcPr>
            <w:tcW w:w="147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طاجيكستان</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رسالة تذكير (25 نيسان/</w:t>
            </w:r>
            <w:r w:rsidR="00481F28">
              <w:rPr>
                <w:rFonts w:hint="cs"/>
                <w:spacing w:val="0"/>
                <w:sz w:val="18"/>
                <w:szCs w:val="26"/>
                <w:rtl/>
              </w:rPr>
              <w:t xml:space="preserve">   </w:t>
            </w:r>
            <w:r w:rsidRPr="00D17401">
              <w:rPr>
                <w:rFonts w:hint="cs"/>
                <w:spacing w:val="0"/>
                <w:sz w:val="18"/>
                <w:szCs w:val="26"/>
                <w:rtl/>
              </w:rPr>
              <w:t>أبريل 2008)</w:t>
            </w:r>
          </w:p>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(14 أيار/مايو 2010)</w:t>
            </w:r>
          </w:p>
        </w:tc>
        <w:tc>
          <w:tcPr>
            <w:tcW w:w="2716"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lang/>
              </w:rPr>
            </w:pPr>
            <w:r w:rsidRPr="00D17401">
              <w:rPr>
                <w:rFonts w:hint="cs"/>
                <w:spacing w:val="0"/>
                <w:sz w:val="18"/>
                <w:szCs w:val="26"/>
                <w:rtl/>
                <w:lang/>
              </w:rPr>
              <w:t>5 كانون الأول/ديسمبر 2008</w:t>
            </w:r>
          </w:p>
          <w:p w:rsidR="004E0A37" w:rsidRPr="00D17401" w:rsidRDefault="004E0A37" w:rsidP="004422FD">
            <w:pPr>
              <w:spacing w:before="40" w:after="40" w:line="280" w:lineRule="exact"/>
              <w:jc w:val="lowKashida"/>
              <w:rPr>
                <w:rFonts w:hint="cs"/>
                <w:spacing w:val="0"/>
                <w:sz w:val="18"/>
                <w:szCs w:val="26"/>
                <w:lang/>
              </w:rPr>
            </w:pPr>
            <w:r w:rsidRPr="00D17401">
              <w:rPr>
                <w:spacing w:val="0"/>
                <w:sz w:val="18"/>
                <w:szCs w:val="26"/>
                <w:lang/>
              </w:rPr>
              <w:t>CAT/C/GUY/CO/1/Add.1</w:t>
            </w:r>
          </w:p>
        </w:tc>
        <w:tc>
          <w:tcPr>
            <w:tcW w:w="211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2007</w:t>
            </w:r>
          </w:p>
        </w:tc>
        <w:tc>
          <w:tcPr>
            <w:tcW w:w="147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غيانا</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(6 أيار/مايو 2009)</w:t>
            </w:r>
          </w:p>
        </w:tc>
        <w:tc>
          <w:tcPr>
            <w:tcW w:w="2716"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14 آب/أغسطس 2008</w:t>
            </w:r>
          </w:p>
          <w:p w:rsidR="004E0A37" w:rsidRPr="00D17401" w:rsidRDefault="004E0A37" w:rsidP="004422FD">
            <w:pPr>
              <w:spacing w:before="40" w:after="40" w:line="280" w:lineRule="exact"/>
              <w:jc w:val="lowKashida"/>
              <w:rPr>
                <w:rFonts w:hint="cs"/>
                <w:spacing w:val="0"/>
                <w:sz w:val="18"/>
                <w:szCs w:val="26"/>
                <w:rtl/>
                <w:lang/>
              </w:rPr>
            </w:pPr>
            <w:r w:rsidRPr="00D17401">
              <w:rPr>
                <w:spacing w:val="0"/>
                <w:sz w:val="18"/>
                <w:szCs w:val="26"/>
                <w:lang/>
              </w:rPr>
              <w:t>CAT/C/MEX/CO/4/Add.1</w:t>
            </w:r>
          </w:p>
        </w:tc>
        <w:tc>
          <w:tcPr>
            <w:tcW w:w="211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2007</w:t>
            </w:r>
          </w:p>
        </w:tc>
        <w:tc>
          <w:tcPr>
            <w:tcW w:w="147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المكسيك</w:t>
            </w:r>
          </w:p>
        </w:tc>
      </w:tr>
      <w:tr w:rsidR="004E0A37" w:rsidRPr="00D17401" w:rsidTr="00481F28">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7 كانون الثاني/يناير 2010</w:t>
            </w:r>
          </w:p>
          <w:p w:rsidR="004E0A37" w:rsidRPr="00D17401" w:rsidRDefault="004E0A37" w:rsidP="004422FD">
            <w:pPr>
              <w:spacing w:before="40" w:after="40" w:line="280" w:lineRule="exact"/>
              <w:jc w:val="lowKashida"/>
              <w:rPr>
                <w:rFonts w:hint="cs"/>
                <w:spacing w:val="0"/>
                <w:sz w:val="18"/>
                <w:szCs w:val="26"/>
                <w:rtl/>
              </w:rPr>
            </w:pPr>
            <w:r w:rsidRPr="00D17401">
              <w:rPr>
                <w:spacing w:val="0"/>
                <w:sz w:val="18"/>
                <w:szCs w:val="26"/>
                <w:lang/>
              </w:rPr>
              <w:t>CAT/C/MEX/CO/4/Add.2</w:t>
            </w:r>
          </w:p>
        </w:tc>
        <w:tc>
          <w:tcPr>
            <w:tcW w:w="211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p>
        </w:tc>
        <w:tc>
          <w:tcPr>
            <w:tcW w:w="147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p>
        </w:tc>
      </w:tr>
      <w:tr w:rsidR="004E0A37" w:rsidRPr="00D17401" w:rsidTr="00481F28">
        <w:tblPrEx>
          <w:tblCellMar>
            <w:top w:w="0" w:type="dxa"/>
            <w:bottom w:w="0" w:type="dxa"/>
          </w:tblCellMar>
        </w:tblPrEx>
        <w:tc>
          <w:tcPr>
            <w:tcW w:w="2072"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(15 تشرين الثاني/نوفمبر 2008)</w:t>
            </w:r>
          </w:p>
        </w:tc>
        <w:tc>
          <w:tcPr>
            <w:tcW w:w="2716"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15 تشرين الثاني/نوفمبر 2007</w:t>
            </w:r>
          </w:p>
          <w:p w:rsidR="004E0A37" w:rsidRPr="00D17401" w:rsidRDefault="004E0A37" w:rsidP="004422FD">
            <w:pPr>
              <w:spacing w:before="40" w:after="40" w:line="280" w:lineRule="exact"/>
              <w:jc w:val="lowKashida"/>
              <w:rPr>
                <w:rFonts w:hint="cs"/>
                <w:spacing w:val="0"/>
                <w:sz w:val="18"/>
                <w:szCs w:val="26"/>
                <w:rtl/>
              </w:rPr>
            </w:pPr>
            <w:r w:rsidRPr="00D17401">
              <w:rPr>
                <w:spacing w:val="0"/>
                <w:sz w:val="18"/>
                <w:szCs w:val="26"/>
                <w:lang/>
              </w:rPr>
              <w:t>CAT/C/HUN/CO/4/Add.1</w:t>
            </w:r>
          </w:p>
        </w:tc>
        <w:tc>
          <w:tcPr>
            <w:tcW w:w="2112"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تشرين الثاني/نوفمبر 2007</w:t>
            </w:r>
          </w:p>
        </w:tc>
        <w:tc>
          <w:tcPr>
            <w:tcW w:w="1471"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هنغاريا</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الثامنة والثلاثون (أيار/مايو 2007)</w:t>
      </w:r>
    </w:p>
    <w:tbl>
      <w:tblPr>
        <w:tblW w:w="8357" w:type="dxa"/>
        <w:tblInd w:w="108" w:type="dxa"/>
        <w:tblBorders>
          <w:top w:val="single" w:sz="4" w:space="0" w:color="auto"/>
          <w:bottom w:val="single" w:sz="4" w:space="0" w:color="auto"/>
          <w:insideH w:val="single" w:sz="4" w:space="0" w:color="auto"/>
        </w:tblBorders>
        <w:tblLayout w:type="fixed"/>
        <w:tblLook w:val="0000"/>
      </w:tblPr>
      <w:tblGrid>
        <w:gridCol w:w="2072"/>
        <w:gridCol w:w="2702"/>
        <w:gridCol w:w="2001"/>
        <w:gridCol w:w="1582"/>
      </w:tblGrid>
      <w:tr w:rsidR="004E0A37" w:rsidRPr="00D17401" w:rsidTr="004E0A37">
        <w:tblPrEx>
          <w:tblCellMar>
            <w:top w:w="0" w:type="dxa"/>
            <w:bottom w:w="0" w:type="dxa"/>
          </w:tblCellMar>
        </w:tblPrEx>
        <w:trPr>
          <w:tblHeader/>
        </w:trPr>
        <w:tc>
          <w:tcPr>
            <w:tcW w:w="2072" w:type="dxa"/>
            <w:tcBorders>
              <w:bottom w:val="single" w:sz="12" w:space="0" w:color="auto"/>
            </w:tcBorders>
            <w:vAlign w:val="bottom"/>
          </w:tcPr>
          <w:p w:rsidR="004E0A37" w:rsidRPr="00D17401" w:rsidRDefault="004E0A37" w:rsidP="004422FD">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702" w:type="dxa"/>
            <w:tcBorders>
              <w:bottom w:val="single" w:sz="12" w:space="0" w:color="auto"/>
            </w:tcBorders>
            <w:vAlign w:val="bottom"/>
          </w:tcPr>
          <w:p w:rsidR="004E0A37" w:rsidRPr="00D17401" w:rsidRDefault="004E0A37" w:rsidP="004422FD">
            <w:pPr>
              <w:spacing w:before="40" w:after="40" w:line="280" w:lineRule="exact"/>
              <w:jc w:val="lowKashida"/>
              <w:rPr>
                <w:rFonts w:hint="cs"/>
                <w:i/>
                <w:iCs/>
                <w:spacing w:val="0"/>
                <w:sz w:val="18"/>
                <w:szCs w:val="26"/>
                <w:rtl/>
              </w:rPr>
            </w:pPr>
            <w:r w:rsidRPr="00D17401">
              <w:rPr>
                <w:rFonts w:hint="cs"/>
                <w:i/>
                <w:iCs/>
                <w:spacing w:val="0"/>
                <w:sz w:val="18"/>
                <w:szCs w:val="26"/>
                <w:rtl/>
              </w:rPr>
              <w:t>تاريخ تلقي المعلومات</w:t>
            </w:r>
          </w:p>
        </w:tc>
        <w:tc>
          <w:tcPr>
            <w:tcW w:w="2001" w:type="dxa"/>
            <w:tcBorders>
              <w:bottom w:val="single" w:sz="12" w:space="0" w:color="auto"/>
            </w:tcBorders>
            <w:vAlign w:val="bottom"/>
          </w:tcPr>
          <w:p w:rsidR="004E0A37" w:rsidRPr="00D17401" w:rsidRDefault="004E0A37" w:rsidP="007F7966">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582" w:type="dxa"/>
            <w:tcBorders>
              <w:bottom w:val="single" w:sz="12" w:space="0" w:color="auto"/>
            </w:tcBorders>
            <w:vAlign w:val="bottom"/>
          </w:tcPr>
          <w:p w:rsidR="004E0A37" w:rsidRPr="00D17401" w:rsidRDefault="004E0A37" w:rsidP="004422FD">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4E0A37">
        <w:tblPrEx>
          <w:tblCellMar>
            <w:top w:w="0" w:type="dxa"/>
            <w:bottom w:w="0" w:type="dxa"/>
          </w:tblCellMar>
        </w:tblPrEx>
        <w:tc>
          <w:tcPr>
            <w:tcW w:w="2072"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رسالة تذكير (17 تشرين الثاني/نوفمبر 2008)</w:t>
            </w:r>
          </w:p>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المعلومات (20 كانون الأول/ديسمبر 2011)</w:t>
            </w:r>
          </w:p>
        </w:tc>
        <w:tc>
          <w:tcPr>
            <w:tcW w:w="2702"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21 نيسان/أبريل 2009</w:t>
            </w:r>
          </w:p>
          <w:p w:rsidR="004E0A37" w:rsidRPr="00D17401" w:rsidRDefault="004E0A37" w:rsidP="004422FD">
            <w:pPr>
              <w:spacing w:before="40" w:after="40" w:line="280" w:lineRule="exact"/>
              <w:jc w:val="lowKashida"/>
              <w:rPr>
                <w:spacing w:val="0"/>
                <w:sz w:val="18"/>
                <w:szCs w:val="26"/>
                <w:lang/>
              </w:rPr>
            </w:pPr>
            <w:r w:rsidRPr="00D17401">
              <w:rPr>
                <w:spacing w:val="0"/>
                <w:sz w:val="18"/>
                <w:szCs w:val="26"/>
                <w:lang/>
              </w:rPr>
              <w:t>CAT/UKR/CO/5/Add.1</w:t>
            </w:r>
          </w:p>
        </w:tc>
        <w:tc>
          <w:tcPr>
            <w:tcW w:w="2001"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أيار/مايو 2008</w:t>
            </w:r>
          </w:p>
        </w:tc>
        <w:tc>
          <w:tcPr>
            <w:tcW w:w="1582" w:type="dxa"/>
            <w:tcBorders>
              <w:top w:val="single" w:sz="12" w:space="0" w:color="auto"/>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أوكرانيا</w:t>
            </w:r>
          </w:p>
        </w:tc>
      </w:tr>
      <w:tr w:rsidR="004E0A37" w:rsidRPr="00D17401" w:rsidTr="004E0A37">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(17 تشرين الثاني/نوفمبر 2009)</w:t>
            </w:r>
          </w:p>
        </w:tc>
        <w:tc>
          <w:tcPr>
            <w:tcW w:w="270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9 أيار/مايو 2008</w:t>
            </w:r>
          </w:p>
          <w:p w:rsidR="004E0A37" w:rsidRPr="00D17401" w:rsidRDefault="004E0A37" w:rsidP="004422FD">
            <w:pPr>
              <w:spacing w:before="40" w:after="40" w:line="280" w:lineRule="exact"/>
              <w:jc w:val="lowKashida"/>
              <w:rPr>
                <w:spacing w:val="0"/>
                <w:sz w:val="18"/>
                <w:szCs w:val="26"/>
                <w:lang/>
              </w:rPr>
            </w:pPr>
            <w:r w:rsidRPr="00D17401">
              <w:rPr>
                <w:spacing w:val="0"/>
                <w:sz w:val="18"/>
                <w:szCs w:val="26"/>
                <w:lang/>
              </w:rPr>
              <w:t>CAT/C/ITA/CO/4/Add.1</w:t>
            </w:r>
          </w:p>
        </w:tc>
        <w:tc>
          <w:tcPr>
            <w:tcW w:w="200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أيار/مايو 2008</w:t>
            </w:r>
          </w:p>
        </w:tc>
        <w:tc>
          <w:tcPr>
            <w:tcW w:w="158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إيطاليا</w:t>
            </w:r>
          </w:p>
        </w:tc>
      </w:tr>
      <w:tr w:rsidR="004E0A37" w:rsidRPr="00D17401" w:rsidTr="004E0A37">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0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12 حزيران/يونيه 2008</w:t>
            </w:r>
          </w:p>
          <w:p w:rsidR="004E0A37" w:rsidRPr="00D17401" w:rsidRDefault="004E0A37" w:rsidP="004422FD">
            <w:pPr>
              <w:spacing w:before="40" w:after="40" w:line="280" w:lineRule="exact"/>
              <w:jc w:val="lowKashida"/>
              <w:rPr>
                <w:rFonts w:hint="cs"/>
                <w:spacing w:val="0"/>
                <w:sz w:val="18"/>
                <w:szCs w:val="26"/>
                <w:rtl/>
              </w:rPr>
            </w:pPr>
            <w:r w:rsidRPr="00D17401">
              <w:rPr>
                <w:spacing w:val="0"/>
                <w:sz w:val="18"/>
                <w:szCs w:val="26"/>
                <w:lang/>
              </w:rPr>
              <w:t>CAT/C/POL/CO/4/Add.1</w:t>
            </w:r>
          </w:p>
        </w:tc>
        <w:tc>
          <w:tcPr>
            <w:tcW w:w="200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أيار/مايو 2008</w:t>
            </w:r>
          </w:p>
        </w:tc>
        <w:tc>
          <w:tcPr>
            <w:tcW w:w="158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بولندا</w:t>
            </w:r>
          </w:p>
        </w:tc>
      </w:tr>
      <w:tr w:rsidR="004E0A37" w:rsidRPr="00D17401" w:rsidTr="004E0A37">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(12 أيار/مايو 2010)</w:t>
            </w:r>
          </w:p>
        </w:tc>
        <w:tc>
          <w:tcPr>
            <w:tcW w:w="270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18 تموز/يوليه 2008</w:t>
            </w:r>
          </w:p>
          <w:p w:rsidR="004E0A37" w:rsidRPr="00D17401" w:rsidRDefault="004E0A37" w:rsidP="004422FD">
            <w:pPr>
              <w:spacing w:before="40" w:after="40" w:line="280" w:lineRule="exact"/>
              <w:jc w:val="lowKashida"/>
              <w:rPr>
                <w:rFonts w:hint="cs"/>
                <w:spacing w:val="0"/>
                <w:sz w:val="18"/>
                <w:szCs w:val="26"/>
                <w:rtl/>
              </w:rPr>
            </w:pPr>
            <w:r w:rsidRPr="00D17401">
              <w:rPr>
                <w:spacing w:val="0"/>
                <w:sz w:val="18"/>
                <w:szCs w:val="26"/>
                <w:lang/>
              </w:rPr>
              <w:t>CAT/C/DNK/CO/5/Add.1</w:t>
            </w:r>
          </w:p>
        </w:tc>
        <w:tc>
          <w:tcPr>
            <w:tcW w:w="200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أيار/مايو 2008</w:t>
            </w:r>
          </w:p>
        </w:tc>
        <w:tc>
          <w:tcPr>
            <w:tcW w:w="158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الدانمرك</w:t>
            </w:r>
          </w:p>
        </w:tc>
      </w:tr>
      <w:tr w:rsidR="004E0A37" w:rsidRPr="00D17401" w:rsidTr="004E0A37">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رسالة تذكير (17 تشرين الثاني/نوفمبر 2008)</w:t>
            </w:r>
          </w:p>
        </w:tc>
        <w:tc>
          <w:tcPr>
            <w:tcW w:w="270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w:t>
            </w:r>
          </w:p>
        </w:tc>
        <w:tc>
          <w:tcPr>
            <w:tcW w:w="200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أيار/مايو 2008</w:t>
            </w:r>
          </w:p>
        </w:tc>
        <w:tc>
          <w:tcPr>
            <w:tcW w:w="158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لكسمبرغ</w:t>
            </w:r>
          </w:p>
        </w:tc>
      </w:tr>
      <w:tr w:rsidR="004E0A37" w:rsidRPr="00D17401" w:rsidTr="004E0A37">
        <w:tblPrEx>
          <w:tblCellMar>
            <w:top w:w="0" w:type="dxa"/>
            <w:bottom w:w="0" w:type="dxa"/>
          </w:tblCellMar>
        </w:tblPrEx>
        <w:tc>
          <w:tcPr>
            <w:tcW w:w="207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(19 تشرين الثاني/نوفمبر 2010)</w:t>
            </w:r>
          </w:p>
        </w:tc>
        <w:tc>
          <w:tcPr>
            <w:tcW w:w="270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17 حزيران/يونيه 2008</w:t>
            </w:r>
          </w:p>
          <w:p w:rsidR="004E0A37" w:rsidRPr="00D17401" w:rsidRDefault="004E0A37" w:rsidP="004422FD">
            <w:pPr>
              <w:spacing w:before="40" w:after="40" w:line="280" w:lineRule="exact"/>
              <w:jc w:val="lowKashida"/>
              <w:rPr>
                <w:rFonts w:hint="cs"/>
                <w:spacing w:val="0"/>
                <w:sz w:val="18"/>
                <w:szCs w:val="26"/>
                <w:rtl/>
              </w:rPr>
            </w:pPr>
            <w:r w:rsidRPr="00D17401">
              <w:rPr>
                <w:spacing w:val="0"/>
                <w:sz w:val="18"/>
                <w:szCs w:val="26"/>
                <w:lang/>
              </w:rPr>
              <w:t>CAT/C/NET/CO/4/Add.1</w:t>
            </w:r>
          </w:p>
        </w:tc>
        <w:tc>
          <w:tcPr>
            <w:tcW w:w="2001"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أيار/مايو 2008</w:t>
            </w:r>
          </w:p>
        </w:tc>
        <w:tc>
          <w:tcPr>
            <w:tcW w:w="1582" w:type="dxa"/>
            <w:tcBorders>
              <w:top w:val="nil"/>
              <w:bottom w:val="nil"/>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هولندا</w:t>
            </w:r>
          </w:p>
        </w:tc>
      </w:tr>
      <w:tr w:rsidR="004E0A37" w:rsidRPr="00D17401" w:rsidTr="004E0A37">
        <w:tblPrEx>
          <w:tblCellMar>
            <w:top w:w="0" w:type="dxa"/>
            <w:bottom w:w="0" w:type="dxa"/>
          </w:tblCellMar>
        </w:tblPrEx>
        <w:tc>
          <w:tcPr>
            <w:tcW w:w="2072"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(11 أيار/مايو 2009)</w:t>
            </w:r>
          </w:p>
        </w:tc>
        <w:tc>
          <w:tcPr>
            <w:tcW w:w="2702"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29 أيار/مايو 2008</w:t>
            </w:r>
          </w:p>
          <w:p w:rsidR="004E0A37" w:rsidRPr="00D17401" w:rsidRDefault="004E0A37" w:rsidP="004422FD">
            <w:pPr>
              <w:spacing w:before="40" w:after="40" w:line="280" w:lineRule="exact"/>
              <w:jc w:val="lowKashida"/>
              <w:rPr>
                <w:rFonts w:hint="cs"/>
                <w:spacing w:val="0"/>
                <w:sz w:val="18"/>
                <w:szCs w:val="26"/>
                <w:rtl/>
              </w:rPr>
            </w:pPr>
            <w:r w:rsidRPr="00D17401">
              <w:rPr>
                <w:spacing w:val="0"/>
                <w:sz w:val="18"/>
                <w:szCs w:val="26"/>
                <w:lang/>
              </w:rPr>
              <w:t>CAT/C/JPN/CO/1/Add.1</w:t>
            </w:r>
          </w:p>
        </w:tc>
        <w:tc>
          <w:tcPr>
            <w:tcW w:w="2001"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أيار/مايو 2008</w:t>
            </w:r>
          </w:p>
        </w:tc>
        <w:tc>
          <w:tcPr>
            <w:tcW w:w="1582" w:type="dxa"/>
            <w:tcBorders>
              <w:top w:val="nil"/>
              <w:bottom w:val="single" w:sz="12" w:space="0" w:color="auto"/>
            </w:tcBorders>
          </w:tcPr>
          <w:p w:rsidR="004E0A37" w:rsidRPr="00D17401" w:rsidRDefault="004E0A37" w:rsidP="004422FD">
            <w:pPr>
              <w:spacing w:before="40" w:after="40" w:line="280" w:lineRule="exact"/>
              <w:jc w:val="lowKashida"/>
              <w:rPr>
                <w:rFonts w:hint="cs"/>
                <w:spacing w:val="0"/>
                <w:sz w:val="18"/>
                <w:szCs w:val="26"/>
                <w:rtl/>
              </w:rPr>
            </w:pPr>
            <w:r w:rsidRPr="00D17401">
              <w:rPr>
                <w:rFonts w:hint="cs"/>
                <w:spacing w:val="0"/>
                <w:sz w:val="18"/>
                <w:szCs w:val="26"/>
                <w:rtl/>
              </w:rPr>
              <w:t>اليابان</w:t>
            </w:r>
          </w:p>
        </w:tc>
      </w:tr>
    </w:tbl>
    <w:p w:rsidR="004E0A37" w:rsidRPr="00BC2035" w:rsidRDefault="004E0A37" w:rsidP="004422FD">
      <w:pPr>
        <w:pStyle w:val="H23GA"/>
        <w:spacing w:before="240"/>
        <w:rPr>
          <w:rFonts w:hint="cs"/>
          <w:spacing w:val="0"/>
          <w:rtl/>
        </w:rPr>
      </w:pPr>
      <w:r w:rsidRPr="00BC2035">
        <w:rPr>
          <w:rFonts w:hint="cs"/>
          <w:spacing w:val="0"/>
          <w:rtl/>
        </w:rPr>
        <w:tab/>
      </w:r>
      <w:r w:rsidRPr="00BC2035">
        <w:rPr>
          <w:rFonts w:hint="cs"/>
          <w:spacing w:val="0"/>
          <w:rtl/>
        </w:rPr>
        <w:tab/>
        <w:t>الدورة التاسعة والثلاثون (تشرين الثاني/نوفمبر 2007)</w:t>
      </w:r>
    </w:p>
    <w:tbl>
      <w:tblPr>
        <w:tblW w:w="8357" w:type="dxa"/>
        <w:tblInd w:w="108" w:type="dxa"/>
        <w:tblBorders>
          <w:top w:val="single" w:sz="4" w:space="0" w:color="auto"/>
          <w:bottom w:val="single" w:sz="4" w:space="0" w:color="auto"/>
          <w:insideH w:val="single" w:sz="4" w:space="0" w:color="auto"/>
        </w:tblBorders>
        <w:tblLayout w:type="fixed"/>
        <w:tblLook w:val="0000"/>
      </w:tblPr>
      <w:tblGrid>
        <w:gridCol w:w="2058"/>
        <w:gridCol w:w="2716"/>
        <w:gridCol w:w="2001"/>
        <w:gridCol w:w="1582"/>
      </w:tblGrid>
      <w:tr w:rsidR="004E0A37" w:rsidRPr="00D17401" w:rsidTr="00740206">
        <w:tblPrEx>
          <w:tblCellMar>
            <w:top w:w="0" w:type="dxa"/>
            <w:bottom w:w="0" w:type="dxa"/>
          </w:tblCellMar>
        </w:tblPrEx>
        <w:trPr>
          <w:tblHeader/>
        </w:trPr>
        <w:tc>
          <w:tcPr>
            <w:tcW w:w="2058"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الإجراء المتخذ</w:t>
            </w:r>
          </w:p>
        </w:tc>
        <w:tc>
          <w:tcPr>
            <w:tcW w:w="2716" w:type="dxa"/>
            <w:tcBorders>
              <w:bottom w:val="single" w:sz="12" w:space="0" w:color="auto"/>
            </w:tcBorders>
            <w:vAlign w:val="bottom"/>
          </w:tcPr>
          <w:p w:rsidR="004E0A37" w:rsidRPr="00D17401" w:rsidRDefault="004E0A37" w:rsidP="00C51313">
            <w:pPr>
              <w:spacing w:before="40" w:after="40" w:line="30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001" w:type="dxa"/>
            <w:tcBorders>
              <w:bottom w:val="single" w:sz="12" w:space="0" w:color="auto"/>
            </w:tcBorders>
            <w:vAlign w:val="bottom"/>
          </w:tcPr>
          <w:p w:rsidR="004E0A37" w:rsidRPr="00D17401" w:rsidRDefault="004E0A37" w:rsidP="00740206">
            <w:pPr>
              <w:spacing w:before="40" w:after="40" w:line="30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582"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740206">
        <w:tblPrEx>
          <w:tblCellMar>
            <w:top w:w="0" w:type="dxa"/>
            <w:bottom w:w="0" w:type="dxa"/>
          </w:tblCellMar>
        </w:tblPrEx>
        <w:tc>
          <w:tcPr>
            <w:tcW w:w="2058"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(29 نيسان/</w:t>
            </w:r>
            <w:r w:rsidR="007F7966">
              <w:rPr>
                <w:rFonts w:hint="cs"/>
                <w:spacing w:val="0"/>
                <w:sz w:val="18"/>
                <w:szCs w:val="26"/>
                <w:rtl/>
              </w:rPr>
              <w:t xml:space="preserve">    </w:t>
            </w:r>
            <w:r w:rsidRPr="00D17401">
              <w:rPr>
                <w:rFonts w:hint="cs"/>
                <w:spacing w:val="0"/>
                <w:sz w:val="18"/>
                <w:szCs w:val="26"/>
                <w:rtl/>
              </w:rPr>
              <w:t>أبريل 2009)</w:t>
            </w:r>
          </w:p>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single" w:sz="12" w:space="0" w:color="auto"/>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19 كانون الثاني/يناير 2009</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CAT/C/EST/CO/4/Add.1</w:t>
            </w:r>
          </w:p>
        </w:tc>
        <w:tc>
          <w:tcPr>
            <w:tcW w:w="2001"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2008</w:t>
            </w:r>
          </w:p>
        </w:tc>
        <w:tc>
          <w:tcPr>
            <w:tcW w:w="1582"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إستونيا</w:t>
            </w:r>
          </w:p>
        </w:tc>
      </w:tr>
      <w:tr w:rsidR="004E0A37" w:rsidRPr="00D17401" w:rsidTr="00740206">
        <w:tblPrEx>
          <w:tblCellMar>
            <w:top w:w="0" w:type="dxa"/>
            <w:bottom w:w="0" w:type="dxa"/>
          </w:tblCellMar>
        </w:tblPrEx>
        <w:tc>
          <w:tcPr>
            <w:tcW w:w="2058" w:type="dxa"/>
            <w:tcBorders>
              <w:top w:val="nil"/>
              <w:bottom w:val="nil"/>
            </w:tcBorders>
          </w:tcPr>
          <w:p w:rsidR="004E0A37" w:rsidRPr="00D17401" w:rsidRDefault="004E0A37" w:rsidP="00740206">
            <w:pPr>
              <w:spacing w:before="40" w:after="40" w:line="300" w:lineRule="exact"/>
              <w:jc w:val="lowKashida"/>
              <w:rPr>
                <w:rFonts w:hint="cs"/>
                <w:spacing w:val="0"/>
                <w:sz w:val="18"/>
                <w:szCs w:val="26"/>
                <w:rtl/>
              </w:rPr>
            </w:pPr>
            <w:r w:rsidRPr="00D17401">
              <w:rPr>
                <w:rFonts w:hint="cs"/>
                <w:spacing w:val="0"/>
                <w:sz w:val="18"/>
                <w:szCs w:val="26"/>
                <w:rtl/>
              </w:rPr>
              <w:t>رسالة تذكير وطلب مزيد من التوضيح (16 تشرين الثاني/نوفمبر 2009) طلب مزيد من التوضيح (13 أيلول/سبتمبر 2011</w:t>
            </w:r>
          </w:p>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nil"/>
            </w:tcBorders>
          </w:tcPr>
          <w:p w:rsidR="004E0A37" w:rsidRPr="00D17401" w:rsidRDefault="004E0A37" w:rsidP="00542FAC">
            <w:pPr>
              <w:spacing w:before="40" w:after="40" w:line="300" w:lineRule="exact"/>
              <w:ind w:left="57" w:right="170"/>
              <w:rPr>
                <w:rFonts w:hint="cs"/>
                <w:spacing w:val="0"/>
                <w:sz w:val="18"/>
                <w:szCs w:val="26"/>
                <w:rtl/>
              </w:rPr>
            </w:pPr>
            <w:r w:rsidRPr="00D17401">
              <w:rPr>
                <w:rFonts w:hint="cs"/>
                <w:spacing w:val="0"/>
                <w:sz w:val="18"/>
                <w:szCs w:val="26"/>
                <w:rtl/>
              </w:rPr>
              <w:t xml:space="preserve">13 شباط/فبراير 2008 </w:t>
            </w:r>
            <w:r w:rsidRPr="00D17401">
              <w:rPr>
                <w:spacing w:val="0"/>
                <w:sz w:val="18"/>
                <w:szCs w:val="26"/>
                <w:lang/>
              </w:rPr>
              <w:t>CAT/C/UZB/CO/3/Add.1</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(بما في ذلك التعليقات)</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7 كانون الثاني/يناير 2010</w:t>
            </w:r>
          </w:p>
          <w:p w:rsidR="004E0A37" w:rsidRPr="00D17401" w:rsidRDefault="004E0A37" w:rsidP="00C51313">
            <w:pPr>
              <w:spacing w:before="40" w:after="40" w:line="300" w:lineRule="exact"/>
              <w:ind w:left="57"/>
              <w:jc w:val="lowKashida"/>
              <w:rPr>
                <w:spacing w:val="0"/>
                <w:sz w:val="18"/>
                <w:szCs w:val="26"/>
                <w:lang/>
              </w:rPr>
            </w:pPr>
            <w:r w:rsidRPr="00D17401">
              <w:rPr>
                <w:spacing w:val="0"/>
                <w:sz w:val="18"/>
                <w:szCs w:val="26"/>
                <w:lang/>
              </w:rPr>
              <w:t>CAT/C/UZB/CO/3/Add.2</w:t>
            </w:r>
          </w:p>
          <w:p w:rsidR="004E0A37" w:rsidRPr="00D17401" w:rsidRDefault="004E0A37" w:rsidP="00740206">
            <w:pPr>
              <w:spacing w:before="40" w:after="40" w:line="300" w:lineRule="exact"/>
              <w:ind w:left="57" w:right="170"/>
              <w:jc w:val="lowKashida"/>
              <w:rPr>
                <w:spacing w:val="0"/>
                <w:sz w:val="18"/>
                <w:szCs w:val="26"/>
              </w:rPr>
            </w:pPr>
            <w:r w:rsidRPr="00D17401">
              <w:rPr>
                <w:rFonts w:hint="cs"/>
                <w:spacing w:val="0"/>
                <w:sz w:val="18"/>
                <w:szCs w:val="26"/>
                <w:rtl/>
              </w:rPr>
              <w:t>27 كانون الأول/ديسمبر 2011</w:t>
            </w:r>
          </w:p>
          <w:p w:rsidR="004E0A37" w:rsidRPr="00D17401" w:rsidRDefault="004E0A37" w:rsidP="00C51313">
            <w:pPr>
              <w:spacing w:before="40" w:after="40" w:line="300" w:lineRule="exact"/>
              <w:ind w:left="57"/>
              <w:jc w:val="lowKashida"/>
              <w:rPr>
                <w:spacing w:val="0"/>
                <w:sz w:val="18"/>
                <w:szCs w:val="26"/>
                <w:lang/>
              </w:rPr>
            </w:pPr>
            <w:r w:rsidRPr="00D17401">
              <w:rPr>
                <w:spacing w:val="0"/>
                <w:sz w:val="18"/>
                <w:szCs w:val="26"/>
                <w:lang/>
              </w:rPr>
              <w:t>CAT/C/UZB/CO/3/Add.3</w:t>
            </w:r>
          </w:p>
        </w:tc>
        <w:tc>
          <w:tcPr>
            <w:tcW w:w="200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2008</w:t>
            </w:r>
          </w:p>
        </w:tc>
        <w:tc>
          <w:tcPr>
            <w:tcW w:w="158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أوزبكستان</w:t>
            </w:r>
          </w:p>
        </w:tc>
      </w:tr>
      <w:tr w:rsidR="004E0A37" w:rsidRPr="00D17401" w:rsidTr="00740206">
        <w:tblPrEx>
          <w:tblCellMar>
            <w:top w:w="0" w:type="dxa"/>
            <w:bottom w:w="0" w:type="dxa"/>
          </w:tblCellMar>
        </w:tblPrEx>
        <w:tc>
          <w:tcPr>
            <w:tcW w:w="2058" w:type="dxa"/>
            <w:tcBorders>
              <w:top w:val="nil"/>
              <w:bottom w:val="nil"/>
            </w:tcBorders>
          </w:tcPr>
          <w:p w:rsidR="004E0A37" w:rsidRPr="00542FAC" w:rsidRDefault="004E0A37" w:rsidP="00C51313">
            <w:pPr>
              <w:spacing w:before="40" w:after="40" w:line="300" w:lineRule="exact"/>
              <w:jc w:val="lowKashida"/>
              <w:rPr>
                <w:rFonts w:hint="cs"/>
                <w:spacing w:val="-4"/>
                <w:kern w:val="0"/>
                <w:sz w:val="18"/>
                <w:szCs w:val="26"/>
                <w:rtl/>
              </w:rPr>
            </w:pPr>
            <w:r w:rsidRPr="00542FAC">
              <w:rPr>
                <w:rFonts w:hint="cs"/>
                <w:spacing w:val="-4"/>
                <w:kern w:val="0"/>
                <w:sz w:val="18"/>
                <w:szCs w:val="26"/>
                <w:rtl/>
              </w:rPr>
              <w:t>طلب المزيد من التوضيحات (12 أيار/مايو 2010)</w:t>
            </w:r>
          </w:p>
          <w:p w:rsidR="004E0A37" w:rsidRPr="00D17401" w:rsidRDefault="004E0A37" w:rsidP="00C51313">
            <w:pPr>
              <w:spacing w:before="40" w:after="40" w:line="300" w:lineRule="exact"/>
              <w:jc w:val="lowKashida"/>
              <w:rPr>
                <w:rFonts w:hint="cs"/>
                <w:spacing w:val="0"/>
                <w:sz w:val="18"/>
                <w:szCs w:val="26"/>
                <w:rtl/>
              </w:rPr>
            </w:pPr>
          </w:p>
        </w:tc>
        <w:tc>
          <w:tcPr>
            <w:tcW w:w="2716"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23 تشرين الثاني/نوفمبر 2007</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CAT/C/PRT/CO/4/Add.1</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(بما في ذلك التعليقات)</w:t>
            </w:r>
          </w:p>
        </w:tc>
        <w:tc>
          <w:tcPr>
            <w:tcW w:w="200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2008</w:t>
            </w:r>
          </w:p>
        </w:tc>
        <w:tc>
          <w:tcPr>
            <w:tcW w:w="158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البرتغال</w:t>
            </w:r>
          </w:p>
        </w:tc>
      </w:tr>
      <w:tr w:rsidR="004E0A37" w:rsidRPr="00D17401" w:rsidTr="00740206">
        <w:tblPrEx>
          <w:tblCellMar>
            <w:top w:w="0" w:type="dxa"/>
            <w:bottom w:w="0" w:type="dxa"/>
          </w:tblCellMar>
        </w:tblPrEx>
        <w:tc>
          <w:tcPr>
            <w:tcW w:w="205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4 كانون الثاني/يناير 2012</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CAT/C/PRT/CO/4/Add.2</w:t>
            </w:r>
          </w:p>
        </w:tc>
        <w:tc>
          <w:tcPr>
            <w:tcW w:w="200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p>
        </w:tc>
        <w:tc>
          <w:tcPr>
            <w:tcW w:w="158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p>
        </w:tc>
      </w:tr>
      <w:tr w:rsidR="004E0A37" w:rsidRPr="00D17401" w:rsidTr="00740206">
        <w:tblPrEx>
          <w:tblCellMar>
            <w:top w:w="0" w:type="dxa"/>
            <w:bottom w:w="0" w:type="dxa"/>
          </w:tblCellMar>
        </w:tblPrEx>
        <w:tc>
          <w:tcPr>
            <w:tcW w:w="205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(6 أيار/</w:t>
            </w:r>
            <w:r w:rsidR="007F7966">
              <w:rPr>
                <w:rFonts w:hint="cs"/>
                <w:spacing w:val="0"/>
                <w:sz w:val="18"/>
                <w:szCs w:val="26"/>
                <w:rtl/>
              </w:rPr>
              <w:t xml:space="preserve">     </w:t>
            </w:r>
            <w:r w:rsidRPr="00D17401">
              <w:rPr>
                <w:rFonts w:hint="cs"/>
                <w:spacing w:val="0"/>
                <w:sz w:val="18"/>
                <w:szCs w:val="26"/>
                <w:rtl/>
              </w:rPr>
              <w:t>مايو 2009)</w:t>
            </w:r>
          </w:p>
        </w:tc>
        <w:tc>
          <w:tcPr>
            <w:tcW w:w="2716"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lang/>
              </w:rPr>
            </w:pPr>
            <w:r w:rsidRPr="00D17401">
              <w:rPr>
                <w:rFonts w:hint="cs"/>
                <w:spacing w:val="0"/>
                <w:sz w:val="18"/>
                <w:szCs w:val="26"/>
                <w:rtl/>
              </w:rPr>
              <w:t>-</w:t>
            </w:r>
          </w:p>
        </w:tc>
        <w:tc>
          <w:tcPr>
            <w:tcW w:w="200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2008</w:t>
            </w:r>
          </w:p>
        </w:tc>
        <w:tc>
          <w:tcPr>
            <w:tcW w:w="158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بنن</w:t>
            </w:r>
          </w:p>
        </w:tc>
      </w:tr>
      <w:tr w:rsidR="004E0A37" w:rsidRPr="00D17401" w:rsidTr="00740206">
        <w:tblPrEx>
          <w:tblCellMar>
            <w:top w:w="0" w:type="dxa"/>
            <w:bottom w:w="0" w:type="dxa"/>
          </w:tblCellMar>
        </w:tblPrEx>
        <w:tc>
          <w:tcPr>
            <w:tcW w:w="205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(29 نيسان/</w:t>
            </w:r>
            <w:r w:rsidR="007F7966">
              <w:rPr>
                <w:rFonts w:hint="cs"/>
                <w:spacing w:val="0"/>
                <w:sz w:val="18"/>
                <w:szCs w:val="26"/>
                <w:rtl/>
              </w:rPr>
              <w:t xml:space="preserve">   </w:t>
            </w:r>
            <w:r w:rsidRPr="00D17401">
              <w:rPr>
                <w:rFonts w:hint="cs"/>
                <w:spacing w:val="0"/>
                <w:sz w:val="18"/>
                <w:szCs w:val="26"/>
                <w:rtl/>
              </w:rPr>
              <w:t>أبريل 2009)</w:t>
            </w:r>
          </w:p>
          <w:p w:rsidR="004E0A37" w:rsidRPr="00542FAC" w:rsidRDefault="004E0A37" w:rsidP="00C51313">
            <w:pPr>
              <w:spacing w:before="40" w:after="40" w:line="300" w:lineRule="exact"/>
              <w:jc w:val="lowKashida"/>
              <w:rPr>
                <w:rFonts w:hint="cs"/>
                <w:spacing w:val="-4"/>
                <w:kern w:val="0"/>
                <w:sz w:val="18"/>
                <w:szCs w:val="26"/>
                <w:rtl/>
              </w:rPr>
            </w:pPr>
            <w:r w:rsidRPr="00542FAC">
              <w:rPr>
                <w:rFonts w:hint="cs"/>
                <w:spacing w:val="-4"/>
                <w:kern w:val="0"/>
                <w:sz w:val="18"/>
                <w:szCs w:val="26"/>
                <w:rtl/>
              </w:rPr>
              <w:t>طلب المزيد من التوضيحات (25 أيار/مايو 2011)</w:t>
            </w:r>
          </w:p>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10 شباط/فبراير 2010</w:t>
            </w:r>
          </w:p>
          <w:p w:rsidR="004E0A37" w:rsidRPr="00D17401" w:rsidRDefault="004E0A37" w:rsidP="00C51313">
            <w:pPr>
              <w:spacing w:before="40" w:after="40" w:line="300" w:lineRule="exact"/>
              <w:ind w:left="57"/>
              <w:jc w:val="lowKashida"/>
              <w:rPr>
                <w:rFonts w:hint="cs"/>
                <w:spacing w:val="0"/>
                <w:sz w:val="18"/>
                <w:szCs w:val="26"/>
                <w:lang/>
              </w:rPr>
            </w:pPr>
            <w:r w:rsidRPr="00D17401">
              <w:rPr>
                <w:spacing w:val="0"/>
                <w:sz w:val="18"/>
                <w:szCs w:val="26"/>
                <w:lang/>
              </w:rPr>
              <w:t>CAT/C/LVA/CO/2/Add.1</w:t>
            </w:r>
          </w:p>
        </w:tc>
        <w:tc>
          <w:tcPr>
            <w:tcW w:w="200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2008</w:t>
            </w:r>
          </w:p>
        </w:tc>
        <w:tc>
          <w:tcPr>
            <w:tcW w:w="1582"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لاتفيا</w:t>
            </w:r>
          </w:p>
        </w:tc>
      </w:tr>
      <w:tr w:rsidR="004E0A37" w:rsidRPr="00D17401" w:rsidTr="00740206">
        <w:tblPrEx>
          <w:tblCellMar>
            <w:top w:w="0" w:type="dxa"/>
            <w:bottom w:w="0" w:type="dxa"/>
          </w:tblCellMar>
        </w:tblPrEx>
        <w:tc>
          <w:tcPr>
            <w:tcW w:w="2058"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(29 نيسان/</w:t>
            </w:r>
            <w:r w:rsidR="007F7966">
              <w:rPr>
                <w:rFonts w:hint="cs"/>
                <w:spacing w:val="0"/>
                <w:sz w:val="18"/>
                <w:szCs w:val="26"/>
                <w:rtl/>
              </w:rPr>
              <w:t xml:space="preserve">   </w:t>
            </w:r>
            <w:r w:rsidRPr="00D17401">
              <w:rPr>
                <w:rFonts w:hint="cs"/>
                <w:spacing w:val="0"/>
                <w:sz w:val="18"/>
                <w:szCs w:val="26"/>
                <w:rtl/>
              </w:rPr>
              <w:t>أبريل 2009)</w:t>
            </w:r>
          </w:p>
          <w:p w:rsidR="004E0A37" w:rsidRPr="00D17401" w:rsidRDefault="004E0A37" w:rsidP="00C51313">
            <w:pPr>
              <w:spacing w:before="40" w:after="40" w:line="300" w:lineRule="exact"/>
              <w:jc w:val="lowKashida"/>
              <w:rPr>
                <w:rFonts w:hint="cs"/>
                <w:spacing w:val="0"/>
                <w:sz w:val="18"/>
                <w:szCs w:val="26"/>
                <w:rtl/>
              </w:rPr>
            </w:pPr>
          </w:p>
          <w:p w:rsidR="004E0A37" w:rsidRPr="00542FAC" w:rsidRDefault="004E0A37" w:rsidP="00C51313">
            <w:pPr>
              <w:spacing w:before="40" w:after="40" w:line="300" w:lineRule="exact"/>
              <w:jc w:val="lowKashida"/>
              <w:rPr>
                <w:rFonts w:hint="cs"/>
                <w:spacing w:val="-4"/>
                <w:kern w:val="0"/>
                <w:sz w:val="18"/>
                <w:szCs w:val="26"/>
                <w:rtl/>
              </w:rPr>
            </w:pPr>
            <w:r w:rsidRPr="00542FAC">
              <w:rPr>
                <w:rFonts w:hint="cs"/>
                <w:spacing w:val="-4"/>
                <w:kern w:val="0"/>
                <w:sz w:val="18"/>
                <w:szCs w:val="26"/>
                <w:rtl/>
              </w:rPr>
              <w:t>طلب المزيد من التوضيحات (12 أيار/مايو 2010)</w:t>
            </w:r>
          </w:p>
          <w:p w:rsidR="004E0A37" w:rsidRPr="00D17401" w:rsidRDefault="004E0A37" w:rsidP="00C51313">
            <w:pPr>
              <w:spacing w:before="40" w:after="40" w:line="300" w:lineRule="exact"/>
              <w:jc w:val="lowKashida"/>
              <w:rPr>
                <w:rFonts w:hint="cs"/>
                <w:spacing w:val="0"/>
                <w:sz w:val="18"/>
                <w:szCs w:val="26"/>
                <w:rtl/>
              </w:rPr>
            </w:pPr>
          </w:p>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single" w:sz="12" w:space="0" w:color="auto"/>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9 تموز/يوليه 2009</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CAT/C/NOR/CO/5/Add.1</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(تأخر تقديم التذييل 1)</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26 تشرين الثاني/نوفمبر 2010</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CAT/C/NOR/CO/5/Add.2</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4 آذار/مارس 2011</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CAT/C/NOR/CO/5/Add.3</w:t>
            </w:r>
          </w:p>
        </w:tc>
        <w:tc>
          <w:tcPr>
            <w:tcW w:w="2001"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2008</w:t>
            </w:r>
          </w:p>
        </w:tc>
        <w:tc>
          <w:tcPr>
            <w:tcW w:w="1582"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النرويج</w:t>
            </w:r>
          </w:p>
        </w:tc>
      </w:tr>
    </w:tbl>
    <w:p w:rsidR="004E0A37" w:rsidRPr="00BC2035" w:rsidRDefault="004E0A37" w:rsidP="00542FAC">
      <w:pPr>
        <w:pStyle w:val="H23GA"/>
        <w:keepNext/>
        <w:spacing w:before="240"/>
        <w:rPr>
          <w:rFonts w:hint="cs"/>
          <w:spacing w:val="0"/>
          <w:rtl/>
        </w:rPr>
      </w:pPr>
      <w:r w:rsidRPr="00BC2035">
        <w:rPr>
          <w:rFonts w:hint="cs"/>
          <w:spacing w:val="0"/>
          <w:rtl/>
        </w:rPr>
        <w:tab/>
      </w:r>
      <w:r w:rsidRPr="00BC2035">
        <w:rPr>
          <w:rFonts w:hint="cs"/>
          <w:spacing w:val="0"/>
          <w:rtl/>
        </w:rPr>
        <w:tab/>
        <w:t>الدورة الأربعون (أيار/مايو 2008)</w:t>
      </w:r>
    </w:p>
    <w:tbl>
      <w:tblPr>
        <w:tblW w:w="8343" w:type="dxa"/>
        <w:tblInd w:w="136" w:type="dxa"/>
        <w:tblBorders>
          <w:top w:val="single" w:sz="4" w:space="0" w:color="auto"/>
          <w:bottom w:val="single" w:sz="4" w:space="0" w:color="auto"/>
          <w:insideH w:val="single" w:sz="4" w:space="0" w:color="auto"/>
        </w:tblBorders>
        <w:tblLayout w:type="fixed"/>
        <w:tblLook w:val="0000"/>
      </w:tblPr>
      <w:tblGrid>
        <w:gridCol w:w="2016"/>
        <w:gridCol w:w="2716"/>
        <w:gridCol w:w="2015"/>
        <w:gridCol w:w="1596"/>
      </w:tblGrid>
      <w:tr w:rsidR="004E0A37" w:rsidRPr="00D17401" w:rsidTr="00740206">
        <w:tblPrEx>
          <w:tblCellMar>
            <w:top w:w="0" w:type="dxa"/>
            <w:bottom w:w="0" w:type="dxa"/>
          </w:tblCellMar>
        </w:tblPrEx>
        <w:trPr>
          <w:tblHeader/>
        </w:trPr>
        <w:tc>
          <w:tcPr>
            <w:tcW w:w="2016" w:type="dxa"/>
            <w:tcBorders>
              <w:bottom w:val="single" w:sz="12" w:space="0" w:color="auto"/>
            </w:tcBorders>
            <w:vAlign w:val="bottom"/>
          </w:tcPr>
          <w:p w:rsidR="004E0A37" w:rsidRPr="00D17401" w:rsidRDefault="004E0A37" w:rsidP="00740206">
            <w:pPr>
              <w:spacing w:before="40" w:after="40" w:line="280" w:lineRule="exact"/>
              <w:jc w:val="lowKashida"/>
              <w:rPr>
                <w:rFonts w:hint="cs"/>
                <w:i/>
                <w:iCs/>
                <w:spacing w:val="0"/>
                <w:sz w:val="18"/>
                <w:szCs w:val="26"/>
                <w:rtl/>
              </w:rPr>
            </w:pPr>
            <w:r w:rsidRPr="00D17401">
              <w:rPr>
                <w:rFonts w:hint="cs"/>
                <w:i/>
                <w:iCs/>
                <w:spacing w:val="0"/>
                <w:sz w:val="18"/>
                <w:szCs w:val="26"/>
                <w:rtl/>
              </w:rPr>
              <w:t>الإجراء المتخذ</w:t>
            </w:r>
          </w:p>
        </w:tc>
        <w:tc>
          <w:tcPr>
            <w:tcW w:w="2716" w:type="dxa"/>
            <w:tcBorders>
              <w:bottom w:val="single" w:sz="12" w:space="0" w:color="auto"/>
            </w:tcBorders>
            <w:vAlign w:val="bottom"/>
          </w:tcPr>
          <w:p w:rsidR="004E0A37" w:rsidRPr="00D17401" w:rsidRDefault="004E0A37" w:rsidP="00740206">
            <w:pPr>
              <w:spacing w:before="40" w:after="40" w:line="28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015" w:type="dxa"/>
            <w:tcBorders>
              <w:bottom w:val="single" w:sz="12" w:space="0" w:color="auto"/>
            </w:tcBorders>
            <w:vAlign w:val="bottom"/>
          </w:tcPr>
          <w:p w:rsidR="004E0A37" w:rsidRPr="00D17401" w:rsidRDefault="004E0A37" w:rsidP="00740206">
            <w:pPr>
              <w:spacing w:before="40" w:after="40" w:line="28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596" w:type="dxa"/>
            <w:tcBorders>
              <w:bottom w:val="single" w:sz="12" w:space="0" w:color="auto"/>
            </w:tcBorders>
            <w:vAlign w:val="bottom"/>
          </w:tcPr>
          <w:p w:rsidR="004E0A37" w:rsidRPr="00D17401" w:rsidRDefault="004E0A37" w:rsidP="00740206">
            <w:pPr>
              <w:spacing w:before="40" w:after="40" w:line="28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740206">
        <w:tblPrEx>
          <w:tblCellMar>
            <w:top w:w="0" w:type="dxa"/>
            <w:bottom w:w="0" w:type="dxa"/>
          </w:tblCellMar>
        </w:tblPrEx>
        <w:tc>
          <w:tcPr>
            <w:tcW w:w="2016" w:type="dxa"/>
            <w:tcBorders>
              <w:top w:val="single" w:sz="12" w:space="0" w:color="auto"/>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(6 أيار/مايو 2010)</w:t>
            </w:r>
          </w:p>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single" w:sz="12" w:space="0" w:color="auto"/>
              <w:bottom w:val="nil"/>
            </w:tcBorders>
          </w:tcPr>
          <w:p w:rsidR="004E0A37" w:rsidRPr="00D17401" w:rsidRDefault="004E0A37" w:rsidP="00740206">
            <w:pPr>
              <w:spacing w:before="40" w:after="40" w:line="280" w:lineRule="exact"/>
              <w:ind w:left="57"/>
              <w:jc w:val="lowKashida"/>
              <w:rPr>
                <w:rFonts w:hint="cs"/>
                <w:spacing w:val="0"/>
                <w:sz w:val="18"/>
                <w:szCs w:val="26"/>
                <w:rtl/>
                <w:lang/>
              </w:rPr>
            </w:pPr>
            <w:r w:rsidRPr="00D17401">
              <w:rPr>
                <w:rFonts w:hint="cs"/>
                <w:spacing w:val="0"/>
                <w:sz w:val="18"/>
                <w:szCs w:val="26"/>
                <w:rtl/>
                <w:lang/>
              </w:rPr>
              <w:t>29 أيار/مايو 2009</w:t>
            </w:r>
          </w:p>
          <w:p w:rsidR="004E0A37" w:rsidRPr="00D17401" w:rsidRDefault="004E0A37" w:rsidP="00740206">
            <w:pPr>
              <w:spacing w:before="40" w:after="40" w:line="280" w:lineRule="exact"/>
              <w:ind w:left="57"/>
              <w:jc w:val="lowKashida"/>
              <w:rPr>
                <w:rFonts w:hint="cs"/>
                <w:spacing w:val="0"/>
                <w:sz w:val="18"/>
                <w:szCs w:val="26"/>
                <w:rtl/>
                <w:lang/>
              </w:rPr>
            </w:pPr>
            <w:r w:rsidRPr="00D17401">
              <w:rPr>
                <w:spacing w:val="0"/>
                <w:sz w:val="18"/>
                <w:szCs w:val="26"/>
                <w:lang/>
              </w:rPr>
              <w:t>CAT/C/AUS/CO/3/Add.1</w:t>
            </w:r>
          </w:p>
          <w:p w:rsidR="004E0A37" w:rsidRPr="00D17401" w:rsidRDefault="004E0A37" w:rsidP="00740206">
            <w:pPr>
              <w:spacing w:before="40" w:after="40" w:line="280" w:lineRule="exact"/>
              <w:ind w:left="57"/>
              <w:jc w:val="lowKashida"/>
              <w:rPr>
                <w:rFonts w:hint="cs"/>
                <w:spacing w:val="0"/>
                <w:sz w:val="18"/>
                <w:szCs w:val="26"/>
                <w:rtl/>
                <w:lang/>
              </w:rPr>
            </w:pPr>
            <w:r w:rsidRPr="00D17401">
              <w:rPr>
                <w:rFonts w:hint="cs"/>
                <w:spacing w:val="0"/>
                <w:sz w:val="18"/>
                <w:szCs w:val="26"/>
                <w:rtl/>
                <w:lang/>
              </w:rPr>
              <w:t xml:space="preserve">12 </w:t>
            </w:r>
            <w:r w:rsidRPr="00D17401">
              <w:rPr>
                <w:rFonts w:hint="cs"/>
                <w:spacing w:val="0"/>
                <w:sz w:val="18"/>
                <w:szCs w:val="26"/>
                <w:rtl/>
              </w:rPr>
              <w:t>تشرين الثاني/نوفمبر 2010</w:t>
            </w:r>
          </w:p>
          <w:p w:rsidR="004E0A37" w:rsidRPr="00D17401" w:rsidRDefault="004E0A37" w:rsidP="00740206">
            <w:pPr>
              <w:spacing w:before="40" w:after="40" w:line="280" w:lineRule="exact"/>
              <w:ind w:left="57"/>
              <w:jc w:val="lowKashida"/>
              <w:rPr>
                <w:rFonts w:hint="cs"/>
                <w:spacing w:val="0"/>
                <w:sz w:val="18"/>
                <w:szCs w:val="26"/>
                <w:lang/>
              </w:rPr>
            </w:pPr>
            <w:r w:rsidRPr="00D17401">
              <w:rPr>
                <w:spacing w:val="0"/>
                <w:sz w:val="18"/>
                <w:szCs w:val="26"/>
                <w:lang/>
              </w:rPr>
              <w:t>CAT/C/AUS/CO/3/Add.2</w:t>
            </w:r>
          </w:p>
        </w:tc>
        <w:tc>
          <w:tcPr>
            <w:tcW w:w="2015" w:type="dxa"/>
            <w:tcBorders>
              <w:top w:val="single" w:sz="12" w:space="0" w:color="auto"/>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single" w:sz="12" w:space="0" w:color="auto"/>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أستراليا</w:t>
            </w:r>
          </w:p>
        </w:tc>
      </w:tr>
      <w:tr w:rsidR="004E0A37" w:rsidRPr="00D17401" w:rsidTr="00740206">
        <w:tblPrEx>
          <w:tblCellMar>
            <w:top w:w="0" w:type="dxa"/>
            <w:bottom w:w="0" w:type="dxa"/>
          </w:tblCellMar>
        </w:tblPrEx>
        <w:trPr>
          <w:trHeight w:val="497"/>
        </w:trPr>
        <w:tc>
          <w:tcPr>
            <w:tcW w:w="201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رسالة تذكير (12 تشرين الثاني/نوفمبر 2009)</w:t>
            </w:r>
          </w:p>
        </w:tc>
        <w:tc>
          <w:tcPr>
            <w:tcW w:w="2716" w:type="dxa"/>
            <w:tcBorders>
              <w:top w:val="nil"/>
              <w:bottom w:val="nil"/>
            </w:tcBorders>
          </w:tcPr>
          <w:p w:rsidR="004E0A37" w:rsidRPr="00D17401" w:rsidRDefault="004E0A37" w:rsidP="00740206">
            <w:pPr>
              <w:spacing w:before="40" w:after="40" w:line="280" w:lineRule="exact"/>
              <w:ind w:left="57"/>
              <w:jc w:val="lowKashida"/>
              <w:rPr>
                <w:rFonts w:hint="cs"/>
                <w:spacing w:val="0"/>
                <w:sz w:val="18"/>
                <w:szCs w:val="26"/>
                <w:lang/>
              </w:rPr>
            </w:pPr>
            <w:r w:rsidRPr="00D17401">
              <w:rPr>
                <w:rFonts w:hint="cs"/>
                <w:spacing w:val="0"/>
                <w:sz w:val="18"/>
                <w:szCs w:val="26"/>
                <w:rtl/>
              </w:rPr>
              <w:t>-</w:t>
            </w:r>
          </w:p>
        </w:tc>
        <w:tc>
          <w:tcPr>
            <w:tcW w:w="2015"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إندونيسيا</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رسالة تذكير (12 تشرين الثاني/نوفمبر 2009)</w:t>
            </w:r>
          </w:p>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(19 تشرين الثاني/نوفمبر 2010)</w:t>
            </w:r>
          </w:p>
        </w:tc>
        <w:tc>
          <w:tcPr>
            <w:tcW w:w="2716" w:type="dxa"/>
            <w:tcBorders>
              <w:top w:val="nil"/>
              <w:bottom w:val="nil"/>
            </w:tcBorders>
          </w:tcPr>
          <w:p w:rsidR="004E0A37" w:rsidRPr="00D17401" w:rsidRDefault="004E0A37" w:rsidP="00740206">
            <w:pPr>
              <w:spacing w:before="40" w:after="40" w:line="280" w:lineRule="exact"/>
              <w:ind w:left="57"/>
              <w:jc w:val="lowKashida"/>
              <w:rPr>
                <w:rFonts w:hint="cs"/>
                <w:spacing w:val="0"/>
                <w:sz w:val="18"/>
                <w:szCs w:val="26"/>
                <w:rtl/>
                <w:lang/>
              </w:rPr>
            </w:pPr>
            <w:r w:rsidRPr="00D17401">
              <w:rPr>
                <w:rFonts w:hint="cs"/>
                <w:spacing w:val="0"/>
                <w:sz w:val="18"/>
                <w:szCs w:val="26"/>
                <w:rtl/>
              </w:rPr>
              <w:t>22 كانون الأول/ديسمبر 2009</w:t>
            </w:r>
          </w:p>
          <w:p w:rsidR="004E0A37" w:rsidRPr="00D17401" w:rsidRDefault="004E0A37" w:rsidP="00740206">
            <w:pPr>
              <w:spacing w:before="40" w:after="40" w:line="280" w:lineRule="exact"/>
              <w:ind w:left="57"/>
              <w:jc w:val="lowKashida"/>
              <w:rPr>
                <w:rFonts w:hint="cs"/>
                <w:spacing w:val="0"/>
                <w:sz w:val="18"/>
                <w:szCs w:val="26"/>
                <w:lang/>
              </w:rPr>
            </w:pPr>
            <w:r w:rsidRPr="00D17401">
              <w:rPr>
                <w:spacing w:val="0"/>
                <w:sz w:val="18"/>
                <w:szCs w:val="26"/>
                <w:lang/>
              </w:rPr>
              <w:t>CAT/C/ISL/CO/3/Add.1</w:t>
            </w:r>
          </w:p>
        </w:tc>
        <w:tc>
          <w:tcPr>
            <w:tcW w:w="2015"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آيسلندا</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رسالة تذكير وطلب مزيد من التوضيح (20 تشرين الثاني/نوفمبر 2009)</w:t>
            </w:r>
          </w:p>
        </w:tc>
        <w:tc>
          <w:tcPr>
            <w:tcW w:w="2716" w:type="dxa"/>
            <w:tcBorders>
              <w:top w:val="nil"/>
              <w:bottom w:val="nil"/>
            </w:tcBorders>
          </w:tcPr>
          <w:p w:rsidR="004E0A37" w:rsidRPr="00D17401" w:rsidRDefault="004E0A37" w:rsidP="00740206">
            <w:pPr>
              <w:spacing w:before="40" w:after="40" w:line="280" w:lineRule="exact"/>
              <w:ind w:left="57"/>
              <w:jc w:val="lowKashida"/>
              <w:rPr>
                <w:rFonts w:hint="cs"/>
                <w:spacing w:val="0"/>
                <w:sz w:val="18"/>
                <w:szCs w:val="26"/>
                <w:rtl/>
              </w:rPr>
            </w:pPr>
            <w:r w:rsidRPr="00D17401">
              <w:rPr>
                <w:rFonts w:hint="cs"/>
                <w:spacing w:val="0"/>
                <w:sz w:val="18"/>
                <w:szCs w:val="26"/>
                <w:rtl/>
              </w:rPr>
              <w:t>20 أيار/مايو 2008</w:t>
            </w:r>
          </w:p>
          <w:p w:rsidR="004E0A37" w:rsidRPr="00D17401" w:rsidRDefault="004E0A37" w:rsidP="00740206">
            <w:pPr>
              <w:spacing w:before="40" w:after="40" w:line="280" w:lineRule="exact"/>
              <w:ind w:left="57"/>
              <w:jc w:val="lowKashida"/>
              <w:rPr>
                <w:rFonts w:hint="cs"/>
                <w:spacing w:val="0"/>
                <w:sz w:val="18"/>
                <w:szCs w:val="26"/>
                <w:rtl/>
              </w:rPr>
            </w:pPr>
            <w:r w:rsidRPr="00D17401">
              <w:rPr>
                <w:spacing w:val="0"/>
                <w:sz w:val="18"/>
                <w:szCs w:val="26"/>
                <w:lang/>
              </w:rPr>
              <w:t>CAT/C/DZA/CO/3/Add.1</w:t>
            </w:r>
          </w:p>
          <w:p w:rsidR="004E0A37" w:rsidRPr="00D17401" w:rsidRDefault="004E0A37" w:rsidP="00740206">
            <w:pPr>
              <w:spacing w:before="40" w:after="40" w:line="280" w:lineRule="exact"/>
              <w:ind w:left="57"/>
              <w:jc w:val="lowKashida"/>
              <w:rPr>
                <w:rFonts w:hint="cs"/>
                <w:spacing w:val="0"/>
                <w:sz w:val="18"/>
                <w:szCs w:val="26"/>
                <w:rtl/>
              </w:rPr>
            </w:pPr>
            <w:r w:rsidRPr="00D17401">
              <w:rPr>
                <w:rFonts w:hint="cs"/>
                <w:spacing w:val="0"/>
                <w:sz w:val="18"/>
                <w:szCs w:val="26"/>
                <w:rtl/>
              </w:rPr>
              <w:t>(بما في ذلك التعليقات)</w:t>
            </w:r>
          </w:p>
        </w:tc>
        <w:tc>
          <w:tcPr>
            <w:tcW w:w="2015"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الجزائر</w:t>
            </w:r>
          </w:p>
        </w:tc>
      </w:tr>
      <w:tr w:rsidR="004E0A37" w:rsidRPr="00D17401" w:rsidTr="00740206">
        <w:tblPrEx>
          <w:tblCellMar>
            <w:top w:w="0" w:type="dxa"/>
            <w:bottom w:w="0" w:type="dxa"/>
          </w:tblCellMar>
        </w:tblPrEx>
        <w:tc>
          <w:tcPr>
            <w:tcW w:w="2016" w:type="dxa"/>
            <w:tcBorders>
              <w:top w:val="nil"/>
              <w:bottom w:val="nil"/>
            </w:tcBorders>
          </w:tcPr>
          <w:p w:rsidR="004E0A37" w:rsidRPr="00542FAC" w:rsidRDefault="004E0A37" w:rsidP="00542FAC">
            <w:pPr>
              <w:spacing w:before="40" w:after="40" w:line="280" w:lineRule="exact"/>
              <w:jc w:val="lowKashida"/>
              <w:rPr>
                <w:rFonts w:hint="cs"/>
                <w:spacing w:val="-4"/>
                <w:kern w:val="0"/>
                <w:sz w:val="18"/>
                <w:szCs w:val="26"/>
                <w:rtl/>
              </w:rPr>
            </w:pPr>
            <w:r w:rsidRPr="00542FAC">
              <w:rPr>
                <w:rFonts w:hint="cs"/>
                <w:spacing w:val="-4"/>
                <w:kern w:val="0"/>
                <w:sz w:val="18"/>
                <w:szCs w:val="26"/>
                <w:rtl/>
              </w:rPr>
              <w:t>طلب مزيد من التوضيح (19 تشرين الثاني/نوفمبر 2010)</w:t>
            </w:r>
          </w:p>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المعلومات قيد الاستعراض</w:t>
            </w:r>
          </w:p>
        </w:tc>
        <w:tc>
          <w:tcPr>
            <w:tcW w:w="2716" w:type="dxa"/>
            <w:tcBorders>
              <w:top w:val="nil"/>
              <w:bottom w:val="nil"/>
            </w:tcBorders>
          </w:tcPr>
          <w:p w:rsidR="004E0A37" w:rsidRPr="00D17401" w:rsidRDefault="004E0A37" w:rsidP="00740206">
            <w:pPr>
              <w:spacing w:before="40" w:after="40" w:line="280" w:lineRule="exact"/>
              <w:ind w:left="57"/>
              <w:jc w:val="lowKashida"/>
              <w:rPr>
                <w:rFonts w:hint="cs"/>
                <w:spacing w:val="0"/>
                <w:sz w:val="18"/>
                <w:szCs w:val="26"/>
                <w:rtl/>
              </w:rPr>
            </w:pPr>
            <w:r w:rsidRPr="00D17401">
              <w:rPr>
                <w:rFonts w:hint="cs"/>
                <w:spacing w:val="0"/>
                <w:sz w:val="18"/>
                <w:szCs w:val="26"/>
                <w:rtl/>
              </w:rPr>
              <w:t xml:space="preserve">15 أيلول/سبتمبر 2009 </w:t>
            </w:r>
          </w:p>
          <w:p w:rsidR="004E0A37" w:rsidRPr="00D17401" w:rsidRDefault="004E0A37" w:rsidP="00740206">
            <w:pPr>
              <w:spacing w:before="40" w:after="40" w:line="280" w:lineRule="exact"/>
              <w:ind w:left="57"/>
              <w:jc w:val="lowKashida"/>
              <w:rPr>
                <w:rFonts w:hint="cs"/>
                <w:spacing w:val="0"/>
                <w:sz w:val="18"/>
                <w:szCs w:val="26"/>
                <w:rtl/>
              </w:rPr>
            </w:pPr>
            <w:r w:rsidRPr="00D17401">
              <w:rPr>
                <w:spacing w:val="0"/>
                <w:sz w:val="18"/>
                <w:szCs w:val="26"/>
                <w:lang/>
              </w:rPr>
              <w:t>CAT/C/MKD/CO/2/Add.1</w:t>
            </w:r>
          </w:p>
          <w:p w:rsidR="004E0A37" w:rsidRPr="00D17401" w:rsidRDefault="004E0A37" w:rsidP="00740206">
            <w:pPr>
              <w:spacing w:before="40" w:after="40" w:line="280" w:lineRule="exact"/>
              <w:ind w:left="57"/>
              <w:jc w:val="lowKashida"/>
              <w:rPr>
                <w:rFonts w:hint="cs"/>
                <w:spacing w:val="0"/>
                <w:sz w:val="18"/>
                <w:szCs w:val="26"/>
                <w:rtl/>
              </w:rPr>
            </w:pPr>
            <w:r w:rsidRPr="00D17401">
              <w:rPr>
                <w:rFonts w:hint="cs"/>
                <w:spacing w:val="0"/>
                <w:sz w:val="18"/>
                <w:szCs w:val="26"/>
                <w:rtl/>
              </w:rPr>
              <w:t>3 أيار/مايو 2011</w:t>
            </w:r>
          </w:p>
          <w:p w:rsidR="004E0A37" w:rsidRPr="00D17401" w:rsidRDefault="004E0A37" w:rsidP="00740206">
            <w:pPr>
              <w:spacing w:before="40" w:after="40" w:line="280" w:lineRule="exact"/>
              <w:ind w:left="57"/>
              <w:jc w:val="lowKashida"/>
              <w:rPr>
                <w:rFonts w:hint="cs"/>
                <w:spacing w:val="0"/>
                <w:sz w:val="18"/>
                <w:szCs w:val="26"/>
                <w:rtl/>
              </w:rPr>
            </w:pPr>
            <w:r w:rsidRPr="00D17401">
              <w:rPr>
                <w:spacing w:val="0"/>
                <w:sz w:val="18"/>
                <w:szCs w:val="26"/>
                <w:lang/>
              </w:rPr>
              <w:t>CAT/C/MKD/CO/2/Add.2</w:t>
            </w:r>
          </w:p>
        </w:tc>
        <w:tc>
          <w:tcPr>
            <w:tcW w:w="2015"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جمهوريـة مقدونـيا اليوغوسلافية السابقة</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رسالة تذكير (12 تشرين الثاني/نوفمبر 2009)</w:t>
            </w:r>
          </w:p>
        </w:tc>
        <w:tc>
          <w:tcPr>
            <w:tcW w:w="2716" w:type="dxa"/>
            <w:tcBorders>
              <w:top w:val="nil"/>
              <w:bottom w:val="nil"/>
            </w:tcBorders>
          </w:tcPr>
          <w:p w:rsidR="004E0A37" w:rsidRPr="00D17401" w:rsidRDefault="004E0A37" w:rsidP="00740206">
            <w:pPr>
              <w:spacing w:before="40" w:after="40" w:line="280" w:lineRule="exact"/>
              <w:ind w:left="57"/>
              <w:jc w:val="lowKashida"/>
              <w:rPr>
                <w:rFonts w:hint="cs"/>
                <w:spacing w:val="0"/>
                <w:sz w:val="18"/>
                <w:szCs w:val="26"/>
                <w:lang/>
              </w:rPr>
            </w:pPr>
            <w:r w:rsidRPr="00D17401">
              <w:rPr>
                <w:rFonts w:hint="cs"/>
                <w:spacing w:val="0"/>
                <w:sz w:val="18"/>
                <w:szCs w:val="26"/>
                <w:rtl/>
              </w:rPr>
              <w:t>-</w:t>
            </w:r>
          </w:p>
        </w:tc>
        <w:tc>
          <w:tcPr>
            <w:tcW w:w="2015"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زامبيا</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طلب مزيد من التوضيح (25 أيار/مايو 2011)</w:t>
            </w:r>
          </w:p>
        </w:tc>
        <w:tc>
          <w:tcPr>
            <w:tcW w:w="2716" w:type="dxa"/>
            <w:tcBorders>
              <w:top w:val="nil"/>
              <w:bottom w:val="nil"/>
            </w:tcBorders>
          </w:tcPr>
          <w:p w:rsidR="004E0A37" w:rsidRPr="00D17401" w:rsidRDefault="004E0A37" w:rsidP="00740206">
            <w:pPr>
              <w:spacing w:before="40" w:after="40" w:line="280" w:lineRule="exact"/>
              <w:ind w:left="57"/>
              <w:jc w:val="lowKashida"/>
              <w:rPr>
                <w:rFonts w:hint="cs"/>
                <w:spacing w:val="0"/>
                <w:sz w:val="18"/>
                <w:szCs w:val="26"/>
                <w:rtl/>
              </w:rPr>
            </w:pPr>
            <w:r w:rsidRPr="00D17401">
              <w:rPr>
                <w:rFonts w:hint="cs"/>
                <w:spacing w:val="0"/>
                <w:sz w:val="18"/>
                <w:szCs w:val="26"/>
                <w:rtl/>
              </w:rPr>
              <w:t>11 حزيران/يونيه 2009</w:t>
            </w:r>
          </w:p>
          <w:p w:rsidR="004E0A37" w:rsidRPr="00D17401" w:rsidRDefault="004E0A37" w:rsidP="00740206">
            <w:pPr>
              <w:spacing w:before="40" w:after="40" w:line="280" w:lineRule="exact"/>
              <w:ind w:left="57"/>
              <w:jc w:val="lowKashida"/>
              <w:rPr>
                <w:rFonts w:hint="cs"/>
                <w:spacing w:val="0"/>
                <w:sz w:val="18"/>
                <w:szCs w:val="26"/>
                <w:rtl/>
              </w:rPr>
            </w:pPr>
            <w:r w:rsidRPr="00D17401">
              <w:rPr>
                <w:spacing w:val="0"/>
                <w:sz w:val="18"/>
                <w:szCs w:val="26"/>
                <w:lang/>
              </w:rPr>
              <w:t>CAT/C/SWE/CO/5/Add.1</w:t>
            </w:r>
          </w:p>
        </w:tc>
        <w:tc>
          <w:tcPr>
            <w:tcW w:w="2015"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nil"/>
              <w:bottom w:val="nil"/>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السويد</w:t>
            </w:r>
          </w:p>
        </w:tc>
      </w:tr>
      <w:tr w:rsidR="004E0A37" w:rsidRPr="00D17401" w:rsidTr="00740206">
        <w:tblPrEx>
          <w:tblCellMar>
            <w:top w:w="0" w:type="dxa"/>
            <w:bottom w:w="0" w:type="dxa"/>
          </w:tblCellMar>
        </w:tblPrEx>
        <w:trPr>
          <w:trHeight w:val="340"/>
        </w:trPr>
        <w:tc>
          <w:tcPr>
            <w:tcW w:w="2016" w:type="dxa"/>
            <w:tcBorders>
              <w:top w:val="nil"/>
              <w:bottom w:val="single" w:sz="12" w:space="0" w:color="auto"/>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رسالة تذكير (12 تشرين الثاني/نوفمبر 2009)</w:t>
            </w:r>
          </w:p>
        </w:tc>
        <w:tc>
          <w:tcPr>
            <w:tcW w:w="2716" w:type="dxa"/>
            <w:tcBorders>
              <w:top w:val="nil"/>
              <w:bottom w:val="single" w:sz="12" w:space="0" w:color="auto"/>
            </w:tcBorders>
          </w:tcPr>
          <w:p w:rsidR="004E0A37" w:rsidRPr="00D17401" w:rsidRDefault="004E0A37" w:rsidP="00740206">
            <w:pPr>
              <w:spacing w:before="40" w:after="40" w:line="280" w:lineRule="exact"/>
              <w:ind w:left="57"/>
              <w:jc w:val="lowKashida"/>
              <w:rPr>
                <w:rFonts w:hint="cs"/>
                <w:spacing w:val="0"/>
                <w:sz w:val="18"/>
                <w:szCs w:val="26"/>
                <w:rtl/>
              </w:rPr>
            </w:pPr>
            <w:r w:rsidRPr="00D17401">
              <w:rPr>
                <w:rFonts w:hint="cs"/>
                <w:spacing w:val="0"/>
                <w:sz w:val="18"/>
                <w:szCs w:val="26"/>
                <w:rtl/>
              </w:rPr>
              <w:t>-</w:t>
            </w:r>
          </w:p>
        </w:tc>
        <w:tc>
          <w:tcPr>
            <w:tcW w:w="2015" w:type="dxa"/>
            <w:tcBorders>
              <w:top w:val="nil"/>
              <w:bottom w:val="single" w:sz="12" w:space="0" w:color="auto"/>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أيار/مايو 2009</w:t>
            </w:r>
          </w:p>
        </w:tc>
        <w:tc>
          <w:tcPr>
            <w:tcW w:w="1596" w:type="dxa"/>
            <w:tcBorders>
              <w:top w:val="nil"/>
              <w:bottom w:val="single" w:sz="12" w:space="0" w:color="auto"/>
            </w:tcBorders>
          </w:tcPr>
          <w:p w:rsidR="004E0A37" w:rsidRPr="00D17401" w:rsidRDefault="004E0A37" w:rsidP="00740206">
            <w:pPr>
              <w:spacing w:before="40" w:after="40" w:line="280" w:lineRule="exact"/>
              <w:jc w:val="lowKashida"/>
              <w:rPr>
                <w:rFonts w:hint="cs"/>
                <w:spacing w:val="0"/>
                <w:sz w:val="18"/>
                <w:szCs w:val="26"/>
                <w:rtl/>
              </w:rPr>
            </w:pPr>
            <w:r w:rsidRPr="00D17401">
              <w:rPr>
                <w:rFonts w:hint="cs"/>
                <w:spacing w:val="0"/>
                <w:sz w:val="18"/>
                <w:szCs w:val="26"/>
                <w:rtl/>
              </w:rPr>
              <w:t>كوستاريكا</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الحادية والأربعون (تشرين الثاني/نوفمبر 2008)</w:t>
      </w:r>
    </w:p>
    <w:tbl>
      <w:tblPr>
        <w:tblW w:w="8385" w:type="dxa"/>
        <w:tblInd w:w="122" w:type="dxa"/>
        <w:tblBorders>
          <w:top w:val="single" w:sz="4" w:space="0" w:color="auto"/>
          <w:bottom w:val="single" w:sz="4" w:space="0" w:color="auto"/>
          <w:insideH w:val="single" w:sz="4" w:space="0" w:color="auto"/>
        </w:tblBorders>
        <w:tblLayout w:type="fixed"/>
        <w:tblLook w:val="0000"/>
      </w:tblPr>
      <w:tblGrid>
        <w:gridCol w:w="2086"/>
        <w:gridCol w:w="2660"/>
        <w:gridCol w:w="2001"/>
        <w:gridCol w:w="1638"/>
      </w:tblGrid>
      <w:tr w:rsidR="004E0A37" w:rsidRPr="00D17401" w:rsidTr="00740206">
        <w:tblPrEx>
          <w:tblCellMar>
            <w:top w:w="0" w:type="dxa"/>
            <w:bottom w:w="0" w:type="dxa"/>
          </w:tblCellMar>
        </w:tblPrEx>
        <w:trPr>
          <w:tblHeader/>
        </w:trPr>
        <w:tc>
          <w:tcPr>
            <w:tcW w:w="2086" w:type="dxa"/>
            <w:tcBorders>
              <w:bottom w:val="single" w:sz="12" w:space="0" w:color="auto"/>
            </w:tcBorders>
            <w:vAlign w:val="bottom"/>
          </w:tcPr>
          <w:p w:rsidR="004E0A37" w:rsidRPr="00D17401" w:rsidRDefault="004E0A37" w:rsidP="00740206">
            <w:pPr>
              <w:spacing w:before="40" w:after="40" w:line="300" w:lineRule="exact"/>
              <w:jc w:val="lowKashida"/>
              <w:rPr>
                <w:rFonts w:hint="cs"/>
                <w:i/>
                <w:iCs/>
                <w:spacing w:val="0"/>
                <w:sz w:val="18"/>
                <w:szCs w:val="26"/>
                <w:rtl/>
              </w:rPr>
            </w:pPr>
            <w:r w:rsidRPr="00D17401">
              <w:rPr>
                <w:rFonts w:hint="cs"/>
                <w:i/>
                <w:iCs/>
                <w:spacing w:val="0"/>
                <w:sz w:val="18"/>
                <w:szCs w:val="26"/>
                <w:rtl/>
              </w:rPr>
              <w:t>الإجراء المتخذ</w:t>
            </w:r>
          </w:p>
        </w:tc>
        <w:tc>
          <w:tcPr>
            <w:tcW w:w="2660" w:type="dxa"/>
            <w:tcBorders>
              <w:bottom w:val="single" w:sz="12" w:space="0" w:color="auto"/>
            </w:tcBorders>
            <w:vAlign w:val="bottom"/>
          </w:tcPr>
          <w:p w:rsidR="004E0A37" w:rsidRPr="00D17401" w:rsidRDefault="004E0A37" w:rsidP="00740206">
            <w:pPr>
              <w:spacing w:before="40" w:after="40" w:line="30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001" w:type="dxa"/>
            <w:tcBorders>
              <w:bottom w:val="single" w:sz="12" w:space="0" w:color="auto"/>
            </w:tcBorders>
            <w:vAlign w:val="bottom"/>
          </w:tcPr>
          <w:p w:rsidR="004E0A37" w:rsidRPr="00D17401" w:rsidRDefault="004E0A37" w:rsidP="00740206">
            <w:pPr>
              <w:spacing w:before="40" w:after="40" w:line="30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638" w:type="dxa"/>
            <w:tcBorders>
              <w:bottom w:val="single" w:sz="12" w:space="0" w:color="auto"/>
            </w:tcBorders>
            <w:vAlign w:val="bottom"/>
          </w:tcPr>
          <w:p w:rsidR="004E0A37" w:rsidRPr="00D17401" w:rsidRDefault="004E0A37" w:rsidP="00740206">
            <w:pPr>
              <w:spacing w:before="40" w:after="40" w:line="30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740206">
        <w:tblPrEx>
          <w:tblCellMar>
            <w:top w:w="0" w:type="dxa"/>
            <w:bottom w:w="0" w:type="dxa"/>
          </w:tblCellMar>
        </w:tblPrEx>
        <w:tc>
          <w:tcPr>
            <w:tcW w:w="2086" w:type="dxa"/>
            <w:tcBorders>
              <w:top w:val="single" w:sz="12" w:space="0" w:color="auto"/>
              <w:bottom w:val="nil"/>
            </w:tcBorders>
          </w:tcPr>
          <w:p w:rsidR="004E0A37" w:rsidRPr="00D17401" w:rsidRDefault="004E0A37" w:rsidP="00740206">
            <w:pPr>
              <w:spacing w:before="40" w:after="40" w:line="300" w:lineRule="exact"/>
              <w:jc w:val="lowKashida"/>
              <w:rPr>
                <w:rFonts w:hint="cs"/>
                <w:spacing w:val="0"/>
                <w:sz w:val="18"/>
                <w:szCs w:val="26"/>
                <w:rtl/>
              </w:rPr>
            </w:pPr>
            <w:r w:rsidRPr="00D17401">
              <w:rPr>
                <w:rFonts w:hint="cs"/>
                <w:spacing w:val="0"/>
                <w:sz w:val="18"/>
                <w:szCs w:val="26"/>
                <w:rtl/>
              </w:rPr>
              <w:t>المعلومات قيد الاستعراض</w:t>
            </w:r>
          </w:p>
        </w:tc>
        <w:tc>
          <w:tcPr>
            <w:tcW w:w="2660" w:type="dxa"/>
            <w:tcBorders>
              <w:top w:val="single" w:sz="12" w:space="0" w:color="auto"/>
              <w:bottom w:val="nil"/>
            </w:tcBorders>
          </w:tcPr>
          <w:p w:rsidR="004E0A37" w:rsidRPr="00D17401" w:rsidRDefault="004E0A37" w:rsidP="00740206">
            <w:pPr>
              <w:spacing w:before="40" w:after="40" w:line="300" w:lineRule="exact"/>
              <w:ind w:left="57"/>
              <w:jc w:val="lowKashida"/>
              <w:rPr>
                <w:rFonts w:hint="cs"/>
                <w:spacing w:val="0"/>
                <w:sz w:val="18"/>
                <w:szCs w:val="26"/>
                <w:rtl/>
              </w:rPr>
            </w:pPr>
            <w:r w:rsidRPr="00D17401">
              <w:rPr>
                <w:rFonts w:hint="cs"/>
                <w:spacing w:val="0"/>
                <w:sz w:val="18"/>
                <w:szCs w:val="26"/>
                <w:rtl/>
              </w:rPr>
              <w:t xml:space="preserve">17 آذار/مارس 2010 </w:t>
            </w:r>
          </w:p>
          <w:p w:rsidR="004E0A37" w:rsidRPr="00D17401" w:rsidRDefault="004E0A37" w:rsidP="00740206">
            <w:pPr>
              <w:spacing w:before="40" w:after="40" w:line="300" w:lineRule="exact"/>
              <w:ind w:left="57"/>
              <w:jc w:val="lowKashida"/>
              <w:rPr>
                <w:rFonts w:hint="cs"/>
                <w:spacing w:val="0"/>
                <w:sz w:val="18"/>
                <w:szCs w:val="26"/>
                <w:rtl/>
              </w:rPr>
            </w:pPr>
            <w:r w:rsidRPr="00D17401">
              <w:rPr>
                <w:spacing w:val="0"/>
                <w:sz w:val="18"/>
                <w:szCs w:val="26"/>
                <w:lang/>
              </w:rPr>
              <w:t>CAT/C/BEL/CO/2/Add.1</w:t>
            </w:r>
          </w:p>
        </w:tc>
        <w:tc>
          <w:tcPr>
            <w:tcW w:w="2001" w:type="dxa"/>
            <w:tcBorders>
              <w:top w:val="single" w:sz="12" w:space="0" w:color="auto"/>
              <w:bottom w:val="nil"/>
            </w:tcBorders>
          </w:tcPr>
          <w:p w:rsidR="004E0A37" w:rsidRPr="00F64788" w:rsidRDefault="004E0A37" w:rsidP="00740206">
            <w:pPr>
              <w:spacing w:before="40" w:after="40" w:line="300" w:lineRule="exact"/>
              <w:jc w:val="lowKashida"/>
              <w:rPr>
                <w:rFonts w:hint="cs"/>
                <w:spacing w:val="-4"/>
                <w:sz w:val="18"/>
                <w:szCs w:val="26"/>
                <w:rtl/>
              </w:rPr>
            </w:pPr>
            <w:r w:rsidRPr="00F64788">
              <w:rPr>
                <w:rFonts w:hint="cs"/>
                <w:spacing w:val="-4"/>
                <w:sz w:val="18"/>
                <w:szCs w:val="26"/>
                <w:rtl/>
              </w:rPr>
              <w:t>تشرين الثاني/نوفمبر 2009</w:t>
            </w:r>
          </w:p>
        </w:tc>
        <w:tc>
          <w:tcPr>
            <w:tcW w:w="1638" w:type="dxa"/>
            <w:tcBorders>
              <w:top w:val="single" w:sz="12" w:space="0" w:color="auto"/>
              <w:bottom w:val="nil"/>
            </w:tcBorders>
          </w:tcPr>
          <w:p w:rsidR="004E0A37" w:rsidRPr="00D17401" w:rsidRDefault="004E0A37" w:rsidP="00740206">
            <w:pPr>
              <w:spacing w:before="40" w:after="40" w:line="300" w:lineRule="exact"/>
              <w:jc w:val="lowKashida"/>
              <w:rPr>
                <w:rFonts w:hint="cs"/>
                <w:spacing w:val="0"/>
                <w:sz w:val="18"/>
                <w:szCs w:val="26"/>
                <w:rtl/>
              </w:rPr>
            </w:pPr>
            <w:r w:rsidRPr="00D17401">
              <w:rPr>
                <w:rFonts w:hint="cs"/>
                <w:spacing w:val="0"/>
                <w:sz w:val="18"/>
                <w:szCs w:val="26"/>
                <w:rtl/>
              </w:rPr>
              <w:t>بلجيكا</w:t>
            </w:r>
          </w:p>
        </w:tc>
      </w:tr>
      <w:tr w:rsidR="004E0A37" w:rsidRPr="00D17401" w:rsidTr="00740206">
        <w:tblPrEx>
          <w:tblCellMar>
            <w:top w:w="0" w:type="dxa"/>
            <w:bottom w:w="0" w:type="dxa"/>
          </w:tblCellMar>
        </w:tblPrEx>
        <w:tc>
          <w:tcPr>
            <w:tcW w:w="2086" w:type="dxa"/>
            <w:tcBorders>
              <w:top w:val="nil"/>
              <w:bottom w:val="nil"/>
            </w:tcBorders>
          </w:tcPr>
          <w:p w:rsidR="004E0A37" w:rsidRPr="00D17401" w:rsidRDefault="004E0A37" w:rsidP="00740206">
            <w:pPr>
              <w:spacing w:before="40" w:after="40" w:line="300" w:lineRule="exact"/>
              <w:jc w:val="lowKashida"/>
              <w:rPr>
                <w:rFonts w:hint="cs"/>
                <w:spacing w:val="0"/>
                <w:sz w:val="18"/>
                <w:szCs w:val="26"/>
                <w:rtl/>
              </w:rPr>
            </w:pPr>
            <w:r w:rsidRPr="00D17401">
              <w:rPr>
                <w:rFonts w:hint="cs"/>
                <w:spacing w:val="0"/>
                <w:sz w:val="18"/>
                <w:szCs w:val="26"/>
                <w:rtl/>
              </w:rPr>
              <w:t>طلب مزيد من التوضيح (19 تشرين الثاني/نوفمبر 2010)</w:t>
            </w:r>
          </w:p>
        </w:tc>
        <w:tc>
          <w:tcPr>
            <w:tcW w:w="2660" w:type="dxa"/>
            <w:tcBorders>
              <w:top w:val="nil"/>
              <w:bottom w:val="nil"/>
            </w:tcBorders>
          </w:tcPr>
          <w:p w:rsidR="004E0A37" w:rsidRPr="00D17401" w:rsidRDefault="004E0A37" w:rsidP="00740206">
            <w:pPr>
              <w:spacing w:before="40" w:after="40" w:line="300" w:lineRule="exact"/>
              <w:ind w:left="57"/>
              <w:jc w:val="lowKashida"/>
              <w:rPr>
                <w:rFonts w:hint="cs"/>
                <w:spacing w:val="0"/>
                <w:sz w:val="18"/>
                <w:szCs w:val="26"/>
                <w:rtl/>
              </w:rPr>
            </w:pPr>
            <w:r w:rsidRPr="00D17401">
              <w:rPr>
                <w:rFonts w:hint="cs"/>
                <w:spacing w:val="0"/>
                <w:sz w:val="18"/>
                <w:szCs w:val="26"/>
                <w:rtl/>
              </w:rPr>
              <w:t>6 نيسان/أبريل 2009</w:t>
            </w:r>
          </w:p>
          <w:p w:rsidR="004E0A37" w:rsidRPr="00D17401" w:rsidRDefault="004E0A37" w:rsidP="00740206">
            <w:pPr>
              <w:spacing w:before="40" w:after="40" w:line="300" w:lineRule="exact"/>
              <w:ind w:left="57"/>
              <w:jc w:val="lowKashida"/>
              <w:rPr>
                <w:spacing w:val="0"/>
                <w:sz w:val="18"/>
                <w:szCs w:val="26"/>
                <w:lang/>
              </w:rPr>
            </w:pPr>
            <w:r w:rsidRPr="00D17401">
              <w:rPr>
                <w:spacing w:val="0"/>
                <w:sz w:val="18"/>
                <w:szCs w:val="26"/>
                <w:lang/>
              </w:rPr>
              <w:t>CAT/C/MNE/CO/1/Add.1</w:t>
            </w:r>
          </w:p>
        </w:tc>
        <w:tc>
          <w:tcPr>
            <w:tcW w:w="2001" w:type="dxa"/>
            <w:tcBorders>
              <w:top w:val="nil"/>
              <w:bottom w:val="nil"/>
            </w:tcBorders>
          </w:tcPr>
          <w:p w:rsidR="004E0A37" w:rsidRPr="00F64788" w:rsidRDefault="004E0A37" w:rsidP="00740206">
            <w:pPr>
              <w:spacing w:before="40" w:after="40" w:line="300" w:lineRule="exact"/>
              <w:jc w:val="lowKashida"/>
              <w:rPr>
                <w:rFonts w:hint="cs"/>
                <w:spacing w:val="-4"/>
                <w:sz w:val="18"/>
                <w:szCs w:val="26"/>
                <w:rtl/>
              </w:rPr>
            </w:pPr>
            <w:r w:rsidRPr="00F64788">
              <w:rPr>
                <w:rFonts w:hint="cs"/>
                <w:spacing w:val="-4"/>
                <w:sz w:val="18"/>
                <w:szCs w:val="26"/>
                <w:rtl/>
              </w:rPr>
              <w:t>تشرين الثاني/نوفمبر 2009</w:t>
            </w:r>
          </w:p>
        </w:tc>
        <w:tc>
          <w:tcPr>
            <w:tcW w:w="1638" w:type="dxa"/>
            <w:tcBorders>
              <w:top w:val="nil"/>
              <w:bottom w:val="nil"/>
            </w:tcBorders>
          </w:tcPr>
          <w:p w:rsidR="004E0A37" w:rsidRPr="00D17401" w:rsidRDefault="004E0A37" w:rsidP="00740206">
            <w:pPr>
              <w:spacing w:before="40" w:after="40" w:line="300" w:lineRule="exact"/>
              <w:jc w:val="lowKashida"/>
              <w:rPr>
                <w:rFonts w:hint="cs"/>
                <w:spacing w:val="0"/>
                <w:sz w:val="18"/>
                <w:szCs w:val="26"/>
                <w:rtl/>
              </w:rPr>
            </w:pPr>
            <w:r w:rsidRPr="00D17401">
              <w:rPr>
                <w:rFonts w:hint="cs"/>
                <w:spacing w:val="0"/>
                <w:sz w:val="18"/>
                <w:szCs w:val="26"/>
                <w:rtl/>
              </w:rPr>
              <w:t>الجبل الأسود</w:t>
            </w:r>
          </w:p>
        </w:tc>
      </w:tr>
      <w:tr w:rsidR="004E0A37" w:rsidRPr="00D17401" w:rsidTr="00740206">
        <w:tblPrEx>
          <w:tblCellMar>
            <w:top w:w="0" w:type="dxa"/>
            <w:bottom w:w="0" w:type="dxa"/>
          </w:tblCellMar>
        </w:tblPrEx>
        <w:tc>
          <w:tcPr>
            <w:tcW w:w="208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مزيد من التوضيح (23 أيار/مايو 2011)</w:t>
            </w:r>
          </w:p>
        </w:tc>
        <w:tc>
          <w:tcPr>
            <w:tcW w:w="266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5 شباط/فبراير 2010</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CAT/C/SRB/CO/1/Add.1</w:t>
            </w:r>
          </w:p>
        </w:tc>
        <w:tc>
          <w:tcPr>
            <w:tcW w:w="2001" w:type="dxa"/>
            <w:tcBorders>
              <w:top w:val="nil"/>
              <w:bottom w:val="nil"/>
            </w:tcBorders>
          </w:tcPr>
          <w:p w:rsidR="004E0A37" w:rsidRPr="00F64788" w:rsidRDefault="004E0A37" w:rsidP="00542FAC">
            <w:pPr>
              <w:spacing w:before="40" w:after="40" w:line="310" w:lineRule="exact"/>
              <w:jc w:val="lowKashida"/>
              <w:rPr>
                <w:rFonts w:hint="cs"/>
                <w:spacing w:val="-4"/>
                <w:sz w:val="18"/>
                <w:szCs w:val="26"/>
                <w:rtl/>
              </w:rPr>
            </w:pPr>
            <w:r w:rsidRPr="00F64788">
              <w:rPr>
                <w:rFonts w:hint="cs"/>
                <w:spacing w:val="-4"/>
                <w:sz w:val="18"/>
                <w:szCs w:val="26"/>
                <w:rtl/>
              </w:rPr>
              <w:t>تشرين الثاني/نوفمبر 2009</w:t>
            </w:r>
          </w:p>
        </w:tc>
        <w:tc>
          <w:tcPr>
            <w:tcW w:w="163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صربيا</w:t>
            </w:r>
          </w:p>
        </w:tc>
      </w:tr>
      <w:tr w:rsidR="004E0A37" w:rsidRPr="00D17401" w:rsidTr="00740206">
        <w:tblPrEx>
          <w:tblCellMar>
            <w:top w:w="0" w:type="dxa"/>
            <w:bottom w:w="0" w:type="dxa"/>
          </w:tblCellMar>
        </w:tblPrEx>
        <w:tc>
          <w:tcPr>
            <w:tcW w:w="208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مزيد من التوضيح (29 تشرين الأول/أكتوبر 2010، الصين)</w:t>
            </w:r>
          </w:p>
        </w:tc>
        <w:tc>
          <w:tcPr>
            <w:tcW w:w="266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تعليقات:</w:t>
            </w:r>
          </w:p>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17 كانون الأول/ديسمبر 2008</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CAT/C/CHN/CO/4/Add.1</w:t>
            </w:r>
          </w:p>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26 تشرين الثاني/نوفمبر 2009</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CAT/C/CHN/CO/4/Add.2</w:t>
            </w:r>
          </w:p>
        </w:tc>
        <w:tc>
          <w:tcPr>
            <w:tcW w:w="2001" w:type="dxa"/>
            <w:tcBorders>
              <w:top w:val="nil"/>
              <w:bottom w:val="nil"/>
            </w:tcBorders>
          </w:tcPr>
          <w:p w:rsidR="004E0A37" w:rsidRPr="00F64788" w:rsidRDefault="004E0A37" w:rsidP="00542FAC">
            <w:pPr>
              <w:spacing w:before="40" w:after="40" w:line="310" w:lineRule="exact"/>
              <w:jc w:val="lowKashida"/>
              <w:rPr>
                <w:rFonts w:hint="cs"/>
                <w:spacing w:val="-4"/>
                <w:sz w:val="18"/>
                <w:szCs w:val="26"/>
                <w:rtl/>
              </w:rPr>
            </w:pPr>
            <w:r w:rsidRPr="00F64788">
              <w:rPr>
                <w:rFonts w:hint="cs"/>
                <w:spacing w:val="-4"/>
                <w:sz w:val="18"/>
                <w:szCs w:val="26"/>
                <w:rtl/>
              </w:rPr>
              <w:t>تشرين الثاني/نوفمبر 2009</w:t>
            </w:r>
          </w:p>
        </w:tc>
        <w:tc>
          <w:tcPr>
            <w:tcW w:w="163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الصين</w:t>
            </w:r>
          </w:p>
        </w:tc>
      </w:tr>
      <w:tr w:rsidR="004E0A37" w:rsidRPr="00D17401" w:rsidTr="00740206">
        <w:tblPrEx>
          <w:tblCellMar>
            <w:top w:w="0" w:type="dxa"/>
            <w:bottom w:w="0" w:type="dxa"/>
          </w:tblCellMar>
        </w:tblPrEx>
        <w:tc>
          <w:tcPr>
            <w:tcW w:w="208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المزيد من التوضيحات (29 تشرين الأول/أكتوبر 2010، هونغ كونغ)</w:t>
            </w:r>
          </w:p>
        </w:tc>
        <w:tc>
          <w:tcPr>
            <w:tcW w:w="266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7 كانون الثاني/يناير 2010</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CAT/C/HKG/CO/4/Add.1</w:t>
            </w:r>
          </w:p>
        </w:tc>
        <w:tc>
          <w:tcPr>
            <w:tcW w:w="2001"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p>
        </w:tc>
        <w:tc>
          <w:tcPr>
            <w:tcW w:w="163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هونغ كونغ</w:t>
            </w:r>
          </w:p>
        </w:tc>
      </w:tr>
      <w:tr w:rsidR="004E0A37" w:rsidRPr="00D17401" w:rsidTr="00740206">
        <w:tblPrEx>
          <w:tblCellMar>
            <w:top w:w="0" w:type="dxa"/>
            <w:bottom w:w="0" w:type="dxa"/>
          </w:tblCellMar>
        </w:tblPrEx>
        <w:tc>
          <w:tcPr>
            <w:tcW w:w="2086" w:type="dxa"/>
            <w:tcBorders>
              <w:top w:val="nil"/>
              <w:bottom w:val="nil"/>
            </w:tcBorders>
          </w:tcPr>
          <w:p w:rsidR="004E0A37" w:rsidRPr="00542FAC" w:rsidRDefault="004E0A37" w:rsidP="00542FAC">
            <w:pPr>
              <w:spacing w:before="40" w:after="40" w:line="310" w:lineRule="exact"/>
              <w:jc w:val="lowKashida"/>
              <w:rPr>
                <w:rFonts w:hint="cs"/>
                <w:spacing w:val="-4"/>
                <w:kern w:val="0"/>
                <w:sz w:val="18"/>
                <w:szCs w:val="26"/>
                <w:rtl/>
              </w:rPr>
            </w:pPr>
            <w:r w:rsidRPr="00542FAC">
              <w:rPr>
                <w:rFonts w:hint="cs"/>
                <w:spacing w:val="-4"/>
                <w:kern w:val="0"/>
                <w:sz w:val="18"/>
                <w:szCs w:val="26"/>
                <w:rtl/>
              </w:rPr>
              <w:t>طلب المزيد من التوضيحات (29 تشرين الأول/أكتوبر 2010، ماكاو)</w:t>
            </w:r>
          </w:p>
        </w:tc>
        <w:tc>
          <w:tcPr>
            <w:tcW w:w="266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8 آذار/مارس 2010</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CAT/C/MAC/CO/4/Add.1</w:t>
            </w:r>
          </w:p>
          <w:p w:rsidR="004E0A37" w:rsidRPr="00D17401" w:rsidRDefault="004E0A37" w:rsidP="00542FAC">
            <w:pPr>
              <w:spacing w:before="40" w:after="40" w:line="310" w:lineRule="exact"/>
              <w:jc w:val="lowKashida"/>
              <w:rPr>
                <w:rFonts w:hint="cs"/>
                <w:spacing w:val="0"/>
                <w:sz w:val="18"/>
                <w:szCs w:val="26"/>
                <w:rtl/>
              </w:rPr>
            </w:pPr>
          </w:p>
        </w:tc>
        <w:tc>
          <w:tcPr>
            <w:tcW w:w="2001"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p>
        </w:tc>
        <w:tc>
          <w:tcPr>
            <w:tcW w:w="163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ماكاو</w:t>
            </w:r>
          </w:p>
        </w:tc>
      </w:tr>
      <w:tr w:rsidR="004E0A37" w:rsidRPr="00D17401" w:rsidTr="00740206">
        <w:tblPrEx>
          <w:tblCellMar>
            <w:top w:w="0" w:type="dxa"/>
            <w:bottom w:w="0" w:type="dxa"/>
          </w:tblCellMar>
        </w:tblPrEx>
        <w:tc>
          <w:tcPr>
            <w:tcW w:w="208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المزيد من التوضيحات (13 أيلول/سبتمبر 2010)</w:t>
            </w:r>
          </w:p>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المعلومات قيد الاستعراض</w:t>
            </w:r>
          </w:p>
        </w:tc>
        <w:tc>
          <w:tcPr>
            <w:tcW w:w="266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 xml:space="preserve">25 شباط/فبراير 2010 </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CAT/C/KAZ/CO/2/Add.1</w:t>
            </w:r>
          </w:p>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18 شباط/فبراير 2011</w:t>
            </w:r>
          </w:p>
          <w:p w:rsidR="004E0A37" w:rsidRPr="00D17401" w:rsidRDefault="004E0A37" w:rsidP="00542FAC">
            <w:pPr>
              <w:spacing w:before="40" w:after="40" w:line="310" w:lineRule="exact"/>
              <w:ind w:left="57"/>
              <w:jc w:val="lowKashida"/>
              <w:rPr>
                <w:rFonts w:hint="cs"/>
                <w:spacing w:val="0"/>
                <w:sz w:val="18"/>
                <w:szCs w:val="26"/>
              </w:rPr>
            </w:pPr>
            <w:r w:rsidRPr="00D17401">
              <w:rPr>
                <w:spacing w:val="0"/>
                <w:sz w:val="18"/>
                <w:szCs w:val="26"/>
                <w:lang/>
              </w:rPr>
              <w:t>CAT/C/KAZ/CO/2/Add.2</w:t>
            </w:r>
          </w:p>
        </w:tc>
        <w:tc>
          <w:tcPr>
            <w:tcW w:w="2001" w:type="dxa"/>
            <w:tcBorders>
              <w:top w:val="nil"/>
              <w:bottom w:val="nil"/>
            </w:tcBorders>
          </w:tcPr>
          <w:p w:rsidR="004E0A37" w:rsidRPr="00F64788" w:rsidRDefault="004E0A37" w:rsidP="00542FAC">
            <w:pPr>
              <w:spacing w:before="40" w:after="40" w:line="310" w:lineRule="exact"/>
              <w:jc w:val="lowKashida"/>
              <w:rPr>
                <w:rFonts w:hint="cs"/>
                <w:spacing w:val="-4"/>
                <w:sz w:val="18"/>
                <w:szCs w:val="26"/>
                <w:rtl/>
              </w:rPr>
            </w:pPr>
            <w:r w:rsidRPr="00F64788">
              <w:rPr>
                <w:rFonts w:hint="cs"/>
                <w:spacing w:val="-4"/>
                <w:sz w:val="18"/>
                <w:szCs w:val="26"/>
                <w:rtl/>
              </w:rPr>
              <w:t>تشرين الثاني/نوفمبر 2009</w:t>
            </w:r>
          </w:p>
        </w:tc>
        <w:tc>
          <w:tcPr>
            <w:tcW w:w="163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كازاخستان</w:t>
            </w:r>
          </w:p>
        </w:tc>
      </w:tr>
      <w:tr w:rsidR="004E0A37" w:rsidRPr="00D17401" w:rsidTr="00740206">
        <w:tblPrEx>
          <w:tblCellMar>
            <w:top w:w="0" w:type="dxa"/>
            <w:bottom w:w="0" w:type="dxa"/>
          </w:tblCellMar>
        </w:tblPrEx>
        <w:tc>
          <w:tcPr>
            <w:tcW w:w="208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المزيد من التوضيحات (4 أيار/مايو 2010)</w:t>
            </w:r>
          </w:p>
        </w:tc>
        <w:tc>
          <w:tcPr>
            <w:tcW w:w="266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30 تشرين الثاني/نوفمبر 2009</w:t>
            </w:r>
          </w:p>
          <w:p w:rsidR="004E0A37" w:rsidRPr="00D17401" w:rsidRDefault="004E0A37" w:rsidP="00542FAC">
            <w:pPr>
              <w:spacing w:before="40" w:after="40" w:line="310" w:lineRule="exact"/>
              <w:ind w:left="57"/>
              <w:jc w:val="lowKashida"/>
              <w:rPr>
                <w:rFonts w:hint="cs"/>
                <w:spacing w:val="0"/>
                <w:sz w:val="18"/>
                <w:szCs w:val="26"/>
              </w:rPr>
            </w:pPr>
            <w:r w:rsidRPr="00D17401">
              <w:rPr>
                <w:spacing w:val="0"/>
                <w:sz w:val="18"/>
                <w:szCs w:val="26"/>
                <w:lang/>
              </w:rPr>
              <w:t>CAT/C/KEN/CO/1/Add.1</w:t>
            </w:r>
          </w:p>
        </w:tc>
        <w:tc>
          <w:tcPr>
            <w:tcW w:w="2001" w:type="dxa"/>
            <w:tcBorders>
              <w:top w:val="nil"/>
              <w:bottom w:val="nil"/>
            </w:tcBorders>
          </w:tcPr>
          <w:p w:rsidR="004E0A37" w:rsidRPr="00F64788" w:rsidRDefault="004E0A37" w:rsidP="00542FAC">
            <w:pPr>
              <w:spacing w:before="40" w:after="40" w:line="310" w:lineRule="exact"/>
              <w:jc w:val="lowKashida"/>
              <w:rPr>
                <w:rFonts w:hint="cs"/>
                <w:spacing w:val="-4"/>
                <w:sz w:val="18"/>
                <w:szCs w:val="26"/>
                <w:rtl/>
              </w:rPr>
            </w:pPr>
            <w:r w:rsidRPr="00F64788">
              <w:rPr>
                <w:rFonts w:hint="cs"/>
                <w:spacing w:val="-4"/>
                <w:sz w:val="18"/>
                <w:szCs w:val="26"/>
                <w:rtl/>
              </w:rPr>
              <w:t>تشرين الثاني/نوفمبر 2009</w:t>
            </w:r>
          </w:p>
        </w:tc>
        <w:tc>
          <w:tcPr>
            <w:tcW w:w="163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كينيا</w:t>
            </w:r>
          </w:p>
        </w:tc>
      </w:tr>
      <w:tr w:rsidR="004E0A37" w:rsidRPr="00D17401" w:rsidTr="00740206">
        <w:tblPrEx>
          <w:tblCellMar>
            <w:top w:w="0" w:type="dxa"/>
            <w:bottom w:w="0" w:type="dxa"/>
          </w:tblCellMar>
        </w:tblPrEx>
        <w:trPr>
          <w:trHeight w:val="325"/>
        </w:trPr>
        <w:tc>
          <w:tcPr>
            <w:tcW w:w="2086" w:type="dxa"/>
            <w:tcBorders>
              <w:top w:val="nil"/>
              <w:bottom w:val="single" w:sz="12" w:space="0" w:color="auto"/>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رسالة تذكير (28 آذار/</w:t>
            </w:r>
            <w:r w:rsidR="00542FAC">
              <w:rPr>
                <w:rFonts w:hint="cs"/>
                <w:spacing w:val="0"/>
                <w:sz w:val="18"/>
                <w:szCs w:val="26"/>
                <w:rtl/>
              </w:rPr>
              <w:t xml:space="preserve"> </w:t>
            </w:r>
            <w:r w:rsidRPr="00D17401">
              <w:rPr>
                <w:rFonts w:hint="cs"/>
                <w:spacing w:val="0"/>
                <w:sz w:val="18"/>
                <w:szCs w:val="26"/>
                <w:rtl/>
              </w:rPr>
              <w:t>مارس 2011)</w:t>
            </w:r>
          </w:p>
        </w:tc>
        <w:tc>
          <w:tcPr>
            <w:tcW w:w="2660" w:type="dxa"/>
            <w:tcBorders>
              <w:top w:val="nil"/>
              <w:bottom w:val="single" w:sz="12" w:space="0" w:color="auto"/>
            </w:tcBorders>
          </w:tcPr>
          <w:p w:rsidR="004E0A37" w:rsidRPr="00D17401" w:rsidRDefault="004E0A37" w:rsidP="00542FAC">
            <w:pPr>
              <w:spacing w:before="40" w:after="40" w:line="310" w:lineRule="exact"/>
              <w:ind w:left="57"/>
              <w:jc w:val="lowKashida"/>
              <w:rPr>
                <w:rFonts w:hint="cs"/>
                <w:spacing w:val="0"/>
                <w:sz w:val="18"/>
                <w:szCs w:val="26"/>
                <w:rtl/>
                <w:lang/>
              </w:rPr>
            </w:pPr>
            <w:r w:rsidRPr="00D17401">
              <w:rPr>
                <w:rFonts w:hint="cs"/>
                <w:spacing w:val="0"/>
                <w:sz w:val="18"/>
                <w:szCs w:val="26"/>
                <w:rtl/>
                <w:lang/>
              </w:rPr>
              <w:t>29 آذار/مارس 2011</w:t>
            </w:r>
          </w:p>
          <w:p w:rsidR="004E0A37" w:rsidRPr="00D17401" w:rsidRDefault="004E0A37" w:rsidP="00542FAC">
            <w:pPr>
              <w:spacing w:before="40" w:after="40" w:line="310" w:lineRule="exact"/>
              <w:ind w:left="57"/>
              <w:jc w:val="lowKashida"/>
              <w:rPr>
                <w:rFonts w:hint="cs"/>
                <w:spacing w:val="0"/>
                <w:sz w:val="18"/>
                <w:szCs w:val="26"/>
                <w:lang/>
              </w:rPr>
            </w:pPr>
            <w:r w:rsidRPr="00D17401">
              <w:rPr>
                <w:spacing w:val="0"/>
                <w:sz w:val="18"/>
                <w:szCs w:val="26"/>
                <w:lang/>
              </w:rPr>
              <w:t>CAT/C/LTU/CO/2/Add.1</w:t>
            </w:r>
          </w:p>
        </w:tc>
        <w:tc>
          <w:tcPr>
            <w:tcW w:w="2001" w:type="dxa"/>
            <w:tcBorders>
              <w:top w:val="nil"/>
              <w:bottom w:val="single" w:sz="12" w:space="0" w:color="auto"/>
            </w:tcBorders>
          </w:tcPr>
          <w:p w:rsidR="004E0A37" w:rsidRPr="00F64788" w:rsidRDefault="004E0A37" w:rsidP="00542FAC">
            <w:pPr>
              <w:spacing w:before="40" w:after="40" w:line="310" w:lineRule="exact"/>
              <w:jc w:val="lowKashida"/>
              <w:rPr>
                <w:rFonts w:hint="cs"/>
                <w:spacing w:val="-4"/>
                <w:sz w:val="18"/>
                <w:szCs w:val="26"/>
                <w:rtl/>
              </w:rPr>
            </w:pPr>
            <w:r w:rsidRPr="00F64788">
              <w:rPr>
                <w:rFonts w:hint="cs"/>
                <w:spacing w:val="-4"/>
                <w:sz w:val="18"/>
                <w:szCs w:val="26"/>
                <w:rtl/>
              </w:rPr>
              <w:t>تشرين الثاني/نوفمبر 2009</w:t>
            </w:r>
          </w:p>
        </w:tc>
        <w:tc>
          <w:tcPr>
            <w:tcW w:w="1638" w:type="dxa"/>
            <w:tcBorders>
              <w:top w:val="nil"/>
              <w:bottom w:val="single" w:sz="12" w:space="0" w:color="auto"/>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ليتوانيا</w:t>
            </w:r>
          </w:p>
        </w:tc>
      </w:tr>
    </w:tbl>
    <w:p w:rsidR="004E0A37" w:rsidRPr="00BC2035" w:rsidRDefault="004E0A37" w:rsidP="00542FAC">
      <w:pPr>
        <w:pStyle w:val="H23GA"/>
        <w:spacing w:before="280"/>
        <w:rPr>
          <w:rFonts w:hint="cs"/>
          <w:spacing w:val="0"/>
          <w:rtl/>
        </w:rPr>
      </w:pPr>
      <w:r w:rsidRPr="00BC2035">
        <w:rPr>
          <w:rFonts w:hint="cs"/>
          <w:spacing w:val="0"/>
          <w:rtl/>
        </w:rPr>
        <w:tab/>
      </w:r>
      <w:r w:rsidRPr="00BC2035">
        <w:rPr>
          <w:rFonts w:hint="cs"/>
          <w:spacing w:val="0"/>
          <w:rtl/>
        </w:rPr>
        <w:tab/>
        <w:t>الدورة الثانية والأربعون (أيار/مايو 2009)</w:t>
      </w:r>
    </w:p>
    <w:tbl>
      <w:tblPr>
        <w:tblW w:w="8385" w:type="dxa"/>
        <w:tblInd w:w="136" w:type="dxa"/>
        <w:tblBorders>
          <w:top w:val="single" w:sz="4" w:space="0" w:color="auto"/>
          <w:bottom w:val="single" w:sz="4" w:space="0" w:color="auto"/>
          <w:insideH w:val="single" w:sz="4" w:space="0" w:color="auto"/>
        </w:tblBorders>
        <w:tblLayout w:type="fixed"/>
        <w:tblLook w:val="0000"/>
      </w:tblPr>
      <w:tblGrid>
        <w:gridCol w:w="1988"/>
        <w:gridCol w:w="2744"/>
        <w:gridCol w:w="2001"/>
        <w:gridCol w:w="1652"/>
      </w:tblGrid>
      <w:tr w:rsidR="004E0A37" w:rsidRPr="00D17401" w:rsidTr="00740206">
        <w:tblPrEx>
          <w:tblCellMar>
            <w:top w:w="0" w:type="dxa"/>
            <w:bottom w:w="0" w:type="dxa"/>
          </w:tblCellMar>
        </w:tblPrEx>
        <w:trPr>
          <w:tblHeader/>
        </w:trPr>
        <w:tc>
          <w:tcPr>
            <w:tcW w:w="1988" w:type="dxa"/>
            <w:tcBorders>
              <w:bottom w:val="single" w:sz="12" w:space="0" w:color="auto"/>
            </w:tcBorders>
            <w:vAlign w:val="bottom"/>
          </w:tcPr>
          <w:p w:rsidR="004E0A37" w:rsidRPr="00D17401" w:rsidRDefault="004E0A37" w:rsidP="00542FAC">
            <w:pPr>
              <w:spacing w:before="40" w:after="40" w:line="310" w:lineRule="exact"/>
              <w:jc w:val="lowKashida"/>
              <w:rPr>
                <w:rFonts w:hint="cs"/>
                <w:i/>
                <w:iCs/>
                <w:spacing w:val="0"/>
                <w:sz w:val="18"/>
                <w:szCs w:val="26"/>
                <w:rtl/>
              </w:rPr>
            </w:pPr>
            <w:r w:rsidRPr="00D17401">
              <w:rPr>
                <w:rFonts w:hint="cs"/>
                <w:i/>
                <w:iCs/>
                <w:spacing w:val="0"/>
                <w:sz w:val="18"/>
                <w:szCs w:val="26"/>
                <w:rtl/>
              </w:rPr>
              <w:t>الإجراء المتخذ</w:t>
            </w:r>
          </w:p>
        </w:tc>
        <w:tc>
          <w:tcPr>
            <w:tcW w:w="2744" w:type="dxa"/>
            <w:tcBorders>
              <w:bottom w:val="single" w:sz="12" w:space="0" w:color="auto"/>
            </w:tcBorders>
            <w:vAlign w:val="bottom"/>
          </w:tcPr>
          <w:p w:rsidR="004E0A37" w:rsidRPr="00D17401" w:rsidRDefault="004E0A37" w:rsidP="00542FAC">
            <w:pPr>
              <w:spacing w:before="40" w:after="40" w:line="31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001" w:type="dxa"/>
            <w:tcBorders>
              <w:bottom w:val="single" w:sz="12" w:space="0" w:color="auto"/>
            </w:tcBorders>
            <w:vAlign w:val="bottom"/>
          </w:tcPr>
          <w:p w:rsidR="004E0A37" w:rsidRPr="00D17401" w:rsidRDefault="004E0A37" w:rsidP="00542FAC">
            <w:pPr>
              <w:spacing w:before="40" w:after="40" w:line="31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652" w:type="dxa"/>
            <w:tcBorders>
              <w:bottom w:val="single" w:sz="12" w:space="0" w:color="auto"/>
            </w:tcBorders>
            <w:vAlign w:val="bottom"/>
          </w:tcPr>
          <w:p w:rsidR="004E0A37" w:rsidRPr="00D17401" w:rsidRDefault="004E0A37" w:rsidP="00542FAC">
            <w:pPr>
              <w:spacing w:before="40" w:after="40" w:line="31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740206">
        <w:tblPrEx>
          <w:tblCellMar>
            <w:top w:w="0" w:type="dxa"/>
            <w:bottom w:w="0" w:type="dxa"/>
          </w:tblCellMar>
        </w:tblPrEx>
        <w:tc>
          <w:tcPr>
            <w:tcW w:w="1988" w:type="dxa"/>
            <w:tcBorders>
              <w:top w:val="single" w:sz="12" w:space="0" w:color="auto"/>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مزيد من التوضيح (16 أيار/مايو 2012)</w:t>
            </w:r>
          </w:p>
        </w:tc>
        <w:tc>
          <w:tcPr>
            <w:tcW w:w="2744" w:type="dxa"/>
            <w:tcBorders>
              <w:top w:val="single" w:sz="12" w:space="0" w:color="auto"/>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3 آب/أغسطس 2010</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CAT/C/ISR/CO/4/Add.1</w:t>
            </w:r>
          </w:p>
        </w:tc>
        <w:tc>
          <w:tcPr>
            <w:tcW w:w="2001" w:type="dxa"/>
            <w:tcBorders>
              <w:top w:val="single" w:sz="12" w:space="0" w:color="auto"/>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أيار/مايو 2010</w:t>
            </w:r>
          </w:p>
        </w:tc>
        <w:tc>
          <w:tcPr>
            <w:tcW w:w="1652" w:type="dxa"/>
            <w:tcBorders>
              <w:top w:val="single" w:sz="12" w:space="0" w:color="auto"/>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إسرائيل</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رسالة تذكير (28 آذار/</w:t>
            </w:r>
            <w:r w:rsidR="00542FAC">
              <w:rPr>
                <w:rFonts w:hint="cs"/>
                <w:spacing w:val="0"/>
                <w:sz w:val="18"/>
                <w:szCs w:val="26"/>
                <w:rtl/>
              </w:rPr>
              <w:t xml:space="preserve"> </w:t>
            </w:r>
            <w:r w:rsidRPr="00D17401">
              <w:rPr>
                <w:rFonts w:hint="cs"/>
                <w:spacing w:val="0"/>
                <w:sz w:val="18"/>
                <w:szCs w:val="26"/>
                <w:rtl/>
              </w:rPr>
              <w:t>مارس 2011)</w:t>
            </w:r>
          </w:p>
        </w:tc>
        <w:tc>
          <w:tcPr>
            <w:tcW w:w="2744" w:type="dxa"/>
            <w:tcBorders>
              <w:top w:val="nil"/>
              <w:bottom w:val="nil"/>
            </w:tcBorders>
          </w:tcPr>
          <w:p w:rsidR="004E0A37" w:rsidRPr="00D17401" w:rsidRDefault="004E0A37" w:rsidP="00542FAC">
            <w:pPr>
              <w:spacing w:before="40" w:after="40" w:line="310" w:lineRule="exact"/>
              <w:ind w:left="57"/>
              <w:jc w:val="lowKashida"/>
              <w:rPr>
                <w:spacing w:val="0"/>
                <w:sz w:val="18"/>
                <w:szCs w:val="26"/>
                <w:lang/>
              </w:rPr>
            </w:pPr>
            <w:r w:rsidRPr="00D17401">
              <w:rPr>
                <w:rFonts w:hint="cs"/>
                <w:spacing w:val="0"/>
                <w:sz w:val="18"/>
                <w:szCs w:val="26"/>
                <w:rtl/>
              </w:rPr>
              <w:t>-</w:t>
            </w:r>
          </w:p>
        </w:tc>
        <w:tc>
          <w:tcPr>
            <w:tcW w:w="2001"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أيار/مايو 2010</w:t>
            </w:r>
          </w:p>
        </w:tc>
        <w:tc>
          <w:tcPr>
            <w:tcW w:w="1652"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تشاد</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رسالة تذكير (28 آذار/</w:t>
            </w:r>
            <w:r w:rsidR="00542FAC">
              <w:rPr>
                <w:rFonts w:hint="cs"/>
                <w:spacing w:val="0"/>
                <w:sz w:val="18"/>
                <w:szCs w:val="26"/>
                <w:rtl/>
              </w:rPr>
              <w:t xml:space="preserve"> </w:t>
            </w:r>
            <w:r w:rsidRPr="00D17401">
              <w:rPr>
                <w:rFonts w:hint="cs"/>
                <w:spacing w:val="0"/>
                <w:sz w:val="18"/>
                <w:szCs w:val="26"/>
                <w:rtl/>
              </w:rPr>
              <w:t>مارس 2011)</w:t>
            </w:r>
          </w:p>
        </w:tc>
        <w:tc>
          <w:tcPr>
            <w:tcW w:w="2744"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 xml:space="preserve">22 تموز/يوليه 2011 </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CAT/C/CHL/CO/5/Add.1</w:t>
            </w:r>
          </w:p>
        </w:tc>
        <w:tc>
          <w:tcPr>
            <w:tcW w:w="2001"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أيار/مايو 2010</w:t>
            </w:r>
          </w:p>
        </w:tc>
        <w:tc>
          <w:tcPr>
            <w:tcW w:w="1652"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شيلي</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مزيد من التوضيح (5 كانون الأول/ديسمبر 2011)</w:t>
            </w:r>
          </w:p>
        </w:tc>
        <w:tc>
          <w:tcPr>
            <w:tcW w:w="2744"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lang/>
              </w:rPr>
            </w:pPr>
            <w:r w:rsidRPr="00D17401">
              <w:rPr>
                <w:rFonts w:hint="cs"/>
                <w:spacing w:val="0"/>
                <w:sz w:val="18"/>
                <w:szCs w:val="26"/>
                <w:rtl/>
                <w:lang/>
              </w:rPr>
              <w:t>5 تشرين الثاني/نوفمبر 2010</w:t>
            </w:r>
          </w:p>
          <w:p w:rsidR="004E0A37" w:rsidRPr="00D17401" w:rsidRDefault="004E0A37" w:rsidP="00542FAC">
            <w:pPr>
              <w:spacing w:before="40" w:after="40" w:line="310" w:lineRule="exact"/>
              <w:ind w:left="57"/>
              <w:jc w:val="lowKashida"/>
              <w:rPr>
                <w:rFonts w:hint="cs"/>
                <w:spacing w:val="0"/>
                <w:sz w:val="18"/>
                <w:szCs w:val="26"/>
                <w:lang/>
              </w:rPr>
            </w:pPr>
            <w:r w:rsidRPr="00D17401">
              <w:rPr>
                <w:spacing w:val="0"/>
                <w:sz w:val="18"/>
                <w:szCs w:val="26"/>
                <w:lang/>
              </w:rPr>
              <w:t>CAT/C/PHL/CO/2/Add.1</w:t>
            </w:r>
          </w:p>
        </w:tc>
        <w:tc>
          <w:tcPr>
            <w:tcW w:w="2001"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أيار/مايو 2010</w:t>
            </w:r>
          </w:p>
        </w:tc>
        <w:tc>
          <w:tcPr>
            <w:tcW w:w="1652"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الفلبين</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رسالة تذكير (28 آذار/</w:t>
            </w:r>
            <w:r w:rsidR="00542FAC">
              <w:rPr>
                <w:rFonts w:hint="cs"/>
                <w:spacing w:val="0"/>
                <w:sz w:val="18"/>
                <w:szCs w:val="26"/>
                <w:rtl/>
              </w:rPr>
              <w:t xml:space="preserve"> </w:t>
            </w:r>
            <w:r w:rsidRPr="00D17401">
              <w:rPr>
                <w:rFonts w:hint="cs"/>
                <w:spacing w:val="0"/>
                <w:sz w:val="18"/>
                <w:szCs w:val="26"/>
                <w:rtl/>
              </w:rPr>
              <w:t>مارس 2011)</w:t>
            </w:r>
          </w:p>
        </w:tc>
        <w:tc>
          <w:tcPr>
            <w:tcW w:w="2744"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lang/>
              </w:rPr>
            </w:pPr>
            <w:r w:rsidRPr="00D17401">
              <w:rPr>
                <w:rFonts w:hint="cs"/>
                <w:spacing w:val="0"/>
                <w:sz w:val="18"/>
                <w:szCs w:val="26"/>
                <w:rtl/>
              </w:rPr>
              <w:t>-</w:t>
            </w:r>
          </w:p>
        </w:tc>
        <w:tc>
          <w:tcPr>
            <w:tcW w:w="2001"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أيار/مايو 2010</w:t>
            </w:r>
          </w:p>
        </w:tc>
        <w:tc>
          <w:tcPr>
            <w:tcW w:w="1652"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نيكاراغوا</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مزيد من التوضيح (7 أيار/مايو 2012)</w:t>
            </w:r>
          </w:p>
        </w:tc>
        <w:tc>
          <w:tcPr>
            <w:tcW w:w="2744"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 xml:space="preserve">19 أيار/مايو 2010 </w:t>
            </w:r>
          </w:p>
          <w:p w:rsidR="004E0A37" w:rsidRPr="00D17401" w:rsidRDefault="004E0A37" w:rsidP="00542FAC">
            <w:pPr>
              <w:spacing w:before="40" w:after="40" w:line="310" w:lineRule="exact"/>
              <w:ind w:left="57"/>
              <w:jc w:val="lowKashida"/>
              <w:rPr>
                <w:rFonts w:hint="cs"/>
                <w:spacing w:val="0"/>
                <w:sz w:val="18"/>
                <w:szCs w:val="26"/>
                <w:lang/>
              </w:rPr>
            </w:pPr>
            <w:r w:rsidRPr="00D17401">
              <w:rPr>
                <w:spacing w:val="0"/>
                <w:sz w:val="18"/>
                <w:szCs w:val="26"/>
                <w:lang/>
              </w:rPr>
              <w:t>CAT/C/NZL/CO/5/Add.1</w:t>
            </w:r>
          </w:p>
        </w:tc>
        <w:tc>
          <w:tcPr>
            <w:tcW w:w="2001"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أيار/مايو 2010</w:t>
            </w:r>
          </w:p>
        </w:tc>
        <w:tc>
          <w:tcPr>
            <w:tcW w:w="1652"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نيوزيلندا</w:t>
            </w:r>
          </w:p>
        </w:tc>
      </w:tr>
      <w:tr w:rsidR="004E0A37" w:rsidRPr="00D17401" w:rsidTr="00740206">
        <w:tblPrEx>
          <w:tblCellMar>
            <w:top w:w="0" w:type="dxa"/>
            <w:bottom w:w="0" w:type="dxa"/>
          </w:tblCellMar>
        </w:tblPrEx>
        <w:tc>
          <w:tcPr>
            <w:tcW w:w="1988" w:type="dxa"/>
            <w:tcBorders>
              <w:top w:val="nil"/>
              <w:bottom w:val="single" w:sz="12" w:space="0" w:color="auto"/>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رسالة تذكير (28 آذار/</w:t>
            </w:r>
            <w:r w:rsidR="00542FAC">
              <w:rPr>
                <w:rFonts w:hint="cs"/>
                <w:spacing w:val="0"/>
                <w:sz w:val="18"/>
                <w:szCs w:val="26"/>
                <w:rtl/>
              </w:rPr>
              <w:t xml:space="preserve"> </w:t>
            </w:r>
            <w:r w:rsidRPr="00D17401">
              <w:rPr>
                <w:rFonts w:hint="cs"/>
                <w:spacing w:val="0"/>
                <w:sz w:val="18"/>
                <w:szCs w:val="26"/>
                <w:rtl/>
              </w:rPr>
              <w:t>مارس 2011)</w:t>
            </w:r>
          </w:p>
        </w:tc>
        <w:tc>
          <w:tcPr>
            <w:tcW w:w="2744" w:type="dxa"/>
            <w:tcBorders>
              <w:top w:val="nil"/>
              <w:bottom w:val="single" w:sz="12" w:space="0" w:color="auto"/>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w:t>
            </w:r>
          </w:p>
        </w:tc>
        <w:tc>
          <w:tcPr>
            <w:tcW w:w="2001" w:type="dxa"/>
            <w:tcBorders>
              <w:top w:val="nil"/>
              <w:bottom w:val="single" w:sz="12" w:space="0" w:color="auto"/>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أيار/مايو 2010</w:t>
            </w:r>
          </w:p>
        </w:tc>
        <w:tc>
          <w:tcPr>
            <w:tcW w:w="1652" w:type="dxa"/>
            <w:tcBorders>
              <w:top w:val="nil"/>
              <w:bottom w:val="single" w:sz="12" w:space="0" w:color="auto"/>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هندوراس</w:t>
            </w:r>
          </w:p>
        </w:tc>
      </w:tr>
    </w:tbl>
    <w:p w:rsidR="004E0A37" w:rsidRPr="00BC2035" w:rsidRDefault="004E0A37" w:rsidP="00BC2035">
      <w:pPr>
        <w:pStyle w:val="H23GA"/>
        <w:rPr>
          <w:rFonts w:hint="cs"/>
          <w:spacing w:val="0"/>
          <w:rtl/>
        </w:rPr>
      </w:pPr>
      <w:r w:rsidRPr="00BC2035">
        <w:rPr>
          <w:rFonts w:hint="cs"/>
          <w:spacing w:val="0"/>
          <w:rtl/>
        </w:rPr>
        <w:tab/>
      </w:r>
      <w:r w:rsidRPr="00BC2035">
        <w:rPr>
          <w:rFonts w:hint="cs"/>
          <w:spacing w:val="0"/>
          <w:rtl/>
        </w:rPr>
        <w:tab/>
        <w:t>الدورة الثالثة والأربعون (تشرين الثاني/نوفمبر 2009)</w:t>
      </w:r>
    </w:p>
    <w:tbl>
      <w:tblPr>
        <w:tblW w:w="8441" w:type="dxa"/>
        <w:tblInd w:w="108" w:type="dxa"/>
        <w:tblBorders>
          <w:top w:val="single" w:sz="4" w:space="0" w:color="auto"/>
          <w:bottom w:val="single" w:sz="4" w:space="0" w:color="auto"/>
          <w:insideH w:val="single" w:sz="4" w:space="0" w:color="auto"/>
        </w:tblBorders>
        <w:tblLayout w:type="fixed"/>
        <w:tblLook w:val="0000"/>
      </w:tblPr>
      <w:tblGrid>
        <w:gridCol w:w="2016"/>
        <w:gridCol w:w="2730"/>
        <w:gridCol w:w="2015"/>
        <w:gridCol w:w="1680"/>
      </w:tblGrid>
      <w:tr w:rsidR="004E0A37" w:rsidRPr="00D17401" w:rsidTr="00740206">
        <w:tblPrEx>
          <w:tblCellMar>
            <w:top w:w="0" w:type="dxa"/>
            <w:bottom w:w="0" w:type="dxa"/>
          </w:tblCellMar>
        </w:tblPrEx>
        <w:trPr>
          <w:tblHeader/>
        </w:trPr>
        <w:tc>
          <w:tcPr>
            <w:tcW w:w="2016" w:type="dxa"/>
            <w:tcBorders>
              <w:bottom w:val="single" w:sz="12" w:space="0" w:color="auto"/>
            </w:tcBorders>
            <w:vAlign w:val="bottom"/>
          </w:tcPr>
          <w:p w:rsidR="004E0A37" w:rsidRPr="00D17401" w:rsidRDefault="004E0A37" w:rsidP="00542FAC">
            <w:pPr>
              <w:spacing w:before="40" w:after="40" w:line="310" w:lineRule="exact"/>
              <w:jc w:val="lowKashida"/>
              <w:rPr>
                <w:rFonts w:hint="cs"/>
                <w:i/>
                <w:iCs/>
                <w:spacing w:val="0"/>
                <w:sz w:val="18"/>
                <w:szCs w:val="26"/>
                <w:rtl/>
              </w:rPr>
            </w:pPr>
            <w:r w:rsidRPr="00D17401">
              <w:rPr>
                <w:rFonts w:hint="cs"/>
                <w:i/>
                <w:iCs/>
                <w:spacing w:val="0"/>
                <w:sz w:val="18"/>
                <w:szCs w:val="26"/>
                <w:rtl/>
              </w:rPr>
              <w:t>الإجراء المتخذ</w:t>
            </w:r>
          </w:p>
        </w:tc>
        <w:tc>
          <w:tcPr>
            <w:tcW w:w="2730" w:type="dxa"/>
            <w:tcBorders>
              <w:bottom w:val="single" w:sz="12" w:space="0" w:color="auto"/>
            </w:tcBorders>
            <w:vAlign w:val="bottom"/>
          </w:tcPr>
          <w:p w:rsidR="004E0A37" w:rsidRPr="00D17401" w:rsidRDefault="004E0A37" w:rsidP="00542FAC">
            <w:pPr>
              <w:spacing w:before="40" w:after="40" w:line="31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015" w:type="dxa"/>
            <w:tcBorders>
              <w:bottom w:val="single" w:sz="12" w:space="0" w:color="auto"/>
            </w:tcBorders>
            <w:vAlign w:val="bottom"/>
          </w:tcPr>
          <w:p w:rsidR="004E0A37" w:rsidRPr="00D17401" w:rsidRDefault="004E0A37" w:rsidP="00542FAC">
            <w:pPr>
              <w:spacing w:before="40" w:after="40" w:line="31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680" w:type="dxa"/>
            <w:tcBorders>
              <w:bottom w:val="single" w:sz="12" w:space="0" w:color="auto"/>
            </w:tcBorders>
            <w:vAlign w:val="bottom"/>
          </w:tcPr>
          <w:p w:rsidR="004E0A37" w:rsidRPr="00D17401" w:rsidRDefault="004E0A37" w:rsidP="00542FAC">
            <w:pPr>
              <w:spacing w:before="40" w:after="40" w:line="31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740206">
        <w:tblPrEx>
          <w:tblCellMar>
            <w:top w:w="0" w:type="dxa"/>
            <w:bottom w:w="0" w:type="dxa"/>
          </w:tblCellMar>
        </w:tblPrEx>
        <w:tc>
          <w:tcPr>
            <w:tcW w:w="2016" w:type="dxa"/>
            <w:tcBorders>
              <w:top w:val="single" w:sz="12" w:space="0" w:color="auto"/>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مزيد من التوضيح (2 أيار/مايو 2012)</w:t>
            </w:r>
          </w:p>
        </w:tc>
        <w:tc>
          <w:tcPr>
            <w:tcW w:w="2730" w:type="dxa"/>
            <w:tcBorders>
              <w:top w:val="single" w:sz="12" w:space="0" w:color="auto"/>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18 تشرين الثاني/نوفمبر 2010</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CAT/AZE/CO/3/Add.1</w:t>
            </w:r>
          </w:p>
        </w:tc>
        <w:tc>
          <w:tcPr>
            <w:tcW w:w="2015" w:type="dxa"/>
            <w:tcBorders>
              <w:top w:val="single" w:sz="12" w:space="0" w:color="auto"/>
              <w:bottom w:val="nil"/>
            </w:tcBorders>
          </w:tcPr>
          <w:p w:rsidR="004E0A37" w:rsidRPr="00740206" w:rsidRDefault="004E0A37" w:rsidP="00542FAC">
            <w:pPr>
              <w:spacing w:before="40" w:after="40" w:line="310" w:lineRule="exact"/>
              <w:jc w:val="lowKashida"/>
              <w:rPr>
                <w:rFonts w:hint="cs"/>
                <w:spacing w:val="-4"/>
                <w:sz w:val="18"/>
                <w:szCs w:val="26"/>
                <w:rtl/>
              </w:rPr>
            </w:pPr>
            <w:r w:rsidRPr="00740206">
              <w:rPr>
                <w:rFonts w:hint="cs"/>
                <w:spacing w:val="-4"/>
                <w:sz w:val="18"/>
                <w:szCs w:val="26"/>
                <w:rtl/>
              </w:rPr>
              <w:t>تشرين الثاني/نوفمبر 2010</w:t>
            </w:r>
          </w:p>
        </w:tc>
        <w:tc>
          <w:tcPr>
            <w:tcW w:w="1680" w:type="dxa"/>
            <w:tcBorders>
              <w:top w:val="single" w:sz="12" w:space="0" w:color="auto"/>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أذربيجان</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 xml:space="preserve">طلب مزيد من </w:t>
            </w:r>
            <w:r w:rsidR="00740206">
              <w:rPr>
                <w:rFonts w:hint="cs"/>
                <w:spacing w:val="0"/>
                <w:sz w:val="18"/>
                <w:szCs w:val="26"/>
                <w:rtl/>
              </w:rPr>
              <w:t>التوضيحات</w:t>
            </w:r>
            <w:r w:rsidRPr="00D17401">
              <w:rPr>
                <w:rFonts w:hint="cs"/>
                <w:spacing w:val="0"/>
                <w:sz w:val="18"/>
                <w:szCs w:val="26"/>
                <w:rtl/>
              </w:rPr>
              <w:t xml:space="preserve"> (5 كانون الأول/ديسمبر 2011)</w:t>
            </w:r>
          </w:p>
        </w:tc>
        <w:tc>
          <w:tcPr>
            <w:tcW w:w="273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lang/>
              </w:rPr>
            </w:pPr>
            <w:r w:rsidRPr="00D17401">
              <w:rPr>
                <w:rFonts w:hint="cs"/>
                <w:spacing w:val="0"/>
                <w:sz w:val="18"/>
                <w:szCs w:val="26"/>
                <w:rtl/>
              </w:rPr>
              <w:t>19 كانون الثاني/يناير 2011</w:t>
            </w:r>
          </w:p>
          <w:p w:rsidR="004E0A37" w:rsidRPr="00D17401" w:rsidRDefault="004E0A37" w:rsidP="00542FAC">
            <w:pPr>
              <w:spacing w:before="40" w:after="40" w:line="310" w:lineRule="exact"/>
              <w:ind w:left="57"/>
              <w:jc w:val="lowKashida"/>
              <w:rPr>
                <w:rFonts w:hint="cs"/>
                <w:spacing w:val="0"/>
                <w:sz w:val="18"/>
                <w:szCs w:val="26"/>
                <w:rtl/>
                <w:lang/>
              </w:rPr>
            </w:pPr>
            <w:r w:rsidRPr="00D17401">
              <w:rPr>
                <w:spacing w:val="0"/>
                <w:sz w:val="18"/>
                <w:szCs w:val="26"/>
                <w:lang/>
              </w:rPr>
              <w:t>CAT/C/ESP/CO/5/Add.1</w:t>
            </w:r>
          </w:p>
          <w:p w:rsidR="004E0A37" w:rsidRPr="00D17401" w:rsidRDefault="004E0A37" w:rsidP="00542FAC">
            <w:pPr>
              <w:spacing w:before="40" w:after="40" w:line="310" w:lineRule="exact"/>
              <w:ind w:left="57"/>
              <w:jc w:val="lowKashida"/>
              <w:rPr>
                <w:rFonts w:hint="cs"/>
                <w:spacing w:val="0"/>
                <w:sz w:val="18"/>
                <w:szCs w:val="26"/>
                <w:rtl/>
                <w:lang/>
              </w:rPr>
            </w:pPr>
            <w:r w:rsidRPr="00D17401">
              <w:rPr>
                <w:rFonts w:hint="cs"/>
                <w:spacing w:val="0"/>
                <w:sz w:val="18"/>
                <w:szCs w:val="26"/>
                <w:rtl/>
              </w:rPr>
              <w:t>16 شباط/فبراير 2012</w:t>
            </w:r>
          </w:p>
          <w:p w:rsidR="004E0A37" w:rsidRPr="00D17401" w:rsidRDefault="004E0A37" w:rsidP="00542FAC">
            <w:pPr>
              <w:spacing w:before="40" w:after="40" w:line="310" w:lineRule="exact"/>
              <w:ind w:left="57"/>
              <w:jc w:val="lowKashida"/>
              <w:rPr>
                <w:rFonts w:hint="cs"/>
                <w:spacing w:val="0"/>
                <w:sz w:val="18"/>
                <w:szCs w:val="26"/>
                <w:lang/>
              </w:rPr>
            </w:pPr>
            <w:r w:rsidRPr="00D17401">
              <w:rPr>
                <w:spacing w:val="0"/>
                <w:sz w:val="18"/>
                <w:szCs w:val="26"/>
                <w:lang/>
              </w:rPr>
              <w:t>CAT/C/ESP/CO/5/Add.2</w:t>
            </w:r>
          </w:p>
        </w:tc>
        <w:tc>
          <w:tcPr>
            <w:tcW w:w="2015" w:type="dxa"/>
            <w:tcBorders>
              <w:top w:val="nil"/>
              <w:bottom w:val="nil"/>
            </w:tcBorders>
          </w:tcPr>
          <w:p w:rsidR="004E0A37" w:rsidRPr="00740206" w:rsidRDefault="004E0A37" w:rsidP="00542FAC">
            <w:pPr>
              <w:spacing w:before="40" w:after="40" w:line="310" w:lineRule="exact"/>
              <w:jc w:val="lowKashida"/>
              <w:rPr>
                <w:rFonts w:hint="cs"/>
                <w:spacing w:val="-4"/>
                <w:sz w:val="18"/>
                <w:szCs w:val="26"/>
                <w:rtl/>
              </w:rPr>
            </w:pPr>
            <w:r w:rsidRPr="00740206">
              <w:rPr>
                <w:rFonts w:hint="cs"/>
                <w:spacing w:val="-4"/>
                <w:sz w:val="18"/>
                <w:szCs w:val="26"/>
                <w:rtl/>
              </w:rPr>
              <w:t>تشرين الثاني/نوفمبر 2010</w:t>
            </w:r>
          </w:p>
        </w:tc>
        <w:tc>
          <w:tcPr>
            <w:tcW w:w="1680"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إسبانيا</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طلب مزيد من التوضيح (16 نيسان/أبريل 2012)</w:t>
            </w:r>
          </w:p>
        </w:tc>
        <w:tc>
          <w:tcPr>
            <w:tcW w:w="273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14 شباط/فبراير 2011</w:t>
            </w:r>
          </w:p>
          <w:p w:rsidR="004E0A37" w:rsidRPr="00D17401" w:rsidRDefault="004E0A37" w:rsidP="00542FAC">
            <w:pPr>
              <w:spacing w:before="40" w:after="40" w:line="310" w:lineRule="exact"/>
              <w:ind w:left="57"/>
              <w:jc w:val="lowKashida"/>
              <w:rPr>
                <w:rFonts w:hint="cs"/>
                <w:spacing w:val="0"/>
                <w:sz w:val="18"/>
                <w:szCs w:val="26"/>
                <w:rtl/>
              </w:rPr>
            </w:pPr>
            <w:r w:rsidRPr="00D17401">
              <w:rPr>
                <w:spacing w:val="0"/>
                <w:sz w:val="18"/>
                <w:szCs w:val="26"/>
                <w:lang/>
              </w:rPr>
              <w:t>CAT/C/MDA/CO/2/Add.1</w:t>
            </w:r>
          </w:p>
        </w:tc>
        <w:tc>
          <w:tcPr>
            <w:tcW w:w="2015" w:type="dxa"/>
            <w:tcBorders>
              <w:top w:val="nil"/>
              <w:bottom w:val="nil"/>
            </w:tcBorders>
          </w:tcPr>
          <w:p w:rsidR="004E0A37" w:rsidRPr="00740206" w:rsidRDefault="004E0A37" w:rsidP="00542FAC">
            <w:pPr>
              <w:spacing w:before="40" w:after="40" w:line="310" w:lineRule="exact"/>
              <w:jc w:val="lowKashida"/>
              <w:rPr>
                <w:rFonts w:hint="cs"/>
                <w:spacing w:val="-4"/>
                <w:sz w:val="18"/>
                <w:szCs w:val="26"/>
                <w:rtl/>
              </w:rPr>
            </w:pPr>
            <w:r w:rsidRPr="00740206">
              <w:rPr>
                <w:rFonts w:hint="cs"/>
                <w:spacing w:val="-4"/>
                <w:sz w:val="18"/>
                <w:szCs w:val="26"/>
                <w:rtl/>
              </w:rPr>
              <w:t>تشرين الثاني/نوفمبر 2010</w:t>
            </w:r>
          </w:p>
        </w:tc>
        <w:tc>
          <w:tcPr>
            <w:tcW w:w="1680" w:type="dxa"/>
            <w:tcBorders>
              <w:top w:val="nil"/>
              <w:bottom w:val="nil"/>
            </w:tcBorders>
          </w:tcPr>
          <w:p w:rsidR="004E0A37" w:rsidRPr="00D17401" w:rsidRDefault="004E0A37" w:rsidP="00542FAC">
            <w:pPr>
              <w:spacing w:before="40" w:after="40" w:line="310" w:lineRule="exact"/>
              <w:rPr>
                <w:rFonts w:hint="cs"/>
                <w:spacing w:val="0"/>
                <w:sz w:val="18"/>
                <w:szCs w:val="26"/>
                <w:rtl/>
              </w:rPr>
            </w:pPr>
            <w:r w:rsidRPr="00D17401">
              <w:rPr>
                <w:rFonts w:hint="cs"/>
                <w:spacing w:val="0"/>
                <w:sz w:val="18"/>
                <w:szCs w:val="26"/>
                <w:rtl/>
              </w:rPr>
              <w:t xml:space="preserve">جمهورية مولدوفا </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رسالة تذكير (28 آذار/</w:t>
            </w:r>
            <w:r w:rsidR="00740206">
              <w:rPr>
                <w:rFonts w:hint="cs"/>
                <w:spacing w:val="0"/>
                <w:sz w:val="18"/>
                <w:szCs w:val="26"/>
                <w:rtl/>
              </w:rPr>
              <w:t xml:space="preserve">  </w:t>
            </w:r>
            <w:r w:rsidRPr="00D17401">
              <w:rPr>
                <w:rFonts w:hint="cs"/>
                <w:spacing w:val="0"/>
                <w:sz w:val="18"/>
                <w:szCs w:val="26"/>
                <w:rtl/>
              </w:rPr>
              <w:t>مارس 2011)</w:t>
            </w:r>
          </w:p>
        </w:tc>
        <w:tc>
          <w:tcPr>
            <w:tcW w:w="273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lang/>
              </w:rPr>
            </w:pPr>
            <w:r w:rsidRPr="00D17401">
              <w:rPr>
                <w:rFonts w:hint="cs"/>
                <w:spacing w:val="0"/>
                <w:sz w:val="18"/>
                <w:szCs w:val="26"/>
                <w:rtl/>
              </w:rPr>
              <w:t>-</w:t>
            </w:r>
          </w:p>
        </w:tc>
        <w:tc>
          <w:tcPr>
            <w:tcW w:w="2015" w:type="dxa"/>
            <w:tcBorders>
              <w:top w:val="nil"/>
              <w:bottom w:val="nil"/>
            </w:tcBorders>
          </w:tcPr>
          <w:p w:rsidR="004E0A37" w:rsidRPr="00740206" w:rsidRDefault="004E0A37" w:rsidP="00542FAC">
            <w:pPr>
              <w:spacing w:before="40" w:after="40" w:line="310" w:lineRule="exact"/>
              <w:jc w:val="lowKashida"/>
              <w:rPr>
                <w:rFonts w:hint="cs"/>
                <w:spacing w:val="-4"/>
                <w:sz w:val="18"/>
                <w:szCs w:val="26"/>
                <w:rtl/>
              </w:rPr>
            </w:pPr>
            <w:r w:rsidRPr="00740206">
              <w:rPr>
                <w:rFonts w:hint="cs"/>
                <w:spacing w:val="-4"/>
                <w:sz w:val="18"/>
                <w:szCs w:val="26"/>
                <w:rtl/>
              </w:rPr>
              <w:t>تشرين الثاني/نوفمبر 2010</w:t>
            </w:r>
          </w:p>
        </w:tc>
        <w:tc>
          <w:tcPr>
            <w:tcW w:w="1680"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السلفادور</w:t>
            </w:r>
          </w:p>
        </w:tc>
      </w:tr>
      <w:tr w:rsidR="004E0A37" w:rsidRPr="00D17401" w:rsidTr="00740206">
        <w:tblPrEx>
          <w:tblCellMar>
            <w:top w:w="0" w:type="dxa"/>
            <w:bottom w:w="0" w:type="dxa"/>
          </w:tblCellMar>
        </w:tblPrEx>
        <w:tc>
          <w:tcPr>
            <w:tcW w:w="2016"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المعلومات قيد الاستعراض</w:t>
            </w:r>
          </w:p>
        </w:tc>
        <w:tc>
          <w:tcPr>
            <w:tcW w:w="2730" w:type="dxa"/>
            <w:tcBorders>
              <w:top w:val="nil"/>
              <w:bottom w:val="nil"/>
            </w:tcBorders>
          </w:tcPr>
          <w:p w:rsidR="004E0A37" w:rsidRPr="00D17401" w:rsidRDefault="004E0A37" w:rsidP="00542FAC">
            <w:pPr>
              <w:spacing w:before="40" w:after="40" w:line="310" w:lineRule="exact"/>
              <w:ind w:left="57"/>
              <w:jc w:val="lowKashida"/>
              <w:rPr>
                <w:rFonts w:hint="cs"/>
                <w:spacing w:val="0"/>
                <w:sz w:val="18"/>
                <w:szCs w:val="26"/>
                <w:rtl/>
                <w:lang/>
              </w:rPr>
            </w:pPr>
            <w:r w:rsidRPr="00D17401">
              <w:rPr>
                <w:rFonts w:hint="cs"/>
                <w:spacing w:val="0"/>
                <w:sz w:val="18"/>
                <w:szCs w:val="26"/>
                <w:rtl/>
              </w:rPr>
              <w:t>16 تشرين الثاني/نوفمبر 2010</w:t>
            </w:r>
          </w:p>
          <w:p w:rsidR="004E0A37" w:rsidRPr="00D17401" w:rsidRDefault="004E0A37" w:rsidP="00542FAC">
            <w:pPr>
              <w:spacing w:before="40" w:after="40" w:line="310" w:lineRule="exact"/>
              <w:ind w:left="57"/>
              <w:jc w:val="lowKashida"/>
              <w:rPr>
                <w:rFonts w:hint="cs"/>
                <w:spacing w:val="0"/>
                <w:sz w:val="18"/>
                <w:szCs w:val="26"/>
                <w:lang/>
              </w:rPr>
            </w:pPr>
            <w:r w:rsidRPr="00D17401">
              <w:rPr>
                <w:spacing w:val="0"/>
                <w:sz w:val="18"/>
                <w:szCs w:val="26"/>
                <w:lang/>
              </w:rPr>
              <w:t>CAT/C/SVK/CO/2/Add.1</w:t>
            </w:r>
          </w:p>
        </w:tc>
        <w:tc>
          <w:tcPr>
            <w:tcW w:w="2015" w:type="dxa"/>
            <w:tcBorders>
              <w:top w:val="nil"/>
              <w:bottom w:val="nil"/>
            </w:tcBorders>
          </w:tcPr>
          <w:p w:rsidR="004E0A37" w:rsidRPr="00740206" w:rsidRDefault="004E0A37" w:rsidP="00542FAC">
            <w:pPr>
              <w:spacing w:before="40" w:after="40" w:line="310" w:lineRule="exact"/>
              <w:jc w:val="lowKashida"/>
              <w:rPr>
                <w:rFonts w:hint="cs"/>
                <w:spacing w:val="-4"/>
                <w:sz w:val="18"/>
                <w:szCs w:val="26"/>
                <w:rtl/>
              </w:rPr>
            </w:pPr>
            <w:r w:rsidRPr="00740206">
              <w:rPr>
                <w:rFonts w:hint="cs"/>
                <w:spacing w:val="-4"/>
                <w:sz w:val="18"/>
                <w:szCs w:val="26"/>
                <w:rtl/>
              </w:rPr>
              <w:t>تشرين الثاني/نوفمبر 2010</w:t>
            </w:r>
          </w:p>
        </w:tc>
        <w:tc>
          <w:tcPr>
            <w:tcW w:w="1680" w:type="dxa"/>
            <w:tcBorders>
              <w:top w:val="nil"/>
              <w:bottom w:val="nil"/>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سلوفاكيا</w:t>
            </w:r>
          </w:p>
        </w:tc>
      </w:tr>
      <w:tr w:rsidR="004E0A37" w:rsidRPr="00D17401" w:rsidTr="00740206">
        <w:tblPrEx>
          <w:tblCellMar>
            <w:top w:w="0" w:type="dxa"/>
            <w:bottom w:w="0" w:type="dxa"/>
          </w:tblCellMar>
        </w:tblPrEx>
        <w:tc>
          <w:tcPr>
            <w:tcW w:w="2016" w:type="dxa"/>
            <w:tcBorders>
              <w:top w:val="nil"/>
              <w:bottom w:val="single" w:sz="12" w:space="0" w:color="auto"/>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رسالة تذكير (28 آذار/</w:t>
            </w:r>
            <w:r w:rsidR="00740206">
              <w:rPr>
                <w:rFonts w:hint="cs"/>
                <w:spacing w:val="0"/>
                <w:sz w:val="18"/>
                <w:szCs w:val="26"/>
                <w:rtl/>
              </w:rPr>
              <w:t xml:space="preserve">  </w:t>
            </w:r>
            <w:r w:rsidRPr="00D17401">
              <w:rPr>
                <w:rFonts w:hint="cs"/>
                <w:spacing w:val="0"/>
                <w:sz w:val="18"/>
                <w:szCs w:val="26"/>
                <w:rtl/>
              </w:rPr>
              <w:t>مارس 2011)</w:t>
            </w:r>
          </w:p>
        </w:tc>
        <w:tc>
          <w:tcPr>
            <w:tcW w:w="2730" w:type="dxa"/>
            <w:tcBorders>
              <w:top w:val="nil"/>
              <w:bottom w:val="single" w:sz="12" w:space="0" w:color="auto"/>
            </w:tcBorders>
          </w:tcPr>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تعليقات:</w:t>
            </w:r>
          </w:p>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17 كانون الأول/ديسمبر 2009</w:t>
            </w:r>
          </w:p>
          <w:p w:rsidR="004E0A37" w:rsidRPr="00D17401" w:rsidRDefault="004E0A37" w:rsidP="00542FAC">
            <w:pPr>
              <w:spacing w:before="40" w:after="40" w:line="310" w:lineRule="exact"/>
              <w:ind w:left="57"/>
              <w:jc w:val="lowKashida"/>
              <w:rPr>
                <w:rFonts w:hint="cs"/>
                <w:spacing w:val="0"/>
                <w:sz w:val="18"/>
                <w:szCs w:val="26"/>
                <w:rtl/>
              </w:rPr>
            </w:pPr>
            <w:r w:rsidRPr="00D17401">
              <w:rPr>
                <w:rFonts w:hint="cs"/>
                <w:spacing w:val="0"/>
                <w:sz w:val="18"/>
                <w:szCs w:val="26"/>
                <w:rtl/>
              </w:rPr>
              <w:t>14 نيسان/أبريل 2011</w:t>
            </w:r>
          </w:p>
          <w:p w:rsidR="004E0A37" w:rsidRPr="00D17401" w:rsidRDefault="004E0A37" w:rsidP="00542FAC">
            <w:pPr>
              <w:spacing w:before="40" w:after="40" w:line="310" w:lineRule="exact"/>
              <w:ind w:left="57"/>
              <w:jc w:val="lowKashida"/>
              <w:rPr>
                <w:rFonts w:hint="cs"/>
                <w:spacing w:val="0"/>
                <w:sz w:val="18"/>
                <w:szCs w:val="26"/>
                <w:lang/>
              </w:rPr>
            </w:pPr>
            <w:r w:rsidRPr="00D17401">
              <w:rPr>
                <w:spacing w:val="0"/>
                <w:sz w:val="18"/>
                <w:szCs w:val="26"/>
                <w:lang/>
              </w:rPr>
              <w:t>CAT/C/COL/4/Add.1</w:t>
            </w:r>
          </w:p>
        </w:tc>
        <w:tc>
          <w:tcPr>
            <w:tcW w:w="2015" w:type="dxa"/>
            <w:tcBorders>
              <w:top w:val="nil"/>
              <w:bottom w:val="single" w:sz="12" w:space="0" w:color="auto"/>
            </w:tcBorders>
          </w:tcPr>
          <w:p w:rsidR="004E0A37" w:rsidRPr="00740206" w:rsidRDefault="004E0A37" w:rsidP="00542FAC">
            <w:pPr>
              <w:spacing w:before="40" w:after="40" w:line="310" w:lineRule="exact"/>
              <w:jc w:val="lowKashida"/>
              <w:rPr>
                <w:rFonts w:hint="cs"/>
                <w:spacing w:val="-4"/>
                <w:sz w:val="18"/>
                <w:szCs w:val="26"/>
                <w:rtl/>
              </w:rPr>
            </w:pPr>
            <w:r w:rsidRPr="00740206">
              <w:rPr>
                <w:rFonts w:hint="cs"/>
                <w:spacing w:val="-4"/>
                <w:sz w:val="18"/>
                <w:szCs w:val="26"/>
                <w:rtl/>
              </w:rPr>
              <w:t>تشرين الثاني/نوفمبر 2010</w:t>
            </w:r>
          </w:p>
        </w:tc>
        <w:tc>
          <w:tcPr>
            <w:tcW w:w="1680" w:type="dxa"/>
            <w:tcBorders>
              <w:top w:val="nil"/>
              <w:bottom w:val="single" w:sz="12" w:space="0" w:color="auto"/>
            </w:tcBorders>
          </w:tcPr>
          <w:p w:rsidR="004E0A37" w:rsidRPr="00D17401" w:rsidRDefault="004E0A37" w:rsidP="00542FAC">
            <w:pPr>
              <w:spacing w:before="40" w:after="40" w:line="310" w:lineRule="exact"/>
              <w:jc w:val="lowKashida"/>
              <w:rPr>
                <w:rFonts w:hint="cs"/>
                <w:spacing w:val="0"/>
                <w:sz w:val="18"/>
                <w:szCs w:val="26"/>
                <w:rtl/>
              </w:rPr>
            </w:pPr>
            <w:r w:rsidRPr="00D17401">
              <w:rPr>
                <w:rFonts w:hint="cs"/>
                <w:spacing w:val="0"/>
                <w:sz w:val="18"/>
                <w:szCs w:val="26"/>
                <w:rtl/>
              </w:rPr>
              <w:t xml:space="preserve">كولومبيا </w:t>
            </w:r>
          </w:p>
        </w:tc>
      </w:tr>
    </w:tbl>
    <w:p w:rsidR="004E0A37" w:rsidRPr="00BC2035" w:rsidRDefault="00740206" w:rsidP="00740206">
      <w:pPr>
        <w:pStyle w:val="H23GA"/>
        <w:rPr>
          <w:rFonts w:hint="cs"/>
          <w:spacing w:val="0"/>
          <w:rtl/>
        </w:rPr>
      </w:pPr>
      <w:r>
        <w:rPr>
          <w:spacing w:val="0"/>
          <w:rtl/>
        </w:rPr>
        <w:br w:type="page"/>
      </w:r>
      <w:r w:rsidR="004E0A37" w:rsidRPr="00BC2035">
        <w:rPr>
          <w:rFonts w:hint="cs"/>
          <w:spacing w:val="0"/>
          <w:rtl/>
        </w:rPr>
        <w:tab/>
      </w:r>
      <w:r w:rsidR="004E0A37" w:rsidRPr="00BC2035">
        <w:rPr>
          <w:rFonts w:hint="cs"/>
          <w:spacing w:val="0"/>
          <w:rtl/>
        </w:rPr>
        <w:tab/>
        <w:t>الدورة الرابعة والأربعون (أيار/مايو 2010)</w:t>
      </w:r>
    </w:p>
    <w:tbl>
      <w:tblPr>
        <w:tblW w:w="8427" w:type="dxa"/>
        <w:tblInd w:w="122" w:type="dxa"/>
        <w:tblBorders>
          <w:top w:val="single" w:sz="4" w:space="0" w:color="auto"/>
          <w:bottom w:val="single" w:sz="4" w:space="0" w:color="auto"/>
          <w:insideH w:val="single" w:sz="4" w:space="0" w:color="auto"/>
        </w:tblBorders>
        <w:tblLayout w:type="fixed"/>
        <w:tblLook w:val="0000"/>
      </w:tblPr>
      <w:tblGrid>
        <w:gridCol w:w="1988"/>
        <w:gridCol w:w="2730"/>
        <w:gridCol w:w="2015"/>
        <w:gridCol w:w="1694"/>
      </w:tblGrid>
      <w:tr w:rsidR="004E0A37" w:rsidRPr="00D17401" w:rsidTr="00740206">
        <w:tblPrEx>
          <w:tblCellMar>
            <w:top w:w="0" w:type="dxa"/>
            <w:bottom w:w="0" w:type="dxa"/>
          </w:tblCellMar>
        </w:tblPrEx>
        <w:trPr>
          <w:tblHeader/>
        </w:trPr>
        <w:tc>
          <w:tcPr>
            <w:tcW w:w="1988"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الإجراء المتخذ</w:t>
            </w:r>
          </w:p>
        </w:tc>
        <w:tc>
          <w:tcPr>
            <w:tcW w:w="2730" w:type="dxa"/>
            <w:tcBorders>
              <w:bottom w:val="single" w:sz="12" w:space="0" w:color="auto"/>
            </w:tcBorders>
            <w:vAlign w:val="bottom"/>
          </w:tcPr>
          <w:p w:rsidR="004E0A37" w:rsidRPr="00D17401" w:rsidRDefault="004E0A37" w:rsidP="00C51313">
            <w:pPr>
              <w:spacing w:before="40" w:after="40" w:line="30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015" w:type="dxa"/>
            <w:tcBorders>
              <w:bottom w:val="single" w:sz="12" w:space="0" w:color="auto"/>
            </w:tcBorders>
            <w:vAlign w:val="bottom"/>
          </w:tcPr>
          <w:p w:rsidR="004E0A37" w:rsidRPr="00D17401" w:rsidRDefault="004E0A37" w:rsidP="00C51313">
            <w:pPr>
              <w:spacing w:before="40" w:after="40" w:line="300" w:lineRule="exact"/>
              <w:rPr>
                <w:rFonts w:hint="cs"/>
                <w:i/>
                <w:iCs/>
                <w:spacing w:val="0"/>
                <w:sz w:val="18"/>
                <w:szCs w:val="26"/>
                <w:rtl/>
              </w:rPr>
            </w:pPr>
            <w:r w:rsidRPr="00D17401">
              <w:rPr>
                <w:rFonts w:hint="cs"/>
                <w:i/>
                <w:iCs/>
                <w:spacing w:val="0"/>
                <w:sz w:val="18"/>
                <w:szCs w:val="26"/>
                <w:rtl/>
              </w:rPr>
              <w:t>التاريخ المحدد لتقديم المعلومات</w:t>
            </w:r>
          </w:p>
        </w:tc>
        <w:tc>
          <w:tcPr>
            <w:tcW w:w="1694"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740206">
        <w:tblPrEx>
          <w:tblCellMar>
            <w:top w:w="0" w:type="dxa"/>
            <w:bottom w:w="0" w:type="dxa"/>
          </w:tblCellMar>
        </w:tblPrEx>
        <w:tc>
          <w:tcPr>
            <w:tcW w:w="1988"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(5 كانون الأول/ديسمبر 2011)</w:t>
            </w:r>
          </w:p>
        </w:tc>
        <w:tc>
          <w:tcPr>
            <w:tcW w:w="2730" w:type="dxa"/>
            <w:tcBorders>
              <w:top w:val="single" w:sz="12" w:space="0" w:color="auto"/>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w:t>
            </w:r>
          </w:p>
        </w:tc>
        <w:tc>
          <w:tcPr>
            <w:tcW w:w="2015"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 xml:space="preserve">الأردن </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w:t>
            </w:r>
          </w:p>
        </w:tc>
        <w:tc>
          <w:tcPr>
            <w:tcW w:w="2730"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lang/>
              </w:rPr>
            </w:pPr>
            <w:r w:rsidRPr="00D17401">
              <w:rPr>
                <w:rFonts w:hint="cs"/>
                <w:spacing w:val="0"/>
                <w:sz w:val="18"/>
                <w:szCs w:val="26"/>
                <w:rtl/>
                <w:lang/>
              </w:rPr>
              <w:t>24 آب/أغسطس 2011</w:t>
            </w:r>
          </w:p>
          <w:p w:rsidR="004E0A37" w:rsidRPr="00D17401" w:rsidRDefault="004E0A37" w:rsidP="00C51313">
            <w:pPr>
              <w:spacing w:before="40" w:after="40" w:line="300" w:lineRule="exact"/>
              <w:ind w:left="57"/>
              <w:jc w:val="lowKashida"/>
              <w:rPr>
                <w:rFonts w:hint="cs"/>
                <w:spacing w:val="0"/>
                <w:sz w:val="18"/>
                <w:szCs w:val="26"/>
                <w:lang/>
              </w:rPr>
            </w:pPr>
            <w:r w:rsidRPr="00D17401">
              <w:rPr>
                <w:spacing w:val="0"/>
                <w:sz w:val="18"/>
                <w:szCs w:val="26"/>
                <w:lang/>
              </w:rPr>
              <w:t>CAT/C/SYR/CO/1/Add.1</w:t>
            </w:r>
          </w:p>
        </w:tc>
        <w:tc>
          <w:tcPr>
            <w:tcW w:w="2015"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nil"/>
              <w:bottom w:val="nil"/>
            </w:tcBorders>
          </w:tcPr>
          <w:p w:rsidR="004E0A37" w:rsidRPr="00D17401" w:rsidRDefault="004E0A37" w:rsidP="00C51313">
            <w:pPr>
              <w:spacing w:before="40" w:after="40" w:line="300" w:lineRule="exact"/>
              <w:rPr>
                <w:rFonts w:hint="cs"/>
                <w:spacing w:val="0"/>
                <w:sz w:val="18"/>
                <w:szCs w:val="26"/>
                <w:rtl/>
              </w:rPr>
            </w:pPr>
            <w:r w:rsidRPr="00D17401">
              <w:rPr>
                <w:rFonts w:hint="cs"/>
                <w:spacing w:val="0"/>
                <w:sz w:val="18"/>
                <w:szCs w:val="26"/>
                <w:rtl/>
              </w:rPr>
              <w:t>الجمهورية العربية السورية</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(6 حزيران/</w:t>
            </w:r>
            <w:r w:rsidR="00C51313">
              <w:rPr>
                <w:rFonts w:hint="cs"/>
                <w:spacing w:val="0"/>
                <w:sz w:val="18"/>
                <w:szCs w:val="26"/>
                <w:rtl/>
              </w:rPr>
              <w:t xml:space="preserve"> </w:t>
            </w:r>
            <w:r w:rsidRPr="00D17401">
              <w:rPr>
                <w:rFonts w:hint="cs"/>
                <w:spacing w:val="0"/>
                <w:sz w:val="18"/>
                <w:szCs w:val="26"/>
                <w:rtl/>
              </w:rPr>
              <w:t>يونيه 2011)</w:t>
            </w:r>
          </w:p>
        </w:tc>
        <w:tc>
          <w:tcPr>
            <w:tcW w:w="2730"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7 حزيران/يونيه 2011</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CAT/C/CHE/CO/6/Add.1</w:t>
            </w:r>
          </w:p>
        </w:tc>
        <w:tc>
          <w:tcPr>
            <w:tcW w:w="2015"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سويسرا</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(6 حزيران/</w:t>
            </w:r>
            <w:r w:rsidR="00C51313">
              <w:rPr>
                <w:rFonts w:hint="cs"/>
                <w:spacing w:val="0"/>
                <w:sz w:val="18"/>
                <w:szCs w:val="26"/>
                <w:rtl/>
              </w:rPr>
              <w:t xml:space="preserve"> </w:t>
            </w:r>
            <w:r w:rsidRPr="00D17401">
              <w:rPr>
                <w:rFonts w:hint="cs"/>
                <w:spacing w:val="0"/>
                <w:sz w:val="18"/>
                <w:szCs w:val="26"/>
                <w:rtl/>
              </w:rPr>
              <w:t>يونيه 2011)</w:t>
            </w:r>
          </w:p>
        </w:tc>
        <w:tc>
          <w:tcPr>
            <w:tcW w:w="2730"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22 حزيران/يونيه 2011</w:t>
            </w:r>
          </w:p>
          <w:p w:rsidR="004E0A37" w:rsidRPr="00D17401" w:rsidRDefault="004E0A37" w:rsidP="00C51313">
            <w:pPr>
              <w:spacing w:before="40" w:after="40" w:line="300" w:lineRule="exact"/>
              <w:ind w:left="57"/>
              <w:jc w:val="lowKashida"/>
              <w:rPr>
                <w:rFonts w:hint="cs"/>
                <w:spacing w:val="0"/>
                <w:sz w:val="18"/>
                <w:szCs w:val="26"/>
              </w:rPr>
            </w:pPr>
            <w:r w:rsidRPr="00D17401">
              <w:rPr>
                <w:spacing w:val="0"/>
                <w:sz w:val="18"/>
                <w:szCs w:val="26"/>
                <w:lang/>
              </w:rPr>
              <w:t>CAT/C/FRA/4-6/Add.1</w:t>
            </w:r>
          </w:p>
        </w:tc>
        <w:tc>
          <w:tcPr>
            <w:tcW w:w="2015"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فرنسا</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(6 حزيران/</w:t>
            </w:r>
            <w:r w:rsidR="00C51313">
              <w:rPr>
                <w:rFonts w:hint="cs"/>
                <w:spacing w:val="0"/>
                <w:sz w:val="18"/>
                <w:szCs w:val="26"/>
                <w:rtl/>
              </w:rPr>
              <w:t xml:space="preserve"> </w:t>
            </w:r>
            <w:r w:rsidRPr="00D17401">
              <w:rPr>
                <w:rFonts w:hint="cs"/>
                <w:spacing w:val="0"/>
                <w:sz w:val="18"/>
                <w:szCs w:val="26"/>
                <w:rtl/>
              </w:rPr>
              <w:t>يونيه 2011)</w:t>
            </w:r>
          </w:p>
        </w:tc>
        <w:tc>
          <w:tcPr>
            <w:tcW w:w="2730"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lang/>
              </w:rPr>
            </w:pPr>
            <w:r w:rsidRPr="00D17401">
              <w:rPr>
                <w:rFonts w:hint="cs"/>
                <w:spacing w:val="0"/>
                <w:sz w:val="18"/>
                <w:szCs w:val="26"/>
                <w:rtl/>
              </w:rPr>
              <w:t>-</w:t>
            </w:r>
          </w:p>
        </w:tc>
        <w:tc>
          <w:tcPr>
            <w:tcW w:w="2015"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الكاميرون</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w:t>
            </w:r>
          </w:p>
        </w:tc>
        <w:tc>
          <w:tcPr>
            <w:tcW w:w="2730"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تعليقات:</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22 كانون الأول/ديسمبر 2009</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CAT/C/LIE/CO/3/Add.1</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 xml:space="preserve">18 أيار/مايو 2011 </w:t>
            </w:r>
          </w:p>
          <w:p w:rsidR="004E0A37" w:rsidRPr="00D17401" w:rsidRDefault="004E0A37" w:rsidP="00C51313">
            <w:pPr>
              <w:spacing w:before="40" w:after="40" w:line="300" w:lineRule="exact"/>
              <w:ind w:left="57"/>
              <w:jc w:val="lowKashida"/>
              <w:rPr>
                <w:rFonts w:hint="cs"/>
                <w:spacing w:val="0"/>
                <w:sz w:val="18"/>
                <w:szCs w:val="26"/>
                <w:lang/>
              </w:rPr>
            </w:pPr>
            <w:r w:rsidRPr="00D17401">
              <w:rPr>
                <w:spacing w:val="0"/>
                <w:sz w:val="18"/>
                <w:szCs w:val="26"/>
                <w:lang/>
              </w:rPr>
              <w:t>CAT/C/LIE/CO/3/Add.2</w:t>
            </w:r>
          </w:p>
        </w:tc>
        <w:tc>
          <w:tcPr>
            <w:tcW w:w="2015"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ليختنشتاين</w:t>
            </w:r>
          </w:p>
        </w:tc>
      </w:tr>
      <w:tr w:rsidR="004E0A37" w:rsidRPr="00D17401" w:rsidTr="00740206">
        <w:tblPrEx>
          <w:tblCellMar>
            <w:top w:w="0" w:type="dxa"/>
            <w:bottom w:w="0" w:type="dxa"/>
          </w:tblCellMar>
        </w:tblPrEx>
        <w:tc>
          <w:tcPr>
            <w:tcW w:w="198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(6 حزيران/</w:t>
            </w:r>
            <w:r w:rsidR="00C51313">
              <w:rPr>
                <w:rFonts w:hint="cs"/>
                <w:spacing w:val="0"/>
                <w:sz w:val="18"/>
                <w:szCs w:val="26"/>
                <w:rtl/>
              </w:rPr>
              <w:t xml:space="preserve"> </w:t>
            </w:r>
            <w:r w:rsidRPr="00D17401">
              <w:rPr>
                <w:rFonts w:hint="cs"/>
                <w:spacing w:val="0"/>
                <w:sz w:val="18"/>
                <w:szCs w:val="26"/>
                <w:rtl/>
              </w:rPr>
              <w:t>يونيه 2011)</w:t>
            </w:r>
          </w:p>
        </w:tc>
        <w:tc>
          <w:tcPr>
            <w:tcW w:w="2730"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تعليقات:</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6 نيسان/أبريل 2011</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CAT/C/AUT/CO/4-5/Add.1</w:t>
            </w:r>
          </w:p>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 xml:space="preserve">29 تشرين الثاني/نوفمبر 2011 </w:t>
            </w:r>
          </w:p>
          <w:p w:rsidR="004E0A37" w:rsidRPr="00D17401" w:rsidRDefault="004E0A37" w:rsidP="00C51313">
            <w:pPr>
              <w:spacing w:before="40" w:after="40" w:line="300" w:lineRule="exact"/>
              <w:ind w:left="57"/>
              <w:jc w:val="lowKashida"/>
              <w:rPr>
                <w:spacing w:val="0"/>
                <w:sz w:val="18"/>
                <w:szCs w:val="26"/>
              </w:rPr>
            </w:pPr>
            <w:r w:rsidRPr="00D17401">
              <w:rPr>
                <w:spacing w:val="0"/>
                <w:sz w:val="18"/>
                <w:szCs w:val="26"/>
                <w:lang/>
              </w:rPr>
              <w:t>CAT/C/AUT/CO/4-5/Add.2</w:t>
            </w:r>
          </w:p>
        </w:tc>
        <w:tc>
          <w:tcPr>
            <w:tcW w:w="2015"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النمسا</w:t>
            </w:r>
          </w:p>
        </w:tc>
      </w:tr>
      <w:tr w:rsidR="004E0A37" w:rsidRPr="00D17401" w:rsidTr="00740206">
        <w:tblPrEx>
          <w:tblCellMar>
            <w:top w:w="0" w:type="dxa"/>
            <w:bottom w:w="0" w:type="dxa"/>
          </w:tblCellMar>
        </w:tblPrEx>
        <w:tc>
          <w:tcPr>
            <w:tcW w:w="1988"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(5 كانون الأول/ديسمبر 2011)</w:t>
            </w:r>
          </w:p>
        </w:tc>
        <w:tc>
          <w:tcPr>
            <w:tcW w:w="2730" w:type="dxa"/>
            <w:tcBorders>
              <w:top w:val="nil"/>
              <w:bottom w:val="single" w:sz="12" w:space="0" w:color="auto"/>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w:t>
            </w:r>
          </w:p>
        </w:tc>
        <w:tc>
          <w:tcPr>
            <w:tcW w:w="2015"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أيار/مايو 2011</w:t>
            </w:r>
          </w:p>
        </w:tc>
        <w:tc>
          <w:tcPr>
            <w:tcW w:w="1694"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اليمن</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الخامسة والأربعون (تشرين الثاني/نوفمبر 2010)</w:t>
      </w:r>
    </w:p>
    <w:tbl>
      <w:tblPr>
        <w:tblW w:w="8427" w:type="dxa"/>
        <w:tblInd w:w="122" w:type="dxa"/>
        <w:tblBorders>
          <w:top w:val="single" w:sz="4" w:space="0" w:color="auto"/>
          <w:bottom w:val="single" w:sz="4" w:space="0" w:color="auto"/>
          <w:insideH w:val="single" w:sz="4" w:space="0" w:color="auto"/>
        </w:tblBorders>
        <w:tblLayout w:type="fixed"/>
        <w:tblLook w:val="0000"/>
      </w:tblPr>
      <w:tblGrid>
        <w:gridCol w:w="1960"/>
        <w:gridCol w:w="2758"/>
        <w:gridCol w:w="2268"/>
        <w:gridCol w:w="1441"/>
      </w:tblGrid>
      <w:tr w:rsidR="004E0A37" w:rsidRPr="00D17401" w:rsidTr="00C51313">
        <w:tblPrEx>
          <w:tblCellMar>
            <w:top w:w="0" w:type="dxa"/>
            <w:bottom w:w="0" w:type="dxa"/>
          </w:tblCellMar>
        </w:tblPrEx>
        <w:trPr>
          <w:tblHeader/>
        </w:trPr>
        <w:tc>
          <w:tcPr>
            <w:tcW w:w="1960"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الإجراء المتخذ</w:t>
            </w:r>
          </w:p>
        </w:tc>
        <w:tc>
          <w:tcPr>
            <w:tcW w:w="2758" w:type="dxa"/>
            <w:tcBorders>
              <w:bottom w:val="single" w:sz="12" w:space="0" w:color="auto"/>
            </w:tcBorders>
            <w:vAlign w:val="bottom"/>
          </w:tcPr>
          <w:p w:rsidR="004E0A37" w:rsidRPr="00D17401" w:rsidRDefault="004E0A37" w:rsidP="00C51313">
            <w:pPr>
              <w:spacing w:before="40" w:after="40" w:line="30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268"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التاريخ المحدد لتقديم المعلومات</w:t>
            </w:r>
          </w:p>
        </w:tc>
        <w:tc>
          <w:tcPr>
            <w:tcW w:w="1441"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C51313">
        <w:tblPrEx>
          <w:tblCellMar>
            <w:top w:w="0" w:type="dxa"/>
            <w:bottom w:w="0" w:type="dxa"/>
          </w:tblCellMar>
        </w:tblPrEx>
        <w:tc>
          <w:tcPr>
            <w:tcW w:w="1960"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(5 كانون الأول/ديسمبر 2011)</w:t>
            </w:r>
          </w:p>
        </w:tc>
        <w:tc>
          <w:tcPr>
            <w:tcW w:w="2758" w:type="dxa"/>
            <w:tcBorders>
              <w:top w:val="single" w:sz="12" w:space="0" w:color="auto"/>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w:t>
            </w:r>
          </w:p>
        </w:tc>
        <w:tc>
          <w:tcPr>
            <w:tcW w:w="2268"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2011</w:t>
            </w:r>
          </w:p>
        </w:tc>
        <w:tc>
          <w:tcPr>
            <w:tcW w:w="1441"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 xml:space="preserve">إثيوبيا </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(20 كانون الأول/ديسمبر 2011)</w:t>
            </w:r>
          </w:p>
        </w:tc>
        <w:tc>
          <w:tcPr>
            <w:tcW w:w="2758" w:type="dxa"/>
            <w:tcBorders>
              <w:top w:val="nil"/>
              <w:bottom w:val="nil"/>
            </w:tcBorders>
          </w:tcPr>
          <w:p w:rsidR="004E0A37" w:rsidRPr="00D17401" w:rsidRDefault="004E0A37" w:rsidP="00C51313">
            <w:pPr>
              <w:spacing w:before="40" w:after="40" w:line="300" w:lineRule="exact"/>
              <w:ind w:left="57"/>
              <w:jc w:val="lowKashida"/>
              <w:rPr>
                <w:spacing w:val="0"/>
                <w:sz w:val="18"/>
                <w:szCs w:val="26"/>
                <w:lang/>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2011</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 xml:space="preserve">إكوادور </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(5 كانون الأول/ديسمبر 2011)</w:t>
            </w:r>
          </w:p>
        </w:tc>
        <w:tc>
          <w:tcPr>
            <w:tcW w:w="2758" w:type="dxa"/>
            <w:tcBorders>
              <w:top w:val="nil"/>
              <w:bottom w:val="nil"/>
            </w:tcBorders>
          </w:tcPr>
          <w:p w:rsidR="004E0A37" w:rsidRPr="00D17401" w:rsidRDefault="004E0A37" w:rsidP="00C51313">
            <w:pPr>
              <w:spacing w:before="40" w:after="40" w:line="300" w:lineRule="exact"/>
              <w:ind w:left="57"/>
              <w:jc w:val="lowKashida"/>
              <w:rPr>
                <w:spacing w:val="0"/>
                <w:sz w:val="18"/>
                <w:szCs w:val="26"/>
                <w:lang/>
              </w:rPr>
            </w:pPr>
            <w:r w:rsidRPr="00D17401">
              <w:rPr>
                <w:rFonts w:hint="cs"/>
                <w:spacing w:val="0"/>
                <w:sz w:val="18"/>
                <w:szCs w:val="26"/>
                <w:rtl/>
                <w:lang/>
              </w:rPr>
              <w:t>10 كانون الثاني/يناير 2012</w:t>
            </w:r>
          </w:p>
          <w:p w:rsidR="004E0A37" w:rsidRPr="00D17401" w:rsidRDefault="004E0A37" w:rsidP="00C51313">
            <w:pPr>
              <w:spacing w:before="40" w:after="40" w:line="300" w:lineRule="exact"/>
              <w:ind w:left="57"/>
              <w:jc w:val="lowKashida"/>
              <w:rPr>
                <w:rFonts w:hint="cs"/>
                <w:spacing w:val="0"/>
                <w:sz w:val="18"/>
                <w:szCs w:val="26"/>
                <w:rtl/>
              </w:rPr>
            </w:pPr>
            <w:r w:rsidRPr="00D17401">
              <w:rPr>
                <w:spacing w:val="0"/>
                <w:sz w:val="18"/>
                <w:szCs w:val="26"/>
                <w:lang/>
              </w:rPr>
              <w:t>CAT/C/BIH/CO/2-5/Add.1</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2011</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البوسنة والهرسك</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(20 كانون الأول/ديسمبر 2011)</w:t>
            </w:r>
          </w:p>
        </w:tc>
        <w:tc>
          <w:tcPr>
            <w:tcW w:w="2758" w:type="dxa"/>
            <w:tcBorders>
              <w:top w:val="nil"/>
              <w:bottom w:val="nil"/>
            </w:tcBorders>
          </w:tcPr>
          <w:p w:rsidR="004E0A37" w:rsidRPr="00D17401" w:rsidRDefault="004E0A37" w:rsidP="00C51313">
            <w:pPr>
              <w:spacing w:before="40" w:after="40" w:line="300" w:lineRule="exact"/>
              <w:ind w:left="57"/>
              <w:jc w:val="lowKashida"/>
              <w:rPr>
                <w:spacing w:val="0"/>
                <w:sz w:val="18"/>
                <w:szCs w:val="26"/>
                <w:lang/>
              </w:rPr>
            </w:pPr>
            <w:r w:rsidRPr="00D17401">
              <w:rPr>
                <w:spacing w:val="0"/>
                <w:sz w:val="18"/>
                <w:szCs w:val="26"/>
                <w:lang/>
              </w:rPr>
              <w:t>5</w:t>
            </w:r>
            <w:r w:rsidRPr="00D17401">
              <w:rPr>
                <w:rFonts w:hint="cs"/>
                <w:spacing w:val="0"/>
                <w:sz w:val="18"/>
                <w:szCs w:val="26"/>
                <w:rtl/>
                <w:lang/>
              </w:rPr>
              <w:t xml:space="preserve"> شباط/فبراير 2012</w:t>
            </w:r>
          </w:p>
          <w:p w:rsidR="004E0A37" w:rsidRPr="00D17401" w:rsidRDefault="004E0A37" w:rsidP="00C51313">
            <w:pPr>
              <w:spacing w:before="40" w:after="40" w:line="300" w:lineRule="exact"/>
              <w:ind w:left="57"/>
              <w:jc w:val="lowKashida"/>
              <w:rPr>
                <w:rFonts w:hint="cs"/>
                <w:spacing w:val="0"/>
                <w:sz w:val="18"/>
                <w:szCs w:val="26"/>
                <w:lang/>
              </w:rPr>
            </w:pPr>
            <w:r w:rsidRPr="00D17401">
              <w:rPr>
                <w:spacing w:val="0"/>
                <w:sz w:val="18"/>
                <w:szCs w:val="26"/>
                <w:lang/>
              </w:rPr>
              <w:t>CAT/C/TUR/CO/3/Add.1</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2011</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تركيا</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(20 كانون الأول/ديسمبر 2011)</w:t>
            </w:r>
          </w:p>
        </w:tc>
        <w:tc>
          <w:tcPr>
            <w:tcW w:w="2758"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lang/>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2011</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كمبوديا</w:t>
            </w:r>
          </w:p>
        </w:tc>
      </w:tr>
      <w:tr w:rsidR="004E0A37" w:rsidRPr="00D17401" w:rsidTr="00C51313">
        <w:tblPrEx>
          <w:tblCellMar>
            <w:top w:w="0" w:type="dxa"/>
            <w:bottom w:w="0" w:type="dxa"/>
          </w:tblCellMar>
        </w:tblPrEx>
        <w:tc>
          <w:tcPr>
            <w:tcW w:w="1960"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(20 كانون الأول/ديسمبر 2011)</w:t>
            </w:r>
          </w:p>
        </w:tc>
        <w:tc>
          <w:tcPr>
            <w:tcW w:w="2758" w:type="dxa"/>
            <w:tcBorders>
              <w:top w:val="nil"/>
              <w:bottom w:val="single" w:sz="12" w:space="0" w:color="auto"/>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w:t>
            </w:r>
          </w:p>
        </w:tc>
        <w:tc>
          <w:tcPr>
            <w:tcW w:w="2268"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تشرين الثاني/نوفمبر 2011</w:t>
            </w:r>
          </w:p>
        </w:tc>
        <w:tc>
          <w:tcPr>
            <w:tcW w:w="1441"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منغوليا</w:t>
            </w:r>
          </w:p>
        </w:tc>
      </w:tr>
    </w:tbl>
    <w:p w:rsidR="004E0A37" w:rsidRPr="00BC2035" w:rsidRDefault="004E0A37" w:rsidP="00BC2035">
      <w:pPr>
        <w:pStyle w:val="H23GA"/>
        <w:spacing w:before="240"/>
        <w:rPr>
          <w:rFonts w:hint="cs"/>
          <w:spacing w:val="0"/>
          <w:rtl/>
        </w:rPr>
      </w:pPr>
      <w:r w:rsidRPr="00BC2035">
        <w:rPr>
          <w:rFonts w:hint="cs"/>
          <w:spacing w:val="0"/>
          <w:rtl/>
        </w:rPr>
        <w:tab/>
      </w:r>
      <w:r w:rsidRPr="00BC2035">
        <w:rPr>
          <w:rFonts w:hint="cs"/>
          <w:spacing w:val="0"/>
          <w:rtl/>
        </w:rPr>
        <w:tab/>
        <w:t>الدورة السادسة والأربعون (أيار/مايو - حزيران/يونيه 2011)</w:t>
      </w:r>
    </w:p>
    <w:tbl>
      <w:tblPr>
        <w:tblW w:w="8427" w:type="dxa"/>
        <w:tblInd w:w="122" w:type="dxa"/>
        <w:tblBorders>
          <w:top w:val="single" w:sz="4" w:space="0" w:color="auto"/>
          <w:bottom w:val="single" w:sz="4" w:space="0" w:color="auto"/>
          <w:insideH w:val="single" w:sz="4" w:space="0" w:color="auto"/>
        </w:tblBorders>
        <w:tblLayout w:type="fixed"/>
        <w:tblLook w:val="0000"/>
      </w:tblPr>
      <w:tblGrid>
        <w:gridCol w:w="1960"/>
        <w:gridCol w:w="2758"/>
        <w:gridCol w:w="2268"/>
        <w:gridCol w:w="1441"/>
      </w:tblGrid>
      <w:tr w:rsidR="004E0A37" w:rsidRPr="00D17401" w:rsidTr="00C51313">
        <w:tblPrEx>
          <w:tblCellMar>
            <w:top w:w="0" w:type="dxa"/>
            <w:bottom w:w="0" w:type="dxa"/>
          </w:tblCellMar>
        </w:tblPrEx>
        <w:trPr>
          <w:tblHeader/>
        </w:trPr>
        <w:tc>
          <w:tcPr>
            <w:tcW w:w="1960"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الإجراء المتخذ</w:t>
            </w:r>
          </w:p>
        </w:tc>
        <w:tc>
          <w:tcPr>
            <w:tcW w:w="2758" w:type="dxa"/>
            <w:tcBorders>
              <w:bottom w:val="single" w:sz="12" w:space="0" w:color="auto"/>
            </w:tcBorders>
            <w:vAlign w:val="bottom"/>
          </w:tcPr>
          <w:p w:rsidR="004E0A37" w:rsidRPr="00D17401" w:rsidRDefault="004E0A37" w:rsidP="00C51313">
            <w:pPr>
              <w:spacing w:before="40" w:after="40" w:line="30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268"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التاريخ المحدد لتقديم المعلومات</w:t>
            </w:r>
          </w:p>
        </w:tc>
        <w:tc>
          <w:tcPr>
            <w:tcW w:w="1441" w:type="dxa"/>
            <w:tcBorders>
              <w:bottom w:val="single" w:sz="12" w:space="0" w:color="auto"/>
            </w:tcBorders>
            <w:vAlign w:val="bottom"/>
          </w:tcPr>
          <w:p w:rsidR="004E0A37" w:rsidRPr="00D17401" w:rsidRDefault="004E0A37" w:rsidP="00C51313">
            <w:pPr>
              <w:spacing w:before="40" w:after="40" w:line="30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C51313">
        <w:tblPrEx>
          <w:tblCellMar>
            <w:top w:w="0" w:type="dxa"/>
            <w:bottom w:w="0" w:type="dxa"/>
          </w:tblCellMar>
        </w:tblPrEx>
        <w:tc>
          <w:tcPr>
            <w:tcW w:w="1960"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single" w:sz="12" w:space="0" w:color="auto"/>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w:t>
            </w:r>
          </w:p>
        </w:tc>
        <w:tc>
          <w:tcPr>
            <w:tcW w:w="2268" w:type="dxa"/>
            <w:tcBorders>
              <w:top w:val="single" w:sz="12" w:space="0" w:color="auto"/>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single" w:sz="12" w:space="0" w:color="auto"/>
              <w:bottom w:val="nil"/>
            </w:tcBorders>
          </w:tcPr>
          <w:p w:rsidR="004E0A37" w:rsidRPr="00D17401" w:rsidRDefault="00F64788" w:rsidP="00C51313">
            <w:pPr>
              <w:spacing w:before="40" w:after="40" w:line="300" w:lineRule="exact"/>
              <w:jc w:val="lowKashida"/>
              <w:rPr>
                <w:rFonts w:hint="cs"/>
                <w:spacing w:val="0"/>
                <w:sz w:val="18"/>
                <w:szCs w:val="26"/>
                <w:rtl/>
              </w:rPr>
            </w:pPr>
            <w:r>
              <w:rPr>
                <w:rFonts w:hint="cs"/>
                <w:spacing w:val="0"/>
                <w:sz w:val="18"/>
                <w:szCs w:val="26"/>
                <w:rtl/>
              </w:rPr>
              <w:t>آيرلندا</w:t>
            </w:r>
            <w:r w:rsidR="004E0A37" w:rsidRPr="00D17401">
              <w:rPr>
                <w:rFonts w:hint="cs"/>
                <w:spacing w:val="0"/>
                <w:sz w:val="18"/>
                <w:szCs w:val="26"/>
                <w:rtl/>
              </w:rPr>
              <w:t xml:space="preserve"> </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nil"/>
              <w:bottom w:val="nil"/>
            </w:tcBorders>
          </w:tcPr>
          <w:p w:rsidR="004E0A37" w:rsidRPr="00D17401" w:rsidRDefault="004E0A37" w:rsidP="00C51313">
            <w:pPr>
              <w:spacing w:before="40" w:after="40" w:line="300" w:lineRule="exact"/>
              <w:ind w:left="57"/>
              <w:jc w:val="lowKashida"/>
              <w:rPr>
                <w:spacing w:val="0"/>
                <w:sz w:val="18"/>
                <w:szCs w:val="26"/>
                <w:lang/>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 xml:space="preserve">تركمانستان </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سلوفينيا</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lang/>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غانا</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lang/>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فنلندا</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nil"/>
              <w:bottom w:val="nil"/>
            </w:tcBorders>
          </w:tcPr>
          <w:p w:rsidR="004E0A37" w:rsidRPr="00D17401" w:rsidRDefault="004E0A37" w:rsidP="00C51313">
            <w:pPr>
              <w:spacing w:before="40" w:after="40" w:line="300" w:lineRule="exact"/>
              <w:ind w:left="57"/>
              <w:jc w:val="lowKashida"/>
              <w:rPr>
                <w:rFonts w:hint="cs"/>
                <w:spacing w:val="0"/>
                <w:sz w:val="18"/>
                <w:szCs w:val="26"/>
                <w:lang/>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 xml:space="preserve">الكويت </w:t>
            </w:r>
          </w:p>
        </w:tc>
      </w:tr>
      <w:tr w:rsidR="004E0A37" w:rsidRPr="00D17401" w:rsidTr="00C51313">
        <w:tblPrEx>
          <w:tblCellMar>
            <w:top w:w="0" w:type="dxa"/>
            <w:bottom w:w="0" w:type="dxa"/>
          </w:tblCellMar>
        </w:tblPrEx>
        <w:tc>
          <w:tcPr>
            <w:tcW w:w="1960"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nil"/>
              <w:bottom w:val="nil"/>
            </w:tcBorders>
          </w:tcPr>
          <w:p w:rsidR="004E0A37" w:rsidRPr="00D17401" w:rsidRDefault="004E0A37" w:rsidP="00C51313">
            <w:pPr>
              <w:spacing w:before="40" w:after="40" w:line="300" w:lineRule="exact"/>
              <w:ind w:left="57"/>
              <w:jc w:val="lowKashida"/>
              <w:rPr>
                <w:spacing w:val="0"/>
                <w:sz w:val="18"/>
                <w:szCs w:val="26"/>
              </w:rPr>
            </w:pPr>
            <w:r w:rsidRPr="00D17401">
              <w:rPr>
                <w:rFonts w:hint="cs"/>
                <w:spacing w:val="0"/>
                <w:sz w:val="18"/>
                <w:szCs w:val="26"/>
                <w:rtl/>
              </w:rPr>
              <w:t>-</w:t>
            </w:r>
          </w:p>
        </w:tc>
        <w:tc>
          <w:tcPr>
            <w:tcW w:w="2268"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nil"/>
              <w:bottom w:val="nil"/>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موريشيوس</w:t>
            </w:r>
          </w:p>
        </w:tc>
      </w:tr>
      <w:tr w:rsidR="004E0A37" w:rsidRPr="00D17401" w:rsidTr="00C51313">
        <w:tblPrEx>
          <w:tblCellMar>
            <w:top w:w="0" w:type="dxa"/>
            <w:bottom w:w="0" w:type="dxa"/>
          </w:tblCellMar>
        </w:tblPrEx>
        <w:tc>
          <w:tcPr>
            <w:tcW w:w="1960"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رسالة تذكير (1 حزيران/</w:t>
            </w:r>
            <w:r w:rsidR="00C51313">
              <w:rPr>
                <w:rFonts w:hint="cs"/>
                <w:spacing w:val="0"/>
                <w:sz w:val="18"/>
                <w:szCs w:val="26"/>
                <w:rtl/>
              </w:rPr>
              <w:t xml:space="preserve"> </w:t>
            </w:r>
            <w:r w:rsidR="003833F8" w:rsidRPr="00D17401">
              <w:rPr>
                <w:rFonts w:hint="cs"/>
                <w:spacing w:val="0"/>
                <w:sz w:val="18"/>
                <w:szCs w:val="26"/>
                <w:rtl/>
              </w:rPr>
              <w:t>يونيه</w:t>
            </w:r>
            <w:r w:rsidRPr="00D17401">
              <w:rPr>
                <w:rFonts w:hint="cs"/>
                <w:spacing w:val="0"/>
                <w:sz w:val="18"/>
                <w:szCs w:val="26"/>
                <w:rtl/>
              </w:rPr>
              <w:t xml:space="preserve"> 2012)</w:t>
            </w:r>
          </w:p>
        </w:tc>
        <w:tc>
          <w:tcPr>
            <w:tcW w:w="2758" w:type="dxa"/>
            <w:tcBorders>
              <w:top w:val="nil"/>
              <w:bottom w:val="single" w:sz="12" w:space="0" w:color="auto"/>
            </w:tcBorders>
          </w:tcPr>
          <w:p w:rsidR="004E0A37" w:rsidRPr="00D17401" w:rsidRDefault="004E0A37" w:rsidP="00C51313">
            <w:pPr>
              <w:spacing w:before="40" w:after="40" w:line="300" w:lineRule="exact"/>
              <w:ind w:left="57"/>
              <w:jc w:val="lowKashida"/>
              <w:rPr>
                <w:rFonts w:hint="cs"/>
                <w:spacing w:val="0"/>
                <w:sz w:val="18"/>
                <w:szCs w:val="26"/>
                <w:rtl/>
              </w:rPr>
            </w:pPr>
            <w:r w:rsidRPr="00D17401">
              <w:rPr>
                <w:rFonts w:hint="cs"/>
                <w:spacing w:val="0"/>
                <w:sz w:val="18"/>
                <w:szCs w:val="26"/>
                <w:rtl/>
              </w:rPr>
              <w:t>-</w:t>
            </w:r>
          </w:p>
        </w:tc>
        <w:tc>
          <w:tcPr>
            <w:tcW w:w="2268"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حزيران/يونيه 2012</w:t>
            </w:r>
          </w:p>
        </w:tc>
        <w:tc>
          <w:tcPr>
            <w:tcW w:w="1441" w:type="dxa"/>
            <w:tcBorders>
              <w:top w:val="nil"/>
              <w:bottom w:val="single" w:sz="12" w:space="0" w:color="auto"/>
            </w:tcBorders>
          </w:tcPr>
          <w:p w:rsidR="004E0A37" w:rsidRPr="00D17401" w:rsidRDefault="004E0A37" w:rsidP="00C51313">
            <w:pPr>
              <w:spacing w:before="40" w:after="40" w:line="300" w:lineRule="exact"/>
              <w:jc w:val="lowKashida"/>
              <w:rPr>
                <w:rFonts w:hint="cs"/>
                <w:spacing w:val="0"/>
                <w:sz w:val="18"/>
                <w:szCs w:val="26"/>
                <w:rtl/>
              </w:rPr>
            </w:pPr>
            <w:r w:rsidRPr="00D17401">
              <w:rPr>
                <w:rFonts w:hint="cs"/>
                <w:spacing w:val="0"/>
                <w:sz w:val="18"/>
                <w:szCs w:val="26"/>
                <w:rtl/>
              </w:rPr>
              <w:t>موناكو</w:t>
            </w:r>
          </w:p>
        </w:tc>
      </w:tr>
    </w:tbl>
    <w:p w:rsidR="004E0A37" w:rsidRPr="00C51313" w:rsidRDefault="004E0A37" w:rsidP="00C51313">
      <w:pPr>
        <w:pStyle w:val="H23GA"/>
        <w:spacing w:before="240"/>
        <w:rPr>
          <w:rFonts w:hint="cs"/>
          <w:spacing w:val="0"/>
          <w:rtl/>
        </w:rPr>
      </w:pPr>
      <w:r w:rsidRPr="00C51313">
        <w:rPr>
          <w:rFonts w:hint="cs"/>
          <w:spacing w:val="0"/>
          <w:rtl/>
        </w:rPr>
        <w:tab/>
      </w:r>
      <w:r w:rsidRPr="00C51313">
        <w:rPr>
          <w:rFonts w:hint="cs"/>
          <w:spacing w:val="0"/>
          <w:rtl/>
        </w:rPr>
        <w:tab/>
        <w:t xml:space="preserve">الدورة السابعة والأربعون (تشرين الأول/أكتوبر </w:t>
      </w:r>
      <w:r w:rsidRPr="00C51313">
        <w:rPr>
          <w:spacing w:val="0"/>
          <w:rtl/>
        </w:rPr>
        <w:t>-</w:t>
      </w:r>
      <w:r w:rsidRPr="00C51313">
        <w:rPr>
          <w:rFonts w:hint="cs"/>
          <w:spacing w:val="0"/>
          <w:rtl/>
        </w:rPr>
        <w:t xml:space="preserve"> تشرين الثاني/نوفمبر 2011)</w:t>
      </w:r>
    </w:p>
    <w:tbl>
      <w:tblPr>
        <w:tblW w:w="8427" w:type="dxa"/>
        <w:tblInd w:w="122" w:type="dxa"/>
        <w:tblBorders>
          <w:top w:val="single" w:sz="4" w:space="0" w:color="auto"/>
          <w:bottom w:val="single" w:sz="4" w:space="0" w:color="auto"/>
          <w:insideH w:val="single" w:sz="4" w:space="0" w:color="auto"/>
        </w:tblBorders>
        <w:tblLayout w:type="fixed"/>
        <w:tblLook w:val="0000"/>
      </w:tblPr>
      <w:tblGrid>
        <w:gridCol w:w="1786"/>
        <w:gridCol w:w="2700"/>
        <w:gridCol w:w="2400"/>
        <w:gridCol w:w="1541"/>
      </w:tblGrid>
      <w:tr w:rsidR="004E0A37" w:rsidRPr="00D17401" w:rsidTr="00C51313">
        <w:tblPrEx>
          <w:tblCellMar>
            <w:top w:w="0" w:type="dxa"/>
            <w:bottom w:w="0" w:type="dxa"/>
          </w:tblCellMar>
        </w:tblPrEx>
        <w:trPr>
          <w:tblHeader/>
        </w:trPr>
        <w:tc>
          <w:tcPr>
            <w:tcW w:w="1786" w:type="dxa"/>
            <w:tcBorders>
              <w:bottom w:val="single" w:sz="12" w:space="0" w:color="auto"/>
            </w:tcBorders>
            <w:vAlign w:val="bottom"/>
          </w:tcPr>
          <w:p w:rsidR="004E0A37" w:rsidRPr="00D17401" w:rsidRDefault="004E0A37" w:rsidP="004E0A37">
            <w:pPr>
              <w:spacing w:before="40" w:after="40" w:line="320" w:lineRule="exact"/>
              <w:jc w:val="lowKashida"/>
              <w:rPr>
                <w:rFonts w:hint="cs"/>
                <w:i/>
                <w:iCs/>
                <w:spacing w:val="0"/>
                <w:sz w:val="18"/>
                <w:szCs w:val="26"/>
                <w:rtl/>
              </w:rPr>
            </w:pPr>
            <w:r w:rsidRPr="00D17401">
              <w:rPr>
                <w:rFonts w:hint="cs"/>
                <w:i/>
                <w:iCs/>
                <w:spacing w:val="0"/>
                <w:sz w:val="18"/>
                <w:szCs w:val="26"/>
                <w:rtl/>
              </w:rPr>
              <w:t>الإجراء المتخذ</w:t>
            </w:r>
          </w:p>
        </w:tc>
        <w:tc>
          <w:tcPr>
            <w:tcW w:w="2700" w:type="dxa"/>
            <w:tcBorders>
              <w:bottom w:val="single" w:sz="12" w:space="0" w:color="auto"/>
            </w:tcBorders>
            <w:vAlign w:val="bottom"/>
          </w:tcPr>
          <w:p w:rsidR="004E0A37" w:rsidRPr="00D17401" w:rsidRDefault="004E0A37" w:rsidP="004E0A37">
            <w:pPr>
              <w:spacing w:before="40" w:after="40" w:line="32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400" w:type="dxa"/>
            <w:tcBorders>
              <w:bottom w:val="single" w:sz="12" w:space="0" w:color="auto"/>
            </w:tcBorders>
            <w:vAlign w:val="bottom"/>
          </w:tcPr>
          <w:p w:rsidR="004E0A37" w:rsidRPr="00D17401" w:rsidRDefault="004E0A37" w:rsidP="004E0A37">
            <w:pPr>
              <w:spacing w:before="40" w:after="40" w:line="320" w:lineRule="exact"/>
              <w:jc w:val="lowKashida"/>
              <w:rPr>
                <w:rFonts w:hint="cs"/>
                <w:i/>
                <w:iCs/>
                <w:spacing w:val="0"/>
                <w:sz w:val="18"/>
                <w:szCs w:val="26"/>
                <w:rtl/>
              </w:rPr>
            </w:pPr>
            <w:r w:rsidRPr="00D17401">
              <w:rPr>
                <w:rFonts w:hint="cs"/>
                <w:i/>
                <w:iCs/>
                <w:spacing w:val="0"/>
                <w:sz w:val="18"/>
                <w:szCs w:val="26"/>
                <w:rtl/>
              </w:rPr>
              <w:t>التاريخ المحدد لتقديم المعلومات</w:t>
            </w:r>
          </w:p>
        </w:tc>
        <w:tc>
          <w:tcPr>
            <w:tcW w:w="1541" w:type="dxa"/>
            <w:tcBorders>
              <w:bottom w:val="single" w:sz="12" w:space="0" w:color="auto"/>
            </w:tcBorders>
            <w:vAlign w:val="bottom"/>
          </w:tcPr>
          <w:p w:rsidR="004E0A37" w:rsidRPr="00D17401" w:rsidRDefault="004E0A37" w:rsidP="004E0A37">
            <w:pPr>
              <w:spacing w:before="40" w:after="40" w:line="32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C51313">
        <w:tblPrEx>
          <w:tblCellMar>
            <w:top w:w="0" w:type="dxa"/>
            <w:bottom w:w="0" w:type="dxa"/>
          </w:tblCellMar>
        </w:tblPrEx>
        <w:tc>
          <w:tcPr>
            <w:tcW w:w="1786" w:type="dxa"/>
            <w:tcBorders>
              <w:top w:val="single" w:sz="12" w:space="0" w:color="auto"/>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single" w:sz="12" w:space="0" w:color="auto"/>
              <w:bottom w:val="nil"/>
            </w:tcBorders>
          </w:tcPr>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تعليقات:</w:t>
            </w:r>
          </w:p>
          <w:p w:rsidR="004E0A37" w:rsidRPr="00D17401" w:rsidRDefault="004E0A37" w:rsidP="004E0A37">
            <w:pPr>
              <w:spacing w:before="40" w:after="40" w:line="320" w:lineRule="exact"/>
              <w:ind w:left="57"/>
              <w:jc w:val="lowKashida"/>
              <w:rPr>
                <w:spacing w:val="0"/>
                <w:sz w:val="18"/>
                <w:szCs w:val="26"/>
              </w:rPr>
            </w:pPr>
            <w:r w:rsidRPr="00D17401">
              <w:rPr>
                <w:rFonts w:hint="cs"/>
                <w:spacing w:val="0"/>
                <w:sz w:val="18"/>
                <w:szCs w:val="26"/>
                <w:rtl/>
              </w:rPr>
              <w:t>28 شباط/فبراير 2012</w:t>
            </w:r>
          </w:p>
          <w:p w:rsidR="004E0A37" w:rsidRPr="00D17401" w:rsidRDefault="004E0A37" w:rsidP="004E0A37">
            <w:pPr>
              <w:spacing w:before="40" w:after="40" w:line="320" w:lineRule="exact"/>
              <w:ind w:left="57"/>
              <w:jc w:val="lowKashida"/>
              <w:rPr>
                <w:spacing w:val="0"/>
                <w:sz w:val="18"/>
                <w:szCs w:val="26"/>
                <w:rtl/>
              </w:rPr>
            </w:pPr>
            <w:r w:rsidRPr="00D17401">
              <w:rPr>
                <w:spacing w:val="0"/>
                <w:sz w:val="18"/>
                <w:szCs w:val="26"/>
                <w:lang/>
              </w:rPr>
              <w:t>CAT/C/DEU/CO/5/Add.1</w:t>
            </w:r>
          </w:p>
        </w:tc>
        <w:tc>
          <w:tcPr>
            <w:tcW w:w="2400" w:type="dxa"/>
            <w:tcBorders>
              <w:top w:val="single" w:sz="12" w:space="0" w:color="auto"/>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تشرين الثاني/نوفمبر 2012</w:t>
            </w:r>
          </w:p>
        </w:tc>
        <w:tc>
          <w:tcPr>
            <w:tcW w:w="1541" w:type="dxa"/>
            <w:tcBorders>
              <w:top w:val="single" w:sz="12" w:space="0" w:color="auto"/>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ألمانيا</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nil"/>
              <w:bottom w:val="nil"/>
            </w:tcBorders>
          </w:tcPr>
          <w:p w:rsidR="004E0A37" w:rsidRPr="00D17401" w:rsidRDefault="004E0A37" w:rsidP="004E0A37">
            <w:pPr>
              <w:spacing w:before="40" w:after="40" w:line="320" w:lineRule="exact"/>
              <w:ind w:left="57"/>
              <w:jc w:val="lowKashida"/>
              <w:rPr>
                <w:spacing w:val="0"/>
                <w:sz w:val="18"/>
                <w:szCs w:val="26"/>
                <w:lang/>
              </w:rPr>
            </w:pPr>
            <w:r w:rsidRPr="00D17401">
              <w:rPr>
                <w:rFonts w:hint="cs"/>
                <w:spacing w:val="0"/>
                <w:sz w:val="18"/>
                <w:szCs w:val="26"/>
                <w:rtl/>
              </w:rPr>
              <w:t>-</w:t>
            </w:r>
          </w:p>
        </w:tc>
        <w:tc>
          <w:tcPr>
            <w:tcW w:w="2400" w:type="dxa"/>
            <w:tcBorders>
              <w:top w:val="nil"/>
              <w:bottom w:val="nil"/>
            </w:tcBorders>
          </w:tcPr>
          <w:p w:rsidR="004E0A37" w:rsidRPr="00C51313" w:rsidRDefault="004E0A37" w:rsidP="00C51313">
            <w:pPr>
              <w:spacing w:before="40" w:after="40" w:line="320" w:lineRule="exact"/>
              <w:rPr>
                <w:rFonts w:hint="cs"/>
                <w:spacing w:val="-4"/>
                <w:sz w:val="18"/>
                <w:szCs w:val="26"/>
                <w:rtl/>
              </w:rPr>
            </w:pPr>
            <w:r w:rsidRPr="00C51313">
              <w:rPr>
                <w:rFonts w:hint="cs"/>
                <w:spacing w:val="-4"/>
                <w:sz w:val="18"/>
                <w:szCs w:val="26"/>
                <w:rtl/>
              </w:rPr>
              <w:t>تشرين الثاني/نوفمبر 2012</w:t>
            </w:r>
          </w:p>
        </w:tc>
        <w:tc>
          <w:tcPr>
            <w:tcW w:w="15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باراغواي</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w:t>
            </w:r>
          </w:p>
        </w:tc>
        <w:tc>
          <w:tcPr>
            <w:tcW w:w="2400" w:type="dxa"/>
            <w:tcBorders>
              <w:top w:val="nil"/>
              <w:bottom w:val="nil"/>
            </w:tcBorders>
          </w:tcPr>
          <w:p w:rsidR="004E0A37" w:rsidRPr="00C51313" w:rsidRDefault="004E0A37" w:rsidP="00C51313">
            <w:pPr>
              <w:spacing w:before="40" w:after="40" w:line="320" w:lineRule="exact"/>
              <w:rPr>
                <w:rFonts w:hint="cs"/>
                <w:spacing w:val="-4"/>
                <w:sz w:val="18"/>
                <w:szCs w:val="26"/>
                <w:rtl/>
              </w:rPr>
            </w:pPr>
            <w:r w:rsidRPr="00C51313">
              <w:rPr>
                <w:rFonts w:hint="cs"/>
                <w:spacing w:val="-4"/>
                <w:sz w:val="18"/>
                <w:szCs w:val="26"/>
                <w:rtl/>
              </w:rPr>
              <w:t>تشرين الثاني/نوفمبر 2012</w:t>
            </w:r>
          </w:p>
        </w:tc>
        <w:tc>
          <w:tcPr>
            <w:tcW w:w="15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بلغاريا</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تعليقات:</w:t>
            </w:r>
          </w:p>
          <w:p w:rsidR="004E0A37" w:rsidRPr="00D17401" w:rsidRDefault="004E0A37" w:rsidP="004E0A37">
            <w:pPr>
              <w:spacing w:before="40" w:after="40" w:line="320" w:lineRule="exact"/>
              <w:ind w:left="57"/>
              <w:jc w:val="lowKashida"/>
              <w:rPr>
                <w:spacing w:val="0"/>
                <w:sz w:val="18"/>
                <w:szCs w:val="26"/>
              </w:rPr>
            </w:pPr>
            <w:r w:rsidRPr="00D17401">
              <w:rPr>
                <w:rFonts w:hint="cs"/>
                <w:spacing w:val="0"/>
                <w:sz w:val="18"/>
                <w:szCs w:val="26"/>
                <w:rtl/>
              </w:rPr>
              <w:t>28 كانون الأول/ديسمبر 2011</w:t>
            </w:r>
          </w:p>
          <w:p w:rsidR="004E0A37" w:rsidRPr="00D17401" w:rsidRDefault="004E0A37" w:rsidP="004E0A37">
            <w:pPr>
              <w:spacing w:before="40" w:after="40" w:line="320" w:lineRule="exact"/>
              <w:ind w:left="57"/>
              <w:jc w:val="lowKashida"/>
              <w:rPr>
                <w:rFonts w:hint="cs"/>
                <w:spacing w:val="0"/>
                <w:sz w:val="18"/>
                <w:szCs w:val="26"/>
              </w:rPr>
            </w:pPr>
            <w:r w:rsidRPr="00D17401">
              <w:rPr>
                <w:spacing w:val="0"/>
                <w:sz w:val="18"/>
                <w:szCs w:val="26"/>
                <w:lang/>
              </w:rPr>
              <w:t>CAT/C/BLR/CO/Add.1</w:t>
            </w:r>
          </w:p>
        </w:tc>
        <w:tc>
          <w:tcPr>
            <w:tcW w:w="2400" w:type="dxa"/>
            <w:tcBorders>
              <w:top w:val="nil"/>
              <w:bottom w:val="nil"/>
            </w:tcBorders>
          </w:tcPr>
          <w:p w:rsidR="004E0A37" w:rsidRPr="00C51313" w:rsidRDefault="004E0A37" w:rsidP="00C51313">
            <w:pPr>
              <w:spacing w:before="40" w:after="40" w:line="320" w:lineRule="exact"/>
              <w:rPr>
                <w:rFonts w:hint="cs"/>
                <w:spacing w:val="-4"/>
                <w:sz w:val="18"/>
                <w:szCs w:val="26"/>
                <w:rtl/>
              </w:rPr>
            </w:pPr>
            <w:r w:rsidRPr="00C51313">
              <w:rPr>
                <w:rFonts w:hint="cs"/>
                <w:spacing w:val="-4"/>
                <w:sz w:val="18"/>
                <w:szCs w:val="26"/>
                <w:rtl/>
              </w:rPr>
              <w:t>تشرين الثاني/نوفمبر 2012</w:t>
            </w:r>
          </w:p>
        </w:tc>
        <w:tc>
          <w:tcPr>
            <w:tcW w:w="15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بيلاروس</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lang/>
              </w:rPr>
            </w:pPr>
            <w:r w:rsidRPr="00D17401">
              <w:rPr>
                <w:rFonts w:hint="cs"/>
                <w:spacing w:val="0"/>
                <w:sz w:val="18"/>
                <w:szCs w:val="26"/>
                <w:rtl/>
              </w:rPr>
              <w:t>-</w:t>
            </w:r>
          </w:p>
        </w:tc>
        <w:tc>
          <w:tcPr>
            <w:tcW w:w="2400" w:type="dxa"/>
            <w:tcBorders>
              <w:top w:val="nil"/>
              <w:bottom w:val="nil"/>
            </w:tcBorders>
          </w:tcPr>
          <w:p w:rsidR="004E0A37" w:rsidRPr="00C51313" w:rsidRDefault="004E0A37" w:rsidP="00C51313">
            <w:pPr>
              <w:spacing w:before="40" w:after="40" w:line="320" w:lineRule="exact"/>
              <w:rPr>
                <w:rFonts w:hint="cs"/>
                <w:spacing w:val="-4"/>
                <w:sz w:val="18"/>
                <w:szCs w:val="26"/>
                <w:rtl/>
              </w:rPr>
            </w:pPr>
            <w:r w:rsidRPr="00C51313">
              <w:rPr>
                <w:rFonts w:hint="cs"/>
                <w:spacing w:val="-4"/>
                <w:sz w:val="18"/>
                <w:szCs w:val="26"/>
                <w:rtl/>
              </w:rPr>
              <w:t>تشرين الثاني/نوفمبر 2012</w:t>
            </w:r>
          </w:p>
        </w:tc>
        <w:tc>
          <w:tcPr>
            <w:tcW w:w="15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جيبوتي</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lang/>
              </w:rPr>
            </w:pPr>
            <w:r w:rsidRPr="00D17401">
              <w:rPr>
                <w:rFonts w:hint="cs"/>
                <w:spacing w:val="0"/>
                <w:sz w:val="18"/>
                <w:szCs w:val="26"/>
                <w:rtl/>
              </w:rPr>
              <w:t>-</w:t>
            </w:r>
          </w:p>
        </w:tc>
        <w:tc>
          <w:tcPr>
            <w:tcW w:w="2400" w:type="dxa"/>
            <w:tcBorders>
              <w:top w:val="nil"/>
              <w:bottom w:val="nil"/>
            </w:tcBorders>
          </w:tcPr>
          <w:p w:rsidR="004E0A37" w:rsidRPr="00C51313" w:rsidRDefault="004E0A37" w:rsidP="00C51313">
            <w:pPr>
              <w:spacing w:before="40" w:after="40" w:line="320" w:lineRule="exact"/>
              <w:rPr>
                <w:rFonts w:hint="cs"/>
                <w:spacing w:val="-4"/>
                <w:sz w:val="18"/>
                <w:szCs w:val="26"/>
                <w:rtl/>
              </w:rPr>
            </w:pPr>
            <w:r w:rsidRPr="00C51313">
              <w:rPr>
                <w:rFonts w:hint="cs"/>
                <w:spacing w:val="-4"/>
                <w:sz w:val="18"/>
                <w:szCs w:val="26"/>
                <w:rtl/>
              </w:rPr>
              <w:t>تشرين الثاني/نوفمبر 2012</w:t>
            </w:r>
          </w:p>
        </w:tc>
        <w:tc>
          <w:tcPr>
            <w:tcW w:w="15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سري لانكا</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nil"/>
              <w:bottom w:val="nil"/>
            </w:tcBorders>
          </w:tcPr>
          <w:p w:rsidR="004E0A37" w:rsidRPr="00D17401" w:rsidRDefault="004E0A37" w:rsidP="004E0A37">
            <w:pPr>
              <w:spacing w:before="40" w:after="40" w:line="320" w:lineRule="exact"/>
              <w:ind w:left="57"/>
              <w:jc w:val="lowKashida"/>
              <w:rPr>
                <w:spacing w:val="0"/>
                <w:sz w:val="18"/>
                <w:szCs w:val="26"/>
              </w:rPr>
            </w:pPr>
            <w:r w:rsidRPr="00D17401">
              <w:rPr>
                <w:rFonts w:hint="cs"/>
                <w:spacing w:val="0"/>
                <w:sz w:val="18"/>
                <w:szCs w:val="26"/>
                <w:rtl/>
              </w:rPr>
              <w:t>-</w:t>
            </w:r>
          </w:p>
        </w:tc>
        <w:tc>
          <w:tcPr>
            <w:tcW w:w="2400" w:type="dxa"/>
            <w:tcBorders>
              <w:top w:val="nil"/>
              <w:bottom w:val="nil"/>
            </w:tcBorders>
          </w:tcPr>
          <w:p w:rsidR="004E0A37" w:rsidRPr="00C51313" w:rsidRDefault="004E0A37" w:rsidP="00C51313">
            <w:pPr>
              <w:spacing w:before="40" w:after="40" w:line="320" w:lineRule="exact"/>
              <w:rPr>
                <w:rFonts w:hint="cs"/>
                <w:spacing w:val="-4"/>
                <w:sz w:val="18"/>
                <w:szCs w:val="26"/>
                <w:rtl/>
              </w:rPr>
            </w:pPr>
            <w:r w:rsidRPr="00C51313">
              <w:rPr>
                <w:rFonts w:hint="cs"/>
                <w:spacing w:val="-4"/>
                <w:sz w:val="18"/>
                <w:szCs w:val="26"/>
                <w:rtl/>
              </w:rPr>
              <w:t>تشرين الثاني/نوفمبر 2012</w:t>
            </w:r>
          </w:p>
        </w:tc>
        <w:tc>
          <w:tcPr>
            <w:tcW w:w="15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مدغشقر</w:t>
            </w:r>
          </w:p>
        </w:tc>
      </w:tr>
      <w:tr w:rsidR="004E0A37" w:rsidRPr="00D17401" w:rsidTr="00C51313">
        <w:tblPrEx>
          <w:tblCellMar>
            <w:top w:w="0" w:type="dxa"/>
            <w:bottom w:w="0" w:type="dxa"/>
          </w:tblCellMar>
        </w:tblPrEx>
        <w:tc>
          <w:tcPr>
            <w:tcW w:w="1786" w:type="dxa"/>
            <w:tcBorders>
              <w:top w:val="nil"/>
              <w:bottom w:val="single" w:sz="12" w:space="0" w:color="auto"/>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700" w:type="dxa"/>
            <w:tcBorders>
              <w:top w:val="nil"/>
              <w:bottom w:val="single" w:sz="12" w:space="0" w:color="auto"/>
            </w:tcBorders>
          </w:tcPr>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تعليقات:</w:t>
            </w:r>
          </w:p>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 xml:space="preserve">3 نيسان/أبريل 2012 </w:t>
            </w:r>
          </w:p>
          <w:p w:rsidR="004E0A37" w:rsidRPr="00D17401" w:rsidRDefault="004E0A37" w:rsidP="004E0A37">
            <w:pPr>
              <w:spacing w:before="40" w:after="40" w:line="320" w:lineRule="exact"/>
              <w:ind w:left="57"/>
              <w:jc w:val="lowKashida"/>
              <w:rPr>
                <w:rFonts w:hint="cs"/>
                <w:spacing w:val="0"/>
                <w:sz w:val="18"/>
                <w:szCs w:val="26"/>
                <w:rtl/>
              </w:rPr>
            </w:pPr>
            <w:r w:rsidRPr="00D17401">
              <w:rPr>
                <w:spacing w:val="0"/>
                <w:sz w:val="18"/>
                <w:szCs w:val="26"/>
              </w:rPr>
              <w:t>CAT/C/MAR/CO/4/Add.1</w:t>
            </w:r>
          </w:p>
        </w:tc>
        <w:tc>
          <w:tcPr>
            <w:tcW w:w="2400" w:type="dxa"/>
            <w:tcBorders>
              <w:top w:val="nil"/>
              <w:bottom w:val="single" w:sz="12" w:space="0" w:color="auto"/>
            </w:tcBorders>
          </w:tcPr>
          <w:p w:rsidR="004E0A37" w:rsidRPr="00C51313" w:rsidRDefault="004E0A37" w:rsidP="00C51313">
            <w:pPr>
              <w:spacing w:before="40" w:after="40" w:line="320" w:lineRule="exact"/>
              <w:rPr>
                <w:rFonts w:hint="cs"/>
                <w:spacing w:val="-4"/>
                <w:sz w:val="18"/>
                <w:szCs w:val="26"/>
                <w:rtl/>
              </w:rPr>
            </w:pPr>
            <w:r w:rsidRPr="00C51313">
              <w:rPr>
                <w:rFonts w:hint="cs"/>
                <w:spacing w:val="-4"/>
                <w:sz w:val="18"/>
                <w:szCs w:val="26"/>
                <w:rtl/>
              </w:rPr>
              <w:t>تشرين الثاني/نوفمبر 2012</w:t>
            </w:r>
          </w:p>
        </w:tc>
        <w:tc>
          <w:tcPr>
            <w:tcW w:w="1541" w:type="dxa"/>
            <w:tcBorders>
              <w:top w:val="nil"/>
              <w:bottom w:val="single" w:sz="12" w:space="0" w:color="auto"/>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المغرب</w:t>
            </w:r>
          </w:p>
        </w:tc>
      </w:tr>
    </w:tbl>
    <w:p w:rsidR="004E0A37" w:rsidRPr="00C51313" w:rsidRDefault="004E0A37" w:rsidP="00C51313">
      <w:pPr>
        <w:pStyle w:val="H23GA"/>
        <w:spacing w:before="240"/>
        <w:rPr>
          <w:rFonts w:hint="cs"/>
          <w:spacing w:val="0"/>
          <w:rtl/>
        </w:rPr>
      </w:pPr>
      <w:r w:rsidRPr="00C51313">
        <w:rPr>
          <w:rFonts w:hint="cs"/>
          <w:spacing w:val="0"/>
          <w:rtl/>
        </w:rPr>
        <w:tab/>
      </w:r>
      <w:r w:rsidRPr="00C51313">
        <w:rPr>
          <w:rFonts w:hint="cs"/>
          <w:spacing w:val="0"/>
          <w:rtl/>
        </w:rPr>
        <w:tab/>
        <w:t xml:space="preserve">الدورة الثامنة والأربعون (أيار/مايو </w:t>
      </w:r>
      <w:r w:rsidRPr="00C51313">
        <w:rPr>
          <w:spacing w:val="0"/>
          <w:rtl/>
        </w:rPr>
        <w:t>-</w:t>
      </w:r>
      <w:r w:rsidRPr="00C51313">
        <w:rPr>
          <w:rFonts w:hint="cs"/>
          <w:spacing w:val="0"/>
          <w:rtl/>
        </w:rPr>
        <w:t xml:space="preserve"> حزيران/يونيه 2012)</w:t>
      </w:r>
    </w:p>
    <w:tbl>
      <w:tblPr>
        <w:tblW w:w="8427" w:type="dxa"/>
        <w:tblInd w:w="122" w:type="dxa"/>
        <w:tblBorders>
          <w:top w:val="single" w:sz="4" w:space="0" w:color="auto"/>
          <w:bottom w:val="single" w:sz="4" w:space="0" w:color="auto"/>
          <w:insideH w:val="single" w:sz="4" w:space="0" w:color="auto"/>
        </w:tblBorders>
        <w:tblLayout w:type="fixed"/>
        <w:tblLook w:val="0000"/>
      </w:tblPr>
      <w:tblGrid>
        <w:gridCol w:w="1786"/>
        <w:gridCol w:w="2000"/>
        <w:gridCol w:w="2500"/>
        <w:gridCol w:w="2141"/>
      </w:tblGrid>
      <w:tr w:rsidR="004E0A37" w:rsidRPr="00D17401" w:rsidTr="00C51313">
        <w:tblPrEx>
          <w:tblCellMar>
            <w:top w:w="0" w:type="dxa"/>
            <w:bottom w:w="0" w:type="dxa"/>
          </w:tblCellMar>
        </w:tblPrEx>
        <w:trPr>
          <w:tblHeader/>
        </w:trPr>
        <w:tc>
          <w:tcPr>
            <w:tcW w:w="1786" w:type="dxa"/>
            <w:tcBorders>
              <w:bottom w:val="single" w:sz="12" w:space="0" w:color="auto"/>
            </w:tcBorders>
            <w:vAlign w:val="bottom"/>
          </w:tcPr>
          <w:p w:rsidR="004E0A37" w:rsidRPr="00D17401" w:rsidRDefault="004E0A37" w:rsidP="004E0A37">
            <w:pPr>
              <w:spacing w:before="40" w:after="40" w:line="320" w:lineRule="exact"/>
              <w:jc w:val="lowKashida"/>
              <w:rPr>
                <w:rFonts w:hint="cs"/>
                <w:i/>
                <w:iCs/>
                <w:spacing w:val="0"/>
                <w:sz w:val="18"/>
                <w:szCs w:val="26"/>
                <w:rtl/>
              </w:rPr>
            </w:pPr>
            <w:r w:rsidRPr="00D17401">
              <w:rPr>
                <w:rFonts w:hint="cs"/>
                <w:i/>
                <w:iCs/>
                <w:spacing w:val="0"/>
                <w:sz w:val="18"/>
                <w:szCs w:val="26"/>
                <w:rtl/>
              </w:rPr>
              <w:t>الإجراء المتخذ</w:t>
            </w:r>
          </w:p>
        </w:tc>
        <w:tc>
          <w:tcPr>
            <w:tcW w:w="2000" w:type="dxa"/>
            <w:tcBorders>
              <w:bottom w:val="single" w:sz="12" w:space="0" w:color="auto"/>
            </w:tcBorders>
            <w:vAlign w:val="bottom"/>
          </w:tcPr>
          <w:p w:rsidR="004E0A37" w:rsidRPr="00D17401" w:rsidRDefault="004E0A37" w:rsidP="004E0A37">
            <w:pPr>
              <w:spacing w:before="40" w:after="40" w:line="320" w:lineRule="exact"/>
              <w:ind w:left="57"/>
              <w:jc w:val="lowKashida"/>
              <w:rPr>
                <w:rFonts w:hint="cs"/>
                <w:i/>
                <w:iCs/>
                <w:spacing w:val="0"/>
                <w:sz w:val="18"/>
                <w:szCs w:val="26"/>
                <w:rtl/>
              </w:rPr>
            </w:pPr>
            <w:r w:rsidRPr="00D17401">
              <w:rPr>
                <w:rFonts w:hint="cs"/>
                <w:i/>
                <w:iCs/>
                <w:spacing w:val="0"/>
                <w:sz w:val="18"/>
                <w:szCs w:val="26"/>
                <w:rtl/>
              </w:rPr>
              <w:t>تاريخ تلقي المعلومات</w:t>
            </w:r>
          </w:p>
        </w:tc>
        <w:tc>
          <w:tcPr>
            <w:tcW w:w="2500" w:type="dxa"/>
            <w:tcBorders>
              <w:bottom w:val="single" w:sz="12" w:space="0" w:color="auto"/>
            </w:tcBorders>
            <w:vAlign w:val="bottom"/>
          </w:tcPr>
          <w:p w:rsidR="004E0A37" w:rsidRPr="00D17401" w:rsidRDefault="004E0A37" w:rsidP="004E0A37">
            <w:pPr>
              <w:spacing w:before="40" w:after="40" w:line="320" w:lineRule="exact"/>
              <w:jc w:val="lowKashida"/>
              <w:rPr>
                <w:rFonts w:hint="cs"/>
                <w:i/>
                <w:iCs/>
                <w:spacing w:val="0"/>
                <w:sz w:val="18"/>
                <w:szCs w:val="26"/>
                <w:rtl/>
              </w:rPr>
            </w:pPr>
            <w:r w:rsidRPr="00D17401">
              <w:rPr>
                <w:rFonts w:hint="cs"/>
                <w:i/>
                <w:iCs/>
                <w:spacing w:val="0"/>
                <w:sz w:val="18"/>
                <w:szCs w:val="26"/>
                <w:rtl/>
              </w:rPr>
              <w:t>التاريخ المحدد لتقديم المعلومات</w:t>
            </w:r>
          </w:p>
        </w:tc>
        <w:tc>
          <w:tcPr>
            <w:tcW w:w="2141" w:type="dxa"/>
            <w:tcBorders>
              <w:bottom w:val="single" w:sz="12" w:space="0" w:color="auto"/>
            </w:tcBorders>
            <w:vAlign w:val="bottom"/>
          </w:tcPr>
          <w:p w:rsidR="004E0A37" w:rsidRPr="00D17401" w:rsidRDefault="004E0A37" w:rsidP="004E0A37">
            <w:pPr>
              <w:spacing w:before="40" w:after="40" w:line="320" w:lineRule="exact"/>
              <w:jc w:val="lowKashida"/>
              <w:rPr>
                <w:rFonts w:hint="cs"/>
                <w:i/>
                <w:iCs/>
                <w:spacing w:val="0"/>
                <w:sz w:val="18"/>
                <w:szCs w:val="26"/>
                <w:rtl/>
              </w:rPr>
            </w:pPr>
            <w:r w:rsidRPr="00D17401">
              <w:rPr>
                <w:rFonts w:hint="cs"/>
                <w:i/>
                <w:iCs/>
                <w:spacing w:val="0"/>
                <w:sz w:val="18"/>
                <w:szCs w:val="26"/>
                <w:rtl/>
              </w:rPr>
              <w:t>الدولة الطرف</w:t>
            </w:r>
          </w:p>
        </w:tc>
      </w:tr>
      <w:tr w:rsidR="004E0A37" w:rsidRPr="00D17401" w:rsidTr="00C51313">
        <w:tblPrEx>
          <w:tblCellMar>
            <w:top w:w="0" w:type="dxa"/>
            <w:bottom w:w="0" w:type="dxa"/>
          </w:tblCellMar>
        </w:tblPrEx>
        <w:tc>
          <w:tcPr>
            <w:tcW w:w="1786" w:type="dxa"/>
            <w:tcBorders>
              <w:top w:val="single" w:sz="12" w:space="0" w:color="auto"/>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single" w:sz="12" w:space="0" w:color="auto"/>
              <w:bottom w:val="nil"/>
            </w:tcBorders>
          </w:tcPr>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w:t>
            </w:r>
          </w:p>
        </w:tc>
        <w:tc>
          <w:tcPr>
            <w:tcW w:w="2500" w:type="dxa"/>
            <w:tcBorders>
              <w:top w:val="single" w:sz="12" w:space="0" w:color="auto"/>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حزيران/يونيه 2013</w:t>
            </w:r>
          </w:p>
        </w:tc>
        <w:tc>
          <w:tcPr>
            <w:tcW w:w="2141" w:type="dxa"/>
            <w:tcBorders>
              <w:top w:val="single" w:sz="12" w:space="0" w:color="auto"/>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أرمينيا</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nil"/>
              <w:bottom w:val="nil"/>
            </w:tcBorders>
          </w:tcPr>
          <w:p w:rsidR="004E0A37" w:rsidRPr="00D17401" w:rsidRDefault="004E0A37" w:rsidP="004E0A37">
            <w:pPr>
              <w:spacing w:before="40" w:after="40" w:line="320" w:lineRule="exact"/>
              <w:ind w:left="57"/>
              <w:jc w:val="lowKashida"/>
              <w:rPr>
                <w:spacing w:val="0"/>
                <w:sz w:val="18"/>
                <w:szCs w:val="26"/>
                <w:lang/>
              </w:rPr>
            </w:pPr>
            <w:r w:rsidRPr="00D17401">
              <w:rPr>
                <w:rFonts w:hint="cs"/>
                <w:spacing w:val="0"/>
                <w:sz w:val="18"/>
                <w:szCs w:val="26"/>
                <w:rtl/>
              </w:rPr>
              <w:t>-</w:t>
            </w:r>
          </w:p>
        </w:tc>
        <w:tc>
          <w:tcPr>
            <w:tcW w:w="2500"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حزيران/يونيه 2013</w:t>
            </w:r>
          </w:p>
        </w:tc>
        <w:tc>
          <w:tcPr>
            <w:tcW w:w="21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ألبانيا</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w:t>
            </w:r>
          </w:p>
        </w:tc>
        <w:tc>
          <w:tcPr>
            <w:tcW w:w="2500"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حزيران/يونيه 2013</w:t>
            </w:r>
          </w:p>
        </w:tc>
        <w:tc>
          <w:tcPr>
            <w:tcW w:w="2141" w:type="dxa"/>
            <w:tcBorders>
              <w:top w:val="nil"/>
              <w:bottom w:val="nil"/>
            </w:tcBorders>
          </w:tcPr>
          <w:p w:rsidR="004E0A37" w:rsidRPr="00D17401" w:rsidRDefault="004E0A37" w:rsidP="00C51313">
            <w:pPr>
              <w:spacing w:before="40" w:after="40" w:line="320" w:lineRule="exact"/>
              <w:rPr>
                <w:rFonts w:hint="cs"/>
                <w:spacing w:val="0"/>
                <w:sz w:val="18"/>
                <w:szCs w:val="26"/>
                <w:rtl/>
              </w:rPr>
            </w:pPr>
            <w:r w:rsidRPr="00D17401">
              <w:rPr>
                <w:rFonts w:hint="cs"/>
                <w:spacing w:val="0"/>
                <w:sz w:val="18"/>
                <w:szCs w:val="26"/>
                <w:rtl/>
              </w:rPr>
              <w:t>الجمهورية التشيكية</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rPr>
            </w:pPr>
            <w:r w:rsidRPr="00D17401">
              <w:rPr>
                <w:rFonts w:hint="cs"/>
                <w:spacing w:val="0"/>
                <w:sz w:val="18"/>
                <w:szCs w:val="26"/>
                <w:rtl/>
              </w:rPr>
              <w:t>-</w:t>
            </w:r>
          </w:p>
        </w:tc>
        <w:tc>
          <w:tcPr>
            <w:tcW w:w="2500"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آب/أغسطس 2012</w:t>
            </w:r>
          </w:p>
        </w:tc>
        <w:tc>
          <w:tcPr>
            <w:tcW w:w="2141" w:type="dxa"/>
            <w:tcBorders>
              <w:top w:val="nil"/>
              <w:bottom w:val="nil"/>
            </w:tcBorders>
          </w:tcPr>
          <w:p w:rsidR="004E0A37" w:rsidRPr="00D17401" w:rsidRDefault="004E0A37" w:rsidP="00C51313">
            <w:pPr>
              <w:spacing w:before="40" w:after="40" w:line="320" w:lineRule="exact"/>
              <w:rPr>
                <w:rFonts w:hint="cs"/>
                <w:spacing w:val="0"/>
                <w:sz w:val="18"/>
                <w:szCs w:val="26"/>
                <w:rtl/>
              </w:rPr>
            </w:pPr>
            <w:r w:rsidRPr="00D17401">
              <w:rPr>
                <w:rFonts w:hint="cs"/>
                <w:spacing w:val="0"/>
                <w:sz w:val="18"/>
                <w:szCs w:val="26"/>
                <w:rtl/>
              </w:rPr>
              <w:t>الجمهورية العربية السورية</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lang/>
              </w:rPr>
            </w:pPr>
            <w:r w:rsidRPr="00D17401">
              <w:rPr>
                <w:rFonts w:hint="cs"/>
                <w:spacing w:val="0"/>
                <w:sz w:val="18"/>
                <w:szCs w:val="26"/>
                <w:rtl/>
              </w:rPr>
              <w:t>-</w:t>
            </w:r>
          </w:p>
        </w:tc>
        <w:tc>
          <w:tcPr>
            <w:tcW w:w="2500"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حزيران/يونيه 2013</w:t>
            </w:r>
          </w:p>
        </w:tc>
        <w:tc>
          <w:tcPr>
            <w:tcW w:w="21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رواندا</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nil"/>
              <w:bottom w:val="nil"/>
            </w:tcBorders>
          </w:tcPr>
          <w:p w:rsidR="004E0A37" w:rsidRPr="00D17401" w:rsidRDefault="004E0A37" w:rsidP="004E0A37">
            <w:pPr>
              <w:spacing w:before="40" w:after="40" w:line="320" w:lineRule="exact"/>
              <w:ind w:left="57"/>
              <w:jc w:val="lowKashida"/>
              <w:rPr>
                <w:rFonts w:hint="cs"/>
                <w:spacing w:val="0"/>
                <w:sz w:val="18"/>
                <w:szCs w:val="26"/>
                <w:lang/>
              </w:rPr>
            </w:pPr>
            <w:r w:rsidRPr="00D17401">
              <w:rPr>
                <w:rFonts w:hint="cs"/>
                <w:spacing w:val="0"/>
                <w:sz w:val="18"/>
                <w:szCs w:val="26"/>
                <w:rtl/>
              </w:rPr>
              <w:t>-</w:t>
            </w:r>
          </w:p>
        </w:tc>
        <w:tc>
          <w:tcPr>
            <w:tcW w:w="2500"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حزيران/يونيه 2013</w:t>
            </w:r>
          </w:p>
        </w:tc>
        <w:tc>
          <w:tcPr>
            <w:tcW w:w="21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كندا</w:t>
            </w:r>
          </w:p>
        </w:tc>
      </w:tr>
      <w:tr w:rsidR="004E0A37" w:rsidRPr="00D17401" w:rsidTr="00C51313">
        <w:tblPrEx>
          <w:tblCellMar>
            <w:top w:w="0" w:type="dxa"/>
            <w:bottom w:w="0" w:type="dxa"/>
          </w:tblCellMar>
        </w:tblPrEx>
        <w:tc>
          <w:tcPr>
            <w:tcW w:w="1786"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nil"/>
              <w:bottom w:val="nil"/>
            </w:tcBorders>
          </w:tcPr>
          <w:p w:rsidR="004E0A37" w:rsidRPr="00D17401" w:rsidRDefault="004E0A37" w:rsidP="004E0A37">
            <w:pPr>
              <w:spacing w:before="40" w:after="40" w:line="320" w:lineRule="exact"/>
              <w:ind w:left="57"/>
              <w:jc w:val="lowKashida"/>
              <w:rPr>
                <w:spacing w:val="0"/>
                <w:sz w:val="18"/>
                <w:szCs w:val="26"/>
              </w:rPr>
            </w:pPr>
            <w:r w:rsidRPr="00D17401">
              <w:rPr>
                <w:rFonts w:hint="cs"/>
                <w:spacing w:val="0"/>
                <w:sz w:val="18"/>
                <w:szCs w:val="26"/>
                <w:rtl/>
              </w:rPr>
              <w:t>-</w:t>
            </w:r>
          </w:p>
        </w:tc>
        <w:tc>
          <w:tcPr>
            <w:tcW w:w="2500"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حزيران/يونيه 2013</w:t>
            </w:r>
          </w:p>
        </w:tc>
        <w:tc>
          <w:tcPr>
            <w:tcW w:w="2141" w:type="dxa"/>
            <w:tcBorders>
              <w:top w:val="nil"/>
              <w:bottom w:val="nil"/>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كوبا</w:t>
            </w:r>
          </w:p>
        </w:tc>
      </w:tr>
      <w:tr w:rsidR="004E0A37" w:rsidRPr="00D17401" w:rsidTr="00C51313">
        <w:tblPrEx>
          <w:tblCellMar>
            <w:top w:w="0" w:type="dxa"/>
            <w:bottom w:w="0" w:type="dxa"/>
          </w:tblCellMar>
        </w:tblPrEx>
        <w:tc>
          <w:tcPr>
            <w:tcW w:w="1786" w:type="dxa"/>
            <w:tcBorders>
              <w:top w:val="nil"/>
              <w:bottom w:val="single" w:sz="12" w:space="0" w:color="auto"/>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w:t>
            </w:r>
          </w:p>
        </w:tc>
        <w:tc>
          <w:tcPr>
            <w:tcW w:w="2000" w:type="dxa"/>
            <w:tcBorders>
              <w:top w:val="nil"/>
              <w:bottom w:val="single" w:sz="12" w:space="0" w:color="auto"/>
            </w:tcBorders>
          </w:tcPr>
          <w:p w:rsidR="004E0A37" w:rsidRPr="00D17401" w:rsidRDefault="004E0A37" w:rsidP="004E0A37">
            <w:pPr>
              <w:spacing w:before="40" w:after="40" w:line="320" w:lineRule="exact"/>
              <w:ind w:left="57"/>
              <w:jc w:val="lowKashida"/>
              <w:rPr>
                <w:rFonts w:hint="cs"/>
                <w:spacing w:val="0"/>
                <w:sz w:val="18"/>
                <w:szCs w:val="26"/>
                <w:rtl/>
              </w:rPr>
            </w:pPr>
            <w:r w:rsidRPr="00D17401">
              <w:rPr>
                <w:rFonts w:hint="cs"/>
                <w:spacing w:val="0"/>
                <w:sz w:val="18"/>
                <w:szCs w:val="26"/>
                <w:rtl/>
              </w:rPr>
              <w:t>-</w:t>
            </w:r>
          </w:p>
        </w:tc>
        <w:tc>
          <w:tcPr>
            <w:tcW w:w="2500" w:type="dxa"/>
            <w:tcBorders>
              <w:top w:val="nil"/>
              <w:bottom w:val="single" w:sz="12" w:space="0" w:color="auto"/>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حزيران/يونيه 2013</w:t>
            </w:r>
          </w:p>
        </w:tc>
        <w:tc>
          <w:tcPr>
            <w:tcW w:w="2141" w:type="dxa"/>
            <w:tcBorders>
              <w:top w:val="nil"/>
              <w:bottom w:val="single" w:sz="12" w:space="0" w:color="auto"/>
            </w:tcBorders>
          </w:tcPr>
          <w:p w:rsidR="004E0A37" w:rsidRPr="00D17401" w:rsidRDefault="004E0A37" w:rsidP="004E0A37">
            <w:pPr>
              <w:spacing w:before="40" w:after="40" w:line="320" w:lineRule="exact"/>
              <w:jc w:val="lowKashida"/>
              <w:rPr>
                <w:rFonts w:hint="cs"/>
                <w:spacing w:val="0"/>
                <w:sz w:val="18"/>
                <w:szCs w:val="26"/>
                <w:rtl/>
              </w:rPr>
            </w:pPr>
            <w:r w:rsidRPr="00D17401">
              <w:rPr>
                <w:rFonts w:hint="cs"/>
                <w:spacing w:val="0"/>
                <w:sz w:val="18"/>
                <w:szCs w:val="26"/>
                <w:rtl/>
              </w:rPr>
              <w:t>اليونان</w:t>
            </w:r>
          </w:p>
        </w:tc>
      </w:tr>
    </w:tbl>
    <w:p w:rsidR="004E0A37" w:rsidRPr="003B45E3" w:rsidRDefault="003B45E3" w:rsidP="003B45E3">
      <w:pPr>
        <w:pStyle w:val="HChGA"/>
        <w:spacing w:before="120"/>
        <w:rPr>
          <w:rFonts w:ascii="Times New Roman Bold" w:hAnsi="Times New Roman Bold" w:hint="cs"/>
          <w:spacing w:val="0"/>
          <w:rtl/>
        </w:rPr>
      </w:pPr>
      <w:r>
        <w:rPr>
          <w:rtl/>
        </w:rPr>
        <w:br w:type="page"/>
      </w:r>
      <w:r w:rsidRPr="003B45E3">
        <w:rPr>
          <w:rFonts w:ascii="Times New Roman Bold" w:hAnsi="Times New Roman Bold" w:hint="cs"/>
          <w:spacing w:val="0"/>
          <w:rtl/>
        </w:rPr>
        <w:tab/>
      </w:r>
      <w:r w:rsidR="004E0A37" w:rsidRPr="003B45E3">
        <w:rPr>
          <w:rFonts w:ascii="Times New Roman Bold" w:hAnsi="Times New Roman Bold" w:hint="cs"/>
          <w:spacing w:val="0"/>
          <w:rtl/>
        </w:rPr>
        <w:t>خامساً</w:t>
      </w:r>
      <w:r w:rsidR="004E0A37" w:rsidRPr="003B45E3">
        <w:rPr>
          <w:rFonts w:ascii="Times New Roman Bold" w:hAnsi="Times New Roman Bold"/>
          <w:spacing w:val="0"/>
          <w:rtl/>
        </w:rPr>
        <w:t>-</w:t>
      </w:r>
      <w:r w:rsidR="004E0A37" w:rsidRPr="003B45E3">
        <w:rPr>
          <w:rFonts w:ascii="Times New Roman Bold" w:hAnsi="Times New Roman Bold"/>
          <w:spacing w:val="0"/>
          <w:rtl/>
        </w:rPr>
        <w:tab/>
        <w:t>أنشطة اللجنة بموجب المادة 20 من الاتفاقية</w:t>
      </w:r>
    </w:p>
    <w:p w:rsidR="004E0A37" w:rsidRPr="003B45E3" w:rsidRDefault="003B45E3" w:rsidP="007223C0">
      <w:pPr>
        <w:pStyle w:val="H1GA"/>
        <w:rPr>
          <w:rFonts w:hint="cs"/>
          <w:rtl/>
        </w:rPr>
      </w:pPr>
      <w:r w:rsidRPr="003B45E3">
        <w:rPr>
          <w:rFonts w:hint="cs"/>
          <w:rtl/>
          <w:lang w:val="fr-CH"/>
        </w:rPr>
        <w:tab/>
      </w:r>
      <w:r w:rsidR="004E0A37" w:rsidRPr="003B45E3">
        <w:rPr>
          <w:rFonts w:hint="cs"/>
          <w:rtl/>
          <w:lang w:val="fr-CH"/>
        </w:rPr>
        <w:t>ألف-</w:t>
      </w:r>
      <w:r w:rsidR="004E0A37" w:rsidRPr="003B45E3">
        <w:rPr>
          <w:rFonts w:hint="cs"/>
          <w:rtl/>
          <w:lang w:val="fr-CH"/>
        </w:rPr>
        <w:tab/>
        <w:t>معلومات عامة</w:t>
      </w:r>
    </w:p>
    <w:p w:rsidR="004E0A37" w:rsidRPr="004E0A37" w:rsidRDefault="004E0A37" w:rsidP="004E0A37">
      <w:pPr>
        <w:pStyle w:val="SingleTxtGA"/>
        <w:jc w:val="lowKashida"/>
        <w:rPr>
          <w:spacing w:val="0"/>
          <w:sz w:val="20"/>
          <w:rtl/>
        </w:rPr>
      </w:pPr>
      <w:r w:rsidRPr="004E0A37">
        <w:rPr>
          <w:rFonts w:hint="cs"/>
          <w:spacing w:val="0"/>
          <w:sz w:val="20"/>
          <w:rtl/>
        </w:rPr>
        <w:t>83-</w:t>
      </w:r>
      <w:r w:rsidRPr="004E0A37">
        <w:rPr>
          <w:spacing w:val="0"/>
          <w:sz w:val="20"/>
          <w:rtl/>
        </w:rPr>
        <w:tab/>
      </w:r>
      <w:r w:rsidRPr="004E0A37">
        <w:rPr>
          <w:rFonts w:hint="eastAsia"/>
          <w:spacing w:val="0"/>
          <w:sz w:val="20"/>
          <w:rtl/>
        </w:rPr>
        <w:t>وفقاً</w:t>
      </w:r>
      <w:r w:rsidRPr="004E0A37">
        <w:rPr>
          <w:spacing w:val="0"/>
          <w:sz w:val="20"/>
          <w:rtl/>
        </w:rPr>
        <w:t xml:space="preserve"> للفقرة 1 </w:t>
      </w:r>
      <w:r w:rsidRPr="004E0A37">
        <w:rPr>
          <w:rFonts w:hint="eastAsia"/>
          <w:spacing w:val="0"/>
          <w:sz w:val="20"/>
          <w:rtl/>
        </w:rPr>
        <w:t>من</w:t>
      </w:r>
      <w:r w:rsidRPr="004E0A37">
        <w:rPr>
          <w:spacing w:val="0"/>
          <w:sz w:val="20"/>
          <w:rtl/>
        </w:rPr>
        <w:t xml:space="preserve"> المادة 20 من الاتفاقية، إذا تلقت اللجنة معلومات موثوقاً بها يبدو </w:t>
      </w:r>
      <w:r w:rsidRPr="004E0A37">
        <w:rPr>
          <w:rFonts w:hint="cs"/>
          <w:spacing w:val="0"/>
          <w:sz w:val="20"/>
          <w:rtl/>
        </w:rPr>
        <w:t xml:space="preserve">لها </w:t>
      </w:r>
      <w:r w:rsidRPr="004E0A37">
        <w:rPr>
          <w:spacing w:val="0"/>
          <w:sz w:val="20"/>
          <w:rtl/>
        </w:rPr>
        <w:t xml:space="preserve">أنها تتضمن </w:t>
      </w:r>
      <w:r w:rsidRPr="004E0A37">
        <w:rPr>
          <w:rFonts w:hint="eastAsia"/>
          <w:spacing w:val="0"/>
          <w:sz w:val="20"/>
          <w:rtl/>
        </w:rPr>
        <w:t>دلائل</w:t>
      </w:r>
      <w:r w:rsidRPr="004E0A37">
        <w:rPr>
          <w:spacing w:val="0"/>
          <w:sz w:val="20"/>
          <w:rtl/>
        </w:rPr>
        <w:t xml:space="preserve"> </w:t>
      </w:r>
      <w:r w:rsidRPr="004E0A37">
        <w:rPr>
          <w:rFonts w:hint="cs"/>
          <w:spacing w:val="0"/>
          <w:sz w:val="20"/>
          <w:rtl/>
        </w:rPr>
        <w:t xml:space="preserve">لها </w:t>
      </w:r>
      <w:r w:rsidRPr="004E0A37">
        <w:rPr>
          <w:spacing w:val="0"/>
          <w:sz w:val="20"/>
          <w:rtl/>
        </w:rPr>
        <w:t xml:space="preserve">أساس قوي تشير إلى أن التعذيب يمارس على نحو منهجي في أراضي دولة طرف، </w:t>
      </w:r>
      <w:r w:rsidRPr="004E0A37">
        <w:rPr>
          <w:rFonts w:hint="eastAsia"/>
          <w:spacing w:val="0"/>
          <w:sz w:val="20"/>
          <w:rtl/>
        </w:rPr>
        <w:t>تدعو</w:t>
      </w:r>
      <w:r w:rsidRPr="004E0A37">
        <w:rPr>
          <w:spacing w:val="0"/>
          <w:sz w:val="20"/>
          <w:rtl/>
        </w:rPr>
        <w:t xml:space="preserve"> اللجنة </w:t>
      </w:r>
      <w:r w:rsidRPr="004E0A37">
        <w:rPr>
          <w:rFonts w:hint="cs"/>
          <w:spacing w:val="0"/>
          <w:sz w:val="20"/>
          <w:rtl/>
        </w:rPr>
        <w:t xml:space="preserve">هذه </w:t>
      </w:r>
      <w:r w:rsidRPr="004E0A37">
        <w:rPr>
          <w:spacing w:val="0"/>
          <w:sz w:val="20"/>
          <w:rtl/>
        </w:rPr>
        <w:t xml:space="preserve">الدولة الطرف إلى </w:t>
      </w:r>
      <w:r w:rsidRPr="004E0A37">
        <w:rPr>
          <w:rFonts w:hint="cs"/>
          <w:spacing w:val="0"/>
          <w:sz w:val="20"/>
          <w:rtl/>
        </w:rPr>
        <w:t>أن ت</w:t>
      </w:r>
      <w:r w:rsidRPr="004E0A37">
        <w:rPr>
          <w:spacing w:val="0"/>
          <w:sz w:val="20"/>
          <w:rtl/>
        </w:rPr>
        <w:t>تعاون في دراسة هذه المعلومات و</w:t>
      </w:r>
      <w:r w:rsidRPr="004E0A37">
        <w:rPr>
          <w:rFonts w:hint="cs"/>
          <w:spacing w:val="0"/>
          <w:sz w:val="20"/>
          <w:rtl/>
        </w:rPr>
        <w:t>أن تقدم</w:t>
      </w:r>
      <w:r w:rsidRPr="004E0A37">
        <w:rPr>
          <w:rFonts w:hint="eastAsia"/>
          <w:spacing w:val="0"/>
          <w:sz w:val="20"/>
          <w:rtl/>
        </w:rPr>
        <w:t>،</w:t>
      </w:r>
      <w:r w:rsidRPr="004E0A37">
        <w:rPr>
          <w:spacing w:val="0"/>
          <w:sz w:val="20"/>
          <w:rtl/>
        </w:rPr>
        <w:t xml:space="preserve"> تحقيقاً لهذه الغاية، ملاحظات بخصوص </w:t>
      </w:r>
      <w:r w:rsidRPr="004E0A37">
        <w:rPr>
          <w:rFonts w:hint="cs"/>
          <w:spacing w:val="0"/>
          <w:sz w:val="20"/>
          <w:rtl/>
        </w:rPr>
        <w:t>هذه</w:t>
      </w:r>
      <w:r w:rsidRPr="004E0A37">
        <w:rPr>
          <w:spacing w:val="0"/>
          <w:sz w:val="20"/>
          <w:rtl/>
        </w:rPr>
        <w:t xml:space="preserve"> المعلومات.</w:t>
      </w:r>
    </w:p>
    <w:p w:rsidR="004E0A37" w:rsidRPr="004E0A37" w:rsidRDefault="004E0A37" w:rsidP="004E0A37">
      <w:pPr>
        <w:pStyle w:val="SingleTxtGA"/>
        <w:jc w:val="lowKashida"/>
        <w:rPr>
          <w:rFonts w:hint="cs"/>
          <w:spacing w:val="0"/>
          <w:sz w:val="20"/>
          <w:rtl/>
        </w:rPr>
      </w:pPr>
      <w:r w:rsidRPr="004E0A37">
        <w:rPr>
          <w:rFonts w:hint="cs"/>
          <w:spacing w:val="0"/>
          <w:sz w:val="20"/>
          <w:rtl/>
        </w:rPr>
        <w:t>84-</w:t>
      </w:r>
      <w:r w:rsidRPr="004E0A37">
        <w:rPr>
          <w:spacing w:val="0"/>
          <w:sz w:val="20"/>
          <w:rtl/>
        </w:rPr>
        <w:tab/>
      </w:r>
      <w:r w:rsidRPr="004E0A37">
        <w:rPr>
          <w:rFonts w:hint="eastAsia"/>
          <w:spacing w:val="0"/>
          <w:sz w:val="20"/>
          <w:rtl/>
        </w:rPr>
        <w:t>ووفقاً</w:t>
      </w:r>
      <w:r w:rsidRPr="004E0A37">
        <w:rPr>
          <w:spacing w:val="0"/>
          <w:sz w:val="20"/>
          <w:rtl/>
        </w:rPr>
        <w:t xml:space="preserve"> للمادة </w:t>
      </w:r>
      <w:r w:rsidRPr="004E0A37">
        <w:rPr>
          <w:rFonts w:hint="cs"/>
          <w:spacing w:val="0"/>
          <w:sz w:val="20"/>
          <w:rtl/>
        </w:rPr>
        <w:t>75</w:t>
      </w:r>
      <w:r w:rsidRPr="004E0A37">
        <w:rPr>
          <w:spacing w:val="0"/>
          <w:sz w:val="20"/>
          <w:rtl/>
        </w:rPr>
        <w:t xml:space="preserve"> </w:t>
      </w:r>
      <w:r w:rsidRPr="004E0A37">
        <w:rPr>
          <w:rFonts w:hint="eastAsia"/>
          <w:spacing w:val="0"/>
          <w:sz w:val="20"/>
          <w:rtl/>
        </w:rPr>
        <w:t>من</w:t>
      </w:r>
      <w:r w:rsidRPr="004E0A37">
        <w:rPr>
          <w:spacing w:val="0"/>
          <w:sz w:val="20"/>
          <w:rtl/>
        </w:rPr>
        <w:t xml:space="preserve"> النظام الداخلي للجنة، ي</w:t>
      </w:r>
      <w:r w:rsidRPr="004E0A37">
        <w:rPr>
          <w:rFonts w:hint="cs"/>
          <w:spacing w:val="0"/>
          <w:sz w:val="20"/>
          <w:rtl/>
        </w:rPr>
        <w:t xml:space="preserve">وجه </w:t>
      </w:r>
      <w:r w:rsidRPr="004E0A37">
        <w:rPr>
          <w:spacing w:val="0"/>
          <w:sz w:val="20"/>
          <w:rtl/>
        </w:rPr>
        <w:t xml:space="preserve">الأمين العام انتباه اللجنة إلى </w:t>
      </w:r>
      <w:r w:rsidRPr="004E0A37">
        <w:rPr>
          <w:rFonts w:hint="eastAsia"/>
          <w:spacing w:val="0"/>
          <w:sz w:val="20"/>
          <w:rtl/>
        </w:rPr>
        <w:t>المعلومات</w:t>
      </w:r>
      <w:r w:rsidRPr="004E0A37">
        <w:rPr>
          <w:spacing w:val="0"/>
          <w:sz w:val="20"/>
          <w:rtl/>
        </w:rPr>
        <w:t xml:space="preserve"> التي أحيلت إليها، أو التي يبدو أنها أحيلت إليها، لكي تنظر فيها بموجب </w:t>
      </w:r>
      <w:r w:rsidRPr="004E0A37">
        <w:rPr>
          <w:rFonts w:hint="eastAsia"/>
          <w:spacing w:val="0"/>
          <w:sz w:val="20"/>
          <w:rtl/>
        </w:rPr>
        <w:t>الفقرة</w:t>
      </w:r>
      <w:r w:rsidRPr="004E0A37">
        <w:rPr>
          <w:spacing w:val="0"/>
          <w:sz w:val="20"/>
          <w:rtl/>
        </w:rPr>
        <w:t xml:space="preserve"> 1 من المادة 20</w:t>
      </w:r>
      <w:r w:rsidRPr="004E0A37">
        <w:rPr>
          <w:rFonts w:hint="cs"/>
          <w:spacing w:val="0"/>
          <w:sz w:val="20"/>
          <w:rtl/>
        </w:rPr>
        <w:t xml:space="preserve"> من الاتفاقية</w:t>
      </w:r>
      <w:r w:rsidRPr="004E0A37">
        <w:rPr>
          <w:spacing w:val="0"/>
          <w:sz w:val="20"/>
          <w:rtl/>
        </w:rPr>
        <w:t>.</w:t>
      </w:r>
    </w:p>
    <w:p w:rsidR="004E0A37" w:rsidRPr="004E0A37" w:rsidRDefault="004E0A37" w:rsidP="004E0A37">
      <w:pPr>
        <w:pStyle w:val="SingleTxtGA"/>
        <w:jc w:val="lowKashida"/>
        <w:rPr>
          <w:spacing w:val="0"/>
          <w:sz w:val="20"/>
          <w:rtl/>
        </w:rPr>
      </w:pPr>
      <w:r w:rsidRPr="004E0A37">
        <w:rPr>
          <w:rFonts w:hint="cs"/>
          <w:spacing w:val="0"/>
          <w:sz w:val="20"/>
          <w:rtl/>
        </w:rPr>
        <w:t>85-</w:t>
      </w:r>
      <w:r w:rsidRPr="004E0A37">
        <w:rPr>
          <w:spacing w:val="0"/>
          <w:sz w:val="20"/>
          <w:rtl/>
        </w:rPr>
        <w:tab/>
      </w:r>
      <w:r w:rsidRPr="004E0A37">
        <w:rPr>
          <w:rFonts w:hint="eastAsia"/>
          <w:spacing w:val="0"/>
          <w:sz w:val="20"/>
          <w:rtl/>
        </w:rPr>
        <w:t>ولا</w:t>
      </w:r>
      <w:r w:rsidRPr="004E0A37">
        <w:rPr>
          <w:spacing w:val="0"/>
          <w:sz w:val="20"/>
          <w:rtl/>
        </w:rPr>
        <w:t xml:space="preserve"> تستلم اللجنة </w:t>
      </w:r>
      <w:r w:rsidRPr="004E0A37">
        <w:rPr>
          <w:rFonts w:hint="eastAsia"/>
          <w:spacing w:val="0"/>
          <w:sz w:val="20"/>
          <w:rtl/>
        </w:rPr>
        <w:t>أي</w:t>
      </w:r>
      <w:r w:rsidRPr="004E0A37">
        <w:rPr>
          <w:spacing w:val="0"/>
          <w:sz w:val="20"/>
          <w:rtl/>
        </w:rPr>
        <w:t xml:space="preserve"> معلومات إذا كانت تتعلق بدولة طرف</w:t>
      </w:r>
      <w:r w:rsidRPr="004E0A37">
        <w:rPr>
          <w:rFonts w:hint="cs"/>
          <w:spacing w:val="0"/>
          <w:sz w:val="20"/>
          <w:rtl/>
        </w:rPr>
        <w:t xml:space="preserve"> تكون قد</w:t>
      </w:r>
      <w:r w:rsidRPr="004E0A37">
        <w:rPr>
          <w:spacing w:val="0"/>
          <w:sz w:val="20"/>
          <w:rtl/>
        </w:rPr>
        <w:t xml:space="preserve"> أعلنت،</w:t>
      </w:r>
      <w:r w:rsidR="00B345DB">
        <w:rPr>
          <w:spacing w:val="0"/>
          <w:sz w:val="20"/>
          <w:rtl/>
        </w:rPr>
        <w:t xml:space="preserve"> وفقاً </w:t>
      </w:r>
      <w:r w:rsidRPr="004E0A37">
        <w:rPr>
          <w:spacing w:val="0"/>
          <w:sz w:val="20"/>
          <w:rtl/>
        </w:rPr>
        <w:t xml:space="preserve">للفقرة 1 من المادة 28 من </w:t>
      </w:r>
      <w:r w:rsidRPr="004E0A37">
        <w:rPr>
          <w:rFonts w:hint="eastAsia"/>
          <w:spacing w:val="0"/>
          <w:sz w:val="20"/>
          <w:rtl/>
        </w:rPr>
        <w:t>الاتفاقية،</w:t>
      </w:r>
      <w:r w:rsidRPr="004E0A37">
        <w:rPr>
          <w:spacing w:val="0"/>
          <w:sz w:val="20"/>
          <w:rtl/>
        </w:rPr>
        <w:t xml:space="preserve"> وقت التصديق على الاتفاقية أو الانضمام إليها، أنها لا تعترف </w:t>
      </w:r>
      <w:r w:rsidRPr="004E0A37">
        <w:rPr>
          <w:rFonts w:hint="eastAsia"/>
          <w:spacing w:val="0"/>
          <w:sz w:val="20"/>
          <w:rtl/>
        </w:rPr>
        <w:t>باختصاص</w:t>
      </w:r>
      <w:r w:rsidRPr="004E0A37">
        <w:rPr>
          <w:spacing w:val="0"/>
          <w:sz w:val="20"/>
          <w:rtl/>
        </w:rPr>
        <w:t xml:space="preserve"> اللجنة المنصوص عليه في المادة 20، ما</w:t>
      </w:r>
      <w:r w:rsidR="00335AC0">
        <w:rPr>
          <w:spacing w:val="0"/>
          <w:sz w:val="20"/>
          <w:rtl/>
        </w:rPr>
        <w:t xml:space="preserve"> لم </w:t>
      </w:r>
      <w:r w:rsidRPr="004E0A37">
        <w:rPr>
          <w:spacing w:val="0"/>
          <w:sz w:val="20"/>
          <w:rtl/>
        </w:rPr>
        <w:t xml:space="preserve">تكن هذه الدولة الطرف قد سحبت </w:t>
      </w:r>
      <w:r w:rsidRPr="004E0A37">
        <w:rPr>
          <w:rFonts w:hint="eastAsia"/>
          <w:spacing w:val="0"/>
          <w:sz w:val="20"/>
          <w:rtl/>
        </w:rPr>
        <w:t>تحفظها</w:t>
      </w:r>
      <w:r w:rsidRPr="004E0A37">
        <w:rPr>
          <w:spacing w:val="0"/>
          <w:sz w:val="20"/>
          <w:rtl/>
        </w:rPr>
        <w:t xml:space="preserve"> بعد ذلك</w:t>
      </w:r>
      <w:r w:rsidR="00B345DB">
        <w:rPr>
          <w:spacing w:val="0"/>
          <w:sz w:val="20"/>
          <w:rtl/>
        </w:rPr>
        <w:t xml:space="preserve"> وفقاً </w:t>
      </w:r>
      <w:r w:rsidRPr="004E0A37">
        <w:rPr>
          <w:spacing w:val="0"/>
          <w:sz w:val="20"/>
          <w:rtl/>
        </w:rPr>
        <w:t>للفقرة 2 من المادة 28 من الاتفاقية.</w:t>
      </w:r>
    </w:p>
    <w:p w:rsidR="004E0A37" w:rsidRPr="003B45E3" w:rsidRDefault="004E0A37" w:rsidP="003B45E3">
      <w:pPr>
        <w:pStyle w:val="SingleTxtGA"/>
        <w:jc w:val="lowKashida"/>
        <w:rPr>
          <w:rFonts w:hint="cs"/>
          <w:spacing w:val="-3"/>
          <w:sz w:val="20"/>
          <w:rtl/>
        </w:rPr>
      </w:pPr>
      <w:r w:rsidRPr="003B45E3">
        <w:rPr>
          <w:rFonts w:hint="cs"/>
          <w:spacing w:val="-3"/>
          <w:sz w:val="20"/>
          <w:rtl/>
        </w:rPr>
        <w:t>86-</w:t>
      </w:r>
      <w:r w:rsidRPr="003B45E3">
        <w:rPr>
          <w:spacing w:val="-3"/>
          <w:sz w:val="20"/>
          <w:rtl/>
        </w:rPr>
        <w:tab/>
      </w:r>
      <w:r w:rsidRPr="003B45E3">
        <w:rPr>
          <w:rFonts w:hint="eastAsia"/>
          <w:spacing w:val="-3"/>
          <w:sz w:val="20"/>
          <w:rtl/>
        </w:rPr>
        <w:t>وقد</w:t>
      </w:r>
      <w:r w:rsidRPr="003B45E3">
        <w:rPr>
          <w:spacing w:val="-3"/>
          <w:sz w:val="20"/>
          <w:rtl/>
        </w:rPr>
        <w:t xml:space="preserve"> استمرت أعمال </w:t>
      </w:r>
      <w:r w:rsidRPr="003B45E3">
        <w:rPr>
          <w:rFonts w:hint="eastAsia"/>
          <w:spacing w:val="-3"/>
          <w:sz w:val="20"/>
          <w:rtl/>
        </w:rPr>
        <w:t>اللجنة</w:t>
      </w:r>
      <w:r w:rsidRPr="003B45E3">
        <w:rPr>
          <w:spacing w:val="-3"/>
          <w:sz w:val="20"/>
          <w:rtl/>
        </w:rPr>
        <w:t xml:space="preserve"> بموجب المادة 20 من الاتفاقية خلال الفترة قيد الاستعراض</w:t>
      </w:r>
      <w:r w:rsidRPr="003B45E3">
        <w:rPr>
          <w:rFonts w:hint="cs"/>
          <w:spacing w:val="-3"/>
          <w:sz w:val="20"/>
          <w:rtl/>
        </w:rPr>
        <w:t>.</w:t>
      </w:r>
      <w:r w:rsidRPr="003B45E3">
        <w:rPr>
          <w:spacing w:val="-3"/>
          <w:sz w:val="20"/>
          <w:rtl/>
        </w:rPr>
        <w:t xml:space="preserve"> ووفقاً </w:t>
      </w:r>
      <w:r w:rsidRPr="003B45E3">
        <w:rPr>
          <w:rFonts w:hint="cs"/>
          <w:spacing w:val="-3"/>
          <w:sz w:val="20"/>
          <w:rtl/>
        </w:rPr>
        <w:t>لأحكام ا</w:t>
      </w:r>
      <w:r w:rsidRPr="003B45E3">
        <w:rPr>
          <w:spacing w:val="-3"/>
          <w:sz w:val="20"/>
          <w:rtl/>
        </w:rPr>
        <w:t xml:space="preserve">لمادة 20 </w:t>
      </w:r>
      <w:r w:rsidRPr="003B45E3">
        <w:rPr>
          <w:rFonts w:hint="eastAsia"/>
          <w:spacing w:val="-3"/>
          <w:sz w:val="20"/>
          <w:rtl/>
        </w:rPr>
        <w:t>من</w:t>
      </w:r>
      <w:r w:rsidRPr="003B45E3">
        <w:rPr>
          <w:spacing w:val="-3"/>
          <w:sz w:val="20"/>
          <w:rtl/>
        </w:rPr>
        <w:t xml:space="preserve"> الاتفاقية والمادتين 7</w:t>
      </w:r>
      <w:r w:rsidRPr="003B45E3">
        <w:rPr>
          <w:rFonts w:hint="cs"/>
          <w:spacing w:val="-3"/>
          <w:sz w:val="20"/>
          <w:rtl/>
        </w:rPr>
        <w:t>8</w:t>
      </w:r>
      <w:r w:rsidRPr="003B45E3">
        <w:rPr>
          <w:spacing w:val="-3"/>
          <w:sz w:val="20"/>
          <w:rtl/>
        </w:rPr>
        <w:t xml:space="preserve"> و7</w:t>
      </w:r>
      <w:r w:rsidRPr="003B45E3">
        <w:rPr>
          <w:rFonts w:hint="cs"/>
          <w:spacing w:val="-3"/>
          <w:sz w:val="20"/>
          <w:rtl/>
        </w:rPr>
        <w:t>9</w:t>
      </w:r>
      <w:r w:rsidRPr="003B45E3">
        <w:rPr>
          <w:spacing w:val="-3"/>
          <w:sz w:val="20"/>
          <w:rtl/>
        </w:rPr>
        <w:t xml:space="preserve"> من النظام الداخلي، تكون جميع وثائق و</w:t>
      </w:r>
      <w:r w:rsidRPr="003B45E3">
        <w:rPr>
          <w:rFonts w:hint="cs"/>
          <w:spacing w:val="-3"/>
          <w:sz w:val="20"/>
          <w:rtl/>
        </w:rPr>
        <w:t xml:space="preserve">إجراءات </w:t>
      </w:r>
      <w:r w:rsidRPr="003B45E3">
        <w:rPr>
          <w:rFonts w:hint="eastAsia"/>
          <w:spacing w:val="-3"/>
          <w:sz w:val="20"/>
          <w:rtl/>
        </w:rPr>
        <w:t>اللجنة</w:t>
      </w:r>
      <w:r w:rsidRPr="003B45E3">
        <w:rPr>
          <w:spacing w:val="-3"/>
          <w:sz w:val="20"/>
          <w:rtl/>
        </w:rPr>
        <w:t xml:space="preserve"> المتعلقة بمهامها بموجب المادة 20 من الاتفاقية سرية، وتكون جميع الجلسات </w:t>
      </w:r>
      <w:r w:rsidRPr="003B45E3">
        <w:rPr>
          <w:rFonts w:hint="eastAsia"/>
          <w:spacing w:val="-3"/>
          <w:sz w:val="20"/>
          <w:rtl/>
        </w:rPr>
        <w:t>المتعلقة</w:t>
      </w:r>
      <w:r w:rsidRPr="003B45E3">
        <w:rPr>
          <w:spacing w:val="-3"/>
          <w:sz w:val="20"/>
          <w:rtl/>
        </w:rPr>
        <w:t xml:space="preserve"> بإجراءاتها بموجب هذه المادة </w:t>
      </w:r>
      <w:r w:rsidRPr="003B45E3">
        <w:rPr>
          <w:rFonts w:hint="cs"/>
          <w:spacing w:val="-3"/>
          <w:sz w:val="20"/>
          <w:rtl/>
        </w:rPr>
        <w:t xml:space="preserve">جلسات </w:t>
      </w:r>
      <w:r w:rsidRPr="003B45E3">
        <w:rPr>
          <w:spacing w:val="-3"/>
          <w:sz w:val="20"/>
          <w:rtl/>
        </w:rPr>
        <w:t xml:space="preserve">مغلقة. </w:t>
      </w:r>
      <w:r w:rsidRPr="003B45E3">
        <w:rPr>
          <w:rFonts w:hint="cs"/>
          <w:spacing w:val="-3"/>
          <w:sz w:val="20"/>
          <w:rtl/>
        </w:rPr>
        <w:t>بيد</w:t>
      </w:r>
      <w:r w:rsidRPr="003B45E3">
        <w:rPr>
          <w:spacing w:val="-3"/>
          <w:sz w:val="20"/>
          <w:rtl/>
        </w:rPr>
        <w:t xml:space="preserve"> أنه</w:t>
      </w:r>
      <w:r w:rsidRPr="003B45E3">
        <w:rPr>
          <w:rFonts w:hint="cs"/>
          <w:spacing w:val="-3"/>
          <w:sz w:val="20"/>
          <w:rtl/>
        </w:rPr>
        <w:t>،</w:t>
      </w:r>
      <w:r w:rsidR="00B345DB" w:rsidRPr="003B45E3">
        <w:rPr>
          <w:spacing w:val="-3"/>
          <w:sz w:val="20"/>
          <w:rtl/>
        </w:rPr>
        <w:t xml:space="preserve"> وفقاً </w:t>
      </w:r>
      <w:r w:rsidRPr="003B45E3">
        <w:rPr>
          <w:spacing w:val="-3"/>
          <w:sz w:val="20"/>
          <w:rtl/>
        </w:rPr>
        <w:t>للفقرة</w:t>
      </w:r>
      <w:r w:rsidR="003B45E3">
        <w:rPr>
          <w:rFonts w:hint="cs"/>
          <w:spacing w:val="-3"/>
          <w:sz w:val="20"/>
          <w:rtl/>
        </w:rPr>
        <w:t> </w:t>
      </w:r>
      <w:r w:rsidRPr="003B45E3">
        <w:rPr>
          <w:spacing w:val="-3"/>
          <w:sz w:val="20"/>
          <w:rtl/>
        </w:rPr>
        <w:t xml:space="preserve">5 </w:t>
      </w:r>
      <w:r w:rsidRPr="003B45E3">
        <w:rPr>
          <w:rFonts w:hint="eastAsia"/>
          <w:spacing w:val="-3"/>
          <w:sz w:val="20"/>
          <w:rtl/>
        </w:rPr>
        <w:t>من</w:t>
      </w:r>
      <w:r w:rsidRPr="003B45E3">
        <w:rPr>
          <w:spacing w:val="-3"/>
          <w:sz w:val="20"/>
          <w:rtl/>
        </w:rPr>
        <w:t xml:space="preserve"> المادة 20 من الاتفاقية، </w:t>
      </w:r>
      <w:r w:rsidRPr="003B45E3">
        <w:rPr>
          <w:rFonts w:hint="cs"/>
          <w:spacing w:val="-3"/>
          <w:sz w:val="20"/>
          <w:rtl/>
        </w:rPr>
        <w:t xml:space="preserve">يجوز للجنة </w:t>
      </w:r>
      <w:r w:rsidRPr="003B45E3">
        <w:rPr>
          <w:spacing w:val="-3"/>
          <w:sz w:val="20"/>
          <w:rtl/>
        </w:rPr>
        <w:t xml:space="preserve">بعد التشاور مع الدولة الطرف المعنية، أن تقرر إدراج </w:t>
      </w:r>
      <w:r w:rsidRPr="003B45E3">
        <w:rPr>
          <w:rFonts w:hint="eastAsia"/>
          <w:spacing w:val="-3"/>
          <w:sz w:val="20"/>
          <w:rtl/>
        </w:rPr>
        <w:t>بيان</w:t>
      </w:r>
      <w:r w:rsidRPr="003B45E3">
        <w:rPr>
          <w:spacing w:val="-3"/>
          <w:sz w:val="20"/>
          <w:rtl/>
        </w:rPr>
        <w:t xml:space="preserve"> موجز </w:t>
      </w:r>
      <w:r w:rsidRPr="003B45E3">
        <w:rPr>
          <w:rFonts w:hint="cs"/>
          <w:spacing w:val="-3"/>
          <w:sz w:val="20"/>
          <w:rtl/>
        </w:rPr>
        <w:t>ب</w:t>
      </w:r>
      <w:r w:rsidRPr="003B45E3">
        <w:rPr>
          <w:spacing w:val="-3"/>
          <w:sz w:val="20"/>
          <w:rtl/>
        </w:rPr>
        <w:t>نتائج ا</w:t>
      </w:r>
      <w:r w:rsidRPr="003B45E3">
        <w:rPr>
          <w:rFonts w:hint="cs"/>
          <w:spacing w:val="-3"/>
          <w:sz w:val="20"/>
          <w:rtl/>
        </w:rPr>
        <w:t xml:space="preserve">لإجراءات </w:t>
      </w:r>
      <w:r w:rsidRPr="003B45E3">
        <w:rPr>
          <w:spacing w:val="-3"/>
          <w:sz w:val="20"/>
          <w:rtl/>
        </w:rPr>
        <w:t xml:space="preserve">في تقريرها السنوي إلى الدول الأطراف وإلى الجمعية </w:t>
      </w:r>
      <w:r w:rsidRPr="003B45E3">
        <w:rPr>
          <w:rFonts w:hint="eastAsia"/>
          <w:spacing w:val="-3"/>
          <w:sz w:val="20"/>
          <w:rtl/>
        </w:rPr>
        <w:t>العامة</w:t>
      </w:r>
      <w:r w:rsidRPr="003B45E3">
        <w:rPr>
          <w:spacing w:val="-3"/>
          <w:sz w:val="20"/>
          <w:rtl/>
        </w:rPr>
        <w:t>.</w:t>
      </w:r>
    </w:p>
    <w:p w:rsidR="004E0A37" w:rsidRPr="004E0A37" w:rsidRDefault="004E0A37" w:rsidP="004E0A37">
      <w:pPr>
        <w:pStyle w:val="SingleTxtGA"/>
        <w:jc w:val="lowKashida"/>
        <w:rPr>
          <w:rFonts w:hint="cs"/>
          <w:spacing w:val="0"/>
          <w:sz w:val="20"/>
          <w:rtl/>
        </w:rPr>
      </w:pPr>
      <w:r w:rsidRPr="004E0A37">
        <w:rPr>
          <w:rFonts w:hint="cs"/>
          <w:spacing w:val="0"/>
          <w:sz w:val="20"/>
          <w:rtl/>
        </w:rPr>
        <w:t>87</w:t>
      </w:r>
      <w:r w:rsidRPr="004E0A37">
        <w:rPr>
          <w:spacing w:val="0"/>
          <w:sz w:val="20"/>
          <w:rtl/>
        </w:rPr>
        <w:t>-</w:t>
      </w:r>
      <w:r w:rsidRPr="004E0A37">
        <w:rPr>
          <w:spacing w:val="0"/>
          <w:sz w:val="20"/>
          <w:rtl/>
        </w:rPr>
        <w:tab/>
      </w:r>
      <w:r w:rsidRPr="004E0A37">
        <w:rPr>
          <w:rFonts w:hint="eastAsia"/>
          <w:spacing w:val="0"/>
          <w:sz w:val="20"/>
          <w:rtl/>
        </w:rPr>
        <w:t>و</w:t>
      </w:r>
      <w:r w:rsidRPr="004E0A37">
        <w:rPr>
          <w:spacing w:val="0"/>
          <w:sz w:val="20"/>
          <w:rtl/>
        </w:rPr>
        <w:t>في إطار أنشط</w:t>
      </w:r>
      <w:r w:rsidRPr="004E0A37">
        <w:rPr>
          <w:rFonts w:hint="cs"/>
          <w:spacing w:val="0"/>
          <w:sz w:val="20"/>
          <w:rtl/>
        </w:rPr>
        <w:t>ة</w:t>
      </w:r>
      <w:r w:rsidRPr="004E0A37">
        <w:rPr>
          <w:spacing w:val="0"/>
          <w:sz w:val="20"/>
          <w:rtl/>
        </w:rPr>
        <w:t xml:space="preserve"> </w:t>
      </w:r>
      <w:r w:rsidRPr="004E0A37">
        <w:rPr>
          <w:rFonts w:hint="cs"/>
          <w:spacing w:val="0"/>
          <w:sz w:val="20"/>
          <w:rtl/>
        </w:rPr>
        <w:t>ا</w:t>
      </w:r>
      <w:r w:rsidRPr="004E0A37">
        <w:rPr>
          <w:spacing w:val="0"/>
          <w:sz w:val="20"/>
          <w:rtl/>
        </w:rPr>
        <w:t xml:space="preserve">لمتابعة، </w:t>
      </w:r>
      <w:r w:rsidRPr="004E0A37">
        <w:rPr>
          <w:rFonts w:hint="cs"/>
          <w:spacing w:val="0"/>
          <w:sz w:val="20"/>
          <w:rtl/>
        </w:rPr>
        <w:t xml:space="preserve">واصل المقررون المعنيون بالمادة 20 الاضطلاع </w:t>
      </w:r>
      <w:r w:rsidRPr="004E0A37">
        <w:rPr>
          <w:spacing w:val="0"/>
          <w:sz w:val="20"/>
          <w:rtl/>
        </w:rPr>
        <w:t xml:space="preserve">بأنشطة ترمي إلى تشجيع الدول الأطراف التي أجريت بشأنها </w:t>
      </w:r>
      <w:r w:rsidRPr="004E0A37">
        <w:rPr>
          <w:rFonts w:hint="eastAsia"/>
          <w:spacing w:val="0"/>
          <w:sz w:val="20"/>
          <w:rtl/>
        </w:rPr>
        <w:t>تحقيقات</w:t>
      </w:r>
      <w:r w:rsidRPr="004E0A37">
        <w:rPr>
          <w:spacing w:val="0"/>
          <w:sz w:val="20"/>
          <w:rtl/>
        </w:rPr>
        <w:t xml:space="preserve"> نشرت نتائج</w:t>
      </w:r>
      <w:r w:rsidRPr="004E0A37">
        <w:rPr>
          <w:rFonts w:hint="cs"/>
          <w:spacing w:val="0"/>
          <w:sz w:val="20"/>
          <w:rtl/>
        </w:rPr>
        <w:t xml:space="preserve">ها </w:t>
      </w:r>
      <w:r w:rsidRPr="004E0A37">
        <w:rPr>
          <w:spacing w:val="0"/>
          <w:sz w:val="20"/>
          <w:rtl/>
        </w:rPr>
        <w:t xml:space="preserve">على اتخاذ تدابير لتنفيذ توصيات اللجنة. </w:t>
      </w:r>
    </w:p>
    <w:p w:rsidR="004E0A37" w:rsidRPr="003B45E3" w:rsidRDefault="004E0A37" w:rsidP="007223C0">
      <w:pPr>
        <w:pStyle w:val="H1GA"/>
        <w:rPr>
          <w:rFonts w:hint="cs"/>
          <w:rtl/>
          <w:lang w:val="fr-CH"/>
        </w:rPr>
      </w:pPr>
      <w:r w:rsidRPr="003B45E3">
        <w:rPr>
          <w:rFonts w:hint="cs"/>
          <w:rtl/>
          <w:lang w:val="fr-CH"/>
        </w:rPr>
        <w:tab/>
        <w:t>باء-</w:t>
      </w:r>
      <w:r w:rsidRPr="003B45E3">
        <w:rPr>
          <w:rFonts w:hint="cs"/>
          <w:rtl/>
          <w:lang w:val="fr-CH"/>
        </w:rPr>
        <w:tab/>
        <w:t>بيان موجز عن نتائج الإجراءات المتعلقة بالتحقيق بشأن نيبال</w:t>
      </w:r>
    </w:p>
    <w:p w:rsidR="004E0A37" w:rsidRPr="004E0A37" w:rsidRDefault="004E0A37" w:rsidP="004E0A37">
      <w:pPr>
        <w:pStyle w:val="SingleTxtGA"/>
        <w:jc w:val="lowKashida"/>
        <w:rPr>
          <w:rFonts w:hint="cs"/>
          <w:spacing w:val="0"/>
          <w:sz w:val="20"/>
          <w:rtl/>
        </w:rPr>
      </w:pPr>
      <w:r w:rsidRPr="004E0A37">
        <w:rPr>
          <w:rFonts w:hint="cs"/>
          <w:spacing w:val="0"/>
          <w:sz w:val="20"/>
          <w:rtl/>
        </w:rPr>
        <w:t>88-</w:t>
      </w:r>
      <w:r w:rsidRPr="004E0A37">
        <w:rPr>
          <w:rFonts w:hint="cs"/>
          <w:spacing w:val="0"/>
          <w:sz w:val="20"/>
          <w:rtl/>
        </w:rPr>
        <w:tab/>
        <w:t>انضمت نيبال إلى الاتفاقية في 14 أيار/مايو 1991. ولم تعلن نيبال، وقت التصديق على الاتفاقية، أنها لا تعترف باختصاص اللجنة المنصوص عليه في المادة 20 من الاتفاقية، مثلما يجوز لها ذلك بموجب المادة 28 من الاتفاقية. وبناءً على ذلك، ينطبق الإجراء المنصوص عليه في المادة 20 على نيبال.</w:t>
      </w:r>
    </w:p>
    <w:p w:rsidR="004E0A37" w:rsidRPr="004E0A37" w:rsidRDefault="004E0A37" w:rsidP="00D513BF">
      <w:pPr>
        <w:pStyle w:val="SingleTxtGA"/>
        <w:jc w:val="lowKashida"/>
        <w:rPr>
          <w:rFonts w:hint="cs"/>
          <w:spacing w:val="0"/>
          <w:sz w:val="20"/>
          <w:rtl/>
        </w:rPr>
      </w:pPr>
      <w:r w:rsidRPr="004E0A37">
        <w:rPr>
          <w:rFonts w:hint="cs"/>
          <w:spacing w:val="0"/>
          <w:sz w:val="20"/>
          <w:rtl/>
        </w:rPr>
        <w:t>89-</w:t>
      </w:r>
      <w:r w:rsidRPr="004E0A37">
        <w:rPr>
          <w:rFonts w:hint="cs"/>
          <w:spacing w:val="0"/>
          <w:sz w:val="20"/>
          <w:rtl/>
        </w:rPr>
        <w:tab/>
        <w:t xml:space="preserve">وأعربت اللجنة، في ملاحظاتها الختامية على التقرير الدوري الثاني لنيبال </w:t>
      </w:r>
      <w:r w:rsidRPr="004E0A37">
        <w:rPr>
          <w:spacing w:val="0"/>
          <w:sz w:val="20"/>
        </w:rPr>
        <w:t>(CAT/C/NPL/CO/2)</w:t>
      </w:r>
      <w:r w:rsidRPr="004E0A37">
        <w:rPr>
          <w:rFonts w:hint="cs"/>
          <w:spacing w:val="0"/>
          <w:sz w:val="20"/>
          <w:rtl/>
        </w:rPr>
        <w:t>، المعتمدة في دورتها الخامسة والثلاثين المعقودة في تشرين الثاني/</w:t>
      </w:r>
      <w:r w:rsidR="00D513BF">
        <w:rPr>
          <w:rFonts w:hint="cs"/>
          <w:spacing w:val="0"/>
          <w:sz w:val="20"/>
          <w:rtl/>
        </w:rPr>
        <w:t xml:space="preserve">            </w:t>
      </w:r>
      <w:r w:rsidRPr="004E0A37">
        <w:rPr>
          <w:rFonts w:hint="cs"/>
          <w:spacing w:val="0"/>
          <w:sz w:val="20"/>
          <w:rtl/>
        </w:rPr>
        <w:t>نوفمبر 2005، عن انشغالها البالغ إزاء ما</w:t>
      </w:r>
      <w:r w:rsidRPr="004E0A37">
        <w:rPr>
          <w:rFonts w:hint="eastAsia"/>
          <w:spacing w:val="0"/>
          <w:sz w:val="20"/>
          <w:rtl/>
        </w:rPr>
        <w:t> </w:t>
      </w:r>
      <w:r w:rsidRPr="004E0A37">
        <w:rPr>
          <w:rFonts w:hint="cs"/>
          <w:spacing w:val="0"/>
          <w:sz w:val="20"/>
          <w:rtl/>
        </w:rPr>
        <w:t>وردها من ادعاءات تتعلق بتفشي استخدام التعذيب، والأجواء السائدة التي تتسم بالإفلات من العقاب على أعمال التعذيب، وانعدام الأحكام القانونية المحلية التي تصنف التعذيب في فئة الجرائم.</w:t>
      </w:r>
    </w:p>
    <w:p w:rsidR="004E0A37" w:rsidRPr="004E0A37" w:rsidRDefault="004E0A37" w:rsidP="00D513BF">
      <w:pPr>
        <w:pStyle w:val="SingleTxtGA"/>
        <w:jc w:val="lowKashida"/>
        <w:rPr>
          <w:rFonts w:hint="cs"/>
          <w:spacing w:val="0"/>
          <w:sz w:val="20"/>
          <w:rtl/>
        </w:rPr>
      </w:pPr>
      <w:r w:rsidRPr="004E0A37">
        <w:rPr>
          <w:rFonts w:hint="cs"/>
          <w:spacing w:val="0"/>
          <w:sz w:val="20"/>
          <w:rtl/>
        </w:rPr>
        <w:t>90-</w:t>
      </w:r>
      <w:r w:rsidRPr="004E0A37">
        <w:rPr>
          <w:rFonts w:hint="cs"/>
          <w:spacing w:val="0"/>
          <w:sz w:val="20"/>
          <w:rtl/>
        </w:rPr>
        <w:tab/>
        <w:t xml:space="preserve">وخلص المقرر الخاص المعني بمسألة التعذيب وغيره من ضروب المعاملة أو العقوبة القاسية أو اللاإنسانية أو المهينة (يشار إليه </w:t>
      </w:r>
      <w:r w:rsidR="00F96B1E">
        <w:rPr>
          <w:rFonts w:hint="cs"/>
          <w:spacing w:val="0"/>
          <w:sz w:val="20"/>
          <w:rtl/>
        </w:rPr>
        <w:t>فيما </w:t>
      </w:r>
      <w:r w:rsidRPr="004E0A37">
        <w:rPr>
          <w:rFonts w:hint="cs"/>
          <w:spacing w:val="0"/>
          <w:sz w:val="20"/>
          <w:rtl/>
        </w:rPr>
        <w:t>يلي باسم "المقرر الخاص المعني بمسألة التعذيب")، عقب زيارة قام بها إلى نيبال في أيلول/سبتمبر 2005، ضمن استنتاجات أخرى، إلى أن "التعذيب يمارس بطريقة منهجية من قبل قوات الأمن وأفراد الشرطة المسلحة والجيش الملكي النيبالي. كما أشار إلى أنه عادة ما يتم تجاهل الضمانات القانونية التي لا تعني عملياً أي شيء، وإلى أن الإفلات من العقاب على أعمال التعذيب هو القاعدة، وبالتالي فإن الضحايا وأفراد أسرهم يتركون دون إمكانية للوصول إلى العدالة أو الحصول على التعويض أو</w:t>
      </w:r>
      <w:r w:rsidRPr="004E0A37">
        <w:rPr>
          <w:rFonts w:hint="eastAsia"/>
          <w:spacing w:val="0"/>
          <w:sz w:val="20"/>
          <w:rtl/>
        </w:rPr>
        <w:t> </w:t>
      </w:r>
      <w:r w:rsidRPr="004E0A37">
        <w:rPr>
          <w:rFonts w:hint="cs"/>
          <w:spacing w:val="0"/>
          <w:sz w:val="20"/>
          <w:rtl/>
        </w:rPr>
        <w:t>خدمات إعادة التأهيل" (</w:t>
      </w:r>
      <w:r w:rsidRPr="004E0A37">
        <w:rPr>
          <w:spacing w:val="0"/>
          <w:sz w:val="20"/>
        </w:rPr>
        <w:t>E/CN.4/2006/6/Add.5</w:t>
      </w:r>
      <w:r w:rsidRPr="004E0A37">
        <w:rPr>
          <w:rFonts w:hint="cs"/>
          <w:spacing w:val="0"/>
          <w:sz w:val="20"/>
          <w:rtl/>
        </w:rPr>
        <w:t>، الفقرة 31).</w:t>
      </w:r>
    </w:p>
    <w:p w:rsidR="004E0A37" w:rsidRPr="004E0A37" w:rsidRDefault="004E0A37" w:rsidP="00D513BF">
      <w:pPr>
        <w:pStyle w:val="SingleTxtGA"/>
        <w:jc w:val="lowKashida"/>
        <w:rPr>
          <w:rFonts w:hint="cs"/>
          <w:spacing w:val="0"/>
          <w:sz w:val="20"/>
          <w:rtl/>
        </w:rPr>
      </w:pPr>
      <w:r w:rsidRPr="004E0A37">
        <w:rPr>
          <w:rFonts w:hint="cs"/>
          <w:spacing w:val="0"/>
          <w:sz w:val="20"/>
          <w:rtl/>
        </w:rPr>
        <w:t>91-</w:t>
      </w:r>
      <w:r w:rsidRPr="004E0A37">
        <w:rPr>
          <w:rFonts w:hint="cs"/>
          <w:spacing w:val="0"/>
          <w:sz w:val="20"/>
          <w:rtl/>
        </w:rPr>
        <w:tab/>
        <w:t>إضافة إلى ذلك، نظرت اللجنة، في جلسات سرية خلال دورتها السابعة والثلاثين المعقودة في تشرين الثاني/نوفمبر 2006، في ما وردها من معلومات قدمتها منظمات غير حكومية مفادها أن التعذيب يمارس بشكل منهجي في نيبال. وقد بدا للجنة أن المعلومات التي وردتها في هذا الصدد بموجب المادة 20 من الاتفاقية، هي معلومات موثوق بها وتتضمن دلائل لها أساس قوي تشير إلى أن التعذيب يمارس على نحو منهجي في أراضي نيبال.</w:t>
      </w:r>
    </w:p>
    <w:p w:rsidR="004E0A37" w:rsidRPr="004E0A37" w:rsidRDefault="004E0A37" w:rsidP="00D513BF">
      <w:pPr>
        <w:pStyle w:val="SingleTxtGA"/>
        <w:jc w:val="lowKashida"/>
        <w:rPr>
          <w:rFonts w:hint="cs"/>
          <w:spacing w:val="0"/>
          <w:sz w:val="20"/>
          <w:rtl/>
        </w:rPr>
      </w:pPr>
      <w:r w:rsidRPr="004E0A37">
        <w:rPr>
          <w:rFonts w:hint="cs"/>
          <w:spacing w:val="0"/>
          <w:sz w:val="20"/>
          <w:rtl/>
        </w:rPr>
        <w:t>92-</w:t>
      </w:r>
      <w:r w:rsidRPr="004E0A37">
        <w:rPr>
          <w:rFonts w:hint="cs"/>
          <w:spacing w:val="0"/>
          <w:sz w:val="20"/>
          <w:rtl/>
        </w:rPr>
        <w:tab/>
        <w:t>وعملاً بالفقرة 1 من المادة 20 من الاتفاقية والمادة 82 من النظام الداخلي للجنة، قررت اللجنة دعوة الدولة الطرف إلى أن تتعاون في دراسة هذه المعلومات، التي أُرسلت نسخة منها إلى الدولة الطرف في 5 نيسان/أبريل 2007، وأن تقدم إليها بحلول 30 نيسان/</w:t>
      </w:r>
      <w:r w:rsidR="00D513BF">
        <w:rPr>
          <w:rFonts w:hint="cs"/>
          <w:spacing w:val="0"/>
          <w:sz w:val="20"/>
          <w:rtl/>
        </w:rPr>
        <w:t xml:space="preserve">      </w:t>
      </w:r>
      <w:r w:rsidRPr="004E0A37">
        <w:rPr>
          <w:rFonts w:hint="cs"/>
          <w:spacing w:val="0"/>
          <w:sz w:val="20"/>
          <w:rtl/>
        </w:rPr>
        <w:t>أبريل 2007 ما لديها من ملاحظات على تلك المعلومات.</w:t>
      </w:r>
    </w:p>
    <w:p w:rsidR="004E0A37" w:rsidRPr="004E0A37" w:rsidRDefault="004E0A37" w:rsidP="00D513BF">
      <w:pPr>
        <w:pStyle w:val="SingleTxtGA"/>
        <w:jc w:val="lowKashida"/>
        <w:rPr>
          <w:rFonts w:hint="cs"/>
          <w:spacing w:val="0"/>
          <w:sz w:val="20"/>
          <w:rtl/>
        </w:rPr>
      </w:pPr>
      <w:r w:rsidRPr="004E0A37">
        <w:rPr>
          <w:rFonts w:hint="cs"/>
          <w:spacing w:val="0"/>
          <w:sz w:val="20"/>
          <w:rtl/>
        </w:rPr>
        <w:t>93-</w:t>
      </w:r>
      <w:r w:rsidRPr="004E0A37">
        <w:rPr>
          <w:rFonts w:hint="cs"/>
          <w:spacing w:val="0"/>
          <w:sz w:val="20"/>
          <w:rtl/>
        </w:rPr>
        <w:tab/>
        <w:t>وفي 19 نيسان/أبريل 2007، أقرت البعثة الدائمة لنيبال باستلامها طلب اللجنة الحصول على ملاحظات الدولة الطرف على المعلومات التي تلقتها اللجنة. غير أن الدولة الطرف</w:t>
      </w:r>
      <w:r w:rsidR="00335AC0">
        <w:rPr>
          <w:rFonts w:hint="cs"/>
          <w:spacing w:val="0"/>
          <w:sz w:val="20"/>
          <w:rtl/>
        </w:rPr>
        <w:t xml:space="preserve"> لم </w:t>
      </w:r>
      <w:r w:rsidRPr="004E0A37">
        <w:rPr>
          <w:rFonts w:hint="cs"/>
          <w:spacing w:val="0"/>
          <w:sz w:val="20"/>
          <w:rtl/>
        </w:rPr>
        <w:t xml:space="preserve">تقدم المعلومات المطلوبة بحلول 30 نيسان/أبريل 2007 على نحو ما طلبته اللجنة. وتبعاً لذلك، أرسلت اللجنة رسائل تذكير إلى الدولة الطرف. </w:t>
      </w:r>
    </w:p>
    <w:p w:rsidR="004E0A37" w:rsidRPr="004E0A37" w:rsidRDefault="004E0A37" w:rsidP="00D513BF">
      <w:pPr>
        <w:pStyle w:val="SingleTxtGA"/>
        <w:jc w:val="lowKashida"/>
        <w:rPr>
          <w:rFonts w:hint="cs"/>
          <w:spacing w:val="0"/>
          <w:sz w:val="20"/>
          <w:rtl/>
        </w:rPr>
      </w:pPr>
      <w:r w:rsidRPr="004E0A37">
        <w:rPr>
          <w:rFonts w:hint="cs"/>
          <w:spacing w:val="0"/>
          <w:sz w:val="20"/>
          <w:rtl/>
        </w:rPr>
        <w:t>94-</w:t>
      </w:r>
      <w:r w:rsidRPr="004E0A37">
        <w:rPr>
          <w:rFonts w:hint="cs"/>
          <w:spacing w:val="0"/>
          <w:sz w:val="20"/>
          <w:rtl/>
        </w:rPr>
        <w:tab/>
        <w:t>وفي 3 نيسان/أبريل 2009 أحالت نيبال ملاحظاتها إلى اللجنة وطلبت صرف النظر عن هذا الإجراء. وقد درست اللجنة هذه المعلومات في جلسات سرية خلال دورتيها الثانية والأربعين والثالثة والأربعين.</w:t>
      </w:r>
    </w:p>
    <w:p w:rsidR="004E0A37" w:rsidRPr="004E0A37" w:rsidRDefault="004E0A37" w:rsidP="00D513BF">
      <w:pPr>
        <w:pStyle w:val="SingleTxtGA"/>
        <w:jc w:val="lowKashida"/>
        <w:rPr>
          <w:rFonts w:hint="cs"/>
          <w:spacing w:val="0"/>
          <w:sz w:val="20"/>
          <w:rtl/>
        </w:rPr>
      </w:pPr>
      <w:r w:rsidRPr="004E0A37">
        <w:rPr>
          <w:rFonts w:hint="cs"/>
          <w:spacing w:val="0"/>
          <w:sz w:val="20"/>
          <w:rtl/>
        </w:rPr>
        <w:t>95-</w:t>
      </w:r>
      <w:r w:rsidRPr="004E0A37">
        <w:rPr>
          <w:rFonts w:hint="cs"/>
          <w:spacing w:val="0"/>
          <w:sz w:val="20"/>
          <w:rtl/>
        </w:rPr>
        <w:tab/>
        <w:t>وقد قررت اللجنة، في ضوء جميع المعلومات المعروضة عليها، أن تجري تحقيقا</w:t>
      </w:r>
      <w:r w:rsidR="00D513BF">
        <w:rPr>
          <w:rFonts w:hint="cs"/>
          <w:spacing w:val="0"/>
          <w:sz w:val="20"/>
          <w:rtl/>
        </w:rPr>
        <w:t>ً</w:t>
      </w:r>
      <w:r w:rsidRPr="004E0A37">
        <w:rPr>
          <w:rFonts w:hint="cs"/>
          <w:spacing w:val="0"/>
          <w:sz w:val="20"/>
          <w:rtl/>
        </w:rPr>
        <w:t xml:space="preserve"> سريا</w:t>
      </w:r>
      <w:r w:rsidR="00D513BF">
        <w:rPr>
          <w:rFonts w:hint="cs"/>
          <w:spacing w:val="0"/>
          <w:sz w:val="20"/>
          <w:rtl/>
        </w:rPr>
        <w:t>ً</w:t>
      </w:r>
      <w:r w:rsidR="00B345DB">
        <w:rPr>
          <w:rFonts w:hint="cs"/>
          <w:spacing w:val="0"/>
          <w:sz w:val="20"/>
          <w:rtl/>
        </w:rPr>
        <w:t xml:space="preserve"> وفقاً </w:t>
      </w:r>
      <w:r w:rsidRPr="004E0A37">
        <w:rPr>
          <w:rFonts w:hint="cs"/>
          <w:spacing w:val="0"/>
          <w:sz w:val="20"/>
          <w:rtl/>
        </w:rPr>
        <w:t>للفقرة 2 من المادة 20 من الاتفاقية، وعينت السيدة فيليسي غايير والسيد لويس غاليغوس شيريبوغا لإجراء التحقيق. وفي 30 تشرين الثاني/نوفمبر 2009، أحالت اللجنة</w:t>
      </w:r>
      <w:r w:rsidR="00D513BF">
        <w:rPr>
          <w:rFonts w:hint="eastAsia"/>
          <w:spacing w:val="0"/>
          <w:sz w:val="20"/>
          <w:rtl/>
        </w:rPr>
        <w:t> </w:t>
      </w:r>
      <w:r w:rsidRPr="004E0A37">
        <w:rPr>
          <w:rFonts w:hint="cs"/>
          <w:spacing w:val="0"/>
          <w:sz w:val="20"/>
          <w:rtl/>
        </w:rPr>
        <w:t>هذا القرار إلى الدولة الطرف ودعتها،</w:t>
      </w:r>
      <w:r w:rsidR="00B345DB">
        <w:rPr>
          <w:rFonts w:hint="cs"/>
          <w:spacing w:val="0"/>
          <w:sz w:val="20"/>
          <w:rtl/>
        </w:rPr>
        <w:t xml:space="preserve"> وفقاً </w:t>
      </w:r>
      <w:r w:rsidRPr="004E0A37">
        <w:rPr>
          <w:rFonts w:hint="cs"/>
          <w:spacing w:val="0"/>
          <w:sz w:val="20"/>
          <w:rtl/>
        </w:rPr>
        <w:t>للفقرة 3 من المادة 20 من الاتفاقية، إلى</w:t>
      </w:r>
      <w:r w:rsidR="00D513BF">
        <w:rPr>
          <w:rFonts w:hint="eastAsia"/>
          <w:spacing w:val="0"/>
          <w:sz w:val="20"/>
          <w:rtl/>
        </w:rPr>
        <w:t> </w:t>
      </w:r>
      <w:r w:rsidRPr="004E0A37">
        <w:rPr>
          <w:rFonts w:hint="cs"/>
          <w:spacing w:val="0"/>
          <w:sz w:val="20"/>
          <w:rtl/>
        </w:rPr>
        <w:t>أن تتعاون مع اللجنة في إجراء التحقيق، وإلى أن تقترح مواعيد محددة لزيارة يقوم بها عضوا اللجنة المعينان إلى نيبال.</w:t>
      </w:r>
    </w:p>
    <w:p w:rsidR="004E0A37" w:rsidRPr="004E0A37" w:rsidRDefault="004E0A37" w:rsidP="00D513BF">
      <w:pPr>
        <w:pStyle w:val="SingleTxtGA"/>
        <w:jc w:val="lowKashida"/>
        <w:rPr>
          <w:rFonts w:hint="cs"/>
          <w:spacing w:val="0"/>
          <w:sz w:val="20"/>
          <w:rtl/>
        </w:rPr>
      </w:pPr>
      <w:r w:rsidRPr="004E0A37">
        <w:rPr>
          <w:rFonts w:hint="cs"/>
          <w:spacing w:val="0"/>
          <w:sz w:val="20"/>
          <w:rtl/>
        </w:rPr>
        <w:t>96-</w:t>
      </w:r>
      <w:r w:rsidRPr="004E0A37">
        <w:rPr>
          <w:rFonts w:hint="cs"/>
          <w:spacing w:val="0"/>
          <w:sz w:val="20"/>
          <w:rtl/>
        </w:rPr>
        <w:tab/>
        <w:t>وفي 9 آذار/مارس 2010، أبلغت نيبال اللجنة بأنه "في سياق عملية السلام الجارية في البلد، واهتمام الحكومة الخاص بسن الدستور من قبل الجمعية العامة المنتخبة في موعد قريب، فإن السلطات المعنية ليست في وضع يمكنها من استقبال وفد من الخبراء التابعين للجنة لغرض إجراء التحقيق في هذه المرحلة".</w:t>
      </w:r>
    </w:p>
    <w:p w:rsidR="004E0A37" w:rsidRPr="004E0A37" w:rsidRDefault="004E0A37" w:rsidP="00D513BF">
      <w:pPr>
        <w:pStyle w:val="SingleTxtGA"/>
        <w:jc w:val="lowKashida"/>
        <w:rPr>
          <w:rFonts w:hint="cs"/>
          <w:spacing w:val="0"/>
          <w:sz w:val="20"/>
          <w:rtl/>
        </w:rPr>
      </w:pPr>
      <w:r w:rsidRPr="004E0A37">
        <w:rPr>
          <w:rFonts w:hint="cs"/>
          <w:spacing w:val="0"/>
          <w:sz w:val="20"/>
          <w:rtl/>
        </w:rPr>
        <w:t>97-</w:t>
      </w:r>
      <w:r w:rsidRPr="004E0A37">
        <w:rPr>
          <w:rFonts w:hint="cs"/>
          <w:spacing w:val="0"/>
          <w:sz w:val="20"/>
          <w:rtl/>
        </w:rPr>
        <w:tab/>
        <w:t>وقررت اللجنة، في دورتها الرابعة والأربعين، أن تستمر في التماس تعاون الدولة الطرف، وأن تواصل بذلك الحوار معها حتى تقبل نيبال هذه الزيارة. وفي الدورة الخامسة والأربعين المعقودة في تشرين الثاني/نوفمبر 2010، قررت اللجنة، في ظل فشل مساعيها المتواصلة من أجل تنظيم زيارة إلى الدولة الطرف، أن تشرع في إجراء تحقيق سري دون زيارة البلد وأنه ينبغي لعضوي اللجنة المعينين إعداد تقرير بشأن نيبال بموجب المادة 20 وتقديمه إلى اللجنة في دورتها السادسة والأربعين. وفي 28 كانون الثاني/يناير 2011، أبلغت اللجنة الدولة الطرف بقرارها هذا.</w:t>
      </w:r>
    </w:p>
    <w:p w:rsidR="004E0A37" w:rsidRPr="004E0A37" w:rsidRDefault="004E0A37" w:rsidP="00D513BF">
      <w:pPr>
        <w:pStyle w:val="SingleTxtGA"/>
        <w:jc w:val="lowKashida"/>
        <w:rPr>
          <w:rFonts w:hint="cs"/>
          <w:spacing w:val="0"/>
          <w:sz w:val="20"/>
          <w:rtl/>
        </w:rPr>
      </w:pPr>
      <w:r w:rsidRPr="004E0A37">
        <w:rPr>
          <w:rFonts w:hint="cs"/>
          <w:spacing w:val="0"/>
          <w:sz w:val="20"/>
          <w:rtl/>
        </w:rPr>
        <w:t>98-</w:t>
      </w:r>
      <w:r w:rsidRPr="004E0A37">
        <w:rPr>
          <w:rFonts w:hint="cs"/>
          <w:spacing w:val="0"/>
          <w:sz w:val="20"/>
          <w:rtl/>
        </w:rPr>
        <w:tab/>
        <w:t>وفي 31 أيار/مايو 2011، اعتمدت اللجنة تقريرها بشأن نيبال بموجب المادة 20 من اتفاقية مناهضة التعذيب وغيره من ضروب المعاملة أو العقوبة القاسية أو اللاإنسانية أو</w:t>
      </w:r>
      <w:r w:rsidRPr="004E0A37">
        <w:rPr>
          <w:rFonts w:hint="eastAsia"/>
          <w:spacing w:val="0"/>
          <w:sz w:val="20"/>
          <w:rtl/>
        </w:rPr>
        <w:t> </w:t>
      </w:r>
      <w:r w:rsidRPr="004E0A37">
        <w:rPr>
          <w:rFonts w:hint="cs"/>
          <w:spacing w:val="0"/>
          <w:sz w:val="20"/>
          <w:rtl/>
        </w:rPr>
        <w:t>المهينة (</w:t>
      </w:r>
      <w:r w:rsidRPr="004E0A37">
        <w:rPr>
          <w:spacing w:val="0"/>
          <w:sz w:val="20"/>
        </w:rPr>
        <w:t>CAT/C/46/R.2</w:t>
      </w:r>
      <w:r w:rsidRPr="004E0A37">
        <w:rPr>
          <w:rFonts w:hint="cs"/>
          <w:spacing w:val="0"/>
          <w:sz w:val="20"/>
          <w:rtl/>
        </w:rPr>
        <w:t>) وقررت،</w:t>
      </w:r>
      <w:r w:rsidR="00B345DB">
        <w:rPr>
          <w:rFonts w:hint="cs"/>
          <w:spacing w:val="0"/>
          <w:sz w:val="20"/>
          <w:rtl/>
        </w:rPr>
        <w:t xml:space="preserve"> وفقاً </w:t>
      </w:r>
      <w:r w:rsidRPr="004E0A37">
        <w:rPr>
          <w:rFonts w:hint="cs"/>
          <w:spacing w:val="0"/>
          <w:sz w:val="20"/>
          <w:rtl/>
        </w:rPr>
        <w:t>للفقرة 4 من المادة 20 من الاتفاقية، أن تحيل التقرير إلى حكومة نيبال ودعت الدولة الطرف إلى موافاتها بالإجراءات المتخذة بخصوص استنتاجاتها واستجابةً لتوصياتها. وفي 8 آب/أغسطس 2011، أحالت نيبال تعليقاتها وملاحظاتها على تقرير اللجنة.</w:t>
      </w:r>
    </w:p>
    <w:p w:rsidR="004E0A37" w:rsidRPr="004E0A37" w:rsidRDefault="004E0A37" w:rsidP="00D513BF">
      <w:pPr>
        <w:pStyle w:val="SingleTxtGA"/>
        <w:jc w:val="lowKashida"/>
        <w:rPr>
          <w:rFonts w:hint="cs"/>
          <w:spacing w:val="0"/>
          <w:sz w:val="20"/>
          <w:rtl/>
        </w:rPr>
      </w:pPr>
      <w:r w:rsidRPr="004E0A37">
        <w:rPr>
          <w:rFonts w:hint="cs"/>
          <w:spacing w:val="0"/>
          <w:sz w:val="20"/>
          <w:rtl/>
        </w:rPr>
        <w:t>99-</w:t>
      </w:r>
      <w:r w:rsidRPr="004E0A37">
        <w:rPr>
          <w:rFonts w:hint="cs"/>
          <w:spacing w:val="0"/>
          <w:sz w:val="20"/>
          <w:rtl/>
        </w:rPr>
        <w:tab/>
        <w:t>وفي 8 تشرين الثاني/نوفمبر 2011، اجتمع رئيس اللجنة مع الممثل الدائم لنيبال لدى مكتب الأمم المتحدة في جنيف لمناقشة نشر التقرير، عملاً بالفقرة 5 من المادة 20 من الاتفاقية.</w:t>
      </w:r>
    </w:p>
    <w:p w:rsidR="004E0A37" w:rsidRPr="004E0A37" w:rsidRDefault="004E0A37" w:rsidP="00D513BF">
      <w:pPr>
        <w:pStyle w:val="SingleTxtGA"/>
        <w:jc w:val="lowKashida"/>
        <w:rPr>
          <w:rFonts w:hint="cs"/>
          <w:spacing w:val="0"/>
          <w:sz w:val="20"/>
          <w:rtl/>
        </w:rPr>
      </w:pPr>
      <w:r w:rsidRPr="004E0A37">
        <w:rPr>
          <w:rFonts w:hint="cs"/>
          <w:spacing w:val="0"/>
          <w:sz w:val="20"/>
          <w:rtl/>
        </w:rPr>
        <w:t>100-</w:t>
      </w:r>
      <w:r w:rsidRPr="004E0A37">
        <w:rPr>
          <w:rFonts w:hint="cs"/>
          <w:spacing w:val="0"/>
          <w:sz w:val="20"/>
          <w:rtl/>
        </w:rPr>
        <w:tab/>
        <w:t>وفي 21 تشرين الثاني/نوفمبر 2011، أعلمت نيبال اللجنة بأنها توافق على نشر النص الكامل للتقرير إلى جانب النص الكامل لتعليقاتها وملاحظاتها عليه. وترد الوثيقتان في المرفق الثالث عشر بهذا التقرير.</w:t>
      </w:r>
    </w:p>
    <w:p w:rsidR="004E0A37" w:rsidRPr="00D513BF" w:rsidRDefault="00D513BF" w:rsidP="00D513BF">
      <w:pPr>
        <w:pStyle w:val="HChGA"/>
        <w:spacing w:before="120"/>
        <w:rPr>
          <w:rFonts w:ascii="Times New Roman Bold" w:hAnsi="Times New Roman Bold" w:hint="cs"/>
          <w:spacing w:val="0"/>
          <w:rtl/>
          <w:lang w:val="fr-CH"/>
        </w:rPr>
      </w:pPr>
      <w:r>
        <w:rPr>
          <w:rFonts w:ascii="Times New Roman Bold" w:hAnsi="Times New Roman Bold" w:hint="cs"/>
          <w:spacing w:val="0"/>
          <w:rtl/>
          <w:lang w:val="fr-CH"/>
        </w:rPr>
        <w:tab/>
      </w:r>
      <w:r w:rsidR="004E0A37" w:rsidRPr="00D513BF">
        <w:rPr>
          <w:rFonts w:ascii="Times New Roman Bold" w:hAnsi="Times New Roman Bold" w:hint="cs"/>
          <w:spacing w:val="0"/>
          <w:rtl/>
          <w:lang w:val="fr-CH"/>
        </w:rPr>
        <w:t>سادساً-</w:t>
      </w:r>
      <w:r w:rsidR="004E0A37" w:rsidRPr="00D513BF">
        <w:rPr>
          <w:rFonts w:ascii="Times New Roman Bold" w:hAnsi="Times New Roman Bold" w:hint="cs"/>
          <w:spacing w:val="0"/>
          <w:rtl/>
          <w:lang w:val="fr-CH"/>
        </w:rPr>
        <w:tab/>
        <w:t>النظر في الشكاوى المقدمة بموجب المادة 22 من الاتفاقية</w:t>
      </w:r>
    </w:p>
    <w:p w:rsidR="004E0A37" w:rsidRPr="00D513BF" w:rsidRDefault="004E0A37" w:rsidP="007223C0">
      <w:pPr>
        <w:pStyle w:val="H1GA"/>
        <w:rPr>
          <w:rFonts w:hint="cs"/>
          <w:rtl/>
          <w:lang w:val="fr-CH"/>
        </w:rPr>
      </w:pPr>
      <w:r w:rsidRPr="00D513BF">
        <w:rPr>
          <w:rFonts w:hint="cs"/>
          <w:rtl/>
          <w:lang w:val="fr-CH"/>
        </w:rPr>
        <w:tab/>
        <w:t>ألف-</w:t>
      </w:r>
      <w:r w:rsidRPr="00D513BF">
        <w:rPr>
          <w:rFonts w:hint="cs"/>
          <w:rtl/>
          <w:lang w:val="fr-CH"/>
        </w:rPr>
        <w:tab/>
        <w:t>مقدمة</w:t>
      </w:r>
    </w:p>
    <w:p w:rsidR="004E0A37" w:rsidRPr="004E0A37" w:rsidRDefault="004E0A37" w:rsidP="004E0A37">
      <w:pPr>
        <w:pStyle w:val="SingleTxtGA"/>
        <w:jc w:val="lowKashida"/>
        <w:rPr>
          <w:rFonts w:hint="cs"/>
          <w:b/>
          <w:bCs/>
          <w:spacing w:val="0"/>
          <w:sz w:val="20"/>
          <w:rtl/>
        </w:rPr>
      </w:pPr>
      <w:r w:rsidRPr="004E0A37">
        <w:rPr>
          <w:rFonts w:hint="cs"/>
          <w:spacing w:val="0"/>
          <w:sz w:val="20"/>
          <w:rtl/>
        </w:rPr>
        <w:t>101-</w:t>
      </w:r>
      <w:r w:rsidRPr="004E0A37">
        <w:rPr>
          <w:rFonts w:hint="cs"/>
          <w:spacing w:val="0"/>
          <w:sz w:val="20"/>
          <w:rtl/>
        </w:rPr>
        <w:tab/>
        <w:t>عملاً بالمادة 22 من الاتفاقية، يجوز للأفراد الذين يدّعون أنهم ضحايا انتهاك دولة طرف لأحكام الاتفاقية رفع شكوى إلى لجنة مناهضة التعذيب للنظر فيها</w:t>
      </w:r>
      <w:r w:rsidR="00B345DB">
        <w:rPr>
          <w:rFonts w:hint="cs"/>
          <w:spacing w:val="0"/>
          <w:sz w:val="20"/>
          <w:rtl/>
        </w:rPr>
        <w:t xml:space="preserve"> وفقاً </w:t>
      </w:r>
      <w:r w:rsidRPr="004E0A37">
        <w:rPr>
          <w:rFonts w:hint="cs"/>
          <w:spacing w:val="0"/>
          <w:sz w:val="20"/>
          <w:rtl/>
        </w:rPr>
        <w:t>للشروط المبينة في تلك المادة. وقد أعلنت خمس وستون دولة انضمت إلى الاتفاقية أو صدقت عليها أنها تعترف باختصاص اللجنة في تلقي الشكاوى والنظر فيها بموجب المادة 22 من الاتفاقية. وترد قائمة بهذه الدول في المرفق الثالث. ولا يجوز أن تنظر اللجنة في أية شكوى إذا كانت تتصل بدولة طرف في الاتفاقية</w:t>
      </w:r>
      <w:r w:rsidR="00335AC0">
        <w:rPr>
          <w:rFonts w:hint="cs"/>
          <w:spacing w:val="0"/>
          <w:sz w:val="20"/>
          <w:rtl/>
        </w:rPr>
        <w:t xml:space="preserve"> لم </w:t>
      </w:r>
      <w:r w:rsidRPr="004E0A37">
        <w:rPr>
          <w:rFonts w:hint="cs"/>
          <w:spacing w:val="0"/>
          <w:sz w:val="20"/>
          <w:rtl/>
        </w:rPr>
        <w:t>تعترف باختصاص اللجنة بموجب المادة 22.</w:t>
      </w:r>
    </w:p>
    <w:p w:rsidR="004E0A37" w:rsidRPr="004E0A37" w:rsidRDefault="004E0A37" w:rsidP="004E0A37">
      <w:pPr>
        <w:pStyle w:val="SingleTxtGA"/>
        <w:jc w:val="lowKashida"/>
        <w:rPr>
          <w:rFonts w:hint="cs"/>
          <w:spacing w:val="0"/>
          <w:sz w:val="20"/>
          <w:rtl/>
        </w:rPr>
      </w:pPr>
      <w:r w:rsidRPr="004E0A37">
        <w:rPr>
          <w:rFonts w:hint="cs"/>
          <w:spacing w:val="0"/>
          <w:sz w:val="20"/>
          <w:rtl/>
        </w:rPr>
        <w:t>102-</w:t>
      </w:r>
      <w:r w:rsidRPr="004E0A37">
        <w:rPr>
          <w:rFonts w:hint="cs"/>
          <w:spacing w:val="0"/>
          <w:sz w:val="20"/>
          <w:rtl/>
        </w:rPr>
        <w:tab/>
        <w:t>وأنشأت اللجنة،</w:t>
      </w:r>
      <w:r w:rsidR="00B345DB">
        <w:rPr>
          <w:rFonts w:hint="cs"/>
          <w:spacing w:val="0"/>
          <w:sz w:val="20"/>
          <w:rtl/>
        </w:rPr>
        <w:t xml:space="preserve"> وفقاً </w:t>
      </w:r>
      <w:r w:rsidRPr="004E0A37">
        <w:rPr>
          <w:rFonts w:hint="cs"/>
          <w:spacing w:val="0"/>
          <w:sz w:val="20"/>
          <w:rtl/>
        </w:rPr>
        <w:t>للفقرة 1 من المادة 104 من نظامها الداخلي، منصب المقرر المعني بالشكاوى الجديدة والتدابير المؤقتة، وهو منصب يشغله</w:t>
      </w:r>
      <w:r w:rsidR="003549AC">
        <w:rPr>
          <w:rFonts w:hint="cs"/>
          <w:spacing w:val="0"/>
          <w:sz w:val="20"/>
          <w:rtl/>
        </w:rPr>
        <w:t xml:space="preserve"> حالياً </w:t>
      </w:r>
      <w:r w:rsidRPr="004E0A37">
        <w:rPr>
          <w:rFonts w:hint="cs"/>
          <w:spacing w:val="0"/>
          <w:sz w:val="20"/>
          <w:rtl/>
        </w:rPr>
        <w:t xml:space="preserve">السيد فرناندو مارينيو. </w:t>
      </w:r>
    </w:p>
    <w:p w:rsidR="004E0A37" w:rsidRPr="004E0A37" w:rsidRDefault="004E0A37" w:rsidP="004E0A37">
      <w:pPr>
        <w:pStyle w:val="SingleTxtGA"/>
        <w:jc w:val="lowKashida"/>
        <w:rPr>
          <w:rFonts w:hint="cs"/>
          <w:spacing w:val="0"/>
          <w:sz w:val="20"/>
          <w:rtl/>
        </w:rPr>
      </w:pPr>
      <w:r w:rsidRPr="004E0A37">
        <w:rPr>
          <w:rFonts w:hint="cs"/>
          <w:spacing w:val="0"/>
          <w:sz w:val="20"/>
          <w:rtl/>
        </w:rPr>
        <w:t>103-</w:t>
      </w:r>
      <w:r w:rsidRPr="004E0A37">
        <w:rPr>
          <w:rFonts w:hint="cs"/>
          <w:spacing w:val="0"/>
          <w:sz w:val="20"/>
          <w:rtl/>
        </w:rPr>
        <w:tab/>
        <w:t>ويُنظر في الشكاوى المقدمة بموجب المادة 22 من الاتفاقية في جلسات مغلقة (الفقرة</w:t>
      </w:r>
      <w:r w:rsidRPr="004E0A37">
        <w:rPr>
          <w:rFonts w:hint="eastAsia"/>
          <w:spacing w:val="0"/>
          <w:sz w:val="20"/>
          <w:rtl/>
        </w:rPr>
        <w:t> </w:t>
      </w:r>
      <w:r w:rsidRPr="004E0A37">
        <w:rPr>
          <w:rFonts w:hint="cs"/>
          <w:spacing w:val="0"/>
          <w:sz w:val="20"/>
          <w:rtl/>
        </w:rPr>
        <w:t>6 من المادة 22). وتكون جميع الوثائق المتصلة بأعمال اللجنة بموجب المادة 22، أي البيانات المقدمة من الأطراف وغيرها من وثائق عمل اللجنة، سريةً. وتحدد المادتان 113 و115 من النظام الداخلي للجنة الطرائق المتبعة في الإجراء المتعلق بالشكاوى.</w:t>
      </w:r>
    </w:p>
    <w:p w:rsidR="004E0A37" w:rsidRPr="004E0A37" w:rsidRDefault="004E0A37" w:rsidP="004E0A37">
      <w:pPr>
        <w:pStyle w:val="SingleTxtGA"/>
        <w:jc w:val="lowKashida"/>
        <w:rPr>
          <w:rFonts w:hint="cs"/>
          <w:spacing w:val="0"/>
          <w:sz w:val="20"/>
          <w:rtl/>
        </w:rPr>
      </w:pPr>
      <w:r w:rsidRPr="004E0A37">
        <w:rPr>
          <w:rFonts w:hint="cs"/>
          <w:spacing w:val="0"/>
          <w:sz w:val="20"/>
          <w:rtl/>
        </w:rPr>
        <w:t>104-</w:t>
      </w:r>
      <w:r w:rsidRPr="004E0A37">
        <w:rPr>
          <w:rFonts w:hint="cs"/>
          <w:spacing w:val="0"/>
          <w:sz w:val="20"/>
          <w:rtl/>
        </w:rPr>
        <w:tab/>
        <w:t>وتتخذ اللجنة قرارها في الشكوى في ضوء كل المعلومات التي يتيحها لها صاحب الشكوى والدولة الطرف. وترسل نتائج تحقيقات اللجنة إلى الطرفين (الفقرة 7 من المادة 22 من الاتفاقية، والمادة 118 من النظام الداخلي للجنة)، وتتاح تلك النتائج لعامة الجمهور. ويتاح للجمهور أيضاً نص قرارات اللجنة التي تعلن فيها عدم مقبولية الشكاوى بموجب المادة</w:t>
      </w:r>
      <w:r w:rsidRPr="004E0A37">
        <w:rPr>
          <w:rFonts w:hint="eastAsia"/>
          <w:spacing w:val="0"/>
          <w:sz w:val="20"/>
          <w:rtl/>
        </w:rPr>
        <w:t> </w:t>
      </w:r>
      <w:r w:rsidRPr="004E0A37">
        <w:rPr>
          <w:rFonts w:hint="cs"/>
          <w:spacing w:val="0"/>
          <w:sz w:val="20"/>
          <w:rtl/>
        </w:rPr>
        <w:t xml:space="preserve">22 من الاتفاقية، وذلك دون الكشف عن هوية صاحب الشكوى، ولكن مع تحديد اسم الدولة الطرف المعنية. </w:t>
      </w:r>
    </w:p>
    <w:p w:rsidR="004E0A37" w:rsidRPr="004E0A37" w:rsidRDefault="004E0A37" w:rsidP="004E0A37">
      <w:pPr>
        <w:pStyle w:val="SingleTxtGA"/>
        <w:jc w:val="lowKashida"/>
        <w:rPr>
          <w:rFonts w:hint="cs"/>
          <w:spacing w:val="0"/>
          <w:sz w:val="20"/>
          <w:rtl/>
        </w:rPr>
      </w:pPr>
      <w:r w:rsidRPr="004E0A37">
        <w:rPr>
          <w:rFonts w:hint="cs"/>
          <w:spacing w:val="0"/>
          <w:sz w:val="20"/>
          <w:rtl/>
        </w:rPr>
        <w:t>105-</w:t>
      </w:r>
      <w:r w:rsidRPr="004E0A37">
        <w:rPr>
          <w:rFonts w:hint="cs"/>
          <w:spacing w:val="0"/>
          <w:sz w:val="20"/>
          <w:rtl/>
        </w:rPr>
        <w:tab/>
        <w:t xml:space="preserve">ويجوز للجنة، عملاً بالفقرة 1 من المادة 121 من نظامها الداخلي، أن تقرر تضمين تقريرها السنوي موجزاً عن البلاغات التي بحثتها. وتدرج اللجنة أيضاً في تقريرها السنوي نصوص قراراتها المعتمدة بموجب الفقرة 7 من المادة 22 من الاتفاقية. </w:t>
      </w:r>
    </w:p>
    <w:p w:rsidR="004E0A37" w:rsidRPr="003B45E3" w:rsidRDefault="004E0A37" w:rsidP="007223C0">
      <w:pPr>
        <w:pStyle w:val="H1GA"/>
        <w:rPr>
          <w:rFonts w:hint="cs"/>
          <w:rtl/>
          <w:lang w:val="fr-CH"/>
        </w:rPr>
      </w:pPr>
      <w:r w:rsidRPr="003B45E3">
        <w:rPr>
          <w:rFonts w:hint="cs"/>
          <w:rtl/>
          <w:lang w:val="fr-CH"/>
        </w:rPr>
        <w:tab/>
        <w:t>باء-</w:t>
      </w:r>
      <w:r w:rsidRPr="003B45E3">
        <w:rPr>
          <w:rFonts w:hint="cs"/>
          <w:rtl/>
          <w:lang w:val="fr-CH"/>
        </w:rPr>
        <w:tab/>
        <w:t>تدابير الحماية المؤقتة</w:t>
      </w:r>
    </w:p>
    <w:p w:rsidR="004E0A37" w:rsidRPr="004E0A37" w:rsidRDefault="004E0A37" w:rsidP="004E0A37">
      <w:pPr>
        <w:pStyle w:val="SingleTxtGA"/>
        <w:jc w:val="lowKashida"/>
        <w:rPr>
          <w:rFonts w:hint="cs"/>
          <w:spacing w:val="0"/>
          <w:sz w:val="20"/>
          <w:rtl/>
        </w:rPr>
      </w:pPr>
      <w:r w:rsidRPr="004E0A37">
        <w:rPr>
          <w:rFonts w:hint="cs"/>
          <w:spacing w:val="0"/>
          <w:sz w:val="20"/>
          <w:rtl/>
        </w:rPr>
        <w:t>106-</w:t>
      </w:r>
      <w:r w:rsidRPr="004E0A37">
        <w:rPr>
          <w:rFonts w:hint="cs"/>
          <w:spacing w:val="0"/>
          <w:sz w:val="20"/>
          <w:rtl/>
        </w:rPr>
        <w:tab/>
        <w:t>كثيراً ما يطلب أصحاب الشكاوى حماية وقائية، ولا سيما في حالات الطرد أو</w:t>
      </w:r>
      <w:r w:rsidRPr="004E0A37">
        <w:rPr>
          <w:rFonts w:hint="eastAsia"/>
          <w:spacing w:val="0"/>
          <w:sz w:val="20"/>
          <w:rtl/>
        </w:rPr>
        <w:t> </w:t>
      </w:r>
      <w:r w:rsidRPr="004E0A37">
        <w:rPr>
          <w:rFonts w:hint="cs"/>
          <w:spacing w:val="0"/>
          <w:sz w:val="20"/>
          <w:rtl/>
        </w:rPr>
        <w:t>التسليم الوشيكة التي يدّعون فيها حدوث انتهاك لأحكام المادة 3 من الاتفاقية. وعملاً بالفقرة 1 من المادة 114 من النظام الداخلي للجنة، يجوز للجنة عبر مقررها المعني بالشكاوى الجديدة والتدابير المؤقتة، أن توجه، في أي وقت بعد تلقي الشكوى، طلباً إلى الدولة الطرف المعنية لكي تتخذ ما تراه اللجنة ضرورياً من تدابير مؤقتة لتفادي أي ضرر لا يمكن جبره قد يلحق بضحية أو ضحايا الانتهاكات المزعومة. وتبلَّغ الدولة الطرف بأن هذا الطلب لا يعني البت في مقبولية الشكوى أو في أسسها الموضوعية. وخلال الفترة المشمولة بهذا التقرير، وردت طلبات تتعلق بتدابير الحماية المؤقتة في إطار</w:t>
      </w:r>
      <w:r w:rsidRPr="004E0A37">
        <w:rPr>
          <w:rFonts w:hint="eastAsia"/>
          <w:spacing w:val="0"/>
          <w:sz w:val="20"/>
          <w:rtl/>
        </w:rPr>
        <w:t> </w:t>
      </w:r>
      <w:r w:rsidRPr="004E0A37">
        <w:rPr>
          <w:rFonts w:hint="cs"/>
          <w:spacing w:val="0"/>
          <w:sz w:val="20"/>
          <w:rtl/>
        </w:rPr>
        <w:t>43</w:t>
      </w:r>
      <w:r w:rsidRPr="004E0A37">
        <w:rPr>
          <w:rFonts w:hint="eastAsia"/>
          <w:spacing w:val="0"/>
          <w:sz w:val="20"/>
          <w:rtl/>
        </w:rPr>
        <w:t> </w:t>
      </w:r>
      <w:r w:rsidRPr="004E0A37">
        <w:rPr>
          <w:rFonts w:hint="cs"/>
          <w:spacing w:val="0"/>
          <w:sz w:val="20"/>
          <w:rtl/>
        </w:rPr>
        <w:t xml:space="preserve">شكوى واستجاب المقرر المعني بالشكاوى الجديدة والتدابير المؤقتة، الذي يقوم برصد منتظم لمدى الامتثال لطلبات اللجنة </w:t>
      </w:r>
      <w:r w:rsidR="00F96B1E">
        <w:rPr>
          <w:rFonts w:hint="cs"/>
          <w:spacing w:val="0"/>
          <w:sz w:val="20"/>
          <w:rtl/>
        </w:rPr>
        <w:t>فيما </w:t>
      </w:r>
      <w:r w:rsidRPr="004E0A37">
        <w:rPr>
          <w:rFonts w:hint="cs"/>
          <w:spacing w:val="0"/>
          <w:sz w:val="20"/>
          <w:rtl/>
        </w:rPr>
        <w:t>يخص التدابير المؤقتة، لهذه الطلبات في إطار 27 شكوى.</w:t>
      </w:r>
    </w:p>
    <w:p w:rsidR="004E0A37" w:rsidRPr="004E0A37" w:rsidRDefault="004E0A37" w:rsidP="004E0A37">
      <w:pPr>
        <w:pStyle w:val="SingleTxtGA"/>
        <w:jc w:val="lowKashida"/>
        <w:rPr>
          <w:rFonts w:hint="cs"/>
          <w:spacing w:val="0"/>
          <w:sz w:val="20"/>
          <w:rtl/>
        </w:rPr>
      </w:pPr>
      <w:r w:rsidRPr="004E0A37">
        <w:rPr>
          <w:rFonts w:hint="cs"/>
          <w:spacing w:val="0"/>
          <w:sz w:val="20"/>
          <w:rtl/>
        </w:rPr>
        <w:t>107-</w:t>
      </w:r>
      <w:r w:rsidRPr="004E0A37">
        <w:rPr>
          <w:rFonts w:hint="cs"/>
          <w:spacing w:val="0"/>
          <w:sz w:val="20"/>
          <w:rtl/>
        </w:rPr>
        <w:tab/>
        <w:t>ويجوز اعتماد قرار الموافقة على التدابير المؤقتة على أساس المعلومات الواردة في الطلب المقدم من صاحب الشكوى. وعملاً بالفقرة 3 من المادة 114، يجوز للمقرر المعني بالشكاوى الجديدة والتدابير المؤقتة أن يستعرض هذا القرار بناء على مبادرة من الدولة الطرف في ضوء المعلومات الواردة في الوقت المناسب من الدولة الطرف ومفادها أن الحاجة إلى تدابير مؤقتة غير مبرَّرة وأن صاحب الشكوى لا يواجه أي احتمال لتعرضه لضرر لا يمكن جبره، وكذلك في ضوء أي تعليقات لاحقة، إن وُجدت، من صاحب الشكوى. وكان موقف المقرر هو أن مثل هذه الطلبات لا تستدعي النظر فيها إلاّ إذا استندت إلى معلومات جديدة ووجيهة</w:t>
      </w:r>
      <w:r w:rsidR="00335AC0">
        <w:rPr>
          <w:rFonts w:hint="cs"/>
          <w:spacing w:val="0"/>
          <w:sz w:val="20"/>
          <w:rtl/>
        </w:rPr>
        <w:t xml:space="preserve"> لم </w:t>
      </w:r>
      <w:r w:rsidRPr="004E0A37">
        <w:rPr>
          <w:rFonts w:hint="cs"/>
          <w:spacing w:val="0"/>
          <w:sz w:val="20"/>
          <w:rtl/>
        </w:rPr>
        <w:t>تكن متاحة له عند اتخاذ قراره الأولي بشأن التدابير المؤقتة.</w:t>
      </w:r>
    </w:p>
    <w:p w:rsidR="004E0A37" w:rsidRPr="004E0A37" w:rsidRDefault="004E0A37" w:rsidP="004E0A37">
      <w:pPr>
        <w:pStyle w:val="SingleTxtGA"/>
        <w:jc w:val="lowKashida"/>
        <w:rPr>
          <w:rFonts w:hint="cs"/>
          <w:spacing w:val="0"/>
          <w:sz w:val="20"/>
          <w:rtl/>
        </w:rPr>
      </w:pPr>
      <w:r w:rsidRPr="004E0A37">
        <w:rPr>
          <w:rFonts w:hint="cs"/>
          <w:spacing w:val="0"/>
          <w:sz w:val="20"/>
          <w:rtl/>
        </w:rPr>
        <w:t>108-</w:t>
      </w:r>
      <w:r w:rsidRPr="004E0A37">
        <w:rPr>
          <w:rFonts w:hint="cs"/>
          <w:spacing w:val="0"/>
          <w:sz w:val="20"/>
          <w:rtl/>
        </w:rPr>
        <w:tab/>
        <w:t>وحددت اللجنة مفاهيم المعايير، من حيث الشكل والموضوع، التي يطبقها المقرر المعني بالشكاوى الجديدة والتدابير المؤقتة في معرض الاستجابة لطلبات تدابير الحماية المؤقتة أو رفضها. وإلى جانب قيام صاحب الشكوى بتقديم طلب تدابير الحماية المؤقتة في الوقت المناسب بموجب الفقرة 1 من المادة 114 من النظام الداخلي للجنة، فإنه يجب عليه أن يستوفي معايير القبول الأساسية المبيَّنة في الفقرات 1 إلى 5 من المادة 22 من الاتفاقية كي يتسنى للمقرر أن يتّخذ إجراءً بناءً على طلب صاحب الشكوى. ويجوز الإعفاء من شرط استنفاد سبل الانتصاف المحلية إذا</w:t>
      </w:r>
      <w:r w:rsidR="00335AC0">
        <w:rPr>
          <w:rFonts w:hint="cs"/>
          <w:spacing w:val="0"/>
          <w:sz w:val="20"/>
          <w:rtl/>
        </w:rPr>
        <w:t xml:space="preserve"> لم </w:t>
      </w:r>
      <w:r w:rsidRPr="004E0A37">
        <w:rPr>
          <w:rFonts w:hint="cs"/>
          <w:spacing w:val="0"/>
          <w:sz w:val="20"/>
          <w:rtl/>
        </w:rPr>
        <w:t xml:space="preserve">يكن لسبل الانتصاف الوحيدة المتاحة لصاحب الشكوى أي أثر إيقافي، أي، على سبيل المثال، سبل الانتصاف التي لا توقف بصورة تلقائية تنفيذ أمر بالطرد إلى دولة قد يتعرض فيها صاحب الشكوى للتعذيب، أو إذا كان من المحتمل ترحيل صاحب الشكوى فوراً بعد رفض طلبه اللجوء رفضاً نهائياً. وفي هذه الحالات، يجوز للمقرر أن يطلب إلى الدولة الطرف الامتناع عن ترحيل صاحب الشكوى ما دامت شكواه قيد نظر اللجنة، وذلك حتى قبل استنفاد سبل الانتصاف المحلية. أما </w:t>
      </w:r>
      <w:r w:rsidR="00F96B1E">
        <w:rPr>
          <w:rFonts w:hint="cs"/>
          <w:spacing w:val="0"/>
          <w:sz w:val="20"/>
          <w:rtl/>
        </w:rPr>
        <w:t>فيما </w:t>
      </w:r>
      <w:r w:rsidRPr="004E0A37">
        <w:rPr>
          <w:rFonts w:hint="cs"/>
          <w:spacing w:val="0"/>
          <w:sz w:val="20"/>
          <w:rtl/>
        </w:rPr>
        <w:t>يتعلق بالمعايير الموضوعية التي يطبقها المقرر، فإنه يجب أن تتوفر للشكوى حظوظ معقولة في القبول من حيث الأسس الموضوعية لكي يمكن أن يُستنتج أن الشخص الذي يُدعى أنه ضحية سيعاني ضرراً لا يمكن جبره في حال ترحيله.</w:t>
      </w:r>
    </w:p>
    <w:p w:rsidR="004E0A37" w:rsidRPr="00D513BF" w:rsidRDefault="004E0A37" w:rsidP="004E0A37">
      <w:pPr>
        <w:pStyle w:val="SingleTxtGA"/>
        <w:jc w:val="lowKashida"/>
        <w:rPr>
          <w:rFonts w:hint="cs"/>
          <w:spacing w:val="-2"/>
          <w:sz w:val="20"/>
          <w:rtl/>
        </w:rPr>
      </w:pPr>
      <w:r w:rsidRPr="00D513BF">
        <w:rPr>
          <w:rFonts w:hint="cs"/>
          <w:spacing w:val="-2"/>
          <w:sz w:val="20"/>
          <w:rtl/>
        </w:rPr>
        <w:t>109-</w:t>
      </w:r>
      <w:r w:rsidRPr="00D513BF">
        <w:rPr>
          <w:rFonts w:hint="cs"/>
          <w:spacing w:val="-2"/>
          <w:sz w:val="20"/>
          <w:rtl/>
        </w:rPr>
        <w:tab/>
        <w:t>وفي الحالات المتعلقة بالطرد أو التسليم الوشيكين التي لا يتضح فيها من الشكوى وجود دعوى ظاهرة الوجاهة ذات حظوظ معقولة لكي تُقبل من حيث الأسس الموضوعية بما</w:t>
      </w:r>
      <w:r w:rsidRPr="00D513BF">
        <w:rPr>
          <w:rFonts w:hint="eastAsia"/>
          <w:spacing w:val="-2"/>
          <w:sz w:val="20"/>
          <w:rtl/>
        </w:rPr>
        <w:t> </w:t>
      </w:r>
      <w:r w:rsidRPr="00D513BF">
        <w:rPr>
          <w:rFonts w:hint="cs"/>
          <w:spacing w:val="-2"/>
          <w:sz w:val="20"/>
          <w:rtl/>
        </w:rPr>
        <w:t>يمكّن المقرر المعني بالشكاوى الجديدة والتدابير المؤقتة من استنتاج أن الشخص الذي يُدعى أنه ضحية سيعاني ضرراً لا يُجبر في حال ترحيله، يُطلب إلى صاحب الشكوى كتابةً أن يؤكد رغبته في عرض بلاغه على اللجنة من أجل النظر فيه، رغم رفض المقرر الخاص المعني بالشكاوى الجديدة والتدابير المؤقتة طلب التدابير المؤقتة. وفي بعض الحالات، يسحب المقرر طلبات الحماية المؤقتة استناداً إلى الفقرة 3 من المادة</w:t>
      </w:r>
      <w:r w:rsidRPr="00D513BF">
        <w:rPr>
          <w:rFonts w:hint="eastAsia"/>
          <w:spacing w:val="-2"/>
          <w:sz w:val="20"/>
          <w:rtl/>
        </w:rPr>
        <w:t> </w:t>
      </w:r>
      <w:r w:rsidRPr="00D513BF">
        <w:rPr>
          <w:rFonts w:hint="cs"/>
          <w:spacing w:val="-2"/>
          <w:sz w:val="20"/>
          <w:rtl/>
        </w:rPr>
        <w:t>114 وعلى أساس معلومات وجيهة ترد من الدولة الطرف المعنية وتزيل الحاجة إلى اتخاذ تدابير مؤقتة. في بعض الحالات، يسحب المقرر طلبات الحماية المؤقتة استناداً إلى الفقرة 3 من المادة 114 من النظام الداخلي للجنة وعلى أساس معلومات وجيهة ترد من الدولة الطرف المعنية وتزيل الحاجة إلى اتخاذ تدابير مؤقتة.</w:t>
      </w:r>
    </w:p>
    <w:p w:rsidR="004E0A37" w:rsidRPr="00D513BF" w:rsidRDefault="004E0A37" w:rsidP="007223C0">
      <w:pPr>
        <w:pStyle w:val="H1GA"/>
        <w:rPr>
          <w:rFonts w:hint="cs"/>
          <w:rtl/>
          <w:lang w:val="fr-CH"/>
        </w:rPr>
      </w:pPr>
      <w:r w:rsidRPr="00D513BF">
        <w:rPr>
          <w:rFonts w:hint="cs"/>
          <w:rtl/>
          <w:lang w:val="fr-CH"/>
        </w:rPr>
        <w:tab/>
        <w:t>جيم-</w:t>
      </w:r>
      <w:r w:rsidRPr="00D513BF">
        <w:rPr>
          <w:rFonts w:hint="cs"/>
          <w:rtl/>
          <w:lang w:val="fr-CH"/>
        </w:rPr>
        <w:tab/>
        <w:t>سير العمل</w:t>
      </w:r>
    </w:p>
    <w:p w:rsidR="004E0A37" w:rsidRPr="004E0A37" w:rsidRDefault="004E0A37" w:rsidP="00727BAF">
      <w:pPr>
        <w:pStyle w:val="SingleTxtGA"/>
        <w:jc w:val="lowKashida"/>
        <w:rPr>
          <w:rFonts w:hint="cs"/>
          <w:spacing w:val="0"/>
          <w:sz w:val="20"/>
          <w:rtl/>
        </w:rPr>
      </w:pPr>
      <w:r w:rsidRPr="004E0A37">
        <w:rPr>
          <w:rFonts w:hint="cs"/>
          <w:spacing w:val="0"/>
          <w:sz w:val="20"/>
          <w:rtl/>
        </w:rPr>
        <w:t>110-</w:t>
      </w:r>
      <w:r w:rsidRPr="004E0A37">
        <w:rPr>
          <w:rFonts w:hint="cs"/>
          <w:spacing w:val="0"/>
          <w:sz w:val="20"/>
          <w:rtl/>
        </w:rPr>
        <w:tab/>
        <w:t>حتى تاريخ اعتماد هذا التقرير، كانت اللجنة قد سجلت، منذ عام 1989، 506 شكاوى تخص 31 دولة من الدول الأطراف</w:t>
      </w:r>
      <w:r w:rsidR="00727BAF">
        <w:rPr>
          <w:spacing w:val="0"/>
          <w:sz w:val="20"/>
          <w:vertAlign w:val="superscript"/>
          <w:rtl/>
        </w:rPr>
        <w:t>(</w:t>
      </w:r>
      <w:r w:rsidR="00727BAF">
        <w:rPr>
          <w:rStyle w:val="FootnoteReference"/>
          <w:spacing w:val="0"/>
          <w:rtl/>
        </w:rPr>
        <w:footnoteReference w:id="15"/>
      </w:r>
      <w:r w:rsidR="00727BAF">
        <w:rPr>
          <w:spacing w:val="0"/>
          <w:sz w:val="20"/>
          <w:vertAlign w:val="superscript"/>
          <w:rtl/>
        </w:rPr>
        <w:t>)</w:t>
      </w:r>
      <w:r w:rsidRPr="004E0A37">
        <w:rPr>
          <w:rFonts w:hint="cs"/>
          <w:spacing w:val="0"/>
          <w:sz w:val="20"/>
          <w:rtl/>
        </w:rPr>
        <w:t xml:space="preserve">. وأُوقف النظر في 138 شكوى من مجموع هذه الشكاوى واعتُبرت 63 شكوى أخرى غير مقبولة. واعتمدت اللجنة قرارات نهائية بشأن الأسس الموضوعية في 203 شكاوى، وخلصت إلى وقوع انتهاكات للاتفاقية في 73 شكوى منها. وظلت 102 من الشكاوى تنتظر البت فيها. </w:t>
      </w:r>
    </w:p>
    <w:p w:rsidR="004E0A37" w:rsidRPr="004E0A37" w:rsidRDefault="004E0A37" w:rsidP="00D513BF">
      <w:pPr>
        <w:pStyle w:val="SingleTxtGA"/>
        <w:jc w:val="lowKashida"/>
        <w:rPr>
          <w:rFonts w:hint="cs"/>
          <w:spacing w:val="0"/>
          <w:sz w:val="20"/>
          <w:rtl/>
        </w:rPr>
      </w:pPr>
      <w:r w:rsidRPr="004E0A37">
        <w:rPr>
          <w:rFonts w:hint="cs"/>
          <w:spacing w:val="0"/>
          <w:sz w:val="20"/>
          <w:rtl/>
        </w:rPr>
        <w:t>111-</w:t>
      </w:r>
      <w:r w:rsidRPr="004E0A37">
        <w:rPr>
          <w:rFonts w:hint="cs"/>
          <w:spacing w:val="0"/>
          <w:sz w:val="20"/>
          <w:rtl/>
        </w:rPr>
        <w:tab/>
        <w:t xml:space="preserve">واعتمدت اللجنة في دورتها السابعة والأربعين قرارات بشأن الأسس الموضوعية </w:t>
      </w:r>
      <w:r w:rsidR="00F96B1E">
        <w:rPr>
          <w:rFonts w:hint="cs"/>
          <w:spacing w:val="0"/>
          <w:sz w:val="20"/>
          <w:rtl/>
        </w:rPr>
        <w:t>فيما </w:t>
      </w:r>
      <w:r w:rsidRPr="004E0A37">
        <w:rPr>
          <w:rFonts w:hint="cs"/>
          <w:spacing w:val="0"/>
          <w:sz w:val="20"/>
          <w:rtl/>
        </w:rPr>
        <w:t>يتعلق بالشكاوى رقم</w:t>
      </w:r>
      <w:r w:rsidRPr="004E0A37">
        <w:rPr>
          <w:rFonts w:hint="eastAsia"/>
          <w:spacing w:val="0"/>
          <w:sz w:val="20"/>
          <w:rtl/>
        </w:rPr>
        <w:t> </w:t>
      </w:r>
      <w:r w:rsidRPr="004E0A37">
        <w:rPr>
          <w:rFonts w:hint="cs"/>
          <w:spacing w:val="0"/>
          <w:sz w:val="20"/>
          <w:rtl/>
        </w:rPr>
        <w:t xml:space="preserve">312/2007 </w:t>
      </w:r>
      <w:r w:rsidRPr="004E0A37">
        <w:rPr>
          <w:rFonts w:hint="cs"/>
          <w:i/>
          <w:iCs/>
          <w:spacing w:val="0"/>
          <w:sz w:val="20"/>
          <w:rtl/>
        </w:rPr>
        <w:t>(افتخاري ضد النرويج)</w:t>
      </w:r>
      <w:r w:rsidRPr="004E0A37">
        <w:rPr>
          <w:rFonts w:hint="cs"/>
          <w:spacing w:val="0"/>
          <w:sz w:val="20"/>
          <w:rtl/>
        </w:rPr>
        <w:t xml:space="preserve">، ورقم 327/2007 </w:t>
      </w:r>
      <w:r w:rsidRPr="004E0A37">
        <w:rPr>
          <w:rFonts w:hint="cs"/>
          <w:i/>
          <w:iCs/>
          <w:spacing w:val="0"/>
          <w:sz w:val="20"/>
          <w:rtl/>
        </w:rPr>
        <w:t>(بوالي ضد كندا)</w:t>
      </w:r>
      <w:r w:rsidRPr="004E0A37">
        <w:rPr>
          <w:rFonts w:hint="cs"/>
          <w:spacing w:val="0"/>
          <w:sz w:val="20"/>
          <w:rtl/>
        </w:rPr>
        <w:t xml:space="preserve">، ورقم 347/2008 </w:t>
      </w:r>
      <w:r w:rsidRPr="004E0A37">
        <w:rPr>
          <w:rFonts w:hint="cs"/>
          <w:i/>
          <w:iCs/>
          <w:spacing w:val="0"/>
          <w:sz w:val="20"/>
          <w:rtl/>
        </w:rPr>
        <w:t>(ن.</w:t>
      </w:r>
      <w:r w:rsidRPr="004E0A37">
        <w:rPr>
          <w:rFonts w:hint="eastAsia"/>
          <w:i/>
          <w:iCs/>
          <w:spacing w:val="0"/>
          <w:sz w:val="20"/>
          <w:rtl/>
        </w:rPr>
        <w:t> </w:t>
      </w:r>
      <w:r w:rsidRPr="004E0A37">
        <w:rPr>
          <w:rFonts w:hint="cs"/>
          <w:i/>
          <w:iCs/>
          <w:spacing w:val="0"/>
          <w:sz w:val="20"/>
          <w:rtl/>
        </w:rPr>
        <w:t>ب-م. ضد سويسرا)</w:t>
      </w:r>
      <w:r w:rsidRPr="004E0A37">
        <w:rPr>
          <w:rFonts w:hint="cs"/>
          <w:spacing w:val="0"/>
          <w:sz w:val="20"/>
          <w:rtl/>
        </w:rPr>
        <w:t xml:space="preserve">، ورقم 351/2008 </w:t>
      </w:r>
      <w:r w:rsidRPr="004E0A37">
        <w:rPr>
          <w:rFonts w:hint="cs"/>
          <w:i/>
          <w:iCs/>
          <w:spacing w:val="0"/>
          <w:sz w:val="20"/>
          <w:rtl/>
        </w:rPr>
        <w:t>إ.</w:t>
      </w:r>
      <w:r w:rsidRPr="004E0A37">
        <w:rPr>
          <w:rFonts w:hint="eastAsia"/>
          <w:i/>
          <w:iCs/>
          <w:spacing w:val="0"/>
          <w:sz w:val="20"/>
          <w:rtl/>
        </w:rPr>
        <w:t> </w:t>
      </w:r>
      <w:r w:rsidRPr="004E0A37">
        <w:rPr>
          <w:rFonts w:hint="cs"/>
          <w:i/>
          <w:iCs/>
          <w:spacing w:val="0"/>
          <w:sz w:val="20"/>
          <w:rtl/>
        </w:rPr>
        <w:t>ل. ضد سويسرا)</w:t>
      </w:r>
      <w:r w:rsidRPr="004E0A37">
        <w:rPr>
          <w:rFonts w:hint="cs"/>
          <w:spacing w:val="0"/>
          <w:sz w:val="20"/>
          <w:rtl/>
        </w:rPr>
        <w:t xml:space="preserve">، ورقم 353/2008 </w:t>
      </w:r>
      <w:r w:rsidRPr="004E0A37">
        <w:rPr>
          <w:rFonts w:hint="cs"/>
          <w:i/>
          <w:iCs/>
          <w:spacing w:val="0"/>
          <w:sz w:val="20"/>
          <w:rtl/>
        </w:rPr>
        <w:t>(سليوسار ضد أوكرانيا)</w:t>
      </w:r>
      <w:r w:rsidRPr="004E0A37">
        <w:rPr>
          <w:rFonts w:hint="cs"/>
          <w:spacing w:val="0"/>
          <w:sz w:val="20"/>
          <w:rtl/>
        </w:rPr>
        <w:t xml:space="preserve">، ورقم 368/2008 </w:t>
      </w:r>
      <w:r w:rsidRPr="004E0A37">
        <w:rPr>
          <w:rFonts w:hint="cs"/>
          <w:i/>
          <w:iCs/>
          <w:spacing w:val="0"/>
          <w:sz w:val="20"/>
          <w:rtl/>
        </w:rPr>
        <w:t>(صونكو ضد إسبانيا)</w:t>
      </w:r>
      <w:r w:rsidRPr="004E0A37">
        <w:rPr>
          <w:rFonts w:hint="cs"/>
          <w:spacing w:val="0"/>
          <w:sz w:val="20"/>
          <w:rtl/>
        </w:rPr>
        <w:t>، ورقم</w:t>
      </w:r>
      <w:r w:rsidRPr="004E0A37">
        <w:rPr>
          <w:rFonts w:hint="eastAsia"/>
          <w:spacing w:val="0"/>
          <w:sz w:val="20"/>
          <w:rtl/>
        </w:rPr>
        <w:t> </w:t>
      </w:r>
      <w:r w:rsidRPr="004E0A37">
        <w:rPr>
          <w:rFonts w:hint="cs"/>
          <w:spacing w:val="0"/>
          <w:sz w:val="20"/>
          <w:rtl/>
        </w:rPr>
        <w:t>374/2009 (</w:t>
      </w:r>
      <w:r w:rsidRPr="004E0A37">
        <w:rPr>
          <w:rFonts w:hint="cs"/>
          <w:i/>
          <w:iCs/>
          <w:spacing w:val="0"/>
          <w:sz w:val="20"/>
          <w:rtl/>
        </w:rPr>
        <w:t>س.</w:t>
      </w:r>
      <w:r w:rsidRPr="004E0A37">
        <w:rPr>
          <w:rFonts w:hint="eastAsia"/>
          <w:i/>
          <w:iCs/>
          <w:spacing w:val="0"/>
          <w:sz w:val="20"/>
          <w:rtl/>
        </w:rPr>
        <w:t> </w:t>
      </w:r>
      <w:r w:rsidRPr="004E0A37">
        <w:rPr>
          <w:rFonts w:hint="cs"/>
          <w:i/>
          <w:iCs/>
          <w:spacing w:val="0"/>
          <w:sz w:val="20"/>
          <w:rtl/>
        </w:rPr>
        <w:t>م. وه‍.</w:t>
      </w:r>
      <w:r w:rsidRPr="004E0A37">
        <w:rPr>
          <w:rFonts w:hint="eastAsia"/>
          <w:i/>
          <w:iCs/>
          <w:spacing w:val="0"/>
          <w:sz w:val="20"/>
          <w:rtl/>
        </w:rPr>
        <w:t> </w:t>
      </w:r>
      <w:r w:rsidRPr="004E0A37">
        <w:rPr>
          <w:rFonts w:hint="cs"/>
          <w:i/>
          <w:iCs/>
          <w:spacing w:val="0"/>
          <w:sz w:val="20"/>
          <w:rtl/>
        </w:rPr>
        <w:t>م. وأ.</w:t>
      </w:r>
      <w:r w:rsidRPr="004E0A37">
        <w:rPr>
          <w:rFonts w:hint="eastAsia"/>
          <w:i/>
          <w:iCs/>
          <w:spacing w:val="0"/>
          <w:sz w:val="20"/>
          <w:rtl/>
        </w:rPr>
        <w:t> </w:t>
      </w:r>
      <w:r w:rsidRPr="004E0A37">
        <w:rPr>
          <w:rFonts w:hint="cs"/>
          <w:i/>
          <w:iCs/>
          <w:spacing w:val="0"/>
          <w:sz w:val="20"/>
          <w:rtl/>
        </w:rPr>
        <w:t xml:space="preserve">م. ضد السويد)، </w:t>
      </w:r>
      <w:r w:rsidRPr="00D513BF">
        <w:rPr>
          <w:rFonts w:hint="cs"/>
          <w:spacing w:val="-4"/>
          <w:sz w:val="20"/>
          <w:rtl/>
        </w:rPr>
        <w:t>ورقم</w:t>
      </w:r>
      <w:r w:rsidR="00230664" w:rsidRPr="00D513BF">
        <w:rPr>
          <w:rFonts w:hint="eastAsia"/>
          <w:spacing w:val="-4"/>
          <w:sz w:val="20"/>
          <w:rtl/>
        </w:rPr>
        <w:t> </w:t>
      </w:r>
      <w:r w:rsidRPr="00D513BF">
        <w:rPr>
          <w:rFonts w:hint="cs"/>
          <w:spacing w:val="-4"/>
          <w:sz w:val="20"/>
          <w:rtl/>
        </w:rPr>
        <w:t xml:space="preserve">381/2009 </w:t>
      </w:r>
      <w:r w:rsidRPr="00D513BF">
        <w:rPr>
          <w:rFonts w:hint="cs"/>
          <w:i/>
          <w:iCs/>
          <w:spacing w:val="-4"/>
          <w:sz w:val="20"/>
          <w:rtl/>
        </w:rPr>
        <w:t>(فرج الله وآخرون ضـد سويسرا)</w:t>
      </w:r>
      <w:r w:rsidRPr="00D513BF">
        <w:rPr>
          <w:rFonts w:hint="cs"/>
          <w:spacing w:val="-4"/>
          <w:sz w:val="20"/>
          <w:rtl/>
        </w:rPr>
        <w:t xml:space="preserve"> ورقم 428/2010 </w:t>
      </w:r>
      <w:r w:rsidRPr="00D513BF">
        <w:rPr>
          <w:rFonts w:hint="cs"/>
          <w:i/>
          <w:iCs/>
          <w:spacing w:val="-4"/>
          <w:sz w:val="20"/>
          <w:rtl/>
        </w:rPr>
        <w:t>(كالينيتشنكو ضد</w:t>
      </w:r>
      <w:r w:rsidR="00D513BF">
        <w:rPr>
          <w:rFonts w:hint="eastAsia"/>
          <w:i/>
          <w:iCs/>
          <w:spacing w:val="-4"/>
          <w:sz w:val="20"/>
          <w:rtl/>
        </w:rPr>
        <w:t> </w:t>
      </w:r>
      <w:r w:rsidRPr="00D513BF">
        <w:rPr>
          <w:rFonts w:hint="cs"/>
          <w:i/>
          <w:iCs/>
          <w:spacing w:val="-4"/>
          <w:sz w:val="20"/>
          <w:rtl/>
        </w:rPr>
        <w:t>المغرب)</w:t>
      </w:r>
      <w:r w:rsidRPr="00D513BF">
        <w:rPr>
          <w:rFonts w:hint="cs"/>
          <w:spacing w:val="-4"/>
          <w:sz w:val="20"/>
          <w:rtl/>
        </w:rPr>
        <w:t>. ويرد نص هذه القرارات أيضاً في الفرع ألف من المرفق الرابع عشر لهذا التقرير.</w:t>
      </w:r>
    </w:p>
    <w:p w:rsidR="004E0A37" w:rsidRPr="004E0A37" w:rsidRDefault="004E0A37" w:rsidP="004E0A37">
      <w:pPr>
        <w:pStyle w:val="SingleTxtGA"/>
        <w:jc w:val="lowKashida"/>
        <w:rPr>
          <w:rFonts w:hint="cs"/>
          <w:spacing w:val="0"/>
          <w:sz w:val="20"/>
          <w:rtl/>
        </w:rPr>
      </w:pPr>
      <w:r w:rsidRPr="004E0A37">
        <w:rPr>
          <w:rFonts w:hint="cs"/>
          <w:spacing w:val="0"/>
          <w:sz w:val="20"/>
          <w:rtl/>
        </w:rPr>
        <w:t>112-</w:t>
      </w:r>
      <w:r w:rsidRPr="004E0A37">
        <w:rPr>
          <w:rFonts w:hint="cs"/>
          <w:spacing w:val="0"/>
          <w:sz w:val="20"/>
          <w:rtl/>
        </w:rPr>
        <w:tab/>
        <w:t>الشكوى رقم 312/2007 (</w:t>
      </w:r>
      <w:r w:rsidRPr="004E0A37">
        <w:rPr>
          <w:rFonts w:hint="cs"/>
          <w:i/>
          <w:iCs/>
          <w:spacing w:val="0"/>
          <w:sz w:val="20"/>
          <w:rtl/>
        </w:rPr>
        <w:t>افتخاري ضد النرويج</w:t>
      </w:r>
      <w:r w:rsidRPr="004E0A37">
        <w:rPr>
          <w:rFonts w:hint="cs"/>
          <w:spacing w:val="0"/>
          <w:sz w:val="20"/>
          <w:rtl/>
        </w:rPr>
        <w:t>)، هي شكوى تتعلق بمواطن من جمهورية إيران الإسلامية يدعي أن ترحيله إلى بلده الأصل سيشكل انتهاكاً من جانب النرويج لأحكام المادة 3 من الاتفاقية بسبب خطر تعرضه للتعذيب أو خضوعه للمعاملة اللاإنسانية أو المهينة على يد السلطات هناك نظراً لأنشطته الصحفية ولأن محكمة الثورة في طهران حكمت عليه، بعد مغادرته البلد، بالسجن غيابياً لمدة خمس سنوات بتهمة تعاونه المزعوم مع مجموعات معادية للثورة ونشر مقالات ضد الجمهورية الإسلامية. ورغم اعتراض الدولة الطرف على صحة الحكم (وثيقة قدمها صاحب الشكوى دعماً لمزاعمه)، أخذت اللجنة بعين الاعتبار الأمرين اللذين تلقاهما صاحب الشكوى في عام 2003 للمثول أمام محكمة الثورة في طهران بسبب أنشطته الصحفية، ومتابعة السلطات الإيرانية لصاحب البلاغ، عن طريق إلقاء القبض عليه واستجوابه، كما وضعت في اعتبارها أن صاحب الشكوى</w:t>
      </w:r>
      <w:r w:rsidR="00335AC0">
        <w:rPr>
          <w:rFonts w:hint="cs"/>
          <w:spacing w:val="0"/>
          <w:sz w:val="20"/>
          <w:rtl/>
        </w:rPr>
        <w:t xml:space="preserve"> لم </w:t>
      </w:r>
      <w:r w:rsidRPr="004E0A37">
        <w:rPr>
          <w:rFonts w:hint="cs"/>
          <w:spacing w:val="0"/>
          <w:sz w:val="20"/>
          <w:rtl/>
        </w:rPr>
        <w:t xml:space="preserve">ينقطع عن أنشطته الصحفية منذ وصوله إلى النرويج. وأشارت اللجنة كذلك إلى أن إيران ليست طرفاً في الاتفاقية، وهو ما يحرم صاحب الشكوى من إمكانية اللجوء إلى اللجنة من أجل الحصول على الحماية، أياً كان نوعها، في حال ترحيله إلى إيران. وخلُصت اللجنة إلى أن قرار الدولة الطرف ترحيل صاحب الشكوى إلى إيران سيشكل خرقاً للمادة 3 من الاتفاقية. </w:t>
      </w:r>
    </w:p>
    <w:p w:rsidR="004E0A37" w:rsidRPr="004E0A37" w:rsidRDefault="004E0A37" w:rsidP="004E0A37">
      <w:pPr>
        <w:pStyle w:val="SingleTxtGA"/>
        <w:jc w:val="lowKashida"/>
        <w:rPr>
          <w:rFonts w:hint="cs"/>
          <w:spacing w:val="0"/>
          <w:sz w:val="20"/>
          <w:rtl/>
        </w:rPr>
      </w:pPr>
      <w:r w:rsidRPr="004E0A37">
        <w:rPr>
          <w:rFonts w:hint="cs"/>
          <w:spacing w:val="0"/>
          <w:sz w:val="20"/>
          <w:rtl/>
        </w:rPr>
        <w:t>113-</w:t>
      </w:r>
      <w:r w:rsidRPr="004E0A37">
        <w:rPr>
          <w:rFonts w:hint="cs"/>
          <w:spacing w:val="0"/>
          <w:sz w:val="20"/>
          <w:rtl/>
        </w:rPr>
        <w:tab/>
        <w:t>الشكوى رقم 327/2007 (</w:t>
      </w:r>
      <w:r w:rsidRPr="004E0A37">
        <w:rPr>
          <w:rFonts w:hint="cs"/>
          <w:i/>
          <w:iCs/>
          <w:spacing w:val="0"/>
          <w:sz w:val="20"/>
          <w:rtl/>
        </w:rPr>
        <w:t>بوالي ضد كندا</w:t>
      </w:r>
      <w:r w:rsidRPr="004E0A37">
        <w:rPr>
          <w:rFonts w:hint="cs"/>
          <w:spacing w:val="0"/>
          <w:sz w:val="20"/>
          <w:rtl/>
        </w:rPr>
        <w:t>)، وتتعلق بمواطن كندي يزعم أن تسليمه إلى المكسيك سيشكل انتهاكاً من كندا للمادة 3 من الاتفاقية. ففي عام</w:t>
      </w:r>
      <w:r w:rsidRPr="004E0A37">
        <w:rPr>
          <w:rFonts w:hint="eastAsia"/>
          <w:spacing w:val="0"/>
          <w:sz w:val="20"/>
          <w:rtl/>
        </w:rPr>
        <w:t> </w:t>
      </w:r>
      <w:r w:rsidRPr="004E0A37">
        <w:rPr>
          <w:rFonts w:hint="cs"/>
          <w:spacing w:val="0"/>
          <w:sz w:val="20"/>
          <w:rtl/>
        </w:rPr>
        <w:t>1998، صدر بحق صاحب الشكوى في المكسيك حكم بالسجن لمدة 14 عاماً بتهمة الاتجار بالمارجوانا. وفي عام 1999، دبر صاحب الشكوى عملية هروب قُتل في أثنائها أحد حراس السجن. وفي عام 2005، قُبض عليه في بيته في كندا بموجب مذكرة تسليم مؤقتة إلى المكسيك التي طلبت تسليمه كي يُتمّ مدة سجنه وليردّ على تهمة قتل حارس السجن وتهمة الهروب من احتجاز قانوني. وادعى صاحب الشكوى أنه سيُعرض شخصياً لخطر حقيقي ومتوقع بالتعذيب في حال تسليمه، مؤكداً أن السلطات المكسيكية كانت قد عذبته في السابق وأنه هُدد بالقتل من قِبل شرطيين وأن رأيين طبيين مستقلين أكدا صحة تعرضه للتعذيب. ولاحظت اللجنة أن صاحب الشكوى ادعى تعرضه للتعذيب بعد تسليمه، وأشارت إلى ما أكدته الدولة الطرف من أن الضمانات الدبلوماسية تقلل من احتمال التعرض للتعذيب، وهي ضمانات جرى تقييمها في ضوء الآلية المقرر إنشاؤها لرصد وضع صاحب الشكوى من خلال قيام موظفي القنصلية بزيارات منتظمة. واعتبرت اللجنة أن الدولة الطرف</w:t>
      </w:r>
      <w:r w:rsidR="00335AC0">
        <w:rPr>
          <w:rFonts w:hint="cs"/>
          <w:spacing w:val="0"/>
          <w:sz w:val="20"/>
          <w:rtl/>
        </w:rPr>
        <w:t xml:space="preserve"> لم </w:t>
      </w:r>
      <w:r w:rsidRPr="004E0A37">
        <w:rPr>
          <w:rFonts w:hint="cs"/>
          <w:spacing w:val="0"/>
          <w:sz w:val="20"/>
          <w:rtl/>
        </w:rPr>
        <w:t>تضع في اعتبارها، قبل اتخاذ قرارها بتسليم صاحب الشكوى، جميع الملابسات التي تدل على وجود خطر متوقع وحقيقي لتعرض صاحب الشكوى شخصياً للتعذيب. ولاحظت أيضاً أن الدولة الطرف</w:t>
      </w:r>
      <w:r w:rsidR="00335AC0">
        <w:rPr>
          <w:rFonts w:hint="cs"/>
          <w:spacing w:val="0"/>
          <w:sz w:val="20"/>
          <w:rtl/>
        </w:rPr>
        <w:t xml:space="preserve"> لم </w:t>
      </w:r>
      <w:r w:rsidRPr="004E0A37">
        <w:rPr>
          <w:rFonts w:hint="cs"/>
          <w:spacing w:val="0"/>
          <w:sz w:val="20"/>
          <w:rtl/>
        </w:rPr>
        <w:t>تراع كون صاحب الشكوى سيُرسل إلى نفس السجن الذي لقي فيه أحد الحراس حتفه أثناء فرار صاحب البلاغ وأن وفاة الحارس تمثل عنصراً من العناصر التي أُسس عليها طلب التسليم. وخلُصت اللجنة أيضاً إلى أن نظام الضمانات الدبلوماسية المتفق عليه</w:t>
      </w:r>
      <w:r w:rsidR="00335AC0">
        <w:rPr>
          <w:rFonts w:hint="cs"/>
          <w:spacing w:val="0"/>
          <w:sz w:val="20"/>
          <w:rtl/>
        </w:rPr>
        <w:t xml:space="preserve"> لم </w:t>
      </w:r>
      <w:r w:rsidRPr="004E0A37">
        <w:rPr>
          <w:rFonts w:hint="cs"/>
          <w:spacing w:val="0"/>
          <w:sz w:val="20"/>
          <w:rtl/>
        </w:rPr>
        <w:t xml:space="preserve">يُصمم تصميماً دقيقاً بحيث يمنع التعذيب فعلياً. واعتبرت اللجنة أن تسليم صاحب البلاغ إلى المكسيك في تلك الظروف يُشكل انتهاكاً من الدولة الطرف للمادة 3 من الاتفاقية. </w:t>
      </w:r>
    </w:p>
    <w:p w:rsidR="004E0A37" w:rsidRPr="004E0A37" w:rsidRDefault="004E0A37" w:rsidP="00D513BF">
      <w:pPr>
        <w:pStyle w:val="SingleTxtGA"/>
        <w:jc w:val="lowKashida"/>
        <w:rPr>
          <w:rFonts w:hint="cs"/>
          <w:spacing w:val="0"/>
          <w:sz w:val="20"/>
          <w:rtl/>
        </w:rPr>
      </w:pPr>
      <w:r w:rsidRPr="004E0A37">
        <w:rPr>
          <w:rFonts w:hint="cs"/>
          <w:spacing w:val="0"/>
          <w:sz w:val="20"/>
          <w:rtl/>
        </w:rPr>
        <w:t>114-</w:t>
      </w:r>
      <w:r w:rsidRPr="004E0A37">
        <w:rPr>
          <w:rFonts w:hint="cs"/>
          <w:spacing w:val="0"/>
          <w:sz w:val="20"/>
          <w:rtl/>
        </w:rPr>
        <w:tab/>
        <w:t xml:space="preserve">الشكوى رقم 347/2008 </w:t>
      </w:r>
      <w:r w:rsidRPr="00D513BF">
        <w:rPr>
          <w:rFonts w:hint="cs"/>
          <w:i/>
          <w:iCs/>
          <w:spacing w:val="0"/>
          <w:sz w:val="20"/>
          <w:rtl/>
        </w:rPr>
        <w:t>(</w:t>
      </w:r>
      <w:r w:rsidRPr="004E0A37">
        <w:rPr>
          <w:rFonts w:hint="cs"/>
          <w:i/>
          <w:iCs/>
          <w:spacing w:val="0"/>
          <w:sz w:val="20"/>
          <w:rtl/>
        </w:rPr>
        <w:t>ن. ب-م ضد سويسرا</w:t>
      </w:r>
      <w:r w:rsidRPr="00D513BF">
        <w:rPr>
          <w:rFonts w:hint="cs"/>
          <w:i/>
          <w:iCs/>
          <w:spacing w:val="0"/>
          <w:sz w:val="20"/>
          <w:rtl/>
        </w:rPr>
        <w:t>)</w:t>
      </w:r>
      <w:r w:rsidRPr="004E0A37">
        <w:rPr>
          <w:rFonts w:hint="cs"/>
          <w:spacing w:val="0"/>
          <w:sz w:val="20"/>
          <w:rtl/>
        </w:rPr>
        <w:t>، وتتعلق بمواطنة من جمهورية الكونغو الديمقراطية، واجهت احتمال الترحيل إلى بلدها الأصلي، ادعت أن ترحيلها يشكل انتهاكاً للمادة 3 من الاتفاقية. وقد أكدت صاحبة الشكوى أنها معرضة شخصياً لخطر حقيقي للتعذيب في جمهورية الكونغو الديمقراطية لأنها نشرت، بإيعاز من خطيبها، رسالة سياسية مناوئة للنظام الحاكم في المنطقة التي تقطن فيها وأنها تعرضت نتيجة لذلك للتهديد من قبل مصالح الأمن التي ما فتئت تفتش عنها منذ مغادرتها البيت الأسري ثم البلد. وادعت</w:t>
      </w:r>
      <w:r w:rsidR="00D513BF">
        <w:rPr>
          <w:rFonts w:hint="eastAsia"/>
          <w:spacing w:val="0"/>
          <w:sz w:val="20"/>
          <w:rtl/>
        </w:rPr>
        <w:t> </w:t>
      </w:r>
      <w:r w:rsidRPr="004E0A37">
        <w:rPr>
          <w:rFonts w:hint="cs"/>
          <w:spacing w:val="0"/>
          <w:sz w:val="20"/>
          <w:rtl/>
        </w:rPr>
        <w:t>صاحبة الشكوى أيضاً أنها اغتصبت من قبل ضابطين ساعداها في الفرار من جمهورية الكونغو الديمقراطية. وأخيراً، لفتت صاحبة الشكوى انتباه اللجنة إلى حالتها الصحية وأرفقت بشكواها شهادة طبية تثبت أنها تعاني من اضطرابات جسدية ونفسية عديدة. وقد أقرت اللجنة بتدهور حالة حقوق الإنسان في جمهورية الكونغو الديمقراطية، لكنها لاحظت أن الدولة الطرف قد راعت هذا العامل في تقييم الخطر الذي قد تواجهه صاحبة الشكوى في حال إعادتها إلى بلدها. ولاحظت اللجنة أن الدولة الطرف طعنت في مصداقية أقوال صاحبة البلاغ، ولا سيما زعمها المتعلق بنشرها رسالة سياسية تلقتها من خطيبها. ولاحظت اللجنة ما أشارت إليه الدولة الطرف من أن الوسائل المزعومة التي سخرها كل من المتمردين لنشر هذه الرسالة والسلطات الكونغولية للعثور على معارضة معزولة هي وسائل غير متناسبة ولا</w:t>
      </w:r>
      <w:r w:rsidR="00D513BF">
        <w:rPr>
          <w:rFonts w:hint="eastAsia"/>
          <w:spacing w:val="0"/>
          <w:sz w:val="20"/>
          <w:rtl/>
        </w:rPr>
        <w:t> </w:t>
      </w:r>
      <w:r w:rsidRPr="004E0A37">
        <w:rPr>
          <w:rFonts w:hint="cs"/>
          <w:spacing w:val="0"/>
          <w:sz w:val="20"/>
          <w:rtl/>
        </w:rPr>
        <w:t>يمكن بالتالي التسليم بمصداقية هذه الادعاءات. وخلُصت اللجنة إلى أن صاحبة الشكوى</w:t>
      </w:r>
      <w:r w:rsidR="00335AC0">
        <w:rPr>
          <w:rFonts w:hint="cs"/>
          <w:spacing w:val="0"/>
          <w:sz w:val="20"/>
          <w:rtl/>
        </w:rPr>
        <w:t xml:space="preserve"> لم </w:t>
      </w:r>
      <w:r w:rsidRPr="004E0A37">
        <w:rPr>
          <w:rFonts w:hint="cs"/>
          <w:spacing w:val="0"/>
          <w:sz w:val="20"/>
          <w:rtl/>
        </w:rPr>
        <w:t>تقدم حجة مقنعة تجعل اللجنة تشكك في استنتاجات الدولة الطرف في هذا الصدد. وبخصوص ادعاءات صاحبة الشكوى المتعلقة بوضعها الصحي الحالي، لاحظت اللجنة الصعوبات التي تعاني منها صاحبة الشكوى، ولاحظت أيضاً حجة الدولة الطرف التي مفادها أن صاحبة الشكوى بوسعها استشارة طبيب في جمهورية الكونغو الديمقراطية. ولم تطعن صاحبة البلاغ في هذه الحجة. ثم إن اللجنة لاحظت أنه حتى لو</w:t>
      </w:r>
      <w:r w:rsidRPr="004E0A37">
        <w:rPr>
          <w:rFonts w:hint="eastAsia"/>
          <w:spacing w:val="0"/>
          <w:sz w:val="20"/>
          <w:rtl/>
        </w:rPr>
        <w:t> </w:t>
      </w:r>
      <w:r w:rsidRPr="004E0A37">
        <w:rPr>
          <w:rFonts w:hint="cs"/>
          <w:spacing w:val="0"/>
          <w:sz w:val="20"/>
          <w:rtl/>
        </w:rPr>
        <w:t>تدهورت الحالة الصحية لصاحبة الشكوى بعد طردها، فإن هذا التدهور لا يشكل في حد</w:t>
      </w:r>
      <w:r w:rsidRPr="004E0A37">
        <w:rPr>
          <w:rFonts w:hint="eastAsia"/>
          <w:spacing w:val="0"/>
          <w:sz w:val="20"/>
          <w:rtl/>
        </w:rPr>
        <w:t> </w:t>
      </w:r>
      <w:r w:rsidRPr="004E0A37">
        <w:rPr>
          <w:rFonts w:hint="cs"/>
          <w:spacing w:val="0"/>
          <w:sz w:val="20"/>
          <w:rtl/>
        </w:rPr>
        <w:t>ذاته معاملة قاسية أو لا إنسانية أو مهينة تنسب إلى الدولة الطرف بالمعنى المقصود في المادة</w:t>
      </w:r>
      <w:r w:rsidRPr="004E0A37">
        <w:rPr>
          <w:rFonts w:hint="eastAsia"/>
          <w:spacing w:val="0"/>
          <w:sz w:val="20"/>
          <w:rtl/>
        </w:rPr>
        <w:t> </w:t>
      </w:r>
      <w:r w:rsidRPr="004E0A37">
        <w:rPr>
          <w:rFonts w:hint="cs"/>
          <w:spacing w:val="0"/>
          <w:sz w:val="20"/>
          <w:rtl/>
        </w:rPr>
        <w:t>16 من الاتفاقية. ورأت اللجنة أن صاحبة الشكوى</w:t>
      </w:r>
      <w:r w:rsidR="00335AC0">
        <w:rPr>
          <w:rFonts w:hint="cs"/>
          <w:spacing w:val="0"/>
          <w:sz w:val="20"/>
          <w:rtl/>
        </w:rPr>
        <w:t xml:space="preserve"> لم </w:t>
      </w:r>
      <w:r w:rsidRPr="004E0A37">
        <w:rPr>
          <w:rFonts w:hint="cs"/>
          <w:spacing w:val="0"/>
          <w:sz w:val="20"/>
          <w:rtl/>
        </w:rPr>
        <w:t xml:space="preserve">تقدم حججاً كافية تحملها على الاعتقاد أن عودتها إلى جمهورية الكونغو الديمقراطية ستعرضها شخصياً لخطر حقيقي يتمثل في خضوعها للتعذيب على نحو ما تنص عليه المادة 3 من الاتفاقية. </w:t>
      </w:r>
    </w:p>
    <w:p w:rsidR="004E0A37" w:rsidRPr="004E0A37" w:rsidRDefault="004E0A37" w:rsidP="004E0A37">
      <w:pPr>
        <w:pStyle w:val="SingleTxtGA"/>
        <w:jc w:val="lowKashida"/>
        <w:rPr>
          <w:rFonts w:hint="cs"/>
          <w:spacing w:val="0"/>
          <w:sz w:val="20"/>
          <w:rtl/>
        </w:rPr>
      </w:pPr>
      <w:r w:rsidRPr="004E0A37">
        <w:rPr>
          <w:rFonts w:hint="cs"/>
          <w:spacing w:val="0"/>
          <w:sz w:val="20"/>
          <w:rtl/>
        </w:rPr>
        <w:t>115-</w:t>
      </w:r>
      <w:r w:rsidRPr="004E0A37">
        <w:rPr>
          <w:rFonts w:hint="cs"/>
          <w:spacing w:val="0"/>
          <w:sz w:val="20"/>
          <w:rtl/>
        </w:rPr>
        <w:tab/>
        <w:t xml:space="preserve">الشكوى رقم 351/2008 </w:t>
      </w:r>
      <w:r w:rsidRPr="00D513BF">
        <w:rPr>
          <w:rFonts w:hint="cs"/>
          <w:i/>
          <w:iCs/>
          <w:spacing w:val="0"/>
          <w:sz w:val="20"/>
          <w:rtl/>
        </w:rPr>
        <w:t>(</w:t>
      </w:r>
      <w:r w:rsidRPr="004E0A37">
        <w:rPr>
          <w:rFonts w:hint="cs"/>
          <w:i/>
          <w:iCs/>
          <w:spacing w:val="0"/>
          <w:sz w:val="20"/>
          <w:rtl/>
        </w:rPr>
        <w:t>إ.</w:t>
      </w:r>
      <w:r w:rsidRPr="004E0A37">
        <w:rPr>
          <w:rFonts w:hint="eastAsia"/>
          <w:i/>
          <w:iCs/>
          <w:spacing w:val="0"/>
          <w:sz w:val="20"/>
          <w:rtl/>
        </w:rPr>
        <w:t> </w:t>
      </w:r>
      <w:r w:rsidRPr="004E0A37">
        <w:rPr>
          <w:rFonts w:hint="cs"/>
          <w:i/>
          <w:iCs/>
          <w:spacing w:val="0"/>
          <w:sz w:val="20"/>
          <w:rtl/>
        </w:rPr>
        <w:t>ل. ضد سويسرا</w:t>
      </w:r>
      <w:r w:rsidRPr="00D513BF">
        <w:rPr>
          <w:rFonts w:hint="cs"/>
          <w:i/>
          <w:iCs/>
          <w:spacing w:val="0"/>
          <w:sz w:val="20"/>
          <w:rtl/>
        </w:rPr>
        <w:t>)</w:t>
      </w:r>
      <w:r w:rsidRPr="004E0A37">
        <w:rPr>
          <w:rFonts w:hint="cs"/>
          <w:spacing w:val="0"/>
          <w:sz w:val="20"/>
          <w:rtl/>
        </w:rPr>
        <w:t>، وتتعلق بمواطنة من جمهورية الكونغو الديمقراطية، واجهت احتمال الترحيل إلى بلدها الأصل، ادعت أن ترحيلها يشكل انتهاكاً للمادة 3 من الاتفاقية. وزعمت صاحبة الشكوى أنها نقلت معلومات سرية إلى القوات المتمردة في رواندا لما كانت تعمل مضيفة في مكتب البرلمان في عام 2004 وأن طلبها اللجوء السياسي إلى سويسرا من شأنه أن يؤدي إلى إساءة معاملتها في حال عودتها إلى جمهورية الكونغو الديمقراطية. ولاحظت اللجنة أيضاً أن صاحبة الشكوى</w:t>
      </w:r>
      <w:r w:rsidR="00335AC0">
        <w:rPr>
          <w:rFonts w:hint="cs"/>
          <w:spacing w:val="0"/>
          <w:sz w:val="20"/>
          <w:rtl/>
        </w:rPr>
        <w:t xml:space="preserve"> لم </w:t>
      </w:r>
      <w:r w:rsidRPr="004E0A37">
        <w:rPr>
          <w:rFonts w:hint="cs"/>
          <w:spacing w:val="0"/>
          <w:sz w:val="20"/>
          <w:rtl/>
        </w:rPr>
        <w:t xml:space="preserve">تتعرض في أقوالها إلى ما يفيد تعرضها لسوء المعاملة في جمهورية الكونغو الديمقراطية. وقد أعطت اللجنة الاعتبار الواجب لاستنتاجات سلطات الدولة الطرف التي نظرت في الوقائع والأدلة المعروضة من صاحبة البلاغ في إطار إجراء طلبها اللجوء وخلصت إلى أن مزاعم صاحبة الشكوى تفتقر إلى المصداقية. وتستند هذه الاستنتاجات إلى عدم اتساق رواية صاحبة الشكوى والتناقضات التي تخللت تلك الرواية، لا سيما </w:t>
      </w:r>
      <w:r w:rsidR="00F96B1E">
        <w:rPr>
          <w:rFonts w:hint="cs"/>
          <w:spacing w:val="0"/>
          <w:sz w:val="20"/>
          <w:rtl/>
        </w:rPr>
        <w:t>فيما </w:t>
      </w:r>
      <w:r w:rsidRPr="004E0A37">
        <w:rPr>
          <w:rFonts w:hint="cs"/>
          <w:spacing w:val="0"/>
          <w:sz w:val="20"/>
          <w:rtl/>
        </w:rPr>
        <w:t>يتعلق بالمعلومات السرية التي تدعي أنها نقلتها إلى قوات المتمردين في رواندا، فضلاً عن استخدامها لأدلة مزورة. ورأت اللجنة أن ادعاءات صاحبة الشكوى ليست مؤيدة بأدلة كافية تسمح لها بدحض التناقضات التي أشارت إليها الدولة الطرف في ملاحظاتها أو توضيحها. ولم تقتنع اللجنة بأن الوقائع، كما عُرضت مجتمعةً، كافية لاستنتاج أن صاحبة الشكوى ستواجه خطر التعرض للتعذيب بصورة شخصية وحقيقية ومتوقعة إذا أُعيدت إلى جمهورية الكونغو الديمقراطية بالمعنى المقصود في المادة 3 من الاتفاقية.</w:t>
      </w:r>
    </w:p>
    <w:p w:rsidR="004E0A37" w:rsidRPr="004E0A37" w:rsidRDefault="004E0A37" w:rsidP="0081655E">
      <w:pPr>
        <w:pStyle w:val="SingleTxtGA"/>
        <w:jc w:val="lowKashida"/>
        <w:rPr>
          <w:rFonts w:hint="cs"/>
          <w:spacing w:val="0"/>
          <w:sz w:val="20"/>
          <w:rtl/>
        </w:rPr>
      </w:pPr>
      <w:r w:rsidRPr="004E0A37">
        <w:rPr>
          <w:rFonts w:hint="cs"/>
          <w:spacing w:val="0"/>
          <w:sz w:val="20"/>
          <w:rtl/>
        </w:rPr>
        <w:t>116-</w:t>
      </w:r>
      <w:r w:rsidRPr="004E0A37">
        <w:rPr>
          <w:rFonts w:hint="cs"/>
          <w:spacing w:val="0"/>
          <w:sz w:val="20"/>
          <w:rtl/>
        </w:rPr>
        <w:tab/>
        <w:t>الشكوى رقم 353/2008 (</w:t>
      </w:r>
      <w:r w:rsidRPr="004E0A37">
        <w:rPr>
          <w:rFonts w:hint="cs"/>
          <w:i/>
          <w:iCs/>
          <w:spacing w:val="0"/>
          <w:sz w:val="20"/>
          <w:rtl/>
        </w:rPr>
        <w:t>سليوسار ضد أوكرانيا</w:t>
      </w:r>
      <w:r w:rsidRPr="004E0A37">
        <w:rPr>
          <w:rFonts w:hint="cs"/>
          <w:spacing w:val="0"/>
          <w:sz w:val="20"/>
          <w:rtl/>
        </w:rPr>
        <w:t>)، وتتعلق بمواطن من أوكرانيا ادعى أنه وقع ضحية انتهاك أوكرانيا للفقرة 1 من المادة 2 والمادة 12 من الاتفاقية. ويزعم صاحب الشكوى أنه خضع للتعذيب خلال احتجازه الإداري بسبب ارتكابه جريمة بسيطة، وذلك على أيدي أفراد من الشرطة كانوا يحققون في مقتل والده وأرادوا إرغامه على الاعتراف بارتكابه جريمة القتل. وجاء في أقواله أنه تعرض للضرب المبرح واحتُجز في زنزانة تبلغ درجة الحرارة فيها أربع درجات مئوية. ولم يسمح له بالنوم أو بالأكل وكان يتلقى التهديد بأن زوجته ووالدته ستتعرضان للإيذاء إن</w:t>
      </w:r>
      <w:r w:rsidR="00335AC0">
        <w:rPr>
          <w:rFonts w:hint="cs"/>
          <w:spacing w:val="0"/>
          <w:sz w:val="20"/>
          <w:rtl/>
        </w:rPr>
        <w:t xml:space="preserve"> لم </w:t>
      </w:r>
      <w:r w:rsidRPr="004E0A37">
        <w:rPr>
          <w:rFonts w:hint="cs"/>
          <w:spacing w:val="0"/>
          <w:sz w:val="20"/>
          <w:rtl/>
        </w:rPr>
        <w:t>يعترف بأنه قاتل والده. ثم احتُجز مرة أخرى بأمر من مكتب المدعي العام لاتهامه بقتل أبيه وتعرض من جديد للتعذيب. وقد تدهورت حالته الصحية تدهوراً كبيراً وأظهر التشخيص أنه مصاب باضطراب في القلب والأوعية الدموية ناجم عن ارتفاع ضغط الدم. وقد قدم صاحب الشكوى تقارير طبية دعماً لمزاعمه. ولاحظت اللجنة أن الدولة الطرف اكتفت في ردها على الشكوى بالإشارة إلى عدم وجود صلة بين الوقائع المثبتة في التقارير الطبية وإمكانية تعرضه للتعذيب. وفي غياب توضيحات مفصلة من الدولة الطرف واستناداً إلى الوثائق المقدمة، خلُصت اللجنة إلى أن الوقائع كما عرضها صاحب الشكوى تشكل فعلاً من أفعال التعذيب بالمعنى الوارد في المادة</w:t>
      </w:r>
      <w:r w:rsidR="0081655E">
        <w:rPr>
          <w:rFonts w:hint="eastAsia"/>
          <w:spacing w:val="0"/>
          <w:sz w:val="20"/>
          <w:rtl/>
        </w:rPr>
        <w:t> </w:t>
      </w:r>
      <w:r w:rsidRPr="004E0A37">
        <w:rPr>
          <w:rFonts w:hint="cs"/>
          <w:spacing w:val="0"/>
          <w:sz w:val="20"/>
          <w:rtl/>
        </w:rPr>
        <w:t>1 من الاتفاقية وأن الدولة الطرف</w:t>
      </w:r>
      <w:r w:rsidR="00335AC0">
        <w:rPr>
          <w:rFonts w:hint="cs"/>
          <w:spacing w:val="0"/>
          <w:sz w:val="20"/>
          <w:rtl/>
        </w:rPr>
        <w:t xml:space="preserve"> لم </w:t>
      </w:r>
      <w:r w:rsidRPr="004E0A37">
        <w:rPr>
          <w:rFonts w:hint="cs"/>
          <w:spacing w:val="0"/>
          <w:sz w:val="20"/>
          <w:rtl/>
        </w:rPr>
        <w:t>تؤد واجبها المتمثل في منع أفعال التعذيب والمعاقبة عليها، وهو ما يشكل انتهاكاً للفقرة 1 من المادة 2 من الاتفاقية. ولاحظت اللجنة أيضاً أنه حسبما جاء في أقوال صاحب الشكوى، فإن الدولة الطرف</w:t>
      </w:r>
      <w:r w:rsidR="00335AC0">
        <w:rPr>
          <w:rFonts w:hint="cs"/>
          <w:spacing w:val="0"/>
          <w:sz w:val="20"/>
          <w:rtl/>
        </w:rPr>
        <w:t xml:space="preserve"> لم </w:t>
      </w:r>
      <w:r w:rsidRPr="004E0A37">
        <w:rPr>
          <w:rFonts w:hint="cs"/>
          <w:spacing w:val="0"/>
          <w:sz w:val="20"/>
          <w:rtl/>
        </w:rPr>
        <w:t>تجر تحقيقات في ادعاءات تعرضه للتعذيب أثناء احتجازه ولم تدحض هذا الادعاء، وأن طعن صاحب الشكوى المتعلق بعدم اتخاذ أي إجراء من قبل مكتب المدعي العام في المنطقة ظل معلقاً لسنوات عدة. وأكدت اللجنة من جديد أن المادة 12 من الاتفاقية تقضي بأن على الدولة الطرف أن تجري تحقيقات فورية ونزيهة إذا كانت هناك أسباب معقولة تدعو إلى الاعتقاد بأن فعلاً من أفعال التعذيب قد ارتُكب، واعتبرت أن الدولة الطرف</w:t>
      </w:r>
      <w:r w:rsidR="00335AC0">
        <w:rPr>
          <w:rFonts w:hint="cs"/>
          <w:spacing w:val="0"/>
          <w:sz w:val="20"/>
          <w:rtl/>
        </w:rPr>
        <w:t xml:space="preserve"> لم </w:t>
      </w:r>
      <w:r w:rsidRPr="004E0A37">
        <w:rPr>
          <w:rFonts w:hint="cs"/>
          <w:spacing w:val="0"/>
          <w:sz w:val="20"/>
          <w:rtl/>
        </w:rPr>
        <w:t>تف بالتزاماتها بموجب المادة 12 من الاتفاقية. ورأت اللجنة أيضاً أن الدولة الطرف</w:t>
      </w:r>
      <w:r w:rsidR="00335AC0">
        <w:rPr>
          <w:rFonts w:hint="cs"/>
          <w:spacing w:val="0"/>
          <w:sz w:val="20"/>
          <w:rtl/>
        </w:rPr>
        <w:t xml:space="preserve"> لم </w:t>
      </w:r>
      <w:r w:rsidRPr="004E0A37">
        <w:rPr>
          <w:rFonts w:hint="cs"/>
          <w:spacing w:val="0"/>
          <w:sz w:val="20"/>
          <w:rtl/>
        </w:rPr>
        <w:t>تف بالتزامها بموجب المادة</w:t>
      </w:r>
      <w:r w:rsidRPr="004E0A37">
        <w:rPr>
          <w:rFonts w:hint="eastAsia"/>
          <w:spacing w:val="0"/>
          <w:sz w:val="20"/>
          <w:rtl/>
        </w:rPr>
        <w:t> </w:t>
      </w:r>
      <w:r w:rsidRPr="004E0A37">
        <w:rPr>
          <w:rFonts w:hint="cs"/>
          <w:spacing w:val="0"/>
          <w:sz w:val="20"/>
          <w:rtl/>
        </w:rPr>
        <w:t>13 من الاتفاقية بضمان حق صاحب الشكوى في رفع دعوى إلى السلطات المختصة وفي التحقيق في قضيته على نحو فوري ونزيه من قبل السلطات المختصة، وبالتزامها بموجب المادة</w:t>
      </w:r>
      <w:r w:rsidRPr="004E0A37">
        <w:rPr>
          <w:rFonts w:hint="eastAsia"/>
          <w:spacing w:val="0"/>
          <w:sz w:val="20"/>
          <w:rtl/>
        </w:rPr>
        <w:t> </w:t>
      </w:r>
      <w:r w:rsidRPr="004E0A37">
        <w:rPr>
          <w:rFonts w:hint="cs"/>
          <w:spacing w:val="0"/>
          <w:sz w:val="20"/>
          <w:rtl/>
        </w:rPr>
        <w:t>14 بجبر صاحب الشكوى وتعويضه بوصفه ضحية للتعذيب.</w:t>
      </w:r>
    </w:p>
    <w:p w:rsidR="004E0A37" w:rsidRPr="004E0A37" w:rsidRDefault="004E0A37" w:rsidP="0081655E">
      <w:pPr>
        <w:pStyle w:val="SingleTxtGA"/>
        <w:jc w:val="lowKashida"/>
        <w:rPr>
          <w:rFonts w:hint="cs"/>
          <w:spacing w:val="0"/>
          <w:sz w:val="20"/>
          <w:rtl/>
        </w:rPr>
      </w:pPr>
      <w:r w:rsidRPr="004E0A37">
        <w:rPr>
          <w:rFonts w:hint="cs"/>
          <w:spacing w:val="0"/>
          <w:sz w:val="20"/>
          <w:rtl/>
        </w:rPr>
        <w:t>117-</w:t>
      </w:r>
      <w:r w:rsidRPr="004E0A37">
        <w:rPr>
          <w:rFonts w:hint="cs"/>
          <w:spacing w:val="0"/>
          <w:sz w:val="20"/>
          <w:rtl/>
        </w:rPr>
        <w:tab/>
        <w:t xml:space="preserve">الشكوى رقم 368/2008 </w:t>
      </w:r>
      <w:r w:rsidRPr="00D513BF">
        <w:rPr>
          <w:rFonts w:hint="cs"/>
          <w:i/>
          <w:iCs/>
          <w:spacing w:val="0"/>
          <w:sz w:val="20"/>
          <w:rtl/>
        </w:rPr>
        <w:t>(</w:t>
      </w:r>
      <w:r w:rsidRPr="004E0A37">
        <w:rPr>
          <w:rFonts w:hint="cs"/>
          <w:i/>
          <w:iCs/>
          <w:spacing w:val="0"/>
          <w:sz w:val="20"/>
          <w:rtl/>
        </w:rPr>
        <w:t>صونكو ضد إسبانيا</w:t>
      </w:r>
      <w:r w:rsidRPr="00D513BF">
        <w:rPr>
          <w:rFonts w:hint="cs"/>
          <w:i/>
          <w:iCs/>
          <w:spacing w:val="0"/>
          <w:sz w:val="20"/>
          <w:rtl/>
        </w:rPr>
        <w:t>)</w:t>
      </w:r>
      <w:r w:rsidRPr="004E0A37">
        <w:rPr>
          <w:rFonts w:hint="cs"/>
          <w:spacing w:val="0"/>
          <w:sz w:val="20"/>
          <w:rtl/>
        </w:rPr>
        <w:t>، قدمتها مواطنة سنغالية بالنيابة عن شقيقها المتوفى، لودنغ صونكو. وزعمت صاحبة الشكوى أن شقيقها وقع ضحية انتهاك إسبانيا للفقرة 1 من المادة 1 والفقرتين 1 و2 من المادة 16 من الاتفاقية. وجاء في الشكوى أن السيد صونكو حاول ضمن مجموعة تتألف من أربعة مهاجرين أفارقة دخول مدينة سبته المتمتعة بالحكم الذاتي عن طريق السباحة على امتداد الساحل. وكان لكل فرد من أفراد المجموعة زورق مطاطي وسترة غوص. وقد اعترضتهم سفينة على متنها أفراد من الحرس المدني الإسباني نقلوهم إلى المياه الإقليمية المغربية وأجبروهم على القفز في المياه في موقع عميق وذلك بعد أن قام ضباط الحرس المدني بثقب الزوارق المطاطية. وتعلق السيد صونكو بقضيب السفينة مكرراً أنه لا يتقن السباحة، لكن ضباط الحرس المدني أجبروه على عدم الإمساك بالسفينة وقذفوا به في البحر. واستغاث السيد صونكو طالباً النجدة وكان يواجه صعوبة كبيرة في الوصول إلى الشاطئ حتى قفز أحد ضباط الحرس المدني في المياه لمساعدته وإنقاذه من الغرق. وفور الوصول إلى الشاطئ، بدء الضابط في تدليك عضلات قلبه، لكن السيد صونكو توفي بعد ذلك بقليل. وقد طعنت الدولة الطرف في الادعاءات المشار إليها أعلاه مؤكدة أن مسرح الأحداث هو المياه الإقليمية المغربية وأن الأشخاص المُنتشَلين تُركوا في مكان قريب جداً من الشاطئ وأن ضباط الحرس المدني</w:t>
      </w:r>
      <w:r w:rsidR="00335AC0">
        <w:rPr>
          <w:rFonts w:hint="cs"/>
          <w:spacing w:val="0"/>
          <w:sz w:val="20"/>
          <w:rtl/>
        </w:rPr>
        <w:t xml:space="preserve"> لم </w:t>
      </w:r>
      <w:r w:rsidRPr="004E0A37">
        <w:rPr>
          <w:rFonts w:hint="cs"/>
          <w:spacing w:val="0"/>
          <w:sz w:val="20"/>
          <w:rtl/>
        </w:rPr>
        <w:t>يعمدوا إلى ثقب الزورق المطاطي للسيد صونكو، بل مارسوا تقنيات الإنعاش في محاولة لإنقاذ حياته. ولاحظت اللجنة أن الطرفين يتفقان على أن السيد صونكو اعترضته سفينة الحرس المدني وأنه كان حياً وقت صعوده على متنها. كما يتفق الطرفان على أن حالة السيد صونكو</w:t>
      </w:r>
      <w:r w:rsidR="00335AC0">
        <w:rPr>
          <w:rFonts w:hint="cs"/>
          <w:spacing w:val="0"/>
          <w:sz w:val="20"/>
          <w:rtl/>
        </w:rPr>
        <w:t xml:space="preserve"> لم </w:t>
      </w:r>
      <w:r w:rsidRPr="004E0A37">
        <w:rPr>
          <w:rFonts w:hint="cs"/>
          <w:spacing w:val="0"/>
          <w:sz w:val="20"/>
          <w:rtl/>
        </w:rPr>
        <w:t>تكن جيدة عندما وصل إلى الشاطئ وأنه توفي على الرغم من الجهود التي بُذلت لإنقاذ حياته. وأشارت اللجنة إلى تعليقها العام رقم 2(2007) بشأن تنفيذ المادة 2 من قبل الدول الأطراف، حيث تذكر أن الولاية القضائية للدولة الطرف تشمل أي إقليم تمارس فيه تلك الدولة السيطرة الفعلية بشكل مباشر أو غير مباشر، كلياً أو</w:t>
      </w:r>
      <w:r w:rsidRPr="004E0A37">
        <w:rPr>
          <w:rFonts w:hint="eastAsia"/>
          <w:spacing w:val="0"/>
          <w:sz w:val="20"/>
          <w:rtl/>
        </w:rPr>
        <w:t> </w:t>
      </w:r>
      <w:r w:rsidRPr="004E0A37">
        <w:rPr>
          <w:rFonts w:hint="cs"/>
          <w:spacing w:val="0"/>
          <w:sz w:val="20"/>
          <w:rtl/>
        </w:rPr>
        <w:t>جزئياً، بحكم القانون أو بحكم الواقع،</w:t>
      </w:r>
      <w:r w:rsidR="00B345DB">
        <w:rPr>
          <w:rFonts w:hint="cs"/>
          <w:spacing w:val="0"/>
          <w:sz w:val="20"/>
          <w:rtl/>
        </w:rPr>
        <w:t xml:space="preserve"> وفقاً </w:t>
      </w:r>
      <w:r w:rsidRPr="004E0A37">
        <w:rPr>
          <w:rFonts w:hint="cs"/>
          <w:spacing w:val="0"/>
          <w:sz w:val="20"/>
          <w:rtl/>
        </w:rPr>
        <w:t>للقانون الدولي</w:t>
      </w:r>
      <w:r w:rsidR="00727BAF">
        <w:rPr>
          <w:spacing w:val="0"/>
          <w:sz w:val="20"/>
          <w:vertAlign w:val="superscript"/>
          <w:rtl/>
        </w:rPr>
        <w:t>(</w:t>
      </w:r>
      <w:r w:rsidR="00727BAF">
        <w:rPr>
          <w:rStyle w:val="FootnoteReference"/>
          <w:spacing w:val="0"/>
          <w:rtl/>
        </w:rPr>
        <w:footnoteReference w:id="16"/>
      </w:r>
      <w:r w:rsidR="00727BAF">
        <w:rPr>
          <w:spacing w:val="0"/>
          <w:sz w:val="20"/>
          <w:vertAlign w:val="superscript"/>
          <w:rtl/>
        </w:rPr>
        <w:t>)</w:t>
      </w:r>
      <w:r w:rsidRPr="004E0A37">
        <w:rPr>
          <w:rFonts w:hint="cs"/>
          <w:spacing w:val="0"/>
          <w:sz w:val="20"/>
          <w:rtl/>
        </w:rPr>
        <w:t>.</w:t>
      </w:r>
      <w:r w:rsidRPr="004E0A37">
        <w:rPr>
          <w:spacing w:val="0"/>
          <w:sz w:val="20"/>
          <w:rtl/>
        </w:rPr>
        <w:t xml:space="preserve"> </w:t>
      </w:r>
      <w:r w:rsidRPr="004E0A37">
        <w:rPr>
          <w:rFonts w:hint="cs"/>
          <w:spacing w:val="0"/>
          <w:sz w:val="20"/>
          <w:rtl/>
        </w:rPr>
        <w:t>ولاحظت أن ضباط الحرس المدني مارسوا سيطرتهم على الأشخاص على متن السفينة، وبالتالي كانوا مسؤولين عن سلامتهم. واعتبرت اللجنة أن من واجب الدولة الطرف أن توضح الظروف المحيطة بوفاة السيد صونكو نظراً لأنه كان على قيد الحياة عندما انتُشل من المياه، وأنه بصرف النظر عما إذا كان أو</w:t>
      </w:r>
      <w:r w:rsidR="00335AC0">
        <w:rPr>
          <w:rFonts w:hint="eastAsia"/>
          <w:spacing w:val="0"/>
          <w:sz w:val="20"/>
          <w:rtl/>
        </w:rPr>
        <w:t xml:space="preserve"> لم </w:t>
      </w:r>
      <w:r w:rsidRPr="004E0A37">
        <w:rPr>
          <w:rFonts w:hint="cs"/>
          <w:spacing w:val="0"/>
          <w:sz w:val="20"/>
          <w:rtl/>
        </w:rPr>
        <w:t>يكن ضباط الحرس المدني قد أقدموا على ثقب زورق السيد صونكو المطاطي وبغض النظر عن المسافة من الشاطئ التي أُنزل فيها من المركب، فقد وُضع في موقف تسبب في وفاته. واعتبرت اللجنة أن ما تعرض له السيد صونكو من معاناة جسدية وذهنية قبل وفاته يتجاوز عتبة المعاملة أو العقوبة القاسية أو اللاإنسانية أو المهينة بموجب أحكام المادة 16 من الاتفاقية. ورأت اللجنة أيضاً أن الشكوى تتعلق بظروف لها صلة أيضاً بالمادة 12 من الاتفاقية ولاحظت أن الالتزام بالتحقيق في أحداث تشير إلى سوء معاملة هو واجب مطلق يقع على عاتق الدولة بموجب الاتفاقية. وذكّرت اللجنة بأن على الدولة الطرف التزاماً بإجراء تحقيق فوري وكامل عندما يكون هناك ما يشير إلى أن الأفعال المرتكبة قد تشكل معاملة قاسية أو</w:t>
      </w:r>
      <w:r w:rsidRPr="004E0A37">
        <w:rPr>
          <w:rFonts w:hint="eastAsia"/>
          <w:spacing w:val="0"/>
          <w:sz w:val="20"/>
          <w:rtl/>
        </w:rPr>
        <w:t xml:space="preserve"> لا </w:t>
      </w:r>
      <w:r w:rsidRPr="004E0A37">
        <w:rPr>
          <w:rFonts w:hint="cs"/>
          <w:spacing w:val="0"/>
          <w:sz w:val="20"/>
          <w:rtl/>
        </w:rPr>
        <w:t>إنسانية أو مهينة، وأن</w:t>
      </w:r>
      <w:r w:rsidR="0081655E">
        <w:rPr>
          <w:rFonts w:hint="eastAsia"/>
          <w:spacing w:val="0"/>
          <w:sz w:val="20"/>
          <w:rtl/>
        </w:rPr>
        <w:t> </w:t>
      </w:r>
      <w:r w:rsidRPr="004E0A37">
        <w:rPr>
          <w:rFonts w:hint="cs"/>
          <w:spacing w:val="0"/>
          <w:sz w:val="20"/>
          <w:rtl/>
        </w:rPr>
        <w:t>مثل هذا التحقيق ينبغي أن يرمي إلى تحديد طبيعة الأحداث المبلغ عنها والظروف المحيطة بها وهوية أي شخص يمكن أن يكون قد شارك فيها. واعتبرت اللجنة أن التحقيق الذي أجرته سلطات الدولة الطرف لا يفي بالشروط المنصوص عليها في المادة 12 من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118-</w:t>
      </w:r>
      <w:r w:rsidRPr="004E0A37">
        <w:rPr>
          <w:rFonts w:hint="cs"/>
          <w:spacing w:val="0"/>
          <w:sz w:val="20"/>
          <w:rtl/>
        </w:rPr>
        <w:tab/>
        <w:t xml:space="preserve">الشكوى رقم 374/2009 </w:t>
      </w:r>
      <w:r w:rsidRPr="00D513BF">
        <w:rPr>
          <w:rFonts w:hint="cs"/>
          <w:i/>
          <w:iCs/>
          <w:spacing w:val="0"/>
          <w:sz w:val="20"/>
          <w:rtl/>
        </w:rPr>
        <w:t>(</w:t>
      </w:r>
      <w:r w:rsidRPr="004E0A37">
        <w:rPr>
          <w:rFonts w:hint="cs"/>
          <w:i/>
          <w:iCs/>
          <w:spacing w:val="0"/>
          <w:sz w:val="20"/>
          <w:rtl/>
        </w:rPr>
        <w:t>س. م. وآخرون ضد السويد</w:t>
      </w:r>
      <w:r w:rsidRPr="00D513BF">
        <w:rPr>
          <w:rFonts w:hint="cs"/>
          <w:i/>
          <w:iCs/>
          <w:spacing w:val="0"/>
          <w:sz w:val="20"/>
          <w:rtl/>
        </w:rPr>
        <w:t>)</w:t>
      </w:r>
      <w:r w:rsidRPr="004E0A37">
        <w:rPr>
          <w:rFonts w:hint="cs"/>
          <w:spacing w:val="0"/>
          <w:sz w:val="20"/>
          <w:rtl/>
        </w:rPr>
        <w:t>، وتتعلق بمواطنين من أذربيجان وابنتهما القاصر وكلهم من منطقة ناغورنو - كارباخ. وادعي أصحاب الشكوى أن طردهم إلى أذربيجان سيشكل خرقاً من جانب السويد لأحكام المادة 3 من الاتفاقية. وبما أن الدولة الطرف قد أصدرت في الأثناء تصريح إقامة لصالح البنت القاصرة، أوقفت اللجنة النظر في الجزء من البلاغ المتعلق بها. ولاحظت اللجنة ادعاءات أصحاب الشكوى التي تفيد باحتمال تعرضهم للتعذيب في أذربيجان بسبب أصل س. م. المختلط الذي يجعلهم مستهدفين من السلطات في بلدهم الأصلي؛ وبأن الأسرة بأكملها تتعرض للاضطهاد بدافع إثني بسبب أصل س. م. الأرمني؛ وبأن الأسرة تعرضت للضرب والاضطهاد من قبل الجيران وأعوان الدولة (الشرطة)؛ وبأنهم احتجزوا واستجوبوا وتعرضوا للضرب والاعتداء الجنسي (ﻫ. م.) على أيدي أعوان دائرة الأمن الوطني. ولاحظت</w:t>
      </w:r>
      <w:r w:rsidRPr="004E0A37">
        <w:rPr>
          <w:rFonts w:hint="eastAsia"/>
          <w:spacing w:val="0"/>
          <w:sz w:val="20"/>
          <w:rtl/>
        </w:rPr>
        <w:t> </w:t>
      </w:r>
      <w:r w:rsidRPr="004E0A37">
        <w:rPr>
          <w:rFonts w:hint="cs"/>
          <w:spacing w:val="0"/>
          <w:sz w:val="20"/>
          <w:rtl/>
        </w:rPr>
        <w:t xml:space="preserve">اللجنة أن ادعاءات أصحاب الشكوى </w:t>
      </w:r>
      <w:r w:rsidR="00F96B1E">
        <w:rPr>
          <w:rFonts w:hint="cs"/>
          <w:spacing w:val="0"/>
          <w:sz w:val="20"/>
          <w:rtl/>
        </w:rPr>
        <w:t>فيما </w:t>
      </w:r>
      <w:r w:rsidRPr="004E0A37">
        <w:rPr>
          <w:rFonts w:hint="cs"/>
          <w:spacing w:val="0"/>
          <w:sz w:val="20"/>
          <w:rtl/>
        </w:rPr>
        <w:t>يتعلق بتعرضهم للتعذيب تدعمها تقارير طبية موثوقة. وأشارت اللجنة إلى ادعاءات أصحاب الشكوى التي مفادها أنهم تعرضوا لسوء المعاملة عقب عودتهم إلى أذربيجان في آب/أغسطس 2004، كما أشارت إلى ما</w:t>
      </w:r>
      <w:r w:rsidRPr="004E0A37">
        <w:rPr>
          <w:rFonts w:hint="eastAsia"/>
          <w:spacing w:val="0"/>
          <w:sz w:val="20"/>
          <w:rtl/>
        </w:rPr>
        <w:t> </w:t>
      </w:r>
      <w:r w:rsidRPr="004E0A37">
        <w:rPr>
          <w:rFonts w:hint="cs"/>
          <w:spacing w:val="0"/>
          <w:sz w:val="20"/>
          <w:rtl/>
        </w:rPr>
        <w:t>وردها من معلومات عامة تفيد بأن السلوك العدائي من جانب عامة الجمهور تجاه الأشخاص من أصول إثنية أرمنية الذين يعيشون في أذربيجان لا يزال واسع الانتشار، وأن الأشخاص من أصول إثنية أرمنية يواجهون خطر التمييز في حياتهم اليومية، ويتعرضون للتحرش ويُرغمون من قبل صغار المسؤولين على دفع رشاوى عند تقديم طلبات للحصول على جوازات سفر، ويضطرون في كثير من الأحيان إلى إخفاء هويتهم عن طريق تغيير أصلهم الإثني في جوازات سفرهم بطريقة قانونية. واعتبرت اللجنة أنّ أصحاب الشكوى سيتعرضون شخصياً، في حال إعادتهم إلى أذربيجان، لخطر متوقع وحقيقي بالتعذيب بالمعنى المقصود في المادة 3 من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119-</w:t>
      </w:r>
      <w:r w:rsidRPr="004E0A37">
        <w:rPr>
          <w:rFonts w:hint="cs"/>
          <w:spacing w:val="0"/>
          <w:sz w:val="20"/>
          <w:rtl/>
        </w:rPr>
        <w:tab/>
        <w:t xml:space="preserve">الشكوى رقم 381/2009 </w:t>
      </w:r>
      <w:r w:rsidRPr="00D513BF">
        <w:rPr>
          <w:rFonts w:hint="cs"/>
          <w:i/>
          <w:iCs/>
          <w:spacing w:val="0"/>
          <w:sz w:val="20"/>
          <w:rtl/>
        </w:rPr>
        <w:t>(</w:t>
      </w:r>
      <w:r w:rsidRPr="004E0A37">
        <w:rPr>
          <w:rFonts w:hint="cs"/>
          <w:i/>
          <w:iCs/>
          <w:spacing w:val="0"/>
          <w:sz w:val="20"/>
          <w:rtl/>
        </w:rPr>
        <w:t>فرج الله وآخرون ضد سويسرا</w:t>
      </w:r>
      <w:r w:rsidRPr="00D513BF">
        <w:rPr>
          <w:rFonts w:hint="cs"/>
          <w:i/>
          <w:iCs/>
          <w:spacing w:val="0"/>
          <w:sz w:val="20"/>
          <w:rtl/>
        </w:rPr>
        <w:t>)</w:t>
      </w:r>
      <w:r w:rsidRPr="004E0A37">
        <w:rPr>
          <w:rFonts w:hint="cs"/>
          <w:spacing w:val="0"/>
          <w:sz w:val="20"/>
          <w:rtl/>
        </w:rPr>
        <w:t>، وتتعلق بصاحب الشكوى وزوجته وابنه، وهم من مواطني جمهورية إيران الإسلامية. وادعي صاحب الشكوى أن إعادتهم إلى إيران تُشكل انتهاكاً من جانب سويسرا لأحكام المادة 3 من الاتفاقية. ولاحظت اللجنة أن صاحب الشكوى بدأ، بعد وصوله إلى سويسرا، ينشط في الرابطة الديمقراطية لشؤون اللاجئين التي كان يمثلها على صعيد كانتون أوبفالد، وأنه كتب مقالات تندد بالنظام الإيراني القائم ووزع منشورات صادرة عن المنظمة وشارك في أحداث مختلفة نظمتها منظمات غير حكومية وكنائس محلية في الكانتون الذين يقيم فيه. ولاحظت اللجنة أيضاً أن ابن صاحب الشكوى تحصل على مركز اللاجئ على أساس أنشطة مماثلة لتلك التي يضطلع بها والده في الرابطة، ولا سيما تجميع التواقيع على العرائض وتوزيع المجلة الشهرية للمنظمة والمشاركة في مشروع برنامج إذاعي. وبما أن الدولة الطرف خلصت إلى أنه لا يمكن طرد ابن صاحب الشكوى إلى جمهورية إيران الإسلامية بسبب مركزه السياسي، الذي قد يهدد أمنه إذا عاد إلى إيران، تلاحظ اللجنة تمييزاً في المعاملة. وفي ضوء هذه الظروف، بما فيها الحالة العامة لحقوق الإنسان في جمهورية إيران الإسلامية، والوضع الشخصي لصاحب الشكوى الذي يضطلع بأنشطة سياسية معارضة داخل الرابطة الديمقراطية لشؤون اللاجئين، ترى اللجنة أن من المحتمل أن يكون صاحب الشكوى قد لفت انتباه السلطات الإيرانية. وبناءً عليه اعتبرت اللجنة، أن هناك أسباباً جوهرية تدعو إلى الاعتقاد بأنه سيواجه خطر التعرض للتعذيب إذا أُعيد إلى إيران. ولاحظت اللجنة أيضاً أنه بالنظر إلى كون إيران ليست طرفاًَ في الاتفاقية، فإن صاحب الشكوى سيُحرم من إمكانية اللجوء القانوني إلى اللجنة للحصول على أي شكل من أشكال الحماية.</w:t>
      </w:r>
    </w:p>
    <w:p w:rsidR="004E0A37" w:rsidRPr="004E0A37" w:rsidRDefault="004E0A37" w:rsidP="004E0A37">
      <w:pPr>
        <w:pStyle w:val="SingleTxtGA"/>
        <w:jc w:val="lowKashida"/>
        <w:rPr>
          <w:rFonts w:hint="cs"/>
          <w:spacing w:val="0"/>
          <w:sz w:val="20"/>
          <w:rtl/>
        </w:rPr>
      </w:pPr>
      <w:r w:rsidRPr="004E0A37">
        <w:rPr>
          <w:rFonts w:hint="cs"/>
          <w:spacing w:val="0"/>
          <w:sz w:val="20"/>
          <w:rtl/>
        </w:rPr>
        <w:t>120-</w:t>
      </w:r>
      <w:r w:rsidRPr="004E0A37">
        <w:rPr>
          <w:rFonts w:hint="cs"/>
          <w:spacing w:val="0"/>
          <w:sz w:val="20"/>
          <w:rtl/>
        </w:rPr>
        <w:tab/>
        <w:t xml:space="preserve">الشكوى رقم 428/2010 </w:t>
      </w:r>
      <w:r w:rsidRPr="004E0A37">
        <w:rPr>
          <w:rFonts w:hint="cs"/>
          <w:i/>
          <w:iCs/>
          <w:spacing w:val="0"/>
          <w:sz w:val="20"/>
          <w:rtl/>
        </w:rPr>
        <w:t>(كالينيتشنكو ضد المغرب)</w:t>
      </w:r>
      <w:r w:rsidRPr="004E0A37">
        <w:rPr>
          <w:rFonts w:hint="cs"/>
          <w:spacing w:val="0"/>
          <w:sz w:val="20"/>
          <w:rtl/>
        </w:rPr>
        <w:t>، وتتعلق بمواطن من الاتحاد الروسي ادعى أن تسليمه إلى بلده سيشكل انتهاكاً من جانب المغرب للمادة 3 من الاتفاقية. وقد طلبت اللجنة إلى الدولة الطرف عدم تسليم صاحب الشكوى إلى الاتحاد الروسي أثناء نظر اللجنة في شكواه. ورغم هذا الطلب، سُلِّم صاحب الشكوى في 14 أيار/مايو 2011 إلى الاتحاد الروسي. ولاحظت اللجنة أن الدولة الطرف</w:t>
      </w:r>
      <w:r w:rsidR="00335AC0">
        <w:rPr>
          <w:rFonts w:hint="cs"/>
          <w:spacing w:val="0"/>
          <w:sz w:val="20"/>
          <w:rtl/>
        </w:rPr>
        <w:t xml:space="preserve"> لم </w:t>
      </w:r>
      <w:r w:rsidRPr="004E0A37">
        <w:rPr>
          <w:rFonts w:hint="cs"/>
          <w:spacing w:val="0"/>
          <w:sz w:val="20"/>
          <w:rtl/>
        </w:rPr>
        <w:t>تمتثل لهذا الطلب، وأنها بذلك قد انتهكت التزاماتها بموجب المادة 22 من الاتفاقية لأنها منعت اللجنة من القيام ببحث وافٍ لشكوى تتعلق بانتهاك الاتفاقية، ومنعتها كذلك من اتخاذ قرار كان من شأنه أن يوقف بالفعل تسليم صاحب الشكوى إذا ما توصلت اللجنة إلى حدوث انتهاك للمادة 3 من الاتفاقية. وكان صاحب الشكوى يعمل مستشاراً ومحللاً مالياً في الاتحاد الروسي. وقد أقام شراكة مع ثلاثة من رجال الأعمال المشهورين وتعامل في إطار عملياته المهنية مع مصرف محلي. وفي عام 2004، لاحظ صاحب الشكوى أن جماعة محلية من جماعات الجريمة المنظمة تمكنت من الاستحواذ على عدد من الشركات المحلية، وكان بعضها مملوكاً لشركاء صاحب الشكوى. وعندما علم صاحب الشكوى بالأمر، أبلغ شركاءه الذين أبلغوا بدورهم السلطات المختصة. غير أن شكاواهم إما رُدَّت أو</w:t>
      </w:r>
      <w:r w:rsidR="00335AC0">
        <w:rPr>
          <w:rFonts w:hint="cs"/>
          <w:spacing w:val="0"/>
          <w:sz w:val="20"/>
          <w:rtl/>
        </w:rPr>
        <w:t xml:space="preserve"> لم </w:t>
      </w:r>
      <w:r w:rsidRPr="004E0A37">
        <w:rPr>
          <w:rFonts w:hint="cs"/>
          <w:spacing w:val="0"/>
          <w:sz w:val="20"/>
          <w:rtl/>
        </w:rPr>
        <w:t>يُحقق فيها. وفي وقت لاحق أُلقي القبض على أحد شركاء صاحب الشكوى زُعم أنه انتحر في السجن. ويشار إلى أن صاحب الشكوى سعى إلى مواصلة تحري الصفقات المالية للمصرف وقرر في نهاية المطاف عرض الوقائع على السلطات القضائية وأعد موقعاً شبكياً على الإنترنت يتضمن وصفاً للوقائع والوثائق. ثم دخل صاحب الشكوى إيطاليا بتأشيرة دخول عادية تجنباً للاضطهاد على يدي جماعات الجريمة المنظمة وانتقل في وقت لاحق إلى المغرب. وفي الأثناء أوقفت السلطات النظر في الدعوى التي رفعها صاحب الشكوى، ثم نُقلت ملكية أسهمه في المصرف لصالح مشترٍ مجهول وذلك دون توقيع صاحب الشكوى أو موافقته. إضافة إلى ذلك، قام شخص بتزوير البيانات المتعلقة بأسهم إحدى الشركات وأبلغ الموظفون التنفيذيون في المصرف الشرطة بأن صاحب الشكوى اختلس أموال العملاء من حساباتهم الشخصية. ففتحت الشرطة تحقيقاً في هذا الأمر وطلبت إصدار مذكرة توقيف دولية للقبض على صاحب الشكوى بتهمة الاحتيال. وفي عام 2007 اختفى شريك آخر من شركاء صاحب الشكوى، ويُزعم أن اختفاءه حصل في أثناء إدلائه بشهادته أمام سلطات التحقيق. وفي أيلول/سبتمبر 2008 قُتل الشريك التجاري الثالث لصاحب الشكوى. وقد لاحظت اللجنة ما قدمه صاحب الشكوى من دفوع مفادها أنه في ضوء وفاة أو اختفاء شركائه التجاريين الثلاثة، واستناداً إلى التقييم الذي أجرته مفوضية الأمم المتحدة لشؤون اللاجئين في المغرب، فإنه مُعرض شخصياً لخطر التعذيب أو ربما القتل في الاتحاد الروسي. ولاحظت اللجنة أيضاً بيان الدولة الطرف الذي مفاده أن سلطاتها</w:t>
      </w:r>
      <w:r w:rsidR="00335AC0">
        <w:rPr>
          <w:rFonts w:hint="cs"/>
          <w:spacing w:val="0"/>
          <w:sz w:val="20"/>
          <w:rtl/>
        </w:rPr>
        <w:t xml:space="preserve"> لم </w:t>
      </w:r>
      <w:r w:rsidRPr="004E0A37">
        <w:rPr>
          <w:rFonts w:hint="cs"/>
          <w:spacing w:val="0"/>
          <w:sz w:val="20"/>
          <w:rtl/>
        </w:rPr>
        <w:t>تجد دليلاً على أن صاحب الشكوى سيتعرض للتعذيب إذا سُلِّم إلى الاتحاد الروسي وأن طلب التسليم أُرفقت به ضمانات دبلوماسية من الاتحاد الروسي بعدم تعريض صاحب الشكوى للتعذيب أو الاعتداء على كرامته الإنسانية. وذكّرت اللجنة بملاحظاتها الختامية على التقرير الدوري الرابع للاتحاد الروسي التي أشارت فيها إلى استمرار أفعال التعذيب وغيره من ضروب المعاملة أو العقوبة القاسية أو اللاإنسانية أو المهينة على أيدي موظفي إنفاذ القانون، لا سيما بهدف انتزاع الاعترافات، وإلى ضعف استقلالية النيابة العامة وإخفاقها في بدء ومباشرة تحقيقات سريعة ونزيهة وفعالة في الادعاءات المتعلقة بالتعذيب أو بإساءة المعاملة (</w:t>
      </w:r>
      <w:r w:rsidRPr="004E0A37">
        <w:rPr>
          <w:spacing w:val="0"/>
          <w:sz w:val="20"/>
        </w:rPr>
        <w:t>CAT/C/RUS/CO/4</w:t>
      </w:r>
      <w:r w:rsidRPr="004E0A37">
        <w:rPr>
          <w:rFonts w:hint="cs"/>
          <w:spacing w:val="0"/>
          <w:sz w:val="20"/>
          <w:rtl/>
        </w:rPr>
        <w:t>، الفقرتان 9 و12). ولاحظت اللجنة أن الشركاء التجاريين الثلاثة لصاحب الشكوى قد عُثر عليهم قتلى أو اختفوا، اثنان منهم أثناء الاحتجاز لدى سلطات الاتحاد الروسي، وذلك بعد أن أبلغوا السلطات الروسية بوقائع مخطط إجرامي، وأن صاحب الشكوى تلقى هو نفسه تهديدات بالقتل من جماعات الجريمة المنظمة مما حمله على اتخاذ قرار مغادرة البلد. وخلصت اللجنة إلى أن صاحب الشكوى قد أثبت بالأدلة الكافية أنه مُعرض شخصياً لخطر حقيقي ومتوقع بالتعذيب في حال عودته إلى الاتحاد الروسي. واعتبرت أن ما قُدِّم من ضمانات دبلوماسية في ظروف هذه القضية غير كافٍ لحماية صاحب الشكوى من هذا الخطر الواضح، لا سيما في ضوء الطابع العام وغير المحدد لهذه الضمانات وبالنظر إلى أنها لا تقترن بإقامة آلية للمتابعة. لذلك، اعتبرت اللجنة أن المغرب قد انتهك المادة 3 من الاتفاقية.</w:t>
      </w:r>
    </w:p>
    <w:p w:rsidR="004E0A37" w:rsidRPr="004E0A37" w:rsidRDefault="004E0A37" w:rsidP="00D513BF">
      <w:pPr>
        <w:pStyle w:val="SingleTxtGA"/>
        <w:jc w:val="lowKashida"/>
        <w:rPr>
          <w:rFonts w:hint="cs"/>
          <w:spacing w:val="0"/>
          <w:sz w:val="20"/>
          <w:rtl/>
        </w:rPr>
      </w:pPr>
      <w:r w:rsidRPr="004E0A37">
        <w:rPr>
          <w:rFonts w:hint="cs"/>
          <w:spacing w:val="0"/>
          <w:sz w:val="20"/>
          <w:rtl/>
        </w:rPr>
        <w:t>121-</w:t>
      </w:r>
      <w:r w:rsidRPr="004E0A37">
        <w:rPr>
          <w:rFonts w:hint="cs"/>
          <w:spacing w:val="0"/>
          <w:sz w:val="20"/>
          <w:rtl/>
        </w:rPr>
        <w:tab/>
        <w:t xml:space="preserve">وفي الدورة السابعة والأربعين، قررت اللجنة عدم قبول الشكوى رقم 365/2008 </w:t>
      </w:r>
      <w:r w:rsidRPr="004E0A37">
        <w:rPr>
          <w:rFonts w:hint="cs"/>
          <w:i/>
          <w:iCs/>
          <w:spacing w:val="0"/>
          <w:sz w:val="20"/>
          <w:rtl/>
        </w:rPr>
        <w:t>(س.ك ور. ك. ضد السويد)</w:t>
      </w:r>
      <w:r w:rsidRPr="004E0A37">
        <w:rPr>
          <w:rFonts w:hint="cs"/>
          <w:spacing w:val="0"/>
          <w:sz w:val="20"/>
          <w:rtl/>
        </w:rPr>
        <w:t>. وتتعلق الشكوى بشقيقين من مواطني أفغانستان، ادعيا أن ترحيلهما إلى أفغانستان سيشكل انتهاك</w:t>
      </w:r>
      <w:r w:rsidR="0081655E">
        <w:rPr>
          <w:rFonts w:hint="cs"/>
          <w:spacing w:val="0"/>
          <w:sz w:val="20"/>
          <w:rtl/>
        </w:rPr>
        <w:t xml:space="preserve">اً </w:t>
      </w:r>
      <w:r w:rsidRPr="004E0A37">
        <w:rPr>
          <w:rFonts w:hint="cs"/>
          <w:spacing w:val="0"/>
          <w:sz w:val="20"/>
          <w:rtl/>
        </w:rPr>
        <w:t>للمادة 3 من الاتفاقية من جانب السويد. وكان الشقيقان لاجئان في جمهورية إيران الإسلامية، وفي عام 2000 بدءا</w:t>
      </w:r>
      <w:r w:rsidR="00D513BF">
        <w:rPr>
          <w:rFonts w:hint="cs"/>
          <w:spacing w:val="0"/>
          <w:sz w:val="20"/>
          <w:rtl/>
        </w:rPr>
        <w:t>ً</w:t>
      </w:r>
      <w:r w:rsidRPr="004E0A37">
        <w:rPr>
          <w:rFonts w:hint="cs"/>
          <w:spacing w:val="0"/>
          <w:sz w:val="20"/>
          <w:rtl/>
        </w:rPr>
        <w:t xml:space="preserve"> العمل بصورة غير شرعية. وفي أيلول/سبتمبر 2000، ألقت الشرطة الإيرانية القبض عليهما ورحلتهما في كانون الأول/ديسمبر 2000 إلى أفغانستان حيث يُدّعى أن طالبان ألقت القبض عليهما واقتيدا إلى قندهار حيث تعرضا للتعذيب والضرب وسوء المعاملة والشتم. وتمكنا لاحق</w:t>
      </w:r>
      <w:r w:rsidR="0081655E">
        <w:rPr>
          <w:rFonts w:hint="cs"/>
          <w:spacing w:val="0"/>
          <w:sz w:val="20"/>
          <w:rtl/>
        </w:rPr>
        <w:t xml:space="preserve">اً </w:t>
      </w:r>
      <w:r w:rsidRPr="004E0A37">
        <w:rPr>
          <w:rFonts w:hint="cs"/>
          <w:spacing w:val="0"/>
          <w:sz w:val="20"/>
          <w:rtl/>
        </w:rPr>
        <w:t>من الهرب وطلبا اللجوء في السويد، ولكن قوبل طلبهما بالرفض. ولاحظت اللجنة أن صاحبي الشكوى</w:t>
      </w:r>
      <w:r w:rsidR="00335AC0">
        <w:rPr>
          <w:rFonts w:hint="cs"/>
          <w:spacing w:val="0"/>
          <w:sz w:val="20"/>
          <w:rtl/>
        </w:rPr>
        <w:t xml:space="preserve"> لم </w:t>
      </w:r>
      <w:r w:rsidRPr="004E0A37">
        <w:rPr>
          <w:rFonts w:hint="cs"/>
          <w:spacing w:val="0"/>
          <w:sz w:val="20"/>
          <w:rtl/>
        </w:rPr>
        <w:t>يطعنا في قرار محكمة الهجرة أمام محكمة الاستئناف المعنية بشؤون الهجرة وأنهما</w:t>
      </w:r>
      <w:r w:rsidR="00335AC0">
        <w:rPr>
          <w:rFonts w:hint="cs"/>
          <w:spacing w:val="0"/>
          <w:sz w:val="20"/>
          <w:rtl/>
        </w:rPr>
        <w:t xml:space="preserve"> لم </w:t>
      </w:r>
      <w:r w:rsidRPr="004E0A37">
        <w:rPr>
          <w:rFonts w:hint="cs"/>
          <w:spacing w:val="0"/>
          <w:sz w:val="20"/>
          <w:rtl/>
        </w:rPr>
        <w:t>يقدما أية أدلة على أن الاستئناف أمام هذه المحكمة</w:t>
      </w:r>
      <w:r w:rsidR="00335AC0">
        <w:rPr>
          <w:rFonts w:hint="cs"/>
          <w:spacing w:val="0"/>
          <w:sz w:val="20"/>
          <w:rtl/>
        </w:rPr>
        <w:t xml:space="preserve"> لن </w:t>
      </w:r>
      <w:r w:rsidRPr="004E0A37">
        <w:rPr>
          <w:rFonts w:hint="cs"/>
          <w:spacing w:val="0"/>
          <w:sz w:val="20"/>
          <w:rtl/>
        </w:rPr>
        <w:t>يحقق لهما على الأرجح أي إنصاف. ولاحظت اللجنة أيضاً أن صاحبي الشكوى</w:t>
      </w:r>
      <w:r w:rsidR="00335AC0">
        <w:rPr>
          <w:rFonts w:hint="cs"/>
          <w:spacing w:val="0"/>
          <w:sz w:val="20"/>
          <w:rtl/>
        </w:rPr>
        <w:t xml:space="preserve"> لم </w:t>
      </w:r>
      <w:r w:rsidRPr="004E0A37">
        <w:rPr>
          <w:rFonts w:hint="cs"/>
          <w:spacing w:val="0"/>
          <w:sz w:val="20"/>
          <w:rtl/>
        </w:rPr>
        <w:t>يذكرا قط أثناء سير إجراءات اللجوء أنهما تعرضا للتعذيب في أفغانستان، وأن القرار المتعلق بطرهما قد سقط في 28 آذار/مارس ولم يعد نافذ</w:t>
      </w:r>
      <w:r w:rsidR="006E1F60">
        <w:rPr>
          <w:rFonts w:hint="cs"/>
          <w:spacing w:val="0"/>
          <w:sz w:val="20"/>
          <w:rtl/>
        </w:rPr>
        <w:t>اً،</w:t>
      </w:r>
      <w:r w:rsidRPr="004E0A37">
        <w:rPr>
          <w:rFonts w:hint="cs"/>
          <w:spacing w:val="0"/>
          <w:sz w:val="20"/>
          <w:rtl/>
        </w:rPr>
        <w:t xml:space="preserve"> وأخير</w:t>
      </w:r>
      <w:r w:rsidR="0081655E">
        <w:rPr>
          <w:rFonts w:hint="cs"/>
          <w:spacing w:val="0"/>
          <w:sz w:val="20"/>
          <w:rtl/>
        </w:rPr>
        <w:t xml:space="preserve">اً </w:t>
      </w:r>
      <w:r w:rsidRPr="004E0A37">
        <w:rPr>
          <w:rFonts w:hint="cs"/>
          <w:spacing w:val="0"/>
          <w:sz w:val="20"/>
          <w:rtl/>
        </w:rPr>
        <w:t>أنهما</w:t>
      </w:r>
      <w:r w:rsidR="00335AC0">
        <w:rPr>
          <w:rFonts w:hint="cs"/>
          <w:spacing w:val="0"/>
          <w:sz w:val="20"/>
          <w:rtl/>
        </w:rPr>
        <w:t xml:space="preserve"> لم </w:t>
      </w:r>
      <w:r w:rsidRPr="004E0A37">
        <w:rPr>
          <w:rFonts w:hint="cs"/>
          <w:spacing w:val="0"/>
          <w:sz w:val="20"/>
          <w:rtl/>
        </w:rPr>
        <w:t>يبادرا بإجراءات جديدة لطلب اللجوء رغم إتاحة هذه الفرصة لهما. وخلُصت اللجنة إلى أن البلاغ غير مقبول بموجب الفقرة 5(ب) من المادة 22 من الاتفاقية لعدم استنفاد سبل الانتصاف المحلية. ويرد نص هذا القرار في الفرع باء من المرفق الرابع عشر لهذا التقرير.</w:t>
      </w:r>
    </w:p>
    <w:p w:rsidR="004E0A37" w:rsidRPr="004E0A37" w:rsidRDefault="004E0A37" w:rsidP="00D513BF">
      <w:pPr>
        <w:pStyle w:val="SingleTxtGA"/>
        <w:jc w:val="lowKashida"/>
        <w:rPr>
          <w:rFonts w:hint="cs"/>
          <w:spacing w:val="0"/>
          <w:sz w:val="20"/>
          <w:rtl/>
        </w:rPr>
      </w:pPr>
      <w:r w:rsidRPr="004E0A37">
        <w:rPr>
          <w:rFonts w:hint="cs"/>
          <w:spacing w:val="0"/>
          <w:sz w:val="20"/>
          <w:rtl/>
        </w:rPr>
        <w:t>122-</w:t>
      </w:r>
      <w:r w:rsidRPr="004E0A37">
        <w:rPr>
          <w:rFonts w:hint="cs"/>
          <w:spacing w:val="0"/>
          <w:sz w:val="20"/>
          <w:rtl/>
        </w:rPr>
        <w:tab/>
        <w:t xml:space="preserve">وفي الدورة الثامنة والأربعين، اعتمدت اللجنة قرارات بشأن الأسس الموضوعية </w:t>
      </w:r>
      <w:r w:rsidR="00F96B1E">
        <w:rPr>
          <w:rFonts w:hint="cs"/>
          <w:spacing w:val="0"/>
          <w:sz w:val="20"/>
          <w:rtl/>
        </w:rPr>
        <w:t>فيما </w:t>
      </w:r>
      <w:r w:rsidRPr="004E0A37">
        <w:rPr>
          <w:rFonts w:hint="cs"/>
          <w:spacing w:val="0"/>
          <w:sz w:val="20"/>
          <w:rtl/>
        </w:rPr>
        <w:t xml:space="preserve">يتعلق بالشكاوى رقم 343/2008 </w:t>
      </w:r>
      <w:r w:rsidRPr="004E0A37">
        <w:rPr>
          <w:rFonts w:hint="cs"/>
          <w:i/>
          <w:iCs/>
          <w:spacing w:val="0"/>
          <w:sz w:val="20"/>
          <w:rtl/>
        </w:rPr>
        <w:t xml:space="preserve">(كالونزو ضد كندا)، </w:t>
      </w:r>
      <w:r w:rsidRPr="004E0A37">
        <w:rPr>
          <w:rFonts w:hint="cs"/>
          <w:spacing w:val="0"/>
          <w:sz w:val="20"/>
          <w:rtl/>
        </w:rPr>
        <w:t xml:space="preserve">ورقم 364/2008 </w:t>
      </w:r>
      <w:r w:rsidRPr="004E0A37">
        <w:rPr>
          <w:rFonts w:hint="cs"/>
          <w:i/>
          <w:iCs/>
          <w:spacing w:val="0"/>
          <w:sz w:val="20"/>
          <w:rtl/>
        </w:rPr>
        <w:t>(ج.ل.ل. ضد سويسرا)</w:t>
      </w:r>
      <w:r w:rsidRPr="004E0A37">
        <w:rPr>
          <w:rFonts w:hint="cs"/>
          <w:spacing w:val="0"/>
          <w:sz w:val="20"/>
          <w:rtl/>
        </w:rPr>
        <w:t xml:space="preserve">، ورقم 370/2009 </w:t>
      </w:r>
      <w:r w:rsidRPr="004E0A37">
        <w:rPr>
          <w:rFonts w:hint="cs"/>
          <w:i/>
          <w:iCs/>
          <w:spacing w:val="0"/>
          <w:sz w:val="20"/>
          <w:rtl/>
        </w:rPr>
        <w:t>(إ.ل. ضد كندا)</w:t>
      </w:r>
      <w:r w:rsidRPr="004E0A37">
        <w:rPr>
          <w:rFonts w:hint="cs"/>
          <w:spacing w:val="0"/>
          <w:sz w:val="20"/>
          <w:rtl/>
        </w:rPr>
        <w:t xml:space="preserve">، ورقم 382/2009 </w:t>
      </w:r>
      <w:r w:rsidRPr="004E0A37">
        <w:rPr>
          <w:rFonts w:hint="cs"/>
          <w:i/>
          <w:iCs/>
          <w:spacing w:val="0"/>
          <w:sz w:val="20"/>
          <w:rtl/>
        </w:rPr>
        <w:t>(م.د.ت. ضد سويسرا)</w:t>
      </w:r>
      <w:r w:rsidRPr="004E0A37">
        <w:rPr>
          <w:rFonts w:hint="cs"/>
          <w:spacing w:val="0"/>
          <w:sz w:val="20"/>
          <w:rtl/>
        </w:rPr>
        <w:t xml:space="preserve">، ورقم 391/2009 </w:t>
      </w:r>
      <w:r w:rsidRPr="004E0A37">
        <w:rPr>
          <w:rFonts w:hint="cs"/>
          <w:i/>
          <w:iCs/>
          <w:spacing w:val="0"/>
          <w:sz w:val="20"/>
          <w:rtl/>
        </w:rPr>
        <w:t>(م.أ.م.أ. وآخرون ضد السويد)</w:t>
      </w:r>
      <w:r w:rsidRPr="004E0A37">
        <w:rPr>
          <w:rFonts w:hint="cs"/>
          <w:spacing w:val="0"/>
          <w:sz w:val="20"/>
          <w:rtl/>
        </w:rPr>
        <w:t>، ورقم</w:t>
      </w:r>
      <w:r w:rsidR="00D513BF">
        <w:rPr>
          <w:rFonts w:hint="eastAsia"/>
          <w:spacing w:val="0"/>
          <w:sz w:val="20"/>
          <w:rtl/>
        </w:rPr>
        <w:t> </w:t>
      </w:r>
      <w:r w:rsidRPr="004E0A37">
        <w:rPr>
          <w:rFonts w:hint="cs"/>
          <w:spacing w:val="0"/>
          <w:sz w:val="20"/>
          <w:rtl/>
        </w:rPr>
        <w:t xml:space="preserve">393/2009 </w:t>
      </w:r>
      <w:r w:rsidRPr="004E0A37">
        <w:rPr>
          <w:rFonts w:hint="cs"/>
          <w:i/>
          <w:iCs/>
          <w:spacing w:val="0"/>
          <w:sz w:val="20"/>
          <w:rtl/>
        </w:rPr>
        <w:t>(إ.ت. ضد سويسرا)</w:t>
      </w:r>
      <w:r w:rsidRPr="004E0A37">
        <w:rPr>
          <w:rFonts w:hint="cs"/>
          <w:spacing w:val="0"/>
          <w:sz w:val="20"/>
          <w:rtl/>
        </w:rPr>
        <w:t xml:space="preserve">، ورقم 396/2009 </w:t>
      </w:r>
      <w:r w:rsidRPr="004E0A37">
        <w:rPr>
          <w:rFonts w:hint="cs"/>
          <w:i/>
          <w:iCs/>
          <w:spacing w:val="0"/>
          <w:sz w:val="20"/>
          <w:rtl/>
        </w:rPr>
        <w:t>(غباجافي ضد سويسرا)</w:t>
      </w:r>
      <w:r w:rsidRPr="004E0A37">
        <w:rPr>
          <w:rFonts w:hint="cs"/>
          <w:spacing w:val="0"/>
          <w:sz w:val="20"/>
          <w:rtl/>
        </w:rPr>
        <w:t xml:space="preserve">، ورقم 413/2010 </w:t>
      </w:r>
      <w:r w:rsidRPr="004E0A37">
        <w:rPr>
          <w:rFonts w:hint="cs"/>
          <w:i/>
          <w:iCs/>
          <w:spacing w:val="0"/>
          <w:sz w:val="20"/>
          <w:rtl/>
        </w:rPr>
        <w:t xml:space="preserve">(أ.أ.م ضد السويد)، </w:t>
      </w:r>
      <w:r w:rsidRPr="004E0A37">
        <w:rPr>
          <w:rFonts w:hint="cs"/>
          <w:spacing w:val="0"/>
          <w:sz w:val="20"/>
          <w:rtl/>
        </w:rPr>
        <w:t xml:space="preserve">ورقم 314/2010 </w:t>
      </w:r>
      <w:r w:rsidRPr="004E0A37">
        <w:rPr>
          <w:rFonts w:hint="cs"/>
          <w:i/>
          <w:iCs/>
          <w:spacing w:val="0"/>
          <w:sz w:val="20"/>
          <w:rtl/>
        </w:rPr>
        <w:t>(ن.ت.و. ضد سويسرا)</w:t>
      </w:r>
      <w:r w:rsidRPr="004E0A37">
        <w:rPr>
          <w:rFonts w:hint="cs"/>
          <w:spacing w:val="0"/>
          <w:sz w:val="20"/>
          <w:rtl/>
        </w:rPr>
        <w:t xml:space="preserve">، ورقم 424/2010 </w:t>
      </w:r>
      <w:r w:rsidRPr="004E0A37">
        <w:rPr>
          <w:rFonts w:hint="cs"/>
          <w:i/>
          <w:iCs/>
          <w:spacing w:val="0"/>
          <w:sz w:val="20"/>
          <w:rtl/>
        </w:rPr>
        <w:t>(م.ز.أ. ضد السويد)</w:t>
      </w:r>
      <w:r w:rsidRPr="004E0A37">
        <w:rPr>
          <w:rFonts w:hint="cs"/>
          <w:spacing w:val="0"/>
          <w:sz w:val="20"/>
          <w:rtl/>
        </w:rPr>
        <w:t xml:space="preserve">، ورقم 433/2010 </w:t>
      </w:r>
      <w:r w:rsidRPr="004E0A37">
        <w:rPr>
          <w:rFonts w:hint="cs"/>
          <w:i/>
          <w:iCs/>
          <w:spacing w:val="0"/>
          <w:sz w:val="20"/>
          <w:rtl/>
        </w:rPr>
        <w:t>(غيراسيموف ضد كازاخستان)</w:t>
      </w:r>
      <w:r w:rsidRPr="004E0A37">
        <w:rPr>
          <w:rFonts w:hint="cs"/>
          <w:spacing w:val="0"/>
          <w:sz w:val="20"/>
          <w:rtl/>
        </w:rPr>
        <w:t xml:space="preserve">، ورقم 444/2010 </w:t>
      </w:r>
      <w:r w:rsidRPr="004E0A37">
        <w:rPr>
          <w:rFonts w:hint="cs"/>
          <w:i/>
          <w:iCs/>
          <w:spacing w:val="0"/>
          <w:sz w:val="20"/>
          <w:rtl/>
        </w:rPr>
        <w:t>(عبد الصمدوف وآخرون ضد كازاخستان)</w:t>
      </w:r>
      <w:r w:rsidRPr="004E0A37">
        <w:rPr>
          <w:rFonts w:hint="cs"/>
          <w:spacing w:val="0"/>
          <w:sz w:val="20"/>
          <w:rtl/>
        </w:rPr>
        <w:t>، ورقم</w:t>
      </w:r>
      <w:r w:rsidR="00D513BF">
        <w:rPr>
          <w:rFonts w:hint="eastAsia"/>
          <w:spacing w:val="0"/>
          <w:sz w:val="20"/>
          <w:rtl/>
        </w:rPr>
        <w:t> </w:t>
      </w:r>
      <w:r w:rsidRPr="004E0A37">
        <w:rPr>
          <w:rFonts w:hint="cs"/>
          <w:spacing w:val="0"/>
          <w:sz w:val="20"/>
          <w:rtl/>
        </w:rPr>
        <w:t xml:space="preserve">453/2011 </w:t>
      </w:r>
      <w:r w:rsidRPr="00D513BF">
        <w:rPr>
          <w:rFonts w:hint="cs"/>
          <w:i/>
          <w:iCs/>
          <w:spacing w:val="0"/>
          <w:sz w:val="20"/>
          <w:rtl/>
        </w:rPr>
        <w:t>(</w:t>
      </w:r>
      <w:r w:rsidRPr="004E0A37">
        <w:rPr>
          <w:rFonts w:hint="cs"/>
          <w:i/>
          <w:iCs/>
          <w:spacing w:val="0"/>
          <w:sz w:val="20"/>
          <w:rtl/>
        </w:rPr>
        <w:t>غالاستيغي سودوبي ضد إسبانيا).</w:t>
      </w:r>
      <w:r w:rsidRPr="004E0A37">
        <w:rPr>
          <w:rFonts w:hint="cs"/>
          <w:spacing w:val="0"/>
          <w:sz w:val="20"/>
          <w:rtl/>
        </w:rPr>
        <w:t xml:space="preserve"> ويرد نص هذه القرارات أيضاً في الفرع ألف من المرفق الرابع عشر لهذا التقرير.</w:t>
      </w:r>
    </w:p>
    <w:p w:rsidR="004E0A37" w:rsidRPr="004E0A37" w:rsidRDefault="004E0A37" w:rsidP="004E0A37">
      <w:pPr>
        <w:pStyle w:val="SingleTxtGA"/>
        <w:jc w:val="lowKashida"/>
        <w:rPr>
          <w:rFonts w:hint="cs"/>
          <w:spacing w:val="0"/>
          <w:sz w:val="20"/>
          <w:rtl/>
          <w:lang/>
        </w:rPr>
      </w:pPr>
      <w:r w:rsidRPr="004E0A37">
        <w:rPr>
          <w:rFonts w:hint="cs"/>
          <w:spacing w:val="0"/>
          <w:sz w:val="20"/>
          <w:rtl/>
        </w:rPr>
        <w:t>123-</w:t>
      </w:r>
      <w:r w:rsidRPr="004E0A37">
        <w:rPr>
          <w:rFonts w:hint="cs"/>
          <w:spacing w:val="0"/>
          <w:sz w:val="20"/>
          <w:rtl/>
        </w:rPr>
        <w:tab/>
        <w:t xml:space="preserve">الشكوى رقم 343/2008 </w:t>
      </w:r>
      <w:r w:rsidRPr="004E0A37">
        <w:rPr>
          <w:rFonts w:hint="cs"/>
          <w:i/>
          <w:iCs/>
          <w:spacing w:val="0"/>
          <w:sz w:val="20"/>
          <w:rtl/>
        </w:rPr>
        <w:t xml:space="preserve">(كالونزو ضد كندا) </w:t>
      </w:r>
      <w:r w:rsidRPr="004E0A37">
        <w:rPr>
          <w:rFonts w:hint="cs"/>
          <w:spacing w:val="0"/>
          <w:sz w:val="20"/>
          <w:rtl/>
        </w:rPr>
        <w:t>وتتعلق بمواطن كونغولي مقيم في كندا ادعى أن إعادته إلى جمهورية الكونغو الديمقراطية سيشكل انتهاك</w:t>
      </w:r>
      <w:r w:rsidR="0081655E">
        <w:rPr>
          <w:rFonts w:hint="cs"/>
          <w:spacing w:val="0"/>
          <w:sz w:val="20"/>
          <w:rtl/>
        </w:rPr>
        <w:t xml:space="preserve">اً </w:t>
      </w:r>
      <w:r w:rsidRPr="004E0A37">
        <w:rPr>
          <w:rFonts w:hint="cs"/>
          <w:spacing w:val="0"/>
          <w:sz w:val="20"/>
          <w:rtl/>
        </w:rPr>
        <w:t>من جانب كندا للمادة 3 من اتفاقية مناهضة التعذيب. وأحاطت اللجنة</w:t>
      </w:r>
      <w:r w:rsidR="003833F8">
        <w:rPr>
          <w:rFonts w:hint="cs"/>
          <w:spacing w:val="0"/>
          <w:sz w:val="20"/>
          <w:rtl/>
        </w:rPr>
        <w:t xml:space="preserve"> علماً </w:t>
      </w:r>
      <w:r w:rsidRPr="004E0A37">
        <w:rPr>
          <w:rFonts w:hint="cs"/>
          <w:spacing w:val="0"/>
          <w:sz w:val="20"/>
          <w:rtl/>
        </w:rPr>
        <w:t xml:space="preserve">بملاحظات الدولة الطرف التي </w:t>
      </w:r>
      <w:r w:rsidRPr="004E0A37">
        <w:rPr>
          <w:rFonts w:hint="cs"/>
          <w:spacing w:val="0"/>
          <w:sz w:val="20"/>
          <w:rtl/>
          <w:lang/>
        </w:rPr>
        <w:t>أعربت فيها عن عدم مصداقية صاحب الشكوى، وبملاحظاتها التي قالت فيها إن صاحب الشكوى</w:t>
      </w:r>
      <w:r w:rsidR="00335AC0">
        <w:rPr>
          <w:rFonts w:hint="cs"/>
          <w:spacing w:val="0"/>
          <w:sz w:val="20"/>
          <w:rtl/>
          <w:lang/>
        </w:rPr>
        <w:t xml:space="preserve"> لم </w:t>
      </w:r>
      <w:r w:rsidRPr="004E0A37">
        <w:rPr>
          <w:rFonts w:hint="cs"/>
          <w:spacing w:val="0"/>
          <w:sz w:val="20"/>
          <w:rtl/>
          <w:lang/>
        </w:rPr>
        <w:t>يكن عضو</w:t>
      </w:r>
      <w:r w:rsidR="0081655E">
        <w:rPr>
          <w:rFonts w:hint="cs"/>
          <w:spacing w:val="0"/>
          <w:sz w:val="20"/>
          <w:rtl/>
          <w:lang/>
        </w:rPr>
        <w:t xml:space="preserve">اً </w:t>
      </w:r>
      <w:r w:rsidRPr="004E0A37">
        <w:rPr>
          <w:rFonts w:hint="cs"/>
          <w:spacing w:val="0"/>
          <w:sz w:val="20"/>
          <w:rtl/>
          <w:lang/>
        </w:rPr>
        <w:t>في حزب سياسي وأن أبويه سافرا إلى جمهورية الكونغو الديمقراطية عدة مرات دون أن يتعرضا لأية مضايقات. وأحاطت اللجنة</w:t>
      </w:r>
      <w:r w:rsidR="003833F8">
        <w:rPr>
          <w:rFonts w:hint="cs"/>
          <w:spacing w:val="0"/>
          <w:sz w:val="20"/>
          <w:rtl/>
          <w:lang/>
        </w:rPr>
        <w:t xml:space="preserve"> علماً </w:t>
      </w:r>
      <w:r w:rsidRPr="004E0A37">
        <w:rPr>
          <w:rFonts w:hint="cs"/>
          <w:spacing w:val="0"/>
          <w:sz w:val="20"/>
          <w:rtl/>
          <w:lang/>
        </w:rPr>
        <w:t>أيضاً بقرار كندا تعليق عمليات ترحيل ملتمسي اللجوء الذي رفضت طلباتهم إلى ذلك البلد وبالمعلومات التي قدمها صاحب الشكوى التي قال فيها إن قرار تعليق عمليات الترحيل إلى جمهورية الكونغو الديمقراطية يعزى إلى انتشار العنف في ذلك البلد، وأنه لا ينطبق عليه بسبب سوابقه الجنائية. ورأت اللجنة أن هذه المعلومات تؤكد الطابع التمييزي لإجراء التعليق بالنظر إلى أن المادة 3 من الاتفاقية تنص على أن تعليق ترحيل الأشخاص المعرضين للخطر في بلدانهم بسبب انتشار العنف ينبغي أن ينطبق على الجميع دون تمييز. وأحاطت اللجنة</w:t>
      </w:r>
      <w:r w:rsidR="003833F8">
        <w:rPr>
          <w:rFonts w:hint="cs"/>
          <w:spacing w:val="0"/>
          <w:sz w:val="20"/>
          <w:rtl/>
          <w:lang/>
        </w:rPr>
        <w:t xml:space="preserve"> علماً </w:t>
      </w:r>
      <w:r w:rsidRPr="004E0A37">
        <w:rPr>
          <w:rFonts w:hint="cs"/>
          <w:spacing w:val="0"/>
          <w:sz w:val="20"/>
          <w:rtl/>
          <w:lang/>
        </w:rPr>
        <w:t xml:space="preserve">كذلك بحجج صاحب الشكوى </w:t>
      </w:r>
      <w:r w:rsidR="00F96B1E">
        <w:rPr>
          <w:rFonts w:hint="cs"/>
          <w:spacing w:val="0"/>
          <w:sz w:val="20"/>
          <w:rtl/>
          <w:lang/>
        </w:rPr>
        <w:t>فيما </w:t>
      </w:r>
      <w:r w:rsidRPr="004E0A37">
        <w:rPr>
          <w:rFonts w:hint="cs"/>
          <w:spacing w:val="0"/>
          <w:sz w:val="20"/>
          <w:rtl/>
          <w:lang/>
        </w:rPr>
        <w:t>يتعلق: باحتجازه وتعذيبه في جمهورية الكونغو الديمقراطية في عام 2002؛ وبالتقرير الطبي الصادرة في عام 2005 الذي يكشف أن علامات بادية على جسمه جراء إصابته باضطرابات وهو ما يتسق تماماً مع روايته ويؤيد بصورة معقولة خشيته على مصيره في حالة عودته إلى جمهورية الكونغو الديمقراطية؛ وبالرأي الذي أبداه قاض في الولايات المتحدة الأمريكية ومؤداه أن ثمة أسباب</w:t>
      </w:r>
      <w:r w:rsidR="0081655E">
        <w:rPr>
          <w:rFonts w:hint="cs"/>
          <w:spacing w:val="0"/>
          <w:sz w:val="20"/>
          <w:rtl/>
          <w:lang/>
        </w:rPr>
        <w:t xml:space="preserve">اً </w:t>
      </w:r>
      <w:r w:rsidRPr="004E0A37">
        <w:rPr>
          <w:rFonts w:hint="cs"/>
          <w:spacing w:val="0"/>
          <w:sz w:val="20"/>
          <w:rtl/>
          <w:lang/>
        </w:rPr>
        <w:t>جدية للاعتقاد بأن صاحب الشكوى سيتعرض للتعذيب بمجرد عودته إلى بلده. ونظرت اللجنة في حجة الدولة الطرف القائلة بأن بإمكان صاحب الشكوى العودة للسكن في كينشازا، وذكّرت بأن مفهوم "الخطر المحلي" لا يسمح، طبق</w:t>
      </w:r>
      <w:r w:rsidR="0081655E">
        <w:rPr>
          <w:rFonts w:hint="cs"/>
          <w:spacing w:val="0"/>
          <w:sz w:val="20"/>
          <w:rtl/>
          <w:lang/>
        </w:rPr>
        <w:t xml:space="preserve">اً </w:t>
      </w:r>
      <w:r w:rsidRPr="004E0A37">
        <w:rPr>
          <w:rFonts w:hint="cs"/>
          <w:spacing w:val="0"/>
          <w:sz w:val="20"/>
          <w:rtl/>
          <w:lang/>
        </w:rPr>
        <w:t>لآرائها السابقة، باستخدام معايير قابلة للقياس ولا يكفي لأن يبدد تماماً خطر تعرض المعني بالأمر شخصياً للتعذيب. وخلصت اللجنة إلى أن قرار الدولة الطرف بإعادة صاحب الشكوى إلى جمهورية الكونغو الديمقراطية سوف يشكل، في حال تنفيذه، انتهاك</w:t>
      </w:r>
      <w:r w:rsidR="0081655E">
        <w:rPr>
          <w:rFonts w:hint="cs"/>
          <w:spacing w:val="0"/>
          <w:sz w:val="20"/>
          <w:rtl/>
          <w:lang/>
        </w:rPr>
        <w:t xml:space="preserve">اً </w:t>
      </w:r>
      <w:r w:rsidRPr="004E0A37">
        <w:rPr>
          <w:rFonts w:hint="cs"/>
          <w:spacing w:val="0"/>
          <w:sz w:val="20"/>
          <w:rtl/>
          <w:lang/>
        </w:rPr>
        <w:t>للمادة 3 من الاتفاقية.</w:t>
      </w:r>
    </w:p>
    <w:p w:rsidR="004E0A37" w:rsidRPr="00D513BF" w:rsidRDefault="004E0A37" w:rsidP="00A47831">
      <w:pPr>
        <w:pStyle w:val="SingleTxtGA"/>
        <w:jc w:val="lowKashida"/>
        <w:rPr>
          <w:rFonts w:hint="cs"/>
          <w:spacing w:val="-2"/>
          <w:sz w:val="20"/>
          <w:rtl/>
          <w:lang/>
        </w:rPr>
      </w:pPr>
      <w:r w:rsidRPr="00D513BF">
        <w:rPr>
          <w:rFonts w:hint="cs"/>
          <w:spacing w:val="-2"/>
          <w:sz w:val="20"/>
          <w:rtl/>
          <w:lang/>
        </w:rPr>
        <w:t>1</w:t>
      </w:r>
      <w:r w:rsidR="00A47831">
        <w:rPr>
          <w:rFonts w:hint="cs"/>
          <w:spacing w:val="-2"/>
          <w:sz w:val="20"/>
          <w:rtl/>
          <w:lang/>
        </w:rPr>
        <w:t>2</w:t>
      </w:r>
      <w:r w:rsidRPr="00D513BF">
        <w:rPr>
          <w:rFonts w:hint="cs"/>
          <w:spacing w:val="-2"/>
          <w:sz w:val="20"/>
          <w:rtl/>
          <w:lang/>
        </w:rPr>
        <w:t>4-</w:t>
      </w:r>
      <w:r w:rsidRPr="00D513BF">
        <w:rPr>
          <w:rFonts w:hint="cs"/>
          <w:spacing w:val="-2"/>
          <w:sz w:val="20"/>
          <w:rtl/>
          <w:lang/>
        </w:rPr>
        <w:tab/>
        <w:t xml:space="preserve">الشكوى </w:t>
      </w:r>
      <w:r w:rsidRPr="00D513BF">
        <w:rPr>
          <w:rFonts w:hint="cs"/>
          <w:spacing w:val="-2"/>
          <w:sz w:val="20"/>
          <w:rtl/>
        </w:rPr>
        <w:t xml:space="preserve">رقم 364/2008 </w:t>
      </w:r>
      <w:r w:rsidRPr="00D513BF">
        <w:rPr>
          <w:rFonts w:hint="cs"/>
          <w:i/>
          <w:iCs/>
          <w:spacing w:val="-2"/>
          <w:sz w:val="20"/>
          <w:rtl/>
        </w:rPr>
        <w:t xml:space="preserve">(ج.ل.ل. ضد سويسرا) </w:t>
      </w:r>
      <w:r w:rsidRPr="00D513BF">
        <w:rPr>
          <w:rFonts w:hint="cs"/>
          <w:spacing w:val="-2"/>
          <w:sz w:val="20"/>
          <w:rtl/>
        </w:rPr>
        <w:t>وتتعلق بمواطن كونغولي وولدَيه القاصرين، المقيمين في سويسرا. وادعى أن إعادتهم من سويسرا إلى جمهورية الكونغو الديمقراطية سيشكل انتهاك</w:t>
      </w:r>
      <w:r w:rsidR="0081655E">
        <w:rPr>
          <w:rFonts w:hint="cs"/>
          <w:spacing w:val="-2"/>
          <w:sz w:val="20"/>
          <w:rtl/>
        </w:rPr>
        <w:t xml:space="preserve">اً </w:t>
      </w:r>
      <w:r w:rsidRPr="00D513BF">
        <w:rPr>
          <w:rFonts w:hint="cs"/>
          <w:spacing w:val="-2"/>
          <w:sz w:val="20"/>
          <w:rtl/>
        </w:rPr>
        <w:t>للمادة 3 من اتفاقية مناهضة التعذيب، لأن أباه روندي توتسي وأنه تعرض في عام 1998، حسبما يدعى، إلى سوء المعاملة على أيدي طلبة، يقيمون في المكان الذي كان يعيش فيه، وعناصر تابعة للدولة الكونغولية، وأنه قُبض عليه بسبب انتمائه العرقي. ولاحظت اللجنة الشكوك التي أعربت عنها الدولة الطرف من حيث مصداقية المزاعم التي ساقها صاحب الشكوى، ولاحظت كذلك أن هذا الأخير</w:t>
      </w:r>
      <w:r w:rsidR="00335AC0" w:rsidRPr="00D513BF">
        <w:rPr>
          <w:rFonts w:hint="cs"/>
          <w:spacing w:val="-2"/>
          <w:sz w:val="20"/>
          <w:rtl/>
        </w:rPr>
        <w:t xml:space="preserve"> لم </w:t>
      </w:r>
      <w:r w:rsidRPr="00D513BF">
        <w:rPr>
          <w:rFonts w:hint="cs"/>
          <w:spacing w:val="-2"/>
          <w:sz w:val="20"/>
          <w:rtl/>
        </w:rPr>
        <w:t>يبين بالأدلة العلاقة بين الوقائع التي حملته هو وولدَيه على مغادرة بلدهم الأصلي من جهة، وخطر التعرض للتعذيب في حال ترحيلهم إلى جمهورية الكونغو الديمقراطية من جهة أخرى، لأنه</w:t>
      </w:r>
      <w:r w:rsidR="00335AC0" w:rsidRPr="00D513BF">
        <w:rPr>
          <w:rFonts w:hint="cs"/>
          <w:spacing w:val="-2"/>
          <w:sz w:val="20"/>
          <w:rtl/>
        </w:rPr>
        <w:t xml:space="preserve"> لم </w:t>
      </w:r>
      <w:r w:rsidRPr="00D513BF">
        <w:rPr>
          <w:rFonts w:hint="cs"/>
          <w:spacing w:val="-2"/>
          <w:sz w:val="20"/>
          <w:rtl/>
        </w:rPr>
        <w:t>يقدم للجنة معلومات تُذكَر عن المعاملة التي يدعي أنه لقيها، وأن المعلومات التي قدمها عن التوترات الإثنية المحتملة في</w:t>
      </w:r>
      <w:r w:rsidR="00D513BF">
        <w:rPr>
          <w:rFonts w:hint="eastAsia"/>
          <w:spacing w:val="-2"/>
          <w:sz w:val="20"/>
          <w:rtl/>
        </w:rPr>
        <w:t> </w:t>
      </w:r>
      <w:r w:rsidRPr="00D513BF">
        <w:rPr>
          <w:rFonts w:hint="cs"/>
          <w:spacing w:val="-2"/>
          <w:sz w:val="20"/>
          <w:rtl/>
        </w:rPr>
        <w:t>بلد صاحب الشكوى الأصلي</w:t>
      </w:r>
      <w:r w:rsidRPr="00D513BF">
        <w:rPr>
          <w:rFonts w:hint="cs"/>
          <w:spacing w:val="-2"/>
          <w:sz w:val="20"/>
          <w:rtl/>
          <w:lang/>
        </w:rPr>
        <w:t xml:space="preserve"> كانت ذات طابع عام ولا يُفهم منها وجود خطر متوقع وحقيقي لأن يتعرض شخصي</w:t>
      </w:r>
      <w:r w:rsidR="0081655E">
        <w:rPr>
          <w:rFonts w:hint="cs"/>
          <w:spacing w:val="-2"/>
          <w:sz w:val="20"/>
          <w:rtl/>
          <w:lang/>
        </w:rPr>
        <w:t xml:space="preserve">اً </w:t>
      </w:r>
      <w:r w:rsidRPr="00D513BF">
        <w:rPr>
          <w:rFonts w:hint="cs"/>
          <w:spacing w:val="-2"/>
          <w:sz w:val="20"/>
          <w:rtl/>
          <w:lang/>
        </w:rPr>
        <w:t>للتعذيب. وعليه، خلصت اللجنة أن إعادة صاحب الشكوى وولدَيه إلى جمهورية الكونغو الديمقراطية</w:t>
      </w:r>
      <w:r w:rsidR="00335AC0" w:rsidRPr="00D513BF">
        <w:rPr>
          <w:rFonts w:hint="cs"/>
          <w:spacing w:val="-2"/>
          <w:sz w:val="20"/>
          <w:rtl/>
          <w:lang/>
        </w:rPr>
        <w:t xml:space="preserve"> لن </w:t>
      </w:r>
      <w:r w:rsidRPr="00D513BF">
        <w:rPr>
          <w:rFonts w:hint="cs"/>
          <w:spacing w:val="-2"/>
          <w:sz w:val="20"/>
          <w:rtl/>
          <w:lang/>
        </w:rPr>
        <w:t>يشكل انتهاك</w:t>
      </w:r>
      <w:r w:rsidR="0081655E">
        <w:rPr>
          <w:rFonts w:hint="cs"/>
          <w:spacing w:val="-2"/>
          <w:sz w:val="20"/>
          <w:rtl/>
          <w:lang/>
        </w:rPr>
        <w:t xml:space="preserve">اً </w:t>
      </w:r>
      <w:r w:rsidRPr="00D513BF">
        <w:rPr>
          <w:rFonts w:hint="cs"/>
          <w:spacing w:val="-2"/>
          <w:sz w:val="20"/>
          <w:rtl/>
          <w:lang/>
        </w:rPr>
        <w:t>للمادة 3 من الاتفاقية.</w:t>
      </w:r>
    </w:p>
    <w:p w:rsidR="004E0A37" w:rsidRPr="004E0A37" w:rsidRDefault="004E0A37" w:rsidP="0081655E">
      <w:pPr>
        <w:pStyle w:val="SingleTxtGA"/>
        <w:jc w:val="lowKashida"/>
        <w:rPr>
          <w:rFonts w:hint="cs"/>
          <w:spacing w:val="0"/>
          <w:sz w:val="20"/>
          <w:rtl/>
          <w:lang/>
        </w:rPr>
      </w:pPr>
      <w:r w:rsidRPr="004E0A37">
        <w:rPr>
          <w:rFonts w:hint="cs"/>
          <w:spacing w:val="0"/>
          <w:sz w:val="20"/>
          <w:rtl/>
          <w:lang/>
        </w:rPr>
        <w:t>125-</w:t>
      </w:r>
      <w:r w:rsidRPr="004E0A37">
        <w:rPr>
          <w:rFonts w:hint="cs"/>
          <w:spacing w:val="0"/>
          <w:sz w:val="20"/>
          <w:rtl/>
          <w:lang/>
        </w:rPr>
        <w:tab/>
        <w:t xml:space="preserve">الشكوى </w:t>
      </w:r>
      <w:r w:rsidRPr="004E0A37">
        <w:rPr>
          <w:rFonts w:hint="cs"/>
          <w:spacing w:val="0"/>
          <w:sz w:val="20"/>
          <w:rtl/>
        </w:rPr>
        <w:t xml:space="preserve">رقم 370/2009 </w:t>
      </w:r>
      <w:r w:rsidRPr="004E0A37">
        <w:rPr>
          <w:rFonts w:hint="cs"/>
          <w:i/>
          <w:iCs/>
          <w:spacing w:val="0"/>
          <w:sz w:val="20"/>
          <w:rtl/>
        </w:rPr>
        <w:t>(إ.ل. ضد كندا)</w:t>
      </w:r>
      <w:r w:rsidRPr="004E0A37">
        <w:rPr>
          <w:rFonts w:hint="cs"/>
          <w:spacing w:val="0"/>
          <w:sz w:val="20"/>
          <w:rtl/>
        </w:rPr>
        <w:t xml:space="preserve"> وتتعلق بمواطن من هايتي يقيم في كندا ادعى أن ترحيله إلى هايتي سيشكل انتهاك</w:t>
      </w:r>
      <w:r w:rsidR="0081655E">
        <w:rPr>
          <w:rFonts w:hint="cs"/>
          <w:spacing w:val="0"/>
          <w:sz w:val="20"/>
          <w:rtl/>
        </w:rPr>
        <w:t xml:space="preserve">اً </w:t>
      </w:r>
      <w:r w:rsidRPr="004E0A37">
        <w:rPr>
          <w:rFonts w:hint="cs"/>
          <w:spacing w:val="0"/>
          <w:sz w:val="20"/>
          <w:rtl/>
        </w:rPr>
        <w:t>من جانب الدولة الطرف للمادة 3 من الاتفاقية. وكان صاحب الشكوى وصل إلى كندا في عام 1990 وأصبح مقيم</w:t>
      </w:r>
      <w:r w:rsidR="0081655E">
        <w:rPr>
          <w:rFonts w:hint="cs"/>
          <w:spacing w:val="0"/>
          <w:sz w:val="20"/>
          <w:rtl/>
        </w:rPr>
        <w:t xml:space="preserve">اً </w:t>
      </w:r>
      <w:r w:rsidRPr="004E0A37">
        <w:rPr>
          <w:rFonts w:hint="cs"/>
          <w:spacing w:val="0"/>
          <w:sz w:val="20"/>
          <w:rtl/>
        </w:rPr>
        <w:t>فيها بصفة دائمة. وحوكم في الأعوام 2003 و2006 و2007 وأدين بارتكاب عدة جرائم، وفي عام</w:t>
      </w:r>
      <w:r w:rsidR="0081655E">
        <w:rPr>
          <w:rFonts w:hint="eastAsia"/>
          <w:spacing w:val="0"/>
          <w:sz w:val="20"/>
          <w:rtl/>
        </w:rPr>
        <w:t> </w:t>
      </w:r>
      <w:r w:rsidRPr="004E0A37">
        <w:rPr>
          <w:rFonts w:hint="cs"/>
          <w:spacing w:val="0"/>
          <w:sz w:val="20"/>
          <w:rtl/>
        </w:rPr>
        <w:t xml:space="preserve">2007 ألغت إدارة المواطنة والهجرة الكندية إقامته الدائمة بعد القرار بعدم السماح له بالدخول إلى كندا بسبب ارتكابه جرائم خطيرة. وبعد صدور الأمر بترحيله، طلب صاحب الشكوى منحه وضع اللاجئ، ولكن طلبه رُفض بسبب منعه من الدخول إلى كندا لارتكابه جرائم خطيرة. ويعاني صاحب الشكوى من اعتلال في القلب مما استدعى </w:t>
      </w:r>
      <w:r w:rsidRPr="004E0A37">
        <w:rPr>
          <w:rFonts w:hint="cs"/>
          <w:spacing w:val="0"/>
          <w:sz w:val="20"/>
          <w:rtl/>
          <w:lang/>
        </w:rPr>
        <w:t>غرس جهاز منظم لدقات قلبه. وبعد أن استنفد اجراءات الاستئناف، قدم شكوى إلى اللجنة يدعي فيها أن وضعه الشخصية وحالته الصحية يفرضان عدم ترحيله. وزعم أن ترحيله بسبب جرائمه بعد أن أقام في الخارج لعدة سنوات سيعرضه لخطر الاختطاف من قبل جماعات إجرامية، وأن الذين يعادون إلى هايتي قسر</w:t>
      </w:r>
      <w:r w:rsidR="0081655E">
        <w:rPr>
          <w:rFonts w:hint="cs"/>
          <w:spacing w:val="0"/>
          <w:sz w:val="20"/>
          <w:rtl/>
          <w:lang/>
        </w:rPr>
        <w:t xml:space="preserve">اً </w:t>
      </w:r>
      <w:r w:rsidRPr="004E0A37">
        <w:rPr>
          <w:rFonts w:hint="cs"/>
          <w:spacing w:val="0"/>
          <w:sz w:val="20"/>
          <w:rtl/>
          <w:lang/>
        </w:rPr>
        <w:t>يتعرضون بانتظام إلى الاحتجاز في ظروف مزرية ولا يعطون الغذاء ولا الماء ولا الرعاية الطبية، وهو ما سيودي بحياته. وادعى أيضاً أنه</w:t>
      </w:r>
      <w:r w:rsidR="00335AC0">
        <w:rPr>
          <w:rFonts w:hint="cs"/>
          <w:spacing w:val="0"/>
          <w:sz w:val="20"/>
          <w:rtl/>
          <w:lang/>
        </w:rPr>
        <w:t xml:space="preserve"> لن </w:t>
      </w:r>
      <w:r w:rsidRPr="004E0A37">
        <w:rPr>
          <w:rFonts w:hint="cs"/>
          <w:spacing w:val="0"/>
          <w:sz w:val="20"/>
          <w:rtl/>
          <w:lang/>
        </w:rPr>
        <w:t>يتمكن من استبدال الجهاز المنظم لدقات قلبه ولا تلقي الرعاية الطبية المناسبة في هايتي. ولاحظت اللجنة أن صاحب الشكوى</w:t>
      </w:r>
      <w:r w:rsidR="00335AC0">
        <w:rPr>
          <w:rFonts w:hint="cs"/>
          <w:spacing w:val="0"/>
          <w:sz w:val="20"/>
          <w:rtl/>
          <w:lang/>
        </w:rPr>
        <w:t xml:space="preserve"> لم </w:t>
      </w:r>
      <w:r w:rsidRPr="004E0A37">
        <w:rPr>
          <w:rFonts w:hint="cs"/>
          <w:spacing w:val="0"/>
          <w:sz w:val="20"/>
          <w:rtl/>
          <w:lang/>
        </w:rPr>
        <w:t>يقدم أية أدلة على وجود خطر متوقع وحقيقي بتعرضه شخصي</w:t>
      </w:r>
      <w:r w:rsidR="0081655E">
        <w:rPr>
          <w:rFonts w:hint="cs"/>
          <w:spacing w:val="0"/>
          <w:sz w:val="20"/>
          <w:rtl/>
          <w:lang/>
        </w:rPr>
        <w:t xml:space="preserve">اً </w:t>
      </w:r>
      <w:r w:rsidRPr="004E0A37">
        <w:rPr>
          <w:rFonts w:hint="cs"/>
          <w:spacing w:val="0"/>
          <w:sz w:val="20"/>
          <w:rtl/>
          <w:lang/>
        </w:rPr>
        <w:t>للتعذيب عقب ترحيله إلى هايتي، وأن جميع ادعاءاته كانت محل نظر سلطات الدولة الطرف أثناء إجراء طلب اللجوء، وأن هذه السلطات قامت بكل ما يلزم قبل المضي قدما</w:t>
      </w:r>
      <w:r w:rsidR="003B45E3">
        <w:rPr>
          <w:rFonts w:hint="cs"/>
          <w:spacing w:val="0"/>
          <w:sz w:val="20"/>
          <w:rtl/>
          <w:lang/>
        </w:rPr>
        <w:t>ً</w:t>
      </w:r>
      <w:r w:rsidRPr="004E0A37">
        <w:rPr>
          <w:rFonts w:hint="cs"/>
          <w:spacing w:val="0"/>
          <w:sz w:val="20"/>
          <w:rtl/>
          <w:lang/>
        </w:rPr>
        <w:t xml:space="preserve"> في إجراءات ترحيل صاحب الشكوى، بما في ذلك التأكد من إمكانية وصوله إلى المرافق الصحية. وخلصت اللجنة إلى أن ترحيل صاحب الشكوى إلى هايتي لا يشكل انتهاك</w:t>
      </w:r>
      <w:r w:rsidR="0081655E">
        <w:rPr>
          <w:rFonts w:hint="cs"/>
          <w:spacing w:val="0"/>
          <w:sz w:val="20"/>
          <w:rtl/>
          <w:lang/>
        </w:rPr>
        <w:t xml:space="preserve">اً </w:t>
      </w:r>
      <w:r w:rsidRPr="004E0A37">
        <w:rPr>
          <w:rFonts w:hint="cs"/>
          <w:spacing w:val="0"/>
          <w:sz w:val="20"/>
          <w:rtl/>
          <w:lang/>
        </w:rPr>
        <w:t>للمادة</w:t>
      </w:r>
      <w:r w:rsidR="003B45E3">
        <w:rPr>
          <w:rFonts w:hint="eastAsia"/>
          <w:spacing w:val="0"/>
          <w:sz w:val="20"/>
          <w:rtl/>
          <w:lang/>
        </w:rPr>
        <w:t> </w:t>
      </w:r>
      <w:r w:rsidRPr="004E0A37">
        <w:rPr>
          <w:rFonts w:hint="cs"/>
          <w:spacing w:val="0"/>
          <w:sz w:val="20"/>
          <w:rtl/>
          <w:lang/>
        </w:rPr>
        <w:t>3 من الاتفاقية.</w:t>
      </w:r>
    </w:p>
    <w:p w:rsidR="004E0A37" w:rsidRPr="004E0A37" w:rsidRDefault="004E0A37" w:rsidP="0081655E">
      <w:pPr>
        <w:pStyle w:val="SingleTxtGA"/>
        <w:jc w:val="lowKashida"/>
        <w:rPr>
          <w:rFonts w:hint="cs"/>
          <w:spacing w:val="0"/>
          <w:sz w:val="20"/>
          <w:rtl/>
        </w:rPr>
      </w:pPr>
      <w:r w:rsidRPr="004E0A37">
        <w:rPr>
          <w:rFonts w:hint="cs"/>
          <w:spacing w:val="0"/>
          <w:sz w:val="20"/>
          <w:rtl/>
          <w:lang/>
        </w:rPr>
        <w:t>12</w:t>
      </w:r>
      <w:r w:rsidR="00A47831">
        <w:rPr>
          <w:rFonts w:hint="cs"/>
          <w:spacing w:val="0"/>
          <w:sz w:val="20"/>
          <w:rtl/>
          <w:lang/>
        </w:rPr>
        <w:t>6</w:t>
      </w:r>
      <w:r w:rsidRPr="004E0A37">
        <w:rPr>
          <w:rFonts w:hint="cs"/>
          <w:spacing w:val="0"/>
          <w:sz w:val="20"/>
          <w:rtl/>
          <w:lang/>
        </w:rPr>
        <w:t>-</w:t>
      </w:r>
      <w:r w:rsidRPr="004E0A37">
        <w:rPr>
          <w:rFonts w:hint="cs"/>
          <w:spacing w:val="0"/>
          <w:sz w:val="20"/>
          <w:rtl/>
          <w:lang/>
        </w:rPr>
        <w:tab/>
        <w:t xml:space="preserve">الشكوى </w:t>
      </w:r>
      <w:r w:rsidRPr="004E0A37">
        <w:rPr>
          <w:rFonts w:hint="cs"/>
          <w:spacing w:val="0"/>
          <w:sz w:val="20"/>
          <w:rtl/>
        </w:rPr>
        <w:t xml:space="preserve">رقم 382/2009 </w:t>
      </w:r>
      <w:r w:rsidRPr="004E0A37">
        <w:rPr>
          <w:rFonts w:hint="cs"/>
          <w:i/>
          <w:iCs/>
          <w:spacing w:val="0"/>
          <w:sz w:val="20"/>
          <w:rtl/>
        </w:rPr>
        <w:t>(م.د.ت. ضد سويسرا)</w:t>
      </w:r>
      <w:r w:rsidRPr="004E0A37">
        <w:rPr>
          <w:rFonts w:hint="cs"/>
          <w:spacing w:val="0"/>
          <w:sz w:val="20"/>
          <w:rtl/>
        </w:rPr>
        <w:t xml:space="preserve"> وتتعلق بمواطن من جمهورية الكونغو الديمقراطية مقيم في سويسرا ادعى أن ترحيله إلى جمهورية الكونغو الديمقراطية سيشكل انتهاك</w:t>
      </w:r>
      <w:r w:rsidR="0081655E">
        <w:rPr>
          <w:rFonts w:hint="cs"/>
          <w:spacing w:val="0"/>
          <w:sz w:val="20"/>
          <w:rtl/>
        </w:rPr>
        <w:t xml:space="preserve">اً </w:t>
      </w:r>
      <w:r w:rsidRPr="004E0A37">
        <w:rPr>
          <w:rFonts w:hint="cs"/>
          <w:spacing w:val="0"/>
          <w:sz w:val="20"/>
          <w:rtl/>
        </w:rPr>
        <w:t xml:space="preserve">من جانب </w:t>
      </w:r>
      <w:r w:rsidR="0081655E">
        <w:rPr>
          <w:rFonts w:hint="cs"/>
          <w:spacing w:val="0"/>
          <w:sz w:val="20"/>
          <w:rtl/>
        </w:rPr>
        <w:t>سويسرا</w:t>
      </w:r>
      <w:r w:rsidRPr="004E0A37">
        <w:rPr>
          <w:rFonts w:hint="cs"/>
          <w:spacing w:val="0"/>
          <w:sz w:val="20"/>
          <w:rtl/>
        </w:rPr>
        <w:t xml:space="preserve"> للمادة 3 من الاتفاقية. وادعى صاحب الشكوى أنه يتعرض شخصي</w:t>
      </w:r>
      <w:r w:rsidR="0081655E">
        <w:rPr>
          <w:rFonts w:hint="cs"/>
          <w:spacing w:val="0"/>
          <w:sz w:val="20"/>
          <w:rtl/>
        </w:rPr>
        <w:t xml:space="preserve">اً </w:t>
      </w:r>
      <w:r w:rsidRPr="004E0A37">
        <w:rPr>
          <w:rFonts w:hint="cs"/>
          <w:spacing w:val="0"/>
          <w:sz w:val="20"/>
          <w:rtl/>
        </w:rPr>
        <w:t>وحالي</w:t>
      </w:r>
      <w:r w:rsidR="0081655E">
        <w:rPr>
          <w:rFonts w:hint="cs"/>
          <w:spacing w:val="0"/>
          <w:sz w:val="20"/>
          <w:rtl/>
        </w:rPr>
        <w:t xml:space="preserve">اً </w:t>
      </w:r>
      <w:r w:rsidRPr="004E0A37">
        <w:rPr>
          <w:rFonts w:hint="cs"/>
          <w:spacing w:val="0"/>
          <w:sz w:val="20"/>
          <w:rtl/>
        </w:rPr>
        <w:t>لخطر التعذيب في جمهورية الكونغو الديمقراطية بسبب عضويته في حزب معارض ولنشاطه المعارض لترشح السيد كابيلا في الانتخابات الرئاسية لعام 2006، وأنه تعرض نتيجة لنشاطه المعارض للاعتقال والضرب على أيدي قوات الأمن التي أصبحت تبحث عنه منذ ذلك الوقت. ويبرر صاحب الشكوى ادعاءاته بالتعرض لخطر التعذيب بأمر القبض عليه الذي يدعي أنه صدر في حقه وبتقرير طبي بشأن علاج أسنانه قدمه كدليل على زعمه بالتعرض لسوء المعاملة. ولاحظت اللجنة أن الدولة الطرف طعنت في صحة الأمر بالقبض علي صاحب الشكوى حيث اعتبرته وثيقة مزورة، وشككت في صحة التقرير الطبي بشأن علاج الأسنان الذي قدمه صاحب الشكوى. ولاحظت اللجنة أن صاحب الشكوى</w:t>
      </w:r>
      <w:r w:rsidR="00335AC0">
        <w:rPr>
          <w:rFonts w:hint="cs"/>
          <w:spacing w:val="0"/>
          <w:sz w:val="20"/>
          <w:rtl/>
        </w:rPr>
        <w:t xml:space="preserve"> لم </w:t>
      </w:r>
      <w:r w:rsidRPr="004E0A37">
        <w:rPr>
          <w:rFonts w:hint="cs"/>
          <w:spacing w:val="0"/>
          <w:sz w:val="20"/>
          <w:rtl/>
        </w:rPr>
        <w:t>يبيّن أنه شارك في أنشطة سياسية لدرجة يتبين معها بصورة مقنعة أن ذلك قد يعرضه لخطر محدد في حال إعيد إلى جمهورية الكونغو الديمقراطية، وخلصت إلى أن ترحيل صاحب الشكوى إلى جمهورية الكونغو الديمقراطية</w:t>
      </w:r>
      <w:r w:rsidR="00335AC0">
        <w:rPr>
          <w:rFonts w:hint="cs"/>
          <w:spacing w:val="0"/>
          <w:sz w:val="20"/>
          <w:rtl/>
        </w:rPr>
        <w:t xml:space="preserve"> لن </w:t>
      </w:r>
      <w:r w:rsidRPr="004E0A37">
        <w:rPr>
          <w:rFonts w:hint="cs"/>
          <w:spacing w:val="0"/>
          <w:sz w:val="20"/>
          <w:rtl/>
        </w:rPr>
        <w:t>يشكل انتهاك</w:t>
      </w:r>
      <w:r w:rsidR="0081655E">
        <w:rPr>
          <w:rFonts w:hint="cs"/>
          <w:spacing w:val="0"/>
          <w:sz w:val="20"/>
          <w:rtl/>
        </w:rPr>
        <w:t xml:space="preserve">اً </w:t>
      </w:r>
      <w:r w:rsidRPr="004E0A37">
        <w:rPr>
          <w:rFonts w:hint="cs"/>
          <w:spacing w:val="0"/>
          <w:sz w:val="20"/>
          <w:rtl/>
        </w:rPr>
        <w:t>للمادة 3 من الاتفاقية.</w:t>
      </w:r>
    </w:p>
    <w:p w:rsidR="004E0A37" w:rsidRPr="004E0A37" w:rsidRDefault="004E0A37" w:rsidP="00414489">
      <w:pPr>
        <w:pStyle w:val="SingleTxtGA"/>
        <w:jc w:val="lowKashida"/>
        <w:rPr>
          <w:rFonts w:hint="cs"/>
          <w:spacing w:val="0"/>
          <w:sz w:val="20"/>
          <w:rtl/>
        </w:rPr>
      </w:pPr>
      <w:r w:rsidRPr="004E0A37">
        <w:rPr>
          <w:rFonts w:hint="cs"/>
          <w:spacing w:val="0"/>
          <w:sz w:val="20"/>
          <w:rtl/>
        </w:rPr>
        <w:t>127-</w:t>
      </w:r>
      <w:r w:rsidRPr="004E0A37">
        <w:rPr>
          <w:rFonts w:hint="cs"/>
          <w:spacing w:val="0"/>
          <w:sz w:val="20"/>
          <w:rtl/>
        </w:rPr>
        <w:tab/>
        <w:t xml:space="preserve">الشكوى رقم 391/2009 </w:t>
      </w:r>
      <w:r w:rsidRPr="004E0A37">
        <w:rPr>
          <w:rFonts w:hint="cs"/>
          <w:i/>
          <w:iCs/>
          <w:spacing w:val="0"/>
          <w:sz w:val="20"/>
          <w:rtl/>
        </w:rPr>
        <w:t>(م.</w:t>
      </w:r>
      <w:r w:rsidR="006E1F60">
        <w:rPr>
          <w:rFonts w:hint="cs"/>
          <w:i/>
          <w:iCs/>
          <w:spacing w:val="0"/>
          <w:sz w:val="20"/>
          <w:rtl/>
        </w:rPr>
        <w:t xml:space="preserve"> </w:t>
      </w:r>
      <w:r w:rsidRPr="004E0A37">
        <w:rPr>
          <w:rFonts w:hint="cs"/>
          <w:i/>
          <w:iCs/>
          <w:spacing w:val="0"/>
          <w:sz w:val="20"/>
          <w:rtl/>
        </w:rPr>
        <w:t>أ.</w:t>
      </w:r>
      <w:r w:rsidR="006E1F60">
        <w:rPr>
          <w:rFonts w:hint="cs"/>
          <w:i/>
          <w:iCs/>
          <w:spacing w:val="0"/>
          <w:sz w:val="20"/>
          <w:rtl/>
        </w:rPr>
        <w:t xml:space="preserve"> </w:t>
      </w:r>
      <w:r w:rsidRPr="004E0A37">
        <w:rPr>
          <w:rFonts w:hint="cs"/>
          <w:i/>
          <w:iCs/>
          <w:spacing w:val="0"/>
          <w:sz w:val="20"/>
          <w:rtl/>
        </w:rPr>
        <w:t>م.</w:t>
      </w:r>
      <w:r w:rsidR="006E1F60">
        <w:rPr>
          <w:rFonts w:hint="cs"/>
          <w:i/>
          <w:iCs/>
          <w:spacing w:val="0"/>
          <w:sz w:val="20"/>
          <w:rtl/>
        </w:rPr>
        <w:t xml:space="preserve"> </w:t>
      </w:r>
      <w:r w:rsidRPr="004E0A37">
        <w:rPr>
          <w:rFonts w:hint="cs"/>
          <w:i/>
          <w:iCs/>
          <w:spacing w:val="0"/>
          <w:sz w:val="20"/>
          <w:rtl/>
        </w:rPr>
        <w:t>أ. وآخرون ضد السويد)،</w:t>
      </w:r>
      <w:r w:rsidRPr="004E0A37">
        <w:rPr>
          <w:rFonts w:hint="cs"/>
          <w:spacing w:val="0"/>
          <w:sz w:val="20"/>
          <w:rtl/>
        </w:rPr>
        <w:t xml:space="preserve"> وتتعلق بمواطن مصري وزوجته وأطفالهما الستة، المقيمين في السويد، الذين ادّعوا أن إنفاذ أوامر طردهم إلى مصر سيشكل انتهاك</w:t>
      </w:r>
      <w:r w:rsidR="0081655E">
        <w:rPr>
          <w:rFonts w:hint="cs"/>
          <w:spacing w:val="0"/>
          <w:sz w:val="20"/>
          <w:rtl/>
        </w:rPr>
        <w:t xml:space="preserve">اً </w:t>
      </w:r>
      <w:r w:rsidRPr="004E0A37">
        <w:rPr>
          <w:rFonts w:hint="cs"/>
          <w:spacing w:val="0"/>
          <w:sz w:val="20"/>
          <w:rtl/>
        </w:rPr>
        <w:t>للمادتين 3 من 16 من الاتفاقية. وادعى أصحاب الشكوى أنهم لا يزالون محل اهتمام جهاز الأمن بسبب إدانة شخص من أقرباء صاحب الشكوى الأول بقتل الرئيس أنور السادات. وادعوا فضل</w:t>
      </w:r>
      <w:r w:rsidR="0081655E">
        <w:rPr>
          <w:rFonts w:hint="cs"/>
          <w:spacing w:val="0"/>
          <w:sz w:val="20"/>
          <w:rtl/>
        </w:rPr>
        <w:t xml:space="preserve">اً </w:t>
      </w:r>
      <w:r w:rsidRPr="004E0A37">
        <w:rPr>
          <w:rFonts w:hint="cs"/>
          <w:spacing w:val="0"/>
          <w:sz w:val="20"/>
          <w:rtl/>
        </w:rPr>
        <w:t>عن ذلك أن شخص</w:t>
      </w:r>
      <w:r w:rsidR="0081655E">
        <w:rPr>
          <w:rFonts w:hint="cs"/>
          <w:spacing w:val="0"/>
          <w:sz w:val="20"/>
          <w:rtl/>
        </w:rPr>
        <w:t xml:space="preserve">اً </w:t>
      </w:r>
      <w:r w:rsidRPr="004E0A37">
        <w:rPr>
          <w:rFonts w:hint="cs"/>
          <w:spacing w:val="0"/>
          <w:sz w:val="20"/>
          <w:rtl/>
        </w:rPr>
        <w:t>آخر من أقرباء صاحب الشكوى الأول متهم بالانتماء إلى جماعة مرتبطة بتنظيم القاعدة وبمحاولة اغتيار الرئيس حسني مبارك في عام 1995. وأكد أصحاب الشكوى أن الصلة العائلية هذه، إضافة إلى أن صاحب الشكوى الأول معروف بمعارضته للسلطات المصرية، كفيل بتعريضهم شخصي</w:t>
      </w:r>
      <w:r w:rsidR="0081655E">
        <w:rPr>
          <w:rFonts w:hint="cs"/>
          <w:spacing w:val="0"/>
          <w:sz w:val="20"/>
          <w:rtl/>
        </w:rPr>
        <w:t xml:space="preserve">اً </w:t>
      </w:r>
      <w:r w:rsidRPr="004E0A37">
        <w:rPr>
          <w:rFonts w:hint="cs"/>
          <w:spacing w:val="0"/>
          <w:sz w:val="20"/>
          <w:rtl/>
        </w:rPr>
        <w:t>لخطر التعذيب إن أجبروا على العودة إلى مصر. ولاحظت اللجنة أن الدولة الطرف أقرت بأن السلطات المصرية قد لا تزال مهتمة على ما يبدو بصاحب الشكوى الأول بسبب علاقته الأسرية مع المتهم بقتل الرئيس أنور السادات، وأن نشاطه عبر شبكة الانترنت في كندا والتشكيك في محاكمة ومعاقبة القتلة الحقيقيين للرئيس السادات ينبغي أن يؤخذ في الاعتبار أيضاً في هذا السياق، وأنه من غير المستبعد أن يكون باقي أفراد الأسرة محل اهتمام السلطات المصرية. وخلصت اللجنة إلى أن صاحب الشكوى الأول واثنين من أبنائه الكبار أثبتوا وجود خطر مرتقب ومحقق لتعرضهم شخصيا</w:t>
      </w:r>
      <w:r w:rsidR="00414489">
        <w:rPr>
          <w:rFonts w:hint="cs"/>
          <w:spacing w:val="0"/>
          <w:sz w:val="20"/>
          <w:rtl/>
        </w:rPr>
        <w:t>ً</w:t>
      </w:r>
      <w:r w:rsidRPr="004E0A37">
        <w:rPr>
          <w:rFonts w:hint="cs"/>
          <w:spacing w:val="0"/>
          <w:sz w:val="20"/>
          <w:rtl/>
        </w:rPr>
        <w:t xml:space="preserve"> للتعذيب إن هم عادوا إلى مصر وأن</w:t>
      </w:r>
      <w:r w:rsidR="00414489">
        <w:rPr>
          <w:rFonts w:hint="eastAsia"/>
          <w:spacing w:val="0"/>
          <w:sz w:val="20"/>
          <w:rtl/>
        </w:rPr>
        <w:t> </w:t>
      </w:r>
      <w:r w:rsidRPr="004E0A37">
        <w:rPr>
          <w:rFonts w:hint="cs"/>
          <w:spacing w:val="0"/>
          <w:sz w:val="20"/>
          <w:rtl/>
        </w:rPr>
        <w:t>إنفاذ الأمر بطردهم سيشكل انتهاك</w:t>
      </w:r>
      <w:r w:rsidR="0081655E">
        <w:rPr>
          <w:rFonts w:hint="cs"/>
          <w:spacing w:val="0"/>
          <w:sz w:val="20"/>
          <w:rtl/>
        </w:rPr>
        <w:t xml:space="preserve">اً </w:t>
      </w:r>
      <w:r w:rsidRPr="004E0A37">
        <w:rPr>
          <w:rFonts w:hint="cs"/>
          <w:spacing w:val="0"/>
          <w:sz w:val="20"/>
          <w:rtl/>
        </w:rPr>
        <w:t xml:space="preserve">للمادة 3 من الاتفاقية. أما </w:t>
      </w:r>
      <w:r w:rsidR="00F96B1E">
        <w:rPr>
          <w:rFonts w:hint="cs"/>
          <w:spacing w:val="0"/>
          <w:sz w:val="20"/>
          <w:rtl/>
        </w:rPr>
        <w:t>فيما </w:t>
      </w:r>
      <w:r w:rsidRPr="004E0A37">
        <w:rPr>
          <w:rFonts w:hint="cs"/>
          <w:spacing w:val="0"/>
          <w:sz w:val="20"/>
          <w:rtl/>
        </w:rPr>
        <w:t>يتعلق بقضايا زوجة م.</w:t>
      </w:r>
      <w:r w:rsidR="00414489">
        <w:rPr>
          <w:rFonts w:hint="cs"/>
          <w:spacing w:val="0"/>
          <w:sz w:val="20"/>
          <w:rtl/>
        </w:rPr>
        <w:t xml:space="preserve"> </w:t>
      </w:r>
      <w:r w:rsidRPr="004E0A37">
        <w:rPr>
          <w:rFonts w:hint="cs"/>
          <w:spacing w:val="0"/>
          <w:sz w:val="20"/>
          <w:rtl/>
        </w:rPr>
        <w:t>أ.</w:t>
      </w:r>
      <w:r w:rsidR="00414489">
        <w:rPr>
          <w:rFonts w:hint="cs"/>
          <w:spacing w:val="0"/>
          <w:sz w:val="20"/>
          <w:rtl/>
        </w:rPr>
        <w:t xml:space="preserve"> </w:t>
      </w:r>
      <w:r w:rsidRPr="004E0A37">
        <w:rPr>
          <w:rFonts w:hint="cs"/>
          <w:spacing w:val="0"/>
          <w:sz w:val="20"/>
          <w:rtl/>
        </w:rPr>
        <w:t>م.</w:t>
      </w:r>
      <w:r w:rsidR="00414489">
        <w:rPr>
          <w:rFonts w:hint="cs"/>
          <w:spacing w:val="0"/>
          <w:sz w:val="20"/>
          <w:rtl/>
        </w:rPr>
        <w:t xml:space="preserve"> </w:t>
      </w:r>
      <w:r w:rsidRPr="004E0A37">
        <w:rPr>
          <w:rFonts w:hint="cs"/>
          <w:spacing w:val="0"/>
          <w:sz w:val="20"/>
          <w:rtl/>
        </w:rPr>
        <w:t>أ. وأبناهما الأربعة الذين كانوا صغار</w:t>
      </w:r>
      <w:r w:rsidR="0081655E">
        <w:rPr>
          <w:rFonts w:hint="cs"/>
          <w:spacing w:val="0"/>
          <w:sz w:val="20"/>
          <w:rtl/>
        </w:rPr>
        <w:t xml:space="preserve">اً </w:t>
      </w:r>
      <w:r w:rsidRPr="004E0A37">
        <w:rPr>
          <w:rFonts w:hint="cs"/>
          <w:spacing w:val="0"/>
          <w:sz w:val="20"/>
          <w:rtl/>
        </w:rPr>
        <w:t>وقت تقديم الأسرة طلب اللجوء في السويد، فلم تر اللجنة ضرورة للنظر فيها على حدة.</w:t>
      </w:r>
    </w:p>
    <w:p w:rsidR="004E0A37" w:rsidRPr="004E0A37" w:rsidRDefault="004E0A37" w:rsidP="00414489">
      <w:pPr>
        <w:pStyle w:val="SingleTxtGA"/>
        <w:jc w:val="lowKashida"/>
        <w:rPr>
          <w:rFonts w:hint="cs"/>
          <w:spacing w:val="0"/>
          <w:sz w:val="20"/>
          <w:rtl/>
        </w:rPr>
      </w:pPr>
      <w:r w:rsidRPr="004E0A37">
        <w:rPr>
          <w:rFonts w:hint="cs"/>
          <w:spacing w:val="0"/>
          <w:sz w:val="20"/>
          <w:rtl/>
        </w:rPr>
        <w:t>128-</w:t>
      </w:r>
      <w:r w:rsidRPr="004E0A37">
        <w:rPr>
          <w:rFonts w:hint="cs"/>
          <w:spacing w:val="0"/>
          <w:sz w:val="20"/>
          <w:rtl/>
        </w:rPr>
        <w:tab/>
        <w:t xml:space="preserve">الشكوى رقم 393/2009 </w:t>
      </w:r>
      <w:r w:rsidRPr="004E0A37">
        <w:rPr>
          <w:rFonts w:hint="cs"/>
          <w:i/>
          <w:iCs/>
          <w:spacing w:val="0"/>
          <w:sz w:val="20"/>
          <w:rtl/>
        </w:rPr>
        <w:t>(إ.</w:t>
      </w:r>
      <w:r w:rsidR="006E1F60">
        <w:rPr>
          <w:rFonts w:hint="cs"/>
          <w:i/>
          <w:iCs/>
          <w:spacing w:val="0"/>
          <w:sz w:val="20"/>
          <w:rtl/>
        </w:rPr>
        <w:t xml:space="preserve"> </w:t>
      </w:r>
      <w:r w:rsidRPr="004E0A37">
        <w:rPr>
          <w:rFonts w:hint="cs"/>
          <w:i/>
          <w:iCs/>
          <w:spacing w:val="0"/>
          <w:sz w:val="20"/>
          <w:rtl/>
        </w:rPr>
        <w:t>ت. ضد سويسرا)</w:t>
      </w:r>
      <w:r w:rsidRPr="004E0A37">
        <w:rPr>
          <w:rFonts w:hint="cs"/>
          <w:spacing w:val="0"/>
          <w:sz w:val="20"/>
          <w:rtl/>
        </w:rPr>
        <w:t>، وتتعلق بمواطنة إثيوبية مقيمة في سويسرا، ادعت أن ترحيلها إلى إثيوبيا سيشكل انتهاك</w:t>
      </w:r>
      <w:r w:rsidR="0081655E">
        <w:rPr>
          <w:rFonts w:hint="cs"/>
          <w:spacing w:val="0"/>
          <w:sz w:val="20"/>
          <w:rtl/>
        </w:rPr>
        <w:t xml:space="preserve">اً </w:t>
      </w:r>
      <w:r w:rsidRPr="004E0A37">
        <w:rPr>
          <w:rFonts w:hint="cs"/>
          <w:spacing w:val="0"/>
          <w:sz w:val="20"/>
          <w:rtl/>
        </w:rPr>
        <w:t>من جانب سويسرا للمادة 3 من الاتفاقية. وتنتمي صاحبة الشكوى إلى أقلية إثنية هي شعب أمهارا الذي يعيش معظم أفراده في الهضاب العليا الوسطى في إثيوبيا. وقد غادرت بلدها الأصلي بسبب مشاكل سياسية غير محددة وطلبت اللجوء في سويسرا في عام 2003. وادعت أنها أصبحت أثناء وجودها في سويسرا عضو</w:t>
      </w:r>
      <w:r w:rsidR="0081655E">
        <w:rPr>
          <w:rFonts w:hint="cs"/>
          <w:spacing w:val="0"/>
          <w:sz w:val="20"/>
          <w:rtl/>
        </w:rPr>
        <w:t xml:space="preserve">اً </w:t>
      </w:r>
      <w:r w:rsidRPr="004E0A37">
        <w:rPr>
          <w:rFonts w:hint="cs"/>
          <w:spacing w:val="0"/>
          <w:sz w:val="20"/>
          <w:rtl/>
        </w:rPr>
        <w:t>نشط</w:t>
      </w:r>
      <w:r w:rsidR="0081655E">
        <w:rPr>
          <w:rFonts w:hint="cs"/>
          <w:spacing w:val="0"/>
          <w:sz w:val="20"/>
          <w:rtl/>
        </w:rPr>
        <w:t xml:space="preserve">اً </w:t>
      </w:r>
      <w:r w:rsidRPr="004E0A37">
        <w:rPr>
          <w:rFonts w:hint="cs"/>
          <w:spacing w:val="0"/>
          <w:sz w:val="20"/>
          <w:rtl/>
        </w:rPr>
        <w:t>في المنظمة السياسية المعارضة الموجودة في الخارج والمتمثلة في حزب تحالف الوحدة والديمقراطية فرع سويسرا، وشاركت في العديد من المظاهرات والمسيرات السياسية وتحدثت علن</w:t>
      </w:r>
      <w:r w:rsidR="0081655E">
        <w:rPr>
          <w:rFonts w:hint="cs"/>
          <w:spacing w:val="0"/>
          <w:sz w:val="20"/>
          <w:rtl/>
        </w:rPr>
        <w:t xml:space="preserve">اً </w:t>
      </w:r>
      <w:r w:rsidRPr="004E0A37">
        <w:rPr>
          <w:rFonts w:hint="cs"/>
          <w:spacing w:val="0"/>
          <w:sz w:val="20"/>
          <w:rtl/>
        </w:rPr>
        <w:t>إلى برنامج إذاعي إثيوبي بث على محطة إذاعية سويسرية محلية موجهة حديثها باللغة الأمهارية إلى مواطني بلدها في إثيوبيا. وادعت إن حزب تحالف الوحدة والديمقراطية يتعرض بانتظام إلى القمع السياسي من قبل الحكومة في إثيوبيا وأن أعضاء هذا الحزب لا يزالون مضطهدون، وأنها سوف تتعرض لخطر الاعتقال والتعذيب في حالة عودتها إلى إثيوبيا. وأحاطت اللجنة</w:t>
      </w:r>
      <w:r w:rsidR="003833F8">
        <w:rPr>
          <w:rFonts w:hint="cs"/>
          <w:spacing w:val="0"/>
          <w:sz w:val="20"/>
          <w:rtl/>
        </w:rPr>
        <w:t xml:space="preserve"> علماً </w:t>
      </w:r>
      <w:r w:rsidRPr="004E0A37">
        <w:rPr>
          <w:rFonts w:hint="cs"/>
          <w:spacing w:val="0"/>
          <w:sz w:val="20"/>
          <w:rtl/>
        </w:rPr>
        <w:t>بادعاءات صاحبة الشكوى بشأن نشاطها السياسي في سويسرا. ولاحظت أيضاً أن صاحبة الشكوى</w:t>
      </w:r>
      <w:r w:rsidR="00335AC0">
        <w:rPr>
          <w:rFonts w:hint="cs"/>
          <w:spacing w:val="0"/>
          <w:sz w:val="20"/>
          <w:rtl/>
        </w:rPr>
        <w:t xml:space="preserve"> لم </w:t>
      </w:r>
      <w:r w:rsidRPr="004E0A37">
        <w:rPr>
          <w:rFonts w:hint="cs"/>
          <w:spacing w:val="0"/>
          <w:sz w:val="20"/>
          <w:rtl/>
        </w:rPr>
        <w:t>تدع أن السلطات الإثيوبية اعتقلتها أو أساءت معاملتها، كما</w:t>
      </w:r>
      <w:r w:rsidR="00335AC0">
        <w:rPr>
          <w:rFonts w:hint="cs"/>
          <w:spacing w:val="0"/>
          <w:sz w:val="20"/>
          <w:rtl/>
        </w:rPr>
        <w:t xml:space="preserve"> لم </w:t>
      </w:r>
      <w:r w:rsidRPr="004E0A37">
        <w:rPr>
          <w:rFonts w:hint="cs"/>
          <w:spacing w:val="0"/>
          <w:sz w:val="20"/>
          <w:rtl/>
        </w:rPr>
        <w:t>تدع أنها واجهت أي تهمة بموجب قانون مكافحة الإرهاب أو أي قانون محلي آخر. ورأت اللجنة أن صاحبة الشكوى</w:t>
      </w:r>
      <w:r w:rsidR="00335AC0">
        <w:rPr>
          <w:rFonts w:hint="cs"/>
          <w:spacing w:val="0"/>
          <w:sz w:val="20"/>
          <w:rtl/>
        </w:rPr>
        <w:t xml:space="preserve"> لم </w:t>
      </w:r>
      <w:r w:rsidRPr="004E0A37">
        <w:rPr>
          <w:rFonts w:hint="cs"/>
          <w:spacing w:val="0"/>
          <w:sz w:val="20"/>
          <w:rtl/>
        </w:rPr>
        <w:t>تقدم ما يكفي من الأدلة بشأن اضطلاعها بأي نشاط سياسي كبير بحيث يثير اهتمام السلطات الإثيوبية. وعليه، خلصت اللجنة إلى أن قرار الدولة الطرف بإعادة صاحبة الشكوى إلى إثيوبيا</w:t>
      </w:r>
      <w:r w:rsidR="00335AC0">
        <w:rPr>
          <w:rFonts w:hint="cs"/>
          <w:spacing w:val="0"/>
          <w:sz w:val="20"/>
          <w:rtl/>
        </w:rPr>
        <w:t xml:space="preserve"> لن </w:t>
      </w:r>
      <w:r w:rsidRPr="004E0A37">
        <w:rPr>
          <w:rFonts w:hint="cs"/>
          <w:spacing w:val="0"/>
          <w:sz w:val="20"/>
          <w:rtl/>
        </w:rPr>
        <w:t>يشكل انتهاك</w:t>
      </w:r>
      <w:r w:rsidR="0081655E">
        <w:rPr>
          <w:rFonts w:hint="cs"/>
          <w:spacing w:val="0"/>
          <w:sz w:val="20"/>
          <w:rtl/>
        </w:rPr>
        <w:t xml:space="preserve">اً </w:t>
      </w:r>
      <w:r w:rsidRPr="004E0A37">
        <w:rPr>
          <w:rFonts w:hint="cs"/>
          <w:spacing w:val="0"/>
          <w:sz w:val="20"/>
          <w:rtl/>
        </w:rPr>
        <w:t>للمادة</w:t>
      </w:r>
      <w:r w:rsidR="00414489">
        <w:rPr>
          <w:rFonts w:hint="eastAsia"/>
          <w:spacing w:val="0"/>
          <w:sz w:val="20"/>
          <w:rtl/>
        </w:rPr>
        <w:t> </w:t>
      </w:r>
      <w:r w:rsidRPr="004E0A37">
        <w:rPr>
          <w:rFonts w:hint="cs"/>
          <w:spacing w:val="0"/>
          <w:sz w:val="20"/>
          <w:rtl/>
        </w:rPr>
        <w:t>3 من الاتفاقية.</w:t>
      </w:r>
    </w:p>
    <w:p w:rsidR="004E0A37" w:rsidRPr="004E0A37" w:rsidRDefault="004E0A37" w:rsidP="00B24AE4">
      <w:pPr>
        <w:pStyle w:val="SingleTxtGA"/>
        <w:jc w:val="lowKashida"/>
        <w:rPr>
          <w:rFonts w:hint="cs"/>
          <w:spacing w:val="0"/>
          <w:sz w:val="20"/>
          <w:rtl/>
          <w:lang/>
        </w:rPr>
      </w:pPr>
      <w:r w:rsidRPr="004E0A37">
        <w:rPr>
          <w:rFonts w:hint="cs"/>
          <w:spacing w:val="0"/>
          <w:sz w:val="20"/>
          <w:rtl/>
        </w:rPr>
        <w:t>129-</w:t>
      </w:r>
      <w:r w:rsidRPr="004E0A37">
        <w:rPr>
          <w:rFonts w:hint="cs"/>
          <w:spacing w:val="0"/>
          <w:sz w:val="20"/>
          <w:rtl/>
        </w:rPr>
        <w:tab/>
        <w:t xml:space="preserve">الشكوى رقم 396/2009 </w:t>
      </w:r>
      <w:r w:rsidRPr="004E0A37">
        <w:rPr>
          <w:rFonts w:hint="cs"/>
          <w:i/>
          <w:iCs/>
          <w:spacing w:val="0"/>
          <w:sz w:val="20"/>
          <w:rtl/>
        </w:rPr>
        <w:t>(غباجافي ضد سويسرا)</w:t>
      </w:r>
      <w:r w:rsidRPr="004E0A37">
        <w:rPr>
          <w:rFonts w:hint="cs"/>
          <w:spacing w:val="0"/>
          <w:sz w:val="20"/>
          <w:rtl/>
        </w:rPr>
        <w:t>، وتتعلق بمواطن من توغو مقيم في سويسرا، ادعى أن ترحيله إلى توغو سيشكل انتهاك</w:t>
      </w:r>
      <w:r w:rsidR="0081655E">
        <w:rPr>
          <w:rFonts w:hint="cs"/>
          <w:spacing w:val="0"/>
          <w:sz w:val="20"/>
          <w:rtl/>
        </w:rPr>
        <w:t xml:space="preserve">اً </w:t>
      </w:r>
      <w:r w:rsidRPr="004E0A37">
        <w:rPr>
          <w:rFonts w:hint="cs"/>
          <w:spacing w:val="0"/>
          <w:sz w:val="20"/>
          <w:rtl/>
        </w:rPr>
        <w:t>من جانب سويسرا للمادة 3 من الاتفاقية. وقد انضم صاحب الشكوى إلى اتحاد قوى التغيير في عام 1994 كعضو نشط في فريقه الأمني. وفي عام 1999، اعتقله جهاز الدرك لمدة شهرين وتعرض للضرب ولسوء المعاملة مرات ومرات. وبسبب الخوف من الاعتقال والانتقام و/أو القتل، غادر صاحب الشكوى البلد إلى غانا من 1999 إلى 2002 ثم إلى بنن من 2003 إلى 2004، وفي كلا المرتين عقب صدامات مع مناصري الحزب الحاكم. وفي آذار/مارس 2006، ألقي القبض على صاحب الشكوى وعلى أخته واقتيد صاحب الشكوى من قبل رجال الدرك إلى مكتب رئيس مخيم زيبي. وأثناء الاستجواب، سئل عن طبيعة علاقته بالمدعو أوليمبيو المتهم بالتحريض على شن هجوم على مخيم للدرك في شباط/فبراير 2006. وهُدِّد صاحب الشكوى بالقتل وتعرض للضرب أثناء ا</w:t>
      </w:r>
      <w:r w:rsidR="00B24AE4">
        <w:rPr>
          <w:rFonts w:hint="cs"/>
          <w:spacing w:val="0"/>
          <w:sz w:val="20"/>
          <w:rtl/>
        </w:rPr>
        <w:t>ع</w:t>
      </w:r>
      <w:r w:rsidRPr="004E0A37">
        <w:rPr>
          <w:rFonts w:hint="cs"/>
          <w:spacing w:val="0"/>
          <w:sz w:val="20"/>
          <w:rtl/>
        </w:rPr>
        <w:t xml:space="preserve">تقاله. وفي نيسان/أبريل 2006، فرّ صاحب الشكوى من السجن بعد أن تمكن أخ زوجته من رشوة أحد حراس السجن. وذهب إلى غانا ولكن بسبب الخوف من أن تعتقله </w:t>
      </w:r>
      <w:r w:rsidRPr="004E0A37">
        <w:rPr>
          <w:rFonts w:hint="cs"/>
          <w:spacing w:val="0"/>
          <w:sz w:val="20"/>
          <w:rtl/>
          <w:lang/>
        </w:rPr>
        <w:t>أجهزة المخابرات التوغولية العاملة في غانا، هرب عن طريق الجو بهوية مزورة إلى إيطاليا. وتوجه بعد ذلك إلى سويسرا حيث وصل إليها في نيسان/أبريل 2006. وفي أيلول/سبتمبر 2006، رفض المكتب الاتحادي للهجرة طلب اللجوء المقدم من صاحب الشكوى</w:t>
      </w:r>
      <w:r w:rsidRPr="004E0A37">
        <w:rPr>
          <w:rFonts w:hint="cs"/>
          <w:spacing w:val="0"/>
          <w:sz w:val="20"/>
          <w:rtl/>
        </w:rPr>
        <w:t xml:space="preserve">، ورُفضت الطعون التي قدمها </w:t>
      </w:r>
      <w:r w:rsidR="00F96B1E">
        <w:rPr>
          <w:rFonts w:hint="cs"/>
          <w:spacing w:val="0"/>
          <w:sz w:val="20"/>
          <w:rtl/>
        </w:rPr>
        <w:t>فيما </w:t>
      </w:r>
      <w:r w:rsidRPr="004E0A37">
        <w:rPr>
          <w:rFonts w:hint="cs"/>
          <w:spacing w:val="0"/>
          <w:sz w:val="20"/>
          <w:rtl/>
        </w:rPr>
        <w:t>بعد أيضاً. ولاحظت اللجنة أن صاحب الشكوى يدعي أنه عضو نشط في اتحاد قوى التغيير، وأن دوره هو حماية الأعضاء وتوزيع النشرات والإدلاء ببيانات، وأنه اعتقل مرتين، وأنه تعرض للتعذيب ولظروف غير إنسانية؛ ولاحظت كذلك أقوال صاحب الشكوى بأن الوضع في توغو</w:t>
      </w:r>
      <w:r w:rsidR="00335AC0">
        <w:rPr>
          <w:rFonts w:hint="cs"/>
          <w:spacing w:val="0"/>
          <w:sz w:val="20"/>
          <w:rtl/>
        </w:rPr>
        <w:t xml:space="preserve"> لم </w:t>
      </w:r>
      <w:r w:rsidRPr="004E0A37">
        <w:rPr>
          <w:rFonts w:hint="cs"/>
          <w:spacing w:val="0"/>
          <w:sz w:val="20"/>
          <w:rtl/>
        </w:rPr>
        <w:t xml:space="preserve">يتحسن حتى للأعضاء العاديين في اتحاد قوى التغيير المعرضين لخطر الحبس والتعذيب. ولاحظت اللجنة أيضاً طعن الدولة الطرف في مصداقية صاحب الشكوى وتأكيدها </w:t>
      </w:r>
      <w:r w:rsidRPr="004E0A37">
        <w:rPr>
          <w:rFonts w:hint="cs"/>
          <w:spacing w:val="0"/>
          <w:sz w:val="20"/>
          <w:rtl/>
          <w:lang/>
        </w:rPr>
        <w:t>بأنه حتى مع افتراض أن شهادته ذات مصداقية، فإن ما يدعيه لا يشكل أساس</w:t>
      </w:r>
      <w:r w:rsidR="0081655E">
        <w:rPr>
          <w:rFonts w:hint="cs"/>
          <w:spacing w:val="0"/>
          <w:sz w:val="20"/>
          <w:rtl/>
          <w:lang/>
        </w:rPr>
        <w:t xml:space="preserve">اً </w:t>
      </w:r>
      <w:r w:rsidRPr="004E0A37">
        <w:rPr>
          <w:rFonts w:hint="cs"/>
          <w:spacing w:val="0"/>
          <w:sz w:val="20"/>
          <w:rtl/>
          <w:lang/>
        </w:rPr>
        <w:t>قوي</w:t>
      </w:r>
      <w:r w:rsidR="0081655E">
        <w:rPr>
          <w:rFonts w:hint="cs"/>
          <w:spacing w:val="0"/>
          <w:sz w:val="20"/>
          <w:rtl/>
          <w:lang/>
        </w:rPr>
        <w:t xml:space="preserve">اً </w:t>
      </w:r>
      <w:r w:rsidRPr="004E0A37">
        <w:rPr>
          <w:rFonts w:hint="cs"/>
          <w:spacing w:val="0"/>
          <w:sz w:val="20"/>
          <w:rtl/>
          <w:lang/>
        </w:rPr>
        <w:t>يحمل على الاعتقاد بأنه سوف يواجه خطر التعذيب إن عاد إلى توغو. ومراعاة لدعوى صاحب الشكوى التي يؤيدها تقرير صادر عن مجلس اللجوء السويسري بأن أعضاء اتحاد قوى التغيير المعارض من غير البارزين سياسي</w:t>
      </w:r>
      <w:r w:rsidR="0081655E">
        <w:rPr>
          <w:rFonts w:hint="cs"/>
          <w:spacing w:val="0"/>
          <w:sz w:val="20"/>
          <w:rtl/>
          <w:lang/>
        </w:rPr>
        <w:t xml:space="preserve">اً </w:t>
      </w:r>
      <w:r w:rsidRPr="004E0A37">
        <w:rPr>
          <w:rFonts w:hint="cs"/>
          <w:spacing w:val="0"/>
          <w:sz w:val="20"/>
          <w:rtl/>
          <w:lang/>
        </w:rPr>
        <w:t>ربما لا يزالون يتعرضون للانتقام من قبل الحكومة وأن الذين فروا من توغو إلى بنن يُنظر إليهم بكثير من الريبة، خلصت اللجنة إلى أن عودة صاحب الشكوى إلى توغو سيشكل انتهاك</w:t>
      </w:r>
      <w:r w:rsidR="0081655E">
        <w:rPr>
          <w:rFonts w:hint="cs"/>
          <w:spacing w:val="0"/>
          <w:sz w:val="20"/>
          <w:rtl/>
          <w:lang/>
        </w:rPr>
        <w:t xml:space="preserve">اً </w:t>
      </w:r>
      <w:r w:rsidRPr="004E0A37">
        <w:rPr>
          <w:rFonts w:hint="cs"/>
          <w:spacing w:val="0"/>
          <w:sz w:val="20"/>
          <w:rtl/>
          <w:lang/>
        </w:rPr>
        <w:t>للمادة 3 من الاتفاقية. واعتبرت اللجنة أن الدولة الطرف</w:t>
      </w:r>
      <w:r w:rsidR="00335AC0">
        <w:rPr>
          <w:rFonts w:hint="cs"/>
          <w:spacing w:val="0"/>
          <w:sz w:val="20"/>
          <w:rtl/>
          <w:lang/>
        </w:rPr>
        <w:t xml:space="preserve"> لم </w:t>
      </w:r>
      <w:r w:rsidRPr="004E0A37">
        <w:rPr>
          <w:rFonts w:hint="cs"/>
          <w:spacing w:val="0"/>
          <w:sz w:val="20"/>
          <w:rtl/>
          <w:lang/>
        </w:rPr>
        <w:t>تقيِّم على النحو الصحيح خطر التعرض للتعذيب عندما رفضت المحاكم المحلية، في مرحلة متقدمة من الإجراءات ودون إجراء التحريات اللازمة، مواد إثبات قدمها صاحب الشكوى مثل التقرير الطبي الذي يبين وجود صلة بين الحالة الصحية لصاحب الشكوى والانتهاكات التي يدعي أنه تعرض لها. وأخذت اللجنة في اعتبارها أيضاً الوضع الراهن في توغو، ومن ذلك عدم التحقيق حتى الآن في الانتهاكات الخطيرة لحقوق الإنسان، ومنها تلك التي ارتكبت في حق ممثلي مجموعات المعارضة، وإفلات مرتكبي هذه الانتهاكات من العقاب.</w:t>
      </w:r>
    </w:p>
    <w:p w:rsidR="004E0A37" w:rsidRPr="00414489" w:rsidRDefault="004E0A37" w:rsidP="00A47831">
      <w:pPr>
        <w:pStyle w:val="SingleTxtGA"/>
        <w:jc w:val="lowKashida"/>
        <w:rPr>
          <w:rFonts w:hint="cs"/>
          <w:spacing w:val="-2"/>
          <w:sz w:val="20"/>
          <w:rtl/>
        </w:rPr>
      </w:pPr>
      <w:r w:rsidRPr="00414489">
        <w:rPr>
          <w:rFonts w:hint="cs"/>
          <w:spacing w:val="-2"/>
          <w:sz w:val="20"/>
          <w:rtl/>
          <w:lang/>
        </w:rPr>
        <w:t>130-</w:t>
      </w:r>
      <w:r w:rsidRPr="00414489">
        <w:rPr>
          <w:rFonts w:hint="cs"/>
          <w:spacing w:val="-2"/>
          <w:sz w:val="20"/>
          <w:rtl/>
          <w:lang/>
        </w:rPr>
        <w:tab/>
        <w:t xml:space="preserve">الشكوى </w:t>
      </w:r>
      <w:r w:rsidRPr="00414489">
        <w:rPr>
          <w:rFonts w:hint="cs"/>
          <w:spacing w:val="-2"/>
          <w:sz w:val="20"/>
          <w:rtl/>
        </w:rPr>
        <w:t xml:space="preserve">رقم 413/2010 </w:t>
      </w:r>
      <w:r w:rsidRPr="00414489">
        <w:rPr>
          <w:rFonts w:hint="cs"/>
          <w:i/>
          <w:iCs/>
          <w:spacing w:val="-2"/>
          <w:sz w:val="20"/>
          <w:rtl/>
        </w:rPr>
        <w:t>(أ.</w:t>
      </w:r>
      <w:r w:rsidR="006E1F60">
        <w:rPr>
          <w:rFonts w:hint="cs"/>
          <w:i/>
          <w:iCs/>
          <w:spacing w:val="-2"/>
          <w:sz w:val="20"/>
          <w:rtl/>
        </w:rPr>
        <w:t xml:space="preserve"> </w:t>
      </w:r>
      <w:r w:rsidRPr="00414489">
        <w:rPr>
          <w:rFonts w:hint="cs"/>
          <w:i/>
          <w:iCs/>
          <w:spacing w:val="-2"/>
          <w:sz w:val="20"/>
          <w:rtl/>
        </w:rPr>
        <w:t>أ.</w:t>
      </w:r>
      <w:r w:rsidR="006E1F60">
        <w:rPr>
          <w:rFonts w:hint="cs"/>
          <w:i/>
          <w:iCs/>
          <w:spacing w:val="-2"/>
          <w:sz w:val="20"/>
          <w:rtl/>
        </w:rPr>
        <w:t xml:space="preserve"> </w:t>
      </w:r>
      <w:r w:rsidRPr="00414489">
        <w:rPr>
          <w:rFonts w:hint="cs"/>
          <w:i/>
          <w:iCs/>
          <w:spacing w:val="-2"/>
          <w:sz w:val="20"/>
          <w:rtl/>
        </w:rPr>
        <w:t>م</w:t>
      </w:r>
      <w:r w:rsidR="006E1F60">
        <w:rPr>
          <w:rFonts w:hint="cs"/>
          <w:i/>
          <w:iCs/>
          <w:spacing w:val="-2"/>
          <w:sz w:val="20"/>
          <w:rtl/>
        </w:rPr>
        <w:t>.</w:t>
      </w:r>
      <w:r w:rsidRPr="00414489">
        <w:rPr>
          <w:rFonts w:hint="cs"/>
          <w:i/>
          <w:iCs/>
          <w:spacing w:val="-2"/>
          <w:sz w:val="20"/>
          <w:rtl/>
        </w:rPr>
        <w:t xml:space="preserve"> ضد السويد)، </w:t>
      </w:r>
      <w:r w:rsidRPr="00414489">
        <w:rPr>
          <w:rFonts w:hint="cs"/>
          <w:spacing w:val="-2"/>
          <w:sz w:val="20"/>
          <w:rtl/>
        </w:rPr>
        <w:t>وتتعلق بمواطنة بوروندية ادعت أن إنفاذ الأمر بترحيلها إلى بلدها الأصلي سيؤدي إلى انتهاك السويد المادة 3 من اتفاقية مناهضة التعذيب. وادعت صاحبة الشكوى أنها تنحدر من أسرة تنتمي إلى إثنية التوتسي، وأن والديها قتلا في عام 1993 على أيدي مليشيات الهوتو، وأنه</w:t>
      </w:r>
      <w:r w:rsidR="00335AC0" w:rsidRPr="00414489">
        <w:rPr>
          <w:rFonts w:hint="cs"/>
          <w:spacing w:val="-2"/>
          <w:sz w:val="20"/>
          <w:rtl/>
        </w:rPr>
        <w:t xml:space="preserve"> لم </w:t>
      </w:r>
      <w:r w:rsidRPr="00414489">
        <w:rPr>
          <w:rFonts w:hint="cs"/>
          <w:spacing w:val="-2"/>
          <w:sz w:val="20"/>
          <w:rtl/>
        </w:rPr>
        <w:t>يبق من أسرتها سوى أخوها الأكبر الذي يشغل مركز</w:t>
      </w:r>
      <w:r w:rsidR="0081655E">
        <w:rPr>
          <w:rFonts w:hint="cs"/>
          <w:spacing w:val="-2"/>
          <w:sz w:val="20"/>
          <w:rtl/>
        </w:rPr>
        <w:t xml:space="preserve">اً </w:t>
      </w:r>
      <w:r w:rsidRPr="00414489">
        <w:rPr>
          <w:rFonts w:hint="cs"/>
          <w:spacing w:val="-2"/>
          <w:sz w:val="20"/>
          <w:rtl/>
        </w:rPr>
        <w:t>عالي</w:t>
      </w:r>
      <w:r w:rsidR="0081655E">
        <w:rPr>
          <w:rFonts w:hint="cs"/>
          <w:spacing w:val="-2"/>
          <w:sz w:val="20"/>
          <w:rtl/>
        </w:rPr>
        <w:t xml:space="preserve">اً </w:t>
      </w:r>
      <w:r w:rsidRPr="00414489">
        <w:rPr>
          <w:rFonts w:hint="cs"/>
          <w:spacing w:val="-2"/>
          <w:sz w:val="20"/>
          <w:rtl/>
        </w:rPr>
        <w:t xml:space="preserve">في ميليشيا التوتسي المعروفة باسم </w:t>
      </w:r>
      <w:r w:rsidRPr="00414489">
        <w:rPr>
          <w:spacing w:val="-2"/>
          <w:sz w:val="20"/>
          <w:lang w:eastAsia="en-GB"/>
        </w:rPr>
        <w:t>“Sans</w:t>
      </w:r>
      <w:r w:rsidR="0081655E">
        <w:rPr>
          <w:spacing w:val="-2"/>
          <w:sz w:val="20"/>
          <w:lang w:eastAsia="en-GB"/>
        </w:rPr>
        <w:t> </w:t>
      </w:r>
      <w:r w:rsidRPr="00414489">
        <w:rPr>
          <w:spacing w:val="-2"/>
          <w:sz w:val="20"/>
          <w:lang w:eastAsia="en-GB"/>
        </w:rPr>
        <w:t>Échec”</w:t>
      </w:r>
      <w:r w:rsidRPr="00414489">
        <w:rPr>
          <w:rFonts w:hint="cs"/>
          <w:spacing w:val="-2"/>
          <w:sz w:val="20"/>
          <w:rtl/>
        </w:rPr>
        <w:t>. وفي عام</w:t>
      </w:r>
      <w:r w:rsidR="00A47831">
        <w:rPr>
          <w:rFonts w:hint="eastAsia"/>
          <w:spacing w:val="-2"/>
          <w:sz w:val="20"/>
          <w:rtl/>
        </w:rPr>
        <w:t> </w:t>
      </w:r>
      <w:r w:rsidRPr="00414489">
        <w:rPr>
          <w:rFonts w:hint="cs"/>
          <w:spacing w:val="-2"/>
          <w:sz w:val="20"/>
          <w:rtl/>
        </w:rPr>
        <w:t>2006، ادعت أن أخاها قُتل في بيته على أيدي جنود من الهوتو ينتمون إلى الجيش الوطني، وأنها كانت، في ذلك الوقت تحديد</w:t>
      </w:r>
      <w:r w:rsidR="006E1F60">
        <w:rPr>
          <w:rFonts w:hint="cs"/>
          <w:spacing w:val="-2"/>
          <w:sz w:val="20"/>
          <w:rtl/>
        </w:rPr>
        <w:t>اً،</w:t>
      </w:r>
      <w:r w:rsidRPr="00414489">
        <w:rPr>
          <w:rFonts w:hint="cs"/>
          <w:spacing w:val="-2"/>
          <w:sz w:val="20"/>
          <w:rtl/>
        </w:rPr>
        <w:t xml:space="preserve"> خارج البيت وأمكنها أن تسمع صوت أخيها أثناء إساءة معاملته داخل البيت والجنود يسألونه عن مكان وجودها هي، وهو ما فهمت منه أنه بمثابة تهديد بقتلها إن عثروا عليها. وفرت من بوروندي وطلبت اللجوء في السويد. ورُفض طلبها وكذلك الطعون التي قدمتها لاحق</w:t>
      </w:r>
      <w:r w:rsidR="006E1F60">
        <w:rPr>
          <w:rFonts w:hint="cs"/>
          <w:spacing w:val="-2"/>
          <w:sz w:val="20"/>
          <w:rtl/>
        </w:rPr>
        <w:t>اً،</w:t>
      </w:r>
      <w:r w:rsidRPr="00414489">
        <w:rPr>
          <w:rFonts w:hint="cs"/>
          <w:spacing w:val="-2"/>
          <w:sz w:val="20"/>
          <w:rtl/>
        </w:rPr>
        <w:t xml:space="preserve"> لأن سلطات الدولة الطرف وجدت تناقضات كثير في روايتها للوقائع التي أدت بها إلى مغادرتها بوروندي عن طريق الجو، ولأن هذه السلطات شككت في هوية صاحبة الشكوى على أساس أن شخص</w:t>
      </w:r>
      <w:r w:rsidR="0081655E">
        <w:rPr>
          <w:rFonts w:hint="cs"/>
          <w:spacing w:val="-2"/>
          <w:sz w:val="20"/>
          <w:rtl/>
        </w:rPr>
        <w:t xml:space="preserve">اً </w:t>
      </w:r>
      <w:r w:rsidRPr="00414489">
        <w:rPr>
          <w:rFonts w:hint="cs"/>
          <w:spacing w:val="-2"/>
          <w:sz w:val="20"/>
          <w:rtl/>
        </w:rPr>
        <w:t>ببيانات وصورة تكاد تكون مطابقة للبيانات والصورة التي قدّمتها هي كان قد طلب الحصول على تأشيرة في الجزائر. ولاحظت اللجنة أن الدولة الطرف أخذت في اعتبارها حالة حقوق الإنسان في بوروندي ولكنها أكدت أن الظروف السائدة في هذا البلد ليست سبب</w:t>
      </w:r>
      <w:r w:rsidR="0081655E">
        <w:rPr>
          <w:rFonts w:hint="cs"/>
          <w:spacing w:val="-2"/>
          <w:sz w:val="20"/>
          <w:rtl/>
        </w:rPr>
        <w:t xml:space="preserve">اً </w:t>
      </w:r>
      <w:r w:rsidRPr="00414489">
        <w:rPr>
          <w:rFonts w:hint="cs"/>
          <w:spacing w:val="-2"/>
          <w:sz w:val="20"/>
          <w:rtl/>
        </w:rPr>
        <w:t>كافي</w:t>
      </w:r>
      <w:r w:rsidR="0081655E">
        <w:rPr>
          <w:rFonts w:hint="cs"/>
          <w:spacing w:val="-2"/>
          <w:sz w:val="20"/>
          <w:rtl/>
        </w:rPr>
        <w:t xml:space="preserve">اً </w:t>
      </w:r>
      <w:r w:rsidRPr="00414489">
        <w:rPr>
          <w:rFonts w:hint="cs"/>
          <w:spacing w:val="-2"/>
          <w:sz w:val="20"/>
          <w:rtl/>
        </w:rPr>
        <w:t>للتدليل على أن إعادة صاحبة الشكوى قسر</w:t>
      </w:r>
      <w:r w:rsidR="0081655E">
        <w:rPr>
          <w:rFonts w:hint="cs"/>
          <w:spacing w:val="-2"/>
          <w:sz w:val="20"/>
          <w:rtl/>
        </w:rPr>
        <w:t xml:space="preserve">اً </w:t>
      </w:r>
      <w:r w:rsidRPr="00414489">
        <w:rPr>
          <w:rFonts w:hint="cs"/>
          <w:spacing w:val="-2"/>
          <w:sz w:val="20"/>
          <w:rtl/>
        </w:rPr>
        <w:t>إلى بوروندي سيفضي إلى انتهاك المادة 3 من الاتفاقية. ولاحظت اللجنة أيضاً أن الدولة الطرف قد وجهت الاهتمام إلى العديد من أوجه الخلل والتناقض الصارخ في رواية وأقوال صاحبة الشكوى، الأمر الذي يستدعي التشكيك بشكل عام في مصداقية وفي صحة ادعاءات صاحبة الشكوى، وكذلك المعلومات التي قدمتها لدعم ادعاءاتها. ورأت اللجنة أن صاحبة الشكوى</w:t>
      </w:r>
      <w:r w:rsidR="00335AC0" w:rsidRPr="00414489">
        <w:rPr>
          <w:rFonts w:hint="cs"/>
          <w:spacing w:val="-2"/>
          <w:sz w:val="20"/>
          <w:rtl/>
        </w:rPr>
        <w:t xml:space="preserve"> لم </w:t>
      </w:r>
      <w:r w:rsidRPr="00414489">
        <w:rPr>
          <w:rFonts w:hint="cs"/>
          <w:spacing w:val="-2"/>
          <w:sz w:val="20"/>
          <w:rtl/>
        </w:rPr>
        <w:t>تثبت أنها سوف تواجه، في حال طردها إلى بوروندي، خطرا</w:t>
      </w:r>
      <w:r w:rsidR="00414489">
        <w:rPr>
          <w:rFonts w:hint="cs"/>
          <w:spacing w:val="-2"/>
          <w:sz w:val="20"/>
          <w:rtl/>
        </w:rPr>
        <w:t>ً</w:t>
      </w:r>
      <w:r w:rsidRPr="00414489">
        <w:rPr>
          <w:rFonts w:hint="cs"/>
          <w:spacing w:val="-2"/>
          <w:sz w:val="20"/>
          <w:rtl/>
        </w:rPr>
        <w:t xml:space="preserve"> متوقعا</w:t>
      </w:r>
      <w:r w:rsidR="00414489">
        <w:rPr>
          <w:rFonts w:hint="cs"/>
          <w:spacing w:val="-2"/>
          <w:sz w:val="20"/>
          <w:rtl/>
        </w:rPr>
        <w:t>ً</w:t>
      </w:r>
      <w:r w:rsidRPr="00414489">
        <w:rPr>
          <w:rFonts w:hint="cs"/>
          <w:spacing w:val="-2"/>
          <w:sz w:val="20"/>
          <w:rtl/>
        </w:rPr>
        <w:t xml:space="preserve"> محققا</w:t>
      </w:r>
      <w:r w:rsidR="00414489">
        <w:rPr>
          <w:rFonts w:hint="cs"/>
          <w:spacing w:val="-2"/>
          <w:sz w:val="20"/>
          <w:rtl/>
        </w:rPr>
        <w:t>ً</w:t>
      </w:r>
      <w:r w:rsidRPr="00414489">
        <w:rPr>
          <w:rFonts w:hint="cs"/>
          <w:spacing w:val="-2"/>
          <w:sz w:val="20"/>
          <w:rtl/>
        </w:rPr>
        <w:t xml:space="preserve"> للتعرض</w:t>
      </w:r>
      <w:r w:rsidR="00414489">
        <w:rPr>
          <w:rFonts w:hint="eastAsia"/>
          <w:spacing w:val="-2"/>
          <w:sz w:val="20"/>
          <w:rtl/>
        </w:rPr>
        <w:t> </w:t>
      </w:r>
      <w:r w:rsidRPr="00414489">
        <w:rPr>
          <w:rFonts w:hint="cs"/>
          <w:spacing w:val="-2"/>
          <w:sz w:val="20"/>
          <w:rtl/>
        </w:rPr>
        <w:t>شخصي</w:t>
      </w:r>
      <w:r w:rsidR="0081655E">
        <w:rPr>
          <w:rFonts w:hint="cs"/>
          <w:spacing w:val="-2"/>
          <w:sz w:val="20"/>
          <w:rtl/>
        </w:rPr>
        <w:t xml:space="preserve">اً </w:t>
      </w:r>
      <w:r w:rsidRPr="00414489">
        <w:rPr>
          <w:rFonts w:hint="cs"/>
          <w:spacing w:val="-2"/>
          <w:sz w:val="20"/>
          <w:rtl/>
        </w:rPr>
        <w:t>للتعذيب بالمعنى المقصود من المادة 3 من الاتفاقية.</w:t>
      </w:r>
    </w:p>
    <w:p w:rsidR="004E0A37" w:rsidRPr="004E0A37" w:rsidRDefault="004E0A37" w:rsidP="00414489">
      <w:pPr>
        <w:pStyle w:val="SingleTxtGA"/>
        <w:jc w:val="lowKashida"/>
        <w:rPr>
          <w:rFonts w:hint="cs"/>
          <w:spacing w:val="0"/>
          <w:sz w:val="20"/>
          <w:rtl/>
        </w:rPr>
      </w:pPr>
      <w:r w:rsidRPr="004E0A37">
        <w:rPr>
          <w:rFonts w:hint="cs"/>
          <w:spacing w:val="0"/>
          <w:sz w:val="20"/>
          <w:rtl/>
        </w:rPr>
        <w:t>131-</w:t>
      </w:r>
      <w:r w:rsidRPr="004E0A37">
        <w:rPr>
          <w:rFonts w:hint="cs"/>
          <w:spacing w:val="0"/>
          <w:sz w:val="20"/>
          <w:rtl/>
        </w:rPr>
        <w:tab/>
        <w:t xml:space="preserve">الشكوى رقم 314/2010 </w:t>
      </w:r>
      <w:r w:rsidRPr="004E0A37">
        <w:rPr>
          <w:rFonts w:hint="cs"/>
          <w:i/>
          <w:iCs/>
          <w:spacing w:val="0"/>
          <w:sz w:val="20"/>
          <w:rtl/>
        </w:rPr>
        <w:t>(ن.ت.و. ضد سويسرا)</w:t>
      </w:r>
      <w:r w:rsidRPr="004E0A37">
        <w:rPr>
          <w:rFonts w:hint="cs"/>
          <w:spacing w:val="0"/>
          <w:sz w:val="20"/>
          <w:rtl/>
        </w:rPr>
        <w:t>، وتتعلق بمواطن إثيوبي مقيم في سويسرا يدعي أن إعادته القسرية إلى إثيوبيا سيشكل انتهاك</w:t>
      </w:r>
      <w:r w:rsidR="0081655E">
        <w:rPr>
          <w:rFonts w:hint="cs"/>
          <w:spacing w:val="0"/>
          <w:sz w:val="20"/>
          <w:rtl/>
        </w:rPr>
        <w:t xml:space="preserve">اً </w:t>
      </w:r>
      <w:r w:rsidRPr="004E0A37">
        <w:rPr>
          <w:rFonts w:hint="cs"/>
          <w:spacing w:val="0"/>
          <w:sz w:val="20"/>
          <w:rtl/>
        </w:rPr>
        <w:t>من جانب سويسرا للمادة 3 من الاتفاقية. وادعى صاحب الشكوى أنه أصبح أثناء الحملة الانتخابية التي جرت في عام</w:t>
      </w:r>
      <w:r w:rsidR="00414489">
        <w:rPr>
          <w:rFonts w:hint="eastAsia"/>
          <w:spacing w:val="0"/>
          <w:sz w:val="20"/>
          <w:rtl/>
        </w:rPr>
        <w:t> </w:t>
      </w:r>
      <w:r w:rsidRPr="004E0A37">
        <w:rPr>
          <w:rFonts w:hint="cs"/>
          <w:spacing w:val="0"/>
          <w:sz w:val="20"/>
          <w:rtl/>
        </w:rPr>
        <w:t>2005 مهتما بالسياسة، وأنه التحق بمناصري حزب التحالف من أجل الوحدة والديمقراطية، وأنه شارك بنشاط في الحملة الانتخابية لمرشحي ذلك الحزب. وبعد الانتخابات، شن حزب الحكومة حملة على الحزب المعارض، وقتل عدة أعضاء من المعارضة. وادعى صاحب الشكوى أن صديق</w:t>
      </w:r>
      <w:r w:rsidR="0081655E">
        <w:rPr>
          <w:rFonts w:hint="cs"/>
          <w:spacing w:val="0"/>
          <w:sz w:val="20"/>
          <w:rtl/>
        </w:rPr>
        <w:t xml:space="preserve">اً </w:t>
      </w:r>
      <w:r w:rsidRPr="004E0A37">
        <w:rPr>
          <w:rFonts w:hint="cs"/>
          <w:spacing w:val="0"/>
          <w:sz w:val="20"/>
          <w:rtl/>
        </w:rPr>
        <w:t>له يتمتع بصلات لدى الحزب الحاكم حذره بأنه مستهدف وأنه مطلوب لدى الشرطة. وغادر صاحب الشكوى إثيوبيا وطلب اللجوء في سويسرا. وادعى أنه سيُعتقل ويُعذّب إن عاد إلى إثيوبيا بسبب مشاركته السياسية السابقة وبسبب استمرار نشاطه السياسي في س</w:t>
      </w:r>
      <w:r w:rsidR="00D74E28" w:rsidRPr="004E0A37">
        <w:rPr>
          <w:rFonts w:hint="cs"/>
          <w:spacing w:val="0"/>
          <w:sz w:val="20"/>
          <w:rtl/>
        </w:rPr>
        <w:t>و</w:t>
      </w:r>
      <w:r w:rsidRPr="004E0A37">
        <w:rPr>
          <w:rFonts w:hint="cs"/>
          <w:spacing w:val="0"/>
          <w:sz w:val="20"/>
          <w:rtl/>
        </w:rPr>
        <w:t>يسرا. ولاحظت اللجنة أن صاحب الشكوى</w:t>
      </w:r>
      <w:r w:rsidR="00335AC0">
        <w:rPr>
          <w:rFonts w:hint="cs"/>
          <w:spacing w:val="0"/>
          <w:sz w:val="20"/>
          <w:rtl/>
        </w:rPr>
        <w:t xml:space="preserve"> لم </w:t>
      </w:r>
      <w:r w:rsidRPr="004E0A37">
        <w:rPr>
          <w:rFonts w:hint="cs"/>
          <w:spacing w:val="0"/>
          <w:sz w:val="20"/>
          <w:rtl/>
        </w:rPr>
        <w:t>يقدم أي دليل بأن الشرطة وغيرها من السلطات في إثيوبيا تبحث عنه منذ تركه البلد، وأنه</w:t>
      </w:r>
      <w:r w:rsidR="00335AC0">
        <w:rPr>
          <w:rFonts w:hint="cs"/>
          <w:spacing w:val="0"/>
          <w:sz w:val="20"/>
          <w:rtl/>
        </w:rPr>
        <w:t xml:space="preserve"> لم </w:t>
      </w:r>
      <w:r w:rsidRPr="004E0A37">
        <w:rPr>
          <w:rFonts w:hint="cs"/>
          <w:spacing w:val="0"/>
          <w:sz w:val="20"/>
          <w:rtl/>
        </w:rPr>
        <w:t>يسبق له قط أن اعتقل أو أسئت معاملته من قبل السلطات أثناء أو قبل انتخابات عام</w:t>
      </w:r>
      <w:r w:rsidR="00414489">
        <w:rPr>
          <w:rFonts w:hint="eastAsia"/>
          <w:spacing w:val="0"/>
          <w:sz w:val="20"/>
          <w:rtl/>
        </w:rPr>
        <w:t> </w:t>
      </w:r>
      <w:r w:rsidRPr="004E0A37">
        <w:rPr>
          <w:rFonts w:hint="cs"/>
          <w:spacing w:val="0"/>
          <w:sz w:val="20"/>
          <w:rtl/>
        </w:rPr>
        <w:t>2005، وأنه</w:t>
      </w:r>
      <w:r w:rsidR="00335AC0">
        <w:rPr>
          <w:rFonts w:hint="cs"/>
          <w:spacing w:val="0"/>
          <w:sz w:val="20"/>
          <w:rtl/>
        </w:rPr>
        <w:t xml:space="preserve"> لم </w:t>
      </w:r>
      <w:r w:rsidRPr="004E0A37">
        <w:rPr>
          <w:rFonts w:hint="cs"/>
          <w:spacing w:val="0"/>
          <w:sz w:val="20"/>
          <w:rtl/>
        </w:rPr>
        <w:t>يدع أن أي تهمة وجهت إليه في سياق مكافحة الإرهاب أو بموجب أي قانون محلي آخر. وأحاطت اللجنة</w:t>
      </w:r>
      <w:r w:rsidR="003833F8">
        <w:rPr>
          <w:rFonts w:hint="cs"/>
          <w:spacing w:val="0"/>
          <w:sz w:val="20"/>
          <w:rtl/>
        </w:rPr>
        <w:t xml:space="preserve"> علماً </w:t>
      </w:r>
      <w:r w:rsidRPr="004E0A37">
        <w:rPr>
          <w:rFonts w:hint="cs"/>
          <w:spacing w:val="0"/>
          <w:sz w:val="20"/>
          <w:rtl/>
        </w:rPr>
        <w:t>كذلك بادعاء صاحب الشكوى أن السلطات الإثيوبية استخدمت وسائل تكنولوجية متطورة لمراقبة المعارضين الإثيوبيين في الخارج، ولكنها لاحظت أنه</w:t>
      </w:r>
      <w:r w:rsidR="00335AC0">
        <w:rPr>
          <w:rFonts w:hint="cs"/>
          <w:spacing w:val="0"/>
          <w:sz w:val="20"/>
          <w:rtl/>
        </w:rPr>
        <w:t xml:space="preserve"> لم </w:t>
      </w:r>
      <w:r w:rsidRPr="004E0A37">
        <w:rPr>
          <w:rFonts w:hint="cs"/>
          <w:spacing w:val="0"/>
          <w:sz w:val="20"/>
          <w:rtl/>
        </w:rPr>
        <w:t>يقدم معلومات مفصلة بشأن هذا الادعاء ولا هو قدم أي دليل يسند ادعاءه. ورأت اللجنة أن صاحب الشكوى</w:t>
      </w:r>
      <w:r w:rsidR="00335AC0">
        <w:rPr>
          <w:rFonts w:hint="cs"/>
          <w:spacing w:val="0"/>
          <w:sz w:val="20"/>
          <w:rtl/>
        </w:rPr>
        <w:t xml:space="preserve"> لم </w:t>
      </w:r>
      <w:r w:rsidRPr="004E0A37">
        <w:rPr>
          <w:rFonts w:hint="cs"/>
          <w:spacing w:val="0"/>
          <w:sz w:val="20"/>
          <w:rtl/>
        </w:rPr>
        <w:t>يقدم أدلة كافية بشأن ضلوعه في أي نشاط سياسي كبير بحيث يثير اهتمام السلطات الإثيوبية. وعليه، خلصت اللجنة إلى أن قرار الدولة الطرف بإعادة صاحب الشكوى إلى إثيوبيا</w:t>
      </w:r>
      <w:r w:rsidR="00335AC0">
        <w:rPr>
          <w:rFonts w:hint="cs"/>
          <w:spacing w:val="0"/>
          <w:sz w:val="20"/>
          <w:rtl/>
        </w:rPr>
        <w:t xml:space="preserve"> لن </w:t>
      </w:r>
      <w:r w:rsidRPr="004E0A37">
        <w:rPr>
          <w:rFonts w:hint="cs"/>
          <w:spacing w:val="0"/>
          <w:sz w:val="20"/>
          <w:rtl/>
        </w:rPr>
        <w:t>يشكل انتهاك</w:t>
      </w:r>
      <w:r w:rsidR="0081655E">
        <w:rPr>
          <w:rFonts w:hint="cs"/>
          <w:spacing w:val="0"/>
          <w:sz w:val="20"/>
          <w:rtl/>
        </w:rPr>
        <w:t xml:space="preserve">اً </w:t>
      </w:r>
      <w:r w:rsidRPr="004E0A37">
        <w:rPr>
          <w:rFonts w:hint="cs"/>
          <w:spacing w:val="0"/>
          <w:sz w:val="20"/>
          <w:rtl/>
        </w:rPr>
        <w:t>للمادة 3 من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132-</w:t>
      </w:r>
      <w:r w:rsidRPr="004E0A37">
        <w:rPr>
          <w:rFonts w:hint="cs"/>
          <w:spacing w:val="0"/>
          <w:sz w:val="20"/>
          <w:rtl/>
        </w:rPr>
        <w:tab/>
        <w:t xml:space="preserve">الشكوى رقم 424/2010 </w:t>
      </w:r>
      <w:r w:rsidRPr="004E0A37">
        <w:rPr>
          <w:rFonts w:hint="cs"/>
          <w:i/>
          <w:iCs/>
          <w:spacing w:val="0"/>
          <w:sz w:val="20"/>
          <w:rtl/>
        </w:rPr>
        <w:t>(م.</w:t>
      </w:r>
      <w:r w:rsidR="006E1F60">
        <w:rPr>
          <w:rFonts w:hint="cs"/>
          <w:i/>
          <w:iCs/>
          <w:spacing w:val="0"/>
          <w:sz w:val="20"/>
          <w:rtl/>
        </w:rPr>
        <w:t xml:space="preserve"> </w:t>
      </w:r>
      <w:r w:rsidRPr="004E0A37">
        <w:rPr>
          <w:rFonts w:hint="cs"/>
          <w:i/>
          <w:iCs/>
          <w:spacing w:val="0"/>
          <w:sz w:val="20"/>
          <w:rtl/>
        </w:rPr>
        <w:t>ز.</w:t>
      </w:r>
      <w:r w:rsidR="006E1F60">
        <w:rPr>
          <w:rFonts w:hint="cs"/>
          <w:i/>
          <w:iCs/>
          <w:spacing w:val="0"/>
          <w:sz w:val="20"/>
          <w:rtl/>
        </w:rPr>
        <w:t xml:space="preserve"> </w:t>
      </w:r>
      <w:r w:rsidRPr="004E0A37">
        <w:rPr>
          <w:rFonts w:hint="cs"/>
          <w:i/>
          <w:iCs/>
          <w:spacing w:val="0"/>
          <w:sz w:val="20"/>
          <w:rtl/>
        </w:rPr>
        <w:t>أ. ضد السويد)</w:t>
      </w:r>
      <w:r w:rsidRPr="004E0A37">
        <w:rPr>
          <w:rFonts w:hint="cs"/>
          <w:spacing w:val="0"/>
          <w:sz w:val="20"/>
          <w:rtl/>
        </w:rPr>
        <w:t>، وتتعلق بمواطن من أذربيجان، مولود في عام 1957، يدعي أن ترحيله إلى أذربيجان سيشكل انتهاك</w:t>
      </w:r>
      <w:r w:rsidR="0081655E">
        <w:rPr>
          <w:rFonts w:hint="cs"/>
          <w:spacing w:val="0"/>
          <w:sz w:val="20"/>
          <w:rtl/>
        </w:rPr>
        <w:t xml:space="preserve">اً </w:t>
      </w:r>
      <w:r w:rsidRPr="004E0A37">
        <w:rPr>
          <w:rFonts w:hint="cs"/>
          <w:spacing w:val="0"/>
          <w:sz w:val="20"/>
          <w:rtl/>
        </w:rPr>
        <w:t>من جانب السويد للمادة 3 من اتفاقية مناهضة التعذيب. وادعى صاحب الشكوى أنه عانى هو وأسرته من مشاكل اقتصادية لأنه كافح للحصول على عمل ولكن</w:t>
      </w:r>
      <w:r w:rsidR="00335AC0">
        <w:rPr>
          <w:rFonts w:hint="cs"/>
          <w:spacing w:val="0"/>
          <w:sz w:val="20"/>
          <w:rtl/>
        </w:rPr>
        <w:t xml:space="preserve"> لم </w:t>
      </w:r>
      <w:r w:rsidRPr="004E0A37">
        <w:rPr>
          <w:rFonts w:hint="cs"/>
          <w:spacing w:val="0"/>
          <w:sz w:val="20"/>
          <w:rtl/>
        </w:rPr>
        <w:t>يتحقق له ذلك بسبب معتقداته السياسية وعضويته في الحزب الوطني الأذربيجاني. وادعى أنه كان عضو</w:t>
      </w:r>
      <w:r w:rsidR="0081655E">
        <w:rPr>
          <w:rFonts w:hint="cs"/>
          <w:spacing w:val="0"/>
          <w:sz w:val="20"/>
          <w:rtl/>
        </w:rPr>
        <w:t xml:space="preserve">اً </w:t>
      </w:r>
      <w:r w:rsidRPr="004E0A37">
        <w:rPr>
          <w:rFonts w:hint="cs"/>
          <w:spacing w:val="0"/>
          <w:sz w:val="20"/>
          <w:rtl/>
        </w:rPr>
        <w:t>نشط</w:t>
      </w:r>
      <w:r w:rsidR="0081655E">
        <w:rPr>
          <w:rFonts w:hint="cs"/>
          <w:spacing w:val="0"/>
          <w:sz w:val="20"/>
          <w:rtl/>
        </w:rPr>
        <w:t xml:space="preserve">اً </w:t>
      </w:r>
      <w:r w:rsidRPr="004E0A37">
        <w:rPr>
          <w:rFonts w:hint="cs"/>
          <w:spacing w:val="0"/>
          <w:sz w:val="20"/>
          <w:rtl/>
        </w:rPr>
        <w:t>مسؤول</w:t>
      </w:r>
      <w:r w:rsidR="0081655E">
        <w:rPr>
          <w:rFonts w:hint="cs"/>
          <w:spacing w:val="0"/>
          <w:sz w:val="20"/>
          <w:rtl/>
        </w:rPr>
        <w:t xml:space="preserve">اً </w:t>
      </w:r>
      <w:r w:rsidRPr="004E0A37">
        <w:rPr>
          <w:rFonts w:hint="cs"/>
          <w:spacing w:val="0"/>
          <w:sz w:val="20"/>
          <w:rtl/>
        </w:rPr>
        <w:t>عن التنظيم في الحزب وعن تجنيد أعضاء جدد، وأنه شارك في عدد من المظاهرات السياسية من عام 1998 إلى عام 2003. وأثناء إحدى تلك المظاهرات، وفي سياق انتخابات 15 تشرين الأول/أكتوبر 2003، حاولت السلطات قمع المحتجين، وادعى صاحب الشكوى أنه تمكن من الإفلات وعدم اعتقاله لا لشيء إلا لأن صهره كان يعمل نائب</w:t>
      </w:r>
      <w:r w:rsidR="0081655E">
        <w:rPr>
          <w:rFonts w:hint="cs"/>
          <w:spacing w:val="0"/>
          <w:sz w:val="20"/>
          <w:rtl/>
        </w:rPr>
        <w:t xml:space="preserve">اً </w:t>
      </w:r>
      <w:r w:rsidRPr="004E0A37">
        <w:rPr>
          <w:rFonts w:hint="cs"/>
          <w:spacing w:val="0"/>
          <w:sz w:val="20"/>
          <w:rtl/>
        </w:rPr>
        <w:t>عام</w:t>
      </w:r>
      <w:r w:rsidR="0081655E">
        <w:rPr>
          <w:rFonts w:hint="cs"/>
          <w:spacing w:val="0"/>
          <w:sz w:val="20"/>
          <w:rtl/>
        </w:rPr>
        <w:t xml:space="preserve">اً </w:t>
      </w:r>
      <w:r w:rsidRPr="004E0A37">
        <w:rPr>
          <w:rFonts w:hint="cs"/>
          <w:spacing w:val="0"/>
          <w:sz w:val="20"/>
          <w:rtl/>
        </w:rPr>
        <w:t>في باكو. وبعدها راح يختبئ في بيوت أصدقائه ومعارفه. وأخبرته زوجته بأن الشرطة قد بحثت عنه في كانون الثاني/يناير 2004 وأنهم هددوها بالقبض عليها إن</w:t>
      </w:r>
      <w:r w:rsidR="00335AC0">
        <w:rPr>
          <w:rFonts w:hint="cs"/>
          <w:spacing w:val="0"/>
          <w:sz w:val="20"/>
          <w:rtl/>
        </w:rPr>
        <w:t xml:space="preserve"> لم </w:t>
      </w:r>
      <w:r w:rsidRPr="004E0A37">
        <w:rPr>
          <w:rFonts w:hint="cs"/>
          <w:spacing w:val="0"/>
          <w:sz w:val="20"/>
          <w:rtl/>
        </w:rPr>
        <w:t>يتمكنوا من العثور عليه. وغادر أذربيجان وطلب اللجوء في السويد في عام 2004. وفي أيار/مايو 2004، رفض مجلس الهجرة طلب اللجوء الذي قدّمه كما رُفضت الطعون التي قدمها لاحق</w:t>
      </w:r>
      <w:r w:rsidR="006E1F60">
        <w:rPr>
          <w:rFonts w:hint="cs"/>
          <w:spacing w:val="0"/>
          <w:sz w:val="20"/>
          <w:rtl/>
        </w:rPr>
        <w:t>اً.</w:t>
      </w:r>
      <w:r w:rsidRPr="004E0A37">
        <w:rPr>
          <w:rFonts w:hint="cs"/>
          <w:spacing w:val="0"/>
          <w:sz w:val="20"/>
          <w:rtl/>
        </w:rPr>
        <w:t xml:space="preserve"> وأحاطت اللجنة</w:t>
      </w:r>
      <w:r w:rsidR="003833F8">
        <w:rPr>
          <w:rFonts w:hint="cs"/>
          <w:spacing w:val="0"/>
          <w:sz w:val="20"/>
          <w:rtl/>
        </w:rPr>
        <w:t xml:space="preserve"> علماً </w:t>
      </w:r>
      <w:r w:rsidRPr="004E0A37">
        <w:rPr>
          <w:rFonts w:hint="cs"/>
          <w:spacing w:val="0"/>
          <w:sz w:val="20"/>
          <w:rtl/>
        </w:rPr>
        <w:t>بادعاء صاحب الشكوى بأن ثمة خطر</w:t>
      </w:r>
      <w:r w:rsidR="0081655E">
        <w:rPr>
          <w:rFonts w:hint="cs"/>
          <w:spacing w:val="0"/>
          <w:sz w:val="20"/>
          <w:rtl/>
        </w:rPr>
        <w:t xml:space="preserve">اً </w:t>
      </w:r>
      <w:r w:rsidRPr="004E0A37">
        <w:rPr>
          <w:rFonts w:hint="cs"/>
          <w:spacing w:val="0"/>
          <w:sz w:val="20"/>
          <w:rtl/>
        </w:rPr>
        <w:t>لتعرضه للتعذيب أو سوء المعاملة في حال ترحيله بسبب أنشطته السياسية السابقة، ولكنها لاحظت أنه</w:t>
      </w:r>
      <w:r w:rsidR="00335AC0">
        <w:rPr>
          <w:rFonts w:hint="cs"/>
          <w:spacing w:val="0"/>
          <w:sz w:val="20"/>
          <w:rtl/>
        </w:rPr>
        <w:t xml:space="preserve"> لم </w:t>
      </w:r>
      <w:r w:rsidRPr="004E0A37">
        <w:rPr>
          <w:rFonts w:hint="cs"/>
          <w:spacing w:val="0"/>
          <w:sz w:val="20"/>
          <w:rtl/>
        </w:rPr>
        <w:t>يقدم أي دليل يثبت أنه مطلوب في أذربيجان بسبب أنشطته السياسية وأنه</w:t>
      </w:r>
      <w:r w:rsidR="00335AC0">
        <w:rPr>
          <w:rFonts w:hint="cs"/>
          <w:spacing w:val="0"/>
          <w:sz w:val="20"/>
          <w:rtl/>
        </w:rPr>
        <w:t xml:space="preserve"> لم </w:t>
      </w:r>
      <w:r w:rsidRPr="004E0A37">
        <w:rPr>
          <w:rFonts w:hint="cs"/>
          <w:spacing w:val="0"/>
          <w:sz w:val="20"/>
          <w:rtl/>
        </w:rPr>
        <w:t>يدع أنه اعتُقل أو عُذّب في السابق. وخلصت اللجنة إلى أن ترحيله</w:t>
      </w:r>
      <w:r w:rsidR="00335AC0">
        <w:rPr>
          <w:rFonts w:hint="cs"/>
          <w:spacing w:val="0"/>
          <w:sz w:val="20"/>
          <w:rtl/>
        </w:rPr>
        <w:t xml:space="preserve"> لن </w:t>
      </w:r>
      <w:r w:rsidRPr="004E0A37">
        <w:rPr>
          <w:rFonts w:hint="cs"/>
          <w:spacing w:val="0"/>
          <w:sz w:val="20"/>
          <w:rtl/>
        </w:rPr>
        <w:t>يشكل انتهاك</w:t>
      </w:r>
      <w:r w:rsidR="0081655E">
        <w:rPr>
          <w:rFonts w:hint="cs"/>
          <w:spacing w:val="0"/>
          <w:sz w:val="20"/>
          <w:rtl/>
        </w:rPr>
        <w:t xml:space="preserve">اً </w:t>
      </w:r>
      <w:r w:rsidRPr="004E0A37">
        <w:rPr>
          <w:rFonts w:hint="cs"/>
          <w:spacing w:val="0"/>
          <w:sz w:val="20"/>
          <w:rtl/>
        </w:rPr>
        <w:t>للمادة 3 من الاتفاقية.</w:t>
      </w:r>
    </w:p>
    <w:p w:rsidR="004E0A37" w:rsidRPr="004E0A37" w:rsidRDefault="004E0A37" w:rsidP="004E0A37">
      <w:pPr>
        <w:pStyle w:val="SingleTxtGA"/>
        <w:jc w:val="lowKashida"/>
        <w:rPr>
          <w:rFonts w:hint="cs"/>
          <w:spacing w:val="0"/>
          <w:sz w:val="20"/>
          <w:rtl/>
        </w:rPr>
      </w:pPr>
      <w:r w:rsidRPr="004E0A37">
        <w:rPr>
          <w:rFonts w:hint="cs"/>
          <w:spacing w:val="0"/>
          <w:sz w:val="20"/>
          <w:rtl/>
        </w:rPr>
        <w:t>133-</w:t>
      </w:r>
      <w:r w:rsidRPr="004E0A37">
        <w:rPr>
          <w:rFonts w:hint="cs"/>
          <w:spacing w:val="0"/>
          <w:sz w:val="20"/>
          <w:rtl/>
        </w:rPr>
        <w:tab/>
        <w:t xml:space="preserve">الشكوى رقم 433/2010 </w:t>
      </w:r>
      <w:r w:rsidRPr="004E0A37">
        <w:rPr>
          <w:rFonts w:hint="cs"/>
          <w:i/>
          <w:iCs/>
          <w:spacing w:val="0"/>
          <w:sz w:val="20"/>
          <w:rtl/>
        </w:rPr>
        <w:t>(غيراسيموف ضد كازاخستان)</w:t>
      </w:r>
      <w:r w:rsidRPr="004E0A37">
        <w:rPr>
          <w:rFonts w:hint="cs"/>
          <w:spacing w:val="0"/>
          <w:sz w:val="20"/>
          <w:rtl/>
        </w:rPr>
        <w:t>، وتتعلق بمواطن من كازاخستان ادعى أنه ضحية انتهاك كازاخستان للمواد 1 و2 و12 و13 و14 و22 من الاتفاقية. وادعى صاحب الشكوى أنه تعرض للتعذيب على أيدي الشرطة التي أرادت أن يعترف بارتكابه جريمة قتل. ورغم أن أعمال التعذيب التي اشتكى منها وقعت قبل بدء سريان مفعول الاتفاقية بالنسبة لأذربيجان، فقد ادعى أن هذا الانتهاك أمر واقع باستمرار. وادعى كذلك أن الدولة الطرف</w:t>
      </w:r>
      <w:r w:rsidR="00335AC0">
        <w:rPr>
          <w:rFonts w:hint="cs"/>
          <w:spacing w:val="0"/>
          <w:sz w:val="20"/>
          <w:rtl/>
        </w:rPr>
        <w:t xml:space="preserve"> لم </w:t>
      </w:r>
      <w:r w:rsidRPr="004E0A37">
        <w:rPr>
          <w:rFonts w:hint="cs"/>
          <w:spacing w:val="0"/>
          <w:sz w:val="20"/>
          <w:rtl/>
        </w:rPr>
        <w:t>تضع ضمانات مناسبة لمنع سوء المعاملة والتعذيب، وأنها</w:t>
      </w:r>
      <w:r w:rsidR="00335AC0">
        <w:rPr>
          <w:rFonts w:hint="cs"/>
          <w:spacing w:val="0"/>
          <w:sz w:val="20"/>
          <w:rtl/>
        </w:rPr>
        <w:t xml:space="preserve"> لم </w:t>
      </w:r>
      <w:r w:rsidRPr="004E0A37">
        <w:rPr>
          <w:rFonts w:hint="cs"/>
          <w:spacing w:val="0"/>
          <w:sz w:val="20"/>
          <w:rtl/>
        </w:rPr>
        <w:t>تجر أي تحقيق فوري ونزيه وفعال في الادعاءات التي ساقها، وأن القانون المحلي منعه بالفعل من رفع دعوى مدنية لطلب التعويض، في انتهاك للمادة 14 من الاتفاقية، ذلك أن الحق في التعويض مكفول فقط بعد صدور أحكام من محكمة جنائية تدين مسؤولين في الدولة. وأحاطت اللجنة</w:t>
      </w:r>
      <w:r w:rsidR="003833F8">
        <w:rPr>
          <w:rFonts w:hint="cs"/>
          <w:spacing w:val="0"/>
          <w:sz w:val="20"/>
          <w:rtl/>
        </w:rPr>
        <w:t xml:space="preserve"> علماً </w:t>
      </w:r>
      <w:r w:rsidRPr="004E0A37">
        <w:rPr>
          <w:rFonts w:hint="cs"/>
          <w:spacing w:val="0"/>
          <w:sz w:val="20"/>
          <w:rtl/>
        </w:rPr>
        <w:t>بالوصف المفصل الذي قدمه صاحب الشكوى عن المعاملة التي تعرض لها أثناء احتجازه لدى الشرطة، وبالتقارير الطبية التي توثق الإصابات الجسدية والأضرار النفسية التي تعرض لها، والحقيقة التي لا جدال فيها بأن صاحب الشكوى كان محتجز</w:t>
      </w:r>
      <w:r w:rsidR="0081655E">
        <w:rPr>
          <w:rFonts w:hint="cs"/>
          <w:spacing w:val="0"/>
          <w:sz w:val="20"/>
          <w:rtl/>
        </w:rPr>
        <w:t xml:space="preserve">اً </w:t>
      </w:r>
      <w:r w:rsidRPr="004E0A37">
        <w:rPr>
          <w:rFonts w:hint="cs"/>
          <w:spacing w:val="0"/>
          <w:sz w:val="20"/>
          <w:rtl/>
        </w:rPr>
        <w:t>لدى الشرطة وقت إصابته بتلك الجروح، وأنه خضع للعلاج الطبي من هذه الجروح مباشرة بعد الإفراج عنه. ولاحظت اللجنة أن القرينة قائمة على مسؤولية الدولة الطرف عن الضرر الذي لحق بصاحب الشكوى وأنها</w:t>
      </w:r>
      <w:r w:rsidR="00335AC0">
        <w:rPr>
          <w:rFonts w:hint="cs"/>
          <w:spacing w:val="0"/>
          <w:sz w:val="20"/>
          <w:rtl/>
        </w:rPr>
        <w:t xml:space="preserve"> لم </w:t>
      </w:r>
      <w:r w:rsidRPr="004E0A37">
        <w:rPr>
          <w:rFonts w:hint="cs"/>
          <w:spacing w:val="0"/>
          <w:sz w:val="20"/>
          <w:rtl/>
        </w:rPr>
        <w:t>تقدم تفسير</w:t>
      </w:r>
      <w:r w:rsidR="0081655E">
        <w:rPr>
          <w:rFonts w:hint="cs"/>
          <w:spacing w:val="0"/>
          <w:sz w:val="20"/>
          <w:rtl/>
        </w:rPr>
        <w:t xml:space="preserve">اً </w:t>
      </w:r>
      <w:r w:rsidRPr="004E0A37">
        <w:rPr>
          <w:rFonts w:hint="cs"/>
          <w:spacing w:val="0"/>
          <w:sz w:val="20"/>
          <w:rtl/>
        </w:rPr>
        <w:t>مقنع</w:t>
      </w:r>
      <w:r w:rsidR="0081655E">
        <w:rPr>
          <w:rFonts w:hint="cs"/>
          <w:spacing w:val="0"/>
          <w:sz w:val="20"/>
          <w:rtl/>
        </w:rPr>
        <w:t xml:space="preserve">اً </w:t>
      </w:r>
      <w:r w:rsidRPr="004E0A37">
        <w:rPr>
          <w:rFonts w:hint="cs"/>
          <w:spacing w:val="0"/>
          <w:sz w:val="20"/>
          <w:rtl/>
        </w:rPr>
        <w:t>يدحض أقوال صاحب الشكوى، فضل</w:t>
      </w:r>
      <w:r w:rsidR="0081655E">
        <w:rPr>
          <w:rFonts w:hint="cs"/>
          <w:spacing w:val="0"/>
          <w:sz w:val="20"/>
          <w:rtl/>
        </w:rPr>
        <w:t xml:space="preserve">اً </w:t>
      </w:r>
      <w:r w:rsidRPr="004E0A37">
        <w:rPr>
          <w:rFonts w:hint="cs"/>
          <w:spacing w:val="0"/>
          <w:sz w:val="20"/>
          <w:rtl/>
        </w:rPr>
        <w:t>عن القصور الصارخ في تسجيل اعتقال صاحب الشكوى، وفي تعيين محام له وفي عرضه على طبيب مستقل لفحصه. ولاحظت اللجنة أيضاً أنه رغم إبلاغ صاحب الشكوى عن أعمال التعذيب عدة أيام بعد الوقائع،</w:t>
      </w:r>
      <w:r w:rsidR="00335AC0">
        <w:rPr>
          <w:rFonts w:hint="cs"/>
          <w:spacing w:val="0"/>
          <w:sz w:val="20"/>
          <w:rtl/>
        </w:rPr>
        <w:t xml:space="preserve"> لم </w:t>
      </w:r>
      <w:r w:rsidRPr="004E0A37">
        <w:rPr>
          <w:rFonts w:hint="cs"/>
          <w:spacing w:val="0"/>
          <w:sz w:val="20"/>
          <w:rtl/>
        </w:rPr>
        <w:t>يجر التحقيق الأولي إلا بعد شهر وأن هذا التحقيق، رغم وقفه واستئنافه عدة مرات، انتهى إلى غلقه دون توجيه أي مسؤولية جنائية لأفراد الشرطة. وذكّرت اللجنة بأن التحقيق في حد ذاته ليس كافي</w:t>
      </w:r>
      <w:r w:rsidR="0081655E">
        <w:rPr>
          <w:rFonts w:hint="cs"/>
          <w:spacing w:val="0"/>
          <w:sz w:val="20"/>
          <w:rtl/>
        </w:rPr>
        <w:t xml:space="preserve">اً </w:t>
      </w:r>
      <w:r w:rsidRPr="004E0A37">
        <w:rPr>
          <w:rFonts w:hint="cs"/>
          <w:spacing w:val="0"/>
          <w:sz w:val="20"/>
          <w:rtl/>
        </w:rPr>
        <w:t>لإثبات امتثال الدولة الطرف التزاماتها بموجب المادة 12 من الاتفاقية إذا أمكن إثبات أنه</w:t>
      </w:r>
      <w:r w:rsidR="00335AC0">
        <w:rPr>
          <w:rFonts w:hint="cs"/>
          <w:spacing w:val="0"/>
          <w:sz w:val="20"/>
          <w:rtl/>
        </w:rPr>
        <w:t xml:space="preserve"> لم </w:t>
      </w:r>
      <w:r w:rsidRPr="004E0A37">
        <w:rPr>
          <w:rFonts w:hint="cs"/>
          <w:spacing w:val="0"/>
          <w:sz w:val="20"/>
          <w:rtl/>
        </w:rPr>
        <w:t>يكن تحقيق</w:t>
      </w:r>
      <w:r w:rsidR="0081655E">
        <w:rPr>
          <w:rFonts w:hint="cs"/>
          <w:spacing w:val="0"/>
          <w:sz w:val="20"/>
          <w:rtl/>
        </w:rPr>
        <w:t xml:space="preserve">اً </w:t>
      </w:r>
      <w:r w:rsidRPr="004E0A37">
        <w:rPr>
          <w:rFonts w:hint="cs"/>
          <w:spacing w:val="0"/>
          <w:sz w:val="20"/>
          <w:rtl/>
        </w:rPr>
        <w:t>نزيه</w:t>
      </w:r>
      <w:r w:rsidR="0081655E">
        <w:rPr>
          <w:rFonts w:hint="cs"/>
          <w:spacing w:val="0"/>
          <w:sz w:val="20"/>
          <w:rtl/>
        </w:rPr>
        <w:t xml:space="preserve">اً </w:t>
      </w:r>
      <w:r w:rsidRPr="004E0A37">
        <w:rPr>
          <w:rFonts w:hint="cs"/>
          <w:spacing w:val="0"/>
          <w:sz w:val="20"/>
          <w:rtl/>
        </w:rPr>
        <w:t>وفوري</w:t>
      </w:r>
      <w:r w:rsidR="0081655E">
        <w:rPr>
          <w:rFonts w:hint="cs"/>
          <w:spacing w:val="0"/>
          <w:sz w:val="20"/>
          <w:rtl/>
        </w:rPr>
        <w:t xml:space="preserve">اً </w:t>
      </w:r>
      <w:r w:rsidRPr="004E0A37">
        <w:rPr>
          <w:rFonts w:hint="cs"/>
          <w:spacing w:val="0"/>
          <w:sz w:val="20"/>
          <w:rtl/>
        </w:rPr>
        <w:t>وفعال</w:t>
      </w:r>
      <w:r w:rsidR="006E1F60">
        <w:rPr>
          <w:rFonts w:hint="cs"/>
          <w:spacing w:val="0"/>
          <w:sz w:val="20"/>
          <w:rtl/>
        </w:rPr>
        <w:t>اً،</w:t>
      </w:r>
      <w:r w:rsidRPr="004E0A37">
        <w:rPr>
          <w:rFonts w:hint="cs"/>
          <w:spacing w:val="0"/>
          <w:sz w:val="20"/>
          <w:rtl/>
        </w:rPr>
        <w:t xml:space="preserve"> وخلصت إلى أن الدولة الطرف</w:t>
      </w:r>
      <w:r w:rsidR="00335AC0">
        <w:rPr>
          <w:rFonts w:hint="cs"/>
          <w:spacing w:val="0"/>
          <w:sz w:val="20"/>
          <w:rtl/>
        </w:rPr>
        <w:t xml:space="preserve"> لم </w:t>
      </w:r>
      <w:r w:rsidRPr="004E0A37">
        <w:rPr>
          <w:rFonts w:hint="cs"/>
          <w:spacing w:val="0"/>
          <w:sz w:val="20"/>
          <w:rtl/>
        </w:rPr>
        <w:t xml:space="preserve">تمتثل التزاماتها بموجب تلك المادة. ولاحظت اللجنة كذلك أنه يتبين على نحو لا جدال فيه أن القانون المحلي لا يمنح الحق في التعويض عن أعمال التعذيب إلا بعد إدانة الموظفين المسؤولين عن تلك الأعمال أمام محكمة جنائية. ولاحظت اللجنة في الأخير أن صاحب الشكوى أرسل رسالة موثقة لسحب الدعوى مع توجيه نسخة منها إلى وزارة الشؤون الخارجية وأنه تعرض هو وأسرته لضغوط على المستوى الوطني على </w:t>
      </w:r>
      <w:r w:rsidRPr="00414489">
        <w:rPr>
          <w:rFonts w:hint="cs"/>
          <w:spacing w:val="-2"/>
          <w:sz w:val="20"/>
          <w:rtl/>
        </w:rPr>
        <w:t>خلفية شكواه، ومن ثم ترى أن لديها سبب</w:t>
      </w:r>
      <w:r w:rsidR="0081655E">
        <w:rPr>
          <w:rFonts w:hint="cs"/>
          <w:spacing w:val="-2"/>
          <w:sz w:val="20"/>
          <w:rtl/>
        </w:rPr>
        <w:t xml:space="preserve">اً </w:t>
      </w:r>
      <w:r w:rsidRPr="00414489">
        <w:rPr>
          <w:rFonts w:hint="cs"/>
          <w:spacing w:val="-2"/>
          <w:sz w:val="20"/>
          <w:rtl/>
        </w:rPr>
        <w:t>قوي</w:t>
      </w:r>
      <w:r w:rsidR="0081655E">
        <w:rPr>
          <w:rFonts w:hint="cs"/>
          <w:spacing w:val="-2"/>
          <w:sz w:val="20"/>
          <w:rtl/>
        </w:rPr>
        <w:t xml:space="preserve">اً </w:t>
      </w:r>
      <w:r w:rsidRPr="00414489">
        <w:rPr>
          <w:rFonts w:hint="cs"/>
          <w:spacing w:val="-2"/>
          <w:sz w:val="20"/>
          <w:rtl/>
        </w:rPr>
        <w:t>للتشكيك في أن رسالة سحب الدعوى صدرت منه طواعية، وخلصت إلى أن الدولة الطرف قد تدخلت في حق صاحب الشكوى في تقديم شكاوى. وخلصت اللجنة إلى أن الوقائع المعروضة عليه</w:t>
      </w:r>
      <w:r w:rsidR="0081655E">
        <w:rPr>
          <w:rFonts w:hint="cs"/>
          <w:spacing w:val="-2"/>
          <w:sz w:val="20"/>
          <w:rtl/>
        </w:rPr>
        <w:t xml:space="preserve">اً </w:t>
      </w:r>
      <w:r w:rsidRPr="00414489">
        <w:rPr>
          <w:rFonts w:hint="cs"/>
          <w:spacing w:val="-2"/>
          <w:sz w:val="20"/>
          <w:rtl/>
        </w:rPr>
        <w:t>تكشف وقوع انتهاكات للمادة 1، مقروءة بالاقتران مع الفقرة 1 من المادة 2، وللمواد 12 و13 و14 و22 من الاتفاقية.</w:t>
      </w:r>
    </w:p>
    <w:p w:rsidR="004E0A37" w:rsidRPr="004E0A37" w:rsidRDefault="004E0A37" w:rsidP="004A2C77">
      <w:pPr>
        <w:pStyle w:val="SingleTxtGA"/>
        <w:jc w:val="lowKashida"/>
        <w:rPr>
          <w:rFonts w:hint="cs"/>
          <w:spacing w:val="0"/>
          <w:sz w:val="20"/>
          <w:rtl/>
        </w:rPr>
      </w:pPr>
      <w:r w:rsidRPr="004E0A37">
        <w:rPr>
          <w:rFonts w:hint="cs"/>
          <w:spacing w:val="0"/>
          <w:sz w:val="20"/>
          <w:rtl/>
        </w:rPr>
        <w:t>134-</w:t>
      </w:r>
      <w:r w:rsidRPr="004E0A37">
        <w:rPr>
          <w:rFonts w:hint="cs"/>
          <w:spacing w:val="0"/>
          <w:sz w:val="20"/>
          <w:rtl/>
        </w:rPr>
        <w:tab/>
        <w:t xml:space="preserve">الشكوى رقم 444/2010 </w:t>
      </w:r>
      <w:r w:rsidRPr="004E0A37">
        <w:rPr>
          <w:rFonts w:hint="cs"/>
          <w:i/>
          <w:iCs/>
          <w:spacing w:val="0"/>
          <w:sz w:val="20"/>
          <w:rtl/>
        </w:rPr>
        <w:t>(عبد الصمدوف وآخرون ضد كازاخستان)</w:t>
      </w:r>
      <w:r w:rsidRPr="004E0A37">
        <w:rPr>
          <w:rFonts w:hint="cs"/>
          <w:spacing w:val="0"/>
          <w:sz w:val="20"/>
          <w:rtl/>
        </w:rPr>
        <w:t xml:space="preserve">، وتتعلق </w:t>
      </w:r>
      <w:r w:rsidR="00614E22">
        <w:rPr>
          <w:rFonts w:hint="cs"/>
          <w:spacing w:val="0"/>
          <w:sz w:val="20"/>
          <w:rtl/>
        </w:rPr>
        <w:t xml:space="preserve">ب‍ </w:t>
      </w:r>
      <w:r w:rsidRPr="004E0A37">
        <w:rPr>
          <w:rFonts w:hint="cs"/>
          <w:spacing w:val="0"/>
          <w:sz w:val="20"/>
          <w:rtl/>
        </w:rPr>
        <w:t>27 مواطن</w:t>
      </w:r>
      <w:r w:rsidR="0081655E">
        <w:rPr>
          <w:rFonts w:hint="cs"/>
          <w:spacing w:val="0"/>
          <w:sz w:val="20"/>
          <w:rtl/>
        </w:rPr>
        <w:t xml:space="preserve">اً </w:t>
      </w:r>
      <w:r w:rsidRPr="004E0A37">
        <w:rPr>
          <w:rFonts w:hint="cs"/>
          <w:spacing w:val="0"/>
          <w:sz w:val="20"/>
          <w:rtl/>
        </w:rPr>
        <w:t>أوزبكي</w:t>
      </w:r>
      <w:r w:rsidR="0081655E">
        <w:rPr>
          <w:rFonts w:hint="cs"/>
          <w:spacing w:val="0"/>
          <w:sz w:val="20"/>
          <w:rtl/>
        </w:rPr>
        <w:t xml:space="preserve">اً </w:t>
      </w:r>
      <w:r w:rsidRPr="004E0A37">
        <w:rPr>
          <w:rFonts w:hint="cs"/>
          <w:spacing w:val="0"/>
          <w:sz w:val="20"/>
          <w:rtl/>
        </w:rPr>
        <w:t>وموطنين اثنين طاجيكيين ادعوا أن ترحيلهم إلى أوزباكستان سيشكل انتهاك</w:t>
      </w:r>
      <w:r w:rsidR="0081655E">
        <w:rPr>
          <w:rFonts w:hint="cs"/>
          <w:spacing w:val="0"/>
          <w:sz w:val="20"/>
          <w:rtl/>
        </w:rPr>
        <w:t xml:space="preserve">اً </w:t>
      </w:r>
      <w:r w:rsidRPr="004E0A37">
        <w:rPr>
          <w:rFonts w:hint="cs"/>
          <w:spacing w:val="0"/>
          <w:sz w:val="20"/>
          <w:rtl/>
        </w:rPr>
        <w:t>من جانب كازاخستان للمادة 3 من اتفاقية مكافحة التعذيب. وطلبت اللجنة من الدولة الطرف عدم تسليم أصحاب الشكوى إلى أوزبكستان أثناء نظر اللجنة في بلاغهم، ولكن الدولة الطرف</w:t>
      </w:r>
      <w:r w:rsidR="00335AC0">
        <w:rPr>
          <w:rFonts w:hint="cs"/>
          <w:spacing w:val="0"/>
          <w:sz w:val="20"/>
          <w:rtl/>
        </w:rPr>
        <w:t xml:space="preserve"> لم </w:t>
      </w:r>
      <w:r w:rsidRPr="004E0A37">
        <w:rPr>
          <w:rFonts w:hint="cs"/>
          <w:spacing w:val="0"/>
          <w:sz w:val="20"/>
          <w:rtl/>
        </w:rPr>
        <w:t>تستجب لهذه الدعوة. وقررت اللجنة، أثناء دورتها السابعة والأربعين، أن الدولة الطرف، برفضها طلب اللجنة اتخاذ تدابير مؤقتة،</w:t>
      </w:r>
      <w:r w:rsidR="00335AC0">
        <w:rPr>
          <w:rFonts w:hint="cs"/>
          <w:spacing w:val="0"/>
          <w:sz w:val="20"/>
          <w:rtl/>
        </w:rPr>
        <w:t xml:space="preserve"> لم </w:t>
      </w:r>
      <w:r w:rsidRPr="004E0A37">
        <w:rPr>
          <w:rFonts w:hint="cs"/>
          <w:spacing w:val="0"/>
          <w:sz w:val="20"/>
          <w:rtl/>
        </w:rPr>
        <w:t xml:space="preserve">تف بالتزاماتها </w:t>
      </w:r>
      <w:r w:rsidRPr="004E0A37">
        <w:rPr>
          <w:rFonts w:hint="cs"/>
          <w:spacing w:val="0"/>
          <w:sz w:val="20"/>
          <w:rtl/>
          <w:lang/>
        </w:rPr>
        <w:t>بالتعاون بحسن نية بموجب المادة 22 من الاتفاقية، وأن تقبل النطر في البلاغ من حيث إنه يثير قضايا تتعلق بالمادة 3 من الاتفاقية. وأصحاب الشكوى أشخاص ملتزمون بالإسلام كانوا قد فروا من أوزبكستان لخوفهم من الاضطهاد بسبب ممارسة شعائر دينهم خارج المؤسسات الرسمية. وفي كانون الثاني/يناير 2010، دخل قانون جديد للجوء حيز التنفيذ في كازاخستان يلزم جميع ملتمسي اللجوء، فضل</w:t>
      </w:r>
      <w:r w:rsidR="0081655E">
        <w:rPr>
          <w:rFonts w:hint="cs"/>
          <w:spacing w:val="0"/>
          <w:sz w:val="20"/>
          <w:rtl/>
          <w:lang/>
        </w:rPr>
        <w:t xml:space="preserve">اً </w:t>
      </w:r>
      <w:r w:rsidRPr="004E0A37">
        <w:rPr>
          <w:rFonts w:hint="cs"/>
          <w:spacing w:val="0"/>
          <w:sz w:val="20"/>
          <w:rtl/>
          <w:lang/>
        </w:rPr>
        <w:t>عن اللاجئين الذين تعترف بهم المفوضية السامية لشؤون اللاجئين، بالتسجيل لدى حكومة كازاخستان. وقد استوفى أصحاب الشكوى إجراء التسجيل على النحو المطلوب لدى شرطة الهجرة في أيار/مايو 2010. وفي آب/أغسطس 2010، رُفضت طلبات اللجوء التي قدموها. وفي 8 أيلول/سبتمبر 2010، وبناء على طلب من السلطات الأوزبكية وعمل</w:t>
      </w:r>
      <w:r w:rsidR="0081655E">
        <w:rPr>
          <w:rFonts w:hint="cs"/>
          <w:spacing w:val="0"/>
          <w:sz w:val="20"/>
          <w:rtl/>
          <w:lang/>
        </w:rPr>
        <w:t xml:space="preserve">اً </w:t>
      </w:r>
      <w:r w:rsidRPr="004E0A37">
        <w:rPr>
          <w:rFonts w:hint="cs"/>
          <w:spacing w:val="0"/>
          <w:sz w:val="20"/>
          <w:rtl/>
          <w:lang/>
        </w:rPr>
        <w:t>باتفاقية رابطة الدول المستقلة بشأن المساعدة القانونية والنزاعات في المسائل القانونية المدنية والأسرية والجنائية (اتفاقية مينسك) وباتفاقية شانغاي لعام 2001، أعلن مكتب المدعي العام أن أصحاب الشكوى سيسلمون إلى أوزبكستان، لارتباطهم "بمنظمات غير قانونية" واتهامهم "بمحاولة قلب النظام الدستوري" في أوزبكستان. وفي كانون الأول/ديسمبر 2010، رفضت المحكمة المحلية في ألماتي الطعون التي قدمها أصحاب الشكوى. و</w:t>
      </w:r>
      <w:r w:rsidR="00F96B1E">
        <w:rPr>
          <w:rFonts w:hint="cs"/>
          <w:spacing w:val="0"/>
          <w:sz w:val="20"/>
          <w:rtl/>
          <w:lang/>
        </w:rPr>
        <w:t>فيما </w:t>
      </w:r>
      <w:r w:rsidRPr="004E0A37">
        <w:rPr>
          <w:rFonts w:hint="cs"/>
          <w:spacing w:val="0"/>
          <w:sz w:val="20"/>
          <w:rtl/>
          <w:lang/>
        </w:rPr>
        <w:t>يتعلق بالأسس الموضوعية للشكوى، أحاطت اللجنة</w:t>
      </w:r>
      <w:r w:rsidR="003833F8">
        <w:rPr>
          <w:rFonts w:hint="cs"/>
          <w:spacing w:val="0"/>
          <w:sz w:val="20"/>
          <w:rtl/>
          <w:lang/>
        </w:rPr>
        <w:t xml:space="preserve"> علماً </w:t>
      </w:r>
      <w:r w:rsidRPr="004E0A37">
        <w:rPr>
          <w:rFonts w:hint="cs"/>
          <w:spacing w:val="0"/>
          <w:sz w:val="20"/>
          <w:rtl/>
          <w:lang/>
        </w:rPr>
        <w:t>بالحجج التي ساقها محامي الدفاع ومؤداها أن أصحاب الشكوى والأفراد الآخرين الذين أعيدوا إلى أوزباكستان تبعا لطلبات التسليم كانون يحتجزون بشكل عام في أماكن مقطوع الاتصال بها</w:t>
      </w:r>
      <w:r w:rsidRPr="004E0A37">
        <w:rPr>
          <w:rFonts w:hint="cs"/>
          <w:spacing w:val="0"/>
          <w:sz w:val="20"/>
          <w:rtl/>
        </w:rPr>
        <w:t>؛ وبادعاءات المحامي بأن ممارسة التعذيب وسوء المعاملة في أوزباكستان ظلت ممارسة ممنهجة وأن المسلمين الذين يمارسون شعائر دينهم خارج الرقابة الحكومية الرسمية والمتهمين بالتطرف الديني وبمحاولة قلب النظام الدستوري مستهدفون على وجه التحديد؛ وبأن الدولة الطرف رفضت طلبات اللجوء التي قدمها أصحاب الشكوى بدعوى أنهم سيشكلون تهديد</w:t>
      </w:r>
      <w:r w:rsidR="0081655E">
        <w:rPr>
          <w:rFonts w:hint="cs"/>
          <w:spacing w:val="0"/>
          <w:sz w:val="20"/>
          <w:rtl/>
        </w:rPr>
        <w:t xml:space="preserve">اً </w:t>
      </w:r>
      <w:r w:rsidRPr="004E0A37">
        <w:rPr>
          <w:rFonts w:hint="cs"/>
          <w:spacing w:val="0"/>
          <w:sz w:val="20"/>
          <w:rtl/>
        </w:rPr>
        <w:t>للدولة الطرف وسيتسببون في ضرر بالغ لأمنها ولأمن بلدان أخرى. وأحاطت</w:t>
      </w:r>
      <w:r w:rsidR="003833F8">
        <w:rPr>
          <w:rFonts w:hint="cs"/>
          <w:spacing w:val="0"/>
          <w:sz w:val="20"/>
          <w:rtl/>
        </w:rPr>
        <w:t xml:space="preserve"> علماً </w:t>
      </w:r>
      <w:r w:rsidRPr="004E0A37">
        <w:rPr>
          <w:rFonts w:hint="cs"/>
          <w:spacing w:val="0"/>
          <w:sz w:val="20"/>
          <w:rtl/>
        </w:rPr>
        <w:t>أيضاً بحجة المحامي بأن الإجراءات التي اتبعت في الدولة الطرف وأدت إلى تسليم أصحاب الشكوى</w:t>
      </w:r>
      <w:r w:rsidR="00335AC0">
        <w:rPr>
          <w:rFonts w:hint="cs"/>
          <w:spacing w:val="0"/>
          <w:sz w:val="20"/>
          <w:rtl/>
        </w:rPr>
        <w:t xml:space="preserve"> لم </w:t>
      </w:r>
      <w:r w:rsidRPr="004E0A37">
        <w:rPr>
          <w:rFonts w:hint="cs"/>
          <w:spacing w:val="0"/>
          <w:sz w:val="20"/>
          <w:rtl/>
        </w:rPr>
        <w:t>تكن عادلة إذ</w:t>
      </w:r>
      <w:r w:rsidR="00335AC0">
        <w:rPr>
          <w:rFonts w:hint="cs"/>
          <w:spacing w:val="0"/>
          <w:sz w:val="20"/>
          <w:rtl/>
        </w:rPr>
        <w:t xml:space="preserve"> لم </w:t>
      </w:r>
      <w:r w:rsidRPr="004E0A37">
        <w:rPr>
          <w:rFonts w:hint="cs"/>
          <w:spacing w:val="0"/>
          <w:sz w:val="20"/>
          <w:rtl/>
        </w:rPr>
        <w:t>توفر لأصحاب الشكوى خدمات مترجم فوري وكانت إمكانية وصولهم إلى المحامين محدودة ولم يتمكن المحامون من الاطلاع على الملفات. وأحاطت اللجنة</w:t>
      </w:r>
      <w:r w:rsidR="003833F8">
        <w:rPr>
          <w:rFonts w:hint="cs"/>
          <w:spacing w:val="0"/>
          <w:sz w:val="20"/>
          <w:rtl/>
        </w:rPr>
        <w:t xml:space="preserve"> علماً </w:t>
      </w:r>
      <w:r w:rsidRPr="004E0A37">
        <w:rPr>
          <w:rFonts w:hint="cs"/>
          <w:spacing w:val="0"/>
          <w:sz w:val="20"/>
          <w:rtl/>
        </w:rPr>
        <w:t>أيضاً بحجة الدولة الطرف بأن أوزباكستان طرف في العهد الدولي الخاص بالحقوق المدنية والسياسية وفي اتفاقية مناهضة التعذيب وأن أوزبكستان قدمت ضمانات دبلوماسية تكفل عدم تعريض أصحاب الشكوى للتعذيب أو المعاملة القاسية أو</w:t>
      </w:r>
      <w:r w:rsidR="004A2C77">
        <w:rPr>
          <w:rFonts w:hint="eastAsia"/>
          <w:spacing w:val="0"/>
          <w:sz w:val="20"/>
          <w:rtl/>
        </w:rPr>
        <w:t> </w:t>
      </w:r>
      <w:r w:rsidRPr="004E0A37">
        <w:rPr>
          <w:rFonts w:hint="cs"/>
          <w:spacing w:val="0"/>
          <w:sz w:val="20"/>
          <w:rtl/>
        </w:rPr>
        <w:t xml:space="preserve">اللاإنسانية أو المهينة. ولاحظت أيضاً أن الدولة الطرف أفادت أن أوزبكستان أكّدت أن </w:t>
      </w:r>
      <w:r w:rsidRPr="004A2C77">
        <w:rPr>
          <w:rFonts w:hint="cs"/>
          <w:spacing w:val="-2"/>
          <w:kern w:val="0"/>
          <w:sz w:val="20"/>
          <w:rtl/>
        </w:rPr>
        <w:t>بإمكان المنظمات الدولية رصد مرافق الاحتجاز. ولاحظت اللجنة أن أصحاب الشكوى</w:t>
      </w:r>
      <w:r w:rsidR="004A2C77" w:rsidRPr="004A2C77">
        <w:rPr>
          <w:rFonts w:hint="cs"/>
          <w:spacing w:val="-2"/>
          <w:kern w:val="0"/>
          <w:sz w:val="20"/>
          <w:rtl/>
        </w:rPr>
        <w:t xml:space="preserve"> ا</w:t>
      </w:r>
      <w:r w:rsidR="004A2C77" w:rsidRPr="004A2C77">
        <w:rPr>
          <w:rFonts w:hint="cs"/>
          <w:spacing w:val="-2"/>
          <w:kern w:val="0"/>
          <w:sz w:val="30"/>
          <w:rtl/>
        </w:rPr>
        <w:t>ل‍</w:t>
      </w:r>
      <w:r w:rsidRPr="004A2C77">
        <w:rPr>
          <w:rFonts w:hint="cs"/>
          <w:spacing w:val="-2"/>
          <w:kern w:val="0"/>
          <w:sz w:val="20"/>
          <w:rtl/>
        </w:rPr>
        <w:t xml:space="preserve"> 29 </w:t>
      </w:r>
      <w:r w:rsidRPr="004E0A37">
        <w:rPr>
          <w:rFonts w:hint="cs"/>
          <w:spacing w:val="0"/>
          <w:sz w:val="20"/>
          <w:rtl/>
        </w:rPr>
        <w:t>جميعهم مسلمون يمارسون دينهم خارج المؤسسات الرسمية الأوزبكية و/أو متهمون بجرائم متصلة بالإرهاب. وذكّرت أيضاً بأن مبدأ عدم الإبعاد المنصوص عليه في المادة 3 من الاتفاقية مبدأ مطلق وأن الحرب على الإرهاب لا تعفي الدولة الطرف من الوفاء بالتزامها بالامتناع عن طرد شخص إلى دولة أخرى توجد بها أسباب كافية تحمل على الاعتقاد بأنه سيواجه خطر التعرض للتعذيب. ورأت أن نسق انتهاكات حقوق الإنسان الجسيمة والصارخة والواسعة النطاق السائد في أوزبكستان والخطر المحقق للتعرض للتعذيب أو المعاملة القاسية أو اللاإنسانية أو المهينة في هذا البلد، ولا سيما بالنسبة للأشخاص الذين يمارسون دينهم خارج الإطار الرسمي، أمر مؤكد بما فيه الكفاية. ولاحظت كذلك أن الدولة الطرف</w:t>
      </w:r>
      <w:r w:rsidR="00335AC0">
        <w:rPr>
          <w:rFonts w:hint="cs"/>
          <w:spacing w:val="0"/>
          <w:sz w:val="20"/>
          <w:rtl/>
        </w:rPr>
        <w:t xml:space="preserve"> لم </w:t>
      </w:r>
      <w:r w:rsidRPr="004E0A37">
        <w:rPr>
          <w:rFonts w:hint="cs"/>
          <w:spacing w:val="0"/>
          <w:sz w:val="20"/>
          <w:rtl/>
        </w:rPr>
        <w:t>تقدم دليل</w:t>
      </w:r>
      <w:r w:rsidR="0081655E">
        <w:rPr>
          <w:rFonts w:hint="cs"/>
          <w:spacing w:val="0"/>
          <w:sz w:val="20"/>
          <w:rtl/>
        </w:rPr>
        <w:t xml:space="preserve">اً </w:t>
      </w:r>
      <w:r w:rsidRPr="004E0A37">
        <w:rPr>
          <w:rFonts w:hint="cs"/>
          <w:spacing w:val="0"/>
          <w:sz w:val="20"/>
          <w:rtl/>
        </w:rPr>
        <w:t>يدحض ادعاءات أصحاب الشكوى بأن إجراءات تسليمهم</w:t>
      </w:r>
      <w:r w:rsidR="00335AC0">
        <w:rPr>
          <w:rFonts w:hint="cs"/>
          <w:spacing w:val="0"/>
          <w:sz w:val="20"/>
          <w:rtl/>
        </w:rPr>
        <w:t xml:space="preserve"> لم </w:t>
      </w:r>
      <w:r w:rsidRPr="004E0A37">
        <w:rPr>
          <w:rFonts w:hint="cs"/>
          <w:spacing w:val="0"/>
          <w:sz w:val="20"/>
          <w:rtl/>
        </w:rPr>
        <w:t>تلب الحد الأدنى من متطلبات المحاكمة العادلة وأنه</w:t>
      </w:r>
      <w:r w:rsidR="00335AC0">
        <w:rPr>
          <w:rFonts w:hint="cs"/>
          <w:spacing w:val="0"/>
          <w:sz w:val="20"/>
          <w:rtl/>
        </w:rPr>
        <w:t xml:space="preserve"> لم </w:t>
      </w:r>
      <w:r w:rsidRPr="004E0A37">
        <w:rPr>
          <w:rFonts w:hint="cs"/>
          <w:spacing w:val="0"/>
          <w:sz w:val="20"/>
          <w:rtl/>
        </w:rPr>
        <w:t>يجر أي تقييم فردي للخطر الذي يمكن أن يواجهه كل واحد من أصحاب الشكوى بأن يتعرض للتعذيب لدى عودته إلى أوزبكستان. وعليه، قررت اللجنة أن الحقائق المعروضة عليها تكشف وقوع انتهاك من جانب الدولة الطرف للمادتين 3 و22 من الاتفاقية.</w:t>
      </w:r>
    </w:p>
    <w:p w:rsidR="004E0A37" w:rsidRPr="004E0A37" w:rsidRDefault="004E0A37" w:rsidP="004E0A37">
      <w:pPr>
        <w:pStyle w:val="SingleTxtGA"/>
        <w:jc w:val="lowKashida"/>
        <w:rPr>
          <w:rFonts w:hint="cs"/>
          <w:spacing w:val="0"/>
          <w:sz w:val="20"/>
          <w:rtl/>
          <w:lang/>
        </w:rPr>
      </w:pPr>
      <w:r w:rsidRPr="004E0A37">
        <w:rPr>
          <w:rFonts w:hint="cs"/>
          <w:spacing w:val="0"/>
          <w:sz w:val="20"/>
          <w:rtl/>
        </w:rPr>
        <w:t>135-</w:t>
      </w:r>
      <w:r w:rsidRPr="004E0A37">
        <w:rPr>
          <w:rFonts w:hint="cs"/>
          <w:spacing w:val="0"/>
          <w:sz w:val="20"/>
          <w:rtl/>
        </w:rPr>
        <w:tab/>
        <w:t>الشكوى رقم 453/2011 (</w:t>
      </w:r>
      <w:r w:rsidRPr="004E0A37">
        <w:rPr>
          <w:rFonts w:hint="cs"/>
          <w:i/>
          <w:iCs/>
          <w:spacing w:val="0"/>
          <w:sz w:val="20"/>
          <w:rtl/>
        </w:rPr>
        <w:t xml:space="preserve">غالاستيغي سودوبي ضد إسبانيا)، </w:t>
      </w:r>
      <w:r w:rsidRPr="004E0A37">
        <w:rPr>
          <w:rFonts w:hint="cs"/>
          <w:spacing w:val="0"/>
          <w:sz w:val="20"/>
          <w:rtl/>
        </w:rPr>
        <w:t>وتتعلق بمواطن إسباني ادعى أنه وقع ضحية انتهاك إسبانيا للمواد 12 و14 و15 من الاتفاقية. وادعى صاحب الشكوى أنه تعرض، يوم 24 تشرين الأول/أكتوبر 2002 على الساعة الخامسة فجر</w:t>
      </w:r>
      <w:r w:rsidR="006E1F60">
        <w:rPr>
          <w:rFonts w:hint="cs"/>
          <w:spacing w:val="0"/>
          <w:sz w:val="20"/>
          <w:rtl/>
        </w:rPr>
        <w:t>اً،</w:t>
      </w:r>
      <w:r w:rsidRPr="004E0A37">
        <w:rPr>
          <w:rFonts w:hint="cs"/>
          <w:spacing w:val="0"/>
          <w:sz w:val="20"/>
          <w:rtl/>
        </w:rPr>
        <w:t xml:space="preserve"> للقبض عليه بأسلوب عنيف من قبل شرطة إقليم الباسك المتمتع بالحكم الذاتي أثناء عملية قامت بها هذه الشرطة واقتيد على إثرها إلى مقر الشرطة المركزي حيث تقرر أن التهم الموجهة إليه تقع ضمن نطاق قوانين مكافحة الإرهاب واحتجز في مكان مقطوع الاتصال به لمدة ثلاثة أيام. وادعى أيضاً أن الإفادات التي أدلى بها أثناء استجوابه من قبل الشرطة ويقر فيها بجرمه انتزعت منه أثناء خضوعه لسوء المعاملة والتعذيب الجسدي والنفسي. ودفع صاحب الشكوى أيضاً بأن الأطباء، الذين أحضرتهم الشرطة،</w:t>
      </w:r>
      <w:r w:rsidR="00335AC0">
        <w:rPr>
          <w:rFonts w:hint="cs"/>
          <w:spacing w:val="0"/>
          <w:sz w:val="20"/>
          <w:rtl/>
        </w:rPr>
        <w:t xml:space="preserve"> لم </w:t>
      </w:r>
      <w:r w:rsidRPr="004E0A37">
        <w:rPr>
          <w:rFonts w:hint="cs"/>
          <w:spacing w:val="0"/>
          <w:sz w:val="20"/>
          <w:rtl/>
        </w:rPr>
        <w:t>يلقوا بال</w:t>
      </w:r>
      <w:r w:rsidR="006E1F60">
        <w:rPr>
          <w:rFonts w:hint="cs"/>
          <w:spacing w:val="0"/>
          <w:sz w:val="20"/>
          <w:rtl/>
        </w:rPr>
        <w:t>اً،</w:t>
      </w:r>
      <w:r w:rsidRPr="004E0A37">
        <w:rPr>
          <w:rFonts w:hint="cs"/>
          <w:spacing w:val="0"/>
          <w:sz w:val="20"/>
          <w:rtl/>
        </w:rPr>
        <w:t xml:space="preserve"> أثناء الفحوصات الطبية التي خضع لها ولا في تقاريرهم الطبية، لادعائه بالتعرض للعذيب. وادعى صاحب الشكوى أن السلطات</w:t>
      </w:r>
      <w:r w:rsidR="00335AC0">
        <w:rPr>
          <w:rFonts w:hint="cs"/>
          <w:spacing w:val="0"/>
          <w:sz w:val="20"/>
          <w:rtl/>
        </w:rPr>
        <w:t xml:space="preserve"> لم </w:t>
      </w:r>
      <w:r w:rsidRPr="004E0A37">
        <w:rPr>
          <w:rFonts w:hint="cs"/>
          <w:spacing w:val="0"/>
          <w:sz w:val="20"/>
          <w:rtl/>
        </w:rPr>
        <w:t>تجر أي تحقيق فوري ومستقل ونزيه في أقواله التي ادعى فيها التعرض للتعذيب وأن المحاكم المختصة</w:t>
      </w:r>
      <w:r w:rsidR="00335AC0">
        <w:rPr>
          <w:rFonts w:hint="cs"/>
          <w:spacing w:val="0"/>
          <w:sz w:val="20"/>
          <w:rtl/>
        </w:rPr>
        <w:t xml:space="preserve"> لم </w:t>
      </w:r>
      <w:r w:rsidRPr="004E0A37">
        <w:rPr>
          <w:rFonts w:hint="cs"/>
          <w:spacing w:val="0"/>
          <w:sz w:val="20"/>
          <w:rtl/>
        </w:rPr>
        <w:t>تحرك ساكن</w:t>
      </w:r>
      <w:r w:rsidR="0081655E">
        <w:rPr>
          <w:rFonts w:hint="cs"/>
          <w:spacing w:val="0"/>
          <w:sz w:val="20"/>
          <w:rtl/>
        </w:rPr>
        <w:t xml:space="preserve">اً </w:t>
      </w:r>
      <w:r w:rsidRPr="004E0A37">
        <w:rPr>
          <w:rFonts w:hint="cs"/>
          <w:spacing w:val="0"/>
          <w:sz w:val="20"/>
          <w:rtl/>
        </w:rPr>
        <w:t>إزاء ادعاءاته المتكررة بالتعرض لسوء المعاملة والتعذيب. وأكد صاحب الشكوى كذلك أن المحاكمة التي أدت إلى إدانته</w:t>
      </w:r>
      <w:r w:rsidR="00335AC0">
        <w:rPr>
          <w:rFonts w:hint="cs"/>
          <w:spacing w:val="0"/>
          <w:sz w:val="20"/>
          <w:rtl/>
        </w:rPr>
        <w:t xml:space="preserve"> لم </w:t>
      </w:r>
      <w:r w:rsidRPr="004E0A37">
        <w:rPr>
          <w:rFonts w:hint="cs"/>
          <w:spacing w:val="0"/>
          <w:sz w:val="20"/>
          <w:rtl/>
        </w:rPr>
        <w:t>تكن عادلة لاستخدامها إفادات يجرم فيها نفسه منتزعة تحت التعذيب كأدلة لإدانته بجريمة قتل إرهابية. ولاحظت اللجنة أن صاحب الشكوى رفع دعوى بالتعرض للتعذيب وسوء المعاملة، نظرت فيها محكمة الدرجة الأولى، وأن هذه المحكمة أمرت وقف الإجراءات على أساس تقارير الطب الشرعي التي</w:t>
      </w:r>
      <w:r w:rsidR="00335AC0">
        <w:rPr>
          <w:rFonts w:hint="cs"/>
          <w:spacing w:val="0"/>
          <w:sz w:val="20"/>
          <w:rtl/>
        </w:rPr>
        <w:t xml:space="preserve"> لم </w:t>
      </w:r>
      <w:r w:rsidRPr="004E0A37">
        <w:rPr>
          <w:rFonts w:hint="cs"/>
          <w:spacing w:val="0"/>
          <w:sz w:val="20"/>
          <w:rtl/>
        </w:rPr>
        <w:t>تؤيد مزاعم صاحب الشكوى، وأن المحكمة العليا في المقاطعة رفضت لاحق الاستئناف الذي قدمه صاحب الشكوى استناد</w:t>
      </w:r>
      <w:r w:rsidR="0081655E">
        <w:rPr>
          <w:rFonts w:hint="cs"/>
          <w:spacing w:val="0"/>
          <w:sz w:val="20"/>
          <w:rtl/>
        </w:rPr>
        <w:t xml:space="preserve">اً </w:t>
      </w:r>
      <w:r w:rsidRPr="004E0A37">
        <w:rPr>
          <w:rFonts w:hint="cs"/>
          <w:spacing w:val="0"/>
          <w:sz w:val="20"/>
          <w:rtl/>
        </w:rPr>
        <w:t>إلى تقارير الطب الشرعي كذلك. ولاحظت اللجنة أيضاً أن صاحب الشكوى طلب مراعاة أدلة أخرى إلا أن المحاكم رفضت طلبه هذا لعدم اقتناعها بضرورة القيام بذلك. ولاحظت اللجنة كذلك أن صاحب الشكوى ذكر، أثناء إجراءات إحالة صاحب الشكوى على المحاكمة التي اتخذها قاضي التحقيق الرابع لدى المحكمة العليا الوطنية وفي المحاكمة التي تلت ذلك، أنه أقر بجرمه نتيجة التعذيب وسوء المعاملة اللذين تعرض لهما وأن المحكمة</w:t>
      </w:r>
      <w:r w:rsidR="00335AC0">
        <w:rPr>
          <w:rFonts w:hint="cs"/>
          <w:spacing w:val="0"/>
          <w:sz w:val="20"/>
          <w:rtl/>
        </w:rPr>
        <w:t xml:space="preserve"> لم </w:t>
      </w:r>
      <w:r w:rsidRPr="004E0A37">
        <w:rPr>
          <w:rFonts w:hint="cs"/>
          <w:spacing w:val="0"/>
          <w:sz w:val="20"/>
          <w:rtl/>
        </w:rPr>
        <w:t xml:space="preserve">تتخذ تدابير للتحقيق في هذه الادعاءات. ورأت اللجنة أن هذه الوقائع تشير إلى وجود قصور في التحقيق من جانب السلطات لا يتفق </w:t>
      </w:r>
      <w:r w:rsidRPr="004E0A37">
        <w:rPr>
          <w:rFonts w:hint="cs"/>
          <w:spacing w:val="0"/>
          <w:sz w:val="20"/>
          <w:rtl/>
          <w:lang/>
        </w:rPr>
        <w:t>مع التزام الدولة بموجب المادة 12 من الاتفاقية. ولاحظت اللجنة أيضاً أن أقوال صاحب الشكوى التي أقر فيها بجرمه مُنحت لها أهمية كبيرة في الإجراءات التي خضع لها، ولكنها اعتبرت أن صاحب الشكوى</w:t>
      </w:r>
      <w:r w:rsidR="00335AC0">
        <w:rPr>
          <w:rFonts w:hint="cs"/>
          <w:spacing w:val="0"/>
          <w:sz w:val="20"/>
          <w:rtl/>
          <w:lang/>
        </w:rPr>
        <w:t xml:space="preserve"> لم </w:t>
      </w:r>
      <w:r w:rsidRPr="004E0A37">
        <w:rPr>
          <w:rFonts w:hint="cs"/>
          <w:spacing w:val="0"/>
          <w:sz w:val="20"/>
          <w:rtl/>
          <w:lang/>
        </w:rPr>
        <w:t>يقدم معلومات تسمح لها بالاستنتاج أن أقوال الإقرار بالجرم كانت في جميع الاحتمالات نتيجة للتعرض للتعذيب، ومن ثم خلصت إلى أن المعلومات المعروضة عليها لا تكشف وقوع انتهاك للمادتين 14 و15 من الاتفاقية.</w:t>
      </w:r>
    </w:p>
    <w:p w:rsidR="004E0A37" w:rsidRPr="00414489" w:rsidRDefault="004E0A37" w:rsidP="00414489">
      <w:pPr>
        <w:pStyle w:val="H1GA"/>
        <w:rPr>
          <w:rFonts w:ascii="Times New Roman Bold" w:hAnsi="Times New Roman Bold" w:hint="cs"/>
          <w:spacing w:val="0"/>
          <w:rtl/>
          <w:lang w:val="fr-CH"/>
        </w:rPr>
      </w:pPr>
      <w:r w:rsidRPr="00414489">
        <w:rPr>
          <w:rFonts w:ascii="Times New Roman Bold" w:hAnsi="Times New Roman Bold" w:hint="cs"/>
          <w:spacing w:val="0"/>
          <w:rtl/>
          <w:lang w:val="fr-CH"/>
        </w:rPr>
        <w:tab/>
        <w:t>دال-</w:t>
      </w:r>
      <w:r w:rsidRPr="00414489">
        <w:rPr>
          <w:rFonts w:ascii="Times New Roman Bold" w:hAnsi="Times New Roman Bold" w:hint="cs"/>
          <w:spacing w:val="0"/>
          <w:rtl/>
          <w:lang w:val="fr-CH"/>
        </w:rPr>
        <w:tab/>
        <w:t>أنشطة المتابعة</w:t>
      </w:r>
    </w:p>
    <w:p w:rsidR="004E0A37" w:rsidRPr="00414489" w:rsidRDefault="004E0A37" w:rsidP="00414489">
      <w:pPr>
        <w:pStyle w:val="SingleTxtGA"/>
        <w:jc w:val="lowKashida"/>
        <w:rPr>
          <w:rFonts w:hint="cs"/>
          <w:spacing w:val="-2"/>
          <w:sz w:val="20"/>
          <w:rtl/>
        </w:rPr>
      </w:pPr>
      <w:r w:rsidRPr="00414489">
        <w:rPr>
          <w:rFonts w:hint="cs"/>
          <w:spacing w:val="-4"/>
          <w:sz w:val="20"/>
          <w:rtl/>
        </w:rPr>
        <w:t>136-</w:t>
      </w:r>
      <w:r w:rsidRPr="00414489">
        <w:rPr>
          <w:rFonts w:hint="cs"/>
          <w:spacing w:val="-4"/>
          <w:sz w:val="20"/>
          <w:rtl/>
        </w:rPr>
        <w:tab/>
        <w:t>أنشأت لجنة مناهضة التعذيب، في دورتها الثامنة والعشرين المعقودة في أيار/مايو 2002</w:t>
      </w:r>
      <w:r w:rsidRPr="00414489">
        <w:rPr>
          <w:rFonts w:hint="cs"/>
          <w:spacing w:val="-2"/>
          <w:sz w:val="20"/>
          <w:rtl/>
        </w:rPr>
        <w:t>، وظيفة مقرر يتولى متابعة تنفيذ القرارات المتعلقة بالشكاوى المقدمة بموجب المادة 22. وقررت</w:t>
      </w:r>
      <w:r w:rsidR="00414489">
        <w:rPr>
          <w:rFonts w:hint="eastAsia"/>
          <w:spacing w:val="-2"/>
          <w:sz w:val="20"/>
          <w:rtl/>
        </w:rPr>
        <w:t> </w:t>
      </w:r>
      <w:r w:rsidRPr="00414489">
        <w:rPr>
          <w:rFonts w:hint="cs"/>
          <w:spacing w:val="-2"/>
          <w:sz w:val="20"/>
          <w:rtl/>
        </w:rPr>
        <w:t>اللجنة، في جلستها 527 المعقودة في 16 أيار/مايو 20</w:t>
      </w:r>
      <w:r w:rsidR="0081655E">
        <w:rPr>
          <w:rFonts w:hint="cs"/>
          <w:spacing w:val="-2"/>
          <w:sz w:val="20"/>
          <w:rtl/>
        </w:rPr>
        <w:t>02، أن يضطلع المقرر بجملة أنشطة</w:t>
      </w:r>
      <w:r w:rsidRPr="00414489">
        <w:rPr>
          <w:rFonts w:hint="cs"/>
          <w:spacing w:val="-2"/>
          <w:sz w:val="20"/>
          <w:rtl/>
        </w:rPr>
        <w:t xml:space="preserve"> منها ما يلي: رصد الامتثال لقرارات اللجنة عن طريق إرسال مذكراتٍ شفوية إلى الدول الأطراف للاستفسار عن التدابير المعتمدة عملاً بقرارات اللجنة؛ تقديم توصيات للجنة باتخاذ الإجراءات المناسبة في ضوء الردود التي تتلقاها من الدول الأطراف، وفي حالات عدم الرد، ولدى استلام كافة الرسائل من أصحاب الشكاوى </w:t>
      </w:r>
      <w:r w:rsidR="00F96B1E" w:rsidRPr="00414489">
        <w:rPr>
          <w:rFonts w:hint="cs"/>
          <w:spacing w:val="-2"/>
          <w:sz w:val="20"/>
          <w:rtl/>
        </w:rPr>
        <w:t>فيما </w:t>
      </w:r>
      <w:r w:rsidRPr="00414489">
        <w:rPr>
          <w:rFonts w:hint="cs"/>
          <w:spacing w:val="-2"/>
          <w:sz w:val="20"/>
          <w:rtl/>
        </w:rPr>
        <w:t>يتعلق بعدم تنفيذ قرارات اللجنة، يلتقي مع ممثلي البعثات الدائمة للدول الأطراف للتشجيع على الامتثال وتحديد ما إذا كانت الخدمات الاستشارية أو</w:t>
      </w:r>
      <w:r w:rsidRPr="00414489">
        <w:rPr>
          <w:rFonts w:hint="eastAsia"/>
          <w:spacing w:val="-2"/>
          <w:sz w:val="20"/>
          <w:rtl/>
        </w:rPr>
        <w:t> </w:t>
      </w:r>
      <w:r w:rsidRPr="00414489">
        <w:rPr>
          <w:rFonts w:hint="cs"/>
          <w:spacing w:val="-2"/>
          <w:sz w:val="20"/>
          <w:rtl/>
        </w:rPr>
        <w:t>المساعدة التقنية التي تقدمها مفوضية الأمم المتحدة السامية لحقوق الإنسان مناسبة أو مرغوبة؛ تنظيم زيارات متابعة إلى الدول الأطراف بموافقة اللجنة؛ إعداد تقارير دورية عن أنشطته وتقديمها إلى اللجنة.</w:t>
      </w:r>
    </w:p>
    <w:p w:rsidR="004E0A37" w:rsidRPr="004E0A37" w:rsidRDefault="004E0A37" w:rsidP="00414489">
      <w:pPr>
        <w:pStyle w:val="SingleTxtGA"/>
        <w:spacing w:after="240"/>
        <w:jc w:val="lowKashida"/>
        <w:rPr>
          <w:rFonts w:hint="cs"/>
          <w:spacing w:val="0"/>
          <w:sz w:val="20"/>
          <w:rtl/>
        </w:rPr>
      </w:pPr>
      <w:r w:rsidRPr="004E0A37">
        <w:rPr>
          <w:rFonts w:hint="cs"/>
          <w:spacing w:val="0"/>
          <w:sz w:val="20"/>
          <w:rtl/>
        </w:rPr>
        <w:t>137-</w:t>
      </w:r>
      <w:r w:rsidRPr="004E0A37">
        <w:rPr>
          <w:rFonts w:hint="cs"/>
          <w:spacing w:val="0"/>
          <w:sz w:val="20"/>
          <w:rtl/>
        </w:rPr>
        <w:tab/>
        <w:t xml:space="preserve">ويتضمن الجدول الوارد أدناه المعلومات التي تلقتها اللجنة من الدول الأطراف وأصحاب الشكاوى منذ الدورة السابعة والأربعين للجنة مناهضة التعذيب. </w:t>
      </w:r>
    </w:p>
    <w:tbl>
      <w:tblPr>
        <w:tblStyle w:val="TableGrid"/>
        <w:bidiVisual/>
        <w:tblW w:w="7153" w:type="dxa"/>
        <w:tblInd w:w="1253" w:type="dxa"/>
        <w:tblBorders>
          <w:bottom w:val="none" w:sz="0" w:space="0" w:color="auto"/>
          <w:insideH w:val="none" w:sz="0" w:space="0" w:color="auto"/>
          <w:insideV w:val="none" w:sz="0" w:space="0" w:color="auto"/>
        </w:tblBorders>
        <w:tblLayout w:type="fixed"/>
        <w:tblCellMar>
          <w:left w:w="0" w:type="dxa"/>
          <w:right w:w="0" w:type="dxa"/>
        </w:tblCellMar>
        <w:tblLook w:val="01E0"/>
      </w:tblPr>
      <w:tblGrid>
        <w:gridCol w:w="3490"/>
        <w:gridCol w:w="3663"/>
      </w:tblGrid>
      <w:tr w:rsidR="004E0A37" w:rsidRPr="004E0A37" w:rsidTr="00A47831">
        <w:tc>
          <w:tcPr>
            <w:tcW w:w="3490"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كندا</w:t>
            </w:r>
          </w:p>
        </w:tc>
      </w:tr>
      <w:tr w:rsidR="004E0A37" w:rsidRPr="004E0A37" w:rsidTr="00A47831">
        <w:tc>
          <w:tcPr>
            <w:tcW w:w="3490" w:type="dxa"/>
            <w:tcBorders>
              <w:top w:val="single" w:sz="12" w:space="0" w:color="auto"/>
              <w:lef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663" w:type="dxa"/>
            <w:tcBorders>
              <w:top w:val="single" w:sz="12" w:space="0" w:color="auto"/>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14489">
              <w:rPr>
                <w:rFonts w:hint="cs"/>
                <w:b/>
                <w:bCs/>
                <w:i/>
                <w:iCs/>
                <w:spacing w:val="0"/>
                <w:sz w:val="20"/>
                <w:rtl/>
                <w:lang w:val="fr-CH"/>
              </w:rPr>
              <w:t>سينغ</w:t>
            </w:r>
            <w:r w:rsidRPr="004E0A37">
              <w:rPr>
                <w:rFonts w:hint="cs"/>
                <w:b/>
                <w:bCs/>
                <w:spacing w:val="0"/>
                <w:sz w:val="20"/>
                <w:rtl/>
                <w:lang w:val="fr-CH"/>
              </w:rPr>
              <w:t xml:space="preserve">، 319/2007 </w:t>
            </w:r>
          </w:p>
        </w:tc>
      </w:tr>
      <w:tr w:rsidR="004E0A37" w:rsidRPr="004E0A37" w:rsidTr="00A47831">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30 أيار/مايو 2011</w:t>
            </w:r>
          </w:p>
        </w:tc>
      </w:tr>
      <w:tr w:rsidR="004E0A37" w:rsidRPr="004E0A37" w:rsidTr="00A47831">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 الذي خلصت إليها اللجنة</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 xml:space="preserve">المادة 3 </w:t>
            </w:r>
          </w:p>
        </w:tc>
      </w:tr>
      <w:tr w:rsidR="004E0A37" w:rsidRPr="004E0A37" w:rsidTr="00A47831">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عدم تسليم صاحب الشكوى إلى الهند</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18 تشرين الثاني/نوفمبر 2011، أبلغت الدولة الطرف اللجنة بأنها قررت إعادة صاحب الشكوى إلى الهند.</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وأوضحت الدولة الطرف أنها لا تقبل الاقتراح العام بأن نظامها المحلي للمراجعة القضائية، ولا سيما الدعاوى التي تعرض على المحكمة الاتحادية، لا تتيح سبيل انتصاف فعال في حالات الترحيل التي تتوفر فيها أسباب وجيهة للاعتقاد بأن الشخص يواجه خطر التعرض للتعذيب. وتفسر الدولة الطرف قرار اللجنة في هذه الحالة بأنه يعني أن اللجنة</w:t>
            </w:r>
            <w:r w:rsidR="00335AC0">
              <w:rPr>
                <w:rFonts w:hint="cs"/>
                <w:spacing w:val="0"/>
                <w:sz w:val="20"/>
                <w:rtl/>
                <w:lang w:val="fr-CH"/>
              </w:rPr>
              <w:t xml:space="preserve"> لم </w:t>
            </w:r>
            <w:r w:rsidRPr="004E0A37">
              <w:rPr>
                <w:rFonts w:hint="cs"/>
                <w:spacing w:val="0"/>
                <w:sz w:val="20"/>
                <w:rtl/>
                <w:lang w:val="fr-CH"/>
              </w:rPr>
              <w:t>تستنتج، من ملابسات هذه القضية تحديد</w:t>
            </w:r>
            <w:r w:rsidR="006E1F60">
              <w:rPr>
                <w:rFonts w:hint="cs"/>
                <w:spacing w:val="0"/>
                <w:sz w:val="20"/>
                <w:rtl/>
                <w:lang w:val="fr-CH"/>
              </w:rPr>
              <w:t>اً،</w:t>
            </w:r>
            <w:r w:rsidRPr="004E0A37">
              <w:rPr>
                <w:rFonts w:hint="cs"/>
                <w:spacing w:val="0"/>
                <w:sz w:val="20"/>
                <w:rtl/>
                <w:lang w:val="fr-CH"/>
              </w:rPr>
              <w:t xml:space="preserve"> أن سبل الانتصاف المحلية كانت كافية.</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وأحيلت ملاحظات الدولة الطرف على صاحب الشكوى في 28 كانون الأول/ديسمبر 2011 للتعليق عليها.</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الانتظار ريثما تتلقى مزيد</w:t>
            </w:r>
            <w:r w:rsidR="0081655E">
              <w:rPr>
                <w:rFonts w:hint="cs"/>
                <w:spacing w:val="0"/>
                <w:sz w:val="20"/>
                <w:rtl/>
                <w:lang w:val="fr-CH"/>
              </w:rPr>
              <w:t xml:space="preserve">اً </w:t>
            </w:r>
            <w:r w:rsidRPr="004E0A37">
              <w:rPr>
                <w:rFonts w:hint="cs"/>
                <w:spacing w:val="0"/>
                <w:sz w:val="20"/>
                <w:rtl/>
                <w:lang w:val="fr-CH"/>
              </w:rPr>
              <w:t>من المعلومات قبل اتخاذ قرار في المسألة، ولكنها</w:t>
            </w:r>
            <w:r w:rsidR="00335AC0">
              <w:rPr>
                <w:rFonts w:hint="cs"/>
                <w:spacing w:val="0"/>
                <w:sz w:val="20"/>
                <w:rtl/>
                <w:lang w:val="fr-CH"/>
              </w:rPr>
              <w:t xml:space="preserve"> لم </w:t>
            </w:r>
            <w:r w:rsidRPr="004E0A37">
              <w:rPr>
                <w:rFonts w:hint="cs"/>
                <w:spacing w:val="0"/>
                <w:sz w:val="20"/>
                <w:rtl/>
                <w:lang w:val="fr-CH"/>
              </w:rPr>
              <w:t>تتلق أية معلومات. وستعكف اللجنة على إعداد رسالة تذكير لتوجيهها إلى المحامي.</w:t>
            </w:r>
          </w:p>
        </w:tc>
      </w:tr>
      <w:tr w:rsidR="00414489" w:rsidRPr="004E0A37" w:rsidTr="00A47831">
        <w:tc>
          <w:tcPr>
            <w:tcW w:w="7153" w:type="dxa"/>
            <w:gridSpan w:val="2"/>
            <w:tcBorders>
              <w:top w:val="nil"/>
              <w:left w:val="nil"/>
              <w:bottom w:val="nil"/>
              <w:right w:val="nil"/>
            </w:tcBorders>
            <w:shd w:val="clear" w:color="auto" w:fill="auto"/>
          </w:tcPr>
          <w:p w:rsidR="00414489" w:rsidRPr="004E0A37" w:rsidRDefault="00414489" w:rsidP="004E0A37">
            <w:pPr>
              <w:spacing w:before="60" w:after="60" w:line="340" w:lineRule="exact"/>
              <w:ind w:left="113" w:right="113"/>
              <w:rPr>
                <w:rFonts w:hint="cs"/>
                <w:spacing w:val="0"/>
                <w:sz w:val="20"/>
                <w:rtl/>
                <w:lang w:val="fr-CH"/>
              </w:rPr>
            </w:pPr>
            <w:r w:rsidRPr="00414489">
              <w:rPr>
                <w:rFonts w:hint="cs"/>
                <w:spacing w:val="0"/>
                <w:sz w:val="20"/>
                <w:rtl/>
                <w:lang w:val="fr-CH"/>
              </w:rPr>
              <w:t>قرار اللجنة</w:t>
            </w:r>
            <w:r>
              <w:rPr>
                <w:rFonts w:hint="cs"/>
                <w:spacing w:val="0"/>
                <w:sz w:val="20"/>
                <w:rtl/>
                <w:lang w:val="fr-CH"/>
              </w:rPr>
              <w:t>:</w:t>
            </w:r>
            <w:r w:rsidRPr="004E0A37">
              <w:rPr>
                <w:rFonts w:hint="cs"/>
                <w:spacing w:val="0"/>
                <w:sz w:val="20"/>
                <w:rtl/>
                <w:lang w:val="fr-CH"/>
              </w:rPr>
              <w:t xml:space="preserve"> حوار المتابعة مستمر.</w:t>
            </w:r>
          </w:p>
        </w:tc>
      </w:tr>
    </w:tbl>
    <w:p w:rsidR="004E0A37" w:rsidRPr="004E0A37" w:rsidRDefault="004E0A37" w:rsidP="00542FAC">
      <w:pPr>
        <w:pStyle w:val="SingleTxtGA"/>
        <w:rPr>
          <w:rFonts w:hint="cs"/>
          <w:rtl/>
          <w:lang w:val="fr-CH"/>
        </w:rPr>
      </w:pPr>
    </w:p>
    <w:tbl>
      <w:tblPr>
        <w:tblStyle w:val="TableGrid"/>
        <w:bidiVisual/>
        <w:tblW w:w="7153" w:type="dxa"/>
        <w:tblInd w:w="1253" w:type="dxa"/>
        <w:tblBorders>
          <w:bottom w:val="none" w:sz="0" w:space="0" w:color="auto"/>
          <w:insideH w:val="none" w:sz="0" w:space="0" w:color="auto"/>
          <w:insideV w:val="none" w:sz="0" w:space="0" w:color="auto"/>
        </w:tblBorders>
        <w:tblLayout w:type="fixed"/>
        <w:tblCellMar>
          <w:left w:w="0" w:type="dxa"/>
          <w:right w:w="0" w:type="dxa"/>
        </w:tblCellMar>
        <w:tblLook w:val="01E0"/>
      </w:tblPr>
      <w:tblGrid>
        <w:gridCol w:w="3418"/>
        <w:gridCol w:w="3735"/>
      </w:tblGrid>
      <w:tr w:rsidR="004E0A37" w:rsidRPr="004E0A37" w:rsidTr="00A47831">
        <w:tc>
          <w:tcPr>
            <w:tcW w:w="3418"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735"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كندا</w:t>
            </w:r>
          </w:p>
        </w:tc>
      </w:tr>
      <w:tr w:rsidR="004E0A37" w:rsidRPr="004E0A37" w:rsidTr="00A47831">
        <w:tc>
          <w:tcPr>
            <w:tcW w:w="3418" w:type="dxa"/>
            <w:tcBorders>
              <w:top w:val="single" w:sz="12" w:space="0" w:color="auto"/>
              <w:lef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735" w:type="dxa"/>
            <w:tcBorders>
              <w:top w:val="single" w:sz="12" w:space="0" w:color="auto"/>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14489">
              <w:rPr>
                <w:rFonts w:hint="cs"/>
                <w:b/>
                <w:bCs/>
                <w:i/>
                <w:iCs/>
                <w:spacing w:val="0"/>
                <w:sz w:val="20"/>
                <w:rtl/>
                <w:lang w:val="fr-CH"/>
              </w:rPr>
              <w:t>بوالي</w:t>
            </w:r>
            <w:r w:rsidR="00414489">
              <w:rPr>
                <w:rFonts w:hint="cs"/>
                <w:b/>
                <w:bCs/>
                <w:spacing w:val="0"/>
                <w:sz w:val="20"/>
                <w:rtl/>
                <w:lang w:val="fr-CH"/>
              </w:rPr>
              <w:t>، 327/2007</w:t>
            </w:r>
          </w:p>
        </w:tc>
      </w:tr>
      <w:tr w:rsidR="004E0A37" w:rsidRPr="004E0A37" w:rsidTr="00A47831">
        <w:tc>
          <w:tcPr>
            <w:tcW w:w="3418"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735"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14 تشرين الثاني/نوفمبر 2011</w:t>
            </w:r>
          </w:p>
        </w:tc>
      </w:tr>
      <w:tr w:rsidR="004E0A37" w:rsidRPr="004E0A37" w:rsidTr="00A47831">
        <w:tc>
          <w:tcPr>
            <w:tcW w:w="3418"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735"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 xml:space="preserve">المادتان 3 و22 </w:t>
            </w:r>
          </w:p>
        </w:tc>
      </w:tr>
      <w:tr w:rsidR="004E0A37" w:rsidRPr="004E0A37" w:rsidTr="00A47831">
        <w:tc>
          <w:tcPr>
            <w:tcW w:w="3418"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735"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طُلب من الدولة الطرف، عمل</w:t>
            </w:r>
            <w:r w:rsidR="0081655E">
              <w:rPr>
                <w:rFonts w:hint="cs"/>
                <w:spacing w:val="0"/>
                <w:sz w:val="20"/>
                <w:rtl/>
                <w:lang w:val="fr-CH"/>
              </w:rPr>
              <w:t xml:space="preserve">اً </w:t>
            </w:r>
            <w:r w:rsidRPr="004E0A37">
              <w:rPr>
                <w:rFonts w:hint="cs"/>
                <w:spacing w:val="0"/>
                <w:sz w:val="20"/>
                <w:rtl/>
                <w:lang w:val="fr-CH"/>
              </w:rPr>
              <w:t>بالتزاماتها بموجب المادة 14 من الاتفاقية، توفير انتصاف فعال، ولا سيما ما يلي: (أ) تعويض صاحب الشكوى على انتهاك حقوقه بموجب المادة 3؛ (ب) تقديم أعلى مستوى ممكن من إعادة التأهيل وذلك بسبل منها توفير الرعاية الطبية والنفسية وتقديم الخدمات الاجتماعية والمساعدة القانونية، بما في ذلك دفع تكاليف النفقات السابقة والخدمات اللاحقة والمصاريف القانونية؛ (ج) إعادة النظر في نظام الضمانات الدبلوماسية المتبع بغية تجنب الوقوع في انت</w:t>
            </w:r>
            <w:r w:rsidR="004A2C77">
              <w:rPr>
                <w:rFonts w:hint="cs"/>
                <w:spacing w:val="0"/>
                <w:sz w:val="20"/>
                <w:rtl/>
                <w:lang w:val="fr-CH"/>
              </w:rPr>
              <w:t>ه</w:t>
            </w:r>
            <w:r w:rsidRPr="004E0A37">
              <w:rPr>
                <w:rFonts w:hint="cs"/>
                <w:spacing w:val="0"/>
                <w:sz w:val="20"/>
                <w:rtl/>
                <w:lang w:val="fr-CH"/>
              </w:rPr>
              <w:t>اكات مماثلة مستقبل</w:t>
            </w:r>
            <w:r w:rsidR="006E1F60">
              <w:rPr>
                <w:rFonts w:hint="cs"/>
                <w:spacing w:val="0"/>
                <w:sz w:val="20"/>
                <w:rtl/>
                <w:lang w:val="fr-CH"/>
              </w:rPr>
              <w:t>اً.</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10 نيسان/أبريل 2012 أوضحت الدولة الطرف أن السيد بويلي قد حكمت عليه محكمة مكسيكية بالسجن 30 عام</w:t>
            </w:r>
            <w:r w:rsidR="0081655E">
              <w:rPr>
                <w:rFonts w:hint="cs"/>
                <w:spacing w:val="0"/>
                <w:sz w:val="20"/>
                <w:rtl/>
                <w:lang w:val="fr-CH"/>
              </w:rPr>
              <w:t xml:space="preserve">اً </w:t>
            </w:r>
            <w:r w:rsidRPr="004E0A37">
              <w:rPr>
                <w:rFonts w:hint="cs"/>
                <w:spacing w:val="0"/>
                <w:sz w:val="20"/>
                <w:rtl/>
                <w:lang w:val="fr-CH"/>
              </w:rPr>
              <w:t>لارتكابه جريمة قتل عمد وبالسجن 9 سنوات لفراره من الاحتجاز القانوني. وكان حُكم عليه من قبل في المكسيك بالسجن 14 عام</w:t>
            </w:r>
            <w:r w:rsidR="0081655E">
              <w:rPr>
                <w:rFonts w:hint="cs"/>
                <w:spacing w:val="0"/>
                <w:sz w:val="20"/>
                <w:rtl/>
                <w:lang w:val="fr-CH"/>
              </w:rPr>
              <w:t xml:space="preserve">اً </w:t>
            </w:r>
            <w:r w:rsidRPr="004E0A37">
              <w:rPr>
                <w:rFonts w:hint="cs"/>
                <w:spacing w:val="0"/>
                <w:sz w:val="20"/>
                <w:rtl/>
                <w:lang w:val="fr-CH"/>
              </w:rPr>
              <w:t>لتورطه في تجارة المارجوانا. وقدم دعوى تظلم أمام المحكمة الدستورية لتقليص الحكم الصادر في حقه.</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وصاحب الشكوى محتجز</w:t>
            </w:r>
            <w:r w:rsidR="003549AC">
              <w:rPr>
                <w:rFonts w:hint="cs"/>
                <w:spacing w:val="0"/>
                <w:sz w:val="20"/>
                <w:rtl/>
                <w:lang w:val="fr-CH"/>
              </w:rPr>
              <w:t xml:space="preserve"> حالياً </w:t>
            </w:r>
            <w:r w:rsidRPr="004E0A37">
              <w:rPr>
                <w:rFonts w:hint="cs"/>
                <w:spacing w:val="0"/>
                <w:sz w:val="20"/>
                <w:rtl/>
                <w:lang w:val="fr-CH"/>
              </w:rPr>
              <w:t>في المركز الاتحادي لإعادة التأهيل النفسي والاجتماعي الواقع في أيالا. وقد نُقل هناك في تشرين الأول/أكتوبر 2010، على إثر إجراء طبي شفي منه منذ أمد بعيد ولا علاقة له بالبلاغ.</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وأوضحت الدولة الطرف أنها مستمرة في توفير الخدمات القنصلية لصاحب الشكوى، بما فيها الز</w:t>
            </w:r>
            <w:r w:rsidR="00A87880" w:rsidRPr="004E0A37">
              <w:rPr>
                <w:rFonts w:hint="cs"/>
                <w:spacing w:val="0"/>
                <w:sz w:val="20"/>
                <w:rtl/>
                <w:lang w:val="fr-CH"/>
              </w:rPr>
              <w:t>ي</w:t>
            </w:r>
            <w:r w:rsidRPr="004E0A37">
              <w:rPr>
                <w:rFonts w:hint="cs"/>
                <w:spacing w:val="0"/>
                <w:sz w:val="20"/>
                <w:rtl/>
                <w:lang w:val="fr-CH"/>
              </w:rPr>
              <w:t xml:space="preserve">ارات القنصلية بشكل منتظم حسب الاقتضاء. فقد زاره مسؤولون قنصليون يوم 18 تشرين الثاني/نوفمبر 2011 ويوم 10 شباط/فبراير 2012. ولم يبلغ صاحب الشكوى أثناء هذه </w:t>
            </w:r>
            <w:r w:rsidR="00A87880">
              <w:rPr>
                <w:rFonts w:hint="cs"/>
                <w:spacing w:val="0"/>
                <w:sz w:val="20"/>
                <w:rtl/>
                <w:lang w:val="fr-CH"/>
              </w:rPr>
              <w:t>الزيارات</w:t>
            </w:r>
            <w:r w:rsidRPr="004E0A37">
              <w:rPr>
                <w:rFonts w:hint="cs"/>
                <w:spacing w:val="0"/>
                <w:sz w:val="20"/>
                <w:rtl/>
                <w:lang w:val="fr-CH"/>
              </w:rPr>
              <w:t xml:space="preserve"> عن أية مشكلة صحية وأعرب عن رضاه بمعاملة حراس المركز وبالطعام الذي يقدم له.</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وقد أُبلغ صاحب الشكوى بحقه في طلب نقله إلى كندا لإتمام ما تبقى من محكوميته بموجب معاهدة نقل الجناة والصك الدولي المتعلق بنقل الجناة. بيد أنه اختار، وفق ما أفادت الدولة الطرف، مواصلة الطعن في الحكم الصادر في حقه أمام المحاكم المكسيكية قبل طلب النقل.</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وأوضحت الدولة الطرف أن صاحب الشكوى يعمل في الوقت نفسه على مقاضاة حكومة كندا للحصول على تعويض نقدي على انتهاكها حقوقه، وهو ما وقع، حسب زعمه، بعد أسبوع واحد من تسليمه إلى المكسيك. وهذه الدعوى معروضة</w:t>
            </w:r>
            <w:r w:rsidR="003549AC">
              <w:rPr>
                <w:rFonts w:hint="cs"/>
                <w:spacing w:val="0"/>
                <w:sz w:val="20"/>
                <w:rtl/>
                <w:lang w:val="fr-CH"/>
              </w:rPr>
              <w:t xml:space="preserve"> حالياً </w:t>
            </w:r>
            <w:r w:rsidRPr="004E0A37">
              <w:rPr>
                <w:rFonts w:hint="cs"/>
                <w:spacing w:val="0"/>
                <w:sz w:val="20"/>
                <w:rtl/>
                <w:lang w:val="fr-CH"/>
              </w:rPr>
              <w:t xml:space="preserve">أمام المحكمة الاتحادية الكندية للنظر فيها. </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وأوضحت الدولة الطرف أنها ترفض الادعاءات التي قدمها صاحب الشكوى بموجب القانون المحلي وأنه لا نية لديها لدفع تعويض للسيد بويلي أو إعادة تأهيله.</w:t>
            </w:r>
          </w:p>
        </w:tc>
      </w:tr>
      <w:tr w:rsidR="004E0A37" w:rsidRPr="004E0A37" w:rsidTr="00A47831">
        <w:tc>
          <w:tcPr>
            <w:tcW w:w="7153" w:type="dxa"/>
            <w:gridSpan w:val="2"/>
            <w:tcBorders>
              <w:top w:val="nil"/>
              <w:left w:val="nil"/>
              <w:bottom w:val="nil"/>
              <w:right w:val="nil"/>
            </w:tcBorders>
            <w:shd w:val="clear" w:color="auto" w:fill="auto"/>
          </w:tcPr>
          <w:p w:rsidR="004E0A37" w:rsidRPr="00414489" w:rsidRDefault="004E0A37" w:rsidP="004E0A37">
            <w:pPr>
              <w:spacing w:before="60" w:after="60" w:line="340" w:lineRule="exact"/>
              <w:ind w:left="113" w:right="113"/>
              <w:rPr>
                <w:rFonts w:hint="cs"/>
                <w:spacing w:val="-2"/>
                <w:sz w:val="20"/>
                <w:rtl/>
                <w:lang w:val="fr-CH"/>
              </w:rPr>
            </w:pPr>
            <w:r w:rsidRPr="00414489">
              <w:rPr>
                <w:spacing w:val="-2"/>
                <w:sz w:val="20"/>
                <w:rtl/>
                <w:lang w:val="fr-CH"/>
              </w:rPr>
              <w:tab/>
            </w:r>
            <w:r w:rsidRPr="00414489">
              <w:rPr>
                <w:rFonts w:hint="cs"/>
                <w:spacing w:val="-2"/>
                <w:sz w:val="20"/>
                <w:rtl/>
                <w:lang w:val="fr-CH"/>
              </w:rPr>
              <w:t>وأوضحت الدولة الطرف أنها راجعت بعناية قرار اللجنة والطلب الموجه لها بإعادة النظر في نظام الضمانات الدبلوماسية الذي تتبعه بغية تجنب الوقوع في الانت</w:t>
            </w:r>
            <w:r w:rsidR="00A87880" w:rsidRPr="00414489">
              <w:rPr>
                <w:rFonts w:hint="cs"/>
                <w:spacing w:val="-2"/>
                <w:sz w:val="20"/>
                <w:rtl/>
                <w:lang w:val="fr-CH"/>
              </w:rPr>
              <w:t>ه</w:t>
            </w:r>
            <w:r w:rsidRPr="00414489">
              <w:rPr>
                <w:rFonts w:hint="cs"/>
                <w:spacing w:val="-2"/>
                <w:sz w:val="20"/>
                <w:rtl/>
                <w:lang w:val="fr-CH"/>
              </w:rPr>
              <w:t>اكات مستقبل</w:t>
            </w:r>
            <w:r w:rsidR="006E1F60">
              <w:rPr>
                <w:rFonts w:hint="cs"/>
                <w:spacing w:val="-2"/>
                <w:sz w:val="20"/>
                <w:rtl/>
                <w:lang w:val="fr-CH"/>
              </w:rPr>
              <w:t>اً.</w:t>
            </w:r>
            <w:r w:rsidRPr="00414489">
              <w:rPr>
                <w:rFonts w:hint="cs"/>
                <w:spacing w:val="-2"/>
                <w:sz w:val="20"/>
                <w:rtl/>
                <w:lang w:val="fr-CH"/>
              </w:rPr>
              <w:t xml:space="preserve"> ونظر</w:t>
            </w:r>
            <w:r w:rsidR="0081655E">
              <w:rPr>
                <w:rFonts w:hint="cs"/>
                <w:spacing w:val="-2"/>
                <w:sz w:val="20"/>
                <w:rtl/>
                <w:lang w:val="fr-CH"/>
              </w:rPr>
              <w:t xml:space="preserve">اً </w:t>
            </w:r>
            <w:r w:rsidRPr="00414489">
              <w:rPr>
                <w:rFonts w:hint="cs"/>
                <w:spacing w:val="-2"/>
                <w:sz w:val="20"/>
                <w:rtl/>
                <w:lang w:val="fr-CH"/>
              </w:rPr>
              <w:t xml:space="preserve">لوجود دعوى محلية يجري النظر فيها تتعلق بادعاءات صاحب الشكوى </w:t>
            </w:r>
            <w:r w:rsidRPr="00414489">
              <w:rPr>
                <w:spacing w:val="-2"/>
                <w:sz w:val="20"/>
                <w:rtl/>
                <w:lang w:val="fr-CH"/>
              </w:rPr>
              <w:t>-</w:t>
            </w:r>
            <w:r w:rsidRPr="00414489">
              <w:rPr>
                <w:rFonts w:hint="cs"/>
                <w:spacing w:val="-2"/>
                <w:sz w:val="20"/>
                <w:rtl/>
                <w:lang w:val="fr-CH"/>
              </w:rPr>
              <w:t xml:space="preserve"> بما في ذلك الادعاء بالقصور من جانب السلطات الكندية في رصد الضمانات الدبلوماسية المقدمة من المكسيك رصد</w:t>
            </w:r>
            <w:r w:rsidR="0081655E">
              <w:rPr>
                <w:rFonts w:hint="cs"/>
                <w:spacing w:val="-2"/>
                <w:sz w:val="20"/>
                <w:rtl/>
                <w:lang w:val="fr-CH"/>
              </w:rPr>
              <w:t xml:space="preserve">اً </w:t>
            </w:r>
            <w:r w:rsidRPr="00414489">
              <w:rPr>
                <w:rFonts w:hint="cs"/>
                <w:spacing w:val="-2"/>
                <w:sz w:val="20"/>
                <w:rtl/>
                <w:lang w:val="fr-CH"/>
              </w:rPr>
              <w:t>ملائم</w:t>
            </w:r>
            <w:r w:rsidR="0081655E">
              <w:rPr>
                <w:rFonts w:hint="cs"/>
                <w:spacing w:val="-2"/>
                <w:sz w:val="20"/>
                <w:rtl/>
                <w:lang w:val="fr-CH"/>
              </w:rPr>
              <w:t xml:space="preserve">اً </w:t>
            </w:r>
            <w:r w:rsidRPr="00414489">
              <w:rPr>
                <w:spacing w:val="-2"/>
                <w:sz w:val="20"/>
                <w:rtl/>
                <w:lang w:val="fr-CH"/>
              </w:rPr>
              <w:t>-</w:t>
            </w:r>
            <w:r w:rsidRPr="00414489">
              <w:rPr>
                <w:rFonts w:hint="cs"/>
                <w:spacing w:val="-2"/>
                <w:sz w:val="20"/>
                <w:rtl/>
                <w:lang w:val="fr-CH"/>
              </w:rPr>
              <w:t xml:space="preserve"> ترى الدولة الطرف أنه من غير المناسب تقديم ملاحظات عن الموضوع في الوقت الحاضر. واختتمت الدولة الطرف بإبلاغ اللجنة بأنها سوف تحيطها</w:t>
            </w:r>
            <w:r w:rsidR="003833F8" w:rsidRPr="00414489">
              <w:rPr>
                <w:rFonts w:hint="cs"/>
                <w:spacing w:val="-2"/>
                <w:sz w:val="20"/>
                <w:rtl/>
                <w:lang w:val="fr-CH"/>
              </w:rPr>
              <w:t xml:space="preserve"> علماً </w:t>
            </w:r>
            <w:r w:rsidRPr="00414489">
              <w:rPr>
                <w:rFonts w:hint="cs"/>
                <w:spacing w:val="-2"/>
                <w:sz w:val="20"/>
                <w:rtl/>
                <w:lang w:val="fr-CH"/>
              </w:rPr>
              <w:t>بالمستجدات المتعلقة بهذه القضية.</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 xml:space="preserve">وأحيلت رسالة الدولة الطرف إلى صاحب الشكوى في نيسان/أبريل 2012 للتعليق عليها. </w:t>
            </w:r>
          </w:p>
        </w:tc>
      </w:tr>
      <w:tr w:rsidR="004E0A37" w:rsidRPr="004E0A37" w:rsidTr="00542FAC">
        <w:tc>
          <w:tcPr>
            <w:tcW w:w="7153" w:type="dxa"/>
            <w:gridSpan w:val="2"/>
            <w:tcBorders>
              <w:top w:val="nil"/>
              <w:left w:val="nil"/>
              <w:bottom w:val="nil"/>
              <w:right w:val="nil"/>
            </w:tcBorders>
            <w:shd w:val="clear" w:color="auto" w:fill="auto"/>
          </w:tcPr>
          <w:p w:rsidR="004E0A37" w:rsidRPr="00414489" w:rsidRDefault="004E0A37" w:rsidP="004E0A37">
            <w:pPr>
              <w:spacing w:before="60" w:after="60" w:line="340" w:lineRule="exact"/>
              <w:ind w:left="113" w:right="113"/>
              <w:rPr>
                <w:rFonts w:hint="cs"/>
                <w:spacing w:val="-2"/>
                <w:sz w:val="20"/>
                <w:rtl/>
                <w:lang w:val="fr-CH"/>
              </w:rPr>
            </w:pPr>
            <w:r w:rsidRPr="00414489">
              <w:rPr>
                <w:spacing w:val="-2"/>
                <w:sz w:val="20"/>
                <w:rtl/>
                <w:lang w:val="fr-CH"/>
              </w:rPr>
              <w:tab/>
            </w:r>
            <w:r w:rsidRPr="00414489">
              <w:rPr>
                <w:rFonts w:hint="cs"/>
                <w:spacing w:val="-2"/>
                <w:sz w:val="20"/>
                <w:rtl/>
                <w:lang w:val="fr-CH"/>
              </w:rPr>
              <w:t>وقررت اللجنة، في دورتها الثامنة والأربعين، الانتظار إلى حين تلقي مزيد من المعلومات قبل اتخاذ قرار في الموضوع. وستعد رسالة تذكير لتوجيهها إلى صاحب الشكوى.</w:t>
            </w:r>
          </w:p>
        </w:tc>
      </w:tr>
      <w:tr w:rsidR="00414489" w:rsidRPr="004E0A37" w:rsidTr="00542FAC">
        <w:tc>
          <w:tcPr>
            <w:tcW w:w="7153" w:type="dxa"/>
            <w:gridSpan w:val="2"/>
            <w:tcBorders>
              <w:top w:val="nil"/>
              <w:left w:val="nil"/>
              <w:bottom w:val="single" w:sz="12" w:space="0" w:color="auto"/>
              <w:right w:val="nil"/>
            </w:tcBorders>
            <w:shd w:val="clear" w:color="auto" w:fill="auto"/>
          </w:tcPr>
          <w:p w:rsidR="00414489" w:rsidRPr="004E0A37" w:rsidRDefault="00414489" w:rsidP="004E0A37">
            <w:pPr>
              <w:spacing w:before="60" w:after="60" w:line="34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542FAC">
      <w:pPr>
        <w:pStyle w:val="SingleTxtGA"/>
        <w:rPr>
          <w:rFonts w:hint="cs"/>
          <w:rtl/>
          <w:lang w:val="fr-CH"/>
        </w:rPr>
      </w:pPr>
    </w:p>
    <w:tbl>
      <w:tblPr>
        <w:tblStyle w:val="TableGrid"/>
        <w:bidiVisual/>
        <w:tblW w:w="7153" w:type="dxa"/>
        <w:tblInd w:w="1253" w:type="dxa"/>
        <w:tblBorders>
          <w:bottom w:val="none" w:sz="0" w:space="0" w:color="auto"/>
          <w:insideH w:val="none" w:sz="0" w:space="0" w:color="auto"/>
          <w:insideV w:val="none" w:sz="0" w:space="0" w:color="auto"/>
        </w:tblBorders>
        <w:tblLayout w:type="fixed"/>
        <w:tblCellMar>
          <w:left w:w="0" w:type="dxa"/>
          <w:right w:w="0" w:type="dxa"/>
        </w:tblCellMar>
        <w:tblLook w:val="01E0"/>
      </w:tblPr>
      <w:tblGrid>
        <w:gridCol w:w="3887"/>
        <w:gridCol w:w="3266"/>
      </w:tblGrid>
      <w:tr w:rsidR="004E0A37" w:rsidRPr="004E0A37" w:rsidTr="00A47831">
        <w:tc>
          <w:tcPr>
            <w:tcW w:w="3887"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266"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المغرب</w:t>
            </w:r>
          </w:p>
        </w:tc>
      </w:tr>
      <w:tr w:rsidR="004E0A37" w:rsidRPr="004E0A37" w:rsidTr="00A47831">
        <w:tc>
          <w:tcPr>
            <w:tcW w:w="3887" w:type="dxa"/>
            <w:tcBorders>
              <w:top w:val="single" w:sz="12" w:space="0" w:color="auto"/>
              <w:lef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266" w:type="dxa"/>
            <w:tcBorders>
              <w:top w:val="single" w:sz="12" w:space="0" w:color="auto"/>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14489">
              <w:rPr>
                <w:rFonts w:hint="cs"/>
                <w:b/>
                <w:bCs/>
                <w:i/>
                <w:iCs/>
                <w:spacing w:val="0"/>
                <w:sz w:val="20"/>
                <w:rtl/>
                <w:lang w:val="fr-CH"/>
              </w:rPr>
              <w:t>كتيتي</w:t>
            </w:r>
            <w:r w:rsidRPr="004E0A37">
              <w:rPr>
                <w:rFonts w:hint="cs"/>
                <w:b/>
                <w:bCs/>
                <w:spacing w:val="0"/>
                <w:sz w:val="20"/>
                <w:rtl/>
                <w:lang w:val="fr-CH"/>
              </w:rPr>
              <w:t xml:space="preserve">، 419/2010 </w:t>
            </w:r>
          </w:p>
        </w:tc>
      </w:tr>
      <w:tr w:rsidR="004E0A37" w:rsidRPr="004E0A37" w:rsidTr="00A47831">
        <w:tc>
          <w:tcPr>
            <w:tcW w:w="3887"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266"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26 أيار/مايو 2011</w:t>
            </w:r>
          </w:p>
        </w:tc>
      </w:tr>
      <w:tr w:rsidR="004E0A37" w:rsidRPr="004E0A37" w:rsidTr="00A47831">
        <w:tc>
          <w:tcPr>
            <w:tcW w:w="3887"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266"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 xml:space="preserve">المادتان 3 و15 </w:t>
            </w:r>
          </w:p>
        </w:tc>
      </w:tr>
      <w:tr w:rsidR="004E0A37" w:rsidRPr="004E0A37" w:rsidTr="00A47831">
        <w:tc>
          <w:tcPr>
            <w:tcW w:w="3887"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266" w:type="dxa"/>
            <w:tcBorders>
              <w:top w:val="nil"/>
              <w:left w:val="nil"/>
              <w:right w:val="nil"/>
            </w:tcBorders>
            <w:shd w:val="clear" w:color="auto" w:fill="auto"/>
          </w:tcPr>
          <w:p w:rsidR="004E0A37" w:rsidRPr="00414489" w:rsidRDefault="004E0A37" w:rsidP="004E0A37">
            <w:pPr>
              <w:spacing w:before="60" w:after="60" w:line="340" w:lineRule="exact"/>
              <w:ind w:left="113" w:right="113"/>
              <w:rPr>
                <w:rFonts w:hint="cs"/>
                <w:spacing w:val="-4"/>
                <w:sz w:val="20"/>
                <w:rtl/>
                <w:lang w:val="fr-CH"/>
              </w:rPr>
            </w:pPr>
            <w:r w:rsidRPr="00414489">
              <w:rPr>
                <w:rFonts w:hint="cs"/>
                <w:spacing w:val="-4"/>
                <w:sz w:val="20"/>
                <w:rtl/>
                <w:lang w:val="fr-CH"/>
              </w:rPr>
              <w:t>عدم تسليم صاحب الشكوى إلى الجزائر</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13 أيلول/سبتمبر 2011، أبلغت الدولة الطرف اللجنة بأن سلطاتها قررت تسليم صاحب الشكوى إلى الجزائر.</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رسالة مؤرخة 16 أيلول/سبتمبر 2011، أرسلت الأمانة، بناءً على تعليمات من المقرر الخاص للجنة المعني بمتابعة الآراء، مذكرة شفوية إلى البعثة الدائمة للدولة الطرف في جنيف. وأُعلمت الدولة الطرف أن اللجنة أُطلعت على محتوى المذكرة الشفوية في 13 أيلول/سبتمبر</w:t>
            </w:r>
            <w:r w:rsidRPr="004E0A37">
              <w:rPr>
                <w:rFonts w:hint="eastAsia"/>
                <w:spacing w:val="0"/>
                <w:sz w:val="20"/>
                <w:rtl/>
                <w:lang w:val="fr-CH"/>
              </w:rPr>
              <w:t> </w:t>
            </w:r>
            <w:r w:rsidRPr="004E0A37">
              <w:rPr>
                <w:rFonts w:hint="cs"/>
                <w:spacing w:val="0"/>
                <w:sz w:val="20"/>
                <w:rtl/>
                <w:lang w:val="fr-CH"/>
              </w:rPr>
              <w:t>2011 وأن المقرر الخاص للجنة المعني بمتابعة الآراء أخطر الدولة الطرف بأنها ستنتهك التزاماتها بموجب المادة 3 من الاتفاقية في حال تسليم صاحب الشكوى، وأنها ستخلّ بذلك بالتزاماتها الدولية بالتعاون مع اللجنة عن حسن نية. وبالإشارة إلى قرار اللجنة المؤرخ 26 أيار/مايو 2011، بيَّن المقرر الخاص أن حظر التعذيب هو حظر مطلق ويمنع إعادة الأفراد إلى بلدان حيث يكون من المؤكد أنهم سيتعرضون بصورة شخصية وحقيقية لخطر التعذيب. ولاحظ المقرر الخاص كذلك أن اللجنة قد خلصت أيضاً إلى أن الدولة الطرف انتهكت أحكام المادة 15 من</w:t>
            </w:r>
            <w:r w:rsidRPr="004E0A37">
              <w:rPr>
                <w:rFonts w:hint="eastAsia"/>
                <w:spacing w:val="0"/>
                <w:sz w:val="20"/>
                <w:rtl/>
                <w:lang w:val="fr-CH"/>
              </w:rPr>
              <w:t> </w:t>
            </w:r>
            <w:r w:rsidRPr="004E0A37">
              <w:rPr>
                <w:rFonts w:hint="cs"/>
                <w:spacing w:val="0"/>
                <w:sz w:val="20"/>
                <w:rtl/>
                <w:lang w:val="fr-CH"/>
              </w:rPr>
              <w:t>الاتفاقية بالنظر إلى أن قرار الدولة الطرف تسليم صاحب الشكوى لا يقوم، من الناحية العملية، إلا على اعترافات طرف ثالث انتُزعت عن</w:t>
            </w:r>
            <w:r w:rsidRPr="004E0A37">
              <w:rPr>
                <w:rFonts w:hint="eastAsia"/>
                <w:spacing w:val="0"/>
                <w:sz w:val="20"/>
                <w:rtl/>
                <w:lang w:val="fr-CH"/>
              </w:rPr>
              <w:t> </w:t>
            </w:r>
            <w:r w:rsidRPr="004E0A37">
              <w:rPr>
                <w:rFonts w:hint="cs"/>
                <w:spacing w:val="0"/>
                <w:sz w:val="20"/>
                <w:rtl/>
                <w:lang w:val="fr-CH"/>
              </w:rPr>
              <w:t xml:space="preserve">طريق التعذيب في الجزائر. كما لاحظ المقرر الخاص أن قرار اللجنة اعتُمد بالإجماع عقب بحث متعمق لجميع عناصر القضية وملابساتها، استناداً إلى روح الاتفاقية. ثم أوضح المقرر الخاص أن مبدأ </w:t>
            </w:r>
            <w:r w:rsidRPr="004E0A37">
              <w:rPr>
                <w:rFonts w:hint="cs"/>
                <w:i/>
                <w:iCs/>
                <w:spacing w:val="0"/>
                <w:sz w:val="20"/>
                <w:rtl/>
                <w:lang w:val="fr-CH"/>
              </w:rPr>
              <w:t>عدم الإعادة القسرية</w:t>
            </w:r>
            <w:r w:rsidRPr="004E0A37">
              <w:rPr>
                <w:rFonts w:hint="cs"/>
                <w:spacing w:val="0"/>
                <w:sz w:val="20"/>
                <w:rtl/>
                <w:lang w:val="fr-CH"/>
              </w:rPr>
              <w:t xml:space="preserve"> يتسم، في رأي حقوقيين بارزين، بطابع القواعد الآمرة، وبذلك فإن الغرض منه هو منع التعذيب. ولا يمكن الوفاء بالتزام منع التعذيب فقط عن طريق الحصول على "ضمانات خطية" تتخذ شكل تعهدات بأن تشريعات الدولة الطرف في دولة الاستلام ستُحترم من أجل حماية حقوق الشخص الذي يتم تسليمه. وفي ضوء ما</w:t>
            </w:r>
            <w:r w:rsidRPr="004E0A37">
              <w:rPr>
                <w:rFonts w:hint="eastAsia"/>
                <w:spacing w:val="0"/>
                <w:sz w:val="20"/>
                <w:rtl/>
                <w:lang w:val="fr-CH"/>
              </w:rPr>
              <w:t> </w:t>
            </w:r>
            <w:r w:rsidRPr="004E0A37">
              <w:rPr>
                <w:rFonts w:hint="cs"/>
                <w:spacing w:val="0"/>
                <w:sz w:val="20"/>
                <w:rtl/>
                <w:lang w:val="fr-CH"/>
              </w:rPr>
              <w:t>تقدم، خلص المقرر الخاص إلى أن اللجنة</w:t>
            </w:r>
            <w:r w:rsidR="00335AC0">
              <w:rPr>
                <w:rFonts w:hint="cs"/>
                <w:spacing w:val="0"/>
                <w:sz w:val="20"/>
                <w:rtl/>
                <w:lang w:val="fr-CH"/>
              </w:rPr>
              <w:t xml:space="preserve"> لم </w:t>
            </w:r>
            <w:r w:rsidRPr="004E0A37">
              <w:rPr>
                <w:rFonts w:hint="cs"/>
                <w:spacing w:val="0"/>
                <w:sz w:val="20"/>
                <w:rtl/>
                <w:lang w:val="fr-CH"/>
              </w:rPr>
              <w:t>يكن بوسعها القبول بتسليم صاحب الشكوى. وأبلغ الدولة الطرف أيضاً بأن المسألة ستُناقَش خلال دورة اللجنة المقررة في تشرين الثاني/نوفمبر</w:t>
            </w:r>
            <w:r w:rsidRPr="004E0A37">
              <w:rPr>
                <w:rFonts w:hint="eastAsia"/>
                <w:spacing w:val="0"/>
                <w:sz w:val="20"/>
                <w:rtl/>
                <w:lang w:val="fr-CH"/>
              </w:rPr>
              <w:t> </w:t>
            </w:r>
            <w:r w:rsidRPr="004E0A37">
              <w:rPr>
                <w:rFonts w:hint="cs"/>
                <w:spacing w:val="0"/>
                <w:sz w:val="20"/>
                <w:rtl/>
                <w:lang w:val="fr-CH"/>
              </w:rPr>
              <w:t>2011.</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وبناءً على تعليمات المقرر الخاص للجنة المعني بمتابعة الآراء، وفي ضوء المعلومات الواردة </w:t>
            </w:r>
            <w:r w:rsidR="00F96B1E">
              <w:rPr>
                <w:rFonts w:hint="cs"/>
                <w:spacing w:val="0"/>
                <w:sz w:val="20"/>
                <w:rtl/>
                <w:lang w:val="fr-CH"/>
              </w:rPr>
              <w:t>فيما </w:t>
            </w:r>
            <w:r w:rsidRPr="004E0A37">
              <w:rPr>
                <w:rFonts w:hint="cs"/>
                <w:spacing w:val="0"/>
                <w:sz w:val="20"/>
                <w:rtl/>
                <w:lang w:val="fr-CH"/>
              </w:rPr>
              <w:t>يتعلق بإمكانية تسليم صاحب الشكوى، أرسلت الأمانة مذكرة شفوية أخرى في 7 تشرين الأول/أكتوبر 2011. وطُلب إلى الدولة الطرف بإلحاح أن تقدم معلومات محدَّثة عن الحالة الحقيقية لصاحب الشكوى وذُكِّرت بالتزاماتها بموجب المادة 3 من الاتفاقية.</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وأُثيرت المسألة خلال الحوار الذي أُجري في إطار بحث تقرير الدولة الطرف الأولي في الدورة السابعة والأربعين للجنة. وأوضحت السلطات المغربية أنها قررت تأجيل تسليم صاحب الشكوى.</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16 تشرين الثاني/نوفمبر 2011، أبلغ أقرباء صاحب الشكوى اللجنة بأن السيد كتيتي قد نُقل في 3 تشرين الثاني/نوفمبر 2011 من سجن سلا رقم 1 بالرباط إلى سجن سلا رقم</w:t>
            </w:r>
            <w:r w:rsidRPr="004E0A37">
              <w:rPr>
                <w:rFonts w:hint="eastAsia"/>
                <w:spacing w:val="0"/>
                <w:sz w:val="20"/>
                <w:rtl/>
                <w:lang w:val="fr-CH"/>
              </w:rPr>
              <w:t> </w:t>
            </w:r>
            <w:r w:rsidRPr="004E0A37">
              <w:rPr>
                <w:rFonts w:hint="cs"/>
                <w:spacing w:val="0"/>
                <w:sz w:val="20"/>
                <w:rtl/>
                <w:lang w:val="fr-CH"/>
              </w:rPr>
              <w:t>2، وهو سجن يودَع فيه عادةً، حسب التقارير الواردة، الأفراد المشتبه في ضلوعهم في عمليات إرهابية ويُعرَف، حسب أقرباء صاحب الشكوى، بقساوة ظروف الاحتجاز فيه. ويُذكَر، إضافة إلى ذلك، أن السيد كتيتي مودَع في الحبس الانفرادي. وطلب أقرباء صاحب الشكوى من اللجنة أن تطلب إلى الدولة الطرف موافاتها بمعلومات محدَّثة عن الوضع الحالي لصاحب الشكوى.</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28 كانون الأول/ديسمبر 2011، كرر أقرباء السيد كتيتي طلباتهم السابقة وألحوا على اللجنة التدخل في هذه القضية لاست</w:t>
            </w:r>
            <w:r w:rsidR="00A87880">
              <w:rPr>
                <w:rFonts w:hint="cs"/>
                <w:spacing w:val="0"/>
                <w:sz w:val="20"/>
                <w:rtl/>
                <w:lang w:val="fr-CH"/>
              </w:rPr>
              <w:t>م</w:t>
            </w:r>
            <w:r w:rsidRPr="004E0A37">
              <w:rPr>
                <w:rFonts w:hint="cs"/>
                <w:spacing w:val="0"/>
                <w:sz w:val="20"/>
                <w:rtl/>
                <w:lang w:val="fr-CH"/>
              </w:rPr>
              <w:t>رار احتجاز صاحب الشكوى.</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24 شباط/فبراير 2012، أبلغت الدولة الطرف اللجنة أن المرسوم</w:t>
            </w:r>
            <w:r w:rsidR="00414489">
              <w:rPr>
                <w:rFonts w:hint="cs"/>
                <w:spacing w:val="0"/>
                <w:sz w:val="20"/>
                <w:rtl/>
                <w:lang w:val="fr-CH"/>
              </w:rPr>
              <w:t xml:space="preserve">            </w:t>
            </w:r>
            <w:r w:rsidRPr="004E0A37">
              <w:rPr>
                <w:rFonts w:hint="cs"/>
                <w:spacing w:val="0"/>
                <w:sz w:val="20"/>
                <w:rtl/>
                <w:lang w:val="fr-CH"/>
              </w:rPr>
              <w:t xml:space="preserve"> رقم 2-10-001 المؤرخ 25 آذار/مارس 2010 بتسليم صاحب الشكوى إلى الجزائر قد ألغي بقرار من الحكومة المغربية (المرسوم رقم 12-12-13 الصادر في كانون الثاني/</w:t>
            </w:r>
            <w:r w:rsidR="00414489">
              <w:rPr>
                <w:rFonts w:hint="cs"/>
                <w:spacing w:val="0"/>
                <w:sz w:val="20"/>
                <w:rtl/>
                <w:lang w:val="fr-CH"/>
              </w:rPr>
              <w:t xml:space="preserve">     </w:t>
            </w:r>
            <w:r w:rsidRPr="004E0A37">
              <w:rPr>
                <w:rFonts w:hint="cs"/>
                <w:spacing w:val="0"/>
                <w:sz w:val="20"/>
                <w:rtl/>
                <w:lang w:val="fr-CH"/>
              </w:rPr>
              <w:t>يناير 2012)، وأن السيد كتيتي قد أفرج عنه في 2 شباط/فبراير 2012.</w:t>
            </w:r>
          </w:p>
        </w:tc>
      </w:tr>
      <w:tr w:rsidR="004E0A37" w:rsidRPr="004E0A37" w:rsidTr="00A47831">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 xml:space="preserve">وأُرسلت ملاحظات الدولة الطرف إلى صاحب الشكوى للتعليق عليها (آخر أجل للرد هو 18 أيار/مايو 2012). </w:t>
            </w:r>
          </w:p>
        </w:tc>
      </w:tr>
      <w:tr w:rsidR="004E0A37" w:rsidRPr="004E0A37" w:rsidTr="00542FAC">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الانتظار إلى حين تلقي مزيد من المعلومات قبل اتخاذ قرار في الموضوع. وستعد اللجنة رسالة تذكير لتوجيهها إلى صاحب الشكوى.</w:t>
            </w:r>
          </w:p>
        </w:tc>
      </w:tr>
      <w:tr w:rsidR="00414489" w:rsidRPr="004E0A37" w:rsidTr="00542FAC">
        <w:tc>
          <w:tcPr>
            <w:tcW w:w="7153" w:type="dxa"/>
            <w:gridSpan w:val="2"/>
            <w:tcBorders>
              <w:top w:val="nil"/>
              <w:left w:val="nil"/>
              <w:bottom w:val="single" w:sz="12" w:space="0" w:color="auto"/>
              <w:right w:val="nil"/>
            </w:tcBorders>
            <w:shd w:val="clear" w:color="auto" w:fill="auto"/>
          </w:tcPr>
          <w:p w:rsidR="00414489" w:rsidRPr="004E0A37" w:rsidRDefault="00414489" w:rsidP="004E0A37">
            <w:pPr>
              <w:spacing w:before="60" w:after="60" w:line="34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Default="004E0A37" w:rsidP="004E0A37">
      <w:pPr>
        <w:pStyle w:val="SingleTxtGA"/>
        <w:jc w:val="lowKashida"/>
        <w:rPr>
          <w:rFonts w:hint="cs"/>
          <w:spacing w:val="0"/>
          <w:sz w:val="20"/>
          <w:rtl/>
        </w:rPr>
      </w:pPr>
    </w:p>
    <w:p w:rsidR="00414489" w:rsidRPr="004E0A37" w:rsidRDefault="00414489" w:rsidP="004E0A37">
      <w:pPr>
        <w:pStyle w:val="SingleTxtGA"/>
        <w:jc w:val="lowKashida"/>
        <w:rPr>
          <w:rFonts w:hint="cs"/>
          <w:spacing w:val="0"/>
          <w:sz w:val="20"/>
          <w:rtl/>
        </w:rPr>
      </w:pPr>
    </w:p>
    <w:tbl>
      <w:tblPr>
        <w:tblStyle w:val="TableGrid"/>
        <w:bidiVisual/>
        <w:tblW w:w="7153" w:type="dxa"/>
        <w:tblInd w:w="1253" w:type="dxa"/>
        <w:tblBorders>
          <w:bottom w:val="none" w:sz="0" w:space="0" w:color="auto"/>
          <w:insideH w:val="none" w:sz="0" w:space="0" w:color="auto"/>
          <w:insideV w:val="none" w:sz="0" w:space="0" w:color="auto"/>
        </w:tblBorders>
        <w:tblLayout w:type="fixed"/>
        <w:tblCellMar>
          <w:left w:w="0" w:type="dxa"/>
          <w:right w:w="0" w:type="dxa"/>
        </w:tblCellMar>
        <w:tblLook w:val="01E0"/>
      </w:tblPr>
      <w:tblGrid>
        <w:gridCol w:w="3490"/>
        <w:gridCol w:w="3663"/>
      </w:tblGrid>
      <w:tr w:rsidR="004E0A37" w:rsidRPr="004E0A37" w:rsidTr="00A47831">
        <w:tc>
          <w:tcPr>
            <w:tcW w:w="3490"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المغرب</w:t>
            </w:r>
          </w:p>
        </w:tc>
      </w:tr>
      <w:tr w:rsidR="004E0A37" w:rsidRPr="004E0A37" w:rsidTr="00A47831">
        <w:tc>
          <w:tcPr>
            <w:tcW w:w="3490" w:type="dxa"/>
            <w:tcBorders>
              <w:top w:val="single" w:sz="12" w:space="0" w:color="auto"/>
              <w:lef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663" w:type="dxa"/>
            <w:tcBorders>
              <w:top w:val="single" w:sz="12" w:space="0" w:color="auto"/>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14489">
              <w:rPr>
                <w:rFonts w:hint="cs"/>
                <w:b/>
                <w:bCs/>
                <w:i/>
                <w:iCs/>
                <w:spacing w:val="0"/>
                <w:sz w:val="20"/>
                <w:rtl/>
                <w:lang w:val="fr-CH"/>
              </w:rPr>
              <w:t>كاليتشينكو</w:t>
            </w:r>
            <w:r w:rsidRPr="004E0A37">
              <w:rPr>
                <w:rFonts w:hint="cs"/>
                <w:b/>
                <w:bCs/>
                <w:spacing w:val="0"/>
                <w:sz w:val="20"/>
                <w:rtl/>
                <w:lang w:val="fr-CH"/>
              </w:rPr>
              <w:t xml:space="preserve">، 428/2010 </w:t>
            </w:r>
          </w:p>
        </w:tc>
      </w:tr>
      <w:tr w:rsidR="004E0A37" w:rsidRPr="004E0A37" w:rsidTr="00A47831">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25 تشرين الثاني/نوفمبر 2011</w:t>
            </w:r>
          </w:p>
        </w:tc>
      </w:tr>
      <w:tr w:rsidR="004E0A37" w:rsidRPr="004E0A37" w:rsidTr="00A47831">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المادتان 3 و22 (سبق تسليم صاحب الشكوى إلى الاتحاد الروسي)</w:t>
            </w:r>
          </w:p>
        </w:tc>
      </w:tr>
      <w:tr w:rsidR="004E0A37" w:rsidRPr="004E0A37" w:rsidTr="00A47831">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طُلب من الدولة الطرف بإلحاح تقديم الجبر لصاحب الشكوى، بما في ذلك التعويض وإيجاد آلية فعالة للمتابعة بما يضمن عدم تعرض صاحب الشكوى للتعذيب أو لسوء المعاملة. وأحاطت اللجنة</w:t>
            </w:r>
            <w:r w:rsidR="003833F8">
              <w:rPr>
                <w:rFonts w:hint="cs"/>
                <w:spacing w:val="0"/>
                <w:sz w:val="20"/>
                <w:rtl/>
                <w:lang w:val="fr-CH"/>
              </w:rPr>
              <w:t xml:space="preserve"> علماً </w:t>
            </w:r>
            <w:r w:rsidRPr="004E0A37">
              <w:rPr>
                <w:rFonts w:hint="cs"/>
                <w:spacing w:val="0"/>
                <w:sz w:val="20"/>
                <w:rtl/>
                <w:lang w:val="fr-CH"/>
              </w:rPr>
              <w:t>بأن سلطات الاتحاد الروسي تعهدت بالسماح للجنة بزيارة صاحب الشكوى في السجن والتحدث معه على انفراد،</w:t>
            </w:r>
            <w:r w:rsidR="00B345DB">
              <w:rPr>
                <w:rFonts w:hint="cs"/>
                <w:spacing w:val="0"/>
                <w:sz w:val="20"/>
                <w:rtl/>
                <w:lang w:val="fr-CH"/>
              </w:rPr>
              <w:t xml:space="preserve"> وفقاً </w:t>
            </w:r>
            <w:r w:rsidRPr="004E0A37">
              <w:rPr>
                <w:rFonts w:hint="cs"/>
                <w:spacing w:val="0"/>
                <w:sz w:val="20"/>
                <w:rtl/>
                <w:lang w:val="fr-CH"/>
              </w:rPr>
              <w:t>للمعايير الدولية. ورحبت اللجنة بهذا التعهد وطلبت من الدولة الطرف تسهيل زيارة عضوين من اللجنة لصاحب الشكوى.</w:t>
            </w:r>
          </w:p>
        </w:tc>
      </w:tr>
      <w:tr w:rsidR="004E0A37" w:rsidRPr="004E0A37" w:rsidTr="00A47831">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في 8 شباط/فبراير 2012، أبلغت الدولة الطرف اللجنة بأن السلطات الروسية أبلغتها باستعداد مكتب المدعي العام للاتحاد الروسي للتقيّد الصارم بالضمانات المقدمة للدولة المغربية </w:t>
            </w:r>
            <w:r w:rsidR="00F96B1E">
              <w:rPr>
                <w:rFonts w:hint="cs"/>
                <w:spacing w:val="0"/>
                <w:sz w:val="20"/>
                <w:rtl/>
                <w:lang w:val="fr-CH"/>
              </w:rPr>
              <w:t>فيما </w:t>
            </w:r>
            <w:r w:rsidRPr="004E0A37">
              <w:rPr>
                <w:rFonts w:hint="cs"/>
                <w:spacing w:val="0"/>
                <w:sz w:val="20"/>
                <w:rtl/>
                <w:lang w:val="fr-CH"/>
              </w:rPr>
              <w:t>يتعلق بتمكين اللجنة من زيارة صاحب الشكوى في مكان احتجازه ومقابلته على نحو سري في حجرة مغلقة ودون حضور شخص ثالث.</w:t>
            </w:r>
          </w:p>
        </w:tc>
      </w:tr>
      <w:tr w:rsidR="004E0A37" w:rsidRPr="004E0A37" w:rsidTr="00542FAC">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وقررت اللجنة، في دورتها الثامنة والأربعين، طلب مزيد من المعلومات من الدولة الطرف </w:t>
            </w:r>
            <w:r w:rsidR="00F96B1E">
              <w:rPr>
                <w:rFonts w:hint="cs"/>
                <w:spacing w:val="0"/>
                <w:sz w:val="20"/>
                <w:rtl/>
                <w:lang w:val="fr-CH"/>
              </w:rPr>
              <w:t>فيما </w:t>
            </w:r>
            <w:r w:rsidRPr="004E0A37">
              <w:rPr>
                <w:rFonts w:hint="cs"/>
                <w:spacing w:val="0"/>
                <w:sz w:val="20"/>
                <w:rtl/>
                <w:lang w:val="fr-CH"/>
              </w:rPr>
              <w:t>يتعلق بالحالة الراهنة لصاحب الشكوى وكذلك بشأن الآلية المتبعة لرصد حالة صاحب الشكوى رصد</w:t>
            </w:r>
            <w:r w:rsidR="0081655E">
              <w:rPr>
                <w:rFonts w:hint="cs"/>
                <w:spacing w:val="0"/>
                <w:sz w:val="20"/>
                <w:rtl/>
                <w:lang w:val="fr-CH"/>
              </w:rPr>
              <w:t xml:space="preserve">اً </w:t>
            </w:r>
            <w:r w:rsidRPr="004E0A37">
              <w:rPr>
                <w:rFonts w:hint="cs"/>
                <w:spacing w:val="0"/>
                <w:sz w:val="20"/>
                <w:rtl/>
                <w:lang w:val="fr-CH"/>
              </w:rPr>
              <w:t>منهجي</w:t>
            </w:r>
            <w:r w:rsidR="006E1F60">
              <w:rPr>
                <w:rFonts w:hint="cs"/>
                <w:spacing w:val="0"/>
                <w:sz w:val="20"/>
                <w:rtl/>
                <w:lang w:val="fr-CH"/>
              </w:rPr>
              <w:t>اً.</w:t>
            </w:r>
            <w:r w:rsidRPr="004E0A37">
              <w:rPr>
                <w:rFonts w:hint="cs"/>
                <w:spacing w:val="0"/>
                <w:sz w:val="20"/>
                <w:rtl/>
                <w:lang w:val="fr-CH"/>
              </w:rPr>
              <w:t xml:space="preserve"> وعليه قررت اللجنة انتظار تلقي مزيد من المعلومات قبل اتخاذ قرار في المسألة.</w:t>
            </w:r>
          </w:p>
        </w:tc>
      </w:tr>
      <w:tr w:rsidR="00414489" w:rsidRPr="004E0A37" w:rsidTr="00542FAC">
        <w:tc>
          <w:tcPr>
            <w:tcW w:w="7153" w:type="dxa"/>
            <w:gridSpan w:val="2"/>
            <w:tcBorders>
              <w:top w:val="nil"/>
              <w:left w:val="nil"/>
              <w:bottom w:val="single" w:sz="12" w:space="0" w:color="auto"/>
              <w:right w:val="nil"/>
            </w:tcBorders>
            <w:shd w:val="clear" w:color="auto" w:fill="auto"/>
          </w:tcPr>
          <w:p w:rsidR="00414489" w:rsidRPr="004E0A37" w:rsidRDefault="00414489" w:rsidP="004E0A37">
            <w:pPr>
              <w:spacing w:before="60" w:after="60" w:line="34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4E0A37">
      <w:pPr>
        <w:pStyle w:val="SingleTxtGA"/>
        <w:jc w:val="lowKashida"/>
        <w:rPr>
          <w:rFonts w:hint="cs"/>
          <w:spacing w:val="0"/>
          <w:sz w:val="20"/>
          <w:rtl/>
        </w:rPr>
      </w:pPr>
    </w:p>
    <w:tbl>
      <w:tblPr>
        <w:tblStyle w:val="TableGrid"/>
        <w:bidiVisual/>
        <w:tblW w:w="7153" w:type="dxa"/>
        <w:tblInd w:w="1253" w:type="dxa"/>
        <w:tblBorders>
          <w:bottom w:val="none" w:sz="0" w:space="0" w:color="auto"/>
          <w:insideH w:val="none" w:sz="0" w:space="0" w:color="auto"/>
          <w:insideV w:val="none" w:sz="0" w:space="0" w:color="auto"/>
        </w:tblBorders>
        <w:tblLayout w:type="fixed"/>
        <w:tblCellMar>
          <w:left w:w="0" w:type="dxa"/>
          <w:right w:w="0" w:type="dxa"/>
        </w:tblCellMar>
        <w:tblLook w:val="01E0"/>
      </w:tblPr>
      <w:tblGrid>
        <w:gridCol w:w="3490"/>
        <w:gridCol w:w="3663"/>
      </w:tblGrid>
      <w:tr w:rsidR="004E0A37" w:rsidRPr="004E0A37" w:rsidTr="00896EDE">
        <w:tc>
          <w:tcPr>
            <w:tcW w:w="3490"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النرويج</w:t>
            </w:r>
          </w:p>
        </w:tc>
      </w:tr>
      <w:tr w:rsidR="004E0A37" w:rsidRPr="004E0A37" w:rsidTr="00896EDE">
        <w:tc>
          <w:tcPr>
            <w:tcW w:w="3490" w:type="dxa"/>
            <w:tcBorders>
              <w:top w:val="single" w:sz="12" w:space="0" w:color="auto"/>
              <w:lef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663" w:type="dxa"/>
            <w:tcBorders>
              <w:top w:val="single" w:sz="12" w:space="0" w:color="auto"/>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14489">
              <w:rPr>
                <w:rFonts w:hint="cs"/>
                <w:b/>
                <w:bCs/>
                <w:i/>
                <w:iCs/>
                <w:spacing w:val="0"/>
                <w:sz w:val="20"/>
                <w:rtl/>
                <w:lang w:val="fr-CH"/>
              </w:rPr>
              <w:t>إفتخاري</w:t>
            </w:r>
            <w:r w:rsidRPr="004E0A37">
              <w:rPr>
                <w:rFonts w:hint="cs"/>
                <w:b/>
                <w:bCs/>
                <w:spacing w:val="0"/>
                <w:sz w:val="20"/>
                <w:rtl/>
                <w:lang w:val="fr-CH"/>
              </w:rPr>
              <w:t xml:space="preserve">، 312/2006 </w:t>
            </w:r>
          </w:p>
        </w:tc>
      </w:tr>
      <w:tr w:rsidR="004E0A37" w:rsidRPr="004E0A37" w:rsidTr="00896EDE">
        <w:tc>
          <w:tcPr>
            <w:tcW w:w="3490" w:type="dxa"/>
            <w:tcBorders>
              <w:top w:val="nil"/>
              <w:left w:val="nil"/>
              <w:right w:val="nil"/>
            </w:tcBorders>
            <w:shd w:val="clear" w:color="auto" w:fill="auto"/>
          </w:tcPr>
          <w:p w:rsidR="004E0A37" w:rsidRPr="004E0A37" w:rsidRDefault="00414489" w:rsidP="004E0A37">
            <w:pPr>
              <w:spacing w:before="60" w:after="60" w:line="340" w:lineRule="exact"/>
              <w:ind w:left="113" w:right="113"/>
              <w:rPr>
                <w:rFonts w:hint="cs"/>
                <w:b/>
                <w:bCs/>
                <w:spacing w:val="0"/>
                <w:sz w:val="20"/>
                <w:rtl/>
                <w:lang w:val="fr-CH"/>
              </w:rPr>
            </w:pPr>
            <w:r>
              <w:rPr>
                <w:rFonts w:hint="cs"/>
                <w:b/>
                <w:bCs/>
                <w:spacing w:val="0"/>
                <w:sz w:val="20"/>
                <w:rtl/>
                <w:lang w:val="fr-CH"/>
              </w:rPr>
              <w:t>آراء معتمدة في</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25 تشرين الثاني/نوفمبر 2011</w:t>
            </w:r>
          </w:p>
        </w:tc>
      </w:tr>
      <w:tr w:rsidR="004E0A37" w:rsidRPr="004E0A37" w:rsidTr="00896EDE">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663"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 xml:space="preserve">المادة 3 </w:t>
            </w:r>
          </w:p>
        </w:tc>
      </w:tr>
      <w:tr w:rsidR="004E0A37" w:rsidRPr="004E0A37" w:rsidTr="00896EDE">
        <w:tc>
          <w:tcPr>
            <w:tcW w:w="3490" w:type="dxa"/>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663" w:type="dxa"/>
            <w:tcBorders>
              <w:top w:val="nil"/>
              <w:left w:val="nil"/>
              <w:right w:val="nil"/>
            </w:tcBorders>
            <w:shd w:val="clear" w:color="auto" w:fill="auto"/>
          </w:tcPr>
          <w:p w:rsidR="004E0A37" w:rsidRPr="00414489" w:rsidRDefault="004E0A37" w:rsidP="004E0A37">
            <w:pPr>
              <w:spacing w:before="60" w:after="60" w:line="340" w:lineRule="exact"/>
              <w:ind w:left="113" w:right="113"/>
              <w:rPr>
                <w:rFonts w:hint="cs"/>
                <w:spacing w:val="-6"/>
                <w:sz w:val="20"/>
                <w:rtl/>
                <w:lang w:val="fr-CH"/>
              </w:rPr>
            </w:pPr>
            <w:r w:rsidRPr="00414489">
              <w:rPr>
                <w:rFonts w:hint="cs"/>
                <w:spacing w:val="-6"/>
                <w:sz w:val="20"/>
                <w:rtl/>
                <w:lang w:val="fr-CH"/>
              </w:rPr>
              <w:t>طلبت اللجنة من الدولة الطرف عدم طرد صاحب الشكوى إلى جمهورية إيران الإسلامية.</w:t>
            </w:r>
          </w:p>
        </w:tc>
      </w:tr>
      <w:tr w:rsidR="004E0A37" w:rsidRPr="004E0A37" w:rsidTr="00896EDE">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في 23 شباط/فبراير 2012، أبلغت الدولة الطرف اللجنة بأن </w:t>
            </w:r>
            <w:r w:rsidRPr="004E0A37">
              <w:rPr>
                <w:rFonts w:hint="cs"/>
                <w:spacing w:val="0"/>
                <w:sz w:val="20"/>
                <w:rtl/>
                <w:lang/>
              </w:rPr>
              <w:t>مجلس طعون الهجرة النرويجي</w:t>
            </w:r>
            <w:r w:rsidRPr="004E0A37">
              <w:rPr>
                <w:rFonts w:hint="cs"/>
                <w:spacing w:val="0"/>
                <w:sz w:val="20"/>
                <w:rtl/>
                <w:lang w:val="fr-CH"/>
              </w:rPr>
              <w:t>، وعقب اتخاذ اللجنة قرارها، قد أعاد فتح ملف قضية صاحب الشكوى وأن صاحب الشكوى قد منح، في 13 كانون الثاني/يناير 2012، ترخيص</w:t>
            </w:r>
            <w:r w:rsidR="0081655E">
              <w:rPr>
                <w:rFonts w:hint="cs"/>
                <w:spacing w:val="0"/>
                <w:sz w:val="20"/>
                <w:rtl/>
                <w:lang w:val="fr-CH"/>
              </w:rPr>
              <w:t xml:space="preserve">اً </w:t>
            </w:r>
            <w:r w:rsidRPr="004E0A37">
              <w:rPr>
                <w:rFonts w:hint="cs"/>
                <w:spacing w:val="0"/>
                <w:sz w:val="20"/>
                <w:rtl/>
                <w:lang w:val="fr-CH"/>
              </w:rPr>
              <w:t>بالبقاء في انتظار البت في استئنافه. وقد تقرر عقد جلسة استماع في 13 آذار/مارس 2012، وسيوف يكون بوسع صاحب الشكوى عرض قضيته.</w:t>
            </w:r>
          </w:p>
        </w:tc>
      </w:tr>
      <w:tr w:rsidR="004E0A37" w:rsidRPr="004E0A37" w:rsidTr="00896EDE">
        <w:tc>
          <w:tcPr>
            <w:tcW w:w="7153" w:type="dxa"/>
            <w:gridSpan w:val="2"/>
            <w:tcBorders>
              <w:top w:val="nil"/>
              <w:left w:val="nil"/>
              <w:right w:val="nil"/>
            </w:tcBorders>
            <w:shd w:val="clear" w:color="auto" w:fill="auto"/>
          </w:tcPr>
          <w:p w:rsidR="004E0A37" w:rsidRPr="004E0A37" w:rsidRDefault="004E0A37" w:rsidP="004E0A37">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وأُرسلت المعلومات الواردة من الدولة الطرف إلى صاحب الشكوى في 23 آذار/مارس 2012 للتعليق عليها.</w:t>
            </w:r>
          </w:p>
        </w:tc>
      </w:tr>
      <w:tr w:rsidR="004E0A37" w:rsidRPr="004E0A37" w:rsidTr="00542FAC">
        <w:tc>
          <w:tcPr>
            <w:tcW w:w="7153" w:type="dxa"/>
            <w:gridSpan w:val="2"/>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انتظار تلقي مزيد من المعلومات قبل اتخاذ قرار في المسألة.</w:t>
            </w:r>
          </w:p>
        </w:tc>
      </w:tr>
      <w:tr w:rsidR="00414489" w:rsidRPr="004E0A37" w:rsidTr="00542FAC">
        <w:tc>
          <w:tcPr>
            <w:tcW w:w="7153" w:type="dxa"/>
            <w:gridSpan w:val="2"/>
            <w:tcBorders>
              <w:top w:val="nil"/>
              <w:left w:val="nil"/>
              <w:bottom w:val="single" w:sz="12" w:space="0" w:color="auto"/>
              <w:right w:val="nil"/>
            </w:tcBorders>
            <w:shd w:val="clear" w:color="auto" w:fill="auto"/>
          </w:tcPr>
          <w:p w:rsidR="00414489" w:rsidRPr="004E0A37" w:rsidRDefault="00414489" w:rsidP="004E0A37">
            <w:pPr>
              <w:spacing w:before="60" w:after="60" w:line="34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4E0A37">
      <w:pPr>
        <w:pStyle w:val="SingleTxtGA"/>
        <w:jc w:val="lowKashida"/>
        <w:rPr>
          <w:rFonts w:hint="cs"/>
          <w:spacing w:val="0"/>
          <w:sz w:val="20"/>
          <w:rtl/>
        </w:rPr>
      </w:pPr>
    </w:p>
    <w:tbl>
      <w:tblPr>
        <w:tblStyle w:val="TableGrid"/>
        <w:bidiVisual/>
        <w:tblW w:w="7153" w:type="dxa"/>
        <w:tblInd w:w="1253" w:type="dxa"/>
        <w:tblBorders>
          <w:insideH w:val="none" w:sz="0" w:space="0" w:color="auto"/>
          <w:insideV w:val="none" w:sz="0" w:space="0" w:color="auto"/>
        </w:tblBorders>
        <w:tblLayout w:type="fixed"/>
        <w:tblCellMar>
          <w:left w:w="0" w:type="dxa"/>
          <w:right w:w="0" w:type="dxa"/>
        </w:tblCellMar>
        <w:tblLook w:val="01E0"/>
      </w:tblPr>
      <w:tblGrid>
        <w:gridCol w:w="3390"/>
        <w:gridCol w:w="3763"/>
      </w:tblGrid>
      <w:tr w:rsidR="004E0A37" w:rsidRPr="004E0A37" w:rsidTr="00896EDE">
        <w:tc>
          <w:tcPr>
            <w:tcW w:w="3390" w:type="dxa"/>
            <w:tcBorders>
              <w:top w:val="single" w:sz="4" w:space="0" w:color="auto"/>
              <w:left w:val="nil"/>
              <w:bottom w:val="single" w:sz="12" w:space="0" w:color="auto"/>
            </w:tcBorders>
            <w:shd w:val="clear" w:color="auto" w:fill="auto"/>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763" w:type="dxa"/>
            <w:tcBorders>
              <w:top w:val="single" w:sz="4" w:space="0" w:color="auto"/>
              <w:bottom w:val="single" w:sz="12" w:space="0" w:color="auto"/>
              <w:right w:val="nil"/>
            </w:tcBorders>
            <w:shd w:val="clear" w:color="auto" w:fill="auto"/>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السنغال</w:t>
            </w:r>
          </w:p>
        </w:tc>
      </w:tr>
      <w:tr w:rsidR="004E0A37" w:rsidRPr="004E0A37" w:rsidTr="00896EDE">
        <w:tc>
          <w:tcPr>
            <w:tcW w:w="3390" w:type="dxa"/>
            <w:tcBorders>
              <w:top w:val="single" w:sz="12" w:space="0" w:color="auto"/>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763" w:type="dxa"/>
            <w:tcBorders>
              <w:top w:val="single" w:sz="12" w:space="0" w:color="auto"/>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14489">
              <w:rPr>
                <w:rFonts w:hint="cs"/>
                <w:b/>
                <w:bCs/>
                <w:i/>
                <w:iCs/>
                <w:spacing w:val="0"/>
                <w:sz w:val="20"/>
                <w:rtl/>
                <w:lang w:val="fr-CH"/>
              </w:rPr>
              <w:t>غينغينغ وآخرون</w:t>
            </w:r>
            <w:r w:rsidRPr="004E0A37">
              <w:rPr>
                <w:rFonts w:hint="cs"/>
                <w:b/>
                <w:bCs/>
                <w:spacing w:val="0"/>
                <w:sz w:val="20"/>
                <w:rtl/>
                <w:lang w:val="fr-CH"/>
              </w:rPr>
              <w:t>، 181/2001</w:t>
            </w:r>
          </w:p>
        </w:tc>
      </w:tr>
      <w:tr w:rsidR="004E0A37" w:rsidRPr="004E0A37" w:rsidTr="00896EDE">
        <w:tc>
          <w:tcPr>
            <w:tcW w:w="3390"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763"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17 أيار/مايو 2006</w:t>
            </w:r>
          </w:p>
        </w:tc>
      </w:tr>
      <w:tr w:rsidR="004E0A37" w:rsidRPr="004E0A37" w:rsidTr="00896EDE">
        <w:tc>
          <w:tcPr>
            <w:tcW w:w="3390" w:type="dxa"/>
            <w:tcBorders>
              <w:top w:val="nil"/>
              <w:left w:val="nil"/>
              <w:bottom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763" w:type="dxa"/>
            <w:tcBorders>
              <w:top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الفقرة 2 من المادة 5، والمادة 7</w:t>
            </w:r>
          </w:p>
        </w:tc>
      </w:tr>
      <w:tr w:rsidR="004E0A37" w:rsidRPr="004E0A37" w:rsidTr="00896EDE">
        <w:tc>
          <w:tcPr>
            <w:tcW w:w="3390" w:type="dxa"/>
            <w:tcBorders>
              <w:top w:val="nil"/>
              <w:left w:val="nil"/>
              <w:bottom w:val="nil"/>
              <w:right w:val="nil"/>
            </w:tcBorders>
            <w:shd w:val="clear" w:color="auto" w:fill="auto"/>
          </w:tcPr>
          <w:p w:rsidR="004E0A37" w:rsidRPr="004E0A37" w:rsidRDefault="004E0A37" w:rsidP="004E0A37">
            <w:pPr>
              <w:keepNext/>
              <w:keepLines/>
              <w:spacing w:before="40" w:after="60" w:line="33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763" w:type="dxa"/>
            <w:tcBorders>
              <w:top w:val="nil"/>
              <w:left w:val="nil"/>
              <w:bottom w:val="nil"/>
              <w:right w:val="nil"/>
            </w:tcBorders>
            <w:shd w:val="clear" w:color="auto" w:fill="auto"/>
          </w:tcPr>
          <w:p w:rsidR="004E0A37" w:rsidRPr="00414489" w:rsidRDefault="004E0A37" w:rsidP="004E0A37">
            <w:pPr>
              <w:keepNext/>
              <w:keepLines/>
              <w:spacing w:before="40" w:after="60" w:line="330" w:lineRule="exact"/>
              <w:ind w:left="113" w:right="113"/>
              <w:rPr>
                <w:rFonts w:hint="cs"/>
                <w:spacing w:val="-2"/>
                <w:sz w:val="20"/>
                <w:rtl/>
                <w:lang w:val="fr-CH"/>
              </w:rPr>
            </w:pPr>
            <w:r w:rsidRPr="00414489">
              <w:rPr>
                <w:rFonts w:hint="cs"/>
                <w:spacing w:val="-2"/>
                <w:sz w:val="20"/>
                <w:rtl/>
                <w:lang w:val="fr-CH"/>
              </w:rPr>
              <w:t>يجب على الدولة الطرف أن تعتمد التدابير الضرورية، بما في ذلك التدابير التشريعية، لإقامة ولايتها القضائية على الأفعال التي ارتكبها نظام حسان حبري والمشار إليها في هذا البلاغ. وعلاوة على ذلك، يتعين على الدولة الطرف، بموجب المادة 7 من الاتفاقية، أن تحيل هذه القضية إلى سلطاتها المختصة لإجراء المحاكمة أو، إذا تعذر ذلك، وبما أن بلجيكا قدمت طلب تسليم، أن تمتثل لذلك الطلب، أو لأي طلب آخر تقدمه دولة أخرى، عند الاقتضاء، وذلك</w:t>
            </w:r>
            <w:r w:rsidR="00B345DB" w:rsidRPr="00414489">
              <w:rPr>
                <w:rFonts w:hint="cs"/>
                <w:spacing w:val="-2"/>
                <w:sz w:val="20"/>
                <w:rtl/>
                <w:lang w:val="fr-CH"/>
              </w:rPr>
              <w:t xml:space="preserve"> وفقاً </w:t>
            </w:r>
            <w:r w:rsidRPr="00414489">
              <w:rPr>
                <w:rFonts w:hint="cs"/>
                <w:spacing w:val="-2"/>
                <w:sz w:val="20"/>
                <w:rtl/>
                <w:lang w:val="fr-CH"/>
              </w:rPr>
              <w:t xml:space="preserve">لأحكام الاتفاقية. </w:t>
            </w:r>
          </w:p>
        </w:tc>
      </w:tr>
      <w:tr w:rsidR="00903655" w:rsidRPr="004E0A37" w:rsidTr="00896EDE">
        <w:trPr>
          <w:trHeight w:val="1304"/>
        </w:trPr>
        <w:tc>
          <w:tcPr>
            <w:tcW w:w="7153" w:type="dxa"/>
            <w:gridSpan w:val="2"/>
            <w:tcBorders>
              <w:top w:val="nil"/>
              <w:left w:val="nil"/>
              <w:bottom w:val="nil"/>
              <w:right w:val="nil"/>
            </w:tcBorders>
            <w:shd w:val="clear" w:color="auto" w:fill="auto"/>
          </w:tcPr>
          <w:p w:rsidR="00903655" w:rsidRPr="004E0A37" w:rsidRDefault="00903655" w:rsidP="004E0A37">
            <w:pPr>
              <w:spacing w:before="40" w:after="60" w:line="330" w:lineRule="exact"/>
              <w:ind w:left="113" w:right="113"/>
              <w:rPr>
                <w:b/>
                <w:bCs/>
                <w:spacing w:val="0"/>
                <w:sz w:val="20"/>
                <w:rtl/>
              </w:rPr>
            </w:pPr>
            <w:r w:rsidRPr="004E0A37">
              <w:rPr>
                <w:rFonts w:hint="cs"/>
                <w:b/>
                <w:bCs/>
                <w:spacing w:val="0"/>
                <w:sz w:val="20"/>
                <w:rtl/>
                <w:lang w:val="fr-CH"/>
              </w:rPr>
              <w:t xml:space="preserve">معلومات المتابعة المُقدَّمة سابقاً: </w:t>
            </w:r>
            <w:r w:rsidRPr="004E0A37">
              <w:rPr>
                <w:b/>
                <w:bCs/>
                <w:spacing w:val="0"/>
                <w:sz w:val="20"/>
              </w:rPr>
              <w:t>A/66/44</w:t>
            </w:r>
            <w:r w:rsidRPr="004E0A37">
              <w:rPr>
                <w:rFonts w:hint="cs"/>
                <w:b/>
                <w:bCs/>
                <w:spacing w:val="0"/>
                <w:sz w:val="20"/>
                <w:rtl/>
              </w:rPr>
              <w:t>، الفصل السادس</w:t>
            </w:r>
          </w:p>
          <w:p w:rsidR="00903655" w:rsidRPr="004E0A37" w:rsidRDefault="00903655" w:rsidP="004E0A37">
            <w:pPr>
              <w:spacing w:before="40" w:after="60" w:line="330" w:lineRule="exact"/>
              <w:ind w:left="113" w:right="113"/>
              <w:rPr>
                <w:rFonts w:hint="cs"/>
                <w:b/>
                <w:bCs/>
                <w:spacing w:val="0"/>
                <w:sz w:val="20"/>
                <w:rtl/>
              </w:rPr>
            </w:pPr>
            <w:r w:rsidRPr="004E0A37">
              <w:rPr>
                <w:spacing w:val="0"/>
                <w:sz w:val="20"/>
                <w:rtl/>
                <w:lang w:val="fr-CH"/>
              </w:rPr>
              <w:tab/>
            </w:r>
            <w:r w:rsidRPr="004E0A37">
              <w:rPr>
                <w:rFonts w:hint="cs"/>
                <w:spacing w:val="0"/>
                <w:sz w:val="20"/>
                <w:rtl/>
                <w:lang w:val="fr-CH"/>
              </w:rPr>
              <w:t>في 8 تشرين الثاني/نوفمبر 2011، بيَّن المحامي أن الدولة الطرف لا تزال مستمرة في عدم تنفيذ قرار اللجنة وأن السيد حبري لا يزال في السنغال دون محاكمة.</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ويقتبس صاحب الشكوى تقريراً مرحلياً صدر عن اللجنة التابعة للاتحاد الأفريقي المعنية بقضية السيد حبري (تموز/يوليه 2011) ورد فيه أن الحكومة السنغالية طلبت تعليق المشاورات الجارية بشأن القضية على مستوى الاتحاد الأفريقي لأجل غير مسمى</w:t>
            </w:r>
            <w:r w:rsidR="00727BAF">
              <w:rPr>
                <w:spacing w:val="0"/>
                <w:sz w:val="20"/>
                <w:vertAlign w:val="superscript"/>
                <w:rtl/>
                <w:lang w:val="fr-CH"/>
              </w:rPr>
              <w:t>(</w:t>
            </w:r>
            <w:r w:rsidR="00727BAF">
              <w:rPr>
                <w:rStyle w:val="FootnoteReference"/>
                <w:spacing w:val="0"/>
                <w:rtl/>
                <w:lang w:val="fr-CH"/>
              </w:rPr>
              <w:footnoteReference w:id="17"/>
            </w:r>
            <w:r w:rsidR="00727BAF">
              <w:rPr>
                <w:spacing w:val="0"/>
                <w:sz w:val="20"/>
                <w:vertAlign w:val="superscript"/>
                <w:rtl/>
                <w:lang w:val="fr-CH"/>
              </w:rPr>
              <w:t>)</w:t>
            </w:r>
            <w:r w:rsidRPr="004E0A37">
              <w:rPr>
                <w:rFonts w:hint="cs"/>
                <w:spacing w:val="0"/>
                <w:sz w:val="20"/>
                <w:rtl/>
                <w:lang w:val="fr-CH"/>
              </w:rPr>
              <w:t>. وتبعاً لذلك طلب مؤتمر قمة الاتحاد الأفريقي، في قرار، إلى السلطات السنغالية أن تشرع فوراً في محاكمة السيد حبري "باسم أفريقيا".</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تموز/يوليه 2011، قررت السلطات السنغالية عدم طرد السيد حبري إلى تشاد، ولكنها أكدت من جديد أنه لا توجد أية إمكانية لمحاكمته في السنغال.</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ويضيف المحامي قائل</w:t>
            </w:r>
            <w:r w:rsidR="0081655E">
              <w:rPr>
                <w:rFonts w:hint="cs"/>
                <w:spacing w:val="0"/>
                <w:sz w:val="20"/>
                <w:rtl/>
                <w:lang w:val="fr-CH"/>
              </w:rPr>
              <w:t xml:space="preserve">اً </w:t>
            </w:r>
            <w:r w:rsidRPr="004E0A37">
              <w:rPr>
                <w:rFonts w:hint="cs"/>
                <w:spacing w:val="0"/>
                <w:sz w:val="20"/>
                <w:rtl/>
                <w:lang w:val="fr-CH"/>
              </w:rPr>
              <w:t>إن السلطات التشادية أعلنت، في 22 تموز/يوليه 2011، أنها تفضّل تسليم السيد حبري إلى بلجيكا لمحاكمته هناك.</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ويلاحظ المحامي أن طلبين سابقين قدمتهما بلجيكا من أجل تسليم السيد حبري، قد قوبلا بالرفض. وأشار إلى أن المحاكم في السنغال بصدد النظر في طلب ثالث قدمته السلطات البلجيكية في أيلول/سبتمبر 2011 من أجل تسليم السيد حبري ومحاكمته في بلجيكا.</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ويطلب المحامي إلى اللجنة أن تُذكِّر سلطات الدولة الطرف بأن عليها التزاماً بأن تحاكم السيد حبري، أو إذا تعذر ذلك، أن تسلمه إلى بلجيكا؛ وألا تترك السيد حبري يغادر السنغال، إلا إذا أثبتت أن الترخيص له بالمغادرة لا يشكل انتهاكاً لأحكام الاتفاقية.</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وأحيلت رسالة المحامي إلى الدولة الطرف لإبداء ملاحظاتها عليها، ولكن</w:t>
            </w:r>
            <w:r w:rsidR="00335AC0">
              <w:rPr>
                <w:rFonts w:hint="cs"/>
                <w:spacing w:val="0"/>
                <w:sz w:val="20"/>
                <w:rtl/>
                <w:lang w:val="fr-CH"/>
              </w:rPr>
              <w:t xml:space="preserve"> لم </w:t>
            </w:r>
            <w:r w:rsidRPr="004E0A37">
              <w:rPr>
                <w:rFonts w:hint="cs"/>
                <w:spacing w:val="0"/>
                <w:sz w:val="20"/>
                <w:rtl/>
                <w:lang w:val="fr-CH"/>
              </w:rPr>
              <w:t>تتلق اللجنة أية معلومات منها.</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وناقشت اللجنة القضية في دورتها السابعة والأر</w:t>
            </w:r>
            <w:r w:rsidR="004A2C77">
              <w:rPr>
                <w:rFonts w:hint="cs"/>
                <w:spacing w:val="0"/>
                <w:sz w:val="20"/>
                <w:rtl/>
                <w:lang w:val="fr-CH"/>
              </w:rPr>
              <w:t>ب</w:t>
            </w:r>
            <w:r w:rsidRPr="004E0A37">
              <w:rPr>
                <w:rFonts w:hint="cs"/>
                <w:spacing w:val="0"/>
                <w:sz w:val="20"/>
                <w:rtl/>
                <w:lang w:val="fr-CH"/>
              </w:rPr>
              <w:t>عين وقررت تذكير الدولة الطرف بالتزامها بملاحقة ومحاكمة السيد حبري، أو إذا تعذر ذلك، أن تسلمه إلى بلجيكا؛ بما أن هذا البلد قد طلب ذلك، أو إلى بلد آخر ليحاكم فيه، وألا تترك السيد حبري يغادر السنغال، إلا إذا كانت مغادرته منسجمة مع أحكام الاتفاقية. وأحيلت هذه المعلومات إلى الدولة الطرف في شباط/فبراير 2012. ولم تتلق اللجنة أية ملاحظات من الدولة الطرف بهذا الخصوص.</w:t>
            </w:r>
          </w:p>
        </w:tc>
      </w:tr>
      <w:tr w:rsidR="004E0A37" w:rsidRPr="004E0A37" w:rsidTr="00542FAC">
        <w:tc>
          <w:tcPr>
            <w:tcW w:w="7153" w:type="dxa"/>
            <w:gridSpan w:val="2"/>
            <w:tcBorders>
              <w:top w:val="nil"/>
              <w:left w:val="nil"/>
              <w:bottom w:val="nil"/>
              <w:right w:val="nil"/>
            </w:tcBorders>
            <w:shd w:val="clear" w:color="auto" w:fill="auto"/>
          </w:tcPr>
          <w:p w:rsidR="004E0A37" w:rsidRPr="004E0A37" w:rsidRDefault="004E0A37" w:rsidP="004E0A37">
            <w:pPr>
              <w:spacing w:before="40" w:after="60" w:line="33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أن ترسل مذكرة شفوية إلى الدولة الطرف تذكرها فيها بالتزامها بالتقيّد بالاتفاقية وتدعوها إلى تقديم معلومات محدّثة عن التدابير التي اتخذتها لتنفيذ توصية اللجنة.</w:t>
            </w:r>
          </w:p>
        </w:tc>
      </w:tr>
      <w:tr w:rsidR="00D33E15" w:rsidRPr="004E0A37" w:rsidTr="00542FAC">
        <w:tc>
          <w:tcPr>
            <w:tcW w:w="7153" w:type="dxa"/>
            <w:gridSpan w:val="2"/>
            <w:tcBorders>
              <w:top w:val="nil"/>
              <w:left w:val="nil"/>
              <w:bottom w:val="single" w:sz="12" w:space="0" w:color="auto"/>
              <w:right w:val="nil"/>
            </w:tcBorders>
            <w:shd w:val="clear" w:color="auto" w:fill="auto"/>
          </w:tcPr>
          <w:p w:rsidR="00D33E15" w:rsidRPr="004E0A37" w:rsidRDefault="00D33E15" w:rsidP="004E0A37">
            <w:pPr>
              <w:spacing w:before="40" w:after="60" w:line="33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4E0A37">
      <w:pPr>
        <w:pStyle w:val="SingleTxtGA"/>
        <w:jc w:val="lowKashida"/>
        <w:rPr>
          <w:rFonts w:hint="cs"/>
          <w:spacing w:val="0"/>
          <w:sz w:val="20"/>
          <w:rtl/>
        </w:rPr>
      </w:pPr>
    </w:p>
    <w:tbl>
      <w:tblPr>
        <w:tblStyle w:val="TableGrid"/>
        <w:bidiVisual/>
        <w:tblW w:w="7153" w:type="dxa"/>
        <w:tblInd w:w="1253" w:type="dxa"/>
        <w:tblBorders>
          <w:insideH w:val="none" w:sz="0" w:space="0" w:color="auto"/>
          <w:insideV w:val="none" w:sz="0" w:space="0" w:color="auto"/>
        </w:tblBorders>
        <w:tblLayout w:type="fixed"/>
        <w:tblCellMar>
          <w:left w:w="0" w:type="dxa"/>
          <w:right w:w="0" w:type="dxa"/>
        </w:tblCellMar>
        <w:tblLook w:val="01E0"/>
      </w:tblPr>
      <w:tblGrid>
        <w:gridCol w:w="3707"/>
        <w:gridCol w:w="3446"/>
      </w:tblGrid>
      <w:tr w:rsidR="004E0A37" w:rsidRPr="004E0A37" w:rsidTr="00896EDE">
        <w:tc>
          <w:tcPr>
            <w:tcW w:w="3707" w:type="dxa"/>
            <w:tcBorders>
              <w:top w:val="single" w:sz="4" w:space="0" w:color="auto"/>
              <w:left w:val="nil"/>
              <w:bottom w:val="single" w:sz="12" w:space="0" w:color="auto"/>
            </w:tcBorders>
            <w:shd w:val="clear" w:color="auto" w:fill="auto"/>
          </w:tcPr>
          <w:p w:rsidR="004E0A37" w:rsidRPr="004E0A37" w:rsidRDefault="004E0A37" w:rsidP="004E0A37">
            <w:pPr>
              <w:keepNext/>
              <w:keepLines/>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446" w:type="dxa"/>
            <w:tcBorders>
              <w:top w:val="single" w:sz="4" w:space="0" w:color="auto"/>
              <w:bottom w:val="single" w:sz="12" w:space="0" w:color="auto"/>
              <w:right w:val="nil"/>
            </w:tcBorders>
            <w:shd w:val="clear" w:color="auto" w:fill="auto"/>
          </w:tcPr>
          <w:p w:rsidR="004E0A37" w:rsidRPr="004E0A37" w:rsidRDefault="004E0A37" w:rsidP="004E0A37">
            <w:pPr>
              <w:keepNext/>
              <w:keepLines/>
              <w:spacing w:before="60" w:after="60" w:line="340" w:lineRule="exact"/>
              <w:ind w:left="113" w:right="113"/>
              <w:rPr>
                <w:rFonts w:hint="cs"/>
                <w:b/>
                <w:bCs/>
                <w:i/>
                <w:spacing w:val="0"/>
                <w:sz w:val="20"/>
                <w:rtl/>
                <w:lang w:val="fr-CH"/>
              </w:rPr>
            </w:pPr>
            <w:r w:rsidRPr="004E0A37">
              <w:rPr>
                <w:rFonts w:hint="cs"/>
                <w:b/>
                <w:bCs/>
                <w:i/>
                <w:spacing w:val="0"/>
                <w:sz w:val="20"/>
                <w:rtl/>
                <w:lang w:val="fr-CH"/>
              </w:rPr>
              <w:t>صربيا</w:t>
            </w:r>
          </w:p>
        </w:tc>
      </w:tr>
      <w:tr w:rsidR="004E0A37" w:rsidRPr="004E0A37" w:rsidTr="00896EDE">
        <w:tc>
          <w:tcPr>
            <w:tcW w:w="3707" w:type="dxa"/>
            <w:tcBorders>
              <w:top w:val="single" w:sz="12" w:space="0" w:color="auto"/>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446" w:type="dxa"/>
            <w:tcBorders>
              <w:top w:val="single" w:sz="12" w:space="0" w:color="auto"/>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D33E15">
              <w:rPr>
                <w:rFonts w:hint="cs"/>
                <w:b/>
                <w:bCs/>
                <w:i/>
                <w:iCs/>
                <w:spacing w:val="0"/>
                <w:sz w:val="20"/>
                <w:rtl/>
                <w:lang w:val="fr-CH"/>
              </w:rPr>
              <w:t>ريستيتش</w:t>
            </w:r>
            <w:r w:rsidRPr="004E0A37">
              <w:rPr>
                <w:rFonts w:hint="cs"/>
                <w:b/>
                <w:bCs/>
                <w:spacing w:val="0"/>
                <w:sz w:val="20"/>
                <w:rtl/>
                <w:lang w:val="fr-CH"/>
              </w:rPr>
              <w:t>، 113/1998</w:t>
            </w:r>
          </w:p>
        </w:tc>
      </w:tr>
      <w:tr w:rsidR="004E0A37" w:rsidRPr="004E0A37" w:rsidTr="00896EDE">
        <w:tc>
          <w:tcPr>
            <w:tcW w:w="3707"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44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11 أيار/مايو 2001</w:t>
            </w:r>
          </w:p>
        </w:tc>
      </w:tr>
      <w:tr w:rsidR="004E0A37" w:rsidRPr="004E0A37" w:rsidTr="00896EDE">
        <w:tc>
          <w:tcPr>
            <w:tcW w:w="3707"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44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المادتان 12 و13</w:t>
            </w:r>
          </w:p>
        </w:tc>
      </w:tr>
      <w:tr w:rsidR="004E0A37" w:rsidRPr="004E0A37" w:rsidTr="00896EDE">
        <w:tc>
          <w:tcPr>
            <w:tcW w:w="3707"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44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حثت اللجنة الدولة الطرف على التحقيق في</w:t>
            </w:r>
            <w:r w:rsidRPr="004E0A37">
              <w:rPr>
                <w:rFonts w:hint="eastAsia"/>
                <w:spacing w:val="0"/>
                <w:sz w:val="20"/>
                <w:rtl/>
                <w:lang w:val="fr-CH"/>
              </w:rPr>
              <w:t> </w:t>
            </w:r>
            <w:r w:rsidRPr="004E0A37">
              <w:rPr>
                <w:rFonts w:hint="cs"/>
                <w:spacing w:val="0"/>
                <w:sz w:val="20"/>
                <w:rtl/>
                <w:lang w:val="fr-CH"/>
              </w:rPr>
              <w:t>ادعاءات ممارسة التعذيب من جانب أفراد</w:t>
            </w:r>
            <w:r w:rsidRPr="004E0A37">
              <w:rPr>
                <w:rFonts w:hint="eastAsia"/>
                <w:spacing w:val="0"/>
                <w:sz w:val="20"/>
                <w:rtl/>
                <w:lang w:val="fr-CH"/>
              </w:rPr>
              <w:t> </w:t>
            </w:r>
            <w:r w:rsidRPr="004E0A37">
              <w:rPr>
                <w:rFonts w:hint="cs"/>
                <w:spacing w:val="0"/>
                <w:sz w:val="20"/>
                <w:rtl/>
                <w:lang w:val="fr-CH"/>
              </w:rPr>
              <w:t>الشرطة.</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b/>
                <w:bCs/>
                <w:spacing w:val="0"/>
                <w:sz w:val="20"/>
                <w:rtl/>
              </w:rPr>
            </w:pPr>
            <w:r w:rsidRPr="004E0A37">
              <w:rPr>
                <w:rFonts w:hint="cs"/>
                <w:b/>
                <w:bCs/>
                <w:spacing w:val="0"/>
                <w:sz w:val="20"/>
                <w:rtl/>
                <w:lang w:val="fr-CH"/>
              </w:rPr>
              <w:t xml:space="preserve">معلومات المتابعة المُقدَّمة سابقاً: </w:t>
            </w:r>
            <w:r w:rsidRPr="004E0A37">
              <w:rPr>
                <w:b/>
                <w:bCs/>
                <w:spacing w:val="0"/>
                <w:sz w:val="20"/>
              </w:rPr>
              <w:t>A/66/44</w:t>
            </w:r>
            <w:r w:rsidRPr="004E0A37">
              <w:rPr>
                <w:rFonts w:hint="cs"/>
                <w:b/>
                <w:bCs/>
                <w:spacing w:val="0"/>
                <w:sz w:val="20"/>
                <w:rtl/>
              </w:rPr>
              <w:t>، الفصل السادس</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17 أيلول/سبتمبر 2011، أوضحت الدولة الطرف أن السيد والسيدة ريستيتش حصلا في شباط/فبراير 2007 على تعويض عما أصابهما من ألم عاطفي جراء فقدان ابنهما السيد ميلان ريستيتش، بمبلغ قدره نصف مليون دينار لكل منهما، مضاف</w:t>
            </w:r>
            <w:r w:rsidR="0081655E">
              <w:rPr>
                <w:rFonts w:hint="cs"/>
                <w:spacing w:val="0"/>
                <w:sz w:val="20"/>
                <w:rtl/>
                <w:lang w:val="fr-CH"/>
              </w:rPr>
              <w:t xml:space="preserve">اً </w:t>
            </w:r>
            <w:r w:rsidRPr="004E0A37">
              <w:rPr>
                <w:rFonts w:hint="cs"/>
                <w:spacing w:val="0"/>
                <w:sz w:val="20"/>
                <w:rtl/>
                <w:lang w:val="fr-CH"/>
              </w:rPr>
              <w:t>إليه نسبة فائدة محسوبة اعتباراً من</w:t>
            </w:r>
            <w:r w:rsidRPr="004E0A37">
              <w:rPr>
                <w:rFonts w:hint="eastAsia"/>
                <w:spacing w:val="0"/>
                <w:sz w:val="20"/>
                <w:rtl/>
                <w:lang w:val="fr-CH"/>
              </w:rPr>
              <w:t> </w:t>
            </w:r>
            <w:r w:rsidRPr="004E0A37">
              <w:rPr>
                <w:rFonts w:hint="cs"/>
                <w:spacing w:val="0"/>
                <w:sz w:val="20"/>
                <w:rtl/>
                <w:lang w:val="fr-CH"/>
              </w:rPr>
              <w:t>30 كانون الأول/ديسمبر 2004.</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وطلب مكتب المدعي العام الوطني إلى المدعي العام لدى المحكمة العالية في صاباتش إصدار أمر قضائي بغية النظر في الأوامر الصادرة سابق</w:t>
            </w:r>
            <w:r w:rsidR="0081655E">
              <w:rPr>
                <w:rFonts w:hint="cs"/>
                <w:spacing w:val="0"/>
                <w:sz w:val="20"/>
                <w:rtl/>
                <w:lang w:val="fr-CH"/>
              </w:rPr>
              <w:t xml:space="preserve">اً </w:t>
            </w:r>
            <w:r w:rsidRPr="004E0A37">
              <w:rPr>
                <w:rFonts w:hint="cs"/>
                <w:spacing w:val="0"/>
                <w:sz w:val="20"/>
                <w:rtl/>
                <w:lang w:val="fr-CH"/>
              </w:rPr>
              <w:t>عن المحكمة المحلية في صاباتش وفي إمكانية طلب حماية مشروعية قرار تلك المحكمة وقرار المحكمة العليا، رهناً باستيفاء الشروط القانونية من حيث إمكانية إنفاذ قرارات يمكن أن يطبق عليها هذا الانتصاف القانوني الاستثنائي.</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وأحيلت رسالة الدولة الطرف إلى صاحب الشكوى في أيلول/سبتمبر 2011، وطُلب منه إبداء ملاحظاته عليها، ولكن</w:t>
            </w:r>
            <w:r w:rsidR="00335AC0">
              <w:rPr>
                <w:rFonts w:hint="cs"/>
                <w:spacing w:val="0"/>
                <w:sz w:val="20"/>
                <w:rtl/>
                <w:lang w:val="fr-CH"/>
              </w:rPr>
              <w:t xml:space="preserve"> لم </w:t>
            </w:r>
            <w:r w:rsidRPr="004E0A37">
              <w:rPr>
                <w:rFonts w:hint="cs"/>
                <w:spacing w:val="0"/>
                <w:sz w:val="20"/>
                <w:rtl/>
                <w:lang w:val="fr-CH"/>
              </w:rPr>
              <w:t>تتلق اللجنة أي رد منه. وأرسلت رسالة تذكير إلى صاحب الشكوى في شباط/فبراير 2012.</w:t>
            </w:r>
          </w:p>
        </w:tc>
      </w:tr>
      <w:tr w:rsidR="004E0A37" w:rsidRPr="004E0A37" w:rsidTr="00896EDE">
        <w:tc>
          <w:tcPr>
            <w:tcW w:w="7153"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السابعة والأربعين، أن تشجع الدولة الطرف على استكمال التحقيق وتقديم معلومات عن التدابير التي اتخذتها لتنفيذ قرار اللجنة الصادر في</w:t>
            </w:r>
            <w:r w:rsidR="00D33E15">
              <w:rPr>
                <w:rFonts w:hint="eastAsia"/>
                <w:spacing w:val="0"/>
                <w:sz w:val="20"/>
                <w:rtl/>
                <w:lang w:val="fr-CH"/>
              </w:rPr>
              <w:t> </w:t>
            </w:r>
            <w:r w:rsidRPr="004E0A37">
              <w:rPr>
                <w:rFonts w:hint="cs"/>
                <w:spacing w:val="0"/>
                <w:sz w:val="20"/>
                <w:rtl/>
                <w:lang w:val="fr-CH"/>
              </w:rPr>
              <w:t>11 أيار/مايو 2011. وأرسلت مذكرة شفوية إلى الدولة الطرف لهذا الغرض في 7 شباط/فبراير 2012، ولكن اللجنة</w:t>
            </w:r>
            <w:r w:rsidR="00335AC0">
              <w:rPr>
                <w:rFonts w:hint="cs"/>
                <w:spacing w:val="0"/>
                <w:sz w:val="20"/>
                <w:rtl/>
                <w:lang w:val="fr-CH"/>
              </w:rPr>
              <w:t xml:space="preserve"> لم </w:t>
            </w:r>
            <w:r w:rsidRPr="004E0A37">
              <w:rPr>
                <w:rFonts w:hint="cs"/>
                <w:spacing w:val="0"/>
                <w:sz w:val="20"/>
                <w:rtl/>
                <w:lang w:val="fr-CH"/>
              </w:rPr>
              <w:t>تتلق أي رد منها.</w:t>
            </w:r>
          </w:p>
        </w:tc>
      </w:tr>
      <w:tr w:rsidR="004E0A37" w:rsidRPr="004E0A37" w:rsidTr="00542FAC">
        <w:tc>
          <w:tcPr>
            <w:tcW w:w="7153"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انتظار تلقي مزيد من المعلومات قبل اتخاذ قرار في المسألة. وستعد اللجنة رسالة تذكير تبعث بها إلى الدولة الطرف لطلب معلومات محدّثة، وكذلك لطلب توضيحات بشأن الصعوبات التي ربما واجهتها الدولة الطرف في تنفيذ توصية اللجنة.</w:t>
            </w:r>
          </w:p>
        </w:tc>
      </w:tr>
      <w:tr w:rsidR="00A75940" w:rsidRPr="004E0A37" w:rsidTr="00542FAC">
        <w:tc>
          <w:tcPr>
            <w:tcW w:w="7153" w:type="dxa"/>
            <w:gridSpan w:val="2"/>
            <w:tcBorders>
              <w:top w:val="nil"/>
              <w:left w:val="nil"/>
              <w:bottom w:val="single" w:sz="12" w:space="0" w:color="auto"/>
              <w:right w:val="nil"/>
            </w:tcBorders>
            <w:shd w:val="clear" w:color="auto" w:fill="auto"/>
          </w:tcPr>
          <w:p w:rsidR="00A75940" w:rsidRPr="004E0A37" w:rsidRDefault="00A75940" w:rsidP="00896EDE">
            <w:pPr>
              <w:spacing w:before="60" w:after="60" w:line="32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Default="004E0A37" w:rsidP="004E0A37">
      <w:pPr>
        <w:pStyle w:val="SingleTxtGA"/>
        <w:jc w:val="lowKashida"/>
        <w:rPr>
          <w:rFonts w:hint="cs"/>
          <w:spacing w:val="0"/>
          <w:sz w:val="20"/>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711"/>
        <w:gridCol w:w="3448"/>
      </w:tblGrid>
      <w:tr w:rsidR="004E0A37" w:rsidRPr="004E0A37" w:rsidTr="00896EDE">
        <w:tc>
          <w:tcPr>
            <w:tcW w:w="3711"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448"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صربيا</w:t>
            </w:r>
          </w:p>
        </w:tc>
      </w:tr>
      <w:tr w:rsidR="004E0A37" w:rsidRPr="004E0A37" w:rsidTr="00896EDE">
        <w:tc>
          <w:tcPr>
            <w:tcW w:w="3711" w:type="dxa"/>
            <w:tcBorders>
              <w:top w:val="single" w:sz="12" w:space="0" w:color="auto"/>
              <w:left w:val="nil"/>
              <w:bottom w:val="nil"/>
              <w:right w:val="nil"/>
            </w:tcBorders>
            <w:shd w:val="clear" w:color="auto" w:fill="auto"/>
          </w:tcPr>
          <w:p w:rsidR="004E0A37" w:rsidRPr="004E0A37" w:rsidRDefault="004E0A37" w:rsidP="00896EDE">
            <w:pPr>
              <w:spacing w:before="60" w:after="60" w:line="320" w:lineRule="exact"/>
              <w:ind w:left="113" w:right="113"/>
              <w:rPr>
                <w:rFonts w:hint="cs"/>
                <w:b/>
                <w:bCs/>
                <w:spacing w:val="0"/>
                <w:sz w:val="20"/>
                <w:rtl/>
                <w:lang w:val="fr-CH"/>
              </w:rPr>
            </w:pPr>
            <w:r w:rsidRPr="004E0A37">
              <w:rPr>
                <w:rFonts w:hint="cs"/>
                <w:b/>
                <w:bCs/>
                <w:spacing w:val="0"/>
                <w:sz w:val="20"/>
                <w:rtl/>
                <w:lang w:val="fr-CH"/>
              </w:rPr>
              <w:t>القضية</w:t>
            </w:r>
          </w:p>
        </w:tc>
        <w:tc>
          <w:tcPr>
            <w:tcW w:w="3448" w:type="dxa"/>
            <w:tcBorders>
              <w:top w:val="single" w:sz="12" w:space="0" w:color="auto"/>
              <w:left w:val="nil"/>
              <w:bottom w:val="nil"/>
              <w:right w:val="nil"/>
            </w:tcBorders>
            <w:shd w:val="clear" w:color="auto" w:fill="auto"/>
            <w:vAlign w:val="bottom"/>
          </w:tcPr>
          <w:p w:rsidR="004E0A37" w:rsidRPr="004E0A37" w:rsidRDefault="004E0A37" w:rsidP="00896EDE">
            <w:pPr>
              <w:spacing w:before="60" w:after="60" w:line="320" w:lineRule="exact"/>
              <w:ind w:left="113" w:right="113"/>
              <w:rPr>
                <w:rFonts w:hint="cs"/>
                <w:b/>
                <w:bCs/>
                <w:spacing w:val="0"/>
                <w:sz w:val="20"/>
                <w:rtl/>
                <w:lang w:val="fr-CH"/>
              </w:rPr>
            </w:pPr>
            <w:r w:rsidRPr="00D33E15">
              <w:rPr>
                <w:rFonts w:hint="cs"/>
                <w:b/>
                <w:bCs/>
                <w:i/>
                <w:iCs/>
                <w:spacing w:val="0"/>
                <w:sz w:val="20"/>
                <w:rtl/>
                <w:lang w:val="fr-CH"/>
              </w:rPr>
              <w:t>ديميتروف</w:t>
            </w:r>
            <w:r w:rsidRPr="004E0A37">
              <w:rPr>
                <w:rFonts w:hint="cs"/>
                <w:b/>
                <w:bCs/>
                <w:spacing w:val="0"/>
                <w:sz w:val="20"/>
                <w:rtl/>
                <w:lang w:val="fr-CH"/>
              </w:rPr>
              <w:t>، 171/2000</w:t>
            </w:r>
          </w:p>
        </w:tc>
      </w:tr>
      <w:tr w:rsidR="004E0A37" w:rsidRPr="004E0A37" w:rsidTr="00896EDE">
        <w:tc>
          <w:tcPr>
            <w:tcW w:w="3711" w:type="dxa"/>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448" w:type="dxa"/>
            <w:tcBorders>
              <w:top w:val="nil"/>
              <w:left w:val="nil"/>
              <w:bottom w:val="nil"/>
              <w:right w:val="nil"/>
            </w:tcBorders>
            <w:shd w:val="clear" w:color="auto" w:fill="auto"/>
            <w:vAlign w:val="bottom"/>
          </w:tcPr>
          <w:p w:rsidR="004E0A37" w:rsidRPr="004E0A37" w:rsidRDefault="004E0A37" w:rsidP="00896EDE">
            <w:pPr>
              <w:spacing w:before="60" w:after="60" w:line="320" w:lineRule="exact"/>
              <w:ind w:left="113" w:right="113"/>
              <w:rPr>
                <w:rFonts w:hint="cs"/>
                <w:spacing w:val="0"/>
                <w:sz w:val="20"/>
                <w:rtl/>
                <w:lang w:val="fr-CH"/>
              </w:rPr>
            </w:pPr>
            <w:r w:rsidRPr="004E0A37">
              <w:rPr>
                <w:rFonts w:hint="cs"/>
                <w:spacing w:val="0"/>
                <w:sz w:val="20"/>
                <w:rtl/>
                <w:lang w:val="fr-CH"/>
              </w:rPr>
              <w:t>3 أيار/مايو 2005</w:t>
            </w:r>
          </w:p>
        </w:tc>
      </w:tr>
      <w:tr w:rsidR="004E0A37" w:rsidRPr="004E0A37" w:rsidTr="00896EDE">
        <w:tc>
          <w:tcPr>
            <w:tcW w:w="3711" w:type="dxa"/>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448" w:type="dxa"/>
            <w:tcBorders>
              <w:top w:val="nil"/>
              <w:left w:val="nil"/>
              <w:bottom w:val="nil"/>
              <w:right w:val="nil"/>
            </w:tcBorders>
            <w:shd w:val="clear" w:color="auto" w:fill="auto"/>
            <w:vAlign w:val="bottom"/>
          </w:tcPr>
          <w:p w:rsidR="004E0A37" w:rsidRPr="004E0A37" w:rsidRDefault="004E0A37" w:rsidP="00896EDE">
            <w:pPr>
              <w:spacing w:before="60" w:after="60" w:line="320" w:lineRule="exact"/>
              <w:ind w:left="113" w:right="113"/>
              <w:rPr>
                <w:rFonts w:hint="cs"/>
                <w:spacing w:val="0"/>
                <w:sz w:val="20"/>
                <w:rtl/>
                <w:lang w:val="fr-CH"/>
              </w:rPr>
            </w:pPr>
            <w:r w:rsidRPr="004E0A37">
              <w:rPr>
                <w:rFonts w:hint="cs"/>
                <w:spacing w:val="0"/>
                <w:sz w:val="20"/>
                <w:rtl/>
                <w:lang w:val="fr-CH"/>
              </w:rPr>
              <w:t>الفقرة 1 من المادة 2 بالاقتران مع المواد 1 و12 و13 و14</w:t>
            </w:r>
          </w:p>
        </w:tc>
      </w:tr>
      <w:tr w:rsidR="004E0A37" w:rsidRPr="004E0A37" w:rsidTr="00896EDE">
        <w:tc>
          <w:tcPr>
            <w:tcW w:w="3711" w:type="dxa"/>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448" w:type="dxa"/>
            <w:tcBorders>
              <w:top w:val="nil"/>
              <w:left w:val="nil"/>
              <w:bottom w:val="nil"/>
              <w:right w:val="nil"/>
            </w:tcBorders>
            <w:shd w:val="clear" w:color="auto" w:fill="auto"/>
            <w:vAlign w:val="bottom"/>
          </w:tcPr>
          <w:p w:rsidR="004E0A37" w:rsidRPr="004E0A37" w:rsidRDefault="004E0A37" w:rsidP="00896EDE">
            <w:pPr>
              <w:spacing w:before="60" w:after="60" w:line="320" w:lineRule="exact"/>
              <w:ind w:left="113" w:right="113"/>
              <w:rPr>
                <w:rFonts w:hint="cs"/>
                <w:spacing w:val="0"/>
                <w:sz w:val="20"/>
                <w:rtl/>
                <w:lang w:val="fr-CH"/>
              </w:rPr>
            </w:pPr>
            <w:r w:rsidRPr="004E0A37">
              <w:rPr>
                <w:rFonts w:hint="cs"/>
                <w:spacing w:val="0"/>
                <w:sz w:val="20"/>
                <w:rtl/>
                <w:lang w:val="fr-CH"/>
              </w:rPr>
              <w:t>حثت اللجنة الدولة الطرف على إجراء تحقيق فعلي في الوقائع المزعومة من صاحب الشكوى.</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896EDE">
            <w:pPr>
              <w:spacing w:before="60" w:after="60" w:line="320" w:lineRule="exact"/>
              <w:ind w:left="113" w:right="113"/>
              <w:rPr>
                <w:rFonts w:hint="cs"/>
                <w:b/>
                <w:bCs/>
                <w:spacing w:val="0"/>
                <w:sz w:val="20"/>
                <w:rtl/>
                <w:lang w:val="fr-CH"/>
              </w:rPr>
            </w:pPr>
            <w:r w:rsidRPr="004E0A37">
              <w:rPr>
                <w:rFonts w:hint="cs"/>
                <w:b/>
                <w:bCs/>
                <w:spacing w:val="0"/>
                <w:sz w:val="20"/>
                <w:rtl/>
                <w:lang w:val="fr-CH"/>
              </w:rPr>
              <w:t xml:space="preserve">معلومات المتابعة المُقدَّمة سابقاً: </w:t>
            </w:r>
            <w:r w:rsidRPr="004E0A37">
              <w:rPr>
                <w:b/>
                <w:spacing w:val="0"/>
                <w:sz w:val="20"/>
              </w:rPr>
              <w:t>A/66/44</w:t>
            </w:r>
            <w:r w:rsidRPr="004E0A37">
              <w:rPr>
                <w:rFonts w:hint="cs"/>
                <w:b/>
                <w:bCs/>
                <w:spacing w:val="0"/>
                <w:sz w:val="20"/>
                <w:rtl/>
                <w:lang w:val="fr-CH"/>
              </w:rPr>
              <w:t>، الفصل السادس</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896EDE">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17 أيلول/سبتمبر 2011، أفادت الدولة الطرف أن وزارة العدل شرعت في مناقشة مع محامي صاحب الشكوى بغية تحديد مبلغ التعويض عما لحقه من أضرار. ولا تزال المناقشة مستمرة، وقد اتخذت الوزارة كل الإجراءات اللازمة لمنح تعويض كافٍ لصاحب الشكوى. وسيتم إعلام اللجنة حال التوصل إلى اتفاق في هذا الصدد. وأضافت الدولة الطرف قائلة إن القانون يحدد، بالنسبة إلى هذه القضية، مدة تقادم مطلقة للإجراءات الجنائية المتعلقة بالاعترافات التي تُنتزع بالإكراه (المادة</w:t>
            </w:r>
            <w:r w:rsidRPr="004E0A37">
              <w:rPr>
                <w:rFonts w:hint="eastAsia"/>
                <w:spacing w:val="0"/>
                <w:sz w:val="20"/>
                <w:rtl/>
                <w:lang w:val="fr-CH"/>
              </w:rPr>
              <w:t> </w:t>
            </w:r>
            <w:r w:rsidRPr="004E0A37">
              <w:rPr>
                <w:rFonts w:hint="cs"/>
                <w:spacing w:val="0"/>
                <w:sz w:val="20"/>
                <w:rtl/>
                <w:lang w:val="fr-CH"/>
              </w:rPr>
              <w:t>65 من قانون العقوبات). وقد شرع قاضي تحقيق من المحكمة المحلية في نوفي ساد في إجراءات التحقيق اللازمة بناءً على طلب من المدعي العام لدى المحكمة المحلية في نوفي ساد، غير أن التحقيق</w:t>
            </w:r>
            <w:r w:rsidR="00335AC0">
              <w:rPr>
                <w:rFonts w:hint="cs"/>
                <w:spacing w:val="0"/>
                <w:sz w:val="20"/>
                <w:rtl/>
                <w:lang w:val="fr-CH"/>
              </w:rPr>
              <w:t xml:space="preserve"> لم </w:t>
            </w:r>
            <w:r w:rsidRPr="004E0A37">
              <w:rPr>
                <w:rFonts w:hint="cs"/>
                <w:spacing w:val="0"/>
                <w:sz w:val="20"/>
                <w:rtl/>
                <w:lang w:val="fr-CH"/>
              </w:rPr>
              <w:t>يُفضِ إلى تحديد هوية الجناة. ولا يرى مكتب الادعاء العام أي أساس لتطبيق سبل انتصاف استثنائية لأن قاضي التحقيق لا يتخذ أية قرارات في إطار هذا الإجراء ولأن صاحب الشكوى</w:t>
            </w:r>
            <w:r w:rsidR="00335AC0">
              <w:rPr>
                <w:rFonts w:hint="cs"/>
                <w:spacing w:val="0"/>
                <w:sz w:val="20"/>
                <w:rtl/>
                <w:lang w:val="fr-CH"/>
              </w:rPr>
              <w:t xml:space="preserve"> لم </w:t>
            </w:r>
            <w:r w:rsidRPr="004E0A37">
              <w:rPr>
                <w:rFonts w:hint="cs"/>
                <w:spacing w:val="0"/>
                <w:sz w:val="20"/>
                <w:rtl/>
                <w:lang w:val="fr-CH"/>
              </w:rPr>
              <w:t>يباشر أية إجراءات جنائية احتياطية، أي أنه</w:t>
            </w:r>
            <w:r w:rsidR="00335AC0">
              <w:rPr>
                <w:rFonts w:hint="cs"/>
                <w:spacing w:val="0"/>
                <w:sz w:val="20"/>
                <w:rtl/>
                <w:lang w:val="fr-CH"/>
              </w:rPr>
              <w:t xml:space="preserve"> لم </w:t>
            </w:r>
            <w:r w:rsidRPr="004E0A37">
              <w:rPr>
                <w:rFonts w:hint="cs"/>
                <w:spacing w:val="0"/>
                <w:sz w:val="20"/>
                <w:rtl/>
                <w:lang w:val="fr-CH"/>
              </w:rPr>
              <w:t xml:space="preserve">يرفع دعوى إلى المحكمة إطلاقاً. لذا، ترى الدولة الطرف أنه يعود إلى هيئات مختصة أخرى أن تنظر في إمكانية الرد على آراء اللجنة </w:t>
            </w:r>
            <w:r w:rsidR="00F96B1E">
              <w:rPr>
                <w:rFonts w:hint="cs"/>
                <w:spacing w:val="0"/>
                <w:sz w:val="20"/>
                <w:rtl/>
                <w:lang w:val="fr-CH"/>
              </w:rPr>
              <w:t>فيما </w:t>
            </w:r>
            <w:r w:rsidRPr="004E0A37">
              <w:rPr>
                <w:rFonts w:hint="cs"/>
                <w:spacing w:val="0"/>
                <w:sz w:val="20"/>
                <w:rtl/>
                <w:lang w:val="fr-CH"/>
              </w:rPr>
              <w:t>يتعلق بهذه القضية.</w:t>
            </w:r>
          </w:p>
        </w:tc>
      </w:tr>
      <w:tr w:rsidR="004E0A37" w:rsidRPr="004E0A37" w:rsidTr="00896EDE">
        <w:tc>
          <w:tcPr>
            <w:tcW w:w="7159"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وأحيلت رسالة الدولة الطرف إلى صاحب الشكوى في أيلول/سبتمبر 2011، وطُلب منه إبداء ملاحظاته عليها، ولكن</w:t>
            </w:r>
            <w:r w:rsidR="00335AC0">
              <w:rPr>
                <w:rFonts w:hint="cs"/>
                <w:spacing w:val="0"/>
                <w:sz w:val="20"/>
                <w:rtl/>
                <w:lang w:val="fr-CH"/>
              </w:rPr>
              <w:t xml:space="preserve"> لم </w:t>
            </w:r>
            <w:r w:rsidRPr="004E0A37">
              <w:rPr>
                <w:rFonts w:hint="cs"/>
                <w:spacing w:val="0"/>
                <w:sz w:val="20"/>
                <w:rtl/>
                <w:lang w:val="fr-CH"/>
              </w:rPr>
              <w:t>تتلق اللجنة أي رد منه. وأرسلت رسالة تذكير إلى صاحب الشكوى في شباط/فبراير 2012.</w:t>
            </w:r>
          </w:p>
        </w:tc>
      </w:tr>
      <w:tr w:rsidR="004E0A37" w:rsidRPr="004E0A37" w:rsidTr="00896EDE">
        <w:tc>
          <w:tcPr>
            <w:tcW w:w="7159"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السابعة والأربعين، ضرورة الطلب إلى الدولة الطرف تقديم معلومات محدّثة عن القضية وأن تشجَّع على تقديم تعويضات. وأرسلت مذكرة شفوية إلى الدولة الطرف لهذا الغرض في 8 شباط/فبراير 2012، ولكن اللجنة</w:t>
            </w:r>
            <w:r w:rsidR="00335AC0">
              <w:rPr>
                <w:rFonts w:hint="cs"/>
                <w:spacing w:val="0"/>
                <w:sz w:val="20"/>
                <w:rtl/>
                <w:lang w:val="fr-CH"/>
              </w:rPr>
              <w:t xml:space="preserve"> لم </w:t>
            </w:r>
            <w:r w:rsidRPr="004E0A37">
              <w:rPr>
                <w:rFonts w:hint="cs"/>
                <w:spacing w:val="0"/>
                <w:sz w:val="20"/>
                <w:rtl/>
                <w:lang w:val="fr-CH"/>
              </w:rPr>
              <w:t>تتلق أي رد منها.</w:t>
            </w:r>
          </w:p>
        </w:tc>
      </w:tr>
      <w:tr w:rsidR="004E0A37" w:rsidRPr="004E0A37" w:rsidTr="00542FAC">
        <w:tc>
          <w:tcPr>
            <w:tcW w:w="7159" w:type="dxa"/>
            <w:gridSpan w:val="2"/>
            <w:tcBorders>
              <w:top w:val="nil"/>
              <w:left w:val="nil"/>
              <w:bottom w:val="nil"/>
              <w:right w:val="nil"/>
            </w:tcBorders>
            <w:shd w:val="clear" w:color="auto" w:fill="auto"/>
          </w:tcPr>
          <w:p w:rsidR="004E0A37" w:rsidRPr="004E0A37" w:rsidRDefault="004E0A37" w:rsidP="00896EDE">
            <w:pPr>
              <w:spacing w:before="60" w:after="60" w:line="32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انتظار تلقي مزيد من المعلومات قبل اتخاذ قرار في المسألة. وستعد اللجنة رسالة تذكير تبعث بها إلى الدولة الطرف لطلب معلومات محدّثة.</w:t>
            </w:r>
          </w:p>
        </w:tc>
      </w:tr>
      <w:tr w:rsidR="00A75940" w:rsidRPr="004E0A37" w:rsidTr="00542FAC">
        <w:tc>
          <w:tcPr>
            <w:tcW w:w="7159" w:type="dxa"/>
            <w:gridSpan w:val="2"/>
            <w:tcBorders>
              <w:top w:val="nil"/>
              <w:left w:val="nil"/>
              <w:bottom w:val="single" w:sz="12" w:space="0" w:color="auto"/>
              <w:right w:val="nil"/>
            </w:tcBorders>
            <w:shd w:val="clear" w:color="auto" w:fill="auto"/>
            <w:vAlign w:val="bottom"/>
          </w:tcPr>
          <w:p w:rsidR="00A75940" w:rsidRPr="004E0A37" w:rsidRDefault="00A75940" w:rsidP="00896EDE">
            <w:pPr>
              <w:spacing w:before="60" w:after="60" w:line="32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4E0A37">
      <w:pPr>
        <w:pStyle w:val="SingleTxtGA"/>
        <w:jc w:val="lowKashida"/>
        <w:rPr>
          <w:spacing w:val="0"/>
          <w:sz w:val="20"/>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396"/>
        <w:gridCol w:w="3763"/>
      </w:tblGrid>
      <w:tr w:rsidR="004E0A37" w:rsidRPr="004E0A37" w:rsidTr="00896EDE">
        <w:trPr>
          <w:cantSplit/>
        </w:trPr>
        <w:tc>
          <w:tcPr>
            <w:tcW w:w="3396"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763"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صربيا</w:t>
            </w:r>
          </w:p>
        </w:tc>
      </w:tr>
      <w:tr w:rsidR="004E0A37" w:rsidRPr="004E0A37" w:rsidTr="00896EDE">
        <w:trPr>
          <w:cantSplit/>
        </w:trPr>
        <w:tc>
          <w:tcPr>
            <w:tcW w:w="3396" w:type="dxa"/>
            <w:tcBorders>
              <w:top w:val="single" w:sz="12" w:space="0" w:color="auto"/>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763" w:type="dxa"/>
            <w:tcBorders>
              <w:top w:val="single" w:sz="12" w:space="0" w:color="auto"/>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b/>
                <w:bCs/>
                <w:spacing w:val="0"/>
                <w:sz w:val="20"/>
                <w:rtl/>
                <w:lang w:val="fr-CH"/>
              </w:rPr>
            </w:pPr>
            <w:r w:rsidRPr="00A75940">
              <w:rPr>
                <w:rFonts w:hint="cs"/>
                <w:b/>
                <w:bCs/>
                <w:i/>
                <w:iCs/>
                <w:spacing w:val="0"/>
                <w:sz w:val="20"/>
                <w:rtl/>
                <w:lang w:val="fr-CH"/>
              </w:rPr>
              <w:t>ديميتريجيفيتش</w:t>
            </w:r>
            <w:r w:rsidRPr="004E0A37">
              <w:rPr>
                <w:rFonts w:hint="cs"/>
                <w:b/>
                <w:bCs/>
                <w:spacing w:val="0"/>
                <w:sz w:val="20"/>
                <w:rtl/>
                <w:lang w:val="fr-CH"/>
              </w:rPr>
              <w:t>، 172/2000</w:t>
            </w:r>
          </w:p>
        </w:tc>
      </w:tr>
      <w:tr w:rsidR="004E0A37" w:rsidRPr="004E0A37" w:rsidTr="00896EDE">
        <w:trPr>
          <w:cantSplit/>
        </w:trPr>
        <w:tc>
          <w:tcPr>
            <w:tcW w:w="339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763" w:type="dxa"/>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16 تشرين الثاني/نوفمبر 2005</w:t>
            </w:r>
          </w:p>
        </w:tc>
      </w:tr>
      <w:tr w:rsidR="004E0A37" w:rsidRPr="004E0A37" w:rsidTr="00896EDE">
        <w:trPr>
          <w:cantSplit/>
        </w:trPr>
        <w:tc>
          <w:tcPr>
            <w:tcW w:w="339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763" w:type="dxa"/>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الفقرة 1 من المادة 2 بالاقتران مع المواد 1 و12 و13 و14</w:t>
            </w:r>
          </w:p>
        </w:tc>
      </w:tr>
      <w:tr w:rsidR="004E0A37" w:rsidRPr="004E0A37" w:rsidTr="00896EDE">
        <w:trPr>
          <w:cantSplit/>
        </w:trPr>
        <w:tc>
          <w:tcPr>
            <w:tcW w:w="339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763" w:type="dxa"/>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حثت اللجنة الدولة الطرف على محاكمة المسؤولين عن الانتهاكات التي خلُصت إليها اللجنة وعلى تقديم التعويض الواجب لصاحب الشكوى.</w:t>
            </w:r>
          </w:p>
        </w:tc>
      </w:tr>
      <w:tr w:rsidR="004E0A37" w:rsidRPr="004E0A37" w:rsidTr="00896EDE">
        <w:trPr>
          <w:cantSplit/>
        </w:trPr>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معلومات المتابعة المُقدَّمة سابقاً: </w:t>
            </w:r>
            <w:r w:rsidRPr="004E0A37">
              <w:rPr>
                <w:b/>
                <w:spacing w:val="0"/>
                <w:sz w:val="20"/>
              </w:rPr>
              <w:t>A/66/44</w:t>
            </w:r>
            <w:r w:rsidRPr="004E0A37">
              <w:rPr>
                <w:rFonts w:hint="cs"/>
                <w:b/>
                <w:bCs/>
                <w:spacing w:val="0"/>
                <w:sz w:val="20"/>
                <w:rtl/>
                <w:lang w:val="fr-CH"/>
              </w:rPr>
              <w:t>، الفصل السادس</w:t>
            </w:r>
          </w:p>
        </w:tc>
      </w:tr>
      <w:tr w:rsidR="004E0A37" w:rsidRPr="004E0A37" w:rsidTr="00896EDE">
        <w:trPr>
          <w:cantSplit/>
        </w:trPr>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17 أيلول/سبتمبر 2011، أبلغت الدولة الطرف اللجنة بأن سلطاتها قد توصلت إلى اتفاق مع صاحب الشكوى بخصوص التعويضات التي حددت بمبلغ</w:t>
            </w:r>
            <w:r w:rsidR="0081655E">
              <w:rPr>
                <w:rFonts w:hint="eastAsia"/>
                <w:spacing w:val="0"/>
                <w:sz w:val="20"/>
                <w:rtl/>
                <w:lang w:val="fr-CH"/>
              </w:rPr>
              <w:t> </w:t>
            </w:r>
            <w:r w:rsidRPr="004E0A37">
              <w:rPr>
                <w:rFonts w:hint="cs"/>
                <w:spacing w:val="0"/>
                <w:sz w:val="20"/>
                <w:rtl/>
                <w:lang w:val="fr-CH"/>
              </w:rPr>
              <w:t>000 250 دينار، وأن</w:t>
            </w:r>
            <w:r w:rsidRPr="004E0A37">
              <w:rPr>
                <w:rFonts w:hint="eastAsia"/>
                <w:spacing w:val="0"/>
                <w:sz w:val="20"/>
                <w:rtl/>
                <w:lang w:val="fr-CH"/>
              </w:rPr>
              <w:t> </w:t>
            </w:r>
            <w:r w:rsidRPr="004E0A37">
              <w:rPr>
                <w:rFonts w:hint="cs"/>
                <w:spacing w:val="0"/>
                <w:sz w:val="20"/>
                <w:rtl/>
                <w:lang w:val="fr-CH"/>
              </w:rPr>
              <w:t>مبلغ التعويض قد دُفع لصحاب الشكوى في 29 أيار/</w:t>
            </w:r>
            <w:r w:rsidR="0081655E">
              <w:rPr>
                <w:rFonts w:hint="cs"/>
                <w:spacing w:val="0"/>
                <w:sz w:val="20"/>
                <w:rtl/>
                <w:lang w:val="fr-CH"/>
              </w:rPr>
              <w:t xml:space="preserve">              </w:t>
            </w:r>
            <w:r w:rsidRPr="004E0A37">
              <w:rPr>
                <w:rFonts w:hint="cs"/>
                <w:spacing w:val="0"/>
                <w:sz w:val="20"/>
                <w:rtl/>
                <w:lang w:val="fr-CH"/>
              </w:rPr>
              <w:t>مايو 2008، معتبرةً أن هذا المبلغ يمثل تعويضاً كافياً. وحسب الدولة الطرف، لا تتوفر الشروط القانونية لمراجعة القرارات الصادرة في هذه القضية عن الهيئات القضائية التابعة للدولة الطرف، ذلك أن صاحب الشكوى</w:t>
            </w:r>
            <w:r w:rsidR="00335AC0">
              <w:rPr>
                <w:rFonts w:hint="cs"/>
                <w:spacing w:val="0"/>
                <w:sz w:val="20"/>
                <w:rtl/>
                <w:lang w:val="fr-CH"/>
              </w:rPr>
              <w:t xml:space="preserve"> لم </w:t>
            </w:r>
            <w:r w:rsidRPr="004E0A37">
              <w:rPr>
                <w:rFonts w:hint="cs"/>
                <w:spacing w:val="0"/>
                <w:sz w:val="20"/>
                <w:rtl/>
                <w:lang w:val="fr-CH"/>
              </w:rPr>
              <w:t>يبادر إلى اتخاذ أية إجراءات جنائية، في إطار دعوى احتياطية. وبالتال</w:t>
            </w:r>
            <w:r w:rsidR="004A2C77">
              <w:rPr>
                <w:rFonts w:hint="cs"/>
                <w:spacing w:val="0"/>
                <w:sz w:val="20"/>
                <w:rtl/>
                <w:lang w:val="fr-CH"/>
              </w:rPr>
              <w:t>ي</w:t>
            </w:r>
            <w:r w:rsidRPr="004E0A37">
              <w:rPr>
                <w:rFonts w:hint="cs"/>
                <w:spacing w:val="0"/>
                <w:sz w:val="20"/>
                <w:rtl/>
                <w:lang w:val="fr-CH"/>
              </w:rPr>
              <w:t>، حتى إن</w:t>
            </w:r>
            <w:r w:rsidR="00335AC0">
              <w:rPr>
                <w:rFonts w:hint="cs"/>
                <w:spacing w:val="0"/>
                <w:sz w:val="20"/>
                <w:rtl/>
                <w:lang w:val="fr-CH"/>
              </w:rPr>
              <w:t xml:space="preserve"> لم </w:t>
            </w:r>
            <w:r w:rsidRPr="004E0A37">
              <w:rPr>
                <w:rFonts w:hint="cs"/>
                <w:spacing w:val="0"/>
                <w:sz w:val="20"/>
                <w:rtl/>
                <w:lang w:val="fr-CH"/>
              </w:rPr>
              <w:t>يكن قد أُبلغ بقرار المدعي العام بشأن التماسه، فهو ليس في وضع يمكنه من التوجه للمحكمة بطلب احتياطي للتحقيق في الموضوع أو بتوجيه تهم؛ ثم</w:t>
            </w:r>
            <w:r w:rsidR="00335AC0">
              <w:rPr>
                <w:rFonts w:hint="cs"/>
                <w:spacing w:val="0"/>
                <w:sz w:val="20"/>
                <w:rtl/>
                <w:lang w:val="fr-CH"/>
              </w:rPr>
              <w:t xml:space="preserve"> لم </w:t>
            </w:r>
            <w:r w:rsidRPr="004E0A37">
              <w:rPr>
                <w:rFonts w:hint="cs"/>
                <w:spacing w:val="0"/>
                <w:sz w:val="20"/>
                <w:rtl/>
                <w:lang w:val="fr-CH"/>
              </w:rPr>
              <w:t>يصدر أي قرار قضائي سلبي بخصوص طلبه من شأنه أن يدفع بالمدعي العام الوطني إلى طلب حماية المشروعية أو إصدار توجيه إلزامي لنقل ملف القضية إلى مدعٍ عام لدى محكمة أدنى درجة، نظراً للمدة الزمنية التي انقضت.</w:t>
            </w:r>
          </w:p>
        </w:tc>
      </w:tr>
      <w:tr w:rsidR="004E0A37" w:rsidRPr="004E0A37" w:rsidTr="00896EDE">
        <w:trPr>
          <w:cantSplit/>
        </w:trPr>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وأرسل قرار الدولة الطرف إلى صاحب الشكوى في أيلول/سبتمبر 2011، وطُلب منه إبداء تعليقاته عليها، ولكن</w:t>
            </w:r>
            <w:r w:rsidR="00335AC0">
              <w:rPr>
                <w:rFonts w:hint="cs"/>
                <w:spacing w:val="0"/>
                <w:sz w:val="20"/>
                <w:rtl/>
                <w:lang w:val="fr-CH"/>
              </w:rPr>
              <w:t xml:space="preserve"> لم </w:t>
            </w:r>
            <w:r w:rsidRPr="004E0A37">
              <w:rPr>
                <w:rFonts w:hint="cs"/>
                <w:spacing w:val="0"/>
                <w:sz w:val="20"/>
                <w:rtl/>
                <w:lang w:val="fr-CH"/>
              </w:rPr>
              <w:t>تتلق اللجنة أي رد منه.</w:t>
            </w:r>
          </w:p>
        </w:tc>
      </w:tr>
      <w:tr w:rsidR="004E0A37" w:rsidRPr="004E0A37" w:rsidTr="00542FAC">
        <w:trPr>
          <w:cantSplit/>
        </w:trPr>
        <w:tc>
          <w:tcPr>
            <w:tcW w:w="7159" w:type="dxa"/>
            <w:gridSpan w:val="2"/>
            <w:tcBorders>
              <w:top w:val="nil"/>
              <w:left w:val="nil"/>
              <w:bottom w:val="nil"/>
              <w:right w:val="nil"/>
            </w:tcBorders>
            <w:shd w:val="clear" w:color="auto" w:fill="auto"/>
            <w:vAlign w:val="bottom"/>
          </w:tcPr>
          <w:p w:rsidR="004E0A37" w:rsidRPr="00A75940" w:rsidRDefault="004E0A37" w:rsidP="004E0A37">
            <w:pPr>
              <w:spacing w:before="60" w:after="60" w:line="340" w:lineRule="exact"/>
              <w:ind w:left="113" w:right="113"/>
              <w:rPr>
                <w:spacing w:val="-4"/>
                <w:sz w:val="20"/>
                <w:rtl/>
                <w:lang w:val="fr-CH"/>
              </w:rPr>
            </w:pPr>
            <w:r w:rsidRPr="00A75940">
              <w:rPr>
                <w:spacing w:val="-4"/>
                <w:sz w:val="20"/>
                <w:rtl/>
                <w:lang w:val="fr-CH"/>
              </w:rPr>
              <w:tab/>
            </w:r>
            <w:r w:rsidRPr="00A75940">
              <w:rPr>
                <w:rFonts w:hint="cs"/>
                <w:spacing w:val="-4"/>
                <w:sz w:val="20"/>
                <w:rtl/>
                <w:lang w:val="fr-CH"/>
              </w:rPr>
              <w:t>وقررت اللجنة، في دورتها الثامنة والأربعين، انتظار تلقي مزيد من المعلومات قبل اتخاذ قرار في المسألة. وستعد اللجنة رسالة تذكير تبعث بها إلى صاحب الشكوى لتقديم تعليقاته.</w:t>
            </w:r>
          </w:p>
        </w:tc>
      </w:tr>
      <w:tr w:rsidR="00A75940" w:rsidRPr="004E0A37" w:rsidTr="00542FAC">
        <w:trPr>
          <w:cantSplit/>
        </w:trPr>
        <w:tc>
          <w:tcPr>
            <w:tcW w:w="7159" w:type="dxa"/>
            <w:gridSpan w:val="2"/>
            <w:tcBorders>
              <w:top w:val="nil"/>
              <w:left w:val="nil"/>
              <w:bottom w:val="single" w:sz="12" w:space="0" w:color="auto"/>
              <w:right w:val="nil"/>
            </w:tcBorders>
            <w:shd w:val="clear" w:color="auto" w:fill="auto"/>
            <w:vAlign w:val="bottom"/>
          </w:tcPr>
          <w:p w:rsidR="00A75940" w:rsidRPr="004E0A37" w:rsidRDefault="00A75940" w:rsidP="004E0A37">
            <w:pPr>
              <w:spacing w:before="60" w:after="60" w:line="34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542FAC">
      <w:pPr>
        <w:pStyle w:val="SingleTxtGA"/>
        <w:spacing w:after="0"/>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496"/>
        <w:gridCol w:w="3663"/>
      </w:tblGrid>
      <w:tr w:rsidR="004E0A37" w:rsidRPr="004E0A37" w:rsidTr="00896EDE">
        <w:tc>
          <w:tcPr>
            <w:tcW w:w="3496" w:type="dxa"/>
            <w:tcBorders>
              <w:top w:val="single" w:sz="4" w:space="0" w:color="auto"/>
              <w:left w:val="nil"/>
              <w:bottom w:val="single" w:sz="12" w:space="0" w:color="auto"/>
            </w:tcBorders>
            <w:shd w:val="clear" w:color="auto" w:fill="auto"/>
            <w:vAlign w:val="bottom"/>
          </w:tcPr>
          <w:p w:rsidR="004E0A37" w:rsidRPr="004E0A37" w:rsidRDefault="004E0A37" w:rsidP="004E0A37">
            <w:pPr>
              <w:keepNext/>
              <w:keepLines/>
              <w:spacing w:before="60" w:after="60" w:line="336" w:lineRule="exact"/>
              <w:ind w:left="113" w:right="113"/>
              <w:rPr>
                <w:rFonts w:hint="cs"/>
                <w:b/>
                <w:bCs/>
                <w:spacing w:val="0"/>
                <w:sz w:val="20"/>
                <w:rtl/>
                <w:lang w:val="fr-CH"/>
              </w:rPr>
            </w:pPr>
            <w:r w:rsidRPr="004E0A37">
              <w:rPr>
                <w:rFonts w:hint="cs"/>
                <w:b/>
                <w:bCs/>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4E0A37" w:rsidRDefault="004E0A37" w:rsidP="004E0A37">
            <w:pPr>
              <w:keepNext/>
              <w:keepLines/>
              <w:spacing w:before="60" w:after="60" w:line="336" w:lineRule="exact"/>
              <w:ind w:left="113" w:right="113"/>
              <w:rPr>
                <w:rFonts w:hint="cs"/>
                <w:b/>
                <w:bCs/>
                <w:spacing w:val="0"/>
                <w:sz w:val="20"/>
                <w:rtl/>
                <w:lang w:val="fr-CH"/>
              </w:rPr>
            </w:pPr>
            <w:r w:rsidRPr="004E0A37">
              <w:rPr>
                <w:rFonts w:hint="cs"/>
                <w:b/>
                <w:bCs/>
                <w:spacing w:val="0"/>
                <w:sz w:val="20"/>
                <w:rtl/>
                <w:lang w:val="fr-CH"/>
              </w:rPr>
              <w:t>صربيا</w:t>
            </w:r>
          </w:p>
        </w:tc>
      </w:tr>
      <w:tr w:rsidR="004E0A37" w:rsidRPr="004E0A37" w:rsidTr="00896EDE">
        <w:tc>
          <w:tcPr>
            <w:tcW w:w="3496" w:type="dxa"/>
            <w:tcBorders>
              <w:top w:val="single" w:sz="12" w:space="0" w:color="auto"/>
              <w:left w:val="nil"/>
              <w:bottom w:val="nil"/>
              <w:right w:val="nil"/>
            </w:tcBorders>
            <w:shd w:val="clear" w:color="auto" w:fill="auto"/>
          </w:tcPr>
          <w:p w:rsidR="004E0A37" w:rsidRPr="004E0A37" w:rsidRDefault="004E0A37" w:rsidP="004E0A37">
            <w:pPr>
              <w:spacing w:before="60" w:after="60" w:line="336" w:lineRule="exact"/>
              <w:ind w:left="113" w:right="113"/>
              <w:rPr>
                <w:rFonts w:hint="cs"/>
                <w:b/>
                <w:bCs/>
                <w:spacing w:val="0"/>
                <w:sz w:val="20"/>
                <w:rtl/>
                <w:lang w:val="fr-CH"/>
              </w:rPr>
            </w:pPr>
            <w:r w:rsidRPr="004E0A37">
              <w:rPr>
                <w:rFonts w:hint="cs"/>
                <w:b/>
                <w:bCs/>
                <w:spacing w:val="0"/>
                <w:sz w:val="20"/>
                <w:rtl/>
                <w:lang w:val="fr-CH"/>
              </w:rPr>
              <w:t xml:space="preserve">القضية </w:t>
            </w:r>
          </w:p>
        </w:tc>
        <w:tc>
          <w:tcPr>
            <w:tcW w:w="3663" w:type="dxa"/>
            <w:tcBorders>
              <w:top w:val="single" w:sz="12" w:space="0" w:color="auto"/>
              <w:left w:val="nil"/>
              <w:bottom w:val="nil"/>
              <w:right w:val="nil"/>
            </w:tcBorders>
            <w:shd w:val="clear" w:color="auto" w:fill="auto"/>
            <w:vAlign w:val="bottom"/>
          </w:tcPr>
          <w:p w:rsidR="004E0A37" w:rsidRPr="004E0A37" w:rsidRDefault="004E0A37" w:rsidP="004E0A37">
            <w:pPr>
              <w:spacing w:before="60" w:after="60" w:line="336" w:lineRule="exact"/>
              <w:ind w:left="113" w:right="113"/>
              <w:rPr>
                <w:rFonts w:hint="cs"/>
                <w:b/>
                <w:bCs/>
                <w:spacing w:val="0"/>
                <w:sz w:val="20"/>
                <w:rtl/>
                <w:lang w:val="fr-CH"/>
              </w:rPr>
            </w:pPr>
            <w:r w:rsidRPr="00A75940">
              <w:rPr>
                <w:rFonts w:hint="cs"/>
                <w:b/>
                <w:bCs/>
                <w:i/>
                <w:iCs/>
                <w:spacing w:val="0"/>
                <w:sz w:val="20"/>
                <w:rtl/>
                <w:lang w:val="fr-CH"/>
              </w:rPr>
              <w:t>نيكوليتش</w:t>
            </w:r>
            <w:r w:rsidRPr="004E0A37">
              <w:rPr>
                <w:rFonts w:hint="cs"/>
                <w:b/>
                <w:bCs/>
                <w:spacing w:val="0"/>
                <w:sz w:val="20"/>
                <w:rtl/>
                <w:lang w:val="fr-CH"/>
              </w:rPr>
              <w:t>، 174/2000</w:t>
            </w:r>
          </w:p>
        </w:tc>
      </w:tr>
      <w:tr w:rsidR="004E0A37" w:rsidRPr="004E0A37" w:rsidTr="00896EDE">
        <w:tc>
          <w:tcPr>
            <w:tcW w:w="3496" w:type="dxa"/>
            <w:tcBorders>
              <w:top w:val="nil"/>
              <w:left w:val="nil"/>
              <w:bottom w:val="nil"/>
              <w:right w:val="nil"/>
            </w:tcBorders>
            <w:shd w:val="clear" w:color="auto" w:fill="auto"/>
          </w:tcPr>
          <w:p w:rsidR="004E0A37" w:rsidRPr="004E0A37" w:rsidRDefault="004E0A37" w:rsidP="004E0A37">
            <w:pPr>
              <w:spacing w:before="60" w:after="60" w:line="336"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663" w:type="dxa"/>
            <w:tcBorders>
              <w:top w:val="nil"/>
              <w:left w:val="nil"/>
              <w:bottom w:val="nil"/>
              <w:right w:val="nil"/>
            </w:tcBorders>
            <w:shd w:val="clear" w:color="auto" w:fill="auto"/>
            <w:vAlign w:val="bottom"/>
          </w:tcPr>
          <w:p w:rsidR="004E0A37" w:rsidRPr="004E0A37" w:rsidRDefault="004E0A37" w:rsidP="004E0A37">
            <w:pPr>
              <w:spacing w:before="60" w:after="60" w:line="336" w:lineRule="exact"/>
              <w:ind w:left="113" w:right="113"/>
              <w:rPr>
                <w:rFonts w:hint="cs"/>
                <w:spacing w:val="0"/>
                <w:sz w:val="20"/>
                <w:rtl/>
                <w:lang w:val="fr-CH"/>
              </w:rPr>
            </w:pPr>
            <w:r w:rsidRPr="004E0A37">
              <w:rPr>
                <w:rFonts w:hint="cs"/>
                <w:spacing w:val="0"/>
                <w:sz w:val="20"/>
                <w:rtl/>
                <w:lang w:val="fr-CH"/>
              </w:rPr>
              <w:t>24 تشرين الثاني/نوفمبر 2005</w:t>
            </w:r>
          </w:p>
        </w:tc>
      </w:tr>
      <w:tr w:rsidR="004E0A37" w:rsidRPr="004E0A37" w:rsidTr="00896EDE">
        <w:tc>
          <w:tcPr>
            <w:tcW w:w="3496" w:type="dxa"/>
            <w:tcBorders>
              <w:top w:val="nil"/>
              <w:left w:val="nil"/>
              <w:bottom w:val="nil"/>
              <w:right w:val="nil"/>
            </w:tcBorders>
            <w:shd w:val="clear" w:color="auto" w:fill="auto"/>
          </w:tcPr>
          <w:p w:rsidR="004E0A37" w:rsidRPr="004E0A37" w:rsidRDefault="004E0A37" w:rsidP="004E0A37">
            <w:pPr>
              <w:spacing w:before="60" w:after="60" w:line="336" w:lineRule="exact"/>
              <w:ind w:left="113" w:right="113"/>
              <w:rPr>
                <w:rFonts w:hint="cs"/>
                <w:b/>
                <w:bCs/>
                <w:spacing w:val="0"/>
                <w:sz w:val="20"/>
                <w:rtl/>
                <w:lang w:val="fr-CH"/>
              </w:rPr>
            </w:pPr>
            <w:r w:rsidRPr="004E0A37">
              <w:rPr>
                <w:rFonts w:hint="cs"/>
                <w:b/>
                <w:bCs/>
                <w:spacing w:val="0"/>
                <w:sz w:val="20"/>
                <w:rtl/>
                <w:lang w:val="fr-CH"/>
              </w:rPr>
              <w:t xml:space="preserve">الانتهاكات التي خلصت إليها اللجنة </w:t>
            </w:r>
          </w:p>
        </w:tc>
        <w:tc>
          <w:tcPr>
            <w:tcW w:w="3663" w:type="dxa"/>
            <w:tcBorders>
              <w:top w:val="nil"/>
              <w:left w:val="nil"/>
              <w:bottom w:val="nil"/>
              <w:right w:val="nil"/>
            </w:tcBorders>
            <w:shd w:val="clear" w:color="auto" w:fill="auto"/>
            <w:vAlign w:val="bottom"/>
          </w:tcPr>
          <w:p w:rsidR="004E0A37" w:rsidRPr="004E0A37" w:rsidRDefault="004E0A37" w:rsidP="004E0A37">
            <w:pPr>
              <w:spacing w:before="60" w:after="60" w:line="336" w:lineRule="exact"/>
              <w:ind w:left="113" w:right="113"/>
              <w:rPr>
                <w:rFonts w:hint="cs"/>
                <w:spacing w:val="0"/>
                <w:sz w:val="20"/>
                <w:rtl/>
                <w:lang w:val="fr-CH"/>
              </w:rPr>
            </w:pPr>
            <w:r w:rsidRPr="004E0A37">
              <w:rPr>
                <w:rFonts w:hint="cs"/>
                <w:spacing w:val="0"/>
                <w:sz w:val="20"/>
                <w:rtl/>
                <w:lang w:val="fr-CH"/>
              </w:rPr>
              <w:t>المادتان 12 و13</w:t>
            </w:r>
          </w:p>
        </w:tc>
      </w:tr>
      <w:tr w:rsidR="004E0A37" w:rsidRPr="004E0A37" w:rsidTr="00896EDE">
        <w:tc>
          <w:tcPr>
            <w:tcW w:w="3496" w:type="dxa"/>
            <w:tcBorders>
              <w:top w:val="nil"/>
              <w:left w:val="nil"/>
              <w:bottom w:val="nil"/>
              <w:right w:val="nil"/>
            </w:tcBorders>
            <w:shd w:val="clear" w:color="auto" w:fill="auto"/>
          </w:tcPr>
          <w:p w:rsidR="004E0A37" w:rsidRPr="004E0A37" w:rsidRDefault="004E0A37" w:rsidP="004E0A37">
            <w:pPr>
              <w:spacing w:before="60" w:after="60" w:line="336"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663" w:type="dxa"/>
            <w:tcBorders>
              <w:top w:val="nil"/>
              <w:left w:val="nil"/>
              <w:bottom w:val="nil"/>
              <w:right w:val="nil"/>
            </w:tcBorders>
            <w:shd w:val="clear" w:color="auto" w:fill="auto"/>
            <w:vAlign w:val="bottom"/>
          </w:tcPr>
          <w:p w:rsidR="004E0A37" w:rsidRPr="004E0A37" w:rsidRDefault="004E0A37" w:rsidP="004E0A37">
            <w:pPr>
              <w:spacing w:before="60" w:after="60" w:line="336" w:lineRule="exact"/>
              <w:ind w:left="113" w:right="113"/>
              <w:rPr>
                <w:rFonts w:hint="cs"/>
                <w:spacing w:val="0"/>
                <w:sz w:val="20"/>
                <w:rtl/>
                <w:lang w:val="fr-CH"/>
              </w:rPr>
            </w:pPr>
            <w:r w:rsidRPr="004E0A37">
              <w:rPr>
                <w:rFonts w:hint="cs"/>
                <w:spacing w:val="0"/>
                <w:sz w:val="20"/>
                <w:rtl/>
                <w:lang w:val="fr-CH"/>
              </w:rPr>
              <w:t xml:space="preserve">إجراء تحقيق نزيه في ملابسات وفاة ابن صاحبي الشكوى. </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36" w:lineRule="exact"/>
              <w:ind w:left="113" w:right="113"/>
              <w:rPr>
                <w:rFonts w:hint="cs"/>
                <w:b/>
                <w:bCs/>
                <w:spacing w:val="0"/>
                <w:sz w:val="20"/>
                <w:rtl/>
                <w:lang w:val="fr-CH"/>
              </w:rPr>
            </w:pPr>
            <w:r w:rsidRPr="004E0A37">
              <w:rPr>
                <w:rFonts w:hint="cs"/>
                <w:b/>
                <w:bCs/>
                <w:spacing w:val="0"/>
                <w:sz w:val="20"/>
                <w:rtl/>
                <w:lang w:val="fr-CH"/>
              </w:rPr>
              <w:t xml:space="preserve">معلومات المتابعة المُقدَّمة سابقاً: </w:t>
            </w:r>
            <w:r w:rsidRPr="004E0A37">
              <w:rPr>
                <w:b/>
                <w:spacing w:val="0"/>
                <w:sz w:val="20"/>
              </w:rPr>
              <w:t>A/66/44</w:t>
            </w:r>
            <w:r w:rsidRPr="004E0A37">
              <w:rPr>
                <w:rFonts w:hint="cs"/>
                <w:b/>
                <w:bCs/>
                <w:spacing w:val="0"/>
                <w:sz w:val="20"/>
                <w:rtl/>
                <w:lang w:val="fr-CH"/>
              </w:rPr>
              <w:t>، الفصل السادس</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36"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17 أيلول/سبتمبر 2011، أبلغت الدولة الطرف اللجنة أن سلطاتها قد دفعت في 15 آب/أغسطس 2008 لصحابي الشكوى تعويضاً بمبلغ 000 400 دينار لكل منهما، وذلك تعويضاً عن الألم العاطفي الذي تكبداه جراء وفاة السيد نيكولا نيكوليتش. وقد اتخذت وزارة العدل الإجراءات اللازمة أيضاً لدفع مبلغ آخر لصاحبي الشكوى تعويضاً عن فقدان ابنهما، ولا</w:t>
            </w:r>
            <w:r w:rsidRPr="004E0A37">
              <w:rPr>
                <w:rFonts w:hint="eastAsia"/>
                <w:spacing w:val="0"/>
                <w:sz w:val="20"/>
                <w:rtl/>
                <w:lang w:val="fr-CH"/>
              </w:rPr>
              <w:t> </w:t>
            </w:r>
            <w:r w:rsidRPr="004E0A37">
              <w:rPr>
                <w:rFonts w:hint="cs"/>
                <w:spacing w:val="0"/>
                <w:sz w:val="20"/>
                <w:rtl/>
                <w:lang w:val="fr-CH"/>
              </w:rPr>
              <w:t>تزال هذه المسألة قيد المناقشة مع ممثلي صاحبي الشكوى.</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36"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وكان صاحبا الشكوى قد رفعا، في ظل الانتهاكات الخطيرة لأحكام القانون الجنائي، التماساً إلى المحكمة العليا في صربيا بتاريخ 27 كانون الأول/ديسمبر 2007، من أجل حماية المشروعية، وذلك طعناً في قراري محكمة منطقة بلغراد الصادرين في 17 شباط/فبراير 1998 و11 أيار/مايو</w:t>
            </w:r>
            <w:r w:rsidRPr="004E0A37">
              <w:rPr>
                <w:rFonts w:hint="eastAsia"/>
                <w:spacing w:val="0"/>
                <w:sz w:val="20"/>
                <w:rtl/>
                <w:lang w:val="fr-CH"/>
              </w:rPr>
              <w:t> </w:t>
            </w:r>
            <w:r w:rsidRPr="004E0A37">
              <w:rPr>
                <w:rFonts w:hint="cs"/>
                <w:spacing w:val="0"/>
                <w:sz w:val="20"/>
                <w:rtl/>
                <w:lang w:val="fr-CH"/>
              </w:rPr>
              <w:t>2006، وقرار المحكمة العليا الصادر في 12 كانون الأول/ديسمبر 2001. وفي</w:t>
            </w:r>
            <w:r w:rsidRPr="004E0A37">
              <w:rPr>
                <w:rFonts w:hint="eastAsia"/>
                <w:spacing w:val="0"/>
                <w:sz w:val="20"/>
                <w:rtl/>
                <w:lang w:val="fr-CH"/>
              </w:rPr>
              <w:t> </w:t>
            </w:r>
            <w:r w:rsidRPr="004E0A37">
              <w:rPr>
                <w:rFonts w:hint="cs"/>
                <w:spacing w:val="0"/>
                <w:sz w:val="20"/>
                <w:rtl/>
                <w:lang w:val="fr-CH"/>
              </w:rPr>
              <w:t>11 تشرين الثاني/نوفمبر 2008، رفضت المحكمة العليا طلب الحماية المذكور.</w:t>
            </w:r>
          </w:p>
        </w:tc>
      </w:tr>
      <w:tr w:rsidR="004E0A37" w:rsidRPr="004E0A37" w:rsidTr="00542FAC">
        <w:tc>
          <w:tcPr>
            <w:tcW w:w="7159" w:type="dxa"/>
            <w:gridSpan w:val="2"/>
            <w:tcBorders>
              <w:top w:val="nil"/>
              <w:left w:val="nil"/>
              <w:bottom w:val="nil"/>
              <w:right w:val="nil"/>
            </w:tcBorders>
            <w:shd w:val="clear" w:color="auto" w:fill="auto"/>
            <w:vAlign w:val="bottom"/>
          </w:tcPr>
          <w:p w:rsidR="004E0A37" w:rsidRPr="00A75940" w:rsidRDefault="004E0A37" w:rsidP="004E0A37">
            <w:pPr>
              <w:spacing w:before="60" w:after="60" w:line="336" w:lineRule="exact"/>
              <w:ind w:left="113" w:right="113"/>
              <w:rPr>
                <w:spacing w:val="-4"/>
                <w:sz w:val="20"/>
                <w:rtl/>
                <w:lang w:val="fr-CH"/>
              </w:rPr>
            </w:pPr>
            <w:r w:rsidRPr="00A75940">
              <w:rPr>
                <w:spacing w:val="-4"/>
                <w:sz w:val="20"/>
                <w:rtl/>
                <w:lang w:val="fr-CH"/>
              </w:rPr>
              <w:tab/>
            </w:r>
            <w:r w:rsidRPr="00A75940">
              <w:rPr>
                <w:rFonts w:hint="cs"/>
                <w:spacing w:val="-4"/>
                <w:sz w:val="20"/>
                <w:rtl/>
                <w:lang w:val="fr-CH"/>
              </w:rPr>
              <w:t>وقررت اللجنة، في دورتها الثامنة والأربعين، انتظار تلقي مزيد من المعلومات قبل اتخاذ قرار في المسألة. وستعد اللجنة رسالة تذكير تبعث بها إلى صاحب الشكوى لتقديم تعليقاته.</w:t>
            </w:r>
          </w:p>
        </w:tc>
      </w:tr>
      <w:tr w:rsidR="00A75940" w:rsidRPr="004E0A37" w:rsidTr="00542FAC">
        <w:tc>
          <w:tcPr>
            <w:tcW w:w="7159" w:type="dxa"/>
            <w:gridSpan w:val="2"/>
            <w:tcBorders>
              <w:top w:val="nil"/>
              <w:left w:val="nil"/>
              <w:bottom w:val="single" w:sz="12" w:space="0" w:color="auto"/>
              <w:right w:val="nil"/>
            </w:tcBorders>
            <w:shd w:val="clear" w:color="auto" w:fill="auto"/>
            <w:vAlign w:val="bottom"/>
          </w:tcPr>
          <w:p w:rsidR="00A75940" w:rsidRPr="004E0A37" w:rsidRDefault="00A75940" w:rsidP="004E0A37">
            <w:pPr>
              <w:spacing w:before="60" w:after="60" w:line="336"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542FAC">
      <w:pPr>
        <w:pStyle w:val="SingleTxtGA"/>
        <w:spacing w:after="0"/>
        <w:rPr>
          <w:rFonts w:hint="cs"/>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496"/>
        <w:gridCol w:w="3663"/>
      </w:tblGrid>
      <w:tr w:rsidR="004E0A37" w:rsidRPr="004E0A37" w:rsidTr="00896EDE">
        <w:tc>
          <w:tcPr>
            <w:tcW w:w="3496" w:type="dxa"/>
            <w:tcBorders>
              <w:top w:val="single" w:sz="4" w:space="0" w:color="auto"/>
              <w:left w:val="nil"/>
              <w:bottom w:val="single" w:sz="12" w:space="0" w:color="auto"/>
            </w:tcBorders>
            <w:shd w:val="clear" w:color="auto" w:fill="auto"/>
            <w:vAlign w:val="bottom"/>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إسبانيا</w:t>
            </w:r>
          </w:p>
        </w:tc>
      </w:tr>
      <w:tr w:rsidR="004E0A37" w:rsidRPr="004E0A37" w:rsidTr="00896EDE">
        <w:tc>
          <w:tcPr>
            <w:tcW w:w="3496" w:type="dxa"/>
            <w:tcBorders>
              <w:top w:val="single" w:sz="12" w:space="0" w:color="auto"/>
              <w:left w:val="nil"/>
              <w:bottom w:val="nil"/>
              <w:right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663" w:type="dxa"/>
            <w:tcBorders>
              <w:top w:val="single" w:sz="12" w:space="0" w:color="auto"/>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b/>
                <w:bCs/>
                <w:spacing w:val="0"/>
                <w:sz w:val="20"/>
                <w:rtl/>
                <w:lang w:val="fr-CH"/>
              </w:rPr>
            </w:pPr>
            <w:r w:rsidRPr="00A75940">
              <w:rPr>
                <w:rFonts w:hint="cs"/>
                <w:b/>
                <w:bCs/>
                <w:i/>
                <w:iCs/>
                <w:spacing w:val="0"/>
                <w:sz w:val="20"/>
                <w:rtl/>
                <w:lang w:val="fr-CH"/>
              </w:rPr>
              <w:t>سونكو</w:t>
            </w:r>
            <w:r w:rsidRPr="004E0A37">
              <w:rPr>
                <w:rFonts w:hint="cs"/>
                <w:b/>
                <w:bCs/>
                <w:spacing w:val="0"/>
                <w:sz w:val="20"/>
                <w:rtl/>
                <w:lang w:val="fr-CH"/>
              </w:rPr>
              <w:t>، 368/2008</w:t>
            </w:r>
          </w:p>
        </w:tc>
      </w:tr>
      <w:tr w:rsidR="004E0A37" w:rsidRPr="004E0A37" w:rsidTr="00896EDE">
        <w:tc>
          <w:tcPr>
            <w:tcW w:w="3496" w:type="dxa"/>
            <w:tcBorders>
              <w:top w:val="nil"/>
              <w:left w:val="nil"/>
              <w:bottom w:val="nil"/>
              <w:right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آراء معتمدة في</w:t>
            </w:r>
          </w:p>
        </w:tc>
        <w:tc>
          <w:tcPr>
            <w:tcW w:w="3663" w:type="dxa"/>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rFonts w:hint="cs"/>
                <w:spacing w:val="0"/>
                <w:sz w:val="20"/>
                <w:rtl/>
                <w:lang w:val="fr-CH"/>
              </w:rPr>
              <w:t>25 تشرين الثاني/نوفمبر 2011</w:t>
            </w:r>
          </w:p>
        </w:tc>
      </w:tr>
      <w:tr w:rsidR="004E0A37" w:rsidRPr="004E0A37" w:rsidTr="00896EDE">
        <w:tc>
          <w:tcPr>
            <w:tcW w:w="3496" w:type="dxa"/>
            <w:tcBorders>
              <w:top w:val="nil"/>
              <w:left w:val="nil"/>
              <w:bottom w:val="nil"/>
              <w:right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663" w:type="dxa"/>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rFonts w:hint="cs"/>
                <w:spacing w:val="0"/>
                <w:sz w:val="20"/>
                <w:rtl/>
                <w:lang w:val="fr-CH"/>
              </w:rPr>
              <w:t>المادتان 12 و162</w:t>
            </w:r>
          </w:p>
        </w:tc>
      </w:tr>
      <w:tr w:rsidR="004E0A37" w:rsidRPr="004E0A37" w:rsidTr="00896EDE">
        <w:tc>
          <w:tcPr>
            <w:tcW w:w="3496" w:type="dxa"/>
            <w:tcBorders>
              <w:top w:val="nil"/>
              <w:left w:val="nil"/>
              <w:bottom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663" w:type="dxa"/>
            <w:tcBorders>
              <w:top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rFonts w:hint="cs"/>
                <w:spacing w:val="0"/>
                <w:sz w:val="20"/>
                <w:rtl/>
                <w:lang w:val="fr-CH"/>
              </w:rPr>
              <w:t>طلبت اللجنة إلى الدولة الطرف إجراء تحقيق مناسب في الوقائع التي حدثت يوم 26 أيلول/سبتمبر 2007، ومحاكمة ومعاقبة أي شخص تثبت مسؤوليته عن تلك الأحداث، وتقديم انتصاف فعال يشمل تعويض</w:t>
            </w:r>
            <w:r w:rsidR="0081655E">
              <w:rPr>
                <w:rFonts w:hint="cs"/>
                <w:spacing w:val="0"/>
                <w:sz w:val="20"/>
                <w:rtl/>
                <w:lang w:val="fr-CH"/>
              </w:rPr>
              <w:t xml:space="preserve">اً </w:t>
            </w:r>
            <w:r w:rsidRPr="004E0A37">
              <w:rPr>
                <w:rFonts w:hint="cs"/>
                <w:spacing w:val="0"/>
                <w:sz w:val="20"/>
                <w:rtl/>
                <w:lang w:val="fr-CH"/>
              </w:rPr>
              <w:t>كافي</w:t>
            </w:r>
            <w:r w:rsidR="0081655E">
              <w:rPr>
                <w:rFonts w:hint="cs"/>
                <w:spacing w:val="0"/>
                <w:sz w:val="20"/>
                <w:rtl/>
                <w:lang w:val="fr-CH"/>
              </w:rPr>
              <w:t xml:space="preserve">اً </w:t>
            </w:r>
            <w:r w:rsidRPr="004E0A37">
              <w:rPr>
                <w:rFonts w:hint="cs"/>
                <w:spacing w:val="0"/>
                <w:sz w:val="20"/>
                <w:rtl/>
                <w:lang w:val="fr-CH"/>
              </w:rPr>
              <w:t>لأسرة السيد سونكو.</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13 نيسان/أبريل 2012، قدمت الدولة الطرف ملاحظاتها في إطار متابعة القضية. وأرفقت رسالتها بنسخة من تقرير الآمر الأول للحرس المدني لسبتة، مؤرخ 9 آذار/مارس 2012. وتضمن التقرير معلومات مماثلة لتلك التي قدمتها الدولة الطرف (عند تقديم ملاحظاتها بشأن الأسس الموضوعية للبلاغ) وتشير بالخصوص إلى بعض المقاطع الوردة في قرار اللجنة.</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A75940" w:rsidRDefault="004E0A37" w:rsidP="00905E27">
            <w:pPr>
              <w:spacing w:before="40" w:after="40" w:line="340" w:lineRule="exact"/>
              <w:ind w:left="113" w:right="113"/>
              <w:rPr>
                <w:rFonts w:hint="cs"/>
                <w:spacing w:val="-4"/>
                <w:sz w:val="20"/>
                <w:rtl/>
                <w:lang w:val="fr-CH"/>
              </w:rPr>
            </w:pPr>
            <w:r w:rsidRPr="00A75940">
              <w:rPr>
                <w:spacing w:val="-4"/>
                <w:sz w:val="20"/>
                <w:rtl/>
                <w:lang w:val="fr-CH"/>
              </w:rPr>
              <w:tab/>
            </w:r>
            <w:r w:rsidRPr="00A75940">
              <w:rPr>
                <w:rFonts w:hint="cs"/>
                <w:spacing w:val="-4"/>
                <w:sz w:val="20"/>
                <w:rtl/>
                <w:lang w:val="fr-CH"/>
              </w:rPr>
              <w:t>وشككت في دقة ال</w:t>
            </w:r>
            <w:r w:rsidR="004A2C77">
              <w:rPr>
                <w:rFonts w:hint="cs"/>
                <w:spacing w:val="-4"/>
                <w:sz w:val="20"/>
                <w:rtl/>
                <w:lang w:val="fr-CH"/>
              </w:rPr>
              <w:t>م</w:t>
            </w:r>
            <w:r w:rsidRPr="00A75940">
              <w:rPr>
                <w:rFonts w:hint="cs"/>
                <w:spacing w:val="-4"/>
                <w:sz w:val="20"/>
                <w:rtl/>
                <w:lang w:val="fr-CH"/>
              </w:rPr>
              <w:t>علومات المقدمة في وصف الوقائع في الجزء السردي من قرار اللجنة وطعنت في ادعاءات صاحبة الشكوى. وتلاحظ الدولة الطرف في هذا الصدد أن شهادات عناصر الحرس المدني، التي ينبغي أن تتمتع بافتراض مصداقيتها على غرار أي شهادة أخرى، تبيّن أنه عندما غادر السيد سونكو كان قادر</w:t>
            </w:r>
            <w:r w:rsidR="0081655E">
              <w:rPr>
                <w:rFonts w:hint="cs"/>
                <w:spacing w:val="-4"/>
                <w:sz w:val="20"/>
                <w:rtl/>
                <w:lang w:val="fr-CH"/>
              </w:rPr>
              <w:t xml:space="preserve">اً </w:t>
            </w:r>
            <w:r w:rsidRPr="00A75940">
              <w:rPr>
                <w:rFonts w:hint="cs"/>
                <w:spacing w:val="-4"/>
                <w:sz w:val="20"/>
                <w:rtl/>
                <w:lang w:val="fr-CH"/>
              </w:rPr>
              <w:t>على المشي، وأن أفراد الحرس المدني</w:t>
            </w:r>
            <w:r w:rsidR="00335AC0" w:rsidRPr="00A75940">
              <w:rPr>
                <w:rFonts w:hint="cs"/>
                <w:spacing w:val="-4"/>
                <w:sz w:val="20"/>
                <w:rtl/>
                <w:lang w:val="fr-CH"/>
              </w:rPr>
              <w:t xml:space="preserve"> لم </w:t>
            </w:r>
            <w:r w:rsidRPr="00A75940">
              <w:rPr>
                <w:rFonts w:hint="cs"/>
                <w:spacing w:val="-4"/>
                <w:sz w:val="20"/>
                <w:rtl/>
                <w:lang w:val="fr-CH"/>
              </w:rPr>
              <w:t>يخرقوا قاربه. وبالإضافة إلى ذلك، كان زورق الحرس المدني الإسبانيين قريب</w:t>
            </w:r>
            <w:r w:rsidR="0081655E">
              <w:rPr>
                <w:rFonts w:hint="cs"/>
                <w:spacing w:val="-4"/>
                <w:sz w:val="20"/>
                <w:rtl/>
                <w:lang w:val="fr-CH"/>
              </w:rPr>
              <w:t xml:space="preserve">اً </w:t>
            </w:r>
            <w:r w:rsidRPr="00A75940">
              <w:rPr>
                <w:rFonts w:hint="cs"/>
                <w:spacing w:val="-4"/>
                <w:sz w:val="20"/>
                <w:rtl/>
                <w:lang w:val="fr-CH"/>
              </w:rPr>
              <w:t>من الشاطئ، وهو ما يمكن التأكد منه من لقطة في شريط فيديو مصور بكام</w:t>
            </w:r>
            <w:r w:rsidR="00A87880" w:rsidRPr="00A75940">
              <w:rPr>
                <w:rFonts w:hint="cs"/>
                <w:spacing w:val="-4"/>
                <w:sz w:val="20"/>
                <w:rtl/>
                <w:lang w:val="fr-CH"/>
              </w:rPr>
              <w:t>ي</w:t>
            </w:r>
            <w:r w:rsidRPr="00A75940">
              <w:rPr>
                <w:rFonts w:hint="cs"/>
                <w:spacing w:val="-4"/>
                <w:sz w:val="20"/>
                <w:rtl/>
                <w:lang w:val="fr-CH"/>
              </w:rPr>
              <w:t>رات المراقبة. وبالتالي، يتبين عند اللقطة 5:51:53 من تسجيل الفيديو أن السفينة كانت على بعد بضعة أمتار من الشاطئ. ثاني</w:t>
            </w:r>
            <w:r w:rsidR="006E1F60">
              <w:rPr>
                <w:rFonts w:hint="cs"/>
                <w:spacing w:val="-4"/>
                <w:sz w:val="20"/>
                <w:rtl/>
                <w:lang w:val="fr-CH"/>
              </w:rPr>
              <w:t>اً،</w:t>
            </w:r>
            <w:r w:rsidRPr="00A75940">
              <w:rPr>
                <w:rFonts w:hint="cs"/>
                <w:spacing w:val="-4"/>
                <w:sz w:val="20"/>
                <w:rtl/>
                <w:lang w:val="fr-CH"/>
              </w:rPr>
              <w:t xml:space="preserve"> ليس هناك أي طلب للجوء. وفضل</w:t>
            </w:r>
            <w:r w:rsidR="0081655E">
              <w:rPr>
                <w:rFonts w:hint="cs"/>
                <w:spacing w:val="-4"/>
                <w:sz w:val="20"/>
                <w:rtl/>
                <w:lang w:val="fr-CH"/>
              </w:rPr>
              <w:t xml:space="preserve">اً </w:t>
            </w:r>
            <w:r w:rsidRPr="00A75940">
              <w:rPr>
                <w:rFonts w:hint="cs"/>
                <w:spacing w:val="-4"/>
                <w:sz w:val="20"/>
                <w:rtl/>
                <w:lang w:val="fr-CH"/>
              </w:rPr>
              <w:t>عن ذلك، ينص قانون الدولة الطرف على أنه إذا قدم طلب اللجوء في الخارج لابد أن يودع لدى القنصلية أو السفارة. ثالث</w:t>
            </w:r>
            <w:r w:rsidR="006E1F60">
              <w:rPr>
                <w:rFonts w:hint="cs"/>
                <w:spacing w:val="-4"/>
                <w:sz w:val="20"/>
                <w:rtl/>
                <w:lang w:val="fr-CH"/>
              </w:rPr>
              <w:t>اً،</w:t>
            </w:r>
            <w:r w:rsidRPr="00A75940">
              <w:rPr>
                <w:rFonts w:hint="cs"/>
                <w:spacing w:val="-4"/>
                <w:sz w:val="20"/>
                <w:rtl/>
                <w:lang w:val="fr-CH"/>
              </w:rPr>
              <w:t xml:space="preserve"> تلاحظ الدولة الطرف أنه غير صحيح القول بأن أقرباء السيد سونكو</w:t>
            </w:r>
            <w:r w:rsidR="00335AC0" w:rsidRPr="00A75940">
              <w:rPr>
                <w:rFonts w:hint="cs"/>
                <w:spacing w:val="-4"/>
                <w:sz w:val="20"/>
                <w:rtl/>
                <w:lang w:val="fr-CH"/>
              </w:rPr>
              <w:t xml:space="preserve"> لم </w:t>
            </w:r>
            <w:r w:rsidRPr="00A75940">
              <w:rPr>
                <w:rFonts w:hint="cs"/>
                <w:spacing w:val="-4"/>
                <w:sz w:val="20"/>
                <w:rtl/>
                <w:lang w:val="fr-CH"/>
              </w:rPr>
              <w:t>يبلَّغوا بالدعوى المقدمة لمحكمة التحقيق رقم 1 في سبتة. فقد أبلغ بذلك السيد جانكوبا كولي، وهو خال السيد سونكو، في</w:t>
            </w:r>
            <w:r w:rsidR="00905E27">
              <w:rPr>
                <w:rFonts w:hint="eastAsia"/>
                <w:spacing w:val="-4"/>
                <w:sz w:val="20"/>
                <w:rtl/>
                <w:lang w:val="fr-CH"/>
              </w:rPr>
              <w:t> </w:t>
            </w:r>
            <w:r w:rsidRPr="00A75940">
              <w:rPr>
                <w:rFonts w:hint="cs"/>
                <w:spacing w:val="-4"/>
                <w:sz w:val="20"/>
                <w:rtl/>
                <w:lang w:val="fr-CH"/>
              </w:rPr>
              <w:t>5 كانون الثاني/يناير 2009. رابع</w:t>
            </w:r>
            <w:r w:rsidR="006E1F60">
              <w:rPr>
                <w:rFonts w:hint="cs"/>
                <w:spacing w:val="-4"/>
                <w:sz w:val="20"/>
                <w:rtl/>
                <w:lang w:val="fr-CH"/>
              </w:rPr>
              <w:t>اً،</w:t>
            </w:r>
            <w:r w:rsidRPr="00A75940">
              <w:rPr>
                <w:rFonts w:hint="cs"/>
                <w:spacing w:val="-4"/>
                <w:sz w:val="20"/>
                <w:rtl/>
                <w:lang w:val="fr-CH"/>
              </w:rPr>
              <w:t xml:space="preserve"> أن أفراد الحرس المدني للدولة الطرف تصرفوا لاعتبارات إنسانية لتقديم المساعدة والإغاثة</w:t>
            </w:r>
            <w:r w:rsidR="00B345DB" w:rsidRPr="00A75940">
              <w:rPr>
                <w:rFonts w:hint="cs"/>
                <w:spacing w:val="-4"/>
                <w:sz w:val="20"/>
                <w:rtl/>
                <w:lang w:val="fr-CH"/>
              </w:rPr>
              <w:t xml:space="preserve"> وفقاً </w:t>
            </w:r>
            <w:r w:rsidRPr="00A75940">
              <w:rPr>
                <w:rFonts w:hint="cs"/>
                <w:spacing w:val="-4"/>
                <w:sz w:val="20"/>
                <w:rtl/>
                <w:lang w:val="fr-CH"/>
              </w:rPr>
              <w:t>للمعاهدات الدولية التي وقعها المغرب، وبناءً على طلب السلطات المغربية. وبالتالي، ليس هناك أي إجراء إداري لرفض السماح بالدخول لأن تصرف أفراد الحرس</w:t>
            </w:r>
            <w:r w:rsidR="00335AC0" w:rsidRPr="00A75940">
              <w:rPr>
                <w:rFonts w:hint="cs"/>
                <w:spacing w:val="-4"/>
                <w:sz w:val="20"/>
                <w:rtl/>
                <w:lang w:val="fr-CH"/>
              </w:rPr>
              <w:t xml:space="preserve"> لم </w:t>
            </w:r>
            <w:r w:rsidRPr="00A75940">
              <w:rPr>
                <w:rFonts w:hint="cs"/>
                <w:spacing w:val="-4"/>
                <w:sz w:val="20"/>
                <w:rtl/>
                <w:lang w:val="fr-CH"/>
              </w:rPr>
              <w:t>يكن يندرج في نطاق مسائل أو لوائح الهجرة. خامس</w:t>
            </w:r>
            <w:r w:rsidR="006E1F60">
              <w:rPr>
                <w:rFonts w:hint="cs"/>
                <w:spacing w:val="-4"/>
                <w:sz w:val="20"/>
                <w:rtl/>
                <w:lang w:val="fr-CH"/>
              </w:rPr>
              <w:t>اً،</w:t>
            </w:r>
            <w:r w:rsidRPr="00A75940">
              <w:rPr>
                <w:rFonts w:hint="cs"/>
                <w:spacing w:val="-4"/>
                <w:sz w:val="20"/>
                <w:rtl/>
                <w:lang w:val="fr-CH"/>
              </w:rPr>
              <w:t xml:space="preserve"> لا توجد علاقة سببية بين عملية الإنقاذ التي قام بها أفراد الحرس المدني ووفاة السيد سونكو. وأخير</w:t>
            </w:r>
            <w:r w:rsidR="006E1F60">
              <w:rPr>
                <w:rFonts w:hint="cs"/>
                <w:spacing w:val="-4"/>
                <w:sz w:val="20"/>
                <w:rtl/>
                <w:lang w:val="fr-CH"/>
              </w:rPr>
              <w:t>اً،</w:t>
            </w:r>
            <w:r w:rsidRPr="00A75940">
              <w:rPr>
                <w:rFonts w:hint="cs"/>
                <w:spacing w:val="-4"/>
                <w:sz w:val="20"/>
                <w:rtl/>
                <w:lang w:val="fr-CH"/>
              </w:rPr>
              <w:t xml:space="preserve"> تلاحظ الدولة</w:t>
            </w:r>
            <w:r w:rsidR="00A75940">
              <w:rPr>
                <w:rFonts w:hint="eastAsia"/>
                <w:spacing w:val="-4"/>
                <w:sz w:val="20"/>
                <w:rtl/>
                <w:lang w:val="fr-CH"/>
              </w:rPr>
              <w:t> </w:t>
            </w:r>
            <w:r w:rsidRPr="00A75940">
              <w:rPr>
                <w:rFonts w:hint="cs"/>
                <w:spacing w:val="-4"/>
                <w:sz w:val="20"/>
                <w:rtl/>
                <w:lang w:val="fr-CH"/>
              </w:rPr>
              <w:t>الطرف أن اللجنة أشارت في قرارها إلى شهادة السيد داوو توري (الفقرة 6-3). ولكن لا يوجد في سجلات الحرس المدني،</w:t>
            </w:r>
            <w:r w:rsidR="00B345DB" w:rsidRPr="00A75940">
              <w:rPr>
                <w:rFonts w:hint="cs"/>
                <w:spacing w:val="-4"/>
                <w:sz w:val="20"/>
                <w:rtl/>
                <w:lang w:val="fr-CH"/>
              </w:rPr>
              <w:t xml:space="preserve"> وفقاً </w:t>
            </w:r>
            <w:r w:rsidRPr="00A75940">
              <w:rPr>
                <w:rFonts w:hint="cs"/>
                <w:spacing w:val="-4"/>
                <w:sz w:val="20"/>
                <w:rtl/>
                <w:lang w:val="fr-CH"/>
              </w:rPr>
              <w:t xml:space="preserve">للدولة الطرف، </w:t>
            </w:r>
            <w:r w:rsidR="00A87880" w:rsidRPr="00A75940">
              <w:rPr>
                <w:rFonts w:hint="cs"/>
                <w:spacing w:val="-4"/>
                <w:sz w:val="20"/>
                <w:rtl/>
                <w:lang w:val="fr-CH"/>
              </w:rPr>
              <w:t>أي معلومات عن إنقاذ شخص بهذا الا</w:t>
            </w:r>
            <w:r w:rsidRPr="00A75940">
              <w:rPr>
                <w:rFonts w:hint="cs"/>
                <w:spacing w:val="-4"/>
                <w:sz w:val="20"/>
                <w:rtl/>
                <w:lang w:val="fr-CH"/>
              </w:rPr>
              <w:t>سم مع الشخص المتوفى، وأنه بالتالي من الصعب إعطاء مصداقية لهذه الشهادة.</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A75940" w:rsidRDefault="004E0A37" w:rsidP="00905E27">
            <w:pPr>
              <w:spacing w:before="40" w:after="40" w:line="340" w:lineRule="exact"/>
              <w:ind w:left="113" w:right="113"/>
              <w:rPr>
                <w:rFonts w:hint="cs"/>
                <w:spacing w:val="-2"/>
                <w:sz w:val="20"/>
                <w:rtl/>
                <w:lang w:val="fr-CH"/>
              </w:rPr>
            </w:pPr>
            <w:r w:rsidRPr="00A75940">
              <w:rPr>
                <w:spacing w:val="-2"/>
                <w:sz w:val="20"/>
                <w:rtl/>
                <w:lang w:val="fr-CH"/>
              </w:rPr>
              <w:tab/>
            </w:r>
            <w:r w:rsidRPr="00A75940">
              <w:rPr>
                <w:rFonts w:hint="cs"/>
                <w:spacing w:val="-2"/>
                <w:sz w:val="20"/>
                <w:rtl/>
                <w:lang w:val="fr-CH"/>
              </w:rPr>
              <w:t>ويطعن التقرير كذلك في الاستنتاجات التي خلصت إليها اللجنة. فهو يؤكد أن المتوفى</w:t>
            </w:r>
            <w:r w:rsidR="00335AC0" w:rsidRPr="00A75940">
              <w:rPr>
                <w:rFonts w:hint="cs"/>
                <w:spacing w:val="-2"/>
                <w:sz w:val="20"/>
                <w:rtl/>
                <w:lang w:val="fr-CH"/>
              </w:rPr>
              <w:t xml:space="preserve"> لم </w:t>
            </w:r>
            <w:r w:rsidRPr="00A75940">
              <w:rPr>
                <w:rFonts w:hint="cs"/>
                <w:spacing w:val="-2"/>
                <w:sz w:val="20"/>
                <w:rtl/>
                <w:lang w:val="fr-CH"/>
              </w:rPr>
              <w:t>يتألم لا جسدي</w:t>
            </w:r>
            <w:r w:rsidR="0081655E">
              <w:rPr>
                <w:rFonts w:hint="cs"/>
                <w:spacing w:val="-2"/>
                <w:sz w:val="20"/>
                <w:rtl/>
                <w:lang w:val="fr-CH"/>
              </w:rPr>
              <w:t xml:space="preserve">اً </w:t>
            </w:r>
            <w:r w:rsidRPr="00A75940">
              <w:rPr>
                <w:rFonts w:hint="cs"/>
                <w:spacing w:val="-2"/>
                <w:sz w:val="20"/>
                <w:rtl/>
                <w:lang w:val="fr-CH"/>
              </w:rPr>
              <w:t>ولا نفسي</w:t>
            </w:r>
            <w:r w:rsidR="0081655E">
              <w:rPr>
                <w:rFonts w:hint="cs"/>
                <w:spacing w:val="-2"/>
                <w:sz w:val="20"/>
                <w:rtl/>
                <w:lang w:val="fr-CH"/>
              </w:rPr>
              <w:t xml:space="preserve">اً </w:t>
            </w:r>
            <w:r w:rsidRPr="00A75940">
              <w:rPr>
                <w:rFonts w:hint="cs"/>
                <w:spacing w:val="-2"/>
                <w:sz w:val="20"/>
                <w:rtl/>
                <w:lang w:val="fr-CH"/>
              </w:rPr>
              <w:t>قبل وفاته، بأي شكل من الأشكال. فوفاته كانت نتيجة حادث</w:t>
            </w:r>
            <w:r w:rsidR="00335AC0" w:rsidRPr="00A75940">
              <w:rPr>
                <w:rFonts w:hint="cs"/>
                <w:spacing w:val="-2"/>
                <w:sz w:val="20"/>
                <w:rtl/>
                <w:lang w:val="fr-CH"/>
              </w:rPr>
              <w:t xml:space="preserve"> لم </w:t>
            </w:r>
            <w:r w:rsidRPr="00A75940">
              <w:rPr>
                <w:rFonts w:hint="cs"/>
                <w:spacing w:val="-2"/>
                <w:sz w:val="20"/>
                <w:rtl/>
                <w:lang w:val="fr-CH"/>
              </w:rPr>
              <w:t>يكن للحرس المدني أي ضلع فيه</w:t>
            </w:r>
            <w:r w:rsidR="00727BAF" w:rsidRPr="00A75940">
              <w:rPr>
                <w:spacing w:val="-2"/>
                <w:sz w:val="20"/>
                <w:vertAlign w:val="superscript"/>
                <w:rtl/>
                <w:lang w:val="fr-CH"/>
              </w:rPr>
              <w:t>(</w:t>
            </w:r>
            <w:r w:rsidR="00727BAF" w:rsidRPr="00A75940">
              <w:rPr>
                <w:rStyle w:val="FootnoteReference"/>
                <w:spacing w:val="-2"/>
                <w:rtl/>
                <w:lang w:val="fr-CH"/>
              </w:rPr>
              <w:footnoteReference w:id="18"/>
            </w:r>
            <w:r w:rsidR="00727BAF" w:rsidRPr="00A75940">
              <w:rPr>
                <w:spacing w:val="-2"/>
                <w:sz w:val="20"/>
                <w:vertAlign w:val="superscript"/>
                <w:rtl/>
                <w:lang w:val="fr-CH"/>
              </w:rPr>
              <w:t>)</w:t>
            </w:r>
            <w:r w:rsidRPr="00A75940">
              <w:rPr>
                <w:rFonts w:hint="cs"/>
                <w:spacing w:val="-2"/>
                <w:sz w:val="20"/>
                <w:rtl/>
                <w:lang w:val="fr-CH"/>
              </w:rPr>
              <w:t>.</w:t>
            </w:r>
            <w:r w:rsidRPr="00A75940">
              <w:rPr>
                <w:spacing w:val="-2"/>
                <w:sz w:val="20"/>
                <w:rtl/>
                <w:lang w:val="fr-CH"/>
              </w:rPr>
              <w:t xml:space="preserve"> </w:t>
            </w:r>
            <w:r w:rsidRPr="00A75940">
              <w:rPr>
                <w:rFonts w:hint="cs"/>
                <w:spacing w:val="-2"/>
                <w:sz w:val="20"/>
                <w:rtl/>
                <w:lang w:val="fr-CH"/>
              </w:rPr>
              <w:t>أما عن توصية اللجنة للدولة الطرف بإجراء تحقيق مناسب وتقديم انتصاف فعال، فيشير التقرير إلى أنه إضافة إلى إجراء محكمة التحقيق رقم 1 في سبتة تحقيق</w:t>
            </w:r>
            <w:r w:rsidR="0081655E">
              <w:rPr>
                <w:rFonts w:hint="cs"/>
                <w:spacing w:val="-2"/>
                <w:sz w:val="20"/>
                <w:rtl/>
                <w:lang w:val="fr-CH"/>
              </w:rPr>
              <w:t xml:space="preserve">اً </w:t>
            </w:r>
            <w:r w:rsidRPr="00A75940">
              <w:rPr>
                <w:rFonts w:hint="cs"/>
                <w:spacing w:val="-2"/>
                <w:sz w:val="20"/>
                <w:rtl/>
                <w:lang w:val="fr-CH"/>
              </w:rPr>
              <w:t>قضائي</w:t>
            </w:r>
            <w:r w:rsidR="0081655E">
              <w:rPr>
                <w:rFonts w:hint="cs"/>
                <w:spacing w:val="-2"/>
                <w:sz w:val="20"/>
                <w:rtl/>
                <w:lang w:val="fr-CH"/>
              </w:rPr>
              <w:t xml:space="preserve">اً </w:t>
            </w:r>
            <w:r w:rsidRPr="00A75940">
              <w:rPr>
                <w:rFonts w:hint="cs"/>
                <w:spacing w:val="-2"/>
                <w:sz w:val="20"/>
                <w:rtl/>
                <w:lang w:val="fr-CH"/>
              </w:rPr>
              <w:t>مناسب</w:t>
            </w:r>
            <w:r w:rsidR="0081655E">
              <w:rPr>
                <w:rFonts w:hint="cs"/>
                <w:spacing w:val="-2"/>
                <w:sz w:val="20"/>
                <w:rtl/>
                <w:lang w:val="fr-CH"/>
              </w:rPr>
              <w:t xml:space="preserve">اً </w:t>
            </w:r>
            <w:r w:rsidRPr="00A75940">
              <w:rPr>
                <w:rFonts w:hint="cs"/>
                <w:spacing w:val="-2"/>
                <w:sz w:val="20"/>
                <w:rtl/>
                <w:lang w:val="fr-CH"/>
              </w:rPr>
              <w:t xml:space="preserve">ونزيها، فقد قامت وزارة الداخلية بإجراء إداري (القضية رقم </w:t>
            </w:r>
            <w:r w:rsidRPr="00A75940">
              <w:rPr>
                <w:rFonts w:eastAsia="Calibri"/>
                <w:spacing w:val="-2"/>
                <w:sz w:val="20"/>
              </w:rPr>
              <w:t>170/RP/08</w:t>
            </w:r>
            <w:r w:rsidRPr="00A75940">
              <w:rPr>
                <w:rFonts w:eastAsia="Calibri" w:hint="cs"/>
                <w:spacing w:val="-2"/>
                <w:sz w:val="20"/>
                <w:rtl/>
              </w:rPr>
              <w:t>) من أجل النظر في طلب صاحبة الشكوى الحصول على تعويض عن الأضرار الناجمة عن وفاة أخيها (السيد سانكو).</w:t>
            </w:r>
            <w:r w:rsidRPr="00A75940">
              <w:rPr>
                <w:rFonts w:hint="cs"/>
                <w:spacing w:val="-2"/>
                <w:sz w:val="20"/>
                <w:rtl/>
                <w:lang w:val="fr-CH"/>
              </w:rPr>
              <w:t xml:space="preserve"> وفي 16 حزيران/يونيه 2010، رفضت الأمانة الفنية العامة لوزارة الداخلية طلب صاحبة الشكوى، مبيّنةً أن وفاة السيد سانكو لا يمكن أن تعزى إلى فعل أو تقصير من جانب أفراد الحرس المدني. وكان بإمكان صاحبة الشكوى أن تطعن في هذا القرار أمام محكمة في غضون شهرين من تاريخ صدوره.</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ضوء ما تقدم، يعتبر آمر الحرس المدني في سبتة في تقريره أن الدولة الطرف قد امتثل بالفعل لجميع توصيات اللجنة.</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وتضمنت رسالة الدولة الطرف أيضاً نسخ</w:t>
            </w:r>
            <w:r w:rsidR="0081655E">
              <w:rPr>
                <w:rFonts w:hint="cs"/>
                <w:spacing w:val="0"/>
                <w:sz w:val="20"/>
                <w:rtl/>
                <w:lang w:val="fr-CH"/>
              </w:rPr>
              <w:t xml:space="preserve">اً </w:t>
            </w:r>
            <w:r w:rsidRPr="004E0A37">
              <w:rPr>
                <w:rFonts w:hint="cs"/>
                <w:spacing w:val="0"/>
                <w:sz w:val="20"/>
                <w:rtl/>
                <w:lang w:val="fr-CH"/>
              </w:rPr>
              <w:t>من قرار محكمة التحقيق رقم 1 في سبتة؛ وقرار الأمانة الفنية العامة لوزارة الداخلية المؤرخ 16 حزيران/يونيه 2010؛ وتقرير الآمر الأول للحرس المدني في سبتة المؤرخ 9 آذار/مارس 2012؛ ورسالة موجهة إلى محامي صاحبة الشكوى مؤرخة 26 آذار/مارس 2012، أبلغ فيها أن أي إجراء تتخذه الدولة الطرف سيبلغ به عن طريق اللجنة.</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27 نيسان/أبريل 2012، أفادت الدولة الطرف علاوة على ذلك بأنها اتخذت التدابير التالية عمل</w:t>
            </w:r>
            <w:r w:rsidR="0081655E">
              <w:rPr>
                <w:rFonts w:hint="cs"/>
                <w:spacing w:val="0"/>
                <w:sz w:val="20"/>
                <w:rtl/>
                <w:lang w:val="fr-CH"/>
              </w:rPr>
              <w:t xml:space="preserve">اً </w:t>
            </w:r>
            <w:r w:rsidRPr="004E0A37">
              <w:rPr>
                <w:rFonts w:hint="cs"/>
                <w:spacing w:val="0"/>
                <w:sz w:val="20"/>
                <w:rtl/>
                <w:lang w:val="fr-CH"/>
              </w:rPr>
              <w:t>بقرار اللجنة:</w:t>
            </w:r>
          </w:p>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(أ)</w:t>
            </w:r>
            <w:r w:rsidRPr="004E0A37">
              <w:rPr>
                <w:spacing w:val="0"/>
                <w:sz w:val="20"/>
                <w:rtl/>
                <w:lang w:val="fr-CH"/>
              </w:rPr>
              <w:tab/>
            </w:r>
            <w:r w:rsidRPr="004E0A37">
              <w:rPr>
                <w:rFonts w:hint="cs"/>
                <w:spacing w:val="0"/>
                <w:sz w:val="20"/>
                <w:rtl/>
                <w:lang w:val="fr-CH"/>
              </w:rPr>
              <w:t>إبلاغ جميع السلطات القضائية والإدارية التي كان لها دخل في هذه المسألة بقرار اللجنة؛</w:t>
            </w:r>
          </w:p>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(ب)</w:t>
            </w:r>
            <w:r w:rsidRPr="004E0A37">
              <w:rPr>
                <w:spacing w:val="0"/>
                <w:sz w:val="20"/>
                <w:rtl/>
                <w:lang w:val="fr-CH"/>
              </w:rPr>
              <w:tab/>
            </w:r>
            <w:r w:rsidRPr="004E0A37">
              <w:rPr>
                <w:rFonts w:hint="cs"/>
                <w:spacing w:val="0"/>
                <w:sz w:val="20"/>
                <w:rtl/>
                <w:lang w:val="fr-CH"/>
              </w:rPr>
              <w:t>نشر قرار اللجنة في النشرة الرسمية لوزارة العدل في الأسابيع القادمة؛</w:t>
            </w:r>
          </w:p>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(ج)</w:t>
            </w:r>
            <w:r w:rsidRPr="004E0A37">
              <w:rPr>
                <w:spacing w:val="0"/>
                <w:sz w:val="20"/>
                <w:rtl/>
                <w:lang w:val="fr-CH"/>
              </w:rPr>
              <w:tab/>
            </w:r>
            <w:r w:rsidRPr="004E0A37">
              <w:rPr>
                <w:rFonts w:hint="cs"/>
                <w:spacing w:val="0"/>
                <w:sz w:val="20"/>
                <w:rtl/>
                <w:lang w:val="fr-CH"/>
              </w:rPr>
              <w:t>و</w:t>
            </w:r>
            <w:r w:rsidR="00F96B1E">
              <w:rPr>
                <w:rFonts w:hint="cs"/>
                <w:spacing w:val="0"/>
                <w:sz w:val="20"/>
                <w:rtl/>
                <w:lang w:val="fr-CH"/>
              </w:rPr>
              <w:t>فيما </w:t>
            </w:r>
            <w:r w:rsidRPr="004E0A37">
              <w:rPr>
                <w:rFonts w:hint="cs"/>
                <w:spacing w:val="0"/>
                <w:sz w:val="20"/>
                <w:rtl/>
                <w:lang w:val="fr-CH"/>
              </w:rPr>
              <w:t>يتعلق بتوصية اللجنة بإجراء تحقيق مناسب ونزيه في الوقائع، فقد أحيل قرار اللجنة إلى مكتب المدعي العام من أجل النظر إن كانت هناك أسباب قانونية تبرر إعادة فتح التحقيق القضائي. وتشير الدولة الطرف إلى أن أي تحقيق قضائي هو كقاعدة عامة تحقيق نزيه ومناسب في ظل نظام يسوده القانون. وتنتظر الدولة الطرف النتيجة النهائية لتقييم مكتب المدعي العام.</w:t>
            </w:r>
          </w:p>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(د)</w:t>
            </w:r>
            <w:r w:rsidRPr="004E0A37">
              <w:rPr>
                <w:spacing w:val="0"/>
                <w:sz w:val="20"/>
                <w:rtl/>
                <w:lang w:val="fr-CH"/>
              </w:rPr>
              <w:tab/>
            </w:r>
            <w:r w:rsidRPr="004E0A37">
              <w:rPr>
                <w:rFonts w:hint="cs"/>
                <w:spacing w:val="0"/>
                <w:sz w:val="20"/>
                <w:rtl/>
                <w:lang w:val="fr-CH"/>
              </w:rPr>
              <w:t>أما عن تقديم سبل انتصاف فعالة، بما فيها التعويض المناسب، فتوضح الدولة الطرف أن الأمر يعود لأقرباء المتوفى للمطالبة بالانتصاف والتعويض ما</w:t>
            </w:r>
            <w:r w:rsidR="00A87880">
              <w:rPr>
                <w:rFonts w:hint="eastAsia"/>
                <w:spacing w:val="0"/>
                <w:sz w:val="20"/>
                <w:rtl/>
                <w:lang w:val="fr-CH"/>
              </w:rPr>
              <w:t> </w:t>
            </w:r>
            <w:r w:rsidRPr="004E0A37">
              <w:rPr>
                <w:rFonts w:hint="cs"/>
                <w:spacing w:val="0"/>
                <w:sz w:val="20"/>
                <w:rtl/>
                <w:lang w:val="fr-CH"/>
              </w:rPr>
              <w:t>داموا محقين في ذلك. ولم يودع أحد حتى الآن أي مطالبة من هذا النوع لا في إطار الإجراءات الجنائية ولا المدنية ولا الإدارية.</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وتضيف الدولة الطرف أنها ستبلغ اللجنة بأية مستجد</w:t>
            </w:r>
            <w:r w:rsidR="00A87880">
              <w:rPr>
                <w:rFonts w:hint="cs"/>
                <w:spacing w:val="0"/>
                <w:sz w:val="20"/>
                <w:rtl/>
                <w:lang w:val="fr-CH"/>
              </w:rPr>
              <w:t>ات تتعلق بالمسائل المشار إليها</w:t>
            </w:r>
            <w:r w:rsidR="000253DE">
              <w:rPr>
                <w:rFonts w:hint="eastAsia"/>
                <w:spacing w:val="0"/>
                <w:sz w:val="20"/>
                <w:rtl/>
                <w:lang w:val="fr-CH"/>
              </w:rPr>
              <w:t> </w:t>
            </w:r>
            <w:r w:rsidRPr="004E0A37">
              <w:rPr>
                <w:rFonts w:hint="cs"/>
                <w:spacing w:val="0"/>
                <w:sz w:val="20"/>
                <w:rtl/>
                <w:lang w:val="fr-CH"/>
              </w:rPr>
              <w:t>أعلاه.</w:t>
            </w:r>
          </w:p>
        </w:tc>
      </w:tr>
      <w:tr w:rsidR="004E0A37" w:rsidRPr="004E0A37" w:rsidTr="00896EDE">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وقد أحيلت إلى صاحبة الشكوى، في 17 نيسان/أبريل وفي أيار/مايو 2012، المعلومات التي قدمتها الدولة الطرف للتعليق عليها.</w:t>
            </w:r>
          </w:p>
        </w:tc>
      </w:tr>
      <w:tr w:rsidR="004E0A37" w:rsidRPr="004E0A37" w:rsidTr="00542FAC">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انتظار تلقي مزيد من المعلومات قبل اتخاذ قرار في المسألة.</w:t>
            </w:r>
          </w:p>
        </w:tc>
      </w:tr>
      <w:tr w:rsidR="00A75940" w:rsidRPr="004E0A37" w:rsidTr="00542FAC">
        <w:tc>
          <w:tcPr>
            <w:tcW w:w="7159" w:type="dxa"/>
            <w:gridSpan w:val="2"/>
            <w:tcBorders>
              <w:top w:val="nil"/>
              <w:left w:val="nil"/>
              <w:bottom w:val="single" w:sz="12" w:space="0" w:color="auto"/>
              <w:right w:val="nil"/>
            </w:tcBorders>
            <w:shd w:val="clear" w:color="auto" w:fill="auto"/>
            <w:vAlign w:val="bottom"/>
          </w:tcPr>
          <w:p w:rsidR="00A75940" w:rsidRPr="004E0A37" w:rsidRDefault="00A75940" w:rsidP="00905E27">
            <w:pPr>
              <w:spacing w:before="60" w:after="60" w:line="340" w:lineRule="exact"/>
              <w:ind w:left="113" w:right="113"/>
              <w:rPr>
                <w:rFonts w:hint="cs"/>
                <w:spacing w:val="0"/>
                <w:sz w:val="20"/>
                <w:rtl/>
                <w:lang w:val="fr-CH"/>
              </w:rPr>
            </w:pPr>
            <w:r w:rsidRPr="004E0A37">
              <w:rPr>
                <w:rFonts w:hint="cs"/>
                <w:b/>
                <w:bCs/>
                <w:spacing w:val="0"/>
                <w:sz w:val="20"/>
                <w:rtl/>
                <w:lang w:val="fr-CH"/>
              </w:rPr>
              <w:t>قرار اللجنة</w:t>
            </w:r>
            <w:r>
              <w:rPr>
                <w:rFonts w:hint="cs"/>
                <w:spacing w:val="0"/>
                <w:sz w:val="20"/>
                <w:rtl/>
                <w:lang w:val="fr-CH"/>
              </w:rPr>
              <w:t xml:space="preserve">: </w:t>
            </w:r>
            <w:r w:rsidRPr="004E0A37">
              <w:rPr>
                <w:rFonts w:hint="cs"/>
                <w:spacing w:val="0"/>
                <w:sz w:val="20"/>
                <w:rtl/>
                <w:lang w:val="fr-CH"/>
              </w:rPr>
              <w:t>حوار المتابعة مستمر.</w:t>
            </w:r>
          </w:p>
        </w:tc>
      </w:tr>
    </w:tbl>
    <w:p w:rsidR="004E0A37" w:rsidRPr="004E0A37" w:rsidRDefault="004E0A37" w:rsidP="00542FAC">
      <w:pPr>
        <w:pStyle w:val="SingleTxtGA"/>
        <w:spacing w:after="0"/>
        <w:rPr>
          <w:rFonts w:hint="cs"/>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496"/>
        <w:gridCol w:w="3663"/>
      </w:tblGrid>
      <w:tr w:rsidR="004E0A37" w:rsidRPr="004E0A37" w:rsidTr="00905E27">
        <w:tc>
          <w:tcPr>
            <w:tcW w:w="3496" w:type="dxa"/>
            <w:tcBorders>
              <w:top w:val="single" w:sz="4" w:space="0" w:color="auto"/>
              <w:left w:val="nil"/>
              <w:bottom w:val="single" w:sz="12" w:space="0" w:color="auto"/>
            </w:tcBorders>
            <w:shd w:val="clear" w:color="auto" w:fill="auto"/>
            <w:vAlign w:val="bottom"/>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السويد</w:t>
            </w:r>
          </w:p>
        </w:tc>
      </w:tr>
      <w:tr w:rsidR="004E0A37" w:rsidRPr="004E0A37" w:rsidTr="00905E27">
        <w:tc>
          <w:tcPr>
            <w:tcW w:w="3496" w:type="dxa"/>
            <w:tcBorders>
              <w:top w:val="single" w:sz="12" w:space="0" w:color="auto"/>
              <w:left w:val="nil"/>
              <w:bottom w:val="nil"/>
              <w:right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663" w:type="dxa"/>
            <w:tcBorders>
              <w:top w:val="single" w:sz="12" w:space="0" w:color="auto"/>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b/>
                <w:bCs/>
                <w:spacing w:val="0"/>
                <w:sz w:val="20"/>
                <w:rtl/>
                <w:lang w:val="fr-CH"/>
              </w:rPr>
            </w:pPr>
            <w:r w:rsidRPr="00A75940">
              <w:rPr>
                <w:rFonts w:hint="cs"/>
                <w:b/>
                <w:bCs/>
                <w:i/>
                <w:iCs/>
                <w:spacing w:val="0"/>
                <w:sz w:val="20"/>
                <w:rtl/>
                <w:lang w:val="fr-CH"/>
              </w:rPr>
              <w:t>عجيزة</w:t>
            </w:r>
            <w:r w:rsidRPr="004E0A37">
              <w:rPr>
                <w:rFonts w:hint="cs"/>
                <w:b/>
                <w:bCs/>
                <w:spacing w:val="0"/>
                <w:sz w:val="20"/>
                <w:rtl/>
                <w:lang w:val="fr-CH"/>
              </w:rPr>
              <w:t>، 233/2003</w:t>
            </w:r>
          </w:p>
        </w:tc>
      </w:tr>
      <w:tr w:rsidR="004E0A37" w:rsidRPr="004E0A37" w:rsidTr="00905E27">
        <w:tc>
          <w:tcPr>
            <w:tcW w:w="3496" w:type="dxa"/>
            <w:tcBorders>
              <w:top w:val="nil"/>
              <w:left w:val="nil"/>
              <w:bottom w:val="nil"/>
              <w:right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آراء معتمدة في</w:t>
            </w:r>
          </w:p>
        </w:tc>
        <w:tc>
          <w:tcPr>
            <w:tcW w:w="3663" w:type="dxa"/>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rFonts w:hint="cs"/>
                <w:spacing w:val="0"/>
                <w:sz w:val="20"/>
                <w:rtl/>
                <w:lang w:val="fr-CH"/>
              </w:rPr>
              <w:t>20 أيار/مايو 2005</w:t>
            </w:r>
          </w:p>
        </w:tc>
      </w:tr>
      <w:tr w:rsidR="004E0A37" w:rsidRPr="004E0A37" w:rsidTr="00905E27">
        <w:tc>
          <w:tcPr>
            <w:tcW w:w="3496" w:type="dxa"/>
            <w:tcBorders>
              <w:top w:val="nil"/>
              <w:left w:val="nil"/>
              <w:bottom w:val="nil"/>
              <w:right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663" w:type="dxa"/>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rFonts w:hint="cs"/>
                <w:spacing w:val="0"/>
                <w:sz w:val="20"/>
                <w:rtl/>
                <w:lang w:val="fr-CH"/>
              </w:rPr>
              <w:t>المادتان 3 و22</w:t>
            </w:r>
          </w:p>
        </w:tc>
      </w:tr>
      <w:tr w:rsidR="004E0A37" w:rsidRPr="004E0A37" w:rsidTr="00905E27">
        <w:tc>
          <w:tcPr>
            <w:tcW w:w="3496" w:type="dxa"/>
            <w:tcBorders>
              <w:top w:val="nil"/>
              <w:left w:val="nil"/>
              <w:bottom w:val="nil"/>
            </w:tcBorders>
            <w:shd w:val="clear" w:color="auto" w:fill="auto"/>
          </w:tcPr>
          <w:p w:rsidR="004E0A37" w:rsidRPr="004E0A37" w:rsidRDefault="004E0A37" w:rsidP="00905E2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663" w:type="dxa"/>
            <w:tcBorders>
              <w:top w:val="nil"/>
              <w:bottom w:val="nil"/>
              <w:right w:val="nil"/>
            </w:tcBorders>
            <w:shd w:val="clear" w:color="auto" w:fill="auto"/>
            <w:vAlign w:val="bottom"/>
          </w:tcPr>
          <w:p w:rsidR="004E0A37" w:rsidRPr="004E0A37" w:rsidRDefault="004E0A37" w:rsidP="00905E27">
            <w:pPr>
              <w:spacing w:before="60" w:line="340" w:lineRule="exact"/>
              <w:ind w:left="113" w:right="113"/>
              <w:rPr>
                <w:rFonts w:hint="cs"/>
                <w:spacing w:val="0"/>
                <w:sz w:val="20"/>
                <w:rtl/>
                <w:lang w:val="fr-CH"/>
              </w:rPr>
            </w:pPr>
            <w:r w:rsidRPr="004E0A37">
              <w:rPr>
                <w:rFonts w:hint="cs"/>
                <w:spacing w:val="0"/>
                <w:sz w:val="20"/>
                <w:rtl/>
                <w:lang w:val="fr-CH"/>
              </w:rPr>
              <w:t>طلبت اللجنة إلى الدولة الطرف أن تتخذ خطوات استجابةً لاستنتاج وقوع انتهاك لحقوق صاحب الشكوى بموجب المادتين 3 و22 من الاتفاقية بسبب إعادته القسرية إلى مصر، وأن تعمل على منع تكرار انتهاكات مماثلة في المستقبل.</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40" w:lineRule="exact"/>
              <w:ind w:left="113" w:right="113"/>
              <w:rPr>
                <w:rFonts w:hint="cs"/>
                <w:b/>
                <w:bCs/>
                <w:spacing w:val="0"/>
                <w:sz w:val="20"/>
                <w:rtl/>
                <w:lang w:val="fr-CH"/>
              </w:rPr>
            </w:pPr>
            <w:r w:rsidRPr="004E0A37">
              <w:rPr>
                <w:rFonts w:hint="cs"/>
                <w:b/>
                <w:bCs/>
                <w:spacing w:val="0"/>
                <w:sz w:val="20"/>
                <w:rtl/>
                <w:lang w:val="fr-CH"/>
              </w:rPr>
              <w:t xml:space="preserve">معلومات المتابعة المُقدَّمة سابقاً: </w:t>
            </w:r>
            <w:r w:rsidRPr="004E0A37">
              <w:rPr>
                <w:b/>
                <w:spacing w:val="0"/>
                <w:sz w:val="20"/>
              </w:rPr>
              <w:t>A/66/44</w:t>
            </w:r>
            <w:r w:rsidRPr="004E0A37">
              <w:rPr>
                <w:rFonts w:hint="cs"/>
                <w:b/>
                <w:bCs/>
                <w:spacing w:val="0"/>
                <w:sz w:val="20"/>
                <w:rtl/>
                <w:lang w:val="fr-CH"/>
              </w:rPr>
              <w:t>،الفصل السادس</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13 أيار/مايو 2011، أبلغت الدولة الطرف اللجنة بأن السفارة السويدية في القاهرة ما زالت تقوم بزيارات إلى السيد عجيزة لرصد حالته في السجن. وقد أجرت السفارة حتى الآن</w:t>
            </w:r>
            <w:r w:rsidRPr="004E0A37">
              <w:rPr>
                <w:rFonts w:hint="eastAsia"/>
                <w:spacing w:val="0"/>
                <w:sz w:val="20"/>
                <w:rtl/>
                <w:lang w:val="fr-CH"/>
              </w:rPr>
              <w:t> </w:t>
            </w:r>
            <w:r w:rsidRPr="004E0A37">
              <w:rPr>
                <w:rFonts w:hint="cs"/>
                <w:spacing w:val="0"/>
                <w:sz w:val="20"/>
                <w:rtl/>
                <w:lang w:val="fr-CH"/>
              </w:rPr>
              <w:t xml:space="preserve">63 زيارة إلى سجن طرى، آخرها في 11 نيسان/أبريل 2011. وأشارت إلى أن طلباً قد رُفع إلى القضاء من أجل الإفراج المبكر؛ والسفارة بصدد متابعة القضية وتسعى إلى الحصول على معلومات من مصادر مختلفة.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وتذكر الدولة الطرف أنها قد أبلغت اللجنة، في ملاحظاتها المؤرخة في 7 كانون الأول/ديسمبر</w:t>
            </w:r>
            <w:r w:rsidRPr="004E0A37">
              <w:rPr>
                <w:rFonts w:hint="eastAsia"/>
                <w:spacing w:val="0"/>
                <w:sz w:val="20"/>
                <w:rtl/>
                <w:lang w:val="fr-CH"/>
              </w:rPr>
              <w:t> </w:t>
            </w:r>
            <w:r w:rsidRPr="004E0A37">
              <w:rPr>
                <w:rFonts w:hint="cs"/>
                <w:spacing w:val="0"/>
                <w:sz w:val="20"/>
                <w:rtl/>
                <w:lang w:val="fr-CH"/>
              </w:rPr>
              <w:t xml:space="preserve">2009، بأن حكومة السويد قد منحت تعويضاً لصاحب الشكوى وأن قراراً نهائياً قد اتُخذ </w:t>
            </w:r>
            <w:r w:rsidR="00F96B1E">
              <w:rPr>
                <w:rFonts w:hint="cs"/>
                <w:spacing w:val="0"/>
                <w:sz w:val="20"/>
                <w:rtl/>
                <w:lang w:val="fr-CH"/>
              </w:rPr>
              <w:t>فيما </w:t>
            </w:r>
            <w:r w:rsidRPr="004E0A37">
              <w:rPr>
                <w:rFonts w:hint="cs"/>
                <w:spacing w:val="0"/>
                <w:sz w:val="20"/>
                <w:rtl/>
                <w:lang w:val="fr-CH"/>
              </w:rPr>
              <w:t>يتعلق بمنح السيد عجيزة تصريح إقامة دائمة في السويد</w:t>
            </w:r>
            <w:r w:rsidR="00727BAF">
              <w:rPr>
                <w:spacing w:val="0"/>
                <w:sz w:val="20"/>
                <w:vertAlign w:val="superscript"/>
                <w:rtl/>
                <w:lang w:val="fr-CH"/>
              </w:rPr>
              <w:t>(</w:t>
            </w:r>
            <w:r w:rsidR="00727BAF">
              <w:rPr>
                <w:rStyle w:val="FootnoteReference"/>
                <w:spacing w:val="0"/>
                <w:rtl/>
                <w:lang w:val="fr-CH"/>
              </w:rPr>
              <w:footnoteReference w:id="19"/>
            </w:r>
            <w:r w:rsidR="00727BAF">
              <w:rPr>
                <w:spacing w:val="0"/>
                <w:sz w:val="20"/>
                <w:vertAlign w:val="superscript"/>
                <w:rtl/>
                <w:lang w:val="fr-CH"/>
              </w:rPr>
              <w:t>)</w:t>
            </w:r>
            <w:r w:rsidRPr="004E0A37">
              <w:rPr>
                <w:rFonts w:hint="cs"/>
                <w:spacing w:val="0"/>
                <w:sz w:val="20"/>
                <w:rtl/>
                <w:lang w:val="fr-CH"/>
              </w:rPr>
              <w:t xml:space="preserve">. وأعلنت الدولة الطرف أيضاً نيتها عدم اتخاذ أية إجراءات إضافية بخصوص قرار اللجنة في هذه القضية. وتبعاً لذلك، نُقل ملف صاحب الشكوى في 26 آب/أغسطس 2010 إلى قسم المحفوظات التابع لوزارة الشؤون الخارجية. وتؤكد الدولة الطرف أنها تعتبر أن ملف هذه القضية قد أُقفل وأن اللجنة قد زوِّدت بكل المعلومات المطلوبة بموجب إجراء المتابعة.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وفي 5 أيلول/سبتمبر 2011، أعرب محامي صاحب الشكوى عن دهشته من موقف الدولة الطرف التي ترى أن ملف القضية قد أُقفل، ولكنه أعرب عن ارتياحه إزاء الزيارات المستمرة التي تقوم بها السفارة وإزاء الإجراءات المتخذة بشأن إمكانية الإفراج المبكر عن صاحب الشكوى.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وبيَّن محامي صاحب الشكوى كذلك أن السيد عجيزة قد أُطلق سراحه من السجن في بداية آب/أغسطس 2011 وأنه ينعم بحريته في القاهرة. ولا تزال أسباب إطلاق سراحه غير واضحة، ولكن المحامي يعتقد أن إطلاق سراحه قد يكون مرتبطاً بالتغيرات التي شهدتها مصر في الفترة الأخيرة. ويعتزم صاحب الشكوى تقديم طلب للحصول على تصريح إقامة في السويد، وذلك أساساً لأن زوجته وأبناءه الستة يقيمون في السويد ويحملون الجنسية السويدية، ولأنه يحتاج إلى علاج طبي نتيجةً لما تعرض له من تعذيب. ويعتبر المحامي أنه من المناسب، في ضوء آراء اللجنة، أن تمنح الدولة الطرف تصريح إقامة لصاحب الشكوى.</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40" w:after="4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12 تشرين الأول/أكتوبر 2011، أكدت الدولة الطرف أن السيد عجيزة أطلق سراحه في آب/أغسطس 2011. وأوضحت الدولة الطرف أن سلطاتها ستنظر في أي طلب يقدمه صاحب الشكوى للحصول على تصريح إقامة في السويد</w:t>
            </w:r>
            <w:r w:rsidR="00B345DB">
              <w:rPr>
                <w:rFonts w:hint="cs"/>
                <w:spacing w:val="0"/>
                <w:sz w:val="20"/>
                <w:rtl/>
                <w:lang w:val="fr-CH"/>
              </w:rPr>
              <w:t xml:space="preserve"> وفقاً </w:t>
            </w:r>
            <w:r w:rsidRPr="004E0A37">
              <w:rPr>
                <w:rFonts w:hint="cs"/>
                <w:spacing w:val="0"/>
                <w:sz w:val="20"/>
                <w:rtl/>
                <w:lang w:val="fr-CH"/>
              </w:rPr>
              <w:t>للتشريعات والإجراءات القائمة في البلد. وتضيف الدولة الطرف بالقول إن الإجراءات المتعلقة ب‍</w:t>
            </w:r>
            <w:r w:rsidRPr="004E0A37">
              <w:rPr>
                <w:rFonts w:hint="eastAsia"/>
                <w:spacing w:val="0"/>
                <w:sz w:val="20"/>
                <w:rtl/>
                <w:lang w:val="fr-CH"/>
              </w:rPr>
              <w:t xml:space="preserve"> "قضايا الأمن" </w:t>
            </w:r>
            <w:r w:rsidRPr="004E0A37">
              <w:rPr>
                <w:rFonts w:hint="cs"/>
                <w:spacing w:val="0"/>
                <w:sz w:val="20"/>
                <w:rtl/>
                <w:lang w:val="fr-CH"/>
              </w:rPr>
              <w:t xml:space="preserve">تغيّرت </w:t>
            </w:r>
            <w:r w:rsidRPr="004E0A37">
              <w:rPr>
                <w:rFonts w:hint="eastAsia"/>
                <w:spacing w:val="0"/>
                <w:sz w:val="20"/>
                <w:rtl/>
                <w:lang w:val="fr-CH"/>
              </w:rPr>
              <w:t xml:space="preserve">اعتباراً من 1 </w:t>
            </w:r>
            <w:r w:rsidRPr="004E0A37">
              <w:rPr>
                <w:rFonts w:hint="cs"/>
                <w:spacing w:val="0"/>
                <w:sz w:val="20"/>
                <w:rtl/>
                <w:lang w:val="fr-CH"/>
              </w:rPr>
              <w:t>كانون الثاني/يناير 2010، أي بعد قرار الحكومة الصادر في 19 تشرين الثاني/نوفمبر 2009 والذي يقضي بعدم منح تصريح إقامة لصاحب الشكوى؛ وأصبحت هذه القضايا تعالج بنفس الطريقة التي تعالج بها القضايا المتعلقة بتصاريح الإقامة، أي أن القرارات التي يتخذها مجلس الهجرة في هذا الصدد يمكن استئنافها أمام محاكم الهجرة وأمام محكمة الاستئناف المختصة بقضايا الهجرة، باستثناء "القضايا الأمنية الموصوفة" التي يوجد بشأنها نظام مختلف للاستئناف.</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60" w:after="60" w:line="33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وتؤكد الدولة الطرف أن مجلس الهجرة ومحاكم الهجرة هي هيئات مستقلة عن الحكومة وأنه لا يجوز للحكومة أن تصدر أية تعليمات إلى هذه الهيئات في إطار تقييمها للملفات الفردية.</w:t>
            </w:r>
          </w:p>
        </w:tc>
      </w:tr>
      <w:tr w:rsidR="004E0A37" w:rsidRPr="004E0A37" w:rsidTr="00542FAC">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وتؤكد الدولة الطرف من جديد أنها تعتبر أن ملف القضية المعروضة على اللجنة قد أُقفل بعد أن زُوَّدت اللجنة بجميع المعلومات المطلوبة بموجب إجراء المتابعة.</w:t>
            </w:r>
          </w:p>
        </w:tc>
      </w:tr>
      <w:tr w:rsidR="004E0A37" w:rsidRPr="004E0A37" w:rsidTr="00542FAC">
        <w:tc>
          <w:tcPr>
            <w:tcW w:w="7159" w:type="dxa"/>
            <w:gridSpan w:val="2"/>
            <w:tcBorders>
              <w:top w:val="nil"/>
              <w:left w:val="nil"/>
              <w:bottom w:val="single" w:sz="12" w:space="0" w:color="auto"/>
              <w:right w:val="nil"/>
            </w:tcBorders>
            <w:shd w:val="clear" w:color="auto" w:fill="auto"/>
            <w:vAlign w:val="bottom"/>
          </w:tcPr>
          <w:p w:rsidR="004E0A37" w:rsidRPr="004E0A37" w:rsidRDefault="004E0A37" w:rsidP="00905E27">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وفي الدورة السابعة والأربعين، قررت اللجنة، في ضوء التدابير التي اتخذتها الدولة الطرف حتى الآن، وقف حوار المتابعة.</w:t>
            </w:r>
          </w:p>
        </w:tc>
      </w:tr>
    </w:tbl>
    <w:p w:rsidR="004E0A37" w:rsidRPr="004E0A37" w:rsidRDefault="004E0A37" w:rsidP="004E0A37">
      <w:pPr>
        <w:pStyle w:val="SingleTxtGA"/>
        <w:jc w:val="lowKashida"/>
        <w:rPr>
          <w:rFonts w:hint="cs"/>
          <w:spacing w:val="0"/>
          <w:sz w:val="20"/>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496"/>
        <w:gridCol w:w="3663"/>
      </w:tblGrid>
      <w:tr w:rsidR="004E0A37" w:rsidRPr="004E0A37" w:rsidTr="00905E27">
        <w:tc>
          <w:tcPr>
            <w:tcW w:w="3496" w:type="dxa"/>
            <w:tcBorders>
              <w:top w:val="single" w:sz="4" w:space="0" w:color="auto"/>
              <w:left w:val="nil"/>
              <w:bottom w:val="single" w:sz="12" w:space="0" w:color="auto"/>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rFonts w:hint="cs"/>
                <w:b/>
                <w:bCs/>
                <w:i/>
                <w:spacing w:val="0"/>
                <w:sz w:val="20"/>
                <w:rtl/>
                <w:lang w:val="fr-CH"/>
              </w:rPr>
            </w:pPr>
            <w:r w:rsidRPr="004E0A37">
              <w:rPr>
                <w:rFonts w:hint="cs"/>
                <w:b/>
                <w:bCs/>
                <w:i/>
                <w:spacing w:val="0"/>
                <w:sz w:val="20"/>
                <w:rtl/>
                <w:lang w:val="fr-CH"/>
              </w:rPr>
              <w:t>السويد</w:t>
            </w:r>
          </w:p>
        </w:tc>
      </w:tr>
      <w:tr w:rsidR="004E0A37" w:rsidRPr="004E0A37" w:rsidTr="00905E27">
        <w:tc>
          <w:tcPr>
            <w:tcW w:w="3496" w:type="dxa"/>
            <w:tcBorders>
              <w:top w:val="single" w:sz="12" w:space="0" w:color="auto"/>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القضية</w:t>
            </w:r>
          </w:p>
        </w:tc>
        <w:tc>
          <w:tcPr>
            <w:tcW w:w="3663" w:type="dxa"/>
            <w:tcBorders>
              <w:top w:val="single" w:sz="12" w:space="0" w:color="auto"/>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b/>
                <w:bCs/>
                <w:spacing w:val="0"/>
                <w:sz w:val="20"/>
                <w:rtl/>
                <w:lang w:val="fr-CH"/>
              </w:rPr>
            </w:pPr>
            <w:r w:rsidRPr="00A75940">
              <w:rPr>
                <w:rFonts w:hint="cs"/>
                <w:b/>
                <w:bCs/>
                <w:i/>
                <w:iCs/>
                <w:spacing w:val="0"/>
                <w:sz w:val="20"/>
                <w:rtl/>
                <w:lang w:val="fr-CH"/>
              </w:rPr>
              <w:t>شاهين</w:t>
            </w:r>
            <w:r w:rsidRPr="004E0A37">
              <w:rPr>
                <w:rFonts w:hint="cs"/>
                <w:b/>
                <w:bCs/>
                <w:spacing w:val="0"/>
                <w:sz w:val="20"/>
                <w:rtl/>
                <w:lang w:val="fr-CH"/>
              </w:rPr>
              <w:t>، 310/2007</w:t>
            </w:r>
          </w:p>
        </w:tc>
      </w:tr>
      <w:tr w:rsidR="004E0A37" w:rsidRPr="004E0A37" w:rsidTr="00905E27">
        <w:tc>
          <w:tcPr>
            <w:tcW w:w="349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663" w:type="dxa"/>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30 أيار/مايو 2011</w:t>
            </w:r>
          </w:p>
        </w:tc>
      </w:tr>
      <w:tr w:rsidR="004E0A37" w:rsidRPr="004E0A37" w:rsidTr="00905E27">
        <w:tc>
          <w:tcPr>
            <w:tcW w:w="349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الانتهاكات التي خلُصت إليها اللجنة</w:t>
            </w:r>
          </w:p>
        </w:tc>
        <w:tc>
          <w:tcPr>
            <w:tcW w:w="3663" w:type="dxa"/>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 xml:space="preserve">المادة 3 </w:t>
            </w:r>
          </w:p>
        </w:tc>
      </w:tr>
      <w:tr w:rsidR="004E0A37" w:rsidRPr="004E0A37" w:rsidTr="00905E27">
        <w:tc>
          <w:tcPr>
            <w:tcW w:w="3496" w:type="dxa"/>
            <w:tcBorders>
              <w:top w:val="nil"/>
              <w:left w:val="nil"/>
              <w:bottom w:val="nil"/>
              <w:right w:val="nil"/>
            </w:tcBorders>
            <w:shd w:val="clear" w:color="auto" w:fill="auto"/>
          </w:tcPr>
          <w:p w:rsidR="004E0A37" w:rsidRPr="004E0A37" w:rsidRDefault="004E0A37" w:rsidP="004E0A37">
            <w:pPr>
              <w:spacing w:before="60" w:after="60" w:line="340"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663" w:type="dxa"/>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rFonts w:hint="cs"/>
                <w:spacing w:val="0"/>
                <w:sz w:val="20"/>
                <w:rtl/>
                <w:lang w:val="fr-CH"/>
              </w:rPr>
              <w:t>طلبت اللجنة من الدولة الطرف عدم طرد صاحب الشكوى إلى الجمهورية العربية السورية.</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14 أيلول/سبتمبر 2011، أبلغت الدولة الطرف اللجنة بأن وزير العدل السويدي قرر، في</w:t>
            </w:r>
            <w:r w:rsidRPr="004E0A37">
              <w:rPr>
                <w:rFonts w:hint="eastAsia"/>
                <w:spacing w:val="0"/>
                <w:sz w:val="20"/>
                <w:rtl/>
                <w:lang w:val="fr-CH"/>
              </w:rPr>
              <w:t> </w:t>
            </w:r>
            <w:r w:rsidRPr="004E0A37">
              <w:rPr>
                <w:rFonts w:hint="cs"/>
                <w:spacing w:val="0"/>
                <w:sz w:val="20"/>
                <w:rtl/>
                <w:lang w:val="fr-CH"/>
              </w:rPr>
              <w:t xml:space="preserve">27 حزيران/يونيه 2011، وقف تنفيذ قرار الطرد الصادر بحق صاحب الشكوى.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ويجري في الوقت الراهن بحث ما يمكن اتخاذه من إجراءات إضافية استجابةً لقرار اللجنة، ولا سيما مسألة أهلية صاحب الشكوى للحصول على تصريح إقامة. وسيتُبلَّغ اللجنة بالقرار الذي سيُتخذ في هذه القضية.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وفي 30 أيلول/سبتمبر 2011، بيّن محامي صاحب الشكوى أن الإجراء القانوني الذي باشره صاحب الشكوى في هذه القضية يختلف عن قضايا اللجوء العادية، ذلك أن السيد شاهين قد أُدين في عام 1991 بالقتل دون سبق الإصرار من قبل محكمة منطقة نوركوبينغس وصدر بحقه قرار بالطرد وبالمنع من العودة إلى السويد مدى الحياة.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4E0A37">
            <w:pPr>
              <w:keepNext/>
              <w:keepLines/>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وبموجب القانون المتعلق بالأجانب، لا يمكن لمجلس شؤون الهجرة أن يمنح اللجوء لأفراد صدر بحقهم قرار بالطرد من محكمة جنائية. ولكن يجوز للمجلس أن ينظر في طلب الشخص المعني المتعلق بالحصول على اللجوء أو أي شكل آخر من أشكال الحماية وأن يقدم توصية في الموضوع إلى محكمة قضايا الهجرة. ويمكن لهذه المحكمة إما أن ترفض الطلب أو أن تقرر منح الشخص المعني اللجوء وذلك بعد نقض قرار الطرد بما في ذلك المنع من العودة.</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905E27" w:rsidRDefault="004E0A37" w:rsidP="004E0A37">
            <w:pPr>
              <w:spacing w:before="60" w:after="60" w:line="340" w:lineRule="exact"/>
              <w:ind w:left="113" w:right="113"/>
              <w:rPr>
                <w:rFonts w:hint="cs"/>
                <w:spacing w:val="-2"/>
                <w:sz w:val="20"/>
                <w:rtl/>
                <w:lang w:val="fr-CH"/>
              </w:rPr>
            </w:pPr>
            <w:r w:rsidRPr="00905E27">
              <w:rPr>
                <w:spacing w:val="-2"/>
                <w:sz w:val="20"/>
                <w:rtl/>
                <w:lang w:val="fr-CH"/>
              </w:rPr>
              <w:tab/>
            </w:r>
            <w:r w:rsidRPr="00905E27">
              <w:rPr>
                <w:rFonts w:hint="cs"/>
                <w:spacing w:val="-2"/>
                <w:sz w:val="20"/>
                <w:rtl/>
                <w:lang w:val="fr-CH"/>
              </w:rPr>
              <w:t>وقد تقدم صاحب الشكوى بطلب جديد إلى مجلس شؤون الهجرة من أجل الحصول على اللجوء وسُجل طلبه هذا في 1 آب/أغسطس 2011. وقد ادعى صاحب الشكوى أنه سيواجه خطراً شديداً بالتعرض للتعذيب أو غيره من أشكال الاضطهاد في حال إعادته إلى الجمهورية العربية السورية، وذلك</w:t>
            </w:r>
            <w:r w:rsidRPr="00905E27">
              <w:rPr>
                <w:rFonts w:hint="eastAsia"/>
                <w:spacing w:val="-2"/>
                <w:sz w:val="20"/>
                <w:rtl/>
                <w:lang w:val="fr-CH"/>
              </w:rPr>
              <w:t> </w:t>
            </w:r>
            <w:r w:rsidRPr="00905E27">
              <w:rPr>
                <w:rFonts w:hint="cs"/>
                <w:spacing w:val="-2"/>
                <w:sz w:val="20"/>
                <w:rtl/>
                <w:lang w:val="fr-CH"/>
              </w:rPr>
              <w:t>بسبب عدم احترامه "القيود التي فُرضت عليه في إطار قرار الإفراج عنه في ذلك البلد" وأنه يقيم خارج الجمهورية العربية السورية منذ فترة طويلة. وأشار صاحب الشكوى أيضاً إلى آراء اللجنة. وفي 30 آب/أغسطس 2011، أجرى مجلس شؤون الهجرة مقابلة مع صاحب الشكوى للنظر في طلبه المتعلق بالحصول على اللجوء. ولم يتخذ المجلس أي قرار حتى الآن.</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A75940" w:rsidRDefault="004E0A37" w:rsidP="004E0A37">
            <w:pPr>
              <w:spacing w:before="60" w:after="60" w:line="340" w:lineRule="exact"/>
              <w:ind w:left="113" w:right="113"/>
              <w:rPr>
                <w:rFonts w:hint="cs"/>
                <w:spacing w:val="-2"/>
                <w:sz w:val="20"/>
                <w:rtl/>
                <w:lang w:val="fr-CH"/>
              </w:rPr>
            </w:pPr>
            <w:r w:rsidRPr="00A75940">
              <w:rPr>
                <w:spacing w:val="-2"/>
                <w:sz w:val="20"/>
                <w:rtl/>
                <w:lang w:val="fr-CH"/>
              </w:rPr>
              <w:tab/>
            </w:r>
            <w:r w:rsidRPr="00A75940">
              <w:rPr>
                <w:rFonts w:hint="cs"/>
                <w:spacing w:val="-2"/>
                <w:sz w:val="20"/>
                <w:rtl/>
                <w:lang w:val="fr-CH"/>
              </w:rPr>
              <w:t>في 31 تشرين الأول/أكتوبر 2011، أكدت الدولة الطرف مجدد</w:t>
            </w:r>
            <w:r w:rsidR="0081655E">
              <w:rPr>
                <w:rFonts w:hint="cs"/>
                <w:spacing w:val="-2"/>
                <w:sz w:val="20"/>
                <w:rtl/>
                <w:lang w:val="fr-CH"/>
              </w:rPr>
              <w:t xml:space="preserve">اً </w:t>
            </w:r>
            <w:r w:rsidRPr="00A75940">
              <w:rPr>
                <w:rFonts w:hint="cs"/>
                <w:spacing w:val="-2"/>
                <w:sz w:val="20"/>
                <w:rtl/>
                <w:lang w:val="fr-CH"/>
              </w:rPr>
              <w:t xml:space="preserve">على أن السلطات المعنية تعكف على النظر </w:t>
            </w:r>
            <w:r w:rsidR="00F96B1E" w:rsidRPr="00A75940">
              <w:rPr>
                <w:rFonts w:hint="cs"/>
                <w:spacing w:val="-2"/>
                <w:sz w:val="20"/>
                <w:rtl/>
                <w:lang w:val="fr-CH"/>
              </w:rPr>
              <w:t>فيما </w:t>
            </w:r>
            <w:r w:rsidRPr="00A75940">
              <w:rPr>
                <w:rFonts w:hint="cs"/>
                <w:spacing w:val="-2"/>
                <w:sz w:val="20"/>
                <w:rtl/>
                <w:lang w:val="fr-CH"/>
              </w:rPr>
              <w:t>يمكن فعله بشأن هذه القضية. وفي 30 أيلول/سبتمبر 2011، خلص مجلس شؤون الهجرة إلى ضرورة منح صاحب الشكوى رخصة إقامة لاعتبارات تتعلق بالحماية؛ ولا تزال القضية معروضة على محكمة قضايا الهجرة.</w:t>
            </w:r>
          </w:p>
        </w:tc>
      </w:tr>
      <w:tr w:rsidR="004E0A37" w:rsidRPr="004E0A37" w:rsidTr="00542FAC">
        <w:tc>
          <w:tcPr>
            <w:tcW w:w="7159" w:type="dxa"/>
            <w:gridSpan w:val="2"/>
            <w:tcBorders>
              <w:top w:val="nil"/>
              <w:left w:val="nil"/>
              <w:bottom w:val="nil"/>
              <w:right w:val="nil"/>
            </w:tcBorders>
            <w:shd w:val="clear" w:color="auto" w:fill="auto"/>
            <w:vAlign w:val="bottom"/>
          </w:tcPr>
          <w:p w:rsidR="004E0A37" w:rsidRPr="00905E27" w:rsidRDefault="004E0A37" w:rsidP="004E0A37">
            <w:pPr>
              <w:spacing w:before="60" w:after="60" w:line="340" w:lineRule="exact"/>
              <w:ind w:left="113" w:right="113"/>
              <w:rPr>
                <w:rFonts w:hint="cs"/>
                <w:spacing w:val="-2"/>
                <w:sz w:val="20"/>
                <w:rtl/>
                <w:lang w:val="fr-CH"/>
              </w:rPr>
            </w:pPr>
            <w:r w:rsidRPr="00905E27">
              <w:rPr>
                <w:spacing w:val="-2"/>
                <w:sz w:val="20"/>
                <w:rtl/>
                <w:lang w:val="fr-CH"/>
              </w:rPr>
              <w:tab/>
            </w:r>
            <w:r w:rsidRPr="00905E27">
              <w:rPr>
                <w:rFonts w:hint="cs"/>
                <w:spacing w:val="-2"/>
                <w:sz w:val="20"/>
                <w:rtl/>
                <w:lang w:val="fr-CH"/>
              </w:rPr>
              <w:t>وأكد المحامي للجنة، في رسالتين مؤرختين 8 كانون الأول/ديسمبر 2011 و23 كانون الثاني/يناير 2012، أن صاحب الشكوى قد مُنح رخصة إقامة في إطار وضع اللجوء، وأن قرار الطرد والمنع من العودة إلى السويد قد ألغي، وأن الدولة الطرف قد نفذت بالتالي قرار اللجنة في هذه القضية. وفي 22 آذار/مارس 2012، أبلغت الدولة الطرف اللجنة أن محكمة قضايا الهجرة في مالمو قد قررت، في 8 كانون الأول/ديسمبر 2011، إلغاء قرار طرد صاحب الشكوى ومنحه رخ</w:t>
            </w:r>
            <w:r w:rsidR="004A2C77">
              <w:rPr>
                <w:rFonts w:hint="cs"/>
                <w:spacing w:val="-2"/>
                <w:sz w:val="20"/>
                <w:rtl/>
                <w:lang w:val="fr-CH"/>
              </w:rPr>
              <w:t>ص</w:t>
            </w:r>
            <w:r w:rsidRPr="00905E27">
              <w:rPr>
                <w:rFonts w:hint="cs"/>
                <w:spacing w:val="-2"/>
                <w:sz w:val="20"/>
                <w:rtl/>
                <w:lang w:val="fr-CH"/>
              </w:rPr>
              <w:t>ة إقامة وتصريح بوضع اللجوء ووثائق سفر.</w:t>
            </w:r>
          </w:p>
        </w:tc>
      </w:tr>
      <w:tr w:rsidR="004E0A37" w:rsidRPr="004E0A37" w:rsidTr="00542FAC">
        <w:tc>
          <w:tcPr>
            <w:tcW w:w="7159" w:type="dxa"/>
            <w:gridSpan w:val="2"/>
            <w:tcBorders>
              <w:top w:val="nil"/>
              <w:left w:val="nil"/>
              <w:bottom w:val="single" w:sz="12" w:space="0" w:color="auto"/>
              <w:right w:val="nil"/>
            </w:tcBorders>
            <w:shd w:val="clear" w:color="auto" w:fill="auto"/>
            <w:vAlign w:val="bottom"/>
          </w:tcPr>
          <w:p w:rsidR="004E0A37" w:rsidRPr="004E0A37" w:rsidRDefault="004E0A37" w:rsidP="004E0A37">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وفي الدورة الثامنة والأربعين، قررت اللجنة وقف حوار المتابعة وخلصت إلى أن القضية قد سويت تسوية مرضية.</w:t>
            </w:r>
          </w:p>
        </w:tc>
      </w:tr>
    </w:tbl>
    <w:p w:rsidR="004E0A37" w:rsidRPr="004E0A37" w:rsidRDefault="004E0A37" w:rsidP="004E0A37">
      <w:pPr>
        <w:pStyle w:val="SingleTxtGA"/>
        <w:jc w:val="lowKashida"/>
        <w:rPr>
          <w:rFonts w:hint="cs"/>
          <w:spacing w:val="0"/>
          <w:sz w:val="20"/>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711"/>
        <w:gridCol w:w="3448"/>
      </w:tblGrid>
      <w:tr w:rsidR="004E0A37" w:rsidRPr="004E0A37" w:rsidTr="00905E27">
        <w:tc>
          <w:tcPr>
            <w:tcW w:w="3711" w:type="dxa"/>
            <w:tcBorders>
              <w:top w:val="single" w:sz="4" w:space="0" w:color="auto"/>
              <w:left w:val="nil"/>
              <w:bottom w:val="single" w:sz="12" w:space="0" w:color="auto"/>
            </w:tcBorders>
            <w:shd w:val="clear" w:color="auto" w:fill="auto"/>
            <w:vAlign w:val="bottom"/>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الدولة الطرف</w:t>
            </w:r>
          </w:p>
        </w:tc>
        <w:tc>
          <w:tcPr>
            <w:tcW w:w="3448" w:type="dxa"/>
            <w:tcBorders>
              <w:top w:val="single" w:sz="4" w:space="0" w:color="auto"/>
              <w:bottom w:val="single" w:sz="12" w:space="0" w:color="auto"/>
              <w:right w:val="nil"/>
            </w:tcBorders>
            <w:shd w:val="clear" w:color="auto" w:fill="auto"/>
            <w:vAlign w:val="bottom"/>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spacing w:val="0"/>
                <w:sz w:val="20"/>
                <w:rtl/>
                <w:lang w:val="fr-CH"/>
              </w:rPr>
              <w:t>السويد</w:t>
            </w:r>
          </w:p>
        </w:tc>
      </w:tr>
      <w:tr w:rsidR="004E0A37" w:rsidRPr="004E0A37" w:rsidTr="007D1EF4">
        <w:tc>
          <w:tcPr>
            <w:tcW w:w="3711" w:type="dxa"/>
            <w:tcBorders>
              <w:top w:val="single" w:sz="12" w:space="0" w:color="auto"/>
              <w:lef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القضية</w:t>
            </w:r>
          </w:p>
        </w:tc>
        <w:tc>
          <w:tcPr>
            <w:tcW w:w="3448" w:type="dxa"/>
            <w:tcBorders>
              <w:top w:val="single" w:sz="12" w:space="0" w:color="auto"/>
              <w:right w:val="nil"/>
            </w:tcBorders>
            <w:shd w:val="clear" w:color="auto" w:fill="auto"/>
            <w:vAlign w:val="bottom"/>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i/>
                <w:iCs/>
                <w:spacing w:val="0"/>
                <w:sz w:val="20"/>
                <w:rtl/>
                <w:lang w:val="fr-CH"/>
              </w:rPr>
              <w:t>موندال</w:t>
            </w:r>
            <w:r w:rsidRPr="00A75940">
              <w:rPr>
                <w:rFonts w:hint="cs"/>
                <w:b/>
                <w:bCs/>
                <w:spacing w:val="0"/>
                <w:sz w:val="20"/>
                <w:rtl/>
                <w:lang w:val="fr-CH"/>
              </w:rPr>
              <w:t>، 338/2008</w:t>
            </w:r>
          </w:p>
        </w:tc>
      </w:tr>
      <w:tr w:rsidR="004E0A37" w:rsidRPr="004E0A37" w:rsidTr="007D1EF4">
        <w:tc>
          <w:tcPr>
            <w:tcW w:w="3711" w:type="dxa"/>
            <w:tcBorders>
              <w:lef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 xml:space="preserve">آراء معتمدة في </w:t>
            </w:r>
          </w:p>
        </w:tc>
        <w:tc>
          <w:tcPr>
            <w:tcW w:w="3448" w:type="dxa"/>
            <w:tcBorders>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rFonts w:hint="cs"/>
                <w:spacing w:val="0"/>
                <w:sz w:val="20"/>
                <w:rtl/>
              </w:rPr>
              <w:t>23 أيار/</w:t>
            </w:r>
            <w:r w:rsidRPr="00D17401">
              <w:rPr>
                <w:rFonts w:hint="cs"/>
                <w:spacing w:val="0"/>
                <w:sz w:val="20"/>
                <w:rtl/>
                <w:lang w:val="fr-CH"/>
              </w:rPr>
              <w:t>مايو</w:t>
            </w:r>
            <w:r w:rsidRPr="004E0A37">
              <w:rPr>
                <w:rFonts w:hint="cs"/>
                <w:spacing w:val="0"/>
                <w:sz w:val="20"/>
                <w:rtl/>
              </w:rPr>
              <w:t xml:space="preserve"> 2011</w:t>
            </w:r>
          </w:p>
        </w:tc>
      </w:tr>
      <w:tr w:rsidR="004E0A37" w:rsidRPr="004E0A37" w:rsidTr="007D1EF4">
        <w:tc>
          <w:tcPr>
            <w:tcW w:w="3711" w:type="dxa"/>
            <w:tcBorders>
              <w:lef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الانتهاكات التي خلصت إليها اللجنة</w:t>
            </w:r>
          </w:p>
        </w:tc>
        <w:tc>
          <w:tcPr>
            <w:tcW w:w="3448" w:type="dxa"/>
            <w:tcBorders>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 xml:space="preserve">المادة 3 </w:t>
            </w:r>
          </w:p>
        </w:tc>
      </w:tr>
      <w:tr w:rsidR="004E0A37" w:rsidRPr="004E0A37" w:rsidTr="007D1EF4">
        <w:tc>
          <w:tcPr>
            <w:tcW w:w="3711" w:type="dxa"/>
            <w:tcBorders>
              <w:lef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الانتصاف الموصى به</w:t>
            </w:r>
          </w:p>
        </w:tc>
        <w:tc>
          <w:tcPr>
            <w:tcW w:w="3448" w:type="dxa"/>
            <w:tcBorders>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rFonts w:hint="cs"/>
                <w:spacing w:val="0"/>
                <w:sz w:val="20"/>
                <w:rtl/>
              </w:rPr>
              <w:t xml:space="preserve">طلبت اللجنة من </w:t>
            </w:r>
            <w:r w:rsidRPr="00D17401">
              <w:rPr>
                <w:rFonts w:hint="cs"/>
                <w:spacing w:val="0"/>
                <w:sz w:val="20"/>
                <w:rtl/>
                <w:lang w:val="fr-CH"/>
              </w:rPr>
              <w:t>الدولة</w:t>
            </w:r>
            <w:r w:rsidRPr="004E0A37">
              <w:rPr>
                <w:rFonts w:hint="cs"/>
                <w:spacing w:val="0"/>
                <w:sz w:val="20"/>
                <w:rtl/>
              </w:rPr>
              <w:t xml:space="preserve"> الطرف عدم طرد صاحب الشكوى إلى بنغلاديش.</w:t>
            </w:r>
          </w:p>
        </w:tc>
      </w:tr>
      <w:tr w:rsidR="004E0A37" w:rsidRPr="004E0A37" w:rsidTr="007D1EF4">
        <w:tc>
          <w:tcPr>
            <w:tcW w:w="7159" w:type="dxa"/>
            <w:gridSpan w:val="2"/>
            <w:tcBorders>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في 14 أيلول/سبتمبر 2011، أبلغت الدولة الطرف اللجنة بأن مجلس شؤون الهجرة قد قرر، في</w:t>
            </w:r>
            <w:r w:rsidRPr="004E0A37">
              <w:rPr>
                <w:rFonts w:hint="eastAsia"/>
                <w:spacing w:val="0"/>
                <w:sz w:val="20"/>
                <w:rtl/>
              </w:rPr>
              <w:t> </w:t>
            </w:r>
            <w:r w:rsidRPr="004E0A37">
              <w:rPr>
                <w:rFonts w:hint="cs"/>
                <w:spacing w:val="0"/>
                <w:sz w:val="20"/>
                <w:rtl/>
              </w:rPr>
              <w:t>15 تموز/يوليه 2010، منح صاحب الشكوى تصريح إقامة دائمة. وبناءً عليه، تعتبر الدولة الطرف أنها امتثلت لقرار اللجنة في هذه القضية وأنه</w:t>
            </w:r>
            <w:r w:rsidR="00335AC0">
              <w:rPr>
                <w:rFonts w:hint="cs"/>
                <w:spacing w:val="0"/>
                <w:sz w:val="20"/>
                <w:rtl/>
              </w:rPr>
              <w:t xml:space="preserve"> لم </w:t>
            </w:r>
            <w:r w:rsidRPr="004E0A37">
              <w:rPr>
                <w:rFonts w:hint="cs"/>
                <w:spacing w:val="0"/>
                <w:sz w:val="20"/>
                <w:rtl/>
              </w:rPr>
              <w:t xml:space="preserve">يعد هناك أي داعٍ لاتخاذ إجراءات أخرى. </w:t>
            </w:r>
          </w:p>
        </w:tc>
      </w:tr>
      <w:tr w:rsidR="004E0A37" w:rsidRPr="004E0A37" w:rsidTr="007D1EF4">
        <w:tc>
          <w:tcPr>
            <w:tcW w:w="7159" w:type="dxa"/>
            <w:gridSpan w:val="2"/>
            <w:tcBorders>
              <w:top w:val="nil"/>
              <w:left w:val="nil"/>
              <w:bottom w:val="single" w:sz="12" w:space="0" w:color="auto"/>
              <w:right w:val="nil"/>
            </w:tcBorders>
            <w:shd w:val="clear" w:color="auto" w:fill="auto"/>
            <w:vAlign w:val="bottom"/>
          </w:tcPr>
          <w:p w:rsidR="004E0A37" w:rsidRPr="004E0A37" w:rsidRDefault="004E0A37" w:rsidP="00D17401">
            <w:pPr>
              <w:spacing w:before="60" w:after="60" w:line="340" w:lineRule="exact"/>
              <w:ind w:left="113" w:right="113"/>
              <w:rPr>
                <w:spacing w:val="0"/>
                <w:sz w:val="20"/>
                <w:rtl/>
              </w:rPr>
            </w:pPr>
            <w:r w:rsidRPr="004E0A37">
              <w:rPr>
                <w:spacing w:val="0"/>
                <w:sz w:val="20"/>
                <w:rtl/>
              </w:rPr>
              <w:tab/>
            </w:r>
            <w:r w:rsidRPr="004E0A37">
              <w:rPr>
                <w:rFonts w:hint="cs"/>
                <w:spacing w:val="0"/>
                <w:sz w:val="20"/>
                <w:rtl/>
              </w:rPr>
              <w:t xml:space="preserve">وفي </w:t>
            </w:r>
            <w:r w:rsidRPr="00D17401">
              <w:rPr>
                <w:rFonts w:hint="cs"/>
                <w:spacing w:val="0"/>
                <w:sz w:val="20"/>
                <w:rtl/>
                <w:lang w:val="fr-CH"/>
              </w:rPr>
              <w:t>الدورة</w:t>
            </w:r>
            <w:r w:rsidRPr="004E0A37">
              <w:rPr>
                <w:rFonts w:hint="cs"/>
                <w:spacing w:val="0"/>
                <w:sz w:val="20"/>
                <w:rtl/>
              </w:rPr>
              <w:t xml:space="preserve"> السابعة والأربعين، قررت اللجنة، في ضوء التدابير</w:t>
            </w:r>
            <w:r w:rsidRPr="00D17401">
              <w:rPr>
                <w:rFonts w:hint="cs"/>
                <w:spacing w:val="0"/>
                <w:sz w:val="20"/>
                <w:rtl/>
                <w:lang w:val="fr-CH"/>
              </w:rPr>
              <w:t xml:space="preserve"> </w:t>
            </w:r>
            <w:r w:rsidRPr="004E0A37">
              <w:rPr>
                <w:rFonts w:hint="cs"/>
                <w:spacing w:val="0"/>
                <w:sz w:val="20"/>
                <w:rtl/>
              </w:rPr>
              <w:t>التي اتخذتها الدولة الطرف حتى الآن، وقف حوار المتابعة في هذه القضية، وخلصت إلى أن القضية قد سويت تسوية مرضية.</w:t>
            </w:r>
          </w:p>
        </w:tc>
      </w:tr>
    </w:tbl>
    <w:p w:rsidR="004E0A37" w:rsidRDefault="004E0A37" w:rsidP="004E0A37">
      <w:pPr>
        <w:pStyle w:val="SingleTxtGA"/>
        <w:jc w:val="lowKashida"/>
        <w:rPr>
          <w:rFonts w:hint="cs"/>
          <w:spacing w:val="0"/>
          <w:sz w:val="20"/>
          <w:rtl/>
        </w:rPr>
      </w:pPr>
    </w:p>
    <w:p w:rsidR="00905E27" w:rsidRDefault="00905E27" w:rsidP="004E0A37">
      <w:pPr>
        <w:pStyle w:val="SingleTxtGA"/>
        <w:jc w:val="lowKashida"/>
        <w:rPr>
          <w:rFonts w:hint="cs"/>
          <w:spacing w:val="0"/>
          <w:sz w:val="20"/>
          <w:rtl/>
        </w:rPr>
      </w:pPr>
    </w:p>
    <w:p w:rsidR="00905E27" w:rsidRPr="004E0A37" w:rsidRDefault="00905E27" w:rsidP="004E0A37">
      <w:pPr>
        <w:pStyle w:val="SingleTxtGA"/>
        <w:jc w:val="lowKashida"/>
        <w:rPr>
          <w:rFonts w:hint="cs"/>
          <w:spacing w:val="0"/>
          <w:sz w:val="20"/>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496"/>
        <w:gridCol w:w="3663"/>
      </w:tblGrid>
      <w:tr w:rsidR="004E0A37" w:rsidRPr="004E0A37" w:rsidTr="00905E27">
        <w:tc>
          <w:tcPr>
            <w:tcW w:w="3496" w:type="dxa"/>
            <w:tcBorders>
              <w:top w:val="single" w:sz="4" w:space="0" w:color="auto"/>
              <w:left w:val="nil"/>
              <w:bottom w:val="single" w:sz="12" w:space="0" w:color="auto"/>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0D0220" w:rsidRDefault="004E0A37" w:rsidP="00D17401">
            <w:pPr>
              <w:spacing w:before="60" w:after="60" w:line="340" w:lineRule="exact"/>
              <w:ind w:left="113" w:right="113"/>
              <w:rPr>
                <w:rFonts w:hint="cs"/>
                <w:b/>
                <w:bCs/>
                <w:spacing w:val="0"/>
                <w:sz w:val="20"/>
                <w:rtl/>
                <w:lang w:val="fr-CH"/>
              </w:rPr>
            </w:pPr>
            <w:r w:rsidRPr="000D0220">
              <w:rPr>
                <w:rFonts w:hint="cs"/>
                <w:b/>
                <w:bCs/>
                <w:spacing w:val="0"/>
                <w:sz w:val="20"/>
                <w:rtl/>
                <w:lang w:val="fr-CH"/>
              </w:rPr>
              <w:t>السويد</w:t>
            </w:r>
          </w:p>
        </w:tc>
      </w:tr>
      <w:tr w:rsidR="004E0A37" w:rsidRPr="004E0A37" w:rsidTr="00905E27">
        <w:tc>
          <w:tcPr>
            <w:tcW w:w="3496" w:type="dxa"/>
            <w:tcBorders>
              <w:top w:val="single" w:sz="12" w:space="0" w:color="auto"/>
              <w:left w:val="nil"/>
              <w:bottom w:val="nil"/>
              <w:righ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القضية</w:t>
            </w:r>
          </w:p>
        </w:tc>
        <w:tc>
          <w:tcPr>
            <w:tcW w:w="3663" w:type="dxa"/>
            <w:tcBorders>
              <w:top w:val="single" w:sz="12" w:space="0" w:color="auto"/>
              <w:left w:val="nil"/>
              <w:bottom w:val="nil"/>
              <w:right w:val="nil"/>
            </w:tcBorders>
            <w:shd w:val="clear" w:color="auto" w:fill="auto"/>
            <w:vAlign w:val="bottom"/>
          </w:tcPr>
          <w:p w:rsidR="004E0A37" w:rsidRPr="000D0220" w:rsidRDefault="004E0A37" w:rsidP="00D17401">
            <w:pPr>
              <w:spacing w:before="60" w:after="60" w:line="340" w:lineRule="exact"/>
              <w:ind w:left="113" w:right="113"/>
              <w:rPr>
                <w:rFonts w:hint="cs"/>
                <w:b/>
                <w:bCs/>
                <w:spacing w:val="0"/>
                <w:sz w:val="20"/>
                <w:rtl/>
                <w:lang w:val="fr-CH"/>
              </w:rPr>
            </w:pPr>
            <w:r w:rsidRPr="000D0220">
              <w:rPr>
                <w:rFonts w:hint="cs"/>
                <w:b/>
                <w:bCs/>
                <w:i/>
                <w:iCs/>
                <w:spacing w:val="0"/>
                <w:sz w:val="20"/>
                <w:rtl/>
                <w:lang w:val="fr-CH"/>
              </w:rPr>
              <w:t>غوكلو</w:t>
            </w:r>
            <w:r w:rsidRPr="000D0220">
              <w:rPr>
                <w:rFonts w:hint="cs"/>
                <w:b/>
                <w:bCs/>
                <w:spacing w:val="0"/>
                <w:sz w:val="20"/>
                <w:rtl/>
                <w:lang w:val="fr-CH"/>
              </w:rPr>
              <w:t>، 349/2008</w:t>
            </w:r>
          </w:p>
        </w:tc>
      </w:tr>
      <w:tr w:rsidR="004E0A37" w:rsidRPr="004E0A37" w:rsidTr="00905E27">
        <w:tc>
          <w:tcPr>
            <w:tcW w:w="3496" w:type="dxa"/>
            <w:tcBorders>
              <w:top w:val="nil"/>
              <w:left w:val="nil"/>
              <w:bottom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آراء معتمدة في</w:t>
            </w:r>
          </w:p>
        </w:tc>
        <w:tc>
          <w:tcPr>
            <w:tcW w:w="3663" w:type="dxa"/>
            <w:tcBorders>
              <w:top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11 تشرين الثاني/نوفمبر 2010</w:t>
            </w:r>
          </w:p>
        </w:tc>
      </w:tr>
      <w:tr w:rsidR="004E0A37" w:rsidRPr="004E0A37" w:rsidTr="00905E27">
        <w:tc>
          <w:tcPr>
            <w:tcW w:w="3496" w:type="dxa"/>
            <w:tcBorders>
              <w:top w:val="nil"/>
              <w:left w:val="nil"/>
              <w:bottom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الانتهاكات التي خلصت إليها اللجنة</w:t>
            </w:r>
          </w:p>
        </w:tc>
        <w:tc>
          <w:tcPr>
            <w:tcW w:w="3663" w:type="dxa"/>
            <w:tcBorders>
              <w:top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 xml:space="preserve">المادة 3 </w:t>
            </w:r>
          </w:p>
        </w:tc>
      </w:tr>
      <w:tr w:rsidR="004E0A37" w:rsidRPr="004E0A37" w:rsidTr="00905E27">
        <w:tc>
          <w:tcPr>
            <w:tcW w:w="3496" w:type="dxa"/>
            <w:tcBorders>
              <w:top w:val="nil"/>
              <w:left w:val="nil"/>
              <w:bottom w:val="nil"/>
              <w:righ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الانتصاف الموصى به</w:t>
            </w:r>
          </w:p>
        </w:tc>
        <w:tc>
          <w:tcPr>
            <w:tcW w:w="3663" w:type="dxa"/>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طلبت اللجنة من الدولة الطرف عدم طرد صاحب الشكوى إلى تركيا.</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في 8 آذار/مارس 2011، أبلغت الدولة الطرف اللجنة بأن مجلس شؤون الهجرة منح، في 4 آذار/مارس</w:t>
            </w:r>
            <w:r w:rsidRPr="004E0A37">
              <w:rPr>
                <w:rFonts w:hint="eastAsia"/>
                <w:spacing w:val="0"/>
                <w:sz w:val="20"/>
                <w:rtl/>
              </w:rPr>
              <w:t> </w:t>
            </w:r>
            <w:r w:rsidRPr="004E0A37">
              <w:rPr>
                <w:rFonts w:hint="cs"/>
                <w:spacing w:val="0"/>
                <w:sz w:val="20"/>
                <w:rtl/>
              </w:rPr>
              <w:t>2011، تصريح إقامة مؤقتة لصاحبة الشكوى، وهو تصريح صالح حتى 1 تشرين الثاني/نوفمبر 2011 مع إمكانية التمديد. وأفادت الدولة الطرف بأنه لا يمكن إنفاذ أي قرار بالطرد ما</w:t>
            </w:r>
            <w:r w:rsidRPr="004E0A37">
              <w:rPr>
                <w:rFonts w:hint="eastAsia"/>
                <w:spacing w:val="0"/>
                <w:sz w:val="20"/>
                <w:rtl/>
              </w:rPr>
              <w:t> </w:t>
            </w:r>
            <w:r w:rsidRPr="004E0A37">
              <w:rPr>
                <w:rFonts w:hint="cs"/>
                <w:spacing w:val="0"/>
                <w:sz w:val="20"/>
                <w:rtl/>
              </w:rPr>
              <w:t xml:space="preserve">دام التصريح صالحاً أو خلال فترة النظر في طلب التمديد.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وقد رفض مجلس شؤون الهجرة منح صاحبة الشكوى مركز اللاجئة واعتبرها غير مؤهلة للتمتع بتدابير الحماية الاحتياطية استناداً إلى معلومات عن الأنشطة التي كانت تضطلع بها قبل وصولها إلى السويد.</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وفي ضوء ما تقدم، اعتبرت الدولة الطرف أنها امتثلت لقرار اللجنة وزودتها بالمعلومات المطلوبة بموجب إجراء المتابعة. وهي تدعو اللجنة إلى إقفال باب بحث المتابعة في إطار هذه القضية.</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وفي 11 نيسان/أبريل 2011، لاحظ محامي صاحبة الشكوى أن التصريح الذي مُنح للسيدة غوكلو هو تصريح إقامة مؤقتة لا غير، وهو بالتالي لا يبطل قرار طردها. وحسب المحامي، رفض مجلس شؤون الهجرة منح صاحبة الشكوى تصريح إقامة من نوع آخر معتبراً أن انخراطها في حزب العمال الكردستاني يمكن اعتباره كمشاركة في حفز الآخرين أو مساعدتهم على ارتكاب جرائم حرب أو جرائم ضد الإنسانية. وبالإشارة إلى قرار محكمة العدل الأوروبية الصادر في قضية ألمانيا ضد ب. وك. رقم 101/09، بتاريخ</w:t>
            </w:r>
            <w:r w:rsidR="00905E27">
              <w:rPr>
                <w:rFonts w:hint="eastAsia"/>
                <w:spacing w:val="0"/>
                <w:sz w:val="20"/>
                <w:rtl/>
                <w:lang w:val="fr-CH"/>
              </w:rPr>
              <w:t> </w:t>
            </w:r>
            <w:r w:rsidRPr="00D17401">
              <w:rPr>
                <w:rFonts w:hint="cs"/>
                <w:spacing w:val="0"/>
                <w:sz w:val="20"/>
                <w:rtl/>
                <w:lang w:val="fr-CH"/>
              </w:rPr>
              <w:t xml:space="preserve">9 تشرين الثاني/نوفمبر 2010، اعترض المحامي على تعليل مجلس شؤون الهجرة. وأوضح أن انتماء شخص إلى منظمة يُدرج اسمها بسبب ضلوعها في أعمال إرهابية، على القائمة التي تشكل المرفق بورقة الموقف المشترك لمجلس الاتحاد الأوروبي المتعلق بتطبيق </w:t>
            </w:r>
            <w:r w:rsidRPr="00905E27">
              <w:rPr>
                <w:rFonts w:hint="cs"/>
                <w:spacing w:val="-2"/>
                <w:sz w:val="20"/>
                <w:rtl/>
                <w:lang w:val="fr-CH"/>
              </w:rPr>
              <w:t>تدابير محددة من أجل مكافحة الإرهاب (</w:t>
            </w:r>
            <w:r w:rsidRPr="00905E27">
              <w:rPr>
                <w:spacing w:val="-2"/>
                <w:sz w:val="20"/>
                <w:lang w:val="fr-CH"/>
              </w:rPr>
              <w:t>2001/931/CFSP</w:t>
            </w:r>
            <w:r w:rsidRPr="00905E27">
              <w:rPr>
                <w:rFonts w:hint="cs"/>
                <w:spacing w:val="-2"/>
                <w:sz w:val="20"/>
                <w:rtl/>
                <w:lang w:val="fr-CH"/>
              </w:rPr>
              <w:t>، 27 كانون الأول/ديسمبر 2001)</w:t>
            </w:r>
            <w:r w:rsidRPr="00D17401">
              <w:rPr>
                <w:rFonts w:hint="cs"/>
                <w:spacing w:val="0"/>
                <w:sz w:val="20"/>
                <w:rtl/>
                <w:lang w:val="fr-CH"/>
              </w:rPr>
              <w:t xml:space="preserve"> ودعم ذلك الشخص بطريقة نشطة لكفاح مسلَّح تقوده هذه المنظمة، لا يشكلان بصفة تلقائية سبباً جدياً لاعتبار أن ذلك الشخص قد ارتكب "جريمة غير سياسية خطرة" أو "أفعالاً تتعارض مع مقاصد الأمم المتحدة ومبادئها".</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 xml:space="preserve">وفي 5 تموز/يوليه 2011، أكد المحامي أن قرار الدولة الطرف منح صاحبة الشكوى تصريح إقامة مؤقتة لا يتفق والقرار الذي اتخذته اللجنة في إطار هذه القضية.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وفي 13 أيلول/سبتمبر 2011، أوضحت الدولة الطرف أن مجلس شؤون الهجرة قرّر، في 4 آذار/مارس 2011، أنه لا يمكن اعتبار صاحبة الشكوى لاجئة أو أجنبية تستحق الحماية بموجب الأحكام ذات الصلة من القانون المتعلق بالأجانب، وذلك استناداً</w:t>
            </w:r>
            <w:r w:rsidR="00905E27">
              <w:rPr>
                <w:rFonts w:hint="eastAsia"/>
                <w:spacing w:val="0"/>
                <w:sz w:val="20"/>
                <w:rtl/>
                <w:lang w:val="fr-CH"/>
              </w:rPr>
              <w:t> </w:t>
            </w:r>
            <w:r w:rsidRPr="00D17401">
              <w:rPr>
                <w:rFonts w:hint="cs"/>
                <w:spacing w:val="0"/>
                <w:sz w:val="20"/>
                <w:rtl/>
                <w:lang w:val="fr-CH"/>
              </w:rPr>
              <w:t>إلى المادة 1(و) من اتفاقية الأمم المتحدة الخاصة بوضع اللاجئين والمادة</w:t>
            </w:r>
            <w:r w:rsidRPr="00D17401">
              <w:rPr>
                <w:rFonts w:hint="eastAsia"/>
                <w:spacing w:val="0"/>
                <w:sz w:val="20"/>
                <w:rtl/>
                <w:lang w:val="fr-CH"/>
              </w:rPr>
              <w:t> </w:t>
            </w:r>
            <w:r w:rsidRPr="00D17401">
              <w:rPr>
                <w:rFonts w:hint="cs"/>
                <w:spacing w:val="0"/>
                <w:sz w:val="20"/>
                <w:rtl/>
                <w:lang w:val="fr-CH"/>
              </w:rPr>
              <w:t xml:space="preserve">12(2) والمادة 17(1) من توجيه المجلس الأوروبي </w:t>
            </w:r>
            <w:r w:rsidRPr="00D17401">
              <w:rPr>
                <w:spacing w:val="0"/>
                <w:sz w:val="20"/>
                <w:lang w:val="fr-CH"/>
              </w:rPr>
              <w:t>2004/83/EC</w:t>
            </w:r>
            <w:r w:rsidRPr="00D17401">
              <w:rPr>
                <w:rFonts w:hint="cs"/>
                <w:spacing w:val="0"/>
                <w:sz w:val="20"/>
                <w:rtl/>
                <w:lang w:val="fr-CH"/>
              </w:rPr>
              <w:t xml:space="preserve"> (التوجيه المتعلق بشروط التأهيل). ولاحظت الدولة الطرف أنه يوجد مع ذلك أسباب لمنح تصريح إقامة بموجب القانون المتعلق بالأجانب. وفي هذه القضية، اعتبر مجلس شؤون الهجرة أن ثمة عوائق تحول دون إنفاذ القرار المتعلق بطرد صاحبة الشكوى، ذلك أن المادة 1 من الفصل 12 من القانون المتعلق بالأجانب تنص على أنه لا يجوز إطلاقاً إنفاذ أي قرار برفض دخول أجنبي أو طرده إلى بلد حيث توجد أسباب معقولة تحمل على الاعتقاد بأن ذلك الشخص قد يواجه عقوبة الإعدام أو قد يتعرض للعقوبة البدنية أو</w:t>
            </w:r>
            <w:r w:rsidRPr="00D17401">
              <w:rPr>
                <w:rFonts w:hint="eastAsia"/>
                <w:spacing w:val="0"/>
                <w:sz w:val="20"/>
                <w:rtl/>
                <w:lang w:val="fr-CH"/>
              </w:rPr>
              <w:t> </w:t>
            </w:r>
            <w:r w:rsidRPr="00D17401">
              <w:rPr>
                <w:rFonts w:hint="cs"/>
                <w:spacing w:val="0"/>
                <w:sz w:val="20"/>
                <w:rtl/>
                <w:lang w:val="fr-CH"/>
              </w:rPr>
              <w:t>التعذيب أو غيره من ضروب المعاملة أو العقوبة اللاإنسانية أو المهينة أو أن ذلك الشخص</w:t>
            </w:r>
            <w:r w:rsidR="00335AC0" w:rsidRPr="00D17401">
              <w:rPr>
                <w:rFonts w:hint="cs"/>
                <w:spacing w:val="0"/>
                <w:sz w:val="20"/>
                <w:rtl/>
                <w:lang w:val="fr-CH"/>
              </w:rPr>
              <w:t xml:space="preserve"> لن </w:t>
            </w:r>
            <w:r w:rsidRPr="00D17401">
              <w:rPr>
                <w:rFonts w:hint="cs"/>
                <w:spacing w:val="0"/>
                <w:sz w:val="20"/>
                <w:rtl/>
                <w:lang w:val="fr-CH"/>
              </w:rPr>
              <w:t>يتمتع بالحماية في البلد الذي يُطرد إليه أو يمكن أن يواجه في البلد الذي يُعادُ إليه مثل هذا الخطر. وبالتالي، منح مجلس الهجرة لصاحبة الشكوى تصريح إقامة استناداً إلى المادة</w:t>
            </w:r>
            <w:r w:rsidRPr="00D17401">
              <w:rPr>
                <w:rFonts w:hint="eastAsia"/>
                <w:spacing w:val="0"/>
                <w:sz w:val="20"/>
                <w:rtl/>
                <w:lang w:val="fr-CH"/>
              </w:rPr>
              <w:t> </w:t>
            </w:r>
            <w:r w:rsidRPr="00D17401">
              <w:rPr>
                <w:rFonts w:hint="cs"/>
                <w:spacing w:val="0"/>
                <w:sz w:val="20"/>
                <w:rtl/>
                <w:lang w:val="fr-CH"/>
              </w:rPr>
              <w:t>18 من الفصل 12 من القانون المتعلق بالأجانب. إضافة إلى ذلك، وحسب ما ورد في ملاحظات الدولة الطرف، يمكن لصاحبة الشكوى أن تطلب من جديد الحصول على تصريح إقامة بعد انقضاء مدة صلاحية التصريح الحالي؛ وأضافت أنها</w:t>
            </w:r>
            <w:r w:rsidR="00335AC0" w:rsidRPr="00D17401">
              <w:rPr>
                <w:rFonts w:hint="cs"/>
                <w:spacing w:val="0"/>
                <w:sz w:val="20"/>
                <w:rtl/>
                <w:lang w:val="fr-CH"/>
              </w:rPr>
              <w:t xml:space="preserve"> لن </w:t>
            </w:r>
            <w:r w:rsidRPr="00D17401">
              <w:rPr>
                <w:rFonts w:hint="cs"/>
                <w:spacing w:val="0"/>
                <w:sz w:val="20"/>
                <w:rtl/>
                <w:lang w:val="fr-CH"/>
              </w:rPr>
              <w:t>تتعرّض للطرد خلال الفترة التي تنظر فيها السلطات والمحاكم المختصة في طلبها الحصول على تصريح إقامة.</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وأشارت الدولة الطرف إلى أن المادة 4 من الفصل الخامس من القانون المتعلق بالأجانب تنص على أنه إذا ما خلصت اللجنة أو أي هيئة دولية أخرى مختصة بالنظر في الشكاوى الفردية إلى أن أمراً برفض الدخول أو بالطرد في قضية محددة يتعارض مع التزامات الدولة الطرف بموجب اتفاقية ما، يُمنح للشخص المعني تصريح إقامة ما</w:t>
            </w:r>
            <w:r w:rsidR="00335AC0" w:rsidRPr="00D17401">
              <w:rPr>
                <w:rFonts w:hint="cs"/>
                <w:spacing w:val="0"/>
                <w:sz w:val="20"/>
                <w:rtl/>
                <w:lang w:val="fr-CH"/>
              </w:rPr>
              <w:t xml:space="preserve"> لم </w:t>
            </w:r>
            <w:r w:rsidRPr="00D17401">
              <w:rPr>
                <w:rFonts w:hint="cs"/>
                <w:spacing w:val="0"/>
                <w:sz w:val="20"/>
                <w:rtl/>
                <w:lang w:val="fr-CH"/>
              </w:rPr>
              <w:t>توجد أسباب استثنائية تحول دون ذلك.</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وبناءً على ذلك، تؤكد الدولة الطرف أن صاحبة الشكوى</w:t>
            </w:r>
            <w:r w:rsidR="00335AC0" w:rsidRPr="00D17401">
              <w:rPr>
                <w:rFonts w:hint="cs"/>
                <w:spacing w:val="0"/>
                <w:sz w:val="20"/>
                <w:rtl/>
                <w:lang w:val="fr-CH"/>
              </w:rPr>
              <w:t xml:space="preserve"> لن </w:t>
            </w:r>
            <w:r w:rsidRPr="00D17401">
              <w:rPr>
                <w:rFonts w:hint="cs"/>
                <w:spacing w:val="0"/>
                <w:sz w:val="20"/>
                <w:rtl/>
                <w:lang w:val="fr-CH"/>
              </w:rPr>
              <w:t>تتعرّض للطرد ما دام تصريح الإقامة صالحاً وخلال مهلة النظر في طلبها تجديد التصريح. وفي ظل هذه الظروف، تؤكد الدولة الطرف أن التدابير التي اتخذتها سلطاتها المختصة تتفق والقرار الذي اتخذته اللجنة في هذه القضية.</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6 تشرين الأول/أكتوبر 2011، أفاد المحامي أنه يرى أن الدولة الطرف</w:t>
            </w:r>
            <w:r w:rsidR="00335AC0" w:rsidRPr="00D17401">
              <w:rPr>
                <w:rFonts w:hint="cs"/>
                <w:spacing w:val="0"/>
                <w:sz w:val="20"/>
                <w:rtl/>
                <w:lang w:val="fr-CH"/>
              </w:rPr>
              <w:t xml:space="preserve"> لم </w:t>
            </w:r>
            <w:r w:rsidRPr="00D17401">
              <w:rPr>
                <w:rFonts w:hint="cs"/>
                <w:spacing w:val="0"/>
                <w:sz w:val="20"/>
                <w:rtl/>
                <w:lang w:val="fr-CH"/>
              </w:rPr>
              <w:t>تف بالتزاماتها بموجب الاتفاقية وأن صاحبة الشكوى لا تزال معرضة لخطر الطرد.</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A75940" w:rsidRDefault="004E0A37" w:rsidP="00D17401">
            <w:pPr>
              <w:spacing w:before="60" w:after="60" w:line="340" w:lineRule="exact"/>
              <w:ind w:left="113" w:right="113"/>
              <w:rPr>
                <w:rFonts w:hint="cs"/>
                <w:spacing w:val="-4"/>
                <w:sz w:val="20"/>
                <w:rtl/>
                <w:lang w:val="fr-CH"/>
              </w:rPr>
            </w:pPr>
            <w:r w:rsidRPr="00A75940">
              <w:rPr>
                <w:spacing w:val="-4"/>
                <w:sz w:val="20"/>
                <w:rtl/>
                <w:lang w:val="fr-CH"/>
              </w:rPr>
              <w:tab/>
            </w:r>
            <w:r w:rsidRPr="00A75940">
              <w:rPr>
                <w:rFonts w:hint="cs"/>
                <w:spacing w:val="-4"/>
                <w:sz w:val="20"/>
                <w:rtl/>
                <w:lang w:val="fr-CH"/>
              </w:rPr>
              <w:t>وفي الدورة السابعة والأربعين، أحاطت اللجنة</w:t>
            </w:r>
            <w:r w:rsidR="003833F8" w:rsidRPr="00A75940">
              <w:rPr>
                <w:rFonts w:hint="cs"/>
                <w:spacing w:val="-4"/>
                <w:sz w:val="20"/>
                <w:rtl/>
                <w:lang w:val="fr-CH"/>
              </w:rPr>
              <w:t xml:space="preserve"> علماً </w:t>
            </w:r>
            <w:r w:rsidRPr="00A75940">
              <w:rPr>
                <w:rFonts w:hint="cs"/>
                <w:spacing w:val="-4"/>
                <w:sz w:val="20"/>
                <w:rtl/>
                <w:lang w:val="fr-CH"/>
              </w:rPr>
              <w:t>بالتدابير التي اتخذتها الدولة الطرف حتى حينه. وقررت اللجنة أن تؤكد مجدد</w:t>
            </w:r>
            <w:r w:rsidR="0081655E">
              <w:rPr>
                <w:rFonts w:hint="cs"/>
                <w:spacing w:val="-4"/>
                <w:sz w:val="20"/>
                <w:rtl/>
                <w:lang w:val="fr-CH"/>
              </w:rPr>
              <w:t xml:space="preserve">اً </w:t>
            </w:r>
            <w:r w:rsidRPr="00A75940">
              <w:rPr>
                <w:rFonts w:hint="cs"/>
                <w:spacing w:val="-4"/>
                <w:sz w:val="20"/>
                <w:rtl/>
                <w:lang w:val="fr-CH"/>
              </w:rPr>
              <w:t>أن الدولة الطرف ستنتهك المادة 3 من الاتفاقية إن</w:t>
            </w:r>
            <w:r w:rsidR="00A75940">
              <w:rPr>
                <w:rFonts w:hint="eastAsia"/>
                <w:spacing w:val="-4"/>
                <w:sz w:val="20"/>
                <w:rtl/>
                <w:lang w:val="fr-CH"/>
              </w:rPr>
              <w:t> </w:t>
            </w:r>
            <w:r w:rsidRPr="00A75940">
              <w:rPr>
                <w:rFonts w:hint="cs"/>
                <w:spacing w:val="-4"/>
                <w:sz w:val="20"/>
                <w:rtl/>
                <w:lang w:val="fr-CH"/>
              </w:rPr>
              <w:t>طردت صاحبة الشكوى؛ وأرسلت مذكرة شفوية بهذا المعنى في شباط/فبراير 2012.</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 xml:space="preserve">وفي 14 آذار/مارس 2012، أوضحت الدولة الطرف أن تصريح إقامة صاحبة الشكوى قد انتهت صلاحيته في 1 تشرين الثاني/نوفمبر 2011، وأن مسألة تجديده لا تزال قيد النظر وقت إعداد ردها ذلك. وبالتالي، فإن صاحبة الشكوى في مأمن من الطرد. وأوضحت الدولة الطرف أنها ستبلِّغ اللجنة بالقرار الذي سيتخذه مجلس شؤون الهجرة </w:t>
            </w:r>
            <w:r w:rsidR="00F96B1E" w:rsidRPr="00D17401">
              <w:rPr>
                <w:rFonts w:hint="cs"/>
                <w:spacing w:val="0"/>
                <w:sz w:val="20"/>
                <w:rtl/>
                <w:lang w:val="fr-CH"/>
              </w:rPr>
              <w:t>فيما </w:t>
            </w:r>
            <w:r w:rsidRPr="00D17401">
              <w:rPr>
                <w:rFonts w:hint="cs"/>
                <w:spacing w:val="0"/>
                <w:sz w:val="20"/>
                <w:rtl/>
                <w:lang w:val="fr-CH"/>
              </w:rPr>
              <w:t>يتعلق بإقامة صاحبة الشكوى.</w:t>
            </w:r>
          </w:p>
        </w:tc>
      </w:tr>
      <w:tr w:rsidR="004E0A37" w:rsidRPr="004E0A37" w:rsidTr="007D1EF4">
        <w:tc>
          <w:tcPr>
            <w:tcW w:w="7159" w:type="dxa"/>
            <w:gridSpan w:val="2"/>
            <w:tcBorders>
              <w:top w:val="nil"/>
              <w:left w:val="nil"/>
              <w:bottom w:val="nil"/>
              <w:right w:val="nil"/>
            </w:tcBorders>
            <w:shd w:val="clear" w:color="auto" w:fill="auto"/>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وفي 24 أيار/مايو 2012، أبلغت الدولة الطرف اللجنة أن مجلس شؤون الهجرة السويدي قرر، في 16 أيار/مايو 2012، أن يمنح صاحبة الشكوى، بموجب الفقرة 3 من المادة 22 من الفصل 12 من قانون الأجانب، تصريح إقامة دائمة، وبذلك ينتفي نهائي</w:t>
            </w:r>
            <w:r w:rsidR="0081655E">
              <w:rPr>
                <w:rFonts w:hint="cs"/>
                <w:spacing w:val="0"/>
                <w:sz w:val="20"/>
                <w:rtl/>
                <w:lang w:val="fr-CH"/>
              </w:rPr>
              <w:t xml:space="preserve">اً </w:t>
            </w:r>
            <w:r w:rsidRPr="00D17401">
              <w:rPr>
                <w:rFonts w:hint="cs"/>
                <w:spacing w:val="0"/>
                <w:sz w:val="20"/>
                <w:rtl/>
                <w:lang w:val="fr-CH"/>
              </w:rPr>
              <w:t>خطر تعرضها للطرد.</w:t>
            </w:r>
          </w:p>
        </w:tc>
      </w:tr>
      <w:tr w:rsidR="004E0A37" w:rsidRPr="004E0A37" w:rsidTr="007D1EF4">
        <w:tc>
          <w:tcPr>
            <w:tcW w:w="7159" w:type="dxa"/>
            <w:gridSpan w:val="2"/>
            <w:tcBorders>
              <w:top w:val="nil"/>
              <w:left w:val="nil"/>
              <w:bottom w:val="single" w:sz="12" w:space="0" w:color="auto"/>
              <w:right w:val="nil"/>
            </w:tcBorders>
            <w:shd w:val="clear" w:color="auto" w:fill="auto"/>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الدورة الثامنة والأربعين، قررت اللجنة وقف حوار المتابعة، وخلصت إلى أن القضية قد سويت تسوية مرضية.</w:t>
            </w:r>
          </w:p>
        </w:tc>
      </w:tr>
    </w:tbl>
    <w:p w:rsidR="004E0A37" w:rsidRPr="004E0A37" w:rsidRDefault="004E0A37" w:rsidP="004E0A37">
      <w:pPr>
        <w:pStyle w:val="SingleTxtGA"/>
        <w:jc w:val="lowKashida"/>
        <w:rPr>
          <w:rFonts w:hint="cs"/>
          <w:spacing w:val="0"/>
          <w:sz w:val="20"/>
          <w:rtl/>
        </w:rPr>
      </w:pPr>
    </w:p>
    <w:tbl>
      <w:tblPr>
        <w:tblStyle w:val="TableGrid"/>
        <w:bidiVisual/>
        <w:tblW w:w="0" w:type="auto"/>
        <w:tblInd w:w="1253" w:type="dxa"/>
        <w:tblBorders>
          <w:insideH w:val="none" w:sz="0" w:space="0" w:color="auto"/>
          <w:insideV w:val="none" w:sz="0" w:space="0" w:color="auto"/>
        </w:tblBorders>
        <w:tblCellMar>
          <w:left w:w="0" w:type="dxa"/>
          <w:right w:w="0" w:type="dxa"/>
        </w:tblCellMar>
        <w:tblLook w:val="01E0"/>
      </w:tblPr>
      <w:tblGrid>
        <w:gridCol w:w="3705"/>
        <w:gridCol w:w="3448"/>
      </w:tblGrid>
      <w:tr w:rsidR="004E0A37" w:rsidRPr="004E0A37" w:rsidTr="00905E27">
        <w:tc>
          <w:tcPr>
            <w:tcW w:w="3705" w:type="dxa"/>
            <w:tcBorders>
              <w:top w:val="single" w:sz="4" w:space="0" w:color="auto"/>
              <w:left w:val="nil"/>
              <w:bottom w:val="single" w:sz="12" w:space="0" w:color="auto"/>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الدولة الطرف</w:t>
            </w:r>
          </w:p>
        </w:tc>
        <w:tc>
          <w:tcPr>
            <w:tcW w:w="3448" w:type="dxa"/>
            <w:tcBorders>
              <w:top w:val="single" w:sz="4" w:space="0" w:color="auto"/>
              <w:bottom w:val="single" w:sz="12" w:space="0" w:color="auto"/>
              <w:right w:val="nil"/>
            </w:tcBorders>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spacing w:val="0"/>
                <w:sz w:val="20"/>
                <w:rtl/>
                <w:lang w:val="fr-CH"/>
              </w:rPr>
              <w:t>السويد</w:t>
            </w:r>
          </w:p>
        </w:tc>
      </w:tr>
      <w:tr w:rsidR="004E0A37" w:rsidRPr="004E0A37" w:rsidTr="00905E27">
        <w:tc>
          <w:tcPr>
            <w:tcW w:w="3705" w:type="dxa"/>
            <w:tcBorders>
              <w:top w:val="single" w:sz="12" w:space="0" w:color="auto"/>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القضية</w:t>
            </w:r>
          </w:p>
        </w:tc>
        <w:tc>
          <w:tcPr>
            <w:tcW w:w="3448" w:type="dxa"/>
            <w:tcBorders>
              <w:top w:val="single" w:sz="12" w:space="0" w:color="auto"/>
              <w:left w:val="nil"/>
              <w:bottom w:val="nil"/>
              <w:right w:val="nil"/>
            </w:tcBorders>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i/>
                <w:iCs/>
                <w:spacing w:val="0"/>
                <w:sz w:val="20"/>
                <w:rtl/>
                <w:lang w:val="fr-CH"/>
              </w:rPr>
              <w:t>أيتولون وغوكلو</w:t>
            </w:r>
            <w:r w:rsidRPr="00A75940">
              <w:rPr>
                <w:rFonts w:hint="cs"/>
                <w:b/>
                <w:bCs/>
                <w:spacing w:val="0"/>
                <w:sz w:val="20"/>
                <w:rtl/>
                <w:lang w:val="fr-CH"/>
              </w:rPr>
              <w:t>، 373/2009</w:t>
            </w:r>
          </w:p>
        </w:tc>
      </w:tr>
      <w:tr w:rsidR="004E0A37" w:rsidRPr="004E0A37" w:rsidTr="00905E27">
        <w:tc>
          <w:tcPr>
            <w:tcW w:w="3705"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 xml:space="preserve">آراء معتمدة في </w:t>
            </w:r>
          </w:p>
        </w:tc>
        <w:tc>
          <w:tcPr>
            <w:tcW w:w="344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19 تشرين الثاني/نوفمبر 2010</w:t>
            </w:r>
          </w:p>
        </w:tc>
      </w:tr>
      <w:tr w:rsidR="004E0A37" w:rsidRPr="004E0A37" w:rsidTr="00905E27">
        <w:tc>
          <w:tcPr>
            <w:tcW w:w="3705"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الانتهاكات التي خلصت إليها اللجنة</w:t>
            </w:r>
          </w:p>
        </w:tc>
        <w:tc>
          <w:tcPr>
            <w:tcW w:w="344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المادة 3 (تركيا)</w:t>
            </w:r>
          </w:p>
        </w:tc>
      </w:tr>
      <w:tr w:rsidR="004E0A37" w:rsidRPr="004E0A37" w:rsidTr="00905E27">
        <w:tc>
          <w:tcPr>
            <w:tcW w:w="3705"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الانتصاف الموصى به</w:t>
            </w:r>
          </w:p>
        </w:tc>
        <w:tc>
          <w:tcPr>
            <w:tcW w:w="344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طلبت اللجنة من الدولة الطرف عدم طرد صاحب الشكوى وا</w:t>
            </w:r>
            <w:r w:rsidR="004A2C77">
              <w:rPr>
                <w:rFonts w:hint="cs"/>
                <w:spacing w:val="0"/>
                <w:sz w:val="20"/>
                <w:rtl/>
                <w:lang w:val="fr-CH"/>
              </w:rPr>
              <w:t>بنه</w:t>
            </w:r>
            <w:r w:rsidRPr="00D17401">
              <w:rPr>
                <w:rFonts w:hint="cs"/>
                <w:spacing w:val="0"/>
                <w:sz w:val="20"/>
                <w:rtl/>
                <w:lang w:val="fr-CH"/>
              </w:rPr>
              <w:t xml:space="preserve"> إلى تركيا.</w:t>
            </w:r>
          </w:p>
        </w:tc>
      </w:tr>
      <w:tr w:rsidR="004E0A37" w:rsidRPr="004E0A37" w:rsidTr="00905E27">
        <w:tc>
          <w:tcPr>
            <w:tcW w:w="7153" w:type="dxa"/>
            <w:gridSpan w:val="2"/>
            <w:tcBorders>
              <w:top w:val="nil"/>
              <w:left w:val="nil"/>
              <w:bottom w:val="nil"/>
              <w:right w:val="nil"/>
            </w:tcBorders>
          </w:tcPr>
          <w:p w:rsidR="004E0A37" w:rsidRPr="00A75940" w:rsidRDefault="004E0A37" w:rsidP="00D17401">
            <w:pPr>
              <w:spacing w:before="60" w:after="60" w:line="340" w:lineRule="exact"/>
              <w:ind w:left="113" w:right="113"/>
              <w:rPr>
                <w:rFonts w:hint="cs"/>
                <w:b/>
                <w:bCs/>
                <w:spacing w:val="0"/>
                <w:sz w:val="20"/>
              </w:rPr>
            </w:pPr>
            <w:r w:rsidRPr="00A75940">
              <w:rPr>
                <w:rFonts w:hint="cs"/>
                <w:b/>
                <w:bCs/>
                <w:spacing w:val="0"/>
                <w:sz w:val="20"/>
                <w:rtl/>
              </w:rPr>
              <w:t xml:space="preserve">معلومات المتابعة المُقدَّمة سابقاً: </w:t>
            </w:r>
            <w:r w:rsidRPr="00A75940">
              <w:rPr>
                <w:b/>
                <w:bCs/>
                <w:spacing w:val="0"/>
                <w:sz w:val="20"/>
              </w:rPr>
              <w:t>A/66/44</w:t>
            </w:r>
            <w:r w:rsidRPr="00A75940">
              <w:rPr>
                <w:rFonts w:hint="cs"/>
                <w:b/>
                <w:bCs/>
                <w:spacing w:val="0"/>
                <w:sz w:val="20"/>
                <w:rtl/>
              </w:rPr>
              <w:t>، الفصل السادس</w:t>
            </w:r>
          </w:p>
        </w:tc>
      </w:tr>
      <w:tr w:rsidR="004E0A37" w:rsidRPr="004E0A37" w:rsidTr="00905E27">
        <w:tc>
          <w:tcPr>
            <w:tcW w:w="7153" w:type="dxa"/>
            <w:gridSpan w:val="2"/>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في 18 آذار/مارس 2011، أوضح محامي صاحبي الشكوى أن تصريح الإقامة وترخيص العمل المؤقَتين الممنوحَين لصاحبي الشكوى عقب قرار مجلس الهجرة الصادر في</w:t>
            </w:r>
            <w:r w:rsidRPr="00D17401">
              <w:rPr>
                <w:rFonts w:hint="eastAsia"/>
                <w:spacing w:val="0"/>
                <w:sz w:val="20"/>
                <w:rtl/>
                <w:lang w:val="fr-CH"/>
              </w:rPr>
              <w:t> </w:t>
            </w:r>
            <w:r w:rsidRPr="00D17401">
              <w:rPr>
                <w:rFonts w:hint="cs"/>
                <w:spacing w:val="0"/>
                <w:sz w:val="20"/>
                <w:rtl/>
                <w:lang w:val="fr-CH"/>
              </w:rPr>
              <w:t>21 شباط/فبراير</w:t>
            </w:r>
            <w:r w:rsidRPr="00D17401">
              <w:rPr>
                <w:rFonts w:hint="eastAsia"/>
                <w:spacing w:val="0"/>
                <w:sz w:val="20"/>
                <w:rtl/>
                <w:lang w:val="fr-CH"/>
              </w:rPr>
              <w:t> </w:t>
            </w:r>
            <w:r w:rsidRPr="00D17401">
              <w:rPr>
                <w:rFonts w:hint="cs"/>
                <w:spacing w:val="0"/>
                <w:sz w:val="20"/>
                <w:rtl/>
                <w:lang w:val="fr-CH"/>
              </w:rPr>
              <w:t xml:space="preserve">2011 صالحان إلى غاية 1 تشرين الثاني/نوفمبر فقط. ولاحظ المحامي أن مجلس الهجرة قد رفض منح صاحبي الشكوى تصريحاً من نوع آخر على أساس أن انخراطهما في حزب العمال الكردي يمكن اعتباره بمثابة حفز الآخرين أو مساعدتهم على ارتكاب جرائم حرب أو جرائم ضد الإنسانية. واعترض المحامي على تعليل مجلس الهجرة مشيراً إلى قرار محكمة العدل الأوروبية الصادر في قضية </w:t>
            </w:r>
            <w:r w:rsidRPr="00001F13">
              <w:rPr>
                <w:rFonts w:hint="cs"/>
                <w:i/>
                <w:iCs/>
                <w:spacing w:val="0"/>
                <w:sz w:val="20"/>
                <w:rtl/>
                <w:lang w:val="fr-CH"/>
              </w:rPr>
              <w:t>ألمانيا ضد ب. وك</w:t>
            </w:r>
            <w:r w:rsidRPr="00D17401">
              <w:rPr>
                <w:rFonts w:hint="cs"/>
                <w:spacing w:val="0"/>
                <w:sz w:val="20"/>
                <w:rtl/>
                <w:lang w:val="fr-CH"/>
              </w:rPr>
              <w:t>. رقم</w:t>
            </w:r>
            <w:r w:rsidRPr="00D17401">
              <w:rPr>
                <w:rFonts w:hint="eastAsia"/>
                <w:spacing w:val="0"/>
                <w:sz w:val="20"/>
                <w:rtl/>
                <w:lang w:val="fr-CH"/>
              </w:rPr>
              <w:t> </w:t>
            </w:r>
            <w:r w:rsidRPr="00D17401">
              <w:rPr>
                <w:rFonts w:hint="cs"/>
                <w:spacing w:val="0"/>
                <w:sz w:val="20"/>
                <w:rtl/>
                <w:lang w:val="fr-CH"/>
              </w:rPr>
              <w:t xml:space="preserve">101/09، بتاريخ 9 تشرين الثاني/نوفمبر 2010. </w:t>
            </w:r>
            <w:r w:rsidRPr="00D17401">
              <w:rPr>
                <w:rFonts w:hint="cs"/>
                <w:spacing w:val="0"/>
                <w:sz w:val="20"/>
                <w:rtl/>
                <w:lang w:val="fr-CH"/>
              </w:rPr>
              <w:t>وأوضح أن انتماء شخص ما إلى منظمة يُدرج اسمها، بسب ضلوعها في أعمال إرهابية، على القائمة التي تشكّل المرفق بورقة الموقف المشترك لمجلس الاتحاد الأوروبي المتعلق بتطبيق تدابير محددة من أجل مكافحة الإرهاب(</w:t>
            </w:r>
            <w:r w:rsidRPr="00D17401">
              <w:rPr>
                <w:spacing w:val="0"/>
                <w:sz w:val="20"/>
                <w:lang w:val="fr-CH"/>
              </w:rPr>
              <w:t>2001/931/CFSP</w:t>
            </w:r>
            <w:r w:rsidRPr="00D17401">
              <w:rPr>
                <w:rFonts w:hint="cs"/>
                <w:spacing w:val="0"/>
                <w:sz w:val="20"/>
                <w:rtl/>
                <w:lang w:val="fr-CH"/>
              </w:rPr>
              <w:t xml:space="preserve">، 27 كانون الأول/ديسمبر 2001)، ودعم ذلك الشخص النشط لكفاح مسلح تقوده هذه المنظمة، لا يشكلان بصورة تلقائية سبباً جدياً لاعتبار أن هذا الشخص قد ارتكب "جريمة غير سياسية خطرة" أو "أعمالاً تتعارض مع مقاصد الأمم المتحدة ومبادئها". وبالتالي، يرى المحامي أن صاحبي الشكوى لا يزالان معرّضين لخطر الإعادة القسرية إلى تركيا رغم قرار اللجنة. </w:t>
            </w:r>
          </w:p>
        </w:tc>
      </w:tr>
      <w:tr w:rsidR="004E0A37" w:rsidRPr="004E0A37" w:rsidTr="00905E27">
        <w:tc>
          <w:tcPr>
            <w:tcW w:w="7153" w:type="dxa"/>
            <w:gridSpan w:val="2"/>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وفي 13 أيلول/سبتمبر 2011، أبلغت الدولة الطرف اللجنة بأن مجلس الهجرة قد قرر، في</w:t>
            </w:r>
            <w:r w:rsidRPr="00D17401">
              <w:rPr>
                <w:rFonts w:hint="eastAsia"/>
                <w:spacing w:val="0"/>
                <w:sz w:val="20"/>
                <w:rtl/>
                <w:lang w:val="fr-CH"/>
              </w:rPr>
              <w:t> </w:t>
            </w:r>
            <w:r w:rsidRPr="00D17401">
              <w:rPr>
                <w:rFonts w:hint="cs"/>
                <w:spacing w:val="0"/>
                <w:sz w:val="20"/>
                <w:rtl/>
                <w:lang w:val="fr-CH"/>
              </w:rPr>
              <w:t xml:space="preserve">21 شباط/فبراير 2011، أن صاحبي الشكوى لا يمكن اعتبارهما لاجئين أو أجنبيين يستحقان الحماية بموجب أحكام القانون السويدي المتعلق بالأجانب، وذلك استناداً إلى المادة 1(و) من اتفاقية الأمم المتحدة الخاصة بوضع اللاجئين والمادة 12(2) والمادة 17(1) من توجيه المجلس </w:t>
            </w:r>
            <w:r w:rsidRPr="00D17401">
              <w:rPr>
                <w:spacing w:val="0"/>
                <w:sz w:val="20"/>
                <w:lang w:val="fr-CH"/>
              </w:rPr>
              <w:t>2004/83/EC</w:t>
            </w:r>
            <w:r w:rsidRPr="00D17401">
              <w:rPr>
                <w:rFonts w:hint="cs"/>
                <w:spacing w:val="0"/>
                <w:sz w:val="20"/>
                <w:rtl/>
                <w:lang w:val="fr-CH"/>
              </w:rPr>
              <w:t xml:space="preserve"> (التوجيه المتعلق بشروط التأهيل). وتلاحظ الدولة الطرف مع ذلك أن هنالك أسباباً أخرى لمنح تصريح إقامة بموجب القانون المتعلق بالأجانب. وفي إطار هذه القضية اعتبر مجلس الهجرة أن هناك أسباباً تحول دون إنفاذ قرار طرد صاحبي الشكوى، ذلك أن المادة 1 من الفصل 12 من القانون المتعلق بالأجانب تنص على أنه لا يمكن إطلاقاً تنفيذ أمر برفض الدخول أو بالطرد إذا تعلق الأمر ببلد حيث توجد أسباب معقولة تحمل على الاعتقاد بأن الأشخاص المعنيين سيواجهون عقوبة الإعدام أو سيُعرضون لعقوبة بدنية أو للتعذيب أو غيره من ضروب المعاملة أو العقوبة اللاإنسانية، أو إذا تعلّق الأمر ببلد لا تتوفر فيه الحماية اللازمة أو يمكن أن يتعرّض فيه الشخص المعني لمثل هذا الخطر. وبناءً عليه، منح مجلس الهجرة لصاحبي الشكوى تصريح إقامة استناداً إلى المادة 18 من الفصل 12 من القانون المتعلق بالأجانب. إضافة إلى ذلك، تفيد الدولة الطرف أن صاحبي الشكوى يمكنهما تقديم طلب جديد للحصول على تصريح إقامة بعد انقضاء مدة صلاحية التصريح الحالي؛ وأكدت أن صاحبي الشكوى</w:t>
            </w:r>
            <w:r w:rsidR="00335AC0" w:rsidRPr="00D17401">
              <w:rPr>
                <w:rFonts w:hint="cs"/>
                <w:spacing w:val="0"/>
                <w:sz w:val="20"/>
                <w:rtl/>
                <w:lang w:val="fr-CH"/>
              </w:rPr>
              <w:t xml:space="preserve"> لن </w:t>
            </w:r>
            <w:r w:rsidRPr="00D17401">
              <w:rPr>
                <w:rFonts w:hint="cs"/>
                <w:spacing w:val="0"/>
                <w:sz w:val="20"/>
                <w:rtl/>
                <w:lang w:val="fr-CH"/>
              </w:rPr>
              <w:t>يتعرّضا للطرد خلال الفترة التي تنظر فيها السلطات والمحاكم المختصة في طلبهما المتعلق بالحصول على تصريح إقامة.</w:t>
            </w:r>
          </w:p>
        </w:tc>
      </w:tr>
      <w:tr w:rsidR="004E0A37" w:rsidRPr="004E0A37" w:rsidTr="00905E27">
        <w:tc>
          <w:tcPr>
            <w:tcW w:w="7153" w:type="dxa"/>
            <w:gridSpan w:val="2"/>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وتلاحظ الدولة الطرف أن المادة 4 من الفصل 5 من القانون المتعلق بالأجانب تنص على أنه إذا خلصت اللجنة أو أي هيئة دولية أخرى مختصة بالنظر في الشكاوى الفردية إلى أن الأمر بمنع الدخول أو بالطرد في قضية محددة يتعارض مع التزامات الدولة الطرف بموجب اتفاقية ما، يُمنح تصريح إقامة للأفراد المعنيين ما</w:t>
            </w:r>
            <w:r w:rsidR="00335AC0" w:rsidRPr="00D17401">
              <w:rPr>
                <w:rFonts w:hint="cs"/>
                <w:spacing w:val="0"/>
                <w:sz w:val="20"/>
                <w:rtl/>
                <w:lang w:val="fr-CH"/>
              </w:rPr>
              <w:t xml:space="preserve"> لم </w:t>
            </w:r>
            <w:r w:rsidRPr="00D17401">
              <w:rPr>
                <w:rFonts w:hint="cs"/>
                <w:spacing w:val="0"/>
                <w:sz w:val="20"/>
                <w:rtl/>
                <w:lang w:val="fr-CH"/>
              </w:rPr>
              <w:t>توجد أسباب استثنائية تحول دون ذلك.</w:t>
            </w:r>
          </w:p>
        </w:tc>
      </w:tr>
      <w:tr w:rsidR="004E0A37" w:rsidRPr="004E0A37" w:rsidTr="00905E27">
        <w:tc>
          <w:tcPr>
            <w:tcW w:w="7153" w:type="dxa"/>
            <w:gridSpan w:val="2"/>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وبناءً عليه،</w:t>
            </w:r>
            <w:r w:rsidR="00335AC0" w:rsidRPr="00D17401">
              <w:rPr>
                <w:rFonts w:hint="cs"/>
                <w:spacing w:val="0"/>
                <w:sz w:val="20"/>
                <w:rtl/>
                <w:lang w:val="fr-CH"/>
              </w:rPr>
              <w:t xml:space="preserve"> لن </w:t>
            </w:r>
            <w:r w:rsidRPr="00D17401">
              <w:rPr>
                <w:rFonts w:hint="cs"/>
                <w:spacing w:val="0"/>
                <w:sz w:val="20"/>
                <w:rtl/>
                <w:lang w:val="fr-CH"/>
              </w:rPr>
              <w:t>يتعرّض صاحبا الشكوى للطرد ما دام تصريح الإقامة صالحاً وخلال مدة النظر في طلب تجديد التصريح. وفي ظل هذه الظروف، تؤكد الدولة الطرف أن التدابير التي اتخذتها سلطاتها المختصة تتفق والقرار الذي اتخذته اللجنة في إطار هذه القضية.</w:t>
            </w:r>
          </w:p>
        </w:tc>
      </w:tr>
      <w:tr w:rsidR="004E0A37" w:rsidRPr="004E0A37" w:rsidTr="00905E27">
        <w:tc>
          <w:tcPr>
            <w:tcW w:w="7153" w:type="dxa"/>
            <w:gridSpan w:val="2"/>
            <w:tcBorders>
              <w:top w:val="nil"/>
              <w:left w:val="nil"/>
              <w:bottom w:val="nil"/>
              <w:right w:val="nil"/>
            </w:tcBorders>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6 تشرين الأول/أكتوبر 2011، أفاد المحامي أنه يرى أن الدولة الطرف</w:t>
            </w:r>
            <w:r w:rsidR="00335AC0" w:rsidRPr="00D17401">
              <w:rPr>
                <w:rFonts w:hint="cs"/>
                <w:spacing w:val="0"/>
                <w:sz w:val="20"/>
                <w:rtl/>
                <w:lang w:val="fr-CH"/>
              </w:rPr>
              <w:t xml:space="preserve"> لم </w:t>
            </w:r>
            <w:r w:rsidRPr="00D17401">
              <w:rPr>
                <w:rFonts w:hint="cs"/>
                <w:spacing w:val="0"/>
                <w:sz w:val="20"/>
                <w:rtl/>
                <w:lang w:val="fr-CH"/>
              </w:rPr>
              <w:t>تف بالتزاماتها بموجب الاتفاقية وأن صاحبي الشكوى لا يزالا معرضين لخطر الطرد.</w:t>
            </w:r>
          </w:p>
        </w:tc>
      </w:tr>
      <w:tr w:rsidR="004E0A37" w:rsidRPr="004E0A37" w:rsidTr="00905E27">
        <w:tc>
          <w:tcPr>
            <w:tcW w:w="7153" w:type="dxa"/>
            <w:gridSpan w:val="2"/>
            <w:tcBorders>
              <w:top w:val="nil"/>
              <w:left w:val="nil"/>
              <w:bottom w:val="nil"/>
              <w:right w:val="nil"/>
            </w:tcBorders>
            <w:vAlign w:val="bottom"/>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وبحثت اللجنة القضية في دورتها السابعة والأربعين، وأحاطت</w:t>
            </w:r>
            <w:r w:rsidR="003833F8" w:rsidRPr="00D17401">
              <w:rPr>
                <w:rFonts w:hint="cs"/>
                <w:spacing w:val="0"/>
                <w:sz w:val="20"/>
                <w:rtl/>
                <w:lang w:val="fr-CH"/>
              </w:rPr>
              <w:t xml:space="preserve"> علماً </w:t>
            </w:r>
            <w:r w:rsidRPr="00D17401">
              <w:rPr>
                <w:rFonts w:hint="cs"/>
                <w:spacing w:val="0"/>
                <w:sz w:val="20"/>
                <w:rtl/>
                <w:lang w:val="fr-CH"/>
              </w:rPr>
              <w:t>بالتدابير التي اتخذتها الدولة الطرف حتى حينه. وطلبت من الأمانة أن تذكّر الدولة الطرف أن ترحيل صاحبا الشكوى إن حصل سوف يكون بمثابة انتهاك من جانب الدولة الطرف لالتزاماتها بموجب المادة 3 من الاتفاقية؛ وقامت اللجنة بذلك في شباط/فبراير 2012.</w:t>
            </w:r>
          </w:p>
        </w:tc>
      </w:tr>
      <w:tr w:rsidR="004E0A37" w:rsidRPr="004E0A37" w:rsidTr="00905E27">
        <w:tc>
          <w:tcPr>
            <w:tcW w:w="7153" w:type="dxa"/>
            <w:gridSpan w:val="2"/>
            <w:tcBorders>
              <w:top w:val="nil"/>
              <w:left w:val="nil"/>
              <w:bottom w:val="nil"/>
              <w:right w:val="nil"/>
            </w:tcBorders>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14 آذار/مارس 2012، أبلغت الدولة الطرف اللجنة أن تصريح إقامة صاحبي الشكوى قد انتهت صلاحيته في 1 تشرين الثاني/نوفمبر 2011، وأن مسألة تجديده لا تزال قيد النظر وقت إعداد ردها ذلك. وأكدت الدولة الطرف مجدد</w:t>
            </w:r>
            <w:r w:rsidR="0081655E">
              <w:rPr>
                <w:rFonts w:hint="cs"/>
                <w:spacing w:val="0"/>
                <w:sz w:val="20"/>
                <w:rtl/>
                <w:lang w:val="fr-CH"/>
              </w:rPr>
              <w:t xml:space="preserve">اً </w:t>
            </w:r>
            <w:r w:rsidRPr="00D17401">
              <w:rPr>
                <w:rFonts w:hint="cs"/>
                <w:spacing w:val="0"/>
                <w:sz w:val="20"/>
                <w:rtl/>
                <w:lang w:val="fr-CH"/>
              </w:rPr>
              <w:t xml:space="preserve">أن صاحبي الشكوى ليسا معرضين لخطر الترحيل القسري مادام طلبهما قيد النظر. وأوضحت الدولة الطرف أنها ستبلِّغ اللجنة بما ستسفر عنه الإجراءات المشار إليها أعلاه. </w:t>
            </w:r>
          </w:p>
        </w:tc>
      </w:tr>
      <w:tr w:rsidR="004E0A37" w:rsidRPr="004E0A37" w:rsidTr="007D1EF4">
        <w:tc>
          <w:tcPr>
            <w:tcW w:w="7153" w:type="dxa"/>
            <w:gridSpan w:val="2"/>
            <w:tcBorders>
              <w:top w:val="nil"/>
              <w:left w:val="nil"/>
              <w:bottom w:val="nil"/>
              <w:right w:val="nil"/>
            </w:tcBorders>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24 أيار/مايو 2012، أبلغت الدولة الطرف اللجنة أن مجلس شؤون الهجرة السويدي قرر، في 16 أيار/مايو 2012، أن يمنح صاحبا الشكوى، بموجب الفقرة 3 من المادة 22 من الفصل 12 من قانون الأجانب، تصريح إقامة دائمة، وبذلك ينتفي نهائي</w:t>
            </w:r>
            <w:r w:rsidR="0081655E">
              <w:rPr>
                <w:rFonts w:hint="cs"/>
                <w:spacing w:val="0"/>
                <w:sz w:val="20"/>
                <w:rtl/>
                <w:lang w:val="fr-CH"/>
              </w:rPr>
              <w:t xml:space="preserve">اً </w:t>
            </w:r>
            <w:r w:rsidRPr="00D17401">
              <w:rPr>
                <w:rFonts w:hint="cs"/>
                <w:spacing w:val="0"/>
                <w:sz w:val="20"/>
                <w:rtl/>
                <w:lang w:val="fr-CH"/>
              </w:rPr>
              <w:t>خطر تعرضهما للطرد.</w:t>
            </w:r>
          </w:p>
        </w:tc>
      </w:tr>
      <w:tr w:rsidR="004E0A37" w:rsidRPr="004E0A37" w:rsidTr="007D1EF4">
        <w:tc>
          <w:tcPr>
            <w:tcW w:w="7153" w:type="dxa"/>
            <w:gridSpan w:val="2"/>
            <w:tcBorders>
              <w:top w:val="nil"/>
              <w:left w:val="nil"/>
              <w:bottom w:val="single" w:sz="12" w:space="0" w:color="auto"/>
              <w:right w:val="nil"/>
            </w:tcBorders>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الدورة الثامنة والأربعين، قررت اللجنة وقف حوار المتابعة، وخلصت إلى أن القضية قد سويت تسوية مرضية.</w:t>
            </w:r>
          </w:p>
        </w:tc>
      </w:tr>
    </w:tbl>
    <w:p w:rsidR="004E0A37" w:rsidRPr="004E0A37" w:rsidRDefault="004E0A37" w:rsidP="004E0A37">
      <w:pPr>
        <w:jc w:val="lowKashida"/>
        <w:rPr>
          <w:rFonts w:hint="cs"/>
          <w:spacing w:val="0"/>
          <w:sz w:val="20"/>
          <w:rtl/>
        </w:rPr>
      </w:pPr>
    </w:p>
    <w:tbl>
      <w:tblPr>
        <w:tblStyle w:val="TableGrid"/>
        <w:bidiVisual/>
        <w:tblW w:w="0" w:type="auto"/>
        <w:tblInd w:w="1253" w:type="dxa"/>
        <w:tblBorders>
          <w:insideH w:val="none" w:sz="0" w:space="0" w:color="auto"/>
          <w:insideV w:val="none" w:sz="0" w:space="0" w:color="auto"/>
        </w:tblBorders>
        <w:tblCellMar>
          <w:left w:w="0" w:type="dxa"/>
          <w:right w:w="0" w:type="dxa"/>
        </w:tblCellMar>
        <w:tblLook w:val="01E0"/>
      </w:tblPr>
      <w:tblGrid>
        <w:gridCol w:w="3710"/>
        <w:gridCol w:w="3448"/>
      </w:tblGrid>
      <w:tr w:rsidR="004E0A37" w:rsidRPr="004E0A37" w:rsidTr="00905E27">
        <w:trPr>
          <w:cantSplit/>
        </w:trPr>
        <w:tc>
          <w:tcPr>
            <w:tcW w:w="3710" w:type="dxa"/>
            <w:tcBorders>
              <w:top w:val="single" w:sz="4" w:space="0" w:color="auto"/>
              <w:left w:val="nil"/>
              <w:bottom w:val="single" w:sz="12" w:space="0" w:color="auto"/>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الدولة الطرف</w:t>
            </w:r>
          </w:p>
        </w:tc>
        <w:tc>
          <w:tcPr>
            <w:tcW w:w="3448" w:type="dxa"/>
            <w:tcBorders>
              <w:top w:val="single" w:sz="4" w:space="0" w:color="auto"/>
              <w:bottom w:val="single" w:sz="12" w:space="0" w:color="auto"/>
              <w:right w:val="nil"/>
            </w:tcBorders>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spacing w:val="0"/>
                <w:sz w:val="20"/>
                <w:rtl/>
                <w:lang w:val="fr-CH"/>
              </w:rPr>
              <w:t>السويد</w:t>
            </w:r>
          </w:p>
        </w:tc>
      </w:tr>
      <w:tr w:rsidR="004E0A37" w:rsidRPr="004E0A37" w:rsidTr="00905E27">
        <w:trPr>
          <w:cantSplit/>
        </w:trPr>
        <w:tc>
          <w:tcPr>
            <w:tcW w:w="3710" w:type="dxa"/>
            <w:tcBorders>
              <w:top w:val="single" w:sz="12" w:space="0" w:color="auto"/>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القضية</w:t>
            </w:r>
          </w:p>
        </w:tc>
        <w:tc>
          <w:tcPr>
            <w:tcW w:w="3448" w:type="dxa"/>
            <w:tcBorders>
              <w:top w:val="single" w:sz="12" w:space="0" w:color="auto"/>
              <w:left w:val="nil"/>
              <w:bottom w:val="nil"/>
              <w:right w:val="nil"/>
            </w:tcBorders>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i/>
                <w:iCs/>
                <w:spacing w:val="0"/>
                <w:sz w:val="20"/>
                <w:rtl/>
                <w:lang w:val="fr-CH"/>
              </w:rPr>
              <w:t>س.</w:t>
            </w:r>
            <w:r w:rsidR="00905E27">
              <w:rPr>
                <w:rFonts w:hint="cs"/>
                <w:b/>
                <w:bCs/>
                <w:i/>
                <w:iCs/>
                <w:spacing w:val="0"/>
                <w:sz w:val="20"/>
                <w:rtl/>
                <w:lang w:val="fr-CH"/>
              </w:rPr>
              <w:t xml:space="preserve"> </w:t>
            </w:r>
            <w:r w:rsidRPr="00A75940">
              <w:rPr>
                <w:rFonts w:hint="cs"/>
                <w:b/>
                <w:bCs/>
                <w:i/>
                <w:iCs/>
                <w:spacing w:val="0"/>
                <w:sz w:val="20"/>
                <w:rtl/>
                <w:lang w:val="fr-CH"/>
              </w:rPr>
              <w:t>م</w:t>
            </w:r>
            <w:r w:rsidR="00A75940" w:rsidRPr="00A75940">
              <w:rPr>
                <w:rFonts w:hint="cs"/>
                <w:b/>
                <w:bCs/>
                <w:i/>
                <w:iCs/>
                <w:spacing w:val="0"/>
                <w:sz w:val="20"/>
                <w:rtl/>
                <w:lang w:val="fr-CH"/>
              </w:rPr>
              <w:t xml:space="preserve">. </w:t>
            </w:r>
            <w:r w:rsidRPr="00A75940">
              <w:rPr>
                <w:rFonts w:hint="cs"/>
                <w:b/>
                <w:bCs/>
                <w:i/>
                <w:iCs/>
                <w:spacing w:val="0"/>
                <w:sz w:val="20"/>
                <w:rtl/>
                <w:lang w:val="fr-CH"/>
              </w:rPr>
              <w:t>وآخرون</w:t>
            </w:r>
            <w:r w:rsidRPr="00A75940">
              <w:rPr>
                <w:rFonts w:hint="cs"/>
                <w:b/>
                <w:bCs/>
                <w:spacing w:val="0"/>
                <w:sz w:val="20"/>
                <w:rtl/>
                <w:lang w:val="fr-CH"/>
              </w:rPr>
              <w:t>، 374/2009</w:t>
            </w:r>
          </w:p>
        </w:tc>
      </w:tr>
      <w:tr w:rsidR="004E0A37" w:rsidRPr="004E0A37" w:rsidTr="00905E27">
        <w:trPr>
          <w:cantSplit/>
        </w:trPr>
        <w:tc>
          <w:tcPr>
            <w:tcW w:w="371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 xml:space="preserve">آراء معتمدة في </w:t>
            </w:r>
          </w:p>
        </w:tc>
        <w:tc>
          <w:tcPr>
            <w:tcW w:w="344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21 تشرين الثاني/نوفمبر 2011</w:t>
            </w:r>
          </w:p>
        </w:tc>
      </w:tr>
      <w:tr w:rsidR="004E0A37" w:rsidRPr="004E0A37" w:rsidTr="00905E27">
        <w:trPr>
          <w:cantSplit/>
        </w:trPr>
        <w:tc>
          <w:tcPr>
            <w:tcW w:w="371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الانتهاكات التي خلصت إليها اللجنة</w:t>
            </w:r>
          </w:p>
        </w:tc>
        <w:tc>
          <w:tcPr>
            <w:tcW w:w="344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 xml:space="preserve">المادة 3 </w:t>
            </w:r>
          </w:p>
        </w:tc>
      </w:tr>
      <w:tr w:rsidR="004E0A37" w:rsidRPr="004E0A37" w:rsidTr="00905E27">
        <w:trPr>
          <w:cantSplit/>
        </w:trPr>
        <w:tc>
          <w:tcPr>
            <w:tcW w:w="371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الانتصاف الموصى به</w:t>
            </w:r>
          </w:p>
        </w:tc>
        <w:tc>
          <w:tcPr>
            <w:tcW w:w="344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طلبت اللجنة من الدولة الطرف عدم ترحيل صاحب الشكوى إلى أذربيجان.</w:t>
            </w:r>
          </w:p>
        </w:tc>
      </w:tr>
      <w:tr w:rsidR="004E0A37" w:rsidRPr="004E0A37" w:rsidTr="00905E27">
        <w:trPr>
          <w:cantSplit/>
        </w:trPr>
        <w:tc>
          <w:tcPr>
            <w:tcW w:w="7158" w:type="dxa"/>
            <w:gridSpan w:val="2"/>
            <w:tcBorders>
              <w:top w:val="nil"/>
              <w:left w:val="nil"/>
              <w:bottom w:val="nil"/>
              <w:right w:val="nil"/>
            </w:tcBorders>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في 6 أذار/مارس 2012، أبلغت الدولة الطرف اللجنة بأن مجلس شؤون الهجرة السويدي قرر، في 16 شباط/فبراير 2012، منح أصحاب الشكوى تصريح إقامة دائمة. وبذلك</w:t>
            </w:r>
            <w:r w:rsidR="00335AC0">
              <w:rPr>
                <w:rFonts w:hint="cs"/>
                <w:spacing w:val="0"/>
                <w:sz w:val="20"/>
                <w:rtl/>
              </w:rPr>
              <w:t xml:space="preserve"> لم </w:t>
            </w:r>
            <w:r w:rsidRPr="004E0A37">
              <w:rPr>
                <w:rFonts w:hint="cs"/>
                <w:spacing w:val="0"/>
                <w:sz w:val="20"/>
                <w:rtl/>
              </w:rPr>
              <w:t>يعد أصحاب الشكوى معرضون لخطر الترحيل إلى أذربيجان. وتعتبر الدولة الطرف أنها نفذت قرار اللجنة في هذه القضية.</w:t>
            </w:r>
          </w:p>
        </w:tc>
      </w:tr>
      <w:tr w:rsidR="004E0A37" w:rsidRPr="004E0A37" w:rsidTr="007D1EF4">
        <w:trPr>
          <w:cantSplit/>
        </w:trPr>
        <w:tc>
          <w:tcPr>
            <w:tcW w:w="7158" w:type="dxa"/>
            <w:gridSpan w:val="2"/>
            <w:tcBorders>
              <w:top w:val="nil"/>
              <w:left w:val="nil"/>
              <w:bottom w:val="nil"/>
              <w:right w:val="nil"/>
            </w:tcBorders>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 xml:space="preserve">وأحيلت رسالة الدولة الطرف إلى محامي أصحاب الشكوى في آذار/مارس 2012 للتعليق على ما جاء فيها. ولم تتلق اللجنة أي رد حتى الآن. </w:t>
            </w:r>
          </w:p>
        </w:tc>
      </w:tr>
      <w:tr w:rsidR="004E0A37" w:rsidRPr="004E0A37" w:rsidTr="007D1EF4">
        <w:trPr>
          <w:cantSplit/>
        </w:trPr>
        <w:tc>
          <w:tcPr>
            <w:tcW w:w="7158" w:type="dxa"/>
            <w:gridSpan w:val="2"/>
            <w:tcBorders>
              <w:top w:val="nil"/>
              <w:left w:val="nil"/>
              <w:bottom w:val="single" w:sz="12" w:space="0" w:color="auto"/>
              <w:right w:val="nil"/>
            </w:tcBorders>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الدورة الثامنة والأربعين، قررت اللجنة وقف حوار المتابعة، وخلصت إلى أن القضية قد سويت تسوية مرضية.</w:t>
            </w:r>
          </w:p>
        </w:tc>
      </w:tr>
    </w:tbl>
    <w:p w:rsidR="004E0A37" w:rsidRPr="004E0A37" w:rsidRDefault="004E0A37" w:rsidP="007D1EF4">
      <w:pPr>
        <w:pStyle w:val="SingleTxtGA"/>
        <w:rPr>
          <w:rFonts w:hint="cs"/>
        </w:rPr>
      </w:pPr>
    </w:p>
    <w:tbl>
      <w:tblPr>
        <w:tblStyle w:val="TableGrid"/>
        <w:bidiVisual/>
        <w:tblW w:w="0" w:type="auto"/>
        <w:tblInd w:w="1253" w:type="dxa"/>
        <w:tblBorders>
          <w:insideH w:val="none" w:sz="0" w:space="0" w:color="auto"/>
          <w:insideV w:val="none" w:sz="0" w:space="0" w:color="auto"/>
        </w:tblBorders>
        <w:tblCellMar>
          <w:left w:w="0" w:type="dxa"/>
          <w:right w:w="0" w:type="dxa"/>
        </w:tblCellMar>
        <w:tblLook w:val="01E0"/>
      </w:tblPr>
      <w:tblGrid>
        <w:gridCol w:w="3490"/>
        <w:gridCol w:w="3668"/>
      </w:tblGrid>
      <w:tr w:rsidR="004E0A37" w:rsidRPr="004E0A37" w:rsidTr="00905E27">
        <w:tc>
          <w:tcPr>
            <w:tcW w:w="3490" w:type="dxa"/>
            <w:tcBorders>
              <w:top w:val="single" w:sz="4" w:space="0" w:color="auto"/>
              <w:left w:val="nil"/>
              <w:bottom w:val="single" w:sz="12" w:space="0" w:color="auto"/>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الدولة الطرف</w:t>
            </w:r>
          </w:p>
        </w:tc>
        <w:tc>
          <w:tcPr>
            <w:tcW w:w="3668" w:type="dxa"/>
            <w:tcBorders>
              <w:top w:val="single" w:sz="4" w:space="0" w:color="auto"/>
              <w:bottom w:val="single" w:sz="12" w:space="0" w:color="auto"/>
              <w:right w:val="nil"/>
            </w:tcBorders>
          </w:tcPr>
          <w:p w:rsidR="004E0A37" w:rsidRPr="006E1F60" w:rsidRDefault="004E0A37" w:rsidP="00D17401">
            <w:pPr>
              <w:spacing w:before="60" w:after="60" w:line="340" w:lineRule="exact"/>
              <w:ind w:left="113" w:right="113"/>
              <w:rPr>
                <w:rFonts w:hint="cs"/>
                <w:b/>
                <w:bCs/>
                <w:spacing w:val="0"/>
                <w:sz w:val="20"/>
                <w:rtl/>
                <w:lang w:val="fr-CH"/>
              </w:rPr>
            </w:pPr>
            <w:r w:rsidRPr="006E1F60">
              <w:rPr>
                <w:rFonts w:hint="cs"/>
                <w:b/>
                <w:bCs/>
                <w:spacing w:val="0"/>
                <w:sz w:val="20"/>
                <w:rtl/>
                <w:lang w:val="fr-CH"/>
              </w:rPr>
              <w:t>السويد</w:t>
            </w:r>
          </w:p>
        </w:tc>
      </w:tr>
      <w:tr w:rsidR="004E0A37" w:rsidRPr="004E0A37" w:rsidTr="00905E27">
        <w:tc>
          <w:tcPr>
            <w:tcW w:w="3490" w:type="dxa"/>
            <w:tcBorders>
              <w:top w:val="single" w:sz="12" w:space="0" w:color="auto"/>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القضية</w:t>
            </w:r>
          </w:p>
        </w:tc>
        <w:tc>
          <w:tcPr>
            <w:tcW w:w="3668" w:type="dxa"/>
            <w:tcBorders>
              <w:top w:val="single" w:sz="12" w:space="0" w:color="auto"/>
              <w:left w:val="nil"/>
              <w:bottom w:val="nil"/>
              <w:right w:val="nil"/>
            </w:tcBorders>
          </w:tcPr>
          <w:p w:rsidR="004E0A37" w:rsidRPr="006E1F60" w:rsidRDefault="004E0A37" w:rsidP="00D17401">
            <w:pPr>
              <w:spacing w:before="60" w:after="60" w:line="340" w:lineRule="exact"/>
              <w:ind w:left="113" w:right="113"/>
              <w:rPr>
                <w:rFonts w:hint="cs"/>
                <w:b/>
                <w:bCs/>
                <w:spacing w:val="0"/>
                <w:sz w:val="20"/>
                <w:rtl/>
                <w:lang w:val="fr-CH"/>
              </w:rPr>
            </w:pPr>
            <w:r w:rsidRPr="006E1F60">
              <w:rPr>
                <w:rFonts w:hint="cs"/>
                <w:b/>
                <w:bCs/>
                <w:i/>
                <w:iCs/>
                <w:spacing w:val="0"/>
                <w:sz w:val="20"/>
                <w:rtl/>
                <w:lang w:val="fr-CH"/>
              </w:rPr>
              <w:t>باكاتو - بيا</w:t>
            </w:r>
            <w:r w:rsidRPr="006E1F60">
              <w:rPr>
                <w:rFonts w:hint="cs"/>
                <w:b/>
                <w:bCs/>
                <w:spacing w:val="0"/>
                <w:sz w:val="20"/>
                <w:rtl/>
                <w:lang w:val="fr-CH"/>
              </w:rPr>
              <w:t>، 379/2009</w:t>
            </w:r>
          </w:p>
        </w:tc>
      </w:tr>
      <w:tr w:rsidR="004E0A37" w:rsidRPr="004E0A37" w:rsidTr="00905E27">
        <w:tc>
          <w:tcPr>
            <w:tcW w:w="349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 xml:space="preserve">آراء معتمدة في </w:t>
            </w:r>
          </w:p>
        </w:tc>
        <w:tc>
          <w:tcPr>
            <w:tcW w:w="366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3 حزيران/يونيه 2011</w:t>
            </w:r>
          </w:p>
        </w:tc>
      </w:tr>
      <w:tr w:rsidR="004E0A37" w:rsidRPr="004E0A37" w:rsidTr="00905E27">
        <w:tc>
          <w:tcPr>
            <w:tcW w:w="349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الانتهاكات التي خلصت إليها اللجنة</w:t>
            </w:r>
          </w:p>
        </w:tc>
        <w:tc>
          <w:tcPr>
            <w:tcW w:w="366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 xml:space="preserve">المادة 3 </w:t>
            </w:r>
          </w:p>
        </w:tc>
      </w:tr>
      <w:tr w:rsidR="004E0A37" w:rsidRPr="004E0A37" w:rsidTr="00905E27">
        <w:tc>
          <w:tcPr>
            <w:tcW w:w="349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الانتصاف الموصى به</w:t>
            </w:r>
          </w:p>
        </w:tc>
        <w:tc>
          <w:tcPr>
            <w:tcW w:w="3668"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طلبت اللجنة من الدولة الطرف عدم طرد صاحب الشكوى إلى جمهورية الكونغو الديمقراطية.</w:t>
            </w:r>
          </w:p>
        </w:tc>
      </w:tr>
      <w:tr w:rsidR="004E0A37" w:rsidRPr="004E0A37" w:rsidTr="00905E27">
        <w:tc>
          <w:tcPr>
            <w:tcW w:w="7158" w:type="dxa"/>
            <w:gridSpan w:val="2"/>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في 1 أيلول/سبتمبر 2011، أبلغت الدولة الطرف اللجنة بأن مجلس شؤون الهجرة قرر، في 15 تموز/يوليه 2010، منح صاحب الشكوى تصريح إقامة دائمة. وفي ضوء ذلك، تعتبر الدولة الطرف أنها امتثلت لقرار اللجنة وزوّدتها بجميع المعلومات المطلوبة، وبالتالي</w:t>
            </w:r>
            <w:r w:rsidR="00335AC0" w:rsidRPr="00D17401">
              <w:rPr>
                <w:rFonts w:hint="cs"/>
                <w:spacing w:val="0"/>
                <w:sz w:val="20"/>
                <w:rtl/>
                <w:lang w:val="fr-CH"/>
              </w:rPr>
              <w:t xml:space="preserve"> لم </w:t>
            </w:r>
            <w:r w:rsidRPr="00D17401">
              <w:rPr>
                <w:rFonts w:hint="cs"/>
                <w:spacing w:val="0"/>
                <w:sz w:val="20"/>
                <w:rtl/>
                <w:lang w:val="fr-CH"/>
              </w:rPr>
              <w:t>يعد هناك أي داعٍ لاتخاذ أية تدابير إضافية لمتابعة قرار اللجنة.</w:t>
            </w:r>
          </w:p>
        </w:tc>
      </w:tr>
      <w:tr w:rsidR="004E0A37" w:rsidRPr="004E0A37" w:rsidTr="007D1EF4">
        <w:tc>
          <w:tcPr>
            <w:tcW w:w="7158" w:type="dxa"/>
            <w:gridSpan w:val="2"/>
            <w:tcBorders>
              <w:top w:val="nil"/>
              <w:left w:val="nil"/>
              <w:bottom w:val="nil"/>
              <w:right w:val="nil"/>
            </w:tcBorders>
            <w:vAlign w:val="bottom"/>
          </w:tcPr>
          <w:p w:rsidR="004E0A37" w:rsidRPr="00A75940" w:rsidRDefault="004E0A37" w:rsidP="00D17401">
            <w:pPr>
              <w:spacing w:before="60" w:after="60" w:line="340" w:lineRule="exact"/>
              <w:ind w:left="113" w:right="113"/>
              <w:rPr>
                <w:spacing w:val="-4"/>
                <w:sz w:val="20"/>
                <w:rtl/>
                <w:lang w:val="fr-CH"/>
              </w:rPr>
            </w:pPr>
            <w:r w:rsidRPr="00A75940">
              <w:rPr>
                <w:spacing w:val="-4"/>
                <w:sz w:val="20"/>
                <w:rtl/>
                <w:lang w:val="fr-CH"/>
              </w:rPr>
              <w:tab/>
            </w:r>
            <w:r w:rsidRPr="00A75940">
              <w:rPr>
                <w:rFonts w:hint="cs"/>
                <w:spacing w:val="-4"/>
                <w:sz w:val="20"/>
                <w:rtl/>
                <w:lang w:val="fr-CH"/>
              </w:rPr>
              <w:t>وأحيلت رسالة الدولة الطرف إلى محامي صاحب الشكوى في أيلول/سبتمبر 2011 للتعليق على ما جاء فيها، ولكن</w:t>
            </w:r>
            <w:r w:rsidR="00335AC0" w:rsidRPr="00A75940">
              <w:rPr>
                <w:rFonts w:hint="cs"/>
                <w:spacing w:val="-4"/>
                <w:sz w:val="20"/>
                <w:rtl/>
                <w:lang w:val="fr-CH"/>
              </w:rPr>
              <w:t xml:space="preserve"> لم </w:t>
            </w:r>
            <w:r w:rsidRPr="00A75940">
              <w:rPr>
                <w:rFonts w:hint="cs"/>
                <w:spacing w:val="-4"/>
                <w:sz w:val="20"/>
                <w:rtl/>
                <w:lang w:val="fr-CH"/>
              </w:rPr>
              <w:t xml:space="preserve">تتلق اللجنة أي رد حتى الآن. </w:t>
            </w:r>
          </w:p>
        </w:tc>
      </w:tr>
      <w:tr w:rsidR="004E0A37" w:rsidRPr="004E0A37" w:rsidTr="007D1EF4">
        <w:tc>
          <w:tcPr>
            <w:tcW w:w="7158" w:type="dxa"/>
            <w:gridSpan w:val="2"/>
            <w:tcBorders>
              <w:top w:val="nil"/>
              <w:left w:val="nil"/>
              <w:bottom w:val="single" w:sz="12" w:space="0" w:color="auto"/>
              <w:right w:val="nil"/>
            </w:tcBorders>
            <w:vAlign w:val="bottom"/>
          </w:tcPr>
          <w:p w:rsidR="004E0A37" w:rsidRPr="00D17401" w:rsidRDefault="004E0A37" w:rsidP="00D17401">
            <w:pPr>
              <w:spacing w:before="60" w:after="60" w:line="340" w:lineRule="exact"/>
              <w:ind w:left="113" w:right="113"/>
              <w:rPr>
                <w:spacing w:val="0"/>
                <w:sz w:val="20"/>
                <w:rtl/>
                <w:lang w:val="fr-CH"/>
              </w:rPr>
            </w:pPr>
            <w:r w:rsidRPr="00D17401">
              <w:rPr>
                <w:spacing w:val="0"/>
                <w:sz w:val="20"/>
                <w:rtl/>
                <w:lang w:val="fr-CH"/>
              </w:rPr>
              <w:tab/>
            </w:r>
            <w:r w:rsidRPr="00D17401">
              <w:rPr>
                <w:rFonts w:hint="cs"/>
                <w:spacing w:val="0"/>
                <w:sz w:val="20"/>
                <w:rtl/>
                <w:lang w:val="fr-CH"/>
              </w:rPr>
              <w:t>وفي الدورة السابعة والأربعين، قررت اللجنة وقف حوار المتابعة في هذه القضية، وخلصت إلى أن القضية قد سويت تسوية مرضية.</w:t>
            </w:r>
          </w:p>
        </w:tc>
      </w:tr>
    </w:tbl>
    <w:p w:rsidR="004E0A37" w:rsidRPr="004E0A37" w:rsidRDefault="004E0A37" w:rsidP="007D1EF4">
      <w:pPr>
        <w:pStyle w:val="SingleTxtGA"/>
      </w:pPr>
    </w:p>
    <w:tbl>
      <w:tblPr>
        <w:tblStyle w:val="TableGrid"/>
        <w:bidiVisual/>
        <w:tblW w:w="0" w:type="auto"/>
        <w:tblInd w:w="1253" w:type="dxa"/>
        <w:tblBorders>
          <w:insideH w:val="none" w:sz="0" w:space="0" w:color="auto"/>
          <w:insideV w:val="none" w:sz="0" w:space="0" w:color="auto"/>
        </w:tblBorders>
        <w:tblCellMar>
          <w:left w:w="0" w:type="dxa"/>
          <w:right w:w="0" w:type="dxa"/>
        </w:tblCellMar>
        <w:tblLook w:val="01E0"/>
      </w:tblPr>
      <w:tblGrid>
        <w:gridCol w:w="3490"/>
        <w:gridCol w:w="3663"/>
      </w:tblGrid>
      <w:tr w:rsidR="004E0A37" w:rsidRPr="004E0A37" w:rsidTr="00905E27">
        <w:tc>
          <w:tcPr>
            <w:tcW w:w="3490" w:type="dxa"/>
            <w:tcBorders>
              <w:top w:val="single" w:sz="4" w:space="0" w:color="auto"/>
              <w:left w:val="nil"/>
              <w:bottom w:val="single" w:sz="12" w:space="0" w:color="auto"/>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الدولة الطرف</w:t>
            </w:r>
          </w:p>
        </w:tc>
        <w:tc>
          <w:tcPr>
            <w:tcW w:w="3663" w:type="dxa"/>
            <w:tcBorders>
              <w:top w:val="single" w:sz="4" w:space="0" w:color="auto"/>
              <w:bottom w:val="single" w:sz="12" w:space="0" w:color="auto"/>
              <w:right w:val="nil"/>
            </w:tcBorders>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spacing w:val="0"/>
                <w:sz w:val="20"/>
                <w:rtl/>
                <w:lang w:val="fr-CH"/>
              </w:rPr>
              <w:t>سويسرا</w:t>
            </w:r>
          </w:p>
        </w:tc>
      </w:tr>
      <w:tr w:rsidR="004E0A37" w:rsidRPr="004E0A37" w:rsidTr="00905E27">
        <w:tc>
          <w:tcPr>
            <w:tcW w:w="3490" w:type="dxa"/>
            <w:tcBorders>
              <w:top w:val="single" w:sz="12" w:space="0" w:color="auto"/>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القضية</w:t>
            </w:r>
          </w:p>
        </w:tc>
        <w:tc>
          <w:tcPr>
            <w:tcW w:w="3663" w:type="dxa"/>
            <w:tcBorders>
              <w:top w:val="single" w:sz="12" w:space="0" w:color="auto"/>
              <w:left w:val="nil"/>
              <w:bottom w:val="nil"/>
              <w:right w:val="nil"/>
            </w:tcBorders>
          </w:tcPr>
          <w:p w:rsidR="004E0A37" w:rsidRPr="00A75940" w:rsidRDefault="004E0A37" w:rsidP="00D17401">
            <w:pPr>
              <w:spacing w:before="60" w:after="60" w:line="340" w:lineRule="exact"/>
              <w:ind w:left="113" w:right="113"/>
              <w:rPr>
                <w:rFonts w:hint="cs"/>
                <w:b/>
                <w:bCs/>
                <w:spacing w:val="0"/>
                <w:sz w:val="20"/>
                <w:rtl/>
                <w:lang w:val="fr-CH"/>
              </w:rPr>
            </w:pPr>
            <w:r w:rsidRPr="00A75940">
              <w:rPr>
                <w:rFonts w:hint="cs"/>
                <w:b/>
                <w:bCs/>
                <w:i/>
                <w:iCs/>
                <w:spacing w:val="0"/>
                <w:sz w:val="20"/>
                <w:rtl/>
                <w:lang w:val="fr-CH"/>
              </w:rPr>
              <w:t>جاهاني</w:t>
            </w:r>
            <w:r w:rsidRPr="00A75940">
              <w:rPr>
                <w:rFonts w:hint="cs"/>
                <w:b/>
                <w:bCs/>
                <w:spacing w:val="0"/>
                <w:sz w:val="20"/>
                <w:rtl/>
                <w:lang w:val="fr-CH"/>
              </w:rPr>
              <w:t>، 357/2008</w:t>
            </w:r>
          </w:p>
        </w:tc>
      </w:tr>
      <w:tr w:rsidR="004E0A37" w:rsidRPr="004E0A37" w:rsidTr="00905E27">
        <w:tc>
          <w:tcPr>
            <w:tcW w:w="349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 xml:space="preserve">آراء معتمدة في </w:t>
            </w:r>
          </w:p>
        </w:tc>
        <w:tc>
          <w:tcPr>
            <w:tcW w:w="3663"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23 أيار/مايو 2011</w:t>
            </w:r>
          </w:p>
        </w:tc>
      </w:tr>
      <w:tr w:rsidR="004E0A37" w:rsidRPr="004E0A37" w:rsidTr="00905E27">
        <w:tc>
          <w:tcPr>
            <w:tcW w:w="349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الانتهاكات التي خلصت إليها اللجنة</w:t>
            </w:r>
          </w:p>
        </w:tc>
        <w:tc>
          <w:tcPr>
            <w:tcW w:w="3663" w:type="dxa"/>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rFonts w:hint="cs"/>
                <w:spacing w:val="0"/>
                <w:sz w:val="20"/>
                <w:rtl/>
                <w:lang w:val="fr-CH"/>
              </w:rPr>
              <w:t xml:space="preserve">المادة 3 </w:t>
            </w:r>
          </w:p>
        </w:tc>
      </w:tr>
      <w:tr w:rsidR="004E0A37" w:rsidRPr="004E0A37" w:rsidTr="00905E27">
        <w:tc>
          <w:tcPr>
            <w:tcW w:w="3490" w:type="dxa"/>
            <w:tcBorders>
              <w:top w:val="nil"/>
              <w:left w:val="nil"/>
              <w:bottom w:val="nil"/>
              <w:right w:val="nil"/>
            </w:tcBorders>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الانتصاف الموصى به</w:t>
            </w:r>
          </w:p>
        </w:tc>
        <w:tc>
          <w:tcPr>
            <w:tcW w:w="3663" w:type="dxa"/>
            <w:tcBorders>
              <w:top w:val="nil"/>
              <w:left w:val="nil"/>
              <w:bottom w:val="nil"/>
              <w:right w:val="nil"/>
            </w:tcBorders>
          </w:tcPr>
          <w:p w:rsidR="004E0A37" w:rsidRPr="00A75940" w:rsidRDefault="004E0A37" w:rsidP="00D17401">
            <w:pPr>
              <w:spacing w:before="60" w:after="60" w:line="340" w:lineRule="exact"/>
              <w:ind w:left="113" w:right="113"/>
              <w:rPr>
                <w:rFonts w:hint="cs"/>
                <w:spacing w:val="-6"/>
                <w:sz w:val="20"/>
                <w:rtl/>
                <w:lang w:val="fr-CH"/>
              </w:rPr>
            </w:pPr>
            <w:r w:rsidRPr="00A75940">
              <w:rPr>
                <w:rFonts w:hint="cs"/>
                <w:spacing w:val="-6"/>
                <w:sz w:val="20"/>
                <w:rtl/>
                <w:lang w:val="fr-CH"/>
              </w:rPr>
              <w:t>طلبت اللجنة من الدولة الطرف عدم طرد صاحب الشكوى إلى جمهورية إيران الإسلامية.</w:t>
            </w:r>
          </w:p>
        </w:tc>
      </w:tr>
      <w:tr w:rsidR="004E0A37" w:rsidRPr="004E0A37" w:rsidTr="00905E27">
        <w:tc>
          <w:tcPr>
            <w:tcW w:w="7153" w:type="dxa"/>
            <w:gridSpan w:val="2"/>
            <w:tcBorders>
              <w:top w:val="nil"/>
              <w:left w:val="nil"/>
              <w:bottom w:val="nil"/>
              <w:right w:val="nil"/>
            </w:tcBorders>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 xml:space="preserve">في </w:t>
            </w:r>
            <w:r w:rsidRPr="00D17401">
              <w:rPr>
                <w:rFonts w:hint="cs"/>
                <w:spacing w:val="0"/>
                <w:sz w:val="20"/>
                <w:rtl/>
                <w:lang w:val="fr-CH"/>
              </w:rPr>
              <w:t>30</w:t>
            </w:r>
            <w:r w:rsidRPr="004E0A37">
              <w:rPr>
                <w:rFonts w:hint="cs"/>
                <w:spacing w:val="0"/>
                <w:sz w:val="20"/>
                <w:rtl/>
              </w:rPr>
              <w:t xml:space="preserve"> آب/أغسطس 2011، أبلغت الدولة الطرف اللجنة بأن المكتب الاتحادي للهجرة قرر، في 24 آب/أغسطس 2011، منح السيد جاهاني تصريح إقامة مؤقتة. وهو ما</w:t>
            </w:r>
            <w:r w:rsidRPr="004E0A37">
              <w:rPr>
                <w:rFonts w:hint="eastAsia"/>
                <w:spacing w:val="0"/>
                <w:sz w:val="20"/>
                <w:rtl/>
              </w:rPr>
              <w:t> </w:t>
            </w:r>
            <w:r w:rsidRPr="004E0A37">
              <w:rPr>
                <w:rFonts w:hint="cs"/>
                <w:spacing w:val="0"/>
                <w:sz w:val="20"/>
                <w:rtl/>
              </w:rPr>
              <w:t>يعني عملياً أن صاحب الشكوى لا يمكن إعادته إلى بلده الأصلي ما</w:t>
            </w:r>
            <w:r w:rsidR="00335AC0">
              <w:rPr>
                <w:rFonts w:hint="cs"/>
                <w:spacing w:val="0"/>
                <w:sz w:val="20"/>
                <w:rtl/>
              </w:rPr>
              <w:t xml:space="preserve"> لم </w:t>
            </w:r>
            <w:r w:rsidRPr="004E0A37">
              <w:rPr>
                <w:rFonts w:hint="cs"/>
                <w:spacing w:val="0"/>
                <w:sz w:val="20"/>
                <w:rtl/>
              </w:rPr>
              <w:t>تطرأ تغيرات سياسية جذرية هناك، أي ما</w:t>
            </w:r>
            <w:r w:rsidR="00335AC0">
              <w:rPr>
                <w:rFonts w:hint="cs"/>
                <w:spacing w:val="0"/>
                <w:sz w:val="20"/>
                <w:rtl/>
              </w:rPr>
              <w:t xml:space="preserve"> لم </w:t>
            </w:r>
            <w:r w:rsidRPr="004E0A37">
              <w:rPr>
                <w:rFonts w:hint="cs"/>
                <w:spacing w:val="0"/>
                <w:sz w:val="20"/>
                <w:rtl/>
              </w:rPr>
              <w:t>يحصل تغير مستدام في نظام الحكم تزول معه الأخطار التي</w:t>
            </w:r>
            <w:r w:rsidRPr="004E0A37">
              <w:rPr>
                <w:rFonts w:hint="eastAsia"/>
                <w:spacing w:val="0"/>
                <w:sz w:val="20"/>
                <w:rtl/>
              </w:rPr>
              <w:t> </w:t>
            </w:r>
            <w:r w:rsidRPr="004E0A37">
              <w:rPr>
                <w:rFonts w:hint="cs"/>
                <w:spacing w:val="0"/>
                <w:sz w:val="20"/>
                <w:rtl/>
              </w:rPr>
              <w:t>قد يتعرض لها صاحب الشكوى في حال إعادته. وإذا حصل مثل هذا التغيير وتقررت إعادة صاحب الشكوى، يمكنه أن يرفع استئنافاً ضد قرار إعادته. ويمكن لصاحب الشكوى أيضاً أن يقدم طلباً من أجل الحصول على إذن بالبقاء بعد خمس سنوات من الإقامة في</w:t>
            </w:r>
            <w:r w:rsidRPr="004E0A37">
              <w:rPr>
                <w:rFonts w:hint="eastAsia"/>
                <w:spacing w:val="0"/>
                <w:sz w:val="20"/>
                <w:rtl/>
              </w:rPr>
              <w:t> </w:t>
            </w:r>
            <w:r w:rsidRPr="004E0A37">
              <w:rPr>
                <w:rFonts w:hint="cs"/>
                <w:spacing w:val="0"/>
                <w:sz w:val="20"/>
                <w:rtl/>
              </w:rPr>
              <w:t>سويسرا، وهو إذن يُمنح استناداً إلى درجة الاندماج في المجتمع والوضع الأُسري بوجه الخصوص. ويمكن للزوجة والأطفال القاصرين، حسب شروط محددة، أن ينتفعوا بنظام</w:t>
            </w:r>
            <w:r w:rsidR="00335AC0">
              <w:rPr>
                <w:rFonts w:hint="cs"/>
                <w:spacing w:val="0"/>
                <w:sz w:val="20"/>
                <w:rtl/>
              </w:rPr>
              <w:t xml:space="preserve"> لم </w:t>
            </w:r>
            <w:r w:rsidRPr="004E0A37">
              <w:rPr>
                <w:rFonts w:hint="cs"/>
                <w:spacing w:val="0"/>
                <w:sz w:val="20"/>
                <w:rtl/>
              </w:rPr>
              <w:t xml:space="preserve">شمل العائلة. </w:t>
            </w:r>
          </w:p>
        </w:tc>
      </w:tr>
      <w:tr w:rsidR="004E0A37" w:rsidRPr="004E0A37" w:rsidTr="007D1EF4">
        <w:tc>
          <w:tcPr>
            <w:tcW w:w="7153" w:type="dxa"/>
            <w:gridSpan w:val="2"/>
            <w:tcBorders>
              <w:top w:val="nil"/>
              <w:left w:val="nil"/>
              <w:bottom w:val="nil"/>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وفي 3 تشرين الأول/أكتوبر 2011، أبلغ محامي صاحب الشكوى اللجنة بأن السلطات السويسرية قررت، في 24 آب/أغسطس 2011، منح السيد جاهاني مركز اللاجئ وعدم إعادته إلى جمهورية إيران الإسلامية؛ واعتبر أن هذا القرار يمثل تدبيراً مناسباً. ودعا المحامي اللجنة إلى أن تطلب</w:t>
            </w:r>
            <w:r w:rsidRPr="00D17401">
              <w:rPr>
                <w:rFonts w:hint="eastAsia"/>
                <w:spacing w:val="0"/>
                <w:sz w:val="20"/>
                <w:rtl/>
                <w:lang w:val="fr-CH"/>
              </w:rPr>
              <w:t> </w:t>
            </w:r>
            <w:r w:rsidRPr="00D17401">
              <w:rPr>
                <w:rFonts w:hint="cs"/>
                <w:spacing w:val="0"/>
                <w:sz w:val="20"/>
                <w:rtl/>
                <w:lang w:val="fr-CH"/>
              </w:rPr>
              <w:t>إلى الدولة الطرف أن تعوّض لصاحب الشكوى عن تكاليف التمثيل القانوني. وقد تقدم المحامي بطلب إلى الإدارة الاتحادية للعدل والشرطة من أجل استرداد تلك التكاليف، غير أنه أُبلغ بأن قرار اللجنة</w:t>
            </w:r>
            <w:r w:rsidR="00335AC0" w:rsidRPr="00D17401">
              <w:rPr>
                <w:rFonts w:hint="cs"/>
                <w:spacing w:val="0"/>
                <w:sz w:val="20"/>
                <w:rtl/>
                <w:lang w:val="fr-CH"/>
              </w:rPr>
              <w:t xml:space="preserve"> لم </w:t>
            </w:r>
            <w:r w:rsidRPr="00D17401">
              <w:rPr>
                <w:rFonts w:hint="cs"/>
                <w:spacing w:val="0"/>
                <w:sz w:val="20"/>
                <w:rtl/>
                <w:lang w:val="fr-CH"/>
              </w:rPr>
              <w:t>يتضمن أي توصية بالتعويض، وأنه لا يوجد بالتالي أي سبب قانوني لدفع المبلغ المطلوب.</w:t>
            </w:r>
          </w:p>
        </w:tc>
      </w:tr>
      <w:tr w:rsidR="004E0A37" w:rsidRPr="004E0A37" w:rsidTr="007D1EF4">
        <w:tc>
          <w:tcPr>
            <w:tcW w:w="7153" w:type="dxa"/>
            <w:gridSpan w:val="2"/>
            <w:tcBorders>
              <w:top w:val="nil"/>
              <w:left w:val="nil"/>
              <w:bottom w:val="single" w:sz="12" w:space="0" w:color="auto"/>
              <w:right w:val="nil"/>
            </w:tcBorders>
          </w:tcPr>
          <w:p w:rsidR="004E0A37" w:rsidRPr="00D17401" w:rsidRDefault="004E0A37" w:rsidP="00D17401">
            <w:pPr>
              <w:spacing w:before="60" w:after="60" w:line="340" w:lineRule="exact"/>
              <w:ind w:left="113" w:right="113"/>
              <w:rPr>
                <w:rFonts w:hint="cs"/>
                <w:spacing w:val="0"/>
                <w:sz w:val="20"/>
                <w:rtl/>
                <w:lang w:val="fr-CH"/>
              </w:rPr>
            </w:pPr>
            <w:r w:rsidRPr="00D17401">
              <w:rPr>
                <w:spacing w:val="0"/>
                <w:sz w:val="20"/>
                <w:rtl/>
                <w:lang w:val="fr-CH"/>
              </w:rPr>
              <w:tab/>
            </w:r>
            <w:r w:rsidRPr="00D17401">
              <w:rPr>
                <w:rFonts w:hint="cs"/>
                <w:spacing w:val="0"/>
                <w:sz w:val="20"/>
                <w:rtl/>
                <w:lang w:val="fr-CH"/>
              </w:rPr>
              <w:t>وفي الدورة السابعة والأربعين، قررت اللجنة وقف حوار المتابعة في هذه القضية، معتبرة أنها قد سويت تسوية مرضية، مع ملاحظة أن محامي صاحب الشكوى أعرب عن ارتياحه جزئيا</w:t>
            </w:r>
            <w:r w:rsidR="002035A0">
              <w:rPr>
                <w:rFonts w:hint="cs"/>
                <w:spacing w:val="0"/>
                <w:sz w:val="20"/>
                <w:rtl/>
                <w:lang w:val="fr-CH"/>
              </w:rPr>
              <w:t>ً</w:t>
            </w:r>
            <w:r w:rsidRPr="00D17401">
              <w:rPr>
                <w:rFonts w:hint="cs"/>
                <w:spacing w:val="0"/>
                <w:sz w:val="20"/>
                <w:rtl/>
                <w:lang w:val="fr-CH"/>
              </w:rPr>
              <w:t xml:space="preserve"> بهذه التسوية.</w:t>
            </w:r>
          </w:p>
        </w:tc>
      </w:tr>
    </w:tbl>
    <w:p w:rsidR="004E0A37" w:rsidRDefault="004E0A37" w:rsidP="007D1EF4">
      <w:pPr>
        <w:pStyle w:val="SingleTxtGA"/>
        <w:spacing w:after="240"/>
        <w:jc w:val="lowKashida"/>
        <w:rPr>
          <w:rFonts w:hint="cs"/>
          <w:spacing w:val="0"/>
          <w:sz w:val="20"/>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713"/>
        <w:gridCol w:w="3446"/>
      </w:tblGrid>
      <w:tr w:rsidR="004E0A37" w:rsidRPr="004E0A37" w:rsidTr="00905E27">
        <w:tc>
          <w:tcPr>
            <w:tcW w:w="3713" w:type="dxa"/>
            <w:tcBorders>
              <w:top w:val="single" w:sz="4" w:space="0" w:color="auto"/>
              <w:left w:val="nil"/>
              <w:bottom w:val="single" w:sz="12" w:space="0" w:color="auto"/>
              <w:right w:val="nil"/>
            </w:tcBorders>
            <w:shd w:val="clear" w:color="auto" w:fill="auto"/>
            <w:vAlign w:val="bottom"/>
          </w:tcPr>
          <w:p w:rsidR="004E0A37" w:rsidRPr="004E0A37" w:rsidRDefault="004E0A37" w:rsidP="004E0A37">
            <w:pPr>
              <w:spacing w:before="40" w:after="60" w:line="336"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446" w:type="dxa"/>
            <w:tcBorders>
              <w:top w:val="single" w:sz="4" w:space="0" w:color="auto"/>
              <w:left w:val="nil"/>
              <w:bottom w:val="single" w:sz="12" w:space="0" w:color="auto"/>
              <w:right w:val="nil"/>
            </w:tcBorders>
            <w:shd w:val="clear" w:color="auto" w:fill="auto"/>
            <w:vAlign w:val="bottom"/>
          </w:tcPr>
          <w:p w:rsidR="004E0A37" w:rsidRPr="004E0A37" w:rsidRDefault="004E0A37" w:rsidP="004E0A37">
            <w:pPr>
              <w:spacing w:before="40" w:after="60" w:line="336" w:lineRule="exact"/>
              <w:ind w:left="113" w:right="113"/>
              <w:rPr>
                <w:rFonts w:hint="cs"/>
                <w:b/>
                <w:bCs/>
                <w:i/>
                <w:spacing w:val="0"/>
                <w:sz w:val="20"/>
                <w:rtl/>
                <w:lang w:val="fr-CH"/>
              </w:rPr>
            </w:pPr>
            <w:r w:rsidRPr="004E0A37">
              <w:rPr>
                <w:rFonts w:hint="cs"/>
                <w:b/>
                <w:bCs/>
                <w:i/>
                <w:spacing w:val="0"/>
                <w:sz w:val="20"/>
                <w:rtl/>
                <w:lang w:val="fr-CH"/>
              </w:rPr>
              <w:t>سويسرا</w:t>
            </w:r>
          </w:p>
        </w:tc>
      </w:tr>
      <w:tr w:rsidR="004E0A37" w:rsidRPr="004E0A37" w:rsidTr="00905E27">
        <w:tc>
          <w:tcPr>
            <w:tcW w:w="3713" w:type="dxa"/>
            <w:tcBorders>
              <w:top w:val="single" w:sz="12" w:space="0" w:color="auto"/>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القضية</w:t>
            </w:r>
          </w:p>
        </w:tc>
        <w:tc>
          <w:tcPr>
            <w:tcW w:w="3446" w:type="dxa"/>
            <w:tcBorders>
              <w:top w:val="single" w:sz="12" w:space="0" w:color="auto"/>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b/>
                <w:bCs/>
                <w:spacing w:val="0"/>
                <w:sz w:val="20"/>
                <w:rtl/>
                <w:lang w:val="fr-CH"/>
              </w:rPr>
            </w:pPr>
            <w:r w:rsidRPr="00A75940">
              <w:rPr>
                <w:rFonts w:hint="cs"/>
                <w:b/>
                <w:bCs/>
                <w:i/>
                <w:iCs/>
                <w:spacing w:val="0"/>
                <w:sz w:val="20"/>
                <w:rtl/>
                <w:lang w:val="fr-CH"/>
              </w:rPr>
              <w:t>سينغ كالسا وآخرون</w:t>
            </w:r>
            <w:r w:rsidRPr="004E0A37">
              <w:rPr>
                <w:rFonts w:hint="cs"/>
                <w:b/>
                <w:bCs/>
                <w:spacing w:val="0"/>
                <w:sz w:val="20"/>
                <w:rtl/>
                <w:lang w:val="fr-CH"/>
              </w:rPr>
              <w:t>، 336/2008</w:t>
            </w:r>
          </w:p>
        </w:tc>
      </w:tr>
      <w:tr w:rsidR="004E0A37" w:rsidRPr="004E0A37" w:rsidTr="00905E27">
        <w:tc>
          <w:tcPr>
            <w:tcW w:w="3713" w:type="dxa"/>
            <w:tcBorders>
              <w:top w:val="nil"/>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446" w:type="dxa"/>
            <w:tcBorders>
              <w:top w:val="nil"/>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spacing w:val="0"/>
                <w:sz w:val="20"/>
                <w:rtl/>
                <w:lang w:val="fr-CH"/>
              </w:rPr>
            </w:pPr>
            <w:r w:rsidRPr="004E0A37">
              <w:rPr>
                <w:rFonts w:hint="cs"/>
                <w:spacing w:val="0"/>
                <w:sz w:val="20"/>
                <w:rtl/>
                <w:lang w:val="fr-CH"/>
              </w:rPr>
              <w:t>26 أيار/مايو 2011</w:t>
            </w:r>
          </w:p>
        </w:tc>
      </w:tr>
      <w:tr w:rsidR="004E0A37" w:rsidRPr="004E0A37" w:rsidTr="00905E27">
        <w:tc>
          <w:tcPr>
            <w:tcW w:w="3713" w:type="dxa"/>
            <w:tcBorders>
              <w:top w:val="nil"/>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 xml:space="preserve">الانتهاكات التي خلصت إليها اللجنة </w:t>
            </w:r>
          </w:p>
        </w:tc>
        <w:tc>
          <w:tcPr>
            <w:tcW w:w="3446" w:type="dxa"/>
            <w:tcBorders>
              <w:top w:val="nil"/>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spacing w:val="0"/>
                <w:sz w:val="20"/>
                <w:rtl/>
                <w:lang w:val="fr-CH"/>
              </w:rPr>
            </w:pPr>
            <w:r w:rsidRPr="004E0A37">
              <w:rPr>
                <w:rFonts w:hint="cs"/>
                <w:spacing w:val="0"/>
                <w:sz w:val="20"/>
                <w:rtl/>
                <w:lang w:val="fr-CH"/>
              </w:rPr>
              <w:t>المادة 3</w:t>
            </w:r>
          </w:p>
        </w:tc>
      </w:tr>
      <w:tr w:rsidR="004E0A37" w:rsidRPr="004E0A37" w:rsidTr="00905E27">
        <w:tc>
          <w:tcPr>
            <w:tcW w:w="3713" w:type="dxa"/>
            <w:tcBorders>
              <w:top w:val="nil"/>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446" w:type="dxa"/>
            <w:tcBorders>
              <w:top w:val="nil"/>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spacing w:val="0"/>
                <w:sz w:val="20"/>
                <w:rtl/>
                <w:lang w:val="fr-CH"/>
              </w:rPr>
            </w:pPr>
            <w:r w:rsidRPr="004E0A37">
              <w:rPr>
                <w:rFonts w:hint="cs"/>
                <w:spacing w:val="0"/>
                <w:sz w:val="20"/>
                <w:rtl/>
                <w:lang w:val="fr-CH"/>
              </w:rPr>
              <w:t>طلبت اللجنة من الدولة الطرف عدم طرد أصحاب الشكوى</w:t>
            </w:r>
            <w:r w:rsidRPr="004E0A37">
              <w:rPr>
                <w:rFonts w:hint="cs"/>
                <w:spacing w:val="0"/>
                <w:sz w:val="20"/>
                <w:rtl/>
              </w:rPr>
              <w:t xml:space="preserve"> إلى الهند</w:t>
            </w:r>
            <w:r w:rsidRPr="004E0A37">
              <w:rPr>
                <w:rFonts w:hint="cs"/>
                <w:spacing w:val="0"/>
                <w:sz w:val="20"/>
                <w:rtl/>
                <w:lang w:val="fr-CH"/>
              </w:rPr>
              <w:t xml:space="preserve">. </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في 22 كانون الأول/ديسمبر 2011، أوضحت الدولة الطرف أن المكتب الاتحادي للهجرة قرر في 28 تشرين الأول/أكتوبر 2011، في ضوء قرار اللجنة في هذه القضية، أن يمنح لأصحاب الشكوى تصريح</w:t>
            </w:r>
            <w:r w:rsidR="0081655E">
              <w:rPr>
                <w:rFonts w:hint="cs"/>
                <w:spacing w:val="0"/>
                <w:sz w:val="20"/>
                <w:rtl/>
                <w:lang w:val="fr-CH"/>
              </w:rPr>
              <w:t xml:space="preserve">اً </w:t>
            </w:r>
            <w:r w:rsidRPr="004E0A37">
              <w:rPr>
                <w:rFonts w:hint="cs"/>
                <w:spacing w:val="0"/>
                <w:sz w:val="20"/>
                <w:rtl/>
                <w:lang w:val="fr-CH"/>
              </w:rPr>
              <w:t>بالبقاء مؤقت</w:t>
            </w:r>
            <w:r w:rsidR="0081655E">
              <w:rPr>
                <w:rFonts w:hint="cs"/>
                <w:spacing w:val="0"/>
                <w:sz w:val="20"/>
                <w:rtl/>
                <w:lang w:val="fr-CH"/>
              </w:rPr>
              <w:t xml:space="preserve">اً </w:t>
            </w:r>
            <w:r w:rsidRPr="004E0A37">
              <w:rPr>
                <w:rFonts w:hint="cs"/>
                <w:spacing w:val="0"/>
                <w:sz w:val="20"/>
                <w:rtl/>
                <w:lang w:val="fr-CH"/>
              </w:rPr>
              <w:t>في سويسرا بالنظر إلى استحالة ترحيلهم إلى الهند، وبالتالي فهم في مأمن من الإعادة القسرية إلى الهند. وحتى إذا كان المكتب الاتحادي للهجرة يستعرض دوري</w:t>
            </w:r>
            <w:r w:rsidR="0081655E">
              <w:rPr>
                <w:rFonts w:hint="cs"/>
                <w:spacing w:val="0"/>
                <w:sz w:val="20"/>
                <w:rtl/>
                <w:lang w:val="fr-CH"/>
              </w:rPr>
              <w:t xml:space="preserve">اً </w:t>
            </w:r>
            <w:r w:rsidRPr="004E0A37">
              <w:rPr>
                <w:rFonts w:hint="cs"/>
                <w:spacing w:val="0"/>
                <w:sz w:val="20"/>
                <w:rtl/>
                <w:lang w:val="fr-CH"/>
              </w:rPr>
              <w:t>مسألة السماح لأصحاب الشكوى بالبقاء مؤقت</w:t>
            </w:r>
            <w:r w:rsidR="0081655E">
              <w:rPr>
                <w:rFonts w:hint="cs"/>
                <w:spacing w:val="0"/>
                <w:sz w:val="20"/>
                <w:rtl/>
                <w:lang w:val="fr-CH"/>
              </w:rPr>
              <w:t xml:space="preserve">اً </w:t>
            </w:r>
            <w:r w:rsidRPr="004E0A37">
              <w:rPr>
                <w:rFonts w:hint="cs"/>
                <w:spacing w:val="0"/>
                <w:sz w:val="20"/>
                <w:rtl/>
                <w:lang w:val="fr-CH"/>
              </w:rPr>
              <w:t>في سويسرا، فإن إعادتهم</w:t>
            </w:r>
            <w:r w:rsidR="00335AC0">
              <w:rPr>
                <w:rFonts w:hint="cs"/>
                <w:spacing w:val="0"/>
                <w:sz w:val="20"/>
                <w:rtl/>
                <w:lang w:val="fr-CH"/>
              </w:rPr>
              <w:t xml:space="preserve"> لن </w:t>
            </w:r>
            <w:r w:rsidRPr="004E0A37">
              <w:rPr>
                <w:rFonts w:hint="cs"/>
                <w:spacing w:val="0"/>
                <w:sz w:val="20"/>
                <w:rtl/>
                <w:lang w:val="fr-CH"/>
              </w:rPr>
              <w:t>تكون ممكنة عملي</w:t>
            </w:r>
            <w:r w:rsidR="0081655E">
              <w:rPr>
                <w:rFonts w:hint="cs"/>
                <w:spacing w:val="0"/>
                <w:sz w:val="20"/>
                <w:rtl/>
                <w:lang w:val="fr-CH"/>
              </w:rPr>
              <w:t xml:space="preserve">اً </w:t>
            </w:r>
            <w:r w:rsidRPr="004E0A37">
              <w:rPr>
                <w:rFonts w:hint="cs"/>
                <w:spacing w:val="0"/>
                <w:sz w:val="20"/>
                <w:rtl/>
                <w:lang w:val="fr-CH"/>
              </w:rPr>
              <w:t>إلا في حالة حدوث تغير سياسي جذري في بلد العودة، أي حدوث تغير مستدام في النظام ينتفي معه الخطر عليهم في حال العودة. وإذا زال الخطر في بلد العودة وواجه أصحاب الشكوى خطر إعادتهم، فيمكنهم الطعن في قرار إعادتهم بموجب المادة 112 من قانون الرعايا الأجانب. وبالإضافة إلى ذلك، يمكن أن يتغير وضعهم إن عاشوا في سويسرا أو إذا حصلوا على إقامة صالحة فيها. فيمكنهم مثل</w:t>
            </w:r>
            <w:r w:rsidR="0081655E">
              <w:rPr>
                <w:rFonts w:hint="cs"/>
                <w:spacing w:val="0"/>
                <w:sz w:val="20"/>
                <w:rtl/>
                <w:lang w:val="fr-CH"/>
              </w:rPr>
              <w:t xml:space="preserve">اً </w:t>
            </w:r>
            <w:r w:rsidRPr="004E0A37">
              <w:rPr>
                <w:rFonts w:hint="cs"/>
                <w:spacing w:val="0"/>
                <w:sz w:val="20"/>
                <w:rtl/>
                <w:lang w:val="fr-CH"/>
              </w:rPr>
              <w:t>طلب رخصة إقامة بعد العيش في سويسرا لمدة خمس سنوات ويمنحون رخصة الإقامة في ضوء مستوى اندماجهم</w:t>
            </w:r>
            <w:r w:rsidRPr="004E0A37">
              <w:rPr>
                <w:rFonts w:hint="cs"/>
                <w:b/>
                <w:bCs/>
                <w:spacing w:val="0"/>
                <w:sz w:val="20"/>
                <w:rtl/>
                <w:lang w:val="fr-CH"/>
              </w:rPr>
              <w:t>،</w:t>
            </w:r>
            <w:r w:rsidRPr="004E0A37">
              <w:rPr>
                <w:rFonts w:hint="cs"/>
                <w:spacing w:val="0"/>
                <w:sz w:val="20"/>
                <w:rtl/>
                <w:lang w:val="fr-CH"/>
              </w:rPr>
              <w:t xml:space="preserve"> وبالأخص بحسب حالتهم الأسرية. وعلاوة على ذلك، يمكنهم أيضاً الاستفادة من إجراء</w:t>
            </w:r>
            <w:r w:rsidR="00335AC0">
              <w:rPr>
                <w:rFonts w:hint="cs"/>
                <w:spacing w:val="0"/>
                <w:sz w:val="20"/>
                <w:rtl/>
                <w:lang w:val="fr-CH"/>
              </w:rPr>
              <w:t xml:space="preserve"> لم </w:t>
            </w:r>
            <w:r w:rsidRPr="004E0A37">
              <w:rPr>
                <w:rFonts w:hint="cs"/>
                <w:spacing w:val="0"/>
                <w:sz w:val="20"/>
                <w:rtl/>
                <w:lang w:val="fr-CH"/>
              </w:rPr>
              <w:t>شمل الأسرة.</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وأوضحت الدولة الطرف أيضاً أن أصحاب الشكوى استأنفوا، في 2 كانون الأول/ديسمبر 2011، أمام المحكمة الإدارية الاتحادية على قرار السماح لهم بالبقاء مؤقتا</w:t>
            </w:r>
            <w:r w:rsidR="002035A0">
              <w:rPr>
                <w:rFonts w:hint="cs"/>
                <w:spacing w:val="0"/>
                <w:sz w:val="20"/>
                <w:rtl/>
                <w:lang w:val="fr-CH"/>
              </w:rPr>
              <w:t>ً</w:t>
            </w:r>
            <w:r w:rsidRPr="004E0A37">
              <w:rPr>
                <w:rFonts w:hint="cs"/>
                <w:spacing w:val="0"/>
                <w:sz w:val="20"/>
                <w:rtl/>
                <w:lang w:val="fr-CH"/>
              </w:rPr>
              <w:t xml:space="preserve"> وطلبوا الاعتراف بهم كلاجئين. ولا يزال هذا الاستئناف ينتظر البت فيه.</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30 كانون الثاني/يناير 2012، دفع محامي أصحاب الشكوى بأن قرار السماح لأصحاب الشكوى بالبقاء في سويسرا مؤقت</w:t>
            </w:r>
            <w:r w:rsidR="0081655E">
              <w:rPr>
                <w:rFonts w:hint="cs"/>
                <w:spacing w:val="0"/>
                <w:sz w:val="20"/>
                <w:rtl/>
                <w:lang w:val="fr-CH"/>
              </w:rPr>
              <w:t xml:space="preserve">اً </w:t>
            </w:r>
            <w:r w:rsidRPr="004E0A37">
              <w:rPr>
                <w:rFonts w:hint="cs"/>
                <w:spacing w:val="0"/>
                <w:sz w:val="20"/>
                <w:rtl/>
                <w:lang w:val="fr-CH"/>
              </w:rPr>
              <w:t>غير منسجم مع قرار اللجنة، ولهذا السبب استأنفوا عليه أمام المحكمة الإدارية الاتحادية. ووفق</w:t>
            </w:r>
            <w:r w:rsidR="0081655E">
              <w:rPr>
                <w:rFonts w:hint="cs"/>
                <w:spacing w:val="0"/>
                <w:sz w:val="20"/>
                <w:rtl/>
                <w:lang w:val="fr-CH"/>
              </w:rPr>
              <w:t xml:space="preserve">اً </w:t>
            </w:r>
            <w:r w:rsidRPr="004E0A37">
              <w:rPr>
                <w:rFonts w:hint="cs"/>
                <w:spacing w:val="0"/>
                <w:sz w:val="20"/>
                <w:rtl/>
                <w:lang w:val="fr-CH"/>
              </w:rPr>
              <w:t>للمحامي، فإن السبيل الوحيد لحماية أصحاب الشكوى في هذه الحالة هو منحهم وضع اللاجئ. فقرار السماح بالبقاء مؤقت</w:t>
            </w:r>
            <w:r w:rsidR="0081655E">
              <w:rPr>
                <w:rFonts w:hint="cs"/>
                <w:spacing w:val="0"/>
                <w:sz w:val="20"/>
                <w:rtl/>
                <w:lang w:val="fr-CH"/>
              </w:rPr>
              <w:t xml:space="preserve">اً </w:t>
            </w:r>
            <w:r w:rsidRPr="004E0A37">
              <w:rPr>
                <w:rFonts w:hint="cs"/>
                <w:spacing w:val="0"/>
                <w:sz w:val="20"/>
                <w:rtl/>
                <w:lang w:val="fr-CH"/>
              </w:rPr>
              <w:t>يمكن إلغاؤه في أي وقت.</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905E27">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15 آذار/مارس 2012، أوضحت الدولة الطرف أن نوع رخصة الإقامة التي تمنح لأصحاب الشكوى لا يدخل في نطاق اختصاص المادة 3 من الاتفاقية. فمبدأ عدم الإعادة القسرية كما هو مكفول بموجب هذه المادة يختلف عن إجراءات اللجوء في إطار اتفاقية وضع اللاجئين لعام 1951. وتضيف الدولة الطرف أن المادة 3 من اتفاقية مناهضة التعذيب وغيره من ضروب المعاملة أو العقوبة القاسية أو اللاإنسانية أو المهينة لا تنص على الحق في الحصول على وضع اللاجئ ذي الطابع الخاص. وترى الدولة الطرف أن بمنحها تصريح بالإقامة المؤقتة لأصحاب الشكوى تكون قد امتثلت لقرار اللجنة. وأحيلت رسالة الدولة الطرف إلى أصحاب الشكوى في آذار/مارس 2012 للتعليق عليها.</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4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19 نيسان/أبريل 2012، أعرب محامي أصحاب الشكوى عن عدم الرضاء إزاء إصدار رخص الإقامة المؤقتة لأصحاب الشكوى. ولاحظ أنه لا يوجد أي ضمان بعدم إعادة أصحاب الشكوى إلى الهند في المستقبل، مضيف</w:t>
            </w:r>
            <w:r w:rsidR="0081655E">
              <w:rPr>
                <w:rFonts w:hint="cs"/>
                <w:spacing w:val="0"/>
                <w:sz w:val="20"/>
                <w:rtl/>
                <w:lang w:val="fr-CH"/>
              </w:rPr>
              <w:t xml:space="preserve">اً </w:t>
            </w:r>
            <w:r w:rsidRPr="004E0A37">
              <w:rPr>
                <w:rFonts w:hint="cs"/>
                <w:spacing w:val="0"/>
                <w:sz w:val="20"/>
                <w:rtl/>
                <w:lang w:val="fr-CH"/>
              </w:rPr>
              <w:t>أن الاستئناف أمام المحكمة الإدارية الاتحادية</w:t>
            </w:r>
            <w:r w:rsidR="00335AC0">
              <w:rPr>
                <w:rFonts w:hint="cs"/>
                <w:spacing w:val="0"/>
                <w:sz w:val="20"/>
                <w:rtl/>
                <w:lang w:val="fr-CH"/>
              </w:rPr>
              <w:t xml:space="preserve"> لم </w:t>
            </w:r>
            <w:r w:rsidRPr="004E0A37">
              <w:rPr>
                <w:rFonts w:hint="cs"/>
                <w:spacing w:val="0"/>
                <w:sz w:val="20"/>
                <w:rtl/>
                <w:lang w:val="fr-CH"/>
              </w:rPr>
              <w:t>يبت فيه بعد.</w:t>
            </w:r>
          </w:p>
        </w:tc>
      </w:tr>
      <w:tr w:rsidR="004E0A37" w:rsidRPr="004E0A37" w:rsidTr="00905E2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24 أيار/مايو 2012، أشارت الدولة الطرف إلى رسالتها السابقة وأوضحت أن أصحاب الشكوى لا يواجهون خطر ترحيلهم إلى الهند، حيث أنهم منحوا رخص إقامة مؤقتة. وتؤكد الدولة الطرف مجدد</w:t>
            </w:r>
            <w:r w:rsidR="0081655E">
              <w:rPr>
                <w:rFonts w:hint="cs"/>
                <w:spacing w:val="0"/>
                <w:sz w:val="20"/>
                <w:rtl/>
                <w:lang w:val="fr-CH"/>
              </w:rPr>
              <w:t xml:space="preserve">اً </w:t>
            </w:r>
            <w:r w:rsidRPr="004E0A37">
              <w:rPr>
                <w:rFonts w:hint="cs"/>
                <w:spacing w:val="0"/>
                <w:sz w:val="20"/>
                <w:rtl/>
                <w:lang w:val="fr-CH"/>
              </w:rPr>
              <w:t>أن مسألة نوع رخصة الإقامة لا تدخل في نطاق اختصاص المادة 3 من الاتفاقية.</w:t>
            </w:r>
          </w:p>
        </w:tc>
      </w:tr>
      <w:tr w:rsidR="004E0A37" w:rsidRPr="004E0A37" w:rsidTr="007D1EF4">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 xml:space="preserve">وقررت اللجنة، في دورتها الثامنة والأربعين، أن تطلب من المحامي توضيحات </w:t>
            </w:r>
            <w:r w:rsidR="00F96B1E">
              <w:rPr>
                <w:rFonts w:hint="cs"/>
                <w:spacing w:val="0"/>
                <w:sz w:val="20"/>
                <w:rtl/>
                <w:lang w:val="fr-CH"/>
              </w:rPr>
              <w:t>فيما </w:t>
            </w:r>
            <w:r w:rsidRPr="004E0A37">
              <w:rPr>
                <w:rFonts w:hint="cs"/>
                <w:spacing w:val="0"/>
                <w:sz w:val="20"/>
                <w:rtl/>
                <w:lang w:val="fr-CH"/>
              </w:rPr>
              <w:t>يتعلق بنتيجة الاستئناف المقدم إلى المحكمة الإدارية الاتحادية، قبل أن تتخذ اللجنة قرارها في المسألة.</w:t>
            </w:r>
          </w:p>
        </w:tc>
      </w:tr>
      <w:tr w:rsidR="00A75940" w:rsidRPr="004E0A37" w:rsidTr="007D1EF4">
        <w:tc>
          <w:tcPr>
            <w:tcW w:w="7159" w:type="dxa"/>
            <w:gridSpan w:val="2"/>
            <w:tcBorders>
              <w:top w:val="nil"/>
              <w:left w:val="nil"/>
              <w:bottom w:val="single" w:sz="12" w:space="0" w:color="auto"/>
              <w:right w:val="nil"/>
            </w:tcBorders>
            <w:shd w:val="clear" w:color="auto" w:fill="auto"/>
            <w:vAlign w:val="bottom"/>
          </w:tcPr>
          <w:p w:rsidR="00A75940" w:rsidRPr="00544535" w:rsidRDefault="00A75940" w:rsidP="004E0A37">
            <w:pPr>
              <w:spacing w:before="60" w:after="60" w:line="340" w:lineRule="exact"/>
              <w:ind w:left="113" w:right="113"/>
              <w:rPr>
                <w:rFonts w:hint="cs"/>
                <w:spacing w:val="0"/>
                <w:sz w:val="20"/>
                <w:rtl/>
              </w:rPr>
            </w:pPr>
            <w:r w:rsidRPr="004E0A37">
              <w:rPr>
                <w:rFonts w:hint="cs"/>
                <w:b/>
                <w:bCs/>
                <w:spacing w:val="0"/>
                <w:sz w:val="20"/>
                <w:rtl/>
                <w:lang w:val="fr-CH"/>
              </w:rPr>
              <w:t>قرار اللجنة</w:t>
            </w:r>
            <w:r>
              <w:rPr>
                <w:rFonts w:hint="cs"/>
                <w:spacing w:val="0"/>
                <w:sz w:val="20"/>
                <w:rtl/>
                <w:lang w:val="fr-CH"/>
              </w:rPr>
              <w:t xml:space="preserve">: </w:t>
            </w:r>
            <w:r w:rsidRPr="00544535">
              <w:rPr>
                <w:rFonts w:hint="cs"/>
                <w:spacing w:val="0"/>
                <w:sz w:val="20"/>
                <w:rtl/>
              </w:rPr>
              <w:t>حوار المتابعة مستمر.</w:t>
            </w:r>
          </w:p>
        </w:tc>
      </w:tr>
    </w:tbl>
    <w:p w:rsidR="004E0A37" w:rsidRPr="004E0A37" w:rsidRDefault="004E0A37" w:rsidP="004E0A37">
      <w:pPr>
        <w:pStyle w:val="SingleTxtGA"/>
        <w:jc w:val="lowKashida"/>
        <w:rPr>
          <w:rFonts w:hint="cs"/>
          <w:spacing w:val="0"/>
          <w:sz w:val="20"/>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713"/>
        <w:gridCol w:w="3446"/>
      </w:tblGrid>
      <w:tr w:rsidR="004E0A37" w:rsidRPr="004E0A37" w:rsidTr="001D12C7">
        <w:tc>
          <w:tcPr>
            <w:tcW w:w="3713" w:type="dxa"/>
            <w:tcBorders>
              <w:top w:val="single" w:sz="4" w:space="0" w:color="auto"/>
              <w:left w:val="nil"/>
              <w:bottom w:val="single" w:sz="12" w:space="0" w:color="auto"/>
              <w:right w:val="nil"/>
            </w:tcBorders>
            <w:shd w:val="clear" w:color="auto" w:fill="auto"/>
            <w:vAlign w:val="bottom"/>
          </w:tcPr>
          <w:p w:rsidR="004E0A37" w:rsidRPr="004E0A37" w:rsidRDefault="004E0A37" w:rsidP="004E0A37">
            <w:pPr>
              <w:spacing w:before="40" w:after="60" w:line="336" w:lineRule="exact"/>
              <w:ind w:left="113" w:right="113"/>
              <w:rPr>
                <w:rFonts w:hint="cs"/>
                <w:b/>
                <w:bCs/>
                <w:i/>
                <w:spacing w:val="0"/>
                <w:sz w:val="20"/>
                <w:rtl/>
                <w:lang w:val="fr-CH"/>
              </w:rPr>
            </w:pPr>
            <w:r w:rsidRPr="004E0A37">
              <w:rPr>
                <w:rFonts w:hint="cs"/>
                <w:b/>
                <w:bCs/>
                <w:i/>
                <w:spacing w:val="0"/>
                <w:sz w:val="20"/>
                <w:rtl/>
                <w:lang w:val="fr-CH"/>
              </w:rPr>
              <w:t>الدولة الطرف</w:t>
            </w:r>
          </w:p>
        </w:tc>
        <w:tc>
          <w:tcPr>
            <w:tcW w:w="3446" w:type="dxa"/>
            <w:tcBorders>
              <w:top w:val="single" w:sz="4" w:space="0" w:color="auto"/>
              <w:left w:val="nil"/>
              <w:bottom w:val="single" w:sz="12" w:space="0" w:color="auto"/>
              <w:right w:val="nil"/>
            </w:tcBorders>
            <w:shd w:val="clear" w:color="auto" w:fill="auto"/>
            <w:vAlign w:val="bottom"/>
          </w:tcPr>
          <w:p w:rsidR="004E0A37" w:rsidRPr="004E0A37" w:rsidRDefault="004E0A37" w:rsidP="004E0A37">
            <w:pPr>
              <w:spacing w:before="40" w:after="60" w:line="336" w:lineRule="exact"/>
              <w:ind w:left="113" w:right="113"/>
              <w:rPr>
                <w:rFonts w:hint="cs"/>
                <w:b/>
                <w:bCs/>
                <w:i/>
                <w:spacing w:val="0"/>
                <w:sz w:val="20"/>
                <w:rtl/>
                <w:lang w:val="fr-CH"/>
              </w:rPr>
            </w:pPr>
            <w:r w:rsidRPr="004E0A37">
              <w:rPr>
                <w:rFonts w:hint="cs"/>
                <w:b/>
                <w:bCs/>
                <w:i/>
                <w:spacing w:val="0"/>
                <w:sz w:val="20"/>
                <w:rtl/>
                <w:lang w:val="fr-CH"/>
              </w:rPr>
              <w:t>تونس</w:t>
            </w:r>
          </w:p>
        </w:tc>
      </w:tr>
      <w:tr w:rsidR="004E0A37" w:rsidRPr="004E0A37" w:rsidTr="001D12C7">
        <w:tc>
          <w:tcPr>
            <w:tcW w:w="3713" w:type="dxa"/>
            <w:tcBorders>
              <w:top w:val="single" w:sz="12" w:space="0" w:color="auto"/>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القضية</w:t>
            </w:r>
          </w:p>
        </w:tc>
        <w:tc>
          <w:tcPr>
            <w:tcW w:w="3446" w:type="dxa"/>
            <w:tcBorders>
              <w:top w:val="single" w:sz="12" w:space="0" w:color="auto"/>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b/>
                <w:bCs/>
                <w:spacing w:val="0"/>
                <w:sz w:val="20"/>
                <w:rtl/>
                <w:lang w:val="fr-CH"/>
              </w:rPr>
            </w:pPr>
            <w:r w:rsidRPr="00A75940">
              <w:rPr>
                <w:rFonts w:hint="cs"/>
                <w:b/>
                <w:bCs/>
                <w:i/>
                <w:iCs/>
                <w:spacing w:val="0"/>
                <w:sz w:val="20"/>
                <w:rtl/>
                <w:lang w:val="fr-CH"/>
              </w:rPr>
              <w:t>مبارك</w:t>
            </w:r>
            <w:r w:rsidRPr="004E0A37">
              <w:rPr>
                <w:rFonts w:hint="cs"/>
                <w:b/>
                <w:bCs/>
                <w:spacing w:val="0"/>
                <w:sz w:val="20"/>
                <w:rtl/>
                <w:lang w:val="fr-CH"/>
              </w:rPr>
              <w:t>، 60/1996</w:t>
            </w:r>
          </w:p>
        </w:tc>
      </w:tr>
      <w:tr w:rsidR="004E0A37" w:rsidRPr="004E0A37" w:rsidTr="001D12C7">
        <w:tc>
          <w:tcPr>
            <w:tcW w:w="3713" w:type="dxa"/>
            <w:tcBorders>
              <w:top w:val="nil"/>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 xml:space="preserve">آراء معتمدة في </w:t>
            </w:r>
          </w:p>
        </w:tc>
        <w:tc>
          <w:tcPr>
            <w:tcW w:w="3446" w:type="dxa"/>
            <w:tcBorders>
              <w:top w:val="nil"/>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spacing w:val="0"/>
                <w:sz w:val="20"/>
                <w:rtl/>
                <w:lang w:val="fr-CH"/>
              </w:rPr>
            </w:pPr>
            <w:r w:rsidRPr="004E0A37">
              <w:rPr>
                <w:rFonts w:hint="cs"/>
                <w:spacing w:val="0"/>
                <w:sz w:val="20"/>
                <w:rtl/>
                <w:lang w:val="fr-CH"/>
              </w:rPr>
              <w:t>10 تشرين الثاني/نوفمبر 1999</w:t>
            </w:r>
          </w:p>
        </w:tc>
      </w:tr>
      <w:tr w:rsidR="004E0A37" w:rsidRPr="004E0A37" w:rsidTr="001D12C7">
        <w:tc>
          <w:tcPr>
            <w:tcW w:w="3713" w:type="dxa"/>
            <w:tcBorders>
              <w:top w:val="nil"/>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 xml:space="preserve">الانتهاكات التي خلصت إليها اللجنة </w:t>
            </w:r>
          </w:p>
        </w:tc>
        <w:tc>
          <w:tcPr>
            <w:tcW w:w="3446" w:type="dxa"/>
            <w:tcBorders>
              <w:top w:val="nil"/>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spacing w:val="0"/>
                <w:sz w:val="20"/>
                <w:rtl/>
                <w:lang w:val="fr-CH"/>
              </w:rPr>
            </w:pPr>
            <w:r w:rsidRPr="004E0A37">
              <w:rPr>
                <w:rFonts w:hint="cs"/>
                <w:spacing w:val="0"/>
                <w:sz w:val="20"/>
                <w:rtl/>
                <w:lang w:val="fr-CH"/>
              </w:rPr>
              <w:t>المادتان 12 و13</w:t>
            </w:r>
          </w:p>
        </w:tc>
      </w:tr>
      <w:tr w:rsidR="004E0A37" w:rsidRPr="004E0A37" w:rsidTr="001D12C7">
        <w:tc>
          <w:tcPr>
            <w:tcW w:w="3713" w:type="dxa"/>
            <w:tcBorders>
              <w:top w:val="nil"/>
              <w:left w:val="nil"/>
              <w:bottom w:val="nil"/>
              <w:right w:val="nil"/>
            </w:tcBorders>
            <w:shd w:val="clear" w:color="auto" w:fill="auto"/>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الانتصاف الموصى به</w:t>
            </w:r>
          </w:p>
        </w:tc>
        <w:tc>
          <w:tcPr>
            <w:tcW w:w="3446" w:type="dxa"/>
            <w:tcBorders>
              <w:top w:val="nil"/>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spacing w:val="0"/>
                <w:sz w:val="20"/>
                <w:rtl/>
                <w:lang w:val="fr-CH"/>
              </w:rPr>
            </w:pPr>
            <w:r w:rsidRPr="004E0A37">
              <w:rPr>
                <w:rFonts w:hint="cs"/>
                <w:spacing w:val="0"/>
                <w:sz w:val="20"/>
                <w:rtl/>
                <w:lang w:val="fr-CH"/>
              </w:rPr>
              <w:t xml:space="preserve">طلبت اللجنة من الدولة الطرف إجراء تحقيق نزيه للتأكد من وقوع أعمال تعذيب في هذه القضية. </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4E0A37">
            <w:pPr>
              <w:spacing w:before="40" w:after="60" w:line="336" w:lineRule="exact"/>
              <w:ind w:left="113" w:right="113"/>
              <w:rPr>
                <w:rFonts w:hint="cs"/>
                <w:b/>
                <w:bCs/>
                <w:spacing w:val="0"/>
                <w:sz w:val="20"/>
                <w:rtl/>
                <w:lang w:val="fr-CH"/>
              </w:rPr>
            </w:pPr>
            <w:r w:rsidRPr="004E0A37">
              <w:rPr>
                <w:rFonts w:hint="cs"/>
                <w:b/>
                <w:bCs/>
                <w:spacing w:val="0"/>
                <w:sz w:val="20"/>
                <w:rtl/>
                <w:lang w:val="fr-CH"/>
              </w:rPr>
              <w:t xml:space="preserve">معلومات المتابعة المُقدَّمة سابقاً: </w:t>
            </w:r>
            <w:r w:rsidRPr="004E0A37">
              <w:rPr>
                <w:b/>
                <w:bCs/>
                <w:spacing w:val="0"/>
                <w:sz w:val="20"/>
                <w:lang w:val="fr-CH"/>
              </w:rPr>
              <w:t>A/66/44</w:t>
            </w:r>
            <w:r w:rsidRPr="004E0A37">
              <w:rPr>
                <w:rFonts w:hint="cs"/>
                <w:b/>
                <w:bCs/>
                <w:spacing w:val="0"/>
                <w:sz w:val="20"/>
                <w:rtl/>
                <w:lang w:val="fr-CH"/>
              </w:rPr>
              <w:t>، الفصل السادس</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b/>
                <w:bCs/>
                <w:spacing w:val="0"/>
                <w:sz w:val="20"/>
                <w:rtl/>
                <w:lang w:val="fr-CH"/>
              </w:rPr>
            </w:pPr>
            <w:r w:rsidRPr="004E0A37">
              <w:rPr>
                <w:spacing w:val="0"/>
                <w:sz w:val="20"/>
                <w:rtl/>
                <w:lang w:val="fr-CH"/>
              </w:rPr>
              <w:tab/>
            </w:r>
            <w:r w:rsidRPr="004E0A37">
              <w:rPr>
                <w:rFonts w:hint="cs"/>
                <w:spacing w:val="0"/>
                <w:sz w:val="20"/>
                <w:rtl/>
                <w:lang w:val="fr-CH"/>
              </w:rPr>
              <w:t>في 7 حزيران/يونيه 2011، أبلغت الدولة الطرف اللجنة بأن قاضي التحقيق لدى المحكمة الابتدائية في فرنبالية قرر، بناءًً على طلب النيابة العامة مواصلة التحقيق المؤرخ في</w:t>
            </w:r>
            <w:r w:rsidR="002035A0">
              <w:rPr>
                <w:rFonts w:hint="eastAsia"/>
                <w:spacing w:val="0"/>
                <w:sz w:val="20"/>
                <w:rtl/>
                <w:lang w:val="fr-CH"/>
              </w:rPr>
              <w:t> </w:t>
            </w:r>
            <w:r w:rsidRPr="004E0A37">
              <w:rPr>
                <w:rFonts w:hint="cs"/>
                <w:spacing w:val="0"/>
                <w:sz w:val="20"/>
                <w:rtl/>
                <w:lang w:val="fr-CH"/>
              </w:rPr>
              <w:t>11 آب/أغسطس 2009، دعوة فريق يتألف من ثلاثة أساتذة في الطب كانوا قد حرروا في عام</w:t>
            </w:r>
            <w:r w:rsidRPr="004E0A37">
              <w:rPr>
                <w:rFonts w:hint="eastAsia"/>
                <w:spacing w:val="0"/>
                <w:sz w:val="20"/>
                <w:rtl/>
                <w:lang w:val="fr-CH"/>
              </w:rPr>
              <w:t> </w:t>
            </w:r>
            <w:r w:rsidRPr="004E0A37">
              <w:rPr>
                <w:rFonts w:hint="cs"/>
                <w:spacing w:val="0"/>
                <w:sz w:val="20"/>
                <w:rtl/>
                <w:lang w:val="fr-CH"/>
              </w:rPr>
              <w:t>1993 التقرير المتعلق بأسباب وفاة السيد بركات، وذلك للحصول على توضيحات من أجل اتخاذ قرار بشأن استخراج الجثة.</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1D12C7" w:rsidRDefault="004E0A37" w:rsidP="00D17401">
            <w:pPr>
              <w:spacing w:before="60" w:after="60" w:line="340" w:lineRule="exact"/>
              <w:ind w:left="113" w:right="113"/>
              <w:rPr>
                <w:rFonts w:hint="cs"/>
                <w:spacing w:val="0"/>
                <w:sz w:val="20"/>
                <w:rtl/>
                <w:lang w:val="fr-CH"/>
              </w:rPr>
            </w:pPr>
            <w:r w:rsidRPr="001D12C7">
              <w:rPr>
                <w:spacing w:val="0"/>
                <w:sz w:val="20"/>
                <w:rtl/>
                <w:lang w:val="fr-CH"/>
              </w:rPr>
              <w:tab/>
            </w:r>
            <w:r w:rsidRPr="001D12C7">
              <w:rPr>
                <w:rFonts w:hint="cs"/>
                <w:spacing w:val="0"/>
                <w:sz w:val="20"/>
                <w:rtl/>
                <w:lang w:val="fr-CH"/>
              </w:rPr>
              <w:t>وقد تبين أن اثنين من فريق الأطباء قد وافاهما الأجل. لذلك استمع قاضي التحقيق إلى</w:t>
            </w:r>
            <w:r w:rsidR="00E71210" w:rsidRPr="001D12C7">
              <w:rPr>
                <w:rFonts w:hint="eastAsia"/>
                <w:spacing w:val="0"/>
                <w:sz w:val="20"/>
                <w:rtl/>
                <w:lang w:val="fr-CH"/>
              </w:rPr>
              <w:t> </w:t>
            </w:r>
            <w:r w:rsidRPr="001D12C7">
              <w:rPr>
                <w:rFonts w:hint="cs"/>
                <w:spacing w:val="0"/>
                <w:sz w:val="20"/>
                <w:rtl/>
                <w:lang w:val="fr-CH"/>
              </w:rPr>
              <w:t>أقوال الطبيب الثالث في</w:t>
            </w:r>
            <w:r w:rsidRPr="001D12C7">
              <w:rPr>
                <w:rFonts w:hint="eastAsia"/>
                <w:spacing w:val="0"/>
                <w:sz w:val="20"/>
                <w:rtl/>
                <w:lang w:val="fr-CH"/>
              </w:rPr>
              <w:t> </w:t>
            </w:r>
            <w:r w:rsidRPr="001D12C7">
              <w:rPr>
                <w:rFonts w:hint="cs"/>
                <w:spacing w:val="0"/>
                <w:sz w:val="20"/>
                <w:rtl/>
                <w:lang w:val="fr-CH"/>
              </w:rPr>
              <w:t>21 تموز/يوليه 2010. وقد شدد الطبيب،الذي أصبح الآن رئيس مديرية الطب الشرعي في المستشفى المركزي في تونس العاصمة، على أن تقرير التشريح الذي</w:t>
            </w:r>
            <w:r w:rsidR="00E71210" w:rsidRPr="001D12C7">
              <w:rPr>
                <w:rFonts w:hint="eastAsia"/>
                <w:spacing w:val="0"/>
                <w:sz w:val="20"/>
                <w:rtl/>
                <w:lang w:val="fr-CH"/>
              </w:rPr>
              <w:t> </w:t>
            </w:r>
            <w:r w:rsidRPr="001D12C7">
              <w:rPr>
                <w:rFonts w:hint="cs"/>
                <w:spacing w:val="0"/>
                <w:sz w:val="20"/>
                <w:rtl/>
                <w:lang w:val="fr-CH"/>
              </w:rPr>
              <w:t>أعده طبيبان آخران في عام 1991</w:t>
            </w:r>
            <w:r w:rsidR="00335AC0" w:rsidRPr="001D12C7">
              <w:rPr>
                <w:rFonts w:hint="cs"/>
                <w:spacing w:val="0"/>
                <w:sz w:val="20"/>
                <w:rtl/>
                <w:lang w:val="fr-CH"/>
              </w:rPr>
              <w:t xml:space="preserve"> لم </w:t>
            </w:r>
            <w:r w:rsidRPr="001D12C7">
              <w:rPr>
                <w:rFonts w:hint="cs"/>
                <w:spacing w:val="0"/>
                <w:sz w:val="20"/>
                <w:rtl/>
                <w:lang w:val="fr-CH"/>
              </w:rPr>
              <w:t>يُشر إلى وجود إصابات على مستوى الشرج، وهو ما يعني استبعاد إمكانية إدخال جسم في القناة الشرجية للشخص المعني. وأضاف الطبيب قائل</w:t>
            </w:r>
            <w:r w:rsidR="0081655E" w:rsidRPr="001D12C7">
              <w:rPr>
                <w:rFonts w:hint="cs"/>
                <w:spacing w:val="0"/>
                <w:sz w:val="20"/>
                <w:rtl/>
                <w:lang w:val="fr-CH"/>
              </w:rPr>
              <w:t xml:space="preserve">اً </w:t>
            </w:r>
            <w:r w:rsidRPr="001D12C7">
              <w:rPr>
                <w:rFonts w:hint="cs"/>
                <w:spacing w:val="0"/>
                <w:sz w:val="20"/>
                <w:rtl/>
                <w:lang w:val="fr-CH"/>
              </w:rPr>
              <w:t>إن استخراج الجثة</w:t>
            </w:r>
            <w:r w:rsidR="00335AC0" w:rsidRPr="001D12C7">
              <w:rPr>
                <w:rFonts w:hint="cs"/>
                <w:spacing w:val="0"/>
                <w:sz w:val="20"/>
                <w:rtl/>
                <w:lang w:val="fr-CH"/>
              </w:rPr>
              <w:t xml:space="preserve"> لن </w:t>
            </w:r>
            <w:r w:rsidRPr="001D12C7">
              <w:rPr>
                <w:rFonts w:hint="cs"/>
                <w:spacing w:val="0"/>
                <w:sz w:val="20"/>
                <w:rtl/>
                <w:lang w:val="fr-CH"/>
              </w:rPr>
              <w:t>يجدي نفعاً في تحديد أسباب الوفاة بالنظر إلى درجة تعفن الجثة.</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1D12C7">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لذلك،</w:t>
            </w:r>
            <w:r w:rsidR="00335AC0">
              <w:rPr>
                <w:rFonts w:hint="cs"/>
                <w:spacing w:val="0"/>
                <w:sz w:val="20"/>
                <w:rtl/>
                <w:lang w:val="fr-CH"/>
              </w:rPr>
              <w:t xml:space="preserve"> لم </w:t>
            </w:r>
            <w:r w:rsidRPr="004E0A37">
              <w:rPr>
                <w:rFonts w:hint="cs"/>
                <w:spacing w:val="0"/>
                <w:sz w:val="20"/>
                <w:rtl/>
                <w:lang w:val="fr-CH"/>
              </w:rPr>
              <w:t>يأمر قاضي التحقيق باستخراج الجثة استناداً إلى رأي رئيس قسم الطب الشرعي بالمستشفى الرئيسي بتونس العاصمة الذي مفاده أن استخراج الجثة</w:t>
            </w:r>
            <w:r w:rsidR="00335AC0">
              <w:rPr>
                <w:rFonts w:hint="cs"/>
                <w:spacing w:val="0"/>
                <w:sz w:val="20"/>
                <w:rtl/>
                <w:lang w:val="fr-CH"/>
              </w:rPr>
              <w:t xml:space="preserve"> لن </w:t>
            </w:r>
            <w:r w:rsidRPr="004E0A37">
              <w:rPr>
                <w:rFonts w:hint="cs"/>
                <w:spacing w:val="0"/>
                <w:sz w:val="20"/>
                <w:rtl/>
                <w:lang w:val="fr-CH"/>
              </w:rPr>
              <w:t>يجدي نفعاً. وبناءً على ذلك، تدخل وكيل الجمهورية في 13 كانون الأول/ديسمبر 2010 بموجب المادة 55 من مجلة الإجراءات الجزائية وطلب إلى قاضي التحقيق أن يأمر باستخراج الجثة. وفي 15 كانون الأول/ديسمبر</w:t>
            </w:r>
            <w:r w:rsidRPr="004E0A37">
              <w:rPr>
                <w:rFonts w:hint="eastAsia"/>
                <w:spacing w:val="0"/>
                <w:sz w:val="20"/>
                <w:rtl/>
                <w:lang w:val="fr-CH"/>
              </w:rPr>
              <w:t> </w:t>
            </w:r>
            <w:r w:rsidRPr="004E0A37">
              <w:rPr>
                <w:rFonts w:hint="cs"/>
                <w:spacing w:val="0"/>
                <w:sz w:val="20"/>
                <w:rtl/>
                <w:lang w:val="fr-CH"/>
              </w:rPr>
              <w:t>2010، رفض قاضي التحقيق الامتثال لطلب وكيل الجمهورية. واستأنف وكيل الجمهورية قرار قاضي التحقيق في 15 كانون الأول/ديسمبر</w:t>
            </w:r>
            <w:r w:rsidRPr="004E0A37">
              <w:rPr>
                <w:rFonts w:hint="eastAsia"/>
                <w:spacing w:val="0"/>
                <w:sz w:val="20"/>
                <w:rtl/>
                <w:lang w:val="fr-CH"/>
              </w:rPr>
              <w:t> </w:t>
            </w:r>
            <w:r w:rsidRPr="004E0A37">
              <w:rPr>
                <w:rFonts w:hint="cs"/>
                <w:spacing w:val="0"/>
                <w:sz w:val="20"/>
                <w:rtl/>
                <w:lang w:val="fr-CH"/>
              </w:rPr>
              <w:t>2010 أمام محكمة الاستئناف في نابل.</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1D12C7">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3 شباط/فبراير 2011، قررت محكمة الاستئناف بنابل أن تحيل ملف القضية من جديد إلى قاضي التحقيق، وطلبت تعيين فريق من الخبراء الطبيين من أجل استخراج الجثة. ولا</w:t>
            </w:r>
            <w:r w:rsidRPr="004E0A37">
              <w:rPr>
                <w:rFonts w:hint="eastAsia"/>
                <w:spacing w:val="0"/>
                <w:sz w:val="20"/>
                <w:rtl/>
                <w:lang w:val="fr-CH"/>
              </w:rPr>
              <w:t> </w:t>
            </w:r>
            <w:r w:rsidRPr="004E0A37">
              <w:rPr>
                <w:rFonts w:hint="cs"/>
                <w:spacing w:val="0"/>
                <w:sz w:val="20"/>
                <w:rtl/>
                <w:lang w:val="fr-CH"/>
              </w:rPr>
              <w:t>تزال القضية عالقة أمام القضاء. وستقوم الدولة الطرف بإعلام اللجنة بأي تطورات تطرأ في إطار هذه القضية.</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2035A0" w:rsidRDefault="004E0A37" w:rsidP="001D12C7">
            <w:pPr>
              <w:spacing w:before="60" w:after="60" w:line="320" w:lineRule="exact"/>
              <w:ind w:left="113" w:right="113"/>
              <w:rPr>
                <w:rFonts w:hint="cs"/>
                <w:spacing w:val="-2"/>
                <w:sz w:val="20"/>
                <w:rtl/>
                <w:lang w:val="fr-CH"/>
              </w:rPr>
            </w:pPr>
            <w:r w:rsidRPr="002035A0">
              <w:rPr>
                <w:spacing w:val="-2"/>
                <w:sz w:val="20"/>
                <w:rtl/>
                <w:lang w:val="fr-CH"/>
              </w:rPr>
              <w:tab/>
            </w:r>
            <w:r w:rsidRPr="002035A0">
              <w:rPr>
                <w:rFonts w:hint="cs"/>
                <w:spacing w:val="-2"/>
                <w:sz w:val="20"/>
                <w:rtl/>
                <w:lang w:val="fr-CH"/>
              </w:rPr>
              <w:t>وفي رسالة مؤرخة 29 أيلول/سبتمبر 2011، أشار صاحب الشكوى إلى أن الدولة الطرف ما</w:t>
            </w:r>
            <w:r w:rsidRPr="002035A0">
              <w:rPr>
                <w:rFonts w:hint="eastAsia"/>
                <w:spacing w:val="-2"/>
                <w:sz w:val="20"/>
                <w:rtl/>
                <w:lang w:val="fr-CH"/>
              </w:rPr>
              <w:t> </w:t>
            </w:r>
            <w:r w:rsidRPr="002035A0">
              <w:rPr>
                <w:rFonts w:hint="cs"/>
                <w:spacing w:val="-2"/>
                <w:sz w:val="20"/>
                <w:rtl/>
                <w:lang w:val="fr-CH"/>
              </w:rPr>
              <w:t>زالت مستمرة في عدم الامتثال لقرار اللجنة. وأشار إلى أن قاضي التحقيق عيّن فريقاً من الخبراء الطبيين دون استشارة الأسرة التي طلبت تعيين خبير طبي فرنسي - وهو البروفسور ليونيل فورنييه - الذي شارك في فحص سابق وقَبِل المشاركة في الفحص الطبي الجديد. وقدمت الأسرة في مناسبتين اسم الطبيب الفرنسي إلى قاضي التحقيق وإلى وكيل الجمهورية طالبةً إشراكه في الإجراءات، لكنها</w:t>
            </w:r>
            <w:r w:rsidR="00335AC0" w:rsidRPr="002035A0">
              <w:rPr>
                <w:rFonts w:hint="cs"/>
                <w:spacing w:val="-2"/>
                <w:sz w:val="20"/>
                <w:rtl/>
                <w:lang w:val="fr-CH"/>
              </w:rPr>
              <w:t xml:space="preserve"> لم </w:t>
            </w:r>
            <w:r w:rsidRPr="002035A0">
              <w:rPr>
                <w:rFonts w:hint="cs"/>
                <w:spacing w:val="-2"/>
                <w:sz w:val="20"/>
                <w:rtl/>
                <w:lang w:val="fr-CH"/>
              </w:rPr>
              <w:t>تتلق أي رد حتى الآن.</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1D12C7">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ويرى صاحب الشكوى أن سلوك السلطات في هذه القضية، والكيفية التي تسير بها الإجراءات القضائية ووعود الدولة الطرف تشكل "مناورة" تهدف إلى إفراغ القضية من محتواها عن طريق مضاعفة الإجراءات.</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1D12C7">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ويطلب صاحب الشكوى إلى اللجنة، في جملة أمور، أن تحث الدولة الطرف على تنفيذ قرار اللجنة، ووضع حد للإفلات من العقاب، ومحاكمة المسؤولين عن إساءة المعاملة في هذه القضية، ورد الاعتبار إلى السيد بركات بصفته ضحية من ضحايا التعذيب والتعويض لأفراد أسرته</w:t>
            </w:r>
            <w:r w:rsidR="00727BAF">
              <w:rPr>
                <w:spacing w:val="0"/>
                <w:sz w:val="20"/>
                <w:vertAlign w:val="superscript"/>
                <w:rtl/>
                <w:lang w:val="fr-CH"/>
              </w:rPr>
              <w:t>(</w:t>
            </w:r>
            <w:r w:rsidR="00727BAF">
              <w:rPr>
                <w:rStyle w:val="FootnoteReference"/>
                <w:spacing w:val="0"/>
                <w:rtl/>
                <w:lang w:val="fr-CH"/>
              </w:rPr>
              <w:footnoteReference w:id="20"/>
            </w:r>
            <w:r w:rsidR="00727BAF">
              <w:rPr>
                <w:spacing w:val="0"/>
                <w:sz w:val="20"/>
                <w:vertAlign w:val="superscript"/>
                <w:rtl/>
                <w:lang w:val="fr-CH"/>
              </w:rPr>
              <w:t>)</w:t>
            </w:r>
            <w:r w:rsidRPr="004E0A37">
              <w:rPr>
                <w:rFonts w:hint="cs"/>
                <w:spacing w:val="0"/>
                <w:sz w:val="20"/>
                <w:rtl/>
                <w:lang w:val="fr-CH"/>
              </w:rPr>
              <w:t>، ومنع تكرار مثل هذه الانتهاكات في المستقبل، ونشر قرار اللجنة على نطاق واسع في تونس.</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1D12C7">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وبعد الإحاطة</w:t>
            </w:r>
            <w:r w:rsidR="003833F8">
              <w:rPr>
                <w:rFonts w:hint="cs"/>
                <w:spacing w:val="0"/>
                <w:sz w:val="20"/>
                <w:rtl/>
                <w:lang w:val="fr-CH"/>
              </w:rPr>
              <w:t xml:space="preserve"> علماً </w:t>
            </w:r>
            <w:r w:rsidRPr="004E0A37">
              <w:rPr>
                <w:rFonts w:hint="cs"/>
                <w:spacing w:val="0"/>
                <w:sz w:val="20"/>
                <w:rtl/>
                <w:lang w:val="fr-CH"/>
              </w:rPr>
              <w:t>بالتغيرات السياسية التي حدثت مؤخر</w:t>
            </w:r>
            <w:r w:rsidR="0081655E">
              <w:rPr>
                <w:rFonts w:hint="cs"/>
                <w:spacing w:val="0"/>
                <w:sz w:val="20"/>
                <w:rtl/>
                <w:lang w:val="fr-CH"/>
              </w:rPr>
              <w:t xml:space="preserve">اً </w:t>
            </w:r>
            <w:r w:rsidRPr="004E0A37">
              <w:rPr>
                <w:rFonts w:hint="cs"/>
                <w:spacing w:val="0"/>
                <w:sz w:val="20"/>
                <w:rtl/>
                <w:lang w:val="fr-CH"/>
              </w:rPr>
              <w:t>في الدولة الطرف، قررت اللجنة، في دورتها السابعة والأربعين، أن تدعو الدولة الطرف إلى إتمام التحقيق دون تأخير وإبلاغها بما اتخذت من تدابير لتنفيذ توصياتها، وقد أرسلت الأمانة مذكرة شفوية بهذا الخصوص في 8 شباط/فبراير 2012.</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1D12C7">
            <w:pPr>
              <w:spacing w:before="60" w:after="60" w:line="32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14 كانون الأول/ديسمبر 2011، أبلغت الدولة الطرف اللجنة أن قاضي تحقيق من محكمة الدرجة الأولى في غرومباليا زار، في 14 أيار/مايو 2011، المقبرة البلدية لمدينة منزل بوزلفة، برفقة ثلاثة خبراء في الطب الشرعي، لرصد عملية استخراج جثة المتوفى ونقلها إلى مستشفى شارل نيكول في تونس العاصمة لتشريحها هناك.</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بيد أن أقارب السيد بركات ومحاميهم رفضوا استخراج الجثة، مصرين على ضرورة تشريح الجثة في عين المكان وإعادة دفنها بعد ذلك مباشرة. وعليه، ونظر</w:t>
            </w:r>
            <w:r w:rsidR="0081655E">
              <w:rPr>
                <w:rFonts w:hint="cs"/>
                <w:spacing w:val="0"/>
                <w:sz w:val="20"/>
                <w:rtl/>
                <w:lang w:val="fr-CH"/>
              </w:rPr>
              <w:t xml:space="preserve">اً </w:t>
            </w:r>
            <w:r w:rsidRPr="004E0A37">
              <w:rPr>
                <w:rFonts w:hint="cs"/>
                <w:spacing w:val="0"/>
                <w:sz w:val="20"/>
                <w:rtl/>
                <w:lang w:val="fr-CH"/>
              </w:rPr>
              <w:t>لعدم إمكانية جلب الجثة إلى المستشفى لتشريحها، أعلن خبراء الطب الشرعي أنهم غير قادرين على مواصلة مختلف مراحل التشريح ومن إنجاز مهمتهم. وأضافت الدولة الطرف أن مسألة تعيين واختيار خبراء الطب الشرعي هي من اختصاص الجهة القضائية المكلفة بالقضية حصر</w:t>
            </w:r>
            <w:r w:rsidR="006E1F60">
              <w:rPr>
                <w:rFonts w:hint="cs"/>
                <w:spacing w:val="0"/>
                <w:sz w:val="20"/>
                <w:rtl/>
                <w:lang w:val="fr-CH"/>
              </w:rPr>
              <w:t>اً.</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وفي 22 كانون الأول/ديسمبر 2012، قدمت الدولة الطرف نسخة من تقرير قاضي التحقيق الأول التابع لمحكمة الدرجة الأولى في غرومباليا ونسخة من التقرير الذي أعده خبراء الطب الشرعي الثلاثة عن عدم إمكانية القيام بما يلزم لتشريح الجثة بسبب رفض أقرباء السيد بركات القاطع.</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903655" w:rsidRDefault="004E0A37" w:rsidP="00D17401">
            <w:pPr>
              <w:spacing w:before="60" w:after="60" w:line="340" w:lineRule="exact"/>
              <w:ind w:left="113" w:right="113"/>
              <w:rPr>
                <w:spacing w:val="-2"/>
                <w:sz w:val="20"/>
                <w:rtl/>
                <w:lang w:val="fr-CH"/>
              </w:rPr>
            </w:pPr>
            <w:r w:rsidRPr="00903655">
              <w:rPr>
                <w:spacing w:val="-2"/>
                <w:sz w:val="20"/>
                <w:rtl/>
                <w:lang w:val="fr-CH"/>
              </w:rPr>
              <w:tab/>
            </w:r>
            <w:r w:rsidRPr="00903655">
              <w:rPr>
                <w:rFonts w:hint="cs"/>
                <w:spacing w:val="-2"/>
                <w:sz w:val="20"/>
                <w:rtl/>
                <w:lang w:val="fr-CH"/>
              </w:rPr>
              <w:t>وفي 6 شباط/فبراير 2012، ناشد صاحب الشكوى اللجنة عدم السماح باختفاء أدلة القضية. وكتب يقول إن الدولة الطرف تجاهلت رسائله السابقة وترفض السماح لخبير مستقبل بالمشاركة في عملية تشريح الطب الشرعي. وقد رفضت السلطات أيضاً تعيين قاض آخر ليتولى الإجراءات رغم طلبات الأسرة بذلك. ويدعو صاحب الشكوى اللجنة إلى اتخاذ موقف قوي وعلني في القضية نظر</w:t>
            </w:r>
            <w:r w:rsidR="0081655E">
              <w:rPr>
                <w:rFonts w:hint="cs"/>
                <w:spacing w:val="-2"/>
                <w:sz w:val="20"/>
                <w:rtl/>
                <w:lang w:val="fr-CH"/>
              </w:rPr>
              <w:t xml:space="preserve">اً </w:t>
            </w:r>
            <w:r w:rsidRPr="00903655">
              <w:rPr>
                <w:rFonts w:hint="cs"/>
                <w:spacing w:val="-2"/>
                <w:sz w:val="20"/>
                <w:rtl/>
                <w:lang w:val="fr-CH"/>
              </w:rPr>
              <w:t>لمرور الوقت وللطبيعة الخاصة لهذه القضية.</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spacing w:val="0"/>
                <w:sz w:val="20"/>
                <w:rtl/>
                <w:lang w:val="fr-CH"/>
              </w:rPr>
            </w:pPr>
            <w:r w:rsidRPr="004E0A37">
              <w:rPr>
                <w:spacing w:val="0"/>
                <w:sz w:val="20"/>
                <w:rtl/>
                <w:lang w:val="fr-CH"/>
              </w:rPr>
              <w:tab/>
            </w:r>
            <w:r w:rsidRPr="004E0A37">
              <w:rPr>
                <w:rFonts w:hint="cs"/>
                <w:spacing w:val="0"/>
                <w:sz w:val="20"/>
                <w:rtl/>
                <w:lang w:val="fr-CH"/>
              </w:rPr>
              <w:t>وأرسلت رسالة صاحب الشكوى إلى الدولة الطرف في 13 شباط/فبراير 2012 لإبداء ملاحظاتها عليها.</w:t>
            </w:r>
          </w:p>
        </w:tc>
      </w:tr>
      <w:tr w:rsidR="004E0A37" w:rsidRPr="004E0A37" w:rsidTr="007D1EF4">
        <w:trPr>
          <w:cantSplit/>
        </w:trPr>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lang w:val="fr-CH"/>
              </w:rPr>
            </w:pPr>
            <w:r w:rsidRPr="004E0A37">
              <w:rPr>
                <w:spacing w:val="0"/>
                <w:sz w:val="20"/>
                <w:rtl/>
                <w:lang w:val="fr-CH"/>
              </w:rPr>
              <w:tab/>
            </w:r>
            <w:r w:rsidRPr="004E0A37">
              <w:rPr>
                <w:rFonts w:hint="cs"/>
                <w:spacing w:val="0"/>
                <w:sz w:val="20"/>
                <w:rtl/>
                <w:lang w:val="fr-CH"/>
              </w:rPr>
              <w:t>وقررت اللجنة، في دورتها الثامنة والأربعين، أن تطلب من الدولة الطرف أن توفيها على جناح السرعة بمعلومات محدّثة عن التدابير التي اتخذتها لتنفيذ توصيتها.</w:t>
            </w:r>
          </w:p>
        </w:tc>
      </w:tr>
      <w:tr w:rsidR="001D12C7" w:rsidRPr="004E0A37" w:rsidTr="007D1EF4">
        <w:tc>
          <w:tcPr>
            <w:tcW w:w="7159" w:type="dxa"/>
            <w:gridSpan w:val="2"/>
            <w:tcBorders>
              <w:top w:val="nil"/>
              <w:left w:val="nil"/>
              <w:bottom w:val="single" w:sz="12" w:space="0" w:color="auto"/>
              <w:right w:val="nil"/>
            </w:tcBorders>
            <w:shd w:val="clear" w:color="auto" w:fill="auto"/>
            <w:vAlign w:val="bottom"/>
          </w:tcPr>
          <w:p w:rsidR="001D12C7" w:rsidRPr="00544535" w:rsidRDefault="001D12C7" w:rsidP="001D12C7">
            <w:pPr>
              <w:spacing w:before="60" w:after="60" w:line="340" w:lineRule="exact"/>
              <w:ind w:left="113" w:right="113"/>
              <w:rPr>
                <w:rFonts w:hint="cs"/>
                <w:spacing w:val="0"/>
                <w:sz w:val="20"/>
                <w:rtl/>
              </w:rPr>
            </w:pPr>
            <w:r w:rsidRPr="004E0A37">
              <w:rPr>
                <w:rFonts w:hint="cs"/>
                <w:b/>
                <w:bCs/>
                <w:spacing w:val="0"/>
                <w:sz w:val="20"/>
                <w:rtl/>
                <w:lang w:val="fr-CH"/>
              </w:rPr>
              <w:t>قرار اللجنة</w:t>
            </w:r>
            <w:r>
              <w:rPr>
                <w:rFonts w:hint="cs"/>
                <w:spacing w:val="0"/>
                <w:sz w:val="20"/>
                <w:rtl/>
                <w:lang w:val="fr-CH"/>
              </w:rPr>
              <w:t xml:space="preserve">: </w:t>
            </w:r>
            <w:r w:rsidRPr="00544535">
              <w:rPr>
                <w:rFonts w:hint="cs"/>
                <w:spacing w:val="0"/>
                <w:sz w:val="20"/>
                <w:rtl/>
              </w:rPr>
              <w:t>حوار المتابعة مستمر.</w:t>
            </w:r>
          </w:p>
        </w:tc>
      </w:tr>
    </w:tbl>
    <w:p w:rsidR="004E0A37" w:rsidRPr="004E0A37" w:rsidRDefault="004E0A37" w:rsidP="004E0A37">
      <w:pPr>
        <w:pStyle w:val="SingleTxtGA"/>
        <w:jc w:val="lowKashida"/>
        <w:rPr>
          <w:rFonts w:hint="cs"/>
          <w:spacing w:val="0"/>
          <w:sz w:val="20"/>
          <w:rtl/>
        </w:rPr>
      </w:pPr>
    </w:p>
    <w:tbl>
      <w:tblPr>
        <w:tblStyle w:val="TableGrid"/>
        <w:bidiVisual/>
        <w:tblW w:w="7159" w:type="dxa"/>
        <w:tblInd w:w="1247" w:type="dxa"/>
        <w:tblBorders>
          <w:insideH w:val="none" w:sz="0" w:space="0" w:color="auto"/>
          <w:insideV w:val="none" w:sz="0" w:space="0" w:color="auto"/>
        </w:tblBorders>
        <w:tblLayout w:type="fixed"/>
        <w:tblCellMar>
          <w:left w:w="0" w:type="dxa"/>
          <w:right w:w="0" w:type="dxa"/>
        </w:tblCellMar>
        <w:tblLook w:val="01E0"/>
      </w:tblPr>
      <w:tblGrid>
        <w:gridCol w:w="3496"/>
        <w:gridCol w:w="3663"/>
      </w:tblGrid>
      <w:tr w:rsidR="004E0A37" w:rsidRPr="004E0A37" w:rsidTr="001D12C7">
        <w:tc>
          <w:tcPr>
            <w:tcW w:w="3496" w:type="dxa"/>
            <w:tcBorders>
              <w:top w:val="single" w:sz="4" w:space="0" w:color="auto"/>
              <w:left w:val="nil"/>
              <w:bottom w:val="single" w:sz="12" w:space="0" w:color="auto"/>
            </w:tcBorders>
            <w:shd w:val="clear" w:color="auto" w:fill="auto"/>
            <w:vAlign w:val="bottom"/>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الدولة الطرف</w:t>
            </w:r>
          </w:p>
        </w:tc>
        <w:tc>
          <w:tcPr>
            <w:tcW w:w="3663" w:type="dxa"/>
            <w:tcBorders>
              <w:top w:val="single" w:sz="4" w:space="0" w:color="auto"/>
              <w:bottom w:val="single" w:sz="12" w:space="0" w:color="auto"/>
              <w:right w:val="nil"/>
            </w:tcBorders>
            <w:shd w:val="clear" w:color="auto" w:fill="auto"/>
            <w:vAlign w:val="bottom"/>
          </w:tcPr>
          <w:p w:rsidR="004E0A37" w:rsidRPr="00A75940" w:rsidRDefault="004E0A37" w:rsidP="00544535">
            <w:pPr>
              <w:spacing w:before="60" w:after="60" w:line="340" w:lineRule="exact"/>
              <w:ind w:left="113" w:right="113"/>
              <w:rPr>
                <w:rFonts w:hint="cs"/>
                <w:b/>
                <w:bCs/>
                <w:spacing w:val="0"/>
                <w:sz w:val="20"/>
                <w:rtl/>
              </w:rPr>
            </w:pPr>
            <w:r w:rsidRPr="00A75940">
              <w:rPr>
                <w:rFonts w:hint="cs"/>
                <w:b/>
                <w:bCs/>
                <w:spacing w:val="0"/>
                <w:sz w:val="20"/>
                <w:rtl/>
              </w:rPr>
              <w:t>تونس</w:t>
            </w:r>
          </w:p>
        </w:tc>
      </w:tr>
      <w:tr w:rsidR="004E0A37" w:rsidRPr="004E0A37" w:rsidTr="001D12C7">
        <w:tc>
          <w:tcPr>
            <w:tcW w:w="3496" w:type="dxa"/>
            <w:tcBorders>
              <w:top w:val="single" w:sz="12" w:space="0" w:color="auto"/>
              <w:left w:val="nil"/>
              <w:bottom w:val="nil"/>
              <w:righ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القضية</w:t>
            </w:r>
          </w:p>
        </w:tc>
        <w:tc>
          <w:tcPr>
            <w:tcW w:w="3663" w:type="dxa"/>
            <w:tcBorders>
              <w:top w:val="single" w:sz="12" w:space="0" w:color="auto"/>
              <w:left w:val="nil"/>
              <w:bottom w:val="nil"/>
              <w:right w:val="nil"/>
            </w:tcBorders>
            <w:shd w:val="clear" w:color="auto" w:fill="auto"/>
            <w:vAlign w:val="bottom"/>
          </w:tcPr>
          <w:p w:rsidR="004E0A37" w:rsidRPr="00A75940" w:rsidRDefault="004E0A37" w:rsidP="00544535">
            <w:pPr>
              <w:spacing w:before="60" w:after="60" w:line="340" w:lineRule="exact"/>
              <w:ind w:left="113" w:right="113"/>
              <w:rPr>
                <w:rFonts w:hint="cs"/>
                <w:b/>
                <w:bCs/>
                <w:spacing w:val="0"/>
                <w:sz w:val="20"/>
                <w:rtl/>
              </w:rPr>
            </w:pPr>
            <w:r w:rsidRPr="00A75940">
              <w:rPr>
                <w:rFonts w:hint="cs"/>
                <w:b/>
                <w:bCs/>
                <w:i/>
                <w:iCs/>
                <w:spacing w:val="0"/>
                <w:sz w:val="20"/>
                <w:rtl/>
              </w:rPr>
              <w:t>بن سالم</w:t>
            </w:r>
            <w:r w:rsidRPr="00A75940">
              <w:rPr>
                <w:rFonts w:hint="cs"/>
                <w:b/>
                <w:bCs/>
                <w:spacing w:val="0"/>
                <w:sz w:val="20"/>
                <w:rtl/>
              </w:rPr>
              <w:t>، 269/2005</w:t>
            </w:r>
          </w:p>
        </w:tc>
      </w:tr>
      <w:tr w:rsidR="004E0A37" w:rsidRPr="004E0A37" w:rsidTr="001D12C7">
        <w:tc>
          <w:tcPr>
            <w:tcW w:w="3496" w:type="dxa"/>
            <w:tcBorders>
              <w:top w:val="nil"/>
              <w:left w:val="nil"/>
              <w:bottom w:val="nil"/>
              <w:righ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 xml:space="preserve">آراء معتمدة في </w:t>
            </w:r>
          </w:p>
        </w:tc>
        <w:tc>
          <w:tcPr>
            <w:tcW w:w="3663" w:type="dxa"/>
            <w:tcBorders>
              <w:top w:val="nil"/>
              <w:left w:val="nil"/>
              <w:bottom w:val="nil"/>
              <w:right w:val="nil"/>
            </w:tcBorders>
            <w:shd w:val="clear" w:color="auto" w:fill="auto"/>
            <w:vAlign w:val="bottom"/>
          </w:tcPr>
          <w:p w:rsidR="004E0A37" w:rsidRPr="004E0A37" w:rsidRDefault="004E0A37" w:rsidP="00544535">
            <w:pPr>
              <w:spacing w:before="60" w:after="60" w:line="340" w:lineRule="exact"/>
              <w:ind w:left="113" w:right="113"/>
              <w:rPr>
                <w:rFonts w:hint="cs"/>
                <w:spacing w:val="0"/>
                <w:sz w:val="20"/>
                <w:rtl/>
              </w:rPr>
            </w:pPr>
            <w:r w:rsidRPr="004E0A37">
              <w:rPr>
                <w:rFonts w:hint="cs"/>
                <w:spacing w:val="0"/>
                <w:sz w:val="20"/>
                <w:rtl/>
              </w:rPr>
              <w:t>7 تشرين الثاني/نوفمبر 2007</w:t>
            </w:r>
          </w:p>
        </w:tc>
      </w:tr>
      <w:tr w:rsidR="004E0A37" w:rsidRPr="004E0A37" w:rsidTr="001D12C7">
        <w:tc>
          <w:tcPr>
            <w:tcW w:w="3496" w:type="dxa"/>
            <w:tcBorders>
              <w:top w:val="nil"/>
              <w:left w:val="nil"/>
              <w:bottom w:val="nil"/>
              <w:right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الانتهاكات التي خلصت إليها اللجنة</w:t>
            </w:r>
          </w:p>
        </w:tc>
        <w:tc>
          <w:tcPr>
            <w:tcW w:w="3663" w:type="dxa"/>
            <w:tcBorders>
              <w:top w:val="nil"/>
              <w:left w:val="nil"/>
              <w:bottom w:val="nil"/>
              <w:right w:val="nil"/>
            </w:tcBorders>
            <w:shd w:val="clear" w:color="auto" w:fill="auto"/>
            <w:vAlign w:val="bottom"/>
          </w:tcPr>
          <w:p w:rsidR="004E0A37" w:rsidRPr="004E0A37" w:rsidRDefault="004E0A37" w:rsidP="00544535">
            <w:pPr>
              <w:spacing w:before="60" w:after="60" w:line="340" w:lineRule="exact"/>
              <w:ind w:left="113" w:right="113"/>
              <w:rPr>
                <w:rFonts w:hint="cs"/>
                <w:spacing w:val="0"/>
                <w:sz w:val="20"/>
                <w:rtl/>
              </w:rPr>
            </w:pPr>
            <w:r w:rsidRPr="004E0A37">
              <w:rPr>
                <w:rFonts w:hint="cs"/>
                <w:spacing w:val="0"/>
                <w:sz w:val="20"/>
                <w:rtl/>
              </w:rPr>
              <w:t>المواد 1 و12 و13 و14</w:t>
            </w:r>
          </w:p>
        </w:tc>
      </w:tr>
      <w:tr w:rsidR="004E0A37" w:rsidRPr="004E0A37" w:rsidTr="001D12C7">
        <w:tc>
          <w:tcPr>
            <w:tcW w:w="3496" w:type="dxa"/>
            <w:tcBorders>
              <w:top w:val="nil"/>
              <w:left w:val="nil"/>
              <w:bottom w:val="nil"/>
            </w:tcBorders>
            <w:shd w:val="clear" w:color="auto" w:fill="auto"/>
          </w:tcPr>
          <w:p w:rsidR="004E0A37" w:rsidRPr="00D17401" w:rsidRDefault="004E0A37" w:rsidP="00D17401">
            <w:pPr>
              <w:spacing w:before="40" w:after="60" w:line="336" w:lineRule="exact"/>
              <w:ind w:left="113" w:right="113"/>
              <w:rPr>
                <w:rFonts w:hint="cs"/>
                <w:b/>
                <w:bCs/>
                <w:i/>
                <w:spacing w:val="0"/>
                <w:sz w:val="20"/>
                <w:rtl/>
                <w:lang w:val="fr-CH"/>
              </w:rPr>
            </w:pPr>
            <w:r w:rsidRPr="00D17401">
              <w:rPr>
                <w:rFonts w:hint="cs"/>
                <w:b/>
                <w:bCs/>
                <w:i/>
                <w:spacing w:val="0"/>
                <w:sz w:val="20"/>
                <w:rtl/>
                <w:lang w:val="fr-CH"/>
              </w:rPr>
              <w:t>الانتصاف الموصى به</w:t>
            </w:r>
          </w:p>
        </w:tc>
        <w:tc>
          <w:tcPr>
            <w:tcW w:w="3663" w:type="dxa"/>
            <w:tcBorders>
              <w:top w:val="nil"/>
              <w:bottom w:val="nil"/>
              <w:right w:val="nil"/>
            </w:tcBorders>
            <w:shd w:val="clear" w:color="auto" w:fill="auto"/>
            <w:vAlign w:val="bottom"/>
          </w:tcPr>
          <w:p w:rsidR="004E0A37" w:rsidRPr="004E0A37" w:rsidRDefault="004E0A37" w:rsidP="00544535">
            <w:pPr>
              <w:spacing w:before="60" w:after="60" w:line="340" w:lineRule="exact"/>
              <w:ind w:left="113" w:right="113"/>
              <w:rPr>
                <w:rFonts w:hint="cs"/>
                <w:spacing w:val="0"/>
                <w:sz w:val="20"/>
                <w:rtl/>
              </w:rPr>
            </w:pPr>
            <w:r w:rsidRPr="004E0A37">
              <w:rPr>
                <w:rFonts w:hint="cs"/>
                <w:spacing w:val="0"/>
                <w:sz w:val="20"/>
                <w:rtl/>
              </w:rPr>
              <w:t>حثت اللجنة الدولة الطرف على إنجاز التحقيق في أفعال التعذيب التي يدعى أن صاحب الشكوى قد تعرض لها بغية ملاحقة المسؤولين عن هذه الأفعال أمام القضاء.</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A75940" w:rsidRDefault="004E0A37" w:rsidP="00A75940">
            <w:pPr>
              <w:spacing w:before="40" w:after="60" w:line="336" w:lineRule="exact"/>
              <w:ind w:left="113" w:right="113"/>
              <w:rPr>
                <w:rFonts w:hint="cs"/>
                <w:b/>
                <w:bCs/>
                <w:i/>
                <w:spacing w:val="0"/>
                <w:sz w:val="20"/>
                <w:rtl/>
                <w:lang w:val="fr-CH"/>
              </w:rPr>
            </w:pPr>
            <w:r w:rsidRPr="00A75940">
              <w:rPr>
                <w:rFonts w:hint="cs"/>
                <w:b/>
                <w:bCs/>
                <w:i/>
                <w:spacing w:val="0"/>
                <w:sz w:val="20"/>
                <w:rtl/>
                <w:lang w:val="fr-CH"/>
              </w:rPr>
              <w:t xml:space="preserve">معلومات المتابعة المُقدَّمة سابقاً: </w:t>
            </w:r>
            <w:r w:rsidRPr="00A75940">
              <w:rPr>
                <w:b/>
                <w:bCs/>
                <w:i/>
                <w:spacing w:val="0"/>
                <w:sz w:val="20"/>
                <w:lang w:val="fr-CH"/>
              </w:rPr>
              <w:t>A/66/44</w:t>
            </w:r>
            <w:r w:rsidRPr="00A75940">
              <w:rPr>
                <w:rFonts w:hint="cs"/>
                <w:b/>
                <w:bCs/>
                <w:i/>
                <w:spacing w:val="0"/>
                <w:sz w:val="20"/>
                <w:rtl/>
                <w:lang w:val="fr-CH"/>
              </w:rPr>
              <w:t>، الفصل السادس</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A75940" w:rsidRDefault="004E0A37" w:rsidP="00D17401">
            <w:pPr>
              <w:spacing w:before="60" w:after="60" w:line="340" w:lineRule="exact"/>
              <w:ind w:left="113" w:right="113"/>
              <w:rPr>
                <w:rFonts w:hint="cs"/>
                <w:spacing w:val="-2"/>
                <w:sz w:val="20"/>
                <w:rtl/>
              </w:rPr>
            </w:pPr>
            <w:r w:rsidRPr="00A75940">
              <w:rPr>
                <w:spacing w:val="-2"/>
                <w:sz w:val="20"/>
                <w:rtl/>
              </w:rPr>
              <w:tab/>
            </w:r>
            <w:r w:rsidRPr="00A75940">
              <w:rPr>
                <w:rFonts w:hint="cs"/>
                <w:spacing w:val="-2"/>
                <w:sz w:val="20"/>
                <w:rtl/>
              </w:rPr>
              <w:t xml:space="preserve">في 7 حزيران/يونيه 2011، ذكّرت الدولة الطرف بأن وكيل الجمهورية لدى </w:t>
            </w:r>
            <w:r w:rsidRPr="00A75940">
              <w:rPr>
                <w:rFonts w:hint="cs"/>
                <w:spacing w:val="-2"/>
                <w:sz w:val="20"/>
                <w:rtl/>
                <w:lang w:val="fr-CH"/>
              </w:rPr>
              <w:t>المحكمة</w:t>
            </w:r>
            <w:r w:rsidRPr="00A75940">
              <w:rPr>
                <w:rFonts w:hint="cs"/>
                <w:spacing w:val="-2"/>
                <w:sz w:val="20"/>
                <w:rtl/>
              </w:rPr>
              <w:t xml:space="preserve"> الابتدائية في تونس العاصمة أذن بفتح تحقيق في مزاعم صاحب الشكوى المتعلقة بتعرضه للتعذيب وأن القضية قد عُهد بها إلى قاضي تحقيق. وأشارت إلى أن قاضي التحقيق اتخذ فعلاً مجموعة من الإجراءات، فاستمع إلى صاحب الشكوى وإلى عدد من الأشخاص أتى صاحب الشكوى على ذكر أسمائهم. ولاحظت أن بعض الأفراد، الذين</w:t>
            </w:r>
            <w:r w:rsidR="00335AC0" w:rsidRPr="00A75940">
              <w:rPr>
                <w:rFonts w:hint="cs"/>
                <w:spacing w:val="-2"/>
                <w:sz w:val="20"/>
                <w:rtl/>
              </w:rPr>
              <w:t xml:space="preserve"> لم </w:t>
            </w:r>
            <w:r w:rsidRPr="00A75940">
              <w:rPr>
                <w:rFonts w:hint="cs"/>
                <w:spacing w:val="-2"/>
                <w:sz w:val="20"/>
                <w:rtl/>
              </w:rPr>
              <w:t>يمثلوا أمام قاضي التحقيق، سيتم استدعاؤهم من جديد. وشرع أيضاً قاضي التحقيق في تحديد الأشخاص المسؤولين، حسب صاحب الشكوى، عن إساءة معاملته وفي التحقيق معهم. وأشارت الدولة الطرف إلى أن التحقيق جارٍ وأنها ستعلم اللجنة بما يطرأ من تطورات.</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 xml:space="preserve">وفي 20 تموز/يوليه 2011، أبلغ محامي صاحب الشكوى اللجنة بأن صاحب الشكوى قد اقترح على السلطات، في ضوء التغيرات التي شهدتها الدولة الطرف، إيجاد تسوية ودية للقضية دون فرض التزامات على الحكومة </w:t>
            </w:r>
            <w:r w:rsidR="00F96B1E">
              <w:rPr>
                <w:rFonts w:hint="cs"/>
                <w:spacing w:val="0"/>
                <w:sz w:val="20"/>
                <w:rtl/>
              </w:rPr>
              <w:t>فيما </w:t>
            </w:r>
            <w:r w:rsidRPr="004E0A37">
              <w:rPr>
                <w:rFonts w:hint="cs"/>
                <w:spacing w:val="0"/>
                <w:sz w:val="20"/>
                <w:rtl/>
              </w:rPr>
              <w:t xml:space="preserve">يتعلق بالأفعال التي </w:t>
            </w:r>
            <w:r w:rsidRPr="00D17401">
              <w:rPr>
                <w:rFonts w:hint="cs"/>
                <w:spacing w:val="0"/>
                <w:sz w:val="20"/>
                <w:rtl/>
                <w:lang w:val="fr-CH"/>
              </w:rPr>
              <w:t>ارتُكبت</w:t>
            </w:r>
            <w:r w:rsidRPr="004E0A37">
              <w:rPr>
                <w:rFonts w:hint="cs"/>
                <w:spacing w:val="0"/>
                <w:sz w:val="20"/>
                <w:rtl/>
              </w:rPr>
              <w:t xml:space="preserve"> خلال حكم النظام السابق، ولكن دون جدوى. ويرى المحامي أن الدولة الطرف</w:t>
            </w:r>
            <w:r w:rsidR="00335AC0">
              <w:rPr>
                <w:rFonts w:hint="cs"/>
                <w:spacing w:val="0"/>
                <w:sz w:val="20"/>
                <w:rtl/>
              </w:rPr>
              <w:t xml:space="preserve"> لم </w:t>
            </w:r>
            <w:r w:rsidRPr="004E0A37">
              <w:rPr>
                <w:rFonts w:hint="cs"/>
                <w:spacing w:val="0"/>
                <w:sz w:val="20"/>
                <w:rtl/>
              </w:rPr>
              <w:t xml:space="preserve">تقدم معلومات واضحة </w:t>
            </w:r>
            <w:r w:rsidR="00F96B1E">
              <w:rPr>
                <w:rFonts w:hint="cs"/>
                <w:spacing w:val="0"/>
                <w:sz w:val="20"/>
                <w:rtl/>
              </w:rPr>
              <w:t>فيما </w:t>
            </w:r>
            <w:r w:rsidRPr="004E0A37">
              <w:rPr>
                <w:rFonts w:hint="cs"/>
                <w:spacing w:val="0"/>
                <w:sz w:val="20"/>
                <w:rtl/>
              </w:rPr>
              <w:t>يتعلق بإجراءات التحقيق المنجزة، ما يلقي بالغموض حول التقدم الحقيقي المحرز في إطار الإجراءات.</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ويقول المحامي إن السلطات</w:t>
            </w:r>
            <w:r w:rsidR="00335AC0">
              <w:rPr>
                <w:rFonts w:hint="cs"/>
                <w:spacing w:val="0"/>
                <w:sz w:val="20"/>
                <w:rtl/>
              </w:rPr>
              <w:t xml:space="preserve"> لم </w:t>
            </w:r>
            <w:r w:rsidRPr="004E0A37">
              <w:rPr>
                <w:rFonts w:hint="cs"/>
                <w:spacing w:val="0"/>
                <w:sz w:val="20"/>
                <w:rtl/>
              </w:rPr>
              <w:t xml:space="preserve">تباشر أي إجراءات تحقيق منذ 8 كانون </w:t>
            </w:r>
            <w:r w:rsidRPr="00D17401">
              <w:rPr>
                <w:rFonts w:hint="cs"/>
                <w:spacing w:val="0"/>
                <w:sz w:val="20"/>
                <w:rtl/>
                <w:lang w:val="fr-CH"/>
              </w:rPr>
              <w:t>الثاني</w:t>
            </w:r>
            <w:r w:rsidRPr="004E0A37">
              <w:rPr>
                <w:rFonts w:hint="cs"/>
                <w:spacing w:val="0"/>
                <w:sz w:val="20"/>
                <w:rtl/>
              </w:rPr>
              <w:t>/</w:t>
            </w:r>
            <w:r w:rsidR="00A75940">
              <w:rPr>
                <w:rFonts w:hint="cs"/>
                <w:spacing w:val="0"/>
                <w:sz w:val="20"/>
                <w:rtl/>
              </w:rPr>
              <w:t xml:space="preserve">          </w:t>
            </w:r>
            <w:r w:rsidRPr="004E0A37">
              <w:rPr>
                <w:rFonts w:hint="cs"/>
                <w:spacing w:val="0"/>
                <w:sz w:val="20"/>
                <w:rtl/>
              </w:rPr>
              <w:t>يناير 2008، وهو التاريخ الذي استجوب فيه قاضي التحقيق صاحب الشكوى وعدداً من الشهود وأذن لخبير طبي بإجراء فحص. ومنذ ذلك التاريخ،</w:t>
            </w:r>
            <w:r w:rsidR="00335AC0">
              <w:rPr>
                <w:rFonts w:hint="cs"/>
                <w:spacing w:val="0"/>
                <w:sz w:val="20"/>
                <w:rtl/>
              </w:rPr>
              <w:t xml:space="preserve"> لم </w:t>
            </w:r>
            <w:r w:rsidRPr="004E0A37">
              <w:rPr>
                <w:rFonts w:hint="cs"/>
                <w:spacing w:val="0"/>
                <w:sz w:val="20"/>
                <w:rtl/>
              </w:rPr>
              <w:t>تتخذ السلطات أية إجراءات، بما في ذلك خلال سنة</w:t>
            </w:r>
            <w:r w:rsidRPr="004E0A37">
              <w:rPr>
                <w:rFonts w:hint="eastAsia"/>
                <w:spacing w:val="0"/>
                <w:sz w:val="20"/>
                <w:rtl/>
              </w:rPr>
              <w:t> </w:t>
            </w:r>
            <w:r w:rsidRPr="004E0A37">
              <w:rPr>
                <w:rFonts w:hint="cs"/>
                <w:spacing w:val="0"/>
                <w:sz w:val="20"/>
                <w:rtl/>
              </w:rPr>
              <w:t>2011. وعلى أي حال، يرى المحامي أن التغيرات التي شهدتها الدولة الطرف تتيح فرصة حقيقية لإجراء تحقيق فعال ومتعمق ومستقل ونزيه في أفعال التعذيب وغيرها من أفعال إساءة المعاملة التي تعرض لها صاحب الشكوى.</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إضافة إلى ذلك،</w:t>
            </w:r>
            <w:r w:rsidR="00335AC0">
              <w:rPr>
                <w:rFonts w:hint="cs"/>
                <w:spacing w:val="0"/>
                <w:sz w:val="20"/>
                <w:rtl/>
              </w:rPr>
              <w:t xml:space="preserve"> لم </w:t>
            </w:r>
            <w:r w:rsidRPr="004E0A37">
              <w:rPr>
                <w:rFonts w:hint="cs"/>
                <w:spacing w:val="0"/>
                <w:sz w:val="20"/>
                <w:rtl/>
              </w:rPr>
              <w:t>يحصل صاحب الشكوى على أي شكل من أشكال الجبر أو التعويض. وهو</w:t>
            </w:r>
            <w:r w:rsidR="00335AC0">
              <w:rPr>
                <w:rFonts w:hint="cs"/>
                <w:spacing w:val="0"/>
                <w:sz w:val="20"/>
                <w:rtl/>
              </w:rPr>
              <w:t xml:space="preserve"> لم </w:t>
            </w:r>
            <w:r w:rsidRPr="004E0A37">
              <w:rPr>
                <w:rFonts w:hint="cs"/>
                <w:spacing w:val="0"/>
                <w:sz w:val="20"/>
                <w:rtl/>
              </w:rPr>
              <w:t>يحصل أيضاً على الرعاية اللازمة لإعادة تأهيله من الناحيتين البدنية والنفسية، رغم أن الإصابات التي لحقته جراء التعذيب هي إصابات خطرة ومثيرة للقلق وأن حالته الصحية قد تدهورت خلال السنوات الأخيرة. زد على ذلك أن صاحب الشكوى لا يمتلك الموارد المادية اللازمة للحصول على العلاج الضروري. ويشير المحامي إلى أن الحق في الحصول على تعويض، على نحو ما تنص عليه المادة 14 من الاتفاقية، هو حق لا يرتبط بمسألة تحديد هوية المسؤولين عن أفعال التعذيب.</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ويلاحظ المحامي كذلك أن على الدولة الطرف، إلى جانب واجب التعويض لصاحب الشكوى، التزاماً بمنع تكرار مثل هذه الانتهاكات في المستقبل. ومع ذلك، فبعد اعتماد قرار</w:t>
            </w:r>
            <w:r w:rsidRPr="004E0A37">
              <w:rPr>
                <w:rFonts w:hint="eastAsia"/>
                <w:spacing w:val="0"/>
                <w:sz w:val="20"/>
                <w:rtl/>
              </w:rPr>
              <w:t> </w:t>
            </w:r>
            <w:r w:rsidRPr="004E0A37">
              <w:rPr>
                <w:rFonts w:hint="cs"/>
                <w:spacing w:val="0"/>
                <w:sz w:val="20"/>
                <w:rtl/>
              </w:rPr>
              <w:t>اللجنة في تشرين الثاني/نوفمبر 2007، تعرض صاحب الشكوى في كانون الأول/ديسمبر</w:t>
            </w:r>
            <w:r w:rsidRPr="004E0A37">
              <w:rPr>
                <w:rFonts w:hint="eastAsia"/>
                <w:spacing w:val="0"/>
                <w:sz w:val="20"/>
                <w:rtl/>
              </w:rPr>
              <w:t> </w:t>
            </w:r>
            <w:r w:rsidRPr="004E0A37">
              <w:rPr>
                <w:rFonts w:hint="cs"/>
                <w:spacing w:val="0"/>
                <w:sz w:val="20"/>
                <w:rtl/>
              </w:rPr>
              <w:t xml:space="preserve">2007 للعنف والضرب على أيدي أفراد من الشرطة أمام بيته، الأمر الذي أوجب نقله إلى قسم </w:t>
            </w:r>
            <w:r w:rsidRPr="00D17401">
              <w:rPr>
                <w:rFonts w:hint="cs"/>
                <w:spacing w:val="0"/>
                <w:sz w:val="20"/>
                <w:rtl/>
                <w:lang w:val="fr-CH"/>
              </w:rPr>
              <w:t>الحالات</w:t>
            </w:r>
            <w:r w:rsidRPr="004E0A37">
              <w:rPr>
                <w:rFonts w:hint="cs"/>
                <w:spacing w:val="0"/>
                <w:sz w:val="20"/>
                <w:rtl/>
              </w:rPr>
              <w:t xml:space="preserve"> الطارئة بالمستشفى. وظل صاحب الشكوى حتى كانون الثاني/يناير</w:t>
            </w:r>
            <w:r w:rsidRPr="004E0A37">
              <w:rPr>
                <w:rFonts w:hint="eastAsia"/>
                <w:spacing w:val="0"/>
                <w:sz w:val="20"/>
                <w:rtl/>
              </w:rPr>
              <w:t> </w:t>
            </w:r>
            <w:r w:rsidRPr="004E0A37">
              <w:rPr>
                <w:rFonts w:hint="cs"/>
                <w:spacing w:val="0"/>
                <w:sz w:val="20"/>
                <w:rtl/>
              </w:rPr>
              <w:t>2011 في بيته تحت مراقبة الشرطة ومحروماً من حقه في حرية التنقل ومن إمكانية الالتقاء بأقربائه ومعارفه.</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rFonts w:hint="cs"/>
                <w:spacing w:val="0"/>
                <w:sz w:val="20"/>
                <w:rtl/>
              </w:rPr>
            </w:pPr>
            <w:r w:rsidRPr="004E0A37">
              <w:rPr>
                <w:spacing w:val="0"/>
                <w:sz w:val="20"/>
                <w:rtl/>
              </w:rPr>
              <w:tab/>
            </w:r>
            <w:r w:rsidRPr="004E0A37">
              <w:rPr>
                <w:rFonts w:hint="cs"/>
                <w:spacing w:val="0"/>
                <w:sz w:val="20"/>
                <w:rtl/>
              </w:rPr>
              <w:t>وأضاف المحامي بالقول إن المنظمة العالمية لمناهضة التعذيب قامت بمهمّة إلى الدولة الطرف في أيار/مايو</w:t>
            </w:r>
            <w:r w:rsidRPr="004E0A37">
              <w:rPr>
                <w:rFonts w:hint="eastAsia"/>
                <w:spacing w:val="0"/>
                <w:sz w:val="20"/>
                <w:rtl/>
              </w:rPr>
              <w:t> </w:t>
            </w:r>
            <w:r w:rsidRPr="004E0A37">
              <w:rPr>
                <w:rFonts w:hint="cs"/>
                <w:spacing w:val="0"/>
                <w:sz w:val="20"/>
                <w:rtl/>
              </w:rPr>
              <w:t>2011، وأكد أن الوزير الأول قد أكد في تلك المناسبة أن السلطات ستنفذ قرارات اللجنة دون تأخير. وقد وجهت المنظمة انتباه الوزير الأول إلى تطميناته في رسالة مؤرخة في</w:t>
            </w:r>
            <w:r w:rsidRPr="004E0A37">
              <w:rPr>
                <w:rFonts w:hint="eastAsia"/>
                <w:spacing w:val="0"/>
                <w:sz w:val="20"/>
                <w:rtl/>
              </w:rPr>
              <w:t> </w:t>
            </w:r>
            <w:r w:rsidRPr="004E0A37">
              <w:rPr>
                <w:rFonts w:hint="cs"/>
                <w:spacing w:val="0"/>
                <w:sz w:val="20"/>
                <w:rtl/>
              </w:rPr>
              <w:t>22 حزيران/يونيه</w:t>
            </w:r>
            <w:r w:rsidRPr="004E0A37">
              <w:rPr>
                <w:rFonts w:hint="eastAsia"/>
                <w:spacing w:val="0"/>
                <w:sz w:val="20"/>
                <w:rtl/>
              </w:rPr>
              <w:t> </w:t>
            </w:r>
            <w:r w:rsidRPr="004E0A37">
              <w:rPr>
                <w:rFonts w:hint="cs"/>
                <w:spacing w:val="0"/>
                <w:sz w:val="20"/>
                <w:rtl/>
              </w:rPr>
              <w:t>2011. ويرى المحامي أن تنفيذ قرارات اللجنة لا يمكن أن يرتبط بإنجاز عملية الانتقال الجارية أو باعتماد الإطار الدستوري الجديد. وفي الختام، طلب المحامي إلى اللجنة أن تدعو الدولة الطرف إلى إجراء تحقيق فعال وتعويض صاحب الشكوى ومقاضاة المسؤولين عن إساءة معاملته ومعاقبتهم.</w:t>
            </w:r>
          </w:p>
        </w:tc>
      </w:tr>
      <w:tr w:rsidR="004E0A37" w:rsidRPr="004E0A37" w:rsidTr="001D12C7">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spacing w:val="0"/>
                <w:sz w:val="20"/>
                <w:rtl/>
              </w:rPr>
            </w:pPr>
            <w:r w:rsidRPr="004E0A37">
              <w:rPr>
                <w:spacing w:val="0"/>
                <w:sz w:val="20"/>
                <w:rtl/>
              </w:rPr>
              <w:tab/>
            </w:r>
            <w:r w:rsidRPr="004E0A37">
              <w:rPr>
                <w:rFonts w:hint="cs"/>
                <w:spacing w:val="0"/>
                <w:sz w:val="20"/>
                <w:rtl/>
              </w:rPr>
              <w:t>وبعد الإحاطة</w:t>
            </w:r>
            <w:r w:rsidR="003833F8">
              <w:rPr>
                <w:rFonts w:hint="cs"/>
                <w:spacing w:val="0"/>
                <w:sz w:val="20"/>
                <w:rtl/>
              </w:rPr>
              <w:t xml:space="preserve"> علماً </w:t>
            </w:r>
            <w:r w:rsidRPr="004E0A37">
              <w:rPr>
                <w:rFonts w:hint="cs"/>
                <w:spacing w:val="0"/>
                <w:sz w:val="20"/>
                <w:rtl/>
              </w:rPr>
              <w:t>بالتغيرات السياسية التي حدثت مؤخر</w:t>
            </w:r>
            <w:r w:rsidR="0081655E">
              <w:rPr>
                <w:rFonts w:hint="cs"/>
                <w:spacing w:val="0"/>
                <w:sz w:val="20"/>
                <w:rtl/>
              </w:rPr>
              <w:t xml:space="preserve">اً </w:t>
            </w:r>
            <w:r w:rsidRPr="004E0A37">
              <w:rPr>
                <w:rFonts w:hint="cs"/>
                <w:spacing w:val="0"/>
                <w:sz w:val="20"/>
                <w:rtl/>
              </w:rPr>
              <w:t xml:space="preserve">في الدولة الطرف، قررت اللجنة، في دورتها السابعة والأربعين، أن تدعو الدولة الطرف إلى إتمام التحقيق الجاري دون تأخير، وتنفيذ قرار اللجنة المؤرخ 7 تشرين الثاني/نوفمبر 2007، وموافاتها بمعلومات محدّثة عن جميع التدابير التي اتخذها في سبيل ذلك. ولم تتلق اللجنة أي رد. </w:t>
            </w:r>
          </w:p>
        </w:tc>
      </w:tr>
      <w:tr w:rsidR="004E0A37" w:rsidRPr="004E0A37" w:rsidTr="007D1EF4">
        <w:tc>
          <w:tcPr>
            <w:tcW w:w="7159" w:type="dxa"/>
            <w:gridSpan w:val="2"/>
            <w:tcBorders>
              <w:top w:val="nil"/>
              <w:left w:val="nil"/>
              <w:bottom w:val="nil"/>
              <w:right w:val="nil"/>
            </w:tcBorders>
            <w:shd w:val="clear" w:color="auto" w:fill="auto"/>
            <w:vAlign w:val="bottom"/>
          </w:tcPr>
          <w:p w:rsidR="004E0A37" w:rsidRPr="004E0A37" w:rsidRDefault="004E0A37" w:rsidP="00D17401">
            <w:pPr>
              <w:spacing w:before="60" w:after="60" w:line="340" w:lineRule="exact"/>
              <w:ind w:left="113" w:right="113"/>
              <w:rPr>
                <w:spacing w:val="0"/>
                <w:sz w:val="20"/>
                <w:rtl/>
              </w:rPr>
            </w:pPr>
            <w:r w:rsidRPr="004E0A37">
              <w:rPr>
                <w:spacing w:val="0"/>
                <w:sz w:val="20"/>
                <w:rtl/>
              </w:rPr>
              <w:tab/>
            </w:r>
            <w:r w:rsidRPr="004E0A37">
              <w:rPr>
                <w:rFonts w:hint="cs"/>
                <w:spacing w:val="0"/>
                <w:sz w:val="20"/>
                <w:rtl/>
              </w:rPr>
              <w:t>وقررت اللجنة، في دورتها الثامنة والأربعين، أن تطلب من الدولة الطرف أن توفيها على جناح السرعة بمعلومات محدّثة عن التدابير التي اتخذتها لتنفيذ توصيتها.</w:t>
            </w:r>
          </w:p>
        </w:tc>
      </w:tr>
      <w:tr w:rsidR="00A75940" w:rsidRPr="004E0A37" w:rsidTr="007D1EF4">
        <w:tc>
          <w:tcPr>
            <w:tcW w:w="7159" w:type="dxa"/>
            <w:gridSpan w:val="2"/>
            <w:tcBorders>
              <w:top w:val="nil"/>
              <w:left w:val="nil"/>
              <w:bottom w:val="single" w:sz="12" w:space="0" w:color="auto"/>
              <w:right w:val="nil"/>
            </w:tcBorders>
            <w:shd w:val="clear" w:color="auto" w:fill="auto"/>
            <w:vAlign w:val="bottom"/>
          </w:tcPr>
          <w:p w:rsidR="00A75940" w:rsidRPr="004E0A37" w:rsidRDefault="00A75940" w:rsidP="00544535">
            <w:pPr>
              <w:spacing w:before="60" w:after="60" w:line="340" w:lineRule="exact"/>
              <w:ind w:left="113" w:right="113"/>
              <w:rPr>
                <w:rFonts w:hint="cs"/>
                <w:spacing w:val="0"/>
                <w:sz w:val="20"/>
                <w:rtl/>
              </w:rPr>
            </w:pPr>
            <w:r w:rsidRPr="00544535">
              <w:rPr>
                <w:rFonts w:hint="cs"/>
                <w:b/>
                <w:bCs/>
                <w:i/>
                <w:spacing w:val="0"/>
                <w:sz w:val="20"/>
                <w:rtl/>
                <w:lang w:val="fr-CH"/>
              </w:rPr>
              <w:t>قرار اللجنة</w:t>
            </w:r>
            <w:r>
              <w:rPr>
                <w:rFonts w:hint="cs"/>
                <w:spacing w:val="0"/>
                <w:sz w:val="20"/>
                <w:rtl/>
              </w:rPr>
              <w:t xml:space="preserve">: </w:t>
            </w:r>
            <w:r w:rsidRPr="004E0A37">
              <w:rPr>
                <w:rFonts w:hint="cs"/>
                <w:spacing w:val="0"/>
                <w:sz w:val="20"/>
                <w:rtl/>
              </w:rPr>
              <w:t>حوار المتابعة مستمر.</w:t>
            </w:r>
          </w:p>
        </w:tc>
      </w:tr>
    </w:tbl>
    <w:p w:rsidR="004E0A37" w:rsidRPr="004E0A37" w:rsidRDefault="004E0A37" w:rsidP="004E0A37">
      <w:pPr>
        <w:pStyle w:val="SingleTxtGA"/>
        <w:jc w:val="lowKashida"/>
        <w:rPr>
          <w:rFonts w:hint="cs"/>
          <w:spacing w:val="0"/>
          <w:sz w:val="20"/>
          <w:rtl/>
        </w:rPr>
      </w:pPr>
    </w:p>
    <w:tbl>
      <w:tblPr>
        <w:tblStyle w:val="TableGrid"/>
        <w:bidiVisual/>
        <w:tblW w:w="0" w:type="auto"/>
        <w:tblInd w:w="1253" w:type="dxa"/>
        <w:tblBorders>
          <w:insideH w:val="none" w:sz="0" w:space="0" w:color="auto"/>
          <w:insideV w:val="none" w:sz="0" w:space="0" w:color="auto"/>
        </w:tblBorders>
        <w:tblCellMar>
          <w:left w:w="0" w:type="dxa"/>
          <w:right w:w="0" w:type="dxa"/>
        </w:tblCellMar>
        <w:tblLook w:val="01E0"/>
      </w:tblPr>
      <w:tblGrid>
        <w:gridCol w:w="3490"/>
        <w:gridCol w:w="3663"/>
      </w:tblGrid>
      <w:tr w:rsidR="004E0A37" w:rsidRPr="004E0A37" w:rsidTr="001D12C7">
        <w:tc>
          <w:tcPr>
            <w:tcW w:w="3490" w:type="dxa"/>
            <w:tcBorders>
              <w:top w:val="single" w:sz="4" w:space="0" w:color="auto"/>
              <w:left w:val="nil"/>
              <w:bottom w:val="single" w:sz="12" w:space="0" w:color="auto"/>
            </w:tcBorders>
          </w:tcPr>
          <w:p w:rsidR="004E0A37" w:rsidRPr="00544535" w:rsidRDefault="004E0A37" w:rsidP="001D12C7">
            <w:pPr>
              <w:spacing w:before="40" w:after="60" w:line="320" w:lineRule="exact"/>
              <w:ind w:left="113" w:right="113"/>
              <w:rPr>
                <w:rFonts w:hint="cs"/>
                <w:b/>
                <w:bCs/>
                <w:i/>
                <w:spacing w:val="0"/>
                <w:sz w:val="20"/>
                <w:rtl/>
                <w:lang w:val="fr-CH"/>
              </w:rPr>
            </w:pPr>
            <w:r w:rsidRPr="00544535">
              <w:rPr>
                <w:rFonts w:hint="cs"/>
                <w:b/>
                <w:bCs/>
                <w:i/>
                <w:spacing w:val="0"/>
                <w:sz w:val="20"/>
                <w:rtl/>
                <w:lang w:val="fr-CH"/>
              </w:rPr>
              <w:t>الدولة الطرف</w:t>
            </w:r>
          </w:p>
        </w:tc>
        <w:tc>
          <w:tcPr>
            <w:tcW w:w="3663" w:type="dxa"/>
            <w:tcBorders>
              <w:top w:val="single" w:sz="4" w:space="0" w:color="auto"/>
              <w:bottom w:val="single" w:sz="12" w:space="0" w:color="auto"/>
              <w:right w:val="nil"/>
            </w:tcBorders>
          </w:tcPr>
          <w:p w:rsidR="004E0A37" w:rsidRPr="00A75940" w:rsidRDefault="004E0A37" w:rsidP="001D12C7">
            <w:pPr>
              <w:spacing w:before="60" w:after="60" w:line="320" w:lineRule="exact"/>
              <w:ind w:left="113" w:right="113"/>
              <w:rPr>
                <w:rFonts w:hint="cs"/>
                <w:b/>
                <w:bCs/>
                <w:spacing w:val="0"/>
                <w:sz w:val="20"/>
                <w:rtl/>
              </w:rPr>
            </w:pPr>
            <w:r w:rsidRPr="00A75940">
              <w:rPr>
                <w:rFonts w:hint="cs"/>
                <w:b/>
                <w:bCs/>
                <w:spacing w:val="0"/>
                <w:sz w:val="20"/>
                <w:rtl/>
              </w:rPr>
              <w:t>تونس</w:t>
            </w:r>
          </w:p>
        </w:tc>
      </w:tr>
      <w:tr w:rsidR="004E0A37" w:rsidRPr="004E0A37" w:rsidTr="001D12C7">
        <w:tc>
          <w:tcPr>
            <w:tcW w:w="3490" w:type="dxa"/>
            <w:tcBorders>
              <w:top w:val="single" w:sz="12" w:space="0" w:color="auto"/>
              <w:left w:val="nil"/>
              <w:bottom w:val="nil"/>
              <w:right w:val="nil"/>
            </w:tcBorders>
          </w:tcPr>
          <w:p w:rsidR="004E0A37" w:rsidRPr="00544535" w:rsidRDefault="004E0A37" w:rsidP="001D12C7">
            <w:pPr>
              <w:spacing w:before="40" w:after="60" w:line="320" w:lineRule="exact"/>
              <w:ind w:left="113" w:right="113"/>
              <w:rPr>
                <w:rFonts w:hint="cs"/>
                <w:b/>
                <w:bCs/>
                <w:i/>
                <w:spacing w:val="0"/>
                <w:sz w:val="20"/>
                <w:rtl/>
                <w:lang w:val="fr-CH"/>
              </w:rPr>
            </w:pPr>
            <w:r w:rsidRPr="00544535">
              <w:rPr>
                <w:rFonts w:hint="cs"/>
                <w:b/>
                <w:bCs/>
                <w:i/>
                <w:spacing w:val="0"/>
                <w:sz w:val="20"/>
                <w:rtl/>
                <w:lang w:val="fr-CH"/>
              </w:rPr>
              <w:t>القضية</w:t>
            </w:r>
          </w:p>
        </w:tc>
        <w:tc>
          <w:tcPr>
            <w:tcW w:w="3663" w:type="dxa"/>
            <w:tcBorders>
              <w:top w:val="single" w:sz="12" w:space="0" w:color="auto"/>
              <w:left w:val="nil"/>
              <w:bottom w:val="nil"/>
              <w:right w:val="nil"/>
            </w:tcBorders>
          </w:tcPr>
          <w:p w:rsidR="004E0A37" w:rsidRPr="00A75940" w:rsidRDefault="004E0A37" w:rsidP="001D12C7">
            <w:pPr>
              <w:spacing w:before="60" w:after="60" w:line="320" w:lineRule="exact"/>
              <w:ind w:left="113" w:right="113"/>
              <w:rPr>
                <w:rFonts w:hint="cs"/>
                <w:b/>
                <w:bCs/>
                <w:spacing w:val="0"/>
                <w:sz w:val="20"/>
                <w:rtl/>
              </w:rPr>
            </w:pPr>
            <w:r w:rsidRPr="00A75940">
              <w:rPr>
                <w:rFonts w:hint="cs"/>
                <w:b/>
                <w:bCs/>
                <w:i/>
                <w:iCs/>
                <w:spacing w:val="0"/>
                <w:sz w:val="20"/>
                <w:rtl/>
              </w:rPr>
              <w:t>علي</w:t>
            </w:r>
            <w:r w:rsidRPr="00A75940">
              <w:rPr>
                <w:rFonts w:hint="cs"/>
                <w:b/>
                <w:bCs/>
                <w:spacing w:val="0"/>
                <w:sz w:val="20"/>
                <w:rtl/>
              </w:rPr>
              <w:t>، 291/2006</w:t>
            </w:r>
          </w:p>
        </w:tc>
      </w:tr>
      <w:tr w:rsidR="004E0A37" w:rsidRPr="004E0A37" w:rsidTr="001D12C7">
        <w:tc>
          <w:tcPr>
            <w:tcW w:w="3490" w:type="dxa"/>
            <w:tcBorders>
              <w:top w:val="nil"/>
              <w:left w:val="nil"/>
              <w:bottom w:val="nil"/>
              <w:right w:val="nil"/>
            </w:tcBorders>
          </w:tcPr>
          <w:p w:rsidR="004E0A37" w:rsidRPr="00544535" w:rsidRDefault="004E0A37" w:rsidP="001D12C7">
            <w:pPr>
              <w:spacing w:before="40" w:after="60" w:line="320" w:lineRule="exact"/>
              <w:ind w:left="113" w:right="113"/>
              <w:rPr>
                <w:rFonts w:hint="cs"/>
                <w:b/>
                <w:bCs/>
                <w:i/>
                <w:spacing w:val="0"/>
                <w:sz w:val="20"/>
                <w:rtl/>
                <w:lang w:val="fr-CH"/>
              </w:rPr>
            </w:pPr>
            <w:r w:rsidRPr="00544535">
              <w:rPr>
                <w:rFonts w:hint="cs"/>
                <w:b/>
                <w:bCs/>
                <w:i/>
                <w:spacing w:val="0"/>
                <w:sz w:val="20"/>
                <w:rtl/>
                <w:lang w:val="fr-CH"/>
              </w:rPr>
              <w:t>آراء معتمدة في</w:t>
            </w:r>
          </w:p>
        </w:tc>
        <w:tc>
          <w:tcPr>
            <w:tcW w:w="3663" w:type="dxa"/>
            <w:tcBorders>
              <w:top w:val="nil"/>
              <w:left w:val="nil"/>
              <w:bottom w:val="nil"/>
              <w:right w:val="nil"/>
            </w:tcBorders>
          </w:tcPr>
          <w:p w:rsidR="004E0A37" w:rsidRPr="004E0A37" w:rsidRDefault="004E0A37" w:rsidP="001D12C7">
            <w:pPr>
              <w:spacing w:before="60" w:after="60" w:line="320" w:lineRule="exact"/>
              <w:ind w:left="113" w:right="113"/>
              <w:rPr>
                <w:rFonts w:hint="cs"/>
                <w:spacing w:val="0"/>
                <w:sz w:val="20"/>
                <w:rtl/>
              </w:rPr>
            </w:pPr>
            <w:r w:rsidRPr="004E0A37">
              <w:rPr>
                <w:rFonts w:hint="cs"/>
                <w:spacing w:val="0"/>
                <w:sz w:val="20"/>
                <w:rtl/>
              </w:rPr>
              <w:t>21 تشرين الثاني/نوفمبر 2008</w:t>
            </w:r>
          </w:p>
        </w:tc>
      </w:tr>
      <w:tr w:rsidR="004E0A37" w:rsidRPr="004E0A37" w:rsidTr="001D12C7">
        <w:tc>
          <w:tcPr>
            <w:tcW w:w="3490" w:type="dxa"/>
            <w:tcBorders>
              <w:top w:val="nil"/>
              <w:left w:val="nil"/>
              <w:bottom w:val="nil"/>
              <w:right w:val="nil"/>
            </w:tcBorders>
          </w:tcPr>
          <w:p w:rsidR="004E0A37" w:rsidRPr="00544535" w:rsidRDefault="004E0A37" w:rsidP="001D12C7">
            <w:pPr>
              <w:spacing w:before="40" w:after="60" w:line="320" w:lineRule="exact"/>
              <w:ind w:left="113" w:right="113"/>
              <w:rPr>
                <w:rFonts w:hint="cs"/>
                <w:b/>
                <w:bCs/>
                <w:i/>
                <w:spacing w:val="0"/>
                <w:sz w:val="20"/>
                <w:rtl/>
                <w:lang w:val="fr-CH"/>
              </w:rPr>
            </w:pPr>
            <w:r w:rsidRPr="00544535">
              <w:rPr>
                <w:rFonts w:hint="cs"/>
                <w:b/>
                <w:bCs/>
                <w:i/>
                <w:spacing w:val="0"/>
                <w:sz w:val="20"/>
                <w:rtl/>
                <w:lang w:val="fr-CH"/>
              </w:rPr>
              <w:t>الانتهاكات التي خلصت إليها اللجنة</w:t>
            </w:r>
          </w:p>
        </w:tc>
        <w:tc>
          <w:tcPr>
            <w:tcW w:w="3663" w:type="dxa"/>
            <w:tcBorders>
              <w:top w:val="nil"/>
              <w:left w:val="nil"/>
              <w:bottom w:val="nil"/>
              <w:right w:val="nil"/>
            </w:tcBorders>
          </w:tcPr>
          <w:p w:rsidR="004E0A37" w:rsidRPr="004E0A37" w:rsidRDefault="004E0A37" w:rsidP="001D12C7">
            <w:pPr>
              <w:spacing w:before="60" w:after="60" w:line="320" w:lineRule="exact"/>
              <w:ind w:left="113" w:right="113"/>
              <w:rPr>
                <w:rFonts w:hint="cs"/>
                <w:spacing w:val="0"/>
                <w:sz w:val="20"/>
                <w:rtl/>
              </w:rPr>
            </w:pPr>
            <w:r w:rsidRPr="004E0A37">
              <w:rPr>
                <w:rFonts w:hint="cs"/>
                <w:spacing w:val="0"/>
                <w:sz w:val="20"/>
                <w:rtl/>
              </w:rPr>
              <w:t>المواد 1 و12 و13 و14</w:t>
            </w:r>
          </w:p>
        </w:tc>
      </w:tr>
      <w:tr w:rsidR="004E0A37" w:rsidRPr="004E0A37" w:rsidTr="001D12C7">
        <w:tc>
          <w:tcPr>
            <w:tcW w:w="3490" w:type="dxa"/>
            <w:tcBorders>
              <w:top w:val="nil"/>
              <w:left w:val="nil"/>
              <w:bottom w:val="nil"/>
              <w:right w:val="nil"/>
            </w:tcBorders>
          </w:tcPr>
          <w:p w:rsidR="004E0A37" w:rsidRPr="00544535" w:rsidRDefault="004E0A37" w:rsidP="001D12C7">
            <w:pPr>
              <w:spacing w:before="40" w:after="60" w:line="320" w:lineRule="exact"/>
              <w:ind w:left="113" w:right="113"/>
              <w:rPr>
                <w:rFonts w:hint="cs"/>
                <w:b/>
                <w:bCs/>
                <w:i/>
                <w:spacing w:val="0"/>
                <w:sz w:val="20"/>
                <w:rtl/>
                <w:lang w:val="fr-CH"/>
              </w:rPr>
            </w:pPr>
            <w:r w:rsidRPr="00544535">
              <w:rPr>
                <w:rFonts w:hint="cs"/>
                <w:b/>
                <w:bCs/>
                <w:i/>
                <w:spacing w:val="0"/>
                <w:sz w:val="20"/>
                <w:rtl/>
                <w:lang w:val="fr-CH"/>
              </w:rPr>
              <w:t>الانتصاف الموصى به</w:t>
            </w:r>
          </w:p>
        </w:tc>
        <w:tc>
          <w:tcPr>
            <w:tcW w:w="3663" w:type="dxa"/>
            <w:tcBorders>
              <w:top w:val="nil"/>
              <w:left w:val="nil"/>
              <w:bottom w:val="nil"/>
              <w:right w:val="nil"/>
            </w:tcBorders>
          </w:tcPr>
          <w:p w:rsidR="004E0A37" w:rsidRPr="004E0A37" w:rsidRDefault="004E0A37" w:rsidP="001D12C7">
            <w:pPr>
              <w:spacing w:before="60" w:after="60" w:line="320" w:lineRule="exact"/>
              <w:ind w:left="113" w:right="113"/>
              <w:rPr>
                <w:rFonts w:hint="cs"/>
                <w:spacing w:val="0"/>
                <w:sz w:val="20"/>
                <w:rtl/>
              </w:rPr>
            </w:pPr>
            <w:r w:rsidRPr="004E0A37">
              <w:rPr>
                <w:rFonts w:hint="cs"/>
                <w:spacing w:val="0"/>
                <w:sz w:val="20"/>
                <w:rtl/>
              </w:rPr>
              <w:t>حثت اللجنة الدولة الطرف على إنجاز التحقيق في أفعال التعذيب التي يدعى أن صاحب الشكوى قد تعرض لها بغية ملاحقة المسؤولين عن هذه الأفعال أمام القضاء.</w:t>
            </w:r>
          </w:p>
        </w:tc>
      </w:tr>
      <w:tr w:rsidR="004E0A37" w:rsidRPr="004E0A37" w:rsidTr="001D12C7">
        <w:tc>
          <w:tcPr>
            <w:tcW w:w="7153" w:type="dxa"/>
            <w:gridSpan w:val="2"/>
            <w:tcBorders>
              <w:top w:val="nil"/>
              <w:left w:val="nil"/>
              <w:bottom w:val="nil"/>
              <w:right w:val="nil"/>
            </w:tcBorders>
          </w:tcPr>
          <w:p w:rsidR="004E0A37" w:rsidRPr="00A75940" w:rsidRDefault="004E0A37" w:rsidP="001D12C7">
            <w:pPr>
              <w:spacing w:before="40" w:after="60" w:line="320" w:lineRule="exact"/>
              <w:ind w:left="113" w:right="113"/>
              <w:rPr>
                <w:rFonts w:hint="cs"/>
                <w:b/>
                <w:bCs/>
                <w:i/>
                <w:spacing w:val="0"/>
                <w:sz w:val="20"/>
                <w:rtl/>
                <w:lang w:val="fr-CH"/>
              </w:rPr>
            </w:pPr>
            <w:r w:rsidRPr="00A75940">
              <w:rPr>
                <w:rFonts w:hint="cs"/>
                <w:b/>
                <w:bCs/>
                <w:i/>
                <w:spacing w:val="0"/>
                <w:sz w:val="20"/>
                <w:rtl/>
                <w:lang w:val="fr-CH"/>
              </w:rPr>
              <w:t xml:space="preserve">معلومات المتابعة المُقدَّمة سابقاً: </w:t>
            </w:r>
            <w:r w:rsidRPr="00A75940">
              <w:rPr>
                <w:b/>
                <w:bCs/>
                <w:i/>
                <w:spacing w:val="0"/>
                <w:sz w:val="20"/>
                <w:lang w:val="fr-CH"/>
              </w:rPr>
              <w:t>A/66/44</w:t>
            </w:r>
            <w:r w:rsidRPr="00A75940">
              <w:rPr>
                <w:rFonts w:hint="cs"/>
                <w:b/>
                <w:bCs/>
                <w:i/>
                <w:spacing w:val="0"/>
                <w:sz w:val="20"/>
                <w:rtl/>
                <w:lang w:val="fr-CH"/>
              </w:rPr>
              <w:t>، الفصل السادس</w:t>
            </w:r>
          </w:p>
        </w:tc>
      </w:tr>
      <w:tr w:rsidR="004E0A37" w:rsidRPr="004E0A37" w:rsidTr="001D12C7">
        <w:tc>
          <w:tcPr>
            <w:tcW w:w="7153" w:type="dxa"/>
            <w:gridSpan w:val="2"/>
            <w:tcBorders>
              <w:top w:val="nil"/>
              <w:left w:val="nil"/>
              <w:bottom w:val="nil"/>
              <w:right w:val="nil"/>
            </w:tcBorders>
          </w:tcPr>
          <w:p w:rsidR="004E0A37" w:rsidRPr="004E0A37" w:rsidRDefault="004E0A37" w:rsidP="001D12C7">
            <w:pPr>
              <w:spacing w:before="60" w:after="60" w:line="320" w:lineRule="exact"/>
              <w:ind w:left="113" w:right="113"/>
              <w:rPr>
                <w:rFonts w:hint="cs"/>
                <w:spacing w:val="0"/>
                <w:sz w:val="20"/>
                <w:rtl/>
              </w:rPr>
            </w:pPr>
            <w:r w:rsidRPr="004E0A37">
              <w:rPr>
                <w:spacing w:val="0"/>
                <w:sz w:val="20"/>
                <w:rtl/>
              </w:rPr>
              <w:tab/>
            </w:r>
            <w:r w:rsidRPr="004E0A37">
              <w:rPr>
                <w:rFonts w:hint="cs"/>
                <w:spacing w:val="0"/>
                <w:sz w:val="20"/>
                <w:rtl/>
              </w:rPr>
              <w:t>في 7 حزيران/يونيه 2011، أكدت الدولة الطرف مجدداً أن قاضي التحقيق قد قرر، في</w:t>
            </w:r>
            <w:r w:rsidRPr="004E0A37">
              <w:rPr>
                <w:rFonts w:hint="eastAsia"/>
                <w:spacing w:val="0"/>
                <w:sz w:val="20"/>
                <w:rtl/>
              </w:rPr>
              <w:t> </w:t>
            </w:r>
            <w:r w:rsidRPr="004E0A37">
              <w:rPr>
                <w:rFonts w:hint="cs"/>
                <w:spacing w:val="0"/>
                <w:sz w:val="20"/>
                <w:rtl/>
              </w:rPr>
              <w:t xml:space="preserve">6 شباط/فبراير 2009، عدم متابعة الدعوى التي رفعتها صاحبة الشكوى. وأغلق قاضي التحقيق ملف القضية لانعدام الأدلة عملاً بأحكام المادة 106 من مجلة الإجراءات الجزائية. ويُشار إلى أن المادة 121 من مجلة الإجراءات الجزائية تنص على أنه لا يجوز فتح باب التحقيق من جديد إلا </w:t>
            </w:r>
            <w:r w:rsidRPr="00D17401">
              <w:rPr>
                <w:rFonts w:hint="cs"/>
                <w:spacing w:val="0"/>
                <w:sz w:val="20"/>
                <w:rtl/>
                <w:lang w:val="fr-CH"/>
              </w:rPr>
              <w:t>في</w:t>
            </w:r>
            <w:r w:rsidRPr="004E0A37">
              <w:rPr>
                <w:rFonts w:hint="cs"/>
                <w:spacing w:val="0"/>
                <w:sz w:val="20"/>
                <w:rtl/>
              </w:rPr>
              <w:t xml:space="preserve"> حال توافر أدلة جديدة. وبما أن وكالة الجمهورية</w:t>
            </w:r>
            <w:r w:rsidR="00335AC0">
              <w:rPr>
                <w:rFonts w:hint="cs"/>
                <w:spacing w:val="0"/>
                <w:sz w:val="20"/>
                <w:rtl/>
              </w:rPr>
              <w:t xml:space="preserve"> لم </w:t>
            </w:r>
            <w:r w:rsidRPr="004E0A37">
              <w:rPr>
                <w:rFonts w:hint="cs"/>
                <w:spacing w:val="0"/>
                <w:sz w:val="20"/>
                <w:rtl/>
              </w:rPr>
              <w:t>تتلق حتى 6 شباط/فبراير</w:t>
            </w:r>
            <w:r w:rsidRPr="004E0A37">
              <w:rPr>
                <w:rFonts w:hint="eastAsia"/>
                <w:spacing w:val="0"/>
                <w:sz w:val="20"/>
                <w:rtl/>
              </w:rPr>
              <w:t> </w:t>
            </w:r>
            <w:r w:rsidRPr="004E0A37">
              <w:rPr>
                <w:rFonts w:hint="cs"/>
                <w:spacing w:val="0"/>
                <w:sz w:val="20"/>
                <w:rtl/>
              </w:rPr>
              <w:t>2009 أية أدلة جديدة،</w:t>
            </w:r>
            <w:r w:rsidR="00335AC0">
              <w:rPr>
                <w:rFonts w:hint="cs"/>
                <w:spacing w:val="0"/>
                <w:sz w:val="20"/>
                <w:rtl/>
              </w:rPr>
              <w:t xml:space="preserve"> لم </w:t>
            </w:r>
            <w:r w:rsidRPr="004E0A37">
              <w:rPr>
                <w:rFonts w:hint="cs"/>
                <w:spacing w:val="0"/>
                <w:sz w:val="20"/>
                <w:rtl/>
              </w:rPr>
              <w:t>يكن ممكناً فتح باب التحقيق من جديد.</w:t>
            </w:r>
          </w:p>
        </w:tc>
      </w:tr>
      <w:tr w:rsidR="004E0A37" w:rsidRPr="004E0A37" w:rsidTr="001D12C7">
        <w:tc>
          <w:tcPr>
            <w:tcW w:w="7153" w:type="dxa"/>
            <w:gridSpan w:val="2"/>
            <w:tcBorders>
              <w:top w:val="nil"/>
              <w:left w:val="nil"/>
              <w:bottom w:val="nil"/>
              <w:right w:val="nil"/>
            </w:tcBorders>
          </w:tcPr>
          <w:p w:rsidR="004E0A37" w:rsidRPr="001D12C7" w:rsidRDefault="004E0A37" w:rsidP="001D12C7">
            <w:pPr>
              <w:spacing w:before="60" w:after="60" w:line="320" w:lineRule="exact"/>
              <w:ind w:left="113" w:right="113"/>
              <w:rPr>
                <w:rFonts w:hint="cs"/>
                <w:spacing w:val="0"/>
                <w:sz w:val="20"/>
                <w:rtl/>
              </w:rPr>
            </w:pPr>
            <w:r w:rsidRPr="001D12C7">
              <w:rPr>
                <w:spacing w:val="0"/>
                <w:sz w:val="20"/>
                <w:rtl/>
              </w:rPr>
              <w:tab/>
            </w:r>
            <w:r w:rsidRPr="001D12C7">
              <w:rPr>
                <w:rFonts w:hint="cs"/>
                <w:spacing w:val="0"/>
                <w:sz w:val="20"/>
                <w:rtl/>
              </w:rPr>
              <w:t>وفي 28 تموز/يوليه 2011، أبلغت ممثلة صاحبة الشكوى (المنظمة العالمية لمناهضة التعذيب) اللجنة بأنها</w:t>
            </w:r>
            <w:r w:rsidR="00335AC0" w:rsidRPr="001D12C7">
              <w:rPr>
                <w:rFonts w:hint="cs"/>
                <w:spacing w:val="0"/>
                <w:sz w:val="20"/>
                <w:rtl/>
              </w:rPr>
              <w:t xml:space="preserve"> لم </w:t>
            </w:r>
            <w:r w:rsidRPr="001D12C7">
              <w:rPr>
                <w:rFonts w:hint="cs"/>
                <w:spacing w:val="0"/>
                <w:sz w:val="20"/>
                <w:rtl/>
              </w:rPr>
              <w:t xml:space="preserve">تتمكن من الاتصال </w:t>
            </w:r>
            <w:r w:rsidRPr="001D12C7">
              <w:rPr>
                <w:rFonts w:hint="cs"/>
                <w:spacing w:val="0"/>
                <w:sz w:val="20"/>
                <w:rtl/>
                <w:lang w:val="fr-CH"/>
              </w:rPr>
              <w:t>بصاحبة</w:t>
            </w:r>
            <w:r w:rsidRPr="001D12C7">
              <w:rPr>
                <w:rFonts w:hint="cs"/>
                <w:spacing w:val="0"/>
                <w:sz w:val="20"/>
                <w:rtl/>
              </w:rPr>
              <w:t xml:space="preserve"> الشكوى، ولذلك لا يمكنها في هذه</w:t>
            </w:r>
            <w:r w:rsidR="001D12C7">
              <w:rPr>
                <w:rFonts w:hint="eastAsia"/>
                <w:spacing w:val="0"/>
                <w:sz w:val="20"/>
                <w:rtl/>
              </w:rPr>
              <w:t> </w:t>
            </w:r>
            <w:r w:rsidRPr="001D12C7">
              <w:rPr>
                <w:rFonts w:hint="cs"/>
                <w:spacing w:val="0"/>
                <w:sz w:val="20"/>
                <w:rtl/>
              </w:rPr>
              <w:t>المرحلة أن تعلّق على المعلومات الإضافية المقدَّمة من الدولة الطرف في 7 حزيران/</w:t>
            </w:r>
            <w:r w:rsidR="001D12C7">
              <w:rPr>
                <w:rFonts w:hint="cs"/>
                <w:spacing w:val="0"/>
                <w:sz w:val="20"/>
                <w:rtl/>
              </w:rPr>
              <w:t xml:space="preserve">     </w:t>
            </w:r>
            <w:r w:rsidRPr="001D12C7">
              <w:rPr>
                <w:rFonts w:hint="cs"/>
                <w:spacing w:val="0"/>
                <w:sz w:val="20"/>
                <w:rtl/>
              </w:rPr>
              <w:t>يونيه 2011.</w:t>
            </w:r>
          </w:p>
        </w:tc>
      </w:tr>
      <w:tr w:rsidR="004E0A37" w:rsidRPr="004E0A37" w:rsidTr="001D12C7">
        <w:tc>
          <w:tcPr>
            <w:tcW w:w="7153" w:type="dxa"/>
            <w:gridSpan w:val="2"/>
            <w:tcBorders>
              <w:top w:val="nil"/>
              <w:left w:val="nil"/>
              <w:bottom w:val="nil"/>
              <w:right w:val="nil"/>
            </w:tcBorders>
          </w:tcPr>
          <w:p w:rsidR="004E0A37" w:rsidRPr="004E0A37" w:rsidRDefault="004E0A37" w:rsidP="001D12C7">
            <w:pPr>
              <w:spacing w:before="60" w:after="60" w:line="320" w:lineRule="exact"/>
              <w:ind w:left="113" w:right="113"/>
              <w:rPr>
                <w:rFonts w:hint="cs"/>
                <w:spacing w:val="0"/>
                <w:sz w:val="20"/>
                <w:rtl/>
              </w:rPr>
            </w:pPr>
            <w:r w:rsidRPr="004E0A37">
              <w:rPr>
                <w:spacing w:val="0"/>
                <w:sz w:val="20"/>
                <w:rtl/>
              </w:rPr>
              <w:tab/>
            </w:r>
            <w:r w:rsidRPr="004E0A37">
              <w:rPr>
                <w:rFonts w:hint="cs"/>
                <w:spacing w:val="0"/>
                <w:sz w:val="20"/>
                <w:rtl/>
              </w:rPr>
              <w:t xml:space="preserve">ومع ذلك، تشير المنظمة إلى أنه على الرغم من التحقيقات التي أُجريت في </w:t>
            </w:r>
            <w:r w:rsidRPr="00D17401">
              <w:rPr>
                <w:rFonts w:hint="cs"/>
                <w:spacing w:val="0"/>
                <w:sz w:val="20"/>
                <w:rtl/>
                <w:lang w:val="fr-CH"/>
              </w:rPr>
              <w:t>السابق</w:t>
            </w:r>
            <w:r w:rsidRPr="004E0A37">
              <w:rPr>
                <w:rFonts w:hint="cs"/>
                <w:spacing w:val="0"/>
                <w:sz w:val="20"/>
                <w:rtl/>
              </w:rPr>
              <w:t>، فإن التغيُّرات الهامة التي شهدتها الدولة الطرف منذ كانون الثاني/يناير 2011 تمثل ظروفاً جديدة تستلزم إجراء تحقيق جديد في مزاعم صاحبة الشكوى المتعلقة بالتعذيب يتسم بالفعالية وبالشمول والاستقلالية والنزاهة.</w:t>
            </w:r>
          </w:p>
        </w:tc>
      </w:tr>
      <w:tr w:rsidR="004E0A37" w:rsidRPr="004E0A37" w:rsidTr="001D12C7">
        <w:tc>
          <w:tcPr>
            <w:tcW w:w="7153" w:type="dxa"/>
            <w:gridSpan w:val="2"/>
            <w:tcBorders>
              <w:top w:val="nil"/>
              <w:left w:val="nil"/>
              <w:bottom w:val="nil"/>
              <w:right w:val="nil"/>
            </w:tcBorders>
          </w:tcPr>
          <w:p w:rsidR="004E0A37" w:rsidRPr="004E0A37" w:rsidRDefault="004E0A37" w:rsidP="001D12C7">
            <w:pPr>
              <w:spacing w:before="60" w:after="60" w:line="320" w:lineRule="exact"/>
              <w:ind w:left="113" w:right="113"/>
              <w:rPr>
                <w:rFonts w:hint="cs"/>
                <w:spacing w:val="0"/>
                <w:sz w:val="20"/>
                <w:rtl/>
              </w:rPr>
            </w:pPr>
            <w:r w:rsidRPr="004E0A37">
              <w:rPr>
                <w:spacing w:val="0"/>
                <w:sz w:val="20"/>
                <w:rtl/>
              </w:rPr>
              <w:tab/>
            </w:r>
            <w:r w:rsidRPr="004E0A37">
              <w:rPr>
                <w:rFonts w:hint="cs"/>
                <w:spacing w:val="0"/>
                <w:sz w:val="20"/>
                <w:rtl/>
              </w:rPr>
              <w:t xml:space="preserve">وتضيف المنظمة </w:t>
            </w:r>
            <w:r w:rsidRPr="00D17401">
              <w:rPr>
                <w:rFonts w:hint="cs"/>
                <w:spacing w:val="0"/>
                <w:sz w:val="20"/>
                <w:rtl/>
                <w:lang w:val="fr-CH"/>
              </w:rPr>
              <w:t>قائلة</w:t>
            </w:r>
            <w:r w:rsidRPr="004E0A37">
              <w:rPr>
                <w:rFonts w:hint="cs"/>
                <w:spacing w:val="0"/>
                <w:sz w:val="20"/>
                <w:rtl/>
              </w:rPr>
              <w:t xml:space="preserve"> إنها قامت في أيار/مايو 2011 بمهمة إلى الدولة الطرف، وتؤكد أن الوزير الأول قد أكد خلال هذه المناسبة أن السلطات ستنفذ قرارات اللجنة دون تأخير. وقد وردت هذه التطمينات في الرسالة التي وجهتها المنظمة إلى عناية الوزير الأول في 22 حزيران/يونيه 2011. وترى المنظمة أن تنفيذ قرارات اللجنة لا يمكن أن يرتبط بالانتهاء من عملية الانتقال الجارية في البلد أو باعتماد الإطار الدستوري الجديد.</w:t>
            </w:r>
          </w:p>
        </w:tc>
      </w:tr>
      <w:tr w:rsidR="004E0A37" w:rsidRPr="004E0A37" w:rsidTr="001D12C7">
        <w:tc>
          <w:tcPr>
            <w:tcW w:w="7153" w:type="dxa"/>
            <w:gridSpan w:val="2"/>
            <w:tcBorders>
              <w:top w:val="nil"/>
              <w:left w:val="nil"/>
              <w:bottom w:val="nil"/>
              <w:right w:val="nil"/>
            </w:tcBorders>
            <w:vAlign w:val="bottom"/>
          </w:tcPr>
          <w:p w:rsidR="004E0A37" w:rsidRPr="004E0A37" w:rsidRDefault="004E0A37" w:rsidP="001D12C7">
            <w:pPr>
              <w:spacing w:before="60" w:after="60" w:line="320" w:lineRule="exact"/>
              <w:ind w:left="113" w:right="113"/>
              <w:rPr>
                <w:spacing w:val="0"/>
                <w:sz w:val="20"/>
                <w:rtl/>
              </w:rPr>
            </w:pPr>
            <w:r w:rsidRPr="004E0A37">
              <w:rPr>
                <w:spacing w:val="0"/>
                <w:sz w:val="20"/>
                <w:rtl/>
              </w:rPr>
              <w:tab/>
            </w:r>
            <w:r w:rsidRPr="004E0A37">
              <w:rPr>
                <w:rFonts w:hint="cs"/>
                <w:spacing w:val="0"/>
                <w:sz w:val="20"/>
                <w:rtl/>
              </w:rPr>
              <w:t>وبعد الإحاطة</w:t>
            </w:r>
            <w:r w:rsidR="003833F8">
              <w:rPr>
                <w:rFonts w:hint="cs"/>
                <w:spacing w:val="0"/>
                <w:sz w:val="20"/>
                <w:rtl/>
              </w:rPr>
              <w:t xml:space="preserve"> علماً </w:t>
            </w:r>
            <w:r w:rsidRPr="004E0A37">
              <w:rPr>
                <w:rFonts w:hint="cs"/>
                <w:spacing w:val="0"/>
                <w:sz w:val="20"/>
                <w:rtl/>
              </w:rPr>
              <w:t>بالتغيرات السياسية التي حدثت مؤخر</w:t>
            </w:r>
            <w:r w:rsidR="0081655E">
              <w:rPr>
                <w:rFonts w:hint="cs"/>
                <w:spacing w:val="0"/>
                <w:sz w:val="20"/>
                <w:rtl/>
              </w:rPr>
              <w:t xml:space="preserve">اً </w:t>
            </w:r>
            <w:r w:rsidRPr="004E0A37">
              <w:rPr>
                <w:rFonts w:hint="cs"/>
                <w:spacing w:val="0"/>
                <w:sz w:val="20"/>
                <w:rtl/>
              </w:rPr>
              <w:t xml:space="preserve">في الدولة الطرف، قررت اللجنة، في دورتها السابعة والأربعين، أن تدعو الدولة الطرف إلى إتمام التحقيق الجاري دون تأخير، وتنفيذ قرار اللجنة المؤرخ 21 تشرين الثاني/نوفمبر 2008، وموافاتها بمعلومات محدّثة عن جميع التدابير التي اتخذها في سبيل ذلك. ولم تتلق اللجنة أي رد. </w:t>
            </w:r>
          </w:p>
        </w:tc>
      </w:tr>
      <w:tr w:rsidR="004E0A37" w:rsidRPr="004E0A37" w:rsidTr="007D1EF4">
        <w:tc>
          <w:tcPr>
            <w:tcW w:w="7153" w:type="dxa"/>
            <w:gridSpan w:val="2"/>
            <w:tcBorders>
              <w:top w:val="nil"/>
              <w:left w:val="nil"/>
              <w:bottom w:val="nil"/>
              <w:right w:val="nil"/>
            </w:tcBorders>
            <w:vAlign w:val="bottom"/>
          </w:tcPr>
          <w:p w:rsidR="004E0A37" w:rsidRPr="004E0A37" w:rsidRDefault="004E0A37" w:rsidP="001D12C7">
            <w:pPr>
              <w:spacing w:before="60" w:after="60" w:line="320" w:lineRule="exact"/>
              <w:ind w:left="113" w:right="113"/>
              <w:rPr>
                <w:spacing w:val="0"/>
                <w:sz w:val="20"/>
                <w:rtl/>
              </w:rPr>
            </w:pPr>
            <w:r w:rsidRPr="004E0A37">
              <w:rPr>
                <w:spacing w:val="0"/>
                <w:sz w:val="20"/>
                <w:rtl/>
              </w:rPr>
              <w:tab/>
            </w:r>
            <w:r w:rsidRPr="004E0A37">
              <w:rPr>
                <w:rFonts w:hint="cs"/>
                <w:spacing w:val="0"/>
                <w:sz w:val="20"/>
                <w:rtl/>
              </w:rPr>
              <w:t xml:space="preserve">وقررت اللجنة، في </w:t>
            </w:r>
            <w:r w:rsidRPr="00D17401">
              <w:rPr>
                <w:rFonts w:hint="cs"/>
                <w:spacing w:val="0"/>
                <w:sz w:val="20"/>
                <w:rtl/>
                <w:lang w:val="fr-CH"/>
              </w:rPr>
              <w:t>دورتها</w:t>
            </w:r>
            <w:r w:rsidRPr="004E0A37">
              <w:rPr>
                <w:rFonts w:hint="cs"/>
                <w:spacing w:val="0"/>
                <w:sz w:val="20"/>
                <w:rtl/>
              </w:rPr>
              <w:t xml:space="preserve"> الثامنة والأربعين، أن تطلب من الدولة الطرف أن توفيها على جناح السرعة بمعلومات محدّثة عن التدابير التي اتخذتها لتنفيذ توصيتها.</w:t>
            </w:r>
          </w:p>
        </w:tc>
      </w:tr>
      <w:tr w:rsidR="00A75940" w:rsidRPr="004E0A37" w:rsidTr="007D1EF4">
        <w:tc>
          <w:tcPr>
            <w:tcW w:w="7153" w:type="dxa"/>
            <w:gridSpan w:val="2"/>
            <w:tcBorders>
              <w:top w:val="nil"/>
              <w:left w:val="nil"/>
              <w:bottom w:val="single" w:sz="12" w:space="0" w:color="auto"/>
              <w:right w:val="nil"/>
            </w:tcBorders>
          </w:tcPr>
          <w:p w:rsidR="00A75940" w:rsidRPr="004E0A37" w:rsidRDefault="00A75940" w:rsidP="001D12C7">
            <w:pPr>
              <w:spacing w:before="60" w:after="60" w:line="320" w:lineRule="exact"/>
              <w:ind w:left="113" w:right="113"/>
              <w:rPr>
                <w:rFonts w:hint="cs"/>
                <w:spacing w:val="0"/>
                <w:sz w:val="20"/>
                <w:rtl/>
              </w:rPr>
            </w:pPr>
            <w:r w:rsidRPr="00544535">
              <w:rPr>
                <w:rFonts w:hint="cs"/>
                <w:b/>
                <w:bCs/>
                <w:i/>
                <w:spacing w:val="0"/>
                <w:sz w:val="20"/>
                <w:rtl/>
                <w:lang w:val="fr-CH"/>
              </w:rPr>
              <w:t>قرار اللجنة</w:t>
            </w:r>
            <w:r>
              <w:rPr>
                <w:rFonts w:hint="cs"/>
                <w:b/>
                <w:bCs/>
                <w:i/>
                <w:spacing w:val="0"/>
                <w:sz w:val="20"/>
                <w:rtl/>
                <w:lang w:val="fr-CH"/>
              </w:rPr>
              <w:t xml:space="preserve">: </w:t>
            </w:r>
            <w:r w:rsidRPr="004E0A37">
              <w:rPr>
                <w:rFonts w:hint="cs"/>
                <w:spacing w:val="0"/>
                <w:sz w:val="20"/>
                <w:rtl/>
              </w:rPr>
              <w:t>حوار المتابعة مستمر.</w:t>
            </w:r>
          </w:p>
        </w:tc>
      </w:tr>
    </w:tbl>
    <w:p w:rsidR="00A75940" w:rsidRDefault="00A75940" w:rsidP="007D1EF4">
      <w:pPr>
        <w:pStyle w:val="SingleTxtGA"/>
        <w:rPr>
          <w:rtl/>
        </w:rPr>
      </w:pPr>
    </w:p>
    <w:p w:rsidR="004E0A37" w:rsidRPr="00A75940" w:rsidRDefault="00A75940" w:rsidP="00A75940">
      <w:pPr>
        <w:pStyle w:val="HChGA"/>
        <w:spacing w:before="120"/>
        <w:rPr>
          <w:rFonts w:ascii="Times New Roman Bold" w:hAnsi="Times New Roman Bold"/>
          <w:spacing w:val="0"/>
          <w:rtl/>
        </w:rPr>
      </w:pPr>
      <w:r w:rsidRPr="00A75940">
        <w:rPr>
          <w:rFonts w:ascii="Times New Roman Bold" w:hAnsi="Times New Roman Bold"/>
          <w:spacing w:val="0"/>
          <w:rtl/>
        </w:rPr>
        <w:br w:type="page"/>
      </w:r>
      <w:r w:rsidR="004E0A37" w:rsidRPr="00A75940">
        <w:rPr>
          <w:rFonts w:ascii="Times New Roman Bold" w:hAnsi="Times New Roman Bold" w:hint="cs"/>
          <w:spacing w:val="0"/>
          <w:rtl/>
        </w:rPr>
        <w:tab/>
      </w:r>
      <w:r w:rsidR="004E0A37" w:rsidRPr="00A75940">
        <w:rPr>
          <w:rFonts w:ascii="Times New Roman Bold" w:hAnsi="Times New Roman Bold"/>
          <w:spacing w:val="0"/>
          <w:rtl/>
        </w:rPr>
        <w:t>سابعاً-</w:t>
      </w:r>
      <w:r w:rsidR="004E0A37" w:rsidRPr="00A75940">
        <w:rPr>
          <w:rFonts w:ascii="Times New Roman Bold" w:hAnsi="Times New Roman Bold"/>
          <w:spacing w:val="0"/>
          <w:rtl/>
        </w:rPr>
        <w:tab/>
        <w:t>الاجتماعات المقبلة للجنة</w:t>
      </w:r>
    </w:p>
    <w:p w:rsidR="004E0A37" w:rsidRPr="004E0A37" w:rsidRDefault="004E0A37" w:rsidP="004E0A37">
      <w:pPr>
        <w:pStyle w:val="SingleTxtGA"/>
        <w:jc w:val="lowKashida"/>
        <w:rPr>
          <w:spacing w:val="0"/>
          <w:sz w:val="20"/>
          <w:rtl/>
        </w:rPr>
      </w:pPr>
      <w:r w:rsidRPr="004E0A37">
        <w:rPr>
          <w:spacing w:val="0"/>
          <w:sz w:val="20"/>
          <w:rtl/>
        </w:rPr>
        <w:t>1</w:t>
      </w:r>
      <w:r w:rsidRPr="004E0A37">
        <w:rPr>
          <w:rFonts w:hint="cs"/>
          <w:spacing w:val="0"/>
          <w:sz w:val="20"/>
          <w:rtl/>
        </w:rPr>
        <w:t>38</w:t>
      </w:r>
      <w:r w:rsidRPr="004E0A37">
        <w:rPr>
          <w:spacing w:val="0"/>
          <w:sz w:val="20"/>
          <w:rtl/>
        </w:rPr>
        <w:t>-</w:t>
      </w:r>
      <w:r w:rsidRPr="004E0A37">
        <w:rPr>
          <w:spacing w:val="0"/>
          <w:sz w:val="20"/>
          <w:rtl/>
        </w:rPr>
        <w:tab/>
        <w:t>تعقد اللجنة،</w:t>
      </w:r>
      <w:r w:rsidR="00B345DB">
        <w:rPr>
          <w:spacing w:val="0"/>
          <w:sz w:val="20"/>
          <w:rtl/>
        </w:rPr>
        <w:t xml:space="preserve"> وفقاً </w:t>
      </w:r>
      <w:r w:rsidRPr="004E0A37">
        <w:rPr>
          <w:spacing w:val="0"/>
          <w:sz w:val="20"/>
          <w:rtl/>
        </w:rPr>
        <w:t>للمادة 2 من نظامها الداخلي، دورتين عاديتين كل سنة. وقد حددت اللجنة، بالتشاور مع الأمين العام، مواعيد انعقاد دورتها العادية المقبلة لعام 201</w:t>
      </w:r>
      <w:r w:rsidRPr="004E0A37">
        <w:rPr>
          <w:rFonts w:hint="cs"/>
          <w:spacing w:val="0"/>
          <w:sz w:val="20"/>
          <w:rtl/>
        </w:rPr>
        <w:t>2</w:t>
      </w:r>
      <w:r w:rsidRPr="004E0A37">
        <w:rPr>
          <w:spacing w:val="0"/>
          <w:sz w:val="20"/>
          <w:rtl/>
        </w:rPr>
        <w:t xml:space="preserve"> ودورتيها العاديتين لعام 201</w:t>
      </w:r>
      <w:r w:rsidRPr="004E0A37">
        <w:rPr>
          <w:rFonts w:hint="cs"/>
          <w:spacing w:val="0"/>
          <w:sz w:val="20"/>
          <w:rtl/>
        </w:rPr>
        <w:t>3</w:t>
      </w:r>
      <w:r w:rsidRPr="004E0A37">
        <w:rPr>
          <w:spacing w:val="0"/>
          <w:sz w:val="20"/>
          <w:rtl/>
        </w:rPr>
        <w:t>. و</w:t>
      </w:r>
      <w:r w:rsidR="00F96B1E">
        <w:rPr>
          <w:spacing w:val="0"/>
          <w:sz w:val="20"/>
          <w:rtl/>
        </w:rPr>
        <w:t>فيما </w:t>
      </w:r>
      <w:r w:rsidRPr="004E0A37">
        <w:rPr>
          <w:spacing w:val="0"/>
          <w:sz w:val="20"/>
          <w:rtl/>
        </w:rPr>
        <w:t>يلي تلك المواعيد:</w:t>
      </w:r>
    </w:p>
    <w:tbl>
      <w:tblPr>
        <w:tblStyle w:val="TableGrid"/>
        <w:bidiVisual/>
        <w:tblW w:w="6481" w:type="dxa"/>
        <w:tblInd w:w="1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2813"/>
        <w:gridCol w:w="3668"/>
      </w:tblGrid>
      <w:tr w:rsidR="004E0A37" w:rsidRPr="004E0A37" w:rsidTr="007D1EF4">
        <w:tc>
          <w:tcPr>
            <w:tcW w:w="2813" w:type="dxa"/>
            <w:shd w:val="clear" w:color="auto" w:fill="auto"/>
          </w:tcPr>
          <w:p w:rsidR="004E0A37" w:rsidRPr="00E71210" w:rsidRDefault="004E0A37" w:rsidP="00E71210">
            <w:pPr>
              <w:spacing w:before="120" w:after="80" w:line="380" w:lineRule="exact"/>
              <w:ind w:left="57"/>
              <w:rPr>
                <w:rFonts w:hint="cs"/>
                <w:spacing w:val="0"/>
                <w:sz w:val="20"/>
                <w:rtl/>
              </w:rPr>
            </w:pPr>
            <w:r w:rsidRPr="00E71210">
              <w:rPr>
                <w:spacing w:val="0"/>
                <w:sz w:val="20"/>
                <w:rtl/>
              </w:rPr>
              <w:t>الدورة ال</w:t>
            </w:r>
            <w:r w:rsidRPr="00E71210">
              <w:rPr>
                <w:rFonts w:hint="cs"/>
                <w:spacing w:val="0"/>
                <w:sz w:val="20"/>
                <w:rtl/>
              </w:rPr>
              <w:t>تاسعة</w:t>
            </w:r>
            <w:r w:rsidRPr="00E71210">
              <w:rPr>
                <w:spacing w:val="0"/>
                <w:sz w:val="20"/>
                <w:rtl/>
              </w:rPr>
              <w:t xml:space="preserve"> والأربعون</w:t>
            </w:r>
          </w:p>
        </w:tc>
        <w:tc>
          <w:tcPr>
            <w:tcW w:w="3668" w:type="dxa"/>
            <w:shd w:val="clear" w:color="auto" w:fill="auto"/>
            <w:vAlign w:val="bottom"/>
          </w:tcPr>
          <w:p w:rsidR="004E0A37" w:rsidRPr="004E0A37" w:rsidRDefault="004E0A37" w:rsidP="004E0A37">
            <w:pPr>
              <w:spacing w:before="120" w:after="80" w:line="380" w:lineRule="exact"/>
              <w:ind w:left="57"/>
              <w:rPr>
                <w:rFonts w:hint="cs"/>
                <w:i/>
                <w:spacing w:val="0"/>
                <w:sz w:val="20"/>
                <w:rtl/>
              </w:rPr>
            </w:pPr>
            <w:r w:rsidRPr="004E0A37">
              <w:rPr>
                <w:rFonts w:hint="cs"/>
                <w:spacing w:val="0"/>
                <w:sz w:val="20"/>
                <w:rtl/>
              </w:rPr>
              <w:t>29</w:t>
            </w:r>
            <w:r w:rsidRPr="004E0A37">
              <w:rPr>
                <w:spacing w:val="0"/>
                <w:sz w:val="20"/>
                <w:rtl/>
              </w:rPr>
              <w:t xml:space="preserve"> تشرين الأول/أكتوبر - 2</w:t>
            </w:r>
            <w:r w:rsidRPr="004E0A37">
              <w:rPr>
                <w:rFonts w:hint="cs"/>
                <w:spacing w:val="0"/>
                <w:sz w:val="20"/>
                <w:rtl/>
              </w:rPr>
              <w:t>3</w:t>
            </w:r>
            <w:r w:rsidRPr="004E0A37">
              <w:rPr>
                <w:spacing w:val="0"/>
                <w:sz w:val="20"/>
                <w:rtl/>
              </w:rPr>
              <w:t xml:space="preserve"> تشرين الثاني/</w:t>
            </w:r>
            <w:r w:rsidR="007D1EF4">
              <w:rPr>
                <w:rFonts w:hint="cs"/>
                <w:spacing w:val="0"/>
                <w:sz w:val="20"/>
                <w:rtl/>
              </w:rPr>
              <w:t xml:space="preserve"> </w:t>
            </w:r>
            <w:r w:rsidRPr="004E0A37">
              <w:rPr>
                <w:spacing w:val="0"/>
                <w:sz w:val="20"/>
                <w:rtl/>
              </w:rPr>
              <w:t>نوفمبر 201</w:t>
            </w:r>
            <w:r w:rsidRPr="004E0A37">
              <w:rPr>
                <w:rFonts w:hint="cs"/>
                <w:spacing w:val="0"/>
                <w:sz w:val="20"/>
                <w:rtl/>
              </w:rPr>
              <w:t>2</w:t>
            </w:r>
          </w:p>
        </w:tc>
      </w:tr>
      <w:tr w:rsidR="004E0A37" w:rsidRPr="004E0A37" w:rsidTr="007D1EF4">
        <w:tc>
          <w:tcPr>
            <w:tcW w:w="2813" w:type="dxa"/>
            <w:shd w:val="clear" w:color="auto" w:fill="auto"/>
            <w:vAlign w:val="bottom"/>
          </w:tcPr>
          <w:p w:rsidR="004E0A37" w:rsidRPr="00E71210" w:rsidRDefault="004E0A37" w:rsidP="00E71210">
            <w:pPr>
              <w:spacing w:before="120" w:after="80" w:line="380" w:lineRule="exact"/>
              <w:ind w:left="57"/>
              <w:rPr>
                <w:rFonts w:hint="cs"/>
                <w:spacing w:val="0"/>
                <w:sz w:val="20"/>
                <w:rtl/>
              </w:rPr>
            </w:pPr>
            <w:r w:rsidRPr="00E71210">
              <w:rPr>
                <w:spacing w:val="0"/>
                <w:sz w:val="20"/>
                <w:rtl/>
              </w:rPr>
              <w:t xml:space="preserve">الدورة </w:t>
            </w:r>
            <w:r w:rsidRPr="00E71210">
              <w:rPr>
                <w:rFonts w:hint="cs"/>
                <w:spacing w:val="0"/>
                <w:sz w:val="20"/>
                <w:rtl/>
              </w:rPr>
              <w:t>الخمسون</w:t>
            </w:r>
          </w:p>
        </w:tc>
        <w:tc>
          <w:tcPr>
            <w:tcW w:w="3668" w:type="dxa"/>
            <w:shd w:val="clear" w:color="auto" w:fill="auto"/>
            <w:vAlign w:val="bottom"/>
          </w:tcPr>
          <w:p w:rsidR="004E0A37" w:rsidRPr="004E0A37" w:rsidRDefault="004E0A37" w:rsidP="004E0A37">
            <w:pPr>
              <w:spacing w:after="80" w:line="380" w:lineRule="exact"/>
              <w:ind w:left="57"/>
              <w:rPr>
                <w:rFonts w:hint="cs"/>
                <w:spacing w:val="0"/>
                <w:sz w:val="20"/>
                <w:rtl/>
              </w:rPr>
            </w:pPr>
            <w:r w:rsidRPr="004E0A37">
              <w:rPr>
                <w:rFonts w:hint="cs"/>
                <w:spacing w:val="0"/>
                <w:sz w:val="20"/>
                <w:rtl/>
              </w:rPr>
              <w:t>6</w:t>
            </w:r>
            <w:r w:rsidRPr="004E0A37">
              <w:rPr>
                <w:spacing w:val="0"/>
                <w:sz w:val="20"/>
                <w:rtl/>
              </w:rPr>
              <w:t xml:space="preserve"> أيار/مايو</w:t>
            </w:r>
            <w:r w:rsidRPr="004E0A37">
              <w:rPr>
                <w:rFonts w:hint="cs"/>
                <w:spacing w:val="0"/>
                <w:sz w:val="20"/>
                <w:rtl/>
              </w:rPr>
              <w:t xml:space="preserve"> -</w:t>
            </w:r>
            <w:r w:rsidRPr="004E0A37">
              <w:rPr>
                <w:spacing w:val="0"/>
                <w:sz w:val="20"/>
                <w:rtl/>
              </w:rPr>
              <w:t xml:space="preserve"> </w:t>
            </w:r>
            <w:r w:rsidRPr="004E0A37">
              <w:rPr>
                <w:rFonts w:hint="cs"/>
                <w:spacing w:val="0"/>
                <w:sz w:val="20"/>
                <w:rtl/>
              </w:rPr>
              <w:t xml:space="preserve">31 </w:t>
            </w:r>
            <w:r w:rsidRPr="004E0A37">
              <w:rPr>
                <w:spacing w:val="0"/>
                <w:sz w:val="20"/>
                <w:rtl/>
              </w:rPr>
              <w:t>أيار/مايو</w:t>
            </w:r>
            <w:r w:rsidRPr="004E0A37">
              <w:rPr>
                <w:rFonts w:hint="cs"/>
                <w:spacing w:val="0"/>
                <w:sz w:val="20"/>
                <w:rtl/>
              </w:rPr>
              <w:t xml:space="preserve"> </w:t>
            </w:r>
            <w:r w:rsidRPr="004E0A37">
              <w:rPr>
                <w:spacing w:val="0"/>
                <w:sz w:val="20"/>
                <w:rtl/>
              </w:rPr>
              <w:t>201</w:t>
            </w:r>
            <w:r w:rsidRPr="004E0A37">
              <w:rPr>
                <w:rFonts w:hint="cs"/>
                <w:spacing w:val="0"/>
                <w:sz w:val="20"/>
                <w:rtl/>
              </w:rPr>
              <w:t>3</w:t>
            </w:r>
          </w:p>
        </w:tc>
      </w:tr>
      <w:tr w:rsidR="004E0A37" w:rsidRPr="004E0A37" w:rsidTr="007D1EF4">
        <w:tc>
          <w:tcPr>
            <w:tcW w:w="2813" w:type="dxa"/>
            <w:shd w:val="clear" w:color="auto" w:fill="auto"/>
          </w:tcPr>
          <w:p w:rsidR="004E0A37" w:rsidRPr="00E71210" w:rsidRDefault="004E0A37" w:rsidP="00E71210">
            <w:pPr>
              <w:spacing w:before="120" w:after="80" w:line="380" w:lineRule="exact"/>
              <w:ind w:left="57"/>
              <w:rPr>
                <w:rFonts w:hint="cs"/>
                <w:spacing w:val="0"/>
                <w:sz w:val="20"/>
                <w:rtl/>
              </w:rPr>
            </w:pPr>
            <w:r w:rsidRPr="00E71210">
              <w:rPr>
                <w:spacing w:val="0"/>
                <w:sz w:val="20"/>
                <w:rtl/>
              </w:rPr>
              <w:t xml:space="preserve">الدورة </w:t>
            </w:r>
            <w:r w:rsidRPr="00E71210">
              <w:rPr>
                <w:rFonts w:hint="cs"/>
                <w:spacing w:val="0"/>
                <w:sz w:val="20"/>
                <w:rtl/>
              </w:rPr>
              <w:t>الحادية والخمسون</w:t>
            </w:r>
          </w:p>
        </w:tc>
        <w:tc>
          <w:tcPr>
            <w:tcW w:w="3668" w:type="dxa"/>
            <w:shd w:val="clear" w:color="auto" w:fill="auto"/>
            <w:vAlign w:val="bottom"/>
          </w:tcPr>
          <w:p w:rsidR="004E0A37" w:rsidRPr="004E0A37" w:rsidRDefault="004E0A37" w:rsidP="004E0A37">
            <w:pPr>
              <w:spacing w:after="80" w:line="380" w:lineRule="exact"/>
              <w:ind w:left="57"/>
              <w:rPr>
                <w:rFonts w:hint="cs"/>
                <w:spacing w:val="0"/>
                <w:sz w:val="20"/>
                <w:rtl/>
              </w:rPr>
            </w:pPr>
            <w:r w:rsidRPr="004E0A37">
              <w:rPr>
                <w:spacing w:val="0"/>
                <w:sz w:val="20"/>
                <w:rtl/>
              </w:rPr>
              <w:t>2</w:t>
            </w:r>
            <w:r w:rsidRPr="004E0A37">
              <w:rPr>
                <w:rFonts w:hint="cs"/>
                <w:spacing w:val="0"/>
                <w:sz w:val="20"/>
                <w:rtl/>
              </w:rPr>
              <w:t>8</w:t>
            </w:r>
            <w:r w:rsidRPr="004E0A37">
              <w:rPr>
                <w:spacing w:val="0"/>
                <w:sz w:val="20"/>
                <w:rtl/>
              </w:rPr>
              <w:t xml:space="preserve"> تشرين الأول/أكتوبر - 2</w:t>
            </w:r>
            <w:r w:rsidRPr="004E0A37">
              <w:rPr>
                <w:rFonts w:hint="cs"/>
                <w:spacing w:val="0"/>
                <w:sz w:val="20"/>
                <w:rtl/>
              </w:rPr>
              <w:t>2</w:t>
            </w:r>
            <w:r w:rsidRPr="004E0A37">
              <w:rPr>
                <w:spacing w:val="0"/>
                <w:sz w:val="20"/>
                <w:rtl/>
              </w:rPr>
              <w:t xml:space="preserve"> تشرين الثاني/</w:t>
            </w:r>
            <w:r w:rsidR="00E71210">
              <w:rPr>
                <w:rFonts w:hint="cs"/>
                <w:spacing w:val="0"/>
                <w:sz w:val="20"/>
                <w:rtl/>
              </w:rPr>
              <w:t xml:space="preserve">   </w:t>
            </w:r>
            <w:r w:rsidRPr="004E0A37">
              <w:rPr>
                <w:spacing w:val="0"/>
                <w:sz w:val="20"/>
                <w:rtl/>
              </w:rPr>
              <w:t>نوفمبر 201</w:t>
            </w:r>
            <w:r w:rsidRPr="004E0A37">
              <w:rPr>
                <w:rFonts w:hint="cs"/>
                <w:spacing w:val="0"/>
                <w:sz w:val="20"/>
                <w:rtl/>
              </w:rPr>
              <w:t>3</w:t>
            </w:r>
          </w:p>
        </w:tc>
      </w:tr>
    </w:tbl>
    <w:p w:rsidR="004E0A37" w:rsidRPr="00A75940" w:rsidRDefault="004E0A37" w:rsidP="00A75940">
      <w:pPr>
        <w:pStyle w:val="H1GA"/>
        <w:rPr>
          <w:rFonts w:ascii="Times New Roman Bold" w:hAnsi="Times New Roman Bold" w:hint="cs"/>
          <w:spacing w:val="0"/>
          <w:rtl/>
        </w:rPr>
      </w:pPr>
      <w:r w:rsidRPr="00A75940">
        <w:rPr>
          <w:rFonts w:ascii="Times New Roman Bold" w:hAnsi="Times New Roman Bold" w:hint="cs"/>
          <w:spacing w:val="0"/>
          <w:rtl/>
        </w:rPr>
        <w:tab/>
      </w:r>
      <w:r w:rsidRPr="00A75940">
        <w:rPr>
          <w:rFonts w:ascii="Times New Roman Bold" w:hAnsi="Times New Roman Bold" w:hint="cs"/>
          <w:spacing w:val="0"/>
          <w:rtl/>
        </w:rPr>
        <w:tab/>
        <w:t>تخصيص وقت إضافي للاجتماع في عامي 2013 و2014</w:t>
      </w:r>
    </w:p>
    <w:p w:rsidR="004E0A37" w:rsidRPr="004E0A37" w:rsidRDefault="004E0A37" w:rsidP="00727BAF">
      <w:pPr>
        <w:pStyle w:val="SingleTxtGA"/>
        <w:jc w:val="lowKashida"/>
        <w:rPr>
          <w:rFonts w:hint="cs"/>
          <w:spacing w:val="0"/>
          <w:sz w:val="20"/>
          <w:rtl/>
        </w:rPr>
      </w:pPr>
      <w:r w:rsidRPr="004E0A37">
        <w:rPr>
          <w:rFonts w:hint="cs"/>
          <w:spacing w:val="0"/>
          <w:sz w:val="20"/>
          <w:rtl/>
        </w:rPr>
        <w:t>139-</w:t>
      </w:r>
      <w:r w:rsidRPr="004E0A37">
        <w:rPr>
          <w:rFonts w:hint="cs"/>
          <w:spacing w:val="0"/>
          <w:sz w:val="20"/>
          <w:rtl/>
        </w:rPr>
        <w:tab/>
      </w:r>
      <w:r w:rsidRPr="004E0A37">
        <w:rPr>
          <w:spacing w:val="0"/>
          <w:sz w:val="20"/>
          <w:rtl/>
        </w:rPr>
        <w:t xml:space="preserve">رحبت اللجنة </w:t>
      </w:r>
      <w:r w:rsidRPr="004E0A37">
        <w:rPr>
          <w:rFonts w:hint="cs"/>
          <w:spacing w:val="0"/>
          <w:sz w:val="20"/>
          <w:rtl/>
        </w:rPr>
        <w:t>مجدد</w:t>
      </w:r>
      <w:r w:rsidR="0081655E">
        <w:rPr>
          <w:rFonts w:hint="cs"/>
          <w:spacing w:val="0"/>
          <w:sz w:val="20"/>
          <w:rtl/>
        </w:rPr>
        <w:t xml:space="preserve">اً </w:t>
      </w:r>
      <w:r w:rsidRPr="004E0A37">
        <w:rPr>
          <w:spacing w:val="0"/>
          <w:sz w:val="20"/>
          <w:rtl/>
        </w:rPr>
        <w:t xml:space="preserve">بقرار الجمعية العامة </w:t>
      </w:r>
      <w:r w:rsidRPr="004E0A37">
        <w:rPr>
          <w:rFonts w:hint="cs"/>
          <w:spacing w:val="0"/>
          <w:sz w:val="20"/>
          <w:rtl/>
        </w:rPr>
        <w:t xml:space="preserve">65/204 الذي </w:t>
      </w:r>
      <w:r w:rsidRPr="004E0A37">
        <w:rPr>
          <w:spacing w:val="0"/>
          <w:sz w:val="20"/>
          <w:rtl/>
        </w:rPr>
        <w:t>أذن</w:t>
      </w:r>
      <w:r w:rsidRPr="004E0A37">
        <w:rPr>
          <w:rFonts w:hint="cs"/>
          <w:spacing w:val="0"/>
          <w:sz w:val="20"/>
          <w:rtl/>
        </w:rPr>
        <w:t>ت الجمعية بموجبه للجنة</w:t>
      </w:r>
      <w:r w:rsidRPr="004E0A37">
        <w:rPr>
          <w:spacing w:val="0"/>
          <w:sz w:val="20"/>
          <w:rtl/>
        </w:rPr>
        <w:t>، كتدبير مؤقت، بالاجتماع</w:t>
      </w:r>
      <w:r w:rsidRPr="004E0A37">
        <w:rPr>
          <w:rFonts w:hint="cs"/>
          <w:spacing w:val="0"/>
          <w:sz w:val="20"/>
          <w:rtl/>
        </w:rPr>
        <w:t> </w:t>
      </w:r>
      <w:r w:rsidRPr="004E0A37">
        <w:rPr>
          <w:spacing w:val="0"/>
          <w:sz w:val="20"/>
          <w:rtl/>
        </w:rPr>
        <w:t>لمدة أسبوع إضافي في كل دورة، وذلك اعتباراً من أيار/مايو 2011 وإلى نهاية شهر</w:t>
      </w:r>
      <w:r w:rsidRPr="004E0A37">
        <w:rPr>
          <w:rFonts w:hint="cs"/>
          <w:spacing w:val="0"/>
          <w:sz w:val="20"/>
          <w:rtl/>
        </w:rPr>
        <w:t> </w:t>
      </w:r>
      <w:r w:rsidRPr="004E0A37">
        <w:rPr>
          <w:spacing w:val="0"/>
          <w:sz w:val="20"/>
          <w:rtl/>
        </w:rPr>
        <w:t>تشرين</w:t>
      </w:r>
      <w:r w:rsidRPr="004E0A37">
        <w:rPr>
          <w:rFonts w:hint="cs"/>
          <w:spacing w:val="0"/>
          <w:sz w:val="20"/>
          <w:rtl/>
        </w:rPr>
        <w:t> </w:t>
      </w:r>
      <w:r w:rsidRPr="004E0A37">
        <w:rPr>
          <w:spacing w:val="0"/>
          <w:sz w:val="20"/>
          <w:rtl/>
        </w:rPr>
        <w:t>الثاني/نوفمبر 2012، بناءً على الطلب المُقدَّم من اللجنة إلى الجمعية العامة بتزويدها بالدعم المالي الملائم لهذا الغرض</w:t>
      </w:r>
      <w:r w:rsidR="00727BAF">
        <w:rPr>
          <w:spacing w:val="0"/>
          <w:sz w:val="20"/>
          <w:vertAlign w:val="superscript"/>
          <w:rtl/>
        </w:rPr>
        <w:t>(</w:t>
      </w:r>
      <w:r w:rsidR="00727BAF">
        <w:rPr>
          <w:rStyle w:val="FootnoteReference"/>
          <w:spacing w:val="0"/>
          <w:rtl/>
        </w:rPr>
        <w:footnoteReference w:id="21"/>
      </w:r>
      <w:r w:rsidR="00727BAF">
        <w:rPr>
          <w:spacing w:val="0"/>
          <w:sz w:val="20"/>
          <w:vertAlign w:val="superscript"/>
          <w:rtl/>
        </w:rPr>
        <w:t>)</w:t>
      </w:r>
      <w:r w:rsidRPr="004E0A37">
        <w:rPr>
          <w:rFonts w:hint="cs"/>
          <w:spacing w:val="0"/>
          <w:sz w:val="20"/>
          <w:rtl/>
        </w:rPr>
        <w:t>.</w:t>
      </w:r>
    </w:p>
    <w:p w:rsidR="004E0A37" w:rsidRPr="004E0A37" w:rsidRDefault="004E0A37" w:rsidP="004E0A37">
      <w:pPr>
        <w:pStyle w:val="SingleTxtGA"/>
        <w:jc w:val="lowKashida"/>
        <w:rPr>
          <w:spacing w:val="0"/>
          <w:sz w:val="20"/>
        </w:rPr>
      </w:pPr>
      <w:r w:rsidRPr="004E0A37">
        <w:rPr>
          <w:rFonts w:hint="cs"/>
          <w:spacing w:val="0"/>
          <w:sz w:val="20"/>
          <w:rtl/>
        </w:rPr>
        <w:t>140-</w:t>
      </w:r>
      <w:r w:rsidRPr="004E0A37">
        <w:rPr>
          <w:rFonts w:hint="cs"/>
          <w:spacing w:val="0"/>
          <w:sz w:val="20"/>
          <w:rtl/>
        </w:rPr>
        <w:tab/>
        <w:t>وأشارت</w:t>
      </w:r>
      <w:r w:rsidRPr="004E0A37">
        <w:rPr>
          <w:spacing w:val="0"/>
          <w:sz w:val="20"/>
          <w:rtl/>
        </w:rPr>
        <w:t xml:space="preserve"> اللجنة </w:t>
      </w:r>
      <w:r w:rsidRPr="004E0A37">
        <w:rPr>
          <w:rFonts w:hint="cs"/>
          <w:spacing w:val="0"/>
          <w:sz w:val="20"/>
          <w:rtl/>
        </w:rPr>
        <w:t>إلى أنها طلبت إلى الجمعية العامة</w:t>
      </w:r>
      <w:r w:rsidRPr="004E0A37">
        <w:rPr>
          <w:spacing w:val="0"/>
          <w:sz w:val="20"/>
          <w:rtl/>
        </w:rPr>
        <w:t xml:space="preserve"> </w:t>
      </w:r>
      <w:r w:rsidRPr="004E0A37">
        <w:rPr>
          <w:rFonts w:hint="cs"/>
          <w:spacing w:val="0"/>
          <w:sz w:val="20"/>
          <w:rtl/>
        </w:rPr>
        <w:t xml:space="preserve">أن </w:t>
      </w:r>
      <w:r w:rsidRPr="004E0A37">
        <w:rPr>
          <w:spacing w:val="0"/>
          <w:sz w:val="20"/>
          <w:rtl/>
        </w:rPr>
        <w:t>تز</w:t>
      </w:r>
      <w:r w:rsidRPr="004E0A37">
        <w:rPr>
          <w:rFonts w:hint="cs"/>
          <w:spacing w:val="0"/>
          <w:sz w:val="20"/>
          <w:rtl/>
        </w:rPr>
        <w:t>وّ</w:t>
      </w:r>
      <w:r w:rsidRPr="004E0A37">
        <w:rPr>
          <w:spacing w:val="0"/>
          <w:sz w:val="20"/>
          <w:rtl/>
        </w:rPr>
        <w:t xml:space="preserve">دها بالدعم المالي الملائم </w:t>
      </w:r>
      <w:r w:rsidRPr="004E0A37">
        <w:rPr>
          <w:rFonts w:hint="cs"/>
          <w:spacing w:val="0"/>
          <w:sz w:val="20"/>
          <w:rtl/>
        </w:rPr>
        <w:t>من أجل الا</w:t>
      </w:r>
      <w:r w:rsidRPr="004E0A37">
        <w:rPr>
          <w:spacing w:val="0"/>
          <w:sz w:val="20"/>
          <w:rtl/>
        </w:rPr>
        <w:t>جتماع</w:t>
      </w:r>
      <w:r w:rsidRPr="004E0A37">
        <w:rPr>
          <w:rFonts w:hint="cs"/>
          <w:spacing w:val="0"/>
          <w:sz w:val="20"/>
          <w:rtl/>
        </w:rPr>
        <w:t> </w:t>
      </w:r>
      <w:r w:rsidRPr="004E0A37">
        <w:rPr>
          <w:spacing w:val="0"/>
          <w:sz w:val="20"/>
          <w:rtl/>
        </w:rPr>
        <w:t>لمدة أسبوع إضافي في كل دورة، وذلك اعتباراً من أيار/مايو 201</w:t>
      </w:r>
      <w:r w:rsidRPr="004E0A37">
        <w:rPr>
          <w:rFonts w:hint="cs"/>
          <w:spacing w:val="0"/>
          <w:sz w:val="20"/>
          <w:rtl/>
        </w:rPr>
        <w:t>3</w:t>
      </w:r>
      <w:r w:rsidRPr="004E0A37">
        <w:rPr>
          <w:spacing w:val="0"/>
          <w:sz w:val="20"/>
          <w:rtl/>
        </w:rPr>
        <w:t xml:space="preserve"> وإلى نهاية شهر</w:t>
      </w:r>
      <w:r w:rsidRPr="004E0A37">
        <w:rPr>
          <w:rFonts w:hint="cs"/>
          <w:spacing w:val="0"/>
          <w:sz w:val="20"/>
          <w:rtl/>
        </w:rPr>
        <w:t> </w:t>
      </w:r>
      <w:r w:rsidRPr="004E0A37">
        <w:rPr>
          <w:spacing w:val="0"/>
          <w:sz w:val="20"/>
          <w:rtl/>
        </w:rPr>
        <w:t>تشرين</w:t>
      </w:r>
      <w:r w:rsidRPr="004E0A37">
        <w:rPr>
          <w:rFonts w:hint="cs"/>
          <w:spacing w:val="0"/>
          <w:sz w:val="20"/>
          <w:rtl/>
        </w:rPr>
        <w:t> </w:t>
      </w:r>
      <w:r w:rsidRPr="004E0A37">
        <w:rPr>
          <w:spacing w:val="0"/>
          <w:sz w:val="20"/>
          <w:rtl/>
        </w:rPr>
        <w:t>الثاني/نوفمبر 201</w:t>
      </w:r>
      <w:r w:rsidRPr="004E0A37">
        <w:rPr>
          <w:rFonts w:hint="cs"/>
          <w:spacing w:val="0"/>
          <w:sz w:val="20"/>
          <w:rtl/>
        </w:rPr>
        <w:t>4 (انظر الفرع عين من الفصل الأول). ويورد جدول مواعيد انعقاد الدورات المقبلة للجنة المبينة أعلاه هذا الأسبوع الإضافي.</w:t>
      </w:r>
    </w:p>
    <w:p w:rsidR="004E0A37" w:rsidRPr="00A75940" w:rsidRDefault="004E0A37" w:rsidP="00A75940">
      <w:pPr>
        <w:pStyle w:val="HChGA"/>
        <w:spacing w:before="120"/>
        <w:rPr>
          <w:rFonts w:ascii="Times New Roman Bold" w:hAnsi="Times New Roman Bold" w:hint="cs"/>
          <w:spacing w:val="0"/>
          <w:rtl/>
        </w:rPr>
      </w:pPr>
      <w:r w:rsidRPr="00A75940">
        <w:rPr>
          <w:rFonts w:ascii="Times New Roman Bold" w:hAnsi="Times New Roman Bold"/>
          <w:spacing w:val="0"/>
        </w:rPr>
        <w:br w:type="page"/>
      </w:r>
      <w:r w:rsidRPr="00A75940">
        <w:rPr>
          <w:rFonts w:ascii="Times New Roman Bold" w:hAnsi="Times New Roman Bold" w:hint="cs"/>
          <w:spacing w:val="0"/>
          <w:rtl/>
        </w:rPr>
        <w:tab/>
        <w:t>ثامناً-</w:t>
      </w:r>
      <w:r w:rsidRPr="00A75940">
        <w:rPr>
          <w:rFonts w:ascii="Times New Roman Bold" w:hAnsi="Times New Roman Bold" w:hint="cs"/>
          <w:spacing w:val="0"/>
          <w:rtl/>
        </w:rPr>
        <w:tab/>
        <w:t>اعتماد تقرير اللجنة السنوي عن أنشطتها</w:t>
      </w:r>
    </w:p>
    <w:p w:rsidR="004E0A37" w:rsidRDefault="004E0A37" w:rsidP="004E0A37">
      <w:pPr>
        <w:pStyle w:val="SingleTxtGA"/>
        <w:jc w:val="lowKashida"/>
        <w:rPr>
          <w:rFonts w:hint="cs"/>
          <w:spacing w:val="-2"/>
          <w:sz w:val="20"/>
          <w:rtl/>
        </w:rPr>
      </w:pPr>
      <w:r w:rsidRPr="00A75940">
        <w:rPr>
          <w:rFonts w:hint="cs"/>
          <w:spacing w:val="-2"/>
          <w:sz w:val="20"/>
          <w:rtl/>
        </w:rPr>
        <w:t>141-</w:t>
      </w:r>
      <w:r w:rsidRPr="00A75940">
        <w:rPr>
          <w:rFonts w:hint="cs"/>
          <w:spacing w:val="-2"/>
          <w:sz w:val="20"/>
          <w:rtl/>
        </w:rPr>
        <w:tab/>
        <w:t>وفقاً للمادة ٢٤ من الاتفاقية، تقدم اللجنة تقريراً سنوياً عن أنشطتها إلى الدول الأطراف وإلى الجمعية العامة. ولمّا كانت اللجنة تعقد دورتها العادية الثانية لكل سنة تقويمية في تشرين الثاني/نوفمبر، وهي فترة توافق الدورات العادية للجمعية العامة، فإنها تعتمد تقريرها السنوي في نهاية دورة الربيع، ليتسنّى تقديمه إلى الجمعية العامة في نفس السنة التقويمية. وبناءً على ذلك، نظرت اللجنة في جلستها ١٠92، المعقودة في ١ حزيران/يونيه ٢٠12، في التقرير المتعلق بأنشطتها في الدورتين السابعة والأربعين والثامنة والأربعين واعتمدته بالإجماع.</w:t>
      </w:r>
    </w:p>
    <w:p w:rsidR="00A92E0E" w:rsidRPr="00536231" w:rsidRDefault="00A92E0E" w:rsidP="00A92E0E">
      <w:pPr>
        <w:pStyle w:val="HChGA"/>
        <w:spacing w:before="120"/>
        <w:rPr>
          <w:rtl/>
          <w:lang w:val="fr-CH"/>
        </w:rPr>
      </w:pPr>
      <w:r>
        <w:rPr>
          <w:spacing w:val="-2"/>
          <w:sz w:val="20"/>
          <w:rtl/>
        </w:rPr>
        <w:br w:type="page"/>
      </w:r>
      <w:r w:rsidRPr="00536231">
        <w:rPr>
          <w:rtl/>
          <w:lang w:val="fr-CH"/>
        </w:rPr>
        <w:t>المرفقات</w:t>
      </w:r>
    </w:p>
    <w:p w:rsidR="00A92E0E" w:rsidRPr="00536231" w:rsidRDefault="00A92E0E" w:rsidP="00A92E0E">
      <w:pPr>
        <w:pStyle w:val="HChGA"/>
        <w:rPr>
          <w:rtl/>
          <w:lang w:val="fr-CH"/>
        </w:rPr>
      </w:pPr>
      <w:r w:rsidRPr="00536231">
        <w:rPr>
          <w:rtl/>
          <w:lang w:val="fr-CH"/>
        </w:rPr>
        <w:t>المرفق الأول</w:t>
      </w:r>
    </w:p>
    <w:p w:rsidR="00A92E0E" w:rsidRDefault="00A92E0E" w:rsidP="00A92E0E">
      <w:pPr>
        <w:pStyle w:val="HChGA"/>
        <w:rPr>
          <w:rFonts w:hint="cs"/>
          <w:rtl/>
          <w:lang w:val="fr-CH"/>
        </w:rPr>
      </w:pPr>
      <w:r w:rsidRPr="00536231">
        <w:rPr>
          <w:rtl/>
          <w:lang w:val="fr-CH"/>
        </w:rPr>
        <w:tab/>
      </w:r>
      <w:r w:rsidRPr="00536231">
        <w:rPr>
          <w:rtl/>
          <w:lang w:val="fr-CH"/>
        </w:rPr>
        <w:tab/>
        <w:t>الدول التي وقعت على اتفاقية مناهضة التعذيب وغيره من ضروب المعاملة أو العقوبة القاسية أو اللاإنسانية أو المهينة، أو صدقت عليها أو</w:t>
      </w:r>
      <w:r>
        <w:rPr>
          <w:rFonts w:hint="cs"/>
          <w:rtl/>
          <w:lang w:val="fr-CH"/>
        </w:rPr>
        <w:t> </w:t>
      </w:r>
      <w:r w:rsidRPr="00536231">
        <w:rPr>
          <w:rtl/>
          <w:lang w:val="fr-CH"/>
        </w:rPr>
        <w:t>انضمت إليها حتى 1 حزيران/يونيه 2012</w:t>
      </w:r>
    </w:p>
    <w:tbl>
      <w:tblPr>
        <w:bidiVisual/>
        <w:tblW w:w="8400" w:type="dxa"/>
        <w:tblInd w:w="1238" w:type="dxa"/>
        <w:tblLayout w:type="fixed"/>
        <w:tblCellMar>
          <w:left w:w="0" w:type="dxa"/>
          <w:right w:w="0" w:type="dxa"/>
        </w:tblCellMar>
        <w:tblLook w:val="0000"/>
      </w:tblPr>
      <w:tblGrid>
        <w:gridCol w:w="2685"/>
        <w:gridCol w:w="2815"/>
        <w:gridCol w:w="2900"/>
      </w:tblGrid>
      <w:tr w:rsidR="00A92E0E" w:rsidRPr="00673912" w:rsidTr="00A92E0E">
        <w:trPr>
          <w:cantSplit/>
          <w:tblHeader/>
        </w:trPr>
        <w:tc>
          <w:tcPr>
            <w:tcW w:w="2685" w:type="dxa"/>
            <w:tcBorders>
              <w:top w:val="single" w:sz="4" w:space="0" w:color="auto"/>
              <w:bottom w:val="single" w:sz="12" w:space="0" w:color="auto"/>
            </w:tcBorders>
            <w:vAlign w:val="bottom"/>
          </w:tcPr>
          <w:p w:rsidR="00A92E0E" w:rsidRPr="00673912" w:rsidRDefault="00A92E0E" w:rsidP="00A92E0E">
            <w:pPr>
              <w:spacing w:before="60" w:after="60" w:line="320" w:lineRule="exact"/>
              <w:ind w:left="57" w:right="227"/>
              <w:rPr>
                <w:i/>
                <w:iCs/>
                <w:szCs w:val="28"/>
                <w:rtl/>
              </w:rPr>
            </w:pPr>
            <w:r w:rsidRPr="00673912">
              <w:rPr>
                <w:rFonts w:hint="eastAsia"/>
                <w:i/>
                <w:iCs/>
                <w:szCs w:val="28"/>
                <w:rtl/>
              </w:rPr>
              <w:t>الدولة</w:t>
            </w:r>
          </w:p>
        </w:tc>
        <w:tc>
          <w:tcPr>
            <w:tcW w:w="2815" w:type="dxa"/>
            <w:tcBorders>
              <w:top w:val="single" w:sz="4" w:space="0" w:color="auto"/>
              <w:bottom w:val="single" w:sz="12" w:space="0" w:color="auto"/>
            </w:tcBorders>
            <w:vAlign w:val="bottom"/>
          </w:tcPr>
          <w:p w:rsidR="00A92E0E" w:rsidRPr="00673912" w:rsidRDefault="00A92E0E" w:rsidP="00A92E0E">
            <w:pPr>
              <w:spacing w:before="60" w:after="60" w:line="320" w:lineRule="exact"/>
              <w:ind w:left="57" w:right="227"/>
              <w:rPr>
                <w:i/>
                <w:iCs/>
                <w:szCs w:val="28"/>
                <w:rtl/>
              </w:rPr>
            </w:pPr>
            <w:r w:rsidRPr="00673912">
              <w:rPr>
                <w:rFonts w:hint="eastAsia"/>
                <w:i/>
                <w:iCs/>
                <w:szCs w:val="28"/>
                <w:rtl/>
              </w:rPr>
              <w:t>تاريخ</w:t>
            </w:r>
            <w:r w:rsidRPr="00673912">
              <w:rPr>
                <w:i/>
                <w:iCs/>
                <w:szCs w:val="28"/>
                <w:rtl/>
              </w:rPr>
              <w:t xml:space="preserve"> </w:t>
            </w:r>
            <w:r w:rsidRPr="00673912">
              <w:rPr>
                <w:rFonts w:hint="eastAsia"/>
                <w:i/>
                <w:iCs/>
                <w:szCs w:val="28"/>
                <w:rtl/>
              </w:rPr>
              <w:t>التوقيع</w:t>
            </w:r>
          </w:p>
        </w:tc>
        <w:tc>
          <w:tcPr>
            <w:tcW w:w="2900" w:type="dxa"/>
            <w:tcBorders>
              <w:top w:val="single" w:sz="4" w:space="0" w:color="auto"/>
              <w:bottom w:val="single" w:sz="12" w:space="0" w:color="auto"/>
            </w:tcBorders>
            <w:vAlign w:val="bottom"/>
          </w:tcPr>
          <w:p w:rsidR="00A92E0E" w:rsidRPr="00673912" w:rsidRDefault="00A92E0E" w:rsidP="00A92E0E">
            <w:pPr>
              <w:spacing w:before="60" w:after="60" w:line="320" w:lineRule="exact"/>
              <w:ind w:left="57" w:right="57"/>
              <w:rPr>
                <w:rFonts w:hint="cs"/>
                <w:i/>
                <w:iCs/>
                <w:szCs w:val="28"/>
                <w:vertAlign w:val="superscript"/>
                <w:rtl/>
              </w:rPr>
            </w:pPr>
            <w:r w:rsidRPr="00673912">
              <w:rPr>
                <w:rFonts w:hint="eastAsia"/>
                <w:i/>
                <w:iCs/>
                <w:szCs w:val="28"/>
                <w:rtl/>
              </w:rPr>
              <w:t>تاريخ</w:t>
            </w:r>
            <w:r w:rsidRPr="00673912">
              <w:rPr>
                <w:i/>
                <w:iCs/>
                <w:szCs w:val="28"/>
                <w:rtl/>
              </w:rPr>
              <w:t xml:space="preserve"> التصديق أو الانضمام</w:t>
            </w:r>
            <w:r w:rsidRPr="00673912">
              <w:rPr>
                <w:rFonts w:hint="cs"/>
                <w:szCs w:val="28"/>
                <w:vertAlign w:val="superscript"/>
                <w:rtl/>
              </w:rPr>
              <w:t>(أ)</w:t>
            </w:r>
            <w:r>
              <w:rPr>
                <w:rFonts w:hint="cs"/>
                <w:i/>
                <w:iCs/>
                <w:szCs w:val="28"/>
                <w:rtl/>
              </w:rPr>
              <w:t xml:space="preserve"> </w:t>
            </w:r>
            <w:r w:rsidRPr="00673912">
              <w:rPr>
                <w:rFonts w:hint="eastAsia"/>
                <w:i/>
                <w:iCs/>
                <w:szCs w:val="28"/>
                <w:rtl/>
              </w:rPr>
              <w:t>أو</w:t>
            </w:r>
            <w:r>
              <w:rPr>
                <w:rFonts w:hint="cs"/>
                <w:i/>
                <w:iCs/>
                <w:szCs w:val="28"/>
                <w:rtl/>
              </w:rPr>
              <w:t> </w:t>
            </w:r>
            <w:r w:rsidRPr="00673912">
              <w:rPr>
                <w:i/>
                <w:iCs/>
                <w:szCs w:val="28"/>
                <w:rtl/>
              </w:rPr>
              <w:t>الخلافة</w:t>
            </w:r>
            <w:r w:rsidRPr="00673912">
              <w:rPr>
                <w:rFonts w:hint="cs"/>
                <w:szCs w:val="28"/>
                <w:vertAlign w:val="superscript"/>
                <w:rtl/>
              </w:rPr>
              <w:t>(ب)</w:t>
            </w:r>
          </w:p>
        </w:tc>
      </w:tr>
      <w:tr w:rsidR="00A92E0E" w:rsidRPr="00673912" w:rsidTr="00A92E0E">
        <w:trPr>
          <w:cantSplit/>
        </w:trPr>
        <w:tc>
          <w:tcPr>
            <w:tcW w:w="2685" w:type="dxa"/>
            <w:tcBorders>
              <w:top w:val="single" w:sz="12" w:space="0" w:color="auto"/>
            </w:tcBorders>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الاتحاد</w:t>
            </w:r>
            <w:r w:rsidRPr="00673912">
              <w:rPr>
                <w:szCs w:val="28"/>
                <w:rtl/>
              </w:rPr>
              <w:t xml:space="preserve"> الروسي</w:t>
            </w:r>
          </w:p>
        </w:tc>
        <w:tc>
          <w:tcPr>
            <w:tcW w:w="2815" w:type="dxa"/>
            <w:tcBorders>
              <w:top w:val="single" w:sz="12" w:space="0" w:color="auto"/>
            </w:tcBorders>
          </w:tcPr>
          <w:p w:rsidR="00A92E0E" w:rsidRPr="00673912" w:rsidRDefault="00A92E0E" w:rsidP="00A92E0E">
            <w:pPr>
              <w:spacing w:before="60" w:after="60" w:line="320" w:lineRule="exact"/>
              <w:ind w:left="57" w:right="227"/>
              <w:rPr>
                <w:szCs w:val="28"/>
                <w:rtl/>
              </w:rPr>
            </w:pPr>
            <w:r w:rsidRPr="00673912">
              <w:rPr>
                <w:szCs w:val="28"/>
                <w:rtl/>
              </w:rPr>
              <w:t>10 كانون الأول/ديسمبر 1985</w:t>
            </w:r>
          </w:p>
        </w:tc>
        <w:tc>
          <w:tcPr>
            <w:tcW w:w="2900" w:type="dxa"/>
            <w:tcBorders>
              <w:top w:val="single" w:sz="12" w:space="0" w:color="auto"/>
            </w:tcBorders>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3 آذار/مارس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eastAsia"/>
                <w:szCs w:val="28"/>
                <w:rtl/>
              </w:rPr>
              <w:t>إثيوبيا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14 آذار/مارس 1994</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أذربيجان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16 آب/أغسطس 1996</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الأرجنتين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24 أيلول/سبتمبر 1986</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الأردن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13 تشرين الثاني/نوفمبر 1991</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أرمينيا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13 أيلول/سبتمبر 1993</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إسبانيا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21 تشرين الأول/أكتوبر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أستراليا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10 كانون الأول/ديسمبر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8 آب/أغسطس 1989</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إستونيا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21 تشرين الأول/أكتوبر 1991</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إسرائيل</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22 تشرين الأول/أكتوبر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3 تشرين الأول/أكتوبر 1991</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أفغانستان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 نيسان/أبريل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إكوادور</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30 آذار/مارس 1988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ألبانيا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11 أيار/مايو 19</w:t>
            </w:r>
            <w:r w:rsidRPr="00673912">
              <w:rPr>
                <w:rFonts w:hint="cs"/>
                <w:szCs w:val="28"/>
                <w:rtl/>
              </w:rPr>
              <w:t>9</w:t>
            </w:r>
            <w:r w:rsidRPr="00673912">
              <w:rPr>
                <w:szCs w:val="28"/>
                <w:rtl/>
              </w:rPr>
              <w:t>4</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ألمانيا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13 تشرين الأول/أكتوبر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 تشرين الأول/أكتوبر 1990</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أنتيغوا</w:t>
            </w:r>
            <w:r w:rsidRPr="00673912">
              <w:rPr>
                <w:szCs w:val="28"/>
                <w:rtl/>
              </w:rPr>
              <w:t xml:space="preserve"> وبربودا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19 تموز/يوليه 1993</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أندورا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5 آب/أغسطس 2002</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vertAlign w:val="superscript"/>
              </w:rPr>
            </w:pPr>
            <w:r w:rsidRPr="00673912">
              <w:rPr>
                <w:rFonts w:hint="cs"/>
                <w:szCs w:val="28"/>
                <w:rtl/>
              </w:rPr>
              <w:t>22 أيلول/سبتمبر 2006</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إندونيسيا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23 تشرين الأول/أكتوبر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28 تشرين الأول/أكتوبر 1998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أوروغواي</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24 تشرين الأول/أكتوبر 1986</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أوزبكستان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28 أيلول/سبتمبر 1995</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أوغندا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szCs w:val="28"/>
                <w:rtl/>
              </w:rPr>
              <w:t>3 تشرين الثاني/نوفمبر 1986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أوكرانيا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27 شباط/فبراير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24 شباط/فبراير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آيرلندا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28 أيلول/سبتمبر 1992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11 نيسان/أبريل 2002</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آيسلندا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Pr>
            </w:pPr>
            <w:r w:rsidRPr="00673912">
              <w:rPr>
                <w:rFonts w:hint="cs"/>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23 تشرين الأول/أكتوبر 1996</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إيطاليا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12 كانون الثاني/يناير 1989</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باراغواي</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w:t>
            </w:r>
            <w:r w:rsidRPr="00673912">
              <w:rPr>
                <w:rFonts w:hint="cs"/>
                <w:szCs w:val="28"/>
                <w:rtl/>
              </w:rPr>
              <w:t>3</w:t>
            </w:r>
            <w:r w:rsidRPr="00673912">
              <w:rPr>
                <w:szCs w:val="28"/>
                <w:rtl/>
              </w:rPr>
              <w:t xml:space="preserve"> تشرين الأول/أكتوبر 1989</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12 آذار/مارس 1990</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باكستان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Pr>
            </w:pPr>
            <w:r w:rsidRPr="00673912">
              <w:rPr>
                <w:rFonts w:hint="cs"/>
                <w:szCs w:val="28"/>
                <w:rtl/>
              </w:rPr>
              <w:t>17 نيسان/أبريل 2008</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23 حزيران/يونيه 2010</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بالاو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Pr>
            </w:pPr>
            <w:r w:rsidRPr="00673912">
              <w:rPr>
                <w:rFonts w:hint="cs"/>
                <w:szCs w:val="28"/>
                <w:rtl/>
              </w:rPr>
              <w:t>20 أيلول/سبتمبر 2011</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b/>
                <w:bCs/>
                <w:szCs w:val="28"/>
                <w:u w:val="single"/>
                <w:rtl/>
              </w:rPr>
            </w:pPr>
            <w:r w:rsidRPr="00673912">
              <w:rPr>
                <w:rFonts w:hint="eastAsia"/>
                <w:szCs w:val="28"/>
                <w:rtl/>
              </w:rPr>
              <w:t>البحرين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6 آذار/مارس 1998</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b/>
                <w:bCs/>
                <w:szCs w:val="28"/>
                <w:u w:val="single"/>
                <w:rtl/>
              </w:rPr>
            </w:pPr>
            <w:r w:rsidRPr="00673912">
              <w:rPr>
                <w:rFonts w:hint="eastAsia"/>
                <w:szCs w:val="28"/>
                <w:rtl/>
              </w:rPr>
              <w:t>البرازيل</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23 أيلول/سبتمبر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28 أيلول/ سبتمبر 1989</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البرتغال</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9 شباط/فبراير</w:t>
            </w:r>
            <w:r w:rsidRPr="00673912">
              <w:rPr>
                <w:rFonts w:hint="cs"/>
                <w:szCs w:val="28"/>
                <w:rtl/>
              </w:rPr>
              <w:t xml:space="preserve"> </w:t>
            </w:r>
            <w:r w:rsidRPr="00673912">
              <w:rPr>
                <w:szCs w:val="28"/>
                <w:rtl/>
              </w:rPr>
              <w:t xml:space="preserve">1989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بلجيكا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25 حزيران/يونيه 1999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بلغاريا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 xml:space="preserve">10 حزيران/يونيه 1986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16 كانون الأول/ديسمبر 1986</w:t>
            </w:r>
          </w:p>
        </w:tc>
      </w:tr>
      <w:tr w:rsidR="00A92E0E" w:rsidRPr="00673912" w:rsidTr="00A92E0E">
        <w:trPr>
          <w:cantSplit/>
        </w:trPr>
        <w:tc>
          <w:tcPr>
            <w:tcW w:w="2685" w:type="dxa"/>
            <w:vAlign w:val="center"/>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بليز</w:t>
            </w:r>
            <w:r w:rsidRPr="00673912">
              <w:rPr>
                <w:szCs w:val="28"/>
                <w:rtl/>
              </w:rPr>
              <w:t xml:space="preserve"> </w:t>
            </w:r>
          </w:p>
        </w:tc>
        <w:tc>
          <w:tcPr>
            <w:tcW w:w="2815" w:type="dxa"/>
            <w:vAlign w:val="center"/>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center"/>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17 آذار/مارس 1986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eastAsia"/>
                <w:szCs w:val="28"/>
                <w:rtl/>
              </w:rPr>
              <w:t>بنغلاديش</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5 تشرين الأول/أكتوبر 1998</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بنما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22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24 آب/أغسطس 1987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بنن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12 آذار/مارس 1992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بوتسوانا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8 أيلول/سبتمبر 2000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8 أيلول/سبتمبر 2000</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بوركينا</w:t>
            </w:r>
            <w:r w:rsidRPr="00673912">
              <w:rPr>
                <w:szCs w:val="28"/>
                <w:rtl/>
              </w:rPr>
              <w:t xml:space="preserve"> فاسو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4 كانون الثاني/يناير</w:t>
            </w:r>
            <w:r w:rsidRPr="00673912">
              <w:rPr>
                <w:szCs w:val="28"/>
                <w:vertAlign w:val="superscript"/>
                <w:rtl/>
              </w:rPr>
              <w:t xml:space="preserve"> </w:t>
            </w:r>
            <w:r w:rsidRPr="00673912">
              <w:rPr>
                <w:szCs w:val="28"/>
                <w:rtl/>
              </w:rPr>
              <w:t>1999</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بوروندي</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18 شباط/فبراير 1993</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البوسنة</w:t>
            </w:r>
            <w:r w:rsidRPr="00673912">
              <w:rPr>
                <w:szCs w:val="28"/>
                <w:rtl/>
              </w:rPr>
              <w:t xml:space="preserve"> والهرسك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 أيلول/سبتمبر 1993</w:t>
            </w:r>
            <w:r w:rsidRPr="00673912">
              <w:rPr>
                <w:szCs w:val="28"/>
                <w:vertAlign w:val="superscript"/>
                <w:rtl/>
              </w:rPr>
              <w:t>(ب)</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بولندا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13 كانون الثاني/يناير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26 تموز/يوليه 1989</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pacing w:val="-4"/>
                <w:szCs w:val="28"/>
                <w:rtl/>
              </w:rPr>
            </w:pPr>
            <w:r w:rsidRPr="00673912">
              <w:rPr>
                <w:rFonts w:hint="eastAsia"/>
                <w:spacing w:val="-4"/>
                <w:szCs w:val="28"/>
                <w:rtl/>
              </w:rPr>
              <w:t>بوليفيا</w:t>
            </w:r>
            <w:r w:rsidRPr="00673912">
              <w:rPr>
                <w:spacing w:val="-4"/>
                <w:szCs w:val="28"/>
                <w:rtl/>
              </w:rPr>
              <w:t xml:space="preserve"> </w:t>
            </w:r>
            <w:r w:rsidRPr="00673912">
              <w:rPr>
                <w:rFonts w:hint="cs"/>
                <w:spacing w:val="-4"/>
                <w:szCs w:val="28"/>
                <w:rtl/>
              </w:rPr>
              <w:t>(دولة - المتعددة القوميات)</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12 نيسان/أبريل 1999</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بيرو</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29 أيار/مايو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7 تموز/يو</w:t>
            </w:r>
            <w:r w:rsidRPr="00673912">
              <w:rPr>
                <w:rFonts w:hint="cs"/>
                <w:szCs w:val="28"/>
                <w:rtl/>
              </w:rPr>
              <w:t>ل</w:t>
            </w:r>
            <w:r w:rsidRPr="00673912">
              <w:rPr>
                <w:szCs w:val="28"/>
                <w:rtl/>
              </w:rPr>
              <w:t>يه 1988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بيلاروس</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Pr>
            </w:pPr>
            <w:r w:rsidRPr="00673912">
              <w:rPr>
                <w:szCs w:val="28"/>
                <w:rtl/>
              </w:rPr>
              <w:t>19 كانون الأول/ديسمبر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13 آذار/مارس 1987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تايلند</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2 تشرين الأول/أكتوبر 2007</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تركمانستان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25 حزيران/يونيه 1999</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تركيا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25 كانون الثاني/يناير 1988</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 آب/أغسطس 1988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تشاد</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9 حزيران/يونيه 1995</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توغو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25 آذار/مارس 1987</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18تشرين الثاني/نوفمبر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تونس</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26 آب/أغسطس 1987</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23 أيلول/سبتمبر 1988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تيمور</w:t>
            </w:r>
            <w:r w:rsidRPr="00673912">
              <w:rPr>
                <w:szCs w:val="28"/>
                <w:rtl/>
              </w:rPr>
              <w:t xml:space="preserve"> - ليشتي</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16 نيسان/أبريل 2003</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cs"/>
                <w:szCs w:val="28"/>
                <w:rtl/>
              </w:rPr>
              <w:t>الجبل الأسود</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rFonts w:hint="cs"/>
                <w:szCs w:val="28"/>
                <w:rtl/>
              </w:rPr>
              <w:t>23 تشرين الأول/أكتوبر 2006</w:t>
            </w:r>
            <w:r w:rsidRPr="00673912">
              <w:rPr>
                <w:rFonts w:hint="cs"/>
                <w:szCs w:val="28"/>
                <w:vertAlign w:val="superscript"/>
                <w:rtl/>
              </w:rPr>
              <w:t>(ب)</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الجزائر</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26 تشرين الثاني/نوفمبر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12 أيلول/سبتمبر 1989</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جزر البهاما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26 كانون الأول/ديسمبر 2008</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جزر</w:t>
            </w:r>
            <w:r w:rsidRPr="00673912">
              <w:rPr>
                <w:szCs w:val="28"/>
                <w:rtl/>
              </w:rPr>
              <w:t xml:space="preserve"> القمر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22 أيلول/سبتمبر 2000</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الجمهورية</w:t>
            </w:r>
            <w:r w:rsidRPr="00673912">
              <w:rPr>
                <w:szCs w:val="28"/>
                <w:rtl/>
              </w:rPr>
              <w:t xml:space="preserve"> التشيكية</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szCs w:val="28"/>
                <w:rtl/>
              </w:rPr>
              <w:t>22 شباط/فبراير 1993</w:t>
            </w:r>
            <w:r w:rsidRPr="00673912">
              <w:rPr>
                <w:szCs w:val="28"/>
                <w:vertAlign w:val="superscript"/>
                <w:rtl/>
              </w:rPr>
              <w:t>(ب)</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الجمهورية</w:t>
            </w:r>
            <w:r w:rsidRPr="00673912">
              <w:rPr>
                <w:szCs w:val="28"/>
                <w:rtl/>
              </w:rPr>
              <w:t xml:space="preserve"> الدومينيكية</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 /فبراير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Pr>
            </w:pPr>
            <w:r w:rsidRPr="00673912">
              <w:rPr>
                <w:rFonts w:hint="cs"/>
                <w:szCs w:val="28"/>
                <w:rtl/>
              </w:rPr>
              <w:t>24 كانون الثاني/يناير 2012</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الجمهورية</w:t>
            </w:r>
            <w:r w:rsidRPr="00673912">
              <w:rPr>
                <w:szCs w:val="28"/>
                <w:rtl/>
              </w:rPr>
              <w:t xml:space="preserve"> العربية ال</w:t>
            </w:r>
            <w:r w:rsidRPr="00673912">
              <w:rPr>
                <w:rFonts w:hint="eastAsia"/>
                <w:szCs w:val="28"/>
                <w:rtl/>
              </w:rPr>
              <w:t>سورية</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19 آب/أغسطس 2004</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جمهورية</w:t>
            </w:r>
            <w:r w:rsidRPr="00673912">
              <w:rPr>
                <w:szCs w:val="28"/>
                <w:rtl/>
              </w:rPr>
              <w:t xml:space="preserve"> كوريا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9 كانون الثاني/يناير 1995</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جمهورية</w:t>
            </w:r>
            <w:r w:rsidRPr="00673912">
              <w:rPr>
                <w:szCs w:val="28"/>
                <w:rtl/>
              </w:rPr>
              <w:t xml:space="preserve"> الكونغو الديمقراطية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18 آذار/مارس 1996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جمهورية لاو الديمقراطية الشعبية</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Pr>
            </w:pPr>
            <w:r w:rsidRPr="00673912">
              <w:rPr>
                <w:rFonts w:hint="cs"/>
                <w:szCs w:val="28"/>
                <w:rtl/>
              </w:rPr>
              <w:t>21 أيلول/سبتمبر 2010</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جمهورية</w:t>
            </w:r>
            <w:r w:rsidRPr="00673912">
              <w:rPr>
                <w:szCs w:val="28"/>
                <w:rtl/>
              </w:rPr>
              <w:t xml:space="preserve"> </w:t>
            </w:r>
            <w:r w:rsidRPr="00673912">
              <w:rPr>
                <w:rFonts w:hint="eastAsia"/>
                <w:szCs w:val="28"/>
                <w:rtl/>
              </w:rPr>
              <w:t>مقدونيا</w:t>
            </w:r>
            <w:r w:rsidRPr="00673912">
              <w:rPr>
                <w:szCs w:val="28"/>
                <w:rtl/>
              </w:rPr>
              <w:t xml:space="preserve"> اليوغوسلافية السابقة</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12 كانون الأول/ديسمبر 1994</w:t>
            </w:r>
            <w:r w:rsidRPr="00673912">
              <w:rPr>
                <w:szCs w:val="28"/>
                <w:vertAlign w:val="superscript"/>
                <w:rtl/>
              </w:rPr>
              <w:t>(ب)</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جمهورية</w:t>
            </w:r>
            <w:r w:rsidRPr="00673912">
              <w:rPr>
                <w:szCs w:val="28"/>
                <w:rtl/>
              </w:rPr>
              <w:t xml:space="preserve"> مولدوفا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28 تشرين الثاني/نوفمبر 1995</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جنوب</w:t>
            </w:r>
            <w:r w:rsidRPr="00673912">
              <w:rPr>
                <w:szCs w:val="28"/>
                <w:rtl/>
              </w:rPr>
              <w:t xml:space="preserve"> أفريقيا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29كانون الثاني/يناير 1993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10 كانون الأول/ديسمبر 1998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جورجيا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26 تشرين الأول/أكتوبر 1994</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جيبوتي</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5 تشرين الثاني/نوفمبر 2002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الدانمرك</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 /فبراير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27 أيار/مايو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الرأس</w:t>
            </w:r>
            <w:r w:rsidRPr="00673912">
              <w:rPr>
                <w:szCs w:val="28"/>
                <w:rtl/>
              </w:rPr>
              <w:t xml:space="preserve"> الأخضر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4 حزيران/يونيه 1992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رواندا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15 كانون الأول/ديسمبر 2008</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رومانيا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18 كانون الأول/ديسمبر 1990</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زامبيا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Pr>
            </w:pPr>
            <w:r w:rsidRPr="00673912">
              <w:rPr>
                <w:szCs w:val="28"/>
                <w:rtl/>
              </w:rPr>
              <w:t>7 تشرين الأول/</w:t>
            </w:r>
            <w:r w:rsidRPr="00673912">
              <w:rPr>
                <w:rFonts w:hint="cs"/>
                <w:szCs w:val="28"/>
                <w:rtl/>
              </w:rPr>
              <w:t>أكتوبر</w:t>
            </w:r>
            <w:r w:rsidRPr="00673912">
              <w:rPr>
                <w:szCs w:val="28"/>
                <w:rtl/>
              </w:rPr>
              <w:t xml:space="preserve"> 1998</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سان</w:t>
            </w:r>
            <w:r w:rsidRPr="00673912">
              <w:rPr>
                <w:szCs w:val="28"/>
                <w:rtl/>
              </w:rPr>
              <w:t xml:space="preserve"> تومي وبرينسيبي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6 أيلول /سبتمبر 2000</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سانت</w:t>
            </w:r>
            <w:r w:rsidRPr="00673912">
              <w:rPr>
                <w:szCs w:val="28"/>
                <w:rtl/>
              </w:rPr>
              <w:t xml:space="preserve"> فنسنت وجزر غرينادين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 آب/أغسطس 2001</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سان</w:t>
            </w:r>
            <w:r w:rsidRPr="00673912">
              <w:rPr>
                <w:szCs w:val="28"/>
                <w:rtl/>
              </w:rPr>
              <w:t xml:space="preserve"> مارينو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18 أيلول/سبتمبر 2002</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27 تشرين الثاني/نوفمبر 2006</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سري</w:t>
            </w:r>
            <w:r w:rsidRPr="00673912">
              <w:rPr>
                <w:szCs w:val="28"/>
                <w:rtl/>
              </w:rPr>
              <w:t xml:space="preserve"> لانكا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3 كانون الثاني/يناير 1994</w:t>
            </w:r>
            <w:r w:rsidRPr="00673912">
              <w:rPr>
                <w:szCs w:val="28"/>
                <w:vertAlign w:val="superscript"/>
                <w:rtl/>
              </w:rPr>
              <w:t>(أ)</w:t>
            </w:r>
            <w:r w:rsidRPr="00673912">
              <w:rPr>
                <w:szCs w:val="28"/>
                <w:rtl/>
              </w:rPr>
              <w:t xml:space="preserve">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السلفادور</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17 حزيران/يونيه 1996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سلوفاكيا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w:t>
            </w:r>
            <w:r w:rsidRPr="00673912">
              <w:rPr>
                <w:rFonts w:hint="cs"/>
                <w:szCs w:val="28"/>
                <w:rtl/>
              </w:rPr>
              <w:t>8</w:t>
            </w:r>
            <w:r w:rsidRPr="00673912">
              <w:rPr>
                <w:szCs w:val="28"/>
                <w:rtl/>
              </w:rPr>
              <w:t xml:space="preserve"> أيار/مايو 1993</w:t>
            </w:r>
            <w:r w:rsidRPr="00673912">
              <w:rPr>
                <w:szCs w:val="28"/>
                <w:vertAlign w:val="superscript"/>
                <w:rtl/>
              </w:rPr>
              <w:t>(ب)</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سلوفينيا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16 تموز/يوليه 1993</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eastAsia"/>
                <w:szCs w:val="28"/>
                <w:rtl/>
              </w:rPr>
              <w:t>السنغال</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szCs w:val="28"/>
                <w:rtl/>
              </w:rPr>
              <w:t xml:space="preserve">21 آب/أغسطس 1986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سوازيلند</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rFonts w:hint="cs"/>
                <w:szCs w:val="28"/>
                <w:rtl/>
              </w:rPr>
              <w:t>26 آذار/مارس 2004</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السودان</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حزيران/يونيه 1986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السويد</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8 كانون الثاني/يناير 1986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سويسرا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شباط /فبراير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 كانون الأول/ديسمبر 1986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سيراليون</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18 آذار/مارس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 xml:space="preserve">25 نيسان/أبريل 2001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سيشيل</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5 أيار/مايو 1992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شيلي</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23 أيلول/سبتمبر 1987</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30 أيلول/سبتمبر 1988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صربيا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12 آذار/مارس 2001</w:t>
            </w:r>
            <w:r w:rsidRPr="00673912">
              <w:rPr>
                <w:szCs w:val="28"/>
                <w:vertAlign w:val="superscript"/>
                <w:rtl/>
              </w:rPr>
              <w:t>(ب)</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الصومال</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24 كانون الثاني/يناير 1990</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الصين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pacing w:val="-2"/>
                <w:szCs w:val="28"/>
              </w:rPr>
            </w:pPr>
            <w:r w:rsidRPr="00673912">
              <w:rPr>
                <w:spacing w:val="-2"/>
                <w:szCs w:val="28"/>
                <w:rtl/>
              </w:rPr>
              <w:t>12 كانون الأول/ديسمبر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4 تشرين الأول/أكتوبر 1988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طاجيكستان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11 كانون الثاني/يناير 1995</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العراق</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7 تموز/</w:t>
            </w:r>
            <w:r>
              <w:rPr>
                <w:rFonts w:hint="cs"/>
                <w:szCs w:val="28"/>
                <w:rtl/>
              </w:rPr>
              <w:t>يوليه</w:t>
            </w:r>
            <w:r w:rsidRPr="00673912">
              <w:rPr>
                <w:rFonts w:hint="cs"/>
                <w:szCs w:val="28"/>
                <w:rtl/>
              </w:rPr>
              <w:t xml:space="preserve"> 2011</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غابون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21 كانون الثاني/يناير 1986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8 أيلول/سبتمبر 2000</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غامبيا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23 تشرين الأول/أكتوبر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غانا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7 أيلول/سبتمبر 2000</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vertAlign w:val="superscript"/>
                <w:rtl/>
              </w:rPr>
            </w:pPr>
            <w:r w:rsidRPr="00673912">
              <w:rPr>
                <w:szCs w:val="28"/>
                <w:rtl/>
              </w:rPr>
              <w:t>7 أيلول/سبتمبر 2000</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غواتيمالا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5 كانون الثاني/يناير 1990</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غيانا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25 كانون الثاني/يناير 1988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19 أيار/مايو 1988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غينيا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30 أيار/مايو 1986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10 تشرين الأول/أكتوبر 1989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غينيا</w:t>
            </w:r>
            <w:r w:rsidRPr="00673912">
              <w:rPr>
                <w:szCs w:val="28"/>
                <w:rtl/>
              </w:rPr>
              <w:t xml:space="preserve"> الاستوائية</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8 تشرين الأول/أكتوبر 2002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غينيا</w:t>
            </w:r>
            <w:r w:rsidRPr="00673912">
              <w:rPr>
                <w:szCs w:val="28"/>
                <w:rtl/>
              </w:rPr>
              <w:t xml:space="preserve"> - بيساو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12 أيلول/سبتمبر 2000</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فانواتو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12 تموز/</w:t>
            </w:r>
            <w:r>
              <w:rPr>
                <w:rFonts w:hint="cs"/>
                <w:szCs w:val="28"/>
                <w:rtl/>
              </w:rPr>
              <w:t>يوليه</w:t>
            </w:r>
            <w:r w:rsidRPr="00673912">
              <w:rPr>
                <w:rFonts w:hint="cs"/>
                <w:szCs w:val="28"/>
                <w:rtl/>
              </w:rPr>
              <w:t xml:space="preserve"> 2011</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فرنسا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 xml:space="preserve">18 شباط/فبراير 1986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الفلبين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18 حزيران/يونيه 1986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فنزويلا</w:t>
            </w:r>
            <w:r w:rsidRPr="00673912">
              <w:rPr>
                <w:szCs w:val="28"/>
                <w:rtl/>
              </w:rPr>
              <w:t xml:space="preserve"> (جمهورية - </w:t>
            </w:r>
            <w:r w:rsidRPr="00673912">
              <w:rPr>
                <w:rFonts w:hint="eastAsia"/>
                <w:szCs w:val="28"/>
                <w:rtl/>
              </w:rPr>
              <w:t>البوليفارية</w:t>
            </w:r>
            <w:r w:rsidRPr="00673912">
              <w:rPr>
                <w:szCs w:val="28"/>
                <w:rtl/>
              </w:rPr>
              <w:t>)</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15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29 تموز/يوليه 1991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فنلندا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30 آب/أغسطس 1989</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قبرص</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 xml:space="preserve">9 تشرين الأول/أكتوبر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18 تموز/يوليه 1991</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قطر</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11 كانون الثاني/يناير 2000</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قيرغيزستان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5 أيلول/سبتمبر 1997</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كازاخستان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Pr>
            </w:pPr>
            <w:r w:rsidRPr="00673912">
              <w:rPr>
                <w:szCs w:val="28"/>
                <w:rtl/>
              </w:rPr>
              <w:t>26 آب/أغسطس 1998</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الكاميرون</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19كانون الأول/ديسمبر 1986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الكرسي</w:t>
            </w:r>
            <w:r w:rsidRPr="00673912">
              <w:rPr>
                <w:szCs w:val="28"/>
                <w:rtl/>
              </w:rPr>
              <w:t xml:space="preserve"> الرسولي</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26 حزيران/يونيه 2002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كرواتيا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12 تشرين الأول/أكتوبر 1992</w:t>
            </w:r>
            <w:r w:rsidRPr="00673912">
              <w:rPr>
                <w:szCs w:val="28"/>
                <w:vertAlign w:val="superscript"/>
                <w:rtl/>
              </w:rPr>
              <w:t>(ب)</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cs"/>
                <w:szCs w:val="28"/>
                <w:rtl/>
              </w:rPr>
              <w:t>ك</w:t>
            </w:r>
            <w:r w:rsidRPr="00673912">
              <w:rPr>
                <w:rFonts w:hint="eastAsia"/>
                <w:szCs w:val="28"/>
                <w:rtl/>
              </w:rPr>
              <w:t>مبوديا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15 تشرين الأول/أكتوبر 1992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كندا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23 آب/أغسطس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24 حزيران/يونيه 1987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كوبا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27 كانون الثاني/يناير 1986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17 أيار/مايو 1995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كوت</w:t>
            </w:r>
            <w:r w:rsidRPr="00673912">
              <w:rPr>
                <w:szCs w:val="28"/>
                <w:rtl/>
              </w:rPr>
              <w:t xml:space="preserve"> ديفوار</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18 كانون الأول/ديسمبر 1995</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كوستاريكا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 xml:space="preserve">11 تشرين الثاني/نوفمبر 1993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كولومبيا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10 نيسان/أبريل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8 كانون الأول/ديسمبر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الكونغو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30 تموز/يوليه 2003</w:t>
            </w:r>
            <w:r w:rsidRPr="00673912">
              <w:rPr>
                <w:rFonts w:hint="cs"/>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الكويت</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8 آذار/مارس 1996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كينيا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21 شباط/فبراير 1997</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لاتفيا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14 نيسان/أبريل 1992</w:t>
            </w:r>
            <w:r w:rsidRPr="00673912">
              <w:rPr>
                <w:szCs w:val="28"/>
                <w:vertAlign w:val="superscript"/>
                <w:rtl/>
              </w:rPr>
              <w:t>(أ)</w:t>
            </w:r>
            <w:r w:rsidRPr="00673912">
              <w:rPr>
                <w:szCs w:val="28"/>
                <w:rtl/>
              </w:rPr>
              <w:t xml:space="preserve">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لبنان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5 تشرين الأول/أكتوبر 2000</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لكسمبرغ</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22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29 أيلول/سبتمبر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ليبيا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16 أيار/مايو 1989</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ليبيريا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22 أيلول/سبتمبر 2004</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ليتوانيا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 شباط/فبراير 1996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ليختنشتاين</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27 حزيران/يونيه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 xml:space="preserve">2 تشرين الثاني/نوفمبر 1990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ليسوتو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12 تشرين الثاني/نوفمبر 2001</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مالطة</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13 أيلول/سبتمبر 1990</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مالي</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vertAlign w:val="superscript"/>
                <w:rtl/>
              </w:rPr>
            </w:pPr>
            <w:r w:rsidRPr="00673912">
              <w:rPr>
                <w:szCs w:val="28"/>
                <w:rtl/>
              </w:rPr>
              <w:t>26 شباط/فبراير 1999</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مدغشقر</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 تشرين الأول/أكتوبر 2001</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vertAlign w:val="superscript"/>
              </w:rPr>
            </w:pPr>
            <w:r w:rsidRPr="00673912">
              <w:rPr>
                <w:rFonts w:hint="cs"/>
                <w:szCs w:val="28"/>
                <w:rtl/>
              </w:rPr>
              <w:t>13 كانون الأول/ديسمبر 2005</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مصر</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25 حزيران/يونيه 1986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المغرب</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8 كانون الثاني/يناير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21 حزيران/يونيه 1993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المكسيك</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Pr>
            </w:pPr>
            <w:r w:rsidRPr="00673912">
              <w:rPr>
                <w:rFonts w:hint="cs"/>
                <w:szCs w:val="28"/>
                <w:rtl/>
              </w:rPr>
              <w:t>18 آذار/مارس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23 كانون الثاني/يناير 1986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ملاوي</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11 حزيران/يونيه 1996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cs"/>
                <w:szCs w:val="28"/>
                <w:rtl/>
              </w:rPr>
            </w:pPr>
            <w:r w:rsidRPr="00673912">
              <w:rPr>
                <w:rFonts w:hint="cs"/>
                <w:szCs w:val="28"/>
                <w:rtl/>
              </w:rPr>
              <w:t>ملديف</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tl/>
              </w:rPr>
            </w:pPr>
            <w:r w:rsidRPr="00673912">
              <w:rPr>
                <w:rFonts w:hint="cs"/>
                <w:szCs w:val="28"/>
                <w:rtl/>
              </w:rPr>
              <w:t>20 نيسان/أبريل</w:t>
            </w:r>
            <w:r w:rsidRPr="00673912">
              <w:rPr>
                <w:szCs w:val="28"/>
                <w:rtl/>
              </w:rPr>
              <w:t xml:space="preserve"> 2004</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المملكة</w:t>
            </w:r>
            <w:r w:rsidRPr="00673912">
              <w:rPr>
                <w:szCs w:val="28"/>
                <w:rtl/>
              </w:rPr>
              <w:t xml:space="preserve"> العربية السعودية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23 أيلول/سبتمبر 1997</w:t>
            </w:r>
            <w:r w:rsidRPr="00673912">
              <w:rPr>
                <w:szCs w:val="28"/>
                <w:vertAlign w:val="superscript"/>
                <w:rtl/>
              </w:rPr>
              <w:t>(أ)</w:t>
            </w:r>
            <w:r w:rsidRPr="00673912">
              <w:rPr>
                <w:szCs w:val="28"/>
                <w:rtl/>
              </w:rPr>
              <w:t xml:space="preserve">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المملكة</w:t>
            </w:r>
            <w:r w:rsidRPr="00673912">
              <w:rPr>
                <w:szCs w:val="28"/>
                <w:rtl/>
              </w:rPr>
              <w:t xml:space="preserve"> </w:t>
            </w:r>
            <w:r w:rsidRPr="00673912">
              <w:rPr>
                <w:rFonts w:hint="eastAsia"/>
                <w:szCs w:val="28"/>
                <w:rtl/>
              </w:rPr>
              <w:t>المتحدة</w:t>
            </w:r>
            <w:r w:rsidRPr="00673912">
              <w:rPr>
                <w:szCs w:val="28"/>
                <w:rtl/>
              </w:rPr>
              <w:t xml:space="preserve"> لبريطانيا العظمى</w:t>
            </w:r>
            <w:r w:rsidRPr="00673912">
              <w:rPr>
                <w:rFonts w:hint="cs"/>
                <w:szCs w:val="28"/>
                <w:rtl/>
              </w:rPr>
              <w:t xml:space="preserve"> و</w:t>
            </w:r>
            <w:r w:rsidRPr="00673912">
              <w:rPr>
                <w:szCs w:val="28"/>
                <w:rtl/>
              </w:rPr>
              <w:t>آيرلندا</w:t>
            </w:r>
            <w:r w:rsidRPr="00673912">
              <w:rPr>
                <w:rFonts w:hint="cs"/>
                <w:szCs w:val="28"/>
                <w:rtl/>
              </w:rPr>
              <w:t xml:space="preserve"> </w:t>
            </w:r>
            <w:r w:rsidRPr="00673912">
              <w:rPr>
                <w:rFonts w:hint="eastAsia"/>
                <w:szCs w:val="28"/>
                <w:rtl/>
              </w:rPr>
              <w:t>الشمالية</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15 آذار/مارس 1985 </w:t>
            </w:r>
          </w:p>
        </w:tc>
        <w:tc>
          <w:tcPr>
            <w:tcW w:w="2900" w:type="dxa"/>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8 كانون الأول/ديسمبر 1988</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منغوليا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24 كانون الثاني/يناير 2002</w:t>
            </w:r>
            <w:r w:rsidRPr="00673912">
              <w:rPr>
                <w:szCs w:val="28"/>
                <w:vertAlign w:val="superscript"/>
                <w:rtl/>
              </w:rPr>
              <w:t>(أ)</w:t>
            </w:r>
            <w:r w:rsidRPr="00673912">
              <w:rPr>
                <w:szCs w:val="28"/>
                <w:rtl/>
              </w:rPr>
              <w:t xml:space="preserve">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موريتانيا</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17 تشرين الثاني/نوفمبر 2004</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موريشيوس</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9 كانون الأول/ديسمبر 1992</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موزامبيق</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14 أيلول/سبتمبر 1999</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موناكو</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6 كانون الأول/ديسمبر 1991</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ناميبيا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28 تشرين الثاني/نوفمبر 1994</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ناورو</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12 تشرين الثاني /نوفمبر 2001</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النرويج</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4 شباط/فبراير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9 تموز/يوليه 1986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النمسا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14 آذار/مارس 1985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 xml:space="preserve">29 تموز/يوليه 1987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نيبال</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14 أيار/مايو1991</w:t>
            </w:r>
            <w:r w:rsidRPr="00673912">
              <w:rPr>
                <w:szCs w:val="28"/>
                <w:vertAlign w:val="superscript"/>
                <w:rtl/>
              </w:rPr>
              <w:t>(أ)</w:t>
            </w:r>
            <w:r w:rsidRPr="00673912">
              <w:rPr>
                <w:szCs w:val="28"/>
                <w:rtl/>
              </w:rPr>
              <w:t xml:space="preserve">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النيجر</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5 تشرين الأول/أكتوبر 1998</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نيجيريا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28 تموز/يوليه 1988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28 حزيران/يونيه 2001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نيكاراغوا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15 نيسان/أبريل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rFonts w:hint="cs"/>
                <w:szCs w:val="28"/>
              </w:rPr>
            </w:pPr>
            <w:r w:rsidRPr="00673912">
              <w:rPr>
                <w:szCs w:val="28"/>
                <w:rtl/>
              </w:rPr>
              <w:t xml:space="preserve">5 </w:t>
            </w:r>
            <w:r w:rsidRPr="00673912">
              <w:rPr>
                <w:rFonts w:hint="cs"/>
                <w:szCs w:val="28"/>
                <w:rtl/>
              </w:rPr>
              <w:t>تموز/يوليه 2005</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نيوزيلندا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14 كانون الثاني/يناير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10 كانون الأول/ديسمبر 1989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الهند</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 xml:space="preserve">14 تشرين الأول/أكتوبر 1997 </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هندوراس</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5 كانون الأول/ديسمبر 1996</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هنغاريا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28 تشرين الثاني/نوفمبر 1986</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15 نيسان/أبريل 1987</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هولندا</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Pr>
            </w:pPr>
            <w:r w:rsidRPr="00673912">
              <w:rPr>
                <w:szCs w:val="28"/>
                <w:rtl/>
              </w:rPr>
              <w:t xml:space="preserve">21 كانون الأول/ديسمبر 1988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rFonts w:hint="eastAsia"/>
                <w:szCs w:val="28"/>
                <w:rtl/>
              </w:rPr>
            </w:pPr>
            <w:r w:rsidRPr="00673912">
              <w:rPr>
                <w:rFonts w:hint="eastAsia"/>
                <w:szCs w:val="28"/>
                <w:rtl/>
              </w:rPr>
              <w:t>الولايات</w:t>
            </w:r>
            <w:r w:rsidRPr="00673912">
              <w:rPr>
                <w:szCs w:val="28"/>
                <w:rtl/>
              </w:rPr>
              <w:t xml:space="preserve"> المتحدة الأمريكية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r w:rsidRPr="00673912">
              <w:rPr>
                <w:szCs w:val="28"/>
                <w:rtl/>
              </w:rPr>
              <w:t>18 نيسان/أبريل 1988</w:t>
            </w: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 xml:space="preserve">21 تشرين الأول/أكتوبر 1994 </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اليابان</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29 حزيران/يونيه 1999</w:t>
            </w:r>
            <w:r w:rsidRPr="00673912">
              <w:rPr>
                <w:szCs w:val="28"/>
                <w:vertAlign w:val="superscript"/>
                <w:rtl/>
              </w:rPr>
              <w:t>(أ)</w:t>
            </w:r>
          </w:p>
        </w:tc>
      </w:tr>
      <w:tr w:rsidR="00A92E0E" w:rsidRPr="00673912" w:rsidTr="00A92E0E">
        <w:trPr>
          <w:cantSplit/>
        </w:trPr>
        <w:tc>
          <w:tcPr>
            <w:tcW w:w="268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اليمن</w:t>
            </w:r>
            <w:r w:rsidRPr="00673912">
              <w:rPr>
                <w:szCs w:val="28"/>
                <w:rtl/>
              </w:rPr>
              <w:t xml:space="preserve"> </w:t>
            </w:r>
          </w:p>
        </w:tc>
        <w:tc>
          <w:tcPr>
            <w:tcW w:w="2815" w:type="dxa"/>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Pr>
            </w:pPr>
          </w:p>
        </w:tc>
        <w:tc>
          <w:tcPr>
            <w:tcW w:w="2900" w:type="dxa"/>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vertAlign w:val="superscript"/>
                <w:rtl/>
              </w:rPr>
            </w:pPr>
            <w:r w:rsidRPr="00673912">
              <w:rPr>
                <w:szCs w:val="28"/>
                <w:rtl/>
              </w:rPr>
              <w:t>5 تشرين الثاني/نوفمبر 1991</w:t>
            </w:r>
            <w:r w:rsidRPr="00673912">
              <w:rPr>
                <w:szCs w:val="28"/>
                <w:vertAlign w:val="superscript"/>
                <w:rtl/>
              </w:rPr>
              <w:t>(أ)</w:t>
            </w:r>
          </w:p>
        </w:tc>
      </w:tr>
      <w:tr w:rsidR="00A92E0E" w:rsidRPr="00673912" w:rsidTr="00A92E0E">
        <w:trPr>
          <w:cantSplit/>
        </w:trPr>
        <w:tc>
          <w:tcPr>
            <w:tcW w:w="2685" w:type="dxa"/>
            <w:tcBorders>
              <w:bottom w:val="single" w:sz="12" w:space="0" w:color="auto"/>
            </w:tcBorders>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rFonts w:hint="eastAsia"/>
                <w:szCs w:val="28"/>
                <w:rtl/>
              </w:rPr>
              <w:t>اليونان</w:t>
            </w:r>
            <w:r w:rsidRPr="00673912">
              <w:rPr>
                <w:szCs w:val="28"/>
                <w:rtl/>
              </w:rPr>
              <w:t xml:space="preserve"> </w:t>
            </w:r>
          </w:p>
        </w:tc>
        <w:tc>
          <w:tcPr>
            <w:tcW w:w="2815" w:type="dxa"/>
            <w:tcBorders>
              <w:bottom w:val="single" w:sz="12" w:space="0" w:color="auto"/>
            </w:tcBorders>
          </w:tcPr>
          <w:p w:rsidR="00A92E0E" w:rsidRPr="00673912" w:rsidRDefault="00A92E0E" w:rsidP="00A92E0E">
            <w:pPr>
              <w:tabs>
                <w:tab w:val="left" w:pos="288"/>
                <w:tab w:val="left" w:pos="576"/>
                <w:tab w:val="left" w:pos="864"/>
                <w:tab w:val="left" w:pos="1152"/>
              </w:tabs>
              <w:spacing w:before="60" w:after="60" w:line="320" w:lineRule="exact"/>
              <w:ind w:left="57" w:right="227"/>
              <w:rPr>
                <w:szCs w:val="28"/>
                <w:rtl/>
              </w:rPr>
            </w:pPr>
            <w:r w:rsidRPr="00673912">
              <w:rPr>
                <w:szCs w:val="28"/>
                <w:rtl/>
              </w:rPr>
              <w:t>4 شباط/فبراير 1985</w:t>
            </w:r>
          </w:p>
        </w:tc>
        <w:tc>
          <w:tcPr>
            <w:tcW w:w="2900" w:type="dxa"/>
            <w:tcBorders>
              <w:bottom w:val="single" w:sz="12" w:space="0" w:color="auto"/>
            </w:tcBorders>
            <w:vAlign w:val="bottom"/>
          </w:tcPr>
          <w:p w:rsidR="00A92E0E" w:rsidRPr="00673912" w:rsidRDefault="00A92E0E" w:rsidP="00A92E0E">
            <w:pPr>
              <w:tabs>
                <w:tab w:val="left" w:pos="288"/>
                <w:tab w:val="left" w:pos="576"/>
                <w:tab w:val="left" w:pos="864"/>
                <w:tab w:val="left" w:pos="1152"/>
              </w:tabs>
              <w:spacing w:before="60" w:after="60" w:line="320" w:lineRule="exact"/>
              <w:ind w:left="57" w:right="57"/>
              <w:rPr>
                <w:szCs w:val="28"/>
                <w:rtl/>
              </w:rPr>
            </w:pPr>
            <w:r w:rsidRPr="00673912">
              <w:rPr>
                <w:szCs w:val="28"/>
                <w:rtl/>
              </w:rPr>
              <w:t>6 تشرين الأول/أكتوبر 1988</w:t>
            </w:r>
          </w:p>
        </w:tc>
      </w:tr>
    </w:tbl>
    <w:p w:rsidR="00A92E0E" w:rsidRPr="004D122E" w:rsidRDefault="00A92E0E" w:rsidP="00A92E0E">
      <w:pPr>
        <w:pStyle w:val="SingleTxtGA"/>
        <w:spacing w:before="240" w:line="300" w:lineRule="exact"/>
        <w:rPr>
          <w:i/>
          <w:iCs/>
          <w:sz w:val="14"/>
          <w:szCs w:val="24"/>
          <w:rtl/>
          <w:lang w:val="fr-CH"/>
        </w:rPr>
      </w:pPr>
      <w:r w:rsidRPr="004D122E">
        <w:rPr>
          <w:i/>
          <w:iCs/>
          <w:sz w:val="14"/>
          <w:szCs w:val="24"/>
          <w:rtl/>
          <w:lang w:val="fr-CH"/>
        </w:rPr>
        <w:t>الحواشي</w:t>
      </w:r>
    </w:p>
    <w:p w:rsidR="00A92E0E" w:rsidRPr="000A5578" w:rsidRDefault="00A92E0E" w:rsidP="00A92E0E">
      <w:pPr>
        <w:pStyle w:val="SingleTxtGA"/>
        <w:tabs>
          <w:tab w:val="clear" w:pos="1928"/>
          <w:tab w:val="clear" w:pos="2608"/>
          <w:tab w:val="left" w:pos="1729"/>
          <w:tab w:val="left" w:pos="2429"/>
        </w:tabs>
        <w:spacing w:after="60" w:line="280" w:lineRule="exact"/>
        <w:rPr>
          <w:sz w:val="18"/>
          <w:szCs w:val="26"/>
          <w:rtl/>
          <w:lang w:val="fr-CH"/>
        </w:rPr>
      </w:pPr>
      <w:r w:rsidRPr="000A5578">
        <w:rPr>
          <w:rFonts w:hint="cs"/>
          <w:sz w:val="18"/>
          <w:szCs w:val="26"/>
          <w:rtl/>
          <w:lang w:val="fr-CH"/>
        </w:rPr>
        <w:tab/>
      </w:r>
      <w:r w:rsidRPr="000A5578">
        <w:rPr>
          <w:sz w:val="18"/>
          <w:szCs w:val="26"/>
          <w:rtl/>
          <w:lang w:val="fr-CH"/>
        </w:rPr>
        <w:t>(أ)</w:t>
      </w:r>
      <w:r w:rsidRPr="000A5578">
        <w:rPr>
          <w:sz w:val="18"/>
          <w:szCs w:val="26"/>
          <w:rtl/>
          <w:lang w:val="fr-CH"/>
        </w:rPr>
        <w:tab/>
        <w:t>انضمام (75 دولة).</w:t>
      </w:r>
    </w:p>
    <w:p w:rsidR="00A92E0E" w:rsidRPr="000A5578" w:rsidRDefault="00A92E0E" w:rsidP="00A92E0E">
      <w:pPr>
        <w:pStyle w:val="SingleTxtGA"/>
        <w:tabs>
          <w:tab w:val="clear" w:pos="1928"/>
          <w:tab w:val="clear" w:pos="2608"/>
          <w:tab w:val="left" w:pos="1729"/>
          <w:tab w:val="left" w:pos="2429"/>
        </w:tabs>
        <w:spacing w:after="60" w:line="280" w:lineRule="exact"/>
        <w:rPr>
          <w:rFonts w:hint="cs"/>
          <w:sz w:val="18"/>
          <w:szCs w:val="26"/>
          <w:rtl/>
          <w:lang w:val="fr-CH"/>
        </w:rPr>
      </w:pPr>
      <w:r w:rsidRPr="000A5578">
        <w:rPr>
          <w:rFonts w:hint="cs"/>
          <w:sz w:val="18"/>
          <w:szCs w:val="26"/>
          <w:rtl/>
          <w:lang w:val="fr-CH"/>
        </w:rPr>
        <w:tab/>
      </w:r>
      <w:r w:rsidRPr="000A5578">
        <w:rPr>
          <w:sz w:val="18"/>
          <w:szCs w:val="26"/>
          <w:rtl/>
          <w:lang w:val="fr-CH"/>
        </w:rPr>
        <w:t>(ب)</w:t>
      </w:r>
      <w:r w:rsidRPr="000A5578">
        <w:rPr>
          <w:sz w:val="18"/>
          <w:szCs w:val="26"/>
          <w:rtl/>
          <w:lang w:val="fr-CH"/>
        </w:rPr>
        <w:tab/>
        <w:t>خلافة (7 دول).</w:t>
      </w:r>
    </w:p>
    <w:p w:rsidR="00A92E0E" w:rsidRPr="002840A6" w:rsidRDefault="00A92E0E" w:rsidP="00A92E0E">
      <w:pPr>
        <w:pStyle w:val="HChGA"/>
        <w:pageBreakBefore/>
        <w:spacing w:before="120"/>
        <w:rPr>
          <w:rtl/>
          <w:lang w:val="fr-CH"/>
        </w:rPr>
      </w:pPr>
      <w:r w:rsidRPr="002840A6">
        <w:rPr>
          <w:rtl/>
          <w:lang w:val="fr-CH"/>
        </w:rPr>
        <w:t>المرفق الثاني</w:t>
      </w:r>
    </w:p>
    <w:p w:rsidR="00A92E0E" w:rsidRPr="00F86A90" w:rsidRDefault="00A92E0E" w:rsidP="00F86A90">
      <w:pPr>
        <w:pStyle w:val="HChGA"/>
        <w:jc w:val="lowKashida"/>
        <w:rPr>
          <w:rFonts w:ascii="Times New Roman Bold" w:hAnsi="Times New Roman Bold"/>
          <w:spacing w:val="0"/>
          <w:rtl/>
          <w:lang w:val="fr-CH"/>
        </w:rPr>
      </w:pPr>
      <w:r w:rsidRPr="002840A6">
        <w:rPr>
          <w:rtl/>
          <w:lang w:val="fr-CH"/>
        </w:rPr>
        <w:tab/>
      </w:r>
      <w:r w:rsidRPr="002840A6">
        <w:rPr>
          <w:rtl/>
          <w:lang w:val="fr-CH"/>
        </w:rPr>
        <w:tab/>
      </w:r>
      <w:r w:rsidRPr="00F86A90">
        <w:rPr>
          <w:rFonts w:ascii="Times New Roman Bold" w:hAnsi="Times New Roman Bold"/>
          <w:spacing w:val="0"/>
          <w:rtl/>
          <w:lang w:val="fr-CH"/>
        </w:rPr>
        <w:t>الدول الأطراف التي أعلنت، وقت تصديقها أو انضمامها، أنها لا</w:t>
      </w:r>
      <w:r w:rsidRPr="00F86A90">
        <w:rPr>
          <w:rFonts w:ascii="Times New Roman Bold" w:hAnsi="Times New Roman Bold" w:hint="cs"/>
          <w:spacing w:val="0"/>
          <w:rtl/>
          <w:lang w:val="fr-CH"/>
        </w:rPr>
        <w:t> </w:t>
      </w:r>
      <w:r w:rsidRPr="00F86A90">
        <w:rPr>
          <w:rFonts w:ascii="Times New Roman Bold" w:hAnsi="Times New Roman Bold"/>
          <w:spacing w:val="0"/>
          <w:rtl/>
          <w:lang w:val="fr-CH"/>
        </w:rPr>
        <w:t>تعترف باختصاص اللجنة الذي تنص عليه المادة 20 من الاتفاقية، حتى</w:t>
      </w:r>
      <w:r w:rsidRPr="00F86A90">
        <w:rPr>
          <w:rFonts w:ascii="Times New Roman Bold" w:hAnsi="Times New Roman Bold" w:hint="cs"/>
          <w:spacing w:val="0"/>
          <w:rtl/>
          <w:lang w:val="fr-CH"/>
        </w:rPr>
        <w:t> </w:t>
      </w:r>
      <w:r w:rsidRPr="00F86A90">
        <w:rPr>
          <w:rFonts w:ascii="Times New Roman Bold" w:hAnsi="Times New Roman Bold"/>
          <w:spacing w:val="0"/>
          <w:rtl/>
          <w:lang w:val="fr-CH"/>
        </w:rPr>
        <w:t>1 حزيران/يونيه 2012</w:t>
      </w:r>
    </w:p>
    <w:p w:rsidR="00A92E0E" w:rsidRPr="002840A6" w:rsidRDefault="00A92E0E" w:rsidP="00A92E0E">
      <w:pPr>
        <w:pStyle w:val="SingleTxtGA"/>
        <w:rPr>
          <w:rtl/>
          <w:lang w:val="fr-CH"/>
        </w:rPr>
      </w:pPr>
      <w:r w:rsidRPr="002840A6">
        <w:rPr>
          <w:rtl/>
          <w:lang w:val="fr-CH"/>
        </w:rPr>
        <w:t>إسرائيل</w:t>
      </w:r>
    </w:p>
    <w:p w:rsidR="00A92E0E" w:rsidRPr="002840A6" w:rsidRDefault="00A92E0E" w:rsidP="00A92E0E">
      <w:pPr>
        <w:pStyle w:val="SingleTxtGA"/>
        <w:rPr>
          <w:rtl/>
          <w:lang w:val="fr-CH"/>
        </w:rPr>
      </w:pPr>
      <w:r w:rsidRPr="002840A6">
        <w:rPr>
          <w:rtl/>
          <w:lang w:val="fr-CH"/>
        </w:rPr>
        <w:t>أفغانستان</w:t>
      </w:r>
    </w:p>
    <w:p w:rsidR="00A92E0E" w:rsidRPr="002840A6" w:rsidRDefault="00A92E0E" w:rsidP="00A92E0E">
      <w:pPr>
        <w:pStyle w:val="SingleTxtGA"/>
        <w:rPr>
          <w:rtl/>
          <w:lang w:val="fr-CH"/>
        </w:rPr>
      </w:pPr>
      <w:r w:rsidRPr="002840A6">
        <w:rPr>
          <w:rtl/>
          <w:lang w:val="fr-CH"/>
        </w:rPr>
        <w:t>باكستان</w:t>
      </w:r>
    </w:p>
    <w:p w:rsidR="00A92E0E" w:rsidRPr="002840A6" w:rsidRDefault="00A92E0E" w:rsidP="00A92E0E">
      <w:pPr>
        <w:pStyle w:val="SingleTxtGA"/>
        <w:rPr>
          <w:rtl/>
          <w:lang w:val="fr-CH"/>
        </w:rPr>
      </w:pPr>
      <w:r w:rsidRPr="002840A6">
        <w:rPr>
          <w:rtl/>
          <w:lang w:val="fr-CH"/>
        </w:rPr>
        <w:t>الجمهورية العربية السورية</w:t>
      </w:r>
    </w:p>
    <w:p w:rsidR="00A92E0E" w:rsidRPr="002840A6" w:rsidRDefault="00A92E0E" w:rsidP="00A92E0E">
      <w:pPr>
        <w:pStyle w:val="SingleTxtGA"/>
        <w:rPr>
          <w:rtl/>
          <w:lang w:val="fr-CH"/>
        </w:rPr>
      </w:pPr>
      <w:r w:rsidRPr="002840A6">
        <w:rPr>
          <w:rtl/>
          <w:lang w:val="fr-CH"/>
        </w:rPr>
        <w:t>الصين</w:t>
      </w:r>
    </w:p>
    <w:p w:rsidR="00A92E0E" w:rsidRPr="002840A6" w:rsidRDefault="00A92E0E" w:rsidP="00A92E0E">
      <w:pPr>
        <w:pStyle w:val="SingleTxtGA"/>
        <w:rPr>
          <w:rtl/>
          <w:lang w:val="fr-CH"/>
        </w:rPr>
      </w:pPr>
      <w:r w:rsidRPr="002840A6">
        <w:rPr>
          <w:rtl/>
          <w:lang w:val="fr-CH"/>
        </w:rPr>
        <w:t>غينيا الاستوائية</w:t>
      </w:r>
    </w:p>
    <w:p w:rsidR="00A92E0E" w:rsidRPr="002840A6" w:rsidRDefault="00A92E0E" w:rsidP="00A92E0E">
      <w:pPr>
        <w:pStyle w:val="SingleTxtGA"/>
        <w:rPr>
          <w:rtl/>
          <w:lang w:val="fr-CH"/>
        </w:rPr>
      </w:pPr>
      <w:r w:rsidRPr="002840A6">
        <w:rPr>
          <w:rtl/>
          <w:lang w:val="fr-CH"/>
        </w:rPr>
        <w:t>الكويت</w:t>
      </w:r>
    </w:p>
    <w:p w:rsidR="00A92E0E" w:rsidRPr="002840A6" w:rsidRDefault="00A92E0E" w:rsidP="00A92E0E">
      <w:pPr>
        <w:pStyle w:val="SingleTxtGA"/>
        <w:rPr>
          <w:rtl/>
          <w:lang w:val="fr-CH"/>
        </w:rPr>
      </w:pPr>
      <w:r w:rsidRPr="002840A6">
        <w:rPr>
          <w:rtl/>
          <w:lang w:val="fr-CH"/>
        </w:rPr>
        <w:t>المملكة العربية السعودية</w:t>
      </w:r>
    </w:p>
    <w:p w:rsidR="00A92E0E" w:rsidRDefault="00A92E0E" w:rsidP="00A92E0E">
      <w:pPr>
        <w:pStyle w:val="SingleTxtGA"/>
        <w:rPr>
          <w:rFonts w:hint="cs"/>
          <w:rtl/>
          <w:lang w:val="fr-CH"/>
        </w:rPr>
      </w:pPr>
      <w:r w:rsidRPr="002840A6">
        <w:rPr>
          <w:rtl/>
          <w:lang w:val="fr-CH"/>
        </w:rPr>
        <w:t>موريتانيا</w:t>
      </w:r>
    </w:p>
    <w:p w:rsidR="00A92E0E" w:rsidRPr="002840A6" w:rsidRDefault="00A92E0E" w:rsidP="00A92E0E">
      <w:pPr>
        <w:pStyle w:val="HChGA"/>
        <w:pageBreakBefore/>
        <w:spacing w:before="120"/>
        <w:rPr>
          <w:rtl/>
          <w:lang w:val="fr-CH"/>
        </w:rPr>
      </w:pPr>
      <w:r w:rsidRPr="002840A6">
        <w:rPr>
          <w:rtl/>
          <w:lang w:val="fr-CH"/>
        </w:rPr>
        <w:t>المرفق الثالث</w:t>
      </w:r>
    </w:p>
    <w:p w:rsidR="00A92E0E" w:rsidRDefault="00A92E0E" w:rsidP="00A92E0E">
      <w:pPr>
        <w:pStyle w:val="HChGA"/>
        <w:rPr>
          <w:rFonts w:hint="cs"/>
          <w:b w:val="0"/>
          <w:bCs w:val="0"/>
          <w:sz w:val="18"/>
          <w:szCs w:val="28"/>
          <w:vertAlign w:val="superscript"/>
          <w:rtl/>
          <w:lang w:val="fr-CH"/>
        </w:rPr>
      </w:pPr>
      <w:r w:rsidRPr="002840A6">
        <w:rPr>
          <w:rtl/>
          <w:lang w:val="fr-CH"/>
        </w:rPr>
        <w:tab/>
      </w:r>
      <w:r w:rsidRPr="002840A6">
        <w:rPr>
          <w:rtl/>
          <w:lang w:val="fr-CH"/>
        </w:rPr>
        <w:tab/>
      </w:r>
      <w:r w:rsidRPr="002840A6">
        <w:rPr>
          <w:rFonts w:ascii="Times New Roman Bold" w:hAnsi="Times New Roman Bold"/>
          <w:spacing w:val="-4"/>
          <w:rtl/>
          <w:lang w:val="fr-CH"/>
        </w:rPr>
        <w:t>الدول الأطراف التي أصدرت الإعلانين المنصوص عليهما في المادتين</w:t>
      </w:r>
      <w:r w:rsidRPr="002840A6">
        <w:rPr>
          <w:rFonts w:ascii="Times New Roman Bold" w:hAnsi="Times New Roman Bold" w:hint="cs"/>
          <w:spacing w:val="-4"/>
          <w:rtl/>
          <w:lang w:val="fr-CH"/>
        </w:rPr>
        <w:t xml:space="preserve"> </w:t>
      </w:r>
      <w:r w:rsidRPr="002840A6">
        <w:rPr>
          <w:rFonts w:ascii="Times New Roman Bold" w:hAnsi="Times New Roman Bold"/>
          <w:spacing w:val="-4"/>
          <w:rtl/>
          <w:lang w:val="fr-CH"/>
        </w:rPr>
        <w:t>21</w:t>
      </w:r>
      <w:r w:rsidRPr="002840A6">
        <w:rPr>
          <w:rtl/>
          <w:lang w:val="fr-CH"/>
        </w:rPr>
        <w:t xml:space="preserve"> و22 من الاتفاقية، حتى 1 حزيران/يونيه 2012</w:t>
      </w:r>
      <w:r w:rsidRPr="002840A6">
        <w:rPr>
          <w:b w:val="0"/>
          <w:bCs w:val="0"/>
          <w:sz w:val="18"/>
          <w:szCs w:val="28"/>
          <w:vertAlign w:val="superscript"/>
          <w:rtl/>
          <w:lang w:val="fr-CH"/>
        </w:rPr>
        <w:t>(أ) (ب)</w:t>
      </w:r>
    </w:p>
    <w:tbl>
      <w:tblPr>
        <w:bidiVisual/>
        <w:tblW w:w="7200" w:type="dxa"/>
        <w:tblInd w:w="1238" w:type="dxa"/>
        <w:tblLayout w:type="fixed"/>
        <w:tblCellMar>
          <w:left w:w="0" w:type="dxa"/>
          <w:right w:w="0" w:type="dxa"/>
        </w:tblCellMar>
        <w:tblLook w:val="0000"/>
      </w:tblPr>
      <w:tblGrid>
        <w:gridCol w:w="4500"/>
        <w:gridCol w:w="2700"/>
      </w:tblGrid>
      <w:tr w:rsidR="00A92E0E" w:rsidRPr="002840A6" w:rsidTr="00A92E0E">
        <w:tblPrEx>
          <w:tblCellMar>
            <w:top w:w="0" w:type="dxa"/>
            <w:bottom w:w="0" w:type="dxa"/>
          </w:tblCellMar>
        </w:tblPrEx>
        <w:trPr>
          <w:cantSplit/>
          <w:trHeight w:val="395"/>
          <w:tblHeader/>
        </w:trPr>
        <w:tc>
          <w:tcPr>
            <w:tcW w:w="4500" w:type="dxa"/>
            <w:tcBorders>
              <w:top w:val="single" w:sz="4" w:space="0" w:color="auto"/>
              <w:bottom w:val="single" w:sz="12" w:space="0" w:color="auto"/>
            </w:tcBorders>
          </w:tcPr>
          <w:p w:rsidR="00A92E0E" w:rsidRPr="002840A6" w:rsidRDefault="00A92E0E" w:rsidP="00A92E0E">
            <w:pPr>
              <w:spacing w:before="60" w:after="60" w:line="320" w:lineRule="exact"/>
              <w:ind w:left="57" w:right="57"/>
              <w:rPr>
                <w:rFonts w:hint="cs"/>
                <w:i/>
                <w:iCs/>
                <w:szCs w:val="28"/>
                <w:rtl/>
              </w:rPr>
            </w:pPr>
            <w:r w:rsidRPr="002840A6">
              <w:rPr>
                <w:rFonts w:hint="cs"/>
                <w:i/>
                <w:iCs/>
                <w:szCs w:val="28"/>
                <w:rtl/>
              </w:rPr>
              <w:t>الدولة الطرف</w:t>
            </w:r>
          </w:p>
        </w:tc>
        <w:tc>
          <w:tcPr>
            <w:tcW w:w="2700" w:type="dxa"/>
            <w:tcBorders>
              <w:top w:val="single" w:sz="4" w:space="0" w:color="auto"/>
              <w:bottom w:val="single" w:sz="12" w:space="0" w:color="auto"/>
            </w:tcBorders>
            <w:vAlign w:val="bottom"/>
          </w:tcPr>
          <w:p w:rsidR="00A92E0E" w:rsidRPr="002840A6" w:rsidRDefault="00A92E0E" w:rsidP="00A92E0E">
            <w:pPr>
              <w:spacing w:before="60" w:after="60" w:line="320" w:lineRule="exact"/>
              <w:ind w:left="57" w:right="57"/>
              <w:rPr>
                <w:rFonts w:hint="cs"/>
                <w:i/>
                <w:iCs/>
                <w:szCs w:val="28"/>
                <w:rtl/>
              </w:rPr>
            </w:pPr>
            <w:r w:rsidRPr="002840A6">
              <w:rPr>
                <w:rFonts w:hint="cs"/>
                <w:i/>
                <w:iCs/>
                <w:szCs w:val="28"/>
                <w:rtl/>
              </w:rPr>
              <w:t>تاريخ بدء النفاذ</w:t>
            </w:r>
          </w:p>
        </w:tc>
      </w:tr>
      <w:tr w:rsidR="00A92E0E" w:rsidRPr="002840A6" w:rsidTr="00A92E0E">
        <w:tblPrEx>
          <w:tblCellMar>
            <w:top w:w="0" w:type="dxa"/>
            <w:bottom w:w="0" w:type="dxa"/>
          </w:tblCellMar>
        </w:tblPrEx>
        <w:trPr>
          <w:cantSplit/>
        </w:trPr>
        <w:tc>
          <w:tcPr>
            <w:tcW w:w="4500" w:type="dxa"/>
            <w:tcBorders>
              <w:top w:val="single" w:sz="12" w:space="0" w:color="auto"/>
            </w:tcBorders>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الاتحاد الروسي </w:t>
            </w:r>
          </w:p>
        </w:tc>
        <w:tc>
          <w:tcPr>
            <w:tcW w:w="2700" w:type="dxa"/>
            <w:tcBorders>
              <w:top w:val="single" w:sz="12" w:space="0" w:color="auto"/>
            </w:tcBorders>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 تشرين الأول/أكتوبر 1991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الأرجنتين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26 حزيران/يونيه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إسبانيا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20 تشرين الثاني/نوفمبر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أستراليا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29 كانون الثاني/يناير 1993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إكوادور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29 نيسان/أبريل 1988</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ألمانيا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19 تشرين الأول/أكتوبر 2001</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أندورا</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22 تشرين الثاني/نوفمبر 2006</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أوروغواي</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26 حزيران/يونيه 1987</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أوكرانيا</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12 أيلول/سبتمبر 2003</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آيرلندا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11 أيار/مايو 2002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آيسلندا</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22 تشرين الثاني/نوفمبر 1996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إيطاليا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10 تشرين الأول/أكتوبر 1989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باراغواي</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29 أيار/مايو 2002</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البرتغال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11 آذار/مارس 1989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بلجيكا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25 تموز/يوليه 1999</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بلغاريا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12 حزيران/يونيه 1993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بولندا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12 أيار/مايو 1993</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بوليفيا (دولة </w:t>
            </w:r>
            <w:r>
              <w:rPr>
                <w:rFonts w:hint="cs"/>
                <w:szCs w:val="28"/>
                <w:rtl/>
              </w:rPr>
              <w:t>-</w:t>
            </w:r>
            <w:r w:rsidRPr="002840A6">
              <w:rPr>
                <w:rFonts w:hint="cs"/>
                <w:szCs w:val="28"/>
                <w:rtl/>
              </w:rPr>
              <w:t xml:space="preserve"> المتعددة القوميات)</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14 شباط/فبراير 2006</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بيرو</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28 تشرين الأول/أكتوبر 2002</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تركيا</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 أيلول/</w:t>
            </w:r>
            <w:r w:rsidRPr="002840A6">
              <w:rPr>
                <w:rFonts w:hint="eastAsia"/>
                <w:szCs w:val="28"/>
                <w:rtl/>
              </w:rPr>
              <w:t>سبتمبر</w:t>
            </w:r>
            <w:r w:rsidRPr="002840A6">
              <w:rPr>
                <w:rFonts w:hint="cs"/>
                <w:szCs w:val="28"/>
                <w:rtl/>
              </w:rPr>
              <w:t xml:space="preserve"> 1988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توغو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18 كانون الأول/ديسمبر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تونس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23 تشرين الأول/أكتوبر 1988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الجبل الأسود</w:t>
            </w:r>
          </w:p>
        </w:tc>
        <w:tc>
          <w:tcPr>
            <w:tcW w:w="2700" w:type="dxa"/>
            <w:vAlign w:val="bottom"/>
          </w:tcPr>
          <w:p w:rsidR="00A92E0E" w:rsidRPr="002840A6" w:rsidRDefault="00A92E0E" w:rsidP="00A92E0E">
            <w:pPr>
              <w:spacing w:before="60" w:after="60" w:line="320" w:lineRule="exact"/>
              <w:ind w:left="57" w:right="57"/>
              <w:rPr>
                <w:rFonts w:hint="cs"/>
                <w:szCs w:val="28"/>
                <w:vertAlign w:val="superscript"/>
                <w:rtl/>
              </w:rPr>
            </w:pPr>
            <w:r w:rsidRPr="002840A6">
              <w:rPr>
                <w:rFonts w:hint="cs"/>
                <w:szCs w:val="28"/>
                <w:rtl/>
              </w:rPr>
              <w:t>23 تشرين الأول/أكتوبر 2006</w:t>
            </w:r>
            <w:r w:rsidRPr="002840A6">
              <w:rPr>
                <w:rFonts w:hint="cs"/>
                <w:szCs w:val="28"/>
                <w:vertAlign w:val="superscript"/>
                <w:rtl/>
              </w:rPr>
              <w:t>(ج)</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الجزائر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12 تشرين الأول/أكتوبر 1989</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الجمهورية التشيكية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3 أيلول/سبتمبر 1996</w:t>
            </w:r>
            <w:r w:rsidRPr="002840A6">
              <w:rPr>
                <w:rFonts w:hint="cs"/>
                <w:szCs w:val="28"/>
                <w:vertAlign w:val="superscript"/>
                <w:rtl/>
              </w:rPr>
              <w:t>(ج)</w:t>
            </w:r>
            <w:r w:rsidRPr="002840A6">
              <w:rPr>
                <w:rFonts w:hint="cs"/>
                <w:szCs w:val="28"/>
                <w:rtl/>
              </w:rPr>
              <w:t xml:space="preserve">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جمهورية كوريا</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9 تشرين الثاني/نوفمبر 2007</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جنوب أفريقيا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10 كانون الأول/ديسمبر 1998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جورجيا</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30 حزيران/يونيه 2005</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الدانمرك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26 حزيران/يونيه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szCs w:val="28"/>
              </w:rPr>
            </w:pPr>
            <w:r w:rsidRPr="002840A6">
              <w:rPr>
                <w:rFonts w:hint="cs"/>
                <w:szCs w:val="28"/>
                <w:rtl/>
              </w:rPr>
              <w:t xml:space="preserve">سلوفاكيا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17 آذار/مارس 1995</w:t>
            </w:r>
            <w:r w:rsidRPr="002840A6">
              <w:rPr>
                <w:rFonts w:hint="cs"/>
                <w:szCs w:val="28"/>
                <w:vertAlign w:val="superscript"/>
                <w:rtl/>
              </w:rPr>
              <w:t>(ج)</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سلوفينيا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15 آب/أغسطس 1993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السنغال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16 تشرين الأول/أكتوبر 1996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السويد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26 حزيران/يونيه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سويسرا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26 حزيران/يونيه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شيلي</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15 آذار/مارس 2004</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صربيا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12 آذار/مارس 2001</w:t>
            </w:r>
            <w:r w:rsidRPr="002840A6">
              <w:rPr>
                <w:rFonts w:hint="cs"/>
                <w:szCs w:val="28"/>
                <w:vertAlign w:val="superscript"/>
                <w:rtl/>
              </w:rPr>
              <w:t>(ج)</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غانا</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7 تشرين الأول/أكتوبر 2000</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فرنسا</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26 حزيران/يونيه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فنزويلا (جمهورية - البوليفارية)</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26 نسيان/أبريل 1994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فنلندا</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29 أيلول/سبتمبر 1989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قبرص</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8 نسيان/أبريل 1993</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كازاخستان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21 شباط/فبراير 2008</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الكاميرون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11 تشرين الثاني/</w:t>
            </w:r>
            <w:r w:rsidRPr="002840A6">
              <w:rPr>
                <w:rFonts w:hint="eastAsia"/>
                <w:szCs w:val="28"/>
                <w:rtl/>
              </w:rPr>
              <w:t>نوفمبر</w:t>
            </w:r>
            <w:r w:rsidRPr="002840A6">
              <w:rPr>
                <w:rFonts w:hint="cs"/>
                <w:szCs w:val="28"/>
                <w:rtl/>
              </w:rPr>
              <w:t xml:space="preserve"> 2000</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كرواتيا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8 تشرين الأول/أكتوبر 1991</w:t>
            </w:r>
            <w:r w:rsidRPr="002840A6">
              <w:rPr>
                <w:rFonts w:hint="cs"/>
                <w:szCs w:val="28"/>
                <w:vertAlign w:val="superscript"/>
                <w:rtl/>
              </w:rPr>
              <w:t>(ج)</w:t>
            </w:r>
            <w:r w:rsidRPr="002840A6">
              <w:rPr>
                <w:rFonts w:hint="cs"/>
                <w:szCs w:val="28"/>
                <w:rtl/>
              </w:rPr>
              <w:t xml:space="preserve">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كندا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13 تشرين الثاني/نوفمبر 1989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كوستاريكا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27 شباط/</w:t>
            </w:r>
            <w:r w:rsidRPr="002840A6">
              <w:rPr>
                <w:rFonts w:hint="eastAsia"/>
                <w:szCs w:val="28"/>
                <w:rtl/>
              </w:rPr>
              <w:t>فبراير</w:t>
            </w:r>
            <w:r w:rsidRPr="002840A6">
              <w:rPr>
                <w:rFonts w:hint="cs"/>
                <w:szCs w:val="28"/>
                <w:rtl/>
              </w:rPr>
              <w:t xml:space="preserve"> 2002</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لكسمبرغ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29 تشرين الأول/أكتوبر 1987</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ليختنشتاين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 كانون الأول/ديسمبر 1990</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مالطة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13 تشرين الأول/أكتوبر 1990</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موناكو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6 كانون الثاني/يناير 1992</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النرويج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26 حزيران/يونيه 1987</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النمسا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28 آب/أغسطس 1987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نيوزيلندا</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9 كانون الثاني/يناير 1990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هنغاريا </w:t>
            </w:r>
          </w:p>
        </w:tc>
        <w:tc>
          <w:tcPr>
            <w:tcW w:w="2700" w:type="dxa"/>
            <w:vAlign w:val="bottom"/>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13 أيلول/سبتمبر 1989 </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هولندا </w:t>
            </w:r>
          </w:p>
        </w:tc>
        <w:tc>
          <w:tcPr>
            <w:tcW w:w="2700"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20 كانون الثاني/يناير 1989 </w:t>
            </w:r>
          </w:p>
        </w:tc>
      </w:tr>
      <w:tr w:rsidR="00A92E0E" w:rsidRPr="002840A6" w:rsidTr="00A92E0E">
        <w:tblPrEx>
          <w:tblCellMar>
            <w:top w:w="0" w:type="dxa"/>
            <w:bottom w:w="0" w:type="dxa"/>
          </w:tblCellMar>
        </w:tblPrEx>
        <w:trPr>
          <w:cantSplit/>
        </w:trPr>
        <w:tc>
          <w:tcPr>
            <w:tcW w:w="4500" w:type="dxa"/>
            <w:tcBorders>
              <w:bottom w:val="single" w:sz="12" w:space="0" w:color="auto"/>
            </w:tcBorders>
          </w:tcPr>
          <w:p w:rsidR="00A92E0E" w:rsidRPr="002840A6" w:rsidRDefault="00A92E0E" w:rsidP="00A92E0E">
            <w:pPr>
              <w:spacing w:before="60" w:after="60" w:line="320" w:lineRule="exact"/>
              <w:ind w:left="57" w:right="57"/>
              <w:rPr>
                <w:rFonts w:hint="cs"/>
                <w:szCs w:val="28"/>
                <w:rtl/>
              </w:rPr>
            </w:pPr>
            <w:r w:rsidRPr="002840A6">
              <w:rPr>
                <w:rFonts w:hint="cs"/>
                <w:szCs w:val="28"/>
                <w:rtl/>
              </w:rPr>
              <w:t>اليونان</w:t>
            </w:r>
          </w:p>
        </w:tc>
        <w:tc>
          <w:tcPr>
            <w:tcW w:w="2700" w:type="dxa"/>
            <w:tcBorders>
              <w:bottom w:val="single" w:sz="12" w:space="0" w:color="auto"/>
            </w:tcBorders>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5 تشرين الثاني/نوفمبر 1988</w:t>
            </w:r>
          </w:p>
        </w:tc>
      </w:tr>
    </w:tbl>
    <w:p w:rsidR="00A92E0E" w:rsidRDefault="00A92E0E" w:rsidP="00A92E0E">
      <w:pPr>
        <w:pStyle w:val="HChGA"/>
        <w:rPr>
          <w:rFonts w:hint="cs"/>
          <w:b w:val="0"/>
          <w:bCs w:val="0"/>
          <w:position w:val="6"/>
          <w:sz w:val="18"/>
          <w:szCs w:val="28"/>
          <w:vertAlign w:val="superscript"/>
          <w:rtl/>
          <w:lang w:val="fr-CH"/>
        </w:rPr>
      </w:pPr>
      <w:r w:rsidRPr="002840A6">
        <w:rPr>
          <w:rFonts w:ascii="Times New Roman Bold" w:hAnsi="Times New Roman Bold"/>
          <w:spacing w:val="-4"/>
          <w:rtl/>
          <w:lang w:val="fr-CH"/>
        </w:rPr>
        <w:tab/>
      </w:r>
      <w:r w:rsidRPr="002840A6">
        <w:rPr>
          <w:rFonts w:ascii="Times New Roman Bold" w:hAnsi="Times New Roman Bold"/>
          <w:spacing w:val="-4"/>
          <w:rtl/>
          <w:lang w:val="fr-CH"/>
        </w:rPr>
        <w:tab/>
        <w:t>الدول الأطراف التي لم تصدر سوى الإعلان المنصوص عليه في المادة 21</w:t>
      </w:r>
      <w:r w:rsidRPr="002840A6">
        <w:rPr>
          <w:rtl/>
          <w:lang w:val="fr-CH"/>
        </w:rPr>
        <w:t xml:space="preserve"> من الاتفاقية، حتى 1 حزيران/يونيه 2012</w:t>
      </w:r>
      <w:r w:rsidRPr="002840A6">
        <w:rPr>
          <w:b w:val="0"/>
          <w:bCs w:val="0"/>
          <w:position w:val="6"/>
          <w:sz w:val="18"/>
          <w:szCs w:val="28"/>
          <w:vertAlign w:val="superscript"/>
          <w:rtl/>
          <w:lang w:val="fr-CH"/>
        </w:rPr>
        <w:t>(أ)</w:t>
      </w:r>
    </w:p>
    <w:tbl>
      <w:tblPr>
        <w:bidiVisual/>
        <w:tblW w:w="7308" w:type="dxa"/>
        <w:tblInd w:w="1238" w:type="dxa"/>
        <w:tblLayout w:type="fixed"/>
        <w:tblCellMar>
          <w:left w:w="0" w:type="dxa"/>
          <w:right w:w="0" w:type="dxa"/>
        </w:tblCellMar>
        <w:tblLook w:val="0000"/>
      </w:tblPr>
      <w:tblGrid>
        <w:gridCol w:w="4500"/>
        <w:gridCol w:w="2808"/>
      </w:tblGrid>
      <w:tr w:rsidR="00A92E0E" w:rsidRPr="002840A6" w:rsidTr="00A92E0E">
        <w:tblPrEx>
          <w:tblCellMar>
            <w:top w:w="0" w:type="dxa"/>
            <w:bottom w:w="0" w:type="dxa"/>
          </w:tblCellMar>
        </w:tblPrEx>
        <w:trPr>
          <w:cantSplit/>
          <w:trHeight w:val="395"/>
          <w:tblHeader/>
        </w:trPr>
        <w:tc>
          <w:tcPr>
            <w:tcW w:w="4500" w:type="dxa"/>
            <w:tcBorders>
              <w:top w:val="single" w:sz="4" w:space="0" w:color="auto"/>
              <w:bottom w:val="single" w:sz="12" w:space="0" w:color="auto"/>
            </w:tcBorders>
          </w:tcPr>
          <w:p w:rsidR="00A92E0E" w:rsidRPr="002840A6" w:rsidRDefault="00A92E0E" w:rsidP="00A92E0E">
            <w:pPr>
              <w:spacing w:before="60" w:after="60" w:line="320" w:lineRule="exact"/>
              <w:ind w:left="57" w:right="57"/>
              <w:rPr>
                <w:rFonts w:hint="cs"/>
                <w:i/>
                <w:iCs/>
                <w:szCs w:val="28"/>
                <w:rtl/>
              </w:rPr>
            </w:pPr>
            <w:r w:rsidRPr="002840A6">
              <w:rPr>
                <w:rFonts w:hint="cs"/>
                <w:i/>
                <w:iCs/>
                <w:szCs w:val="28"/>
                <w:rtl/>
              </w:rPr>
              <w:t>الدولة الطرف</w:t>
            </w:r>
          </w:p>
        </w:tc>
        <w:tc>
          <w:tcPr>
            <w:tcW w:w="2808" w:type="dxa"/>
            <w:tcBorders>
              <w:top w:val="single" w:sz="4" w:space="0" w:color="auto"/>
              <w:bottom w:val="single" w:sz="12" w:space="0" w:color="auto"/>
            </w:tcBorders>
            <w:vAlign w:val="bottom"/>
          </w:tcPr>
          <w:p w:rsidR="00A92E0E" w:rsidRPr="002840A6" w:rsidRDefault="00A92E0E" w:rsidP="00A92E0E">
            <w:pPr>
              <w:spacing w:before="60" w:after="60" w:line="320" w:lineRule="exact"/>
              <w:ind w:left="57" w:right="57"/>
              <w:rPr>
                <w:rFonts w:hint="cs"/>
                <w:i/>
                <w:iCs/>
                <w:szCs w:val="28"/>
                <w:rtl/>
              </w:rPr>
            </w:pPr>
            <w:r w:rsidRPr="002840A6">
              <w:rPr>
                <w:rFonts w:hint="cs"/>
                <w:i/>
                <w:iCs/>
                <w:szCs w:val="28"/>
                <w:rtl/>
              </w:rPr>
              <w:t>تاريخ بدء النفاذ</w:t>
            </w:r>
          </w:p>
        </w:tc>
      </w:tr>
      <w:tr w:rsidR="00A92E0E" w:rsidRPr="002840A6" w:rsidTr="00A92E0E">
        <w:tblPrEx>
          <w:tblCellMar>
            <w:top w:w="0" w:type="dxa"/>
            <w:bottom w:w="0" w:type="dxa"/>
          </w:tblCellMar>
        </w:tblPrEx>
        <w:trPr>
          <w:cantSplit/>
        </w:trPr>
        <w:tc>
          <w:tcPr>
            <w:tcW w:w="4500" w:type="dxa"/>
            <w:tcBorders>
              <w:top w:val="single" w:sz="4" w:space="0" w:color="auto"/>
            </w:tcBorders>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أوغندا </w:t>
            </w:r>
          </w:p>
        </w:tc>
        <w:tc>
          <w:tcPr>
            <w:tcW w:w="2808" w:type="dxa"/>
            <w:tcBorders>
              <w:top w:val="single" w:sz="4" w:space="0" w:color="auto"/>
            </w:tcBorders>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19 كانون الأول/ديسمبر 2001</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tl/>
              </w:rPr>
            </w:pPr>
            <w:r w:rsidRPr="002840A6">
              <w:rPr>
                <w:rFonts w:hint="cs"/>
                <w:szCs w:val="28"/>
                <w:rtl/>
              </w:rPr>
              <w:t xml:space="preserve">المملكة المتحدة لبريطانيا العظمى وآيرلندا الشمالية </w:t>
            </w:r>
          </w:p>
        </w:tc>
        <w:tc>
          <w:tcPr>
            <w:tcW w:w="2808"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8 كانون الأول/</w:t>
            </w:r>
            <w:r w:rsidRPr="002840A6">
              <w:rPr>
                <w:rFonts w:hint="eastAsia"/>
                <w:szCs w:val="28"/>
                <w:rtl/>
              </w:rPr>
              <w:t>ديسمبر</w:t>
            </w:r>
            <w:r w:rsidRPr="002840A6">
              <w:rPr>
                <w:rFonts w:hint="cs"/>
                <w:szCs w:val="28"/>
                <w:rtl/>
              </w:rPr>
              <w:t xml:space="preserve"> 1988</w:t>
            </w:r>
          </w:p>
        </w:tc>
      </w:tr>
      <w:tr w:rsidR="00A92E0E" w:rsidRPr="002840A6" w:rsidTr="00A92E0E">
        <w:tblPrEx>
          <w:tblCellMar>
            <w:top w:w="0" w:type="dxa"/>
            <w:bottom w:w="0" w:type="dxa"/>
          </w:tblCellMar>
        </w:tblPrEx>
        <w:trPr>
          <w:cantSplit/>
        </w:trPr>
        <w:tc>
          <w:tcPr>
            <w:tcW w:w="4500" w:type="dxa"/>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الولايات المتحدة الأمريكية </w:t>
            </w:r>
          </w:p>
        </w:tc>
        <w:tc>
          <w:tcPr>
            <w:tcW w:w="2808" w:type="dxa"/>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21 تشرين الأول/أكتوبر 1994</w:t>
            </w:r>
          </w:p>
        </w:tc>
      </w:tr>
      <w:tr w:rsidR="00A92E0E" w:rsidRPr="002840A6" w:rsidTr="00A92E0E">
        <w:tblPrEx>
          <w:tblCellMar>
            <w:top w:w="0" w:type="dxa"/>
            <w:bottom w:w="0" w:type="dxa"/>
          </w:tblCellMar>
        </w:tblPrEx>
        <w:trPr>
          <w:cantSplit/>
          <w:trHeight w:val="327"/>
        </w:trPr>
        <w:tc>
          <w:tcPr>
            <w:tcW w:w="4500" w:type="dxa"/>
            <w:tcBorders>
              <w:bottom w:val="single" w:sz="12" w:space="0" w:color="auto"/>
            </w:tcBorders>
          </w:tcPr>
          <w:p w:rsidR="00A92E0E" w:rsidRPr="002840A6" w:rsidRDefault="00A92E0E" w:rsidP="00A92E0E">
            <w:pPr>
              <w:spacing w:before="60" w:after="60" w:line="320" w:lineRule="exact"/>
              <w:ind w:left="57" w:right="57"/>
              <w:rPr>
                <w:rFonts w:hint="cs"/>
                <w:szCs w:val="28"/>
              </w:rPr>
            </w:pPr>
            <w:r w:rsidRPr="002840A6">
              <w:rPr>
                <w:rFonts w:hint="cs"/>
                <w:szCs w:val="28"/>
                <w:rtl/>
              </w:rPr>
              <w:t xml:space="preserve">اليابان </w:t>
            </w:r>
          </w:p>
        </w:tc>
        <w:tc>
          <w:tcPr>
            <w:tcW w:w="2808" w:type="dxa"/>
            <w:tcBorders>
              <w:bottom w:val="single" w:sz="12" w:space="0" w:color="auto"/>
            </w:tcBorders>
            <w:vAlign w:val="bottom"/>
          </w:tcPr>
          <w:p w:rsidR="00A92E0E" w:rsidRPr="002840A6" w:rsidRDefault="00A92E0E" w:rsidP="00A92E0E">
            <w:pPr>
              <w:spacing w:before="60" w:after="60" w:line="320" w:lineRule="exact"/>
              <w:ind w:left="57" w:right="57"/>
              <w:rPr>
                <w:rFonts w:hint="cs"/>
                <w:szCs w:val="28"/>
                <w:rtl/>
              </w:rPr>
            </w:pPr>
            <w:r w:rsidRPr="002840A6">
              <w:rPr>
                <w:rFonts w:hint="cs"/>
                <w:szCs w:val="28"/>
                <w:rtl/>
              </w:rPr>
              <w:t>29 حزيران/ يونيه 1999</w:t>
            </w:r>
          </w:p>
        </w:tc>
      </w:tr>
    </w:tbl>
    <w:p w:rsidR="00A92E0E" w:rsidRDefault="00A92E0E" w:rsidP="00A92E0E">
      <w:pPr>
        <w:pStyle w:val="HChGA"/>
        <w:rPr>
          <w:rFonts w:hint="cs"/>
          <w:b w:val="0"/>
          <w:bCs w:val="0"/>
          <w:position w:val="4"/>
          <w:sz w:val="18"/>
          <w:szCs w:val="28"/>
          <w:vertAlign w:val="superscript"/>
          <w:rtl/>
          <w:lang w:val="fr-CH"/>
        </w:rPr>
      </w:pPr>
      <w:r w:rsidRPr="00115F87">
        <w:rPr>
          <w:rFonts w:ascii="Times New Roman Bold" w:hAnsi="Times New Roman Bold"/>
          <w:spacing w:val="-6"/>
          <w:rtl/>
          <w:lang w:val="fr-CH"/>
        </w:rPr>
        <w:tab/>
      </w:r>
      <w:r w:rsidRPr="00115F87">
        <w:rPr>
          <w:rFonts w:ascii="Times New Roman Bold" w:hAnsi="Times New Roman Bold"/>
          <w:spacing w:val="-6"/>
          <w:rtl/>
          <w:lang w:val="fr-CH"/>
        </w:rPr>
        <w:tab/>
        <w:t>الدول الأطراف التي لم تصدر سوى الإعلان المنصوص عليه في المادة 22</w:t>
      </w:r>
      <w:r w:rsidRPr="00115F87">
        <w:rPr>
          <w:rtl/>
          <w:lang w:val="fr-CH"/>
        </w:rPr>
        <w:t xml:space="preserve"> من الاتفاقية، حتى 1 حزيران/يونيه 2012</w:t>
      </w:r>
      <w:r w:rsidRPr="00115F87">
        <w:rPr>
          <w:b w:val="0"/>
          <w:bCs w:val="0"/>
          <w:position w:val="4"/>
          <w:sz w:val="18"/>
          <w:szCs w:val="28"/>
          <w:vertAlign w:val="superscript"/>
          <w:rtl/>
          <w:lang w:val="fr-CH"/>
        </w:rPr>
        <w:t>(ب)</w:t>
      </w:r>
    </w:p>
    <w:tbl>
      <w:tblPr>
        <w:bidiVisual/>
        <w:tblW w:w="7300" w:type="dxa"/>
        <w:tblInd w:w="1238" w:type="dxa"/>
        <w:tblLayout w:type="fixed"/>
        <w:tblCellMar>
          <w:left w:w="0" w:type="dxa"/>
          <w:right w:w="0" w:type="dxa"/>
        </w:tblCellMar>
        <w:tblLook w:val="0000"/>
      </w:tblPr>
      <w:tblGrid>
        <w:gridCol w:w="4500"/>
        <w:gridCol w:w="2800"/>
      </w:tblGrid>
      <w:tr w:rsidR="00A92E0E" w:rsidRPr="00115F87" w:rsidTr="00A92E0E">
        <w:tblPrEx>
          <w:tblCellMar>
            <w:top w:w="0" w:type="dxa"/>
            <w:bottom w:w="0" w:type="dxa"/>
          </w:tblCellMar>
        </w:tblPrEx>
        <w:trPr>
          <w:cantSplit/>
          <w:trHeight w:val="395"/>
          <w:tblHeader/>
        </w:trPr>
        <w:tc>
          <w:tcPr>
            <w:tcW w:w="4500" w:type="dxa"/>
            <w:tcBorders>
              <w:top w:val="single" w:sz="4" w:space="0" w:color="auto"/>
              <w:bottom w:val="single" w:sz="12" w:space="0" w:color="auto"/>
            </w:tcBorders>
          </w:tcPr>
          <w:p w:rsidR="00A92E0E" w:rsidRPr="00115F87" w:rsidRDefault="00A92E0E" w:rsidP="00A92E0E">
            <w:pPr>
              <w:spacing w:before="60" w:after="60" w:line="320" w:lineRule="exact"/>
              <w:ind w:left="57" w:right="57"/>
              <w:rPr>
                <w:rFonts w:hint="cs"/>
                <w:i/>
                <w:iCs/>
                <w:szCs w:val="28"/>
                <w:rtl/>
              </w:rPr>
            </w:pPr>
            <w:r w:rsidRPr="00115F87">
              <w:rPr>
                <w:rFonts w:hint="cs"/>
                <w:i/>
                <w:iCs/>
                <w:szCs w:val="28"/>
                <w:rtl/>
              </w:rPr>
              <w:t>الدولة الطرف</w:t>
            </w:r>
          </w:p>
        </w:tc>
        <w:tc>
          <w:tcPr>
            <w:tcW w:w="2800" w:type="dxa"/>
            <w:tcBorders>
              <w:top w:val="single" w:sz="4" w:space="0" w:color="auto"/>
              <w:bottom w:val="single" w:sz="12" w:space="0" w:color="auto"/>
            </w:tcBorders>
            <w:vAlign w:val="bottom"/>
          </w:tcPr>
          <w:p w:rsidR="00A92E0E" w:rsidRPr="00115F87" w:rsidRDefault="00A92E0E" w:rsidP="00A92E0E">
            <w:pPr>
              <w:spacing w:before="60" w:after="60" w:line="320" w:lineRule="exact"/>
              <w:ind w:left="57" w:right="57"/>
              <w:rPr>
                <w:rFonts w:hint="cs"/>
                <w:i/>
                <w:iCs/>
                <w:szCs w:val="28"/>
                <w:rtl/>
              </w:rPr>
            </w:pPr>
            <w:r w:rsidRPr="00115F87">
              <w:rPr>
                <w:rFonts w:hint="cs"/>
                <w:i/>
                <w:iCs/>
                <w:szCs w:val="28"/>
                <w:rtl/>
              </w:rPr>
              <w:t>تاريخ بدء النفاذ</w:t>
            </w:r>
          </w:p>
        </w:tc>
      </w:tr>
      <w:tr w:rsidR="00A92E0E" w:rsidRPr="00115F87" w:rsidTr="00A92E0E">
        <w:tblPrEx>
          <w:tblCellMar>
            <w:top w:w="0" w:type="dxa"/>
            <w:bottom w:w="0" w:type="dxa"/>
          </w:tblCellMar>
        </w:tblPrEx>
        <w:trPr>
          <w:cantSplit/>
          <w:trHeight w:val="312"/>
        </w:trPr>
        <w:tc>
          <w:tcPr>
            <w:tcW w:w="4500" w:type="dxa"/>
            <w:tcBorders>
              <w:top w:val="single" w:sz="4" w:space="0" w:color="auto"/>
            </w:tcBorders>
          </w:tcPr>
          <w:p w:rsidR="00A92E0E" w:rsidRPr="00115F87" w:rsidRDefault="00A92E0E" w:rsidP="00A92E0E">
            <w:pPr>
              <w:spacing w:before="60" w:after="60" w:line="320" w:lineRule="exact"/>
              <w:ind w:left="57" w:right="57"/>
              <w:rPr>
                <w:rFonts w:hint="cs"/>
                <w:szCs w:val="28"/>
                <w:rtl/>
              </w:rPr>
            </w:pPr>
            <w:r w:rsidRPr="00115F87">
              <w:rPr>
                <w:rFonts w:hint="cs"/>
                <w:szCs w:val="28"/>
                <w:rtl/>
              </w:rPr>
              <w:t>أذربيجان</w:t>
            </w:r>
          </w:p>
        </w:tc>
        <w:tc>
          <w:tcPr>
            <w:tcW w:w="2800" w:type="dxa"/>
            <w:tcBorders>
              <w:top w:val="single" w:sz="4" w:space="0" w:color="auto"/>
            </w:tcBorders>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4 شباط /فبراير 2002</w:t>
            </w:r>
          </w:p>
        </w:tc>
      </w:tr>
      <w:tr w:rsidR="00A92E0E" w:rsidRPr="00115F87" w:rsidTr="00A92E0E">
        <w:tblPrEx>
          <w:tblCellMar>
            <w:top w:w="0" w:type="dxa"/>
            <w:bottom w:w="0" w:type="dxa"/>
          </w:tblCellMar>
        </w:tblPrEx>
        <w:trPr>
          <w:cantSplit/>
          <w:trHeight w:val="330"/>
        </w:trPr>
        <w:tc>
          <w:tcPr>
            <w:tcW w:w="4500" w:type="dxa"/>
          </w:tcPr>
          <w:p w:rsidR="00A92E0E" w:rsidRPr="00115F87" w:rsidRDefault="00A92E0E" w:rsidP="00A92E0E">
            <w:pPr>
              <w:spacing w:before="60" w:after="60" w:line="320" w:lineRule="exact"/>
              <w:ind w:left="57" w:right="57"/>
              <w:rPr>
                <w:rFonts w:hint="cs"/>
                <w:szCs w:val="28"/>
                <w:rtl/>
              </w:rPr>
            </w:pPr>
            <w:r w:rsidRPr="00115F87">
              <w:rPr>
                <w:rFonts w:hint="cs"/>
                <w:szCs w:val="28"/>
                <w:rtl/>
              </w:rPr>
              <w:t>البرازيل</w:t>
            </w:r>
          </w:p>
        </w:tc>
        <w:tc>
          <w:tcPr>
            <w:tcW w:w="2800" w:type="dxa"/>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26 حزيران/يونيه 2006</w:t>
            </w:r>
          </w:p>
        </w:tc>
      </w:tr>
      <w:tr w:rsidR="00A92E0E" w:rsidRPr="00115F87" w:rsidTr="00A92E0E">
        <w:tblPrEx>
          <w:tblCellMar>
            <w:top w:w="0" w:type="dxa"/>
            <w:bottom w:w="0" w:type="dxa"/>
          </w:tblCellMar>
        </w:tblPrEx>
        <w:trPr>
          <w:cantSplit/>
          <w:trHeight w:val="330"/>
        </w:trPr>
        <w:tc>
          <w:tcPr>
            <w:tcW w:w="4500" w:type="dxa"/>
          </w:tcPr>
          <w:p w:rsidR="00A92E0E" w:rsidRPr="00115F87" w:rsidRDefault="00A92E0E" w:rsidP="00A92E0E">
            <w:pPr>
              <w:spacing w:before="60" w:after="60" w:line="320" w:lineRule="exact"/>
              <w:ind w:left="57" w:right="57"/>
              <w:rPr>
                <w:rFonts w:hint="cs"/>
                <w:szCs w:val="28"/>
                <w:rtl/>
              </w:rPr>
            </w:pPr>
            <w:r w:rsidRPr="00115F87">
              <w:rPr>
                <w:rFonts w:hint="cs"/>
                <w:szCs w:val="28"/>
                <w:rtl/>
              </w:rPr>
              <w:t>بوروندي</w:t>
            </w:r>
          </w:p>
        </w:tc>
        <w:tc>
          <w:tcPr>
            <w:tcW w:w="2800" w:type="dxa"/>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10 حزيران/يونيه 2003</w:t>
            </w:r>
          </w:p>
        </w:tc>
      </w:tr>
      <w:tr w:rsidR="00A92E0E" w:rsidRPr="00115F87" w:rsidTr="00A92E0E">
        <w:tblPrEx>
          <w:tblCellMar>
            <w:top w:w="0" w:type="dxa"/>
            <w:bottom w:w="0" w:type="dxa"/>
          </w:tblCellMar>
        </w:tblPrEx>
        <w:trPr>
          <w:cantSplit/>
          <w:trHeight w:val="330"/>
        </w:trPr>
        <w:tc>
          <w:tcPr>
            <w:tcW w:w="4500" w:type="dxa"/>
          </w:tcPr>
          <w:p w:rsidR="00A92E0E" w:rsidRPr="00115F87" w:rsidRDefault="00A92E0E" w:rsidP="00A92E0E">
            <w:pPr>
              <w:spacing w:before="60" w:after="60" w:line="320" w:lineRule="exact"/>
              <w:ind w:left="57" w:right="57"/>
              <w:rPr>
                <w:rFonts w:hint="cs"/>
                <w:szCs w:val="28"/>
                <w:rtl/>
              </w:rPr>
            </w:pPr>
            <w:r w:rsidRPr="00115F87">
              <w:rPr>
                <w:rFonts w:hint="cs"/>
                <w:szCs w:val="28"/>
                <w:rtl/>
              </w:rPr>
              <w:t>البوسنة والهرسك</w:t>
            </w:r>
          </w:p>
        </w:tc>
        <w:tc>
          <w:tcPr>
            <w:tcW w:w="2800" w:type="dxa"/>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4 حزيران/يونيه 2003</w:t>
            </w:r>
          </w:p>
        </w:tc>
      </w:tr>
      <w:tr w:rsidR="00A92E0E" w:rsidRPr="00115F87" w:rsidTr="00A92E0E">
        <w:tblPrEx>
          <w:tblCellMar>
            <w:top w:w="0" w:type="dxa"/>
            <w:bottom w:w="0" w:type="dxa"/>
          </w:tblCellMar>
        </w:tblPrEx>
        <w:trPr>
          <w:cantSplit/>
          <w:trHeight w:val="330"/>
        </w:trPr>
        <w:tc>
          <w:tcPr>
            <w:tcW w:w="4500" w:type="dxa"/>
          </w:tcPr>
          <w:p w:rsidR="00A92E0E" w:rsidRPr="00115F87" w:rsidRDefault="00A92E0E" w:rsidP="00A92E0E">
            <w:pPr>
              <w:spacing w:before="60" w:after="60" w:line="320" w:lineRule="exact"/>
              <w:ind w:left="57" w:right="57"/>
              <w:rPr>
                <w:rFonts w:hint="cs"/>
                <w:szCs w:val="28"/>
              </w:rPr>
            </w:pPr>
            <w:r w:rsidRPr="00115F87">
              <w:rPr>
                <w:rFonts w:hint="cs"/>
                <w:szCs w:val="28"/>
                <w:rtl/>
              </w:rPr>
              <w:t xml:space="preserve">سيشيل </w:t>
            </w:r>
          </w:p>
        </w:tc>
        <w:tc>
          <w:tcPr>
            <w:tcW w:w="2800" w:type="dxa"/>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6 آب/أغسطس 2001</w:t>
            </w:r>
          </w:p>
        </w:tc>
      </w:tr>
      <w:tr w:rsidR="00A92E0E" w:rsidRPr="00115F87" w:rsidTr="00A92E0E">
        <w:tblPrEx>
          <w:tblCellMar>
            <w:top w:w="0" w:type="dxa"/>
            <w:bottom w:w="0" w:type="dxa"/>
          </w:tblCellMar>
        </w:tblPrEx>
        <w:trPr>
          <w:cantSplit/>
          <w:trHeight w:val="312"/>
        </w:trPr>
        <w:tc>
          <w:tcPr>
            <w:tcW w:w="4500" w:type="dxa"/>
          </w:tcPr>
          <w:p w:rsidR="00A92E0E" w:rsidRPr="00115F87" w:rsidRDefault="00A92E0E" w:rsidP="00A92E0E">
            <w:pPr>
              <w:spacing w:before="60" w:after="60" w:line="320" w:lineRule="exact"/>
              <w:ind w:left="57" w:right="57"/>
              <w:rPr>
                <w:rFonts w:hint="cs"/>
                <w:szCs w:val="28"/>
                <w:rtl/>
              </w:rPr>
            </w:pPr>
            <w:r w:rsidRPr="00115F87">
              <w:rPr>
                <w:rFonts w:hint="cs"/>
                <w:szCs w:val="28"/>
                <w:rtl/>
              </w:rPr>
              <w:t>غواتيمالا</w:t>
            </w:r>
          </w:p>
        </w:tc>
        <w:tc>
          <w:tcPr>
            <w:tcW w:w="2800" w:type="dxa"/>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25 أيلول/سبتمبر 2003</w:t>
            </w:r>
          </w:p>
        </w:tc>
      </w:tr>
      <w:tr w:rsidR="00A92E0E" w:rsidRPr="00115F87" w:rsidTr="00A92E0E">
        <w:tblPrEx>
          <w:tblCellMar>
            <w:top w:w="0" w:type="dxa"/>
            <w:bottom w:w="0" w:type="dxa"/>
          </w:tblCellMar>
        </w:tblPrEx>
        <w:trPr>
          <w:cantSplit/>
          <w:trHeight w:val="312"/>
        </w:trPr>
        <w:tc>
          <w:tcPr>
            <w:tcW w:w="4500" w:type="dxa"/>
          </w:tcPr>
          <w:p w:rsidR="00A92E0E" w:rsidRPr="00115F87" w:rsidRDefault="00A92E0E" w:rsidP="00A92E0E">
            <w:pPr>
              <w:spacing w:before="60" w:after="60" w:line="320" w:lineRule="exact"/>
              <w:ind w:left="57" w:right="57"/>
              <w:rPr>
                <w:rFonts w:hint="cs"/>
                <w:szCs w:val="28"/>
                <w:rtl/>
              </w:rPr>
            </w:pPr>
            <w:r w:rsidRPr="00115F87">
              <w:rPr>
                <w:rFonts w:hint="cs"/>
                <w:szCs w:val="28"/>
                <w:rtl/>
              </w:rPr>
              <w:t>المغرب</w:t>
            </w:r>
          </w:p>
        </w:tc>
        <w:tc>
          <w:tcPr>
            <w:tcW w:w="2800" w:type="dxa"/>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19 تشرين الأول/أكتوبر 2006</w:t>
            </w:r>
          </w:p>
        </w:tc>
      </w:tr>
      <w:tr w:rsidR="00A92E0E" w:rsidRPr="00115F87" w:rsidTr="00A92E0E">
        <w:tblPrEx>
          <w:tblCellMar>
            <w:top w:w="0" w:type="dxa"/>
            <w:bottom w:w="0" w:type="dxa"/>
          </w:tblCellMar>
        </w:tblPrEx>
        <w:trPr>
          <w:cantSplit/>
          <w:trHeight w:val="330"/>
        </w:trPr>
        <w:tc>
          <w:tcPr>
            <w:tcW w:w="4500" w:type="dxa"/>
            <w:tcBorders>
              <w:bottom w:val="single" w:sz="12" w:space="0" w:color="auto"/>
            </w:tcBorders>
          </w:tcPr>
          <w:p w:rsidR="00A92E0E" w:rsidRPr="00115F87" w:rsidRDefault="00A92E0E" w:rsidP="00A92E0E">
            <w:pPr>
              <w:spacing w:before="60" w:after="60" w:line="320" w:lineRule="exact"/>
              <w:ind w:left="57" w:right="57"/>
              <w:rPr>
                <w:rFonts w:hint="cs"/>
                <w:szCs w:val="28"/>
              </w:rPr>
            </w:pPr>
            <w:r w:rsidRPr="00115F87">
              <w:rPr>
                <w:rFonts w:hint="cs"/>
                <w:szCs w:val="28"/>
                <w:rtl/>
              </w:rPr>
              <w:t xml:space="preserve">المكسيك </w:t>
            </w:r>
          </w:p>
        </w:tc>
        <w:tc>
          <w:tcPr>
            <w:tcW w:w="2800" w:type="dxa"/>
            <w:tcBorders>
              <w:bottom w:val="single" w:sz="12" w:space="0" w:color="auto"/>
            </w:tcBorders>
            <w:vAlign w:val="bottom"/>
          </w:tcPr>
          <w:p w:rsidR="00A92E0E" w:rsidRPr="00115F87" w:rsidRDefault="00A92E0E" w:rsidP="00A92E0E">
            <w:pPr>
              <w:spacing w:before="60" w:after="60" w:line="320" w:lineRule="exact"/>
              <w:ind w:left="57" w:right="57"/>
              <w:rPr>
                <w:rFonts w:hint="cs"/>
                <w:szCs w:val="28"/>
                <w:rtl/>
              </w:rPr>
            </w:pPr>
            <w:r w:rsidRPr="00115F87">
              <w:rPr>
                <w:rFonts w:hint="cs"/>
                <w:szCs w:val="28"/>
                <w:rtl/>
              </w:rPr>
              <w:t>15 آذار/مارس 2002</w:t>
            </w:r>
          </w:p>
        </w:tc>
      </w:tr>
    </w:tbl>
    <w:p w:rsidR="00A92E0E" w:rsidRPr="00115F87" w:rsidRDefault="00A92E0E" w:rsidP="00A92E0E">
      <w:pPr>
        <w:pStyle w:val="SingleTxtGA"/>
        <w:spacing w:after="60" w:line="300" w:lineRule="exact"/>
        <w:rPr>
          <w:sz w:val="18"/>
          <w:szCs w:val="26"/>
          <w:rtl/>
          <w:lang w:val="fr-CH"/>
        </w:rPr>
      </w:pPr>
      <w:r w:rsidRPr="00115F87">
        <w:rPr>
          <w:sz w:val="18"/>
          <w:szCs w:val="26"/>
          <w:rtl/>
          <w:lang w:val="fr-CH"/>
        </w:rPr>
        <w:t>الحواشي</w:t>
      </w:r>
    </w:p>
    <w:p w:rsidR="00A92E0E" w:rsidRPr="00115F87" w:rsidRDefault="00A92E0E" w:rsidP="00A92E0E">
      <w:pPr>
        <w:pStyle w:val="SingleTxtGA"/>
        <w:spacing w:after="60" w:line="280" w:lineRule="exact"/>
        <w:rPr>
          <w:sz w:val="18"/>
          <w:szCs w:val="26"/>
          <w:rtl/>
          <w:lang w:val="fr-CH"/>
        </w:rPr>
      </w:pPr>
      <w:r>
        <w:rPr>
          <w:rFonts w:hint="cs"/>
          <w:sz w:val="18"/>
          <w:szCs w:val="26"/>
          <w:rtl/>
          <w:lang w:val="fr-CH"/>
        </w:rPr>
        <w:tab/>
      </w:r>
      <w:r w:rsidRPr="00115F87">
        <w:rPr>
          <w:sz w:val="18"/>
          <w:szCs w:val="26"/>
          <w:rtl/>
          <w:lang w:val="fr-CH"/>
        </w:rPr>
        <w:t>(أ)</w:t>
      </w:r>
      <w:r w:rsidRPr="00115F87">
        <w:rPr>
          <w:sz w:val="18"/>
          <w:szCs w:val="26"/>
          <w:rtl/>
          <w:lang w:val="fr-CH"/>
        </w:rPr>
        <w:tab/>
        <w:t>أصدر ما مجموعه 61 دولة طرفاً الإعلان المنصوص عليه في المادة 21.</w:t>
      </w:r>
    </w:p>
    <w:p w:rsidR="00A92E0E" w:rsidRPr="00115F87" w:rsidRDefault="00A92E0E" w:rsidP="00A92E0E">
      <w:pPr>
        <w:pStyle w:val="SingleTxtGA"/>
        <w:spacing w:after="60" w:line="280" w:lineRule="exact"/>
        <w:rPr>
          <w:sz w:val="18"/>
          <w:szCs w:val="26"/>
          <w:rtl/>
          <w:lang w:val="fr-CH"/>
        </w:rPr>
      </w:pPr>
      <w:r>
        <w:rPr>
          <w:rFonts w:hint="cs"/>
          <w:sz w:val="18"/>
          <w:szCs w:val="26"/>
          <w:rtl/>
          <w:lang w:val="fr-CH"/>
        </w:rPr>
        <w:tab/>
      </w:r>
      <w:r w:rsidRPr="00115F87">
        <w:rPr>
          <w:sz w:val="18"/>
          <w:szCs w:val="26"/>
          <w:rtl/>
          <w:lang w:val="fr-CH"/>
        </w:rPr>
        <w:t>(ب)</w:t>
      </w:r>
      <w:r w:rsidRPr="00115F87">
        <w:rPr>
          <w:sz w:val="18"/>
          <w:szCs w:val="26"/>
          <w:rtl/>
          <w:lang w:val="fr-CH"/>
        </w:rPr>
        <w:tab/>
        <w:t>أصدر ما مجموعه 65 دولة طرفاً الإعلان المنصوص عليه في المادة 22.</w:t>
      </w:r>
    </w:p>
    <w:p w:rsidR="00A92E0E" w:rsidRDefault="00A92E0E" w:rsidP="00A92E0E">
      <w:pPr>
        <w:pStyle w:val="SingleTxtGA"/>
        <w:spacing w:after="60" w:line="280" w:lineRule="exact"/>
        <w:rPr>
          <w:rFonts w:hint="cs"/>
          <w:sz w:val="18"/>
          <w:szCs w:val="26"/>
          <w:rtl/>
          <w:lang w:val="fr-CH"/>
        </w:rPr>
      </w:pPr>
      <w:r>
        <w:rPr>
          <w:rFonts w:hint="cs"/>
          <w:sz w:val="18"/>
          <w:szCs w:val="26"/>
          <w:rtl/>
          <w:lang w:val="fr-CH"/>
        </w:rPr>
        <w:tab/>
      </w:r>
      <w:r w:rsidRPr="00115F87">
        <w:rPr>
          <w:sz w:val="18"/>
          <w:szCs w:val="26"/>
          <w:rtl/>
          <w:lang w:val="fr-CH"/>
        </w:rPr>
        <w:t>(ج)</w:t>
      </w:r>
      <w:r w:rsidRPr="00115F87">
        <w:rPr>
          <w:sz w:val="18"/>
          <w:szCs w:val="26"/>
          <w:rtl/>
          <w:lang w:val="fr-CH"/>
        </w:rPr>
        <w:tab/>
        <w:t>الدول الأطراف التي أصدرت الإعلان المنصوص عليه في المادتين 21 و22 بالخلافة.</w:t>
      </w:r>
    </w:p>
    <w:p w:rsidR="00A92E0E" w:rsidRPr="00115F87" w:rsidRDefault="00A92E0E" w:rsidP="00A92E0E">
      <w:pPr>
        <w:pStyle w:val="HChGA"/>
        <w:pageBreakBefore/>
        <w:spacing w:before="120"/>
        <w:rPr>
          <w:rtl/>
          <w:lang w:val="fr-CH"/>
        </w:rPr>
      </w:pPr>
      <w:r w:rsidRPr="00115F87">
        <w:rPr>
          <w:rtl/>
          <w:lang w:val="fr-CH"/>
        </w:rPr>
        <w:t>المرفق الرابع</w:t>
      </w:r>
    </w:p>
    <w:p w:rsidR="00A92E0E" w:rsidRDefault="00A92E0E" w:rsidP="00A92E0E">
      <w:pPr>
        <w:pStyle w:val="HChGA"/>
        <w:rPr>
          <w:rFonts w:hint="cs"/>
          <w:rtl/>
          <w:lang w:val="fr-CH"/>
        </w:rPr>
      </w:pPr>
      <w:r w:rsidRPr="00115F87">
        <w:rPr>
          <w:rtl/>
          <w:lang w:val="fr-CH"/>
        </w:rPr>
        <w:tab/>
      </w:r>
      <w:r w:rsidRPr="00115F87">
        <w:rPr>
          <w:rtl/>
          <w:lang w:val="fr-CH"/>
        </w:rPr>
        <w:tab/>
        <w:t>أعضاء لجنة مناهضة التعذيب في عام 2012</w:t>
      </w:r>
    </w:p>
    <w:tbl>
      <w:tblPr>
        <w:bidiVisual/>
        <w:tblW w:w="7348" w:type="dxa"/>
        <w:tblInd w:w="1190" w:type="dxa"/>
        <w:tblCellMar>
          <w:left w:w="0" w:type="dxa"/>
          <w:right w:w="0" w:type="dxa"/>
        </w:tblCellMar>
        <w:tblLook w:val="0000"/>
      </w:tblPr>
      <w:tblGrid>
        <w:gridCol w:w="2792"/>
        <w:gridCol w:w="2366"/>
        <w:gridCol w:w="2190"/>
      </w:tblGrid>
      <w:tr w:rsidR="00A92E0E" w:rsidRPr="007D1EF4" w:rsidTr="007D1EF4">
        <w:tblPrEx>
          <w:tblCellMar>
            <w:top w:w="0" w:type="dxa"/>
            <w:bottom w:w="0" w:type="dxa"/>
          </w:tblCellMar>
        </w:tblPrEx>
        <w:tc>
          <w:tcPr>
            <w:tcW w:w="2792" w:type="dxa"/>
            <w:tcBorders>
              <w:top w:val="single" w:sz="4" w:space="0" w:color="auto"/>
              <w:bottom w:val="single" w:sz="12" w:space="0" w:color="auto"/>
            </w:tcBorders>
            <w:vAlign w:val="bottom"/>
          </w:tcPr>
          <w:p w:rsidR="00A92E0E" w:rsidRPr="007D1EF4" w:rsidRDefault="00A92E0E" w:rsidP="00A92E0E">
            <w:pPr>
              <w:spacing w:before="60" w:after="60" w:line="320" w:lineRule="exact"/>
              <w:ind w:left="57" w:right="227"/>
              <w:rPr>
                <w:rFonts w:hint="cs"/>
                <w:i/>
                <w:iCs/>
                <w:spacing w:val="0"/>
                <w:kern w:val="0"/>
                <w:szCs w:val="28"/>
                <w:rtl/>
              </w:rPr>
            </w:pPr>
            <w:r w:rsidRPr="007D1EF4">
              <w:rPr>
                <w:rFonts w:hint="cs"/>
                <w:i/>
                <w:iCs/>
                <w:spacing w:val="0"/>
                <w:kern w:val="0"/>
                <w:szCs w:val="28"/>
                <w:rtl/>
              </w:rPr>
              <w:t>اسم العضو</w:t>
            </w:r>
          </w:p>
        </w:tc>
        <w:tc>
          <w:tcPr>
            <w:tcW w:w="2366" w:type="dxa"/>
            <w:tcBorders>
              <w:top w:val="single" w:sz="4" w:space="0" w:color="auto"/>
              <w:bottom w:val="single" w:sz="12" w:space="0" w:color="auto"/>
            </w:tcBorders>
            <w:vAlign w:val="bottom"/>
          </w:tcPr>
          <w:p w:rsidR="00A92E0E" w:rsidRPr="007D1EF4" w:rsidRDefault="00A92E0E" w:rsidP="00A92E0E">
            <w:pPr>
              <w:spacing w:before="60" w:after="60" w:line="320" w:lineRule="exact"/>
              <w:ind w:left="57" w:right="227"/>
              <w:rPr>
                <w:rFonts w:hint="cs"/>
                <w:i/>
                <w:iCs/>
                <w:spacing w:val="0"/>
                <w:kern w:val="0"/>
                <w:szCs w:val="28"/>
                <w:rtl/>
              </w:rPr>
            </w:pPr>
            <w:r w:rsidRPr="007D1EF4">
              <w:rPr>
                <w:rFonts w:hint="cs"/>
                <w:i/>
                <w:iCs/>
                <w:spacing w:val="0"/>
                <w:kern w:val="0"/>
                <w:szCs w:val="28"/>
                <w:rtl/>
              </w:rPr>
              <w:t>بلد الجنسية</w:t>
            </w:r>
          </w:p>
        </w:tc>
        <w:tc>
          <w:tcPr>
            <w:tcW w:w="2190" w:type="dxa"/>
            <w:tcBorders>
              <w:top w:val="single" w:sz="4" w:space="0" w:color="auto"/>
              <w:bottom w:val="single" w:sz="12" w:space="0" w:color="auto"/>
            </w:tcBorders>
          </w:tcPr>
          <w:p w:rsidR="00A92E0E" w:rsidRPr="007D1EF4" w:rsidRDefault="00A92E0E" w:rsidP="00A92E0E">
            <w:pPr>
              <w:spacing w:before="60" w:after="60" w:line="320" w:lineRule="exact"/>
              <w:ind w:left="57" w:right="57"/>
              <w:rPr>
                <w:rFonts w:hint="cs"/>
                <w:i/>
                <w:iCs/>
                <w:spacing w:val="0"/>
                <w:kern w:val="0"/>
                <w:szCs w:val="28"/>
              </w:rPr>
            </w:pPr>
            <w:r w:rsidRPr="007D1EF4">
              <w:rPr>
                <w:rFonts w:hint="cs"/>
                <w:i/>
                <w:iCs/>
                <w:spacing w:val="0"/>
                <w:kern w:val="0"/>
                <w:szCs w:val="28"/>
                <w:rtl/>
              </w:rPr>
              <w:t xml:space="preserve">مدة العضوية تنتهي في 31 كانون الأول/ديسمبر </w:t>
            </w:r>
          </w:p>
        </w:tc>
      </w:tr>
      <w:tr w:rsidR="00A92E0E" w:rsidRPr="007D1EF4" w:rsidTr="007D1EF4">
        <w:tblPrEx>
          <w:tblCellMar>
            <w:top w:w="0" w:type="dxa"/>
            <w:bottom w:w="0" w:type="dxa"/>
          </w:tblCellMar>
        </w:tblPrEx>
        <w:tc>
          <w:tcPr>
            <w:tcW w:w="2792" w:type="dxa"/>
            <w:tcBorders>
              <w:top w:val="single" w:sz="12" w:space="0" w:color="auto"/>
            </w:tcBorders>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السيدة السعدية </w:t>
            </w:r>
            <w:r w:rsidRPr="007D1EF4">
              <w:rPr>
                <w:rFonts w:hint="cs"/>
                <w:b/>
                <w:bCs/>
                <w:spacing w:val="0"/>
                <w:kern w:val="0"/>
                <w:szCs w:val="28"/>
                <w:rtl/>
              </w:rPr>
              <w:t>بلمير</w:t>
            </w:r>
            <w:r w:rsidRPr="007D1EF4">
              <w:rPr>
                <w:spacing w:val="0"/>
                <w:kern w:val="0"/>
                <w:szCs w:val="28"/>
                <w:rtl/>
              </w:rPr>
              <w:br/>
            </w:r>
            <w:r w:rsidRPr="007D1EF4">
              <w:rPr>
                <w:rFonts w:hint="cs"/>
                <w:spacing w:val="0"/>
                <w:kern w:val="0"/>
                <w:szCs w:val="28"/>
                <w:rtl/>
              </w:rPr>
              <w:t>(نائبة الرئيس)</w:t>
            </w:r>
          </w:p>
        </w:tc>
        <w:tc>
          <w:tcPr>
            <w:tcW w:w="2366" w:type="dxa"/>
            <w:tcBorders>
              <w:top w:val="single" w:sz="12" w:space="0" w:color="auto"/>
            </w:tcBorders>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المغرب</w:t>
            </w:r>
          </w:p>
        </w:tc>
        <w:tc>
          <w:tcPr>
            <w:tcW w:w="2190" w:type="dxa"/>
            <w:tcBorders>
              <w:top w:val="single" w:sz="12" w:space="0" w:color="auto"/>
            </w:tcBorders>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2013</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 أليسيو </w:t>
            </w:r>
            <w:r w:rsidRPr="007D1EF4">
              <w:rPr>
                <w:rFonts w:hint="cs"/>
                <w:b/>
                <w:bCs/>
                <w:spacing w:val="0"/>
                <w:kern w:val="0"/>
                <w:szCs w:val="28"/>
                <w:rtl/>
              </w:rPr>
              <w:t>بروني</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إيطاليا</w:t>
            </w:r>
          </w:p>
        </w:tc>
        <w:tc>
          <w:tcPr>
            <w:tcW w:w="2190"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2013</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 ساتيابهوشون غوبت </w:t>
            </w:r>
            <w:r w:rsidRPr="007D1EF4">
              <w:rPr>
                <w:rFonts w:hint="cs"/>
                <w:b/>
                <w:bCs/>
                <w:spacing w:val="0"/>
                <w:kern w:val="0"/>
                <w:szCs w:val="28"/>
                <w:rtl/>
              </w:rPr>
              <w:t>دوماه</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موريشيوس</w:t>
            </w:r>
          </w:p>
        </w:tc>
        <w:tc>
          <w:tcPr>
            <w:tcW w:w="2190"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2015</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السيدة فيليس </w:t>
            </w:r>
            <w:r w:rsidRPr="007D1EF4">
              <w:rPr>
                <w:rFonts w:hint="cs"/>
                <w:b/>
                <w:bCs/>
                <w:spacing w:val="0"/>
                <w:kern w:val="0"/>
                <w:szCs w:val="28"/>
                <w:rtl/>
              </w:rPr>
              <w:t>غاير</w:t>
            </w:r>
            <w:r w:rsidRPr="007D1EF4">
              <w:rPr>
                <w:spacing w:val="0"/>
                <w:kern w:val="0"/>
                <w:szCs w:val="28"/>
                <w:rtl/>
              </w:rPr>
              <w:br/>
            </w:r>
            <w:r w:rsidRPr="007D1EF4">
              <w:rPr>
                <w:rFonts w:hint="cs"/>
                <w:spacing w:val="0"/>
                <w:kern w:val="0"/>
                <w:szCs w:val="28"/>
                <w:rtl/>
              </w:rPr>
              <w:t>(نائب الرئيس)</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الولايات المتحدة الأمريكية</w:t>
            </w:r>
          </w:p>
        </w:tc>
        <w:tc>
          <w:tcPr>
            <w:tcW w:w="2190" w:type="dxa"/>
          </w:tcPr>
          <w:p w:rsidR="00A92E0E" w:rsidRPr="007D1EF4" w:rsidRDefault="00A92E0E" w:rsidP="00A92E0E">
            <w:pPr>
              <w:spacing w:before="60" w:after="60" w:line="320" w:lineRule="exact"/>
              <w:ind w:left="57" w:right="57"/>
              <w:rPr>
                <w:rFonts w:hint="cs"/>
                <w:spacing w:val="0"/>
                <w:kern w:val="0"/>
                <w:szCs w:val="28"/>
              </w:rPr>
            </w:pPr>
            <w:r w:rsidRPr="007D1EF4">
              <w:rPr>
                <w:rFonts w:hint="cs"/>
                <w:spacing w:val="0"/>
                <w:kern w:val="0"/>
                <w:szCs w:val="28"/>
                <w:rtl/>
              </w:rPr>
              <w:t>2011</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 عبدولاي </w:t>
            </w:r>
            <w:r w:rsidRPr="007D1EF4">
              <w:rPr>
                <w:rFonts w:hint="cs"/>
                <w:b/>
                <w:bCs/>
                <w:spacing w:val="0"/>
                <w:kern w:val="0"/>
                <w:szCs w:val="28"/>
                <w:rtl/>
              </w:rPr>
              <w:t>غاي</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السنغال</w:t>
            </w:r>
          </w:p>
        </w:tc>
        <w:tc>
          <w:tcPr>
            <w:tcW w:w="2190"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2015</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 كلاوديو </w:t>
            </w:r>
            <w:r w:rsidRPr="007D1EF4">
              <w:rPr>
                <w:rFonts w:hint="cs"/>
                <w:b/>
                <w:bCs/>
                <w:spacing w:val="0"/>
                <w:kern w:val="0"/>
                <w:szCs w:val="28"/>
                <w:rtl/>
              </w:rPr>
              <w:t>غروسمان</w:t>
            </w:r>
            <w:r w:rsidRPr="007D1EF4">
              <w:rPr>
                <w:spacing w:val="0"/>
                <w:kern w:val="0"/>
                <w:szCs w:val="28"/>
                <w:rtl/>
              </w:rPr>
              <w:br/>
            </w:r>
            <w:r w:rsidRPr="007D1EF4">
              <w:rPr>
                <w:rFonts w:hint="cs"/>
                <w:spacing w:val="0"/>
                <w:kern w:val="0"/>
                <w:szCs w:val="28"/>
                <w:rtl/>
              </w:rPr>
              <w:t>(الرئيس)</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شيلي</w:t>
            </w:r>
          </w:p>
        </w:tc>
        <w:tc>
          <w:tcPr>
            <w:tcW w:w="2190"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2015</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 فرناندو مارينيو </w:t>
            </w:r>
            <w:r w:rsidRPr="007D1EF4">
              <w:rPr>
                <w:rFonts w:hint="cs"/>
                <w:b/>
                <w:bCs/>
                <w:spacing w:val="0"/>
                <w:kern w:val="0"/>
                <w:szCs w:val="28"/>
                <w:rtl/>
              </w:rPr>
              <w:t>مينيديز</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إسبانيا</w:t>
            </w:r>
          </w:p>
        </w:tc>
        <w:tc>
          <w:tcPr>
            <w:tcW w:w="2190" w:type="dxa"/>
          </w:tcPr>
          <w:p w:rsidR="00A92E0E" w:rsidRPr="007D1EF4" w:rsidRDefault="00A92E0E" w:rsidP="00A92E0E">
            <w:pPr>
              <w:spacing w:before="60" w:after="60" w:line="320" w:lineRule="exact"/>
              <w:ind w:left="57" w:right="57"/>
              <w:rPr>
                <w:rFonts w:hint="cs"/>
                <w:spacing w:val="0"/>
                <w:kern w:val="0"/>
                <w:szCs w:val="28"/>
              </w:rPr>
            </w:pPr>
            <w:r w:rsidRPr="007D1EF4">
              <w:rPr>
                <w:rFonts w:hint="cs"/>
                <w:spacing w:val="0"/>
                <w:kern w:val="0"/>
                <w:szCs w:val="28"/>
                <w:rtl/>
              </w:rPr>
              <w:t>2013</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السيدة نورا </w:t>
            </w:r>
            <w:r w:rsidRPr="007D1EF4">
              <w:rPr>
                <w:rFonts w:hint="cs"/>
                <w:b/>
                <w:bCs/>
                <w:spacing w:val="0"/>
                <w:kern w:val="0"/>
                <w:szCs w:val="28"/>
                <w:rtl/>
              </w:rPr>
              <w:t>سفياس</w:t>
            </w:r>
            <w:r w:rsidRPr="007D1EF4">
              <w:rPr>
                <w:spacing w:val="0"/>
                <w:kern w:val="0"/>
                <w:szCs w:val="28"/>
                <w:rtl/>
              </w:rPr>
              <w:br/>
            </w:r>
            <w:r w:rsidRPr="007D1EF4">
              <w:rPr>
                <w:rFonts w:hint="cs"/>
                <w:spacing w:val="0"/>
                <w:kern w:val="0"/>
                <w:szCs w:val="28"/>
                <w:rtl/>
              </w:rPr>
              <w:t>(المقررة)</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النرويج</w:t>
            </w:r>
          </w:p>
        </w:tc>
        <w:tc>
          <w:tcPr>
            <w:tcW w:w="2190"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2013</w:t>
            </w:r>
          </w:p>
        </w:tc>
      </w:tr>
      <w:tr w:rsidR="00A92E0E" w:rsidRPr="007D1EF4" w:rsidTr="007D1EF4">
        <w:tblPrEx>
          <w:tblCellMar>
            <w:top w:w="0" w:type="dxa"/>
            <w:bottom w:w="0" w:type="dxa"/>
          </w:tblCellMar>
        </w:tblPrEx>
        <w:tc>
          <w:tcPr>
            <w:tcW w:w="279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 جورج </w:t>
            </w:r>
            <w:r w:rsidRPr="007D1EF4">
              <w:rPr>
                <w:rFonts w:hint="cs"/>
                <w:b/>
                <w:bCs/>
                <w:spacing w:val="0"/>
                <w:kern w:val="0"/>
                <w:szCs w:val="28"/>
                <w:rtl/>
              </w:rPr>
              <w:t>توغوشي</w:t>
            </w:r>
          </w:p>
        </w:tc>
        <w:tc>
          <w:tcPr>
            <w:tcW w:w="2366"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جورجيا</w:t>
            </w:r>
          </w:p>
        </w:tc>
        <w:tc>
          <w:tcPr>
            <w:tcW w:w="2190"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2015</w:t>
            </w:r>
          </w:p>
        </w:tc>
      </w:tr>
      <w:tr w:rsidR="00A92E0E" w:rsidRPr="007D1EF4" w:rsidTr="007D1EF4">
        <w:tblPrEx>
          <w:tblCellMar>
            <w:top w:w="0" w:type="dxa"/>
            <w:bottom w:w="0" w:type="dxa"/>
          </w:tblCellMar>
        </w:tblPrEx>
        <w:tc>
          <w:tcPr>
            <w:tcW w:w="2792" w:type="dxa"/>
            <w:tcBorders>
              <w:bottom w:val="single" w:sz="12" w:space="0" w:color="auto"/>
            </w:tcBorders>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 xml:space="preserve">السيد سييسيان </w:t>
            </w:r>
            <w:r w:rsidRPr="007D1EF4">
              <w:rPr>
                <w:rFonts w:hint="cs"/>
                <w:b/>
                <w:bCs/>
                <w:spacing w:val="0"/>
                <w:kern w:val="0"/>
                <w:szCs w:val="28"/>
                <w:rtl/>
              </w:rPr>
              <w:t>وانغ</w:t>
            </w:r>
            <w:r w:rsidRPr="007D1EF4">
              <w:rPr>
                <w:spacing w:val="0"/>
                <w:kern w:val="0"/>
                <w:szCs w:val="28"/>
                <w:rtl/>
              </w:rPr>
              <w:br/>
            </w:r>
            <w:r w:rsidRPr="007D1EF4">
              <w:rPr>
                <w:rFonts w:hint="cs"/>
                <w:spacing w:val="0"/>
                <w:kern w:val="0"/>
                <w:szCs w:val="28"/>
                <w:rtl/>
              </w:rPr>
              <w:t>(نائب الرئيس)</w:t>
            </w:r>
          </w:p>
        </w:tc>
        <w:tc>
          <w:tcPr>
            <w:tcW w:w="2366" w:type="dxa"/>
            <w:tcBorders>
              <w:bottom w:val="single" w:sz="12" w:space="0" w:color="auto"/>
            </w:tcBorders>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الصين</w:t>
            </w:r>
          </w:p>
        </w:tc>
        <w:tc>
          <w:tcPr>
            <w:tcW w:w="2190" w:type="dxa"/>
            <w:tcBorders>
              <w:bottom w:val="single" w:sz="12" w:space="0" w:color="auto"/>
            </w:tcBorders>
          </w:tcPr>
          <w:p w:rsidR="00A92E0E" w:rsidRPr="007D1EF4" w:rsidRDefault="00A92E0E" w:rsidP="00A92E0E">
            <w:pPr>
              <w:spacing w:before="60" w:after="60" w:line="320" w:lineRule="exact"/>
              <w:ind w:left="57" w:right="57"/>
              <w:rPr>
                <w:rFonts w:hint="cs"/>
                <w:spacing w:val="0"/>
                <w:kern w:val="0"/>
                <w:szCs w:val="28"/>
              </w:rPr>
            </w:pPr>
            <w:r w:rsidRPr="007D1EF4">
              <w:rPr>
                <w:rFonts w:hint="cs"/>
                <w:spacing w:val="0"/>
                <w:kern w:val="0"/>
                <w:szCs w:val="28"/>
                <w:rtl/>
              </w:rPr>
              <w:t>2013</w:t>
            </w:r>
          </w:p>
        </w:tc>
      </w:tr>
    </w:tbl>
    <w:p w:rsidR="00A92E0E" w:rsidRPr="00974BD5" w:rsidRDefault="00A92E0E" w:rsidP="00A92E0E">
      <w:pPr>
        <w:pStyle w:val="SingleTxtGA"/>
        <w:rPr>
          <w:rtl/>
          <w:lang w:val="fr-CH"/>
        </w:rPr>
      </w:pPr>
    </w:p>
    <w:p w:rsidR="00A92E0E" w:rsidRPr="00974BD5" w:rsidRDefault="00A92E0E" w:rsidP="00A92E0E">
      <w:pPr>
        <w:pStyle w:val="HChGA"/>
        <w:pageBreakBefore/>
        <w:spacing w:before="120"/>
        <w:rPr>
          <w:rtl/>
          <w:lang w:val="fr-CH"/>
        </w:rPr>
      </w:pPr>
      <w:r w:rsidRPr="00974BD5">
        <w:rPr>
          <w:rtl/>
          <w:lang w:val="fr-CH"/>
        </w:rPr>
        <w:t>المرفق الخامس</w:t>
      </w:r>
    </w:p>
    <w:p w:rsidR="00A92E0E" w:rsidRPr="00F86A90" w:rsidRDefault="00A92E0E" w:rsidP="00F86A90">
      <w:pPr>
        <w:pStyle w:val="HChGA"/>
        <w:jc w:val="lowKashida"/>
        <w:rPr>
          <w:rFonts w:ascii="Times New Roman Bold" w:hAnsi="Times New Roman Bold" w:hint="cs"/>
          <w:spacing w:val="0"/>
          <w:rtl/>
          <w:lang w:val="fr-CH"/>
        </w:rPr>
      </w:pPr>
      <w:r w:rsidRPr="00974BD5">
        <w:rPr>
          <w:rtl/>
          <w:lang w:val="fr-CH"/>
        </w:rPr>
        <w:tab/>
      </w:r>
      <w:r w:rsidRPr="00974BD5">
        <w:rPr>
          <w:rtl/>
          <w:lang w:val="fr-CH"/>
        </w:rPr>
        <w:tab/>
      </w:r>
      <w:r w:rsidRPr="00F86A90">
        <w:rPr>
          <w:rFonts w:ascii="Times New Roman Bold" w:hAnsi="Times New Roman Bold"/>
          <w:spacing w:val="0"/>
          <w:rtl/>
          <w:lang w:val="fr-CH"/>
        </w:rPr>
        <w:t>الدول الأطراف التي وقّعت على البروتوكول الاختياري لاتفاقية مناهضة التعذيب وغيره من ضروب المعاملة أو العقوبة القاسية أو</w:t>
      </w:r>
      <w:r w:rsidRPr="00F86A90">
        <w:rPr>
          <w:rFonts w:ascii="Times New Roman Bold" w:hAnsi="Times New Roman Bold" w:hint="cs"/>
          <w:spacing w:val="0"/>
          <w:rtl/>
          <w:lang w:val="fr-CH"/>
        </w:rPr>
        <w:t> </w:t>
      </w:r>
      <w:r w:rsidRPr="00F86A90">
        <w:rPr>
          <w:rFonts w:ascii="Times New Roman Bold" w:hAnsi="Times New Roman Bold"/>
          <w:spacing w:val="0"/>
          <w:rtl/>
          <w:lang w:val="fr-CH"/>
        </w:rPr>
        <w:t>اللاإنسانية أو المهينة، أو صدقت عليه أو انضمت إليه حتى 1 حزيران/يونيه 2012</w:t>
      </w:r>
    </w:p>
    <w:tbl>
      <w:tblPr>
        <w:bidiVisual/>
        <w:tblW w:w="8400" w:type="dxa"/>
        <w:tblInd w:w="1238" w:type="dxa"/>
        <w:tblLayout w:type="fixed"/>
        <w:tblCellMar>
          <w:left w:w="0" w:type="dxa"/>
          <w:right w:w="0" w:type="dxa"/>
        </w:tblCellMar>
        <w:tblLook w:val="0000"/>
      </w:tblPr>
      <w:tblGrid>
        <w:gridCol w:w="2600"/>
        <w:gridCol w:w="3100"/>
        <w:gridCol w:w="2700"/>
      </w:tblGrid>
      <w:tr w:rsidR="00A92E0E" w:rsidRPr="003C0E49" w:rsidTr="00A92E0E">
        <w:tblPrEx>
          <w:tblCellMar>
            <w:top w:w="0" w:type="dxa"/>
            <w:bottom w:w="0" w:type="dxa"/>
            <w:right w:w="0" w:type="dxa"/>
          </w:tblCellMar>
        </w:tblPrEx>
        <w:trPr>
          <w:cantSplit/>
          <w:trHeight w:val="521"/>
          <w:tblHeader/>
        </w:trPr>
        <w:tc>
          <w:tcPr>
            <w:tcW w:w="2600" w:type="dxa"/>
            <w:tcBorders>
              <w:top w:val="single" w:sz="4" w:space="0" w:color="auto"/>
              <w:bottom w:val="single" w:sz="12" w:space="0" w:color="auto"/>
            </w:tcBorders>
            <w:vAlign w:val="bottom"/>
          </w:tcPr>
          <w:p w:rsidR="00A92E0E" w:rsidRPr="003C0E49" w:rsidRDefault="00A92E0E" w:rsidP="00A92E0E">
            <w:pPr>
              <w:spacing w:before="60" w:after="60" w:line="320" w:lineRule="exact"/>
              <w:ind w:left="57" w:right="227"/>
              <w:rPr>
                <w:rFonts w:hint="cs"/>
                <w:i/>
                <w:iCs/>
                <w:szCs w:val="28"/>
              </w:rPr>
            </w:pPr>
            <w:r w:rsidRPr="003C0E49">
              <w:rPr>
                <w:rFonts w:hint="cs"/>
                <w:i/>
                <w:iCs/>
                <w:szCs w:val="28"/>
                <w:rtl/>
              </w:rPr>
              <w:t>الدولة</w:t>
            </w:r>
          </w:p>
        </w:tc>
        <w:tc>
          <w:tcPr>
            <w:tcW w:w="3100" w:type="dxa"/>
            <w:tcBorders>
              <w:top w:val="single" w:sz="4" w:space="0" w:color="auto"/>
              <w:bottom w:val="single" w:sz="12" w:space="0" w:color="auto"/>
            </w:tcBorders>
            <w:vAlign w:val="bottom"/>
          </w:tcPr>
          <w:p w:rsidR="00A92E0E" w:rsidRPr="003C0E49" w:rsidRDefault="00A92E0E" w:rsidP="00A92E0E">
            <w:pPr>
              <w:spacing w:before="60" w:after="60" w:line="320" w:lineRule="exact"/>
              <w:ind w:left="57" w:right="227"/>
              <w:rPr>
                <w:rFonts w:hint="cs"/>
                <w:i/>
                <w:iCs/>
                <w:szCs w:val="28"/>
              </w:rPr>
            </w:pPr>
            <w:r w:rsidRPr="003C0E49">
              <w:rPr>
                <w:rFonts w:hint="cs"/>
                <w:i/>
                <w:iCs/>
                <w:szCs w:val="28"/>
                <w:rtl/>
              </w:rPr>
              <w:t>تاريخ التوقيع أو الخلافة في التوقيع</w:t>
            </w:r>
            <w:r w:rsidRPr="003C0E49">
              <w:rPr>
                <w:rFonts w:hint="cs"/>
                <w:szCs w:val="28"/>
                <w:vertAlign w:val="superscript"/>
                <w:rtl/>
              </w:rPr>
              <w:t>(ب)</w:t>
            </w:r>
          </w:p>
        </w:tc>
        <w:tc>
          <w:tcPr>
            <w:tcW w:w="2700" w:type="dxa"/>
            <w:tcBorders>
              <w:top w:val="single" w:sz="4" w:space="0" w:color="auto"/>
              <w:bottom w:val="single" w:sz="12" w:space="0" w:color="auto"/>
            </w:tcBorders>
            <w:vAlign w:val="bottom"/>
          </w:tcPr>
          <w:p w:rsidR="00A92E0E" w:rsidRPr="003C0E49" w:rsidRDefault="00A92E0E" w:rsidP="00A92E0E">
            <w:pPr>
              <w:spacing w:before="60" w:after="60" w:line="320" w:lineRule="exact"/>
              <w:ind w:left="57" w:right="57"/>
              <w:rPr>
                <w:rFonts w:hint="cs"/>
                <w:i/>
                <w:iCs/>
                <w:szCs w:val="28"/>
              </w:rPr>
            </w:pPr>
            <w:r w:rsidRPr="003C0E49">
              <w:rPr>
                <w:rFonts w:hint="cs"/>
                <w:i/>
                <w:iCs/>
                <w:szCs w:val="28"/>
                <w:rtl/>
              </w:rPr>
              <w:t>تاريخ التصديق أو الانضمام</w:t>
            </w:r>
            <w:r w:rsidRPr="003C0E49">
              <w:rPr>
                <w:rFonts w:hint="cs"/>
                <w:szCs w:val="28"/>
                <w:vertAlign w:val="superscript"/>
                <w:rtl/>
              </w:rPr>
              <w:t>(أ)</w:t>
            </w:r>
            <w:r w:rsidRPr="003C0E49">
              <w:rPr>
                <w:rFonts w:hint="cs"/>
                <w:i/>
                <w:iCs/>
                <w:szCs w:val="28"/>
                <w:rtl/>
              </w:rPr>
              <w:t xml:space="preserve"> أو</w:t>
            </w:r>
            <w:r>
              <w:rPr>
                <w:rFonts w:hint="eastAsia"/>
                <w:i/>
                <w:iCs/>
                <w:szCs w:val="28"/>
                <w:rtl/>
              </w:rPr>
              <w:t> </w:t>
            </w:r>
            <w:r w:rsidRPr="003C0E49">
              <w:rPr>
                <w:rFonts w:hint="cs"/>
                <w:i/>
                <w:iCs/>
                <w:szCs w:val="28"/>
                <w:rtl/>
              </w:rPr>
              <w:t>الخلافة</w:t>
            </w:r>
            <w:r w:rsidRPr="003C0E49">
              <w:rPr>
                <w:rFonts w:hint="cs"/>
                <w:szCs w:val="28"/>
                <w:vertAlign w:val="superscript"/>
                <w:rtl/>
              </w:rPr>
              <w:t>(ب)</w:t>
            </w:r>
          </w:p>
        </w:tc>
      </w:tr>
      <w:tr w:rsidR="00A92E0E" w:rsidRPr="003C0E49" w:rsidTr="00A92E0E">
        <w:tblPrEx>
          <w:tblCellMar>
            <w:top w:w="0" w:type="dxa"/>
            <w:bottom w:w="0" w:type="dxa"/>
            <w:right w:w="0" w:type="dxa"/>
          </w:tblCellMar>
        </w:tblPrEx>
        <w:trPr>
          <w:cantSplit/>
        </w:trPr>
        <w:tc>
          <w:tcPr>
            <w:tcW w:w="2600" w:type="dxa"/>
            <w:tcBorders>
              <w:top w:val="single" w:sz="12" w:space="0" w:color="auto"/>
            </w:tcBorders>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أذربيجان</w:t>
            </w:r>
          </w:p>
        </w:tc>
        <w:tc>
          <w:tcPr>
            <w:tcW w:w="3100" w:type="dxa"/>
            <w:tcBorders>
              <w:top w:val="single" w:sz="12" w:space="0" w:color="auto"/>
            </w:tcBorders>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15 أيلول/سبتمبر 2005</w:t>
            </w:r>
          </w:p>
        </w:tc>
        <w:tc>
          <w:tcPr>
            <w:tcW w:w="2700" w:type="dxa"/>
            <w:tcBorders>
              <w:top w:val="single" w:sz="12" w:space="0" w:color="auto"/>
            </w:tcBorders>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28 كانون الثاني/يناير 2009</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الأرجنتين</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30 نيسان/أبريل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15 تشرين الثاني/نوفمبر 2004</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أرمينيا</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14 أيلول/سبتمبر 2006</w:t>
            </w:r>
            <w:r w:rsidRPr="003C0E49">
              <w:rPr>
                <w:rFonts w:hint="cs"/>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إسبانيا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13 نيسان/أبريل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4 نيسان/أبريل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إستونيا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21 أيلول/سبتمبر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18 كانون الأول/ديسمبر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إكوادور</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أيار/مايو 2007</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20 تموز/يوليه 2010</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szCs w:val="28"/>
              </w:rPr>
            </w:pPr>
            <w:r w:rsidRPr="003C0E49">
              <w:rPr>
                <w:rFonts w:hint="cs"/>
                <w:szCs w:val="28"/>
                <w:rtl/>
              </w:rPr>
              <w:t>ألبانيا</w:t>
            </w:r>
            <w:r w:rsidRPr="003C0E49">
              <w:rPr>
                <w:szCs w:val="28"/>
              </w:rPr>
              <w:t xml:space="preserve"> </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 تشرين الأول/أكتوبر 2003</w:t>
            </w:r>
            <w:r w:rsidRPr="003C0E49">
              <w:rPr>
                <w:rFonts w:hint="cs"/>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ألمانيا</w:t>
            </w:r>
          </w:p>
        </w:tc>
        <w:tc>
          <w:tcPr>
            <w:tcW w:w="31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20 أيلول/سبتمبر 2006</w:t>
            </w:r>
          </w:p>
        </w:tc>
        <w:tc>
          <w:tcPr>
            <w:tcW w:w="2700" w:type="dxa"/>
            <w:vAlign w:val="bottom"/>
          </w:tcPr>
          <w:p w:rsidR="00A92E0E" w:rsidRPr="003C0E49" w:rsidRDefault="00A92E0E" w:rsidP="00A92E0E">
            <w:pPr>
              <w:spacing w:before="60" w:after="60" w:line="320" w:lineRule="exact"/>
              <w:ind w:left="57" w:right="57"/>
              <w:rPr>
                <w:rFonts w:hint="cs"/>
                <w:szCs w:val="28"/>
                <w:rtl/>
              </w:rPr>
            </w:pPr>
            <w:r w:rsidRPr="003C0E49">
              <w:rPr>
                <w:rFonts w:hint="cs"/>
                <w:szCs w:val="28"/>
                <w:rtl/>
              </w:rPr>
              <w:t>4 كانون الأول/ديسمبر 2008</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أوروغواي</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12 كانون الثاني/يناير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8 كانون الأول/ديسمبر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أوكرانيا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23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19 أيلول/سبتمبر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آيرلندا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 تشرين الأول/أكتوبر 2007</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آيسلندا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أيلول/سبتمبر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إيطاليا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20 آب/أغسطس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باراغواي</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22 أيلول/سبتمبر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 كانون الأول/ديسمبر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البرازيل</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13 تشرين الأول/أكتوبر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12 كانون الثاني/يناير 2007</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البرتغال</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15 شباط/فبراير 2006</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بلجيكا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تشرين الأول/أكتوبر 2005</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بلغاريا</w:t>
            </w:r>
          </w:p>
        </w:tc>
        <w:tc>
          <w:tcPr>
            <w:tcW w:w="31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22 أيلول/سبتمبر 2010</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 حزيران/يونيه 2011</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بنما</w:t>
            </w:r>
          </w:p>
        </w:tc>
        <w:tc>
          <w:tcPr>
            <w:tcW w:w="31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22 أيلول/سبتمبر 2010</w:t>
            </w:r>
          </w:p>
        </w:tc>
        <w:tc>
          <w:tcPr>
            <w:tcW w:w="2700" w:type="dxa"/>
            <w:vAlign w:val="bottom"/>
          </w:tcPr>
          <w:p w:rsidR="00A92E0E" w:rsidRPr="003C0E49" w:rsidRDefault="00A92E0E" w:rsidP="00A92E0E">
            <w:pPr>
              <w:spacing w:before="60" w:after="60" w:line="320" w:lineRule="exact"/>
              <w:ind w:left="57" w:right="57"/>
              <w:rPr>
                <w:rFonts w:hint="cs"/>
                <w:szCs w:val="28"/>
                <w:rtl/>
              </w:rPr>
            </w:pPr>
            <w:r w:rsidRPr="003C0E49">
              <w:rPr>
                <w:rFonts w:hint="cs"/>
                <w:szCs w:val="28"/>
                <w:rtl/>
              </w:rPr>
              <w:t>2 حزيران/يونيه 2011</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بنن</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شباط/فبراير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20 أيلول/سبتمبر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بوركينا فاسو</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21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7 تموز/يوليه 2010</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البوسنة والهرسك</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7 كانون الأول/ديسمبر 2007</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24 تشرين الأول/أكتوبر 2008</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بولندا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5 نيسان/أبريل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14 أيلول/سبتمبر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بوليفيا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22 أيار/مايو 2006</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23 أيار/مايو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بيرو</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14 أيلول/سبتمبر 2006</w:t>
            </w:r>
            <w:r w:rsidRPr="003C0E49">
              <w:rPr>
                <w:rFonts w:hint="cs"/>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تركيا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14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27 أيلول/سبتمبر 2011</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توغو</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15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20 تموز/يوليه 2010</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تونس</w:t>
            </w:r>
          </w:p>
        </w:tc>
        <w:tc>
          <w:tcPr>
            <w:tcW w:w="3100" w:type="dxa"/>
            <w:vAlign w:val="bottom"/>
          </w:tcPr>
          <w:p w:rsidR="00A92E0E" w:rsidRPr="003C0E49" w:rsidRDefault="00A92E0E" w:rsidP="00A92E0E">
            <w:pPr>
              <w:spacing w:before="60" w:after="60" w:line="320" w:lineRule="exact"/>
              <w:ind w:left="57" w:right="227"/>
              <w:rPr>
                <w:rFonts w:hint="cs"/>
                <w:szCs w:val="28"/>
                <w:rtl/>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29 حزيران/يونيه 2011</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تيمور - ليشتي</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16 أيلول/سبتمبر 2005</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الجبل الأسود</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23 تشرين الأول/أكتوبر 2006</w:t>
            </w:r>
            <w:r w:rsidRPr="003C0E49">
              <w:rPr>
                <w:rFonts w:hint="cs"/>
                <w:szCs w:val="28"/>
                <w:vertAlign w:val="superscript"/>
                <w:rtl/>
              </w:rPr>
              <w:t>(ب)</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6 آذار/مارس 2009</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الجمهورية التشيكية</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13 أيلول/سبتمبر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10 تموز/يوليه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جمهورية الكونغو الديمقراطية</w:t>
            </w:r>
          </w:p>
        </w:tc>
        <w:tc>
          <w:tcPr>
            <w:tcW w:w="3100" w:type="dxa"/>
            <w:vAlign w:val="bottom"/>
          </w:tcPr>
          <w:p w:rsidR="00A92E0E" w:rsidRPr="003C0E49" w:rsidRDefault="00A92E0E" w:rsidP="00A92E0E">
            <w:pPr>
              <w:spacing w:before="60" w:after="60" w:line="320" w:lineRule="exact"/>
              <w:ind w:left="57" w:right="227"/>
              <w:rPr>
                <w:rFonts w:hint="cs"/>
                <w:szCs w:val="28"/>
                <w:rtl/>
              </w:rPr>
            </w:pPr>
          </w:p>
        </w:tc>
        <w:tc>
          <w:tcPr>
            <w:tcW w:w="2700" w:type="dxa"/>
            <w:vAlign w:val="bottom"/>
          </w:tcPr>
          <w:p w:rsidR="00A92E0E" w:rsidRPr="003C0E49" w:rsidRDefault="00A92E0E" w:rsidP="00A92E0E">
            <w:pPr>
              <w:spacing w:before="60" w:after="60" w:line="320" w:lineRule="exact"/>
              <w:ind w:left="57" w:right="57"/>
              <w:rPr>
                <w:rFonts w:hint="cs"/>
                <w:szCs w:val="28"/>
                <w:rtl/>
              </w:rPr>
            </w:pPr>
            <w:r w:rsidRPr="003C0E49">
              <w:rPr>
                <w:rFonts w:hint="cs"/>
                <w:szCs w:val="28"/>
                <w:rtl/>
              </w:rPr>
              <w:t>23 أيلول/سبتمبر 2010</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جمهورية مقدونيا اليوغوسلافية السابقة</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 أيلول/سبتمبر 2006</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13 شباط/فبراير 2009</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جمهورية مولدوفا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16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24 تموز/يوليه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جنوب أفريقيا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20 أيلول/سبتمبر 2006</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جورجيا</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9 آب/أغسطس 2005</w:t>
            </w:r>
            <w:r w:rsidRPr="003C0E49">
              <w:rPr>
                <w:rFonts w:hint="cs"/>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الدانمرك</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26 حزيران/يونيه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25 حزيران/يونيه 2004</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الرأس الأخضر</w:t>
            </w:r>
          </w:p>
        </w:tc>
        <w:tc>
          <w:tcPr>
            <w:tcW w:w="31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26 أيلول/سبتمبر 2011</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رومانيا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أيلول/سبتمبر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زامبيا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27 أيلول/سبتمبر 2010</w:t>
            </w:r>
          </w:p>
        </w:tc>
        <w:tc>
          <w:tcPr>
            <w:tcW w:w="2700" w:type="dxa"/>
            <w:vAlign w:val="bottom"/>
          </w:tcPr>
          <w:p w:rsidR="00A92E0E" w:rsidRPr="003C0E49" w:rsidRDefault="00A92E0E" w:rsidP="00A92E0E">
            <w:pPr>
              <w:spacing w:before="60" w:after="60" w:line="320" w:lineRule="exact"/>
              <w:ind w:left="57" w:right="57"/>
              <w:rPr>
                <w:rFonts w:hint="cs"/>
                <w:szCs w:val="28"/>
                <w:rtl/>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سلوفينيا</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23 كانون الثاني/يناير 2007</w:t>
            </w:r>
            <w:r w:rsidRPr="003C0E49">
              <w:rPr>
                <w:rFonts w:hint="cs"/>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السنغال</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4 شباط/فبراير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18 تشرين الأول/أكتوبر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السويد</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26 حزيران/يونيه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14 أيلول/سبتمبر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سويسرا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25 حزيران/يونيه 2004</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سيراليون</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26 أيلول/سبتمبر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شيلي</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6 حزيران/يونيه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12 كانون الأول/ديسمبر 2008</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صربيا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25 أيلول/سبتمبر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26 أيلول/سبتمبر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غابون</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15 كانون الأول/ديسمبر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22 أيلول/سبتمبر 2010</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غانا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6 تشرين الثاني/نوفمبر 2006</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غواتيمالا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25 أيلول/سبتمبر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9 حزيران/يونيه 2008</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غينيا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16 أيلول/سبتمبر 2005</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فرنسا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16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11 تشرين الثاني/نوفمبر 2008</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الفلبين</w:t>
            </w:r>
          </w:p>
        </w:tc>
        <w:tc>
          <w:tcPr>
            <w:tcW w:w="3100" w:type="dxa"/>
            <w:vAlign w:val="bottom"/>
          </w:tcPr>
          <w:p w:rsidR="00A92E0E" w:rsidRPr="003C0E49" w:rsidRDefault="00A92E0E" w:rsidP="00A92E0E">
            <w:pPr>
              <w:spacing w:before="60" w:after="60" w:line="320" w:lineRule="exact"/>
              <w:ind w:left="57" w:right="227"/>
              <w:rPr>
                <w:rFonts w:hint="cs"/>
                <w:szCs w:val="28"/>
                <w:rtl/>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17 نيسان/أبريل 2012</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فنزويلا</w:t>
            </w:r>
          </w:p>
        </w:tc>
        <w:tc>
          <w:tcPr>
            <w:tcW w:w="31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1 تموز/</w:t>
            </w:r>
            <w:r>
              <w:rPr>
                <w:rFonts w:hint="cs"/>
                <w:szCs w:val="28"/>
                <w:rtl/>
              </w:rPr>
              <w:t>يوليه</w:t>
            </w:r>
            <w:r w:rsidRPr="003C0E49">
              <w:rPr>
                <w:rFonts w:hint="cs"/>
                <w:szCs w:val="28"/>
                <w:rtl/>
              </w:rPr>
              <w:t xml:space="preserve"> 2011</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فنلندا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23 أيلول/سبتمبر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قبرص</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26 تموز/يوليه 2004</w:t>
            </w:r>
          </w:p>
        </w:tc>
        <w:tc>
          <w:tcPr>
            <w:tcW w:w="2700" w:type="dxa"/>
            <w:vAlign w:val="bottom"/>
          </w:tcPr>
          <w:p w:rsidR="00A92E0E" w:rsidRPr="003C0E49" w:rsidRDefault="00A92E0E" w:rsidP="00A92E0E">
            <w:pPr>
              <w:spacing w:before="60" w:after="60" w:line="320" w:lineRule="exact"/>
              <w:ind w:left="57" w:right="57"/>
              <w:rPr>
                <w:rFonts w:hint="cs"/>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قيرغيزستان</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29 كانون الأول/ديسمبر 2008</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كازاخستان</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25 أيلول/سبتمبر 2007</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22 تشرين الأول/أكتوبر 2008</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كرواتيا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23 أيلول/سبتمبر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25 نيسان/أبريل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كمبوديا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14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30 آذار/مارس 2007</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كوستاريكا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4 شباط/فبراير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 كانون الأول/ديسمبر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الكونغو</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29 أيلول/سبتمبر 2008</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7D1EF4">
        <w:tblPrEx>
          <w:tblCellMar>
            <w:top w:w="0" w:type="dxa"/>
            <w:bottom w:w="0" w:type="dxa"/>
            <w:right w:w="0" w:type="dxa"/>
          </w:tblCellMar>
        </w:tblPrEx>
        <w:trPr>
          <w:cantSplit/>
        </w:trPr>
        <w:tc>
          <w:tcPr>
            <w:tcW w:w="2600" w:type="dxa"/>
          </w:tcPr>
          <w:p w:rsidR="00A92E0E" w:rsidRPr="003C0E49" w:rsidRDefault="00A92E0E" w:rsidP="007D1EF4">
            <w:pPr>
              <w:spacing w:before="60" w:after="60" w:line="320" w:lineRule="exact"/>
              <w:ind w:left="57" w:right="227"/>
              <w:rPr>
                <w:rFonts w:hint="cs"/>
                <w:szCs w:val="28"/>
              </w:rPr>
            </w:pPr>
            <w:r w:rsidRPr="003C0E49">
              <w:rPr>
                <w:rFonts w:hint="cs"/>
                <w:szCs w:val="28"/>
                <w:rtl/>
              </w:rPr>
              <w:t>لبنان</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7D1EF4" w:rsidRDefault="00A92E0E" w:rsidP="00A92E0E">
            <w:pPr>
              <w:spacing w:before="60" w:after="60" w:line="320" w:lineRule="exact"/>
              <w:ind w:left="57" w:right="57"/>
              <w:rPr>
                <w:rFonts w:hint="cs"/>
                <w:spacing w:val="0"/>
                <w:kern w:val="0"/>
                <w:szCs w:val="28"/>
              </w:rPr>
            </w:pPr>
            <w:r w:rsidRPr="007D1EF4">
              <w:rPr>
                <w:rFonts w:hint="cs"/>
                <w:spacing w:val="0"/>
                <w:kern w:val="0"/>
                <w:szCs w:val="28"/>
                <w:rtl/>
              </w:rPr>
              <w:t>22 كانون الأول/ديسمبر 2008</w:t>
            </w:r>
            <w:r w:rsidRPr="007D1EF4">
              <w:rPr>
                <w:rFonts w:hint="cs"/>
                <w:spacing w:val="0"/>
                <w:kern w:val="0"/>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لكسمبرغ</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13 كانون الثاني/يناير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19 أيار/مايو 2010</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ليبيريا</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22 أيلول/سبتمبر 2004</w:t>
            </w:r>
            <w:r w:rsidRPr="003C0E49">
              <w:rPr>
                <w:rFonts w:hint="cs"/>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ليختنشتاين</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حزيران/يونيه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3 تشرين الثاني/نوفمبر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مالطة</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أيلول/سبتمبر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24 أيلول/سبتمبر 2003</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مالي</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19 كانون الثاني/يناير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12 أيار/مايو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مدغشقر</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أيلول/سبتمبر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المكسيك</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23 أيلول/سبتمبر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11 نيسان/أبريل 2005</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ملديف</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14 أيلول/سبتمبر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15 شباط/فبراير 2006</w:t>
            </w:r>
          </w:p>
        </w:tc>
      </w:tr>
      <w:tr w:rsidR="00A92E0E" w:rsidRPr="003C0E49" w:rsidTr="007D1EF4">
        <w:tblPrEx>
          <w:tblCellMar>
            <w:top w:w="0" w:type="dxa"/>
            <w:bottom w:w="0" w:type="dxa"/>
            <w:right w:w="0" w:type="dxa"/>
          </w:tblCellMar>
        </w:tblPrEx>
        <w:trPr>
          <w:cantSplit/>
        </w:trPr>
        <w:tc>
          <w:tcPr>
            <w:tcW w:w="2600" w:type="dxa"/>
            <w:vAlign w:val="bottom"/>
          </w:tcPr>
          <w:p w:rsidR="00A92E0E" w:rsidRPr="003C0E49" w:rsidRDefault="00A92E0E" w:rsidP="007D1EF4">
            <w:pPr>
              <w:spacing w:before="60" w:after="60" w:line="320" w:lineRule="exact"/>
              <w:ind w:left="57" w:right="359"/>
              <w:jc w:val="lowKashida"/>
              <w:rPr>
                <w:rFonts w:hint="cs"/>
                <w:szCs w:val="28"/>
              </w:rPr>
            </w:pPr>
            <w:r w:rsidRPr="003C0E49">
              <w:rPr>
                <w:rFonts w:hint="cs"/>
                <w:szCs w:val="28"/>
                <w:rtl/>
              </w:rPr>
              <w:t>المملكة المتحدة لبريطانيا العظمى وآيرلندا الشمالية</w:t>
            </w:r>
          </w:p>
        </w:tc>
        <w:tc>
          <w:tcPr>
            <w:tcW w:w="3100" w:type="dxa"/>
          </w:tcPr>
          <w:p w:rsidR="00A92E0E" w:rsidRPr="003C0E49" w:rsidRDefault="00A92E0E" w:rsidP="007D1EF4">
            <w:pPr>
              <w:spacing w:before="60" w:after="60" w:line="320" w:lineRule="exact"/>
              <w:ind w:left="57" w:right="227"/>
              <w:rPr>
                <w:rFonts w:hint="cs"/>
                <w:szCs w:val="28"/>
              </w:rPr>
            </w:pPr>
            <w:r w:rsidRPr="003C0E49">
              <w:rPr>
                <w:rFonts w:hint="cs"/>
                <w:szCs w:val="28"/>
                <w:rtl/>
              </w:rPr>
              <w:t>26 حزيران/يونيه 2003</w:t>
            </w:r>
          </w:p>
        </w:tc>
        <w:tc>
          <w:tcPr>
            <w:tcW w:w="2700" w:type="dxa"/>
          </w:tcPr>
          <w:p w:rsidR="00A92E0E" w:rsidRPr="003C0E49" w:rsidRDefault="00A92E0E" w:rsidP="007D1EF4">
            <w:pPr>
              <w:spacing w:before="60" w:after="60" w:line="320" w:lineRule="exact"/>
              <w:ind w:left="57" w:right="57"/>
              <w:rPr>
                <w:rFonts w:hint="cs"/>
                <w:szCs w:val="28"/>
              </w:rPr>
            </w:pPr>
            <w:r w:rsidRPr="003C0E49">
              <w:rPr>
                <w:rFonts w:hint="cs"/>
                <w:szCs w:val="28"/>
                <w:rtl/>
              </w:rPr>
              <w:t>10 كانون الأول/ديسمبر 2003</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موريتانيا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27 أيلول/سبتمبر 2011</w:t>
            </w:r>
          </w:p>
        </w:tc>
        <w:tc>
          <w:tcPr>
            <w:tcW w:w="2700" w:type="dxa"/>
            <w:vAlign w:val="bottom"/>
          </w:tcPr>
          <w:p w:rsidR="00A92E0E" w:rsidRPr="003C0E49" w:rsidRDefault="00A92E0E" w:rsidP="00A92E0E">
            <w:pPr>
              <w:spacing w:before="60" w:after="60" w:line="320" w:lineRule="exact"/>
              <w:ind w:left="57" w:right="57"/>
              <w:rPr>
                <w:rFonts w:hint="cs"/>
                <w:szCs w:val="28"/>
                <w:rtl/>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موريشيوس</w:t>
            </w:r>
          </w:p>
        </w:tc>
        <w:tc>
          <w:tcPr>
            <w:tcW w:w="3100" w:type="dxa"/>
            <w:vAlign w:val="bottom"/>
          </w:tcPr>
          <w:p w:rsidR="00A92E0E" w:rsidRPr="003C0E49" w:rsidRDefault="00A92E0E" w:rsidP="00A92E0E">
            <w:pPr>
              <w:spacing w:before="60" w:after="60" w:line="320" w:lineRule="exact"/>
              <w:ind w:left="57" w:right="227"/>
              <w:rPr>
                <w:szCs w:val="28"/>
              </w:rPr>
            </w:pP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21 حزيران/يونيه 2005</w:t>
            </w:r>
            <w:r w:rsidRPr="003C0E49">
              <w:rPr>
                <w:rFonts w:hint="cs"/>
                <w:szCs w:val="28"/>
                <w:vertAlign w:val="superscript"/>
                <w:rtl/>
              </w:rPr>
              <w:t>(أ)</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النرويج</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24 أيلول/سبتمبر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النمسا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25 أيلول/سبتمبر 2003</w:t>
            </w:r>
          </w:p>
        </w:tc>
        <w:tc>
          <w:tcPr>
            <w:tcW w:w="2700" w:type="dxa"/>
            <w:vAlign w:val="bottom"/>
          </w:tcPr>
          <w:p w:rsidR="00A92E0E" w:rsidRPr="003C0E49" w:rsidRDefault="00A92E0E" w:rsidP="00A92E0E">
            <w:pPr>
              <w:spacing w:before="60" w:after="60" w:line="320" w:lineRule="exact"/>
              <w:ind w:left="57" w:right="57"/>
              <w:rPr>
                <w:szCs w:val="28"/>
              </w:rPr>
            </w:pP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نيكاراغوا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14 آذار/مارس 2007</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25 شباط/فبراير 2009</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نيوزيلندا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23 أيلول/سبتمبر 2003</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14 آذار/مارس 2007</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هندوراس</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8 كانون الأول/ديسمبر 2004</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23 أيار/مايو 2006</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هنغاريا</w:t>
            </w:r>
          </w:p>
        </w:tc>
        <w:tc>
          <w:tcPr>
            <w:tcW w:w="3100" w:type="dxa"/>
            <w:vAlign w:val="bottom"/>
          </w:tcPr>
          <w:p w:rsidR="00A92E0E" w:rsidRPr="003C0E49" w:rsidRDefault="00A92E0E" w:rsidP="00A92E0E">
            <w:pPr>
              <w:spacing w:before="60" w:after="60" w:line="320" w:lineRule="exact"/>
              <w:ind w:left="57" w:right="227"/>
              <w:rPr>
                <w:rFonts w:hint="cs"/>
                <w:szCs w:val="28"/>
                <w:rtl/>
              </w:rPr>
            </w:pPr>
          </w:p>
        </w:tc>
        <w:tc>
          <w:tcPr>
            <w:tcW w:w="2700" w:type="dxa"/>
            <w:vAlign w:val="bottom"/>
          </w:tcPr>
          <w:p w:rsidR="00A92E0E" w:rsidRPr="003C0E49" w:rsidRDefault="00A92E0E" w:rsidP="00A92E0E">
            <w:pPr>
              <w:spacing w:before="60" w:after="60" w:line="320" w:lineRule="exact"/>
              <w:ind w:left="57" w:right="57"/>
              <w:rPr>
                <w:rFonts w:hint="cs"/>
                <w:szCs w:val="28"/>
                <w:rtl/>
              </w:rPr>
            </w:pPr>
            <w:r w:rsidRPr="003C0E49">
              <w:rPr>
                <w:rFonts w:hint="cs"/>
                <w:szCs w:val="28"/>
                <w:rtl/>
              </w:rPr>
              <w:t>12 كانون الثاني/ين</w:t>
            </w:r>
            <w:r>
              <w:rPr>
                <w:rFonts w:hint="cs"/>
                <w:szCs w:val="28"/>
                <w:rtl/>
              </w:rPr>
              <w:t>ا</w:t>
            </w:r>
            <w:r w:rsidRPr="003C0E49">
              <w:rPr>
                <w:rFonts w:hint="cs"/>
                <w:szCs w:val="28"/>
                <w:rtl/>
              </w:rPr>
              <w:t>ير 2012</w:t>
            </w:r>
          </w:p>
        </w:tc>
      </w:tr>
      <w:tr w:rsidR="00A92E0E" w:rsidRPr="003C0E49" w:rsidTr="00A92E0E">
        <w:tblPrEx>
          <w:tblCellMar>
            <w:top w:w="0" w:type="dxa"/>
            <w:bottom w:w="0" w:type="dxa"/>
            <w:right w:w="0" w:type="dxa"/>
          </w:tblCellMar>
        </w:tblPrEx>
        <w:trPr>
          <w:cantSplit/>
        </w:trPr>
        <w:tc>
          <w:tcPr>
            <w:tcW w:w="26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هولندا</w:t>
            </w:r>
          </w:p>
        </w:tc>
        <w:tc>
          <w:tcPr>
            <w:tcW w:w="3100" w:type="dxa"/>
            <w:vAlign w:val="bottom"/>
          </w:tcPr>
          <w:p w:rsidR="00A92E0E" w:rsidRPr="003C0E49" w:rsidRDefault="00A92E0E" w:rsidP="00A92E0E">
            <w:pPr>
              <w:spacing w:before="60" w:after="60" w:line="320" w:lineRule="exact"/>
              <w:ind w:left="57" w:right="227"/>
              <w:rPr>
                <w:rFonts w:hint="cs"/>
                <w:szCs w:val="28"/>
              </w:rPr>
            </w:pPr>
            <w:r w:rsidRPr="003C0E49">
              <w:rPr>
                <w:rFonts w:hint="cs"/>
                <w:szCs w:val="28"/>
                <w:rtl/>
              </w:rPr>
              <w:t>3 حزيران/يونيه 2005</w:t>
            </w:r>
          </w:p>
        </w:tc>
        <w:tc>
          <w:tcPr>
            <w:tcW w:w="2700" w:type="dxa"/>
            <w:vAlign w:val="bottom"/>
          </w:tcPr>
          <w:p w:rsidR="00A92E0E" w:rsidRPr="003C0E49" w:rsidRDefault="00A92E0E" w:rsidP="00A92E0E">
            <w:pPr>
              <w:spacing w:before="60" w:after="60" w:line="320" w:lineRule="exact"/>
              <w:ind w:left="57" w:right="57"/>
              <w:rPr>
                <w:rFonts w:hint="cs"/>
                <w:szCs w:val="28"/>
              </w:rPr>
            </w:pPr>
            <w:r w:rsidRPr="003C0E49">
              <w:rPr>
                <w:rFonts w:hint="cs"/>
                <w:szCs w:val="28"/>
                <w:rtl/>
              </w:rPr>
              <w:t>28 أيلول/سبتمبر 2010</w:t>
            </w:r>
          </w:p>
        </w:tc>
      </w:tr>
      <w:tr w:rsidR="00A92E0E" w:rsidRPr="003C0E49" w:rsidTr="00A92E0E">
        <w:tblPrEx>
          <w:tblCellMar>
            <w:top w:w="0" w:type="dxa"/>
            <w:bottom w:w="0" w:type="dxa"/>
            <w:right w:w="0" w:type="dxa"/>
          </w:tblCellMar>
        </w:tblPrEx>
        <w:trPr>
          <w:cantSplit/>
        </w:trPr>
        <w:tc>
          <w:tcPr>
            <w:tcW w:w="2600" w:type="dxa"/>
            <w:tcBorders>
              <w:bottom w:val="single" w:sz="12" w:space="0" w:color="auto"/>
            </w:tcBorders>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اليونان</w:t>
            </w:r>
          </w:p>
        </w:tc>
        <w:tc>
          <w:tcPr>
            <w:tcW w:w="3100" w:type="dxa"/>
            <w:tcBorders>
              <w:bottom w:val="single" w:sz="12" w:space="0" w:color="auto"/>
            </w:tcBorders>
            <w:vAlign w:val="bottom"/>
          </w:tcPr>
          <w:p w:rsidR="00A92E0E" w:rsidRPr="003C0E49" w:rsidRDefault="00A92E0E" w:rsidP="00A92E0E">
            <w:pPr>
              <w:spacing w:before="60" w:after="60" w:line="320" w:lineRule="exact"/>
              <w:ind w:left="57" w:right="227"/>
              <w:rPr>
                <w:rFonts w:hint="cs"/>
                <w:szCs w:val="28"/>
                <w:rtl/>
              </w:rPr>
            </w:pPr>
            <w:r w:rsidRPr="003C0E49">
              <w:rPr>
                <w:rFonts w:hint="cs"/>
                <w:szCs w:val="28"/>
                <w:rtl/>
              </w:rPr>
              <w:t>3 آذار/مارس 2011</w:t>
            </w:r>
          </w:p>
        </w:tc>
        <w:tc>
          <w:tcPr>
            <w:tcW w:w="2700" w:type="dxa"/>
            <w:tcBorders>
              <w:bottom w:val="single" w:sz="12" w:space="0" w:color="auto"/>
            </w:tcBorders>
            <w:vAlign w:val="bottom"/>
          </w:tcPr>
          <w:p w:rsidR="00A92E0E" w:rsidRPr="003C0E49" w:rsidRDefault="00A92E0E" w:rsidP="00A92E0E">
            <w:pPr>
              <w:spacing w:before="60" w:after="60" w:line="320" w:lineRule="exact"/>
              <w:ind w:left="57" w:right="57"/>
              <w:rPr>
                <w:szCs w:val="28"/>
              </w:rPr>
            </w:pPr>
          </w:p>
        </w:tc>
      </w:tr>
    </w:tbl>
    <w:p w:rsidR="00A92E0E" w:rsidRPr="003C0E49" w:rsidRDefault="00A92E0E" w:rsidP="00A92E0E">
      <w:pPr>
        <w:pStyle w:val="SingleTxtGA"/>
        <w:rPr>
          <w:rtl/>
          <w:lang w:val="fr-CH"/>
        </w:rPr>
      </w:pPr>
    </w:p>
    <w:p w:rsidR="00A92E0E" w:rsidRPr="003C0E49" w:rsidRDefault="00A92E0E" w:rsidP="00A92E0E">
      <w:pPr>
        <w:pStyle w:val="HChGA"/>
        <w:pageBreakBefore/>
        <w:spacing w:before="120"/>
        <w:rPr>
          <w:rtl/>
          <w:lang w:val="fr-CH"/>
        </w:rPr>
      </w:pPr>
      <w:r w:rsidRPr="003C0E49">
        <w:rPr>
          <w:rtl/>
          <w:lang w:val="fr-CH"/>
        </w:rPr>
        <w:t>المرفق السادس</w:t>
      </w:r>
    </w:p>
    <w:p w:rsidR="00A92E0E" w:rsidRPr="00F86A90" w:rsidRDefault="00A92E0E" w:rsidP="00F86A90">
      <w:pPr>
        <w:pStyle w:val="HChGA"/>
        <w:jc w:val="lowKashida"/>
        <w:rPr>
          <w:rFonts w:ascii="Times New Roman Bold" w:hAnsi="Times New Roman Bold" w:hint="cs"/>
          <w:spacing w:val="0"/>
          <w:w w:val="90"/>
          <w:rtl/>
          <w:lang w:val="fr-CH"/>
        </w:rPr>
      </w:pPr>
      <w:r w:rsidRPr="00F86A90">
        <w:rPr>
          <w:rFonts w:ascii="Times New Roman Bold" w:hAnsi="Times New Roman Bold"/>
          <w:spacing w:val="0"/>
          <w:w w:val="90"/>
          <w:rtl/>
          <w:lang w:val="fr-CH"/>
        </w:rPr>
        <w:tab/>
      </w:r>
      <w:r w:rsidRPr="00F86A90">
        <w:rPr>
          <w:rFonts w:ascii="Times New Roman Bold" w:hAnsi="Times New Roman Bold"/>
          <w:spacing w:val="0"/>
          <w:w w:val="90"/>
          <w:rtl/>
          <w:lang w:val="fr-CH"/>
        </w:rPr>
        <w:tab/>
        <w:t>أعضاء اللجنة الفرعية لمنع التعذيب وغيره من ضروب المعاملة أو</w:t>
      </w:r>
      <w:r w:rsidRPr="00F86A90">
        <w:rPr>
          <w:rFonts w:ascii="Times New Roman Bold" w:hAnsi="Times New Roman Bold" w:hint="cs"/>
          <w:spacing w:val="0"/>
          <w:w w:val="90"/>
          <w:rtl/>
          <w:lang w:val="fr-CH"/>
        </w:rPr>
        <w:t> </w:t>
      </w:r>
      <w:r w:rsidRPr="00F86A90">
        <w:rPr>
          <w:rFonts w:ascii="Times New Roman Bold" w:hAnsi="Times New Roman Bold"/>
          <w:spacing w:val="0"/>
          <w:w w:val="90"/>
          <w:rtl/>
          <w:lang w:val="fr-CH"/>
        </w:rPr>
        <w:t>العقوبة القاسية أو اللاإنسانية أو المهينة في عام 2012</w:t>
      </w:r>
    </w:p>
    <w:tbl>
      <w:tblPr>
        <w:tblStyle w:val="1"/>
        <w:bidiVisual/>
        <w:tblW w:w="8388" w:type="dxa"/>
        <w:tblInd w:w="1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3102"/>
        <w:gridCol w:w="3042"/>
        <w:gridCol w:w="2244"/>
      </w:tblGrid>
      <w:tr w:rsidR="00A92E0E" w:rsidRPr="007D1EF4" w:rsidTr="00A92E0E">
        <w:tc>
          <w:tcPr>
            <w:tcW w:w="3102" w:type="dxa"/>
            <w:tcBorders>
              <w:top w:val="single" w:sz="4" w:space="0" w:color="auto"/>
              <w:bottom w:val="single" w:sz="12" w:space="0" w:color="auto"/>
            </w:tcBorders>
            <w:vAlign w:val="bottom"/>
          </w:tcPr>
          <w:p w:rsidR="00A92E0E" w:rsidRPr="007D1EF4" w:rsidRDefault="00A92E0E" w:rsidP="00A92E0E">
            <w:pPr>
              <w:spacing w:before="60" w:after="60" w:line="320" w:lineRule="exact"/>
              <w:ind w:left="57" w:right="227"/>
              <w:jc w:val="left"/>
              <w:rPr>
                <w:rFonts w:hint="cs"/>
                <w:i/>
                <w:iCs/>
                <w:spacing w:val="0"/>
                <w:kern w:val="0"/>
                <w:szCs w:val="28"/>
                <w:rtl/>
              </w:rPr>
            </w:pPr>
            <w:r w:rsidRPr="007D1EF4">
              <w:rPr>
                <w:rFonts w:hint="cs"/>
                <w:i/>
                <w:iCs/>
                <w:spacing w:val="0"/>
                <w:kern w:val="0"/>
                <w:szCs w:val="28"/>
                <w:rtl/>
              </w:rPr>
              <w:t>اسم العضو</w:t>
            </w:r>
          </w:p>
        </w:tc>
        <w:tc>
          <w:tcPr>
            <w:tcW w:w="3042" w:type="dxa"/>
            <w:tcBorders>
              <w:top w:val="single" w:sz="4" w:space="0" w:color="auto"/>
              <w:bottom w:val="single" w:sz="12" w:space="0" w:color="auto"/>
            </w:tcBorders>
            <w:vAlign w:val="bottom"/>
          </w:tcPr>
          <w:p w:rsidR="00A92E0E" w:rsidRPr="007D1EF4" w:rsidRDefault="00A92E0E" w:rsidP="00A92E0E">
            <w:pPr>
              <w:spacing w:before="60" w:after="60" w:line="320" w:lineRule="exact"/>
              <w:ind w:left="57" w:right="227"/>
              <w:rPr>
                <w:rFonts w:hint="cs"/>
                <w:i/>
                <w:iCs/>
                <w:spacing w:val="0"/>
                <w:kern w:val="0"/>
                <w:szCs w:val="28"/>
                <w:rtl/>
              </w:rPr>
            </w:pPr>
            <w:r w:rsidRPr="007D1EF4">
              <w:rPr>
                <w:rFonts w:hint="cs"/>
                <w:i/>
                <w:iCs/>
                <w:spacing w:val="0"/>
                <w:kern w:val="0"/>
                <w:szCs w:val="28"/>
                <w:rtl/>
              </w:rPr>
              <w:t>بلد الجنسية</w:t>
            </w:r>
          </w:p>
        </w:tc>
        <w:tc>
          <w:tcPr>
            <w:tcW w:w="2244" w:type="dxa"/>
            <w:tcBorders>
              <w:top w:val="single" w:sz="4" w:space="0" w:color="auto"/>
              <w:bottom w:val="single" w:sz="12" w:space="0" w:color="auto"/>
            </w:tcBorders>
            <w:vAlign w:val="bottom"/>
          </w:tcPr>
          <w:p w:rsidR="00A92E0E" w:rsidRPr="007D1EF4" w:rsidRDefault="00A92E0E" w:rsidP="00A92E0E">
            <w:pPr>
              <w:spacing w:before="60" w:after="60" w:line="320" w:lineRule="exact"/>
              <w:ind w:left="57" w:right="57"/>
              <w:rPr>
                <w:rFonts w:hint="cs"/>
                <w:i/>
                <w:iCs/>
                <w:spacing w:val="0"/>
                <w:kern w:val="0"/>
                <w:szCs w:val="28"/>
                <w:rtl/>
              </w:rPr>
            </w:pPr>
            <w:r w:rsidRPr="007D1EF4">
              <w:rPr>
                <w:rFonts w:hint="cs"/>
                <w:i/>
                <w:iCs/>
                <w:spacing w:val="0"/>
                <w:kern w:val="0"/>
                <w:szCs w:val="28"/>
                <w:rtl/>
              </w:rPr>
              <w:t>مدة العضوية تنتهي في 31 كانون الأول/ديسمبر</w:t>
            </w:r>
          </w:p>
        </w:tc>
      </w:tr>
      <w:tr w:rsidR="00A92E0E" w:rsidRPr="007D1EF4" w:rsidTr="00A92E0E">
        <w:tc>
          <w:tcPr>
            <w:tcW w:w="3102" w:type="dxa"/>
            <w:tcBorders>
              <w:top w:val="single" w:sz="12" w:space="0" w:color="auto"/>
            </w:tcBorders>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ماري </w:t>
            </w:r>
            <w:r w:rsidRPr="007D1EF4">
              <w:rPr>
                <w:rFonts w:hint="cs"/>
                <w:b/>
                <w:bCs/>
                <w:spacing w:val="0"/>
                <w:kern w:val="0"/>
                <w:szCs w:val="28"/>
                <w:rtl/>
              </w:rPr>
              <w:t>أموس</w:t>
            </w:r>
          </w:p>
        </w:tc>
        <w:tc>
          <w:tcPr>
            <w:tcW w:w="3042" w:type="dxa"/>
            <w:tcBorders>
              <w:top w:val="single" w:sz="12" w:space="0" w:color="auto"/>
            </w:tcBorders>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إستونيا</w:t>
            </w:r>
          </w:p>
        </w:tc>
        <w:tc>
          <w:tcPr>
            <w:tcW w:w="2244" w:type="dxa"/>
            <w:tcBorders>
              <w:top w:val="single" w:sz="12" w:space="0" w:color="auto"/>
            </w:tcBorders>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ماريو لويس </w:t>
            </w:r>
            <w:r w:rsidRPr="007D1EF4">
              <w:rPr>
                <w:rFonts w:hint="cs"/>
                <w:b/>
                <w:bCs/>
                <w:spacing w:val="0"/>
                <w:kern w:val="0"/>
                <w:szCs w:val="28"/>
                <w:rtl/>
              </w:rPr>
              <w:t>كوريولانو</w:t>
            </w:r>
            <w:r w:rsidRPr="007D1EF4">
              <w:rPr>
                <w:spacing w:val="0"/>
                <w:kern w:val="0"/>
                <w:szCs w:val="28"/>
                <w:rtl/>
              </w:rPr>
              <w:br/>
            </w:r>
            <w:r w:rsidRPr="007D1EF4">
              <w:rPr>
                <w:rFonts w:hint="cs"/>
                <w:spacing w:val="0"/>
                <w:kern w:val="0"/>
                <w:szCs w:val="28"/>
                <w:rtl/>
              </w:rPr>
              <w:t>(نائب الرئيس)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الأرجنتين</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أرمان </w:t>
            </w:r>
            <w:r w:rsidRPr="007D1EF4">
              <w:rPr>
                <w:rFonts w:hint="cs"/>
                <w:b/>
                <w:bCs/>
                <w:spacing w:val="0"/>
                <w:kern w:val="0"/>
                <w:szCs w:val="28"/>
                <w:rtl/>
              </w:rPr>
              <w:t>دانياليان</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أرمينيا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ماريا ديفينيس </w:t>
            </w:r>
            <w:r w:rsidRPr="007D1EF4">
              <w:rPr>
                <w:rFonts w:hint="cs"/>
                <w:b/>
                <w:bCs/>
                <w:spacing w:val="0"/>
                <w:kern w:val="0"/>
                <w:szCs w:val="28"/>
                <w:rtl/>
              </w:rPr>
              <w:t>غويانوفيتش</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كرواتيا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مالكولم </w:t>
            </w:r>
            <w:r w:rsidRPr="007D1EF4">
              <w:rPr>
                <w:rFonts w:hint="cs"/>
                <w:b/>
                <w:bCs/>
                <w:spacing w:val="0"/>
                <w:kern w:val="0"/>
                <w:szCs w:val="28"/>
                <w:rtl/>
              </w:rPr>
              <w:t>إيفانس</w:t>
            </w:r>
            <w:r w:rsidRPr="007D1EF4">
              <w:rPr>
                <w:spacing w:val="0"/>
                <w:kern w:val="0"/>
                <w:szCs w:val="28"/>
                <w:rtl/>
              </w:rPr>
              <w:br/>
            </w:r>
            <w:r w:rsidRPr="007D1EF4">
              <w:rPr>
                <w:rFonts w:hint="cs"/>
                <w:spacing w:val="0"/>
                <w:kern w:val="0"/>
                <w:szCs w:val="28"/>
                <w:rtl/>
              </w:rPr>
              <w:t>(الرئيس)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المملكة المتحدة لبريطانيا العظمى وآيرلندا الشمالية</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إميليو غينيس </w:t>
            </w:r>
            <w:r w:rsidRPr="007D1EF4">
              <w:rPr>
                <w:rFonts w:hint="cs"/>
                <w:b/>
                <w:bCs/>
                <w:spacing w:val="0"/>
                <w:kern w:val="0"/>
                <w:szCs w:val="28"/>
                <w:rtl/>
              </w:rPr>
              <w:t>سانتدريان</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إسبانيا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لوول باتريا </w:t>
            </w:r>
            <w:r w:rsidRPr="007D1EF4">
              <w:rPr>
                <w:rFonts w:hint="cs"/>
                <w:b/>
                <w:bCs/>
                <w:spacing w:val="0"/>
                <w:kern w:val="0"/>
                <w:szCs w:val="28"/>
                <w:rtl/>
              </w:rPr>
              <w:t>غودار</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نيوزيلندا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زدينيك </w:t>
            </w:r>
            <w:r w:rsidRPr="007D1EF4">
              <w:rPr>
                <w:rFonts w:hint="cs"/>
                <w:b/>
                <w:bCs/>
                <w:spacing w:val="0"/>
                <w:kern w:val="0"/>
                <w:szCs w:val="28"/>
                <w:rtl/>
              </w:rPr>
              <w:t>حايك</w:t>
            </w:r>
            <w:r w:rsidRPr="007D1EF4">
              <w:rPr>
                <w:spacing w:val="0"/>
                <w:kern w:val="0"/>
                <w:szCs w:val="28"/>
                <w:rtl/>
              </w:rPr>
              <w:br/>
            </w:r>
            <w:r w:rsidRPr="007D1EF4">
              <w:rPr>
                <w:rFonts w:hint="cs"/>
                <w:spacing w:val="0"/>
                <w:kern w:val="0"/>
                <w:szCs w:val="28"/>
                <w:rtl/>
              </w:rPr>
              <w:t>(نائب الرئيس)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الجمهورية التشيكية</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سوزان </w:t>
            </w:r>
            <w:r w:rsidRPr="007D1EF4">
              <w:rPr>
                <w:rFonts w:hint="cs"/>
                <w:b/>
                <w:bCs/>
                <w:spacing w:val="0"/>
                <w:kern w:val="0"/>
                <w:szCs w:val="28"/>
                <w:rtl/>
              </w:rPr>
              <w:t>جبور</w:t>
            </w:r>
            <w:r w:rsidRPr="007D1EF4">
              <w:rPr>
                <w:spacing w:val="0"/>
                <w:kern w:val="0"/>
                <w:szCs w:val="28"/>
                <w:rtl/>
              </w:rPr>
              <w:br/>
            </w:r>
            <w:r w:rsidRPr="007D1EF4">
              <w:rPr>
                <w:rFonts w:hint="cs"/>
                <w:spacing w:val="0"/>
                <w:kern w:val="0"/>
                <w:szCs w:val="28"/>
                <w:rtl/>
              </w:rPr>
              <w:t>(نائبة الرئيس)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لبنان</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غوران </w:t>
            </w:r>
            <w:r w:rsidRPr="007D1EF4">
              <w:rPr>
                <w:rFonts w:hint="cs"/>
                <w:b/>
                <w:bCs/>
                <w:spacing w:val="0"/>
                <w:kern w:val="0"/>
                <w:szCs w:val="28"/>
                <w:rtl/>
              </w:rPr>
              <w:t>كليمانتشيتش</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سلوفينيا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بول لام شانغ </w:t>
            </w:r>
            <w:r w:rsidRPr="007D1EF4">
              <w:rPr>
                <w:rFonts w:hint="cs"/>
                <w:b/>
                <w:bCs/>
                <w:spacing w:val="0"/>
                <w:kern w:val="0"/>
                <w:szCs w:val="28"/>
                <w:rtl/>
              </w:rPr>
              <w:t>لين</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موريشيوس</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زبينيو </w:t>
            </w:r>
            <w:r w:rsidRPr="007D1EF4">
              <w:rPr>
                <w:rFonts w:hint="cs"/>
                <w:b/>
                <w:bCs/>
                <w:spacing w:val="0"/>
                <w:kern w:val="0"/>
                <w:szCs w:val="28"/>
                <w:rtl/>
              </w:rPr>
              <w:t>لاسوتشيك</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بولندا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بيتروس </w:t>
            </w:r>
            <w:r w:rsidRPr="007D1EF4">
              <w:rPr>
                <w:rFonts w:hint="cs"/>
                <w:b/>
                <w:bCs/>
                <w:spacing w:val="0"/>
                <w:kern w:val="0"/>
                <w:szCs w:val="28"/>
                <w:rtl/>
              </w:rPr>
              <w:t>ميكايليدس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قبرص</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عائشة شجون </w:t>
            </w:r>
            <w:r w:rsidRPr="007D1EF4">
              <w:rPr>
                <w:rFonts w:hint="cs"/>
                <w:b/>
                <w:bCs/>
                <w:spacing w:val="0"/>
                <w:kern w:val="0"/>
                <w:szCs w:val="28"/>
                <w:rtl/>
              </w:rPr>
              <w:t>محمد</w:t>
            </w:r>
            <w:r w:rsidRPr="007D1EF4">
              <w:rPr>
                <w:spacing w:val="0"/>
                <w:kern w:val="0"/>
                <w:szCs w:val="28"/>
                <w:rtl/>
              </w:rPr>
              <w:br/>
            </w:r>
            <w:r w:rsidRPr="007D1EF4">
              <w:rPr>
                <w:rFonts w:hint="cs"/>
                <w:spacing w:val="0"/>
                <w:kern w:val="0"/>
                <w:szCs w:val="28"/>
                <w:rtl/>
              </w:rPr>
              <w:t>(نائبة الرئيس)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ملديف</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أوليفيي </w:t>
            </w:r>
            <w:r w:rsidRPr="007D1EF4">
              <w:rPr>
                <w:rFonts w:hint="cs"/>
                <w:b/>
                <w:bCs/>
                <w:spacing w:val="0"/>
                <w:kern w:val="0"/>
                <w:szCs w:val="28"/>
                <w:rtl/>
              </w:rPr>
              <w:t>أوبريشت</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فرنسا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هانس درامينسكي </w:t>
            </w:r>
            <w:r w:rsidRPr="007D1EF4">
              <w:rPr>
                <w:rFonts w:hint="cs"/>
                <w:b/>
                <w:bCs/>
                <w:spacing w:val="0"/>
                <w:kern w:val="0"/>
                <w:szCs w:val="28"/>
                <w:rtl/>
              </w:rPr>
              <w:t>بيترسن</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الدانمرك</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ماريا مارغاريدا إ. </w:t>
            </w:r>
            <w:r w:rsidRPr="007D1EF4">
              <w:rPr>
                <w:rFonts w:hint="cs"/>
                <w:b/>
                <w:bCs/>
                <w:spacing w:val="0"/>
                <w:kern w:val="0"/>
                <w:szCs w:val="28"/>
                <w:rtl/>
              </w:rPr>
              <w:t>براسبورغر</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البرازيل</w:t>
            </w:r>
          </w:p>
        </w:tc>
        <w:tc>
          <w:tcPr>
            <w:tcW w:w="2244" w:type="dxa"/>
          </w:tcPr>
          <w:p w:rsidR="00A92E0E" w:rsidRPr="007D1EF4" w:rsidDel="00910F4E"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كريستيان </w:t>
            </w:r>
            <w:r w:rsidRPr="007D1EF4">
              <w:rPr>
                <w:rFonts w:hint="cs"/>
                <w:b/>
                <w:bCs/>
                <w:spacing w:val="0"/>
                <w:kern w:val="0"/>
                <w:szCs w:val="28"/>
                <w:rtl/>
              </w:rPr>
              <w:t>بروس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ألمانيا</w:t>
            </w:r>
          </w:p>
        </w:tc>
        <w:tc>
          <w:tcPr>
            <w:tcW w:w="2244" w:type="dxa"/>
          </w:tcPr>
          <w:p w:rsidR="00A92E0E" w:rsidRPr="007D1EF4" w:rsidDel="00910F4E"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بكتور مانويل رودريغيث </w:t>
            </w:r>
            <w:r w:rsidRPr="007D1EF4">
              <w:rPr>
                <w:rFonts w:hint="cs"/>
                <w:b/>
                <w:bCs/>
                <w:spacing w:val="0"/>
                <w:kern w:val="0"/>
                <w:szCs w:val="28"/>
                <w:rtl/>
              </w:rPr>
              <w:t>ريسثيا</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كوستاريكا</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2012</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جوديث سالغادو </w:t>
            </w:r>
            <w:r w:rsidRPr="007D1EF4">
              <w:rPr>
                <w:rFonts w:hint="cs"/>
                <w:b/>
                <w:bCs/>
                <w:spacing w:val="0"/>
                <w:kern w:val="0"/>
                <w:szCs w:val="28"/>
                <w:rtl/>
              </w:rPr>
              <w:t>ألفاريز</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إكوادور</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ميغيل ساري </w:t>
            </w:r>
            <w:r w:rsidRPr="007D1EF4">
              <w:rPr>
                <w:rFonts w:hint="cs"/>
                <w:b/>
                <w:bCs/>
                <w:spacing w:val="0"/>
                <w:kern w:val="0"/>
                <w:szCs w:val="28"/>
                <w:rtl/>
              </w:rPr>
              <w:t>إيغينيس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المكسيك</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السيدة أنيتا </w:t>
            </w:r>
            <w:r w:rsidRPr="007D1EF4">
              <w:rPr>
                <w:rFonts w:hint="cs"/>
                <w:b/>
                <w:bCs/>
                <w:spacing w:val="0"/>
                <w:kern w:val="0"/>
                <w:szCs w:val="28"/>
                <w:rtl/>
              </w:rPr>
              <w:t>ستانتشيفسكا</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spacing w:val="0"/>
                <w:kern w:val="0"/>
                <w:szCs w:val="28"/>
                <w:rtl/>
              </w:rPr>
              <w:t>جمهورية مقدونيا اليوغوسلافية السابقة</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ويلدر تايلر </w:t>
            </w:r>
            <w:r w:rsidRPr="007D1EF4">
              <w:rPr>
                <w:rFonts w:hint="cs"/>
                <w:b/>
                <w:bCs/>
                <w:spacing w:val="0"/>
                <w:kern w:val="0"/>
                <w:szCs w:val="28"/>
                <w:rtl/>
              </w:rPr>
              <w:t>سوتو</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أوروغواي</w:t>
            </w:r>
          </w:p>
        </w:tc>
        <w:tc>
          <w:tcPr>
            <w:tcW w:w="2244" w:type="dxa"/>
          </w:tcPr>
          <w:p w:rsidR="00A92E0E" w:rsidRPr="007D1EF4"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فيليب فيلافيسينسيو </w:t>
            </w:r>
            <w:r w:rsidRPr="007D1EF4">
              <w:rPr>
                <w:rFonts w:hint="cs"/>
                <w:b/>
                <w:bCs/>
                <w:spacing w:val="0"/>
                <w:kern w:val="0"/>
                <w:szCs w:val="28"/>
                <w:rtl/>
              </w:rPr>
              <w:t>تيريروس</w:t>
            </w:r>
          </w:p>
        </w:tc>
        <w:tc>
          <w:tcPr>
            <w:tcW w:w="3042" w:type="dxa"/>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بيرو</w:t>
            </w:r>
          </w:p>
        </w:tc>
        <w:tc>
          <w:tcPr>
            <w:tcW w:w="2244" w:type="dxa"/>
          </w:tcPr>
          <w:p w:rsidR="00A92E0E" w:rsidRPr="007D1EF4" w:rsidDel="00B24535"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r w:rsidR="00A92E0E" w:rsidRPr="007D1EF4" w:rsidTr="00A92E0E">
        <w:tc>
          <w:tcPr>
            <w:tcW w:w="3102" w:type="dxa"/>
            <w:tcBorders>
              <w:bottom w:val="single" w:sz="12" w:space="0" w:color="auto"/>
            </w:tcBorders>
          </w:tcPr>
          <w:p w:rsidR="00A92E0E" w:rsidRPr="007D1EF4" w:rsidRDefault="00A92E0E" w:rsidP="00A92E0E">
            <w:pPr>
              <w:spacing w:before="60" w:after="60" w:line="320" w:lineRule="exact"/>
              <w:ind w:left="57" w:right="227"/>
              <w:jc w:val="left"/>
              <w:rPr>
                <w:rFonts w:hint="cs"/>
                <w:spacing w:val="0"/>
                <w:kern w:val="0"/>
                <w:szCs w:val="28"/>
                <w:rtl/>
              </w:rPr>
            </w:pPr>
            <w:r w:rsidRPr="007D1EF4">
              <w:rPr>
                <w:rFonts w:hint="cs"/>
                <w:spacing w:val="0"/>
                <w:kern w:val="0"/>
                <w:szCs w:val="28"/>
                <w:rtl/>
              </w:rPr>
              <w:t xml:space="preserve">السيد فورتوني غريتان </w:t>
            </w:r>
            <w:r w:rsidRPr="007D1EF4">
              <w:rPr>
                <w:rFonts w:hint="cs"/>
                <w:b/>
                <w:bCs/>
                <w:spacing w:val="0"/>
                <w:kern w:val="0"/>
                <w:szCs w:val="28"/>
                <w:rtl/>
              </w:rPr>
              <w:t>زونغو</w:t>
            </w:r>
          </w:p>
        </w:tc>
        <w:tc>
          <w:tcPr>
            <w:tcW w:w="3042" w:type="dxa"/>
            <w:tcBorders>
              <w:bottom w:val="single" w:sz="12" w:space="0" w:color="auto"/>
            </w:tcBorders>
          </w:tcPr>
          <w:p w:rsidR="00A92E0E" w:rsidRPr="007D1EF4" w:rsidRDefault="00A92E0E" w:rsidP="00A92E0E">
            <w:pPr>
              <w:spacing w:before="60" w:after="60" w:line="320" w:lineRule="exact"/>
              <w:ind w:left="57" w:right="227"/>
              <w:rPr>
                <w:rFonts w:hint="cs"/>
                <w:spacing w:val="0"/>
                <w:kern w:val="0"/>
                <w:szCs w:val="28"/>
                <w:rtl/>
              </w:rPr>
            </w:pPr>
            <w:r w:rsidRPr="007D1EF4">
              <w:rPr>
                <w:rFonts w:hint="cs"/>
                <w:spacing w:val="0"/>
                <w:kern w:val="0"/>
                <w:szCs w:val="28"/>
                <w:rtl/>
              </w:rPr>
              <w:t>بوركينا فاسو</w:t>
            </w:r>
          </w:p>
        </w:tc>
        <w:tc>
          <w:tcPr>
            <w:tcW w:w="2244" w:type="dxa"/>
            <w:tcBorders>
              <w:bottom w:val="single" w:sz="12" w:space="0" w:color="auto"/>
            </w:tcBorders>
          </w:tcPr>
          <w:p w:rsidR="00A92E0E" w:rsidRPr="007D1EF4" w:rsidDel="00B24535" w:rsidRDefault="00A92E0E" w:rsidP="00A92E0E">
            <w:pPr>
              <w:spacing w:before="60" w:after="60" w:line="320" w:lineRule="exact"/>
              <w:ind w:left="57" w:right="57"/>
              <w:rPr>
                <w:rFonts w:hint="cs"/>
                <w:spacing w:val="0"/>
                <w:kern w:val="0"/>
                <w:szCs w:val="28"/>
                <w:rtl/>
              </w:rPr>
            </w:pPr>
            <w:r w:rsidRPr="007D1EF4">
              <w:rPr>
                <w:rFonts w:hint="cs"/>
                <w:spacing w:val="0"/>
                <w:kern w:val="0"/>
                <w:szCs w:val="28"/>
                <w:rtl/>
              </w:rPr>
              <w:t>2014</w:t>
            </w:r>
          </w:p>
        </w:tc>
      </w:tr>
    </w:tbl>
    <w:p w:rsidR="00A92E0E" w:rsidRPr="00A976B9" w:rsidRDefault="00A92E0E" w:rsidP="00A92E0E">
      <w:pPr>
        <w:pStyle w:val="HChGA"/>
        <w:pageBreakBefore/>
        <w:spacing w:before="120" w:after="120"/>
        <w:rPr>
          <w:rtl/>
          <w:lang w:val="fr-CH"/>
        </w:rPr>
      </w:pPr>
      <w:r w:rsidRPr="00A976B9">
        <w:rPr>
          <w:rtl/>
          <w:lang w:val="fr-CH"/>
        </w:rPr>
        <w:t>المرفق السابع</w:t>
      </w:r>
    </w:p>
    <w:p w:rsidR="00A92E0E" w:rsidRPr="007D1EF4" w:rsidRDefault="00A92E0E" w:rsidP="007F63FF">
      <w:pPr>
        <w:pStyle w:val="HChGA"/>
        <w:spacing w:before="120" w:after="120"/>
        <w:jc w:val="lowKashida"/>
        <w:rPr>
          <w:rFonts w:ascii="Times New Roman Bold" w:hAnsi="Times New Roman Bold" w:hint="cs"/>
          <w:bCs w:val="0"/>
          <w:spacing w:val="-2"/>
          <w:kern w:val="0"/>
          <w:position w:val="4"/>
          <w:sz w:val="20"/>
          <w:rtl/>
          <w:lang w:val="fr-CH"/>
        </w:rPr>
      </w:pPr>
      <w:r w:rsidRPr="007D1EF4">
        <w:rPr>
          <w:rFonts w:ascii="Times New Roman Bold" w:hAnsi="Times New Roman Bold"/>
          <w:spacing w:val="-2"/>
          <w:kern w:val="0"/>
          <w:rtl/>
          <w:lang w:val="fr-CH"/>
        </w:rPr>
        <w:tab/>
      </w:r>
      <w:r w:rsidRPr="007D1EF4">
        <w:rPr>
          <w:rFonts w:ascii="Times New Roman Bold" w:hAnsi="Times New Roman Bold"/>
          <w:spacing w:val="-2"/>
          <w:kern w:val="0"/>
          <w:rtl/>
          <w:lang w:val="fr-CH"/>
        </w:rPr>
        <w:tab/>
        <w:t xml:space="preserve">التقرير السنوي الخامس للجنة الفرعية لمنع التعذيب وغيره من ضروب المعاملة أو العقوبة القاسية أو اللاإنسانية أو المهينة (كانون الثاني/يناير - </w:t>
      </w:r>
      <w:r w:rsidRPr="007D1EF4">
        <w:rPr>
          <w:spacing w:val="-2"/>
          <w:kern w:val="0"/>
          <w:rtl/>
          <w:lang w:val="fr-CH"/>
        </w:rPr>
        <w:t>كانون الأول/ديسمبر 2011)</w:t>
      </w:r>
      <w:r w:rsidRPr="007D1EF4">
        <w:rPr>
          <w:rStyle w:val="FootnoteReference"/>
          <w:rFonts w:ascii="Times New Roman Bold" w:hAnsi="Times New Roman Bold"/>
          <w:b/>
          <w:bCs w:val="0"/>
          <w:spacing w:val="-2"/>
          <w:position w:val="4"/>
          <w:sz w:val="20"/>
          <w:vertAlign w:val="baseline"/>
          <w:rtl/>
          <w:lang w:val="fr-CH"/>
        </w:rPr>
        <w:footnoteReference w:customMarkFollows="1" w:id="22"/>
        <w:t>*</w:t>
      </w:r>
    </w:p>
    <w:p w:rsidR="00A92E0E" w:rsidRPr="00A976B9" w:rsidRDefault="00A92E0E" w:rsidP="007D1EF4">
      <w:pPr>
        <w:spacing w:line="320" w:lineRule="exact"/>
        <w:rPr>
          <w:rFonts w:hint="cs"/>
          <w:sz w:val="36"/>
          <w:szCs w:val="36"/>
          <w:rtl/>
        </w:rPr>
      </w:pPr>
      <w:r w:rsidRPr="00A976B9">
        <w:rPr>
          <w:rFonts w:hint="cs"/>
          <w:sz w:val="36"/>
          <w:szCs w:val="36"/>
          <w:rtl/>
        </w:rPr>
        <w:t>المحتويات</w:t>
      </w:r>
    </w:p>
    <w:p w:rsidR="00A92E0E" w:rsidRPr="00A976B9" w:rsidRDefault="00A92E0E" w:rsidP="00A92E0E">
      <w:pPr>
        <w:tabs>
          <w:tab w:val="left" w:pos="7917"/>
          <w:tab w:val="right" w:pos="9638"/>
        </w:tabs>
        <w:spacing w:before="120" w:after="120" w:line="240" w:lineRule="exact"/>
        <w:ind w:left="284"/>
        <w:rPr>
          <w:rFonts w:hint="cs"/>
          <w:iCs/>
          <w:szCs w:val="28"/>
          <w:rtl/>
        </w:rPr>
      </w:pPr>
      <w:r w:rsidRPr="00A976B9">
        <w:rPr>
          <w:i/>
        </w:rPr>
        <w:tab/>
      </w:r>
      <w:r w:rsidRPr="00A976B9">
        <w:rPr>
          <w:rFonts w:hint="cs"/>
          <w:iCs/>
          <w:szCs w:val="28"/>
          <w:rtl/>
        </w:rPr>
        <w:t>الفقـرات</w:t>
      </w:r>
      <w:r w:rsidRPr="00A976B9">
        <w:rPr>
          <w:i/>
        </w:rPr>
        <w:tab/>
      </w:r>
      <w:r w:rsidRPr="00A976B9">
        <w:rPr>
          <w:rFonts w:hint="cs"/>
          <w:iCs/>
          <w:szCs w:val="28"/>
          <w:rtl/>
        </w:rPr>
        <w:t>الصفحة</w:t>
      </w:r>
    </w:p>
    <w:p w:rsidR="00A92E0E" w:rsidRPr="00B73747" w:rsidRDefault="00A92E0E" w:rsidP="00E7369E">
      <w:pPr>
        <w:tabs>
          <w:tab w:val="right" w:pos="1021"/>
          <w:tab w:val="left" w:pos="1077"/>
          <w:tab w:val="left" w:pos="1525"/>
          <w:tab w:val="left" w:pos="1842"/>
          <w:tab w:val="left" w:leader="dot" w:pos="7469"/>
          <w:tab w:val="left" w:pos="7972"/>
          <w:tab w:val="right" w:pos="9638"/>
        </w:tabs>
        <w:spacing w:after="120"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أولاً</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مقدمة</w:t>
      </w: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1-2</w:t>
      </w:r>
      <w:r w:rsidRPr="00B73747">
        <w:rPr>
          <w:spacing w:val="0"/>
          <w:kern w:val="0"/>
          <w:szCs w:val="28"/>
          <w:rtl/>
          <w:lang w:val="fr-CH"/>
        </w:rPr>
        <w:tab/>
      </w:r>
      <w:r w:rsidR="00E7369E" w:rsidRPr="00B73747">
        <w:rPr>
          <w:rFonts w:hint="cs"/>
          <w:spacing w:val="0"/>
          <w:kern w:val="0"/>
          <w:szCs w:val="28"/>
          <w:rtl/>
          <w:lang w:val="fr-CH"/>
        </w:rPr>
        <w:t>313</w:t>
      </w:r>
    </w:p>
    <w:p w:rsidR="00A92E0E" w:rsidRPr="00B73747" w:rsidRDefault="00A92E0E" w:rsidP="00E7369E">
      <w:pPr>
        <w:tabs>
          <w:tab w:val="right" w:pos="1021"/>
          <w:tab w:val="left" w:pos="1077"/>
          <w:tab w:val="left" w:pos="1525"/>
          <w:tab w:val="left" w:pos="1842"/>
          <w:tab w:val="left" w:pos="2206"/>
          <w:tab w:val="left" w:pos="2681"/>
          <w:tab w:val="left" w:leader="dot" w:pos="7469"/>
          <w:tab w:val="left" w:pos="7972"/>
          <w:tab w:val="right" w:pos="9638"/>
        </w:tabs>
        <w:spacing w:line="340" w:lineRule="exact"/>
        <w:rPr>
          <w:spacing w:val="0"/>
          <w:kern w:val="0"/>
          <w:szCs w:val="28"/>
          <w:rtl/>
          <w:lang w:val="fr-CH"/>
        </w:rPr>
      </w:pPr>
      <w:r w:rsidRPr="00B73747">
        <w:rPr>
          <w:rFonts w:hint="cs"/>
          <w:spacing w:val="0"/>
          <w:kern w:val="0"/>
          <w:szCs w:val="28"/>
          <w:rtl/>
          <w:lang w:val="fr-CH"/>
        </w:rPr>
        <w:tab/>
      </w:r>
      <w:r w:rsidRPr="00B73747">
        <w:rPr>
          <w:spacing w:val="0"/>
          <w:kern w:val="0"/>
          <w:szCs w:val="28"/>
          <w:rtl/>
          <w:lang w:val="fr-CH"/>
        </w:rPr>
        <w:t>ثانياً</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السنة المشمولة بالاستعراض</w:t>
      </w: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3-28</w:t>
      </w:r>
      <w:r w:rsidRPr="00B73747">
        <w:rPr>
          <w:spacing w:val="0"/>
          <w:kern w:val="0"/>
          <w:szCs w:val="28"/>
          <w:rtl/>
          <w:lang w:val="fr-CH"/>
        </w:rPr>
        <w:tab/>
      </w:r>
      <w:r w:rsidR="00E7369E" w:rsidRPr="00B73747">
        <w:rPr>
          <w:rFonts w:hint="cs"/>
          <w:spacing w:val="0"/>
          <w:kern w:val="0"/>
          <w:szCs w:val="28"/>
          <w:rtl/>
          <w:lang w:val="fr-CH"/>
        </w:rPr>
        <w:t>313</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ألف</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المشاركة في منظومة البروتوكول الاختياري</w:t>
      </w:r>
      <w:r w:rsidRPr="00B73747">
        <w:rPr>
          <w:spacing w:val="0"/>
          <w:kern w:val="0"/>
          <w:szCs w:val="28"/>
          <w:rtl/>
          <w:lang w:val="fr-CH"/>
        </w:rPr>
        <w:tab/>
      </w:r>
      <w:r w:rsidRPr="00B73747">
        <w:rPr>
          <w:rFonts w:hint="cs"/>
          <w:spacing w:val="0"/>
          <w:kern w:val="0"/>
          <w:szCs w:val="28"/>
          <w:rtl/>
          <w:lang w:val="fr-CH"/>
        </w:rPr>
        <w:tab/>
        <w:t>3-5</w:t>
      </w:r>
      <w:r w:rsidRPr="00B73747">
        <w:rPr>
          <w:spacing w:val="0"/>
          <w:kern w:val="0"/>
          <w:szCs w:val="28"/>
          <w:rtl/>
          <w:lang w:val="fr-CH"/>
        </w:rPr>
        <w:tab/>
      </w:r>
      <w:r w:rsidR="00E7369E" w:rsidRPr="00B73747">
        <w:rPr>
          <w:rFonts w:hint="cs"/>
          <w:spacing w:val="0"/>
          <w:kern w:val="0"/>
          <w:szCs w:val="28"/>
          <w:rtl/>
          <w:lang w:val="fr-CH"/>
        </w:rPr>
        <w:t>313</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باء</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المسائل التنظيمية والمتعلقة بالعضوية</w:t>
      </w:r>
      <w:r w:rsidRPr="00B73747">
        <w:rPr>
          <w:spacing w:val="0"/>
          <w:kern w:val="0"/>
          <w:szCs w:val="28"/>
          <w:rtl/>
          <w:lang w:val="fr-CH"/>
        </w:rPr>
        <w:tab/>
      </w:r>
      <w:r w:rsidRPr="00B73747">
        <w:rPr>
          <w:rFonts w:hint="cs"/>
          <w:spacing w:val="0"/>
          <w:kern w:val="0"/>
          <w:szCs w:val="28"/>
          <w:rtl/>
          <w:lang w:val="fr-CH"/>
        </w:rPr>
        <w:tab/>
        <w:t>6-10</w:t>
      </w:r>
      <w:r w:rsidRPr="00B73747">
        <w:rPr>
          <w:spacing w:val="0"/>
          <w:kern w:val="0"/>
          <w:szCs w:val="28"/>
          <w:rtl/>
          <w:lang w:val="fr-CH"/>
        </w:rPr>
        <w:tab/>
      </w:r>
      <w:r w:rsidR="00E7369E" w:rsidRPr="00B73747">
        <w:rPr>
          <w:rFonts w:hint="cs"/>
          <w:spacing w:val="0"/>
          <w:kern w:val="0"/>
          <w:szCs w:val="28"/>
          <w:rtl/>
          <w:lang w:val="fr-CH"/>
        </w:rPr>
        <w:t>314</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t>جيم</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الزيارات التي أجريت خلال الفترة المشمولة بالتقرير</w:t>
      </w:r>
      <w:r w:rsidRPr="00B73747">
        <w:rPr>
          <w:spacing w:val="0"/>
          <w:kern w:val="0"/>
          <w:szCs w:val="28"/>
          <w:rtl/>
          <w:lang w:val="fr-CH"/>
        </w:rPr>
        <w:tab/>
      </w:r>
      <w:r w:rsidRPr="00B73747">
        <w:rPr>
          <w:rFonts w:hint="cs"/>
          <w:spacing w:val="0"/>
          <w:kern w:val="0"/>
          <w:szCs w:val="28"/>
          <w:rtl/>
          <w:lang w:val="fr-CH"/>
        </w:rPr>
        <w:tab/>
        <w:t>11-14</w:t>
      </w:r>
      <w:r w:rsidRPr="00B73747">
        <w:rPr>
          <w:spacing w:val="0"/>
          <w:kern w:val="0"/>
          <w:szCs w:val="28"/>
          <w:rtl/>
          <w:lang w:val="fr-CH"/>
        </w:rPr>
        <w:tab/>
      </w:r>
      <w:r w:rsidR="00E7369E" w:rsidRPr="00B73747">
        <w:rPr>
          <w:rFonts w:hint="cs"/>
          <w:spacing w:val="0"/>
          <w:kern w:val="0"/>
          <w:szCs w:val="28"/>
          <w:rtl/>
          <w:lang w:val="fr-CH"/>
        </w:rPr>
        <w:t>316</w:t>
      </w:r>
    </w:p>
    <w:p w:rsidR="00A92E0E" w:rsidRPr="00B73747" w:rsidRDefault="00A92E0E" w:rsidP="00896765">
      <w:pPr>
        <w:tabs>
          <w:tab w:val="right" w:pos="1021"/>
          <w:tab w:val="left" w:pos="1077"/>
          <w:tab w:val="left" w:pos="1525"/>
          <w:tab w:val="left" w:pos="1883"/>
          <w:tab w:val="left" w:pos="2206"/>
          <w:tab w:val="left" w:pos="2681"/>
          <w:tab w:val="left" w:leader="dot" w:pos="7469"/>
          <w:tab w:val="left" w:pos="7972"/>
          <w:tab w:val="right" w:pos="9638"/>
        </w:tabs>
        <w:spacing w:line="340" w:lineRule="exact"/>
        <w:ind w:left="2191" w:right="2200" w:hanging="2191"/>
        <w:jc w:val="lowKashida"/>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دال</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 xml:space="preserve">الحوار </w:t>
      </w:r>
      <w:r w:rsidR="00896765" w:rsidRPr="00B73747">
        <w:rPr>
          <w:rFonts w:hint="cs"/>
          <w:spacing w:val="0"/>
          <w:kern w:val="0"/>
          <w:szCs w:val="28"/>
          <w:rtl/>
          <w:lang w:val="fr-CH"/>
        </w:rPr>
        <w:t xml:space="preserve">الناشئ </w:t>
      </w:r>
      <w:r w:rsidRPr="00B73747">
        <w:rPr>
          <w:spacing w:val="0"/>
          <w:kern w:val="0"/>
          <w:szCs w:val="28"/>
          <w:rtl/>
          <w:lang w:val="fr-CH"/>
        </w:rPr>
        <w:t>عن الزيارات، بما في ذلك نشر الدول الأطراف لتقارير اللجنة الفرعية</w:t>
      </w:r>
      <w:r w:rsidRPr="00B73747">
        <w:rPr>
          <w:spacing w:val="0"/>
          <w:kern w:val="0"/>
          <w:szCs w:val="28"/>
          <w:rtl/>
          <w:lang w:val="fr-CH"/>
        </w:rPr>
        <w:tab/>
      </w:r>
      <w:r w:rsidRPr="00B73747">
        <w:rPr>
          <w:rFonts w:hint="cs"/>
          <w:spacing w:val="0"/>
          <w:kern w:val="0"/>
          <w:szCs w:val="28"/>
          <w:rtl/>
          <w:lang w:val="fr-CH"/>
        </w:rPr>
        <w:tab/>
        <w:t>15-16</w:t>
      </w:r>
      <w:r w:rsidRPr="00B73747">
        <w:rPr>
          <w:rFonts w:hint="cs"/>
          <w:spacing w:val="0"/>
          <w:kern w:val="0"/>
          <w:szCs w:val="28"/>
          <w:rtl/>
          <w:lang w:val="fr-CH"/>
        </w:rPr>
        <w:tab/>
      </w:r>
      <w:r w:rsidR="00E7369E" w:rsidRPr="00B73747">
        <w:rPr>
          <w:rFonts w:hint="cs"/>
          <w:spacing w:val="0"/>
          <w:kern w:val="0"/>
          <w:szCs w:val="28"/>
          <w:rtl/>
          <w:lang w:val="fr-CH"/>
        </w:rPr>
        <w:t>316</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هاء</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التطورات المتعلقة بإنشاء الآليات الوقائية الوطنية</w:t>
      </w:r>
      <w:r w:rsidRPr="00B73747">
        <w:rPr>
          <w:spacing w:val="0"/>
          <w:kern w:val="0"/>
          <w:szCs w:val="28"/>
          <w:rtl/>
          <w:lang w:val="fr-CH"/>
        </w:rPr>
        <w:tab/>
      </w:r>
      <w:r w:rsidRPr="00B73747">
        <w:rPr>
          <w:rFonts w:hint="cs"/>
          <w:spacing w:val="0"/>
          <w:kern w:val="0"/>
          <w:szCs w:val="28"/>
          <w:rtl/>
          <w:lang w:val="fr-CH"/>
        </w:rPr>
        <w:tab/>
        <w:t>17-25</w:t>
      </w:r>
      <w:r w:rsidRPr="00B73747">
        <w:rPr>
          <w:spacing w:val="0"/>
          <w:kern w:val="0"/>
          <w:szCs w:val="28"/>
          <w:rtl/>
          <w:lang w:val="fr-CH"/>
        </w:rPr>
        <w:tab/>
      </w:r>
      <w:r w:rsidR="00E7369E" w:rsidRPr="00B73747">
        <w:rPr>
          <w:rFonts w:hint="cs"/>
          <w:spacing w:val="0"/>
          <w:kern w:val="0"/>
          <w:szCs w:val="28"/>
          <w:rtl/>
          <w:lang w:val="fr-CH"/>
        </w:rPr>
        <w:t>317</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after="120" w:line="340" w:lineRule="exact"/>
        <w:ind w:left="2189" w:right="2200" w:hanging="2189"/>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واو</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التبرعات لفائدة الصندوق الخاص المُنشأ بموجب المادة 26 من البروتوكول الاختياري</w:t>
      </w:r>
      <w:r w:rsidRPr="00B73747">
        <w:rPr>
          <w:spacing w:val="0"/>
          <w:kern w:val="0"/>
          <w:szCs w:val="28"/>
          <w:rtl/>
          <w:lang w:val="fr-CH"/>
        </w:rPr>
        <w:tab/>
      </w:r>
      <w:r w:rsidRPr="00B73747">
        <w:rPr>
          <w:rFonts w:hint="cs"/>
          <w:spacing w:val="0"/>
          <w:kern w:val="0"/>
          <w:szCs w:val="28"/>
          <w:rtl/>
          <w:lang w:val="fr-CH"/>
        </w:rPr>
        <w:tab/>
        <w:t>26-28</w:t>
      </w:r>
      <w:r w:rsidRPr="00B73747">
        <w:rPr>
          <w:rFonts w:hint="cs"/>
          <w:spacing w:val="0"/>
          <w:kern w:val="0"/>
          <w:szCs w:val="28"/>
          <w:rtl/>
          <w:lang w:val="fr-CH"/>
        </w:rPr>
        <w:tab/>
      </w:r>
      <w:r w:rsidR="00E7369E" w:rsidRPr="00B73747">
        <w:rPr>
          <w:rFonts w:hint="cs"/>
          <w:spacing w:val="0"/>
          <w:kern w:val="0"/>
          <w:szCs w:val="28"/>
          <w:rtl/>
          <w:lang w:val="fr-CH"/>
        </w:rPr>
        <w:t>321</w:t>
      </w:r>
    </w:p>
    <w:p w:rsidR="00A92E0E" w:rsidRPr="00B73747" w:rsidRDefault="00A92E0E" w:rsidP="00E7369E">
      <w:pPr>
        <w:tabs>
          <w:tab w:val="right" w:pos="1021"/>
          <w:tab w:val="left" w:pos="1077"/>
          <w:tab w:val="left" w:pos="1525"/>
          <w:tab w:val="left" w:pos="1842"/>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ثالثاً</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الانخراط في العمل مع الهيئات الأخرى في مجال منع التعذيب</w:t>
      </w:r>
      <w:r w:rsidRPr="00B73747">
        <w:rPr>
          <w:spacing w:val="0"/>
          <w:kern w:val="0"/>
          <w:szCs w:val="28"/>
          <w:rtl/>
          <w:lang w:val="fr-CH"/>
        </w:rPr>
        <w:tab/>
      </w:r>
      <w:r w:rsidRPr="00B73747">
        <w:rPr>
          <w:rFonts w:hint="cs"/>
          <w:spacing w:val="0"/>
          <w:kern w:val="0"/>
          <w:szCs w:val="28"/>
          <w:rtl/>
          <w:lang w:val="fr-CH"/>
        </w:rPr>
        <w:tab/>
        <w:t>29-37</w:t>
      </w:r>
      <w:r w:rsidRPr="00B73747">
        <w:rPr>
          <w:spacing w:val="0"/>
          <w:kern w:val="0"/>
          <w:szCs w:val="28"/>
          <w:rtl/>
          <w:lang w:val="fr-CH"/>
        </w:rPr>
        <w:tab/>
      </w:r>
      <w:r w:rsidR="00E7369E" w:rsidRPr="00B73747">
        <w:rPr>
          <w:rFonts w:hint="cs"/>
          <w:spacing w:val="0"/>
          <w:kern w:val="0"/>
          <w:szCs w:val="28"/>
          <w:rtl/>
          <w:lang w:val="fr-CH"/>
        </w:rPr>
        <w:t>322</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ألف</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التعاون الدولي</w:t>
      </w:r>
      <w:r w:rsidRPr="00B73747">
        <w:rPr>
          <w:spacing w:val="0"/>
          <w:kern w:val="0"/>
          <w:szCs w:val="28"/>
          <w:rtl/>
          <w:lang w:val="fr-CH"/>
        </w:rPr>
        <w:tab/>
      </w:r>
      <w:r w:rsidRPr="00B73747">
        <w:rPr>
          <w:rFonts w:hint="cs"/>
          <w:spacing w:val="0"/>
          <w:kern w:val="0"/>
          <w:szCs w:val="28"/>
          <w:rtl/>
          <w:lang w:val="fr-CH"/>
        </w:rPr>
        <w:tab/>
        <w:t>29-35</w:t>
      </w:r>
      <w:r w:rsidRPr="00B73747">
        <w:rPr>
          <w:spacing w:val="0"/>
          <w:kern w:val="0"/>
          <w:szCs w:val="28"/>
          <w:rtl/>
          <w:lang w:val="fr-CH"/>
        </w:rPr>
        <w:tab/>
      </w:r>
      <w:r w:rsidR="00E7369E" w:rsidRPr="00B73747">
        <w:rPr>
          <w:rFonts w:hint="cs"/>
          <w:spacing w:val="0"/>
          <w:kern w:val="0"/>
          <w:szCs w:val="28"/>
          <w:rtl/>
          <w:lang w:val="fr-CH"/>
        </w:rPr>
        <w:t>322</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باء</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التعاون الإقليمي</w:t>
      </w:r>
      <w:r w:rsidRPr="00B73747">
        <w:rPr>
          <w:spacing w:val="0"/>
          <w:kern w:val="0"/>
          <w:szCs w:val="28"/>
          <w:rtl/>
          <w:lang w:val="fr-CH"/>
        </w:rPr>
        <w:tab/>
      </w:r>
      <w:r w:rsidRPr="00B73747">
        <w:rPr>
          <w:rFonts w:hint="cs"/>
          <w:spacing w:val="0"/>
          <w:kern w:val="0"/>
          <w:szCs w:val="28"/>
          <w:rtl/>
          <w:lang w:val="fr-CH"/>
        </w:rPr>
        <w:tab/>
        <w:t>36</w:t>
      </w:r>
      <w:r w:rsidRPr="00B73747">
        <w:rPr>
          <w:spacing w:val="0"/>
          <w:kern w:val="0"/>
          <w:szCs w:val="28"/>
          <w:rtl/>
          <w:lang w:val="fr-CH"/>
        </w:rPr>
        <w:tab/>
      </w:r>
      <w:r w:rsidR="00E7369E" w:rsidRPr="00B73747">
        <w:rPr>
          <w:rFonts w:hint="cs"/>
          <w:spacing w:val="0"/>
          <w:kern w:val="0"/>
          <w:szCs w:val="28"/>
          <w:rtl/>
          <w:lang w:val="fr-CH"/>
        </w:rPr>
        <w:t>324</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after="120" w:line="340" w:lineRule="exact"/>
        <w:rPr>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جيم</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المجتمع المدني</w:t>
      </w:r>
      <w:r w:rsidRPr="00B73747">
        <w:rPr>
          <w:spacing w:val="0"/>
          <w:kern w:val="0"/>
          <w:szCs w:val="28"/>
          <w:rtl/>
          <w:lang w:val="fr-CH"/>
        </w:rPr>
        <w:tab/>
      </w:r>
      <w:r w:rsidRPr="00B73747">
        <w:rPr>
          <w:rFonts w:hint="cs"/>
          <w:spacing w:val="0"/>
          <w:kern w:val="0"/>
          <w:szCs w:val="28"/>
          <w:rtl/>
          <w:lang w:val="fr-CH"/>
        </w:rPr>
        <w:tab/>
        <w:t>37</w:t>
      </w:r>
      <w:r w:rsidRPr="00B73747">
        <w:rPr>
          <w:spacing w:val="0"/>
          <w:kern w:val="0"/>
          <w:szCs w:val="28"/>
          <w:rtl/>
          <w:lang w:val="fr-CH"/>
        </w:rPr>
        <w:tab/>
      </w:r>
      <w:r w:rsidR="00E7369E" w:rsidRPr="00B73747">
        <w:rPr>
          <w:rFonts w:hint="cs"/>
          <w:spacing w:val="0"/>
          <w:kern w:val="0"/>
          <w:szCs w:val="28"/>
          <w:rtl/>
          <w:lang w:val="fr-CH"/>
        </w:rPr>
        <w:t>324</w:t>
      </w:r>
    </w:p>
    <w:p w:rsidR="00A92E0E" w:rsidRPr="00B73747" w:rsidRDefault="00A92E0E" w:rsidP="00896765">
      <w:pPr>
        <w:tabs>
          <w:tab w:val="right" w:pos="1021"/>
          <w:tab w:val="left" w:pos="1077"/>
          <w:tab w:val="left" w:pos="1525"/>
          <w:tab w:val="left" w:pos="1842"/>
          <w:tab w:val="left" w:pos="2681"/>
          <w:tab w:val="left" w:leader="dot" w:pos="7469"/>
          <w:tab w:val="left" w:pos="7972"/>
          <w:tab w:val="right" w:pos="9638"/>
        </w:tabs>
        <w:spacing w:line="340" w:lineRule="exact"/>
        <w:ind w:left="1538" w:right="2200" w:hanging="1538"/>
        <w:rPr>
          <w:spacing w:val="0"/>
          <w:kern w:val="0"/>
          <w:szCs w:val="28"/>
          <w:rtl/>
          <w:lang w:val="fr-CH"/>
        </w:rPr>
      </w:pPr>
      <w:r w:rsidRPr="00B73747">
        <w:rPr>
          <w:rFonts w:hint="cs"/>
          <w:spacing w:val="0"/>
          <w:kern w:val="0"/>
          <w:szCs w:val="28"/>
          <w:rtl/>
          <w:lang w:val="fr-CH"/>
        </w:rPr>
        <w:tab/>
      </w:r>
      <w:r w:rsidRPr="00B73747">
        <w:rPr>
          <w:spacing w:val="0"/>
          <w:kern w:val="0"/>
          <w:szCs w:val="28"/>
          <w:rtl/>
          <w:lang w:val="fr-CH"/>
        </w:rPr>
        <w:t>رابعاً</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 xml:space="preserve">المسائل الجديرة بالذِكر الناشئة عن الأعمال التي اضطلعت بها اللجنة الفرعية خلال الفترة </w:t>
      </w:r>
      <w:r w:rsidR="00896765" w:rsidRPr="00B73747">
        <w:rPr>
          <w:rFonts w:hint="cs"/>
          <w:spacing w:val="0"/>
          <w:kern w:val="0"/>
          <w:szCs w:val="28"/>
          <w:rtl/>
          <w:lang w:val="fr-CH"/>
        </w:rPr>
        <w:t>المشمولة ب</w:t>
      </w:r>
      <w:r w:rsidRPr="00B73747">
        <w:rPr>
          <w:spacing w:val="0"/>
          <w:kern w:val="0"/>
          <w:szCs w:val="28"/>
          <w:rtl/>
          <w:lang w:val="fr-CH"/>
        </w:rPr>
        <w:t>الاستعراض</w:t>
      </w:r>
      <w:r w:rsidRPr="00B73747">
        <w:rPr>
          <w:spacing w:val="0"/>
          <w:kern w:val="0"/>
          <w:szCs w:val="28"/>
          <w:rtl/>
          <w:lang w:val="fr-CH"/>
        </w:rPr>
        <w:tab/>
      </w:r>
      <w:r w:rsidRPr="00B73747">
        <w:rPr>
          <w:rFonts w:hint="cs"/>
          <w:spacing w:val="0"/>
          <w:kern w:val="0"/>
          <w:szCs w:val="28"/>
          <w:rtl/>
          <w:lang w:val="fr-CH"/>
        </w:rPr>
        <w:tab/>
        <w:t>38-63</w:t>
      </w:r>
      <w:r w:rsidRPr="00B73747">
        <w:rPr>
          <w:rFonts w:hint="cs"/>
          <w:spacing w:val="0"/>
          <w:kern w:val="0"/>
          <w:szCs w:val="28"/>
          <w:rtl/>
          <w:lang w:val="fr-CH"/>
        </w:rPr>
        <w:tab/>
      </w:r>
      <w:r w:rsidR="00E7369E" w:rsidRPr="00B73747">
        <w:rPr>
          <w:rFonts w:hint="cs"/>
          <w:spacing w:val="0"/>
          <w:kern w:val="0"/>
          <w:szCs w:val="28"/>
          <w:rtl/>
          <w:lang w:val="fr-CH"/>
        </w:rPr>
        <w:t>324</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ألف</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تطوير ممارسات عمل اللجنة الفرعية</w:t>
      </w:r>
      <w:r w:rsidRPr="00B73747">
        <w:rPr>
          <w:spacing w:val="0"/>
          <w:kern w:val="0"/>
          <w:szCs w:val="28"/>
          <w:rtl/>
          <w:lang w:val="fr-CH"/>
        </w:rPr>
        <w:tab/>
      </w:r>
      <w:r w:rsidRPr="00B73747">
        <w:rPr>
          <w:rFonts w:hint="cs"/>
          <w:spacing w:val="0"/>
          <w:kern w:val="0"/>
          <w:szCs w:val="28"/>
          <w:rtl/>
          <w:lang w:val="fr-CH"/>
        </w:rPr>
        <w:tab/>
        <w:t>38-45</w:t>
      </w:r>
      <w:r w:rsidRPr="00B73747">
        <w:rPr>
          <w:spacing w:val="0"/>
          <w:kern w:val="0"/>
          <w:szCs w:val="28"/>
          <w:rtl/>
          <w:lang w:val="fr-CH"/>
        </w:rPr>
        <w:tab/>
      </w:r>
      <w:r w:rsidR="00E7369E" w:rsidRPr="00B73747">
        <w:rPr>
          <w:rFonts w:hint="cs"/>
          <w:spacing w:val="0"/>
          <w:kern w:val="0"/>
          <w:szCs w:val="28"/>
          <w:rtl/>
          <w:lang w:val="fr-CH"/>
        </w:rPr>
        <w:t>324</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spacing w:val="0"/>
          <w:kern w:val="0"/>
          <w:szCs w:val="28"/>
          <w:rtl/>
          <w:lang w:val="fr-CH"/>
        </w:rPr>
        <w:tab/>
      </w:r>
      <w:r w:rsidRPr="00B73747">
        <w:rPr>
          <w:rFonts w:hint="cs"/>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باء</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إنشاء أفرقة عاملة</w:t>
      </w:r>
      <w:r w:rsidRPr="00B73747">
        <w:rPr>
          <w:spacing w:val="0"/>
          <w:kern w:val="0"/>
          <w:szCs w:val="28"/>
          <w:rtl/>
          <w:lang w:val="fr-CH"/>
        </w:rPr>
        <w:tab/>
      </w:r>
      <w:r w:rsidRPr="00B73747">
        <w:rPr>
          <w:rFonts w:hint="cs"/>
          <w:spacing w:val="0"/>
          <w:kern w:val="0"/>
          <w:szCs w:val="28"/>
          <w:rtl/>
          <w:lang w:val="fr-CH"/>
        </w:rPr>
        <w:tab/>
        <w:t>46-47</w:t>
      </w:r>
      <w:r w:rsidRPr="00B73747">
        <w:rPr>
          <w:spacing w:val="0"/>
          <w:kern w:val="0"/>
          <w:szCs w:val="28"/>
          <w:rtl/>
          <w:lang w:val="fr-CH"/>
        </w:rPr>
        <w:tab/>
      </w:r>
      <w:r w:rsidR="00E7369E" w:rsidRPr="00B73747">
        <w:rPr>
          <w:rFonts w:hint="cs"/>
          <w:spacing w:val="0"/>
          <w:kern w:val="0"/>
          <w:szCs w:val="28"/>
          <w:rtl/>
          <w:lang w:val="fr-CH"/>
        </w:rPr>
        <w:t>327</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after="120" w:line="340" w:lineRule="exact"/>
        <w:rPr>
          <w:rFonts w:hint="cs"/>
          <w:spacing w:val="0"/>
          <w:kern w:val="0"/>
          <w:szCs w:val="28"/>
          <w:rtl/>
          <w:lang w:val="fr-CH"/>
        </w:rPr>
      </w:pPr>
      <w:r w:rsidRPr="00B73747">
        <w:rPr>
          <w:spacing w:val="0"/>
          <w:kern w:val="0"/>
          <w:szCs w:val="28"/>
          <w:rtl/>
          <w:lang w:val="fr-CH"/>
        </w:rPr>
        <w:tab/>
      </w:r>
      <w:r w:rsidRPr="00B73747">
        <w:rPr>
          <w:rFonts w:hint="cs"/>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جيم</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المسائل الناشئة عن الزيارات</w:t>
      </w:r>
      <w:r w:rsidRPr="00B73747">
        <w:rPr>
          <w:spacing w:val="0"/>
          <w:kern w:val="0"/>
          <w:szCs w:val="28"/>
          <w:rtl/>
          <w:lang w:val="fr-CH"/>
        </w:rPr>
        <w:tab/>
      </w:r>
      <w:r w:rsidRPr="00B73747">
        <w:rPr>
          <w:rFonts w:hint="cs"/>
          <w:spacing w:val="0"/>
          <w:kern w:val="0"/>
          <w:szCs w:val="28"/>
          <w:rtl/>
          <w:lang w:val="fr-CH"/>
        </w:rPr>
        <w:tab/>
        <w:t>48-63</w:t>
      </w:r>
      <w:r w:rsidRPr="00B73747">
        <w:rPr>
          <w:spacing w:val="0"/>
          <w:kern w:val="0"/>
          <w:szCs w:val="28"/>
          <w:rtl/>
          <w:lang w:val="fr-CH"/>
        </w:rPr>
        <w:tab/>
      </w:r>
      <w:r w:rsidR="00E7369E" w:rsidRPr="00B73747">
        <w:rPr>
          <w:rFonts w:hint="cs"/>
          <w:spacing w:val="0"/>
          <w:kern w:val="0"/>
          <w:szCs w:val="28"/>
          <w:rtl/>
          <w:lang w:val="fr-CH"/>
        </w:rPr>
        <w:t>327</w:t>
      </w:r>
    </w:p>
    <w:p w:rsidR="00A92E0E" w:rsidRPr="00B73747" w:rsidRDefault="00A92E0E" w:rsidP="00E7369E">
      <w:pPr>
        <w:tabs>
          <w:tab w:val="right" w:pos="1021"/>
          <w:tab w:val="left" w:pos="1077"/>
          <w:tab w:val="left" w:pos="1525"/>
          <w:tab w:val="left" w:pos="1842"/>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خامساً</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المسائل الموضوعية</w:t>
      </w:r>
      <w:r w:rsidRPr="00B73747">
        <w:rPr>
          <w:spacing w:val="0"/>
          <w:kern w:val="0"/>
          <w:szCs w:val="28"/>
          <w:rtl/>
          <w:lang w:val="fr-CH"/>
        </w:rPr>
        <w:tab/>
      </w:r>
      <w:r w:rsidRPr="00B73747">
        <w:rPr>
          <w:rFonts w:hint="cs"/>
          <w:spacing w:val="0"/>
          <w:kern w:val="0"/>
          <w:szCs w:val="28"/>
          <w:rtl/>
          <w:lang w:val="fr-CH"/>
        </w:rPr>
        <w:tab/>
        <w:t>64-82</w:t>
      </w:r>
      <w:r w:rsidRPr="00B73747">
        <w:rPr>
          <w:spacing w:val="0"/>
          <w:kern w:val="0"/>
          <w:szCs w:val="28"/>
          <w:rtl/>
          <w:lang w:val="fr-CH"/>
        </w:rPr>
        <w:tab/>
      </w:r>
      <w:r w:rsidR="00E7369E" w:rsidRPr="00B73747">
        <w:rPr>
          <w:rFonts w:hint="cs"/>
          <w:spacing w:val="0"/>
          <w:kern w:val="0"/>
          <w:szCs w:val="28"/>
          <w:rtl/>
          <w:lang w:val="fr-CH"/>
        </w:rPr>
        <w:t>331</w:t>
      </w:r>
    </w:p>
    <w:p w:rsidR="00A92E0E" w:rsidRPr="00B73747" w:rsidRDefault="00A92E0E" w:rsidP="00896765">
      <w:pPr>
        <w:tabs>
          <w:tab w:val="right" w:pos="1021"/>
          <w:tab w:val="left" w:pos="1077"/>
          <w:tab w:val="left" w:pos="1525"/>
          <w:tab w:val="left" w:pos="1883"/>
          <w:tab w:val="left" w:pos="2206"/>
          <w:tab w:val="left" w:pos="2681"/>
          <w:tab w:val="left" w:leader="dot" w:pos="7469"/>
          <w:tab w:val="left" w:pos="7972"/>
          <w:tab w:val="right" w:pos="9638"/>
        </w:tabs>
        <w:spacing w:line="340" w:lineRule="exact"/>
        <w:rPr>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ألف</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 xml:space="preserve">أهمية التثقيف في مجال حقوق الإنسان </w:t>
      </w:r>
      <w:r w:rsidR="00896765" w:rsidRPr="00B73747">
        <w:rPr>
          <w:rFonts w:hint="cs"/>
          <w:spacing w:val="0"/>
          <w:kern w:val="0"/>
          <w:szCs w:val="28"/>
          <w:rtl/>
          <w:lang w:val="fr-CH"/>
        </w:rPr>
        <w:t>ب</w:t>
      </w:r>
      <w:r w:rsidRPr="00B73747">
        <w:rPr>
          <w:spacing w:val="0"/>
          <w:kern w:val="0"/>
          <w:szCs w:val="28"/>
          <w:rtl/>
          <w:lang w:val="fr-CH"/>
        </w:rPr>
        <w:t>منع التعذيب</w:t>
      </w:r>
      <w:r w:rsidRPr="00B73747">
        <w:rPr>
          <w:spacing w:val="0"/>
          <w:kern w:val="0"/>
          <w:szCs w:val="28"/>
          <w:rtl/>
          <w:lang w:val="fr-CH"/>
        </w:rPr>
        <w:tab/>
      </w:r>
      <w:r w:rsidRPr="00B73747">
        <w:rPr>
          <w:rFonts w:hint="cs"/>
          <w:spacing w:val="0"/>
          <w:kern w:val="0"/>
          <w:szCs w:val="28"/>
          <w:rtl/>
          <w:lang w:val="fr-CH"/>
        </w:rPr>
        <w:tab/>
        <w:t>65-76</w:t>
      </w:r>
      <w:r w:rsidRPr="00B73747">
        <w:rPr>
          <w:spacing w:val="0"/>
          <w:kern w:val="0"/>
          <w:szCs w:val="28"/>
          <w:rtl/>
          <w:lang w:val="fr-CH"/>
        </w:rPr>
        <w:tab/>
      </w:r>
      <w:r w:rsidR="00E7369E" w:rsidRPr="00B73747">
        <w:rPr>
          <w:rFonts w:hint="cs"/>
          <w:spacing w:val="0"/>
          <w:kern w:val="0"/>
          <w:szCs w:val="28"/>
          <w:rtl/>
          <w:lang w:val="fr-CH"/>
        </w:rPr>
        <w:t>331</w:t>
      </w:r>
    </w:p>
    <w:p w:rsidR="00A92E0E" w:rsidRPr="00B73747" w:rsidRDefault="00A92E0E" w:rsidP="00896765">
      <w:pPr>
        <w:tabs>
          <w:tab w:val="right" w:pos="1021"/>
          <w:tab w:val="left" w:pos="1077"/>
          <w:tab w:val="left" w:pos="1525"/>
          <w:tab w:val="left" w:pos="1883"/>
          <w:tab w:val="left" w:pos="2206"/>
          <w:tab w:val="left" w:pos="2681"/>
          <w:tab w:val="left" w:leader="dot" w:pos="7469"/>
          <w:tab w:val="left" w:pos="7972"/>
          <w:tab w:val="right" w:pos="9638"/>
        </w:tabs>
        <w:spacing w:after="120"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باء</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r>
      <w:r w:rsidR="00896765" w:rsidRPr="00B73747">
        <w:rPr>
          <w:rFonts w:hint="cs"/>
          <w:spacing w:val="0"/>
          <w:kern w:val="0"/>
          <w:szCs w:val="28"/>
          <w:rtl/>
          <w:lang w:val="fr-CH"/>
        </w:rPr>
        <w:t xml:space="preserve">الصلة </w:t>
      </w:r>
      <w:r w:rsidRPr="00B73747">
        <w:rPr>
          <w:spacing w:val="0"/>
          <w:kern w:val="0"/>
          <w:szCs w:val="28"/>
          <w:rtl/>
          <w:lang w:val="fr-CH"/>
        </w:rPr>
        <w:t>بين المساعدة القانونية ونظام الدفاع العام ومنع التعذيب</w:t>
      </w:r>
      <w:r w:rsidRPr="00B73747">
        <w:rPr>
          <w:spacing w:val="0"/>
          <w:kern w:val="0"/>
          <w:szCs w:val="28"/>
          <w:rtl/>
          <w:lang w:val="fr-CH"/>
        </w:rPr>
        <w:tab/>
      </w:r>
      <w:r w:rsidRPr="00B73747">
        <w:rPr>
          <w:rFonts w:hint="cs"/>
          <w:spacing w:val="0"/>
          <w:kern w:val="0"/>
          <w:szCs w:val="28"/>
          <w:rtl/>
          <w:lang w:val="fr-CH"/>
        </w:rPr>
        <w:tab/>
        <w:t>77-82</w:t>
      </w:r>
      <w:r w:rsidRPr="00B73747">
        <w:rPr>
          <w:spacing w:val="0"/>
          <w:kern w:val="0"/>
          <w:szCs w:val="28"/>
          <w:rtl/>
          <w:lang w:val="fr-CH"/>
        </w:rPr>
        <w:tab/>
      </w:r>
      <w:r w:rsidR="00E7369E" w:rsidRPr="00B73747">
        <w:rPr>
          <w:rFonts w:hint="cs"/>
          <w:spacing w:val="0"/>
          <w:kern w:val="0"/>
          <w:szCs w:val="28"/>
          <w:rtl/>
          <w:lang w:val="fr-CH"/>
        </w:rPr>
        <w:t>333</w:t>
      </w:r>
    </w:p>
    <w:p w:rsidR="00A92E0E" w:rsidRPr="00B73747" w:rsidRDefault="00A92E0E" w:rsidP="00E7369E">
      <w:pPr>
        <w:tabs>
          <w:tab w:val="right" w:pos="1021"/>
          <w:tab w:val="left" w:pos="1077"/>
          <w:tab w:val="left" w:pos="1525"/>
          <w:tab w:val="left" w:pos="1842"/>
          <w:tab w:val="left" w:pos="2206"/>
          <w:tab w:val="left" w:pos="2681"/>
          <w:tab w:val="left" w:leader="dot" w:pos="7469"/>
          <w:tab w:val="left" w:pos="7972"/>
          <w:tab w:val="right" w:pos="9638"/>
        </w:tabs>
        <w:spacing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سادساً</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استشراف المستقبل</w:t>
      </w:r>
      <w:r w:rsidRPr="00B73747">
        <w:rPr>
          <w:spacing w:val="0"/>
          <w:kern w:val="0"/>
          <w:szCs w:val="28"/>
          <w:rtl/>
          <w:lang w:val="fr-CH"/>
        </w:rPr>
        <w:tab/>
      </w:r>
      <w:r w:rsidRPr="00B73747">
        <w:rPr>
          <w:rFonts w:hint="cs"/>
          <w:spacing w:val="0"/>
          <w:kern w:val="0"/>
          <w:szCs w:val="28"/>
          <w:rtl/>
          <w:lang w:val="fr-CH"/>
        </w:rPr>
        <w:tab/>
        <w:t>83-89</w:t>
      </w:r>
      <w:r w:rsidRPr="00B73747">
        <w:rPr>
          <w:spacing w:val="0"/>
          <w:kern w:val="0"/>
          <w:szCs w:val="28"/>
          <w:rtl/>
          <w:lang w:val="fr-CH"/>
        </w:rPr>
        <w:tab/>
      </w:r>
      <w:r w:rsidR="00E7369E" w:rsidRPr="00B73747">
        <w:rPr>
          <w:rFonts w:hint="cs"/>
          <w:spacing w:val="0"/>
          <w:kern w:val="0"/>
          <w:szCs w:val="28"/>
          <w:rtl/>
          <w:lang w:val="fr-CH"/>
        </w:rPr>
        <w:t>335</w:t>
      </w:r>
    </w:p>
    <w:p w:rsidR="00A92E0E"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line="340" w:lineRule="exact"/>
        <w:rPr>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ألف</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النهج الجديد لإنجاز ولاية اللجنة الفرعية</w:t>
      </w:r>
      <w:r w:rsidRPr="00B73747">
        <w:rPr>
          <w:spacing w:val="0"/>
          <w:kern w:val="0"/>
          <w:szCs w:val="28"/>
          <w:rtl/>
          <w:lang w:val="fr-CH"/>
        </w:rPr>
        <w:tab/>
      </w:r>
      <w:r w:rsidRPr="00B73747">
        <w:rPr>
          <w:rFonts w:hint="cs"/>
          <w:spacing w:val="0"/>
          <w:kern w:val="0"/>
          <w:szCs w:val="28"/>
          <w:rtl/>
          <w:lang w:val="fr-CH"/>
        </w:rPr>
        <w:tab/>
        <w:t>83-85</w:t>
      </w:r>
      <w:r w:rsidRPr="00B73747">
        <w:rPr>
          <w:spacing w:val="0"/>
          <w:kern w:val="0"/>
          <w:szCs w:val="28"/>
          <w:rtl/>
          <w:lang w:val="fr-CH"/>
        </w:rPr>
        <w:tab/>
      </w:r>
      <w:r w:rsidR="00E7369E" w:rsidRPr="00B73747">
        <w:rPr>
          <w:rFonts w:hint="cs"/>
          <w:spacing w:val="0"/>
          <w:kern w:val="0"/>
          <w:szCs w:val="28"/>
          <w:rtl/>
          <w:lang w:val="fr-CH"/>
        </w:rPr>
        <w:t>335</w:t>
      </w:r>
    </w:p>
    <w:p w:rsidR="007D1EF4" w:rsidRPr="00B73747" w:rsidRDefault="00A92E0E" w:rsidP="00E7369E">
      <w:pPr>
        <w:tabs>
          <w:tab w:val="right" w:pos="1021"/>
          <w:tab w:val="left" w:pos="1077"/>
          <w:tab w:val="left" w:pos="1525"/>
          <w:tab w:val="left" w:pos="1883"/>
          <w:tab w:val="left" w:pos="2206"/>
          <w:tab w:val="left" w:pos="2681"/>
          <w:tab w:val="left" w:leader="dot" w:pos="7469"/>
          <w:tab w:val="left" w:pos="7972"/>
          <w:tab w:val="right" w:pos="9638"/>
        </w:tabs>
        <w:spacing w:after="120" w:line="340" w:lineRule="exact"/>
        <w:rPr>
          <w:rFonts w:hint="cs"/>
          <w:spacing w:val="0"/>
          <w:kern w:val="0"/>
          <w:szCs w:val="28"/>
          <w:rtl/>
          <w:lang w:val="fr-CH"/>
        </w:rPr>
      </w:pPr>
      <w:r w:rsidRPr="00B73747">
        <w:rPr>
          <w:rFonts w:hint="cs"/>
          <w:spacing w:val="0"/>
          <w:kern w:val="0"/>
          <w:szCs w:val="28"/>
          <w:rtl/>
          <w:lang w:val="fr-CH"/>
        </w:rPr>
        <w:tab/>
      </w:r>
      <w:r w:rsidRPr="00B73747">
        <w:rPr>
          <w:spacing w:val="0"/>
          <w:kern w:val="0"/>
          <w:szCs w:val="28"/>
          <w:rtl/>
          <w:lang w:val="fr-CH"/>
        </w:rPr>
        <w:tab/>
      </w:r>
      <w:r w:rsidRPr="00B73747">
        <w:rPr>
          <w:rFonts w:hint="cs"/>
          <w:spacing w:val="0"/>
          <w:kern w:val="0"/>
          <w:szCs w:val="28"/>
          <w:rtl/>
          <w:lang w:val="fr-CH"/>
        </w:rPr>
        <w:tab/>
      </w:r>
      <w:r w:rsidRPr="00B73747">
        <w:rPr>
          <w:spacing w:val="0"/>
          <w:kern w:val="0"/>
          <w:szCs w:val="28"/>
          <w:rtl/>
          <w:lang w:val="fr-CH"/>
        </w:rPr>
        <w:t>باء</w:t>
      </w:r>
      <w:r w:rsidRPr="00B73747">
        <w:rPr>
          <w:rFonts w:hint="cs"/>
          <w:spacing w:val="0"/>
          <w:kern w:val="0"/>
          <w:szCs w:val="28"/>
          <w:rtl/>
          <w:lang w:val="fr-CH"/>
        </w:rPr>
        <w:tab/>
      </w:r>
      <w:r w:rsidRPr="00B73747">
        <w:rPr>
          <w:spacing w:val="0"/>
          <w:kern w:val="0"/>
          <w:szCs w:val="28"/>
          <w:rtl/>
          <w:lang w:val="fr-CH"/>
        </w:rPr>
        <w:t>-</w:t>
      </w:r>
      <w:r w:rsidRPr="00B73747">
        <w:rPr>
          <w:spacing w:val="0"/>
          <w:kern w:val="0"/>
          <w:szCs w:val="28"/>
          <w:rtl/>
          <w:lang w:val="fr-CH"/>
        </w:rPr>
        <w:tab/>
        <w:t>خطة العمل لعام 2012</w:t>
      </w:r>
      <w:r w:rsidRPr="00B73747">
        <w:rPr>
          <w:spacing w:val="0"/>
          <w:kern w:val="0"/>
          <w:szCs w:val="28"/>
          <w:rtl/>
          <w:lang w:val="fr-CH"/>
        </w:rPr>
        <w:tab/>
      </w:r>
      <w:r w:rsidRPr="00B73747">
        <w:rPr>
          <w:rFonts w:hint="cs"/>
          <w:spacing w:val="0"/>
          <w:kern w:val="0"/>
          <w:szCs w:val="28"/>
          <w:rtl/>
          <w:lang w:val="fr-CH"/>
        </w:rPr>
        <w:tab/>
        <w:t>86-89</w:t>
      </w:r>
      <w:r w:rsidRPr="00B73747">
        <w:rPr>
          <w:spacing w:val="0"/>
          <w:kern w:val="0"/>
          <w:szCs w:val="28"/>
          <w:rtl/>
          <w:lang w:val="fr-CH"/>
        </w:rPr>
        <w:tab/>
      </w:r>
      <w:r w:rsidR="00E7369E" w:rsidRPr="00B73747">
        <w:rPr>
          <w:rFonts w:hint="cs"/>
          <w:spacing w:val="0"/>
          <w:kern w:val="0"/>
          <w:szCs w:val="28"/>
          <w:rtl/>
          <w:lang w:val="fr-CH"/>
        </w:rPr>
        <w:t>336</w:t>
      </w:r>
    </w:p>
    <w:p w:rsidR="007D1EF4" w:rsidRPr="00B73747" w:rsidRDefault="007D1EF4" w:rsidP="007D1EF4">
      <w:pPr>
        <w:tabs>
          <w:tab w:val="right" w:pos="1021"/>
          <w:tab w:val="left" w:pos="1077"/>
          <w:tab w:val="left" w:pos="1525"/>
          <w:tab w:val="left" w:pos="1883"/>
          <w:tab w:val="left" w:pos="2206"/>
          <w:tab w:val="left" w:pos="2681"/>
          <w:tab w:val="left" w:leader="dot" w:pos="7469"/>
          <w:tab w:val="left" w:pos="7972"/>
          <w:tab w:val="right" w:pos="9638"/>
        </w:tabs>
        <w:spacing w:after="120" w:line="340" w:lineRule="exact"/>
        <w:rPr>
          <w:rFonts w:hint="cs"/>
          <w:spacing w:val="0"/>
          <w:kern w:val="0"/>
          <w:szCs w:val="28"/>
          <w:rtl/>
          <w:lang w:val="fr-CH"/>
        </w:rPr>
        <w:sectPr w:rsidR="007D1EF4" w:rsidRPr="00B73747" w:rsidSect="00CA7A57">
          <w:headerReference w:type="first" r:id="rId24"/>
          <w:footerReference w:type="first" r:id="rId25"/>
          <w:endnotePr>
            <w:numFmt w:val="decimal"/>
          </w:endnotePr>
          <w:pgSz w:w="11906" w:h="16838" w:code="9"/>
          <w:pgMar w:top="1701" w:right="1134" w:bottom="2268" w:left="1134" w:header="1134" w:footer="1701" w:gutter="0"/>
          <w:pgNumType w:start="1"/>
          <w:cols w:space="708"/>
          <w:titlePg/>
          <w:bidi/>
          <w:docGrid w:linePitch="360"/>
        </w:sectPr>
      </w:pPr>
    </w:p>
    <w:p w:rsidR="00B8252B" w:rsidRPr="00B8252B" w:rsidRDefault="00B8252B" w:rsidP="00B8252B">
      <w:pPr>
        <w:pStyle w:val="HChGA"/>
        <w:spacing w:before="120"/>
        <w:rPr>
          <w:rFonts w:hint="cs"/>
          <w:kern w:val="0"/>
          <w:rtl/>
          <w:lang w:val="fr-CH" w:eastAsia="en-US"/>
        </w:rPr>
      </w:pPr>
      <w:bookmarkStart w:id="0" w:name="_Toc322593339"/>
      <w:r w:rsidRPr="00B8252B">
        <w:rPr>
          <w:rFonts w:hint="cs"/>
          <w:kern w:val="0"/>
          <w:rtl/>
          <w:lang w:val="fr-CH" w:eastAsia="en-US"/>
        </w:rPr>
        <w:tab/>
        <w:t>أولاً-</w:t>
      </w:r>
      <w:r w:rsidRPr="00B8252B">
        <w:rPr>
          <w:rFonts w:hint="cs"/>
          <w:kern w:val="0"/>
          <w:rtl/>
          <w:lang w:val="fr-CH" w:eastAsia="en-US"/>
        </w:rPr>
        <w:tab/>
        <w:t>مقدمة</w:t>
      </w:r>
      <w:bookmarkEnd w:id="0"/>
    </w:p>
    <w:p w:rsidR="00B8252B" w:rsidRPr="007D1EF4"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7D1EF4">
        <w:rPr>
          <w:rFonts w:hint="cs"/>
          <w:spacing w:val="-2"/>
          <w:kern w:val="0"/>
          <w:sz w:val="20"/>
          <w:rtl/>
          <w:lang w:val="fr-CH" w:eastAsia="en-US"/>
        </w:rPr>
        <w:t>1-</w:t>
      </w:r>
      <w:r w:rsidRPr="007D1EF4">
        <w:rPr>
          <w:rFonts w:hint="cs"/>
          <w:spacing w:val="-2"/>
          <w:kern w:val="0"/>
          <w:sz w:val="20"/>
          <w:rtl/>
          <w:lang w:val="fr-CH" w:eastAsia="en-US"/>
        </w:rPr>
        <w:tab/>
        <w:t>يغطي هذا التقرير ولأول مرة أعمال اللجنة الفرعية لمنع التعذيب وغيره من ضروب المعاملة أو العقوبة القاسية أو اللاإنسانية أو المهينة</w:t>
      </w:r>
      <w:r w:rsidRPr="007D1EF4">
        <w:rPr>
          <w:spacing w:val="-2"/>
          <w:kern w:val="0"/>
          <w:sz w:val="20"/>
          <w:vertAlign w:val="superscript"/>
          <w:rtl/>
          <w:lang w:val="fr-CH" w:eastAsia="en-US"/>
        </w:rPr>
        <w:t>(</w:t>
      </w:r>
      <w:r w:rsidRPr="007D1EF4">
        <w:rPr>
          <w:b/>
          <w:spacing w:val="-2"/>
          <w:kern w:val="0"/>
          <w:szCs w:val="28"/>
          <w:vertAlign w:val="superscript"/>
          <w:rtl/>
          <w:lang w:val="fr-CH" w:eastAsia="en-US"/>
        </w:rPr>
        <w:footnoteReference w:id="23"/>
      </w:r>
      <w:r w:rsidRPr="007D1EF4">
        <w:rPr>
          <w:spacing w:val="-2"/>
          <w:kern w:val="0"/>
          <w:sz w:val="20"/>
          <w:vertAlign w:val="superscript"/>
          <w:rtl/>
          <w:lang w:val="fr-CH" w:eastAsia="en-US"/>
        </w:rPr>
        <w:t>)</w:t>
      </w:r>
      <w:r w:rsidRPr="007D1EF4">
        <w:rPr>
          <w:spacing w:val="-2"/>
          <w:kern w:val="0"/>
          <w:sz w:val="20"/>
          <w:rtl/>
          <w:lang w:val="fr-CH" w:eastAsia="en-US"/>
        </w:rPr>
        <w:t xml:space="preserve"> </w:t>
      </w:r>
      <w:r w:rsidRPr="007D1EF4">
        <w:rPr>
          <w:rFonts w:hint="cs"/>
          <w:spacing w:val="-2"/>
          <w:kern w:val="0"/>
          <w:sz w:val="20"/>
          <w:rtl/>
          <w:lang w:val="fr-CH" w:eastAsia="en-US"/>
        </w:rPr>
        <w:t>(اللجنة الفرعية) التي جرى توسيع عضويتها لتضم 25 عضواً - وهو ما يجعلها أكبر لجنة فرعية في هيئات معاهدات حقوق الإنسان التابعة للأمم المتحدة. وقد كان عام 2011 مُحفِّزاً للجنة الفرعية، حيث شهد التأمل فيما تحقق من إنجازات، وإرساء قواعد التغيير المستقبلي، وواصلت فيه اللجنة الفرعية ممارسة ولايتها التي تشمل آلية الزيارة والآلية الوقائية الوطنية. ولا يزال البروتوكول الاختياري لاتفاقية مناهضة التعذيب وغيره من ضروب المعاملة أو العقوبة القاسية أو</w:t>
      </w:r>
      <w:r w:rsidRPr="007D1EF4">
        <w:rPr>
          <w:rFonts w:hint="eastAsia"/>
          <w:spacing w:val="-2"/>
          <w:kern w:val="0"/>
          <w:sz w:val="20"/>
          <w:rtl/>
          <w:lang w:val="fr-CH" w:eastAsia="en-US"/>
        </w:rPr>
        <w:t> </w:t>
      </w:r>
      <w:r w:rsidRPr="007D1EF4">
        <w:rPr>
          <w:rFonts w:hint="cs"/>
          <w:spacing w:val="-2"/>
          <w:kern w:val="0"/>
          <w:sz w:val="20"/>
          <w:rtl/>
          <w:lang w:val="fr-CH" w:eastAsia="en-US"/>
        </w:rPr>
        <w:t>اللاإنسانية أو المهينة (البروتوكول الاختياري) يجذب المزيد من الدول للانضمام إليه، كما</w:t>
      </w:r>
      <w:r w:rsidRPr="007D1EF4">
        <w:rPr>
          <w:rFonts w:hint="eastAsia"/>
          <w:spacing w:val="-2"/>
          <w:kern w:val="0"/>
          <w:sz w:val="20"/>
          <w:rtl/>
          <w:lang w:val="fr-CH" w:eastAsia="en-US"/>
        </w:rPr>
        <w:t> </w:t>
      </w:r>
      <w:r w:rsidRPr="007D1EF4">
        <w:rPr>
          <w:rFonts w:hint="cs"/>
          <w:spacing w:val="-2"/>
          <w:kern w:val="0"/>
          <w:sz w:val="20"/>
          <w:rtl/>
          <w:lang w:val="fr-CH" w:eastAsia="en-US"/>
        </w:rPr>
        <w:t xml:space="preserve">يتزايد الاهتمام بأعماله. ويتبع هذا التقرير النموذج الذي أرساه التقرير السنوي الرابع للجنة الفرعية، ويسلط الضوء على التطورات الحديثة، ويدرج بعض الأمور ذات الأهمية للجنة الفرعية، ويحدد موقفها بشأن عدد من المسائل الموضوعية، وأخيراً يلقي نظرة مستقبلية على العام المقبل.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w:t>
      </w:r>
      <w:r w:rsidRPr="00B8252B">
        <w:rPr>
          <w:rFonts w:hint="cs"/>
          <w:spacing w:val="0"/>
          <w:kern w:val="0"/>
          <w:sz w:val="20"/>
          <w:rtl/>
          <w:lang w:val="fr-CH" w:eastAsia="en-US"/>
        </w:rPr>
        <w:tab/>
        <w:t>وتود اللجنة الفرعية أن تؤكد، على النحو المبين في شتى أجزاء التقرير، أن الفرص التي تتيحها زيادة عدد أعضاء اللجنة لا</w:t>
      </w:r>
      <w:r w:rsidRPr="00B8252B">
        <w:rPr>
          <w:rFonts w:hint="eastAsia"/>
          <w:spacing w:val="0"/>
          <w:kern w:val="0"/>
          <w:sz w:val="20"/>
          <w:rtl/>
          <w:lang w:val="fr-CH" w:eastAsia="en-US"/>
        </w:rPr>
        <w:t> </w:t>
      </w:r>
      <w:r w:rsidRPr="00B8252B">
        <w:rPr>
          <w:rFonts w:hint="cs"/>
          <w:spacing w:val="0"/>
          <w:kern w:val="0"/>
          <w:sz w:val="20"/>
          <w:rtl/>
          <w:lang w:val="fr-CH" w:eastAsia="en-US"/>
        </w:rPr>
        <w:t xml:space="preserve">يمكن اغتنامها إلا إذا تمسكت الجهات صاحبة المصلحة في منظومة البروتوكول الاختياري - وهي اللجنة الفرعية نفسها، والآليات الوقائية الوطنية، والدول الأطراف، والأمم المتحدة ككل - على نحو شامل بروح الوقاية بأسلوب يعتني بالتركيز ويتحلى في الوقت نفسه بالمرونة، لفائدة أصحاب المصلحة الأكثر استفادةً من منظومة البروتوكول الاختياري، وهم الأشخاص المحرومون من حريتهم المعرضون لخطر التعذيب وسوء المعاملة. </w:t>
      </w:r>
    </w:p>
    <w:p w:rsidR="00B8252B" w:rsidRPr="00B8252B" w:rsidRDefault="00B8252B" w:rsidP="007D1EF4">
      <w:pPr>
        <w:pStyle w:val="HChGA"/>
        <w:rPr>
          <w:rFonts w:hint="cs"/>
          <w:kern w:val="0"/>
          <w:rtl/>
          <w:lang w:val="fr-CH" w:eastAsia="en-US"/>
        </w:rPr>
      </w:pPr>
      <w:r w:rsidRPr="00B8252B">
        <w:rPr>
          <w:rFonts w:hint="cs"/>
          <w:kern w:val="0"/>
          <w:rtl/>
          <w:lang w:val="fr-CH" w:eastAsia="en-US"/>
        </w:rPr>
        <w:tab/>
      </w:r>
      <w:bookmarkStart w:id="1" w:name="_Toc322593340"/>
      <w:r w:rsidRPr="00B8252B">
        <w:rPr>
          <w:rFonts w:hint="cs"/>
          <w:kern w:val="0"/>
          <w:rtl/>
          <w:lang w:val="fr-CH" w:eastAsia="en-US"/>
        </w:rPr>
        <w:t>ثانياً-</w:t>
      </w:r>
      <w:r w:rsidRPr="00B8252B">
        <w:rPr>
          <w:rFonts w:hint="cs"/>
          <w:kern w:val="0"/>
          <w:rtl/>
          <w:lang w:val="fr-CH" w:eastAsia="en-US"/>
        </w:rPr>
        <w:tab/>
        <w:t>السنة المشمولة بالاستعراض</w:t>
      </w:r>
      <w:bookmarkEnd w:id="1"/>
    </w:p>
    <w:p w:rsidR="00B8252B" w:rsidRPr="00B8252B" w:rsidRDefault="00B8252B" w:rsidP="00B8252B">
      <w:pPr>
        <w:pStyle w:val="H1GA"/>
        <w:rPr>
          <w:rFonts w:hint="cs"/>
          <w:kern w:val="0"/>
          <w:rtl/>
          <w:lang w:val="fr-CH" w:eastAsia="en-US"/>
        </w:rPr>
      </w:pPr>
      <w:r w:rsidRPr="00B8252B">
        <w:rPr>
          <w:kern w:val="0"/>
          <w:rtl/>
          <w:lang w:val="fr-CH" w:eastAsia="en-US"/>
        </w:rPr>
        <w:tab/>
      </w:r>
      <w:bookmarkStart w:id="2" w:name="_Toc322593341"/>
      <w:r w:rsidRPr="00B8252B">
        <w:rPr>
          <w:rFonts w:hint="cs"/>
          <w:kern w:val="0"/>
          <w:rtl/>
          <w:lang w:val="fr-CH" w:eastAsia="en-US"/>
        </w:rPr>
        <w:t>ألف-</w:t>
      </w:r>
      <w:r w:rsidRPr="00B8252B">
        <w:rPr>
          <w:rFonts w:hint="cs"/>
          <w:kern w:val="0"/>
          <w:rtl/>
          <w:lang w:val="fr-CH" w:eastAsia="en-US"/>
        </w:rPr>
        <w:tab/>
        <w:t>المشاركة في منظومة البروتوكول الاختياري</w:t>
      </w:r>
      <w:bookmarkEnd w:id="2"/>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3-</w:t>
      </w:r>
      <w:r w:rsidRPr="00B8252B">
        <w:rPr>
          <w:rFonts w:hint="cs"/>
          <w:spacing w:val="-2"/>
          <w:kern w:val="0"/>
          <w:sz w:val="20"/>
          <w:rtl/>
          <w:lang w:val="fr-CH" w:eastAsia="en-US"/>
        </w:rPr>
        <w:tab/>
        <w:t xml:space="preserve">في 31 </w:t>
      </w:r>
      <w:r w:rsidRPr="00B8252B">
        <w:rPr>
          <w:rFonts w:hint="cs"/>
          <w:spacing w:val="-2"/>
          <w:kern w:val="0"/>
          <w:sz w:val="30"/>
          <w:rtl/>
          <w:lang w:val="fr-CH" w:eastAsia="en-US"/>
        </w:rPr>
        <w:t xml:space="preserve">كانون الأول/ديسمبر </w:t>
      </w:r>
      <w:r w:rsidRPr="00B8252B">
        <w:rPr>
          <w:rFonts w:hint="cs"/>
          <w:spacing w:val="-2"/>
          <w:kern w:val="0"/>
          <w:sz w:val="20"/>
          <w:rtl/>
          <w:lang w:val="fr-CH" w:eastAsia="en-US"/>
        </w:rPr>
        <w:t>2011، بلغ عدد الدول الأطراف في البروتوكول الاختياري 61 دولة</w:t>
      </w:r>
      <w:r w:rsidRPr="00B8252B">
        <w:rPr>
          <w:spacing w:val="-2"/>
          <w:kern w:val="0"/>
          <w:sz w:val="20"/>
          <w:vertAlign w:val="superscript"/>
          <w:rtl/>
          <w:lang w:val="fr-CH" w:eastAsia="en-US"/>
        </w:rPr>
        <w:t>(</w:t>
      </w:r>
      <w:r w:rsidRPr="00B8252B">
        <w:rPr>
          <w:b/>
          <w:spacing w:val="-2"/>
          <w:kern w:val="0"/>
          <w:szCs w:val="28"/>
          <w:vertAlign w:val="superscript"/>
          <w:rtl/>
          <w:lang w:val="fr-CH" w:eastAsia="en-US"/>
        </w:rPr>
        <w:footnoteReference w:id="24"/>
      </w:r>
      <w:r w:rsidRPr="00B8252B">
        <w:rPr>
          <w:spacing w:val="-2"/>
          <w:kern w:val="0"/>
          <w:sz w:val="20"/>
          <w:vertAlign w:val="superscript"/>
          <w:rtl/>
          <w:lang w:val="fr-CH" w:eastAsia="en-US"/>
        </w:rPr>
        <w:t>)</w:t>
      </w:r>
      <w:r w:rsidRPr="00B8252B">
        <w:rPr>
          <w:rFonts w:hint="cs"/>
          <w:spacing w:val="-2"/>
          <w:kern w:val="0"/>
          <w:sz w:val="20"/>
          <w:rtl/>
          <w:lang w:val="fr-CH" w:eastAsia="en-US"/>
        </w:rPr>
        <w:t xml:space="preserve">. ومنذ </w:t>
      </w:r>
      <w:r w:rsidRPr="00B8252B">
        <w:rPr>
          <w:rFonts w:hint="cs"/>
          <w:spacing w:val="-2"/>
          <w:kern w:val="0"/>
          <w:sz w:val="30"/>
          <w:rtl/>
          <w:lang w:val="fr-CH" w:eastAsia="en-US"/>
        </w:rPr>
        <w:t xml:space="preserve">كانون الثاني/يناير </w:t>
      </w:r>
      <w:r w:rsidRPr="00B8252B">
        <w:rPr>
          <w:rFonts w:hint="cs"/>
          <w:spacing w:val="-2"/>
          <w:kern w:val="0"/>
          <w:sz w:val="20"/>
          <w:rtl/>
          <w:lang w:val="fr-CH" w:eastAsia="en-US"/>
        </w:rPr>
        <w:t>2011، صدَّقت على البروتوكول الاختياري أو انضمت إليه أربع دول، هي: بلغاريا</w:t>
      </w:r>
      <w:r w:rsidRPr="00B8252B">
        <w:rPr>
          <w:rFonts w:hint="eastAsia"/>
          <w:spacing w:val="-2"/>
          <w:kern w:val="0"/>
          <w:sz w:val="20"/>
          <w:rtl/>
          <w:lang w:val="fr-CH" w:eastAsia="en-US"/>
        </w:rPr>
        <w:t> </w:t>
      </w:r>
      <w:r w:rsidRPr="00B8252B">
        <w:rPr>
          <w:rFonts w:hint="cs"/>
          <w:spacing w:val="-2"/>
          <w:kern w:val="0"/>
          <w:sz w:val="20"/>
          <w:rtl/>
          <w:lang w:val="fr-CH" w:eastAsia="en-US"/>
        </w:rPr>
        <w:t xml:space="preserve">(1 </w:t>
      </w:r>
      <w:r w:rsidRPr="00B8252B">
        <w:rPr>
          <w:rFonts w:hint="cs"/>
          <w:spacing w:val="-2"/>
          <w:kern w:val="0"/>
          <w:sz w:val="30"/>
          <w:rtl/>
          <w:lang w:val="fr-CH" w:eastAsia="en-US"/>
        </w:rPr>
        <w:t xml:space="preserve">حزيران/يونيه </w:t>
      </w:r>
      <w:r w:rsidRPr="00B8252B">
        <w:rPr>
          <w:rFonts w:hint="cs"/>
          <w:spacing w:val="-2"/>
          <w:kern w:val="0"/>
          <w:sz w:val="20"/>
          <w:rtl/>
          <w:lang w:val="fr-CH" w:eastAsia="en-US"/>
        </w:rPr>
        <w:t>2011)، وبنما (2</w:t>
      </w:r>
      <w:r w:rsidRPr="00B8252B">
        <w:rPr>
          <w:rFonts w:hint="eastAsia"/>
          <w:spacing w:val="-2"/>
          <w:kern w:val="0"/>
          <w:sz w:val="20"/>
          <w:rtl/>
          <w:lang w:val="fr-CH" w:eastAsia="en-US"/>
        </w:rPr>
        <w:t> </w:t>
      </w:r>
      <w:r w:rsidRPr="00B8252B">
        <w:rPr>
          <w:rFonts w:hint="cs"/>
          <w:spacing w:val="-2"/>
          <w:kern w:val="0"/>
          <w:sz w:val="30"/>
          <w:rtl/>
          <w:lang w:val="fr-CH" w:eastAsia="en-US"/>
        </w:rPr>
        <w:t>حزيران/</w:t>
      </w:r>
      <w:r>
        <w:rPr>
          <w:rFonts w:hint="cs"/>
          <w:spacing w:val="-2"/>
          <w:kern w:val="0"/>
          <w:sz w:val="30"/>
          <w:rtl/>
          <w:lang w:val="fr-CH" w:eastAsia="en-US"/>
        </w:rPr>
        <w:t xml:space="preserve">        </w:t>
      </w:r>
      <w:r w:rsidRPr="00B8252B">
        <w:rPr>
          <w:rFonts w:hint="cs"/>
          <w:spacing w:val="-2"/>
          <w:kern w:val="0"/>
          <w:sz w:val="30"/>
          <w:rtl/>
          <w:lang w:val="fr-CH" w:eastAsia="en-US"/>
        </w:rPr>
        <w:t xml:space="preserve">يونيه </w:t>
      </w:r>
      <w:r w:rsidRPr="00B8252B">
        <w:rPr>
          <w:rFonts w:hint="cs"/>
          <w:spacing w:val="-2"/>
          <w:kern w:val="0"/>
          <w:sz w:val="20"/>
          <w:rtl/>
          <w:lang w:val="fr-CH" w:eastAsia="en-US"/>
        </w:rPr>
        <w:t xml:space="preserve">2011)، وتونس (29 </w:t>
      </w:r>
      <w:r w:rsidRPr="00B8252B">
        <w:rPr>
          <w:rFonts w:hint="cs"/>
          <w:spacing w:val="-2"/>
          <w:kern w:val="0"/>
          <w:sz w:val="30"/>
          <w:rtl/>
          <w:lang w:val="fr-CH" w:eastAsia="en-US"/>
        </w:rPr>
        <w:t xml:space="preserve">حزيران/يونيه </w:t>
      </w:r>
      <w:r w:rsidRPr="00B8252B">
        <w:rPr>
          <w:rFonts w:hint="cs"/>
          <w:spacing w:val="-2"/>
          <w:kern w:val="0"/>
          <w:sz w:val="20"/>
          <w:rtl/>
          <w:lang w:val="fr-CH" w:eastAsia="en-US"/>
        </w:rPr>
        <w:t xml:space="preserve">2011)، وتركيا (27 </w:t>
      </w:r>
      <w:r w:rsidRPr="00B8252B">
        <w:rPr>
          <w:rFonts w:hint="cs"/>
          <w:spacing w:val="-2"/>
          <w:kern w:val="0"/>
          <w:sz w:val="30"/>
          <w:rtl/>
          <w:lang w:val="fr-CH" w:eastAsia="en-US"/>
        </w:rPr>
        <w:t xml:space="preserve">أيلول/سبتمبر </w:t>
      </w:r>
      <w:r w:rsidRPr="00B8252B">
        <w:rPr>
          <w:rFonts w:hint="cs"/>
          <w:spacing w:val="-2"/>
          <w:kern w:val="0"/>
          <w:sz w:val="20"/>
          <w:rtl/>
          <w:lang w:val="fr-CH" w:eastAsia="en-US"/>
        </w:rPr>
        <w:t xml:space="preserve">2011). وبالإضافة إلى ذلك، وقعت البروتوكول الاختياري خلال الفترة المشمولة بالتقرير أربع دول، هي: اليونان (3 </w:t>
      </w:r>
      <w:r w:rsidRPr="00B8252B">
        <w:rPr>
          <w:rFonts w:hint="cs"/>
          <w:spacing w:val="-2"/>
          <w:kern w:val="0"/>
          <w:sz w:val="30"/>
          <w:rtl/>
          <w:lang w:val="fr-CH" w:eastAsia="en-US"/>
        </w:rPr>
        <w:t xml:space="preserve">آذار/مارس </w:t>
      </w:r>
      <w:r w:rsidRPr="00B8252B">
        <w:rPr>
          <w:rFonts w:hint="cs"/>
          <w:spacing w:val="-2"/>
          <w:kern w:val="0"/>
          <w:sz w:val="20"/>
          <w:rtl/>
          <w:lang w:val="fr-CH" w:eastAsia="en-US"/>
        </w:rPr>
        <w:t xml:space="preserve">2011)، وفنزويلا (1 </w:t>
      </w:r>
      <w:r w:rsidRPr="00B8252B">
        <w:rPr>
          <w:rFonts w:hint="cs"/>
          <w:spacing w:val="-2"/>
          <w:kern w:val="0"/>
          <w:sz w:val="30"/>
          <w:rtl/>
          <w:lang w:val="fr-CH" w:eastAsia="en-US"/>
        </w:rPr>
        <w:t xml:space="preserve">تموز/يوليه </w:t>
      </w:r>
      <w:r w:rsidRPr="00B8252B">
        <w:rPr>
          <w:rFonts w:hint="cs"/>
          <w:spacing w:val="-2"/>
          <w:kern w:val="0"/>
          <w:sz w:val="20"/>
          <w:rtl/>
          <w:lang w:val="fr-CH" w:eastAsia="en-US"/>
        </w:rPr>
        <w:t xml:space="preserve">2011)، والرأس الأخضر (26 </w:t>
      </w:r>
      <w:r w:rsidRPr="00B8252B">
        <w:rPr>
          <w:rFonts w:hint="cs"/>
          <w:spacing w:val="-2"/>
          <w:kern w:val="0"/>
          <w:sz w:val="30"/>
          <w:rtl/>
          <w:lang w:val="fr-CH" w:eastAsia="en-US"/>
        </w:rPr>
        <w:t xml:space="preserve">أيلول/سبتمبر </w:t>
      </w:r>
      <w:r w:rsidRPr="00B8252B">
        <w:rPr>
          <w:rFonts w:hint="cs"/>
          <w:spacing w:val="-2"/>
          <w:kern w:val="0"/>
          <w:sz w:val="20"/>
          <w:rtl/>
          <w:lang w:val="fr-CH" w:eastAsia="en-US"/>
        </w:rPr>
        <w:t xml:space="preserve">2011)، وموريتانيا (27 </w:t>
      </w:r>
      <w:r w:rsidRPr="00B8252B">
        <w:rPr>
          <w:rFonts w:hint="cs"/>
          <w:spacing w:val="-2"/>
          <w:kern w:val="0"/>
          <w:sz w:val="30"/>
          <w:rtl/>
          <w:lang w:val="fr-CH" w:eastAsia="en-US"/>
        </w:rPr>
        <w:t xml:space="preserve">أيلول/سبتمبر </w:t>
      </w:r>
      <w:r w:rsidRPr="00B8252B">
        <w:rPr>
          <w:rFonts w:hint="cs"/>
          <w:spacing w:val="-2"/>
          <w:kern w:val="0"/>
          <w:sz w:val="20"/>
          <w:rtl/>
          <w:lang w:val="fr-CH" w:eastAsia="en-US"/>
        </w:rPr>
        <w:t xml:space="preserve">2011).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w:t>
      </w:r>
      <w:r w:rsidRPr="00B8252B">
        <w:rPr>
          <w:rFonts w:hint="cs"/>
          <w:spacing w:val="0"/>
          <w:kern w:val="0"/>
          <w:sz w:val="20"/>
          <w:rtl/>
          <w:lang w:val="fr-CH" w:eastAsia="en-US"/>
        </w:rPr>
        <w:tab/>
        <w:t xml:space="preserve">ونتيجة لزيادة عدد الدول الأطراف في البروتوكول الاختياري، تغير شكل المشاركة الإقليمية نوعاً ما، فأصبح عدد الأطراف في كل منطقة على النحو التالي: </w:t>
      </w:r>
    </w:p>
    <w:tbl>
      <w:tblPr>
        <w:tblStyle w:val="TableGrid"/>
        <w:bidiVisual/>
        <w:tblW w:w="6346" w:type="dxa"/>
        <w:tblInd w:w="2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5559"/>
        <w:gridCol w:w="787"/>
      </w:tblGrid>
      <w:tr w:rsidR="00B8252B" w:rsidRPr="00B8252B" w:rsidTr="00B8252B">
        <w:tc>
          <w:tcPr>
            <w:tcW w:w="5559" w:type="dxa"/>
            <w:shd w:val="clear" w:color="auto" w:fill="auto"/>
            <w:tcMar>
              <w:right w:w="113" w:type="dxa"/>
            </w:tcMar>
          </w:tcPr>
          <w:p w:rsidR="00B8252B" w:rsidRPr="00B8252B" w:rsidRDefault="00B8252B" w:rsidP="00B8252B">
            <w:pPr>
              <w:spacing w:before="80" w:after="80" w:line="380" w:lineRule="exact"/>
              <w:jc w:val="left"/>
              <w:rPr>
                <w:rFonts w:hint="cs"/>
                <w:b/>
                <w:bCs/>
                <w:i/>
                <w:spacing w:val="0"/>
                <w:kern w:val="0"/>
                <w:sz w:val="18"/>
                <w:rtl/>
                <w:lang w:val="fr-CH" w:eastAsia="en-US"/>
              </w:rPr>
            </w:pPr>
            <w:r w:rsidRPr="00B8252B">
              <w:rPr>
                <w:rFonts w:hint="cs"/>
                <w:b/>
                <w:bCs/>
                <w:i/>
                <w:spacing w:val="0"/>
                <w:kern w:val="0"/>
                <w:sz w:val="18"/>
                <w:rtl/>
                <w:lang w:val="fr-CH" w:eastAsia="en-US"/>
              </w:rPr>
              <w:t>الدول الأطراف بحسب المنطقة</w:t>
            </w:r>
          </w:p>
        </w:tc>
        <w:tc>
          <w:tcPr>
            <w:tcW w:w="787" w:type="dxa"/>
            <w:shd w:val="clear" w:color="auto" w:fill="auto"/>
            <w:tcMar>
              <w:right w:w="113" w:type="dxa"/>
            </w:tcMar>
          </w:tcPr>
          <w:p w:rsidR="00B8252B" w:rsidRPr="00B8252B" w:rsidRDefault="00B8252B" w:rsidP="00B8252B">
            <w:pPr>
              <w:spacing w:before="80" w:after="80" w:line="380" w:lineRule="exact"/>
              <w:jc w:val="left"/>
              <w:rPr>
                <w:rFonts w:hint="cs"/>
                <w:i/>
                <w:spacing w:val="0"/>
                <w:kern w:val="0"/>
                <w:sz w:val="18"/>
                <w:rtl/>
                <w:lang w:val="fr-CH" w:eastAsia="en-US"/>
              </w:rPr>
            </w:pPr>
          </w:p>
        </w:tc>
      </w:tr>
      <w:tr w:rsidR="00B8252B" w:rsidRPr="00B8252B" w:rsidTr="00B8252B">
        <w:tc>
          <w:tcPr>
            <w:tcW w:w="5559"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أفريقيا</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11</w:t>
            </w:r>
          </w:p>
        </w:tc>
      </w:tr>
      <w:tr w:rsidR="00B8252B" w:rsidRPr="00B8252B" w:rsidTr="00B8252B">
        <w:tc>
          <w:tcPr>
            <w:tcW w:w="5559"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آسيا</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6</w:t>
            </w:r>
          </w:p>
        </w:tc>
      </w:tr>
      <w:tr w:rsidR="00B8252B" w:rsidRPr="00B8252B" w:rsidTr="00B8252B">
        <w:tc>
          <w:tcPr>
            <w:tcW w:w="5559"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أوروبا الشرقية</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17</w:t>
            </w:r>
          </w:p>
        </w:tc>
      </w:tr>
      <w:tr w:rsidR="00B8252B" w:rsidRPr="00B8252B" w:rsidTr="00B8252B">
        <w:tc>
          <w:tcPr>
            <w:tcW w:w="5559"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مجموعة دول أمريكا اللاتينية ومنطقة البحر الكاريبي</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14</w:t>
            </w:r>
          </w:p>
        </w:tc>
      </w:tr>
      <w:tr w:rsidR="00B8252B" w:rsidRPr="00B8252B" w:rsidTr="00B8252B">
        <w:tc>
          <w:tcPr>
            <w:tcW w:w="5559"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مجموعة دول أوروبا الغربية ودول أخرى</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13</w:t>
            </w:r>
          </w:p>
        </w:tc>
      </w:tr>
    </w:tbl>
    <w:p w:rsidR="00B8252B" w:rsidRPr="00B8252B" w:rsidRDefault="00B8252B" w:rsidP="00B8252B">
      <w:pPr>
        <w:tabs>
          <w:tab w:val="left" w:pos="1928"/>
          <w:tab w:val="left" w:pos="2608"/>
          <w:tab w:val="left" w:pos="3289"/>
          <w:tab w:val="left" w:pos="3969"/>
          <w:tab w:val="left" w:pos="4649"/>
          <w:tab w:val="left" w:pos="5330"/>
        </w:tabs>
        <w:spacing w:before="240"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w:t>
      </w:r>
      <w:r w:rsidRPr="00B8252B">
        <w:rPr>
          <w:rFonts w:hint="cs"/>
          <w:spacing w:val="0"/>
          <w:kern w:val="0"/>
          <w:sz w:val="20"/>
          <w:rtl/>
          <w:lang w:val="fr-CH" w:eastAsia="en-US"/>
        </w:rPr>
        <w:tab/>
        <w:t xml:space="preserve">وأصبح التوزع الإقليمي للدول الموقعة على البروتوكول الاختياري دون التصديق عليه، كما يلي: </w:t>
      </w:r>
    </w:p>
    <w:tbl>
      <w:tblPr>
        <w:tblStyle w:val="TableGrid"/>
        <w:bidiVisual/>
        <w:tblW w:w="6658" w:type="dxa"/>
        <w:tblInd w:w="2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5871"/>
        <w:gridCol w:w="787"/>
      </w:tblGrid>
      <w:tr w:rsidR="00B8252B" w:rsidRPr="00B8252B" w:rsidTr="00B8252B">
        <w:tc>
          <w:tcPr>
            <w:tcW w:w="5871" w:type="dxa"/>
            <w:shd w:val="clear" w:color="auto" w:fill="auto"/>
            <w:tcMar>
              <w:right w:w="113" w:type="dxa"/>
            </w:tcMar>
          </w:tcPr>
          <w:p w:rsidR="00B8252B" w:rsidRPr="00B8252B" w:rsidRDefault="00B8252B" w:rsidP="00B8252B">
            <w:pPr>
              <w:spacing w:before="80" w:after="80" w:line="380" w:lineRule="exact"/>
              <w:jc w:val="left"/>
              <w:rPr>
                <w:rFonts w:hint="cs"/>
                <w:b/>
                <w:bCs/>
                <w:i/>
                <w:spacing w:val="0"/>
                <w:kern w:val="0"/>
                <w:sz w:val="18"/>
                <w:rtl/>
                <w:lang w:val="fr-CH" w:eastAsia="en-US"/>
              </w:rPr>
            </w:pPr>
            <w:r w:rsidRPr="00B8252B">
              <w:rPr>
                <w:rFonts w:hint="cs"/>
                <w:b/>
                <w:bCs/>
                <w:i/>
                <w:spacing w:val="0"/>
                <w:kern w:val="0"/>
                <w:sz w:val="18"/>
                <w:rtl/>
                <w:lang w:val="fr-CH" w:eastAsia="en-US"/>
              </w:rPr>
              <w:t>الدول التي وقعت على البروتوكول الاختياري دون التصديق عليه، بحسب المنطقة (المجموع 24)</w:t>
            </w:r>
          </w:p>
        </w:tc>
        <w:tc>
          <w:tcPr>
            <w:tcW w:w="787" w:type="dxa"/>
            <w:shd w:val="clear" w:color="auto" w:fill="auto"/>
            <w:tcMar>
              <w:right w:w="113" w:type="dxa"/>
            </w:tcMar>
          </w:tcPr>
          <w:p w:rsidR="00B8252B" w:rsidRPr="00B8252B" w:rsidRDefault="00B8252B" w:rsidP="00B8252B">
            <w:pPr>
              <w:spacing w:before="80" w:after="80" w:line="380" w:lineRule="exact"/>
              <w:jc w:val="left"/>
              <w:rPr>
                <w:rFonts w:hint="cs"/>
                <w:i/>
                <w:spacing w:val="0"/>
                <w:kern w:val="0"/>
                <w:sz w:val="18"/>
                <w:rtl/>
                <w:lang w:val="fr-CH" w:eastAsia="en-US"/>
              </w:rPr>
            </w:pPr>
          </w:p>
        </w:tc>
      </w:tr>
      <w:tr w:rsidR="00B8252B" w:rsidRPr="00B8252B" w:rsidTr="00B8252B">
        <w:tc>
          <w:tcPr>
            <w:tcW w:w="5871"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أفريقيا</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8</w:t>
            </w:r>
          </w:p>
        </w:tc>
      </w:tr>
      <w:tr w:rsidR="00B8252B" w:rsidRPr="00B8252B" w:rsidTr="00B8252B">
        <w:tc>
          <w:tcPr>
            <w:tcW w:w="5871"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آسيا</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2</w:t>
            </w:r>
          </w:p>
        </w:tc>
      </w:tr>
      <w:tr w:rsidR="00B8252B" w:rsidRPr="00B8252B" w:rsidTr="00B8252B">
        <w:tc>
          <w:tcPr>
            <w:tcW w:w="5871"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أوروبا الشرقية</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1</w:t>
            </w:r>
          </w:p>
        </w:tc>
      </w:tr>
      <w:tr w:rsidR="00B8252B" w:rsidRPr="00B8252B" w:rsidTr="00B8252B">
        <w:tc>
          <w:tcPr>
            <w:tcW w:w="5871"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مجموعة دول أمريكا اللاتينية ومنطقة البحر الكاريبي</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2</w:t>
            </w:r>
          </w:p>
        </w:tc>
      </w:tr>
      <w:tr w:rsidR="00B8252B" w:rsidRPr="00B8252B" w:rsidTr="00B8252B">
        <w:tc>
          <w:tcPr>
            <w:tcW w:w="5871"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مجموعة دول أوروبا الغربية ودول أخرى</w:t>
            </w:r>
          </w:p>
        </w:tc>
        <w:tc>
          <w:tcPr>
            <w:tcW w:w="787" w:type="dxa"/>
            <w:shd w:val="clear" w:color="auto" w:fill="auto"/>
            <w:tcMar>
              <w:right w:w="113" w:type="dxa"/>
            </w:tcMar>
          </w:tcPr>
          <w:p w:rsidR="00B8252B" w:rsidRPr="00B8252B" w:rsidRDefault="00B8252B" w:rsidP="00B8252B">
            <w:pPr>
              <w:spacing w:before="40" w:after="40" w:line="380" w:lineRule="exact"/>
              <w:jc w:val="left"/>
              <w:rPr>
                <w:rFonts w:hint="cs"/>
                <w:spacing w:val="0"/>
                <w:kern w:val="0"/>
                <w:sz w:val="18"/>
                <w:rtl/>
                <w:lang w:val="fr-CH" w:eastAsia="en-US"/>
              </w:rPr>
            </w:pPr>
            <w:r w:rsidRPr="00B8252B">
              <w:rPr>
                <w:rFonts w:hint="cs"/>
                <w:spacing w:val="0"/>
                <w:kern w:val="0"/>
                <w:sz w:val="18"/>
                <w:rtl/>
                <w:lang w:val="fr-CH" w:eastAsia="en-US"/>
              </w:rPr>
              <w:t>11</w:t>
            </w:r>
          </w:p>
        </w:tc>
      </w:tr>
    </w:tbl>
    <w:p w:rsidR="00B8252B" w:rsidRPr="00B8252B" w:rsidRDefault="00B8252B" w:rsidP="007D1EF4">
      <w:pPr>
        <w:pStyle w:val="H1GA"/>
        <w:spacing w:before="360"/>
        <w:rPr>
          <w:rFonts w:hint="cs"/>
          <w:kern w:val="0"/>
          <w:rtl/>
          <w:lang w:val="fr-CH" w:eastAsia="en-US"/>
        </w:rPr>
      </w:pPr>
      <w:r w:rsidRPr="00B8252B">
        <w:rPr>
          <w:rFonts w:hint="cs"/>
          <w:kern w:val="0"/>
          <w:rtl/>
          <w:lang w:val="fr-CH" w:eastAsia="en-US"/>
        </w:rPr>
        <w:tab/>
      </w:r>
      <w:bookmarkStart w:id="3" w:name="_Toc322593342"/>
      <w:r w:rsidRPr="00B8252B">
        <w:rPr>
          <w:rFonts w:hint="cs"/>
          <w:kern w:val="0"/>
          <w:rtl/>
          <w:lang w:val="fr-CH" w:eastAsia="en-US"/>
        </w:rPr>
        <w:t>باء-</w:t>
      </w:r>
      <w:r w:rsidRPr="00B8252B">
        <w:rPr>
          <w:rFonts w:hint="cs"/>
          <w:kern w:val="0"/>
          <w:rtl/>
          <w:lang w:val="fr-CH" w:eastAsia="en-US"/>
        </w:rPr>
        <w:tab/>
        <w:t>المسائل التنظيمية والمتعلقة بالعضوية</w:t>
      </w:r>
      <w:bookmarkEnd w:id="3"/>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30"/>
          <w:rtl/>
          <w:lang w:val="fr-CH" w:eastAsia="en-US"/>
        </w:rPr>
      </w:pPr>
      <w:r w:rsidRPr="00B8252B">
        <w:rPr>
          <w:rFonts w:hint="cs"/>
          <w:spacing w:val="0"/>
          <w:kern w:val="0"/>
          <w:sz w:val="20"/>
          <w:rtl/>
          <w:lang w:val="fr-CH" w:eastAsia="en-US"/>
        </w:rPr>
        <w:t>6-</w:t>
      </w:r>
      <w:r w:rsidRPr="00B8252B">
        <w:rPr>
          <w:rFonts w:hint="cs"/>
          <w:spacing w:val="0"/>
          <w:kern w:val="0"/>
          <w:sz w:val="20"/>
          <w:rtl/>
          <w:lang w:val="fr-CH" w:eastAsia="en-US"/>
        </w:rPr>
        <w:tab/>
        <w:t xml:space="preserve">خلال الفترة المشمولة بالتقرير (من 1 </w:t>
      </w:r>
      <w:r w:rsidRPr="00B8252B">
        <w:rPr>
          <w:rFonts w:hint="cs"/>
          <w:spacing w:val="0"/>
          <w:kern w:val="0"/>
          <w:sz w:val="30"/>
          <w:rtl/>
          <w:lang w:val="fr-CH" w:eastAsia="en-US"/>
        </w:rPr>
        <w:t xml:space="preserve">كانون الثاني/يناير </w:t>
      </w:r>
      <w:r w:rsidRPr="00B8252B">
        <w:rPr>
          <w:rFonts w:hint="cs"/>
          <w:spacing w:val="0"/>
          <w:kern w:val="0"/>
          <w:sz w:val="20"/>
          <w:rtl/>
          <w:lang w:val="fr-CH" w:eastAsia="en-US"/>
        </w:rPr>
        <w:t xml:space="preserve">إلى 31 </w:t>
      </w:r>
      <w:r w:rsidRPr="00B8252B">
        <w:rPr>
          <w:rFonts w:hint="cs"/>
          <w:spacing w:val="0"/>
          <w:kern w:val="0"/>
          <w:sz w:val="30"/>
          <w:rtl/>
          <w:lang w:val="fr-CH" w:eastAsia="en-US"/>
        </w:rPr>
        <w:t>كانون الأول/ ديسمبر</w:t>
      </w:r>
      <w:r w:rsidRPr="00B8252B">
        <w:rPr>
          <w:rFonts w:hint="eastAsia"/>
          <w:spacing w:val="0"/>
          <w:kern w:val="0"/>
          <w:sz w:val="30"/>
          <w:rtl/>
          <w:lang w:val="fr-CH" w:eastAsia="en-US"/>
        </w:rPr>
        <w:t> </w:t>
      </w:r>
      <w:r w:rsidRPr="00B8252B">
        <w:rPr>
          <w:rFonts w:hint="cs"/>
          <w:spacing w:val="0"/>
          <w:kern w:val="0"/>
          <w:sz w:val="20"/>
          <w:rtl/>
          <w:lang w:val="fr-CH" w:eastAsia="en-US"/>
        </w:rPr>
        <w:t xml:space="preserve">2011)، عقدت اللجنة الفرعية ثلاث دورات مدة كل منها أسبوع واحد في مكتب الأمم المتحدة في جنيف، في الفترات من 21 إلى 25 </w:t>
      </w:r>
      <w:r w:rsidRPr="00B8252B">
        <w:rPr>
          <w:rFonts w:hint="cs"/>
          <w:spacing w:val="0"/>
          <w:kern w:val="0"/>
          <w:sz w:val="30"/>
          <w:rtl/>
          <w:lang w:val="fr-CH" w:eastAsia="en-US"/>
        </w:rPr>
        <w:t xml:space="preserve">شباط/فبراير، ومن 20 إلى 24 حزيران/يونيه، ومن 14 إلى 18 تشرين الثاني/نوفمبر 2011.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7-</w:t>
      </w:r>
      <w:r w:rsidRPr="00B8252B">
        <w:rPr>
          <w:rFonts w:hint="cs"/>
          <w:spacing w:val="0"/>
          <w:kern w:val="0"/>
          <w:sz w:val="20"/>
          <w:rtl/>
          <w:lang w:val="fr-CH" w:eastAsia="en-US"/>
        </w:rPr>
        <w:tab/>
        <w:t>وقد شهد عام 2011 تغيراً كبيراً في عضوية اللجنة الفرعية</w:t>
      </w:r>
      <w:r w:rsidRPr="00B8252B">
        <w:rPr>
          <w:spacing w:val="0"/>
          <w:kern w:val="0"/>
          <w:sz w:val="20"/>
          <w:vertAlign w:val="superscript"/>
          <w:rtl/>
          <w:lang w:val="fr-CH" w:eastAsia="en-US"/>
        </w:rPr>
        <w:t>(</w:t>
      </w:r>
      <w:r w:rsidRPr="00B8252B">
        <w:rPr>
          <w:b/>
          <w:spacing w:val="0"/>
          <w:kern w:val="0"/>
          <w:szCs w:val="28"/>
          <w:vertAlign w:val="superscript"/>
          <w:rtl/>
          <w:lang w:val="fr-CH" w:eastAsia="en-US"/>
        </w:rPr>
        <w:footnoteReference w:id="25"/>
      </w:r>
      <w:r w:rsidRPr="00B8252B">
        <w:rPr>
          <w:spacing w:val="0"/>
          <w:kern w:val="0"/>
          <w:sz w:val="20"/>
          <w:vertAlign w:val="superscript"/>
          <w:rtl/>
          <w:lang w:val="fr-CH" w:eastAsia="en-US"/>
        </w:rPr>
        <w:t>)</w:t>
      </w:r>
      <w:r w:rsidRPr="00B8252B">
        <w:rPr>
          <w:rFonts w:hint="cs"/>
          <w:spacing w:val="0"/>
          <w:kern w:val="0"/>
          <w:sz w:val="20"/>
          <w:rtl/>
          <w:lang w:val="fr-CH" w:eastAsia="en-US"/>
        </w:rPr>
        <w:t xml:space="preserve">. ففي الاجتماع </w:t>
      </w:r>
      <w:r w:rsidRPr="00B8252B">
        <w:rPr>
          <w:rFonts w:hint="cs"/>
          <w:spacing w:val="-4"/>
          <w:kern w:val="0"/>
          <w:sz w:val="20"/>
          <w:rtl/>
          <w:lang w:val="fr-CH" w:eastAsia="en-US"/>
        </w:rPr>
        <w:t>الثالث للدول الأطراف في البروتوكول الاختياري، المعقود في 28 تشرين الأول/أكتوبر 2010،</w:t>
      </w:r>
      <w:r w:rsidRPr="00B8252B">
        <w:rPr>
          <w:rFonts w:hint="cs"/>
          <w:spacing w:val="0"/>
          <w:kern w:val="0"/>
          <w:sz w:val="20"/>
          <w:rtl/>
          <w:lang w:val="fr-CH" w:eastAsia="en-US"/>
        </w:rPr>
        <w:t xml:space="preserve"> انتُخب خمسة أعضاء لشغل المناصب التي شغرت بانتهاء فترة ولاية أعضاء اللجنة الفرعية في</w:t>
      </w:r>
      <w:r w:rsidRPr="00B8252B">
        <w:rPr>
          <w:rFonts w:hint="eastAsia"/>
          <w:spacing w:val="0"/>
          <w:kern w:val="0"/>
          <w:sz w:val="20"/>
          <w:rtl/>
          <w:lang w:val="fr-CH" w:eastAsia="en-US"/>
        </w:rPr>
        <w:t> </w:t>
      </w:r>
      <w:r w:rsidRPr="00B8252B">
        <w:rPr>
          <w:rFonts w:hint="cs"/>
          <w:spacing w:val="0"/>
          <w:kern w:val="0"/>
          <w:sz w:val="20"/>
          <w:rtl/>
          <w:lang w:val="fr-CH" w:eastAsia="en-US"/>
        </w:rPr>
        <w:t>31 كانون الأول/ديسمبر 2010. وعلاوة على ذلك، وعملاً بالفقرة</w:t>
      </w:r>
      <w:r w:rsidRPr="00B8252B">
        <w:rPr>
          <w:rFonts w:hint="eastAsia"/>
          <w:spacing w:val="0"/>
          <w:kern w:val="0"/>
          <w:sz w:val="20"/>
          <w:rtl/>
          <w:lang w:val="fr-CH" w:eastAsia="en-US"/>
        </w:rPr>
        <w:t> </w:t>
      </w:r>
      <w:r w:rsidRPr="00B8252B">
        <w:rPr>
          <w:rFonts w:hint="cs"/>
          <w:spacing w:val="0"/>
          <w:kern w:val="0"/>
          <w:sz w:val="20"/>
          <w:rtl/>
          <w:lang w:val="fr-CH" w:eastAsia="en-US"/>
        </w:rPr>
        <w:t>1 من المادة</w:t>
      </w:r>
      <w:r w:rsidRPr="00B8252B">
        <w:rPr>
          <w:rFonts w:hint="eastAsia"/>
          <w:spacing w:val="0"/>
          <w:kern w:val="0"/>
          <w:sz w:val="20"/>
          <w:rtl/>
          <w:lang w:val="fr-CH" w:eastAsia="en-US"/>
        </w:rPr>
        <w:t> </w:t>
      </w:r>
      <w:r w:rsidRPr="00B8252B">
        <w:rPr>
          <w:rFonts w:hint="cs"/>
          <w:spacing w:val="0"/>
          <w:kern w:val="0"/>
          <w:sz w:val="20"/>
          <w:rtl/>
          <w:lang w:val="fr-CH" w:eastAsia="en-US"/>
        </w:rPr>
        <w:t>5 من البروتوكول الاختياري، انتُخب</w:t>
      </w:r>
      <w:r w:rsidRPr="00B8252B">
        <w:rPr>
          <w:rFonts w:hint="eastAsia"/>
          <w:spacing w:val="0"/>
          <w:kern w:val="0"/>
          <w:sz w:val="20"/>
          <w:rtl/>
          <w:lang w:val="fr-CH" w:eastAsia="en-US"/>
        </w:rPr>
        <w:t> </w:t>
      </w:r>
      <w:r w:rsidRPr="00B8252B">
        <w:rPr>
          <w:rFonts w:hint="cs"/>
          <w:spacing w:val="0"/>
          <w:kern w:val="0"/>
          <w:sz w:val="20"/>
          <w:rtl/>
          <w:lang w:val="fr-CH" w:eastAsia="en-US"/>
        </w:rPr>
        <w:t>15 عضواً ليرتفع عدد أعضاء اللجنة الفرعية إلى</w:t>
      </w:r>
      <w:r w:rsidRPr="00B8252B">
        <w:rPr>
          <w:rFonts w:hint="eastAsia"/>
          <w:spacing w:val="0"/>
          <w:kern w:val="0"/>
          <w:sz w:val="20"/>
          <w:rtl/>
          <w:lang w:val="fr-CH" w:eastAsia="en-US"/>
        </w:rPr>
        <w:t> </w:t>
      </w:r>
      <w:r w:rsidRPr="00B8252B">
        <w:rPr>
          <w:rFonts w:hint="cs"/>
          <w:spacing w:val="0"/>
          <w:kern w:val="0"/>
          <w:sz w:val="20"/>
          <w:rtl/>
          <w:lang w:val="fr-CH" w:eastAsia="en-US"/>
        </w:rPr>
        <w:t>25 عضواً، وذلك بعد تصديق العضو الخمسين على البروتوكول الاختياري في أيلول/سبتمبر 2009. وحرصاً على تسليم المناصب وفقاً للأصول المرعية، وعملاً بالممارسة المتبعة، خُفِّضت فترة ولاية سبعة أعضاء من أصل الأعضاء الإضافيين البالغ عددهم خمسة عشر عضواً إلى سنتين عن طريق القرعة. وبدأت فترة ولاية جميع الأعضاء المنتخبين الجدد في 1 كانون الثاني/ يناير</w:t>
      </w:r>
      <w:r w:rsidRPr="00B8252B">
        <w:rPr>
          <w:rFonts w:hint="eastAsia"/>
          <w:spacing w:val="0"/>
          <w:kern w:val="0"/>
          <w:sz w:val="20"/>
          <w:rtl/>
          <w:lang w:val="fr-CH" w:eastAsia="en-US"/>
        </w:rPr>
        <w:t> </w:t>
      </w:r>
      <w:r w:rsidRPr="00B8252B">
        <w:rPr>
          <w:rFonts w:hint="cs"/>
          <w:spacing w:val="0"/>
          <w:kern w:val="0"/>
          <w:sz w:val="20"/>
          <w:rtl/>
          <w:lang w:val="fr-CH" w:eastAsia="en-US"/>
        </w:rPr>
        <w:t>2011. وعملاً بالنظام الداخلي للجنة الفرعية، أدى الأعضاء المنتخبون الجدد قسماً رسمياً عند افتتاح دورة شباط/فبراير 2011 قبل تولي مهامهم.</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8-</w:t>
      </w:r>
      <w:r w:rsidRPr="00B8252B">
        <w:rPr>
          <w:rFonts w:hint="cs"/>
          <w:spacing w:val="-2"/>
          <w:kern w:val="0"/>
          <w:sz w:val="20"/>
          <w:rtl/>
          <w:lang w:val="fr-CH" w:eastAsia="en-US"/>
        </w:rPr>
        <w:tab/>
        <w:t>ونظراً إلى زيادة عدد أعضاء اللجنة الفرعية، عُدل نظامها الداخلي لينص على انتخاب مكتب موسع يتألف من رئيس وأربعة نواب للرئيس، ويتولى أعضاؤه مهامهم لفترة</w:t>
      </w:r>
      <w:r w:rsidRPr="00B8252B">
        <w:rPr>
          <w:rFonts w:hint="eastAsia"/>
          <w:spacing w:val="-2"/>
          <w:kern w:val="0"/>
          <w:sz w:val="20"/>
          <w:rtl/>
          <w:lang w:val="fr-CH" w:eastAsia="en-US"/>
        </w:rPr>
        <w:t> </w:t>
      </w:r>
      <w:r w:rsidRPr="00B8252B">
        <w:rPr>
          <w:rFonts w:hint="cs"/>
          <w:spacing w:val="-2"/>
          <w:kern w:val="0"/>
          <w:sz w:val="20"/>
          <w:rtl/>
          <w:lang w:val="fr-CH" w:eastAsia="en-US"/>
        </w:rPr>
        <w:t xml:space="preserve">سنتين. ويضم المكتب، الذي انتُخب في شباط/فبراير 2011 لولاية تنتهي في شباط/فبراير 2013، مالكوم إيفانس بصفته رئيساً، وماريو كوريولانو، وزدينيك حايك، وسوزان جبّور، وعائشة محمد بصفتهم نواب الرئيس. كما تتولى السيدة محمد مهام مقرر اللجنة الفرعية.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9-</w:t>
      </w:r>
      <w:r w:rsidRPr="00B8252B">
        <w:rPr>
          <w:rFonts w:hint="cs"/>
          <w:spacing w:val="0"/>
          <w:kern w:val="0"/>
          <w:sz w:val="20"/>
          <w:rtl/>
          <w:lang w:val="fr-CH" w:eastAsia="en-US"/>
        </w:rPr>
        <w:tab/>
        <w:t>ولتحقيق أعلى درجات الفعالية والكفاءة والشمول في أساليب عمل اللجنة الموسعة، اتُّفق على أن يضطلع كل عضو في المكتب بمهمة مستقلة يتولى المسؤولية الأولية عنها تحت الإشراف العام للرئيس وبالتعاون فيما بينهم. واستناداً إلى الولاية المدرجة في المادة 11 من البروتوكول الاختياري، يضطلع نواب الرئيس الأربعة بالمسؤوليات الأولية التالية: السيد كوريولانو: الآليات الوقائية الوطنية، السيد حايك: الزيارات، السيدة جبّور: العلاقات الخارجية، السيدة</w:t>
      </w:r>
      <w:r w:rsidRPr="00B8252B">
        <w:rPr>
          <w:rFonts w:hint="eastAsia"/>
          <w:spacing w:val="0"/>
          <w:kern w:val="0"/>
          <w:sz w:val="20"/>
          <w:rtl/>
          <w:lang w:val="fr-CH" w:eastAsia="en-US"/>
        </w:rPr>
        <w:t> </w:t>
      </w:r>
      <w:r w:rsidRPr="00B8252B">
        <w:rPr>
          <w:rFonts w:hint="cs"/>
          <w:spacing w:val="0"/>
          <w:kern w:val="0"/>
          <w:sz w:val="20"/>
          <w:rtl/>
          <w:lang w:val="fr-CH" w:eastAsia="en-US"/>
        </w:rPr>
        <w:t>محمد: الاجتهادات القانونية.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10-</w:t>
      </w:r>
      <w:r w:rsidRPr="00B8252B">
        <w:rPr>
          <w:rFonts w:hint="cs"/>
          <w:spacing w:val="-2"/>
          <w:kern w:val="0"/>
          <w:sz w:val="20"/>
          <w:rtl/>
          <w:lang w:val="fr-CH" w:eastAsia="en-US"/>
        </w:rPr>
        <w:tab/>
        <w:t>وعدلت اللجنة الفرعية أيضاً توزيع مسؤولياتها الداخلية، على نحو يعكس إلى حد بعيد انخراطها المتزايد في العمل مع الشركاء الوطنيين والإقليميين، وبشكل يدعم هذا العمل ويشجعه. كما وُضع نظام جديد هو نظام المنسقين الإقليميين. ويتمثل دور هؤلاء المنسقين في القيام بأنشطة الاتصال وتيسير مشاركة اللجنة الفرعية في المناطق التي يعملون بها. وقد عُيِّن في الدورة الرابعة عشرة منسقون لكل من أفريقيا، وآسيا ومنطقة المحيط الهادئ، وأوروبا، وأمريكا اللاتينية، وذلك على النحو التالي: أفريقيا: فورتونيه زونغو، آسيا ومنطقة المحيط الهادئ: لويل غودارد، أوروبا: ماري أموس، أمريكا اللاتينية: بكتور</w:t>
      </w:r>
      <w:r w:rsidRPr="00B8252B">
        <w:rPr>
          <w:rFonts w:hint="eastAsia"/>
          <w:spacing w:val="-2"/>
          <w:kern w:val="0"/>
          <w:sz w:val="20"/>
          <w:rtl/>
          <w:lang w:val="fr-CH" w:eastAsia="en-US"/>
        </w:rPr>
        <w:t> </w:t>
      </w:r>
      <w:r w:rsidRPr="00B8252B">
        <w:rPr>
          <w:rFonts w:hint="cs"/>
          <w:spacing w:val="-2"/>
          <w:kern w:val="0"/>
          <w:sz w:val="20"/>
          <w:rtl/>
          <w:lang w:val="fr-CH" w:eastAsia="en-US"/>
        </w:rPr>
        <w:t>رودريغيث - ريسثيا. وبالمثل، أُنشئ</w:t>
      </w:r>
      <w:r>
        <w:rPr>
          <w:rFonts w:hint="eastAsia"/>
          <w:spacing w:val="-2"/>
          <w:kern w:val="0"/>
          <w:sz w:val="20"/>
          <w:rtl/>
          <w:lang w:val="fr-CH" w:eastAsia="en-US"/>
        </w:rPr>
        <w:t> </w:t>
      </w:r>
      <w:r w:rsidRPr="00B8252B">
        <w:rPr>
          <w:rFonts w:hint="cs"/>
          <w:spacing w:val="-2"/>
          <w:kern w:val="0"/>
          <w:sz w:val="20"/>
          <w:rtl/>
          <w:lang w:val="fr-CH" w:eastAsia="en-US"/>
        </w:rPr>
        <w:t xml:space="preserve">نظام جديد لفرق العمل الإقليمية المعنية بالآليات الوقائية الوطنية. وتضطلع كل فرقة عمل إقليمية بالمسؤولية عن الأعمال ذات الصلة بالآليات الوقائية الوطنية، وذلك تحت إشراف رئيس اللجنة الفرعية ونائب الرئيس المعني بالآليات الوقائية الوطنية، وتحت مسؤولية المنسقين المذكورين أعلاه. وعلاوة على ذلك، قررت اللجنة الفرعية إنشاء أفرقة عاملة معنية بالحوار الناتج عن الزيارات، وذلك تحت إشراف نائب رئيس اللجنة الفرعية المعني بالزيارات، فضلا عن فريق عامل معني بالمسائل الأمنية، وفريق عامل معني بالمسائل الطبية. ويقدم الفرع ألف من الفصل الرابع أدناه، مزيداً من المعلومات عن هذه التطورات. </w:t>
      </w:r>
    </w:p>
    <w:p w:rsidR="00B8252B" w:rsidRPr="00B8252B" w:rsidRDefault="00B8252B" w:rsidP="00B8252B">
      <w:pPr>
        <w:pStyle w:val="H1GA"/>
        <w:rPr>
          <w:rFonts w:hint="cs"/>
          <w:kern w:val="0"/>
          <w:rtl/>
          <w:lang w:val="fr-CH" w:eastAsia="en-US"/>
        </w:rPr>
      </w:pPr>
      <w:r w:rsidRPr="00B8252B">
        <w:rPr>
          <w:rFonts w:hint="cs"/>
          <w:kern w:val="0"/>
          <w:rtl/>
          <w:lang w:val="fr-CH" w:eastAsia="en-US"/>
        </w:rPr>
        <w:tab/>
      </w:r>
      <w:bookmarkStart w:id="4" w:name="_Toc322593343"/>
      <w:r w:rsidRPr="00B8252B">
        <w:rPr>
          <w:rFonts w:hint="cs"/>
          <w:kern w:val="0"/>
          <w:rtl/>
          <w:lang w:val="fr-CH" w:eastAsia="en-US"/>
        </w:rPr>
        <w:t>جيم-</w:t>
      </w:r>
      <w:r w:rsidRPr="00B8252B">
        <w:rPr>
          <w:rFonts w:hint="cs"/>
          <w:kern w:val="0"/>
          <w:rtl/>
          <w:lang w:val="fr-CH" w:eastAsia="en-US"/>
        </w:rPr>
        <w:tab/>
        <w:t>الزيارات التي أجريت خلال الفترة المشمولة بالتقرير</w:t>
      </w:r>
      <w:bookmarkEnd w:id="4"/>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11-</w:t>
      </w:r>
      <w:r w:rsidRPr="00B8252B">
        <w:rPr>
          <w:rFonts w:hint="cs"/>
          <w:spacing w:val="0"/>
          <w:kern w:val="0"/>
          <w:sz w:val="20"/>
          <w:rtl/>
          <w:lang w:val="fr-CH" w:eastAsia="en-US"/>
        </w:rPr>
        <w:tab/>
        <w:t xml:space="preserve">قامت اللجنة الفرعية بثلاث زيارات في عام 2011. ففي الفترة من 16 إلى 25 </w:t>
      </w:r>
      <w:r w:rsidRPr="00B8252B">
        <w:rPr>
          <w:rFonts w:hint="cs"/>
          <w:spacing w:val="0"/>
          <w:kern w:val="0"/>
          <w:sz w:val="30"/>
          <w:rtl/>
          <w:lang w:val="fr-CH" w:eastAsia="en-US"/>
        </w:rPr>
        <w:t xml:space="preserve">أيار/مايو </w:t>
      </w:r>
      <w:r w:rsidRPr="00B8252B">
        <w:rPr>
          <w:rFonts w:hint="cs"/>
          <w:spacing w:val="0"/>
          <w:kern w:val="0"/>
          <w:sz w:val="20"/>
          <w:rtl/>
          <w:lang w:val="fr-CH" w:eastAsia="en-US"/>
        </w:rPr>
        <w:t xml:space="preserve">2011، قامت اللجنة بزيارة إلى أوكرانيا، وهي البلد الثاني الذي تزوره اللجنة الفرعية في أوروبا (بعد الزيارة التي قامت بها إلى السويد في </w:t>
      </w:r>
      <w:r w:rsidRPr="00B8252B">
        <w:rPr>
          <w:rFonts w:hint="cs"/>
          <w:spacing w:val="0"/>
          <w:kern w:val="0"/>
          <w:sz w:val="30"/>
          <w:rtl/>
          <w:lang w:val="fr-CH" w:eastAsia="en-US"/>
        </w:rPr>
        <w:t xml:space="preserve">آذار/مارس </w:t>
      </w:r>
      <w:r w:rsidRPr="00B8252B">
        <w:rPr>
          <w:rFonts w:hint="cs"/>
          <w:spacing w:val="0"/>
          <w:kern w:val="0"/>
          <w:sz w:val="20"/>
          <w:rtl/>
          <w:lang w:val="fr-CH" w:eastAsia="en-US"/>
        </w:rPr>
        <w:t xml:space="preserve">2008).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12-</w:t>
      </w:r>
      <w:r w:rsidRPr="00B8252B">
        <w:rPr>
          <w:rFonts w:hint="cs"/>
          <w:spacing w:val="0"/>
          <w:kern w:val="0"/>
          <w:sz w:val="20"/>
          <w:rtl/>
          <w:lang w:val="fr-CH" w:eastAsia="en-US"/>
        </w:rPr>
        <w:tab/>
        <w:t xml:space="preserve">وفي الفترة من 19 إلى 30 </w:t>
      </w:r>
      <w:r w:rsidRPr="00B8252B">
        <w:rPr>
          <w:rFonts w:hint="cs"/>
          <w:spacing w:val="0"/>
          <w:kern w:val="0"/>
          <w:sz w:val="30"/>
          <w:rtl/>
          <w:lang w:val="fr-CH" w:eastAsia="en-US"/>
        </w:rPr>
        <w:t xml:space="preserve">أيلول/سبتمبر </w:t>
      </w:r>
      <w:r w:rsidRPr="00B8252B">
        <w:rPr>
          <w:rFonts w:hint="cs"/>
          <w:spacing w:val="0"/>
          <w:kern w:val="0"/>
          <w:sz w:val="20"/>
          <w:rtl/>
          <w:lang w:val="fr-CH" w:eastAsia="en-US"/>
        </w:rPr>
        <w:t>2011، قامت اللجنة الفرعية بزيارة إلى البرازيل، وهي البلد الخامس في أمريكا اللاتينية الذي تزوره اللجنة الفرعية (بعد الزيارات التي</w:t>
      </w:r>
      <w:r w:rsidRPr="00B8252B">
        <w:rPr>
          <w:rFonts w:hint="eastAsia"/>
          <w:bCs/>
          <w:spacing w:val="0"/>
          <w:kern w:val="0"/>
          <w:sz w:val="20"/>
          <w:rtl/>
          <w:lang w:val="fr-CH" w:eastAsia="en-US"/>
        </w:rPr>
        <w:t> </w:t>
      </w:r>
      <w:r w:rsidRPr="00B8252B">
        <w:rPr>
          <w:rFonts w:hint="cs"/>
          <w:spacing w:val="0"/>
          <w:kern w:val="0"/>
          <w:sz w:val="20"/>
          <w:rtl/>
          <w:lang w:val="fr-CH" w:eastAsia="en-US"/>
        </w:rPr>
        <w:t xml:space="preserve">قامت بها إلى المكسيك في </w:t>
      </w:r>
      <w:r w:rsidRPr="00B8252B">
        <w:rPr>
          <w:rFonts w:hint="cs"/>
          <w:spacing w:val="0"/>
          <w:kern w:val="0"/>
          <w:sz w:val="30"/>
          <w:rtl/>
          <w:lang w:val="fr-CH" w:eastAsia="en-US"/>
        </w:rPr>
        <w:t xml:space="preserve">آب/أغسطس </w:t>
      </w:r>
      <w:r w:rsidRPr="00B8252B">
        <w:rPr>
          <w:rFonts w:hint="cs"/>
          <w:spacing w:val="0"/>
          <w:kern w:val="0"/>
          <w:sz w:val="20"/>
          <w:rtl/>
          <w:lang w:val="fr-CH" w:eastAsia="en-US"/>
        </w:rPr>
        <w:t xml:space="preserve">- </w:t>
      </w:r>
      <w:r w:rsidRPr="00B8252B">
        <w:rPr>
          <w:rFonts w:hint="cs"/>
          <w:spacing w:val="0"/>
          <w:kern w:val="0"/>
          <w:sz w:val="30"/>
          <w:rtl/>
          <w:lang w:val="fr-CH" w:eastAsia="en-US"/>
        </w:rPr>
        <w:t xml:space="preserve">أيلول/سبتمبر </w:t>
      </w:r>
      <w:r w:rsidRPr="00B8252B">
        <w:rPr>
          <w:rFonts w:hint="cs"/>
          <w:spacing w:val="0"/>
          <w:kern w:val="0"/>
          <w:sz w:val="20"/>
          <w:rtl/>
          <w:lang w:val="fr-CH" w:eastAsia="en-US"/>
        </w:rPr>
        <w:t xml:space="preserve">2008، وباراغواي في </w:t>
      </w:r>
      <w:r w:rsidRPr="00B8252B">
        <w:rPr>
          <w:rFonts w:hint="cs"/>
          <w:spacing w:val="0"/>
          <w:kern w:val="0"/>
          <w:sz w:val="30"/>
          <w:rtl/>
          <w:lang w:val="fr-CH" w:eastAsia="en-US"/>
        </w:rPr>
        <w:t xml:space="preserve">آذار/ مارس </w:t>
      </w:r>
      <w:r w:rsidRPr="00B8252B">
        <w:rPr>
          <w:rFonts w:hint="cs"/>
          <w:spacing w:val="0"/>
          <w:kern w:val="0"/>
          <w:sz w:val="20"/>
          <w:rtl/>
          <w:lang w:val="fr-CH" w:eastAsia="en-US"/>
        </w:rPr>
        <w:t xml:space="preserve">2009، وهندوراس في </w:t>
      </w:r>
      <w:r w:rsidRPr="00B8252B">
        <w:rPr>
          <w:rFonts w:hint="cs"/>
          <w:spacing w:val="0"/>
          <w:kern w:val="0"/>
          <w:sz w:val="30"/>
          <w:rtl/>
          <w:lang w:val="fr-CH" w:eastAsia="en-US"/>
        </w:rPr>
        <w:t xml:space="preserve">أيلول/سبتمبر </w:t>
      </w:r>
      <w:r w:rsidRPr="00B8252B">
        <w:rPr>
          <w:rFonts w:hint="cs"/>
          <w:spacing w:val="0"/>
          <w:kern w:val="0"/>
          <w:sz w:val="20"/>
          <w:rtl/>
          <w:lang w:val="fr-CH" w:eastAsia="en-US"/>
        </w:rPr>
        <w:t xml:space="preserve">2009، وبوليفيا في </w:t>
      </w:r>
      <w:r w:rsidRPr="00B8252B">
        <w:rPr>
          <w:rFonts w:hint="cs"/>
          <w:spacing w:val="0"/>
          <w:kern w:val="0"/>
          <w:sz w:val="30"/>
          <w:rtl/>
          <w:lang w:val="fr-CH" w:eastAsia="en-US"/>
        </w:rPr>
        <w:t xml:space="preserve">آب/أغسطس </w:t>
      </w:r>
      <w:r w:rsidRPr="00B8252B">
        <w:rPr>
          <w:rFonts w:hint="cs"/>
          <w:spacing w:val="0"/>
          <w:kern w:val="0"/>
          <w:sz w:val="20"/>
          <w:rtl/>
          <w:lang w:val="fr-CH" w:eastAsia="en-US"/>
        </w:rPr>
        <w:t xml:space="preserve">- </w:t>
      </w:r>
      <w:r w:rsidRPr="00B8252B">
        <w:rPr>
          <w:rFonts w:hint="cs"/>
          <w:spacing w:val="0"/>
          <w:kern w:val="0"/>
          <w:sz w:val="30"/>
          <w:rtl/>
          <w:lang w:val="fr-CH" w:eastAsia="en-US"/>
        </w:rPr>
        <w:t xml:space="preserve">أيلول/ سبتمبر </w:t>
      </w:r>
      <w:r w:rsidRPr="00B8252B">
        <w:rPr>
          <w:rFonts w:hint="cs"/>
          <w:spacing w:val="0"/>
          <w:kern w:val="0"/>
          <w:sz w:val="20"/>
          <w:rtl/>
          <w:lang w:val="fr-CH" w:eastAsia="en-US"/>
        </w:rPr>
        <w:t>2010).</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4"/>
          <w:kern w:val="0"/>
          <w:sz w:val="20"/>
          <w:rtl/>
          <w:lang w:val="fr-CH" w:eastAsia="en-US"/>
        </w:rPr>
      </w:pPr>
      <w:r w:rsidRPr="00B8252B">
        <w:rPr>
          <w:rFonts w:hint="cs"/>
          <w:spacing w:val="-4"/>
          <w:kern w:val="0"/>
          <w:sz w:val="20"/>
          <w:rtl/>
          <w:lang w:val="fr-CH" w:eastAsia="en-US"/>
        </w:rPr>
        <w:t>13-</w:t>
      </w:r>
      <w:r w:rsidRPr="00B8252B">
        <w:rPr>
          <w:rFonts w:hint="cs"/>
          <w:spacing w:val="-4"/>
          <w:kern w:val="0"/>
          <w:sz w:val="20"/>
          <w:rtl/>
          <w:lang w:val="fr-CH" w:eastAsia="en-US"/>
        </w:rPr>
        <w:tab/>
        <w:t>وفي الفترة من 5 إلى 14 كانون الأول/ديسمبر 2011، قامت اللجنة الفرعية بزيارة إلى مالي وهي البلد الرابع الذي تزوره اللجنة الفرعية في أفريقيا (بعد زيارتها إلى موريشيوس في تشرين الأول/أكتوبر 2007، وبنن في أيار/مايو 2008، وليبيريا في كانون الأول/ ديسمبر 2010).</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14-</w:t>
      </w:r>
      <w:r w:rsidRPr="00B8252B">
        <w:rPr>
          <w:rFonts w:hint="cs"/>
          <w:spacing w:val="0"/>
          <w:kern w:val="0"/>
          <w:sz w:val="20"/>
          <w:rtl/>
          <w:lang w:val="fr-CH" w:eastAsia="en-US"/>
        </w:rPr>
        <w:tab/>
        <w:t>ويمكن الاطلاع على مزيد من المعلومات الموجزة عن هذه الزيارات، بما في ذلك قوائم الأماكن التي جرت زيارتها، في البيانات الصحفية التي أصدرتها اللجنة الفرعية بعد كل زيارة، وهي متاحة على الموقع الشبكي للجنة الفرعية.</w:t>
      </w:r>
    </w:p>
    <w:p w:rsidR="00B8252B" w:rsidRPr="00B8252B" w:rsidRDefault="00B8252B" w:rsidP="00B8252B">
      <w:pPr>
        <w:pStyle w:val="H1GA"/>
        <w:jc w:val="lowKashida"/>
        <w:rPr>
          <w:rFonts w:hint="cs"/>
          <w:kern w:val="0"/>
          <w:rtl/>
          <w:lang w:val="fr-CH" w:eastAsia="en-US"/>
        </w:rPr>
      </w:pPr>
      <w:r w:rsidRPr="00B8252B">
        <w:rPr>
          <w:rFonts w:hint="cs"/>
          <w:kern w:val="0"/>
          <w:rtl/>
          <w:lang w:val="fr-CH" w:eastAsia="en-US"/>
        </w:rPr>
        <w:tab/>
      </w:r>
      <w:bookmarkStart w:id="5" w:name="_Toc322593344"/>
      <w:r w:rsidRPr="00B8252B">
        <w:rPr>
          <w:rFonts w:hint="cs"/>
          <w:kern w:val="0"/>
          <w:rtl/>
          <w:lang w:val="fr-CH" w:eastAsia="en-US"/>
        </w:rPr>
        <w:t>دال-</w:t>
      </w:r>
      <w:r w:rsidRPr="00B8252B">
        <w:rPr>
          <w:rFonts w:hint="cs"/>
          <w:kern w:val="0"/>
          <w:rtl/>
          <w:lang w:val="fr-CH" w:eastAsia="en-US"/>
        </w:rPr>
        <w:tab/>
        <w:t>الحوار الناشئ عن الزيارات، بما في ذلك نشر الدول الأطراف لتقارير اللجنة</w:t>
      </w:r>
      <w:r w:rsidRPr="00B8252B">
        <w:rPr>
          <w:rFonts w:hint="eastAsia"/>
          <w:kern w:val="0"/>
          <w:rtl/>
          <w:lang w:val="fr-CH" w:eastAsia="en-US"/>
        </w:rPr>
        <w:t> </w:t>
      </w:r>
      <w:r w:rsidRPr="00B8252B">
        <w:rPr>
          <w:rFonts w:hint="cs"/>
          <w:kern w:val="0"/>
          <w:rtl/>
          <w:lang w:val="fr-CH" w:eastAsia="en-US"/>
        </w:rPr>
        <w:t>الفرعية</w:t>
      </w:r>
      <w:bookmarkEnd w:id="5"/>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15-</w:t>
      </w:r>
      <w:r w:rsidRPr="00B8252B">
        <w:rPr>
          <w:rFonts w:hint="cs"/>
          <w:spacing w:val="0"/>
          <w:kern w:val="0"/>
          <w:sz w:val="20"/>
          <w:rtl/>
          <w:lang w:val="fr-CH" w:eastAsia="en-US"/>
        </w:rPr>
        <w:tab/>
        <w:t>نُشرت التقارير المتعلقة بست زيارات قامت بها اللجنة الفرعية بناءً على طلب من الدولة المعنية (باراغواي، وبنن، والسويد، والمكسيك، وملديف، وهندوراس)، وفقاً للفقرة 2 من المادة 16 من البروتوكول الاختياري، بما في ذلك زيارة واحدة جرت في الفترة المشمولة بالتقرير إلى بنن (في كانون الثاني/يناير 2011). ونُشرت أربعة ردود (مقدمة من باراغواي وبنن والسويد والمكسيك) بناءً على طلب الدولة الطرف، بما في ذلك بنن والمكسيك، خلال الفترة المشمولة بالتقرير (في كانون الثاني/يناير وتشرين الأول/أكتوبر 2011).</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16-</w:t>
      </w:r>
      <w:r w:rsidRPr="00B8252B">
        <w:rPr>
          <w:rFonts w:hint="cs"/>
          <w:spacing w:val="0"/>
          <w:kern w:val="0"/>
          <w:sz w:val="20"/>
          <w:rtl/>
          <w:lang w:val="fr-CH" w:eastAsia="en-US"/>
        </w:rPr>
        <w:tab/>
        <w:t>وجرياً على الممارسة المتبعة، وضعت اللجنة الفرعية منهجية لممارستها المتعلقة بالعناصر</w:t>
      </w:r>
      <w:r w:rsidRPr="00B8252B">
        <w:rPr>
          <w:rFonts w:hint="eastAsia"/>
          <w:spacing w:val="0"/>
          <w:kern w:val="0"/>
          <w:sz w:val="20"/>
          <w:rtl/>
          <w:lang w:val="fr-CH" w:eastAsia="en-US"/>
        </w:rPr>
        <w:t> </w:t>
      </w:r>
      <w:r w:rsidRPr="00B8252B">
        <w:rPr>
          <w:rFonts w:hint="cs"/>
          <w:spacing w:val="0"/>
          <w:kern w:val="0"/>
          <w:sz w:val="20"/>
          <w:rtl/>
          <w:lang w:val="fr-CH" w:eastAsia="en-US"/>
        </w:rPr>
        <w:t xml:space="preserve">الرسمية لحوارها الناشئ عن زياراتها. وبموجب هذه المنهجية، يُطلب من الدول الأطراف أن تقدم خلال مهلة ستة أشهر رداً تبين فيه جميع الإجراءات المتخذة لتنفيذ التوصية المدرجة في تقرير الزيارة. وفي وقت تقديم هذا التقرير، كانت سبع دول من أصل 13 دولةً </w:t>
      </w:r>
      <w:r w:rsidRPr="00B8252B">
        <w:rPr>
          <w:rFonts w:hint="cs"/>
          <w:spacing w:val="-6"/>
          <w:kern w:val="0"/>
          <w:sz w:val="20"/>
          <w:rtl/>
          <w:lang w:val="fr-CH" w:eastAsia="en-US"/>
        </w:rPr>
        <w:t>طرفاً زارتها اللجنة الفرعية قد قدمت ردودها، هي: موريشيوس في كانون الأول/ديسمبر 2008؛</w:t>
      </w:r>
      <w:r w:rsidRPr="00B8252B">
        <w:rPr>
          <w:rFonts w:hint="cs"/>
          <w:spacing w:val="0"/>
          <w:kern w:val="0"/>
          <w:sz w:val="20"/>
          <w:rtl/>
          <w:lang w:val="fr-CH" w:eastAsia="en-US"/>
        </w:rPr>
        <w:t xml:space="preserve"> والسويد في كانون الثاني/يناير 2009؛ وباراغواي في آذار/مارس 2010؛ وبنن في كانون الثاني/يناير 2011؛ ولبنان (رد جزئي) في كانون الثاني/يناير 2011؛ والمكسيك في تشرين الأول/أكتوبر 2011؛ وبوليفيا في تشرين الثاني/نوفمبر 2011. ولا تزال الردود الواردة من بوليفيا ولبنان وموريشيوس سرية، في حين نُشرت الردود المقدمة من باراغواي وبنن والسويد والمكسيك بناءً على طلب تلك الدول الأطراف. وقدمت اللجنة الفرعية ردودها و/أو</w:t>
      </w:r>
      <w:r w:rsidRPr="00B8252B">
        <w:rPr>
          <w:rFonts w:hint="eastAsia"/>
          <w:spacing w:val="0"/>
          <w:kern w:val="0"/>
          <w:sz w:val="20"/>
          <w:rtl/>
          <w:lang w:val="fr-CH" w:eastAsia="en-US"/>
        </w:rPr>
        <w:t> </w:t>
      </w:r>
      <w:r w:rsidRPr="00B8252B">
        <w:rPr>
          <w:rFonts w:hint="cs"/>
          <w:spacing w:val="0"/>
          <w:kern w:val="0"/>
          <w:sz w:val="20"/>
          <w:rtl/>
          <w:lang w:val="fr-CH" w:eastAsia="en-US"/>
        </w:rPr>
        <w:t>توصياتها بشأن تقارير بنن والسويد وموريشيوس ولبنان، بينما قامت بزيارة متابعة إلى</w:t>
      </w:r>
      <w:r w:rsidRPr="00B8252B">
        <w:rPr>
          <w:rFonts w:hint="eastAsia"/>
          <w:spacing w:val="0"/>
          <w:kern w:val="0"/>
          <w:sz w:val="20"/>
          <w:rtl/>
          <w:lang w:val="fr-CH" w:eastAsia="en-US"/>
        </w:rPr>
        <w:t> </w:t>
      </w:r>
      <w:r w:rsidRPr="00B8252B">
        <w:rPr>
          <w:rFonts w:hint="cs"/>
          <w:spacing w:val="0"/>
          <w:kern w:val="0"/>
          <w:sz w:val="20"/>
          <w:rtl/>
          <w:lang w:val="fr-CH" w:eastAsia="en-US"/>
        </w:rPr>
        <w:t>باراغوا</w:t>
      </w:r>
      <w:r w:rsidRPr="00B8252B">
        <w:rPr>
          <w:rFonts w:hint="eastAsia"/>
          <w:spacing w:val="0"/>
          <w:kern w:val="0"/>
          <w:sz w:val="20"/>
          <w:rtl/>
          <w:lang w:val="fr-CH" w:eastAsia="en-US"/>
        </w:rPr>
        <w:t>ي</w:t>
      </w:r>
      <w:r w:rsidRPr="00B8252B">
        <w:rPr>
          <w:rFonts w:hint="cs"/>
          <w:spacing w:val="0"/>
          <w:kern w:val="0"/>
          <w:sz w:val="20"/>
          <w:rtl/>
          <w:lang w:val="fr-CH" w:eastAsia="en-US"/>
        </w:rPr>
        <w:t xml:space="preserve"> أعقبها إعداد تقرير زيارة متابعة أحيل إلى الدولة الطرف. ونُشر كل من تقرير زيارة المتابعة ورد المتابعة بناءً على طلبين قدمتهما باراغواي في أيار/مايو وحزيران/ يونيه</w:t>
      </w:r>
      <w:r w:rsidRPr="00B8252B">
        <w:rPr>
          <w:rFonts w:hint="eastAsia"/>
          <w:spacing w:val="0"/>
          <w:kern w:val="0"/>
          <w:sz w:val="20"/>
          <w:rtl/>
          <w:lang w:val="fr-CH" w:eastAsia="en-US"/>
        </w:rPr>
        <w:t> </w:t>
      </w:r>
      <w:r w:rsidRPr="00B8252B">
        <w:rPr>
          <w:rFonts w:hint="cs"/>
          <w:spacing w:val="0"/>
          <w:kern w:val="0"/>
          <w:sz w:val="20"/>
          <w:rtl/>
          <w:lang w:val="fr-CH" w:eastAsia="en-US"/>
        </w:rPr>
        <w:t>2011. ووُجهت أيضاً رسائل تذكير إلى الدول الأطراف التي لم تقدم بعد ردوداً على تقارير الزيارات التي قامت بها اللجنة الفرعية. وتجدر الإشارة إلى أن المهلة المحددة بستة أشهر لتقديم الردود لم تنقض خلال الفترة المشمولة بالتقرير بالنسبة إلى أوكرانيا والبرازيل وليبيريا. وتخضع الجوانب الفنية لعملية الحوار الناشئة عن الزيارات لقاعدة السرية، ولا تُنشر هذه الجوانب إلا بموافقة الدولة الطرف المعنية.</w:t>
      </w:r>
    </w:p>
    <w:p w:rsidR="00B8252B" w:rsidRPr="00B8252B" w:rsidRDefault="00B8252B" w:rsidP="00B8252B">
      <w:pPr>
        <w:pStyle w:val="H1GA"/>
        <w:rPr>
          <w:rFonts w:hint="cs"/>
          <w:kern w:val="0"/>
          <w:rtl/>
          <w:lang w:val="fr-CH" w:eastAsia="en-US"/>
        </w:rPr>
      </w:pPr>
      <w:r w:rsidRPr="00B8252B">
        <w:rPr>
          <w:rFonts w:hint="cs"/>
          <w:kern w:val="0"/>
          <w:rtl/>
          <w:lang w:val="fr-CH" w:eastAsia="en-US"/>
        </w:rPr>
        <w:tab/>
      </w:r>
      <w:bookmarkStart w:id="6" w:name="_Toc322593345"/>
      <w:r w:rsidRPr="00B8252B">
        <w:rPr>
          <w:rFonts w:hint="cs"/>
          <w:kern w:val="0"/>
          <w:rtl/>
          <w:lang w:val="fr-CH" w:eastAsia="en-US"/>
        </w:rPr>
        <w:t>هاء-</w:t>
      </w:r>
      <w:r w:rsidRPr="00B8252B">
        <w:rPr>
          <w:rFonts w:hint="cs"/>
          <w:kern w:val="0"/>
          <w:rtl/>
          <w:lang w:val="fr-CH" w:eastAsia="en-US"/>
        </w:rPr>
        <w:tab/>
        <w:t>التطورات المتعلقة بإنشاء الآليات الوقائية الوطنية</w:t>
      </w:r>
      <w:bookmarkEnd w:id="6"/>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17-</w:t>
      </w:r>
      <w:r w:rsidRPr="00B8252B">
        <w:rPr>
          <w:rFonts w:hint="cs"/>
          <w:spacing w:val="0"/>
          <w:kern w:val="0"/>
          <w:sz w:val="20"/>
          <w:rtl/>
          <w:lang w:val="fr-CH" w:eastAsia="en-US"/>
        </w:rPr>
        <w:tab/>
        <w:t>تلقت اللجنة الفرعية إخطاراً رسمياً بتعيين آليات وقائية وطنية من 28 دولة طرفاً من أصل</w:t>
      </w:r>
      <w:r w:rsidRPr="00B8252B">
        <w:rPr>
          <w:rFonts w:hint="eastAsia"/>
          <w:spacing w:val="0"/>
          <w:kern w:val="0"/>
          <w:sz w:val="20"/>
          <w:rtl/>
          <w:lang w:val="fr-CH" w:eastAsia="en-US"/>
        </w:rPr>
        <w:t> </w:t>
      </w:r>
      <w:r w:rsidRPr="00B8252B">
        <w:rPr>
          <w:rFonts w:hint="cs"/>
          <w:spacing w:val="0"/>
          <w:kern w:val="0"/>
          <w:sz w:val="20"/>
          <w:rtl/>
          <w:lang w:val="fr-CH" w:eastAsia="en-US"/>
        </w:rPr>
        <w:t>61 دولة. وترد المعلومات المتعلقة بهذه الآليات على الموقع الشبكي للجنة الفرعية.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18-</w:t>
      </w:r>
      <w:r w:rsidRPr="00B8252B">
        <w:rPr>
          <w:rFonts w:hint="cs"/>
          <w:spacing w:val="0"/>
          <w:kern w:val="0"/>
          <w:sz w:val="20"/>
          <w:rtl/>
          <w:lang w:val="fr-CH" w:eastAsia="en-US"/>
        </w:rPr>
        <w:tab/>
        <w:t>وتلقت اللجنة الفرعية في عام 2011 إخطارين رسميين بشأن تعيين آلية وقائية وطنية من كل من جمهورية مقدونيا اليوغوسلافية السابقة وصربيا. وتجدر الإشارة إلى أن الهيئات المعينة كآليات وقائية وطنية في أوروغواي والسنغال وشيلي ومالي وموريشيوس لم تشرع بعد في العمل.</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19-</w:t>
      </w:r>
      <w:r w:rsidRPr="00B8252B">
        <w:rPr>
          <w:rFonts w:hint="cs"/>
          <w:spacing w:val="0"/>
          <w:kern w:val="0"/>
          <w:sz w:val="20"/>
          <w:rtl/>
          <w:lang w:val="fr-CH" w:eastAsia="en-US"/>
        </w:rPr>
        <w:tab/>
        <w:t>وبناءً عليه، لم تتلق اللجنة الفرعية حتى الآن إخطاراً بتعيين آلية وقائية وطنية من</w:t>
      </w:r>
      <w:r w:rsidRPr="00B8252B">
        <w:rPr>
          <w:rFonts w:hint="eastAsia"/>
          <w:spacing w:val="0"/>
          <w:kern w:val="0"/>
          <w:sz w:val="20"/>
          <w:rtl/>
          <w:lang w:val="fr-CH" w:eastAsia="en-US"/>
        </w:rPr>
        <w:t> </w:t>
      </w:r>
      <w:r w:rsidRPr="00B8252B">
        <w:rPr>
          <w:rFonts w:hint="cs"/>
          <w:spacing w:val="0"/>
          <w:kern w:val="0"/>
          <w:sz w:val="20"/>
          <w:rtl/>
          <w:lang w:val="fr-CH" w:eastAsia="en-US"/>
        </w:rPr>
        <w:t>ثلاث وثلاثين دولة طرفاً. ولم تنقض مهلة السنة المحددة لإنشاء آلية وقائية وطنية، بموجب</w:t>
      </w:r>
      <w:r w:rsidRPr="00B8252B">
        <w:rPr>
          <w:rFonts w:hint="eastAsia"/>
          <w:spacing w:val="0"/>
          <w:kern w:val="0"/>
          <w:sz w:val="20"/>
          <w:rtl/>
          <w:lang w:val="fr-CH" w:eastAsia="en-US"/>
        </w:rPr>
        <w:t> </w:t>
      </w:r>
      <w:r w:rsidRPr="00B8252B">
        <w:rPr>
          <w:rFonts w:hint="cs"/>
          <w:spacing w:val="0"/>
          <w:kern w:val="0"/>
          <w:sz w:val="20"/>
          <w:rtl/>
          <w:lang w:val="fr-CH" w:eastAsia="en-US"/>
        </w:rPr>
        <w:t>المادة 17 من البروتوكول الاختياري، بالنسبة إلى خمس دول أطراف (باكستان،</w:t>
      </w:r>
      <w:r w:rsidRPr="00B8252B">
        <w:rPr>
          <w:rFonts w:hint="eastAsia"/>
          <w:spacing w:val="0"/>
          <w:kern w:val="0"/>
          <w:sz w:val="20"/>
          <w:rtl/>
          <w:lang w:val="fr-CH" w:eastAsia="en-US"/>
        </w:rPr>
        <w:t> </w:t>
      </w:r>
      <w:r w:rsidRPr="00B8252B">
        <w:rPr>
          <w:rFonts w:hint="cs"/>
          <w:spacing w:val="0"/>
          <w:kern w:val="0"/>
          <w:sz w:val="20"/>
          <w:rtl/>
          <w:lang w:val="fr-CH" w:eastAsia="en-US"/>
        </w:rPr>
        <w:t>وبلغاريا، وبنما، وتركيا، وتونس). وبالإضافة إلى ذلك، أصدرت أربع دول أطراف (البوسنة والهرسك، والجبل الأسود، ورومانيا، وكازاخستان) إعلانات بموجب المادة</w:t>
      </w:r>
      <w:r w:rsidRPr="00B8252B">
        <w:rPr>
          <w:rFonts w:hint="eastAsia"/>
          <w:spacing w:val="0"/>
          <w:kern w:val="0"/>
          <w:sz w:val="20"/>
          <w:rtl/>
          <w:lang w:val="fr-CH" w:eastAsia="en-US"/>
        </w:rPr>
        <w:t> </w:t>
      </w:r>
      <w:r w:rsidRPr="00B8252B">
        <w:rPr>
          <w:rFonts w:hint="cs"/>
          <w:spacing w:val="0"/>
          <w:kern w:val="0"/>
          <w:sz w:val="20"/>
          <w:rtl/>
          <w:lang w:val="fr-CH" w:eastAsia="en-US"/>
        </w:rPr>
        <w:t>24 من البروتوكول الاختياري تسمح لها بتأجيل التعيين لمدة سنتين أخريين.</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20-</w:t>
      </w:r>
      <w:r w:rsidRPr="00B8252B">
        <w:rPr>
          <w:rFonts w:hint="cs"/>
          <w:spacing w:val="0"/>
          <w:kern w:val="0"/>
          <w:sz w:val="20"/>
          <w:rtl/>
          <w:lang w:val="fr-CH" w:eastAsia="en-US"/>
        </w:rPr>
        <w:tab/>
        <w:t>وبناء عليه، يبلغ عدد الدول الأطراف التي لم تف بالتزاماتها بموجب المادة 17 خمساً وعشرين دولة، وهو أمر يثير قلقاً بالغاً لدى اللجنة الفرعية. غير أنه ينبغي أن يُلاحَظ أن اللجنة الفرعية تدرك أن أربع دول أطراف (أرمينيا وأوكرانيا وكرواتيا ونيجيريا) قد عينت آلية وطنية وقائية، ولكن لم تتلق اللجنة الفرعية بعد إخطاراً رسمياً في هذا الشأن.</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21-</w:t>
      </w:r>
      <w:r w:rsidRPr="00B8252B">
        <w:rPr>
          <w:rFonts w:hint="cs"/>
          <w:spacing w:val="-2"/>
          <w:kern w:val="0"/>
          <w:sz w:val="20"/>
          <w:rtl/>
          <w:lang w:val="fr-CH" w:eastAsia="en-US"/>
        </w:rPr>
        <w:tab/>
        <w:t>وواصلت اللجنة الفرعية حوراها مع جميع الدول الأطراف التي لم تعين بعد آلياتها الوقائية الوطنية، وشجعت اللجنة الفرعية هذه الدول الأطراف على أن تحيطها علماً بما تحرزه من تقدم في هذا الصدد. وقد طُلب إلى هذه الدول الأطراف أن تقدم معلومات مفصلة عن الآليات الوطنية الوقائية التي تقترح إنشاءها (من قبيل الولاية القانونية لهذه الآليات، وتشكيلها، وحجمها، وخبرتها، والموارد المالية والبشرية المتاحة لها، وتواتر زياراتها، وما إلى ذلك.).</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22-</w:t>
      </w:r>
      <w:r w:rsidRPr="00B8252B">
        <w:rPr>
          <w:rFonts w:hint="cs"/>
          <w:spacing w:val="0"/>
          <w:kern w:val="0"/>
          <w:sz w:val="20"/>
          <w:rtl/>
          <w:lang w:val="fr-CH" w:eastAsia="en-US"/>
        </w:rPr>
        <w:tab/>
        <w:t>وأقامت اللجنة الفرعية أيضاً اتصالات مستمرة مع الآليات الوطنية الوقائية نفسها، تنفيذاً لولايتها بموجب المادة 11(ب) من البروتوكول الاختياري. وعقدت اللجنة الفرعية، في دورتها الثالثة عشرة اجتماعاً مع الآلية الوقائية الوطنية لإستونيا من أجل تبادل المعلومات والخبرات ومناقشة مجالات التعاون المستقبلي. كما عقدت اللجنة الفرعية، في دورتها الرابعة عشرة، اجتماعاً مماثلاً مع الآلية الوقائية الوطنية لجورجيا. وأخيراً، عقدت اللجنة الفرعية، في دورتها الخامسة عشرة، اجتماعاً (بدعم من رابطة منع التعذيب) مع الآليتين الوقائيتين الوطنيتين لكوستاريكا وهندوراس. وعقدت اللجنة الفرعية أيضاً خلال هذه الدورة اجتماعاً مع السلطات السنغالية لبحث التدابير المتخذة لتمكين الآلية الوقائية الوطنية المعينة من العمل. ومن دواعي سرور اللجنة الفرعية أيضاً أن 18 آلية وقائية وطنية أحالت تقاريرها السنوية خلال عام 2011، وقد نُشرت هذه التقارير على الموقع الشبكي للجنة الفرعية.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23-</w:t>
      </w:r>
      <w:r w:rsidRPr="00B8252B">
        <w:rPr>
          <w:rFonts w:hint="cs"/>
          <w:spacing w:val="0"/>
          <w:kern w:val="0"/>
          <w:sz w:val="20"/>
          <w:rtl/>
          <w:lang w:val="fr-CH" w:eastAsia="en-US"/>
        </w:rPr>
        <w:tab/>
        <w:t>وخلال الفترة المشمولة بالتقرير، استجاب أعضاء اللجنة الفرعية للدعوات التي وُجهت إليهم للمشاركة في عدد من الاجتماعات على المستويات الوطني والإقليمي والدولي بشأن تعيين الآليات الوقائية الوطنية وإنشائها وتطويرها بوجه خاص، أو بشأن البروتوكول الاختياري بوجه عام (بما في ذلك الآليات الوقائية الوطنية). وقد نُظمت هذه الأنشطة بدعم من منظمات المجتمع المدني (وبخاصة رابطة منع التعذيب، والاتحاد الدولي للعمل المسيحي من أجل إلغاء التعذيب، والمنظمة الدولية لإصلاح القانون الجنائي، وفريق الاتصال المعني بالبروتوكول الاختياري)، وأيضاً مع الآليات الوقائية الوطنية، وهيئات إقليمية مثل اللجنة الأفريقية لحقوق الإنسان والشعوب، ولجنة منع التعذيب في أفريقيا، ولجنة البلدان الأمريكية لحقوق الإنسان، ومجلس أوروبا، والمفوضية الأوروبية، ومكتب المؤسسات الديمقراطية وحقوق الإنسان التابع لمنظمة الأمن والتعاون في أوروبا، إلى جانب منظمات دولية مثل مفوضية الأمم المتحدة السامية لحقوق الإنسان. وشملت الأنشطة المذكورة ما يلي:</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(أ)</w:t>
      </w:r>
      <w:r w:rsidRPr="00B8252B">
        <w:rPr>
          <w:rFonts w:hint="cs"/>
          <w:spacing w:val="0"/>
          <w:kern w:val="0"/>
          <w:sz w:val="20"/>
          <w:rtl/>
          <w:lang w:val="fr-CH" w:eastAsia="en-US"/>
        </w:rPr>
        <w:tab/>
        <w:t>كانون الثاني/يناير 2011: اجتماع مائدة مستديرة رفيع المستوى بشأن أوضاع الاحتجاز في الاتحاد الأوروبي، عقدته المفوضية الأوروبية في بروكسل؛</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(ب)</w:t>
      </w:r>
      <w:r w:rsidRPr="00B8252B">
        <w:rPr>
          <w:rFonts w:hint="cs"/>
          <w:spacing w:val="0"/>
          <w:kern w:val="0"/>
          <w:sz w:val="20"/>
          <w:rtl/>
          <w:lang w:val="fr-CH" w:eastAsia="en-US"/>
        </w:rPr>
        <w:tab/>
        <w:t>آذار/مارس 2011: حلقة عمل بشأن البروتوكول الاختياري عقدها في عمان، الأردن، المكتب الإقليمي للمفوضية السامية لحقوق الإنسان للشرق الأوسط؛</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(ج)</w:t>
      </w:r>
      <w:r w:rsidRPr="00B8252B">
        <w:rPr>
          <w:rFonts w:hint="cs"/>
          <w:spacing w:val="0"/>
          <w:kern w:val="0"/>
          <w:sz w:val="20"/>
          <w:rtl/>
          <w:lang w:val="fr-CH" w:eastAsia="en-US"/>
        </w:rPr>
        <w:tab/>
        <w:t>آذار/مارس 2011: المؤتمر الدولي لتعزيز الزيارات إلى أماكن الاحتجاز: تعزيز التعاون، الذي عقدته في واشنطن كلية واشنطن للقانون التابعة للجامعة الأمريكية، ورابطة منع التعذيب؛</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(د)</w:t>
      </w:r>
      <w:r w:rsidRPr="00B8252B">
        <w:rPr>
          <w:rFonts w:hint="cs"/>
          <w:spacing w:val="0"/>
          <w:kern w:val="0"/>
          <w:sz w:val="20"/>
          <w:rtl/>
          <w:lang w:val="fr-CH" w:eastAsia="en-US"/>
        </w:rPr>
        <w:tab/>
        <w:t>نيسان/أبريل 2011: حلقة دراسية بشأن تنفيذ البروتوكول الاختياري والآلية الوقائية الوطنية في بوركينا فاسو، عقدتها رابطة منع التعذيب والاتحاد الدولي المسيحي للعمل على إلغاء التعذيب؛</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w:t>
      </w:r>
      <w:r w:rsidRPr="00B8252B">
        <w:rPr>
          <w:rFonts w:hint="cs"/>
          <w:spacing w:val="0"/>
          <w:kern w:val="0"/>
          <w:sz w:val="30"/>
          <w:rtl/>
          <w:lang w:val="fr-CH" w:eastAsia="en-US"/>
        </w:rPr>
        <w:t>ﻫ</w:t>
      </w:r>
      <w:r w:rsidRPr="00B8252B">
        <w:rPr>
          <w:rFonts w:hint="cs"/>
          <w:spacing w:val="0"/>
          <w:kern w:val="0"/>
          <w:sz w:val="20"/>
          <w:rtl/>
          <w:lang w:val="fr-CH" w:eastAsia="en-US"/>
        </w:rPr>
        <w:t>)</w:t>
      </w:r>
      <w:r w:rsidRPr="00B8252B">
        <w:rPr>
          <w:rFonts w:hint="cs"/>
          <w:spacing w:val="0"/>
          <w:kern w:val="0"/>
          <w:sz w:val="20"/>
          <w:rtl/>
          <w:lang w:val="fr-CH" w:eastAsia="en-US"/>
        </w:rPr>
        <w:tab/>
        <w:t>أيار/مايو 2011: سلسلة من المشاورات مع السلطات الوطنية وممثلي المجتمع المدني، عقدتها في البرازيل رابطة منع التعذيب؛</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(و)</w:t>
      </w:r>
      <w:r w:rsidRPr="00B8252B">
        <w:rPr>
          <w:rFonts w:hint="cs"/>
          <w:spacing w:val="0"/>
          <w:kern w:val="0"/>
          <w:sz w:val="20"/>
          <w:rtl/>
          <w:lang w:val="fr-CH" w:eastAsia="en-US"/>
        </w:rPr>
        <w:tab/>
        <w:t>حزيران/يونيه 2011: مؤتمر أمناء المظالم الإقليمي المعني بدور أمناء المظالم في مكافحة التمييز ومنع التعذيب، الذي عقده أمين المظالم في جمهورية مقدونيا اليوغوسلافية السابقة ومكتب المؤسسات الديمقراطية وحقوق الإنسان التابع لمنظمة الأمن والتعاون في أوروبا؛</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(ز)</w:t>
      </w:r>
      <w:r w:rsidRPr="00B8252B">
        <w:rPr>
          <w:rFonts w:hint="cs"/>
          <w:spacing w:val="0"/>
          <w:kern w:val="0"/>
          <w:sz w:val="20"/>
          <w:rtl/>
          <w:lang w:val="fr-CH" w:eastAsia="en-US"/>
        </w:rPr>
        <w:tab/>
        <w:t>تموز/يوليه 2011: حوار وطني بشأن تنفيذ البروتوكول الاختياري لاتفاقية مناهضة التعذيب، عقدته في ملديف رابطة منع التعذيب واللجنة الفرعية؛</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(ح)</w:t>
      </w:r>
      <w:r w:rsidRPr="00B8252B">
        <w:rPr>
          <w:rFonts w:hint="cs"/>
          <w:spacing w:val="0"/>
          <w:kern w:val="0"/>
          <w:sz w:val="20"/>
          <w:rtl/>
          <w:lang w:val="fr-CH" w:eastAsia="en-US"/>
        </w:rPr>
        <w:tab/>
        <w:t>تموز/يوليه 2011: حلقة دراسية بشأن الأداء الفعال للآلية الوقائية الوطنية السنغالية، عقدتها في داكار لجنة منع التعذيب في أفريقيا؛</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(ط)</w:t>
      </w:r>
      <w:r w:rsidRPr="00B8252B">
        <w:rPr>
          <w:rFonts w:hint="cs"/>
          <w:spacing w:val="0"/>
          <w:kern w:val="0"/>
          <w:sz w:val="20"/>
          <w:rtl/>
          <w:lang w:val="fr-CH" w:eastAsia="en-US"/>
        </w:rPr>
        <w:tab/>
        <w:t>أيلول/سبتمبر 2011: مؤتمر إقليمي رفيع المستوى بشأن دور المؤسسات الوطنية لحقوق الإنسان في منع التعذيب في أفريقيا، عقدته في الرباط رابطة منع التعذيب والمجلس الوطني لحقوق الإنسان في المغرب؛</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(ي)</w:t>
      </w:r>
      <w:r w:rsidRPr="00B8252B">
        <w:rPr>
          <w:rFonts w:hint="cs"/>
          <w:spacing w:val="0"/>
          <w:kern w:val="0"/>
          <w:sz w:val="20"/>
          <w:rtl/>
          <w:lang w:val="fr-CH" w:eastAsia="en-US"/>
        </w:rPr>
        <w:tab/>
        <w:t>أيلول/سبتمبر 2011: المؤتمر المتعلق بالبروتوكول الاختياري لاتفاقية مناهضة التعذيب وأمناء المظالم، الذي عقده المعهد الدولي لأمناء المظالم في بولندا؛</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(ك)</w:t>
      </w:r>
      <w:r w:rsidRPr="00B8252B">
        <w:rPr>
          <w:rFonts w:hint="cs"/>
          <w:spacing w:val="0"/>
          <w:kern w:val="0"/>
          <w:sz w:val="20"/>
          <w:rtl/>
          <w:lang w:val="fr-CH" w:eastAsia="en-US"/>
        </w:rPr>
        <w:tab/>
        <w:t>أيلول/سبتمبر 2011: حدث جانبي لمكتب المؤسسات الديمقراطية لحقوق الإنسان التابع لمنظمة الأمن والتعاون في أوروبا، بشأن إنشاء آليات وقائية وطنية في قيرغيزستان وكازاخستان، عقدته في بولندا المنظمة الدولية لإصلاح القانون الجنائي؛</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(ل)</w:t>
      </w:r>
      <w:r w:rsidRPr="00B8252B">
        <w:rPr>
          <w:rFonts w:hint="cs"/>
          <w:spacing w:val="0"/>
          <w:kern w:val="0"/>
          <w:sz w:val="20"/>
          <w:rtl/>
          <w:lang w:val="fr-CH" w:eastAsia="en-US"/>
        </w:rPr>
        <w:tab/>
        <w:t>تشرين الأول/أكتوبر 2011: المؤتمر المعني بمنع التعذيب وتنفيذ الآليات الوقائية الوطنية، الذي عقدته في الأرجنتين رابطة منع التعذيب؛</w:t>
      </w:r>
    </w:p>
    <w:p w:rsidR="00B8252B" w:rsidRPr="00B8252B" w:rsidRDefault="00B8252B" w:rsidP="00B8252B">
      <w:pPr>
        <w:tabs>
          <w:tab w:val="left" w:pos="1928"/>
          <w:tab w:val="left" w:pos="2608"/>
          <w:tab w:val="left" w:pos="3289"/>
          <w:tab w:val="left" w:pos="3969"/>
          <w:tab w:val="left" w:pos="4649"/>
          <w:tab w:val="left" w:pos="5330"/>
        </w:tabs>
        <w:spacing w:after="120" w:line="40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(م)</w:t>
      </w:r>
      <w:r w:rsidRPr="00B8252B">
        <w:rPr>
          <w:rFonts w:hint="cs"/>
          <w:spacing w:val="0"/>
          <w:kern w:val="0"/>
          <w:sz w:val="20"/>
          <w:rtl/>
          <w:lang w:val="fr-CH" w:eastAsia="en-US"/>
        </w:rPr>
        <w:tab/>
        <w:t>تشرين الثاني/نوفمبر 2011: المنتدى العالمي المعني بالبروتوكول الاختياري لاتفاقية مناهضة التعذيب، الذي عقدته في جنيف رابطة منع التعذيب؛</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(ن)</w:t>
      </w:r>
      <w:r w:rsidRPr="00B8252B">
        <w:rPr>
          <w:rFonts w:hint="cs"/>
          <w:spacing w:val="0"/>
          <w:kern w:val="0"/>
          <w:sz w:val="20"/>
          <w:rtl/>
          <w:lang w:val="fr-CH" w:eastAsia="en-US"/>
        </w:rPr>
        <w:tab/>
        <w:t>تشرين الثاني/نوفمبر 2011: حلقة دراسية بشأن تحديد آليات التنفيذ الوطنية من أجل منع التعذيب وغيره من ضروب سوء المعاملة، التي عقدتها في أديس أبابا جامعتا بريستول وبريتوريا واللجنة الأفريقية لحقوق الإنسان والشعوب؛</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(س)</w:t>
      </w:r>
      <w:r w:rsidRPr="00B8252B">
        <w:rPr>
          <w:rFonts w:hint="cs"/>
          <w:spacing w:val="0"/>
          <w:kern w:val="0"/>
          <w:sz w:val="20"/>
          <w:rtl/>
          <w:lang w:val="fr-CH" w:eastAsia="en-US"/>
        </w:rPr>
        <w:tab/>
        <w:t>تشرين الثاني/نوفمبر 2011: حلقة دراسية بشأن إنشاء الآلية الوقائية الوطنية لكمبوديا، عقدته في بنوم بنه المفوضية السامية لحقوق الإنسان؛</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spacing w:val="0"/>
          <w:kern w:val="0"/>
          <w:sz w:val="20"/>
          <w:rtl/>
          <w:lang w:val="fr-CH" w:eastAsia="en-US"/>
        </w:rPr>
        <w:tab/>
      </w:r>
      <w:r w:rsidRPr="00B8252B">
        <w:rPr>
          <w:rFonts w:hint="cs"/>
          <w:spacing w:val="0"/>
          <w:kern w:val="0"/>
          <w:sz w:val="20"/>
          <w:rtl/>
          <w:lang w:val="fr-CH" w:eastAsia="en-US"/>
        </w:rPr>
        <w:t>(ع)</w:t>
      </w:r>
      <w:r w:rsidRPr="00B8252B">
        <w:rPr>
          <w:rFonts w:hint="cs"/>
          <w:spacing w:val="0"/>
          <w:kern w:val="0"/>
          <w:sz w:val="20"/>
          <w:rtl/>
          <w:lang w:val="fr-CH" w:eastAsia="en-US"/>
        </w:rPr>
        <w:tab/>
        <w:t>تشرين الثاني/نوفمبر 2011: المشاورات الإقليمية في البلدان الأمريكية بشأن التعاون بين الأمم المتحدة والآليات الإقليمية لحقوق الإنسان في مجال منع التعذيب، التي عقدتها في</w:t>
      </w:r>
      <w:r w:rsidRPr="00B8252B">
        <w:rPr>
          <w:rFonts w:hint="eastAsia"/>
          <w:spacing w:val="0"/>
          <w:kern w:val="0"/>
          <w:sz w:val="20"/>
          <w:rtl/>
          <w:lang w:val="fr-CH" w:eastAsia="en-US"/>
        </w:rPr>
        <w:t> </w:t>
      </w:r>
      <w:r w:rsidRPr="00B8252B">
        <w:rPr>
          <w:rFonts w:hint="cs"/>
          <w:spacing w:val="0"/>
          <w:kern w:val="0"/>
          <w:sz w:val="20"/>
          <w:rtl/>
          <w:lang w:val="fr-CH" w:eastAsia="en-US"/>
        </w:rPr>
        <w:t>واشنطن المفوضية السامية لحقوق الإنسان ولجنة البلدان الأمريكية لحقوق الإنسان؛</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4"/>
          <w:kern w:val="0"/>
          <w:sz w:val="20"/>
          <w:rtl/>
          <w:lang w:val="fr-CH" w:eastAsia="en-US"/>
        </w:rPr>
      </w:pPr>
      <w:r w:rsidRPr="00B8252B">
        <w:rPr>
          <w:spacing w:val="-4"/>
          <w:kern w:val="0"/>
          <w:sz w:val="20"/>
          <w:rtl/>
          <w:lang w:val="fr-CH" w:eastAsia="en-US"/>
        </w:rPr>
        <w:tab/>
      </w:r>
      <w:r w:rsidRPr="00B8252B">
        <w:rPr>
          <w:rFonts w:hint="cs"/>
          <w:spacing w:val="-4"/>
          <w:kern w:val="0"/>
          <w:sz w:val="20"/>
          <w:rtl/>
          <w:lang w:val="fr-CH" w:eastAsia="en-US"/>
        </w:rPr>
        <w:t>(ف)</w:t>
      </w:r>
      <w:r w:rsidRPr="00B8252B">
        <w:rPr>
          <w:rFonts w:hint="cs"/>
          <w:spacing w:val="-4"/>
          <w:kern w:val="0"/>
          <w:sz w:val="20"/>
          <w:rtl/>
          <w:lang w:val="fr-CH" w:eastAsia="en-US"/>
        </w:rPr>
        <w:tab/>
        <w:t>كانون الأول/ديسمبر 2011: المشاورة الإقليمية لأوروبا بشأن تحسين التعاون بين الأمم المتحدة والآليات الإقليمية لحقوق الإنسان في مجال منع التعذيب، ولا</w:t>
      </w:r>
      <w:r w:rsidRPr="00B8252B">
        <w:rPr>
          <w:rFonts w:hint="eastAsia"/>
          <w:spacing w:val="-4"/>
          <w:kern w:val="0"/>
          <w:sz w:val="20"/>
          <w:rtl/>
          <w:lang w:val="fr-CH" w:eastAsia="en-US"/>
        </w:rPr>
        <w:t> </w:t>
      </w:r>
      <w:r w:rsidRPr="00B8252B">
        <w:rPr>
          <w:rFonts w:hint="cs"/>
          <w:spacing w:val="-4"/>
          <w:kern w:val="0"/>
          <w:sz w:val="20"/>
          <w:rtl/>
          <w:lang w:val="fr-CH" w:eastAsia="en-US"/>
        </w:rPr>
        <w:t>سيما تعذيب الأشخاص المحرومين من حريتهم، التي عقدتها في جنيف المفوضية السامية لحقوق الإنسان.</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24-</w:t>
      </w:r>
      <w:r w:rsidRPr="00B8252B">
        <w:rPr>
          <w:rFonts w:hint="cs"/>
          <w:spacing w:val="0"/>
          <w:kern w:val="0"/>
          <w:sz w:val="20"/>
          <w:rtl/>
          <w:lang w:val="fr-CH" w:eastAsia="en-US"/>
        </w:rPr>
        <w:tab/>
        <w:t xml:space="preserve">وفي إطار المشروع الأوروبي للآليات الوقائية الوطنية التابع لمجلس أوروبا والاتحاد الأوروبي، الذي تساهم فيه رابطة منع التعذيب كشريك منفِّذ، شاركت اللجنة الفرعية في أربع حلقات عمل مواضيعية بشأن ما يلي: (أ) الأمن والكرامة في أماكن الحرمان من الحرية، في فرنسا في </w:t>
      </w:r>
      <w:r w:rsidRPr="00B8252B">
        <w:rPr>
          <w:rFonts w:hint="cs"/>
          <w:spacing w:val="0"/>
          <w:kern w:val="0"/>
          <w:sz w:val="30"/>
          <w:rtl/>
          <w:lang w:val="fr-CH" w:eastAsia="en-US"/>
        </w:rPr>
        <w:t xml:space="preserve">آذار/مارس </w:t>
      </w:r>
      <w:r w:rsidRPr="00B8252B">
        <w:rPr>
          <w:rFonts w:hint="cs"/>
          <w:spacing w:val="0"/>
          <w:kern w:val="0"/>
          <w:sz w:val="20"/>
          <w:rtl/>
          <w:lang w:val="fr-CH" w:eastAsia="en-US"/>
        </w:rPr>
        <w:t xml:space="preserve">2011؛ و(ب) سُبُل جمع المعلومات المتعلقة (بمخاطر) سوء المعاملة في أماكن الحرمان من الحرية، والتحقق والتثبت من هذه المعلومات، في إستونيا في </w:t>
      </w:r>
      <w:r w:rsidRPr="00B8252B">
        <w:rPr>
          <w:rFonts w:hint="cs"/>
          <w:spacing w:val="0"/>
          <w:kern w:val="0"/>
          <w:sz w:val="30"/>
          <w:rtl/>
          <w:lang w:val="fr-CH" w:eastAsia="en-US"/>
        </w:rPr>
        <w:t xml:space="preserve">حزيران/يونيه </w:t>
      </w:r>
      <w:r w:rsidRPr="00B8252B">
        <w:rPr>
          <w:rFonts w:hint="cs"/>
          <w:spacing w:val="0"/>
          <w:kern w:val="0"/>
          <w:sz w:val="20"/>
          <w:rtl/>
          <w:lang w:val="fr-CH" w:eastAsia="en-US"/>
        </w:rPr>
        <w:t xml:space="preserve">2011؛ و(ج) حماية الأشخاص المنتمين إلى فئة ضعيفة معينة في أماكن الحرمان من الحرية، في أذربيجان في </w:t>
      </w:r>
      <w:r w:rsidRPr="00B8252B">
        <w:rPr>
          <w:rFonts w:hint="cs"/>
          <w:spacing w:val="0"/>
          <w:kern w:val="0"/>
          <w:sz w:val="30"/>
          <w:rtl/>
          <w:lang w:val="fr-CH" w:eastAsia="en-US"/>
        </w:rPr>
        <w:t xml:space="preserve">تشرين الأول/أكتوبر </w:t>
      </w:r>
      <w:r w:rsidRPr="00B8252B">
        <w:rPr>
          <w:rFonts w:hint="cs"/>
          <w:spacing w:val="0"/>
          <w:kern w:val="0"/>
          <w:sz w:val="20"/>
          <w:rtl/>
          <w:lang w:val="fr-CH" w:eastAsia="en-US"/>
        </w:rPr>
        <w:t xml:space="preserve">2011؛ و(د) المسائل الطبية، في بولندا في </w:t>
      </w:r>
      <w:r w:rsidRPr="00B8252B">
        <w:rPr>
          <w:rFonts w:hint="cs"/>
          <w:spacing w:val="0"/>
          <w:kern w:val="0"/>
          <w:sz w:val="30"/>
          <w:rtl/>
          <w:lang w:val="fr-CH" w:eastAsia="en-US"/>
        </w:rPr>
        <w:t xml:space="preserve">كانون الأول/ديسمبر </w:t>
      </w:r>
      <w:r w:rsidRPr="00B8252B">
        <w:rPr>
          <w:rFonts w:hint="cs"/>
          <w:spacing w:val="0"/>
          <w:kern w:val="0"/>
          <w:sz w:val="20"/>
          <w:rtl/>
          <w:lang w:val="fr-CH" w:eastAsia="en-US"/>
        </w:rPr>
        <w:t xml:space="preserve">2011؛ وقامت اللجنة الفرعية كذلك بزيارتين ميدانيتين، وتبادلت الخبرات مع كل من: (أ) الآلية الوقائية الوطنية لألبانيا في </w:t>
      </w:r>
      <w:r w:rsidRPr="00B8252B">
        <w:rPr>
          <w:rFonts w:hint="cs"/>
          <w:spacing w:val="0"/>
          <w:kern w:val="0"/>
          <w:sz w:val="30"/>
          <w:rtl/>
          <w:lang w:val="fr-CH" w:eastAsia="en-US"/>
        </w:rPr>
        <w:t xml:space="preserve">حزيران/يونيه </w:t>
      </w:r>
      <w:r w:rsidRPr="00B8252B">
        <w:rPr>
          <w:rFonts w:hint="cs"/>
          <w:spacing w:val="0"/>
          <w:kern w:val="0"/>
          <w:sz w:val="20"/>
          <w:rtl/>
          <w:lang w:val="fr-CH" w:eastAsia="en-US"/>
        </w:rPr>
        <w:t xml:space="preserve">- </w:t>
      </w:r>
      <w:r w:rsidRPr="00B8252B">
        <w:rPr>
          <w:rFonts w:hint="cs"/>
          <w:spacing w:val="0"/>
          <w:kern w:val="0"/>
          <w:sz w:val="30"/>
          <w:rtl/>
          <w:lang w:val="fr-CH" w:eastAsia="en-US"/>
        </w:rPr>
        <w:t xml:space="preserve">تموز/يوليه </w:t>
      </w:r>
      <w:r w:rsidRPr="00B8252B">
        <w:rPr>
          <w:rFonts w:hint="cs"/>
          <w:spacing w:val="0"/>
          <w:kern w:val="0"/>
          <w:sz w:val="20"/>
          <w:rtl/>
          <w:lang w:val="fr-CH" w:eastAsia="en-US"/>
        </w:rPr>
        <w:t>2011؛ و(ب)</w:t>
      </w:r>
      <w:r w:rsidRPr="00B8252B">
        <w:rPr>
          <w:rFonts w:hint="eastAsia"/>
          <w:spacing w:val="0"/>
          <w:kern w:val="0"/>
          <w:sz w:val="20"/>
          <w:rtl/>
          <w:lang w:val="fr-CH" w:eastAsia="en-US"/>
        </w:rPr>
        <w:t> </w:t>
      </w:r>
      <w:r w:rsidRPr="00B8252B">
        <w:rPr>
          <w:rFonts w:hint="cs"/>
          <w:spacing w:val="0"/>
          <w:kern w:val="0"/>
          <w:sz w:val="20"/>
          <w:rtl/>
          <w:lang w:val="fr-CH" w:eastAsia="en-US"/>
        </w:rPr>
        <w:t xml:space="preserve">الآلية الوقائية الوطنية لأرمينيا في </w:t>
      </w:r>
      <w:r w:rsidRPr="00B8252B">
        <w:rPr>
          <w:rFonts w:hint="cs"/>
          <w:spacing w:val="0"/>
          <w:kern w:val="0"/>
          <w:sz w:val="30"/>
          <w:rtl/>
          <w:lang w:val="fr-CH" w:eastAsia="en-US"/>
        </w:rPr>
        <w:t xml:space="preserve">تشرين الأول/أكتوبر </w:t>
      </w:r>
      <w:r w:rsidRPr="00B8252B">
        <w:rPr>
          <w:rFonts w:hint="cs"/>
          <w:spacing w:val="0"/>
          <w:kern w:val="0"/>
          <w:sz w:val="20"/>
          <w:rtl/>
          <w:lang w:val="fr-CH" w:eastAsia="en-US"/>
        </w:rPr>
        <w:t xml:space="preserve">2011. وشاركت اللجنة الفرعية أيضاً في مشاورات بشأن الآلية الوقائية الوطنية لأوكرانيا جرت في كييف في </w:t>
      </w:r>
      <w:r w:rsidRPr="00B8252B">
        <w:rPr>
          <w:rFonts w:hint="cs"/>
          <w:spacing w:val="0"/>
          <w:kern w:val="0"/>
          <w:sz w:val="30"/>
          <w:rtl/>
          <w:lang w:val="fr-CH" w:eastAsia="en-US"/>
        </w:rPr>
        <w:t xml:space="preserve">تشرين الأول/أكتوبر </w:t>
      </w:r>
      <w:r w:rsidRPr="00B8252B">
        <w:rPr>
          <w:rFonts w:hint="cs"/>
          <w:spacing w:val="0"/>
          <w:kern w:val="0"/>
          <w:sz w:val="20"/>
          <w:rtl/>
          <w:lang w:val="fr-CH" w:eastAsia="en-US"/>
        </w:rPr>
        <w:t xml:space="preserve">2011، وفي الاجتماع السنوي الثالث لرؤساء مشاريع الآليات الوقائية الوطنية وجهات الاتصال الذي عُقد في سلوفينيا في </w:t>
      </w:r>
      <w:r w:rsidRPr="00B8252B">
        <w:rPr>
          <w:rFonts w:hint="cs"/>
          <w:spacing w:val="0"/>
          <w:kern w:val="0"/>
          <w:sz w:val="30"/>
          <w:rtl/>
          <w:lang w:val="fr-CH" w:eastAsia="en-US"/>
        </w:rPr>
        <w:t xml:space="preserve">كانون الأول/ديسمبر </w:t>
      </w:r>
      <w:r w:rsidRPr="00B8252B">
        <w:rPr>
          <w:rFonts w:hint="cs"/>
          <w:spacing w:val="0"/>
          <w:kern w:val="0"/>
          <w:sz w:val="20"/>
          <w:rtl/>
          <w:lang w:val="fr-CH" w:eastAsia="en-US"/>
        </w:rPr>
        <w:t>2011.</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25-</w:t>
      </w:r>
      <w:r w:rsidRPr="00B8252B">
        <w:rPr>
          <w:rFonts w:hint="cs"/>
          <w:spacing w:val="0"/>
          <w:kern w:val="0"/>
          <w:sz w:val="20"/>
          <w:rtl/>
          <w:lang w:val="fr-CH" w:eastAsia="en-US"/>
        </w:rPr>
        <w:tab/>
        <w:t>وتود اللجنة الفرعية أن تغتنم هذه الفرصة للتوجه بالشكر إلى الجهات المنظِمة للأحداث المذكورة على دعوتها إياها للمشاركة فيها.</w:t>
      </w:r>
    </w:p>
    <w:p w:rsidR="00B8252B" w:rsidRPr="00B8252B" w:rsidRDefault="00B8252B" w:rsidP="00B8252B">
      <w:pPr>
        <w:pStyle w:val="H1GA"/>
        <w:spacing w:before="120"/>
        <w:jc w:val="lowKashida"/>
        <w:rPr>
          <w:rFonts w:hint="cs"/>
          <w:kern w:val="0"/>
          <w:rtl/>
          <w:lang w:val="fr-CH" w:eastAsia="en-US"/>
        </w:rPr>
      </w:pPr>
      <w:r w:rsidRPr="00B8252B">
        <w:rPr>
          <w:rFonts w:hint="cs"/>
          <w:kern w:val="0"/>
          <w:rtl/>
          <w:lang w:val="fr-CH" w:eastAsia="en-US"/>
        </w:rPr>
        <w:tab/>
      </w:r>
      <w:bookmarkStart w:id="7" w:name="_Toc322593346"/>
      <w:r w:rsidRPr="00B8252B">
        <w:rPr>
          <w:rFonts w:hint="cs"/>
          <w:kern w:val="0"/>
          <w:rtl/>
          <w:lang w:val="fr-CH" w:eastAsia="en-US"/>
        </w:rPr>
        <w:t>واو-</w:t>
      </w:r>
      <w:r w:rsidRPr="00B8252B">
        <w:rPr>
          <w:rFonts w:hint="cs"/>
          <w:kern w:val="0"/>
          <w:rtl/>
          <w:lang w:val="fr-CH" w:eastAsia="en-US"/>
        </w:rPr>
        <w:tab/>
        <w:t>التبرعات لفائدة الصندوق الخاص المُنشأ بموجب المادة 26 من البروتوكول</w:t>
      </w:r>
      <w:r w:rsidRPr="00B8252B">
        <w:rPr>
          <w:rFonts w:hint="eastAsia"/>
          <w:kern w:val="0"/>
          <w:rtl/>
          <w:lang w:val="fr-CH" w:eastAsia="en-US"/>
        </w:rPr>
        <w:t> </w:t>
      </w:r>
      <w:r w:rsidRPr="00B8252B">
        <w:rPr>
          <w:rFonts w:hint="cs"/>
          <w:kern w:val="0"/>
          <w:rtl/>
          <w:lang w:val="fr-CH" w:eastAsia="en-US"/>
        </w:rPr>
        <w:t>الاختياري</w:t>
      </w:r>
      <w:bookmarkEnd w:id="7"/>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26-</w:t>
      </w:r>
      <w:r w:rsidRPr="00B8252B">
        <w:rPr>
          <w:rFonts w:hint="cs"/>
          <w:spacing w:val="0"/>
          <w:kern w:val="0"/>
          <w:sz w:val="20"/>
          <w:rtl/>
          <w:lang w:val="fr-CH" w:eastAsia="en-US"/>
        </w:rPr>
        <w:tab/>
        <w:t xml:space="preserve">في 31 </w:t>
      </w:r>
      <w:r w:rsidRPr="00B8252B">
        <w:rPr>
          <w:rFonts w:hint="cs"/>
          <w:spacing w:val="0"/>
          <w:kern w:val="0"/>
          <w:sz w:val="30"/>
          <w:rtl/>
          <w:lang w:val="fr-CH" w:eastAsia="en-US"/>
        </w:rPr>
        <w:t xml:space="preserve">كانون الأول/ديسمبر </w:t>
      </w:r>
      <w:r w:rsidRPr="00B8252B">
        <w:rPr>
          <w:rFonts w:hint="cs"/>
          <w:spacing w:val="0"/>
          <w:kern w:val="0"/>
          <w:sz w:val="20"/>
          <w:rtl/>
          <w:lang w:val="fr-CH" w:eastAsia="en-US"/>
        </w:rPr>
        <w:t>2011، تلقى الصندوق الخاص المُنشأ بموجب البروتوكول الاختياري تبرعات قدرها 704.98 29 دولاراً من دولارات الولايات المتحدة من الجمهورية التشيكية؛ و000 5 دولار من ملديف؛ و266.30 82 دولاراً من إسبانيا؛ و263.16 855 دولاراً من المملكة المتحدة لبريطانيا العظمى وآيرلندا الشمالية. ويبين الجدول أدناه التبرعات المتاحة حالياً.</w:t>
      </w:r>
    </w:p>
    <w:p w:rsidR="00B8252B" w:rsidRPr="00B8252B" w:rsidRDefault="00B8252B" w:rsidP="00611878">
      <w:pPr>
        <w:pStyle w:val="H23GA"/>
        <w:rPr>
          <w:rFonts w:hint="cs"/>
          <w:kern w:val="0"/>
          <w:rtl/>
          <w:lang w:val="fr-CH"/>
        </w:rPr>
      </w:pPr>
      <w:r w:rsidRPr="00B8252B">
        <w:rPr>
          <w:rFonts w:hint="cs"/>
          <w:kern w:val="0"/>
          <w:rtl/>
          <w:lang w:val="fr-CH"/>
        </w:rPr>
        <w:tab/>
      </w:r>
      <w:r w:rsidRPr="00B8252B">
        <w:rPr>
          <w:rFonts w:hint="cs"/>
          <w:kern w:val="0"/>
          <w:rtl/>
          <w:lang w:val="fr-CH"/>
        </w:rPr>
        <w:tab/>
        <w:t>التبرعات التي تلقاها الصندوق في الفترة 2008-2011</w:t>
      </w:r>
    </w:p>
    <w:tbl>
      <w:tblPr>
        <w:bidiVisual/>
        <w:tblW w:w="7370" w:type="dxa"/>
        <w:tblInd w:w="1134" w:type="dxa"/>
        <w:tblBorders>
          <w:top w:val="single" w:sz="4" w:space="0" w:color="auto"/>
        </w:tblBorders>
        <w:tblCellMar>
          <w:left w:w="0" w:type="dxa"/>
          <w:right w:w="0" w:type="dxa"/>
        </w:tblCellMar>
        <w:tblLook w:val="01E0"/>
      </w:tblPr>
      <w:tblGrid>
        <w:gridCol w:w="1844"/>
        <w:gridCol w:w="2880"/>
        <w:gridCol w:w="2646"/>
      </w:tblGrid>
      <w:tr w:rsidR="00B8252B" w:rsidRPr="00B8252B" w:rsidTr="00B8252B">
        <w:trPr>
          <w:trHeight w:val="240"/>
          <w:tblHeader/>
        </w:trPr>
        <w:tc>
          <w:tcPr>
            <w:tcW w:w="1844" w:type="dxa"/>
            <w:tcBorders>
              <w:top w:val="single" w:sz="4" w:space="0" w:color="auto"/>
              <w:bottom w:val="single" w:sz="12" w:space="0" w:color="auto"/>
            </w:tcBorders>
            <w:shd w:val="clear" w:color="auto" w:fill="auto"/>
          </w:tcPr>
          <w:p w:rsidR="00B8252B" w:rsidRPr="00B8252B" w:rsidRDefault="00B8252B" w:rsidP="00B8252B">
            <w:pPr>
              <w:spacing w:before="40" w:after="60" w:line="320" w:lineRule="exact"/>
              <w:ind w:left="57" w:right="170"/>
              <w:jc w:val="lowKashida"/>
              <w:rPr>
                <w:rFonts w:hint="cs"/>
                <w:iCs/>
                <w:spacing w:val="0"/>
                <w:kern w:val="0"/>
                <w:sz w:val="20"/>
                <w:szCs w:val="28"/>
                <w:lang w:eastAsia="en-US"/>
              </w:rPr>
            </w:pPr>
            <w:r w:rsidRPr="00B8252B">
              <w:rPr>
                <w:rFonts w:hint="cs"/>
                <w:iCs/>
                <w:spacing w:val="0"/>
                <w:kern w:val="0"/>
                <w:sz w:val="20"/>
                <w:szCs w:val="28"/>
                <w:rtl/>
                <w:lang w:eastAsia="en-US"/>
              </w:rPr>
              <w:t>الجهة المانحة</w:t>
            </w:r>
          </w:p>
        </w:tc>
        <w:tc>
          <w:tcPr>
            <w:tcW w:w="2880" w:type="dxa"/>
            <w:tcBorders>
              <w:top w:val="single" w:sz="4" w:space="0" w:color="auto"/>
              <w:bottom w:val="single" w:sz="12" w:space="0" w:color="auto"/>
            </w:tcBorders>
            <w:shd w:val="clear" w:color="auto" w:fill="auto"/>
          </w:tcPr>
          <w:p w:rsidR="00B8252B" w:rsidRPr="00B8252B" w:rsidRDefault="00B8252B" w:rsidP="00B8252B">
            <w:pPr>
              <w:spacing w:before="40" w:after="60" w:line="320" w:lineRule="exact"/>
              <w:ind w:left="57" w:right="170"/>
              <w:jc w:val="lowKashida"/>
              <w:rPr>
                <w:rFonts w:hint="cs"/>
                <w:iCs/>
                <w:spacing w:val="0"/>
                <w:kern w:val="0"/>
                <w:sz w:val="20"/>
                <w:szCs w:val="28"/>
                <w:lang w:eastAsia="en-US"/>
              </w:rPr>
            </w:pPr>
            <w:r w:rsidRPr="00B8252B">
              <w:rPr>
                <w:rFonts w:hint="cs"/>
                <w:iCs/>
                <w:spacing w:val="0"/>
                <w:kern w:val="0"/>
                <w:sz w:val="20"/>
                <w:szCs w:val="28"/>
                <w:rtl/>
                <w:lang w:eastAsia="en-US"/>
              </w:rPr>
              <w:t>المبلغ (بدولارات الولايات المتحدة)</w:t>
            </w:r>
          </w:p>
        </w:tc>
        <w:tc>
          <w:tcPr>
            <w:tcW w:w="2646" w:type="dxa"/>
            <w:tcBorders>
              <w:top w:val="single" w:sz="4" w:space="0" w:color="auto"/>
              <w:bottom w:val="single" w:sz="12" w:space="0" w:color="auto"/>
            </w:tcBorders>
            <w:shd w:val="clear" w:color="auto" w:fill="auto"/>
          </w:tcPr>
          <w:p w:rsidR="00B8252B" w:rsidRPr="00B8252B" w:rsidRDefault="00B8252B" w:rsidP="00B8252B">
            <w:pPr>
              <w:spacing w:before="40" w:after="60" w:line="320" w:lineRule="exact"/>
              <w:ind w:left="57" w:right="57"/>
              <w:jc w:val="lowKashida"/>
              <w:rPr>
                <w:rFonts w:hint="cs"/>
                <w:iCs/>
                <w:spacing w:val="0"/>
                <w:kern w:val="0"/>
                <w:sz w:val="20"/>
                <w:szCs w:val="28"/>
                <w:lang w:eastAsia="en-US"/>
              </w:rPr>
            </w:pPr>
            <w:r w:rsidRPr="00B8252B">
              <w:rPr>
                <w:rFonts w:hint="cs"/>
                <w:iCs/>
                <w:spacing w:val="0"/>
                <w:kern w:val="0"/>
                <w:sz w:val="20"/>
                <w:szCs w:val="28"/>
                <w:rtl/>
                <w:lang w:eastAsia="en-US"/>
              </w:rPr>
              <w:t>تاريخ تلقي التبرعات</w:t>
            </w:r>
          </w:p>
        </w:tc>
      </w:tr>
      <w:tr w:rsidR="00B8252B" w:rsidRPr="00B8252B" w:rsidTr="00B8252B">
        <w:trPr>
          <w:trHeight w:val="240"/>
        </w:trPr>
        <w:tc>
          <w:tcPr>
            <w:tcW w:w="1844" w:type="dxa"/>
            <w:tcBorders>
              <w:top w:val="single" w:sz="12" w:space="0" w:color="auto"/>
            </w:tcBorders>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ملديف</w:t>
            </w:r>
          </w:p>
        </w:tc>
        <w:tc>
          <w:tcPr>
            <w:tcW w:w="2880" w:type="dxa"/>
            <w:tcBorders>
              <w:top w:val="single" w:sz="12" w:space="0" w:color="auto"/>
            </w:tcBorders>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٥</w:t>
            </w:r>
            <w:r w:rsidRPr="00B8252B">
              <w:rPr>
                <w:spacing w:val="0"/>
                <w:kern w:val="0"/>
                <w:sz w:val="20"/>
                <w:szCs w:val="28"/>
                <w:lang w:eastAsia="en-US"/>
              </w:rPr>
              <w:t xml:space="preserve"> </w:t>
            </w:r>
            <w:r w:rsidRPr="00B8252B">
              <w:rPr>
                <w:spacing w:val="0"/>
                <w:kern w:val="0"/>
                <w:sz w:val="20"/>
                <w:szCs w:val="28"/>
                <w:rtl/>
                <w:lang w:eastAsia="en-US"/>
              </w:rPr>
              <w:t>٠٠٠</w:t>
            </w:r>
            <w:r w:rsidRPr="00B8252B">
              <w:rPr>
                <w:rFonts w:cs="Times New Roman"/>
                <w:spacing w:val="0"/>
                <w:kern w:val="0"/>
                <w:sz w:val="20"/>
                <w:szCs w:val="28"/>
                <w:rtl/>
                <w:lang w:eastAsia="en-US"/>
              </w:rPr>
              <w:t>٫</w:t>
            </w:r>
            <w:r w:rsidRPr="00B8252B">
              <w:rPr>
                <w:spacing w:val="0"/>
                <w:kern w:val="0"/>
                <w:sz w:val="20"/>
                <w:szCs w:val="28"/>
                <w:rtl/>
                <w:lang w:eastAsia="en-US"/>
              </w:rPr>
              <w:t>٠٠</w:t>
            </w:r>
          </w:p>
        </w:tc>
        <w:tc>
          <w:tcPr>
            <w:tcW w:w="2646" w:type="dxa"/>
            <w:tcBorders>
              <w:top w:val="single" w:sz="12" w:space="0" w:color="auto"/>
            </w:tcBorders>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27 أيار/مايو 2008</w:t>
            </w:r>
          </w:p>
        </w:tc>
      </w:tr>
      <w:tr w:rsidR="00B8252B" w:rsidRPr="00B8252B" w:rsidTr="00B8252B">
        <w:trPr>
          <w:trHeight w:val="240"/>
        </w:trPr>
        <w:tc>
          <w:tcPr>
            <w:tcW w:w="1844" w:type="dxa"/>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الجمهورية التشيكية</w:t>
            </w:r>
          </w:p>
        </w:tc>
        <w:tc>
          <w:tcPr>
            <w:tcW w:w="2880" w:type="dxa"/>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١٠</w:t>
            </w:r>
            <w:r w:rsidRPr="00B8252B">
              <w:rPr>
                <w:spacing w:val="0"/>
                <w:kern w:val="0"/>
                <w:sz w:val="20"/>
                <w:szCs w:val="28"/>
                <w:lang w:eastAsia="en-US"/>
              </w:rPr>
              <w:t xml:space="preserve"> </w:t>
            </w:r>
            <w:r w:rsidRPr="00B8252B">
              <w:rPr>
                <w:spacing w:val="0"/>
                <w:kern w:val="0"/>
                <w:sz w:val="20"/>
                <w:szCs w:val="28"/>
                <w:rtl/>
                <w:lang w:eastAsia="en-US"/>
              </w:rPr>
              <w:t>٠٠٠</w:t>
            </w:r>
            <w:r w:rsidRPr="00B8252B">
              <w:rPr>
                <w:rFonts w:cs="Times New Roman"/>
                <w:spacing w:val="0"/>
                <w:kern w:val="0"/>
                <w:sz w:val="20"/>
                <w:szCs w:val="28"/>
                <w:rtl/>
                <w:lang w:eastAsia="en-US"/>
              </w:rPr>
              <w:t>٫</w:t>
            </w:r>
            <w:r w:rsidRPr="00B8252B">
              <w:rPr>
                <w:spacing w:val="0"/>
                <w:kern w:val="0"/>
                <w:sz w:val="20"/>
                <w:szCs w:val="28"/>
                <w:rtl/>
                <w:lang w:eastAsia="en-US"/>
              </w:rPr>
              <w:t>٠٠</w:t>
            </w:r>
          </w:p>
        </w:tc>
        <w:tc>
          <w:tcPr>
            <w:tcW w:w="2646" w:type="dxa"/>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16 تشرين الثاني/نوفمبر 2009</w:t>
            </w:r>
          </w:p>
        </w:tc>
      </w:tr>
      <w:tr w:rsidR="00B8252B" w:rsidRPr="00B8252B" w:rsidTr="00B8252B">
        <w:trPr>
          <w:trHeight w:val="240"/>
        </w:trPr>
        <w:tc>
          <w:tcPr>
            <w:tcW w:w="1844" w:type="dxa"/>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الجمهورية التشيكية</w:t>
            </w:r>
          </w:p>
        </w:tc>
        <w:tc>
          <w:tcPr>
            <w:tcW w:w="2880" w:type="dxa"/>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١٠</w:t>
            </w:r>
            <w:r w:rsidRPr="00B8252B">
              <w:rPr>
                <w:spacing w:val="0"/>
                <w:kern w:val="0"/>
                <w:sz w:val="20"/>
                <w:szCs w:val="28"/>
                <w:lang w:eastAsia="en-US"/>
              </w:rPr>
              <w:t xml:space="preserve"> </w:t>
            </w:r>
            <w:r w:rsidRPr="00B8252B">
              <w:rPr>
                <w:spacing w:val="0"/>
                <w:kern w:val="0"/>
                <w:sz w:val="20"/>
                <w:szCs w:val="28"/>
                <w:rtl/>
                <w:lang w:eastAsia="en-US"/>
              </w:rPr>
              <w:t>٢٧١</w:t>
            </w:r>
            <w:r w:rsidRPr="00B8252B">
              <w:rPr>
                <w:rFonts w:cs="Times New Roman"/>
                <w:spacing w:val="0"/>
                <w:kern w:val="0"/>
                <w:sz w:val="20"/>
                <w:szCs w:val="28"/>
                <w:rtl/>
                <w:lang w:eastAsia="en-US"/>
              </w:rPr>
              <w:t>٫</w:t>
            </w:r>
            <w:r w:rsidRPr="00B8252B">
              <w:rPr>
                <w:spacing w:val="0"/>
                <w:kern w:val="0"/>
                <w:sz w:val="20"/>
                <w:szCs w:val="28"/>
                <w:rtl/>
                <w:lang w:eastAsia="en-US"/>
              </w:rPr>
              <w:t>٥٢</w:t>
            </w:r>
          </w:p>
        </w:tc>
        <w:tc>
          <w:tcPr>
            <w:tcW w:w="2646" w:type="dxa"/>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27 كانون الأول/ديسمبر 2010</w:t>
            </w:r>
          </w:p>
        </w:tc>
      </w:tr>
      <w:tr w:rsidR="00B8252B" w:rsidRPr="00B8252B" w:rsidTr="00B8252B">
        <w:trPr>
          <w:trHeight w:val="240"/>
        </w:trPr>
        <w:tc>
          <w:tcPr>
            <w:tcW w:w="1844" w:type="dxa"/>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الجمهورية التشيكية</w:t>
            </w:r>
          </w:p>
        </w:tc>
        <w:tc>
          <w:tcPr>
            <w:tcW w:w="2880" w:type="dxa"/>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٩</w:t>
            </w:r>
            <w:r w:rsidRPr="00B8252B">
              <w:rPr>
                <w:spacing w:val="0"/>
                <w:kern w:val="0"/>
                <w:sz w:val="20"/>
                <w:szCs w:val="28"/>
                <w:lang w:eastAsia="en-US"/>
              </w:rPr>
              <w:t xml:space="preserve"> </w:t>
            </w:r>
            <w:r w:rsidRPr="00B8252B">
              <w:rPr>
                <w:spacing w:val="0"/>
                <w:kern w:val="0"/>
                <w:sz w:val="20"/>
                <w:szCs w:val="28"/>
                <w:rtl/>
                <w:lang w:eastAsia="en-US"/>
              </w:rPr>
              <w:t>٤٣٣</w:t>
            </w:r>
            <w:r w:rsidRPr="00B8252B">
              <w:rPr>
                <w:rFonts w:cs="Times New Roman"/>
                <w:spacing w:val="0"/>
                <w:kern w:val="0"/>
                <w:sz w:val="20"/>
                <w:szCs w:val="28"/>
                <w:rtl/>
                <w:lang w:eastAsia="en-US"/>
              </w:rPr>
              <w:t>٫</w:t>
            </w:r>
            <w:r w:rsidRPr="00B8252B">
              <w:rPr>
                <w:spacing w:val="0"/>
                <w:kern w:val="0"/>
                <w:sz w:val="20"/>
                <w:szCs w:val="28"/>
                <w:rtl/>
                <w:lang w:eastAsia="en-US"/>
              </w:rPr>
              <w:t>٤٦</w:t>
            </w:r>
          </w:p>
        </w:tc>
        <w:tc>
          <w:tcPr>
            <w:tcW w:w="2646" w:type="dxa"/>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12 تشرين الأول/أكتوبر 2011</w:t>
            </w:r>
          </w:p>
        </w:tc>
      </w:tr>
      <w:tr w:rsidR="00B8252B" w:rsidRPr="00B8252B" w:rsidTr="00B8252B">
        <w:trPr>
          <w:trHeight w:val="240"/>
        </w:trPr>
        <w:tc>
          <w:tcPr>
            <w:tcW w:w="1844" w:type="dxa"/>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إسبانيا</w:t>
            </w:r>
          </w:p>
        </w:tc>
        <w:tc>
          <w:tcPr>
            <w:tcW w:w="2880" w:type="dxa"/>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٢٥</w:t>
            </w:r>
            <w:r w:rsidRPr="00B8252B">
              <w:rPr>
                <w:spacing w:val="0"/>
                <w:kern w:val="0"/>
                <w:sz w:val="20"/>
                <w:szCs w:val="28"/>
                <w:lang w:eastAsia="en-US"/>
              </w:rPr>
              <w:t xml:space="preserve"> </w:t>
            </w:r>
            <w:r w:rsidRPr="00B8252B">
              <w:rPr>
                <w:spacing w:val="0"/>
                <w:kern w:val="0"/>
                <w:sz w:val="20"/>
                <w:szCs w:val="28"/>
                <w:rtl/>
                <w:lang w:eastAsia="en-US"/>
              </w:rPr>
              <w:t>٩٠٦</w:t>
            </w:r>
            <w:r w:rsidRPr="00B8252B">
              <w:rPr>
                <w:rFonts w:cs="Times New Roman"/>
                <w:spacing w:val="0"/>
                <w:kern w:val="0"/>
                <w:sz w:val="20"/>
                <w:szCs w:val="28"/>
                <w:rtl/>
                <w:lang w:eastAsia="en-US"/>
              </w:rPr>
              <w:t>٫</w:t>
            </w:r>
            <w:r w:rsidRPr="00B8252B">
              <w:rPr>
                <w:spacing w:val="0"/>
                <w:kern w:val="0"/>
                <w:sz w:val="20"/>
                <w:szCs w:val="28"/>
                <w:rtl/>
                <w:lang w:eastAsia="en-US"/>
              </w:rPr>
              <w:t>٧٤</w:t>
            </w:r>
          </w:p>
        </w:tc>
        <w:tc>
          <w:tcPr>
            <w:tcW w:w="2646" w:type="dxa"/>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16 كانون الأول/ديسمبر 2008</w:t>
            </w:r>
          </w:p>
        </w:tc>
      </w:tr>
      <w:tr w:rsidR="00B8252B" w:rsidRPr="00B8252B" w:rsidTr="00B8252B">
        <w:trPr>
          <w:trHeight w:val="240"/>
        </w:trPr>
        <w:tc>
          <w:tcPr>
            <w:tcW w:w="1844" w:type="dxa"/>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إسبانيا</w:t>
            </w:r>
          </w:p>
        </w:tc>
        <w:tc>
          <w:tcPr>
            <w:tcW w:w="2880" w:type="dxa"/>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٢٩</w:t>
            </w:r>
            <w:r w:rsidRPr="00B8252B">
              <w:rPr>
                <w:spacing w:val="0"/>
                <w:kern w:val="0"/>
                <w:sz w:val="20"/>
                <w:szCs w:val="28"/>
                <w:lang w:eastAsia="en-US"/>
              </w:rPr>
              <w:t xml:space="preserve"> </w:t>
            </w:r>
            <w:r w:rsidRPr="00B8252B">
              <w:rPr>
                <w:spacing w:val="0"/>
                <w:kern w:val="0"/>
                <w:sz w:val="20"/>
                <w:szCs w:val="28"/>
                <w:rtl/>
                <w:lang w:eastAsia="en-US"/>
              </w:rPr>
              <w:t>٥٨٥</w:t>
            </w:r>
            <w:r w:rsidRPr="00B8252B">
              <w:rPr>
                <w:rFonts w:cs="Times New Roman"/>
                <w:spacing w:val="0"/>
                <w:kern w:val="0"/>
                <w:sz w:val="20"/>
                <w:szCs w:val="28"/>
                <w:rtl/>
                <w:lang w:eastAsia="en-US"/>
              </w:rPr>
              <w:t>٫</w:t>
            </w:r>
            <w:r w:rsidRPr="00B8252B">
              <w:rPr>
                <w:spacing w:val="0"/>
                <w:kern w:val="0"/>
                <w:sz w:val="20"/>
                <w:szCs w:val="28"/>
                <w:rtl/>
                <w:lang w:eastAsia="en-US"/>
              </w:rPr>
              <w:t>٨٠</w:t>
            </w:r>
          </w:p>
        </w:tc>
        <w:tc>
          <w:tcPr>
            <w:tcW w:w="2646" w:type="dxa"/>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10 تشرين الثاني/نوفمبر 2009</w:t>
            </w:r>
          </w:p>
        </w:tc>
      </w:tr>
      <w:tr w:rsidR="00B8252B" w:rsidRPr="00B8252B" w:rsidTr="00B8252B">
        <w:trPr>
          <w:trHeight w:val="240"/>
        </w:trPr>
        <w:tc>
          <w:tcPr>
            <w:tcW w:w="1844" w:type="dxa"/>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إسبانيا</w:t>
            </w:r>
          </w:p>
        </w:tc>
        <w:tc>
          <w:tcPr>
            <w:tcW w:w="2880" w:type="dxa"/>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٢٦</w:t>
            </w:r>
            <w:r w:rsidRPr="00B8252B">
              <w:rPr>
                <w:spacing w:val="0"/>
                <w:kern w:val="0"/>
                <w:sz w:val="20"/>
                <w:szCs w:val="28"/>
                <w:lang w:eastAsia="en-US"/>
              </w:rPr>
              <w:t xml:space="preserve"> </w:t>
            </w:r>
            <w:r w:rsidRPr="00B8252B">
              <w:rPr>
                <w:spacing w:val="0"/>
                <w:kern w:val="0"/>
                <w:sz w:val="20"/>
                <w:szCs w:val="28"/>
                <w:rtl/>
                <w:lang w:eastAsia="en-US"/>
              </w:rPr>
              <w:t>٧٧٣</w:t>
            </w:r>
            <w:r w:rsidRPr="00B8252B">
              <w:rPr>
                <w:rFonts w:cs="Times New Roman"/>
                <w:spacing w:val="0"/>
                <w:kern w:val="0"/>
                <w:sz w:val="20"/>
                <w:szCs w:val="28"/>
                <w:rtl/>
                <w:lang w:eastAsia="en-US"/>
              </w:rPr>
              <w:t>٫</w:t>
            </w:r>
            <w:r w:rsidRPr="00B8252B">
              <w:rPr>
                <w:spacing w:val="0"/>
                <w:kern w:val="0"/>
                <w:sz w:val="20"/>
                <w:szCs w:val="28"/>
                <w:rtl/>
                <w:lang w:eastAsia="en-US"/>
              </w:rPr>
              <w:t>٧٦</w:t>
            </w:r>
          </w:p>
        </w:tc>
        <w:tc>
          <w:tcPr>
            <w:tcW w:w="2646" w:type="dxa"/>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29 كانون الأول/ديسمبر 2010</w:t>
            </w:r>
          </w:p>
        </w:tc>
      </w:tr>
      <w:tr w:rsidR="00B8252B" w:rsidRPr="00B8252B" w:rsidTr="00B8252B">
        <w:trPr>
          <w:trHeight w:val="240"/>
        </w:trPr>
        <w:tc>
          <w:tcPr>
            <w:tcW w:w="1844" w:type="dxa"/>
            <w:tcBorders>
              <w:bottom w:val="single" w:sz="12" w:space="0" w:color="auto"/>
            </w:tcBorders>
            <w:shd w:val="clear" w:color="auto" w:fill="auto"/>
          </w:tcPr>
          <w:p w:rsidR="00B8252B" w:rsidRPr="00B8252B" w:rsidRDefault="00B8252B" w:rsidP="00B8252B">
            <w:pPr>
              <w:spacing w:before="40" w:after="60" w:line="320" w:lineRule="exact"/>
              <w:ind w:left="57" w:right="170"/>
              <w:jc w:val="lowKashida"/>
              <w:rPr>
                <w:rFonts w:hint="cs"/>
                <w:spacing w:val="0"/>
                <w:kern w:val="0"/>
                <w:sz w:val="20"/>
                <w:szCs w:val="28"/>
                <w:lang w:eastAsia="en-US"/>
              </w:rPr>
            </w:pPr>
            <w:r w:rsidRPr="00B8252B">
              <w:rPr>
                <w:rFonts w:hint="cs"/>
                <w:spacing w:val="0"/>
                <w:kern w:val="0"/>
                <w:sz w:val="20"/>
                <w:szCs w:val="28"/>
                <w:rtl/>
                <w:lang w:eastAsia="en-US"/>
              </w:rPr>
              <w:t>المملكة المتحدة لبريطانيا العظمى وآيرلندا الشمالية</w:t>
            </w:r>
          </w:p>
        </w:tc>
        <w:tc>
          <w:tcPr>
            <w:tcW w:w="2880" w:type="dxa"/>
            <w:tcBorders>
              <w:bottom w:val="single" w:sz="12" w:space="0" w:color="auto"/>
            </w:tcBorders>
            <w:shd w:val="clear" w:color="auto" w:fill="auto"/>
          </w:tcPr>
          <w:p w:rsidR="00B8252B" w:rsidRPr="00B8252B" w:rsidRDefault="00B8252B" w:rsidP="00B8252B">
            <w:pPr>
              <w:bidi w:val="0"/>
              <w:spacing w:before="40" w:after="60" w:line="320" w:lineRule="exact"/>
              <w:ind w:left="170" w:right="57"/>
              <w:jc w:val="right"/>
              <w:rPr>
                <w:spacing w:val="0"/>
                <w:kern w:val="0"/>
                <w:sz w:val="20"/>
                <w:szCs w:val="28"/>
                <w:lang w:eastAsia="en-US"/>
              </w:rPr>
            </w:pPr>
            <w:r w:rsidRPr="00B8252B">
              <w:rPr>
                <w:spacing w:val="0"/>
                <w:kern w:val="0"/>
                <w:sz w:val="20"/>
                <w:szCs w:val="28"/>
                <w:rtl/>
                <w:lang w:eastAsia="en-US"/>
              </w:rPr>
              <w:t>٨٥٥</w:t>
            </w:r>
            <w:r w:rsidRPr="00B8252B">
              <w:rPr>
                <w:spacing w:val="0"/>
                <w:kern w:val="0"/>
                <w:sz w:val="20"/>
                <w:szCs w:val="28"/>
                <w:lang w:eastAsia="en-US"/>
              </w:rPr>
              <w:t xml:space="preserve"> </w:t>
            </w:r>
            <w:r w:rsidRPr="00B8252B">
              <w:rPr>
                <w:spacing w:val="0"/>
                <w:kern w:val="0"/>
                <w:sz w:val="20"/>
                <w:szCs w:val="28"/>
                <w:rtl/>
                <w:lang w:eastAsia="en-US"/>
              </w:rPr>
              <w:t>٢٦٣</w:t>
            </w:r>
            <w:r w:rsidRPr="00B8252B">
              <w:rPr>
                <w:rFonts w:cs="Times New Roman"/>
                <w:spacing w:val="0"/>
                <w:kern w:val="0"/>
                <w:sz w:val="20"/>
                <w:szCs w:val="28"/>
                <w:rtl/>
                <w:lang w:eastAsia="en-US"/>
              </w:rPr>
              <w:t>٫</w:t>
            </w:r>
            <w:r w:rsidRPr="00B8252B">
              <w:rPr>
                <w:spacing w:val="0"/>
                <w:kern w:val="0"/>
                <w:sz w:val="20"/>
                <w:szCs w:val="28"/>
                <w:rtl/>
                <w:lang w:eastAsia="en-US"/>
              </w:rPr>
              <w:t>١٦</w:t>
            </w:r>
          </w:p>
        </w:tc>
        <w:tc>
          <w:tcPr>
            <w:tcW w:w="2646" w:type="dxa"/>
            <w:tcBorders>
              <w:bottom w:val="single" w:sz="12" w:space="0" w:color="auto"/>
            </w:tcBorders>
            <w:shd w:val="clear" w:color="auto" w:fill="auto"/>
          </w:tcPr>
          <w:p w:rsidR="00B8252B" w:rsidRPr="00B8252B" w:rsidRDefault="00B8252B" w:rsidP="00B8252B">
            <w:pPr>
              <w:spacing w:before="40" w:after="60" w:line="320" w:lineRule="exact"/>
              <w:ind w:left="57" w:right="57"/>
              <w:jc w:val="lowKashida"/>
              <w:rPr>
                <w:rFonts w:hint="cs"/>
                <w:i/>
                <w:spacing w:val="0"/>
                <w:kern w:val="0"/>
                <w:sz w:val="20"/>
                <w:szCs w:val="28"/>
                <w:lang w:eastAsia="en-US"/>
              </w:rPr>
            </w:pPr>
            <w:r w:rsidRPr="00B8252B">
              <w:rPr>
                <w:rFonts w:hint="cs"/>
                <w:i/>
                <w:spacing w:val="0"/>
                <w:kern w:val="0"/>
                <w:sz w:val="20"/>
                <w:szCs w:val="28"/>
                <w:rtl/>
                <w:lang w:eastAsia="en-US"/>
              </w:rPr>
              <w:t>20 حزيران/يونيه 2011</w:t>
            </w:r>
          </w:p>
        </w:tc>
      </w:tr>
    </w:tbl>
    <w:p w:rsidR="00B8252B" w:rsidRPr="00B8252B" w:rsidRDefault="00B8252B" w:rsidP="00B8252B">
      <w:pPr>
        <w:tabs>
          <w:tab w:val="left" w:pos="1928"/>
          <w:tab w:val="left" w:pos="2608"/>
          <w:tab w:val="left" w:pos="3289"/>
          <w:tab w:val="left" w:pos="3969"/>
          <w:tab w:val="left" w:pos="4649"/>
          <w:tab w:val="left" w:pos="5330"/>
        </w:tabs>
        <w:spacing w:before="240"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27-</w:t>
      </w:r>
      <w:r w:rsidRPr="00B8252B">
        <w:rPr>
          <w:rFonts w:hint="cs"/>
          <w:spacing w:val="0"/>
          <w:kern w:val="0"/>
          <w:sz w:val="20"/>
          <w:rtl/>
          <w:lang w:val="fr-CH" w:eastAsia="en-US"/>
        </w:rPr>
        <w:tab/>
        <w:t>وتود اللجنة الفرعية أن تُعرب عن امتنانها لهذه الدول لما قدمته من تبرعات سخية.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val="fr-CH" w:eastAsia="en-US"/>
        </w:rPr>
        <w:t>28-</w:t>
      </w:r>
      <w:r w:rsidRPr="00B8252B">
        <w:rPr>
          <w:rFonts w:hint="cs"/>
          <w:spacing w:val="0"/>
          <w:kern w:val="0"/>
          <w:sz w:val="20"/>
          <w:rtl/>
          <w:lang w:val="fr-CH" w:eastAsia="en-US"/>
        </w:rPr>
        <w:tab/>
        <w:t>ووفقاً للفقرة 1 من المادة 26 من البروتوكول الاختياري، يتمثل الغرض من الصندوق الخاص في المساعدة في تمويل تنفيذ التوصيات التي تقدمها اللجنة الفرعية، فضلاً عن البرامج التعليمية للآليات الوقائية الوطنية. وتؤمن اللجنة الفرعية بأن الصندوق الخاص لديه من القدرات ما يؤهله ليكون أداة قيمة في تعزيز منع التعذيب، ولذلك يسر اللجنة أن خطة قد وُضعت خلال الفترة المشمولة بالتقرير لتفعيل الصندوق. وتتولى المفوضية السامية لحقوق الإنسان إدارة الصندوق الخاص (حيث تعمل لجنة المِنح التابعة للمفوضية كهيئة استشارية للمفوضة السامية لحقوق الإنسان) عملاً بالقواعد والأنظمة المالية للأمم المتحدة وبالسياسات والإجراءات ذات الصلة الصادرة من الأمين العام. ومن المقرر تنقيح الخطة المؤقتة خلال عام</w:t>
      </w:r>
      <w:r w:rsidRPr="00B8252B">
        <w:rPr>
          <w:rFonts w:hint="eastAsia"/>
          <w:spacing w:val="0"/>
          <w:kern w:val="0"/>
          <w:sz w:val="20"/>
          <w:rtl/>
          <w:lang w:val="fr-CH" w:eastAsia="en-US"/>
        </w:rPr>
        <w:t> </w:t>
      </w:r>
      <w:r w:rsidRPr="00B8252B">
        <w:rPr>
          <w:rFonts w:hint="cs"/>
          <w:spacing w:val="0"/>
          <w:kern w:val="0"/>
          <w:sz w:val="20"/>
          <w:rtl/>
          <w:lang w:val="fr-CH" w:eastAsia="en-US"/>
        </w:rPr>
        <w:t>2012. ويسرّ اللجنة الفرعية أن تعلن أن إدارة الصندوق الخاص ستتشاور معها على الأساس التالي: (1) تُحدِّد اللجنة الفرعية، على أساس سنوي، الأولويات المواضيعية للدعوة السنوية لتقديم الطلبات، ربما بحسب البلد، وبهدف تمويل تنفيذ التوصيات الواردة في تقارير زيارات اللجنة الفرعية، (2) يُحاط مكتب اللجنة الفرعية علماً أولاً بأول بالطلبات الواردة وبالمِنح المقدَّمة؛ ويجوز استشارة أعضاء اللجنة الفرعية بشأن المسائل الناشئة عن الطلبات، مع إمكانية عقد اجتماع مع رئيس اللجنة الفرعية إذا نشأت أية مسائل إضافية وبحسب الاقتضاء. وقد حدَّدت اللجنة الفرعية الأولويات المواضيعية التالية للجولة الحالية: إخطار المحتجزين بحقوقهم الأساسية بلغة يمكنهم فهمها؛ وتحسين الأنشطة الترفيهية و/أو المهنية للأحداث المحتجزين؛ وتقديم برامج التدريب الأساسي للعاملين في أماكن الاحتجاز (مع</w:t>
      </w:r>
      <w:r w:rsidRPr="00B8252B">
        <w:rPr>
          <w:rFonts w:hint="eastAsia"/>
          <w:spacing w:val="0"/>
          <w:kern w:val="0"/>
          <w:sz w:val="20"/>
          <w:rtl/>
          <w:lang w:val="fr-CH" w:eastAsia="en-US"/>
        </w:rPr>
        <w:t> </w:t>
      </w:r>
      <w:r w:rsidRPr="00B8252B">
        <w:rPr>
          <w:rFonts w:hint="cs"/>
          <w:spacing w:val="0"/>
          <w:kern w:val="0"/>
          <w:sz w:val="20"/>
          <w:rtl/>
          <w:lang w:val="fr-CH" w:eastAsia="en-US"/>
        </w:rPr>
        <w:t>التركيز على الرعاية الصحية)؛ وتنفيذ أية توصية أخرى محددة مُدرجة في تقارير الزيارات تشكل حاجة مُلحة أو ضرورية. وقد أعلن الأمين العام تفاصيل كاملة للخطة في تقريره إلى</w:t>
      </w:r>
      <w:r w:rsidRPr="00B8252B">
        <w:rPr>
          <w:rFonts w:hint="eastAsia"/>
          <w:spacing w:val="0"/>
          <w:kern w:val="0"/>
          <w:sz w:val="20"/>
          <w:rtl/>
          <w:lang w:val="fr-CH" w:eastAsia="en-US"/>
        </w:rPr>
        <w:t> </w:t>
      </w:r>
      <w:r w:rsidRPr="00B8252B">
        <w:rPr>
          <w:rFonts w:hint="cs"/>
          <w:spacing w:val="0"/>
          <w:kern w:val="0"/>
          <w:sz w:val="20"/>
          <w:rtl/>
          <w:lang w:val="fr-CH" w:eastAsia="en-US"/>
        </w:rPr>
        <w:t>الجمعية العامة ومجلس حقوق الإنسان بشأن عمليات الصندوق الخاص</w:t>
      </w:r>
      <w:r w:rsidRPr="00B8252B">
        <w:rPr>
          <w:rFonts w:hint="cs"/>
          <w:spacing w:val="0"/>
          <w:kern w:val="0"/>
          <w:sz w:val="20"/>
          <w:rtl/>
          <w:lang w:eastAsia="en-US"/>
        </w:rPr>
        <w:t xml:space="preserve"> (</w:t>
      </w:r>
      <w:r w:rsidRPr="00B8252B">
        <w:rPr>
          <w:spacing w:val="0"/>
          <w:kern w:val="0"/>
          <w:sz w:val="20"/>
          <w:lang w:eastAsia="en-US"/>
        </w:rPr>
        <w:t>A/65/381</w:t>
      </w:r>
      <w:r w:rsidRPr="00B8252B">
        <w:rPr>
          <w:rFonts w:hint="cs"/>
          <w:spacing w:val="0"/>
          <w:kern w:val="0"/>
          <w:sz w:val="20"/>
          <w:rtl/>
          <w:lang w:eastAsia="en-US"/>
        </w:rPr>
        <w:t>). ويحدو اللجنة الفرعية الأمل في أن يشجع تنفيذ الخطة المذكورة أعلاه على تقديم المزيد من التبرعات للصندوق الخاص.</w:t>
      </w:r>
    </w:p>
    <w:p w:rsidR="00B8252B" w:rsidRPr="00B8252B" w:rsidRDefault="00B8252B" w:rsidP="00611878">
      <w:pPr>
        <w:pStyle w:val="HChGA"/>
        <w:jc w:val="lowKashida"/>
        <w:rPr>
          <w:rFonts w:hint="cs"/>
          <w:kern w:val="0"/>
          <w:rtl/>
          <w:lang w:eastAsia="en-US"/>
        </w:rPr>
      </w:pPr>
      <w:r w:rsidRPr="00B8252B">
        <w:rPr>
          <w:rFonts w:hint="cs"/>
          <w:kern w:val="0"/>
          <w:rtl/>
          <w:lang w:eastAsia="en-US"/>
        </w:rPr>
        <w:tab/>
      </w:r>
      <w:bookmarkStart w:id="8" w:name="_Toc322593347"/>
      <w:r w:rsidRPr="00B8252B">
        <w:rPr>
          <w:rFonts w:hint="cs"/>
          <w:kern w:val="0"/>
          <w:rtl/>
          <w:lang w:eastAsia="en-US"/>
        </w:rPr>
        <w:t>ثالثاً-</w:t>
      </w:r>
      <w:r w:rsidRPr="00B8252B">
        <w:rPr>
          <w:rFonts w:hint="cs"/>
          <w:kern w:val="0"/>
          <w:rtl/>
          <w:lang w:eastAsia="en-US"/>
        </w:rPr>
        <w:tab/>
        <w:t>المشاركة مع الهيئات الأخرى في مجال منع التعذيب</w:t>
      </w:r>
      <w:bookmarkEnd w:id="8"/>
    </w:p>
    <w:p w:rsidR="00B8252B" w:rsidRPr="00B8252B" w:rsidRDefault="00B8252B" w:rsidP="00611878">
      <w:pPr>
        <w:pStyle w:val="H1GA"/>
        <w:jc w:val="lowKashida"/>
        <w:rPr>
          <w:rFonts w:hint="cs"/>
          <w:kern w:val="0"/>
          <w:rtl/>
          <w:lang w:eastAsia="en-US"/>
        </w:rPr>
      </w:pPr>
      <w:r w:rsidRPr="00B8252B">
        <w:rPr>
          <w:rFonts w:hint="cs"/>
          <w:kern w:val="0"/>
          <w:rtl/>
          <w:lang w:eastAsia="en-US"/>
        </w:rPr>
        <w:tab/>
      </w:r>
      <w:bookmarkStart w:id="9" w:name="_Toc322593348"/>
      <w:r w:rsidRPr="00B8252B">
        <w:rPr>
          <w:rFonts w:hint="cs"/>
          <w:kern w:val="0"/>
          <w:rtl/>
          <w:lang w:eastAsia="en-US"/>
        </w:rPr>
        <w:t>ألف-</w:t>
      </w:r>
      <w:r w:rsidRPr="00B8252B">
        <w:rPr>
          <w:rFonts w:hint="cs"/>
          <w:kern w:val="0"/>
          <w:rtl/>
          <w:lang w:eastAsia="en-US"/>
        </w:rPr>
        <w:tab/>
        <w:t>التعاون الدولي</w:t>
      </w:r>
      <w:bookmarkEnd w:id="9"/>
    </w:p>
    <w:p w:rsidR="00B8252B" w:rsidRPr="00B8252B" w:rsidRDefault="00B8252B" w:rsidP="00611878">
      <w:pPr>
        <w:pStyle w:val="H23GA"/>
        <w:jc w:val="lowKashida"/>
        <w:rPr>
          <w:rFonts w:hint="cs"/>
          <w:kern w:val="0"/>
          <w:rtl/>
        </w:rPr>
      </w:pPr>
      <w:r w:rsidRPr="00B8252B">
        <w:rPr>
          <w:rFonts w:hint="cs"/>
          <w:kern w:val="0"/>
          <w:rtl/>
        </w:rPr>
        <w:tab/>
        <w:t>1-</w:t>
      </w:r>
      <w:r w:rsidRPr="00B8252B">
        <w:rPr>
          <w:rFonts w:hint="cs"/>
          <w:kern w:val="0"/>
          <w:rtl/>
        </w:rPr>
        <w:tab/>
        <w:t>التعاون مع الهيئات الأخرى التابعة للأمم المتحدة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29-</w:t>
      </w:r>
      <w:r w:rsidRPr="00B8252B">
        <w:rPr>
          <w:rFonts w:hint="cs"/>
          <w:spacing w:val="0"/>
          <w:kern w:val="0"/>
          <w:sz w:val="20"/>
          <w:rtl/>
          <w:lang w:val="fr-CH" w:eastAsia="en-US"/>
        </w:rPr>
        <w:tab/>
        <w:t xml:space="preserve">عملاً بأحكام البروتوكول الاختياري، قدَّم رئيس اللجنة الفرعية تقرير هذه اللجنة السنوي الرابع إلى لجنة مناهضة التعذيب خلال جلسة عامة عُقدت في 10 </w:t>
      </w:r>
      <w:r w:rsidRPr="00B8252B">
        <w:rPr>
          <w:rFonts w:hint="cs"/>
          <w:spacing w:val="0"/>
          <w:kern w:val="0"/>
          <w:sz w:val="30"/>
          <w:rtl/>
          <w:lang w:val="fr-CH" w:eastAsia="en-US"/>
        </w:rPr>
        <w:t xml:space="preserve">أيار/مايو </w:t>
      </w:r>
      <w:r w:rsidRPr="00B8252B">
        <w:rPr>
          <w:rFonts w:hint="cs"/>
          <w:spacing w:val="0"/>
          <w:kern w:val="0"/>
          <w:sz w:val="20"/>
          <w:rtl/>
          <w:lang w:val="fr-CH" w:eastAsia="en-US"/>
        </w:rPr>
        <w:t xml:space="preserve">2011. وبالإضافة إلى ذلك، اغتنمت اللجنة الفرعية ولجنة مناهضة التعذيب فرصة تزامن دورتيهما في </w:t>
      </w:r>
      <w:r w:rsidRPr="00B8252B">
        <w:rPr>
          <w:rFonts w:hint="cs"/>
          <w:spacing w:val="0"/>
          <w:kern w:val="0"/>
          <w:sz w:val="30"/>
          <w:rtl/>
          <w:lang w:val="fr-CH" w:eastAsia="en-US"/>
        </w:rPr>
        <w:t xml:space="preserve">تشرين الثاني/نوفمبر </w:t>
      </w:r>
      <w:r w:rsidRPr="00B8252B">
        <w:rPr>
          <w:rFonts w:hint="cs"/>
          <w:spacing w:val="0"/>
          <w:kern w:val="0"/>
          <w:sz w:val="20"/>
          <w:rtl/>
          <w:lang w:val="fr-CH" w:eastAsia="en-US"/>
        </w:rPr>
        <w:t>2011 للاجتماع لمناقشة طائفة من القضايا ذات الاهتمام المشترك، مثل مفهوم التعذيب وغيره من ضروب المعاملة أو العقوبة القاسية أو اللاإنسانية أو المهينة؛ ومحور التركيز الاستراتيجي للجنة الفرعية في عام 2012؛ ومنهجية تبادل المعلومات بين هيئتي المعاهدات؛ وأحكام البروتوكول الاختياري التي تهم الهيئتين فيما يتعلق بالمنهجية المطبّقة.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val="fr-CH" w:eastAsia="en-US"/>
        </w:rPr>
        <w:t>30-</w:t>
      </w:r>
      <w:r w:rsidRPr="00B8252B">
        <w:rPr>
          <w:rFonts w:hint="cs"/>
          <w:spacing w:val="0"/>
          <w:kern w:val="0"/>
          <w:sz w:val="20"/>
          <w:rtl/>
          <w:lang w:val="fr-CH" w:eastAsia="en-US"/>
        </w:rPr>
        <w:tab/>
        <w:t xml:space="preserve">ووفقاً لقرار الجمعية العامة 65/205 المؤرخ 28 </w:t>
      </w:r>
      <w:r w:rsidRPr="00B8252B">
        <w:rPr>
          <w:rFonts w:hint="cs"/>
          <w:spacing w:val="0"/>
          <w:kern w:val="0"/>
          <w:sz w:val="30"/>
          <w:rtl/>
          <w:lang w:val="fr-CH" w:eastAsia="en-US"/>
        </w:rPr>
        <w:t xml:space="preserve">آذار/مارس </w:t>
      </w:r>
      <w:r w:rsidRPr="00B8252B">
        <w:rPr>
          <w:rFonts w:hint="cs"/>
          <w:spacing w:val="0"/>
          <w:kern w:val="0"/>
          <w:sz w:val="20"/>
          <w:rtl/>
          <w:lang w:val="fr-CH" w:eastAsia="en-US"/>
        </w:rPr>
        <w:t xml:space="preserve">2011، قدم رئيس اللجنة الفرعية تقريرها السنوي الرابع </w:t>
      </w:r>
      <w:r w:rsidRPr="00B8252B">
        <w:rPr>
          <w:spacing w:val="0"/>
          <w:kern w:val="0"/>
          <w:sz w:val="20"/>
          <w:lang w:eastAsia="en-US"/>
        </w:rPr>
        <w:t>(CAT/C/46/2)</w:t>
      </w:r>
      <w:r w:rsidRPr="00B8252B">
        <w:rPr>
          <w:rFonts w:hint="cs"/>
          <w:spacing w:val="0"/>
          <w:kern w:val="0"/>
          <w:sz w:val="20"/>
          <w:rtl/>
          <w:lang w:eastAsia="en-US"/>
        </w:rPr>
        <w:t xml:space="preserve"> إلى الجمعية العامة في دورتها السادسة والستين المعقودة في نيويورك في </w:t>
      </w:r>
      <w:r w:rsidRPr="00B8252B">
        <w:rPr>
          <w:rFonts w:hint="cs"/>
          <w:spacing w:val="0"/>
          <w:kern w:val="0"/>
          <w:sz w:val="30"/>
          <w:rtl/>
          <w:lang w:eastAsia="en-US"/>
        </w:rPr>
        <w:t xml:space="preserve">تشرين الأول/أكتوبر </w:t>
      </w:r>
      <w:r w:rsidRPr="00B8252B">
        <w:rPr>
          <w:rFonts w:hint="cs"/>
          <w:spacing w:val="0"/>
          <w:kern w:val="0"/>
          <w:sz w:val="20"/>
          <w:rtl/>
          <w:lang w:eastAsia="en-US"/>
        </w:rPr>
        <w:t>2011. وقد أتاحت هذه المناسبة أيضاً الفرصة لتبادل المعلومات مع رئيس لجنة مناهضة التعذيب ومع المقرر الخاص المعني بمسألة التعذيب وغيره من ضروب المعاملة أو العقوبة القاسية أو اللاإنسانية أو المهينة، الذي تحدَّث أيضاً أمام الجمعية العامة في تلك الدورة.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31-</w:t>
      </w:r>
      <w:r w:rsidRPr="00B8252B">
        <w:rPr>
          <w:rFonts w:hint="cs"/>
          <w:spacing w:val="0"/>
          <w:kern w:val="0"/>
          <w:sz w:val="20"/>
          <w:rtl/>
          <w:lang w:eastAsia="en-US"/>
        </w:rPr>
        <w:tab/>
        <w:t xml:space="preserve">وواصلت اللجنة الفرعية مشاركتها النشطة في الاجتماعات المشتركة بين اللجان (الفريق العامل المشترك بين اللجان المعني بالمتابعة في الفترة من 12 إلى 14 </w:t>
      </w:r>
      <w:r w:rsidRPr="00B8252B">
        <w:rPr>
          <w:rFonts w:hint="cs"/>
          <w:spacing w:val="0"/>
          <w:kern w:val="0"/>
          <w:sz w:val="30"/>
          <w:rtl/>
          <w:lang w:eastAsia="en-US"/>
        </w:rPr>
        <w:t>كانون الثاني/ يناير</w:t>
      </w:r>
      <w:r w:rsidRPr="00B8252B">
        <w:rPr>
          <w:rFonts w:hint="eastAsia"/>
          <w:spacing w:val="0"/>
          <w:kern w:val="0"/>
          <w:sz w:val="30"/>
          <w:rtl/>
          <w:lang w:eastAsia="en-US"/>
        </w:rPr>
        <w:t> </w:t>
      </w:r>
      <w:r w:rsidRPr="00B8252B">
        <w:rPr>
          <w:rFonts w:hint="cs"/>
          <w:spacing w:val="0"/>
          <w:kern w:val="0"/>
          <w:sz w:val="20"/>
          <w:rtl/>
          <w:lang w:eastAsia="en-US"/>
        </w:rPr>
        <w:t xml:space="preserve">2011، والاجتماع الثاني عشر المشترك بين اللجان المعقود في جنيف في الفترة من 27 إلى 29 </w:t>
      </w:r>
      <w:r w:rsidRPr="00B8252B">
        <w:rPr>
          <w:rFonts w:hint="cs"/>
          <w:spacing w:val="0"/>
          <w:kern w:val="0"/>
          <w:sz w:val="30"/>
          <w:rtl/>
          <w:lang w:eastAsia="en-US"/>
        </w:rPr>
        <w:t xml:space="preserve">حزيران/يونيه </w:t>
      </w:r>
      <w:r w:rsidRPr="00B8252B">
        <w:rPr>
          <w:rFonts w:hint="cs"/>
          <w:spacing w:val="0"/>
          <w:kern w:val="0"/>
          <w:sz w:val="20"/>
          <w:rtl/>
          <w:lang w:eastAsia="en-US"/>
        </w:rPr>
        <w:t xml:space="preserve">2011) وفي اجتماعات رؤساء هيئات معاهدات حقوق الإنسان (المعقودة في جنيف في الفترة من 30 </w:t>
      </w:r>
      <w:r w:rsidRPr="00B8252B">
        <w:rPr>
          <w:rFonts w:hint="cs"/>
          <w:spacing w:val="0"/>
          <w:kern w:val="0"/>
          <w:sz w:val="30"/>
          <w:rtl/>
          <w:lang w:eastAsia="en-US"/>
        </w:rPr>
        <w:t>حزيران/يونيه</w:t>
      </w:r>
      <w:r w:rsidRPr="00B8252B">
        <w:rPr>
          <w:rFonts w:hint="cs"/>
          <w:spacing w:val="0"/>
          <w:kern w:val="0"/>
          <w:sz w:val="20"/>
          <w:rtl/>
          <w:lang w:eastAsia="en-US"/>
        </w:rPr>
        <w:t xml:space="preserve"> إلى 1 </w:t>
      </w:r>
      <w:r w:rsidRPr="00B8252B">
        <w:rPr>
          <w:rFonts w:hint="cs"/>
          <w:spacing w:val="0"/>
          <w:kern w:val="0"/>
          <w:sz w:val="30"/>
          <w:rtl/>
          <w:lang w:eastAsia="en-US"/>
        </w:rPr>
        <w:t xml:space="preserve">تموز/يوليه </w:t>
      </w:r>
      <w:r w:rsidRPr="00B8252B">
        <w:rPr>
          <w:rFonts w:hint="cs"/>
          <w:spacing w:val="0"/>
          <w:kern w:val="0"/>
          <w:sz w:val="20"/>
          <w:rtl/>
          <w:lang w:eastAsia="en-US"/>
        </w:rPr>
        <w:t xml:space="preserve">2011). وفي هذا الإطار، صدر بيان مشترك عن رؤساء هيئات معاهدات الأمم المتحدة في الذكرى الخامسة والعشرين لصدور إعلان الحق في التنمية. وساهمت اللجنة الفرعية أيضاً في الاجتماع المشترك مع المكلَّفين بولايات في إطار الإجراءات الخاصة. واستجابةً للنداء الموجَّه من المفوضة السامية لحقوق الإنسان من أجل تعزيز نظام هيئات المعاهدات، ومتابعةً لاجتماعات سابقة للخبراء خُصصت للنظر في عمل هيئات المعاهدات، شاركت اللجنة الفرعية في مشاورة تقنية غير رسمية للدول الأطراف لتعزيز هيئات المعاهدات، عُقدت في سيون، بسويسرا، في </w:t>
      </w:r>
      <w:r w:rsidRPr="00B8252B">
        <w:rPr>
          <w:rFonts w:hint="cs"/>
          <w:spacing w:val="0"/>
          <w:kern w:val="0"/>
          <w:sz w:val="30"/>
          <w:rtl/>
          <w:lang w:eastAsia="en-US"/>
        </w:rPr>
        <w:t>أيار/ مايو</w:t>
      </w:r>
      <w:r w:rsidRPr="00B8252B">
        <w:rPr>
          <w:rFonts w:hint="eastAsia"/>
          <w:spacing w:val="0"/>
          <w:kern w:val="0"/>
          <w:sz w:val="30"/>
          <w:rtl/>
          <w:lang w:eastAsia="en-US"/>
        </w:rPr>
        <w:t> </w:t>
      </w:r>
      <w:r w:rsidRPr="00B8252B">
        <w:rPr>
          <w:rFonts w:hint="cs"/>
          <w:spacing w:val="0"/>
          <w:kern w:val="0"/>
          <w:sz w:val="20"/>
          <w:rtl/>
          <w:lang w:eastAsia="en-US"/>
        </w:rPr>
        <w:t xml:space="preserve">2011، وشاركت أيضاً في اجتماع آخر عُقد في دبلن، بآيرلندا، في </w:t>
      </w:r>
      <w:r w:rsidRPr="00B8252B">
        <w:rPr>
          <w:rFonts w:hint="cs"/>
          <w:spacing w:val="0"/>
          <w:kern w:val="0"/>
          <w:sz w:val="30"/>
          <w:rtl/>
          <w:lang w:eastAsia="en-US"/>
        </w:rPr>
        <w:t xml:space="preserve">تشرين الثاني/ نوفمبر </w:t>
      </w:r>
      <w:r w:rsidRPr="00B8252B">
        <w:rPr>
          <w:rFonts w:hint="cs"/>
          <w:spacing w:val="0"/>
          <w:kern w:val="0"/>
          <w:sz w:val="20"/>
          <w:rtl/>
          <w:lang w:eastAsia="en-US"/>
        </w:rPr>
        <w:t xml:space="preserve">2011. وكان للجنة الفرعية حضور في عدة أنشطة للمفوضية السامية لحقوق الإنسان، مثل حلقة العمل الدولية بشأن "دور منع الانتهاكات في تعزيز حقوق الإنسان وحمايتها" التي عُقدت في جنيف في </w:t>
      </w:r>
      <w:r w:rsidRPr="00B8252B">
        <w:rPr>
          <w:rFonts w:hint="cs"/>
          <w:spacing w:val="0"/>
          <w:kern w:val="0"/>
          <w:sz w:val="30"/>
          <w:rtl/>
          <w:lang w:eastAsia="en-US"/>
        </w:rPr>
        <w:t xml:space="preserve">أيار/مايو </w:t>
      </w:r>
      <w:r w:rsidRPr="00B8252B">
        <w:rPr>
          <w:rFonts w:hint="cs"/>
          <w:spacing w:val="0"/>
          <w:kern w:val="0"/>
          <w:sz w:val="20"/>
          <w:rtl/>
          <w:lang w:eastAsia="en-US"/>
        </w:rPr>
        <w:t>2011.</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32-</w:t>
      </w:r>
      <w:r w:rsidRPr="00B8252B">
        <w:rPr>
          <w:rFonts w:hint="cs"/>
          <w:spacing w:val="0"/>
          <w:kern w:val="0"/>
          <w:sz w:val="20"/>
          <w:rtl/>
          <w:lang w:val="fr-CH" w:eastAsia="en-US"/>
        </w:rPr>
        <w:tab/>
        <w:t xml:space="preserve">وواصلت اللجنة الفرعية تعاونها مع المقرر الخاص المعني بمسألة التعذيب، وذلك، مثلاً، بمشاركتها في المشاورة الإقليمية لمتابعة الزيارات القطرية في إطار ولاية المقرر الخاص، المعقودة في سنتياغو دي شيلي، في </w:t>
      </w:r>
      <w:r w:rsidRPr="00B8252B">
        <w:rPr>
          <w:rFonts w:hint="cs"/>
          <w:spacing w:val="0"/>
          <w:kern w:val="0"/>
          <w:sz w:val="30"/>
          <w:rtl/>
          <w:lang w:val="fr-CH" w:eastAsia="en-US"/>
        </w:rPr>
        <w:t xml:space="preserve">حزيران/يونيه </w:t>
      </w:r>
      <w:r w:rsidRPr="00B8252B">
        <w:rPr>
          <w:rFonts w:hint="cs"/>
          <w:spacing w:val="0"/>
          <w:kern w:val="0"/>
          <w:sz w:val="20"/>
          <w:rtl/>
          <w:lang w:val="fr-CH" w:eastAsia="en-US"/>
        </w:rPr>
        <w:t>2011.</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33-</w:t>
      </w:r>
      <w:r w:rsidRPr="00B8252B">
        <w:rPr>
          <w:rFonts w:hint="cs"/>
          <w:spacing w:val="0"/>
          <w:kern w:val="0"/>
          <w:sz w:val="20"/>
          <w:rtl/>
          <w:lang w:val="fr-CH" w:eastAsia="en-US"/>
        </w:rPr>
        <w:tab/>
        <w:t xml:space="preserve">وأعلنت اللجنة الفرعية تأييدها للبيان الصادر في 26 </w:t>
      </w:r>
      <w:r w:rsidRPr="00B8252B">
        <w:rPr>
          <w:rFonts w:hint="cs"/>
          <w:spacing w:val="0"/>
          <w:kern w:val="0"/>
          <w:sz w:val="30"/>
          <w:rtl/>
          <w:lang w:val="fr-CH" w:eastAsia="en-US"/>
        </w:rPr>
        <w:t xml:space="preserve">حزيران/يونيه </w:t>
      </w:r>
      <w:r w:rsidRPr="00B8252B">
        <w:rPr>
          <w:rFonts w:hint="cs"/>
          <w:spacing w:val="0"/>
          <w:kern w:val="0"/>
          <w:sz w:val="20"/>
          <w:rtl/>
          <w:lang w:val="fr-CH" w:eastAsia="en-US"/>
        </w:rPr>
        <w:t>2011 بمناسبة اليوم الدولي لمساندة ضحايا التعذيب، إلى جانب لجنة مناهضة التعذيب، والمقرر الخاص المعني بمسألة التعذيب، ومجلس أمناء صندوق التبرعات لضحايا التعذيب.</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34-</w:t>
      </w:r>
      <w:r w:rsidRPr="00B8252B">
        <w:rPr>
          <w:rFonts w:hint="cs"/>
          <w:spacing w:val="0"/>
          <w:kern w:val="0"/>
          <w:sz w:val="20"/>
          <w:rtl/>
          <w:lang w:val="fr-CH" w:eastAsia="en-US"/>
        </w:rPr>
        <w:tab/>
        <w:t>وواصلت اللجنة الفرعية تعاونها مع مفوَّض الأمم المتحدة لشؤون اللاجئين، ومنظمة الصحة العالمية، ومكتب الأمم المتحدة المعني بالمخدرات والجريمة.</w:t>
      </w:r>
    </w:p>
    <w:p w:rsidR="00B8252B" w:rsidRPr="00B8252B" w:rsidRDefault="00B8252B" w:rsidP="00611878">
      <w:pPr>
        <w:pStyle w:val="H23GA"/>
        <w:rPr>
          <w:rFonts w:hint="cs"/>
          <w:kern w:val="0"/>
          <w:rtl/>
          <w:lang w:val="fr-CH"/>
        </w:rPr>
      </w:pPr>
      <w:r w:rsidRPr="00B8252B">
        <w:rPr>
          <w:rFonts w:hint="cs"/>
          <w:kern w:val="0"/>
          <w:rtl/>
          <w:lang w:val="fr-CH"/>
        </w:rPr>
        <w:tab/>
        <w:t>2-</w:t>
      </w:r>
      <w:r w:rsidRPr="00B8252B">
        <w:rPr>
          <w:rFonts w:hint="cs"/>
          <w:kern w:val="0"/>
          <w:rtl/>
          <w:lang w:val="fr-CH"/>
        </w:rPr>
        <w:tab/>
        <w:t>التعاون مع المنظمات الدولية الأخرى ذات الصلة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35-</w:t>
      </w:r>
      <w:r w:rsidRPr="00B8252B">
        <w:rPr>
          <w:rFonts w:hint="cs"/>
          <w:spacing w:val="0"/>
          <w:kern w:val="0"/>
          <w:sz w:val="20"/>
          <w:rtl/>
          <w:lang w:val="fr-CH" w:eastAsia="en-US"/>
        </w:rPr>
        <w:tab/>
        <w:t xml:space="preserve">في إطار التعاون الجاري، عقدت اللجنة الفرعية واللجنة الدولية للصليب الأحمر اجتماعاً عاماً في دورة </w:t>
      </w:r>
      <w:r w:rsidRPr="00B8252B">
        <w:rPr>
          <w:rFonts w:hint="cs"/>
          <w:spacing w:val="0"/>
          <w:kern w:val="0"/>
          <w:sz w:val="30"/>
          <w:rtl/>
          <w:lang w:val="fr-CH" w:eastAsia="en-US"/>
        </w:rPr>
        <w:t xml:space="preserve">شباط/فبراير </w:t>
      </w:r>
      <w:r w:rsidRPr="00B8252B">
        <w:rPr>
          <w:rFonts w:hint="cs"/>
          <w:spacing w:val="0"/>
          <w:kern w:val="0"/>
          <w:sz w:val="20"/>
          <w:rtl/>
          <w:lang w:val="fr-CH" w:eastAsia="en-US"/>
        </w:rPr>
        <w:t xml:space="preserve">2011، كما عقدت جلسة عمل غير رسمية، في جنيف، في </w:t>
      </w:r>
      <w:r w:rsidRPr="00B8252B">
        <w:rPr>
          <w:rFonts w:hint="cs"/>
          <w:spacing w:val="0"/>
          <w:kern w:val="0"/>
          <w:sz w:val="30"/>
          <w:rtl/>
          <w:lang w:val="fr-CH" w:eastAsia="en-US"/>
        </w:rPr>
        <w:t xml:space="preserve">حزيران/يونيه </w:t>
      </w:r>
      <w:r w:rsidRPr="00B8252B">
        <w:rPr>
          <w:rFonts w:hint="cs"/>
          <w:spacing w:val="0"/>
          <w:kern w:val="0"/>
          <w:sz w:val="20"/>
          <w:rtl/>
          <w:lang w:val="fr-CH" w:eastAsia="en-US"/>
        </w:rPr>
        <w:t>2011، بشأن ورقة السياسات التي أعدتها اللجنة الدولية للصليب الأحمر عن التعذيب وغيره من ضروب المعاملة القاسية أو اللاإنسانية أو المهينة التي يلقاها الأشخاص المحرومون من حريتهم.</w:t>
      </w:r>
    </w:p>
    <w:p w:rsidR="00B8252B" w:rsidRPr="00B8252B" w:rsidRDefault="00B8252B" w:rsidP="00611878">
      <w:pPr>
        <w:pStyle w:val="H1GA"/>
        <w:spacing w:before="120"/>
        <w:rPr>
          <w:rFonts w:hint="cs"/>
          <w:kern w:val="0"/>
          <w:rtl/>
          <w:lang w:val="fr-CH" w:eastAsia="en-US"/>
        </w:rPr>
      </w:pPr>
      <w:r w:rsidRPr="00B8252B">
        <w:rPr>
          <w:rFonts w:hint="cs"/>
          <w:kern w:val="0"/>
          <w:rtl/>
          <w:lang w:val="fr-CH" w:eastAsia="en-US"/>
        </w:rPr>
        <w:tab/>
      </w:r>
      <w:bookmarkStart w:id="10" w:name="_Toc322593349"/>
      <w:r w:rsidRPr="00B8252B">
        <w:rPr>
          <w:rFonts w:hint="cs"/>
          <w:kern w:val="0"/>
          <w:rtl/>
          <w:lang w:val="fr-CH" w:eastAsia="en-US"/>
        </w:rPr>
        <w:t>باء-</w:t>
      </w:r>
      <w:r w:rsidRPr="00B8252B">
        <w:rPr>
          <w:rFonts w:hint="cs"/>
          <w:kern w:val="0"/>
          <w:rtl/>
          <w:lang w:val="fr-CH" w:eastAsia="en-US"/>
        </w:rPr>
        <w:tab/>
        <w:t>التعاون الإقليمي</w:t>
      </w:r>
      <w:bookmarkEnd w:id="10"/>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36-</w:t>
      </w:r>
      <w:r w:rsidRPr="00B8252B">
        <w:rPr>
          <w:rFonts w:hint="cs"/>
          <w:spacing w:val="0"/>
          <w:kern w:val="0"/>
          <w:sz w:val="20"/>
          <w:rtl/>
          <w:lang w:val="fr-CH" w:eastAsia="en-US"/>
        </w:rPr>
        <w:tab/>
        <w:t xml:space="preserve">واصلت اللجنة الفرعية، من خلال المنسقين التابعين لها والمسؤولين عن الاتصال والتنسيق مع الهيئات الإقليمية، تعاونها مع الشركاء الآخرين ذوي الصلة في مجال منع التعذيب، مثل اللجنة الأفريقية لحقوق الإنسان والشعوب، ولجنة البلدان الأمريكية لحقوق الإنسان، ومجلس أوروبا، والمفوضية الأوروبية، ومكتب المؤسسات الديمقراطية وحقوق الإنسان التابع لمنظمة الأمن والتعاون في أوروبا. وفي 6 </w:t>
      </w:r>
      <w:r w:rsidRPr="00B8252B">
        <w:rPr>
          <w:rFonts w:hint="cs"/>
          <w:spacing w:val="0"/>
          <w:kern w:val="0"/>
          <w:sz w:val="30"/>
          <w:rtl/>
          <w:lang w:val="fr-CH" w:eastAsia="en-US"/>
        </w:rPr>
        <w:t xml:space="preserve">تموز/يوليه </w:t>
      </w:r>
      <w:r w:rsidRPr="00B8252B">
        <w:rPr>
          <w:rFonts w:hint="cs"/>
          <w:spacing w:val="0"/>
          <w:kern w:val="0"/>
          <w:sz w:val="20"/>
          <w:rtl/>
          <w:lang w:val="fr-CH" w:eastAsia="en-US"/>
        </w:rPr>
        <w:t>2011، اجتمع أعضاء مكتب اللجنة الفرعية مع لجنة منع التعذيب التابعة لمجلس أوروبا، وناقشوا سُبُل تعزيز التعاون بين الهيئتين.</w:t>
      </w:r>
    </w:p>
    <w:p w:rsidR="00B8252B" w:rsidRPr="00B8252B" w:rsidRDefault="00B8252B" w:rsidP="00611878">
      <w:pPr>
        <w:pStyle w:val="H1GA"/>
        <w:spacing w:before="120"/>
        <w:rPr>
          <w:rFonts w:hint="cs"/>
          <w:kern w:val="0"/>
          <w:rtl/>
          <w:lang w:val="fr-CH" w:eastAsia="en-US"/>
        </w:rPr>
      </w:pPr>
      <w:r w:rsidRPr="00B8252B">
        <w:rPr>
          <w:rFonts w:hint="cs"/>
          <w:kern w:val="0"/>
          <w:rtl/>
          <w:lang w:val="fr-CH" w:eastAsia="en-US"/>
        </w:rPr>
        <w:tab/>
      </w:r>
      <w:bookmarkStart w:id="11" w:name="_Toc322593350"/>
      <w:r w:rsidRPr="00B8252B">
        <w:rPr>
          <w:rFonts w:hint="cs"/>
          <w:kern w:val="0"/>
          <w:rtl/>
          <w:lang w:val="fr-CH" w:eastAsia="en-US"/>
        </w:rPr>
        <w:t>جيم-</w:t>
      </w:r>
      <w:r w:rsidRPr="00B8252B">
        <w:rPr>
          <w:rFonts w:hint="cs"/>
          <w:kern w:val="0"/>
          <w:rtl/>
          <w:lang w:val="fr-CH" w:eastAsia="en-US"/>
        </w:rPr>
        <w:tab/>
        <w:t>المجتمع المدني</w:t>
      </w:r>
      <w:bookmarkEnd w:id="11"/>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37-</w:t>
      </w:r>
      <w:r w:rsidRPr="00B8252B">
        <w:rPr>
          <w:rFonts w:hint="cs"/>
          <w:spacing w:val="0"/>
          <w:kern w:val="0"/>
          <w:sz w:val="20"/>
          <w:rtl/>
          <w:lang w:val="fr-CH" w:eastAsia="en-US"/>
        </w:rPr>
        <w:tab/>
        <w:t>واصلت اللجنة الفرعية الاستفادة من الدعم الأساسي المقدَّم من الجهات الفاعِلة في المجتمع المدني، ومن فريق الاتصال المعني بالبروتوكول الاختياري</w:t>
      </w:r>
      <w:r w:rsidRPr="00B8252B">
        <w:rPr>
          <w:spacing w:val="0"/>
          <w:kern w:val="0"/>
          <w:sz w:val="20"/>
          <w:vertAlign w:val="superscript"/>
          <w:rtl/>
          <w:lang w:val="fr-CH" w:eastAsia="en-US"/>
        </w:rPr>
        <w:t>(</w:t>
      </w:r>
      <w:r w:rsidRPr="00B8252B">
        <w:rPr>
          <w:b/>
          <w:spacing w:val="0"/>
          <w:kern w:val="0"/>
          <w:szCs w:val="28"/>
          <w:vertAlign w:val="superscript"/>
          <w:rtl/>
          <w:lang w:val="fr-CH" w:eastAsia="en-US"/>
        </w:rPr>
        <w:footnoteReference w:id="26"/>
      </w:r>
      <w:r w:rsidRPr="00B8252B">
        <w:rPr>
          <w:spacing w:val="0"/>
          <w:kern w:val="0"/>
          <w:sz w:val="20"/>
          <w:vertAlign w:val="superscript"/>
          <w:rtl/>
          <w:lang w:val="fr-CH" w:eastAsia="en-US"/>
        </w:rPr>
        <w:t>)</w:t>
      </w:r>
      <w:r w:rsidRPr="00B8252B">
        <w:rPr>
          <w:rFonts w:hint="cs"/>
          <w:spacing w:val="0"/>
          <w:kern w:val="0"/>
          <w:sz w:val="20"/>
          <w:rtl/>
          <w:lang w:val="fr-CH" w:eastAsia="en-US"/>
        </w:rPr>
        <w:t xml:space="preserve"> (الذي حضر دورة اللجنة الفرعية المعقودة في </w:t>
      </w:r>
      <w:r w:rsidRPr="00B8252B">
        <w:rPr>
          <w:rFonts w:hint="cs"/>
          <w:spacing w:val="0"/>
          <w:kern w:val="0"/>
          <w:sz w:val="30"/>
          <w:rtl/>
          <w:lang w:val="fr-CH" w:eastAsia="en-US"/>
        </w:rPr>
        <w:t xml:space="preserve">شباط/فبراير </w:t>
      </w:r>
      <w:r w:rsidRPr="00B8252B">
        <w:rPr>
          <w:rFonts w:hint="cs"/>
          <w:spacing w:val="0"/>
          <w:kern w:val="0"/>
          <w:sz w:val="20"/>
          <w:rtl/>
          <w:lang w:val="fr-CH" w:eastAsia="en-US"/>
        </w:rPr>
        <w:t>2011)، ومن المؤسسات الأكاديمية (ولا سيما جامعتا بريستول وبريتوريا، وجامعة ولاية أريزونا، علماً بأن هذه الأخيرة شاركت من خلال مركز الحقوق التابع لها، والشؤون العالمية بكلية ساندرا داي أو كونور للحقوق)، وذلك للترويج للبروتوكول الاختياري والتصديق عليه، ولأنشطة اللجنة الفرعية.</w:t>
      </w:r>
    </w:p>
    <w:p w:rsidR="00B8252B" w:rsidRPr="00B8252B" w:rsidRDefault="00B8252B" w:rsidP="00611878">
      <w:pPr>
        <w:pStyle w:val="HChGA"/>
        <w:jc w:val="lowKashida"/>
        <w:rPr>
          <w:rFonts w:hint="cs"/>
          <w:kern w:val="0"/>
          <w:rtl/>
          <w:lang w:val="fr-CH" w:eastAsia="en-US"/>
        </w:rPr>
      </w:pPr>
      <w:r w:rsidRPr="00B8252B">
        <w:rPr>
          <w:rFonts w:hint="cs"/>
          <w:kern w:val="0"/>
          <w:rtl/>
          <w:lang w:val="fr-CH" w:eastAsia="en-US"/>
        </w:rPr>
        <w:tab/>
      </w:r>
      <w:bookmarkStart w:id="12" w:name="_Toc322593351"/>
      <w:r w:rsidRPr="00B8252B">
        <w:rPr>
          <w:rFonts w:hint="cs"/>
          <w:kern w:val="0"/>
          <w:rtl/>
          <w:lang w:val="fr-CH" w:eastAsia="en-US"/>
        </w:rPr>
        <w:t>رابعاً-</w:t>
      </w:r>
      <w:r w:rsidRPr="00B8252B">
        <w:rPr>
          <w:rFonts w:hint="cs"/>
          <w:kern w:val="0"/>
          <w:rtl/>
          <w:lang w:val="fr-CH" w:eastAsia="en-US"/>
        </w:rPr>
        <w:tab/>
        <w:t>المسائل الجديرة بالذِكر الناشئة عن الأعمال التي اضطلعت بها اللجنة الفرعية خلال الفترة المشمولة بالاستعراض</w:t>
      </w:r>
      <w:bookmarkEnd w:id="12"/>
    </w:p>
    <w:p w:rsidR="00B8252B" w:rsidRPr="00611878" w:rsidRDefault="00B8252B" w:rsidP="00611878">
      <w:pPr>
        <w:pStyle w:val="H1GA"/>
        <w:spacing w:before="120"/>
        <w:rPr>
          <w:rFonts w:hint="cs"/>
          <w:kern w:val="0"/>
          <w:rtl/>
          <w:lang w:val="fr-CH" w:eastAsia="en-US"/>
        </w:rPr>
      </w:pPr>
      <w:r w:rsidRPr="00611878">
        <w:rPr>
          <w:rFonts w:hint="cs"/>
          <w:kern w:val="0"/>
          <w:rtl/>
          <w:lang w:val="fr-CH" w:eastAsia="en-US"/>
        </w:rPr>
        <w:tab/>
      </w:r>
      <w:bookmarkStart w:id="13" w:name="_Toc322593352"/>
      <w:r w:rsidRPr="00611878">
        <w:rPr>
          <w:rFonts w:hint="cs"/>
          <w:kern w:val="0"/>
          <w:rtl/>
          <w:lang w:val="fr-CH" w:eastAsia="en-US"/>
        </w:rPr>
        <w:t>ألف-</w:t>
      </w:r>
      <w:r w:rsidRPr="00611878">
        <w:rPr>
          <w:rFonts w:hint="cs"/>
          <w:kern w:val="0"/>
          <w:rtl/>
          <w:lang w:val="fr-CH" w:eastAsia="en-US"/>
        </w:rPr>
        <w:tab/>
        <w:t>تطوير ممارسات عمل اللجنة الفرعية</w:t>
      </w:r>
      <w:bookmarkEnd w:id="13"/>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38-</w:t>
      </w:r>
      <w:r w:rsidRPr="00B8252B">
        <w:rPr>
          <w:rFonts w:hint="cs"/>
          <w:spacing w:val="0"/>
          <w:kern w:val="0"/>
          <w:sz w:val="20"/>
          <w:rtl/>
          <w:lang w:val="fr-CH" w:eastAsia="en-US"/>
        </w:rPr>
        <w:tab/>
        <w:t>أشارت اللجنة الفرعية في تقاريرها السنوية السابقة إلى أن محدودية عضويتها ومواردها تمنعها من تطوير جميع جوانب ولايتها إلى الحد الذي ترغبه. ولذلك يسر اللجنة أن تعلن أن بمقدورها الآن، بفضل توسيع عضويتها، القيام بمجموعة أوسع من الأنشطة بعمق أكثر مما كان ممكناً قبل ذلك.</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4"/>
          <w:kern w:val="0"/>
          <w:sz w:val="20"/>
          <w:rtl/>
          <w:lang w:val="fr-CH" w:eastAsia="en-US"/>
        </w:rPr>
      </w:pPr>
      <w:r w:rsidRPr="00B8252B">
        <w:rPr>
          <w:rFonts w:hint="cs"/>
          <w:spacing w:val="0"/>
          <w:kern w:val="0"/>
          <w:sz w:val="20"/>
          <w:rtl/>
          <w:lang w:val="fr-CH" w:eastAsia="en-US"/>
        </w:rPr>
        <w:t>39-</w:t>
      </w:r>
      <w:r w:rsidRPr="00B8252B">
        <w:rPr>
          <w:rFonts w:hint="cs"/>
          <w:spacing w:val="0"/>
          <w:kern w:val="0"/>
          <w:sz w:val="20"/>
          <w:rtl/>
          <w:lang w:val="fr-CH" w:eastAsia="en-US"/>
        </w:rPr>
        <w:tab/>
        <w:t>وعلى النحو الوارد في الفرع باء من الفصل الثاني، وسعياً إلى تعزيز كفاءة اللجنة الفرعية</w:t>
      </w:r>
      <w:r w:rsidRPr="00B8252B">
        <w:rPr>
          <w:rFonts w:hint="eastAsia"/>
          <w:spacing w:val="0"/>
          <w:kern w:val="0"/>
          <w:sz w:val="20"/>
          <w:rtl/>
          <w:lang w:val="fr-CH" w:eastAsia="en-US"/>
        </w:rPr>
        <w:t> </w:t>
      </w:r>
      <w:r w:rsidRPr="00B8252B">
        <w:rPr>
          <w:rFonts w:hint="cs"/>
          <w:spacing w:val="0"/>
          <w:kern w:val="0"/>
          <w:sz w:val="20"/>
          <w:rtl/>
          <w:lang w:val="fr-CH" w:eastAsia="en-US"/>
        </w:rPr>
        <w:t xml:space="preserve">وفعاليتها، ركَّز مكتب اللجنة الفرعية عملياته الداخلية على جميع جوانب ولايته المبينة في المادة 11 من البروتوكول الاختياري. ويضطلع الآن نواب رئيس اللجنة الفرعية الأربعة، </w:t>
      </w:r>
      <w:r w:rsidRPr="00B8252B">
        <w:rPr>
          <w:rFonts w:hint="cs"/>
          <w:spacing w:val="-4"/>
          <w:kern w:val="0"/>
          <w:sz w:val="20"/>
          <w:rtl/>
          <w:lang w:val="fr-CH" w:eastAsia="en-US"/>
        </w:rPr>
        <w:t>تحت إشراف الرئيس والجلسة العامة، بالمسؤولية الأولية عن مجالات نشاط معينة على النحو التالي: السيد كوريولانو: الآليات الوقائية الوطنية، السيد حايك: الزيارات، السيدة جبور: العلاقات الخارجية، السيدة محمد: الاجتهادات القانونية. ويُؤمَل أن يساعد ذلك في تعزيز الاتصال الخارجي بتوفير محاورين رئيسيين مع تبسيط اتخاذ القرار والمساءلة على الصعيد الداخلي.</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40-</w:t>
      </w:r>
      <w:r w:rsidRPr="00B8252B">
        <w:rPr>
          <w:rFonts w:hint="cs"/>
          <w:spacing w:val="0"/>
          <w:kern w:val="0"/>
          <w:sz w:val="20"/>
          <w:rtl/>
          <w:lang w:val="fr-CH" w:eastAsia="en-US"/>
        </w:rPr>
        <w:tab/>
        <w:t>وبالإضافة إلى التغيير في أسلوب عمل المكتب، أنشأت اللجنة الفرعية فرق عمل إقليمية للتمكين من زيادة المشاركة الهادفة والمنظمة في أعمال الآليات الوقائية الوطنية. وقامت اللجنة الفرعية، لأغراض عملها الداخلي، بتقسيم الدول الأطراف إلى أربعة أقاليم واسعة، هي: أفريقيا، وأمريكا اللاتينية، وآسيا ومنطقة المحيط الهادئ، وأوروبا. ويترأس كل فريق من فرق العمل هذه منسّق إقليمي يساعده فريق معني بالآلية الوقائية الوطنية يتألف من أعضاء يتولون المسؤولية عن بلدان محددة. ويتألف كل فريق معني بالآلية الوقائية الوطنية من توليفة من أعضاء اللجنة الفرعية من داخل الإقليم، بالإضافة إلى أعضاء من أقاليم أخرى. وفي إطار إلحاق الأعضاء بهذه الأفرقة المعنية بالآليات الوقائية الوطنية، أُولي أيضاً اعتبار لنوع الجنس، والخبرة، وأيضاً للغة العمل المشتركة حيثما أمكن. وإضافةً إلى ذلك، يُعبِّر عدد الأعضاء في كل فريق عن عدد الدول في الإقليم المحدَّد، وعن واقع العضوية في اللجنة الفرعية وما هو متاح لها. وتأمل اللجنة الفرعية أن يؤدي هذا التغيير إلى جعل عملها مع الآليات الوقائية الوطنية بناءً وفعالاً بدرجة أكبر. وسوف تجتمع الأفرقة بشكل فردي في كل دورة من دورات اللجنة الفرعية، مع النظر بشكل مفصَّل في الوضع المتعلق بالآليات الوقائية الوطنية في الأقاليم التي يتبعها كل فريق، وإفادة الجلسة العامة بناءً على ذلك.</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41-</w:t>
      </w:r>
      <w:r w:rsidRPr="00B8252B">
        <w:rPr>
          <w:rFonts w:hint="cs"/>
          <w:spacing w:val="2"/>
          <w:kern w:val="0"/>
          <w:sz w:val="20"/>
          <w:rtl/>
          <w:lang w:val="fr-CH" w:eastAsia="en-US"/>
        </w:rPr>
        <w:tab/>
        <w:t>وكان يُتوقع بشكل عام أن تؤدي الزيادة في عدد أعضاء اللجنة الفرعية إلى قيامها بمزيد من الزيارات، باعتبار ذلك الأساس المنطقي المنصوص عليه في البروتوكول الاختياري لزيادة عدد أعضائها. غير أنه نظراً إلى أن القيود المالية جعلت ذلك أمراً غير ممكن خلال الفترة المشمولة بالتقرير، ونظراً إلى الحاجة إلى ضمان ممارسة جميع الأعضاء لولاية الزيارات المنوطة بها اللجنة الفرعية في أقرب وقت ممكن، فقد تقرر زيادة عدد الأعضاء المشاركين في كل زيارة في عام</w:t>
      </w:r>
      <w:r w:rsidRPr="00B8252B">
        <w:rPr>
          <w:rFonts w:hint="eastAsia"/>
          <w:spacing w:val="2"/>
          <w:kern w:val="0"/>
          <w:sz w:val="20"/>
          <w:rtl/>
          <w:lang w:val="fr-CH" w:eastAsia="en-US"/>
        </w:rPr>
        <w:t> </w:t>
      </w:r>
      <w:r w:rsidRPr="00B8252B">
        <w:rPr>
          <w:rFonts w:hint="cs"/>
          <w:spacing w:val="2"/>
          <w:kern w:val="0"/>
          <w:sz w:val="20"/>
          <w:rtl/>
          <w:lang w:val="fr-CH" w:eastAsia="en-US"/>
        </w:rPr>
        <w:t>2011. وقد ثبت عدم قيمة ذلك كوسيلة للاستفادة من أعضاء اللجنة الفرعية الموسعة، بل شكّل ذلك تحديات تنظيمية ولوجستية فعلية للجنة الفرعية، ولأمانتها، وللمفوضية السامية لحقوق الإنسان، وللدول الأطراف. وبما أن الموارد المتاحة لا تسمح على الأرجح بزيادة عدد الزيارات العادية على النحو المتصور حالياً، تسعى اللجنة الفرعية إلى تحديد طرق مبتكرة لإجراء الزيارات. وعلى ذلك، قررت اللجنة الفرعية أن تسعى إلى القيام بزيارات تركز على مختلف جوانب ولايتها الوقائية، مع الجمع بين هذه الزيارات، بحيث يمكن القيام بالزيارات العادية، وبزيارات المتابعة، وإقامة الاتصال الأولي بالدول الأطراف الجديدة، والانخراط في العمل مع الآليات الوقائية الوطنية. واعتمدت اللجنة الفرعية أيضاً منهجية تتعلق بالحوار الناشئ عن زياراتها، كما شكلت أفرقة عاملة تضطلع بالمسؤولية عن انجاز وتنسيق أنشطتها المتعلقة بالبلدان التي زارتها بالفعل. وستساعد هذه الآلية أيضاً أعضاء اللجنة الفرعية على متابعة الوضع في بلدان مختلفة. وفي إطار هذه المنهجية، قررت اللجنة الفرعية أيضاً أن</w:t>
      </w:r>
      <w:r w:rsidRPr="00B8252B">
        <w:rPr>
          <w:rFonts w:hint="eastAsia"/>
          <w:spacing w:val="2"/>
          <w:kern w:val="0"/>
          <w:sz w:val="20"/>
          <w:rtl/>
          <w:lang w:val="fr-CH" w:eastAsia="en-US"/>
        </w:rPr>
        <w:t> </w:t>
      </w:r>
      <w:r w:rsidRPr="00B8252B">
        <w:rPr>
          <w:rFonts w:hint="cs"/>
          <w:spacing w:val="2"/>
          <w:kern w:val="0"/>
          <w:sz w:val="20"/>
          <w:rtl/>
          <w:lang w:val="fr-CH" w:eastAsia="en-US"/>
        </w:rPr>
        <w:t>تنظر في توجيه دعوات لممثلي الدول الأطراف للاجتماع معها في حال انتظار رد لم يقدَّم بعد.</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42-</w:t>
      </w:r>
      <w:r w:rsidRPr="00B8252B">
        <w:rPr>
          <w:rFonts w:hint="cs"/>
          <w:spacing w:val="0"/>
          <w:kern w:val="0"/>
          <w:sz w:val="20"/>
          <w:rtl/>
          <w:lang w:val="fr-CH" w:eastAsia="en-US"/>
        </w:rPr>
        <w:tab/>
        <w:t xml:space="preserve">وفي محاولة لتطوير الاجتهادات القانونية وتقديم التوجيه، وضعت اللجنة الفرعية أسلوب عمل يتيح لها، استناداً إلى الزيارات والتقارير والمراسلات، أن تحدد المسائل التي تستدعي التوضيح. ولبلوغ هذه الغاية، انصب التركيز خلال عام 2011 على أهمية التثقيف في مجال حقوق الإنسان في منع التعذيب، وعلى الترابط بين الفساد ومنع التعذيب. ومن المسائل الأخرى التي ترغب اللجنة الفرعية في التركيز عليها في هذا الصدد، هي الصحة العقلية والاحتجاز، ومنع التعذيب في السجون من خلال تطبيق إجراءات الرقابة القضائية ومعايير الإجراءات القانونية الواجبة، والترابط بين المساعدة القانونية ونظام الدفاع العام ومنع التعذيب. وبالإضافة إلى ذلك، أطلقت المفوضية السامية لحقوق الإنسان برنامجاً إحياءً للذكرى الخامسة والعشرين لإعلان الحق في التنمية في عام 2011، وهي مناسبة رأتها اللجنة الفرعية مناسبة لتسليط الضوء على الترابط بين الحق في التنمية ومنع التعذيب.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43-</w:t>
      </w:r>
      <w:r w:rsidRPr="00B8252B">
        <w:rPr>
          <w:rFonts w:hint="cs"/>
          <w:spacing w:val="0"/>
          <w:kern w:val="0"/>
          <w:sz w:val="20"/>
          <w:rtl/>
          <w:lang w:val="fr-CH" w:eastAsia="en-US"/>
        </w:rPr>
        <w:tab/>
        <w:t xml:space="preserve">وأدت الزيادة في عدد أعضاء اللجنة الفرعية إلى إضافة دينامية جديدة للجنة الفرعية، كما مهدت الطريق أمام اللجنة لتعمل بطرق لم تكن ممكنة في الواقع العملي من قبل. وبينما تأمل اللجنة الفرعية في مواصلة التقدم والاضطلاع بولايتها بصورة أقوى، فإنها تود أن تشير إلى أن القيود الزمنية واللوجستية والمالية تشكل أكبر تحدٍ أمام رسم طرق مبتكرة تتيح للجنة الفرعية الاستفادة من جميع أعضائها بأفضل صورة ممكنة من أجل أداء ولايتها.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44-</w:t>
      </w:r>
      <w:r w:rsidRPr="00B8252B">
        <w:rPr>
          <w:rFonts w:hint="cs"/>
          <w:spacing w:val="0"/>
          <w:kern w:val="0"/>
          <w:sz w:val="20"/>
          <w:rtl/>
          <w:lang w:val="fr-CH" w:eastAsia="en-US"/>
        </w:rPr>
        <w:tab/>
        <w:t xml:space="preserve">ويتبين من المستويات الحالية للموارد أن الدول الأطراف في البروتوكول الاختياري، البالغ عددها حالياً 61 دولة، قد لا تستقبل زيارة كاملة إلا مرة واحدة كل 20 سنة. ويثير ذلك قلقاً بالغاً للجنة الفرعية، إذ إن القيام بالزيارات إلى الدول الأطراف واحد من أبرز وأجدى السبل التي تمكّن اللجنة من النهوض بولايتها الوقائية. وتشير هذه التحديات أيضاً إلى أن اللجنة الفرعية لا يمكنها الانخراط في العمل، بأكثر الطرق فعالية، مع الآليات الوقائية الوطنية التي تشكل الشركاء الأساسيين في منع التعذيب.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45-</w:t>
      </w:r>
      <w:r w:rsidRPr="00B8252B">
        <w:rPr>
          <w:rFonts w:hint="cs"/>
          <w:spacing w:val="0"/>
          <w:kern w:val="0"/>
          <w:sz w:val="20"/>
          <w:rtl/>
          <w:lang w:val="fr-CH" w:eastAsia="en-US"/>
        </w:rPr>
        <w:tab/>
        <w:t>وتود اللجنة الفرعية أيضاً أن تشدد على أن القيود المالية تعني أن أمانة اللجنة الفرعية، التي لها تأثير مباشر على نوعية العمل الذي تؤديه اللجنة الفرعية، تعاني في الوقت الحاضر من نقص شديد في عدد موظفيها. فالتوسع الكبير في حجم اللجنة الفرعية وفي عبء العمل الذي تؤديه لم يواكبه توسع مماثل في الأمانة التي لم يتسع حجمها إلا بشكل طفيف. ويعني ذلك أن قاعدة الدعم الذي تقدمه الأمانة للجنة الفرعية أقل مما كانت عليه في الماضي وستظل كذلك، رغم الاتجاه الابتكاري للجنة الفرعية في رسم طرق جديدة لتعزيز كفاءة أدائها. ولذلك، تشجع اللجنة الفرعية الدول الأطراف على النظر في دعم الأمانة عن طريق إعارتها موظفين على النحو الذي قام به بعض الدول الأطراف في الماضي.</w:t>
      </w:r>
    </w:p>
    <w:p w:rsidR="00B8252B" w:rsidRPr="00B8252B" w:rsidRDefault="00B8252B" w:rsidP="00611878">
      <w:pPr>
        <w:pStyle w:val="H1GA"/>
        <w:spacing w:before="120"/>
        <w:rPr>
          <w:rFonts w:hint="cs"/>
          <w:kern w:val="0"/>
          <w:rtl/>
          <w:lang w:val="fr-CH" w:eastAsia="en-US"/>
        </w:rPr>
      </w:pPr>
      <w:r w:rsidRPr="00B8252B">
        <w:rPr>
          <w:rFonts w:hint="cs"/>
          <w:kern w:val="0"/>
          <w:rtl/>
          <w:lang w:val="fr-CH" w:eastAsia="en-US"/>
        </w:rPr>
        <w:tab/>
      </w:r>
      <w:bookmarkStart w:id="14" w:name="_Toc322593353"/>
      <w:r w:rsidRPr="00B8252B">
        <w:rPr>
          <w:rFonts w:hint="cs"/>
          <w:kern w:val="0"/>
          <w:rtl/>
          <w:lang w:val="fr-CH" w:eastAsia="en-US"/>
        </w:rPr>
        <w:t>باء-</w:t>
      </w:r>
      <w:r w:rsidRPr="00B8252B">
        <w:rPr>
          <w:rFonts w:hint="cs"/>
          <w:kern w:val="0"/>
          <w:rtl/>
          <w:lang w:val="fr-CH" w:eastAsia="en-US"/>
        </w:rPr>
        <w:tab/>
        <w:t>إنشاء أفرقة عاملة</w:t>
      </w:r>
      <w:bookmarkEnd w:id="14"/>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46-</w:t>
      </w:r>
      <w:r w:rsidRPr="00B8252B">
        <w:rPr>
          <w:rFonts w:hint="cs"/>
          <w:spacing w:val="0"/>
          <w:kern w:val="0"/>
          <w:sz w:val="20"/>
          <w:rtl/>
          <w:lang w:val="fr-CH" w:eastAsia="en-US"/>
        </w:rPr>
        <w:tab/>
        <w:t xml:space="preserve">في عام 2011 قررت اللجنة الفرعية ضرورة إنشاء فريق عامل معني بالمسائل الأمنية، تحت إشراف نائب الرئيس المعني بالزيارات، السيد حايك. وقد صدر هذا القرار بهدف التصدي للمسائل الناشئة عن الخبرة الميدانية فيما يتعلق بترتيبات الأمن، بما في ذلك دور ضباط الأمن، واستند إلى الحاجة المسلّم بها إلى تعزيز التعاون والتنسيق مع ضباط أمن الأمم المتحدة، بغية تشجيع فرض ضوابط من جانب أعضاء اللجنة الفرعية وزيادة الوعي بالحاجة إلى نهج خاص بكل موقع وثقافة فيما يتعلق بقواعد الزي الرسمي. </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3"/>
          <w:kern w:val="0"/>
          <w:sz w:val="20"/>
          <w:rtl/>
          <w:lang w:val="fr-CH" w:eastAsia="en-US"/>
        </w:rPr>
      </w:pPr>
      <w:r w:rsidRPr="00B8252B">
        <w:rPr>
          <w:rFonts w:hint="cs"/>
          <w:spacing w:val="-3"/>
          <w:kern w:val="0"/>
          <w:sz w:val="20"/>
          <w:rtl/>
          <w:lang w:val="fr-CH" w:eastAsia="en-US"/>
        </w:rPr>
        <w:t>47-</w:t>
      </w:r>
      <w:r w:rsidRPr="00B8252B">
        <w:rPr>
          <w:rFonts w:hint="cs"/>
          <w:spacing w:val="-3"/>
          <w:kern w:val="0"/>
          <w:sz w:val="20"/>
          <w:rtl/>
          <w:lang w:val="fr-CH" w:eastAsia="en-US"/>
        </w:rPr>
        <w:tab/>
        <w:t>وبالمثل، أخذاً في الاعتبار ضرورة وضع معايير متخصصة للرعاية الصحية في أماكن الاحتجاز، قررت اللجنة الفرعية إنشاء فريق عام معني بالمسائل الطبية، يتألف أساساً من أعضائها</w:t>
      </w:r>
      <w:r w:rsidRPr="00B8252B">
        <w:rPr>
          <w:rFonts w:hint="eastAsia"/>
          <w:spacing w:val="-3"/>
          <w:kern w:val="0"/>
          <w:sz w:val="20"/>
          <w:rtl/>
          <w:lang w:val="fr-CH" w:eastAsia="en-US"/>
        </w:rPr>
        <w:t> </w:t>
      </w:r>
      <w:r w:rsidRPr="00B8252B">
        <w:rPr>
          <w:rFonts w:hint="cs"/>
          <w:spacing w:val="-3"/>
          <w:kern w:val="0"/>
          <w:sz w:val="20"/>
          <w:rtl/>
          <w:lang w:val="fr-CH" w:eastAsia="en-US"/>
        </w:rPr>
        <w:t>ذوي الخلفية الطبية على أن يتسع بعد ذلك ليشمل أعضاءً ذوي خلفيات مهنية أخرى. وقررت اللجنة الفرعية أيضاً أن تسند إلى الفريق العامل مهمة تنظيم نقاش في الجلسة العامة بشأن</w:t>
      </w:r>
      <w:r w:rsidRPr="00B8252B">
        <w:rPr>
          <w:rFonts w:hint="eastAsia"/>
          <w:spacing w:val="-3"/>
          <w:kern w:val="0"/>
          <w:sz w:val="20"/>
          <w:rtl/>
          <w:lang w:val="fr-CH" w:eastAsia="en-US"/>
        </w:rPr>
        <w:t> </w:t>
      </w:r>
      <w:r w:rsidRPr="00B8252B">
        <w:rPr>
          <w:rFonts w:hint="cs"/>
          <w:spacing w:val="-3"/>
          <w:kern w:val="0"/>
          <w:sz w:val="20"/>
          <w:rtl/>
          <w:lang w:val="fr-CH" w:eastAsia="en-US"/>
        </w:rPr>
        <w:t>المسائل المتعلقة بزيارة المرضى النفسيين والأشخاص ذوي الإعاقة خلال عام 2012.</w:t>
      </w:r>
    </w:p>
    <w:p w:rsidR="00B8252B" w:rsidRPr="00B8252B" w:rsidRDefault="00B8252B" w:rsidP="00611878">
      <w:pPr>
        <w:pStyle w:val="H1GA"/>
        <w:rPr>
          <w:rFonts w:hint="cs"/>
          <w:kern w:val="0"/>
          <w:rtl/>
          <w:lang w:val="fr-CH" w:eastAsia="en-US"/>
        </w:rPr>
      </w:pPr>
      <w:r w:rsidRPr="00B8252B">
        <w:rPr>
          <w:rFonts w:hint="cs"/>
          <w:kern w:val="0"/>
          <w:rtl/>
          <w:lang w:val="fr-CH" w:eastAsia="en-US"/>
        </w:rPr>
        <w:tab/>
      </w:r>
      <w:bookmarkStart w:id="15" w:name="_Toc322593354"/>
      <w:r w:rsidRPr="00B8252B">
        <w:rPr>
          <w:rFonts w:hint="cs"/>
          <w:kern w:val="0"/>
          <w:rtl/>
          <w:lang w:val="fr-CH" w:eastAsia="en-US"/>
        </w:rPr>
        <w:t>جيم-</w:t>
      </w:r>
      <w:r w:rsidRPr="00B8252B">
        <w:rPr>
          <w:rFonts w:hint="cs"/>
          <w:kern w:val="0"/>
          <w:rtl/>
          <w:lang w:val="fr-CH" w:eastAsia="en-US"/>
        </w:rPr>
        <w:tab/>
        <w:t>المسائل الناشئة عن الزيارات</w:t>
      </w:r>
      <w:bookmarkEnd w:id="15"/>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48-</w:t>
      </w:r>
      <w:r w:rsidRPr="00B8252B">
        <w:rPr>
          <w:rFonts w:hint="cs"/>
          <w:spacing w:val="0"/>
          <w:kern w:val="0"/>
          <w:sz w:val="20"/>
          <w:rtl/>
          <w:lang w:val="fr-CH" w:eastAsia="en-US"/>
        </w:rPr>
        <w:tab/>
        <w:t>حددت اللجنة الفرعية خلال السنة المشمولة بالاستعراض، في إطار زياراتها، عدداً من المسائل التي ترغب في تسليط الضوء عليها والتفكير فيها. وللمساعدة في النظر في هذه المسائل، أعدت اللجنة الفرعية عدداً من الوثائق التي يرد فيما يلي موجز لها ويمكن الاطلاع على نصوصها الكاملة بواسطة الرابط الشبكي المدرج. وترحب اللجنة الفرعية بإسهامات من يمكنهم مساعدتها في ما تعكف عليه من إعادة التفكير باستمرار في هذه المواضيع.</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49-</w:t>
      </w:r>
      <w:r w:rsidRPr="00B8252B">
        <w:rPr>
          <w:rFonts w:hint="cs"/>
          <w:spacing w:val="0"/>
          <w:kern w:val="0"/>
          <w:sz w:val="20"/>
          <w:rtl/>
          <w:lang w:val="fr-CH" w:eastAsia="en-US"/>
        </w:rPr>
        <w:tab/>
        <w:t>واعترافاً من اللجنة الفرعية بأن زياراتها ركزت على أماكن الاحتجاز التقليدية، ومع</w:t>
      </w:r>
      <w:r w:rsidRPr="00B8252B">
        <w:rPr>
          <w:rFonts w:hint="eastAsia"/>
          <w:spacing w:val="0"/>
          <w:kern w:val="0"/>
          <w:sz w:val="20"/>
          <w:rtl/>
          <w:lang w:val="fr-CH" w:eastAsia="en-US"/>
        </w:rPr>
        <w:t> </w:t>
      </w:r>
      <w:r w:rsidRPr="00B8252B">
        <w:rPr>
          <w:rFonts w:hint="cs"/>
          <w:spacing w:val="0"/>
          <w:kern w:val="0"/>
          <w:sz w:val="20"/>
          <w:rtl/>
          <w:lang w:val="fr-CH" w:eastAsia="en-US"/>
        </w:rPr>
        <w:t>توسيع حجم اللجنة الفرعية وما نجم عنه من اتساع نطاق الخبرة المتاحة لها الآن، سعت</w:t>
      </w:r>
      <w:r w:rsidRPr="00B8252B">
        <w:rPr>
          <w:rFonts w:hint="eastAsia"/>
          <w:spacing w:val="0"/>
          <w:kern w:val="0"/>
          <w:sz w:val="20"/>
          <w:rtl/>
          <w:lang w:val="fr-CH" w:eastAsia="en-US"/>
        </w:rPr>
        <w:t> </w:t>
      </w:r>
      <w:r w:rsidRPr="00B8252B">
        <w:rPr>
          <w:rFonts w:hint="cs"/>
          <w:spacing w:val="0"/>
          <w:kern w:val="0"/>
          <w:sz w:val="20"/>
          <w:rtl/>
          <w:lang w:val="fr-CH" w:eastAsia="en-US"/>
        </w:rPr>
        <w:t>اللجنة الفرعية إلى زيادة أنشطتها المتعلقة بزيارة أماكن الاحتجاز غير التقليدية خلال عام 2011، بما في ذلك زيارة المرافق المخصصة للمهاجرين ومراكز إعادة التأهيل الطبي. وعملاً بولايتها، تأمل اللجنة في مواصلة هذا الاتجاه في عام 2012.</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50-</w:t>
      </w:r>
      <w:r w:rsidRPr="00B8252B">
        <w:rPr>
          <w:rFonts w:hint="cs"/>
          <w:spacing w:val="0"/>
          <w:kern w:val="0"/>
          <w:sz w:val="20"/>
          <w:rtl/>
          <w:lang w:val="fr-CH" w:eastAsia="en-US"/>
        </w:rPr>
        <w:tab/>
        <w:t>وقد كشفت زيادة عدد أعضاء اللجنة الفرعية، وما نجم عن ذلك من زيادة حجم الوفود القائمة بالزيارات، عن عدد من الصعوبات اللوجستية فيما يتعلق بتخطيط الزيارات والقيام بها. وثمة شاغل أيضاً يتعلق بعدم قضاء الوفود وقتاً كافياً في بعض المرافق. وفي سياق صياغة اللجنة الفرعية لطرق تمكّنها من معالجة هذا الأمر، ينبغي أن يؤخذ في الاعتبار وجود بعض القيود (المتعلقة مثلاً باستخدام المترجمين الشفويين ووسائل المواصلات)، مما يجعل من الصعوبة بمكان الموازنة بين هذه المسائل. ومع ذلك، فكثرة أعضاء الوفود تعني أنه يمكن تقسيم الأفرقة وتغطية عدد من أماكن الاحتجاز أكبر مما كان يتسنى تغطيته في الماضي.</w:t>
      </w:r>
    </w:p>
    <w:p w:rsidR="00B8252B" w:rsidRPr="00B8252B" w:rsidRDefault="00B8252B" w:rsidP="00611878">
      <w:pPr>
        <w:pStyle w:val="H23GA"/>
        <w:rPr>
          <w:rFonts w:hint="cs"/>
          <w:kern w:val="0"/>
          <w:rtl/>
          <w:lang w:val="fr-CH"/>
        </w:rPr>
      </w:pPr>
      <w:r w:rsidRPr="00B8252B">
        <w:rPr>
          <w:rFonts w:hint="cs"/>
          <w:kern w:val="0"/>
          <w:rtl/>
          <w:lang w:val="fr-CH"/>
        </w:rPr>
        <w:tab/>
        <w:t>1-</w:t>
      </w:r>
      <w:r w:rsidRPr="00B8252B">
        <w:rPr>
          <w:rFonts w:hint="cs"/>
          <w:kern w:val="0"/>
          <w:rtl/>
          <w:lang w:val="fr-CH"/>
        </w:rPr>
        <w:tab/>
        <w:t>الصحة النفسية والاحتجاز</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51-</w:t>
      </w:r>
      <w:r w:rsidRPr="00B8252B">
        <w:rPr>
          <w:rFonts w:hint="cs"/>
          <w:spacing w:val="0"/>
          <w:kern w:val="0"/>
          <w:sz w:val="20"/>
          <w:rtl/>
          <w:lang w:val="fr-CH" w:eastAsia="en-US"/>
        </w:rPr>
        <w:tab/>
        <w:t>عادة ما يشغل الأشخاص الذين يعانون من مشاكل صحية عقلية وإعاقات ذهنية، في العديد من البلدان، أدنى مستويات السلم الاجتماعي. ويعاني هؤلاء من تفشي التمييز والتحيز ضدهم ومن الحرمان من حقوق الإنسان الأساسية ومن انتهاك كرامتهم. وتمثل</w:t>
      </w:r>
      <w:r w:rsidRPr="00B8252B">
        <w:rPr>
          <w:rFonts w:hint="eastAsia"/>
          <w:spacing w:val="0"/>
          <w:kern w:val="0"/>
          <w:sz w:val="20"/>
          <w:rtl/>
          <w:lang w:val="fr-CH" w:eastAsia="en-US"/>
        </w:rPr>
        <w:t> </w:t>
      </w:r>
      <w:r w:rsidRPr="00B8252B">
        <w:rPr>
          <w:rFonts w:hint="cs"/>
          <w:spacing w:val="0"/>
          <w:kern w:val="0"/>
          <w:sz w:val="20"/>
          <w:rtl/>
          <w:lang w:val="fr-CH" w:eastAsia="en-US"/>
        </w:rPr>
        <w:t>اتفاقية حقوق الأشخاص ذوي الإعاقة، التي اعتمدتها الأمم المتحدة في عام 2006 تحولاً مفاهيمياً في المواقف المتخذة إزاء الأشخاص ذوي الإعاقة، حيث لم يعد ينظر إليهم باعتبارهم أشخاصاً يثيرون الشفقة وبحاجة إلى العلاج والحماية والعطف، وإنما باعتبارهم أشخاصاً يستحقون جميع حقوق الإنسان على قدم المساواة مع غيرهم. وسوف تركز أنشطة اللجنة الفرعية بصورة متزايدة في المستقبل على رصد مؤسسات الصحة العقلية.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1"/>
          <w:kern w:val="0"/>
          <w:sz w:val="20"/>
          <w:rtl/>
          <w:lang w:val="fr-CH" w:eastAsia="en-US"/>
        </w:rPr>
      </w:pPr>
      <w:r w:rsidRPr="00B8252B">
        <w:rPr>
          <w:rFonts w:hint="cs"/>
          <w:spacing w:val="1"/>
          <w:kern w:val="0"/>
          <w:sz w:val="20"/>
          <w:rtl/>
          <w:lang w:val="fr-CH" w:eastAsia="en-US"/>
        </w:rPr>
        <w:t>52-</w:t>
      </w:r>
      <w:r w:rsidRPr="00B8252B">
        <w:rPr>
          <w:rFonts w:hint="cs"/>
          <w:spacing w:val="1"/>
          <w:kern w:val="0"/>
          <w:sz w:val="20"/>
          <w:rtl/>
          <w:lang w:val="fr-CH" w:eastAsia="en-US"/>
        </w:rPr>
        <w:tab/>
        <w:t>ولهذا الغرض وضعت اللجنة الفرعية مبادئ توجيهية وقائمة بالمسائل الرئيسية الجديرة بالبحث، مثل الأحوال المعيشية للمرضى، والرعاية الصحية العامة المقدمة للمصابين بأمراض عقلية، ونطاق العلاج النفسي، وسبل تقييد حركة المرضى المهتاجين و/أو المتسمين بالعنف، والضمانات القانونية والأخلاقية في سياق الإدخال القسري في المستشفيات النفسية، وحفظ السجلات، وسرية المعلومات الطبية والموافقة المستنيرة، وتوافر العاملين المؤهلين مثل الأطباء النفسيين، والممرضات النفسيات وأخصائيي العلاج المهني، وإمكانيات تدريب العاملين، ومشاركة المرضى في البحوث، والتعقيم والإجهاض دون موافقة. واقتُرحت طرق للملاحظة ولمقابلة المرضى والعاملين، أعقبتها قائمة مفصلة بالأسئلة التي ينبغي توجيهها أثناء الزيارة. وينبغي إيلاء اهتمام خاص لطرق العلاج البالية، مثل الإفراط في العلاج بالصدمات الكهربائية والإفراط في جرعات العقاقير النفسية، والعزل والتقييد البدني، وهي الطرق التي تستخدم أحياناً (بذريعة العلاج) كعقوبة أو توصف نتيجة عدم وجود سبل علاجية حديثة مثل العلاج النفسي، وخدمات الطب النفسي الاجتماعي في المجتمع، وبرامج إعادة التأهيل الاجتماعي.</w:t>
      </w:r>
    </w:p>
    <w:p w:rsidR="00B8252B" w:rsidRPr="00B8252B" w:rsidRDefault="00B8252B" w:rsidP="00611878">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53-</w:t>
      </w:r>
      <w:r w:rsidRPr="00B8252B">
        <w:rPr>
          <w:rFonts w:hint="cs"/>
          <w:spacing w:val="2"/>
          <w:kern w:val="0"/>
          <w:sz w:val="20"/>
          <w:rtl/>
          <w:lang w:val="fr-CH" w:eastAsia="en-US"/>
        </w:rPr>
        <w:tab/>
        <w:t>ويتمثل الغرض الرئيسي من الرصد في منع التمييز والحرمان من حقوق الإنسان والإهمال وسوء المعاملة. ويشمل هذا النشاط رصد سياسة الصحة العقلية التي ينتهجها البلد، وتخصيص الأموال، أي ما إذا كان هناك تحول من أيديولوجية العزل البالية ووضع المرضى في مؤسسات ضخمة إلى تقديم قدر أكبر من الخدمات المجتمعية. وينبغي أيضاً التركيز على رفع مستوى الوعي العام في المجتمع بحقوق واحتياجات الأشخاص ذوي مشاكل الصحة العقلية، بغية التغلب على القوالب النمطية ومشاعر الخوف والتحيز فيما</w:t>
      </w:r>
      <w:r w:rsidR="00611878">
        <w:rPr>
          <w:rFonts w:hint="eastAsia"/>
          <w:spacing w:val="2"/>
          <w:kern w:val="0"/>
          <w:sz w:val="20"/>
          <w:rtl/>
          <w:lang w:val="fr-CH" w:eastAsia="en-US"/>
        </w:rPr>
        <w:t> </w:t>
      </w:r>
      <w:r w:rsidRPr="00B8252B">
        <w:rPr>
          <w:rFonts w:hint="cs"/>
          <w:spacing w:val="2"/>
          <w:kern w:val="0"/>
          <w:sz w:val="20"/>
          <w:rtl/>
          <w:lang w:val="fr-CH" w:eastAsia="en-US"/>
        </w:rPr>
        <w:t xml:space="preserve">يتعلق بالإعاقة العقلية. </w:t>
      </w:r>
    </w:p>
    <w:p w:rsidR="00B8252B" w:rsidRPr="00B8252B" w:rsidRDefault="007D1954" w:rsidP="007D1954">
      <w:pPr>
        <w:pStyle w:val="H23GA"/>
        <w:jc w:val="lowKashida"/>
        <w:rPr>
          <w:rFonts w:hint="cs"/>
          <w:kern w:val="0"/>
          <w:rtl/>
          <w:lang w:val="fr-CH"/>
        </w:rPr>
      </w:pPr>
      <w:r>
        <w:rPr>
          <w:kern w:val="0"/>
          <w:rtl/>
          <w:lang w:val="fr-CH"/>
        </w:rPr>
        <w:br w:type="page"/>
      </w:r>
      <w:r w:rsidR="00B8252B" w:rsidRPr="00B8252B">
        <w:rPr>
          <w:rFonts w:hint="cs"/>
          <w:kern w:val="0"/>
          <w:rtl/>
          <w:lang w:val="fr-CH"/>
        </w:rPr>
        <w:tab/>
      </w:r>
      <w:r w:rsidR="00B8252B" w:rsidRPr="00B8252B">
        <w:rPr>
          <w:rFonts w:hint="cs"/>
          <w:kern w:val="0"/>
          <w:rtl/>
          <w:lang w:val="fr-CH"/>
        </w:rPr>
        <w:tab/>
        <w:t>منع التعذيب في السجون بتطبيق الرقابة على الإجراءات القضائية ومعايير الإجراءات القانونية الواجبة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54-</w:t>
      </w:r>
      <w:r w:rsidRPr="00B8252B">
        <w:rPr>
          <w:rFonts w:hint="cs"/>
          <w:spacing w:val="0"/>
          <w:kern w:val="0"/>
          <w:sz w:val="20"/>
          <w:rtl/>
          <w:lang w:val="fr-CH" w:eastAsia="en-US"/>
        </w:rPr>
        <w:tab/>
        <w:t>يزداد احتمال التعرض للتعذيب وسوء المعاملة في أماكن الاحتجاز، وفي سجون البالغين والأحداث تحديداً، بسبب الاعتقاد الخاطئ بأن الإجراءات القانونية الواجبة تنتهي في لحظة صدور الحكم على الشخص وأنها لا تشمل الجوانب المتعلقة بأحوال السجن ونظامه بعد هذه اللحظة. ونظراً إلى أن حدوث التعذيب يرتبط ارتباطاً وثيقاً بالإطار القانوني الذي ينظم أماكن الاحتجاز، بالإضافة إلى الاستجابة للشكاوى ورصد أماكن الاحتجاز، فمن المهم أن تتخذ الدول إجراءات قضائية مناسبة وشاملة للإشراف على إدارة السجون ومراقبتها فيما يتعلق بالنزلاء المدانين أو المحتجزين احتجازاً احتياطياً.</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55-</w:t>
      </w:r>
      <w:r w:rsidRPr="00B8252B">
        <w:rPr>
          <w:rFonts w:hint="cs"/>
          <w:spacing w:val="0"/>
          <w:kern w:val="0"/>
          <w:sz w:val="20"/>
          <w:rtl/>
          <w:lang w:val="fr-CH" w:eastAsia="en-US"/>
        </w:rPr>
        <w:tab/>
        <w:t>وفي حالة السجون بشكل محدد، تكون هناك عوامل ثقافية مختلفة، مثل فكرة أن نزلاء السجون يشكلون "مجتمعاً خارجياً" أو "خَطراً"، إلى جانب ردود فعل وسائط الإعلام إزاء انعدام الأمن العام، تسهم في إهمال أو استضعاف الأشخاص الذين يقضون عقوبة السجن أو المحبوسين احتياطياً.</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56-</w:t>
      </w:r>
      <w:r w:rsidRPr="00B8252B">
        <w:rPr>
          <w:rFonts w:hint="cs"/>
          <w:spacing w:val="0"/>
          <w:kern w:val="0"/>
          <w:sz w:val="20"/>
          <w:rtl/>
          <w:lang w:val="fr-CH" w:eastAsia="en-US"/>
        </w:rPr>
        <w:tab/>
        <w:t>ومن منظور قانوني، تنعكس أوجه القصور في تقديم الحماية المناسبة للسجناء في عدم التحديد الواضح للحقوق الأساسية التي ينبغي للسجناء التمتع بها، كقاعدة عامة، حتى في فترة سجنهم. ويجب أن يكون واضحاً، اعتباراً من بداية الاحتجاز، أن بعض حقوق المحتجزين، فقط، هي التي تُعلق أو تُقيد. وبالإضافة إلى ذلك، يجب تحديد وضمان الحقوق التي يتعين على سلطات السجون تقديمها.</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57-</w:t>
      </w:r>
      <w:r w:rsidRPr="00B8252B">
        <w:rPr>
          <w:rFonts w:hint="cs"/>
          <w:spacing w:val="0"/>
          <w:kern w:val="0"/>
          <w:sz w:val="20"/>
          <w:rtl/>
          <w:lang w:val="fr-CH" w:eastAsia="en-US"/>
        </w:rPr>
        <w:tab/>
        <w:t>ويؤدي غياب الإطار القانوني - سواء التنظيمي أو الإجرائي - إلى تيسير وزيادة إمكانية الإفلات من العقاب، وإلى حدوث مزيد من انتهاكات حقوق الإنسان، وإلى تلاشي الضمانات اللازمة لإعمال حقوق السجناء. وتشمل هذه الضمانات وجود هيئات إجرائية واتخاذ تدابير. وهناك قول شائع بأن "القوانين جيدة ولكن العيب في عدم تطبيقها". غير أن المشكلة ليست عملية فحسب وإنما تتعلق أيضاً بأوجه قصور في المعايير التي ينبغي أن تكفل وجود الهيئات الإجرائية وسبل الانتصاف اللازمة لإعمال حقوق المحتجزين. والواقع أن المحتجزين لهم "حقوق بلا ضمانات".</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58-</w:t>
      </w:r>
      <w:r w:rsidRPr="00B8252B">
        <w:rPr>
          <w:rFonts w:hint="cs"/>
          <w:spacing w:val="0"/>
          <w:kern w:val="0"/>
          <w:sz w:val="20"/>
          <w:rtl/>
          <w:lang w:val="fr-CH" w:eastAsia="en-US"/>
        </w:rPr>
        <w:tab/>
        <w:t>وتود اللجنة الفرع</w:t>
      </w:r>
      <w:r w:rsidRPr="00B8252B">
        <w:rPr>
          <w:rFonts w:hint="cs"/>
          <w:spacing w:val="0"/>
          <w:kern w:val="0"/>
          <w:sz w:val="20"/>
          <w:rtl/>
          <w:lang w:eastAsia="en-US"/>
        </w:rPr>
        <w:t>ي</w:t>
      </w:r>
      <w:r w:rsidRPr="00B8252B">
        <w:rPr>
          <w:rFonts w:hint="cs"/>
          <w:spacing w:val="0"/>
          <w:kern w:val="0"/>
          <w:sz w:val="20"/>
          <w:rtl/>
          <w:lang w:val="fr-CH" w:eastAsia="en-US"/>
        </w:rPr>
        <w:t>ة أن تشير إلى اعتزامها تناول مسألة الإجراءات القانونية الواجبة وإجراءات الإشراف القضائي في أماكن الاحتجاز التي لا تدخل في إطار نظام العدالة الجنائية، مثل أماكن احتجاز المصابين بأمراض عقلية وغيرهم.</w:t>
      </w:r>
    </w:p>
    <w:p w:rsidR="00B8252B" w:rsidRPr="00B8252B" w:rsidRDefault="007D1954" w:rsidP="007D1954">
      <w:pPr>
        <w:pStyle w:val="H23GA"/>
        <w:rPr>
          <w:rFonts w:hint="cs"/>
          <w:kern w:val="0"/>
          <w:rtl/>
          <w:lang w:val="fr-CH"/>
        </w:rPr>
      </w:pPr>
      <w:r>
        <w:rPr>
          <w:kern w:val="0"/>
          <w:rtl/>
          <w:lang w:val="fr-CH"/>
        </w:rPr>
        <w:br w:type="page"/>
      </w:r>
      <w:r w:rsidR="00B8252B" w:rsidRPr="00B8252B">
        <w:rPr>
          <w:rFonts w:hint="cs"/>
          <w:kern w:val="0"/>
          <w:rtl/>
          <w:lang w:val="fr-CH"/>
        </w:rPr>
        <w:tab/>
        <w:t>3-</w:t>
      </w:r>
      <w:r w:rsidR="00B8252B" w:rsidRPr="00B8252B">
        <w:rPr>
          <w:rFonts w:hint="cs"/>
          <w:kern w:val="0"/>
          <w:rtl/>
          <w:lang w:val="fr-CH"/>
        </w:rPr>
        <w:tab/>
        <w:t>الحق في التنمية ومنع التعذيب</w:t>
      </w:r>
    </w:p>
    <w:p w:rsidR="00B8252B" w:rsidRPr="00B8252B" w:rsidRDefault="00B8252B" w:rsidP="007D1954">
      <w:pPr>
        <w:tabs>
          <w:tab w:val="left" w:pos="1928"/>
          <w:tab w:val="left" w:pos="2608"/>
          <w:tab w:val="left" w:pos="3289"/>
          <w:tab w:val="left" w:pos="3969"/>
          <w:tab w:val="left" w:pos="4649"/>
          <w:tab w:val="left" w:pos="5330"/>
        </w:tabs>
        <w:spacing w:after="10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59-</w:t>
      </w:r>
      <w:r w:rsidRPr="00B8252B">
        <w:rPr>
          <w:rFonts w:hint="cs"/>
          <w:spacing w:val="0"/>
          <w:kern w:val="0"/>
          <w:sz w:val="20"/>
          <w:rtl/>
          <w:lang w:val="fr-CH" w:eastAsia="en-US"/>
        </w:rPr>
        <w:tab/>
        <w:t>ينص إعلان الأمم المتحدة بشأن الحق في التنمية، الذي اعتمدته الجمعية العامة منذ</w:t>
      </w:r>
      <w:r w:rsidRPr="00B8252B">
        <w:rPr>
          <w:rFonts w:hint="eastAsia"/>
          <w:spacing w:val="0"/>
          <w:kern w:val="0"/>
          <w:sz w:val="20"/>
          <w:rtl/>
          <w:lang w:val="fr-CH" w:eastAsia="en-US"/>
        </w:rPr>
        <w:t> </w:t>
      </w:r>
      <w:r w:rsidRPr="00B8252B">
        <w:rPr>
          <w:rFonts w:hint="cs"/>
          <w:spacing w:val="0"/>
          <w:kern w:val="0"/>
          <w:sz w:val="20"/>
          <w:rtl/>
          <w:lang w:val="fr-CH" w:eastAsia="en-US"/>
        </w:rPr>
        <w:t>25 عاماً في 4 كانون الأول/ديسمبر 1986، على أن الحق في التنمية</w:t>
      </w:r>
      <w:r w:rsidRPr="00B8252B">
        <w:rPr>
          <w:spacing w:val="0"/>
          <w:kern w:val="0"/>
          <w:sz w:val="20"/>
          <w:vertAlign w:val="superscript"/>
          <w:rtl/>
          <w:lang w:val="fr-CH" w:eastAsia="en-US"/>
        </w:rPr>
        <w:t>(</w:t>
      </w:r>
      <w:r w:rsidRPr="00B8252B">
        <w:rPr>
          <w:b/>
          <w:spacing w:val="0"/>
          <w:kern w:val="0"/>
          <w:szCs w:val="28"/>
          <w:vertAlign w:val="superscript"/>
          <w:rtl/>
          <w:lang w:val="fr-CH" w:eastAsia="en-US"/>
        </w:rPr>
        <w:footnoteReference w:id="27"/>
      </w:r>
      <w:r w:rsidRPr="00B8252B">
        <w:rPr>
          <w:spacing w:val="0"/>
          <w:kern w:val="0"/>
          <w:sz w:val="20"/>
          <w:vertAlign w:val="superscript"/>
          <w:rtl/>
          <w:lang w:val="fr-CH" w:eastAsia="en-US"/>
        </w:rPr>
        <w:t>)</w:t>
      </w:r>
      <w:r w:rsidRPr="00B8252B">
        <w:rPr>
          <w:rFonts w:hint="cs"/>
          <w:spacing w:val="0"/>
          <w:kern w:val="0"/>
          <w:sz w:val="20"/>
          <w:rtl/>
          <w:lang w:val="fr-CH" w:eastAsia="en-US"/>
        </w:rPr>
        <w:t>:</w:t>
      </w:r>
    </w:p>
    <w:p w:rsidR="00B8252B" w:rsidRPr="00B8252B" w:rsidRDefault="00B8252B" w:rsidP="007D1954">
      <w:pPr>
        <w:tabs>
          <w:tab w:val="left" w:pos="1928"/>
          <w:tab w:val="left" w:pos="2608"/>
          <w:tab w:val="left" w:pos="3289"/>
          <w:tab w:val="left" w:pos="3969"/>
          <w:tab w:val="left" w:pos="4649"/>
          <w:tab w:val="left" w:pos="5330"/>
        </w:tabs>
        <w:spacing w:after="100" w:line="360" w:lineRule="exact"/>
        <w:ind w:left="1928" w:right="1247"/>
        <w:jc w:val="lowKashida"/>
        <w:rPr>
          <w:rFonts w:hint="cs"/>
          <w:i/>
          <w:iCs/>
          <w:spacing w:val="-2"/>
          <w:kern w:val="0"/>
          <w:sz w:val="20"/>
          <w:rtl/>
          <w:lang w:val="fr-CH" w:eastAsia="en-US"/>
        </w:rPr>
      </w:pPr>
      <w:r w:rsidRPr="00B8252B">
        <w:rPr>
          <w:i/>
          <w:iCs/>
          <w:spacing w:val="-2"/>
          <w:kern w:val="0"/>
          <w:sz w:val="20"/>
          <w:rtl/>
          <w:lang w:val="fr-CH" w:eastAsia="en-US"/>
        </w:rPr>
        <w:tab/>
      </w:r>
      <w:r w:rsidRPr="00B8252B">
        <w:rPr>
          <w:rFonts w:hint="cs"/>
          <w:i/>
          <w:iCs/>
          <w:spacing w:val="-2"/>
          <w:kern w:val="0"/>
          <w:sz w:val="20"/>
          <w:rtl/>
          <w:lang w:val="fr-CH" w:eastAsia="en-US"/>
        </w:rPr>
        <w:t>حق من حقوق الإنسان غير قابل للتصرف وبموجبه يحق لكل إنسان ولجميع الشعوب المشاركة والإسهام في تحقيق تنمية اقتصادية واجتماعية وثقافية وسياسية والتمتع بهذه التنمية التي يمكن فيها إعمال جميع الحريات الأساسية إعمالاً تاماً.</w:t>
      </w:r>
    </w:p>
    <w:p w:rsidR="00B8252B" w:rsidRPr="007D1954" w:rsidRDefault="00B8252B" w:rsidP="007D1954">
      <w:pPr>
        <w:tabs>
          <w:tab w:val="left" w:pos="1928"/>
          <w:tab w:val="left" w:pos="2608"/>
          <w:tab w:val="left" w:pos="3289"/>
          <w:tab w:val="left" w:pos="3969"/>
          <w:tab w:val="left" w:pos="4649"/>
          <w:tab w:val="left" w:pos="5330"/>
        </w:tabs>
        <w:spacing w:after="100" w:line="360" w:lineRule="exact"/>
        <w:ind w:left="1247" w:right="1247"/>
        <w:jc w:val="lowKashida"/>
        <w:rPr>
          <w:rFonts w:hint="cs"/>
          <w:spacing w:val="0"/>
          <w:kern w:val="0"/>
          <w:sz w:val="20"/>
          <w:rtl/>
          <w:lang w:val="fr-CH" w:eastAsia="en-US"/>
        </w:rPr>
      </w:pPr>
      <w:r w:rsidRPr="007D1954">
        <w:rPr>
          <w:rFonts w:hint="cs"/>
          <w:spacing w:val="0"/>
          <w:kern w:val="0"/>
          <w:sz w:val="20"/>
          <w:rtl/>
          <w:lang w:val="fr-CH" w:eastAsia="en-US"/>
        </w:rPr>
        <w:t>60-</w:t>
      </w:r>
      <w:r w:rsidRPr="007D1954">
        <w:rPr>
          <w:rFonts w:hint="cs"/>
          <w:spacing w:val="0"/>
          <w:kern w:val="0"/>
          <w:sz w:val="20"/>
          <w:rtl/>
          <w:lang w:val="fr-CH" w:eastAsia="en-US"/>
        </w:rPr>
        <w:tab/>
        <w:t>وتحل هذه السنة الذكرى الخامسة والعشرون لإعلان الحق في التنمية. وهذا الحق معترف به في عدد من الصكوك الدولية، منها ميثاق الأمم المتحدة، والإعلان العالمي لحقوق الإنسان، والعهد الدولي الخاص بالحقوق المدنية والسياسية، والعهد الدولي الخاص بالحقوق الاقتصادية والاجتماعية والثقافية. وهو حق واسع النطاق بالضرورة، ويشمل تعزيز وحماية الحقوق والحريات الأساسية.</w:t>
      </w:r>
    </w:p>
    <w:p w:rsidR="00B8252B" w:rsidRPr="00B8252B" w:rsidRDefault="00B8252B" w:rsidP="007D1954">
      <w:pPr>
        <w:tabs>
          <w:tab w:val="left" w:pos="1928"/>
          <w:tab w:val="left" w:pos="2608"/>
          <w:tab w:val="left" w:pos="3289"/>
          <w:tab w:val="left" w:pos="3969"/>
          <w:tab w:val="left" w:pos="4649"/>
          <w:tab w:val="left" w:pos="5330"/>
        </w:tabs>
        <w:spacing w:after="10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61-</w:t>
      </w:r>
      <w:r w:rsidRPr="00B8252B">
        <w:rPr>
          <w:rFonts w:hint="cs"/>
          <w:spacing w:val="0"/>
          <w:kern w:val="0"/>
          <w:sz w:val="20"/>
          <w:rtl/>
          <w:lang w:val="fr-CH" w:eastAsia="en-US"/>
        </w:rPr>
        <w:tab/>
        <w:t xml:space="preserve">ويضع الإعلان في الاعتبار، في ديباجته، مقاصد ومبادئ ميثاق الأمم المتحدة المتصلة </w:t>
      </w:r>
      <w:r w:rsidRPr="00B8252B">
        <w:rPr>
          <w:rFonts w:hint="cs"/>
          <w:spacing w:val="0"/>
          <w:kern w:val="0"/>
          <w:sz w:val="30"/>
          <w:rtl/>
          <w:lang w:val="fr-CH" w:eastAsia="en-US"/>
        </w:rPr>
        <w:t>ب‍</w:t>
      </w:r>
      <w:r w:rsidRPr="00B8252B">
        <w:rPr>
          <w:rFonts w:hint="eastAsia"/>
          <w:spacing w:val="0"/>
          <w:kern w:val="0"/>
          <w:sz w:val="20"/>
          <w:rtl/>
          <w:lang w:val="fr-CH" w:eastAsia="en-US"/>
        </w:rPr>
        <w:t xml:space="preserve"> "تعزيز </w:t>
      </w:r>
      <w:r w:rsidRPr="00B8252B">
        <w:rPr>
          <w:rFonts w:hint="cs"/>
          <w:spacing w:val="0"/>
          <w:kern w:val="0"/>
          <w:sz w:val="20"/>
          <w:rtl/>
          <w:lang w:val="fr-CH" w:eastAsia="en-US"/>
        </w:rPr>
        <w:t>وتشجيع احترام حقوق الإنسان ... دون تمييز ..."</w:t>
      </w:r>
      <w:r w:rsidRPr="00B8252B">
        <w:rPr>
          <w:spacing w:val="0"/>
          <w:kern w:val="0"/>
          <w:sz w:val="20"/>
          <w:vertAlign w:val="superscript"/>
          <w:rtl/>
          <w:lang w:val="fr-CH" w:eastAsia="en-US"/>
        </w:rPr>
        <w:t>(</w:t>
      </w:r>
      <w:r w:rsidRPr="00B8252B">
        <w:rPr>
          <w:b/>
          <w:spacing w:val="0"/>
          <w:kern w:val="0"/>
          <w:szCs w:val="28"/>
          <w:vertAlign w:val="superscript"/>
          <w:rtl/>
          <w:lang w:val="fr-CH" w:eastAsia="en-US"/>
        </w:rPr>
        <w:footnoteReference w:id="28"/>
      </w:r>
      <w:r w:rsidRPr="00B8252B">
        <w:rPr>
          <w:spacing w:val="0"/>
          <w:kern w:val="0"/>
          <w:sz w:val="20"/>
          <w:vertAlign w:val="superscript"/>
          <w:rtl/>
          <w:lang w:val="fr-CH" w:eastAsia="en-US"/>
        </w:rPr>
        <w:t>)</w:t>
      </w:r>
      <w:r w:rsidRPr="00B8252B">
        <w:rPr>
          <w:rFonts w:hint="cs"/>
          <w:spacing w:val="0"/>
          <w:kern w:val="0"/>
          <w:sz w:val="20"/>
          <w:rtl/>
          <w:lang w:val="fr-CH" w:eastAsia="en-US"/>
        </w:rPr>
        <w:t>. ومن البديهي أن احترام حقوق الإنسان لا يمكن تعزيزه أو تشجيعه في وسط يمارَس فيه التعذيب أو سوء المعاملة بحق</w:t>
      </w:r>
      <w:r w:rsidRPr="00B8252B">
        <w:rPr>
          <w:rFonts w:hint="eastAsia"/>
          <w:spacing w:val="0"/>
          <w:kern w:val="0"/>
          <w:sz w:val="20"/>
          <w:rtl/>
          <w:lang w:val="fr-CH" w:eastAsia="en-US"/>
        </w:rPr>
        <w:t> </w:t>
      </w:r>
      <w:r w:rsidRPr="00B8252B">
        <w:rPr>
          <w:rFonts w:hint="cs"/>
          <w:spacing w:val="0"/>
          <w:kern w:val="0"/>
          <w:sz w:val="20"/>
          <w:rtl/>
          <w:lang w:val="fr-CH" w:eastAsia="en-US"/>
        </w:rPr>
        <w:t xml:space="preserve">المحرومين من حريتهم، أو يُتغاضى فيه عنهما. </w:t>
      </w:r>
    </w:p>
    <w:p w:rsidR="00B8252B" w:rsidRPr="00B8252B" w:rsidRDefault="00B8252B" w:rsidP="007D1954">
      <w:pPr>
        <w:tabs>
          <w:tab w:val="left" w:pos="1928"/>
          <w:tab w:val="left" w:pos="2608"/>
          <w:tab w:val="left" w:pos="3289"/>
          <w:tab w:val="left" w:pos="3969"/>
          <w:tab w:val="left" w:pos="4649"/>
          <w:tab w:val="left" w:pos="5330"/>
        </w:tabs>
        <w:spacing w:after="10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62-</w:t>
      </w:r>
      <w:r w:rsidRPr="00B8252B">
        <w:rPr>
          <w:rFonts w:hint="cs"/>
          <w:spacing w:val="0"/>
          <w:kern w:val="0"/>
          <w:sz w:val="20"/>
          <w:rtl/>
          <w:lang w:val="fr-CH" w:eastAsia="en-US"/>
        </w:rPr>
        <w:tab/>
        <w:t>ويشكل عمل اللجنة الفرعية في مجال منع التعذيب جزءاً من التفسير المتكامل والمتوازن للحق في التنمية، كما أنه يؤدي دوراً محورياً في المساعدة على زيادة الوعي. ومن الثابت تماما أن التنمية لا تُختزل في "مجرد تطلعات أو أهداف اقتصادية، بل إنها تعبّر عن فهم موسع وشامل</w:t>
      </w:r>
      <w:r w:rsidRPr="00B8252B">
        <w:rPr>
          <w:rFonts w:hint="eastAsia"/>
          <w:spacing w:val="0"/>
          <w:kern w:val="0"/>
          <w:sz w:val="20"/>
          <w:rtl/>
          <w:lang w:val="fr-CH" w:eastAsia="en-US"/>
        </w:rPr>
        <w:t> </w:t>
      </w:r>
      <w:r w:rsidRPr="00B8252B">
        <w:rPr>
          <w:rFonts w:hint="cs"/>
          <w:spacing w:val="0"/>
          <w:kern w:val="0"/>
          <w:sz w:val="20"/>
          <w:rtl/>
          <w:lang w:val="fr-CH" w:eastAsia="en-US"/>
        </w:rPr>
        <w:t>... على الصعيدين الوطني والدولي"</w:t>
      </w:r>
      <w:r w:rsidRPr="00B8252B">
        <w:rPr>
          <w:spacing w:val="0"/>
          <w:kern w:val="0"/>
          <w:sz w:val="20"/>
          <w:vertAlign w:val="superscript"/>
          <w:rtl/>
          <w:lang w:val="fr-CH" w:eastAsia="en-US"/>
        </w:rPr>
        <w:t>(</w:t>
      </w:r>
      <w:r w:rsidRPr="00B8252B">
        <w:rPr>
          <w:b/>
          <w:spacing w:val="0"/>
          <w:kern w:val="0"/>
          <w:szCs w:val="28"/>
          <w:vertAlign w:val="superscript"/>
          <w:rtl/>
          <w:lang w:val="fr-CH" w:eastAsia="en-US"/>
        </w:rPr>
        <w:footnoteReference w:id="29"/>
      </w:r>
      <w:r w:rsidRPr="00B8252B">
        <w:rPr>
          <w:spacing w:val="0"/>
          <w:kern w:val="0"/>
          <w:sz w:val="20"/>
          <w:vertAlign w:val="superscript"/>
          <w:rtl/>
          <w:lang w:val="fr-CH" w:eastAsia="en-US"/>
        </w:rPr>
        <w:t>)</w:t>
      </w:r>
      <w:r w:rsidRPr="00B8252B">
        <w:rPr>
          <w:rFonts w:hint="cs"/>
          <w:spacing w:val="0"/>
          <w:kern w:val="0"/>
          <w:sz w:val="20"/>
          <w:rtl/>
          <w:lang w:val="fr-CH" w:eastAsia="en-US"/>
        </w:rPr>
        <w:t>. ولذلك فإن الديمقراطية والتنمية وحقوق الإنسان مترابطة ويشد بعضها بعضاً. وتشارك اللجنة الفرعية بنشاط الدول الأطراف وآلياتها الوقائية الوطنية المنشأة بموجب البروتوكول الاختياري في الأنشطة ذات الطابع المتعدد الأوجه للتنمية وحقوق الإنسان. وتسترشد اللجنة الفرعية، في أدائها لولايتها، بميثاق ومبادئ الأمم المتحدة، وبمعايير الأمم المتحدة المتعلقة بالأشخاص المحرومين من حريتهم، وبالمبادئ المدرجة في البروتوكول الاختياري. ولا تكتفي اللجنة بالعمل بفعالية مع السلطات الحكومية وإنما تجري أيضاً بحوثاً بشأن طائفة من المسائل المهمة المتعلقة بالاحتجاز.</w:t>
      </w:r>
    </w:p>
    <w:p w:rsidR="00B8252B" w:rsidRPr="00B8252B" w:rsidRDefault="00B8252B" w:rsidP="007D1954">
      <w:pPr>
        <w:tabs>
          <w:tab w:val="left" w:pos="1928"/>
          <w:tab w:val="left" w:pos="2608"/>
          <w:tab w:val="left" w:pos="3289"/>
          <w:tab w:val="left" w:pos="3969"/>
          <w:tab w:val="left" w:pos="4649"/>
          <w:tab w:val="left" w:pos="5330"/>
        </w:tabs>
        <w:spacing w:after="10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63-</w:t>
      </w:r>
      <w:r w:rsidRPr="00B8252B">
        <w:rPr>
          <w:rFonts w:hint="cs"/>
          <w:spacing w:val="0"/>
          <w:kern w:val="0"/>
          <w:sz w:val="20"/>
          <w:rtl/>
          <w:lang w:val="fr-CH" w:eastAsia="en-US"/>
        </w:rPr>
        <w:tab/>
        <w:t>وتساهم الجهود التي تبذلها الآليات الوقائية الوطنية واللجنة الفرعية، من خلال النظام الوطني والدولي المعتمد المتعلق بالزيارات العادية التي تقوم بها الآليات واللجنة الفرعية لأماكن الاحتجاز، في تحقيق هدفي منع التعذيب والتنمية، وذلك من خلال بناء القدرات، وتقديم التدريب والتثقيف، واتخاذ التدابير التشريعية والإدارية والقضائية، وتدابير أخرى. وتقدم الآليات واللجنة الفرعية الدعم للنظم المستديمة المستندة إلى الشفافية والمساءلة وسيادة القانون.</w:t>
      </w:r>
    </w:p>
    <w:p w:rsidR="00B8252B" w:rsidRPr="00B8252B" w:rsidRDefault="00B8252B" w:rsidP="007D1954">
      <w:pPr>
        <w:pStyle w:val="HChGA"/>
        <w:rPr>
          <w:rFonts w:hint="cs"/>
          <w:kern w:val="0"/>
          <w:rtl/>
          <w:lang w:val="fr-CH" w:eastAsia="en-US"/>
        </w:rPr>
      </w:pPr>
      <w:r w:rsidRPr="00B8252B">
        <w:rPr>
          <w:rFonts w:hint="cs"/>
          <w:kern w:val="0"/>
          <w:rtl/>
          <w:lang w:val="fr-CH" w:eastAsia="en-US"/>
        </w:rPr>
        <w:tab/>
      </w:r>
      <w:bookmarkStart w:id="16" w:name="_Toc322593355"/>
      <w:r w:rsidRPr="00B8252B">
        <w:rPr>
          <w:rFonts w:hint="cs"/>
          <w:kern w:val="0"/>
          <w:rtl/>
          <w:lang w:val="fr-CH" w:eastAsia="en-US"/>
        </w:rPr>
        <w:t>خامساً-</w:t>
      </w:r>
      <w:r w:rsidRPr="00B8252B">
        <w:rPr>
          <w:rFonts w:hint="cs"/>
          <w:kern w:val="0"/>
          <w:rtl/>
          <w:lang w:val="fr-CH" w:eastAsia="en-US"/>
        </w:rPr>
        <w:tab/>
        <w:t>المسائل الموضوعية</w:t>
      </w:r>
      <w:bookmarkEnd w:id="16"/>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64-</w:t>
      </w:r>
      <w:r w:rsidRPr="00B8252B">
        <w:rPr>
          <w:rFonts w:hint="cs"/>
          <w:spacing w:val="0"/>
          <w:kern w:val="0"/>
          <w:sz w:val="20"/>
          <w:rtl/>
          <w:lang w:val="fr-CH" w:eastAsia="en-US"/>
        </w:rPr>
        <w:tab/>
        <w:t>تود اللجنة الفرعية أن تحدد في هذا الفصل وجهة نظرها الحالية بشأن عدد من المسائل ذات الأهمية لولايتها.</w:t>
      </w:r>
    </w:p>
    <w:p w:rsidR="00B8252B" w:rsidRPr="00B8252B" w:rsidRDefault="00B8252B" w:rsidP="007D1954">
      <w:pPr>
        <w:pStyle w:val="H1GA"/>
        <w:rPr>
          <w:rFonts w:hint="cs"/>
          <w:kern w:val="0"/>
          <w:rtl/>
          <w:lang w:val="fr-CH" w:eastAsia="en-US"/>
        </w:rPr>
      </w:pPr>
      <w:r w:rsidRPr="00B8252B">
        <w:rPr>
          <w:rFonts w:hint="cs"/>
          <w:kern w:val="0"/>
          <w:rtl/>
          <w:lang w:val="fr-CH" w:eastAsia="en-US"/>
        </w:rPr>
        <w:tab/>
      </w:r>
      <w:bookmarkStart w:id="17" w:name="_Toc322593356"/>
      <w:r w:rsidRPr="00B8252B">
        <w:rPr>
          <w:rFonts w:hint="cs"/>
          <w:kern w:val="0"/>
          <w:rtl/>
          <w:lang w:val="fr-CH" w:eastAsia="en-US"/>
        </w:rPr>
        <w:t>ألف-</w:t>
      </w:r>
      <w:r w:rsidRPr="00B8252B">
        <w:rPr>
          <w:rFonts w:hint="cs"/>
          <w:kern w:val="0"/>
          <w:rtl/>
          <w:lang w:val="fr-CH" w:eastAsia="en-US"/>
        </w:rPr>
        <w:tab/>
        <w:t>أهمية التثقيف في مجال حقوق الإنسان بمنع التعذيب</w:t>
      </w:r>
      <w:bookmarkEnd w:id="17"/>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65-</w:t>
      </w:r>
      <w:r w:rsidRPr="00B8252B">
        <w:rPr>
          <w:rFonts w:hint="cs"/>
          <w:spacing w:val="0"/>
          <w:kern w:val="0"/>
          <w:sz w:val="20"/>
          <w:rtl/>
          <w:lang w:val="fr-CH" w:eastAsia="en-US"/>
        </w:rPr>
        <w:tab/>
        <w:t>من المعلوم أن الدول الأطراف في البروتوكول الاختياري لاتفاقية مناهضة التعذيب وغيره من ضروب المعاملة أو العقوبة القاسية أو اللاإنسانية أو المهينة (البروتوكول الاختياري) وفي اتفاقية مناهضة التعذيب وغيره من ضروب المعاملة أو العقوبة القاسية أو اللاإنسانية أو</w:t>
      </w:r>
      <w:r w:rsidRPr="00B8252B">
        <w:rPr>
          <w:rFonts w:hint="eastAsia"/>
          <w:spacing w:val="0"/>
          <w:kern w:val="0"/>
          <w:sz w:val="20"/>
          <w:rtl/>
          <w:lang w:val="fr-CH" w:eastAsia="en-US"/>
        </w:rPr>
        <w:t> </w:t>
      </w:r>
      <w:r w:rsidRPr="00B8252B">
        <w:rPr>
          <w:rFonts w:hint="cs"/>
          <w:spacing w:val="0"/>
          <w:kern w:val="0"/>
          <w:sz w:val="20"/>
          <w:rtl/>
          <w:lang w:val="fr-CH" w:eastAsia="en-US"/>
        </w:rPr>
        <w:t>المهينة (الاتفاقية) يقع عليها التزام بمنع أعمال التعذيب وسوء المعاملة التي يرتكبها المسؤولون الحكوميون أو الأفراد.</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66-</w:t>
      </w:r>
      <w:r w:rsidRPr="00B8252B">
        <w:rPr>
          <w:rFonts w:hint="cs"/>
          <w:spacing w:val="0"/>
          <w:kern w:val="0"/>
          <w:sz w:val="20"/>
          <w:rtl/>
          <w:lang w:val="fr-CH" w:eastAsia="en-US"/>
        </w:rPr>
        <w:tab/>
        <w:t>وترى اللجنة الفرعية لمنع التعذيب أن الالتزام بمنع التعذيب ينبغي أن يشمل "أكبر قدر ممكن من الأمور التي من شأنها أن تسهم في حالة معينة في تقليل احتمال أو خطر وقوع التعذيب أو سوء المعاملة"</w:t>
      </w:r>
      <w:r w:rsidRPr="00B8252B">
        <w:rPr>
          <w:spacing w:val="0"/>
          <w:kern w:val="0"/>
          <w:sz w:val="20"/>
          <w:vertAlign w:val="superscript"/>
          <w:rtl/>
          <w:lang w:val="fr-CH" w:eastAsia="en-US"/>
        </w:rPr>
        <w:t>(</w:t>
      </w:r>
      <w:r w:rsidRPr="00B8252B">
        <w:rPr>
          <w:b/>
          <w:spacing w:val="0"/>
          <w:kern w:val="0"/>
          <w:szCs w:val="28"/>
          <w:vertAlign w:val="superscript"/>
          <w:rtl/>
          <w:lang w:val="fr-CH" w:eastAsia="en-US"/>
        </w:rPr>
        <w:footnoteReference w:id="30"/>
      </w:r>
      <w:r w:rsidRPr="00B8252B">
        <w:rPr>
          <w:spacing w:val="0"/>
          <w:kern w:val="0"/>
          <w:sz w:val="20"/>
          <w:vertAlign w:val="superscript"/>
          <w:rtl/>
          <w:lang w:val="fr-CH" w:eastAsia="en-US"/>
        </w:rPr>
        <w:t>)</w:t>
      </w:r>
      <w:r w:rsidRPr="00B8252B">
        <w:rPr>
          <w:rFonts w:hint="cs"/>
          <w:spacing w:val="0"/>
          <w:kern w:val="0"/>
          <w:sz w:val="20"/>
          <w:rtl/>
          <w:lang w:val="fr-CH" w:eastAsia="en-US"/>
        </w:rPr>
        <w:t>.</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67-</w:t>
      </w:r>
      <w:r w:rsidRPr="00B8252B">
        <w:rPr>
          <w:rFonts w:hint="cs"/>
          <w:spacing w:val="0"/>
          <w:kern w:val="0"/>
          <w:sz w:val="20"/>
          <w:rtl/>
          <w:lang w:val="fr-CH" w:eastAsia="en-US"/>
        </w:rPr>
        <w:tab/>
        <w:t>ومن المهم التشديد على أن أي نهج وقائي ينبغي أن يركز على الأسباب الجذرية لانتهاكات حقوق الإنسان. ونعرض في الفقرات التالية قائمة غير حصرية بالأسباب الجذرية للتعذيب وسوء المعاملة على مستويات مختلفة: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ab/>
        <w:t>(أ)</w:t>
      </w:r>
      <w:r w:rsidRPr="00B8252B">
        <w:rPr>
          <w:rFonts w:hint="cs"/>
          <w:spacing w:val="2"/>
          <w:kern w:val="0"/>
          <w:sz w:val="20"/>
          <w:rtl/>
          <w:lang w:val="fr-CH" w:eastAsia="en-US"/>
        </w:rPr>
        <w:tab/>
        <w:t>على المستوى الكلي، تشمل الأسباب، مثلاً، تسامح المجتمع مع العنف وقبوله له كوسيلة "لتسوية" النزاعات؛ وإضفاء المجتمع الشرعية على السياسات التي تفرض عقوبات بدنية على أي شكل من أشكال المخالفات؛ وعدم وجود إرادة سياسية للقضاء على ممارسة التعذيب؛ ووجود هيكل هرمي لعلاقات القوة تتعرض في إطاره فئات معينة من الناس - مثل المتهمين بارتكاب مخالفات للقانون العام أو مخالفات سياسية أو أعمال إرهاب، والمهاجرين، والنساء، والأشخاص ذوي الإعاقة، وأفراد الأقليات الإثينة والدينية والجنسية، والمحرومين اقتصادياً، والمراهقين، والأطفال، والمسنين - للتحقير والاستخفاف والإهمال والشيطنة والتجريد</w:t>
      </w:r>
      <w:r w:rsidRPr="00B8252B">
        <w:rPr>
          <w:rFonts w:hint="eastAsia"/>
          <w:spacing w:val="2"/>
          <w:kern w:val="0"/>
          <w:sz w:val="20"/>
          <w:rtl/>
          <w:lang w:val="fr-CH" w:eastAsia="en-US"/>
        </w:rPr>
        <w:t> </w:t>
      </w:r>
      <w:r w:rsidRPr="00B8252B">
        <w:rPr>
          <w:rFonts w:hint="cs"/>
          <w:spacing w:val="2"/>
          <w:kern w:val="0"/>
          <w:sz w:val="20"/>
          <w:rtl/>
          <w:lang w:val="fr-CH" w:eastAsia="en-US"/>
        </w:rPr>
        <w:t xml:space="preserve">من الإنسانية؛ والافتقار إلى الوعي وإلى تبني حقوق الإنسان بين عامة السكان؛ </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(ب)</w:t>
      </w:r>
      <w:r w:rsidRPr="00B8252B">
        <w:rPr>
          <w:rFonts w:hint="cs"/>
          <w:spacing w:val="0"/>
          <w:kern w:val="0"/>
          <w:sz w:val="20"/>
          <w:rtl/>
          <w:lang w:val="fr-CH" w:eastAsia="en-US"/>
        </w:rPr>
        <w:tab/>
        <w:t xml:space="preserve">على المستوى المتوسط، تشمل الأسباب الجذرية إنكار الدولة ممارسة التعذيب مع إفلات ممارسي التعذيب وسوء المعاملة من العقاب بل ومكافأتهم في كثير من الحالات من جانب السلطة السياسية و/أو الاقتصادية؛ وعدم الإبلاغ عن أفعال التعذيب وسوء المعاملة وعدم حماية ضحايا التعذيب وعدم وجود سبل انتصاف؛ وعدم تكييف الأطر القانونية المحلية مع المعايير الدولية التي تحظر التعذيب وتقدم ضمانات للمحرومين من حريتهم، بالاقتران في كثير من الأحيان مع عدم تطبيق اللوائح في الحالات التي يحدث فيها التعذيب؛ وعدم كفاية التدريب المقدم في مجال حقوق الإنسان لأعضاء الجهاز القضائي، وموظفي السجون، ومسؤولي إنفاذ القانون، ومقدمي الرعاية الصحية، والأخصائيين الاجتماعيين، والمدرسين، وغيرهم؛ والروابط بين التعذيب والفساد؛ </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(ج)</w:t>
      </w:r>
      <w:r w:rsidRPr="00B8252B">
        <w:rPr>
          <w:rFonts w:hint="cs"/>
          <w:spacing w:val="0"/>
          <w:kern w:val="0"/>
          <w:sz w:val="20"/>
          <w:rtl/>
          <w:lang w:val="fr-CH" w:eastAsia="en-US"/>
        </w:rPr>
        <w:tab/>
        <w:t>على المستوى الجزئي، أي أماكن الحرمان من الحرية بالمعنى الأشمل، تشمل الأسباب حالة الهياكل الأساسية والخدمات، بدءاً من التدهور وانتهاء بالوضع اللاإنساني؛ والاكتظاظ؛ وتدني ظروف عمل ومعيشة الموظفين العاملين في هذه الأماكن؛ والميل إلى استغلال السلطة بشكل تعسفي؛ وتفشي الفساد؛ وانعدام الرقابة الخارجية.</w:t>
      </w:r>
    </w:p>
    <w:p w:rsidR="00B8252B" w:rsidRPr="009120CD"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2"/>
          <w:kern w:val="0"/>
          <w:sz w:val="20"/>
          <w:rtl/>
          <w:lang w:val="fr-CH" w:eastAsia="en-US"/>
        </w:rPr>
      </w:pPr>
      <w:r w:rsidRPr="009120CD">
        <w:rPr>
          <w:rFonts w:hint="cs"/>
          <w:spacing w:val="-2"/>
          <w:kern w:val="0"/>
          <w:sz w:val="20"/>
          <w:rtl/>
          <w:lang w:val="fr-CH" w:eastAsia="en-US"/>
        </w:rPr>
        <w:t>68-</w:t>
      </w:r>
      <w:r w:rsidRPr="009120CD">
        <w:rPr>
          <w:rFonts w:hint="cs"/>
          <w:spacing w:val="-2"/>
          <w:kern w:val="0"/>
          <w:sz w:val="20"/>
          <w:rtl/>
          <w:lang w:val="fr-CH" w:eastAsia="en-US"/>
        </w:rPr>
        <w:tab/>
        <w:t>وينص إعلان الأمم المتحدة للتثقيف والتدريب في ميدان حقوق الإنسان على أن التثقيف والتدريب في ميدان حقوق الإنسان "يشمل جميع الأنشطة التثقيفية والتدريبية والإعلامية وأنشطة التوعية والتعلم الرامية إلى تعزيز الاحترام والمراعاة العالميين لجميع حقوق الإنسان والحريات الأساسية"</w:t>
      </w:r>
      <w:r w:rsidRPr="009120CD">
        <w:rPr>
          <w:spacing w:val="-2"/>
          <w:kern w:val="0"/>
          <w:sz w:val="20"/>
          <w:vertAlign w:val="superscript"/>
          <w:rtl/>
          <w:lang w:val="fr-CH" w:eastAsia="en-US"/>
        </w:rPr>
        <w:t>(</w:t>
      </w:r>
      <w:r w:rsidRPr="009120CD">
        <w:rPr>
          <w:b/>
          <w:spacing w:val="-2"/>
          <w:kern w:val="0"/>
          <w:szCs w:val="28"/>
          <w:vertAlign w:val="superscript"/>
          <w:rtl/>
          <w:lang w:val="fr-CH" w:eastAsia="en-US"/>
        </w:rPr>
        <w:footnoteReference w:id="31"/>
      </w:r>
      <w:r w:rsidRPr="009120CD">
        <w:rPr>
          <w:spacing w:val="-2"/>
          <w:kern w:val="0"/>
          <w:sz w:val="20"/>
          <w:vertAlign w:val="superscript"/>
          <w:rtl/>
          <w:lang w:val="fr-CH" w:eastAsia="en-US"/>
        </w:rPr>
        <w:t>)</w:t>
      </w:r>
      <w:r w:rsidRPr="009120CD">
        <w:rPr>
          <w:rFonts w:hint="cs"/>
          <w:spacing w:val="-2"/>
          <w:kern w:val="0"/>
          <w:sz w:val="20"/>
          <w:rtl/>
          <w:lang w:val="fr-CH" w:eastAsia="en-US"/>
        </w:rPr>
        <w:t>. وينص الإعلان أيضاً على أن ذلك يحقق"الإسهام في أمور منها منع انتهاك وامتهان حقوق الإنسان بتزويد الأشخاص بالمعارف والمهارات والفهم وتطوير مواقفهم وسلوكهم، لتمكينهم من الإسهام في بناء وتعزيز ثقافة عالمية لحقوق الإنسان"</w:t>
      </w:r>
      <w:r w:rsidRPr="009120CD">
        <w:rPr>
          <w:spacing w:val="-2"/>
          <w:kern w:val="0"/>
          <w:sz w:val="20"/>
          <w:vertAlign w:val="superscript"/>
          <w:rtl/>
          <w:lang w:val="fr-CH" w:eastAsia="en-US"/>
        </w:rPr>
        <w:t>(</w:t>
      </w:r>
      <w:r w:rsidRPr="009120CD">
        <w:rPr>
          <w:b/>
          <w:spacing w:val="-2"/>
          <w:kern w:val="0"/>
          <w:szCs w:val="28"/>
          <w:vertAlign w:val="superscript"/>
          <w:rtl/>
          <w:lang w:val="fr-CH" w:eastAsia="en-US"/>
        </w:rPr>
        <w:footnoteReference w:id="32"/>
      </w:r>
      <w:r w:rsidRPr="009120CD">
        <w:rPr>
          <w:spacing w:val="-2"/>
          <w:kern w:val="0"/>
          <w:sz w:val="20"/>
          <w:vertAlign w:val="superscript"/>
          <w:rtl/>
          <w:lang w:val="fr-CH" w:eastAsia="en-US"/>
        </w:rPr>
        <w:t>)</w:t>
      </w:r>
      <w:r w:rsidRPr="009120CD">
        <w:rPr>
          <w:rFonts w:hint="cs"/>
          <w:spacing w:val="-2"/>
          <w:kern w:val="0"/>
          <w:sz w:val="20"/>
          <w:rtl/>
          <w:lang w:val="fr-CH" w:eastAsia="en-US"/>
        </w:rPr>
        <w:t>.</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69-</w:t>
      </w:r>
      <w:r w:rsidRPr="00B8252B">
        <w:rPr>
          <w:rFonts w:hint="cs"/>
          <w:spacing w:val="-2"/>
          <w:kern w:val="0"/>
          <w:sz w:val="20"/>
          <w:rtl/>
          <w:lang w:val="fr-CH" w:eastAsia="en-US"/>
        </w:rPr>
        <w:tab/>
        <w:t>ويشكل التثقيف والتدريب في ميدان حقوق الإنسان آلية أساسية لمنع التعذيب وسوء المعاملة، لما ينطويان عليه من قدرة على المساعدة في التصدي لأسبابهما الجذرية المتعددة.</w:t>
      </w:r>
    </w:p>
    <w:p w:rsidR="00B8252B" w:rsidRPr="009120CD"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9120CD">
        <w:rPr>
          <w:rFonts w:hint="cs"/>
          <w:spacing w:val="0"/>
          <w:kern w:val="0"/>
          <w:sz w:val="20"/>
          <w:rtl/>
          <w:lang w:val="fr-CH" w:eastAsia="en-US"/>
        </w:rPr>
        <w:t>70-</w:t>
      </w:r>
      <w:r w:rsidRPr="009120CD">
        <w:rPr>
          <w:rFonts w:hint="cs"/>
          <w:spacing w:val="0"/>
          <w:kern w:val="0"/>
          <w:sz w:val="20"/>
          <w:rtl/>
          <w:lang w:val="fr-CH" w:eastAsia="en-US"/>
        </w:rPr>
        <w:tab/>
        <w:t>والجدير بالذكر أن تدريس حقوق الإنسان في جميع مستويات التعليم (قبل المدرسي، والابتدائي، والثانوي، والعالي) لا غنى عنه لبناء ثقافة احترام حقوق الإنسان بدايةً من المهد وفي جميع مجالات الحياة اليومية، مما يُهيئ مناخاً يؤدي إلى منع انتهاكات حقوق الإنسان، بما</w:t>
      </w:r>
      <w:r w:rsidRPr="009120CD">
        <w:rPr>
          <w:rFonts w:hint="eastAsia"/>
          <w:spacing w:val="0"/>
          <w:kern w:val="0"/>
          <w:sz w:val="20"/>
          <w:rtl/>
          <w:lang w:val="fr-CH" w:eastAsia="en-US"/>
        </w:rPr>
        <w:t> </w:t>
      </w:r>
      <w:r w:rsidRPr="009120CD">
        <w:rPr>
          <w:rFonts w:hint="cs"/>
          <w:spacing w:val="0"/>
          <w:kern w:val="0"/>
          <w:sz w:val="20"/>
          <w:rtl/>
          <w:lang w:val="fr-CH" w:eastAsia="en-US"/>
        </w:rPr>
        <w:t>فيها التعذيب وسوء المعاملة، ويعزز الأساليب غير القائمة على العنف في إدارة النزاعات، ويشجع المساواة، وعدم التمييز، والإدماج، واحترام التنوع، والتضامن، والاعتراف بقيمة كل فرد وجماعة.</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71-</w:t>
      </w:r>
      <w:r w:rsidRPr="00B8252B">
        <w:rPr>
          <w:rFonts w:hint="cs"/>
          <w:spacing w:val="0"/>
          <w:kern w:val="0"/>
          <w:sz w:val="20"/>
          <w:rtl/>
          <w:lang w:val="fr-CH" w:eastAsia="en-US"/>
        </w:rPr>
        <w:tab/>
        <w:t>والتدريب المتخصص في مجالات القانون والرعاية الصحية وعلم النفس والخدمة الاجتماعية وعلم الإنسان والسياسات العامة والاتصال الاجتماعي والتثقيف يستلزم، في جملة أمور، نوعا من الدراسات الجامعية يتضمن مكوناً شاملاً في مجال حقوق الإنسان باعتباره آلية فعالة لمنع انتهاكات حقوق الإنسان، بما فيها التعذيب. ويجب تعزيز التعليم الجامعي بالتعليم المستمر والدورات التنشيطية والتدريب أثناء الخدمة في مجال حقوق الإنسان.</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72-</w:t>
      </w:r>
      <w:r w:rsidRPr="00B8252B">
        <w:rPr>
          <w:rFonts w:hint="cs"/>
          <w:spacing w:val="0"/>
          <w:kern w:val="0"/>
          <w:sz w:val="20"/>
          <w:rtl/>
          <w:lang w:val="fr-CH" w:eastAsia="en-US"/>
        </w:rPr>
        <w:tab/>
        <w:t>وينبغي إيلاء اهتمام خاص للتدريب المقدم لضباط الشرطة والجيش والسجون في مجال حقوق الإنسان، بحيث يركز على جوانب منها دورهم في حماية حقوق الإنسان، والأطر التنظيمية الدولية وطرق تطبيقها بصورة عملية في العمليات اليومية، والحقوق والضمانات المكفولة للأشخاص المحرومين من حريتهم.</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73-</w:t>
      </w:r>
      <w:r w:rsidRPr="00B8252B">
        <w:rPr>
          <w:rFonts w:hint="cs"/>
          <w:spacing w:val="-2"/>
          <w:kern w:val="0"/>
          <w:sz w:val="20"/>
          <w:rtl/>
          <w:lang w:val="fr-CH" w:eastAsia="en-US"/>
        </w:rPr>
        <w:tab/>
        <w:t>ويحظى بنفس القدر من الأهمية التدريب المقدم للمهنيين القانونيين المشاركين في إقامة العدالة الجنائية (النيابة العامة، والمحامون العموميون، والقضاة، والمحامون الخاصون)، وللقضاة الدستوريين، ومقدمي الرعاية الصحية وغيرهم من المهنيين ذوي الخبرة في الطب الشرعي.</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4"/>
          <w:kern w:val="0"/>
          <w:sz w:val="20"/>
          <w:rtl/>
          <w:lang w:val="fr-CH" w:eastAsia="en-US"/>
        </w:rPr>
      </w:pPr>
      <w:r w:rsidRPr="00B8252B">
        <w:rPr>
          <w:rFonts w:hint="cs"/>
          <w:spacing w:val="-4"/>
          <w:kern w:val="0"/>
          <w:sz w:val="20"/>
          <w:rtl/>
          <w:lang w:val="fr-CH" w:eastAsia="en-US"/>
        </w:rPr>
        <w:t>74-</w:t>
      </w:r>
      <w:r w:rsidRPr="00B8252B">
        <w:rPr>
          <w:rFonts w:hint="cs"/>
          <w:spacing w:val="-4"/>
          <w:kern w:val="0"/>
          <w:sz w:val="20"/>
          <w:rtl/>
          <w:lang w:val="fr-CH" w:eastAsia="en-US"/>
        </w:rPr>
        <w:tab/>
        <w:t>ومن الأهمية بمكان تعزيز محافل التثقيف في مجال حقوق الإنسان التي تقام خارج نظام التعليم الرسمي، وكذلك تعزيز مبادرات التثقيف الشعبي التي يمتد نطاقها إلى فئات سكانية متنوعة.</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75-</w:t>
      </w:r>
      <w:r w:rsidRPr="00B8252B">
        <w:rPr>
          <w:rFonts w:hint="cs"/>
          <w:spacing w:val="0"/>
          <w:kern w:val="0"/>
          <w:sz w:val="20"/>
          <w:rtl/>
          <w:lang w:val="fr-CH" w:eastAsia="en-US"/>
        </w:rPr>
        <w:tab/>
        <w:t>ويجب أن يشمل التثقيف في مجال حقوق الإنسان الأشخاص المحرومين من حريتهم أو المقيدة حريتهم، بالإضافة إلى أسرهم.</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3"/>
          <w:kern w:val="0"/>
          <w:sz w:val="20"/>
          <w:rtl/>
          <w:lang w:val="fr-CH" w:eastAsia="en-US"/>
        </w:rPr>
      </w:pPr>
      <w:r w:rsidRPr="00B8252B">
        <w:rPr>
          <w:rFonts w:hint="cs"/>
          <w:spacing w:val="-3"/>
          <w:kern w:val="0"/>
          <w:sz w:val="20"/>
          <w:rtl/>
          <w:lang w:val="fr-CH" w:eastAsia="en-US"/>
        </w:rPr>
        <w:t>76-</w:t>
      </w:r>
      <w:r w:rsidRPr="00B8252B">
        <w:rPr>
          <w:rFonts w:hint="cs"/>
          <w:spacing w:val="-3"/>
          <w:kern w:val="0"/>
          <w:sz w:val="20"/>
          <w:rtl/>
          <w:lang w:val="fr-CH" w:eastAsia="en-US"/>
        </w:rPr>
        <w:tab/>
        <w:t>ولضمان التركيز الشامل على التثقيف والتدريب في مجال حقوق الإنسان، وعلى دورهما</w:t>
      </w:r>
      <w:r w:rsidRPr="00B8252B">
        <w:rPr>
          <w:rFonts w:hint="eastAsia"/>
          <w:spacing w:val="-3"/>
          <w:kern w:val="0"/>
          <w:sz w:val="20"/>
          <w:rtl/>
          <w:lang w:val="fr-CH" w:eastAsia="en-US"/>
        </w:rPr>
        <w:t> </w:t>
      </w:r>
      <w:r w:rsidRPr="00B8252B">
        <w:rPr>
          <w:rFonts w:hint="cs"/>
          <w:spacing w:val="-3"/>
          <w:kern w:val="0"/>
          <w:sz w:val="20"/>
          <w:rtl/>
          <w:lang w:val="fr-CH" w:eastAsia="en-US"/>
        </w:rPr>
        <w:t>اللاحق كأداة متزايدة التأثير في منع انتهاكات حقوق الإنسان بشكل عام ومنع التعذيب وسوء المعاملة بشكل خاص، نرى أن من المهم أخذ المبادئ التوجيهية التالية في الاعتبار:</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(أ)</w:t>
      </w:r>
      <w:r w:rsidRPr="00B8252B">
        <w:rPr>
          <w:rFonts w:hint="cs"/>
          <w:spacing w:val="0"/>
          <w:kern w:val="0"/>
          <w:sz w:val="20"/>
          <w:rtl/>
          <w:lang w:val="fr-CH" w:eastAsia="en-US"/>
        </w:rPr>
        <w:tab/>
        <w:t>تحقيق الاتساق بين البرامج الدراسية، ومحتوى الدورات، ومواد وأساليب التدريس، وأشكال التقييم، والبيئة التي تجري فيها عملية التدريس/التعلم؛</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(ب)</w:t>
      </w:r>
      <w:r w:rsidRPr="00B8252B">
        <w:rPr>
          <w:rFonts w:hint="cs"/>
          <w:spacing w:val="0"/>
          <w:kern w:val="0"/>
          <w:sz w:val="20"/>
          <w:rtl/>
          <w:lang w:val="fr-CH" w:eastAsia="en-US"/>
        </w:rPr>
        <w:tab/>
        <w:t>مراعاة المرونة في برامج الدراسة بحيث تلبي احتياجات جميع المشاركين؛</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4"/>
          <w:kern w:val="0"/>
          <w:sz w:val="20"/>
          <w:rtl/>
          <w:lang w:val="fr-CH" w:eastAsia="en-US"/>
        </w:rPr>
      </w:pPr>
      <w:r w:rsidRPr="00B8252B">
        <w:rPr>
          <w:rFonts w:hint="cs"/>
          <w:spacing w:val="-4"/>
          <w:kern w:val="0"/>
          <w:sz w:val="20"/>
          <w:rtl/>
          <w:lang w:val="fr-CH" w:eastAsia="en-US"/>
        </w:rPr>
        <w:tab/>
        <w:t>(ج)</w:t>
      </w:r>
      <w:r w:rsidRPr="00B8252B">
        <w:rPr>
          <w:rFonts w:hint="cs"/>
          <w:spacing w:val="-4"/>
          <w:kern w:val="0"/>
          <w:sz w:val="20"/>
          <w:rtl/>
          <w:lang w:val="fr-CH" w:eastAsia="en-US"/>
        </w:rPr>
        <w:tab/>
        <w:t>تحقيق التوازن بين الجوانب المادية والعقلية والروحية والشعورية لعملية التثقيف؛</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(د)</w:t>
      </w:r>
      <w:r w:rsidRPr="00B8252B">
        <w:rPr>
          <w:rFonts w:hint="cs"/>
          <w:spacing w:val="0"/>
          <w:kern w:val="0"/>
          <w:sz w:val="20"/>
          <w:rtl/>
          <w:lang w:val="fr-CH" w:eastAsia="en-US"/>
        </w:rPr>
        <w:tab/>
        <w:t>اتباع نهج متعدد التخصصات ونقدي وملائم لسياق بعينها، يجمع بين النظرية والتطبيق، ويقبل التنوع (فيما يتعلق بنوع الجنس، والأصل العرقي، والسن، والقدرة، والوضع الاجتماعي الاقتصادي، والميل الجنسي، والجنسية، والدين، وما إلى ذلك)؛</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w:t>
      </w:r>
      <w:r w:rsidRPr="00B8252B">
        <w:rPr>
          <w:rFonts w:hint="cs"/>
          <w:spacing w:val="0"/>
          <w:kern w:val="0"/>
          <w:sz w:val="30"/>
          <w:rtl/>
          <w:lang w:val="fr-CH" w:eastAsia="en-US"/>
        </w:rPr>
        <w:t>ﻫ</w:t>
      </w:r>
      <w:r w:rsidRPr="00B8252B">
        <w:rPr>
          <w:rFonts w:hint="cs"/>
          <w:spacing w:val="0"/>
          <w:kern w:val="0"/>
          <w:sz w:val="20"/>
          <w:rtl/>
          <w:lang w:val="fr-CH" w:eastAsia="en-US"/>
        </w:rPr>
        <w:t>)</w:t>
      </w:r>
      <w:r w:rsidRPr="00B8252B">
        <w:rPr>
          <w:rFonts w:hint="cs"/>
          <w:spacing w:val="0"/>
          <w:kern w:val="0"/>
          <w:sz w:val="20"/>
          <w:rtl/>
          <w:lang w:val="fr-CH" w:eastAsia="en-US"/>
        </w:rPr>
        <w:tab/>
        <w:t>اتباع نهج تاريخي إزاء حقوق الإنسان، يربط هذه الحقوق بمختلف الجهات الفاعلة المشاركة؛</w:t>
      </w:r>
    </w:p>
    <w:p w:rsidR="00B8252B" w:rsidRPr="00B8252B" w:rsidRDefault="00B8252B" w:rsidP="009120CD">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ab/>
        <w:t>(و)</w:t>
      </w:r>
      <w:r w:rsidRPr="00B8252B">
        <w:rPr>
          <w:rFonts w:hint="cs"/>
          <w:spacing w:val="0"/>
          <w:kern w:val="0"/>
          <w:sz w:val="20"/>
          <w:rtl/>
          <w:lang w:val="fr-CH" w:eastAsia="en-US"/>
        </w:rPr>
        <w:tab/>
        <w:t>تضافر الجهود بين المؤسسات التعليمية، ومنظمات المجتمع المدني، والوكالات الحكومية، والآليات الدولية من أجل تعزيز حقوق الإنسان.</w:t>
      </w:r>
    </w:p>
    <w:p w:rsidR="00B8252B" w:rsidRPr="00B8252B" w:rsidRDefault="00B8252B" w:rsidP="009120CD">
      <w:pPr>
        <w:pStyle w:val="H1GA"/>
        <w:rPr>
          <w:rFonts w:hint="cs"/>
          <w:kern w:val="0"/>
          <w:rtl/>
          <w:lang w:val="fr-CH" w:eastAsia="en-US"/>
        </w:rPr>
      </w:pPr>
      <w:r w:rsidRPr="00B8252B">
        <w:rPr>
          <w:rFonts w:hint="cs"/>
          <w:kern w:val="0"/>
          <w:rtl/>
          <w:lang w:val="fr-CH" w:eastAsia="en-US"/>
        </w:rPr>
        <w:tab/>
      </w:r>
      <w:bookmarkStart w:id="18" w:name="_Toc322593357"/>
      <w:r w:rsidRPr="00B8252B">
        <w:rPr>
          <w:rFonts w:hint="cs"/>
          <w:kern w:val="0"/>
          <w:rtl/>
          <w:lang w:val="fr-CH" w:eastAsia="en-US"/>
        </w:rPr>
        <w:t>باء-</w:t>
      </w:r>
      <w:r w:rsidRPr="00B8252B">
        <w:rPr>
          <w:rFonts w:hint="cs"/>
          <w:kern w:val="0"/>
          <w:rtl/>
          <w:lang w:val="fr-CH" w:eastAsia="en-US"/>
        </w:rPr>
        <w:tab/>
        <w:t>الصلة بين المساعدة القانونية ونظام الدفاع العام ومنع التعذيب</w:t>
      </w:r>
      <w:bookmarkEnd w:id="18"/>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77-</w:t>
      </w:r>
      <w:r w:rsidRPr="00B8252B">
        <w:rPr>
          <w:rFonts w:hint="cs"/>
          <w:spacing w:val="0"/>
          <w:kern w:val="0"/>
          <w:sz w:val="20"/>
          <w:rtl/>
          <w:lang w:val="fr-CH" w:eastAsia="en-US"/>
        </w:rPr>
        <w:tab/>
        <w:t>يشكل الحق في الاستعانة بمحامٍ منذ الوهلة الأولى للاحتجا</w:t>
      </w:r>
      <w:r w:rsidRPr="00B8252B">
        <w:rPr>
          <w:rFonts w:hint="eastAsia"/>
          <w:spacing w:val="0"/>
          <w:kern w:val="0"/>
          <w:sz w:val="20"/>
          <w:rtl/>
          <w:lang w:val="fr-CH" w:eastAsia="en-US"/>
        </w:rPr>
        <w:t>ز</w:t>
      </w:r>
      <w:r w:rsidRPr="00B8252B">
        <w:rPr>
          <w:rFonts w:hint="cs"/>
          <w:spacing w:val="0"/>
          <w:kern w:val="0"/>
          <w:sz w:val="20"/>
          <w:rtl/>
          <w:lang w:val="fr-CH" w:eastAsia="en-US"/>
        </w:rPr>
        <w:t xml:space="preserve"> ضمانة مهمة لمنع التعذيب وغيره من ضروب المعاملة أو العقوبة القاسية أو اللاإنسانية أو المهينة. ويتجاوز هذا الحق مجرد تقديم المساعدة القانونية لمجرد إعداد دفاع فني. والواقع أن حضور محامٍ إلى قسم الشرطة لا</w:t>
      </w:r>
      <w:r w:rsidRPr="00B8252B">
        <w:rPr>
          <w:rFonts w:hint="eastAsia"/>
          <w:spacing w:val="0"/>
          <w:kern w:val="0"/>
          <w:sz w:val="20"/>
          <w:rtl/>
          <w:lang w:val="fr-CH" w:eastAsia="en-US"/>
        </w:rPr>
        <w:t> </w:t>
      </w:r>
      <w:r w:rsidRPr="00B8252B">
        <w:rPr>
          <w:rFonts w:hint="cs"/>
          <w:spacing w:val="0"/>
          <w:kern w:val="0"/>
          <w:sz w:val="20"/>
          <w:rtl/>
          <w:lang w:val="fr-CH" w:eastAsia="en-US"/>
        </w:rPr>
        <w:t>يردع فحسب الشرطة عن ممارسة التعذيب أو غيره من ضروب المعاملة أو العقوبة القاسية أو اللاإنسانية أو المهينة، وإنما يمثل أيضاً عاملاً أساسياً لممارسة الحقوق المكفولة للمحرومين من حريتهم، بما فيها الوصول إلى آليات تقديم الشكاوى.</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78-</w:t>
      </w:r>
      <w:r w:rsidRPr="00B8252B">
        <w:rPr>
          <w:rFonts w:hint="cs"/>
          <w:spacing w:val="0"/>
          <w:kern w:val="0"/>
          <w:sz w:val="20"/>
          <w:rtl/>
          <w:lang w:val="fr-CH" w:eastAsia="en-US"/>
        </w:rPr>
        <w:tab/>
        <w:t>ويستلزم تحقيق الحماية الفعالة للحق في الاستعانة بمحامٍ وجود نموذج للمساعدة القانونية، أياً كان هذا النموذج، لضمان أن يؤدي المحامون مهامهم بشكل مستقل ومجاني وسليم من الناحية التقنية. ولإعمال الحق في الاستعانة بمحامٍ، ينبغي وجود إطار قانوني، مما</w:t>
      </w:r>
      <w:r w:rsidRPr="00B8252B">
        <w:rPr>
          <w:rFonts w:hint="eastAsia"/>
          <w:spacing w:val="0"/>
          <w:kern w:val="0"/>
          <w:sz w:val="20"/>
          <w:rtl/>
          <w:lang w:val="fr-CH" w:eastAsia="en-US"/>
        </w:rPr>
        <w:t> </w:t>
      </w:r>
      <w:r w:rsidRPr="00B8252B">
        <w:rPr>
          <w:rFonts w:hint="cs"/>
          <w:spacing w:val="0"/>
          <w:kern w:val="0"/>
          <w:sz w:val="20"/>
          <w:rtl/>
          <w:lang w:val="fr-CH" w:eastAsia="en-US"/>
        </w:rPr>
        <w:t>يتيح للدفاع</w:t>
      </w:r>
      <w:r w:rsidRPr="00B8252B">
        <w:rPr>
          <w:rFonts w:hint="eastAsia"/>
          <w:spacing w:val="0"/>
          <w:kern w:val="0"/>
          <w:sz w:val="20"/>
          <w:rtl/>
          <w:lang w:val="fr-CH" w:eastAsia="en-US"/>
        </w:rPr>
        <w:t> </w:t>
      </w:r>
      <w:r w:rsidRPr="00B8252B">
        <w:rPr>
          <w:rFonts w:hint="cs"/>
          <w:spacing w:val="0"/>
          <w:kern w:val="0"/>
          <w:sz w:val="20"/>
          <w:rtl/>
          <w:lang w:val="fr-CH" w:eastAsia="en-US"/>
        </w:rPr>
        <w:t>العام أو للدفاع المعين من المحكمة - سواء قدمه مسؤولون عموميون أو</w:t>
      </w:r>
      <w:r w:rsidRPr="00B8252B">
        <w:rPr>
          <w:rFonts w:hint="eastAsia"/>
          <w:spacing w:val="0"/>
          <w:kern w:val="0"/>
          <w:sz w:val="20"/>
          <w:rtl/>
          <w:lang w:val="fr-CH" w:eastAsia="en-US"/>
        </w:rPr>
        <w:t> </w:t>
      </w:r>
      <w:r w:rsidRPr="00B8252B">
        <w:rPr>
          <w:rFonts w:hint="cs"/>
          <w:spacing w:val="0"/>
          <w:kern w:val="0"/>
          <w:sz w:val="20"/>
          <w:rtl/>
          <w:lang w:val="fr-CH" w:eastAsia="en-US"/>
        </w:rPr>
        <w:t xml:space="preserve">محامون معينون لهذا الغرض </w:t>
      </w:r>
      <w:r w:rsidRPr="00B8252B">
        <w:rPr>
          <w:spacing w:val="0"/>
          <w:kern w:val="0"/>
          <w:sz w:val="20"/>
          <w:rtl/>
          <w:lang w:val="fr-CH" w:eastAsia="en-US"/>
        </w:rPr>
        <w:t>-</w:t>
      </w:r>
      <w:r w:rsidRPr="00B8252B">
        <w:rPr>
          <w:rFonts w:hint="cs"/>
          <w:spacing w:val="0"/>
          <w:kern w:val="0"/>
          <w:sz w:val="20"/>
          <w:rtl/>
          <w:lang w:val="fr-CH" w:eastAsia="en-US"/>
        </w:rPr>
        <w:t xml:space="preserve"> التمتع بالاستقلالية الوظيفية والمالية بما يضمن تقديم المساعدة القانونية المجانية لجميع المحتجزين المحتاجين إليها بداية من لحظة اعتقالهم، في الوقت المناسب وبطريقة فعالة وشاملة. وبالإضافة إلى ذلك، لا غنى عن وجود إطار تنظيمي يضمن التكافؤ الفعال في وسائل الدفاع بين الدفاع العام (سواء أكان محاميا حكوميا أم متطوعاً أم</w:t>
      </w:r>
      <w:r w:rsidRPr="00B8252B">
        <w:rPr>
          <w:rFonts w:hint="eastAsia"/>
          <w:spacing w:val="0"/>
          <w:kern w:val="0"/>
          <w:sz w:val="20"/>
          <w:rtl/>
          <w:lang w:val="fr-CH" w:eastAsia="en-US"/>
        </w:rPr>
        <w:t> </w:t>
      </w:r>
      <w:r w:rsidRPr="00B8252B">
        <w:rPr>
          <w:rFonts w:hint="cs"/>
          <w:spacing w:val="0"/>
          <w:kern w:val="0"/>
          <w:sz w:val="20"/>
          <w:rtl/>
          <w:lang w:val="fr-CH" w:eastAsia="en-US"/>
        </w:rPr>
        <w:t>مختلطاً) وبين المدعي العام وقوة الشرطة.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79-</w:t>
      </w:r>
      <w:r w:rsidRPr="00B8252B">
        <w:rPr>
          <w:rFonts w:hint="cs"/>
          <w:spacing w:val="0"/>
          <w:kern w:val="0"/>
          <w:sz w:val="20"/>
          <w:rtl/>
          <w:lang w:val="fr-CH" w:eastAsia="en-US"/>
        </w:rPr>
        <w:tab/>
        <w:t>وتؤثر القيود المتعلقة بالميزانية وبالموظفين تأثيراً مباشراً على نظام الدفاع العام، إذ</w:t>
      </w:r>
      <w:r w:rsidRPr="00B8252B">
        <w:rPr>
          <w:rFonts w:hint="eastAsia"/>
          <w:spacing w:val="0"/>
          <w:kern w:val="0"/>
          <w:sz w:val="20"/>
          <w:rtl/>
          <w:lang w:val="fr-CH" w:eastAsia="en-US"/>
        </w:rPr>
        <w:t> </w:t>
      </w:r>
      <w:r w:rsidRPr="00B8252B">
        <w:rPr>
          <w:rFonts w:hint="cs"/>
          <w:spacing w:val="0"/>
          <w:kern w:val="0"/>
          <w:sz w:val="20"/>
          <w:rtl/>
          <w:lang w:val="fr-CH" w:eastAsia="en-US"/>
        </w:rPr>
        <w:t>يتولد عن هذه القيود عبء عمل زائد لا يتوافق مع الدفاع الفعال عن مصالح الأشخاص المحرومين من حريتهم. وقد لوحظ ذلك مراراً في البلدان التي زارتها اللجنة الفرعية، وأثناء مقابلات عديدة مع المحتجزين والمسؤولين من منظمات حكومية مختلفة ومن المجتمع المدني، ومن خلال المعلومات التي جرى جمعها والتحقق منها أثناء هذه الزيارات.</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80-</w:t>
      </w:r>
      <w:r w:rsidRPr="00B8252B">
        <w:rPr>
          <w:rFonts w:hint="cs"/>
          <w:spacing w:val="0"/>
          <w:kern w:val="0"/>
          <w:sz w:val="20"/>
          <w:rtl/>
          <w:lang w:val="fr-CH" w:eastAsia="en-US"/>
        </w:rPr>
        <w:tab/>
        <w:t>وينبغي لمحامي الدفاع زيارة موكليهم في أماكن الاحتجاز بشكل دوري للحصول على المعلومات المتعلقة بحالة قضاياهم ولإجراء مقابلات سرية معهم لمعرفة أوضاع احتجازهم ومعاملتهم. ويجب أن يؤدي محامو الدفاع دوراً نشطاً في حماية حقوق المحتجزين. فالمحامي طرف رئيسي في تنفيذ أوامر الإحضار بالإضافة إلى القضاة وأعضاء النيابة.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81-</w:t>
      </w:r>
      <w:r w:rsidRPr="00B8252B">
        <w:rPr>
          <w:rFonts w:hint="cs"/>
          <w:spacing w:val="0"/>
          <w:kern w:val="0"/>
          <w:sz w:val="20"/>
          <w:rtl/>
          <w:lang w:val="fr-CH" w:eastAsia="en-US"/>
        </w:rPr>
        <w:tab/>
        <w:t>ويعزف الكثير من ضحايا التعذيب وغيره من ضروب المعاملة أو العقوبة القاسية أو</w:t>
      </w:r>
      <w:r w:rsidRPr="00B8252B">
        <w:rPr>
          <w:rFonts w:hint="eastAsia"/>
          <w:spacing w:val="0"/>
          <w:kern w:val="0"/>
          <w:sz w:val="20"/>
          <w:rtl/>
          <w:lang w:val="fr-CH" w:eastAsia="en-US"/>
        </w:rPr>
        <w:t> </w:t>
      </w:r>
      <w:r w:rsidRPr="00B8252B">
        <w:rPr>
          <w:rFonts w:hint="cs"/>
          <w:spacing w:val="0"/>
          <w:kern w:val="0"/>
          <w:sz w:val="20"/>
          <w:rtl/>
          <w:lang w:val="fr-CH" w:eastAsia="en-US"/>
        </w:rPr>
        <w:t>اللاإنسانية أو المهينة عن الإبلاغ عما تعرضوا له من سوء معاملة خوفاً من الانتقام. وقد يضع هذا العزوف المحامين في موقف صعب، إذ لا يمكنهم الشروع في أي إجراء قانوني دون موافقة موكليهم. وفي هذا الصدد، يُوصى بإعداد قاعدة بيانات وطنية للادعاءات وأحداث التعذيب وسوء المعاملة، بما في ذلك المعلومات المجهولة المصدر والسرية التي يتم الحصول عليها في إطار أسرار المهنة</w:t>
      </w:r>
      <w:r w:rsidRPr="00B8252B">
        <w:rPr>
          <w:spacing w:val="0"/>
          <w:kern w:val="0"/>
          <w:sz w:val="20"/>
          <w:vertAlign w:val="superscript"/>
          <w:rtl/>
          <w:lang w:val="fr-CH" w:eastAsia="en-US"/>
        </w:rPr>
        <w:t>(</w:t>
      </w:r>
      <w:r w:rsidRPr="00B8252B">
        <w:rPr>
          <w:b/>
          <w:spacing w:val="0"/>
          <w:kern w:val="0"/>
          <w:szCs w:val="28"/>
          <w:vertAlign w:val="superscript"/>
          <w:rtl/>
          <w:lang w:val="fr-CH" w:eastAsia="en-US"/>
        </w:rPr>
        <w:footnoteReference w:id="33"/>
      </w:r>
      <w:r w:rsidRPr="00B8252B">
        <w:rPr>
          <w:spacing w:val="0"/>
          <w:kern w:val="0"/>
          <w:sz w:val="20"/>
          <w:vertAlign w:val="superscript"/>
          <w:rtl/>
          <w:lang w:val="fr-CH" w:eastAsia="en-US"/>
        </w:rPr>
        <w:t>)</w:t>
      </w:r>
      <w:r w:rsidRPr="00B8252B">
        <w:rPr>
          <w:rFonts w:hint="cs"/>
          <w:spacing w:val="0"/>
          <w:kern w:val="0"/>
          <w:sz w:val="20"/>
          <w:rtl/>
          <w:lang w:val="fr-CH" w:eastAsia="en-US"/>
        </w:rPr>
        <w:t>. ومن شأن مثل هذا السجل أن يكون مصدراً للمعلومات المفيدة التي يمكنها أن تحدد الحالات التي تستلزم اتخاذ إجراء عاجل، والتي يمكنها أيضاً أن تساعد في اتخاذ واعتماد تدابير وقائية. وينبغي أن يتاح أيضاً للآليات الوقائية الوطنية وللهيئات المماثلة الأخرى المخولة سلطة منع التعذيب وسوء المعاملة ومعالجة الشكاوى المتصلة بهما، الوصول إلى السجل الوطني للادعاءات ولأحداث التعذيب وسوء المعاملة.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82-</w:t>
      </w:r>
      <w:r w:rsidRPr="00B8252B">
        <w:rPr>
          <w:rFonts w:hint="cs"/>
          <w:spacing w:val="0"/>
          <w:kern w:val="0"/>
          <w:sz w:val="20"/>
          <w:rtl/>
          <w:lang w:val="fr-CH" w:eastAsia="en-US"/>
        </w:rPr>
        <w:tab/>
        <w:t>وينبغي أن تكون العلاقة بين محامي الدفاع العام والآلية الوقائية الوطنية علاقة تكامل وتنسيق. وينبغي لكلتا الجهتين، المعنيتين من الناحية المؤسسية بمنع التعذيب وسوء المعاملة، متابعة مختلف التوصيات، وتبادل برامج العمل، وتخطيط أعمالهما بشأن المسائل المشتركة، ولا</w:t>
      </w:r>
      <w:r w:rsidRPr="00B8252B">
        <w:rPr>
          <w:rFonts w:hint="eastAsia"/>
          <w:spacing w:val="0"/>
          <w:kern w:val="0"/>
          <w:sz w:val="20"/>
          <w:rtl/>
          <w:lang w:val="fr-CH" w:eastAsia="en-US"/>
        </w:rPr>
        <w:t> </w:t>
      </w:r>
      <w:r w:rsidRPr="00B8252B">
        <w:rPr>
          <w:rFonts w:hint="cs"/>
          <w:spacing w:val="0"/>
          <w:kern w:val="0"/>
          <w:sz w:val="20"/>
          <w:rtl/>
          <w:lang w:val="fr-CH" w:eastAsia="en-US"/>
        </w:rPr>
        <w:t>سيما لتجنب أعمال الانتقام عقب زيارات المتابعة.</w:t>
      </w:r>
    </w:p>
    <w:p w:rsidR="00B8252B" w:rsidRPr="00B8252B" w:rsidRDefault="00B8252B" w:rsidP="007D1954">
      <w:pPr>
        <w:pStyle w:val="HChGA"/>
        <w:rPr>
          <w:rFonts w:hint="cs"/>
          <w:kern w:val="0"/>
          <w:rtl/>
          <w:lang w:val="fr-CH" w:eastAsia="en-US"/>
        </w:rPr>
      </w:pPr>
      <w:r w:rsidRPr="00B8252B">
        <w:rPr>
          <w:rFonts w:hint="cs"/>
          <w:kern w:val="0"/>
          <w:rtl/>
          <w:lang w:val="fr-CH" w:eastAsia="en-US"/>
        </w:rPr>
        <w:tab/>
      </w:r>
      <w:bookmarkStart w:id="19" w:name="_Toc322593358"/>
      <w:r w:rsidRPr="00B8252B">
        <w:rPr>
          <w:rFonts w:hint="cs"/>
          <w:kern w:val="0"/>
          <w:rtl/>
          <w:lang w:val="fr-CH" w:eastAsia="en-US"/>
        </w:rPr>
        <w:t>سادساً-</w:t>
      </w:r>
      <w:r w:rsidRPr="00B8252B">
        <w:rPr>
          <w:rFonts w:hint="cs"/>
          <w:kern w:val="0"/>
          <w:rtl/>
          <w:lang w:val="fr-CH" w:eastAsia="en-US"/>
        </w:rPr>
        <w:tab/>
        <w:t>استشراف المستقبل</w:t>
      </w:r>
      <w:bookmarkEnd w:id="19"/>
    </w:p>
    <w:p w:rsidR="00B8252B" w:rsidRPr="00B8252B" w:rsidRDefault="00B8252B" w:rsidP="007D1954">
      <w:pPr>
        <w:pStyle w:val="H1GA"/>
        <w:rPr>
          <w:rFonts w:hint="cs"/>
          <w:kern w:val="0"/>
          <w:rtl/>
          <w:lang w:val="fr-CH" w:eastAsia="en-US"/>
        </w:rPr>
      </w:pPr>
      <w:r w:rsidRPr="00B8252B">
        <w:rPr>
          <w:rFonts w:hint="cs"/>
          <w:kern w:val="0"/>
          <w:rtl/>
          <w:lang w:val="fr-CH" w:eastAsia="en-US"/>
        </w:rPr>
        <w:tab/>
      </w:r>
      <w:bookmarkStart w:id="20" w:name="_Toc322593359"/>
      <w:r w:rsidRPr="00B8252B">
        <w:rPr>
          <w:rFonts w:hint="cs"/>
          <w:kern w:val="0"/>
          <w:rtl/>
          <w:lang w:val="fr-CH" w:eastAsia="en-US"/>
        </w:rPr>
        <w:t>ألف-</w:t>
      </w:r>
      <w:r w:rsidRPr="00B8252B">
        <w:rPr>
          <w:rFonts w:hint="cs"/>
          <w:kern w:val="0"/>
          <w:rtl/>
          <w:lang w:val="fr-CH" w:eastAsia="en-US"/>
        </w:rPr>
        <w:tab/>
        <w:t>النهج الجديد لإنجاز ولاية اللجنة الفرعية</w:t>
      </w:r>
      <w:bookmarkEnd w:id="20"/>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val="fr-CH" w:eastAsia="en-US"/>
        </w:rPr>
      </w:pPr>
      <w:r w:rsidRPr="00B8252B">
        <w:rPr>
          <w:rFonts w:hint="cs"/>
          <w:spacing w:val="2"/>
          <w:kern w:val="0"/>
          <w:sz w:val="20"/>
          <w:rtl/>
          <w:lang w:val="fr-CH" w:eastAsia="en-US"/>
        </w:rPr>
        <w:t>83-</w:t>
      </w:r>
      <w:r w:rsidRPr="00B8252B">
        <w:rPr>
          <w:rFonts w:hint="cs"/>
          <w:spacing w:val="2"/>
          <w:kern w:val="0"/>
          <w:sz w:val="20"/>
          <w:rtl/>
          <w:lang w:val="fr-CH" w:eastAsia="en-US"/>
        </w:rPr>
        <w:tab/>
        <w:t>على نحو ما ذُكر آنفاً في الفرع ألف من الفصل الرابع، يعكف أعضاء اللجنة الفرعية، بعد توسيع نطاقها، على وضع أساليب عمل جديدة تعزز قدرة اللجنة الفرعية على أداء ولايتها. وتشمل طرق العمل هذه نظماً مبسطة لتقديم المشورة والمساعدة للدول فيما يتعلق بإنشاء الآليات الوقائية الوطنية والمشاركة في العمل معها؛ ووضع المزيد من الإجراءات الرسمية للدخول في حوار مع الدول بشأن الزيارات؛ وتطوير الاجتهادات القانونية للجنة الفرعية والاتصال بهيئات وطنية وإقليمية ودولية أخرى. وتدرك اللجنة الفرعية أن أساليب العمل الموضوعة مؤخراً قد تحتاج لمزيد من التحسين في ضوء الخبرة المكتسبة، بغية زيادة فعاليتها.</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84-</w:t>
      </w:r>
      <w:r w:rsidRPr="00B8252B">
        <w:rPr>
          <w:rFonts w:hint="cs"/>
          <w:spacing w:val="0"/>
          <w:kern w:val="0"/>
          <w:sz w:val="20"/>
          <w:rtl/>
          <w:lang w:val="fr-CH" w:eastAsia="en-US"/>
        </w:rPr>
        <w:tab/>
        <w:t>ومع أن اللجنة الفرعية تسلم بأن تحسين قدرتها اقتضى نوعاً من التغيير، فقد سعت إلى ضمان استناد هذا التغيير إلى إنجازاتها السابقة على نحو إيجابي. وسعت اللجنة الفرعية أيضاً إلى الاستفادة من هذه الحاجة في تعزيز مشاركتها ونشاطها واستجابتها للحاجة الوقائية، مع استثمار حصيلة خبراتها وتجاربها المتزايدة. وتعترف اللجنة الفرعية، في الوقت نفسه، بأن تنوع الآراء والنُهج يمكن أن يشكل تحديات، وأن النهج المنسق الذي يستند إلى الممارسات المؤسسية للأمم المتحدة والمفوضية السامية لحقوق الإنسان لا غنى عنه لكي تؤدي اللجنة الفرعية ولايتها المحددة. وتدرك اللجنة الفرعية أيضاً أن عملها يجب أن يكون ذا فائدة عملية لتلبية احتياجات نظم مختلفة، وأن يتم ذلك بطريقة تتناسب مع خصائص هذه النظم.</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85-</w:t>
      </w:r>
      <w:r w:rsidRPr="00B8252B">
        <w:rPr>
          <w:rFonts w:hint="cs"/>
          <w:spacing w:val="0"/>
          <w:kern w:val="0"/>
          <w:sz w:val="20"/>
          <w:rtl/>
          <w:lang w:val="fr-CH" w:eastAsia="en-US"/>
        </w:rPr>
        <w:tab/>
        <w:t>وتعتقد اللجنة الفرعية أن تطوير ولايتها الوقائية في سياق الأمم المتحدة والمفوضية السامية لحقوق الإنسان يتيح لها الاستفادة من مجموعة واسعة من الخبرات، وستواصل اللجنة الفرعية السعي للاستفادة من هذه الميزة إلى أقصى حد. وتدرك اللجنة الفرعية جيّداً أن محدودية الموارد تؤثر على أعمال المفوضية السامية لحقوق الإنسان وعلى قدرتها على توفير اعتمادات كافية للجنة الفرعية على النحو المنشود. وستواصل اللجنة الفرعية العمل الوثيق مع المفوضية السامية لحقوق الإنسان في العام المقبل من أجل بحث سبل الاستفادة إلى أقصى حدّ من الموارد المتاحة لها، وتعتقد اللجنة الفرعية أن ذلك يمكن أن يتحقق على أفضل نحو بتحسين قدرتها على ممارسة المرونة العملية في إطار مواردها المتاحة.</w:t>
      </w:r>
    </w:p>
    <w:p w:rsidR="00B8252B" w:rsidRPr="00B8252B" w:rsidRDefault="00B8252B" w:rsidP="007D1954">
      <w:pPr>
        <w:pStyle w:val="H1GA"/>
        <w:rPr>
          <w:rFonts w:hint="cs"/>
          <w:kern w:val="0"/>
          <w:rtl/>
          <w:lang w:val="fr-CH" w:eastAsia="en-US"/>
        </w:rPr>
      </w:pPr>
      <w:r w:rsidRPr="00B8252B">
        <w:rPr>
          <w:rFonts w:hint="cs"/>
          <w:kern w:val="0"/>
          <w:rtl/>
          <w:lang w:val="fr-CH" w:eastAsia="en-US"/>
        </w:rPr>
        <w:tab/>
      </w:r>
      <w:bookmarkStart w:id="21" w:name="_Toc322593360"/>
      <w:r w:rsidRPr="00B8252B">
        <w:rPr>
          <w:rFonts w:hint="cs"/>
          <w:kern w:val="0"/>
          <w:rtl/>
          <w:lang w:val="fr-CH" w:eastAsia="en-US"/>
        </w:rPr>
        <w:t>باء-</w:t>
      </w:r>
      <w:r w:rsidRPr="00B8252B">
        <w:rPr>
          <w:rFonts w:hint="cs"/>
          <w:kern w:val="0"/>
          <w:rtl/>
          <w:lang w:val="fr-CH" w:eastAsia="en-US"/>
        </w:rPr>
        <w:tab/>
        <w:t>خطة العمل لعام 2012</w:t>
      </w:r>
      <w:bookmarkEnd w:id="21"/>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86-</w:t>
      </w:r>
      <w:r w:rsidRPr="00B8252B">
        <w:rPr>
          <w:rFonts w:hint="cs"/>
          <w:spacing w:val="0"/>
          <w:kern w:val="0"/>
          <w:sz w:val="20"/>
          <w:rtl/>
          <w:lang w:val="fr-CH" w:eastAsia="en-US"/>
        </w:rPr>
        <w:tab/>
        <w:t>تأمل اللجنة الفرعية، بتوخي النهج الجديد في العمل مع الآليات الوقائية الوطنية وأنشطة المتابعة، في أن تحقق تأثيراً أكبر في أداء ولايتها بكفاءة. وسوف تساعد الاستراتيجية الجديدة على إنشاء طائفة منهجية من الأنشطة المتعلقة بالآليات الوقائية الوطنية وفرص للمشاركة مع هذه الآليات لضمان الحوار الوقائي المستمر والبنّاء. وسوف يُستفاد أيضاً من هذه العملية لضمان الاتصال بالدول الأطراف الجديدة في أقرب وقت ممكن. ويتزايد اقتناع اللجنة الفرعية بأن إقامة علاقات مع الدول الأطراف فور دخولها منظومة البروتوكول الاختياري يمكن أن تكون في حدّ ذاتها أداة وقائية فعالة.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87-</w:t>
      </w:r>
      <w:r w:rsidRPr="00B8252B">
        <w:rPr>
          <w:rFonts w:hint="cs"/>
          <w:spacing w:val="0"/>
          <w:kern w:val="0"/>
          <w:sz w:val="20"/>
          <w:rtl/>
          <w:lang w:val="fr-CH" w:eastAsia="en-US"/>
        </w:rPr>
        <w:tab/>
        <w:t>وحددت اللجنة الفرعية طائفة من المسائل التي ترغب في بحثها في مرحلة عملها التالية. وهي تشمل مسائل موضوعية بشأن ما يلي: التعذيب في سياق السجون؛ والعلاقة بين العدالة التقليدية للشعوب الأصلية؛ ومنع تعذيب واحتجاز المهاجرين. وتشمل المسائل التنظيمية والإجرائية المقرر بحثها ما يلي: تنسيق سبل العمل مع الهيئات الأخرى؛ وتحديد سبل إنفاذ المادة 16 من الاتفاقية في حال عدم تعاون الدول، والظروف التي يكون فيها هذا الإجراء مناسباً؛ وبحث إمكانية إقامة علاقات مع الهيئات الإقليمية لحقوق الإنسان؛ ووضع معايير تمكّن الدول من الوصول إلى الصندوق الخاص.</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88-</w:t>
      </w:r>
      <w:r w:rsidRPr="00B8252B">
        <w:rPr>
          <w:rFonts w:hint="cs"/>
          <w:spacing w:val="0"/>
          <w:kern w:val="0"/>
          <w:sz w:val="20"/>
          <w:rtl/>
          <w:lang w:val="fr-CH" w:eastAsia="en-US"/>
        </w:rPr>
        <w:tab/>
        <w:t>وقد تقرر في الدورة الخامسة عشرة للجنة الفرعية المعقودة في تشرين الثاني/ نوفمبر</w:t>
      </w:r>
      <w:r w:rsidRPr="00B8252B">
        <w:rPr>
          <w:rFonts w:hint="eastAsia"/>
          <w:spacing w:val="0"/>
          <w:kern w:val="0"/>
          <w:sz w:val="20"/>
          <w:rtl/>
          <w:lang w:val="fr-CH" w:eastAsia="en-US"/>
        </w:rPr>
        <w:t> </w:t>
      </w:r>
      <w:r w:rsidRPr="00B8252B">
        <w:rPr>
          <w:rFonts w:hint="cs"/>
          <w:spacing w:val="0"/>
          <w:kern w:val="0"/>
          <w:sz w:val="20"/>
          <w:rtl/>
          <w:lang w:val="fr-CH" w:eastAsia="en-US"/>
        </w:rPr>
        <w:t xml:space="preserve">2011 أن تقوم اللجنة الفرعية خلال عام 2012 بست زيارات قطرية إلى </w:t>
      </w:r>
      <w:r w:rsidRPr="00B8252B">
        <w:rPr>
          <w:rFonts w:hint="cs"/>
          <w:spacing w:val="-2"/>
          <w:kern w:val="0"/>
          <w:sz w:val="20"/>
          <w:rtl/>
          <w:lang w:val="fr-CH" w:eastAsia="en-US"/>
        </w:rPr>
        <w:t>الأرجنتين، وجمهورية مولدوفا، والسنغال، وغابون، وقيرغيزستان، وهندوراس. وفي إطار الزيارات المقررة إلى جمهورية مولدوفا والسنغال وهندوراس، ستتناول اللجنة الفرعية أساساً المسائل المتصلة بالآليات الوقائية الوطنية، على النحو المنصوص عليه في البروتوكول الاختياري.</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B8252B">
        <w:rPr>
          <w:rFonts w:hint="cs"/>
          <w:spacing w:val="0"/>
          <w:kern w:val="0"/>
          <w:sz w:val="20"/>
          <w:rtl/>
          <w:lang w:val="fr-CH" w:eastAsia="en-US"/>
        </w:rPr>
        <w:t>89-</w:t>
      </w:r>
      <w:r w:rsidRPr="00B8252B">
        <w:rPr>
          <w:rFonts w:hint="cs"/>
          <w:spacing w:val="0"/>
          <w:kern w:val="0"/>
          <w:sz w:val="20"/>
          <w:rtl/>
          <w:lang w:val="fr-CH" w:eastAsia="en-US"/>
        </w:rPr>
        <w:tab/>
        <w:t>وفي سياق تحديد بلدان الزيارات، ستواص</w:t>
      </w:r>
      <w:r w:rsidRPr="00B8252B">
        <w:rPr>
          <w:rFonts w:hint="eastAsia"/>
          <w:spacing w:val="0"/>
          <w:kern w:val="0"/>
          <w:sz w:val="20"/>
          <w:rtl/>
          <w:lang w:val="fr-CH" w:eastAsia="en-US"/>
        </w:rPr>
        <w:t>ل</w:t>
      </w:r>
      <w:r w:rsidRPr="00B8252B">
        <w:rPr>
          <w:rFonts w:hint="cs"/>
          <w:spacing w:val="0"/>
          <w:kern w:val="0"/>
          <w:sz w:val="20"/>
          <w:rtl/>
          <w:lang w:val="fr-CH" w:eastAsia="en-US"/>
        </w:rPr>
        <w:t xml:space="preserve"> اللجنة الفرعية المشاركة في علمية عقلانية تُراعى فيها عوامل مختلفة، منها تحقيق الاستفادة المثلى من اللجنة الفرعية الموسعة، وتحقيق الاستفادة المثلى من الموارد المالية المتاحة، وضمان التغطية المناسبة للدول الأطراف. وبالإضافة إلى ذلك، وعلى غرار ما جرى في الماضي، تولي اللجنة الفرعية اعتباراً مناسباً لتاريخ التصديق، وتاريخ إنشاء الآليات الوقائية الوطنية، والتوزيع الجغرافي للدول وحجمها وتعقيداتها، والرصد الوقائي على المستوى الإقليمي، والمسائل المحددة/العاجلة المبلغ عنها.</w:t>
      </w:r>
    </w:p>
    <w:p w:rsidR="00B8252B" w:rsidRPr="00286181" w:rsidRDefault="00B8252B" w:rsidP="00286181">
      <w:pPr>
        <w:pStyle w:val="HChGA"/>
        <w:spacing w:before="120"/>
        <w:rPr>
          <w:rFonts w:ascii="Times New Roman Bold" w:hAnsi="Times New Roman Bold" w:hint="cs"/>
          <w:spacing w:val="0"/>
          <w:kern w:val="0"/>
          <w:rtl/>
          <w:lang w:eastAsia="en-US"/>
        </w:rPr>
      </w:pPr>
      <w:r w:rsidRPr="00286181">
        <w:rPr>
          <w:rFonts w:ascii="Times New Roman Bold" w:hAnsi="Times New Roman Bold" w:hint="cs"/>
          <w:spacing w:val="0"/>
          <w:kern w:val="0"/>
          <w:rtl/>
          <w:lang w:eastAsia="en-US"/>
        </w:rPr>
        <w:t>المرفق الثامن</w:t>
      </w:r>
    </w:p>
    <w:p w:rsidR="00B8252B" w:rsidRPr="00286181" w:rsidRDefault="00B8252B" w:rsidP="00286181">
      <w:pPr>
        <w:pStyle w:val="HChGA"/>
        <w:jc w:val="lowKashida"/>
        <w:rPr>
          <w:rFonts w:ascii="Times New Roman Bold" w:hAnsi="Times New Roman Bold" w:hint="cs"/>
          <w:spacing w:val="0"/>
          <w:kern w:val="0"/>
          <w:rtl/>
          <w:lang w:eastAsia="en-US"/>
        </w:rPr>
      </w:pPr>
      <w:r w:rsidRPr="00286181">
        <w:rPr>
          <w:rFonts w:ascii="Times New Roman Bold" w:hAnsi="Times New Roman Bold" w:hint="cs"/>
          <w:spacing w:val="0"/>
          <w:kern w:val="0"/>
          <w:rtl/>
          <w:lang w:eastAsia="en-US"/>
        </w:rPr>
        <w:tab/>
      </w:r>
      <w:r w:rsidRPr="00286181">
        <w:rPr>
          <w:rFonts w:ascii="Times New Roman Bold" w:hAnsi="Times New Roman Bold" w:hint="cs"/>
          <w:spacing w:val="0"/>
          <w:kern w:val="0"/>
          <w:rtl/>
          <w:lang w:eastAsia="en-US"/>
        </w:rPr>
        <w:tab/>
        <w:t>بيان مشترك بمناسبة يوم الأمم المتحدة الدولي لمساندة ضحايا التعذيب</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right"/>
        <w:rPr>
          <w:rFonts w:hint="cs"/>
          <w:spacing w:val="0"/>
          <w:kern w:val="0"/>
          <w:sz w:val="20"/>
          <w:rtl/>
          <w:lang w:eastAsia="en-US"/>
        </w:rPr>
      </w:pPr>
      <w:r w:rsidRPr="00B8252B">
        <w:rPr>
          <w:rFonts w:hint="cs"/>
          <w:spacing w:val="0"/>
          <w:kern w:val="0"/>
          <w:sz w:val="20"/>
          <w:rtl/>
          <w:lang w:eastAsia="en-US"/>
        </w:rPr>
        <w:t>26 حزيران/يونيه 2012</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i/>
          <w:iCs/>
          <w:spacing w:val="0"/>
          <w:kern w:val="0"/>
          <w:sz w:val="20"/>
          <w:rtl/>
          <w:lang w:eastAsia="en-US"/>
        </w:rPr>
      </w:pPr>
      <w:r w:rsidRPr="00B8252B">
        <w:rPr>
          <w:rFonts w:hint="cs"/>
          <w:i/>
          <w:iCs/>
          <w:spacing w:val="0"/>
          <w:kern w:val="0"/>
          <w:sz w:val="20"/>
          <w:rtl/>
          <w:lang w:eastAsia="en-US"/>
        </w:rPr>
        <w:tab/>
        <w:t>أحيت لجنة الأمم المتحدة لمناهضة التعذيب، واللجنة الفرعية لمنع التعذيب، والمقرر الخاص المعني بالتعذيب وغيره من ضروب المعاملة أو العقوبة القاسية أو اللاإنسانية أو المهينة، ومجلس إدارة صندوق الأمم المتحدة للتبرعات لفائدة ضحايا التعذيب، اليوم الدولي لمساندة ضحايا التعذيب والذكرى الثلاثين لإنشاء صندوق التبرعات لفائدة ضحايا التعذيب بإصدار البيان التالي:</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تمكن رجل كان محتجزاً احتجازاً تعسفياً من الوصول إلى هيئات الأمم المتحدة لحقوق الإنسان ملتمسا للعدالة. وفي الوقت الذي أصدرت فيه إحدى هيئات الأمم المتحدة حكماً في صالحه، واجه الرجل عمليات انتقامية خطيرة بسبب تحدثه على الملأ دفاعاً عن حقوقه. فرُفض حصوله على العلاج الطبي، ووضع في الحبس الاحتياطي وزُعم أنه تعرض للضرب على أيدي سلطات السجن.</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واليوم، وبمناسبة اليوم الدولي لمساندة ضحايا التعذيب، نذكّر الدول بأن عليها التزاماً بحماية مثل هؤلاء الأفراد، وضمان عدم تعرضهم للعمليات الانتقامية أو الترهيب لتعاونهم مع هيئات الأمم المتحدة.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وفي كل سنة، تتلقى لجنة مناهضة التعذيب وخبراء مستقلون يعينهم مجلس حقوق الإنسان بلاغات فردية من ضحايا التعذيب، ومعلومات عن انتهاكات مزعومة يقدمها المدافعون عن حقوق الإنسان والعناصر الفاعلة في المجتمع المدني من جميع أنحاء العالم لكي ينظروا فيها في إطار تقاريرهم. ويستجمع كثير من المحتجزين شجاعتهم، معرضين أنفسهم لمخاطر شخصية هائلة، ليطلعوا اللجنة الفرعية لمنع التعذيب والمقرر الخاص المعني بمسألة التعذيب على تجاربهم الصادمة مع التعذيب وسوء المعاملة في أثناء زياراتهم إلى أماكن الاحتجاز.</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وفي كل سنة، يقدم المئات من مراكز إعادة التأهيل، الكبير منها والصغير، بدعم من صندوق الأمم المتحدة للتبرعات لضحايا التعذيب، ما لا غنى عنه من المساعدات الإنسانية والطبية والقانونية إلى آلاف ضحايا التعذيب وأفراد أسرهم.</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3"/>
          <w:kern w:val="0"/>
          <w:sz w:val="20"/>
          <w:rtl/>
          <w:lang w:eastAsia="en-US"/>
        </w:rPr>
      </w:pPr>
      <w:r w:rsidRPr="00B8252B">
        <w:rPr>
          <w:rFonts w:hint="cs"/>
          <w:spacing w:val="-3"/>
          <w:kern w:val="0"/>
          <w:sz w:val="20"/>
          <w:rtl/>
          <w:lang w:eastAsia="en-US"/>
        </w:rPr>
        <w:tab/>
        <w:t>ويتعرض العديد من هؤلاء الضحايا، الذين يمكّنوننا من أداء عملنا بتقديم خبرات لا تقدر بثمن وبإطلاعنا على ما يقاسونه من معاناة، للترهيب وأعمال الانتقام.</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إن أعمال الانتقام التي ترتكب ضد الأشخاص الذين يتعاونون مع آليات الأمم المتحدة في أثناء حماية حقوق الإنسان والنهوض بها مسألة غير مقبولة تنتهك القانون الدولي وما على الدول من التزامات قانونية. ويجب إيجاد وسيلة فعالة لضمان عدم حدوث هذه الأعمال الانتقامية، وفي حال وقوعها، مساءلة الأفراد الضالعين فيها وكذلك الدولة عنها.</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 xml:space="preserve">فبموجب اتفاقية مناهضة التعذيب </w:t>
      </w:r>
      <w:r w:rsidRPr="00B8252B">
        <w:rPr>
          <w:spacing w:val="0"/>
          <w:kern w:val="0"/>
          <w:sz w:val="20"/>
          <w:rtl/>
          <w:lang w:eastAsia="en-US"/>
        </w:rPr>
        <w:t>وغـيره من ضروب المعاملة أو العقوبة القاسية أو اللاإنسانية أو المهينة</w:t>
      </w:r>
      <w:r w:rsidRPr="00B8252B">
        <w:rPr>
          <w:rFonts w:hint="cs"/>
          <w:spacing w:val="0"/>
          <w:kern w:val="0"/>
          <w:sz w:val="20"/>
          <w:rtl/>
          <w:lang w:eastAsia="en-US"/>
        </w:rPr>
        <w:t xml:space="preserve">، يقع على الدول التزام باتخاذ خطوات لضمان توفير الحماية لأصحاب الشكاوى والشهود أو أي فرد آخر أو منظمة تتعاون مع اللجنة من سوء المعاملة أو الترهيب أو أعمال الانتقام. وبالمثل، تطلب اللجنة الفرعية لمنع التعذيب </w:t>
      </w:r>
      <w:r w:rsidRPr="00B8252B">
        <w:rPr>
          <w:spacing w:val="0"/>
          <w:kern w:val="0"/>
          <w:sz w:val="20"/>
          <w:rtl/>
          <w:lang w:eastAsia="en-US"/>
        </w:rPr>
        <w:t>وغـيره من ضروب المعاملة أو العقوبة القاسية أو اللاإنسانية أو المهينة</w:t>
      </w:r>
      <w:r w:rsidRPr="00B8252B">
        <w:rPr>
          <w:rFonts w:hint="cs"/>
          <w:spacing w:val="0"/>
          <w:kern w:val="0"/>
          <w:sz w:val="20"/>
          <w:rtl/>
          <w:lang w:eastAsia="en-US"/>
        </w:rPr>
        <w:t xml:space="preserve"> إلى الدول الأطراف التقيد التام بما عليها من التزامات بموجب البروتوكول الاختياري لاتفاقية مناهضة التعذيب، من أجل كفالة عدم معاقبة الأشخاص الذين تلتقي بهم في أثناء زياراتها نتيجة لتعاونهم معها.</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وقد ذكرت الجمعية العامة مؤخراً، حين حثت الدول على إنشاء ودعم مراكز أو مرافق إعادة التأهيل لكي يتمكن ضحايا التعذيب من تلقي العلاج فيها، أنه ينبغي للدول أيضاً أن تكفل سلامة موظفيها ومرضاها.</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928" w:right="1247"/>
        <w:jc w:val="lowKashida"/>
        <w:rPr>
          <w:rFonts w:hint="cs"/>
          <w:spacing w:val="0"/>
          <w:kern w:val="0"/>
          <w:sz w:val="20"/>
          <w:rtl/>
          <w:lang w:eastAsia="en-US"/>
        </w:rPr>
      </w:pPr>
      <w:r w:rsidRPr="00B8252B">
        <w:rPr>
          <w:rFonts w:hint="cs"/>
          <w:spacing w:val="0"/>
          <w:kern w:val="0"/>
          <w:sz w:val="20"/>
          <w:rtl/>
          <w:lang w:eastAsia="en-US"/>
        </w:rPr>
        <w:tab/>
        <w:t>وفي هذا اليوم، نقف متضامنين مع أولئك الذين وضعوا ثقتهم في آليات الأمم المتحدة، بعد أن عانوا من أسوأ أشكال التعذيب وسوء المعاملة، على الرغم من خطر تعرضهم للأعمال الانتقامية. ويتحتم على الدول أن تترجم تعهدها بمكافحة التعذيب إلى تدابير تكفل عدم تعرض الضحايا والمدافعين عن حقوق الإنسان المشاركين في آليات الأمم المتحدة للأعمال الانتقامية ومعاودة الإيذاء.</w:t>
      </w:r>
    </w:p>
    <w:p w:rsidR="00B8252B" w:rsidRPr="00B8252B" w:rsidRDefault="009120CD" w:rsidP="009120CD">
      <w:pPr>
        <w:pStyle w:val="HChGA"/>
        <w:spacing w:before="120"/>
        <w:rPr>
          <w:rFonts w:hint="cs"/>
          <w:kern w:val="0"/>
          <w:rtl/>
          <w:lang w:eastAsia="en-US"/>
        </w:rPr>
      </w:pPr>
      <w:r>
        <w:rPr>
          <w:kern w:val="0"/>
          <w:rtl/>
          <w:lang w:eastAsia="en-US"/>
        </w:rPr>
        <w:br w:type="page"/>
      </w:r>
      <w:r w:rsidR="00B8252B" w:rsidRPr="00B8252B">
        <w:rPr>
          <w:rFonts w:hint="cs"/>
          <w:kern w:val="0"/>
          <w:rtl/>
          <w:lang w:eastAsia="en-US"/>
        </w:rPr>
        <w:t>المرفق التاسع</w:t>
      </w:r>
    </w:p>
    <w:p w:rsidR="00B8252B" w:rsidRPr="00B8252B" w:rsidRDefault="00B8252B" w:rsidP="009120CD">
      <w:pPr>
        <w:pStyle w:val="HChGA"/>
        <w:jc w:val="lowKashida"/>
        <w:rPr>
          <w:rFonts w:hint="cs"/>
          <w:kern w:val="0"/>
          <w:rtl/>
          <w:lang w:eastAsia="en-US"/>
        </w:rPr>
      </w:pPr>
      <w:r w:rsidRPr="00B8252B">
        <w:rPr>
          <w:rFonts w:hint="cs"/>
          <w:kern w:val="0"/>
          <w:rtl/>
          <w:lang w:eastAsia="en-US"/>
        </w:rPr>
        <w:tab/>
      </w:r>
      <w:r w:rsidRPr="00B8252B">
        <w:rPr>
          <w:rFonts w:hint="cs"/>
          <w:kern w:val="0"/>
          <w:rtl/>
          <w:lang w:eastAsia="en-US"/>
        </w:rPr>
        <w:tab/>
        <w:t>بيان شفوي بالآثار المترتبة في الميزانية البرنامجية وفقاً للمادة 26 من النظام الداخلي للجنة مناهضة التعذيب</w:t>
      </w:r>
    </w:p>
    <w:p w:rsidR="00B8252B" w:rsidRPr="00B8252B" w:rsidRDefault="00B8252B" w:rsidP="00D731BA">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eastAsia="en-US"/>
        </w:rPr>
      </w:pPr>
      <w:r w:rsidRPr="00B8252B">
        <w:rPr>
          <w:rFonts w:hint="cs"/>
          <w:spacing w:val="0"/>
          <w:kern w:val="0"/>
          <w:sz w:val="20"/>
          <w:rtl/>
          <w:lang w:eastAsia="en-US"/>
        </w:rPr>
        <w:t>1-</w:t>
      </w:r>
      <w:r w:rsidRPr="00B8252B">
        <w:rPr>
          <w:rFonts w:hint="cs"/>
          <w:spacing w:val="0"/>
          <w:kern w:val="0"/>
          <w:sz w:val="20"/>
          <w:rtl/>
          <w:lang w:eastAsia="en-US"/>
        </w:rPr>
        <w:tab/>
        <w:t>تطلب لجنة مناهضة التعذيب، بموجب مقررها الصادر في 1 حزيران/يونيه</w:t>
      </w:r>
      <w:r w:rsidRPr="00B8252B">
        <w:rPr>
          <w:rFonts w:hint="eastAsia"/>
          <w:spacing w:val="0"/>
          <w:kern w:val="0"/>
          <w:sz w:val="20"/>
          <w:rtl/>
          <w:lang w:eastAsia="en-US"/>
        </w:rPr>
        <w:t> </w:t>
      </w:r>
      <w:r w:rsidRPr="00B8252B">
        <w:rPr>
          <w:rFonts w:hint="cs"/>
          <w:spacing w:val="0"/>
          <w:kern w:val="0"/>
          <w:sz w:val="20"/>
          <w:rtl/>
          <w:lang w:eastAsia="en-US"/>
        </w:rPr>
        <w:t>2012، إلى الجمعية العامة أن تأذن للجنة بأن تجتمع لمدة أسبوع إضافي في كل سنة في عامي 2013 و2014، أي بواقع أسبوع إضافي لجلسات كل من الدورات المقررة في أيار/مايو وتشرين الثاني/نوفمبر 2013، وفي أيار/مايو وتشرين الثاني/نوفمبر 2014، لمدة إجمالية تبلغ أربعة أسابيع إضافية.</w:t>
      </w:r>
    </w:p>
    <w:p w:rsidR="00B8252B" w:rsidRPr="00B8252B" w:rsidRDefault="00B8252B" w:rsidP="00D731BA">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eastAsia="en-US"/>
        </w:rPr>
      </w:pPr>
      <w:r w:rsidRPr="00B8252B">
        <w:rPr>
          <w:rFonts w:hint="cs"/>
          <w:spacing w:val="0"/>
          <w:kern w:val="0"/>
          <w:sz w:val="20"/>
          <w:rtl/>
          <w:lang w:eastAsia="en-US"/>
        </w:rPr>
        <w:t>2-</w:t>
      </w:r>
      <w:r w:rsidRPr="00B8252B">
        <w:rPr>
          <w:rFonts w:hint="cs"/>
          <w:spacing w:val="0"/>
          <w:kern w:val="0"/>
          <w:sz w:val="20"/>
          <w:rtl/>
          <w:lang w:eastAsia="en-US"/>
        </w:rPr>
        <w:tab/>
        <w:t>ويحق للجنة أن تحصل على ستة أسابيع سنوياً من وقت الاجتماع (دورتان من ثلاثة أسابيع كل سنة). وبناء على قرار الجمعية العامة 65/204، مُنحت اللجنة، على أساس مؤقت، وقت اجتماع إضافي مدته أسبوعان سنوياً في عامي 2011 و2012 (دورتان من أربعة أسابيع كل سنة).</w:t>
      </w:r>
    </w:p>
    <w:p w:rsidR="00B8252B" w:rsidRPr="00B8252B" w:rsidRDefault="00B8252B" w:rsidP="00D731BA">
      <w:pPr>
        <w:tabs>
          <w:tab w:val="left" w:pos="1928"/>
          <w:tab w:val="left" w:pos="2608"/>
          <w:tab w:val="left" w:pos="3289"/>
          <w:tab w:val="left" w:pos="3969"/>
          <w:tab w:val="left" w:pos="4649"/>
          <w:tab w:val="left" w:pos="5330"/>
        </w:tabs>
        <w:spacing w:after="120" w:line="360" w:lineRule="exact"/>
        <w:ind w:left="1247" w:right="1247"/>
        <w:jc w:val="lowKashida"/>
        <w:rPr>
          <w:rFonts w:hint="cs"/>
          <w:spacing w:val="-6"/>
          <w:kern w:val="0"/>
          <w:sz w:val="20"/>
          <w:rtl/>
          <w:lang w:eastAsia="en-US"/>
        </w:rPr>
      </w:pPr>
      <w:r w:rsidRPr="00B8252B">
        <w:rPr>
          <w:rFonts w:hint="cs"/>
          <w:spacing w:val="-6"/>
          <w:kern w:val="0"/>
          <w:sz w:val="20"/>
          <w:rtl/>
          <w:lang w:eastAsia="en-US"/>
        </w:rPr>
        <w:t>3-</w:t>
      </w:r>
      <w:r w:rsidRPr="00B8252B">
        <w:rPr>
          <w:rFonts w:hint="cs"/>
          <w:spacing w:val="-6"/>
          <w:kern w:val="0"/>
          <w:sz w:val="20"/>
          <w:rtl/>
          <w:lang w:eastAsia="en-US"/>
        </w:rPr>
        <w:tab/>
        <w:t>وإذا مُنح وقت الاجتماع الإضافية، فسوف يتيح للجنة مواصلة النظر في تقريرين إضافيين في كل دورة، أي ما مجموعه ثمانية تقارير إضافية في خلال فترة السنتين (2013 و2014).</w:t>
      </w:r>
    </w:p>
    <w:p w:rsidR="00B8252B" w:rsidRPr="00B8252B" w:rsidRDefault="00B8252B" w:rsidP="00D731BA">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eastAsia="en-US"/>
        </w:rPr>
      </w:pPr>
      <w:r w:rsidRPr="00B8252B">
        <w:rPr>
          <w:rFonts w:hint="cs"/>
          <w:spacing w:val="0"/>
          <w:kern w:val="0"/>
          <w:sz w:val="20"/>
          <w:rtl/>
          <w:lang w:eastAsia="en-US"/>
        </w:rPr>
        <w:t>4-</w:t>
      </w:r>
      <w:r w:rsidRPr="00B8252B">
        <w:rPr>
          <w:rFonts w:hint="cs"/>
          <w:spacing w:val="0"/>
          <w:kern w:val="0"/>
          <w:sz w:val="20"/>
          <w:rtl/>
          <w:lang w:eastAsia="en-US"/>
        </w:rPr>
        <w:tab/>
        <w:t>كما أن وقت الاجتماع الإضافي هذا سيتيح للجنة أن تواصل النظر، على أقل تقدير، في خمس شكاوى فردية إضافية في كل دورة، أي ما مجموعه 20 شكوى في خلال فترة السنتين (2013 و2014).</w:t>
      </w:r>
    </w:p>
    <w:p w:rsidR="00B8252B" w:rsidRPr="00B8252B" w:rsidRDefault="00B8252B" w:rsidP="00D731BA">
      <w:pPr>
        <w:tabs>
          <w:tab w:val="left" w:pos="1928"/>
          <w:tab w:val="left" w:pos="2608"/>
          <w:tab w:val="left" w:pos="3289"/>
          <w:tab w:val="left" w:pos="3969"/>
          <w:tab w:val="left" w:pos="4649"/>
          <w:tab w:val="left" w:pos="5330"/>
        </w:tabs>
        <w:spacing w:after="120" w:line="360" w:lineRule="exact"/>
        <w:ind w:left="1247" w:right="1247"/>
        <w:jc w:val="lowKashida"/>
        <w:rPr>
          <w:rFonts w:hint="cs"/>
          <w:spacing w:val="-2"/>
          <w:kern w:val="0"/>
          <w:sz w:val="20"/>
          <w:rtl/>
          <w:lang w:eastAsia="en-US"/>
        </w:rPr>
      </w:pPr>
      <w:r w:rsidRPr="00B8252B">
        <w:rPr>
          <w:rFonts w:hint="cs"/>
          <w:spacing w:val="-2"/>
          <w:kern w:val="0"/>
          <w:sz w:val="20"/>
          <w:rtl/>
          <w:lang w:eastAsia="en-US"/>
        </w:rPr>
        <w:t>5-</w:t>
      </w:r>
      <w:r w:rsidRPr="00B8252B">
        <w:rPr>
          <w:rFonts w:hint="cs"/>
          <w:spacing w:val="-2"/>
          <w:kern w:val="0"/>
          <w:sz w:val="20"/>
          <w:rtl/>
          <w:lang w:eastAsia="en-US"/>
        </w:rPr>
        <w:tab/>
        <w:t>وأخيراً، سيتيح وقت الاجتماع الإضافي للجنة كذلك أن تواصل إجرائها الاختياري المتعلق بالإبلاغ، فتعتمد بذلك 10 قوائم إضافية في المتوسط من قوائم المسائل في كل دورة، أي ما مجموعه 40 قائمة في خلال فترة السنتين (2013 و2014). ويتمثل هذا الإجراء في تقديم قائمة من المسائل إلى الدول الأطراف قبل أن تقدم تقاريرها إلى اللجنة، وقد ساعد ذلك الدول الأطراف في الإبلاغ بطريقة مركزة وفي الوقت المناسب، وقلل وقت الإبلاغ وتكاليفه.</w:t>
      </w:r>
    </w:p>
    <w:p w:rsidR="00B8252B" w:rsidRPr="00B8252B" w:rsidRDefault="00B8252B" w:rsidP="00D731BA">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eastAsia="en-US"/>
        </w:rPr>
      </w:pPr>
      <w:r w:rsidRPr="00B8252B">
        <w:rPr>
          <w:rFonts w:hint="cs"/>
          <w:spacing w:val="0"/>
          <w:kern w:val="0"/>
          <w:sz w:val="20"/>
          <w:rtl/>
          <w:lang w:eastAsia="en-US"/>
        </w:rPr>
        <w:t>6-</w:t>
      </w:r>
      <w:r w:rsidRPr="00B8252B">
        <w:rPr>
          <w:rFonts w:hint="cs"/>
          <w:spacing w:val="0"/>
          <w:kern w:val="0"/>
          <w:sz w:val="20"/>
          <w:rtl/>
          <w:lang w:eastAsia="en-US"/>
        </w:rPr>
        <w:tab/>
        <w:t>ومن ثم فإن هذا الطلب يتصل صراحةً بإمكانية قيام اللجنة بمواصلة (1) إجراء الإبلاغ الاختياري الذي تساعد به الدول الأطراف على الإبلاغ؛ و(2) خفض عدد التقارير المتراكمة التي لم يُنظر فيها بعد؛ وكذلك (3) خفض عدد شكاوى الأفراد المتراكمة التي تنتظر العرض على اللجنة، وتبلغ حاليا 115 قضية.</w:t>
      </w:r>
    </w:p>
    <w:p w:rsidR="00B8252B" w:rsidRPr="00B8252B" w:rsidRDefault="00B8252B" w:rsidP="00D731BA">
      <w:pPr>
        <w:tabs>
          <w:tab w:val="left" w:pos="1928"/>
          <w:tab w:val="left" w:pos="2608"/>
          <w:tab w:val="left" w:pos="3289"/>
          <w:tab w:val="left" w:pos="3969"/>
          <w:tab w:val="left" w:pos="4649"/>
          <w:tab w:val="left" w:pos="5330"/>
        </w:tabs>
        <w:spacing w:after="120" w:line="360" w:lineRule="exact"/>
        <w:ind w:left="1247" w:right="1247"/>
        <w:jc w:val="lowKashida"/>
        <w:rPr>
          <w:rFonts w:hint="cs"/>
          <w:spacing w:val="-6"/>
          <w:kern w:val="0"/>
          <w:sz w:val="20"/>
          <w:rtl/>
          <w:lang w:eastAsia="en-US"/>
        </w:rPr>
      </w:pPr>
      <w:r w:rsidRPr="00B8252B">
        <w:rPr>
          <w:rFonts w:hint="cs"/>
          <w:spacing w:val="-6"/>
          <w:kern w:val="0"/>
          <w:sz w:val="20"/>
          <w:rtl/>
          <w:lang w:eastAsia="en-US"/>
        </w:rPr>
        <w:t>7-</w:t>
      </w:r>
      <w:r w:rsidRPr="00B8252B">
        <w:rPr>
          <w:rFonts w:hint="cs"/>
          <w:spacing w:val="-6"/>
          <w:kern w:val="0"/>
          <w:sz w:val="20"/>
          <w:rtl/>
          <w:lang w:eastAsia="en-US"/>
        </w:rPr>
        <w:tab/>
        <w:t>وتتصل الأنشطة المقرر الاضطلاع بها بالباب 24، حقوق الإنسان؛ والباب 2، خدمات المؤتمرات؛ والباب 29 هاء، الإدارة، جنيف، من الميزانية البرنامجية لفترتي السنتين 2012-2013 و2014-2015.</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8-</w:t>
      </w:r>
      <w:r w:rsidRPr="00B8252B">
        <w:rPr>
          <w:rFonts w:hint="cs"/>
          <w:spacing w:val="0"/>
          <w:kern w:val="0"/>
          <w:sz w:val="20"/>
          <w:rtl/>
          <w:lang w:eastAsia="en-US"/>
        </w:rPr>
        <w:tab/>
        <w:t>وقد رُصدت مخصصات في الميزانية البرنامجية لفترة السنتين 2012-2013 لتكاليف السفر والبدل اليومي لعشرة من أعضاء اللجنة من أجل حضور دورتيها العاديتين السنويتين في جنيف لمدة أربعة أسابيع في عام 2012، ولمدة ثلاثة أسابيع في عام 2013، فضلاً عن خدمات المؤتمرات المقدمة إلى اللجنة.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9-</w:t>
      </w:r>
      <w:r w:rsidRPr="00B8252B">
        <w:rPr>
          <w:rFonts w:hint="cs"/>
          <w:spacing w:val="0"/>
          <w:kern w:val="0"/>
          <w:sz w:val="20"/>
          <w:rtl/>
          <w:lang w:eastAsia="en-US"/>
        </w:rPr>
        <w:tab/>
        <w:t>فإذا وافقت الجمعية العامة على هذا الطلب المقدم من اللجنة، فسوف يلزم رصد مخصصات لما مجموعه 40 جلسة إضافية من جلسات الدورات. وستتطلب الجلسات الإضافية للجنة توفير خدمات الترجمة الشفوية باللغات الرسمية. وستقدَّم محاضر موجزة لأربعين جلسة إضافية من جلسات دورات اللجنة. وستتطلب الجلسات الإضافية إصدار وثائق قبل الدورة يقدر عدد صفحاتها ﺑ600 صفحة، و480 صفحة في أثناء الدورة، و680 صفحة بعد الدورة، ليس من بينها سوى 280 صفحة بجميع اللغات الرسمية، وتكون البقية باللغات الرسمية الثلاث للجنة. فإذا وافقت الجمعية العامة على طلب اللجنة، فسوف يلزم توفير موارد إضافية لتكاليف البدل اليومي لأعضاء اللجنة فيما يتصل بالجلسات الإضافية، غير أن ثمة موارد إضافية ستكون مطلوبة للسفر.</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10-</w:t>
      </w:r>
      <w:r w:rsidRPr="00B8252B">
        <w:rPr>
          <w:rFonts w:hint="cs"/>
          <w:spacing w:val="0"/>
          <w:kern w:val="0"/>
          <w:sz w:val="20"/>
          <w:rtl/>
          <w:lang w:eastAsia="en-US"/>
        </w:rPr>
        <w:tab/>
        <w:t>وسيلزم توفير احتياجات إضافية من الوظائف لتغطية 28 شهر عمل برتبة ف-3 في أثناء فترة السنتين (2013-2014)، أي توفير مساعدة مؤقتة عامة لمدة 14 شهراً في السنة برتبة ف-3.</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11-</w:t>
      </w:r>
      <w:r w:rsidRPr="00B8252B">
        <w:rPr>
          <w:rFonts w:hint="cs"/>
          <w:spacing w:val="0"/>
          <w:kern w:val="0"/>
          <w:sz w:val="20"/>
          <w:rtl/>
          <w:lang w:eastAsia="en-US"/>
        </w:rPr>
        <w:tab/>
        <w:t>واستناداً إلى الخبرة، يحتاج الموظف الواحد من الفئة الفنية في المتوسط إلى أربعة أسابيع في كل مرة تنظر فيها اللجنة في تقرير لإحدى الدول الأطراف؛ وإلى أسبوع واحد للمساعدة في إعداد قائمة المسائل واعتمادها قبل الإبلاغ؛ وإلى أسبوعين لمساعدة اللجنة في الفصل في الشكوى المقدمة من فرد واحد. وفيما يتعلق بتقارير الدول الأطراف، يشمل ذلك البحث، وإعداد التحليلات القطرية، وإعداد قوائم المسائل، وإعداد الملاحظات الختامية، وخدمة جلسات دورة اللجنة ذات الصلة. وفيما يتعلق بقائمة المسائل قبل الإبلاغ، يشمل ذلك البحوث وتجميع مصادر المعلومات، وإعداد مشروع بقائمة المسائل قبل الإبلاغ، وخدمة جلسات دورة اللجنة ذات الصلة. وفيما يتعلق بشكاوى الأفراد، يشمل ذلك البحوث، والتحليلات القانونية لأغراض منها الاتساق والتماسك مع الاجتهادات السابقة، وإعداد مشاريع القرارات، فضلاً عن خدمة جلسات دورة اللجنة ذات الصلة. وبالإضافة إلى ذلك، يحتاج الموظف إلى القيام بمهام من قبيل أعمال الأمانة، حسبما يطلبه رئيسه. ويتطلب دعم عبء العمل الناجم عن منح هذا الوقت الإضافي للاجتماعات - أي النظر في ثمانية تقارير إضافية للدول الأطراف، واعتماد 40 قائمة إضافية من قوائم المسائل قبل الإبلاغ و20 قضية فردية إضافية - 112 أسبوع عمل خلال فترة السنتين، أي 28 شهر عمل في فترة السنتين.</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12-</w:t>
      </w:r>
      <w:r w:rsidRPr="00B8252B">
        <w:rPr>
          <w:rFonts w:hint="cs"/>
          <w:spacing w:val="0"/>
          <w:kern w:val="0"/>
          <w:sz w:val="20"/>
          <w:rtl/>
          <w:lang w:eastAsia="en-US"/>
        </w:rPr>
        <w:tab/>
      </w:r>
      <w:r w:rsidRPr="00B8252B">
        <w:rPr>
          <w:rFonts w:hint="cs"/>
          <w:spacing w:val="-8"/>
          <w:kern w:val="0"/>
          <w:sz w:val="20"/>
          <w:rtl/>
          <w:lang w:eastAsia="en-US"/>
        </w:rPr>
        <w:t>وتبلغ قيمة الاحتياجات المذكورة أعلاه فيما يتصل بجلسات اللجنة الإضافية 950</w:t>
      </w:r>
      <w:r w:rsidRPr="00B8252B">
        <w:rPr>
          <w:rFonts w:hint="eastAsia"/>
          <w:spacing w:val="-8"/>
          <w:kern w:val="0"/>
          <w:sz w:val="20"/>
          <w:rtl/>
          <w:lang w:eastAsia="en-US"/>
        </w:rPr>
        <w:t> </w:t>
      </w:r>
      <w:r w:rsidRPr="00B8252B">
        <w:rPr>
          <w:rFonts w:hint="cs"/>
          <w:spacing w:val="-8"/>
          <w:kern w:val="0"/>
          <w:sz w:val="20"/>
          <w:rtl/>
          <w:lang w:eastAsia="en-US"/>
        </w:rPr>
        <w:t>021</w:t>
      </w:r>
      <w:r w:rsidRPr="00B8252B">
        <w:rPr>
          <w:rFonts w:hint="eastAsia"/>
          <w:spacing w:val="-8"/>
          <w:kern w:val="0"/>
          <w:sz w:val="20"/>
          <w:rtl/>
          <w:lang w:eastAsia="en-US"/>
        </w:rPr>
        <w:t> </w:t>
      </w:r>
      <w:r w:rsidRPr="00B8252B">
        <w:rPr>
          <w:rFonts w:hint="cs"/>
          <w:spacing w:val="-8"/>
          <w:kern w:val="0"/>
          <w:sz w:val="20"/>
          <w:rtl/>
          <w:lang w:eastAsia="en-US"/>
        </w:rPr>
        <w:t>1</w:t>
      </w:r>
      <w:r w:rsidRPr="00B8252B">
        <w:rPr>
          <w:rFonts w:hint="cs"/>
          <w:spacing w:val="0"/>
          <w:kern w:val="0"/>
          <w:sz w:val="20"/>
          <w:rtl/>
          <w:lang w:eastAsia="en-US"/>
        </w:rPr>
        <w:t xml:space="preserve"> دولار سنوياً كما هو مبين في الجدول أدناه. وهذه الاحتياجات جديدة، وليست مدرجة في الميزانية البرنامجية لفترة السنتين 2012-2013. ولذا، سوف يلزم رصد مخصصات إضافية للتكاليف المتصلة بها لعام 2013. أما عن احتياجات عام 2014، فسوف تُدرج في الميزانية البرنامجية المقترحة لفترة السنتين المقبلة.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i/>
          <w:iCs/>
          <w:spacing w:val="0"/>
          <w:kern w:val="0"/>
          <w:sz w:val="20"/>
          <w:rtl/>
          <w:lang w:eastAsia="en-US"/>
        </w:rPr>
      </w:pPr>
      <w:r w:rsidRPr="00B8252B">
        <w:rPr>
          <w:rFonts w:hint="cs"/>
          <w:i/>
          <w:iCs/>
          <w:spacing w:val="0"/>
          <w:kern w:val="0"/>
          <w:sz w:val="20"/>
          <w:rtl/>
          <w:lang w:eastAsia="en-US"/>
        </w:rPr>
        <w:t>(بدولارات الولايات المتحدة)</w:t>
      </w:r>
    </w:p>
    <w:tbl>
      <w:tblPr>
        <w:bidiVisual/>
        <w:tblW w:w="7196" w:type="dxa"/>
        <w:tblInd w:w="1238" w:type="dxa"/>
        <w:tblLayout w:type="fixed"/>
        <w:tblCellMar>
          <w:left w:w="0" w:type="dxa"/>
          <w:right w:w="0" w:type="dxa"/>
        </w:tblCellMar>
        <w:tblLook w:val="0000"/>
      </w:tblPr>
      <w:tblGrid>
        <w:gridCol w:w="4550"/>
        <w:gridCol w:w="1372"/>
        <w:gridCol w:w="1274"/>
      </w:tblGrid>
      <w:tr w:rsidR="00B8252B" w:rsidRPr="00B8252B" w:rsidTr="00B8252B">
        <w:trPr>
          <w:tblHeader/>
        </w:trPr>
        <w:tc>
          <w:tcPr>
            <w:tcW w:w="4550" w:type="dxa"/>
            <w:tcBorders>
              <w:top w:val="single" w:sz="4" w:space="0" w:color="auto"/>
              <w:bottom w:val="single" w:sz="12" w:space="0" w:color="auto"/>
            </w:tcBorders>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i/>
                <w:spacing w:val="0"/>
                <w:w w:val="103"/>
                <w:kern w:val="14"/>
                <w:sz w:val="20"/>
                <w:szCs w:val="28"/>
                <w:lang w:eastAsia="zh-CN"/>
              </w:rPr>
            </w:pPr>
          </w:p>
        </w:tc>
        <w:tc>
          <w:tcPr>
            <w:tcW w:w="1372" w:type="dxa"/>
            <w:tcBorders>
              <w:top w:val="single" w:sz="4" w:space="0" w:color="auto"/>
              <w:bottom w:val="single" w:sz="12" w:space="0" w:color="auto"/>
            </w:tcBorders>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i/>
                <w:spacing w:val="0"/>
                <w:w w:val="103"/>
                <w:kern w:val="14"/>
                <w:sz w:val="20"/>
                <w:szCs w:val="28"/>
                <w:lang w:eastAsia="zh-CN"/>
              </w:rPr>
            </w:pPr>
            <w:r w:rsidRPr="00B8252B">
              <w:rPr>
                <w:rFonts w:hint="cs"/>
                <w:i/>
                <w:spacing w:val="0"/>
                <w:w w:val="103"/>
                <w:kern w:val="14"/>
                <w:sz w:val="20"/>
                <w:szCs w:val="28"/>
                <w:rtl/>
                <w:lang w:eastAsia="zh-CN"/>
              </w:rPr>
              <w:t>2013</w:t>
            </w:r>
          </w:p>
        </w:tc>
        <w:tc>
          <w:tcPr>
            <w:tcW w:w="1274" w:type="dxa"/>
            <w:tcBorders>
              <w:top w:val="single" w:sz="4" w:space="0" w:color="auto"/>
              <w:bottom w:val="single" w:sz="12" w:space="0" w:color="auto"/>
            </w:tcBorders>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i/>
                <w:spacing w:val="0"/>
                <w:w w:val="103"/>
                <w:kern w:val="14"/>
                <w:sz w:val="20"/>
                <w:szCs w:val="28"/>
                <w:lang w:eastAsia="zh-CN"/>
              </w:rPr>
            </w:pPr>
            <w:r w:rsidRPr="00B8252B">
              <w:rPr>
                <w:rFonts w:hint="cs"/>
                <w:i/>
                <w:spacing w:val="0"/>
                <w:w w:val="103"/>
                <w:kern w:val="14"/>
                <w:sz w:val="20"/>
                <w:szCs w:val="28"/>
                <w:rtl/>
                <w:lang w:eastAsia="zh-CN"/>
              </w:rPr>
              <w:t>2014</w:t>
            </w:r>
          </w:p>
        </w:tc>
      </w:tr>
      <w:tr w:rsidR="00B8252B" w:rsidRPr="00B8252B" w:rsidTr="00B8252B">
        <w:tc>
          <w:tcPr>
            <w:tcW w:w="4550" w:type="dxa"/>
            <w:tcBorders>
              <w:top w:val="single" w:sz="12" w:space="0" w:color="auto"/>
            </w:tcBorders>
            <w:vAlign w:val="bottom"/>
          </w:tcPr>
          <w:p w:rsidR="00B8252B" w:rsidRPr="00B8252B" w:rsidRDefault="00B8252B" w:rsidP="00B8252B">
            <w:pPr>
              <w:keepNext/>
              <w:tabs>
                <w:tab w:val="left" w:pos="288"/>
                <w:tab w:val="left" w:pos="576"/>
                <w:tab w:val="left" w:pos="864"/>
                <w:tab w:val="left" w:pos="1152"/>
              </w:tabs>
              <w:spacing w:before="40" w:after="60" w:line="320" w:lineRule="exact"/>
              <w:ind w:left="57" w:right="57"/>
              <w:jc w:val="lowKashida"/>
              <w:outlineLvl w:val="0"/>
              <w:rPr>
                <w:rFonts w:hint="cs"/>
                <w:b/>
                <w:bCs/>
                <w:spacing w:val="0"/>
                <w:w w:val="103"/>
                <w:kern w:val="14"/>
                <w:sz w:val="20"/>
                <w:szCs w:val="28"/>
                <w:lang w:eastAsia="zh-CN"/>
              </w:rPr>
            </w:pPr>
            <w:r w:rsidRPr="00B8252B">
              <w:rPr>
                <w:rFonts w:hint="cs"/>
                <w:b/>
                <w:bCs/>
                <w:spacing w:val="0"/>
                <w:w w:val="103"/>
                <w:kern w:val="14"/>
                <w:sz w:val="20"/>
                <w:szCs w:val="28"/>
                <w:rtl/>
                <w:lang w:eastAsia="zh-CN"/>
              </w:rPr>
              <w:t>أولا</w:t>
            </w:r>
            <w:r w:rsidR="00D731BA">
              <w:rPr>
                <w:rFonts w:hint="cs"/>
                <w:b/>
                <w:bCs/>
                <w:spacing w:val="0"/>
                <w:w w:val="103"/>
                <w:kern w:val="14"/>
                <w:sz w:val="20"/>
                <w:szCs w:val="28"/>
                <w:rtl/>
                <w:lang w:eastAsia="zh-CN"/>
              </w:rPr>
              <w:t>ً</w:t>
            </w:r>
            <w:r w:rsidRPr="00B8252B">
              <w:rPr>
                <w:rFonts w:hint="cs"/>
                <w:b/>
                <w:bCs/>
                <w:spacing w:val="0"/>
                <w:w w:val="103"/>
                <w:kern w:val="14"/>
                <w:sz w:val="20"/>
                <w:szCs w:val="28"/>
                <w:rtl/>
                <w:lang w:eastAsia="zh-CN"/>
              </w:rPr>
              <w:t>- الباب 24، حقوق الإنسان</w:t>
            </w:r>
          </w:p>
        </w:tc>
        <w:tc>
          <w:tcPr>
            <w:tcW w:w="1372" w:type="dxa"/>
            <w:tcBorders>
              <w:top w:val="single" w:sz="12" w:space="0" w:color="auto"/>
            </w:tcBorders>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spacing w:val="0"/>
                <w:w w:val="103"/>
                <w:kern w:val="14"/>
                <w:sz w:val="20"/>
                <w:szCs w:val="28"/>
                <w:lang w:eastAsia="zh-CN"/>
              </w:rPr>
            </w:pPr>
          </w:p>
        </w:tc>
        <w:tc>
          <w:tcPr>
            <w:tcW w:w="1274" w:type="dxa"/>
            <w:tcBorders>
              <w:top w:val="single" w:sz="12" w:space="0" w:color="auto"/>
            </w:tcBorders>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spacing w:val="0"/>
                <w:w w:val="103"/>
                <w:kern w:val="14"/>
                <w:sz w:val="20"/>
                <w:szCs w:val="28"/>
                <w:lang w:eastAsia="zh-CN"/>
              </w:rPr>
            </w:pPr>
          </w:p>
        </w:tc>
      </w:tr>
      <w:tr w:rsidR="00B8252B" w:rsidRPr="00B8252B" w:rsidTr="00B8252B">
        <w:tc>
          <w:tcPr>
            <w:tcW w:w="4550"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بدل يومي إضافي للأعضاء (14 يوما</w:t>
            </w:r>
            <w:r w:rsidR="00D731BA">
              <w:rPr>
                <w:rFonts w:hint="cs"/>
                <w:spacing w:val="0"/>
                <w:w w:val="103"/>
                <w:kern w:val="14"/>
                <w:sz w:val="20"/>
                <w:szCs w:val="28"/>
                <w:rtl/>
                <w:lang w:eastAsia="zh-CN"/>
              </w:rPr>
              <w:t>ً</w:t>
            </w:r>
            <w:r w:rsidRPr="00B8252B">
              <w:rPr>
                <w:rFonts w:hint="cs"/>
                <w:spacing w:val="0"/>
                <w:w w:val="103"/>
                <w:kern w:val="14"/>
                <w:sz w:val="20"/>
                <w:szCs w:val="28"/>
                <w:rtl/>
                <w:lang w:eastAsia="zh-CN"/>
              </w:rPr>
              <w:t>/السنة)</w:t>
            </w:r>
          </w:p>
        </w:tc>
        <w:tc>
          <w:tcPr>
            <w:tcW w:w="1372" w:type="dxa"/>
            <w:vAlign w:val="bottom"/>
          </w:tcPr>
          <w:p w:rsidR="00B8252B" w:rsidRPr="00B8252B" w:rsidRDefault="00B8252B" w:rsidP="00B8252B">
            <w:pPr>
              <w:tabs>
                <w:tab w:val="left" w:pos="1557"/>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100 82</w:t>
            </w:r>
          </w:p>
        </w:tc>
        <w:tc>
          <w:tcPr>
            <w:tcW w:w="1274" w:type="dxa"/>
            <w:vAlign w:val="bottom"/>
          </w:tcPr>
          <w:p w:rsidR="00B8252B" w:rsidRPr="00B8252B" w:rsidRDefault="00B8252B" w:rsidP="00B8252B">
            <w:pPr>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100 82</w:t>
            </w:r>
          </w:p>
        </w:tc>
      </w:tr>
      <w:tr w:rsidR="00B8252B" w:rsidRPr="00B8252B" w:rsidTr="00B8252B">
        <w:tc>
          <w:tcPr>
            <w:tcW w:w="4550"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الاحتياجات من الموظفين (ف-3) لمدة 14 شهرا</w:t>
            </w:r>
            <w:r w:rsidR="00D731BA">
              <w:rPr>
                <w:rFonts w:hint="cs"/>
                <w:spacing w:val="0"/>
                <w:w w:val="103"/>
                <w:kern w:val="14"/>
                <w:sz w:val="20"/>
                <w:szCs w:val="28"/>
                <w:rtl/>
                <w:lang w:eastAsia="zh-CN"/>
              </w:rPr>
              <w:t>ً</w:t>
            </w:r>
            <w:r w:rsidRPr="00B8252B">
              <w:rPr>
                <w:rFonts w:hint="cs"/>
                <w:spacing w:val="0"/>
                <w:w w:val="103"/>
                <w:kern w:val="14"/>
                <w:sz w:val="20"/>
                <w:szCs w:val="28"/>
                <w:rtl/>
                <w:lang w:eastAsia="zh-CN"/>
              </w:rPr>
              <w:t>/السنة</w:t>
            </w:r>
          </w:p>
        </w:tc>
        <w:tc>
          <w:tcPr>
            <w:tcW w:w="1372" w:type="dxa"/>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250 215</w:t>
            </w:r>
          </w:p>
        </w:tc>
        <w:tc>
          <w:tcPr>
            <w:tcW w:w="1274"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250 215</w:t>
            </w:r>
          </w:p>
        </w:tc>
      </w:tr>
      <w:tr w:rsidR="00B8252B" w:rsidRPr="00B8252B" w:rsidTr="00B8252B">
        <w:tc>
          <w:tcPr>
            <w:tcW w:w="4550" w:type="dxa"/>
            <w:vAlign w:val="bottom"/>
          </w:tcPr>
          <w:p w:rsidR="00B8252B" w:rsidRPr="00B8252B" w:rsidRDefault="00B8252B" w:rsidP="00D731BA">
            <w:pPr>
              <w:tabs>
                <w:tab w:val="left" w:pos="288"/>
                <w:tab w:val="left" w:pos="576"/>
                <w:tab w:val="left" w:pos="864"/>
                <w:tab w:val="left" w:pos="1152"/>
              </w:tabs>
              <w:spacing w:before="40" w:after="60" w:line="320" w:lineRule="exact"/>
              <w:ind w:left="57" w:right="57"/>
              <w:rPr>
                <w:rFonts w:hint="cs"/>
                <w:bCs/>
                <w:spacing w:val="0"/>
                <w:w w:val="103"/>
                <w:kern w:val="14"/>
                <w:sz w:val="20"/>
                <w:szCs w:val="28"/>
                <w:lang w:eastAsia="zh-CN"/>
              </w:rPr>
            </w:pPr>
            <w:r w:rsidRPr="00B8252B">
              <w:rPr>
                <w:rFonts w:hint="cs"/>
                <w:bCs/>
                <w:spacing w:val="0"/>
                <w:w w:val="103"/>
                <w:kern w:val="14"/>
                <w:sz w:val="20"/>
                <w:szCs w:val="28"/>
                <w:rtl/>
                <w:lang w:eastAsia="zh-CN"/>
              </w:rPr>
              <w:t>ثانيا</w:t>
            </w:r>
            <w:r w:rsidR="00D731BA">
              <w:rPr>
                <w:rFonts w:hint="cs"/>
                <w:bCs/>
                <w:spacing w:val="0"/>
                <w:w w:val="103"/>
                <w:kern w:val="14"/>
                <w:sz w:val="20"/>
                <w:szCs w:val="28"/>
                <w:rtl/>
                <w:lang w:eastAsia="zh-CN"/>
              </w:rPr>
              <w:t>ً</w:t>
            </w:r>
            <w:r w:rsidRPr="00B8252B">
              <w:rPr>
                <w:rFonts w:hint="cs"/>
                <w:bCs/>
                <w:spacing w:val="0"/>
                <w:w w:val="103"/>
                <w:kern w:val="14"/>
                <w:sz w:val="20"/>
                <w:szCs w:val="28"/>
                <w:rtl/>
                <w:lang w:eastAsia="zh-CN"/>
              </w:rPr>
              <w:t>- الباب 2، شؤون الجمعية العامة وخدمات المؤتمرات</w:t>
            </w:r>
          </w:p>
        </w:tc>
        <w:tc>
          <w:tcPr>
            <w:tcW w:w="1372" w:type="dxa"/>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spacing w:val="0"/>
                <w:w w:val="103"/>
                <w:kern w:val="14"/>
                <w:sz w:val="20"/>
                <w:szCs w:val="28"/>
                <w:lang w:eastAsia="zh-CN"/>
              </w:rPr>
            </w:pPr>
          </w:p>
        </w:tc>
        <w:tc>
          <w:tcPr>
            <w:tcW w:w="1274"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spacing w:val="0"/>
                <w:w w:val="103"/>
                <w:kern w:val="14"/>
                <w:sz w:val="20"/>
                <w:szCs w:val="28"/>
                <w:lang w:eastAsia="zh-CN"/>
              </w:rPr>
            </w:pPr>
          </w:p>
        </w:tc>
      </w:tr>
      <w:tr w:rsidR="00B8252B" w:rsidRPr="00B8252B" w:rsidTr="00B8252B">
        <w:tc>
          <w:tcPr>
            <w:tcW w:w="4550"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خدمة الاجتماعات والترجمة الشفوية والوثائق</w:t>
            </w:r>
          </w:p>
        </w:tc>
        <w:tc>
          <w:tcPr>
            <w:tcW w:w="1372" w:type="dxa"/>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300 718</w:t>
            </w:r>
          </w:p>
        </w:tc>
        <w:tc>
          <w:tcPr>
            <w:tcW w:w="1274"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300 718</w:t>
            </w:r>
          </w:p>
        </w:tc>
      </w:tr>
      <w:tr w:rsidR="00B8252B" w:rsidRPr="00B8252B" w:rsidTr="00B8252B">
        <w:tc>
          <w:tcPr>
            <w:tcW w:w="4550" w:type="dxa"/>
            <w:vAlign w:val="bottom"/>
          </w:tcPr>
          <w:p w:rsidR="00B8252B" w:rsidRPr="00B8252B" w:rsidRDefault="00B8252B" w:rsidP="00B8252B">
            <w:pPr>
              <w:keepNext/>
              <w:tabs>
                <w:tab w:val="left" w:pos="288"/>
                <w:tab w:val="left" w:pos="576"/>
                <w:tab w:val="left" w:pos="864"/>
                <w:tab w:val="left" w:pos="1152"/>
              </w:tabs>
              <w:spacing w:before="40" w:after="60" w:line="320" w:lineRule="exact"/>
              <w:ind w:left="57" w:right="57"/>
              <w:jc w:val="lowKashida"/>
              <w:outlineLvl w:val="0"/>
              <w:rPr>
                <w:rFonts w:hint="cs"/>
                <w:b/>
                <w:bCs/>
                <w:spacing w:val="0"/>
                <w:w w:val="103"/>
                <w:kern w:val="14"/>
                <w:sz w:val="20"/>
                <w:szCs w:val="28"/>
                <w:lang w:eastAsia="zh-CN"/>
              </w:rPr>
            </w:pPr>
            <w:r w:rsidRPr="00B8252B">
              <w:rPr>
                <w:rFonts w:hint="cs"/>
                <w:b/>
                <w:bCs/>
                <w:spacing w:val="0"/>
                <w:w w:val="103"/>
                <w:kern w:val="14"/>
                <w:sz w:val="20"/>
                <w:szCs w:val="28"/>
                <w:rtl/>
                <w:lang w:eastAsia="zh-CN"/>
              </w:rPr>
              <w:t>ثالثا</w:t>
            </w:r>
            <w:r w:rsidR="00D731BA">
              <w:rPr>
                <w:rFonts w:hint="cs"/>
                <w:b/>
                <w:bCs/>
                <w:spacing w:val="0"/>
                <w:w w:val="103"/>
                <w:kern w:val="14"/>
                <w:sz w:val="20"/>
                <w:szCs w:val="28"/>
                <w:rtl/>
                <w:lang w:eastAsia="zh-CN"/>
              </w:rPr>
              <w:t>ً</w:t>
            </w:r>
            <w:r w:rsidRPr="00B8252B">
              <w:rPr>
                <w:rFonts w:hint="cs"/>
                <w:b/>
                <w:bCs/>
                <w:spacing w:val="0"/>
                <w:w w:val="103"/>
                <w:kern w:val="14"/>
                <w:sz w:val="20"/>
                <w:szCs w:val="28"/>
                <w:rtl/>
                <w:lang w:eastAsia="zh-CN"/>
              </w:rPr>
              <w:t>- الباب 29 هاء، مكتب خدمات الدعم المشتركة</w:t>
            </w:r>
          </w:p>
        </w:tc>
        <w:tc>
          <w:tcPr>
            <w:tcW w:w="1372" w:type="dxa"/>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spacing w:val="0"/>
                <w:w w:val="103"/>
                <w:kern w:val="14"/>
                <w:sz w:val="20"/>
                <w:szCs w:val="28"/>
                <w:lang w:eastAsia="zh-CN"/>
              </w:rPr>
            </w:pPr>
          </w:p>
        </w:tc>
        <w:tc>
          <w:tcPr>
            <w:tcW w:w="1274"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spacing w:val="0"/>
                <w:w w:val="103"/>
                <w:kern w:val="14"/>
                <w:sz w:val="20"/>
                <w:szCs w:val="28"/>
                <w:lang w:eastAsia="zh-CN"/>
              </w:rPr>
            </w:pPr>
          </w:p>
        </w:tc>
      </w:tr>
      <w:tr w:rsidR="00B8252B" w:rsidRPr="00B8252B" w:rsidTr="00B8252B">
        <w:tc>
          <w:tcPr>
            <w:tcW w:w="4550"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spacing w:val="0"/>
                <w:w w:val="103"/>
                <w:kern w:val="14"/>
                <w:sz w:val="20"/>
                <w:szCs w:val="28"/>
                <w:highlight w:val="lightGray"/>
                <w:lang w:eastAsia="zh-CN"/>
              </w:rPr>
            </w:pPr>
            <w:r w:rsidRPr="00B8252B">
              <w:rPr>
                <w:rFonts w:hint="cs"/>
                <w:spacing w:val="0"/>
                <w:w w:val="103"/>
                <w:kern w:val="14"/>
                <w:sz w:val="20"/>
                <w:szCs w:val="28"/>
                <w:rtl/>
                <w:lang w:eastAsia="zh-CN"/>
              </w:rPr>
              <w:t>خدمات الدعم</w:t>
            </w:r>
          </w:p>
        </w:tc>
        <w:tc>
          <w:tcPr>
            <w:tcW w:w="1372" w:type="dxa"/>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300 6</w:t>
            </w:r>
          </w:p>
        </w:tc>
        <w:tc>
          <w:tcPr>
            <w:tcW w:w="1274" w:type="dxa"/>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spacing w:val="0"/>
                <w:w w:val="103"/>
                <w:kern w:val="14"/>
                <w:sz w:val="20"/>
                <w:szCs w:val="28"/>
                <w:lang w:eastAsia="zh-CN"/>
              </w:rPr>
            </w:pPr>
            <w:r w:rsidRPr="00B8252B">
              <w:rPr>
                <w:rFonts w:hint="cs"/>
                <w:spacing w:val="0"/>
                <w:w w:val="103"/>
                <w:kern w:val="14"/>
                <w:sz w:val="20"/>
                <w:szCs w:val="28"/>
                <w:rtl/>
                <w:lang w:eastAsia="zh-CN"/>
              </w:rPr>
              <w:t>300 6</w:t>
            </w:r>
          </w:p>
        </w:tc>
      </w:tr>
      <w:tr w:rsidR="00B8252B" w:rsidRPr="00B8252B" w:rsidTr="00B8252B">
        <w:tc>
          <w:tcPr>
            <w:tcW w:w="4550" w:type="dxa"/>
            <w:tcBorders>
              <w:top w:val="single" w:sz="4" w:space="0" w:color="auto"/>
              <w:bottom w:val="single" w:sz="12" w:space="0" w:color="auto"/>
            </w:tcBorders>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bCs/>
                <w:spacing w:val="0"/>
                <w:w w:val="103"/>
                <w:kern w:val="14"/>
                <w:sz w:val="20"/>
                <w:szCs w:val="28"/>
                <w:lang w:eastAsia="zh-CN"/>
              </w:rPr>
            </w:pPr>
            <w:r w:rsidRPr="00B8252B">
              <w:rPr>
                <w:rFonts w:hint="cs"/>
                <w:bCs/>
                <w:spacing w:val="0"/>
                <w:w w:val="103"/>
                <w:kern w:val="14"/>
                <w:sz w:val="20"/>
                <w:szCs w:val="28"/>
                <w:rtl/>
                <w:lang w:eastAsia="zh-CN"/>
              </w:rPr>
              <w:t>المجموع الكلي</w:t>
            </w:r>
          </w:p>
        </w:tc>
        <w:tc>
          <w:tcPr>
            <w:tcW w:w="1372" w:type="dxa"/>
            <w:tcBorders>
              <w:top w:val="single" w:sz="4" w:space="0" w:color="auto"/>
              <w:bottom w:val="single" w:sz="12" w:space="0" w:color="auto"/>
            </w:tcBorders>
            <w:vAlign w:val="bottom"/>
          </w:tcPr>
          <w:p w:rsidR="00B8252B" w:rsidRPr="00B8252B" w:rsidRDefault="00B8252B" w:rsidP="00B8252B">
            <w:pPr>
              <w:tabs>
                <w:tab w:val="left" w:pos="288"/>
                <w:tab w:val="left" w:pos="576"/>
                <w:tab w:val="left" w:pos="864"/>
                <w:tab w:val="left" w:pos="1557"/>
              </w:tabs>
              <w:spacing w:before="40" w:after="60" w:line="320" w:lineRule="exact"/>
              <w:ind w:left="57" w:right="57"/>
              <w:jc w:val="lowKashida"/>
              <w:rPr>
                <w:rFonts w:hint="cs"/>
                <w:bCs/>
                <w:spacing w:val="0"/>
                <w:w w:val="103"/>
                <w:kern w:val="14"/>
                <w:sz w:val="20"/>
                <w:szCs w:val="28"/>
                <w:lang w:eastAsia="zh-CN"/>
              </w:rPr>
            </w:pPr>
            <w:r w:rsidRPr="00B8252B">
              <w:rPr>
                <w:rFonts w:hint="cs"/>
                <w:bCs/>
                <w:spacing w:val="0"/>
                <w:w w:val="103"/>
                <w:kern w:val="14"/>
                <w:sz w:val="20"/>
                <w:szCs w:val="28"/>
                <w:rtl/>
                <w:lang w:eastAsia="zh-CN"/>
              </w:rPr>
              <w:t>950 021 1</w:t>
            </w:r>
          </w:p>
        </w:tc>
        <w:tc>
          <w:tcPr>
            <w:tcW w:w="1274" w:type="dxa"/>
            <w:tcBorders>
              <w:top w:val="single" w:sz="4" w:space="0" w:color="auto"/>
              <w:bottom w:val="single" w:sz="12" w:space="0" w:color="auto"/>
            </w:tcBorders>
            <w:vAlign w:val="bottom"/>
          </w:tcPr>
          <w:p w:rsidR="00B8252B" w:rsidRPr="00B8252B" w:rsidRDefault="00B8252B" w:rsidP="00B8252B">
            <w:pPr>
              <w:tabs>
                <w:tab w:val="left" w:pos="288"/>
                <w:tab w:val="left" w:pos="576"/>
                <w:tab w:val="left" w:pos="864"/>
                <w:tab w:val="left" w:pos="1152"/>
              </w:tabs>
              <w:spacing w:before="40" w:after="60" w:line="320" w:lineRule="exact"/>
              <w:ind w:left="57" w:right="57"/>
              <w:jc w:val="lowKashida"/>
              <w:rPr>
                <w:rFonts w:hint="cs"/>
                <w:bCs/>
                <w:spacing w:val="-4"/>
                <w:w w:val="103"/>
                <w:kern w:val="0"/>
                <w:sz w:val="20"/>
                <w:szCs w:val="28"/>
                <w:lang w:eastAsia="zh-CN"/>
              </w:rPr>
            </w:pPr>
            <w:r w:rsidRPr="00B8252B">
              <w:rPr>
                <w:rFonts w:hint="cs"/>
                <w:bCs/>
                <w:spacing w:val="-4"/>
                <w:w w:val="103"/>
                <w:kern w:val="0"/>
                <w:sz w:val="20"/>
                <w:szCs w:val="28"/>
                <w:rtl/>
                <w:lang w:eastAsia="zh-CN"/>
              </w:rPr>
              <w:t>950 021 1</w:t>
            </w:r>
          </w:p>
        </w:tc>
      </w:tr>
    </w:tbl>
    <w:p w:rsidR="00B8252B" w:rsidRPr="00B8252B" w:rsidRDefault="00B8252B" w:rsidP="00B8252B">
      <w:pPr>
        <w:tabs>
          <w:tab w:val="left" w:pos="1928"/>
          <w:tab w:val="left" w:pos="2608"/>
          <w:tab w:val="left" w:pos="3289"/>
          <w:tab w:val="left" w:pos="3969"/>
          <w:tab w:val="left" w:pos="4649"/>
          <w:tab w:val="left" w:pos="5330"/>
        </w:tabs>
        <w:spacing w:before="240"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13-</w:t>
      </w:r>
      <w:r w:rsidRPr="00B8252B">
        <w:rPr>
          <w:rFonts w:hint="cs"/>
          <w:spacing w:val="0"/>
          <w:kern w:val="0"/>
          <w:sz w:val="20"/>
          <w:rtl/>
          <w:lang w:eastAsia="en-US"/>
        </w:rPr>
        <w:tab/>
        <w:t>وسوف تقدم معلومات تفصيلية إضافية عندما تنظر اللجنة الثالثة للجمعية العامة في تقرير لجنة مكافحة التعذيب.</w:t>
      </w:r>
    </w:p>
    <w:p w:rsidR="00B8252B" w:rsidRPr="00B8252B" w:rsidRDefault="00D731BA" w:rsidP="00D731BA">
      <w:pPr>
        <w:pStyle w:val="HChGA"/>
        <w:spacing w:before="120"/>
        <w:rPr>
          <w:rFonts w:hint="cs"/>
          <w:kern w:val="0"/>
          <w:rtl/>
          <w:lang w:val="fr-CH" w:eastAsia="en-US"/>
        </w:rPr>
      </w:pPr>
      <w:r>
        <w:rPr>
          <w:kern w:val="0"/>
          <w:rtl/>
          <w:lang w:val="fr-CH" w:eastAsia="en-US"/>
        </w:rPr>
        <w:br w:type="page"/>
      </w:r>
      <w:r w:rsidR="00B8252B" w:rsidRPr="00B8252B">
        <w:rPr>
          <w:rFonts w:hint="cs"/>
          <w:kern w:val="0"/>
          <w:rtl/>
          <w:lang w:val="fr-CH" w:eastAsia="en-US"/>
        </w:rPr>
        <w:t>المرفق العاشر</w:t>
      </w:r>
    </w:p>
    <w:p w:rsidR="00B8252B" w:rsidRPr="00B8252B" w:rsidRDefault="00B8252B" w:rsidP="00D731BA">
      <w:pPr>
        <w:pStyle w:val="HChGA"/>
        <w:jc w:val="lowKashida"/>
        <w:rPr>
          <w:rFonts w:hint="cs"/>
          <w:kern w:val="0"/>
          <w:rtl/>
          <w:lang w:val="fr-CH" w:eastAsia="en-US"/>
        </w:rPr>
      </w:pPr>
      <w:r w:rsidRPr="00B8252B">
        <w:rPr>
          <w:rFonts w:hint="cs"/>
          <w:kern w:val="0"/>
          <w:rtl/>
          <w:lang w:val="fr-CH" w:eastAsia="en-US"/>
        </w:rPr>
        <w:tab/>
      </w:r>
      <w:r w:rsidRPr="00B8252B">
        <w:rPr>
          <w:rFonts w:hint="cs"/>
          <w:kern w:val="0"/>
          <w:rtl/>
          <w:lang w:val="fr-CH" w:eastAsia="en-US"/>
        </w:rPr>
        <w:tab/>
        <w:t>قرار اللجنة طلب موافقة الجمعية العامة في دورتها السابعة والستين على وقت اجتماعات إضافي في عامي 2013 و2014</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right"/>
        <w:rPr>
          <w:rFonts w:hint="cs"/>
          <w:spacing w:val="0"/>
          <w:kern w:val="0"/>
          <w:sz w:val="20"/>
          <w:rtl/>
          <w:lang w:eastAsia="en-US"/>
        </w:rPr>
      </w:pPr>
      <w:r w:rsidRPr="00B8252B">
        <w:rPr>
          <w:rFonts w:hint="cs"/>
          <w:spacing w:val="0"/>
          <w:kern w:val="0"/>
          <w:sz w:val="20"/>
          <w:rtl/>
          <w:lang w:eastAsia="en-US"/>
        </w:rPr>
        <w:t>1 حزيران/يونيه 2012</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1-</w:t>
      </w:r>
      <w:r w:rsidRPr="00B8252B">
        <w:rPr>
          <w:rFonts w:hint="cs"/>
          <w:spacing w:val="0"/>
          <w:kern w:val="0"/>
          <w:sz w:val="20"/>
          <w:rtl/>
          <w:lang w:eastAsia="en-US"/>
        </w:rPr>
        <w:tab/>
        <w:t>اعتمدت اللجنة، في دورتها الرابعة والأربعين، قراراً بطلب الحصول من الجمعية العامة في دورتها الخامسة والستين على موافقتها على أن تأذن للجنة بالاجتماع لمدة أسبوع إضافي في كل دورة في عامي 2011 و2012، بواقع أسبوع إضافي لجلسات كل من الدورات المقررة في أيار/مايو وتشرين الثاني/نوفمبر 2011، وفي أيار/مايو وتشرين الثاني/ نوفمبر 2012، بما مجموعه أربعة أسابيع. وقد منحت الجمعية العامة في قرارها 65/204 موافقتها، على أساس مؤقت، على وقت الاجتماع الإضافي المطلوب للجنة.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2-</w:t>
      </w:r>
      <w:r w:rsidRPr="00B8252B">
        <w:rPr>
          <w:rFonts w:hint="cs"/>
          <w:spacing w:val="0"/>
          <w:kern w:val="0"/>
          <w:sz w:val="20"/>
          <w:rtl/>
          <w:lang w:eastAsia="en-US"/>
        </w:rPr>
        <w:tab/>
        <w:t>ومن ثم، تتمتع اللجنة حالياً بالحق في ثمانية أسابيع من وقت الاجتماع (دورتان من أربعة أسابيع) بناء على قرار الجمعية العامة المذكور أعلاه.</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3-</w:t>
      </w:r>
      <w:r w:rsidRPr="00B8252B">
        <w:rPr>
          <w:rFonts w:hint="cs"/>
          <w:spacing w:val="0"/>
          <w:kern w:val="0"/>
          <w:sz w:val="20"/>
          <w:rtl/>
          <w:lang w:eastAsia="en-US"/>
        </w:rPr>
        <w:tab/>
        <w:t>وقد قررت اللجنة، في دورتها الثامنة والأربعين الحالية، أن تعتمد مقرراً تطلب فيه إلى الجمعية العامة في دورتها السابعة والستين أن تأذن للجنة بمواصلة الاجتماع لمدة أسبوع إضافي في كل دورة في عامي 2013 و2014، بواقع أسبوع إضافي واحد لجلسات كل من الدورات المقررة في أيار/مايو وتشرين الثاني/نوفمبر 2013، وفي أيار/مايو وتشرين الثاني/ نوفمبر 2014، أي ما مجموعه أربعة أسابيع.</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4-</w:t>
      </w:r>
      <w:r w:rsidRPr="00B8252B">
        <w:rPr>
          <w:rFonts w:hint="cs"/>
          <w:spacing w:val="0"/>
          <w:kern w:val="0"/>
          <w:sz w:val="20"/>
          <w:rtl/>
          <w:lang w:eastAsia="en-US"/>
        </w:rPr>
        <w:tab/>
        <w:t>فإذا حصل هذا الطلب بمنح وقت الاجتماع الإضافي على الموافقة، فسوف يتيح للجنة أن تواصل النظر في تقريرين إضافيين في الدورة الواحدة، كحد أدنى، أي ثمانية تقارير في فترة السنتين (2013-2014)؛ كما سيتيح للجنة أن تواصل النظر في خمسة شكاوى أفراد إضافية في الدورة الواحدة، أي عشرين شكوى في فترة السنتين (2013-2014)؛ كما سيتيح أخيراً للجنة أن تواصل إجراء الإبلاغ الاختياري، فتعتمد بذلك 10 قوائم مسائل</w:t>
      </w:r>
      <w:r w:rsidRPr="00B8252B">
        <w:rPr>
          <w:rFonts w:hint="eastAsia"/>
          <w:spacing w:val="0"/>
          <w:kern w:val="0"/>
          <w:sz w:val="20"/>
          <w:rtl/>
          <w:lang w:eastAsia="en-US"/>
        </w:rPr>
        <w:t> </w:t>
      </w:r>
      <w:r w:rsidRPr="00B8252B">
        <w:rPr>
          <w:rFonts w:hint="cs"/>
          <w:spacing w:val="0"/>
          <w:kern w:val="0"/>
          <w:sz w:val="20"/>
          <w:rtl/>
          <w:lang w:eastAsia="en-US"/>
        </w:rPr>
        <w:t>إضافية في المتوسط قبل الإبلاغ في الدورة الواحدة، أي 40 قائمة في فترة السنتين (2013-2014). وتجدر الإشارة إلى أن هذا الإجراء الناجح يتمثل في إرسال قائمة مسائل إلى الدول الأطراف قبل تقديمها لتقاريرها إلى اللجنة، مما يساعد الدول الأطراف على إعداد التقارير بمزيد من التركيز وفي الوقت المناسب، ويقلل وقت وتكلفة إجراء الإبلاغ.</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5-</w:t>
      </w:r>
      <w:r w:rsidRPr="00B8252B">
        <w:rPr>
          <w:rFonts w:hint="cs"/>
          <w:spacing w:val="0"/>
          <w:kern w:val="0"/>
          <w:sz w:val="20"/>
          <w:rtl/>
          <w:lang w:eastAsia="en-US"/>
        </w:rPr>
        <w:tab/>
        <w:t>ومن ثم فإن هذا الطلب يتصل صراحةً بإمكانية قيام اللجنة بمواصلة (أ) إجراء الإبلاغ الاختياري الذي تساعد به الدول الأطراف في إعداد التقارير؛ و(ب) خفض عدد التقارير المتراكمة التي لم يُنظر فيها بعد؛ وكذلك (ج) خفض عدد شكاوى الأفراد المتراكمة التي تنتظر العرض على اللجنة، وتبلغ حاليا</w:t>
      </w:r>
      <w:r w:rsidR="00D731BA">
        <w:rPr>
          <w:rFonts w:hint="cs"/>
          <w:spacing w:val="0"/>
          <w:kern w:val="0"/>
          <w:sz w:val="20"/>
          <w:rtl/>
          <w:lang w:eastAsia="en-US"/>
        </w:rPr>
        <w:t>ً</w:t>
      </w:r>
      <w:r w:rsidRPr="00B8252B">
        <w:rPr>
          <w:rFonts w:hint="cs"/>
          <w:spacing w:val="0"/>
          <w:kern w:val="0"/>
          <w:sz w:val="20"/>
          <w:rtl/>
          <w:lang w:eastAsia="en-US"/>
        </w:rPr>
        <w:t xml:space="preserve"> 115 قضية.</w:t>
      </w:r>
    </w:p>
    <w:p w:rsidR="00B8252B" w:rsidRPr="00B8252B" w:rsidRDefault="00B8252B" w:rsidP="00B8252B">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B8252B">
        <w:rPr>
          <w:rFonts w:hint="cs"/>
          <w:spacing w:val="0"/>
          <w:kern w:val="0"/>
          <w:sz w:val="20"/>
          <w:rtl/>
          <w:lang w:eastAsia="en-US"/>
        </w:rPr>
        <w:t>6-</w:t>
      </w:r>
      <w:r w:rsidRPr="00B8252B">
        <w:rPr>
          <w:rFonts w:hint="cs"/>
          <w:spacing w:val="0"/>
          <w:kern w:val="0"/>
          <w:sz w:val="20"/>
          <w:rtl/>
          <w:lang w:eastAsia="en-US"/>
        </w:rPr>
        <w:tab/>
        <w:t>وعملا بالمادة 26 من النظام الداخلي للجنة مناهضة التعذيب عُممت على أعضاء اللجنة الآثار المترتبة على قرار اللجنة في الميزانية البرنامجية (البيان الشفوي المؤرخ 1 حزيران/يونيه 2012). ومن ثم، تطلب اللجنة إلى الجمعية العامة أن توافق، في دورتها السابعة والستين، على هذا الطلب وأن توفر الدعم المالي المناسب لتمكين اللجنة من الاجتماع لمدة أسبوع إضافي في كل من دوراتها في عامي 2013 و2014.</w:t>
      </w:r>
    </w:p>
    <w:p w:rsidR="00B8252B" w:rsidRPr="00F86A90" w:rsidRDefault="00D731BA" w:rsidP="00D731BA">
      <w:pPr>
        <w:pStyle w:val="HChGA"/>
        <w:spacing w:before="120"/>
        <w:jc w:val="lowKashida"/>
        <w:rPr>
          <w:rFonts w:hint="cs"/>
          <w:spacing w:val="0"/>
          <w:kern w:val="0"/>
          <w:rtl/>
          <w:lang w:eastAsia="en-US"/>
        </w:rPr>
      </w:pPr>
      <w:r>
        <w:rPr>
          <w:kern w:val="0"/>
          <w:rtl/>
          <w:lang w:eastAsia="en-US"/>
        </w:rPr>
        <w:br w:type="page"/>
      </w:r>
      <w:r w:rsidR="00B8252B" w:rsidRPr="00F86A90">
        <w:rPr>
          <w:rFonts w:hint="cs"/>
          <w:spacing w:val="0"/>
          <w:kern w:val="0"/>
          <w:rtl/>
          <w:lang w:eastAsia="en-US"/>
        </w:rPr>
        <w:t>المرفق الحادي عشر</w:t>
      </w:r>
    </w:p>
    <w:p w:rsidR="00B8252B" w:rsidRPr="00F86A90" w:rsidRDefault="00B8252B" w:rsidP="00D731BA">
      <w:pPr>
        <w:pStyle w:val="HChGA"/>
        <w:jc w:val="lowKashida"/>
        <w:rPr>
          <w:rFonts w:ascii="Times New Roman Bold" w:hAnsi="Times New Roman Bold" w:hint="cs"/>
          <w:spacing w:val="0"/>
          <w:kern w:val="0"/>
          <w:rtl/>
          <w:lang w:eastAsia="en-US"/>
        </w:rPr>
      </w:pPr>
      <w:r w:rsidRPr="00F86A90">
        <w:rPr>
          <w:rFonts w:hint="cs"/>
          <w:spacing w:val="0"/>
          <w:kern w:val="0"/>
          <w:rtl/>
          <w:lang w:eastAsia="en-US"/>
        </w:rPr>
        <w:tab/>
      </w:r>
      <w:r w:rsidRPr="00F86A90">
        <w:rPr>
          <w:rFonts w:hint="cs"/>
          <w:spacing w:val="0"/>
          <w:kern w:val="0"/>
          <w:rtl/>
          <w:lang w:eastAsia="en-US"/>
        </w:rPr>
        <w:tab/>
      </w:r>
      <w:r w:rsidRPr="00F86A90">
        <w:rPr>
          <w:rFonts w:ascii="Times New Roman Bold" w:hAnsi="Times New Roman Bold" w:hint="cs"/>
          <w:spacing w:val="0"/>
          <w:kern w:val="0"/>
          <w:rtl/>
          <w:lang w:eastAsia="en-US"/>
        </w:rPr>
        <w:t>التقارير التي تأخر تقديمها حتى 1 حزيران/يونيه 2012</w:t>
      </w:r>
    </w:p>
    <w:p w:rsidR="00B8252B" w:rsidRPr="00F86A90" w:rsidRDefault="00B8252B" w:rsidP="00D731BA">
      <w:pPr>
        <w:pStyle w:val="H1GA"/>
        <w:rPr>
          <w:rFonts w:hint="cs"/>
          <w:spacing w:val="0"/>
          <w:kern w:val="0"/>
          <w:rtl/>
          <w:lang w:eastAsia="en-US"/>
        </w:rPr>
      </w:pPr>
      <w:r w:rsidRPr="00F86A90">
        <w:rPr>
          <w:rFonts w:hint="cs"/>
          <w:spacing w:val="0"/>
          <w:kern w:val="0"/>
          <w:rtl/>
          <w:lang w:eastAsia="en-US"/>
        </w:rPr>
        <w:tab/>
        <w:t>ألف-</w:t>
      </w:r>
      <w:r w:rsidRPr="00F86A90">
        <w:rPr>
          <w:rFonts w:hint="cs"/>
          <w:spacing w:val="0"/>
          <w:kern w:val="0"/>
          <w:rtl/>
          <w:lang w:eastAsia="en-US"/>
        </w:rPr>
        <w:tab/>
        <w:t>التقارير الأولية</w:t>
      </w:r>
    </w:p>
    <w:tbl>
      <w:tblPr>
        <w:tblStyle w:val="TableGrid"/>
        <w:bidiVisual/>
        <w:tblW w:w="0" w:type="auto"/>
        <w:tblInd w:w="1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5684"/>
        <w:gridCol w:w="2664"/>
        <w:tblGridChange w:id="22">
          <w:tblGrid>
            <w:gridCol w:w="5684"/>
            <w:gridCol w:w="2664"/>
          </w:tblGrid>
        </w:tblGridChange>
      </w:tblGrid>
      <w:tr w:rsidR="00B8252B" w:rsidRPr="00B8252B" w:rsidTr="00123D37">
        <w:trPr>
          <w:tblHeader/>
        </w:trPr>
        <w:tc>
          <w:tcPr>
            <w:tcW w:w="5684" w:type="dxa"/>
            <w:tcBorders>
              <w:top w:val="single" w:sz="4" w:space="0" w:color="auto"/>
              <w:bottom w:val="single" w:sz="12" w:space="0" w:color="auto"/>
            </w:tcBorders>
            <w:vAlign w:val="bottom"/>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i/>
                <w:iCs/>
                <w:spacing w:val="0"/>
                <w:kern w:val="0"/>
                <w:sz w:val="20"/>
                <w:szCs w:val="28"/>
                <w:rtl/>
                <w:lang w:eastAsia="en-US"/>
              </w:rPr>
              <w:t>الدولة الطرف</w:t>
            </w:r>
          </w:p>
        </w:tc>
        <w:tc>
          <w:tcPr>
            <w:tcW w:w="2664" w:type="dxa"/>
            <w:tcBorders>
              <w:top w:val="single" w:sz="4" w:space="0" w:color="auto"/>
              <w:bottom w:val="single" w:sz="12" w:space="0" w:color="auto"/>
            </w:tcBorders>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i/>
                <w:iCs/>
                <w:spacing w:val="0"/>
                <w:kern w:val="0"/>
                <w:sz w:val="20"/>
                <w:szCs w:val="28"/>
                <w:rtl/>
                <w:lang w:eastAsia="en-US"/>
              </w:rPr>
              <w:t>التاريخ المحدد لتقديم التقرير</w:t>
            </w:r>
          </w:p>
        </w:tc>
      </w:tr>
      <w:tr w:rsidR="00B8252B" w:rsidRPr="00B8252B" w:rsidTr="00B8252B">
        <w:tc>
          <w:tcPr>
            <w:tcW w:w="5684" w:type="dxa"/>
            <w:tcBorders>
              <w:top w:val="single" w:sz="12" w:space="0" w:color="auto"/>
            </w:tcBorders>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w:t>
            </w:r>
            <w:r w:rsidRPr="00B8252B">
              <w:rPr>
                <w:spacing w:val="0"/>
                <w:kern w:val="0"/>
                <w:sz w:val="20"/>
                <w:szCs w:val="28"/>
                <w:rtl/>
                <w:lang w:eastAsia="en-US"/>
              </w:rPr>
              <w:tab/>
            </w:r>
            <w:r w:rsidRPr="00B8252B">
              <w:rPr>
                <w:rFonts w:hint="cs"/>
                <w:spacing w:val="0"/>
                <w:kern w:val="0"/>
                <w:sz w:val="20"/>
                <w:szCs w:val="28"/>
                <w:rtl/>
                <w:lang w:eastAsia="en-US"/>
              </w:rPr>
              <w:t>أنتيغوا وبربودا</w:t>
            </w:r>
          </w:p>
        </w:tc>
        <w:tc>
          <w:tcPr>
            <w:tcW w:w="2664" w:type="dxa"/>
            <w:tcBorders>
              <w:top w:val="single" w:sz="12" w:space="0" w:color="auto"/>
            </w:tcBorders>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آب/أغسطس 1994</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w:t>
            </w:r>
            <w:r w:rsidRPr="00B8252B">
              <w:rPr>
                <w:spacing w:val="0"/>
                <w:kern w:val="0"/>
                <w:sz w:val="20"/>
                <w:szCs w:val="28"/>
                <w:rtl/>
                <w:lang w:eastAsia="en-US"/>
              </w:rPr>
              <w:tab/>
            </w:r>
            <w:r w:rsidRPr="00B8252B">
              <w:rPr>
                <w:rFonts w:hint="cs"/>
                <w:spacing w:val="0"/>
                <w:kern w:val="0"/>
                <w:sz w:val="20"/>
                <w:szCs w:val="28"/>
                <w:rtl/>
                <w:lang w:eastAsia="en-US"/>
              </w:rPr>
              <w:t>أندورا</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تشرين الأول/أكتوبر 2007</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w:t>
            </w:r>
            <w:r w:rsidRPr="00B8252B">
              <w:rPr>
                <w:spacing w:val="0"/>
                <w:kern w:val="0"/>
                <w:sz w:val="20"/>
                <w:szCs w:val="28"/>
                <w:rtl/>
                <w:lang w:eastAsia="en-US"/>
              </w:rPr>
              <w:tab/>
            </w:r>
            <w:r w:rsidRPr="00B8252B">
              <w:rPr>
                <w:rFonts w:hint="cs"/>
                <w:spacing w:val="0"/>
                <w:kern w:val="0"/>
                <w:sz w:val="20"/>
                <w:szCs w:val="28"/>
                <w:rtl/>
                <w:lang w:eastAsia="en-US"/>
              </w:rPr>
              <w:t>باكستان</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23 تموز/يوليه 2011</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4-</w:t>
            </w:r>
            <w:r w:rsidRPr="00B8252B">
              <w:rPr>
                <w:spacing w:val="0"/>
                <w:kern w:val="0"/>
                <w:sz w:val="20"/>
                <w:szCs w:val="28"/>
                <w:rtl/>
                <w:lang w:eastAsia="en-US"/>
              </w:rPr>
              <w:tab/>
            </w:r>
            <w:r w:rsidRPr="00B8252B">
              <w:rPr>
                <w:rFonts w:hint="cs"/>
                <w:spacing w:val="0"/>
                <w:kern w:val="0"/>
                <w:sz w:val="20"/>
                <w:szCs w:val="28"/>
                <w:rtl/>
                <w:lang w:eastAsia="en-US"/>
              </w:rPr>
              <w:t>بنغلاديش</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تشرين الثاني/نوفمبر 1999</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5-</w:t>
            </w:r>
            <w:r w:rsidRPr="00B8252B">
              <w:rPr>
                <w:spacing w:val="0"/>
                <w:kern w:val="0"/>
                <w:sz w:val="20"/>
                <w:szCs w:val="28"/>
                <w:rtl/>
                <w:lang w:eastAsia="en-US"/>
              </w:rPr>
              <w:tab/>
            </w:r>
            <w:r w:rsidRPr="00B8252B">
              <w:rPr>
                <w:rFonts w:hint="cs"/>
                <w:spacing w:val="0"/>
                <w:kern w:val="0"/>
                <w:sz w:val="20"/>
                <w:szCs w:val="28"/>
                <w:rtl/>
                <w:lang w:eastAsia="en-US"/>
              </w:rPr>
              <w:t>بوتسوانا</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2001</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6-</w:t>
            </w:r>
            <w:r w:rsidRPr="00B8252B">
              <w:rPr>
                <w:spacing w:val="0"/>
                <w:kern w:val="0"/>
                <w:sz w:val="20"/>
                <w:szCs w:val="28"/>
                <w:rtl/>
                <w:lang w:eastAsia="en-US"/>
              </w:rPr>
              <w:tab/>
            </w:r>
            <w:r w:rsidRPr="00B8252B">
              <w:rPr>
                <w:rFonts w:hint="cs"/>
                <w:spacing w:val="0"/>
                <w:kern w:val="0"/>
                <w:sz w:val="20"/>
                <w:szCs w:val="28"/>
                <w:rtl/>
                <w:lang w:eastAsia="en-US"/>
              </w:rPr>
              <w:t>بوركينا فاسو</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شباط/فبراير 2000</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7-</w:t>
            </w:r>
            <w:r w:rsidRPr="00B8252B">
              <w:rPr>
                <w:spacing w:val="0"/>
                <w:kern w:val="0"/>
                <w:sz w:val="20"/>
                <w:szCs w:val="28"/>
                <w:rtl/>
                <w:lang w:eastAsia="en-US"/>
              </w:rPr>
              <w:tab/>
            </w:r>
            <w:r w:rsidRPr="00B8252B">
              <w:rPr>
                <w:rFonts w:hint="cs"/>
                <w:spacing w:val="0"/>
                <w:kern w:val="0"/>
                <w:sz w:val="20"/>
                <w:szCs w:val="28"/>
                <w:rtl/>
                <w:lang w:eastAsia="en-US"/>
              </w:rPr>
              <w:t>تايلند</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تشرين الثاني/نوفمبر 2008</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8-</w:t>
            </w:r>
            <w:r w:rsidRPr="00B8252B">
              <w:rPr>
                <w:spacing w:val="0"/>
                <w:kern w:val="0"/>
                <w:sz w:val="20"/>
                <w:szCs w:val="28"/>
                <w:rtl/>
                <w:lang w:eastAsia="en-US"/>
              </w:rPr>
              <w:tab/>
            </w:r>
            <w:r w:rsidRPr="00B8252B">
              <w:rPr>
                <w:rFonts w:hint="cs"/>
                <w:spacing w:val="0"/>
                <w:kern w:val="0"/>
                <w:sz w:val="20"/>
                <w:szCs w:val="28"/>
                <w:rtl/>
                <w:lang w:eastAsia="en-US"/>
              </w:rPr>
              <w:t>تيمور - ليشتي</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أيار/مايو 2004</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9-</w:t>
            </w:r>
            <w:r w:rsidRPr="00B8252B">
              <w:rPr>
                <w:spacing w:val="0"/>
                <w:kern w:val="0"/>
                <w:sz w:val="20"/>
                <w:szCs w:val="28"/>
                <w:rtl/>
                <w:lang w:eastAsia="en-US"/>
              </w:rPr>
              <w:tab/>
            </w:r>
            <w:r w:rsidRPr="00B8252B">
              <w:rPr>
                <w:rFonts w:hint="cs"/>
                <w:spacing w:val="0"/>
                <w:kern w:val="0"/>
                <w:sz w:val="20"/>
                <w:szCs w:val="28"/>
                <w:rtl/>
                <w:lang w:eastAsia="en-US"/>
              </w:rPr>
              <w:t>الرأس الأخضر</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تموز/يوليه 1993</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w:t>
            </w:r>
            <w:r w:rsidRPr="00B8252B">
              <w:rPr>
                <w:spacing w:val="0"/>
                <w:kern w:val="0"/>
                <w:sz w:val="20"/>
                <w:szCs w:val="28"/>
                <w:rtl/>
                <w:lang w:eastAsia="en-US"/>
              </w:rPr>
              <w:tab/>
            </w:r>
            <w:r w:rsidRPr="00B8252B">
              <w:rPr>
                <w:rFonts w:hint="cs"/>
                <w:spacing w:val="0"/>
                <w:kern w:val="0"/>
                <w:sz w:val="20"/>
                <w:szCs w:val="28"/>
                <w:rtl/>
                <w:lang w:eastAsia="en-US"/>
              </w:rPr>
              <w:t>سان مارينو</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كانون الأول/ديسمبر 2007</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w:t>
            </w:r>
            <w:r w:rsidRPr="00B8252B">
              <w:rPr>
                <w:spacing w:val="0"/>
                <w:kern w:val="0"/>
                <w:sz w:val="20"/>
                <w:szCs w:val="28"/>
                <w:rtl/>
                <w:lang w:eastAsia="en-US"/>
              </w:rPr>
              <w:tab/>
            </w:r>
            <w:r w:rsidRPr="00B8252B">
              <w:rPr>
                <w:rFonts w:hint="cs"/>
                <w:spacing w:val="0"/>
                <w:kern w:val="0"/>
                <w:sz w:val="20"/>
                <w:szCs w:val="28"/>
                <w:rtl/>
                <w:lang w:eastAsia="en-US"/>
              </w:rPr>
              <w:t>سانت فنسنت وجز غرينادين</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آب/أغسطس 2002</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w:t>
            </w:r>
            <w:r w:rsidRPr="00B8252B">
              <w:rPr>
                <w:spacing w:val="0"/>
                <w:kern w:val="0"/>
                <w:sz w:val="20"/>
                <w:szCs w:val="28"/>
                <w:rtl/>
                <w:lang w:eastAsia="en-US"/>
              </w:rPr>
              <w:tab/>
            </w:r>
            <w:r w:rsidRPr="00B8252B">
              <w:rPr>
                <w:rFonts w:hint="cs"/>
                <w:spacing w:val="0"/>
                <w:kern w:val="0"/>
                <w:sz w:val="20"/>
                <w:szCs w:val="28"/>
                <w:rtl/>
                <w:lang w:eastAsia="en-US"/>
              </w:rPr>
              <w:t>سوازيلند</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نيسان/أبريل 2005</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13-</w:t>
            </w:r>
            <w:r w:rsidRPr="00B8252B">
              <w:rPr>
                <w:spacing w:val="0"/>
                <w:kern w:val="0"/>
                <w:sz w:val="20"/>
                <w:szCs w:val="28"/>
                <w:rtl/>
                <w:lang w:eastAsia="en-US"/>
              </w:rPr>
              <w:tab/>
            </w:r>
            <w:r w:rsidRPr="00B8252B">
              <w:rPr>
                <w:rFonts w:hint="cs"/>
                <w:spacing w:val="0"/>
                <w:kern w:val="0"/>
                <w:sz w:val="20"/>
                <w:szCs w:val="28"/>
                <w:rtl/>
                <w:lang w:eastAsia="en-US"/>
              </w:rPr>
              <w:t>سيراليون</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أيار/مايو 2002</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w:t>
            </w:r>
            <w:r w:rsidRPr="00B8252B">
              <w:rPr>
                <w:spacing w:val="0"/>
                <w:kern w:val="0"/>
                <w:sz w:val="20"/>
                <w:szCs w:val="28"/>
                <w:rtl/>
                <w:lang w:eastAsia="en-US"/>
              </w:rPr>
              <w:tab/>
            </w:r>
            <w:r w:rsidRPr="00B8252B">
              <w:rPr>
                <w:rFonts w:hint="cs"/>
                <w:spacing w:val="0"/>
                <w:kern w:val="0"/>
                <w:sz w:val="20"/>
                <w:szCs w:val="28"/>
                <w:rtl/>
                <w:lang w:eastAsia="en-US"/>
              </w:rPr>
              <w:t>سيشيل</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1993</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w:t>
            </w:r>
            <w:r w:rsidRPr="00B8252B">
              <w:rPr>
                <w:spacing w:val="0"/>
                <w:kern w:val="0"/>
                <w:sz w:val="20"/>
                <w:szCs w:val="28"/>
                <w:rtl/>
                <w:lang w:eastAsia="en-US"/>
              </w:rPr>
              <w:tab/>
            </w:r>
            <w:r w:rsidRPr="00B8252B">
              <w:rPr>
                <w:rFonts w:hint="cs"/>
                <w:spacing w:val="0"/>
                <w:kern w:val="0"/>
                <w:sz w:val="20"/>
                <w:szCs w:val="28"/>
                <w:rtl/>
                <w:lang w:eastAsia="en-US"/>
              </w:rPr>
              <w:t>الصومال</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شباط/فبراير 1991</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w:t>
            </w:r>
            <w:r w:rsidRPr="00B8252B">
              <w:rPr>
                <w:spacing w:val="0"/>
                <w:kern w:val="0"/>
                <w:sz w:val="20"/>
                <w:szCs w:val="28"/>
                <w:rtl/>
                <w:lang w:eastAsia="en-US"/>
              </w:rPr>
              <w:tab/>
            </w:r>
            <w:r w:rsidRPr="00B8252B">
              <w:rPr>
                <w:rFonts w:hint="cs"/>
                <w:spacing w:val="0"/>
                <w:kern w:val="0"/>
                <w:sz w:val="20"/>
                <w:szCs w:val="28"/>
                <w:rtl/>
                <w:lang w:eastAsia="en-US"/>
              </w:rPr>
              <w:t>غينيا</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8 تشرين الثاني/نوفمبر 1990</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w:t>
            </w:r>
            <w:r w:rsidRPr="00B8252B">
              <w:rPr>
                <w:spacing w:val="0"/>
                <w:kern w:val="0"/>
                <w:sz w:val="20"/>
                <w:szCs w:val="28"/>
                <w:rtl/>
                <w:lang w:eastAsia="en-US"/>
              </w:rPr>
              <w:tab/>
            </w:r>
            <w:r w:rsidRPr="00B8252B">
              <w:rPr>
                <w:rFonts w:hint="cs"/>
                <w:spacing w:val="0"/>
                <w:kern w:val="0"/>
                <w:sz w:val="20"/>
                <w:szCs w:val="28"/>
                <w:rtl/>
                <w:lang w:eastAsia="en-US"/>
              </w:rPr>
              <w:t>غينيا الاستوائية</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تشرين الثاني/نوفمبر 2003</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18-</w:t>
            </w:r>
            <w:r w:rsidRPr="00B8252B">
              <w:rPr>
                <w:spacing w:val="0"/>
                <w:kern w:val="0"/>
                <w:sz w:val="20"/>
                <w:szCs w:val="28"/>
                <w:rtl/>
                <w:lang w:eastAsia="en-US"/>
              </w:rPr>
              <w:tab/>
            </w:r>
            <w:r w:rsidRPr="00B8252B">
              <w:rPr>
                <w:rFonts w:hint="cs"/>
                <w:spacing w:val="0"/>
                <w:kern w:val="0"/>
                <w:sz w:val="20"/>
                <w:szCs w:val="28"/>
                <w:rtl/>
                <w:lang w:eastAsia="en-US"/>
              </w:rPr>
              <w:t>الكرسي الرسولي</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تموز/يوليه 2003</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w:t>
            </w:r>
            <w:r w:rsidRPr="00B8252B">
              <w:rPr>
                <w:spacing w:val="0"/>
                <w:kern w:val="0"/>
                <w:sz w:val="20"/>
                <w:szCs w:val="28"/>
                <w:rtl/>
                <w:lang w:eastAsia="en-US"/>
              </w:rPr>
              <w:tab/>
            </w:r>
            <w:r w:rsidRPr="00B8252B">
              <w:rPr>
                <w:rFonts w:hint="cs"/>
                <w:spacing w:val="0"/>
                <w:kern w:val="0"/>
                <w:sz w:val="20"/>
                <w:szCs w:val="28"/>
                <w:rtl/>
                <w:lang w:eastAsia="en-US"/>
              </w:rPr>
              <w:t>كوت ديفوار</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1997</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w:t>
            </w:r>
            <w:r w:rsidRPr="00B8252B">
              <w:rPr>
                <w:spacing w:val="0"/>
                <w:kern w:val="0"/>
                <w:sz w:val="20"/>
                <w:szCs w:val="28"/>
                <w:rtl/>
                <w:lang w:eastAsia="en-US"/>
              </w:rPr>
              <w:tab/>
            </w:r>
            <w:r w:rsidRPr="00B8252B">
              <w:rPr>
                <w:rFonts w:hint="cs"/>
                <w:spacing w:val="0"/>
                <w:kern w:val="0"/>
                <w:sz w:val="20"/>
                <w:szCs w:val="28"/>
                <w:rtl/>
                <w:lang w:eastAsia="en-US"/>
              </w:rPr>
              <w:t>الكونغو</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آب/أغسطس 2004</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w:t>
            </w:r>
            <w:r w:rsidRPr="00B8252B">
              <w:rPr>
                <w:spacing w:val="0"/>
                <w:kern w:val="0"/>
                <w:sz w:val="20"/>
                <w:szCs w:val="28"/>
                <w:rtl/>
                <w:lang w:eastAsia="en-US"/>
              </w:rPr>
              <w:tab/>
            </w:r>
            <w:r w:rsidRPr="00B8252B">
              <w:rPr>
                <w:rFonts w:hint="cs"/>
                <w:spacing w:val="0"/>
                <w:kern w:val="0"/>
                <w:sz w:val="20"/>
                <w:szCs w:val="28"/>
                <w:rtl/>
                <w:lang w:eastAsia="en-US"/>
              </w:rPr>
              <w:t>لبنان</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تشرين الثاني/نوفمبر 2001</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w:t>
            </w:r>
            <w:r w:rsidRPr="00B8252B">
              <w:rPr>
                <w:spacing w:val="0"/>
                <w:kern w:val="0"/>
                <w:sz w:val="20"/>
                <w:szCs w:val="28"/>
                <w:rtl/>
                <w:lang w:eastAsia="en-US"/>
              </w:rPr>
              <w:tab/>
            </w:r>
            <w:r w:rsidRPr="00B8252B">
              <w:rPr>
                <w:rFonts w:hint="cs"/>
                <w:spacing w:val="0"/>
                <w:kern w:val="0"/>
                <w:sz w:val="20"/>
                <w:szCs w:val="28"/>
                <w:rtl/>
                <w:lang w:eastAsia="en-US"/>
              </w:rPr>
              <w:t>ليبيريا</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تشرين الأول/أكتوبر 2005</w:t>
            </w:r>
          </w:p>
        </w:tc>
      </w:tr>
      <w:tr w:rsidR="00B8252B" w:rsidRPr="00B8252B" w:rsidTr="00B8252B">
        <w:tc>
          <w:tcPr>
            <w:tcW w:w="5684" w:type="dxa"/>
          </w:tcPr>
          <w:p w:rsidR="00B8252B" w:rsidRPr="00B8252B" w:rsidRDefault="00B8252B" w:rsidP="00B8252B">
            <w:pPr>
              <w:tabs>
                <w:tab w:val="left" w:pos="587"/>
              </w:tabs>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23-</w:t>
            </w:r>
            <w:r w:rsidRPr="00B8252B">
              <w:rPr>
                <w:spacing w:val="0"/>
                <w:kern w:val="0"/>
                <w:sz w:val="20"/>
                <w:szCs w:val="28"/>
                <w:rtl/>
                <w:lang w:eastAsia="en-US"/>
              </w:rPr>
              <w:tab/>
            </w:r>
            <w:r w:rsidRPr="00B8252B">
              <w:rPr>
                <w:rFonts w:hint="cs"/>
                <w:spacing w:val="0"/>
                <w:kern w:val="0"/>
                <w:sz w:val="20"/>
                <w:szCs w:val="28"/>
                <w:rtl/>
                <w:lang w:eastAsia="en-US"/>
              </w:rPr>
              <w:t>ليسوتو</w:t>
            </w:r>
          </w:p>
        </w:tc>
        <w:tc>
          <w:tcPr>
            <w:tcW w:w="2664" w:type="dxa"/>
          </w:tcPr>
          <w:p w:rsidR="00B8252B" w:rsidRPr="00B8252B" w:rsidRDefault="00B8252B" w:rsidP="00B8252B">
            <w:pPr>
              <w:spacing w:before="40" w:after="6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كانون الأول/ديسمبر 2002</w:t>
            </w:r>
          </w:p>
        </w:tc>
      </w:tr>
      <w:tr w:rsidR="00B8252B" w:rsidRPr="00B8252B" w:rsidTr="00B8252B">
        <w:tc>
          <w:tcPr>
            <w:tcW w:w="5684" w:type="dxa"/>
          </w:tcPr>
          <w:p w:rsidR="00B8252B" w:rsidRPr="00B8252B" w:rsidRDefault="00B8252B" w:rsidP="00123D37">
            <w:pPr>
              <w:tabs>
                <w:tab w:val="left" w:pos="587"/>
              </w:tabs>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24-</w:t>
            </w:r>
            <w:r w:rsidRPr="00B8252B">
              <w:rPr>
                <w:spacing w:val="0"/>
                <w:kern w:val="0"/>
                <w:sz w:val="20"/>
                <w:szCs w:val="28"/>
                <w:rtl/>
                <w:lang w:eastAsia="en-US"/>
              </w:rPr>
              <w:tab/>
            </w:r>
            <w:r w:rsidRPr="00B8252B">
              <w:rPr>
                <w:rFonts w:hint="cs"/>
                <w:spacing w:val="0"/>
                <w:kern w:val="0"/>
                <w:sz w:val="20"/>
                <w:szCs w:val="28"/>
                <w:rtl/>
                <w:lang w:eastAsia="en-US"/>
              </w:rPr>
              <w:t>مالي</w:t>
            </w:r>
          </w:p>
        </w:tc>
        <w:tc>
          <w:tcPr>
            <w:tcW w:w="2664" w:type="dxa"/>
          </w:tcPr>
          <w:p w:rsidR="00B8252B" w:rsidRPr="00B8252B" w:rsidRDefault="00B8252B" w:rsidP="00123D37">
            <w:pPr>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27 آذار/مارس 2000</w:t>
            </w:r>
          </w:p>
        </w:tc>
      </w:tr>
      <w:tr w:rsidR="00B8252B" w:rsidRPr="00B8252B" w:rsidTr="00B8252B">
        <w:tc>
          <w:tcPr>
            <w:tcW w:w="5684" w:type="dxa"/>
          </w:tcPr>
          <w:p w:rsidR="00B8252B" w:rsidRPr="00B8252B" w:rsidRDefault="00B8252B" w:rsidP="00123D37">
            <w:pPr>
              <w:tabs>
                <w:tab w:val="left" w:pos="587"/>
              </w:tabs>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25-</w:t>
            </w:r>
            <w:r w:rsidRPr="00B8252B">
              <w:rPr>
                <w:spacing w:val="0"/>
                <w:kern w:val="0"/>
                <w:sz w:val="20"/>
                <w:szCs w:val="28"/>
                <w:rtl/>
                <w:lang w:eastAsia="en-US"/>
              </w:rPr>
              <w:tab/>
            </w:r>
            <w:r w:rsidRPr="00B8252B">
              <w:rPr>
                <w:rFonts w:hint="cs"/>
                <w:spacing w:val="0"/>
                <w:kern w:val="0"/>
                <w:sz w:val="20"/>
                <w:szCs w:val="28"/>
                <w:rtl/>
                <w:lang w:eastAsia="en-US"/>
              </w:rPr>
              <w:t>ملاوي</w:t>
            </w:r>
          </w:p>
        </w:tc>
        <w:tc>
          <w:tcPr>
            <w:tcW w:w="2664" w:type="dxa"/>
          </w:tcPr>
          <w:p w:rsidR="00B8252B" w:rsidRPr="00B8252B" w:rsidRDefault="00B8252B" w:rsidP="00123D37">
            <w:pPr>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10 تموز/يوليه 1997</w:t>
            </w:r>
          </w:p>
        </w:tc>
      </w:tr>
      <w:tr w:rsidR="00B8252B" w:rsidRPr="00B8252B" w:rsidTr="00B8252B">
        <w:tc>
          <w:tcPr>
            <w:tcW w:w="5684" w:type="dxa"/>
          </w:tcPr>
          <w:p w:rsidR="00B8252B" w:rsidRPr="00B8252B" w:rsidRDefault="00B8252B" w:rsidP="00123D37">
            <w:pPr>
              <w:tabs>
                <w:tab w:val="left" w:pos="587"/>
              </w:tabs>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26-</w:t>
            </w:r>
            <w:r w:rsidRPr="00B8252B">
              <w:rPr>
                <w:spacing w:val="0"/>
                <w:kern w:val="0"/>
                <w:sz w:val="20"/>
                <w:szCs w:val="28"/>
                <w:rtl/>
                <w:lang w:eastAsia="en-US"/>
              </w:rPr>
              <w:tab/>
            </w:r>
            <w:r w:rsidRPr="00B8252B">
              <w:rPr>
                <w:rFonts w:hint="cs"/>
                <w:spacing w:val="0"/>
                <w:kern w:val="0"/>
                <w:sz w:val="20"/>
                <w:szCs w:val="28"/>
                <w:rtl/>
                <w:lang w:eastAsia="en-US"/>
              </w:rPr>
              <w:t>ملديف</w:t>
            </w:r>
          </w:p>
        </w:tc>
        <w:tc>
          <w:tcPr>
            <w:tcW w:w="2664" w:type="dxa"/>
          </w:tcPr>
          <w:p w:rsidR="00B8252B" w:rsidRPr="00B8252B" w:rsidRDefault="00B8252B" w:rsidP="00123D37">
            <w:pPr>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20 أيار/مايو 2005</w:t>
            </w:r>
          </w:p>
        </w:tc>
      </w:tr>
      <w:tr w:rsidR="00B8252B" w:rsidRPr="00B8252B" w:rsidTr="00B8252B">
        <w:tc>
          <w:tcPr>
            <w:tcW w:w="5684" w:type="dxa"/>
          </w:tcPr>
          <w:p w:rsidR="00B8252B" w:rsidRPr="00B8252B" w:rsidRDefault="00B8252B" w:rsidP="00123D37">
            <w:pPr>
              <w:tabs>
                <w:tab w:val="left" w:pos="587"/>
              </w:tabs>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27-</w:t>
            </w:r>
            <w:r w:rsidRPr="00B8252B">
              <w:rPr>
                <w:spacing w:val="0"/>
                <w:kern w:val="0"/>
                <w:sz w:val="20"/>
                <w:szCs w:val="28"/>
                <w:rtl/>
                <w:lang w:eastAsia="en-US"/>
              </w:rPr>
              <w:tab/>
            </w:r>
            <w:r w:rsidRPr="00B8252B">
              <w:rPr>
                <w:rFonts w:hint="cs"/>
                <w:spacing w:val="0"/>
                <w:kern w:val="0"/>
                <w:sz w:val="20"/>
                <w:szCs w:val="28"/>
                <w:rtl/>
                <w:lang w:eastAsia="en-US"/>
              </w:rPr>
              <w:t>موزامبيق</w:t>
            </w:r>
          </w:p>
        </w:tc>
        <w:tc>
          <w:tcPr>
            <w:tcW w:w="2664" w:type="dxa"/>
          </w:tcPr>
          <w:p w:rsidR="00B8252B" w:rsidRPr="00B8252B" w:rsidRDefault="00B8252B" w:rsidP="00123D37">
            <w:pPr>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14 تشرين الأول/أكتوبر 2000</w:t>
            </w:r>
          </w:p>
        </w:tc>
      </w:tr>
      <w:tr w:rsidR="00B8252B" w:rsidRPr="00B8252B" w:rsidTr="00B8252B">
        <w:tc>
          <w:tcPr>
            <w:tcW w:w="5684" w:type="dxa"/>
          </w:tcPr>
          <w:p w:rsidR="00B8252B" w:rsidRPr="00B8252B" w:rsidRDefault="00B8252B" w:rsidP="00123D37">
            <w:pPr>
              <w:tabs>
                <w:tab w:val="left" w:pos="587"/>
              </w:tabs>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28-</w:t>
            </w:r>
            <w:r w:rsidRPr="00B8252B">
              <w:rPr>
                <w:spacing w:val="0"/>
                <w:kern w:val="0"/>
                <w:sz w:val="20"/>
                <w:szCs w:val="28"/>
                <w:rtl/>
                <w:lang w:eastAsia="en-US"/>
              </w:rPr>
              <w:tab/>
            </w:r>
            <w:r w:rsidRPr="00B8252B">
              <w:rPr>
                <w:rFonts w:hint="cs"/>
                <w:spacing w:val="0"/>
                <w:kern w:val="0"/>
                <w:sz w:val="20"/>
                <w:szCs w:val="28"/>
                <w:rtl/>
                <w:lang w:eastAsia="en-US"/>
              </w:rPr>
              <w:t>النيجر</w:t>
            </w:r>
          </w:p>
        </w:tc>
        <w:tc>
          <w:tcPr>
            <w:tcW w:w="2664" w:type="dxa"/>
          </w:tcPr>
          <w:p w:rsidR="00B8252B" w:rsidRPr="00B8252B" w:rsidRDefault="00B8252B" w:rsidP="00123D37">
            <w:pPr>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3 تشرين الثاني/نوفمبر 1999</w:t>
            </w:r>
          </w:p>
        </w:tc>
      </w:tr>
      <w:tr w:rsidR="00B8252B" w:rsidRPr="00B8252B" w:rsidTr="00B8252B">
        <w:tc>
          <w:tcPr>
            <w:tcW w:w="5684" w:type="dxa"/>
            <w:tcBorders>
              <w:bottom w:val="single" w:sz="12" w:space="0" w:color="auto"/>
            </w:tcBorders>
          </w:tcPr>
          <w:p w:rsidR="00B8252B" w:rsidRPr="00B8252B" w:rsidRDefault="00B8252B" w:rsidP="00123D37">
            <w:pPr>
              <w:tabs>
                <w:tab w:val="left" w:pos="587"/>
              </w:tabs>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29-</w:t>
            </w:r>
            <w:r w:rsidRPr="00B8252B">
              <w:rPr>
                <w:spacing w:val="0"/>
                <w:kern w:val="0"/>
                <w:sz w:val="20"/>
                <w:szCs w:val="28"/>
                <w:rtl/>
                <w:lang w:eastAsia="en-US"/>
              </w:rPr>
              <w:tab/>
            </w:r>
            <w:r w:rsidRPr="00B8252B">
              <w:rPr>
                <w:rFonts w:hint="cs"/>
                <w:spacing w:val="0"/>
                <w:kern w:val="0"/>
                <w:sz w:val="20"/>
                <w:szCs w:val="28"/>
                <w:rtl/>
                <w:lang w:eastAsia="en-US"/>
              </w:rPr>
              <w:t>نيجيريا</w:t>
            </w:r>
          </w:p>
        </w:tc>
        <w:tc>
          <w:tcPr>
            <w:tcW w:w="2664" w:type="dxa"/>
            <w:tcBorders>
              <w:bottom w:val="single" w:sz="12" w:space="0" w:color="auto"/>
            </w:tcBorders>
          </w:tcPr>
          <w:p w:rsidR="00B8252B" w:rsidRPr="00B8252B" w:rsidRDefault="00B8252B" w:rsidP="00123D37">
            <w:pPr>
              <w:spacing w:before="40" w:after="60" w:line="340" w:lineRule="exact"/>
              <w:ind w:left="57" w:right="57"/>
              <w:rPr>
                <w:rFonts w:hint="cs"/>
                <w:spacing w:val="0"/>
                <w:kern w:val="0"/>
                <w:sz w:val="20"/>
                <w:szCs w:val="28"/>
                <w:rtl/>
                <w:lang w:eastAsia="en-US"/>
              </w:rPr>
            </w:pPr>
            <w:r w:rsidRPr="00B8252B">
              <w:rPr>
                <w:rFonts w:hint="cs"/>
                <w:spacing w:val="0"/>
                <w:kern w:val="0"/>
                <w:sz w:val="20"/>
                <w:szCs w:val="28"/>
                <w:rtl/>
                <w:lang w:eastAsia="en-US"/>
              </w:rPr>
              <w:t>28 حزيران/يونيه 2002</w:t>
            </w:r>
          </w:p>
        </w:tc>
      </w:tr>
    </w:tbl>
    <w:p w:rsidR="00B8252B" w:rsidRPr="00B8252B" w:rsidRDefault="00B8252B" w:rsidP="00D731BA">
      <w:pPr>
        <w:pStyle w:val="H1GA"/>
        <w:rPr>
          <w:rFonts w:hint="cs"/>
          <w:kern w:val="0"/>
          <w:rtl/>
          <w:lang w:eastAsia="en-US"/>
        </w:rPr>
      </w:pPr>
      <w:r w:rsidRPr="00B8252B">
        <w:rPr>
          <w:rFonts w:hint="cs"/>
          <w:kern w:val="0"/>
          <w:rtl/>
          <w:lang w:eastAsia="en-US"/>
        </w:rPr>
        <w:tab/>
        <w:t>باء-</w:t>
      </w:r>
      <w:r w:rsidRPr="00B8252B">
        <w:rPr>
          <w:rFonts w:hint="cs"/>
          <w:kern w:val="0"/>
          <w:rtl/>
          <w:lang w:eastAsia="en-US"/>
        </w:rPr>
        <w:tab/>
        <w:t>التقارير الدورية</w:t>
      </w:r>
    </w:p>
    <w:tbl>
      <w:tblPr>
        <w:tblStyle w:val="TableGrid"/>
        <w:bidiVisual/>
        <w:tblW w:w="0" w:type="auto"/>
        <w:tblInd w:w="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2263"/>
        <w:gridCol w:w="1110"/>
        <w:gridCol w:w="2570"/>
        <w:gridCol w:w="2642"/>
      </w:tblGrid>
      <w:tr w:rsidR="00B8252B" w:rsidRPr="00B8252B" w:rsidTr="00123D37">
        <w:trPr>
          <w:cantSplit/>
          <w:tblHeader/>
        </w:trPr>
        <w:tc>
          <w:tcPr>
            <w:tcW w:w="2263" w:type="dxa"/>
            <w:tcBorders>
              <w:top w:val="single" w:sz="4" w:space="0" w:color="auto"/>
              <w:bottom w:val="single" w:sz="12" w:space="0" w:color="auto"/>
            </w:tcBorders>
            <w:vAlign w:val="bottom"/>
          </w:tcPr>
          <w:p w:rsidR="00B8252B" w:rsidRPr="00B8252B" w:rsidRDefault="00B8252B" w:rsidP="00123D37">
            <w:pPr>
              <w:spacing w:before="40" w:after="40" w:line="320" w:lineRule="exact"/>
              <w:ind w:left="57" w:right="227"/>
              <w:rPr>
                <w:rFonts w:hint="cs"/>
                <w:i/>
                <w:iCs/>
                <w:spacing w:val="0"/>
                <w:kern w:val="0"/>
                <w:sz w:val="20"/>
                <w:szCs w:val="28"/>
                <w:rtl/>
                <w:lang w:eastAsia="en-US"/>
              </w:rPr>
            </w:pPr>
            <w:r w:rsidRPr="00B8252B">
              <w:rPr>
                <w:rFonts w:hint="cs"/>
                <w:i/>
                <w:iCs/>
                <w:spacing w:val="0"/>
                <w:kern w:val="0"/>
                <w:sz w:val="20"/>
                <w:szCs w:val="28"/>
                <w:rtl/>
                <w:lang w:eastAsia="en-US"/>
              </w:rPr>
              <w:t>الدولة الطرف</w:t>
            </w:r>
          </w:p>
        </w:tc>
        <w:tc>
          <w:tcPr>
            <w:tcW w:w="1110" w:type="dxa"/>
            <w:tcBorders>
              <w:top w:val="single" w:sz="4" w:space="0" w:color="auto"/>
              <w:bottom w:val="single" w:sz="12" w:space="0" w:color="auto"/>
            </w:tcBorders>
            <w:vAlign w:val="bottom"/>
          </w:tcPr>
          <w:p w:rsidR="00B8252B" w:rsidRPr="00B8252B" w:rsidRDefault="00B8252B" w:rsidP="00123D37">
            <w:pPr>
              <w:spacing w:before="40" w:after="40" w:line="320" w:lineRule="exact"/>
              <w:ind w:left="57" w:right="57"/>
              <w:rPr>
                <w:rFonts w:hint="cs"/>
                <w:i/>
                <w:iCs/>
                <w:spacing w:val="0"/>
                <w:kern w:val="0"/>
                <w:sz w:val="20"/>
                <w:szCs w:val="28"/>
                <w:rtl/>
                <w:lang w:eastAsia="en-US"/>
              </w:rPr>
            </w:pPr>
            <w:r w:rsidRPr="00B8252B">
              <w:rPr>
                <w:rFonts w:hint="cs"/>
                <w:i/>
                <w:iCs/>
                <w:spacing w:val="0"/>
                <w:kern w:val="0"/>
                <w:sz w:val="20"/>
                <w:szCs w:val="28"/>
                <w:rtl/>
                <w:lang w:eastAsia="en-US"/>
              </w:rPr>
              <w:t>التقارير</w:t>
            </w:r>
          </w:p>
        </w:tc>
        <w:tc>
          <w:tcPr>
            <w:tcW w:w="2570" w:type="dxa"/>
            <w:tcBorders>
              <w:top w:val="single" w:sz="4" w:space="0" w:color="auto"/>
              <w:bottom w:val="single" w:sz="12" w:space="0" w:color="auto"/>
            </w:tcBorders>
            <w:vAlign w:val="bottom"/>
          </w:tcPr>
          <w:p w:rsidR="00B8252B" w:rsidRPr="00B8252B" w:rsidRDefault="00B8252B" w:rsidP="00123D37">
            <w:pPr>
              <w:spacing w:before="40" w:after="40" w:line="320" w:lineRule="exact"/>
              <w:ind w:left="57" w:right="57"/>
              <w:rPr>
                <w:rFonts w:hint="cs"/>
                <w:i/>
                <w:iCs/>
                <w:spacing w:val="0"/>
                <w:kern w:val="0"/>
                <w:sz w:val="20"/>
                <w:szCs w:val="28"/>
                <w:rtl/>
                <w:lang w:eastAsia="en-US"/>
              </w:rPr>
            </w:pPr>
            <w:r w:rsidRPr="00B8252B">
              <w:rPr>
                <w:rFonts w:hint="cs"/>
                <w:i/>
                <w:iCs/>
                <w:spacing w:val="0"/>
                <w:kern w:val="0"/>
                <w:sz w:val="20"/>
                <w:szCs w:val="28"/>
                <w:rtl/>
                <w:lang w:eastAsia="en-US"/>
              </w:rPr>
              <w:t>التاريخ المحدد لتقديم التقرير</w:t>
            </w:r>
          </w:p>
        </w:tc>
        <w:tc>
          <w:tcPr>
            <w:tcW w:w="2642" w:type="dxa"/>
            <w:tcBorders>
              <w:top w:val="single" w:sz="4" w:space="0" w:color="auto"/>
              <w:bottom w:val="single" w:sz="12" w:space="0" w:color="auto"/>
            </w:tcBorders>
            <w:vAlign w:val="bottom"/>
          </w:tcPr>
          <w:p w:rsidR="00B8252B" w:rsidRPr="00B8252B" w:rsidRDefault="00B8252B" w:rsidP="00123D37">
            <w:pPr>
              <w:spacing w:before="40" w:after="40" w:line="320" w:lineRule="exact"/>
              <w:ind w:left="57" w:right="57"/>
              <w:rPr>
                <w:rFonts w:hint="cs"/>
                <w:i/>
                <w:iCs/>
                <w:spacing w:val="0"/>
                <w:kern w:val="0"/>
                <w:sz w:val="20"/>
                <w:szCs w:val="28"/>
                <w:rtl/>
                <w:lang w:eastAsia="en-US"/>
              </w:rPr>
            </w:pPr>
            <w:r w:rsidRPr="00B8252B">
              <w:rPr>
                <w:rFonts w:hint="cs"/>
                <w:i/>
                <w:iCs/>
                <w:spacing w:val="0"/>
                <w:kern w:val="0"/>
                <w:sz w:val="20"/>
                <w:szCs w:val="28"/>
                <w:rtl/>
                <w:lang w:eastAsia="en-US"/>
              </w:rPr>
              <w:t xml:space="preserve">التاريخ المنقح </w:t>
            </w:r>
          </w:p>
        </w:tc>
      </w:tr>
      <w:tr w:rsidR="00B8252B" w:rsidRPr="00B8252B" w:rsidTr="00B8252B">
        <w:trPr>
          <w:cantSplit/>
        </w:trPr>
        <w:tc>
          <w:tcPr>
            <w:tcW w:w="2263" w:type="dxa"/>
            <w:tcBorders>
              <w:top w:val="single" w:sz="12" w:space="0" w:color="auto"/>
            </w:tcBorders>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الاتحاد الروسي</w:t>
            </w:r>
          </w:p>
        </w:tc>
        <w:tc>
          <w:tcPr>
            <w:tcW w:w="1110" w:type="dxa"/>
            <w:tcBorders>
              <w:top w:val="single" w:sz="12" w:space="0" w:color="auto"/>
            </w:tcBorders>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Borders>
              <w:top w:val="single" w:sz="12" w:space="0" w:color="auto"/>
            </w:tcBorders>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Borders>
              <w:top w:val="single" w:sz="12" w:space="0" w:color="auto"/>
            </w:tcBorders>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إثيوبيا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نيسان/أبريل 1999</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نيسان/أبريل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نيسان/أبريل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نيسان/أبريل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تشرين الثاني/نوفمبر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أذربيجان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أيلول/سبتمبر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تشرين الثاني/نوفمبر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الأرجنتين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الأردن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كانون الأول/ديسمبر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كانون الأول/ديسمبر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كانون الأول/ديسمبر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أيار/مايو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أرمينيا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تشرين الأول/أكتوبر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تشرين الأول/أكتوبر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حزيران/يونيه 2016]</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إسبانيا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كانون الثاني/نوفمبر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[23 كانون الثاني/نوفمبر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أستراليا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أيلول/سبتمبر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أيلول/سبتمبر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أيلول/سبتمبر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إسرائيل</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كانون الثاني/نوفمبر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أيار/مايو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أفغانستان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ألبانيا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حزيران/يونيه 2003</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حزيران/يونيه 2007</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حزيران/يونيه 2016]</w:t>
            </w:r>
          </w:p>
        </w:tc>
      </w:tr>
      <w:tr w:rsidR="00B8252B" w:rsidRPr="00B8252B" w:rsidTr="00B8252B">
        <w:trPr>
          <w:cantSplit/>
        </w:trPr>
        <w:tc>
          <w:tcPr>
            <w:tcW w:w="2263" w:type="dxa"/>
          </w:tcPr>
          <w:p w:rsidR="00B8252B" w:rsidRPr="00B8252B" w:rsidDel="00FF49E3" w:rsidRDefault="00B8252B" w:rsidP="00123D37">
            <w:pPr>
              <w:spacing w:line="320" w:lineRule="exact"/>
              <w:ind w:left="57" w:right="227"/>
              <w:rPr>
                <w:rFonts w:hint="cs"/>
                <w:spacing w:val="0"/>
                <w:kern w:val="0"/>
                <w:sz w:val="20"/>
                <w:szCs w:val="28"/>
                <w:rtl/>
                <w:lang w:eastAsia="en-US"/>
              </w:rPr>
            </w:pP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حزيران/يونيه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أنتيغوا بربودا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آب/أغسطس 1998</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آب/أغسطس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آب/أغسطس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آب/أغسطس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Del="00193067"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أندورا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تشرين الأول/أكتوبر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إندونيسيا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الثاني/نوفمبر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الثاني/نوفمبر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أوروغواي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أوزباكستان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28 تشرين الأول/أكتوبر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أوغندا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أوكرانيا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2011]</w:t>
            </w:r>
          </w:p>
        </w:tc>
      </w:tr>
      <w:tr w:rsidR="00B8252B" w:rsidRPr="00B8252B" w:rsidTr="00B8252B">
        <w:trPr>
          <w:cantSplit/>
        </w:trPr>
        <w:tc>
          <w:tcPr>
            <w:tcW w:w="2263" w:type="dxa"/>
          </w:tcPr>
          <w:p w:rsidR="00B8252B" w:rsidRPr="00B8252B" w:rsidDel="00193067"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ألمانيا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تشرين الأول/أكتوبر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تشرين الثاني/نوفمبر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آيرلندا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أيار/مايو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أيار/مايو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إيطاليا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شباط/فبراير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2011]</w:t>
            </w:r>
          </w:p>
        </w:tc>
      </w:tr>
      <w:tr w:rsidR="00B8252B" w:rsidRPr="00B8252B" w:rsidTr="00B8252B">
        <w:trPr>
          <w:cantSplit/>
        </w:trPr>
        <w:tc>
          <w:tcPr>
            <w:tcW w:w="2263" w:type="dxa"/>
          </w:tcPr>
          <w:p w:rsidR="00B8252B" w:rsidRPr="00B8252B" w:rsidDel="00193067"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باراغواي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السابع</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نيسان/أبريل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تشرين الثاني/نوفمبر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البحرين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نيسان/أبريل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نيسان/أبريل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نيسان/أبريل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نيسان/أبريل 2007]</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البرازيل</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الأول/أكتوبر 1994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الأول/أكتوبر 1998</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الأول/أكتوبر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الأول/أكتوبر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الأول/أكتوبر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البرتغال</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آذار/مارس 2010</w:t>
            </w:r>
          </w:p>
        </w:tc>
        <w:tc>
          <w:tcPr>
            <w:tcW w:w="2642" w:type="dxa"/>
          </w:tcPr>
          <w:p w:rsidR="00B8252B" w:rsidRPr="00B8252B" w:rsidRDefault="00B8252B" w:rsidP="00123D37">
            <w:pPr>
              <w:spacing w:line="320" w:lineRule="exact"/>
              <w:ind w:left="57" w:right="57"/>
              <w:rPr>
                <w:rFonts w:hint="cs"/>
                <w:spacing w:val="-4"/>
                <w:kern w:val="0"/>
                <w:sz w:val="20"/>
                <w:szCs w:val="28"/>
                <w:rtl/>
                <w:lang w:eastAsia="en-US"/>
              </w:rPr>
            </w:pPr>
            <w:r w:rsidRPr="00B8252B">
              <w:rPr>
                <w:rFonts w:hint="cs"/>
                <w:spacing w:val="-4"/>
                <w:kern w:val="0"/>
                <w:sz w:val="20"/>
                <w:szCs w:val="28"/>
                <w:rtl/>
                <w:lang w:eastAsia="en-US"/>
              </w:rPr>
              <w:t>[30 كانون الأول/ديسمبر 2011]</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بلجيكا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تموز/يوليه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بليز</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بنغلاديش</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تشرين الثاني/نوفمبر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تشرين الثاني/نوفمبر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تشرين الثاني/نوفمبر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بنما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أيلول/سبتمبر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أيلول/سبتمبر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أيلول/سبتمبر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بنن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نيسان/أبريل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نيسان/أبريل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نيسان/أبريل 2009</w:t>
            </w:r>
          </w:p>
        </w:tc>
        <w:tc>
          <w:tcPr>
            <w:tcW w:w="2642" w:type="dxa"/>
          </w:tcPr>
          <w:p w:rsidR="00B8252B" w:rsidRPr="00B8252B" w:rsidRDefault="00B8252B" w:rsidP="00123D37">
            <w:pPr>
              <w:spacing w:line="320" w:lineRule="exact"/>
              <w:ind w:left="57" w:right="57"/>
              <w:rPr>
                <w:rFonts w:hint="cs"/>
                <w:spacing w:val="-4"/>
                <w:kern w:val="0"/>
                <w:sz w:val="20"/>
                <w:szCs w:val="28"/>
                <w:rtl/>
                <w:lang w:eastAsia="en-US"/>
              </w:rPr>
            </w:pPr>
            <w:r w:rsidRPr="00B8252B">
              <w:rPr>
                <w:rFonts w:hint="cs"/>
                <w:spacing w:val="-4"/>
                <w:kern w:val="0"/>
                <w:sz w:val="20"/>
                <w:szCs w:val="28"/>
                <w:rtl/>
                <w:lang w:eastAsia="en-US"/>
              </w:rPr>
              <w:t>[30 كانون الأول/ديسمبر 2011]</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بوتسوانا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بوركينا فاسو</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شباط/فبراير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شباط/فبراير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شباط/فبراير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بوروندي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آذار/مارس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آذار/مارس 2006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آذار/مارس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jc w:val="left"/>
              <w:rPr>
                <w:rFonts w:hint="cs"/>
                <w:spacing w:val="0"/>
                <w:kern w:val="0"/>
                <w:sz w:val="20"/>
                <w:szCs w:val="28"/>
                <w:rtl/>
                <w:lang w:eastAsia="en-US"/>
              </w:rPr>
            </w:pPr>
            <w:r w:rsidRPr="00B8252B">
              <w:rPr>
                <w:rFonts w:hint="cs"/>
                <w:spacing w:val="0"/>
                <w:kern w:val="0"/>
                <w:sz w:val="20"/>
                <w:szCs w:val="28"/>
                <w:rtl/>
                <w:lang w:eastAsia="en-US"/>
              </w:rPr>
              <w:t>بوليفيا (دولة - المتعددة القوميات)</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أيار/مايو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أيار/مايو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بيلاروس</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تشرين الثاني/نوفمبر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تركمانستان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24 تموز/يوليه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24 تموز/يوليه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تركيا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31 آب/أغسطس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31 آب/أغسطس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31 آب/أغسطس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تشرين الثاني/نوفمبر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تشاد</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تموز/يوليه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تموز/يوليه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تموز/يوليه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أيار/مايو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توغو</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1996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تونس</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تشرين الأول/أكتوبر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تشرين الأول/أكتوبر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تشرين الأول/أكتوبر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تيمور - ليشتي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أيار/مايو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أيار/مايو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Del="00193067"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الجبل الأسود</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23 تشرين الثاني/نوفمبر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الجزائر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تشرين الأول/أكتوبر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تشرين الأول/أكتوبر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تشرين الأول/أكتوبر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حزيران/يونيه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4"/>
                <w:kern w:val="0"/>
                <w:sz w:val="20"/>
                <w:szCs w:val="28"/>
                <w:rtl/>
                <w:lang w:eastAsia="en-US"/>
              </w:rPr>
            </w:pPr>
            <w:r w:rsidRPr="00B8252B">
              <w:rPr>
                <w:rFonts w:hint="cs"/>
                <w:spacing w:val="-4"/>
                <w:kern w:val="0"/>
                <w:sz w:val="20"/>
                <w:szCs w:val="28"/>
                <w:rtl/>
                <w:lang w:eastAsia="en-US"/>
              </w:rPr>
              <w:t>الجمهورية العربية السورية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18 أيلول/سبتمبر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أيار/مايو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جمهورية كوريا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شباط/فبراير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شباط/فبراير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شباط/فبراير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شباط/فبراير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4"/>
                <w:kern w:val="0"/>
                <w:sz w:val="20"/>
                <w:szCs w:val="28"/>
                <w:rtl/>
                <w:lang w:eastAsia="en-US"/>
              </w:rPr>
            </w:pPr>
            <w:r w:rsidRPr="00B8252B">
              <w:rPr>
                <w:rFonts w:hint="cs"/>
                <w:spacing w:val="-4"/>
                <w:kern w:val="0"/>
                <w:sz w:val="20"/>
                <w:szCs w:val="28"/>
                <w:rtl/>
                <w:lang w:eastAsia="en-US"/>
              </w:rPr>
              <w:t>جمهورية الكونغو الديمقراطية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نيسان/أبريل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نيسان/أبريل 2005</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نيسان/أبريل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نيسان/أبريل 2009]</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نيسان/أبريل 2009]</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نيسان/أبريل 2009]</w:t>
            </w:r>
          </w:p>
        </w:tc>
      </w:tr>
      <w:tr w:rsidR="00B8252B" w:rsidRPr="00B8252B" w:rsidTr="00B8252B">
        <w:trPr>
          <w:cantSplit/>
        </w:trPr>
        <w:tc>
          <w:tcPr>
            <w:tcW w:w="2263" w:type="dxa"/>
          </w:tcPr>
          <w:p w:rsidR="00B8252B" w:rsidRPr="00B8252B" w:rsidRDefault="00B8252B" w:rsidP="00123D37">
            <w:pPr>
              <w:spacing w:line="320" w:lineRule="exact"/>
              <w:ind w:left="57" w:right="227"/>
              <w:jc w:val="left"/>
              <w:rPr>
                <w:rFonts w:hint="cs"/>
                <w:spacing w:val="0"/>
                <w:w w:val="88"/>
                <w:kern w:val="0"/>
                <w:sz w:val="20"/>
                <w:szCs w:val="28"/>
                <w:rtl/>
                <w:lang w:eastAsia="en-US"/>
              </w:rPr>
            </w:pPr>
            <w:r w:rsidRPr="00B8252B">
              <w:rPr>
                <w:rFonts w:hint="cs"/>
                <w:spacing w:val="0"/>
                <w:w w:val="88"/>
                <w:kern w:val="0"/>
                <w:sz w:val="20"/>
                <w:szCs w:val="28"/>
                <w:rtl/>
                <w:lang w:eastAsia="en-US"/>
              </w:rPr>
              <w:t>جمهورية مقدونيا اليوغوسلافية السابقة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11كانون الثاني/يناير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11كانون الثاني/يناير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11كانون الثاني/يناير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2"/>
                <w:kern w:val="0"/>
                <w:sz w:val="20"/>
                <w:szCs w:val="28"/>
                <w:rtl/>
                <w:lang w:eastAsia="en-US"/>
              </w:rPr>
            </w:pPr>
            <w:r w:rsidRPr="00B8252B">
              <w:rPr>
                <w:rFonts w:hint="cs"/>
                <w:spacing w:val="-2"/>
                <w:kern w:val="0"/>
                <w:sz w:val="20"/>
                <w:szCs w:val="28"/>
                <w:rtl/>
                <w:lang w:eastAsia="en-US"/>
              </w:rPr>
              <w:t>جمهورية مولدوفا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كانون الأول/ديسمبر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كانون الأول/ديسمبر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تشرين الثاني/نوفمبر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جنوب أفريقيا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كانون الثاني/يناير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كانون الثاني/يناير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كانون الثاني/يناير 2012</w:t>
            </w:r>
          </w:p>
        </w:tc>
        <w:tc>
          <w:tcPr>
            <w:tcW w:w="2642" w:type="dxa"/>
          </w:tcPr>
          <w:p w:rsidR="00B8252B" w:rsidRPr="00B8252B" w:rsidRDefault="00B8252B" w:rsidP="00123D37">
            <w:pPr>
              <w:spacing w:line="320" w:lineRule="exact"/>
              <w:ind w:left="57" w:right="57"/>
              <w:rPr>
                <w:rFonts w:hint="cs"/>
                <w:spacing w:val="-4"/>
                <w:kern w:val="0"/>
                <w:sz w:val="20"/>
                <w:szCs w:val="28"/>
                <w:rtl/>
                <w:lang w:eastAsia="en-US"/>
              </w:rPr>
            </w:pPr>
            <w:r w:rsidRPr="00B8252B">
              <w:rPr>
                <w:rFonts w:hint="cs"/>
                <w:spacing w:val="-4"/>
                <w:kern w:val="0"/>
                <w:sz w:val="20"/>
                <w:szCs w:val="28"/>
                <w:rtl/>
                <w:lang w:eastAsia="en-US"/>
              </w:rPr>
              <w:t>[31 كانون الأول/ديسمبر 2009]</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جورجيا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الثاني/نوفمبر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تشرين الثاني/نوفمبر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[24 تشرين الثاني/نوفمبر 2011]</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جيبوتي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5 كانون الأول/ديسمبر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5 كانون الأول/ديسمبر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تشرين الثاني/نوفمبر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الرأس الأخضر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تموز/يوليه 1997</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تموز/يوليه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تموز/يوليه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تموز/يوليه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رومانيا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1996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زامبيا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تشرين الثاني/نوفمبر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تشرين الثاني/نوفمبر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2012]</w:t>
            </w:r>
          </w:p>
        </w:tc>
      </w:tr>
      <w:tr w:rsidR="00B8252B" w:rsidRPr="00B8252B" w:rsidTr="00B8252B">
        <w:trPr>
          <w:cantSplit/>
        </w:trPr>
        <w:tc>
          <w:tcPr>
            <w:tcW w:w="2263" w:type="dxa"/>
          </w:tcPr>
          <w:p w:rsidR="00B8252B" w:rsidRPr="00B8252B" w:rsidDel="00193067"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سان مارينو</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كانون الأول/ديسمبر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jc w:val="left"/>
              <w:rPr>
                <w:rFonts w:hint="cs"/>
                <w:spacing w:val="0"/>
                <w:kern w:val="0"/>
                <w:sz w:val="20"/>
                <w:szCs w:val="28"/>
                <w:rtl/>
                <w:lang w:eastAsia="en-US"/>
              </w:rPr>
            </w:pPr>
            <w:r w:rsidRPr="00B8252B">
              <w:rPr>
                <w:rFonts w:hint="cs"/>
                <w:spacing w:val="0"/>
                <w:kern w:val="0"/>
                <w:sz w:val="20"/>
                <w:szCs w:val="28"/>
                <w:rtl/>
                <w:lang w:eastAsia="en-US"/>
              </w:rPr>
              <w:t>سانت فنسنت وجزر غرينادين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آب/أغسطس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آب/أغسطس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سري لانكا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شباط/فبراير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تشرين الثاني/نوفمبر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السلفادور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تموز/يوليه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تموز/يوليه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تشرين الثاني/نوفمبر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سلوفاكيا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أيار/مايو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أيار/مايو 2006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أيار/مايو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سلوفينيا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آب/أغسطس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آب/أغسطس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السنغال</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سوازيلند</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نيسان/أبريل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Del="00193067"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السويد</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السابع</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سويسرا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السابع</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أيار/مايو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سيراليون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أيار/مايو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أيار/مايو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سيشيل</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1997</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شيلي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29 تشرين الأول/أكتوبر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أيار/مايو 2013]</w:t>
            </w:r>
          </w:p>
        </w:tc>
      </w:tr>
      <w:tr w:rsidR="00B8252B" w:rsidRPr="00B8252B" w:rsidTr="00B8252B">
        <w:trPr>
          <w:cantSplit/>
        </w:trPr>
        <w:tc>
          <w:tcPr>
            <w:tcW w:w="2263" w:type="dxa"/>
          </w:tcPr>
          <w:p w:rsidR="00B8252B" w:rsidRPr="00B8252B" w:rsidDel="00193067"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صربيا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نيسان/أبريل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11 نيسان/أبريل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الصومال</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شباط/فبراير 1995</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شباط/فبراير 1999</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شباط/فبراير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شباط/فبراير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شباط/فبراير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after="120" w:line="320" w:lineRule="exact"/>
              <w:ind w:left="57" w:right="173"/>
              <w:rPr>
                <w:rFonts w:hint="cs"/>
                <w:spacing w:val="-8"/>
                <w:kern w:val="0"/>
                <w:sz w:val="20"/>
                <w:szCs w:val="28"/>
                <w:rtl/>
                <w:lang w:eastAsia="en-US"/>
              </w:rPr>
            </w:pPr>
            <w:r w:rsidRPr="00B8252B">
              <w:rPr>
                <w:rFonts w:hint="cs"/>
                <w:spacing w:val="-8"/>
                <w:kern w:val="0"/>
                <w:sz w:val="20"/>
                <w:szCs w:val="28"/>
                <w:rtl/>
                <w:lang w:eastAsia="en-US"/>
              </w:rPr>
              <w:t>الصين، بما في ذلك منطقة هونغ كونغ الإدارية الخاصة ومنطقة ماكاو الإدارية الخاصة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تشرين الثاني/نوفمبر 2005</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تشرين الثاني/نوفمبر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طاجيكستان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شباط/فبراير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شباط/فبراير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9 شباط/فبراير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غابون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غانا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تشرين الأول/أكتوبر 2005</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تشرين الأول/أكتوبر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غيانا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حزيران/يونيه 1993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حزيران/يونيه 1997</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حزيران/يونيه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حزيران/يونيه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حزيران/يونيه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غينيا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8 تشرين الثاني/نوفمبر 1994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8 تشرين الثاني/نوفمبر 1998</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8 تشرين الثاني/نوفمبر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8 تشرين الثاني/نوفمبر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8 تشرين الثاني/نوفمبر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غينيا الاستوائية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تشرين الثاني/نوفمبر 2007</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الفلبين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1996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أيار/مايو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w w:val="87"/>
                <w:kern w:val="0"/>
                <w:sz w:val="20"/>
                <w:szCs w:val="28"/>
                <w:rtl/>
                <w:lang w:eastAsia="en-US"/>
              </w:rPr>
            </w:pPr>
            <w:r w:rsidRPr="00B8252B">
              <w:rPr>
                <w:rFonts w:hint="cs"/>
                <w:spacing w:val="0"/>
                <w:w w:val="87"/>
                <w:kern w:val="0"/>
                <w:sz w:val="20"/>
                <w:szCs w:val="28"/>
                <w:rtl/>
                <w:lang w:eastAsia="en-US"/>
              </w:rPr>
              <w:t>فنزويلا (جمهورية - البوليفارية)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آب/أغسطس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آب/أغسطس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قبرص</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آب/أغسطس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آب/أغسطس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قطر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شباط/فبراير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شباط/فبراير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قيرغيزستان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تشرين الأول/أكتوبر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تشرين الأول/أكتوبر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كازاخستان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أيلول/سبتمبر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أيلول/سبتمبر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الكاميرون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أيار/مايو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الكرسي الرسولي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تموز/يوليه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تموز/يوليه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كرواتيا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2008]</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تشرين الأول/أكتوبر 2008]</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كمبوديا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13 تشرين الثاني/نوفمبر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13 تشرين الثاني/نوفمبر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13 تشرين الثاني/نوفمبر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تشرين الثاني/نوفمبر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كوبا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حزيران/يونيه 2016]</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كوت ديفوار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16 كانون الثاني/يناير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كوستاريكا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كانون الأول/ديسمبر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كانون الأول/ديسمبر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كانون الأول/ديسمبر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حزيران/يونيه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كولومبيا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كانون الثاني/يناير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كانون الثاني/يناير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تشرين الثاني/نوفمبر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الكونغو</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30 آب/أغسطس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الكويت</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نيسان/أبريل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نيسان/أبريل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لبنان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تشرين الثاني/نوفمبر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تشرين الثاني/نوفمبر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ليبريا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22 كانون الأول/ديسمبر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ليبيا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حزيران/يونيه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حزيران/يونيه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حزيران/يونيه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ليتوانيا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آذار/مارس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 آذار/مارس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2012]</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ليختنشتاين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كانون الأول/ديسمبر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كانون الأول/ديسمبر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 كانون الأول/ديسمبر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أيار/مايو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ليسوتو</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كانون الأول/ديسمبر 2006</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كانون الأول/ديسمبر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مالطة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تشرين الأول/أكتوبر 1999</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تشرين الأول/أكتوبر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تشرين الأول/أكتوبر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تشرين الأول/أكتوبر 2011</w:t>
            </w:r>
          </w:p>
        </w:tc>
        <w:tc>
          <w:tcPr>
            <w:tcW w:w="2642" w:type="dxa"/>
          </w:tcPr>
          <w:p w:rsidR="00B8252B" w:rsidRPr="00B8252B" w:rsidRDefault="00B8252B" w:rsidP="00123D37">
            <w:pPr>
              <w:spacing w:line="320" w:lineRule="exact"/>
              <w:ind w:left="57" w:right="57"/>
              <w:rPr>
                <w:rFonts w:hint="cs"/>
                <w:spacing w:val="-4"/>
                <w:kern w:val="0"/>
                <w:sz w:val="20"/>
                <w:szCs w:val="28"/>
                <w:rtl/>
                <w:lang w:eastAsia="en-US"/>
              </w:rPr>
            </w:pPr>
            <w:r w:rsidRPr="00B8252B">
              <w:rPr>
                <w:rFonts w:hint="cs"/>
                <w:spacing w:val="-4"/>
                <w:kern w:val="0"/>
                <w:sz w:val="20"/>
                <w:szCs w:val="28"/>
                <w:rtl/>
                <w:lang w:eastAsia="en-US"/>
              </w:rPr>
              <w:t>[31 كانون الأول/ديسمبر 2000]</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مالي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آذار/مارس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آذار/مارس 2008</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آذار/مارس 2012</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مدغشقر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13 كانون الثاني/يناير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تشرين الثاني/نوفمبر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مصر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المغرب</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تموز/يوليه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تشرين الثاني/نوفمبر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ملاوي</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تموز/يوليه 2001</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تموز/يوليه 2005</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10 تموز/يوليه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ملديف</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20 أيار/مايو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المملكة العربية السعودية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21 تشرين الثاني/نوفمبر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after="120" w:line="320" w:lineRule="exact"/>
              <w:ind w:left="57" w:right="187"/>
              <w:rPr>
                <w:rFonts w:hint="cs"/>
                <w:spacing w:val="-2"/>
                <w:kern w:val="0"/>
                <w:sz w:val="20"/>
                <w:szCs w:val="28"/>
                <w:rtl/>
                <w:lang w:eastAsia="en-US"/>
              </w:rPr>
            </w:pPr>
            <w:r w:rsidRPr="00B8252B">
              <w:rPr>
                <w:rFonts w:hint="cs"/>
                <w:spacing w:val="-2"/>
                <w:kern w:val="0"/>
                <w:sz w:val="20"/>
                <w:szCs w:val="28"/>
                <w:rtl/>
                <w:lang w:eastAsia="en-US"/>
              </w:rPr>
              <w:t xml:space="preserve">المملكة المتحدة لبريطانيا العظمى </w:t>
            </w:r>
            <w:r w:rsidRPr="00123D37">
              <w:rPr>
                <w:rFonts w:hint="cs"/>
                <w:spacing w:val="0"/>
                <w:kern w:val="0"/>
                <w:sz w:val="20"/>
                <w:szCs w:val="28"/>
                <w:rtl/>
                <w:lang w:eastAsia="en-US"/>
              </w:rPr>
              <w:t>وآيرلندا</w:t>
            </w:r>
            <w:r w:rsidRPr="00B8252B">
              <w:rPr>
                <w:rFonts w:hint="cs"/>
                <w:spacing w:val="-2"/>
                <w:kern w:val="0"/>
                <w:sz w:val="20"/>
                <w:szCs w:val="28"/>
                <w:rtl/>
                <w:lang w:eastAsia="en-US"/>
              </w:rPr>
              <w:t xml:space="preserve"> الشمالية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6 كانون الثاني/يناير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منغوليا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23 شباط/فبراير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23 شباط/فبراير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تشرين الثاني/نوفمبر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موريتانيا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2009</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موريشيوس</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كانون الثاني/يناير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7 كانون الثاني/يناير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حزيران/يونيه 2015]</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موزامبيق</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تشرين الأول/أكتوبر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تشرين الأول/أكتوبر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ناميبيا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كانون الأول/ديسمبر 1999</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17 كانون الأول/ديسمبر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النمسا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27 آب/أغسطس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أيار/مايو 2014]</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نيبال</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حزيران/يونيه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حزيران/يونيه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حزيران/يونيه 2008]</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حزيران/يونيه 2008]</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[12 حزيران/يونيه 2008]</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النيجر</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تشرين الثاني/نوفمبر 2003</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تشرين الثاني/نوفمبر 2007</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تشرين الثاني/نوفمبر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نيجيريا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28 حزيران/يونيه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28 حزيران/يونيه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نيكاراغوا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آب/أغسطس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أيار/مايو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نيوزيلندا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8 كانون الثاني/يناير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أيار/مايو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هندوراس</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الثاني</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كانون الثاني/يناير 2002</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كانون الثاني/يناير 2006</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3 كانون الثاني/يناير 2010</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[15 أيار/مايو 2013]</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هنغاريا</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السادس</w:t>
            </w:r>
          </w:p>
        </w:tc>
        <w:tc>
          <w:tcPr>
            <w:tcW w:w="257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2004</w:t>
            </w:r>
          </w:p>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25 حزيران/يونيه 2008</w:t>
            </w:r>
          </w:p>
        </w:tc>
        <w:tc>
          <w:tcPr>
            <w:tcW w:w="2642" w:type="dxa"/>
          </w:tcPr>
          <w:p w:rsidR="00B8252B" w:rsidRPr="00B8252B" w:rsidRDefault="00B8252B" w:rsidP="00123D37">
            <w:pPr>
              <w:spacing w:line="320" w:lineRule="exact"/>
              <w:ind w:left="57" w:right="57"/>
              <w:rPr>
                <w:rFonts w:hint="cs"/>
                <w:spacing w:val="-4"/>
                <w:kern w:val="0"/>
                <w:sz w:val="20"/>
                <w:szCs w:val="28"/>
                <w:rtl/>
                <w:lang w:eastAsia="en-US"/>
              </w:rPr>
            </w:pPr>
            <w:r w:rsidRPr="00B8252B">
              <w:rPr>
                <w:rFonts w:hint="cs"/>
                <w:spacing w:val="-4"/>
                <w:kern w:val="0"/>
                <w:sz w:val="20"/>
                <w:szCs w:val="28"/>
                <w:rtl/>
                <w:lang w:eastAsia="en-US"/>
              </w:rPr>
              <w:t>[31 كانون الأول/ديسمبر 2010]</w:t>
            </w:r>
          </w:p>
          <w:p w:rsidR="00B8252B" w:rsidRPr="00B8252B" w:rsidRDefault="00B8252B" w:rsidP="00123D37">
            <w:pPr>
              <w:spacing w:line="320" w:lineRule="exact"/>
              <w:ind w:left="57" w:right="57"/>
              <w:rPr>
                <w:rFonts w:hint="cs"/>
                <w:spacing w:val="-4"/>
                <w:kern w:val="0"/>
                <w:sz w:val="20"/>
                <w:szCs w:val="28"/>
                <w:rtl/>
                <w:lang w:eastAsia="en-US"/>
              </w:rPr>
            </w:pPr>
            <w:r w:rsidRPr="00B8252B">
              <w:rPr>
                <w:rFonts w:hint="cs"/>
                <w:spacing w:val="-4"/>
                <w:kern w:val="0"/>
                <w:sz w:val="20"/>
                <w:szCs w:val="28"/>
                <w:rtl/>
                <w:lang w:eastAsia="en-US"/>
              </w:rPr>
              <w:t>[31 كانون الأول/ديسمبر 2010]</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الولايات المتحدة الأمريكية</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تشرين الثاني/نوفمبر 2011</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[19 تشرين الثاني/نوفمبر 2011]</w:t>
            </w:r>
          </w:p>
        </w:tc>
      </w:tr>
      <w:tr w:rsidR="00B8252B" w:rsidRPr="00B8252B" w:rsidTr="00B8252B">
        <w:trPr>
          <w:cantSplit/>
        </w:trPr>
        <w:tc>
          <w:tcPr>
            <w:tcW w:w="2263" w:type="dxa"/>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اليابان</w:t>
            </w:r>
          </w:p>
        </w:tc>
        <w:tc>
          <w:tcPr>
            <w:tcW w:w="1110" w:type="dxa"/>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tc>
        <w:tc>
          <w:tcPr>
            <w:tcW w:w="2570" w:type="dxa"/>
          </w:tcPr>
          <w:p w:rsidR="00B8252B" w:rsidRPr="00B8252B" w:rsidRDefault="00B8252B" w:rsidP="00123D37">
            <w:pPr>
              <w:spacing w:after="120" w:line="320" w:lineRule="exact"/>
              <w:ind w:left="57" w:right="57"/>
              <w:rPr>
                <w:rFonts w:hint="cs"/>
                <w:spacing w:val="0"/>
                <w:kern w:val="0"/>
                <w:sz w:val="20"/>
                <w:szCs w:val="28"/>
                <w:rtl/>
                <w:lang w:eastAsia="en-US"/>
              </w:rPr>
            </w:pPr>
            <w:r w:rsidRPr="00B8252B">
              <w:rPr>
                <w:rFonts w:hint="cs"/>
                <w:spacing w:val="0"/>
                <w:kern w:val="0"/>
                <w:sz w:val="20"/>
                <w:szCs w:val="28"/>
                <w:rtl/>
                <w:lang w:eastAsia="en-US"/>
              </w:rPr>
              <w:t>29 تموز/يوليه 2008</w:t>
            </w:r>
          </w:p>
        </w:tc>
        <w:tc>
          <w:tcPr>
            <w:tcW w:w="2642" w:type="dxa"/>
          </w:tcPr>
          <w:p w:rsidR="00B8252B" w:rsidRPr="00B8252B" w:rsidRDefault="00B8252B" w:rsidP="00123D37">
            <w:pPr>
              <w:spacing w:line="320" w:lineRule="exact"/>
              <w:ind w:left="57" w:right="57"/>
              <w:rPr>
                <w:rFonts w:hint="cs"/>
                <w:spacing w:val="0"/>
                <w:kern w:val="0"/>
                <w:sz w:val="20"/>
                <w:szCs w:val="28"/>
                <w:rtl/>
                <w:lang w:eastAsia="en-US"/>
              </w:rPr>
            </w:pPr>
          </w:p>
        </w:tc>
      </w:tr>
      <w:tr w:rsidR="00B8252B" w:rsidRPr="00B8252B" w:rsidTr="00B8252B">
        <w:trPr>
          <w:cantSplit/>
        </w:trPr>
        <w:tc>
          <w:tcPr>
            <w:tcW w:w="2263" w:type="dxa"/>
            <w:tcBorders>
              <w:bottom w:val="single" w:sz="12" w:space="0" w:color="auto"/>
            </w:tcBorders>
          </w:tcPr>
          <w:p w:rsidR="00B8252B" w:rsidRPr="00B8252B" w:rsidRDefault="00B8252B" w:rsidP="00123D37">
            <w:pPr>
              <w:spacing w:line="320" w:lineRule="exact"/>
              <w:ind w:left="57" w:right="227"/>
              <w:rPr>
                <w:rFonts w:hint="cs"/>
                <w:spacing w:val="0"/>
                <w:kern w:val="0"/>
                <w:sz w:val="20"/>
                <w:szCs w:val="28"/>
                <w:rtl/>
                <w:lang w:eastAsia="en-US"/>
              </w:rPr>
            </w:pPr>
            <w:r w:rsidRPr="00B8252B">
              <w:rPr>
                <w:rFonts w:hint="cs"/>
                <w:spacing w:val="0"/>
                <w:kern w:val="0"/>
                <w:sz w:val="20"/>
                <w:szCs w:val="28"/>
                <w:rtl/>
                <w:lang w:eastAsia="en-US"/>
              </w:rPr>
              <w:t>اليمن</w:t>
            </w:r>
          </w:p>
        </w:tc>
        <w:tc>
          <w:tcPr>
            <w:tcW w:w="1110" w:type="dxa"/>
            <w:tcBorders>
              <w:bottom w:val="single" w:sz="12" w:space="0" w:color="auto"/>
            </w:tcBorders>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الثالث</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الرابع</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الخامس</w:t>
            </w:r>
          </w:p>
        </w:tc>
        <w:tc>
          <w:tcPr>
            <w:tcW w:w="2570" w:type="dxa"/>
            <w:tcBorders>
              <w:bottom w:val="single" w:sz="12" w:space="0" w:color="auto"/>
            </w:tcBorders>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كانون الأول/ديسمبر 2000</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كانون الأول/ديسمبر 2004</w:t>
            </w:r>
          </w:p>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4 كانون الأول/ديسمبر 2008</w:t>
            </w:r>
          </w:p>
        </w:tc>
        <w:tc>
          <w:tcPr>
            <w:tcW w:w="2642" w:type="dxa"/>
            <w:tcBorders>
              <w:bottom w:val="single" w:sz="12" w:space="0" w:color="auto"/>
            </w:tcBorders>
          </w:tcPr>
          <w:p w:rsidR="00B8252B" w:rsidRPr="00B8252B" w:rsidRDefault="00B8252B" w:rsidP="00123D37">
            <w:pPr>
              <w:spacing w:line="320" w:lineRule="exact"/>
              <w:ind w:left="57" w:right="57"/>
              <w:rPr>
                <w:rFonts w:hint="cs"/>
                <w:spacing w:val="0"/>
                <w:kern w:val="0"/>
                <w:sz w:val="20"/>
                <w:szCs w:val="28"/>
                <w:rtl/>
                <w:lang w:eastAsia="en-US"/>
              </w:rPr>
            </w:pPr>
            <w:r w:rsidRPr="00B8252B">
              <w:rPr>
                <w:rFonts w:hint="cs"/>
                <w:spacing w:val="0"/>
                <w:kern w:val="0"/>
                <w:sz w:val="20"/>
                <w:szCs w:val="28"/>
                <w:rtl/>
                <w:lang w:eastAsia="en-US"/>
              </w:rPr>
              <w:t>[14 أيار/مايو 2014]</w:t>
            </w:r>
          </w:p>
        </w:tc>
      </w:tr>
    </w:tbl>
    <w:p w:rsidR="00D731BA" w:rsidRDefault="00D731BA" w:rsidP="00293076">
      <w:pPr>
        <w:pStyle w:val="SingleTxtGA"/>
        <w:rPr>
          <w:kern w:val="0"/>
          <w:rtl/>
          <w:lang w:eastAsia="en-US"/>
        </w:rPr>
      </w:pPr>
    </w:p>
    <w:p w:rsidR="00B8252B" w:rsidRPr="00D731BA" w:rsidRDefault="00D731BA" w:rsidP="00D731BA">
      <w:pPr>
        <w:pStyle w:val="HChGA"/>
        <w:spacing w:before="120"/>
        <w:rPr>
          <w:rFonts w:ascii="Times New Roman Bold" w:hAnsi="Times New Roman Bold" w:hint="cs"/>
          <w:spacing w:val="0"/>
          <w:kern w:val="0"/>
          <w:rtl/>
          <w:lang w:eastAsia="en-US"/>
        </w:rPr>
      </w:pPr>
      <w:r>
        <w:rPr>
          <w:kern w:val="0"/>
          <w:rtl/>
          <w:lang w:eastAsia="en-US"/>
        </w:rPr>
        <w:br w:type="page"/>
      </w:r>
      <w:r w:rsidR="00B8252B" w:rsidRPr="00D731BA">
        <w:rPr>
          <w:rFonts w:ascii="Times New Roman Bold" w:hAnsi="Times New Roman Bold" w:hint="cs"/>
          <w:spacing w:val="0"/>
          <w:kern w:val="0"/>
          <w:rtl/>
          <w:lang w:eastAsia="en-US"/>
        </w:rPr>
        <w:t>المرفق الثاني عشر</w:t>
      </w:r>
    </w:p>
    <w:p w:rsidR="00B8252B" w:rsidRPr="00D731BA" w:rsidRDefault="00B8252B" w:rsidP="00D731BA">
      <w:pPr>
        <w:pStyle w:val="HChGA"/>
        <w:jc w:val="lowKashida"/>
        <w:rPr>
          <w:rFonts w:ascii="Times New Roman Bold" w:hAnsi="Times New Roman Bold" w:hint="cs"/>
          <w:spacing w:val="0"/>
          <w:w w:val="94"/>
          <w:kern w:val="0"/>
          <w:rtl/>
          <w:lang w:eastAsia="en-US"/>
        </w:rPr>
      </w:pPr>
      <w:r w:rsidRPr="00D731BA">
        <w:rPr>
          <w:rFonts w:ascii="Times New Roman Bold" w:hAnsi="Times New Roman Bold" w:hint="cs"/>
          <w:spacing w:val="0"/>
          <w:w w:val="94"/>
          <w:kern w:val="0"/>
          <w:rtl/>
          <w:lang w:eastAsia="en-US"/>
        </w:rPr>
        <w:tab/>
      </w:r>
      <w:r w:rsidRPr="00D731BA">
        <w:rPr>
          <w:rFonts w:ascii="Times New Roman Bold" w:hAnsi="Times New Roman Bold" w:hint="cs"/>
          <w:spacing w:val="0"/>
          <w:w w:val="94"/>
          <w:kern w:val="0"/>
          <w:rtl/>
          <w:lang w:eastAsia="en-US"/>
        </w:rPr>
        <w:tab/>
      </w:r>
      <w:r w:rsidRPr="00D731BA">
        <w:rPr>
          <w:rFonts w:ascii="Times New Roman Bold" w:hAnsi="Times New Roman Bold"/>
          <w:spacing w:val="0"/>
          <w:w w:val="94"/>
          <w:kern w:val="0"/>
          <w:rtl/>
          <w:lang w:eastAsia="en-US"/>
        </w:rPr>
        <w:t>المقررون القطريون المعنيون بتقارير الدول الأطراف</w:t>
      </w:r>
      <w:r w:rsidRPr="00D731BA">
        <w:rPr>
          <w:rFonts w:ascii="Times New Roman Bold" w:hAnsi="Times New Roman Bold" w:hint="cs"/>
          <w:spacing w:val="0"/>
          <w:w w:val="94"/>
          <w:kern w:val="0"/>
          <w:rtl/>
          <w:lang w:eastAsia="en-US"/>
        </w:rPr>
        <w:t xml:space="preserve"> </w:t>
      </w:r>
      <w:r w:rsidRPr="00D731BA">
        <w:rPr>
          <w:rFonts w:ascii="Times New Roman Bold" w:hAnsi="Times New Roman Bold"/>
          <w:spacing w:val="0"/>
          <w:w w:val="94"/>
          <w:kern w:val="0"/>
          <w:rtl/>
          <w:lang w:eastAsia="en-US"/>
        </w:rPr>
        <w:t xml:space="preserve">التي نظرت فيها اللجنة في دورتيها </w:t>
      </w:r>
      <w:r w:rsidRPr="00D731BA">
        <w:rPr>
          <w:rFonts w:ascii="Times New Roman Bold" w:hAnsi="Times New Roman Bold" w:hint="cs"/>
          <w:spacing w:val="0"/>
          <w:w w:val="94"/>
          <w:kern w:val="0"/>
          <w:rtl/>
          <w:lang w:eastAsia="en-US"/>
        </w:rPr>
        <w:t xml:space="preserve">السابعة والأربعين والثامنة والأربعين </w:t>
      </w:r>
      <w:r w:rsidRPr="00D731BA">
        <w:rPr>
          <w:rFonts w:ascii="Times New Roman Bold" w:hAnsi="Times New Roman Bold"/>
          <w:spacing w:val="0"/>
          <w:w w:val="94"/>
          <w:kern w:val="0"/>
          <w:sz w:val="36"/>
          <w:szCs w:val="36"/>
          <w:rtl/>
          <w:lang w:eastAsia="en-US"/>
        </w:rPr>
        <w:t xml:space="preserve">(بحسب </w:t>
      </w:r>
      <w:r w:rsidRPr="00D731BA">
        <w:rPr>
          <w:rFonts w:ascii="Times New Roman Bold" w:hAnsi="Times New Roman Bold" w:hint="cs"/>
          <w:spacing w:val="0"/>
          <w:w w:val="94"/>
          <w:kern w:val="0"/>
          <w:sz w:val="36"/>
          <w:szCs w:val="36"/>
          <w:rtl/>
          <w:lang w:eastAsia="en-US"/>
        </w:rPr>
        <w:t>ال</w:t>
      </w:r>
      <w:r w:rsidRPr="00D731BA">
        <w:rPr>
          <w:rFonts w:ascii="Times New Roman Bold" w:hAnsi="Times New Roman Bold"/>
          <w:spacing w:val="0"/>
          <w:w w:val="94"/>
          <w:kern w:val="0"/>
          <w:sz w:val="36"/>
          <w:szCs w:val="36"/>
          <w:rtl/>
          <w:lang w:eastAsia="en-US"/>
        </w:rPr>
        <w:t xml:space="preserve">ترتيب </w:t>
      </w:r>
      <w:r w:rsidRPr="00D731BA">
        <w:rPr>
          <w:rFonts w:ascii="Times New Roman Bold" w:hAnsi="Times New Roman Bold" w:hint="cs"/>
          <w:spacing w:val="0"/>
          <w:w w:val="94"/>
          <w:kern w:val="0"/>
          <w:sz w:val="36"/>
          <w:szCs w:val="36"/>
          <w:rtl/>
          <w:lang w:eastAsia="en-US"/>
        </w:rPr>
        <w:t>الأبجدي</w:t>
      </w:r>
      <w:r w:rsidRPr="00D731BA">
        <w:rPr>
          <w:rFonts w:ascii="Times New Roman Bold" w:hAnsi="Times New Roman Bold"/>
          <w:spacing w:val="0"/>
          <w:w w:val="94"/>
          <w:kern w:val="0"/>
          <w:sz w:val="36"/>
          <w:szCs w:val="36"/>
          <w:rtl/>
          <w:lang w:eastAsia="en-US"/>
        </w:rPr>
        <w:t>)</w:t>
      </w:r>
    </w:p>
    <w:p w:rsidR="00B8252B" w:rsidRPr="00D731BA" w:rsidRDefault="00B8252B" w:rsidP="00D731BA">
      <w:pPr>
        <w:pStyle w:val="H1GA"/>
        <w:rPr>
          <w:rFonts w:ascii="Times New Roman Bold" w:hAnsi="Times New Roman Bold" w:hint="cs"/>
          <w:spacing w:val="0"/>
          <w:kern w:val="0"/>
          <w:rtl/>
          <w:lang w:eastAsia="en-US"/>
        </w:rPr>
      </w:pPr>
      <w:r w:rsidRPr="00D731BA">
        <w:rPr>
          <w:rFonts w:ascii="Times New Roman Bold" w:hAnsi="Times New Roman Bold" w:hint="cs"/>
          <w:spacing w:val="0"/>
          <w:kern w:val="0"/>
          <w:rtl/>
          <w:lang w:eastAsia="en-US"/>
        </w:rPr>
        <w:tab/>
      </w:r>
      <w:r w:rsidRPr="00D731BA">
        <w:rPr>
          <w:rFonts w:ascii="Times New Roman Bold" w:hAnsi="Times New Roman Bold"/>
          <w:spacing w:val="0"/>
          <w:kern w:val="0"/>
          <w:rtl/>
          <w:lang w:eastAsia="en-US"/>
        </w:rPr>
        <w:t>ألف-</w:t>
      </w:r>
      <w:r w:rsidRPr="00D731BA">
        <w:rPr>
          <w:rFonts w:ascii="Times New Roman Bold" w:hAnsi="Times New Roman Bold" w:hint="cs"/>
          <w:spacing w:val="0"/>
          <w:kern w:val="0"/>
          <w:rtl/>
          <w:lang w:eastAsia="en-US"/>
        </w:rPr>
        <w:tab/>
      </w:r>
      <w:r w:rsidRPr="00D731BA">
        <w:rPr>
          <w:rFonts w:ascii="Times New Roman Bold" w:hAnsi="Times New Roman Bold"/>
          <w:spacing w:val="0"/>
          <w:kern w:val="0"/>
          <w:rtl/>
          <w:lang w:eastAsia="en-US"/>
        </w:rPr>
        <w:t xml:space="preserve">الدورة </w:t>
      </w:r>
      <w:r w:rsidRPr="00D731BA">
        <w:rPr>
          <w:rFonts w:ascii="Times New Roman Bold" w:hAnsi="Times New Roman Bold" w:hint="cs"/>
          <w:spacing w:val="0"/>
          <w:kern w:val="0"/>
          <w:rtl/>
          <w:lang w:eastAsia="en-US"/>
        </w:rPr>
        <w:t>السابعة والأربعون</w:t>
      </w:r>
    </w:p>
    <w:tbl>
      <w:tblPr>
        <w:bidiVisual/>
        <w:tblW w:w="7178" w:type="dxa"/>
        <w:tblInd w:w="1238" w:type="dxa"/>
        <w:tblCellMar>
          <w:left w:w="0" w:type="dxa"/>
          <w:right w:w="0" w:type="dxa"/>
        </w:tblCellMar>
        <w:tblLook w:val="0000"/>
      </w:tblPr>
      <w:tblGrid>
        <w:gridCol w:w="2894"/>
        <w:gridCol w:w="2436"/>
        <w:gridCol w:w="1848"/>
      </w:tblGrid>
      <w:tr w:rsidR="00B8252B" w:rsidRPr="00B8252B" w:rsidTr="00B8252B">
        <w:tblPrEx>
          <w:tblCellMar>
            <w:top w:w="0" w:type="dxa"/>
            <w:bottom w:w="0" w:type="dxa"/>
          </w:tblCellMar>
        </w:tblPrEx>
        <w:trPr>
          <w:trHeight w:val="330"/>
        </w:trPr>
        <w:tc>
          <w:tcPr>
            <w:tcW w:w="2894" w:type="dxa"/>
            <w:tcBorders>
              <w:top w:val="single" w:sz="4" w:space="0" w:color="auto"/>
              <w:bottom w:val="single" w:sz="12" w:space="0" w:color="auto"/>
            </w:tcBorders>
          </w:tcPr>
          <w:p w:rsidR="00B8252B" w:rsidRPr="00B8252B" w:rsidRDefault="00B8252B" w:rsidP="00293076">
            <w:pPr>
              <w:spacing w:before="40" w:after="60" w:line="340" w:lineRule="exact"/>
              <w:ind w:left="57" w:right="57"/>
              <w:jc w:val="lowKashida"/>
              <w:rPr>
                <w:rFonts w:hint="cs"/>
                <w:i/>
                <w:iCs/>
                <w:spacing w:val="0"/>
                <w:kern w:val="0"/>
                <w:sz w:val="18"/>
                <w:szCs w:val="28"/>
                <w:rtl/>
                <w:lang w:eastAsia="en-US"/>
              </w:rPr>
            </w:pPr>
            <w:r w:rsidRPr="00B8252B">
              <w:rPr>
                <w:rFonts w:hint="cs"/>
                <w:i/>
                <w:iCs/>
                <w:spacing w:val="0"/>
                <w:kern w:val="0"/>
                <w:sz w:val="18"/>
                <w:szCs w:val="28"/>
                <w:rtl/>
                <w:lang w:eastAsia="en-US"/>
              </w:rPr>
              <w:t>التقرير</w:t>
            </w:r>
          </w:p>
        </w:tc>
        <w:tc>
          <w:tcPr>
            <w:tcW w:w="2436" w:type="dxa"/>
            <w:tcBorders>
              <w:top w:val="single" w:sz="4" w:space="0" w:color="auto"/>
              <w:bottom w:val="single" w:sz="12" w:space="0" w:color="auto"/>
            </w:tcBorders>
          </w:tcPr>
          <w:p w:rsidR="00B8252B" w:rsidRPr="00B8252B" w:rsidRDefault="00B8252B" w:rsidP="00293076">
            <w:pPr>
              <w:spacing w:before="40" w:after="60" w:line="340" w:lineRule="exact"/>
              <w:ind w:left="57" w:right="57"/>
              <w:jc w:val="lowKashida"/>
              <w:rPr>
                <w:rFonts w:hint="cs"/>
                <w:i/>
                <w:iCs/>
                <w:spacing w:val="0"/>
                <w:kern w:val="0"/>
                <w:sz w:val="18"/>
                <w:szCs w:val="28"/>
                <w:rtl/>
                <w:lang w:eastAsia="en-US"/>
              </w:rPr>
            </w:pPr>
            <w:r w:rsidRPr="00B8252B">
              <w:rPr>
                <w:rFonts w:hint="cs"/>
                <w:i/>
                <w:iCs/>
                <w:spacing w:val="0"/>
                <w:kern w:val="0"/>
                <w:sz w:val="18"/>
                <w:szCs w:val="28"/>
                <w:rtl/>
                <w:lang w:eastAsia="en-US"/>
              </w:rPr>
              <w:t>المقرر 1</w:t>
            </w:r>
          </w:p>
        </w:tc>
        <w:tc>
          <w:tcPr>
            <w:tcW w:w="1848" w:type="dxa"/>
            <w:tcBorders>
              <w:top w:val="single" w:sz="4" w:space="0" w:color="auto"/>
              <w:bottom w:val="single" w:sz="12" w:space="0" w:color="auto"/>
            </w:tcBorders>
          </w:tcPr>
          <w:p w:rsidR="00B8252B" w:rsidRPr="00B8252B" w:rsidRDefault="00B8252B" w:rsidP="00293076">
            <w:pPr>
              <w:spacing w:before="40" w:after="60" w:line="340" w:lineRule="exact"/>
              <w:ind w:left="57" w:right="57"/>
              <w:jc w:val="lowKashida"/>
              <w:rPr>
                <w:rFonts w:hint="cs"/>
                <w:i/>
                <w:iCs/>
                <w:spacing w:val="0"/>
                <w:kern w:val="0"/>
                <w:sz w:val="18"/>
                <w:szCs w:val="28"/>
                <w:rtl/>
                <w:lang w:eastAsia="en-US"/>
              </w:rPr>
            </w:pPr>
            <w:r w:rsidRPr="00B8252B">
              <w:rPr>
                <w:rFonts w:hint="cs"/>
                <w:i/>
                <w:iCs/>
                <w:spacing w:val="0"/>
                <w:kern w:val="0"/>
                <w:sz w:val="18"/>
                <w:szCs w:val="28"/>
                <w:rtl/>
                <w:lang w:eastAsia="en-US"/>
              </w:rPr>
              <w:t>المقرر 2</w:t>
            </w:r>
          </w:p>
        </w:tc>
      </w:tr>
      <w:tr w:rsidR="00B8252B" w:rsidRPr="00B8252B" w:rsidTr="00B8252B">
        <w:tblPrEx>
          <w:tblCellMar>
            <w:top w:w="0" w:type="dxa"/>
            <w:bottom w:w="0" w:type="dxa"/>
          </w:tblCellMar>
        </w:tblPrEx>
        <w:tc>
          <w:tcPr>
            <w:tcW w:w="2894" w:type="dxa"/>
            <w:tcBorders>
              <w:top w:val="single" w:sz="12" w:space="0" w:color="auto"/>
            </w:tcBorders>
          </w:tcPr>
          <w:p w:rsidR="00B8252B" w:rsidRPr="00B8252B" w:rsidRDefault="00B8252B" w:rsidP="00293076">
            <w:pPr>
              <w:spacing w:before="40" w:after="60" w:line="340" w:lineRule="exact"/>
              <w:ind w:left="57" w:right="57"/>
              <w:rPr>
                <w:rFonts w:hint="cs"/>
                <w:spacing w:val="0"/>
                <w:kern w:val="0"/>
                <w:sz w:val="18"/>
                <w:szCs w:val="28"/>
                <w:lang w:eastAsia="en-US"/>
              </w:rPr>
            </w:pPr>
            <w:r w:rsidRPr="00B8252B">
              <w:rPr>
                <w:rFonts w:hint="cs"/>
                <w:spacing w:val="0"/>
                <w:kern w:val="0"/>
                <w:sz w:val="18"/>
                <w:szCs w:val="28"/>
                <w:rtl/>
                <w:lang w:eastAsia="en-US"/>
              </w:rPr>
              <w:t>ألمانيا</w:t>
            </w:r>
            <w:r w:rsidRPr="00B8252B">
              <w:rPr>
                <w:spacing w:val="0"/>
                <w:kern w:val="0"/>
                <w:sz w:val="18"/>
                <w:szCs w:val="28"/>
                <w:rtl/>
                <w:lang w:eastAsia="en-US"/>
              </w:rPr>
              <w:br/>
            </w:r>
            <w:r w:rsidRPr="00B8252B">
              <w:rPr>
                <w:rFonts w:hint="cs"/>
                <w:spacing w:val="0"/>
                <w:kern w:val="0"/>
                <w:sz w:val="18"/>
                <w:szCs w:val="28"/>
                <w:rtl/>
                <w:lang w:eastAsia="en-US"/>
              </w:rPr>
              <w:t>(</w:t>
            </w:r>
            <w:r w:rsidRPr="00B8252B">
              <w:rPr>
                <w:spacing w:val="0"/>
                <w:kern w:val="0"/>
                <w:sz w:val="18"/>
                <w:szCs w:val="28"/>
                <w:lang w:val="en-GB" w:eastAsia="en-US"/>
              </w:rPr>
              <w:t>CAT/C/DEU/5</w:t>
            </w:r>
            <w:r w:rsidRPr="00B8252B">
              <w:rPr>
                <w:rFonts w:hint="cs"/>
                <w:spacing w:val="0"/>
                <w:kern w:val="0"/>
                <w:sz w:val="18"/>
                <w:szCs w:val="28"/>
                <w:rtl/>
                <w:lang w:eastAsia="en-US"/>
              </w:rPr>
              <w:t>)</w:t>
            </w:r>
          </w:p>
        </w:tc>
        <w:tc>
          <w:tcPr>
            <w:tcW w:w="2436" w:type="dxa"/>
            <w:tcBorders>
              <w:top w:val="single" w:sz="12" w:space="0" w:color="auto"/>
            </w:tcBorders>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غروسمان</w:t>
            </w:r>
          </w:p>
        </w:tc>
        <w:tc>
          <w:tcPr>
            <w:tcW w:w="1848" w:type="dxa"/>
            <w:tcBorders>
              <w:top w:val="single" w:sz="12" w:space="0" w:color="auto"/>
            </w:tcBorders>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السيدة كليوباس</w:t>
            </w:r>
          </w:p>
        </w:tc>
      </w:tr>
      <w:tr w:rsidR="00B8252B" w:rsidRPr="00B8252B" w:rsidTr="00B8252B">
        <w:tblPrEx>
          <w:tblCellMar>
            <w:top w:w="0" w:type="dxa"/>
            <w:bottom w:w="0" w:type="dxa"/>
          </w:tblCellMar>
        </w:tblPrEx>
        <w:tc>
          <w:tcPr>
            <w:tcW w:w="2894" w:type="dxa"/>
          </w:tcPr>
          <w:p w:rsidR="00B8252B" w:rsidRPr="00B8252B" w:rsidRDefault="00B8252B" w:rsidP="00293076">
            <w:pPr>
              <w:spacing w:before="40" w:after="60" w:line="340" w:lineRule="exact"/>
              <w:ind w:left="57" w:right="57"/>
              <w:rPr>
                <w:rFonts w:hint="cs"/>
                <w:spacing w:val="0"/>
                <w:kern w:val="0"/>
                <w:sz w:val="18"/>
                <w:szCs w:val="28"/>
                <w:rtl/>
                <w:lang w:eastAsia="en-US"/>
              </w:rPr>
            </w:pPr>
            <w:r w:rsidRPr="00B8252B">
              <w:rPr>
                <w:rFonts w:hint="cs"/>
                <w:spacing w:val="0"/>
                <w:kern w:val="0"/>
                <w:sz w:val="18"/>
                <w:szCs w:val="28"/>
                <w:rtl/>
                <w:lang w:eastAsia="en-US"/>
              </w:rPr>
              <w:t>باراغواي</w:t>
            </w:r>
            <w:r w:rsidRPr="00B8252B">
              <w:rPr>
                <w:spacing w:val="0"/>
                <w:kern w:val="0"/>
                <w:sz w:val="18"/>
                <w:szCs w:val="28"/>
                <w:rtl/>
                <w:lang w:eastAsia="en-US"/>
              </w:rPr>
              <w:br/>
            </w:r>
            <w:r w:rsidRPr="00B8252B">
              <w:rPr>
                <w:rFonts w:hint="cs"/>
                <w:spacing w:val="0"/>
                <w:kern w:val="0"/>
                <w:sz w:val="18"/>
                <w:szCs w:val="28"/>
                <w:rtl/>
                <w:lang w:eastAsia="en-US"/>
              </w:rPr>
              <w:t>(</w:t>
            </w:r>
            <w:r w:rsidRPr="00B8252B">
              <w:rPr>
                <w:spacing w:val="0"/>
                <w:kern w:val="0"/>
                <w:sz w:val="18"/>
                <w:szCs w:val="28"/>
                <w:lang w:val="en-GB" w:eastAsia="en-US"/>
              </w:rPr>
              <w:t>CAT/C/PRY/4-6</w:t>
            </w:r>
            <w:r w:rsidRPr="00B8252B">
              <w:rPr>
                <w:rFonts w:hint="cs"/>
                <w:spacing w:val="0"/>
                <w:kern w:val="0"/>
                <w:sz w:val="18"/>
                <w:szCs w:val="28"/>
                <w:rtl/>
                <w:lang w:eastAsia="en-US"/>
              </w:rPr>
              <w:t>)</w:t>
            </w:r>
          </w:p>
        </w:tc>
        <w:tc>
          <w:tcPr>
            <w:tcW w:w="2436"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مارينيو</w:t>
            </w:r>
          </w:p>
        </w:tc>
        <w:tc>
          <w:tcPr>
            <w:tcW w:w="1848"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السيدة سفيّاس</w:t>
            </w:r>
          </w:p>
        </w:tc>
      </w:tr>
      <w:tr w:rsidR="00B8252B" w:rsidRPr="00B8252B" w:rsidTr="00B8252B">
        <w:tblPrEx>
          <w:tblCellMar>
            <w:top w:w="0" w:type="dxa"/>
            <w:bottom w:w="0" w:type="dxa"/>
          </w:tblCellMar>
        </w:tblPrEx>
        <w:tc>
          <w:tcPr>
            <w:tcW w:w="2894" w:type="dxa"/>
          </w:tcPr>
          <w:p w:rsidR="00B8252B" w:rsidRPr="00B8252B" w:rsidRDefault="00B8252B" w:rsidP="00293076">
            <w:pPr>
              <w:spacing w:before="40" w:after="60" w:line="340" w:lineRule="exact"/>
              <w:ind w:left="57" w:right="57"/>
              <w:rPr>
                <w:rFonts w:hint="cs"/>
                <w:spacing w:val="0"/>
                <w:kern w:val="0"/>
                <w:sz w:val="18"/>
                <w:szCs w:val="28"/>
                <w:rtl/>
                <w:lang w:eastAsia="en-US"/>
              </w:rPr>
            </w:pPr>
            <w:r w:rsidRPr="00B8252B">
              <w:rPr>
                <w:rFonts w:hint="cs"/>
                <w:spacing w:val="0"/>
                <w:kern w:val="0"/>
                <w:sz w:val="18"/>
                <w:szCs w:val="28"/>
                <w:rtl/>
                <w:lang w:eastAsia="en-US"/>
              </w:rPr>
              <w:t>بلغاريا</w:t>
            </w:r>
            <w:r w:rsidRPr="00B8252B">
              <w:rPr>
                <w:spacing w:val="0"/>
                <w:kern w:val="0"/>
                <w:sz w:val="18"/>
                <w:szCs w:val="28"/>
                <w:rtl/>
                <w:lang w:eastAsia="en-US"/>
              </w:rPr>
              <w:br/>
            </w:r>
            <w:r w:rsidRPr="00B8252B">
              <w:rPr>
                <w:rFonts w:hint="cs"/>
                <w:spacing w:val="0"/>
                <w:kern w:val="0"/>
                <w:sz w:val="18"/>
                <w:szCs w:val="28"/>
                <w:rtl/>
                <w:lang w:eastAsia="en-US"/>
              </w:rPr>
              <w:t>(</w:t>
            </w:r>
            <w:r w:rsidRPr="00B8252B">
              <w:rPr>
                <w:spacing w:val="0"/>
                <w:kern w:val="0"/>
                <w:sz w:val="18"/>
                <w:szCs w:val="28"/>
                <w:lang w:val="en-GB" w:eastAsia="en-US"/>
              </w:rPr>
              <w:t>CAT/C/BGR/4-5</w:t>
            </w:r>
            <w:r w:rsidRPr="00B8252B">
              <w:rPr>
                <w:rFonts w:hint="cs"/>
                <w:spacing w:val="0"/>
                <w:kern w:val="0"/>
                <w:sz w:val="18"/>
                <w:szCs w:val="28"/>
                <w:rtl/>
                <w:lang w:eastAsia="en-US"/>
              </w:rPr>
              <w:t>)</w:t>
            </w:r>
          </w:p>
        </w:tc>
        <w:tc>
          <w:tcPr>
            <w:tcW w:w="2436"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السيدة كليوباس</w:t>
            </w:r>
          </w:p>
        </w:tc>
        <w:tc>
          <w:tcPr>
            <w:tcW w:w="1848"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وانغ</w:t>
            </w:r>
          </w:p>
        </w:tc>
      </w:tr>
      <w:tr w:rsidR="00B8252B" w:rsidRPr="00B8252B" w:rsidTr="00B8252B">
        <w:tblPrEx>
          <w:tblCellMar>
            <w:top w:w="0" w:type="dxa"/>
            <w:bottom w:w="0" w:type="dxa"/>
          </w:tblCellMar>
        </w:tblPrEx>
        <w:tc>
          <w:tcPr>
            <w:tcW w:w="2894" w:type="dxa"/>
          </w:tcPr>
          <w:p w:rsidR="00B8252B" w:rsidRPr="00B8252B" w:rsidRDefault="00B8252B" w:rsidP="00293076">
            <w:pPr>
              <w:spacing w:before="40" w:after="60" w:line="340" w:lineRule="exact"/>
              <w:ind w:left="57" w:right="57"/>
              <w:rPr>
                <w:rFonts w:hint="cs"/>
                <w:spacing w:val="4"/>
                <w:kern w:val="0"/>
                <w:sz w:val="18"/>
                <w:szCs w:val="28"/>
                <w:lang w:eastAsia="en-US"/>
              </w:rPr>
            </w:pPr>
            <w:r w:rsidRPr="00B8252B">
              <w:rPr>
                <w:rFonts w:hint="cs"/>
                <w:spacing w:val="0"/>
                <w:kern w:val="0"/>
                <w:sz w:val="18"/>
                <w:szCs w:val="28"/>
                <w:rtl/>
                <w:lang w:eastAsia="en-US"/>
              </w:rPr>
              <w:t>بيلاروس</w:t>
            </w:r>
            <w:r w:rsidRPr="00B8252B">
              <w:rPr>
                <w:spacing w:val="4"/>
                <w:kern w:val="0"/>
                <w:sz w:val="18"/>
                <w:szCs w:val="28"/>
                <w:rtl/>
                <w:lang w:eastAsia="en-US"/>
              </w:rPr>
              <w:br/>
            </w:r>
            <w:r w:rsidRPr="00B8252B">
              <w:rPr>
                <w:rFonts w:hint="cs"/>
                <w:spacing w:val="4"/>
                <w:kern w:val="0"/>
                <w:sz w:val="18"/>
                <w:szCs w:val="28"/>
                <w:rtl/>
                <w:lang w:eastAsia="en-US"/>
              </w:rPr>
              <w:t>(</w:t>
            </w:r>
            <w:r w:rsidRPr="00B8252B">
              <w:rPr>
                <w:spacing w:val="4"/>
                <w:kern w:val="0"/>
                <w:sz w:val="18"/>
                <w:szCs w:val="28"/>
                <w:lang w:val="en-GB" w:eastAsia="en-US"/>
              </w:rPr>
              <w:t>CAT/C/BLR/4</w:t>
            </w:r>
            <w:r w:rsidRPr="00B8252B">
              <w:rPr>
                <w:rFonts w:hint="cs"/>
                <w:spacing w:val="4"/>
                <w:kern w:val="0"/>
                <w:sz w:val="18"/>
                <w:szCs w:val="28"/>
                <w:rtl/>
                <w:lang w:eastAsia="en-US"/>
              </w:rPr>
              <w:t>)</w:t>
            </w:r>
          </w:p>
        </w:tc>
        <w:tc>
          <w:tcPr>
            <w:tcW w:w="2436"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السيدة غاير</w:t>
            </w:r>
          </w:p>
        </w:tc>
        <w:tc>
          <w:tcPr>
            <w:tcW w:w="1848"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السيدة سفيّاس</w:t>
            </w:r>
          </w:p>
        </w:tc>
      </w:tr>
      <w:tr w:rsidR="00B8252B" w:rsidRPr="00B8252B" w:rsidTr="00B8252B">
        <w:tblPrEx>
          <w:tblCellMar>
            <w:top w:w="0" w:type="dxa"/>
            <w:bottom w:w="0" w:type="dxa"/>
          </w:tblCellMar>
        </w:tblPrEx>
        <w:tc>
          <w:tcPr>
            <w:tcW w:w="2894" w:type="dxa"/>
          </w:tcPr>
          <w:p w:rsidR="00B8252B" w:rsidRPr="00B8252B" w:rsidRDefault="00B8252B" w:rsidP="00293076">
            <w:pPr>
              <w:spacing w:before="40" w:after="60" w:line="340" w:lineRule="exact"/>
              <w:ind w:left="57" w:right="57"/>
              <w:rPr>
                <w:rFonts w:hint="cs"/>
                <w:spacing w:val="0"/>
                <w:kern w:val="0"/>
                <w:sz w:val="18"/>
                <w:szCs w:val="28"/>
                <w:lang w:eastAsia="en-US"/>
              </w:rPr>
            </w:pPr>
            <w:r w:rsidRPr="00B8252B">
              <w:rPr>
                <w:rFonts w:hint="cs"/>
                <w:spacing w:val="0"/>
                <w:kern w:val="0"/>
                <w:sz w:val="18"/>
                <w:szCs w:val="28"/>
                <w:rtl/>
                <w:lang w:eastAsia="en-US"/>
              </w:rPr>
              <w:t>جيبوتي</w:t>
            </w:r>
            <w:r w:rsidRPr="00B8252B">
              <w:rPr>
                <w:spacing w:val="0"/>
                <w:kern w:val="0"/>
                <w:sz w:val="18"/>
                <w:szCs w:val="28"/>
                <w:rtl/>
                <w:lang w:eastAsia="en-US"/>
              </w:rPr>
              <w:br/>
            </w:r>
            <w:r w:rsidRPr="00B8252B">
              <w:rPr>
                <w:rFonts w:hint="cs"/>
                <w:spacing w:val="0"/>
                <w:kern w:val="0"/>
                <w:sz w:val="18"/>
                <w:szCs w:val="28"/>
                <w:rtl/>
                <w:lang w:eastAsia="en-US"/>
              </w:rPr>
              <w:t>(</w:t>
            </w:r>
            <w:r w:rsidRPr="00B8252B">
              <w:rPr>
                <w:spacing w:val="0"/>
                <w:kern w:val="0"/>
                <w:sz w:val="18"/>
                <w:szCs w:val="28"/>
                <w:lang w:val="en-GB" w:eastAsia="en-US"/>
              </w:rPr>
              <w:t>CAT/C/DJI/1</w:t>
            </w:r>
            <w:r w:rsidRPr="00B8252B">
              <w:rPr>
                <w:rFonts w:hint="cs"/>
                <w:spacing w:val="0"/>
                <w:kern w:val="0"/>
                <w:sz w:val="18"/>
                <w:szCs w:val="28"/>
                <w:rtl/>
                <w:lang w:eastAsia="en-US"/>
              </w:rPr>
              <w:t>)</w:t>
            </w:r>
          </w:p>
        </w:tc>
        <w:tc>
          <w:tcPr>
            <w:tcW w:w="2436"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بروني</w:t>
            </w:r>
          </w:p>
        </w:tc>
        <w:tc>
          <w:tcPr>
            <w:tcW w:w="1848"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غروسمان</w:t>
            </w:r>
          </w:p>
        </w:tc>
      </w:tr>
      <w:tr w:rsidR="00B8252B" w:rsidRPr="00B8252B" w:rsidTr="00B8252B">
        <w:tblPrEx>
          <w:tblCellMar>
            <w:top w:w="0" w:type="dxa"/>
            <w:bottom w:w="0" w:type="dxa"/>
          </w:tblCellMar>
        </w:tblPrEx>
        <w:tc>
          <w:tcPr>
            <w:tcW w:w="2894" w:type="dxa"/>
          </w:tcPr>
          <w:p w:rsidR="00B8252B" w:rsidRPr="00B8252B" w:rsidRDefault="00B8252B" w:rsidP="00293076">
            <w:pPr>
              <w:spacing w:before="40" w:after="60" w:line="340" w:lineRule="exact"/>
              <w:ind w:left="57" w:right="57"/>
              <w:rPr>
                <w:rFonts w:hint="cs"/>
                <w:spacing w:val="0"/>
                <w:kern w:val="0"/>
                <w:sz w:val="18"/>
                <w:szCs w:val="28"/>
                <w:rtl/>
                <w:lang w:val="es-ES" w:eastAsia="en-US"/>
              </w:rPr>
            </w:pPr>
            <w:r w:rsidRPr="00B8252B">
              <w:rPr>
                <w:rFonts w:hint="cs"/>
                <w:spacing w:val="0"/>
                <w:kern w:val="0"/>
                <w:sz w:val="18"/>
                <w:szCs w:val="28"/>
                <w:rtl/>
                <w:lang w:val="es-ES" w:eastAsia="en-US"/>
              </w:rPr>
              <w:t>سري لانكا</w:t>
            </w:r>
            <w:r w:rsidRPr="00B8252B">
              <w:rPr>
                <w:spacing w:val="0"/>
                <w:kern w:val="0"/>
                <w:sz w:val="18"/>
                <w:szCs w:val="28"/>
                <w:rtl/>
                <w:lang w:val="es-ES" w:eastAsia="en-US"/>
              </w:rPr>
              <w:br/>
            </w:r>
            <w:r w:rsidRPr="00B8252B">
              <w:rPr>
                <w:rFonts w:hint="cs"/>
                <w:spacing w:val="0"/>
                <w:kern w:val="0"/>
                <w:sz w:val="18"/>
                <w:szCs w:val="28"/>
                <w:rtl/>
                <w:lang w:val="es-ES" w:eastAsia="en-US"/>
              </w:rPr>
              <w:t>(</w:t>
            </w:r>
            <w:r w:rsidRPr="00B8252B">
              <w:rPr>
                <w:spacing w:val="0"/>
                <w:kern w:val="0"/>
                <w:sz w:val="18"/>
                <w:szCs w:val="28"/>
                <w:lang w:val="en-GB" w:eastAsia="en-US"/>
              </w:rPr>
              <w:t>CAT/C/LKA/3-4</w:t>
            </w:r>
            <w:r w:rsidRPr="00B8252B">
              <w:rPr>
                <w:rFonts w:hint="cs"/>
                <w:spacing w:val="0"/>
                <w:kern w:val="0"/>
                <w:sz w:val="18"/>
                <w:szCs w:val="28"/>
                <w:rtl/>
                <w:lang w:val="es-ES" w:eastAsia="en-US"/>
              </w:rPr>
              <w:t>)</w:t>
            </w:r>
          </w:p>
        </w:tc>
        <w:tc>
          <w:tcPr>
            <w:tcW w:w="2436"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بروني</w:t>
            </w:r>
          </w:p>
        </w:tc>
        <w:tc>
          <w:tcPr>
            <w:tcW w:w="1848"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السيدة غاير</w:t>
            </w:r>
          </w:p>
        </w:tc>
      </w:tr>
      <w:tr w:rsidR="00B8252B" w:rsidRPr="00B8252B" w:rsidTr="00B8252B">
        <w:tblPrEx>
          <w:tblCellMar>
            <w:top w:w="0" w:type="dxa"/>
            <w:bottom w:w="0" w:type="dxa"/>
          </w:tblCellMar>
        </w:tblPrEx>
        <w:tc>
          <w:tcPr>
            <w:tcW w:w="2894" w:type="dxa"/>
          </w:tcPr>
          <w:p w:rsidR="00B8252B" w:rsidRPr="00B8252B" w:rsidRDefault="00B8252B" w:rsidP="00293076">
            <w:pPr>
              <w:spacing w:before="40" w:after="60" w:line="340" w:lineRule="exact"/>
              <w:ind w:left="57" w:right="57"/>
              <w:rPr>
                <w:rFonts w:hint="cs"/>
                <w:spacing w:val="0"/>
                <w:kern w:val="0"/>
                <w:sz w:val="18"/>
                <w:szCs w:val="28"/>
                <w:rtl/>
                <w:lang w:eastAsia="en-US"/>
              </w:rPr>
            </w:pPr>
            <w:r w:rsidRPr="00B8252B">
              <w:rPr>
                <w:rFonts w:hint="cs"/>
                <w:spacing w:val="0"/>
                <w:kern w:val="0"/>
                <w:sz w:val="18"/>
                <w:szCs w:val="28"/>
                <w:rtl/>
                <w:lang w:val="es-ES" w:eastAsia="en-US"/>
              </w:rPr>
              <w:t>مدغشقر</w:t>
            </w:r>
            <w:r w:rsidRPr="00B8252B">
              <w:rPr>
                <w:spacing w:val="0"/>
                <w:kern w:val="0"/>
                <w:sz w:val="18"/>
                <w:szCs w:val="28"/>
                <w:rtl/>
                <w:lang w:val="es-ES" w:eastAsia="en-US"/>
              </w:rPr>
              <w:br/>
            </w:r>
            <w:r w:rsidRPr="00B8252B">
              <w:rPr>
                <w:rFonts w:hint="cs"/>
                <w:spacing w:val="0"/>
                <w:kern w:val="0"/>
                <w:sz w:val="18"/>
                <w:szCs w:val="28"/>
                <w:rtl/>
                <w:lang w:val="es-ES" w:eastAsia="en-US"/>
              </w:rPr>
              <w:t>(</w:t>
            </w:r>
            <w:r w:rsidRPr="00B8252B">
              <w:rPr>
                <w:spacing w:val="0"/>
                <w:kern w:val="0"/>
                <w:sz w:val="18"/>
                <w:szCs w:val="28"/>
                <w:lang w:val="en-GB" w:eastAsia="en-US"/>
              </w:rPr>
              <w:t>CAT/C/MDG/1</w:t>
            </w:r>
            <w:r w:rsidRPr="00B8252B">
              <w:rPr>
                <w:rFonts w:hint="cs"/>
                <w:spacing w:val="0"/>
                <w:kern w:val="0"/>
                <w:sz w:val="18"/>
                <w:szCs w:val="28"/>
                <w:rtl/>
                <w:lang w:val="es-ES" w:eastAsia="en-US"/>
              </w:rPr>
              <w:t>)</w:t>
            </w:r>
          </w:p>
        </w:tc>
        <w:tc>
          <w:tcPr>
            <w:tcW w:w="2436"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السيدة بلمير</w:t>
            </w:r>
          </w:p>
        </w:tc>
        <w:tc>
          <w:tcPr>
            <w:tcW w:w="1848" w:type="dxa"/>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غاي</w:t>
            </w:r>
          </w:p>
        </w:tc>
      </w:tr>
      <w:tr w:rsidR="00B8252B" w:rsidRPr="00B8252B" w:rsidTr="00B8252B">
        <w:tblPrEx>
          <w:tblCellMar>
            <w:top w:w="0" w:type="dxa"/>
            <w:bottom w:w="0" w:type="dxa"/>
          </w:tblCellMar>
        </w:tblPrEx>
        <w:tc>
          <w:tcPr>
            <w:tcW w:w="2894" w:type="dxa"/>
            <w:tcBorders>
              <w:bottom w:val="single" w:sz="12" w:space="0" w:color="auto"/>
            </w:tcBorders>
          </w:tcPr>
          <w:p w:rsidR="00B8252B" w:rsidRPr="00B8252B" w:rsidRDefault="00B8252B" w:rsidP="00293076">
            <w:pPr>
              <w:spacing w:before="40" w:after="60" w:line="340" w:lineRule="exact"/>
              <w:ind w:left="57" w:right="57"/>
              <w:rPr>
                <w:rFonts w:hint="cs"/>
                <w:spacing w:val="0"/>
                <w:kern w:val="0"/>
                <w:sz w:val="18"/>
                <w:szCs w:val="28"/>
                <w:rtl/>
                <w:lang w:eastAsia="en-US"/>
              </w:rPr>
            </w:pPr>
            <w:r w:rsidRPr="00B8252B">
              <w:rPr>
                <w:rFonts w:hint="cs"/>
                <w:spacing w:val="0"/>
                <w:kern w:val="0"/>
                <w:sz w:val="18"/>
                <w:szCs w:val="28"/>
                <w:rtl/>
                <w:lang w:eastAsia="en-US"/>
              </w:rPr>
              <w:t>المغرب</w:t>
            </w:r>
            <w:r w:rsidRPr="00B8252B">
              <w:rPr>
                <w:spacing w:val="0"/>
                <w:kern w:val="0"/>
                <w:sz w:val="18"/>
                <w:szCs w:val="28"/>
                <w:rtl/>
                <w:lang w:eastAsia="en-US"/>
              </w:rPr>
              <w:br/>
            </w:r>
            <w:r w:rsidRPr="00B8252B">
              <w:rPr>
                <w:rFonts w:hint="cs"/>
                <w:spacing w:val="0"/>
                <w:kern w:val="0"/>
                <w:sz w:val="18"/>
                <w:szCs w:val="28"/>
                <w:rtl/>
                <w:lang w:eastAsia="en-US"/>
              </w:rPr>
              <w:t>(</w:t>
            </w:r>
            <w:r w:rsidRPr="00B8252B">
              <w:rPr>
                <w:spacing w:val="0"/>
                <w:kern w:val="0"/>
                <w:sz w:val="18"/>
                <w:szCs w:val="28"/>
                <w:lang w:val="en-GB" w:eastAsia="en-US"/>
              </w:rPr>
              <w:t>CAT/C/MAR/4</w:t>
            </w:r>
            <w:r w:rsidRPr="00B8252B">
              <w:rPr>
                <w:rFonts w:hint="cs"/>
                <w:spacing w:val="0"/>
                <w:kern w:val="0"/>
                <w:sz w:val="18"/>
                <w:szCs w:val="28"/>
                <w:rtl/>
                <w:lang w:eastAsia="en-US"/>
              </w:rPr>
              <w:t>)</w:t>
            </w:r>
          </w:p>
        </w:tc>
        <w:tc>
          <w:tcPr>
            <w:tcW w:w="2436" w:type="dxa"/>
            <w:tcBorders>
              <w:bottom w:val="single" w:sz="12" w:space="0" w:color="auto"/>
            </w:tcBorders>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غاي</w:t>
            </w:r>
          </w:p>
        </w:tc>
        <w:tc>
          <w:tcPr>
            <w:tcW w:w="1848" w:type="dxa"/>
            <w:tcBorders>
              <w:bottom w:val="single" w:sz="12" w:space="0" w:color="auto"/>
            </w:tcBorders>
          </w:tcPr>
          <w:p w:rsidR="00B8252B" w:rsidRPr="00B8252B" w:rsidRDefault="00B8252B" w:rsidP="00293076">
            <w:pPr>
              <w:spacing w:before="40" w:after="60" w:line="340" w:lineRule="exact"/>
              <w:ind w:left="57" w:right="57"/>
              <w:jc w:val="lowKashida"/>
              <w:rPr>
                <w:rFonts w:hint="cs"/>
                <w:spacing w:val="0"/>
                <w:kern w:val="0"/>
                <w:sz w:val="18"/>
                <w:szCs w:val="28"/>
                <w:rtl/>
                <w:lang w:eastAsia="en-US"/>
              </w:rPr>
            </w:pPr>
            <w:r w:rsidRPr="00B8252B">
              <w:rPr>
                <w:rFonts w:hint="cs"/>
                <w:spacing w:val="0"/>
                <w:kern w:val="0"/>
                <w:sz w:val="18"/>
                <w:szCs w:val="28"/>
                <w:rtl/>
                <w:lang w:eastAsia="en-US"/>
              </w:rPr>
              <w:t>السيد غروسمان</w:t>
            </w:r>
          </w:p>
        </w:tc>
      </w:tr>
    </w:tbl>
    <w:p w:rsidR="00B8252B" w:rsidRPr="00B8252B" w:rsidRDefault="00B8252B" w:rsidP="00293076">
      <w:pPr>
        <w:pStyle w:val="H1GA"/>
        <w:rPr>
          <w:rFonts w:hint="cs"/>
          <w:kern w:val="0"/>
          <w:rtl/>
          <w:lang w:eastAsia="en-US"/>
        </w:rPr>
      </w:pPr>
      <w:r w:rsidRPr="00B8252B">
        <w:rPr>
          <w:rFonts w:hint="cs"/>
          <w:kern w:val="0"/>
          <w:rtl/>
          <w:lang w:eastAsia="en-US"/>
        </w:rPr>
        <w:tab/>
        <w:t>باء-</w:t>
      </w:r>
      <w:r w:rsidRPr="00B8252B">
        <w:rPr>
          <w:rFonts w:hint="cs"/>
          <w:kern w:val="0"/>
          <w:rtl/>
          <w:lang w:eastAsia="en-US"/>
        </w:rPr>
        <w:tab/>
        <w:t>الدورة الثامنة والأربعون</w:t>
      </w:r>
    </w:p>
    <w:tbl>
      <w:tblPr>
        <w:bidiVisual/>
        <w:tblW w:w="0" w:type="auto"/>
        <w:tblInd w:w="1238" w:type="dxa"/>
        <w:tblCellMar>
          <w:left w:w="0" w:type="dxa"/>
          <w:right w:w="0" w:type="dxa"/>
        </w:tblCellMar>
        <w:tblLook w:val="0000"/>
      </w:tblPr>
      <w:tblGrid>
        <w:gridCol w:w="2894"/>
        <w:gridCol w:w="2450"/>
        <w:gridCol w:w="1834"/>
      </w:tblGrid>
      <w:tr w:rsidR="00B8252B" w:rsidRPr="00B8252B" w:rsidTr="00B8252B">
        <w:tblPrEx>
          <w:tblCellMar>
            <w:top w:w="0" w:type="dxa"/>
            <w:bottom w:w="0" w:type="dxa"/>
          </w:tblCellMar>
        </w:tblPrEx>
        <w:tc>
          <w:tcPr>
            <w:tcW w:w="2894" w:type="dxa"/>
            <w:tcBorders>
              <w:top w:val="single" w:sz="4" w:space="0" w:color="auto"/>
              <w:bottom w:val="single" w:sz="12" w:space="0" w:color="auto"/>
            </w:tcBorders>
          </w:tcPr>
          <w:p w:rsidR="00B8252B" w:rsidRPr="00B8252B" w:rsidRDefault="00B8252B" w:rsidP="00293076">
            <w:pPr>
              <w:spacing w:before="40" w:after="60" w:line="340" w:lineRule="exact"/>
              <w:ind w:left="57" w:right="57"/>
              <w:rPr>
                <w:rFonts w:hint="cs"/>
                <w:i/>
                <w:iCs/>
                <w:spacing w:val="4"/>
                <w:kern w:val="0"/>
                <w:sz w:val="16"/>
                <w:szCs w:val="26"/>
                <w:rtl/>
                <w:lang w:eastAsia="en-US"/>
              </w:rPr>
            </w:pPr>
            <w:r w:rsidRPr="00B8252B">
              <w:rPr>
                <w:rFonts w:hint="cs"/>
                <w:i/>
                <w:iCs/>
                <w:spacing w:val="4"/>
                <w:kern w:val="0"/>
                <w:sz w:val="16"/>
                <w:szCs w:val="26"/>
                <w:rtl/>
                <w:lang w:eastAsia="en-US"/>
              </w:rPr>
              <w:t>التقرير</w:t>
            </w:r>
          </w:p>
        </w:tc>
        <w:tc>
          <w:tcPr>
            <w:tcW w:w="2450" w:type="dxa"/>
            <w:tcBorders>
              <w:top w:val="single" w:sz="4" w:space="0" w:color="auto"/>
              <w:bottom w:val="single" w:sz="12" w:space="0" w:color="auto"/>
            </w:tcBorders>
          </w:tcPr>
          <w:p w:rsidR="00B8252B" w:rsidRPr="00B8252B" w:rsidRDefault="00B8252B" w:rsidP="00293076">
            <w:pPr>
              <w:spacing w:before="40" w:after="60" w:line="340" w:lineRule="exact"/>
              <w:ind w:left="57" w:right="57"/>
              <w:jc w:val="lowKashida"/>
              <w:rPr>
                <w:rFonts w:hint="cs"/>
                <w:i/>
                <w:iCs/>
                <w:spacing w:val="0"/>
                <w:kern w:val="0"/>
                <w:sz w:val="16"/>
                <w:szCs w:val="26"/>
                <w:rtl/>
                <w:lang w:eastAsia="en-US"/>
              </w:rPr>
            </w:pPr>
            <w:r w:rsidRPr="00B8252B">
              <w:rPr>
                <w:rFonts w:hint="cs"/>
                <w:i/>
                <w:iCs/>
                <w:spacing w:val="0"/>
                <w:kern w:val="0"/>
                <w:sz w:val="16"/>
                <w:szCs w:val="26"/>
                <w:rtl/>
                <w:lang w:eastAsia="en-US"/>
              </w:rPr>
              <w:t>المقرر 1</w:t>
            </w:r>
          </w:p>
        </w:tc>
        <w:tc>
          <w:tcPr>
            <w:tcW w:w="1834" w:type="dxa"/>
            <w:tcBorders>
              <w:top w:val="single" w:sz="4" w:space="0" w:color="auto"/>
              <w:bottom w:val="single" w:sz="12" w:space="0" w:color="auto"/>
            </w:tcBorders>
          </w:tcPr>
          <w:p w:rsidR="00B8252B" w:rsidRPr="00B8252B" w:rsidRDefault="00B8252B" w:rsidP="00293076">
            <w:pPr>
              <w:spacing w:before="40" w:after="60" w:line="340" w:lineRule="exact"/>
              <w:ind w:left="57" w:right="57"/>
              <w:jc w:val="lowKashida"/>
              <w:rPr>
                <w:rFonts w:hint="cs"/>
                <w:i/>
                <w:iCs/>
                <w:spacing w:val="0"/>
                <w:kern w:val="0"/>
                <w:sz w:val="16"/>
                <w:szCs w:val="26"/>
                <w:rtl/>
                <w:lang w:eastAsia="en-US"/>
              </w:rPr>
            </w:pPr>
            <w:r w:rsidRPr="00B8252B">
              <w:rPr>
                <w:rFonts w:hint="cs"/>
                <w:i/>
                <w:iCs/>
                <w:spacing w:val="0"/>
                <w:kern w:val="0"/>
                <w:sz w:val="16"/>
                <w:szCs w:val="26"/>
                <w:rtl/>
                <w:lang w:eastAsia="en-US"/>
              </w:rPr>
              <w:t>المقرر 2</w:t>
            </w:r>
          </w:p>
        </w:tc>
      </w:tr>
      <w:tr w:rsidR="00B8252B" w:rsidRPr="00B8252B" w:rsidTr="00B8252B">
        <w:tblPrEx>
          <w:tblCellMar>
            <w:top w:w="0" w:type="dxa"/>
            <w:bottom w:w="0" w:type="dxa"/>
          </w:tblCellMar>
        </w:tblPrEx>
        <w:tc>
          <w:tcPr>
            <w:tcW w:w="2894" w:type="dxa"/>
            <w:tcBorders>
              <w:top w:val="single" w:sz="12" w:space="0" w:color="auto"/>
            </w:tcBorders>
          </w:tcPr>
          <w:p w:rsidR="00B8252B" w:rsidRPr="00B8252B" w:rsidRDefault="00B8252B" w:rsidP="00293076">
            <w:pPr>
              <w:spacing w:before="40" w:after="60" w:line="340" w:lineRule="exact"/>
              <w:ind w:left="57" w:right="57"/>
              <w:rPr>
                <w:rFonts w:hint="cs"/>
                <w:spacing w:val="4"/>
                <w:kern w:val="0"/>
                <w:sz w:val="16"/>
                <w:szCs w:val="26"/>
                <w:lang w:eastAsia="en-US"/>
              </w:rPr>
            </w:pPr>
            <w:r w:rsidRPr="00B8252B">
              <w:rPr>
                <w:rFonts w:hint="cs"/>
                <w:spacing w:val="0"/>
                <w:kern w:val="0"/>
                <w:sz w:val="16"/>
                <w:szCs w:val="26"/>
                <w:rtl/>
                <w:lang w:eastAsia="en-US"/>
              </w:rPr>
              <w:t>أرمينيا</w:t>
            </w:r>
            <w:r w:rsidRPr="00B8252B">
              <w:rPr>
                <w:spacing w:val="4"/>
                <w:kern w:val="0"/>
                <w:sz w:val="16"/>
                <w:szCs w:val="26"/>
                <w:rtl/>
                <w:lang w:eastAsia="en-US"/>
              </w:rPr>
              <w:br/>
            </w:r>
            <w:r w:rsidRPr="00B8252B">
              <w:rPr>
                <w:rFonts w:hint="cs"/>
                <w:spacing w:val="4"/>
                <w:kern w:val="0"/>
                <w:sz w:val="16"/>
                <w:szCs w:val="26"/>
                <w:rtl/>
                <w:lang w:eastAsia="en-US"/>
              </w:rPr>
              <w:t>(</w:t>
            </w:r>
            <w:r w:rsidRPr="00B8252B">
              <w:rPr>
                <w:spacing w:val="4"/>
                <w:kern w:val="0"/>
                <w:sz w:val="16"/>
                <w:szCs w:val="26"/>
                <w:lang w:val="en-GB" w:eastAsia="en-US"/>
              </w:rPr>
              <w:t>CAT/C/ARM/3</w:t>
            </w:r>
            <w:r w:rsidRPr="00B8252B">
              <w:rPr>
                <w:rFonts w:hint="cs"/>
                <w:spacing w:val="4"/>
                <w:kern w:val="0"/>
                <w:sz w:val="16"/>
                <w:szCs w:val="26"/>
                <w:rtl/>
                <w:lang w:eastAsia="en-US"/>
              </w:rPr>
              <w:t>)</w:t>
            </w:r>
          </w:p>
        </w:tc>
        <w:tc>
          <w:tcPr>
            <w:tcW w:w="2450" w:type="dxa"/>
            <w:tcBorders>
              <w:top w:val="single" w:sz="12" w:space="0" w:color="auto"/>
            </w:tcBorders>
          </w:tcPr>
          <w:p w:rsidR="00B8252B" w:rsidRPr="00B8252B" w:rsidRDefault="00B8252B" w:rsidP="00293076">
            <w:pPr>
              <w:spacing w:before="40" w:after="60" w:line="34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السيدة غاير</w:t>
            </w:r>
          </w:p>
        </w:tc>
        <w:tc>
          <w:tcPr>
            <w:tcW w:w="1834" w:type="dxa"/>
            <w:tcBorders>
              <w:top w:val="single" w:sz="12" w:space="0" w:color="auto"/>
            </w:tcBorders>
          </w:tcPr>
          <w:p w:rsidR="00B8252B" w:rsidRPr="00B8252B" w:rsidRDefault="00B8252B" w:rsidP="00293076">
            <w:pPr>
              <w:spacing w:before="40" w:after="60" w:line="34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وانغ</w:t>
            </w:r>
          </w:p>
        </w:tc>
      </w:tr>
      <w:tr w:rsidR="00B8252B" w:rsidRPr="00B8252B" w:rsidTr="00B8252B">
        <w:tblPrEx>
          <w:tblCellMar>
            <w:top w:w="0" w:type="dxa"/>
            <w:bottom w:w="0" w:type="dxa"/>
          </w:tblCellMar>
        </w:tblPrEx>
        <w:tc>
          <w:tcPr>
            <w:tcW w:w="2894" w:type="dxa"/>
          </w:tcPr>
          <w:p w:rsidR="00B8252B" w:rsidRPr="00B8252B" w:rsidRDefault="00B8252B" w:rsidP="00293076">
            <w:pPr>
              <w:spacing w:before="40" w:after="60" w:line="340" w:lineRule="exact"/>
              <w:ind w:left="57" w:right="57"/>
              <w:rPr>
                <w:rFonts w:hint="cs"/>
                <w:spacing w:val="0"/>
                <w:kern w:val="0"/>
                <w:sz w:val="16"/>
                <w:szCs w:val="26"/>
                <w:rtl/>
                <w:lang w:eastAsia="en-US"/>
              </w:rPr>
            </w:pPr>
            <w:r w:rsidRPr="00B8252B">
              <w:rPr>
                <w:rFonts w:hint="cs"/>
                <w:spacing w:val="4"/>
                <w:kern w:val="0"/>
                <w:sz w:val="16"/>
                <w:szCs w:val="26"/>
                <w:rtl/>
                <w:lang w:eastAsia="en-US"/>
              </w:rPr>
              <w:t>ألبانيا</w:t>
            </w:r>
            <w:r w:rsidRPr="00B8252B">
              <w:rPr>
                <w:spacing w:val="4"/>
                <w:kern w:val="0"/>
                <w:sz w:val="16"/>
                <w:szCs w:val="26"/>
                <w:rtl/>
                <w:lang w:eastAsia="en-US"/>
              </w:rPr>
              <w:br/>
            </w:r>
            <w:r w:rsidRPr="00B8252B">
              <w:rPr>
                <w:rFonts w:hint="cs"/>
                <w:spacing w:val="4"/>
                <w:kern w:val="0"/>
                <w:sz w:val="16"/>
                <w:szCs w:val="26"/>
                <w:rtl/>
                <w:lang w:eastAsia="en-US"/>
              </w:rPr>
              <w:t>(</w:t>
            </w:r>
            <w:r w:rsidRPr="00B8252B">
              <w:rPr>
                <w:spacing w:val="4"/>
                <w:kern w:val="0"/>
                <w:sz w:val="16"/>
                <w:szCs w:val="26"/>
                <w:lang w:val="en-GB" w:eastAsia="en-US"/>
              </w:rPr>
              <w:t>CAT/C/ALB/2</w:t>
            </w:r>
            <w:r w:rsidRPr="00B8252B">
              <w:rPr>
                <w:rFonts w:hint="cs"/>
                <w:spacing w:val="4"/>
                <w:kern w:val="0"/>
                <w:sz w:val="16"/>
                <w:szCs w:val="26"/>
                <w:rtl/>
                <w:lang w:eastAsia="en-US"/>
              </w:rPr>
              <w:t>)</w:t>
            </w:r>
          </w:p>
        </w:tc>
        <w:tc>
          <w:tcPr>
            <w:tcW w:w="2450" w:type="dxa"/>
          </w:tcPr>
          <w:p w:rsidR="00B8252B" w:rsidRPr="00B8252B" w:rsidRDefault="00B8252B" w:rsidP="00293076">
            <w:pPr>
              <w:spacing w:before="40" w:after="60" w:line="34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غروسمان</w:t>
            </w:r>
          </w:p>
        </w:tc>
        <w:tc>
          <w:tcPr>
            <w:tcW w:w="1834" w:type="dxa"/>
          </w:tcPr>
          <w:p w:rsidR="00B8252B" w:rsidRPr="00B8252B" w:rsidRDefault="00B8252B" w:rsidP="00293076">
            <w:pPr>
              <w:spacing w:before="40" w:after="60" w:line="34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غاي</w:t>
            </w:r>
          </w:p>
        </w:tc>
      </w:tr>
      <w:tr w:rsidR="00B8252B" w:rsidRPr="00B8252B" w:rsidTr="00B8252B">
        <w:tblPrEx>
          <w:tblCellMar>
            <w:top w:w="0" w:type="dxa"/>
            <w:bottom w:w="0" w:type="dxa"/>
          </w:tblCellMar>
        </w:tblPrEx>
        <w:tc>
          <w:tcPr>
            <w:tcW w:w="2894" w:type="dxa"/>
          </w:tcPr>
          <w:p w:rsidR="00B8252B" w:rsidRPr="00B8252B" w:rsidRDefault="00B8252B" w:rsidP="00B8252B">
            <w:pPr>
              <w:spacing w:before="40" w:after="60" w:line="320" w:lineRule="exact"/>
              <w:ind w:left="57" w:right="57"/>
              <w:rPr>
                <w:rFonts w:hint="cs"/>
                <w:spacing w:val="0"/>
                <w:kern w:val="0"/>
                <w:sz w:val="16"/>
                <w:szCs w:val="26"/>
                <w:rtl/>
                <w:lang w:eastAsia="en-US"/>
              </w:rPr>
            </w:pPr>
            <w:r w:rsidRPr="00B8252B">
              <w:rPr>
                <w:rFonts w:hint="cs"/>
                <w:spacing w:val="0"/>
                <w:kern w:val="0"/>
                <w:sz w:val="16"/>
                <w:szCs w:val="26"/>
                <w:rtl/>
                <w:lang w:eastAsia="en-US"/>
              </w:rPr>
              <w:t>الجمهورية التشيكية</w:t>
            </w:r>
            <w:r w:rsidRPr="00B8252B">
              <w:rPr>
                <w:spacing w:val="0"/>
                <w:kern w:val="0"/>
                <w:sz w:val="16"/>
                <w:szCs w:val="26"/>
                <w:rtl/>
                <w:lang w:eastAsia="en-US"/>
              </w:rPr>
              <w:br/>
            </w:r>
            <w:r w:rsidRPr="00B8252B">
              <w:rPr>
                <w:rFonts w:hint="cs"/>
                <w:spacing w:val="0"/>
                <w:kern w:val="0"/>
                <w:sz w:val="16"/>
                <w:szCs w:val="26"/>
                <w:rtl/>
                <w:lang w:eastAsia="en-US"/>
              </w:rPr>
              <w:t>(</w:t>
            </w:r>
            <w:r w:rsidRPr="00B8252B">
              <w:rPr>
                <w:spacing w:val="0"/>
                <w:kern w:val="0"/>
                <w:sz w:val="16"/>
                <w:szCs w:val="26"/>
                <w:lang w:val="en-GB" w:eastAsia="en-US"/>
              </w:rPr>
              <w:t>CAT/C/CZE/4-5</w:t>
            </w:r>
            <w:r w:rsidRPr="00B8252B">
              <w:rPr>
                <w:rFonts w:hint="cs"/>
                <w:spacing w:val="0"/>
                <w:kern w:val="0"/>
                <w:sz w:val="16"/>
                <w:szCs w:val="26"/>
                <w:rtl/>
                <w:lang w:eastAsia="en-US"/>
              </w:rPr>
              <w:t>)</w:t>
            </w:r>
          </w:p>
        </w:tc>
        <w:tc>
          <w:tcPr>
            <w:tcW w:w="2450"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غروسمان</w:t>
            </w:r>
          </w:p>
        </w:tc>
        <w:tc>
          <w:tcPr>
            <w:tcW w:w="1834"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وانغ</w:t>
            </w:r>
          </w:p>
        </w:tc>
      </w:tr>
      <w:tr w:rsidR="00B8252B" w:rsidRPr="00B8252B" w:rsidTr="00B8252B">
        <w:tblPrEx>
          <w:tblCellMar>
            <w:top w:w="0" w:type="dxa"/>
            <w:bottom w:w="0" w:type="dxa"/>
          </w:tblCellMar>
        </w:tblPrEx>
        <w:tc>
          <w:tcPr>
            <w:tcW w:w="2894" w:type="dxa"/>
          </w:tcPr>
          <w:p w:rsidR="00B8252B" w:rsidRPr="00B8252B" w:rsidRDefault="00B8252B" w:rsidP="00B8252B">
            <w:pPr>
              <w:spacing w:before="40" w:after="60" w:line="320" w:lineRule="exact"/>
              <w:ind w:left="57" w:right="57"/>
              <w:rPr>
                <w:rFonts w:hint="cs"/>
                <w:spacing w:val="0"/>
                <w:kern w:val="0"/>
                <w:sz w:val="16"/>
                <w:szCs w:val="26"/>
                <w:rtl/>
                <w:lang w:eastAsia="en-US"/>
              </w:rPr>
            </w:pPr>
            <w:r w:rsidRPr="00B8252B">
              <w:rPr>
                <w:rFonts w:hint="cs"/>
                <w:spacing w:val="0"/>
                <w:kern w:val="0"/>
                <w:sz w:val="16"/>
                <w:szCs w:val="26"/>
                <w:rtl/>
                <w:lang w:eastAsia="en-US"/>
              </w:rPr>
              <w:t>رواندا</w:t>
            </w:r>
            <w:r w:rsidRPr="00B8252B">
              <w:rPr>
                <w:spacing w:val="0"/>
                <w:kern w:val="0"/>
                <w:sz w:val="16"/>
                <w:szCs w:val="26"/>
                <w:rtl/>
                <w:lang w:eastAsia="en-US"/>
              </w:rPr>
              <w:br/>
            </w:r>
            <w:r w:rsidRPr="00B8252B">
              <w:rPr>
                <w:rFonts w:hint="cs"/>
                <w:spacing w:val="0"/>
                <w:kern w:val="0"/>
                <w:sz w:val="16"/>
                <w:szCs w:val="26"/>
                <w:rtl/>
                <w:lang w:eastAsia="en-US"/>
              </w:rPr>
              <w:t>(</w:t>
            </w:r>
            <w:r w:rsidRPr="00B8252B">
              <w:rPr>
                <w:spacing w:val="0"/>
                <w:kern w:val="0"/>
                <w:sz w:val="16"/>
                <w:szCs w:val="26"/>
                <w:lang w:val="en-GB" w:eastAsia="en-US"/>
              </w:rPr>
              <w:t>CAT/C/RWA/1</w:t>
            </w:r>
            <w:r w:rsidRPr="00B8252B">
              <w:rPr>
                <w:rFonts w:hint="cs"/>
                <w:spacing w:val="0"/>
                <w:kern w:val="0"/>
                <w:sz w:val="16"/>
                <w:szCs w:val="26"/>
                <w:rtl/>
                <w:lang w:eastAsia="en-US"/>
              </w:rPr>
              <w:t>)</w:t>
            </w:r>
          </w:p>
        </w:tc>
        <w:tc>
          <w:tcPr>
            <w:tcW w:w="2450"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بروني</w:t>
            </w:r>
          </w:p>
        </w:tc>
        <w:tc>
          <w:tcPr>
            <w:tcW w:w="1834"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السيدة سفيّاس</w:t>
            </w:r>
          </w:p>
        </w:tc>
      </w:tr>
      <w:tr w:rsidR="00B8252B" w:rsidRPr="00B8252B" w:rsidTr="00B8252B">
        <w:tblPrEx>
          <w:tblCellMar>
            <w:top w:w="0" w:type="dxa"/>
            <w:bottom w:w="0" w:type="dxa"/>
          </w:tblCellMar>
        </w:tblPrEx>
        <w:tc>
          <w:tcPr>
            <w:tcW w:w="2894" w:type="dxa"/>
          </w:tcPr>
          <w:p w:rsidR="00B8252B" w:rsidRPr="00B8252B" w:rsidRDefault="00B8252B" w:rsidP="00B8252B">
            <w:pPr>
              <w:spacing w:before="40" w:after="60" w:line="320" w:lineRule="exact"/>
              <w:ind w:left="57" w:right="57"/>
              <w:rPr>
                <w:rFonts w:hint="cs"/>
                <w:spacing w:val="0"/>
                <w:kern w:val="0"/>
                <w:sz w:val="16"/>
                <w:szCs w:val="26"/>
                <w:rtl/>
                <w:lang w:eastAsia="en-US"/>
              </w:rPr>
            </w:pPr>
            <w:r w:rsidRPr="00B8252B">
              <w:rPr>
                <w:rFonts w:hint="cs"/>
                <w:spacing w:val="0"/>
                <w:kern w:val="0"/>
                <w:sz w:val="16"/>
                <w:szCs w:val="26"/>
                <w:rtl/>
                <w:lang w:eastAsia="en-US"/>
              </w:rPr>
              <w:t>كندا</w:t>
            </w:r>
            <w:r w:rsidRPr="00B8252B">
              <w:rPr>
                <w:spacing w:val="0"/>
                <w:kern w:val="0"/>
                <w:sz w:val="16"/>
                <w:szCs w:val="26"/>
                <w:rtl/>
                <w:lang w:eastAsia="en-US"/>
              </w:rPr>
              <w:br/>
            </w:r>
            <w:r w:rsidRPr="00B8252B">
              <w:rPr>
                <w:rFonts w:hint="cs"/>
                <w:spacing w:val="0"/>
                <w:kern w:val="0"/>
                <w:sz w:val="16"/>
                <w:szCs w:val="26"/>
                <w:rtl/>
                <w:lang w:eastAsia="en-US"/>
              </w:rPr>
              <w:t>(</w:t>
            </w:r>
            <w:r w:rsidRPr="00B8252B">
              <w:rPr>
                <w:spacing w:val="0"/>
                <w:kern w:val="0"/>
                <w:sz w:val="16"/>
                <w:szCs w:val="26"/>
                <w:lang w:val="en-GB" w:eastAsia="en-US"/>
              </w:rPr>
              <w:t>CAT/C/CAN/6</w:t>
            </w:r>
            <w:r w:rsidRPr="00B8252B">
              <w:rPr>
                <w:rFonts w:hint="cs"/>
                <w:spacing w:val="0"/>
                <w:kern w:val="0"/>
                <w:sz w:val="16"/>
                <w:szCs w:val="26"/>
                <w:rtl/>
                <w:lang w:eastAsia="en-US"/>
              </w:rPr>
              <w:t>)</w:t>
            </w:r>
          </w:p>
        </w:tc>
        <w:tc>
          <w:tcPr>
            <w:tcW w:w="2450"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بروني</w:t>
            </w:r>
          </w:p>
        </w:tc>
        <w:tc>
          <w:tcPr>
            <w:tcW w:w="1834"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السيدة بلمير</w:t>
            </w:r>
          </w:p>
        </w:tc>
      </w:tr>
      <w:tr w:rsidR="00B8252B" w:rsidRPr="00B8252B" w:rsidTr="00B8252B">
        <w:tblPrEx>
          <w:tblCellMar>
            <w:top w:w="0" w:type="dxa"/>
            <w:bottom w:w="0" w:type="dxa"/>
          </w:tblCellMar>
        </w:tblPrEx>
        <w:tc>
          <w:tcPr>
            <w:tcW w:w="2894" w:type="dxa"/>
          </w:tcPr>
          <w:p w:rsidR="00B8252B" w:rsidRPr="00B8252B" w:rsidRDefault="00B8252B" w:rsidP="00B8252B">
            <w:pPr>
              <w:spacing w:before="40" w:after="60" w:line="320" w:lineRule="exact"/>
              <w:ind w:left="57" w:right="57"/>
              <w:rPr>
                <w:rFonts w:hint="cs"/>
                <w:spacing w:val="0"/>
                <w:kern w:val="0"/>
                <w:sz w:val="16"/>
                <w:szCs w:val="26"/>
                <w:rtl/>
                <w:lang w:eastAsia="en-US"/>
              </w:rPr>
            </w:pPr>
            <w:r w:rsidRPr="00B8252B">
              <w:rPr>
                <w:rFonts w:hint="cs"/>
                <w:spacing w:val="0"/>
                <w:kern w:val="0"/>
                <w:sz w:val="16"/>
                <w:szCs w:val="26"/>
                <w:rtl/>
                <w:lang w:eastAsia="en-US"/>
              </w:rPr>
              <w:t>كوبا</w:t>
            </w:r>
            <w:r w:rsidRPr="00B8252B">
              <w:rPr>
                <w:spacing w:val="0"/>
                <w:kern w:val="0"/>
                <w:sz w:val="16"/>
                <w:szCs w:val="26"/>
                <w:rtl/>
                <w:lang w:eastAsia="en-US"/>
              </w:rPr>
              <w:br/>
            </w:r>
            <w:r w:rsidRPr="00B8252B">
              <w:rPr>
                <w:rFonts w:hint="cs"/>
                <w:spacing w:val="0"/>
                <w:kern w:val="0"/>
                <w:sz w:val="16"/>
                <w:szCs w:val="26"/>
                <w:rtl/>
                <w:lang w:eastAsia="en-US"/>
              </w:rPr>
              <w:t>(</w:t>
            </w:r>
            <w:r w:rsidRPr="00B8252B">
              <w:rPr>
                <w:spacing w:val="0"/>
                <w:kern w:val="0"/>
                <w:sz w:val="16"/>
                <w:szCs w:val="26"/>
                <w:lang w:val="en-GB" w:eastAsia="en-US"/>
              </w:rPr>
              <w:t>CAT/C/CUB/2</w:t>
            </w:r>
            <w:r w:rsidRPr="00B8252B">
              <w:rPr>
                <w:rFonts w:hint="cs"/>
                <w:spacing w:val="0"/>
                <w:kern w:val="0"/>
                <w:sz w:val="16"/>
                <w:szCs w:val="26"/>
                <w:rtl/>
                <w:lang w:eastAsia="en-US"/>
              </w:rPr>
              <w:t>)</w:t>
            </w:r>
          </w:p>
        </w:tc>
        <w:tc>
          <w:tcPr>
            <w:tcW w:w="2450"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 مارينيو</w:t>
            </w:r>
          </w:p>
        </w:tc>
        <w:tc>
          <w:tcPr>
            <w:tcW w:w="1834" w:type="dxa"/>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السيدة سفيّاس</w:t>
            </w:r>
          </w:p>
        </w:tc>
      </w:tr>
      <w:tr w:rsidR="00B8252B" w:rsidRPr="00B8252B" w:rsidTr="00B8252B">
        <w:tblPrEx>
          <w:tblCellMar>
            <w:top w:w="0" w:type="dxa"/>
            <w:bottom w:w="0" w:type="dxa"/>
          </w:tblCellMar>
        </w:tblPrEx>
        <w:tc>
          <w:tcPr>
            <w:tcW w:w="2894" w:type="dxa"/>
            <w:tcBorders>
              <w:bottom w:val="single" w:sz="12" w:space="0" w:color="auto"/>
            </w:tcBorders>
          </w:tcPr>
          <w:p w:rsidR="00B8252B" w:rsidRPr="00B8252B" w:rsidRDefault="00B8252B" w:rsidP="00B8252B">
            <w:pPr>
              <w:spacing w:before="40" w:after="60" w:line="320" w:lineRule="exact"/>
              <w:ind w:left="57" w:right="57"/>
              <w:rPr>
                <w:rFonts w:hint="cs"/>
                <w:spacing w:val="0"/>
                <w:kern w:val="0"/>
                <w:sz w:val="16"/>
                <w:szCs w:val="26"/>
                <w:rtl/>
                <w:lang w:eastAsia="en-US"/>
              </w:rPr>
            </w:pPr>
            <w:r w:rsidRPr="00B8252B">
              <w:rPr>
                <w:rFonts w:hint="cs"/>
                <w:spacing w:val="0"/>
                <w:kern w:val="0"/>
                <w:sz w:val="16"/>
                <w:szCs w:val="26"/>
                <w:rtl/>
                <w:lang w:eastAsia="en-US"/>
              </w:rPr>
              <w:t>اليونان</w:t>
            </w:r>
            <w:r w:rsidRPr="00B8252B">
              <w:rPr>
                <w:spacing w:val="0"/>
                <w:kern w:val="0"/>
                <w:sz w:val="16"/>
                <w:szCs w:val="26"/>
                <w:rtl/>
                <w:lang w:eastAsia="en-US"/>
              </w:rPr>
              <w:br/>
            </w:r>
            <w:r w:rsidRPr="00B8252B">
              <w:rPr>
                <w:rFonts w:hint="cs"/>
                <w:spacing w:val="0"/>
                <w:kern w:val="0"/>
                <w:sz w:val="16"/>
                <w:szCs w:val="26"/>
                <w:rtl/>
                <w:lang w:eastAsia="en-US"/>
              </w:rPr>
              <w:t>(</w:t>
            </w:r>
            <w:r w:rsidRPr="00B8252B">
              <w:rPr>
                <w:spacing w:val="0"/>
                <w:kern w:val="0"/>
                <w:sz w:val="16"/>
                <w:szCs w:val="26"/>
                <w:lang w:val="en-GB" w:eastAsia="en-US"/>
              </w:rPr>
              <w:t>CAT/C/GRC/5-6</w:t>
            </w:r>
            <w:r w:rsidRPr="00B8252B">
              <w:rPr>
                <w:rFonts w:hint="cs"/>
                <w:spacing w:val="0"/>
                <w:kern w:val="0"/>
                <w:sz w:val="16"/>
                <w:szCs w:val="26"/>
                <w:rtl/>
                <w:lang w:eastAsia="en-US"/>
              </w:rPr>
              <w:t>)</w:t>
            </w:r>
          </w:p>
        </w:tc>
        <w:tc>
          <w:tcPr>
            <w:tcW w:w="2450" w:type="dxa"/>
            <w:tcBorders>
              <w:bottom w:val="single" w:sz="12" w:space="0" w:color="auto"/>
            </w:tcBorders>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السيدة سفيّاس</w:t>
            </w:r>
          </w:p>
        </w:tc>
        <w:tc>
          <w:tcPr>
            <w:tcW w:w="1834" w:type="dxa"/>
            <w:tcBorders>
              <w:bottom w:val="single" w:sz="12" w:space="0" w:color="auto"/>
            </w:tcBorders>
          </w:tcPr>
          <w:p w:rsidR="00B8252B" w:rsidRPr="00B8252B" w:rsidRDefault="00B8252B" w:rsidP="00B8252B">
            <w:pPr>
              <w:spacing w:before="40" w:after="60" w:line="320" w:lineRule="exact"/>
              <w:ind w:left="57" w:right="57"/>
              <w:jc w:val="lowKashida"/>
              <w:rPr>
                <w:rFonts w:hint="cs"/>
                <w:spacing w:val="0"/>
                <w:kern w:val="0"/>
                <w:sz w:val="16"/>
                <w:szCs w:val="26"/>
                <w:rtl/>
                <w:lang w:eastAsia="en-US"/>
              </w:rPr>
            </w:pPr>
            <w:r w:rsidRPr="00B8252B">
              <w:rPr>
                <w:rFonts w:hint="cs"/>
                <w:spacing w:val="0"/>
                <w:kern w:val="0"/>
                <w:sz w:val="16"/>
                <w:szCs w:val="26"/>
                <w:rtl/>
                <w:lang w:eastAsia="en-US"/>
              </w:rPr>
              <w:t>السيدة بلمير</w:t>
            </w:r>
          </w:p>
        </w:tc>
      </w:tr>
    </w:tbl>
    <w:p w:rsidR="008F3C80" w:rsidRDefault="008F3C80" w:rsidP="00293076">
      <w:pPr>
        <w:pStyle w:val="SingleTxtGA"/>
        <w:rPr>
          <w:rFonts w:hint="cs"/>
          <w:kern w:val="0"/>
          <w:rtl/>
          <w:lang w:eastAsia="en-US"/>
        </w:rPr>
      </w:pPr>
    </w:p>
    <w:p w:rsidR="00B8252B" w:rsidRPr="008F3C80" w:rsidRDefault="008F3C80" w:rsidP="008F3C80">
      <w:pPr>
        <w:pStyle w:val="HChGA"/>
        <w:spacing w:before="120"/>
        <w:rPr>
          <w:rFonts w:ascii="Times New Roman Bold" w:hAnsi="Times New Roman Bold" w:hint="cs"/>
          <w:spacing w:val="0"/>
          <w:kern w:val="0"/>
          <w:rtl/>
          <w:lang w:eastAsia="en-US"/>
        </w:rPr>
      </w:pPr>
      <w:r w:rsidRPr="008F3C80">
        <w:rPr>
          <w:rFonts w:ascii="Times New Roman Bold" w:hAnsi="Times New Roman Bold"/>
          <w:spacing w:val="0"/>
          <w:kern w:val="0"/>
          <w:rtl/>
          <w:lang w:eastAsia="en-US"/>
        </w:rPr>
        <w:br w:type="page"/>
      </w:r>
      <w:r w:rsidR="00B8252B" w:rsidRPr="008F3C80">
        <w:rPr>
          <w:rFonts w:ascii="Times New Roman Bold" w:hAnsi="Times New Roman Bold" w:hint="cs"/>
          <w:spacing w:val="0"/>
          <w:kern w:val="0"/>
          <w:rtl/>
          <w:lang w:eastAsia="en-US"/>
        </w:rPr>
        <w:t>المرفق الثالث عشر</w:t>
      </w:r>
    </w:p>
    <w:p w:rsidR="00B8252B" w:rsidRPr="008F3C80" w:rsidRDefault="00B8252B" w:rsidP="00B73747">
      <w:pPr>
        <w:pStyle w:val="HChGA"/>
        <w:jc w:val="lowKashida"/>
        <w:rPr>
          <w:rFonts w:ascii="Times New Roman Bold" w:hAnsi="Times New Roman Bold" w:hint="cs"/>
          <w:spacing w:val="0"/>
          <w:kern w:val="0"/>
          <w:rtl/>
          <w:lang w:eastAsia="en-US"/>
        </w:rPr>
      </w:pPr>
      <w:r w:rsidRPr="008F3C80">
        <w:rPr>
          <w:rFonts w:ascii="Times New Roman Bold" w:hAnsi="Times New Roman Bold" w:hint="cs"/>
          <w:spacing w:val="0"/>
          <w:kern w:val="0"/>
          <w:rtl/>
          <w:lang w:eastAsia="en-US"/>
        </w:rPr>
        <w:tab/>
      </w:r>
      <w:r w:rsidRPr="008F3C80">
        <w:rPr>
          <w:rFonts w:ascii="Times New Roman Bold" w:hAnsi="Times New Roman Bold" w:hint="cs"/>
          <w:spacing w:val="0"/>
          <w:kern w:val="0"/>
          <w:rtl/>
          <w:lang w:eastAsia="en-US"/>
        </w:rPr>
        <w:tab/>
        <w:t xml:space="preserve">التقرير الذي اعتمدته لجنة مناهضة التعذيب بشأن </w:t>
      </w:r>
      <w:r w:rsidR="00B73747">
        <w:rPr>
          <w:rFonts w:ascii="Times New Roman Bold" w:hAnsi="Times New Roman Bold" w:hint="cs"/>
          <w:spacing w:val="0"/>
          <w:kern w:val="0"/>
          <w:rtl/>
          <w:lang w:eastAsia="en-US"/>
        </w:rPr>
        <w:t>نيبال</w:t>
      </w:r>
      <w:r w:rsidRPr="008F3C80">
        <w:rPr>
          <w:rFonts w:ascii="Times New Roman Bold" w:hAnsi="Times New Roman Bold" w:hint="cs"/>
          <w:spacing w:val="0"/>
          <w:kern w:val="0"/>
          <w:rtl/>
          <w:lang w:eastAsia="en-US"/>
        </w:rPr>
        <w:t xml:space="preserve"> بموجب المادة</w:t>
      </w:r>
      <w:r w:rsidR="008F3C80">
        <w:rPr>
          <w:rFonts w:ascii="Times New Roman Bold" w:hAnsi="Times New Roman Bold" w:hint="eastAsia"/>
          <w:spacing w:val="0"/>
          <w:kern w:val="0"/>
          <w:rtl/>
          <w:lang w:eastAsia="en-US"/>
        </w:rPr>
        <w:t> </w:t>
      </w:r>
      <w:r w:rsidRPr="008F3C80">
        <w:rPr>
          <w:rFonts w:ascii="Times New Roman Bold" w:hAnsi="Times New Roman Bold" w:hint="cs"/>
          <w:spacing w:val="0"/>
          <w:kern w:val="0"/>
          <w:rtl/>
          <w:lang w:eastAsia="en-US"/>
        </w:rPr>
        <w:t>20 من الاتفاقية، وتعليقات الدولة الطرف وملاحظاتها</w:t>
      </w:r>
    </w:p>
    <w:p w:rsidR="00B8252B" w:rsidRPr="00B8252B" w:rsidRDefault="00B8252B" w:rsidP="00B8252B">
      <w:pPr>
        <w:spacing w:line="360" w:lineRule="exact"/>
        <w:jc w:val="lowKashida"/>
        <w:rPr>
          <w:rFonts w:hint="cs"/>
          <w:spacing w:val="0"/>
          <w:kern w:val="0"/>
          <w:sz w:val="36"/>
          <w:szCs w:val="36"/>
          <w:rtl/>
          <w:lang w:eastAsia="en-US"/>
        </w:rPr>
      </w:pPr>
      <w:r w:rsidRPr="00B8252B">
        <w:rPr>
          <w:rFonts w:hint="cs"/>
          <w:spacing w:val="0"/>
          <w:kern w:val="0"/>
          <w:sz w:val="36"/>
          <w:szCs w:val="36"/>
          <w:rtl/>
          <w:lang w:eastAsia="en-US"/>
        </w:rPr>
        <w:t>المحتويات</w:t>
      </w:r>
    </w:p>
    <w:p w:rsidR="00B8252B" w:rsidRPr="00B8252B" w:rsidRDefault="00B8252B" w:rsidP="00B8252B">
      <w:pPr>
        <w:tabs>
          <w:tab w:val="left" w:pos="7917"/>
          <w:tab w:val="right" w:pos="9638"/>
        </w:tabs>
        <w:spacing w:before="120" w:after="120" w:line="240" w:lineRule="exact"/>
        <w:ind w:left="284"/>
        <w:jc w:val="lowKashida"/>
        <w:rPr>
          <w:rFonts w:hint="cs"/>
          <w:iCs/>
          <w:spacing w:val="0"/>
          <w:kern w:val="0"/>
          <w:sz w:val="20"/>
          <w:szCs w:val="28"/>
          <w:rtl/>
          <w:lang w:eastAsia="en-US"/>
        </w:rPr>
      </w:pPr>
      <w:r w:rsidRPr="00B8252B">
        <w:rPr>
          <w:i/>
          <w:spacing w:val="0"/>
          <w:kern w:val="0"/>
          <w:sz w:val="20"/>
          <w:lang w:eastAsia="en-US"/>
        </w:rPr>
        <w:tab/>
      </w:r>
      <w:r w:rsidRPr="00B8252B">
        <w:rPr>
          <w:rFonts w:hint="cs"/>
          <w:iCs/>
          <w:spacing w:val="0"/>
          <w:kern w:val="0"/>
          <w:sz w:val="20"/>
          <w:szCs w:val="28"/>
          <w:rtl/>
          <w:lang w:eastAsia="en-US"/>
        </w:rPr>
        <w:t>الفقـرات</w:t>
      </w:r>
      <w:r w:rsidRPr="00B8252B">
        <w:rPr>
          <w:i/>
          <w:spacing w:val="0"/>
          <w:kern w:val="0"/>
          <w:sz w:val="20"/>
          <w:lang w:eastAsia="en-US"/>
        </w:rPr>
        <w:tab/>
      </w:r>
      <w:r w:rsidRPr="00B8252B">
        <w:rPr>
          <w:rFonts w:hint="cs"/>
          <w:iCs/>
          <w:spacing w:val="0"/>
          <w:kern w:val="0"/>
          <w:sz w:val="20"/>
          <w:szCs w:val="28"/>
          <w:rtl/>
          <w:lang w:eastAsia="en-US"/>
        </w:rPr>
        <w:t>الصفحة</w:t>
      </w:r>
    </w:p>
    <w:p w:rsidR="00B8252B" w:rsidRPr="00B8252B" w:rsidRDefault="00B8252B" w:rsidP="00B73747">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ind w:left="1525" w:right="2200" w:hanging="1525"/>
        <w:jc w:val="lowKashida"/>
        <w:rPr>
          <w:rFonts w:hint="cs"/>
          <w:spacing w:val="0"/>
          <w:kern w:val="0"/>
          <w:sz w:val="20"/>
          <w:szCs w:val="28"/>
          <w:rtl/>
          <w:lang w:val="fr-CH" w:eastAsia="en-US"/>
        </w:rPr>
      </w:pPr>
      <w:r w:rsidRPr="00B8252B">
        <w:rPr>
          <w:rFonts w:hint="cs"/>
          <w:spacing w:val="0"/>
          <w:kern w:val="0"/>
          <w:sz w:val="20"/>
          <w:szCs w:val="28"/>
          <w:rtl/>
          <w:lang w:val="fr-CH" w:eastAsia="en-US"/>
        </w:rPr>
        <w:tab/>
        <w:t>الجزء 1</w:t>
      </w:r>
      <w:r w:rsidRPr="00B8252B">
        <w:rPr>
          <w:rFonts w:hint="cs"/>
          <w:spacing w:val="0"/>
          <w:kern w:val="0"/>
          <w:sz w:val="20"/>
          <w:szCs w:val="28"/>
          <w:rtl/>
          <w:lang w:val="fr-CH" w:eastAsia="en-US"/>
        </w:rPr>
        <w:tab/>
        <w:t>-</w:t>
      </w:r>
      <w:r w:rsidRPr="00B8252B">
        <w:rPr>
          <w:rFonts w:hint="cs"/>
          <w:spacing w:val="0"/>
          <w:kern w:val="0"/>
          <w:sz w:val="20"/>
          <w:szCs w:val="28"/>
          <w:rtl/>
          <w:lang w:val="fr-CH" w:eastAsia="en-US"/>
        </w:rPr>
        <w:tab/>
        <w:t xml:space="preserve">التقرير الذي اعتمدته لجنة مناهضة التعذيب بشأن </w:t>
      </w:r>
      <w:r w:rsidR="00B73747">
        <w:rPr>
          <w:rFonts w:hint="cs"/>
          <w:spacing w:val="0"/>
          <w:kern w:val="0"/>
          <w:sz w:val="20"/>
          <w:szCs w:val="28"/>
          <w:rtl/>
          <w:lang w:val="fr-CH" w:eastAsia="en-US"/>
        </w:rPr>
        <w:t xml:space="preserve">نيبال </w:t>
      </w:r>
      <w:r w:rsidRPr="00B8252B">
        <w:rPr>
          <w:rFonts w:hint="cs"/>
          <w:spacing w:val="0"/>
          <w:kern w:val="0"/>
          <w:sz w:val="20"/>
          <w:szCs w:val="28"/>
          <w:rtl/>
          <w:lang w:val="fr-CH" w:eastAsia="en-US"/>
        </w:rPr>
        <w:t>بموجب المادة 20 من الاتفاقية في دورتها السادسة والأربعين (9 أيار/مايو</w:t>
      </w:r>
      <w:r w:rsidR="00A213CF">
        <w:rPr>
          <w:rFonts w:hint="cs"/>
          <w:spacing w:val="0"/>
          <w:kern w:val="0"/>
          <w:sz w:val="20"/>
          <w:szCs w:val="28"/>
          <w:rtl/>
          <w:lang w:val="fr-CH" w:eastAsia="en-US"/>
        </w:rPr>
        <w:t xml:space="preserve"> </w:t>
      </w:r>
      <w:r w:rsidRPr="00B8252B">
        <w:rPr>
          <w:rFonts w:hint="cs"/>
          <w:spacing w:val="0"/>
          <w:kern w:val="0"/>
          <w:sz w:val="20"/>
          <w:szCs w:val="28"/>
          <w:rtl/>
          <w:lang w:val="fr-CH" w:eastAsia="en-US"/>
        </w:rPr>
        <w:t>-</w:t>
      </w:r>
      <w:r w:rsidR="00A213CF">
        <w:rPr>
          <w:rFonts w:hint="cs"/>
          <w:spacing w:val="0"/>
          <w:kern w:val="0"/>
          <w:sz w:val="20"/>
          <w:szCs w:val="28"/>
          <w:rtl/>
          <w:lang w:val="fr-CH" w:eastAsia="en-US"/>
        </w:rPr>
        <w:t xml:space="preserve"> </w:t>
      </w:r>
      <w:r w:rsidRPr="00B8252B">
        <w:rPr>
          <w:rFonts w:hint="cs"/>
          <w:spacing w:val="0"/>
          <w:kern w:val="0"/>
          <w:sz w:val="20"/>
          <w:szCs w:val="28"/>
          <w:rtl/>
          <w:lang w:val="fr-CH" w:eastAsia="en-US"/>
        </w:rPr>
        <w:t>3 حزيران/يونيه 2011)</w:t>
      </w:r>
    </w:p>
    <w:p w:rsidR="00B8252B" w:rsidRPr="00B8252B" w:rsidRDefault="00B8252B" w:rsidP="008C7817">
      <w:pPr>
        <w:tabs>
          <w:tab w:val="right" w:pos="1021"/>
          <w:tab w:val="left" w:pos="1077"/>
          <w:tab w:val="left" w:pos="1525"/>
          <w:tab w:val="left" w:pos="1842"/>
          <w:tab w:val="left" w:leader="dot" w:pos="7469"/>
          <w:tab w:val="left" w:pos="7972"/>
          <w:tab w:val="right" w:pos="9638"/>
        </w:tabs>
        <w:spacing w:after="120" w:line="360" w:lineRule="exact"/>
        <w:jc w:val="lowKashida"/>
        <w:rPr>
          <w:rFonts w:hint="cs"/>
          <w:spacing w:val="0"/>
          <w:kern w:val="0"/>
          <w:sz w:val="20"/>
          <w:szCs w:val="28"/>
          <w:rtl/>
          <w:lang w:val="fr-CH" w:eastAsia="en-US"/>
        </w:rPr>
      </w:pPr>
      <w:r w:rsidRPr="00B8252B">
        <w:rPr>
          <w:rFonts w:hint="cs"/>
          <w:spacing w:val="0"/>
          <w:kern w:val="0"/>
          <w:sz w:val="20"/>
          <w:szCs w:val="28"/>
          <w:rtl/>
          <w:lang w:val="fr-CH" w:eastAsia="en-US"/>
        </w:rPr>
        <w:tab/>
      </w:r>
      <w:r w:rsidRPr="00B8252B">
        <w:rPr>
          <w:spacing w:val="0"/>
          <w:kern w:val="0"/>
          <w:sz w:val="20"/>
          <w:szCs w:val="28"/>
          <w:rtl/>
          <w:lang w:val="fr-CH" w:eastAsia="en-US"/>
        </w:rPr>
        <w:t>أولاً</w:t>
      </w:r>
      <w:r w:rsidRPr="00B8252B">
        <w:rPr>
          <w:rFonts w:hint="cs"/>
          <w:spacing w:val="0"/>
          <w:kern w:val="0"/>
          <w:sz w:val="20"/>
          <w:szCs w:val="28"/>
          <w:rtl/>
          <w:lang w:val="fr-CH" w:eastAsia="en-US"/>
        </w:rPr>
        <w:tab/>
      </w:r>
      <w:r w:rsidRPr="00B8252B">
        <w:rPr>
          <w:spacing w:val="0"/>
          <w:kern w:val="0"/>
          <w:sz w:val="20"/>
          <w:szCs w:val="28"/>
          <w:rtl/>
          <w:lang w:val="fr-CH" w:eastAsia="en-US"/>
        </w:rPr>
        <w:t>-</w:t>
      </w:r>
      <w:r w:rsidRPr="00B8252B">
        <w:rPr>
          <w:spacing w:val="0"/>
          <w:kern w:val="0"/>
          <w:sz w:val="20"/>
          <w:szCs w:val="28"/>
          <w:rtl/>
          <w:lang w:val="fr-CH" w:eastAsia="en-US"/>
        </w:rPr>
        <w:tab/>
        <w:t>مقدمة</w:t>
      </w:r>
      <w:r w:rsidRPr="00B8252B">
        <w:rPr>
          <w:spacing w:val="0"/>
          <w:kern w:val="0"/>
          <w:sz w:val="20"/>
          <w:szCs w:val="28"/>
          <w:rtl/>
          <w:lang w:val="fr-CH" w:eastAsia="en-US"/>
        </w:rPr>
        <w:tab/>
      </w:r>
      <w:r w:rsidRPr="00B8252B">
        <w:rPr>
          <w:rFonts w:hint="cs"/>
          <w:spacing w:val="0"/>
          <w:kern w:val="0"/>
          <w:sz w:val="20"/>
          <w:szCs w:val="28"/>
          <w:rtl/>
          <w:lang w:val="fr-CH" w:eastAsia="en-US"/>
        </w:rPr>
        <w:tab/>
        <w:t>1-2</w:t>
      </w:r>
      <w:r w:rsidRPr="00B8252B">
        <w:rPr>
          <w:spacing w:val="0"/>
          <w:kern w:val="0"/>
          <w:sz w:val="20"/>
          <w:szCs w:val="28"/>
          <w:rtl/>
          <w:lang w:val="fr-CH" w:eastAsia="en-US"/>
        </w:rPr>
        <w:tab/>
      </w:r>
      <w:r w:rsidR="008C7817">
        <w:rPr>
          <w:rFonts w:hint="cs"/>
          <w:spacing w:val="0"/>
          <w:kern w:val="0"/>
          <w:sz w:val="20"/>
          <w:szCs w:val="28"/>
          <w:rtl/>
          <w:lang w:val="fr-CH" w:eastAsia="en-US"/>
        </w:rPr>
        <w:t>358</w:t>
      </w:r>
    </w:p>
    <w:p w:rsidR="00B8252B" w:rsidRPr="00B8252B" w:rsidRDefault="00B8252B" w:rsidP="008C7817">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jc w:val="lowKashida"/>
        <w:rPr>
          <w:rFonts w:hint="cs"/>
          <w:spacing w:val="0"/>
          <w:kern w:val="0"/>
          <w:sz w:val="20"/>
          <w:szCs w:val="28"/>
          <w:rtl/>
          <w:lang w:val="fr-CH" w:eastAsia="en-US"/>
        </w:rPr>
      </w:pPr>
      <w:r w:rsidRPr="00B8252B">
        <w:rPr>
          <w:rFonts w:hint="cs"/>
          <w:spacing w:val="0"/>
          <w:kern w:val="0"/>
          <w:sz w:val="20"/>
          <w:szCs w:val="28"/>
          <w:rtl/>
          <w:lang w:val="fr-CH" w:eastAsia="en-US"/>
        </w:rPr>
        <w:tab/>
      </w:r>
      <w:r w:rsidRPr="00B8252B">
        <w:rPr>
          <w:spacing w:val="0"/>
          <w:kern w:val="0"/>
          <w:sz w:val="20"/>
          <w:szCs w:val="28"/>
          <w:rtl/>
          <w:lang w:val="fr-CH" w:eastAsia="en-US"/>
        </w:rPr>
        <w:t>ثانياً</w:t>
      </w:r>
      <w:r w:rsidRPr="00B8252B">
        <w:rPr>
          <w:rFonts w:hint="cs"/>
          <w:spacing w:val="0"/>
          <w:kern w:val="0"/>
          <w:sz w:val="20"/>
          <w:szCs w:val="28"/>
          <w:rtl/>
          <w:lang w:val="fr-CH" w:eastAsia="en-US"/>
        </w:rPr>
        <w:tab/>
      </w:r>
      <w:r w:rsidRPr="00B8252B">
        <w:rPr>
          <w:spacing w:val="0"/>
          <w:kern w:val="0"/>
          <w:sz w:val="20"/>
          <w:szCs w:val="28"/>
          <w:rtl/>
          <w:lang w:val="fr-CH" w:eastAsia="en-US"/>
        </w:rPr>
        <w:t>-</w:t>
      </w:r>
      <w:r w:rsidRPr="00B8252B">
        <w:rPr>
          <w:spacing w:val="0"/>
          <w:kern w:val="0"/>
          <w:sz w:val="20"/>
          <w:szCs w:val="28"/>
          <w:rtl/>
          <w:lang w:val="fr-CH" w:eastAsia="en-US"/>
        </w:rPr>
        <w:tab/>
      </w:r>
      <w:r w:rsidRPr="00B8252B">
        <w:rPr>
          <w:rFonts w:hint="cs"/>
          <w:spacing w:val="0"/>
          <w:kern w:val="0"/>
          <w:sz w:val="20"/>
          <w:szCs w:val="28"/>
          <w:rtl/>
          <w:lang w:val="fr-CH" w:eastAsia="en-US"/>
        </w:rPr>
        <w:t>تطورات الإجراءات</w:t>
      </w:r>
      <w:r w:rsidRPr="00B8252B">
        <w:rPr>
          <w:spacing w:val="0"/>
          <w:kern w:val="0"/>
          <w:sz w:val="20"/>
          <w:szCs w:val="28"/>
          <w:rtl/>
          <w:lang w:val="fr-CH" w:eastAsia="en-US"/>
        </w:rPr>
        <w:tab/>
      </w:r>
      <w:r w:rsidRPr="00B8252B">
        <w:rPr>
          <w:rFonts w:hint="cs"/>
          <w:spacing w:val="0"/>
          <w:kern w:val="0"/>
          <w:sz w:val="20"/>
          <w:szCs w:val="28"/>
          <w:rtl/>
          <w:lang w:val="fr-CH" w:eastAsia="en-US"/>
        </w:rPr>
        <w:tab/>
        <w:t>3-14</w:t>
      </w:r>
      <w:r w:rsidRPr="00B8252B">
        <w:rPr>
          <w:spacing w:val="0"/>
          <w:kern w:val="0"/>
          <w:sz w:val="20"/>
          <w:szCs w:val="28"/>
          <w:rtl/>
          <w:lang w:val="fr-CH" w:eastAsia="en-US"/>
        </w:rPr>
        <w:tab/>
      </w:r>
      <w:r w:rsidR="008C7817">
        <w:rPr>
          <w:rFonts w:hint="cs"/>
          <w:spacing w:val="0"/>
          <w:kern w:val="0"/>
          <w:sz w:val="20"/>
          <w:szCs w:val="28"/>
          <w:rtl/>
          <w:lang w:val="fr-CH" w:eastAsia="en-US"/>
        </w:rPr>
        <w:t>358</w:t>
      </w:r>
    </w:p>
    <w:p w:rsidR="00B8252B" w:rsidRPr="00B8252B" w:rsidRDefault="00B8252B" w:rsidP="008C7817">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jc w:val="lowKashida"/>
        <w:rPr>
          <w:rFonts w:hint="cs"/>
          <w:spacing w:val="0"/>
          <w:kern w:val="0"/>
          <w:sz w:val="20"/>
          <w:szCs w:val="28"/>
          <w:rtl/>
          <w:lang w:val="fr-CH" w:eastAsia="en-US"/>
        </w:rPr>
      </w:pPr>
      <w:r w:rsidRPr="00B8252B">
        <w:rPr>
          <w:rFonts w:hint="cs"/>
          <w:spacing w:val="0"/>
          <w:kern w:val="0"/>
          <w:sz w:val="20"/>
          <w:szCs w:val="28"/>
          <w:rtl/>
          <w:lang w:val="fr-CH" w:eastAsia="en-US"/>
        </w:rPr>
        <w:tab/>
      </w:r>
      <w:r w:rsidRPr="00B8252B">
        <w:rPr>
          <w:spacing w:val="0"/>
          <w:kern w:val="0"/>
          <w:sz w:val="20"/>
          <w:szCs w:val="28"/>
          <w:rtl/>
          <w:lang w:val="fr-CH" w:eastAsia="en-US"/>
        </w:rPr>
        <w:t>ثالثاً</w:t>
      </w:r>
      <w:r w:rsidRPr="00B8252B">
        <w:rPr>
          <w:rFonts w:hint="cs"/>
          <w:spacing w:val="0"/>
          <w:kern w:val="0"/>
          <w:sz w:val="20"/>
          <w:szCs w:val="28"/>
          <w:rtl/>
          <w:lang w:val="fr-CH" w:eastAsia="en-US"/>
        </w:rPr>
        <w:tab/>
      </w:r>
      <w:r w:rsidRPr="00B8252B">
        <w:rPr>
          <w:spacing w:val="0"/>
          <w:kern w:val="0"/>
          <w:sz w:val="20"/>
          <w:szCs w:val="28"/>
          <w:rtl/>
          <w:lang w:val="fr-CH" w:eastAsia="en-US"/>
        </w:rPr>
        <w:t>-</w:t>
      </w:r>
      <w:r w:rsidRPr="00B8252B">
        <w:rPr>
          <w:spacing w:val="0"/>
          <w:kern w:val="0"/>
          <w:sz w:val="20"/>
          <w:szCs w:val="28"/>
          <w:rtl/>
          <w:lang w:val="fr-CH" w:eastAsia="en-US"/>
        </w:rPr>
        <w:tab/>
      </w:r>
      <w:r w:rsidRPr="00B8252B">
        <w:rPr>
          <w:rFonts w:hint="cs"/>
          <w:spacing w:val="0"/>
          <w:kern w:val="0"/>
          <w:sz w:val="20"/>
          <w:szCs w:val="28"/>
          <w:rtl/>
          <w:lang w:val="fr-CH" w:eastAsia="en-US"/>
        </w:rPr>
        <w:t>معلومات أساسية</w:t>
      </w:r>
      <w:r w:rsidRPr="00B8252B">
        <w:rPr>
          <w:spacing w:val="0"/>
          <w:kern w:val="0"/>
          <w:sz w:val="20"/>
          <w:szCs w:val="28"/>
          <w:rtl/>
          <w:lang w:val="fr-CH" w:eastAsia="en-US"/>
        </w:rPr>
        <w:tab/>
      </w:r>
      <w:r w:rsidRPr="00B8252B">
        <w:rPr>
          <w:rFonts w:hint="cs"/>
          <w:spacing w:val="0"/>
          <w:kern w:val="0"/>
          <w:sz w:val="20"/>
          <w:szCs w:val="28"/>
          <w:rtl/>
          <w:lang w:val="fr-CH" w:eastAsia="en-US"/>
        </w:rPr>
        <w:tab/>
        <w:t>15-16</w:t>
      </w:r>
      <w:r w:rsidRPr="00B8252B">
        <w:rPr>
          <w:spacing w:val="0"/>
          <w:kern w:val="0"/>
          <w:sz w:val="20"/>
          <w:szCs w:val="28"/>
          <w:rtl/>
          <w:lang w:val="fr-CH" w:eastAsia="en-US"/>
        </w:rPr>
        <w:tab/>
      </w:r>
      <w:r w:rsidR="008C7817">
        <w:rPr>
          <w:rFonts w:hint="cs"/>
          <w:spacing w:val="0"/>
          <w:kern w:val="0"/>
          <w:sz w:val="20"/>
          <w:szCs w:val="28"/>
          <w:rtl/>
          <w:lang w:val="fr-CH" w:eastAsia="en-US"/>
        </w:rPr>
        <w:t>362</w:t>
      </w:r>
    </w:p>
    <w:p w:rsidR="00B8252B" w:rsidRPr="00B8252B" w:rsidRDefault="00B8252B" w:rsidP="008C7817">
      <w:pPr>
        <w:tabs>
          <w:tab w:val="right" w:pos="1021"/>
          <w:tab w:val="left" w:pos="1077"/>
          <w:tab w:val="left" w:pos="1525"/>
          <w:tab w:val="left" w:pos="1842"/>
          <w:tab w:val="left" w:pos="2206"/>
          <w:tab w:val="left" w:pos="2681"/>
          <w:tab w:val="left" w:leader="dot" w:pos="7469"/>
          <w:tab w:val="left" w:pos="7972"/>
          <w:tab w:val="right" w:pos="9638"/>
        </w:tabs>
        <w:spacing w:line="360" w:lineRule="exact"/>
        <w:jc w:val="lowKashida"/>
        <w:rPr>
          <w:rFonts w:hint="cs"/>
          <w:spacing w:val="0"/>
          <w:kern w:val="0"/>
          <w:sz w:val="20"/>
          <w:szCs w:val="28"/>
          <w:rtl/>
          <w:lang w:val="fr-CH" w:eastAsia="en-US"/>
        </w:rPr>
      </w:pPr>
      <w:r w:rsidRPr="00B8252B">
        <w:rPr>
          <w:rFonts w:hint="cs"/>
          <w:spacing w:val="0"/>
          <w:kern w:val="0"/>
          <w:sz w:val="20"/>
          <w:szCs w:val="28"/>
          <w:rtl/>
          <w:lang w:val="fr-CH" w:eastAsia="en-US"/>
        </w:rPr>
        <w:tab/>
        <w:t>رابعاً</w:t>
      </w:r>
      <w:r w:rsidRPr="00B8252B">
        <w:rPr>
          <w:rFonts w:hint="cs"/>
          <w:spacing w:val="0"/>
          <w:kern w:val="0"/>
          <w:sz w:val="20"/>
          <w:szCs w:val="28"/>
          <w:rtl/>
          <w:lang w:val="fr-CH" w:eastAsia="en-US"/>
        </w:rPr>
        <w:tab/>
        <w:t>-</w:t>
      </w:r>
      <w:r w:rsidRPr="00B8252B">
        <w:rPr>
          <w:rFonts w:hint="cs"/>
          <w:spacing w:val="0"/>
          <w:kern w:val="0"/>
          <w:sz w:val="20"/>
          <w:szCs w:val="28"/>
          <w:rtl/>
          <w:lang w:val="fr-CH" w:eastAsia="en-US"/>
        </w:rPr>
        <w:tab/>
        <w:t>التعذيب في نيبال</w:t>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t>17-96</w:t>
      </w:r>
      <w:r w:rsidRPr="00B8252B">
        <w:rPr>
          <w:rFonts w:hint="cs"/>
          <w:spacing w:val="0"/>
          <w:kern w:val="0"/>
          <w:sz w:val="20"/>
          <w:szCs w:val="28"/>
          <w:rtl/>
          <w:lang w:val="fr-CH" w:eastAsia="en-US"/>
        </w:rPr>
        <w:tab/>
      </w:r>
      <w:r w:rsidR="008C7817">
        <w:rPr>
          <w:rFonts w:hint="cs"/>
          <w:spacing w:val="0"/>
          <w:kern w:val="0"/>
          <w:sz w:val="20"/>
          <w:szCs w:val="28"/>
          <w:rtl/>
          <w:lang w:val="fr-CH" w:eastAsia="en-US"/>
        </w:rPr>
        <w:t>363</w:t>
      </w:r>
    </w:p>
    <w:p w:rsidR="00B8252B" w:rsidRPr="00B8252B" w:rsidRDefault="00B8252B" w:rsidP="00B73747">
      <w:pPr>
        <w:tabs>
          <w:tab w:val="right" w:pos="1021"/>
          <w:tab w:val="left" w:pos="1077"/>
          <w:tab w:val="left" w:pos="1525"/>
          <w:tab w:val="left" w:pos="1842"/>
          <w:tab w:val="left" w:pos="2206"/>
          <w:tab w:val="left" w:pos="2681"/>
          <w:tab w:val="left" w:leader="dot" w:pos="7469"/>
          <w:tab w:val="left" w:pos="7972"/>
          <w:tab w:val="right" w:pos="9638"/>
        </w:tabs>
        <w:spacing w:line="360" w:lineRule="exact"/>
        <w:ind w:left="2206" w:right="2200" w:hanging="2206"/>
        <w:jc w:val="lowKashida"/>
        <w:rPr>
          <w:spacing w:val="0"/>
          <w:kern w:val="0"/>
          <w:sz w:val="20"/>
          <w:szCs w:val="28"/>
          <w:rtl/>
          <w:lang w:val="fr-CH" w:eastAsia="en-US"/>
        </w:rPr>
      </w:pPr>
      <w:r w:rsidRPr="00B8252B">
        <w:rPr>
          <w:rFonts w:hint="cs"/>
          <w:spacing w:val="0"/>
          <w:kern w:val="0"/>
          <w:sz w:val="20"/>
          <w:szCs w:val="28"/>
          <w:rtl/>
          <w:lang w:val="fr-CH" w:eastAsia="en-US"/>
        </w:rPr>
        <w:tab/>
      </w:r>
      <w:r w:rsidRPr="00B8252B">
        <w:rPr>
          <w:spacing w:val="0"/>
          <w:kern w:val="0"/>
          <w:sz w:val="20"/>
          <w:szCs w:val="28"/>
          <w:rtl/>
          <w:lang w:val="fr-CH" w:eastAsia="en-US"/>
        </w:rPr>
        <w:tab/>
      </w:r>
      <w:r w:rsidRPr="00B8252B">
        <w:rPr>
          <w:rFonts w:hint="cs"/>
          <w:spacing w:val="0"/>
          <w:kern w:val="0"/>
          <w:sz w:val="20"/>
          <w:szCs w:val="28"/>
          <w:rtl/>
          <w:lang w:val="fr-CH" w:eastAsia="en-US"/>
        </w:rPr>
        <w:tab/>
      </w:r>
      <w:r w:rsidRPr="00B8252B">
        <w:rPr>
          <w:spacing w:val="0"/>
          <w:kern w:val="0"/>
          <w:sz w:val="20"/>
          <w:szCs w:val="28"/>
          <w:rtl/>
          <w:lang w:val="fr-CH" w:eastAsia="en-US"/>
        </w:rPr>
        <w:t>ألف</w:t>
      </w:r>
      <w:r w:rsidRPr="00B8252B">
        <w:rPr>
          <w:rFonts w:hint="cs"/>
          <w:spacing w:val="0"/>
          <w:kern w:val="0"/>
          <w:sz w:val="20"/>
          <w:szCs w:val="28"/>
          <w:rtl/>
          <w:lang w:val="fr-CH" w:eastAsia="en-US"/>
        </w:rPr>
        <w:tab/>
      </w:r>
      <w:r w:rsidRPr="00B8252B">
        <w:rPr>
          <w:spacing w:val="0"/>
          <w:kern w:val="0"/>
          <w:sz w:val="20"/>
          <w:szCs w:val="28"/>
          <w:rtl/>
          <w:lang w:val="fr-CH" w:eastAsia="en-US"/>
        </w:rPr>
        <w:t>-</w:t>
      </w:r>
      <w:r w:rsidRPr="00B8252B">
        <w:rPr>
          <w:spacing w:val="0"/>
          <w:kern w:val="0"/>
          <w:sz w:val="20"/>
          <w:szCs w:val="28"/>
          <w:rtl/>
          <w:lang w:val="fr-CH" w:eastAsia="en-US"/>
        </w:rPr>
        <w:tab/>
      </w:r>
      <w:r w:rsidRPr="00B8252B">
        <w:rPr>
          <w:rFonts w:hint="cs"/>
          <w:spacing w:val="0"/>
          <w:kern w:val="0"/>
          <w:sz w:val="20"/>
          <w:szCs w:val="28"/>
          <w:rtl/>
          <w:lang w:val="fr-CH" w:eastAsia="en-US"/>
        </w:rPr>
        <w:t xml:space="preserve">ملاحظات نيبال </w:t>
      </w:r>
      <w:r w:rsidR="00B73747">
        <w:rPr>
          <w:rFonts w:hint="cs"/>
          <w:spacing w:val="0"/>
          <w:kern w:val="0"/>
          <w:sz w:val="20"/>
          <w:szCs w:val="28"/>
          <w:rtl/>
          <w:lang w:val="fr-CH" w:eastAsia="en-US"/>
        </w:rPr>
        <w:t xml:space="preserve">رداً </w:t>
      </w:r>
      <w:r w:rsidRPr="00B8252B">
        <w:rPr>
          <w:rFonts w:hint="cs"/>
          <w:spacing w:val="0"/>
          <w:kern w:val="0"/>
          <w:sz w:val="20"/>
          <w:szCs w:val="28"/>
          <w:rtl/>
          <w:lang w:val="fr-CH" w:eastAsia="en-US"/>
        </w:rPr>
        <w:t>على قرار اللجنة المتعلق ببدء إجراء التحقيق بموجب المادة 20</w:t>
      </w:r>
      <w:r w:rsidRPr="00B8252B">
        <w:rPr>
          <w:spacing w:val="0"/>
          <w:kern w:val="0"/>
          <w:sz w:val="20"/>
          <w:szCs w:val="28"/>
          <w:rtl/>
          <w:lang w:val="fr-CH" w:eastAsia="en-US"/>
        </w:rPr>
        <w:tab/>
      </w:r>
      <w:r w:rsidRPr="00B8252B">
        <w:rPr>
          <w:rFonts w:hint="cs"/>
          <w:spacing w:val="0"/>
          <w:kern w:val="0"/>
          <w:sz w:val="20"/>
          <w:szCs w:val="28"/>
          <w:rtl/>
          <w:lang w:val="fr-CH" w:eastAsia="en-US"/>
        </w:rPr>
        <w:tab/>
        <w:t>18-40</w:t>
      </w:r>
      <w:r w:rsidRPr="00B8252B">
        <w:rPr>
          <w:rFonts w:hint="cs"/>
          <w:spacing w:val="0"/>
          <w:kern w:val="0"/>
          <w:sz w:val="20"/>
          <w:szCs w:val="28"/>
          <w:rtl/>
          <w:lang w:val="fr-CH" w:eastAsia="en-US"/>
        </w:rPr>
        <w:tab/>
      </w:r>
      <w:r w:rsidR="008C7817">
        <w:rPr>
          <w:rFonts w:hint="cs"/>
          <w:spacing w:val="0"/>
          <w:kern w:val="0"/>
          <w:sz w:val="20"/>
          <w:szCs w:val="28"/>
          <w:rtl/>
          <w:lang w:val="fr-CH" w:eastAsia="en-US"/>
        </w:rPr>
        <w:t>363</w:t>
      </w:r>
    </w:p>
    <w:p w:rsidR="00B8252B" w:rsidRPr="00B8252B" w:rsidRDefault="00B8252B" w:rsidP="008C7817">
      <w:pPr>
        <w:tabs>
          <w:tab w:val="right" w:pos="1021"/>
          <w:tab w:val="left" w:pos="1077"/>
          <w:tab w:val="left" w:pos="1525"/>
          <w:tab w:val="left" w:pos="1842"/>
          <w:tab w:val="left" w:pos="2206"/>
          <w:tab w:val="left" w:pos="2681"/>
          <w:tab w:val="left" w:leader="dot" w:pos="7469"/>
          <w:tab w:val="left" w:pos="7972"/>
          <w:tab w:val="right" w:pos="9638"/>
        </w:tabs>
        <w:spacing w:line="360" w:lineRule="exact"/>
        <w:ind w:left="2206" w:right="2200" w:hanging="2206"/>
        <w:jc w:val="lowKashida"/>
        <w:rPr>
          <w:rFonts w:hint="cs"/>
          <w:spacing w:val="0"/>
          <w:kern w:val="0"/>
          <w:sz w:val="20"/>
          <w:szCs w:val="28"/>
          <w:rtl/>
          <w:lang w:val="fr-CH" w:eastAsia="en-US"/>
        </w:rPr>
      </w:pPr>
      <w:r w:rsidRPr="00B8252B">
        <w:rPr>
          <w:rFonts w:hint="cs"/>
          <w:spacing w:val="0"/>
          <w:kern w:val="0"/>
          <w:sz w:val="20"/>
          <w:szCs w:val="28"/>
          <w:rtl/>
          <w:lang w:val="fr-CH" w:eastAsia="en-US"/>
        </w:rPr>
        <w:tab/>
      </w:r>
      <w:r w:rsidRPr="00B8252B">
        <w:rPr>
          <w:spacing w:val="0"/>
          <w:kern w:val="0"/>
          <w:sz w:val="20"/>
          <w:szCs w:val="28"/>
          <w:rtl/>
          <w:lang w:val="fr-CH" w:eastAsia="en-US"/>
        </w:rPr>
        <w:tab/>
      </w:r>
      <w:r w:rsidRPr="00B8252B">
        <w:rPr>
          <w:rFonts w:hint="cs"/>
          <w:spacing w:val="0"/>
          <w:kern w:val="0"/>
          <w:sz w:val="20"/>
          <w:szCs w:val="28"/>
          <w:rtl/>
          <w:lang w:val="fr-CH" w:eastAsia="en-US"/>
        </w:rPr>
        <w:tab/>
      </w:r>
      <w:r w:rsidRPr="00B8252B">
        <w:rPr>
          <w:spacing w:val="0"/>
          <w:kern w:val="0"/>
          <w:sz w:val="20"/>
          <w:szCs w:val="28"/>
          <w:rtl/>
          <w:lang w:val="fr-CH" w:eastAsia="en-US"/>
        </w:rPr>
        <w:t>باء</w:t>
      </w:r>
      <w:r w:rsidRPr="00B8252B">
        <w:rPr>
          <w:rFonts w:hint="cs"/>
          <w:spacing w:val="0"/>
          <w:kern w:val="0"/>
          <w:sz w:val="20"/>
          <w:szCs w:val="28"/>
          <w:rtl/>
          <w:lang w:val="fr-CH" w:eastAsia="en-US"/>
        </w:rPr>
        <w:tab/>
      </w:r>
      <w:r w:rsidRPr="00B8252B">
        <w:rPr>
          <w:spacing w:val="0"/>
          <w:kern w:val="0"/>
          <w:sz w:val="20"/>
          <w:szCs w:val="28"/>
          <w:rtl/>
          <w:lang w:val="fr-CH" w:eastAsia="en-US"/>
        </w:rPr>
        <w:t>-</w:t>
      </w:r>
      <w:r w:rsidRPr="00B8252B">
        <w:rPr>
          <w:spacing w:val="0"/>
          <w:kern w:val="0"/>
          <w:sz w:val="20"/>
          <w:szCs w:val="28"/>
          <w:rtl/>
          <w:lang w:val="fr-CH" w:eastAsia="en-US"/>
        </w:rPr>
        <w:tab/>
      </w:r>
      <w:r w:rsidRPr="00B8252B">
        <w:rPr>
          <w:rFonts w:hint="cs"/>
          <w:spacing w:val="0"/>
          <w:kern w:val="0"/>
          <w:sz w:val="20"/>
          <w:szCs w:val="28"/>
          <w:rtl/>
          <w:lang w:val="fr-CH" w:eastAsia="en-US"/>
        </w:rPr>
        <w:t>المعلومات الواردة من مصادر الأمم المتحدة، و</w:t>
      </w:r>
      <w:r w:rsidR="00B73747">
        <w:rPr>
          <w:rFonts w:hint="cs"/>
          <w:spacing w:val="0"/>
          <w:kern w:val="0"/>
          <w:sz w:val="20"/>
          <w:szCs w:val="28"/>
          <w:rtl/>
          <w:lang w:val="fr-CH" w:eastAsia="en-US"/>
        </w:rPr>
        <w:t>ال</w:t>
      </w:r>
      <w:r w:rsidRPr="00B8252B">
        <w:rPr>
          <w:rFonts w:hint="cs"/>
          <w:spacing w:val="0"/>
          <w:kern w:val="0"/>
          <w:sz w:val="20"/>
          <w:szCs w:val="28"/>
          <w:rtl/>
          <w:lang w:val="fr-CH" w:eastAsia="en-US"/>
        </w:rPr>
        <w:t xml:space="preserve">منظمات غير </w:t>
      </w:r>
      <w:r w:rsidR="00B73747">
        <w:rPr>
          <w:rFonts w:hint="cs"/>
          <w:spacing w:val="0"/>
          <w:kern w:val="0"/>
          <w:sz w:val="20"/>
          <w:szCs w:val="28"/>
          <w:rtl/>
          <w:lang w:val="fr-CH" w:eastAsia="en-US"/>
        </w:rPr>
        <w:t>ال</w:t>
      </w:r>
      <w:r w:rsidRPr="00B8252B">
        <w:rPr>
          <w:rFonts w:hint="cs"/>
          <w:spacing w:val="0"/>
          <w:kern w:val="0"/>
          <w:sz w:val="20"/>
          <w:szCs w:val="28"/>
          <w:rtl/>
          <w:lang w:val="fr-CH" w:eastAsia="en-US"/>
        </w:rPr>
        <w:t>حكومية، و</w:t>
      </w:r>
      <w:r w:rsidR="00B73747">
        <w:rPr>
          <w:rFonts w:hint="cs"/>
          <w:spacing w:val="0"/>
          <w:kern w:val="0"/>
          <w:sz w:val="20"/>
          <w:szCs w:val="28"/>
          <w:rtl/>
          <w:lang w:val="fr-CH" w:eastAsia="en-US"/>
        </w:rPr>
        <w:t>ال</w:t>
      </w:r>
      <w:r w:rsidRPr="00B8252B">
        <w:rPr>
          <w:rFonts w:hint="cs"/>
          <w:spacing w:val="0"/>
          <w:kern w:val="0"/>
          <w:sz w:val="20"/>
          <w:szCs w:val="28"/>
          <w:rtl/>
          <w:lang w:val="fr-CH" w:eastAsia="en-US"/>
        </w:rPr>
        <w:t xml:space="preserve">مؤسسات </w:t>
      </w:r>
      <w:r w:rsidR="00B73747">
        <w:rPr>
          <w:rFonts w:hint="cs"/>
          <w:spacing w:val="0"/>
          <w:kern w:val="0"/>
          <w:sz w:val="20"/>
          <w:szCs w:val="28"/>
          <w:rtl/>
          <w:lang w:val="fr-CH" w:eastAsia="en-US"/>
        </w:rPr>
        <w:t>ال</w:t>
      </w:r>
      <w:r w:rsidRPr="00B8252B">
        <w:rPr>
          <w:rFonts w:hint="cs"/>
          <w:spacing w:val="0"/>
          <w:kern w:val="0"/>
          <w:sz w:val="20"/>
          <w:szCs w:val="28"/>
          <w:rtl/>
          <w:lang w:val="fr-CH" w:eastAsia="en-US"/>
        </w:rPr>
        <w:t>دولية لحقوق الإنسان</w:t>
      </w:r>
      <w:r w:rsidRPr="00B8252B">
        <w:rPr>
          <w:spacing w:val="0"/>
          <w:kern w:val="0"/>
          <w:sz w:val="20"/>
          <w:szCs w:val="28"/>
          <w:rtl/>
          <w:lang w:val="fr-CH" w:eastAsia="en-US"/>
        </w:rPr>
        <w:tab/>
      </w:r>
      <w:r w:rsidRPr="00B8252B">
        <w:rPr>
          <w:rFonts w:hint="cs"/>
          <w:spacing w:val="0"/>
          <w:kern w:val="0"/>
          <w:sz w:val="20"/>
          <w:szCs w:val="28"/>
          <w:rtl/>
          <w:lang w:val="fr-CH" w:eastAsia="en-US"/>
        </w:rPr>
        <w:tab/>
        <w:t>41-96</w:t>
      </w:r>
      <w:r w:rsidRPr="00B8252B">
        <w:rPr>
          <w:spacing w:val="0"/>
          <w:kern w:val="0"/>
          <w:sz w:val="20"/>
          <w:szCs w:val="28"/>
          <w:rtl/>
          <w:lang w:val="fr-CH" w:eastAsia="en-US"/>
        </w:rPr>
        <w:tab/>
      </w:r>
      <w:r w:rsidR="008C7817">
        <w:rPr>
          <w:rFonts w:hint="cs"/>
          <w:spacing w:val="0"/>
          <w:kern w:val="0"/>
          <w:sz w:val="20"/>
          <w:szCs w:val="28"/>
          <w:rtl/>
          <w:lang w:val="fr-CH" w:eastAsia="en-US"/>
        </w:rPr>
        <w:t>370</w:t>
      </w:r>
    </w:p>
    <w:p w:rsidR="00B8252B" w:rsidRPr="00B8252B" w:rsidRDefault="00B8252B" w:rsidP="008C7817">
      <w:pPr>
        <w:tabs>
          <w:tab w:val="right" w:pos="1021"/>
          <w:tab w:val="left" w:pos="1077"/>
          <w:tab w:val="left" w:pos="1525"/>
          <w:tab w:val="left" w:pos="1842"/>
          <w:tab w:val="left" w:pos="2206"/>
          <w:tab w:val="left" w:pos="2681"/>
          <w:tab w:val="left" w:leader="dot" w:pos="7469"/>
          <w:tab w:val="left" w:pos="7972"/>
          <w:tab w:val="right" w:pos="9638"/>
        </w:tabs>
        <w:spacing w:line="360" w:lineRule="exact"/>
        <w:jc w:val="lowKashida"/>
        <w:rPr>
          <w:rFonts w:hint="cs"/>
          <w:spacing w:val="0"/>
          <w:kern w:val="0"/>
          <w:sz w:val="20"/>
          <w:szCs w:val="28"/>
          <w:rtl/>
          <w:lang w:val="fr-CH" w:eastAsia="en-US"/>
        </w:rPr>
      </w:pPr>
      <w:r w:rsidRPr="00B8252B">
        <w:rPr>
          <w:rFonts w:hint="cs"/>
          <w:spacing w:val="0"/>
          <w:kern w:val="0"/>
          <w:sz w:val="20"/>
          <w:szCs w:val="28"/>
          <w:rtl/>
          <w:lang w:val="fr-CH" w:eastAsia="en-US"/>
        </w:rPr>
        <w:tab/>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t>1-</w:t>
      </w:r>
      <w:r w:rsidRPr="00B8252B">
        <w:rPr>
          <w:rFonts w:hint="cs"/>
          <w:spacing w:val="0"/>
          <w:kern w:val="0"/>
          <w:sz w:val="20"/>
          <w:szCs w:val="28"/>
          <w:rtl/>
          <w:lang w:val="fr-CH" w:eastAsia="en-US"/>
        </w:rPr>
        <w:tab/>
        <w:t>ممارسة التعذيب والإعدام خارج نطاق القضاء</w:t>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t>41-71</w:t>
      </w:r>
      <w:r w:rsidRPr="00B8252B">
        <w:rPr>
          <w:rFonts w:hint="cs"/>
          <w:spacing w:val="0"/>
          <w:kern w:val="0"/>
          <w:sz w:val="20"/>
          <w:szCs w:val="28"/>
          <w:rtl/>
          <w:lang w:val="fr-CH" w:eastAsia="en-US"/>
        </w:rPr>
        <w:tab/>
      </w:r>
      <w:r w:rsidR="008C7817">
        <w:rPr>
          <w:rFonts w:hint="cs"/>
          <w:spacing w:val="0"/>
          <w:kern w:val="0"/>
          <w:sz w:val="20"/>
          <w:szCs w:val="28"/>
          <w:rtl/>
          <w:lang w:val="fr-CH" w:eastAsia="en-US"/>
        </w:rPr>
        <w:t>370</w:t>
      </w:r>
    </w:p>
    <w:p w:rsidR="00B8252B" w:rsidRPr="00B8252B" w:rsidRDefault="00B8252B" w:rsidP="008C7817">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jc w:val="lowKashida"/>
        <w:rPr>
          <w:rFonts w:hint="cs"/>
          <w:spacing w:val="0"/>
          <w:kern w:val="0"/>
          <w:sz w:val="20"/>
          <w:szCs w:val="28"/>
          <w:rtl/>
          <w:lang w:val="fr-CH" w:eastAsia="en-US"/>
        </w:rPr>
      </w:pPr>
      <w:r w:rsidRPr="00B8252B">
        <w:rPr>
          <w:rFonts w:hint="cs"/>
          <w:spacing w:val="0"/>
          <w:kern w:val="0"/>
          <w:sz w:val="20"/>
          <w:szCs w:val="28"/>
          <w:rtl/>
          <w:lang w:val="fr-CH" w:eastAsia="en-US"/>
        </w:rPr>
        <w:tab/>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t>2-</w:t>
      </w:r>
      <w:r w:rsidRPr="00B8252B">
        <w:rPr>
          <w:rFonts w:hint="cs"/>
          <w:spacing w:val="0"/>
          <w:kern w:val="0"/>
          <w:sz w:val="20"/>
          <w:szCs w:val="28"/>
          <w:rtl/>
          <w:lang w:val="fr-CH" w:eastAsia="en-US"/>
        </w:rPr>
        <w:tab/>
        <w:t>الإفلات من العقاب</w:t>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t>72-96</w:t>
      </w:r>
      <w:r w:rsidRPr="00B8252B">
        <w:rPr>
          <w:rFonts w:hint="cs"/>
          <w:spacing w:val="0"/>
          <w:kern w:val="0"/>
          <w:sz w:val="20"/>
          <w:szCs w:val="28"/>
          <w:rtl/>
          <w:lang w:val="fr-CH" w:eastAsia="en-US"/>
        </w:rPr>
        <w:tab/>
      </w:r>
      <w:r w:rsidR="008C7817">
        <w:rPr>
          <w:rFonts w:hint="cs"/>
          <w:spacing w:val="0"/>
          <w:kern w:val="0"/>
          <w:sz w:val="20"/>
          <w:szCs w:val="28"/>
          <w:rtl/>
          <w:lang w:val="fr-CH" w:eastAsia="en-US"/>
        </w:rPr>
        <w:t>382</w:t>
      </w:r>
    </w:p>
    <w:p w:rsidR="00B8252B" w:rsidRPr="00B8252B" w:rsidRDefault="00B8252B" w:rsidP="008C7817">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jc w:val="lowKashida"/>
        <w:rPr>
          <w:rFonts w:hint="cs"/>
          <w:spacing w:val="0"/>
          <w:kern w:val="0"/>
          <w:sz w:val="20"/>
          <w:szCs w:val="28"/>
          <w:rtl/>
          <w:lang w:val="fr-CH" w:eastAsia="en-US"/>
        </w:rPr>
      </w:pPr>
      <w:r w:rsidRPr="00B8252B">
        <w:rPr>
          <w:rFonts w:hint="cs"/>
          <w:spacing w:val="0"/>
          <w:kern w:val="0"/>
          <w:sz w:val="20"/>
          <w:szCs w:val="28"/>
          <w:rtl/>
          <w:lang w:val="fr-CH" w:eastAsia="en-US"/>
        </w:rPr>
        <w:tab/>
        <w:t>خامساً</w:t>
      </w:r>
      <w:r w:rsidRPr="00B8252B">
        <w:rPr>
          <w:rFonts w:hint="cs"/>
          <w:spacing w:val="0"/>
          <w:kern w:val="0"/>
          <w:sz w:val="20"/>
          <w:szCs w:val="28"/>
          <w:rtl/>
          <w:lang w:val="fr-CH" w:eastAsia="en-US"/>
        </w:rPr>
        <w:tab/>
      </w:r>
      <w:r w:rsidRPr="00B8252B">
        <w:rPr>
          <w:spacing w:val="0"/>
          <w:kern w:val="0"/>
          <w:sz w:val="20"/>
          <w:szCs w:val="28"/>
          <w:rtl/>
          <w:lang w:val="fr-CH" w:eastAsia="en-US"/>
        </w:rPr>
        <w:t>-</w:t>
      </w:r>
      <w:r w:rsidRPr="00B8252B">
        <w:rPr>
          <w:spacing w:val="0"/>
          <w:kern w:val="0"/>
          <w:sz w:val="20"/>
          <w:szCs w:val="28"/>
          <w:rtl/>
          <w:lang w:val="fr-CH" w:eastAsia="en-US"/>
        </w:rPr>
        <w:tab/>
        <w:t>استنتاجات</w:t>
      </w:r>
      <w:r w:rsidRPr="00B8252B">
        <w:rPr>
          <w:rFonts w:hint="cs"/>
          <w:spacing w:val="0"/>
          <w:kern w:val="0"/>
          <w:sz w:val="20"/>
          <w:szCs w:val="28"/>
          <w:rtl/>
          <w:lang w:val="fr-CH" w:eastAsia="en-US"/>
        </w:rPr>
        <w:t xml:space="preserve"> اللجنة وتوصياتها</w:t>
      </w:r>
      <w:r w:rsidRPr="00B8252B">
        <w:rPr>
          <w:spacing w:val="0"/>
          <w:kern w:val="0"/>
          <w:sz w:val="20"/>
          <w:szCs w:val="28"/>
          <w:rtl/>
          <w:lang w:val="fr-CH" w:eastAsia="en-US"/>
        </w:rPr>
        <w:tab/>
      </w:r>
      <w:r w:rsidRPr="00B8252B">
        <w:rPr>
          <w:rFonts w:hint="cs"/>
          <w:spacing w:val="0"/>
          <w:kern w:val="0"/>
          <w:sz w:val="20"/>
          <w:szCs w:val="28"/>
          <w:rtl/>
          <w:lang w:val="fr-CH" w:eastAsia="en-US"/>
        </w:rPr>
        <w:tab/>
        <w:t>97-110</w:t>
      </w:r>
      <w:r w:rsidRPr="00B8252B">
        <w:rPr>
          <w:rFonts w:hint="cs"/>
          <w:spacing w:val="0"/>
          <w:kern w:val="0"/>
          <w:sz w:val="20"/>
          <w:szCs w:val="28"/>
          <w:rtl/>
          <w:lang w:val="fr-CH" w:eastAsia="en-US"/>
        </w:rPr>
        <w:tab/>
      </w:r>
      <w:r w:rsidR="008C7817">
        <w:rPr>
          <w:rFonts w:hint="cs"/>
          <w:spacing w:val="0"/>
          <w:kern w:val="0"/>
          <w:sz w:val="20"/>
          <w:szCs w:val="28"/>
          <w:rtl/>
          <w:lang w:val="fr-CH" w:eastAsia="en-US"/>
        </w:rPr>
        <w:t>392</w:t>
      </w:r>
    </w:p>
    <w:p w:rsidR="00B8252B" w:rsidRDefault="00B8252B" w:rsidP="00B73747">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ind w:left="1525" w:right="2200" w:hanging="1525"/>
        <w:jc w:val="lowKashida"/>
        <w:rPr>
          <w:rFonts w:hint="cs"/>
          <w:spacing w:val="0"/>
          <w:kern w:val="0"/>
          <w:sz w:val="20"/>
          <w:szCs w:val="28"/>
          <w:rtl/>
          <w:lang w:val="fr-CH" w:eastAsia="en-US"/>
        </w:rPr>
      </w:pPr>
      <w:r w:rsidRPr="00B8252B">
        <w:rPr>
          <w:rFonts w:hint="cs"/>
          <w:spacing w:val="0"/>
          <w:kern w:val="0"/>
          <w:sz w:val="20"/>
          <w:szCs w:val="28"/>
          <w:rtl/>
          <w:lang w:val="fr-CH" w:eastAsia="en-US"/>
        </w:rPr>
        <w:tab/>
        <w:t>الجزء 2</w:t>
      </w:r>
      <w:r w:rsidRPr="00B8252B">
        <w:rPr>
          <w:rFonts w:hint="cs"/>
          <w:spacing w:val="0"/>
          <w:kern w:val="0"/>
          <w:sz w:val="20"/>
          <w:szCs w:val="28"/>
          <w:rtl/>
          <w:lang w:val="fr-CH" w:eastAsia="en-US"/>
        </w:rPr>
        <w:tab/>
        <w:t>-</w:t>
      </w:r>
      <w:r w:rsidRPr="00B8252B">
        <w:rPr>
          <w:rFonts w:hint="cs"/>
          <w:spacing w:val="0"/>
          <w:kern w:val="0"/>
          <w:sz w:val="20"/>
          <w:szCs w:val="28"/>
          <w:rtl/>
          <w:lang w:val="fr-CH" w:eastAsia="en-US"/>
        </w:rPr>
        <w:tab/>
        <w:t xml:space="preserve">التعليقات </w:t>
      </w:r>
      <w:r w:rsidR="00B73747">
        <w:rPr>
          <w:rFonts w:hint="cs"/>
          <w:spacing w:val="0"/>
          <w:kern w:val="0"/>
          <w:sz w:val="20"/>
          <w:szCs w:val="28"/>
          <w:rtl/>
          <w:lang w:val="fr-CH" w:eastAsia="en-US"/>
        </w:rPr>
        <w:t xml:space="preserve">والملاحظات </w:t>
      </w:r>
      <w:r w:rsidRPr="00B8252B">
        <w:rPr>
          <w:rFonts w:hint="cs"/>
          <w:spacing w:val="0"/>
          <w:kern w:val="0"/>
          <w:sz w:val="20"/>
          <w:szCs w:val="28"/>
          <w:rtl/>
          <w:lang w:val="fr-CH" w:eastAsia="en-US"/>
        </w:rPr>
        <w:t>المقدمة من نيبال في 8 آب/أغسطس 2011</w:t>
      </w:r>
      <w:r w:rsidRPr="00B8252B">
        <w:rPr>
          <w:rFonts w:hint="cs"/>
          <w:spacing w:val="0"/>
          <w:kern w:val="0"/>
          <w:sz w:val="20"/>
          <w:szCs w:val="28"/>
          <w:rtl/>
          <w:lang w:val="fr-CH" w:eastAsia="en-US"/>
        </w:rPr>
        <w:tab/>
      </w:r>
      <w:r w:rsidRPr="00B8252B">
        <w:rPr>
          <w:rFonts w:hint="cs"/>
          <w:spacing w:val="0"/>
          <w:kern w:val="0"/>
          <w:sz w:val="20"/>
          <w:szCs w:val="28"/>
          <w:rtl/>
          <w:lang w:val="fr-CH" w:eastAsia="en-US"/>
        </w:rPr>
        <w:tab/>
      </w:r>
      <w:r w:rsidR="00B73747">
        <w:rPr>
          <w:rFonts w:hint="cs"/>
          <w:spacing w:val="0"/>
          <w:kern w:val="0"/>
          <w:sz w:val="20"/>
          <w:szCs w:val="28"/>
          <w:rtl/>
          <w:lang w:val="fr-CH" w:eastAsia="en-US"/>
        </w:rPr>
        <w:t>111</w:t>
      </w:r>
      <w:r w:rsidRPr="00B8252B">
        <w:rPr>
          <w:rFonts w:hint="cs"/>
          <w:spacing w:val="0"/>
          <w:kern w:val="0"/>
          <w:sz w:val="20"/>
          <w:szCs w:val="28"/>
          <w:rtl/>
          <w:lang w:val="fr-CH" w:eastAsia="en-US"/>
        </w:rPr>
        <w:t>-</w:t>
      </w:r>
      <w:r w:rsidR="00B73747">
        <w:rPr>
          <w:rFonts w:hint="cs"/>
          <w:spacing w:val="0"/>
          <w:kern w:val="0"/>
          <w:sz w:val="20"/>
          <w:szCs w:val="28"/>
          <w:rtl/>
          <w:lang w:val="fr-CH" w:eastAsia="en-US"/>
        </w:rPr>
        <w:t>130</w:t>
      </w:r>
      <w:r w:rsidRPr="00B8252B">
        <w:rPr>
          <w:rFonts w:hint="cs"/>
          <w:spacing w:val="0"/>
          <w:kern w:val="0"/>
          <w:sz w:val="20"/>
          <w:szCs w:val="28"/>
          <w:rtl/>
          <w:lang w:val="fr-CH" w:eastAsia="en-US"/>
        </w:rPr>
        <w:tab/>
      </w:r>
      <w:r w:rsidR="008C7817">
        <w:rPr>
          <w:rFonts w:hint="cs"/>
          <w:spacing w:val="0"/>
          <w:kern w:val="0"/>
          <w:sz w:val="20"/>
          <w:szCs w:val="28"/>
          <w:rtl/>
          <w:lang w:val="fr-CH" w:eastAsia="en-US"/>
        </w:rPr>
        <w:t>399</w:t>
      </w:r>
    </w:p>
    <w:p w:rsidR="001D3F00" w:rsidRDefault="001D3F00" w:rsidP="00B8252B">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ind w:left="1525" w:right="2200" w:hanging="1525"/>
        <w:jc w:val="lowKashida"/>
        <w:rPr>
          <w:rFonts w:hint="cs"/>
          <w:spacing w:val="0"/>
          <w:kern w:val="0"/>
          <w:sz w:val="20"/>
          <w:szCs w:val="28"/>
          <w:rtl/>
          <w:lang w:val="fr-CH" w:eastAsia="en-US"/>
        </w:rPr>
      </w:pPr>
    </w:p>
    <w:p w:rsidR="00293076" w:rsidRDefault="00293076" w:rsidP="00B8252B">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ind w:left="1525" w:right="2200" w:hanging="1525"/>
        <w:jc w:val="lowKashida"/>
        <w:rPr>
          <w:rFonts w:hint="cs"/>
          <w:spacing w:val="0"/>
          <w:kern w:val="0"/>
          <w:sz w:val="20"/>
          <w:szCs w:val="28"/>
          <w:rtl/>
          <w:lang w:val="fr-CH" w:eastAsia="en-US"/>
        </w:rPr>
        <w:sectPr w:rsidR="00293076" w:rsidSect="007D1EF4">
          <w:headerReference w:type="first" r:id="rId26"/>
          <w:footerReference w:type="first" r:id="rId27"/>
          <w:footnotePr>
            <w:numRestart w:val="eachSect"/>
          </w:footnotePr>
          <w:endnotePr>
            <w:numFmt w:val="decimal"/>
          </w:endnotePr>
          <w:pgSz w:w="11906" w:h="16838" w:code="9"/>
          <w:pgMar w:top="1701" w:right="1134" w:bottom="2268" w:left="1134" w:header="1134" w:footer="1701" w:gutter="0"/>
          <w:pgNumType w:start="313"/>
          <w:cols w:space="708"/>
          <w:titlePg/>
          <w:bidi/>
          <w:docGrid w:linePitch="360"/>
        </w:sectPr>
      </w:pPr>
    </w:p>
    <w:p w:rsidR="003E698F" w:rsidRDefault="003E698F" w:rsidP="003E698F">
      <w:pPr>
        <w:pStyle w:val="HChGA"/>
        <w:spacing w:before="120" w:after="20"/>
        <w:jc w:val="lowKashida"/>
        <w:rPr>
          <w:rFonts w:ascii="Times New Roman Bold" w:hAnsi="Times New Roman Bold" w:hint="cs"/>
          <w:spacing w:val="0"/>
          <w:kern w:val="0"/>
          <w:rtl/>
          <w:lang w:eastAsia="en-US"/>
        </w:rPr>
      </w:pPr>
      <w:r>
        <w:rPr>
          <w:rFonts w:ascii="Times New Roman Bold" w:hAnsi="Times New Roman Bold" w:hint="cs"/>
          <w:spacing w:val="0"/>
          <w:kern w:val="0"/>
          <w:rtl/>
          <w:lang w:eastAsia="en-US"/>
        </w:rPr>
        <w:tab/>
      </w:r>
      <w:r w:rsidR="001D3F00" w:rsidRPr="001D3F00">
        <w:rPr>
          <w:rFonts w:ascii="Times New Roman Bold" w:hAnsi="Times New Roman Bold" w:hint="cs"/>
          <w:spacing w:val="0"/>
          <w:kern w:val="0"/>
          <w:rtl/>
          <w:lang w:eastAsia="en-US"/>
        </w:rPr>
        <w:tab/>
        <w:t>الجزء 1</w:t>
      </w:r>
    </w:p>
    <w:p w:rsidR="001D3F00" w:rsidRPr="001D3F00" w:rsidRDefault="003E698F" w:rsidP="00B73747">
      <w:pPr>
        <w:pStyle w:val="HChGA"/>
        <w:spacing w:before="0"/>
        <w:jc w:val="lowKashida"/>
        <w:rPr>
          <w:rFonts w:ascii="Times New Roman Bold" w:hAnsi="Times New Roman Bold" w:hint="cs"/>
          <w:spacing w:val="0"/>
          <w:kern w:val="0"/>
          <w:rtl/>
          <w:lang w:eastAsia="en-US"/>
        </w:rPr>
      </w:pPr>
      <w:r>
        <w:rPr>
          <w:rFonts w:ascii="Times New Roman Bold" w:hAnsi="Times New Roman Bold" w:hint="cs"/>
          <w:spacing w:val="0"/>
          <w:kern w:val="0"/>
          <w:rtl/>
          <w:lang w:eastAsia="en-US"/>
        </w:rPr>
        <w:tab/>
      </w:r>
      <w:r>
        <w:rPr>
          <w:rFonts w:ascii="Times New Roman Bold" w:hAnsi="Times New Roman Bold" w:hint="cs"/>
          <w:spacing w:val="0"/>
          <w:kern w:val="0"/>
          <w:rtl/>
          <w:lang w:eastAsia="en-US"/>
        </w:rPr>
        <w:tab/>
      </w:r>
      <w:r w:rsidR="001D3F00" w:rsidRPr="001D3F00">
        <w:rPr>
          <w:rFonts w:ascii="Times New Roman Bold" w:hAnsi="Times New Roman Bold" w:hint="cs"/>
          <w:spacing w:val="0"/>
          <w:kern w:val="0"/>
          <w:rtl/>
          <w:lang w:eastAsia="en-US"/>
        </w:rPr>
        <w:t xml:space="preserve">التقرير الذي اعتمدته لجنة مناهضة التعذيب بشأن </w:t>
      </w:r>
      <w:r w:rsidR="00B73747">
        <w:rPr>
          <w:rFonts w:ascii="Times New Roman Bold" w:hAnsi="Times New Roman Bold" w:hint="cs"/>
          <w:spacing w:val="0"/>
          <w:kern w:val="0"/>
          <w:rtl/>
          <w:lang w:eastAsia="en-US"/>
        </w:rPr>
        <w:t>نيبال</w:t>
      </w:r>
      <w:r w:rsidR="001D3F00" w:rsidRPr="001D3F00">
        <w:rPr>
          <w:rFonts w:ascii="Times New Roman Bold" w:hAnsi="Times New Roman Bold" w:hint="cs"/>
          <w:spacing w:val="0"/>
          <w:kern w:val="0"/>
          <w:rtl/>
          <w:lang w:eastAsia="en-US"/>
        </w:rPr>
        <w:t xml:space="preserve"> بموجب المادة</w:t>
      </w:r>
      <w:r w:rsidR="001D3F00" w:rsidRPr="001D3F00">
        <w:rPr>
          <w:rFonts w:ascii="Times New Roman Bold" w:hAnsi="Times New Roman Bold" w:hint="eastAsia"/>
          <w:spacing w:val="0"/>
          <w:kern w:val="0"/>
          <w:rtl/>
          <w:lang w:eastAsia="en-US"/>
        </w:rPr>
        <w:t> </w:t>
      </w:r>
      <w:r w:rsidR="001D3F00" w:rsidRPr="001D3F00">
        <w:rPr>
          <w:rFonts w:ascii="Times New Roman Bold" w:hAnsi="Times New Roman Bold" w:hint="cs"/>
          <w:spacing w:val="0"/>
          <w:kern w:val="0"/>
          <w:rtl/>
          <w:lang w:eastAsia="en-US"/>
        </w:rPr>
        <w:t>20 من الاتفاقية</w:t>
      </w:r>
      <w:r w:rsidR="001D3F00" w:rsidRPr="001D3F00">
        <w:rPr>
          <w:rFonts w:ascii="Times New Roman Bold" w:hAnsi="Times New Roman Bold" w:hint="cs"/>
          <w:spacing w:val="0"/>
          <w:kern w:val="0"/>
          <w:rtl/>
          <w:lang w:val="fr-CH" w:eastAsia="en-US"/>
        </w:rPr>
        <w:t xml:space="preserve"> </w:t>
      </w:r>
      <w:r w:rsidR="001D3F00" w:rsidRPr="001D3F00">
        <w:rPr>
          <w:rFonts w:ascii="Times New Roman Bold" w:hAnsi="Times New Roman Bold" w:hint="cs"/>
          <w:spacing w:val="0"/>
          <w:kern w:val="0"/>
          <w:rtl/>
          <w:lang w:eastAsia="en-US"/>
        </w:rPr>
        <w:t>في دورتها السادسة والأربعين (9 أيار/مايو - 3 حزيران/يونيه 2011)</w:t>
      </w:r>
    </w:p>
    <w:p w:rsidR="001D3F00" w:rsidRPr="00A8289C" w:rsidRDefault="001D3F00" w:rsidP="001D3F00">
      <w:pPr>
        <w:pStyle w:val="HChGA"/>
        <w:jc w:val="lowKashida"/>
        <w:rPr>
          <w:rFonts w:ascii="Times New Roman Bold" w:hAnsi="Times New Roman Bold" w:hint="cs"/>
          <w:spacing w:val="0"/>
          <w:kern w:val="0"/>
          <w:rtl/>
          <w:lang w:eastAsia="en-US"/>
        </w:rPr>
      </w:pPr>
      <w:r w:rsidRPr="00A8289C">
        <w:rPr>
          <w:rFonts w:ascii="Times New Roman Bold" w:hAnsi="Times New Roman Bold" w:hint="cs"/>
          <w:spacing w:val="0"/>
          <w:kern w:val="0"/>
          <w:sz w:val="26"/>
          <w:szCs w:val="36"/>
          <w:rtl/>
          <w:lang w:eastAsia="en-US"/>
        </w:rPr>
        <w:tab/>
      </w:r>
      <w:r w:rsidRPr="00A8289C">
        <w:rPr>
          <w:rFonts w:ascii="Times New Roman Bold" w:hAnsi="Times New Roman Bold" w:hint="cs"/>
          <w:spacing w:val="0"/>
          <w:kern w:val="0"/>
          <w:rtl/>
          <w:lang w:eastAsia="en-US"/>
        </w:rPr>
        <w:t>أولاً-</w:t>
      </w:r>
      <w:r w:rsidRPr="00A8289C">
        <w:rPr>
          <w:rFonts w:ascii="Times New Roman Bold" w:hAnsi="Times New Roman Bold" w:hint="cs"/>
          <w:spacing w:val="0"/>
          <w:kern w:val="0"/>
          <w:rtl/>
          <w:lang w:eastAsia="en-US"/>
        </w:rPr>
        <w:tab/>
        <w:t>مقدمة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1D3F00">
        <w:rPr>
          <w:rFonts w:hint="cs"/>
          <w:spacing w:val="0"/>
          <w:kern w:val="0"/>
          <w:sz w:val="20"/>
          <w:rtl/>
          <w:lang w:eastAsia="en-US"/>
        </w:rPr>
        <w:t>1-</w:t>
      </w:r>
      <w:r w:rsidRPr="001D3F00">
        <w:rPr>
          <w:rFonts w:hint="cs"/>
          <w:spacing w:val="0"/>
          <w:kern w:val="0"/>
          <w:sz w:val="20"/>
          <w:rtl/>
          <w:lang w:eastAsia="en-US"/>
        </w:rPr>
        <w:tab/>
        <w:t xml:space="preserve">وفقاً للمادة 20 من اتفاقية مناهضة التعذيب وغيره من </w:t>
      </w:r>
      <w:r w:rsidRPr="001D3F00">
        <w:rPr>
          <w:spacing w:val="0"/>
          <w:kern w:val="0"/>
          <w:sz w:val="20"/>
          <w:rtl/>
          <w:lang w:eastAsia="en-US"/>
        </w:rPr>
        <w:t>ضروب المعاملة أو العقوبة القاسية أو اللاإنسانية أو المهينة</w:t>
      </w:r>
      <w:r w:rsidRPr="001D3F00">
        <w:rPr>
          <w:rFonts w:hint="cs"/>
          <w:spacing w:val="0"/>
          <w:kern w:val="0"/>
          <w:sz w:val="20"/>
          <w:rtl/>
          <w:lang w:eastAsia="en-US"/>
        </w:rPr>
        <w:t xml:space="preserve"> (يُشار إليها فيما يلي ﺑ "الاتفاقية")، </w:t>
      </w:r>
      <w:r w:rsidRPr="001D3F00">
        <w:rPr>
          <w:spacing w:val="0"/>
          <w:kern w:val="0"/>
          <w:sz w:val="20"/>
          <w:rtl/>
          <w:lang w:eastAsia="en-US"/>
        </w:rPr>
        <w:t xml:space="preserve">إذا تلقت </w:t>
      </w:r>
      <w:r w:rsidRPr="001D3F00">
        <w:rPr>
          <w:rFonts w:hint="cs"/>
          <w:spacing w:val="0"/>
          <w:kern w:val="0"/>
          <w:sz w:val="20"/>
          <w:rtl/>
          <w:lang w:eastAsia="en-US"/>
        </w:rPr>
        <w:t>لجنة مناهضة التعذيب (يُشار إليها فيما يلي ﺑ "</w:t>
      </w:r>
      <w:r w:rsidRPr="001D3F00">
        <w:rPr>
          <w:spacing w:val="0"/>
          <w:kern w:val="0"/>
          <w:sz w:val="20"/>
          <w:rtl/>
          <w:lang w:eastAsia="en-US"/>
        </w:rPr>
        <w:t>اللجنة</w:t>
      </w:r>
      <w:r w:rsidRPr="001D3F00">
        <w:rPr>
          <w:rFonts w:hint="cs"/>
          <w:spacing w:val="0"/>
          <w:kern w:val="0"/>
          <w:sz w:val="20"/>
          <w:rtl/>
          <w:lang w:eastAsia="en-US"/>
        </w:rPr>
        <w:t>")</w:t>
      </w:r>
      <w:r w:rsidRPr="001D3F00">
        <w:rPr>
          <w:spacing w:val="0"/>
          <w:kern w:val="0"/>
          <w:sz w:val="20"/>
          <w:rtl/>
          <w:lang w:eastAsia="en-US"/>
        </w:rPr>
        <w:t xml:space="preserve"> معلومات موثوق</w:t>
      </w:r>
      <w:r w:rsidRPr="001D3F00">
        <w:rPr>
          <w:rFonts w:hint="cs"/>
          <w:spacing w:val="0"/>
          <w:kern w:val="0"/>
          <w:sz w:val="20"/>
          <w:rtl/>
          <w:lang w:eastAsia="en-US"/>
        </w:rPr>
        <w:t>ا بها</w:t>
      </w:r>
      <w:r w:rsidRPr="001D3F00">
        <w:rPr>
          <w:spacing w:val="0"/>
          <w:kern w:val="0"/>
          <w:sz w:val="20"/>
          <w:rtl/>
          <w:lang w:eastAsia="en-US"/>
        </w:rPr>
        <w:t xml:space="preserve"> يبدو</w:t>
      </w:r>
      <w:r w:rsidRPr="001D3F00">
        <w:rPr>
          <w:rFonts w:hint="cs"/>
          <w:spacing w:val="0"/>
          <w:kern w:val="0"/>
          <w:sz w:val="20"/>
          <w:rtl/>
          <w:lang w:eastAsia="en-US"/>
        </w:rPr>
        <w:t xml:space="preserve"> لها</w:t>
      </w:r>
      <w:r w:rsidRPr="001D3F00">
        <w:rPr>
          <w:spacing w:val="0"/>
          <w:kern w:val="0"/>
          <w:sz w:val="20"/>
          <w:rtl/>
          <w:lang w:eastAsia="en-US"/>
        </w:rPr>
        <w:t xml:space="preserve"> أنها تتضمن دلائل لها أساس قوى تشير إلى أن تعذيبا</w:t>
      </w:r>
      <w:r w:rsidRPr="001D3F00">
        <w:rPr>
          <w:rFonts w:hint="cs"/>
          <w:spacing w:val="0"/>
          <w:kern w:val="0"/>
          <w:sz w:val="20"/>
          <w:rtl/>
          <w:lang w:eastAsia="en-US"/>
        </w:rPr>
        <w:t>ً</w:t>
      </w:r>
      <w:r w:rsidRPr="001D3F00">
        <w:rPr>
          <w:spacing w:val="0"/>
          <w:kern w:val="0"/>
          <w:sz w:val="20"/>
          <w:rtl/>
          <w:lang w:eastAsia="en-US"/>
        </w:rPr>
        <w:t xml:space="preserve"> يمارس على نحو منظم في أراضى دولة طرف، تدعو اللجنة الدولة الطرف المعنية إلى التعاون في دراسة هذه المعلومات، </w:t>
      </w:r>
      <w:r w:rsidRPr="001D3F00">
        <w:rPr>
          <w:rFonts w:hint="cs"/>
          <w:spacing w:val="0"/>
          <w:kern w:val="0"/>
          <w:sz w:val="20"/>
          <w:rtl/>
          <w:lang w:eastAsia="en-US"/>
        </w:rPr>
        <w:t>و</w:t>
      </w:r>
      <w:r w:rsidRPr="001D3F00">
        <w:rPr>
          <w:spacing w:val="0"/>
          <w:kern w:val="0"/>
          <w:sz w:val="20"/>
          <w:rtl/>
          <w:lang w:eastAsia="en-US"/>
        </w:rPr>
        <w:t>تحقيقا</w:t>
      </w:r>
      <w:r w:rsidRPr="001D3F00">
        <w:rPr>
          <w:rFonts w:hint="cs"/>
          <w:spacing w:val="0"/>
          <w:kern w:val="0"/>
          <w:sz w:val="20"/>
          <w:rtl/>
          <w:lang w:eastAsia="en-US"/>
        </w:rPr>
        <w:t>ً</w:t>
      </w:r>
      <w:r w:rsidRPr="001D3F00">
        <w:rPr>
          <w:spacing w:val="0"/>
          <w:kern w:val="0"/>
          <w:sz w:val="20"/>
          <w:rtl/>
          <w:lang w:eastAsia="en-US"/>
        </w:rPr>
        <w:t xml:space="preserve"> لهذه الغاية</w:t>
      </w:r>
      <w:r w:rsidRPr="001D3F00">
        <w:rPr>
          <w:rFonts w:hint="cs"/>
          <w:spacing w:val="0"/>
          <w:kern w:val="0"/>
          <w:sz w:val="20"/>
          <w:rtl/>
          <w:lang w:eastAsia="en-US"/>
        </w:rPr>
        <w:t xml:space="preserve"> إلى </w:t>
      </w:r>
      <w:r w:rsidRPr="001D3F00">
        <w:rPr>
          <w:spacing w:val="0"/>
          <w:kern w:val="0"/>
          <w:sz w:val="20"/>
          <w:rtl/>
          <w:lang w:eastAsia="en-US"/>
        </w:rPr>
        <w:t>تقديم ملاحظات بصدد تلك المعلومات</w:t>
      </w:r>
      <w:r w:rsidRPr="001D3F00">
        <w:rPr>
          <w:rFonts w:hint="cs"/>
          <w:spacing w:val="0"/>
          <w:kern w:val="0"/>
          <w:sz w:val="20"/>
          <w:rtl/>
          <w:lang w:eastAsia="en-US"/>
        </w:rPr>
        <w:t xml:space="preserve">. وقد تقرر اللجنة بعد ذلك تعيين واحد أو أكثر من أعضائها لإجراء تحقيق سري قد يشمل، بموافقة اللجنة، القيام بزيارة إلى الدولة الطرف المعنية. وتكون الإجراءات التي تضطلع بها اللجنة في إطار هذه العمليات سرية ويُلتمس تعاون الدولة الطرف في كل المراحل. وبعد انتهاء الإجراءات، قد تقرر اللجنة، بالتشاور مع الدولة الطرف المعنية، إدراج تقرير موجز عن النتائج في تقرير اللجنة السنوي إلى الدول الأطراف في الاتفاقية وإلى الجمعية العامة للأمم المتحدة، فضلاً عن نشر هذا التقرير وردود الدولة الطرف، إذا اتُفق معها على هذا الأمر.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w:t>
      </w:r>
      <w:r w:rsidRPr="001D3F00">
        <w:rPr>
          <w:rFonts w:hint="cs"/>
          <w:spacing w:val="0"/>
          <w:kern w:val="0"/>
          <w:sz w:val="20"/>
          <w:rtl/>
          <w:lang w:eastAsia="en-US"/>
        </w:rPr>
        <w:tab/>
        <w:t>لقد انضمت نيبال إلى الاتفاقية في 14 أيا/مايو 1991. ولم تعلن، وقت تصديقها على الاتفاقية، عدم اعترافها باختصاص اللجنة المنصوص عليه في المادة 20 من الاتفاقية، حيث كان بإمكانها أن تفعل ذلك عملاً بالمادة 28 من الاتفاقية. وعليه، يصبح الإجراء بموجب المادة 20 منطبقاً على نيبال.</w:t>
      </w:r>
    </w:p>
    <w:p w:rsidR="001D3F00" w:rsidRPr="001D3F00" w:rsidRDefault="001D3F00" w:rsidP="001D3F00">
      <w:pPr>
        <w:pStyle w:val="HChGA"/>
        <w:jc w:val="lowKashida"/>
        <w:rPr>
          <w:rFonts w:ascii="Times New Roman Bold" w:hAnsi="Times New Roman Bold" w:hint="cs"/>
          <w:spacing w:val="0"/>
          <w:kern w:val="0"/>
          <w:rtl/>
          <w:lang w:eastAsia="en-US"/>
        </w:rPr>
      </w:pPr>
      <w:r w:rsidRPr="001D3F00">
        <w:rPr>
          <w:rFonts w:ascii="Times New Roman Bold" w:hAnsi="Times New Roman Bold" w:hint="cs"/>
          <w:spacing w:val="0"/>
          <w:kern w:val="0"/>
          <w:rtl/>
          <w:lang w:eastAsia="en-US"/>
        </w:rPr>
        <w:tab/>
        <w:t>ثانياً-</w:t>
      </w:r>
      <w:r w:rsidRPr="001D3F00">
        <w:rPr>
          <w:rFonts w:ascii="Times New Roman Bold" w:hAnsi="Times New Roman Bold" w:hint="cs"/>
          <w:spacing w:val="0"/>
          <w:kern w:val="0"/>
          <w:rtl/>
          <w:lang w:eastAsia="en-US"/>
        </w:rPr>
        <w:tab/>
        <w:t>تطورات الإجراءات</w:t>
      </w:r>
    </w:p>
    <w:p w:rsidR="001D3F00" w:rsidRPr="003E698F"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rtl/>
          <w:lang w:eastAsia="en-US"/>
        </w:rPr>
      </w:pPr>
      <w:r w:rsidRPr="003E698F">
        <w:rPr>
          <w:rFonts w:hint="cs"/>
          <w:spacing w:val="-2"/>
          <w:kern w:val="0"/>
          <w:sz w:val="20"/>
          <w:rtl/>
          <w:lang w:eastAsia="en-US"/>
        </w:rPr>
        <w:t>3-</w:t>
      </w:r>
      <w:r w:rsidRPr="003E698F">
        <w:rPr>
          <w:rFonts w:hint="cs"/>
          <w:spacing w:val="-2"/>
          <w:kern w:val="0"/>
          <w:sz w:val="20"/>
          <w:rtl/>
          <w:lang w:eastAsia="en-US"/>
        </w:rPr>
        <w:tab/>
        <w:t>أعربت اللجنة، في ملاحظاتها الختامية على التقرير الدوري الثاني لنيبال، الذي اعتمدته اللجنة في دورتها الخامسة والثلاثين التي عُقدت في تشرين الثاني/نوفمبر 2005</w:t>
      </w:r>
      <w:r w:rsidRPr="003E698F">
        <w:rPr>
          <w:spacing w:val="-2"/>
          <w:kern w:val="0"/>
          <w:sz w:val="20"/>
          <w:vertAlign w:val="superscript"/>
          <w:rtl/>
          <w:lang w:eastAsia="en-US"/>
        </w:rPr>
        <w:t>(</w:t>
      </w:r>
      <w:r w:rsidRPr="003E698F">
        <w:rPr>
          <w:b/>
          <w:spacing w:val="-2"/>
          <w:kern w:val="0"/>
          <w:szCs w:val="28"/>
          <w:vertAlign w:val="superscript"/>
          <w:rtl/>
          <w:lang w:eastAsia="en-US"/>
        </w:rPr>
        <w:footnoteReference w:id="34"/>
      </w:r>
      <w:r w:rsidRPr="003E698F">
        <w:rPr>
          <w:spacing w:val="-2"/>
          <w:kern w:val="0"/>
          <w:sz w:val="20"/>
          <w:vertAlign w:val="superscript"/>
          <w:rtl/>
          <w:lang w:eastAsia="en-US"/>
        </w:rPr>
        <w:t>)</w:t>
      </w:r>
      <w:r w:rsidRPr="003E698F">
        <w:rPr>
          <w:rFonts w:hint="cs"/>
          <w:spacing w:val="-2"/>
          <w:kern w:val="0"/>
          <w:sz w:val="20"/>
          <w:rtl/>
          <w:lang w:eastAsia="en-US"/>
        </w:rPr>
        <w:t xml:space="preserve"> عن قلقها البالغ إزاء مزاعم انتشار ممارسة التعذيب، والمناخ السائد المتسم بالإفلات من العقاب بالنسبة لمرتكبي جرائم التعذيب، وافتقار القوانين المحلية لأحكام قانونية تجعل من التعذيب جريمة.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4-</w:t>
      </w:r>
      <w:r w:rsidRPr="001D3F00">
        <w:rPr>
          <w:rFonts w:hint="cs"/>
          <w:spacing w:val="0"/>
          <w:kern w:val="0"/>
          <w:sz w:val="20"/>
          <w:rtl/>
          <w:lang w:eastAsia="en-US"/>
        </w:rPr>
        <w:tab/>
        <w:t>وأعربت اللجنة عن " القلق الشديد إزاء الكم الهائل من التقارير المتسقة والموثوقة بشأن انتشار ممارس</w:t>
      </w:r>
      <w:r w:rsidRPr="001D3F00">
        <w:rPr>
          <w:rFonts w:hint="eastAsia"/>
          <w:spacing w:val="0"/>
          <w:kern w:val="0"/>
          <w:sz w:val="20"/>
          <w:rtl/>
          <w:lang w:eastAsia="en-US"/>
        </w:rPr>
        <w:t>ة</w:t>
      </w:r>
      <w:r w:rsidRPr="001D3F00">
        <w:rPr>
          <w:rFonts w:hint="cs"/>
          <w:spacing w:val="0"/>
          <w:kern w:val="0"/>
          <w:sz w:val="20"/>
          <w:rtl/>
          <w:lang w:eastAsia="en-US"/>
        </w:rPr>
        <w:t xml:space="preserve"> التعذيب وسوء المعاملة على أيدي الموظفين المعنيين بإنفاذ القوانين، وبخاصة الجيش الملكي النيبالي والشرطة المسلحة، وعدم وجود تدابير تكفل الحماية الفعالة لجميع أفراد المجتمع". وشعرت اللجنة بالقلق إزاء "اللجوء على نطاق واسع للاحتجاز رهن المحاكمة لمدة قد تصل إلى 15 يوماً"</w:t>
      </w:r>
      <w:r w:rsidRPr="001D3F00">
        <w:rPr>
          <w:spacing w:val="0"/>
          <w:kern w:val="0"/>
          <w:sz w:val="20"/>
          <w:vertAlign w:val="superscript"/>
          <w:rtl/>
          <w:lang w:eastAsia="en-US"/>
        </w:rPr>
        <w:t>(</w:t>
      </w:r>
      <w:r w:rsidRPr="001D3F00">
        <w:rPr>
          <w:b/>
          <w:spacing w:val="0"/>
          <w:kern w:val="0"/>
          <w:szCs w:val="28"/>
          <w:vertAlign w:val="superscript"/>
          <w:rtl/>
          <w:lang w:eastAsia="en-US"/>
        </w:rPr>
        <w:footnoteReference w:id="35"/>
      </w:r>
      <w:r w:rsidRPr="001D3F00">
        <w:rPr>
          <w:spacing w:val="0"/>
          <w:kern w:val="0"/>
          <w:sz w:val="20"/>
          <w:vertAlign w:val="superscript"/>
          <w:rtl/>
          <w:lang w:eastAsia="en-US"/>
        </w:rPr>
        <w:t>)</w:t>
      </w:r>
      <w:r w:rsidRPr="001D3F00">
        <w:rPr>
          <w:rFonts w:hint="cs"/>
          <w:spacing w:val="0"/>
          <w:kern w:val="0"/>
          <w:sz w:val="20"/>
          <w:rtl/>
          <w:lang w:eastAsia="en-US"/>
        </w:rPr>
        <w:t xml:space="preserve"> و"ازدراء أفراد قوات الأمن للأوامر الصادرة عن المحاكم بعدم الامتثال لها"</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36"/>
      </w:r>
      <w:r w:rsidRPr="001D3F00">
        <w:rPr>
          <w:rFonts w:hint="cs"/>
          <w:spacing w:val="0"/>
          <w:kern w:val="0"/>
          <w:sz w:val="20"/>
          <w:vertAlign w:val="superscript"/>
          <w:rtl/>
          <w:lang w:eastAsia="en-US"/>
        </w:rPr>
        <w:t>)</w:t>
      </w:r>
      <w:r w:rsidRPr="001D3F00">
        <w:rPr>
          <w:rFonts w:hint="cs"/>
          <w:spacing w:val="0"/>
          <w:kern w:val="0"/>
          <w:sz w:val="20"/>
          <w:rtl/>
          <w:lang w:eastAsia="en-US"/>
        </w:rPr>
        <w:t>. وشعرت اللجنة "بانزعاج شديد إزاء المزاعم المتواترة والموثوقة المتعلقة بتكرار استخدام قوات الأمن لوسائل تحقيق محظورة بموجب الاتفاقية"</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37"/>
      </w:r>
      <w:r w:rsidRPr="001D3F00">
        <w:rPr>
          <w:rFonts w:hint="cs"/>
          <w:spacing w:val="0"/>
          <w:kern w:val="0"/>
          <w:sz w:val="20"/>
          <w:vertAlign w:val="superscript"/>
          <w:rtl/>
          <w:lang w:eastAsia="en-US"/>
        </w:rPr>
        <w:t>)</w:t>
      </w:r>
      <w:r w:rsidRPr="001D3F00">
        <w:rPr>
          <w:rFonts w:hint="cs"/>
          <w:spacing w:val="0"/>
          <w:kern w:val="0"/>
          <w:sz w:val="20"/>
          <w:rtl/>
          <w:lang w:eastAsia="en-US"/>
        </w:rPr>
        <w:t>. وأوصت اللجنة الدولة الطرف بأن "تدين علناً ممارسة التعذيب وأن تتخذ تدابير فعلية لحظر هذه الأفعال على جميع الأراضي الخاضعة لولايتها القضائية" و"أن تتخذ تدابير، بحسب الحاجة، لحماية جميع أفراد المجتمع من أفعال التعذيب"</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38"/>
      </w:r>
      <w:r w:rsidRPr="001D3F00">
        <w:rPr>
          <w:rFonts w:hint="cs"/>
          <w:spacing w:val="0"/>
          <w:kern w:val="0"/>
          <w:sz w:val="20"/>
          <w:vertAlign w:val="superscript"/>
          <w:rtl/>
          <w:lang w:eastAsia="en-US"/>
        </w:rPr>
        <w:t>)</w:t>
      </w:r>
      <w:r w:rsidRPr="001D3F00">
        <w:rPr>
          <w:rFonts w:hint="cs"/>
          <w:spacing w:val="0"/>
          <w:kern w:val="0"/>
          <w:sz w:val="20"/>
          <w:rtl/>
          <w:lang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5-</w:t>
      </w:r>
      <w:r w:rsidRPr="001D3F00">
        <w:rPr>
          <w:rFonts w:hint="cs"/>
          <w:spacing w:val="0"/>
          <w:kern w:val="0"/>
          <w:sz w:val="20"/>
          <w:rtl/>
          <w:lang w:eastAsia="en-US"/>
        </w:rPr>
        <w:tab/>
        <w:t xml:space="preserve">كما شعرت اللجنة بالقلق إزاء "المناخ السائد المتسم بالإفلات من العقاب بالنسبة لمرتكبي أفعال التعذيب وسوء المعاملة، وإزاء تواتر الادعاءات المتعلقة بحالات الاعتقال دون أوامر توقيف، والإعدام خارج نطاق القضاء، والوفيات أثناء الاحتجاز وحالات الاختفاء"، فضلاً عما يساورها من قلق إزاء "عدم وجود هيئة مستقلة قادرة على التحقيق في أفعال التعذيب وسوء المعاملة التي يرتكبها موظفون معنيون بإنفاذ القوانين"، ولذلك أوصت اللجنة الدولة الطرف بأن "توجه رسالة واضحة لا لبس فيها تدين أفعال التعذيب وسوء المعاملة التي يتعرض لها أي شخص أو مجموعة في الأراضي الخاضعة لولايتها القضائية"، وأن "تتخذ تدابير تشريعية وإدارية وقضائية فعالة للتحقيق السريع في كل مزاعم الاحتجاز بدون أمر قضائي، وفي حالات الإعدام خارج نطاق القضاء والوفيات أثناء الاحتجاز وحالات الاختفاء، وملاحقة الجناة ومعاقبتهم"، بالإضافة إلى "إنشاء هيئة مستقلة للتحقيق في أفعال التعذيب وسوء المعاملة التي يرتكبها موظفون معنيون بإنفاذ القانون".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6-</w:t>
      </w:r>
      <w:r w:rsidRPr="001D3F00">
        <w:rPr>
          <w:rFonts w:hint="cs"/>
          <w:spacing w:val="0"/>
          <w:kern w:val="0"/>
          <w:sz w:val="20"/>
          <w:rtl/>
          <w:lang w:eastAsia="en-US"/>
        </w:rPr>
        <w:tab/>
        <w:t>وشعرت اللجنة بالقلق أيضاً إزاء "</w:t>
      </w:r>
      <w:r w:rsidRPr="001D3F00">
        <w:rPr>
          <w:spacing w:val="0"/>
          <w:kern w:val="0"/>
          <w:sz w:val="20"/>
          <w:rtl/>
          <w:lang w:eastAsia="en-US"/>
        </w:rPr>
        <w:t>تعريف التعذيب الوارد في المادة 2(أ) من قانون التعويض المتعلق بالتعذيب لعام</w:t>
      </w:r>
      <w:r w:rsidRPr="001D3F00">
        <w:rPr>
          <w:rFonts w:hint="cs"/>
          <w:spacing w:val="0"/>
          <w:kern w:val="0"/>
          <w:sz w:val="20"/>
          <w:rtl/>
          <w:lang w:eastAsia="en-US"/>
        </w:rPr>
        <w:t xml:space="preserve"> </w:t>
      </w:r>
      <w:r w:rsidRPr="001D3F00">
        <w:rPr>
          <w:spacing w:val="0"/>
          <w:kern w:val="0"/>
          <w:sz w:val="20"/>
          <w:rtl/>
          <w:lang w:eastAsia="en-US"/>
        </w:rPr>
        <w:t>1996، وعدم نص القانون المحلي الحالي على أن التعذيب هو جريمة جنائية، و</w:t>
      </w:r>
      <w:r w:rsidRPr="001D3F00">
        <w:rPr>
          <w:rFonts w:hint="cs"/>
          <w:spacing w:val="0"/>
          <w:kern w:val="0"/>
          <w:sz w:val="20"/>
          <w:rtl/>
          <w:lang w:eastAsia="en-US"/>
        </w:rPr>
        <w:t xml:space="preserve">أن </w:t>
      </w:r>
      <w:r w:rsidRPr="001D3F00">
        <w:rPr>
          <w:spacing w:val="0"/>
          <w:kern w:val="0"/>
          <w:sz w:val="20"/>
          <w:rtl/>
          <w:lang w:eastAsia="en-US"/>
        </w:rPr>
        <w:t>أحكام مشروع القانون الجنائي</w:t>
      </w:r>
      <w:r w:rsidRPr="001D3F00">
        <w:rPr>
          <w:rFonts w:hint="cs"/>
          <w:spacing w:val="0"/>
          <w:kern w:val="0"/>
          <w:sz w:val="20"/>
          <w:rtl/>
          <w:lang w:eastAsia="en-US"/>
        </w:rPr>
        <w:t xml:space="preserve"> لا </w:t>
      </w:r>
      <w:r w:rsidRPr="001D3F00">
        <w:rPr>
          <w:spacing w:val="0"/>
          <w:kern w:val="0"/>
          <w:sz w:val="20"/>
          <w:rtl/>
          <w:lang w:eastAsia="en-US"/>
        </w:rPr>
        <w:t>تتم</w:t>
      </w:r>
      <w:r w:rsidRPr="001D3F00">
        <w:rPr>
          <w:rFonts w:hint="cs"/>
          <w:spacing w:val="0"/>
          <w:kern w:val="0"/>
          <w:sz w:val="20"/>
          <w:rtl/>
          <w:lang w:eastAsia="en-US"/>
        </w:rPr>
        <w:t>ا</w:t>
      </w:r>
      <w:r w:rsidRPr="001D3F00">
        <w:rPr>
          <w:spacing w:val="0"/>
          <w:kern w:val="0"/>
          <w:sz w:val="20"/>
          <w:rtl/>
          <w:lang w:eastAsia="en-US"/>
        </w:rPr>
        <w:t>شى مع تعريف المادة 1 من اتفاقية مناهضة التعذيب</w:t>
      </w:r>
      <w:r w:rsidRPr="001D3F00">
        <w:rPr>
          <w:rFonts w:hint="cs"/>
          <w:spacing w:val="0"/>
          <w:kern w:val="0"/>
          <w:sz w:val="20"/>
          <w:rtl/>
          <w:lang w:eastAsia="en-US"/>
        </w:rPr>
        <w:t>". وأوصت اللجنة بأنه ينبغي ل</w:t>
      </w:r>
      <w:r w:rsidRPr="001D3F00">
        <w:rPr>
          <w:spacing w:val="0"/>
          <w:kern w:val="0"/>
          <w:sz w:val="20"/>
          <w:rtl/>
          <w:lang w:eastAsia="en-US"/>
        </w:rPr>
        <w:t xml:space="preserve">لدولة الطرف </w:t>
      </w:r>
      <w:r w:rsidRPr="001D3F00">
        <w:rPr>
          <w:rFonts w:hint="cs"/>
          <w:spacing w:val="0"/>
          <w:kern w:val="0"/>
          <w:sz w:val="20"/>
          <w:rtl/>
          <w:lang w:eastAsia="en-US"/>
        </w:rPr>
        <w:t>"</w:t>
      </w:r>
      <w:r w:rsidRPr="001D3F00">
        <w:rPr>
          <w:spacing w:val="0"/>
          <w:kern w:val="0"/>
          <w:sz w:val="20"/>
          <w:rtl/>
          <w:lang w:eastAsia="en-US"/>
        </w:rPr>
        <w:t xml:space="preserve">أن تعتمد تشريعات محلية تكفل اعتبار أفعال التعذيب، بما في ذلك محاولة ممارسة التعذيب والتواطؤ في ممارسته والمشاركة فيه، جرائم جنائية يُعاقب عليها بشكل يتناسب مع خطورة الجريمة المرتكبة، وأن تنظر في اتخاذ إجراءات لتعديل قانون التعويض المتعلق بالتعذيب لعام 1996 وجعله </w:t>
      </w:r>
      <w:r w:rsidRPr="001D3F00">
        <w:rPr>
          <w:rFonts w:hint="cs"/>
          <w:spacing w:val="0"/>
          <w:kern w:val="0"/>
          <w:sz w:val="20"/>
          <w:rtl/>
          <w:lang w:eastAsia="en-US"/>
        </w:rPr>
        <w:t>متوافقاً</w:t>
      </w:r>
      <w:r w:rsidRPr="001D3F00">
        <w:rPr>
          <w:spacing w:val="0"/>
          <w:kern w:val="0"/>
          <w:sz w:val="20"/>
          <w:rtl/>
          <w:lang w:eastAsia="en-US"/>
        </w:rPr>
        <w:t xml:space="preserve"> مع جميع عناصر تعريف التعذيب المنصوص عليها في الاتفاقية. ويتعين على الدولة الطرف أن تقدم معلومات إلى اللجنة عما صدر من </w:t>
      </w:r>
      <w:r w:rsidRPr="001D3F00">
        <w:rPr>
          <w:rFonts w:hint="cs"/>
          <w:spacing w:val="0"/>
          <w:kern w:val="0"/>
          <w:sz w:val="20"/>
          <w:rtl/>
          <w:lang w:eastAsia="en-US"/>
        </w:rPr>
        <w:t xml:space="preserve">اجتهادات قضائية تحيل إلى </w:t>
      </w:r>
      <w:r w:rsidRPr="001D3F00">
        <w:rPr>
          <w:spacing w:val="0"/>
          <w:kern w:val="0"/>
          <w:sz w:val="20"/>
          <w:rtl/>
          <w:lang w:eastAsia="en-US"/>
        </w:rPr>
        <w:t xml:space="preserve">تعريف للتعذيب </w:t>
      </w:r>
      <w:r w:rsidRPr="001D3F00">
        <w:rPr>
          <w:rFonts w:hint="cs"/>
          <w:spacing w:val="0"/>
          <w:kern w:val="0"/>
          <w:sz w:val="20"/>
          <w:rtl/>
          <w:lang w:eastAsia="en-US"/>
        </w:rPr>
        <w:t xml:space="preserve">يتفق مع </w:t>
      </w:r>
      <w:r w:rsidRPr="001D3F00">
        <w:rPr>
          <w:spacing w:val="0"/>
          <w:kern w:val="0"/>
          <w:sz w:val="20"/>
          <w:rtl/>
          <w:lang w:eastAsia="en-US"/>
        </w:rPr>
        <w:t>ما هو منصوص عليه في المادة 1 من الاتفاقية</w:t>
      </w:r>
      <w:r w:rsidRPr="001D3F00">
        <w:rPr>
          <w:rFonts w:hint="cs"/>
          <w:spacing w:val="0"/>
          <w:kern w:val="0"/>
          <w:sz w:val="20"/>
          <w:rtl/>
          <w:lang w:eastAsia="en-US"/>
        </w:rPr>
        <w:t>"</w:t>
      </w:r>
      <w:r w:rsidRPr="001D3F00">
        <w:rPr>
          <w:spacing w:val="0"/>
          <w:kern w:val="0"/>
          <w:sz w:val="20"/>
          <w:rtl/>
          <w:lang w:eastAsia="en-US"/>
        </w:rPr>
        <w:t>.</w:t>
      </w:r>
      <w:r w:rsidRPr="001D3F00">
        <w:rPr>
          <w:rFonts w:hint="cs"/>
          <w:spacing w:val="0"/>
          <w:kern w:val="0"/>
          <w:sz w:val="20"/>
          <w:rtl/>
          <w:lang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2"/>
          <w:kern w:val="0"/>
          <w:sz w:val="20"/>
          <w:lang w:eastAsia="en-US"/>
        </w:rPr>
      </w:pPr>
      <w:r w:rsidRPr="001D3F00">
        <w:rPr>
          <w:rFonts w:hint="cs"/>
          <w:spacing w:val="-2"/>
          <w:kern w:val="0"/>
          <w:sz w:val="20"/>
          <w:rtl/>
          <w:lang w:eastAsia="en-US"/>
        </w:rPr>
        <w:t>7-</w:t>
      </w:r>
      <w:r w:rsidRPr="001D3F00">
        <w:rPr>
          <w:rFonts w:hint="cs"/>
          <w:spacing w:val="-2"/>
          <w:kern w:val="0"/>
          <w:sz w:val="20"/>
          <w:rtl/>
          <w:lang w:eastAsia="en-US"/>
        </w:rPr>
        <w:tab/>
        <w:t>وقام المقرر الخاص المعني بمسألة التعذيب وغيره من ضروب المعاملة أو العقوبة القاسية أو اللاإنسانية أو المهينة (يُشار إليه لاحقاً ﺑ "المقرر الخاص المعني بمسألة التعذيب") بزيارة نيبال في أيلول/سبتمبر 2005، وخلص عقب الزيارة إلى استنتاجات منها أن "التعذيب يُمارس بصورة منهجية من قِبل رجال الشرطة والشرطة المسلحة والجيش الملكي النيبالي. وعادة ما</w:t>
      </w:r>
      <w:r w:rsidRPr="001D3F00">
        <w:rPr>
          <w:rFonts w:hint="eastAsia"/>
          <w:spacing w:val="-2"/>
          <w:kern w:val="0"/>
          <w:sz w:val="20"/>
          <w:rtl/>
          <w:lang w:eastAsia="en-US"/>
        </w:rPr>
        <w:t> </w:t>
      </w:r>
      <w:r w:rsidRPr="001D3F00">
        <w:rPr>
          <w:rFonts w:hint="cs"/>
          <w:spacing w:val="-2"/>
          <w:kern w:val="0"/>
          <w:sz w:val="20"/>
          <w:rtl/>
          <w:lang w:eastAsia="en-US"/>
        </w:rPr>
        <w:t>يُصرف النظر عن الضمانات القانونية، وهي بلا قيمة في واقع الأمر. كما</w:t>
      </w:r>
      <w:r w:rsidRPr="001D3F00">
        <w:rPr>
          <w:rFonts w:hint="eastAsia"/>
          <w:spacing w:val="-2"/>
          <w:kern w:val="0"/>
          <w:sz w:val="20"/>
          <w:rtl/>
          <w:lang w:eastAsia="en-US"/>
        </w:rPr>
        <w:t> </w:t>
      </w:r>
      <w:r w:rsidRPr="001D3F00">
        <w:rPr>
          <w:rFonts w:hint="cs"/>
          <w:spacing w:val="-2"/>
          <w:kern w:val="0"/>
          <w:sz w:val="20"/>
          <w:rtl/>
          <w:lang w:eastAsia="en-US"/>
        </w:rPr>
        <w:t>أن القاعدة هي الإفلات من العقاب بالنسبة لمرتكبي جرائم التعذيب، وبالتالي يُترك ضحايا التعذيب وأسرهم دون وسيلة انتصاف ملائمة ولا يحصلون على التعويضات وإعادة التأهيل"</w:t>
      </w:r>
      <w:r w:rsidRPr="001D3F00">
        <w:rPr>
          <w:rFonts w:hint="cs"/>
          <w:spacing w:val="-2"/>
          <w:kern w:val="0"/>
          <w:sz w:val="20"/>
          <w:vertAlign w:val="superscript"/>
          <w:rtl/>
          <w:lang w:eastAsia="en-US"/>
        </w:rPr>
        <w:t>(</w:t>
      </w:r>
      <w:r w:rsidRPr="001D3F00">
        <w:rPr>
          <w:b/>
          <w:spacing w:val="-2"/>
          <w:kern w:val="0"/>
          <w:szCs w:val="28"/>
          <w:vertAlign w:val="superscript"/>
          <w:rtl/>
          <w:lang w:eastAsia="en-US"/>
        </w:rPr>
        <w:footnoteReference w:id="39"/>
      </w:r>
      <w:r w:rsidRPr="001D3F00">
        <w:rPr>
          <w:rFonts w:hint="cs"/>
          <w:spacing w:val="-2"/>
          <w:kern w:val="0"/>
          <w:sz w:val="20"/>
          <w:vertAlign w:val="superscript"/>
          <w:rtl/>
          <w:lang w:eastAsia="en-US"/>
        </w:rPr>
        <w:t>)</w:t>
      </w:r>
      <w:r w:rsidRPr="001D3F00">
        <w:rPr>
          <w:rFonts w:hint="cs"/>
          <w:spacing w:val="-2"/>
          <w:kern w:val="0"/>
          <w:sz w:val="20"/>
          <w:rtl/>
          <w:lang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8-</w:t>
      </w:r>
      <w:r w:rsidRPr="001D3F00">
        <w:rPr>
          <w:rFonts w:hint="cs"/>
          <w:spacing w:val="0"/>
          <w:kern w:val="0"/>
          <w:sz w:val="20"/>
          <w:rtl/>
          <w:lang w:eastAsia="en-US"/>
        </w:rPr>
        <w:tab/>
        <w:t>وعلاوة على ذلك، نظرت اللجنة خلال جلسات خاصة عُقدت في إطار دورتها السابعة والثلاثين في تشرين الثاني/نوفمبر 2006، في معلومات تتعلق بالممارسة المنهجية للتعذيب في نيبال قدمتها منظمات غير حكومية. واتضح للجنة أن هذه المعلومات التي قُدمت إليها بموجب المادة 20 من الاتفاقية هي معلومات موثوقة وتتضمن مؤشرات قائمة على أسس سليمة تفيد عن ممارسة التعذيب بصورة منهجية في نيبال. وعملاً بالفقرة 1 من المادة</w:t>
      </w:r>
      <w:r w:rsidRPr="001D3F00">
        <w:rPr>
          <w:rFonts w:hint="eastAsia"/>
          <w:spacing w:val="0"/>
          <w:kern w:val="0"/>
          <w:sz w:val="20"/>
          <w:rtl/>
          <w:lang w:eastAsia="en-US"/>
        </w:rPr>
        <w:t> </w:t>
      </w:r>
      <w:r w:rsidRPr="001D3F00">
        <w:rPr>
          <w:rFonts w:hint="cs"/>
          <w:spacing w:val="0"/>
          <w:kern w:val="0"/>
          <w:sz w:val="20"/>
          <w:rtl/>
          <w:lang w:eastAsia="en-US"/>
        </w:rPr>
        <w:t>20 من الاتفاقية والمادة 82 من النظام الداخلي للجنة</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40"/>
      </w:r>
      <w:r w:rsidRPr="001D3F00">
        <w:rPr>
          <w:rFonts w:hint="cs"/>
          <w:spacing w:val="0"/>
          <w:kern w:val="0"/>
          <w:sz w:val="20"/>
          <w:vertAlign w:val="superscript"/>
          <w:rtl/>
          <w:lang w:eastAsia="en-US"/>
        </w:rPr>
        <w:t>)</w:t>
      </w:r>
      <w:r w:rsidRPr="001D3F00">
        <w:rPr>
          <w:rFonts w:hint="cs"/>
          <w:spacing w:val="0"/>
          <w:kern w:val="0"/>
          <w:sz w:val="20"/>
          <w:rtl/>
          <w:lang w:eastAsia="en-US"/>
        </w:rPr>
        <w:t xml:space="preserve">، قررت اللجنة دعوة الدولة الطرف إلى التعاون في بحث هذه المعلومات، وقد أُرسلت نسخة منها إلى الدولة الطرف في 5 نيسان/أبريل 2007، وطلبت منها تقديم تعليقاتها بهذا الشأن إلى اللجنة بحلول 30 نيسان/أبريل 2007.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9-</w:t>
      </w:r>
      <w:r w:rsidRPr="001D3F00">
        <w:rPr>
          <w:rFonts w:hint="cs"/>
          <w:spacing w:val="0"/>
          <w:kern w:val="0"/>
          <w:sz w:val="20"/>
          <w:rtl/>
          <w:lang w:eastAsia="en-US"/>
        </w:rPr>
        <w:tab/>
        <w:t>وفي 19 نيسان/أبريل 2007، أفادت البعثة الدائمة لنيبال باستلام طلب اللجنة المتعلق</w:t>
      </w:r>
      <w:r w:rsidRPr="001D3F00">
        <w:rPr>
          <w:rFonts w:hint="eastAsia"/>
          <w:spacing w:val="0"/>
          <w:kern w:val="0"/>
          <w:sz w:val="20"/>
          <w:rtl/>
          <w:lang w:eastAsia="en-US"/>
        </w:rPr>
        <w:t> </w:t>
      </w:r>
      <w:r w:rsidRPr="001D3F00">
        <w:rPr>
          <w:rFonts w:hint="cs"/>
          <w:spacing w:val="0"/>
          <w:kern w:val="0"/>
          <w:sz w:val="20"/>
          <w:rtl/>
          <w:lang w:eastAsia="en-US"/>
        </w:rPr>
        <w:t>بالحصول على تعليقات على المعلومات التي قُدمت إليها. بيد أن الدولة الطرف لم</w:t>
      </w:r>
      <w:r w:rsidRPr="001D3F00">
        <w:rPr>
          <w:rFonts w:hint="eastAsia"/>
          <w:spacing w:val="0"/>
          <w:kern w:val="0"/>
          <w:sz w:val="20"/>
          <w:rtl/>
          <w:lang w:eastAsia="en-US"/>
        </w:rPr>
        <w:t> </w:t>
      </w:r>
      <w:r w:rsidRPr="001D3F00">
        <w:rPr>
          <w:rFonts w:hint="cs"/>
          <w:spacing w:val="0"/>
          <w:kern w:val="0"/>
          <w:sz w:val="20"/>
          <w:rtl/>
          <w:lang w:eastAsia="en-US"/>
        </w:rPr>
        <w:t>تقدم هذه المعلومات بحلول 30 نيسان/أبريل 2007 وفقاً لطلب اللجنة. وبعثت اللجنة رسالتين تذكيريتين إلى الدولة الطرف في 16 أيلول/سبتمبر 2008 و15 كانون الثاني/ يناير</w:t>
      </w:r>
      <w:r w:rsidRPr="001D3F00">
        <w:rPr>
          <w:rFonts w:hint="eastAsia"/>
          <w:spacing w:val="0"/>
          <w:kern w:val="0"/>
          <w:sz w:val="20"/>
          <w:rtl/>
          <w:lang w:eastAsia="en-US"/>
        </w:rPr>
        <w:t> </w:t>
      </w:r>
      <w:r w:rsidRPr="001D3F00">
        <w:rPr>
          <w:rFonts w:hint="cs"/>
          <w:spacing w:val="0"/>
          <w:kern w:val="0"/>
          <w:sz w:val="20"/>
          <w:rtl/>
          <w:lang w:eastAsia="en-US"/>
        </w:rPr>
        <w:t>2009. وفي</w:t>
      </w:r>
      <w:r w:rsidRPr="001D3F00">
        <w:rPr>
          <w:rFonts w:hint="eastAsia"/>
          <w:spacing w:val="0"/>
          <w:kern w:val="0"/>
          <w:sz w:val="20"/>
          <w:rtl/>
          <w:lang w:eastAsia="en-US"/>
        </w:rPr>
        <w:t> </w:t>
      </w:r>
      <w:r w:rsidRPr="001D3F00">
        <w:rPr>
          <w:rFonts w:hint="cs"/>
          <w:spacing w:val="0"/>
          <w:kern w:val="0"/>
          <w:sz w:val="20"/>
          <w:rtl/>
          <w:lang w:eastAsia="en-US"/>
        </w:rPr>
        <w:t xml:space="preserve">19 تشرين الثاني/نوفمبر 2008، اجتمع رئيس اللجنة بالممثل الدائم لنيبال في جنيف لمناقشة هذه المسألة.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1D3F00">
        <w:rPr>
          <w:rFonts w:hint="cs"/>
          <w:spacing w:val="0"/>
          <w:kern w:val="0"/>
          <w:sz w:val="20"/>
          <w:rtl/>
          <w:lang w:eastAsia="en-US"/>
        </w:rPr>
        <w:t>10-</w:t>
      </w:r>
      <w:r w:rsidRPr="001D3F00">
        <w:rPr>
          <w:rFonts w:hint="cs"/>
          <w:spacing w:val="0"/>
          <w:kern w:val="0"/>
          <w:sz w:val="20"/>
          <w:rtl/>
          <w:lang w:eastAsia="en-US"/>
        </w:rPr>
        <w:tab/>
        <w:t xml:space="preserve">وفي 3 نيسان/أبريل 2009، بعثت نيبال ملاحظاتها إلى اللجنة وطلبت منها وقف الإجراء السري. وذكرت الدولة الطرف في ملاحظاتها أن التقارير التي استند إليها قرار اللجنة المتعلق بإجراء تحقيق سري هي تقارير متفرقة تصف الوضع خلال فترة النزاع وكان هدفها مساندة حملة موجهة ضد نيبال كان الغرض منها يتجاوز مسألة حماية وتعزيز حقوق الإنسان. ولفتت الدولة الطرف انتباه اللجنة إلى التحولات السريعة والدينامية التي حدثت في نيبال عقب انتهاء النزاع، والتزام الدولة الطرف القوي بالتصدي لانتهاكات حقوق الإنسان واعتماد التدابير التشريعية والحكومية اللازمة من أجل وضع حد للإفلات من العقاب. وقد بحثت اللجنة هذه المعلومات خلال اجتماعات خاصة عقدتها في إطار دورتيها الثانية والأربعين والثالثة والأربعين.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11-</w:t>
      </w:r>
      <w:r w:rsidRPr="001D3F00">
        <w:rPr>
          <w:rFonts w:hint="cs"/>
          <w:spacing w:val="0"/>
          <w:kern w:val="0"/>
          <w:sz w:val="20"/>
          <w:rtl/>
          <w:lang w:eastAsia="en-US"/>
        </w:rPr>
        <w:tab/>
        <w:t>وقررت اللجنة، بالنظر إلى كافة المعلومات المعروضة عليها، إجراء تحقيق سري عملاً بالفقرة 2 من المادة 20 من الاتفاقية وعيّنت فيليس غايير ولويس غاييغوس شيريبوغا للاضطلاع بهذه المهمة: في 30 تشرين الثاني/نوفمبر 2009، أحالت اللجنة هذا القرار إلى الدولة الطرف ودعتها، وفقاً للفقرة 3 من المادة 20، إلى التعاون مع اللجنة في إجراء التحقيق، فضلاً عن اقتراح تواريخ محددة (بين 1 و15 تموز/يوليه 2010) لزيارة الأعضاء الذين عينتهم اللجنة إلى نيبال. وفي 15 شباط/فبراير 2010، أحالت اللجنة إلى البعثة الدائمة المبادئ العامة الناظمة للزيارات بموجب المادة 20 من الاتفاقية. وفي مذكرة شفهية مؤرخة 9 آذار/مارس 2010، أبلغت نيبال اللجنة بأن "السلطات المعنية لا تستطيع في الوقت الراهن استقبال وفد الخبراء التابعين للجنة بغرض إجراء التحقيق، نظراً لعملية السلام الجارية في البلد، ولا سيما أن الحكومة ينصب تركيزها على إصدار الدستور الذي تتولى إعداده الجمعية التأسيسية المنتخب</w:t>
      </w:r>
      <w:r w:rsidRPr="001D3F00">
        <w:rPr>
          <w:rFonts w:hint="eastAsia"/>
          <w:spacing w:val="0"/>
          <w:kern w:val="0"/>
          <w:sz w:val="20"/>
          <w:rtl/>
          <w:lang w:eastAsia="en-US"/>
        </w:rPr>
        <w:t>ة</w:t>
      </w:r>
      <w:r w:rsidRPr="001D3F00">
        <w:rPr>
          <w:rFonts w:hint="cs"/>
          <w:spacing w:val="0"/>
          <w:kern w:val="0"/>
          <w:sz w:val="20"/>
          <w:rtl/>
          <w:lang w:eastAsia="en-US"/>
        </w:rPr>
        <w:t xml:space="preserve">، </w:t>
      </w:r>
      <w:r w:rsidRPr="001D3F00">
        <w:rPr>
          <w:rFonts w:hint="cs"/>
          <w:spacing w:val="-2"/>
          <w:kern w:val="0"/>
          <w:sz w:val="20"/>
          <w:rtl/>
          <w:lang w:eastAsia="en-US"/>
        </w:rPr>
        <w:t>وقد اقتربت المهلة المحددة لذلك"</w:t>
      </w:r>
      <w:r w:rsidRPr="001D3F00">
        <w:rPr>
          <w:rFonts w:hint="cs"/>
          <w:spacing w:val="-2"/>
          <w:kern w:val="0"/>
          <w:sz w:val="20"/>
          <w:vertAlign w:val="superscript"/>
          <w:rtl/>
          <w:lang w:eastAsia="en-US"/>
        </w:rPr>
        <w:t>(</w:t>
      </w:r>
      <w:r w:rsidRPr="001D3F00">
        <w:rPr>
          <w:b/>
          <w:spacing w:val="-2"/>
          <w:kern w:val="0"/>
          <w:szCs w:val="28"/>
          <w:vertAlign w:val="superscript"/>
          <w:rtl/>
          <w:lang w:eastAsia="en-US"/>
        </w:rPr>
        <w:footnoteReference w:id="41"/>
      </w:r>
      <w:r w:rsidRPr="001D3F00">
        <w:rPr>
          <w:rFonts w:hint="cs"/>
          <w:spacing w:val="-2"/>
          <w:kern w:val="0"/>
          <w:sz w:val="20"/>
          <w:vertAlign w:val="superscript"/>
          <w:rtl/>
          <w:lang w:eastAsia="en-US"/>
        </w:rPr>
        <w:t>)</w:t>
      </w:r>
      <w:r w:rsidRPr="001D3F00">
        <w:rPr>
          <w:rFonts w:hint="cs"/>
          <w:spacing w:val="-2"/>
          <w:kern w:val="0"/>
          <w:sz w:val="20"/>
          <w:rtl/>
          <w:lang w:eastAsia="en-US"/>
        </w:rPr>
        <w:t>. كما أكدت الحكومة للجنة "عزمها على العمل معها بصورة لصيقة وبروح من الحوار والتعاون الهادفين". وطلبت الدولة الطرف عقد اجتماع بين الممثل الدائم لنيبال في جنيف ورئيس اللجنة، وقد عُقد ذلك الاجتماع في 3 أيار/مايو 2010.</w:t>
      </w:r>
      <w:r w:rsidRPr="001D3F00">
        <w:rPr>
          <w:rFonts w:hint="cs"/>
          <w:spacing w:val="0"/>
          <w:kern w:val="0"/>
          <w:sz w:val="20"/>
          <w:rtl/>
          <w:lang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12-</w:t>
      </w:r>
      <w:r w:rsidRPr="001D3F00">
        <w:rPr>
          <w:rFonts w:hint="cs"/>
          <w:spacing w:val="0"/>
          <w:kern w:val="0"/>
          <w:sz w:val="20"/>
          <w:rtl/>
          <w:lang w:eastAsia="en-US"/>
        </w:rPr>
        <w:tab/>
      </w:r>
      <w:r w:rsidRPr="001D3F00">
        <w:rPr>
          <w:rFonts w:hint="cs"/>
          <w:spacing w:val="16"/>
          <w:kern w:val="0"/>
          <w:sz w:val="20"/>
          <w:rtl/>
          <w:lang w:eastAsia="en-US"/>
        </w:rPr>
        <w:t>وفي أيار/مايو 2010، قدمت منظمتان غير حكوميتين هما محفل الدفاع</w:t>
      </w:r>
      <w:r w:rsidRPr="001D3F00">
        <w:rPr>
          <w:rFonts w:hint="cs"/>
          <w:spacing w:val="0"/>
          <w:kern w:val="0"/>
          <w:sz w:val="20"/>
          <w:rtl/>
          <w:lang w:eastAsia="en-US"/>
        </w:rPr>
        <w:t xml:space="preserve"> -</w:t>
      </w:r>
      <w:r w:rsidRPr="001D3F00">
        <w:rPr>
          <w:rFonts w:hint="eastAsia"/>
          <w:spacing w:val="0"/>
          <w:kern w:val="0"/>
          <w:sz w:val="20"/>
          <w:rtl/>
          <w:lang w:eastAsia="en-US"/>
        </w:rPr>
        <w:t> </w:t>
      </w:r>
      <w:r w:rsidRPr="001D3F00">
        <w:rPr>
          <w:i/>
          <w:iCs/>
          <w:spacing w:val="0"/>
          <w:kern w:val="0"/>
          <w:sz w:val="20"/>
          <w:szCs w:val="20"/>
          <w:lang w:eastAsia="en-US"/>
        </w:rPr>
        <w:t>Advocacy Forum</w:t>
      </w:r>
      <w:r w:rsidRPr="001D3F00">
        <w:rPr>
          <w:rFonts w:hint="cs"/>
          <w:spacing w:val="0"/>
          <w:kern w:val="0"/>
          <w:sz w:val="20"/>
          <w:rtl/>
          <w:lang w:eastAsia="en-US"/>
        </w:rPr>
        <w:t xml:space="preserve"> وجمعية المساعدة على الجبر - </w:t>
      </w:r>
      <w:r w:rsidRPr="001D3F00">
        <w:rPr>
          <w:i/>
          <w:iCs/>
          <w:spacing w:val="0"/>
          <w:kern w:val="0"/>
          <w:sz w:val="20"/>
          <w:szCs w:val="20"/>
          <w:lang w:val="fr-CH" w:eastAsia="en-US"/>
        </w:rPr>
        <w:t>REDRESS</w:t>
      </w:r>
      <w:r w:rsidRPr="001D3F00">
        <w:rPr>
          <w:rFonts w:hint="cs"/>
          <w:spacing w:val="0"/>
          <w:kern w:val="0"/>
          <w:sz w:val="20"/>
          <w:rtl/>
          <w:lang w:eastAsia="en-US"/>
        </w:rPr>
        <w:t xml:space="preserve"> المزيد من المعلومات</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42"/>
      </w:r>
      <w:r w:rsidRPr="001D3F00">
        <w:rPr>
          <w:rFonts w:hint="cs"/>
          <w:spacing w:val="0"/>
          <w:kern w:val="0"/>
          <w:sz w:val="20"/>
          <w:vertAlign w:val="superscript"/>
          <w:rtl/>
          <w:lang w:eastAsia="en-US"/>
        </w:rPr>
        <w:t>)</w:t>
      </w:r>
      <w:r w:rsidRPr="001D3F00">
        <w:rPr>
          <w:rFonts w:hint="cs"/>
          <w:spacing w:val="0"/>
          <w:kern w:val="0"/>
          <w:sz w:val="20"/>
          <w:rtl/>
          <w:lang w:eastAsia="en-US"/>
        </w:rPr>
        <w:t xml:space="preserve"> إلى اللجنة بشأن مزاعم تتعلق بالممارسة المنهجية للتعذيب في نيبال، وطلبتا من اللجنة دراسة حالة حقوق الإنسان في نيبال بموجب المادة 20 من الاتفاقية، وقد بحثت اللجنة هذه المعلومات خلال اجتماعات خاصة عقدتها في إطار دورتها الرابعة والأربعين. وفي تلك الدورة، قررت اللجنة أيضاً مواصلة التماس تعاون الدولة الطرف ومواصلة الحوار معها لكي توافق على الزيارة المطلوبة. وفي 29 حزيران/يونيه 2010، اجتمع رئيس اللجنة مرة ثانية مع نائب الممثل الدائم لنيبال لمناقشة هذه المسألة.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13-</w:t>
      </w:r>
      <w:r w:rsidRPr="001D3F00">
        <w:rPr>
          <w:rFonts w:hint="cs"/>
          <w:spacing w:val="0"/>
          <w:kern w:val="0"/>
          <w:sz w:val="20"/>
          <w:rtl/>
          <w:lang w:eastAsia="en-US"/>
        </w:rPr>
        <w:tab/>
        <w:t xml:space="preserve">وخلال الدورة الرابعة والأربعين للجنة، في تشرين الثاني/نوفمبر 2010، قررت اللجنة، بالنظر إلى عدم نجاح الجهود المستمرة للحصول على موافقة الدولة الطرف على الزيارة، إجراء التحقيق السري دون زيارة البلد وقيام الأعضاء الذين عينتهم اللجنة بإعداد تقرير عن نيبال بموجب المادة 20 من الاتفاقية وتقديمه إلى اللجنة في دورتها السادسة والأربعين. وفي 28 كانون الثاني/يناير 2011، أطلعت اللجنة الدولة الطرف على هذا القرار وأكدت أنه يجوز لنيبال أن تقدم إلى اللجنة، في أي مرحلة من مراحل الإجراءات، عملاً بالفقرة 5 من الماد 20 من الاتفاقية، أي معلومات ترى أنها ذات صلة بالموضوع، من أجل التعاون مع اللجنة في إجراء التحقيق.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14-</w:t>
      </w:r>
      <w:r w:rsidRPr="001D3F00">
        <w:rPr>
          <w:rFonts w:hint="cs"/>
          <w:spacing w:val="0"/>
          <w:kern w:val="0"/>
          <w:sz w:val="20"/>
          <w:rtl/>
          <w:lang w:eastAsia="en-US"/>
        </w:rPr>
        <w:tab/>
        <w:t xml:space="preserve">وتشير اللجنة إلى أنه، بالرغم من الجهود العديدة التي بذلتها لحث نيبال على التعاون وإبداء تعليقات في سياق التحقيق بموجب المادة 20، لم تقدم نيبال معلومات إلا في مناسبة واحدة، في نيسان/أبريل 2009، ولم تستفد من الفرصة التي أُتيحت لها لتوضيح الوضع عن طريق الموافقة على زيارة أعضاء اللجنة المكلفين بإجراء التحقيق الذي كان سيمكن اللجنة من تشكيل رأيها بشأن حالة حقوق الإنسان في نيبال استناداً إلى مصادر معلومات مباشرة. </w:t>
      </w:r>
    </w:p>
    <w:p w:rsidR="001D3F00" w:rsidRPr="007F4611" w:rsidRDefault="001D3F00" w:rsidP="007F4611">
      <w:pPr>
        <w:pStyle w:val="HChGA"/>
        <w:jc w:val="lowKashida"/>
        <w:rPr>
          <w:rFonts w:ascii="Times New Roman Bold" w:hAnsi="Times New Roman Bold" w:hint="cs"/>
          <w:spacing w:val="0"/>
          <w:kern w:val="0"/>
          <w:rtl/>
          <w:lang w:eastAsia="en-US"/>
        </w:rPr>
      </w:pPr>
      <w:r w:rsidRPr="007F4611">
        <w:rPr>
          <w:rFonts w:ascii="Times New Roman Bold" w:hAnsi="Times New Roman Bold" w:hint="cs"/>
          <w:spacing w:val="0"/>
          <w:kern w:val="0"/>
          <w:rtl/>
          <w:lang w:eastAsia="en-US"/>
        </w:rPr>
        <w:tab/>
        <w:t>ثالثاً-</w:t>
      </w:r>
      <w:r w:rsidRPr="007F4611">
        <w:rPr>
          <w:rFonts w:ascii="Times New Roman Bold" w:hAnsi="Times New Roman Bold" w:hint="cs"/>
          <w:spacing w:val="0"/>
          <w:kern w:val="0"/>
          <w:rtl/>
          <w:lang w:eastAsia="en-US"/>
        </w:rPr>
        <w:tab/>
        <w:t>معلومات أساسية</w:t>
      </w:r>
    </w:p>
    <w:p w:rsidR="001D3F00" w:rsidRPr="007F4611" w:rsidRDefault="001D3F00" w:rsidP="007F4611">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7F4611">
        <w:rPr>
          <w:rFonts w:hint="cs"/>
          <w:spacing w:val="0"/>
          <w:kern w:val="0"/>
          <w:sz w:val="20"/>
          <w:rtl/>
          <w:lang w:eastAsia="en-US"/>
        </w:rPr>
        <w:t>15-</w:t>
      </w:r>
      <w:r w:rsidRPr="007F4611">
        <w:rPr>
          <w:rFonts w:hint="cs"/>
          <w:spacing w:val="0"/>
          <w:kern w:val="0"/>
          <w:sz w:val="20"/>
          <w:rtl/>
          <w:lang w:eastAsia="en-US"/>
        </w:rPr>
        <w:tab/>
      </w:r>
      <w:r w:rsidRPr="007F4611">
        <w:rPr>
          <w:spacing w:val="0"/>
          <w:kern w:val="0"/>
          <w:sz w:val="20"/>
          <w:rtl/>
          <w:lang w:eastAsia="en-US"/>
        </w:rPr>
        <w:t>في عام 2006</w:t>
      </w:r>
      <w:r w:rsidRPr="007F4611">
        <w:rPr>
          <w:rFonts w:hint="cs"/>
          <w:spacing w:val="0"/>
          <w:kern w:val="0"/>
          <w:sz w:val="20"/>
          <w:rtl/>
          <w:lang w:eastAsia="en-US"/>
        </w:rPr>
        <w:t>، أُبرم اتفاق سلام شامل وضع حداً</w:t>
      </w:r>
      <w:r w:rsidRPr="007F4611">
        <w:rPr>
          <w:spacing w:val="0"/>
          <w:kern w:val="0"/>
          <w:sz w:val="20"/>
          <w:rtl/>
          <w:lang w:eastAsia="en-US"/>
        </w:rPr>
        <w:t xml:space="preserve"> </w:t>
      </w:r>
      <w:r w:rsidRPr="007F4611">
        <w:rPr>
          <w:rFonts w:hint="cs"/>
          <w:spacing w:val="0"/>
          <w:kern w:val="0"/>
          <w:sz w:val="20"/>
          <w:rtl/>
          <w:lang w:eastAsia="en-US"/>
        </w:rPr>
        <w:t>ل</w:t>
      </w:r>
      <w:r w:rsidRPr="007F4611">
        <w:rPr>
          <w:spacing w:val="0"/>
          <w:kern w:val="0"/>
          <w:sz w:val="20"/>
          <w:rtl/>
          <w:lang w:eastAsia="en-US"/>
        </w:rPr>
        <w:t xml:space="preserve">نزاع دام عقداً من الزمن </w:t>
      </w:r>
      <w:r w:rsidRPr="007F4611">
        <w:rPr>
          <w:rFonts w:hint="cs"/>
          <w:spacing w:val="0"/>
          <w:kern w:val="0"/>
          <w:sz w:val="20"/>
          <w:rtl/>
          <w:lang w:eastAsia="en-US"/>
        </w:rPr>
        <w:t>بين الثوار</w:t>
      </w:r>
      <w:r w:rsidR="007F4611" w:rsidRPr="007F4611">
        <w:rPr>
          <w:rFonts w:hint="eastAsia"/>
          <w:spacing w:val="0"/>
          <w:kern w:val="0"/>
          <w:sz w:val="20"/>
          <w:rtl/>
          <w:lang w:eastAsia="en-US"/>
        </w:rPr>
        <w:t> </w:t>
      </w:r>
      <w:r w:rsidRPr="007F4611">
        <w:rPr>
          <w:rFonts w:hint="cs"/>
          <w:spacing w:val="0"/>
          <w:kern w:val="0"/>
          <w:sz w:val="20"/>
          <w:rtl/>
          <w:lang w:eastAsia="en-US"/>
        </w:rPr>
        <w:t xml:space="preserve">الماويين والحكومة والنظام الملكي، </w:t>
      </w:r>
      <w:r w:rsidRPr="007F4611">
        <w:rPr>
          <w:spacing w:val="0"/>
          <w:kern w:val="0"/>
          <w:sz w:val="20"/>
          <w:rtl/>
          <w:lang w:eastAsia="en-US"/>
        </w:rPr>
        <w:t>و</w:t>
      </w:r>
      <w:r w:rsidRPr="007F4611">
        <w:rPr>
          <w:rFonts w:hint="cs"/>
          <w:spacing w:val="0"/>
          <w:kern w:val="0"/>
          <w:sz w:val="20"/>
          <w:rtl/>
          <w:lang w:eastAsia="en-US"/>
        </w:rPr>
        <w:t xml:space="preserve">الانتفاضة الشعبية المطالبة بالديمقراطية في نيبال، وقد </w:t>
      </w:r>
      <w:r w:rsidRPr="007F4611">
        <w:rPr>
          <w:spacing w:val="0"/>
          <w:kern w:val="0"/>
          <w:sz w:val="20"/>
          <w:rtl/>
          <w:lang w:eastAsia="en-US"/>
        </w:rPr>
        <w:t>أود</w:t>
      </w:r>
      <w:r w:rsidRPr="007F4611">
        <w:rPr>
          <w:rFonts w:hint="cs"/>
          <w:spacing w:val="0"/>
          <w:kern w:val="0"/>
          <w:sz w:val="20"/>
          <w:rtl/>
          <w:lang w:eastAsia="en-US"/>
        </w:rPr>
        <w:t xml:space="preserve">ى ذلك النزاع </w:t>
      </w:r>
      <w:r w:rsidRPr="007F4611">
        <w:rPr>
          <w:spacing w:val="0"/>
          <w:kern w:val="0"/>
          <w:sz w:val="20"/>
          <w:rtl/>
          <w:lang w:eastAsia="en-US"/>
        </w:rPr>
        <w:t>بحياة</w:t>
      </w:r>
      <w:r w:rsidRPr="007F4611">
        <w:rPr>
          <w:rFonts w:hint="cs"/>
          <w:spacing w:val="0"/>
          <w:kern w:val="0"/>
          <w:sz w:val="20"/>
          <w:rtl/>
          <w:lang w:eastAsia="en-US"/>
        </w:rPr>
        <w:t xml:space="preserve"> أكثر من</w:t>
      </w:r>
      <w:r w:rsidRPr="007F4611">
        <w:rPr>
          <w:spacing w:val="0"/>
          <w:kern w:val="0"/>
          <w:sz w:val="20"/>
          <w:rtl/>
          <w:lang w:eastAsia="en-US"/>
        </w:rPr>
        <w:t xml:space="preserve"> 000 13 شخص</w:t>
      </w:r>
      <w:r w:rsidRPr="007F4611">
        <w:rPr>
          <w:rFonts w:hint="cs"/>
          <w:spacing w:val="0"/>
          <w:kern w:val="0"/>
          <w:sz w:val="20"/>
          <w:rtl/>
          <w:lang w:eastAsia="en-US"/>
        </w:rPr>
        <w:t xml:space="preserve"> وشرّد الآلاف. واعتُمد دستور انتقالي في كانون الثاني/يناير 2007 وانتُخبت جمعية تأسيسية في 10 نيسان/أبريل 2008. وصوتت الجمعية في جلستها الأولى التي عُقدت في 28 أيار/مايو 2008 على إنهاء النظام الملكي في نيبال الذي دام</w:t>
      </w:r>
      <w:r w:rsidRPr="007F4611">
        <w:rPr>
          <w:rFonts w:hint="eastAsia"/>
          <w:spacing w:val="0"/>
          <w:kern w:val="0"/>
          <w:sz w:val="20"/>
          <w:rtl/>
          <w:lang w:eastAsia="en-US"/>
        </w:rPr>
        <w:t> </w:t>
      </w:r>
      <w:r w:rsidRPr="007F4611">
        <w:rPr>
          <w:rFonts w:hint="cs"/>
          <w:spacing w:val="0"/>
          <w:kern w:val="0"/>
          <w:sz w:val="20"/>
          <w:rtl/>
          <w:lang w:eastAsia="en-US"/>
        </w:rPr>
        <w:t>239 عاماً وإنشاء جمهورية. وفي آب/أغسطس 2008، شُكلت حكومة جديدة بزعامة</w:t>
      </w:r>
      <w:r w:rsidRPr="007F4611">
        <w:rPr>
          <w:rFonts w:hint="eastAsia"/>
          <w:spacing w:val="0"/>
          <w:kern w:val="0"/>
          <w:sz w:val="20"/>
          <w:rtl/>
          <w:lang w:eastAsia="en-US"/>
        </w:rPr>
        <w:t> </w:t>
      </w:r>
      <w:r w:rsidRPr="007F4611">
        <w:rPr>
          <w:rFonts w:hint="cs"/>
          <w:spacing w:val="0"/>
          <w:kern w:val="0"/>
          <w:sz w:val="20"/>
          <w:rtl/>
          <w:lang w:eastAsia="en-US"/>
        </w:rPr>
        <w:t>الحزب الشيوعي النيبالي (الماوي). وانهارت الحكومة الائتلافية في أيار/مايو 2009 واستقال رئيس الوزراء. وشُكلت حكومة جديدة في وقت لاحق من ذات الشهر ضمت 22 حزباً برئاسة الحزب الشيوعي. وفي 30 حزيران/يونيه 2010، استقال رئيس الوزراء ماداف</w:t>
      </w:r>
      <w:r w:rsidRPr="007F4611">
        <w:rPr>
          <w:rFonts w:hint="eastAsia"/>
          <w:spacing w:val="0"/>
          <w:kern w:val="0"/>
          <w:sz w:val="20"/>
          <w:rtl/>
          <w:lang w:eastAsia="en-US"/>
        </w:rPr>
        <w:t> </w:t>
      </w:r>
      <w:r w:rsidRPr="007F4611">
        <w:rPr>
          <w:rFonts w:hint="cs"/>
          <w:spacing w:val="0"/>
          <w:kern w:val="0"/>
          <w:sz w:val="20"/>
          <w:rtl/>
          <w:lang w:eastAsia="en-US"/>
        </w:rPr>
        <w:t>كومار نيبال، وترك الحكومة الائتلافية بدون زعامة. وفي 3 شباط/فبراير 2011، انتُخب جالناث كانال، رئيس الحزب الشيوعي، رئيساً جديدا للوزراء. وبالتالي، لم تكن في</w:t>
      </w:r>
      <w:r w:rsidR="007F4611" w:rsidRPr="007F4611">
        <w:rPr>
          <w:rFonts w:hint="eastAsia"/>
          <w:spacing w:val="0"/>
          <w:kern w:val="0"/>
          <w:sz w:val="20"/>
          <w:rtl/>
          <w:lang w:eastAsia="en-US"/>
        </w:rPr>
        <w:t> </w:t>
      </w:r>
      <w:r w:rsidRPr="007F4611">
        <w:rPr>
          <w:rFonts w:hint="cs"/>
          <w:spacing w:val="0"/>
          <w:kern w:val="0"/>
          <w:sz w:val="20"/>
          <w:rtl/>
          <w:lang w:eastAsia="en-US"/>
        </w:rPr>
        <w:t>نيبال حكومة فعلية خلال الفترة من حزيران/يونيه 2010 إلى شباط/</w:t>
      </w:r>
      <w:r w:rsidR="007F4611">
        <w:rPr>
          <w:rFonts w:hint="cs"/>
          <w:spacing w:val="0"/>
          <w:kern w:val="0"/>
          <w:sz w:val="20"/>
          <w:rtl/>
          <w:lang w:eastAsia="en-US"/>
        </w:rPr>
        <w:t xml:space="preserve">      </w:t>
      </w:r>
      <w:r w:rsidRPr="007F4611">
        <w:rPr>
          <w:rFonts w:hint="cs"/>
          <w:spacing w:val="0"/>
          <w:kern w:val="0"/>
          <w:sz w:val="20"/>
          <w:rtl/>
          <w:lang w:eastAsia="en-US"/>
        </w:rPr>
        <w:t xml:space="preserve">فبراير 2011.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16-</w:t>
      </w:r>
      <w:r w:rsidRPr="001D3F00">
        <w:rPr>
          <w:rFonts w:hint="cs"/>
          <w:spacing w:val="0"/>
          <w:kern w:val="0"/>
          <w:sz w:val="20"/>
          <w:rtl/>
          <w:lang w:eastAsia="en-US"/>
        </w:rPr>
        <w:tab/>
        <w:t>و</w:t>
      </w:r>
      <w:r w:rsidRPr="001D3F00">
        <w:rPr>
          <w:spacing w:val="0"/>
          <w:kern w:val="0"/>
          <w:sz w:val="20"/>
          <w:rtl/>
          <w:lang w:eastAsia="en-US"/>
        </w:rPr>
        <w:t xml:space="preserve">ركزت الجمعية </w:t>
      </w:r>
      <w:r w:rsidRPr="001D3F00">
        <w:rPr>
          <w:rFonts w:hint="cs"/>
          <w:spacing w:val="0"/>
          <w:kern w:val="0"/>
          <w:sz w:val="20"/>
          <w:rtl/>
          <w:lang w:eastAsia="en-US"/>
        </w:rPr>
        <w:t xml:space="preserve">التأسيسية </w:t>
      </w:r>
      <w:r w:rsidRPr="001D3F00">
        <w:rPr>
          <w:spacing w:val="0"/>
          <w:kern w:val="0"/>
          <w:sz w:val="20"/>
          <w:rtl/>
          <w:lang w:eastAsia="en-US"/>
        </w:rPr>
        <w:t xml:space="preserve">بصورة شبه حصرية، بوصفها </w:t>
      </w:r>
      <w:r w:rsidRPr="001D3F00">
        <w:rPr>
          <w:rFonts w:hint="cs"/>
          <w:spacing w:val="0"/>
          <w:kern w:val="0"/>
          <w:sz w:val="20"/>
          <w:rtl/>
          <w:lang w:eastAsia="en-US"/>
        </w:rPr>
        <w:t>ال</w:t>
      </w:r>
      <w:r w:rsidRPr="001D3F00">
        <w:rPr>
          <w:spacing w:val="0"/>
          <w:kern w:val="0"/>
          <w:sz w:val="20"/>
          <w:rtl/>
          <w:lang w:eastAsia="en-US"/>
        </w:rPr>
        <w:t xml:space="preserve">هيئة </w:t>
      </w:r>
      <w:r w:rsidRPr="001D3F00">
        <w:rPr>
          <w:rFonts w:hint="cs"/>
          <w:spacing w:val="0"/>
          <w:kern w:val="0"/>
          <w:sz w:val="20"/>
          <w:rtl/>
          <w:lang w:eastAsia="en-US"/>
        </w:rPr>
        <w:t>ال</w:t>
      </w:r>
      <w:r w:rsidRPr="001D3F00">
        <w:rPr>
          <w:spacing w:val="0"/>
          <w:kern w:val="0"/>
          <w:sz w:val="20"/>
          <w:rtl/>
          <w:lang w:eastAsia="en-US"/>
        </w:rPr>
        <w:t xml:space="preserve">تشريعية - </w:t>
      </w:r>
      <w:r w:rsidRPr="001D3F00">
        <w:rPr>
          <w:rFonts w:hint="cs"/>
          <w:spacing w:val="0"/>
          <w:kern w:val="0"/>
          <w:sz w:val="20"/>
          <w:rtl/>
          <w:lang w:eastAsia="en-US"/>
        </w:rPr>
        <w:t>ال</w:t>
      </w:r>
      <w:r w:rsidRPr="001D3F00">
        <w:rPr>
          <w:spacing w:val="0"/>
          <w:kern w:val="0"/>
          <w:sz w:val="20"/>
          <w:rtl/>
          <w:lang w:eastAsia="en-US"/>
        </w:rPr>
        <w:t>برلمان خلال الفترة الانتقالية، على عملية صياغة الدستو</w:t>
      </w:r>
      <w:r w:rsidRPr="001D3F00">
        <w:rPr>
          <w:rFonts w:hint="cs"/>
          <w:spacing w:val="0"/>
          <w:kern w:val="0"/>
          <w:sz w:val="20"/>
          <w:rtl/>
          <w:lang w:eastAsia="en-US"/>
        </w:rPr>
        <w:t>ر</w:t>
      </w:r>
      <w:r w:rsidRPr="001D3F00">
        <w:rPr>
          <w:spacing w:val="0"/>
          <w:kern w:val="0"/>
          <w:sz w:val="20"/>
          <w:rtl/>
          <w:lang w:eastAsia="en-US"/>
        </w:rPr>
        <w:t>. واعتُمد النظام الداخلي للجمعية في تشرين الثاني/نوفمبر</w:t>
      </w:r>
      <w:r w:rsidRPr="001D3F00">
        <w:rPr>
          <w:rFonts w:hint="cs"/>
          <w:spacing w:val="0"/>
          <w:kern w:val="0"/>
          <w:sz w:val="20"/>
          <w:rtl/>
          <w:lang w:eastAsia="en-US"/>
        </w:rPr>
        <w:t xml:space="preserve"> 2008</w:t>
      </w:r>
      <w:r w:rsidRPr="001D3F00">
        <w:rPr>
          <w:spacing w:val="0"/>
          <w:kern w:val="0"/>
          <w:sz w:val="20"/>
          <w:rtl/>
          <w:lang w:eastAsia="en-US"/>
        </w:rPr>
        <w:t xml:space="preserve"> بعد مداولات استغرقت ستة أشهر. وينص النظام الداخلي على تشكيل لجنة تأسيسية تتألف من 61 عضواً مسؤوليتها الرئيسية </w:t>
      </w:r>
      <w:r w:rsidRPr="001D3F00">
        <w:rPr>
          <w:rFonts w:hint="cs"/>
          <w:spacing w:val="0"/>
          <w:kern w:val="0"/>
          <w:sz w:val="20"/>
          <w:rtl/>
          <w:lang w:eastAsia="en-US"/>
        </w:rPr>
        <w:t>هي</w:t>
      </w:r>
      <w:r w:rsidRPr="001D3F00">
        <w:rPr>
          <w:spacing w:val="0"/>
          <w:kern w:val="0"/>
          <w:sz w:val="20"/>
          <w:rtl/>
          <w:lang w:eastAsia="en-US"/>
        </w:rPr>
        <w:t xml:space="preserve"> إعداد مشروع الدستور</w:t>
      </w:r>
      <w:r w:rsidRPr="001D3F00">
        <w:rPr>
          <w:rFonts w:hint="cs"/>
          <w:spacing w:val="0"/>
          <w:kern w:val="0"/>
          <w:sz w:val="20"/>
          <w:rtl/>
          <w:lang w:eastAsia="en-US"/>
        </w:rPr>
        <w:t>.</w:t>
      </w:r>
      <w:r w:rsidRPr="001D3F00">
        <w:rPr>
          <w:spacing w:val="0"/>
          <w:kern w:val="0"/>
          <w:sz w:val="20"/>
          <w:rtl/>
          <w:lang w:eastAsia="en-US"/>
        </w:rPr>
        <w:t xml:space="preserve"> </w:t>
      </w:r>
      <w:r w:rsidRPr="001D3F00">
        <w:rPr>
          <w:rFonts w:hint="cs"/>
          <w:spacing w:val="0"/>
          <w:kern w:val="0"/>
          <w:sz w:val="20"/>
          <w:rtl/>
          <w:lang w:eastAsia="en-US"/>
        </w:rPr>
        <w:t>وبعد إخفاق الجمعية التأسيسية في الوفاء ب</w:t>
      </w:r>
      <w:r w:rsidRPr="001D3F00">
        <w:rPr>
          <w:spacing w:val="0"/>
          <w:kern w:val="0"/>
          <w:sz w:val="20"/>
          <w:rtl/>
          <w:lang w:eastAsia="en-US"/>
        </w:rPr>
        <w:t xml:space="preserve">الموعد النهائي </w:t>
      </w:r>
      <w:r w:rsidRPr="001D3F00">
        <w:rPr>
          <w:rFonts w:hint="cs"/>
          <w:spacing w:val="0"/>
          <w:kern w:val="0"/>
          <w:sz w:val="20"/>
          <w:rtl/>
          <w:lang w:eastAsia="en-US"/>
        </w:rPr>
        <w:t xml:space="preserve">الأولي </w:t>
      </w:r>
      <w:r w:rsidRPr="001D3F00">
        <w:rPr>
          <w:spacing w:val="0"/>
          <w:kern w:val="0"/>
          <w:sz w:val="20"/>
          <w:rtl/>
          <w:lang w:eastAsia="en-US"/>
        </w:rPr>
        <w:t>وهو أيار/مايو 2010</w:t>
      </w:r>
      <w:r w:rsidRPr="001D3F00">
        <w:rPr>
          <w:rFonts w:hint="cs"/>
          <w:spacing w:val="0"/>
          <w:kern w:val="0"/>
          <w:sz w:val="20"/>
          <w:rtl/>
          <w:lang w:eastAsia="en-US"/>
        </w:rPr>
        <w:t xml:space="preserve"> لصياغة الدستور الجديد، مُددت ولايتها لسنة أخرى حتى أيار/مايو 2011</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43"/>
      </w:r>
      <w:r w:rsidRPr="001D3F00">
        <w:rPr>
          <w:rFonts w:hint="cs"/>
          <w:spacing w:val="0"/>
          <w:kern w:val="0"/>
          <w:sz w:val="20"/>
          <w:vertAlign w:val="superscript"/>
          <w:rtl/>
          <w:lang w:eastAsia="en-US"/>
        </w:rPr>
        <w:t>)</w:t>
      </w:r>
      <w:r w:rsidRPr="001D3F00">
        <w:rPr>
          <w:rFonts w:hint="cs"/>
          <w:spacing w:val="0"/>
          <w:kern w:val="0"/>
          <w:sz w:val="20"/>
          <w:rtl/>
          <w:lang w:eastAsia="en-US"/>
        </w:rPr>
        <w:t xml:space="preserve">. </w:t>
      </w:r>
    </w:p>
    <w:p w:rsidR="001D3F00" w:rsidRPr="007F4611" w:rsidRDefault="001D3F00" w:rsidP="007F4611">
      <w:pPr>
        <w:pStyle w:val="HChGA"/>
        <w:rPr>
          <w:rFonts w:ascii="Times New Roman Bold" w:hAnsi="Times New Roman Bold" w:hint="cs"/>
          <w:spacing w:val="0"/>
          <w:kern w:val="0"/>
          <w:lang w:eastAsia="en-US"/>
        </w:rPr>
      </w:pPr>
      <w:r w:rsidRPr="007F4611">
        <w:rPr>
          <w:rFonts w:ascii="Times New Roman Bold" w:hAnsi="Times New Roman Bold" w:hint="cs"/>
          <w:spacing w:val="0"/>
          <w:kern w:val="0"/>
          <w:rtl/>
          <w:lang w:eastAsia="en-US"/>
        </w:rPr>
        <w:tab/>
        <w:t>رابعاً-</w:t>
      </w:r>
      <w:r w:rsidRPr="007F4611">
        <w:rPr>
          <w:rFonts w:ascii="Times New Roman Bold" w:hAnsi="Times New Roman Bold" w:hint="cs"/>
          <w:spacing w:val="0"/>
          <w:kern w:val="0"/>
          <w:rtl/>
          <w:lang w:eastAsia="en-US"/>
        </w:rPr>
        <w:tab/>
        <w:t>التعذيب في نيبال</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17-</w:t>
      </w:r>
      <w:r w:rsidRPr="001D3F00">
        <w:rPr>
          <w:rFonts w:hint="cs"/>
          <w:spacing w:val="0"/>
          <w:kern w:val="0"/>
          <w:sz w:val="20"/>
          <w:rtl/>
          <w:lang w:eastAsia="en-US"/>
        </w:rPr>
        <w:tab/>
        <w:t>يتناول تقرير اللجنة هذا رد الدولة الطرف المؤرخ 3 نيسان/أبريل 2009 والمعلومات اللاحقة التي قدمها ممثلو وفد نيبال خلال الاجتماعات الثنائية المعقود مع رئيس اللجنة. ويضع هذا التقرير في الاعتبار أيضاً التقرير الذي أعده المقرر الخاص المعني بمسألة التعذيب الذي كان يشغل هذا المنصب آنذاك، وهو السيد مانفريد نواك، عقب البعثة التي قام</w:t>
      </w:r>
      <w:r w:rsidRPr="001D3F00">
        <w:rPr>
          <w:rFonts w:hint="eastAsia"/>
          <w:spacing w:val="0"/>
          <w:kern w:val="0"/>
          <w:sz w:val="20"/>
          <w:rtl/>
          <w:lang w:eastAsia="en-US"/>
        </w:rPr>
        <w:t> </w:t>
      </w:r>
      <w:r w:rsidRPr="001D3F00">
        <w:rPr>
          <w:rFonts w:hint="cs"/>
          <w:spacing w:val="0"/>
          <w:kern w:val="0"/>
          <w:sz w:val="20"/>
          <w:rtl/>
          <w:lang w:eastAsia="en-US"/>
        </w:rPr>
        <w:t>بها إلى نيبال في الفترة من 10 إلى</w:t>
      </w:r>
      <w:r w:rsidRPr="001D3F00">
        <w:rPr>
          <w:rFonts w:hint="eastAsia"/>
          <w:spacing w:val="0"/>
          <w:kern w:val="0"/>
          <w:sz w:val="20"/>
          <w:rtl/>
          <w:lang w:eastAsia="en-US"/>
        </w:rPr>
        <w:t> </w:t>
      </w:r>
      <w:r w:rsidRPr="001D3F00">
        <w:rPr>
          <w:rFonts w:hint="cs"/>
          <w:spacing w:val="0"/>
          <w:kern w:val="0"/>
          <w:sz w:val="20"/>
          <w:rtl/>
          <w:lang w:eastAsia="en-US"/>
        </w:rPr>
        <w:t xml:space="preserve">16 أيلول/سبتمبر 2005، وتقارير المتابعة التي أعدها من خلفوه في الاضطلاع بهذه </w:t>
      </w:r>
      <w:r w:rsidRPr="001D3F00">
        <w:rPr>
          <w:rFonts w:hint="cs"/>
          <w:spacing w:val="-6"/>
          <w:kern w:val="0"/>
          <w:sz w:val="20"/>
          <w:rtl/>
          <w:lang w:eastAsia="en-US"/>
        </w:rPr>
        <w:t>الولاية، بما في ذلك التقرير الذي قدمه في 4 آذار/مارس 2011 السيد خوان إ. منديس</w:t>
      </w:r>
      <w:r w:rsidRPr="001D3F00">
        <w:rPr>
          <w:rFonts w:hint="cs"/>
          <w:spacing w:val="-6"/>
          <w:kern w:val="0"/>
          <w:sz w:val="20"/>
          <w:vertAlign w:val="superscript"/>
          <w:rtl/>
          <w:lang w:eastAsia="en-US"/>
        </w:rPr>
        <w:t>(</w:t>
      </w:r>
      <w:r w:rsidRPr="001D3F00">
        <w:rPr>
          <w:b/>
          <w:spacing w:val="-6"/>
          <w:kern w:val="0"/>
          <w:szCs w:val="28"/>
          <w:vertAlign w:val="superscript"/>
          <w:rtl/>
          <w:lang w:eastAsia="en-US"/>
        </w:rPr>
        <w:footnoteReference w:id="44"/>
      </w:r>
      <w:r w:rsidRPr="001D3F00">
        <w:rPr>
          <w:rFonts w:hint="cs"/>
          <w:spacing w:val="-6"/>
          <w:kern w:val="0"/>
          <w:sz w:val="20"/>
          <w:vertAlign w:val="superscript"/>
          <w:rtl/>
          <w:lang w:eastAsia="en-US"/>
        </w:rPr>
        <w:t>)</w:t>
      </w:r>
      <w:r w:rsidRPr="001D3F00">
        <w:rPr>
          <w:rFonts w:hint="cs"/>
          <w:spacing w:val="-6"/>
          <w:kern w:val="0"/>
          <w:sz w:val="20"/>
          <w:rtl/>
          <w:lang w:eastAsia="en-US"/>
        </w:rPr>
        <w:t>.</w:t>
      </w:r>
      <w:r w:rsidRPr="001D3F00">
        <w:rPr>
          <w:rFonts w:hint="cs"/>
          <w:spacing w:val="0"/>
          <w:kern w:val="0"/>
          <w:sz w:val="20"/>
          <w:rtl/>
          <w:lang w:eastAsia="en-US"/>
        </w:rPr>
        <w:t xml:space="preserve"> كما يضع التقرير الحالي في الحسبان المذكرات المقدمة من جهات صاحبة مصلحة ومن الأمم </w:t>
      </w:r>
      <w:r w:rsidRPr="001D3F00">
        <w:rPr>
          <w:rFonts w:hint="cs"/>
          <w:spacing w:val="-6"/>
          <w:kern w:val="0"/>
          <w:sz w:val="20"/>
          <w:rtl/>
          <w:lang w:eastAsia="en-US"/>
        </w:rPr>
        <w:t>المتحدة في سياق الاستعراض الدوري الشامل المتعلق بنيبال في 25 كانون الثاني/يناير 2011؛</w:t>
      </w:r>
      <w:r w:rsidRPr="001D3F00">
        <w:rPr>
          <w:rFonts w:hint="cs"/>
          <w:spacing w:val="0"/>
          <w:kern w:val="0"/>
          <w:sz w:val="20"/>
          <w:rtl/>
          <w:lang w:eastAsia="en-US"/>
        </w:rPr>
        <w:t xml:space="preserve"> والمعلومات المقدمة من المفوضية السامية لحقوق الإنسان؛ وتقارير اللجنة الوطنية لحقوق الإنسان في</w:t>
      </w:r>
      <w:r w:rsidRPr="001D3F00">
        <w:rPr>
          <w:rFonts w:hint="eastAsia"/>
          <w:spacing w:val="0"/>
          <w:kern w:val="0"/>
          <w:sz w:val="20"/>
          <w:rtl/>
          <w:lang w:eastAsia="en-US"/>
        </w:rPr>
        <w:t> </w:t>
      </w:r>
      <w:r w:rsidRPr="001D3F00">
        <w:rPr>
          <w:rFonts w:hint="cs"/>
          <w:spacing w:val="0"/>
          <w:kern w:val="0"/>
          <w:sz w:val="20"/>
          <w:rtl/>
          <w:lang w:eastAsia="en-US"/>
        </w:rPr>
        <w:t>نيبال؛ ومذكرات المنظمات غير الحكومية، بما فيها محفل الدفاع وجمعية المساعدة على الجبر</w:t>
      </w:r>
      <w:r w:rsidRPr="001D3F00">
        <w:rPr>
          <w:rFonts w:hint="cs"/>
          <w:i/>
          <w:iCs/>
          <w:spacing w:val="0"/>
          <w:kern w:val="0"/>
          <w:sz w:val="24"/>
          <w:szCs w:val="24"/>
          <w:rtl/>
          <w:lang w:val="fr-CH" w:eastAsia="en-US"/>
        </w:rPr>
        <w:t>،</w:t>
      </w:r>
      <w:r w:rsidRPr="001D3F00">
        <w:rPr>
          <w:rFonts w:hint="cs"/>
          <w:i/>
          <w:iCs/>
          <w:spacing w:val="0"/>
          <w:kern w:val="0"/>
          <w:sz w:val="20"/>
          <w:rtl/>
          <w:lang w:val="fr-CH" w:eastAsia="en-US"/>
        </w:rPr>
        <w:t xml:space="preserve"> </w:t>
      </w:r>
      <w:r w:rsidRPr="001D3F00">
        <w:rPr>
          <w:rFonts w:hint="cs"/>
          <w:spacing w:val="0"/>
          <w:kern w:val="0"/>
          <w:sz w:val="20"/>
          <w:rtl/>
          <w:lang w:val="fr-CH" w:eastAsia="en-US"/>
        </w:rPr>
        <w:t>والمركز المعني بضحايا التعذيب في نيبال، والمركز الآسيوي للموارد القانونية، ومنظمة رصد حقوق الإنسان، ومنظمة العفو الدولية. ويتناول تقرير اللجنة فترة التحقيق الممتدة من عام</w:t>
      </w:r>
      <w:r w:rsidRPr="001D3F00">
        <w:rPr>
          <w:rFonts w:hint="eastAsia"/>
          <w:spacing w:val="0"/>
          <w:kern w:val="0"/>
          <w:sz w:val="20"/>
          <w:rtl/>
          <w:lang w:val="fr-CH" w:eastAsia="en-US"/>
        </w:rPr>
        <w:t> </w:t>
      </w:r>
      <w:r w:rsidRPr="001D3F00">
        <w:rPr>
          <w:rFonts w:hint="cs"/>
          <w:spacing w:val="0"/>
          <w:kern w:val="0"/>
          <w:sz w:val="20"/>
          <w:rtl/>
          <w:lang w:val="fr-CH" w:eastAsia="en-US"/>
        </w:rPr>
        <w:t xml:space="preserve">2007 إلى الوقت الراهن. </w:t>
      </w:r>
    </w:p>
    <w:p w:rsidR="001D3F00" w:rsidRPr="007F4611" w:rsidRDefault="001D3F00" w:rsidP="007F4611">
      <w:pPr>
        <w:pStyle w:val="H1GA"/>
        <w:jc w:val="lowKashida"/>
        <w:rPr>
          <w:rFonts w:ascii="Times New Roman Bold" w:hAnsi="Times New Roman Bold" w:hint="cs"/>
          <w:spacing w:val="0"/>
          <w:kern w:val="0"/>
          <w:lang w:eastAsia="en-US"/>
        </w:rPr>
      </w:pPr>
      <w:r w:rsidRPr="007F4611">
        <w:rPr>
          <w:rFonts w:ascii="Times New Roman Bold" w:hAnsi="Times New Roman Bold" w:hint="cs"/>
          <w:spacing w:val="0"/>
          <w:kern w:val="0"/>
          <w:rtl/>
          <w:lang w:eastAsia="en-US"/>
        </w:rPr>
        <w:tab/>
        <w:t>ألف-</w:t>
      </w:r>
      <w:r w:rsidRPr="007F4611">
        <w:rPr>
          <w:rFonts w:ascii="Times New Roman Bold" w:hAnsi="Times New Roman Bold" w:hint="cs"/>
          <w:spacing w:val="0"/>
          <w:kern w:val="0"/>
          <w:rtl/>
          <w:lang w:eastAsia="en-US"/>
        </w:rPr>
        <w:tab/>
        <w:t>ملاحظات نيبال رداً على قرار اللجنة المتعلق ببدء إجراء التحقيق بموجب المادة</w:t>
      </w:r>
      <w:r w:rsidRPr="007F4611">
        <w:rPr>
          <w:rFonts w:ascii="Times New Roman Bold" w:hAnsi="Times New Roman Bold" w:hint="eastAsia"/>
          <w:spacing w:val="0"/>
          <w:kern w:val="0"/>
          <w:rtl/>
          <w:lang w:eastAsia="en-US"/>
        </w:rPr>
        <w:t> </w:t>
      </w:r>
      <w:r w:rsidRPr="007F4611">
        <w:rPr>
          <w:rFonts w:ascii="Times New Roman Bold" w:hAnsi="Times New Roman Bold" w:hint="cs"/>
          <w:spacing w:val="0"/>
          <w:kern w:val="0"/>
          <w:rtl/>
          <w:lang w:eastAsia="en-US"/>
        </w:rPr>
        <w:t>20</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18-</w:t>
      </w:r>
      <w:r w:rsidRPr="001D3F00">
        <w:rPr>
          <w:rFonts w:hint="cs"/>
          <w:spacing w:val="0"/>
          <w:kern w:val="0"/>
          <w:sz w:val="20"/>
          <w:rtl/>
          <w:lang w:eastAsia="en-US"/>
        </w:rPr>
        <w:tab/>
        <w:t xml:space="preserve">أرسلت نيبال ملاحظاتها إلى اللجنة في 3 نيسان/أبريل 2009، أي بعد سنتين من دعوة اللجنة لها إلى التعاون في إطار إجراء التحقيق بموجب المادة 20.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1D3F00">
        <w:rPr>
          <w:rFonts w:hint="cs"/>
          <w:spacing w:val="0"/>
          <w:kern w:val="0"/>
          <w:sz w:val="20"/>
          <w:rtl/>
          <w:lang w:eastAsia="en-US"/>
        </w:rPr>
        <w:t>19-</w:t>
      </w:r>
      <w:r w:rsidRPr="001D3F00">
        <w:rPr>
          <w:rFonts w:hint="cs"/>
          <w:spacing w:val="0"/>
          <w:kern w:val="0"/>
          <w:sz w:val="20"/>
          <w:rtl/>
          <w:lang w:eastAsia="en-US"/>
        </w:rPr>
        <w:tab/>
        <w:t>وتحتج الدولة الطرف بأن قرار اللجنة المتعلق ببدء إجراء التحقيق السري بموجب المادة</w:t>
      </w:r>
      <w:r w:rsidRPr="001D3F00">
        <w:rPr>
          <w:rFonts w:hint="eastAsia"/>
          <w:spacing w:val="0"/>
          <w:kern w:val="0"/>
          <w:sz w:val="20"/>
          <w:rtl/>
          <w:lang w:eastAsia="en-US"/>
        </w:rPr>
        <w:t> </w:t>
      </w:r>
      <w:r w:rsidRPr="001D3F00">
        <w:rPr>
          <w:rFonts w:hint="cs"/>
          <w:spacing w:val="0"/>
          <w:kern w:val="0"/>
          <w:sz w:val="20"/>
          <w:rtl/>
          <w:lang w:eastAsia="en-US"/>
        </w:rPr>
        <w:t>20 من الاتفاقية يبدو أنه يستند إلى تقارير متفرقة نُشرت أثناء فترة النزاع المسلح، وقدمت الدولة الطرف تعليقات مستفيضة عليها إلى أصحاب المصلحة المعنيين. وترى أن معظم تلك التقارير نُشر في إطار حملة موجهة ضد نيبال تتجاوز برنامج حماية وتعزيز حقوق الإنسان. وعليه، أكدت الدولة الطرف أنه لا ينبغي أن تؤدي تلك الحملة الدعائية إلى تضليل اللجنة وألا</w:t>
      </w:r>
      <w:r w:rsidRPr="001D3F00">
        <w:rPr>
          <w:rFonts w:hint="eastAsia"/>
          <w:spacing w:val="0"/>
          <w:kern w:val="0"/>
          <w:sz w:val="20"/>
          <w:rtl/>
          <w:lang w:eastAsia="en-US"/>
        </w:rPr>
        <w:t> </w:t>
      </w:r>
      <w:r w:rsidRPr="001D3F00">
        <w:rPr>
          <w:rFonts w:hint="cs"/>
          <w:spacing w:val="0"/>
          <w:kern w:val="0"/>
          <w:sz w:val="20"/>
          <w:rtl/>
          <w:lang w:eastAsia="en-US"/>
        </w:rPr>
        <w:t>تشكل جزءاً من أي إجراء من جانب هيئات حقوق الإنسان، لكي تحافظ هذه الهيئات على مصداقية استقلالها ونزاهتها وعدم خضوعها لأية تأثيرات، سواء أن كان ذلك من جانب الدولة أو</w:t>
      </w:r>
      <w:r w:rsidRPr="001D3F00">
        <w:rPr>
          <w:rFonts w:hint="eastAsia"/>
          <w:spacing w:val="0"/>
          <w:kern w:val="0"/>
          <w:sz w:val="20"/>
          <w:rtl/>
          <w:lang w:eastAsia="en-US"/>
        </w:rPr>
        <w:t> </w:t>
      </w:r>
      <w:r w:rsidRPr="001D3F00">
        <w:rPr>
          <w:rFonts w:hint="cs"/>
          <w:spacing w:val="0"/>
          <w:kern w:val="0"/>
          <w:sz w:val="20"/>
          <w:rtl/>
          <w:lang w:eastAsia="en-US"/>
        </w:rPr>
        <w:t>منظمات دولية أو أفراد أو كيانات تدعي أنها تعمل بالنيابة عن جهات أخرى. وكان هدف الدولة</w:t>
      </w:r>
      <w:r w:rsidRPr="001D3F00">
        <w:rPr>
          <w:rFonts w:hint="eastAsia"/>
          <w:spacing w:val="0"/>
          <w:kern w:val="0"/>
          <w:sz w:val="20"/>
          <w:rtl/>
          <w:lang w:eastAsia="en-US"/>
        </w:rPr>
        <w:t> </w:t>
      </w:r>
      <w:r w:rsidRPr="001D3F00">
        <w:rPr>
          <w:rFonts w:hint="cs"/>
          <w:spacing w:val="0"/>
          <w:kern w:val="0"/>
          <w:sz w:val="20"/>
          <w:rtl/>
          <w:lang w:eastAsia="en-US"/>
        </w:rPr>
        <w:t xml:space="preserve">الطرف أن توضح عن طريق ملاحظاتها ما أحرزته من تقدم منذ نشر تلك التقارير.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20-</w:t>
      </w:r>
      <w:r w:rsidRPr="001D3F00">
        <w:rPr>
          <w:rFonts w:hint="cs"/>
          <w:spacing w:val="0"/>
          <w:kern w:val="0"/>
          <w:sz w:val="20"/>
          <w:rtl/>
          <w:lang w:eastAsia="en-US"/>
        </w:rPr>
        <w:tab/>
        <w:t xml:space="preserve">وبعد الحديث عن السياق السياسي في نيبال، بما في ذلك عملية السلام التي بدأت بالتوقيع على اتفاق سلام شامل، أوضحت الدولة الطرف أن توقف العمليات العدائية أدى إلى توقف الانتهاكات المتصلة بالصراع، بما في ذلك عمليات الإعدام خارج نطاق القضاء، والاحتجاز، والتعذيب وسوء المعاملة في الثكنات العسكرية لأولئك الذين يشتبه في انتمائهم إلى الحزب الشيوعي النيبالي الماوي. كما توقفت كل انتهاكات القانون الإنساني الدولي. وانتهت حالات الاختفاء. </w:t>
      </w:r>
      <w:r w:rsidRPr="001D3F00">
        <w:rPr>
          <w:spacing w:val="0"/>
          <w:kern w:val="0"/>
          <w:sz w:val="20"/>
          <w:rtl/>
          <w:lang w:eastAsia="en-US"/>
        </w:rPr>
        <w:t>وأ</w:t>
      </w:r>
      <w:r w:rsidRPr="001D3F00">
        <w:rPr>
          <w:rFonts w:hint="cs"/>
          <w:spacing w:val="0"/>
          <w:kern w:val="0"/>
          <w:sz w:val="20"/>
          <w:rtl/>
          <w:lang w:eastAsia="en-US"/>
        </w:rPr>
        <w:t>ُ</w:t>
      </w:r>
      <w:r w:rsidRPr="001D3F00">
        <w:rPr>
          <w:spacing w:val="0"/>
          <w:kern w:val="0"/>
          <w:sz w:val="20"/>
          <w:rtl/>
          <w:lang w:eastAsia="en-US"/>
        </w:rPr>
        <w:t xml:space="preserve">طلق سراح </w:t>
      </w:r>
      <w:r w:rsidRPr="001D3F00">
        <w:rPr>
          <w:rFonts w:hint="cs"/>
          <w:spacing w:val="0"/>
          <w:kern w:val="0"/>
          <w:sz w:val="20"/>
          <w:rtl/>
          <w:lang w:eastAsia="en-US"/>
        </w:rPr>
        <w:t>جميع ال</w:t>
      </w:r>
      <w:r w:rsidRPr="001D3F00">
        <w:rPr>
          <w:spacing w:val="0"/>
          <w:kern w:val="0"/>
          <w:sz w:val="20"/>
          <w:rtl/>
          <w:lang w:eastAsia="en-US"/>
        </w:rPr>
        <w:t xml:space="preserve">سجناء </w:t>
      </w:r>
      <w:r w:rsidRPr="001D3F00">
        <w:rPr>
          <w:rFonts w:hint="cs"/>
          <w:spacing w:val="0"/>
          <w:kern w:val="0"/>
          <w:sz w:val="20"/>
          <w:rtl/>
          <w:lang w:eastAsia="en-US"/>
        </w:rPr>
        <w:t>الذين</w:t>
      </w:r>
      <w:r w:rsidRPr="001D3F00">
        <w:rPr>
          <w:spacing w:val="0"/>
          <w:kern w:val="0"/>
          <w:sz w:val="20"/>
          <w:rtl/>
          <w:lang w:eastAsia="en-US"/>
        </w:rPr>
        <w:t xml:space="preserve"> كانوا رهن الحبس الاحت</w:t>
      </w:r>
      <w:r w:rsidRPr="001D3F00">
        <w:rPr>
          <w:rFonts w:hint="cs"/>
          <w:spacing w:val="0"/>
          <w:kern w:val="0"/>
          <w:sz w:val="20"/>
          <w:rtl/>
          <w:lang w:eastAsia="en-US"/>
        </w:rPr>
        <w:t>ي</w:t>
      </w:r>
      <w:r w:rsidRPr="001D3F00">
        <w:rPr>
          <w:spacing w:val="0"/>
          <w:kern w:val="0"/>
          <w:sz w:val="20"/>
          <w:rtl/>
          <w:lang w:eastAsia="en-US"/>
        </w:rPr>
        <w:t>ا</w:t>
      </w:r>
      <w:r w:rsidRPr="001D3F00">
        <w:rPr>
          <w:rFonts w:hint="cs"/>
          <w:spacing w:val="0"/>
          <w:kern w:val="0"/>
          <w:sz w:val="20"/>
          <w:rtl/>
          <w:lang w:eastAsia="en-US"/>
        </w:rPr>
        <w:t>ط</w:t>
      </w:r>
      <w:r w:rsidRPr="001D3F00">
        <w:rPr>
          <w:spacing w:val="0"/>
          <w:kern w:val="0"/>
          <w:sz w:val="20"/>
          <w:rtl/>
          <w:lang w:eastAsia="en-US"/>
        </w:rPr>
        <w:t xml:space="preserve">ي </w:t>
      </w:r>
      <w:r w:rsidRPr="001D3F00">
        <w:rPr>
          <w:rFonts w:hint="cs"/>
          <w:spacing w:val="0"/>
          <w:kern w:val="0"/>
          <w:sz w:val="20"/>
          <w:rtl/>
          <w:lang w:eastAsia="en-US"/>
        </w:rPr>
        <w:t xml:space="preserve">بموجب قانون الأمن العام أو قانون </w:t>
      </w:r>
      <w:r w:rsidRPr="001D3F00">
        <w:rPr>
          <w:spacing w:val="0"/>
          <w:kern w:val="0"/>
          <w:sz w:val="20"/>
          <w:rtl/>
          <w:lang w:eastAsia="en-US"/>
        </w:rPr>
        <w:t>مكافحة الأنشطة الإرهابية والمخلّة بالنظام</w:t>
      </w:r>
      <w:r w:rsidRPr="001D3F00">
        <w:rPr>
          <w:rFonts w:hint="cs"/>
          <w:spacing w:val="0"/>
          <w:kern w:val="0"/>
          <w:sz w:val="20"/>
          <w:rtl/>
          <w:lang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1D3F00">
        <w:rPr>
          <w:rFonts w:hint="cs"/>
          <w:spacing w:val="0"/>
          <w:kern w:val="0"/>
          <w:sz w:val="20"/>
          <w:rtl/>
          <w:lang w:eastAsia="en-US"/>
        </w:rPr>
        <w:t>21-</w:t>
      </w:r>
      <w:r w:rsidRPr="001D3F00">
        <w:rPr>
          <w:rFonts w:hint="cs"/>
          <w:spacing w:val="0"/>
          <w:kern w:val="0"/>
          <w:sz w:val="20"/>
          <w:rtl/>
          <w:lang w:eastAsia="en-US"/>
        </w:rPr>
        <w:tab/>
        <w:t>وأكدت الدولة الطرف أن حقوق الإنسان وُضعت في بؤرة اهتمام عملية السلام في نيبال. وفي "اتفاق الاثنتي عشرة نقطة"، أعرب ائتلاف الأحزاب السبعة والحزب الشيوعي النيبالي الماوي عن التزامهما "ب</w:t>
      </w:r>
      <w:r w:rsidRPr="001D3F00">
        <w:rPr>
          <w:rFonts w:hint="eastAsia"/>
          <w:spacing w:val="0"/>
          <w:kern w:val="0"/>
          <w:sz w:val="20"/>
          <w:rtl/>
          <w:lang w:eastAsia="en-US"/>
        </w:rPr>
        <w:t>الاحترام الكامل لمعايير وقيم حقوق الإنسان</w:t>
      </w:r>
      <w:r w:rsidRPr="001D3F00">
        <w:rPr>
          <w:rFonts w:hint="cs"/>
          <w:spacing w:val="0"/>
          <w:kern w:val="0"/>
          <w:sz w:val="20"/>
          <w:rtl/>
          <w:lang w:eastAsia="en-US"/>
        </w:rPr>
        <w:t>". ويشير ثلثا أحكام مدونة السلوك المتعلقة بوقف إطلاق النار إلى القانون الإنساني الدولي وشواغل حقوق الإنسان. وهناك اتفاق من ثماني نقاط مبرم بين الحكومة والحزب الشيوعي النيبالي الماوي (موقّع عليه في 16 حزيران/يونيه 2006) يتضمن التزاماً قوياً "ب</w:t>
      </w:r>
      <w:r w:rsidRPr="001D3F00">
        <w:rPr>
          <w:rFonts w:hint="eastAsia"/>
          <w:spacing w:val="0"/>
          <w:kern w:val="0"/>
          <w:sz w:val="20"/>
          <w:rtl/>
          <w:lang w:eastAsia="en-US"/>
        </w:rPr>
        <w:t>المعايير والقيم الديمقراطية بما</w:t>
      </w:r>
      <w:r w:rsidRPr="001D3F00">
        <w:rPr>
          <w:rFonts w:hint="cs"/>
          <w:spacing w:val="0"/>
          <w:kern w:val="0"/>
          <w:sz w:val="20"/>
          <w:rtl/>
          <w:lang w:eastAsia="en-US"/>
        </w:rPr>
        <w:t> </w:t>
      </w:r>
      <w:r w:rsidRPr="001D3F00">
        <w:rPr>
          <w:rFonts w:hint="eastAsia"/>
          <w:spacing w:val="0"/>
          <w:kern w:val="0"/>
          <w:sz w:val="20"/>
          <w:rtl/>
          <w:lang w:eastAsia="en-US"/>
        </w:rPr>
        <w:t xml:space="preserve">في ذلك نظام تنافسي متعدد الأحزاب، </w:t>
      </w:r>
      <w:r w:rsidRPr="001D3F00">
        <w:rPr>
          <w:rFonts w:hint="cs"/>
          <w:spacing w:val="0"/>
          <w:kern w:val="0"/>
          <w:sz w:val="20"/>
          <w:rtl/>
          <w:lang w:eastAsia="en-US"/>
        </w:rPr>
        <w:t>وبالحريات</w:t>
      </w:r>
      <w:r w:rsidRPr="001D3F00">
        <w:rPr>
          <w:rFonts w:hint="eastAsia"/>
          <w:spacing w:val="0"/>
          <w:kern w:val="0"/>
          <w:sz w:val="20"/>
          <w:rtl/>
          <w:lang w:eastAsia="en-US"/>
        </w:rPr>
        <w:t xml:space="preserve"> المدنية، والحقوق الأساسية، وحقوق الإنسان، وحرية الصحافة</w:t>
      </w:r>
      <w:r w:rsidRPr="001D3F00">
        <w:rPr>
          <w:rFonts w:hint="cs"/>
          <w:spacing w:val="0"/>
          <w:kern w:val="0"/>
          <w:sz w:val="20"/>
          <w:rtl/>
          <w:lang w:eastAsia="en-US"/>
        </w:rPr>
        <w:t>، ومفهوم سيادة القانون"</w:t>
      </w:r>
      <w:r w:rsidRPr="001D3F00">
        <w:rPr>
          <w:rFonts w:hint="eastAsia"/>
          <w:spacing w:val="0"/>
          <w:kern w:val="0"/>
          <w:sz w:val="20"/>
          <w:rtl/>
          <w:lang w:eastAsia="en-US"/>
        </w:rPr>
        <w:t xml:space="preserve">. </w:t>
      </w:r>
      <w:r w:rsidRPr="001D3F00">
        <w:rPr>
          <w:rFonts w:hint="cs"/>
          <w:spacing w:val="0"/>
          <w:kern w:val="0"/>
          <w:sz w:val="20"/>
          <w:rtl/>
          <w:lang w:eastAsia="en-US"/>
        </w:rPr>
        <w:t xml:space="preserve">وأضافت الدولة الطرف أنها ملتزمة بوضع حد للإفلات من العقاب ومساءلة المتورطين في انتهاكات حقوق الإنسان. وقد اتخذت في هذا الصدد إجراءات فورية في حالات عدة.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22-</w:t>
      </w:r>
      <w:r w:rsidRPr="001D3F00">
        <w:rPr>
          <w:rFonts w:hint="cs"/>
          <w:spacing w:val="0"/>
          <w:kern w:val="0"/>
          <w:sz w:val="20"/>
          <w:rtl/>
          <w:lang w:eastAsia="en-US"/>
        </w:rPr>
        <w:tab/>
      </w:r>
      <w:r w:rsidRPr="001D3F00">
        <w:rPr>
          <w:rFonts w:hint="cs"/>
          <w:spacing w:val="-6"/>
          <w:kern w:val="0"/>
          <w:sz w:val="20"/>
          <w:rtl/>
          <w:lang w:eastAsia="en-US"/>
        </w:rPr>
        <w:t>وأوضحت الدولة الطرف أن الدستور الانتقالي المؤرخ 15 كانون الثاني/يناير 2007</w:t>
      </w:r>
      <w:r w:rsidRPr="001D3F00">
        <w:rPr>
          <w:rFonts w:hint="cs"/>
          <w:spacing w:val="0"/>
          <w:kern w:val="0"/>
          <w:sz w:val="20"/>
          <w:rtl/>
          <w:lang w:eastAsia="en-US"/>
        </w:rPr>
        <w:t xml:space="preserve"> يحظر التعذيب وغيره من ضروب المعاملة أو العقوبة القاسية أو اللاإنسانية أو المهينة، ويوفر الضمانات الدستورية لأي شخص يجري احتجازه. ويحق لكل من يتعرض للتعذيب أو سوء المعاملة الحصول على تعويض بموجب القانون. كما يحظر الدستور المؤقت الحبس في أماكن معزولة. وتدعي الدولة الطرف أن الحبس في أماكن معزولة لا يُمارس في البلد. وأضافت الدولة الطرف أن بعض المحتجزين وضعوا في ثكنات الجيش خلال فترة النزاع من أجل حمايتهم نظراً لعدم توافر سجون مدنية، وقد تغير هذا الوضع. وفيما يتعلق بتوقعات تجريم ممارسة التعذيب، ذكرت الدولة الطرف أنها تعكف على النظر في هذه المسألة وأن الدستور الانتقالي ينص عليها. وذكرت الدولة الطرف أيضاً أن قانون التعويض المتعلق بالتعذيب يُنفذ منذ عام 1996 وهو متسق مع أحكام الاتفاقية.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23-</w:t>
      </w:r>
      <w:r w:rsidRPr="001D3F00">
        <w:rPr>
          <w:rFonts w:hint="cs"/>
          <w:spacing w:val="0"/>
          <w:kern w:val="0"/>
          <w:sz w:val="20"/>
          <w:rtl/>
          <w:lang w:eastAsia="en-US"/>
        </w:rPr>
        <w:tab/>
        <w:t>وفيما يتعلق بالأشخاص الذين يُزعم تورطهم في عمليات اغتصاب وغيرها من الجرائم، أفادت الدولة الطرف بأن القانون العسكري لعام 1959 ينص على تقديمهم لمحاكم مدنية وفقاً لقانون الإجراءات الجنائية العادية. كما أن انتهاكات حقوق الإنسان من قبيل أفعال التعذيب والاختفاء القسري تخضع للتحقيق أيضاً من جانب سلطة مدنية برئاسة نائب المدعي العام، وينبغي أن تنظر فيها محكمة خاصة برئاسة قاض من محكمة الاستئناف. وتخضع الجرائم ضد المصلحة العامة</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45"/>
      </w:r>
      <w:r w:rsidRPr="001D3F00">
        <w:rPr>
          <w:rFonts w:hint="cs"/>
          <w:spacing w:val="0"/>
          <w:kern w:val="0"/>
          <w:sz w:val="20"/>
          <w:vertAlign w:val="superscript"/>
          <w:rtl/>
          <w:lang w:eastAsia="en-US"/>
        </w:rPr>
        <w:t>)</w:t>
      </w:r>
      <w:r w:rsidRPr="001D3F00">
        <w:rPr>
          <w:rFonts w:hint="cs"/>
          <w:spacing w:val="0"/>
          <w:kern w:val="0"/>
          <w:sz w:val="20"/>
          <w:rtl/>
          <w:lang w:eastAsia="en-US"/>
        </w:rPr>
        <w:t xml:space="preserve"> التي يرتكبها عسكريون للتحقيق من قبل لجنة تشكلها الحكومة، ولا يُستبعد أن تنظر فيها محكمة مدنية لمجرد أن مرتكبها من العسكريين.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24-</w:t>
      </w:r>
      <w:r w:rsidRPr="001D3F00">
        <w:rPr>
          <w:rFonts w:hint="cs"/>
          <w:spacing w:val="0"/>
          <w:kern w:val="0"/>
          <w:sz w:val="20"/>
          <w:rtl/>
          <w:lang w:eastAsia="en-US"/>
        </w:rPr>
        <w:tab/>
        <w:t xml:space="preserve">وفيما يخص لجنة الحقيقة والمصالحة ولجنة التحقيق في حالات الاختفاء، أشارت اللجنة إلى أنها بصدد تشكيل اللجنتين؛ وأنهما لن تكتفيا بالتحقيق في انتهاكات حقوق الإنسان فحسب، بل ستهيئان فرصة فريدة للمصالحة الاجتماعية.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3"/>
          <w:kern w:val="0"/>
          <w:sz w:val="20"/>
          <w:lang w:eastAsia="en-US"/>
        </w:rPr>
      </w:pPr>
      <w:r w:rsidRPr="001D3F00">
        <w:rPr>
          <w:rFonts w:hint="cs"/>
          <w:spacing w:val="-3"/>
          <w:kern w:val="0"/>
          <w:sz w:val="20"/>
          <w:rtl/>
          <w:lang w:eastAsia="en-US"/>
        </w:rPr>
        <w:t>25-</w:t>
      </w:r>
      <w:r w:rsidRPr="001D3F00">
        <w:rPr>
          <w:rFonts w:hint="cs"/>
          <w:spacing w:val="-3"/>
          <w:kern w:val="0"/>
          <w:sz w:val="20"/>
          <w:rtl/>
          <w:lang w:eastAsia="en-US"/>
        </w:rPr>
        <w:tab/>
        <w:t xml:space="preserve">وأكدت الدولة الطرف أنها تفتخر بتقليدها المتمثل في العمل بصورة وثيقة مع المجتمع الدولي، بما في ذلك آليات حقوق الإنسان التابعة للأمم المتحدة؛ وأنها قد صدقت على عدد من الصكوك لحقوق الإنسان، وسمحت بزيارات المكلفين بولايات في إطار مجلس حقوق الإنسان والمفوضية السامية لحقوق الإنسان؛ وأتاحت للمفوضية كل التسهيلات اللازمة لإنجاز مهمتها.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26-</w:t>
      </w:r>
      <w:r w:rsidRPr="001D3F00">
        <w:rPr>
          <w:rFonts w:hint="cs"/>
          <w:spacing w:val="0"/>
          <w:kern w:val="0"/>
          <w:sz w:val="20"/>
          <w:rtl/>
          <w:lang w:eastAsia="en-US"/>
        </w:rPr>
        <w:tab/>
        <w:t>وفيما يتعلق بمزاعم الممارسة المنهجية للتعذيب في نيبال، ترى الدولة الطرف أن اللجنة استندت بصفة رئيسية في قرارها المتعلق ببدء إجراء التحقيق السري إلى تقرير المقرر الخاص المعني بمسألة التعذيب (تشرين الثاني/نوفمبر 2005)، الذي أُعد في سياق النزاع العسكري المسلح العنيف الذي شهده البلد، وغير ذلك من التقارير "المتفرقة" التي قدمتها منظمات غير حكومية. وترى الدولة الطرف أن المعلومات الواردة في تلك التقارير حاولت تضخيم الوضع بطريقة غير متناسبة. وتعرب الدولة الطرف عن التزامها بطريقة لا لبس فيها بسيادة القانون، وأنها لا تسمح بأي شكل من الأشكال بممارسة التعذيب. وتقول الدولة الطرف إن أكذوبة "الممارسة المنهجية للتعذيب" هي في الأساس رواية مجحفة وأحادية تم تلفيقها ضد نيبال. وفي 29 تشرين الثاني/نوفمبر 2005، قدمت الدولة الطرف آرائها في ردها على مشروع الملاحظات الختامية التي أعدتها اللجنة عقب نظرها في التقرير الدوري لنيبال. وكانت قد أوضحت هذه المسألة بصورة شاملة في وقت سابق عن طريق الردود على قائمة المسائل التي أرسلتها اللجنة. وبالمثل، في كانون الأول/ديسمبر 2005، ردت نيبال على مشروع تقرير المقرر الخاص المعني بمسألة التعذيب بعد زيارته إلى نيبال. وترى الدولة الطرف أن تفسير المقرر الخاص للوضع غير مطابق للواقع، ورفضت استنتاجه جملة وتفصيلاً بشأن "الممارسة المنهجية للتعذيب" وقدمت توضيحات للنقاط التي أثارها في التقرير. وأعربت الدولة الطرف عن أساها لعدم أخذ آرائها بعين الاعتبار عند وضع التقرير النهائي عقب زيارة المقرر الخاص.</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27-</w:t>
      </w:r>
      <w:r w:rsidRPr="001D3F00">
        <w:rPr>
          <w:rFonts w:hint="cs"/>
          <w:spacing w:val="0"/>
          <w:kern w:val="0"/>
          <w:sz w:val="20"/>
          <w:rtl/>
          <w:lang w:eastAsia="en-US"/>
        </w:rPr>
        <w:tab/>
        <w:t>وأصرت الدولة الطرف على أن الآراء الشخصية التي قدمها بعض المسؤولين الأمنيين خلال لقاءات خاصة لا يمكن تعميمها على أنها سياسة تنتهجها الدولة لممارسة التعذيب. والأحداث المعزولة التي وقعت خلال فترة النزاع المسلح، إن وجدت، لا يمكن تعميمها باعتبارها ناتجة عن سياسة متعمدة من سياسات الدولة. فنيبال لا تسمح بالتعذيب ولا تنتهج سياسة تسمح بإفلات الجناة من العقاب. بل إنها تأخذ على محمل الجد كل الادعاءات المتعلقة بممارسة التعذيب وتقدم المذنبين إلى العدالة على وجه السرعة. وقد اتخذت في هذا الصدد إجراءات ضد عدد من رجال الأمن. واتخذت شرطة نيبال إجراءات ضد 21 من أفرادها في</w:t>
      </w:r>
      <w:r w:rsidRPr="001D3F00">
        <w:rPr>
          <w:rFonts w:hint="eastAsia"/>
          <w:spacing w:val="0"/>
          <w:kern w:val="0"/>
          <w:sz w:val="20"/>
          <w:rtl/>
          <w:lang w:eastAsia="en-US"/>
        </w:rPr>
        <w:t> </w:t>
      </w:r>
      <w:r w:rsidRPr="001D3F00">
        <w:rPr>
          <w:rFonts w:hint="cs"/>
          <w:spacing w:val="0"/>
          <w:kern w:val="0"/>
          <w:sz w:val="20"/>
          <w:rtl/>
          <w:lang w:eastAsia="en-US"/>
        </w:rPr>
        <w:t xml:space="preserve">11 حالة تتعلق بممارسة التعذيب. وتم تقديم 6 من هذه الحالات إلى المحاكم. وبالمثل، أنزل الجيش النيبالي عقوبات بحق 6 من أفراده تورطوا في ممارسة التعذيب إبان فترة النزاع.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28-</w:t>
      </w:r>
      <w:r w:rsidRPr="001D3F00">
        <w:rPr>
          <w:rFonts w:hint="cs"/>
          <w:spacing w:val="0"/>
          <w:kern w:val="0"/>
          <w:sz w:val="20"/>
          <w:rtl/>
          <w:lang w:eastAsia="en-US"/>
        </w:rPr>
        <w:tab/>
        <w:t>وأوضحت الدولة الطرف أيضا أنها نفذت معظم التوصيات المقدمة من المقرر الخاص المعني بمسألة التعذيب، وتلك الواردة في الملاحظات الختامية للجنة. وعلى سبيل المثال، ومنذ التوقيع على اتفاق السلام الشامل في 21 تشرين الثاني/نوفمبر 2006، لم يشترك الجيش النيبالي في أية عملية لإنفاذ القانون ولم توجه إليه أي اتهامات بانتهاك حقوق الإنسان. وأصدر الجيش توجيهات سياساتية تتعلق بتعزيز وحماية حقوق الإنسان. واتُّخذت تدابير مؤسسية ملائمة من أجل مواصلة جهود إدماج مبادئ وقيم حقوق الإنسان في كل منظومة الوكالات الأمنية. وطُبقت سياسة عدم التسامح مع أية انتهاكات لحقوق الإنسان أو للقانون الإنساني الدولي. وباستثناء عمليات مكافحة التمرد خلال الفترة بين عام 2001 ونيسان/</w:t>
      </w:r>
      <w:r w:rsidR="007F4611">
        <w:rPr>
          <w:rFonts w:hint="cs"/>
          <w:spacing w:val="0"/>
          <w:kern w:val="0"/>
          <w:sz w:val="20"/>
          <w:rtl/>
          <w:lang w:eastAsia="en-US"/>
        </w:rPr>
        <w:t xml:space="preserve">      </w:t>
      </w:r>
      <w:r w:rsidRPr="001D3F00">
        <w:rPr>
          <w:rFonts w:hint="cs"/>
          <w:spacing w:val="0"/>
          <w:kern w:val="0"/>
          <w:sz w:val="20"/>
          <w:rtl/>
          <w:lang w:eastAsia="en-US"/>
        </w:rPr>
        <w:t>أبريل 2006، لم</w:t>
      </w:r>
      <w:r w:rsidRPr="001D3F00">
        <w:rPr>
          <w:rFonts w:hint="eastAsia"/>
          <w:spacing w:val="0"/>
          <w:kern w:val="0"/>
          <w:sz w:val="20"/>
          <w:rtl/>
          <w:lang w:eastAsia="en-US"/>
        </w:rPr>
        <w:t> </w:t>
      </w:r>
      <w:r w:rsidRPr="001D3F00">
        <w:rPr>
          <w:rFonts w:hint="cs"/>
          <w:spacing w:val="0"/>
          <w:kern w:val="0"/>
          <w:sz w:val="20"/>
          <w:rtl/>
          <w:lang w:eastAsia="en-US"/>
        </w:rPr>
        <w:t>يشترك الجيش النيبالي في أية أنشطة تتعلق بإنفاذ القوانين ولا توجد ادعاءات بتورطه في</w:t>
      </w:r>
      <w:r w:rsidRPr="001D3F00">
        <w:rPr>
          <w:rFonts w:hint="eastAsia"/>
          <w:spacing w:val="0"/>
          <w:kern w:val="0"/>
          <w:sz w:val="20"/>
          <w:rtl/>
          <w:lang w:eastAsia="en-US"/>
        </w:rPr>
        <w:t> </w:t>
      </w:r>
      <w:r w:rsidRPr="001D3F00">
        <w:rPr>
          <w:rFonts w:hint="cs"/>
          <w:spacing w:val="0"/>
          <w:kern w:val="0"/>
          <w:sz w:val="20"/>
          <w:rtl/>
          <w:lang w:eastAsia="en-US"/>
        </w:rPr>
        <w:t>انتهاكات لحقوق الإنسان قبل هذه الفترة أو بعدها. وعليه، فإن أية حادثة معزولة تُنسب</w:t>
      </w:r>
      <w:r w:rsidRPr="001D3F00">
        <w:rPr>
          <w:rFonts w:hint="eastAsia"/>
          <w:spacing w:val="0"/>
          <w:kern w:val="0"/>
          <w:sz w:val="20"/>
          <w:rtl/>
          <w:lang w:eastAsia="en-US"/>
        </w:rPr>
        <w:t> </w:t>
      </w:r>
      <w:r w:rsidRPr="001D3F00">
        <w:rPr>
          <w:rFonts w:hint="cs"/>
          <w:spacing w:val="0"/>
          <w:kern w:val="0"/>
          <w:sz w:val="20"/>
          <w:rtl/>
          <w:lang w:eastAsia="en-US"/>
        </w:rPr>
        <w:t>إلى الجيش النيبالي إبان فترة النزاع لم تقم على دوافع سياسية ولا تعتبر ناتجة عن إجراءات</w:t>
      </w:r>
      <w:r w:rsidRPr="001D3F00">
        <w:rPr>
          <w:rFonts w:hint="eastAsia"/>
          <w:spacing w:val="0"/>
          <w:kern w:val="0"/>
          <w:sz w:val="20"/>
          <w:rtl/>
          <w:lang w:eastAsia="en-US"/>
        </w:rPr>
        <w:t> </w:t>
      </w:r>
      <w:r w:rsidRPr="001D3F00">
        <w:rPr>
          <w:rFonts w:hint="cs"/>
          <w:spacing w:val="0"/>
          <w:kern w:val="0"/>
          <w:sz w:val="20"/>
          <w:rtl/>
          <w:lang w:eastAsia="en-US"/>
        </w:rPr>
        <w:t xml:space="preserve">متعمدة.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29-</w:t>
      </w:r>
      <w:r w:rsidRPr="001D3F00">
        <w:rPr>
          <w:rFonts w:hint="cs"/>
          <w:spacing w:val="0"/>
          <w:kern w:val="0"/>
          <w:sz w:val="20"/>
          <w:rtl/>
          <w:lang w:eastAsia="en-US"/>
        </w:rPr>
        <w:tab/>
        <w:t>وأكدت الدولة الطرف أنها توخت الحيطة والحذر بصورة أكبر طوال فترة عمليات مكافحة التمرد من أجل مراعاة القانون الدولي لحقوق الإنسان والقانون الإنساني الدولي. وفي سياق النزاع المسلح، أصدر رئيس أركان الجيش العديد من التوجيهات والتعليمات والأوامر للجيش النيبالي لكفالة الفهم التام لهذين القانونين الدوليين ونشرهما واحترامهما على كافة المستويات. وتضمن التوجيه الذي صدر في 12 آذار/مارس 2004 تعليمات واضحة بشأن احترام مدونات قواعد السلوك الواردة في القانونين خلال العمليات الأمنية. وحدد التوجيه إجراءات الاعتقال؛ وإجراءات التفتيش؛ والأوامر الدائمة المتعلقة بواجبات نقاط التفتيش؛ ومركز المقبوض عليهم؛ والإجراءات اللازم اتخاذها عقب إلقاء القبض عليهم؛ وتوفير الأمن للمقبوض عليهم/المحتجزين؛ وإجلاء المحتجزين؛ وكيفية التصرف مع المحتجزين؛ واستخدام الأسلحة النارية/أسلحة الهواء المضغوط؛ وتوفير الإعاشة والملابس والمرافق الطبية وغير الطبية للمحتجزين؛ والتعاون مع اللجنة الدولية للصليب الأحمر. كما شدد التوجيه على مسؤولية القادة على كافة المستويات عن التنفيذ الصارم للتوجيهات المتعلقة بحقوق الإنسان والقانون الإنساني فيما يصدرونه من أوامر، وعلى مساءلتهم عن ذلك؛ وعلى القادة تقديم الإحاطة الملائمة للقوات في مجال القانون الدولي لحقوق الإنسان والقانون الإنساني قبل بدء جميع العمليات، كما أن الإحاطة ضرورية عقب كل عملية؛ وينبغي لفرع الادعاء العام العسكري أن يطلع الوحدات المعنية على الأحكام الصادرة في القضايا المتعلقة بحقوق الإنسان؛ وينبغي للقادة أن يقوموا بتوعية قواتهم بشكل دوري في مجال حقوق الإنسان والقانون الإنساني؛ وسيجري</w:t>
      </w:r>
      <w:r w:rsidRPr="001D3F00">
        <w:rPr>
          <w:rFonts w:hint="eastAsia"/>
          <w:spacing w:val="0"/>
          <w:kern w:val="0"/>
          <w:sz w:val="20"/>
          <w:rtl/>
          <w:lang w:eastAsia="en-US"/>
        </w:rPr>
        <w:t> </w:t>
      </w:r>
      <w:r w:rsidRPr="001D3F00">
        <w:rPr>
          <w:rFonts w:hint="cs"/>
          <w:spacing w:val="0"/>
          <w:kern w:val="0"/>
          <w:sz w:val="20"/>
          <w:rtl/>
          <w:lang w:eastAsia="en-US"/>
        </w:rPr>
        <w:t xml:space="preserve">إنشاء وحدات معنية بحقوق الإنسان في مقار الفرق والألوية.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30-</w:t>
      </w:r>
      <w:r w:rsidRPr="001D3F00">
        <w:rPr>
          <w:rFonts w:hint="cs"/>
          <w:spacing w:val="0"/>
          <w:kern w:val="0"/>
          <w:sz w:val="20"/>
          <w:rtl/>
          <w:lang w:eastAsia="en-US"/>
        </w:rPr>
        <w:tab/>
        <w:t>وتوخياً لزياد تعميم احترام الجيش النيبالي لحقوق الإنسان والقانون الإنساني الدولي خلال النزاعات المسلحة، أصدر رئيس أركان الجيش آنذاك توجيها آخر في 10 كانون الثاني/يناير 2005 إلى كل فروع وإدارات وتشكيلات ووحدات الجيش. وتضمن هذا التوجيه تعليمات واضحة بشأن الإجراءات القضائية في المسائل المتعلقة بحقوق الإنسان والقانون الإنساني الدولي خلال العمليات العسكرية. وبعد التحركات الشعبية وقبل التوقيع على اتفاق السلام الشامل في 14 أيلول/سبتمبر 2006، أصدر رئيس الأركان المعيّن حديثاً، مع التأكيد مجدداً على التوجيه السابق، مجموعة من التعليمات الشاملة إلى كل فروع الجيش وإداراته وتشكيلاته ووحداته. وهذه المجموعة من التعليمات لم تقتصر على تأكيد الالتزام القوي والتام من جانب القيادات العليا للجيش النيبالي بتعزيز وحماية حقوق الإنسان فحسب، بل بيّنت أيضاً حساسية الامتثال لقواعد وقيم حقوق الإنسان والقانون الإنساني على نطاق نظام الجيش النيبالي ككل. وفي 22 شباط/فبراير 2008، أصدر رئيس أركان الجيش أمراً بدمج القانون الدولي لحقوق الإنسان والقانون الإنساني الدولي في جميع أساليب عمل الجيش. ويعمل الجيش النيبالي حالياً، بالتعاون مع لجنة الصليب الأحمر الدولية وكلية القانون في كاتماندو، على وضع كتيب لحقوق الإنسان والقانون الإنساني. وهذه الإجراءات والاحتياطات المتخذة، حتى في</w:t>
      </w:r>
      <w:r w:rsidRPr="001D3F00">
        <w:rPr>
          <w:rFonts w:hint="eastAsia"/>
          <w:spacing w:val="0"/>
          <w:kern w:val="0"/>
          <w:sz w:val="20"/>
          <w:rtl/>
          <w:lang w:eastAsia="en-US"/>
        </w:rPr>
        <w:t> </w:t>
      </w:r>
      <w:r w:rsidRPr="001D3F00">
        <w:rPr>
          <w:rFonts w:hint="cs"/>
          <w:spacing w:val="0"/>
          <w:kern w:val="0"/>
          <w:sz w:val="20"/>
          <w:rtl/>
          <w:lang w:eastAsia="en-US"/>
        </w:rPr>
        <w:t xml:space="preserve">أوقات النزاع المسلح، تبين عدم التساهل مع انتهاكات حقوق الإنسان، بما في ذلك التعذيب.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31-</w:t>
      </w:r>
      <w:r w:rsidRPr="001D3F00">
        <w:rPr>
          <w:rFonts w:hint="cs"/>
          <w:spacing w:val="0"/>
          <w:kern w:val="0"/>
          <w:sz w:val="20"/>
          <w:rtl/>
          <w:lang w:eastAsia="en-US"/>
        </w:rPr>
        <w:tab/>
        <w:t>وجرى تحويل الوحدة المعنية بحقوق الإنسان الموجودة في قيادة الجيش إلى إدارة معنية بحقوق الإنسان، وأصبحت هناك شعبة لحقوق الإنسان في كل فرقة، ووحدة لحقوق الإنسان</w:t>
      </w:r>
      <w:r w:rsidRPr="001D3F00">
        <w:rPr>
          <w:rFonts w:hint="eastAsia"/>
          <w:spacing w:val="0"/>
          <w:kern w:val="0"/>
          <w:sz w:val="20"/>
          <w:rtl/>
          <w:lang w:eastAsia="en-US"/>
        </w:rPr>
        <w:t> </w:t>
      </w:r>
      <w:r w:rsidRPr="001D3F00">
        <w:rPr>
          <w:rFonts w:hint="cs"/>
          <w:spacing w:val="0"/>
          <w:kern w:val="0"/>
          <w:sz w:val="20"/>
          <w:rtl/>
          <w:lang w:eastAsia="en-US"/>
        </w:rPr>
        <w:t>في كل لواء كجزء من الهيكل المؤسسي لهذه التشكيلات العسكرية. ويجري إنشاء وحدات لحقوق الإنسان على مستوى الكتائب والسرايا. وصدر توجيه ذو شقين بشأن حقوق الإنسان على مستوى الكتائب من أجل كفالة احترام حقوق الإنسان والقانون الإنساني الدولي.</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32-</w:t>
      </w:r>
      <w:r w:rsidRPr="001D3F00">
        <w:rPr>
          <w:rFonts w:hint="cs"/>
          <w:spacing w:val="0"/>
          <w:kern w:val="0"/>
          <w:sz w:val="20"/>
          <w:rtl/>
          <w:lang w:eastAsia="en-US"/>
        </w:rPr>
        <w:tab/>
        <w:t xml:space="preserve">وأجرى الجيش النيبالي تحقيقات في انتهاكات حقوق الإنسان التي زُعم أنها وقعت خلال النزاع وأصدر، بموجب الإجراءات القانونية المنصوص عليها في الدستور الانتقالي والقوانين ذات الصلة، العقوبات التالية ضد مجموعة من أفراد الجيش من مختلف الرتب: 118 حكماً بالسجن (من شهر واحد إلى عشر سنوات)؛ و62 حكماً بإنهاء الخدمة؛ و40 حكماً بخفض الرتبة العسكرية؛ و23 حكماً بالتجريد من الرتبة العسكرية؛ و26 حكماً بالحرمان من الترقية؛ و8 تحذيرات؛ و8 أحكام بدفع تعويضات لأسر الضحايا. وقدمت الدولة الطرف ملخصاً لكل قضية وإجراء اتخذته بهذا الصدد في مرفق أُلحق بملاحظاتها. وتشير الدولة الطرف إلى أن هذه القائمة توضح الاهتمام الكبير الذي يوليه الجيش النيبالي للتعامل الجاد مع أي حادث يتعلق بانتهاك حقوق الإنسان يتورط فيه أحد أفراد الجيش، واهتمامه بالتحقيق فيه ومعاقبة الجناة. كما ترى الدولة الطرف أن هذه القائمة تبيّن سياسة عدم التسامح مطلقاً مع مرتكبي انتهاكات حقوق الإنسان، وإن كانت هناك بعض الانتهاكات البسيطة التي تقع بالرغم من انتهاج هذه السياسة.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33-</w:t>
      </w:r>
      <w:r w:rsidRPr="001D3F00">
        <w:rPr>
          <w:rFonts w:hint="cs"/>
          <w:spacing w:val="0"/>
          <w:kern w:val="0"/>
          <w:sz w:val="20"/>
          <w:rtl/>
          <w:lang w:eastAsia="en-US"/>
        </w:rPr>
        <w:tab/>
        <w:t>وتشير الدولة الطرف كذلك إلى أن الوحدة المعنية بحقوق الإنسان التابعة لشرطة نيبال تقوم برصد الأنشطة التنفيذية التي تضطلع بها الشرطة وتصدر التوجيهات والتعليمات اللازمة لجميع وحداتها. وتتولى أيضاً إجراء تحقيقات داخلية فور تلقي شكاوى تتعلق بحقوق الإنسان. ووفقاً للدولة الطرف، اتُخذت إجراءات ضد الجناة الذين ثبتت إدانتهم بانتهاكات لحقوق الإنسان. وأنشئت آلية نظامية جيدة الأداء تابعة لشرطة نيبال من أجل الاستجابة للمزاعم المتعلقة بانتهاكات لحقوق الإنسان من جانب أفراد الشرطة من جميع الرتب والتحقيق فيها. وفي الفترة من 15 تموز/يوليه 2007 إلى 14 تموز/يوليه 2008، نظرت الوحدة المعنية بحقوق الإنسان التابعة لشرطة نيبال في 005 1 شكاوى من مختلف الأنواع تتعلق بحقوق الإنسان، أحالتها إليها منظمات وطنية ودولية معنية بحقوق الإنسان. واتخذت حتى الآن إجراءا</w:t>
      </w:r>
      <w:r w:rsidRPr="001D3F00">
        <w:rPr>
          <w:rFonts w:hint="eastAsia"/>
          <w:spacing w:val="0"/>
          <w:kern w:val="0"/>
          <w:sz w:val="20"/>
          <w:rtl/>
          <w:lang w:eastAsia="en-US"/>
        </w:rPr>
        <w:t>ت</w:t>
      </w:r>
      <w:r w:rsidRPr="001D3F00">
        <w:rPr>
          <w:rFonts w:hint="cs"/>
          <w:spacing w:val="0"/>
          <w:kern w:val="0"/>
          <w:sz w:val="20"/>
          <w:rtl/>
          <w:lang w:eastAsia="en-US"/>
        </w:rPr>
        <w:t xml:space="preserve"> ضد 318 من أفراد الشرطة من مختلف الرتب. وخلال تلك الفترة وحدها، أي من 15 تموز/يوليه 2007 إلى 14 تموز/يوليه 2008، اتُخذت إجراءات ضد</w:t>
      </w:r>
      <w:r w:rsidRPr="001D3F00">
        <w:rPr>
          <w:rFonts w:hint="eastAsia"/>
          <w:spacing w:val="0"/>
          <w:kern w:val="0"/>
          <w:sz w:val="20"/>
          <w:rtl/>
          <w:lang w:eastAsia="en-US"/>
        </w:rPr>
        <w:t> </w:t>
      </w:r>
      <w:r w:rsidRPr="001D3F00">
        <w:rPr>
          <w:rFonts w:hint="cs"/>
          <w:spacing w:val="0"/>
          <w:kern w:val="0"/>
          <w:sz w:val="20"/>
          <w:rtl/>
          <w:lang w:eastAsia="en-US"/>
        </w:rPr>
        <w:t xml:space="preserve">93 من أفراد الشرطة بسبب انتهاكات لحقوق الإنسان أثناء تأدية واجبات عملهم.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1"/>
          <w:kern w:val="0"/>
          <w:sz w:val="20"/>
          <w:lang w:eastAsia="en-US"/>
        </w:rPr>
      </w:pPr>
      <w:r w:rsidRPr="001D3F00">
        <w:rPr>
          <w:rFonts w:hint="cs"/>
          <w:spacing w:val="-1"/>
          <w:kern w:val="0"/>
          <w:sz w:val="20"/>
          <w:rtl/>
          <w:lang w:eastAsia="en-US"/>
        </w:rPr>
        <w:t>34-</w:t>
      </w:r>
      <w:r w:rsidRPr="001D3F00">
        <w:rPr>
          <w:rFonts w:hint="cs"/>
          <w:spacing w:val="-1"/>
          <w:kern w:val="0"/>
          <w:sz w:val="20"/>
          <w:rtl/>
          <w:lang w:eastAsia="en-US"/>
        </w:rPr>
        <w:tab/>
        <w:t xml:space="preserve">وتشير الدولة الطرف إلى أن السلطات تحتفظ بسجلات المحتجزين في مخافر الشرطة والسجون. ومُنحت محكمة الاستئناف وكبير مسؤولي المقاطعة صلاحية الاطلاع على السجلات في أي وقت. وبات الاحتفاظ بسجلات الاحتجاز أكثر منهجية وتفصيلاً بحيث يعطي معلومات مفصلة عن المحتجز والإفراج عنه أو نقله. ومُنحت اللجنة الوطنية لحقوق الإنسان، والمفوضية السامية لحقوق الإنسان، واللجنة الدولية للصليب الأحمر حق الوصول دون قيود إلى السجون وأماكن الاحتجاز في ظل التعاون اللازم من الحكومة. ويكفل الدستور الانتقالي استقلال القضاء وحق الأشخاص في التماس المثول الشخصي أمام القضاء. ويُكفل حق أي محتجز في التماس سبل الانتصاف الدستورية والتحقق من مشروعية احتجازه.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35-</w:t>
      </w:r>
      <w:r w:rsidRPr="001D3F00">
        <w:rPr>
          <w:rFonts w:hint="cs"/>
          <w:spacing w:val="0"/>
          <w:kern w:val="0"/>
          <w:sz w:val="20"/>
          <w:rtl/>
          <w:lang w:eastAsia="en-US"/>
        </w:rPr>
        <w:tab/>
        <w:t>وتشير الدولة الطرف إلى أنها تكفل حق كل شخص يُحتجز في الخضوع لفحص طبي وفي إعادة الفحص عند نقل الشخص إلى السجن بأمر من محكمة مختصة. وفي حال تورط أي رجل شرطة في ممارسة التعذيب، يجري التحقيق فوراً في الحالة ومعاقبة الجاني. وبالمثل، أحالت اللجنة الوطنية لحقوق الإنسان إلى الحكومة 5 قضايا حُكم فيها بدفع تعويضات لضحايا التعذيب، استناداً إلى لوائح اللجنة لعام 2000. ويقوم الضحايا حالياً باستكمال إجراءات استلام التعويضات. وبالإضافة إلى ذلك، دُفعت التعويضات بالفعل في</w:t>
      </w:r>
      <w:r w:rsidRPr="001D3F00">
        <w:rPr>
          <w:rFonts w:hint="eastAsia"/>
          <w:spacing w:val="0"/>
          <w:kern w:val="0"/>
          <w:sz w:val="20"/>
          <w:rtl/>
          <w:lang w:eastAsia="en-US"/>
        </w:rPr>
        <w:t> </w:t>
      </w:r>
      <w:r w:rsidRPr="001D3F00">
        <w:rPr>
          <w:rFonts w:hint="cs"/>
          <w:spacing w:val="0"/>
          <w:kern w:val="0"/>
          <w:sz w:val="20"/>
          <w:rtl/>
          <w:lang w:eastAsia="en-US"/>
        </w:rPr>
        <w:t xml:space="preserve">13 قضية تعويض أحالتها اللجنة الوطنية لحقوق الإنسان إلى الحكومة.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36-</w:t>
      </w:r>
      <w:r w:rsidRPr="001D3F00">
        <w:rPr>
          <w:rFonts w:hint="cs"/>
          <w:spacing w:val="0"/>
          <w:kern w:val="0"/>
          <w:sz w:val="20"/>
          <w:rtl/>
          <w:lang w:eastAsia="en-US"/>
        </w:rPr>
        <w:tab/>
        <w:t>وينص قانون منازعات الدولة لعام 1993 بوضوح على وجوب إجراء التحقيقات في الجرائم الجنائية بمشاركة وكلاء النيابة مباشرة وتحت إشرافهم. ومُنح المحتجزون الحق في استشارة محام من اختيارهم. وتخول المادة 135 من الدستور الانتقالي مكتب المدعي العام سلطة التحقيق في أي شكاوى أو ادعاءات تتعلق بممارسة التعذيب وسوء المعاملة. وتُدفع التعويضات لضحايا التعذيب تنفيذا للأوامر الصادرة عن المحاكم. وتجري حالياً العملية الداخلية المتعلقة بالتصديق على نظام روما الأساسي. وحصلت اللجنة الوطنية لحقوق الإنسان على المركز "ألف"، كما حصلت على مركز دستوري بموجب الدستور الانتقالي لعام</w:t>
      </w:r>
      <w:r w:rsidRPr="001D3F00">
        <w:rPr>
          <w:rFonts w:hint="eastAsia"/>
          <w:spacing w:val="0"/>
          <w:kern w:val="0"/>
          <w:sz w:val="20"/>
          <w:rtl/>
          <w:lang w:eastAsia="en-US"/>
        </w:rPr>
        <w:t> </w:t>
      </w:r>
      <w:r w:rsidRPr="001D3F00">
        <w:rPr>
          <w:rFonts w:hint="cs"/>
          <w:spacing w:val="0"/>
          <w:kern w:val="0"/>
          <w:sz w:val="20"/>
          <w:rtl/>
          <w:lang w:eastAsia="en-US"/>
        </w:rPr>
        <w:t xml:space="preserve">2007. وعُين رئيس اللجنة وأعضاء آخرون فيها. وتضاعفت الموارد المالية للجنة، وتقوم الدولة الطرف بتنفيذ توصيات اللجنة وتواصل الالتزام بالتعاون معها.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37-</w:t>
      </w:r>
      <w:r w:rsidRPr="001D3F00">
        <w:rPr>
          <w:rFonts w:hint="cs"/>
          <w:spacing w:val="0"/>
          <w:kern w:val="0"/>
          <w:sz w:val="20"/>
          <w:rtl/>
          <w:lang w:eastAsia="en-US"/>
        </w:rPr>
        <w:tab/>
        <w:t>وأصدرت وزارة الداخلية المبادئ التوجيهية المتعلقة بحقوق الإنسان لموظفيها المعنيين</w:t>
      </w:r>
      <w:r w:rsidRPr="001D3F00">
        <w:rPr>
          <w:rFonts w:hint="eastAsia"/>
          <w:spacing w:val="0"/>
          <w:kern w:val="0"/>
          <w:sz w:val="20"/>
          <w:rtl/>
          <w:lang w:eastAsia="en-US"/>
        </w:rPr>
        <w:t> </w:t>
      </w:r>
      <w:r w:rsidRPr="001D3F00">
        <w:rPr>
          <w:rFonts w:hint="cs"/>
          <w:spacing w:val="0"/>
          <w:kern w:val="0"/>
          <w:sz w:val="20"/>
          <w:rtl/>
          <w:lang w:eastAsia="en-US"/>
        </w:rPr>
        <w:t>بإنفاذ القانون. وتستهدف المبادئ التوجيهية كبار مسؤولي المقاطعات والمسؤولين عن السجون وموظفي الهجرة والمسؤولين في الشرطة والجيش. وتقوم الوزارة بالرصد الدوري لهذه المبادئ التوجيهية ومتابعتها. وتعمل نيبال على تنفيذ خطة العمل المتعلقة بحقوق الإنسان منذ عام 2004، وعقب استعراض شامل لهذه الخطة في عام 2008 من أجل مواءمتها مع إعمال الحقوق الاقتصادية والاجتماعية والثقافية بشكل عام، ومع الأهداف الإنمائية للألفية على وجه الخصوص، اعتُمدت خطة عمل أخرى مدتها ثلاث سنوات وهي قيد التنفيذ. وتشمل خطة العمل بصيغتها الجديدة جملة أجزاء منها فصول مستقلة تتعلق بإدارة</w:t>
      </w:r>
      <w:r w:rsidRPr="001D3F00">
        <w:rPr>
          <w:rFonts w:hint="eastAsia"/>
          <w:spacing w:val="0"/>
          <w:kern w:val="0"/>
          <w:sz w:val="20"/>
          <w:rtl/>
          <w:lang w:eastAsia="en-US"/>
        </w:rPr>
        <w:t> </w:t>
      </w:r>
      <w:r w:rsidRPr="001D3F00">
        <w:rPr>
          <w:rFonts w:hint="cs"/>
          <w:spacing w:val="0"/>
          <w:kern w:val="0"/>
          <w:sz w:val="20"/>
          <w:rtl/>
          <w:lang w:eastAsia="en-US"/>
        </w:rPr>
        <w:t>السجون وإصلاحها. وقد اعتمدت نهجاً يقوم على حقوق الإنسان إزاء الجهود الإنمائية</w:t>
      </w:r>
      <w:r w:rsidRPr="001D3F00">
        <w:rPr>
          <w:rFonts w:hint="eastAsia"/>
          <w:spacing w:val="0"/>
          <w:kern w:val="0"/>
          <w:sz w:val="20"/>
          <w:rtl/>
          <w:lang w:eastAsia="en-US"/>
        </w:rPr>
        <w:t> </w:t>
      </w:r>
      <w:r w:rsidRPr="001D3F00">
        <w:rPr>
          <w:rFonts w:hint="cs"/>
          <w:spacing w:val="0"/>
          <w:kern w:val="0"/>
          <w:sz w:val="20"/>
          <w:rtl/>
          <w:lang w:eastAsia="en-US"/>
        </w:rPr>
        <w:t xml:space="preserve">الوطنية.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38-</w:t>
      </w:r>
      <w:r w:rsidRPr="001D3F00">
        <w:rPr>
          <w:rFonts w:hint="cs"/>
          <w:spacing w:val="0"/>
          <w:kern w:val="0"/>
          <w:sz w:val="20"/>
          <w:rtl/>
          <w:lang w:eastAsia="en-US"/>
        </w:rPr>
        <w:tab/>
        <w:t xml:space="preserve">وأُطلق عدد كبير من برامج التوعية لفائدة رجال الأمن بشأن أهمية الامتثال لأحكام الاتفاقية عند التعامل مع الأوضاع المتصلة بحفظ النظام والقانون. ومن الأمثلة على جهود الدولة للوفاء بالتزاماتها بموجب الاتفاقية، الزيارة التي أجراها المقرر الخاص المعني بمسألة التعذيب، وتقديم التقرير الدوري الثاني للنظر فيه من قِبل اللجنة. وحتى في فترة النزاع، كانت نيبال تستجيب بصورة صريحة عند تلقي بلاغات عن حالات تعذيب يقدمها المقرر الخاص المعني بمسألة التعذيب. ويحظر القانون في نيبال بصرامة ممارسة التعذيب كوسيلة لانتزاع الاعترافات أو المعلومات من المحتجزين أو لأي أغراض أخرى، ولا تُقبل هذه الاعترافات كأدلة مشروعة أمام المحاكم. وتؤكد الدولة الطرف أنها لا تتبع سياسة تسمح بممارسة التعذيب كوسيلة للتحقيق الجنائي.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39-</w:t>
      </w:r>
      <w:r w:rsidRPr="001D3F00">
        <w:rPr>
          <w:rFonts w:hint="cs"/>
          <w:spacing w:val="0"/>
          <w:kern w:val="0"/>
          <w:sz w:val="20"/>
          <w:rtl/>
          <w:lang w:eastAsia="en-US"/>
        </w:rPr>
        <w:tab/>
        <w:t xml:space="preserve">وفيما يتعلق بالتحري عن أفراد الأمن لدى تعيينهم، أكدت الدولة الطرف أنها اعتمدت هذا النظام بمبادرة منها. ومنذ 15 أيار/مايو 2005، يطبق الجيش النيبالي سياسة حرمان أفراده المدانين في قضايا تتعلق بانتهاك حقوق الإنسان من المشاركة في مهام الأمم المتحدة لحفظ السلام.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eastAsia="en-US"/>
        </w:rPr>
      </w:pPr>
      <w:r w:rsidRPr="001D3F00">
        <w:rPr>
          <w:rFonts w:hint="cs"/>
          <w:spacing w:val="0"/>
          <w:kern w:val="0"/>
          <w:sz w:val="20"/>
          <w:rtl/>
          <w:lang w:eastAsia="en-US"/>
        </w:rPr>
        <w:t>40-</w:t>
      </w:r>
      <w:r w:rsidRPr="001D3F00">
        <w:rPr>
          <w:rFonts w:hint="cs"/>
          <w:spacing w:val="0"/>
          <w:kern w:val="0"/>
          <w:sz w:val="20"/>
          <w:rtl/>
          <w:lang w:eastAsia="en-US"/>
        </w:rPr>
        <w:tab/>
        <w:t xml:space="preserve">وعليه، فإن الدولة الطرف لم تقبل الادعاء بوجود "ممارسة منهجية للتعذيب" في نيبال وترفضه بشدة. كما رأت أن الملاحظات الفردية التي أُفيد عن إبداء بعض المسؤولين لها في إطار من الخصوصية لا يمكن تعميمها باعتبارها سياسة تنتهجها الدولة، وأن استنتاج انتشار ممارسة التعذيب على نطاق واسع في البلد بالاستناد فقط إلى عدد من الادعاءات هو أمر مبالغ فيه ولا يقر بالجهود التي بذلتها السلطات الوطنية لمكافحة هذه الجريمة. وبناءً على الملاحظات الواردة أعلاه، طلبت الدولة الطرف من اللجنة سحب إجراء التحقيق السري. </w:t>
      </w:r>
    </w:p>
    <w:p w:rsidR="001D3F00" w:rsidRPr="007F4611" w:rsidRDefault="001D3F00" w:rsidP="007F4611">
      <w:pPr>
        <w:pStyle w:val="H1GA"/>
        <w:jc w:val="lowKashida"/>
        <w:rPr>
          <w:rFonts w:ascii="Times New Roman Bold" w:hAnsi="Times New Roman Bold" w:hint="cs"/>
          <w:spacing w:val="0"/>
          <w:kern w:val="0"/>
          <w:rtl/>
          <w:lang w:eastAsia="en-US"/>
        </w:rPr>
      </w:pPr>
      <w:r w:rsidRPr="007F4611">
        <w:rPr>
          <w:rFonts w:ascii="Times New Roman Bold" w:hAnsi="Times New Roman Bold" w:hint="cs"/>
          <w:spacing w:val="0"/>
          <w:kern w:val="0"/>
          <w:rtl/>
          <w:lang w:eastAsia="en-US"/>
        </w:rPr>
        <w:tab/>
        <w:t>باء-</w:t>
      </w:r>
      <w:r w:rsidRPr="007F4611">
        <w:rPr>
          <w:rFonts w:ascii="Times New Roman Bold" w:hAnsi="Times New Roman Bold" w:hint="cs"/>
          <w:spacing w:val="0"/>
          <w:kern w:val="0"/>
          <w:rtl/>
          <w:lang w:eastAsia="en-US"/>
        </w:rPr>
        <w:tab/>
        <w:t>المعلومات الواردة من مصادر الأمم المتحدة، والمنظمات غير الحكومية، والمؤسسات الدولية لحقوق الإنسان</w:t>
      </w:r>
    </w:p>
    <w:p w:rsidR="001D3F00" w:rsidRPr="007F4611" w:rsidRDefault="001D3F00" w:rsidP="007F4611">
      <w:pPr>
        <w:pStyle w:val="H23GA"/>
        <w:rPr>
          <w:rFonts w:ascii="Times New Roman Bold" w:hAnsi="Times New Roman Bold" w:hint="cs"/>
          <w:spacing w:val="0"/>
          <w:kern w:val="0"/>
          <w:rtl/>
        </w:rPr>
      </w:pPr>
      <w:r w:rsidRPr="007F4611">
        <w:rPr>
          <w:rFonts w:ascii="Times New Roman Bold" w:hAnsi="Times New Roman Bold" w:hint="cs"/>
          <w:spacing w:val="0"/>
          <w:kern w:val="0"/>
          <w:rtl/>
        </w:rPr>
        <w:tab/>
        <w:t>1-</w:t>
      </w:r>
      <w:r w:rsidRPr="007F4611">
        <w:rPr>
          <w:rFonts w:ascii="Times New Roman Bold" w:hAnsi="Times New Roman Bold" w:hint="cs"/>
          <w:spacing w:val="0"/>
          <w:kern w:val="0"/>
          <w:rtl/>
        </w:rPr>
        <w:tab/>
        <w:t>ممارسة التعذيب والإعدام خارج نطاق القضاء</w:t>
      </w:r>
    </w:p>
    <w:p w:rsidR="001D3F00" w:rsidRPr="007F4611" w:rsidRDefault="001D3F00" w:rsidP="007F4611">
      <w:pPr>
        <w:pStyle w:val="H23GA"/>
        <w:rPr>
          <w:rFonts w:ascii="Times New Roman Bold" w:hAnsi="Times New Roman Bold" w:hint="cs"/>
          <w:spacing w:val="0"/>
          <w:kern w:val="0"/>
          <w:rtl/>
        </w:rPr>
      </w:pPr>
      <w:r w:rsidRPr="007F4611">
        <w:rPr>
          <w:rFonts w:ascii="Times New Roman Bold" w:hAnsi="Times New Roman Bold" w:hint="cs"/>
          <w:spacing w:val="0"/>
          <w:kern w:val="0"/>
          <w:rtl/>
        </w:rPr>
        <w:tab/>
        <w:t>(أ)</w:t>
      </w:r>
      <w:r w:rsidRPr="007F4611">
        <w:rPr>
          <w:rFonts w:ascii="Times New Roman Bold" w:hAnsi="Times New Roman Bold" w:hint="cs"/>
          <w:spacing w:val="0"/>
          <w:kern w:val="0"/>
          <w:rtl/>
        </w:rPr>
        <w:tab/>
        <w:t>مصادر الأمم المتحدة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eastAsia="en-US"/>
        </w:rPr>
        <w:t>41-</w:t>
      </w:r>
      <w:r w:rsidRPr="001D3F00">
        <w:rPr>
          <w:rFonts w:hint="cs"/>
          <w:spacing w:val="0"/>
          <w:kern w:val="0"/>
          <w:sz w:val="20"/>
          <w:rtl/>
          <w:lang w:eastAsia="en-US"/>
        </w:rPr>
        <w:tab/>
      </w:r>
      <w:r w:rsidRPr="001D3F00">
        <w:rPr>
          <w:rFonts w:hint="cs"/>
          <w:spacing w:val="0"/>
          <w:kern w:val="0"/>
          <w:sz w:val="20"/>
          <w:rtl/>
          <w:lang w:val="fr-CH" w:eastAsia="en-US"/>
        </w:rPr>
        <w:t xml:space="preserve">وفقاً لتقرير المفوضية السامية لحقوق الإنسان لعام 2009، قام مكتب المفوضية في نيبال بتوثيق 93 حالة تعذيب وسوء معاملة فضلاً عن عدد من حالات الاحتجاز غير القانوني. وعموماً، كانت جميع ادعاءات الاحتجاز غير القانوني وسوء المعاملة والتعذيب وغيرها من الانتهاكات ذات الصلة موجهة ضد شرطة نيبال ومسؤولي الغابات. أما الادعاءات ضد الشرطة المسلحة والجيش النيباليين فكانت تتعلق بالاستخدام المفرط للقوة الذي وصل أحياناً إلى القتل خارج نطاق القضاء خلال عمليات إعادة الأمن والنظام، ومكافحة الصيد غير المشروع في المتنزهات الوطنية. </w:t>
      </w:r>
    </w:p>
    <w:p w:rsidR="001D3F00" w:rsidRPr="007F4611" w:rsidRDefault="001D3F00" w:rsidP="007F4611">
      <w:pPr>
        <w:pStyle w:val="H4GA"/>
        <w:rPr>
          <w:rFonts w:hint="cs"/>
          <w:spacing w:val="0"/>
          <w:kern w:val="0"/>
          <w:rtl/>
          <w:lang w:eastAsia="en-US"/>
        </w:rPr>
      </w:pPr>
      <w:r w:rsidRPr="007F4611">
        <w:rPr>
          <w:rFonts w:hint="cs"/>
          <w:spacing w:val="0"/>
          <w:kern w:val="0"/>
          <w:rtl/>
          <w:lang w:eastAsia="en-US"/>
        </w:rPr>
        <w:tab/>
        <w:t>‘1‘</w:t>
      </w:r>
      <w:r w:rsidRPr="007F4611">
        <w:rPr>
          <w:rFonts w:hint="cs"/>
          <w:spacing w:val="0"/>
          <w:kern w:val="0"/>
          <w:rtl/>
          <w:lang w:eastAsia="en-US"/>
        </w:rPr>
        <w:tab/>
        <w:t xml:space="preserve">انتشار التعذيب وبخاصة أثناء التحقيق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42-</w:t>
      </w:r>
      <w:r w:rsidRPr="001D3F00">
        <w:rPr>
          <w:rFonts w:hint="cs"/>
          <w:spacing w:val="0"/>
          <w:kern w:val="0"/>
          <w:sz w:val="20"/>
          <w:rtl/>
          <w:lang w:val="fr-CH" w:eastAsia="en-US"/>
        </w:rPr>
        <w:tab/>
        <w:t>يشير تقرير مفوضة الأمم المتحدة السامية لحقوق الإنسان عن حالة حقوق الإنسان في نيبال لعام 2009</w:t>
      </w:r>
      <w:r w:rsidRPr="001D3F00">
        <w:rPr>
          <w:rFonts w:hint="cs"/>
          <w:spacing w:val="0"/>
          <w:kern w:val="0"/>
          <w:sz w:val="20"/>
          <w:vertAlign w:val="superscript"/>
          <w:rtl/>
          <w:lang w:val="fr-CH" w:eastAsia="en-US"/>
        </w:rPr>
        <w:t>(</w:t>
      </w:r>
      <w:r w:rsidRPr="001D3F00">
        <w:rPr>
          <w:b/>
          <w:spacing w:val="-2"/>
          <w:kern w:val="0"/>
          <w:szCs w:val="28"/>
          <w:vertAlign w:val="superscript"/>
          <w:rtl/>
          <w:lang w:val="fr-CH" w:eastAsia="en-US"/>
        </w:rPr>
        <w:footnoteReference w:id="46"/>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إلى انتشار التقارير التي تفيد عن وقوع حالات من سوء المعاملة تصل أحياناً إلى حد التعذيب، وبخاصة أثناء الاستجواب. كما ذكر المقرر الخاص المعني بمسألة التعذيب في تقريره المؤرخ 4 آذار/مارس 2011 وجود تقارير تفيد عن انتشار ممارسة الضرب وسوء المعاملة بدرجة وصلت أحيانا إلى حد التعذيب، وبخاصة أثناء الاستجواب</w:t>
      </w:r>
      <w:r w:rsidRPr="001D3F00">
        <w:rPr>
          <w:rFonts w:hint="cs"/>
          <w:spacing w:val="0"/>
          <w:kern w:val="0"/>
          <w:sz w:val="20"/>
          <w:vertAlign w:val="superscript"/>
          <w:rtl/>
          <w:lang w:val="fr-CH" w:eastAsia="en-US"/>
        </w:rPr>
        <w:t>(</w:t>
      </w:r>
      <w:r w:rsidRPr="001D3F00">
        <w:rPr>
          <w:b/>
          <w:spacing w:val="-2"/>
          <w:kern w:val="0"/>
          <w:szCs w:val="28"/>
          <w:vertAlign w:val="superscript"/>
          <w:rtl/>
          <w:lang w:val="fr-CH" w:eastAsia="en-US"/>
        </w:rPr>
        <w:footnoteReference w:id="47"/>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43-</w:t>
      </w:r>
      <w:r w:rsidRPr="001D3F00">
        <w:rPr>
          <w:rFonts w:hint="cs"/>
          <w:spacing w:val="0"/>
          <w:kern w:val="0"/>
          <w:sz w:val="20"/>
          <w:rtl/>
          <w:lang w:val="fr-CH" w:eastAsia="en-US"/>
        </w:rPr>
        <w:tab/>
        <w:t>وأشار المقرر الخاص بقلق إلى تقارير تتعلق بالاستهداف التمييزي لمحتجزين ينتمون إلى أقليات عرقية معينة وطبقات اجتماعية دنيا، فضلاً عن التقارير المتعلقة بممارسة التعذيب في الجزء الجنوبي من نيبال</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48"/>
      </w:r>
      <w:r w:rsidRPr="001D3F00">
        <w:rPr>
          <w:rFonts w:hint="cs"/>
          <w:spacing w:val="0"/>
          <w:kern w:val="0"/>
          <w:sz w:val="20"/>
          <w:vertAlign w:val="superscript"/>
          <w:rtl/>
          <w:lang w:val="fr-CH" w:eastAsia="en-US"/>
        </w:rPr>
        <w:t>)</w:t>
      </w:r>
      <w:r w:rsidRPr="001D3F00">
        <w:rPr>
          <w:rFonts w:hint="cs"/>
          <w:spacing w:val="0"/>
          <w:kern w:val="0"/>
          <w:sz w:val="20"/>
          <w:rtl/>
          <w:lang w:val="fr-CH" w:eastAsia="en-US"/>
        </w:rPr>
        <w:t>. كما أشار إلى أن الشرطة لا تزال تمارس التعذيب في جميع أرجاء البلد من أجل إكراه المحتجزين على الاعتراف أثناء الاستجواب</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49"/>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w:t>
      </w:r>
    </w:p>
    <w:p w:rsidR="001D3F00" w:rsidRPr="007F4611" w:rsidRDefault="001D3F00" w:rsidP="007F4611">
      <w:pPr>
        <w:pStyle w:val="H4GA"/>
        <w:rPr>
          <w:rFonts w:hint="cs"/>
          <w:spacing w:val="0"/>
          <w:kern w:val="0"/>
          <w:rtl/>
          <w:lang w:eastAsia="en-US"/>
        </w:rPr>
      </w:pPr>
      <w:r w:rsidRPr="007F4611">
        <w:rPr>
          <w:rFonts w:hint="cs"/>
          <w:spacing w:val="0"/>
          <w:kern w:val="0"/>
          <w:rtl/>
          <w:lang w:eastAsia="en-US"/>
        </w:rPr>
        <w:tab/>
        <w:t>‘2‘</w:t>
      </w:r>
      <w:r w:rsidRPr="007F4611">
        <w:rPr>
          <w:rFonts w:hint="cs"/>
          <w:spacing w:val="0"/>
          <w:kern w:val="0"/>
          <w:rtl/>
          <w:lang w:eastAsia="en-US"/>
        </w:rPr>
        <w:tab/>
        <w:t>تعذيب الأطفال أثناء الاحتجاز</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44-</w:t>
      </w:r>
      <w:r w:rsidRPr="001D3F00">
        <w:rPr>
          <w:rFonts w:hint="cs"/>
          <w:spacing w:val="0"/>
          <w:kern w:val="0"/>
          <w:sz w:val="20"/>
          <w:rtl/>
          <w:lang w:val="fr-CH" w:eastAsia="en-US"/>
        </w:rPr>
        <w:tab/>
        <w:t>ذكر المقرر الخاص أن 25.5 في المائة من الأحداث المحتجزين لدى الشرطة ادعوا أنهم تعرضوا للتعذيب أو سوء المعاملة خلال الفترة من تشرين الأول/أكتوبر 2008 إلى</w:t>
      </w:r>
      <w:r w:rsidRPr="001D3F00">
        <w:rPr>
          <w:rFonts w:hint="eastAsia"/>
          <w:spacing w:val="0"/>
          <w:kern w:val="0"/>
          <w:sz w:val="20"/>
          <w:rtl/>
          <w:lang w:val="fr-CH" w:eastAsia="en-US"/>
        </w:rPr>
        <w:t> </w:t>
      </w:r>
      <w:r w:rsidRPr="001D3F00">
        <w:rPr>
          <w:rFonts w:hint="cs"/>
          <w:spacing w:val="0"/>
          <w:kern w:val="0"/>
          <w:sz w:val="20"/>
          <w:rtl/>
          <w:lang w:val="fr-CH" w:eastAsia="en-US"/>
        </w:rPr>
        <w:t>حزيران/يونيه 2009. ولئن كان هذا الرقم أقل بنسبة 3.3 في المائة من الرقم الذي تم توثيقه خلال الفترة من كانون الثاني/يناير إلى أيلول/سبتمبر 2008، إلا أنه يظل أعلى كثيراً من النسبة المئوية للبالغين (18.8 في المائة). وحذر المقرر الخاص من أن استمرار نيبال في احتجاز الأحداث في مرافق معدة للبالغين يشكل مصدر قلق كبير في مجال حقوق الإنسان، لأن وجود الأطفال مع المجرمين البالغين يعرضهم للاغتصاب وغيره من ضروب الإيذاء</w:t>
      </w:r>
      <w:r w:rsidRPr="001D3F00">
        <w:rPr>
          <w:rFonts w:hint="cs"/>
          <w:spacing w:val="0"/>
          <w:kern w:val="0"/>
          <w:sz w:val="20"/>
          <w:vertAlign w:val="superscript"/>
          <w:rtl/>
          <w:lang w:val="fr-CH" w:eastAsia="en-US"/>
        </w:rPr>
        <w:t>(</w:t>
      </w:r>
      <w:r w:rsidRPr="001D3F00">
        <w:rPr>
          <w:b/>
          <w:spacing w:val="-2"/>
          <w:kern w:val="0"/>
          <w:szCs w:val="28"/>
          <w:vertAlign w:val="superscript"/>
          <w:rtl/>
          <w:lang w:val="fr-CH" w:eastAsia="en-US"/>
        </w:rPr>
        <w:footnoteReference w:id="50"/>
      </w:r>
      <w:r w:rsidRPr="001D3F00">
        <w:rPr>
          <w:rFonts w:hint="cs"/>
          <w:spacing w:val="0"/>
          <w:kern w:val="0"/>
          <w:sz w:val="20"/>
          <w:vertAlign w:val="superscript"/>
          <w:rtl/>
          <w:lang w:val="fr-CH" w:eastAsia="en-US"/>
        </w:rPr>
        <w:t>)</w:t>
      </w:r>
      <w:r w:rsidRPr="001D3F00">
        <w:rPr>
          <w:rFonts w:hint="cs"/>
          <w:spacing w:val="0"/>
          <w:kern w:val="0"/>
          <w:sz w:val="20"/>
          <w:rtl/>
          <w:lang w:val="fr-CH" w:eastAsia="en-US"/>
        </w:rPr>
        <w:t>.</w:t>
      </w:r>
    </w:p>
    <w:p w:rsidR="001D3F00" w:rsidRPr="007F4611" w:rsidRDefault="001D3F00" w:rsidP="007F4611">
      <w:pPr>
        <w:pStyle w:val="H4GA"/>
        <w:rPr>
          <w:rFonts w:hint="cs"/>
          <w:spacing w:val="0"/>
          <w:kern w:val="0"/>
          <w:rtl/>
          <w:lang w:eastAsia="en-US"/>
        </w:rPr>
      </w:pPr>
      <w:r w:rsidRPr="007F4611">
        <w:rPr>
          <w:rFonts w:hint="cs"/>
          <w:spacing w:val="0"/>
          <w:kern w:val="0"/>
          <w:rtl/>
          <w:lang w:eastAsia="en-US"/>
        </w:rPr>
        <w:tab/>
        <w:t>‘3‘</w:t>
      </w:r>
      <w:r w:rsidRPr="007F4611">
        <w:rPr>
          <w:rFonts w:hint="cs"/>
          <w:spacing w:val="0"/>
          <w:kern w:val="0"/>
          <w:rtl/>
          <w:lang w:eastAsia="en-US"/>
        </w:rPr>
        <w:tab/>
        <w:t>الاحتجاز في أماكن معزولة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45-</w:t>
      </w:r>
      <w:r w:rsidRPr="001D3F00">
        <w:rPr>
          <w:rFonts w:hint="cs"/>
          <w:spacing w:val="0"/>
          <w:kern w:val="0"/>
          <w:sz w:val="20"/>
          <w:rtl/>
          <w:lang w:val="fr-CH" w:eastAsia="en-US"/>
        </w:rPr>
        <w:tab/>
        <w:t xml:space="preserve">أصدر خبراء من الأمم المتحدة </w:t>
      </w:r>
      <w:r w:rsidRPr="001D3F00">
        <w:rPr>
          <w:spacing w:val="0"/>
          <w:kern w:val="0"/>
          <w:sz w:val="20"/>
          <w:rtl/>
          <w:lang w:val="fr-CH" w:eastAsia="en-US"/>
        </w:rPr>
        <w:t xml:space="preserve">دراسة مشتركة </w:t>
      </w:r>
      <w:r w:rsidRPr="001D3F00">
        <w:rPr>
          <w:rFonts w:hint="cs"/>
          <w:spacing w:val="0"/>
          <w:kern w:val="0"/>
          <w:sz w:val="20"/>
          <w:rtl/>
          <w:lang w:val="fr-CH" w:eastAsia="en-US"/>
        </w:rPr>
        <w:t xml:space="preserve">في 19 شباط/فبراير 2010 </w:t>
      </w:r>
      <w:r w:rsidRPr="001D3F00">
        <w:rPr>
          <w:spacing w:val="0"/>
          <w:kern w:val="0"/>
          <w:sz w:val="20"/>
          <w:rtl/>
          <w:lang w:val="fr-CH" w:eastAsia="en-US"/>
        </w:rPr>
        <w:t xml:space="preserve">بشأن الممارسات العالمية فيما يتصل بالاحتجاز </w:t>
      </w:r>
      <w:r w:rsidRPr="001D3F00">
        <w:rPr>
          <w:rFonts w:hint="cs"/>
          <w:spacing w:val="0"/>
          <w:kern w:val="0"/>
          <w:sz w:val="20"/>
          <w:rtl/>
          <w:lang w:val="fr-CH" w:eastAsia="en-US"/>
        </w:rPr>
        <w:t xml:space="preserve">في أماكن مجهولة </w:t>
      </w:r>
      <w:r w:rsidRPr="001D3F00">
        <w:rPr>
          <w:spacing w:val="0"/>
          <w:kern w:val="0"/>
          <w:sz w:val="20"/>
          <w:rtl/>
          <w:lang w:val="fr-CH" w:eastAsia="en-US"/>
        </w:rPr>
        <w:t>في سياق مكافحة الإرهاب</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1"/>
      </w:r>
      <w:r w:rsidRPr="001D3F00">
        <w:rPr>
          <w:rFonts w:hint="cs"/>
          <w:spacing w:val="0"/>
          <w:kern w:val="0"/>
          <w:sz w:val="20"/>
          <w:vertAlign w:val="superscript"/>
          <w:rtl/>
          <w:lang w:val="fr-CH" w:eastAsia="en-US"/>
        </w:rPr>
        <w:t>)</w:t>
      </w:r>
      <w:r w:rsidRPr="001D3F00">
        <w:rPr>
          <w:rFonts w:hint="cs"/>
          <w:spacing w:val="0"/>
          <w:kern w:val="0"/>
          <w:sz w:val="20"/>
          <w:rtl/>
          <w:lang w:val="fr-CH" w:eastAsia="en-US"/>
        </w:rPr>
        <w:t>، تتناول ممارسات سوء المعاملة في أماكن الاحتجاز المعزولة. وقد أشارت هذه الدراسة المشتركة على وجه الخصوص إلى تقارير مفوضية حقوق الإنسان بشأن سوء معاملة المحتجزين في اثنين من مراكز الاحتجاز المجهولة في نيبال داخل ثكنات الجيش، وفي ثكنة ماهاراجغونج في كاتماندو (2006)، وثكنة شيساباني في مقاطعة بارديا (2008).</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46-</w:t>
      </w:r>
      <w:r w:rsidRPr="001D3F00">
        <w:rPr>
          <w:rFonts w:hint="cs"/>
          <w:spacing w:val="0"/>
          <w:kern w:val="0"/>
          <w:sz w:val="20"/>
          <w:rtl/>
          <w:lang w:val="fr-CH" w:eastAsia="en-US"/>
        </w:rPr>
        <w:tab/>
        <w:t>وفي عام 2006، وبعد انتهاء النزاع المسلح، وثّقت مفوضية حقوق الإنسان العديد من الحالات التي تعرض فيها أشخاص يُشتبه في انتمائهم إلى جماعات مسلحة للاحتجاز لفترات قصيرة في أماكن احتجاز مجهولة غير معترف بها، ووصلت فترة الاحتجاز في أسوأ الحالات إلى 11 يوماً</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2"/>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وفي حزيران/يونيه 2007، </w:t>
      </w:r>
      <w:r w:rsidRPr="001D3F00">
        <w:rPr>
          <w:rFonts w:hint="cs"/>
          <w:spacing w:val="0"/>
          <w:kern w:val="0"/>
          <w:sz w:val="20"/>
          <w:rtl/>
          <w:lang w:eastAsia="en-US"/>
        </w:rPr>
        <w:t xml:space="preserve">أصدرت المحكمة العليا في نيبال أمراً يُعد سابقة استجابة لالتماسات بشأن </w:t>
      </w:r>
      <w:r w:rsidRPr="001D3F00">
        <w:rPr>
          <w:rFonts w:hint="cs"/>
          <w:i/>
          <w:iCs/>
          <w:spacing w:val="0"/>
          <w:kern w:val="0"/>
          <w:sz w:val="20"/>
          <w:rtl/>
          <w:lang w:eastAsia="en-US"/>
        </w:rPr>
        <w:t>المثول الشخصي أمام القضاء</w:t>
      </w:r>
      <w:r w:rsidRPr="001D3F00">
        <w:rPr>
          <w:rFonts w:hint="cs"/>
          <w:spacing w:val="0"/>
          <w:kern w:val="0"/>
          <w:sz w:val="20"/>
          <w:rtl/>
          <w:lang w:eastAsia="en-US"/>
        </w:rPr>
        <w:t xml:space="preserve"> فيما يتعلق بعشرات القضايا، فأمرت الحكومة بتشكيل لجنة تحقيق تمتثل للمعايير الدولية من أجل النظر في حالات الاختفاء، وسن قانون يُجرّم ممارسة الاختفاء القسري، وملاحقة المسؤولين عن حالات الاختفاء التي وقعت في الماضي وتعويض أسر الضحايا. </w:t>
      </w:r>
      <w:r w:rsidRPr="001D3F00">
        <w:rPr>
          <w:rFonts w:hint="cs"/>
          <w:spacing w:val="0"/>
          <w:kern w:val="0"/>
          <w:sz w:val="20"/>
          <w:rtl/>
          <w:lang w:val="fr-CH" w:eastAsia="en-US"/>
        </w:rPr>
        <w:t>ومع ذلك، ذكر المقرر الخاص المعني بمسألة التعذيب في تقرير المتابعة المقدم عام 2011 أن الشرطة تنفي باستمرار وجود أعضاء مشتبه في انتمائهم لجماعات مسلحة في أماكن الاحتجاز التابعة لها، وأنها تحتجز الأفراد في أماكن معزولة لعدة أيام قبل الاعتراف بأنهم قيد الاحتجاز أو منح منظمات من قبيل المفوضية السامية أو المنظمة الوطنية لحقوق الإنسان حق الوصول إليهم. وأعرب المقرر الخاص عن أسفه لأن الدولة الطرف لم تتخذ الخطوات اللازمة لاعتبار الاحتجاز في أماكن معزولة أو في أماكن مجهولة خروجاً على القانون، ودعت اللجنة الدولة الطرف إلى الإفراج فوراً عن الأعداد الكبيرة من الأشخاص الذين يُزعم أن الشرطة النيبالية المسلحة تحتجزهم بصورة تعسفية في أماكن غير معلومة</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3"/>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w:t>
      </w:r>
    </w:p>
    <w:p w:rsidR="001D3F00" w:rsidRPr="007F4611" w:rsidRDefault="001D3F00" w:rsidP="007F4611">
      <w:pPr>
        <w:pStyle w:val="H4GA"/>
        <w:rPr>
          <w:rFonts w:hint="cs"/>
          <w:spacing w:val="0"/>
          <w:kern w:val="0"/>
          <w:rtl/>
          <w:lang w:eastAsia="en-US"/>
        </w:rPr>
      </w:pPr>
      <w:r w:rsidRPr="007F4611">
        <w:rPr>
          <w:rFonts w:hint="cs"/>
          <w:spacing w:val="0"/>
          <w:kern w:val="0"/>
          <w:rtl/>
          <w:lang w:eastAsia="en-US"/>
        </w:rPr>
        <w:tab/>
        <w:t>‘4‘</w:t>
      </w:r>
      <w:r w:rsidRPr="007F4611">
        <w:rPr>
          <w:rFonts w:hint="cs"/>
          <w:spacing w:val="0"/>
          <w:kern w:val="0"/>
          <w:rtl/>
          <w:lang w:eastAsia="en-US"/>
        </w:rPr>
        <w:tab/>
        <w:t>الانتهاكات في إقليم تيراي</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47-</w:t>
      </w:r>
      <w:r w:rsidRPr="001D3F00">
        <w:rPr>
          <w:rFonts w:hint="cs"/>
          <w:spacing w:val="0"/>
          <w:kern w:val="0"/>
          <w:sz w:val="20"/>
          <w:rtl/>
          <w:lang w:val="fr-CH" w:eastAsia="en-US"/>
        </w:rPr>
        <w:tab/>
        <w:t xml:space="preserve">في موجز الشواغل الذي </w:t>
      </w:r>
      <w:r w:rsidRPr="001D3F00">
        <w:rPr>
          <w:spacing w:val="0"/>
          <w:kern w:val="0"/>
          <w:sz w:val="20"/>
          <w:rtl/>
          <w:lang w:val="fr-CH" w:eastAsia="en-US"/>
        </w:rPr>
        <w:t>أصدر</w:t>
      </w:r>
      <w:r w:rsidRPr="001D3F00">
        <w:rPr>
          <w:rFonts w:hint="cs"/>
          <w:spacing w:val="0"/>
          <w:kern w:val="0"/>
          <w:sz w:val="20"/>
          <w:rtl/>
          <w:lang w:val="fr-CH" w:eastAsia="en-US"/>
        </w:rPr>
        <w:t>ته</w:t>
      </w:r>
      <w:r w:rsidRPr="001D3F00">
        <w:rPr>
          <w:spacing w:val="0"/>
          <w:kern w:val="0"/>
          <w:sz w:val="20"/>
          <w:rtl/>
          <w:lang w:val="fr-CH" w:eastAsia="en-US"/>
        </w:rPr>
        <w:t xml:space="preserve"> مفوضية </w:t>
      </w:r>
      <w:r w:rsidRPr="001D3F00">
        <w:rPr>
          <w:rFonts w:hint="cs"/>
          <w:spacing w:val="0"/>
          <w:kern w:val="0"/>
          <w:sz w:val="20"/>
          <w:rtl/>
          <w:lang w:val="fr-CH" w:eastAsia="en-US"/>
        </w:rPr>
        <w:t xml:space="preserve">حقوق الإنسان (تموز/يوليه 2010)، حققت المفوضية </w:t>
      </w:r>
      <w:r w:rsidRPr="001D3F00">
        <w:rPr>
          <w:spacing w:val="0"/>
          <w:kern w:val="0"/>
          <w:sz w:val="20"/>
          <w:rtl/>
          <w:lang w:val="fr-CH" w:eastAsia="en-US"/>
        </w:rPr>
        <w:t xml:space="preserve">في </w:t>
      </w:r>
      <w:r w:rsidRPr="001D3F00">
        <w:rPr>
          <w:rFonts w:hint="cs"/>
          <w:spacing w:val="0"/>
          <w:kern w:val="0"/>
          <w:sz w:val="20"/>
          <w:rtl/>
          <w:lang w:val="fr-CH" w:eastAsia="en-US"/>
        </w:rPr>
        <w:t xml:space="preserve">ادعاءات </w:t>
      </w:r>
      <w:r w:rsidRPr="001D3F00">
        <w:rPr>
          <w:spacing w:val="0"/>
          <w:kern w:val="0"/>
          <w:sz w:val="20"/>
          <w:rtl/>
          <w:lang w:val="fr-CH" w:eastAsia="en-US"/>
        </w:rPr>
        <w:t xml:space="preserve">وقوع عمليات قتل </w:t>
      </w:r>
      <w:r w:rsidRPr="001D3F00">
        <w:rPr>
          <w:rFonts w:hint="cs"/>
          <w:spacing w:val="0"/>
          <w:kern w:val="0"/>
          <w:sz w:val="20"/>
          <w:rtl/>
          <w:lang w:val="fr-CH" w:eastAsia="en-US"/>
        </w:rPr>
        <w:t>خارج نطاق القضاء</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4"/>
      </w:r>
      <w:r w:rsidRPr="001D3F00">
        <w:rPr>
          <w:rFonts w:hint="cs"/>
          <w:spacing w:val="0"/>
          <w:kern w:val="0"/>
          <w:sz w:val="20"/>
          <w:vertAlign w:val="superscript"/>
          <w:rtl/>
          <w:lang w:val="fr-CH" w:eastAsia="en-US"/>
        </w:rPr>
        <w:t>)</w:t>
      </w:r>
      <w:r w:rsidRPr="001D3F00">
        <w:rPr>
          <w:spacing w:val="0"/>
          <w:kern w:val="0"/>
          <w:sz w:val="20"/>
          <w:rtl/>
          <w:lang w:val="fr-CH" w:eastAsia="en-US"/>
        </w:rPr>
        <w:t xml:space="preserve"> في</w:t>
      </w:r>
      <w:r w:rsidRPr="001D3F00">
        <w:rPr>
          <w:rFonts w:hint="cs"/>
          <w:spacing w:val="0"/>
          <w:kern w:val="0"/>
          <w:sz w:val="20"/>
          <w:rtl/>
          <w:lang w:val="fr-CH" w:eastAsia="en-US"/>
        </w:rPr>
        <w:t xml:space="preserve"> إقليم</w:t>
      </w:r>
      <w:r w:rsidRPr="001D3F00">
        <w:rPr>
          <w:spacing w:val="0"/>
          <w:kern w:val="0"/>
          <w:sz w:val="20"/>
          <w:rtl/>
          <w:lang w:val="fr-CH" w:eastAsia="en-US"/>
        </w:rPr>
        <w:t xml:space="preserve"> تيراي، </w:t>
      </w:r>
      <w:r w:rsidRPr="001D3F00">
        <w:rPr>
          <w:rFonts w:hint="cs"/>
          <w:spacing w:val="0"/>
          <w:kern w:val="0"/>
          <w:sz w:val="20"/>
          <w:rtl/>
          <w:lang w:val="fr-CH" w:eastAsia="en-US"/>
        </w:rPr>
        <w:t xml:space="preserve">مع التركيز بالتحديد على المزاعم المتعلقة بالوسائل غير القانونية التي تستخدمها قوات الأمن خلال عملياتها وتؤدي إلى قتل المدنيين. واعتمدت الحكومة "خطة الأمن الخاصة" في نهاية تموز/يوليه 2009. ومع أن الخطة تشمل تعهداً باحترام حقوق الإنسان، فثمة ادعاءات جديرة بالثقة مفادها أن عمليات القتل خارج نطاق القضاء لا تزال مستمرة ولم يُحقق في معظمها، وفقاً للمعلومات التي تلقتها المفوضية السامية. ووثّقت المفوضية في تقريرها وفي تحقيقاتها السابقة وجود نمط ثابت للجوء قوات الأمن إلى استخدام القوة المفرطة أو الفتاكة أحياناً بصورة غير مبررة خلال العمليات. وبالإضافة إلى ذلك، اعترض فريق الأمم المتحدة القطري في نيبال على عدم الملاحقة القضائية لمن يُزعم تورطهم في ارتكاب هذه الأفعال.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48-</w:t>
      </w:r>
      <w:r w:rsidRPr="001D3F00">
        <w:rPr>
          <w:rFonts w:hint="cs"/>
          <w:spacing w:val="0"/>
          <w:kern w:val="0"/>
          <w:sz w:val="20"/>
          <w:rtl/>
          <w:lang w:val="fr-CH" w:eastAsia="en-US"/>
        </w:rPr>
        <w:tab/>
        <w:t>أما موجز الشواغل الذي أصدرته المفوضية السامية لحقوق الإنسان في عام 2010 فيتناول على وجه الخصوص الحالات التي حدثت فيها وفاة شخص ما بعد اعتقاله من قِبل شرطة نيبال أو الشرطة المسلحة أو أفراد الجيش النيبالي، أو الحالات التي يُقتل فيها شخص ما خلال عملية لقوات الأمن دون أن يكون قد شكل خطراً جسيماً على الحياة، أو إذا كانت هناك وسيلة أخرى متاحة لإنفاذ القانون. وغالباً ما تتنافى هذه الادعاءات مع الروايات الرسمية التي تفيد بأن الشخص قُتل خلال تبادل لإطلاق النيران. وفي الفترة من كانون الثاني/ يناير 2008 إلى حزيران/يونيه 2010، تلقت المفوضية السامية تقارير عن 39 حادثة أدت إلى مقتل 15 شخصاً، انطوت على ادعاءات صادقة بشأن الاستخدام غير القانوني للقوة الفتاكة. وزُعم أن هذه الحوادث وقعت كلها، باستثناء اثنتين منها، في أحياء تيراي الواقعة في المنطقتين الشرقية والوسطى. وكانت البلاغات الأولية (الشكوى الأولية المقدمة للشرطة والتي يبدأ التحقيق بموجبها) المقدمة من أقرباء الضحية تُسجل في القليل من الحالات. وتدعي الشرطة في عدة حالات أنها بدأت إجراء التحقيقات الخاصة بها. ومع ذلك، لم تفض تلك التحقيقات إلى اتخاذ إجراءات تأديبية أو جنائية جادة ضد الجناة المزعومين.</w:t>
      </w:r>
    </w:p>
    <w:p w:rsidR="001D3F00" w:rsidRPr="007F4611" w:rsidRDefault="001D3F00" w:rsidP="007F4611">
      <w:pPr>
        <w:pStyle w:val="H4GA"/>
        <w:rPr>
          <w:rFonts w:hint="cs"/>
          <w:spacing w:val="0"/>
          <w:kern w:val="0"/>
          <w:rtl/>
          <w:lang w:eastAsia="en-US"/>
        </w:rPr>
      </w:pPr>
      <w:r w:rsidRPr="007F4611">
        <w:rPr>
          <w:rFonts w:hint="cs"/>
          <w:spacing w:val="0"/>
          <w:kern w:val="0"/>
          <w:rtl/>
          <w:lang w:eastAsia="en-US"/>
        </w:rPr>
        <w:tab/>
        <w:t>‘5‘</w:t>
      </w:r>
      <w:r w:rsidRPr="007F4611">
        <w:rPr>
          <w:rFonts w:hint="cs"/>
          <w:spacing w:val="0"/>
          <w:kern w:val="0"/>
          <w:rtl/>
          <w:lang w:eastAsia="en-US"/>
        </w:rPr>
        <w:tab/>
        <w:t>عدم جدوى الضمانات الرامية إلى الحماية من التعذيب</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rFonts w:hint="cs"/>
          <w:spacing w:val="0"/>
          <w:kern w:val="0"/>
          <w:sz w:val="20"/>
          <w:rtl/>
          <w:lang w:val="fr-CH" w:eastAsia="en-US"/>
        </w:rPr>
      </w:pPr>
      <w:r w:rsidRPr="001D3F00">
        <w:rPr>
          <w:rFonts w:hint="cs"/>
          <w:spacing w:val="0"/>
          <w:kern w:val="0"/>
          <w:sz w:val="20"/>
          <w:rtl/>
          <w:lang w:val="fr-CH" w:eastAsia="en-US"/>
        </w:rPr>
        <w:tab/>
        <w:t>(أ)</w:t>
      </w:r>
      <w:r w:rsidRPr="001D3F00">
        <w:rPr>
          <w:rFonts w:hint="cs"/>
          <w:spacing w:val="0"/>
          <w:kern w:val="0"/>
          <w:sz w:val="20"/>
          <w:rtl/>
          <w:lang w:val="fr-CH" w:eastAsia="en-US"/>
        </w:rPr>
        <w:tab/>
        <w:t>سجلات الاحتجاز</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49-</w:t>
      </w:r>
      <w:r w:rsidRPr="001D3F00">
        <w:rPr>
          <w:rFonts w:hint="cs"/>
          <w:spacing w:val="0"/>
          <w:kern w:val="0"/>
          <w:sz w:val="20"/>
          <w:rtl/>
          <w:lang w:val="fr-CH" w:eastAsia="en-US"/>
        </w:rPr>
        <w:tab/>
        <w:t>ورد في تقرير المتابعة الذي قدمه المقرر الخاص المعني بمسألة التعذيب في عام 2011 أن المحتجزين لدى الشرطة يبقون لفترة تتجاوز مدة اﻟ</w:t>
      </w:r>
      <w:r w:rsidRPr="001D3F00">
        <w:rPr>
          <w:rFonts w:hint="eastAsia"/>
          <w:spacing w:val="0"/>
          <w:kern w:val="0"/>
          <w:sz w:val="20"/>
          <w:rtl/>
          <w:lang w:val="fr-CH" w:eastAsia="en-US"/>
        </w:rPr>
        <w:t> </w:t>
      </w:r>
      <w:r w:rsidRPr="001D3F00">
        <w:rPr>
          <w:rFonts w:hint="cs"/>
          <w:spacing w:val="0"/>
          <w:kern w:val="0"/>
          <w:sz w:val="20"/>
          <w:rtl/>
          <w:lang w:val="fr-CH" w:eastAsia="en-US"/>
        </w:rPr>
        <w:t>24 ساعة التي ينص عليها القانون، وأن الشرطة لا تزال تحتفظ بسجلات احتجاز غير دقيقة تزور فيها تاريخ الاعتقال</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5"/>
      </w:r>
      <w:r w:rsidRPr="001D3F00">
        <w:rPr>
          <w:rFonts w:hint="cs"/>
          <w:spacing w:val="0"/>
          <w:kern w:val="0"/>
          <w:sz w:val="20"/>
          <w:vertAlign w:val="superscript"/>
          <w:rtl/>
          <w:lang w:val="fr-CH" w:eastAsia="en-US"/>
        </w:rPr>
        <w:t>)</w:t>
      </w:r>
      <w:r w:rsidRPr="001D3F00">
        <w:rPr>
          <w:rFonts w:hint="cs"/>
          <w:spacing w:val="0"/>
          <w:kern w:val="0"/>
          <w:sz w:val="20"/>
          <w:rtl/>
          <w:lang w:val="fr-CH" w:eastAsia="en-US"/>
        </w:rPr>
        <w:t>. وعدم توافر سجلات دقيقة في الكثير من السجون ومرافق الاحتجاز يجعل من العسير مساءلة رجال الشرطة عن هذه الانتهاكات</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6"/>
      </w:r>
      <w:r w:rsidRPr="001D3F00">
        <w:rPr>
          <w:rFonts w:hint="cs"/>
          <w:spacing w:val="0"/>
          <w:kern w:val="0"/>
          <w:sz w:val="20"/>
          <w:vertAlign w:val="superscript"/>
          <w:rtl/>
          <w:lang w:val="fr-CH" w:eastAsia="en-US"/>
        </w:rPr>
        <w:t>)</w:t>
      </w:r>
      <w:r w:rsidRPr="001D3F00">
        <w:rPr>
          <w:rFonts w:hint="cs"/>
          <w:spacing w:val="0"/>
          <w:kern w:val="0"/>
          <w:sz w:val="20"/>
          <w:rtl/>
          <w:lang w:val="fr-CH" w:eastAsia="en-US"/>
        </w:rPr>
        <w:t>. ووفقاً لقانون الشرطة، تُلزم سلطات الشرطة بالاحتفاظ بسجل موحد يوضح جميع الشكاوى والاتهامات، وأسماء المعتقلين، وأسماء مقدمي الشكاوى، والجرائم التي اعتقل الأشخاص بسببها، والأسلحة أو المقتنيات التي صودرت منهم أو من مصادر أخرى، فضلاً عن أسماء الشهود. ومع ذلك، فإن استخدام سجلات ودفاتر مؤقتة بدلاً من السجلات الموحدة لا يزال يطرح مشكلة. وعادة لا يدون رجال الشرطة التاريخ الفعلي للاعتقال، وذلك من أجل تعديله لإعطاء الانطباع بمراعاة فترة اﻟ</w:t>
      </w:r>
      <w:r w:rsidRPr="001D3F00">
        <w:rPr>
          <w:rFonts w:hint="eastAsia"/>
          <w:spacing w:val="0"/>
          <w:kern w:val="0"/>
          <w:sz w:val="20"/>
          <w:rtl/>
          <w:lang w:val="fr-CH" w:eastAsia="en-US"/>
        </w:rPr>
        <w:t> </w:t>
      </w:r>
      <w:r w:rsidRPr="001D3F00">
        <w:rPr>
          <w:rFonts w:hint="cs"/>
          <w:spacing w:val="0"/>
          <w:kern w:val="0"/>
          <w:sz w:val="20"/>
          <w:rtl/>
          <w:lang w:val="fr-CH" w:eastAsia="en-US"/>
        </w:rPr>
        <w:t>24 ساعة التي ينص عليها القانون. ولا يُحتفظ بسجلات في الحالات التي يفرج فيها عن الشخص المحتجز في غضون بضع ساعات أو في خلال الأيام الأولى القليلة بعد القبض عليه. وبالإضافة إلى ذلك، لا يُسمح عادة بالوصول إلى الأقرباء والمحامين إلا</w:t>
      </w:r>
      <w:r w:rsidRPr="001D3F00">
        <w:rPr>
          <w:rFonts w:hint="eastAsia"/>
          <w:spacing w:val="0"/>
          <w:kern w:val="0"/>
          <w:sz w:val="20"/>
          <w:rtl/>
          <w:lang w:val="fr-CH" w:eastAsia="en-US"/>
        </w:rPr>
        <w:t> </w:t>
      </w:r>
      <w:r w:rsidRPr="001D3F00">
        <w:rPr>
          <w:rFonts w:hint="cs"/>
          <w:spacing w:val="0"/>
          <w:kern w:val="0"/>
          <w:sz w:val="20"/>
          <w:rtl/>
          <w:lang w:val="fr-CH" w:eastAsia="en-US"/>
        </w:rPr>
        <w:t>عند تقديم المحتجزين إلى المحكمة</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7"/>
      </w:r>
      <w:r w:rsidRPr="001D3F00">
        <w:rPr>
          <w:rFonts w:hint="cs"/>
          <w:spacing w:val="0"/>
          <w:kern w:val="0"/>
          <w:sz w:val="20"/>
          <w:vertAlign w:val="superscript"/>
          <w:rtl/>
          <w:lang w:val="fr-CH" w:eastAsia="en-US"/>
        </w:rPr>
        <w:t>)</w:t>
      </w:r>
      <w:r w:rsidRPr="001D3F00">
        <w:rPr>
          <w:rFonts w:hint="cs"/>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rFonts w:hint="cs"/>
          <w:spacing w:val="0"/>
          <w:kern w:val="0"/>
          <w:sz w:val="20"/>
          <w:rtl/>
          <w:lang w:val="fr-CH" w:eastAsia="en-US"/>
        </w:rPr>
      </w:pPr>
      <w:r w:rsidRPr="001D3F00">
        <w:rPr>
          <w:rFonts w:hint="cs"/>
          <w:spacing w:val="0"/>
          <w:kern w:val="0"/>
          <w:sz w:val="20"/>
          <w:rtl/>
          <w:lang w:val="fr-CH" w:eastAsia="en-US"/>
        </w:rPr>
        <w:tab/>
        <w:t>(ب)</w:t>
      </w:r>
      <w:r w:rsidRPr="001D3F00">
        <w:rPr>
          <w:rFonts w:hint="cs"/>
          <w:spacing w:val="0"/>
          <w:kern w:val="0"/>
          <w:sz w:val="20"/>
          <w:rtl/>
          <w:lang w:val="fr-CH" w:eastAsia="en-US"/>
        </w:rPr>
        <w:tab/>
        <w:t>الفحوص الطبية المطلوبة للمحتجزين</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50-</w:t>
      </w:r>
      <w:r w:rsidRPr="001D3F00">
        <w:rPr>
          <w:rFonts w:hint="cs"/>
          <w:spacing w:val="0"/>
          <w:kern w:val="0"/>
          <w:sz w:val="20"/>
          <w:rtl/>
          <w:lang w:val="fr-CH" w:eastAsia="en-US"/>
        </w:rPr>
        <w:tab/>
        <w:t>ورد في تقرير المفوضية السامية لحقوق الإنسان لعام 2009 أن المحتجزين لدى الشرطة، بمن فيهم الذين تعرضوا لانتهاكات، لا يتلقون الرعاية الطبية في أغلب الأحيان؛ كما</w:t>
      </w:r>
      <w:r w:rsidRPr="001D3F00">
        <w:rPr>
          <w:rFonts w:hint="eastAsia"/>
          <w:spacing w:val="0"/>
          <w:kern w:val="0"/>
          <w:sz w:val="20"/>
          <w:rtl/>
          <w:lang w:val="fr-CH" w:eastAsia="en-US"/>
        </w:rPr>
        <w:t> </w:t>
      </w:r>
      <w:r w:rsidRPr="001D3F00">
        <w:rPr>
          <w:rFonts w:hint="cs"/>
          <w:spacing w:val="0"/>
          <w:kern w:val="0"/>
          <w:sz w:val="20"/>
          <w:rtl/>
          <w:lang w:val="fr-CH" w:eastAsia="en-US"/>
        </w:rPr>
        <w:t>لا توثّق الفحوص الطبية بصورة جيدة. وبالرغم من تزايد إشارة المحتجزين إلى أنهم يخضعون لفحص طبي لدى اعتقالهم في القضايا المرفوعة بموجب قانون التعويض المتعلق بالتعذيب لعام 1996، فقد أعربت المفوضية عن القلق العميق إزاء نوعية تلك الفحوص الطبية. فغالباً ما توكل إلى صغار الموظفين الطبيين مهمة الفحص الطبي للمحتجزين الذين تأخذهم الشرطة إلى المستشفيات، ويصر رجال الشرطة عادة على البقاء مع المحتجز أثناء عملية الفحص الطبي بحجة عدم تمكينه من الفرار. وقلما يؤخذ المحتجزون إلى الفحص الطبي عند نقلهم إلى السجن أو لدى الإفراج عنهم، مع أن هذا الفحص ضروري لتحديد ما إذا كان الشخص قد تعرض لإصابات بدنية أو عقلية خلال فترة الاحتجاز. وبالإضافة إلى ذلك، جرت العادة على ألا يقدم الأطباء تقارير وافية عن الإصابات خوفاً على سلامتهم الشخصية وتفادياً لعمليات الانتقام. ورأت المفوضية أن الفحوص الطبية هي مسألة شكلية، حيث تأخذ الشرطة مجموعة من المحتجزين إلى طبيب يكتفي بسؤالهم عما إذا كانوا قد تعرضوا لإصابات أو</w:t>
      </w:r>
      <w:r w:rsidRPr="001D3F00">
        <w:rPr>
          <w:rFonts w:hint="eastAsia"/>
          <w:spacing w:val="0"/>
          <w:kern w:val="0"/>
          <w:sz w:val="20"/>
          <w:rtl/>
          <w:lang w:val="fr-CH" w:eastAsia="en-US"/>
        </w:rPr>
        <w:t> </w:t>
      </w:r>
      <w:r w:rsidRPr="001D3F00">
        <w:rPr>
          <w:rFonts w:hint="cs"/>
          <w:spacing w:val="0"/>
          <w:kern w:val="0"/>
          <w:sz w:val="20"/>
          <w:rtl/>
          <w:lang w:val="fr-CH" w:eastAsia="en-US"/>
        </w:rPr>
        <w:t>جروح داخلية ولا يجري فحوصاً فعلية. كما وجدت المفوضية أن الأطباء لا يقدمون تقارير</w:t>
      </w:r>
      <w:r w:rsidRPr="001D3F00">
        <w:rPr>
          <w:rFonts w:hint="eastAsia"/>
          <w:spacing w:val="0"/>
          <w:kern w:val="0"/>
          <w:sz w:val="20"/>
          <w:rtl/>
          <w:lang w:val="fr-CH" w:eastAsia="en-US"/>
        </w:rPr>
        <w:t> </w:t>
      </w:r>
      <w:r w:rsidRPr="001D3F00">
        <w:rPr>
          <w:rFonts w:hint="cs"/>
          <w:spacing w:val="0"/>
          <w:kern w:val="0"/>
          <w:sz w:val="20"/>
          <w:rtl/>
          <w:lang w:val="fr-CH" w:eastAsia="en-US"/>
        </w:rPr>
        <w:t>مفصلة إلى المحاكم عن الحالة الصحية للمحتجزين، لأن الأطباء يخشون التعرض للتهديد من جانب الشرطة وكبار مسؤولي المقاطعات إذا قدموا تقارير طبية وافية</w:t>
      </w:r>
      <w:r w:rsidRPr="001D3F00">
        <w:rPr>
          <w:rFonts w:hint="cs"/>
          <w:spacing w:val="0"/>
          <w:kern w:val="0"/>
          <w:sz w:val="20"/>
          <w:vertAlign w:val="superscript"/>
          <w:rtl/>
          <w:lang w:val="fr-CH" w:eastAsia="en-US"/>
        </w:rPr>
        <w:t>(</w:t>
      </w:r>
      <w:r w:rsidRPr="001D3F00">
        <w:rPr>
          <w:b/>
          <w:spacing w:val="2"/>
          <w:kern w:val="0"/>
          <w:szCs w:val="28"/>
          <w:vertAlign w:val="superscript"/>
          <w:rtl/>
          <w:lang w:val="fr-CH" w:eastAsia="en-US"/>
        </w:rPr>
        <w:footnoteReference w:id="58"/>
      </w:r>
      <w:r w:rsidRPr="001D3F00">
        <w:rPr>
          <w:rFonts w:hint="cs"/>
          <w:spacing w:val="0"/>
          <w:kern w:val="0"/>
          <w:sz w:val="20"/>
          <w:vertAlign w:val="superscript"/>
          <w:rtl/>
          <w:lang w:val="fr-CH" w:eastAsia="en-US"/>
        </w:rPr>
        <w:t>)</w:t>
      </w:r>
      <w:r w:rsidRPr="001D3F00">
        <w:rPr>
          <w:rFonts w:hint="cs"/>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rFonts w:hint="cs"/>
          <w:spacing w:val="0"/>
          <w:kern w:val="0"/>
          <w:sz w:val="20"/>
          <w:rtl/>
          <w:lang w:val="fr-CH" w:eastAsia="en-US"/>
        </w:rPr>
      </w:pPr>
      <w:r w:rsidRPr="001D3F00">
        <w:rPr>
          <w:rFonts w:hint="cs"/>
          <w:spacing w:val="0"/>
          <w:kern w:val="0"/>
          <w:sz w:val="20"/>
          <w:rtl/>
          <w:lang w:val="fr-CH" w:eastAsia="en-US"/>
        </w:rPr>
        <w:tab/>
        <w:t>(ج)</w:t>
      </w:r>
      <w:r w:rsidRPr="001D3F00">
        <w:rPr>
          <w:rFonts w:hint="cs"/>
          <w:spacing w:val="0"/>
          <w:kern w:val="0"/>
          <w:sz w:val="20"/>
          <w:rtl/>
          <w:lang w:val="fr-CH" w:eastAsia="en-US"/>
        </w:rPr>
        <w:tab/>
        <w:t>حظر استخدام إفادات انتُزعت بالإكراه يدين فيها المتهم نفسه في إجراءات المحاكم</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51-</w:t>
      </w:r>
      <w:r w:rsidRPr="001D3F00">
        <w:rPr>
          <w:rFonts w:hint="cs"/>
          <w:spacing w:val="0"/>
          <w:kern w:val="0"/>
          <w:sz w:val="20"/>
          <w:rtl/>
          <w:lang w:val="fr-CH" w:eastAsia="en-US"/>
        </w:rPr>
        <w:tab/>
        <w:t>أشار المقرر الخاص المعني بمسألة التعذيب إلى أن اتفاقية مناهضة التعذيب وقانون الأدلة الجنائية يحظران استخدام إفادات انتزعت بالإكراه يدين فيها الشخص على نفسه في إجراءات المحاكم، إلا أن الشرطة لا تزال تمارس التعذيب لانتزاع الاعترافات، ولا</w:t>
      </w:r>
      <w:r w:rsidRPr="001D3F00">
        <w:rPr>
          <w:rFonts w:hint="eastAsia"/>
          <w:spacing w:val="0"/>
          <w:kern w:val="0"/>
          <w:sz w:val="20"/>
          <w:rtl/>
          <w:lang w:val="fr-CH" w:eastAsia="en-US"/>
        </w:rPr>
        <w:t> </w:t>
      </w:r>
      <w:r w:rsidRPr="001D3F00">
        <w:rPr>
          <w:rFonts w:hint="cs"/>
          <w:spacing w:val="0"/>
          <w:kern w:val="0"/>
          <w:sz w:val="20"/>
          <w:rtl/>
          <w:lang w:val="fr-CH" w:eastAsia="en-US"/>
        </w:rPr>
        <w:t>يفرض القضاة قيوداً على مقبولية الأدلة التي تنتزع أثناء الاستجواب في غياب المحاميين، وقلما يسأل القضاة المحتجزين عما إذا كانوا قد أدلوا بتلك الإفادات بمحض إرادتهم. ولا تزال الاعترافات هي الدليل الأساسي في معظم القضايا. ولذا، فإن حالات الضرب وسوء المعاملة منتشرة بصورة واسعة النطاق خلال عمليات الاستجواب</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59"/>
      </w:r>
      <w:r w:rsidRPr="001D3F00">
        <w:rPr>
          <w:rFonts w:hint="cs"/>
          <w:spacing w:val="0"/>
          <w:kern w:val="0"/>
          <w:sz w:val="20"/>
          <w:vertAlign w:val="superscript"/>
          <w:rtl/>
          <w:lang w:val="fr-CH" w:eastAsia="en-US"/>
        </w:rPr>
        <w:t>)</w:t>
      </w:r>
      <w:r w:rsidRPr="001D3F00">
        <w:rPr>
          <w:rFonts w:hint="cs"/>
          <w:spacing w:val="0"/>
          <w:kern w:val="0"/>
          <w:sz w:val="20"/>
          <w:rtl/>
          <w:lang w:val="fr-CH" w:eastAsia="en-US"/>
        </w:rPr>
        <w:t>. ومن المعتاد إكراه المحتجزين على التوقيع على الإفادات دون قراءتها مسبقاً. وقد يكون ذلك في بعض الأحيان بسبب عدم الإلمام بالقراءة والكتابة، غير أن السبب الأساسي هو أن رجال الشرطة يرفضون منح المحتجزين الفرصة لقراءتها. وعلاوة على ذلك، فبالرغم من أن الادعاء يتحمل عبء إثبات ارتكاب المدعى عليه للجريمة في نهاية المطاف، فإن على كل متهم "إقناع" المحكمة ﺑ</w:t>
      </w:r>
      <w:r w:rsidRPr="001D3F00">
        <w:rPr>
          <w:rFonts w:hint="eastAsia"/>
          <w:spacing w:val="0"/>
          <w:kern w:val="0"/>
          <w:sz w:val="20"/>
          <w:rtl/>
          <w:lang w:val="fr-CH" w:eastAsia="en-US"/>
        </w:rPr>
        <w:t> </w:t>
      </w:r>
      <w:r w:rsidRPr="001D3F00">
        <w:rPr>
          <w:rFonts w:hint="cs"/>
          <w:spacing w:val="0"/>
          <w:kern w:val="0"/>
          <w:sz w:val="20"/>
          <w:rtl/>
          <w:lang w:val="fr-CH" w:eastAsia="en-US"/>
        </w:rPr>
        <w:t>"الحقيقة المحددة" التي تبين أن الإفادات لم تُقدم بحرية (المادة 28، قانون قضايا الدولة). ويعني ذلك في الممارسة العملية أن الاعترافات التي تنتزع بالإكراه تكون عادةً مقبولة ما لم يتمكن المتهم من تقديم أدلة دامغة تبرهن على تعرضه للإكراه أو التعذيب</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60"/>
      </w:r>
      <w:r w:rsidRPr="001D3F00">
        <w:rPr>
          <w:rFonts w:hint="cs"/>
          <w:spacing w:val="0"/>
          <w:kern w:val="0"/>
          <w:sz w:val="20"/>
          <w:vertAlign w:val="superscript"/>
          <w:rtl/>
          <w:lang w:val="fr-CH" w:eastAsia="en-US"/>
        </w:rPr>
        <w:t>)</w:t>
      </w:r>
      <w:r w:rsidRPr="001D3F00">
        <w:rPr>
          <w:rFonts w:hint="cs"/>
          <w:spacing w:val="0"/>
          <w:kern w:val="0"/>
          <w:sz w:val="20"/>
          <w:rtl/>
          <w:lang w:val="fr-CH" w:eastAsia="en-US"/>
        </w:rPr>
        <w:t>. وعلاوة على ذلك، لاحظ المقرر الخاص عدم وجود إمكانية تسجيل الاستجواب بالفيديو أو بالصوت في نيبال</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61"/>
      </w:r>
      <w:r w:rsidRPr="001D3F00">
        <w:rPr>
          <w:rFonts w:hint="cs"/>
          <w:spacing w:val="0"/>
          <w:kern w:val="0"/>
          <w:sz w:val="20"/>
          <w:vertAlign w:val="superscript"/>
          <w:rtl/>
          <w:lang w:val="fr-CH" w:eastAsia="en-US"/>
        </w:rPr>
        <w:t>)</w:t>
      </w:r>
      <w:r w:rsidRPr="001D3F00">
        <w:rPr>
          <w:rFonts w:hint="cs"/>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rFonts w:hint="cs"/>
          <w:spacing w:val="0"/>
          <w:kern w:val="0"/>
          <w:sz w:val="20"/>
          <w:rtl/>
          <w:lang w:val="fr-CH" w:eastAsia="en-US"/>
        </w:rPr>
      </w:pPr>
      <w:r w:rsidRPr="001D3F00">
        <w:rPr>
          <w:rFonts w:hint="cs"/>
          <w:spacing w:val="0"/>
          <w:kern w:val="0"/>
          <w:sz w:val="20"/>
          <w:rtl/>
          <w:lang w:val="fr-CH" w:eastAsia="en-US"/>
        </w:rPr>
        <w:tab/>
        <w:t>(د)</w:t>
      </w:r>
      <w:r w:rsidRPr="001D3F00">
        <w:rPr>
          <w:rFonts w:hint="cs"/>
          <w:spacing w:val="0"/>
          <w:kern w:val="0"/>
          <w:sz w:val="20"/>
          <w:rtl/>
          <w:lang w:val="fr-CH" w:eastAsia="en-US"/>
        </w:rPr>
        <w:tab/>
        <w:t xml:space="preserve">عدم التحقيق في ادعاءات المعاملة اللاإنسانية للمحتجزين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52-</w:t>
      </w:r>
      <w:r w:rsidRPr="001D3F00">
        <w:rPr>
          <w:rFonts w:hint="cs"/>
          <w:spacing w:val="0"/>
          <w:kern w:val="0"/>
          <w:sz w:val="20"/>
          <w:rtl/>
          <w:lang w:val="fr-CH" w:eastAsia="en-US"/>
        </w:rPr>
        <w:tab/>
        <w:t>لاحظ المقرر الخاص أن الفقرة 3(ج) من المادة 135 من الدستور الانتقالي تمنح مكتب المدعي العام صلاحية التحقيق في الادعاءات المتعلقة بالمعاملة اللاإنسانية التي يتعرض لها أي شخص محتجز، وتقدم التوجيهات اللازمة بموجب الدستور إلى السلطات المختصة لمنع تكرار هذه الحالات، ومع ذلك فإن المدعين العامين والقضاة نادر</w:t>
      </w:r>
      <w:r w:rsidRPr="001D3F00">
        <w:rPr>
          <w:rFonts w:hint="eastAsia"/>
          <w:spacing w:val="0"/>
          <w:kern w:val="0"/>
          <w:sz w:val="20"/>
          <w:rtl/>
          <w:lang w:val="fr-CH" w:eastAsia="en-US"/>
        </w:rPr>
        <w:t>ا</w:t>
      </w:r>
      <w:r w:rsidRPr="001D3F00">
        <w:rPr>
          <w:rFonts w:hint="cs"/>
          <w:spacing w:val="0"/>
          <w:kern w:val="0"/>
          <w:sz w:val="20"/>
          <w:rtl/>
          <w:lang w:val="fr-CH" w:eastAsia="en-US"/>
        </w:rPr>
        <w:t xml:space="preserve"> ما يسألون المحتجزين الذين يعرضون عليهم عن نوع المعاملة التي تعرضوا لها خلال فترة احتجازهم لدى الشرطة. وفي حين أن المقرر الخاص أقر بأن القضاة وموظفي المحاكم كانوا أكثر رغبة في التعاون مع ضحايا التعذيب ومحاميهم في الآونة الأخيرة، فقد أشار إلى أن القضاة يعتمدون في الكثير من القضايا على تقارير الشرطة فقط لاتخاذ قراراتهم، ولا يشترطون حتى حضور المتهم بشخصه</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62"/>
      </w:r>
      <w:r w:rsidRPr="001D3F00">
        <w:rPr>
          <w:rFonts w:hint="cs"/>
          <w:spacing w:val="0"/>
          <w:kern w:val="0"/>
          <w:sz w:val="20"/>
          <w:vertAlign w:val="superscript"/>
          <w:rtl/>
          <w:lang w:val="fr-CH" w:eastAsia="en-US"/>
        </w:rPr>
        <w:t>)</w:t>
      </w:r>
      <w:r w:rsidRPr="001D3F00">
        <w:rPr>
          <w:rFonts w:hint="cs"/>
          <w:spacing w:val="0"/>
          <w:kern w:val="0"/>
          <w:sz w:val="20"/>
          <w:rtl/>
          <w:lang w:val="fr-CH" w:eastAsia="en-US"/>
        </w:rPr>
        <w:t>.</w:t>
      </w:r>
    </w:p>
    <w:p w:rsidR="001D3F00" w:rsidRPr="003E7397" w:rsidRDefault="001D3F00" w:rsidP="003E7397">
      <w:pPr>
        <w:pStyle w:val="H23GA"/>
        <w:rPr>
          <w:rFonts w:ascii="Times New Roman Bold" w:hAnsi="Times New Roman Bold" w:hint="cs"/>
          <w:spacing w:val="0"/>
          <w:kern w:val="0"/>
          <w:rtl/>
          <w:lang w:val="fr-CH"/>
        </w:rPr>
      </w:pPr>
      <w:r w:rsidRPr="003E7397">
        <w:rPr>
          <w:rFonts w:ascii="Times New Roman Bold" w:hAnsi="Times New Roman Bold" w:hint="cs"/>
          <w:spacing w:val="0"/>
          <w:kern w:val="0"/>
          <w:rtl/>
          <w:lang w:val="fr-CH"/>
        </w:rPr>
        <w:tab/>
        <w:t>(ب)</w:t>
      </w:r>
      <w:r w:rsidRPr="003E7397">
        <w:rPr>
          <w:rFonts w:ascii="Times New Roman Bold" w:hAnsi="Times New Roman Bold" w:hint="cs"/>
          <w:spacing w:val="0"/>
          <w:kern w:val="0"/>
          <w:rtl/>
          <w:lang w:val="fr-CH"/>
        </w:rPr>
        <w:tab/>
        <w:t xml:space="preserve">المنظمات غير الحكومية والمؤسسات الوطنية لحقوق الإنسان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1D3F00">
        <w:rPr>
          <w:rFonts w:hint="cs"/>
          <w:spacing w:val="0"/>
          <w:kern w:val="0"/>
          <w:sz w:val="20"/>
          <w:rtl/>
          <w:lang w:val="fr-CH" w:eastAsia="en-US"/>
        </w:rPr>
        <w:t>53-</w:t>
      </w:r>
      <w:r w:rsidRPr="001D3F00">
        <w:rPr>
          <w:rFonts w:hint="cs"/>
          <w:spacing w:val="0"/>
          <w:kern w:val="0"/>
          <w:sz w:val="20"/>
          <w:rtl/>
          <w:lang w:val="fr-CH" w:eastAsia="en-US"/>
        </w:rPr>
        <w:tab/>
        <w:t xml:space="preserve">بعد شروع اللجنة في إجراء التحقيق السري بموجب المادة 20 من الاتفاقية، تلقت عدداً من التقارير الإضافية الجيدة التوثيق من منظمات غير حكومية، بما </w:t>
      </w:r>
      <w:r w:rsidRPr="001D3F00">
        <w:rPr>
          <w:rFonts w:hint="cs"/>
          <w:spacing w:val="0"/>
          <w:kern w:val="0"/>
          <w:sz w:val="20"/>
          <w:rtl/>
          <w:lang w:eastAsia="en-US"/>
        </w:rPr>
        <w:t>فيها محفل الدفاع وجمعية المساعدة على الجبر (</w:t>
      </w:r>
      <w:r w:rsidRPr="001D3F00">
        <w:rPr>
          <w:spacing w:val="0"/>
          <w:kern w:val="0"/>
          <w:sz w:val="20"/>
          <w:lang w:val="fr-CH" w:eastAsia="en-US"/>
        </w:rPr>
        <w:t>REDRESS</w:t>
      </w:r>
      <w:r w:rsidRPr="001D3F00">
        <w:rPr>
          <w:rFonts w:hint="cs"/>
          <w:spacing w:val="0"/>
          <w:kern w:val="0"/>
          <w:sz w:val="20"/>
          <w:rtl/>
          <w:lang w:eastAsia="en-US"/>
        </w:rPr>
        <w:t xml:space="preserve">) ومركز ضحايا التعذيب في نيبال والمركز الآسيوي للموارد القانونية ومرصد حقوق الإنسان ومنظمة العفو الدولية، </w:t>
      </w:r>
      <w:r w:rsidRPr="001D3F00">
        <w:rPr>
          <w:rFonts w:hint="cs"/>
          <w:spacing w:val="0"/>
          <w:kern w:val="0"/>
          <w:sz w:val="20"/>
          <w:rtl/>
          <w:lang w:val="fr-CH" w:eastAsia="en-US"/>
        </w:rPr>
        <w:t xml:space="preserve">وتناولت التقارير حالة حقوق الإنسان في نيبال، ودواعي القلق الرئيسية المتصلة باتساع نطاق ممارسة التعذيب، وبخاصة عند الاحتجاز في مخافر الشرطة. وتلقت اللجنة أيضاً عدداً من التقارير في سياق إعداد قائمة المسائل قبل إرسال تقريرها إلى نيبال في تشرين الثاني/نوفمبر 2010. وفي أيار/مايو 2010، عندما شرعت اللجنة في إجراء التحقيق السري بموجب المادة 20، قامت </w:t>
      </w:r>
      <w:r w:rsidRPr="001D3F00">
        <w:rPr>
          <w:rFonts w:hint="cs"/>
          <w:spacing w:val="0"/>
          <w:kern w:val="0"/>
          <w:sz w:val="20"/>
          <w:rtl/>
          <w:lang w:eastAsia="en-US"/>
        </w:rPr>
        <w:t xml:space="preserve">منظمتا محفل الدفاع وجمعية المساعدة على الجبر بلفت انتباه اللجنة إلى وجود شواغل أساسية تتعلق باتساع نطاق ممارسة التعذيب، وطلبتا منها الاضطلاع بتحقيق سري عملاً بالمادة 20 من الاتفاقية لتقصي الاستخدام المنهجي للتعذيب في نيبال. </w:t>
      </w:r>
    </w:p>
    <w:p w:rsidR="001D3F00" w:rsidRPr="007F4611" w:rsidRDefault="001D3F00" w:rsidP="007F4611">
      <w:pPr>
        <w:pStyle w:val="H4GA"/>
        <w:rPr>
          <w:rFonts w:hint="cs"/>
          <w:spacing w:val="0"/>
          <w:kern w:val="0"/>
          <w:rtl/>
          <w:lang w:eastAsia="en-US"/>
        </w:rPr>
      </w:pPr>
      <w:r w:rsidRPr="007F4611">
        <w:rPr>
          <w:rFonts w:hint="cs"/>
          <w:spacing w:val="0"/>
          <w:kern w:val="0"/>
          <w:rtl/>
          <w:lang w:eastAsia="en-US"/>
        </w:rPr>
        <w:tab/>
        <w:t>‘1‘</w:t>
      </w:r>
      <w:r w:rsidRPr="007F4611">
        <w:rPr>
          <w:rFonts w:hint="cs"/>
          <w:spacing w:val="0"/>
          <w:kern w:val="0"/>
          <w:rtl/>
          <w:lang w:eastAsia="en-US"/>
        </w:rPr>
        <w:tab/>
        <w:t>التعذيب أثناء الاستجواب</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r w:rsidRPr="001D3F00">
        <w:rPr>
          <w:rFonts w:hint="cs"/>
          <w:spacing w:val="0"/>
          <w:kern w:val="0"/>
          <w:sz w:val="20"/>
          <w:rtl/>
          <w:lang w:eastAsia="en-US"/>
        </w:rPr>
        <w:t>54-</w:t>
      </w:r>
      <w:r w:rsidRPr="001D3F00">
        <w:rPr>
          <w:rFonts w:hint="cs"/>
          <w:spacing w:val="0"/>
          <w:kern w:val="0"/>
          <w:sz w:val="20"/>
          <w:rtl/>
          <w:lang w:eastAsia="en-US"/>
        </w:rPr>
        <w:tab/>
      </w:r>
      <w:r w:rsidRPr="001D3F00">
        <w:rPr>
          <w:rFonts w:hint="cs"/>
          <w:spacing w:val="0"/>
          <w:kern w:val="0"/>
          <w:sz w:val="20"/>
          <w:rtl/>
          <w:lang w:val="fr-CH" w:eastAsia="en-US"/>
        </w:rPr>
        <w:t>بالرغم من التراجع الكبير في ممارسة التعذيب في نيبال منذ توقيع اتفاق السلام في عام</w:t>
      </w:r>
      <w:r w:rsidRPr="001D3F00">
        <w:rPr>
          <w:rFonts w:hint="eastAsia"/>
          <w:spacing w:val="0"/>
          <w:kern w:val="0"/>
          <w:sz w:val="20"/>
          <w:rtl/>
          <w:lang w:val="fr-CH" w:eastAsia="en-US"/>
        </w:rPr>
        <w:t> </w:t>
      </w:r>
      <w:r w:rsidRPr="001D3F00">
        <w:rPr>
          <w:rFonts w:hint="cs"/>
          <w:spacing w:val="0"/>
          <w:kern w:val="0"/>
          <w:sz w:val="20"/>
          <w:rtl/>
          <w:lang w:val="fr-CH" w:eastAsia="en-US"/>
        </w:rPr>
        <w:t xml:space="preserve">2006، لا تزال حالات التعذيب منتشرة على نطاق واسع خلال عمليات الاستجواب أثناء الاحتجاز في مخافر الشرطة وباتت تطرح مشكلة منذ بداية عام 2009. وقدمت بصفة خاصة منظمات غير حكومية هي </w:t>
      </w:r>
      <w:r w:rsidRPr="001D3F00">
        <w:rPr>
          <w:rFonts w:hint="cs"/>
          <w:spacing w:val="0"/>
          <w:kern w:val="0"/>
          <w:sz w:val="20"/>
          <w:rtl/>
          <w:lang w:eastAsia="en-US"/>
        </w:rPr>
        <w:t xml:space="preserve">محفل الدفاع في نيبال، وجمعية المساعدة على الجبر، ومركز ضحايا التعذيب، بيانات إلى اللجنة أكدت أنها تعكس نمط ممارسة التعذيب في نيبال بصورة مستمرة ومعتادة وواسعة الانتشار.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eastAsia="en-US"/>
        </w:rPr>
        <w:t>55-</w:t>
      </w:r>
      <w:r w:rsidRPr="001D3F00">
        <w:rPr>
          <w:rFonts w:hint="cs"/>
          <w:spacing w:val="0"/>
          <w:kern w:val="0"/>
          <w:sz w:val="20"/>
          <w:rtl/>
          <w:lang w:eastAsia="en-US"/>
        </w:rPr>
        <w:tab/>
        <w:t>وخلال الاستعراض الدوري الشامل لمجلس حقوق الإنسان بشأن الوضع في نيبال الذي جرى في كانون الثاني/يناير 2011، أقرت أيضاً المؤسسات الوطنية لحقوق الإنسان هذه المعلومات (اللجنة الوطنية لحقوق الإنسان في نيبال، واللجنة الوطنية للمرأة، واللجنة الوطنية للداليت في نيبال)، وقد أشارت هذه المؤسسات إلى ممارسة التعذيب في مراكز الاحتجاز</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63"/>
      </w:r>
      <w:r w:rsidRPr="001D3F00">
        <w:rPr>
          <w:rFonts w:hint="cs"/>
          <w:spacing w:val="0"/>
          <w:kern w:val="0"/>
          <w:sz w:val="20"/>
          <w:vertAlign w:val="superscript"/>
          <w:rtl/>
          <w:lang w:eastAsia="en-US"/>
        </w:rPr>
        <w:t>)</w:t>
      </w:r>
      <w:r w:rsidRPr="001D3F00">
        <w:rPr>
          <w:rFonts w:hint="cs"/>
          <w:spacing w:val="0"/>
          <w:kern w:val="0"/>
          <w:sz w:val="20"/>
          <w:rtl/>
          <w:lang w:eastAsia="en-US"/>
        </w:rPr>
        <w:t>. وأثناء الاستعراض الدوري الشامل أيضاً، أعرب عدد من المنظمات غير الحكومية عن القلق إزاء ممارسة التعذيب من قِبل الشرطة خلال التحقيقات الجنائية</w:t>
      </w:r>
      <w:r w:rsidRPr="001D3F00">
        <w:rPr>
          <w:rFonts w:hint="cs"/>
          <w:spacing w:val="0"/>
          <w:kern w:val="0"/>
          <w:sz w:val="20"/>
          <w:rtl/>
          <w:lang w:val="fr-CH" w:eastAsia="en-US"/>
        </w:rPr>
        <w:t>، وإزاء الافتقار إلى</w:t>
      </w:r>
      <w:r w:rsidRPr="001D3F00">
        <w:rPr>
          <w:rFonts w:hint="eastAsia"/>
          <w:spacing w:val="0"/>
          <w:kern w:val="0"/>
          <w:sz w:val="20"/>
          <w:rtl/>
          <w:lang w:val="fr-CH" w:eastAsia="en-US"/>
        </w:rPr>
        <w:t> </w:t>
      </w:r>
      <w:r w:rsidRPr="001D3F00">
        <w:rPr>
          <w:rFonts w:hint="cs"/>
          <w:spacing w:val="0"/>
          <w:kern w:val="0"/>
          <w:sz w:val="20"/>
          <w:rtl/>
          <w:lang w:val="fr-CH" w:eastAsia="en-US"/>
        </w:rPr>
        <w:t>سُبُل الجبر الفعالة لضحايا التعذيب</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64"/>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56-</w:t>
      </w:r>
      <w:r w:rsidRPr="001D3F00">
        <w:rPr>
          <w:rFonts w:hint="cs"/>
          <w:spacing w:val="0"/>
          <w:kern w:val="0"/>
          <w:sz w:val="20"/>
          <w:rtl/>
          <w:lang w:val="fr-CH" w:eastAsia="en-US"/>
        </w:rPr>
        <w:tab/>
        <w:t xml:space="preserve">وفي أيار/مايو 2011، أشارت منظمتان غير حكوميتين هما </w:t>
      </w:r>
      <w:r w:rsidRPr="001D3F00">
        <w:rPr>
          <w:rFonts w:hint="cs"/>
          <w:spacing w:val="0"/>
          <w:kern w:val="0"/>
          <w:sz w:val="20"/>
          <w:rtl/>
          <w:lang w:eastAsia="en-US"/>
        </w:rPr>
        <w:t>محفل الدفاع، وجمعية المساعدة على الجبر، إلى حدوث تراجع تدريجي في معدلات ممارسة التعذيب في نيبال منذ عام 2001، بيد أن هذا الاتجاه قد انعكس بصورة واضحة اعتباراً من عام 2009، وبخاصة خلال الفترة من تموز/يوليه إلى كانون الأول/ديسمبر 2010</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65"/>
      </w:r>
      <w:r w:rsidRPr="001D3F00">
        <w:rPr>
          <w:rFonts w:hint="cs"/>
          <w:spacing w:val="0"/>
          <w:kern w:val="0"/>
          <w:sz w:val="20"/>
          <w:vertAlign w:val="superscript"/>
          <w:rtl/>
          <w:lang w:eastAsia="en-US"/>
        </w:rPr>
        <w:t>)</w:t>
      </w:r>
      <w:r w:rsidRPr="001D3F00">
        <w:rPr>
          <w:rFonts w:hint="cs"/>
          <w:spacing w:val="0"/>
          <w:kern w:val="0"/>
          <w:sz w:val="20"/>
          <w:rtl/>
          <w:lang w:eastAsia="en-US"/>
        </w:rPr>
        <w:t xml:space="preserve">. وخلال الفترة من كانون الثاني/يناير إلى كانون الأول/ديسمبر 2009، </w:t>
      </w:r>
      <w:r w:rsidRPr="001D3F00">
        <w:rPr>
          <w:rFonts w:hint="cs"/>
          <w:spacing w:val="0"/>
          <w:kern w:val="0"/>
          <w:sz w:val="20"/>
          <w:rtl/>
          <w:lang w:val="fr-CH" w:eastAsia="en-US"/>
        </w:rPr>
        <w:t xml:space="preserve">ذكر حوالي 20 في المائة من المحتجزين الذين أُجريت معهم مقابلات أنهم تعرضوا للتعذيب، وخلال الفترة </w:t>
      </w:r>
      <w:r w:rsidRPr="001D3F00">
        <w:rPr>
          <w:rFonts w:hint="cs"/>
          <w:spacing w:val="0"/>
          <w:kern w:val="0"/>
          <w:sz w:val="20"/>
          <w:rtl/>
          <w:lang w:eastAsia="en-US"/>
        </w:rPr>
        <w:t xml:space="preserve">من كانون الثاني/يناير إلى كانون الأول/ديسمبر 2010، </w:t>
      </w:r>
      <w:r w:rsidRPr="001D3F00">
        <w:rPr>
          <w:rFonts w:hint="cs"/>
          <w:spacing w:val="0"/>
          <w:kern w:val="0"/>
          <w:sz w:val="20"/>
          <w:rtl/>
          <w:lang w:val="fr-CH" w:eastAsia="en-US"/>
        </w:rPr>
        <w:t>ظلت هذه النسبة متسقة إلى حد كبير حيث ادعى 19.3 في المائة من ما مجموعه 198 4 محتجزاً أُجريت مقابلات معهم تعرضهم للتعذيب</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66"/>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ونظراً لعدم وجود آلية مستقلة في البلد لرصد أوضاع الاحتجاز، تشير منظمة </w:t>
      </w:r>
      <w:r w:rsidRPr="001D3F00">
        <w:rPr>
          <w:rFonts w:hint="cs"/>
          <w:spacing w:val="0"/>
          <w:kern w:val="0"/>
          <w:sz w:val="20"/>
          <w:rtl/>
          <w:lang w:eastAsia="en-US"/>
        </w:rPr>
        <w:t xml:space="preserve">محفل الدفاع </w:t>
      </w:r>
      <w:r w:rsidRPr="001D3F00">
        <w:rPr>
          <w:rFonts w:hint="cs"/>
          <w:spacing w:val="0"/>
          <w:kern w:val="0"/>
          <w:sz w:val="20"/>
          <w:rtl/>
          <w:lang w:val="fr-CH" w:eastAsia="en-US"/>
        </w:rPr>
        <w:t>إلى أن بياناتها، التي جُمعت من 57 مركز احتجاز في 20 من مقاطعات نيبال البالغ عددها 75 مقاطعة، توحي باتساع نطاق هذه الممارسة في البلد. ومع ذلك، وبالنظر إلى اتضاح مدى اتساق أنماط ممارسة التعذيب التي وثقتها مع مرور الوقت، فإن المنظمة واثقة من أن أنماط ممارسة التعذيب تعبر عن اتجاهات على الصعيد الوطني</w:t>
      </w:r>
      <w:r w:rsidRPr="001D3F00">
        <w:rPr>
          <w:rFonts w:hint="cs"/>
          <w:spacing w:val="0"/>
          <w:kern w:val="0"/>
          <w:sz w:val="20"/>
          <w:vertAlign w:val="superscript"/>
          <w:rtl/>
          <w:lang w:val="fr-CH" w:eastAsia="en-US"/>
        </w:rPr>
        <w:t>(</w:t>
      </w:r>
      <w:r w:rsidRPr="001D3F00">
        <w:rPr>
          <w:b/>
          <w:spacing w:val="0"/>
          <w:kern w:val="0"/>
          <w:szCs w:val="28"/>
          <w:vertAlign w:val="superscript"/>
          <w:rtl/>
          <w:lang w:val="fr-CH" w:eastAsia="en-US"/>
        </w:rPr>
        <w:footnoteReference w:id="67"/>
      </w:r>
      <w:r w:rsidRPr="001D3F00">
        <w:rPr>
          <w:rFonts w:hint="cs"/>
          <w:spacing w:val="0"/>
          <w:kern w:val="0"/>
          <w:sz w:val="20"/>
          <w:vertAlign w:val="superscript"/>
          <w:rtl/>
          <w:lang w:val="fr-CH" w:eastAsia="en-US"/>
        </w:rPr>
        <w:t>)</w:t>
      </w:r>
      <w:r w:rsidRPr="001D3F00">
        <w:rPr>
          <w:rFonts w:hint="cs"/>
          <w:spacing w:val="0"/>
          <w:kern w:val="0"/>
          <w:sz w:val="20"/>
          <w:rtl/>
          <w:lang w:val="fr-CH"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rFonts w:hint="cs"/>
          <w:spacing w:val="0"/>
          <w:kern w:val="0"/>
          <w:sz w:val="20"/>
          <w:rtl/>
          <w:lang w:val="fr-CH" w:eastAsia="en-US"/>
        </w:rPr>
        <w:t>57-</w:t>
      </w:r>
      <w:r w:rsidRPr="001D3F00">
        <w:rPr>
          <w:rFonts w:hint="cs"/>
          <w:spacing w:val="0"/>
          <w:kern w:val="0"/>
          <w:sz w:val="20"/>
          <w:rtl/>
          <w:lang w:val="fr-CH" w:eastAsia="en-US"/>
        </w:rPr>
        <w:tab/>
        <w:t xml:space="preserve">وذكرت المنظمتان </w:t>
      </w:r>
      <w:r w:rsidRPr="001D3F00">
        <w:rPr>
          <w:rFonts w:hint="cs"/>
          <w:spacing w:val="0"/>
          <w:kern w:val="0"/>
          <w:sz w:val="20"/>
          <w:rtl/>
          <w:lang w:eastAsia="en-US"/>
        </w:rPr>
        <w:t>غير الحكوميتين، محفل الدفاع وجمعية المساعدة على الجبر، أن تقارير وردت، منذ انتهاء النزاع المسلح، تفيد بأن أكثر الجهات التي يُبلغ عن ممارستها للتعذيب وسوء المعاملة هي شرطة نيبال والشرطة المسلحة (وبخاصة في إقليم تيراي) وضباط الجمارك وموظفو إدارة الغابات (لديهم سلطة الاعتقال والتحقيق في المتنزهات الوطنية). وثمة جماعات أخرى يُزعم أنها مارست التعذيب وسوء المعاملة، منها عصبة الشبيبة الشيوعية التابعة للحزب الشيوعي الماوي وغيرها من منظمات الشباب التابعة لأحزاب أخرى، وعدد من الجماعات المسلحة العاملة في إقليم تيراي</w:t>
      </w:r>
      <w:r w:rsidRPr="001D3F00">
        <w:rPr>
          <w:rFonts w:hint="cs"/>
          <w:spacing w:val="0"/>
          <w:kern w:val="0"/>
          <w:sz w:val="20"/>
          <w:vertAlign w:val="superscript"/>
          <w:rtl/>
          <w:lang w:eastAsia="en-US"/>
        </w:rPr>
        <w:t>(</w:t>
      </w:r>
      <w:r w:rsidRPr="001D3F00">
        <w:rPr>
          <w:b/>
          <w:spacing w:val="0"/>
          <w:kern w:val="0"/>
          <w:szCs w:val="28"/>
          <w:vertAlign w:val="superscript"/>
          <w:rtl/>
          <w:lang w:eastAsia="en-US"/>
        </w:rPr>
        <w:footnoteReference w:id="68"/>
      </w:r>
      <w:r w:rsidRPr="001D3F00">
        <w:rPr>
          <w:rFonts w:hint="cs"/>
          <w:spacing w:val="0"/>
          <w:kern w:val="0"/>
          <w:sz w:val="20"/>
          <w:vertAlign w:val="superscript"/>
          <w:rtl/>
          <w:lang w:eastAsia="en-US"/>
        </w:rPr>
        <w:t>)</w:t>
      </w:r>
      <w:r w:rsidRPr="001D3F00">
        <w:rPr>
          <w:rFonts w:hint="cs"/>
          <w:spacing w:val="0"/>
          <w:kern w:val="0"/>
          <w:sz w:val="20"/>
          <w:rtl/>
          <w:lang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b/>
          <w:bCs/>
          <w:spacing w:val="2"/>
          <w:kern w:val="0"/>
          <w:sz w:val="26"/>
          <w:szCs w:val="36"/>
          <w:rtl/>
          <w:lang w:eastAsia="en-US"/>
        </w:rPr>
      </w:pPr>
      <w:r w:rsidRPr="001D3F00">
        <w:rPr>
          <w:rFonts w:hint="cs"/>
          <w:spacing w:val="2"/>
          <w:kern w:val="0"/>
          <w:sz w:val="20"/>
          <w:rtl/>
          <w:lang w:val="fr-CH" w:eastAsia="en-US"/>
        </w:rPr>
        <w:t>58-</w:t>
      </w:r>
      <w:r w:rsidRPr="001D3F00">
        <w:rPr>
          <w:rFonts w:hint="cs"/>
          <w:spacing w:val="2"/>
          <w:kern w:val="0"/>
          <w:sz w:val="20"/>
          <w:rtl/>
          <w:lang w:val="fr-CH" w:eastAsia="en-US"/>
        </w:rPr>
        <w:tab/>
        <w:t>وفيما يتعلق بأساليب التعذيب أو غيره من ضروب سوء المعاملة المستخدمة، أشار مركز ضحايا التعذيب في نيبال إلى أن الموظفين العموميين يستخدمون 70 أسلوباً مختلفاً للتعذيب في مراكز الاحتجاز. وقد سجل محفل الدفاع أيضا هذه الأساليب. وهي تشمل الضرب على مختلف أجزاء الجسم، والركل واللكم في مختلف أجزاء الجسم، بما في ذلك الفخذ والمقعدة والكتف والظهر والرأس؛ واللطم، والصعق بالكهرباء، بما في ذلك في شحمة الأذن، والقفز على جسم المحتجز وركله؛ وتكبيل الأيدي والأرجل معاً وتعليق المحتجز في وضع مقلوب؛ والدوس على يدي المحتجز حتى تدميان؛ وتكميم فمه لمنعه من إصدار أي صوت؛ وتكبيل يدي المحتجز حول عمود أو تثبيتهما على جدار، وإجباره على الوقوف طوال الليل؛ وحمله على الركض أو القفز بعد الضرب على أصابع القدمين؛ وإجباره على الجلوس في وضع القرفصاء لمدة 15-20 دقيقة؛ وإطفاء السجائر على جسده؛ وشد الأذنين وقرص أجزاء من الجسم؛ وصب الماء داخل الأنف؛ والتهديد؛ واستخدام أنواع أخرى من الإساءة اللفظية؛ والسخرة. أما أساليب التعذيب المحددة المستخدمة ضد النساء فتشمل الاغتصاب أو التهديد بالاغتصاب أو الإيذاء الجنسي أو</w:t>
      </w:r>
      <w:r w:rsidRPr="001D3F00">
        <w:rPr>
          <w:rFonts w:hint="eastAsia"/>
          <w:spacing w:val="2"/>
          <w:kern w:val="0"/>
          <w:sz w:val="20"/>
          <w:rtl/>
          <w:lang w:val="fr-CH" w:eastAsia="en-US"/>
        </w:rPr>
        <w:t> </w:t>
      </w:r>
      <w:r w:rsidRPr="001D3F00">
        <w:rPr>
          <w:rFonts w:hint="cs"/>
          <w:spacing w:val="2"/>
          <w:kern w:val="0"/>
          <w:sz w:val="20"/>
          <w:rtl/>
          <w:lang w:val="fr-CH" w:eastAsia="en-US"/>
        </w:rPr>
        <w:t>الإيذاء بألفاظ ذات إيحاءات جنسية. ويُزعم أن معظم هذه الممارسات تستخدم أثناء الاستجواب، مع أن أساليب الضرب واللطم وعصب العينين والإساءات اللفظية تستخدم عند اعتقال</w:t>
      </w:r>
      <w:r w:rsidRPr="001D3F00">
        <w:rPr>
          <w:rFonts w:hint="cs"/>
          <w:spacing w:val="2"/>
          <w:kern w:val="0"/>
          <w:sz w:val="20"/>
          <w:rtl/>
          <w:lang w:eastAsia="en-US"/>
        </w:rPr>
        <w:t xml:space="preserve"> </w:t>
      </w:r>
      <w:r w:rsidRPr="001D3F00">
        <w:rPr>
          <w:rFonts w:hint="cs"/>
          <w:spacing w:val="2"/>
          <w:kern w:val="0"/>
          <w:sz w:val="20"/>
          <w:rtl/>
          <w:lang w:val="fr-CH" w:eastAsia="en-US"/>
        </w:rPr>
        <w:t>الشخص ونقله إلى مخفر الشرطة</w:t>
      </w:r>
      <w:r w:rsidRPr="001D3F00">
        <w:rPr>
          <w:rFonts w:hint="cs"/>
          <w:spacing w:val="2"/>
          <w:kern w:val="0"/>
          <w:sz w:val="20"/>
          <w:vertAlign w:val="superscript"/>
          <w:rtl/>
          <w:lang w:val="fr-CH" w:eastAsia="en-US"/>
        </w:rPr>
        <w:t>(</w:t>
      </w:r>
      <w:r w:rsidRPr="001D3F00">
        <w:rPr>
          <w:b/>
          <w:spacing w:val="2"/>
          <w:kern w:val="0"/>
          <w:szCs w:val="28"/>
          <w:vertAlign w:val="superscript"/>
          <w:rtl/>
          <w:lang w:val="fr-CH" w:eastAsia="en-US"/>
        </w:rPr>
        <w:footnoteReference w:id="69"/>
      </w:r>
      <w:r w:rsidRPr="001D3F00">
        <w:rPr>
          <w:rFonts w:hint="cs"/>
          <w:spacing w:val="2"/>
          <w:kern w:val="0"/>
          <w:sz w:val="20"/>
          <w:vertAlign w:val="superscript"/>
          <w:rtl/>
          <w:lang w:val="fr-CH" w:eastAsia="en-US"/>
        </w:rPr>
        <w:t>)</w:t>
      </w:r>
      <w:r w:rsidRPr="001D3F00">
        <w:rPr>
          <w:rFonts w:hint="cs"/>
          <w:spacing w:val="2"/>
          <w:kern w:val="0"/>
          <w:sz w:val="20"/>
          <w:rtl/>
          <w:lang w:val="fr-CH" w:eastAsia="en-US"/>
        </w:rPr>
        <w:t xml:space="preserve">. </w:t>
      </w:r>
    </w:p>
    <w:p w:rsidR="001D3F00" w:rsidRPr="007F4611" w:rsidRDefault="001D3F00" w:rsidP="007F4611">
      <w:pPr>
        <w:pStyle w:val="H4GA"/>
        <w:rPr>
          <w:spacing w:val="0"/>
          <w:kern w:val="0"/>
          <w:lang w:eastAsia="en-US"/>
        </w:rPr>
      </w:pPr>
      <w:r w:rsidRPr="007F4611">
        <w:rPr>
          <w:rFonts w:hint="cs"/>
          <w:spacing w:val="0"/>
          <w:kern w:val="0"/>
          <w:rtl/>
          <w:lang w:eastAsia="en-US"/>
        </w:rPr>
        <w:tab/>
      </w:r>
      <w:r w:rsidRPr="007F4611">
        <w:rPr>
          <w:spacing w:val="0"/>
          <w:kern w:val="0"/>
          <w:rtl/>
          <w:lang w:eastAsia="en-US"/>
        </w:rPr>
        <w:t>‘2‘</w:t>
      </w:r>
      <w:r w:rsidRPr="007F4611">
        <w:rPr>
          <w:rFonts w:hint="cs"/>
          <w:spacing w:val="0"/>
          <w:kern w:val="0"/>
          <w:rtl/>
          <w:lang w:eastAsia="en-US"/>
        </w:rPr>
        <w:tab/>
      </w:r>
      <w:r w:rsidRPr="007F4611">
        <w:rPr>
          <w:spacing w:val="0"/>
          <w:kern w:val="0"/>
          <w:rtl/>
          <w:lang w:eastAsia="en-US"/>
        </w:rPr>
        <w:t>تعذيب الأطفال المحتجزين</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59-</w:t>
      </w:r>
      <w:r w:rsidRPr="001D3F00">
        <w:rPr>
          <w:rFonts w:hint="cs"/>
          <w:spacing w:val="0"/>
          <w:kern w:val="0"/>
          <w:sz w:val="20"/>
          <w:rtl/>
          <w:lang w:val="fr-CH" w:eastAsia="en-US"/>
        </w:rPr>
        <w:tab/>
      </w:r>
      <w:r w:rsidRPr="001D3F00">
        <w:rPr>
          <w:spacing w:val="0"/>
          <w:kern w:val="0"/>
          <w:sz w:val="20"/>
          <w:rtl/>
          <w:lang w:val="fr-CH" w:eastAsia="en-US"/>
        </w:rPr>
        <w:t xml:space="preserve">تفيد المنظمات غير الحكومية </w:t>
      </w:r>
      <w:r w:rsidRPr="001D3F00">
        <w:rPr>
          <w:rFonts w:hint="cs"/>
          <w:spacing w:val="0"/>
          <w:kern w:val="0"/>
          <w:sz w:val="20"/>
          <w:rtl/>
          <w:lang w:val="fr-CH" w:eastAsia="en-US"/>
        </w:rPr>
        <w:t>ب</w:t>
      </w:r>
      <w:r w:rsidRPr="001D3F00">
        <w:rPr>
          <w:spacing w:val="0"/>
          <w:kern w:val="0"/>
          <w:sz w:val="20"/>
          <w:rtl/>
          <w:lang w:val="fr-CH" w:eastAsia="en-US"/>
        </w:rPr>
        <w:t>أنه على الرغم من اعتماد أنظمة قضاء الأحداث في عام</w:t>
      </w:r>
      <w:r w:rsidRPr="001D3F00">
        <w:rPr>
          <w:rFonts w:hint="cs"/>
          <w:spacing w:val="0"/>
          <w:kern w:val="0"/>
          <w:sz w:val="20"/>
          <w:rtl/>
          <w:lang w:val="fr-CH" w:eastAsia="en-US"/>
        </w:rPr>
        <w:t> </w:t>
      </w:r>
      <w:r w:rsidRPr="001D3F00">
        <w:rPr>
          <w:spacing w:val="0"/>
          <w:kern w:val="0"/>
          <w:sz w:val="20"/>
          <w:rtl/>
          <w:lang w:val="fr-CH" w:eastAsia="en-US"/>
        </w:rPr>
        <w:t>2006، فإن الأحداث المحتجزين لا يزالون يتعرضون بشدة للتعذيب في نيبال. وأشار محفل الدفاع وجمعية المساعدة على الجبر إلى أن</w:t>
      </w:r>
      <w:r w:rsidRPr="001D3F00">
        <w:rPr>
          <w:rFonts w:hint="cs"/>
          <w:spacing w:val="0"/>
          <w:kern w:val="0"/>
          <w:sz w:val="20"/>
          <w:rtl/>
          <w:lang w:val="fr-CH" w:eastAsia="en-US"/>
        </w:rPr>
        <w:t xml:space="preserve"> المحفل أجرى مقابلات مع 024 1</w:t>
      </w:r>
      <w:r w:rsidRPr="001D3F00">
        <w:rPr>
          <w:spacing w:val="0"/>
          <w:kern w:val="0"/>
          <w:sz w:val="20"/>
          <w:rtl/>
          <w:lang w:val="fr-CH" w:eastAsia="en-US"/>
        </w:rPr>
        <w:t xml:space="preserve"> من الأحداث خلال عام 2010، </w:t>
      </w:r>
      <w:r w:rsidRPr="001D3F00">
        <w:rPr>
          <w:rFonts w:hint="cs"/>
          <w:spacing w:val="0"/>
          <w:kern w:val="0"/>
          <w:sz w:val="20"/>
          <w:rtl/>
          <w:lang w:val="fr-CH" w:eastAsia="en-US"/>
        </w:rPr>
        <w:t xml:space="preserve">وقد </w:t>
      </w:r>
      <w:r w:rsidRPr="001D3F00">
        <w:rPr>
          <w:spacing w:val="0"/>
          <w:kern w:val="0"/>
          <w:sz w:val="20"/>
          <w:rtl/>
          <w:lang w:val="fr-CH" w:eastAsia="en-US"/>
        </w:rPr>
        <w:t xml:space="preserve">ذكر 23.9 في المائة </w:t>
      </w:r>
      <w:r w:rsidRPr="001D3F00">
        <w:rPr>
          <w:rFonts w:hint="cs"/>
          <w:spacing w:val="0"/>
          <w:kern w:val="0"/>
          <w:sz w:val="20"/>
          <w:rtl/>
          <w:lang w:val="fr-CH" w:eastAsia="en-US"/>
        </w:rPr>
        <w:t xml:space="preserve">منهم </w:t>
      </w:r>
      <w:r w:rsidRPr="001D3F00">
        <w:rPr>
          <w:spacing w:val="0"/>
          <w:kern w:val="0"/>
          <w:sz w:val="20"/>
          <w:rtl/>
          <w:lang w:val="fr-CH" w:eastAsia="en-US"/>
        </w:rPr>
        <w:t xml:space="preserve">أنهم تعرضوا للتعذيب أو غيره من </w:t>
      </w:r>
      <w:r w:rsidRPr="001D3F00">
        <w:rPr>
          <w:rFonts w:hint="cs"/>
          <w:spacing w:val="0"/>
          <w:kern w:val="0"/>
          <w:sz w:val="20"/>
          <w:rtl/>
          <w:lang w:val="fr-CH" w:eastAsia="en-US"/>
        </w:rPr>
        <w:t xml:space="preserve">ضروب </w:t>
      </w:r>
      <w:r w:rsidRPr="001D3F00">
        <w:rPr>
          <w:spacing w:val="0"/>
          <w:kern w:val="0"/>
          <w:sz w:val="20"/>
          <w:rtl/>
          <w:lang w:val="fr-CH" w:eastAsia="en-US"/>
        </w:rPr>
        <w:t>سوء المعاملة، وهو معدل أعلى بكثير مما هو عليه في أوساط السكان عامة (19.3 في المائة في عام 2010)</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0"/>
      </w:r>
      <w:r w:rsidRPr="001D3F00">
        <w:rPr>
          <w:spacing w:val="0"/>
          <w:kern w:val="0"/>
          <w:sz w:val="20"/>
          <w:vertAlign w:val="superscript"/>
          <w:rtl/>
          <w:lang w:val="fr-CH" w:eastAsia="en-US"/>
        </w:rPr>
        <w:t>)</w:t>
      </w:r>
      <w:r w:rsidRPr="001D3F00">
        <w:rPr>
          <w:spacing w:val="0"/>
          <w:kern w:val="0"/>
          <w:sz w:val="20"/>
          <w:rtl/>
          <w:lang w:val="fr-CH" w:eastAsia="en-US"/>
        </w:rPr>
        <w:t xml:space="preserve">. وإضافة إلى ذلك، يدعي الأحداث الذين ينتمون إلى فئات الأقليات الإثنية أنهم يتعرضون للتعذيب أكثر بكثير من غيرهم من الأحداث الذين ينتمون إلى </w:t>
      </w:r>
      <w:r w:rsidRPr="001D3F00">
        <w:rPr>
          <w:rFonts w:hint="cs"/>
          <w:spacing w:val="0"/>
          <w:kern w:val="0"/>
          <w:sz w:val="20"/>
          <w:rtl/>
          <w:lang w:val="fr-CH" w:eastAsia="en-US"/>
        </w:rPr>
        <w:t>الجماعات</w:t>
      </w:r>
      <w:r w:rsidRPr="001D3F00">
        <w:rPr>
          <w:spacing w:val="0"/>
          <w:kern w:val="0"/>
          <w:sz w:val="20"/>
          <w:rtl/>
          <w:lang w:val="fr-CH" w:eastAsia="en-US"/>
        </w:rPr>
        <w:t xml:space="preserve"> الإثنية الرئيسية. وعلى سبيل المثال، بلغت نسبة الأحداث المنتمين إلى </w:t>
      </w:r>
      <w:r w:rsidRPr="001D3F00">
        <w:rPr>
          <w:rFonts w:hint="cs"/>
          <w:spacing w:val="0"/>
          <w:kern w:val="0"/>
          <w:sz w:val="20"/>
          <w:rtl/>
          <w:lang w:val="fr-CH" w:eastAsia="en-US"/>
        </w:rPr>
        <w:t>جماعة</w:t>
      </w:r>
      <w:r w:rsidRPr="001D3F00">
        <w:rPr>
          <w:spacing w:val="0"/>
          <w:kern w:val="0"/>
          <w:sz w:val="20"/>
          <w:rtl/>
          <w:lang w:val="fr-CH" w:eastAsia="en-US"/>
        </w:rPr>
        <w:t xml:space="preserve"> الشيتري الذين ادعوا تعرضهم للتعذيب في عام 2010 ما مجموعه 23.4 في المائة، وبلغت هذه النسبة </w:t>
      </w:r>
      <w:r w:rsidRPr="001D3F00">
        <w:rPr>
          <w:rFonts w:hint="cs"/>
          <w:spacing w:val="0"/>
          <w:kern w:val="0"/>
          <w:sz w:val="20"/>
          <w:rtl/>
          <w:lang w:val="fr-CH" w:eastAsia="en-US"/>
        </w:rPr>
        <w:t>22.1 في المائة بين</w:t>
      </w:r>
      <w:r w:rsidRPr="001D3F00">
        <w:rPr>
          <w:spacing w:val="0"/>
          <w:kern w:val="0"/>
          <w:sz w:val="20"/>
          <w:rtl/>
          <w:lang w:val="fr-CH" w:eastAsia="en-US"/>
        </w:rPr>
        <w:t xml:space="preserve"> الأحداث من </w:t>
      </w:r>
      <w:r w:rsidRPr="001D3F00">
        <w:rPr>
          <w:rFonts w:hint="cs"/>
          <w:spacing w:val="0"/>
          <w:kern w:val="0"/>
          <w:sz w:val="20"/>
          <w:rtl/>
          <w:lang w:val="fr-CH" w:eastAsia="en-US"/>
        </w:rPr>
        <w:t>جماعة</w:t>
      </w:r>
      <w:r w:rsidRPr="001D3F00">
        <w:rPr>
          <w:spacing w:val="0"/>
          <w:kern w:val="0"/>
          <w:sz w:val="20"/>
          <w:rtl/>
          <w:lang w:val="fr-CH" w:eastAsia="en-US"/>
        </w:rPr>
        <w:t xml:space="preserve"> تيراي الإثنية</w:t>
      </w:r>
      <w:r w:rsidRPr="001D3F00">
        <w:rPr>
          <w:rFonts w:hint="cs"/>
          <w:spacing w:val="0"/>
          <w:kern w:val="0"/>
          <w:sz w:val="20"/>
          <w:rtl/>
          <w:lang w:val="fr-CH" w:eastAsia="en-US"/>
        </w:rPr>
        <w:t>، وبلغت</w:t>
      </w:r>
      <w:r w:rsidRPr="001D3F00">
        <w:rPr>
          <w:spacing w:val="0"/>
          <w:kern w:val="0"/>
          <w:sz w:val="20"/>
          <w:rtl/>
          <w:lang w:val="fr-CH" w:eastAsia="en-US"/>
        </w:rPr>
        <w:t xml:space="preserve"> 13.5 في المائة </w:t>
      </w:r>
      <w:r w:rsidRPr="001D3F00">
        <w:rPr>
          <w:rFonts w:hint="cs"/>
          <w:spacing w:val="0"/>
          <w:kern w:val="0"/>
          <w:sz w:val="20"/>
          <w:rtl/>
          <w:lang w:val="fr-CH" w:eastAsia="en-US"/>
        </w:rPr>
        <w:t>بين</w:t>
      </w:r>
      <w:r w:rsidRPr="001D3F00">
        <w:rPr>
          <w:spacing w:val="0"/>
          <w:kern w:val="0"/>
          <w:sz w:val="20"/>
          <w:rtl/>
          <w:lang w:val="fr-CH" w:eastAsia="en-US"/>
        </w:rPr>
        <w:t xml:space="preserve"> ال</w:t>
      </w:r>
      <w:r w:rsidRPr="001D3F00">
        <w:rPr>
          <w:rFonts w:hint="cs"/>
          <w:spacing w:val="0"/>
          <w:kern w:val="0"/>
          <w:sz w:val="20"/>
          <w:rtl/>
          <w:lang w:val="fr-CH" w:eastAsia="en-US"/>
        </w:rPr>
        <w:t>أحداث من جماعة ال</w:t>
      </w:r>
      <w:r w:rsidRPr="001D3F00">
        <w:rPr>
          <w:spacing w:val="0"/>
          <w:kern w:val="0"/>
          <w:sz w:val="20"/>
          <w:rtl/>
          <w:lang w:val="fr-CH" w:eastAsia="en-US"/>
        </w:rPr>
        <w:t>داليت</w:t>
      </w:r>
      <w:r w:rsidRPr="001D3F00">
        <w:rPr>
          <w:rFonts w:hint="cs"/>
          <w:spacing w:val="0"/>
          <w:kern w:val="0"/>
          <w:sz w:val="20"/>
          <w:rtl/>
          <w:lang w:val="fr-CH" w:eastAsia="en-US"/>
        </w:rPr>
        <w:t xml:space="preserve"> الإثنية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1"/>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spacing w:val="0"/>
          <w:kern w:val="0"/>
          <w:sz w:val="20"/>
          <w:rtl/>
          <w:lang w:val="fr-CH" w:eastAsia="en-US"/>
        </w:rPr>
        <w:t>60-</w:t>
      </w:r>
      <w:r w:rsidRPr="001D3F00">
        <w:rPr>
          <w:rFonts w:hint="cs"/>
          <w:spacing w:val="0"/>
          <w:kern w:val="0"/>
          <w:sz w:val="20"/>
          <w:rtl/>
          <w:lang w:val="fr-CH" w:eastAsia="en-US"/>
        </w:rPr>
        <w:tab/>
      </w:r>
      <w:r w:rsidRPr="001D3F00">
        <w:rPr>
          <w:spacing w:val="0"/>
          <w:kern w:val="0"/>
          <w:sz w:val="20"/>
          <w:rtl/>
          <w:lang w:val="fr-CH" w:eastAsia="en-US"/>
        </w:rPr>
        <w:t>وأشار محفل الدفاع وجمعية المساعدة على الجبر إلى أن فئة المحتجزين التي كانت ت</w:t>
      </w:r>
      <w:r w:rsidRPr="001D3F00">
        <w:rPr>
          <w:rFonts w:hint="cs"/>
          <w:spacing w:val="0"/>
          <w:kern w:val="0"/>
          <w:sz w:val="20"/>
          <w:rtl/>
          <w:lang w:val="fr-CH" w:eastAsia="en-US"/>
        </w:rPr>
        <w:t>دعي ال</w:t>
      </w:r>
      <w:r w:rsidRPr="001D3F00">
        <w:rPr>
          <w:spacing w:val="0"/>
          <w:kern w:val="0"/>
          <w:sz w:val="20"/>
          <w:rtl/>
          <w:lang w:val="fr-CH" w:eastAsia="en-US"/>
        </w:rPr>
        <w:t xml:space="preserve">تعرض للتعذيب أكثر بكثير من غيرها في عام 2010 هي </w:t>
      </w:r>
      <w:r w:rsidRPr="001D3F00">
        <w:rPr>
          <w:rFonts w:hint="cs"/>
          <w:spacing w:val="0"/>
          <w:kern w:val="0"/>
          <w:sz w:val="20"/>
          <w:rtl/>
          <w:lang w:val="fr-CH" w:eastAsia="en-US"/>
        </w:rPr>
        <w:t>ف</w:t>
      </w:r>
      <w:r w:rsidRPr="001D3F00">
        <w:rPr>
          <w:spacing w:val="0"/>
          <w:kern w:val="0"/>
          <w:sz w:val="20"/>
          <w:rtl/>
          <w:lang w:val="fr-CH" w:eastAsia="en-US"/>
        </w:rPr>
        <w:t xml:space="preserve">ئة </w:t>
      </w:r>
      <w:r w:rsidRPr="001D3F00">
        <w:rPr>
          <w:rFonts w:hint="cs"/>
          <w:spacing w:val="0"/>
          <w:kern w:val="0"/>
          <w:sz w:val="20"/>
          <w:rtl/>
          <w:lang w:val="fr-CH" w:eastAsia="en-US"/>
        </w:rPr>
        <w:t>من أُدينوا</w:t>
      </w:r>
      <w:r w:rsidRPr="001D3F00">
        <w:rPr>
          <w:spacing w:val="0"/>
          <w:kern w:val="0"/>
          <w:sz w:val="20"/>
          <w:rtl/>
          <w:lang w:val="fr-CH" w:eastAsia="en-US"/>
        </w:rPr>
        <w:t xml:space="preserve"> بموجب قانون الأسلحة والذخائر (42.5 في المائة أو 65 فرداً من أصل 153 فرداً </w:t>
      </w:r>
      <w:r w:rsidRPr="001D3F00">
        <w:rPr>
          <w:rFonts w:hint="cs"/>
          <w:spacing w:val="0"/>
          <w:kern w:val="0"/>
          <w:sz w:val="20"/>
          <w:rtl/>
          <w:lang w:val="fr-CH" w:eastAsia="en-US"/>
        </w:rPr>
        <w:t xml:space="preserve">أُجريت معهم </w:t>
      </w:r>
      <w:r w:rsidRPr="001D3F00">
        <w:rPr>
          <w:spacing w:val="0"/>
          <w:kern w:val="0"/>
          <w:sz w:val="20"/>
          <w:rtl/>
          <w:lang w:val="fr-CH" w:eastAsia="en-US"/>
        </w:rPr>
        <w:t>مقابل</w:t>
      </w:r>
      <w:r w:rsidRPr="001D3F00">
        <w:rPr>
          <w:rFonts w:hint="cs"/>
          <w:spacing w:val="0"/>
          <w:kern w:val="0"/>
          <w:sz w:val="20"/>
          <w:rtl/>
          <w:lang w:val="fr-CH" w:eastAsia="en-US"/>
        </w:rPr>
        <w:t>ات</w:t>
      </w:r>
      <w:r w:rsidRPr="001D3F00">
        <w:rPr>
          <w:spacing w:val="0"/>
          <w:kern w:val="0"/>
          <w:sz w:val="20"/>
          <w:rtl/>
          <w:lang w:val="fr-CH" w:eastAsia="en-US"/>
        </w:rPr>
        <w:t>). ويمكن محاكمة الأشخاص الذين يعتقلون بموجب قانون الأسلحة والذخائر أمام كبار المسؤولين في المقاطعات بدون تعيين محام يمثلهم أو منحهم الوقت الكافي لإعداد دفاعهم. وقد ادعى محفل الدفاع أن كبار المسؤولين في المقاطعات أميل بوجه عام إلى قبول الاعترافات المنتزعة تحت وطأة التعذيب</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2"/>
      </w:r>
      <w:r w:rsidRPr="001D3F00">
        <w:rPr>
          <w:spacing w:val="0"/>
          <w:kern w:val="0"/>
          <w:sz w:val="20"/>
          <w:vertAlign w:val="superscript"/>
          <w:rtl/>
          <w:lang w:val="fr-CH" w:eastAsia="en-US"/>
        </w:rPr>
        <w:t>)</w:t>
      </w:r>
      <w:r w:rsidRPr="001D3F00">
        <w:rPr>
          <w:spacing w:val="0"/>
          <w:kern w:val="0"/>
          <w:sz w:val="20"/>
          <w:rtl/>
          <w:lang w:val="fr-CH" w:eastAsia="en-US"/>
        </w:rPr>
        <w:t>.</w:t>
      </w:r>
      <w:r w:rsidRPr="001D3F00">
        <w:rPr>
          <w:rFonts w:hint="cs"/>
          <w:spacing w:val="0"/>
          <w:kern w:val="0"/>
          <w:sz w:val="20"/>
          <w:rtl/>
          <w:lang w:val="fr-CH" w:eastAsia="en-US"/>
        </w:rPr>
        <w:t xml:space="preserve"> وتعبر </w:t>
      </w:r>
      <w:r w:rsidRPr="001D3F00">
        <w:rPr>
          <w:spacing w:val="0"/>
          <w:kern w:val="0"/>
          <w:sz w:val="20"/>
          <w:rtl/>
          <w:lang w:val="fr-CH" w:eastAsia="en-US"/>
        </w:rPr>
        <w:t xml:space="preserve">هذه </w:t>
      </w:r>
      <w:r w:rsidRPr="001D3F00">
        <w:rPr>
          <w:rFonts w:hint="cs"/>
          <w:spacing w:val="0"/>
          <w:kern w:val="0"/>
          <w:sz w:val="20"/>
          <w:rtl/>
          <w:lang w:val="fr-CH" w:eastAsia="en-US"/>
        </w:rPr>
        <w:t>الانتهاكات ل</w:t>
      </w:r>
      <w:r w:rsidRPr="001D3F00">
        <w:rPr>
          <w:spacing w:val="0"/>
          <w:kern w:val="0"/>
          <w:sz w:val="20"/>
          <w:rtl/>
          <w:lang w:val="fr-CH" w:eastAsia="en-US"/>
        </w:rPr>
        <w:t xml:space="preserve">مبدأ المحاكمة العادلة </w:t>
      </w:r>
      <w:r w:rsidRPr="001D3F00">
        <w:rPr>
          <w:rFonts w:hint="cs"/>
          <w:spacing w:val="0"/>
          <w:kern w:val="0"/>
          <w:sz w:val="20"/>
          <w:rtl/>
          <w:lang w:val="fr-CH" w:eastAsia="en-US"/>
        </w:rPr>
        <w:t>عن</w:t>
      </w:r>
      <w:r w:rsidRPr="001D3F00">
        <w:rPr>
          <w:spacing w:val="0"/>
          <w:kern w:val="0"/>
          <w:sz w:val="20"/>
          <w:rtl/>
          <w:lang w:val="fr-CH" w:eastAsia="en-US"/>
        </w:rPr>
        <w:t xml:space="preserve"> تباين شديد في معدلات الإدانة ما بين المحاكم المحلية وكبار المسؤولين في المقاطعات. </w:t>
      </w:r>
      <w:r w:rsidRPr="001D3F00">
        <w:rPr>
          <w:rFonts w:hint="cs"/>
          <w:spacing w:val="0"/>
          <w:kern w:val="0"/>
          <w:sz w:val="20"/>
          <w:rtl/>
          <w:lang w:val="fr-CH" w:eastAsia="en-US"/>
        </w:rPr>
        <w:t>ف</w:t>
      </w:r>
      <w:r w:rsidRPr="001D3F00">
        <w:rPr>
          <w:spacing w:val="0"/>
          <w:kern w:val="0"/>
          <w:sz w:val="20"/>
          <w:rtl/>
          <w:lang w:val="fr-CH" w:eastAsia="en-US"/>
        </w:rPr>
        <w:t>خلال السنة المالية 2006-2007، بلغت نسبة المتهمين الذين أدانتهم المحاكم المحلية 72.67 في المائة من أصل 524 4 متهماً في حين بلغت نسبة المتهمين الذين أدانهم كبار المسؤولين في المقاطعات 98.27 في المائة من أصل</w:t>
      </w:r>
      <w:r w:rsidRPr="001D3F00">
        <w:rPr>
          <w:rFonts w:hint="cs"/>
          <w:spacing w:val="0"/>
          <w:kern w:val="0"/>
          <w:sz w:val="20"/>
          <w:rtl/>
          <w:lang w:val="fr-CH" w:eastAsia="en-US"/>
        </w:rPr>
        <w:t> </w:t>
      </w:r>
      <w:r w:rsidRPr="001D3F00">
        <w:rPr>
          <w:spacing w:val="0"/>
          <w:kern w:val="0"/>
          <w:sz w:val="20"/>
          <w:rtl/>
          <w:lang w:val="fr-CH" w:eastAsia="en-US"/>
        </w:rPr>
        <w:t>516 2 متهماً</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3"/>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3E7397">
      <w:pPr>
        <w:pStyle w:val="H4GA"/>
        <w:spacing w:line="360" w:lineRule="exact"/>
        <w:rPr>
          <w:rFonts w:hint="cs"/>
          <w:spacing w:val="0"/>
          <w:kern w:val="0"/>
          <w:lang w:eastAsia="en-US"/>
        </w:rPr>
      </w:pPr>
      <w:r w:rsidRPr="007F4611">
        <w:rPr>
          <w:rFonts w:hint="cs"/>
          <w:spacing w:val="0"/>
          <w:kern w:val="0"/>
          <w:rtl/>
          <w:lang w:eastAsia="en-US"/>
        </w:rPr>
        <w:tab/>
      </w:r>
      <w:r w:rsidRPr="007F4611">
        <w:rPr>
          <w:spacing w:val="0"/>
          <w:kern w:val="0"/>
          <w:rtl/>
          <w:lang w:eastAsia="en-US"/>
        </w:rPr>
        <w:t>‘3‘</w:t>
      </w:r>
      <w:r w:rsidRPr="007F4611">
        <w:rPr>
          <w:rFonts w:hint="cs"/>
          <w:spacing w:val="0"/>
          <w:kern w:val="0"/>
          <w:rtl/>
          <w:lang w:eastAsia="en-US"/>
        </w:rPr>
        <w:tab/>
        <w:t>الاحتجاز في أماكن معزولة</w:t>
      </w:r>
    </w:p>
    <w:p w:rsidR="001D3F00" w:rsidRPr="001D3F00" w:rsidRDefault="001D3F00" w:rsidP="003E7397">
      <w:pPr>
        <w:tabs>
          <w:tab w:val="left" w:pos="1928"/>
          <w:tab w:val="left" w:pos="2608"/>
          <w:tab w:val="left" w:pos="3289"/>
          <w:tab w:val="left" w:pos="3969"/>
          <w:tab w:val="left" w:pos="4649"/>
          <w:tab w:val="left" w:pos="5330"/>
        </w:tabs>
        <w:spacing w:after="120" w:line="360" w:lineRule="exact"/>
        <w:ind w:left="1247" w:right="1247"/>
        <w:jc w:val="lowKashida"/>
        <w:rPr>
          <w:spacing w:val="0"/>
          <w:kern w:val="0"/>
          <w:sz w:val="20"/>
          <w:lang w:val="fr-CH" w:eastAsia="en-US"/>
        </w:rPr>
      </w:pPr>
      <w:r w:rsidRPr="001D3F00">
        <w:rPr>
          <w:spacing w:val="0"/>
          <w:kern w:val="0"/>
          <w:sz w:val="20"/>
          <w:rtl/>
          <w:lang w:val="fr-CH" w:eastAsia="en-US"/>
        </w:rPr>
        <w:t>61-</w:t>
      </w:r>
      <w:r w:rsidRPr="001D3F00">
        <w:rPr>
          <w:rFonts w:hint="cs"/>
          <w:spacing w:val="0"/>
          <w:kern w:val="0"/>
          <w:sz w:val="20"/>
          <w:rtl/>
          <w:lang w:val="fr-CH" w:eastAsia="en-US"/>
        </w:rPr>
        <w:tab/>
      </w:r>
      <w:r w:rsidRPr="001D3F00">
        <w:rPr>
          <w:spacing w:val="0"/>
          <w:kern w:val="0"/>
          <w:sz w:val="20"/>
          <w:rtl/>
          <w:lang w:val="fr-CH" w:eastAsia="en-US"/>
        </w:rPr>
        <w:t xml:space="preserve">ادعى مركز نيبال لضحايا التعذيب </w:t>
      </w:r>
      <w:r w:rsidRPr="001D3F00">
        <w:rPr>
          <w:rFonts w:hint="cs"/>
          <w:spacing w:val="0"/>
          <w:kern w:val="0"/>
          <w:sz w:val="20"/>
          <w:rtl/>
          <w:lang w:val="fr-CH" w:eastAsia="en-US"/>
        </w:rPr>
        <w:t>وجود</w:t>
      </w:r>
      <w:r w:rsidRPr="001D3F00">
        <w:rPr>
          <w:spacing w:val="0"/>
          <w:kern w:val="0"/>
          <w:sz w:val="20"/>
          <w:rtl/>
          <w:lang w:val="fr-CH" w:eastAsia="en-US"/>
        </w:rPr>
        <w:t xml:space="preserve"> مراكز احتجاز </w:t>
      </w:r>
      <w:r w:rsidRPr="001D3F00">
        <w:rPr>
          <w:rFonts w:hint="cs"/>
          <w:spacing w:val="0"/>
          <w:kern w:val="0"/>
          <w:sz w:val="20"/>
          <w:rtl/>
          <w:lang w:val="fr-CH" w:eastAsia="en-US"/>
        </w:rPr>
        <w:t>مجهولة</w:t>
      </w:r>
      <w:r w:rsidRPr="001D3F00">
        <w:rPr>
          <w:spacing w:val="0"/>
          <w:kern w:val="0"/>
          <w:sz w:val="20"/>
          <w:rtl/>
          <w:lang w:val="fr-CH" w:eastAsia="en-US"/>
        </w:rPr>
        <w:t xml:space="preserve"> متنقلة تستخدم لأغراض التعذيب، مشيراً إلى أنه على الرغم من تعذر تأكيد وجود هذه الأماكن الخفية للاحتجاز، فإن المنظمة تلقت ادعاءات كثيرة من الضحايا تفيد </w:t>
      </w:r>
      <w:r w:rsidRPr="001D3F00">
        <w:rPr>
          <w:rFonts w:hint="cs"/>
          <w:spacing w:val="0"/>
          <w:kern w:val="0"/>
          <w:sz w:val="20"/>
          <w:rtl/>
          <w:lang w:val="fr-CH" w:eastAsia="en-US"/>
        </w:rPr>
        <w:t xml:space="preserve">عن </w:t>
      </w:r>
      <w:r w:rsidRPr="001D3F00">
        <w:rPr>
          <w:spacing w:val="0"/>
          <w:kern w:val="0"/>
          <w:sz w:val="20"/>
          <w:rtl/>
          <w:lang w:val="fr-CH" w:eastAsia="en-US"/>
        </w:rPr>
        <w:t>وجودها</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4"/>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3E7397">
      <w:pPr>
        <w:pStyle w:val="H4GA"/>
        <w:spacing w:line="360" w:lineRule="exact"/>
        <w:rPr>
          <w:spacing w:val="0"/>
          <w:kern w:val="0"/>
          <w:lang w:eastAsia="en-US"/>
        </w:rPr>
      </w:pPr>
      <w:r w:rsidRPr="007F4611">
        <w:rPr>
          <w:rFonts w:hint="cs"/>
          <w:spacing w:val="0"/>
          <w:kern w:val="0"/>
          <w:rtl/>
          <w:lang w:eastAsia="en-US"/>
        </w:rPr>
        <w:tab/>
      </w:r>
      <w:r w:rsidRPr="007F4611">
        <w:rPr>
          <w:spacing w:val="0"/>
          <w:kern w:val="0"/>
          <w:rtl/>
          <w:lang w:eastAsia="en-US"/>
        </w:rPr>
        <w:t>‘4‘</w:t>
      </w:r>
      <w:r w:rsidRPr="007F4611">
        <w:rPr>
          <w:rFonts w:hint="cs"/>
          <w:spacing w:val="0"/>
          <w:kern w:val="0"/>
          <w:rtl/>
          <w:lang w:eastAsia="en-US"/>
        </w:rPr>
        <w:tab/>
      </w:r>
      <w:r w:rsidRPr="007F4611">
        <w:rPr>
          <w:spacing w:val="0"/>
          <w:kern w:val="0"/>
          <w:rtl/>
          <w:lang w:eastAsia="en-US"/>
        </w:rPr>
        <w:t>التجاوزات في منطقة تيراي</w:t>
      </w:r>
    </w:p>
    <w:p w:rsidR="001D3F00" w:rsidRPr="001D3F00" w:rsidRDefault="001D3F00" w:rsidP="003E7397">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1D3F00">
        <w:rPr>
          <w:spacing w:val="0"/>
          <w:kern w:val="0"/>
          <w:sz w:val="20"/>
          <w:rtl/>
          <w:lang w:val="fr-CH" w:eastAsia="en-US"/>
        </w:rPr>
        <w:t>62-</w:t>
      </w:r>
      <w:r w:rsidRPr="001D3F00">
        <w:rPr>
          <w:spacing w:val="0"/>
          <w:kern w:val="0"/>
          <w:sz w:val="20"/>
          <w:rtl/>
          <w:lang w:val="fr-CH" w:eastAsia="en-US"/>
        </w:rPr>
        <w:tab/>
        <w:t xml:space="preserve">ذكرت منظمات غير حكومية أن الاضطرابات الداخلية، ولا سيما في منطقة تيراي، قد أدت إلى زيادة حالات التعذيب والإعدامات خارج نطاق القضاء التي ارتكبتها شرطة نيبال وقوات الشرطة المسلحة النيبالية والجيش النيبالي. ووفقاً لمحفل الدفاع وجمعية المساعدة على الجبر، فإن معدلات التعذيب كانت في السنوات الأخيرة أعلى بكثير من المتوسط السنوي المسجل في بعض </w:t>
      </w:r>
      <w:r w:rsidRPr="001D3F00">
        <w:rPr>
          <w:rFonts w:hint="cs"/>
          <w:spacing w:val="0"/>
          <w:kern w:val="0"/>
          <w:sz w:val="20"/>
          <w:rtl/>
          <w:lang w:val="fr-CH" w:eastAsia="en-US"/>
        </w:rPr>
        <w:t>ال</w:t>
      </w:r>
      <w:r w:rsidRPr="001D3F00">
        <w:rPr>
          <w:spacing w:val="0"/>
          <w:kern w:val="0"/>
          <w:sz w:val="20"/>
          <w:rtl/>
          <w:lang w:val="fr-CH" w:eastAsia="en-US"/>
        </w:rPr>
        <w:t xml:space="preserve">مناطق </w:t>
      </w:r>
      <w:r w:rsidRPr="001D3F00">
        <w:rPr>
          <w:rFonts w:hint="cs"/>
          <w:spacing w:val="0"/>
          <w:kern w:val="0"/>
          <w:sz w:val="20"/>
          <w:rtl/>
          <w:lang w:val="fr-CH" w:eastAsia="en-US"/>
        </w:rPr>
        <w:t>ال</w:t>
      </w:r>
      <w:r w:rsidRPr="001D3F00">
        <w:rPr>
          <w:spacing w:val="0"/>
          <w:kern w:val="0"/>
          <w:sz w:val="20"/>
          <w:rtl/>
          <w:lang w:val="fr-CH" w:eastAsia="en-US"/>
        </w:rPr>
        <w:t>معينة من البلد، وبصفة خاصة في</w:t>
      </w:r>
      <w:r w:rsidRPr="001D3F00">
        <w:rPr>
          <w:rFonts w:hint="cs"/>
          <w:spacing w:val="0"/>
          <w:kern w:val="0"/>
          <w:sz w:val="20"/>
          <w:rtl/>
          <w:lang w:val="fr-CH" w:eastAsia="en-US"/>
        </w:rPr>
        <w:t xml:space="preserve"> عدة</w:t>
      </w:r>
      <w:r w:rsidRPr="001D3F00">
        <w:rPr>
          <w:spacing w:val="0"/>
          <w:kern w:val="0"/>
          <w:sz w:val="20"/>
          <w:rtl/>
          <w:lang w:val="fr-CH" w:eastAsia="en-US"/>
        </w:rPr>
        <w:t xml:space="preserve"> مقاطعات من تيراي. وعلى سبيل المثال، ذكر 40.9 في المائة من المحتجزين الذين أجريت مقابلات معهم في مقاطعة دهانوشا أنهم تعرضوا للتعذيب وبلغت هذه النسبة 30.5 في المائة في مقاطعة سونساري و29.3 في المائة في مقاطعة سوركهيت. وتقع هذه المقاطعات جميعها في منطقة تيراي. وإضافة إلى ذلك، ازدادت اتجاهات تقارير الإبلاغ عن التعذيب في منطقة تيراي من</w:t>
      </w:r>
      <w:r w:rsidRPr="001D3F00">
        <w:rPr>
          <w:rFonts w:hint="cs"/>
          <w:spacing w:val="0"/>
          <w:kern w:val="0"/>
          <w:sz w:val="20"/>
          <w:rtl/>
          <w:lang w:val="fr-CH" w:eastAsia="en-US"/>
        </w:rPr>
        <w:t> </w:t>
      </w:r>
      <w:r w:rsidRPr="001D3F00">
        <w:rPr>
          <w:spacing w:val="0"/>
          <w:kern w:val="0"/>
          <w:sz w:val="20"/>
          <w:rtl/>
          <w:lang w:val="fr-CH" w:eastAsia="en-US"/>
        </w:rPr>
        <w:t>22.4 إلى 33.2 في المائة في مقاطعة مورانغ ومن 23.3 إلى 27 في المائة في مقاطعة بانكي ومن 21 إلى 26 في</w:t>
      </w:r>
      <w:r w:rsidRPr="001D3F00">
        <w:rPr>
          <w:rFonts w:hint="cs"/>
          <w:spacing w:val="0"/>
          <w:kern w:val="0"/>
          <w:sz w:val="20"/>
          <w:rtl/>
          <w:lang w:val="fr-CH" w:eastAsia="en-US"/>
        </w:rPr>
        <w:t> </w:t>
      </w:r>
      <w:r w:rsidRPr="001D3F00">
        <w:rPr>
          <w:spacing w:val="0"/>
          <w:kern w:val="0"/>
          <w:sz w:val="20"/>
          <w:rtl/>
          <w:lang w:val="fr-CH" w:eastAsia="en-US"/>
        </w:rPr>
        <w:t>المائة في مقاطعة جهابا ومن 10 إلى 13 في المائة في مقاطعة كابيلفاستو ومن 13.4 إلى</w:t>
      </w:r>
      <w:r w:rsidRPr="001D3F00">
        <w:rPr>
          <w:rFonts w:hint="cs"/>
          <w:spacing w:val="0"/>
          <w:kern w:val="0"/>
          <w:sz w:val="20"/>
          <w:rtl/>
          <w:lang w:val="fr-CH" w:eastAsia="en-US"/>
        </w:rPr>
        <w:t> </w:t>
      </w:r>
      <w:r w:rsidRPr="001D3F00">
        <w:rPr>
          <w:spacing w:val="0"/>
          <w:kern w:val="0"/>
          <w:sz w:val="20"/>
          <w:rtl/>
          <w:lang w:val="fr-CH" w:eastAsia="en-US"/>
        </w:rPr>
        <w:t>14.5 في المائة في مقاطعة أوديابور</w:t>
      </w:r>
      <w:r w:rsidRPr="001D3F00">
        <w:rPr>
          <w:spacing w:val="0"/>
          <w:kern w:val="0"/>
          <w:sz w:val="20"/>
          <w:vertAlign w:val="superscript"/>
          <w:rtl/>
          <w:lang w:val="fr-CH" w:eastAsia="en-US"/>
        </w:rPr>
        <w:t>(</w:t>
      </w:r>
      <w:r w:rsidRPr="001D3F00">
        <w:rPr>
          <w:b/>
          <w:spacing w:val="-2"/>
          <w:kern w:val="0"/>
          <w:szCs w:val="28"/>
          <w:vertAlign w:val="superscript"/>
          <w:rtl/>
          <w:lang w:val="fr-CH" w:eastAsia="en-US"/>
        </w:rPr>
        <w:footnoteReference w:id="75"/>
      </w:r>
      <w:r w:rsidRPr="001D3F00">
        <w:rPr>
          <w:spacing w:val="0"/>
          <w:kern w:val="0"/>
          <w:sz w:val="20"/>
          <w:vertAlign w:val="superscript"/>
          <w:rtl/>
          <w:lang w:val="fr-CH" w:eastAsia="en-US"/>
        </w:rPr>
        <w:t>)</w:t>
      </w:r>
      <w:r w:rsidRPr="001D3F00">
        <w:rPr>
          <w:spacing w:val="0"/>
          <w:kern w:val="0"/>
          <w:sz w:val="20"/>
          <w:rtl/>
          <w:lang w:val="fr-CH" w:eastAsia="en-US"/>
        </w:rPr>
        <w:t>. وذكر محفل الدفاع وجمعية المساعدة على الجبر أيضاً أن المحتجزين من أفراد الأقليات الإثنية في منطقة تيراي كانوا يتعرضون للتعذيب في عام</w:t>
      </w:r>
      <w:r w:rsidRPr="001D3F00">
        <w:rPr>
          <w:rFonts w:hint="cs"/>
          <w:spacing w:val="0"/>
          <w:kern w:val="0"/>
          <w:sz w:val="20"/>
          <w:rtl/>
          <w:lang w:val="fr-CH" w:eastAsia="en-US"/>
        </w:rPr>
        <w:t> </w:t>
      </w:r>
      <w:r w:rsidRPr="001D3F00">
        <w:rPr>
          <w:spacing w:val="0"/>
          <w:kern w:val="0"/>
          <w:sz w:val="20"/>
          <w:rtl/>
          <w:lang w:val="fr-CH" w:eastAsia="en-US"/>
        </w:rPr>
        <w:t xml:space="preserve">2010 بدرجة أكبر من تعرض المحتجزين الآخرين، </w:t>
      </w:r>
      <w:r w:rsidRPr="001D3F00">
        <w:rPr>
          <w:rFonts w:hint="cs"/>
          <w:spacing w:val="0"/>
          <w:kern w:val="0"/>
          <w:sz w:val="20"/>
          <w:rtl/>
          <w:lang w:val="fr-CH" w:eastAsia="en-US"/>
        </w:rPr>
        <w:t>حيث إن</w:t>
      </w:r>
      <w:r w:rsidRPr="001D3F00">
        <w:rPr>
          <w:spacing w:val="0"/>
          <w:kern w:val="0"/>
          <w:sz w:val="20"/>
          <w:rtl/>
          <w:lang w:val="fr-CH" w:eastAsia="en-US"/>
        </w:rPr>
        <w:t xml:space="preserve"> نسبة أفراد هذه الفئة</w:t>
      </w:r>
      <w:r w:rsidRPr="001D3F00">
        <w:rPr>
          <w:rFonts w:hint="cs"/>
          <w:spacing w:val="0"/>
          <w:kern w:val="0"/>
          <w:sz w:val="20"/>
          <w:rtl/>
          <w:lang w:val="fr-CH" w:eastAsia="en-US"/>
        </w:rPr>
        <w:t> </w:t>
      </w:r>
      <w:r w:rsidRPr="001D3F00">
        <w:rPr>
          <w:spacing w:val="0"/>
          <w:kern w:val="0"/>
          <w:sz w:val="20"/>
          <w:rtl/>
          <w:lang w:val="fr-CH" w:eastAsia="en-US"/>
        </w:rPr>
        <w:t>الإثنية من بين المحتجزين الذين أجريت مقابلات معهم لا تتعدى 17 في المائة، و</w:t>
      </w:r>
      <w:r w:rsidRPr="001D3F00">
        <w:rPr>
          <w:rFonts w:hint="cs"/>
          <w:spacing w:val="0"/>
          <w:kern w:val="0"/>
          <w:sz w:val="20"/>
          <w:rtl/>
          <w:lang w:val="fr-CH" w:eastAsia="en-US"/>
        </w:rPr>
        <w:t>مع ذلك ف</w:t>
      </w:r>
      <w:r w:rsidRPr="001D3F00">
        <w:rPr>
          <w:spacing w:val="0"/>
          <w:kern w:val="0"/>
          <w:sz w:val="20"/>
          <w:rtl/>
          <w:lang w:val="fr-CH" w:eastAsia="en-US"/>
        </w:rPr>
        <w:t>قد قدموا</w:t>
      </w:r>
      <w:r w:rsidRPr="001D3F00">
        <w:rPr>
          <w:rFonts w:hint="cs"/>
          <w:spacing w:val="0"/>
          <w:kern w:val="0"/>
          <w:sz w:val="20"/>
          <w:rtl/>
          <w:lang w:val="fr-CH" w:eastAsia="en-US"/>
        </w:rPr>
        <w:t> </w:t>
      </w:r>
      <w:r w:rsidRPr="001D3F00">
        <w:rPr>
          <w:spacing w:val="0"/>
          <w:kern w:val="0"/>
          <w:sz w:val="20"/>
          <w:rtl/>
          <w:lang w:val="fr-CH" w:eastAsia="en-US"/>
        </w:rPr>
        <w:t>22.9 في المائة من ادعاءات التعذيب المسجلة.</w:t>
      </w:r>
    </w:p>
    <w:p w:rsidR="001D3F00" w:rsidRPr="001D3F00" w:rsidRDefault="001D3F00" w:rsidP="003E7397">
      <w:pPr>
        <w:tabs>
          <w:tab w:val="left" w:pos="1928"/>
          <w:tab w:val="left" w:pos="2608"/>
          <w:tab w:val="left" w:pos="3289"/>
          <w:tab w:val="left" w:pos="3969"/>
          <w:tab w:val="left" w:pos="4649"/>
          <w:tab w:val="left" w:pos="5330"/>
        </w:tabs>
        <w:spacing w:after="120" w:line="360" w:lineRule="exact"/>
        <w:ind w:left="1247" w:right="1247"/>
        <w:jc w:val="lowKashida"/>
        <w:rPr>
          <w:rFonts w:hint="cs"/>
          <w:spacing w:val="0"/>
          <w:kern w:val="0"/>
          <w:sz w:val="20"/>
          <w:rtl/>
          <w:lang w:val="fr-CH" w:eastAsia="en-US"/>
        </w:rPr>
      </w:pPr>
      <w:r w:rsidRPr="001D3F00">
        <w:rPr>
          <w:spacing w:val="0"/>
          <w:kern w:val="0"/>
          <w:sz w:val="20"/>
          <w:rtl/>
          <w:lang w:val="fr-CH" w:eastAsia="en-US"/>
        </w:rPr>
        <w:t>63-</w:t>
      </w:r>
      <w:r w:rsidRPr="001D3F00">
        <w:rPr>
          <w:rFonts w:hint="cs"/>
          <w:spacing w:val="0"/>
          <w:kern w:val="0"/>
          <w:sz w:val="20"/>
          <w:rtl/>
          <w:lang w:val="fr-CH" w:eastAsia="en-US"/>
        </w:rPr>
        <w:tab/>
      </w:r>
      <w:r w:rsidRPr="001D3F00">
        <w:rPr>
          <w:spacing w:val="0"/>
          <w:kern w:val="0"/>
          <w:sz w:val="20"/>
          <w:rtl/>
          <w:lang w:val="fr-CH" w:eastAsia="en-US"/>
        </w:rPr>
        <w:t>وأصبحت قوات الشرطة المسلحة تشارك بصورة متزايدة في الاعتقالات المتعلقة بالجماعات المسلحة في منطقة تيراي. وليس لهذه القوات صلاحيات قانونية واضحة للاعتقال والاحتجاز. بيد أنه</w:t>
      </w:r>
      <w:r w:rsidRPr="001D3F00">
        <w:rPr>
          <w:rFonts w:hint="cs"/>
          <w:spacing w:val="0"/>
          <w:kern w:val="0"/>
          <w:sz w:val="20"/>
          <w:rtl/>
          <w:lang w:val="fr-CH" w:eastAsia="en-US"/>
        </w:rPr>
        <w:t xml:space="preserve">ا نُشرت مع قوات الشرطة النيبالية لمواجهة الاضطرابات المستمرة </w:t>
      </w:r>
      <w:r w:rsidRPr="001D3F00">
        <w:rPr>
          <w:spacing w:val="0"/>
          <w:kern w:val="0"/>
          <w:sz w:val="20"/>
          <w:rtl/>
          <w:lang w:val="fr-CH" w:eastAsia="en-US"/>
        </w:rPr>
        <w:t>في منطقة تيراي</w:t>
      </w:r>
      <w:r w:rsidRPr="001D3F00">
        <w:rPr>
          <w:rFonts w:hint="cs"/>
          <w:spacing w:val="0"/>
          <w:kern w:val="0"/>
          <w:sz w:val="20"/>
          <w:rtl/>
          <w:lang w:val="fr-CH" w:eastAsia="en-US"/>
        </w:rPr>
        <w:t xml:space="preserve">. </w:t>
      </w:r>
      <w:r w:rsidRPr="001D3F00">
        <w:rPr>
          <w:spacing w:val="0"/>
          <w:kern w:val="0"/>
          <w:sz w:val="20"/>
          <w:rtl/>
          <w:lang w:val="fr-CH" w:eastAsia="en-US"/>
        </w:rPr>
        <w:t xml:space="preserve">وقد أُفيد أيضاً </w:t>
      </w:r>
      <w:r w:rsidRPr="001D3F00">
        <w:rPr>
          <w:rFonts w:hint="cs"/>
          <w:spacing w:val="0"/>
          <w:kern w:val="0"/>
          <w:sz w:val="20"/>
          <w:rtl/>
          <w:lang w:val="fr-CH" w:eastAsia="en-US"/>
        </w:rPr>
        <w:t xml:space="preserve">عن </w:t>
      </w:r>
      <w:r w:rsidRPr="001D3F00">
        <w:rPr>
          <w:spacing w:val="0"/>
          <w:kern w:val="0"/>
          <w:sz w:val="20"/>
          <w:rtl/>
          <w:lang w:val="fr-CH" w:eastAsia="en-US"/>
        </w:rPr>
        <w:t>وجود ادعاءات تتعلق بقيام قوات الشرطة المسلحة بالاحتجاز غير القانوني. وعلى سبيل المثال، ادعى محفل الدفاع وجمعية المساعدة على الجبر</w:t>
      </w:r>
      <w:r w:rsidRPr="001D3F00">
        <w:rPr>
          <w:rFonts w:hint="cs"/>
          <w:spacing w:val="0"/>
          <w:kern w:val="0"/>
          <w:sz w:val="20"/>
          <w:rtl/>
          <w:lang w:val="fr-CH" w:eastAsia="en-US"/>
        </w:rPr>
        <w:t xml:space="preserve"> في عام</w:t>
      </w:r>
      <w:r w:rsidRPr="001D3F00">
        <w:rPr>
          <w:rFonts w:hint="eastAsia"/>
          <w:spacing w:val="0"/>
          <w:kern w:val="0"/>
          <w:sz w:val="20"/>
          <w:rtl/>
          <w:lang w:val="fr-CH" w:eastAsia="en-US"/>
        </w:rPr>
        <w:t> </w:t>
      </w:r>
      <w:r w:rsidRPr="001D3F00">
        <w:rPr>
          <w:rFonts w:hint="cs"/>
          <w:spacing w:val="0"/>
          <w:kern w:val="0"/>
          <w:sz w:val="20"/>
          <w:rtl/>
          <w:lang w:val="fr-CH" w:eastAsia="en-US"/>
        </w:rPr>
        <w:t>2010</w:t>
      </w:r>
      <w:r w:rsidRPr="001D3F00">
        <w:rPr>
          <w:spacing w:val="0"/>
          <w:kern w:val="0"/>
          <w:sz w:val="20"/>
          <w:rtl/>
          <w:lang w:val="fr-CH" w:eastAsia="en-US"/>
        </w:rPr>
        <w:t xml:space="preserve"> حدوث التعذيب في معسكر</w:t>
      </w:r>
      <w:r w:rsidRPr="001D3F00">
        <w:rPr>
          <w:rFonts w:hint="cs"/>
          <w:spacing w:val="0"/>
          <w:kern w:val="0"/>
          <w:sz w:val="20"/>
          <w:rtl/>
          <w:lang w:val="fr-CH" w:eastAsia="en-US"/>
        </w:rPr>
        <w:t>ي</w:t>
      </w:r>
      <w:r w:rsidRPr="001D3F00">
        <w:rPr>
          <w:spacing w:val="0"/>
          <w:kern w:val="0"/>
          <w:sz w:val="20"/>
          <w:rtl/>
          <w:lang w:val="fr-CH" w:eastAsia="en-US"/>
        </w:rPr>
        <w:t xml:space="preserve"> قوات الشرطة المسلحة هاتليوا وموجيليا في مقاطعة دهانوشا فضلاً عن معسكر باتيبارا غان في باداغ</w:t>
      </w:r>
      <w:r w:rsidRPr="001D3F00">
        <w:rPr>
          <w:rFonts w:hint="cs"/>
          <w:spacing w:val="0"/>
          <w:kern w:val="0"/>
          <w:sz w:val="20"/>
          <w:rtl/>
          <w:lang w:val="fr-CH" w:eastAsia="en-US"/>
        </w:rPr>
        <w:t>و</w:t>
      </w:r>
      <w:r w:rsidRPr="001D3F00">
        <w:rPr>
          <w:spacing w:val="0"/>
          <w:kern w:val="0"/>
          <w:sz w:val="20"/>
          <w:rtl/>
          <w:lang w:val="fr-CH" w:eastAsia="en-US"/>
        </w:rPr>
        <w:t>جي بمقاطعة جهابا</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6"/>
      </w:r>
      <w:r w:rsidRPr="001D3F00">
        <w:rPr>
          <w:spacing w:val="0"/>
          <w:kern w:val="0"/>
          <w:sz w:val="20"/>
          <w:vertAlign w:val="superscript"/>
          <w:rtl/>
          <w:lang w:val="fr-CH" w:eastAsia="en-US"/>
        </w:rPr>
        <w:t>)</w:t>
      </w:r>
      <w:r w:rsidRPr="001D3F00">
        <w:rPr>
          <w:spacing w:val="0"/>
          <w:kern w:val="0"/>
          <w:sz w:val="20"/>
          <w:rtl/>
          <w:lang w:val="fr-CH"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64-</w:t>
      </w:r>
      <w:r w:rsidRPr="001D3F00">
        <w:rPr>
          <w:rFonts w:hint="cs"/>
          <w:spacing w:val="0"/>
          <w:kern w:val="0"/>
          <w:sz w:val="20"/>
          <w:rtl/>
          <w:lang w:val="fr-CH" w:eastAsia="en-US"/>
        </w:rPr>
        <w:tab/>
      </w:r>
      <w:r w:rsidRPr="001D3F00">
        <w:rPr>
          <w:spacing w:val="0"/>
          <w:kern w:val="0"/>
          <w:sz w:val="20"/>
          <w:rtl/>
          <w:lang w:val="fr-CH" w:eastAsia="en-US"/>
        </w:rPr>
        <w:t xml:space="preserve">وسجل المركز الآسيوي للموارد القانونية 12 حالة تتعلق بادعاء </w:t>
      </w:r>
      <w:r w:rsidRPr="001D3F00">
        <w:rPr>
          <w:rFonts w:hint="cs"/>
          <w:spacing w:val="0"/>
          <w:kern w:val="0"/>
          <w:sz w:val="20"/>
          <w:rtl/>
          <w:lang w:val="fr-CH" w:eastAsia="en-US"/>
        </w:rPr>
        <w:t xml:space="preserve">تنفيذ </w:t>
      </w:r>
      <w:r w:rsidRPr="001D3F00">
        <w:rPr>
          <w:spacing w:val="0"/>
          <w:kern w:val="0"/>
          <w:sz w:val="20"/>
          <w:rtl/>
          <w:lang w:val="fr-CH" w:eastAsia="en-US"/>
        </w:rPr>
        <w:t xml:space="preserve">إعدامات خارج نطاق </w:t>
      </w:r>
      <w:r w:rsidRPr="001D3F00">
        <w:rPr>
          <w:rFonts w:hint="cs"/>
          <w:spacing w:val="0"/>
          <w:kern w:val="0"/>
          <w:sz w:val="20"/>
          <w:rtl/>
          <w:lang w:val="fr-CH" w:eastAsia="en-US"/>
        </w:rPr>
        <w:t xml:space="preserve">القضاء </w:t>
      </w:r>
      <w:r w:rsidRPr="001D3F00">
        <w:rPr>
          <w:spacing w:val="0"/>
          <w:kern w:val="0"/>
          <w:sz w:val="20"/>
          <w:rtl/>
          <w:lang w:val="fr-CH" w:eastAsia="en-US"/>
        </w:rPr>
        <w:t>في منطقة تيراي في الفترة ما بين شباط/فبراير وتشرين الأول/</w:t>
      </w:r>
      <w:r w:rsidRPr="001D3F00">
        <w:rPr>
          <w:rFonts w:hint="cs"/>
          <w:spacing w:val="0"/>
          <w:kern w:val="0"/>
          <w:sz w:val="20"/>
          <w:rtl/>
          <w:lang w:val="fr-CH" w:eastAsia="en-US"/>
        </w:rPr>
        <w:t xml:space="preserve"> </w:t>
      </w:r>
      <w:r w:rsidRPr="001D3F00">
        <w:rPr>
          <w:spacing w:val="0"/>
          <w:kern w:val="0"/>
          <w:sz w:val="20"/>
          <w:rtl/>
          <w:lang w:val="fr-CH" w:eastAsia="en-US"/>
        </w:rPr>
        <w:t>أكتوبر</w:t>
      </w:r>
      <w:r w:rsidRPr="001D3F00">
        <w:rPr>
          <w:rFonts w:hint="cs"/>
          <w:spacing w:val="0"/>
          <w:kern w:val="0"/>
          <w:sz w:val="20"/>
          <w:rtl/>
          <w:lang w:val="fr-CH" w:eastAsia="en-US"/>
        </w:rPr>
        <w:t> </w:t>
      </w:r>
      <w:r w:rsidRPr="001D3F00">
        <w:rPr>
          <w:spacing w:val="0"/>
          <w:kern w:val="0"/>
          <w:sz w:val="20"/>
          <w:rtl/>
          <w:lang w:val="fr-CH" w:eastAsia="en-US"/>
        </w:rPr>
        <w:t xml:space="preserve">2009 راح ضحيتها 15 شخصاً. وفي معظم الحالات، كان الجاني المزعوم فرداً من أفراد الشرطة باستثناء حالتين تورط فيهما أفراد من قوات الشرطة المسلحة. ووفقاً للمركز الآسيوي للموارد القانونية، فإن قوات الأمن ادعت وقوع </w:t>
      </w:r>
      <w:r w:rsidRPr="001D3F00">
        <w:rPr>
          <w:rFonts w:hint="cs"/>
          <w:spacing w:val="0"/>
          <w:kern w:val="0"/>
          <w:sz w:val="20"/>
          <w:rtl/>
          <w:lang w:val="fr-CH" w:eastAsia="en-US"/>
        </w:rPr>
        <w:t>"</w:t>
      </w:r>
      <w:r w:rsidRPr="001D3F00">
        <w:rPr>
          <w:spacing w:val="0"/>
          <w:kern w:val="0"/>
          <w:sz w:val="20"/>
          <w:rtl/>
          <w:lang w:val="fr-CH" w:eastAsia="en-US"/>
        </w:rPr>
        <w:t>مواجهة</w:t>
      </w:r>
      <w:r w:rsidRPr="001D3F00">
        <w:rPr>
          <w:rFonts w:hint="cs"/>
          <w:spacing w:val="0"/>
          <w:kern w:val="0"/>
          <w:sz w:val="20"/>
          <w:rtl/>
          <w:lang w:val="fr-CH" w:eastAsia="en-US"/>
        </w:rPr>
        <w:t>"</w:t>
      </w:r>
      <w:r w:rsidRPr="001D3F00">
        <w:rPr>
          <w:spacing w:val="0"/>
          <w:kern w:val="0"/>
          <w:sz w:val="20"/>
          <w:rtl/>
          <w:lang w:val="fr-CH" w:eastAsia="en-US"/>
        </w:rPr>
        <w:t xml:space="preserve"> في كل حالة من تلك الحالات بين الشرطة وأفراد </w:t>
      </w:r>
      <w:r w:rsidRPr="001D3F00">
        <w:rPr>
          <w:rFonts w:hint="cs"/>
          <w:spacing w:val="0"/>
          <w:kern w:val="0"/>
          <w:sz w:val="20"/>
          <w:rtl/>
          <w:lang w:val="fr-CH" w:eastAsia="en-US"/>
        </w:rPr>
        <w:t xml:space="preserve">زُعم أنهم يشكلون </w:t>
      </w:r>
      <w:r w:rsidRPr="001D3F00">
        <w:rPr>
          <w:spacing w:val="0"/>
          <w:kern w:val="0"/>
          <w:sz w:val="20"/>
          <w:rtl/>
          <w:lang w:val="fr-CH" w:eastAsia="en-US"/>
        </w:rPr>
        <w:t>جماع</w:t>
      </w:r>
      <w:r w:rsidRPr="001D3F00">
        <w:rPr>
          <w:rFonts w:hint="cs"/>
          <w:spacing w:val="0"/>
          <w:kern w:val="0"/>
          <w:sz w:val="20"/>
          <w:rtl/>
          <w:lang w:val="fr-CH" w:eastAsia="en-US"/>
        </w:rPr>
        <w:t>ات</w:t>
      </w:r>
      <w:r w:rsidRPr="001D3F00">
        <w:rPr>
          <w:spacing w:val="0"/>
          <w:kern w:val="0"/>
          <w:sz w:val="20"/>
          <w:rtl/>
          <w:lang w:val="fr-CH" w:eastAsia="en-US"/>
        </w:rPr>
        <w:t xml:space="preserve"> مسلحة. بيد أنه لا يوجد ما يدل على مقتل أفراد </w:t>
      </w:r>
      <w:r w:rsidRPr="001D3F00">
        <w:rPr>
          <w:rFonts w:hint="cs"/>
          <w:spacing w:val="0"/>
          <w:kern w:val="0"/>
          <w:sz w:val="20"/>
          <w:rtl/>
          <w:lang w:val="fr-CH" w:eastAsia="en-US"/>
        </w:rPr>
        <w:t xml:space="preserve">من </w:t>
      </w:r>
      <w:r w:rsidRPr="001D3F00">
        <w:rPr>
          <w:spacing w:val="0"/>
          <w:kern w:val="0"/>
          <w:sz w:val="20"/>
          <w:rtl/>
          <w:lang w:val="fr-CH" w:eastAsia="en-US"/>
        </w:rPr>
        <w:t>الشرطة أو إصابتهم في أي حادث من تلك الحوادث</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7"/>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7F4611">
      <w:pPr>
        <w:pStyle w:val="H4GA"/>
        <w:rPr>
          <w:rFonts w:hint="cs"/>
          <w:spacing w:val="0"/>
          <w:kern w:val="0"/>
          <w:rtl/>
          <w:lang w:eastAsia="en-US"/>
        </w:rPr>
      </w:pPr>
      <w:r w:rsidRPr="007F4611">
        <w:rPr>
          <w:rFonts w:hint="cs"/>
          <w:spacing w:val="0"/>
          <w:kern w:val="0"/>
          <w:rtl/>
          <w:lang w:eastAsia="en-US"/>
        </w:rPr>
        <w:tab/>
      </w:r>
      <w:r w:rsidRPr="007F4611">
        <w:rPr>
          <w:spacing w:val="0"/>
          <w:kern w:val="0"/>
          <w:rtl/>
          <w:lang w:eastAsia="en-US"/>
        </w:rPr>
        <w:t>‘6‘</w:t>
      </w:r>
      <w:r w:rsidRPr="007F4611">
        <w:rPr>
          <w:rFonts w:hint="cs"/>
          <w:spacing w:val="0"/>
          <w:kern w:val="0"/>
          <w:rtl/>
          <w:lang w:eastAsia="en-US"/>
        </w:rPr>
        <w:tab/>
      </w:r>
      <w:r w:rsidRPr="007F4611">
        <w:rPr>
          <w:spacing w:val="0"/>
          <w:kern w:val="0"/>
          <w:rtl/>
          <w:lang w:eastAsia="en-US"/>
        </w:rPr>
        <w:t>عدم وجود ضمانات لأغراض الحماية من التعذيب</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spacing w:val="0"/>
          <w:kern w:val="0"/>
          <w:sz w:val="20"/>
          <w:lang w:val="fr-CH" w:eastAsia="en-US"/>
        </w:rPr>
      </w:pPr>
      <w:r w:rsidRPr="001D3F00">
        <w:rPr>
          <w:rFonts w:hint="cs"/>
          <w:spacing w:val="0"/>
          <w:kern w:val="0"/>
          <w:sz w:val="20"/>
          <w:rtl/>
          <w:lang w:val="fr-CH" w:eastAsia="en-US"/>
        </w:rPr>
        <w:tab/>
        <w:t>(أ)</w:t>
      </w:r>
      <w:r w:rsidRPr="001D3F00">
        <w:rPr>
          <w:rFonts w:hint="cs"/>
          <w:spacing w:val="0"/>
          <w:kern w:val="0"/>
          <w:sz w:val="20"/>
          <w:rtl/>
          <w:lang w:val="fr-CH" w:eastAsia="en-US"/>
        </w:rPr>
        <w:tab/>
      </w:r>
      <w:r w:rsidRPr="001D3F00">
        <w:rPr>
          <w:spacing w:val="0"/>
          <w:kern w:val="0"/>
          <w:sz w:val="20"/>
          <w:rtl/>
          <w:lang w:val="fr-CH" w:eastAsia="en-US"/>
        </w:rPr>
        <w:t>سجلات الاحتجاز</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65-</w:t>
      </w:r>
      <w:r w:rsidRPr="001D3F00">
        <w:rPr>
          <w:rFonts w:hint="cs"/>
          <w:spacing w:val="0"/>
          <w:kern w:val="0"/>
          <w:sz w:val="20"/>
          <w:rtl/>
          <w:lang w:val="fr-CH" w:eastAsia="en-US"/>
        </w:rPr>
        <w:tab/>
      </w:r>
      <w:r w:rsidRPr="001D3F00">
        <w:rPr>
          <w:spacing w:val="0"/>
          <w:kern w:val="0"/>
          <w:sz w:val="20"/>
          <w:rtl/>
          <w:lang w:val="fr-CH" w:eastAsia="en-US"/>
        </w:rPr>
        <w:t xml:space="preserve">ذكر مركز نيبال لضحايا التعذيب أيضاً أن قوات الأمن تمارس التعذيب وسوء المعاملة بصورة متزايدة ضد الأشخاص وهم في طريقهم إلى مكان الاحتجاز. وهذه الممارسة تشل قدرة المحتجزين على إثبات ادعاءات التعذيب </w:t>
      </w:r>
      <w:r w:rsidRPr="001D3F00">
        <w:rPr>
          <w:rFonts w:hint="cs"/>
          <w:spacing w:val="0"/>
          <w:kern w:val="0"/>
          <w:sz w:val="20"/>
          <w:rtl/>
          <w:lang w:val="fr-CH" w:eastAsia="en-US"/>
        </w:rPr>
        <w:t>ل</w:t>
      </w:r>
      <w:r w:rsidRPr="001D3F00">
        <w:rPr>
          <w:spacing w:val="0"/>
          <w:kern w:val="0"/>
          <w:sz w:val="20"/>
          <w:rtl/>
          <w:lang w:val="fr-CH" w:eastAsia="en-US"/>
        </w:rPr>
        <w:t xml:space="preserve">أن السلطات قد تحتج بأن إصابات المحتجز </w:t>
      </w:r>
      <w:r w:rsidRPr="001D3F00">
        <w:rPr>
          <w:rFonts w:hint="cs"/>
          <w:spacing w:val="0"/>
          <w:kern w:val="0"/>
          <w:sz w:val="20"/>
          <w:rtl/>
          <w:lang w:val="fr-CH" w:eastAsia="en-US"/>
        </w:rPr>
        <w:t>نجمت</w:t>
      </w:r>
      <w:r w:rsidRPr="001D3F00">
        <w:rPr>
          <w:spacing w:val="0"/>
          <w:kern w:val="0"/>
          <w:sz w:val="20"/>
          <w:rtl/>
          <w:lang w:val="fr-CH" w:eastAsia="en-US"/>
        </w:rPr>
        <w:t xml:space="preserve"> عن أساليب اعتقال مشروعة أو </w:t>
      </w:r>
      <w:r w:rsidRPr="001D3F00">
        <w:rPr>
          <w:rFonts w:hint="cs"/>
          <w:spacing w:val="0"/>
          <w:kern w:val="0"/>
          <w:sz w:val="20"/>
          <w:rtl/>
          <w:lang w:val="fr-CH" w:eastAsia="en-US"/>
        </w:rPr>
        <w:t>وقعت على أيدي</w:t>
      </w:r>
      <w:r w:rsidRPr="001D3F00">
        <w:rPr>
          <w:spacing w:val="0"/>
          <w:kern w:val="0"/>
          <w:sz w:val="20"/>
          <w:rtl/>
          <w:lang w:val="fr-CH" w:eastAsia="en-US"/>
        </w:rPr>
        <w:t xml:space="preserve"> مدنيين</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8"/>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val="fr-CH" w:eastAsia="en-US"/>
        </w:rPr>
      </w:pPr>
      <w:r w:rsidRPr="001D3F00">
        <w:rPr>
          <w:spacing w:val="0"/>
          <w:kern w:val="0"/>
          <w:sz w:val="20"/>
          <w:rtl/>
          <w:lang w:val="fr-CH" w:eastAsia="en-US"/>
        </w:rPr>
        <w:t>66-</w:t>
      </w:r>
      <w:r w:rsidRPr="001D3F00">
        <w:rPr>
          <w:rFonts w:hint="cs"/>
          <w:spacing w:val="0"/>
          <w:kern w:val="0"/>
          <w:sz w:val="20"/>
          <w:rtl/>
          <w:lang w:val="fr-CH" w:eastAsia="en-US"/>
        </w:rPr>
        <w:tab/>
      </w:r>
      <w:r w:rsidRPr="001D3F00">
        <w:rPr>
          <w:spacing w:val="0"/>
          <w:kern w:val="0"/>
          <w:sz w:val="20"/>
          <w:rtl/>
          <w:lang w:val="fr-CH" w:eastAsia="en-US"/>
        </w:rPr>
        <w:t>وأشار محفل الدفاع وجمعية المساعدة على الجبر كذلك إلى أنه على الرغم من أن المادة</w:t>
      </w:r>
      <w:r w:rsidRPr="001D3F00">
        <w:rPr>
          <w:rFonts w:hint="cs"/>
          <w:spacing w:val="0"/>
          <w:kern w:val="0"/>
          <w:sz w:val="20"/>
          <w:rtl/>
          <w:lang w:val="fr-CH" w:eastAsia="en-US"/>
        </w:rPr>
        <w:t> </w:t>
      </w:r>
      <w:r w:rsidRPr="001D3F00">
        <w:rPr>
          <w:spacing w:val="0"/>
          <w:kern w:val="0"/>
          <w:sz w:val="20"/>
          <w:rtl/>
          <w:lang w:val="fr-CH" w:eastAsia="en-US"/>
        </w:rPr>
        <w:t>15(أ) من قانون الحقوق المدنية (4 تشرين الثاني/نوفمبر 1955)، وهي مادة مكرسة في الدستور المؤقت أيضاً، تشترط إبلاغ الشخص الذي يتعرض للاعتقال بأسباب توقيفه ساعة اعتقاله، فمن الناحية العملية، ذكر 73.6 في المائة من المحتجزين الذين أجرى محفل الدفاع مقابلات معهم في عام 2009 و77.7 في المائة من الذين أجريت مقابلات معهم في عام</w:t>
      </w:r>
      <w:r w:rsidRPr="001D3F00">
        <w:rPr>
          <w:rFonts w:hint="cs"/>
          <w:spacing w:val="0"/>
          <w:kern w:val="0"/>
          <w:sz w:val="20"/>
          <w:rtl/>
          <w:lang w:val="fr-CH" w:eastAsia="en-US"/>
        </w:rPr>
        <w:t> </w:t>
      </w:r>
      <w:r w:rsidRPr="001D3F00">
        <w:rPr>
          <w:spacing w:val="0"/>
          <w:kern w:val="0"/>
          <w:sz w:val="20"/>
          <w:rtl/>
          <w:lang w:val="fr-CH" w:eastAsia="en-US"/>
        </w:rPr>
        <w:t xml:space="preserve">2010 أنهم لم يبلغوا بأسباب </w:t>
      </w:r>
      <w:r w:rsidRPr="001D3F00">
        <w:rPr>
          <w:rFonts w:hint="cs"/>
          <w:spacing w:val="0"/>
          <w:kern w:val="0"/>
          <w:sz w:val="20"/>
          <w:rtl/>
          <w:lang w:val="fr-CH" w:eastAsia="en-US"/>
        </w:rPr>
        <w:t>توقيفهم</w:t>
      </w:r>
      <w:r w:rsidRPr="001D3F00">
        <w:rPr>
          <w:spacing w:val="0"/>
          <w:kern w:val="0"/>
          <w:sz w:val="20"/>
          <w:rtl/>
          <w:lang w:val="fr-CH" w:eastAsia="en-US"/>
        </w:rPr>
        <w:t xml:space="preserve"> ساعة </w:t>
      </w:r>
      <w:r w:rsidRPr="001D3F00">
        <w:rPr>
          <w:rFonts w:hint="cs"/>
          <w:spacing w:val="0"/>
          <w:kern w:val="0"/>
          <w:sz w:val="20"/>
          <w:rtl/>
          <w:lang w:val="fr-CH" w:eastAsia="en-US"/>
        </w:rPr>
        <w:t>اعتقالهم</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79"/>
      </w:r>
      <w:r w:rsidRPr="001D3F00">
        <w:rPr>
          <w:spacing w:val="0"/>
          <w:kern w:val="0"/>
          <w:sz w:val="20"/>
          <w:vertAlign w:val="superscript"/>
          <w:rtl/>
          <w:lang w:val="fr-CH" w:eastAsia="en-US"/>
        </w:rPr>
        <w:t>)</w:t>
      </w:r>
      <w:r w:rsidRPr="001D3F00">
        <w:rPr>
          <w:rFonts w:hint="cs"/>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spacing w:val="0"/>
          <w:kern w:val="0"/>
          <w:sz w:val="20"/>
          <w:lang w:val="fr-CH" w:eastAsia="en-US"/>
        </w:rPr>
      </w:pPr>
      <w:r w:rsidRPr="001D3F00">
        <w:rPr>
          <w:rFonts w:hint="cs"/>
          <w:spacing w:val="0"/>
          <w:kern w:val="0"/>
          <w:sz w:val="20"/>
          <w:rtl/>
          <w:lang w:val="fr-CH" w:eastAsia="en-US"/>
        </w:rPr>
        <w:tab/>
        <w:t>(ب)</w:t>
      </w:r>
      <w:r w:rsidRPr="001D3F00">
        <w:rPr>
          <w:rFonts w:hint="cs"/>
          <w:spacing w:val="0"/>
          <w:kern w:val="0"/>
          <w:sz w:val="20"/>
          <w:rtl/>
          <w:lang w:val="fr-CH" w:eastAsia="en-US"/>
        </w:rPr>
        <w:tab/>
      </w:r>
      <w:r w:rsidRPr="001D3F00">
        <w:rPr>
          <w:spacing w:val="0"/>
          <w:kern w:val="0"/>
          <w:sz w:val="20"/>
          <w:rtl/>
          <w:lang w:val="fr-CH" w:eastAsia="en-US"/>
        </w:rPr>
        <w:t>الفحوص الطبية المطلوبة للمحتجزين</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67-</w:t>
      </w:r>
      <w:r w:rsidRPr="001D3F00">
        <w:rPr>
          <w:rFonts w:hint="cs"/>
          <w:spacing w:val="0"/>
          <w:kern w:val="0"/>
          <w:sz w:val="20"/>
          <w:rtl/>
          <w:lang w:val="fr-CH" w:eastAsia="en-US"/>
        </w:rPr>
        <w:tab/>
      </w:r>
      <w:r w:rsidRPr="001D3F00">
        <w:rPr>
          <w:spacing w:val="0"/>
          <w:kern w:val="0"/>
          <w:sz w:val="20"/>
          <w:rtl/>
          <w:lang w:val="fr-CH" w:eastAsia="en-US"/>
        </w:rPr>
        <w:t>ذكر 17.2 في المائة من بين</w:t>
      </w:r>
      <w:r w:rsidRPr="001D3F00">
        <w:rPr>
          <w:rFonts w:hint="cs"/>
          <w:spacing w:val="0"/>
          <w:kern w:val="0"/>
          <w:sz w:val="20"/>
          <w:rtl/>
          <w:lang w:val="fr-CH" w:eastAsia="en-US"/>
        </w:rPr>
        <w:t xml:space="preserve"> 968 3</w:t>
      </w:r>
      <w:r w:rsidRPr="001D3F00">
        <w:rPr>
          <w:spacing w:val="0"/>
          <w:kern w:val="0"/>
          <w:sz w:val="20"/>
          <w:rtl/>
          <w:lang w:val="fr-CH" w:eastAsia="en-US"/>
        </w:rPr>
        <w:t xml:space="preserve"> محتجزاً أجرى محفل الدفاع مقابلات معهم في الفترة ما بين كانون الأول/ديسمبر 2008 وتشرين الثاني/نوفمبر 2009 أنهم لم يخضعوا لأي فحص طبي أثناء فترة احتجازهم، وقد انخفض معدل المحتجزين الذين ل</w:t>
      </w:r>
      <w:r w:rsidRPr="001D3F00">
        <w:rPr>
          <w:rFonts w:hint="cs"/>
          <w:spacing w:val="0"/>
          <w:kern w:val="0"/>
          <w:sz w:val="20"/>
          <w:rtl/>
          <w:lang w:val="fr-CH" w:eastAsia="en-US"/>
        </w:rPr>
        <w:t>م</w:t>
      </w:r>
      <w:r w:rsidRPr="001D3F00">
        <w:rPr>
          <w:spacing w:val="0"/>
          <w:kern w:val="0"/>
          <w:sz w:val="20"/>
          <w:rtl/>
          <w:lang w:val="fr-CH" w:eastAsia="en-US"/>
        </w:rPr>
        <w:t xml:space="preserve"> يخضعو</w:t>
      </w:r>
      <w:r w:rsidRPr="001D3F00">
        <w:rPr>
          <w:rFonts w:hint="cs"/>
          <w:spacing w:val="0"/>
          <w:kern w:val="0"/>
          <w:sz w:val="20"/>
          <w:rtl/>
          <w:lang w:val="fr-CH" w:eastAsia="en-US"/>
        </w:rPr>
        <w:t>ا</w:t>
      </w:r>
      <w:r w:rsidRPr="001D3F00">
        <w:rPr>
          <w:spacing w:val="0"/>
          <w:kern w:val="0"/>
          <w:sz w:val="20"/>
          <w:rtl/>
          <w:lang w:val="fr-CH" w:eastAsia="en-US"/>
        </w:rPr>
        <w:t xml:space="preserve"> للفحص الطبي إلى 13 في المائة في عام 2010</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0"/>
      </w:r>
      <w:r w:rsidRPr="001D3F00">
        <w:rPr>
          <w:spacing w:val="0"/>
          <w:kern w:val="0"/>
          <w:sz w:val="20"/>
          <w:vertAlign w:val="superscript"/>
          <w:rtl/>
          <w:lang w:val="fr-CH" w:eastAsia="en-US"/>
        </w:rPr>
        <w:t>)</w:t>
      </w:r>
      <w:r w:rsidRPr="001D3F00">
        <w:rPr>
          <w:spacing w:val="0"/>
          <w:kern w:val="0"/>
          <w:sz w:val="20"/>
          <w:rtl/>
          <w:lang w:val="fr-CH" w:eastAsia="en-US"/>
        </w:rPr>
        <w:t xml:space="preserve">. ومع ذلك يشير محفل الدفاع وجمعية المساعدة على الجبر إلى أنه على الرغم من أن قانون التعويض المتعلق بالتعذيب يقتضي إخضاع جميع المحتجزين لفحص طبي ساعة اعتقالهم فضلاً عن </w:t>
      </w:r>
      <w:r w:rsidRPr="001D3F00">
        <w:rPr>
          <w:rFonts w:hint="cs"/>
          <w:spacing w:val="0"/>
          <w:kern w:val="0"/>
          <w:sz w:val="20"/>
          <w:rtl/>
          <w:lang w:val="fr-CH" w:eastAsia="en-US"/>
        </w:rPr>
        <w:t>فحصهم</w:t>
      </w:r>
      <w:r w:rsidRPr="001D3F00">
        <w:rPr>
          <w:spacing w:val="0"/>
          <w:kern w:val="0"/>
          <w:sz w:val="20"/>
          <w:rtl/>
          <w:lang w:val="fr-CH" w:eastAsia="en-US"/>
        </w:rPr>
        <w:t xml:space="preserve"> ساعة إطلاق سراحهم، فإن القانون لا</w:t>
      </w:r>
      <w:r w:rsidRPr="001D3F00">
        <w:rPr>
          <w:rFonts w:hint="cs"/>
          <w:spacing w:val="0"/>
          <w:kern w:val="0"/>
          <w:sz w:val="20"/>
          <w:rtl/>
          <w:lang w:val="fr-CH" w:eastAsia="en-US"/>
        </w:rPr>
        <w:t> </w:t>
      </w:r>
      <w:r w:rsidRPr="001D3F00">
        <w:rPr>
          <w:spacing w:val="0"/>
          <w:kern w:val="0"/>
          <w:sz w:val="20"/>
          <w:rtl/>
          <w:lang w:val="fr-CH" w:eastAsia="en-US"/>
        </w:rPr>
        <w:t xml:space="preserve">ينص على اشتراط قيام طبيب </w:t>
      </w:r>
      <w:r w:rsidRPr="001D3F00">
        <w:rPr>
          <w:i/>
          <w:iCs/>
          <w:spacing w:val="0"/>
          <w:kern w:val="0"/>
          <w:sz w:val="20"/>
          <w:rtl/>
          <w:lang w:val="fr-CH" w:eastAsia="en-US"/>
        </w:rPr>
        <w:t>مستقل</w:t>
      </w:r>
      <w:r w:rsidRPr="001D3F00">
        <w:rPr>
          <w:spacing w:val="0"/>
          <w:kern w:val="0"/>
          <w:sz w:val="20"/>
          <w:rtl/>
          <w:lang w:val="fr-CH" w:eastAsia="en-US"/>
        </w:rPr>
        <w:t xml:space="preserve"> بهذا الفحص. وعلى العكس من ذلك، فإن القانون يذكر أنه ينبغي </w:t>
      </w:r>
      <w:r w:rsidRPr="001D3F00">
        <w:rPr>
          <w:i/>
          <w:iCs/>
          <w:spacing w:val="0"/>
          <w:kern w:val="0"/>
          <w:sz w:val="20"/>
          <w:rtl/>
          <w:lang w:val="fr-CH" w:eastAsia="en-US"/>
        </w:rPr>
        <w:t>بقدر الإمكان</w:t>
      </w:r>
      <w:r w:rsidRPr="001D3F00">
        <w:rPr>
          <w:spacing w:val="0"/>
          <w:kern w:val="0"/>
          <w:sz w:val="20"/>
          <w:rtl/>
          <w:lang w:val="fr-CH" w:eastAsia="en-US"/>
        </w:rPr>
        <w:t xml:space="preserve"> أن يكون الطبيب الذي يجري هذه الفحوص من أطباء الخدمات الحكومية، وبأن تقوم الشرطة بالمعاينة في حال تعذر تحقيق ذلك</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1"/>
      </w:r>
      <w:r w:rsidRPr="001D3F00">
        <w:rPr>
          <w:spacing w:val="0"/>
          <w:kern w:val="0"/>
          <w:sz w:val="20"/>
          <w:vertAlign w:val="superscript"/>
          <w:rtl/>
          <w:lang w:val="fr-CH" w:eastAsia="en-US"/>
        </w:rPr>
        <w:t>)</w:t>
      </w:r>
      <w:r w:rsidRPr="001D3F00">
        <w:rPr>
          <w:spacing w:val="0"/>
          <w:kern w:val="0"/>
          <w:sz w:val="20"/>
          <w:rtl/>
          <w:lang w:val="fr-CH" w:eastAsia="en-US"/>
        </w:rPr>
        <w:t>. ونتيجة لهذا الحكم، فإن المحتجزين قلما يخضعون لفحص طبي مستقل أو لا يخضعون له على الإطلاق. وذكر مركز نيبال لضحايا التعذيب أنه في الحالات التي يوجه فيها أفراد اتهامات إلى الشرطة تتعلق بأفعال التعذيب ويدفعون المحكمة إلى إصدار أمر بالفحص الطبي، فإن أفراد الشرطة يأخذون المحتجز إلى مستشفى الشرطة أو إلى طبيب من اختيارهم لضمان عدم الكشف عن آثار التعذيب في التقرير الطبي</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2"/>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spacing w:val="0"/>
          <w:kern w:val="0"/>
          <w:sz w:val="20"/>
          <w:lang w:val="fr-CH" w:eastAsia="en-US"/>
        </w:rPr>
      </w:pPr>
      <w:r w:rsidRPr="001D3F00">
        <w:rPr>
          <w:rFonts w:hint="cs"/>
          <w:spacing w:val="0"/>
          <w:kern w:val="0"/>
          <w:sz w:val="20"/>
          <w:rtl/>
          <w:lang w:val="fr-CH" w:eastAsia="en-US"/>
        </w:rPr>
        <w:tab/>
        <w:t>(ج)</w:t>
      </w:r>
      <w:r w:rsidRPr="001D3F00">
        <w:rPr>
          <w:rFonts w:hint="cs"/>
          <w:spacing w:val="0"/>
          <w:kern w:val="0"/>
          <w:sz w:val="20"/>
          <w:rtl/>
          <w:lang w:val="fr-CH" w:eastAsia="en-US"/>
        </w:rPr>
        <w:tab/>
      </w:r>
      <w:r w:rsidRPr="001D3F00">
        <w:rPr>
          <w:spacing w:val="0"/>
          <w:kern w:val="0"/>
          <w:sz w:val="20"/>
          <w:rtl/>
          <w:lang w:val="fr-CH" w:eastAsia="en-US"/>
        </w:rPr>
        <w:t>اشتراط مثول المحتجزين أمام القاضي في غضون 24 ساعة من توقيفهم</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68-</w:t>
      </w:r>
      <w:r w:rsidRPr="001D3F00">
        <w:rPr>
          <w:rFonts w:hint="cs"/>
          <w:spacing w:val="0"/>
          <w:kern w:val="0"/>
          <w:sz w:val="20"/>
          <w:rtl/>
          <w:lang w:val="fr-CH" w:eastAsia="en-US"/>
        </w:rPr>
        <w:tab/>
      </w:r>
      <w:r w:rsidRPr="001D3F00">
        <w:rPr>
          <w:spacing w:val="0"/>
          <w:kern w:val="0"/>
          <w:sz w:val="20"/>
          <w:rtl/>
          <w:lang w:val="fr-CH" w:eastAsia="en-US"/>
        </w:rPr>
        <w:t>يقتضي قانون الشرطة وقانون الحقوق المدنية الصادرين في عام 1955، وقانون قضايا الدولة لعام 1993 والدستور المؤقت مثول المحتجز أمام القاضي في غضون 24 ساعة من توقيفه. بيد أن تطبيق هذه القوانين لا يحترم من الناحية العملية إلا بشكل جزئي. وقد أفاد محفل الادعاء وجمعية المساعدة على الجبر أن نسبة المحتجزين الذين لم يمثلوا أمام قا</w:t>
      </w:r>
      <w:r w:rsidRPr="001D3F00">
        <w:rPr>
          <w:rFonts w:hint="cs"/>
          <w:spacing w:val="0"/>
          <w:kern w:val="0"/>
          <w:sz w:val="20"/>
          <w:rtl/>
          <w:lang w:val="fr-CH" w:eastAsia="en-US"/>
        </w:rPr>
        <w:t>ض</w:t>
      </w:r>
      <w:r w:rsidRPr="001D3F00">
        <w:rPr>
          <w:spacing w:val="0"/>
          <w:kern w:val="0"/>
          <w:sz w:val="20"/>
          <w:rtl/>
          <w:lang w:val="fr-CH" w:eastAsia="en-US"/>
        </w:rPr>
        <w:t xml:space="preserve"> ضمن هذا الإطار الزمني قد بلغت 47.1 </w:t>
      </w:r>
      <w:r w:rsidRPr="001D3F00">
        <w:rPr>
          <w:rFonts w:hint="cs"/>
          <w:spacing w:val="0"/>
          <w:kern w:val="0"/>
          <w:sz w:val="20"/>
          <w:rtl/>
          <w:lang w:val="fr-CH" w:eastAsia="en-US"/>
        </w:rPr>
        <w:t>في المائة</w:t>
      </w:r>
      <w:r w:rsidRPr="001D3F00">
        <w:rPr>
          <w:spacing w:val="0"/>
          <w:kern w:val="0"/>
          <w:sz w:val="20"/>
          <w:rtl/>
          <w:lang w:val="fr-CH" w:eastAsia="en-US"/>
        </w:rPr>
        <w:t xml:space="preserve"> بين المحتجزين الذين أجريت مقابلات معهم في عام</w:t>
      </w:r>
      <w:r w:rsidRPr="001D3F00">
        <w:rPr>
          <w:rFonts w:hint="cs"/>
          <w:spacing w:val="0"/>
          <w:kern w:val="0"/>
          <w:sz w:val="20"/>
          <w:rtl/>
          <w:lang w:val="fr-CH" w:eastAsia="en-US"/>
        </w:rPr>
        <w:t> </w:t>
      </w:r>
      <w:r w:rsidRPr="001D3F00">
        <w:rPr>
          <w:spacing w:val="0"/>
          <w:kern w:val="0"/>
          <w:sz w:val="20"/>
          <w:rtl/>
          <w:lang w:val="fr-CH" w:eastAsia="en-US"/>
        </w:rPr>
        <w:t>2009 و47.6 في المائة ممن أجريت مقابلات معهم في عام 2010</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3"/>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spacing w:val="0"/>
          <w:kern w:val="0"/>
          <w:sz w:val="20"/>
          <w:lang w:val="fr-CH" w:eastAsia="en-US"/>
        </w:rPr>
      </w:pPr>
      <w:r w:rsidRPr="001D3F00">
        <w:rPr>
          <w:rFonts w:hint="cs"/>
          <w:spacing w:val="0"/>
          <w:kern w:val="0"/>
          <w:sz w:val="20"/>
          <w:rtl/>
          <w:lang w:val="fr-CH" w:eastAsia="en-US"/>
        </w:rPr>
        <w:tab/>
        <w:t>(د)</w:t>
      </w:r>
      <w:r w:rsidRPr="001D3F00">
        <w:rPr>
          <w:rFonts w:hint="cs"/>
          <w:spacing w:val="0"/>
          <w:kern w:val="0"/>
          <w:sz w:val="20"/>
          <w:rtl/>
          <w:lang w:val="fr-CH" w:eastAsia="en-US"/>
        </w:rPr>
        <w:tab/>
      </w:r>
      <w:r w:rsidRPr="001D3F00">
        <w:rPr>
          <w:spacing w:val="0"/>
          <w:kern w:val="0"/>
          <w:sz w:val="20"/>
          <w:rtl/>
          <w:lang w:val="fr-CH" w:eastAsia="en-US"/>
        </w:rPr>
        <w:t>الحق في استشارة محام</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69-</w:t>
      </w:r>
      <w:r w:rsidRPr="001D3F00">
        <w:rPr>
          <w:rFonts w:hint="cs"/>
          <w:spacing w:val="0"/>
          <w:kern w:val="0"/>
          <w:sz w:val="20"/>
          <w:rtl/>
          <w:lang w:val="fr-CH" w:eastAsia="en-US"/>
        </w:rPr>
        <w:tab/>
      </w:r>
      <w:r w:rsidRPr="001D3F00">
        <w:rPr>
          <w:spacing w:val="0"/>
          <w:kern w:val="0"/>
          <w:sz w:val="20"/>
          <w:rtl/>
          <w:lang w:val="fr-CH" w:eastAsia="en-US"/>
        </w:rPr>
        <w:t>ذكر محفل الادعاء وجمعية المساعدة على الجبر أن 77.6 في المائة من المحتجزين الذين أجريت مقابلات معهم لم يكونوا على علم بحقهم في استشارة محام بموجب القانون النيبالي</w:t>
      </w:r>
      <w:r w:rsidRPr="001D3F00">
        <w:rPr>
          <w:rFonts w:hint="cs"/>
          <w:spacing w:val="0"/>
          <w:kern w:val="0"/>
          <w:sz w:val="20"/>
          <w:rtl/>
          <w:lang w:val="fr-CH" w:eastAsia="en-US"/>
        </w:rPr>
        <w:t>،</w:t>
      </w:r>
      <w:r w:rsidRPr="001D3F00">
        <w:rPr>
          <w:spacing w:val="0"/>
          <w:kern w:val="0"/>
          <w:sz w:val="20"/>
          <w:rtl/>
          <w:lang w:val="fr-CH" w:eastAsia="en-US"/>
        </w:rPr>
        <w:t xml:space="preserve"> مما يدل على أن ضمانات الحماية من التعذيب أثناء الاحتجاز قد ترد في القانون لكنها ليست نافذة من الناحية العملية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4"/>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spacing w:val="0"/>
          <w:kern w:val="0"/>
          <w:sz w:val="20"/>
          <w:lang w:val="fr-CH" w:eastAsia="en-US"/>
        </w:rPr>
      </w:pPr>
      <w:r w:rsidRPr="001D3F00">
        <w:rPr>
          <w:rFonts w:hint="cs"/>
          <w:spacing w:val="0"/>
          <w:kern w:val="0"/>
          <w:sz w:val="20"/>
          <w:rtl/>
          <w:lang w:val="fr-CH" w:eastAsia="en-US"/>
        </w:rPr>
        <w:tab/>
        <w:t>(ﻫ)</w:t>
      </w:r>
      <w:r w:rsidRPr="001D3F00">
        <w:rPr>
          <w:rFonts w:hint="cs"/>
          <w:spacing w:val="0"/>
          <w:kern w:val="0"/>
          <w:sz w:val="20"/>
          <w:rtl/>
          <w:lang w:val="fr-CH" w:eastAsia="en-US"/>
        </w:rPr>
        <w:tab/>
      </w:r>
      <w:r w:rsidRPr="001D3F00">
        <w:rPr>
          <w:spacing w:val="0"/>
          <w:kern w:val="0"/>
          <w:sz w:val="20"/>
          <w:rtl/>
          <w:lang w:val="fr-CH" w:eastAsia="en-US"/>
        </w:rPr>
        <w:t>حظر استخدام الإفادات المنتزعة بالإكراه التي تدين أصحابها في إجراءات المحاكم</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70-</w:t>
      </w:r>
      <w:r w:rsidRPr="001D3F00">
        <w:rPr>
          <w:rFonts w:hint="cs"/>
          <w:spacing w:val="0"/>
          <w:kern w:val="0"/>
          <w:sz w:val="20"/>
          <w:rtl/>
          <w:lang w:val="fr-CH" w:eastAsia="en-US"/>
        </w:rPr>
        <w:tab/>
      </w:r>
      <w:r w:rsidRPr="001D3F00">
        <w:rPr>
          <w:spacing w:val="0"/>
          <w:kern w:val="0"/>
          <w:sz w:val="20"/>
          <w:rtl/>
          <w:lang w:val="fr-CH" w:eastAsia="en-US"/>
        </w:rPr>
        <w:t xml:space="preserve">تفيد بعض المنظمات غير الحكومية </w:t>
      </w:r>
      <w:r w:rsidRPr="001D3F00">
        <w:rPr>
          <w:rFonts w:hint="cs"/>
          <w:spacing w:val="0"/>
          <w:kern w:val="0"/>
          <w:sz w:val="20"/>
          <w:rtl/>
          <w:lang w:val="fr-CH" w:eastAsia="en-US"/>
        </w:rPr>
        <w:t>ب</w:t>
      </w:r>
      <w:r w:rsidRPr="001D3F00">
        <w:rPr>
          <w:spacing w:val="0"/>
          <w:kern w:val="0"/>
          <w:sz w:val="20"/>
          <w:rtl/>
          <w:lang w:val="fr-CH" w:eastAsia="en-US"/>
        </w:rPr>
        <w:t xml:space="preserve">أن الاعترافات القسرية غالباً ما تقبل كدليل في الإجراءات الجنائية وأنه ليس ثمة ما يمنع الشرطة من استخدام القسر البدني والعقلي لإكراه المحتجزين على الاعتراف. ويذكر محفل الادعاء وجمعية المساعدة على الجبر أن القضاة نادراً ما يسألون المحتجزين عما إذا كانت إفاداتهم مقدمة بحرية، بل </w:t>
      </w:r>
      <w:r w:rsidRPr="001D3F00">
        <w:rPr>
          <w:rFonts w:hint="cs"/>
          <w:spacing w:val="0"/>
          <w:kern w:val="0"/>
          <w:sz w:val="20"/>
          <w:rtl/>
          <w:lang w:val="fr-CH" w:eastAsia="en-US"/>
        </w:rPr>
        <w:t>يطلبون</w:t>
      </w:r>
      <w:r w:rsidRPr="001D3F00">
        <w:rPr>
          <w:spacing w:val="0"/>
          <w:kern w:val="0"/>
          <w:sz w:val="20"/>
          <w:rtl/>
          <w:lang w:val="fr-CH" w:eastAsia="en-US"/>
        </w:rPr>
        <w:t xml:space="preserve"> عوضاً عن ذلك </w:t>
      </w:r>
      <w:r w:rsidRPr="001D3F00">
        <w:rPr>
          <w:rFonts w:hint="cs"/>
          <w:spacing w:val="0"/>
          <w:kern w:val="0"/>
          <w:sz w:val="20"/>
          <w:rtl/>
          <w:lang w:val="fr-CH" w:eastAsia="en-US"/>
        </w:rPr>
        <w:t>من</w:t>
      </w:r>
      <w:r w:rsidRPr="001D3F00">
        <w:rPr>
          <w:spacing w:val="0"/>
          <w:kern w:val="0"/>
          <w:sz w:val="20"/>
          <w:rtl/>
          <w:lang w:val="fr-CH" w:eastAsia="en-US"/>
        </w:rPr>
        <w:t xml:space="preserve"> المحتجزين الذين يدعون أن اعترافاتهم قد انتزعت بالإكراه أن يقيموا الدليل على أنهم لم</w:t>
      </w:r>
      <w:r w:rsidRPr="001D3F00">
        <w:rPr>
          <w:rFonts w:hint="eastAsia"/>
          <w:spacing w:val="0"/>
          <w:kern w:val="0"/>
          <w:sz w:val="20"/>
          <w:rtl/>
          <w:lang w:val="fr-CH" w:eastAsia="en-US"/>
        </w:rPr>
        <w:t> </w:t>
      </w:r>
      <w:r w:rsidRPr="001D3F00">
        <w:rPr>
          <w:spacing w:val="0"/>
          <w:kern w:val="0"/>
          <w:sz w:val="20"/>
          <w:rtl/>
          <w:lang w:val="fr-CH" w:eastAsia="en-US"/>
        </w:rPr>
        <w:t>يقدموا إفاداتهم بم</w:t>
      </w:r>
      <w:r w:rsidRPr="001D3F00">
        <w:rPr>
          <w:rFonts w:hint="cs"/>
          <w:spacing w:val="0"/>
          <w:kern w:val="0"/>
          <w:sz w:val="20"/>
          <w:rtl/>
          <w:lang w:val="fr-CH" w:eastAsia="en-US"/>
        </w:rPr>
        <w:t>حض إرادت</w:t>
      </w:r>
      <w:r w:rsidRPr="001D3F00">
        <w:rPr>
          <w:spacing w:val="0"/>
          <w:kern w:val="0"/>
          <w:sz w:val="20"/>
          <w:rtl/>
          <w:lang w:val="fr-CH" w:eastAsia="en-US"/>
        </w:rPr>
        <w:t>هم، وبالتالي فإنهم يعكسون المسار الصحيح لعبء الإثبات</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5"/>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keepNext/>
        <w:keepLines/>
        <w:tabs>
          <w:tab w:val="right" w:pos="1021"/>
        </w:tabs>
        <w:suppressAutoHyphens/>
        <w:spacing w:before="120" w:after="120" w:line="380" w:lineRule="exact"/>
        <w:ind w:left="1247" w:right="1247" w:hanging="1247"/>
        <w:jc w:val="lowKashida"/>
        <w:rPr>
          <w:rFonts w:hint="cs"/>
          <w:spacing w:val="0"/>
          <w:kern w:val="0"/>
          <w:sz w:val="20"/>
          <w:lang w:val="fr-CH" w:eastAsia="en-US"/>
        </w:rPr>
      </w:pPr>
      <w:r w:rsidRPr="001D3F00">
        <w:rPr>
          <w:rFonts w:hint="cs"/>
          <w:spacing w:val="0"/>
          <w:kern w:val="0"/>
          <w:sz w:val="20"/>
          <w:rtl/>
          <w:lang w:val="fr-CH" w:eastAsia="en-US"/>
        </w:rPr>
        <w:tab/>
        <w:t>(و)</w:t>
      </w:r>
      <w:r w:rsidRPr="001D3F00">
        <w:rPr>
          <w:rFonts w:hint="cs"/>
          <w:spacing w:val="0"/>
          <w:kern w:val="0"/>
          <w:sz w:val="20"/>
          <w:rtl/>
          <w:lang w:val="fr-CH" w:eastAsia="en-US"/>
        </w:rPr>
        <w:tab/>
        <w:t xml:space="preserve">عدم </w:t>
      </w:r>
      <w:r w:rsidRPr="001D3F00">
        <w:rPr>
          <w:spacing w:val="0"/>
          <w:kern w:val="0"/>
          <w:sz w:val="20"/>
          <w:rtl/>
          <w:lang w:val="fr-CH" w:eastAsia="en-US"/>
        </w:rPr>
        <w:t xml:space="preserve">التحقيق في ادعاءات </w:t>
      </w:r>
      <w:r w:rsidRPr="001D3F00">
        <w:rPr>
          <w:rFonts w:hint="cs"/>
          <w:spacing w:val="0"/>
          <w:kern w:val="0"/>
          <w:sz w:val="20"/>
          <w:rtl/>
          <w:lang w:val="fr-CH" w:eastAsia="en-US"/>
        </w:rPr>
        <w:t>تعرض</w:t>
      </w:r>
      <w:r w:rsidRPr="001D3F00">
        <w:rPr>
          <w:spacing w:val="0"/>
          <w:kern w:val="0"/>
          <w:sz w:val="20"/>
          <w:rtl/>
          <w:lang w:val="fr-CH" w:eastAsia="en-US"/>
        </w:rPr>
        <w:t xml:space="preserve"> المحتجزين</w:t>
      </w:r>
      <w:r w:rsidRPr="001D3F00">
        <w:rPr>
          <w:rFonts w:hint="cs"/>
          <w:spacing w:val="0"/>
          <w:kern w:val="0"/>
          <w:sz w:val="20"/>
          <w:rtl/>
          <w:lang w:val="fr-CH" w:eastAsia="en-US"/>
        </w:rPr>
        <w:t xml:space="preserve"> للمعاملة اللاإنسانية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71-</w:t>
      </w:r>
      <w:r w:rsidRPr="001D3F00">
        <w:rPr>
          <w:rFonts w:hint="cs"/>
          <w:spacing w:val="0"/>
          <w:kern w:val="0"/>
          <w:sz w:val="20"/>
          <w:rtl/>
          <w:lang w:val="fr-CH" w:eastAsia="en-US"/>
        </w:rPr>
        <w:tab/>
      </w:r>
      <w:r w:rsidRPr="001D3F00">
        <w:rPr>
          <w:spacing w:val="0"/>
          <w:kern w:val="0"/>
          <w:sz w:val="20"/>
          <w:rtl/>
          <w:lang w:val="fr-CH" w:eastAsia="en-US"/>
        </w:rPr>
        <w:t xml:space="preserve">لا يشترط قانون نيبال على القضاة </w:t>
      </w:r>
      <w:r w:rsidRPr="001D3F00">
        <w:rPr>
          <w:rFonts w:hint="cs"/>
          <w:spacing w:val="0"/>
          <w:kern w:val="0"/>
          <w:sz w:val="20"/>
          <w:rtl/>
          <w:lang w:val="fr-CH" w:eastAsia="en-US"/>
        </w:rPr>
        <w:t>الاستفسار عما</w:t>
      </w:r>
      <w:r w:rsidRPr="001D3F00">
        <w:rPr>
          <w:spacing w:val="0"/>
          <w:kern w:val="0"/>
          <w:sz w:val="20"/>
          <w:rtl/>
          <w:lang w:val="fr-CH" w:eastAsia="en-US"/>
        </w:rPr>
        <w:t xml:space="preserve"> إذا كان المحتجز قد تعرض للتعذيب أثناء الاحتجاز</w:t>
      </w:r>
      <w:r w:rsidRPr="001D3F00">
        <w:rPr>
          <w:rFonts w:hint="cs"/>
          <w:spacing w:val="0"/>
          <w:kern w:val="0"/>
          <w:sz w:val="20"/>
          <w:rtl/>
          <w:lang w:val="fr-CH" w:eastAsia="en-US"/>
        </w:rPr>
        <w:t xml:space="preserve"> أم لا</w:t>
      </w:r>
      <w:r w:rsidRPr="001D3F00">
        <w:rPr>
          <w:spacing w:val="0"/>
          <w:kern w:val="0"/>
          <w:sz w:val="20"/>
          <w:rtl/>
          <w:lang w:val="fr-CH" w:eastAsia="en-US"/>
        </w:rPr>
        <w:t xml:space="preserve">. </w:t>
      </w:r>
      <w:r w:rsidRPr="001D3F00">
        <w:rPr>
          <w:rFonts w:hint="cs"/>
          <w:spacing w:val="0"/>
          <w:kern w:val="0"/>
          <w:sz w:val="20"/>
          <w:rtl/>
          <w:lang w:val="fr-CH" w:eastAsia="en-US"/>
        </w:rPr>
        <w:t xml:space="preserve">وفي حين </w:t>
      </w:r>
      <w:r w:rsidRPr="001D3F00">
        <w:rPr>
          <w:spacing w:val="0"/>
          <w:kern w:val="0"/>
          <w:sz w:val="20"/>
          <w:rtl/>
          <w:lang w:val="fr-CH" w:eastAsia="en-US"/>
        </w:rPr>
        <w:t xml:space="preserve">أصبح من ممارسات بعض القضاة أن يطلبوا إلى المحتجزين </w:t>
      </w:r>
      <w:r w:rsidRPr="001D3F00">
        <w:rPr>
          <w:rFonts w:hint="cs"/>
          <w:spacing w:val="0"/>
          <w:kern w:val="0"/>
          <w:sz w:val="20"/>
          <w:rtl/>
          <w:lang w:val="fr-CH" w:eastAsia="en-US"/>
        </w:rPr>
        <w:t>خلع</w:t>
      </w:r>
      <w:r w:rsidRPr="001D3F00">
        <w:rPr>
          <w:spacing w:val="0"/>
          <w:kern w:val="0"/>
          <w:sz w:val="20"/>
          <w:rtl/>
          <w:lang w:val="fr-CH" w:eastAsia="en-US"/>
        </w:rPr>
        <w:t xml:space="preserve"> قمصانهم </w:t>
      </w:r>
      <w:r w:rsidRPr="001D3F00">
        <w:rPr>
          <w:rFonts w:hint="cs"/>
          <w:spacing w:val="0"/>
          <w:kern w:val="0"/>
          <w:sz w:val="20"/>
          <w:rtl/>
          <w:lang w:val="fr-CH" w:eastAsia="en-US"/>
        </w:rPr>
        <w:t>والإفادة عما إذا كانوا قد تعرضوا</w:t>
      </w:r>
      <w:r w:rsidRPr="001D3F00">
        <w:rPr>
          <w:spacing w:val="0"/>
          <w:kern w:val="0"/>
          <w:sz w:val="20"/>
          <w:rtl/>
          <w:lang w:val="fr-CH" w:eastAsia="en-US"/>
        </w:rPr>
        <w:t xml:space="preserve"> للتعذيب على أيدي الشرطة، فإن البعض الآخر لا يلجأ إلى هذه الممارسة، ولذلك، فإنها ليست موحدة بين القضاة. ومن بين المحتجزين الذين أجرى محفل الدفاع مقابلات معهم، هناك 93.3 في المائة من الأشخاص الذين قدموا إلى المحاكمة في عام 2009 لم يسألهم القضاة عما إذا كانوا قد تعرضوا للتعذيب</w:t>
      </w:r>
      <w:r w:rsidRPr="001D3F00">
        <w:rPr>
          <w:rFonts w:hint="cs"/>
          <w:spacing w:val="0"/>
          <w:kern w:val="0"/>
          <w:sz w:val="20"/>
          <w:rtl/>
          <w:lang w:val="fr-CH" w:eastAsia="en-US"/>
        </w:rPr>
        <w:t>،</w:t>
      </w:r>
      <w:r w:rsidRPr="001D3F00">
        <w:rPr>
          <w:spacing w:val="0"/>
          <w:kern w:val="0"/>
          <w:sz w:val="20"/>
          <w:rtl/>
          <w:lang w:val="fr-CH" w:eastAsia="en-US"/>
        </w:rPr>
        <w:t xml:space="preserve"> وقد بلغت </w:t>
      </w:r>
      <w:r w:rsidRPr="001D3F00">
        <w:rPr>
          <w:rFonts w:hint="cs"/>
          <w:spacing w:val="0"/>
          <w:kern w:val="0"/>
          <w:sz w:val="20"/>
          <w:rtl/>
          <w:lang w:val="fr-CH" w:eastAsia="en-US"/>
        </w:rPr>
        <w:t>هذه ال</w:t>
      </w:r>
      <w:r w:rsidRPr="001D3F00">
        <w:rPr>
          <w:spacing w:val="0"/>
          <w:kern w:val="0"/>
          <w:sz w:val="20"/>
          <w:rtl/>
          <w:lang w:val="fr-CH" w:eastAsia="en-US"/>
        </w:rPr>
        <w:t>نسب</w:t>
      </w:r>
      <w:r w:rsidRPr="001D3F00">
        <w:rPr>
          <w:rFonts w:hint="cs"/>
          <w:spacing w:val="0"/>
          <w:kern w:val="0"/>
          <w:sz w:val="20"/>
          <w:rtl/>
          <w:lang w:val="fr-CH" w:eastAsia="en-US"/>
        </w:rPr>
        <w:t>ة</w:t>
      </w:r>
      <w:r w:rsidRPr="001D3F00">
        <w:rPr>
          <w:spacing w:val="0"/>
          <w:kern w:val="0"/>
          <w:sz w:val="20"/>
          <w:rtl/>
          <w:lang w:val="fr-CH" w:eastAsia="en-US"/>
        </w:rPr>
        <w:t xml:space="preserve"> 86.7 في المائة في عام 2010</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6"/>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3E7397" w:rsidRDefault="001D3F00" w:rsidP="003E7397">
      <w:pPr>
        <w:pStyle w:val="H23GA"/>
        <w:rPr>
          <w:rFonts w:ascii="Times New Roman Bold" w:hAnsi="Times New Roman Bold"/>
          <w:spacing w:val="0"/>
          <w:kern w:val="0"/>
          <w:lang w:val="fr-CH"/>
        </w:rPr>
      </w:pPr>
      <w:r w:rsidRPr="003E7397">
        <w:rPr>
          <w:rFonts w:ascii="Times New Roman Bold" w:hAnsi="Times New Roman Bold" w:hint="cs"/>
          <w:spacing w:val="0"/>
          <w:kern w:val="0"/>
          <w:rtl/>
          <w:lang w:val="fr-CH"/>
        </w:rPr>
        <w:tab/>
      </w:r>
      <w:r w:rsidRPr="003E7397">
        <w:rPr>
          <w:rFonts w:ascii="Times New Roman Bold" w:hAnsi="Times New Roman Bold"/>
          <w:spacing w:val="0"/>
          <w:kern w:val="0"/>
          <w:rtl/>
          <w:lang w:val="fr-CH"/>
        </w:rPr>
        <w:t>2-</w:t>
      </w:r>
      <w:r w:rsidRPr="003E7397">
        <w:rPr>
          <w:rFonts w:ascii="Times New Roman Bold" w:hAnsi="Times New Roman Bold" w:hint="cs"/>
          <w:spacing w:val="0"/>
          <w:kern w:val="0"/>
          <w:rtl/>
          <w:lang w:val="fr-CH"/>
        </w:rPr>
        <w:tab/>
      </w:r>
      <w:r w:rsidRPr="003E7397">
        <w:rPr>
          <w:rFonts w:ascii="Times New Roman Bold" w:hAnsi="Times New Roman Bold"/>
          <w:spacing w:val="0"/>
          <w:kern w:val="0"/>
          <w:rtl/>
          <w:lang w:val="fr-CH"/>
        </w:rPr>
        <w:t>الإفلات من العقاب</w:t>
      </w:r>
    </w:p>
    <w:p w:rsidR="001D3F00" w:rsidRPr="003E7397" w:rsidRDefault="001D3F00" w:rsidP="003E7397">
      <w:pPr>
        <w:pStyle w:val="H23GA"/>
        <w:rPr>
          <w:rFonts w:ascii="Times New Roman Bold" w:hAnsi="Times New Roman Bold"/>
          <w:spacing w:val="0"/>
          <w:kern w:val="0"/>
          <w:lang w:val="fr-CH"/>
        </w:rPr>
      </w:pPr>
      <w:r w:rsidRPr="003E7397">
        <w:rPr>
          <w:rFonts w:ascii="Times New Roman Bold" w:hAnsi="Times New Roman Bold" w:hint="cs"/>
          <w:spacing w:val="0"/>
          <w:kern w:val="0"/>
          <w:rtl/>
          <w:lang w:val="fr-CH"/>
        </w:rPr>
        <w:tab/>
      </w:r>
      <w:r w:rsidRPr="003E7397">
        <w:rPr>
          <w:rFonts w:ascii="Times New Roman Bold" w:hAnsi="Times New Roman Bold"/>
          <w:spacing w:val="0"/>
          <w:kern w:val="0"/>
          <w:rtl/>
          <w:lang w:val="fr-CH"/>
        </w:rPr>
        <w:t>(أ)</w:t>
      </w:r>
      <w:r w:rsidRPr="003E7397">
        <w:rPr>
          <w:rFonts w:ascii="Times New Roman Bold" w:hAnsi="Times New Roman Bold" w:hint="cs"/>
          <w:spacing w:val="0"/>
          <w:kern w:val="0"/>
          <w:rtl/>
          <w:lang w:val="fr-CH"/>
        </w:rPr>
        <w:tab/>
      </w:r>
      <w:r w:rsidRPr="003E7397">
        <w:rPr>
          <w:rFonts w:ascii="Times New Roman Bold" w:hAnsi="Times New Roman Bold"/>
          <w:spacing w:val="0"/>
          <w:kern w:val="0"/>
          <w:rtl/>
          <w:lang w:val="fr-CH"/>
        </w:rPr>
        <w:t>مصادر الأمم المتحدة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spacing w:val="0"/>
          <w:kern w:val="0"/>
          <w:sz w:val="20"/>
          <w:rtl/>
          <w:lang w:val="fr-CH" w:eastAsia="en-US"/>
        </w:rPr>
        <w:t>72-</w:t>
      </w:r>
      <w:r w:rsidRPr="001D3F00">
        <w:rPr>
          <w:rFonts w:hint="cs"/>
          <w:spacing w:val="0"/>
          <w:kern w:val="0"/>
          <w:sz w:val="20"/>
          <w:rtl/>
          <w:lang w:val="fr-CH" w:eastAsia="en-US"/>
        </w:rPr>
        <w:tab/>
      </w:r>
      <w:r w:rsidRPr="001D3F00">
        <w:rPr>
          <w:spacing w:val="0"/>
          <w:kern w:val="0"/>
          <w:sz w:val="20"/>
          <w:rtl/>
          <w:lang w:val="fr-CH" w:eastAsia="en-US"/>
        </w:rPr>
        <w:t>لا تزال مسألة الإفلات من العقاب على انتهاكات حقوق الإنسان التي حدثت في الماضي والحاضر أحد الشواغل الرئيسية المعرب عنها في جميع تقارير الأمم المتحدة، بما في ذلك تقرير الأمين العام لعام 2010 عن طلب نيبال المساعدة من الأمم المتحدة لدعم عملية السلام فيها</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7"/>
      </w:r>
      <w:r w:rsidRPr="001D3F00">
        <w:rPr>
          <w:spacing w:val="0"/>
          <w:kern w:val="0"/>
          <w:sz w:val="20"/>
          <w:vertAlign w:val="superscript"/>
          <w:rtl/>
          <w:lang w:val="fr-CH" w:eastAsia="en-US"/>
        </w:rPr>
        <w:t>)</w:t>
      </w:r>
      <w:r w:rsidRPr="001D3F00">
        <w:rPr>
          <w:spacing w:val="0"/>
          <w:kern w:val="0"/>
          <w:sz w:val="20"/>
          <w:rtl/>
          <w:lang w:val="fr-CH" w:eastAsia="en-US"/>
        </w:rPr>
        <w:t>، وتقرير مفوضة الأمم المتحدة السامية لحقوق الإنسان الصادر في عام</w:t>
      </w:r>
      <w:r w:rsidRPr="001D3F00">
        <w:rPr>
          <w:rFonts w:hint="cs"/>
          <w:spacing w:val="0"/>
          <w:kern w:val="0"/>
          <w:sz w:val="20"/>
          <w:rtl/>
          <w:lang w:val="fr-CH" w:eastAsia="en-US"/>
        </w:rPr>
        <w:t> </w:t>
      </w:r>
      <w:r w:rsidRPr="001D3F00">
        <w:rPr>
          <w:spacing w:val="0"/>
          <w:kern w:val="0"/>
          <w:sz w:val="20"/>
          <w:rtl/>
          <w:lang w:val="fr-CH" w:eastAsia="en-US"/>
        </w:rPr>
        <w:t>2010</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8"/>
      </w:r>
      <w:r w:rsidRPr="001D3F00">
        <w:rPr>
          <w:spacing w:val="0"/>
          <w:kern w:val="0"/>
          <w:sz w:val="20"/>
          <w:vertAlign w:val="superscript"/>
          <w:rtl/>
          <w:lang w:val="fr-CH" w:eastAsia="en-US"/>
        </w:rPr>
        <w:t>)</w:t>
      </w:r>
      <w:r w:rsidRPr="001D3F00">
        <w:rPr>
          <w:spacing w:val="0"/>
          <w:kern w:val="0"/>
          <w:sz w:val="20"/>
          <w:rtl/>
          <w:lang w:val="fr-CH" w:eastAsia="en-US"/>
        </w:rPr>
        <w:t>، وموجز الشواغل الصادر عن مكتب المفوضية السامية لحقوق الإنسان في نيبال (تموز/يوليه 2010) بعنوان</w:t>
      </w:r>
      <w:r w:rsidRPr="001D3F00">
        <w:rPr>
          <w:rFonts w:hint="cs"/>
          <w:spacing w:val="0"/>
          <w:kern w:val="0"/>
          <w:sz w:val="20"/>
          <w:rtl/>
          <w:lang w:val="fr-CH" w:eastAsia="en-US"/>
        </w:rPr>
        <w:t xml:space="preserve"> </w:t>
      </w:r>
      <w:r w:rsidRPr="001D3F00">
        <w:rPr>
          <w:spacing w:val="0"/>
          <w:kern w:val="0"/>
          <w:sz w:val="20"/>
          <w:rtl/>
          <w:lang w:val="fr-CH" w:eastAsia="en-US"/>
        </w:rPr>
        <w:t>"ادعاءات الإعدامات المنفذة خارج نطاق القضاء في تيراي" وتقرير المتابعة لعام 2011 الذي أعده المقرر الخاص للأمم المتحدة المعني بمسألة التعذيب</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89"/>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7F4611">
      <w:pPr>
        <w:pStyle w:val="H4GA"/>
        <w:jc w:val="lowKashida"/>
        <w:rPr>
          <w:rFonts w:hint="cs"/>
          <w:spacing w:val="0"/>
          <w:kern w:val="0"/>
          <w:lang w:eastAsia="en-US"/>
        </w:rPr>
      </w:pPr>
      <w:r w:rsidRPr="007F4611">
        <w:rPr>
          <w:rFonts w:hint="cs"/>
          <w:spacing w:val="0"/>
          <w:kern w:val="0"/>
          <w:rtl/>
          <w:lang w:eastAsia="en-US"/>
        </w:rPr>
        <w:tab/>
        <w:t>‘1‘</w:t>
      </w:r>
      <w:r w:rsidRPr="007F4611">
        <w:rPr>
          <w:rFonts w:hint="cs"/>
          <w:spacing w:val="0"/>
          <w:kern w:val="0"/>
          <w:rtl/>
          <w:lang w:eastAsia="en-US"/>
        </w:rPr>
        <w:tab/>
      </w:r>
      <w:r w:rsidRPr="007F4611">
        <w:rPr>
          <w:spacing w:val="0"/>
          <w:kern w:val="0"/>
          <w:rtl/>
          <w:lang w:eastAsia="en-US"/>
        </w:rPr>
        <w:t xml:space="preserve">عدم إجراء تحقيقات مناسبة في ادعاءات ممارسة التعذيب </w:t>
      </w:r>
      <w:r w:rsidRPr="007F4611">
        <w:rPr>
          <w:rFonts w:hint="cs"/>
          <w:spacing w:val="0"/>
          <w:kern w:val="0"/>
          <w:rtl/>
          <w:lang w:eastAsia="en-US"/>
        </w:rPr>
        <w:t>وملاحقة</w:t>
      </w:r>
      <w:r w:rsidRPr="007F4611">
        <w:rPr>
          <w:spacing w:val="0"/>
          <w:kern w:val="0"/>
          <w:rtl/>
          <w:lang w:eastAsia="en-US"/>
        </w:rPr>
        <w:t xml:space="preserve"> المسؤولين عنها ومعاقبتهم</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2"/>
          <w:kern w:val="0"/>
          <w:sz w:val="20"/>
          <w:lang w:val="fr-CH" w:eastAsia="en-US"/>
        </w:rPr>
      </w:pPr>
      <w:r w:rsidRPr="001D3F00">
        <w:rPr>
          <w:spacing w:val="-2"/>
          <w:kern w:val="0"/>
          <w:sz w:val="20"/>
          <w:rtl/>
          <w:lang w:val="fr-CH" w:eastAsia="en-US"/>
        </w:rPr>
        <w:t>73-</w:t>
      </w:r>
      <w:r w:rsidRPr="001D3F00">
        <w:rPr>
          <w:rFonts w:hint="cs"/>
          <w:spacing w:val="-2"/>
          <w:kern w:val="0"/>
          <w:sz w:val="20"/>
          <w:rtl/>
          <w:lang w:val="fr-CH" w:eastAsia="en-US"/>
        </w:rPr>
        <w:tab/>
      </w:r>
      <w:r w:rsidRPr="001D3F00">
        <w:rPr>
          <w:spacing w:val="-2"/>
          <w:kern w:val="0"/>
          <w:sz w:val="20"/>
          <w:rtl/>
          <w:lang w:val="fr-CH" w:eastAsia="en-US"/>
        </w:rPr>
        <w:t>وفقاً لما أشار إليه المقرر الخاص المعني بمسألة التعذيب في تقرير المتابعة الذي أعده لعام</w:t>
      </w:r>
      <w:r w:rsidRPr="001D3F00">
        <w:rPr>
          <w:rFonts w:hint="cs"/>
          <w:spacing w:val="-2"/>
          <w:kern w:val="0"/>
          <w:sz w:val="20"/>
          <w:rtl/>
          <w:lang w:val="fr-CH" w:eastAsia="en-US"/>
        </w:rPr>
        <w:t> </w:t>
      </w:r>
      <w:r w:rsidRPr="001D3F00">
        <w:rPr>
          <w:spacing w:val="-2"/>
          <w:kern w:val="0"/>
          <w:sz w:val="20"/>
          <w:rtl/>
          <w:lang w:val="fr-CH" w:eastAsia="en-US"/>
        </w:rPr>
        <w:t xml:space="preserve">2011، فإنه لا توجد معلومات موثوقة تثبت صدور أية أحكام </w:t>
      </w:r>
      <w:r w:rsidRPr="001D3F00">
        <w:rPr>
          <w:rFonts w:hint="cs"/>
          <w:spacing w:val="-2"/>
          <w:kern w:val="0"/>
          <w:sz w:val="20"/>
          <w:rtl/>
          <w:lang w:val="fr-CH" w:eastAsia="en-US"/>
        </w:rPr>
        <w:t xml:space="preserve">بالملاحقة </w:t>
      </w:r>
      <w:r w:rsidRPr="001D3F00">
        <w:rPr>
          <w:spacing w:val="-2"/>
          <w:kern w:val="0"/>
          <w:sz w:val="20"/>
          <w:rtl/>
          <w:lang w:val="fr-CH" w:eastAsia="en-US"/>
        </w:rPr>
        <w:t>الجنائية والإدانة ضد السلطات بسبب ممارسات الإيذاء والتعذيب التي تحدث في نيبال</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90"/>
      </w:r>
      <w:r w:rsidRPr="001D3F00">
        <w:rPr>
          <w:spacing w:val="-2"/>
          <w:kern w:val="0"/>
          <w:sz w:val="20"/>
          <w:vertAlign w:val="superscript"/>
          <w:rtl/>
          <w:lang w:val="fr-CH" w:eastAsia="en-US"/>
        </w:rPr>
        <w:t>)</w:t>
      </w:r>
      <w:r w:rsidRPr="001D3F00">
        <w:rPr>
          <w:spacing w:val="-2"/>
          <w:kern w:val="0"/>
          <w:sz w:val="20"/>
          <w:rtl/>
          <w:lang w:val="fr-CH" w:eastAsia="en-US"/>
        </w:rPr>
        <w:t>. وقد وجد المقرر الخاص بوجه عام من خلال المقابلات التي أجراها أن الضحايا وأسرهم لا يثقون بنظام العدالة وسيادة القانون. وخلص المقرر الخاص في تقرير المتابعة الذي أعده لعام 2011 إلى أن نظام القضاء المدني قد أخفق في تحقيق العدالة لأن السلطات الحكومية نفسها لا تتقيد بأوامر المحاكم</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91"/>
      </w:r>
      <w:r w:rsidRPr="001D3F00">
        <w:rPr>
          <w:spacing w:val="-2"/>
          <w:kern w:val="0"/>
          <w:sz w:val="20"/>
          <w:vertAlign w:val="superscript"/>
          <w:rtl/>
          <w:lang w:val="fr-CH" w:eastAsia="en-US"/>
        </w:rPr>
        <w:t>)</w:t>
      </w:r>
      <w:r w:rsidRPr="001D3F00">
        <w:rPr>
          <w:spacing w:val="-2"/>
          <w:kern w:val="0"/>
          <w:sz w:val="20"/>
          <w:rtl/>
          <w:lang w:val="fr-CH" w:eastAsia="en-US"/>
        </w:rPr>
        <w:t>. وأعرب المقرر الخاص أيضاً عن قلقه لأن هناك عدداً من القوانين التي تمنح لكبار المسؤولين في المقاطعات سلطات شبه قضائية ولا تفرض سوى عقوبات تأديبية وجزاءات مخففة على الموظفين الحكوميين في حال ادعاء تورطهم في ممارسة التعذيب وسوء المعاملة وهو ما يسهم في ثقافة الإفلات من العقاب</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92"/>
      </w:r>
      <w:r w:rsidRPr="001D3F00">
        <w:rPr>
          <w:spacing w:val="-2"/>
          <w:kern w:val="0"/>
          <w:sz w:val="20"/>
          <w:vertAlign w:val="superscript"/>
          <w:rtl/>
          <w:lang w:val="fr-CH" w:eastAsia="en-US"/>
        </w:rPr>
        <w:t>)</w:t>
      </w:r>
      <w:r w:rsidRPr="001D3F00">
        <w:rPr>
          <w:spacing w:val="-2"/>
          <w:kern w:val="0"/>
          <w:sz w:val="20"/>
          <w:rtl/>
          <w:lang w:val="fr-CH" w:eastAsia="en-US"/>
        </w:rPr>
        <w:t>. وأشار المقرر الخاص إلى أن قانون الشرطة ينص على فرض إجراءات تأديبية وجزاءات مخففة على ضباط الشرطة المتورطين في ممارسات التعذيب</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93"/>
      </w:r>
      <w:r w:rsidRPr="001D3F00">
        <w:rPr>
          <w:spacing w:val="-2"/>
          <w:kern w:val="0"/>
          <w:sz w:val="20"/>
          <w:vertAlign w:val="superscript"/>
          <w:rtl/>
          <w:lang w:val="fr-CH" w:eastAsia="en-US"/>
        </w:rPr>
        <w:t>)</w:t>
      </w:r>
      <w:r w:rsidRPr="001D3F00">
        <w:rPr>
          <w:spacing w:val="-2"/>
          <w:kern w:val="0"/>
          <w:sz w:val="20"/>
          <w:rtl/>
          <w:lang w:val="fr-CH" w:eastAsia="en-US"/>
        </w:rPr>
        <w:t>. وأشار المقرر الخاص كذلك إلى أن الأفراد الذين تثبت إدانتهم بارتكاب انتهاكات لحقوق الإنسان هم الذين يستبعدون من المشاركة في عمليات الأمم المتحدة لحفظ السلام</w:t>
      </w:r>
      <w:r w:rsidRPr="001D3F00">
        <w:rPr>
          <w:rFonts w:hint="cs"/>
          <w:spacing w:val="-2"/>
          <w:kern w:val="0"/>
          <w:sz w:val="20"/>
          <w:rtl/>
          <w:lang w:val="fr-CH" w:eastAsia="en-US"/>
        </w:rPr>
        <w:t>،</w:t>
      </w:r>
      <w:r w:rsidRPr="001D3F00">
        <w:rPr>
          <w:spacing w:val="-2"/>
          <w:kern w:val="0"/>
          <w:sz w:val="20"/>
          <w:rtl/>
          <w:lang w:val="fr-CH" w:eastAsia="en-US"/>
        </w:rPr>
        <w:t xml:space="preserve"> مما يجعل هذه العقوبة المفروضة على مرتكبي أفعال التعذيب غير فعالة إلى حد كبير</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94"/>
      </w:r>
      <w:r w:rsidRPr="001D3F00">
        <w:rPr>
          <w:spacing w:val="-2"/>
          <w:kern w:val="0"/>
          <w:sz w:val="20"/>
          <w:vertAlign w:val="superscript"/>
          <w:rtl/>
          <w:lang w:val="fr-CH" w:eastAsia="en-US"/>
        </w:rPr>
        <w:t>)</w:t>
      </w:r>
      <w:r w:rsidRPr="001D3F00">
        <w:rPr>
          <w:spacing w:val="-2"/>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val="fr-CH" w:eastAsia="en-US"/>
        </w:rPr>
      </w:pPr>
      <w:r w:rsidRPr="001D3F00">
        <w:rPr>
          <w:spacing w:val="0"/>
          <w:kern w:val="0"/>
          <w:sz w:val="20"/>
          <w:rtl/>
          <w:lang w:val="fr-CH" w:eastAsia="en-US"/>
        </w:rPr>
        <w:t>74-</w:t>
      </w:r>
      <w:r w:rsidRPr="001D3F00">
        <w:rPr>
          <w:rFonts w:hint="cs"/>
          <w:spacing w:val="0"/>
          <w:kern w:val="0"/>
          <w:sz w:val="20"/>
          <w:rtl/>
          <w:lang w:val="fr-CH" w:eastAsia="en-US"/>
        </w:rPr>
        <w:tab/>
      </w:r>
      <w:r w:rsidRPr="001D3F00">
        <w:rPr>
          <w:spacing w:val="0"/>
          <w:kern w:val="0"/>
          <w:sz w:val="20"/>
          <w:rtl/>
          <w:lang w:val="fr-CH" w:eastAsia="en-US"/>
        </w:rPr>
        <w:t>وقد كشف تقرير مفوضة الأمم المتحدة السامية لحقوق الإنسان عن حالة حقوق الإنسان في نيبال لعام</w:t>
      </w:r>
      <w:r w:rsidRPr="001D3F00">
        <w:rPr>
          <w:rFonts w:hint="cs"/>
          <w:spacing w:val="0"/>
          <w:kern w:val="0"/>
          <w:sz w:val="20"/>
          <w:rtl/>
          <w:lang w:val="fr-CH" w:eastAsia="en-US"/>
        </w:rPr>
        <w:t xml:space="preserve"> </w:t>
      </w:r>
      <w:r w:rsidRPr="001D3F00">
        <w:rPr>
          <w:spacing w:val="0"/>
          <w:kern w:val="0"/>
          <w:sz w:val="20"/>
          <w:rtl/>
          <w:lang w:val="fr-CH" w:eastAsia="en-US"/>
        </w:rPr>
        <w:t>2010 عن أنه على الرغم من التزامات الدولة الطرف العامة والخاصة، بما في ذلك التزامات رئيس الوزراء قبل انعقاد الجمعية العامة في أيلول/سبتمبر 2009، لم</w:t>
      </w:r>
      <w:r w:rsidRPr="001D3F00">
        <w:rPr>
          <w:rFonts w:hint="cs"/>
          <w:spacing w:val="0"/>
          <w:kern w:val="0"/>
          <w:sz w:val="20"/>
          <w:rtl/>
          <w:lang w:val="fr-CH" w:eastAsia="en-US"/>
        </w:rPr>
        <w:t> </w:t>
      </w:r>
      <w:r w:rsidRPr="001D3F00">
        <w:rPr>
          <w:spacing w:val="0"/>
          <w:kern w:val="0"/>
          <w:sz w:val="20"/>
          <w:rtl/>
          <w:lang w:val="fr-CH" w:eastAsia="en-US"/>
        </w:rPr>
        <w:t>يسجل أي تقدم يذكر في التصدي للإفلات من العقاب على انتهاكات وتجاوزات حقوق الإنسان أثناء النزاع أو بعده. وما زال الجيش النيبالي والحزب الشيوعي الموحد الماوي يقاومان محاولات تحميل موظفيهما المسؤولية عن انتهاكات وتجاوزات حقوق الإنسان، ومنع تعاون السلطات المدنية المسؤولة عن التحقيق في هذه الحالات</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95"/>
      </w:r>
      <w:r w:rsidRPr="001D3F00">
        <w:rPr>
          <w:spacing w:val="0"/>
          <w:kern w:val="0"/>
          <w:sz w:val="20"/>
          <w:vertAlign w:val="superscript"/>
          <w:rtl/>
          <w:lang w:val="fr-CH" w:eastAsia="en-US"/>
        </w:rPr>
        <w:t>)</w:t>
      </w:r>
      <w:r w:rsidRPr="001D3F00">
        <w:rPr>
          <w:spacing w:val="0"/>
          <w:kern w:val="0"/>
          <w:sz w:val="20"/>
          <w:rtl/>
          <w:lang w:val="fr-CH" w:eastAsia="en-US"/>
        </w:rPr>
        <w:t xml:space="preserve">. وأثار الأمين العام أيضاً في كانون الثاني/يناير 2010 مسألة </w:t>
      </w:r>
      <w:r w:rsidRPr="001D3F00">
        <w:rPr>
          <w:rFonts w:hint="cs"/>
          <w:spacing w:val="0"/>
          <w:kern w:val="0"/>
          <w:sz w:val="20"/>
          <w:rtl/>
          <w:lang w:val="fr-CH" w:eastAsia="en-US"/>
        </w:rPr>
        <w:t xml:space="preserve">عدم إحراز </w:t>
      </w:r>
      <w:r w:rsidRPr="001D3F00">
        <w:rPr>
          <w:spacing w:val="0"/>
          <w:kern w:val="0"/>
          <w:sz w:val="20"/>
          <w:rtl/>
          <w:lang w:val="fr-CH" w:eastAsia="en-US"/>
        </w:rPr>
        <w:t xml:space="preserve">تقدم </w:t>
      </w:r>
      <w:r w:rsidRPr="001D3F00">
        <w:rPr>
          <w:rFonts w:hint="cs"/>
          <w:spacing w:val="0"/>
          <w:kern w:val="0"/>
          <w:sz w:val="20"/>
          <w:rtl/>
          <w:lang w:val="fr-CH" w:eastAsia="en-US"/>
        </w:rPr>
        <w:t>في</w:t>
      </w:r>
      <w:r w:rsidRPr="001D3F00">
        <w:rPr>
          <w:spacing w:val="0"/>
          <w:kern w:val="0"/>
          <w:sz w:val="20"/>
          <w:rtl/>
          <w:lang w:val="fr-CH" w:eastAsia="en-US"/>
        </w:rPr>
        <w:t xml:space="preserve"> التصدي للإفلات من العقاب</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96"/>
      </w:r>
      <w:r w:rsidRPr="001D3F00">
        <w:rPr>
          <w:spacing w:val="0"/>
          <w:kern w:val="0"/>
          <w:sz w:val="20"/>
          <w:vertAlign w:val="superscript"/>
          <w:rtl/>
          <w:lang w:val="fr-CH" w:eastAsia="en-US"/>
        </w:rPr>
        <w:t>)</w:t>
      </w:r>
      <w:r w:rsidRPr="001D3F00">
        <w:rPr>
          <w:spacing w:val="0"/>
          <w:kern w:val="0"/>
          <w:sz w:val="20"/>
          <w:rtl/>
          <w:lang w:val="fr-CH" w:eastAsia="en-US"/>
        </w:rPr>
        <w:t>. وكان لاستمرار الإفلات من العقاب على انتهاكات حقوق الإنسان أثر سلبي على مؤسسات سيادة القانون وأضر كذلك بمصداقيتها. وقد ساهم الإفلات من العقاب بشكل مباشر في انتشار أوجه الخلل في الأمن العام بتوجيه رسالة مؤداها أن العنف لا تترتب عليه أية آثار بالنسبة لمرتكبيه</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97"/>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1"/>
          <w:kern w:val="0"/>
          <w:sz w:val="20"/>
          <w:lang w:val="fr-CH" w:eastAsia="en-US"/>
        </w:rPr>
      </w:pPr>
      <w:r w:rsidRPr="001D3F00">
        <w:rPr>
          <w:spacing w:val="1"/>
          <w:kern w:val="0"/>
          <w:sz w:val="20"/>
          <w:rtl/>
          <w:lang w:val="fr-CH" w:eastAsia="en-US"/>
        </w:rPr>
        <w:t>75-</w:t>
      </w:r>
      <w:r w:rsidRPr="001D3F00">
        <w:rPr>
          <w:rFonts w:hint="cs"/>
          <w:spacing w:val="1"/>
          <w:kern w:val="0"/>
          <w:sz w:val="20"/>
          <w:rtl/>
          <w:lang w:val="fr-CH" w:eastAsia="en-US"/>
        </w:rPr>
        <w:tab/>
      </w:r>
      <w:r w:rsidRPr="001D3F00">
        <w:rPr>
          <w:spacing w:val="1"/>
          <w:kern w:val="0"/>
          <w:sz w:val="20"/>
          <w:rtl/>
          <w:lang w:val="fr-CH" w:eastAsia="en-US"/>
        </w:rPr>
        <w:t>و</w:t>
      </w:r>
      <w:r w:rsidRPr="001D3F00">
        <w:rPr>
          <w:rFonts w:hint="cs"/>
          <w:spacing w:val="1"/>
          <w:kern w:val="0"/>
          <w:sz w:val="20"/>
          <w:rtl/>
          <w:lang w:val="fr-CH" w:eastAsia="en-US"/>
        </w:rPr>
        <w:t>أعربت</w:t>
      </w:r>
      <w:r w:rsidRPr="001D3F00">
        <w:rPr>
          <w:spacing w:val="1"/>
          <w:kern w:val="0"/>
          <w:sz w:val="20"/>
          <w:rtl/>
          <w:lang w:val="fr-CH" w:eastAsia="en-US"/>
        </w:rPr>
        <w:t xml:space="preserve"> المفوضة السامية </w:t>
      </w:r>
      <w:r w:rsidRPr="001D3F00">
        <w:rPr>
          <w:rFonts w:hint="cs"/>
          <w:spacing w:val="1"/>
          <w:kern w:val="0"/>
          <w:sz w:val="20"/>
          <w:rtl/>
          <w:lang w:val="fr-CH" w:eastAsia="en-US"/>
        </w:rPr>
        <w:t xml:space="preserve">في تقريرها </w:t>
      </w:r>
      <w:r w:rsidRPr="001D3F00">
        <w:rPr>
          <w:spacing w:val="1"/>
          <w:kern w:val="0"/>
          <w:sz w:val="20"/>
          <w:rtl/>
          <w:lang w:val="fr-CH" w:eastAsia="en-US"/>
        </w:rPr>
        <w:t>لعام 201</w:t>
      </w:r>
      <w:r w:rsidRPr="001D3F00">
        <w:rPr>
          <w:rFonts w:hint="cs"/>
          <w:spacing w:val="1"/>
          <w:kern w:val="0"/>
          <w:sz w:val="20"/>
          <w:rtl/>
          <w:lang w:val="fr-CH" w:eastAsia="en-US"/>
        </w:rPr>
        <w:t>0</w:t>
      </w:r>
      <w:r w:rsidRPr="001D3F00">
        <w:rPr>
          <w:spacing w:val="1"/>
          <w:kern w:val="0"/>
          <w:sz w:val="20"/>
          <w:rtl/>
          <w:lang w:val="fr-CH" w:eastAsia="en-US"/>
        </w:rPr>
        <w:t xml:space="preserve"> </w:t>
      </w:r>
      <w:r w:rsidRPr="001D3F00">
        <w:rPr>
          <w:rFonts w:hint="cs"/>
          <w:spacing w:val="1"/>
          <w:kern w:val="0"/>
          <w:sz w:val="20"/>
          <w:rtl/>
          <w:lang w:val="fr-CH" w:eastAsia="en-US"/>
        </w:rPr>
        <w:t>عن أسفها ل</w:t>
      </w:r>
      <w:r w:rsidRPr="001D3F00">
        <w:rPr>
          <w:spacing w:val="1"/>
          <w:kern w:val="0"/>
          <w:sz w:val="20"/>
          <w:rtl/>
          <w:lang w:val="fr-CH" w:eastAsia="en-US"/>
        </w:rPr>
        <w:t>عدم رد الحكومة على ال</w:t>
      </w:r>
      <w:r w:rsidRPr="001D3F00">
        <w:rPr>
          <w:rFonts w:hint="cs"/>
          <w:spacing w:val="1"/>
          <w:kern w:val="0"/>
          <w:sz w:val="20"/>
          <w:rtl/>
          <w:lang w:val="fr-CH" w:eastAsia="en-US"/>
        </w:rPr>
        <w:t>ا</w:t>
      </w:r>
      <w:r w:rsidRPr="001D3F00">
        <w:rPr>
          <w:spacing w:val="1"/>
          <w:kern w:val="0"/>
          <w:sz w:val="20"/>
          <w:rtl/>
          <w:lang w:val="fr-CH" w:eastAsia="en-US"/>
        </w:rPr>
        <w:t>دعاءات الخطيرة لانتهاكات حقوق الإنسان التي ت</w:t>
      </w:r>
      <w:r w:rsidRPr="001D3F00">
        <w:rPr>
          <w:rFonts w:hint="cs"/>
          <w:spacing w:val="1"/>
          <w:kern w:val="0"/>
          <w:sz w:val="20"/>
          <w:rtl/>
          <w:lang w:val="fr-CH" w:eastAsia="en-US"/>
        </w:rPr>
        <w:t xml:space="preserve">ورط فيها أفراد </w:t>
      </w:r>
      <w:r w:rsidRPr="001D3F00">
        <w:rPr>
          <w:spacing w:val="1"/>
          <w:kern w:val="0"/>
          <w:sz w:val="20"/>
          <w:rtl/>
          <w:lang w:val="fr-CH" w:eastAsia="en-US"/>
        </w:rPr>
        <w:t xml:space="preserve">الجيش، بما في ذلك عدم تنفيذ الأوامر الصادرة عن المحاكم النيبالية. وعلى سبيل المثال، أصدرت محكمة كافري المحلية قراراً في أيلول/سبتمبر 2009 يأمر الجيش بأن يوقف عن العمل شخصاً يدعى أنه مسؤول عن الانتهاكات، وقد صدر بحقه أمر توقيف لم يُنفذ بعد، وذلك في قضية تعذيب وقتل ماينا سونوار البالغة من العمر 15 عاماً في عام 2004، كما طلب تقديم المستندات ذات الصلة، ولم يمتثل الجيش لأمر توقيف المشتبه به عن العمل، بل أرسله للعمل ضمن بعثة لحفظ السلام تابعة للأمم المتحدة. وأعادت الأمم المتحدة الضابط في وقت لاحق إلى بلده. ورفض الجيش النيبالي تسليمه للسلطات المدنية لإجراء تحقيق مستقل، على الرغم من طلبات الشرطة النيبالية واللجنة الوطنية لحقوق الإنسان. ولم تعتقل الحكومة بعد أي واحد من الأشخاص الأربعة المتهمين في هذه القضية، حتى </w:t>
      </w:r>
      <w:r w:rsidRPr="001D3F00">
        <w:rPr>
          <w:rFonts w:hint="cs"/>
          <w:spacing w:val="1"/>
          <w:kern w:val="0"/>
          <w:sz w:val="20"/>
          <w:rtl/>
          <w:lang w:val="fr-CH" w:eastAsia="en-US"/>
        </w:rPr>
        <w:t>مع أ</w:t>
      </w:r>
      <w:r w:rsidRPr="001D3F00">
        <w:rPr>
          <w:spacing w:val="1"/>
          <w:kern w:val="0"/>
          <w:sz w:val="20"/>
          <w:rtl/>
          <w:lang w:val="fr-CH" w:eastAsia="en-US"/>
        </w:rPr>
        <w:t xml:space="preserve">ن أوامر التوقيف لا تزال </w:t>
      </w:r>
      <w:r w:rsidRPr="001D3F00">
        <w:rPr>
          <w:rFonts w:hint="cs"/>
          <w:spacing w:val="1"/>
          <w:kern w:val="0"/>
          <w:sz w:val="20"/>
          <w:rtl/>
          <w:lang w:val="fr-CH" w:eastAsia="en-US"/>
        </w:rPr>
        <w:t xml:space="preserve">بانتظار التنفيذ </w:t>
      </w:r>
      <w:r w:rsidRPr="001D3F00">
        <w:rPr>
          <w:spacing w:val="1"/>
          <w:kern w:val="0"/>
          <w:sz w:val="20"/>
          <w:rtl/>
          <w:lang w:val="fr-CH" w:eastAsia="en-US"/>
        </w:rPr>
        <w:t>منذ تموز/</w:t>
      </w:r>
      <w:r w:rsidRPr="001D3F00">
        <w:rPr>
          <w:rFonts w:hint="cs"/>
          <w:spacing w:val="1"/>
          <w:kern w:val="0"/>
          <w:sz w:val="20"/>
          <w:rtl/>
          <w:lang w:val="fr-CH" w:eastAsia="en-US"/>
        </w:rPr>
        <w:t xml:space="preserve"> </w:t>
      </w:r>
      <w:r w:rsidRPr="001D3F00">
        <w:rPr>
          <w:spacing w:val="1"/>
          <w:kern w:val="0"/>
          <w:sz w:val="20"/>
          <w:rtl/>
          <w:lang w:val="fr-CH" w:eastAsia="en-US"/>
        </w:rPr>
        <w:t>يوليه</w:t>
      </w:r>
      <w:r w:rsidRPr="001D3F00">
        <w:rPr>
          <w:rFonts w:hint="cs"/>
          <w:spacing w:val="1"/>
          <w:kern w:val="0"/>
          <w:sz w:val="20"/>
          <w:rtl/>
          <w:lang w:val="fr-CH" w:eastAsia="en-US"/>
        </w:rPr>
        <w:t> </w:t>
      </w:r>
      <w:r w:rsidRPr="001D3F00">
        <w:rPr>
          <w:spacing w:val="1"/>
          <w:kern w:val="0"/>
          <w:sz w:val="20"/>
          <w:rtl/>
          <w:lang w:val="fr-CH" w:eastAsia="en-US"/>
        </w:rPr>
        <w:t>2008</w:t>
      </w:r>
      <w:r w:rsidRPr="001D3F00">
        <w:rPr>
          <w:spacing w:val="1"/>
          <w:kern w:val="0"/>
          <w:sz w:val="20"/>
          <w:vertAlign w:val="superscript"/>
          <w:rtl/>
          <w:lang w:val="fr-CH" w:eastAsia="en-US"/>
        </w:rPr>
        <w:t>(</w:t>
      </w:r>
      <w:r w:rsidRPr="001D3F00">
        <w:rPr>
          <w:b/>
          <w:spacing w:val="1"/>
          <w:kern w:val="0"/>
          <w:szCs w:val="28"/>
          <w:vertAlign w:val="superscript"/>
          <w:rtl/>
          <w:lang w:val="fr-CH" w:eastAsia="en-US"/>
        </w:rPr>
        <w:footnoteReference w:id="98"/>
      </w:r>
      <w:r w:rsidRPr="001D3F00">
        <w:rPr>
          <w:spacing w:val="1"/>
          <w:kern w:val="0"/>
          <w:sz w:val="20"/>
          <w:vertAlign w:val="superscript"/>
          <w:rtl/>
          <w:lang w:val="fr-CH" w:eastAsia="en-US"/>
        </w:rPr>
        <w:t>)</w:t>
      </w:r>
      <w:r w:rsidRPr="001D3F00">
        <w:rPr>
          <w:spacing w:val="1"/>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val="fr-CH" w:eastAsia="en-US"/>
        </w:rPr>
      </w:pPr>
      <w:r w:rsidRPr="001D3F00">
        <w:rPr>
          <w:spacing w:val="0"/>
          <w:kern w:val="0"/>
          <w:sz w:val="20"/>
          <w:rtl/>
          <w:lang w:val="fr-CH" w:eastAsia="en-US"/>
        </w:rPr>
        <w:t>76-</w:t>
      </w:r>
      <w:r w:rsidRPr="001D3F00">
        <w:rPr>
          <w:rFonts w:hint="cs"/>
          <w:spacing w:val="0"/>
          <w:kern w:val="0"/>
          <w:sz w:val="20"/>
          <w:rtl/>
          <w:lang w:val="fr-CH" w:eastAsia="en-US"/>
        </w:rPr>
        <w:tab/>
      </w:r>
      <w:r w:rsidRPr="001D3F00">
        <w:rPr>
          <w:spacing w:val="0"/>
          <w:kern w:val="0"/>
          <w:sz w:val="20"/>
          <w:rtl/>
          <w:lang w:val="fr-CH" w:eastAsia="en-US"/>
        </w:rPr>
        <w:t xml:space="preserve">ويشير تقرير المفوضة السامية لعام 2010 إلى أنه على الرغم من أن المفوضية السامية لحقوق الإنسان قد وثقت باستفاضة في تقرير عام </w:t>
      </w:r>
      <w:r w:rsidRPr="001D3F00">
        <w:rPr>
          <w:rFonts w:hint="cs"/>
          <w:spacing w:val="0"/>
          <w:kern w:val="0"/>
          <w:sz w:val="20"/>
          <w:rtl/>
          <w:lang w:val="fr-CH" w:eastAsia="en-US"/>
        </w:rPr>
        <w:t>نُشر</w:t>
      </w:r>
      <w:r w:rsidRPr="001D3F00">
        <w:rPr>
          <w:spacing w:val="0"/>
          <w:kern w:val="0"/>
          <w:sz w:val="20"/>
          <w:rtl/>
          <w:lang w:val="fr-CH" w:eastAsia="en-US"/>
        </w:rPr>
        <w:t xml:space="preserve"> في عام 2008 أفعال التعذيب وحالات الاختفاء</w:t>
      </w:r>
      <w:r w:rsidRPr="001D3F00">
        <w:rPr>
          <w:rFonts w:hint="cs"/>
          <w:spacing w:val="0"/>
          <w:kern w:val="0"/>
          <w:sz w:val="20"/>
          <w:rtl/>
          <w:lang w:val="fr-CH" w:eastAsia="en-US"/>
        </w:rPr>
        <w:t xml:space="preserve"> القسري</w:t>
      </w:r>
      <w:r w:rsidRPr="001D3F00">
        <w:rPr>
          <w:spacing w:val="0"/>
          <w:kern w:val="0"/>
          <w:sz w:val="20"/>
          <w:rtl/>
          <w:lang w:val="fr-CH" w:eastAsia="en-US"/>
        </w:rPr>
        <w:t xml:space="preserve"> المتعلقة بالنزاع في معسكرات شيساباني في مقاطعة بارديا، فإن أحد المسؤولين الرئيسيين المزعومين عن هذه الأفعال لا يزال يخدم في الجيش.</w:t>
      </w:r>
      <w:r w:rsidRPr="001D3F00">
        <w:rPr>
          <w:rFonts w:hint="cs"/>
          <w:spacing w:val="0"/>
          <w:kern w:val="0"/>
          <w:sz w:val="20"/>
          <w:rtl/>
          <w:lang w:val="fr-CH" w:eastAsia="en-US"/>
        </w:rPr>
        <w:t xml:space="preserve"> </w:t>
      </w:r>
      <w:r w:rsidRPr="001D3F00">
        <w:rPr>
          <w:spacing w:val="0"/>
          <w:kern w:val="0"/>
          <w:sz w:val="20"/>
          <w:rtl/>
          <w:lang w:val="fr-CH" w:eastAsia="en-US"/>
        </w:rPr>
        <w:t xml:space="preserve">كما </w:t>
      </w:r>
      <w:r w:rsidRPr="001D3F00">
        <w:rPr>
          <w:rFonts w:hint="cs"/>
          <w:spacing w:val="0"/>
          <w:kern w:val="0"/>
          <w:sz w:val="20"/>
          <w:rtl/>
          <w:lang w:val="fr-CH" w:eastAsia="en-US"/>
        </w:rPr>
        <w:t>لم تتعاون</w:t>
      </w:r>
      <w:r w:rsidRPr="001D3F00">
        <w:rPr>
          <w:spacing w:val="0"/>
          <w:kern w:val="0"/>
          <w:sz w:val="20"/>
          <w:rtl/>
          <w:lang w:val="fr-CH" w:eastAsia="en-US"/>
        </w:rPr>
        <w:t xml:space="preserve"> قيادة الحزب الشيوعي الموحد الماوي </w:t>
      </w:r>
      <w:r w:rsidRPr="001D3F00">
        <w:rPr>
          <w:rFonts w:hint="cs"/>
          <w:spacing w:val="0"/>
          <w:kern w:val="0"/>
          <w:sz w:val="20"/>
          <w:rtl/>
          <w:lang w:val="fr-CH" w:eastAsia="en-US"/>
        </w:rPr>
        <w:t>في</w:t>
      </w:r>
      <w:r w:rsidRPr="001D3F00">
        <w:rPr>
          <w:spacing w:val="0"/>
          <w:kern w:val="0"/>
          <w:sz w:val="20"/>
          <w:rtl/>
          <w:lang w:val="fr-CH" w:eastAsia="en-US"/>
        </w:rPr>
        <w:t xml:space="preserve"> التحقيقات الجنائية الجارية بشأن تورط كوادره في التجاوزات الخطيرة لحقوق الإنسان أثناء النزاع وبعده، بما في ذلك عمليات قتل زهاء 40 مدنياً في قصف حافلة للنقل العام في مادي، بمقاطعة شيتوان، في عام 2005، وعملية قتل رام هاري شرستها، وأرجون لاما، والصحفي بيرندرا ساه. ووثقت المفوضية </w:t>
      </w:r>
      <w:r w:rsidRPr="001D3F00">
        <w:rPr>
          <w:rFonts w:hint="cs"/>
          <w:spacing w:val="0"/>
          <w:kern w:val="0"/>
          <w:sz w:val="20"/>
          <w:rtl/>
          <w:lang w:val="fr-CH" w:eastAsia="en-US"/>
        </w:rPr>
        <w:t xml:space="preserve">عدم إحراز </w:t>
      </w:r>
      <w:r w:rsidRPr="001D3F00">
        <w:rPr>
          <w:spacing w:val="0"/>
          <w:kern w:val="0"/>
          <w:sz w:val="20"/>
          <w:rtl/>
          <w:lang w:val="fr-CH" w:eastAsia="en-US"/>
        </w:rPr>
        <w:t>تقدم في كل حالة من هذه الحالات في رسالة وجهتها إلى رئيس الحزب الشيوعي الموحد في تموز/يولي</w:t>
      </w:r>
      <w:r w:rsidRPr="001D3F00">
        <w:rPr>
          <w:rFonts w:hint="cs"/>
          <w:spacing w:val="0"/>
          <w:kern w:val="0"/>
          <w:sz w:val="20"/>
          <w:rtl/>
          <w:lang w:val="fr-CH" w:eastAsia="en-US"/>
        </w:rPr>
        <w:t>ه</w:t>
      </w:r>
      <w:r w:rsidRPr="001D3F00">
        <w:rPr>
          <w:spacing w:val="0"/>
          <w:kern w:val="0"/>
          <w:sz w:val="20"/>
          <w:rtl/>
          <w:lang w:val="fr-CH" w:eastAsia="en-US"/>
        </w:rPr>
        <w:t xml:space="preserve"> 2009</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99"/>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2"/>
          <w:kern w:val="0"/>
          <w:sz w:val="20"/>
          <w:lang w:val="fr-CH" w:eastAsia="en-US"/>
        </w:rPr>
      </w:pPr>
      <w:r w:rsidRPr="001D3F00">
        <w:rPr>
          <w:spacing w:val="-2"/>
          <w:kern w:val="0"/>
          <w:sz w:val="20"/>
          <w:rtl/>
          <w:lang w:val="fr-CH" w:eastAsia="en-US"/>
        </w:rPr>
        <w:t>77-</w:t>
      </w:r>
      <w:r w:rsidRPr="001D3F00">
        <w:rPr>
          <w:rFonts w:hint="cs"/>
          <w:spacing w:val="-2"/>
          <w:kern w:val="0"/>
          <w:sz w:val="20"/>
          <w:rtl/>
          <w:lang w:val="fr-CH" w:eastAsia="en-US"/>
        </w:rPr>
        <w:tab/>
      </w:r>
      <w:r w:rsidRPr="001D3F00">
        <w:rPr>
          <w:spacing w:val="-2"/>
          <w:kern w:val="0"/>
          <w:sz w:val="20"/>
          <w:rtl/>
          <w:lang w:val="fr-CH" w:eastAsia="en-US"/>
        </w:rPr>
        <w:t>وأشار المقرر الخاص المعني بمسألة التعذيب إلى أنه على الرغم من الطلبات المتكررة التي</w:t>
      </w:r>
      <w:r w:rsidRPr="001D3F00">
        <w:rPr>
          <w:rFonts w:hint="cs"/>
          <w:spacing w:val="-2"/>
          <w:kern w:val="0"/>
          <w:sz w:val="20"/>
          <w:rtl/>
          <w:lang w:val="fr-CH" w:eastAsia="en-US"/>
        </w:rPr>
        <w:t> </w:t>
      </w:r>
      <w:r w:rsidRPr="001D3F00">
        <w:rPr>
          <w:spacing w:val="-2"/>
          <w:kern w:val="0"/>
          <w:sz w:val="20"/>
          <w:rtl/>
          <w:lang w:val="fr-CH" w:eastAsia="en-US"/>
        </w:rPr>
        <w:t>وجهتها المفوضية السامية لحقوق الإنسان إلى الحكومة لإجراء تحقيقات شاملة ونزيهة في ادعاءات التعذيب الذي يحدث في معسكرات ماهاراجغونج الخاضعة لسيطرة كتيبة بهيرابنات التابعة للجيش النيبالي، لم تجر أية تحقيقات مناسبة ولا يزال هناك واحد على الأقل من الجناة يخدم في الجيش النيبالي</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100"/>
      </w:r>
      <w:r w:rsidRPr="001D3F00">
        <w:rPr>
          <w:spacing w:val="-2"/>
          <w:kern w:val="0"/>
          <w:sz w:val="20"/>
          <w:vertAlign w:val="superscript"/>
          <w:rtl/>
          <w:lang w:val="fr-CH" w:eastAsia="en-US"/>
        </w:rPr>
        <w:t>)</w:t>
      </w:r>
      <w:r w:rsidRPr="001D3F00">
        <w:rPr>
          <w:spacing w:val="-2"/>
          <w:kern w:val="0"/>
          <w:sz w:val="20"/>
          <w:rtl/>
          <w:lang w:val="fr-CH" w:eastAsia="en-US"/>
        </w:rPr>
        <w:t>. ومع ذلك، أشار المقرر الخاص إلى أنه جرى تحديد موقع في كانون الأول/ديسمبر 2007، يمكن أن تكون جثة أحد الأفراد الذين اختفوا قد أُحرقت فيه، وزار فريق من خبراء الطب الشرعي الفنلنديين البلد في كانون الثاني/يناير 2008 وقدم المساعدة إلى الخبراء المحليين في استخراج بعض</w:t>
      </w:r>
      <w:r w:rsidRPr="001D3F00">
        <w:rPr>
          <w:rFonts w:hint="cs"/>
          <w:spacing w:val="-2"/>
          <w:kern w:val="0"/>
          <w:sz w:val="20"/>
          <w:rtl/>
          <w:lang w:val="fr-CH" w:eastAsia="en-US"/>
        </w:rPr>
        <w:t xml:space="preserve"> من</w:t>
      </w:r>
      <w:r w:rsidRPr="001D3F00">
        <w:rPr>
          <w:spacing w:val="-2"/>
          <w:kern w:val="0"/>
          <w:sz w:val="20"/>
          <w:rtl/>
          <w:lang w:val="fr-CH" w:eastAsia="en-US"/>
        </w:rPr>
        <w:t xml:space="preserve"> رفات</w:t>
      </w:r>
      <w:r w:rsidRPr="001D3F00">
        <w:rPr>
          <w:rFonts w:hint="cs"/>
          <w:spacing w:val="-2"/>
          <w:kern w:val="0"/>
          <w:sz w:val="20"/>
          <w:rtl/>
          <w:lang w:val="fr-CH" w:eastAsia="en-US"/>
        </w:rPr>
        <w:t>ه</w:t>
      </w:r>
      <w:r w:rsidRPr="001D3F00">
        <w:rPr>
          <w:spacing w:val="-2"/>
          <w:kern w:val="0"/>
          <w:sz w:val="20"/>
          <w:rtl/>
          <w:lang w:val="fr-CH" w:eastAsia="en-US"/>
        </w:rPr>
        <w:t>، وبين المقرر الخاص أنه إضافة إلى ذلك بدأ فريق يضم 11 عضواً من خبراء الطب الشرعي الفنلنديين والنيباليين برئاسة اللجنة الوطنية لحقوق الإنسان عمليات استخراج الرفات فيما يتعلق بحالات الاختفاء في مقاطعة دهانوشا</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101"/>
      </w:r>
      <w:r w:rsidRPr="001D3F00">
        <w:rPr>
          <w:spacing w:val="-2"/>
          <w:kern w:val="0"/>
          <w:sz w:val="20"/>
          <w:vertAlign w:val="superscript"/>
          <w:rtl/>
          <w:lang w:val="fr-CH" w:eastAsia="en-US"/>
        </w:rPr>
        <w:t>)</w:t>
      </w:r>
      <w:r w:rsidRPr="001D3F00">
        <w:rPr>
          <w:spacing w:val="-2"/>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78-</w:t>
      </w:r>
      <w:r w:rsidRPr="001D3F00">
        <w:rPr>
          <w:rFonts w:hint="cs"/>
          <w:spacing w:val="0"/>
          <w:kern w:val="0"/>
          <w:sz w:val="20"/>
          <w:rtl/>
          <w:lang w:val="fr-CH" w:eastAsia="en-US"/>
        </w:rPr>
        <w:tab/>
      </w:r>
      <w:r w:rsidRPr="001D3F00">
        <w:rPr>
          <w:spacing w:val="0"/>
          <w:kern w:val="0"/>
          <w:sz w:val="20"/>
          <w:rtl/>
          <w:lang w:val="fr-CH" w:eastAsia="en-US"/>
        </w:rPr>
        <w:t xml:space="preserve">وانتقد المقرر الخاص المعني بمسألة التعذيب أيضاً أداء "خلية حقوق الإنسان" التي أُنشئت داخل الشرطة النيبالية قائلاً إن مفهوم التحقيق </w:t>
      </w:r>
      <w:r w:rsidRPr="001D3F00">
        <w:rPr>
          <w:rFonts w:hint="cs"/>
          <w:spacing w:val="0"/>
          <w:kern w:val="0"/>
          <w:sz w:val="20"/>
          <w:rtl/>
          <w:lang w:val="fr-CH" w:eastAsia="en-US"/>
        </w:rPr>
        <w:t xml:space="preserve">الذي تعتمده </w:t>
      </w:r>
      <w:r w:rsidRPr="001D3F00">
        <w:rPr>
          <w:spacing w:val="0"/>
          <w:kern w:val="0"/>
          <w:sz w:val="20"/>
          <w:rtl/>
          <w:lang w:val="fr-CH" w:eastAsia="en-US"/>
        </w:rPr>
        <w:t>يبدو أنه يشمل بصفة أساسية توجيه رسالة تتضمن معلومات تفصيلية عن الشكوى إلى مكتب شرطة المنطقة ذي الصلة وطلب الرد من ذاك المكتب، بدون القيام بزيارة فعلية إلى المحتجزين الذين قدموا الشكوى وإجراء مقابلات معهم على انفراد. وحتى وقت كتابة هذا التقرير، لم يكن قد صدر توقيف عن العمل بحق أي ضابط في الشرطة نتيجة التحقيقات التي أجرتها خلية حقوق الإنسان</w:t>
      </w:r>
      <w:r w:rsidRPr="001D3F00">
        <w:rPr>
          <w:rFonts w:hint="cs"/>
          <w:spacing w:val="0"/>
          <w:kern w:val="0"/>
          <w:sz w:val="20"/>
          <w:rtl/>
          <w:lang w:val="fr-CH" w:eastAsia="en-US"/>
        </w:rPr>
        <w:t>،</w:t>
      </w:r>
      <w:r w:rsidRPr="001D3F00">
        <w:rPr>
          <w:spacing w:val="0"/>
          <w:kern w:val="0"/>
          <w:sz w:val="20"/>
          <w:rtl/>
          <w:lang w:val="fr-CH" w:eastAsia="en-US"/>
        </w:rPr>
        <w:t xml:space="preserve"> ولم تقم الخلية بزيارة مقدمي الشكاوى وإجراء مقابلات معهم على انفراد في أية قضية من القضايا للتأكد من صحة الادعاءات</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02"/>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79-</w:t>
      </w:r>
      <w:r w:rsidRPr="001D3F00">
        <w:rPr>
          <w:rFonts w:hint="cs"/>
          <w:spacing w:val="0"/>
          <w:kern w:val="0"/>
          <w:sz w:val="20"/>
          <w:rtl/>
          <w:lang w:val="fr-CH" w:eastAsia="en-US"/>
        </w:rPr>
        <w:tab/>
      </w:r>
      <w:r w:rsidRPr="001D3F00">
        <w:rPr>
          <w:spacing w:val="0"/>
          <w:kern w:val="0"/>
          <w:sz w:val="20"/>
          <w:rtl/>
          <w:lang w:val="fr-CH" w:eastAsia="en-US"/>
        </w:rPr>
        <w:t xml:space="preserve">وأشار المقرر الخاص المعني بمسألة التعذيب أيضاً إلى أن المدعي العام قد ذكر بنفسه في أيار/مايو 2010 أن إدارته لم تكلف بالتحقيق في حالات سوء المعاملة في السجون على النحو المنصوص عليه في المادة 135(3) من الدستور المؤقت وإنما فقط بسلطة </w:t>
      </w:r>
      <w:r w:rsidRPr="001D3F00">
        <w:rPr>
          <w:rFonts w:hint="cs"/>
          <w:spacing w:val="0"/>
          <w:kern w:val="0"/>
          <w:sz w:val="20"/>
          <w:rtl/>
          <w:lang w:val="fr-CH" w:eastAsia="en-US"/>
        </w:rPr>
        <w:t xml:space="preserve">مراقبة </w:t>
      </w:r>
      <w:r w:rsidRPr="001D3F00">
        <w:rPr>
          <w:spacing w:val="0"/>
          <w:kern w:val="0"/>
          <w:sz w:val="20"/>
          <w:rtl/>
          <w:lang w:val="fr-CH" w:eastAsia="en-US"/>
        </w:rPr>
        <w:t>التحقيقات التي تجريها الشرطة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03"/>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7F4611">
      <w:pPr>
        <w:pStyle w:val="H4GA"/>
        <w:jc w:val="lowKashida"/>
        <w:rPr>
          <w:spacing w:val="0"/>
          <w:kern w:val="0"/>
          <w:lang w:eastAsia="en-US"/>
        </w:rPr>
      </w:pPr>
      <w:r w:rsidRPr="007F4611">
        <w:rPr>
          <w:rFonts w:hint="cs"/>
          <w:spacing w:val="0"/>
          <w:kern w:val="0"/>
          <w:rtl/>
          <w:lang w:eastAsia="en-US"/>
        </w:rPr>
        <w:tab/>
        <w:t>‘2‘</w:t>
      </w:r>
      <w:r w:rsidRPr="007F4611">
        <w:rPr>
          <w:rFonts w:hint="cs"/>
          <w:spacing w:val="0"/>
          <w:kern w:val="0"/>
          <w:rtl/>
          <w:lang w:eastAsia="en-US"/>
        </w:rPr>
        <w:tab/>
      </w:r>
      <w:r w:rsidRPr="007F4611">
        <w:rPr>
          <w:spacing w:val="0"/>
          <w:kern w:val="0"/>
          <w:rtl/>
          <w:lang w:eastAsia="en-US"/>
        </w:rPr>
        <w:t>عدم تجريم التعذيب بما يتم</w:t>
      </w:r>
      <w:r w:rsidRPr="007F4611">
        <w:rPr>
          <w:rFonts w:hint="cs"/>
          <w:spacing w:val="0"/>
          <w:kern w:val="0"/>
          <w:rtl/>
          <w:lang w:eastAsia="en-US"/>
        </w:rPr>
        <w:t>ا</w:t>
      </w:r>
      <w:r w:rsidRPr="007F4611">
        <w:rPr>
          <w:spacing w:val="0"/>
          <w:kern w:val="0"/>
          <w:rtl/>
          <w:lang w:eastAsia="en-US"/>
        </w:rPr>
        <w:t>شى مع التعريف المنصوص عليه في الاتفاقية وعدم تقديم تعويض مناسب إلى ضحايا التعذيب</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2"/>
          <w:kern w:val="0"/>
          <w:sz w:val="20"/>
          <w:lang w:val="fr-CH" w:eastAsia="en-US"/>
        </w:rPr>
      </w:pPr>
      <w:r w:rsidRPr="001D3F00">
        <w:rPr>
          <w:spacing w:val="0"/>
          <w:kern w:val="0"/>
          <w:sz w:val="20"/>
          <w:rtl/>
          <w:lang w:val="fr-CH" w:eastAsia="en-US"/>
        </w:rPr>
        <w:t>80-</w:t>
      </w:r>
      <w:r w:rsidRPr="001D3F00">
        <w:rPr>
          <w:rFonts w:hint="cs"/>
          <w:spacing w:val="0"/>
          <w:kern w:val="0"/>
          <w:sz w:val="20"/>
          <w:rtl/>
          <w:lang w:val="fr-CH" w:eastAsia="en-US"/>
        </w:rPr>
        <w:tab/>
      </w:r>
      <w:r w:rsidRPr="001D3F00">
        <w:rPr>
          <w:spacing w:val="0"/>
          <w:kern w:val="0"/>
          <w:sz w:val="20"/>
          <w:rtl/>
          <w:lang w:val="fr-CH" w:eastAsia="en-US"/>
        </w:rPr>
        <w:t>أعرب المقرر الخاص المعني بمسألة التعذيب في عام 2005، عقب زيارته إلى نيبال</w:t>
      </w:r>
      <w:r w:rsidRPr="001D3F00">
        <w:rPr>
          <w:rFonts w:hint="cs"/>
          <w:spacing w:val="0"/>
          <w:kern w:val="0"/>
          <w:sz w:val="20"/>
          <w:rtl/>
          <w:lang w:val="fr-CH" w:eastAsia="en-US"/>
        </w:rPr>
        <w:t>،</w:t>
      </w:r>
      <w:r w:rsidRPr="001D3F00">
        <w:rPr>
          <w:spacing w:val="0"/>
          <w:kern w:val="0"/>
          <w:sz w:val="20"/>
          <w:rtl/>
          <w:lang w:val="fr-CH" w:eastAsia="en-US"/>
        </w:rPr>
        <w:t xml:space="preserve"> عن بالغ قلقه إزاء انتشار ثقافة الإفلات من العقاب على أفعال التعذيب في نيبال، ولا سيما التشديد على تعويض الضحايا كبديل عن فرض جزاءات جنائية على مرتكبي هذه الأفعال. وعلى الرغم من أن المسؤولين </w:t>
      </w:r>
      <w:r w:rsidRPr="001D3F00">
        <w:rPr>
          <w:rFonts w:hint="cs"/>
          <w:spacing w:val="0"/>
          <w:kern w:val="0"/>
          <w:sz w:val="20"/>
          <w:rtl/>
          <w:lang w:val="fr-CH" w:eastAsia="en-US"/>
        </w:rPr>
        <w:t xml:space="preserve">اعتبروا </w:t>
      </w:r>
      <w:r w:rsidRPr="001D3F00">
        <w:rPr>
          <w:spacing w:val="0"/>
          <w:kern w:val="0"/>
          <w:sz w:val="20"/>
          <w:rtl/>
          <w:lang w:val="fr-CH" w:eastAsia="en-US"/>
        </w:rPr>
        <w:t>قانون التعويض المتعلق بالتعذيب الصادر في عام</w:t>
      </w:r>
      <w:r w:rsidRPr="001D3F00">
        <w:rPr>
          <w:rFonts w:hint="cs"/>
          <w:spacing w:val="0"/>
          <w:kern w:val="0"/>
          <w:sz w:val="20"/>
          <w:rtl/>
          <w:lang w:val="fr-CH" w:eastAsia="en-US"/>
        </w:rPr>
        <w:t> </w:t>
      </w:r>
      <w:r w:rsidRPr="001D3F00">
        <w:rPr>
          <w:spacing w:val="0"/>
          <w:kern w:val="0"/>
          <w:sz w:val="20"/>
          <w:rtl/>
          <w:lang w:val="fr-CH" w:eastAsia="en-US"/>
        </w:rPr>
        <w:t>1996 تدبير</w:t>
      </w:r>
      <w:r w:rsidRPr="001D3F00">
        <w:rPr>
          <w:rFonts w:hint="cs"/>
          <w:spacing w:val="0"/>
          <w:kern w:val="0"/>
          <w:sz w:val="20"/>
          <w:rtl/>
          <w:lang w:val="fr-CH" w:eastAsia="en-US"/>
        </w:rPr>
        <w:t>اً</w:t>
      </w:r>
      <w:r w:rsidRPr="001D3F00">
        <w:rPr>
          <w:spacing w:val="0"/>
          <w:kern w:val="0"/>
          <w:sz w:val="20"/>
          <w:rtl/>
          <w:lang w:val="fr-CH" w:eastAsia="en-US"/>
        </w:rPr>
        <w:t xml:space="preserve"> مانع</w:t>
      </w:r>
      <w:r w:rsidRPr="001D3F00">
        <w:rPr>
          <w:rFonts w:hint="cs"/>
          <w:spacing w:val="0"/>
          <w:kern w:val="0"/>
          <w:sz w:val="20"/>
          <w:rtl/>
          <w:lang w:val="fr-CH" w:eastAsia="en-US"/>
        </w:rPr>
        <w:t>ا</w:t>
      </w:r>
      <w:r w:rsidRPr="001D3F00">
        <w:rPr>
          <w:spacing w:val="0"/>
          <w:kern w:val="0"/>
          <w:sz w:val="20"/>
          <w:rtl/>
          <w:lang w:val="fr-CH" w:eastAsia="en-US"/>
        </w:rPr>
        <w:t xml:space="preserve"> ورادع</w:t>
      </w:r>
      <w:r w:rsidRPr="001D3F00">
        <w:rPr>
          <w:rFonts w:hint="cs"/>
          <w:spacing w:val="0"/>
          <w:kern w:val="0"/>
          <w:sz w:val="20"/>
          <w:rtl/>
          <w:lang w:val="fr-CH" w:eastAsia="en-US"/>
        </w:rPr>
        <w:t>ا</w:t>
      </w:r>
      <w:r w:rsidRPr="001D3F00">
        <w:rPr>
          <w:spacing w:val="0"/>
          <w:kern w:val="0"/>
          <w:sz w:val="20"/>
          <w:rtl/>
          <w:lang w:val="fr-CH" w:eastAsia="en-US"/>
        </w:rPr>
        <w:t xml:space="preserve"> </w:t>
      </w:r>
      <w:r w:rsidRPr="001D3F00">
        <w:rPr>
          <w:rFonts w:hint="cs"/>
          <w:spacing w:val="0"/>
          <w:kern w:val="0"/>
          <w:sz w:val="20"/>
          <w:rtl/>
          <w:lang w:val="fr-CH" w:eastAsia="en-US"/>
        </w:rPr>
        <w:t xml:space="preserve">في مواجهة </w:t>
      </w:r>
      <w:r w:rsidRPr="001D3F00">
        <w:rPr>
          <w:spacing w:val="0"/>
          <w:kern w:val="0"/>
          <w:sz w:val="20"/>
          <w:rtl/>
          <w:lang w:val="fr-CH" w:eastAsia="en-US"/>
        </w:rPr>
        <w:t>ممارسة التعذيب، فإن المقرر الخاص أشار إلى أن القانون لا</w:t>
      </w:r>
      <w:r w:rsidRPr="001D3F00">
        <w:rPr>
          <w:rFonts w:hint="cs"/>
          <w:spacing w:val="0"/>
          <w:kern w:val="0"/>
          <w:sz w:val="20"/>
          <w:rtl/>
          <w:lang w:val="fr-CH" w:eastAsia="en-US"/>
        </w:rPr>
        <w:t> </w:t>
      </w:r>
      <w:r w:rsidRPr="001D3F00">
        <w:rPr>
          <w:spacing w:val="0"/>
          <w:kern w:val="0"/>
          <w:sz w:val="20"/>
          <w:rtl/>
          <w:lang w:val="fr-CH" w:eastAsia="en-US"/>
        </w:rPr>
        <w:t>يتضمن تعريفاً للتعذيب يتم</w:t>
      </w:r>
      <w:r w:rsidRPr="001D3F00">
        <w:rPr>
          <w:rFonts w:hint="cs"/>
          <w:spacing w:val="0"/>
          <w:kern w:val="0"/>
          <w:sz w:val="20"/>
          <w:rtl/>
          <w:lang w:val="fr-CH" w:eastAsia="en-US"/>
        </w:rPr>
        <w:t>ا</w:t>
      </w:r>
      <w:r w:rsidRPr="001D3F00">
        <w:rPr>
          <w:spacing w:val="0"/>
          <w:kern w:val="0"/>
          <w:sz w:val="20"/>
          <w:rtl/>
          <w:lang w:val="fr-CH" w:eastAsia="en-US"/>
        </w:rPr>
        <w:t>شى مع المادة 1 من الاتفاقية ولا يقدم سبل انتصاف فعالة</w:t>
      </w:r>
      <w:r w:rsidRPr="001D3F00">
        <w:rPr>
          <w:rFonts w:hint="cs"/>
          <w:spacing w:val="0"/>
          <w:kern w:val="0"/>
          <w:sz w:val="20"/>
          <w:rtl/>
          <w:lang w:val="fr-CH" w:eastAsia="en-US"/>
        </w:rPr>
        <w:t>؛</w:t>
      </w:r>
      <w:r w:rsidRPr="001D3F00">
        <w:rPr>
          <w:spacing w:val="0"/>
          <w:kern w:val="0"/>
          <w:sz w:val="20"/>
          <w:rtl/>
          <w:lang w:val="fr-CH" w:eastAsia="en-US"/>
        </w:rPr>
        <w:t xml:space="preserve"> ولا</w:t>
      </w:r>
      <w:r w:rsidRPr="001D3F00">
        <w:rPr>
          <w:rFonts w:hint="eastAsia"/>
          <w:spacing w:val="0"/>
          <w:kern w:val="0"/>
          <w:sz w:val="20"/>
          <w:rtl/>
          <w:lang w:val="fr-CH" w:eastAsia="en-US"/>
        </w:rPr>
        <w:t> </w:t>
      </w:r>
      <w:r w:rsidRPr="001D3F00">
        <w:rPr>
          <w:spacing w:val="0"/>
          <w:kern w:val="0"/>
          <w:sz w:val="20"/>
          <w:rtl/>
          <w:lang w:val="fr-CH" w:eastAsia="en-US"/>
        </w:rPr>
        <w:t xml:space="preserve">ينص القانون على تجريم التعذيب أو فرض عقوبة تتناسب مع خطورة فعل التعذيب. ويرى المقرر الخاص المعني بمسألة التعذيب أن </w:t>
      </w:r>
      <w:r w:rsidRPr="001D3F00">
        <w:rPr>
          <w:rFonts w:hint="cs"/>
          <w:spacing w:val="0"/>
          <w:kern w:val="0"/>
          <w:sz w:val="20"/>
          <w:rtl/>
          <w:lang w:val="fr-CH" w:eastAsia="en-US"/>
        </w:rPr>
        <w:t>المعاقبة ب</w:t>
      </w:r>
      <w:r w:rsidRPr="001D3F00">
        <w:rPr>
          <w:spacing w:val="0"/>
          <w:kern w:val="0"/>
          <w:sz w:val="20"/>
          <w:rtl/>
          <w:lang w:val="fr-CH" w:eastAsia="en-US"/>
        </w:rPr>
        <w:t xml:space="preserve">فرض "إجراءات إدارية" على مرتكبي أفعال التعذيب </w:t>
      </w:r>
      <w:r w:rsidRPr="001D3F00">
        <w:rPr>
          <w:rFonts w:hint="cs"/>
          <w:spacing w:val="0"/>
          <w:kern w:val="0"/>
          <w:sz w:val="20"/>
          <w:rtl/>
          <w:lang w:val="fr-CH" w:eastAsia="en-US"/>
        </w:rPr>
        <w:t>أمر غير مناسب نهائيا</w:t>
      </w:r>
      <w:r w:rsidR="000235D4">
        <w:rPr>
          <w:rFonts w:hint="cs"/>
          <w:spacing w:val="0"/>
          <w:kern w:val="0"/>
          <w:sz w:val="20"/>
          <w:rtl/>
          <w:lang w:val="fr-CH" w:eastAsia="en-US"/>
        </w:rPr>
        <w:t>ً</w:t>
      </w:r>
      <w:r w:rsidRPr="001D3F00">
        <w:rPr>
          <w:rFonts w:hint="cs"/>
          <w:spacing w:val="0"/>
          <w:kern w:val="0"/>
          <w:sz w:val="20"/>
          <w:rtl/>
          <w:lang w:val="fr-CH" w:eastAsia="en-US"/>
        </w:rPr>
        <w:t xml:space="preserve"> حيث إنه يجعل</w:t>
      </w:r>
      <w:r w:rsidRPr="001D3F00">
        <w:rPr>
          <w:spacing w:val="0"/>
          <w:kern w:val="0"/>
          <w:sz w:val="20"/>
          <w:rtl/>
          <w:lang w:val="fr-CH" w:eastAsia="en-US"/>
        </w:rPr>
        <w:t xml:space="preserve"> أي أثر مانع أو رادعٍ يتوخاه القانون</w:t>
      </w:r>
      <w:r w:rsidRPr="001D3F00">
        <w:rPr>
          <w:rFonts w:hint="cs"/>
          <w:spacing w:val="0"/>
          <w:kern w:val="0"/>
          <w:sz w:val="20"/>
          <w:rtl/>
          <w:lang w:val="fr-CH" w:eastAsia="en-US"/>
        </w:rPr>
        <w:t xml:space="preserve"> </w:t>
      </w:r>
      <w:r w:rsidRPr="001D3F00">
        <w:rPr>
          <w:rFonts w:hint="cs"/>
          <w:spacing w:val="-2"/>
          <w:kern w:val="0"/>
          <w:sz w:val="20"/>
          <w:rtl/>
          <w:lang w:val="fr-CH" w:eastAsia="en-US"/>
        </w:rPr>
        <w:t>بلا</w:t>
      </w:r>
      <w:r w:rsidRPr="001D3F00">
        <w:rPr>
          <w:rFonts w:hint="eastAsia"/>
          <w:spacing w:val="-2"/>
          <w:kern w:val="0"/>
          <w:sz w:val="20"/>
          <w:rtl/>
          <w:lang w:val="fr-CH" w:eastAsia="en-US"/>
        </w:rPr>
        <w:t> </w:t>
      </w:r>
      <w:r w:rsidRPr="001D3F00">
        <w:rPr>
          <w:rFonts w:hint="cs"/>
          <w:spacing w:val="-2"/>
          <w:kern w:val="0"/>
          <w:sz w:val="20"/>
          <w:rtl/>
          <w:lang w:val="fr-CH" w:eastAsia="en-US"/>
        </w:rPr>
        <w:t>معنى على أرض الواقع</w:t>
      </w:r>
      <w:r w:rsidRPr="001D3F00">
        <w:rPr>
          <w:spacing w:val="-2"/>
          <w:kern w:val="0"/>
          <w:sz w:val="20"/>
          <w:rtl/>
          <w:lang w:val="fr-CH" w:eastAsia="en-US"/>
        </w:rPr>
        <w:t xml:space="preserve">. وقد رأى المقرر الخاص أن التأثير الوحيد للقانون هو أنه </w:t>
      </w:r>
      <w:r w:rsidRPr="001D3F00">
        <w:rPr>
          <w:rFonts w:hint="cs"/>
          <w:spacing w:val="-2"/>
          <w:kern w:val="0"/>
          <w:sz w:val="20"/>
          <w:rtl/>
          <w:lang w:val="fr-CH" w:eastAsia="en-US"/>
        </w:rPr>
        <w:t xml:space="preserve">صد </w:t>
      </w:r>
      <w:r w:rsidRPr="001D3F00">
        <w:rPr>
          <w:spacing w:val="-2"/>
          <w:kern w:val="0"/>
          <w:sz w:val="20"/>
          <w:rtl/>
          <w:lang w:val="fr-CH" w:eastAsia="en-US"/>
        </w:rPr>
        <w:t xml:space="preserve">ضحايا التعذيب </w:t>
      </w:r>
      <w:r w:rsidRPr="001D3F00">
        <w:rPr>
          <w:rFonts w:hint="cs"/>
          <w:spacing w:val="-2"/>
          <w:kern w:val="0"/>
          <w:sz w:val="20"/>
          <w:rtl/>
          <w:lang w:val="fr-CH" w:eastAsia="en-US"/>
        </w:rPr>
        <w:t>وأثناهم فعلياً ع</w:t>
      </w:r>
      <w:r w:rsidRPr="001D3F00">
        <w:rPr>
          <w:spacing w:val="-2"/>
          <w:kern w:val="0"/>
          <w:sz w:val="20"/>
          <w:rtl/>
          <w:lang w:val="fr-CH" w:eastAsia="en-US"/>
        </w:rPr>
        <w:t xml:space="preserve">ن التماس العدالة </w:t>
      </w:r>
      <w:r w:rsidRPr="001D3F00">
        <w:rPr>
          <w:rFonts w:hint="cs"/>
          <w:spacing w:val="-2"/>
          <w:kern w:val="0"/>
          <w:sz w:val="20"/>
          <w:rtl/>
          <w:lang w:val="fr-CH" w:eastAsia="en-US"/>
        </w:rPr>
        <w:t xml:space="preserve">ونيلها </w:t>
      </w:r>
      <w:r w:rsidRPr="001D3F00">
        <w:rPr>
          <w:spacing w:val="-2"/>
          <w:kern w:val="0"/>
          <w:sz w:val="20"/>
          <w:rtl/>
          <w:lang w:val="fr-CH" w:eastAsia="en-US"/>
        </w:rPr>
        <w:t>في حالات التعذيب وسوء المعاملة</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104"/>
      </w:r>
      <w:r w:rsidRPr="001D3F00">
        <w:rPr>
          <w:spacing w:val="-2"/>
          <w:kern w:val="0"/>
          <w:sz w:val="20"/>
          <w:vertAlign w:val="superscript"/>
          <w:rtl/>
          <w:lang w:val="fr-CH" w:eastAsia="en-US"/>
        </w:rPr>
        <w:t>)</w:t>
      </w:r>
      <w:r w:rsidRPr="001D3F00">
        <w:rPr>
          <w:spacing w:val="-2"/>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81-</w:t>
      </w:r>
      <w:r w:rsidRPr="001D3F00">
        <w:rPr>
          <w:rFonts w:hint="cs"/>
          <w:spacing w:val="0"/>
          <w:kern w:val="0"/>
          <w:sz w:val="20"/>
          <w:rtl/>
          <w:lang w:val="fr-CH" w:eastAsia="en-US"/>
        </w:rPr>
        <w:tab/>
      </w:r>
      <w:r w:rsidRPr="001D3F00">
        <w:rPr>
          <w:spacing w:val="0"/>
          <w:kern w:val="0"/>
          <w:sz w:val="20"/>
          <w:rtl/>
          <w:lang w:val="fr-CH" w:eastAsia="en-US"/>
        </w:rPr>
        <w:t>وأشار تقرير المفوضة السامية لحقوق الإنسان لعام 2010</w:t>
      </w:r>
      <w:r w:rsidRPr="001D3F00">
        <w:rPr>
          <w:rFonts w:hint="cs"/>
          <w:spacing w:val="0"/>
          <w:kern w:val="0"/>
          <w:sz w:val="20"/>
          <w:rtl/>
          <w:lang w:val="fr-CH" w:eastAsia="en-US"/>
        </w:rPr>
        <w:t>،</w:t>
      </w:r>
      <w:r w:rsidRPr="001D3F00">
        <w:rPr>
          <w:spacing w:val="0"/>
          <w:kern w:val="0"/>
          <w:sz w:val="20"/>
          <w:rtl/>
          <w:lang w:val="fr-CH" w:eastAsia="en-US"/>
        </w:rPr>
        <w:t xml:space="preserve"> إلى أن الثغرات وأو</w:t>
      </w:r>
      <w:r w:rsidRPr="001D3F00">
        <w:rPr>
          <w:rFonts w:hint="cs"/>
          <w:spacing w:val="0"/>
          <w:kern w:val="0"/>
          <w:sz w:val="20"/>
          <w:rtl/>
          <w:lang w:val="fr-CH" w:eastAsia="en-US"/>
        </w:rPr>
        <w:t>جه </w:t>
      </w:r>
      <w:r w:rsidRPr="001D3F00">
        <w:rPr>
          <w:spacing w:val="0"/>
          <w:kern w:val="0"/>
          <w:sz w:val="20"/>
          <w:rtl/>
          <w:lang w:val="fr-CH" w:eastAsia="en-US"/>
        </w:rPr>
        <w:t xml:space="preserve">الغموض في الإطار القانوني النيبالي زادت </w:t>
      </w:r>
      <w:r w:rsidRPr="001D3F00">
        <w:rPr>
          <w:rFonts w:hint="cs"/>
          <w:spacing w:val="0"/>
          <w:kern w:val="0"/>
          <w:sz w:val="20"/>
          <w:rtl/>
          <w:lang w:val="fr-CH" w:eastAsia="en-US"/>
        </w:rPr>
        <w:t>من</w:t>
      </w:r>
      <w:r w:rsidRPr="001D3F00">
        <w:rPr>
          <w:spacing w:val="0"/>
          <w:kern w:val="0"/>
          <w:sz w:val="20"/>
          <w:rtl/>
          <w:lang w:val="fr-CH" w:eastAsia="en-US"/>
        </w:rPr>
        <w:t xml:space="preserve"> عرقلة </w:t>
      </w:r>
      <w:r w:rsidRPr="001D3F00">
        <w:rPr>
          <w:rFonts w:hint="cs"/>
          <w:spacing w:val="0"/>
          <w:kern w:val="0"/>
          <w:sz w:val="20"/>
          <w:rtl/>
          <w:lang w:val="fr-CH" w:eastAsia="en-US"/>
        </w:rPr>
        <w:t>ال</w:t>
      </w:r>
      <w:r w:rsidRPr="001D3F00">
        <w:rPr>
          <w:spacing w:val="0"/>
          <w:kern w:val="0"/>
          <w:sz w:val="20"/>
          <w:rtl/>
          <w:lang w:val="fr-CH" w:eastAsia="en-US"/>
        </w:rPr>
        <w:t xml:space="preserve">مقاضاة </w:t>
      </w:r>
      <w:r w:rsidRPr="001D3F00">
        <w:rPr>
          <w:rFonts w:hint="cs"/>
          <w:spacing w:val="0"/>
          <w:kern w:val="0"/>
          <w:sz w:val="20"/>
          <w:rtl/>
          <w:lang w:val="fr-CH" w:eastAsia="en-US"/>
        </w:rPr>
        <w:t xml:space="preserve">على </w:t>
      </w:r>
      <w:r w:rsidRPr="001D3F00">
        <w:rPr>
          <w:spacing w:val="0"/>
          <w:kern w:val="0"/>
          <w:sz w:val="20"/>
          <w:rtl/>
          <w:lang w:val="fr-CH" w:eastAsia="en-US"/>
        </w:rPr>
        <w:t xml:space="preserve">انتهاكات حقوق الإنسان </w:t>
      </w:r>
      <w:r w:rsidRPr="001D3F00">
        <w:rPr>
          <w:rFonts w:hint="cs"/>
          <w:spacing w:val="0"/>
          <w:kern w:val="0"/>
          <w:sz w:val="20"/>
          <w:rtl/>
          <w:lang w:val="fr-CH" w:eastAsia="en-US"/>
        </w:rPr>
        <w:t>أمام</w:t>
      </w:r>
      <w:r w:rsidRPr="001D3F00">
        <w:rPr>
          <w:spacing w:val="0"/>
          <w:kern w:val="0"/>
          <w:sz w:val="20"/>
          <w:rtl/>
          <w:lang w:val="fr-CH" w:eastAsia="en-US"/>
        </w:rPr>
        <w:t xml:space="preserve"> المحاكم النيبالية، ولا يجرّم التشريع النيبالي لا التعذيب ولا الاختفاء القسري، وهو ما</w:t>
      </w:r>
      <w:r w:rsidRPr="001D3F00">
        <w:rPr>
          <w:rFonts w:hint="cs"/>
          <w:spacing w:val="0"/>
          <w:kern w:val="0"/>
          <w:sz w:val="20"/>
          <w:rtl/>
          <w:lang w:val="fr-CH" w:eastAsia="en-US"/>
        </w:rPr>
        <w:t> </w:t>
      </w:r>
      <w:r w:rsidRPr="001D3F00">
        <w:rPr>
          <w:spacing w:val="0"/>
          <w:kern w:val="0"/>
          <w:sz w:val="20"/>
          <w:rtl/>
          <w:lang w:val="fr-CH" w:eastAsia="en-US"/>
        </w:rPr>
        <w:t xml:space="preserve">يضع عقبات إضافية في طريق الضحايا والأسر ممن يلتمسون المساءلة في نظام </w:t>
      </w:r>
      <w:r w:rsidRPr="001D3F00">
        <w:rPr>
          <w:rFonts w:hint="cs"/>
          <w:spacing w:val="0"/>
          <w:kern w:val="0"/>
          <w:sz w:val="20"/>
          <w:rtl/>
          <w:lang w:val="fr-CH" w:eastAsia="en-US"/>
        </w:rPr>
        <w:t>لل</w:t>
      </w:r>
      <w:r w:rsidRPr="001D3F00">
        <w:rPr>
          <w:spacing w:val="0"/>
          <w:kern w:val="0"/>
          <w:sz w:val="20"/>
          <w:rtl/>
          <w:lang w:val="fr-CH" w:eastAsia="en-US"/>
        </w:rPr>
        <w:t xml:space="preserve">عدالة </w:t>
      </w:r>
      <w:r w:rsidRPr="001D3F00">
        <w:rPr>
          <w:rFonts w:hint="cs"/>
          <w:spacing w:val="0"/>
          <w:kern w:val="0"/>
          <w:sz w:val="20"/>
          <w:rtl/>
          <w:lang w:val="fr-CH" w:eastAsia="en-US"/>
        </w:rPr>
        <w:t>ال</w:t>
      </w:r>
      <w:r w:rsidRPr="001D3F00">
        <w:rPr>
          <w:spacing w:val="0"/>
          <w:kern w:val="0"/>
          <w:sz w:val="20"/>
          <w:rtl/>
          <w:lang w:val="fr-CH" w:eastAsia="en-US"/>
        </w:rPr>
        <w:t>جنائية مختل بالفعل</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05"/>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keepNext/>
        <w:keepLines/>
        <w:tabs>
          <w:tab w:val="right" w:pos="1021"/>
        </w:tabs>
        <w:spacing w:before="120" w:after="120" w:line="380" w:lineRule="exact"/>
        <w:ind w:left="1247" w:right="1247" w:hanging="1247"/>
        <w:jc w:val="lowKashida"/>
        <w:rPr>
          <w:b/>
          <w:bCs/>
          <w:spacing w:val="0"/>
          <w:kern w:val="0"/>
          <w:sz w:val="20"/>
          <w:lang w:val="fr-CH"/>
        </w:rPr>
      </w:pPr>
      <w:r w:rsidRPr="001D3F00">
        <w:rPr>
          <w:rFonts w:hint="cs"/>
          <w:b/>
          <w:bCs/>
          <w:spacing w:val="0"/>
          <w:kern w:val="0"/>
          <w:sz w:val="20"/>
          <w:rtl/>
          <w:lang w:val="fr-CH"/>
        </w:rPr>
        <w:tab/>
      </w:r>
      <w:r w:rsidRPr="001D3F00">
        <w:rPr>
          <w:b/>
          <w:bCs/>
          <w:spacing w:val="0"/>
          <w:kern w:val="0"/>
          <w:sz w:val="20"/>
          <w:rtl/>
          <w:lang w:val="fr-CH"/>
        </w:rPr>
        <w:t>(ب)</w:t>
      </w:r>
      <w:r w:rsidRPr="001D3F00">
        <w:rPr>
          <w:rFonts w:hint="cs"/>
          <w:b/>
          <w:bCs/>
          <w:spacing w:val="0"/>
          <w:kern w:val="0"/>
          <w:sz w:val="20"/>
          <w:rtl/>
          <w:lang w:val="fr-CH"/>
        </w:rPr>
        <w:tab/>
      </w:r>
      <w:r w:rsidRPr="001D3F00">
        <w:rPr>
          <w:b/>
          <w:bCs/>
          <w:spacing w:val="0"/>
          <w:kern w:val="0"/>
          <w:sz w:val="20"/>
          <w:rtl/>
          <w:lang w:val="fr-CH"/>
        </w:rPr>
        <w:t>المنظمات غير الحكومية والمؤسسات الوطنية لحقوق الإنسان</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82-</w:t>
      </w:r>
      <w:r w:rsidRPr="001D3F00">
        <w:rPr>
          <w:rFonts w:hint="cs"/>
          <w:spacing w:val="0"/>
          <w:kern w:val="0"/>
          <w:sz w:val="20"/>
          <w:rtl/>
          <w:lang w:val="fr-CH" w:eastAsia="en-US"/>
        </w:rPr>
        <w:tab/>
      </w:r>
      <w:r w:rsidRPr="001D3F00">
        <w:rPr>
          <w:spacing w:val="0"/>
          <w:kern w:val="0"/>
          <w:sz w:val="20"/>
          <w:rtl/>
          <w:lang w:val="fr-CH" w:eastAsia="en-US"/>
        </w:rPr>
        <w:t xml:space="preserve">تتفق المنظمات غير الحكومية مع الرأي القائل إن الإفلات من العقاب على انتهاكات حقوق الإنسان لا يزال هو المعيار السائد في نيبال فيما يتعلق بانتهاكات حقوق الإنسان التي حدثت </w:t>
      </w:r>
      <w:r w:rsidRPr="001D3F00">
        <w:rPr>
          <w:rFonts w:hint="cs"/>
          <w:spacing w:val="0"/>
          <w:kern w:val="0"/>
          <w:sz w:val="20"/>
          <w:rtl/>
          <w:lang w:val="fr-CH" w:eastAsia="en-US"/>
        </w:rPr>
        <w:t xml:space="preserve">في الماضي </w:t>
      </w:r>
      <w:r w:rsidRPr="001D3F00">
        <w:rPr>
          <w:spacing w:val="0"/>
          <w:kern w:val="0"/>
          <w:sz w:val="20"/>
          <w:rtl/>
          <w:lang w:val="fr-CH" w:eastAsia="en-US"/>
        </w:rPr>
        <w:t>أثناء النزاع المسلح</w:t>
      </w:r>
      <w:r w:rsidRPr="001D3F00">
        <w:rPr>
          <w:rFonts w:hint="cs"/>
          <w:spacing w:val="0"/>
          <w:kern w:val="0"/>
          <w:sz w:val="20"/>
          <w:rtl/>
          <w:lang w:val="fr-CH" w:eastAsia="en-US"/>
        </w:rPr>
        <w:t>،</w:t>
      </w:r>
      <w:r w:rsidRPr="001D3F00">
        <w:rPr>
          <w:spacing w:val="0"/>
          <w:kern w:val="0"/>
          <w:sz w:val="20"/>
          <w:rtl/>
          <w:lang w:val="fr-CH" w:eastAsia="en-US"/>
        </w:rPr>
        <w:t xml:space="preserve"> والانتهاكات التي وقعت مؤخراً. وقد سلطت هذه المنظمات الضوء على </w:t>
      </w:r>
      <w:r w:rsidRPr="001D3F00">
        <w:rPr>
          <w:rFonts w:hint="cs"/>
          <w:spacing w:val="0"/>
          <w:kern w:val="0"/>
          <w:sz w:val="20"/>
          <w:rtl/>
          <w:lang w:val="fr-CH" w:eastAsia="en-US"/>
        </w:rPr>
        <w:t xml:space="preserve">تمكن </w:t>
      </w:r>
      <w:r w:rsidRPr="001D3F00">
        <w:rPr>
          <w:spacing w:val="0"/>
          <w:kern w:val="0"/>
          <w:sz w:val="20"/>
          <w:rtl/>
          <w:lang w:val="fr-CH" w:eastAsia="en-US"/>
        </w:rPr>
        <w:t>ضباط الشرطة وغيرهم من الموظفين الذين اتهموا مراراً وتكراراً ب</w:t>
      </w:r>
      <w:r w:rsidRPr="001D3F00">
        <w:rPr>
          <w:rFonts w:hint="cs"/>
          <w:spacing w:val="0"/>
          <w:kern w:val="0"/>
          <w:sz w:val="20"/>
          <w:rtl/>
          <w:lang w:val="fr-CH" w:eastAsia="en-US"/>
        </w:rPr>
        <w:t xml:space="preserve">ممارسة </w:t>
      </w:r>
      <w:r w:rsidRPr="001D3F00">
        <w:rPr>
          <w:spacing w:val="0"/>
          <w:kern w:val="0"/>
          <w:sz w:val="20"/>
          <w:rtl/>
          <w:lang w:val="fr-CH" w:eastAsia="en-US"/>
        </w:rPr>
        <w:t xml:space="preserve">التعذيب </w:t>
      </w:r>
      <w:r w:rsidRPr="001D3F00">
        <w:rPr>
          <w:rFonts w:hint="cs"/>
          <w:spacing w:val="0"/>
          <w:kern w:val="0"/>
          <w:sz w:val="20"/>
          <w:rtl/>
          <w:lang w:val="fr-CH" w:eastAsia="en-US"/>
        </w:rPr>
        <w:t xml:space="preserve">من </w:t>
      </w:r>
      <w:r w:rsidRPr="001D3F00">
        <w:rPr>
          <w:spacing w:val="0"/>
          <w:kern w:val="0"/>
          <w:sz w:val="20"/>
          <w:rtl/>
          <w:lang w:val="fr-CH" w:eastAsia="en-US"/>
        </w:rPr>
        <w:t>الإفلات من العقاب، وإخفاق أعضاء النيابة العامة والقضاة في إجراء تحقيقات بشأن ادعاءات التعذيب</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06"/>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7F4611">
      <w:pPr>
        <w:pStyle w:val="H4GA"/>
        <w:jc w:val="lowKashida"/>
        <w:rPr>
          <w:spacing w:val="0"/>
          <w:kern w:val="0"/>
          <w:lang w:eastAsia="en-US"/>
        </w:rPr>
      </w:pPr>
      <w:r w:rsidRPr="007F4611">
        <w:rPr>
          <w:rFonts w:hint="cs"/>
          <w:spacing w:val="0"/>
          <w:kern w:val="0"/>
          <w:rtl/>
          <w:lang w:eastAsia="en-US"/>
        </w:rPr>
        <w:tab/>
        <w:t>‘1‘</w:t>
      </w:r>
      <w:r w:rsidRPr="007F4611">
        <w:rPr>
          <w:rFonts w:hint="cs"/>
          <w:spacing w:val="0"/>
          <w:kern w:val="0"/>
          <w:rtl/>
          <w:lang w:eastAsia="en-US"/>
        </w:rPr>
        <w:tab/>
      </w:r>
      <w:r w:rsidRPr="007F4611">
        <w:rPr>
          <w:spacing w:val="0"/>
          <w:kern w:val="0"/>
          <w:rtl/>
          <w:lang w:eastAsia="en-US"/>
        </w:rPr>
        <w:t xml:space="preserve">عدم إجراء تحقيقات مناسبة في ادعاءات التعذيب </w:t>
      </w:r>
      <w:r w:rsidRPr="007F4611">
        <w:rPr>
          <w:rFonts w:hint="cs"/>
          <w:spacing w:val="0"/>
          <w:kern w:val="0"/>
          <w:rtl/>
          <w:lang w:eastAsia="en-US"/>
        </w:rPr>
        <w:t>وملاحقة</w:t>
      </w:r>
      <w:r w:rsidRPr="007F4611">
        <w:rPr>
          <w:spacing w:val="0"/>
          <w:kern w:val="0"/>
          <w:rtl/>
          <w:lang w:eastAsia="en-US"/>
        </w:rPr>
        <w:t xml:space="preserve"> المسؤولين عنه ومعاقبتهم</w:t>
      </w:r>
    </w:p>
    <w:p w:rsidR="001D3F00" w:rsidRPr="001D3F00" w:rsidRDefault="001D3F00" w:rsidP="003E7397">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83-</w:t>
      </w:r>
      <w:r w:rsidRPr="001D3F00">
        <w:rPr>
          <w:rFonts w:hint="cs"/>
          <w:spacing w:val="0"/>
          <w:kern w:val="0"/>
          <w:sz w:val="20"/>
          <w:rtl/>
          <w:lang w:val="fr-CH" w:eastAsia="en-US"/>
        </w:rPr>
        <w:tab/>
      </w:r>
      <w:r w:rsidRPr="001D3F00">
        <w:rPr>
          <w:spacing w:val="0"/>
          <w:kern w:val="0"/>
          <w:sz w:val="20"/>
          <w:rtl/>
          <w:lang w:val="fr-CH" w:eastAsia="en-US"/>
        </w:rPr>
        <w:t xml:space="preserve">تشير المنظمات غير الحكومية إلى أن ظاهرة الإفلات من العقاب لا تزال تعرقل </w:t>
      </w:r>
      <w:r w:rsidRPr="001D3F00">
        <w:rPr>
          <w:rFonts w:hint="cs"/>
          <w:spacing w:val="0"/>
          <w:kern w:val="0"/>
          <w:sz w:val="20"/>
          <w:rtl/>
          <w:lang w:val="fr-CH" w:eastAsia="en-US"/>
        </w:rPr>
        <w:t>سير</w:t>
      </w:r>
      <w:r w:rsidRPr="001D3F00">
        <w:rPr>
          <w:spacing w:val="0"/>
          <w:kern w:val="0"/>
          <w:sz w:val="20"/>
          <w:rtl/>
          <w:lang w:val="fr-CH" w:eastAsia="en-US"/>
        </w:rPr>
        <w:t xml:space="preserve"> العدالة فيما يخص الجرائم التي ارتكبت مؤخراً، كما هو الحال في قضية أمريتا سونار وديفيسارا سونار وشاندراكالا سونار اللواتي قتلن في 10 آذار/مارس 2010. وتدعي </w:t>
      </w:r>
      <w:r w:rsidRPr="001D3F00">
        <w:rPr>
          <w:rFonts w:hint="cs"/>
          <w:spacing w:val="0"/>
          <w:kern w:val="0"/>
          <w:sz w:val="20"/>
          <w:rtl/>
          <w:lang w:val="fr-CH" w:eastAsia="en-US"/>
        </w:rPr>
        <w:t>اثنتان</w:t>
      </w:r>
      <w:r w:rsidRPr="001D3F00">
        <w:rPr>
          <w:spacing w:val="0"/>
          <w:kern w:val="0"/>
          <w:sz w:val="20"/>
          <w:rtl/>
          <w:lang w:val="fr-CH" w:eastAsia="en-US"/>
        </w:rPr>
        <w:t xml:space="preserve"> من الناجيات أن </w:t>
      </w:r>
      <w:r w:rsidRPr="001D3F00">
        <w:rPr>
          <w:rFonts w:hint="cs"/>
          <w:spacing w:val="0"/>
          <w:kern w:val="0"/>
          <w:sz w:val="20"/>
          <w:rtl/>
          <w:lang w:val="fr-CH" w:eastAsia="en-US"/>
        </w:rPr>
        <w:t>هؤلاء</w:t>
      </w:r>
      <w:r w:rsidRPr="001D3F00">
        <w:rPr>
          <w:spacing w:val="0"/>
          <w:kern w:val="0"/>
          <w:sz w:val="20"/>
          <w:rtl/>
          <w:lang w:val="fr-CH" w:eastAsia="en-US"/>
        </w:rPr>
        <w:t xml:space="preserve"> النساء كن من</w:t>
      </w:r>
      <w:r w:rsidRPr="001D3F00">
        <w:rPr>
          <w:rFonts w:hint="cs"/>
          <w:spacing w:val="0"/>
          <w:kern w:val="0"/>
          <w:sz w:val="20"/>
          <w:rtl/>
          <w:lang w:val="fr-CH" w:eastAsia="en-US"/>
        </w:rPr>
        <w:t>تميات</w:t>
      </w:r>
      <w:r w:rsidRPr="001D3F00">
        <w:rPr>
          <w:spacing w:val="0"/>
          <w:kern w:val="0"/>
          <w:sz w:val="20"/>
          <w:rtl/>
          <w:lang w:val="fr-CH" w:eastAsia="en-US"/>
        </w:rPr>
        <w:t xml:space="preserve"> </w:t>
      </w:r>
      <w:r w:rsidRPr="001D3F00">
        <w:rPr>
          <w:rFonts w:hint="cs"/>
          <w:spacing w:val="0"/>
          <w:kern w:val="0"/>
          <w:sz w:val="20"/>
          <w:rtl/>
          <w:lang w:val="fr-CH" w:eastAsia="en-US"/>
        </w:rPr>
        <w:t>إلى</w:t>
      </w:r>
      <w:r w:rsidRPr="001D3F00">
        <w:rPr>
          <w:spacing w:val="0"/>
          <w:kern w:val="0"/>
          <w:sz w:val="20"/>
          <w:rtl/>
          <w:lang w:val="fr-CH" w:eastAsia="en-US"/>
        </w:rPr>
        <w:t xml:space="preserve"> جماعة غير مسلحة من القرويين الذين كانوا يجمعون الكاولو (لحاء الأشجار الطبي) عندما قام نحو 17 فرداً من أفراد الجيش بتطويقه</w:t>
      </w:r>
      <w:r w:rsidRPr="001D3F00">
        <w:rPr>
          <w:rFonts w:hint="cs"/>
          <w:spacing w:val="0"/>
          <w:kern w:val="0"/>
          <w:sz w:val="20"/>
          <w:rtl/>
          <w:lang w:val="fr-CH" w:eastAsia="en-US"/>
        </w:rPr>
        <w:t>ن</w:t>
      </w:r>
      <w:r w:rsidRPr="001D3F00">
        <w:rPr>
          <w:spacing w:val="0"/>
          <w:kern w:val="0"/>
          <w:sz w:val="20"/>
          <w:rtl/>
          <w:lang w:val="fr-CH" w:eastAsia="en-US"/>
        </w:rPr>
        <w:t xml:space="preserve"> وأطلقوا النيران عليه</w:t>
      </w:r>
      <w:r w:rsidRPr="001D3F00">
        <w:rPr>
          <w:rFonts w:hint="cs"/>
          <w:spacing w:val="0"/>
          <w:kern w:val="0"/>
          <w:sz w:val="20"/>
          <w:rtl/>
          <w:lang w:val="fr-CH" w:eastAsia="en-US"/>
        </w:rPr>
        <w:t>ن</w:t>
      </w:r>
      <w:r w:rsidRPr="001D3F00">
        <w:rPr>
          <w:spacing w:val="0"/>
          <w:kern w:val="0"/>
          <w:sz w:val="20"/>
          <w:rtl/>
          <w:lang w:val="fr-CH" w:eastAsia="en-US"/>
        </w:rPr>
        <w:t xml:space="preserve"> مما أدى إلى مقتل الضحايا الثلاث. ويدعي الجيش النيبالي أن الضحايا الثلاث قد قتل</w:t>
      </w:r>
      <w:r w:rsidRPr="001D3F00">
        <w:rPr>
          <w:rFonts w:hint="cs"/>
          <w:spacing w:val="0"/>
          <w:kern w:val="0"/>
          <w:sz w:val="20"/>
          <w:rtl/>
          <w:lang w:val="fr-CH" w:eastAsia="en-US"/>
        </w:rPr>
        <w:t>ن</w:t>
      </w:r>
      <w:r w:rsidRPr="001D3F00">
        <w:rPr>
          <w:spacing w:val="0"/>
          <w:kern w:val="0"/>
          <w:sz w:val="20"/>
          <w:rtl/>
          <w:lang w:val="fr-CH" w:eastAsia="en-US"/>
        </w:rPr>
        <w:t xml:space="preserve"> أثناء تبادل إطلاق النار مع صيادين مسلحين </w:t>
      </w:r>
      <w:r w:rsidRPr="001D3F00">
        <w:rPr>
          <w:rFonts w:hint="cs"/>
          <w:spacing w:val="0"/>
          <w:kern w:val="0"/>
          <w:sz w:val="20"/>
          <w:rtl/>
          <w:lang w:val="fr-CH" w:eastAsia="en-US"/>
        </w:rPr>
        <w:t>بدون ترخيص</w:t>
      </w:r>
      <w:r w:rsidRPr="001D3F00">
        <w:rPr>
          <w:spacing w:val="0"/>
          <w:kern w:val="0"/>
          <w:sz w:val="20"/>
          <w:rtl/>
          <w:lang w:val="fr-CH" w:eastAsia="en-US"/>
        </w:rPr>
        <w:t>. وأجرى محفل الدفاع ومركز خدمات القطاع غير النظامي تحقيقاتهما الخاصة لدعم أقارب الضحايا. وفي</w:t>
      </w:r>
      <w:r w:rsidRPr="001D3F00">
        <w:rPr>
          <w:rFonts w:hint="cs"/>
          <w:spacing w:val="0"/>
          <w:kern w:val="0"/>
          <w:sz w:val="20"/>
          <w:rtl/>
          <w:lang w:val="fr-CH" w:eastAsia="en-US"/>
        </w:rPr>
        <w:t> </w:t>
      </w:r>
      <w:r w:rsidRPr="001D3F00">
        <w:rPr>
          <w:spacing w:val="0"/>
          <w:kern w:val="0"/>
          <w:sz w:val="20"/>
          <w:rtl/>
          <w:lang w:val="fr-CH" w:eastAsia="en-US"/>
        </w:rPr>
        <w:t xml:space="preserve">12 آذار/مارس 2010، توجهت شرطة بارديا إلى مكان الجريمة للتحقيق. وقد ذهبت جهودهما أدراج الرياح، وتعود أسباب ذلك جزئياً إلى عدم رغبة الجيش في التعاون. وفي 25 آذار/مارس 2010، تمكن أحد أقارب الضحايا من جعل الشرطة تسجل بلاغاً أولياً ضد 17 من أفراد الجيش وأربعة </w:t>
      </w:r>
      <w:r w:rsidRPr="001D3F00">
        <w:rPr>
          <w:rFonts w:hint="cs"/>
          <w:spacing w:val="0"/>
          <w:kern w:val="0"/>
          <w:sz w:val="20"/>
          <w:rtl/>
          <w:lang w:val="fr-CH" w:eastAsia="en-US"/>
        </w:rPr>
        <w:t xml:space="preserve">من </w:t>
      </w:r>
      <w:r w:rsidRPr="001D3F00">
        <w:rPr>
          <w:spacing w:val="0"/>
          <w:kern w:val="0"/>
          <w:sz w:val="20"/>
          <w:rtl/>
          <w:lang w:val="fr-CH" w:eastAsia="en-US"/>
        </w:rPr>
        <w:t xml:space="preserve">مسؤولي </w:t>
      </w:r>
      <w:r w:rsidRPr="001D3F00">
        <w:rPr>
          <w:rFonts w:hint="cs"/>
          <w:spacing w:val="0"/>
          <w:kern w:val="0"/>
          <w:sz w:val="20"/>
          <w:rtl/>
          <w:lang w:val="fr-CH" w:eastAsia="en-US"/>
        </w:rPr>
        <w:t>الغابات</w:t>
      </w:r>
      <w:r w:rsidRPr="001D3F00">
        <w:rPr>
          <w:spacing w:val="0"/>
          <w:kern w:val="0"/>
          <w:sz w:val="20"/>
          <w:rtl/>
          <w:lang w:val="fr-CH" w:eastAsia="en-US"/>
        </w:rPr>
        <w:t>. ووفقاً لما ذكرته أسر الضحايا، فإن عناصر من الجيش هددوها وأجبروها على التوقيع على اتفاق يقضي بسحب البلاغ الأولي مقابل</w:t>
      </w:r>
      <w:r w:rsidRPr="001D3F00">
        <w:rPr>
          <w:rFonts w:hint="cs"/>
          <w:spacing w:val="0"/>
          <w:kern w:val="0"/>
          <w:sz w:val="20"/>
          <w:rtl/>
          <w:lang w:val="fr-CH" w:eastAsia="en-US"/>
        </w:rPr>
        <w:t> </w:t>
      </w:r>
      <w:r w:rsidRPr="001D3F00">
        <w:rPr>
          <w:spacing w:val="0"/>
          <w:kern w:val="0"/>
          <w:sz w:val="20"/>
          <w:rtl/>
          <w:lang w:val="fr-CH" w:eastAsia="en-US"/>
        </w:rPr>
        <w:t>000</w:t>
      </w:r>
      <w:r w:rsidRPr="001D3F00">
        <w:rPr>
          <w:rFonts w:hint="cs"/>
          <w:spacing w:val="0"/>
          <w:kern w:val="0"/>
          <w:sz w:val="20"/>
          <w:rtl/>
          <w:lang w:val="fr-CH" w:eastAsia="en-US"/>
        </w:rPr>
        <w:t> </w:t>
      </w:r>
      <w:r w:rsidRPr="001D3F00">
        <w:rPr>
          <w:spacing w:val="0"/>
          <w:kern w:val="0"/>
          <w:sz w:val="20"/>
          <w:rtl/>
          <w:lang w:val="fr-CH" w:eastAsia="en-US"/>
        </w:rPr>
        <w:t>25 روبية</w:t>
      </w:r>
      <w:r w:rsidRPr="001D3F00">
        <w:rPr>
          <w:rFonts w:hint="cs"/>
          <w:spacing w:val="0"/>
          <w:kern w:val="0"/>
          <w:sz w:val="20"/>
          <w:rtl/>
          <w:lang w:val="fr-CH" w:eastAsia="en-US"/>
        </w:rPr>
        <w:t xml:space="preserve"> </w:t>
      </w:r>
      <w:r w:rsidRPr="001D3F00">
        <w:rPr>
          <w:spacing w:val="0"/>
          <w:kern w:val="0"/>
          <w:sz w:val="20"/>
          <w:rtl/>
          <w:lang w:val="fr-CH" w:eastAsia="en-US"/>
        </w:rPr>
        <w:t>(340 دولاراً من دولارات الولايات المتحدة)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07"/>
      </w:r>
      <w:r w:rsidRPr="001D3F00">
        <w:rPr>
          <w:spacing w:val="0"/>
          <w:kern w:val="0"/>
          <w:sz w:val="20"/>
          <w:vertAlign w:val="superscript"/>
          <w:rtl/>
          <w:lang w:val="fr-CH" w:eastAsia="en-US"/>
        </w:rPr>
        <w:t>)</w:t>
      </w:r>
      <w:r w:rsidRPr="001D3F00">
        <w:rPr>
          <w:spacing w:val="0"/>
          <w:kern w:val="0"/>
          <w:sz w:val="20"/>
          <w:rtl/>
          <w:lang w:val="fr-CH" w:eastAsia="en-US"/>
        </w:rPr>
        <w:t>. وفي 17 آذار/</w:t>
      </w:r>
      <w:r w:rsidR="003E7397">
        <w:rPr>
          <w:rFonts w:hint="cs"/>
          <w:spacing w:val="0"/>
          <w:kern w:val="0"/>
          <w:sz w:val="20"/>
          <w:rtl/>
          <w:lang w:val="fr-CH" w:eastAsia="en-US"/>
        </w:rPr>
        <w:t xml:space="preserve">  </w:t>
      </w:r>
      <w:r w:rsidRPr="001D3F00">
        <w:rPr>
          <w:spacing w:val="0"/>
          <w:kern w:val="0"/>
          <w:sz w:val="20"/>
          <w:rtl/>
          <w:lang w:val="fr-CH" w:eastAsia="en-US"/>
        </w:rPr>
        <w:t>مارس 2010، أُنشئت لجنة تحقيق برئاسة مساعد المدعي العام للنظر في الحادث. وقدمت اللجنة تقريرها إلى الحكومة في 19 نيسان/أبريل 2010. وشكلت الحكومة فيما</w:t>
      </w:r>
      <w:r w:rsidRPr="001D3F00">
        <w:rPr>
          <w:rFonts w:hint="cs"/>
          <w:spacing w:val="0"/>
          <w:kern w:val="0"/>
          <w:sz w:val="20"/>
          <w:rtl/>
          <w:lang w:val="fr-CH" w:eastAsia="en-US"/>
        </w:rPr>
        <w:t> </w:t>
      </w:r>
      <w:r w:rsidRPr="001D3F00">
        <w:rPr>
          <w:spacing w:val="0"/>
          <w:kern w:val="0"/>
          <w:sz w:val="20"/>
          <w:rtl/>
          <w:lang w:val="fr-CH" w:eastAsia="en-US"/>
        </w:rPr>
        <w:t xml:space="preserve">بعد لجنة وزارية لدراسة ما خلصت إليه من نتائج. ولم تُعلن النتائج إلى الآن، ولم يُتخذ أي إجراء </w:t>
      </w:r>
      <w:r w:rsidRPr="001D3F00">
        <w:rPr>
          <w:rFonts w:hint="cs"/>
          <w:spacing w:val="0"/>
          <w:kern w:val="0"/>
          <w:sz w:val="20"/>
          <w:rtl/>
          <w:lang w:val="fr-CH" w:eastAsia="en-US"/>
        </w:rPr>
        <w:t>ب</w:t>
      </w:r>
      <w:r w:rsidRPr="001D3F00">
        <w:rPr>
          <w:spacing w:val="0"/>
          <w:kern w:val="0"/>
          <w:sz w:val="20"/>
          <w:rtl/>
          <w:lang w:val="fr-CH" w:eastAsia="en-US"/>
        </w:rPr>
        <w:t>هذا</w:t>
      </w:r>
      <w:r w:rsidR="003E7397">
        <w:rPr>
          <w:rFonts w:hint="cs"/>
          <w:spacing w:val="0"/>
          <w:kern w:val="0"/>
          <w:sz w:val="20"/>
          <w:rtl/>
          <w:lang w:val="fr-CH" w:eastAsia="en-US"/>
        </w:rPr>
        <w:t> </w:t>
      </w:r>
      <w:r w:rsidRPr="001D3F00">
        <w:rPr>
          <w:spacing w:val="0"/>
          <w:kern w:val="0"/>
          <w:sz w:val="20"/>
          <w:rtl/>
          <w:lang w:val="fr-CH" w:eastAsia="en-US"/>
        </w:rPr>
        <w:t>الشأن</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08"/>
      </w:r>
      <w:r w:rsidRPr="001D3F00">
        <w:rPr>
          <w:spacing w:val="0"/>
          <w:kern w:val="0"/>
          <w:sz w:val="20"/>
          <w:vertAlign w:val="superscript"/>
          <w:rtl/>
          <w:lang w:val="fr-CH" w:eastAsia="en-US"/>
        </w:rPr>
        <w:t>)</w:t>
      </w:r>
      <w:r w:rsidRPr="001D3F00">
        <w:rPr>
          <w:spacing w:val="0"/>
          <w:kern w:val="0"/>
          <w:sz w:val="20"/>
          <w:rtl/>
          <w:lang w:val="fr-CH"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84-</w:t>
      </w:r>
      <w:r w:rsidRPr="001D3F00">
        <w:rPr>
          <w:rFonts w:hint="cs"/>
          <w:spacing w:val="0"/>
          <w:kern w:val="0"/>
          <w:sz w:val="20"/>
          <w:rtl/>
          <w:lang w:val="fr-CH" w:eastAsia="en-US"/>
        </w:rPr>
        <w:tab/>
      </w:r>
      <w:r w:rsidRPr="001D3F00">
        <w:rPr>
          <w:spacing w:val="0"/>
          <w:kern w:val="0"/>
          <w:sz w:val="20"/>
          <w:rtl/>
          <w:lang w:val="fr-CH" w:eastAsia="en-US"/>
        </w:rPr>
        <w:t>وأثارت منظمات غير حكومية أيضاً قضية دهارميندرا باراي الذي تُوفي في 4 تموز/يوليه 2010</w:t>
      </w:r>
      <w:r w:rsidRPr="001D3F00">
        <w:rPr>
          <w:rFonts w:hint="cs"/>
          <w:spacing w:val="0"/>
          <w:kern w:val="0"/>
          <w:sz w:val="20"/>
          <w:rtl/>
          <w:lang w:val="fr-CH" w:eastAsia="en-US"/>
        </w:rPr>
        <w:t>،</w:t>
      </w:r>
      <w:r w:rsidRPr="001D3F00">
        <w:rPr>
          <w:spacing w:val="0"/>
          <w:kern w:val="0"/>
          <w:sz w:val="20"/>
          <w:rtl/>
          <w:lang w:val="fr-CH" w:eastAsia="en-US"/>
        </w:rPr>
        <w:t xml:space="preserve"> بعد تعرضه للتعذيب أثناء احتجازه لدى الشرطة على حد م</w:t>
      </w:r>
      <w:r w:rsidRPr="001D3F00">
        <w:rPr>
          <w:rFonts w:hint="cs"/>
          <w:spacing w:val="0"/>
          <w:kern w:val="0"/>
          <w:sz w:val="20"/>
          <w:rtl/>
          <w:lang w:val="fr-CH" w:eastAsia="en-US"/>
        </w:rPr>
        <w:t>ا ز</w:t>
      </w:r>
      <w:r w:rsidRPr="001D3F00">
        <w:rPr>
          <w:spacing w:val="0"/>
          <w:kern w:val="0"/>
          <w:sz w:val="20"/>
          <w:rtl/>
          <w:lang w:val="fr-CH" w:eastAsia="en-US"/>
        </w:rPr>
        <w:t>عم. و</w:t>
      </w:r>
      <w:r w:rsidRPr="001D3F00">
        <w:rPr>
          <w:rFonts w:hint="cs"/>
          <w:spacing w:val="0"/>
          <w:kern w:val="0"/>
          <w:sz w:val="20"/>
          <w:rtl/>
          <w:lang w:val="fr-CH" w:eastAsia="en-US"/>
        </w:rPr>
        <w:t>أجرت</w:t>
      </w:r>
      <w:r w:rsidRPr="001D3F00">
        <w:rPr>
          <w:spacing w:val="0"/>
          <w:kern w:val="0"/>
          <w:sz w:val="20"/>
          <w:rtl/>
          <w:lang w:val="fr-CH" w:eastAsia="en-US"/>
        </w:rPr>
        <w:t xml:space="preserve"> السلطات الحكومية الوطنية والمحلية تحقيقات رداً على احتجاج المجتمع المدني في أعقاب موته. وفي 18 تموز/يوليه 2010، أنشأت وزارة الداخلية فريق تحقيق قام بزيارة المكان الذي تعرض فيه للتعذيب كما زعم. بيد أن الفريق لم ينشر حتى تشرين الثاني/</w:t>
      </w:r>
      <w:r w:rsidRPr="001D3F00">
        <w:rPr>
          <w:rFonts w:hint="cs"/>
          <w:spacing w:val="0"/>
          <w:kern w:val="0"/>
          <w:sz w:val="20"/>
          <w:rtl/>
          <w:lang w:val="fr-CH" w:eastAsia="en-US"/>
        </w:rPr>
        <w:t xml:space="preserve"> </w:t>
      </w:r>
      <w:r w:rsidRPr="001D3F00">
        <w:rPr>
          <w:spacing w:val="0"/>
          <w:kern w:val="0"/>
          <w:sz w:val="20"/>
          <w:rtl/>
          <w:lang w:val="fr-CH" w:eastAsia="en-US"/>
        </w:rPr>
        <w:t>نوفمبر</w:t>
      </w:r>
      <w:r w:rsidRPr="001D3F00">
        <w:rPr>
          <w:rFonts w:hint="cs"/>
          <w:spacing w:val="0"/>
          <w:kern w:val="0"/>
          <w:sz w:val="20"/>
          <w:rtl/>
          <w:lang w:val="fr-CH" w:eastAsia="en-US"/>
        </w:rPr>
        <w:t> </w:t>
      </w:r>
      <w:r w:rsidRPr="001D3F00">
        <w:rPr>
          <w:spacing w:val="0"/>
          <w:kern w:val="0"/>
          <w:sz w:val="20"/>
          <w:rtl/>
          <w:lang w:val="fr-CH" w:eastAsia="en-US"/>
        </w:rPr>
        <w:t xml:space="preserve">2010 أي تقرير عن ذلك. وفي 3 آب/أغسطس 2010، كشف فريق تحقيق آخر أنشأته إدارة المقاطعة عن تقريره للجمهور. وخلص التقرير إلى أن أسباب </w:t>
      </w:r>
      <w:r w:rsidRPr="001D3F00">
        <w:rPr>
          <w:rFonts w:hint="cs"/>
          <w:spacing w:val="0"/>
          <w:kern w:val="0"/>
          <w:sz w:val="20"/>
          <w:rtl/>
          <w:lang w:val="fr-CH" w:eastAsia="en-US"/>
        </w:rPr>
        <w:t>الوفاة</w:t>
      </w:r>
      <w:r w:rsidRPr="001D3F00">
        <w:rPr>
          <w:spacing w:val="0"/>
          <w:kern w:val="0"/>
          <w:sz w:val="20"/>
          <w:rtl/>
          <w:lang w:val="fr-CH" w:eastAsia="en-US"/>
        </w:rPr>
        <w:t xml:space="preserve"> غير معروفة وأنه لا توجد أدلة كافية تثبت أن التعذيب هو الذي سبب </w:t>
      </w:r>
      <w:r w:rsidRPr="001D3F00">
        <w:rPr>
          <w:rFonts w:hint="cs"/>
          <w:spacing w:val="0"/>
          <w:kern w:val="0"/>
          <w:sz w:val="20"/>
          <w:rtl/>
          <w:lang w:val="fr-CH" w:eastAsia="en-US"/>
        </w:rPr>
        <w:t>الوفاة</w:t>
      </w:r>
      <w:r w:rsidRPr="001D3F00">
        <w:rPr>
          <w:spacing w:val="0"/>
          <w:kern w:val="0"/>
          <w:sz w:val="20"/>
          <w:rtl/>
          <w:lang w:val="fr-CH" w:eastAsia="en-US"/>
        </w:rPr>
        <w:t>. وجاء في التقرير أن الشرطة لم تُخضع دهارميندرا لفحص طبي ساعة اعتقاله، ولم تبلغ السلطات العليا باعتقاله. وأوصى التقرير الحكومة بتقديم تعويض إلى أسرة الضحية. ولم تدفع الحكومة سوى مبلغ</w:t>
      </w:r>
      <w:r w:rsidRPr="001D3F00">
        <w:rPr>
          <w:rFonts w:hint="cs"/>
          <w:spacing w:val="0"/>
          <w:kern w:val="0"/>
          <w:sz w:val="20"/>
          <w:rtl/>
          <w:lang w:val="fr-CH" w:eastAsia="en-US"/>
        </w:rPr>
        <w:t> </w:t>
      </w:r>
      <w:r w:rsidRPr="001D3F00">
        <w:rPr>
          <w:spacing w:val="0"/>
          <w:kern w:val="0"/>
          <w:sz w:val="20"/>
          <w:rtl/>
          <w:lang w:val="fr-CH" w:eastAsia="en-US"/>
        </w:rPr>
        <w:t>000</w:t>
      </w:r>
      <w:r w:rsidRPr="001D3F00">
        <w:rPr>
          <w:rFonts w:hint="cs"/>
          <w:spacing w:val="0"/>
          <w:kern w:val="0"/>
          <w:sz w:val="20"/>
          <w:rtl/>
          <w:lang w:val="fr-CH" w:eastAsia="en-US"/>
        </w:rPr>
        <w:t> </w:t>
      </w:r>
      <w:r w:rsidRPr="001D3F00">
        <w:rPr>
          <w:spacing w:val="0"/>
          <w:kern w:val="0"/>
          <w:sz w:val="20"/>
          <w:rtl/>
          <w:lang w:val="fr-CH" w:eastAsia="en-US"/>
        </w:rPr>
        <w:t>20 روبية لتغطية تكاليف مراسم الدفن. ولا تزال القضية معلقة في المحكمة ولم</w:t>
      </w:r>
      <w:r w:rsidRPr="001D3F00">
        <w:rPr>
          <w:rFonts w:hint="cs"/>
          <w:spacing w:val="0"/>
          <w:kern w:val="0"/>
          <w:sz w:val="20"/>
          <w:rtl/>
          <w:lang w:val="fr-CH" w:eastAsia="en-US"/>
        </w:rPr>
        <w:t> </w:t>
      </w:r>
      <w:r w:rsidRPr="001D3F00">
        <w:rPr>
          <w:spacing w:val="0"/>
          <w:kern w:val="0"/>
          <w:sz w:val="20"/>
          <w:rtl/>
          <w:lang w:val="fr-CH" w:eastAsia="en-US"/>
        </w:rPr>
        <w:t>يتخذ أي إجراء تأديبي. وفي 22 آب/أغسطس 2010، حاول والد الضحية تسجيل بلاغ بذلك لكن الشرطة رفضت تسجيل البلاغ مبينة أنه</w:t>
      </w:r>
      <w:r w:rsidRPr="001D3F00">
        <w:rPr>
          <w:rFonts w:hint="cs"/>
          <w:spacing w:val="0"/>
          <w:kern w:val="0"/>
          <w:sz w:val="20"/>
          <w:rtl/>
          <w:lang w:val="fr-CH" w:eastAsia="en-US"/>
        </w:rPr>
        <w:t xml:space="preserve"> قد سبق له</w:t>
      </w:r>
      <w:r w:rsidRPr="001D3F00">
        <w:rPr>
          <w:spacing w:val="0"/>
          <w:kern w:val="0"/>
          <w:sz w:val="20"/>
          <w:rtl/>
          <w:lang w:val="fr-CH" w:eastAsia="en-US"/>
        </w:rPr>
        <w:t xml:space="preserve">ا </w:t>
      </w:r>
      <w:r w:rsidRPr="001D3F00">
        <w:rPr>
          <w:rFonts w:hint="cs"/>
          <w:spacing w:val="0"/>
          <w:kern w:val="0"/>
          <w:sz w:val="20"/>
          <w:rtl/>
          <w:lang w:val="fr-CH" w:eastAsia="en-US"/>
        </w:rPr>
        <w:t xml:space="preserve">أن </w:t>
      </w:r>
      <w:r w:rsidRPr="001D3F00">
        <w:rPr>
          <w:spacing w:val="0"/>
          <w:kern w:val="0"/>
          <w:sz w:val="20"/>
          <w:rtl/>
          <w:lang w:val="fr-CH" w:eastAsia="en-US"/>
        </w:rPr>
        <w:t>سجلت بلاغاً بذلك وأن التحقيقات جارية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09"/>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85-</w:t>
      </w:r>
      <w:r w:rsidRPr="001D3F00">
        <w:rPr>
          <w:rFonts w:hint="cs"/>
          <w:spacing w:val="0"/>
          <w:kern w:val="0"/>
          <w:sz w:val="20"/>
          <w:rtl/>
          <w:lang w:val="fr-CH" w:eastAsia="en-US"/>
        </w:rPr>
        <w:tab/>
      </w:r>
      <w:r w:rsidRPr="001D3F00">
        <w:rPr>
          <w:spacing w:val="0"/>
          <w:kern w:val="0"/>
          <w:sz w:val="20"/>
          <w:rtl/>
          <w:lang w:val="fr-CH" w:eastAsia="en-US"/>
        </w:rPr>
        <w:t>وأشار محفل الدفاع إلى أنه قلما ترفع دعاوى من الناحية العملية ضد المتهمين بأفعال التعذيب لأنه لا توجد آلية محايدة لتلقي الشكاوى المتعلقة بالتعذيب والتحقيق فيها، ولأن الشرطة هي السلطة المكلفة بتلقي تلك الشكاوى</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10"/>
      </w:r>
      <w:r w:rsidRPr="001D3F00">
        <w:rPr>
          <w:spacing w:val="0"/>
          <w:kern w:val="0"/>
          <w:sz w:val="20"/>
          <w:vertAlign w:val="superscript"/>
          <w:rtl/>
          <w:lang w:val="fr-CH" w:eastAsia="en-US"/>
        </w:rPr>
        <w:t>)</w:t>
      </w:r>
      <w:r w:rsidRPr="001D3F00">
        <w:rPr>
          <w:spacing w:val="0"/>
          <w:kern w:val="0"/>
          <w:sz w:val="20"/>
          <w:rtl/>
          <w:lang w:val="fr-CH" w:eastAsia="en-US"/>
        </w:rPr>
        <w:t xml:space="preserve">. وحتى عندما تصل الشكاوى إلى الشرطة فإنها ترفض بصورة روتينية أن تقبلها من أقارب الضحايا وأن تسجل البلاغات الأولية. وعندما تسجل البلاغات، فإن أفراد الشرطة </w:t>
      </w:r>
      <w:r w:rsidRPr="001D3F00">
        <w:rPr>
          <w:rFonts w:hint="cs"/>
          <w:spacing w:val="0"/>
          <w:kern w:val="0"/>
          <w:sz w:val="20"/>
          <w:rtl/>
          <w:lang w:val="fr-CH" w:eastAsia="en-US"/>
        </w:rPr>
        <w:t>ووكلاء</w:t>
      </w:r>
      <w:r w:rsidRPr="001D3F00">
        <w:rPr>
          <w:spacing w:val="0"/>
          <w:kern w:val="0"/>
          <w:sz w:val="20"/>
          <w:rtl/>
          <w:lang w:val="fr-CH" w:eastAsia="en-US"/>
        </w:rPr>
        <w:t xml:space="preserve"> النيابة يماطلون بصورة روتينية في إجراء </w:t>
      </w:r>
      <w:r w:rsidRPr="001D3F00">
        <w:rPr>
          <w:rFonts w:hint="cs"/>
          <w:spacing w:val="0"/>
          <w:kern w:val="0"/>
          <w:sz w:val="20"/>
          <w:rtl/>
          <w:lang w:val="fr-CH" w:eastAsia="en-US"/>
        </w:rPr>
        <w:t>ال</w:t>
      </w:r>
      <w:r w:rsidRPr="001D3F00">
        <w:rPr>
          <w:spacing w:val="0"/>
          <w:kern w:val="0"/>
          <w:sz w:val="20"/>
          <w:rtl/>
          <w:lang w:val="fr-CH" w:eastAsia="en-US"/>
        </w:rPr>
        <w:t xml:space="preserve">تحقيقات، وهم يفعلون ذلك أحياناً على الرغم من أوامر رؤسائهم أو من أحكام المحكمة. ويمكن أن يعزى هذا السلوك إلى النفوذ الكبير للجيش النيبالي والقوات الماوية ولعلم الشرطة </w:t>
      </w:r>
      <w:r w:rsidRPr="001D3F00">
        <w:rPr>
          <w:rFonts w:hint="cs"/>
          <w:spacing w:val="0"/>
          <w:kern w:val="0"/>
          <w:sz w:val="20"/>
          <w:rtl/>
          <w:lang w:val="fr-CH" w:eastAsia="en-US"/>
        </w:rPr>
        <w:t>بعدم إمكانية</w:t>
      </w:r>
      <w:r w:rsidRPr="001D3F00">
        <w:rPr>
          <w:spacing w:val="0"/>
          <w:kern w:val="0"/>
          <w:sz w:val="20"/>
          <w:rtl/>
          <w:lang w:val="fr-CH" w:eastAsia="en-US"/>
        </w:rPr>
        <w:t xml:space="preserve"> </w:t>
      </w:r>
      <w:r w:rsidRPr="001D3F00">
        <w:rPr>
          <w:rFonts w:hint="cs"/>
          <w:spacing w:val="0"/>
          <w:kern w:val="0"/>
          <w:sz w:val="20"/>
          <w:rtl/>
          <w:lang w:val="fr-CH" w:eastAsia="en-US"/>
        </w:rPr>
        <w:t xml:space="preserve">تعاون </w:t>
      </w:r>
      <w:r w:rsidRPr="001D3F00">
        <w:rPr>
          <w:spacing w:val="0"/>
          <w:kern w:val="0"/>
          <w:sz w:val="20"/>
          <w:rtl/>
          <w:lang w:val="fr-CH" w:eastAsia="en-US"/>
        </w:rPr>
        <w:t xml:space="preserve">الجيش </w:t>
      </w:r>
      <w:r w:rsidRPr="001D3F00">
        <w:rPr>
          <w:rFonts w:hint="cs"/>
          <w:spacing w:val="0"/>
          <w:kern w:val="0"/>
          <w:sz w:val="20"/>
          <w:rtl/>
          <w:lang w:val="fr-CH" w:eastAsia="en-US"/>
        </w:rPr>
        <w:t>أ</w:t>
      </w:r>
      <w:r w:rsidRPr="001D3F00">
        <w:rPr>
          <w:spacing w:val="0"/>
          <w:kern w:val="0"/>
          <w:sz w:val="20"/>
          <w:rtl/>
          <w:lang w:val="fr-CH" w:eastAsia="en-US"/>
        </w:rPr>
        <w:t>و</w:t>
      </w:r>
      <w:r w:rsidRPr="001D3F00">
        <w:rPr>
          <w:rFonts w:hint="cs"/>
          <w:spacing w:val="0"/>
          <w:kern w:val="0"/>
          <w:sz w:val="20"/>
          <w:rtl/>
          <w:lang w:val="fr-CH" w:eastAsia="en-US"/>
        </w:rPr>
        <w:t xml:space="preserve"> </w:t>
      </w:r>
      <w:r w:rsidRPr="001D3F00">
        <w:rPr>
          <w:spacing w:val="0"/>
          <w:kern w:val="0"/>
          <w:sz w:val="20"/>
          <w:rtl/>
          <w:lang w:val="fr-CH" w:eastAsia="en-US"/>
        </w:rPr>
        <w:t>الأحزاب السياسية</w:t>
      </w:r>
      <w:r w:rsidRPr="001D3F00">
        <w:rPr>
          <w:rFonts w:hint="cs"/>
          <w:spacing w:val="0"/>
          <w:kern w:val="0"/>
          <w:sz w:val="20"/>
          <w:rtl/>
          <w:lang w:val="fr-CH" w:eastAsia="en-US"/>
        </w:rPr>
        <w:t xml:space="preserve"> في إجراء التحقيقات</w:t>
      </w:r>
      <w:r w:rsidRPr="001D3F00">
        <w:rPr>
          <w:spacing w:val="0"/>
          <w:kern w:val="0"/>
          <w:sz w:val="20"/>
          <w:rtl/>
          <w:lang w:val="fr-CH" w:eastAsia="en-US"/>
        </w:rPr>
        <w:t>. وفي أعقاب صدور تقرير محفل الدفاع المعنون "بانتظار العدالة" في تشرين الأول/أكتوبر 2008، ساعدت المنظمات غير الحكومية أسر 51 ضحية في تقديم ما مجموعه 30 بلاغاً أولياً إلى الشرطة، وفي</w:t>
      </w:r>
      <w:r w:rsidRPr="001D3F00">
        <w:rPr>
          <w:rFonts w:hint="cs"/>
          <w:spacing w:val="0"/>
          <w:kern w:val="0"/>
          <w:sz w:val="20"/>
          <w:rtl/>
          <w:lang w:val="fr-CH" w:eastAsia="en-US"/>
        </w:rPr>
        <w:t> </w:t>
      </w:r>
      <w:r w:rsidRPr="001D3F00">
        <w:rPr>
          <w:spacing w:val="0"/>
          <w:kern w:val="0"/>
          <w:sz w:val="20"/>
          <w:rtl/>
          <w:lang w:val="fr-CH" w:eastAsia="en-US"/>
        </w:rPr>
        <w:t>10 كانون الأول/ديسمبر 2009، وهو يوم حقوق الإنسان</w:t>
      </w:r>
      <w:r w:rsidRPr="001D3F00">
        <w:rPr>
          <w:rFonts w:hint="cs"/>
          <w:spacing w:val="0"/>
          <w:kern w:val="0"/>
          <w:sz w:val="20"/>
          <w:rtl/>
          <w:lang w:val="fr-CH" w:eastAsia="en-US"/>
        </w:rPr>
        <w:t>،</w:t>
      </w:r>
      <w:r w:rsidRPr="001D3F00">
        <w:rPr>
          <w:spacing w:val="0"/>
          <w:kern w:val="0"/>
          <w:sz w:val="20"/>
          <w:rtl/>
          <w:lang w:val="fr-CH" w:eastAsia="en-US"/>
        </w:rPr>
        <w:t xml:space="preserve"> حاولت أسر الضحايا والمحامون تقديم 28 بلاغاً آخر إلى سلطات الشرطة في 12 مقاطعة. ورفضت الشرطة تسجيل أي بلاغ مقدم مشيرة إلى أن عليها أن تستشير أولاً سلطاتها العليا</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11"/>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86-</w:t>
      </w:r>
      <w:r w:rsidRPr="001D3F00">
        <w:rPr>
          <w:rFonts w:hint="cs"/>
          <w:spacing w:val="0"/>
          <w:kern w:val="0"/>
          <w:sz w:val="20"/>
          <w:rtl/>
          <w:lang w:val="fr-CH" w:eastAsia="en-US"/>
        </w:rPr>
        <w:tab/>
      </w:r>
      <w:r w:rsidRPr="001D3F00">
        <w:rPr>
          <w:spacing w:val="0"/>
          <w:kern w:val="0"/>
          <w:sz w:val="20"/>
          <w:rtl/>
          <w:lang w:val="fr-CH" w:eastAsia="en-US"/>
        </w:rPr>
        <w:t>وأثارت منظمات غير حكومية أيضاً عدداً من القضايا التي و</w:t>
      </w:r>
      <w:r w:rsidRPr="001D3F00">
        <w:rPr>
          <w:rFonts w:hint="cs"/>
          <w:spacing w:val="0"/>
          <w:kern w:val="0"/>
          <w:sz w:val="20"/>
          <w:rtl/>
          <w:lang w:val="fr-CH" w:eastAsia="en-US"/>
        </w:rPr>
        <w:t>ُ</w:t>
      </w:r>
      <w:r w:rsidRPr="001D3F00">
        <w:rPr>
          <w:spacing w:val="0"/>
          <w:kern w:val="0"/>
          <w:sz w:val="20"/>
          <w:rtl/>
          <w:lang w:val="fr-CH" w:eastAsia="en-US"/>
        </w:rPr>
        <w:t>جهت فيها اتهامات إلى ضباط من ذوي الرتب العالية في الجيش الني</w:t>
      </w:r>
      <w:r w:rsidRPr="001D3F00">
        <w:rPr>
          <w:rFonts w:hint="cs"/>
          <w:spacing w:val="0"/>
          <w:kern w:val="0"/>
          <w:sz w:val="20"/>
          <w:rtl/>
          <w:lang w:val="fr-CH" w:eastAsia="en-US"/>
        </w:rPr>
        <w:t>ب</w:t>
      </w:r>
      <w:r w:rsidRPr="001D3F00">
        <w:rPr>
          <w:spacing w:val="0"/>
          <w:kern w:val="0"/>
          <w:sz w:val="20"/>
          <w:rtl/>
          <w:lang w:val="fr-CH" w:eastAsia="en-US"/>
        </w:rPr>
        <w:t>الي بالقيام بأفعال التعذيب والاختفاء القسري، لكنهم لم يخضعوا لأية ملاحقات قضائية. وعوضاً عن ذلك، كانت هناك بعض الحالات التي نال فيها مرتكبو هذه الأفعال المزعومون ترقي</w:t>
      </w:r>
      <w:r w:rsidRPr="001D3F00">
        <w:rPr>
          <w:rFonts w:hint="cs"/>
          <w:spacing w:val="0"/>
          <w:kern w:val="0"/>
          <w:sz w:val="20"/>
          <w:rtl/>
          <w:lang w:val="fr-CH" w:eastAsia="en-US"/>
        </w:rPr>
        <w:t>ات</w:t>
      </w:r>
      <w:r w:rsidRPr="001D3F00">
        <w:rPr>
          <w:spacing w:val="0"/>
          <w:kern w:val="0"/>
          <w:sz w:val="20"/>
          <w:rtl/>
          <w:lang w:val="fr-CH" w:eastAsia="en-US"/>
        </w:rPr>
        <w:t xml:space="preserve">. وعلى سبيل المثال، كان توران باهادور سينغ، وهو قائد سابق للواء العاشر متهماً بتورطه في قضايا الاختفاء القسري والتعذيب </w:t>
      </w:r>
      <w:r w:rsidRPr="001D3F00">
        <w:rPr>
          <w:rFonts w:hint="cs"/>
          <w:spacing w:val="0"/>
          <w:kern w:val="0"/>
          <w:sz w:val="20"/>
          <w:rtl/>
          <w:lang w:val="fr-CH" w:eastAsia="en-US"/>
        </w:rPr>
        <w:t>أثناء الاحتجاز</w:t>
      </w:r>
      <w:r w:rsidRPr="001D3F00">
        <w:rPr>
          <w:spacing w:val="0"/>
          <w:kern w:val="0"/>
          <w:sz w:val="20"/>
          <w:rtl/>
          <w:lang w:val="fr-CH" w:eastAsia="en-US"/>
        </w:rPr>
        <w:t xml:space="preserve"> التي وقعت في معسكرات ماهاراجغونج المعروفة بكاتماندو في عامي 2003 و2004. وقد حصل سينغ على الترقية في مرحلة لاحقة، وأصبح برتبة لواء وتولى منصب قائد الجيش في تشرين الأول/أكتوبر 2009</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12"/>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2"/>
          <w:kern w:val="0"/>
          <w:sz w:val="20"/>
          <w:lang w:val="fr-CH" w:eastAsia="en-US"/>
        </w:rPr>
      </w:pPr>
      <w:r w:rsidRPr="001D3F00">
        <w:rPr>
          <w:spacing w:val="-2"/>
          <w:kern w:val="0"/>
          <w:sz w:val="20"/>
          <w:rtl/>
          <w:lang w:val="fr-CH" w:eastAsia="en-US"/>
        </w:rPr>
        <w:t>87-</w:t>
      </w:r>
      <w:r w:rsidRPr="001D3F00">
        <w:rPr>
          <w:rFonts w:hint="cs"/>
          <w:spacing w:val="-2"/>
          <w:kern w:val="0"/>
          <w:sz w:val="20"/>
          <w:rtl/>
          <w:lang w:val="fr-CH" w:eastAsia="en-US"/>
        </w:rPr>
        <w:tab/>
      </w:r>
      <w:r w:rsidRPr="001D3F00">
        <w:rPr>
          <w:spacing w:val="-2"/>
          <w:kern w:val="0"/>
          <w:sz w:val="20"/>
          <w:rtl/>
          <w:lang w:val="fr-CH" w:eastAsia="en-US"/>
        </w:rPr>
        <w:t xml:space="preserve">وتذكر المنظمات غير الحكومية أيضاً ظاهرة الإفلات من العقاب في حالات التعذيب والاختفاء التي ارتكبها الحزب الشيوعي الموحد النيبالي </w:t>
      </w:r>
      <w:r w:rsidRPr="001D3F00">
        <w:rPr>
          <w:rFonts w:hint="cs"/>
          <w:spacing w:val="-2"/>
          <w:kern w:val="0"/>
          <w:sz w:val="20"/>
          <w:rtl/>
          <w:lang w:val="fr-CH" w:eastAsia="en-US"/>
        </w:rPr>
        <w:t>-</w:t>
      </w:r>
      <w:r w:rsidRPr="001D3F00">
        <w:rPr>
          <w:spacing w:val="-2"/>
          <w:kern w:val="0"/>
          <w:sz w:val="20"/>
          <w:rtl/>
          <w:lang w:val="fr-CH" w:eastAsia="en-US"/>
        </w:rPr>
        <w:t xml:space="preserve"> الماوي. وفي قضية أرجون باهادور لاما الذي اختفى بعض أن اختطفه الماويون في عام 2005، لم يتعاون الحزب الشيوعي الموحد</w:t>
      </w:r>
      <w:r w:rsidRPr="001D3F00">
        <w:rPr>
          <w:rFonts w:hint="cs"/>
          <w:spacing w:val="-2"/>
          <w:kern w:val="0"/>
          <w:sz w:val="20"/>
          <w:rtl/>
          <w:lang w:val="fr-CH" w:eastAsia="en-US"/>
        </w:rPr>
        <w:t xml:space="preserve"> </w:t>
      </w:r>
      <w:r w:rsidRPr="001D3F00">
        <w:rPr>
          <w:spacing w:val="-2"/>
          <w:kern w:val="0"/>
          <w:sz w:val="20"/>
          <w:rtl/>
          <w:lang w:val="fr-CH" w:eastAsia="en-US"/>
        </w:rPr>
        <w:t xml:space="preserve">النيبالي </w:t>
      </w:r>
      <w:r w:rsidRPr="001D3F00">
        <w:rPr>
          <w:rFonts w:hint="cs"/>
          <w:spacing w:val="-2"/>
          <w:kern w:val="0"/>
          <w:sz w:val="20"/>
          <w:rtl/>
          <w:lang w:val="fr-CH" w:eastAsia="en-US"/>
        </w:rPr>
        <w:t xml:space="preserve">- </w:t>
      </w:r>
      <w:r w:rsidRPr="001D3F00">
        <w:rPr>
          <w:spacing w:val="-2"/>
          <w:kern w:val="0"/>
          <w:sz w:val="20"/>
          <w:rtl/>
          <w:lang w:val="fr-CH" w:eastAsia="en-US"/>
        </w:rPr>
        <w:t>الماوي مع الشرطة واللجنة الوطنية لحقوق الإنسان في تحقيقاتهما مبيناً أنه ينبغي معالجة</w:t>
      </w:r>
      <w:r w:rsidRPr="001D3F00">
        <w:rPr>
          <w:rFonts w:hint="cs"/>
          <w:spacing w:val="-2"/>
          <w:kern w:val="0"/>
          <w:sz w:val="20"/>
          <w:rtl/>
          <w:lang w:val="fr-CH" w:eastAsia="en-US"/>
        </w:rPr>
        <w:t> </w:t>
      </w:r>
      <w:r w:rsidRPr="001D3F00">
        <w:rPr>
          <w:spacing w:val="-2"/>
          <w:kern w:val="0"/>
          <w:sz w:val="20"/>
          <w:rtl/>
          <w:lang w:val="fr-CH" w:eastAsia="en-US"/>
        </w:rPr>
        <w:t xml:space="preserve">هذه القضايا عن طريق آليات العدالة الانتقالية، وهي آليات لم تُنشأ </w:t>
      </w:r>
      <w:r w:rsidRPr="001D3F00">
        <w:rPr>
          <w:rFonts w:hint="cs"/>
          <w:spacing w:val="-2"/>
          <w:kern w:val="0"/>
          <w:sz w:val="20"/>
          <w:rtl/>
          <w:lang w:val="fr-CH" w:eastAsia="en-US"/>
        </w:rPr>
        <w:t>حتى ا</w:t>
      </w:r>
      <w:r w:rsidRPr="001D3F00">
        <w:rPr>
          <w:spacing w:val="-2"/>
          <w:kern w:val="0"/>
          <w:sz w:val="20"/>
          <w:rtl/>
          <w:lang w:val="fr-CH" w:eastAsia="en-US"/>
        </w:rPr>
        <w:t>لآن</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113"/>
      </w:r>
      <w:r w:rsidRPr="001D3F00">
        <w:rPr>
          <w:spacing w:val="-2"/>
          <w:kern w:val="0"/>
          <w:sz w:val="20"/>
          <w:vertAlign w:val="superscript"/>
          <w:rtl/>
          <w:lang w:val="fr-CH" w:eastAsia="en-US"/>
        </w:rPr>
        <w:t>)</w:t>
      </w:r>
      <w:r w:rsidRPr="001D3F00">
        <w:rPr>
          <w:spacing w:val="-2"/>
          <w:kern w:val="0"/>
          <w:sz w:val="20"/>
          <w:rtl/>
          <w:lang w:val="fr-CH" w:eastAsia="en-US"/>
        </w:rPr>
        <w:t xml:space="preserve">.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88-</w:t>
      </w:r>
      <w:r w:rsidRPr="001D3F00">
        <w:rPr>
          <w:rFonts w:hint="cs"/>
          <w:spacing w:val="0"/>
          <w:kern w:val="0"/>
          <w:sz w:val="20"/>
          <w:rtl/>
          <w:lang w:val="fr-CH" w:eastAsia="en-US"/>
        </w:rPr>
        <w:tab/>
      </w:r>
      <w:r w:rsidRPr="001D3F00">
        <w:rPr>
          <w:spacing w:val="0"/>
          <w:kern w:val="0"/>
          <w:sz w:val="20"/>
          <w:rtl/>
          <w:lang w:val="fr-CH" w:eastAsia="en-US"/>
        </w:rPr>
        <w:t>ولاحظت المنظمات غير الحكومية في عدة أمثلة الافتقار إلى الاتساق بين محكمة الاستئناف والمح</w:t>
      </w:r>
      <w:r w:rsidRPr="001D3F00">
        <w:rPr>
          <w:rFonts w:hint="cs"/>
          <w:spacing w:val="0"/>
          <w:kern w:val="0"/>
          <w:sz w:val="20"/>
          <w:rtl/>
          <w:lang w:val="fr-CH" w:eastAsia="en-US"/>
        </w:rPr>
        <w:t>ا</w:t>
      </w:r>
      <w:r w:rsidRPr="001D3F00">
        <w:rPr>
          <w:spacing w:val="0"/>
          <w:kern w:val="0"/>
          <w:sz w:val="20"/>
          <w:rtl/>
          <w:lang w:val="fr-CH" w:eastAsia="en-US"/>
        </w:rPr>
        <w:t>كم ال</w:t>
      </w:r>
      <w:r w:rsidRPr="001D3F00">
        <w:rPr>
          <w:rFonts w:hint="cs"/>
          <w:spacing w:val="0"/>
          <w:kern w:val="0"/>
          <w:sz w:val="20"/>
          <w:rtl/>
          <w:lang w:val="fr-CH" w:eastAsia="en-US"/>
        </w:rPr>
        <w:t xml:space="preserve">أعلى </w:t>
      </w:r>
      <w:r w:rsidRPr="001D3F00">
        <w:rPr>
          <w:spacing w:val="0"/>
          <w:kern w:val="0"/>
          <w:sz w:val="20"/>
          <w:rtl/>
          <w:lang w:val="fr-CH" w:eastAsia="en-US"/>
        </w:rPr>
        <w:t>و</w:t>
      </w:r>
      <w:r w:rsidRPr="001D3F00">
        <w:rPr>
          <w:rFonts w:hint="cs"/>
          <w:spacing w:val="0"/>
          <w:kern w:val="0"/>
          <w:sz w:val="20"/>
          <w:rtl/>
          <w:lang w:val="fr-CH" w:eastAsia="en-US"/>
        </w:rPr>
        <w:t>عدم</w:t>
      </w:r>
      <w:r w:rsidRPr="001D3F00">
        <w:rPr>
          <w:spacing w:val="0"/>
          <w:kern w:val="0"/>
          <w:sz w:val="20"/>
          <w:rtl/>
          <w:lang w:val="fr-CH" w:eastAsia="en-US"/>
        </w:rPr>
        <w:t xml:space="preserve"> احترام محكمة الاستئناف لأحكام المح</w:t>
      </w:r>
      <w:r w:rsidRPr="001D3F00">
        <w:rPr>
          <w:rFonts w:hint="cs"/>
          <w:spacing w:val="0"/>
          <w:kern w:val="0"/>
          <w:sz w:val="20"/>
          <w:rtl/>
          <w:lang w:val="fr-CH" w:eastAsia="en-US"/>
        </w:rPr>
        <w:t>ا</w:t>
      </w:r>
      <w:r w:rsidRPr="001D3F00">
        <w:rPr>
          <w:spacing w:val="0"/>
          <w:kern w:val="0"/>
          <w:sz w:val="20"/>
          <w:rtl/>
          <w:lang w:val="fr-CH" w:eastAsia="en-US"/>
        </w:rPr>
        <w:t>كم ال</w:t>
      </w:r>
      <w:r w:rsidRPr="001D3F00">
        <w:rPr>
          <w:rFonts w:hint="cs"/>
          <w:spacing w:val="0"/>
          <w:kern w:val="0"/>
          <w:sz w:val="20"/>
          <w:rtl/>
          <w:lang w:val="fr-CH" w:eastAsia="en-US"/>
        </w:rPr>
        <w:t>أ</w:t>
      </w:r>
      <w:r w:rsidRPr="001D3F00">
        <w:rPr>
          <w:spacing w:val="0"/>
          <w:kern w:val="0"/>
          <w:sz w:val="20"/>
          <w:rtl/>
          <w:lang w:val="fr-CH" w:eastAsia="en-US"/>
        </w:rPr>
        <w:t>عل</w:t>
      </w:r>
      <w:r w:rsidRPr="001D3F00">
        <w:rPr>
          <w:rFonts w:hint="cs"/>
          <w:spacing w:val="0"/>
          <w:kern w:val="0"/>
          <w:sz w:val="20"/>
          <w:rtl/>
          <w:lang w:val="fr-CH" w:eastAsia="en-US"/>
        </w:rPr>
        <w:t>ى</w:t>
      </w:r>
      <w:r w:rsidRPr="001D3F00">
        <w:rPr>
          <w:spacing w:val="0"/>
          <w:kern w:val="0"/>
          <w:sz w:val="20"/>
          <w:rtl/>
          <w:lang w:val="fr-CH" w:eastAsia="en-US"/>
        </w:rPr>
        <w:t xml:space="preserve">. فقد قضت المحكمة العليا النيبالية في حكمها الصادر في 18 أيلول/سبتمبر 2007 فيما يتعلق بأفعال التعذيب التي تعرضت لها ماينا سونوار ووفاتها، بأن </w:t>
      </w:r>
      <w:r w:rsidRPr="001D3F00">
        <w:rPr>
          <w:rFonts w:hint="cs"/>
          <w:spacing w:val="0"/>
          <w:kern w:val="0"/>
          <w:sz w:val="20"/>
          <w:rtl/>
          <w:lang w:val="fr-CH" w:eastAsia="en-US"/>
        </w:rPr>
        <w:t>ا</w:t>
      </w:r>
      <w:r w:rsidRPr="001D3F00">
        <w:rPr>
          <w:spacing w:val="0"/>
          <w:kern w:val="0"/>
          <w:sz w:val="20"/>
          <w:rtl/>
          <w:lang w:val="fr-CH" w:eastAsia="en-US"/>
        </w:rPr>
        <w:t xml:space="preserve">لمحاكم المدنية </w:t>
      </w:r>
      <w:r w:rsidRPr="001D3F00">
        <w:rPr>
          <w:rFonts w:hint="cs"/>
          <w:spacing w:val="0"/>
          <w:kern w:val="0"/>
          <w:sz w:val="20"/>
          <w:rtl/>
          <w:lang w:val="fr-CH" w:eastAsia="en-US"/>
        </w:rPr>
        <w:t>م</w:t>
      </w:r>
      <w:r w:rsidRPr="001D3F00">
        <w:rPr>
          <w:spacing w:val="0"/>
          <w:kern w:val="0"/>
          <w:sz w:val="20"/>
          <w:rtl/>
          <w:lang w:val="fr-CH" w:eastAsia="en-US"/>
        </w:rPr>
        <w:t>ختص</w:t>
      </w:r>
      <w:r w:rsidRPr="001D3F00">
        <w:rPr>
          <w:rFonts w:hint="cs"/>
          <w:spacing w:val="0"/>
          <w:kern w:val="0"/>
          <w:sz w:val="20"/>
          <w:rtl/>
          <w:lang w:val="fr-CH" w:eastAsia="en-US"/>
        </w:rPr>
        <w:t>ة</w:t>
      </w:r>
      <w:r w:rsidRPr="001D3F00">
        <w:rPr>
          <w:spacing w:val="0"/>
          <w:kern w:val="0"/>
          <w:sz w:val="20"/>
          <w:rtl/>
          <w:lang w:val="fr-CH" w:eastAsia="en-US"/>
        </w:rPr>
        <w:t xml:space="preserve"> </w:t>
      </w:r>
      <w:r w:rsidRPr="001D3F00">
        <w:rPr>
          <w:rFonts w:hint="cs"/>
          <w:spacing w:val="0"/>
          <w:kern w:val="0"/>
          <w:sz w:val="20"/>
          <w:rtl/>
          <w:lang w:val="fr-CH" w:eastAsia="en-US"/>
        </w:rPr>
        <w:t>ب</w:t>
      </w:r>
      <w:r w:rsidRPr="001D3F00">
        <w:rPr>
          <w:spacing w:val="0"/>
          <w:kern w:val="0"/>
          <w:sz w:val="20"/>
          <w:rtl/>
          <w:lang w:val="fr-CH" w:eastAsia="en-US"/>
        </w:rPr>
        <w:t xml:space="preserve">النظر في الأفعال الجنائية المزعومة التي ارتكبتها قوات الأمن أثناء النزاع المسلح. وفي </w:t>
      </w:r>
      <w:r w:rsidRPr="001D3F00">
        <w:rPr>
          <w:rFonts w:hint="cs"/>
          <w:spacing w:val="0"/>
          <w:kern w:val="0"/>
          <w:sz w:val="20"/>
          <w:rtl/>
          <w:lang w:val="fr-CH" w:eastAsia="en-US"/>
        </w:rPr>
        <w:t>ال</w:t>
      </w:r>
      <w:r w:rsidRPr="001D3F00">
        <w:rPr>
          <w:spacing w:val="0"/>
          <w:kern w:val="0"/>
          <w:sz w:val="20"/>
          <w:rtl/>
          <w:lang w:val="fr-CH" w:eastAsia="en-US"/>
        </w:rPr>
        <w:t xml:space="preserve">حكم الصادر </w:t>
      </w:r>
      <w:r w:rsidRPr="001D3F00">
        <w:rPr>
          <w:rFonts w:hint="cs"/>
          <w:spacing w:val="0"/>
          <w:kern w:val="0"/>
          <w:sz w:val="20"/>
          <w:rtl/>
          <w:lang w:val="fr-CH" w:eastAsia="en-US"/>
        </w:rPr>
        <w:t xml:space="preserve">في قضية </w:t>
      </w:r>
      <w:r w:rsidRPr="001D3F00">
        <w:rPr>
          <w:spacing w:val="0"/>
          <w:kern w:val="0"/>
          <w:sz w:val="20"/>
          <w:rtl/>
          <w:lang w:val="fr-CH" w:eastAsia="en-US"/>
        </w:rPr>
        <w:t xml:space="preserve">رينا راسيلي في 14 كانون الأول/ديسمبر 2009، ذكرت المحكمة العليا أن </w:t>
      </w:r>
      <w:r w:rsidRPr="001D3F00">
        <w:rPr>
          <w:rFonts w:hint="cs"/>
          <w:spacing w:val="0"/>
          <w:kern w:val="0"/>
          <w:sz w:val="20"/>
          <w:rtl/>
          <w:lang w:val="fr-CH" w:eastAsia="en-US"/>
        </w:rPr>
        <w:t xml:space="preserve">أي </w:t>
      </w:r>
      <w:r w:rsidRPr="001D3F00">
        <w:rPr>
          <w:spacing w:val="0"/>
          <w:kern w:val="0"/>
          <w:sz w:val="20"/>
          <w:rtl/>
          <w:lang w:val="fr-CH" w:eastAsia="en-US"/>
        </w:rPr>
        <w:t xml:space="preserve">فعل يجرمه القانون يعتبر جريمة بغض النظر عن هوية مرتكبه أو مركزه أو الظروف التي وقع فيها هذا الفعل. وأضافت المحكمة أن </w:t>
      </w:r>
      <w:r w:rsidRPr="001D3F00">
        <w:rPr>
          <w:rFonts w:hint="cs"/>
          <w:spacing w:val="0"/>
          <w:kern w:val="0"/>
          <w:sz w:val="20"/>
          <w:rtl/>
          <w:lang w:val="fr-CH" w:eastAsia="en-US"/>
        </w:rPr>
        <w:t>"</w:t>
      </w:r>
      <w:r w:rsidRPr="001D3F00">
        <w:rPr>
          <w:spacing w:val="0"/>
          <w:kern w:val="0"/>
          <w:sz w:val="20"/>
          <w:rtl/>
          <w:lang w:val="fr-CH" w:eastAsia="en-US"/>
        </w:rPr>
        <w:t xml:space="preserve">القانون لا يمنع أي أحد من التحقيق في بلاغ يفيد </w:t>
      </w:r>
      <w:r w:rsidRPr="001D3F00">
        <w:rPr>
          <w:rFonts w:hint="cs"/>
          <w:spacing w:val="0"/>
          <w:kern w:val="0"/>
          <w:sz w:val="20"/>
          <w:rtl/>
          <w:lang w:val="fr-CH" w:eastAsia="en-US"/>
        </w:rPr>
        <w:t>ب</w:t>
      </w:r>
      <w:r w:rsidRPr="001D3F00">
        <w:rPr>
          <w:spacing w:val="0"/>
          <w:kern w:val="0"/>
          <w:sz w:val="20"/>
          <w:rtl/>
          <w:lang w:val="fr-CH" w:eastAsia="en-US"/>
        </w:rPr>
        <w:t xml:space="preserve">أن أفراداً من الجيش أو من الأمن قاموا باعتقال امرأة قسراً بينما هي نائمة ليلاً في منزلها وقتلوها رمياً بالرصاص. وسيكون ذلك استهزاءاً بالقانون </w:t>
      </w:r>
      <w:r w:rsidRPr="001D3F00">
        <w:rPr>
          <w:rFonts w:hint="cs"/>
          <w:spacing w:val="0"/>
          <w:kern w:val="0"/>
          <w:sz w:val="20"/>
          <w:rtl/>
          <w:lang w:val="fr-CH" w:eastAsia="en-US"/>
        </w:rPr>
        <w:t>و</w:t>
      </w:r>
      <w:r w:rsidRPr="001D3F00">
        <w:rPr>
          <w:spacing w:val="0"/>
          <w:kern w:val="0"/>
          <w:sz w:val="20"/>
          <w:rtl/>
          <w:lang w:val="fr-CH" w:eastAsia="en-US"/>
        </w:rPr>
        <w:t>بحقوق المدنيين الوطنية</w:t>
      </w:r>
      <w:r w:rsidRPr="001D3F00">
        <w:rPr>
          <w:rFonts w:hint="cs"/>
          <w:spacing w:val="0"/>
          <w:kern w:val="0"/>
          <w:sz w:val="20"/>
          <w:rtl/>
          <w:lang w:val="fr-CH" w:eastAsia="en-US"/>
        </w:rPr>
        <w:t>"</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14"/>
      </w:r>
      <w:r w:rsidRPr="001D3F00">
        <w:rPr>
          <w:spacing w:val="0"/>
          <w:kern w:val="0"/>
          <w:sz w:val="20"/>
          <w:vertAlign w:val="superscript"/>
          <w:rtl/>
          <w:lang w:val="fr-CH" w:eastAsia="en-US"/>
        </w:rPr>
        <w:t>)</w:t>
      </w:r>
      <w:r w:rsidRPr="001D3F00">
        <w:rPr>
          <w:spacing w:val="0"/>
          <w:kern w:val="0"/>
          <w:sz w:val="20"/>
          <w:rtl/>
          <w:lang w:val="fr-CH" w:eastAsia="en-US"/>
        </w:rPr>
        <w:t xml:space="preserve">. ومع ذلك، وعلى الرغم من صدور هذا الحكم فإن بعض محاكم الاستئناف تواصل رفض </w:t>
      </w:r>
      <w:r w:rsidRPr="001D3F00">
        <w:rPr>
          <w:rFonts w:hint="cs"/>
          <w:spacing w:val="0"/>
          <w:kern w:val="0"/>
          <w:sz w:val="20"/>
          <w:rtl/>
          <w:lang w:val="fr-CH" w:eastAsia="en-US"/>
        </w:rPr>
        <w:t>دعاوى الاستئناف المستعجل</w:t>
      </w:r>
      <w:r w:rsidRPr="001D3F00">
        <w:rPr>
          <w:spacing w:val="0"/>
          <w:kern w:val="0"/>
          <w:sz w:val="20"/>
          <w:rtl/>
          <w:lang w:val="fr-CH" w:eastAsia="en-US"/>
        </w:rPr>
        <w:t xml:space="preserve"> على أساس أن المحاكم المدنية </w:t>
      </w:r>
      <w:r w:rsidRPr="001D3F00">
        <w:rPr>
          <w:rFonts w:hint="cs"/>
          <w:spacing w:val="0"/>
          <w:kern w:val="0"/>
          <w:sz w:val="20"/>
          <w:rtl/>
          <w:lang w:val="fr-CH" w:eastAsia="en-US"/>
        </w:rPr>
        <w:t>غير</w:t>
      </w:r>
      <w:r w:rsidRPr="001D3F00">
        <w:rPr>
          <w:spacing w:val="0"/>
          <w:kern w:val="0"/>
          <w:sz w:val="20"/>
          <w:rtl/>
          <w:lang w:val="fr-CH" w:eastAsia="en-US"/>
        </w:rPr>
        <w:t xml:space="preserve"> مختصة </w:t>
      </w:r>
      <w:r w:rsidRPr="001D3F00">
        <w:rPr>
          <w:rFonts w:hint="cs"/>
          <w:spacing w:val="0"/>
          <w:kern w:val="0"/>
          <w:sz w:val="20"/>
          <w:rtl/>
          <w:lang w:val="fr-CH" w:eastAsia="en-US"/>
        </w:rPr>
        <w:t xml:space="preserve">بالنظر </w:t>
      </w:r>
      <w:r w:rsidRPr="001D3F00">
        <w:rPr>
          <w:spacing w:val="0"/>
          <w:kern w:val="0"/>
          <w:sz w:val="20"/>
          <w:rtl/>
          <w:lang w:val="fr-CH" w:eastAsia="en-US"/>
        </w:rPr>
        <w:t>في الشكاوى المرفوعة ضد أفراد الأمن</w:t>
      </w:r>
      <w:r w:rsidRPr="001D3F00">
        <w:rPr>
          <w:rFonts w:hint="cs"/>
          <w:spacing w:val="0"/>
          <w:kern w:val="0"/>
          <w:sz w:val="20"/>
          <w:rtl/>
          <w:lang w:val="fr-CH" w:eastAsia="en-US"/>
        </w:rPr>
        <w:t>،</w:t>
      </w:r>
      <w:r w:rsidRPr="001D3F00">
        <w:rPr>
          <w:spacing w:val="0"/>
          <w:kern w:val="0"/>
          <w:sz w:val="20"/>
          <w:rtl/>
          <w:lang w:val="fr-CH" w:eastAsia="en-US"/>
        </w:rPr>
        <w:t xml:space="preserve"> </w:t>
      </w:r>
      <w:r w:rsidRPr="001D3F00">
        <w:rPr>
          <w:rFonts w:hint="cs"/>
          <w:spacing w:val="0"/>
          <w:kern w:val="0"/>
          <w:sz w:val="20"/>
          <w:rtl/>
          <w:lang w:val="fr-CH" w:eastAsia="en-US"/>
        </w:rPr>
        <w:t>بينما</w:t>
      </w:r>
      <w:r w:rsidRPr="001D3F00">
        <w:rPr>
          <w:spacing w:val="0"/>
          <w:kern w:val="0"/>
          <w:sz w:val="20"/>
          <w:rtl/>
          <w:lang w:val="fr-CH" w:eastAsia="en-US"/>
        </w:rPr>
        <w:t xml:space="preserve"> تطبق بعض محاكم الاستئناف الأخرى حكم المحكمة العليا الصادر في عام</w:t>
      </w:r>
      <w:r w:rsidRPr="001D3F00">
        <w:rPr>
          <w:rFonts w:hint="cs"/>
          <w:spacing w:val="0"/>
          <w:kern w:val="0"/>
          <w:sz w:val="20"/>
          <w:rtl/>
          <w:lang w:val="fr-CH" w:eastAsia="en-US"/>
        </w:rPr>
        <w:t> </w:t>
      </w:r>
      <w:r w:rsidRPr="001D3F00">
        <w:rPr>
          <w:spacing w:val="0"/>
          <w:kern w:val="0"/>
          <w:sz w:val="20"/>
          <w:rtl/>
          <w:lang w:val="fr-CH" w:eastAsia="en-US"/>
        </w:rPr>
        <w:t>2007</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15"/>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60" w:lineRule="exact"/>
        <w:ind w:left="1247" w:right="1247"/>
        <w:jc w:val="lowKashida"/>
        <w:rPr>
          <w:spacing w:val="-3"/>
          <w:kern w:val="0"/>
          <w:sz w:val="20"/>
          <w:lang w:val="fr-CH" w:eastAsia="en-US"/>
        </w:rPr>
      </w:pPr>
      <w:r w:rsidRPr="001D3F00">
        <w:rPr>
          <w:spacing w:val="-3"/>
          <w:kern w:val="0"/>
          <w:sz w:val="20"/>
          <w:rtl/>
          <w:lang w:val="fr-CH" w:eastAsia="en-US"/>
        </w:rPr>
        <w:t>89-</w:t>
      </w:r>
      <w:r w:rsidRPr="001D3F00">
        <w:rPr>
          <w:rFonts w:hint="cs"/>
          <w:spacing w:val="-3"/>
          <w:kern w:val="0"/>
          <w:sz w:val="20"/>
          <w:rtl/>
          <w:lang w:val="fr-CH" w:eastAsia="en-US"/>
        </w:rPr>
        <w:tab/>
      </w:r>
      <w:r w:rsidRPr="001D3F00">
        <w:rPr>
          <w:spacing w:val="-3"/>
          <w:kern w:val="0"/>
          <w:sz w:val="20"/>
          <w:rtl/>
          <w:lang w:val="fr-CH" w:eastAsia="en-US"/>
        </w:rPr>
        <w:t xml:space="preserve">وقد أبلغت المنظمات غير الحكومية أيضاً عن مشاكل في تنفيذ أوامر المحاكم مشيرة إلى </w:t>
      </w:r>
      <w:r w:rsidRPr="001D3F00">
        <w:rPr>
          <w:rFonts w:hint="cs"/>
          <w:spacing w:val="-3"/>
          <w:kern w:val="0"/>
          <w:sz w:val="20"/>
          <w:rtl/>
          <w:lang w:val="fr-CH" w:eastAsia="en-US"/>
        </w:rPr>
        <w:t xml:space="preserve">قضية </w:t>
      </w:r>
      <w:r w:rsidRPr="001D3F00">
        <w:rPr>
          <w:spacing w:val="-3"/>
          <w:kern w:val="0"/>
          <w:sz w:val="20"/>
          <w:rtl/>
          <w:lang w:val="fr-CH" w:eastAsia="en-US"/>
        </w:rPr>
        <w:t xml:space="preserve">التحقيق في موت ماينا سوناوار </w:t>
      </w:r>
      <w:r w:rsidRPr="001D3F00">
        <w:rPr>
          <w:rFonts w:hint="cs"/>
          <w:spacing w:val="-3"/>
          <w:kern w:val="0"/>
          <w:sz w:val="20"/>
          <w:rtl/>
          <w:lang w:val="fr-CH" w:eastAsia="en-US"/>
        </w:rPr>
        <w:t xml:space="preserve">البالغة من العمر </w:t>
      </w:r>
      <w:r w:rsidRPr="001D3F00">
        <w:rPr>
          <w:spacing w:val="-3"/>
          <w:kern w:val="0"/>
          <w:sz w:val="20"/>
          <w:rtl/>
          <w:lang w:val="fr-CH" w:eastAsia="en-US"/>
        </w:rPr>
        <w:t xml:space="preserve">خمسة عشر </w:t>
      </w:r>
      <w:r w:rsidRPr="001D3F00">
        <w:rPr>
          <w:rFonts w:hint="cs"/>
          <w:spacing w:val="-3"/>
          <w:kern w:val="0"/>
          <w:sz w:val="20"/>
          <w:rtl/>
          <w:lang w:val="fr-CH" w:eastAsia="en-US"/>
        </w:rPr>
        <w:t>عاماً،</w:t>
      </w:r>
      <w:r w:rsidRPr="001D3F00">
        <w:rPr>
          <w:spacing w:val="-3"/>
          <w:kern w:val="0"/>
          <w:sz w:val="20"/>
          <w:rtl/>
          <w:lang w:val="fr-CH" w:eastAsia="en-US"/>
        </w:rPr>
        <w:t xml:space="preserve"> التي قض</w:t>
      </w:r>
      <w:r w:rsidRPr="001D3F00">
        <w:rPr>
          <w:rFonts w:hint="cs"/>
          <w:spacing w:val="-3"/>
          <w:kern w:val="0"/>
          <w:sz w:val="20"/>
          <w:rtl/>
          <w:lang w:val="fr-CH" w:eastAsia="en-US"/>
        </w:rPr>
        <w:t>ت</w:t>
      </w:r>
      <w:r w:rsidRPr="001D3F00">
        <w:rPr>
          <w:spacing w:val="-3"/>
          <w:kern w:val="0"/>
          <w:sz w:val="20"/>
          <w:rtl/>
          <w:lang w:val="fr-CH" w:eastAsia="en-US"/>
        </w:rPr>
        <w:t xml:space="preserve"> فيها محكمة عسكرية بإدانة الضباط الثلاثة الذين يدعى أنهم مسؤولون عن موتها وسجنهم لمدة ستة أشهر وتعليق ترقيتهم لفترة مؤقتة</w:t>
      </w:r>
      <w:r w:rsidRPr="001D3F00">
        <w:rPr>
          <w:rFonts w:hint="cs"/>
          <w:spacing w:val="-3"/>
          <w:kern w:val="0"/>
          <w:sz w:val="20"/>
          <w:rtl/>
          <w:lang w:val="fr-CH" w:eastAsia="en-US"/>
        </w:rPr>
        <w:t xml:space="preserve"> </w:t>
      </w:r>
      <w:r w:rsidRPr="001D3F00">
        <w:rPr>
          <w:spacing w:val="-3"/>
          <w:kern w:val="0"/>
          <w:sz w:val="20"/>
          <w:rtl/>
          <w:lang w:val="fr-CH" w:eastAsia="en-US"/>
        </w:rPr>
        <w:t>(أيلول/سبتمبر 2005). وبناء على شكوى من والدة الضحية، أدانت المحكمة المحلية بعد ذلك أربعة ضباط في الجيش بقتل ماينا سوناوار وأصدرت أمراً بتوقيف الضباط في كانون الثاني/يناير 2008. وإلى اليوم لم يقبض عليهم. وعلى العكس من ذلك، فإن</w:t>
      </w:r>
      <w:r w:rsidRPr="001D3F00">
        <w:rPr>
          <w:rFonts w:hint="cs"/>
          <w:spacing w:val="-3"/>
          <w:kern w:val="0"/>
          <w:sz w:val="20"/>
          <w:rtl/>
          <w:lang w:val="fr-CH" w:eastAsia="en-US"/>
        </w:rPr>
        <w:t> </w:t>
      </w:r>
      <w:r w:rsidRPr="001D3F00">
        <w:rPr>
          <w:spacing w:val="-3"/>
          <w:kern w:val="0"/>
          <w:sz w:val="20"/>
          <w:rtl/>
          <w:lang w:val="fr-CH" w:eastAsia="en-US"/>
        </w:rPr>
        <w:t>الجيش النيبالي أوفد واحداً من المتهمين في منتصف التسعينات في مهمة من مهام عمليات حفظ السلام في تشاد. وأعادته الأمم المتحدة إلى وطنه في كانون الأول/ديسمبر</w:t>
      </w:r>
      <w:r w:rsidRPr="001D3F00">
        <w:rPr>
          <w:rFonts w:hint="cs"/>
          <w:spacing w:val="-3"/>
          <w:kern w:val="0"/>
          <w:sz w:val="20"/>
          <w:rtl/>
          <w:lang w:val="fr-CH" w:eastAsia="en-US"/>
        </w:rPr>
        <w:t> </w:t>
      </w:r>
      <w:r w:rsidRPr="001D3F00">
        <w:rPr>
          <w:spacing w:val="-3"/>
          <w:kern w:val="0"/>
          <w:sz w:val="20"/>
          <w:rtl/>
          <w:lang w:val="fr-CH" w:eastAsia="en-US"/>
        </w:rPr>
        <w:t>2009 لكن</w:t>
      </w:r>
      <w:r w:rsidRPr="001D3F00">
        <w:rPr>
          <w:rFonts w:hint="cs"/>
          <w:spacing w:val="-3"/>
          <w:kern w:val="0"/>
          <w:sz w:val="20"/>
          <w:rtl/>
          <w:lang w:val="fr-CH" w:eastAsia="en-US"/>
        </w:rPr>
        <w:t>ه</w:t>
      </w:r>
      <w:r w:rsidRPr="001D3F00">
        <w:rPr>
          <w:spacing w:val="-3"/>
          <w:kern w:val="0"/>
          <w:sz w:val="20"/>
          <w:rtl/>
          <w:lang w:val="fr-CH" w:eastAsia="en-US"/>
        </w:rPr>
        <w:t xml:space="preserve"> </w:t>
      </w:r>
      <w:r w:rsidRPr="001D3F00">
        <w:rPr>
          <w:rFonts w:hint="cs"/>
          <w:spacing w:val="-3"/>
          <w:kern w:val="0"/>
          <w:sz w:val="20"/>
          <w:rtl/>
          <w:lang w:val="fr-CH" w:eastAsia="en-US"/>
        </w:rPr>
        <w:t xml:space="preserve">وضع في الحبس لدى الجيش عند </w:t>
      </w:r>
      <w:r w:rsidRPr="001D3F00">
        <w:rPr>
          <w:spacing w:val="-3"/>
          <w:kern w:val="0"/>
          <w:sz w:val="20"/>
          <w:rtl/>
          <w:lang w:val="fr-CH" w:eastAsia="en-US"/>
        </w:rPr>
        <w:t>وصوله إلى المطار في نيبال، ولم يسل</w:t>
      </w:r>
      <w:r w:rsidRPr="001D3F00">
        <w:rPr>
          <w:rFonts w:hint="cs"/>
          <w:spacing w:val="-3"/>
          <w:kern w:val="0"/>
          <w:sz w:val="20"/>
          <w:rtl/>
          <w:lang w:val="fr-CH" w:eastAsia="en-US"/>
        </w:rPr>
        <w:t>ّ</w:t>
      </w:r>
      <w:r w:rsidRPr="001D3F00">
        <w:rPr>
          <w:spacing w:val="-3"/>
          <w:kern w:val="0"/>
          <w:sz w:val="20"/>
          <w:rtl/>
          <w:lang w:val="fr-CH" w:eastAsia="en-US"/>
        </w:rPr>
        <w:t>م حتى الآن إلى السلطات المدنية على الرغم من صدور أوامر من المحكمة ومن رئيس الوزراء بذلك</w:t>
      </w:r>
      <w:r w:rsidRPr="001D3F00">
        <w:rPr>
          <w:spacing w:val="-3"/>
          <w:kern w:val="0"/>
          <w:sz w:val="20"/>
          <w:vertAlign w:val="superscript"/>
          <w:rtl/>
          <w:lang w:val="fr-CH" w:eastAsia="en-US"/>
        </w:rPr>
        <w:t>(</w:t>
      </w:r>
      <w:r w:rsidRPr="001D3F00">
        <w:rPr>
          <w:b/>
          <w:spacing w:val="-3"/>
          <w:kern w:val="0"/>
          <w:szCs w:val="28"/>
          <w:vertAlign w:val="superscript"/>
          <w:rtl/>
          <w:lang w:val="fr-CH" w:eastAsia="en-US"/>
        </w:rPr>
        <w:footnoteReference w:id="116"/>
      </w:r>
      <w:r w:rsidRPr="001D3F00">
        <w:rPr>
          <w:spacing w:val="-3"/>
          <w:kern w:val="0"/>
          <w:sz w:val="20"/>
          <w:vertAlign w:val="superscript"/>
          <w:rtl/>
          <w:lang w:val="fr-CH" w:eastAsia="en-US"/>
        </w:rPr>
        <w:t>)</w:t>
      </w:r>
      <w:r w:rsidRPr="001D3F00">
        <w:rPr>
          <w:spacing w:val="-3"/>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60" w:lineRule="exact"/>
        <w:ind w:left="1247" w:right="1247"/>
        <w:jc w:val="lowKashida"/>
        <w:rPr>
          <w:spacing w:val="-2"/>
          <w:kern w:val="0"/>
          <w:sz w:val="20"/>
          <w:lang w:val="fr-CH" w:eastAsia="en-US"/>
        </w:rPr>
      </w:pPr>
      <w:r w:rsidRPr="001D3F00">
        <w:rPr>
          <w:spacing w:val="-2"/>
          <w:kern w:val="0"/>
          <w:sz w:val="20"/>
          <w:rtl/>
          <w:lang w:val="fr-CH" w:eastAsia="en-US"/>
        </w:rPr>
        <w:t>90-</w:t>
      </w:r>
      <w:r w:rsidRPr="001D3F00">
        <w:rPr>
          <w:rFonts w:hint="cs"/>
          <w:spacing w:val="-2"/>
          <w:kern w:val="0"/>
          <w:sz w:val="20"/>
          <w:rtl/>
          <w:lang w:val="fr-CH" w:eastAsia="en-US"/>
        </w:rPr>
        <w:tab/>
      </w:r>
      <w:r w:rsidRPr="001D3F00">
        <w:rPr>
          <w:spacing w:val="-2"/>
          <w:kern w:val="0"/>
          <w:sz w:val="20"/>
          <w:rtl/>
          <w:lang w:val="fr-CH" w:eastAsia="en-US"/>
        </w:rPr>
        <w:t>وبالمثل، في آب/أغسطس 2010، أصدر مكتب رئيس الوزر</w:t>
      </w:r>
      <w:r w:rsidRPr="001D3F00">
        <w:rPr>
          <w:rFonts w:hint="cs"/>
          <w:spacing w:val="-2"/>
          <w:kern w:val="0"/>
          <w:sz w:val="20"/>
          <w:rtl/>
          <w:lang w:val="fr-CH" w:eastAsia="en-US"/>
        </w:rPr>
        <w:t>ا</w:t>
      </w:r>
      <w:r w:rsidRPr="001D3F00">
        <w:rPr>
          <w:spacing w:val="-2"/>
          <w:kern w:val="0"/>
          <w:sz w:val="20"/>
          <w:rtl/>
          <w:lang w:val="fr-CH" w:eastAsia="en-US"/>
        </w:rPr>
        <w:t xml:space="preserve">ء رداً على المحكمة العليا يذكر فيه أن الجناة سيعاقبون </w:t>
      </w:r>
      <w:r w:rsidRPr="001D3F00">
        <w:rPr>
          <w:rFonts w:hint="cs"/>
          <w:spacing w:val="-2"/>
          <w:kern w:val="0"/>
          <w:sz w:val="20"/>
          <w:rtl/>
          <w:lang w:val="fr-CH" w:eastAsia="en-US"/>
        </w:rPr>
        <w:t xml:space="preserve">بعد </w:t>
      </w:r>
      <w:r w:rsidRPr="001D3F00">
        <w:rPr>
          <w:spacing w:val="-2"/>
          <w:kern w:val="0"/>
          <w:sz w:val="20"/>
          <w:rtl/>
          <w:lang w:val="fr-CH" w:eastAsia="en-US"/>
        </w:rPr>
        <w:t>التحقيقات التي تجريها لجنة ستشكل لهذا الغرض</w:t>
      </w:r>
      <w:r w:rsidRPr="001D3F00">
        <w:rPr>
          <w:rFonts w:hint="cs"/>
          <w:spacing w:val="-2"/>
          <w:kern w:val="0"/>
          <w:sz w:val="20"/>
          <w:rtl/>
          <w:lang w:val="fr-CH" w:eastAsia="en-US"/>
        </w:rPr>
        <w:t>،</w:t>
      </w:r>
      <w:r w:rsidRPr="001D3F00">
        <w:rPr>
          <w:spacing w:val="-2"/>
          <w:kern w:val="0"/>
          <w:sz w:val="20"/>
          <w:rtl/>
          <w:lang w:val="fr-CH" w:eastAsia="en-US"/>
        </w:rPr>
        <w:t xml:space="preserve"> بالإشارة إلى لجنة الحق</w:t>
      </w:r>
      <w:r w:rsidRPr="001D3F00">
        <w:rPr>
          <w:rFonts w:hint="cs"/>
          <w:spacing w:val="-2"/>
          <w:kern w:val="0"/>
          <w:sz w:val="20"/>
          <w:rtl/>
          <w:lang w:val="fr-CH" w:eastAsia="en-US"/>
        </w:rPr>
        <w:t>ي</w:t>
      </w:r>
      <w:r w:rsidRPr="001D3F00">
        <w:rPr>
          <w:spacing w:val="-2"/>
          <w:kern w:val="0"/>
          <w:sz w:val="20"/>
          <w:rtl/>
          <w:lang w:val="fr-CH" w:eastAsia="en-US"/>
        </w:rPr>
        <w:t>ق</w:t>
      </w:r>
      <w:r w:rsidRPr="001D3F00">
        <w:rPr>
          <w:rFonts w:hint="cs"/>
          <w:spacing w:val="-2"/>
          <w:kern w:val="0"/>
          <w:sz w:val="20"/>
          <w:rtl/>
          <w:lang w:val="fr-CH" w:eastAsia="en-US"/>
        </w:rPr>
        <w:t>ة</w:t>
      </w:r>
      <w:r w:rsidRPr="001D3F00">
        <w:rPr>
          <w:spacing w:val="-2"/>
          <w:kern w:val="0"/>
          <w:sz w:val="20"/>
          <w:rtl/>
          <w:lang w:val="fr-CH" w:eastAsia="en-US"/>
        </w:rPr>
        <w:t xml:space="preserve"> والمصالحة التي لم تكن قد أُنشئت بعد. ويتجاهل ذلك الحكم الذي أصدرته في</w:t>
      </w:r>
      <w:r w:rsidRPr="001D3F00">
        <w:rPr>
          <w:rFonts w:hint="cs"/>
          <w:spacing w:val="-2"/>
          <w:kern w:val="0"/>
          <w:sz w:val="20"/>
          <w:rtl/>
          <w:lang w:val="fr-CH" w:eastAsia="en-US"/>
        </w:rPr>
        <w:t> </w:t>
      </w:r>
      <w:r w:rsidRPr="001D3F00">
        <w:rPr>
          <w:spacing w:val="-2"/>
          <w:kern w:val="0"/>
          <w:sz w:val="20"/>
          <w:rtl/>
          <w:lang w:val="fr-CH" w:eastAsia="en-US"/>
        </w:rPr>
        <w:t xml:space="preserve">السابق المحكمة العليا الذي يقضي برفض المحاولات التي قامت بها الشرطة لتأخير التحقيقات على أساس أن هذه التحقيقات لا يمكن أن تُجرى إلا من قبل </w:t>
      </w:r>
      <w:r w:rsidRPr="001D3F00">
        <w:rPr>
          <w:rFonts w:hint="cs"/>
          <w:spacing w:val="-2"/>
          <w:kern w:val="0"/>
          <w:sz w:val="20"/>
          <w:rtl/>
          <w:lang w:val="fr-CH" w:eastAsia="en-US"/>
        </w:rPr>
        <w:t xml:space="preserve">هذه </w:t>
      </w:r>
      <w:r w:rsidRPr="001D3F00">
        <w:rPr>
          <w:spacing w:val="-2"/>
          <w:kern w:val="0"/>
          <w:sz w:val="20"/>
          <w:rtl/>
          <w:lang w:val="fr-CH" w:eastAsia="en-US"/>
        </w:rPr>
        <w:t>اللجنة</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117"/>
      </w:r>
      <w:r w:rsidRPr="001D3F00">
        <w:rPr>
          <w:spacing w:val="-2"/>
          <w:kern w:val="0"/>
          <w:sz w:val="20"/>
          <w:vertAlign w:val="superscript"/>
          <w:rtl/>
          <w:lang w:val="fr-CH" w:eastAsia="en-US"/>
        </w:rPr>
        <w:t>)</w:t>
      </w:r>
      <w:r w:rsidRPr="001D3F00">
        <w:rPr>
          <w:spacing w:val="-2"/>
          <w:kern w:val="0"/>
          <w:sz w:val="20"/>
          <w:rtl/>
          <w:lang w:val="fr-CH" w:eastAsia="en-US"/>
        </w:rPr>
        <w:t>. وبالمثل، في</w:t>
      </w:r>
      <w:r w:rsidRPr="001D3F00">
        <w:rPr>
          <w:rFonts w:hint="cs"/>
          <w:spacing w:val="-2"/>
          <w:kern w:val="0"/>
          <w:sz w:val="20"/>
          <w:rtl/>
          <w:lang w:val="fr-CH" w:eastAsia="en-US"/>
        </w:rPr>
        <w:t> </w:t>
      </w:r>
      <w:r w:rsidRPr="001D3F00">
        <w:rPr>
          <w:spacing w:val="-2"/>
          <w:kern w:val="0"/>
          <w:sz w:val="20"/>
          <w:rtl/>
          <w:lang w:val="fr-CH" w:eastAsia="en-US"/>
        </w:rPr>
        <w:t xml:space="preserve">أعقاب الآراء التي أصدرتها لجنة الأمم المتحدة المعنية بحقوق الإنسان فيما يتعلق باختفاء سوريا براساد شارما، أفادت حكومة نيبال </w:t>
      </w:r>
      <w:r w:rsidRPr="001D3F00">
        <w:rPr>
          <w:rFonts w:hint="cs"/>
          <w:spacing w:val="-2"/>
          <w:kern w:val="0"/>
          <w:sz w:val="20"/>
          <w:rtl/>
          <w:lang w:val="fr-CH" w:eastAsia="en-US"/>
        </w:rPr>
        <w:t>ب</w:t>
      </w:r>
      <w:r w:rsidRPr="001D3F00">
        <w:rPr>
          <w:spacing w:val="-2"/>
          <w:kern w:val="0"/>
          <w:sz w:val="20"/>
          <w:rtl/>
          <w:lang w:val="fr-CH" w:eastAsia="en-US"/>
        </w:rPr>
        <w:t>أن اللجنة المعنية بالتحقيق في حالات الاختفاء التي ستشكل لهذا الغرض هي التي ستحقق في اختفاء صاحب البلاغ، وبالتالي لم</w:t>
      </w:r>
      <w:r w:rsidRPr="001D3F00">
        <w:rPr>
          <w:rFonts w:hint="cs"/>
          <w:spacing w:val="-2"/>
          <w:kern w:val="0"/>
          <w:sz w:val="20"/>
          <w:rtl/>
          <w:lang w:val="fr-CH" w:eastAsia="en-US"/>
        </w:rPr>
        <w:t> </w:t>
      </w:r>
      <w:r w:rsidRPr="001D3F00">
        <w:rPr>
          <w:spacing w:val="-2"/>
          <w:kern w:val="0"/>
          <w:sz w:val="20"/>
          <w:rtl/>
          <w:lang w:val="fr-CH" w:eastAsia="en-US"/>
        </w:rPr>
        <w:t>تحترم آراء اللجنة المعنية بحقوق الإنسان</w:t>
      </w:r>
      <w:r w:rsidRPr="001D3F00">
        <w:rPr>
          <w:rFonts w:hint="cs"/>
          <w:spacing w:val="-2"/>
          <w:kern w:val="0"/>
          <w:sz w:val="20"/>
          <w:rtl/>
          <w:lang w:val="fr-CH" w:eastAsia="en-US"/>
        </w:rPr>
        <w:t xml:space="preserve"> فيما يتعلق</w:t>
      </w:r>
      <w:r w:rsidRPr="001D3F00">
        <w:rPr>
          <w:spacing w:val="-2"/>
          <w:kern w:val="0"/>
          <w:sz w:val="20"/>
          <w:rtl/>
          <w:lang w:val="fr-CH" w:eastAsia="en-US"/>
        </w:rPr>
        <w:t xml:space="preserve"> بمقاضاة المسؤولين في الوقت المناسب</w:t>
      </w:r>
      <w:r w:rsidRPr="001D3F00">
        <w:rPr>
          <w:spacing w:val="-2"/>
          <w:kern w:val="0"/>
          <w:sz w:val="20"/>
          <w:vertAlign w:val="superscript"/>
          <w:rtl/>
          <w:lang w:val="fr-CH" w:eastAsia="en-US"/>
        </w:rPr>
        <w:t>(</w:t>
      </w:r>
      <w:r w:rsidRPr="001D3F00">
        <w:rPr>
          <w:b/>
          <w:spacing w:val="-2"/>
          <w:kern w:val="0"/>
          <w:szCs w:val="28"/>
          <w:vertAlign w:val="superscript"/>
          <w:rtl/>
          <w:lang w:val="fr-CH" w:eastAsia="en-US"/>
        </w:rPr>
        <w:footnoteReference w:id="118"/>
      </w:r>
      <w:r w:rsidRPr="001D3F00">
        <w:rPr>
          <w:spacing w:val="-2"/>
          <w:kern w:val="0"/>
          <w:sz w:val="20"/>
          <w:vertAlign w:val="superscript"/>
          <w:rtl/>
          <w:lang w:val="fr-CH" w:eastAsia="en-US"/>
        </w:rPr>
        <w:t>)</w:t>
      </w:r>
      <w:r w:rsidRPr="001D3F00">
        <w:rPr>
          <w:spacing w:val="-2"/>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60" w:lineRule="exact"/>
        <w:ind w:left="1247" w:right="1247"/>
        <w:jc w:val="lowKashida"/>
        <w:rPr>
          <w:spacing w:val="-3"/>
          <w:kern w:val="0"/>
          <w:sz w:val="20"/>
          <w:lang w:val="fr-CH" w:eastAsia="en-US"/>
        </w:rPr>
      </w:pPr>
      <w:r w:rsidRPr="001D3F00">
        <w:rPr>
          <w:spacing w:val="-3"/>
          <w:kern w:val="0"/>
          <w:sz w:val="20"/>
          <w:rtl/>
          <w:lang w:val="fr-CH" w:eastAsia="en-US"/>
        </w:rPr>
        <w:t>91-</w:t>
      </w:r>
      <w:r w:rsidRPr="001D3F00">
        <w:rPr>
          <w:rFonts w:hint="cs"/>
          <w:spacing w:val="-3"/>
          <w:kern w:val="0"/>
          <w:sz w:val="20"/>
          <w:rtl/>
          <w:lang w:val="fr-CH" w:eastAsia="en-US"/>
        </w:rPr>
        <w:tab/>
      </w:r>
      <w:r w:rsidRPr="001D3F00">
        <w:rPr>
          <w:spacing w:val="-3"/>
          <w:kern w:val="0"/>
          <w:sz w:val="20"/>
          <w:rtl/>
          <w:lang w:val="fr-CH" w:eastAsia="en-US"/>
        </w:rPr>
        <w:t>ودفعت المنظمات غير الحكومية أيضاً بأن حالات التأخير في إنشاء آليات، مثل لجنة الحق</w:t>
      </w:r>
      <w:r w:rsidRPr="001D3F00">
        <w:rPr>
          <w:rFonts w:hint="cs"/>
          <w:spacing w:val="-3"/>
          <w:kern w:val="0"/>
          <w:sz w:val="20"/>
          <w:rtl/>
          <w:lang w:val="fr-CH" w:eastAsia="en-US"/>
        </w:rPr>
        <w:t>ي</w:t>
      </w:r>
      <w:r w:rsidRPr="001D3F00">
        <w:rPr>
          <w:spacing w:val="-3"/>
          <w:kern w:val="0"/>
          <w:sz w:val="20"/>
          <w:rtl/>
          <w:lang w:val="fr-CH" w:eastAsia="en-US"/>
        </w:rPr>
        <w:t>ق</w:t>
      </w:r>
      <w:r w:rsidRPr="001D3F00">
        <w:rPr>
          <w:rFonts w:hint="cs"/>
          <w:spacing w:val="-3"/>
          <w:kern w:val="0"/>
          <w:sz w:val="20"/>
          <w:rtl/>
          <w:lang w:val="fr-CH" w:eastAsia="en-US"/>
        </w:rPr>
        <w:t>ة</w:t>
      </w:r>
      <w:r w:rsidRPr="001D3F00">
        <w:rPr>
          <w:spacing w:val="-3"/>
          <w:kern w:val="0"/>
          <w:sz w:val="20"/>
          <w:rtl/>
          <w:lang w:val="fr-CH" w:eastAsia="en-US"/>
        </w:rPr>
        <w:t xml:space="preserve"> والمصالحة، واللجنة المعنية بالتحقيق في حالات الاختفاء</w:t>
      </w:r>
      <w:r w:rsidRPr="001D3F00">
        <w:rPr>
          <w:rFonts w:hint="cs"/>
          <w:spacing w:val="-3"/>
          <w:kern w:val="0"/>
          <w:sz w:val="20"/>
          <w:rtl/>
          <w:lang w:val="fr-CH" w:eastAsia="en-US"/>
        </w:rPr>
        <w:t>،</w:t>
      </w:r>
      <w:r w:rsidRPr="001D3F00">
        <w:rPr>
          <w:spacing w:val="-3"/>
          <w:kern w:val="0"/>
          <w:sz w:val="20"/>
          <w:rtl/>
          <w:lang w:val="fr-CH" w:eastAsia="en-US"/>
        </w:rPr>
        <w:t xml:space="preserve"> </w:t>
      </w:r>
      <w:r w:rsidRPr="001D3F00">
        <w:rPr>
          <w:rFonts w:hint="cs"/>
          <w:spacing w:val="-3"/>
          <w:kern w:val="0"/>
          <w:sz w:val="20"/>
          <w:rtl/>
          <w:lang w:val="fr-CH" w:eastAsia="en-US"/>
        </w:rPr>
        <w:t>ت</w:t>
      </w:r>
      <w:r w:rsidRPr="001D3F00">
        <w:rPr>
          <w:spacing w:val="-3"/>
          <w:kern w:val="0"/>
          <w:sz w:val="20"/>
          <w:rtl/>
          <w:lang w:val="fr-CH" w:eastAsia="en-US"/>
        </w:rPr>
        <w:t>سهم في انتشار ظاهرة الإفلات من العقاب في نيبال، لأنها تظهر باستمرار ضعف الإرادة السياسية في التحقيق في الانتهاكات الجسيمة لحقوق الإنسان التي حدثت في الماضي، بما في ذلك التحقيق في زهاء</w:t>
      </w:r>
      <w:r w:rsidRPr="001D3F00">
        <w:rPr>
          <w:rFonts w:hint="cs"/>
          <w:spacing w:val="-3"/>
          <w:kern w:val="0"/>
          <w:sz w:val="20"/>
          <w:rtl/>
          <w:lang w:val="fr-CH" w:eastAsia="en-US"/>
        </w:rPr>
        <w:t> 000 1</w:t>
      </w:r>
      <w:r w:rsidRPr="001D3F00">
        <w:rPr>
          <w:spacing w:val="-3"/>
          <w:kern w:val="0"/>
          <w:sz w:val="20"/>
          <w:rtl/>
          <w:lang w:val="fr-CH" w:eastAsia="en-US"/>
        </w:rPr>
        <w:t xml:space="preserve"> حالة من</w:t>
      </w:r>
      <w:r w:rsidRPr="001D3F00">
        <w:rPr>
          <w:rFonts w:hint="cs"/>
          <w:spacing w:val="-3"/>
          <w:kern w:val="0"/>
          <w:sz w:val="20"/>
          <w:rtl/>
          <w:lang w:val="fr-CH" w:eastAsia="en-US"/>
        </w:rPr>
        <w:t> </w:t>
      </w:r>
      <w:r w:rsidRPr="001D3F00">
        <w:rPr>
          <w:spacing w:val="-3"/>
          <w:kern w:val="0"/>
          <w:sz w:val="20"/>
          <w:rtl/>
          <w:lang w:val="fr-CH" w:eastAsia="en-US"/>
        </w:rPr>
        <w:t xml:space="preserve">حالات الاختفاء القسري والاختطاف التي لا تزال </w:t>
      </w:r>
      <w:r w:rsidRPr="001D3F00">
        <w:rPr>
          <w:rFonts w:hint="cs"/>
          <w:spacing w:val="-3"/>
          <w:kern w:val="0"/>
          <w:sz w:val="20"/>
          <w:rtl/>
          <w:lang w:val="fr-CH" w:eastAsia="en-US"/>
        </w:rPr>
        <w:t>معلقة</w:t>
      </w:r>
      <w:r w:rsidRPr="001D3F00">
        <w:rPr>
          <w:spacing w:val="-3"/>
          <w:kern w:val="0"/>
          <w:sz w:val="20"/>
          <w:rtl/>
          <w:lang w:val="fr-CH" w:eastAsia="en-US"/>
        </w:rPr>
        <w:t xml:space="preserve"> منذ انتهاء النزاع</w:t>
      </w:r>
      <w:r w:rsidRPr="001D3F00">
        <w:rPr>
          <w:spacing w:val="-3"/>
          <w:kern w:val="0"/>
          <w:sz w:val="20"/>
          <w:vertAlign w:val="superscript"/>
          <w:rtl/>
          <w:lang w:val="fr-CH" w:eastAsia="en-US"/>
        </w:rPr>
        <w:t>(</w:t>
      </w:r>
      <w:r w:rsidRPr="001D3F00">
        <w:rPr>
          <w:b/>
          <w:spacing w:val="-3"/>
          <w:kern w:val="0"/>
          <w:szCs w:val="28"/>
          <w:vertAlign w:val="superscript"/>
          <w:rtl/>
          <w:lang w:val="fr-CH" w:eastAsia="en-US"/>
        </w:rPr>
        <w:footnoteReference w:id="119"/>
      </w:r>
      <w:r w:rsidRPr="001D3F00">
        <w:rPr>
          <w:spacing w:val="-3"/>
          <w:kern w:val="0"/>
          <w:sz w:val="20"/>
          <w:vertAlign w:val="superscript"/>
          <w:rtl/>
          <w:lang w:val="fr-CH" w:eastAsia="en-US"/>
        </w:rPr>
        <w:t>)</w:t>
      </w:r>
      <w:r w:rsidRPr="001D3F00">
        <w:rPr>
          <w:spacing w:val="-3"/>
          <w:kern w:val="0"/>
          <w:sz w:val="20"/>
          <w:rtl/>
          <w:lang w:val="fr-CH" w:eastAsia="en-US"/>
        </w:rPr>
        <w:t>.</w:t>
      </w:r>
    </w:p>
    <w:p w:rsidR="001D3F00" w:rsidRPr="007F4611" w:rsidRDefault="001D3F00" w:rsidP="007F4611">
      <w:pPr>
        <w:pStyle w:val="H4GA"/>
        <w:jc w:val="lowKashida"/>
        <w:rPr>
          <w:spacing w:val="0"/>
          <w:kern w:val="0"/>
          <w:lang w:eastAsia="en-US"/>
        </w:rPr>
      </w:pPr>
      <w:r w:rsidRPr="007F4611">
        <w:rPr>
          <w:rFonts w:hint="cs"/>
          <w:spacing w:val="0"/>
          <w:kern w:val="0"/>
          <w:rtl/>
          <w:lang w:eastAsia="en-US"/>
        </w:rPr>
        <w:tab/>
        <w:t>‘2‘</w:t>
      </w:r>
      <w:r w:rsidRPr="007F4611">
        <w:rPr>
          <w:rFonts w:hint="cs"/>
          <w:spacing w:val="0"/>
          <w:kern w:val="0"/>
          <w:rtl/>
          <w:lang w:eastAsia="en-US"/>
        </w:rPr>
        <w:tab/>
      </w:r>
      <w:r w:rsidRPr="007F4611">
        <w:rPr>
          <w:spacing w:val="0"/>
          <w:kern w:val="0"/>
          <w:rtl/>
          <w:lang w:eastAsia="en-US"/>
        </w:rPr>
        <w:t>عدم فعالية اللجنة الوطنية لحقوق الإنسان</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6"/>
          <w:kern w:val="0"/>
          <w:sz w:val="20"/>
          <w:rtl/>
          <w:lang w:val="fr-CH" w:eastAsia="en-US"/>
        </w:rPr>
        <w:t>92-</w:t>
      </w:r>
      <w:r w:rsidRPr="001D3F00">
        <w:rPr>
          <w:rFonts w:hint="cs"/>
          <w:spacing w:val="-6"/>
          <w:kern w:val="0"/>
          <w:sz w:val="20"/>
          <w:rtl/>
          <w:lang w:val="fr-CH" w:eastAsia="en-US"/>
        </w:rPr>
        <w:tab/>
      </w:r>
      <w:r w:rsidRPr="001D3F00">
        <w:rPr>
          <w:spacing w:val="-6"/>
          <w:kern w:val="0"/>
          <w:sz w:val="20"/>
          <w:rtl/>
          <w:lang w:val="fr-CH" w:eastAsia="en-US"/>
        </w:rPr>
        <w:t>ذكرت اللجنة الوطنية لحقوق الإنسان في تقريرها السنوي عن الفترة 2007</w:t>
      </w:r>
      <w:r w:rsidRPr="001D3F00">
        <w:rPr>
          <w:rFonts w:hint="cs"/>
          <w:spacing w:val="-6"/>
          <w:kern w:val="0"/>
          <w:sz w:val="20"/>
          <w:rtl/>
          <w:lang w:val="fr-CH" w:eastAsia="en-US"/>
        </w:rPr>
        <w:t>-</w:t>
      </w:r>
      <w:r w:rsidRPr="001D3F00">
        <w:rPr>
          <w:spacing w:val="-6"/>
          <w:kern w:val="0"/>
          <w:sz w:val="20"/>
          <w:rtl/>
          <w:lang w:val="fr-CH" w:eastAsia="en-US"/>
        </w:rPr>
        <w:t>2008</w:t>
      </w:r>
      <w:r w:rsidRPr="001D3F00">
        <w:rPr>
          <w:spacing w:val="0"/>
          <w:kern w:val="0"/>
          <w:sz w:val="20"/>
          <w:rtl/>
          <w:lang w:val="fr-CH" w:eastAsia="en-US"/>
        </w:rPr>
        <w:t xml:space="preserve"> مسألة افتقار الحكومة إلى تنفيذ توصيات اللجنة بوصفها إحدى التحديات الرئيسية التي تواجهها اللجنة في أداء عملها. وفي الفترة من 17 تموز/يوليه 2007 إلى 14 تموز/</w:t>
      </w:r>
      <w:r w:rsidRPr="001D3F00">
        <w:rPr>
          <w:rFonts w:hint="cs"/>
          <w:spacing w:val="0"/>
          <w:kern w:val="0"/>
          <w:sz w:val="20"/>
          <w:rtl/>
          <w:lang w:val="fr-CH" w:eastAsia="en-US"/>
        </w:rPr>
        <w:t xml:space="preserve"> </w:t>
      </w:r>
      <w:r w:rsidRPr="001D3F00">
        <w:rPr>
          <w:spacing w:val="0"/>
          <w:kern w:val="0"/>
          <w:sz w:val="20"/>
          <w:rtl/>
          <w:lang w:val="fr-CH" w:eastAsia="en-US"/>
        </w:rPr>
        <w:t>يوليه</w:t>
      </w:r>
      <w:r w:rsidRPr="001D3F00">
        <w:rPr>
          <w:rFonts w:hint="cs"/>
          <w:spacing w:val="0"/>
          <w:kern w:val="0"/>
          <w:sz w:val="20"/>
          <w:rtl/>
          <w:lang w:val="fr-CH" w:eastAsia="en-US"/>
        </w:rPr>
        <w:t> </w:t>
      </w:r>
      <w:r w:rsidRPr="001D3F00">
        <w:rPr>
          <w:spacing w:val="0"/>
          <w:kern w:val="0"/>
          <w:sz w:val="20"/>
          <w:rtl/>
          <w:lang w:val="fr-CH" w:eastAsia="en-US"/>
        </w:rPr>
        <w:t xml:space="preserve">2008، تلقت اللجنة </w:t>
      </w:r>
      <w:r w:rsidRPr="001D3F00">
        <w:rPr>
          <w:rFonts w:hint="cs"/>
          <w:spacing w:val="0"/>
          <w:kern w:val="0"/>
          <w:sz w:val="20"/>
          <w:rtl/>
          <w:lang w:val="fr-CH" w:eastAsia="en-US"/>
        </w:rPr>
        <w:t>173 1</w:t>
      </w:r>
      <w:r w:rsidRPr="001D3F00">
        <w:rPr>
          <w:spacing w:val="0"/>
          <w:kern w:val="0"/>
          <w:sz w:val="20"/>
          <w:rtl/>
          <w:lang w:val="fr-CH" w:eastAsia="en-US"/>
        </w:rPr>
        <w:t xml:space="preserve"> شكوى تتعلق بانتهاكات حقوق الإنسان تشمل 104 شكاوى تتعلق بالتعذيب على أيدي قوات الأمن. وأجرت اللجنة</w:t>
      </w:r>
      <w:r w:rsidRPr="001D3F00">
        <w:rPr>
          <w:rFonts w:hint="cs"/>
          <w:spacing w:val="0"/>
          <w:kern w:val="0"/>
          <w:sz w:val="20"/>
          <w:rtl/>
          <w:lang w:val="fr-CH" w:eastAsia="en-US"/>
        </w:rPr>
        <w:t xml:space="preserve"> </w:t>
      </w:r>
      <w:r w:rsidRPr="001D3F00">
        <w:rPr>
          <w:spacing w:val="0"/>
          <w:kern w:val="0"/>
          <w:sz w:val="20"/>
          <w:rtl/>
          <w:lang w:val="fr-CH" w:eastAsia="en-US"/>
        </w:rPr>
        <w:t>ما مجموعه</w:t>
      </w:r>
      <w:r w:rsidRPr="001D3F00">
        <w:rPr>
          <w:rFonts w:hint="cs"/>
          <w:spacing w:val="0"/>
          <w:kern w:val="0"/>
          <w:sz w:val="20"/>
          <w:rtl/>
          <w:lang w:val="fr-CH" w:eastAsia="en-US"/>
        </w:rPr>
        <w:t> </w:t>
      </w:r>
      <w:r w:rsidRPr="001D3F00">
        <w:rPr>
          <w:spacing w:val="0"/>
          <w:kern w:val="0"/>
          <w:sz w:val="20"/>
          <w:rtl/>
          <w:lang w:val="fr-CH" w:eastAsia="en-US"/>
        </w:rPr>
        <w:t>175 تحقيقاً، وقدمت توصيات في 62 قضية. ولم تنفذ أية توصية من التوصيات التي قدمتها. وأعربت اللجنة الوطنية لحقوق الإنسان بصورة متكررة عن شعورها بالإحباط إزاء عدم تنفيذ توصياتها من قبل الحكومة. وفي آب/أغسطس 2010، ذكرت اللجنة أن الحكومة لم</w:t>
      </w:r>
      <w:r w:rsidRPr="001D3F00">
        <w:rPr>
          <w:rFonts w:hint="cs"/>
          <w:spacing w:val="0"/>
          <w:kern w:val="0"/>
          <w:sz w:val="20"/>
          <w:rtl/>
          <w:lang w:val="fr-CH" w:eastAsia="en-US"/>
        </w:rPr>
        <w:t> </w:t>
      </w:r>
      <w:r w:rsidRPr="001D3F00">
        <w:rPr>
          <w:spacing w:val="0"/>
          <w:kern w:val="0"/>
          <w:sz w:val="20"/>
          <w:rtl/>
          <w:lang w:val="fr-CH" w:eastAsia="en-US"/>
        </w:rPr>
        <w:t>تنفذ سوى</w:t>
      </w:r>
      <w:r w:rsidRPr="001D3F00">
        <w:rPr>
          <w:rFonts w:hint="cs"/>
          <w:spacing w:val="0"/>
          <w:kern w:val="0"/>
          <w:sz w:val="20"/>
          <w:rtl/>
          <w:lang w:val="fr-CH" w:eastAsia="en-US"/>
        </w:rPr>
        <w:t> </w:t>
      </w:r>
      <w:r w:rsidRPr="001D3F00">
        <w:rPr>
          <w:spacing w:val="0"/>
          <w:kern w:val="0"/>
          <w:sz w:val="20"/>
          <w:rtl/>
          <w:lang w:val="fr-CH" w:eastAsia="en-US"/>
        </w:rPr>
        <w:t>34 توصية من أصل 386 توصية كانت قد قدمتها</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0"/>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٩٣-</w:t>
      </w:r>
      <w:r w:rsidRPr="001D3F00">
        <w:rPr>
          <w:spacing w:val="0"/>
          <w:kern w:val="0"/>
          <w:sz w:val="20"/>
          <w:rtl/>
          <w:lang w:val="fr-CH" w:eastAsia="en-US"/>
        </w:rPr>
        <w:tab/>
        <w:t>وأعربت المنظمات غير الحكومية أيضاً عن قلقها إزاء فعالية عمل اللجنة الوطنية لحقوق الإنسان</w:t>
      </w:r>
      <w:r w:rsidRPr="001D3F00">
        <w:rPr>
          <w:rFonts w:hint="cs"/>
          <w:spacing w:val="0"/>
          <w:kern w:val="0"/>
          <w:sz w:val="20"/>
          <w:rtl/>
          <w:lang w:val="fr-CH" w:eastAsia="en-US"/>
        </w:rPr>
        <w:t>.</w:t>
      </w:r>
      <w:r w:rsidRPr="001D3F00">
        <w:rPr>
          <w:spacing w:val="0"/>
          <w:kern w:val="0"/>
          <w:sz w:val="20"/>
          <w:rtl/>
          <w:lang w:val="fr-CH" w:eastAsia="en-US"/>
        </w:rPr>
        <w:t xml:space="preserve"> وأفيد </w:t>
      </w:r>
      <w:r w:rsidRPr="001D3F00">
        <w:rPr>
          <w:rFonts w:hint="cs"/>
          <w:spacing w:val="0"/>
          <w:kern w:val="0"/>
          <w:sz w:val="20"/>
          <w:rtl/>
          <w:lang w:val="fr-CH" w:eastAsia="en-US"/>
        </w:rPr>
        <w:t>ب</w:t>
      </w:r>
      <w:r w:rsidRPr="001D3F00">
        <w:rPr>
          <w:spacing w:val="0"/>
          <w:kern w:val="0"/>
          <w:sz w:val="20"/>
          <w:rtl/>
          <w:lang w:val="fr-CH" w:eastAsia="en-US"/>
        </w:rPr>
        <w:t xml:space="preserve">أن ٦٧٧ شكوى تتعلق بانتهاكات حقوق الإنسان </w:t>
      </w:r>
      <w:r w:rsidRPr="001D3F00">
        <w:rPr>
          <w:rFonts w:hint="cs"/>
          <w:spacing w:val="0"/>
          <w:kern w:val="0"/>
          <w:sz w:val="20"/>
          <w:rtl/>
          <w:lang w:val="fr-CH" w:eastAsia="en-US"/>
        </w:rPr>
        <w:t xml:space="preserve">قد عُرضت على اللجنة </w:t>
      </w:r>
      <w:r w:rsidRPr="001D3F00">
        <w:rPr>
          <w:spacing w:val="0"/>
          <w:kern w:val="0"/>
          <w:sz w:val="20"/>
          <w:rtl/>
          <w:lang w:val="fr-CH" w:eastAsia="en-US"/>
        </w:rPr>
        <w:t>في الفترة من ١٦ تموز/يوليه ٢٠٠٨ إلى ١٤ تموز/يوليه ٢٠٠٩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1"/>
      </w:r>
      <w:r w:rsidRPr="001D3F00">
        <w:rPr>
          <w:spacing w:val="0"/>
          <w:kern w:val="0"/>
          <w:sz w:val="20"/>
          <w:vertAlign w:val="superscript"/>
          <w:rtl/>
          <w:lang w:val="fr-CH" w:eastAsia="en-US"/>
        </w:rPr>
        <w:t>)</w:t>
      </w:r>
      <w:r w:rsidRPr="001D3F00">
        <w:rPr>
          <w:spacing w:val="0"/>
          <w:kern w:val="0"/>
          <w:sz w:val="20"/>
          <w:rtl/>
          <w:lang w:val="fr-CH" w:eastAsia="en-US"/>
        </w:rPr>
        <w:t>. وتشمل هذه الشكاوى 70 ادعاءً بالتعذيب على أيدي قوات الأمن. ومن بين هذه القضايا السبعين، لم</w:t>
      </w:r>
      <w:r w:rsidRPr="001D3F00">
        <w:rPr>
          <w:rFonts w:hint="cs"/>
          <w:spacing w:val="0"/>
          <w:kern w:val="0"/>
          <w:sz w:val="20"/>
          <w:rtl/>
          <w:lang w:val="fr-CH" w:eastAsia="en-US"/>
        </w:rPr>
        <w:t> </w:t>
      </w:r>
      <w:r w:rsidRPr="001D3F00">
        <w:rPr>
          <w:spacing w:val="0"/>
          <w:kern w:val="0"/>
          <w:sz w:val="20"/>
          <w:rtl/>
          <w:lang w:val="fr-CH" w:eastAsia="en-US"/>
        </w:rPr>
        <w:t>تحقق اللجنة الوطنية لحقوق الإنسان إلا في ثلاث قضايا. وقد أوصت اللجنة في قضيتين منها باتخاذ إجراء ضد الجناة وبمنح تعويضات في القضايا الثلاث</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2"/>
      </w:r>
      <w:r w:rsidRPr="001D3F00">
        <w:rPr>
          <w:spacing w:val="0"/>
          <w:kern w:val="0"/>
          <w:sz w:val="20"/>
          <w:vertAlign w:val="superscript"/>
          <w:rtl/>
          <w:lang w:val="fr-CH" w:eastAsia="en-US"/>
        </w:rPr>
        <w:t>)</w:t>
      </w:r>
      <w:r w:rsidRPr="001D3F00">
        <w:rPr>
          <w:spacing w:val="0"/>
          <w:kern w:val="0"/>
          <w:sz w:val="20"/>
          <w:rtl/>
          <w:lang w:val="fr-CH" w:eastAsia="en-US"/>
        </w:rPr>
        <w:t>. ولا يقدم التقرير السنوي معلومات تبين أسباب عدم التحقيق في القضايا المتبقية وعددها 67 قضية. وبالمثل، فإن دراسة مشتركة بين اللجنة الوطنية لحقوق الإنسان ومركز ضحايا التعذيب تناولت 594 من</w:t>
      </w:r>
      <w:r w:rsidRPr="001D3F00">
        <w:rPr>
          <w:rFonts w:hint="cs"/>
          <w:spacing w:val="0"/>
          <w:kern w:val="0"/>
          <w:sz w:val="20"/>
          <w:rtl/>
          <w:lang w:val="fr-CH" w:eastAsia="en-US"/>
        </w:rPr>
        <w:t xml:space="preserve"> قضايا</w:t>
      </w:r>
      <w:r w:rsidRPr="001D3F00">
        <w:rPr>
          <w:spacing w:val="0"/>
          <w:kern w:val="0"/>
          <w:sz w:val="20"/>
          <w:rtl/>
          <w:lang w:val="fr-CH" w:eastAsia="en-US"/>
        </w:rPr>
        <w:t xml:space="preserve"> ضحايا التعذيب في خمس مقاطعات قد كشفت عن زيادة انتشار ظاهرة التعذيب، وهي ظاهرة تسببت في </w:t>
      </w:r>
      <w:r w:rsidRPr="001D3F00">
        <w:rPr>
          <w:rFonts w:hint="cs"/>
          <w:spacing w:val="0"/>
          <w:kern w:val="0"/>
          <w:sz w:val="20"/>
          <w:rtl/>
          <w:lang w:val="fr-CH" w:eastAsia="en-US"/>
        </w:rPr>
        <w:t>تعرض</w:t>
      </w:r>
      <w:r w:rsidRPr="001D3F00">
        <w:rPr>
          <w:spacing w:val="0"/>
          <w:kern w:val="0"/>
          <w:sz w:val="20"/>
          <w:rtl/>
          <w:lang w:val="fr-CH" w:eastAsia="en-US"/>
        </w:rPr>
        <w:t xml:space="preserve"> الضحايا </w:t>
      </w:r>
      <w:r w:rsidRPr="001D3F00">
        <w:rPr>
          <w:rFonts w:hint="cs"/>
          <w:spacing w:val="0"/>
          <w:kern w:val="0"/>
          <w:sz w:val="20"/>
          <w:rtl/>
          <w:lang w:val="fr-CH" w:eastAsia="en-US"/>
        </w:rPr>
        <w:t>ل</w:t>
      </w:r>
      <w:r w:rsidRPr="001D3F00">
        <w:rPr>
          <w:spacing w:val="0"/>
          <w:kern w:val="0"/>
          <w:sz w:val="20"/>
          <w:rtl/>
          <w:lang w:val="fr-CH" w:eastAsia="en-US"/>
        </w:rPr>
        <w:t>مشاكل بدنية وعقلية خطيرة وما يرتبط بذلك من إعاقات</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3"/>
      </w:r>
      <w:r w:rsidRPr="001D3F00">
        <w:rPr>
          <w:spacing w:val="0"/>
          <w:kern w:val="0"/>
          <w:sz w:val="20"/>
          <w:vertAlign w:val="superscript"/>
          <w:rtl/>
          <w:lang w:val="fr-CH" w:eastAsia="en-US"/>
        </w:rPr>
        <w:t>)</w:t>
      </w:r>
      <w:r w:rsidRPr="001D3F00">
        <w:rPr>
          <w:spacing w:val="0"/>
          <w:kern w:val="0"/>
          <w:sz w:val="20"/>
          <w:rtl/>
          <w:lang w:val="fr-CH" w:eastAsia="en-US"/>
        </w:rPr>
        <w:t xml:space="preserve">. ولم تتخذ اللجنة الوطنية لحقوق الإنسان المبادرة </w:t>
      </w:r>
      <w:r w:rsidRPr="001D3F00">
        <w:rPr>
          <w:rFonts w:hint="cs"/>
          <w:spacing w:val="0"/>
          <w:kern w:val="0"/>
          <w:sz w:val="20"/>
          <w:rtl/>
          <w:lang w:val="fr-CH" w:eastAsia="en-US"/>
        </w:rPr>
        <w:t>بتجهيز</w:t>
      </w:r>
      <w:r w:rsidRPr="001D3F00">
        <w:rPr>
          <w:spacing w:val="0"/>
          <w:kern w:val="0"/>
          <w:sz w:val="20"/>
          <w:rtl/>
          <w:lang w:val="fr-CH" w:eastAsia="en-US"/>
        </w:rPr>
        <w:t xml:space="preserve"> هذه القضايا </w:t>
      </w:r>
      <w:r w:rsidRPr="001D3F00">
        <w:rPr>
          <w:rFonts w:hint="cs"/>
          <w:spacing w:val="0"/>
          <w:kern w:val="0"/>
          <w:sz w:val="20"/>
          <w:rtl/>
          <w:lang w:val="fr-CH" w:eastAsia="en-US"/>
        </w:rPr>
        <w:t xml:space="preserve">من أجل حصول الضحايا على </w:t>
      </w:r>
      <w:r w:rsidRPr="001D3F00">
        <w:rPr>
          <w:spacing w:val="0"/>
          <w:kern w:val="0"/>
          <w:sz w:val="20"/>
          <w:rtl/>
          <w:lang w:val="fr-CH" w:eastAsia="en-US"/>
        </w:rPr>
        <w:t>تعويضات، ولكنها دعت منظمات حقوق الإنسان إلى توفير خدمات فورية لإعادة تأهيل ضحايا التعذيب</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4"/>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7F4611">
      <w:pPr>
        <w:pStyle w:val="H4GA"/>
        <w:jc w:val="lowKashida"/>
        <w:rPr>
          <w:spacing w:val="0"/>
          <w:kern w:val="0"/>
          <w:lang w:eastAsia="en-US"/>
        </w:rPr>
      </w:pPr>
      <w:r w:rsidRPr="007F4611">
        <w:rPr>
          <w:rFonts w:hint="cs"/>
          <w:spacing w:val="0"/>
          <w:kern w:val="0"/>
          <w:rtl/>
          <w:lang w:eastAsia="en-US"/>
        </w:rPr>
        <w:tab/>
        <w:t>’3‘</w:t>
      </w:r>
      <w:r w:rsidRPr="007F4611">
        <w:rPr>
          <w:rFonts w:hint="cs"/>
          <w:spacing w:val="0"/>
          <w:kern w:val="0"/>
          <w:rtl/>
          <w:lang w:eastAsia="en-US"/>
        </w:rPr>
        <w:tab/>
      </w:r>
      <w:r w:rsidRPr="007F4611">
        <w:rPr>
          <w:spacing w:val="0"/>
          <w:kern w:val="0"/>
          <w:rtl/>
          <w:lang w:eastAsia="en-US"/>
        </w:rPr>
        <w:t>عدم تجريم التعذيب بما يتم</w:t>
      </w:r>
      <w:r w:rsidRPr="007F4611">
        <w:rPr>
          <w:rFonts w:hint="cs"/>
          <w:spacing w:val="0"/>
          <w:kern w:val="0"/>
          <w:rtl/>
          <w:lang w:eastAsia="en-US"/>
        </w:rPr>
        <w:t>ا</w:t>
      </w:r>
      <w:r w:rsidRPr="007F4611">
        <w:rPr>
          <w:spacing w:val="0"/>
          <w:kern w:val="0"/>
          <w:rtl/>
          <w:lang w:eastAsia="en-US"/>
        </w:rPr>
        <w:t>شى مع التعريف الوارد في الاتفاقية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val="fr-CH" w:eastAsia="en-US"/>
        </w:rPr>
      </w:pPr>
      <w:r w:rsidRPr="001D3F00">
        <w:rPr>
          <w:spacing w:val="0"/>
          <w:kern w:val="0"/>
          <w:sz w:val="20"/>
          <w:rtl/>
          <w:lang w:val="fr-CH" w:eastAsia="en-US"/>
        </w:rPr>
        <w:t>94-</w:t>
      </w:r>
      <w:r w:rsidRPr="001D3F00">
        <w:rPr>
          <w:spacing w:val="0"/>
          <w:kern w:val="0"/>
          <w:sz w:val="20"/>
          <w:rtl/>
          <w:lang w:val="fr-CH" w:eastAsia="en-US"/>
        </w:rPr>
        <w:tab/>
        <w:t>وفقاً لمحفل الدفاع، فإنه على الرغم من أن الدستور المؤقت الصادر في كانون الثاني/</w:t>
      </w:r>
      <w:r w:rsidRPr="001D3F00">
        <w:rPr>
          <w:rFonts w:hint="cs"/>
          <w:spacing w:val="0"/>
          <w:kern w:val="0"/>
          <w:sz w:val="20"/>
          <w:rtl/>
          <w:lang w:val="fr-CH" w:eastAsia="en-US"/>
        </w:rPr>
        <w:t xml:space="preserve"> </w:t>
      </w:r>
      <w:r w:rsidRPr="001D3F00">
        <w:rPr>
          <w:spacing w:val="0"/>
          <w:kern w:val="0"/>
          <w:sz w:val="20"/>
          <w:rtl/>
          <w:lang w:val="fr-CH" w:eastAsia="en-US"/>
        </w:rPr>
        <w:t>يناير 2007 يتضمن أحكاماً تعتبر ممارسة التعذيب جريمة جنائية، فإن التعذيب لا يزال يعتبر جريمة مدنية لعدم إصدار مشروع قانون إلى اليوم يتعلق بممارسة التعذيب (مشروع قانون ينص على عقوبات جنائية على أفعال التعذيب)</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5"/>
      </w:r>
      <w:r w:rsidRPr="001D3F00">
        <w:rPr>
          <w:spacing w:val="0"/>
          <w:kern w:val="0"/>
          <w:sz w:val="20"/>
          <w:vertAlign w:val="superscript"/>
          <w:rtl/>
          <w:lang w:val="fr-CH" w:eastAsia="en-US"/>
        </w:rPr>
        <w:t>)</w:t>
      </w:r>
      <w:r w:rsidRPr="001D3F00">
        <w:rPr>
          <w:spacing w:val="0"/>
          <w:kern w:val="0"/>
          <w:sz w:val="20"/>
          <w:rtl/>
          <w:lang w:val="fr-CH" w:eastAsia="en-US"/>
        </w:rPr>
        <w:t>. وما</w:t>
      </w:r>
      <w:r w:rsidRPr="001D3F00">
        <w:rPr>
          <w:rFonts w:hint="cs"/>
          <w:spacing w:val="0"/>
          <w:kern w:val="0"/>
          <w:sz w:val="20"/>
          <w:rtl/>
          <w:lang w:val="fr-CH" w:eastAsia="en-US"/>
        </w:rPr>
        <w:t xml:space="preserve"> </w:t>
      </w:r>
      <w:r w:rsidRPr="001D3F00">
        <w:rPr>
          <w:spacing w:val="0"/>
          <w:kern w:val="0"/>
          <w:sz w:val="20"/>
          <w:rtl/>
          <w:lang w:val="fr-CH" w:eastAsia="en-US"/>
        </w:rPr>
        <w:t xml:space="preserve">لم يصدر تشريع يعرف جريمة التعذيب صراحة، فإن مرتكبيها لا يمكن أن يدانوا إلا بموجب حكم الاعتداء الوارد في قانون البلد. ولا يتضمن قانون التعويض المتعلق بالتعذيب لعام 1996 </w:t>
      </w:r>
      <w:r w:rsidRPr="001D3F00">
        <w:rPr>
          <w:rFonts w:hint="cs"/>
          <w:spacing w:val="0"/>
          <w:kern w:val="0"/>
          <w:sz w:val="20"/>
          <w:rtl/>
          <w:lang w:val="fr-CH" w:eastAsia="en-US"/>
        </w:rPr>
        <w:t xml:space="preserve">جزاءات </w:t>
      </w:r>
      <w:r w:rsidRPr="001D3F00">
        <w:rPr>
          <w:spacing w:val="0"/>
          <w:kern w:val="0"/>
          <w:sz w:val="20"/>
          <w:rtl/>
          <w:lang w:val="fr-CH" w:eastAsia="en-US"/>
        </w:rPr>
        <w:t>جنائية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6"/>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95-</w:t>
      </w:r>
      <w:r w:rsidRPr="001D3F00">
        <w:rPr>
          <w:spacing w:val="0"/>
          <w:kern w:val="0"/>
          <w:sz w:val="20"/>
          <w:rtl/>
          <w:lang w:val="fr-CH" w:eastAsia="en-US"/>
        </w:rPr>
        <w:tab/>
        <w:t xml:space="preserve">وعلى الرغم من قرار المحكمة العليا التاريخي الصادر في عام 2007 </w:t>
      </w:r>
      <w:r w:rsidRPr="001D3F00">
        <w:rPr>
          <w:rFonts w:hint="cs"/>
          <w:spacing w:val="0"/>
          <w:kern w:val="0"/>
          <w:sz w:val="20"/>
          <w:rtl/>
          <w:lang w:val="fr-CH" w:eastAsia="en-US"/>
        </w:rPr>
        <w:t xml:space="preserve">وطرح </w:t>
      </w:r>
      <w:r w:rsidRPr="001D3F00">
        <w:rPr>
          <w:spacing w:val="0"/>
          <w:kern w:val="0"/>
          <w:sz w:val="20"/>
          <w:rtl/>
          <w:lang w:val="fr-CH" w:eastAsia="en-US"/>
        </w:rPr>
        <w:t xml:space="preserve">مشروع قانون اللجنة المعنية بمسألة المختفين، لا توجد تطورات إيجابية رئيسية </w:t>
      </w:r>
      <w:r w:rsidRPr="001D3F00">
        <w:rPr>
          <w:rFonts w:hint="cs"/>
          <w:spacing w:val="0"/>
          <w:kern w:val="0"/>
          <w:sz w:val="20"/>
          <w:rtl/>
          <w:lang w:val="fr-CH" w:eastAsia="en-US"/>
        </w:rPr>
        <w:t xml:space="preserve">في القانون النيبالي </w:t>
      </w:r>
      <w:r w:rsidRPr="001D3F00">
        <w:rPr>
          <w:spacing w:val="0"/>
          <w:kern w:val="0"/>
          <w:sz w:val="20"/>
          <w:rtl/>
          <w:lang w:val="fr-CH" w:eastAsia="en-US"/>
        </w:rPr>
        <w:t>لإيجاد حل لقضايا الاختفاء أو تجريم الاختفاء القسري</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7"/>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7F4611" w:rsidRDefault="001D3F00" w:rsidP="007F4611">
      <w:pPr>
        <w:pStyle w:val="H4GA"/>
        <w:jc w:val="lowKashida"/>
        <w:rPr>
          <w:spacing w:val="0"/>
          <w:kern w:val="0"/>
          <w:lang w:eastAsia="en-US"/>
        </w:rPr>
      </w:pPr>
      <w:r w:rsidRPr="007F4611">
        <w:rPr>
          <w:rFonts w:hint="cs"/>
          <w:spacing w:val="0"/>
          <w:kern w:val="0"/>
          <w:rtl/>
          <w:lang w:eastAsia="en-US"/>
        </w:rPr>
        <w:tab/>
        <w:t>’4‘</w:t>
      </w:r>
      <w:r w:rsidRPr="007F4611">
        <w:rPr>
          <w:rFonts w:hint="cs"/>
          <w:spacing w:val="0"/>
          <w:kern w:val="0"/>
          <w:rtl/>
          <w:lang w:eastAsia="en-US"/>
        </w:rPr>
        <w:tab/>
      </w:r>
      <w:r w:rsidRPr="007F4611">
        <w:rPr>
          <w:spacing w:val="0"/>
          <w:kern w:val="0"/>
          <w:rtl/>
          <w:lang w:eastAsia="en-US"/>
        </w:rPr>
        <w:t>عدم تقديم تعويض مناسب إلى ضحايا التعذيب</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val="fr-CH" w:eastAsia="en-US"/>
        </w:rPr>
      </w:pPr>
      <w:r w:rsidRPr="001D3F00">
        <w:rPr>
          <w:spacing w:val="0"/>
          <w:kern w:val="0"/>
          <w:sz w:val="20"/>
          <w:rtl/>
          <w:lang w:val="fr-CH" w:eastAsia="en-US"/>
        </w:rPr>
        <w:t>96-</w:t>
      </w:r>
      <w:r w:rsidRPr="001D3F00">
        <w:rPr>
          <w:spacing w:val="0"/>
          <w:kern w:val="0"/>
          <w:sz w:val="20"/>
          <w:rtl/>
          <w:lang w:val="fr-CH" w:eastAsia="en-US"/>
        </w:rPr>
        <w:tab/>
        <w:t xml:space="preserve">تفيد المنظمات غير الحكومية </w:t>
      </w:r>
      <w:r w:rsidRPr="001D3F00">
        <w:rPr>
          <w:rFonts w:hint="cs"/>
          <w:spacing w:val="0"/>
          <w:kern w:val="0"/>
          <w:sz w:val="20"/>
          <w:rtl/>
          <w:lang w:val="fr-CH" w:eastAsia="en-US"/>
        </w:rPr>
        <w:t>ب</w:t>
      </w:r>
      <w:r w:rsidRPr="001D3F00">
        <w:rPr>
          <w:spacing w:val="0"/>
          <w:kern w:val="0"/>
          <w:sz w:val="20"/>
          <w:rtl/>
          <w:lang w:val="fr-CH" w:eastAsia="en-US"/>
        </w:rPr>
        <w:t xml:space="preserve">أنه على الرغم من وجود قانون التعويض المتعلق بالتعذيب، فإن ضحايا التعذيب قلما يتمكنون من الحصول على التعويض. ومنذ سن هذا القانون، صدرت قرارات إيجابية لصالح الضحايا في 50 قضية من أصل 160 قضية رفعها مركز نيبال لضحايا التعذيب للحصول على تعويض عن أضرار التعذيب، وقد حصل الضحايا على </w:t>
      </w:r>
      <w:r w:rsidRPr="001D3F00">
        <w:rPr>
          <w:rFonts w:hint="cs"/>
          <w:spacing w:val="0"/>
          <w:kern w:val="0"/>
          <w:sz w:val="20"/>
          <w:rtl/>
          <w:lang w:val="fr-CH" w:eastAsia="en-US"/>
        </w:rPr>
        <w:t xml:space="preserve">شيء </w:t>
      </w:r>
      <w:r w:rsidRPr="001D3F00">
        <w:rPr>
          <w:spacing w:val="0"/>
          <w:kern w:val="0"/>
          <w:sz w:val="20"/>
          <w:rtl/>
          <w:lang w:val="fr-CH" w:eastAsia="en-US"/>
        </w:rPr>
        <w:t xml:space="preserve">من التعويض في ثماني قضايا من بين القضايا الخمسين. ونظراً إلى هذا الافتقار إلى الوصول إلى العدالة وإلى الحصول على التعويض، فإن الضحايا فقدوا ثقتهم في نظام القضاء وتزايد </w:t>
      </w:r>
      <w:r w:rsidRPr="001D3F00">
        <w:rPr>
          <w:rFonts w:hint="cs"/>
          <w:spacing w:val="0"/>
          <w:kern w:val="0"/>
          <w:sz w:val="20"/>
          <w:rtl/>
          <w:lang w:val="fr-CH" w:eastAsia="en-US"/>
        </w:rPr>
        <w:t>عزوفهم عن</w:t>
      </w:r>
      <w:r w:rsidRPr="001D3F00">
        <w:rPr>
          <w:spacing w:val="0"/>
          <w:kern w:val="0"/>
          <w:sz w:val="20"/>
          <w:rtl/>
          <w:lang w:val="fr-CH" w:eastAsia="en-US"/>
        </w:rPr>
        <w:t xml:space="preserve"> رفع قضايا التعويض إلى المحاكم. وفي القضايا التي يحصل فيها الضحايا على </w:t>
      </w:r>
      <w:r w:rsidRPr="001D3F00">
        <w:rPr>
          <w:rFonts w:hint="cs"/>
          <w:spacing w:val="0"/>
          <w:kern w:val="0"/>
          <w:sz w:val="20"/>
          <w:rtl/>
          <w:lang w:val="fr-CH" w:eastAsia="en-US"/>
        </w:rPr>
        <w:t>شكل من</w:t>
      </w:r>
      <w:r w:rsidRPr="001D3F00">
        <w:rPr>
          <w:spacing w:val="0"/>
          <w:kern w:val="0"/>
          <w:sz w:val="20"/>
          <w:rtl/>
          <w:lang w:val="fr-CH" w:eastAsia="en-US"/>
        </w:rPr>
        <w:t xml:space="preserve"> أشكال التعويض</w:t>
      </w:r>
      <w:r w:rsidRPr="001D3F00">
        <w:rPr>
          <w:rFonts w:hint="cs"/>
          <w:spacing w:val="0"/>
          <w:kern w:val="0"/>
          <w:sz w:val="20"/>
          <w:rtl/>
          <w:lang w:val="fr-CH" w:eastAsia="en-US"/>
        </w:rPr>
        <w:t>،</w:t>
      </w:r>
      <w:r w:rsidRPr="001D3F00">
        <w:rPr>
          <w:spacing w:val="0"/>
          <w:kern w:val="0"/>
          <w:sz w:val="20"/>
          <w:rtl/>
          <w:lang w:val="fr-CH" w:eastAsia="en-US"/>
        </w:rPr>
        <w:t xml:space="preserve"> عادة ما ي</w:t>
      </w:r>
      <w:r w:rsidRPr="001D3F00">
        <w:rPr>
          <w:rFonts w:hint="cs"/>
          <w:spacing w:val="0"/>
          <w:kern w:val="0"/>
          <w:sz w:val="20"/>
          <w:rtl/>
          <w:lang w:val="fr-CH" w:eastAsia="en-US"/>
        </w:rPr>
        <w:t>قدم التعويض</w:t>
      </w:r>
      <w:r w:rsidRPr="001D3F00">
        <w:rPr>
          <w:spacing w:val="0"/>
          <w:kern w:val="0"/>
          <w:sz w:val="20"/>
          <w:rtl/>
          <w:lang w:val="fr-CH" w:eastAsia="en-US"/>
        </w:rPr>
        <w:t xml:space="preserve"> بعد تأخر كبير</w:t>
      </w:r>
      <w:r w:rsidRPr="001D3F00">
        <w:rPr>
          <w:rFonts w:hint="cs"/>
          <w:spacing w:val="0"/>
          <w:kern w:val="0"/>
          <w:sz w:val="20"/>
          <w:rtl/>
          <w:lang w:val="fr-CH" w:eastAsia="en-US"/>
        </w:rPr>
        <w:t>،</w:t>
      </w:r>
      <w:r w:rsidRPr="001D3F00">
        <w:rPr>
          <w:spacing w:val="0"/>
          <w:kern w:val="0"/>
          <w:sz w:val="20"/>
          <w:rtl/>
          <w:lang w:val="fr-CH" w:eastAsia="en-US"/>
        </w:rPr>
        <w:t xml:space="preserve"> و</w:t>
      </w:r>
      <w:r w:rsidRPr="001D3F00">
        <w:rPr>
          <w:rFonts w:hint="cs"/>
          <w:spacing w:val="0"/>
          <w:kern w:val="0"/>
          <w:sz w:val="20"/>
          <w:rtl/>
          <w:lang w:val="fr-CH" w:eastAsia="en-US"/>
        </w:rPr>
        <w:t xml:space="preserve">تكون </w:t>
      </w:r>
      <w:r w:rsidRPr="001D3F00">
        <w:rPr>
          <w:spacing w:val="0"/>
          <w:kern w:val="0"/>
          <w:sz w:val="20"/>
          <w:rtl/>
          <w:lang w:val="fr-CH" w:eastAsia="en-US"/>
        </w:rPr>
        <w:t xml:space="preserve">مبالغ التعويض </w:t>
      </w:r>
      <w:r w:rsidRPr="001D3F00">
        <w:rPr>
          <w:rFonts w:hint="cs"/>
          <w:spacing w:val="0"/>
          <w:kern w:val="0"/>
          <w:sz w:val="20"/>
          <w:rtl/>
          <w:lang w:val="fr-CH" w:eastAsia="en-US"/>
        </w:rPr>
        <w:t xml:space="preserve">متدنية </w:t>
      </w:r>
      <w:r w:rsidRPr="001D3F00">
        <w:rPr>
          <w:spacing w:val="0"/>
          <w:kern w:val="0"/>
          <w:sz w:val="20"/>
          <w:rtl/>
          <w:lang w:val="fr-CH" w:eastAsia="en-US"/>
        </w:rPr>
        <w:t xml:space="preserve">للغاية </w:t>
      </w:r>
      <w:r w:rsidRPr="001D3F00">
        <w:rPr>
          <w:rFonts w:hint="cs"/>
          <w:spacing w:val="0"/>
          <w:kern w:val="0"/>
          <w:sz w:val="20"/>
          <w:rtl/>
          <w:lang w:val="fr-CH" w:eastAsia="en-US"/>
        </w:rPr>
        <w:t>حيث</w:t>
      </w:r>
      <w:r w:rsidRPr="001D3F00">
        <w:rPr>
          <w:spacing w:val="0"/>
          <w:kern w:val="0"/>
          <w:sz w:val="20"/>
          <w:rtl/>
          <w:lang w:val="fr-CH" w:eastAsia="en-US"/>
        </w:rPr>
        <w:t xml:space="preserve"> تتراوح بين 000 10 روبية (100 يورو) و000</w:t>
      </w:r>
      <w:r w:rsidRPr="001D3F00">
        <w:rPr>
          <w:rFonts w:hint="cs"/>
          <w:spacing w:val="0"/>
          <w:kern w:val="0"/>
          <w:sz w:val="20"/>
          <w:rtl/>
          <w:lang w:val="fr-CH" w:eastAsia="en-US"/>
        </w:rPr>
        <w:t> </w:t>
      </w:r>
      <w:r w:rsidRPr="001D3F00">
        <w:rPr>
          <w:spacing w:val="0"/>
          <w:kern w:val="0"/>
          <w:sz w:val="20"/>
          <w:rtl/>
          <w:lang w:val="fr-CH" w:eastAsia="en-US"/>
        </w:rPr>
        <w:t>100 روبية (</w:t>
      </w:r>
      <w:r w:rsidRPr="001D3F00">
        <w:rPr>
          <w:rFonts w:hint="cs"/>
          <w:spacing w:val="0"/>
          <w:kern w:val="0"/>
          <w:sz w:val="20"/>
          <w:rtl/>
          <w:lang w:val="fr-CH" w:eastAsia="en-US"/>
        </w:rPr>
        <w:t>000 1</w:t>
      </w:r>
      <w:r w:rsidRPr="001D3F00">
        <w:rPr>
          <w:spacing w:val="0"/>
          <w:kern w:val="0"/>
          <w:sz w:val="20"/>
          <w:rtl/>
          <w:lang w:val="fr-CH" w:eastAsia="en-US"/>
        </w:rPr>
        <w:t xml:space="preserve"> يورو)</w:t>
      </w:r>
      <w:r w:rsidRPr="001D3F00">
        <w:rPr>
          <w:rFonts w:hint="cs"/>
          <w:spacing w:val="0"/>
          <w:kern w:val="0"/>
          <w:sz w:val="20"/>
          <w:rtl/>
          <w:lang w:val="fr-CH" w:eastAsia="en-US"/>
        </w:rPr>
        <w:t xml:space="preserve">. بيد أن </w:t>
      </w:r>
      <w:r w:rsidRPr="001D3F00">
        <w:rPr>
          <w:spacing w:val="0"/>
          <w:kern w:val="0"/>
          <w:sz w:val="20"/>
          <w:rtl/>
          <w:lang w:val="fr-CH" w:eastAsia="en-US"/>
        </w:rPr>
        <w:t xml:space="preserve">معظم الضحايا يتلقون الحد الأدنى </w:t>
      </w:r>
      <w:r w:rsidRPr="001D3F00">
        <w:rPr>
          <w:rFonts w:hint="cs"/>
          <w:spacing w:val="0"/>
          <w:kern w:val="0"/>
          <w:sz w:val="20"/>
          <w:rtl/>
          <w:lang w:val="fr-CH" w:eastAsia="en-US"/>
        </w:rPr>
        <w:t xml:space="preserve">الذي </w:t>
      </w:r>
      <w:r w:rsidRPr="001D3F00">
        <w:rPr>
          <w:spacing w:val="0"/>
          <w:kern w:val="0"/>
          <w:sz w:val="20"/>
          <w:rtl/>
          <w:lang w:val="fr-CH" w:eastAsia="en-US"/>
        </w:rPr>
        <w:t>لا يكاد يكفي لتغطية تكاليف إعادة تأهيلهم بدني</w:t>
      </w:r>
      <w:r w:rsidRPr="001D3F00">
        <w:rPr>
          <w:rFonts w:hint="cs"/>
          <w:spacing w:val="0"/>
          <w:kern w:val="0"/>
          <w:sz w:val="20"/>
          <w:rtl/>
          <w:lang w:val="fr-CH" w:eastAsia="en-US"/>
        </w:rPr>
        <w:t>اً</w:t>
      </w:r>
      <w:r w:rsidRPr="001D3F00">
        <w:rPr>
          <w:spacing w:val="0"/>
          <w:kern w:val="0"/>
          <w:sz w:val="20"/>
          <w:rtl/>
          <w:lang w:val="fr-CH" w:eastAsia="en-US"/>
        </w:rPr>
        <w:t xml:space="preserve"> ونفس</w:t>
      </w:r>
      <w:r w:rsidRPr="001D3F00">
        <w:rPr>
          <w:rFonts w:hint="cs"/>
          <w:spacing w:val="0"/>
          <w:kern w:val="0"/>
          <w:sz w:val="20"/>
          <w:rtl/>
          <w:lang w:val="fr-CH" w:eastAsia="en-US"/>
        </w:rPr>
        <w:t>ياً</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8"/>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3E7397" w:rsidRDefault="001D3F00" w:rsidP="003E7397">
      <w:pPr>
        <w:pStyle w:val="HChGA"/>
        <w:rPr>
          <w:rFonts w:ascii="Times New Roman Bold" w:hAnsi="Times New Roman Bold"/>
          <w:spacing w:val="0"/>
          <w:kern w:val="0"/>
          <w:lang w:val="fr-CH" w:eastAsia="en-US"/>
        </w:rPr>
      </w:pPr>
      <w:r w:rsidRPr="003E7397">
        <w:rPr>
          <w:rFonts w:ascii="Times New Roman Bold" w:hAnsi="Times New Roman Bold"/>
          <w:spacing w:val="0"/>
          <w:kern w:val="0"/>
          <w:rtl/>
          <w:lang w:val="fr-CH" w:eastAsia="en-US"/>
        </w:rPr>
        <w:tab/>
        <w:t>خامساً-</w:t>
      </w:r>
      <w:r w:rsidRPr="003E7397">
        <w:rPr>
          <w:rFonts w:ascii="Times New Roman Bold" w:hAnsi="Times New Roman Bold"/>
          <w:spacing w:val="0"/>
          <w:kern w:val="0"/>
          <w:rtl/>
          <w:lang w:val="fr-CH" w:eastAsia="en-US"/>
        </w:rPr>
        <w:tab/>
        <w:t>استنتاجات اللجنة وتوصياتها</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97-</w:t>
      </w:r>
      <w:r w:rsidRPr="001D3F00">
        <w:rPr>
          <w:spacing w:val="0"/>
          <w:kern w:val="0"/>
          <w:sz w:val="20"/>
          <w:rtl/>
          <w:lang w:val="fr-CH" w:eastAsia="en-US"/>
        </w:rPr>
        <w:tab/>
        <w:t>تشير اللجنة إلى التعريف التالي</w:t>
      </w:r>
      <w:r w:rsidRPr="001D3F00">
        <w:rPr>
          <w:rFonts w:hint="cs"/>
          <w:spacing w:val="0"/>
          <w:kern w:val="0"/>
          <w:sz w:val="20"/>
          <w:rtl/>
          <w:lang w:val="fr-CH" w:eastAsia="en-US"/>
        </w:rPr>
        <w:t xml:space="preserve"> المتعلق</w:t>
      </w:r>
      <w:r w:rsidRPr="001D3F00">
        <w:rPr>
          <w:spacing w:val="0"/>
          <w:kern w:val="0"/>
          <w:sz w:val="20"/>
          <w:rtl/>
          <w:lang w:val="fr-CH" w:eastAsia="en-US"/>
        </w:rPr>
        <w:t xml:space="preserve"> </w:t>
      </w:r>
      <w:r w:rsidRPr="001D3F00">
        <w:rPr>
          <w:rFonts w:hint="cs"/>
          <w:spacing w:val="0"/>
          <w:kern w:val="0"/>
          <w:sz w:val="20"/>
          <w:rtl/>
          <w:lang w:val="fr-CH" w:eastAsia="en-US"/>
        </w:rPr>
        <w:t xml:space="preserve">بالممارسة المنهجية </w:t>
      </w:r>
      <w:r w:rsidRPr="001D3F00">
        <w:rPr>
          <w:spacing w:val="0"/>
          <w:kern w:val="0"/>
          <w:sz w:val="20"/>
          <w:rtl/>
          <w:lang w:val="fr-CH" w:eastAsia="en-US"/>
        </w:rPr>
        <w:t>للتعذيب، وهو تعريف اعتمدته في تحقيقها الأول:</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928" w:right="1247"/>
        <w:jc w:val="lowKashida"/>
        <w:rPr>
          <w:spacing w:val="0"/>
          <w:kern w:val="0"/>
          <w:sz w:val="20"/>
          <w:lang w:val="fr-CH" w:eastAsia="en-US"/>
        </w:rPr>
      </w:pPr>
      <w:r w:rsidRPr="001D3F00">
        <w:rPr>
          <w:rFonts w:hint="cs"/>
          <w:spacing w:val="0"/>
          <w:kern w:val="0"/>
          <w:sz w:val="20"/>
          <w:rtl/>
          <w:lang w:val="fr-CH" w:eastAsia="en-US"/>
        </w:rPr>
        <w:tab/>
      </w:r>
      <w:r w:rsidRPr="001D3F00">
        <w:rPr>
          <w:spacing w:val="0"/>
          <w:kern w:val="0"/>
          <w:sz w:val="20"/>
          <w:rtl/>
          <w:lang w:val="fr-CH" w:eastAsia="en-US"/>
        </w:rPr>
        <w:t>ترى اللجنة أن التعذيب يمارس بصورة منهجية عندما يكون واضحاً أن حالات التعذيب التي أبلغ عنها لم تحدث مصادفة في مكان معين أو في وقت معين ولكنها تبدو معتادة وواسعة الانتشار ومتعمدة في جزء كبير من إقليم الدولة المعنية على الأقل. وفي الواقع يمكن أن يكون التعذيب ذا طابع منهجي دون أن يكون ناتجاً عن النية المباشرة للحكومة</w:t>
      </w:r>
      <w:r w:rsidRPr="001D3F00">
        <w:rPr>
          <w:rFonts w:hint="cs"/>
          <w:spacing w:val="0"/>
          <w:kern w:val="0"/>
          <w:sz w:val="20"/>
          <w:rtl/>
          <w:lang w:val="fr-CH" w:eastAsia="en-US"/>
        </w:rPr>
        <w:t>،</w:t>
      </w:r>
      <w:r w:rsidRPr="001D3F00">
        <w:rPr>
          <w:spacing w:val="0"/>
          <w:kern w:val="0"/>
          <w:sz w:val="20"/>
          <w:rtl/>
          <w:lang w:val="fr-CH" w:eastAsia="en-US"/>
        </w:rPr>
        <w:t xml:space="preserve"> ويمكن أن يكون نتيجة لعوامل يصعب على الحكومة السيطرة عليها كما أن حدوثه يمكن أن يدل على وجود تضارب بين السياسة العامة على نحو ما حددتها الحكومة المركزية وتنفيذها من جانب الإدارة المحلية. والتشريعات غير الوافية التي تفسح المجال في الواقع لاستخدام التعذيب، ربما تضيف أيضاً إلى الطبيعة المنهجية لهذه الممارسة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29"/>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val="fr-CH" w:eastAsia="en-US"/>
        </w:rPr>
      </w:pPr>
      <w:r w:rsidRPr="001D3F00">
        <w:rPr>
          <w:spacing w:val="0"/>
          <w:kern w:val="0"/>
          <w:sz w:val="20"/>
          <w:rtl/>
          <w:lang w:val="fr-CH" w:eastAsia="en-US"/>
        </w:rPr>
        <w:t>98-</w:t>
      </w:r>
      <w:r w:rsidRPr="001D3F00">
        <w:rPr>
          <w:spacing w:val="0"/>
          <w:kern w:val="0"/>
          <w:sz w:val="20"/>
          <w:rtl/>
          <w:lang w:val="fr-CH" w:eastAsia="en-US"/>
        </w:rPr>
        <w:tab/>
        <w:t>وتشير اللجنة إلى نتائج هيئات الأمم المتحدة والمنظمات غير الحكومية والمؤسسات الوطنية لحقوق الإنسان المذكورة في هذا التقرير، بما في ذلك تقرير المفوضة السامية لحقوق الإنسان لعام 2009 عن حالة حقوق الإنسان في نيبال</w:t>
      </w:r>
      <w:r w:rsidRPr="001D3F00">
        <w:rPr>
          <w:spacing w:val="0"/>
          <w:kern w:val="0"/>
          <w:sz w:val="20"/>
          <w:vertAlign w:val="superscript"/>
          <w:rtl/>
          <w:lang w:val="fr-CH" w:eastAsia="en-US"/>
        </w:rPr>
        <w:t>(</w:t>
      </w:r>
      <w:r w:rsidRPr="001D3F00">
        <w:rPr>
          <w:b/>
          <w:spacing w:val="-2"/>
          <w:kern w:val="0"/>
          <w:szCs w:val="28"/>
          <w:vertAlign w:val="superscript"/>
          <w:rtl/>
          <w:lang w:val="fr-CH" w:eastAsia="en-US"/>
        </w:rPr>
        <w:footnoteReference w:id="130"/>
      </w:r>
      <w:r w:rsidRPr="001D3F00">
        <w:rPr>
          <w:spacing w:val="0"/>
          <w:kern w:val="0"/>
          <w:sz w:val="20"/>
          <w:vertAlign w:val="superscript"/>
          <w:rtl/>
          <w:lang w:val="fr-CH" w:eastAsia="en-US"/>
        </w:rPr>
        <w:t>)</w:t>
      </w:r>
      <w:r w:rsidRPr="001D3F00">
        <w:rPr>
          <w:spacing w:val="0"/>
          <w:kern w:val="0"/>
          <w:sz w:val="20"/>
          <w:rtl/>
          <w:lang w:val="fr-CH" w:eastAsia="en-US"/>
        </w:rPr>
        <w:t>، وهي نتائج بيَّنت أن هناك تقارير كثيرة تتحدث عن سوء المعاملة ال</w:t>
      </w:r>
      <w:r w:rsidRPr="001D3F00">
        <w:rPr>
          <w:rFonts w:hint="cs"/>
          <w:spacing w:val="0"/>
          <w:kern w:val="0"/>
          <w:sz w:val="20"/>
          <w:rtl/>
          <w:lang w:val="fr-CH" w:eastAsia="en-US"/>
        </w:rPr>
        <w:t>ذ</w:t>
      </w:r>
      <w:r w:rsidRPr="001D3F00">
        <w:rPr>
          <w:spacing w:val="0"/>
          <w:kern w:val="0"/>
          <w:sz w:val="20"/>
          <w:rtl/>
          <w:lang w:val="fr-CH" w:eastAsia="en-US"/>
        </w:rPr>
        <w:t xml:space="preserve">ي </w:t>
      </w:r>
      <w:r w:rsidRPr="001D3F00">
        <w:rPr>
          <w:rFonts w:hint="cs"/>
          <w:spacing w:val="0"/>
          <w:kern w:val="0"/>
          <w:sz w:val="20"/>
          <w:rtl/>
          <w:lang w:val="fr-CH" w:eastAsia="en-US"/>
        </w:rPr>
        <w:t>و</w:t>
      </w:r>
      <w:r w:rsidRPr="001D3F00">
        <w:rPr>
          <w:spacing w:val="0"/>
          <w:kern w:val="0"/>
          <w:sz w:val="20"/>
          <w:rtl/>
          <w:lang w:val="fr-CH" w:eastAsia="en-US"/>
        </w:rPr>
        <w:t>صل أحياناً إلى حد التعذيب، و</w:t>
      </w:r>
      <w:r w:rsidRPr="001D3F00">
        <w:rPr>
          <w:rFonts w:hint="cs"/>
          <w:spacing w:val="0"/>
          <w:kern w:val="0"/>
          <w:sz w:val="20"/>
          <w:rtl/>
          <w:lang w:val="fr-CH" w:eastAsia="en-US"/>
        </w:rPr>
        <w:t>ب</w:t>
      </w:r>
      <w:r w:rsidRPr="001D3F00">
        <w:rPr>
          <w:spacing w:val="0"/>
          <w:kern w:val="0"/>
          <w:sz w:val="20"/>
          <w:rtl/>
          <w:lang w:val="fr-CH" w:eastAsia="en-US"/>
        </w:rPr>
        <w:t xml:space="preserve">خاصة أثناء الاستجواب، وإلى تقرير المتابعة الصادر في 4 آذار/مارس 2011 الذي أعده المقرر الخاص المعني بمسألة التعذيب، وهو تقرير خلص فيه المقرر الخاص إلى أن حالات الضرب وسوء المعاملة التي تصل أحياناً إلى حد التعذيب تنتشر </w:t>
      </w:r>
      <w:r w:rsidRPr="001D3F00">
        <w:rPr>
          <w:rFonts w:hint="cs"/>
          <w:spacing w:val="0"/>
          <w:kern w:val="0"/>
          <w:sz w:val="20"/>
          <w:rtl/>
          <w:lang w:val="fr-CH" w:eastAsia="en-US"/>
        </w:rPr>
        <w:t xml:space="preserve">بصورة واسعة </w:t>
      </w:r>
      <w:r w:rsidRPr="001D3F00">
        <w:rPr>
          <w:spacing w:val="0"/>
          <w:kern w:val="0"/>
          <w:sz w:val="20"/>
          <w:rtl/>
          <w:lang w:val="fr-CH" w:eastAsia="en-US"/>
        </w:rPr>
        <w:t xml:space="preserve">في نيبال، ولا سيما أثناء الاستجواب، وتقارير المنظمات غير الحكومية التي تفيد </w:t>
      </w:r>
      <w:r w:rsidRPr="001D3F00">
        <w:rPr>
          <w:rFonts w:hint="cs"/>
          <w:spacing w:val="0"/>
          <w:kern w:val="0"/>
          <w:sz w:val="20"/>
          <w:rtl/>
          <w:lang w:val="fr-CH" w:eastAsia="en-US"/>
        </w:rPr>
        <w:t xml:space="preserve">عن </w:t>
      </w:r>
      <w:r w:rsidRPr="001D3F00">
        <w:rPr>
          <w:spacing w:val="0"/>
          <w:kern w:val="0"/>
          <w:sz w:val="20"/>
          <w:rtl/>
          <w:lang w:val="fr-CH" w:eastAsia="en-US"/>
        </w:rPr>
        <w:t xml:space="preserve">انخفاض ممارسة التعذيب في نيبال بدرجة كبيرة منذ انتهاء النزاع، </w:t>
      </w:r>
      <w:r w:rsidRPr="001D3F00">
        <w:rPr>
          <w:rFonts w:hint="cs"/>
          <w:spacing w:val="0"/>
          <w:kern w:val="0"/>
          <w:sz w:val="20"/>
          <w:rtl/>
          <w:lang w:val="fr-CH" w:eastAsia="en-US"/>
        </w:rPr>
        <w:t xml:space="preserve">غير أن </w:t>
      </w:r>
      <w:r w:rsidRPr="001D3F00">
        <w:rPr>
          <w:spacing w:val="0"/>
          <w:kern w:val="0"/>
          <w:sz w:val="20"/>
          <w:rtl/>
          <w:lang w:val="fr-CH" w:eastAsia="en-US"/>
        </w:rPr>
        <w:t>هذه الممارسة لا تزال تنتشر في مرحلة الاستجواب أثناء الاحتجاز لدى الشرطة و</w:t>
      </w:r>
      <w:r w:rsidRPr="001D3F00">
        <w:rPr>
          <w:rFonts w:hint="cs"/>
          <w:spacing w:val="0"/>
          <w:kern w:val="0"/>
          <w:sz w:val="20"/>
          <w:rtl/>
          <w:lang w:val="fr-CH" w:eastAsia="en-US"/>
        </w:rPr>
        <w:t xml:space="preserve">ثمة إشكاليات يطرحها تصاعد هذه الممارسة مجدداً </w:t>
      </w:r>
      <w:r w:rsidRPr="001D3F00">
        <w:rPr>
          <w:spacing w:val="0"/>
          <w:kern w:val="0"/>
          <w:sz w:val="20"/>
          <w:rtl/>
          <w:lang w:val="fr-CH" w:eastAsia="en-US"/>
        </w:rPr>
        <w:t>منذ بداية عام</w:t>
      </w:r>
      <w:r w:rsidRPr="001D3F00">
        <w:rPr>
          <w:rFonts w:hint="cs"/>
          <w:spacing w:val="0"/>
          <w:kern w:val="0"/>
          <w:sz w:val="20"/>
          <w:rtl/>
          <w:lang w:val="fr-CH" w:eastAsia="en-US"/>
        </w:rPr>
        <w:t> </w:t>
      </w:r>
      <w:r w:rsidRPr="001D3F00">
        <w:rPr>
          <w:spacing w:val="0"/>
          <w:kern w:val="0"/>
          <w:sz w:val="20"/>
          <w:rtl/>
          <w:lang w:val="fr-CH" w:eastAsia="en-US"/>
        </w:rPr>
        <w:t>2009</w:t>
      </w:r>
      <w:r w:rsidRPr="001D3F00">
        <w:rPr>
          <w:rFonts w:hint="cs"/>
          <w:spacing w:val="0"/>
          <w:kern w:val="0"/>
          <w:sz w:val="20"/>
          <w:rtl/>
          <w:lang w:val="fr-CH" w:eastAsia="en-US"/>
        </w:rPr>
        <w:t xml:space="preserve">، </w:t>
      </w:r>
      <w:r w:rsidRPr="001D3F00">
        <w:rPr>
          <w:spacing w:val="0"/>
          <w:kern w:val="0"/>
          <w:sz w:val="20"/>
          <w:rtl/>
          <w:lang w:val="fr-CH" w:eastAsia="en-US"/>
        </w:rPr>
        <w:t>مما يعكس نمطاً مستمراً من التعذيب يمارس في نيبال بصورة معتادة ومتفشية.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99-</w:t>
      </w:r>
      <w:r w:rsidRPr="001D3F00">
        <w:rPr>
          <w:spacing w:val="0"/>
          <w:kern w:val="0"/>
          <w:sz w:val="20"/>
          <w:rtl/>
          <w:lang w:val="fr-CH" w:eastAsia="en-US"/>
        </w:rPr>
        <w:tab/>
        <w:t xml:space="preserve">وتشير اللجنة أيضاً إلى أن الأحداث المحتجزين لا يزالون يتعرضون بشدة للتعذيب في نيبال. وقد أكدت المعلومات التي قدمتها هيئات الأمم المتحدة والمنظمات غير الحكومية </w:t>
      </w:r>
      <w:r w:rsidRPr="001D3F00">
        <w:rPr>
          <w:rFonts w:hint="cs"/>
          <w:spacing w:val="0"/>
          <w:kern w:val="0"/>
          <w:sz w:val="20"/>
          <w:rtl/>
          <w:lang w:val="fr-CH" w:eastAsia="en-US"/>
        </w:rPr>
        <w:t xml:space="preserve">استمرار </w:t>
      </w:r>
      <w:r w:rsidRPr="001D3F00">
        <w:rPr>
          <w:spacing w:val="0"/>
          <w:kern w:val="0"/>
          <w:sz w:val="20"/>
          <w:rtl/>
          <w:lang w:val="fr-CH" w:eastAsia="en-US"/>
        </w:rPr>
        <w:t xml:space="preserve">إبلاغ الأحداث عن </w:t>
      </w:r>
      <w:r w:rsidRPr="001D3F00">
        <w:rPr>
          <w:rFonts w:hint="cs"/>
          <w:spacing w:val="0"/>
          <w:kern w:val="0"/>
          <w:sz w:val="20"/>
          <w:rtl/>
          <w:lang w:val="fr-CH" w:eastAsia="en-US"/>
        </w:rPr>
        <w:t>التعرض ل</w:t>
      </w:r>
      <w:r w:rsidRPr="001D3F00">
        <w:rPr>
          <w:spacing w:val="0"/>
          <w:kern w:val="0"/>
          <w:sz w:val="20"/>
          <w:rtl/>
          <w:lang w:val="fr-CH" w:eastAsia="en-US"/>
        </w:rPr>
        <w:t xml:space="preserve">لتعذيب في السجون، </w:t>
      </w:r>
      <w:r w:rsidRPr="001D3F00">
        <w:rPr>
          <w:rFonts w:hint="cs"/>
          <w:spacing w:val="0"/>
          <w:kern w:val="0"/>
          <w:sz w:val="20"/>
          <w:rtl/>
          <w:lang w:val="fr-CH" w:eastAsia="en-US"/>
        </w:rPr>
        <w:t>ب</w:t>
      </w:r>
      <w:r w:rsidRPr="001D3F00">
        <w:rPr>
          <w:spacing w:val="0"/>
          <w:kern w:val="0"/>
          <w:sz w:val="20"/>
          <w:rtl/>
          <w:lang w:val="fr-CH" w:eastAsia="en-US"/>
        </w:rPr>
        <w:t>معدل أعلى مما هو مسجل في أوساط عامة السكان، ولا يزال الأحداث يُحتجزون في مرافق البالغين و</w:t>
      </w:r>
      <w:r w:rsidRPr="001D3F00">
        <w:rPr>
          <w:rFonts w:hint="cs"/>
          <w:spacing w:val="0"/>
          <w:kern w:val="0"/>
          <w:sz w:val="20"/>
          <w:rtl/>
          <w:lang w:val="fr-CH" w:eastAsia="en-US"/>
        </w:rPr>
        <w:t>ي</w:t>
      </w:r>
      <w:r w:rsidRPr="001D3F00">
        <w:rPr>
          <w:spacing w:val="0"/>
          <w:kern w:val="0"/>
          <w:sz w:val="20"/>
          <w:rtl/>
          <w:lang w:val="fr-CH" w:eastAsia="en-US"/>
        </w:rPr>
        <w:t>تعرض</w:t>
      </w:r>
      <w:r w:rsidRPr="001D3F00">
        <w:rPr>
          <w:rFonts w:hint="cs"/>
          <w:spacing w:val="0"/>
          <w:kern w:val="0"/>
          <w:sz w:val="20"/>
          <w:rtl/>
          <w:lang w:val="fr-CH" w:eastAsia="en-US"/>
        </w:rPr>
        <w:t>ون</w:t>
      </w:r>
      <w:r w:rsidRPr="001D3F00">
        <w:rPr>
          <w:spacing w:val="0"/>
          <w:kern w:val="0"/>
          <w:sz w:val="20"/>
          <w:rtl/>
          <w:lang w:val="fr-CH" w:eastAsia="en-US"/>
        </w:rPr>
        <w:t xml:space="preserve"> للتعذيب</w:t>
      </w:r>
      <w:r w:rsidRPr="001D3F00">
        <w:rPr>
          <w:rFonts w:hint="cs"/>
          <w:spacing w:val="0"/>
          <w:kern w:val="0"/>
          <w:sz w:val="20"/>
          <w:rtl/>
          <w:lang w:val="fr-CH" w:eastAsia="en-US"/>
        </w:rPr>
        <w:t xml:space="preserve"> بمعدلات </w:t>
      </w:r>
      <w:r w:rsidRPr="001D3F00">
        <w:rPr>
          <w:spacing w:val="0"/>
          <w:kern w:val="0"/>
          <w:sz w:val="20"/>
          <w:rtl/>
          <w:lang w:val="fr-CH" w:eastAsia="en-US"/>
        </w:rPr>
        <w:t xml:space="preserve">أعلى بكثير من المتوسط الوطني المسجل في عدة مقاطعات في منطقة تيراي. وتشير اللجنة إلى أن أفعال التعذيب وسوء المعاملة </w:t>
      </w:r>
      <w:r w:rsidRPr="001D3F00">
        <w:rPr>
          <w:rFonts w:hint="cs"/>
          <w:spacing w:val="0"/>
          <w:kern w:val="0"/>
          <w:sz w:val="20"/>
          <w:rtl/>
          <w:lang w:val="fr-CH" w:eastAsia="en-US"/>
        </w:rPr>
        <w:t>يُقال عادة إنها</w:t>
      </w:r>
      <w:r w:rsidRPr="001D3F00">
        <w:rPr>
          <w:spacing w:val="0"/>
          <w:kern w:val="0"/>
          <w:sz w:val="20"/>
          <w:rtl/>
          <w:lang w:val="fr-CH" w:eastAsia="en-US"/>
        </w:rPr>
        <w:t xml:space="preserve"> تمارس على أيدي </w:t>
      </w:r>
      <w:r w:rsidRPr="001D3F00">
        <w:rPr>
          <w:rFonts w:hint="cs"/>
          <w:spacing w:val="0"/>
          <w:kern w:val="0"/>
          <w:sz w:val="20"/>
          <w:rtl/>
          <w:lang w:val="fr-CH" w:eastAsia="en-US"/>
        </w:rPr>
        <w:t xml:space="preserve">رجال </w:t>
      </w:r>
      <w:r w:rsidRPr="001D3F00">
        <w:rPr>
          <w:spacing w:val="0"/>
          <w:kern w:val="0"/>
          <w:sz w:val="20"/>
          <w:rtl/>
          <w:lang w:val="fr-CH" w:eastAsia="en-US"/>
        </w:rPr>
        <w:t xml:space="preserve">الشرطة النيبالية وقوات الشرطة المسلحة وضباط الجمارك والمسؤولين في إدارة </w:t>
      </w:r>
      <w:r w:rsidRPr="001D3F00">
        <w:rPr>
          <w:rFonts w:hint="cs"/>
          <w:spacing w:val="0"/>
          <w:kern w:val="0"/>
          <w:sz w:val="20"/>
          <w:rtl/>
          <w:lang w:val="fr-CH" w:eastAsia="en-US"/>
        </w:rPr>
        <w:t>الغابات</w:t>
      </w:r>
      <w:r w:rsidRPr="001D3F00">
        <w:rPr>
          <w:spacing w:val="0"/>
          <w:kern w:val="0"/>
          <w:sz w:val="20"/>
          <w:rtl/>
          <w:lang w:val="fr-CH" w:eastAsia="en-US"/>
        </w:rPr>
        <w:t xml:space="preserve"> من أجل انتزاع الاعترافات بالإكراه.</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100-</w:t>
      </w:r>
      <w:r w:rsidRPr="001D3F00">
        <w:rPr>
          <w:spacing w:val="0"/>
          <w:kern w:val="0"/>
          <w:sz w:val="20"/>
          <w:rtl/>
          <w:lang w:val="fr-CH" w:eastAsia="en-US"/>
        </w:rPr>
        <w:tab/>
        <w:t>وترى اللجنة أن هذه التقارير تتضمن دلائل قوي</w:t>
      </w:r>
      <w:r w:rsidRPr="001D3F00">
        <w:rPr>
          <w:rFonts w:hint="cs"/>
          <w:spacing w:val="0"/>
          <w:kern w:val="0"/>
          <w:sz w:val="20"/>
          <w:rtl/>
          <w:lang w:val="fr-CH" w:eastAsia="en-US"/>
        </w:rPr>
        <w:t>ة</w:t>
      </w:r>
      <w:r w:rsidRPr="001D3F00">
        <w:rPr>
          <w:spacing w:val="0"/>
          <w:kern w:val="0"/>
          <w:sz w:val="20"/>
          <w:rtl/>
          <w:lang w:val="fr-CH" w:eastAsia="en-US"/>
        </w:rPr>
        <w:t xml:space="preserve"> تشير إلى أن التعذيب يمارس على نحو منهجي و</w:t>
      </w:r>
      <w:r w:rsidRPr="001D3F00">
        <w:rPr>
          <w:rFonts w:hint="cs"/>
          <w:spacing w:val="0"/>
          <w:kern w:val="0"/>
          <w:sz w:val="20"/>
          <w:rtl/>
          <w:lang w:val="fr-CH" w:eastAsia="en-US"/>
        </w:rPr>
        <w:t>أن</w:t>
      </w:r>
      <w:r w:rsidRPr="001D3F00">
        <w:rPr>
          <w:spacing w:val="0"/>
          <w:kern w:val="0"/>
          <w:sz w:val="20"/>
          <w:rtl/>
          <w:lang w:val="fr-CH" w:eastAsia="en-US"/>
        </w:rPr>
        <w:t xml:space="preserve">ه يُستخدم كثيراً منذ فترة طويلة لأغراض التحقيق الجنائي ولأغراض انتزاع الاعترافات في جزء كبير من أراضي نيبال.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lang w:val="fr-CH" w:eastAsia="en-US"/>
        </w:rPr>
      </w:pPr>
      <w:r w:rsidRPr="001D3F00">
        <w:rPr>
          <w:spacing w:val="0"/>
          <w:kern w:val="0"/>
          <w:sz w:val="20"/>
          <w:rtl/>
          <w:lang w:val="fr-CH" w:eastAsia="en-US"/>
        </w:rPr>
        <w:t>101-</w:t>
      </w:r>
      <w:r w:rsidRPr="001D3F00">
        <w:rPr>
          <w:spacing w:val="0"/>
          <w:kern w:val="0"/>
          <w:sz w:val="20"/>
          <w:rtl/>
          <w:lang w:val="fr-CH" w:eastAsia="en-US"/>
        </w:rPr>
        <w:tab/>
        <w:t xml:space="preserve">وتشير اللجنة إلى استنتاجاتها السابقة في تحقيقها الأول التي تذكر فيها ما يلي: </w:t>
      </w:r>
      <w:r w:rsidRPr="001D3F00">
        <w:rPr>
          <w:rFonts w:hint="cs"/>
          <w:spacing w:val="0"/>
          <w:kern w:val="0"/>
          <w:sz w:val="20"/>
          <w:rtl/>
          <w:lang w:val="fr-CH" w:eastAsia="en-US"/>
        </w:rPr>
        <w:t>"</w:t>
      </w:r>
      <w:r w:rsidRPr="001D3F00">
        <w:rPr>
          <w:spacing w:val="0"/>
          <w:kern w:val="0"/>
          <w:sz w:val="20"/>
          <w:rtl/>
          <w:lang w:val="fr-CH" w:eastAsia="en-US"/>
        </w:rPr>
        <w:t xml:space="preserve">ترى اللجنة، أنه حتى وإن لم يكن بالإمكان إثبات وقوع عدد قليل من حالات التعذيب بتأكيد مطلق، فإن الشهادات العديدة المجمعة تتميز بالاتساق إلى درجة لا يمكن </w:t>
      </w:r>
      <w:r w:rsidRPr="001D3F00">
        <w:rPr>
          <w:rFonts w:hint="cs"/>
          <w:spacing w:val="0"/>
          <w:kern w:val="0"/>
          <w:sz w:val="20"/>
          <w:rtl/>
          <w:lang w:val="fr-CH" w:eastAsia="en-US"/>
        </w:rPr>
        <w:t>مع</w:t>
      </w:r>
      <w:r w:rsidRPr="001D3F00">
        <w:rPr>
          <w:spacing w:val="0"/>
          <w:kern w:val="0"/>
          <w:sz w:val="20"/>
          <w:rtl/>
          <w:lang w:val="fr-CH" w:eastAsia="en-US"/>
        </w:rPr>
        <w:t>ها إنكار وجود الممارسة المنهجية للتعذيب</w:t>
      </w:r>
      <w:r w:rsidRPr="001D3F00">
        <w:rPr>
          <w:rFonts w:hint="cs"/>
          <w:spacing w:val="0"/>
          <w:kern w:val="0"/>
          <w:sz w:val="20"/>
          <w:rtl/>
          <w:lang w:val="fr-CH" w:eastAsia="en-US"/>
        </w:rPr>
        <w:t>"</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31"/>
      </w:r>
      <w:r w:rsidRPr="001D3F00">
        <w:rPr>
          <w:spacing w:val="0"/>
          <w:kern w:val="0"/>
          <w:sz w:val="20"/>
          <w:vertAlign w:val="superscript"/>
          <w:rtl/>
          <w:lang w:val="fr-CH" w:eastAsia="en-US"/>
        </w:rPr>
        <w:t>)</w:t>
      </w:r>
      <w:r w:rsidRPr="001D3F00">
        <w:rPr>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102-</w:t>
      </w:r>
      <w:r w:rsidRPr="001D3F00">
        <w:rPr>
          <w:spacing w:val="0"/>
          <w:kern w:val="0"/>
          <w:sz w:val="20"/>
          <w:rtl/>
          <w:lang w:val="fr-CH" w:eastAsia="en-US"/>
        </w:rPr>
        <w:tab/>
        <w:t>وتلاحظ اللجنة المعلومات التي قدمتها هيئات الأمم المتحدة والمنظمات غير الحكومية فيما يتعلق بادعاءات انتشار التعذيب في نيبال، وتأسف لأن نيبال لم توافق على الزيارة التي طُلب القيام بها إلى أراضيها والتي كانت ستتيح الاتصال المباشر بين أعضاء اللجنة والأفراد الذين يدّعون التعرض للتعذيب</w:t>
      </w:r>
      <w:r w:rsidRPr="001D3F00">
        <w:rPr>
          <w:rFonts w:hint="cs"/>
          <w:spacing w:val="0"/>
          <w:kern w:val="0"/>
          <w:sz w:val="20"/>
          <w:rtl/>
          <w:lang w:val="fr-CH" w:eastAsia="en-US"/>
        </w:rPr>
        <w:t>،</w:t>
      </w:r>
      <w:r w:rsidRPr="001D3F00">
        <w:rPr>
          <w:spacing w:val="0"/>
          <w:kern w:val="0"/>
          <w:sz w:val="20"/>
          <w:rtl/>
          <w:lang w:val="fr-CH" w:eastAsia="en-US"/>
        </w:rPr>
        <w:t xml:space="preserve"> فضلاً عن </w:t>
      </w:r>
      <w:r w:rsidRPr="001D3F00">
        <w:rPr>
          <w:rFonts w:hint="cs"/>
          <w:spacing w:val="0"/>
          <w:kern w:val="0"/>
          <w:sz w:val="20"/>
          <w:rtl/>
          <w:lang w:val="fr-CH" w:eastAsia="en-US"/>
        </w:rPr>
        <w:t>الاتصال ب</w:t>
      </w:r>
      <w:r w:rsidRPr="001D3F00">
        <w:rPr>
          <w:spacing w:val="0"/>
          <w:kern w:val="0"/>
          <w:sz w:val="20"/>
          <w:rtl/>
          <w:lang w:val="fr-CH" w:eastAsia="en-US"/>
        </w:rPr>
        <w:t xml:space="preserve">السلطات ذات الصلة. وتلاحظ اللجنة أن عدداً من المراقبين أفادوا </w:t>
      </w:r>
      <w:r w:rsidRPr="001D3F00">
        <w:rPr>
          <w:rFonts w:hint="cs"/>
          <w:spacing w:val="0"/>
          <w:kern w:val="0"/>
          <w:sz w:val="20"/>
          <w:rtl/>
          <w:lang w:val="fr-CH" w:eastAsia="en-US"/>
        </w:rPr>
        <w:t>ب</w:t>
      </w:r>
      <w:r w:rsidRPr="001D3F00">
        <w:rPr>
          <w:spacing w:val="0"/>
          <w:kern w:val="0"/>
          <w:sz w:val="20"/>
          <w:rtl/>
          <w:lang w:val="fr-CH" w:eastAsia="en-US"/>
        </w:rPr>
        <w:t xml:space="preserve">أنه على الرغم من أن ممارسة التعذيب أثناء الاحتجاز لا تزال </w:t>
      </w:r>
      <w:r w:rsidRPr="001D3F00">
        <w:rPr>
          <w:rFonts w:hint="cs"/>
          <w:spacing w:val="0"/>
          <w:kern w:val="0"/>
          <w:sz w:val="20"/>
          <w:rtl/>
          <w:lang w:val="fr-CH" w:eastAsia="en-US"/>
        </w:rPr>
        <w:t xml:space="preserve">واسعة الانتشار </w:t>
      </w:r>
      <w:r w:rsidRPr="001D3F00">
        <w:rPr>
          <w:spacing w:val="0"/>
          <w:kern w:val="0"/>
          <w:sz w:val="20"/>
          <w:rtl/>
          <w:lang w:val="fr-CH" w:eastAsia="en-US"/>
        </w:rPr>
        <w:t xml:space="preserve">بحيث تصل نسبة المحتجزين الذين يُزعم تعرضهم للتعذيب إلى نحو 20 في المائة، فإن هذه التقارير توحي </w:t>
      </w:r>
      <w:r w:rsidRPr="001D3F00">
        <w:rPr>
          <w:rFonts w:hint="cs"/>
          <w:spacing w:val="0"/>
          <w:kern w:val="0"/>
          <w:sz w:val="20"/>
          <w:rtl/>
          <w:lang w:val="fr-CH" w:eastAsia="en-US"/>
        </w:rPr>
        <w:t>ب</w:t>
      </w:r>
      <w:r w:rsidRPr="001D3F00">
        <w:rPr>
          <w:spacing w:val="0"/>
          <w:kern w:val="0"/>
          <w:sz w:val="20"/>
          <w:rtl/>
          <w:lang w:val="fr-CH" w:eastAsia="en-US"/>
        </w:rPr>
        <w:t xml:space="preserve">أن قوات الأمن في نيبال تلجأ </w:t>
      </w:r>
      <w:r w:rsidRPr="001D3F00">
        <w:rPr>
          <w:rFonts w:hint="cs"/>
          <w:spacing w:val="0"/>
          <w:kern w:val="0"/>
          <w:sz w:val="20"/>
          <w:rtl/>
          <w:lang w:val="fr-CH" w:eastAsia="en-US"/>
        </w:rPr>
        <w:t>حالياً</w:t>
      </w:r>
      <w:r w:rsidRPr="001D3F00">
        <w:rPr>
          <w:spacing w:val="0"/>
          <w:kern w:val="0"/>
          <w:sz w:val="20"/>
          <w:rtl/>
          <w:lang w:val="fr-CH" w:eastAsia="en-US"/>
        </w:rPr>
        <w:t xml:space="preserve"> إلى ممارسة التعذيب بمعدل أقل مما كانت تلجأ إليه كما يزعم في مرحلة النزاع. ومع ذلك، وعلى النحو الذي قررته اللجنة سابقاً، يمكن اعتبار</w:t>
      </w:r>
      <w:r w:rsidRPr="001D3F00">
        <w:rPr>
          <w:rFonts w:hint="cs"/>
          <w:spacing w:val="0"/>
          <w:kern w:val="0"/>
          <w:sz w:val="20"/>
          <w:rtl/>
          <w:lang w:val="fr-CH" w:eastAsia="en-US"/>
        </w:rPr>
        <w:t xml:space="preserve"> أن</w:t>
      </w:r>
      <w:r w:rsidRPr="001D3F00">
        <w:rPr>
          <w:spacing w:val="0"/>
          <w:kern w:val="0"/>
          <w:sz w:val="20"/>
          <w:rtl/>
          <w:lang w:val="fr-CH" w:eastAsia="en-US"/>
        </w:rPr>
        <w:t xml:space="preserve"> الدولة الطرف تمارس التعذيب بصورة منهجية حتى وإن كانت الادعاءات المتعلقة بانتهاك الاتفاقية قد تراجعت </w:t>
      </w:r>
      <w:r w:rsidRPr="001D3F00">
        <w:rPr>
          <w:rFonts w:hint="cs"/>
          <w:spacing w:val="0"/>
          <w:kern w:val="0"/>
          <w:sz w:val="20"/>
          <w:rtl/>
          <w:lang w:val="fr-CH" w:eastAsia="en-US"/>
        </w:rPr>
        <w:t xml:space="preserve">خلال </w:t>
      </w:r>
      <w:r w:rsidRPr="001D3F00">
        <w:rPr>
          <w:spacing w:val="0"/>
          <w:kern w:val="0"/>
          <w:sz w:val="20"/>
          <w:rtl/>
          <w:lang w:val="fr-CH" w:eastAsia="en-US"/>
        </w:rPr>
        <w:t>السنوات التي أُجري فيها التحقيق</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32"/>
      </w:r>
      <w:r w:rsidRPr="001D3F00">
        <w:rPr>
          <w:spacing w:val="0"/>
          <w:kern w:val="0"/>
          <w:sz w:val="20"/>
          <w:vertAlign w:val="superscript"/>
          <w:rtl/>
          <w:lang w:val="fr-CH" w:eastAsia="en-US"/>
        </w:rPr>
        <w:t>)</w:t>
      </w:r>
      <w:r w:rsidRPr="001D3F00">
        <w:rPr>
          <w:spacing w:val="0"/>
          <w:kern w:val="0"/>
          <w:sz w:val="20"/>
          <w:rtl/>
          <w:lang w:val="fr-CH" w:eastAsia="en-US"/>
        </w:rPr>
        <w:t xml:space="preserve">. </w:t>
      </w:r>
      <w:r w:rsidRPr="001D3F00">
        <w:rPr>
          <w:rFonts w:hint="cs"/>
          <w:spacing w:val="0"/>
          <w:kern w:val="0"/>
          <w:sz w:val="20"/>
          <w:rtl/>
          <w:lang w:val="fr-CH" w:eastAsia="en-US"/>
        </w:rPr>
        <w:t>وتخلص</w:t>
      </w:r>
      <w:r w:rsidRPr="001D3F00">
        <w:rPr>
          <w:spacing w:val="0"/>
          <w:kern w:val="0"/>
          <w:sz w:val="20"/>
          <w:rtl/>
          <w:lang w:val="fr-CH" w:eastAsia="en-US"/>
        </w:rPr>
        <w:t xml:space="preserve"> اللجنة </w:t>
      </w:r>
      <w:r w:rsidRPr="001D3F00">
        <w:rPr>
          <w:rFonts w:hint="cs"/>
          <w:spacing w:val="0"/>
          <w:kern w:val="0"/>
          <w:sz w:val="20"/>
          <w:rtl/>
          <w:lang w:val="fr-CH" w:eastAsia="en-US"/>
        </w:rPr>
        <w:t xml:space="preserve">إلى </w:t>
      </w:r>
      <w:r w:rsidRPr="001D3F00">
        <w:rPr>
          <w:spacing w:val="0"/>
          <w:kern w:val="0"/>
          <w:sz w:val="20"/>
          <w:rtl/>
          <w:lang w:val="fr-CH" w:eastAsia="en-US"/>
        </w:rPr>
        <w:t>أن ردود الدولة الطرف على هذه الادعاءات المتعلقة بانتشار التعذيب غير كافية</w:t>
      </w:r>
      <w:r w:rsidRPr="001D3F00">
        <w:rPr>
          <w:rFonts w:hint="cs"/>
          <w:spacing w:val="0"/>
          <w:kern w:val="0"/>
          <w:sz w:val="20"/>
          <w:rtl/>
          <w:lang w:val="fr-CH" w:eastAsia="en-US"/>
        </w:rPr>
        <w:t> </w:t>
      </w:r>
      <w:r w:rsidRPr="001D3F00">
        <w:rPr>
          <w:spacing w:val="0"/>
          <w:kern w:val="0"/>
          <w:sz w:val="20"/>
          <w:rtl/>
          <w:lang w:val="fr-CH" w:eastAsia="en-US"/>
        </w:rPr>
        <w:t>لدحضها.</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103-</w:t>
      </w:r>
      <w:r w:rsidRPr="001D3F00">
        <w:rPr>
          <w:spacing w:val="0"/>
          <w:kern w:val="0"/>
          <w:sz w:val="20"/>
          <w:rtl/>
          <w:lang w:val="fr-CH" w:eastAsia="en-US"/>
        </w:rPr>
        <w:tab/>
        <w:t>و</w:t>
      </w:r>
      <w:r w:rsidRPr="001D3F00">
        <w:rPr>
          <w:rFonts w:hint="cs"/>
          <w:spacing w:val="0"/>
          <w:kern w:val="0"/>
          <w:sz w:val="20"/>
          <w:rtl/>
          <w:lang w:val="fr-CH" w:eastAsia="en-US"/>
        </w:rPr>
        <w:t xml:space="preserve">في حين </w:t>
      </w:r>
      <w:r w:rsidRPr="001D3F00">
        <w:rPr>
          <w:spacing w:val="0"/>
          <w:kern w:val="0"/>
          <w:sz w:val="20"/>
          <w:rtl/>
          <w:lang w:val="fr-CH" w:eastAsia="en-US"/>
        </w:rPr>
        <w:t>تلاحظ اللجنة دفوع الدولة الطرف بأنها لا تقر أفعال التعذيب وتلتزم بوضع حد للإفلات من العقاب، فإنها ترى في قرار</w:t>
      </w:r>
      <w:r w:rsidRPr="001D3F00">
        <w:rPr>
          <w:rFonts w:hint="cs"/>
          <w:spacing w:val="0"/>
          <w:kern w:val="0"/>
          <w:sz w:val="20"/>
          <w:rtl/>
          <w:lang w:val="fr-CH" w:eastAsia="en-US"/>
        </w:rPr>
        <w:t>ها</w:t>
      </w:r>
      <w:r w:rsidRPr="001D3F00">
        <w:rPr>
          <w:spacing w:val="0"/>
          <w:kern w:val="0"/>
          <w:sz w:val="20"/>
          <w:rtl/>
          <w:lang w:val="fr-CH" w:eastAsia="en-US"/>
        </w:rPr>
        <w:t xml:space="preserve"> أن الدولة الطرف لم تقدم إلى اللجنة أدلة واضحة وعملية تدعم ذلك. ولم تحرز نيبال تقدماً كبيراً في التصدي للإفلات من العقاب على انتهاكات وتجاوزات حقوق الإنسان في فترة النزاع. ولا تزال ادعاءات التعذيب تُقدَّم بكثرة شديدة على الرغم من انتهاء النزاع المسلح في عام 2006، ولم تُجر الدولة الطرف تحقيقات كافية في جميع هذه الادعاءات وإنما في عدد قليل منها. وفي الحالات النادرة التي كانت فيها التحقيقات في ادعاء التعذيب ت</w:t>
      </w:r>
      <w:r w:rsidRPr="001D3F00">
        <w:rPr>
          <w:rFonts w:hint="cs"/>
          <w:spacing w:val="0"/>
          <w:kern w:val="0"/>
          <w:sz w:val="20"/>
          <w:rtl/>
          <w:lang w:val="fr-CH" w:eastAsia="en-US"/>
        </w:rPr>
        <w:t>ُ</w:t>
      </w:r>
      <w:r w:rsidRPr="001D3F00">
        <w:rPr>
          <w:spacing w:val="0"/>
          <w:kern w:val="0"/>
          <w:sz w:val="20"/>
          <w:rtl/>
          <w:lang w:val="fr-CH" w:eastAsia="en-US"/>
        </w:rPr>
        <w:t xml:space="preserve">كلل بالنجاح، </w:t>
      </w:r>
      <w:r w:rsidRPr="001D3F00">
        <w:rPr>
          <w:rFonts w:hint="cs"/>
          <w:spacing w:val="0"/>
          <w:kern w:val="0"/>
          <w:sz w:val="20"/>
          <w:rtl/>
          <w:lang w:val="fr-CH" w:eastAsia="en-US"/>
        </w:rPr>
        <w:t xml:space="preserve">لم تصدر عقوبات جنائية ضد المسؤولين </w:t>
      </w:r>
      <w:r w:rsidRPr="001D3F00">
        <w:rPr>
          <w:spacing w:val="0"/>
          <w:kern w:val="0"/>
          <w:sz w:val="20"/>
          <w:rtl/>
          <w:lang w:val="fr-CH" w:eastAsia="en-US"/>
        </w:rPr>
        <w:t>عن أفعال التعذيب، ول</w:t>
      </w:r>
      <w:r w:rsidRPr="001D3F00">
        <w:rPr>
          <w:rFonts w:hint="cs"/>
          <w:spacing w:val="0"/>
          <w:kern w:val="0"/>
          <w:sz w:val="20"/>
          <w:rtl/>
          <w:lang w:val="fr-CH" w:eastAsia="en-US"/>
        </w:rPr>
        <w:t xml:space="preserve">م تصدر على وجه الخصوص </w:t>
      </w:r>
      <w:r w:rsidRPr="001D3F00">
        <w:rPr>
          <w:spacing w:val="0"/>
          <w:kern w:val="0"/>
          <w:sz w:val="20"/>
          <w:rtl/>
          <w:lang w:val="fr-CH" w:eastAsia="en-US"/>
        </w:rPr>
        <w:t>أحكام بالسجن تتناسب مع خطورة الجريمة. وتشير اللجنة إلى تعليقها العام رقم 2 الذي ذكرت فيه</w:t>
      </w:r>
      <w:r w:rsidRPr="001D3F00">
        <w:rPr>
          <w:rFonts w:hint="cs"/>
          <w:spacing w:val="0"/>
          <w:kern w:val="0"/>
          <w:sz w:val="20"/>
          <w:rtl/>
          <w:lang w:val="fr-CH" w:eastAsia="en-US"/>
        </w:rPr>
        <w:t>،</w:t>
      </w:r>
      <w:r w:rsidRPr="001D3F00">
        <w:rPr>
          <w:spacing w:val="0"/>
          <w:kern w:val="0"/>
          <w:sz w:val="20"/>
          <w:rtl/>
          <w:lang w:val="fr-CH" w:eastAsia="en-US"/>
        </w:rPr>
        <w:t xml:space="preserve"> </w:t>
      </w:r>
      <w:r w:rsidRPr="001D3F00">
        <w:rPr>
          <w:rFonts w:hint="cs"/>
          <w:spacing w:val="0"/>
          <w:kern w:val="0"/>
          <w:sz w:val="20"/>
          <w:rtl/>
          <w:lang w:val="fr-CH" w:eastAsia="en-US"/>
        </w:rPr>
        <w:t>بشأن</w:t>
      </w:r>
      <w:r w:rsidRPr="001D3F00">
        <w:rPr>
          <w:spacing w:val="0"/>
          <w:kern w:val="0"/>
          <w:sz w:val="20"/>
          <w:rtl/>
          <w:lang w:val="fr-CH" w:eastAsia="en-US"/>
        </w:rPr>
        <w:t xml:space="preserve"> الجهات الفاعلة من غير الدول</w:t>
      </w:r>
      <w:r w:rsidRPr="001D3F00">
        <w:rPr>
          <w:rFonts w:hint="cs"/>
          <w:spacing w:val="0"/>
          <w:kern w:val="0"/>
          <w:sz w:val="20"/>
          <w:rtl/>
          <w:lang w:val="fr-CH" w:eastAsia="en-US"/>
        </w:rPr>
        <w:t>،</w:t>
      </w:r>
      <w:r w:rsidRPr="001D3F00">
        <w:rPr>
          <w:spacing w:val="0"/>
          <w:kern w:val="0"/>
          <w:sz w:val="20"/>
          <w:rtl/>
          <w:lang w:val="fr-CH" w:eastAsia="en-US"/>
        </w:rPr>
        <w:t xml:space="preserve"> أنه إذا كان لدى السلطات الحكومية من الأسباب المعقولة ما يدفع إلى الاعتقاد بارتكاب أفعال التعذيب أو سوء المعاملة وعجزت عن ممارسة العناية الواجبة لمنع مرتكبيها والتحقيق معهم ومقاضاتهم ومعاقبتهم، فإن الدولة تتحمل مسؤولية ذلك وينبغي اعتبار موظفيها مرتكبي هذه الأفعال </w:t>
      </w:r>
      <w:r w:rsidRPr="001D3F00">
        <w:rPr>
          <w:rFonts w:hint="cs"/>
          <w:spacing w:val="0"/>
          <w:kern w:val="0"/>
          <w:sz w:val="20"/>
          <w:rtl/>
          <w:lang w:val="fr-CH" w:eastAsia="en-US"/>
        </w:rPr>
        <w:t>المحظورة</w:t>
      </w:r>
      <w:r w:rsidRPr="001D3F00">
        <w:rPr>
          <w:spacing w:val="0"/>
          <w:kern w:val="0"/>
          <w:sz w:val="20"/>
          <w:rtl/>
          <w:lang w:val="fr-CH" w:eastAsia="en-US"/>
        </w:rPr>
        <w:t xml:space="preserve"> مسؤولين بموجب الاتفاقية عن قبولها أو</w:t>
      </w:r>
      <w:r w:rsidRPr="001D3F00">
        <w:rPr>
          <w:rFonts w:hint="cs"/>
          <w:spacing w:val="0"/>
          <w:kern w:val="0"/>
          <w:sz w:val="20"/>
          <w:rtl/>
          <w:lang w:val="fr-CH" w:eastAsia="en-US"/>
        </w:rPr>
        <w:t> </w:t>
      </w:r>
      <w:r w:rsidRPr="001D3F00">
        <w:rPr>
          <w:spacing w:val="0"/>
          <w:kern w:val="0"/>
          <w:sz w:val="20"/>
          <w:rtl/>
          <w:lang w:val="fr-CH" w:eastAsia="en-US"/>
        </w:rPr>
        <w:t>السكوت عنها. وينص التعليق العام رقم 2 للجنة أيضاً على أن عدم ممارسة الدولة العناية الواجبة للتدخل لوقف أفعال التعذيب ومعاقبة مرتكبيها وتوفير سبل انتصاف لضحاياها، يسهّل على الجهات الفاعلة من غير الدول ارتكاب أفعال غير مسموح بها بموجب الاتفاقية مع الإفلات من العقاب ويمكّن هذه الجهات من ارتكابها، وإن لا مبالاة الدولة أو تقاعسها يوفر شكلاً من أشكال التشجيع و/أو التصريح بارتكابها</w:t>
      </w:r>
      <w:r w:rsidRPr="001D3F00">
        <w:rPr>
          <w:rFonts w:hint="cs"/>
          <w:spacing w:val="0"/>
          <w:kern w:val="0"/>
          <w:sz w:val="20"/>
          <w:rtl/>
          <w:lang w:val="fr-CH" w:eastAsia="en-US"/>
        </w:rPr>
        <w:t xml:space="preserve"> بفعل الأمر الواقع</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33"/>
      </w:r>
      <w:r w:rsidRPr="001D3F00">
        <w:rPr>
          <w:spacing w:val="0"/>
          <w:kern w:val="0"/>
          <w:sz w:val="20"/>
          <w:vertAlign w:val="superscript"/>
          <w:rtl/>
          <w:lang w:val="fr-CH" w:eastAsia="en-US"/>
        </w:rPr>
        <w:t>)</w:t>
      </w:r>
      <w:r w:rsidRPr="001D3F00">
        <w:rPr>
          <w:spacing w:val="0"/>
          <w:kern w:val="0"/>
          <w:sz w:val="20"/>
          <w:rtl/>
          <w:lang w:val="fr-CH" w:eastAsia="en-US"/>
        </w:rPr>
        <w:t>. وعلى الرغم من أن هذه المبادئ منصوص عليها في التعليق العام رقم 2 مع التركيز على لجنة مناهضة التعذيب وأفعال سوء المعاملة التي ترتكبها جهات فاعلة من غير الدول، فإنها تنطبق بلا شك في حالات كتلك التي يُدّعى فيها أن أعوان الدولة مسؤولون بشكل مباشر عن ارتكاب أفعال التعذيب وإساءة معاملة الأفراد المحتجزين لديهم.</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104-</w:t>
      </w:r>
      <w:r w:rsidRPr="001D3F00">
        <w:rPr>
          <w:spacing w:val="0"/>
          <w:kern w:val="0"/>
          <w:sz w:val="20"/>
          <w:rtl/>
          <w:lang w:val="fr-CH" w:eastAsia="en-US"/>
        </w:rPr>
        <w:tab/>
        <w:t xml:space="preserve">ولذلك فإن الأفعال التي تقوم بها نيبال والتي تمتنع عن القيام بها تصل إلى درجة أكبر من كونها مجرد </w:t>
      </w:r>
      <w:r w:rsidRPr="001D3F00">
        <w:rPr>
          <w:rFonts w:hint="cs"/>
          <w:spacing w:val="0"/>
          <w:kern w:val="0"/>
          <w:sz w:val="20"/>
          <w:rtl/>
          <w:lang w:val="fr-CH" w:eastAsia="en-US"/>
        </w:rPr>
        <w:t>تقصير</w:t>
      </w:r>
      <w:r w:rsidRPr="001D3F00">
        <w:rPr>
          <w:spacing w:val="0"/>
          <w:kern w:val="0"/>
          <w:sz w:val="20"/>
          <w:rtl/>
          <w:lang w:val="fr-CH" w:eastAsia="en-US"/>
        </w:rPr>
        <w:t xml:space="preserve"> عارض. ويُدل ذلك على أن السلطات لم تخفق فقط في دحض ادعاءات تقوم على أسس صحيحة فحسب</w:t>
      </w:r>
      <w:r w:rsidRPr="001D3F00">
        <w:rPr>
          <w:rFonts w:hint="cs"/>
          <w:spacing w:val="0"/>
          <w:kern w:val="0"/>
          <w:sz w:val="20"/>
          <w:rtl/>
          <w:lang w:val="fr-CH" w:eastAsia="en-US"/>
        </w:rPr>
        <w:t>،</w:t>
      </w:r>
      <w:r w:rsidRPr="001D3F00">
        <w:rPr>
          <w:spacing w:val="0"/>
          <w:kern w:val="0"/>
          <w:sz w:val="20"/>
          <w:rtl/>
          <w:lang w:val="fr-CH" w:eastAsia="en-US"/>
        </w:rPr>
        <w:t xml:space="preserve"> بل إنها ظهرت بمظهر من يرضخ لسياسة عامة </w:t>
      </w:r>
      <w:r w:rsidRPr="001D3F00">
        <w:rPr>
          <w:rFonts w:hint="cs"/>
          <w:spacing w:val="0"/>
          <w:kern w:val="0"/>
          <w:sz w:val="20"/>
          <w:rtl/>
          <w:lang w:val="fr-CH" w:eastAsia="en-US"/>
        </w:rPr>
        <w:t xml:space="preserve">تحمي </w:t>
      </w:r>
      <w:r w:rsidRPr="001D3F00">
        <w:rPr>
          <w:spacing w:val="0"/>
          <w:kern w:val="0"/>
          <w:sz w:val="20"/>
          <w:rtl/>
          <w:lang w:val="fr-CH" w:eastAsia="en-US"/>
        </w:rPr>
        <w:t xml:space="preserve">هذه الأفعال </w:t>
      </w:r>
      <w:r w:rsidRPr="001D3F00">
        <w:rPr>
          <w:rFonts w:hint="cs"/>
          <w:spacing w:val="0"/>
          <w:kern w:val="0"/>
          <w:sz w:val="20"/>
          <w:rtl/>
          <w:lang w:val="fr-CH" w:eastAsia="en-US"/>
        </w:rPr>
        <w:t>بل وتشجع</w:t>
      </w:r>
      <w:r w:rsidRPr="001D3F00">
        <w:rPr>
          <w:spacing w:val="0"/>
          <w:kern w:val="0"/>
          <w:sz w:val="20"/>
          <w:rtl/>
          <w:lang w:val="fr-CH" w:eastAsia="en-US"/>
        </w:rPr>
        <w:t xml:space="preserve"> عليها بما يتعارض مع شروط الاتفاقية.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105-</w:t>
      </w:r>
      <w:r w:rsidRPr="001D3F00">
        <w:rPr>
          <w:spacing w:val="0"/>
          <w:kern w:val="0"/>
          <w:sz w:val="20"/>
          <w:rtl/>
          <w:lang w:val="fr-CH" w:eastAsia="en-US"/>
        </w:rPr>
        <w:tab/>
        <w:t>إن قرار اللجنة الخاص بالبت فيما إذا كان التعذيب يُمارس بصورة منهجية أم</w:t>
      </w:r>
      <w:r w:rsidRPr="001D3F00">
        <w:rPr>
          <w:rFonts w:hint="cs"/>
          <w:spacing w:val="0"/>
          <w:kern w:val="0"/>
          <w:sz w:val="20"/>
          <w:rtl/>
          <w:lang w:val="fr-CH" w:eastAsia="en-US"/>
        </w:rPr>
        <w:t> </w:t>
      </w:r>
      <w:r w:rsidRPr="001D3F00">
        <w:rPr>
          <w:spacing w:val="0"/>
          <w:kern w:val="0"/>
          <w:sz w:val="20"/>
          <w:rtl/>
          <w:lang w:val="fr-CH" w:eastAsia="en-US"/>
        </w:rPr>
        <w:t>لا</w:t>
      </w:r>
      <w:r w:rsidRPr="001D3F00">
        <w:rPr>
          <w:rFonts w:hint="cs"/>
          <w:spacing w:val="0"/>
          <w:kern w:val="0"/>
          <w:sz w:val="20"/>
          <w:rtl/>
          <w:lang w:val="fr-CH" w:eastAsia="en-US"/>
        </w:rPr>
        <w:t> </w:t>
      </w:r>
      <w:r w:rsidRPr="001D3F00">
        <w:rPr>
          <w:spacing w:val="0"/>
          <w:kern w:val="0"/>
          <w:sz w:val="20"/>
          <w:rtl/>
          <w:lang w:val="fr-CH" w:eastAsia="en-US"/>
        </w:rPr>
        <w:t>يأخذ في الحسبان تكرار حوادث التعذيب في البلد ونطاقها الإقليمي على حد سواء، ويراعي كذلك مسألة ما إذا كانت الدولة الطرف قد أنشأت آليات فعالة لمنع ارتكاب هذه التجاوزات. وتشير اللجنة إلى تعليقها العام رقم 2 الذي تلاحظ فيه أن الدول الأطراف ملزمة باتخاذ تدابير إيجابية فعالة ل</w:t>
      </w:r>
      <w:r w:rsidRPr="001D3F00">
        <w:rPr>
          <w:rFonts w:hint="cs"/>
          <w:spacing w:val="0"/>
          <w:kern w:val="0"/>
          <w:sz w:val="20"/>
          <w:rtl/>
          <w:lang w:val="fr-CH" w:eastAsia="en-US"/>
        </w:rPr>
        <w:t xml:space="preserve">كفالة فعالية </w:t>
      </w:r>
      <w:r w:rsidRPr="001D3F00">
        <w:rPr>
          <w:spacing w:val="0"/>
          <w:kern w:val="0"/>
          <w:sz w:val="20"/>
          <w:rtl/>
          <w:lang w:val="fr-CH" w:eastAsia="en-US"/>
        </w:rPr>
        <w:t>منع التعذيب</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34"/>
      </w:r>
      <w:r w:rsidRPr="001D3F00">
        <w:rPr>
          <w:spacing w:val="0"/>
          <w:kern w:val="0"/>
          <w:sz w:val="20"/>
          <w:vertAlign w:val="superscript"/>
          <w:rtl/>
          <w:lang w:val="fr-CH" w:eastAsia="en-US"/>
        </w:rPr>
        <w:t>)</w:t>
      </w:r>
      <w:r w:rsidRPr="001D3F00">
        <w:rPr>
          <w:spacing w:val="0"/>
          <w:kern w:val="0"/>
          <w:sz w:val="20"/>
          <w:rtl/>
          <w:lang w:val="fr-CH" w:eastAsia="en-US"/>
        </w:rPr>
        <w:t xml:space="preserve">. وفي هذا الخصوص، </w:t>
      </w:r>
      <w:r w:rsidRPr="001D3F00">
        <w:rPr>
          <w:rFonts w:hint="cs"/>
          <w:spacing w:val="0"/>
          <w:kern w:val="0"/>
          <w:sz w:val="20"/>
          <w:rtl/>
          <w:lang w:val="fr-CH" w:eastAsia="en-US"/>
        </w:rPr>
        <w:t xml:space="preserve">لم تكفل </w:t>
      </w:r>
      <w:r w:rsidRPr="001D3F00">
        <w:rPr>
          <w:spacing w:val="0"/>
          <w:kern w:val="0"/>
          <w:sz w:val="20"/>
          <w:rtl/>
          <w:lang w:val="fr-CH" w:eastAsia="en-US"/>
        </w:rPr>
        <w:t xml:space="preserve">نيبال </w:t>
      </w:r>
      <w:r w:rsidRPr="001D3F00">
        <w:rPr>
          <w:rFonts w:hint="cs"/>
          <w:spacing w:val="0"/>
          <w:kern w:val="0"/>
          <w:sz w:val="20"/>
          <w:rtl/>
          <w:lang w:val="fr-CH" w:eastAsia="en-US"/>
        </w:rPr>
        <w:t>فعالية</w:t>
      </w:r>
      <w:r w:rsidRPr="001D3F00">
        <w:rPr>
          <w:spacing w:val="0"/>
          <w:kern w:val="0"/>
          <w:sz w:val="20"/>
          <w:rtl/>
          <w:lang w:val="fr-CH" w:eastAsia="en-US"/>
        </w:rPr>
        <w:t xml:space="preserve"> مقاضاة المسؤولين في قضايا جمعت المنظمات غير الحكومية واللجنة الوطنية لحقوق الإنسان أدلة كثيرة تثبت </w:t>
      </w:r>
      <w:r w:rsidRPr="001D3F00">
        <w:rPr>
          <w:rFonts w:hint="cs"/>
          <w:spacing w:val="0"/>
          <w:kern w:val="0"/>
          <w:sz w:val="20"/>
          <w:rtl/>
          <w:lang w:val="fr-CH" w:eastAsia="en-US"/>
        </w:rPr>
        <w:t>إدانتهم</w:t>
      </w:r>
      <w:r w:rsidRPr="001D3F00">
        <w:rPr>
          <w:spacing w:val="0"/>
          <w:kern w:val="0"/>
          <w:sz w:val="20"/>
          <w:rtl/>
          <w:lang w:val="fr-CH" w:eastAsia="en-US"/>
        </w:rPr>
        <w:t xml:space="preserve">، ولا سيما القضايا التي أثبتت فيها المحاكم الوطنية مسؤولية </w:t>
      </w:r>
      <w:r w:rsidRPr="001D3F00">
        <w:rPr>
          <w:rFonts w:hint="cs"/>
          <w:spacing w:val="0"/>
          <w:kern w:val="0"/>
          <w:sz w:val="20"/>
          <w:rtl/>
          <w:lang w:val="fr-CH" w:eastAsia="en-US"/>
        </w:rPr>
        <w:t>الأشخاص</w:t>
      </w:r>
      <w:r w:rsidRPr="001D3F00">
        <w:rPr>
          <w:spacing w:val="0"/>
          <w:kern w:val="0"/>
          <w:sz w:val="20"/>
          <w:rtl/>
          <w:lang w:val="fr-CH" w:eastAsia="en-US"/>
        </w:rPr>
        <w:t xml:space="preserve"> المتورطين. وأخفقت الدولة الطرف في وضع حد لممارسات، مثل تزييف سجلات الشرطة والسجن </w:t>
      </w:r>
      <w:r w:rsidRPr="001D3F00">
        <w:rPr>
          <w:rFonts w:hint="cs"/>
          <w:spacing w:val="0"/>
          <w:kern w:val="0"/>
          <w:sz w:val="20"/>
          <w:rtl/>
          <w:lang w:val="fr-CH" w:eastAsia="en-US"/>
        </w:rPr>
        <w:t>واحتجاز</w:t>
      </w:r>
      <w:r w:rsidRPr="001D3F00">
        <w:rPr>
          <w:spacing w:val="0"/>
          <w:kern w:val="0"/>
          <w:sz w:val="20"/>
          <w:rtl/>
          <w:lang w:val="fr-CH" w:eastAsia="en-US"/>
        </w:rPr>
        <w:t xml:space="preserve"> الشرطة للأفراد في </w:t>
      </w:r>
      <w:r w:rsidRPr="001D3F00">
        <w:rPr>
          <w:rFonts w:hint="cs"/>
          <w:spacing w:val="0"/>
          <w:kern w:val="0"/>
          <w:sz w:val="20"/>
          <w:rtl/>
          <w:lang w:val="fr-CH" w:eastAsia="en-US"/>
        </w:rPr>
        <w:t xml:space="preserve">أماكن معزولة </w:t>
      </w:r>
      <w:r w:rsidRPr="001D3F00">
        <w:rPr>
          <w:spacing w:val="0"/>
          <w:kern w:val="0"/>
          <w:sz w:val="20"/>
          <w:rtl/>
          <w:lang w:val="fr-CH" w:eastAsia="en-US"/>
        </w:rPr>
        <w:t>لعدة أيام أو لفترات أطول من 24 ساعة قبل مثولهم أمام القاضي وحالات رفض الشرطة تسجيل البلاغات الأولية. ولم تضع الدولة الطرف حداً لتنفيذ أحكام قانون الأسلحة والذخائر التي تنتهك الضمانات الأساسية لأصول المحاكمة.</w:t>
      </w:r>
      <w:r w:rsidRPr="001D3F00">
        <w:rPr>
          <w:rFonts w:hint="cs"/>
          <w:spacing w:val="0"/>
          <w:kern w:val="0"/>
          <w:sz w:val="20"/>
          <w:rtl/>
          <w:lang w:val="fr-CH" w:eastAsia="en-US"/>
        </w:rPr>
        <w:t xml:space="preserve"> </w:t>
      </w:r>
      <w:r w:rsidRPr="001D3F00">
        <w:rPr>
          <w:spacing w:val="0"/>
          <w:kern w:val="0"/>
          <w:sz w:val="20"/>
          <w:rtl/>
          <w:lang w:val="fr-CH" w:eastAsia="en-US"/>
        </w:rPr>
        <w:t>ولم تضمن الدولة الطرف تلقي المحتجزين للفحوص الطبية على أيدي أطباء مستقلّين</w:t>
      </w:r>
      <w:r w:rsidRPr="001D3F00">
        <w:rPr>
          <w:rFonts w:hint="cs"/>
          <w:spacing w:val="0"/>
          <w:kern w:val="0"/>
          <w:sz w:val="20"/>
          <w:rtl/>
          <w:lang w:val="fr-CH" w:eastAsia="en-US"/>
        </w:rPr>
        <w:t>،</w:t>
      </w:r>
      <w:r w:rsidRPr="001D3F00">
        <w:rPr>
          <w:spacing w:val="0"/>
          <w:kern w:val="0"/>
          <w:sz w:val="20"/>
          <w:rtl/>
          <w:lang w:val="fr-CH" w:eastAsia="en-US"/>
        </w:rPr>
        <w:t xml:space="preserve"> كما لم تضمن عدم استخدام القضاة للاعترافات المنتزعة تحت وطأة التعذيب في الإجراءات القانونية ومنع الموظفين المتهمين بالتعذيب أو</w:t>
      </w:r>
      <w:r w:rsidRPr="001D3F00">
        <w:rPr>
          <w:rFonts w:hint="cs"/>
          <w:spacing w:val="0"/>
          <w:kern w:val="0"/>
          <w:sz w:val="20"/>
          <w:rtl/>
          <w:lang w:val="fr-CH" w:eastAsia="en-US"/>
        </w:rPr>
        <w:t> </w:t>
      </w:r>
      <w:r w:rsidRPr="001D3F00">
        <w:rPr>
          <w:spacing w:val="0"/>
          <w:kern w:val="0"/>
          <w:sz w:val="20"/>
          <w:rtl/>
          <w:lang w:val="fr-CH" w:eastAsia="en-US"/>
        </w:rPr>
        <w:t>بإعدامات منفّذة خارج نطاق القضاء من الحصول على ترقيات</w:t>
      </w:r>
      <w:r w:rsidRPr="001D3F00">
        <w:rPr>
          <w:rFonts w:hint="cs"/>
          <w:spacing w:val="0"/>
          <w:kern w:val="0"/>
          <w:sz w:val="20"/>
          <w:rtl/>
          <w:lang w:val="fr-CH" w:eastAsia="en-US"/>
        </w:rPr>
        <w:t>،</w:t>
      </w:r>
      <w:r w:rsidRPr="001D3F00">
        <w:rPr>
          <w:spacing w:val="0"/>
          <w:kern w:val="0"/>
          <w:sz w:val="20"/>
          <w:rtl/>
          <w:lang w:val="fr-CH" w:eastAsia="en-US"/>
        </w:rPr>
        <w:t xml:space="preserve"> وحظر حالات رفض إيقافهم عن العمل. و</w:t>
      </w:r>
      <w:r w:rsidRPr="001D3F00">
        <w:rPr>
          <w:rFonts w:hint="cs"/>
          <w:spacing w:val="0"/>
          <w:kern w:val="0"/>
          <w:sz w:val="20"/>
          <w:rtl/>
          <w:lang w:val="fr-CH" w:eastAsia="en-US"/>
        </w:rPr>
        <w:t>لم تنفذ</w:t>
      </w:r>
      <w:r w:rsidRPr="001D3F00">
        <w:rPr>
          <w:spacing w:val="0"/>
          <w:kern w:val="0"/>
          <w:sz w:val="20"/>
          <w:rtl/>
          <w:lang w:val="fr-CH" w:eastAsia="en-US"/>
        </w:rPr>
        <w:t xml:space="preserve"> الدولة الطرف أيضاً أوامر المحاكم وتوصيات اللجنة الوطنية لحقوق الإنسان. وتُسهم جميع هذه الممارسات وأفعال الإهمال في استمرار ممارسة التعذيب في نيبال بصورة معتادة وواسعة النطاق ومتعمدة. إن بيانات الدولة الطرف التي تنكر فيها دعم التعذيب وتدين الإفلات من العقاب لا تكفي وحدها </w:t>
      </w:r>
      <w:r w:rsidRPr="001D3F00">
        <w:rPr>
          <w:rFonts w:hint="cs"/>
          <w:spacing w:val="0"/>
          <w:kern w:val="0"/>
          <w:sz w:val="20"/>
          <w:rtl/>
          <w:lang w:val="fr-CH" w:eastAsia="en-US"/>
        </w:rPr>
        <w:t>ل</w:t>
      </w:r>
      <w:r w:rsidRPr="001D3F00">
        <w:rPr>
          <w:spacing w:val="0"/>
          <w:kern w:val="0"/>
          <w:sz w:val="20"/>
          <w:rtl/>
          <w:lang w:val="fr-CH" w:eastAsia="en-US"/>
        </w:rPr>
        <w:t>معالجة أوجه القصور هذه.</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106-</w:t>
      </w:r>
      <w:r w:rsidRPr="001D3F00">
        <w:rPr>
          <w:spacing w:val="0"/>
          <w:kern w:val="0"/>
          <w:sz w:val="20"/>
          <w:rtl/>
          <w:lang w:val="fr-CH" w:eastAsia="en-US"/>
        </w:rPr>
        <w:tab/>
        <w:t>وتلاحظ اللجنة أيضاً أن التعليق العام رقم 2 يشير إلى أن الدول ملزمة بإزالة جميع العقبات القانونية أو العقبات الأخرى التي تحول دون القضاء على التعذيب وسوء المعاملة. و</w:t>
      </w:r>
      <w:r w:rsidRPr="001D3F00">
        <w:rPr>
          <w:rFonts w:hint="cs"/>
          <w:spacing w:val="0"/>
          <w:kern w:val="0"/>
          <w:sz w:val="20"/>
          <w:rtl/>
          <w:lang w:val="fr-CH" w:eastAsia="en-US"/>
        </w:rPr>
        <w:t xml:space="preserve">قد </w:t>
      </w:r>
      <w:r w:rsidRPr="001D3F00">
        <w:rPr>
          <w:spacing w:val="0"/>
          <w:kern w:val="0"/>
          <w:sz w:val="20"/>
          <w:rtl/>
          <w:lang w:val="fr-CH" w:eastAsia="en-US"/>
        </w:rPr>
        <w:t>انضمت نيبال إلى الاتفاقية في 14 أيار/مايو 1991</w:t>
      </w:r>
      <w:r w:rsidRPr="001D3F00">
        <w:rPr>
          <w:rFonts w:hint="cs"/>
          <w:spacing w:val="0"/>
          <w:kern w:val="0"/>
          <w:sz w:val="20"/>
          <w:rtl/>
          <w:lang w:val="fr-CH" w:eastAsia="en-US"/>
        </w:rPr>
        <w:t>،</w:t>
      </w:r>
      <w:r w:rsidRPr="001D3F00">
        <w:rPr>
          <w:spacing w:val="0"/>
          <w:kern w:val="0"/>
          <w:sz w:val="20"/>
          <w:rtl/>
          <w:lang w:val="fr-CH" w:eastAsia="en-US"/>
        </w:rPr>
        <w:t xml:space="preserve"> أي منذ عشرين عاماً، وفي الملاحظات الختامية للجنة المتعلقة بالتقرير الأولي للدولة الطرف</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35"/>
      </w:r>
      <w:r w:rsidRPr="001D3F00">
        <w:rPr>
          <w:spacing w:val="0"/>
          <w:kern w:val="0"/>
          <w:sz w:val="20"/>
          <w:vertAlign w:val="superscript"/>
          <w:rtl/>
          <w:lang w:val="fr-CH" w:eastAsia="en-US"/>
        </w:rPr>
        <w:t>)</w:t>
      </w:r>
      <w:r w:rsidRPr="001D3F00">
        <w:rPr>
          <w:spacing w:val="0"/>
          <w:kern w:val="0"/>
          <w:sz w:val="20"/>
          <w:rtl/>
          <w:lang w:val="fr-CH" w:eastAsia="en-US"/>
        </w:rPr>
        <w:t xml:space="preserve"> في نيسان/أبريل 1994</w:t>
      </w:r>
      <w:r w:rsidRPr="001D3F00">
        <w:rPr>
          <w:rFonts w:hint="cs"/>
          <w:spacing w:val="0"/>
          <w:kern w:val="0"/>
          <w:sz w:val="20"/>
          <w:rtl/>
          <w:lang w:val="fr-CH" w:eastAsia="en-US"/>
        </w:rPr>
        <w:t>،</w:t>
      </w:r>
      <w:r w:rsidRPr="001D3F00">
        <w:rPr>
          <w:spacing w:val="0"/>
          <w:kern w:val="0"/>
          <w:sz w:val="20"/>
          <w:rtl/>
          <w:lang w:val="fr-CH" w:eastAsia="en-US"/>
        </w:rPr>
        <w:t xml:space="preserve"> أوصت اللجنة نيبال أولاً، بسنّ تشريع يحظر التعذيب. وكررت اللجنة التوصية نفسها في نيسان/أبريل 2007 في الملاحظات الختامية للجنة المتعلقة بالتقرير الدوري الثاني لنيبال</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36"/>
      </w:r>
      <w:r w:rsidRPr="001D3F00">
        <w:rPr>
          <w:spacing w:val="0"/>
          <w:kern w:val="0"/>
          <w:sz w:val="20"/>
          <w:vertAlign w:val="superscript"/>
          <w:rtl/>
          <w:lang w:val="fr-CH" w:eastAsia="en-US"/>
        </w:rPr>
        <w:t>)</w:t>
      </w:r>
      <w:r w:rsidRPr="001D3F00">
        <w:rPr>
          <w:spacing w:val="0"/>
          <w:kern w:val="0"/>
          <w:sz w:val="20"/>
          <w:rtl/>
          <w:lang w:val="fr-CH" w:eastAsia="en-US"/>
        </w:rPr>
        <w:t>. وعلى النحو الذي تشير إليه اللجنة في التعليق العام رقم 2</w:t>
      </w:r>
      <w:r w:rsidRPr="001D3F00">
        <w:rPr>
          <w:rFonts w:hint="cs"/>
          <w:spacing w:val="0"/>
          <w:kern w:val="0"/>
          <w:sz w:val="20"/>
          <w:rtl/>
          <w:lang w:val="fr-CH" w:eastAsia="en-US"/>
        </w:rPr>
        <w:t>،</w:t>
      </w:r>
      <w:r w:rsidRPr="001D3F00">
        <w:rPr>
          <w:spacing w:val="0"/>
          <w:kern w:val="0"/>
          <w:sz w:val="20"/>
          <w:rtl/>
          <w:lang w:val="fr-CH" w:eastAsia="en-US"/>
        </w:rPr>
        <w:t xml:space="preserve"> فإن تعريف جريمة التعذيب </w:t>
      </w:r>
      <w:r w:rsidRPr="001D3F00">
        <w:rPr>
          <w:rFonts w:hint="cs"/>
          <w:spacing w:val="0"/>
          <w:kern w:val="0"/>
          <w:sz w:val="20"/>
          <w:rtl/>
          <w:lang w:val="fr-CH" w:eastAsia="en-US"/>
        </w:rPr>
        <w:t>ب</w:t>
      </w:r>
      <w:r w:rsidRPr="001D3F00">
        <w:rPr>
          <w:spacing w:val="0"/>
          <w:kern w:val="0"/>
          <w:sz w:val="20"/>
          <w:rtl/>
          <w:lang w:val="fr-CH" w:eastAsia="en-US"/>
        </w:rPr>
        <w:t>أنها تختلف عن جرائم الاعتداء العادية أو الجرائم الأخرى</w:t>
      </w:r>
      <w:r w:rsidRPr="001D3F00">
        <w:rPr>
          <w:rFonts w:hint="cs"/>
          <w:spacing w:val="0"/>
          <w:kern w:val="0"/>
          <w:sz w:val="20"/>
          <w:rtl/>
          <w:lang w:val="fr-CH" w:eastAsia="en-US"/>
        </w:rPr>
        <w:t xml:space="preserve"> يدفع </w:t>
      </w:r>
      <w:r w:rsidRPr="001D3F00">
        <w:rPr>
          <w:spacing w:val="0"/>
          <w:kern w:val="0"/>
          <w:sz w:val="20"/>
          <w:rtl/>
          <w:lang w:val="fr-CH" w:eastAsia="en-US"/>
        </w:rPr>
        <w:t xml:space="preserve">الدول الأطراف </w:t>
      </w:r>
      <w:r w:rsidRPr="001D3F00">
        <w:rPr>
          <w:rFonts w:hint="cs"/>
          <w:spacing w:val="0"/>
          <w:kern w:val="0"/>
          <w:sz w:val="20"/>
          <w:rtl/>
          <w:lang w:val="fr-CH" w:eastAsia="en-US"/>
        </w:rPr>
        <w:t xml:space="preserve">إلى السعي </w:t>
      </w:r>
      <w:r w:rsidRPr="001D3F00">
        <w:rPr>
          <w:spacing w:val="0"/>
          <w:kern w:val="0"/>
          <w:sz w:val="20"/>
          <w:rtl/>
          <w:lang w:val="fr-CH" w:eastAsia="en-US"/>
        </w:rPr>
        <w:t>بصورة مباشرة إلى تحقيق الهدف العام للاتفاقية وهو منع التعذيب وسوء المعاملة. وسيعزز وصف الجريمة وتعريفها هدف الاتفاقية، بوسائل منها تنبيه الجميع، بمن فيهم الجناة والضحايا والجمهور إلى مدى خطورة جريمة التعذيب. وسوف يؤدي أيضاً تدوين هذه الجريمة إلى ما</w:t>
      </w:r>
      <w:r w:rsidRPr="001D3F00">
        <w:rPr>
          <w:rFonts w:hint="cs"/>
          <w:spacing w:val="0"/>
          <w:kern w:val="0"/>
          <w:sz w:val="20"/>
          <w:rtl/>
          <w:lang w:val="fr-CH" w:eastAsia="en-US"/>
        </w:rPr>
        <w:t> </w:t>
      </w:r>
      <w:r w:rsidRPr="001D3F00">
        <w:rPr>
          <w:spacing w:val="0"/>
          <w:kern w:val="0"/>
          <w:sz w:val="20"/>
          <w:rtl/>
          <w:lang w:val="fr-CH" w:eastAsia="en-US"/>
        </w:rPr>
        <w:t>يلي: (أ) تأكيد ضرورة إنزال عقوبة مناسبة تراعي خطورة الجرم؛ و(ب) تعزيز الأثر الردعي للخطر بحد ذاته؛ و(ج) تعزيز قدرة الموظفين المسؤولين على تتبع جريمة التعذيب تحديداً؛ و(د) تخويل الجمهور وتفويضه لرصد الإجراءات التي تتخذها الدولة وامتناعها عن اتخاذ ما</w:t>
      </w:r>
      <w:r w:rsidRPr="001D3F00">
        <w:rPr>
          <w:rFonts w:hint="cs"/>
          <w:spacing w:val="0"/>
          <w:kern w:val="0"/>
          <w:sz w:val="20"/>
          <w:rtl/>
          <w:lang w:val="fr-CH" w:eastAsia="en-US"/>
        </w:rPr>
        <w:t> </w:t>
      </w:r>
      <w:r w:rsidRPr="001D3F00">
        <w:rPr>
          <w:spacing w:val="0"/>
          <w:kern w:val="0"/>
          <w:sz w:val="20"/>
          <w:rtl/>
          <w:lang w:val="fr-CH" w:eastAsia="en-US"/>
        </w:rPr>
        <w:t xml:space="preserve">يلزم من إجراءات انتهاكاً للاتفاقية والطعن في ذلك عند اللزوم. إن تقاعس الدولة الطرف فيما يتعلق بالالتزام الأساسي بسنّ قانون يجرّم التعذيب هو عامل آخر دفع باللجنة إلى أن تخلص إلى أن الدولة الطرف تُسهم بشكل فعال في انتشار التعذيب في نيبال بالنظر إلى أن أفعال التعذيب لم تحظر بعد ولا يعاقب عليها بموجب القانون المحلي. </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0"/>
          <w:kern w:val="0"/>
          <w:sz w:val="20"/>
          <w:lang w:val="fr-CH" w:eastAsia="en-US"/>
        </w:rPr>
      </w:pPr>
      <w:r w:rsidRPr="001D3F00">
        <w:rPr>
          <w:spacing w:val="0"/>
          <w:kern w:val="0"/>
          <w:sz w:val="20"/>
          <w:rtl/>
          <w:lang w:val="fr-CH" w:eastAsia="en-US"/>
        </w:rPr>
        <w:t>107-</w:t>
      </w:r>
      <w:r w:rsidRPr="001D3F00">
        <w:rPr>
          <w:spacing w:val="0"/>
          <w:kern w:val="0"/>
          <w:sz w:val="20"/>
          <w:rtl/>
          <w:lang w:val="fr-CH" w:eastAsia="en-US"/>
        </w:rPr>
        <w:tab/>
        <w:t xml:space="preserve">وتذكر اللجنة الحكومة بأن اتفاقية مناهضة التعذيب تُلزم الدول الأطراف بضمان تنفيذها في القانون المحلي وبالتقيد التام بأحكامها من الناحية العملية. والمعلومات المعروضة على اللجنة لا تمكّنها من أن تخلص إلى أن نيبال قد حددت سياسات حكومية واستمرت بها على درجة كافية من الفعالية لمنع التعذيب ولوضع حد لتفشي ظاهرة الإفلات من العقاب </w:t>
      </w:r>
      <w:r w:rsidRPr="001D3F00">
        <w:rPr>
          <w:rFonts w:hint="cs"/>
          <w:spacing w:val="0"/>
          <w:kern w:val="0"/>
          <w:sz w:val="20"/>
          <w:rtl/>
          <w:lang w:val="fr-CH" w:eastAsia="en-US"/>
        </w:rPr>
        <w:t xml:space="preserve">المتفشية </w:t>
      </w:r>
      <w:r w:rsidRPr="001D3F00">
        <w:rPr>
          <w:spacing w:val="0"/>
          <w:kern w:val="0"/>
          <w:sz w:val="20"/>
          <w:rtl/>
          <w:lang w:val="fr-CH" w:eastAsia="en-US"/>
        </w:rPr>
        <w:t xml:space="preserve">في نيبال </w:t>
      </w:r>
      <w:r w:rsidRPr="001D3F00">
        <w:rPr>
          <w:rFonts w:hint="cs"/>
          <w:spacing w:val="0"/>
          <w:kern w:val="0"/>
          <w:sz w:val="20"/>
          <w:rtl/>
          <w:lang w:val="fr-CH" w:eastAsia="en-US"/>
        </w:rPr>
        <w:t>بالنسبة ل</w:t>
      </w:r>
      <w:r w:rsidRPr="001D3F00">
        <w:rPr>
          <w:spacing w:val="0"/>
          <w:kern w:val="0"/>
          <w:sz w:val="20"/>
          <w:rtl/>
          <w:lang w:val="fr-CH" w:eastAsia="en-US"/>
        </w:rPr>
        <w:t>مرتكب</w:t>
      </w:r>
      <w:r w:rsidRPr="001D3F00">
        <w:rPr>
          <w:rFonts w:hint="cs"/>
          <w:spacing w:val="0"/>
          <w:kern w:val="0"/>
          <w:sz w:val="20"/>
          <w:rtl/>
          <w:lang w:val="fr-CH" w:eastAsia="en-US"/>
        </w:rPr>
        <w:t>ي</w:t>
      </w:r>
      <w:r w:rsidRPr="001D3F00">
        <w:rPr>
          <w:spacing w:val="0"/>
          <w:kern w:val="0"/>
          <w:sz w:val="20"/>
          <w:rtl/>
          <w:lang w:val="fr-CH" w:eastAsia="en-US"/>
        </w:rPr>
        <w:t xml:space="preserve"> أفعال التعذيب.</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spacing w:val="1"/>
          <w:kern w:val="0"/>
          <w:sz w:val="20"/>
          <w:lang w:val="fr-CH" w:eastAsia="en-US"/>
        </w:rPr>
      </w:pPr>
      <w:r w:rsidRPr="001D3F00">
        <w:rPr>
          <w:spacing w:val="1"/>
          <w:kern w:val="0"/>
          <w:sz w:val="20"/>
          <w:rtl/>
          <w:lang w:val="fr-CH" w:eastAsia="en-US"/>
        </w:rPr>
        <w:t>108-</w:t>
      </w:r>
      <w:r w:rsidRPr="001D3F00">
        <w:rPr>
          <w:spacing w:val="1"/>
          <w:kern w:val="0"/>
          <w:sz w:val="20"/>
          <w:rtl/>
          <w:lang w:val="fr-CH" w:eastAsia="en-US"/>
        </w:rPr>
        <w:tab/>
        <w:t>وفي ضوء وفرة المعلومات المقدمة إلى اللجنة واتساقها وتنوع مصادرها، وعلى النحو الذي توصلت إليه اللجنة فيما سبق، فإنها تخلص إلى أن التعذيب يُمارس بصورة منهجية على أراضي نيبال وفقاً لتعريفه القائم منذ أمد طويل</w:t>
      </w:r>
      <w:r w:rsidRPr="001D3F00">
        <w:rPr>
          <w:rFonts w:hint="cs"/>
          <w:spacing w:val="1"/>
          <w:kern w:val="0"/>
          <w:sz w:val="20"/>
          <w:rtl/>
          <w:lang w:val="fr-CH" w:eastAsia="en-US"/>
        </w:rPr>
        <w:t>،</w:t>
      </w:r>
      <w:r w:rsidRPr="001D3F00">
        <w:rPr>
          <w:spacing w:val="1"/>
          <w:kern w:val="0"/>
          <w:sz w:val="20"/>
          <w:rtl/>
          <w:lang w:val="fr-CH" w:eastAsia="en-US"/>
        </w:rPr>
        <w:t xml:space="preserve"> و</w:t>
      </w:r>
      <w:r w:rsidRPr="001D3F00">
        <w:rPr>
          <w:rFonts w:hint="cs"/>
          <w:spacing w:val="1"/>
          <w:kern w:val="0"/>
          <w:sz w:val="20"/>
          <w:rtl/>
          <w:lang w:val="fr-CH" w:eastAsia="en-US"/>
        </w:rPr>
        <w:t xml:space="preserve">ذلك </w:t>
      </w:r>
      <w:r w:rsidRPr="001D3F00">
        <w:rPr>
          <w:spacing w:val="1"/>
          <w:kern w:val="0"/>
          <w:sz w:val="20"/>
          <w:rtl/>
          <w:lang w:val="fr-CH" w:eastAsia="en-US"/>
        </w:rPr>
        <w:t>بصفة رئيسية أثناء الاحتجاز لدى الشرطة.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spacing w:val="0"/>
          <w:kern w:val="0"/>
          <w:sz w:val="20"/>
          <w:rtl/>
          <w:lang w:val="fr-CH" w:eastAsia="en-US"/>
        </w:rPr>
        <w:t>109-</w:t>
      </w:r>
      <w:r w:rsidRPr="001D3F00">
        <w:rPr>
          <w:spacing w:val="0"/>
          <w:kern w:val="0"/>
          <w:sz w:val="20"/>
          <w:rtl/>
          <w:lang w:val="fr-CH" w:eastAsia="en-US"/>
        </w:rPr>
        <w:tab/>
      </w:r>
      <w:r w:rsidRPr="001D3F00">
        <w:rPr>
          <w:b/>
          <w:bCs/>
          <w:spacing w:val="0"/>
          <w:kern w:val="0"/>
          <w:sz w:val="20"/>
          <w:rtl/>
          <w:lang w:val="fr-CH" w:eastAsia="en-US"/>
        </w:rPr>
        <w:t>وفي ضوء هذه الاعتبارات</w:t>
      </w:r>
      <w:r w:rsidRPr="001D3F00">
        <w:rPr>
          <w:rFonts w:hint="cs"/>
          <w:b/>
          <w:bCs/>
          <w:spacing w:val="0"/>
          <w:kern w:val="0"/>
          <w:sz w:val="20"/>
          <w:rtl/>
          <w:lang w:val="fr-CH" w:eastAsia="en-US"/>
        </w:rPr>
        <w:t>،</w:t>
      </w:r>
      <w:r w:rsidRPr="001D3F00">
        <w:rPr>
          <w:b/>
          <w:bCs/>
          <w:spacing w:val="0"/>
          <w:kern w:val="0"/>
          <w:sz w:val="20"/>
          <w:rtl/>
          <w:lang w:val="fr-CH" w:eastAsia="en-US"/>
        </w:rPr>
        <w:t xml:space="preserve"> تؤكد اللجنة مجدداً التوصيات التالية الواردة في ملاحظاتها الختامية السابقة: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4"/>
          <w:kern w:val="0"/>
          <w:sz w:val="20"/>
          <w:lang w:val="fr-CH" w:eastAsia="en-US"/>
        </w:rPr>
      </w:pPr>
      <w:r w:rsidRPr="001D3F00">
        <w:rPr>
          <w:rFonts w:hint="cs"/>
          <w:b/>
          <w:bCs/>
          <w:spacing w:val="-4"/>
          <w:kern w:val="0"/>
          <w:sz w:val="20"/>
          <w:rtl/>
          <w:lang w:val="fr-CH" w:eastAsia="en-US"/>
        </w:rPr>
        <w:tab/>
      </w:r>
      <w:r w:rsidRPr="001D3F00">
        <w:rPr>
          <w:b/>
          <w:bCs/>
          <w:spacing w:val="-4"/>
          <w:kern w:val="0"/>
          <w:sz w:val="20"/>
          <w:rtl/>
          <w:lang w:val="fr-CH" w:eastAsia="en-US"/>
        </w:rPr>
        <w:t>(أ)</w:t>
      </w:r>
      <w:r w:rsidRPr="001D3F00">
        <w:rPr>
          <w:rFonts w:hint="cs"/>
          <w:b/>
          <w:bCs/>
          <w:spacing w:val="-4"/>
          <w:kern w:val="0"/>
          <w:sz w:val="20"/>
          <w:rtl/>
          <w:lang w:val="fr-CH" w:eastAsia="en-US"/>
        </w:rPr>
        <w:tab/>
      </w:r>
      <w:r w:rsidRPr="001D3F00">
        <w:rPr>
          <w:b/>
          <w:bCs/>
          <w:spacing w:val="-4"/>
          <w:kern w:val="0"/>
          <w:sz w:val="20"/>
          <w:rtl/>
          <w:lang w:val="fr-CH" w:eastAsia="en-US"/>
        </w:rPr>
        <w:t>ينبغي للدولة الطرف أن تدين علناً ممارسات التعذيب وأن تتخذ تدابير فعالة لمنع أفعال التعذيب في أي إقليم خاضع لولاياتها القضائية. كما ينبغي للدولة الطرف أن تتخذ، عند الاقتضاء، كل ما يلزم من تدابير لحماية جميع أفراد المجتمع من أفعال التعذيب</w:t>
      </w:r>
      <w:r w:rsidRPr="001D3F00">
        <w:rPr>
          <w:spacing w:val="-4"/>
          <w:kern w:val="0"/>
          <w:sz w:val="20"/>
          <w:vertAlign w:val="superscript"/>
          <w:rtl/>
          <w:lang w:val="fr-CH" w:eastAsia="en-US"/>
        </w:rPr>
        <w:t>(</w:t>
      </w:r>
      <w:r w:rsidRPr="001D3F00">
        <w:rPr>
          <w:b/>
          <w:spacing w:val="-4"/>
          <w:kern w:val="0"/>
          <w:szCs w:val="28"/>
          <w:vertAlign w:val="superscript"/>
          <w:rtl/>
          <w:lang w:val="fr-CH" w:eastAsia="en-US"/>
        </w:rPr>
        <w:footnoteReference w:id="137"/>
      </w:r>
      <w:r w:rsidRPr="001D3F00">
        <w:rPr>
          <w:spacing w:val="-4"/>
          <w:kern w:val="0"/>
          <w:sz w:val="20"/>
          <w:vertAlign w:val="superscript"/>
          <w:rtl/>
          <w:lang w:val="fr-CH" w:eastAsia="en-US"/>
        </w:rPr>
        <w:t>)</w:t>
      </w:r>
      <w:r w:rsidRPr="001D3F00">
        <w:rPr>
          <w:b/>
          <w:bCs/>
          <w:spacing w:val="-4"/>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(ب)</w:t>
      </w:r>
      <w:r w:rsidRPr="001D3F00">
        <w:rPr>
          <w:rFonts w:hint="cs"/>
          <w:b/>
          <w:bCs/>
          <w:spacing w:val="0"/>
          <w:kern w:val="0"/>
          <w:sz w:val="20"/>
          <w:rtl/>
          <w:lang w:val="fr-CH" w:eastAsia="en-US"/>
        </w:rPr>
        <w:tab/>
      </w:r>
      <w:r w:rsidRPr="001D3F00">
        <w:rPr>
          <w:b/>
          <w:bCs/>
          <w:spacing w:val="0"/>
          <w:kern w:val="0"/>
          <w:sz w:val="20"/>
          <w:rtl/>
          <w:lang w:val="fr-CH" w:eastAsia="en-US"/>
        </w:rPr>
        <w:t>ينبغي للدولة الطرف أن تعتمد تشريعات محلية تكفل اعتبار أفعال التعذيب، بما في ذلك محاولة ممارسة التعذيب والتواطؤ في ممارسته والمشاركة فيه، جرائم جنائية يُعاقب عليها بشكل يتناسب مع خطورة الجريمة المرتكبة، وأن تنظر في اتخاذ إجراءات لتعديل قانون التعويض المتعلق بالتعذيب لعام 1996 وجعله يتم</w:t>
      </w:r>
      <w:r w:rsidRPr="001D3F00">
        <w:rPr>
          <w:rFonts w:hint="cs"/>
          <w:b/>
          <w:bCs/>
          <w:spacing w:val="0"/>
          <w:kern w:val="0"/>
          <w:sz w:val="20"/>
          <w:rtl/>
          <w:lang w:val="fr-CH" w:eastAsia="en-US"/>
        </w:rPr>
        <w:t>ا</w:t>
      </w:r>
      <w:r w:rsidRPr="001D3F00">
        <w:rPr>
          <w:b/>
          <w:bCs/>
          <w:spacing w:val="0"/>
          <w:kern w:val="0"/>
          <w:sz w:val="20"/>
          <w:rtl/>
          <w:lang w:val="fr-CH" w:eastAsia="en-US"/>
        </w:rPr>
        <w:t>شى مع جميع عناصر تعريف التعذيب المنصوص عليها في الاتفاقية</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38"/>
      </w:r>
      <w:r w:rsidRPr="001D3F00">
        <w:rPr>
          <w:spacing w:val="0"/>
          <w:kern w:val="0"/>
          <w:sz w:val="20"/>
          <w:vertAlign w:val="superscript"/>
          <w:rtl/>
          <w:lang w:val="fr-CH" w:eastAsia="en-US"/>
        </w:rPr>
        <w:t>)</w:t>
      </w:r>
      <w:r w:rsidRPr="001D3F00">
        <w:rPr>
          <w:b/>
          <w:bCs/>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b/>
          <w:bCs/>
          <w:spacing w:val="1"/>
          <w:kern w:val="0"/>
          <w:sz w:val="20"/>
          <w:lang w:val="fr-CH" w:eastAsia="en-US"/>
        </w:rPr>
      </w:pPr>
      <w:r w:rsidRPr="001D3F00">
        <w:rPr>
          <w:rFonts w:hint="cs"/>
          <w:b/>
          <w:bCs/>
          <w:spacing w:val="1"/>
          <w:kern w:val="0"/>
          <w:sz w:val="20"/>
          <w:rtl/>
          <w:lang w:val="fr-CH" w:eastAsia="en-US"/>
        </w:rPr>
        <w:tab/>
      </w:r>
      <w:r w:rsidRPr="001D3F00">
        <w:rPr>
          <w:b/>
          <w:bCs/>
          <w:spacing w:val="1"/>
          <w:kern w:val="0"/>
          <w:sz w:val="20"/>
          <w:rtl/>
          <w:lang w:val="fr-CH" w:eastAsia="en-US"/>
        </w:rPr>
        <w:t>(ج)</w:t>
      </w:r>
      <w:r w:rsidRPr="001D3F00">
        <w:rPr>
          <w:rFonts w:hint="cs"/>
          <w:b/>
          <w:bCs/>
          <w:spacing w:val="1"/>
          <w:kern w:val="0"/>
          <w:sz w:val="20"/>
          <w:rtl/>
          <w:lang w:val="fr-CH" w:eastAsia="en-US"/>
        </w:rPr>
        <w:tab/>
      </w:r>
      <w:r w:rsidRPr="001D3F00">
        <w:rPr>
          <w:b/>
          <w:bCs/>
          <w:spacing w:val="1"/>
          <w:kern w:val="0"/>
          <w:sz w:val="20"/>
          <w:rtl/>
          <w:lang w:val="fr-CH" w:eastAsia="en-US"/>
        </w:rPr>
        <w:t xml:space="preserve">ينبغي للدولة الطرف أن ترسل إلى كل من يخضع لولايتها القضائية من أشخاص وجماعات رسالة واضحة وصريحة تدين فيها التعذيب وسوء المعاملة. وينبغي للدولة الطرف أن تتخذ تدابير تشريعية وإدارية وقضائية فعالة لضمان التحقيق سريعاً في جميع ادعاءات </w:t>
      </w:r>
      <w:r w:rsidRPr="001D3F00">
        <w:rPr>
          <w:rFonts w:hint="cs"/>
          <w:b/>
          <w:bCs/>
          <w:spacing w:val="1"/>
          <w:kern w:val="0"/>
          <w:sz w:val="20"/>
          <w:rtl/>
          <w:lang w:val="fr-CH" w:eastAsia="en-US"/>
        </w:rPr>
        <w:t>التوقيف</w:t>
      </w:r>
      <w:r w:rsidRPr="001D3F00">
        <w:rPr>
          <w:b/>
          <w:bCs/>
          <w:spacing w:val="1"/>
          <w:kern w:val="0"/>
          <w:sz w:val="20"/>
          <w:rtl/>
          <w:lang w:val="fr-CH" w:eastAsia="en-US"/>
        </w:rPr>
        <w:t xml:space="preserve"> دون صدور أوامر بذلك والإعدامات المنفذة خارج نطاق القضاء وحالات الوفاة أثناء الاحتجاز وحالات الاختفاء، ولضمان الإسراع في مقاضاة مرتكبيها ومعاقبتهم</w:t>
      </w:r>
      <w:r w:rsidRPr="001D3F00">
        <w:rPr>
          <w:spacing w:val="1"/>
          <w:kern w:val="0"/>
          <w:sz w:val="20"/>
          <w:vertAlign w:val="superscript"/>
          <w:rtl/>
          <w:lang w:val="fr-CH" w:eastAsia="en-US"/>
        </w:rPr>
        <w:t>(</w:t>
      </w:r>
      <w:r w:rsidRPr="001D3F00">
        <w:rPr>
          <w:b/>
          <w:spacing w:val="1"/>
          <w:kern w:val="0"/>
          <w:szCs w:val="28"/>
          <w:vertAlign w:val="superscript"/>
          <w:rtl/>
          <w:lang w:val="fr-CH" w:eastAsia="en-US"/>
        </w:rPr>
        <w:footnoteReference w:id="139"/>
      </w:r>
      <w:r w:rsidRPr="001D3F00">
        <w:rPr>
          <w:spacing w:val="1"/>
          <w:kern w:val="0"/>
          <w:sz w:val="20"/>
          <w:vertAlign w:val="superscript"/>
          <w:rtl/>
          <w:lang w:val="fr-CH" w:eastAsia="en-US"/>
        </w:rPr>
        <w:t>)</w:t>
      </w:r>
      <w:r w:rsidRPr="001D3F00">
        <w:rPr>
          <w:b/>
          <w:bCs/>
          <w:spacing w:val="1"/>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spacing w:val="0"/>
          <w:kern w:val="0"/>
          <w:sz w:val="20"/>
          <w:rtl/>
          <w:lang w:val="fr-CH" w:eastAsia="en-US"/>
        </w:rPr>
        <w:t>110</w:t>
      </w:r>
      <w:r w:rsidRPr="001D3F00">
        <w:rPr>
          <w:rFonts w:hint="cs"/>
          <w:spacing w:val="0"/>
          <w:kern w:val="0"/>
          <w:sz w:val="20"/>
          <w:rtl/>
          <w:lang w:val="fr-CH" w:eastAsia="en-US"/>
        </w:rPr>
        <w:t>-</w:t>
      </w:r>
      <w:r w:rsidRPr="001D3F00">
        <w:rPr>
          <w:rFonts w:hint="cs"/>
          <w:b/>
          <w:bCs/>
          <w:spacing w:val="0"/>
          <w:kern w:val="0"/>
          <w:sz w:val="20"/>
          <w:rtl/>
          <w:lang w:val="fr-CH" w:eastAsia="en-US"/>
        </w:rPr>
        <w:tab/>
      </w:r>
      <w:r w:rsidRPr="001D3F00">
        <w:rPr>
          <w:b/>
          <w:bCs/>
          <w:spacing w:val="0"/>
          <w:kern w:val="0"/>
          <w:sz w:val="20"/>
          <w:rtl/>
          <w:lang w:val="fr-CH" w:eastAsia="en-US"/>
        </w:rPr>
        <w:t>و</w:t>
      </w:r>
      <w:r w:rsidRPr="001D3F00">
        <w:rPr>
          <w:rFonts w:hint="cs"/>
          <w:b/>
          <w:bCs/>
          <w:spacing w:val="0"/>
          <w:kern w:val="0"/>
          <w:sz w:val="20"/>
          <w:rtl/>
          <w:lang w:val="fr-CH" w:eastAsia="en-US"/>
        </w:rPr>
        <w:t xml:space="preserve">إذ </w:t>
      </w:r>
      <w:r w:rsidRPr="001D3F00">
        <w:rPr>
          <w:b/>
          <w:bCs/>
          <w:spacing w:val="0"/>
          <w:kern w:val="0"/>
          <w:sz w:val="20"/>
          <w:rtl/>
          <w:lang w:val="fr-CH" w:eastAsia="en-US"/>
        </w:rPr>
        <w:t xml:space="preserve">تؤكد اللجنة من جديد توصيتها بأن تُظهر الدولة الطرف رغبتها والتزامها من الناحية العملية بمكافحة التعذيب على أراضيها، </w:t>
      </w:r>
      <w:r w:rsidRPr="001D3F00">
        <w:rPr>
          <w:rFonts w:hint="cs"/>
          <w:b/>
          <w:bCs/>
          <w:spacing w:val="0"/>
          <w:kern w:val="0"/>
          <w:sz w:val="20"/>
          <w:rtl/>
          <w:lang w:val="fr-CH" w:eastAsia="en-US"/>
        </w:rPr>
        <w:t xml:space="preserve">فإنها </w:t>
      </w:r>
      <w:r w:rsidRPr="001D3F00">
        <w:rPr>
          <w:b/>
          <w:bCs/>
          <w:spacing w:val="0"/>
          <w:kern w:val="0"/>
          <w:sz w:val="20"/>
          <w:rtl/>
          <w:lang w:val="fr-CH" w:eastAsia="en-US"/>
        </w:rPr>
        <w:t>توصي الدولة الطرف باتخاذ التدابير التالية: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(أ)</w:t>
      </w:r>
      <w:r w:rsidRPr="001D3F00">
        <w:rPr>
          <w:rFonts w:hint="cs"/>
          <w:b/>
          <w:bCs/>
          <w:spacing w:val="0"/>
          <w:kern w:val="0"/>
          <w:sz w:val="20"/>
          <w:rtl/>
          <w:lang w:val="fr-CH" w:eastAsia="en-US"/>
        </w:rPr>
        <w:tab/>
      </w:r>
      <w:r w:rsidRPr="001D3F00">
        <w:rPr>
          <w:b/>
          <w:bCs/>
          <w:spacing w:val="0"/>
          <w:kern w:val="0"/>
          <w:sz w:val="20"/>
          <w:rtl/>
          <w:lang w:val="fr-CH" w:eastAsia="en-US"/>
        </w:rPr>
        <w:t>ينبغي للدولة الطرف أن تنشئ بدون تأخير هيئات مستقلة للتحقيق، مثل لجنة الحق</w:t>
      </w:r>
      <w:r w:rsidRPr="001D3F00">
        <w:rPr>
          <w:rFonts w:hint="cs"/>
          <w:b/>
          <w:bCs/>
          <w:spacing w:val="0"/>
          <w:kern w:val="0"/>
          <w:sz w:val="20"/>
          <w:rtl/>
          <w:lang w:val="fr-CH" w:eastAsia="en-US"/>
        </w:rPr>
        <w:t>يقة</w:t>
      </w:r>
      <w:r w:rsidRPr="001D3F00">
        <w:rPr>
          <w:b/>
          <w:bCs/>
          <w:spacing w:val="0"/>
          <w:kern w:val="0"/>
          <w:sz w:val="20"/>
          <w:rtl/>
          <w:lang w:val="fr-CH" w:eastAsia="en-US"/>
        </w:rPr>
        <w:t xml:space="preserve"> والمصالحة واللجنة المعنية بالتحقيق في حالات الاختفاء</w:t>
      </w:r>
      <w:r w:rsidRPr="001D3F00">
        <w:rPr>
          <w:rFonts w:hint="cs"/>
          <w:b/>
          <w:bCs/>
          <w:spacing w:val="0"/>
          <w:kern w:val="0"/>
          <w:sz w:val="20"/>
          <w:rtl/>
          <w:lang w:val="fr-CH" w:eastAsia="en-US"/>
        </w:rPr>
        <w:t>،</w:t>
      </w:r>
      <w:r w:rsidRPr="001D3F00">
        <w:rPr>
          <w:b/>
          <w:bCs/>
          <w:spacing w:val="0"/>
          <w:kern w:val="0"/>
          <w:sz w:val="20"/>
          <w:rtl/>
          <w:lang w:val="fr-CH" w:eastAsia="en-US"/>
        </w:rPr>
        <w:t xml:space="preserve"> للتحقيق في جميع ادعاءات التعذيب والإعدامات المنفذة خارج نطاق القضاء وحالات الاختفاء القسري، بما في ذلك ما يزعم من حالات التعذيب والإعدام خارج نطاق القضاء التي حدثت في منطقة تيراي في الفترة الممتدة من 2009 إلى 2010</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40"/>
      </w:r>
      <w:r w:rsidRPr="001D3F00">
        <w:rPr>
          <w:spacing w:val="0"/>
          <w:kern w:val="0"/>
          <w:sz w:val="20"/>
          <w:vertAlign w:val="superscript"/>
          <w:rtl/>
          <w:lang w:val="fr-CH" w:eastAsia="en-US"/>
        </w:rPr>
        <w:t>)</w:t>
      </w:r>
      <w:r w:rsidRPr="001D3F00">
        <w:rPr>
          <w:b/>
          <w:bCs/>
          <w:spacing w:val="0"/>
          <w:kern w:val="0"/>
          <w:sz w:val="20"/>
          <w:rtl/>
          <w:lang w:val="fr-CH" w:eastAsia="en-US"/>
        </w:rPr>
        <w:t xml:space="preserve">، والحالات المزعومة المتعلقة بالاحتجاز التعسفي والتعذيب والاختفاء في </w:t>
      </w:r>
      <w:r w:rsidRPr="001D3F00">
        <w:rPr>
          <w:rFonts w:hint="cs"/>
          <w:b/>
          <w:bCs/>
          <w:spacing w:val="0"/>
          <w:kern w:val="0"/>
          <w:sz w:val="20"/>
          <w:rtl/>
          <w:lang w:val="fr-CH" w:eastAsia="en-US"/>
        </w:rPr>
        <w:t xml:space="preserve">ثكنات </w:t>
      </w:r>
      <w:r w:rsidRPr="001D3F00">
        <w:rPr>
          <w:b/>
          <w:bCs/>
          <w:spacing w:val="0"/>
          <w:kern w:val="0"/>
          <w:sz w:val="20"/>
          <w:rtl/>
          <w:lang w:val="fr-CH" w:eastAsia="en-US"/>
        </w:rPr>
        <w:t>ماهاراجغونج</w:t>
      </w:r>
      <w:r w:rsidRPr="001D3F00">
        <w:rPr>
          <w:rFonts w:hint="cs"/>
          <w:b/>
          <w:bCs/>
          <w:spacing w:val="0"/>
          <w:kern w:val="0"/>
          <w:sz w:val="20"/>
          <w:rtl/>
          <w:lang w:val="fr-CH" w:eastAsia="en-US"/>
        </w:rPr>
        <w:t xml:space="preserve"> التابعة ل</w:t>
      </w:r>
      <w:r w:rsidRPr="001D3F00">
        <w:rPr>
          <w:b/>
          <w:bCs/>
          <w:spacing w:val="0"/>
          <w:kern w:val="0"/>
          <w:sz w:val="20"/>
          <w:rtl/>
          <w:lang w:val="fr-CH" w:eastAsia="en-US"/>
        </w:rPr>
        <w:t xml:space="preserve">لجيش </w:t>
      </w:r>
      <w:r w:rsidRPr="001D3F00">
        <w:rPr>
          <w:rFonts w:hint="cs"/>
          <w:b/>
          <w:bCs/>
          <w:spacing w:val="0"/>
          <w:kern w:val="0"/>
          <w:sz w:val="20"/>
          <w:rtl/>
          <w:lang w:val="fr-CH" w:eastAsia="en-US"/>
        </w:rPr>
        <w:t xml:space="preserve">الملكي </w:t>
      </w:r>
      <w:r w:rsidRPr="001D3F00">
        <w:rPr>
          <w:b/>
          <w:bCs/>
          <w:spacing w:val="0"/>
          <w:kern w:val="0"/>
          <w:sz w:val="20"/>
          <w:rtl/>
          <w:lang w:val="fr-CH" w:eastAsia="en-US"/>
        </w:rPr>
        <w:t xml:space="preserve">النيبالي بكاتماندو في الفترة من عام 2003 إلى عام 2004، وحالات الاختفاء التي يدعى حدوثها </w:t>
      </w:r>
      <w:r w:rsidRPr="001D3F00">
        <w:rPr>
          <w:rFonts w:hint="cs"/>
          <w:b/>
          <w:bCs/>
          <w:spacing w:val="0"/>
          <w:kern w:val="0"/>
          <w:sz w:val="20"/>
          <w:rtl/>
          <w:lang w:val="fr-CH" w:eastAsia="en-US"/>
        </w:rPr>
        <w:t xml:space="preserve">خلال </w:t>
      </w:r>
      <w:r w:rsidRPr="001D3F00">
        <w:rPr>
          <w:b/>
          <w:bCs/>
          <w:spacing w:val="0"/>
          <w:kern w:val="0"/>
          <w:sz w:val="20"/>
          <w:rtl/>
          <w:lang w:val="fr-CH" w:eastAsia="en-US"/>
        </w:rPr>
        <w:t>النزاع في مقاطعة بارديا (كانون الأول/ديسمبر 2008)</w:t>
      </w:r>
      <w:r w:rsidRPr="001D3F00">
        <w:rPr>
          <w:spacing w:val="0"/>
          <w:kern w:val="0"/>
          <w:sz w:val="20"/>
          <w:vertAlign w:val="superscript"/>
          <w:rtl/>
          <w:lang w:val="fr-CH" w:eastAsia="en-US"/>
        </w:rPr>
        <w:t>(</w:t>
      </w:r>
      <w:r w:rsidRPr="001D3F00">
        <w:rPr>
          <w:b/>
          <w:spacing w:val="0"/>
          <w:kern w:val="0"/>
          <w:szCs w:val="28"/>
          <w:vertAlign w:val="superscript"/>
          <w:rtl/>
          <w:lang w:val="fr-CH" w:eastAsia="en-US"/>
        </w:rPr>
        <w:footnoteReference w:id="141"/>
      </w:r>
      <w:r w:rsidRPr="001D3F00">
        <w:rPr>
          <w:spacing w:val="0"/>
          <w:kern w:val="0"/>
          <w:sz w:val="20"/>
          <w:vertAlign w:val="superscript"/>
          <w:rtl/>
          <w:lang w:val="fr-CH" w:eastAsia="en-US"/>
        </w:rPr>
        <w:t>)</w:t>
      </w:r>
      <w:r w:rsidRPr="001D3F00">
        <w:rPr>
          <w:b/>
          <w:bCs/>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(ب)</w:t>
      </w:r>
      <w:r w:rsidRPr="001D3F00">
        <w:rPr>
          <w:rFonts w:hint="cs"/>
          <w:b/>
          <w:bCs/>
          <w:spacing w:val="0"/>
          <w:kern w:val="0"/>
          <w:sz w:val="20"/>
          <w:rtl/>
          <w:lang w:val="fr-CH" w:eastAsia="en-US"/>
        </w:rPr>
        <w:tab/>
      </w:r>
      <w:r w:rsidRPr="001D3F00">
        <w:rPr>
          <w:b/>
          <w:bCs/>
          <w:spacing w:val="0"/>
          <w:kern w:val="0"/>
          <w:sz w:val="20"/>
          <w:rtl/>
          <w:lang w:val="fr-CH" w:eastAsia="en-US"/>
        </w:rPr>
        <w:t xml:space="preserve">ينبغي التحقيق على نحو سريع وفعال ونزيه في الشكاوى التي تدعي ممارسة المسؤولين الحكوميين </w:t>
      </w:r>
      <w:r w:rsidRPr="001D3F00">
        <w:rPr>
          <w:rFonts w:hint="cs"/>
          <w:b/>
          <w:bCs/>
          <w:spacing w:val="0"/>
          <w:kern w:val="0"/>
          <w:sz w:val="20"/>
          <w:rtl/>
          <w:lang w:val="fr-CH" w:eastAsia="en-US"/>
        </w:rPr>
        <w:t>ل</w:t>
      </w:r>
      <w:r w:rsidRPr="001D3F00">
        <w:rPr>
          <w:b/>
          <w:bCs/>
          <w:spacing w:val="0"/>
          <w:kern w:val="0"/>
          <w:sz w:val="20"/>
          <w:rtl/>
          <w:lang w:val="fr-CH" w:eastAsia="en-US"/>
        </w:rPr>
        <w:t>لتعذيب، ومقاضاة مرتكبي تلك الأفعال وفرض عقوبات تتناسب مع الطابع الخطير لأفعالهم إذا ثبت أنهم مذنبون؛</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ascii="Times New Roman Bold" w:hAnsi="Times New Roman Bold" w:hint="cs"/>
          <w:b/>
          <w:bCs/>
          <w:spacing w:val="-6"/>
          <w:kern w:val="0"/>
          <w:sz w:val="20"/>
          <w:lang w:val="fr-CH" w:eastAsia="en-US"/>
        </w:rPr>
      </w:pPr>
      <w:r w:rsidRPr="001D3F00">
        <w:rPr>
          <w:rFonts w:ascii="Times New Roman Bold" w:hAnsi="Times New Roman Bold" w:hint="cs"/>
          <w:b/>
          <w:bCs/>
          <w:spacing w:val="-6"/>
          <w:kern w:val="0"/>
          <w:sz w:val="20"/>
          <w:rtl/>
          <w:lang w:val="fr-CH" w:eastAsia="en-US"/>
        </w:rPr>
        <w:tab/>
      </w:r>
      <w:r w:rsidRPr="001D3F00">
        <w:rPr>
          <w:rFonts w:ascii="Times New Roman Bold" w:hAnsi="Times New Roman Bold"/>
          <w:b/>
          <w:bCs/>
          <w:spacing w:val="-6"/>
          <w:kern w:val="0"/>
          <w:sz w:val="20"/>
          <w:rtl/>
          <w:lang w:val="fr-CH" w:eastAsia="en-US"/>
        </w:rPr>
        <w:t>(ج)</w:t>
      </w:r>
      <w:r w:rsidRPr="001D3F00">
        <w:rPr>
          <w:rFonts w:ascii="Times New Roman Bold" w:hAnsi="Times New Roman Bold" w:hint="cs"/>
          <w:b/>
          <w:bCs/>
          <w:spacing w:val="-6"/>
          <w:kern w:val="0"/>
          <w:sz w:val="20"/>
          <w:rtl/>
          <w:lang w:val="fr-CH" w:eastAsia="en-US"/>
        </w:rPr>
        <w:tab/>
      </w:r>
      <w:r w:rsidRPr="001D3F00">
        <w:rPr>
          <w:rFonts w:ascii="Times New Roman Bold" w:hAnsi="Times New Roman Bold"/>
          <w:b/>
          <w:bCs/>
          <w:spacing w:val="-6"/>
          <w:kern w:val="0"/>
          <w:sz w:val="20"/>
          <w:rtl/>
          <w:lang w:val="fr-CH" w:eastAsia="en-US"/>
        </w:rPr>
        <w:t xml:space="preserve">ينبغي تمكين مكتب المدعي العام من فتح تحقيقات في أي ادعاء بالتعذيب </w:t>
      </w:r>
      <w:r w:rsidRPr="001D3F00">
        <w:rPr>
          <w:rFonts w:ascii="Times New Roman Bold" w:hAnsi="Times New Roman Bold" w:hint="cs"/>
          <w:b/>
          <w:bCs/>
          <w:spacing w:val="-6"/>
          <w:kern w:val="0"/>
          <w:sz w:val="20"/>
          <w:rtl/>
          <w:lang w:val="fr-CH" w:eastAsia="en-US"/>
        </w:rPr>
        <w:t xml:space="preserve">وإجرائها </w:t>
      </w:r>
      <w:r w:rsidRPr="001D3F00">
        <w:rPr>
          <w:rFonts w:ascii="Times New Roman Bold" w:hAnsi="Times New Roman Bold"/>
          <w:b/>
          <w:bCs/>
          <w:spacing w:val="-6"/>
          <w:kern w:val="0"/>
          <w:sz w:val="20"/>
          <w:rtl/>
          <w:lang w:val="fr-CH" w:eastAsia="en-US"/>
        </w:rPr>
        <w:t>وتوفير ما</w:t>
      </w:r>
      <w:r w:rsidRPr="001D3F00">
        <w:rPr>
          <w:rFonts w:ascii="Times New Roman Bold" w:hAnsi="Times New Roman Bold" w:hint="cs"/>
          <w:b/>
          <w:bCs/>
          <w:spacing w:val="-6"/>
          <w:kern w:val="0"/>
          <w:sz w:val="20"/>
          <w:rtl/>
          <w:lang w:val="fr-CH" w:eastAsia="en-US"/>
        </w:rPr>
        <w:t xml:space="preserve"> </w:t>
      </w:r>
      <w:r w:rsidRPr="001D3F00">
        <w:rPr>
          <w:rFonts w:ascii="Times New Roman Bold" w:hAnsi="Times New Roman Bold"/>
          <w:b/>
          <w:bCs/>
          <w:spacing w:val="-6"/>
          <w:kern w:val="0"/>
          <w:sz w:val="20"/>
          <w:rtl/>
          <w:lang w:val="fr-CH" w:eastAsia="en-US"/>
        </w:rPr>
        <w:t>يلزمه من الموارد المالية والبشرية لكي يتمكن من الاضطلاع بهذه المسؤولية؛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(د)</w:t>
      </w:r>
      <w:r w:rsidRPr="001D3F00">
        <w:rPr>
          <w:rFonts w:hint="cs"/>
          <w:b/>
          <w:bCs/>
          <w:spacing w:val="0"/>
          <w:kern w:val="0"/>
          <w:sz w:val="20"/>
          <w:rtl/>
          <w:lang w:val="fr-CH" w:eastAsia="en-US"/>
        </w:rPr>
        <w:tab/>
      </w:r>
      <w:r w:rsidRPr="001D3F00">
        <w:rPr>
          <w:b/>
          <w:bCs/>
          <w:spacing w:val="0"/>
          <w:kern w:val="0"/>
          <w:sz w:val="20"/>
          <w:rtl/>
          <w:lang w:val="fr-CH" w:eastAsia="en-US"/>
        </w:rPr>
        <w:t>ينبغي للدولة الطرف أن تتخذ تدابير فعالة فورية لضمان حصول جميع المحتجزين من الناحية العملية على جميع الضمانات القانونية الأساسية منذ الوهلة الأولى لاحتجازهم، وتشمل هذه الضمانات، على وجه الخصوص</w:t>
      </w:r>
      <w:r w:rsidRPr="001D3F00">
        <w:rPr>
          <w:rFonts w:hint="cs"/>
          <w:b/>
          <w:bCs/>
          <w:spacing w:val="0"/>
          <w:kern w:val="0"/>
          <w:sz w:val="20"/>
          <w:rtl/>
          <w:lang w:val="fr-CH" w:eastAsia="en-US"/>
        </w:rPr>
        <w:t>،</w:t>
      </w:r>
      <w:r w:rsidRPr="001D3F00">
        <w:rPr>
          <w:b/>
          <w:bCs/>
          <w:spacing w:val="0"/>
          <w:kern w:val="0"/>
          <w:sz w:val="20"/>
          <w:rtl/>
          <w:lang w:val="fr-CH" w:eastAsia="en-US"/>
        </w:rPr>
        <w:t xml:space="preserve"> الحق في استشارة محامٍ على الفور والخضوع لفحص طبي مستقل والحق في إبلاغ أقاربهم وتعريفهم بحقوقهم ساعة الاحتجاز، بما في ذلك بالتهم الموجهة </w:t>
      </w:r>
      <w:r w:rsidRPr="001D3F00">
        <w:rPr>
          <w:rFonts w:hint="cs"/>
          <w:b/>
          <w:bCs/>
          <w:spacing w:val="0"/>
          <w:kern w:val="0"/>
          <w:sz w:val="20"/>
          <w:rtl/>
          <w:lang w:val="fr-CH" w:eastAsia="en-US"/>
        </w:rPr>
        <w:t xml:space="preserve">إليهم </w:t>
      </w:r>
      <w:r w:rsidRPr="001D3F00">
        <w:rPr>
          <w:b/>
          <w:bCs/>
          <w:spacing w:val="0"/>
          <w:kern w:val="0"/>
          <w:sz w:val="20"/>
          <w:rtl/>
          <w:lang w:val="fr-CH" w:eastAsia="en-US"/>
        </w:rPr>
        <w:t>فضلاً عن مثولهم أمام قاض خلال مهلة الأربع و</w:t>
      </w:r>
      <w:r w:rsidRPr="001D3F00">
        <w:rPr>
          <w:rFonts w:hint="cs"/>
          <w:b/>
          <w:bCs/>
          <w:spacing w:val="0"/>
          <w:kern w:val="0"/>
          <w:sz w:val="20"/>
          <w:rtl/>
          <w:lang w:val="fr-CH" w:eastAsia="en-US"/>
        </w:rPr>
        <w:t>ال</w:t>
      </w:r>
      <w:r w:rsidRPr="001D3F00">
        <w:rPr>
          <w:b/>
          <w:bCs/>
          <w:spacing w:val="0"/>
          <w:kern w:val="0"/>
          <w:sz w:val="20"/>
          <w:rtl/>
          <w:lang w:val="fr-CH" w:eastAsia="en-US"/>
        </w:rPr>
        <w:t>عشرين ساعة المحددة. وينبغي للدولة الطرف أيضاً أن تكفل إدراج أسماء جميع المحتجزين في سجل مركزي ورصد أداء المسؤولين في مسك هذا السجل بدقة؛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w:t>
      </w:r>
      <w:r w:rsidRPr="001D3F00">
        <w:rPr>
          <w:rFonts w:hint="cs"/>
          <w:b/>
          <w:bCs/>
          <w:spacing w:val="0"/>
          <w:kern w:val="0"/>
          <w:sz w:val="30"/>
          <w:rtl/>
          <w:lang w:val="fr-CH" w:eastAsia="en-US"/>
        </w:rPr>
        <w:t>ﻫ</w:t>
      </w:r>
      <w:r w:rsidRPr="001D3F00">
        <w:rPr>
          <w:b/>
          <w:bCs/>
          <w:spacing w:val="0"/>
          <w:kern w:val="0"/>
          <w:sz w:val="20"/>
          <w:rtl/>
          <w:lang w:val="fr-CH" w:eastAsia="en-US"/>
        </w:rPr>
        <w:t>)</w:t>
      </w:r>
      <w:r w:rsidRPr="001D3F00">
        <w:rPr>
          <w:rFonts w:hint="cs"/>
          <w:b/>
          <w:bCs/>
          <w:spacing w:val="0"/>
          <w:kern w:val="0"/>
          <w:sz w:val="20"/>
          <w:rtl/>
          <w:lang w:val="fr-CH" w:eastAsia="en-US"/>
        </w:rPr>
        <w:tab/>
      </w:r>
      <w:r w:rsidRPr="001D3F00">
        <w:rPr>
          <w:b/>
          <w:bCs/>
          <w:spacing w:val="0"/>
          <w:kern w:val="0"/>
          <w:sz w:val="20"/>
          <w:rtl/>
          <w:lang w:val="fr-CH" w:eastAsia="en-US"/>
        </w:rPr>
        <w:t>تناشد اللجنة الدولة الطرف أن تُنشئ نظاماً وطنياً فعالاً لرصد جميع أماكن الاحتجاز وتفتيشها</w:t>
      </w:r>
      <w:r w:rsidRPr="001D3F00">
        <w:rPr>
          <w:rFonts w:hint="cs"/>
          <w:b/>
          <w:bCs/>
          <w:spacing w:val="0"/>
          <w:kern w:val="0"/>
          <w:sz w:val="20"/>
          <w:rtl/>
          <w:lang w:val="fr-CH" w:eastAsia="en-US"/>
        </w:rPr>
        <w:t>،</w:t>
      </w:r>
      <w:r w:rsidRPr="001D3F00">
        <w:rPr>
          <w:b/>
          <w:bCs/>
          <w:spacing w:val="0"/>
          <w:kern w:val="0"/>
          <w:sz w:val="20"/>
          <w:rtl/>
          <w:lang w:val="fr-CH" w:eastAsia="en-US"/>
        </w:rPr>
        <w:t xml:space="preserve"> وأن تتخذ ما يلزم من تدابير لمتابعة نتائج هذا الرصد المنهجي. وينبغي لها أيضاً أن تكفل حضور أخصائيين في الطب الشرعي لديهم التدريب الكافي لكشف علامات التعذيب خلال تلك الزيارات؛</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ascii="Times New Roman Bold" w:hAnsi="Times New Roman Bold" w:hint="cs"/>
          <w:b/>
          <w:bCs/>
          <w:spacing w:val="-3"/>
          <w:kern w:val="0"/>
          <w:sz w:val="20"/>
          <w:lang w:val="fr-CH" w:eastAsia="en-US"/>
        </w:rPr>
      </w:pPr>
      <w:r w:rsidRPr="001D3F00">
        <w:rPr>
          <w:rFonts w:ascii="Times New Roman Bold" w:hAnsi="Times New Roman Bold" w:hint="cs"/>
          <w:b/>
          <w:bCs/>
          <w:spacing w:val="-3"/>
          <w:kern w:val="0"/>
          <w:sz w:val="20"/>
          <w:rtl/>
          <w:lang w:val="fr-CH" w:eastAsia="en-US"/>
        </w:rPr>
        <w:tab/>
      </w:r>
      <w:r w:rsidRPr="001D3F00">
        <w:rPr>
          <w:rFonts w:ascii="Times New Roman Bold" w:hAnsi="Times New Roman Bold"/>
          <w:b/>
          <w:bCs/>
          <w:spacing w:val="-3"/>
          <w:kern w:val="0"/>
          <w:sz w:val="20"/>
          <w:rtl/>
          <w:lang w:val="fr-CH" w:eastAsia="en-US"/>
        </w:rPr>
        <w:t>(و)</w:t>
      </w:r>
      <w:r w:rsidRPr="001D3F00">
        <w:rPr>
          <w:rFonts w:ascii="Times New Roman Bold" w:hAnsi="Times New Roman Bold" w:hint="cs"/>
          <w:b/>
          <w:bCs/>
          <w:spacing w:val="-3"/>
          <w:kern w:val="0"/>
          <w:sz w:val="20"/>
          <w:rtl/>
          <w:lang w:val="fr-CH" w:eastAsia="en-US"/>
        </w:rPr>
        <w:tab/>
      </w:r>
      <w:r w:rsidRPr="001D3F00">
        <w:rPr>
          <w:rFonts w:ascii="Times New Roman Bold" w:hAnsi="Times New Roman Bold"/>
          <w:b/>
          <w:bCs/>
          <w:spacing w:val="-3"/>
          <w:kern w:val="0"/>
          <w:sz w:val="20"/>
          <w:rtl/>
          <w:lang w:val="fr-CH" w:eastAsia="en-US"/>
        </w:rPr>
        <w:t>ينبغي وقف الموظفين المكلفين بإنفا</w:t>
      </w:r>
      <w:r w:rsidRPr="001D3F00">
        <w:rPr>
          <w:rFonts w:ascii="Times New Roman Bold" w:hAnsi="Times New Roman Bold" w:hint="cs"/>
          <w:b/>
          <w:bCs/>
          <w:spacing w:val="-3"/>
          <w:kern w:val="0"/>
          <w:sz w:val="20"/>
          <w:rtl/>
          <w:lang w:val="fr-CH" w:eastAsia="en-US"/>
        </w:rPr>
        <w:t>ذ</w:t>
      </w:r>
      <w:r w:rsidRPr="001D3F00">
        <w:rPr>
          <w:rFonts w:ascii="Times New Roman Bold" w:hAnsi="Times New Roman Bold"/>
          <w:b/>
          <w:bCs/>
          <w:spacing w:val="-3"/>
          <w:kern w:val="0"/>
          <w:sz w:val="20"/>
          <w:rtl/>
          <w:lang w:val="fr-CH" w:eastAsia="en-US"/>
        </w:rPr>
        <w:t xml:space="preserve"> القانون وأفراد الجيش المتهمين بالتعذيب عن </w:t>
      </w:r>
      <w:r w:rsidRPr="001D3F00">
        <w:rPr>
          <w:rFonts w:ascii="Times New Roman Bold" w:hAnsi="Times New Roman Bold" w:hint="cs"/>
          <w:b/>
          <w:bCs/>
          <w:spacing w:val="-3"/>
          <w:kern w:val="0"/>
          <w:sz w:val="20"/>
          <w:rtl/>
          <w:lang w:val="fr-CH" w:eastAsia="en-US"/>
        </w:rPr>
        <w:t xml:space="preserve">أداء </w:t>
      </w:r>
      <w:r w:rsidRPr="001D3F00">
        <w:rPr>
          <w:rFonts w:ascii="Times New Roman Bold" w:hAnsi="Times New Roman Bold"/>
          <w:b/>
          <w:bCs/>
          <w:spacing w:val="-3"/>
          <w:kern w:val="0"/>
          <w:sz w:val="20"/>
          <w:rtl/>
          <w:lang w:val="fr-CH" w:eastAsia="en-US"/>
        </w:rPr>
        <w:t>مهام وظائفهم وعن المشاركة في أية أنشطة في عمليات الأمم المتحدة لحفظ السلام رهنا</w:t>
      </w:r>
      <w:r w:rsidRPr="001D3F00">
        <w:rPr>
          <w:rFonts w:ascii="Times New Roman Bold" w:hAnsi="Times New Roman Bold" w:hint="cs"/>
          <w:b/>
          <w:bCs/>
          <w:spacing w:val="-3"/>
          <w:kern w:val="0"/>
          <w:sz w:val="20"/>
          <w:rtl/>
          <w:lang w:val="fr-CH" w:eastAsia="en-US"/>
        </w:rPr>
        <w:t>ً</w:t>
      </w:r>
      <w:r w:rsidRPr="001D3F00">
        <w:rPr>
          <w:rFonts w:ascii="Times New Roman Bold" w:hAnsi="Times New Roman Bold"/>
          <w:b/>
          <w:bCs/>
          <w:spacing w:val="-3"/>
          <w:kern w:val="0"/>
          <w:sz w:val="20"/>
          <w:rtl/>
          <w:lang w:val="fr-CH" w:eastAsia="en-US"/>
        </w:rPr>
        <w:t xml:space="preserve"> بنتيجة التحقيق في ادعاء التعذيب وأية إجراءات قانونية أو تأديبية لاحقة؛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(ز)</w:t>
      </w:r>
      <w:r w:rsidRPr="001D3F00">
        <w:rPr>
          <w:rFonts w:hint="cs"/>
          <w:b/>
          <w:bCs/>
          <w:spacing w:val="0"/>
          <w:kern w:val="0"/>
          <w:sz w:val="20"/>
          <w:rtl/>
          <w:lang w:val="fr-CH" w:eastAsia="en-US"/>
        </w:rPr>
        <w:tab/>
      </w:r>
      <w:r w:rsidRPr="001D3F00">
        <w:rPr>
          <w:b/>
          <w:bCs/>
          <w:spacing w:val="0"/>
          <w:kern w:val="0"/>
          <w:sz w:val="20"/>
          <w:rtl/>
          <w:lang w:val="fr-CH" w:eastAsia="en-US"/>
        </w:rPr>
        <w:t>عندما يدعي محتجز أن اعترافاته انتزعت تحت وطأة التعذيب، ينبغي للادعاء أن يتحمل عبء إثبات أن المحتجز قد قدم تلك الاعترافات بم</w:t>
      </w:r>
      <w:r w:rsidRPr="001D3F00">
        <w:rPr>
          <w:rFonts w:hint="cs"/>
          <w:b/>
          <w:bCs/>
          <w:spacing w:val="0"/>
          <w:kern w:val="0"/>
          <w:sz w:val="20"/>
          <w:rtl/>
          <w:lang w:val="fr-CH" w:eastAsia="en-US"/>
        </w:rPr>
        <w:t>حض إرادته</w:t>
      </w:r>
      <w:r w:rsidRPr="001D3F00">
        <w:rPr>
          <w:b/>
          <w:bCs/>
          <w:spacing w:val="0"/>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(ح)</w:t>
      </w:r>
      <w:r w:rsidRPr="001D3F00">
        <w:rPr>
          <w:rFonts w:hint="cs"/>
          <w:b/>
          <w:bCs/>
          <w:spacing w:val="0"/>
          <w:kern w:val="0"/>
          <w:sz w:val="20"/>
          <w:rtl/>
          <w:lang w:val="fr-CH" w:eastAsia="en-US"/>
        </w:rPr>
        <w:tab/>
      </w:r>
      <w:r w:rsidRPr="001D3F00">
        <w:rPr>
          <w:b/>
          <w:bCs/>
          <w:spacing w:val="0"/>
          <w:kern w:val="0"/>
          <w:sz w:val="20"/>
          <w:rtl/>
          <w:lang w:val="fr-CH" w:eastAsia="en-US"/>
        </w:rPr>
        <w:t>ينبغي التحقيق في ادعاءات انتهاكات حقوق الإنسان التي ارتكبها الجيش النيبالي وقوات الشرطة المسلحة ضد المدنيين ومقاضاة مرتكبيها في محاكم مدنية عادية في جميع مراحل الإجراءات الجنائية؛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(ط)</w:t>
      </w:r>
      <w:r w:rsidRPr="001D3F00">
        <w:rPr>
          <w:rFonts w:hint="cs"/>
          <w:b/>
          <w:bCs/>
          <w:spacing w:val="0"/>
          <w:kern w:val="0"/>
          <w:sz w:val="20"/>
          <w:rtl/>
          <w:lang w:val="fr-CH" w:eastAsia="en-US"/>
        </w:rPr>
        <w:tab/>
      </w:r>
      <w:r w:rsidRPr="001D3F00">
        <w:rPr>
          <w:b/>
          <w:bCs/>
          <w:spacing w:val="0"/>
          <w:kern w:val="0"/>
          <w:sz w:val="20"/>
          <w:rtl/>
          <w:lang w:val="fr-CH" w:eastAsia="en-US"/>
        </w:rPr>
        <w:t xml:space="preserve">ينبغي للدولة الطرف جبر جميع ضحايا التعذيب، بما يشمل دفع تعويض منصف ومناسب، وإعادة تأهيلهم تأهيلاً كاملاً وتوفير أشكال أخرى من الجبر عند الاقتضاء دون مزيد من التأخير. وينبغي ألا تخضع أهلية الضحية لرفع دعاوى من أجل الحصول على الجبر لمبدأ التقادم. وينبغي أن تضمن الدولة الطرف جبر جميع الأفراد </w:t>
      </w:r>
      <w:r w:rsidRPr="001D3F00">
        <w:rPr>
          <w:rFonts w:hint="cs"/>
          <w:b/>
          <w:bCs/>
          <w:spacing w:val="0"/>
          <w:kern w:val="0"/>
          <w:sz w:val="20"/>
          <w:rtl/>
          <w:lang w:val="fr-CH" w:eastAsia="en-US"/>
        </w:rPr>
        <w:t>بسرعة</w:t>
      </w:r>
      <w:r w:rsidRPr="001D3F00">
        <w:rPr>
          <w:b/>
          <w:bCs/>
          <w:spacing w:val="0"/>
          <w:kern w:val="0"/>
          <w:sz w:val="20"/>
          <w:rtl/>
          <w:lang w:val="fr-CH" w:eastAsia="en-US"/>
        </w:rPr>
        <w:t xml:space="preserve">. وإضافة إلى ذلك، ينبغي للدولة الطرف أن تكفل </w:t>
      </w:r>
      <w:r w:rsidRPr="001D3F00">
        <w:rPr>
          <w:rFonts w:hint="cs"/>
          <w:b/>
          <w:bCs/>
          <w:spacing w:val="0"/>
          <w:kern w:val="0"/>
          <w:sz w:val="20"/>
          <w:rtl/>
          <w:lang w:val="fr-CH" w:eastAsia="en-US"/>
        </w:rPr>
        <w:t>إعداد</w:t>
      </w:r>
      <w:r w:rsidRPr="001D3F00">
        <w:rPr>
          <w:b/>
          <w:bCs/>
          <w:spacing w:val="0"/>
          <w:kern w:val="0"/>
          <w:sz w:val="20"/>
          <w:rtl/>
          <w:lang w:val="fr-CH" w:eastAsia="en-US"/>
        </w:rPr>
        <w:t xml:space="preserve"> برامج تعويض مناسبة، بما</w:t>
      </w:r>
      <w:r w:rsidRPr="001D3F00">
        <w:rPr>
          <w:rFonts w:hint="cs"/>
          <w:b/>
          <w:bCs/>
          <w:spacing w:val="0"/>
          <w:kern w:val="0"/>
          <w:sz w:val="20"/>
          <w:rtl/>
          <w:lang w:val="fr-CH" w:eastAsia="en-US"/>
        </w:rPr>
        <w:t> </w:t>
      </w:r>
      <w:r w:rsidRPr="001D3F00">
        <w:rPr>
          <w:b/>
          <w:bCs/>
          <w:spacing w:val="0"/>
          <w:kern w:val="0"/>
          <w:sz w:val="20"/>
          <w:rtl/>
          <w:lang w:val="fr-CH" w:eastAsia="en-US"/>
        </w:rPr>
        <w:t>في ذلك توفير العلاج الطبي في حالة الصدمة النفسية وغيره من أشكال إعادة التأهيل المقدمة إلى ضحايا التعذيب وسوء المعاملة وتخصيص ما يكفي من الموارد لضمان عمل تلك البرامج بفعالية؛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6"/>
          <w:kern w:val="0"/>
          <w:sz w:val="20"/>
          <w:lang w:val="fr-CH" w:eastAsia="en-US"/>
        </w:rPr>
      </w:pPr>
      <w:r w:rsidRPr="001D3F00">
        <w:rPr>
          <w:rFonts w:hint="cs"/>
          <w:b/>
          <w:bCs/>
          <w:spacing w:val="-6"/>
          <w:kern w:val="0"/>
          <w:sz w:val="20"/>
          <w:rtl/>
          <w:lang w:val="fr-CH" w:eastAsia="en-US"/>
        </w:rPr>
        <w:tab/>
      </w:r>
      <w:r w:rsidRPr="001D3F00">
        <w:rPr>
          <w:b/>
          <w:bCs/>
          <w:spacing w:val="-6"/>
          <w:kern w:val="0"/>
          <w:sz w:val="20"/>
          <w:rtl/>
          <w:lang w:val="fr-CH" w:eastAsia="en-US"/>
        </w:rPr>
        <w:t>(ي)</w:t>
      </w:r>
      <w:r w:rsidRPr="001D3F00">
        <w:rPr>
          <w:rFonts w:hint="cs"/>
          <w:b/>
          <w:bCs/>
          <w:spacing w:val="-6"/>
          <w:kern w:val="0"/>
          <w:sz w:val="20"/>
          <w:rtl/>
          <w:lang w:val="fr-CH" w:eastAsia="en-US"/>
        </w:rPr>
        <w:tab/>
      </w:r>
      <w:r w:rsidRPr="001D3F00">
        <w:rPr>
          <w:b/>
          <w:bCs/>
          <w:spacing w:val="-6"/>
          <w:kern w:val="0"/>
          <w:sz w:val="20"/>
          <w:rtl/>
          <w:lang w:val="fr-CH" w:eastAsia="en-US"/>
        </w:rPr>
        <w:t xml:space="preserve">ينبغي فصل الأحداث الجانحين على أساس </w:t>
      </w:r>
      <w:r w:rsidRPr="001D3F00">
        <w:rPr>
          <w:rFonts w:hint="cs"/>
          <w:b/>
          <w:bCs/>
          <w:spacing w:val="-6"/>
          <w:kern w:val="0"/>
          <w:sz w:val="20"/>
          <w:rtl/>
          <w:lang w:val="fr-CH" w:eastAsia="en-US"/>
        </w:rPr>
        <w:t>عمرهم</w:t>
      </w:r>
      <w:r w:rsidRPr="001D3F00">
        <w:rPr>
          <w:b/>
          <w:bCs/>
          <w:spacing w:val="-6"/>
          <w:kern w:val="0"/>
          <w:sz w:val="20"/>
          <w:rtl/>
          <w:lang w:val="fr-CH" w:eastAsia="en-US"/>
        </w:rPr>
        <w:t xml:space="preserve"> وجسامة جرمهم على النحو الذي أوصت به اللجنة في ملاحظاتها الختامية السابقة فضلاً عن لجنة حقوق الطفل</w:t>
      </w:r>
      <w:r w:rsidRPr="001D3F00">
        <w:rPr>
          <w:spacing w:val="-6"/>
          <w:kern w:val="0"/>
          <w:sz w:val="20"/>
          <w:vertAlign w:val="superscript"/>
          <w:rtl/>
          <w:lang w:val="fr-CH" w:eastAsia="en-US"/>
        </w:rPr>
        <w:t>(</w:t>
      </w:r>
      <w:r w:rsidRPr="001D3F00">
        <w:rPr>
          <w:b/>
          <w:spacing w:val="-6"/>
          <w:kern w:val="0"/>
          <w:szCs w:val="28"/>
          <w:vertAlign w:val="superscript"/>
          <w:rtl/>
          <w:lang w:val="fr-CH" w:eastAsia="en-US"/>
        </w:rPr>
        <w:footnoteReference w:id="142"/>
      </w:r>
      <w:r w:rsidRPr="001D3F00">
        <w:rPr>
          <w:spacing w:val="-6"/>
          <w:kern w:val="0"/>
          <w:sz w:val="20"/>
          <w:vertAlign w:val="superscript"/>
          <w:rtl/>
          <w:lang w:val="fr-CH" w:eastAsia="en-US"/>
        </w:rPr>
        <w:t>)</w:t>
      </w:r>
      <w:r w:rsidRPr="001D3F00">
        <w:rPr>
          <w:b/>
          <w:bCs/>
          <w:spacing w:val="-6"/>
          <w:kern w:val="0"/>
          <w:sz w:val="20"/>
          <w:rtl/>
          <w:lang w:val="fr-CH" w:eastAsia="en-US"/>
        </w:rPr>
        <w:t>؛</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(ك)</w:t>
      </w:r>
      <w:r w:rsidRPr="001D3F00">
        <w:rPr>
          <w:rFonts w:hint="cs"/>
          <w:b/>
          <w:bCs/>
          <w:spacing w:val="0"/>
          <w:kern w:val="0"/>
          <w:sz w:val="20"/>
          <w:rtl/>
          <w:lang w:val="fr-CH" w:eastAsia="en-US"/>
        </w:rPr>
        <w:tab/>
      </w:r>
      <w:r w:rsidRPr="001D3F00">
        <w:rPr>
          <w:b/>
          <w:bCs/>
          <w:spacing w:val="0"/>
          <w:kern w:val="0"/>
          <w:sz w:val="20"/>
          <w:rtl/>
          <w:lang w:val="fr-CH" w:eastAsia="en-US"/>
        </w:rPr>
        <w:t>ينبغي ألا تحتفظ مراكز الشرطة بالمحتجزين بدون عرضهم على قاض لأكثر من 24 ساعة وهي المدة المنصوص عليها في القانون؛</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(ل)</w:t>
      </w:r>
      <w:r w:rsidRPr="001D3F00">
        <w:rPr>
          <w:rFonts w:hint="cs"/>
          <w:b/>
          <w:bCs/>
          <w:spacing w:val="0"/>
          <w:kern w:val="0"/>
          <w:sz w:val="20"/>
          <w:rtl/>
          <w:lang w:val="fr-CH" w:eastAsia="en-US"/>
        </w:rPr>
        <w:tab/>
      </w:r>
      <w:r w:rsidRPr="001D3F00">
        <w:rPr>
          <w:b/>
          <w:bCs/>
          <w:spacing w:val="0"/>
          <w:kern w:val="0"/>
          <w:sz w:val="20"/>
          <w:rtl/>
          <w:lang w:val="fr-CH" w:eastAsia="en-US"/>
        </w:rPr>
        <w:t>ينبغي جمع إحصاءات في وثيقة علنية عن عدد شكاوى التعذيب الواردة والتحقيقات التي أجريت فيها على أن تكون مصنفة بحسب العمر ونوع الجنس والعرق، وتقديمها إلى البرلمان وعرضها على اللجنة؛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ascii="Times New Roman Bold" w:hAnsi="Times New Roman Bold"/>
          <w:b/>
          <w:bCs/>
          <w:spacing w:val="1"/>
          <w:kern w:val="0"/>
          <w:sz w:val="20"/>
          <w:lang w:val="fr-CH" w:eastAsia="en-US"/>
        </w:rPr>
      </w:pPr>
      <w:r w:rsidRPr="001D3F00">
        <w:rPr>
          <w:rFonts w:ascii="Times New Roman Bold" w:hAnsi="Times New Roman Bold" w:hint="cs"/>
          <w:b/>
          <w:bCs/>
          <w:spacing w:val="1"/>
          <w:kern w:val="0"/>
          <w:sz w:val="20"/>
          <w:rtl/>
          <w:lang w:val="fr-CH" w:eastAsia="en-US"/>
        </w:rPr>
        <w:tab/>
      </w:r>
      <w:r w:rsidRPr="001D3F00">
        <w:rPr>
          <w:rFonts w:ascii="Times New Roman Bold" w:hAnsi="Times New Roman Bold"/>
          <w:b/>
          <w:bCs/>
          <w:spacing w:val="1"/>
          <w:kern w:val="0"/>
          <w:sz w:val="20"/>
          <w:rtl/>
          <w:lang w:val="fr-CH" w:eastAsia="en-US"/>
        </w:rPr>
        <w:t>(م)</w:t>
      </w:r>
      <w:r w:rsidRPr="001D3F00">
        <w:rPr>
          <w:rFonts w:ascii="Times New Roman Bold" w:hAnsi="Times New Roman Bold" w:hint="cs"/>
          <w:b/>
          <w:bCs/>
          <w:spacing w:val="1"/>
          <w:kern w:val="0"/>
          <w:sz w:val="20"/>
          <w:rtl/>
          <w:lang w:val="fr-CH" w:eastAsia="en-US"/>
        </w:rPr>
        <w:tab/>
      </w:r>
      <w:r w:rsidRPr="001D3F00">
        <w:rPr>
          <w:rFonts w:ascii="Times New Roman Bold" w:hAnsi="Times New Roman Bold"/>
          <w:b/>
          <w:bCs/>
          <w:spacing w:val="1"/>
          <w:kern w:val="0"/>
          <w:sz w:val="20"/>
          <w:rtl/>
          <w:lang w:val="fr-CH" w:eastAsia="en-US"/>
        </w:rPr>
        <w:t xml:space="preserve">ينبغي للسلطات المختصة أن تضمن في جميع القضايا التي يدعي فيها شخص ما تعرضه للتعذيب إخضاعه لفحص طبي مستقل وفقاً لدليل التقصي والتوثيق الفعالين للتعذيب وغيره من ضروب المعاملة أو العقوبة القاسية أو اللاإنسانية أو المهينة (بروتوكول اسطنبول). وينبغي توفير التدريب للأطباء في مجال الكشف عن علامات </w:t>
      </w:r>
      <w:r w:rsidRPr="001D3F00">
        <w:rPr>
          <w:rFonts w:ascii="Times New Roman Bold" w:hAnsi="Times New Roman Bold" w:hint="cs"/>
          <w:b/>
          <w:bCs/>
          <w:spacing w:val="1"/>
          <w:kern w:val="0"/>
          <w:sz w:val="20"/>
          <w:rtl/>
          <w:lang w:val="fr-CH" w:eastAsia="en-US"/>
        </w:rPr>
        <w:t xml:space="preserve">الإصابة </w:t>
      </w:r>
      <w:r w:rsidRPr="001D3F00">
        <w:rPr>
          <w:rFonts w:ascii="Times New Roman Bold" w:hAnsi="Times New Roman Bold"/>
          <w:b/>
          <w:bCs/>
          <w:spacing w:val="1"/>
          <w:kern w:val="0"/>
          <w:sz w:val="20"/>
          <w:rtl/>
          <w:lang w:val="fr-CH" w:eastAsia="en-US"/>
        </w:rPr>
        <w:t xml:space="preserve">التي تميز التعذيب أو سوء المعاملة وفقاً لبروتوكول اسطنبول. وينبغي أن تكون الفحوص الطبية الشرعية التي يخضع لها المحتجزون </w:t>
      </w:r>
      <w:r w:rsidRPr="001D3F00">
        <w:rPr>
          <w:rFonts w:ascii="Times New Roman Bold" w:hAnsi="Times New Roman Bold" w:hint="cs"/>
          <w:b/>
          <w:bCs/>
          <w:spacing w:val="1"/>
          <w:kern w:val="0"/>
          <w:sz w:val="20"/>
          <w:rtl/>
          <w:lang w:val="fr-CH" w:eastAsia="en-US"/>
        </w:rPr>
        <w:t>إجراء روتينيا</w:t>
      </w:r>
      <w:r w:rsidRPr="001D3F00">
        <w:rPr>
          <w:rFonts w:ascii="Times New Roman Bold" w:hAnsi="Times New Roman Bold"/>
          <w:b/>
          <w:bCs/>
          <w:spacing w:val="1"/>
          <w:kern w:val="0"/>
          <w:sz w:val="20"/>
          <w:rtl/>
          <w:lang w:val="fr-CH" w:eastAsia="en-US"/>
        </w:rPr>
        <w:t xml:space="preserve"> وأن تجرى دون طلب من الشرطة؛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(ن)</w:t>
      </w:r>
      <w:r w:rsidRPr="001D3F00">
        <w:rPr>
          <w:rFonts w:hint="cs"/>
          <w:b/>
          <w:bCs/>
          <w:spacing w:val="0"/>
          <w:kern w:val="0"/>
          <w:sz w:val="20"/>
          <w:rtl/>
          <w:lang w:val="fr-CH" w:eastAsia="en-US"/>
        </w:rPr>
        <w:tab/>
      </w:r>
      <w:r w:rsidRPr="001D3F00">
        <w:rPr>
          <w:b/>
          <w:bCs/>
          <w:spacing w:val="0"/>
          <w:kern w:val="0"/>
          <w:sz w:val="20"/>
          <w:rtl/>
          <w:lang w:val="fr-CH" w:eastAsia="en-US"/>
        </w:rPr>
        <w:t>ينبغي ضمان الاستقلالية التقنية والعلمية للأطباء الشرعيين في تنفيذ عملهم المتعلق بالطب الشرعي، بما في ذلك إلحاقهم بالسلطة القضائية أو</w:t>
      </w:r>
      <w:r w:rsidRPr="001D3F00">
        <w:rPr>
          <w:rFonts w:hint="cs"/>
          <w:b/>
          <w:bCs/>
          <w:spacing w:val="0"/>
          <w:kern w:val="0"/>
          <w:sz w:val="20"/>
          <w:rtl/>
          <w:lang w:val="fr-CH" w:eastAsia="en-US"/>
        </w:rPr>
        <w:t xml:space="preserve"> </w:t>
      </w:r>
      <w:r w:rsidRPr="001D3F00">
        <w:rPr>
          <w:b/>
          <w:bCs/>
          <w:spacing w:val="0"/>
          <w:kern w:val="0"/>
          <w:sz w:val="20"/>
          <w:rtl/>
          <w:lang w:val="fr-CH" w:eastAsia="en-US"/>
        </w:rPr>
        <w:t>بأية سلطة مستقلة أخرى وفصلهم عن جميع هياكل الشرطة؛</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b/>
          <w:bCs/>
          <w:spacing w:val="0"/>
          <w:kern w:val="0"/>
          <w:sz w:val="20"/>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(س)</w:t>
      </w:r>
      <w:r w:rsidRPr="001D3F00">
        <w:rPr>
          <w:rFonts w:hint="cs"/>
          <w:b/>
          <w:bCs/>
          <w:spacing w:val="0"/>
          <w:kern w:val="0"/>
          <w:sz w:val="20"/>
          <w:rtl/>
          <w:lang w:val="fr-CH" w:eastAsia="en-US"/>
        </w:rPr>
        <w:tab/>
      </w:r>
      <w:r w:rsidRPr="001D3F00">
        <w:rPr>
          <w:b/>
          <w:bCs/>
          <w:spacing w:val="0"/>
          <w:kern w:val="0"/>
          <w:sz w:val="20"/>
          <w:rtl/>
          <w:lang w:val="fr-CH" w:eastAsia="en-US"/>
        </w:rPr>
        <w:t xml:space="preserve">ينبغي للدولة الطرف أن تنظر في التصديق على البروتوكول الاختياري للاتفاقية الذي ينص على إنشاء آلية حماية وطنية تتمتع </w:t>
      </w:r>
      <w:r w:rsidRPr="001D3F00">
        <w:rPr>
          <w:rFonts w:hint="cs"/>
          <w:b/>
          <w:bCs/>
          <w:spacing w:val="0"/>
          <w:kern w:val="0"/>
          <w:sz w:val="20"/>
          <w:rtl/>
          <w:lang w:val="fr-CH" w:eastAsia="en-US"/>
        </w:rPr>
        <w:t xml:space="preserve">بصلاحية </w:t>
      </w:r>
      <w:r w:rsidRPr="001D3F00">
        <w:rPr>
          <w:b/>
          <w:bCs/>
          <w:spacing w:val="0"/>
          <w:kern w:val="0"/>
          <w:sz w:val="20"/>
          <w:rtl/>
          <w:lang w:val="fr-CH" w:eastAsia="en-US"/>
        </w:rPr>
        <w:t>القيام بزيارات دورية إلى أماكن الاحتجاز؛</w:t>
      </w:r>
    </w:p>
    <w:p w:rsidR="001D3F00" w:rsidRPr="001D3F00" w:rsidRDefault="001D3F00" w:rsidP="001D3F00">
      <w:pPr>
        <w:tabs>
          <w:tab w:val="left" w:pos="1928"/>
          <w:tab w:val="left" w:pos="2608"/>
          <w:tab w:val="left" w:pos="3289"/>
          <w:tab w:val="left" w:pos="3969"/>
          <w:tab w:val="left" w:pos="4649"/>
          <w:tab w:val="left" w:pos="5330"/>
        </w:tabs>
        <w:spacing w:after="120" w:line="380" w:lineRule="exact"/>
        <w:ind w:left="1247" w:right="1247"/>
        <w:jc w:val="lowKashida"/>
        <w:rPr>
          <w:rFonts w:hint="cs"/>
          <w:b/>
          <w:bCs/>
          <w:spacing w:val="0"/>
          <w:kern w:val="0"/>
          <w:sz w:val="20"/>
          <w:rtl/>
          <w:lang w:val="fr-CH" w:eastAsia="en-US"/>
        </w:rPr>
      </w:pPr>
      <w:r w:rsidRPr="001D3F00">
        <w:rPr>
          <w:rFonts w:hint="cs"/>
          <w:b/>
          <w:bCs/>
          <w:spacing w:val="0"/>
          <w:kern w:val="0"/>
          <w:sz w:val="20"/>
          <w:rtl/>
          <w:lang w:val="fr-CH" w:eastAsia="en-US"/>
        </w:rPr>
        <w:tab/>
      </w:r>
      <w:r w:rsidRPr="001D3F00">
        <w:rPr>
          <w:b/>
          <w:bCs/>
          <w:spacing w:val="0"/>
          <w:kern w:val="0"/>
          <w:sz w:val="20"/>
          <w:rtl/>
          <w:lang w:val="fr-CH" w:eastAsia="en-US"/>
        </w:rPr>
        <w:t>(ع)</w:t>
      </w:r>
      <w:r w:rsidRPr="001D3F00">
        <w:rPr>
          <w:rFonts w:hint="cs"/>
          <w:b/>
          <w:bCs/>
          <w:spacing w:val="0"/>
          <w:kern w:val="0"/>
          <w:sz w:val="20"/>
          <w:rtl/>
          <w:lang w:val="fr-CH" w:eastAsia="en-US"/>
        </w:rPr>
        <w:tab/>
      </w:r>
      <w:r w:rsidRPr="001D3F00">
        <w:rPr>
          <w:b/>
          <w:bCs/>
          <w:spacing w:val="0"/>
          <w:kern w:val="0"/>
          <w:sz w:val="20"/>
          <w:rtl/>
          <w:lang w:val="fr-CH" w:eastAsia="en-US"/>
        </w:rPr>
        <w:t>ينبغي للدولة الطرف أن تنظر في قبول اختصاص اللجنة في تلقي البلاغات الفردية والنظر فيها بموجب المادة 22</w:t>
      </w:r>
      <w:r w:rsidRPr="001D3F00">
        <w:rPr>
          <w:rFonts w:hint="cs"/>
          <w:b/>
          <w:bCs/>
          <w:spacing w:val="0"/>
          <w:kern w:val="0"/>
          <w:sz w:val="20"/>
          <w:rtl/>
          <w:lang w:val="fr-CH" w:eastAsia="en-US"/>
        </w:rPr>
        <w:t xml:space="preserve"> </w:t>
      </w:r>
      <w:r w:rsidRPr="001D3F00">
        <w:rPr>
          <w:b/>
          <w:bCs/>
          <w:spacing w:val="0"/>
          <w:kern w:val="0"/>
          <w:sz w:val="20"/>
          <w:rtl/>
          <w:lang w:val="fr-CH" w:eastAsia="en-US"/>
        </w:rPr>
        <w:t>من الاتفاقية.</w:t>
      </w:r>
    </w:p>
    <w:p w:rsidR="00921F02" w:rsidRPr="003E698F" w:rsidRDefault="00921F02" w:rsidP="003E698F">
      <w:pPr>
        <w:pStyle w:val="H1GA"/>
        <w:spacing w:after="20"/>
        <w:rPr>
          <w:rFonts w:hint="cs"/>
          <w:spacing w:val="0"/>
          <w:kern w:val="0"/>
          <w:sz w:val="20"/>
          <w:rtl/>
        </w:rPr>
      </w:pPr>
      <w:r w:rsidRPr="003E698F">
        <w:rPr>
          <w:rFonts w:hint="cs"/>
          <w:spacing w:val="0"/>
          <w:kern w:val="0"/>
          <w:sz w:val="20"/>
          <w:rtl/>
        </w:rPr>
        <w:tab/>
      </w:r>
      <w:r w:rsidRPr="003E698F">
        <w:rPr>
          <w:rFonts w:hint="cs"/>
          <w:spacing w:val="0"/>
          <w:kern w:val="0"/>
          <w:sz w:val="20"/>
          <w:rtl/>
        </w:rPr>
        <w:tab/>
        <w:t>الجزء 2</w:t>
      </w:r>
    </w:p>
    <w:p w:rsidR="00921F02" w:rsidRPr="003E698F" w:rsidRDefault="00921F02" w:rsidP="000235D4">
      <w:pPr>
        <w:pStyle w:val="H1GA"/>
        <w:spacing w:before="0"/>
        <w:rPr>
          <w:rFonts w:hint="cs"/>
          <w:spacing w:val="0"/>
          <w:kern w:val="0"/>
          <w:sz w:val="20"/>
          <w:rtl/>
        </w:rPr>
      </w:pPr>
      <w:r w:rsidRPr="003E698F">
        <w:rPr>
          <w:rFonts w:hint="cs"/>
          <w:spacing w:val="0"/>
          <w:kern w:val="0"/>
          <w:sz w:val="20"/>
          <w:rtl/>
        </w:rPr>
        <w:tab/>
      </w:r>
      <w:r w:rsidRPr="003E698F">
        <w:rPr>
          <w:rFonts w:hint="cs"/>
          <w:spacing w:val="0"/>
          <w:kern w:val="0"/>
          <w:sz w:val="20"/>
          <w:rtl/>
        </w:rPr>
        <w:tab/>
      </w:r>
      <w:r w:rsidR="000235D4">
        <w:rPr>
          <w:rFonts w:hint="cs"/>
          <w:spacing w:val="0"/>
          <w:kern w:val="0"/>
          <w:sz w:val="20"/>
          <w:rtl/>
        </w:rPr>
        <w:t>ال</w:t>
      </w:r>
      <w:r w:rsidRPr="003E698F">
        <w:rPr>
          <w:rFonts w:hint="cs"/>
          <w:spacing w:val="0"/>
          <w:kern w:val="0"/>
          <w:sz w:val="20"/>
          <w:rtl/>
        </w:rPr>
        <w:t xml:space="preserve">تعليقات </w:t>
      </w:r>
      <w:r w:rsidR="000235D4">
        <w:rPr>
          <w:rFonts w:hint="cs"/>
          <w:spacing w:val="0"/>
          <w:kern w:val="0"/>
          <w:sz w:val="20"/>
          <w:rtl/>
        </w:rPr>
        <w:t>والملاحظات المقدمة من نيبال في 8 آب/أغسطس 2011</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111-</w:t>
      </w:r>
      <w:r w:rsidRPr="003E698F">
        <w:rPr>
          <w:rFonts w:hint="cs"/>
          <w:spacing w:val="0"/>
          <w:kern w:val="0"/>
          <w:sz w:val="20"/>
          <w:rtl/>
        </w:rPr>
        <w:tab/>
        <w:t xml:space="preserve">تسلمت نيبال تقريراً اعتمدته لجنة مناهضة التعذيب عملاً بالمادة 20 من اتفاقية مناهضة التعذيب وغيره من ضروب العقوبة أو المعاملة القاسية أو اللاإنسانية أو المهينة (الاتفاقية). ويخلص التقرير، الذي يُفترض أنه يقوم على معلومات وفيرة ومتسقة قُدمت إلى اللجنة ووردت من عدة مصادر متنوعة، إلى أن التعذيب يُمارس بصورة منهجية في نيبال، وبخاصة في مخافر الشرطة. وبعد الاطلاع على محتويات التقرير، تود نيبال توضيح أن المعلومات والادعاءات التي اعتُمد عليها في الوصول إلى هذا الاستنتاج ليس لها أساس من الصحة في واقع الأمر.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112-</w:t>
      </w:r>
      <w:r w:rsidRPr="003E698F">
        <w:rPr>
          <w:rFonts w:hint="cs"/>
          <w:spacing w:val="0"/>
          <w:kern w:val="0"/>
          <w:sz w:val="20"/>
          <w:rtl/>
        </w:rPr>
        <w:tab/>
        <w:t xml:space="preserve">وتجدر الإشارة إلى أن </w:t>
      </w:r>
      <w:r w:rsidRPr="003E698F">
        <w:rPr>
          <w:spacing w:val="0"/>
          <w:kern w:val="0"/>
          <w:sz w:val="20"/>
          <w:rtl/>
        </w:rPr>
        <w:t xml:space="preserve">نيبال </w:t>
      </w:r>
      <w:r w:rsidRPr="003E698F">
        <w:rPr>
          <w:rFonts w:hint="cs"/>
          <w:spacing w:val="0"/>
          <w:kern w:val="0"/>
          <w:sz w:val="20"/>
          <w:rtl/>
        </w:rPr>
        <w:t>تشهد</w:t>
      </w:r>
      <w:r w:rsidRPr="003E698F">
        <w:rPr>
          <w:spacing w:val="0"/>
          <w:kern w:val="0"/>
          <w:sz w:val="20"/>
          <w:rtl/>
        </w:rPr>
        <w:t xml:space="preserve"> عملية تحول عميقة على الصعيد الاجتماعي</w:t>
      </w:r>
      <w:r w:rsidRPr="003E698F">
        <w:rPr>
          <w:rFonts w:hint="cs"/>
          <w:spacing w:val="0"/>
          <w:kern w:val="0"/>
          <w:sz w:val="20"/>
          <w:rtl/>
        </w:rPr>
        <w:t xml:space="preserve"> </w:t>
      </w:r>
      <w:r w:rsidRPr="003E698F">
        <w:rPr>
          <w:spacing w:val="0"/>
          <w:kern w:val="0"/>
          <w:sz w:val="20"/>
          <w:rtl/>
        </w:rPr>
        <w:t>-</w:t>
      </w:r>
      <w:r w:rsidRPr="003E698F">
        <w:rPr>
          <w:rFonts w:hint="cs"/>
          <w:spacing w:val="0"/>
          <w:kern w:val="0"/>
          <w:sz w:val="20"/>
          <w:rtl/>
        </w:rPr>
        <w:t xml:space="preserve"> </w:t>
      </w:r>
      <w:r w:rsidRPr="003E698F">
        <w:rPr>
          <w:spacing w:val="0"/>
          <w:kern w:val="0"/>
          <w:sz w:val="20"/>
          <w:rtl/>
        </w:rPr>
        <w:t xml:space="preserve">الاقتصادي والسياسي ضمن إطار عام لسياسة ديمقراطية جاءت عقب الحركة الشعبية السلمية في نيسان/أبريل 2006. وكانت مهمة هذه الحركة تحقيق السلام، والتغيير، والاستقرار، وإنشاء نظام </w:t>
      </w:r>
      <w:r w:rsidRPr="003E698F">
        <w:rPr>
          <w:rFonts w:hint="cs"/>
          <w:spacing w:val="0"/>
          <w:kern w:val="0"/>
          <w:sz w:val="20"/>
          <w:rtl/>
        </w:rPr>
        <w:t xml:space="preserve">حكم </w:t>
      </w:r>
      <w:r w:rsidRPr="003E698F">
        <w:rPr>
          <w:spacing w:val="0"/>
          <w:kern w:val="0"/>
          <w:sz w:val="20"/>
          <w:rtl/>
        </w:rPr>
        <w:t>ديمقراطي متعدد الأحزاب قائم على المنافسة، وسيادة القانون، وتعزيز وحماي</w:t>
      </w:r>
      <w:r w:rsidRPr="003E698F">
        <w:rPr>
          <w:rFonts w:hint="cs"/>
          <w:spacing w:val="0"/>
          <w:kern w:val="0"/>
          <w:sz w:val="20"/>
          <w:rtl/>
        </w:rPr>
        <w:t>ة</w:t>
      </w:r>
      <w:r w:rsidRPr="003E698F">
        <w:rPr>
          <w:spacing w:val="0"/>
          <w:kern w:val="0"/>
          <w:sz w:val="20"/>
          <w:rtl/>
        </w:rPr>
        <w:t xml:space="preserve"> حقوق الإنسان </w:t>
      </w:r>
      <w:r w:rsidRPr="003E698F">
        <w:rPr>
          <w:rFonts w:hint="cs"/>
          <w:spacing w:val="0"/>
          <w:kern w:val="0"/>
          <w:sz w:val="20"/>
          <w:rtl/>
        </w:rPr>
        <w:t>والحريات الأساسية</w:t>
      </w:r>
      <w:r w:rsidRPr="003E698F">
        <w:rPr>
          <w:spacing w:val="0"/>
          <w:kern w:val="0"/>
          <w:sz w:val="20"/>
          <w:rtl/>
        </w:rPr>
        <w:t xml:space="preserve">، والحرية الكاملة للصحافة، وإنشاء جهاز قضائي مستقل قائم على القيم والمعايير الديمقراطية. وتظل حقوق الإنسان </w:t>
      </w:r>
      <w:r w:rsidRPr="003E698F">
        <w:rPr>
          <w:rFonts w:hint="cs"/>
          <w:spacing w:val="0"/>
          <w:kern w:val="0"/>
          <w:sz w:val="20"/>
          <w:rtl/>
        </w:rPr>
        <w:t xml:space="preserve">في بؤرة اهتمام </w:t>
      </w:r>
      <w:r w:rsidRPr="003E698F">
        <w:rPr>
          <w:spacing w:val="0"/>
          <w:kern w:val="0"/>
          <w:sz w:val="20"/>
          <w:rtl/>
        </w:rPr>
        <w:t xml:space="preserve">عملية السلام التي </w:t>
      </w:r>
      <w:r w:rsidRPr="003E698F">
        <w:rPr>
          <w:rFonts w:hint="cs"/>
          <w:spacing w:val="0"/>
          <w:kern w:val="0"/>
          <w:sz w:val="20"/>
          <w:rtl/>
        </w:rPr>
        <w:t>تقوم بشكل</w:t>
      </w:r>
      <w:r w:rsidRPr="003E698F">
        <w:rPr>
          <w:spacing w:val="0"/>
          <w:kern w:val="0"/>
          <w:sz w:val="20"/>
          <w:rtl/>
        </w:rPr>
        <w:t xml:space="preserve"> راسخ </w:t>
      </w:r>
      <w:r w:rsidRPr="003E698F">
        <w:rPr>
          <w:rFonts w:hint="cs"/>
          <w:spacing w:val="0"/>
          <w:kern w:val="0"/>
          <w:sz w:val="20"/>
          <w:rtl/>
        </w:rPr>
        <w:t>على</w:t>
      </w:r>
      <w:r w:rsidRPr="003E698F">
        <w:rPr>
          <w:spacing w:val="0"/>
          <w:kern w:val="0"/>
          <w:sz w:val="20"/>
          <w:rtl/>
        </w:rPr>
        <w:t xml:space="preserve"> مبادئ الديمقراطية، </w:t>
      </w:r>
      <w:r w:rsidRPr="003E698F">
        <w:rPr>
          <w:rFonts w:hint="cs"/>
          <w:spacing w:val="0"/>
          <w:kern w:val="0"/>
          <w:sz w:val="20"/>
          <w:rtl/>
        </w:rPr>
        <w:t>و</w:t>
      </w:r>
      <w:r w:rsidRPr="003E698F">
        <w:rPr>
          <w:spacing w:val="0"/>
          <w:kern w:val="0"/>
          <w:sz w:val="20"/>
          <w:rtl/>
        </w:rPr>
        <w:t>العدالة، والإدماج والمشاركة. ويشكل قرار الجمعية التأسيسية المنتخبة ديمقراطياً القاضي بإعلان نيبال جمهورية ديمقراطية اتحادية في 28 أيار/مايو 2008 عملية تحول سلمي نادرة في التاريخ المعاصر. وجاءت عملية التحول لترسخ الحقوق السياسية والاقتصادية والثقافية والاجتماعية للشعب بوصف ذلك دعامة العملية الديمقراطية في نيبال. و</w:t>
      </w:r>
      <w:r w:rsidRPr="003E698F">
        <w:rPr>
          <w:rFonts w:hint="cs"/>
          <w:spacing w:val="0"/>
          <w:kern w:val="0"/>
          <w:sz w:val="20"/>
          <w:rtl/>
        </w:rPr>
        <w:t>تعمل</w:t>
      </w:r>
      <w:r w:rsidRPr="003E698F">
        <w:rPr>
          <w:spacing w:val="0"/>
          <w:kern w:val="0"/>
          <w:sz w:val="20"/>
          <w:rtl/>
        </w:rPr>
        <w:t xml:space="preserve"> نيبال حالياً </w:t>
      </w:r>
      <w:r w:rsidRPr="003E698F">
        <w:rPr>
          <w:rFonts w:hint="cs"/>
          <w:spacing w:val="0"/>
          <w:kern w:val="0"/>
          <w:sz w:val="20"/>
          <w:rtl/>
        </w:rPr>
        <w:t>على</w:t>
      </w:r>
      <w:r w:rsidRPr="003E698F">
        <w:rPr>
          <w:spacing w:val="0"/>
          <w:kern w:val="0"/>
          <w:sz w:val="20"/>
          <w:rtl/>
        </w:rPr>
        <w:t xml:space="preserve"> بناء المؤسسات الديمقراطية الوطنية من أجل تعزيز المكاسب الديمقراطية، وتسريع عملية التحول الاجتماعي</w:t>
      </w:r>
      <w:r w:rsidRPr="003E698F">
        <w:rPr>
          <w:rFonts w:hint="cs"/>
          <w:spacing w:val="0"/>
          <w:kern w:val="0"/>
          <w:sz w:val="20"/>
          <w:rtl/>
        </w:rPr>
        <w:t xml:space="preserve"> </w:t>
      </w:r>
      <w:r w:rsidRPr="003E698F">
        <w:rPr>
          <w:spacing w:val="0"/>
          <w:kern w:val="0"/>
          <w:sz w:val="20"/>
          <w:rtl/>
        </w:rPr>
        <w:t>- الاقتصادي، والسير بعملية السلام إلى نهاية هادفة بما في ذلك وضع دستور ديمقراطي تعده الجمعية التأسيسية</w:t>
      </w:r>
      <w:r w:rsidRPr="003E698F">
        <w:rPr>
          <w:rFonts w:hint="cs"/>
          <w:spacing w:val="0"/>
          <w:kern w:val="0"/>
          <w:sz w:val="20"/>
          <w:rtl/>
        </w:rPr>
        <w:t xml:space="preserve">. </w:t>
      </w:r>
    </w:p>
    <w:p w:rsidR="00921F02" w:rsidRPr="003E698F" w:rsidRDefault="00921F02" w:rsidP="003E698F">
      <w:pPr>
        <w:pStyle w:val="SingleTxtGA"/>
        <w:jc w:val="lowKashida"/>
        <w:rPr>
          <w:rFonts w:hint="cs"/>
          <w:spacing w:val="0"/>
          <w:kern w:val="0"/>
          <w:sz w:val="20"/>
          <w:rtl/>
        </w:rPr>
      </w:pPr>
      <w:r w:rsidRPr="003E698F">
        <w:rPr>
          <w:rFonts w:hint="cs"/>
          <w:spacing w:val="0"/>
          <w:kern w:val="0"/>
          <w:sz w:val="20"/>
          <w:rtl/>
        </w:rPr>
        <w:t>113-</w:t>
      </w:r>
      <w:r w:rsidRPr="003E698F">
        <w:rPr>
          <w:spacing w:val="0"/>
          <w:kern w:val="0"/>
          <w:sz w:val="20"/>
          <w:rtl/>
        </w:rPr>
        <w:tab/>
      </w:r>
      <w:r w:rsidRPr="003E698F">
        <w:rPr>
          <w:rFonts w:hint="cs"/>
          <w:spacing w:val="0"/>
          <w:kern w:val="0"/>
          <w:sz w:val="20"/>
          <w:rtl/>
        </w:rPr>
        <w:t>ويبدو أن قرار اللجنة المتعلق بالشروع في إجراء تحقيق سري بموجب بالمادة</w:t>
      </w:r>
      <w:r w:rsidR="003E698F" w:rsidRPr="003E698F">
        <w:rPr>
          <w:rFonts w:hint="eastAsia"/>
          <w:spacing w:val="0"/>
          <w:kern w:val="0"/>
          <w:sz w:val="20"/>
          <w:rtl/>
        </w:rPr>
        <w:t> </w:t>
      </w:r>
      <w:r w:rsidRPr="003E698F">
        <w:rPr>
          <w:rFonts w:hint="cs"/>
          <w:spacing w:val="0"/>
          <w:kern w:val="0"/>
          <w:sz w:val="20"/>
          <w:rtl/>
        </w:rPr>
        <w:t>20 من الاتفاقية قد استند إلى بعض التقارير التي نُشرت في إطار حملة مناهضة لنيبال تتجاوز أهدافها مسألة تعزيز وحماية حقوق الإنسان. وعليه، تود نيبال تأكيد أن مثل هذه التقارير لا ينبغي أن تكون جزءاً من أي من إجراءات التحقيق التي تقوم بها هيئات معاهدات حقوق الإنسان، وذلك توخياً للحفاظ على استقلالية هذه الهيئات ونزاهتها وعدم خضوعها لأي نوع من التأثير من جانب الدولة أو منظمات دولية أو</w:t>
      </w:r>
      <w:r w:rsidR="003E698F" w:rsidRPr="003E698F">
        <w:rPr>
          <w:rFonts w:hint="eastAsia"/>
          <w:spacing w:val="0"/>
          <w:kern w:val="0"/>
          <w:sz w:val="20"/>
          <w:rtl/>
        </w:rPr>
        <w:t> </w:t>
      </w:r>
      <w:r w:rsidR="00E61B85">
        <w:rPr>
          <w:rFonts w:hint="cs"/>
          <w:spacing w:val="0"/>
          <w:kern w:val="0"/>
          <w:sz w:val="20"/>
          <w:rtl/>
        </w:rPr>
        <w:t>أفراد أو كيانات أخرى.</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114-</w:t>
      </w:r>
      <w:r w:rsidRPr="003E698F">
        <w:rPr>
          <w:rFonts w:hint="cs"/>
          <w:spacing w:val="0"/>
          <w:kern w:val="0"/>
          <w:sz w:val="20"/>
          <w:rtl/>
        </w:rPr>
        <w:tab/>
        <w:t>وينص دستور نيبال الانتقالي لعام 2007 (الدستور) على التزام الدولة باعتماد نظام سياسي يدعم بالكامل المفاهيم المتفق عليها عالمياً بشأن حقوق الإنسان الأساسية، والنظام الديمقراطي التنافسي المتعدد الأحزاب، وسيادة القانون، واستقلال القضاء، مع وضع حد للإفلات من العقاب. وتمر نيبال بمرحلة</w:t>
      </w:r>
      <w:r w:rsidRPr="003E698F">
        <w:rPr>
          <w:spacing w:val="0"/>
          <w:kern w:val="0"/>
          <w:sz w:val="20"/>
          <w:rtl/>
        </w:rPr>
        <w:t xml:space="preserve"> انتقالية</w:t>
      </w:r>
      <w:r w:rsidRPr="003E698F">
        <w:rPr>
          <w:rFonts w:hint="cs"/>
          <w:spacing w:val="0"/>
          <w:kern w:val="0"/>
          <w:sz w:val="20"/>
          <w:rtl/>
        </w:rPr>
        <w:t>. وتكون أي مرحلة انتقالية في حد ذاتها</w:t>
      </w:r>
      <w:r w:rsidRPr="003E698F">
        <w:rPr>
          <w:spacing w:val="0"/>
          <w:kern w:val="0"/>
          <w:sz w:val="20"/>
          <w:rtl/>
        </w:rPr>
        <w:t xml:space="preserve"> حساسة وشاقة</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كما يواجه</w:t>
      </w:r>
      <w:r w:rsidRPr="003E698F">
        <w:rPr>
          <w:spacing w:val="0"/>
          <w:kern w:val="0"/>
          <w:sz w:val="20"/>
          <w:rtl/>
        </w:rPr>
        <w:t xml:space="preserve"> أي بلد في</w:t>
      </w:r>
      <w:r w:rsidRPr="003E698F">
        <w:rPr>
          <w:rFonts w:hint="cs"/>
          <w:spacing w:val="0"/>
          <w:kern w:val="0"/>
          <w:sz w:val="20"/>
          <w:rtl/>
        </w:rPr>
        <w:t>ها</w:t>
      </w:r>
      <w:r w:rsidRPr="003E698F">
        <w:rPr>
          <w:spacing w:val="0"/>
          <w:kern w:val="0"/>
          <w:sz w:val="20"/>
          <w:rtl/>
        </w:rPr>
        <w:t xml:space="preserve"> </w:t>
      </w:r>
      <w:r w:rsidRPr="003E698F">
        <w:rPr>
          <w:rFonts w:hint="cs"/>
          <w:spacing w:val="0"/>
          <w:kern w:val="0"/>
          <w:sz w:val="20"/>
          <w:rtl/>
        </w:rPr>
        <w:t>تحديات</w:t>
      </w:r>
      <w:r w:rsidRPr="003E698F">
        <w:rPr>
          <w:spacing w:val="0"/>
          <w:kern w:val="0"/>
          <w:sz w:val="20"/>
          <w:rtl/>
        </w:rPr>
        <w:t xml:space="preserve"> </w:t>
      </w:r>
      <w:r w:rsidRPr="003E698F">
        <w:rPr>
          <w:rFonts w:hint="cs"/>
          <w:spacing w:val="0"/>
          <w:kern w:val="0"/>
          <w:sz w:val="20"/>
          <w:rtl/>
        </w:rPr>
        <w:t>ك</w:t>
      </w:r>
      <w:r w:rsidRPr="003E698F">
        <w:rPr>
          <w:spacing w:val="0"/>
          <w:kern w:val="0"/>
          <w:sz w:val="20"/>
          <w:rtl/>
        </w:rPr>
        <w:t xml:space="preserve">الفساد والإفلات من العقاب. ويبقى إرساء سيادة القانون في الصدارة باعتباره أساساً لا غنى لأي مجتمع ديمقراطي عنه. وتعتقد نيبال اعتقاداً راسخاً أن الديمقراطية القوية </w:t>
      </w:r>
      <w:r w:rsidRPr="003E698F">
        <w:rPr>
          <w:rFonts w:hint="cs"/>
          <w:spacing w:val="0"/>
          <w:kern w:val="0"/>
          <w:sz w:val="20"/>
          <w:rtl/>
        </w:rPr>
        <w:t>والشاملة</w:t>
      </w:r>
      <w:r w:rsidRPr="003E698F">
        <w:rPr>
          <w:spacing w:val="0"/>
          <w:kern w:val="0"/>
          <w:sz w:val="20"/>
          <w:rtl/>
        </w:rPr>
        <w:t xml:space="preserve"> يمكن أن تساعد على مجابهة </w:t>
      </w:r>
      <w:r w:rsidRPr="003E698F">
        <w:rPr>
          <w:rFonts w:hint="cs"/>
          <w:spacing w:val="0"/>
          <w:kern w:val="0"/>
          <w:sz w:val="20"/>
          <w:rtl/>
        </w:rPr>
        <w:t>هذه</w:t>
      </w:r>
      <w:r w:rsidRPr="003E698F">
        <w:rPr>
          <w:spacing w:val="0"/>
          <w:kern w:val="0"/>
          <w:sz w:val="20"/>
          <w:rtl/>
        </w:rPr>
        <w:t xml:space="preserve"> التحديات بصورة شاملة ودائمة. وبناءً عليه، اتخذت حكومة نيبال وستتخذ طائفة من الإجراءات لمعالجة هذه </w:t>
      </w:r>
      <w:r w:rsidRPr="003E698F">
        <w:rPr>
          <w:rFonts w:hint="cs"/>
          <w:spacing w:val="0"/>
          <w:kern w:val="0"/>
          <w:sz w:val="20"/>
          <w:rtl/>
        </w:rPr>
        <w:t>المسائل</w:t>
      </w:r>
      <w:r w:rsidRPr="003E698F">
        <w:rPr>
          <w:spacing w:val="0"/>
          <w:kern w:val="0"/>
          <w:sz w:val="20"/>
          <w:rtl/>
        </w:rPr>
        <w:t xml:space="preserve">. وتشمل تلك التدابير تعزيز احترام سيادة القانون، مع التركيز على زيادة الفعالية في تنفيذ القوانين المتصلة بحقوق الإنسان ومعاهدات حقوق الإنسان وتوجيهات وتوصيات المحكمة العليا واللجنة الوطنية لحقوق الإنسان، وإنعاش المؤسسات المعنية بحقوق الإنسان والهيئات الأمنية </w:t>
      </w:r>
      <w:r w:rsidRPr="003E698F">
        <w:rPr>
          <w:rFonts w:hint="cs"/>
          <w:spacing w:val="0"/>
          <w:kern w:val="0"/>
          <w:sz w:val="20"/>
          <w:rtl/>
        </w:rPr>
        <w:t>بمنحها</w:t>
      </w:r>
      <w:r w:rsidRPr="003E698F">
        <w:rPr>
          <w:spacing w:val="0"/>
          <w:kern w:val="0"/>
          <w:sz w:val="20"/>
          <w:rtl/>
        </w:rPr>
        <w:t xml:space="preserve"> الموارد الكافية، وإنشاء لجان معنية بحالات الاختفاء ولجان للحقيقة والمصالحة</w:t>
      </w:r>
      <w:r w:rsidR="00E61B85">
        <w:rPr>
          <w:rFonts w:hint="cs"/>
          <w:spacing w:val="0"/>
          <w:kern w:val="0"/>
          <w:sz w:val="20"/>
          <w:rtl/>
        </w:rPr>
        <w:t>.</w:t>
      </w:r>
    </w:p>
    <w:p w:rsidR="00921F02" w:rsidRPr="003E698F" w:rsidRDefault="00921F02" w:rsidP="003E698F">
      <w:pPr>
        <w:pStyle w:val="SingleTxtGA"/>
        <w:jc w:val="lowKashida"/>
        <w:rPr>
          <w:rFonts w:hint="cs"/>
          <w:spacing w:val="0"/>
          <w:kern w:val="0"/>
          <w:sz w:val="20"/>
          <w:rtl/>
        </w:rPr>
      </w:pPr>
      <w:r w:rsidRPr="003E698F">
        <w:rPr>
          <w:rFonts w:hint="cs"/>
          <w:spacing w:val="0"/>
          <w:kern w:val="0"/>
          <w:sz w:val="20"/>
          <w:rtl/>
        </w:rPr>
        <w:t>115-</w:t>
      </w:r>
      <w:r w:rsidRPr="003E698F">
        <w:rPr>
          <w:rFonts w:hint="cs"/>
          <w:spacing w:val="0"/>
          <w:kern w:val="0"/>
          <w:sz w:val="20"/>
          <w:rtl/>
        </w:rPr>
        <w:tab/>
        <w:t>ويحظر الدستور تعرُض أي محتجز للتعذيب أو غيره من ضروب المعاملة أو</w:t>
      </w:r>
      <w:r w:rsidR="003E698F" w:rsidRPr="003E698F">
        <w:rPr>
          <w:rFonts w:hint="eastAsia"/>
          <w:spacing w:val="0"/>
          <w:kern w:val="0"/>
          <w:sz w:val="20"/>
          <w:rtl/>
        </w:rPr>
        <w:t> </w:t>
      </w:r>
      <w:r w:rsidRPr="003E698F">
        <w:rPr>
          <w:rFonts w:hint="cs"/>
          <w:spacing w:val="0"/>
          <w:kern w:val="0"/>
          <w:sz w:val="20"/>
          <w:rtl/>
        </w:rPr>
        <w:t>العقوبة القاسية أو اللاإنسانية أو المهينة. ويحق لكل من تعرض للتعذيب أو سوء المعاملة الحصول على تعويض بموجب القانون. وقد أتمت وزارة الداخلية في نيبال إعداد مشروع تشريع يجرّم ممارسة التعذيب تجريماً كاملاً بما يتماشى تماما</w:t>
      </w:r>
      <w:r w:rsidR="000235D4">
        <w:rPr>
          <w:rFonts w:hint="cs"/>
          <w:spacing w:val="0"/>
          <w:kern w:val="0"/>
          <w:sz w:val="20"/>
          <w:rtl/>
        </w:rPr>
        <w:t>ً</w:t>
      </w:r>
      <w:r w:rsidRPr="003E698F">
        <w:rPr>
          <w:rFonts w:hint="cs"/>
          <w:spacing w:val="0"/>
          <w:kern w:val="0"/>
          <w:sz w:val="20"/>
          <w:rtl/>
        </w:rPr>
        <w:t xml:space="preserve"> مع الاتفاقية، وأحالته إلى وزارة العدل لصياغته في مشروع قانون. وتنفذ نيبال منذ عام 1996 قانون تعويض ضحايا التعذيب. وعلاوة على ذلك، قدمت حكومة نيبال عدداً من مشاريع القوانين الهامة إلى الهيئة التشريعية في البرلمان لسنها في قوانين. وهي تشمل مشاريع قوانين تتعلق بقانون العقوبات وقانون الإجراءات الجنائية، وتتضمن أحكاماً منها حظر أي شكل من أشكال التعذيب ومنح الضحايا الحق في الحصول على تعويض. وعليه، فإن نيبال ملتزمة التزاماً لا لبس فيه بسيادة القانون ولا تتغاضى تحت أي ظرف عن ممارسة التعذيب. والادعاءات المتعلقة بالممارسة المنهجية للتعذيب غير منصفة في الأساس وهي رواية من طرف واحد لُفقت ضد نيبال. وتود نيبال أيضا ملاحظة أن تفسير الحالة من جانب المقرر الخاص لا يتفق مع الحقائق على أرض الواقع. وتود نيبال التشديد على أنها ترفض الاستنتاج المتعلق بوجود ممارسة منهجية للتعذيب في أراضيها. والجدير بالملاحظ أيضاً أن الدستور يحظر الحبس في أماكن معزولة، وه</w:t>
      </w:r>
      <w:r w:rsidR="003E698F">
        <w:rPr>
          <w:rFonts w:hint="cs"/>
          <w:spacing w:val="0"/>
          <w:kern w:val="0"/>
          <w:sz w:val="20"/>
          <w:rtl/>
        </w:rPr>
        <w:t>و ممارسة لا وجود لها في نيبال.</w:t>
      </w:r>
    </w:p>
    <w:p w:rsidR="00921F02" w:rsidRPr="003E698F" w:rsidRDefault="00921F02" w:rsidP="003E698F">
      <w:pPr>
        <w:pStyle w:val="SingleTxtGA"/>
        <w:jc w:val="lowKashida"/>
        <w:rPr>
          <w:rFonts w:hint="cs"/>
          <w:spacing w:val="0"/>
          <w:kern w:val="0"/>
          <w:sz w:val="20"/>
          <w:rtl/>
        </w:rPr>
      </w:pPr>
      <w:r w:rsidRPr="003E698F">
        <w:rPr>
          <w:rFonts w:hint="cs"/>
          <w:spacing w:val="0"/>
          <w:kern w:val="0"/>
          <w:sz w:val="20"/>
          <w:rtl/>
        </w:rPr>
        <w:t>116-</w:t>
      </w:r>
      <w:r w:rsidRPr="003E698F">
        <w:rPr>
          <w:rFonts w:hint="cs"/>
          <w:spacing w:val="0"/>
          <w:kern w:val="0"/>
          <w:sz w:val="20"/>
          <w:rtl/>
        </w:rPr>
        <w:tab/>
        <w:t>وفي عام 2007، سنت نيبال القانون العسكري لعام 2007 الذي ألغى القانون العسكري لعام 1959. ويرد في المادة 62 من القانون العسكري لعام 2007 حكم ينص على إنشاء لجنة برئاسة نائب المدعي العام للتحقيق في قضايا الفساد والسرقة وممارسة التعذيب وحالات الاختفاء، ويجري النظر في هذه القضايا أمام المحكمة العسكرية الخاصة. وفي حالة الاعتراض على الحكم الصادر من هذه المحكمة، ينص القانون العسكري لعام</w:t>
      </w:r>
      <w:r w:rsidR="003E698F">
        <w:rPr>
          <w:rFonts w:hint="eastAsia"/>
          <w:spacing w:val="0"/>
          <w:kern w:val="0"/>
          <w:sz w:val="20"/>
          <w:rtl/>
        </w:rPr>
        <w:t> </w:t>
      </w:r>
      <w:r w:rsidRPr="003E698F">
        <w:rPr>
          <w:rFonts w:hint="cs"/>
          <w:spacing w:val="0"/>
          <w:kern w:val="0"/>
          <w:sz w:val="20"/>
          <w:rtl/>
        </w:rPr>
        <w:t>2007 في المادة 119 منه على عرض القضية على محكمة الاستئناف العليا. وبالإضافة إلى ذلك، لا يشمل القانون العسكري، بموجب المادة 66 منه، جرائم الاغتصاب والقتل التي يرتكبها أحد العسكريين ضد شخص مدني، إذ تُحال هذه القضايا إلى المحاكم العادية.</w:t>
      </w:r>
    </w:p>
    <w:p w:rsidR="00921F02" w:rsidRPr="003E698F" w:rsidRDefault="00921F02" w:rsidP="003E698F">
      <w:pPr>
        <w:pStyle w:val="SingleTxtGA"/>
        <w:jc w:val="lowKashida"/>
        <w:rPr>
          <w:rFonts w:hint="cs"/>
          <w:spacing w:val="0"/>
          <w:kern w:val="0"/>
          <w:sz w:val="20"/>
          <w:rtl/>
        </w:rPr>
      </w:pPr>
      <w:r w:rsidRPr="003E698F">
        <w:rPr>
          <w:rFonts w:hint="cs"/>
          <w:spacing w:val="0"/>
          <w:kern w:val="0"/>
          <w:sz w:val="20"/>
          <w:rtl/>
        </w:rPr>
        <w:t>117-</w:t>
      </w:r>
      <w:r w:rsidRPr="003E698F">
        <w:rPr>
          <w:rFonts w:hint="cs"/>
          <w:spacing w:val="0"/>
          <w:kern w:val="0"/>
          <w:sz w:val="20"/>
          <w:rtl/>
        </w:rPr>
        <w:tab/>
        <w:t>وتود نيبال أن تدفع بأن وقوع حالات معزولة، إن وجدت، لا ينبغي تعميمه على أنه ناتج عن سياسة تتعمد الدولة انتهاجها. فنيبال لا تتغاضى عن ممارسة التعذيب ولا تنتهج سياسة تمكن الجناة من الإفلات من العقاب. كما ظلت تتعامل بجدية مع أي ادعاءات تتعلق بممارسة التعذيب وتقدم المذنبين إلى العدالة على وجه السرعة. وقد اتخذت إجراءات ضد عدد من المسؤولين الأمنيين في هذا الصدد. فاتُخذت إجراءات ضد 571 من أفراد الشرطة من أدنى الرتب إلى رتبة نائب المفتش العام للشرطة، وخضع 375 منهم لإجراءات بسبب انتهاك الحق في عدم ممارسة التعذيب وغيره من ضروب العقوبة أو المع</w:t>
      </w:r>
      <w:r w:rsidR="003E698F" w:rsidRPr="003E698F">
        <w:rPr>
          <w:rFonts w:hint="cs"/>
          <w:spacing w:val="0"/>
          <w:kern w:val="0"/>
          <w:sz w:val="20"/>
          <w:rtl/>
        </w:rPr>
        <w:t>املة القاسية أو</w:t>
      </w:r>
      <w:r w:rsidR="003E698F">
        <w:rPr>
          <w:rFonts w:hint="eastAsia"/>
          <w:spacing w:val="0"/>
          <w:kern w:val="0"/>
          <w:sz w:val="20"/>
          <w:rtl/>
        </w:rPr>
        <w:t> </w:t>
      </w:r>
      <w:r w:rsidR="003E698F" w:rsidRPr="003E698F">
        <w:rPr>
          <w:rFonts w:hint="cs"/>
          <w:spacing w:val="0"/>
          <w:kern w:val="0"/>
          <w:sz w:val="20"/>
          <w:rtl/>
        </w:rPr>
        <w:t xml:space="preserve">اللاإنسانية </w:t>
      </w:r>
      <w:r w:rsidRPr="003E698F">
        <w:rPr>
          <w:rFonts w:hint="cs"/>
          <w:spacing w:val="0"/>
          <w:kern w:val="0"/>
          <w:sz w:val="20"/>
          <w:rtl/>
        </w:rPr>
        <w:t>أو المهينة. وخضع ما مجموعه 54 من أفراد الشرطة المسلحين لاتخاذ إجراءات ضدهم بسبب انتهاكات حقوق الإنسان. وشملت الجزاءات خفض الرتبة والطرد من الخدمة وحجب الترقيات والوقف عن العمل. وبالمثل، أنزل الجيش النيبالي عقوبات بحق 285 من أفراده بسبب انتهاكات لحقوق الإنسان ارتكبوها في السابق. وأجرى الجيش النيبالي تحقيقات في انتهاكات حقوق الإنسان وأنزل العقوبات التالية بحق عدد من أفراده من مختلف الرتب:</w:t>
      </w:r>
      <w:r w:rsidR="003E698F">
        <w:rPr>
          <w:rFonts w:hint="eastAsia"/>
          <w:spacing w:val="0"/>
          <w:kern w:val="0"/>
          <w:sz w:val="20"/>
          <w:rtl/>
        </w:rPr>
        <w:t> </w:t>
      </w:r>
      <w:r w:rsidRPr="003E698F">
        <w:rPr>
          <w:rFonts w:hint="cs"/>
          <w:spacing w:val="0"/>
          <w:kern w:val="0"/>
          <w:sz w:val="20"/>
          <w:rtl/>
        </w:rPr>
        <w:t xml:space="preserve">118 حكماً بالسجن؛ و62 حكماً بإنهاء الخدمة، و40 حكماً بخفض الرتبة العسكرية، و23 حكماً بالتجريد من الرتبة العسكرية، و26 حكماً بالحرمان من الترقية، و8 إنذارات، و8 أحكام بدفع تعويضات لأسر الضحايا. وتعتقد نيبال أن ذلك يعكس الاهتمام الكبير من جانب الدوائر الأمنية وجديتها في التعامل مع كل حالة من حالات انتهاك حقوق الإنسان التي يتورط فيها أفرادها والتحقيق فيها ومعاقبة الجناة. كما يعكس ذلك سياسة عدم التسامح مطلقاً فيما يتعلق بانتهاكات حقوق الإنسان. </w:t>
      </w:r>
    </w:p>
    <w:p w:rsidR="00921F02" w:rsidRPr="003E698F" w:rsidRDefault="00921F02" w:rsidP="003E698F">
      <w:pPr>
        <w:pStyle w:val="SingleTxtGA"/>
        <w:jc w:val="lowKashida"/>
        <w:rPr>
          <w:rFonts w:hint="cs"/>
          <w:spacing w:val="0"/>
          <w:kern w:val="0"/>
          <w:sz w:val="20"/>
          <w:rtl/>
        </w:rPr>
      </w:pPr>
      <w:r w:rsidRPr="003E698F">
        <w:rPr>
          <w:rFonts w:hint="cs"/>
          <w:spacing w:val="0"/>
          <w:kern w:val="0"/>
          <w:sz w:val="20"/>
          <w:rtl/>
        </w:rPr>
        <w:t>118-</w:t>
      </w:r>
      <w:r w:rsidRPr="003E698F">
        <w:rPr>
          <w:rFonts w:hint="cs"/>
          <w:spacing w:val="0"/>
          <w:kern w:val="0"/>
          <w:sz w:val="20"/>
          <w:rtl/>
        </w:rPr>
        <w:tab/>
      </w:r>
      <w:r w:rsidRPr="003E698F">
        <w:rPr>
          <w:spacing w:val="0"/>
          <w:kern w:val="0"/>
          <w:sz w:val="20"/>
          <w:rtl/>
        </w:rPr>
        <w:t>و</w:t>
      </w:r>
      <w:r w:rsidRPr="003E698F">
        <w:rPr>
          <w:rFonts w:hint="cs"/>
          <w:spacing w:val="0"/>
          <w:kern w:val="0"/>
          <w:sz w:val="20"/>
          <w:rtl/>
        </w:rPr>
        <w:t>اتُخذ العديد من السياسات والتدابير القانونية والمؤسسية لمواصلة كفالة إدماج مبادئ وقيم حقوق الإنسان في كافة الدوائر الأمنية. كما أدخل الجيش النيبالي في جميع دوراته التدريبي</w:t>
      </w:r>
      <w:r w:rsidRPr="003E698F">
        <w:rPr>
          <w:rFonts w:hint="eastAsia"/>
          <w:spacing w:val="0"/>
          <w:kern w:val="0"/>
          <w:sz w:val="20"/>
          <w:rtl/>
        </w:rPr>
        <w:t>ة</w:t>
      </w:r>
      <w:r w:rsidRPr="003E698F">
        <w:rPr>
          <w:rFonts w:hint="cs"/>
          <w:spacing w:val="0"/>
          <w:kern w:val="0"/>
          <w:sz w:val="20"/>
          <w:rtl/>
        </w:rPr>
        <w:t xml:space="preserve"> حزمة برامج تدريبية في مجال حقوق الإنسان والقانون الإنساني الدولي (دورات أساسية ومهنية ومناهج خاصة). ويُنفذ أيضاً بصورة دورية برنامج تدريب منفصل في العديد من مواقع قيادات الفرق والأولية. وفي الفترة ما بين عام 2007 وعام 2010، قُدم التدريب في مجال حقوق الإنسان والقانون الإنساني الدولي لما مجموعه 032 1 فرداً وتمت توعية جميع العاملين بالمعايير الأساسية. وحصل ما</w:t>
      </w:r>
      <w:r w:rsidR="003E698F" w:rsidRPr="003E698F">
        <w:rPr>
          <w:rFonts w:hint="eastAsia"/>
          <w:spacing w:val="0"/>
          <w:kern w:val="0"/>
          <w:sz w:val="20"/>
          <w:rtl/>
        </w:rPr>
        <w:t> </w:t>
      </w:r>
      <w:r w:rsidRPr="003E698F">
        <w:rPr>
          <w:rFonts w:hint="cs"/>
          <w:spacing w:val="0"/>
          <w:kern w:val="0"/>
          <w:sz w:val="20"/>
          <w:rtl/>
        </w:rPr>
        <w:t>مجموعه</w:t>
      </w:r>
      <w:r w:rsidR="003E698F" w:rsidRPr="003E698F">
        <w:rPr>
          <w:rFonts w:hint="eastAsia"/>
          <w:spacing w:val="0"/>
          <w:kern w:val="0"/>
          <w:sz w:val="20"/>
          <w:rtl/>
        </w:rPr>
        <w:t> </w:t>
      </w:r>
      <w:r w:rsidRPr="003E698F">
        <w:rPr>
          <w:rFonts w:hint="cs"/>
          <w:spacing w:val="0"/>
          <w:kern w:val="0"/>
          <w:sz w:val="20"/>
          <w:rtl/>
        </w:rPr>
        <w:t>367 من العاملين في الجيش فعليا على تدريب فيما يتعلق بقراري مجلس الأمن رقم 1325 ورقم 1820. وفي إطار الجهود المشتركة بين الجيش النيبالي واللجنة الدولية للصليب الأحمر، أُعد فيلم تدريبي عن قانون النزاعات المسلحة ووُزع على وحدات الجيش. وبالمثل، ومن أجل تزويد القادة الميدانيين بكتاب مرجعي سريع، أُعد كتيب عن القانون الإنساني الدولي ووُزع على وحدات الجيش. وتطبق الحكومة سياسة عدم التسامح مطلقاً مع انتهاكات حقوق الإنسان والقانون الإنساني الدولي. واتُخذت ترتيبات مؤسسية متناسبة. فقد أسس الجيش النيبالي في عام</w:t>
      </w:r>
      <w:r w:rsidR="003E698F">
        <w:rPr>
          <w:rFonts w:hint="eastAsia"/>
          <w:spacing w:val="0"/>
          <w:kern w:val="0"/>
          <w:sz w:val="20"/>
          <w:rtl/>
        </w:rPr>
        <w:t> </w:t>
      </w:r>
      <w:r w:rsidRPr="003E698F">
        <w:rPr>
          <w:rFonts w:hint="cs"/>
          <w:spacing w:val="0"/>
          <w:kern w:val="0"/>
          <w:sz w:val="20"/>
          <w:rtl/>
        </w:rPr>
        <w:t>2006 إدارة معنية بحقوق الإنسان مهمتها الأساسية نشر المعرفة في أوساط العسكريين في مجال حقوق الإنسان وتمكينهم من الوفاء بالتزاماتهم تماما</w:t>
      </w:r>
      <w:r w:rsidR="000235D4">
        <w:rPr>
          <w:rFonts w:hint="cs"/>
          <w:spacing w:val="0"/>
          <w:kern w:val="0"/>
          <w:sz w:val="20"/>
          <w:rtl/>
        </w:rPr>
        <w:t>ً</w:t>
      </w:r>
      <w:r w:rsidRPr="003E698F">
        <w:rPr>
          <w:rFonts w:hint="cs"/>
          <w:spacing w:val="0"/>
          <w:kern w:val="0"/>
          <w:sz w:val="20"/>
          <w:rtl/>
        </w:rPr>
        <w:t xml:space="preserve"> في هذا الميدان. وعلاوة على ذلك، يوجد قسم خاص بحقوق الإنسان في كل قيادة عسكرية إقليمية وأقسام لحقوق الإنسان في كل قيادة لواء، ويعتزم تعميم ذلك على مستوى العمليات. وتجدر الإشارة أيضا</w:t>
      </w:r>
      <w:r w:rsidR="00503CA2">
        <w:rPr>
          <w:rFonts w:hint="cs"/>
          <w:spacing w:val="0"/>
          <w:kern w:val="0"/>
          <w:sz w:val="20"/>
          <w:rtl/>
        </w:rPr>
        <w:t>ً</w:t>
      </w:r>
      <w:r w:rsidRPr="003E698F">
        <w:rPr>
          <w:rFonts w:hint="cs"/>
          <w:spacing w:val="0"/>
          <w:kern w:val="0"/>
          <w:sz w:val="20"/>
          <w:rtl/>
        </w:rPr>
        <w:t xml:space="preserve"> إلى أنه قد تم مؤخراً إنشاء إدارة في وزارة الدفاع معنية بتعزيز حقوق الإنسان وتلقي الشكاوى المتعلقة بها. وفي عام 2010، بدأ إنفاذ مدونة لقواعد السلوك العسكرية، تحظر أيضا</w:t>
      </w:r>
      <w:r w:rsidR="000235D4">
        <w:rPr>
          <w:rFonts w:hint="cs"/>
          <w:spacing w:val="0"/>
          <w:kern w:val="0"/>
          <w:sz w:val="20"/>
          <w:rtl/>
        </w:rPr>
        <w:t>ً</w:t>
      </w:r>
      <w:r w:rsidRPr="003E698F">
        <w:rPr>
          <w:rFonts w:hint="cs"/>
          <w:spacing w:val="0"/>
          <w:kern w:val="0"/>
          <w:sz w:val="20"/>
          <w:rtl/>
        </w:rPr>
        <w:t xml:space="preserve"> التورط في أي ممارسة للتعذيب.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119-</w:t>
      </w:r>
      <w:r w:rsidRPr="003E698F">
        <w:rPr>
          <w:rFonts w:hint="cs"/>
          <w:spacing w:val="0"/>
          <w:kern w:val="0"/>
          <w:sz w:val="20"/>
          <w:rtl/>
        </w:rPr>
        <w:tab/>
        <w:t xml:space="preserve">ولدى شرطة نيبال وحدة معنية بحقوق الإنسان تضطلع برصد الأنشطة العملياتية للشرطة، وقد سلّمت كل واحد من رجال الشرطة نسخة من الأوامر الدائمة لشرطة نيبال في مجال حقوق الإنسان. وتجري الوحدة تحقيقات داخلية عند تسلمها شكاوى تتعلق بحقوق الإنسان. وطوّرت الشرطة آلية جيدة الأداء تولت النظر والتحقيق في ادعاءات ضلوع رجال الشرطة، من مختلف الرتب، في انتهاكات لحقوق الإنسان. وشُكلت في عام 2007 لجنة وطنية خاصة بالقانون الدولي لحقوق الإنسان برئاسة وزير العدل. وتعكف اللجنة على تضمين القانون المحلي لنيبال الصكوك المتعلقة بالقانون الدولي لحقوق الإنسان التي أصبحت طرفاً فيها.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120-</w:t>
      </w:r>
      <w:r w:rsidRPr="003E698F">
        <w:rPr>
          <w:rFonts w:hint="cs"/>
          <w:spacing w:val="0"/>
          <w:kern w:val="0"/>
          <w:sz w:val="20"/>
          <w:rtl/>
        </w:rPr>
        <w:tab/>
        <w:t xml:space="preserve">وتحتفظ السلطات بسجلات للمحتجزين في مخافر الشرطة والسجون. ويخول لمحكمة الاستئناف ومديري الشرطة في المقاطعات الاطلاع على هذه السجلات في أي وقت. وأصبح الاحتفاظ بالسجلات أكثر منهجية وتفصيلاً من أجل إعطاء معلومات مفصلة عن المحتجزين والإفراج عنهم أو نقلهم. ومُنحت المؤسسات الوطنية لحقوق الإنسان، بما فيها اللجنة الوطنية لحقوق الإنسان، ومنظمات من قبيل المفوضية السامية لحقوق الإنسان واللجنة الدولية للصليب الأحمر، إمكانية الوصول إلى السجون وأماكن الاحتجاز في ظل التعاون التام من قِبل حكومة نيبال. ويكفل الدستور حرية القضاء وحق الأشخاص في الاستفادة من سبل الانتصاف والمثول أمام المحاكم. ويتمتع كل محتجز بالحق في اللجوء إلى سبل الانتصاف الدستورية والتحقق من قانونية احتجازه.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121-</w:t>
      </w:r>
      <w:r w:rsidRPr="003E698F">
        <w:rPr>
          <w:rFonts w:hint="cs"/>
          <w:spacing w:val="0"/>
          <w:kern w:val="0"/>
          <w:sz w:val="20"/>
          <w:rtl/>
        </w:rPr>
        <w:tab/>
        <w:t xml:space="preserve">ويخضع كل شخص يجري احتجازه لفحص طبي، ويُتبع ذات الإجراء لدى نقل الشخص إلى السجن تنفيذاً لأمر صادر عن محكمة مختصة. وعند تورط أي من رجال الشرطة في ممارسة التعذيب، يجري التحقيق في الحالة على وجه السرعة ويُعاقب الجناة بموجب القانون. وبالمثل، قدمت اللجنة الوطنية لحقوق الإنسان 35 قضية تعويض لصالح ضحايا التعذيب خلال الفترة من عام 2007 إلى الآن. وقد حصل الضحايا بالفعل على تعويضات بقيمة 000 450 1 روبية، ويجري دفع بقية التعويضات بموجب قرار من مجلس الوزراء. </w:t>
      </w:r>
    </w:p>
    <w:p w:rsidR="00921F02" w:rsidRPr="003E698F" w:rsidRDefault="00921F02" w:rsidP="00503CA2">
      <w:pPr>
        <w:pStyle w:val="SingleTxtGA"/>
        <w:jc w:val="lowKashida"/>
        <w:rPr>
          <w:rFonts w:hint="cs"/>
          <w:spacing w:val="0"/>
          <w:kern w:val="0"/>
          <w:sz w:val="20"/>
          <w:rtl/>
        </w:rPr>
      </w:pPr>
      <w:r w:rsidRPr="003E698F">
        <w:rPr>
          <w:rFonts w:hint="cs"/>
          <w:spacing w:val="0"/>
          <w:kern w:val="0"/>
          <w:sz w:val="20"/>
          <w:rtl/>
        </w:rPr>
        <w:t>122-</w:t>
      </w:r>
      <w:r w:rsidRPr="003E698F">
        <w:rPr>
          <w:rFonts w:hint="cs"/>
          <w:spacing w:val="0"/>
          <w:kern w:val="0"/>
          <w:sz w:val="20"/>
          <w:rtl/>
        </w:rPr>
        <w:tab/>
        <w:t>وينص قانون قضايا الدولة على أن تجري التحقيقات الجنائية بالإشراك المباشر للمدعين العامين في المقاطعة وتحت إشرافهم. ومُنح المحتجزون الحق في استشارة محامين من اختيارهم. ويخوّل الدستور للمدعي العام، عملاً بالمادة 135، التحقيق في أي شكاوى أو</w:t>
      </w:r>
      <w:r w:rsidR="00503CA2">
        <w:rPr>
          <w:rFonts w:hint="eastAsia"/>
          <w:spacing w:val="0"/>
          <w:kern w:val="0"/>
          <w:sz w:val="20"/>
          <w:rtl/>
        </w:rPr>
        <w:t> </w:t>
      </w:r>
      <w:r w:rsidRPr="003E698F">
        <w:rPr>
          <w:rFonts w:hint="cs"/>
          <w:spacing w:val="0"/>
          <w:kern w:val="0"/>
          <w:sz w:val="20"/>
          <w:rtl/>
        </w:rPr>
        <w:t xml:space="preserve">ادعاءات تتعلق بممارسة التعذيب وسوء المعاملة. ومُنح ضحايا التعذيب تعويضات تنفيذاً للأحكام الصادرة عن المحاكم. ولا تزال حكومة نيبال ملتزمة بوضع الهياكل الأساسية القانونية والمؤسسية المطلوبة من أجل الانضمام إلى نظام روما الأساسي للمحكمة الجنائية الدولية. وقامت نيبال باعتماد وتنفيذ خطة عمل تتعلق بتنفيذ التوصيات المقدمة في إطار الاستعراض الدوري الشامل. </w:t>
      </w:r>
    </w:p>
    <w:p w:rsidR="00921F02" w:rsidRPr="003E698F" w:rsidRDefault="00921F02" w:rsidP="00921F02">
      <w:pPr>
        <w:pStyle w:val="SingleTxtGA"/>
        <w:jc w:val="lowKashida"/>
        <w:rPr>
          <w:rFonts w:hint="cs"/>
          <w:spacing w:val="-2"/>
          <w:kern w:val="0"/>
          <w:sz w:val="20"/>
          <w:rtl/>
        </w:rPr>
      </w:pPr>
      <w:r w:rsidRPr="003E698F">
        <w:rPr>
          <w:rFonts w:hint="cs"/>
          <w:spacing w:val="-2"/>
          <w:kern w:val="0"/>
          <w:sz w:val="20"/>
          <w:rtl/>
        </w:rPr>
        <w:t>123-</w:t>
      </w:r>
      <w:r w:rsidRPr="003E698F">
        <w:rPr>
          <w:rFonts w:hint="cs"/>
          <w:spacing w:val="-2"/>
          <w:kern w:val="0"/>
          <w:sz w:val="20"/>
          <w:rtl/>
        </w:rPr>
        <w:tab/>
        <w:t xml:space="preserve">وتقوم حكومة نيبال بتنفيذ التوصيات الصادرة عن اللجنة الوطنية لحقوق الإنسان، وتواصل التزامها بالتعاون مع اللجنة. ووضعت الحكومة قاعد بيانات تتعلق بحالة تنفيذ توصيات اللجنة الوطنية لحقوق الإنسان، واعتمدت آلية سريعة لتنفيذ التوصيات ومتابعة تنفيذها.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124-</w:t>
      </w:r>
      <w:r w:rsidRPr="003E698F">
        <w:rPr>
          <w:rFonts w:hint="cs"/>
          <w:spacing w:val="0"/>
          <w:kern w:val="0"/>
          <w:sz w:val="20"/>
          <w:rtl/>
        </w:rPr>
        <w:tab/>
        <w:t xml:space="preserve">وتعكف نيبال على تنفيذ خطة عمل وطنية لحقوق الإنسان مدتها ثلاث سنوات اعتباراً من عام 2010، عقب الاستعراض الشامل لهذه الخطة بغية مواءمتها مع تحقيق الأهداف الاقتصادية والاجتماعية والثقافية بشكل عام، والأهداف الإنمائية للألفية بشكل خاص. وتشمل خطة العمل المذكورة عدة فصول يتعلق بعضها بالسلام والأمن وإنفاذ القانون وحماية حقوق الإنسان. وتشمل مجالات التدخل الرئيسية الإصلاحات القانونية وإصلاح السجون وتحسين مراكز الاحتجاز والتنفيذ الفعلي للأحكام المتعلقة بتقديم التعويضات لضحايا التعذيب. واتخذت تدابير لوضع قانون جديد لمنع ممارسة التعذيب وتعويض الضحايا عملاً باتفاقية مناهضة التعذيب. ويجري إنشاء صندوق مركزي لضمان دفع التعويضات بصورة فورية لضحايا التعذيب. وبالمثل، نُفذت طائفة من الأنشطة لتحقيق أهداف إدارة السجون والإصلاحات على نحو ما ورد في خطة العمل. ومن الأنشطة الرئيسية التي أُطلقت في هذا الصدد تعزيز المعايير الاقتصادية والاجتماعية وتوفير المرافق اللازمة للمحتجزين/السجناء، وإدخال الإصلاحات بشكل فوري عملاً بالمبادئ والمعايير الدولية، وتقديم التوجيه للسجناء/المحتجزين، وفصل السجناء المصابين بأمراض عقلية عن غيرهم من السجناء، وتطوير نظام الخدمة الاجتماعية لمرتكبي الجنح البسيطة والعمل على إعادة إدماج المحتجزين/السجناء في المجتمع، وإدخال تحسينات مادية على السجون، وإنشاء نظام إصلاحيات الأحداث الجانحين وحماية وتعزيز حقوق الأطفال المحتجزين/السجناء. </w:t>
      </w:r>
    </w:p>
    <w:p w:rsidR="00921F02" w:rsidRPr="003E698F" w:rsidRDefault="00921F02" w:rsidP="003E698F">
      <w:pPr>
        <w:pStyle w:val="SingleTxtGA"/>
        <w:jc w:val="lowKashida"/>
        <w:rPr>
          <w:rFonts w:hint="cs"/>
          <w:spacing w:val="0"/>
          <w:kern w:val="0"/>
          <w:sz w:val="20"/>
          <w:rtl/>
        </w:rPr>
      </w:pPr>
      <w:r w:rsidRPr="003E698F">
        <w:rPr>
          <w:rFonts w:hint="cs"/>
          <w:spacing w:val="0"/>
          <w:kern w:val="0"/>
          <w:sz w:val="20"/>
          <w:rtl/>
        </w:rPr>
        <w:t>125-</w:t>
      </w:r>
      <w:r w:rsidRPr="003E698F">
        <w:rPr>
          <w:rFonts w:hint="cs"/>
          <w:spacing w:val="0"/>
          <w:kern w:val="0"/>
          <w:sz w:val="20"/>
          <w:rtl/>
        </w:rPr>
        <w:tab/>
        <w:t xml:space="preserve">وتم إطلاق عدد كبير من برامج التوعية لفائدة رجال الأمن بشأن أهمية الامتثال لأحكام الاتفاقية عند التعامل مع أوضاع ذات صلة بالأمن والقانون. ومن الأمثلة على الجهود التي تبذلها نيبال للوفاء بالتزاماتها بموجب الاتفاقية، الزيارة التي قام بها المقرر الخاص المعني بمسألة التعذيب إلى نيبال، وتقديم التقرير الدوري لنيبال من أجل النظر فيه من جانب اللجنة. ويمنع القانون بحزم انتزاع الاعترافات أو المعلومات عن طريق التعذيب. ولا يُقبل أي اعتراف انتزع بهذه الطريقة كدليل أمام المحكمة. وتود نيبال أن تبين بوضوح أنها لا تعتمد سياسة تجيز ممارسة التعذيب كواحد من وسائل التحقيق الجنائي.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126-</w:t>
      </w:r>
      <w:r w:rsidRPr="003E698F">
        <w:rPr>
          <w:rFonts w:hint="cs"/>
          <w:spacing w:val="0"/>
          <w:kern w:val="0"/>
          <w:sz w:val="20"/>
          <w:rtl/>
        </w:rPr>
        <w:tab/>
        <w:t xml:space="preserve">وفيما يتعلق بمسألة التدقيق في هويات رجال الأمن قبل تعيينهم، تود نيبال تأكيد أنها اعتمدت بالفعل هذا النظام بمبادرة منها. ومنذ عام 2005، ينفذ الجيش النيبالي سياسة حرمان المدانين بارتكاب انتهاكات لحقوق الإنسان من المشاركة في عمليات الأمم المتحدة لحفظ السلام. كما تنتهج الشرطة النيبالية والشرطة المسلحة سياسة مماثلة.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127-</w:t>
      </w:r>
      <w:r w:rsidRPr="003E698F">
        <w:rPr>
          <w:rFonts w:hint="cs"/>
          <w:spacing w:val="0"/>
          <w:kern w:val="0"/>
          <w:sz w:val="20"/>
          <w:rtl/>
        </w:rPr>
        <w:tab/>
        <w:t xml:space="preserve">وبالنسبة لتقرير مكتب المفوضية السامية لحقوق الإنسان في نيبال المعنون "التحقيق في ادعاءات القتل خارج نطاق القضاء في تيراي"، الذي صدر في تموز/يوليه 2010، قدمت نيبال تعليقاتها وآراءها بشأن ذلك التقرير. وتود نيبال تأكيد رفضها القاطع لمحتويات التقرير والوقائع التي وردت فيه.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128-</w:t>
      </w:r>
      <w:r w:rsidRPr="003E698F">
        <w:rPr>
          <w:rFonts w:hint="cs"/>
          <w:spacing w:val="0"/>
          <w:kern w:val="0"/>
          <w:sz w:val="20"/>
          <w:rtl/>
        </w:rPr>
        <w:tab/>
        <w:t xml:space="preserve">ووُجهت عناية نيبال أيضاً إلى التوصيات الصادرة من اللجنة، وتود في هذا الصدد تقديم الملاحظات التالية: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ab/>
        <w:t>(أ)</w:t>
      </w:r>
      <w:r w:rsidRPr="003E698F">
        <w:rPr>
          <w:rFonts w:hint="cs"/>
          <w:spacing w:val="0"/>
          <w:kern w:val="0"/>
          <w:sz w:val="20"/>
          <w:rtl/>
        </w:rPr>
        <w:tab/>
        <w:t>يحظر الدستور نفسه أي عمل من أعمال التعذيب.والدستور هو السياسة العامة وقانون الدولة الأساسيان، وأي قانون يخالفه يكون باطلاً. كما أن التعذيب محظور بموجب عدة قوانين منها قانون التعويض المتعلق بالتعذيب. فعندما تكون ممارسة التعذيب محظورة بصورة صارمة وفقاً للقانون الأساسي للدولة، فإن ذلك يُعد شاهداً على أن نيبال</w:t>
      </w:r>
      <w:r w:rsidR="00001F13">
        <w:rPr>
          <w:rFonts w:hint="cs"/>
          <w:spacing w:val="0"/>
          <w:kern w:val="0"/>
          <w:sz w:val="20"/>
          <w:rtl/>
        </w:rPr>
        <w:t xml:space="preserve"> قد أدانت علانية هذه الممارسة. </w:t>
      </w:r>
      <w:r w:rsidRPr="003E698F">
        <w:rPr>
          <w:rFonts w:hint="cs"/>
          <w:spacing w:val="0"/>
          <w:kern w:val="0"/>
          <w:sz w:val="20"/>
          <w:rtl/>
        </w:rPr>
        <w:t>وقد بينت نيبال الإجراءات التي اتخذتها للقضاء على ممارسة التعذيب، وذلك في التقارير الدورية التي قدمتها في إطار مختلف المعاهدات التي أصبحت طرفاً فيها، بما في ذلك اتفاقية مناهضة التعذيب، والعهد الدولي الخاص بالحقوق المدنية والسياسية، والعهد الدولي الخاص بالحقوق الاقتصادية والاجتماعية والثقافية، واتفاقية حقوق الطفل، فضلاً عن تقريرها الدوري المقدم في إطار الاستعراض الدوري الشامل؛</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ab/>
        <w:t>(ب)</w:t>
      </w:r>
      <w:r w:rsidRPr="003E698F">
        <w:rPr>
          <w:rFonts w:hint="cs"/>
          <w:spacing w:val="0"/>
          <w:kern w:val="0"/>
          <w:sz w:val="20"/>
          <w:rtl/>
        </w:rPr>
        <w:tab/>
        <w:t>وتعكف نيبال على اعتماد تشريع محدد يُجرّم ممارسة التعذيب امتثالاً لروح الاتفاقية. وهناك مشروع قانون قدمته حكومة نيبال إلى الهيئة التشريعية - البرلمان لإدراجه في قانون العقوبات يتضمن أيضاً أحكاماً تجرم التعذيب؛</w:t>
      </w:r>
    </w:p>
    <w:p w:rsidR="00921F02" w:rsidRPr="003E698F" w:rsidRDefault="00921F02" w:rsidP="00503CA2">
      <w:pPr>
        <w:pStyle w:val="SingleTxtGA"/>
        <w:jc w:val="lowKashida"/>
        <w:rPr>
          <w:rFonts w:hint="cs"/>
          <w:spacing w:val="0"/>
          <w:kern w:val="0"/>
          <w:sz w:val="20"/>
          <w:rtl/>
        </w:rPr>
      </w:pPr>
      <w:r w:rsidRPr="003E698F">
        <w:rPr>
          <w:rFonts w:hint="cs"/>
          <w:spacing w:val="0"/>
          <w:kern w:val="0"/>
          <w:sz w:val="20"/>
          <w:rtl/>
        </w:rPr>
        <w:tab/>
        <w:t>(ج)</w:t>
      </w:r>
      <w:r w:rsidRPr="003E698F">
        <w:rPr>
          <w:rFonts w:hint="cs"/>
          <w:spacing w:val="0"/>
          <w:kern w:val="0"/>
          <w:sz w:val="20"/>
          <w:rtl/>
        </w:rPr>
        <w:tab/>
        <w:t>ومن خلال الإعلان عن العديد من التدابير الرامية إلى منع التعذيب، ترسل نيبال رسالة واضحة لا لبس فيها تدين ممارسة التعذيب وسوء المعاملة ضد أي شخص أو</w:t>
      </w:r>
      <w:r w:rsidR="00503CA2">
        <w:rPr>
          <w:rFonts w:hint="eastAsia"/>
          <w:spacing w:val="0"/>
          <w:kern w:val="0"/>
          <w:sz w:val="20"/>
          <w:rtl/>
        </w:rPr>
        <w:t> </w:t>
      </w:r>
      <w:r w:rsidRPr="003E698F">
        <w:rPr>
          <w:rFonts w:hint="cs"/>
          <w:spacing w:val="0"/>
          <w:kern w:val="0"/>
          <w:sz w:val="20"/>
          <w:rtl/>
        </w:rPr>
        <w:t>مجموعة تحت ولايتها القضائية؛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ab/>
        <w:t>(د)</w:t>
      </w:r>
      <w:r w:rsidRPr="003E698F">
        <w:rPr>
          <w:rFonts w:hint="cs"/>
          <w:spacing w:val="0"/>
          <w:kern w:val="0"/>
          <w:sz w:val="20"/>
          <w:rtl/>
        </w:rPr>
        <w:tab/>
        <w:t>وتجري اللجنة التشريعية في البرلمان مداولات نشطة بشأن مشاريع القوانين المتعلقة بلجنة الحقيقة والمصالحة ولجنة التحقيق في حالات الاختفاء. وتعتقد حكومة نيبال جازمةً أن مشاريع القوانين المذكورة هذه سيُوافق عليها دون إبطاء وفقاً للإجراءات التشريعية للبرلمان؛</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ab/>
        <w:t>(ﻫ)</w:t>
      </w:r>
      <w:r w:rsidRPr="003E698F">
        <w:rPr>
          <w:rFonts w:hint="cs"/>
          <w:spacing w:val="0"/>
          <w:kern w:val="0"/>
          <w:sz w:val="20"/>
          <w:rtl/>
        </w:rPr>
        <w:tab/>
        <w:t>ومثلما ورد أعلاه، فقد جرى التحقيق بسرعة وفعالية ونزاهة في الشكاوى المتعلقة بادعاءات التعرض للتعذيب على أيدي موظفين عموميين، وتمت ملاحقة الجناة وإدانتهم؛</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ab/>
        <w:t>(و)</w:t>
      </w:r>
      <w:r w:rsidRPr="003E698F">
        <w:rPr>
          <w:rFonts w:hint="cs"/>
          <w:spacing w:val="0"/>
          <w:kern w:val="0"/>
          <w:sz w:val="20"/>
          <w:rtl/>
        </w:rPr>
        <w:tab/>
        <w:t>وفيما يتعلق بالتصديق على البروتوكول الاختياري للاتفاقية، والموافقة على اختصاص اللجنة فيما يتصل بتلقي البلاغات الفردية والنظر فيها عملاً بالمادة 22 من الاتفاقية، تود نيبال الإشارة إلى أنها لا تعتزم في الوقت الراهن الانضمام إلى البروتوكول الاختياري أو الموافقة على اختصاص اللجنة بشأن البلاغات؛</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ab/>
        <w:t>(ز)</w:t>
      </w:r>
      <w:r w:rsidRPr="003E698F">
        <w:rPr>
          <w:rFonts w:hint="cs"/>
          <w:spacing w:val="0"/>
          <w:kern w:val="0"/>
          <w:sz w:val="20"/>
          <w:rtl/>
        </w:rPr>
        <w:tab/>
        <w:t xml:space="preserve">وفيما يتعلق بالتوصيات الأخرى، فقد تم بالفعل اعتماد وتنفيذ عدد من السياسات والتدابير القانونية والمؤسسية. والأحكام القانونية القائمة تستجيب بصورة مستفيضة لهذه التوصيات.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129-</w:t>
      </w:r>
      <w:r w:rsidRPr="003E698F">
        <w:rPr>
          <w:rFonts w:hint="cs"/>
          <w:spacing w:val="0"/>
          <w:kern w:val="0"/>
          <w:sz w:val="20"/>
          <w:rtl/>
        </w:rPr>
        <w:tab/>
        <w:t xml:space="preserve">وبالرغم من وجود العديد من القيود والتحديات المقترنة بالتحولات السياسية والاجتماعية - الاقتصادية وعملية السلام خلال فترة ما بعد النزاع، فإن نيبال ملتزمة التزاماً تاماً بحماية وتعزيز حقوق الإنسان. وتشعر حكومة نيبال بأن التقرير كان ينبغي أن يشيد على النحو الواجب بهذه التطورات الإيجابية والتحسن الملحوظ في حالة حقوق الإنسان على أرض الواقع وأن يعترف بها. </w:t>
      </w:r>
    </w:p>
    <w:p w:rsidR="003E698F" w:rsidRDefault="00921F02" w:rsidP="00921F02">
      <w:pPr>
        <w:pStyle w:val="SingleTxtGA"/>
        <w:jc w:val="lowKashida"/>
        <w:rPr>
          <w:rFonts w:hint="cs"/>
          <w:spacing w:val="0"/>
          <w:kern w:val="0"/>
          <w:sz w:val="20"/>
          <w:rtl/>
        </w:rPr>
      </w:pPr>
      <w:r w:rsidRPr="003E698F">
        <w:rPr>
          <w:rFonts w:hint="cs"/>
          <w:spacing w:val="0"/>
          <w:kern w:val="0"/>
          <w:sz w:val="20"/>
          <w:rtl/>
        </w:rPr>
        <w:t>130-</w:t>
      </w:r>
      <w:r w:rsidRPr="003E698F">
        <w:rPr>
          <w:rFonts w:hint="cs"/>
          <w:spacing w:val="0"/>
          <w:kern w:val="0"/>
          <w:sz w:val="20"/>
          <w:rtl/>
        </w:rPr>
        <w:tab/>
        <w:t>وفي ضوء ما سبق، فإن نيبال لا توافق على ادعاء ممارسة التعذيب بشكل منهجي في نيبال وترفض التقرير. كما أن استنتاج اللجنة، القائم على محض ادعاءات، بأن هناك ممارسة للتعذيب على نطاق واسع في نيبال هو استنتاج لا أساس له من الصحة نهائيا</w:t>
      </w:r>
      <w:r w:rsidR="000235D4">
        <w:rPr>
          <w:rFonts w:hint="cs"/>
          <w:spacing w:val="0"/>
          <w:kern w:val="0"/>
          <w:sz w:val="20"/>
          <w:rtl/>
        </w:rPr>
        <w:t>ً</w:t>
      </w:r>
      <w:r w:rsidRPr="003E698F">
        <w:rPr>
          <w:rFonts w:hint="cs"/>
          <w:spacing w:val="0"/>
          <w:kern w:val="0"/>
          <w:sz w:val="20"/>
          <w:rtl/>
        </w:rPr>
        <w:t xml:space="preserve"> ويبدو أنه يتغاضى عن الجهود المخلصة التي بذلتها السلطات الوطنية لمحاربة هذه الجريمة. وعليه، تود نيبال أن تطلب من اللجنة سحب إجراء التحقيق.</w:t>
      </w:r>
    </w:p>
    <w:p w:rsidR="003E698F" w:rsidRDefault="003E698F" w:rsidP="00921F02">
      <w:pPr>
        <w:pStyle w:val="SingleTxtGA"/>
        <w:jc w:val="lowKashida"/>
        <w:rPr>
          <w:spacing w:val="0"/>
          <w:kern w:val="0"/>
          <w:sz w:val="20"/>
          <w:rtl/>
        </w:rPr>
        <w:sectPr w:rsidR="003E698F" w:rsidSect="001D3F00">
          <w:footnotePr>
            <w:numRestart w:val="eachSect"/>
          </w:footnotePr>
          <w:endnotePr>
            <w:numFmt w:val="decimal"/>
          </w:endnotePr>
          <w:pgSz w:w="11906" w:h="16838" w:code="9"/>
          <w:pgMar w:top="1701" w:right="1134" w:bottom="2268" w:left="1134" w:header="1134" w:footer="1701" w:gutter="0"/>
          <w:cols w:space="708"/>
          <w:bidi/>
          <w:rtlGutter/>
          <w:docGrid w:linePitch="360"/>
        </w:sectPr>
      </w:pPr>
    </w:p>
    <w:p w:rsidR="00921F02" w:rsidRPr="003E698F" w:rsidRDefault="00921F02" w:rsidP="00921F02">
      <w:pPr>
        <w:pStyle w:val="HChGA"/>
        <w:keepNext w:val="0"/>
        <w:keepLines w:val="0"/>
        <w:suppressAutoHyphens w:val="0"/>
        <w:spacing w:before="120"/>
        <w:rPr>
          <w:rFonts w:hint="cs"/>
          <w:spacing w:val="0"/>
          <w:kern w:val="0"/>
          <w:sz w:val="20"/>
          <w:rtl/>
        </w:rPr>
      </w:pPr>
      <w:r w:rsidRPr="003E698F">
        <w:rPr>
          <w:rFonts w:hint="cs"/>
          <w:spacing w:val="0"/>
          <w:kern w:val="0"/>
          <w:sz w:val="20"/>
          <w:rtl/>
        </w:rPr>
        <w:t>المرفق الرابع عشر</w:t>
      </w:r>
    </w:p>
    <w:p w:rsidR="00921F02" w:rsidRPr="003E698F" w:rsidRDefault="00921F02" w:rsidP="00921F02">
      <w:pPr>
        <w:pStyle w:val="HChGA"/>
        <w:rPr>
          <w:rFonts w:hint="cs"/>
          <w:spacing w:val="0"/>
          <w:kern w:val="0"/>
          <w:sz w:val="20"/>
          <w:rtl/>
        </w:rPr>
      </w:pPr>
      <w:r w:rsidRPr="003E698F">
        <w:rPr>
          <w:rFonts w:hint="cs"/>
          <w:spacing w:val="0"/>
          <w:kern w:val="0"/>
          <w:sz w:val="20"/>
          <w:rtl/>
        </w:rPr>
        <w:tab/>
      </w:r>
      <w:r w:rsidRPr="003E698F">
        <w:rPr>
          <w:rFonts w:hint="cs"/>
          <w:spacing w:val="0"/>
          <w:kern w:val="0"/>
          <w:sz w:val="20"/>
          <w:rtl/>
        </w:rPr>
        <w:tab/>
        <w:t>قرارات لجنة مناهضة التعذيب بموجب المادة 22 من الاتفاقية</w:t>
      </w:r>
    </w:p>
    <w:p w:rsidR="00921F02" w:rsidRPr="003E698F" w:rsidRDefault="003E698F" w:rsidP="00921F02">
      <w:pPr>
        <w:pStyle w:val="H1GA"/>
        <w:rPr>
          <w:rFonts w:hint="cs"/>
          <w:spacing w:val="0"/>
          <w:kern w:val="0"/>
          <w:sz w:val="20"/>
          <w:rtl/>
        </w:rPr>
      </w:pPr>
      <w:r>
        <w:rPr>
          <w:rFonts w:hint="cs"/>
          <w:spacing w:val="0"/>
          <w:kern w:val="0"/>
          <w:sz w:val="20"/>
          <w:rtl/>
        </w:rPr>
        <w:tab/>
        <w:t>ألف</w:t>
      </w:r>
      <w:r w:rsidR="00921F02" w:rsidRPr="003E698F">
        <w:rPr>
          <w:rFonts w:hint="cs"/>
          <w:spacing w:val="0"/>
          <w:kern w:val="0"/>
          <w:sz w:val="20"/>
          <w:rtl/>
        </w:rPr>
        <w:t>-</w:t>
      </w:r>
      <w:r w:rsidR="00921F02" w:rsidRPr="003E698F">
        <w:rPr>
          <w:rFonts w:hint="cs"/>
          <w:spacing w:val="0"/>
          <w:kern w:val="0"/>
          <w:sz w:val="20"/>
          <w:rtl/>
        </w:rPr>
        <w:tab/>
        <w:t>قرارات بشأن الأسس الموضوعية</w:t>
      </w:r>
    </w:p>
    <w:p w:rsidR="00921F02" w:rsidRPr="003E698F" w:rsidRDefault="00921F02" w:rsidP="00921F02">
      <w:pPr>
        <w:pStyle w:val="H1G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 xml:space="preserve">البلاغ رقم 312/2007: </w:t>
      </w:r>
      <w:r w:rsidRPr="003E698F">
        <w:rPr>
          <w:rFonts w:hint="cs"/>
          <w:i/>
          <w:iCs/>
          <w:spacing w:val="0"/>
          <w:kern w:val="0"/>
          <w:sz w:val="20"/>
          <w:rtl/>
          <w:lang w:val="fr-CH"/>
        </w:rPr>
        <w:t>افتخاري ضد النرويج</w:t>
      </w:r>
    </w:p>
    <w:p w:rsidR="00921F02" w:rsidRPr="003E698F" w:rsidRDefault="00921F02" w:rsidP="00921F02">
      <w:pPr>
        <w:pStyle w:val="SingleTxtGA"/>
        <w:rPr>
          <w:rFonts w:hint="cs"/>
          <w:spacing w:val="0"/>
          <w:kern w:val="0"/>
          <w:sz w:val="20"/>
          <w:rtl/>
          <w:lang w:val="fr-CH"/>
        </w:rPr>
      </w:pPr>
      <w:r w:rsidRPr="003E698F">
        <w:rPr>
          <w:rFonts w:hint="cs"/>
          <w:i/>
          <w:iCs/>
          <w:spacing w:val="0"/>
          <w:kern w:val="0"/>
          <w:sz w:val="20"/>
          <w:rtl/>
          <w:lang w:val="fr-CH"/>
        </w:rPr>
        <w:tab/>
        <w:t>المقدم من</w:t>
      </w:r>
      <w:r w:rsidRPr="003E698F">
        <w:rPr>
          <w:rFonts w:hint="cs"/>
          <w:spacing w:val="0"/>
          <w:kern w:val="0"/>
          <w:sz w:val="20"/>
          <w:rtl/>
          <w:lang w:val="fr-CH"/>
        </w:rPr>
        <w:t>:</w:t>
      </w:r>
      <w:r w:rsidRPr="003E698F">
        <w:rPr>
          <w:rFonts w:hint="cs"/>
          <w:spacing w:val="0"/>
          <w:kern w:val="0"/>
          <w:sz w:val="20"/>
          <w:rtl/>
          <w:lang w:val="fr-CH"/>
        </w:rPr>
        <w:tab/>
      </w:r>
      <w:r w:rsidRPr="003E698F">
        <w:rPr>
          <w:rFonts w:hint="cs"/>
          <w:spacing w:val="0"/>
          <w:kern w:val="0"/>
          <w:sz w:val="20"/>
          <w:rtl/>
          <w:lang w:val="fr-CH"/>
        </w:rPr>
        <w:tab/>
      </w:r>
      <w:r w:rsidRPr="003E698F">
        <w:rPr>
          <w:rFonts w:hint="cs"/>
          <w:spacing w:val="0"/>
          <w:kern w:val="0"/>
          <w:sz w:val="20"/>
          <w:rtl/>
          <w:lang w:val="fr-CH"/>
        </w:rPr>
        <w:tab/>
        <w:t>حميد رضا افتخاري</w:t>
      </w:r>
    </w:p>
    <w:p w:rsidR="00921F02" w:rsidRPr="003E698F" w:rsidRDefault="00921F02" w:rsidP="00B1101B">
      <w:pPr>
        <w:pStyle w:val="SingleTxtGA"/>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الشخص المدع</w:t>
      </w:r>
      <w:r w:rsidR="00B1101B">
        <w:rPr>
          <w:rFonts w:hint="cs"/>
          <w:i/>
          <w:iCs/>
          <w:spacing w:val="0"/>
          <w:kern w:val="0"/>
          <w:sz w:val="20"/>
          <w:rtl/>
          <w:lang w:val="fr-CH"/>
        </w:rPr>
        <w:t>ى</w:t>
      </w:r>
      <w:r w:rsidRPr="003E698F">
        <w:rPr>
          <w:rFonts w:hint="cs"/>
          <w:i/>
          <w:iCs/>
          <w:spacing w:val="0"/>
          <w:kern w:val="0"/>
          <w:sz w:val="20"/>
          <w:rtl/>
          <w:lang w:val="fr-CH"/>
        </w:rPr>
        <w:t xml:space="preserve"> أنه ضحية</w:t>
      </w:r>
      <w:r w:rsidRPr="003E698F">
        <w:rPr>
          <w:rFonts w:hint="cs"/>
          <w:spacing w:val="0"/>
          <w:kern w:val="0"/>
          <w:sz w:val="20"/>
          <w:rtl/>
          <w:lang w:val="fr-CH"/>
        </w:rPr>
        <w:t>:</w:t>
      </w:r>
      <w:r w:rsidRPr="003E698F">
        <w:rPr>
          <w:rFonts w:hint="cs"/>
          <w:spacing w:val="0"/>
          <w:kern w:val="0"/>
          <w:sz w:val="20"/>
          <w:rtl/>
          <w:lang w:val="fr-CH"/>
        </w:rPr>
        <w:tab/>
        <w:t>صاحب الشكوى</w:t>
      </w:r>
    </w:p>
    <w:p w:rsidR="00921F02" w:rsidRPr="003E698F" w:rsidRDefault="00921F02" w:rsidP="00921F02">
      <w:pPr>
        <w:pStyle w:val="SingleTxtGA"/>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الدولة الطرف</w:t>
      </w:r>
      <w:r w:rsidRPr="003E698F">
        <w:rPr>
          <w:rFonts w:hint="cs"/>
          <w:spacing w:val="0"/>
          <w:kern w:val="0"/>
          <w:sz w:val="20"/>
          <w:rtl/>
          <w:lang w:val="fr-CH"/>
        </w:rPr>
        <w:t>:</w:t>
      </w:r>
      <w:r w:rsidRPr="003E698F">
        <w:rPr>
          <w:rFonts w:hint="cs"/>
          <w:spacing w:val="0"/>
          <w:kern w:val="0"/>
          <w:sz w:val="20"/>
          <w:rtl/>
          <w:lang w:val="fr-CH"/>
        </w:rPr>
        <w:tab/>
      </w:r>
      <w:r w:rsidRPr="003E698F">
        <w:rPr>
          <w:rFonts w:hint="cs"/>
          <w:spacing w:val="0"/>
          <w:kern w:val="0"/>
          <w:sz w:val="20"/>
          <w:rtl/>
          <w:lang w:val="fr-CH"/>
        </w:rPr>
        <w:tab/>
      </w:r>
      <w:r w:rsidRPr="003E698F">
        <w:rPr>
          <w:rFonts w:hint="cs"/>
          <w:spacing w:val="0"/>
          <w:kern w:val="0"/>
          <w:sz w:val="20"/>
          <w:rtl/>
          <w:lang w:val="fr-CH"/>
        </w:rPr>
        <w:tab/>
        <w:t>النرويج</w:t>
      </w:r>
    </w:p>
    <w:p w:rsidR="00921F02" w:rsidRPr="003E698F" w:rsidRDefault="00921F02" w:rsidP="00921F02">
      <w:pPr>
        <w:pStyle w:val="SingleTxtGA"/>
        <w:ind w:left="4649" w:hanging="3402"/>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تاريخ تقديم البلاغ</w:t>
      </w:r>
      <w:r w:rsidRPr="003E698F">
        <w:rPr>
          <w:rFonts w:hint="cs"/>
          <w:spacing w:val="0"/>
          <w:kern w:val="0"/>
          <w:sz w:val="20"/>
          <w:rtl/>
          <w:lang w:val="fr-CH"/>
        </w:rPr>
        <w:t>:</w:t>
      </w:r>
      <w:r w:rsidRPr="003E698F">
        <w:rPr>
          <w:rFonts w:hint="cs"/>
          <w:spacing w:val="0"/>
          <w:kern w:val="0"/>
          <w:sz w:val="20"/>
          <w:rtl/>
          <w:lang w:val="fr-CH"/>
        </w:rPr>
        <w:tab/>
      </w:r>
      <w:r w:rsidRPr="003E698F">
        <w:rPr>
          <w:rFonts w:hint="cs"/>
          <w:spacing w:val="0"/>
          <w:kern w:val="0"/>
          <w:sz w:val="20"/>
          <w:rtl/>
          <w:lang w:val="fr-CH"/>
        </w:rPr>
        <w:tab/>
        <w:t>24 تشرين الأول/أكتوبر 2006 (تاريخ الرسالة الأولى)</w:t>
      </w:r>
    </w:p>
    <w:p w:rsidR="00921F02" w:rsidRPr="003E698F" w:rsidRDefault="00921F02" w:rsidP="00503CA2">
      <w:pPr>
        <w:pStyle w:val="SingleTxtGA"/>
        <w:jc w:val="lowKashida"/>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إن لجنة مناهضة التعذيب</w:t>
      </w:r>
      <w:r w:rsidRPr="003E698F">
        <w:rPr>
          <w:rFonts w:hint="cs"/>
          <w:spacing w:val="0"/>
          <w:kern w:val="0"/>
          <w:sz w:val="20"/>
          <w:rtl/>
          <w:lang w:val="fr-CH"/>
        </w:rPr>
        <w:t>، المنشأة بموجب المادة 17 من اتفاقية مناهضة التعذيب أو</w:t>
      </w:r>
      <w:r w:rsidR="00503CA2">
        <w:rPr>
          <w:rFonts w:hint="eastAsia"/>
          <w:spacing w:val="0"/>
          <w:kern w:val="0"/>
          <w:sz w:val="20"/>
          <w:rtl/>
          <w:lang w:val="fr-CH"/>
        </w:rPr>
        <w:t> </w:t>
      </w:r>
      <w:r w:rsidRPr="003E698F">
        <w:rPr>
          <w:rFonts w:hint="cs"/>
          <w:spacing w:val="0"/>
          <w:kern w:val="0"/>
          <w:sz w:val="20"/>
          <w:rtl/>
          <w:lang w:val="fr-CH"/>
        </w:rPr>
        <w:t>غيره من ضروب المعاملة أو العقوبة القاسية أو اللاإنسانية أو المهينة،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وقد اجتمعت</w:t>
      </w:r>
      <w:r w:rsidRPr="003E698F">
        <w:rPr>
          <w:rFonts w:hint="cs"/>
          <w:spacing w:val="0"/>
          <w:kern w:val="0"/>
          <w:sz w:val="20"/>
          <w:rtl/>
          <w:lang w:val="fr-CH"/>
        </w:rPr>
        <w:t xml:space="preserve"> في 25 تشرين الثاني/نوفمبر 2011،</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وقد فرغت</w:t>
      </w:r>
      <w:r w:rsidRPr="003E698F">
        <w:rPr>
          <w:rFonts w:hint="cs"/>
          <w:spacing w:val="0"/>
          <w:kern w:val="0"/>
          <w:sz w:val="20"/>
          <w:rtl/>
          <w:lang w:val="fr-CH"/>
        </w:rPr>
        <w:t xml:space="preserve"> من النظر في البلاغ رقم 312/2007، المقدم إلى لجنة مناهضة التعذيب من السيد حميد رضا افتخاري بموجب المادة 22 من اتفاقية مناهضة التعذيب أو غيره من ضروب المعاملة أو العقوبة القاسية أو اللاإنسانية أو المهينة؛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وقد أخذت في اعتبارها</w:t>
      </w:r>
      <w:r w:rsidRPr="003E698F">
        <w:rPr>
          <w:rFonts w:hint="cs"/>
          <w:spacing w:val="0"/>
          <w:kern w:val="0"/>
          <w:sz w:val="20"/>
          <w:rtl/>
          <w:lang w:val="fr-CH"/>
        </w:rPr>
        <w:t xml:space="preserve"> جميع المعلومات التي أتاحها لها صاحب الشكوى ومحاميه والدولة الطرف، </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تعتمد</w:t>
      </w:r>
      <w:r w:rsidRPr="003E698F">
        <w:rPr>
          <w:rFonts w:hint="cs"/>
          <w:spacing w:val="0"/>
          <w:kern w:val="0"/>
          <w:sz w:val="20"/>
          <w:rtl/>
          <w:lang w:val="fr-CH"/>
        </w:rPr>
        <w:t xml:space="preserve"> ما يلي:</w:t>
      </w:r>
    </w:p>
    <w:p w:rsidR="00921F02" w:rsidRPr="003E698F" w:rsidRDefault="00921F02" w:rsidP="00921F02">
      <w:pPr>
        <w:pStyle w:val="H1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قرار معتمد بموجب الفقرة 7 من المادة 22 من اتفاقية مناهضة التعذيب</w:t>
      </w:r>
    </w:p>
    <w:p w:rsidR="00921F02" w:rsidRPr="003E698F" w:rsidRDefault="00921F02" w:rsidP="003E698F">
      <w:pPr>
        <w:pStyle w:val="SingleTxtGA"/>
        <w:jc w:val="lowKashida"/>
        <w:rPr>
          <w:rFonts w:hint="cs"/>
          <w:spacing w:val="0"/>
          <w:kern w:val="0"/>
          <w:sz w:val="20"/>
          <w:rtl/>
          <w:lang w:val="fr-CH"/>
        </w:rPr>
      </w:pPr>
      <w:r w:rsidRPr="003E698F">
        <w:rPr>
          <w:rFonts w:hint="cs"/>
          <w:spacing w:val="0"/>
          <w:kern w:val="0"/>
          <w:sz w:val="20"/>
          <w:rtl/>
          <w:lang w:val="fr-CH"/>
        </w:rPr>
        <w:t>1-</w:t>
      </w:r>
      <w:r w:rsidRPr="003E698F">
        <w:rPr>
          <w:rFonts w:hint="cs"/>
          <w:spacing w:val="0"/>
          <w:kern w:val="0"/>
          <w:sz w:val="20"/>
          <w:rtl/>
          <w:lang w:val="fr-CH"/>
        </w:rPr>
        <w:tab/>
        <w:t>صاحب الشكوى هو حميد رضا افتخاري، وهو مواطن إيراني مولود في عام</w:t>
      </w:r>
      <w:r w:rsidR="003E698F">
        <w:rPr>
          <w:rFonts w:hint="eastAsia"/>
          <w:spacing w:val="0"/>
          <w:kern w:val="0"/>
          <w:sz w:val="20"/>
          <w:rtl/>
          <w:lang w:val="fr-CH"/>
        </w:rPr>
        <w:t> </w:t>
      </w:r>
      <w:r w:rsidRPr="003E698F">
        <w:rPr>
          <w:rFonts w:hint="cs"/>
          <w:spacing w:val="0"/>
          <w:kern w:val="0"/>
          <w:sz w:val="20"/>
          <w:rtl/>
          <w:lang w:val="fr-CH"/>
        </w:rPr>
        <w:t xml:space="preserve">1979، معرض للترحيل من جانب النرويج إلى جمهورية إيران الإسلامية. وعلى الرغم من أن صاحب الشكوى لم يحتج في رسالته الأولى إلا بالمادة 114 (المادة 108 سابقاً) من النظام الداخلي للجنة </w:t>
      </w:r>
      <w:r w:rsidRPr="003E698F">
        <w:rPr>
          <w:spacing w:val="0"/>
          <w:kern w:val="0"/>
          <w:sz w:val="20"/>
        </w:rPr>
        <w:t>(CAT/C/3/Rev.5)</w:t>
      </w:r>
      <w:r w:rsidRPr="003E698F">
        <w:rPr>
          <w:rFonts w:hint="cs"/>
          <w:spacing w:val="0"/>
          <w:kern w:val="0"/>
          <w:sz w:val="20"/>
          <w:rtl/>
        </w:rPr>
        <w:t xml:space="preserve">، فإن الحجج التي قدمها </w:t>
      </w:r>
      <w:r w:rsidRPr="003E698F">
        <w:rPr>
          <w:rFonts w:hint="cs"/>
          <w:spacing w:val="0"/>
          <w:kern w:val="0"/>
          <w:sz w:val="20"/>
          <w:rtl/>
          <w:lang w:val="fr-CH"/>
        </w:rPr>
        <w:t>تمثل شكوى فحواها أن ترحيله إلى إيران سيشكل انتهاكاً لأحكام المادة 3 من اتفاقية مناهضة التعذيب وغيره من ضروب المعاملة أو العقوبة القاسية أو اللاإنسانية أو المهينة. ولم يعد يمثله محام أمام اللجنة اعتباراً من أيلول/سبتمبر 2008.</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الوقائع كما عرضها صاحب الشكوى</w:t>
      </w:r>
    </w:p>
    <w:p w:rsidR="00921F02" w:rsidRPr="003E698F" w:rsidRDefault="00921F02" w:rsidP="003E698F">
      <w:pPr>
        <w:pStyle w:val="SingleTxtGA"/>
        <w:jc w:val="lowKashida"/>
        <w:rPr>
          <w:rFonts w:hint="cs"/>
          <w:spacing w:val="0"/>
          <w:kern w:val="0"/>
          <w:rtl/>
          <w:lang w:val="fr-CH"/>
        </w:rPr>
      </w:pPr>
      <w:r w:rsidRPr="003E698F">
        <w:rPr>
          <w:rFonts w:hint="cs"/>
          <w:spacing w:val="0"/>
          <w:kern w:val="0"/>
          <w:rtl/>
          <w:lang w:val="fr-CH"/>
        </w:rPr>
        <w:t>2-1</w:t>
      </w:r>
      <w:r w:rsidRPr="003E698F">
        <w:rPr>
          <w:rFonts w:hint="cs"/>
          <w:spacing w:val="0"/>
          <w:kern w:val="0"/>
          <w:rtl/>
          <w:lang w:val="fr-CH"/>
        </w:rPr>
        <w:tab/>
        <w:t xml:space="preserve">صاحب الشكوى هو صحفي كان يعمل سابقاً في صحيفة </w:t>
      </w:r>
      <w:r w:rsidRPr="003E698F">
        <w:rPr>
          <w:i/>
          <w:spacing w:val="0"/>
          <w:kern w:val="0"/>
        </w:rPr>
        <w:t>Asia</w:t>
      </w:r>
      <w:r w:rsidRPr="003E698F">
        <w:rPr>
          <w:rFonts w:hint="cs"/>
          <w:spacing w:val="0"/>
          <w:kern w:val="0"/>
          <w:rtl/>
        </w:rPr>
        <w:t xml:space="preserve"> في </w:t>
      </w:r>
      <w:r w:rsidRPr="003E698F">
        <w:rPr>
          <w:rFonts w:hint="cs"/>
          <w:spacing w:val="0"/>
          <w:kern w:val="0"/>
          <w:rtl/>
          <w:lang w:val="fr-CH"/>
        </w:rPr>
        <w:t>جمهورية إيران الإسلامية. وقد أُغلقت هذه الصحيفة في ربيع عام 2003، لأنها، حسب المزاعم، نشرت</w:t>
      </w:r>
      <w:r w:rsidRPr="003E698F">
        <w:rPr>
          <w:rFonts w:hint="eastAsia"/>
          <w:spacing w:val="0"/>
          <w:kern w:val="0"/>
          <w:rtl/>
          <w:lang w:val="fr-CH"/>
        </w:rPr>
        <w:t> </w:t>
      </w:r>
      <w:r w:rsidRPr="003E698F">
        <w:rPr>
          <w:rFonts w:hint="cs"/>
          <w:spacing w:val="0"/>
          <w:kern w:val="0"/>
          <w:rtl/>
          <w:lang w:val="fr-CH"/>
        </w:rPr>
        <w:t>"معلومات كاذبة ولأنها اضطلعت بأنشطة تحدث بلبلة بين الناس". وفي حزيران/</w:t>
      </w:r>
      <w:r w:rsidR="003E698F">
        <w:rPr>
          <w:rFonts w:hint="cs"/>
          <w:spacing w:val="0"/>
          <w:kern w:val="0"/>
          <w:rtl/>
          <w:lang w:val="fr-CH"/>
        </w:rPr>
        <w:t xml:space="preserve"> </w:t>
      </w:r>
      <w:r w:rsidRPr="003E698F">
        <w:rPr>
          <w:rFonts w:hint="cs"/>
          <w:spacing w:val="0"/>
          <w:kern w:val="0"/>
          <w:rtl/>
          <w:lang w:val="fr-CH"/>
        </w:rPr>
        <w:t>يونيه</w:t>
      </w:r>
      <w:r w:rsidR="003E698F">
        <w:rPr>
          <w:rFonts w:hint="eastAsia"/>
          <w:spacing w:val="0"/>
          <w:kern w:val="0"/>
          <w:rtl/>
          <w:lang w:val="fr-CH"/>
        </w:rPr>
        <w:t> </w:t>
      </w:r>
      <w:r w:rsidRPr="003E698F">
        <w:rPr>
          <w:rFonts w:hint="cs"/>
          <w:spacing w:val="0"/>
          <w:kern w:val="0"/>
          <w:rtl/>
          <w:lang w:val="fr-CH"/>
        </w:rPr>
        <w:t>- تموز/يوليه 2003، ألقي القبض على صاحب الشكوى وتم تفتيش منزله وصادر موظفو الحكومة الذين نفذوا العملية وثائق وحاسوباً من منزله. واستجوبت السلطات صاحب الشكوى لمدة 14 ساعة تقريباً عن أنشطته الصحيفة.</w:t>
      </w:r>
    </w:p>
    <w:p w:rsidR="00921F02" w:rsidRPr="003E698F" w:rsidRDefault="00921F02" w:rsidP="003E698F">
      <w:pPr>
        <w:pStyle w:val="SingleTxtGA"/>
        <w:jc w:val="lowKashida"/>
        <w:rPr>
          <w:rFonts w:hint="cs"/>
          <w:spacing w:val="0"/>
          <w:kern w:val="0"/>
          <w:rtl/>
          <w:lang w:val="fr-CH"/>
        </w:rPr>
      </w:pPr>
      <w:r w:rsidRPr="003E698F">
        <w:rPr>
          <w:rFonts w:hint="cs"/>
          <w:spacing w:val="0"/>
          <w:kern w:val="0"/>
          <w:rtl/>
          <w:lang w:val="fr-CH"/>
        </w:rPr>
        <w:t>2-2</w:t>
      </w:r>
      <w:r w:rsidRPr="003E698F">
        <w:rPr>
          <w:rFonts w:hint="cs"/>
          <w:spacing w:val="0"/>
          <w:kern w:val="0"/>
          <w:rtl/>
          <w:lang w:val="fr-CH"/>
        </w:rPr>
        <w:tab/>
        <w:t>وقد اختبأ صاحب الشكوى بعد إطلاق سراحه، في جمهورية إيران الإسلامية. وخلال فترة اختبائه، أُرسل إلى منزله أمران بالمثول أمام محكمة الثورة في طهران. وبعد تلقي هذين الأمرين قرر الفر</w:t>
      </w:r>
      <w:r w:rsidR="00E61B85">
        <w:rPr>
          <w:rFonts w:hint="cs"/>
          <w:spacing w:val="0"/>
          <w:kern w:val="0"/>
          <w:rtl/>
          <w:lang w:val="fr-CH"/>
        </w:rPr>
        <w:t>ار من إيران. وقدَّم صاحب الشكوى</w:t>
      </w:r>
      <w:r w:rsidRPr="003E698F">
        <w:rPr>
          <w:rFonts w:hint="cs"/>
          <w:spacing w:val="0"/>
          <w:kern w:val="0"/>
          <w:rtl/>
          <w:lang w:val="fr-CH"/>
        </w:rPr>
        <w:t>، في 11 تشرين الأول/</w:t>
      </w:r>
      <w:r w:rsidR="003E698F">
        <w:rPr>
          <w:rFonts w:hint="cs"/>
          <w:spacing w:val="0"/>
          <w:kern w:val="0"/>
          <w:rtl/>
          <w:lang w:val="fr-CH"/>
        </w:rPr>
        <w:t xml:space="preserve"> </w:t>
      </w:r>
      <w:r w:rsidRPr="003E698F">
        <w:rPr>
          <w:rFonts w:hint="cs"/>
          <w:spacing w:val="0"/>
          <w:kern w:val="0"/>
          <w:rtl/>
          <w:lang w:val="fr-CH"/>
        </w:rPr>
        <w:t>أكتوبر</w:t>
      </w:r>
      <w:r w:rsidR="003E698F">
        <w:rPr>
          <w:rFonts w:hint="eastAsia"/>
          <w:spacing w:val="0"/>
          <w:kern w:val="0"/>
          <w:rtl/>
          <w:lang w:val="fr-CH"/>
        </w:rPr>
        <w:t> </w:t>
      </w:r>
      <w:r w:rsidRPr="003E698F">
        <w:rPr>
          <w:rFonts w:hint="cs"/>
          <w:spacing w:val="0"/>
          <w:kern w:val="0"/>
          <w:rtl/>
          <w:lang w:val="fr-CH"/>
        </w:rPr>
        <w:t>2003، طلب لجوء إلى النرويج.</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2-3</w:t>
      </w:r>
      <w:r w:rsidRPr="003E698F">
        <w:rPr>
          <w:rFonts w:hint="cs"/>
          <w:spacing w:val="0"/>
          <w:kern w:val="0"/>
          <w:sz w:val="20"/>
          <w:rtl/>
          <w:lang w:val="fr-CH"/>
        </w:rPr>
        <w:tab/>
        <w:t>ويشير صاحب الشكوى إلى أنه علم، عند وصوله إلى النرويج، أن محكمة الثورة في طهران حكمت عليه بالسجن غيابياً لمدة 5 سنوات، بتهمة تعاونه المزعوم مع "مجموعات معادية للثورة" و"نشر مقالات ضد الجمهورية الإسلامية". ويضيف أنه حصل، في وقت لاحق، عن طريق أقربائه في جمهورية إيران الإسلامية، على وثائق صادرة عن المحكمة تتعلق بالحكم الصادر بحقه، لدعم طلبه اللجوء إلى النرويج. وذكر صاحب الشكوى أن محكمة الثورة لا تسمح بالحصول على نسخ من الأحكام الصادرة عنها، ولذلك فإن أقرباءه اضطروا إلى دفع رشوة للحصول على الوثائق المذكورة.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2-4</w:t>
      </w:r>
      <w:r w:rsidRPr="003E698F">
        <w:rPr>
          <w:rFonts w:hint="cs"/>
          <w:spacing w:val="0"/>
          <w:kern w:val="0"/>
          <w:sz w:val="20"/>
          <w:rtl/>
          <w:lang w:val="fr-CH"/>
        </w:rPr>
        <w:tab/>
        <w:t>وفي 4 كانون الثاني/يناير 2006، قررت سلطات الهجرة النرويجية رفض طلب اللجوء الذي قدمه صاحب الشكوى. وفي 18 أيلول/سبتمبر 2006، أيد مجلس طعون الهجرة النرويجي قرار رفض طلب اللجوء الذي قدمه صاحب الشكوى. واستندت القرارات أساساً إلى أن سلطات الهجرة النرويجية ومجلس طعون الهجرة النرويجي خلصا إلى أن صاحب الشكوى لم يقدم أدلة تثبت تعرضه لخطر ملموس وفردي بالاضطهاد أو التعذيب أو سوء المعاملة في حال عودته إلى جمهورية إيران الإسلامية. ومع ذلك، ركزت الهيئتان بشكل خاص على تقرير تحقق أجرته السفارة النرويجية في طهران، مؤرخ 5 أيلول/سبتمبر 2004. وقد خلص تقرير التحقق إلى أن وثائق المحكمة التي قدمها صاحب الشكوى لإثبات الحكم عليه غيابياً بالسجن لمدة 5 سنوات، هي وثائق مزورة.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2-5</w:t>
      </w:r>
      <w:r w:rsidRPr="003E698F">
        <w:rPr>
          <w:rFonts w:hint="cs"/>
          <w:spacing w:val="0"/>
          <w:kern w:val="0"/>
          <w:sz w:val="20"/>
          <w:rtl/>
          <w:lang w:val="fr-CH"/>
        </w:rPr>
        <w:tab/>
        <w:t>وفي 19 تشرين الأول/أكتوبر 2006 طُلب من صاحب الشكوى مغادرة النرويج. واختبأ صاحب الشكوى لتجنب إلقاء القبض عليه وترحيله من جانب الشرطة.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2-6</w:t>
      </w:r>
      <w:r w:rsidRPr="003E698F">
        <w:rPr>
          <w:rFonts w:hint="cs"/>
          <w:spacing w:val="0"/>
          <w:kern w:val="0"/>
          <w:sz w:val="20"/>
          <w:rtl/>
          <w:lang w:val="fr-CH"/>
        </w:rPr>
        <w:tab/>
        <w:t>وواصل صاحب الشكوى ممارسة أنشطته الصحفية بعد وصوله إلى النرويج، واستمر في الكتابة على مدونتيه الإلكترونيتين اللتين كان ينشر فيهما مقالات تتضمن آراء انتقادية وتحريضية تتناول مواضيع سياسية ودينية، وتنتقد بصفة خاصة حكومة جمهورية إيران الإسلامية</w:t>
      </w:r>
      <w:r w:rsidRPr="003E698F">
        <w:rPr>
          <w:rFonts w:hint="cs"/>
          <w:spacing w:val="0"/>
          <w:kern w:val="0"/>
          <w:sz w:val="20"/>
          <w:rtl/>
        </w:rPr>
        <w:t xml:space="preserve">. وكان </w:t>
      </w:r>
      <w:r w:rsidRPr="003E698F">
        <w:rPr>
          <w:rFonts w:hint="cs"/>
          <w:spacing w:val="0"/>
          <w:kern w:val="0"/>
          <w:sz w:val="20"/>
          <w:rtl/>
          <w:lang w:val="fr-CH"/>
        </w:rPr>
        <w:t>صاحب الشكوى يستخدم اسمه الحقيقي في المقالات التي نشرها في المدونات الإلكترونية. وفضلاً عن ذلك، أجرى مقابلات مع صحيفة نرويجية محلية وكتب مقالات قصيرة لها. ويشير صاحب الشكوى إلى أن السلطات الإيرانية أغلقت مدونتيه الإلكترونيتين عندما كان في النرويج.</w:t>
      </w:r>
    </w:p>
    <w:p w:rsidR="00921F02" w:rsidRPr="00001F13" w:rsidRDefault="00921F02" w:rsidP="003E698F">
      <w:pPr>
        <w:pStyle w:val="SingleTxtGA"/>
        <w:jc w:val="lowKashida"/>
        <w:rPr>
          <w:rFonts w:hint="cs"/>
          <w:spacing w:val="-2"/>
          <w:kern w:val="0"/>
          <w:sz w:val="20"/>
          <w:rtl/>
          <w:lang w:val="fr-CH"/>
        </w:rPr>
      </w:pPr>
      <w:r w:rsidRPr="00001F13">
        <w:rPr>
          <w:rFonts w:hint="cs"/>
          <w:spacing w:val="-2"/>
          <w:kern w:val="0"/>
          <w:sz w:val="20"/>
          <w:rtl/>
          <w:lang w:val="fr-CH"/>
        </w:rPr>
        <w:t>2-7</w:t>
      </w:r>
      <w:r w:rsidRPr="00001F13">
        <w:rPr>
          <w:rFonts w:hint="cs"/>
          <w:spacing w:val="-2"/>
          <w:kern w:val="0"/>
          <w:sz w:val="20"/>
          <w:rtl/>
          <w:lang w:val="fr-CH"/>
        </w:rPr>
        <w:tab/>
        <w:t>وكان صاحب الشكوى يود لو أنه استطاع مواصلة قضيته المتعلقة باللجوء أمام المحاكم النرويجية، بعد أن رفضت سلطات الهجرة طلبه ا</w:t>
      </w:r>
      <w:r w:rsidR="00001F13" w:rsidRPr="00001F13">
        <w:rPr>
          <w:rFonts w:hint="cs"/>
          <w:spacing w:val="-2"/>
          <w:kern w:val="0"/>
          <w:sz w:val="20"/>
          <w:rtl/>
          <w:lang w:val="fr-CH"/>
        </w:rPr>
        <w:t>ل</w:t>
      </w:r>
      <w:r w:rsidRPr="00001F13">
        <w:rPr>
          <w:rFonts w:hint="cs"/>
          <w:spacing w:val="-2"/>
          <w:kern w:val="0"/>
          <w:sz w:val="20"/>
          <w:rtl/>
          <w:lang w:val="fr-CH"/>
        </w:rPr>
        <w:t>لجوء. فتقدم صاحب الشكوى بطلب للحصول على المساعدة القضائية بغية مواصلة قضيته أمام المحاكم. غير أن المقاطعة رفضت طلبه الحصول على المساعدة القضائية،</w:t>
      </w:r>
      <w:r w:rsidRPr="00001F13">
        <w:rPr>
          <w:rFonts w:hint="cs"/>
          <w:spacing w:val="-2"/>
          <w:kern w:val="0"/>
          <w:sz w:val="20"/>
          <w:rtl/>
        </w:rPr>
        <w:t xml:space="preserve"> في 7 كانون الأول/ديسمبر 2006، وأيدت محكمة الطعون الإدارية هذا القرار، في 26 كانون الثاني/يناير 2007. وبما أن </w:t>
      </w:r>
      <w:r w:rsidRPr="00001F13">
        <w:rPr>
          <w:rFonts w:hint="cs"/>
          <w:spacing w:val="-2"/>
          <w:kern w:val="0"/>
          <w:sz w:val="20"/>
          <w:rtl/>
          <w:lang w:val="fr-CH"/>
        </w:rPr>
        <w:t>صاحب الشكوى لم</w:t>
      </w:r>
      <w:r w:rsidR="003E698F" w:rsidRPr="00001F13">
        <w:rPr>
          <w:rFonts w:hint="eastAsia"/>
          <w:spacing w:val="-2"/>
          <w:kern w:val="0"/>
          <w:sz w:val="20"/>
          <w:rtl/>
          <w:lang w:val="fr-CH"/>
        </w:rPr>
        <w:t> </w:t>
      </w:r>
      <w:r w:rsidRPr="00001F13">
        <w:rPr>
          <w:rFonts w:hint="cs"/>
          <w:spacing w:val="-2"/>
          <w:kern w:val="0"/>
          <w:sz w:val="20"/>
          <w:rtl/>
          <w:lang w:val="fr-CH"/>
        </w:rPr>
        <w:t>يتمكن من مواصلة التماس سبل الانتصاف القضائية دون مساعدة قضائية، فإن حرمانه من المساعدة القضائية المجانية حال بالفعل دون تمكنه من متابعة قضيته أمام المحاكم النرويجية.</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الشكوى</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3-1</w:t>
      </w:r>
      <w:r w:rsidRPr="003E698F">
        <w:rPr>
          <w:rFonts w:hint="cs"/>
          <w:spacing w:val="0"/>
          <w:kern w:val="0"/>
          <w:sz w:val="20"/>
          <w:rtl/>
          <w:lang w:val="fr-CH"/>
        </w:rPr>
        <w:tab/>
        <w:t>يدعي صاحب الشكوى أن ترحيله إلى جمهورية إيران الإسلامية سيعرض حياته للخطر وأنه سيتعرض للسجن والتعذيب، وأن ذلك سيشكل انتهاكاً من جانب النرويج لأحكام المادة 3 من الاتفاقية. والبلاغ يستند إلى ممارسة صاحب الشكوى أنشطة صحفية عندما كان في إيران وكذلك إلى استمرار ممارسته هذه الأنشطة كصاحب مدونة إلكترونية وصحفي بعد وصوله إلى النرويج في عام 2003. ودعماً لهذا الادعاء، يشير صاحب الشكوى إلى أمري المثول أمام محكمة الثورة في طهران، وإلى الحكم الذي صدر غيابياً عن محكمة الثورة بسجنه لمدة 5 سنوات، ويشير إلى معاملة الصحفيين وحالة حقوق الإنسان الحالية الخطيرة في إيران، بشكل</w:t>
      </w:r>
      <w:r w:rsidRPr="003E698F">
        <w:rPr>
          <w:rFonts w:hint="eastAsia"/>
          <w:spacing w:val="0"/>
          <w:kern w:val="0"/>
          <w:sz w:val="20"/>
          <w:rtl/>
          <w:lang w:val="fr-CH"/>
        </w:rPr>
        <w:t> </w:t>
      </w:r>
      <w:r w:rsidRPr="003E698F">
        <w:rPr>
          <w:rFonts w:hint="cs"/>
          <w:spacing w:val="0"/>
          <w:kern w:val="0"/>
          <w:sz w:val="20"/>
          <w:rtl/>
          <w:lang w:val="fr-CH"/>
        </w:rPr>
        <w:t xml:space="preserve">عام. </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3-2</w:t>
      </w:r>
      <w:r w:rsidRPr="003E698F">
        <w:rPr>
          <w:rFonts w:hint="cs"/>
          <w:spacing w:val="0"/>
          <w:kern w:val="0"/>
          <w:sz w:val="20"/>
          <w:rtl/>
          <w:lang w:val="fr-CH"/>
        </w:rPr>
        <w:tab/>
        <w:t>ويدعي صاحب الشكوى أن سلطات اللجوء النرويجية لم تتبع الإجراءات القانونية الواجبة عند نظرها في قضية لجوئه لأنها لم تركز إلا على التحقق من الوثائق الصادرة عن محكمة الثورة في طهران. وفي هذا الصدد، يدعي صاحب الشكوى أن السلطات أعطت التزوير المزعوم لوثائق المحكمة التي قدمها دعماً لطلبه، وزناً غير متناسب، وأنها لم تجر أية تحقيقات أخرى في القضية. ويدعي أنه لا يملك القدرة على التحكم بمضمون وثيقة المحكمة التي تنص على الحكم عليه غيابياً، لأنه حصل عليها بواسطة أقاربه بعد وصوله إلى النرويج.</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3-3</w:t>
      </w:r>
      <w:r w:rsidRPr="003E698F">
        <w:rPr>
          <w:rFonts w:hint="cs"/>
          <w:spacing w:val="0"/>
          <w:kern w:val="0"/>
          <w:sz w:val="20"/>
          <w:rtl/>
          <w:lang w:val="fr-CH"/>
        </w:rPr>
        <w:tab/>
        <w:t>ويدعي صاحب الشكوى أيضاً أن أمري المثول أمام محكمة الثورة في إيران لا جدال فيهما، وأن عدم مثوله أمام محكمة الثورة بعد أن تلقى الأمرين هو في حد ذاته دليل على خطر تعرضه للاعتقال والتعذيب أو غيره من ضروب المعاملة أو العقوبة القاسية أو اللاإنسانية أو المهينة، في حال إعادته إلى جمهورية إيران الإسلامية.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3-4</w:t>
      </w:r>
      <w:r w:rsidRPr="003E698F">
        <w:rPr>
          <w:rFonts w:hint="cs"/>
          <w:spacing w:val="0"/>
          <w:kern w:val="0"/>
          <w:sz w:val="20"/>
          <w:rtl/>
          <w:lang w:val="fr-CH"/>
        </w:rPr>
        <w:tab/>
        <w:t>ووفقاً لصاحب الشكوى، فإن قضيته ليست موضع نظر من جانب أي إجراء دولي آخر للتحقيق أو التسوية وأنه قد استنفد جميع سبل الانتصاف المحلية.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3-5</w:t>
      </w:r>
      <w:r w:rsidRPr="003E698F">
        <w:rPr>
          <w:rFonts w:hint="cs"/>
          <w:spacing w:val="0"/>
          <w:kern w:val="0"/>
          <w:sz w:val="20"/>
          <w:rtl/>
          <w:lang w:val="fr-CH"/>
        </w:rPr>
        <w:tab/>
        <w:t>وقد طلب صاحب الشكوى في رسالته الأولى، المؤرخة 23 تشرين الأول/</w:t>
      </w:r>
      <w:r w:rsidR="003E698F">
        <w:rPr>
          <w:rFonts w:hint="cs"/>
          <w:spacing w:val="0"/>
          <w:kern w:val="0"/>
          <w:sz w:val="20"/>
          <w:rtl/>
          <w:lang w:val="fr-CH"/>
        </w:rPr>
        <w:t xml:space="preserve"> </w:t>
      </w:r>
      <w:r w:rsidRPr="003E698F">
        <w:rPr>
          <w:rFonts w:hint="cs"/>
          <w:spacing w:val="0"/>
          <w:kern w:val="0"/>
          <w:sz w:val="20"/>
          <w:rtl/>
          <w:lang w:val="fr-CH"/>
        </w:rPr>
        <w:t>أكتوبر</w:t>
      </w:r>
      <w:r w:rsidRPr="003E698F">
        <w:rPr>
          <w:rFonts w:hint="eastAsia"/>
          <w:spacing w:val="0"/>
          <w:kern w:val="0"/>
          <w:sz w:val="20"/>
          <w:rtl/>
          <w:lang w:val="fr-CH"/>
        </w:rPr>
        <w:t> </w:t>
      </w:r>
      <w:r w:rsidRPr="003E698F">
        <w:rPr>
          <w:rFonts w:hint="cs"/>
          <w:spacing w:val="0"/>
          <w:kern w:val="0"/>
          <w:sz w:val="20"/>
          <w:rtl/>
          <w:lang w:val="fr-CH"/>
        </w:rPr>
        <w:t>2006، اتخاذ تدابير مؤقتة، لكن اللجنة رفضت ذلك لأن صاحب الشكوى كان مختبئاً حين قدم الطلب.</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ملاحظات الدولة الطرف بشأن المقبولية والأسس الموضوعية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4-1</w:t>
      </w:r>
      <w:r w:rsidRPr="003E698F">
        <w:rPr>
          <w:rFonts w:hint="cs"/>
          <w:spacing w:val="0"/>
          <w:kern w:val="0"/>
          <w:sz w:val="20"/>
          <w:rtl/>
          <w:lang w:val="fr-CH"/>
        </w:rPr>
        <w:tab/>
        <w:t xml:space="preserve">في 16 تشرين الأول/أكتوبر 2007، اعترضت الدولة الطرف على مقبولية الشكوى لعدم إثبات ادعاءات صاحب الشكوى ولو بالقرائن، بموجب المادة 3 من الاتفاقية. وذكرت أنه ينبغي اعتبار الشكوى غير مقبولة بموجب الفقرة 2 من المادة 22 من الاتفاقية، لأن من الواضح أنها لا تقوم على أي أساس. </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4-2</w:t>
      </w:r>
      <w:r w:rsidRPr="003E698F">
        <w:rPr>
          <w:rFonts w:hint="cs"/>
          <w:spacing w:val="0"/>
          <w:kern w:val="0"/>
          <w:sz w:val="20"/>
          <w:rtl/>
          <w:lang w:val="fr-CH"/>
        </w:rPr>
        <w:tab/>
        <w:t>وفيما يتعلق باستنفاد سبل الانتصاف المحلية، فإن الدولة الطرف لا تدعي أن صاحب الشكوى لم يستنفد سبل الانتصاف المحلية، لأنه استنفد جميع سبل الانتصاف الإدارية وأن طلبه الحصول على المساعدة القضائية قد رفض، مما حال فعلاً دون مواصلته اللجوء إلى سبل الانتصاف القضائية أمام المحاكم النرويجية. وتشير الدولة الطرف إلى السوابق القضائية للجنة فيما يتعلق باستنفاد سبل الانتصاف المحلية في حال عدم تقديم المساعدة القضائية</w:t>
      </w:r>
      <w:r w:rsidRPr="003E698F">
        <w:rPr>
          <w:spacing w:val="0"/>
          <w:kern w:val="0"/>
          <w:sz w:val="20"/>
          <w:vertAlign w:val="superscript"/>
          <w:rtl/>
          <w:lang w:val="fr-CH"/>
        </w:rPr>
        <w:t>(</w:t>
      </w:r>
      <w:r w:rsidRPr="003E698F">
        <w:rPr>
          <w:rStyle w:val="FootnoteReference"/>
          <w:spacing w:val="0"/>
          <w:sz w:val="20"/>
          <w:rtl/>
          <w:lang w:val="fr-CH"/>
        </w:rPr>
        <w:footnoteReference w:id="143"/>
      </w:r>
      <w:r w:rsidRPr="003E698F">
        <w:rPr>
          <w:spacing w:val="0"/>
          <w:kern w:val="0"/>
          <w:sz w:val="20"/>
          <w:vertAlign w:val="superscript"/>
          <w:rtl/>
          <w:lang w:val="fr-CH"/>
        </w:rPr>
        <w:t>)</w:t>
      </w:r>
      <w:r w:rsidRPr="003E698F">
        <w:rPr>
          <w:rFonts w:hint="cs"/>
          <w:spacing w:val="0"/>
          <w:kern w:val="0"/>
          <w:sz w:val="20"/>
          <w:rtl/>
          <w:lang w:val="fr-CH"/>
        </w:rPr>
        <w:t>.</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4-3</w:t>
      </w:r>
      <w:r w:rsidRPr="003E698F">
        <w:rPr>
          <w:rFonts w:hint="cs"/>
          <w:spacing w:val="0"/>
          <w:kern w:val="0"/>
          <w:sz w:val="20"/>
          <w:rtl/>
          <w:lang w:val="fr-CH"/>
        </w:rPr>
        <w:tab/>
        <w:t>وتدفع الدولة الطرف بأن وجود أنماط مستمرة من انتهاكات جسيمة وصارخة وشاملة لحقوق الإنسان في دولة ما لا يشكل، في حد ذاته، سبباً كافياً لكي تقرر اللجنة أن شخصاً بعينه سيواجه خطر التعرض للتعذيب لدى عودته إلى ذلك البلد، وتذكّر بالسوابق القضائية للجنة في هذا الصدد</w:t>
      </w:r>
      <w:r w:rsidRPr="003E698F">
        <w:rPr>
          <w:spacing w:val="0"/>
          <w:kern w:val="0"/>
          <w:sz w:val="20"/>
          <w:vertAlign w:val="superscript"/>
          <w:rtl/>
          <w:lang w:val="fr-CH"/>
        </w:rPr>
        <w:t>(</w:t>
      </w:r>
      <w:r w:rsidRPr="003E698F">
        <w:rPr>
          <w:rStyle w:val="FootnoteReference"/>
          <w:spacing w:val="0"/>
          <w:sz w:val="20"/>
          <w:rtl/>
          <w:lang w:val="fr-CH"/>
        </w:rPr>
        <w:footnoteReference w:id="144"/>
      </w:r>
      <w:r w:rsidRPr="003E698F">
        <w:rPr>
          <w:spacing w:val="0"/>
          <w:kern w:val="0"/>
          <w:sz w:val="20"/>
          <w:vertAlign w:val="superscript"/>
          <w:rtl/>
          <w:lang w:val="fr-CH"/>
        </w:rPr>
        <w:t>)</w:t>
      </w:r>
      <w:r w:rsidRPr="003E698F">
        <w:rPr>
          <w:rFonts w:hint="cs"/>
          <w:spacing w:val="0"/>
          <w:kern w:val="0"/>
          <w:sz w:val="20"/>
          <w:rtl/>
          <w:lang w:val="fr-CH"/>
        </w:rPr>
        <w:t>.</w:t>
      </w:r>
      <w:r w:rsidRPr="003E698F">
        <w:rPr>
          <w:rFonts w:hint="cs"/>
          <w:spacing w:val="0"/>
          <w:kern w:val="0"/>
          <w:sz w:val="20"/>
          <w:rtl/>
          <w:lang/>
        </w:rPr>
        <w:t xml:space="preserve"> ويجب أن تكون هناك أسباب إضافية تبرر الاعتقاد بأن الفرد المعني سوف يواجه شخصياً خطر التعرض للتعذيب</w:t>
      </w:r>
      <w:r w:rsidRPr="003E698F">
        <w:rPr>
          <w:rFonts w:hint="cs"/>
          <w:spacing w:val="0"/>
          <w:kern w:val="0"/>
          <w:sz w:val="20"/>
          <w:rtl/>
          <w:lang w:val="fr-CH"/>
        </w:rPr>
        <w:t xml:space="preserve"> . وفيما يتعلق بحالة حقوق الإنسان الراهنة في جمهورية إيران الإسلامية، تعترف الدولة الطرف بأن الصحفيين وغيرهم من ممثلي وسائط الإعلام في البلد يعملون في ظروف سيئة بوجه عام.</w:t>
      </w:r>
    </w:p>
    <w:p w:rsidR="00921F02" w:rsidRPr="003E698F" w:rsidRDefault="00921F02" w:rsidP="003E698F">
      <w:pPr>
        <w:pStyle w:val="SingleTxtGA"/>
        <w:jc w:val="lowKashida"/>
        <w:rPr>
          <w:rFonts w:hint="cs"/>
          <w:spacing w:val="0"/>
          <w:kern w:val="0"/>
          <w:sz w:val="20"/>
          <w:rtl/>
          <w:lang w:val="fr-CH"/>
        </w:rPr>
      </w:pPr>
      <w:r w:rsidRPr="003E698F">
        <w:rPr>
          <w:rFonts w:hint="cs"/>
          <w:spacing w:val="0"/>
          <w:kern w:val="0"/>
          <w:sz w:val="20"/>
          <w:rtl/>
          <w:lang w:val="fr-CH"/>
        </w:rPr>
        <w:t>4-4</w:t>
      </w:r>
      <w:r w:rsidRPr="003E698F">
        <w:rPr>
          <w:rFonts w:hint="cs"/>
          <w:spacing w:val="0"/>
          <w:kern w:val="0"/>
          <w:sz w:val="20"/>
          <w:rtl/>
          <w:lang w:val="fr-CH"/>
        </w:rPr>
        <w:tab/>
        <w:t>ومع ذلك، تشير الدولة الطرف إلى أنها ترى أن صاحب الشكوى لم يقدم أية وقائع يمكن التعويل عليها لدعم ادعائه بأنه سيكون معرضاً لخطر شخصي يمكن توقعه بالملاحقة أو</w:t>
      </w:r>
      <w:r w:rsidR="003E698F">
        <w:rPr>
          <w:rFonts w:hint="eastAsia"/>
          <w:spacing w:val="0"/>
          <w:kern w:val="0"/>
          <w:sz w:val="20"/>
          <w:rtl/>
          <w:lang w:val="fr-CH"/>
        </w:rPr>
        <w:t> </w:t>
      </w:r>
      <w:r w:rsidRPr="003E698F">
        <w:rPr>
          <w:rFonts w:hint="cs"/>
          <w:spacing w:val="0"/>
          <w:kern w:val="0"/>
          <w:sz w:val="20"/>
          <w:rtl/>
          <w:lang w:val="fr-CH"/>
        </w:rPr>
        <w:t>التعذيب أو سوء المعاملة عند عودته إلى جمهورية إيران الإسلامية. وفي هذا الصدد، تكرر الدولة الطرف الآراء التي اعتمدها مجلس طعون الهجرة النرويجي وكذلك سلطات الهجرة النرويجية، بأن الصحفيين وغيرهم من ممثلي وسائط الإعلام في إيران يعملون في ظروف سيئة، غير أن صاحب الشكوى لم يمارس أنشطة صحفية ذات طبيعة أو نطاق تجعل السلطات تواصل اهتمامها به، وتعرضه لخطر شخصي متوقع. وتدعي الدولة الطرف أن الأنشطة الصحفية التي اضطلع بها صاحب الشكوى، وذلك حتى بعد وصوله إلى النرويج، لم تكن أنشطة تؤدي إلى تعرضه لمراقبة السلطات الإيرانية، لأن هذه الأخيرة مشغولة بالدرجة الأولى بمراقبة أنشطة الإيرانيين في المهجر التي قد تشكل خطراً ملموساً على</w:t>
      </w:r>
      <w:r w:rsidRPr="003E698F">
        <w:rPr>
          <w:rFonts w:hint="eastAsia"/>
          <w:spacing w:val="0"/>
          <w:kern w:val="0"/>
          <w:sz w:val="20"/>
          <w:rtl/>
          <w:lang w:val="fr-CH"/>
        </w:rPr>
        <w:t> </w:t>
      </w:r>
      <w:r w:rsidRPr="003E698F">
        <w:rPr>
          <w:rFonts w:hint="cs"/>
          <w:spacing w:val="0"/>
          <w:kern w:val="0"/>
          <w:sz w:val="20"/>
          <w:rtl/>
          <w:lang w:val="fr-CH"/>
        </w:rPr>
        <w:t>النظام.</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4-5</w:t>
      </w:r>
      <w:r w:rsidRPr="003E698F">
        <w:rPr>
          <w:rFonts w:hint="cs"/>
          <w:spacing w:val="0"/>
          <w:kern w:val="0"/>
          <w:sz w:val="20"/>
          <w:rtl/>
          <w:lang w:val="fr-CH"/>
        </w:rPr>
        <w:tab/>
        <w:t xml:space="preserve">وفيما يتعلق بـادعاء صاحب الشكوى أن محكمة الثورة في طهران حكمت عليه غيابياً بالسجن لمدة خمس سنوات، وبأنه سيسجن على الأرجح ويتعرض للتعذيب في حال إعادته إلى جمهورية إيران الإسلامية، تدعي الدولة الطرف أن سفارة النرويج في طهران خلصت إلى أن الوثائق التي قدمها صاحب الشكوى لدعم قضيته مزورة. وقامت سفارة النرويج في طهران بالتحقق من تلك الوثائق وقدمت تقرير التحقق إلى صاحب الشكوى بواسطة محاميه لكي يبدي تعليقاته. وتلاحظ الدولة الطرف أن صاحب الشكوى اعترض على تقرير التحقق وادعى صحة وثائق المحكمة. ومع ذلك، خلصت السلطات إلى أن صاحب الشكوى لم يقدم أية حجج تدعم شكوكه في عملية التحقق. وتعتبر الدولة الطرف أن الوثائق الأساسية في هذه القضية مزورة؛ وبالتالي فإنها تشكك في مصداقية وإمكانية التعويل على الوثائق التي قدمها صاحب الشكوى برمتها. </w:t>
      </w:r>
    </w:p>
    <w:p w:rsidR="00921F02" w:rsidRPr="003E698F" w:rsidRDefault="00921F02" w:rsidP="00921F02">
      <w:pPr>
        <w:pStyle w:val="SingleTxtGA"/>
        <w:jc w:val="lowKashida"/>
        <w:rPr>
          <w:rFonts w:hint="cs"/>
          <w:spacing w:val="-2"/>
          <w:kern w:val="0"/>
          <w:sz w:val="20"/>
          <w:rtl/>
          <w:lang w:val="fr-CH"/>
        </w:rPr>
      </w:pPr>
      <w:r w:rsidRPr="003E698F">
        <w:rPr>
          <w:rFonts w:hint="cs"/>
          <w:spacing w:val="-2"/>
          <w:kern w:val="0"/>
          <w:sz w:val="20"/>
          <w:rtl/>
          <w:lang w:val="fr-CH"/>
        </w:rPr>
        <w:t>4-6</w:t>
      </w:r>
      <w:r w:rsidRPr="003E698F">
        <w:rPr>
          <w:rFonts w:hint="cs"/>
          <w:spacing w:val="-2"/>
          <w:kern w:val="0"/>
          <w:sz w:val="20"/>
          <w:rtl/>
          <w:lang w:val="fr-CH"/>
        </w:rPr>
        <w:tab/>
        <w:t>وفي رسالة مؤرخة 2 كانون الأول/ديسمبر 2008، أعلمت الدولة الطرف اللجنة أن مجلس طعون الهجرة النرويجي رفض في 5 تشرين الثاني/نوفمبر 2008 طلب صاحب الشكوى إعادة فتح ملف قضيته، المؤرخة 2 كانون الثاني/يناير 2007، بالاستناد إلى عدم تقديم معلومات جديدة تسمح بإجراء تقييم مختلف عن التقييم الذي أجراه المجلس في قراراته السابقة. وأعلمت الدولة الطرف اللجنة أيضاً أن صاحب الشكوى لديه عنوان مسجل في النرويج اعتباراً من 20 تشرين الثاني/نوفمبر 2007، وبذلك فإنه لم يعد مختبئاً منذ ذلك التاريخ.</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ملاحظات صاحب الشكوى</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5-1</w:t>
      </w:r>
      <w:r w:rsidRPr="003E698F">
        <w:rPr>
          <w:rFonts w:hint="cs"/>
          <w:spacing w:val="0"/>
          <w:kern w:val="0"/>
          <w:sz w:val="20"/>
          <w:rtl/>
          <w:lang w:val="fr-CH"/>
        </w:rPr>
        <w:tab/>
        <w:t>في 18 نيسان/أبريل 2009، حاول صاحب الشكوى دحض الملاحظات التي قدمتها الدولة الطرف. واحتج بأن وثائق المحكمة التي قدمها لدعم طلبه اللجوء وثائق صحيحة، وأن الدولة الطرف لم تنظر على النحو الواجب في الرسائل التي قدمها محاميه السابق بشأن صحة الوثائق.</w:t>
      </w:r>
    </w:p>
    <w:p w:rsidR="00921F02" w:rsidRPr="003E698F" w:rsidRDefault="00921F02" w:rsidP="003E698F">
      <w:pPr>
        <w:pStyle w:val="SingleTxtGA"/>
        <w:jc w:val="lowKashida"/>
        <w:rPr>
          <w:rFonts w:hint="cs"/>
          <w:spacing w:val="0"/>
          <w:kern w:val="0"/>
          <w:sz w:val="20"/>
          <w:rtl/>
          <w:lang w:val="fr-CH"/>
        </w:rPr>
      </w:pPr>
      <w:r w:rsidRPr="003E698F">
        <w:rPr>
          <w:rFonts w:hint="cs"/>
          <w:spacing w:val="0"/>
          <w:kern w:val="0"/>
          <w:sz w:val="20"/>
          <w:rtl/>
          <w:lang w:val="fr-CH"/>
        </w:rPr>
        <w:t>5-2</w:t>
      </w:r>
      <w:r w:rsidRPr="003E698F">
        <w:rPr>
          <w:rFonts w:hint="cs"/>
          <w:spacing w:val="0"/>
          <w:kern w:val="0"/>
          <w:sz w:val="20"/>
          <w:rtl/>
          <w:lang w:val="fr-CH"/>
        </w:rPr>
        <w:tab/>
        <w:t>ويقدم صاحب الشكوى وثائق أخرى عن أنشطته الصحفية وذلك في كل من جمهورية إيران الإسلامية والنرويج، تتضمن مقالات كتبها عن موضوع الدين والسياسة في إيران، ووقعها باستخدام اسمه الحقيقي، ونشرها على الإنترنت وفي الصحف. ويحتج صاحب الشكوى بأن مضمون وطبيعة مقالاته و</w:t>
      </w:r>
      <w:r w:rsidR="003E698F">
        <w:rPr>
          <w:rFonts w:hint="cs"/>
          <w:spacing w:val="0"/>
          <w:kern w:val="0"/>
          <w:sz w:val="20"/>
          <w:rtl/>
          <w:lang w:val="fr-CH"/>
        </w:rPr>
        <w:t>الإ</w:t>
      </w:r>
      <w:r w:rsidRPr="003E698F">
        <w:rPr>
          <w:rFonts w:hint="cs"/>
          <w:spacing w:val="0"/>
          <w:kern w:val="0"/>
          <w:sz w:val="20"/>
          <w:rtl/>
          <w:lang w:val="fr-CH"/>
        </w:rPr>
        <w:t>يديولوجيا التي تعكسها، تعتبر خطيرة بما يكفي لجعل السلطات الإيرانية تضطهد شخصاً ما وتسجنه وتعذبه. ويذكِّر بأن السلطات الإيرانية أغلقت وحجبت مدونتيه الإلكترونيتين على الإنترنت بعد أن فرَّ إلى النرويج.</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5-3</w:t>
      </w:r>
      <w:r w:rsidRPr="003E698F">
        <w:rPr>
          <w:rFonts w:hint="cs"/>
          <w:spacing w:val="0"/>
          <w:kern w:val="0"/>
          <w:sz w:val="20"/>
          <w:rtl/>
          <w:lang w:val="fr-CH"/>
        </w:rPr>
        <w:tab/>
        <w:t>وأخيراً، يوجه صاحب الشكوى الانتباه إلى تزايد خطورة حالة حقوق الإنسان في جمهورية إيران الإسلامية في الوقت الراهن، مع التركيز بصفة خاصة على اعتقال وتعذيب وقتل الصحفيين وأصحاب المدونات الإلكترونية والأشخاص ذوي النشاط السياسي الذين ينتقدون الحكومة. ويرى صاحب الشكوى أن الحالة الراهنة في إيران ستؤدي، بلا شك، إلى اضطهاده في حال ترحيله إلى البلد.</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المسائل والإجراءات المعروضة على اللجنة</w:t>
      </w:r>
    </w:p>
    <w:p w:rsidR="00921F02" w:rsidRPr="003E698F" w:rsidRDefault="00921F02" w:rsidP="00921F02">
      <w:pPr>
        <w:pStyle w:val="H4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النظر في المقبولية</w:t>
      </w:r>
    </w:p>
    <w:p w:rsidR="00921F02" w:rsidRPr="003E698F" w:rsidRDefault="00921F02" w:rsidP="003A2D39">
      <w:pPr>
        <w:pStyle w:val="SingleTxtGA"/>
        <w:spacing w:line="360" w:lineRule="exact"/>
        <w:jc w:val="lowKashida"/>
        <w:rPr>
          <w:rFonts w:hint="cs"/>
          <w:spacing w:val="0"/>
          <w:kern w:val="0"/>
          <w:sz w:val="20"/>
          <w:rtl/>
          <w:lang w:val="fr-CH"/>
        </w:rPr>
      </w:pPr>
      <w:r w:rsidRPr="003E698F">
        <w:rPr>
          <w:rFonts w:hint="cs"/>
          <w:spacing w:val="0"/>
          <w:kern w:val="0"/>
          <w:sz w:val="20"/>
          <w:rtl/>
          <w:lang w:val="fr-CH"/>
        </w:rPr>
        <w:t>6-1</w:t>
      </w:r>
      <w:r w:rsidRPr="003E698F">
        <w:rPr>
          <w:rFonts w:hint="cs"/>
          <w:spacing w:val="0"/>
          <w:kern w:val="0"/>
          <w:sz w:val="20"/>
          <w:rtl/>
          <w:lang w:val="fr-CH"/>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لجنة مناهضة التعذيب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3E698F">
        <w:rPr>
          <w:rFonts w:hint="cs"/>
          <w:spacing w:val="0"/>
          <w:kern w:val="0"/>
          <w:sz w:val="20"/>
          <w:rtl/>
          <w:lang w:val="fr-CH"/>
        </w:rPr>
        <w:t xml:space="preserve"> بموجب المادة 22 من الاتفاقية. وقد تأكدت اللجنة، وفقاً للفقرة</w:t>
      </w:r>
      <w:r w:rsidRPr="003E698F">
        <w:rPr>
          <w:rFonts w:hint="eastAsia"/>
          <w:spacing w:val="0"/>
          <w:kern w:val="0"/>
          <w:sz w:val="20"/>
          <w:rtl/>
          <w:lang w:val="fr-CH"/>
        </w:rPr>
        <w:t> </w:t>
      </w:r>
      <w:r w:rsidRPr="003E698F">
        <w:rPr>
          <w:rFonts w:hint="cs"/>
          <w:spacing w:val="0"/>
          <w:kern w:val="0"/>
          <w:sz w:val="20"/>
          <w:rtl/>
          <w:lang w:val="fr-CH"/>
        </w:rPr>
        <w:t>5(أ) من المادة 22 من الاتفاقية، من أن المسألة ذاتها لم تُبحث ولا يجري بحثها في إطار أي إجراء آخر من إجراءات التحقيق الدولي أو التسوية الدولية.</w:t>
      </w:r>
    </w:p>
    <w:p w:rsidR="00921F02" w:rsidRPr="003E698F" w:rsidRDefault="00921F02" w:rsidP="003E698F">
      <w:pPr>
        <w:pStyle w:val="SingleTxtGA"/>
        <w:spacing w:line="360" w:lineRule="exact"/>
        <w:jc w:val="lowKashida"/>
        <w:rPr>
          <w:rFonts w:hint="cs"/>
          <w:spacing w:val="0"/>
          <w:kern w:val="0"/>
          <w:sz w:val="20"/>
          <w:rtl/>
          <w:lang w:val="fr-CH"/>
        </w:rPr>
      </w:pPr>
      <w:r w:rsidRPr="003E698F">
        <w:rPr>
          <w:rFonts w:hint="cs"/>
          <w:spacing w:val="0"/>
          <w:kern w:val="0"/>
          <w:sz w:val="20"/>
          <w:rtl/>
          <w:lang w:val="fr-CH"/>
        </w:rPr>
        <w:t>6-2</w:t>
      </w:r>
      <w:r w:rsidRPr="003E698F">
        <w:rPr>
          <w:rFonts w:hint="cs"/>
          <w:spacing w:val="0"/>
          <w:kern w:val="0"/>
          <w:sz w:val="20"/>
          <w:rtl/>
          <w:lang w:val="fr-CH"/>
        </w:rPr>
        <w:tab/>
        <w:t>ووفقاً للفقرة 5(ب) من المادة 22 من الاتفاقية، لا تنظر اللجنة في أي شكوى إلا إذا تحققت من أن صاحبها قد استنفد جميع سبل الانتصاف المحلية المتاحة؛ ولا ينطبق هذا الحكم عندما يستغرق تطبيق هذه السبل وقتاً طويلاً يتجاوز الحد المعقول، أو كان من غير المحتمل أن يحقق إنصافاً فعالاً للفرد المدعى أنه ضحية.</w:t>
      </w:r>
    </w:p>
    <w:p w:rsidR="00921F02" w:rsidRPr="003E698F" w:rsidRDefault="00921F02" w:rsidP="00503CA2">
      <w:pPr>
        <w:pStyle w:val="SingleTxtGA"/>
        <w:spacing w:line="360" w:lineRule="exact"/>
        <w:jc w:val="lowKashida"/>
        <w:rPr>
          <w:rFonts w:hint="cs"/>
          <w:spacing w:val="0"/>
          <w:kern w:val="0"/>
          <w:sz w:val="20"/>
          <w:rtl/>
          <w:lang w:val="fr-CH"/>
        </w:rPr>
      </w:pPr>
      <w:r w:rsidRPr="003E698F">
        <w:rPr>
          <w:rFonts w:hint="cs"/>
          <w:spacing w:val="0"/>
          <w:kern w:val="0"/>
          <w:sz w:val="20"/>
          <w:rtl/>
          <w:lang w:val="fr-CH"/>
        </w:rPr>
        <w:t>6-3</w:t>
      </w:r>
      <w:r w:rsidRPr="003E698F">
        <w:rPr>
          <w:rFonts w:hint="cs"/>
          <w:spacing w:val="0"/>
          <w:kern w:val="0"/>
          <w:sz w:val="20"/>
          <w:rtl/>
          <w:lang w:val="fr-CH"/>
        </w:rPr>
        <w:tab/>
        <w:t xml:space="preserve">وتحيط اللجنة علماً بأن صاحب الشكوى قد استنفد جميع سبل الانتصاف الإدارية. وتحيط اللجنة علماً بأن صاحب الشكوى قد حُرم من المساعدة القضائية المقدمة من المقاطعة، وذلك بموجب القرار </w:t>
      </w:r>
      <w:r w:rsidRPr="003E698F">
        <w:rPr>
          <w:rFonts w:hint="cs"/>
          <w:spacing w:val="0"/>
          <w:kern w:val="0"/>
          <w:sz w:val="20"/>
          <w:rtl/>
        </w:rPr>
        <w:t>المؤرخ 7 كانون الأول/ديسمبر 2006، وقد أيدت هذا القرار محكمة</w:t>
      </w:r>
      <w:r w:rsidR="00503CA2">
        <w:rPr>
          <w:rFonts w:hint="eastAsia"/>
          <w:spacing w:val="0"/>
          <w:kern w:val="0"/>
          <w:sz w:val="20"/>
          <w:rtl/>
        </w:rPr>
        <w:t> </w:t>
      </w:r>
      <w:r w:rsidRPr="003E698F">
        <w:rPr>
          <w:rFonts w:hint="cs"/>
          <w:spacing w:val="0"/>
          <w:kern w:val="0"/>
          <w:sz w:val="20"/>
          <w:rtl/>
        </w:rPr>
        <w:t>الطعون الإدارية، بعد تقديم الطعن الإداري في قرارها الصادر في 26 كانون الثاني/</w:t>
      </w:r>
      <w:r w:rsidR="00503CA2">
        <w:rPr>
          <w:rFonts w:hint="cs"/>
          <w:spacing w:val="0"/>
          <w:kern w:val="0"/>
          <w:sz w:val="20"/>
          <w:rtl/>
        </w:rPr>
        <w:t xml:space="preserve"> </w:t>
      </w:r>
      <w:r w:rsidRPr="003E698F">
        <w:rPr>
          <w:rFonts w:hint="cs"/>
          <w:spacing w:val="0"/>
          <w:kern w:val="0"/>
          <w:sz w:val="20"/>
          <w:rtl/>
        </w:rPr>
        <w:t xml:space="preserve">يناير 2007. وترى اللجنة أنه بالاستناد إلى أن </w:t>
      </w:r>
      <w:r w:rsidRPr="003E698F">
        <w:rPr>
          <w:rFonts w:hint="cs"/>
          <w:spacing w:val="0"/>
          <w:kern w:val="0"/>
          <w:sz w:val="20"/>
          <w:rtl/>
          <w:lang w:val="fr-CH"/>
        </w:rPr>
        <w:t>صاحب الشكوى لم يكن قادراً على مواصلة اللجوء إلى سبل الانتصاف القضائية دون مساعدة قضائية، فإن حرمانه من المساعدة القضائية المجانية يؤدي فعلاً إلى عدم إتاحة المراجعة القضائية، وبناء على ذلك، يجب اعتبار أن صاحب الشكوى قد استنفد جميع سبل الانتصاف المحلية المتاحة</w:t>
      </w:r>
      <w:r w:rsidRPr="003E698F">
        <w:rPr>
          <w:spacing w:val="0"/>
          <w:kern w:val="0"/>
          <w:sz w:val="20"/>
          <w:vertAlign w:val="superscript"/>
          <w:rtl/>
          <w:lang w:val="fr-CH"/>
        </w:rPr>
        <w:t>(</w:t>
      </w:r>
      <w:r w:rsidRPr="003E698F">
        <w:rPr>
          <w:rStyle w:val="FootnoteReference"/>
          <w:spacing w:val="0"/>
          <w:sz w:val="20"/>
          <w:rtl/>
          <w:lang w:val="fr-CH"/>
        </w:rPr>
        <w:footnoteReference w:id="145"/>
      </w:r>
      <w:r w:rsidRPr="003E698F">
        <w:rPr>
          <w:spacing w:val="0"/>
          <w:kern w:val="0"/>
          <w:sz w:val="20"/>
          <w:vertAlign w:val="superscript"/>
          <w:rtl/>
          <w:lang w:val="fr-CH"/>
        </w:rPr>
        <w:t>)</w:t>
      </w:r>
      <w:r w:rsidRPr="003E698F">
        <w:rPr>
          <w:rFonts w:hint="cs"/>
          <w:spacing w:val="0"/>
          <w:kern w:val="0"/>
          <w:sz w:val="20"/>
          <w:rtl/>
          <w:lang w:val="fr-CH"/>
        </w:rPr>
        <w:t>.</w:t>
      </w:r>
    </w:p>
    <w:p w:rsidR="00921F02" w:rsidRPr="003E698F" w:rsidRDefault="00921F02" w:rsidP="003E698F">
      <w:pPr>
        <w:pStyle w:val="SingleTxtGA"/>
        <w:spacing w:line="360" w:lineRule="exact"/>
        <w:jc w:val="lowKashida"/>
        <w:rPr>
          <w:rFonts w:hint="cs"/>
          <w:spacing w:val="0"/>
          <w:kern w:val="0"/>
          <w:sz w:val="20"/>
          <w:rtl/>
          <w:lang w:val="fr-CH"/>
        </w:rPr>
      </w:pPr>
      <w:r w:rsidRPr="003E698F">
        <w:rPr>
          <w:rFonts w:hint="cs"/>
          <w:spacing w:val="0"/>
          <w:kern w:val="0"/>
          <w:sz w:val="20"/>
          <w:rtl/>
          <w:lang w:val="fr-CH"/>
        </w:rPr>
        <w:t>6-4</w:t>
      </w:r>
      <w:r w:rsidRPr="003E698F">
        <w:rPr>
          <w:rFonts w:hint="cs"/>
          <w:spacing w:val="0"/>
          <w:kern w:val="0"/>
          <w:sz w:val="20"/>
          <w:rtl/>
          <w:lang w:val="fr-CH"/>
        </w:rPr>
        <w:tab/>
        <w:t xml:space="preserve">وتحيط اللجنة علماً بحجة الدولة الطرف بأنه ينبغي اعتبار البلاغ غير مقبول لأن من الواضح أنه لا يقوم على أي أساس. غير أن اللجنة ترى أن البلاغ يثير مسائل موضوعية في إطار المادة 3 من الاتفاقية ينبغي النظر في أسسها الموضوعية. ولذلك فقد خلصت اللجنة إلى مقبولية البلاغ. </w:t>
      </w:r>
    </w:p>
    <w:p w:rsidR="00921F02" w:rsidRPr="003E698F" w:rsidRDefault="00921F02" w:rsidP="00921F02">
      <w:pPr>
        <w:pStyle w:val="H4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النظر في الأسس الموضوعية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7-1</w:t>
      </w:r>
      <w:r w:rsidRPr="003E698F">
        <w:rPr>
          <w:rFonts w:hint="cs"/>
          <w:spacing w:val="0"/>
          <w:kern w:val="0"/>
          <w:sz w:val="20"/>
          <w:rtl/>
          <w:lang w:val="fr-CH"/>
        </w:rPr>
        <w:tab/>
        <w:t>ينبغي للجنة أن تحدد ما إذا كانت الإعادة القسرية لصاحب الشكوى إلى جمهورية إيران الإسلامية ستنتهك التزامات الدولة الطرف بموجب الفقرة 1 من المادة 3 من الاتفاقية بعدم طرد أي شخص أو إعادته ("رده") أو تسليمه إلى دولة أخرى، إذا توافرت لديها أسباب حقيقية تدعو إلى الاعتقاد بأنه سيكون معرضا لخطر التعرض للتعذيب.</w:t>
      </w:r>
    </w:p>
    <w:p w:rsidR="00921F02" w:rsidRPr="003E698F" w:rsidRDefault="00921F02" w:rsidP="004930E5">
      <w:pPr>
        <w:pStyle w:val="SingleTxtGA"/>
        <w:jc w:val="lowKashida"/>
        <w:rPr>
          <w:rFonts w:hint="cs"/>
          <w:spacing w:val="0"/>
          <w:kern w:val="0"/>
          <w:sz w:val="20"/>
          <w:rtl/>
          <w:lang w:val="fr-CH"/>
        </w:rPr>
      </w:pPr>
      <w:r w:rsidRPr="003E698F">
        <w:rPr>
          <w:rFonts w:hint="cs"/>
          <w:spacing w:val="0"/>
          <w:kern w:val="0"/>
          <w:sz w:val="20"/>
          <w:rtl/>
          <w:lang w:val="fr-CH"/>
        </w:rPr>
        <w:t>7-2</w:t>
      </w:r>
      <w:r w:rsidRPr="003E698F">
        <w:rPr>
          <w:rFonts w:hint="cs"/>
          <w:spacing w:val="0"/>
          <w:kern w:val="0"/>
          <w:sz w:val="20"/>
          <w:rtl/>
          <w:lang w:val="fr-CH"/>
        </w:rPr>
        <w:tab/>
        <w:t>وتذكِّر اللجنة بتعليقها العام رقم 1(1996) بشأن تنفيذ المادة 3 من الاتفاقية</w:t>
      </w:r>
      <w:r w:rsidRPr="003E698F">
        <w:rPr>
          <w:spacing w:val="0"/>
          <w:kern w:val="0"/>
          <w:sz w:val="20"/>
          <w:vertAlign w:val="superscript"/>
          <w:rtl/>
          <w:lang w:val="fr-CH"/>
        </w:rPr>
        <w:t>(</w:t>
      </w:r>
      <w:r w:rsidRPr="003E698F">
        <w:rPr>
          <w:rStyle w:val="FootnoteReference"/>
          <w:spacing w:val="0"/>
          <w:sz w:val="20"/>
          <w:rtl/>
          <w:lang w:val="fr-CH"/>
        </w:rPr>
        <w:footnoteReference w:id="146"/>
      </w:r>
      <w:r w:rsidRPr="003E698F">
        <w:rPr>
          <w:spacing w:val="0"/>
          <w:kern w:val="0"/>
          <w:sz w:val="20"/>
          <w:vertAlign w:val="superscript"/>
          <w:rtl/>
          <w:lang w:val="fr-CH"/>
        </w:rPr>
        <w:t>)</w:t>
      </w:r>
      <w:r w:rsidRPr="003E698F">
        <w:rPr>
          <w:spacing w:val="0"/>
          <w:kern w:val="0"/>
          <w:sz w:val="20"/>
          <w:rtl/>
          <w:lang w:val="fr-CH"/>
        </w:rPr>
        <w:t xml:space="preserve"> </w:t>
      </w:r>
      <w:r w:rsidRPr="003E698F">
        <w:rPr>
          <w:rFonts w:hint="cs"/>
          <w:spacing w:val="0"/>
          <w:kern w:val="0"/>
          <w:sz w:val="20"/>
          <w:rtl/>
          <w:lang w:val="fr-CH"/>
        </w:rPr>
        <w:t>وبأحكامها السابقة التي أشارت فيها إلى أن خطر التعرض للتعذيب يجب تقييمه على أسس تتجاوز مجرد النظرية أو الشك. وبالرغم من أنه لا يلزم إثبات أن هذا الخطر مرجح بشدة، فإن اللجنة تشير إلى أن عبء الإثبات يقع في العادة على صاحب الشكوى الذي يجب أن يعرض قضية تثبت بما لها من وجاهة أنه يواجه خطراً "متوقعاً وحقيقياً على شخصه"؟</w:t>
      </w:r>
      <w:r w:rsidRPr="003E698F">
        <w:rPr>
          <w:spacing w:val="0"/>
          <w:kern w:val="0"/>
          <w:sz w:val="20"/>
          <w:vertAlign w:val="superscript"/>
          <w:rtl/>
          <w:lang w:val="fr-CH"/>
        </w:rPr>
        <w:t>(</w:t>
      </w:r>
      <w:r w:rsidRPr="000705BE">
        <w:rPr>
          <w:rStyle w:val="FootnoteReference"/>
          <w:spacing w:val="0"/>
          <w:sz w:val="2"/>
          <w:szCs w:val="2"/>
          <w:rtl/>
          <w:lang w:val="fr-CH"/>
        </w:rPr>
        <w:footnoteReference w:id="147"/>
      </w:r>
      <w:r w:rsidR="000705BE" w:rsidRPr="000705BE">
        <w:rPr>
          <w:rFonts w:hint="cs"/>
          <w:spacing w:val="0"/>
          <w:kern w:val="0"/>
          <w:sz w:val="28"/>
          <w:szCs w:val="28"/>
          <w:vertAlign w:val="superscript"/>
          <w:rtl/>
          <w:lang w:val="fr-CH"/>
        </w:rPr>
        <w:t>ﻫ</w:t>
      </w:r>
      <w:r w:rsidRPr="003E698F">
        <w:rPr>
          <w:spacing w:val="0"/>
          <w:kern w:val="0"/>
          <w:sz w:val="20"/>
          <w:vertAlign w:val="superscript"/>
          <w:rtl/>
          <w:lang w:val="fr-CH"/>
        </w:rPr>
        <w:t>)</w:t>
      </w:r>
      <w:r w:rsidRPr="003E698F">
        <w:rPr>
          <w:spacing w:val="0"/>
          <w:kern w:val="0"/>
          <w:sz w:val="20"/>
          <w:rtl/>
          <w:lang w:val="fr-CH"/>
        </w:rPr>
        <w:t xml:space="preserve"> </w:t>
      </w:r>
      <w:r w:rsidRPr="003E698F">
        <w:rPr>
          <w:rFonts w:hint="cs"/>
          <w:spacing w:val="0"/>
          <w:kern w:val="0"/>
          <w:sz w:val="20"/>
          <w:rtl/>
          <w:lang w:val="fr-CH"/>
        </w:rPr>
        <w:t>وعلاوة على ذلك، تذكر اللجنة في تعليقها العام رقم 1 أنها يجب أيضاً أن تحدد ما إذا كان صاحب الشكوى قد اشترك في نشاط سياسي داخل الدولة المعنية أو خارجها، على نحو يبدو أنه يعرضه بصورة خ</w:t>
      </w:r>
      <w:r w:rsidR="002C2A9D">
        <w:rPr>
          <w:rFonts w:hint="cs"/>
          <w:spacing w:val="0"/>
          <w:kern w:val="0"/>
          <w:sz w:val="20"/>
          <w:rtl/>
          <w:lang w:val="fr-CH"/>
        </w:rPr>
        <w:t>اصة إلى خطر التعذيب (الفقرة 8(</w:t>
      </w:r>
      <w:r w:rsidR="002C2A9D" w:rsidRPr="002C2A9D">
        <w:rPr>
          <w:rFonts w:hint="cs"/>
          <w:spacing w:val="0"/>
          <w:kern w:val="0"/>
          <w:sz w:val="30"/>
          <w:rtl/>
          <w:lang w:val="fr-CH"/>
        </w:rPr>
        <w:t>ﻫ</w:t>
      </w:r>
      <w:r w:rsidR="002C2A9D">
        <w:rPr>
          <w:rFonts w:hint="cs"/>
          <w:spacing w:val="0"/>
          <w:kern w:val="0"/>
          <w:sz w:val="20"/>
          <w:rtl/>
          <w:lang w:val="fr-CH"/>
        </w:rPr>
        <w:t>))</w:t>
      </w:r>
      <w:r w:rsidRPr="003E698F">
        <w:rPr>
          <w:rFonts w:hint="cs"/>
          <w:spacing w:val="0"/>
          <w:kern w:val="0"/>
          <w:sz w:val="20"/>
          <w:rtl/>
          <w:lang w:val="fr-CH"/>
        </w:rPr>
        <w:t xml:space="preserve">. وتذكر اللجنة أيضاً، بأنها، وإن كانت تقيم وزناً كبيراً للاستنتاجات الوقائعية التي تخلص إليها أجهزة الدولة الطرف، فإن لها بموجب أحكام الفقرة 4 من المادة 22 من الاتفاقية، أهلية تقدير وقائع كل قضية بحرية بالاستناد إلى </w:t>
      </w:r>
      <w:r w:rsidR="004930E5">
        <w:rPr>
          <w:rFonts w:hint="cs"/>
          <w:spacing w:val="0"/>
          <w:kern w:val="0"/>
          <w:sz w:val="20"/>
          <w:rtl/>
          <w:lang w:val="fr-CH"/>
        </w:rPr>
        <w:t>مُجمل ملابسات كُل منها</w:t>
      </w:r>
      <w:r w:rsidRPr="003E698F">
        <w:rPr>
          <w:rFonts w:hint="cs"/>
          <w:spacing w:val="0"/>
          <w:kern w:val="0"/>
          <w:sz w:val="20"/>
          <w:rtl/>
          <w:lang w:val="fr-CH"/>
        </w:rPr>
        <w:t xml:space="preserve">. </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7-3</w:t>
      </w:r>
      <w:r w:rsidRPr="003E698F">
        <w:rPr>
          <w:rFonts w:hint="cs"/>
          <w:spacing w:val="0"/>
          <w:kern w:val="0"/>
          <w:sz w:val="20"/>
          <w:rtl/>
          <w:lang w:val="fr-CH"/>
        </w:rPr>
        <w:tab/>
        <w:t>ويجب على اللجنة أن تقيم ما إذا كانت هناك أسس معقولة للاعتقاد بأن صاحب الشكوى سيتعرض شخصياً لخطر التعذيب لدى عودته إلى جمهورية إيران الإسلامية. ويجب على اللجنة، لدى تقييم هذا الخطر، أن تضع في اعتبارها جميع الظروف ذات الصلة، عملاً بأحكام الفقرة 2 من المادة 3 من الاتفاقية، بما في ذلك وجود أو عدم وجود نمط ثابت من الانتهاكات الجسيمة أو الصارخة أو الجماعية لحقوق الإنسان في الدولة المعنية.</w:t>
      </w:r>
    </w:p>
    <w:p w:rsidR="00921F02" w:rsidRPr="003E698F" w:rsidRDefault="00921F02" w:rsidP="000705BE">
      <w:pPr>
        <w:pStyle w:val="SingleTxtGA"/>
        <w:jc w:val="lowKashida"/>
        <w:rPr>
          <w:rFonts w:hint="cs"/>
          <w:spacing w:val="0"/>
          <w:kern w:val="0"/>
          <w:sz w:val="20"/>
          <w:rtl/>
          <w:lang w:val="fr-CH"/>
        </w:rPr>
      </w:pPr>
      <w:r w:rsidRPr="003E698F">
        <w:rPr>
          <w:rFonts w:hint="cs"/>
          <w:spacing w:val="0"/>
          <w:kern w:val="0"/>
          <w:sz w:val="20"/>
          <w:rtl/>
          <w:lang w:val="fr-CH"/>
        </w:rPr>
        <w:t>7-4</w:t>
      </w:r>
      <w:r w:rsidRPr="003E698F">
        <w:rPr>
          <w:rFonts w:hint="cs"/>
          <w:spacing w:val="0"/>
          <w:kern w:val="0"/>
          <w:sz w:val="20"/>
          <w:rtl/>
          <w:lang w:val="fr-CH"/>
        </w:rPr>
        <w:tab/>
        <w:t>وتذكّر اللجنة، بالإشارة إلى سوابقها القضائية الأخيرة</w:t>
      </w:r>
      <w:r w:rsidRPr="003E698F">
        <w:rPr>
          <w:spacing w:val="0"/>
          <w:kern w:val="0"/>
          <w:sz w:val="20"/>
          <w:vertAlign w:val="superscript"/>
          <w:rtl/>
          <w:lang w:val="fr-CH"/>
        </w:rPr>
        <w:t>(</w:t>
      </w:r>
      <w:r w:rsidRPr="003E698F">
        <w:rPr>
          <w:rStyle w:val="FootnoteReference"/>
          <w:spacing w:val="0"/>
          <w:sz w:val="20"/>
          <w:rtl/>
          <w:lang w:val="fr-CH"/>
        </w:rPr>
        <w:footnoteReference w:id="148"/>
      </w:r>
      <w:r w:rsidRPr="003E698F">
        <w:rPr>
          <w:spacing w:val="0"/>
          <w:kern w:val="0"/>
          <w:sz w:val="20"/>
          <w:vertAlign w:val="superscript"/>
          <w:rtl/>
          <w:lang w:val="fr-CH"/>
        </w:rPr>
        <w:t>)</w:t>
      </w:r>
      <w:r w:rsidRPr="003E698F">
        <w:rPr>
          <w:rFonts w:hint="cs"/>
          <w:spacing w:val="0"/>
          <w:kern w:val="0"/>
          <w:sz w:val="20"/>
          <w:rtl/>
          <w:lang w:val="fr-CH"/>
        </w:rPr>
        <w:t>،</w:t>
      </w:r>
      <w:r w:rsidRPr="003E698F">
        <w:rPr>
          <w:spacing w:val="0"/>
          <w:kern w:val="0"/>
          <w:sz w:val="20"/>
          <w:rtl/>
          <w:lang w:val="fr-CH"/>
        </w:rPr>
        <w:t xml:space="preserve"> </w:t>
      </w:r>
      <w:r w:rsidRPr="003E698F">
        <w:rPr>
          <w:rFonts w:hint="cs"/>
          <w:spacing w:val="0"/>
          <w:kern w:val="0"/>
          <w:sz w:val="20"/>
          <w:rtl/>
          <w:lang w:val="fr-CH"/>
        </w:rPr>
        <w:t>بأن حالة حقوق الإنسان في جمهورية إيران الإسلامية تبعث على قلق بالغ ولا سيما بعد الانتخابات التي أجريت في البلد في حزيران/يونيه 2009. وقد تلقت اللجنة تقارير متعددة تتناول بصفة خاصة ممارسات الاضطهاد والاحتجاز التعسفي التي يتعرض لها العديد من الإصلاحيين والطلاب والصحفيين والمدافعين عن حقوق الإنسان، حيث تم احتجاز بعضهم في أماكن مجهولة وحُكم على بعضهم الآخر بعقوبة الإعدام التي نفذت بحقهم. وتلاحظ اللجنة أيضاً أن ستة من المكلفين بولايات في إطار الإجراءات الخاصة التابعة لمجلس حقوق الإنسان (في مجالات الاحتجاز التعسفي؛ والإعدام خارج نطاق القضاء أو بإجراءات موجزة؛ والحق في حرية الرأي والتعبير؛ والتعذيب أو غيره من ضروب المعاملة أو العقوبة القاسية أو اللاإنسانية أو</w:t>
      </w:r>
      <w:r w:rsidR="000705BE">
        <w:rPr>
          <w:rFonts w:hint="eastAsia"/>
          <w:spacing w:val="0"/>
          <w:kern w:val="0"/>
          <w:sz w:val="20"/>
          <w:rtl/>
          <w:lang w:val="fr-CH"/>
        </w:rPr>
        <w:t> </w:t>
      </w:r>
      <w:r w:rsidRPr="003E698F">
        <w:rPr>
          <w:rFonts w:hint="cs"/>
          <w:spacing w:val="0"/>
          <w:kern w:val="0"/>
          <w:sz w:val="20"/>
          <w:rtl/>
          <w:lang w:val="fr-CH"/>
        </w:rPr>
        <w:t>المهينة؛ وحالة المدافعين عن حقوق الإنسان؛ وحالات الاختفاء القسري أو غير الطوعي) أعربوا عن قلقهم إزاء الاحتجاجات المرتبطة بالانتخابات الرئاسية الإيرانية لعام 2009، التي شهدت مقتل ما لا يقل عن 20 شخصاً وإصابة مئات آخرين بجروح خطيرة في الاشتباكات مع قوات الأمن التي يُزعم أنها استخدمت الذخيرة الحية والرصاص المطاطي. وأعرب هؤلاء الخبراء أيضاً عن قلقهم إزاء التقارير التي تفيد عن حدوث عمليات اعتقال واحتجاز دون توجيه اتهامات للمحتجزين ومع معاملتهم معاملة سيئة</w:t>
      </w:r>
      <w:r w:rsidRPr="003E698F">
        <w:rPr>
          <w:spacing w:val="0"/>
          <w:kern w:val="0"/>
          <w:sz w:val="20"/>
          <w:vertAlign w:val="superscript"/>
          <w:rtl/>
          <w:lang w:val="fr-CH"/>
        </w:rPr>
        <w:t>(</w:t>
      </w:r>
      <w:r w:rsidRPr="003E698F">
        <w:rPr>
          <w:rStyle w:val="FootnoteReference"/>
          <w:spacing w:val="0"/>
          <w:sz w:val="20"/>
          <w:rtl/>
          <w:lang w:val="fr-CH"/>
        </w:rPr>
        <w:footnoteReference w:id="149"/>
      </w:r>
      <w:r w:rsidRPr="003E698F">
        <w:rPr>
          <w:spacing w:val="0"/>
          <w:kern w:val="0"/>
          <w:sz w:val="20"/>
          <w:vertAlign w:val="superscript"/>
          <w:rtl/>
          <w:lang w:val="fr-CH"/>
        </w:rPr>
        <w:t>)</w:t>
      </w:r>
      <w:r w:rsidRPr="003E698F">
        <w:rPr>
          <w:rFonts w:hint="cs"/>
          <w:spacing w:val="0"/>
          <w:kern w:val="0"/>
          <w:sz w:val="20"/>
          <w:rtl/>
          <w:lang w:val="fr-CH"/>
        </w:rPr>
        <w:t>.</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7-5</w:t>
      </w:r>
      <w:r w:rsidRPr="003E698F">
        <w:rPr>
          <w:rFonts w:hint="cs"/>
          <w:spacing w:val="0"/>
          <w:kern w:val="0"/>
          <w:sz w:val="20"/>
          <w:rtl/>
          <w:lang w:val="fr-CH"/>
        </w:rPr>
        <w:tab/>
        <w:t xml:space="preserve">وفضلاً عن ذلك، تحيط اللجنة علماً بالملاحظات الختامية بشأن جمهورية إيران الإسلامية التي اعتمدتها اللجنة المعنية بحقوق الإنسان في 2 تشرين الثاني/نوفمبر 2011، حيث أعربت اللجنة عن "بالغ قلقها إزاء تواتر الإخلال بضمانات المحاكمة العادلة المنصوص </w:t>
      </w:r>
      <w:r w:rsidRPr="002C2A9D">
        <w:rPr>
          <w:rFonts w:hint="cs"/>
          <w:spacing w:val="-2"/>
          <w:kern w:val="0"/>
          <w:sz w:val="20"/>
          <w:rtl/>
          <w:lang w:val="fr-CH"/>
        </w:rPr>
        <w:t>عليها في العهد، ولا سيما في سياق عمل المحاكم الثورية" (</w:t>
      </w:r>
      <w:r w:rsidRPr="002C2A9D">
        <w:rPr>
          <w:spacing w:val="-2"/>
          <w:kern w:val="0"/>
          <w:sz w:val="20"/>
        </w:rPr>
        <w:t>CCPR/C/IRN/CO/3</w:t>
      </w:r>
      <w:r w:rsidRPr="002C2A9D">
        <w:rPr>
          <w:rFonts w:hint="cs"/>
          <w:spacing w:val="-2"/>
          <w:kern w:val="0"/>
          <w:sz w:val="20"/>
          <w:rtl/>
        </w:rPr>
        <w:t>، الفقرة 21)،</w:t>
      </w:r>
      <w:r w:rsidRPr="003E698F">
        <w:rPr>
          <w:rFonts w:hint="cs"/>
          <w:spacing w:val="0"/>
          <w:kern w:val="0"/>
          <w:sz w:val="20"/>
          <w:rtl/>
        </w:rPr>
        <w:t xml:space="preserve"> وعن "قلقها البالغ إزاء ما وردها من أنباء عن انتشار استخدام التعذيب أو غيره من ضروب المعاملة أو العقوبة القاسية أو اللاإنسانية أو المهينة </w:t>
      </w:r>
      <w:r w:rsidRPr="003E698F">
        <w:rPr>
          <w:rFonts w:hint="cs"/>
          <w:spacing w:val="0"/>
          <w:kern w:val="0"/>
          <w:sz w:val="20"/>
          <w:rtl/>
          <w:lang w:val="fr-CH"/>
        </w:rPr>
        <w:t>في مرافق الاحتجاز، ولا سيما تلك الخاصة بالمتهمين بجرائم تتصل بالأمن الوطني أو بمن يحاكمون أمام المحاكم الثورية، وهي ممارسات أدت في بعض الحالات إلى وفاة المحتجز". (المرجع نفسه، الفقرة 14).</w:t>
      </w:r>
    </w:p>
    <w:p w:rsidR="00921F02" w:rsidRPr="003E698F" w:rsidRDefault="002C2A9D" w:rsidP="00921F02">
      <w:pPr>
        <w:pStyle w:val="SingleTxtGA"/>
        <w:jc w:val="lowKashida"/>
        <w:rPr>
          <w:rFonts w:hint="cs"/>
          <w:spacing w:val="0"/>
          <w:kern w:val="0"/>
          <w:sz w:val="20"/>
          <w:rtl/>
          <w:lang w:val="fr-CH"/>
        </w:rPr>
      </w:pPr>
      <w:r>
        <w:rPr>
          <w:rFonts w:hint="cs"/>
          <w:spacing w:val="0"/>
          <w:kern w:val="0"/>
          <w:sz w:val="20"/>
          <w:rtl/>
          <w:lang w:val="fr-CH"/>
        </w:rPr>
        <w:t>7</w:t>
      </w:r>
      <w:r w:rsidR="00921F02" w:rsidRPr="003E698F">
        <w:rPr>
          <w:rFonts w:hint="cs"/>
          <w:spacing w:val="0"/>
          <w:kern w:val="0"/>
          <w:sz w:val="20"/>
          <w:rtl/>
          <w:lang w:val="fr-CH"/>
        </w:rPr>
        <w:t>-6</w:t>
      </w:r>
      <w:r w:rsidR="00921F02" w:rsidRPr="003E698F">
        <w:rPr>
          <w:rFonts w:hint="cs"/>
          <w:spacing w:val="0"/>
          <w:kern w:val="0"/>
          <w:sz w:val="20"/>
          <w:rtl/>
          <w:lang w:val="fr-CH"/>
        </w:rPr>
        <w:tab/>
        <w:t>وتلاحظ اللجنة أيضاً أن اللجنة المعنية بحقوق الإنسان قد أعربت عن قلقها إزاء ما</w:t>
      </w:r>
      <w:r w:rsidR="00921F02" w:rsidRPr="003E698F">
        <w:rPr>
          <w:rFonts w:hint="eastAsia"/>
          <w:spacing w:val="0"/>
          <w:kern w:val="0"/>
          <w:sz w:val="20"/>
          <w:rtl/>
          <w:lang w:val="fr-CH"/>
        </w:rPr>
        <w:t> </w:t>
      </w:r>
      <w:r w:rsidR="00921F02" w:rsidRPr="003E698F">
        <w:rPr>
          <w:rFonts w:hint="cs"/>
          <w:spacing w:val="0"/>
          <w:kern w:val="0"/>
          <w:sz w:val="20"/>
          <w:rtl/>
          <w:lang w:val="fr-CH"/>
        </w:rPr>
        <w:t xml:space="preserve">يلي: </w:t>
      </w:r>
    </w:p>
    <w:p w:rsidR="00921F02" w:rsidRPr="003E698F" w:rsidRDefault="00921F02" w:rsidP="00921F02">
      <w:pPr>
        <w:pStyle w:val="SingleTxtGA"/>
        <w:ind w:left="1928"/>
        <w:jc w:val="lowKashida"/>
        <w:rPr>
          <w:rFonts w:hint="cs"/>
          <w:spacing w:val="0"/>
          <w:kern w:val="0"/>
          <w:sz w:val="20"/>
          <w:rtl/>
          <w:lang w:val="fr-CH"/>
        </w:rPr>
      </w:pPr>
      <w:r w:rsidRPr="003E698F">
        <w:rPr>
          <w:rFonts w:hint="cs"/>
          <w:spacing w:val="0"/>
          <w:kern w:val="0"/>
          <w:sz w:val="20"/>
          <w:rtl/>
          <w:lang w:val="fr-CH"/>
        </w:rPr>
        <w:tab/>
        <w:t>إغلاق الكثير من الصحف والمجلات فضلاً عن نقابة الصحفيين منذ عام</w:t>
      </w:r>
      <w:r w:rsidRPr="003E698F">
        <w:rPr>
          <w:rFonts w:hint="eastAsia"/>
          <w:spacing w:val="0"/>
          <w:kern w:val="0"/>
          <w:sz w:val="20"/>
          <w:rtl/>
          <w:lang w:val="fr-CH"/>
        </w:rPr>
        <w:t> </w:t>
      </w:r>
      <w:r w:rsidRPr="003E698F">
        <w:rPr>
          <w:rFonts w:hint="cs"/>
          <w:spacing w:val="0"/>
          <w:kern w:val="0"/>
          <w:sz w:val="20"/>
          <w:rtl/>
          <w:lang w:val="fr-CH"/>
        </w:rPr>
        <w:t>2008، وإيقاف واحتجاز الكثير من الصحفيين والناشرين والمخرجين السينمائيين والعاملين في وسائط الإعلام منذ الانتخابات الرئاسية التي جرت في عام</w:t>
      </w:r>
      <w:r w:rsidRPr="003E698F">
        <w:rPr>
          <w:rFonts w:hint="eastAsia"/>
          <w:spacing w:val="0"/>
          <w:kern w:val="0"/>
          <w:sz w:val="20"/>
          <w:rtl/>
          <w:lang w:val="fr-CH"/>
        </w:rPr>
        <w:t> </w:t>
      </w:r>
      <w:r w:rsidRPr="003E698F">
        <w:rPr>
          <w:rFonts w:hint="cs"/>
          <w:spacing w:val="0"/>
          <w:kern w:val="0"/>
          <w:sz w:val="20"/>
          <w:rtl/>
          <w:lang w:val="fr-CH"/>
        </w:rPr>
        <w:t>2009. ويساور اللجنة قلق أيضاً إزاء مراقبة استعمال الإنترنت ومحتوياته، وتعطيل المواقع الشبكية التي تنشر أخباراً وتحليلات سياسية، وإبطاء سرعة الإنترنت، وتشويش البث بواسطة القنوات الفضائية الأجنبية، ولا سيما منذ الانتخابات الرئاسية التي جرت في عام 2009 (المادة 19) (المرجع نفسه، الفقرة 27).</w:t>
      </w:r>
    </w:p>
    <w:p w:rsidR="00921F02" w:rsidRPr="003E698F" w:rsidRDefault="00921F02" w:rsidP="000705BE">
      <w:pPr>
        <w:pStyle w:val="SingleTxtGA"/>
        <w:jc w:val="lowKashida"/>
        <w:rPr>
          <w:rFonts w:hint="cs"/>
          <w:spacing w:val="0"/>
          <w:kern w:val="0"/>
          <w:sz w:val="20"/>
          <w:rtl/>
          <w:lang w:val="fr-CH"/>
        </w:rPr>
      </w:pPr>
      <w:r w:rsidRPr="003E698F">
        <w:rPr>
          <w:rFonts w:hint="cs"/>
          <w:spacing w:val="0"/>
          <w:kern w:val="0"/>
          <w:sz w:val="20"/>
          <w:rtl/>
          <w:lang w:val="fr-CH"/>
        </w:rPr>
        <w:t>7-7</w:t>
      </w:r>
      <w:r w:rsidRPr="003E698F">
        <w:rPr>
          <w:rFonts w:hint="cs"/>
          <w:spacing w:val="0"/>
          <w:kern w:val="0"/>
          <w:sz w:val="20"/>
          <w:rtl/>
          <w:lang w:val="fr-CH"/>
        </w:rPr>
        <w:tab/>
        <w:t>وتحيط اللجنة علماً بأن السلطات الإيرانية كانت تنشغل في السابق بصاحب الشكوى، عن طريق إلقاء القبض عليه واستجوابه، وإصدار أمرين في عام 2003 بالمثول أمام محكمة الثورة في إيران بسبب أنشطته الصحفية. وتلاحظ اللجنة أن صاحب الشكوى لم</w:t>
      </w:r>
      <w:r w:rsidR="000705BE">
        <w:rPr>
          <w:rFonts w:hint="eastAsia"/>
          <w:spacing w:val="0"/>
          <w:kern w:val="0"/>
          <w:sz w:val="20"/>
          <w:rtl/>
          <w:lang w:val="fr-CH"/>
        </w:rPr>
        <w:t> </w:t>
      </w:r>
      <w:r w:rsidRPr="003E698F">
        <w:rPr>
          <w:rFonts w:hint="cs"/>
          <w:spacing w:val="0"/>
          <w:kern w:val="0"/>
          <w:sz w:val="20"/>
          <w:rtl/>
          <w:lang w:val="fr-CH"/>
        </w:rPr>
        <w:t>يدع أنه تعرض للتعذيب في أي وقت من الأوقات من جانب السلطات الإيرانية أثناء احتجازه واستجوابه في عام</w:t>
      </w:r>
      <w:r w:rsidRPr="003E698F">
        <w:rPr>
          <w:rFonts w:hint="eastAsia"/>
          <w:spacing w:val="0"/>
          <w:kern w:val="0"/>
          <w:sz w:val="20"/>
          <w:rtl/>
          <w:lang w:val="fr-CH"/>
        </w:rPr>
        <w:t> </w:t>
      </w:r>
      <w:r w:rsidRPr="003E698F">
        <w:rPr>
          <w:rFonts w:hint="cs"/>
          <w:spacing w:val="0"/>
          <w:kern w:val="0"/>
          <w:sz w:val="20"/>
          <w:rtl/>
          <w:lang w:val="fr-CH"/>
        </w:rPr>
        <w:t>2003. ومع ذلك، تلاحظ اللجنة ادعاء صاحب الشكوى أنه واصل أنشطته الصحفية منذ وصوله إلى النرويج، وأن السلطات الإ</w:t>
      </w:r>
      <w:r w:rsidR="000705BE">
        <w:rPr>
          <w:rFonts w:hint="cs"/>
          <w:spacing w:val="0"/>
          <w:kern w:val="0"/>
          <w:sz w:val="20"/>
          <w:rtl/>
          <w:lang w:val="fr-CH"/>
        </w:rPr>
        <w:t>يرانية أغلقت مدونتيه الإلكتروني</w:t>
      </w:r>
      <w:r w:rsidRPr="003E698F">
        <w:rPr>
          <w:rFonts w:hint="cs"/>
          <w:spacing w:val="0"/>
          <w:kern w:val="0"/>
          <w:sz w:val="20"/>
          <w:rtl/>
          <w:lang w:val="fr-CH"/>
        </w:rPr>
        <w:t xml:space="preserve">تين خلال هذه الفترة. وترى اللجنة بالتالي أن من الممكن بالفعل أن تكون السلطات الإيرانية لا تزال مهتمة به. </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7-8</w:t>
      </w:r>
      <w:r w:rsidRPr="003E698F">
        <w:rPr>
          <w:rFonts w:hint="cs"/>
          <w:spacing w:val="0"/>
          <w:kern w:val="0"/>
          <w:sz w:val="20"/>
          <w:rtl/>
          <w:lang w:val="fr-CH"/>
        </w:rPr>
        <w:tab/>
        <w:t>وفيما يتعلق بمزاعم الحكم عليه غيابياً بالسجن لمدة خمس سنوات، تلاحظ اللجنة ادعاء الدولة الطرف عدم صحة وثائق المحكمة التي قدمها صاحب الشكوى لدعم طلب اللجوء وادعاء التعرض لخطر السجن والتعذيب في حال ترحيله إلى جمهورية إيران الإسلامية، وفقاً للتحقق الذي أجرته السفارة النرويجية في طهران. ومن جهة أخرى، تلاحظ اللجنة أن صاحب الشكوى اعترض على عملية التحقق من الوثائق التي أجرتها الدولة الطرف، وأكد أن محكمة الثورة في طهران قد حكمت عليه بالسجن لمدة خمس سنوات. وليس بإمكان اللجنة تقييم عملية التحقق من وثائق المحكمة المتعلقة بالحكم عليه غيابياً بالسجن لمدة خمس سنوات، علماً بأن الدولة الطرف وصاحب الشكوى قدما بيانات متضاربة دون أدلة داعمة.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7-9</w:t>
      </w:r>
      <w:r w:rsidRPr="003E698F">
        <w:rPr>
          <w:rFonts w:hint="cs"/>
          <w:spacing w:val="0"/>
          <w:kern w:val="0"/>
          <w:sz w:val="20"/>
          <w:rtl/>
          <w:lang w:val="fr-CH"/>
        </w:rPr>
        <w:tab/>
        <w:t>ومع ذلك، تلاحظ اللجنة أن الدولة الطرف لم تعترض على الأمرين المتعلقين بمثول صاحب الشكوى أمام م</w:t>
      </w:r>
      <w:r w:rsidR="00E61B85">
        <w:rPr>
          <w:rFonts w:hint="cs"/>
          <w:spacing w:val="0"/>
          <w:kern w:val="0"/>
          <w:sz w:val="20"/>
          <w:rtl/>
          <w:lang w:val="fr-CH"/>
        </w:rPr>
        <w:t>حكمة الثورة، ويشكل هذان الأمران</w:t>
      </w:r>
      <w:r w:rsidRPr="003E698F">
        <w:rPr>
          <w:rFonts w:hint="cs"/>
          <w:spacing w:val="0"/>
          <w:kern w:val="0"/>
          <w:sz w:val="20"/>
          <w:rtl/>
          <w:lang w:val="fr-CH"/>
        </w:rPr>
        <w:t>، إلى جانب عدم مثول صاحب الشكوى أمام محكمة الثورة في طهران عند طلب حضوره، عنصراً يعرض صاحب الشكوى لخطر بالغ. وأخيراً، تلاحظ اللجنة أن جمهورية إيران الإسلامية ليست طرفاً في الاتفاقية، ولذا فإن صاحب الشكوى سيحرم من خيار اللجوء إلى اللجنة للحصول على حماية أياً كان نوعها، في حال ترحيله إلى إيران.</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8-</w:t>
      </w:r>
      <w:r w:rsidRPr="003E698F">
        <w:rPr>
          <w:rFonts w:hint="cs"/>
          <w:spacing w:val="0"/>
          <w:kern w:val="0"/>
          <w:sz w:val="20"/>
          <w:rtl/>
          <w:lang w:val="fr-CH"/>
        </w:rPr>
        <w:tab/>
        <w:t>وترى لجنة مناهضة التعذيب، في ضوء ما تقدم ومع مراعاة جميع ملابسات القضية والمعلومات المعروضة عليها، وهي تتصرف بموجب الفقرة 7 من المادة 22 من اتفاقية مناهضة التعذيب وغيره من ضروب المعاملة أو العقوبة القاسية أو اللاإنسانية أو المهينة، أن قرار الدولة الطرف بإعادة صاحب الشكوى إلى جمهورية إيران الإسلامية سيشكل انتهاكاً للمادة 3 من الاتفاقية.</w:t>
      </w:r>
    </w:p>
    <w:p w:rsidR="000705BE"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9-</w:t>
      </w:r>
      <w:r w:rsidRPr="003E698F">
        <w:rPr>
          <w:rFonts w:hint="cs"/>
          <w:spacing w:val="0"/>
          <w:kern w:val="0"/>
          <w:sz w:val="20"/>
          <w:rtl/>
          <w:lang w:val="fr-CH"/>
        </w:rPr>
        <w:tab/>
        <w:t>وعملاً بالفقرة 5 من المادة 118 (المادة 112 سابقاً) من النظام الداخلي للجنة، تود اللجنة أن تبلغها الدولة الطرف في غضون 90 يوماً بالخطوات التي اتخذتها استجابة لهذا</w:t>
      </w:r>
      <w:r w:rsidRPr="003E698F">
        <w:rPr>
          <w:rFonts w:hint="eastAsia"/>
          <w:spacing w:val="0"/>
          <w:kern w:val="0"/>
          <w:sz w:val="20"/>
          <w:rtl/>
          <w:lang w:val="fr-CH"/>
        </w:rPr>
        <w:t> </w:t>
      </w:r>
      <w:r w:rsidRPr="003E698F">
        <w:rPr>
          <w:rFonts w:hint="cs"/>
          <w:spacing w:val="0"/>
          <w:kern w:val="0"/>
          <w:sz w:val="20"/>
          <w:rtl/>
          <w:lang w:val="fr-CH"/>
        </w:rPr>
        <w:t>القرار.</w:t>
      </w:r>
    </w:p>
    <w:p w:rsidR="000705BE" w:rsidRDefault="000705BE" w:rsidP="00921F02">
      <w:pPr>
        <w:pStyle w:val="SingleTxtGA"/>
        <w:jc w:val="lowKashida"/>
        <w:rPr>
          <w:spacing w:val="0"/>
          <w:kern w:val="0"/>
          <w:sz w:val="20"/>
          <w:rtl/>
          <w:lang w:val="fr-CH"/>
        </w:rPr>
        <w:sectPr w:rsidR="000705BE"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921F02" w:rsidRPr="003E698F" w:rsidRDefault="00921F02" w:rsidP="000705BE">
      <w:pPr>
        <w:pStyle w:val="H1GA"/>
        <w:spacing w:before="120"/>
        <w:rPr>
          <w:rFonts w:hint="cs"/>
          <w:spacing w:val="0"/>
          <w:kern w:val="0"/>
          <w:sz w:val="20"/>
          <w:rtl/>
        </w:rPr>
      </w:pPr>
      <w:r w:rsidRPr="003E698F">
        <w:rPr>
          <w:rFonts w:hint="cs"/>
          <w:spacing w:val="0"/>
          <w:kern w:val="0"/>
          <w:sz w:val="20"/>
          <w:rtl/>
          <w:lang w:val="fr-CH"/>
        </w:rPr>
        <w:tab/>
      </w:r>
      <w:r w:rsidRPr="003E698F">
        <w:rPr>
          <w:rFonts w:hint="cs"/>
          <w:spacing w:val="0"/>
          <w:kern w:val="0"/>
          <w:sz w:val="20"/>
          <w:rtl/>
          <w:lang w:val="fr-CH"/>
        </w:rPr>
        <w:tab/>
        <w:t>البلاغ رقم 327/2007</w:t>
      </w:r>
      <w:r w:rsidRPr="003E698F">
        <w:rPr>
          <w:rFonts w:hint="cs"/>
          <w:spacing w:val="0"/>
          <w:kern w:val="0"/>
          <w:sz w:val="20"/>
          <w:rtl/>
        </w:rPr>
        <w:t xml:space="preserve">: </w:t>
      </w:r>
      <w:r w:rsidRPr="003E698F">
        <w:rPr>
          <w:rFonts w:hint="cs"/>
          <w:i/>
          <w:iCs/>
          <w:spacing w:val="0"/>
          <w:kern w:val="0"/>
          <w:sz w:val="20"/>
          <w:rtl/>
        </w:rPr>
        <w:t>بوالي ضد كندا</w:t>
      </w:r>
    </w:p>
    <w:p w:rsidR="00921F02" w:rsidRPr="003E698F" w:rsidRDefault="00921F02" w:rsidP="00921F02">
      <w:pPr>
        <w:pStyle w:val="SingleTxtGA"/>
        <w:ind w:left="4626" w:hanging="3379"/>
        <w:rPr>
          <w:rFonts w:hint="cs"/>
          <w:spacing w:val="0"/>
          <w:kern w:val="0"/>
          <w:sz w:val="20"/>
          <w:rtl/>
          <w:lang w:val="fr-CH"/>
        </w:rPr>
      </w:pPr>
      <w:r w:rsidRPr="003E698F">
        <w:rPr>
          <w:rFonts w:hint="cs"/>
          <w:i/>
          <w:iCs/>
          <w:spacing w:val="0"/>
          <w:kern w:val="0"/>
          <w:sz w:val="20"/>
          <w:rtl/>
          <w:lang w:val="fr-CH"/>
        </w:rPr>
        <w:tab/>
        <w:t>المقدم من</w:t>
      </w:r>
      <w:r w:rsidRPr="003E698F">
        <w:rPr>
          <w:rFonts w:hint="cs"/>
          <w:spacing w:val="0"/>
          <w:kern w:val="0"/>
          <w:sz w:val="20"/>
          <w:rtl/>
          <w:lang w:val="fr-CH"/>
        </w:rPr>
        <w:t>:</w:t>
      </w:r>
      <w:r w:rsidRPr="003E698F">
        <w:rPr>
          <w:rFonts w:hint="cs"/>
          <w:spacing w:val="0"/>
          <w:kern w:val="0"/>
          <w:sz w:val="20"/>
          <w:rtl/>
          <w:lang w:val="fr-CH"/>
        </w:rPr>
        <w:tab/>
      </w:r>
      <w:r w:rsidRPr="003E698F">
        <w:rPr>
          <w:rFonts w:hint="cs"/>
          <w:spacing w:val="0"/>
          <w:kern w:val="0"/>
          <w:sz w:val="20"/>
          <w:rtl/>
          <w:lang w:val="fr-CH"/>
        </w:rPr>
        <w:tab/>
      </w:r>
      <w:r w:rsidRPr="003E698F">
        <w:rPr>
          <w:rFonts w:hint="cs"/>
          <w:spacing w:val="0"/>
          <w:kern w:val="0"/>
          <w:sz w:val="20"/>
          <w:rtl/>
          <w:lang w:val="fr-CH"/>
        </w:rPr>
        <w:tab/>
        <w:t>ريجان بوالي (يمثله المحاميان كريستيان ديلورييه وفيليب لاروشيل)</w:t>
      </w:r>
    </w:p>
    <w:p w:rsidR="00921F02" w:rsidRPr="003E698F" w:rsidRDefault="00921F02" w:rsidP="00921F02">
      <w:pPr>
        <w:pStyle w:val="SingleTxtGA"/>
        <w:ind w:left="4626" w:hanging="3379"/>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الشخص المدعى أنه ضحية</w:t>
      </w:r>
      <w:r w:rsidRPr="003E698F">
        <w:rPr>
          <w:rFonts w:hint="cs"/>
          <w:spacing w:val="0"/>
          <w:kern w:val="0"/>
          <w:sz w:val="20"/>
          <w:rtl/>
          <w:lang w:val="fr-CH"/>
        </w:rPr>
        <w:t>:</w:t>
      </w:r>
      <w:r w:rsidRPr="003E698F">
        <w:rPr>
          <w:rFonts w:hint="cs"/>
          <w:spacing w:val="0"/>
          <w:kern w:val="0"/>
          <w:sz w:val="20"/>
          <w:rtl/>
          <w:lang w:val="fr-CH"/>
        </w:rPr>
        <w:tab/>
        <w:t>صاحب الشكوى</w:t>
      </w:r>
    </w:p>
    <w:p w:rsidR="00921F02" w:rsidRPr="003E698F" w:rsidRDefault="00921F02" w:rsidP="00921F02">
      <w:pPr>
        <w:pStyle w:val="SingleTxtGA"/>
        <w:ind w:left="4626" w:hanging="3379"/>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الدولة الطرف</w:t>
      </w:r>
      <w:r w:rsidRPr="003E698F">
        <w:rPr>
          <w:rFonts w:hint="cs"/>
          <w:spacing w:val="0"/>
          <w:kern w:val="0"/>
          <w:sz w:val="20"/>
          <w:rtl/>
          <w:lang w:val="fr-CH"/>
        </w:rPr>
        <w:t>:</w:t>
      </w:r>
      <w:r w:rsidRPr="003E698F">
        <w:rPr>
          <w:rFonts w:hint="cs"/>
          <w:spacing w:val="0"/>
          <w:kern w:val="0"/>
          <w:sz w:val="20"/>
          <w:rtl/>
          <w:lang w:val="fr-CH"/>
        </w:rPr>
        <w:tab/>
      </w:r>
      <w:r w:rsidRPr="003E698F">
        <w:rPr>
          <w:rFonts w:hint="cs"/>
          <w:spacing w:val="0"/>
          <w:kern w:val="0"/>
          <w:sz w:val="20"/>
          <w:rtl/>
          <w:lang w:val="fr-CH"/>
        </w:rPr>
        <w:tab/>
      </w:r>
      <w:r w:rsidRPr="003E698F">
        <w:rPr>
          <w:rFonts w:hint="cs"/>
          <w:spacing w:val="0"/>
          <w:kern w:val="0"/>
          <w:sz w:val="20"/>
          <w:rtl/>
          <w:lang w:val="fr-CH"/>
        </w:rPr>
        <w:tab/>
        <w:t>كندا</w:t>
      </w:r>
    </w:p>
    <w:p w:rsidR="00921F02" w:rsidRPr="003E698F" w:rsidRDefault="00921F02" w:rsidP="00921F02">
      <w:pPr>
        <w:pStyle w:val="SingleTxtGA"/>
        <w:ind w:left="4626" w:hanging="3379"/>
        <w:rPr>
          <w:rFonts w:hint="cs"/>
          <w:spacing w:val="0"/>
          <w:kern w:val="0"/>
          <w:sz w:val="20"/>
          <w:rtl/>
          <w:lang w:val="fr-CH"/>
        </w:rPr>
      </w:pPr>
      <w:r w:rsidRPr="003E698F">
        <w:rPr>
          <w:rFonts w:hint="cs"/>
          <w:spacing w:val="0"/>
          <w:kern w:val="0"/>
          <w:sz w:val="20"/>
          <w:rtl/>
          <w:lang w:val="fr-CH"/>
        </w:rPr>
        <w:tab/>
      </w:r>
      <w:r w:rsidRPr="003E698F">
        <w:rPr>
          <w:rFonts w:hint="cs"/>
          <w:i/>
          <w:iCs/>
          <w:spacing w:val="0"/>
          <w:kern w:val="0"/>
          <w:sz w:val="20"/>
          <w:rtl/>
          <w:lang w:val="fr-CH"/>
        </w:rPr>
        <w:t>تاريخ تقديم البلاغ</w:t>
      </w:r>
      <w:r w:rsidRPr="003E698F">
        <w:rPr>
          <w:rFonts w:hint="cs"/>
          <w:spacing w:val="0"/>
          <w:kern w:val="0"/>
          <w:sz w:val="20"/>
          <w:rtl/>
          <w:lang w:val="fr-CH"/>
        </w:rPr>
        <w:t>:</w:t>
      </w:r>
      <w:r w:rsidRPr="003E698F">
        <w:rPr>
          <w:rFonts w:hint="cs"/>
          <w:spacing w:val="0"/>
          <w:kern w:val="0"/>
          <w:sz w:val="20"/>
          <w:rtl/>
          <w:lang w:val="fr-CH"/>
        </w:rPr>
        <w:tab/>
      </w:r>
      <w:r w:rsidRPr="003E698F">
        <w:rPr>
          <w:rFonts w:hint="cs"/>
          <w:spacing w:val="0"/>
          <w:kern w:val="0"/>
          <w:sz w:val="20"/>
          <w:rtl/>
          <w:lang w:val="fr-CH"/>
        </w:rPr>
        <w:tab/>
        <w:t>4 تموز/يوليه 2007 (تاريخ الرسالة الأولى)</w:t>
      </w:r>
    </w:p>
    <w:p w:rsidR="00921F02" w:rsidRPr="003E698F" w:rsidRDefault="00921F02" w:rsidP="00921F02">
      <w:pPr>
        <w:pStyle w:val="SingleTxtGA"/>
        <w:rPr>
          <w:rFonts w:hint="cs"/>
          <w:spacing w:val="0"/>
          <w:kern w:val="0"/>
          <w:sz w:val="20"/>
          <w:rtl/>
        </w:rPr>
      </w:pPr>
      <w:r w:rsidRPr="003E698F">
        <w:rPr>
          <w:rFonts w:hint="cs"/>
          <w:i/>
          <w:iCs/>
          <w:spacing w:val="0"/>
          <w:kern w:val="0"/>
          <w:sz w:val="20"/>
          <w:rtl/>
          <w:lang w:val="fr-CH"/>
        </w:rPr>
        <w:tab/>
        <w:t>إن لجنة مناهضة التعذيب</w:t>
      </w:r>
      <w:r w:rsidRPr="003E698F">
        <w:rPr>
          <w:rFonts w:hint="cs"/>
          <w:spacing w:val="0"/>
          <w:kern w:val="0"/>
          <w:sz w:val="20"/>
          <w:rtl/>
          <w:lang w:val="fr-CH"/>
        </w:rPr>
        <w:t>، المنشأة بموجب المادة 17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rPr>
          <w:rFonts w:hint="cs"/>
          <w:spacing w:val="0"/>
          <w:kern w:val="0"/>
          <w:sz w:val="20"/>
          <w:rtl/>
        </w:rPr>
      </w:pPr>
      <w:r w:rsidRPr="003E698F">
        <w:rPr>
          <w:rFonts w:hint="cs"/>
          <w:i/>
          <w:iCs/>
          <w:spacing w:val="0"/>
          <w:kern w:val="0"/>
          <w:sz w:val="20"/>
          <w:rtl/>
          <w:lang w:val="fr-CH"/>
        </w:rPr>
        <w:tab/>
        <w:t>وقد اجتمعت</w:t>
      </w:r>
      <w:r w:rsidRPr="003E698F">
        <w:rPr>
          <w:rFonts w:hint="cs"/>
          <w:spacing w:val="0"/>
          <w:kern w:val="0"/>
          <w:sz w:val="20"/>
          <w:rtl/>
          <w:lang w:val="fr-CH"/>
        </w:rPr>
        <w:t xml:space="preserve"> في 14 تشرين الثاني/نوفمبر 2011،</w:t>
      </w:r>
    </w:p>
    <w:p w:rsidR="00921F02" w:rsidRPr="003E698F" w:rsidRDefault="00921F02" w:rsidP="002C2A9D">
      <w:pPr>
        <w:pStyle w:val="SingleTxtGA"/>
        <w:jc w:val="lowKashida"/>
        <w:rPr>
          <w:rFonts w:hint="cs"/>
          <w:spacing w:val="0"/>
          <w:kern w:val="0"/>
          <w:sz w:val="20"/>
          <w:rtl/>
        </w:rPr>
      </w:pPr>
      <w:r w:rsidRPr="003E698F">
        <w:rPr>
          <w:rFonts w:hint="cs"/>
          <w:i/>
          <w:iCs/>
          <w:spacing w:val="0"/>
          <w:kern w:val="0"/>
          <w:sz w:val="20"/>
          <w:rtl/>
          <w:lang w:val="fr-CH"/>
        </w:rPr>
        <w:tab/>
        <w:t>وقد فرغت</w:t>
      </w:r>
      <w:r w:rsidRPr="003E698F">
        <w:rPr>
          <w:rFonts w:hint="cs"/>
          <w:spacing w:val="0"/>
          <w:kern w:val="0"/>
          <w:sz w:val="20"/>
          <w:rtl/>
          <w:lang w:val="fr-CH"/>
        </w:rPr>
        <w:t xml:space="preserve"> من النظر في البلاغ رقم 327/2007، المقدم إلى لجنة مناهضة التعذيب من السيد ريجان بوالي بموجب المادة 22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rPr>
          <w:rFonts w:hint="cs"/>
          <w:spacing w:val="0"/>
          <w:kern w:val="0"/>
          <w:sz w:val="20"/>
          <w:rtl/>
        </w:rPr>
      </w:pPr>
      <w:r w:rsidRPr="003E698F">
        <w:rPr>
          <w:rFonts w:hint="cs"/>
          <w:i/>
          <w:iCs/>
          <w:spacing w:val="0"/>
          <w:kern w:val="0"/>
          <w:sz w:val="20"/>
          <w:rtl/>
          <w:lang w:val="fr-CH"/>
        </w:rPr>
        <w:tab/>
        <w:t>وقد أخذت في اعتبارها</w:t>
      </w:r>
      <w:r w:rsidRPr="003E698F">
        <w:rPr>
          <w:rFonts w:hint="cs"/>
          <w:spacing w:val="0"/>
          <w:kern w:val="0"/>
          <w:sz w:val="20"/>
          <w:rtl/>
          <w:lang w:val="fr-CH"/>
        </w:rPr>
        <w:t xml:space="preserve"> جميع المعلومات التي أتاحها لها صاحب الشكوى ومحامياه والدولة الطرف،</w:t>
      </w:r>
    </w:p>
    <w:p w:rsidR="00921F02" w:rsidRPr="003E698F" w:rsidRDefault="00921F02" w:rsidP="00921F02">
      <w:pPr>
        <w:pStyle w:val="SingleTxtGA"/>
        <w:rPr>
          <w:rFonts w:hint="cs"/>
          <w:spacing w:val="0"/>
          <w:kern w:val="0"/>
          <w:sz w:val="20"/>
          <w:rtl/>
        </w:rPr>
      </w:pPr>
      <w:r w:rsidRPr="003E698F">
        <w:rPr>
          <w:rFonts w:hint="cs"/>
          <w:i/>
          <w:iCs/>
          <w:spacing w:val="0"/>
          <w:kern w:val="0"/>
          <w:sz w:val="20"/>
          <w:rtl/>
          <w:lang w:val="fr-CH"/>
        </w:rPr>
        <w:tab/>
        <w:t>تعتمد</w:t>
      </w:r>
      <w:r w:rsidRPr="003E698F">
        <w:rPr>
          <w:rFonts w:hint="cs"/>
          <w:spacing w:val="0"/>
          <w:kern w:val="0"/>
          <w:sz w:val="20"/>
          <w:rtl/>
          <w:lang w:val="fr-CH"/>
        </w:rPr>
        <w:t xml:space="preserve"> ما يلي:</w:t>
      </w:r>
    </w:p>
    <w:p w:rsidR="00921F02" w:rsidRPr="003E698F" w:rsidRDefault="00921F02" w:rsidP="00921F02">
      <w:pPr>
        <w:pStyle w:val="H1GA"/>
        <w:rPr>
          <w:rFonts w:hint="cs"/>
          <w:spacing w:val="0"/>
          <w:kern w:val="0"/>
          <w:sz w:val="20"/>
          <w:rtl/>
        </w:rPr>
      </w:pPr>
      <w:r w:rsidRPr="003E698F">
        <w:rPr>
          <w:rFonts w:hint="cs"/>
          <w:spacing w:val="0"/>
          <w:kern w:val="0"/>
          <w:sz w:val="20"/>
          <w:rtl/>
          <w:lang w:val="fr-CH"/>
        </w:rPr>
        <w:tab/>
      </w:r>
      <w:r w:rsidRPr="003E698F">
        <w:rPr>
          <w:rFonts w:hint="cs"/>
          <w:spacing w:val="0"/>
          <w:kern w:val="0"/>
          <w:sz w:val="20"/>
          <w:rtl/>
          <w:lang w:val="fr-CH"/>
        </w:rPr>
        <w:tab/>
        <w:t>قرار معتمد بموجب الفقرة 7 من المادة 22 من اتفاقية مناهضة التعذيب</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w:t>
      </w:r>
      <w:r w:rsidRPr="003E698F">
        <w:rPr>
          <w:rFonts w:hint="cs"/>
          <w:spacing w:val="0"/>
          <w:kern w:val="0"/>
          <w:sz w:val="20"/>
          <w:rtl/>
        </w:rPr>
        <w:tab/>
        <w:t xml:space="preserve">صاحب الشكوى هو ريجان بوالي، وهو مواطن كندي من مواليد عام 1944. ويدَّعي في شكواه المقدمة في 4 تموز/يوليه 2007 أن تسليمه إلى المكسيك قد يشكل انتهاكاً من كندا للمادة 3 من اتفاقية </w:t>
      </w:r>
      <w:r w:rsidRPr="003E698F">
        <w:rPr>
          <w:rFonts w:hint="cs"/>
          <w:spacing w:val="0"/>
          <w:kern w:val="0"/>
          <w:sz w:val="20"/>
          <w:rtl/>
          <w:lang w:val="fr-CH"/>
        </w:rPr>
        <w:t>مناهضة التعذيب وغيره من ضروب المعاملة أو العقوبة القاسية أو اللاإنسانية أو المهينة. ويمثله محاميان، هما كريستيان ديلورييه وفيليب لاروشيل</w:t>
      </w:r>
      <w:r w:rsidRPr="003E698F">
        <w:rPr>
          <w:rFonts w:hint="cs"/>
          <w:spacing w:val="0"/>
          <w:kern w:val="0"/>
          <w:sz w:val="20"/>
          <w:rtl/>
        </w:rPr>
        <w:t>.</w:t>
      </w:r>
    </w:p>
    <w:p w:rsidR="00921F02" w:rsidRPr="000705BE" w:rsidRDefault="00921F02" w:rsidP="00B65F0A">
      <w:pPr>
        <w:pStyle w:val="SingleTxtGA"/>
        <w:jc w:val="lowKashida"/>
        <w:rPr>
          <w:rFonts w:hint="cs"/>
          <w:spacing w:val="-2"/>
          <w:kern w:val="0"/>
          <w:sz w:val="20"/>
          <w:rtl/>
        </w:rPr>
      </w:pPr>
      <w:r w:rsidRPr="000705BE">
        <w:rPr>
          <w:rFonts w:hint="cs"/>
          <w:spacing w:val="-2"/>
          <w:kern w:val="0"/>
          <w:sz w:val="20"/>
          <w:rtl/>
        </w:rPr>
        <w:t>1-2</w:t>
      </w:r>
      <w:r w:rsidRPr="000705BE">
        <w:rPr>
          <w:rFonts w:hint="cs"/>
          <w:spacing w:val="-2"/>
          <w:kern w:val="0"/>
          <w:sz w:val="20"/>
          <w:rtl/>
        </w:rPr>
        <w:tab/>
        <w:t xml:space="preserve">وفي 6 تموز/يوليه 2007، طلب </w:t>
      </w:r>
      <w:r w:rsidRPr="000705BE">
        <w:rPr>
          <w:rFonts w:hint="cs"/>
          <w:spacing w:val="-2"/>
          <w:kern w:val="0"/>
          <w:sz w:val="20"/>
          <w:rtl/>
          <w:lang/>
        </w:rPr>
        <w:t>المقرر المعني بالبلاغات الجديدة والتدابير المؤقتة إلى الدولة الطرف، عملاً بالفقرة 1 من المادة 108 من نظام اللجنة الداخلي (</w:t>
      </w:r>
      <w:r w:rsidRPr="000705BE">
        <w:rPr>
          <w:spacing w:val="-2"/>
          <w:kern w:val="0"/>
          <w:sz w:val="20"/>
          <w:szCs w:val="20"/>
        </w:rPr>
        <w:t>CAT/C/3/Rev.4</w:t>
      </w:r>
      <w:r w:rsidRPr="000705BE">
        <w:rPr>
          <w:rFonts w:hint="cs"/>
          <w:spacing w:val="-2"/>
          <w:kern w:val="0"/>
          <w:sz w:val="20"/>
          <w:rtl/>
          <w:lang/>
        </w:rPr>
        <w:t>)</w:t>
      </w:r>
      <w:r w:rsidRPr="000705BE">
        <w:rPr>
          <w:spacing w:val="-2"/>
          <w:kern w:val="0"/>
          <w:sz w:val="20"/>
          <w:vertAlign w:val="superscript"/>
          <w:rtl/>
          <w:lang/>
        </w:rPr>
        <w:t>(</w:t>
      </w:r>
      <w:r w:rsidRPr="000705BE">
        <w:rPr>
          <w:rStyle w:val="FootnoteReference"/>
          <w:spacing w:val="-2"/>
          <w:sz w:val="20"/>
          <w:rtl/>
          <w:lang/>
        </w:rPr>
        <w:footnoteReference w:id="150"/>
      </w:r>
      <w:r w:rsidRPr="000705BE">
        <w:rPr>
          <w:spacing w:val="-2"/>
          <w:kern w:val="0"/>
          <w:sz w:val="20"/>
          <w:vertAlign w:val="superscript"/>
          <w:rtl/>
          <w:lang/>
        </w:rPr>
        <w:t>)</w:t>
      </w:r>
      <w:r w:rsidRPr="000705BE">
        <w:rPr>
          <w:rFonts w:hint="cs"/>
          <w:spacing w:val="-2"/>
          <w:kern w:val="0"/>
          <w:sz w:val="20"/>
          <w:rtl/>
          <w:lang/>
        </w:rPr>
        <w:t xml:space="preserve">، عدم تسليم صاحب الشكوى إلى المكسيك </w:t>
      </w:r>
      <w:r w:rsidR="00B65F0A">
        <w:rPr>
          <w:rFonts w:hint="cs"/>
          <w:spacing w:val="-2"/>
          <w:kern w:val="0"/>
          <w:sz w:val="20"/>
          <w:rtl/>
          <w:lang/>
        </w:rPr>
        <w:t xml:space="preserve">ما دامت شكواهم قيد </w:t>
      </w:r>
      <w:r w:rsidRPr="000705BE">
        <w:rPr>
          <w:rFonts w:hint="cs"/>
          <w:spacing w:val="-2"/>
          <w:kern w:val="0"/>
          <w:sz w:val="20"/>
          <w:rtl/>
          <w:lang/>
        </w:rPr>
        <w:t>نظر اللجنة.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lang/>
        </w:rPr>
        <w:t>1-3</w:t>
      </w:r>
      <w:r w:rsidRPr="003E698F">
        <w:rPr>
          <w:rFonts w:hint="cs"/>
          <w:spacing w:val="0"/>
          <w:kern w:val="0"/>
          <w:sz w:val="20"/>
          <w:rtl/>
          <w:lang/>
        </w:rPr>
        <w:tab/>
        <w:t xml:space="preserve">وفي 13 آب/أغسطس 2007، </w:t>
      </w:r>
      <w:r w:rsidRPr="003E698F">
        <w:rPr>
          <w:rFonts w:hint="cs"/>
          <w:spacing w:val="0"/>
          <w:kern w:val="0"/>
          <w:sz w:val="20"/>
          <w:rtl/>
        </w:rPr>
        <w:t>قرر المقرر المعني بالبلاغات الجديدة والتدابير المؤقتة سحب الطلب المؤقت، بعد أن دقق في الملاحظات التي قدمتها الدولة الطرف في 27 تموز/يوليه 2007 وتلك التي قدمها صاحب الشكوى.</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1-4</w:t>
      </w:r>
      <w:r w:rsidRPr="003E698F">
        <w:rPr>
          <w:rFonts w:hint="cs"/>
          <w:spacing w:val="0"/>
          <w:kern w:val="0"/>
          <w:sz w:val="20"/>
          <w:rtl/>
        </w:rPr>
        <w:tab/>
        <w:t>وفي 17 أيلول/سبتمبر 2007، طلبت مفوضة الأمم المتحدة السامية لحقوق الإنسان إلى الدولة الطرف، بناء على طلب صاحب الشكوى، أن تبين التدابير التي اتخذتها للتأكد من أن المكسيك ستفي بضماناتها الدبلوماسية.</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الوقائع كما عرضها صاحب الشكوى</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2-1</w:t>
      </w:r>
      <w:r w:rsidRPr="003E698F">
        <w:rPr>
          <w:rFonts w:hint="cs"/>
          <w:spacing w:val="0"/>
          <w:kern w:val="0"/>
          <w:sz w:val="20"/>
          <w:rtl/>
        </w:rPr>
        <w:tab/>
        <w:t>في عام 1993، قرر صاحب الشكوى الرحيل من كندا للعيش في المكسيك حيث تزوج مرة أخرى ونقل جميع ممتلكاته. وفي عام 1998، بعد أن خسر نصف مدخراته، بدأ يعمل في نقل الماريخوانا. وفي 9 آذار/مارس 1998، ألقت الشرطة القبض على صاحب الشكوى وفي مركبته 583 كلغ من الماريخوانا. وضربه أحد ضباط الشرطة وسأله أن يعطيه</w:t>
      </w:r>
      <w:r w:rsidRPr="003E698F">
        <w:rPr>
          <w:rFonts w:hint="eastAsia"/>
          <w:spacing w:val="0"/>
          <w:kern w:val="0"/>
          <w:sz w:val="20"/>
          <w:rtl/>
        </w:rPr>
        <w:t> </w:t>
      </w:r>
      <w:r w:rsidRPr="003E698F">
        <w:rPr>
          <w:rFonts w:hint="cs"/>
          <w:spacing w:val="0"/>
          <w:kern w:val="0"/>
          <w:sz w:val="20"/>
          <w:rtl/>
        </w:rPr>
        <w:t>000 25 دولار أمريكي ونصف ما ينقله مقابل أن يسمح له بمواصله مسيره. وفي مركز الشرطة، أصر صاحب الشكوى، دون جدوى، على حقه في أن يمثله محام كندي. وهدده أحد ضباط الشرطة بالقتل إن لم يكشف عن أسماء شركائه ومصدر المخدرات ووجهتها. وعندما رفض تقديم تلك المعلومات، خُنق بكيس من البلاستيك، وأدخلت في أنفه مواد شتى، منها مرق الفلفل الحار، وضُرب بكتاب على رأسه. وأرغم صاحب الشكوى لاحقاً على توقيع إفادة بالإسبانية دون أن يعرف مضمونها. ثم اقتيد إلى سجن في اليوم نفسه، وأخضع لفحص طبي، لكنه لم يشر إلى إساءة معاملته في مركز الشرطة خشية انتقام ضابط الشرطة الذي كان حاضراً أثناء الفحص. وبعد مرور 72 ساعة في زنزانة لا ضوء فيها، اقتيد صاحب الشكوى إلى غرفة التمريض بالسجن حيث التقى باثنين من ضباط الشرطة اللذين عذبوه في مخفر الشرطة. فحذراه من أن يبلغ عما تعرض له من تعذيب وهدَّداه بالقتل.</w:t>
      </w:r>
    </w:p>
    <w:p w:rsidR="00921F02" w:rsidRPr="003E698F" w:rsidRDefault="00921F02" w:rsidP="000705BE">
      <w:pPr>
        <w:pStyle w:val="SingleTxtGA"/>
        <w:jc w:val="lowKashida"/>
        <w:rPr>
          <w:rFonts w:hint="cs"/>
          <w:spacing w:val="0"/>
          <w:kern w:val="0"/>
          <w:sz w:val="20"/>
          <w:rtl/>
        </w:rPr>
      </w:pPr>
      <w:r w:rsidRPr="003E698F">
        <w:rPr>
          <w:rFonts w:hint="cs"/>
          <w:spacing w:val="0"/>
          <w:kern w:val="0"/>
          <w:sz w:val="20"/>
          <w:rtl/>
        </w:rPr>
        <w:t>2-2</w:t>
      </w:r>
      <w:r w:rsidRPr="003E698F">
        <w:rPr>
          <w:rFonts w:hint="cs"/>
          <w:spacing w:val="0"/>
          <w:kern w:val="0"/>
          <w:sz w:val="20"/>
          <w:rtl/>
        </w:rPr>
        <w:tab/>
        <w:t>وفي 10 تشرين الثاني/نوفمبر 1998، حكم على صاحب الشكوى بالسجن لمدة</w:t>
      </w:r>
      <w:r w:rsidR="000705BE">
        <w:rPr>
          <w:rFonts w:hint="eastAsia"/>
          <w:spacing w:val="0"/>
          <w:kern w:val="0"/>
          <w:sz w:val="20"/>
          <w:rtl/>
        </w:rPr>
        <w:t> </w:t>
      </w:r>
      <w:r w:rsidRPr="003E698F">
        <w:rPr>
          <w:rFonts w:hint="cs"/>
          <w:spacing w:val="0"/>
          <w:kern w:val="0"/>
          <w:sz w:val="20"/>
          <w:rtl/>
        </w:rPr>
        <w:t>14 عاماً بتهمة الاتجار بالماريخوانا. وزعم صاحب الشكوى أن الإفادة التي وقَّعها تحت التعذيب قد قُبلت كدليل في هذه القضية.</w:t>
      </w:r>
    </w:p>
    <w:p w:rsidR="00921F02" w:rsidRPr="003E698F" w:rsidRDefault="00921F02" w:rsidP="004930E5">
      <w:pPr>
        <w:pStyle w:val="SingleTxtGA"/>
        <w:jc w:val="lowKashida"/>
        <w:rPr>
          <w:rFonts w:hint="cs"/>
          <w:spacing w:val="0"/>
          <w:kern w:val="0"/>
          <w:sz w:val="20"/>
          <w:rtl/>
        </w:rPr>
      </w:pPr>
      <w:r w:rsidRPr="003E698F">
        <w:rPr>
          <w:rFonts w:hint="cs"/>
          <w:spacing w:val="0"/>
          <w:kern w:val="0"/>
          <w:sz w:val="20"/>
          <w:rtl/>
        </w:rPr>
        <w:t>2-3</w:t>
      </w:r>
      <w:r w:rsidRPr="003E698F">
        <w:rPr>
          <w:rFonts w:hint="cs"/>
          <w:spacing w:val="0"/>
          <w:kern w:val="0"/>
          <w:sz w:val="20"/>
          <w:rtl/>
        </w:rPr>
        <w:tab/>
        <w:t xml:space="preserve">وفي 9 آذار/مارس 1999، دبّر صاحب الشكوى عملية هروب قُتل في أثنائها واحد من الحارسَين المكلفين بحراسته. ثم فرّ هارباً إلى كندا. وفي 1 آذار/مارس 2005، قبض عليه في بيته في كندا بموجب مذكرة تسليم مؤقتة إلى المكسيك. وطلبت المكسيك تسليمه كي يُتم مدة سجنه ولمواجهة تهمة قتل حارس السجن وتهمة الهروب من احتجاز قانوني. وفي 11 نيسان/أبريل 2005، قدم صاحب الشكوى طلب إفراج بكفالة، فرُفض. ورفضت محكمة الاستئناف طلبه بدورها. وفي 22 تشرين الثاني/نوفمبر 2005، سُجن صاحب الشكوى ريثما يسلَّم. وفي 23 كانون الثاني/يناير 2006، قدم حججه إلى وزير العدل، ومنها تقريران من عال‍مَين نفسانيين يؤكدان أنه عُذب وأن أعراض </w:t>
      </w:r>
      <w:r w:rsidR="004930E5">
        <w:rPr>
          <w:rFonts w:hint="cs"/>
          <w:spacing w:val="0"/>
          <w:kern w:val="0"/>
          <w:sz w:val="20"/>
          <w:rtl/>
        </w:rPr>
        <w:t xml:space="preserve">اضطراب </w:t>
      </w:r>
      <w:r w:rsidRPr="003E698F">
        <w:rPr>
          <w:rFonts w:hint="cs"/>
          <w:spacing w:val="0"/>
          <w:kern w:val="0"/>
          <w:sz w:val="20"/>
          <w:rtl/>
        </w:rPr>
        <w:t>الإجهاد اللاحق</w:t>
      </w:r>
      <w:r w:rsidR="004930E5">
        <w:rPr>
          <w:rFonts w:hint="cs"/>
          <w:spacing w:val="0"/>
          <w:kern w:val="0"/>
          <w:sz w:val="20"/>
          <w:rtl/>
        </w:rPr>
        <w:t xml:space="preserve"> للصدمة</w:t>
      </w:r>
      <w:r w:rsidRPr="003E698F">
        <w:rPr>
          <w:rFonts w:hint="cs"/>
          <w:spacing w:val="0"/>
          <w:kern w:val="0"/>
          <w:sz w:val="20"/>
          <w:rtl/>
        </w:rPr>
        <w:t>. وقدم أيضاً نتائج اختبار كاشف الكذب الذي أعدته دائرة شرطة أوتاوا، والذي يثبت أنه كان يقول الحقيقة. وفي 24 أيار/مايو 2006، أمر وزير العدل بتسليمه مقابل ضمانات دبلوماسية من المكسيك. ورفضت محكمة الاستئناف بكيبيك دعوى مراجعة ذلك القرار. وفي 5 تموز/يوليه 2007، رفضت محكمة كندا العليا السماح باستئناف القرار.</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2-4</w:t>
      </w:r>
      <w:r w:rsidRPr="003E698F">
        <w:rPr>
          <w:rFonts w:hint="cs"/>
          <w:spacing w:val="0"/>
          <w:kern w:val="0"/>
          <w:sz w:val="20"/>
          <w:rtl/>
        </w:rPr>
        <w:tab/>
        <w:t>وفي 17 آب/أغسطس 2007، بعد أن رفعت اللجنة التدابير المؤقتة، سلم صاحب الشكوى إلى المكسيك ونقل إلى سجن زاكاتيكاس، وهو السجن الذي اتهم بأنه قتل فيه حارساً. وفي الفترة الممتدة بين 17 و20 آب/أغسطس 2007، عذب حراس السجن صاحب الشكوى، ومُنع الاتصال بالسفارة الكندية وبمحاميه. ولم يبلغ صاحب الشكوى صراحة بسوء المعاملة خشية الانتقام.</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الشكوى</w:t>
      </w:r>
    </w:p>
    <w:p w:rsidR="00921F02" w:rsidRPr="000705BE" w:rsidRDefault="00921F02" w:rsidP="000705BE">
      <w:pPr>
        <w:pStyle w:val="SingleTxtGA"/>
        <w:jc w:val="lowKashida"/>
        <w:rPr>
          <w:rFonts w:hint="cs"/>
          <w:spacing w:val="-2"/>
          <w:kern w:val="0"/>
          <w:sz w:val="20"/>
          <w:rtl/>
        </w:rPr>
      </w:pPr>
      <w:r w:rsidRPr="000705BE">
        <w:rPr>
          <w:rFonts w:hint="cs"/>
          <w:spacing w:val="-2"/>
          <w:kern w:val="0"/>
          <w:sz w:val="20"/>
          <w:rtl/>
        </w:rPr>
        <w:t>3-1</w:t>
      </w:r>
      <w:r w:rsidRPr="000705BE">
        <w:rPr>
          <w:rFonts w:hint="cs"/>
          <w:spacing w:val="-2"/>
          <w:kern w:val="0"/>
          <w:sz w:val="20"/>
          <w:rtl/>
        </w:rPr>
        <w:tab/>
        <w:t>ادعى صاحب الشكوى في رسالته الأولى أن تسليمه إلى المكسيك قد يشكل خرقاً للمادة</w:t>
      </w:r>
      <w:r w:rsidRPr="000705BE">
        <w:rPr>
          <w:rFonts w:hint="eastAsia"/>
          <w:spacing w:val="-2"/>
          <w:kern w:val="0"/>
          <w:sz w:val="20"/>
          <w:rtl/>
        </w:rPr>
        <w:t> </w:t>
      </w:r>
      <w:r w:rsidRPr="000705BE">
        <w:rPr>
          <w:rFonts w:hint="cs"/>
          <w:spacing w:val="-2"/>
          <w:kern w:val="0"/>
          <w:sz w:val="20"/>
          <w:rtl/>
        </w:rPr>
        <w:t>3 من الاتفاقية. وقال إن احتمال تعرضه للتعذيب متوقع وحقيقي وشخصي إذا سُلم إلى المكسيك لأن السلطات المكسيكية كانت قد عذبته عندما ألقي عليه القبض في 9 آذار/</w:t>
      </w:r>
      <w:r w:rsidR="000705BE">
        <w:rPr>
          <w:rFonts w:hint="cs"/>
          <w:spacing w:val="-2"/>
          <w:kern w:val="0"/>
          <w:sz w:val="20"/>
          <w:rtl/>
        </w:rPr>
        <w:t xml:space="preserve"> </w:t>
      </w:r>
      <w:r w:rsidRPr="000705BE">
        <w:rPr>
          <w:rFonts w:hint="cs"/>
          <w:spacing w:val="-2"/>
          <w:kern w:val="0"/>
          <w:sz w:val="20"/>
          <w:rtl/>
        </w:rPr>
        <w:t>مارس</w:t>
      </w:r>
      <w:r w:rsidR="000705BE">
        <w:rPr>
          <w:rFonts w:hint="eastAsia"/>
          <w:spacing w:val="-2"/>
          <w:kern w:val="0"/>
          <w:sz w:val="20"/>
          <w:rtl/>
        </w:rPr>
        <w:t> </w:t>
      </w:r>
      <w:r w:rsidRPr="000705BE">
        <w:rPr>
          <w:rFonts w:hint="cs"/>
          <w:spacing w:val="-2"/>
          <w:kern w:val="0"/>
          <w:sz w:val="20"/>
          <w:rtl/>
        </w:rPr>
        <w:t>1998</w:t>
      </w:r>
      <w:r w:rsidRPr="000705BE">
        <w:rPr>
          <w:spacing w:val="-2"/>
          <w:kern w:val="0"/>
          <w:sz w:val="20"/>
          <w:vertAlign w:val="superscript"/>
          <w:rtl/>
        </w:rPr>
        <w:t>(</w:t>
      </w:r>
      <w:r w:rsidRPr="000705BE">
        <w:rPr>
          <w:rStyle w:val="FootnoteReference"/>
          <w:spacing w:val="-2"/>
          <w:sz w:val="20"/>
          <w:rtl/>
        </w:rPr>
        <w:footnoteReference w:id="151"/>
      </w:r>
      <w:r w:rsidRPr="000705BE">
        <w:rPr>
          <w:spacing w:val="-2"/>
          <w:kern w:val="0"/>
          <w:sz w:val="20"/>
          <w:vertAlign w:val="superscript"/>
          <w:rtl/>
        </w:rPr>
        <w:t>)</w:t>
      </w:r>
      <w:r w:rsidRPr="000705BE">
        <w:rPr>
          <w:rFonts w:hint="cs"/>
          <w:spacing w:val="-2"/>
          <w:kern w:val="0"/>
          <w:sz w:val="20"/>
          <w:rtl/>
        </w:rPr>
        <w:t xml:space="preserve"> وهدده بالقتل شرطيان في غرفة التمريض بالسجن، وإن رأيين طبيين مستقلين أكدا صحة تعرضه للتعذيب. وأضاف قائلاً إن خطورة الجريمة المتهم بارتكابها، وكون مرتكبي تلك الجريمة وقت فراره لم يلقَ عليهم القبض، واحتمال إيداعه مجدداً السجن الذي فر منه، كل ذلك يجعل احتمال تعرضه للتعذيب في المكسيك متوقعاً وحقيقياً وشخصياً.</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3-2</w:t>
      </w:r>
      <w:r w:rsidRPr="003E698F">
        <w:rPr>
          <w:spacing w:val="0"/>
          <w:kern w:val="0"/>
          <w:sz w:val="20"/>
          <w:rtl/>
        </w:rPr>
        <w:tab/>
        <w:t>وأكد صاحب الشكوى</w:t>
      </w:r>
      <w:r w:rsidRPr="003E698F">
        <w:rPr>
          <w:rFonts w:hint="cs"/>
          <w:spacing w:val="0"/>
          <w:kern w:val="0"/>
          <w:sz w:val="20"/>
          <w:rtl/>
        </w:rPr>
        <w:t xml:space="preserve">، </w:t>
      </w:r>
      <w:r w:rsidRPr="003E698F">
        <w:rPr>
          <w:spacing w:val="0"/>
          <w:kern w:val="0"/>
          <w:sz w:val="20"/>
          <w:rtl/>
        </w:rPr>
        <w:t>إضافة إلى ذلك</w:t>
      </w:r>
      <w:r w:rsidRPr="003E698F">
        <w:rPr>
          <w:rFonts w:hint="cs"/>
          <w:spacing w:val="0"/>
          <w:kern w:val="0"/>
          <w:sz w:val="20"/>
          <w:rtl/>
        </w:rPr>
        <w:t>،</w:t>
      </w:r>
      <w:r w:rsidRPr="003E698F">
        <w:rPr>
          <w:spacing w:val="0"/>
          <w:kern w:val="0"/>
          <w:sz w:val="20"/>
          <w:rtl/>
        </w:rPr>
        <w:t xml:space="preserve"> أن ضمانات المكسيك الدبلوماسية لا يمكنها أن </w:t>
      </w:r>
      <w:r w:rsidRPr="003E698F">
        <w:rPr>
          <w:rFonts w:hint="cs"/>
          <w:spacing w:val="0"/>
          <w:kern w:val="0"/>
          <w:sz w:val="20"/>
          <w:rtl/>
        </w:rPr>
        <w:t>تزيل احتمال التعرض</w:t>
      </w:r>
      <w:r w:rsidRPr="003E698F">
        <w:rPr>
          <w:spacing w:val="0"/>
          <w:kern w:val="0"/>
          <w:sz w:val="20"/>
          <w:rtl/>
        </w:rPr>
        <w:t xml:space="preserve"> </w:t>
      </w:r>
      <w:r w:rsidRPr="003E698F">
        <w:rPr>
          <w:rFonts w:hint="cs"/>
          <w:spacing w:val="0"/>
          <w:kern w:val="0"/>
          <w:sz w:val="20"/>
          <w:rtl/>
        </w:rPr>
        <w:t>ل</w:t>
      </w:r>
      <w:r w:rsidRPr="003E698F">
        <w:rPr>
          <w:spacing w:val="0"/>
          <w:kern w:val="0"/>
          <w:sz w:val="20"/>
          <w:rtl/>
        </w:rPr>
        <w:t>لتعذيب، ذلك أن من المعروف أن التعذيب ممنهج ومتفش</w:t>
      </w:r>
      <w:r w:rsidRPr="003E698F">
        <w:rPr>
          <w:rFonts w:hint="cs"/>
          <w:spacing w:val="0"/>
          <w:kern w:val="0"/>
          <w:sz w:val="20"/>
          <w:rtl/>
        </w:rPr>
        <w:t>ّ</w:t>
      </w:r>
      <w:r w:rsidRPr="003E698F">
        <w:rPr>
          <w:spacing w:val="0"/>
          <w:kern w:val="0"/>
          <w:sz w:val="20"/>
          <w:rtl/>
        </w:rPr>
        <w:t xml:space="preserve"> في المكسيك، وأن الدولة المكسيكية لا تسيطر على قواتها الأمنية إلا قليلاً. وادعى أن </w:t>
      </w:r>
      <w:r w:rsidRPr="003E698F">
        <w:rPr>
          <w:rFonts w:hint="cs"/>
          <w:spacing w:val="0"/>
          <w:kern w:val="0"/>
          <w:sz w:val="20"/>
          <w:rtl/>
        </w:rPr>
        <w:t>انعدام اليقين</w:t>
      </w:r>
      <w:r w:rsidRPr="003E698F">
        <w:rPr>
          <w:spacing w:val="0"/>
          <w:kern w:val="0"/>
          <w:sz w:val="20"/>
          <w:rtl/>
        </w:rPr>
        <w:t xml:space="preserve"> المتعلق بقيمة الضمانات </w:t>
      </w:r>
      <w:r w:rsidRPr="003E698F">
        <w:rPr>
          <w:rFonts w:hint="cs"/>
          <w:spacing w:val="0"/>
          <w:kern w:val="0"/>
          <w:sz w:val="20"/>
          <w:rtl/>
        </w:rPr>
        <w:t xml:space="preserve">إنما </w:t>
      </w:r>
      <w:r w:rsidRPr="003E698F">
        <w:rPr>
          <w:spacing w:val="0"/>
          <w:kern w:val="0"/>
          <w:sz w:val="20"/>
          <w:rtl/>
        </w:rPr>
        <w:t>يؤكد عدم فعاليتها</w:t>
      </w:r>
      <w:r w:rsidRPr="003E698F">
        <w:rPr>
          <w:spacing w:val="0"/>
          <w:kern w:val="0"/>
          <w:sz w:val="20"/>
          <w:vertAlign w:val="superscript"/>
          <w:rtl/>
        </w:rPr>
        <w:t>(</w:t>
      </w:r>
      <w:r w:rsidRPr="003E698F">
        <w:rPr>
          <w:rStyle w:val="FootnoteReference"/>
          <w:spacing w:val="0"/>
          <w:sz w:val="20"/>
          <w:rtl/>
        </w:rPr>
        <w:footnoteReference w:id="152"/>
      </w:r>
      <w:r w:rsidRPr="003E698F">
        <w:rPr>
          <w:spacing w:val="0"/>
          <w:kern w:val="0"/>
          <w:sz w:val="20"/>
          <w:vertAlign w:val="superscript"/>
          <w:rtl/>
        </w:rPr>
        <w:t>)</w:t>
      </w:r>
      <w:r w:rsidRPr="003E698F">
        <w:rPr>
          <w:spacing w:val="0"/>
          <w:kern w:val="0"/>
          <w:sz w:val="20"/>
          <w:rtl/>
        </w:rPr>
        <w:t xml:space="preserve">. </w:t>
      </w:r>
      <w:r w:rsidRPr="003E698F">
        <w:rPr>
          <w:rFonts w:hint="cs"/>
          <w:spacing w:val="0"/>
          <w:kern w:val="0"/>
          <w:sz w:val="20"/>
          <w:rtl/>
        </w:rPr>
        <w:t>وأضاف</w:t>
      </w:r>
      <w:r w:rsidRPr="003E698F">
        <w:rPr>
          <w:spacing w:val="0"/>
          <w:kern w:val="0"/>
          <w:sz w:val="20"/>
          <w:rtl/>
        </w:rPr>
        <w:t xml:space="preserve"> </w:t>
      </w:r>
      <w:r w:rsidRPr="003E698F">
        <w:rPr>
          <w:rFonts w:hint="cs"/>
          <w:spacing w:val="0"/>
          <w:kern w:val="0"/>
          <w:sz w:val="20"/>
          <w:rtl/>
        </w:rPr>
        <w:t>أن</w:t>
      </w:r>
      <w:r w:rsidRPr="003E698F">
        <w:rPr>
          <w:spacing w:val="0"/>
          <w:kern w:val="0"/>
          <w:sz w:val="20"/>
          <w:rtl/>
        </w:rPr>
        <w:t xml:space="preserve"> من السذاجة افتراض أنه لن ي</w:t>
      </w:r>
      <w:r w:rsidRPr="003E698F">
        <w:rPr>
          <w:rFonts w:hint="cs"/>
          <w:spacing w:val="0"/>
          <w:kern w:val="0"/>
          <w:sz w:val="20"/>
          <w:rtl/>
        </w:rPr>
        <w:t>ُ</w:t>
      </w:r>
      <w:r w:rsidRPr="003E698F">
        <w:rPr>
          <w:spacing w:val="0"/>
          <w:kern w:val="0"/>
          <w:sz w:val="20"/>
          <w:rtl/>
        </w:rPr>
        <w:t>ساء</w:t>
      </w:r>
      <w:r w:rsidRPr="003E698F">
        <w:rPr>
          <w:rFonts w:hint="cs"/>
          <w:spacing w:val="0"/>
          <w:kern w:val="0"/>
          <w:sz w:val="20"/>
          <w:rtl/>
        </w:rPr>
        <w:t>َ</w:t>
      </w:r>
      <w:r w:rsidRPr="003E698F">
        <w:rPr>
          <w:spacing w:val="0"/>
          <w:kern w:val="0"/>
          <w:sz w:val="20"/>
          <w:rtl/>
        </w:rPr>
        <w:t>ل عن الجريمتين اللتين لم </w:t>
      </w:r>
      <w:r w:rsidRPr="003E698F">
        <w:rPr>
          <w:rFonts w:hint="cs"/>
          <w:spacing w:val="0"/>
          <w:kern w:val="0"/>
          <w:sz w:val="20"/>
          <w:rtl/>
        </w:rPr>
        <w:t xml:space="preserve">تنظر </w:t>
      </w:r>
      <w:r w:rsidRPr="003E698F">
        <w:rPr>
          <w:spacing w:val="0"/>
          <w:kern w:val="0"/>
          <w:sz w:val="20"/>
          <w:rtl/>
        </w:rPr>
        <w:t>المحكمة</w:t>
      </w:r>
      <w:r w:rsidRPr="003E698F">
        <w:rPr>
          <w:rFonts w:hint="cs"/>
          <w:spacing w:val="0"/>
          <w:kern w:val="0"/>
          <w:sz w:val="20"/>
          <w:rtl/>
        </w:rPr>
        <w:t xml:space="preserve"> فيهما</w:t>
      </w:r>
      <w:r w:rsidRPr="003E698F">
        <w:rPr>
          <w:spacing w:val="0"/>
          <w:kern w:val="0"/>
          <w:sz w:val="20"/>
          <w:rtl/>
        </w:rPr>
        <w:t xml:space="preserve"> </w:t>
      </w:r>
      <w:r w:rsidRPr="003E698F">
        <w:rPr>
          <w:rFonts w:hint="cs"/>
          <w:spacing w:val="0"/>
          <w:kern w:val="0"/>
          <w:sz w:val="20"/>
          <w:rtl/>
        </w:rPr>
        <w:t xml:space="preserve">- مثلما تحمل الضمانات على الاعتقاد بذلك - نظراً إلى أن </w:t>
      </w:r>
      <w:r w:rsidRPr="003E698F">
        <w:rPr>
          <w:spacing w:val="0"/>
          <w:kern w:val="0"/>
          <w:sz w:val="20"/>
          <w:rtl/>
        </w:rPr>
        <w:t>المسؤولين عنهما لم يقبض عليهما بعد. و</w:t>
      </w:r>
      <w:r w:rsidRPr="003E698F">
        <w:rPr>
          <w:rFonts w:hint="cs"/>
          <w:spacing w:val="0"/>
          <w:kern w:val="0"/>
          <w:sz w:val="20"/>
          <w:rtl/>
        </w:rPr>
        <w:t>مضى قائلاً إنه</w:t>
      </w:r>
      <w:r w:rsidRPr="003E698F">
        <w:rPr>
          <w:spacing w:val="0"/>
          <w:kern w:val="0"/>
          <w:sz w:val="20"/>
          <w:rtl/>
        </w:rPr>
        <w:t xml:space="preserve"> في وضع أصعب مما كان عليه في عام</w:t>
      </w:r>
      <w:r w:rsidRPr="003E698F">
        <w:rPr>
          <w:rFonts w:hint="cs"/>
          <w:spacing w:val="0"/>
          <w:kern w:val="0"/>
          <w:sz w:val="20"/>
          <w:rtl/>
        </w:rPr>
        <w:t xml:space="preserve"> 1998</w:t>
      </w:r>
      <w:r w:rsidRPr="003E698F">
        <w:rPr>
          <w:spacing w:val="0"/>
          <w:kern w:val="0"/>
          <w:sz w:val="20"/>
          <w:rtl/>
        </w:rPr>
        <w:t>، إذ إنه متهم بارتكاب جريمة أخطر</w:t>
      </w:r>
      <w:r w:rsidRPr="003E698F">
        <w:rPr>
          <w:rFonts w:hint="cs"/>
          <w:spacing w:val="0"/>
          <w:kern w:val="0"/>
          <w:sz w:val="20"/>
          <w:rtl/>
        </w:rPr>
        <w:t>، هي</w:t>
      </w:r>
      <w:r w:rsidRPr="003E698F">
        <w:rPr>
          <w:spacing w:val="0"/>
          <w:kern w:val="0"/>
          <w:sz w:val="20"/>
          <w:rtl/>
        </w:rPr>
        <w:t xml:space="preserve"> قتل موظف حكومي.</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ملاحظات الدولة الطرف على التدابير المتخذة ل</w:t>
      </w:r>
      <w:r w:rsidRPr="003E698F">
        <w:rPr>
          <w:rFonts w:hint="cs"/>
          <w:spacing w:val="0"/>
          <w:kern w:val="0"/>
          <w:sz w:val="20"/>
          <w:rtl/>
        </w:rPr>
        <w:t>لتأكد من</w:t>
      </w:r>
      <w:r w:rsidRPr="003E698F">
        <w:rPr>
          <w:spacing w:val="0"/>
          <w:kern w:val="0"/>
          <w:sz w:val="20"/>
          <w:rtl/>
        </w:rPr>
        <w:t xml:space="preserve"> التقيد بالضمانات الدبلوماسية</w:t>
      </w:r>
    </w:p>
    <w:p w:rsidR="00921F02" w:rsidRPr="000705BE" w:rsidRDefault="00921F02" w:rsidP="00B32542">
      <w:pPr>
        <w:pStyle w:val="SingleTxtGA"/>
        <w:spacing w:line="370" w:lineRule="exact"/>
        <w:jc w:val="lowKashida"/>
        <w:rPr>
          <w:rFonts w:hint="cs"/>
          <w:spacing w:val="0"/>
          <w:kern w:val="0"/>
          <w:sz w:val="20"/>
          <w:rtl/>
        </w:rPr>
      </w:pPr>
      <w:r w:rsidRPr="000705BE">
        <w:rPr>
          <w:rFonts w:hint="cs"/>
          <w:spacing w:val="0"/>
          <w:kern w:val="0"/>
          <w:sz w:val="20"/>
          <w:rtl/>
        </w:rPr>
        <w:t>4-1</w:t>
      </w:r>
      <w:r w:rsidRPr="000705BE">
        <w:rPr>
          <w:spacing w:val="0"/>
          <w:kern w:val="0"/>
          <w:sz w:val="20"/>
          <w:rtl/>
        </w:rPr>
        <w:tab/>
        <w:t>في</w:t>
      </w:r>
      <w:r w:rsidRPr="000705BE">
        <w:rPr>
          <w:rFonts w:hint="cs"/>
          <w:spacing w:val="0"/>
          <w:kern w:val="0"/>
          <w:sz w:val="20"/>
          <w:rtl/>
        </w:rPr>
        <w:t xml:space="preserve"> 28</w:t>
      </w:r>
      <w:r w:rsidRPr="000705BE">
        <w:rPr>
          <w:spacing w:val="0"/>
          <w:kern w:val="0"/>
          <w:sz w:val="20"/>
          <w:rtl/>
        </w:rPr>
        <w:t xml:space="preserve"> أيلول/سبتمبر</w:t>
      </w:r>
      <w:r w:rsidRPr="000705BE">
        <w:rPr>
          <w:rFonts w:hint="cs"/>
          <w:spacing w:val="0"/>
          <w:kern w:val="0"/>
          <w:sz w:val="20"/>
          <w:rtl/>
        </w:rPr>
        <w:t xml:space="preserve"> 2007</w:t>
      </w:r>
      <w:r w:rsidRPr="000705BE">
        <w:rPr>
          <w:spacing w:val="0"/>
          <w:kern w:val="0"/>
          <w:sz w:val="20"/>
          <w:rtl/>
        </w:rPr>
        <w:t xml:space="preserve">، </w:t>
      </w:r>
      <w:r w:rsidRPr="000705BE">
        <w:rPr>
          <w:rFonts w:hint="cs"/>
          <w:spacing w:val="0"/>
          <w:kern w:val="0"/>
          <w:sz w:val="20"/>
          <w:rtl/>
        </w:rPr>
        <w:t xml:space="preserve">قدمت </w:t>
      </w:r>
      <w:r w:rsidRPr="000705BE">
        <w:rPr>
          <w:spacing w:val="0"/>
          <w:kern w:val="0"/>
          <w:sz w:val="20"/>
          <w:rtl/>
        </w:rPr>
        <w:t xml:space="preserve">الدولة الطرف آخر </w:t>
      </w:r>
      <w:r w:rsidRPr="000705BE">
        <w:rPr>
          <w:rFonts w:hint="cs"/>
          <w:spacing w:val="0"/>
          <w:kern w:val="0"/>
          <w:sz w:val="20"/>
          <w:rtl/>
        </w:rPr>
        <w:t>ما استجد من التدابير</w:t>
      </w:r>
      <w:r w:rsidRPr="000705BE">
        <w:rPr>
          <w:spacing w:val="0"/>
          <w:kern w:val="0"/>
          <w:sz w:val="20"/>
          <w:rtl/>
        </w:rPr>
        <w:t xml:space="preserve"> </w:t>
      </w:r>
      <w:r w:rsidRPr="000705BE">
        <w:rPr>
          <w:rFonts w:hint="cs"/>
          <w:spacing w:val="0"/>
          <w:kern w:val="0"/>
          <w:sz w:val="20"/>
          <w:rtl/>
        </w:rPr>
        <w:t xml:space="preserve">المتخذة </w:t>
      </w:r>
      <w:r w:rsidRPr="000705BE">
        <w:rPr>
          <w:spacing w:val="0"/>
          <w:kern w:val="0"/>
          <w:sz w:val="20"/>
          <w:rtl/>
        </w:rPr>
        <w:t>ل</w:t>
      </w:r>
      <w:r w:rsidRPr="000705BE">
        <w:rPr>
          <w:rFonts w:hint="cs"/>
          <w:spacing w:val="0"/>
          <w:kern w:val="0"/>
          <w:sz w:val="20"/>
          <w:rtl/>
        </w:rPr>
        <w:t>لتأكد من</w:t>
      </w:r>
      <w:r w:rsidRPr="000705BE">
        <w:rPr>
          <w:spacing w:val="0"/>
          <w:kern w:val="0"/>
          <w:sz w:val="20"/>
          <w:rtl/>
        </w:rPr>
        <w:t xml:space="preserve"> وفاء حكومة المكسيك بضماناتها الدبلوماسية. وقالت الدولة الطرف إن صاحب الشكوى، </w:t>
      </w:r>
      <w:r w:rsidRPr="000705BE">
        <w:rPr>
          <w:rFonts w:hint="cs"/>
          <w:spacing w:val="0"/>
          <w:kern w:val="0"/>
          <w:sz w:val="20"/>
          <w:rtl/>
        </w:rPr>
        <w:t xml:space="preserve">عندما </w:t>
      </w:r>
      <w:r w:rsidRPr="000705BE">
        <w:rPr>
          <w:spacing w:val="0"/>
          <w:kern w:val="0"/>
          <w:sz w:val="20"/>
          <w:rtl/>
        </w:rPr>
        <w:t>وصل إلى المكسيك في</w:t>
      </w:r>
      <w:r w:rsidRPr="000705BE">
        <w:rPr>
          <w:rFonts w:hint="cs"/>
          <w:spacing w:val="0"/>
          <w:kern w:val="0"/>
          <w:sz w:val="20"/>
          <w:rtl/>
        </w:rPr>
        <w:t xml:space="preserve"> 17</w:t>
      </w:r>
      <w:r w:rsidRPr="000705BE">
        <w:rPr>
          <w:spacing w:val="0"/>
          <w:kern w:val="0"/>
          <w:sz w:val="20"/>
          <w:rtl/>
        </w:rPr>
        <w:t xml:space="preserve"> آب/أغسطس</w:t>
      </w:r>
      <w:r w:rsidRPr="000705BE">
        <w:rPr>
          <w:rFonts w:hint="cs"/>
          <w:spacing w:val="0"/>
          <w:kern w:val="0"/>
          <w:sz w:val="20"/>
          <w:rtl/>
        </w:rPr>
        <w:t xml:space="preserve"> 2007</w:t>
      </w:r>
      <w:r w:rsidRPr="000705BE">
        <w:rPr>
          <w:spacing w:val="0"/>
          <w:kern w:val="0"/>
          <w:sz w:val="20"/>
          <w:rtl/>
        </w:rPr>
        <w:t xml:space="preserve">، لقيه مسؤول قنصلي </w:t>
      </w:r>
      <w:r w:rsidRPr="000705BE">
        <w:rPr>
          <w:rFonts w:hint="cs"/>
          <w:spacing w:val="0"/>
          <w:kern w:val="0"/>
          <w:sz w:val="20"/>
          <w:rtl/>
        </w:rPr>
        <w:t>وأبلغه</w:t>
      </w:r>
      <w:r w:rsidRPr="000705BE">
        <w:rPr>
          <w:spacing w:val="0"/>
          <w:kern w:val="0"/>
          <w:sz w:val="20"/>
          <w:rtl/>
        </w:rPr>
        <w:t xml:space="preserve"> بالخدمات المتاحة له. وفي</w:t>
      </w:r>
      <w:r w:rsidRPr="000705BE">
        <w:rPr>
          <w:rFonts w:hint="cs"/>
          <w:spacing w:val="0"/>
          <w:kern w:val="0"/>
          <w:sz w:val="20"/>
          <w:rtl/>
        </w:rPr>
        <w:t xml:space="preserve"> هذا</w:t>
      </w:r>
      <w:r w:rsidRPr="000705BE">
        <w:rPr>
          <w:spacing w:val="0"/>
          <w:kern w:val="0"/>
          <w:sz w:val="20"/>
          <w:rtl/>
        </w:rPr>
        <w:t xml:space="preserve"> الاجتماع، </w:t>
      </w:r>
      <w:r w:rsidRPr="000705BE">
        <w:rPr>
          <w:rFonts w:hint="cs"/>
          <w:spacing w:val="0"/>
          <w:kern w:val="0"/>
          <w:sz w:val="20"/>
          <w:rtl/>
        </w:rPr>
        <w:t xml:space="preserve">قيل إن </w:t>
      </w:r>
      <w:r w:rsidRPr="000705BE">
        <w:rPr>
          <w:spacing w:val="0"/>
          <w:kern w:val="0"/>
          <w:sz w:val="20"/>
          <w:rtl/>
        </w:rPr>
        <w:t xml:space="preserve">صاحب الشكوى أعرب عن </w:t>
      </w:r>
      <w:r w:rsidRPr="000705BE">
        <w:rPr>
          <w:rFonts w:hint="cs"/>
          <w:spacing w:val="0"/>
          <w:kern w:val="0"/>
          <w:sz w:val="20"/>
          <w:rtl/>
        </w:rPr>
        <w:t>القلق الذي يساوره</w:t>
      </w:r>
      <w:r w:rsidRPr="000705BE">
        <w:rPr>
          <w:spacing w:val="0"/>
          <w:kern w:val="0"/>
          <w:sz w:val="20"/>
          <w:rtl/>
        </w:rPr>
        <w:t xml:space="preserve"> إزاء سلامته لأنه أعيد إلى السجن الذي فر منه. وفي</w:t>
      </w:r>
      <w:r w:rsidRPr="000705BE">
        <w:rPr>
          <w:rFonts w:hint="cs"/>
          <w:spacing w:val="0"/>
          <w:kern w:val="0"/>
          <w:sz w:val="20"/>
          <w:rtl/>
        </w:rPr>
        <w:t xml:space="preserve"> 20</w:t>
      </w:r>
      <w:r w:rsidRPr="000705BE">
        <w:rPr>
          <w:spacing w:val="0"/>
          <w:kern w:val="0"/>
          <w:sz w:val="20"/>
          <w:rtl/>
        </w:rPr>
        <w:t xml:space="preserve"> آب/</w:t>
      </w:r>
      <w:r w:rsidR="000705BE" w:rsidRPr="000705BE">
        <w:rPr>
          <w:rFonts w:hint="cs"/>
          <w:spacing w:val="0"/>
          <w:kern w:val="0"/>
          <w:sz w:val="20"/>
          <w:rtl/>
        </w:rPr>
        <w:t xml:space="preserve"> </w:t>
      </w:r>
      <w:r w:rsidRPr="000705BE">
        <w:rPr>
          <w:spacing w:val="0"/>
          <w:kern w:val="0"/>
          <w:sz w:val="20"/>
          <w:rtl/>
        </w:rPr>
        <w:t>أغسطس</w:t>
      </w:r>
      <w:r w:rsidR="000705BE" w:rsidRPr="000705BE">
        <w:rPr>
          <w:rFonts w:hint="eastAsia"/>
          <w:spacing w:val="0"/>
          <w:kern w:val="0"/>
          <w:sz w:val="20"/>
          <w:rtl/>
        </w:rPr>
        <w:t> </w:t>
      </w:r>
      <w:r w:rsidRPr="000705BE">
        <w:rPr>
          <w:rFonts w:hint="cs"/>
          <w:spacing w:val="0"/>
          <w:kern w:val="0"/>
          <w:sz w:val="20"/>
          <w:rtl/>
        </w:rPr>
        <w:t>2007</w:t>
      </w:r>
      <w:r w:rsidRPr="000705BE">
        <w:rPr>
          <w:spacing w:val="0"/>
          <w:kern w:val="0"/>
          <w:sz w:val="20"/>
          <w:rtl/>
        </w:rPr>
        <w:t>، طلب مسؤولون قنصليون إلى لجنة حقوق الإنسان في ولاية زاكاتيكاس أن ترسل ممثلين لزيارة صاحب الشكوى.</w:t>
      </w:r>
      <w:r w:rsidRPr="000705BE">
        <w:rPr>
          <w:rFonts w:hint="cs"/>
          <w:spacing w:val="0"/>
          <w:kern w:val="0"/>
          <w:sz w:val="20"/>
          <w:rtl/>
        </w:rPr>
        <w:t xml:space="preserve"> وبعد تلقي رسالة ادُّعي فيها أن صاحب الشكوى عذب في 19 آب/أغسطس 2007، اتصلت الدولة الطرف بمسؤولين مكسيكيين كبار وبإدارة سجن زاكاتيكاس في 22 آب/أغسطس 2007 لتذكيرهم بأنه يجب الوفاء بالضمانات الدبلوماسية. وفي اليوم نفسه، زار مسؤولون قنصليون صاحب الشكوى. وفي أثناء هذه الزيارة، ادعى صاحب الشكوى مجدداً أنه عذب، لكنه لم يرغب في رفع شكوى في هذا الصدد. ولم ير المسؤولون القنصليون أي آثار للتعذيب. وفي خلال التحقيق الذي أجرته</w:t>
      </w:r>
      <w:r w:rsidR="000705BE">
        <w:rPr>
          <w:rFonts w:hint="eastAsia"/>
          <w:spacing w:val="0"/>
          <w:kern w:val="0"/>
          <w:sz w:val="20"/>
          <w:rtl/>
        </w:rPr>
        <w:t> </w:t>
      </w:r>
      <w:r w:rsidRPr="000705BE">
        <w:rPr>
          <w:rFonts w:hint="cs"/>
          <w:spacing w:val="0"/>
          <w:kern w:val="0"/>
          <w:sz w:val="20"/>
          <w:rtl/>
        </w:rPr>
        <w:t>السلطات المكسيكية، أنكر مدير سجن زاكاتيكاس ادعاءات صاحب الشكوى المتعلقة</w:t>
      </w:r>
      <w:r w:rsidR="000705BE">
        <w:rPr>
          <w:rFonts w:hint="eastAsia"/>
          <w:spacing w:val="0"/>
          <w:kern w:val="0"/>
          <w:sz w:val="20"/>
          <w:rtl/>
        </w:rPr>
        <w:t> </w:t>
      </w:r>
      <w:r w:rsidRPr="000705BE">
        <w:rPr>
          <w:rFonts w:hint="cs"/>
          <w:spacing w:val="0"/>
          <w:kern w:val="0"/>
          <w:sz w:val="20"/>
          <w:rtl/>
        </w:rPr>
        <w:t>بالتعذيب.</w:t>
      </w:r>
    </w:p>
    <w:p w:rsidR="00921F02" w:rsidRPr="003E698F" w:rsidRDefault="00921F02" w:rsidP="00B32542">
      <w:pPr>
        <w:pStyle w:val="SingleTxtGA"/>
        <w:spacing w:line="370" w:lineRule="exact"/>
        <w:jc w:val="lowKashida"/>
        <w:rPr>
          <w:rFonts w:hint="cs"/>
          <w:spacing w:val="0"/>
          <w:kern w:val="0"/>
          <w:sz w:val="20"/>
          <w:rtl/>
        </w:rPr>
      </w:pPr>
      <w:r w:rsidRPr="003E698F">
        <w:rPr>
          <w:rFonts w:hint="cs"/>
          <w:spacing w:val="0"/>
          <w:kern w:val="0"/>
          <w:sz w:val="20"/>
          <w:rtl/>
        </w:rPr>
        <w:t>4-2</w:t>
      </w:r>
      <w:r w:rsidRPr="003E698F">
        <w:rPr>
          <w:rFonts w:hint="cs"/>
          <w:spacing w:val="0"/>
          <w:kern w:val="0"/>
          <w:sz w:val="20"/>
          <w:rtl/>
        </w:rPr>
        <w:tab/>
        <w:t>وفي 23 أيلول/سبتمبر 2007، أفيد بأن سجيناً ضرب صاحب الشكوى، لكن هذا الأخير قال إن جروحه عولجت جيداً، وإن المعتدي وضع في الحبس الانفرادي. وطلبت الدولة الطرف إلى مدير السجن لاحقاً أن يرفع إليها تقريراً عن الحادث، وتقريراً طبياً، وتوضيحاً عن التدابير التي اتخذت لتجنب تكرار العنف ضد صاحب الشكوى. لكن الدولة الطرف شددت على أن صاحب الشكوى لم يكن يرغب في تقديم شكوى، وطلب عدم الإفصاح للسلطات المكسيكية عن تفاصيل ادعاءاته المتعلقة بالتعذيب. وفي 18 تشرين الأول/أكتوبر 2007، طلب صاحب الشكوى، مُدعماً برسالة وجهتها الدولة الطرف إلى القاضي المعني بالقضية، نقله إلى السجن الواقع في ولاية أغواسكالينتس.</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ملاحظات الدولة الطرف بشأن المقبولية والأسس الموضوعية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5-1</w:t>
      </w:r>
      <w:r w:rsidRPr="003E698F">
        <w:rPr>
          <w:rFonts w:hint="cs"/>
          <w:spacing w:val="0"/>
          <w:kern w:val="0"/>
          <w:sz w:val="20"/>
          <w:rtl/>
        </w:rPr>
        <w:tab/>
        <w:t>في 5 شباط/فبراير 2008 و20 آب/أغسطس 2008، قدمت الدولة الطرف ملاحظاتها بشأن مقبولية الشكوى وأسسها الموضوعية، وقالت فيها إنه ينبغي إعلان البلاغ غير مقبول لأن صاحب الشكوى لم يثبت وجود انتهاك ظاهر للمادة 3 من الاتفاقية، ولا هو دعم بما يكفي من أدلة ادعاءه بأن احتمال تعرضه للتعذيب شديد إذا سلم إلى المكسيك. وشددت الدولة الطرف على أن الأسباب التي تحمل على الاعتقاد بأن صاحب الشكوى قد يتعرض للتعذيب إذا أعيد يجب ألا تنبني على مجرد الافتراض أو الشك</w:t>
      </w:r>
      <w:r w:rsidRPr="003E698F">
        <w:rPr>
          <w:spacing w:val="0"/>
          <w:kern w:val="0"/>
          <w:sz w:val="20"/>
          <w:vertAlign w:val="superscript"/>
          <w:rtl/>
        </w:rPr>
        <w:t>(</w:t>
      </w:r>
      <w:r w:rsidRPr="003E698F">
        <w:rPr>
          <w:rStyle w:val="FootnoteReference"/>
          <w:spacing w:val="0"/>
          <w:sz w:val="20"/>
          <w:rtl/>
        </w:rPr>
        <w:footnoteReference w:id="153"/>
      </w:r>
      <w:r w:rsidRPr="003E698F">
        <w:rPr>
          <w:spacing w:val="0"/>
          <w:kern w:val="0"/>
          <w:sz w:val="20"/>
          <w:vertAlign w:val="superscript"/>
          <w:rtl/>
        </w:rPr>
        <w:t>)</w:t>
      </w:r>
      <w:r w:rsidRPr="003E698F">
        <w:rPr>
          <w:rFonts w:hint="cs"/>
          <w:spacing w:val="0"/>
          <w:kern w:val="0"/>
          <w:sz w:val="20"/>
          <w:rtl/>
        </w:rPr>
        <w:t>، وأنه يجب إثبات أن الشخص المعني سيكون معرضاً للخطر شخصياً</w:t>
      </w:r>
      <w:r w:rsidRPr="003E698F">
        <w:rPr>
          <w:spacing w:val="0"/>
          <w:kern w:val="0"/>
          <w:sz w:val="20"/>
          <w:vertAlign w:val="superscript"/>
          <w:rtl/>
        </w:rPr>
        <w:t>(</w:t>
      </w:r>
      <w:r w:rsidRPr="000705BE">
        <w:rPr>
          <w:rStyle w:val="FootnoteReference"/>
          <w:spacing w:val="0"/>
          <w:sz w:val="2"/>
          <w:szCs w:val="2"/>
          <w:rtl/>
        </w:rPr>
        <w:footnoteReference w:id="154"/>
      </w:r>
      <w:r w:rsidR="000705BE" w:rsidRPr="000705BE">
        <w:rPr>
          <w:rFonts w:hint="cs"/>
          <w:spacing w:val="0"/>
          <w:kern w:val="0"/>
          <w:sz w:val="28"/>
          <w:szCs w:val="28"/>
          <w:vertAlign w:val="superscript"/>
          <w:rtl/>
        </w:rPr>
        <w:t>ﻫ</w:t>
      </w:r>
      <w:r w:rsidRPr="003E698F">
        <w:rPr>
          <w:spacing w:val="0"/>
          <w:kern w:val="0"/>
          <w:sz w:val="20"/>
          <w:vertAlign w:val="superscript"/>
          <w:rtl/>
        </w:rPr>
        <w:t>)</w:t>
      </w:r>
      <w:r w:rsidRPr="003E698F">
        <w:rPr>
          <w:rFonts w:hint="cs"/>
          <w:spacing w:val="0"/>
          <w:kern w:val="0"/>
          <w:sz w:val="20"/>
          <w:rtl/>
        </w:rPr>
        <w:t>. وقالت الدولة الطرف إن ادعاءات صاحب الشكوى المتعلقة بالتعذيب مرتبطة بقبض الشرطة عليه واستجوابه في عام 1998، وإنه لم يدّع قط أنه عذب في السجن. إذن، فصاحب الشكوى لم يستطع، فيما يبدو، أن يثبت أن الشرطة ستستجوبه إن سُلم لإكمال العقوبة الصادرة في حقه والمثول أمام المحكمة، وأنه ستعرض من ثم للتعذيب في سجون المكسيك.</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5-2</w:t>
      </w:r>
      <w:r w:rsidRPr="003E698F">
        <w:rPr>
          <w:rFonts w:hint="cs"/>
          <w:spacing w:val="0"/>
          <w:kern w:val="0"/>
          <w:sz w:val="20"/>
          <w:rtl/>
        </w:rPr>
        <w:tab/>
        <w:t>ودفعت الدولة الطرف بأنه لا يمكن أن يُستنتج من الأسباب الإضافية التي عرضها صاحب الشكوى، مثل التقارير الدولية عن التعذيب في المكسيك، والتهم الموجهة إليه بسبب مشاركته في قتل حارس سجن، أنه قد يتعرض شخصياً للتعذيب إذا سُلم. وأكدت أن التقارير الدولية، مثل آخر ملاحظات ختامية أبدتها هذه اللجنة</w:t>
      </w:r>
      <w:r w:rsidRPr="003E698F">
        <w:rPr>
          <w:spacing w:val="0"/>
          <w:kern w:val="0"/>
          <w:sz w:val="20"/>
          <w:vertAlign w:val="superscript"/>
          <w:rtl/>
        </w:rPr>
        <w:t>(</w:t>
      </w:r>
      <w:r w:rsidRPr="003E698F">
        <w:rPr>
          <w:rStyle w:val="FootnoteReference"/>
          <w:spacing w:val="0"/>
          <w:sz w:val="20"/>
          <w:rtl/>
        </w:rPr>
        <w:footnoteReference w:id="155"/>
      </w:r>
      <w:r w:rsidRPr="003E698F">
        <w:rPr>
          <w:spacing w:val="0"/>
          <w:kern w:val="0"/>
          <w:sz w:val="20"/>
          <w:vertAlign w:val="superscript"/>
          <w:rtl/>
        </w:rPr>
        <w:t>)</w:t>
      </w:r>
      <w:r w:rsidRPr="003E698F">
        <w:rPr>
          <w:rFonts w:hint="cs"/>
          <w:spacing w:val="0"/>
          <w:kern w:val="0"/>
          <w:sz w:val="20"/>
          <w:rtl/>
        </w:rPr>
        <w:t>، تلمح إلى مشكلة التعذيب في مراكز الشرطة، لكنها لا تشير إلى أن التعذيب مستشر في منظومة السجون. وأكدت أيضاً وجود آليات للمراجعة القضائية والإدارية ولرصد حقوق الإنسان</w:t>
      </w:r>
      <w:r w:rsidRPr="003E698F">
        <w:rPr>
          <w:spacing w:val="0"/>
          <w:kern w:val="0"/>
          <w:sz w:val="20"/>
          <w:vertAlign w:val="superscript"/>
          <w:rtl/>
        </w:rPr>
        <w:t>(</w:t>
      </w:r>
      <w:r w:rsidRPr="003E698F">
        <w:rPr>
          <w:rStyle w:val="FootnoteReference"/>
          <w:spacing w:val="0"/>
          <w:sz w:val="20"/>
          <w:rtl/>
        </w:rPr>
        <w:footnoteReference w:id="156"/>
      </w:r>
      <w:r w:rsidRPr="003E698F">
        <w:rPr>
          <w:spacing w:val="0"/>
          <w:kern w:val="0"/>
          <w:sz w:val="20"/>
          <w:vertAlign w:val="superscript"/>
          <w:rtl/>
        </w:rPr>
        <w:t>)</w:t>
      </w:r>
      <w:r w:rsidRPr="003E698F">
        <w:rPr>
          <w:rFonts w:hint="cs"/>
          <w:spacing w:val="0"/>
          <w:kern w:val="0"/>
          <w:sz w:val="20"/>
          <w:rtl/>
        </w:rPr>
        <w:t xml:space="preserve"> وإن هذه الآليات تطبق عندما يقضي الناس عقوبات بالسجن. وقد صدقت المكسيك أيضاً على البروتوكول الاختياري الملحق بالعهد الدولي الخاص بالحقوق المدنية والسياسية، واعترفت باختصاص اللجنة المعنية بالموضوع في النظر في شكاوى الأفراد، الأمر الذي يتيح أمام صاحب الشكوى خيار رفع شكاوى على المكسيك إلى أي من اللجنتين.</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5-3</w:t>
      </w:r>
      <w:r w:rsidRPr="003E698F">
        <w:rPr>
          <w:rFonts w:hint="cs"/>
          <w:spacing w:val="0"/>
          <w:kern w:val="0"/>
          <w:sz w:val="20"/>
          <w:rtl/>
        </w:rPr>
        <w:tab/>
        <w:t>وأضافت الدولة الطرف أن الضمانات الدبلوماسية تكفي لوضع حد لاحتمال التعرض للتعذيب. وأشارت إلى أنها طلبت إلى حكومة المكسيك الضمانات التالية: أن تتخذ المكسيك تدابير احترازية معقولة تضمن سلامة صاحب الشكوى؛ وأن تضمن تمكين محامي صاحب الشكوى والمسؤولين في سفارة كندا من زيارة صاحب الشكوى في أي وقت معقول، وأن يتمكن من الاتصال بهم في أي وقت معقول؛ وأن تبذل قصارى جهدها لضمان محاكمة صاحب الشكوى وإنجازها دون إبطاء؛ وأن يجري تناول أي شكوى أو طلب آخر بسرعة. وشددت الدولة الطرف على أن المكسيك كانت وافقت على تلك الضمانات في قضية أخرى، وأن كل شيء يدعوها إلى الوفاء بالضمانات المنصوص عليها في ضوء التزاماتها بموجب معاهدة تسليم المطلوبين للعدالة ولتفادي الإضرار بسمعتها الدولية. وادعت الدولة الطرف، زيادة على ذلك، أنها استحدثت آلية لمراقبة وضع صاحب الشكوى في المكسيك</w:t>
      </w:r>
      <w:r w:rsidRPr="003E698F">
        <w:rPr>
          <w:spacing w:val="0"/>
          <w:kern w:val="0"/>
          <w:sz w:val="20"/>
          <w:vertAlign w:val="superscript"/>
          <w:rtl/>
        </w:rPr>
        <w:t>(</w:t>
      </w:r>
      <w:r w:rsidRPr="003E698F">
        <w:rPr>
          <w:rStyle w:val="FootnoteReference"/>
          <w:spacing w:val="0"/>
          <w:sz w:val="20"/>
          <w:rtl/>
        </w:rPr>
        <w:footnoteReference w:id="157"/>
      </w:r>
      <w:r w:rsidRPr="003E698F">
        <w:rPr>
          <w:spacing w:val="0"/>
          <w:kern w:val="0"/>
          <w:sz w:val="20"/>
          <w:vertAlign w:val="superscript"/>
          <w:rtl/>
        </w:rPr>
        <w:t>)</w:t>
      </w:r>
      <w:r w:rsidRPr="003E698F">
        <w:rPr>
          <w:rFonts w:hint="cs"/>
          <w:spacing w:val="0"/>
          <w:kern w:val="0"/>
          <w:sz w:val="20"/>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5-4</w:t>
      </w:r>
      <w:r w:rsidRPr="003E698F">
        <w:rPr>
          <w:rFonts w:hint="cs"/>
          <w:spacing w:val="0"/>
          <w:kern w:val="0"/>
          <w:sz w:val="20"/>
          <w:rtl/>
        </w:rPr>
        <w:tab/>
        <w:t>وعن الادعاء المتعلق بالتعذيب منذ عودته إلى سجن زاكاتيكاس، قالت الدولة الطرف إن صاحب الشكوى لم يدعم دعواه بالأدلة ولا هو قدم أي تفاصيل لهذا الغرض. وقالت إن تحقيقاً أجرته المكسيك خلص إلى أن ادعاءاته "غير وجيهة".</w:t>
      </w:r>
    </w:p>
    <w:p w:rsidR="00921F02" w:rsidRPr="003E698F" w:rsidRDefault="00921F02" w:rsidP="00B32542">
      <w:pPr>
        <w:pStyle w:val="SingleTxtGA"/>
        <w:jc w:val="lowKashida"/>
        <w:rPr>
          <w:rFonts w:hint="cs"/>
          <w:spacing w:val="0"/>
          <w:kern w:val="0"/>
          <w:sz w:val="20"/>
          <w:rtl/>
        </w:rPr>
      </w:pPr>
      <w:r w:rsidRPr="003E698F">
        <w:rPr>
          <w:rFonts w:hint="cs"/>
          <w:spacing w:val="0"/>
          <w:kern w:val="0"/>
          <w:sz w:val="20"/>
          <w:rtl/>
        </w:rPr>
        <w:t>5-5</w:t>
      </w:r>
      <w:r w:rsidRPr="003E698F">
        <w:rPr>
          <w:rFonts w:hint="cs"/>
          <w:spacing w:val="0"/>
          <w:kern w:val="0"/>
          <w:sz w:val="20"/>
          <w:rtl/>
        </w:rPr>
        <w:tab/>
        <w:t>وأكدت الدولة الطرف أن المحاكم الوطنية بحثت بعناية ادعاءات صاحب الشكوى واحتمال تعرضه للتعذيب وقت تسليمه، وأنه لا ينبغي للجنة أن تحل محل المحاكم الوطنية نظراً</w:t>
      </w:r>
      <w:r w:rsidR="00B32542">
        <w:rPr>
          <w:rFonts w:hint="eastAsia"/>
          <w:spacing w:val="0"/>
          <w:kern w:val="0"/>
          <w:sz w:val="20"/>
          <w:rtl/>
        </w:rPr>
        <w:t> </w:t>
      </w:r>
      <w:r w:rsidRPr="003E698F">
        <w:rPr>
          <w:rFonts w:hint="cs"/>
          <w:spacing w:val="0"/>
          <w:kern w:val="0"/>
          <w:sz w:val="20"/>
          <w:rtl/>
        </w:rPr>
        <w:t>إلى عدم وجود أخطاء بيّنة أو تجاوزات إجرائية أو سوء نية أو تحيز أو مخالفات إجرائية</w:t>
      </w:r>
      <w:r w:rsidR="00B32542">
        <w:rPr>
          <w:rFonts w:hint="eastAsia"/>
          <w:spacing w:val="0"/>
          <w:kern w:val="0"/>
          <w:sz w:val="20"/>
          <w:rtl/>
        </w:rPr>
        <w:t> </w:t>
      </w:r>
      <w:r w:rsidRPr="003E698F">
        <w:rPr>
          <w:rFonts w:hint="cs"/>
          <w:spacing w:val="0"/>
          <w:kern w:val="0"/>
          <w:sz w:val="20"/>
          <w:rtl/>
        </w:rPr>
        <w:t>جسيمة</w:t>
      </w:r>
      <w:r w:rsidRPr="003E698F">
        <w:rPr>
          <w:spacing w:val="0"/>
          <w:kern w:val="0"/>
          <w:sz w:val="20"/>
          <w:vertAlign w:val="superscript"/>
          <w:rtl/>
        </w:rPr>
        <w:t>(</w:t>
      </w:r>
      <w:r w:rsidRPr="003E698F">
        <w:rPr>
          <w:rStyle w:val="FootnoteReference"/>
          <w:spacing w:val="0"/>
          <w:sz w:val="20"/>
          <w:rtl/>
        </w:rPr>
        <w:footnoteReference w:id="158"/>
      </w:r>
      <w:r w:rsidRPr="003E698F">
        <w:rPr>
          <w:spacing w:val="0"/>
          <w:kern w:val="0"/>
          <w:sz w:val="20"/>
          <w:vertAlign w:val="superscript"/>
          <w:rtl/>
        </w:rPr>
        <w:t>)</w:t>
      </w:r>
      <w:r w:rsidRPr="003E698F">
        <w:rPr>
          <w:rFonts w:hint="cs"/>
          <w:spacing w:val="0"/>
          <w:kern w:val="0"/>
          <w:sz w:val="20"/>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5-6</w:t>
      </w:r>
      <w:r w:rsidRPr="003E698F">
        <w:rPr>
          <w:rFonts w:hint="cs"/>
          <w:spacing w:val="0"/>
          <w:kern w:val="0"/>
          <w:sz w:val="20"/>
          <w:rtl/>
        </w:rPr>
        <w:tab/>
        <w:t>واحتجت الدولة الطرف، من جهة أخرى، بأن قبول اللجنة البلاغ سيكون دون أساس للأسباب المقدمة أعلاه.</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تعليقات صاحب الشكوى على ملاحظات الدولة الطرف</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6-1</w:t>
      </w:r>
      <w:r w:rsidRPr="003E698F">
        <w:rPr>
          <w:rFonts w:hint="cs"/>
          <w:spacing w:val="0"/>
          <w:kern w:val="0"/>
          <w:sz w:val="20"/>
          <w:rtl/>
        </w:rPr>
        <w:tab/>
        <w:t>في 25 نيسان/أبريل و26 أيلول/سبتمبر 2008 و6 نيسان/أبريل 2009، اعترض صاحب الشكوى على ملاحظات الدولة الطرف، وأشار إلى أن عدم تشكيك الدولة الطرف في قيمة الضمانات الدبلوماسية المقدمة من المكسيك هو إنكار للعدالة. وقال صاحب الشكوى إن الدولة الطرف، عندما سلمته، لم تأخذ في الحسبان بما يكفي احتمال تعرضه للتعذيب شخصياً. فمن شأن إعادته إلى السجن الذي هرب منه، إضافة إلى كون حارس كان يعمل في ذلك السجن لقي حتفه ولم تُكشف قط هوية شركاء صاحب الشكوى، أن يعرِّضاه للخطر شخصياً. وقد أكد ذلك مضمونُ التقارير الدولية وآخر تقرير دولي قدمته المكسيك إلى لجنة مناهضة التعذيب، إذ أوضحت هذه التقارير أن ممارسة التعذيب متفشية في هذا البلد</w:t>
      </w:r>
      <w:r w:rsidRPr="003E698F">
        <w:rPr>
          <w:spacing w:val="0"/>
          <w:kern w:val="0"/>
          <w:sz w:val="20"/>
          <w:vertAlign w:val="superscript"/>
          <w:rtl/>
        </w:rPr>
        <w:t>(</w:t>
      </w:r>
      <w:r w:rsidRPr="003E698F">
        <w:rPr>
          <w:rStyle w:val="FootnoteReference"/>
          <w:spacing w:val="0"/>
          <w:sz w:val="20"/>
          <w:rtl/>
        </w:rPr>
        <w:footnoteReference w:id="159"/>
      </w:r>
      <w:r w:rsidRPr="003E698F">
        <w:rPr>
          <w:spacing w:val="0"/>
          <w:kern w:val="0"/>
          <w:sz w:val="20"/>
          <w:vertAlign w:val="superscript"/>
          <w:rtl/>
        </w:rPr>
        <w:t>)</w:t>
      </w:r>
      <w:r w:rsidRPr="003E698F">
        <w:rPr>
          <w:rFonts w:hint="cs"/>
          <w:spacing w:val="0"/>
          <w:kern w:val="0"/>
          <w:sz w:val="20"/>
          <w:rtl/>
        </w:rPr>
        <w:t>. وأضاف إلى ذلك أن ادعاءه التعرض للتعذيب في عام 1998 لم يفنّد قط. وفيما يتعلق بنظر الدولة الطرف في أحداث عام 1998، قال صاحب الشكوى إن وزارة العدل أساءت عن عمد تفسير فحوى الرسالة التي وردت من السلطات المكسيكية والتي تدعي أن مزاعم صاحب الشكوى المتعلقة بتعرضه للتعذيب لا أساس لها من الصحة. وادعى صاحب الشكوى أنه لم يرد في أي جزء متصل بهذا الموضوع من الرسالة أن مزاعمه لا أساس لها، لأن حكومة المكسيك اكتفت بالقول إن المزاعم مجردة من أي أساس قانوني وإن وجوده على الأراضي المكسيكية يكفي لضمان حقوقه الإنسانية وحرياته. وأكد صاحب الشكوى أن الدولة الطرف تصرفت بسوء نية وبنت قراراتها على مقدّمة خاطئة برفضها تصديقه عندما تحدث عن احتمال تعرضه للتعذيب شخصياً. لذا، لم تكن قرارات المحاكم الوطنية قائمة على أساس لأنها لم تكن قائمة على أدلة. ثم إن عدم معاقبة الموظفين الحكوميين الذين عذبوه في عام 1998 زاد احتمال تعرضه للتعذيب شخصياً من دون شك.</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6-2</w:t>
      </w:r>
      <w:r w:rsidRPr="003E698F">
        <w:rPr>
          <w:rFonts w:hint="cs"/>
          <w:spacing w:val="0"/>
          <w:kern w:val="0"/>
          <w:sz w:val="20"/>
          <w:rtl/>
        </w:rPr>
        <w:tab/>
        <w:t>وأشار صاحب الشكوى إلى أن الدولة الطرف لم تنظر فيما إذا كان يمكن للمكسيك أن تسيطر فعلياً على قواتها الأمنية، ومن ثم التأكد من الوفاء بضماناتها الدبلوماسية. وأشار أيضاً إلى أن الضمانات فضفاضة ولا تنص، على سبيل المثال، على عدم إعادته إلى نفس السجن الذي فر منه. وأضاف قائلاً إن الدولة الطرف لم تسأل عن صحته قبل 20 آب/أغسطس 2007 رغم أنها كانت على علم بشواغله والمخاطر التي تنطوي عليها عودته إلى نفس السجن الذي هرب منه. ونظراً إلى أن مسؤولي السفارة الكندية في المكسيك لم يبلَّغوا بقضيته إلا قبل تسليمه بيومين وأنهم لم يكونوا يعلمون بالضمانات الدبلوماسية قبل ذلك اليوم بالتحديد</w:t>
      </w:r>
      <w:r w:rsidRPr="003E698F">
        <w:rPr>
          <w:spacing w:val="0"/>
          <w:kern w:val="0"/>
          <w:sz w:val="20"/>
          <w:vertAlign w:val="superscript"/>
          <w:rtl/>
        </w:rPr>
        <w:t>(</w:t>
      </w:r>
      <w:r w:rsidRPr="003E698F">
        <w:rPr>
          <w:rStyle w:val="FootnoteReference"/>
          <w:spacing w:val="0"/>
          <w:sz w:val="20"/>
          <w:rtl/>
        </w:rPr>
        <w:footnoteReference w:id="160"/>
      </w:r>
      <w:r w:rsidRPr="003E698F">
        <w:rPr>
          <w:spacing w:val="0"/>
          <w:kern w:val="0"/>
          <w:sz w:val="20"/>
          <w:vertAlign w:val="superscript"/>
          <w:rtl/>
        </w:rPr>
        <w:t>)</w:t>
      </w:r>
      <w:r w:rsidRPr="003E698F">
        <w:rPr>
          <w:rFonts w:hint="cs"/>
          <w:spacing w:val="0"/>
          <w:kern w:val="0"/>
          <w:sz w:val="20"/>
          <w:rtl/>
        </w:rPr>
        <w:t>، فإن صاحب الشكوى اعترض على ادعاء الدولة الطرف أنها وضعت آلية لكفالة وفاء المكسيك بضماناتها الدبلوماسية.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6-3</w:t>
      </w:r>
      <w:r w:rsidRPr="003E698F">
        <w:rPr>
          <w:rFonts w:hint="cs"/>
          <w:spacing w:val="0"/>
          <w:kern w:val="0"/>
          <w:sz w:val="20"/>
          <w:rtl/>
        </w:rPr>
        <w:tab/>
        <w:t>وقال صاحب الشكوى إن حارسين من حراس السجن ومدير الأمن في سجن زاكاتيكاس عذبوه في التواريخ التالية: 17 و19 و21 آب/أغسطس 2007 انتقاماً لزميلهم الذي قتل وقت هروبه. فقد ضربوه على ظهره، وغمسوا رأسه في برميل ماء حتى كادوا يغرقونه، ووضعوا رأسه في كيس من البلاستيك حتى أغمي عليه، ووضعوا مرق الفلفل الحار في منخريه</w:t>
      </w:r>
      <w:r w:rsidRPr="003E698F">
        <w:rPr>
          <w:spacing w:val="0"/>
          <w:kern w:val="0"/>
          <w:sz w:val="20"/>
          <w:vertAlign w:val="superscript"/>
          <w:rtl/>
        </w:rPr>
        <w:t>(</w:t>
      </w:r>
      <w:r w:rsidRPr="003E698F">
        <w:rPr>
          <w:rStyle w:val="FootnoteReference"/>
          <w:spacing w:val="0"/>
          <w:sz w:val="20"/>
          <w:rtl/>
        </w:rPr>
        <w:footnoteReference w:id="161"/>
      </w:r>
      <w:r w:rsidRPr="003E698F">
        <w:rPr>
          <w:spacing w:val="0"/>
          <w:kern w:val="0"/>
          <w:sz w:val="20"/>
          <w:vertAlign w:val="superscript"/>
          <w:rtl/>
        </w:rPr>
        <w:t>)</w:t>
      </w:r>
      <w:r w:rsidRPr="003E698F">
        <w:rPr>
          <w:rFonts w:hint="cs"/>
          <w:spacing w:val="0"/>
          <w:kern w:val="0"/>
          <w:sz w:val="20"/>
          <w:rtl/>
        </w:rPr>
        <w:t>. وفي الفترة الممتدة بين مجيئه إلى سجن زاكاتيكاس في 17 آب/ أغسطس</w:t>
      </w:r>
      <w:r w:rsidRPr="003E698F">
        <w:rPr>
          <w:rFonts w:hint="eastAsia"/>
          <w:spacing w:val="0"/>
          <w:kern w:val="0"/>
          <w:sz w:val="20"/>
          <w:rtl/>
        </w:rPr>
        <w:t> </w:t>
      </w:r>
      <w:r w:rsidRPr="003E698F">
        <w:rPr>
          <w:rFonts w:hint="cs"/>
          <w:spacing w:val="0"/>
          <w:kern w:val="0"/>
          <w:sz w:val="20"/>
          <w:rtl/>
        </w:rPr>
        <w:t>2007 و20 آب/أغسطس 2007، مُنع من الاتصال بأي شخص هاتفياً. وكشفت مكالمة بين أخته ومسؤول في السفارة في 20 آب/أغسطس 2007 أن الدولة الطرف لم تكن تعلم إن كان صاحب الشكوى يستطيع الاتصال بالهاتف أم لا، وبذلك أخلّت بالضمانات الدبلوماسية. وأضاف أن الدولة الطرف لم تتخذ إجراءات للتحقق من سلامته إلا بعد زيارة مسؤولين قنصليين في 22 آب/أغسطس 2007.</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6-4</w:t>
      </w:r>
      <w:r w:rsidRPr="003E698F">
        <w:rPr>
          <w:rFonts w:hint="cs"/>
          <w:spacing w:val="0"/>
          <w:kern w:val="0"/>
          <w:sz w:val="20"/>
          <w:rtl/>
        </w:rPr>
        <w:tab/>
        <w:t>وأفاد صاحب الشكوى بأن معاهدة تسليم المطلوبين للعدالة بين الدولة الطرف والمكسيك تنص صراحة في الفقرة 1 من المادة الثالثة على أن كندا غير ملزمة بتسليم مواطنيها إلى المكسيك، وتجيز لكندا محاكمة مواطنيها على جرائم اتهموا بأنهم ارتكبوها في المكسيك. وأكد صاحب الشكوى أن الدولة الطرف خاطرت مخاطرة غير مقبولة بتسليمه إلى المكسيك، ومن ثم فقد أخلت بأحكام المادة 3 من الاتفاقية.</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التعليقات الإضافية التي قدمتها الدولة الطرف</w:t>
      </w:r>
    </w:p>
    <w:p w:rsidR="00921F02" w:rsidRPr="00B32542" w:rsidRDefault="00921F02" w:rsidP="00B32542">
      <w:pPr>
        <w:pStyle w:val="SingleTxtGA"/>
        <w:spacing w:line="370" w:lineRule="exact"/>
        <w:jc w:val="lowKashida"/>
        <w:rPr>
          <w:rFonts w:hint="cs"/>
          <w:spacing w:val="-4"/>
          <w:kern w:val="0"/>
          <w:sz w:val="20"/>
          <w:rtl/>
        </w:rPr>
      </w:pPr>
      <w:r w:rsidRPr="00B32542">
        <w:rPr>
          <w:rFonts w:hint="cs"/>
          <w:spacing w:val="-2"/>
          <w:kern w:val="0"/>
          <w:sz w:val="20"/>
          <w:rtl/>
        </w:rPr>
        <w:t>7-1</w:t>
      </w:r>
      <w:r w:rsidRPr="00B32542">
        <w:rPr>
          <w:rFonts w:hint="cs"/>
          <w:spacing w:val="-2"/>
          <w:kern w:val="0"/>
          <w:sz w:val="20"/>
          <w:rtl/>
        </w:rPr>
        <w:tab/>
        <w:t xml:space="preserve">في 28 آب/أغسطس 2009، أكدت الدولة الطرف ملاحظاتها السابقة فقالت إنه لا ينبغي الخلط بين تقييم احتمال التعرض للتعذيب قبل تسليم صاحب الشكوى والادعاءات المتعلقة بسوء المعاملة بعد أن وقع في قبضة السلطات المكسيكية. وجزمت الدولة الطرف بأنها لم تقبل دون تحفظ حقيقة الادعاءات الواردة في الإقرار الذي قدمه صاحب الشكوى في 21 آذار/مارس 2009 والتي لم تُدعم بأدلة كافية لأنه لم يكن في مقدور موظفي قنصلية الدولة الطرف ولا موظفي لجنة حقوق الإنسان في زاكاتيكاس أن يحققوا فيما وقع في 17 و19 و21 آب/أغسطس 2007، دون موافقة صاحب الشكوى. وأضافت الدولة الطرف أنه، بصرف النظر عما إذا كانت الادعاءات الواردة في إقرار صاحب الشكوى والمتعلقة بالتعذيب صحيحة أم لا، فقد كان من المعقول، وقت إجراءات التسليم، تسليم صاحب الشكوى إلى المكسيك </w:t>
      </w:r>
      <w:r w:rsidRPr="00B32542">
        <w:rPr>
          <w:rFonts w:hint="cs"/>
          <w:spacing w:val="-4"/>
          <w:kern w:val="0"/>
          <w:sz w:val="20"/>
          <w:rtl/>
        </w:rPr>
        <w:t>على أساس الضمانات الدبلوماسية وعدم وجود احتمال كبير بأن يتعرض صاحب الشكوى للتعذيب شخصياً. وقالت إن الادعاءات التي قُدمت بعد التسليم لا تؤثر في مشروعية قرار تسليم صاحب الشكوى. وأضافت الدولة الطرف أنها وضعت آلية للتأكد من أنه يتم الوفاء بالضمانات الدبلوماسية وأنها استجابت الاستجابة المناسبة عندما ادعى صاحب الشكوى أنه عذب.</w:t>
      </w:r>
    </w:p>
    <w:p w:rsidR="00921F02" w:rsidRPr="003E698F" w:rsidRDefault="00921F02" w:rsidP="00B32542">
      <w:pPr>
        <w:pStyle w:val="SingleTxtGA"/>
        <w:spacing w:line="370" w:lineRule="exact"/>
        <w:jc w:val="lowKashida"/>
        <w:rPr>
          <w:rFonts w:hint="cs"/>
          <w:spacing w:val="0"/>
          <w:kern w:val="0"/>
          <w:sz w:val="20"/>
          <w:rtl/>
        </w:rPr>
      </w:pPr>
      <w:r w:rsidRPr="003E698F">
        <w:rPr>
          <w:rFonts w:hint="cs"/>
          <w:spacing w:val="0"/>
          <w:kern w:val="0"/>
          <w:sz w:val="20"/>
          <w:rtl/>
        </w:rPr>
        <w:t>7-2</w:t>
      </w:r>
      <w:r w:rsidRPr="003E698F">
        <w:rPr>
          <w:rFonts w:hint="cs"/>
          <w:spacing w:val="0"/>
          <w:kern w:val="0"/>
          <w:sz w:val="20"/>
          <w:rtl/>
        </w:rPr>
        <w:tab/>
        <w:t>وفيما يتعلق بعملية التسليم، أوضحت الدولة الطرف أن وزارة العدل هي المسؤولة عن حالات التسليم في بادئ الأمر، وأنه متى تأكد الأمر الصادر بالتسليم، باتت وزارة الشؤون الخارجية والتجارة الدولية هي المسؤولة عن متابعة الحالات في الخارج. وعلى هذا، لم يصبح موظفو هذه الوزارة الأخيرة معنيين بالقضية إلا بعد تسليم صاحب الشكوى. وأكدت الدولة الطرف في هذه الحالة أن سفارة كندا في المكسيك أبلِغت حسب الأصول بتسليم صاحب الشكوى في 15 آب/أغسطس 2007. وفي 17 آب/أغسطس 2007، التقى مسؤول قنصلي بصاحب الشكوى وأمده بمعلومات تسمح له بالاتصال بالسفارة. وعن ادعاء صاحب الشكوى عدم معرفة المسؤولين الكنديين بما إذا كان يمكنه تلقي مكالمات هاتفية أم لا، قالت الدولة الطرف إن لكل سجن قواعدَه المتعلقة بالاتصالات الهاتفية، وإنه لا دخل لمسؤولي القنصلية في ذلك ما لم توجد أسباب وجيهة تبرره؛ وقد عُقد اتصال هاتفي بين صاحب الشكوى وتلك السلطات في 20 آب/أغسطس 2007. وأكدت الدولة الطرف أيضاً أن مسؤولي القنصلية، ما لم ينته إلى علمهم احتمال الإخلال بالضمانات الدبلوماسية، ليسوا مجبرين على القيام بأكثر من الإبقاء على الاتصال بصاحب الشكوى.</w:t>
      </w:r>
    </w:p>
    <w:p w:rsidR="00921F02" w:rsidRPr="003E698F" w:rsidRDefault="00921F02" w:rsidP="00B32542">
      <w:pPr>
        <w:pStyle w:val="SingleTxtGA"/>
        <w:spacing w:line="370" w:lineRule="exact"/>
        <w:jc w:val="lowKashida"/>
        <w:rPr>
          <w:rFonts w:hint="cs"/>
          <w:spacing w:val="0"/>
          <w:kern w:val="0"/>
          <w:sz w:val="20"/>
          <w:rtl/>
        </w:rPr>
      </w:pPr>
      <w:r w:rsidRPr="003E698F">
        <w:rPr>
          <w:rFonts w:hint="cs"/>
          <w:spacing w:val="0"/>
          <w:kern w:val="0"/>
          <w:sz w:val="20"/>
          <w:rtl/>
        </w:rPr>
        <w:t>7-3</w:t>
      </w:r>
      <w:r w:rsidRPr="003E698F">
        <w:rPr>
          <w:rFonts w:hint="cs"/>
          <w:spacing w:val="0"/>
          <w:kern w:val="0"/>
          <w:sz w:val="20"/>
          <w:rtl/>
        </w:rPr>
        <w:tab/>
        <w:t>وأشارت الدولة الطرف إلى سوابق اللجنة القضائية التي تذهب إلى أن تقييم احتمالات التعرض للتعذيب قبل التسليم عملية تقوم على التقدير، وأن القرار الناتج عن هذا التقدير لا يجوز أن يكون محل شك نتيجة أحداث لاحقة غير متوقعة</w:t>
      </w:r>
      <w:r w:rsidRPr="003E698F">
        <w:rPr>
          <w:spacing w:val="0"/>
          <w:kern w:val="0"/>
          <w:sz w:val="20"/>
          <w:vertAlign w:val="superscript"/>
          <w:rtl/>
        </w:rPr>
        <w:t>(</w:t>
      </w:r>
      <w:r w:rsidRPr="003E698F">
        <w:rPr>
          <w:rStyle w:val="FootnoteReference"/>
          <w:spacing w:val="0"/>
          <w:sz w:val="20"/>
          <w:rtl/>
        </w:rPr>
        <w:footnoteReference w:id="162"/>
      </w:r>
      <w:r w:rsidRPr="003E698F">
        <w:rPr>
          <w:spacing w:val="0"/>
          <w:kern w:val="0"/>
          <w:sz w:val="20"/>
          <w:vertAlign w:val="superscript"/>
          <w:rtl/>
        </w:rPr>
        <w:t>)</w:t>
      </w:r>
      <w:r w:rsidRPr="003E698F">
        <w:rPr>
          <w:rFonts w:hint="cs"/>
          <w:spacing w:val="0"/>
          <w:kern w:val="0"/>
          <w:sz w:val="20"/>
          <w:rtl/>
        </w:rPr>
        <w:t>. وقالت إن المعاملة السيئة التي عومل بها صاحب الشكوى لاحقاً لا تعني سوى أنه يمكن التشكيك في إجراءات الدولة الطرف للتأكد من الوفاء بالضمانات، وليس في قرارها تسليم صاحب الشكوى في المقام الأول. وذكّرت بأن وزير العدل محّص النظر في كل من ادعاءات صاحب الشكوى المتعلقة بالتعذيب في عام 1998 ورفض السلطات المكسيكية الرسمي تك الادعاءات؛ ونظر أيضاً في تقارير عدة تدعي انتشار انتهاكات حقوق الإنسان في المكسيك، وكذا تجارب كنديين آخرين حوكموا في المكسيك. وفي الختام، أخذ في الحسبان أيضاً قتل حارس سجن أثناء هروب صاحب الشكوى، واحتمال سعي سلطات السجن إلى الانتقام منه. واقتنع وزير العدل بأن المكسيك ستفي بضماناتها الدبلوماسية، نظراً إلى الأهمية التي توليها لاحترام علاقاتها الدبلوماسية وما أثبتته التجربة الإيجابية السابقة. وأيدت محكمة الاستئناف استنتاجات وزير العدل تأييداً كاملاً.</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التعليقات الإضافية التي قدمها صاحب الشكوى</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8-1</w:t>
      </w:r>
      <w:r w:rsidRPr="003E698F">
        <w:rPr>
          <w:rFonts w:hint="cs"/>
          <w:spacing w:val="0"/>
          <w:kern w:val="0"/>
          <w:sz w:val="20"/>
          <w:rtl/>
        </w:rPr>
        <w:tab/>
        <w:t>في التعليقات الإضافية التي قدمها صاحب الشكوى في 29 أيلول/سبتمبر 2009، أكد ما كان ادعاه طوال عملية التسليم من تعرضه للتعذيب في عام 1998 وأن السلطات الكندية لم تشكك قط في ذلك</w:t>
      </w:r>
      <w:r w:rsidRPr="003E698F">
        <w:rPr>
          <w:spacing w:val="0"/>
          <w:kern w:val="0"/>
          <w:sz w:val="20"/>
          <w:vertAlign w:val="superscript"/>
          <w:rtl/>
        </w:rPr>
        <w:t>(</w:t>
      </w:r>
      <w:r w:rsidRPr="003E698F">
        <w:rPr>
          <w:rStyle w:val="FootnoteReference"/>
          <w:spacing w:val="0"/>
          <w:sz w:val="20"/>
          <w:rtl/>
        </w:rPr>
        <w:footnoteReference w:id="163"/>
      </w:r>
      <w:r w:rsidRPr="003E698F">
        <w:rPr>
          <w:spacing w:val="0"/>
          <w:kern w:val="0"/>
          <w:sz w:val="20"/>
          <w:vertAlign w:val="superscript"/>
          <w:rtl/>
        </w:rPr>
        <w:t>)</w:t>
      </w:r>
      <w:r w:rsidRPr="003E698F">
        <w:rPr>
          <w:rFonts w:hint="cs"/>
          <w:spacing w:val="0"/>
          <w:kern w:val="0"/>
          <w:sz w:val="20"/>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8-2</w:t>
      </w:r>
      <w:r w:rsidRPr="003E698F">
        <w:rPr>
          <w:rFonts w:hint="cs"/>
          <w:spacing w:val="0"/>
          <w:kern w:val="0"/>
          <w:sz w:val="20"/>
          <w:rtl/>
        </w:rPr>
        <w:tab/>
        <w:t>وفيما يتعلق بعملية التسليم أكد أيضاً أن المسؤولين الكنديين في المكسيك لم يكونوا على علم بقضيته، وهذا ما أيدته ملاحظات الدولة الطرف التي جاء فيها أن السفارة أبلِغت في 15 آب/أغسطس 2007، أي قبل تسلميه ب‍ 48 ساعة فقط. وشدد صاحب الشكوى على أن الدولة الطرف نفسها اعترفت بأن مسؤولي السفارة اكتفوا برد الفعل على الأحداث، وأكد أن هذا الموقف محيّر، ولا سيما أنه كان من المفترض بالضرورة الحصول على الضمانات الدبلوماسية من بلد الوجهة قبل التسليم، وأن زيارةً من مسؤولي القنصلية للسجن ورسالةً من السفير إلى حاكم ولاية زاكاتيكاس كانتا كفيلتين بو</w:t>
      </w:r>
      <w:r w:rsidR="00E61B85">
        <w:rPr>
          <w:rFonts w:hint="cs"/>
          <w:spacing w:val="0"/>
          <w:kern w:val="0"/>
          <w:sz w:val="20"/>
          <w:rtl/>
        </w:rPr>
        <w:t xml:space="preserve">ضع حد لسوء المعاملة. وفي إشارة </w:t>
      </w:r>
      <w:r w:rsidRPr="003E698F">
        <w:rPr>
          <w:rFonts w:hint="cs"/>
          <w:spacing w:val="0"/>
          <w:kern w:val="0"/>
          <w:sz w:val="20"/>
          <w:rtl/>
        </w:rPr>
        <w:t>إلى ملاحظات الدولة الطرف المؤرخة 28 أيلول/سبتمبر 2007 أكد صاحب الشكوى أن مسؤولي القنصلية لم يكونوا يعرفون أن الدولة الطرف حصلت على ضمانات دبلوماسية، لذا فهم لم يتخذوا أي إجراءات للتأكد من أنه يحق لصاحب الشكوى أن يتصل بمحاميه وبمسؤولي السفارة. كما أن المسؤولين الكنديين لم يتحققوا قط من أنه يمكنه فعل ذلك.</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8-3</w:t>
      </w:r>
      <w:r w:rsidRPr="003E698F">
        <w:rPr>
          <w:rFonts w:hint="cs"/>
          <w:spacing w:val="0"/>
          <w:kern w:val="0"/>
          <w:sz w:val="20"/>
          <w:rtl/>
        </w:rPr>
        <w:tab/>
        <w:t>ويرى صاحب الشكوى أن افتراض الدولة الطرف عدم احتمال تعرضه للتعذيب قبل تسليمه يتعارض مع قرار طلب الضمانات الدبلوماسية ومع كون محكمة الاستئناف أعطت ادعاءاته المتعلقة بالتعذيب مصداقية أكبر من إنكار المكسيك القاطع. ويؤكد أيضاً أن قضية التسليم السابقة لكنديّ عُرضت دون أي معلومات قد تسمح بالمقارنة بين القضيتين، علماً بأن ذلك لا يقلل بأي حال من الأحوال من وجود احتمال كبير وشخصي للتعرض للتعذيب في قضية صاحب الشكوى.</w:t>
      </w:r>
    </w:p>
    <w:p w:rsidR="00921F02" w:rsidRPr="003E698F" w:rsidRDefault="00921F02" w:rsidP="00503CA2">
      <w:pPr>
        <w:pStyle w:val="SingleTxtGA"/>
        <w:jc w:val="lowKashida"/>
        <w:rPr>
          <w:rFonts w:hint="cs"/>
          <w:spacing w:val="0"/>
          <w:kern w:val="0"/>
          <w:sz w:val="20"/>
          <w:rtl/>
        </w:rPr>
      </w:pPr>
      <w:r w:rsidRPr="003E698F">
        <w:rPr>
          <w:rFonts w:hint="cs"/>
          <w:spacing w:val="0"/>
          <w:kern w:val="0"/>
          <w:sz w:val="20"/>
          <w:rtl/>
        </w:rPr>
        <w:t>8-4</w:t>
      </w:r>
      <w:r w:rsidRPr="003E698F">
        <w:rPr>
          <w:rFonts w:hint="cs"/>
          <w:spacing w:val="0"/>
          <w:kern w:val="0"/>
          <w:sz w:val="20"/>
          <w:rtl/>
        </w:rPr>
        <w:tab/>
        <w:t>وعرّج صاحب الشكوى على الحديث عن نوعية الضمانات الدبلوماسية فأكد أن الضمانات الدبلوماسية، حتى مع أخذ وزير العدل في الاعتبار إمكانية الانتقام من صاحب الشكوى بسبب التهم الموجهة إليه في قضية قتل حارس السجن، لم تتضمن أي تدابير لمنع ذلك الانتقام. كما أن الدولة الطرف لم تتخذ إجراءات قبل تسليمه للتأكد من أنه سينعم بالأمن ويُسمح له بالاتصال. ويعترض أيضاً على الادعاء بوضع آلية لرصد التقيد بالضمانات الدبلوماسية، وشدد على أن الإجراء الذي اتخذه مسؤولو القنصلية لم يكن إلا رداً على ادعاءاته المتعلقة بالتعذيب، وليس جزءاً من آلية للرصد. ويؤكد صاحب الشكوى من جديد أيضاً أن تسعة أشهر قد مضت بين اللحظة التي حصلت فيها الدولة الطرف على الضمانات الدبلوماسية، في 16 تشرين الثاني/نوفمبر 2006، واللحظة التي حاول فيها مسؤول في وزارة الشؤون الخارجية والتجارة الدولية الحصول على نسخة منها في 15 آب/أغسطس 2007. ولفت الانتباه إلى أنه إذا لم يكن لدى مسؤولي السفارة نسخة من الضمانات الدبلوماسية، فإن ذلك يعني بداهة أن سلطات السجن وسلطات ولاية زاكاتيكاس لم تكن لديها نسخة</w:t>
      </w:r>
      <w:r w:rsidR="00503CA2">
        <w:rPr>
          <w:rFonts w:hint="eastAsia"/>
          <w:spacing w:val="0"/>
          <w:kern w:val="0"/>
          <w:sz w:val="20"/>
          <w:rtl/>
        </w:rPr>
        <w:t> </w:t>
      </w:r>
      <w:r w:rsidRPr="003E698F">
        <w:rPr>
          <w:rFonts w:hint="cs"/>
          <w:spacing w:val="0"/>
          <w:kern w:val="0"/>
          <w:sz w:val="20"/>
          <w:rtl/>
        </w:rPr>
        <w:t>منها.</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الملاحظات الإضافية التي أبدتها الدولة الطرف بشأن المقبولية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9-</w:t>
      </w:r>
      <w:r w:rsidRPr="003E698F">
        <w:rPr>
          <w:rFonts w:hint="cs"/>
          <w:spacing w:val="0"/>
          <w:kern w:val="0"/>
          <w:sz w:val="20"/>
          <w:rtl/>
        </w:rPr>
        <w:tab/>
        <w:t>في 26 نيسان/أبريل 2010، قالت الدولة الطرف إنه ينبغي إعلان البلاغ غير مقبول بسبب عدم استنفاد سبل الانتصاف المحلية لأن صاحب الشكوى رفع في 8 نيسان/ أبريل</w:t>
      </w:r>
      <w:r w:rsidRPr="003E698F">
        <w:rPr>
          <w:rFonts w:hint="eastAsia"/>
          <w:spacing w:val="0"/>
          <w:kern w:val="0"/>
          <w:sz w:val="20"/>
          <w:rtl/>
        </w:rPr>
        <w:t> </w:t>
      </w:r>
      <w:r w:rsidRPr="003E698F">
        <w:rPr>
          <w:rFonts w:hint="cs"/>
          <w:spacing w:val="0"/>
          <w:kern w:val="0"/>
          <w:sz w:val="20"/>
          <w:rtl/>
        </w:rPr>
        <w:t>2010 دعوى أمام المحكمة الاتحادية تتعلق بمضمون الشكوى المعروضة على اللجنة. وادعى صاحب الشكوى أمام المحكمة الاتحادية أن الدولة الطرف انتهكت حقوقه بتسليمه إلى المكسيك في 17 آب/أغسطس 2007 واضعةً ثقتها في الضمانات الدبلوماسية المقدمة، علماً بأنها لم تفعل شيئاً - على حد قوله - للتأكد من أن تلك الضمانات ستُحترم بعد تسليمه. وأكدت الدولة الطرف أن صاحب الشكوى لم يقم من ثم دعوى ظاهرة الوجاهة لإثبات مقبولية بلاغه</w:t>
      </w:r>
      <w:r w:rsidRPr="003E698F">
        <w:rPr>
          <w:spacing w:val="0"/>
          <w:kern w:val="0"/>
          <w:sz w:val="20"/>
          <w:vertAlign w:val="superscript"/>
          <w:rtl/>
        </w:rPr>
        <w:t>(</w:t>
      </w:r>
      <w:r w:rsidRPr="003E698F">
        <w:rPr>
          <w:rStyle w:val="FootnoteReference"/>
          <w:spacing w:val="0"/>
          <w:sz w:val="20"/>
          <w:rtl/>
        </w:rPr>
        <w:footnoteReference w:id="164"/>
      </w:r>
      <w:r w:rsidRPr="003E698F">
        <w:rPr>
          <w:spacing w:val="0"/>
          <w:kern w:val="0"/>
          <w:sz w:val="20"/>
          <w:vertAlign w:val="superscript"/>
          <w:rtl/>
        </w:rPr>
        <w:t>)</w:t>
      </w:r>
      <w:r w:rsidRPr="003E698F">
        <w:rPr>
          <w:rFonts w:hint="cs"/>
          <w:spacing w:val="0"/>
          <w:kern w:val="0"/>
          <w:sz w:val="20"/>
          <w:rtl/>
        </w:rPr>
        <w:t>. كما أنه لا توجد أسباب تحمل على الاعتقاد بأن سبيل الانتصاف المحلي سيطول لدرجة غير معقولة.</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التعليقات الإضافية التي قدمها صاحب الشكوى</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10-1</w:t>
      </w:r>
      <w:r w:rsidRPr="003E698F">
        <w:rPr>
          <w:rFonts w:hint="cs"/>
          <w:spacing w:val="0"/>
          <w:kern w:val="0"/>
          <w:sz w:val="20"/>
          <w:rtl/>
        </w:rPr>
        <w:tab/>
        <w:t>في التعليقات الإضافية التي قدمها صاحب الشكوى في 30 حزيران/يونيه 2010، أكد أن الدعوى التي رفعها إلى المحكمة الاتحادية والبلاغ المعروض على اللجنة مسألتان مختلفتان. ففي شكواه المعروضة على اللجنة، احتج صاحب الشكوى بالمادة 3 من الاتفاقية، التي تحظر تسليمه إلى بلد يُحتمل احتمالاً كبيراً أن يتعرض فيه للتعذيب، وكان الهدف منها تبيان انتهاك الدولة الطرف اتفاقية مناهضة التعذيب وغيره من ضروب المعاملة أو العقوبة القاسية أو اللاإنسانية أو المهينة بتسليمه إلى المكسيك في 17 آب/أغسطس 2007. وأكد مجدداً أن الطبيعة المتوقعة والحقيقية والشخصية لاحتمال التعرض للتعذيب تقوم على كون حارس سجن قد قتل أثناء هروب صاحب الشكوى، وأن التعذيب ممارسة مستشرية في سجون المكسيك. أما في الدعوى المقدمة إلى المحكمة الاتحادية، فقد سعى صاحب الشكوى إلى الحصول على تعويض عما لحقه من تعذيب وليس عن احتمال تعرضه للتعذيب. إذن، فليس صحيحاً الإلماح إلى أن الدعوى المعروضة على المحكمة الاتحادية سبيل للانتصاف لم يستنفد بعد.</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10-2</w:t>
      </w:r>
      <w:r w:rsidRPr="003E698F">
        <w:rPr>
          <w:rFonts w:hint="cs"/>
          <w:spacing w:val="0"/>
          <w:kern w:val="0"/>
          <w:sz w:val="20"/>
          <w:rtl/>
        </w:rPr>
        <w:tab/>
        <w:t xml:space="preserve">وأكد صاحب الشكوى أن الاحتجاج أيضاً أمام المحكمة الاتحادية بانتهاك </w:t>
      </w:r>
      <w:r w:rsidRPr="003E698F">
        <w:rPr>
          <w:rFonts w:hint="cs"/>
          <w:spacing w:val="0"/>
          <w:kern w:val="0"/>
          <w:sz w:val="20"/>
          <w:rtl/>
          <w:lang w:val="fr-CH"/>
        </w:rPr>
        <w:t>اتفاقية مناهضة التعذيب وغيره من ضروب المعاملة أو العقوبة القاسية أو اللاإنسانية أو المهينة</w:t>
      </w:r>
      <w:r w:rsidRPr="003E698F">
        <w:rPr>
          <w:rFonts w:hint="cs"/>
          <w:spacing w:val="0"/>
          <w:kern w:val="0"/>
          <w:sz w:val="20"/>
          <w:rtl/>
        </w:rPr>
        <w:t xml:space="preserve"> لا يعني أنه يمكن رفض البلاغ بحجة عدم استنفاد سبل الانتصاف المحلية. ففي البلاغ المعروض على اللجنة، يتمثل الضرر في انتهاك الاتفاقية نفسها، في حين أن ذلك الانتهاك، في الدعوى المعروضة على المحكمة الاتحادية، يكمن في حلقة من حلقات الأخطاء المزعومة التي قد تثبت مسؤولية الدولة الطرف عنها. وأكد صاحب الشكوى أيضاً أن البلاغ المعروض على اللجنة قدم في 4 تموز/ يوليه</w:t>
      </w:r>
      <w:r w:rsidRPr="003E698F">
        <w:rPr>
          <w:rFonts w:hint="eastAsia"/>
          <w:spacing w:val="0"/>
          <w:kern w:val="0"/>
          <w:sz w:val="20"/>
          <w:rtl/>
        </w:rPr>
        <w:t> </w:t>
      </w:r>
      <w:r w:rsidRPr="003E698F">
        <w:rPr>
          <w:rFonts w:hint="cs"/>
          <w:spacing w:val="0"/>
          <w:kern w:val="0"/>
          <w:sz w:val="20"/>
          <w:rtl/>
        </w:rPr>
        <w:t>2007، أي قبل أن يعذب في المكسيك في 17 و19 و21 آب/أغسطس 2007. أما القضية المعروضة على المحكمة الاتحادية فلم ترفع إلا بعد شهر ونصف الشهر، ومن ثم فلم يكن يتعين استنفادها. كما أن رفع دعوى تعويض في الإجراءات المدنية ليس وسيلة فعالة لمنع تسليم صاحب الشكوى، ولا يمكن استعمالها لتحقيق أهداف هذا البلاغ في مواجهة الدولة الطرف. وأكد صاحب الشكوى مجدداً أنه قد سبق له الطعن في أمر التسليم حتى وصل إلى المحكمة العليا التي ليس بعدها سبل انتصاف محلية.</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 xml:space="preserve">الملاحظات الإضافية التي أبدتها الدولة الطرف بشأن المقبولية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11-1</w:t>
      </w:r>
      <w:r w:rsidRPr="003E698F">
        <w:rPr>
          <w:rFonts w:hint="cs"/>
          <w:spacing w:val="0"/>
          <w:kern w:val="0"/>
          <w:sz w:val="20"/>
          <w:rtl/>
        </w:rPr>
        <w:tab/>
        <w:t>في 10 شباط/فبراير 2011، قالت الدولة الطرف إن الدعوى المحلية ترتبط بتلك المقدمة إلى اللجنة بقدر ما تتعلق بنفس الوقائع. ودفعت بأن الترتيب الزمني للدعويين أو</w:t>
      </w:r>
      <w:r w:rsidRPr="003E698F">
        <w:rPr>
          <w:rFonts w:hint="eastAsia"/>
          <w:spacing w:val="0"/>
          <w:kern w:val="0"/>
          <w:sz w:val="20"/>
          <w:rtl/>
        </w:rPr>
        <w:t> </w:t>
      </w:r>
      <w:r w:rsidRPr="003E698F">
        <w:rPr>
          <w:rFonts w:hint="cs"/>
          <w:spacing w:val="0"/>
          <w:kern w:val="0"/>
          <w:sz w:val="20"/>
          <w:rtl/>
        </w:rPr>
        <w:t>الفروق بين نوعي الإنصاف المطلوب لا أهمية تُذكر لهما، نظراً إلى أن أحكام المحاكم المحلية يجب أن تستند إلى النظر في نفس الادعاءات المقدمة إلى اللجنة.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11-2</w:t>
      </w:r>
      <w:r w:rsidRPr="003E698F">
        <w:rPr>
          <w:rFonts w:hint="cs"/>
          <w:spacing w:val="0"/>
          <w:kern w:val="0"/>
          <w:sz w:val="20"/>
          <w:rtl/>
        </w:rPr>
        <w:tab/>
        <w:t>وفي 26 آب/أغسطس 2010، طلب صاحب الشكوى وقف دعواه المقامة أمام المحكمة الاتحادية. وكانت الدولة الطرف نفسها طلبت رفض الدعوى. وفي 6 كانون الأول/ديسمبر 2010، رفضت المحكمة الاتحادية طلب صاحب الشكوى وقف الدعوى، وأقرت طلب رفض الدعوى فقضت بأن مسألة تسليم صاحب الشكوى سبق أن نظرت فيها جميع المحاكم المختصة ولم يعد في الإمكان اعتبارها سبباً لرفع دعوى. وأقِرَّ طلب رفض الدعوى بسبب إساءة صاحب الشكوى استعمال الإجراءات القضائية. وفي 10 كانون الثاني/يناير 2011، وهو الأجل الذي حددته المحكمة لرفع دعوى بهدف الحصول على تعويض عن الأحداث التي قيل إنها وقعت بعد التسليم، رفع صاحب الشكوى دعوى جديدة أمام المحكمة الاتحادية. وكررت الدولة الطرف ملاحظاتها المؤرخة 26 نيسان/أبريل 2010 وأكدت أنه ينبغي إعلان البلاغ غير مقبول بسبب عدم استنفاد سبل الانتصاف المحلية.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11-3</w:t>
      </w:r>
      <w:r w:rsidRPr="003E698F">
        <w:rPr>
          <w:rFonts w:hint="cs"/>
          <w:spacing w:val="0"/>
          <w:kern w:val="0"/>
          <w:sz w:val="20"/>
          <w:rtl/>
        </w:rPr>
        <w:tab/>
        <w:t>وعن متابعة مسؤولي القنصلية، أوضحت الدولة الطرف أنها تقصد بآليات الرصد تدابير المتابعة القنصلية المعتادة التي تجسد اهتمام الدولة الطرف بالحالة البدنية والنفسية لصاحب الشكوى أثناء فترة سجنه في المكسيك.</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التعليقات الإضافية التي قدمها صاحب الشكوى</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12-1</w:t>
      </w:r>
      <w:r w:rsidRPr="003E698F">
        <w:rPr>
          <w:rFonts w:hint="cs"/>
          <w:spacing w:val="0"/>
          <w:kern w:val="0"/>
          <w:sz w:val="20"/>
          <w:rtl/>
        </w:rPr>
        <w:tab/>
        <w:t>في 14 نيسان/أبريل 2011، أكّد صاحب الشكوى أنه قدم طلب تعويض عن الأحداث التي وقعت بعد تسليمه. وشدد على أنه لا يمكن الاحتجاج بالمخاطر التي جرى تعريضه لها والتي تنتهك الاتفاقية بوصفها أساساً للقول إن الدولة الطرف تصرفت بمسؤولية. وقال إن ذلك يجيز الطعن في قانونية قرار تسليمه إلى المكسيك أمام اللجنة التي هي الهيئة الوحيدة التي تتعامل مع القضية، ودفع بأن من الواضح أن رفع دعوى تعويض بعد ما تعرض له من تعذيب عقب تسليمه إلى المكسيك لا يمكن أن يكون سبيل انتصاف فعالاً يمنع من تسليمه، ومن ثم لا يمكن اعتباره وسيلة انتصاف محلية متاحة.</w:t>
      </w:r>
    </w:p>
    <w:p w:rsidR="00921F02" w:rsidRPr="003E698F" w:rsidRDefault="00921F02" w:rsidP="00921F02">
      <w:pPr>
        <w:pStyle w:val="SingleTxtGA"/>
        <w:jc w:val="lowKashida"/>
        <w:rPr>
          <w:rFonts w:hint="cs"/>
          <w:spacing w:val="0"/>
          <w:kern w:val="0"/>
          <w:sz w:val="20"/>
          <w:rtl/>
        </w:rPr>
      </w:pPr>
      <w:r w:rsidRPr="00503CA2">
        <w:rPr>
          <w:rFonts w:hint="cs"/>
          <w:spacing w:val="-2"/>
          <w:kern w:val="0"/>
          <w:sz w:val="20"/>
          <w:rtl/>
        </w:rPr>
        <w:t>12-2</w:t>
      </w:r>
      <w:r w:rsidRPr="00503CA2">
        <w:rPr>
          <w:rFonts w:hint="cs"/>
          <w:spacing w:val="-2"/>
          <w:kern w:val="0"/>
          <w:sz w:val="20"/>
          <w:rtl/>
        </w:rPr>
        <w:tab/>
        <w:t>أما بشأن المتابعة القنصلية فقال صاحب الشكوى إن موظفي سفارة كندا في المكسيك، وقت تسليمه في آب/أغسطس 2007، لم يكونوا يعلمون بمضمون الضمانات الدبلوماسية، كما تثبته الأدلة التي قدمها، ولا سيما بواسطة الرسائل الإلكترونية. وأشار أيضاً إلى أن هذه الضمانات لم تقترن بتدابير محددة تتخذ فوراً من شأنها أن تحد من الاحتمال الفعلي لتعرضه للتعذيب، وقال إن ملاحظات الدولة الطرف المؤرخة 10 شباط/فبراير 2011 تؤكد أنها لم تتخذ أي تدابير معينة لمحاولة منع تعذيبه. وقد اتُّخذت تدابير المتابعة</w:t>
      </w:r>
      <w:r w:rsidRPr="003E698F">
        <w:rPr>
          <w:rFonts w:hint="cs"/>
          <w:spacing w:val="0"/>
          <w:kern w:val="0"/>
          <w:sz w:val="20"/>
          <w:rtl/>
        </w:rPr>
        <w:t xml:space="preserve"> القنصلية المعتادة؛ ولم يوضع أي نظام للمراقبة.</w:t>
      </w:r>
    </w:p>
    <w:p w:rsidR="00921F02" w:rsidRPr="003E698F" w:rsidRDefault="00921F02" w:rsidP="00921F02">
      <w:pPr>
        <w:pStyle w:val="H23GA"/>
        <w:keepNext/>
        <w:keepLines/>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المسائل والإجراءات المعروضة على اللجنة</w:t>
      </w:r>
    </w:p>
    <w:p w:rsidR="00921F02" w:rsidRPr="003E698F" w:rsidRDefault="00921F02" w:rsidP="00921F02">
      <w:pPr>
        <w:pStyle w:val="H4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النظر في المقبولية</w:t>
      </w:r>
    </w:p>
    <w:p w:rsidR="00921F02" w:rsidRPr="003A2D39" w:rsidRDefault="00921F02" w:rsidP="003A2D39">
      <w:pPr>
        <w:pStyle w:val="SingleTxtGA"/>
        <w:spacing w:line="370" w:lineRule="exact"/>
        <w:jc w:val="lowKashida"/>
        <w:rPr>
          <w:rFonts w:hint="cs"/>
          <w:spacing w:val="-2"/>
          <w:kern w:val="0"/>
          <w:sz w:val="20"/>
          <w:rtl/>
        </w:rPr>
      </w:pPr>
      <w:r w:rsidRPr="003A2D39">
        <w:rPr>
          <w:rFonts w:hint="cs"/>
          <w:spacing w:val="-2"/>
          <w:kern w:val="0"/>
          <w:sz w:val="20"/>
          <w:rtl/>
        </w:rPr>
        <w:t>13-1</w:t>
      </w:r>
      <w:r w:rsidRPr="003A2D39">
        <w:rPr>
          <w:spacing w:val="-2"/>
          <w:kern w:val="0"/>
          <w:sz w:val="20"/>
          <w:rtl/>
        </w:rPr>
        <w:tab/>
      </w:r>
      <w:r w:rsidR="003A2D39" w:rsidRPr="003A2D39">
        <w:rPr>
          <w:spacing w:val="-2"/>
          <w:kern w:val="0"/>
          <w:sz w:val="20"/>
          <w:rtl/>
        </w:rPr>
        <w:t xml:space="preserve">قبل النظر في أية ادعاءات ترد في شكوى ما، </w:t>
      </w:r>
      <w:r w:rsidR="003A2D39" w:rsidRPr="003A2D39">
        <w:rPr>
          <w:rFonts w:hint="cs"/>
          <w:spacing w:val="-2"/>
          <w:kern w:val="0"/>
          <w:sz w:val="20"/>
          <w:rtl/>
        </w:rPr>
        <w:t>يتعين</w:t>
      </w:r>
      <w:r w:rsidR="003A2D39" w:rsidRPr="003A2D39">
        <w:rPr>
          <w:spacing w:val="-2"/>
          <w:kern w:val="0"/>
          <w:sz w:val="20"/>
          <w:rtl/>
        </w:rPr>
        <w:t xml:space="preserve"> على لجنة مناهضة التعذيب أن </w:t>
      </w:r>
      <w:r w:rsidR="003A2D39" w:rsidRPr="003A2D39">
        <w:rPr>
          <w:rFonts w:hint="cs"/>
          <w:spacing w:val="-2"/>
          <w:kern w:val="0"/>
          <w:sz w:val="20"/>
          <w:rtl/>
        </w:rPr>
        <w:t>تبت في</w:t>
      </w:r>
      <w:r w:rsidR="003A2D39" w:rsidRPr="003A2D39">
        <w:rPr>
          <w:spacing w:val="-2"/>
          <w:kern w:val="0"/>
          <w:sz w:val="20"/>
          <w:rtl/>
        </w:rPr>
        <w:t>ما إذا كانت الشكوى مقبولة أم لا</w:t>
      </w:r>
      <w:r w:rsidRPr="003A2D39">
        <w:rPr>
          <w:rFonts w:hint="cs"/>
          <w:spacing w:val="-2"/>
          <w:kern w:val="0"/>
          <w:sz w:val="20"/>
          <w:rtl/>
          <w:lang/>
        </w:rPr>
        <w:t> بموجب المادة 22 من الاتفاقية. وقد تأكدت اللجنة، وفقاً لما تقتضيه الفقرة 5(أ) من المادة 22 من الاتفاقية، من أن المسألة نفسها لم تبحث ولا تُبحث في إطار أي إجراء آخر من إجراءات التحقيق الدولي أو التسوية الدولية</w:t>
      </w:r>
      <w:r w:rsidRPr="003A2D39">
        <w:rPr>
          <w:rFonts w:hint="cs"/>
          <w:spacing w:val="-2"/>
          <w:kern w:val="0"/>
          <w:sz w:val="20"/>
          <w:rtl/>
        </w:rPr>
        <w:t>.</w:t>
      </w:r>
    </w:p>
    <w:p w:rsidR="00921F02" w:rsidRPr="003E698F" w:rsidRDefault="00921F02" w:rsidP="00921F02">
      <w:pPr>
        <w:pStyle w:val="SingleTxtGA"/>
        <w:spacing w:line="370" w:lineRule="exact"/>
        <w:jc w:val="lowKashida"/>
        <w:rPr>
          <w:rFonts w:hint="cs"/>
          <w:spacing w:val="0"/>
          <w:kern w:val="0"/>
          <w:sz w:val="20"/>
          <w:rtl/>
        </w:rPr>
      </w:pPr>
      <w:r w:rsidRPr="003E698F">
        <w:rPr>
          <w:rFonts w:hint="cs"/>
          <w:spacing w:val="0"/>
          <w:kern w:val="0"/>
          <w:sz w:val="20"/>
          <w:rtl/>
        </w:rPr>
        <w:t>13-2</w:t>
      </w:r>
      <w:r w:rsidRPr="003E698F">
        <w:rPr>
          <w:spacing w:val="0"/>
          <w:kern w:val="0"/>
          <w:sz w:val="20"/>
          <w:rtl/>
        </w:rPr>
        <w:tab/>
      </w:r>
      <w:r w:rsidRPr="003E698F">
        <w:rPr>
          <w:rFonts w:hint="cs"/>
          <w:spacing w:val="0"/>
          <w:kern w:val="0"/>
          <w:sz w:val="20"/>
          <w:rtl/>
        </w:rPr>
        <w:t>وتذكّر</w:t>
      </w:r>
      <w:r w:rsidRPr="003E698F">
        <w:rPr>
          <w:spacing w:val="0"/>
          <w:kern w:val="0"/>
          <w:sz w:val="20"/>
          <w:rtl/>
        </w:rPr>
        <w:t xml:space="preserve"> اللجنة </w:t>
      </w:r>
      <w:r w:rsidRPr="003E698F">
        <w:rPr>
          <w:rFonts w:hint="cs"/>
          <w:spacing w:val="0"/>
          <w:kern w:val="0"/>
          <w:sz w:val="20"/>
          <w:rtl/>
        </w:rPr>
        <w:t>بأنها لا تنظر في أي بلاغ مقدم من فرد من الأفراد إلا بعد أن تكون قد تأكدت من أن ذلك الفرد استنفد جميع سبل الانتصاف المحلية المتاحة، وذلك بموجب الفقرة</w:t>
      </w:r>
      <w:r w:rsidRPr="003E698F">
        <w:rPr>
          <w:rFonts w:hint="eastAsia"/>
          <w:spacing w:val="0"/>
          <w:kern w:val="0"/>
          <w:sz w:val="20"/>
          <w:rtl/>
        </w:rPr>
        <w:t> </w:t>
      </w:r>
      <w:r w:rsidRPr="003E698F">
        <w:rPr>
          <w:rFonts w:hint="cs"/>
          <w:spacing w:val="0"/>
          <w:kern w:val="0"/>
          <w:sz w:val="20"/>
          <w:rtl/>
        </w:rPr>
        <w:t>5(ب) من المادة 22 من الاتفاقية</w:t>
      </w:r>
      <w:r w:rsidRPr="003E698F">
        <w:rPr>
          <w:spacing w:val="0"/>
          <w:kern w:val="0"/>
          <w:sz w:val="20"/>
          <w:rtl/>
        </w:rPr>
        <w:t>.</w:t>
      </w:r>
      <w:r w:rsidRPr="003E698F">
        <w:rPr>
          <w:rFonts w:hint="cs"/>
          <w:spacing w:val="0"/>
          <w:kern w:val="0"/>
          <w:sz w:val="20"/>
          <w:rtl/>
        </w:rPr>
        <w:t xml:space="preserve"> ولا تتبع هذه القاعدة إذا كان استنفاد سبل الانتصاف يستغرق وقتاً طويلاً بشكل غير معقول أو إذا كان من غير المرج</w:t>
      </w:r>
      <w:r w:rsidRPr="003E698F">
        <w:rPr>
          <w:rFonts w:hint="eastAsia"/>
          <w:spacing w:val="0"/>
          <w:kern w:val="0"/>
          <w:sz w:val="20"/>
          <w:rtl/>
        </w:rPr>
        <w:t>ح</w:t>
      </w:r>
      <w:r w:rsidRPr="003E698F">
        <w:rPr>
          <w:rFonts w:hint="cs"/>
          <w:spacing w:val="0"/>
          <w:kern w:val="0"/>
          <w:sz w:val="20"/>
          <w:rtl/>
        </w:rPr>
        <w:t xml:space="preserve"> أن يوفر انتصافاً فعالاً للشخص الذي وقع ضحية لانتهاك هذه الاتفاقية. وتلاحظ اللجنة</w:t>
      </w:r>
      <w:r w:rsidRPr="003E698F">
        <w:rPr>
          <w:spacing w:val="0"/>
          <w:kern w:val="0"/>
          <w:sz w:val="20"/>
          <w:rtl/>
        </w:rPr>
        <w:t xml:space="preserve"> أن المحكمة الاتحادية رفضت في</w:t>
      </w:r>
      <w:r w:rsidRPr="003E698F">
        <w:rPr>
          <w:rFonts w:hint="eastAsia"/>
          <w:spacing w:val="0"/>
          <w:kern w:val="0"/>
          <w:sz w:val="20"/>
          <w:rtl/>
        </w:rPr>
        <w:t> </w:t>
      </w:r>
      <w:r w:rsidRPr="003E698F">
        <w:rPr>
          <w:rFonts w:hint="cs"/>
          <w:spacing w:val="0"/>
          <w:kern w:val="0"/>
          <w:sz w:val="20"/>
          <w:rtl/>
        </w:rPr>
        <w:t>6</w:t>
      </w:r>
      <w:r w:rsidRPr="003E698F">
        <w:rPr>
          <w:spacing w:val="0"/>
          <w:kern w:val="0"/>
          <w:sz w:val="20"/>
          <w:rtl/>
        </w:rPr>
        <w:t xml:space="preserve"> كانون الأول/ديسمبر</w:t>
      </w:r>
      <w:r w:rsidRPr="003E698F">
        <w:rPr>
          <w:rFonts w:hint="cs"/>
          <w:spacing w:val="0"/>
          <w:kern w:val="0"/>
          <w:sz w:val="20"/>
          <w:rtl/>
        </w:rPr>
        <w:t xml:space="preserve"> 2010</w:t>
      </w:r>
      <w:r w:rsidRPr="003E698F">
        <w:rPr>
          <w:spacing w:val="0"/>
          <w:kern w:val="0"/>
          <w:sz w:val="20"/>
          <w:rtl/>
        </w:rPr>
        <w:t xml:space="preserve"> الدعوى التي </w:t>
      </w:r>
      <w:r w:rsidRPr="003E698F">
        <w:rPr>
          <w:rFonts w:hint="cs"/>
          <w:spacing w:val="0"/>
          <w:kern w:val="0"/>
          <w:sz w:val="20"/>
          <w:rtl/>
        </w:rPr>
        <w:t>أقامها</w:t>
      </w:r>
      <w:r w:rsidRPr="003E698F">
        <w:rPr>
          <w:spacing w:val="0"/>
          <w:kern w:val="0"/>
          <w:sz w:val="20"/>
          <w:rtl/>
        </w:rPr>
        <w:t xml:space="preserve"> صاحب الشكوى</w:t>
      </w:r>
      <w:r w:rsidRPr="003E698F">
        <w:rPr>
          <w:rFonts w:hint="cs"/>
          <w:spacing w:val="0"/>
          <w:kern w:val="0"/>
          <w:sz w:val="20"/>
          <w:rtl/>
        </w:rPr>
        <w:t>،</w:t>
      </w:r>
      <w:r w:rsidRPr="003E698F">
        <w:rPr>
          <w:spacing w:val="0"/>
          <w:kern w:val="0"/>
          <w:sz w:val="20"/>
          <w:rtl/>
        </w:rPr>
        <w:t xml:space="preserve"> وأن هذا الأخير رفع دعوى أخرى إلى تلك المحكمة في</w:t>
      </w:r>
      <w:r w:rsidRPr="003E698F">
        <w:rPr>
          <w:rFonts w:hint="cs"/>
          <w:spacing w:val="0"/>
          <w:kern w:val="0"/>
          <w:sz w:val="20"/>
          <w:rtl/>
        </w:rPr>
        <w:t xml:space="preserve"> 10</w:t>
      </w:r>
      <w:r w:rsidRPr="003E698F">
        <w:rPr>
          <w:spacing w:val="0"/>
          <w:kern w:val="0"/>
          <w:sz w:val="20"/>
          <w:rtl/>
        </w:rPr>
        <w:t xml:space="preserve"> كانون الثاني/</w:t>
      </w:r>
      <w:r w:rsidRPr="003E698F">
        <w:rPr>
          <w:rFonts w:hint="cs"/>
          <w:spacing w:val="0"/>
          <w:kern w:val="0"/>
          <w:sz w:val="20"/>
          <w:rtl/>
        </w:rPr>
        <w:t>يناير 2011</w:t>
      </w:r>
      <w:r w:rsidRPr="003E698F">
        <w:rPr>
          <w:spacing w:val="0"/>
          <w:kern w:val="0"/>
          <w:sz w:val="20"/>
          <w:rtl/>
        </w:rPr>
        <w:t xml:space="preserve">. </w:t>
      </w:r>
      <w:r w:rsidRPr="003E698F">
        <w:rPr>
          <w:rFonts w:hint="cs"/>
          <w:spacing w:val="0"/>
          <w:kern w:val="0"/>
          <w:sz w:val="20"/>
          <w:rtl/>
        </w:rPr>
        <w:t>وتلاحظ</w:t>
      </w:r>
      <w:r w:rsidRPr="003E698F">
        <w:rPr>
          <w:spacing w:val="0"/>
          <w:kern w:val="0"/>
          <w:sz w:val="20"/>
          <w:rtl/>
        </w:rPr>
        <w:t xml:space="preserve"> أيضاً أن الدولة الطرف </w:t>
      </w:r>
      <w:r w:rsidRPr="003E698F">
        <w:rPr>
          <w:rFonts w:hint="cs"/>
          <w:spacing w:val="0"/>
          <w:kern w:val="0"/>
          <w:sz w:val="20"/>
          <w:rtl/>
        </w:rPr>
        <w:t xml:space="preserve">اعترضت على </w:t>
      </w:r>
      <w:r w:rsidRPr="003E698F">
        <w:rPr>
          <w:spacing w:val="0"/>
          <w:kern w:val="0"/>
          <w:sz w:val="20"/>
          <w:rtl/>
        </w:rPr>
        <w:t xml:space="preserve">مقبولية البلاغ على أساس عدم </w:t>
      </w:r>
      <w:r w:rsidRPr="003E698F">
        <w:rPr>
          <w:rFonts w:hint="cs"/>
          <w:spacing w:val="0"/>
          <w:kern w:val="0"/>
          <w:sz w:val="20"/>
          <w:rtl/>
        </w:rPr>
        <w:t>استنفاد</w:t>
      </w:r>
      <w:r w:rsidRPr="003E698F">
        <w:rPr>
          <w:spacing w:val="0"/>
          <w:kern w:val="0"/>
          <w:sz w:val="20"/>
          <w:rtl/>
        </w:rPr>
        <w:t xml:space="preserve"> سبل الانتصاف المحلية نتيجة الدعوى التي </w:t>
      </w:r>
      <w:r w:rsidRPr="003E698F">
        <w:rPr>
          <w:rFonts w:hint="cs"/>
          <w:spacing w:val="0"/>
          <w:kern w:val="0"/>
          <w:sz w:val="20"/>
          <w:rtl/>
        </w:rPr>
        <w:t xml:space="preserve">أقامها </w:t>
      </w:r>
      <w:r w:rsidRPr="003E698F">
        <w:rPr>
          <w:spacing w:val="0"/>
          <w:kern w:val="0"/>
          <w:sz w:val="20"/>
          <w:rtl/>
        </w:rPr>
        <w:t xml:space="preserve">صاحب الشكوى </w:t>
      </w:r>
      <w:r w:rsidRPr="003E698F">
        <w:rPr>
          <w:rFonts w:hint="cs"/>
          <w:spacing w:val="0"/>
          <w:kern w:val="0"/>
          <w:sz w:val="20"/>
          <w:rtl/>
        </w:rPr>
        <w:t xml:space="preserve">أمام </w:t>
      </w:r>
      <w:r w:rsidRPr="003E698F">
        <w:rPr>
          <w:spacing w:val="0"/>
          <w:kern w:val="0"/>
          <w:sz w:val="20"/>
          <w:rtl/>
        </w:rPr>
        <w:t>المحكمة الاتحادية. و</w:t>
      </w:r>
      <w:r w:rsidRPr="003E698F">
        <w:rPr>
          <w:rFonts w:hint="cs"/>
          <w:spacing w:val="0"/>
          <w:kern w:val="0"/>
          <w:sz w:val="20"/>
          <w:rtl/>
        </w:rPr>
        <w:t>ت</w:t>
      </w:r>
      <w:r w:rsidRPr="003E698F">
        <w:rPr>
          <w:spacing w:val="0"/>
          <w:kern w:val="0"/>
          <w:sz w:val="20"/>
          <w:rtl/>
        </w:rPr>
        <w:t>ذك</w:t>
      </w:r>
      <w:r w:rsidRPr="003E698F">
        <w:rPr>
          <w:rFonts w:hint="cs"/>
          <w:spacing w:val="0"/>
          <w:kern w:val="0"/>
          <w:sz w:val="20"/>
          <w:rtl/>
        </w:rPr>
        <w:t>ّ</w:t>
      </w:r>
      <w:r w:rsidRPr="003E698F">
        <w:rPr>
          <w:spacing w:val="0"/>
          <w:kern w:val="0"/>
          <w:sz w:val="20"/>
          <w:rtl/>
        </w:rPr>
        <w:t>ر اللجنة</w:t>
      </w:r>
      <w:r w:rsidRPr="003E698F">
        <w:rPr>
          <w:rFonts w:hint="cs"/>
          <w:spacing w:val="0"/>
          <w:kern w:val="0"/>
          <w:sz w:val="20"/>
          <w:rtl/>
        </w:rPr>
        <w:t xml:space="preserve"> بسابقة قضائية لها</w:t>
      </w:r>
      <w:r w:rsidRPr="003E698F">
        <w:rPr>
          <w:spacing w:val="0"/>
          <w:kern w:val="0"/>
          <w:sz w:val="20"/>
          <w:vertAlign w:val="superscript"/>
          <w:rtl/>
        </w:rPr>
        <w:t>(</w:t>
      </w:r>
      <w:r w:rsidRPr="003E698F">
        <w:rPr>
          <w:rStyle w:val="FootnoteReference"/>
          <w:spacing w:val="0"/>
          <w:sz w:val="20"/>
          <w:rtl/>
        </w:rPr>
        <w:footnoteReference w:id="165"/>
      </w:r>
      <w:r w:rsidRPr="003E698F">
        <w:rPr>
          <w:spacing w:val="0"/>
          <w:kern w:val="0"/>
          <w:sz w:val="20"/>
          <w:vertAlign w:val="superscript"/>
          <w:rtl/>
        </w:rPr>
        <w:t>)</w:t>
      </w:r>
      <w:r w:rsidRPr="003E698F">
        <w:rPr>
          <w:rFonts w:hint="cs"/>
          <w:spacing w:val="0"/>
          <w:kern w:val="0"/>
          <w:sz w:val="20"/>
          <w:rtl/>
        </w:rPr>
        <w:t xml:space="preserve"> مفادها أن مبدأ استنفاد سبل الانتصاف المحلية يستلزم من مقدم الطلب أن يتوخى سبل الانتصاف</w:t>
      </w:r>
      <w:r w:rsidRPr="003E698F">
        <w:rPr>
          <w:rFonts w:hint="cs"/>
          <w:spacing w:val="0"/>
          <w:kern w:val="0"/>
          <w:sz w:val="20"/>
          <w:rtl/>
          <w:lang/>
        </w:rPr>
        <w:t xml:space="preserve"> التي تتعلق مباشرة باحتمال التعرض للتعذيب في البلد الذي يُبعد إليه</w:t>
      </w:r>
      <w:r w:rsidRPr="003E698F">
        <w:rPr>
          <w:spacing w:val="0"/>
          <w:kern w:val="0"/>
          <w:sz w:val="20"/>
          <w:rtl/>
        </w:rPr>
        <w:t>. وفي الحالة موضع النظر، قُدم في</w:t>
      </w:r>
      <w:r w:rsidRPr="003E698F">
        <w:rPr>
          <w:rFonts w:hint="cs"/>
          <w:spacing w:val="0"/>
          <w:kern w:val="0"/>
          <w:sz w:val="20"/>
          <w:rtl/>
        </w:rPr>
        <w:t xml:space="preserve"> 10</w:t>
      </w:r>
      <w:r w:rsidRPr="003E698F">
        <w:rPr>
          <w:spacing w:val="0"/>
          <w:kern w:val="0"/>
          <w:sz w:val="20"/>
          <w:rtl/>
        </w:rPr>
        <w:t xml:space="preserve"> كانون الثاني/يناير</w:t>
      </w:r>
      <w:r w:rsidRPr="003E698F">
        <w:rPr>
          <w:rFonts w:hint="cs"/>
          <w:spacing w:val="0"/>
          <w:kern w:val="0"/>
          <w:sz w:val="20"/>
          <w:rtl/>
        </w:rPr>
        <w:t xml:space="preserve"> 2011</w:t>
      </w:r>
      <w:r w:rsidRPr="003E698F">
        <w:rPr>
          <w:spacing w:val="0"/>
          <w:kern w:val="0"/>
          <w:sz w:val="20"/>
          <w:rtl/>
        </w:rPr>
        <w:t xml:space="preserve"> طلب التعويض عما لحق صاحب الشكوى من سوء معاملة في المكسيك </w:t>
      </w:r>
      <w:r w:rsidRPr="003E698F">
        <w:rPr>
          <w:rFonts w:hint="cs"/>
          <w:spacing w:val="0"/>
          <w:kern w:val="0"/>
          <w:sz w:val="20"/>
          <w:rtl/>
        </w:rPr>
        <w:t xml:space="preserve">- </w:t>
      </w:r>
      <w:r w:rsidRPr="003E698F">
        <w:rPr>
          <w:spacing w:val="0"/>
          <w:kern w:val="0"/>
          <w:sz w:val="20"/>
          <w:rtl/>
        </w:rPr>
        <w:t>على حد قوله. و</w:t>
      </w:r>
      <w:r w:rsidRPr="003E698F">
        <w:rPr>
          <w:rFonts w:hint="cs"/>
          <w:spacing w:val="0"/>
          <w:kern w:val="0"/>
          <w:sz w:val="20"/>
          <w:rtl/>
        </w:rPr>
        <w:t>ترى</w:t>
      </w:r>
      <w:r w:rsidRPr="003E698F">
        <w:rPr>
          <w:spacing w:val="0"/>
          <w:kern w:val="0"/>
          <w:sz w:val="20"/>
          <w:rtl/>
        </w:rPr>
        <w:t xml:space="preserve"> اللجنة أن سبيل الانتصاف هذا لم يكن متاحاً قبل تسليم صاحب الشكوى، وأن</w:t>
      </w:r>
      <w:r w:rsidRPr="003E698F">
        <w:rPr>
          <w:rFonts w:hint="cs"/>
          <w:spacing w:val="0"/>
          <w:kern w:val="0"/>
          <w:sz w:val="20"/>
          <w:rtl/>
        </w:rPr>
        <w:t>ه</w:t>
      </w:r>
      <w:r w:rsidRPr="003E698F">
        <w:rPr>
          <w:spacing w:val="0"/>
          <w:kern w:val="0"/>
          <w:sz w:val="20"/>
          <w:rtl/>
        </w:rPr>
        <w:t xml:space="preserve"> من</w:t>
      </w:r>
      <w:r w:rsidRPr="003E698F">
        <w:rPr>
          <w:rFonts w:hint="cs"/>
          <w:spacing w:val="0"/>
          <w:kern w:val="0"/>
          <w:sz w:val="20"/>
          <w:rtl/>
        </w:rPr>
        <w:t xml:space="preserve"> المستبعد</w:t>
      </w:r>
      <w:r w:rsidRPr="003E698F">
        <w:rPr>
          <w:spacing w:val="0"/>
          <w:kern w:val="0"/>
          <w:sz w:val="20"/>
          <w:rtl/>
        </w:rPr>
        <w:t xml:space="preserve"> جداً أن </w:t>
      </w:r>
      <w:r w:rsidRPr="003E698F">
        <w:rPr>
          <w:rFonts w:hint="cs"/>
          <w:spacing w:val="0"/>
          <w:kern w:val="0"/>
          <w:sz w:val="20"/>
          <w:rtl/>
        </w:rPr>
        <w:t>يأتي بنتيجة فعلية لصاحب الشكوى</w:t>
      </w:r>
      <w:r w:rsidRPr="003E698F">
        <w:rPr>
          <w:spacing w:val="0"/>
          <w:kern w:val="0"/>
          <w:sz w:val="20"/>
          <w:rtl/>
        </w:rPr>
        <w:t xml:space="preserve"> الذي يدعي أنه ضحية انتهاك المادة</w:t>
      </w:r>
      <w:r w:rsidRPr="003E698F">
        <w:rPr>
          <w:rFonts w:hint="cs"/>
          <w:spacing w:val="0"/>
          <w:kern w:val="0"/>
          <w:sz w:val="20"/>
          <w:rtl/>
        </w:rPr>
        <w:t xml:space="preserve"> 3</w:t>
      </w:r>
      <w:r w:rsidRPr="003E698F">
        <w:rPr>
          <w:spacing w:val="0"/>
          <w:kern w:val="0"/>
          <w:sz w:val="20"/>
          <w:rtl/>
        </w:rPr>
        <w:t xml:space="preserve"> من الاتفاقية. و</w:t>
      </w:r>
      <w:r w:rsidRPr="003E698F">
        <w:rPr>
          <w:rFonts w:hint="cs"/>
          <w:spacing w:val="0"/>
          <w:kern w:val="0"/>
          <w:sz w:val="20"/>
          <w:rtl/>
        </w:rPr>
        <w:t>تلاحظ</w:t>
      </w:r>
      <w:r w:rsidRPr="003E698F">
        <w:rPr>
          <w:spacing w:val="0"/>
          <w:kern w:val="0"/>
          <w:sz w:val="20"/>
          <w:rtl/>
        </w:rPr>
        <w:t xml:space="preserve"> اللجنة أن المحكمة العليا رفضت في</w:t>
      </w:r>
      <w:r w:rsidRPr="003E698F">
        <w:rPr>
          <w:rFonts w:hint="cs"/>
          <w:spacing w:val="0"/>
          <w:kern w:val="0"/>
          <w:sz w:val="20"/>
          <w:rtl/>
        </w:rPr>
        <w:t xml:space="preserve"> 5</w:t>
      </w:r>
      <w:r w:rsidRPr="003E698F">
        <w:rPr>
          <w:spacing w:val="0"/>
          <w:kern w:val="0"/>
          <w:sz w:val="20"/>
          <w:rtl/>
        </w:rPr>
        <w:t xml:space="preserve"> تموز/يوليه</w:t>
      </w:r>
      <w:r w:rsidRPr="003E698F">
        <w:rPr>
          <w:rFonts w:hint="cs"/>
          <w:spacing w:val="0"/>
          <w:kern w:val="0"/>
          <w:sz w:val="20"/>
          <w:rtl/>
        </w:rPr>
        <w:t xml:space="preserve"> 2007</w:t>
      </w:r>
      <w:r w:rsidRPr="003E698F">
        <w:rPr>
          <w:spacing w:val="0"/>
          <w:kern w:val="0"/>
          <w:sz w:val="20"/>
          <w:rtl/>
        </w:rPr>
        <w:t xml:space="preserve"> السماح بالطعن في قرار تسليم صاحب الشكوى. وعلى هذا، ترى اللجنة، في ظل هذه الملابسات، أن الفقرة</w:t>
      </w:r>
      <w:r w:rsidRPr="003E698F">
        <w:rPr>
          <w:rFonts w:hint="cs"/>
          <w:spacing w:val="0"/>
          <w:kern w:val="0"/>
          <w:sz w:val="20"/>
          <w:rtl/>
        </w:rPr>
        <w:t xml:space="preserve"> 5</w:t>
      </w:r>
      <w:r w:rsidRPr="003E698F">
        <w:rPr>
          <w:spacing w:val="0"/>
          <w:kern w:val="0"/>
          <w:sz w:val="20"/>
          <w:rtl/>
        </w:rPr>
        <w:t>(ب) من المادة</w:t>
      </w:r>
      <w:r w:rsidRPr="003E698F">
        <w:rPr>
          <w:rFonts w:hint="cs"/>
          <w:spacing w:val="0"/>
          <w:kern w:val="0"/>
          <w:sz w:val="20"/>
          <w:rtl/>
        </w:rPr>
        <w:t xml:space="preserve"> 22</w:t>
      </w:r>
      <w:r w:rsidRPr="003E698F">
        <w:rPr>
          <w:spacing w:val="0"/>
          <w:kern w:val="0"/>
          <w:sz w:val="20"/>
          <w:rtl/>
        </w:rPr>
        <w:t xml:space="preserve"> من الاتفاقية لا تمنع من قبول البلاغ.</w:t>
      </w:r>
    </w:p>
    <w:p w:rsidR="00921F02" w:rsidRPr="003E698F" w:rsidRDefault="00921F02" w:rsidP="00921F02">
      <w:pPr>
        <w:pStyle w:val="SingleTxtGA"/>
        <w:spacing w:line="370" w:lineRule="exact"/>
        <w:jc w:val="lowKashida"/>
        <w:rPr>
          <w:rFonts w:hint="cs"/>
          <w:spacing w:val="0"/>
          <w:kern w:val="0"/>
          <w:sz w:val="20"/>
          <w:rtl/>
        </w:rPr>
      </w:pPr>
      <w:r w:rsidRPr="003E698F">
        <w:rPr>
          <w:rFonts w:hint="cs"/>
          <w:spacing w:val="0"/>
          <w:kern w:val="0"/>
          <w:sz w:val="20"/>
          <w:rtl/>
        </w:rPr>
        <w:t>13-3</w:t>
      </w:r>
      <w:r w:rsidRPr="003E698F">
        <w:rPr>
          <w:spacing w:val="0"/>
          <w:kern w:val="0"/>
          <w:sz w:val="20"/>
          <w:rtl/>
        </w:rPr>
        <w:tab/>
        <w:t>و</w:t>
      </w:r>
      <w:r w:rsidRPr="003E698F">
        <w:rPr>
          <w:rFonts w:hint="cs"/>
          <w:spacing w:val="0"/>
          <w:kern w:val="0"/>
          <w:sz w:val="20"/>
          <w:rtl/>
        </w:rPr>
        <w:t>تلاحظ</w:t>
      </w:r>
      <w:r w:rsidRPr="003E698F">
        <w:rPr>
          <w:spacing w:val="0"/>
          <w:kern w:val="0"/>
          <w:sz w:val="20"/>
          <w:rtl/>
        </w:rPr>
        <w:t xml:space="preserve"> اللجنة أن الدولة الطرف اعترضت على مقبولية البلاغ على أساس عدم إثبات صاحب الشكوى وجود انتهاك ظاهر للمادة</w:t>
      </w:r>
      <w:r w:rsidRPr="003E698F">
        <w:rPr>
          <w:rFonts w:hint="cs"/>
          <w:spacing w:val="0"/>
          <w:kern w:val="0"/>
          <w:sz w:val="20"/>
          <w:rtl/>
        </w:rPr>
        <w:t xml:space="preserve"> 3</w:t>
      </w:r>
      <w:r w:rsidRPr="003E698F">
        <w:rPr>
          <w:spacing w:val="0"/>
          <w:kern w:val="0"/>
          <w:sz w:val="20"/>
          <w:rtl/>
        </w:rPr>
        <w:t xml:space="preserve"> من الاتفاقية</w:t>
      </w:r>
      <w:r w:rsidRPr="003E698F">
        <w:rPr>
          <w:rFonts w:hint="cs"/>
          <w:spacing w:val="0"/>
          <w:kern w:val="0"/>
          <w:sz w:val="20"/>
          <w:rtl/>
        </w:rPr>
        <w:t>،</w:t>
      </w:r>
      <w:r w:rsidRPr="003E698F">
        <w:rPr>
          <w:spacing w:val="0"/>
          <w:kern w:val="0"/>
          <w:sz w:val="20"/>
          <w:rtl/>
        </w:rPr>
        <w:t xml:space="preserve"> لأنه لم ي</w:t>
      </w:r>
      <w:r w:rsidRPr="003E698F">
        <w:rPr>
          <w:rFonts w:hint="cs"/>
          <w:spacing w:val="0"/>
          <w:kern w:val="0"/>
          <w:sz w:val="20"/>
          <w:rtl/>
        </w:rPr>
        <w:t>ُ</w:t>
      </w:r>
      <w:r w:rsidRPr="003E698F">
        <w:rPr>
          <w:spacing w:val="0"/>
          <w:kern w:val="0"/>
          <w:sz w:val="20"/>
          <w:rtl/>
        </w:rPr>
        <w:t xml:space="preserve">قم الدليل على أنه، إن سُلم، احتُمل أن يتعرض شخصياً للتعذيب في سجون المكسيك، ولأن الضمانات الدبلوماسية كافية لاستبعاد أي احتمال من ذلك القبيل. </w:t>
      </w:r>
      <w:r w:rsidRPr="003E698F">
        <w:rPr>
          <w:rFonts w:hint="cs"/>
          <w:spacing w:val="0"/>
          <w:kern w:val="0"/>
          <w:sz w:val="20"/>
          <w:rtl/>
        </w:rPr>
        <w:t xml:space="preserve">وتشير </w:t>
      </w:r>
      <w:r w:rsidRPr="003E698F">
        <w:rPr>
          <w:spacing w:val="0"/>
          <w:kern w:val="0"/>
          <w:sz w:val="20"/>
          <w:rtl/>
        </w:rPr>
        <w:t xml:space="preserve">اللجنة أيضاً </w:t>
      </w:r>
      <w:r w:rsidRPr="003E698F">
        <w:rPr>
          <w:rFonts w:hint="cs"/>
          <w:spacing w:val="0"/>
          <w:kern w:val="0"/>
          <w:sz w:val="20"/>
          <w:rtl/>
        </w:rPr>
        <w:t xml:space="preserve">إلى </w:t>
      </w:r>
      <w:r w:rsidRPr="003E698F">
        <w:rPr>
          <w:spacing w:val="0"/>
          <w:kern w:val="0"/>
          <w:sz w:val="20"/>
          <w:rtl/>
        </w:rPr>
        <w:t>حجة الدولة الطرف</w:t>
      </w:r>
      <w:r w:rsidRPr="003E698F">
        <w:rPr>
          <w:rFonts w:hint="cs"/>
          <w:spacing w:val="0"/>
          <w:kern w:val="0"/>
          <w:sz w:val="20"/>
          <w:rtl/>
        </w:rPr>
        <w:t xml:space="preserve"> القائلة إنه</w:t>
      </w:r>
      <w:r w:rsidRPr="003E698F">
        <w:rPr>
          <w:spacing w:val="0"/>
          <w:kern w:val="0"/>
          <w:sz w:val="20"/>
          <w:rtl/>
        </w:rPr>
        <w:t xml:space="preserve"> لا ينبغي للجنة أن تحل محل المحاكم الوطنية إذا لم ت</w:t>
      </w:r>
      <w:r w:rsidRPr="003E698F">
        <w:rPr>
          <w:rFonts w:hint="cs"/>
          <w:spacing w:val="0"/>
          <w:kern w:val="0"/>
          <w:sz w:val="20"/>
          <w:rtl/>
        </w:rPr>
        <w:t>عتر</w:t>
      </w:r>
      <w:r w:rsidRPr="003E698F">
        <w:rPr>
          <w:spacing w:val="0"/>
          <w:kern w:val="0"/>
          <w:sz w:val="20"/>
          <w:rtl/>
        </w:rPr>
        <w:t xml:space="preserve"> مخالفات</w:t>
      </w:r>
      <w:r w:rsidRPr="003E698F">
        <w:rPr>
          <w:rFonts w:hint="cs"/>
          <w:spacing w:val="0"/>
          <w:kern w:val="0"/>
          <w:sz w:val="20"/>
          <w:rtl/>
        </w:rPr>
        <w:t>ٌ</w:t>
      </w:r>
      <w:r w:rsidRPr="003E698F">
        <w:rPr>
          <w:spacing w:val="0"/>
          <w:kern w:val="0"/>
          <w:sz w:val="20"/>
          <w:rtl/>
        </w:rPr>
        <w:t xml:space="preserve"> نظر</w:t>
      </w:r>
      <w:r w:rsidRPr="003E698F">
        <w:rPr>
          <w:rFonts w:hint="cs"/>
          <w:spacing w:val="0"/>
          <w:kern w:val="0"/>
          <w:sz w:val="20"/>
          <w:rtl/>
        </w:rPr>
        <w:t>َ</w:t>
      </w:r>
      <w:r w:rsidRPr="003E698F">
        <w:rPr>
          <w:spacing w:val="0"/>
          <w:kern w:val="0"/>
          <w:sz w:val="20"/>
          <w:rtl/>
        </w:rPr>
        <w:t xml:space="preserve"> الدولة الطرف في ادعاءات صاحب الشكوى. بيد أن اللجنة ترى أن الحجج المقدمة إليها تثير قضايا ينبغي معالجتها من جهة أسسها الموضوعية وليس من جهة مقبوليتها. </w:t>
      </w:r>
      <w:r w:rsidRPr="003E698F">
        <w:rPr>
          <w:rFonts w:hint="cs"/>
          <w:spacing w:val="0"/>
          <w:kern w:val="0"/>
          <w:sz w:val="20"/>
          <w:rtl/>
        </w:rPr>
        <w:t xml:space="preserve">وبما أن </w:t>
      </w:r>
      <w:r w:rsidRPr="003E698F">
        <w:rPr>
          <w:spacing w:val="0"/>
          <w:kern w:val="0"/>
          <w:sz w:val="20"/>
          <w:rtl/>
        </w:rPr>
        <w:t xml:space="preserve">اللجنة </w:t>
      </w:r>
      <w:r w:rsidRPr="003E698F">
        <w:rPr>
          <w:rFonts w:hint="cs"/>
          <w:spacing w:val="0"/>
          <w:kern w:val="0"/>
          <w:sz w:val="20"/>
          <w:rtl/>
        </w:rPr>
        <w:t xml:space="preserve">لا تجد </w:t>
      </w:r>
      <w:r w:rsidRPr="003E698F">
        <w:rPr>
          <w:spacing w:val="0"/>
          <w:kern w:val="0"/>
          <w:sz w:val="20"/>
          <w:rtl/>
        </w:rPr>
        <w:t xml:space="preserve">أي </w:t>
      </w:r>
      <w:r w:rsidRPr="003E698F">
        <w:rPr>
          <w:rFonts w:hint="cs"/>
          <w:spacing w:val="0"/>
          <w:kern w:val="0"/>
          <w:sz w:val="20"/>
          <w:rtl/>
        </w:rPr>
        <w:t>موانع</w:t>
      </w:r>
      <w:r w:rsidRPr="003E698F">
        <w:rPr>
          <w:spacing w:val="0"/>
          <w:kern w:val="0"/>
          <w:sz w:val="20"/>
          <w:rtl/>
        </w:rPr>
        <w:t xml:space="preserve"> إضافي</w:t>
      </w:r>
      <w:r w:rsidRPr="003E698F">
        <w:rPr>
          <w:rFonts w:hint="cs"/>
          <w:spacing w:val="0"/>
          <w:kern w:val="0"/>
          <w:sz w:val="20"/>
          <w:rtl/>
        </w:rPr>
        <w:t>ة ل</w:t>
      </w:r>
      <w:r w:rsidRPr="003E698F">
        <w:rPr>
          <w:spacing w:val="0"/>
          <w:kern w:val="0"/>
          <w:sz w:val="20"/>
          <w:rtl/>
        </w:rPr>
        <w:t xml:space="preserve">لمقبولية، </w:t>
      </w:r>
      <w:r w:rsidRPr="003E698F">
        <w:rPr>
          <w:rFonts w:hint="cs"/>
          <w:spacing w:val="0"/>
          <w:kern w:val="0"/>
          <w:sz w:val="20"/>
          <w:rtl/>
        </w:rPr>
        <w:t xml:space="preserve">فإنها تعلن أن </w:t>
      </w:r>
      <w:r w:rsidRPr="003E698F">
        <w:rPr>
          <w:spacing w:val="0"/>
          <w:kern w:val="0"/>
          <w:sz w:val="20"/>
          <w:rtl/>
        </w:rPr>
        <w:t>البلاغ مقبول.</w:t>
      </w:r>
    </w:p>
    <w:p w:rsidR="00921F02" w:rsidRPr="003E698F" w:rsidRDefault="00921F02" w:rsidP="00921F02">
      <w:pPr>
        <w:pStyle w:val="H4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النظر في الأسس الموضوعية</w:t>
      </w:r>
    </w:p>
    <w:p w:rsidR="00921F02" w:rsidRPr="004C5EBE" w:rsidRDefault="00921F02" w:rsidP="00503CA2">
      <w:pPr>
        <w:pStyle w:val="SingleTxtGA"/>
        <w:jc w:val="lowKashida"/>
        <w:rPr>
          <w:rFonts w:hint="cs"/>
          <w:spacing w:val="-2"/>
          <w:kern w:val="0"/>
          <w:sz w:val="20"/>
          <w:rtl/>
        </w:rPr>
      </w:pPr>
      <w:r w:rsidRPr="003E698F">
        <w:rPr>
          <w:rFonts w:hint="cs"/>
          <w:spacing w:val="0"/>
          <w:kern w:val="0"/>
          <w:sz w:val="20"/>
          <w:rtl/>
        </w:rPr>
        <w:t>14-1</w:t>
      </w:r>
      <w:r w:rsidRPr="003E698F">
        <w:rPr>
          <w:spacing w:val="0"/>
          <w:kern w:val="0"/>
          <w:sz w:val="20"/>
          <w:rtl/>
        </w:rPr>
        <w:tab/>
        <w:t>على اللجنة أن تبت في ما إذا كان تسليم صاحب الشكوى إلى المكسيك يخل بالتزام الدولة الطرف بموجب المادة</w:t>
      </w:r>
      <w:r w:rsidRPr="003E698F">
        <w:rPr>
          <w:rFonts w:hint="cs"/>
          <w:spacing w:val="0"/>
          <w:kern w:val="0"/>
          <w:sz w:val="20"/>
          <w:rtl/>
        </w:rPr>
        <w:t xml:space="preserve"> 3</w:t>
      </w:r>
      <w:r w:rsidRPr="003E698F">
        <w:rPr>
          <w:spacing w:val="0"/>
          <w:kern w:val="0"/>
          <w:sz w:val="20"/>
          <w:rtl/>
        </w:rPr>
        <w:t xml:space="preserve"> من الاتفاقية القاضية بعدم تسليم شخص أو طرده أو إعادته إلى دولة أخرى </w:t>
      </w:r>
      <w:r w:rsidRPr="003E698F">
        <w:rPr>
          <w:rFonts w:hint="cs"/>
          <w:spacing w:val="0"/>
          <w:kern w:val="0"/>
          <w:sz w:val="20"/>
          <w:rtl/>
        </w:rPr>
        <w:t>إذا كانت هناك</w:t>
      </w:r>
      <w:r w:rsidRPr="003E698F">
        <w:rPr>
          <w:spacing w:val="0"/>
          <w:kern w:val="0"/>
          <w:sz w:val="20"/>
          <w:rtl/>
        </w:rPr>
        <w:t xml:space="preserve"> أسباب </w:t>
      </w:r>
      <w:r w:rsidRPr="003E698F">
        <w:rPr>
          <w:rFonts w:hint="cs"/>
          <w:spacing w:val="0"/>
          <w:kern w:val="0"/>
          <w:sz w:val="20"/>
          <w:rtl/>
        </w:rPr>
        <w:t xml:space="preserve">حقيقية </w:t>
      </w:r>
      <w:r w:rsidRPr="003E698F">
        <w:rPr>
          <w:spacing w:val="0"/>
          <w:kern w:val="0"/>
          <w:sz w:val="20"/>
          <w:rtl/>
        </w:rPr>
        <w:t xml:space="preserve">تحمل على الاعتقاد بأنه قد يتعرض للتعذيب. </w:t>
      </w:r>
      <w:r w:rsidRPr="003E698F">
        <w:rPr>
          <w:rFonts w:hint="cs"/>
          <w:spacing w:val="0"/>
          <w:kern w:val="0"/>
          <w:sz w:val="20"/>
          <w:rtl/>
          <w:lang/>
        </w:rPr>
        <w:t>ويجب على اللجنة، لدى تقييم احتمال التعرض للتعذيب، أن تضع في حسبانها جميع الاعتبارات المتصلة بالموضوع، وفقاً للفقرة 2 من المادة 3 من الاتفاقية، ومن ذلك وجود نمط ثابت من الانتهاكات الفادحة أو الصارخة أو الجماعية لحقوق الإنسان</w:t>
      </w:r>
      <w:r w:rsidRPr="003E698F">
        <w:rPr>
          <w:rFonts w:hint="cs"/>
          <w:spacing w:val="0"/>
          <w:kern w:val="0"/>
          <w:sz w:val="20"/>
          <w:rtl/>
        </w:rPr>
        <w:t xml:space="preserve">. غير أن القصد من هذا التحليل هو البت فيما إذا كان صاحب الشكوى سيتعرض شخصياً للتعذيب إذا سلم إلى المكسيك. </w:t>
      </w:r>
      <w:r w:rsidRPr="003E698F">
        <w:rPr>
          <w:rFonts w:hint="cs"/>
          <w:spacing w:val="0"/>
          <w:kern w:val="0"/>
          <w:sz w:val="20"/>
          <w:rtl/>
          <w:lang/>
        </w:rPr>
        <w:t xml:space="preserve">ويستتبع ذلك أن وجود نمط ثابت من الانتهاكات الفادحة أو الصارخة </w:t>
      </w:r>
      <w:r w:rsidRPr="004C5EBE">
        <w:rPr>
          <w:rFonts w:hint="cs"/>
          <w:spacing w:val="0"/>
          <w:kern w:val="0"/>
          <w:sz w:val="20"/>
          <w:rtl/>
          <w:lang/>
        </w:rPr>
        <w:t>أو</w:t>
      </w:r>
      <w:r w:rsidR="00503CA2" w:rsidRPr="004C5EBE">
        <w:rPr>
          <w:rFonts w:hint="eastAsia"/>
          <w:spacing w:val="0"/>
          <w:kern w:val="0"/>
          <w:sz w:val="20"/>
          <w:rtl/>
          <w:lang/>
        </w:rPr>
        <w:t> </w:t>
      </w:r>
      <w:r w:rsidRPr="004C5EBE">
        <w:rPr>
          <w:rFonts w:hint="cs"/>
          <w:spacing w:val="0"/>
          <w:kern w:val="0"/>
          <w:sz w:val="20"/>
          <w:rtl/>
          <w:lang/>
        </w:rPr>
        <w:t xml:space="preserve">الجماعية لحقوق الإنسان لا يعد في حد ذاته سبباً كافياً لإثبات أن شخصاً ما قد يتعرض للتعذيب لدى عودته إلى ذلك البلد، إذ إنه يجب الاستشهاد بأسباب إضافية تثبت أن </w:t>
      </w:r>
      <w:r w:rsidRPr="004C5EBE">
        <w:rPr>
          <w:rFonts w:hint="cs"/>
          <w:spacing w:val="-2"/>
          <w:kern w:val="0"/>
          <w:sz w:val="20"/>
          <w:rtl/>
          <w:lang/>
        </w:rPr>
        <w:t>الشخص المعني سيتعرض شخصياً للخطر</w:t>
      </w:r>
      <w:r w:rsidRPr="004C5EBE">
        <w:rPr>
          <w:rFonts w:hint="cs"/>
          <w:spacing w:val="-2"/>
          <w:kern w:val="0"/>
          <w:sz w:val="20"/>
          <w:rtl/>
        </w:rPr>
        <w:t xml:space="preserve">. </w:t>
      </w:r>
      <w:r w:rsidRPr="004C5EBE">
        <w:rPr>
          <w:rFonts w:hint="cs"/>
          <w:spacing w:val="-2"/>
          <w:kern w:val="0"/>
          <w:sz w:val="20"/>
          <w:rtl/>
          <w:lang/>
        </w:rPr>
        <w:t>وفي المقابل، لا يعني عدم وجود نمط ثابت من الانتهاكات الفادحة لحقوق الإنسان أنه لا يمكن أن يتعرض شخصٌ ما للتعذيب في حالة معينة خاصة به</w:t>
      </w:r>
      <w:r w:rsidRPr="004C5EBE">
        <w:rPr>
          <w:spacing w:val="-2"/>
          <w:kern w:val="0"/>
          <w:sz w:val="20"/>
          <w:vertAlign w:val="superscript"/>
          <w:rtl/>
        </w:rPr>
        <w:t>(</w:t>
      </w:r>
      <w:r w:rsidRPr="004C5EBE">
        <w:rPr>
          <w:rStyle w:val="FootnoteReference"/>
          <w:spacing w:val="-2"/>
          <w:sz w:val="20"/>
          <w:rtl/>
        </w:rPr>
        <w:footnoteReference w:id="166"/>
      </w:r>
      <w:r w:rsidRPr="004C5EBE">
        <w:rPr>
          <w:spacing w:val="-2"/>
          <w:kern w:val="0"/>
          <w:sz w:val="20"/>
          <w:vertAlign w:val="superscript"/>
          <w:rtl/>
        </w:rPr>
        <w:t>)</w:t>
      </w:r>
      <w:r w:rsidRPr="004C5EBE">
        <w:rPr>
          <w:rFonts w:hint="cs"/>
          <w:spacing w:val="-2"/>
          <w:kern w:val="0"/>
          <w:sz w:val="20"/>
          <w:rtl/>
        </w:rPr>
        <w:t xml:space="preserve">. </w:t>
      </w:r>
      <w:r w:rsidRPr="004C5EBE">
        <w:rPr>
          <w:rFonts w:hint="cs"/>
          <w:spacing w:val="-2"/>
          <w:kern w:val="0"/>
          <w:sz w:val="20"/>
          <w:rtl/>
          <w:lang/>
        </w:rPr>
        <w:t>وفيما يتعلق بعبء الإثبات، تذكّر اللجنة أيضاً بتعليقها العام وسوابقها القضائية التي تفيد بأنّ مسؤولية تقديم حجج مقنعة تقع عموماً على صاحب الشكوى، وأنه يتعين تقدير وجود احتمال التعرض للتعذيب بالاستناد إلى أسس تتجاوز مجرد الافتراض أو الشك</w:t>
      </w:r>
      <w:r w:rsidRPr="004C5EBE">
        <w:rPr>
          <w:rFonts w:hint="cs"/>
          <w:spacing w:val="-2"/>
          <w:kern w:val="0"/>
          <w:sz w:val="20"/>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14-2</w:t>
      </w:r>
      <w:r w:rsidRPr="003E698F">
        <w:rPr>
          <w:rFonts w:hint="cs"/>
          <w:spacing w:val="0"/>
          <w:kern w:val="0"/>
          <w:sz w:val="20"/>
          <w:rtl/>
        </w:rPr>
        <w:tab/>
        <w:t xml:space="preserve">وتلاحظ اللجنة أن صاحب الشكوى قدم حججه والأدلة الداعمة لها إلى مختلِف سلطات الدولة الطرف. وتذكّر في هذا الصدد بتعليقها العام رقم 1 (الفقرة 9) </w:t>
      </w:r>
      <w:r w:rsidRPr="003E698F">
        <w:rPr>
          <w:rFonts w:hint="cs"/>
          <w:spacing w:val="0"/>
          <w:kern w:val="0"/>
          <w:sz w:val="20"/>
          <w:rtl/>
          <w:lang/>
        </w:rPr>
        <w:t>الذي تقيم فيه للاستنتاجات التي توردها أجهزة الدولة الطرف وزناً كبيراً؛ بيد أن اللجنة غير ملزمة بتلك الاستنتاجات بل إنها مؤهلةٌ، بموجب الفقرة 4 من المادة 22 من الاتفاقية، لتقدير الوقائع بحرية في ضوء ملابسات كل قضية</w:t>
      </w:r>
      <w:r w:rsidRPr="003E698F">
        <w:rPr>
          <w:rFonts w:hint="cs"/>
          <w:spacing w:val="0"/>
          <w:kern w:val="0"/>
          <w:sz w:val="20"/>
          <w:rtl/>
        </w:rPr>
        <w:t>. وبينما تحيط اللجنة علماً بادعاء صاحب الشكوى أن محاكم الدولة الطرف أقامت قراراتها على افتراضات خاطئة فيما يتعلق بقيمة الضمانات الدبلوماسية المقدمة من المكسيك، ولا سيما بخصوص قدرة السلطات المكسيكية على السيطرة على قوات أمن البلد ومن ثم تقليل احتمال التعرض للتعذيب، فإنها تخلص إلى أن المعلومات التي بين يديها لا تشير إلى أي أخطاء بيّنة في نظر الدولة الطرف في ادعاءات صاحب الشكوى والأدلة التي قدمها.</w:t>
      </w:r>
    </w:p>
    <w:p w:rsidR="00921F02" w:rsidRPr="003E698F" w:rsidRDefault="00921F02" w:rsidP="004930E5">
      <w:pPr>
        <w:pStyle w:val="SingleTxtGA"/>
        <w:jc w:val="lowKashida"/>
        <w:rPr>
          <w:rFonts w:hint="cs"/>
          <w:spacing w:val="0"/>
          <w:kern w:val="0"/>
          <w:sz w:val="20"/>
          <w:rtl/>
        </w:rPr>
      </w:pPr>
      <w:r w:rsidRPr="003E698F">
        <w:rPr>
          <w:rFonts w:hint="cs"/>
          <w:spacing w:val="0"/>
          <w:kern w:val="0"/>
          <w:sz w:val="20"/>
          <w:rtl/>
        </w:rPr>
        <w:t>14-3</w:t>
      </w:r>
      <w:r w:rsidRPr="003E698F">
        <w:rPr>
          <w:rFonts w:hint="cs"/>
          <w:spacing w:val="0"/>
          <w:kern w:val="0"/>
          <w:sz w:val="20"/>
          <w:rtl/>
        </w:rPr>
        <w:tab/>
        <w:t xml:space="preserve">ولدى تقييم اللجنة لاحتمال تعرض صاحب الشكوى للتعذيب وقت تسليمه، لاحظت أنه ادعى تعرضه للتعذيب عندما قبض عليه وهُدد بالتعذيب في غرفة التمريض الموجودة في السجن في المكسيك في عام 1998، وأنه، لدعم ادعاءاته، قدم تقريرين طبيين يؤكدان أنه كان يعاني اضطرابات نفسية، منها </w:t>
      </w:r>
      <w:r w:rsidR="004930E5">
        <w:rPr>
          <w:rFonts w:hint="cs"/>
          <w:spacing w:val="0"/>
          <w:kern w:val="0"/>
          <w:sz w:val="20"/>
          <w:rtl/>
        </w:rPr>
        <w:t xml:space="preserve">اضطراب </w:t>
      </w:r>
      <w:r w:rsidRPr="003E698F">
        <w:rPr>
          <w:rFonts w:hint="cs"/>
          <w:spacing w:val="0"/>
          <w:kern w:val="0"/>
          <w:sz w:val="20"/>
          <w:rtl/>
        </w:rPr>
        <w:t xml:space="preserve">الإجهاد اللاحق </w:t>
      </w:r>
      <w:r w:rsidR="004930E5">
        <w:rPr>
          <w:rFonts w:hint="cs"/>
          <w:spacing w:val="0"/>
          <w:kern w:val="0"/>
          <w:sz w:val="20"/>
          <w:rtl/>
        </w:rPr>
        <w:t>للصدمة</w:t>
      </w:r>
      <w:r w:rsidRPr="003E698F">
        <w:rPr>
          <w:rFonts w:hint="cs"/>
          <w:spacing w:val="0"/>
          <w:kern w:val="0"/>
          <w:sz w:val="20"/>
          <w:rtl/>
        </w:rPr>
        <w:t>، إضافة إلى نتائج اختبار كاشف الكذب الذي أجرته الشرطة في الدولة الطرف والذي يشير إلى أن ادعاءاته المتعلقة بالتعذيب معقولة. وعن احتمال التعرض للتعذيب حقيقةً وشخصياً إذا سُلم، تلاحظ اللجنة أن صاحب الشكوى ادعى أن احتمال تعرضه للتعذيب كبير نظراً إلى أنه قد يعاد إلى السجن الذي فر منه والذي قيل إن فردين من مركز الشرطة كانا مسؤولين عن القبض عليه في عام 1998 قد هدداه فيه بالتعذيب. واعترض صاحب الشكوى على موثوقية الضمانات الدبلوماسية، من جهة لأن من قدمها بلد قيل إن التعذيب منتشر فيه أو أن ممارسته تنكرها السلطات، ومن جهة أخرى لأن من المستبعد ألا يتعرض صاحب الشكوى للاستجواب على يد الشرطة بشأن الجريمة المتهم بارتكابها. وفيما يتعلق بمتابعة الضمانات الدبلوماسية تلاحظ اللجنة أن صاحب الشكوى ادعى أنه تعرض للتعذيب بعد تسليمه، وهو الأمر الذي تعترض عليه الدولة الطرف. وتلاحظ اللجنة أيضاً أن المحاكم الوطنية في الدولة الطرف رأت أن احتمال تعرض صاحب الشكوى للتعذيب في السجن ضئيل وأن صاحب الشكوى لم يثبت أن الشرطة قد تستجوبه. وتحيط اللجنة علماً بتأكيد الدولة الطرف أن احتمال التعرض للتعذيب ستخفف منه الضمانات الدبلوماسية التي قُدّرت قيمتُها بالنظر إلى أن آليةً ستُستحدث لرصد وضع صاحب الشكوى من خلال قيام موظفي القنصلية بزيارات منتظمة. ويطعن صاحب الشكوى في هذه المقولة ويؤكد أن الدولة الطرف لم تستعلم قط عن سلامته في الفترة الممتدة بين</w:t>
      </w:r>
      <w:r w:rsidRPr="003E698F">
        <w:rPr>
          <w:rFonts w:hint="eastAsia"/>
          <w:spacing w:val="0"/>
          <w:kern w:val="0"/>
          <w:sz w:val="20"/>
          <w:rtl/>
        </w:rPr>
        <w:t> </w:t>
      </w:r>
      <w:r w:rsidRPr="003E698F">
        <w:rPr>
          <w:rFonts w:hint="cs"/>
          <w:spacing w:val="0"/>
          <w:kern w:val="0"/>
          <w:sz w:val="20"/>
          <w:rtl/>
        </w:rPr>
        <w:t>17 و20 آب/أغسطس 2007.</w:t>
      </w:r>
    </w:p>
    <w:p w:rsidR="00921F02" w:rsidRPr="00B32542" w:rsidRDefault="00921F02" w:rsidP="004C5EBE">
      <w:pPr>
        <w:pStyle w:val="SingleTxtGA"/>
        <w:jc w:val="lowKashida"/>
        <w:rPr>
          <w:rFonts w:hint="cs"/>
          <w:spacing w:val="-2"/>
          <w:kern w:val="0"/>
          <w:sz w:val="20"/>
          <w:rtl/>
        </w:rPr>
      </w:pPr>
      <w:r w:rsidRPr="003E698F">
        <w:rPr>
          <w:rFonts w:hint="cs"/>
          <w:spacing w:val="0"/>
          <w:kern w:val="0"/>
          <w:sz w:val="20"/>
          <w:rtl/>
        </w:rPr>
        <w:t>14-4</w:t>
      </w:r>
      <w:r w:rsidRPr="003E698F">
        <w:rPr>
          <w:rFonts w:hint="cs"/>
          <w:spacing w:val="0"/>
          <w:kern w:val="0"/>
          <w:sz w:val="20"/>
          <w:rtl/>
        </w:rPr>
        <w:tab/>
        <w:t>وتخلص اللجنة إلى أن القضية الأساسية هي تحديد ما إذا كان احتمال تعرض صاحب الشكوى للتعذيب، وقت تسليمه، متوقعاً وحقيقياً وشخصياً. فالمادة 3 من الاتفاقية تلزم الدولة التي تقرر تسليم شخص يخضع لولايتها إلى دولة أخرى أو عدم تسليمه بأن تتخذ جميع الإجراءات اللازمة لمنع تعذيبه. ويعني هذا الإلزام أن من واجبها تمحيص جميع الملابسات التي قد يُعتبر من المعقول أنها تشير إلى وجود احتمال للتعرض للتعذيب على النحو المحدد أعلاه وأخذها في الاعتبار. والمعايير التي يجب استيفاؤها للتأكد من منع حدوث ذلك تكون أشد عندما تقرر الدولة الطرف طلب ضمانات دبلوماسية قبل الإقدام على التسليم (أو</w:t>
      </w:r>
      <w:r w:rsidR="004C5EBE">
        <w:rPr>
          <w:rFonts w:hint="eastAsia"/>
          <w:spacing w:val="0"/>
          <w:kern w:val="0"/>
          <w:sz w:val="20"/>
          <w:rtl/>
        </w:rPr>
        <w:t> </w:t>
      </w:r>
      <w:r w:rsidRPr="003E698F">
        <w:rPr>
          <w:rFonts w:hint="cs"/>
          <w:spacing w:val="0"/>
          <w:kern w:val="0"/>
          <w:sz w:val="20"/>
          <w:rtl/>
        </w:rPr>
        <w:t xml:space="preserve">أي شكل من أشكال الإحالة) نظراً إلى أن تقديم طلب من هذا القبيل يدل على أن الدولة المسلِّمة ينتابها القلق إزاء المعاملة التي قد يعامل بها الشخص المسلَّم في بلد الوجهة. وحتى </w:t>
      </w:r>
      <w:r w:rsidRPr="00B32542">
        <w:rPr>
          <w:rFonts w:hint="cs"/>
          <w:spacing w:val="-2"/>
          <w:kern w:val="0"/>
          <w:sz w:val="20"/>
          <w:rtl/>
        </w:rPr>
        <w:t>عندما لا تشير الأدلة صراحة إلى وجود احتمال له تلك الطبيعة، فإن ملابسات القضية قد تثبت وجود شك معقول في أن الدولة المسلَّم إليها ستفي بالتزامها بمنع التعذيب بمقتضى المادتين 1 و2 من الاتفاقية. ففي القضية محل النظر، لا يجادل أحد في أن صاحب الشكوى سبق أن تعرض للتعذيب. وفي ظل هذه الظروف، على اللجنة أن تبت فيما إذا كان من شأن الضمانات الدبلوماسية، في هذه الحالة المحددة، أن تزيح أي شك معقول في أن يتعرض صاحب الشكوى للتعذيب بعد عودته. وعلى اللجنة في هذا الصدد أن تأخذ في حسبانها ما إذا كانت الضمانات الدبلوماسية التي تم الحصول عليها تشتمل على إجراءات متابعة تكفل فعاليتها.</w:t>
      </w:r>
    </w:p>
    <w:p w:rsidR="00921F02" w:rsidRPr="004C5EBE" w:rsidRDefault="00921F02" w:rsidP="004C5EBE">
      <w:pPr>
        <w:pStyle w:val="SingleTxtGA"/>
        <w:jc w:val="lowKashida"/>
        <w:rPr>
          <w:rFonts w:hint="cs"/>
          <w:spacing w:val="0"/>
          <w:kern w:val="0"/>
          <w:sz w:val="20"/>
          <w:rtl/>
        </w:rPr>
      </w:pPr>
      <w:r w:rsidRPr="003E698F">
        <w:rPr>
          <w:rFonts w:hint="cs"/>
          <w:spacing w:val="0"/>
          <w:kern w:val="0"/>
          <w:sz w:val="20"/>
          <w:rtl/>
        </w:rPr>
        <w:t>14-5</w:t>
      </w:r>
      <w:r w:rsidRPr="003E698F">
        <w:rPr>
          <w:rFonts w:hint="cs"/>
          <w:spacing w:val="0"/>
          <w:kern w:val="0"/>
          <w:sz w:val="20"/>
          <w:rtl/>
        </w:rPr>
        <w:tab/>
        <w:t xml:space="preserve">وترى اللجنة في هذه الحالة أن الدولة الطرف لم تأخذ في الاعتبار، قبل أن تقرر تسليم صاحب الشكوى، جميع الظروف التي تشير إلى أن احتمال تعرض صاحب الشكوى للتعذيب متوقع وحقيقي وشخصي. فهي، أولاً، لم تراع كون صاحب الشكوى قد يرسل إلى نفس السجن الذي لقي فيه حارس سجن حتفه أثناء فرار صاحب الشكوى قبل سنوات، </w:t>
      </w:r>
      <w:r w:rsidRPr="004C5EBE">
        <w:rPr>
          <w:rFonts w:hint="cs"/>
          <w:spacing w:val="-2"/>
          <w:kern w:val="0"/>
          <w:sz w:val="20"/>
          <w:rtl/>
        </w:rPr>
        <w:t>وأن وفاة الحارس هي أيضاً أحد مواضيع طلب التسليم؛ وثانياً، إن نظام الضمانات الدبلوماسية المتفق عليه لم يعد إعداداً دقيقاً بحيث يمنع التعذيب فعلياً. فلم تُحَط السلطات الدبلوماسية والقنصلية علماً، وفق ما تقتضيه الأصول، بتسليم صاحب الشكوى، ولم تبلَّغ بضرورة أن تكون قريبة منه وعلى اتصال مستمر به ابتداء من اللحظة التي سُلم فيها. وفي</w:t>
      </w:r>
      <w:r w:rsidRPr="003E698F">
        <w:rPr>
          <w:rFonts w:hint="cs"/>
          <w:spacing w:val="0"/>
          <w:kern w:val="0"/>
          <w:sz w:val="20"/>
          <w:rtl/>
        </w:rPr>
        <w:t xml:space="preserve"> </w:t>
      </w:r>
      <w:r w:rsidRPr="004C5EBE">
        <w:rPr>
          <w:rFonts w:hint="cs"/>
          <w:spacing w:val="-2"/>
          <w:kern w:val="0"/>
          <w:sz w:val="20"/>
          <w:rtl/>
        </w:rPr>
        <w:t>هذه الحالة، لم تأخذ الضمانات الدبلوماسية والزيارات القنصلية المرتقبة في حسبانها احتمال تعرض صاحب الشكوى للتعذيب، وبخاصة في الأيام الأولى من احتجازه. وقد تبين أن هذا الاحتمال حقيقي،</w:t>
      </w:r>
      <w:r w:rsidR="004C5EBE">
        <w:rPr>
          <w:rFonts w:hint="eastAsia"/>
          <w:spacing w:val="-2"/>
          <w:kern w:val="0"/>
          <w:sz w:val="20"/>
          <w:rtl/>
        </w:rPr>
        <w:t> </w:t>
      </w:r>
      <w:r w:rsidRPr="004C5EBE">
        <w:rPr>
          <w:rFonts w:hint="cs"/>
          <w:spacing w:val="-2"/>
          <w:kern w:val="0"/>
          <w:sz w:val="20"/>
          <w:rtl/>
        </w:rPr>
        <w:t>ذلك أن صاحب الشكوى وصل إلى المكسيك في 17 آب/أغسطس 2007 وقال إنه عذب في الفترة الممتدة بين 17 و20 آب/أغسطس 2007، لكن الدولة</w:t>
      </w:r>
      <w:r w:rsidRPr="004C5EBE">
        <w:rPr>
          <w:rFonts w:hint="cs"/>
          <w:spacing w:val="0"/>
          <w:kern w:val="0"/>
          <w:sz w:val="20"/>
          <w:rtl/>
        </w:rPr>
        <w:t xml:space="preserve"> الطرف لم تتخذ إجراءات للتأكد من سلامته حتى 22 آب/أغسطس 2007. وتخلص اللجنة مما تقدّم إلى أن تسليم صاحب الشكوى إلى المكسيك في تلك الظروف يعد انتهاكاً من الدولة الطرف للمادة</w:t>
      </w:r>
      <w:r w:rsidR="004C5EBE">
        <w:rPr>
          <w:rFonts w:hint="eastAsia"/>
          <w:spacing w:val="0"/>
          <w:kern w:val="0"/>
          <w:sz w:val="20"/>
          <w:rtl/>
        </w:rPr>
        <w:t> </w:t>
      </w:r>
      <w:r w:rsidRPr="004C5EBE">
        <w:rPr>
          <w:rFonts w:hint="cs"/>
          <w:spacing w:val="0"/>
          <w:kern w:val="0"/>
          <w:sz w:val="20"/>
          <w:rtl/>
        </w:rPr>
        <w:t>3 من الاتفاقية.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14-6</w:t>
      </w:r>
      <w:r w:rsidRPr="003E698F">
        <w:rPr>
          <w:rFonts w:hint="cs"/>
          <w:spacing w:val="0"/>
          <w:kern w:val="0"/>
          <w:sz w:val="20"/>
          <w:rtl/>
        </w:rPr>
        <w:tab/>
      </w:r>
      <w:r w:rsidRPr="003E698F">
        <w:rPr>
          <w:rFonts w:hint="cs"/>
          <w:spacing w:val="0"/>
          <w:kern w:val="0"/>
          <w:sz w:val="20"/>
          <w:rtl/>
          <w:lang/>
        </w:rPr>
        <w:t>وترى لجنة مناهضة التعذيب، عملاً بالفقرة 7 من المادة 22 من اتفاقية مناهضة التعذيب وغيره من ضروب المعاملة أو العقوبة القاسية أو اللاإنسانية أو المهينة، أن تسليم الدولة الطرف صاحب الشكوى إلى المكسيك شكل انتهاكاً للمادتين 3 و22 من الاتفاقية</w:t>
      </w:r>
      <w:r w:rsidRPr="003E698F">
        <w:rPr>
          <w:rFonts w:hint="cs"/>
          <w:spacing w:val="0"/>
          <w:kern w:val="0"/>
          <w:sz w:val="20"/>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15-</w:t>
      </w:r>
      <w:r w:rsidRPr="003E698F">
        <w:rPr>
          <w:rFonts w:hint="cs"/>
          <w:spacing w:val="0"/>
          <w:kern w:val="0"/>
          <w:sz w:val="20"/>
          <w:rtl/>
        </w:rPr>
        <w:tab/>
        <w:t>وتطلب اللجنة إلى الدولة الطرف، وفقاً لالتزاماتها بموجب المادة 14 من الاتفاقية، أن توفر لصاحب الشكوى سبيل انتصاف فعالاًبواسطة ما يلي، في جملة أمور: (أ) تعويضه عن انتهاك حقوقه المكفولة بالمادة 3؛ و(ب) إعادة تأهيله تأهيلاً تاماً قدر الإمكان، وذلك بتوفير ما يلي، على سبيل المثال: الرعاية الطبية والنفسية، والخدمات الاجتماعية، والمساعدة القضائية، ومن ذلك سداد ما تكبده من نفقات سابقة والتكفل بما سيتلقاه من خدمات لاحقة، إضافة إلى المصاريف القانونية؛ و(ج) إعادة النظر في نظامها للضمانات الدبلوماسية قصد تجنب ارتكابها انتهاكات مماثلة في المستقبل.</w:t>
      </w:r>
    </w:p>
    <w:p w:rsidR="00B32542" w:rsidRDefault="00921F02" w:rsidP="00921F02">
      <w:pPr>
        <w:pStyle w:val="SingleTxtGA"/>
        <w:jc w:val="lowKashida"/>
        <w:rPr>
          <w:rFonts w:hint="cs"/>
          <w:spacing w:val="-2"/>
          <w:kern w:val="0"/>
          <w:sz w:val="20"/>
          <w:rtl/>
        </w:rPr>
      </w:pPr>
      <w:r w:rsidRPr="00B32542">
        <w:rPr>
          <w:rFonts w:hint="cs"/>
          <w:spacing w:val="-2"/>
          <w:kern w:val="0"/>
          <w:sz w:val="20"/>
          <w:rtl/>
        </w:rPr>
        <w:t>16-</w:t>
      </w:r>
      <w:r w:rsidRPr="00B32542">
        <w:rPr>
          <w:rFonts w:hint="cs"/>
          <w:spacing w:val="-2"/>
          <w:kern w:val="0"/>
          <w:sz w:val="20"/>
          <w:rtl/>
        </w:rPr>
        <w:tab/>
        <w:t>وتود اللجنة، عملاً بالفقرة 5 من المادة 118 (المادة 112 السابقة) من نظامها الداخلي</w:t>
      </w:r>
      <w:r w:rsidRPr="00B32542">
        <w:rPr>
          <w:rFonts w:hint="cs"/>
          <w:spacing w:val="-2"/>
          <w:kern w:val="0"/>
          <w:sz w:val="20"/>
          <w:rtl/>
          <w:lang/>
        </w:rPr>
        <w:t>، الحصول، في غضون 90 يوماً، على معلومات عن التدابير التي اتخذتها الدولة الطرف استجابة للآراء المعبر عنها أعلاه، بما في ذلك تدابير التعويض عن انتهاك المادة 3 من الاتفاقية، وتحديد مكان وجود صاحب الشكوى حالياً ومعرفة حالته الصحية، بالتشاور مع المكسيك</w:t>
      </w:r>
      <w:r w:rsidRPr="00B32542">
        <w:rPr>
          <w:rFonts w:hint="cs"/>
          <w:spacing w:val="-2"/>
          <w:kern w:val="0"/>
          <w:sz w:val="20"/>
          <w:rtl/>
        </w:rPr>
        <w:t>.</w:t>
      </w:r>
    </w:p>
    <w:p w:rsidR="00B32542" w:rsidRDefault="00B32542" w:rsidP="00921F02">
      <w:pPr>
        <w:pStyle w:val="SingleTxtGA"/>
        <w:jc w:val="lowKashida"/>
        <w:rPr>
          <w:rFonts w:hint="cs"/>
          <w:spacing w:val="-2"/>
          <w:kern w:val="0"/>
          <w:sz w:val="20"/>
          <w:rtl/>
        </w:rPr>
      </w:pPr>
    </w:p>
    <w:p w:rsidR="00B32542" w:rsidRDefault="00B32542" w:rsidP="00921F02">
      <w:pPr>
        <w:pStyle w:val="SingleTxtGA"/>
        <w:jc w:val="lowKashida"/>
        <w:rPr>
          <w:spacing w:val="-2"/>
          <w:kern w:val="0"/>
          <w:sz w:val="20"/>
          <w:rtl/>
        </w:rPr>
        <w:sectPr w:rsidR="00B32542"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921F02" w:rsidRPr="003E698F" w:rsidRDefault="00921F02" w:rsidP="00B32542">
      <w:pPr>
        <w:pStyle w:val="H1GA"/>
        <w:spacing w:before="120"/>
        <w:rPr>
          <w:rFonts w:hint="cs"/>
          <w:spacing w:val="0"/>
          <w:kern w:val="0"/>
          <w:sz w:val="20"/>
          <w:rtl/>
        </w:rPr>
      </w:pPr>
      <w:r w:rsidRPr="003E698F">
        <w:rPr>
          <w:spacing w:val="0"/>
          <w:kern w:val="0"/>
          <w:sz w:val="20"/>
          <w:rtl/>
        </w:rPr>
        <w:tab/>
      </w:r>
      <w:r w:rsidRPr="003E698F">
        <w:rPr>
          <w:spacing w:val="0"/>
          <w:kern w:val="0"/>
          <w:sz w:val="20"/>
          <w:rtl/>
        </w:rPr>
        <w:tab/>
        <w:t>البلاغ رقم 343/2008</w:t>
      </w:r>
      <w:r w:rsidRPr="003E698F">
        <w:rPr>
          <w:rFonts w:hint="cs"/>
          <w:spacing w:val="0"/>
          <w:kern w:val="0"/>
          <w:sz w:val="20"/>
          <w:rtl/>
        </w:rPr>
        <w:t xml:space="preserve">: </w:t>
      </w:r>
      <w:r w:rsidRPr="003E698F">
        <w:rPr>
          <w:rFonts w:hint="cs"/>
          <w:i/>
          <w:iCs/>
          <w:spacing w:val="0"/>
          <w:kern w:val="0"/>
          <w:sz w:val="20"/>
          <w:rtl/>
        </w:rPr>
        <w:t>كالونزو ضد كندا</w:t>
      </w:r>
    </w:p>
    <w:p w:rsidR="00921F02" w:rsidRPr="003E698F" w:rsidRDefault="00921F02" w:rsidP="00921F02">
      <w:pPr>
        <w:pStyle w:val="SingleTxtGA"/>
        <w:ind w:left="1928"/>
        <w:rPr>
          <w:spacing w:val="0"/>
          <w:kern w:val="0"/>
          <w:sz w:val="20"/>
          <w:rtl/>
        </w:rPr>
      </w:pPr>
      <w:r w:rsidRPr="003E698F">
        <w:rPr>
          <w:i/>
          <w:iCs/>
          <w:spacing w:val="0"/>
          <w:kern w:val="0"/>
          <w:sz w:val="20"/>
          <w:rtl/>
        </w:rPr>
        <w:t>المقدم من:</w:t>
      </w:r>
      <w:r w:rsidRPr="003E698F">
        <w:rPr>
          <w:rFonts w:hint="cs"/>
          <w:spacing w:val="0"/>
          <w:kern w:val="0"/>
          <w:sz w:val="20"/>
          <w:rtl/>
        </w:rPr>
        <w:tab/>
      </w:r>
      <w:r w:rsidRPr="003E698F">
        <w:rPr>
          <w:spacing w:val="0"/>
          <w:kern w:val="0"/>
          <w:sz w:val="20"/>
          <w:rtl/>
        </w:rPr>
        <w:tab/>
      </w:r>
      <w:r w:rsidRPr="003E698F">
        <w:rPr>
          <w:rFonts w:hint="cs"/>
          <w:spacing w:val="0"/>
          <w:kern w:val="0"/>
          <w:sz w:val="20"/>
          <w:rtl/>
        </w:rPr>
        <w:tab/>
      </w:r>
      <w:r w:rsidRPr="003E698F">
        <w:rPr>
          <w:spacing w:val="0"/>
          <w:kern w:val="0"/>
          <w:sz w:val="20"/>
          <w:rtl/>
        </w:rPr>
        <w:t>آرثر كاسومبولا كالونزو</w:t>
      </w:r>
    </w:p>
    <w:p w:rsidR="00921F02" w:rsidRPr="003E698F" w:rsidRDefault="00921F02" w:rsidP="00921F02">
      <w:pPr>
        <w:pStyle w:val="SingleTxtGA"/>
        <w:ind w:left="1928"/>
        <w:rPr>
          <w:spacing w:val="0"/>
          <w:kern w:val="0"/>
          <w:sz w:val="20"/>
          <w:rtl/>
        </w:rPr>
      </w:pPr>
      <w:r w:rsidRPr="003E698F">
        <w:rPr>
          <w:i/>
          <w:iCs/>
          <w:spacing w:val="0"/>
          <w:kern w:val="0"/>
          <w:sz w:val="20"/>
          <w:rtl/>
        </w:rPr>
        <w:t>الشخص المدعى أنه ضحية:</w:t>
      </w:r>
      <w:r w:rsidRPr="003E698F">
        <w:rPr>
          <w:spacing w:val="0"/>
          <w:kern w:val="0"/>
          <w:sz w:val="20"/>
          <w:rtl/>
        </w:rPr>
        <w:tab/>
        <w:t>صاحب الشكوى</w:t>
      </w:r>
    </w:p>
    <w:p w:rsidR="00921F02" w:rsidRPr="003E698F" w:rsidRDefault="00921F02" w:rsidP="00921F02">
      <w:pPr>
        <w:pStyle w:val="SingleTxtGA"/>
        <w:ind w:left="1928"/>
        <w:rPr>
          <w:spacing w:val="0"/>
          <w:kern w:val="0"/>
          <w:sz w:val="20"/>
          <w:rtl/>
        </w:rPr>
      </w:pPr>
      <w:r w:rsidRPr="003E698F">
        <w:rPr>
          <w:i/>
          <w:iCs/>
          <w:spacing w:val="0"/>
          <w:kern w:val="0"/>
          <w:sz w:val="20"/>
          <w:rtl/>
        </w:rPr>
        <w:t>الدولة الطرف:</w:t>
      </w:r>
      <w:r w:rsidRPr="003E698F">
        <w:rPr>
          <w:spacing w:val="0"/>
          <w:kern w:val="0"/>
          <w:sz w:val="20"/>
          <w:rtl/>
        </w:rPr>
        <w:tab/>
      </w:r>
      <w:r w:rsidRPr="003E698F">
        <w:rPr>
          <w:spacing w:val="0"/>
          <w:kern w:val="0"/>
          <w:sz w:val="20"/>
          <w:rtl/>
        </w:rPr>
        <w:tab/>
      </w:r>
      <w:r w:rsidRPr="003E698F">
        <w:rPr>
          <w:spacing w:val="0"/>
          <w:kern w:val="0"/>
          <w:sz w:val="20"/>
          <w:rtl/>
        </w:rPr>
        <w:tab/>
        <w:t>كندا</w:t>
      </w:r>
    </w:p>
    <w:p w:rsidR="00921F02" w:rsidRPr="003E698F" w:rsidRDefault="00921F02" w:rsidP="00921F02">
      <w:pPr>
        <w:pStyle w:val="SingleTxtGA"/>
        <w:ind w:left="1928"/>
        <w:rPr>
          <w:spacing w:val="0"/>
          <w:kern w:val="0"/>
          <w:sz w:val="20"/>
          <w:rtl/>
        </w:rPr>
      </w:pPr>
      <w:r w:rsidRPr="003E698F">
        <w:rPr>
          <w:i/>
          <w:iCs/>
          <w:spacing w:val="0"/>
          <w:kern w:val="0"/>
          <w:sz w:val="20"/>
          <w:rtl/>
        </w:rPr>
        <w:t>تاريخ تقديم الشكوى:</w:t>
      </w:r>
      <w:r w:rsidRPr="003E698F">
        <w:rPr>
          <w:spacing w:val="0"/>
          <w:kern w:val="0"/>
          <w:sz w:val="20"/>
          <w:rtl/>
        </w:rPr>
        <w:tab/>
      </w:r>
      <w:r w:rsidRPr="003E698F">
        <w:rPr>
          <w:spacing w:val="0"/>
          <w:kern w:val="0"/>
          <w:sz w:val="20"/>
          <w:rtl/>
        </w:rPr>
        <w:tab/>
        <w:t>4 حزيران/يونيه 2008 (تاريخ الرسالة الأولى)</w:t>
      </w:r>
    </w:p>
    <w:p w:rsidR="00921F02" w:rsidRPr="003E698F" w:rsidRDefault="00921F02" w:rsidP="00921F02">
      <w:pPr>
        <w:pStyle w:val="SingleTxtGA"/>
        <w:rPr>
          <w:spacing w:val="0"/>
          <w:kern w:val="0"/>
          <w:sz w:val="20"/>
          <w:rtl/>
        </w:rPr>
      </w:pPr>
      <w:r w:rsidRPr="003E698F">
        <w:rPr>
          <w:i/>
          <w:iCs/>
          <w:spacing w:val="0"/>
          <w:kern w:val="0"/>
          <w:sz w:val="20"/>
          <w:rtl/>
        </w:rPr>
        <w:tab/>
        <w:t>إن لجنة مناهضة التعذيب،</w:t>
      </w:r>
      <w:r w:rsidRPr="003E698F">
        <w:rPr>
          <w:spacing w:val="0"/>
          <w:kern w:val="0"/>
          <w:sz w:val="20"/>
          <w:rtl/>
        </w:rPr>
        <w:t xml:space="preserve"> المنشأة بموجب المادة 17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rPr>
          <w:spacing w:val="0"/>
          <w:kern w:val="0"/>
          <w:sz w:val="20"/>
          <w:rtl/>
        </w:rPr>
      </w:pPr>
      <w:r w:rsidRPr="003E698F">
        <w:rPr>
          <w:i/>
          <w:iCs/>
          <w:spacing w:val="0"/>
          <w:kern w:val="0"/>
          <w:sz w:val="20"/>
          <w:rtl/>
        </w:rPr>
        <w:tab/>
        <w:t>وقد اجتمعت</w:t>
      </w:r>
      <w:r w:rsidRPr="003E698F">
        <w:rPr>
          <w:spacing w:val="0"/>
          <w:kern w:val="0"/>
          <w:sz w:val="20"/>
          <w:rtl/>
        </w:rPr>
        <w:t xml:space="preserve"> في 18 أيار/مايو 2012،</w:t>
      </w:r>
    </w:p>
    <w:p w:rsidR="00921F02" w:rsidRPr="003E698F" w:rsidRDefault="00921F02" w:rsidP="00921F02">
      <w:pPr>
        <w:pStyle w:val="SingleTxtGA"/>
        <w:jc w:val="lowKashida"/>
        <w:rPr>
          <w:spacing w:val="0"/>
          <w:kern w:val="0"/>
          <w:sz w:val="20"/>
          <w:rtl/>
        </w:rPr>
      </w:pPr>
      <w:r w:rsidRPr="003E698F">
        <w:rPr>
          <w:i/>
          <w:iCs/>
          <w:spacing w:val="0"/>
          <w:kern w:val="0"/>
          <w:sz w:val="20"/>
          <w:rtl/>
        </w:rPr>
        <w:tab/>
        <w:t>وقد فرغت</w:t>
      </w:r>
      <w:r w:rsidRPr="003E698F">
        <w:rPr>
          <w:spacing w:val="0"/>
          <w:kern w:val="0"/>
          <w:sz w:val="20"/>
          <w:rtl/>
        </w:rPr>
        <w:t xml:space="preserve"> من النظر في البلاغ رقم 343/2008، </w:t>
      </w:r>
      <w:r w:rsidRPr="003E698F">
        <w:rPr>
          <w:rFonts w:hint="cs"/>
          <w:spacing w:val="0"/>
          <w:kern w:val="0"/>
          <w:sz w:val="20"/>
          <w:rtl/>
        </w:rPr>
        <w:t>المقدم باسم</w:t>
      </w:r>
      <w:r w:rsidRPr="003E698F">
        <w:rPr>
          <w:spacing w:val="0"/>
          <w:kern w:val="0"/>
          <w:sz w:val="20"/>
          <w:rtl/>
        </w:rPr>
        <w:t xml:space="preserve"> آرثر كاسومبولا كالونزو إلى لجنة مناهضة التعذيب بموجب المادة 22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jc w:val="lowKashida"/>
        <w:rPr>
          <w:spacing w:val="0"/>
          <w:kern w:val="0"/>
          <w:sz w:val="20"/>
          <w:rtl/>
        </w:rPr>
      </w:pPr>
      <w:r w:rsidRPr="003E698F">
        <w:rPr>
          <w:i/>
          <w:iCs/>
          <w:spacing w:val="0"/>
          <w:kern w:val="0"/>
          <w:sz w:val="20"/>
          <w:rtl/>
        </w:rPr>
        <w:tab/>
        <w:t>وقد أخذت في اعتبارها</w:t>
      </w:r>
      <w:r w:rsidRPr="003E698F">
        <w:rPr>
          <w:spacing w:val="0"/>
          <w:kern w:val="0"/>
          <w:sz w:val="20"/>
          <w:rtl/>
        </w:rPr>
        <w:t xml:space="preserve"> جميع المعلومات التي أتاحها </w:t>
      </w:r>
      <w:r w:rsidRPr="003E698F">
        <w:rPr>
          <w:rFonts w:hint="cs"/>
          <w:spacing w:val="0"/>
          <w:kern w:val="0"/>
          <w:sz w:val="20"/>
          <w:rtl/>
        </w:rPr>
        <w:t xml:space="preserve">لها </w:t>
      </w:r>
      <w:r w:rsidRPr="003E698F">
        <w:rPr>
          <w:spacing w:val="0"/>
          <w:kern w:val="0"/>
          <w:sz w:val="20"/>
          <w:rtl/>
        </w:rPr>
        <w:t xml:space="preserve">صاحب الشكوى </w:t>
      </w:r>
      <w:r w:rsidRPr="003E698F">
        <w:rPr>
          <w:rFonts w:hint="cs"/>
          <w:spacing w:val="0"/>
          <w:kern w:val="0"/>
          <w:sz w:val="20"/>
          <w:rtl/>
        </w:rPr>
        <w:t xml:space="preserve">ومحاميه </w:t>
      </w:r>
      <w:r w:rsidRPr="003E698F">
        <w:rPr>
          <w:spacing w:val="0"/>
          <w:kern w:val="0"/>
          <w:sz w:val="20"/>
          <w:rtl/>
        </w:rPr>
        <w:t>والدولة الطرف،</w:t>
      </w:r>
    </w:p>
    <w:p w:rsidR="00921F02" w:rsidRPr="003E698F" w:rsidRDefault="00921F02" w:rsidP="00921F02">
      <w:pPr>
        <w:pStyle w:val="SingleTxtGA"/>
        <w:rPr>
          <w:spacing w:val="0"/>
          <w:kern w:val="0"/>
          <w:sz w:val="20"/>
          <w:rtl/>
        </w:rPr>
      </w:pPr>
      <w:r w:rsidRPr="003E698F">
        <w:rPr>
          <w:i/>
          <w:iCs/>
          <w:spacing w:val="0"/>
          <w:kern w:val="0"/>
          <w:sz w:val="20"/>
          <w:rtl/>
        </w:rPr>
        <w:tab/>
        <w:t>تعتمد</w:t>
      </w:r>
      <w:r w:rsidRPr="003E698F">
        <w:rPr>
          <w:spacing w:val="0"/>
          <w:kern w:val="0"/>
          <w:sz w:val="20"/>
          <w:rtl/>
        </w:rPr>
        <w:t xml:space="preserve"> ما يلي:</w:t>
      </w:r>
    </w:p>
    <w:p w:rsidR="00921F02" w:rsidRPr="003E698F" w:rsidRDefault="00921F02" w:rsidP="00921F02">
      <w:pPr>
        <w:pStyle w:val="H1GA"/>
        <w:rPr>
          <w:rFonts w:hint="cs"/>
          <w:spacing w:val="0"/>
          <w:kern w:val="0"/>
          <w:sz w:val="20"/>
          <w:rtl/>
        </w:rPr>
      </w:pPr>
      <w:r w:rsidRPr="003E698F">
        <w:rPr>
          <w:spacing w:val="0"/>
          <w:kern w:val="0"/>
          <w:sz w:val="20"/>
          <w:rtl/>
        </w:rPr>
        <w:tab/>
      </w:r>
      <w:r w:rsidRPr="003E698F">
        <w:rPr>
          <w:spacing w:val="0"/>
          <w:kern w:val="0"/>
          <w:sz w:val="20"/>
          <w:rtl/>
        </w:rPr>
        <w:tab/>
        <w:t>قرار بموجب الفقرة 7 من الما</w:t>
      </w:r>
      <w:r w:rsidR="00F9617D">
        <w:rPr>
          <w:spacing w:val="0"/>
          <w:kern w:val="0"/>
          <w:sz w:val="20"/>
          <w:rtl/>
        </w:rPr>
        <w:t>دة 22 من اتفاقية مناهضة التعذيب</w:t>
      </w:r>
    </w:p>
    <w:p w:rsidR="00921F02" w:rsidRPr="003E698F" w:rsidRDefault="00921F02" w:rsidP="00921F02">
      <w:pPr>
        <w:pStyle w:val="SingleTxtGA"/>
        <w:jc w:val="lowKashida"/>
        <w:rPr>
          <w:spacing w:val="0"/>
          <w:kern w:val="0"/>
          <w:sz w:val="20"/>
          <w:rtl/>
        </w:rPr>
      </w:pPr>
      <w:r w:rsidRPr="003E698F">
        <w:rPr>
          <w:spacing w:val="0"/>
          <w:kern w:val="0"/>
          <w:sz w:val="20"/>
          <w:rtl/>
        </w:rPr>
        <w:t>1-1</w:t>
      </w:r>
      <w:r w:rsidRPr="003E698F">
        <w:rPr>
          <w:spacing w:val="0"/>
          <w:kern w:val="0"/>
          <w:sz w:val="20"/>
          <w:rtl/>
        </w:rPr>
        <w:tab/>
        <w:t xml:space="preserve">صاحب الشكوى هو آرثر كاسومبولا كالونزو، من رعايا الكونغو، ومن مواليد 2 كانون الأول/ديسمبر 1976 في جمهورية الكونغو الديمقراطية. ويقيم حالياً في كندا. ويدعي أن ترحيله إلى جمهورية الكونغو الديمقراطية سيشكل انتهاكاً من جانب كندا للمادة 3 من اتفاقية مناهضة التعذيب. </w:t>
      </w:r>
    </w:p>
    <w:p w:rsidR="00921F02" w:rsidRPr="003E698F" w:rsidRDefault="00921F02" w:rsidP="00283F0D">
      <w:pPr>
        <w:pStyle w:val="SingleTxtGA"/>
        <w:jc w:val="lowKashida"/>
        <w:rPr>
          <w:spacing w:val="0"/>
          <w:kern w:val="0"/>
          <w:sz w:val="20"/>
          <w:rtl/>
        </w:rPr>
      </w:pPr>
      <w:r w:rsidRPr="003E698F">
        <w:rPr>
          <w:spacing w:val="0"/>
          <w:kern w:val="0"/>
          <w:sz w:val="20"/>
          <w:rtl/>
        </w:rPr>
        <w:t>1-2</w:t>
      </w:r>
      <w:r w:rsidRPr="003E698F">
        <w:rPr>
          <w:spacing w:val="0"/>
          <w:kern w:val="0"/>
          <w:sz w:val="20"/>
          <w:rtl/>
        </w:rPr>
        <w:tab/>
        <w:t xml:space="preserve">وفي 6 حزيران/يونيه 2008، طلب المقرر المعني بالبلاغات الجديدة والتدابير المؤقتة إلى الدولة الطرف، وفقاً للفقرة 1 من المادة 108 من </w:t>
      </w:r>
      <w:r w:rsidRPr="003E698F">
        <w:rPr>
          <w:rFonts w:hint="cs"/>
          <w:spacing w:val="0"/>
          <w:kern w:val="0"/>
          <w:sz w:val="20"/>
          <w:rtl/>
        </w:rPr>
        <w:t>ال</w:t>
      </w:r>
      <w:r w:rsidRPr="003E698F">
        <w:rPr>
          <w:spacing w:val="0"/>
          <w:kern w:val="0"/>
          <w:sz w:val="20"/>
          <w:rtl/>
        </w:rPr>
        <w:t>نظام الداخلي</w:t>
      </w:r>
      <w:r w:rsidRPr="003E698F">
        <w:rPr>
          <w:rFonts w:hint="cs"/>
          <w:spacing w:val="0"/>
          <w:kern w:val="0"/>
          <w:sz w:val="20"/>
          <w:rtl/>
        </w:rPr>
        <w:t xml:space="preserve"> للجنة</w:t>
      </w:r>
      <w:r w:rsidRPr="003E698F">
        <w:rPr>
          <w:spacing w:val="0"/>
          <w:kern w:val="0"/>
          <w:sz w:val="20"/>
          <w:rtl/>
        </w:rPr>
        <w:t xml:space="preserve">، عدم ترحيل صاحب الشكوى إلى جمهورية الكونغو الديمقراطية </w:t>
      </w:r>
      <w:r w:rsidR="00283F0D">
        <w:rPr>
          <w:rFonts w:hint="cs"/>
          <w:spacing w:val="0"/>
          <w:kern w:val="0"/>
          <w:sz w:val="20"/>
          <w:rtl/>
        </w:rPr>
        <w:t xml:space="preserve">ما دامت شكواه قيد </w:t>
      </w:r>
      <w:r w:rsidRPr="003E698F">
        <w:rPr>
          <w:spacing w:val="0"/>
          <w:kern w:val="0"/>
          <w:sz w:val="20"/>
          <w:rtl/>
        </w:rPr>
        <w:t>نظر اللجنة. ووافقت الدولة الطرف على هذا الطلب.</w:t>
      </w:r>
    </w:p>
    <w:p w:rsidR="00921F02" w:rsidRPr="003E698F" w:rsidRDefault="00921F02" w:rsidP="00921F02">
      <w:pPr>
        <w:pStyle w:val="H23GA"/>
        <w:jc w:val="lowKashida"/>
        <w:rPr>
          <w:spacing w:val="0"/>
          <w:kern w:val="0"/>
          <w:sz w:val="20"/>
          <w:rtl/>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الوقائع كما عرضها صاحب الشكوى</w:t>
      </w:r>
    </w:p>
    <w:p w:rsidR="00921F02" w:rsidRPr="003E698F" w:rsidRDefault="00921F02" w:rsidP="00921F02">
      <w:pPr>
        <w:pStyle w:val="SingleTxtGA"/>
        <w:jc w:val="lowKashida"/>
        <w:rPr>
          <w:spacing w:val="0"/>
          <w:kern w:val="0"/>
          <w:sz w:val="20"/>
          <w:rtl/>
        </w:rPr>
      </w:pPr>
      <w:r w:rsidRPr="003E698F">
        <w:rPr>
          <w:spacing w:val="0"/>
          <w:kern w:val="0"/>
          <w:sz w:val="20"/>
          <w:rtl/>
        </w:rPr>
        <w:t>2-1</w:t>
      </w:r>
      <w:r w:rsidRPr="003E698F">
        <w:rPr>
          <w:spacing w:val="0"/>
          <w:kern w:val="0"/>
          <w:sz w:val="20"/>
          <w:rtl/>
        </w:rPr>
        <w:tab/>
        <w:t xml:space="preserve">كان صاحب الشكوى يبلغ ثماني سنوات من العمر عندما توجهت أسرته إلى الولايات المتحدة في عام 1984 للتخلص من الاضطهاد الذي كانت تتعرض له في جمهورية الكونغو الديمقراطية بسبب أنشطة </w:t>
      </w:r>
      <w:r w:rsidRPr="003E698F">
        <w:rPr>
          <w:rFonts w:hint="cs"/>
          <w:spacing w:val="0"/>
          <w:kern w:val="0"/>
          <w:sz w:val="20"/>
          <w:rtl/>
        </w:rPr>
        <w:t xml:space="preserve">المعارضة </w:t>
      </w:r>
      <w:r w:rsidRPr="003E698F">
        <w:rPr>
          <w:spacing w:val="0"/>
          <w:kern w:val="0"/>
          <w:sz w:val="20"/>
          <w:rtl/>
        </w:rPr>
        <w:t>السياسية لوالده الذي كان عضواً مؤثراً ومعروفاً في حزب الاتحاد من أج</w:t>
      </w:r>
      <w:r w:rsidR="00B32542">
        <w:rPr>
          <w:spacing w:val="0"/>
          <w:kern w:val="0"/>
          <w:sz w:val="20"/>
          <w:rtl/>
        </w:rPr>
        <w:t>ل الديمقراطية والتقدم الاجتماعي</w:t>
      </w:r>
      <w:r w:rsidRPr="003E698F">
        <w:rPr>
          <w:spacing w:val="0"/>
          <w:kern w:val="0"/>
          <w:sz w:val="20"/>
          <w:vertAlign w:val="superscript"/>
          <w:rtl/>
        </w:rPr>
        <w:t>(</w:t>
      </w:r>
      <w:r w:rsidRPr="003E698F">
        <w:rPr>
          <w:rStyle w:val="FootnoteReference"/>
          <w:spacing w:val="0"/>
          <w:sz w:val="20"/>
          <w:rtl/>
        </w:rPr>
        <w:footnoteReference w:id="167"/>
      </w:r>
      <w:r w:rsidRPr="003E698F">
        <w:rPr>
          <w:spacing w:val="0"/>
          <w:kern w:val="0"/>
          <w:sz w:val="20"/>
          <w:vertAlign w:val="superscript"/>
          <w:rtl/>
        </w:rPr>
        <w:t>)</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2-2</w:t>
      </w:r>
      <w:r w:rsidRPr="003E698F">
        <w:rPr>
          <w:spacing w:val="0"/>
          <w:kern w:val="0"/>
          <w:sz w:val="20"/>
          <w:rtl/>
        </w:rPr>
        <w:tab/>
        <w:t xml:space="preserve">وفي نيسان/أبريل 2002، قامت سلطات الولايات المتحدة بترحيل صاحب الشكوى إلى جمهورية الكونغو الديمقراطية بسبب سوابقه الجنائية المتعددة. وكان سجله الجنائي سبباً في عدم حصوله على الجنسية </w:t>
      </w:r>
      <w:r w:rsidRPr="003E698F">
        <w:rPr>
          <w:rFonts w:hint="cs"/>
          <w:spacing w:val="0"/>
          <w:kern w:val="0"/>
          <w:sz w:val="20"/>
          <w:rtl/>
        </w:rPr>
        <w:t xml:space="preserve">الأمريكية </w:t>
      </w:r>
      <w:r w:rsidRPr="003E698F">
        <w:rPr>
          <w:spacing w:val="0"/>
          <w:kern w:val="0"/>
          <w:sz w:val="20"/>
          <w:rtl/>
        </w:rPr>
        <w:t xml:space="preserve">أيضاً، خلافاً لبقية أفراد أسرته. ولدى وصوله إلى مطار كينشاسا، احتجزته السلطات الكونغولية واتهمته </w:t>
      </w:r>
      <w:r w:rsidRPr="003E698F">
        <w:rPr>
          <w:rFonts w:hint="cs"/>
          <w:spacing w:val="0"/>
          <w:kern w:val="0"/>
          <w:sz w:val="20"/>
          <w:rtl/>
        </w:rPr>
        <w:t>بأنه مجرم</w:t>
      </w:r>
      <w:r w:rsidRPr="003E698F">
        <w:rPr>
          <w:spacing w:val="0"/>
          <w:kern w:val="0"/>
          <w:sz w:val="20"/>
          <w:rtl/>
        </w:rPr>
        <w:t xml:space="preserve"> وأخذت جميع النقود التي كانت معه. وبعد بضع ساعات، أبلغته السلطات بأنها على علم بسجله الجنائي في الولايات المتحدة وبأنها تعرف والده، الذي كان من لاعبي كرة القدم المشهورين، وتعرف أنشطته الموالية لحزب الاتحاد من أجل الديمقراطية والتقدم الاجتماعي. وات</w:t>
      </w:r>
      <w:r w:rsidRPr="003E698F">
        <w:rPr>
          <w:rFonts w:hint="cs"/>
          <w:spacing w:val="0"/>
          <w:kern w:val="0"/>
          <w:sz w:val="20"/>
          <w:rtl/>
        </w:rPr>
        <w:t>ُّ</w:t>
      </w:r>
      <w:r w:rsidRPr="003E698F">
        <w:rPr>
          <w:spacing w:val="0"/>
          <w:kern w:val="0"/>
          <w:sz w:val="20"/>
          <w:rtl/>
        </w:rPr>
        <w:t xml:space="preserve">هم </w:t>
      </w:r>
      <w:r w:rsidRPr="003E698F">
        <w:rPr>
          <w:rFonts w:hint="cs"/>
          <w:spacing w:val="0"/>
          <w:kern w:val="0"/>
          <w:sz w:val="20"/>
          <w:rtl/>
        </w:rPr>
        <w:t xml:space="preserve">صاحب الشكوى </w:t>
      </w:r>
      <w:r w:rsidRPr="003E698F">
        <w:rPr>
          <w:spacing w:val="0"/>
          <w:kern w:val="0"/>
          <w:sz w:val="20"/>
          <w:rtl/>
        </w:rPr>
        <w:t xml:space="preserve">بانتمائه مثل والده إلى هذا الحزب </w:t>
      </w:r>
      <w:r w:rsidRPr="003E698F">
        <w:rPr>
          <w:rFonts w:hint="cs"/>
          <w:spacing w:val="0"/>
          <w:kern w:val="0"/>
          <w:sz w:val="20"/>
          <w:rtl/>
        </w:rPr>
        <w:t xml:space="preserve">واقتيد </w:t>
      </w:r>
      <w:r w:rsidRPr="003E698F">
        <w:rPr>
          <w:spacing w:val="0"/>
          <w:kern w:val="0"/>
          <w:sz w:val="20"/>
          <w:rtl/>
        </w:rPr>
        <w:t>إلى سجن ماكالا حيث تعرض لسوء المعاملة والضرب والتعذيب والاعتداء الجنسي</w:t>
      </w:r>
      <w:r w:rsidRPr="003E698F">
        <w:rPr>
          <w:spacing w:val="0"/>
          <w:kern w:val="0"/>
          <w:sz w:val="20"/>
          <w:vertAlign w:val="superscript"/>
          <w:rtl/>
        </w:rPr>
        <w:t>(</w:t>
      </w:r>
      <w:r w:rsidRPr="003E698F">
        <w:rPr>
          <w:rStyle w:val="FootnoteReference"/>
          <w:spacing w:val="0"/>
          <w:sz w:val="20"/>
          <w:rtl/>
        </w:rPr>
        <w:footnoteReference w:id="168"/>
      </w:r>
      <w:r w:rsidRPr="003E698F">
        <w:rPr>
          <w:spacing w:val="0"/>
          <w:kern w:val="0"/>
          <w:sz w:val="20"/>
          <w:vertAlign w:val="superscript"/>
          <w:rtl/>
        </w:rPr>
        <w:t>)</w:t>
      </w:r>
      <w:r w:rsidRPr="003E698F">
        <w:rPr>
          <w:spacing w:val="0"/>
          <w:kern w:val="0"/>
          <w:sz w:val="20"/>
          <w:rtl/>
        </w:rPr>
        <w:t>. واستمر احتجازه مدة أربعة أشهر وبضعة أيام. ثم هرب من السجن.</w:t>
      </w:r>
    </w:p>
    <w:p w:rsidR="00921F02" w:rsidRPr="003E698F" w:rsidRDefault="00921F02" w:rsidP="00B32542">
      <w:pPr>
        <w:pStyle w:val="SingleTxtGA"/>
        <w:jc w:val="lowKashida"/>
        <w:rPr>
          <w:spacing w:val="0"/>
          <w:kern w:val="0"/>
          <w:sz w:val="20"/>
          <w:rtl/>
        </w:rPr>
      </w:pPr>
      <w:r w:rsidRPr="003E698F">
        <w:rPr>
          <w:spacing w:val="0"/>
          <w:kern w:val="0"/>
          <w:sz w:val="20"/>
          <w:rtl/>
        </w:rPr>
        <w:t>2-3</w:t>
      </w:r>
      <w:r w:rsidRPr="003E698F">
        <w:rPr>
          <w:spacing w:val="0"/>
          <w:kern w:val="0"/>
          <w:sz w:val="20"/>
          <w:rtl/>
        </w:rPr>
        <w:tab/>
        <w:t>وتمكن صاحب الشكوى من الحصول على وثائق سفر للذهاب إلى كندا، وقدم في</w:t>
      </w:r>
      <w:r w:rsidR="00B32542">
        <w:rPr>
          <w:rFonts w:hint="cs"/>
          <w:spacing w:val="0"/>
          <w:kern w:val="0"/>
          <w:sz w:val="20"/>
          <w:rtl/>
        </w:rPr>
        <w:t> </w:t>
      </w:r>
      <w:r w:rsidRPr="003E698F">
        <w:rPr>
          <w:spacing w:val="0"/>
          <w:kern w:val="0"/>
          <w:sz w:val="20"/>
          <w:rtl/>
        </w:rPr>
        <w:t xml:space="preserve">4 فبراير 2003 طلباً للجوء إلى هذا البلد. ونظراً لحالته النفسية نتيجة للأحداث التي تعرض لها في جمهورية الكونغو الديمقراطية، أعرب عن رغبته في العودة إلى الولايات المتحدة التي عاش بها كل حياته من أجل اللحاق بأسرته. وفي 1 أيار/مايو 2003، حاول العودة بصورة غير مشروعة إلى الولايات المتحدة باستخدام شهادة ميلاد مزورة ولكن تم القبض عليه واحتجازه وحكم عليه بالسجن </w:t>
      </w:r>
      <w:r w:rsidRPr="003E698F">
        <w:rPr>
          <w:rFonts w:hint="cs"/>
          <w:spacing w:val="0"/>
          <w:kern w:val="0"/>
          <w:sz w:val="20"/>
          <w:rtl/>
        </w:rPr>
        <w:t>في الولايات المتحدة ل</w:t>
      </w:r>
      <w:r w:rsidRPr="003E698F">
        <w:rPr>
          <w:spacing w:val="0"/>
          <w:kern w:val="0"/>
          <w:sz w:val="20"/>
          <w:rtl/>
        </w:rPr>
        <w:t>مدة 30 شهرا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وبما أن صاحب الشكوى</w:t>
      </w:r>
      <w:r w:rsidRPr="003E698F">
        <w:rPr>
          <w:spacing w:val="0"/>
          <w:kern w:val="0"/>
          <w:sz w:val="20"/>
          <w:rtl/>
        </w:rPr>
        <w:t xml:space="preserve"> كان </w:t>
      </w:r>
      <w:r w:rsidRPr="003E698F">
        <w:rPr>
          <w:rFonts w:hint="cs"/>
          <w:spacing w:val="0"/>
          <w:kern w:val="0"/>
          <w:sz w:val="20"/>
          <w:rtl/>
        </w:rPr>
        <w:t xml:space="preserve">لا يزال </w:t>
      </w:r>
      <w:r w:rsidRPr="003E698F">
        <w:rPr>
          <w:spacing w:val="0"/>
          <w:kern w:val="0"/>
          <w:sz w:val="20"/>
          <w:rtl/>
        </w:rPr>
        <w:t>في الولايات المتحدة</w:t>
      </w:r>
      <w:r w:rsidRPr="003E698F">
        <w:rPr>
          <w:rFonts w:hint="cs"/>
          <w:spacing w:val="0"/>
          <w:kern w:val="0"/>
          <w:sz w:val="20"/>
          <w:rtl/>
        </w:rPr>
        <w:t xml:space="preserve"> عندما</w:t>
      </w:r>
      <w:r w:rsidRPr="003E698F">
        <w:rPr>
          <w:spacing w:val="0"/>
          <w:kern w:val="0"/>
          <w:sz w:val="20"/>
          <w:rtl/>
        </w:rPr>
        <w:t xml:space="preserve"> حان موعد النظر في الطلب الذي قدمه للجوء إلى كندا، </w:t>
      </w:r>
      <w:r w:rsidRPr="003E698F">
        <w:rPr>
          <w:rFonts w:hint="cs"/>
          <w:spacing w:val="0"/>
          <w:kern w:val="0"/>
          <w:sz w:val="20"/>
          <w:rtl/>
        </w:rPr>
        <w:t>فإنه لم يحضر الجلسة</w:t>
      </w:r>
      <w:r w:rsidRPr="003E698F">
        <w:rPr>
          <w:spacing w:val="0"/>
          <w:kern w:val="0"/>
          <w:sz w:val="20"/>
          <w:rtl/>
        </w:rPr>
        <w:t xml:space="preserve">، </w:t>
      </w:r>
      <w:r w:rsidRPr="003E698F">
        <w:rPr>
          <w:rFonts w:hint="cs"/>
          <w:spacing w:val="0"/>
          <w:kern w:val="0"/>
          <w:sz w:val="20"/>
          <w:rtl/>
        </w:rPr>
        <w:t>و</w:t>
      </w:r>
      <w:r w:rsidRPr="003E698F">
        <w:rPr>
          <w:spacing w:val="0"/>
          <w:kern w:val="0"/>
          <w:sz w:val="20"/>
          <w:rtl/>
        </w:rPr>
        <w:t>قررت لجنة الهجرة واللاجئين الكندية في 7 آب/أغسطس 2003 وقف الإجراءات. وصدر أمر بالقبض عليه وترحيله من كندا في 28 حزيران/يونيه 2004.</w:t>
      </w:r>
    </w:p>
    <w:p w:rsidR="00921F02" w:rsidRPr="003E698F" w:rsidRDefault="00921F02" w:rsidP="004930E5">
      <w:pPr>
        <w:pStyle w:val="SingleTxtGA"/>
        <w:jc w:val="lowKashida"/>
        <w:rPr>
          <w:spacing w:val="0"/>
          <w:kern w:val="0"/>
          <w:sz w:val="20"/>
          <w:rtl/>
        </w:rPr>
      </w:pPr>
      <w:r w:rsidRPr="003E698F">
        <w:rPr>
          <w:spacing w:val="0"/>
          <w:kern w:val="0"/>
          <w:sz w:val="20"/>
          <w:rtl/>
        </w:rPr>
        <w:t>2-4</w:t>
      </w:r>
      <w:r w:rsidRPr="003E698F">
        <w:rPr>
          <w:spacing w:val="0"/>
          <w:kern w:val="0"/>
          <w:sz w:val="20"/>
          <w:rtl/>
        </w:rPr>
        <w:tab/>
        <w:t>وقدم صاحب الشكوى، بناء على الأحكام الواردة في اتفاقية مناهضة التعذيب، طلباً للإقامة في الولايات المتحدة، بدعوى أنه سيتعرض في جمهورية الكونغو الديمقراطية للتعذيب. وأشار دعماً لطلبه إلى وقائع كثيرة، منها الأنشطة السياسية لوالده، العضو في حزب الاتحاد من أجل الديمقراطية والتقدم الاجتماعي؛ والآراء السياسية المنسوبة إليه بسبب أنشطة والده؛ وانتما</w:t>
      </w:r>
      <w:r w:rsidRPr="003E698F">
        <w:rPr>
          <w:rFonts w:hint="cs"/>
          <w:spacing w:val="0"/>
          <w:kern w:val="0"/>
          <w:sz w:val="20"/>
          <w:rtl/>
        </w:rPr>
        <w:t>ؤ</w:t>
      </w:r>
      <w:r w:rsidRPr="003E698F">
        <w:rPr>
          <w:spacing w:val="0"/>
          <w:kern w:val="0"/>
          <w:sz w:val="20"/>
          <w:rtl/>
        </w:rPr>
        <w:t xml:space="preserve">ه إلى جماعة لوبا الإثنية </w:t>
      </w:r>
      <w:r w:rsidRPr="003E698F">
        <w:rPr>
          <w:rFonts w:hint="cs"/>
          <w:spacing w:val="0"/>
          <w:kern w:val="0"/>
          <w:sz w:val="20"/>
          <w:rtl/>
        </w:rPr>
        <w:t xml:space="preserve">بإقليم </w:t>
      </w:r>
      <w:r w:rsidRPr="003E698F">
        <w:rPr>
          <w:spacing w:val="0"/>
          <w:kern w:val="0"/>
          <w:sz w:val="20"/>
          <w:rtl/>
        </w:rPr>
        <w:t>كاساي وعلاقة هذه الجماعة بحزب الاتحاد من أجل الديمقراطية والتقدم الاجتماعي؛ والوضع السياسي في جمهورية الكونغو الديمقراطية؛ فضلاً عن الاحتجاز والتعذيب اللذين تعرض لهما أثناء عودته القسرية إلى جمهورية الكونغو الديمقراطية في عام</w:t>
      </w:r>
      <w:r w:rsidRPr="003E698F">
        <w:rPr>
          <w:rFonts w:hint="cs"/>
          <w:spacing w:val="0"/>
          <w:kern w:val="0"/>
          <w:sz w:val="20"/>
          <w:rtl/>
        </w:rPr>
        <w:t> </w:t>
      </w:r>
      <w:r w:rsidRPr="003E698F">
        <w:rPr>
          <w:spacing w:val="0"/>
          <w:kern w:val="0"/>
          <w:sz w:val="20"/>
          <w:rtl/>
        </w:rPr>
        <w:t xml:space="preserve">2002. وقدم أيضاً تقريراً طبياً من المستشفى الجامعي (نيوآرك، نيوجيرسي) بعد الفحص الذي قام به في 17 تشرين الأول/أكتوبر 2005. ويشير التقرير إلى </w:t>
      </w:r>
      <w:r w:rsidRPr="003E698F">
        <w:rPr>
          <w:rFonts w:hint="cs"/>
          <w:spacing w:val="0"/>
          <w:kern w:val="0"/>
          <w:sz w:val="20"/>
          <w:rtl/>
        </w:rPr>
        <w:t xml:space="preserve">أن صاحب الشكوى يحمل على بدنه </w:t>
      </w:r>
      <w:r w:rsidRPr="003E698F">
        <w:rPr>
          <w:spacing w:val="0"/>
          <w:kern w:val="0"/>
          <w:sz w:val="20"/>
          <w:rtl/>
        </w:rPr>
        <w:t xml:space="preserve">علامات قليلة </w:t>
      </w:r>
      <w:r w:rsidRPr="003E698F">
        <w:rPr>
          <w:rFonts w:hint="cs"/>
          <w:spacing w:val="0"/>
          <w:kern w:val="0"/>
          <w:sz w:val="20"/>
          <w:rtl/>
        </w:rPr>
        <w:t xml:space="preserve">تدل على ما تعرض له من </w:t>
      </w:r>
      <w:r w:rsidRPr="003E698F">
        <w:rPr>
          <w:spacing w:val="0"/>
          <w:kern w:val="0"/>
          <w:sz w:val="20"/>
          <w:rtl/>
        </w:rPr>
        <w:t xml:space="preserve">تعذيب </w:t>
      </w:r>
      <w:r w:rsidRPr="003E698F">
        <w:rPr>
          <w:rFonts w:hint="cs"/>
          <w:spacing w:val="0"/>
          <w:kern w:val="0"/>
          <w:sz w:val="20"/>
          <w:rtl/>
        </w:rPr>
        <w:t>عمليات اغتصاب</w:t>
      </w:r>
      <w:r w:rsidRPr="003E698F">
        <w:rPr>
          <w:spacing w:val="0"/>
          <w:kern w:val="0"/>
          <w:sz w:val="20"/>
          <w:rtl/>
        </w:rPr>
        <w:t xml:space="preserve">، </w:t>
      </w:r>
      <w:r w:rsidRPr="003E698F">
        <w:rPr>
          <w:rFonts w:hint="cs"/>
          <w:spacing w:val="0"/>
          <w:kern w:val="0"/>
          <w:sz w:val="20"/>
          <w:rtl/>
        </w:rPr>
        <w:t xml:space="preserve">وهذا </w:t>
      </w:r>
      <w:r w:rsidRPr="003E698F">
        <w:rPr>
          <w:spacing w:val="0"/>
          <w:kern w:val="0"/>
          <w:sz w:val="20"/>
          <w:rtl/>
        </w:rPr>
        <w:t>لا</w:t>
      </w:r>
      <w:r w:rsidRPr="003E698F">
        <w:rPr>
          <w:rFonts w:hint="cs"/>
          <w:spacing w:val="0"/>
          <w:kern w:val="0"/>
          <w:sz w:val="20"/>
          <w:rtl/>
        </w:rPr>
        <w:t> ي</w:t>
      </w:r>
      <w:r w:rsidRPr="003E698F">
        <w:rPr>
          <w:spacing w:val="0"/>
          <w:kern w:val="0"/>
          <w:sz w:val="20"/>
          <w:rtl/>
        </w:rPr>
        <w:t xml:space="preserve">تعارض مع الوقائع المزعومة، </w:t>
      </w:r>
      <w:r w:rsidRPr="003E698F">
        <w:rPr>
          <w:rFonts w:hint="cs"/>
          <w:spacing w:val="0"/>
          <w:kern w:val="0"/>
          <w:sz w:val="20"/>
          <w:rtl/>
        </w:rPr>
        <w:t>و</w:t>
      </w:r>
      <w:r w:rsidRPr="003E698F">
        <w:rPr>
          <w:spacing w:val="0"/>
          <w:kern w:val="0"/>
          <w:sz w:val="20"/>
          <w:rtl/>
        </w:rPr>
        <w:t xml:space="preserve">أن الآثار النفسية واضحة، </w:t>
      </w:r>
      <w:r w:rsidRPr="003E698F">
        <w:rPr>
          <w:rFonts w:hint="cs"/>
          <w:spacing w:val="0"/>
          <w:kern w:val="0"/>
          <w:sz w:val="20"/>
          <w:rtl/>
        </w:rPr>
        <w:t xml:space="preserve">وأنه </w:t>
      </w:r>
      <w:r w:rsidRPr="003E698F">
        <w:rPr>
          <w:spacing w:val="0"/>
          <w:kern w:val="0"/>
          <w:sz w:val="20"/>
          <w:rtl/>
        </w:rPr>
        <w:t xml:space="preserve">يعاني على ما يبدو من </w:t>
      </w:r>
      <w:r w:rsidR="004930E5">
        <w:rPr>
          <w:rFonts w:hint="cs"/>
          <w:spacing w:val="0"/>
          <w:kern w:val="0"/>
          <w:sz w:val="20"/>
          <w:rtl/>
        </w:rPr>
        <w:t>اضطراب الإجهاد</w:t>
      </w:r>
      <w:r w:rsidRPr="003E698F">
        <w:rPr>
          <w:rFonts w:hint="cs"/>
          <w:spacing w:val="0"/>
          <w:kern w:val="0"/>
          <w:sz w:val="20"/>
          <w:rtl/>
        </w:rPr>
        <w:t xml:space="preserve"> اللاحق </w:t>
      </w:r>
      <w:r w:rsidR="004930E5">
        <w:rPr>
          <w:rFonts w:hint="cs"/>
          <w:spacing w:val="0"/>
          <w:kern w:val="0"/>
          <w:sz w:val="20"/>
          <w:rtl/>
        </w:rPr>
        <w:t>للصدمة</w:t>
      </w:r>
      <w:r w:rsidRPr="003E698F">
        <w:rPr>
          <w:spacing w:val="0"/>
          <w:kern w:val="0"/>
          <w:sz w:val="20"/>
          <w:vertAlign w:val="superscript"/>
          <w:rtl/>
        </w:rPr>
        <w:t>(</w:t>
      </w:r>
      <w:r w:rsidRPr="003E698F">
        <w:rPr>
          <w:rStyle w:val="FootnoteReference"/>
          <w:spacing w:val="0"/>
          <w:sz w:val="20"/>
          <w:rtl/>
        </w:rPr>
        <w:footnoteReference w:id="169"/>
      </w:r>
      <w:r w:rsidRPr="003E698F">
        <w:rPr>
          <w:spacing w:val="0"/>
          <w:kern w:val="0"/>
          <w:sz w:val="20"/>
          <w:vertAlign w:val="superscript"/>
          <w:rtl/>
        </w:rPr>
        <w:t>)</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2-5</w:t>
      </w:r>
      <w:r w:rsidRPr="003E698F">
        <w:rPr>
          <w:spacing w:val="0"/>
          <w:kern w:val="0"/>
          <w:sz w:val="20"/>
          <w:rtl/>
        </w:rPr>
        <w:tab/>
        <w:t xml:space="preserve">وفي 12 شباط/فبراير 2005، منح أحد القضاة في الولايات المتحدة الحماية المنصوص عليها في الاتفاقية لصاحب الشكوى </w:t>
      </w:r>
      <w:r w:rsidRPr="003E698F">
        <w:rPr>
          <w:rFonts w:hint="cs"/>
          <w:spacing w:val="0"/>
          <w:kern w:val="0"/>
          <w:sz w:val="20"/>
          <w:rtl/>
        </w:rPr>
        <w:t xml:space="preserve">بالاستناد في المقام الأول إلى </w:t>
      </w:r>
      <w:r w:rsidRPr="003E698F">
        <w:rPr>
          <w:spacing w:val="0"/>
          <w:kern w:val="0"/>
          <w:sz w:val="20"/>
          <w:rtl/>
        </w:rPr>
        <w:t xml:space="preserve">احتمال تعرضه للتعذيب بسبب آراء </w:t>
      </w:r>
      <w:r w:rsidRPr="003E698F">
        <w:rPr>
          <w:rFonts w:hint="cs"/>
          <w:spacing w:val="0"/>
          <w:kern w:val="0"/>
          <w:sz w:val="20"/>
          <w:rtl/>
        </w:rPr>
        <w:t xml:space="preserve">والده </w:t>
      </w:r>
      <w:r w:rsidRPr="003E698F">
        <w:rPr>
          <w:spacing w:val="0"/>
          <w:kern w:val="0"/>
          <w:sz w:val="20"/>
          <w:rtl/>
        </w:rPr>
        <w:t>السياسية المعارضة</w:t>
      </w:r>
      <w:r w:rsidRPr="003E698F">
        <w:rPr>
          <w:spacing w:val="0"/>
          <w:kern w:val="0"/>
          <w:sz w:val="20"/>
          <w:vertAlign w:val="superscript"/>
          <w:rtl/>
        </w:rPr>
        <w:t>(</w:t>
      </w:r>
      <w:r w:rsidRPr="003E698F">
        <w:rPr>
          <w:rStyle w:val="FootnoteReference"/>
          <w:spacing w:val="0"/>
          <w:sz w:val="20"/>
          <w:rtl/>
        </w:rPr>
        <w:footnoteReference w:id="170"/>
      </w:r>
      <w:r w:rsidRPr="003E698F">
        <w:rPr>
          <w:spacing w:val="0"/>
          <w:kern w:val="0"/>
          <w:sz w:val="20"/>
          <w:vertAlign w:val="superscript"/>
          <w:rtl/>
        </w:rPr>
        <w:t>)</w:t>
      </w:r>
      <w:r w:rsidRPr="003E698F">
        <w:rPr>
          <w:spacing w:val="0"/>
          <w:kern w:val="0"/>
          <w:sz w:val="20"/>
          <w:rtl/>
        </w:rPr>
        <w:t xml:space="preserve">. ومع ذلك، </w:t>
      </w:r>
      <w:r w:rsidRPr="003E698F">
        <w:rPr>
          <w:rFonts w:hint="cs"/>
          <w:spacing w:val="0"/>
          <w:kern w:val="0"/>
          <w:sz w:val="20"/>
          <w:rtl/>
        </w:rPr>
        <w:t>ف</w:t>
      </w:r>
      <w:r w:rsidRPr="003E698F">
        <w:rPr>
          <w:spacing w:val="0"/>
          <w:kern w:val="0"/>
          <w:sz w:val="20"/>
          <w:rtl/>
        </w:rPr>
        <w:t>بموجب الاتفاق بين حكومتي الولايات المتحدة وكندا بشأن التعاون في استعراض طلبات اللجوء المقدمة من رعايا بلدان ثالثة، وبعد تنفيذ عقوبة السجن في الولايات المتحدة، تم ترحيل</w:t>
      </w:r>
      <w:r w:rsidRPr="003E698F">
        <w:rPr>
          <w:rFonts w:hint="cs"/>
          <w:spacing w:val="0"/>
          <w:kern w:val="0"/>
          <w:sz w:val="20"/>
          <w:rtl/>
        </w:rPr>
        <w:t xml:space="preserve"> صاحب الشكوى</w:t>
      </w:r>
      <w:r w:rsidRPr="003E698F">
        <w:rPr>
          <w:spacing w:val="0"/>
          <w:kern w:val="0"/>
          <w:sz w:val="20"/>
          <w:rtl/>
        </w:rPr>
        <w:t xml:space="preserve"> إلى كندا في 9 نيسان/أبريل 2006.</w:t>
      </w:r>
    </w:p>
    <w:p w:rsidR="00921F02" w:rsidRPr="003E698F" w:rsidRDefault="00921F02" w:rsidP="00001F13">
      <w:pPr>
        <w:pStyle w:val="SingleTxtGA"/>
        <w:jc w:val="lowKashida"/>
        <w:rPr>
          <w:spacing w:val="0"/>
          <w:kern w:val="0"/>
          <w:sz w:val="20"/>
          <w:rtl/>
        </w:rPr>
      </w:pPr>
      <w:r w:rsidRPr="003E698F">
        <w:rPr>
          <w:spacing w:val="0"/>
          <w:kern w:val="0"/>
          <w:sz w:val="20"/>
          <w:rtl/>
        </w:rPr>
        <w:t>2-6</w:t>
      </w:r>
      <w:r w:rsidRPr="003E698F">
        <w:rPr>
          <w:spacing w:val="0"/>
          <w:kern w:val="0"/>
          <w:sz w:val="20"/>
          <w:rtl/>
        </w:rPr>
        <w:tab/>
        <w:t>وعند وصوله إلى كندا، قدم صاحب الشكوى طلباً للحصول على مركز اللاج</w:t>
      </w:r>
      <w:r w:rsidR="00001F13">
        <w:rPr>
          <w:rFonts w:hint="cs"/>
          <w:spacing w:val="0"/>
          <w:kern w:val="0"/>
          <w:sz w:val="20"/>
          <w:rtl/>
        </w:rPr>
        <w:t>ئ</w:t>
      </w:r>
      <w:r w:rsidRPr="003E698F">
        <w:rPr>
          <w:spacing w:val="0"/>
          <w:kern w:val="0"/>
          <w:sz w:val="20"/>
          <w:rtl/>
        </w:rPr>
        <w:t xml:space="preserve"> ولكن طلبه ر</w:t>
      </w:r>
      <w:r w:rsidRPr="003E698F">
        <w:rPr>
          <w:rFonts w:hint="cs"/>
          <w:spacing w:val="0"/>
          <w:kern w:val="0"/>
          <w:sz w:val="20"/>
          <w:rtl/>
        </w:rPr>
        <w:t>ُ</w:t>
      </w:r>
      <w:r w:rsidRPr="003E698F">
        <w:rPr>
          <w:spacing w:val="0"/>
          <w:kern w:val="0"/>
          <w:sz w:val="20"/>
          <w:rtl/>
        </w:rPr>
        <w:t xml:space="preserve">فض بسبب القرار الصادر في عام 2003 بوقف الإجراءات. وفي 18 تشرين الأول/أكتوبر 2006، أعدت وزارة الجنسية والهجرة الكندية تقريراً لمنع بقاء صاحب الشكوى في أراضي كندا بسبب </w:t>
      </w:r>
      <w:r w:rsidRPr="003E698F">
        <w:rPr>
          <w:rFonts w:hint="cs"/>
          <w:spacing w:val="0"/>
          <w:kern w:val="0"/>
          <w:sz w:val="20"/>
          <w:rtl/>
        </w:rPr>
        <w:t xml:space="preserve">نشاطه </w:t>
      </w:r>
      <w:r w:rsidRPr="003E698F">
        <w:rPr>
          <w:spacing w:val="0"/>
          <w:kern w:val="0"/>
          <w:sz w:val="20"/>
          <w:rtl/>
        </w:rPr>
        <w:t>الإجرام</w:t>
      </w:r>
      <w:r w:rsidRPr="003E698F">
        <w:rPr>
          <w:rFonts w:hint="cs"/>
          <w:spacing w:val="0"/>
          <w:kern w:val="0"/>
          <w:sz w:val="20"/>
          <w:rtl/>
        </w:rPr>
        <w:t>ي السابق</w:t>
      </w:r>
      <w:r w:rsidRPr="003E698F">
        <w:rPr>
          <w:spacing w:val="0"/>
          <w:kern w:val="0"/>
          <w:sz w:val="20"/>
          <w:rtl/>
        </w:rPr>
        <w:t>. وفي 30 آذار/مارس 2007، قدم صاحب الشكوى طلباً لتقييم المخاطر قبل الترحيل</w:t>
      </w:r>
      <w:r w:rsidRPr="003E698F">
        <w:rPr>
          <w:spacing w:val="0"/>
          <w:kern w:val="0"/>
          <w:sz w:val="20"/>
          <w:vertAlign w:val="superscript"/>
          <w:rtl/>
        </w:rPr>
        <w:t>(</w:t>
      </w:r>
      <w:r w:rsidRPr="00B32542">
        <w:rPr>
          <w:rStyle w:val="FootnoteReference"/>
          <w:spacing w:val="0"/>
          <w:sz w:val="2"/>
          <w:szCs w:val="2"/>
          <w:rtl/>
        </w:rPr>
        <w:footnoteReference w:id="171"/>
      </w:r>
      <w:r w:rsidR="00B32542" w:rsidRPr="00B32542">
        <w:rPr>
          <w:rFonts w:hint="cs"/>
          <w:spacing w:val="0"/>
          <w:kern w:val="0"/>
          <w:sz w:val="28"/>
          <w:szCs w:val="28"/>
          <w:vertAlign w:val="superscript"/>
          <w:rtl/>
        </w:rPr>
        <w:t>ﻫ</w:t>
      </w:r>
      <w:r w:rsidRPr="003E698F">
        <w:rPr>
          <w:spacing w:val="0"/>
          <w:kern w:val="0"/>
          <w:sz w:val="20"/>
          <w:vertAlign w:val="superscript"/>
          <w:rtl/>
        </w:rPr>
        <w:t>)</w:t>
      </w:r>
      <w:r w:rsidRPr="003E698F">
        <w:rPr>
          <w:spacing w:val="0"/>
          <w:kern w:val="0"/>
          <w:sz w:val="20"/>
          <w:rtl/>
        </w:rPr>
        <w:t xml:space="preserve">. وفي 7 نيسان/ أبريل 2008، رفض هذا الطلب على أساس (أ) أن صاحب الشكوى ليس شخصياً عضواً في حزب الاتحاد من أجل الديمقراطية والتقدم الاجتماعي؛ و(ب) أنه لم يثبت أن والده لا يزال عضواً في هذا الحزب وأنه تعرض خلال إقامته في جمهورية الكونغو الديمقراطية في الفترة 2006-2007 لمشاكل بسبب آرائه السياسية؛ و(ج) أنه يمكنه الإقامة في كينشاسا لعدم تعرض جماعة اللوبا لأعمال العنف المزعومة هناك؛ و(د) الشك في مصداقية صاحب الشكوى فيما يتعلق بالأحداث التي تعرض لها في جمهورية الكونغو الديمقراطية في عام 2002. </w:t>
      </w:r>
    </w:p>
    <w:p w:rsidR="00921F02" w:rsidRPr="003E698F" w:rsidRDefault="00921F02" w:rsidP="00921F02">
      <w:pPr>
        <w:pStyle w:val="SingleTxtGA"/>
        <w:jc w:val="lowKashida"/>
        <w:rPr>
          <w:spacing w:val="0"/>
          <w:kern w:val="0"/>
          <w:sz w:val="20"/>
          <w:rtl/>
        </w:rPr>
      </w:pPr>
      <w:r w:rsidRPr="003E698F">
        <w:rPr>
          <w:spacing w:val="0"/>
          <w:kern w:val="0"/>
          <w:sz w:val="20"/>
          <w:rtl/>
        </w:rPr>
        <w:t>2-7</w:t>
      </w:r>
      <w:r w:rsidRPr="003E698F">
        <w:rPr>
          <w:spacing w:val="0"/>
          <w:kern w:val="0"/>
          <w:sz w:val="20"/>
          <w:rtl/>
        </w:rPr>
        <w:tab/>
        <w:t>ويؤكد صاحب الشكوى أنه قدم أدلة تنفي النتائج التي توصل إليها المسؤول عن تقييم المخاطر قبل الترحيل ولكن</w:t>
      </w:r>
      <w:r w:rsidRPr="003E698F">
        <w:rPr>
          <w:rFonts w:hint="cs"/>
          <w:spacing w:val="0"/>
          <w:kern w:val="0"/>
          <w:sz w:val="20"/>
          <w:rtl/>
        </w:rPr>
        <w:t>ها</w:t>
      </w:r>
      <w:r w:rsidRPr="003E698F">
        <w:rPr>
          <w:spacing w:val="0"/>
          <w:kern w:val="0"/>
          <w:sz w:val="20"/>
          <w:rtl/>
        </w:rPr>
        <w:t xml:space="preserve"> لم تؤخذ في الاعتبار. فعلى سبيل المثال، تلقى والده عندما كان في جمهورية الكونغو الديمقراطية في الفترة من آذار/مارس 2006 إلى تشرين الثاني/نوفمبر 2007 بمناسبة الانتخابات عدة مكالمات هاتفية </w:t>
      </w:r>
      <w:r w:rsidRPr="003E698F">
        <w:rPr>
          <w:rFonts w:hint="cs"/>
          <w:spacing w:val="0"/>
          <w:kern w:val="0"/>
          <w:sz w:val="20"/>
          <w:rtl/>
        </w:rPr>
        <w:t xml:space="preserve">من أشخاص </w:t>
      </w:r>
      <w:r w:rsidRPr="003E698F">
        <w:rPr>
          <w:spacing w:val="0"/>
          <w:kern w:val="0"/>
          <w:sz w:val="20"/>
          <w:rtl/>
        </w:rPr>
        <w:t>مجهول</w:t>
      </w:r>
      <w:r w:rsidRPr="003E698F">
        <w:rPr>
          <w:rFonts w:hint="cs"/>
          <w:spacing w:val="0"/>
          <w:kern w:val="0"/>
          <w:sz w:val="20"/>
          <w:rtl/>
        </w:rPr>
        <w:t>ين</w:t>
      </w:r>
      <w:r w:rsidRPr="003E698F">
        <w:rPr>
          <w:spacing w:val="0"/>
          <w:kern w:val="0"/>
          <w:sz w:val="20"/>
          <w:rtl/>
        </w:rPr>
        <w:t xml:space="preserve"> وتهديدات من الشرطة، وكان ذلك على الأرجح بسبب التحويل النقدي الذي </w:t>
      </w:r>
      <w:r w:rsidRPr="003E698F">
        <w:rPr>
          <w:rFonts w:hint="cs"/>
          <w:spacing w:val="0"/>
          <w:kern w:val="0"/>
          <w:sz w:val="20"/>
          <w:rtl/>
        </w:rPr>
        <w:t>أجراه</w:t>
      </w:r>
      <w:r w:rsidRPr="003E698F">
        <w:rPr>
          <w:spacing w:val="0"/>
          <w:kern w:val="0"/>
          <w:sz w:val="20"/>
          <w:rtl/>
        </w:rPr>
        <w:t xml:space="preserve"> لصالح صندوق حزب الاتحاد من أجل الديمقراطية والتقدم الاجتماعي، وبسبب </w:t>
      </w:r>
      <w:r w:rsidRPr="003E698F">
        <w:rPr>
          <w:rFonts w:hint="cs"/>
          <w:spacing w:val="0"/>
          <w:kern w:val="0"/>
          <w:sz w:val="20"/>
          <w:rtl/>
        </w:rPr>
        <w:t xml:space="preserve">ما كان يبذله من جهود </w:t>
      </w:r>
      <w:r w:rsidRPr="003E698F">
        <w:rPr>
          <w:spacing w:val="0"/>
          <w:kern w:val="0"/>
          <w:sz w:val="20"/>
          <w:rtl/>
        </w:rPr>
        <w:t>لاستعادة منزله الذي كان يشغله أصحاب السلطة بوجه مخالف للقانون.</w:t>
      </w:r>
    </w:p>
    <w:p w:rsidR="00921F02" w:rsidRPr="003E698F" w:rsidRDefault="00921F02" w:rsidP="00921F02">
      <w:pPr>
        <w:pStyle w:val="SingleTxtGA"/>
        <w:jc w:val="lowKashida"/>
        <w:rPr>
          <w:spacing w:val="0"/>
          <w:kern w:val="0"/>
          <w:sz w:val="20"/>
          <w:rtl/>
        </w:rPr>
      </w:pPr>
      <w:r w:rsidRPr="003E698F">
        <w:rPr>
          <w:spacing w:val="0"/>
          <w:kern w:val="0"/>
          <w:sz w:val="20"/>
          <w:rtl/>
        </w:rPr>
        <w:t>2-8</w:t>
      </w:r>
      <w:r w:rsidRPr="003E698F">
        <w:rPr>
          <w:spacing w:val="0"/>
          <w:kern w:val="0"/>
          <w:sz w:val="20"/>
          <w:rtl/>
        </w:rPr>
        <w:tab/>
      </w:r>
      <w:r w:rsidRPr="003E698F">
        <w:rPr>
          <w:rFonts w:hint="cs"/>
          <w:spacing w:val="0"/>
          <w:kern w:val="0"/>
          <w:sz w:val="20"/>
          <w:rtl/>
        </w:rPr>
        <w:t>ويدعي</w:t>
      </w:r>
      <w:r w:rsidRPr="003E698F">
        <w:rPr>
          <w:spacing w:val="0"/>
          <w:kern w:val="0"/>
          <w:sz w:val="20"/>
          <w:rtl/>
        </w:rPr>
        <w:t xml:space="preserve"> صاحب الشكوى </w:t>
      </w:r>
      <w:r w:rsidRPr="003E698F">
        <w:rPr>
          <w:rFonts w:hint="cs"/>
          <w:spacing w:val="0"/>
          <w:kern w:val="0"/>
          <w:sz w:val="20"/>
          <w:rtl/>
        </w:rPr>
        <w:t xml:space="preserve">أن </w:t>
      </w:r>
      <w:r w:rsidRPr="003E698F">
        <w:rPr>
          <w:spacing w:val="0"/>
          <w:kern w:val="0"/>
          <w:sz w:val="20"/>
          <w:rtl/>
        </w:rPr>
        <w:t xml:space="preserve">المسؤول عن تقييم المخاطر </w:t>
      </w:r>
      <w:r w:rsidRPr="003E698F">
        <w:rPr>
          <w:rFonts w:hint="cs"/>
          <w:spacing w:val="0"/>
          <w:kern w:val="0"/>
          <w:sz w:val="20"/>
          <w:rtl/>
        </w:rPr>
        <w:t xml:space="preserve">قام </w:t>
      </w:r>
      <w:r w:rsidRPr="003E698F">
        <w:rPr>
          <w:spacing w:val="0"/>
          <w:kern w:val="0"/>
          <w:sz w:val="20"/>
          <w:rtl/>
        </w:rPr>
        <w:t xml:space="preserve">بتحريات من تلقاء نفسه بشأن والده </w:t>
      </w:r>
      <w:r w:rsidRPr="003E698F">
        <w:rPr>
          <w:rFonts w:hint="cs"/>
          <w:spacing w:val="0"/>
          <w:kern w:val="0"/>
          <w:sz w:val="20"/>
          <w:rtl/>
        </w:rPr>
        <w:t xml:space="preserve">واستخدم أدلة </w:t>
      </w:r>
      <w:r w:rsidRPr="003E698F">
        <w:rPr>
          <w:spacing w:val="0"/>
          <w:kern w:val="0"/>
          <w:sz w:val="20"/>
          <w:rtl/>
        </w:rPr>
        <w:t xml:space="preserve">خارجية (لم يفصح عنها لصاحب الشكوى) للتشكيك في </w:t>
      </w:r>
      <w:r w:rsidRPr="003E698F">
        <w:rPr>
          <w:rFonts w:hint="cs"/>
          <w:spacing w:val="0"/>
          <w:kern w:val="0"/>
          <w:sz w:val="20"/>
          <w:rtl/>
        </w:rPr>
        <w:t xml:space="preserve">انتماء </w:t>
      </w:r>
      <w:r w:rsidRPr="003E698F">
        <w:rPr>
          <w:spacing w:val="0"/>
          <w:kern w:val="0"/>
          <w:sz w:val="20"/>
          <w:rtl/>
        </w:rPr>
        <w:t xml:space="preserve">والده لحزب الاتحاد من أجل الديمقراطية والتقدم الاجتماعي، وطبيعة المشاكل التي تعرض لها والده عند إقامته في جمهورية الكونغو الديمقراطية في الفترة 2006-2007. </w:t>
      </w:r>
      <w:r w:rsidRPr="003E698F">
        <w:rPr>
          <w:rFonts w:hint="cs"/>
          <w:spacing w:val="0"/>
          <w:kern w:val="0"/>
          <w:sz w:val="20"/>
          <w:rtl/>
        </w:rPr>
        <w:t>غير أنه لم يُستمع إلى والد صاحب الشكوى</w:t>
      </w:r>
      <w:r w:rsidRPr="003E698F">
        <w:rPr>
          <w:spacing w:val="0"/>
          <w:kern w:val="0"/>
          <w:sz w:val="20"/>
          <w:rtl/>
        </w:rPr>
        <w:t xml:space="preserve"> على الرغم من استعداد</w:t>
      </w:r>
      <w:r w:rsidRPr="003E698F">
        <w:rPr>
          <w:rFonts w:hint="cs"/>
          <w:spacing w:val="0"/>
          <w:kern w:val="0"/>
          <w:sz w:val="20"/>
          <w:rtl/>
        </w:rPr>
        <w:t>ه</w:t>
      </w:r>
      <w:r w:rsidRPr="003E698F">
        <w:rPr>
          <w:spacing w:val="0"/>
          <w:kern w:val="0"/>
          <w:sz w:val="20"/>
          <w:rtl/>
        </w:rPr>
        <w:t xml:space="preserve"> </w:t>
      </w:r>
      <w:r w:rsidRPr="003E698F">
        <w:rPr>
          <w:rFonts w:hint="cs"/>
          <w:spacing w:val="0"/>
          <w:kern w:val="0"/>
          <w:sz w:val="20"/>
          <w:rtl/>
        </w:rPr>
        <w:t>للإدلاء بشهادته</w:t>
      </w:r>
      <w:r w:rsidRPr="003E698F">
        <w:rPr>
          <w:spacing w:val="0"/>
          <w:kern w:val="0"/>
          <w:sz w:val="20"/>
          <w:rtl/>
        </w:rPr>
        <w:t xml:space="preserve">. ورفض أيضاً المسؤول عن تقييم المخاطر إيداع بيان مكتوب بدعوى أن شهادة الأب ستكون منحازة. وقدم صاحب الشكوى عندئذ رسالة تأييد من أحد أعضاء الحزب ولكن رفض المسؤول عن تقييم المخاطر الأخذ بما جاء بهذه الرسالة بدعوى أن </w:t>
      </w:r>
      <w:r w:rsidRPr="003E698F">
        <w:rPr>
          <w:rFonts w:hint="cs"/>
          <w:spacing w:val="0"/>
          <w:kern w:val="0"/>
          <w:sz w:val="20"/>
          <w:rtl/>
        </w:rPr>
        <w:t>مصدرها شاهد</w:t>
      </w:r>
      <w:r w:rsidRPr="003E698F">
        <w:rPr>
          <w:spacing w:val="0"/>
          <w:kern w:val="0"/>
          <w:sz w:val="20"/>
          <w:rtl/>
        </w:rPr>
        <w:t xml:space="preserve"> منحاز، </w:t>
      </w:r>
      <w:r w:rsidRPr="003E698F">
        <w:rPr>
          <w:rFonts w:hint="cs"/>
          <w:spacing w:val="0"/>
          <w:kern w:val="0"/>
          <w:sz w:val="20"/>
          <w:rtl/>
        </w:rPr>
        <w:t>وهذا ادعاء يعترض عليه صاحب الشكوى</w:t>
      </w:r>
      <w:r w:rsidRPr="003E698F">
        <w:rPr>
          <w:spacing w:val="0"/>
          <w:kern w:val="0"/>
          <w:sz w:val="20"/>
          <w:rtl/>
        </w:rPr>
        <w:t>. و</w:t>
      </w:r>
      <w:r w:rsidRPr="003E698F">
        <w:rPr>
          <w:rFonts w:hint="cs"/>
          <w:spacing w:val="0"/>
          <w:kern w:val="0"/>
          <w:sz w:val="20"/>
          <w:rtl/>
        </w:rPr>
        <w:t xml:space="preserve">يشير صاحب الشكوى </w:t>
      </w:r>
      <w:r w:rsidRPr="003E698F">
        <w:rPr>
          <w:spacing w:val="0"/>
          <w:kern w:val="0"/>
          <w:sz w:val="20"/>
          <w:rtl/>
        </w:rPr>
        <w:t xml:space="preserve">إلى أن القرار الذي اتخذته السلطات الأمريكية بمنحه الحماية بموجب اتفاقية مناهضة التعذيب يستند </w:t>
      </w:r>
      <w:r w:rsidRPr="003E698F">
        <w:rPr>
          <w:rFonts w:hint="cs"/>
          <w:spacing w:val="0"/>
          <w:kern w:val="0"/>
          <w:sz w:val="20"/>
          <w:rtl/>
        </w:rPr>
        <w:t xml:space="preserve">في المقام الأول </w:t>
      </w:r>
      <w:r w:rsidRPr="003E698F">
        <w:rPr>
          <w:spacing w:val="0"/>
          <w:kern w:val="0"/>
          <w:sz w:val="20"/>
          <w:rtl/>
        </w:rPr>
        <w:t xml:space="preserve">إلى خطر تعرضه للتعذيب بسبب آراء </w:t>
      </w:r>
      <w:r w:rsidRPr="003E698F">
        <w:rPr>
          <w:rFonts w:hint="cs"/>
          <w:spacing w:val="0"/>
          <w:kern w:val="0"/>
          <w:sz w:val="20"/>
          <w:rtl/>
        </w:rPr>
        <w:t xml:space="preserve">والده </w:t>
      </w:r>
      <w:r w:rsidRPr="003E698F">
        <w:rPr>
          <w:spacing w:val="0"/>
          <w:kern w:val="0"/>
          <w:sz w:val="20"/>
          <w:rtl/>
        </w:rPr>
        <w:t xml:space="preserve">السياسية المعارضة. وكون والده لا يزال عضواً في حزب الاتحاد من أجل الديمقراطية والتقدم الاجتماعي أم لا ليس </w:t>
      </w:r>
      <w:r w:rsidRPr="003E698F">
        <w:rPr>
          <w:rFonts w:hint="cs"/>
          <w:spacing w:val="0"/>
          <w:kern w:val="0"/>
          <w:sz w:val="20"/>
          <w:rtl/>
        </w:rPr>
        <w:t>حاسماً</w:t>
      </w:r>
      <w:r w:rsidRPr="003E698F">
        <w:rPr>
          <w:spacing w:val="0"/>
          <w:kern w:val="0"/>
          <w:sz w:val="20"/>
          <w:rtl/>
        </w:rPr>
        <w:t xml:space="preserve"> في هذه الحالة لأنه كان عضواً في هذا الحزب في الماضي</w:t>
      </w:r>
      <w:r w:rsidRPr="003E698F">
        <w:rPr>
          <w:rFonts w:hint="cs"/>
          <w:spacing w:val="0"/>
          <w:kern w:val="0"/>
          <w:sz w:val="20"/>
          <w:rtl/>
        </w:rPr>
        <w:t>؛</w:t>
      </w:r>
      <w:r w:rsidRPr="003E698F">
        <w:rPr>
          <w:spacing w:val="0"/>
          <w:kern w:val="0"/>
          <w:sz w:val="20"/>
          <w:rtl/>
        </w:rPr>
        <w:t xml:space="preserve"> ولأن</w:t>
      </w:r>
      <w:r w:rsidRPr="003E698F">
        <w:rPr>
          <w:rFonts w:hint="cs"/>
          <w:spacing w:val="0"/>
          <w:kern w:val="0"/>
          <w:sz w:val="20"/>
          <w:rtl/>
        </w:rPr>
        <w:t xml:space="preserve"> صاحب الشكوى</w:t>
      </w:r>
      <w:r w:rsidRPr="003E698F">
        <w:rPr>
          <w:spacing w:val="0"/>
          <w:kern w:val="0"/>
          <w:sz w:val="20"/>
          <w:rtl/>
        </w:rPr>
        <w:t xml:space="preserve"> يحمل نفس الاسم</w:t>
      </w:r>
      <w:r w:rsidRPr="003E698F">
        <w:rPr>
          <w:rFonts w:hint="cs"/>
          <w:spacing w:val="0"/>
          <w:kern w:val="0"/>
          <w:sz w:val="20"/>
          <w:rtl/>
        </w:rPr>
        <w:t>؛</w:t>
      </w:r>
      <w:r w:rsidRPr="003E698F">
        <w:rPr>
          <w:spacing w:val="0"/>
          <w:kern w:val="0"/>
          <w:sz w:val="20"/>
          <w:rtl/>
        </w:rPr>
        <w:t xml:space="preserve"> ولأن السلطات في جمهورية الكونغو الديمقراطية تستهدف الأشخاص الذين تشتبه في معارضتهم السياسية بصورة منهجية، ولم يعترض المسؤول عن تقييم المخاطر على ذلك.</w:t>
      </w:r>
    </w:p>
    <w:p w:rsidR="00921F02" w:rsidRPr="003E698F" w:rsidRDefault="00921F02" w:rsidP="00921F02">
      <w:pPr>
        <w:pStyle w:val="SingleTxtGA"/>
        <w:jc w:val="lowKashida"/>
        <w:rPr>
          <w:rFonts w:hint="cs"/>
          <w:spacing w:val="0"/>
          <w:kern w:val="0"/>
          <w:sz w:val="20"/>
          <w:rtl/>
        </w:rPr>
      </w:pPr>
      <w:r w:rsidRPr="003E698F">
        <w:rPr>
          <w:spacing w:val="0"/>
          <w:kern w:val="0"/>
          <w:sz w:val="20"/>
          <w:rtl/>
        </w:rPr>
        <w:t>2-9</w:t>
      </w:r>
      <w:r w:rsidRPr="003E698F">
        <w:rPr>
          <w:spacing w:val="0"/>
          <w:kern w:val="0"/>
          <w:sz w:val="20"/>
          <w:rtl/>
        </w:rPr>
        <w:tab/>
        <w:t xml:space="preserve">وفيما يتعلق </w:t>
      </w:r>
      <w:r w:rsidRPr="003E698F">
        <w:rPr>
          <w:rFonts w:hint="cs"/>
          <w:spacing w:val="0"/>
          <w:kern w:val="0"/>
          <w:sz w:val="20"/>
          <w:rtl/>
        </w:rPr>
        <w:t xml:space="preserve">بالبديل المتمثل في الفرار </w:t>
      </w:r>
      <w:r w:rsidRPr="003E698F">
        <w:rPr>
          <w:spacing w:val="0"/>
          <w:kern w:val="0"/>
          <w:sz w:val="20"/>
          <w:rtl/>
        </w:rPr>
        <w:t>الداخلي، ليس هناك في رأي صاحب الشكوى ما</w:t>
      </w:r>
      <w:r w:rsidRPr="003E698F">
        <w:rPr>
          <w:rFonts w:hint="cs"/>
          <w:spacing w:val="0"/>
          <w:kern w:val="0"/>
          <w:sz w:val="20"/>
          <w:rtl/>
        </w:rPr>
        <w:t> </w:t>
      </w:r>
      <w:r w:rsidRPr="003E698F">
        <w:rPr>
          <w:spacing w:val="0"/>
          <w:kern w:val="0"/>
          <w:sz w:val="20"/>
          <w:rtl/>
        </w:rPr>
        <w:t>يسمح للمسؤول عن تقييم المخاطر قبل الترحيل بالقول بأنه يمكنه اللجوء إلى كينشاسا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في ظل انتمائه</w:t>
      </w:r>
      <w:r w:rsidRPr="003E698F">
        <w:rPr>
          <w:spacing w:val="0"/>
          <w:kern w:val="0"/>
          <w:sz w:val="20"/>
          <w:rtl/>
        </w:rPr>
        <w:t xml:space="preserve"> إلى جماعة اللوبا الإثنية </w:t>
      </w:r>
      <w:r w:rsidRPr="003E698F">
        <w:rPr>
          <w:rFonts w:hint="cs"/>
          <w:spacing w:val="0"/>
          <w:kern w:val="0"/>
          <w:sz w:val="20"/>
          <w:rtl/>
        </w:rPr>
        <w:t xml:space="preserve">بإقليم </w:t>
      </w:r>
      <w:r w:rsidRPr="003E698F">
        <w:rPr>
          <w:spacing w:val="0"/>
          <w:kern w:val="0"/>
          <w:sz w:val="20"/>
          <w:rtl/>
        </w:rPr>
        <w:t xml:space="preserve">كاساي </w:t>
      </w:r>
      <w:r w:rsidRPr="003E698F">
        <w:rPr>
          <w:rFonts w:hint="cs"/>
          <w:spacing w:val="0"/>
          <w:kern w:val="0"/>
          <w:sz w:val="20"/>
          <w:rtl/>
        </w:rPr>
        <w:t xml:space="preserve">وفي ظل </w:t>
      </w:r>
      <w:r w:rsidRPr="003E698F">
        <w:rPr>
          <w:spacing w:val="0"/>
          <w:kern w:val="0"/>
          <w:sz w:val="20"/>
          <w:rtl/>
        </w:rPr>
        <w:t xml:space="preserve">تعرض هذه الجماعة </w:t>
      </w:r>
      <w:r w:rsidRPr="003E698F">
        <w:rPr>
          <w:rFonts w:hint="cs"/>
          <w:spacing w:val="0"/>
          <w:kern w:val="0"/>
          <w:sz w:val="20"/>
          <w:rtl/>
        </w:rPr>
        <w:t xml:space="preserve">الإثنية </w:t>
      </w:r>
      <w:r w:rsidRPr="003E698F">
        <w:rPr>
          <w:spacing w:val="0"/>
          <w:kern w:val="0"/>
          <w:sz w:val="20"/>
          <w:rtl/>
        </w:rPr>
        <w:t>للعنف.</w:t>
      </w:r>
    </w:p>
    <w:p w:rsidR="00921F02" w:rsidRPr="003E698F" w:rsidRDefault="00921F02" w:rsidP="004930E5">
      <w:pPr>
        <w:pStyle w:val="SingleTxtGA"/>
        <w:jc w:val="lowKashida"/>
        <w:rPr>
          <w:spacing w:val="0"/>
          <w:kern w:val="0"/>
          <w:sz w:val="20"/>
          <w:rtl/>
        </w:rPr>
      </w:pPr>
      <w:r w:rsidRPr="003E698F">
        <w:rPr>
          <w:spacing w:val="0"/>
          <w:kern w:val="0"/>
          <w:sz w:val="20"/>
          <w:rtl/>
        </w:rPr>
        <w:t>2-10</w:t>
      </w:r>
      <w:r w:rsidRPr="003E698F">
        <w:rPr>
          <w:spacing w:val="0"/>
          <w:kern w:val="0"/>
          <w:sz w:val="20"/>
          <w:rtl/>
        </w:rPr>
        <w:tab/>
        <w:t xml:space="preserve">ويشكك المسؤول عن تقييم المخاطر قبل الترحيل في مصداقية صاحب الشكوى بشأن الأحداث التي </w:t>
      </w:r>
      <w:r w:rsidRPr="003E698F">
        <w:rPr>
          <w:rFonts w:hint="cs"/>
          <w:spacing w:val="0"/>
          <w:kern w:val="0"/>
          <w:sz w:val="20"/>
          <w:rtl/>
        </w:rPr>
        <w:t xml:space="preserve">زعم </w:t>
      </w:r>
      <w:r w:rsidRPr="003E698F">
        <w:rPr>
          <w:spacing w:val="0"/>
          <w:kern w:val="0"/>
          <w:sz w:val="20"/>
          <w:rtl/>
        </w:rPr>
        <w:t>تعرض</w:t>
      </w:r>
      <w:r w:rsidRPr="003E698F">
        <w:rPr>
          <w:rFonts w:hint="cs"/>
          <w:spacing w:val="0"/>
          <w:kern w:val="0"/>
          <w:sz w:val="20"/>
          <w:rtl/>
        </w:rPr>
        <w:t>ه</w:t>
      </w:r>
      <w:r w:rsidRPr="003E698F">
        <w:rPr>
          <w:spacing w:val="0"/>
          <w:kern w:val="0"/>
          <w:sz w:val="20"/>
          <w:rtl/>
        </w:rPr>
        <w:t xml:space="preserve"> لها في جمهورية الكونغو الديمقراطية في عام 2002 ولكنه يستند في ذلك إلى </w:t>
      </w:r>
      <w:r w:rsidRPr="003E698F">
        <w:rPr>
          <w:rFonts w:hint="cs"/>
          <w:spacing w:val="0"/>
          <w:kern w:val="0"/>
          <w:sz w:val="20"/>
          <w:rtl/>
        </w:rPr>
        <w:t xml:space="preserve">التركيز على </w:t>
      </w:r>
      <w:r w:rsidRPr="003E698F">
        <w:rPr>
          <w:spacing w:val="0"/>
          <w:kern w:val="0"/>
          <w:sz w:val="20"/>
          <w:rtl/>
        </w:rPr>
        <w:t xml:space="preserve">بعض التناقضات الثانوية وإلى استبعاد </w:t>
      </w:r>
      <w:r w:rsidRPr="003E698F">
        <w:rPr>
          <w:rFonts w:hint="cs"/>
          <w:spacing w:val="0"/>
          <w:kern w:val="0"/>
          <w:sz w:val="20"/>
          <w:rtl/>
        </w:rPr>
        <w:t>تعسفي ل</w:t>
      </w:r>
      <w:r w:rsidRPr="003E698F">
        <w:rPr>
          <w:spacing w:val="0"/>
          <w:kern w:val="0"/>
          <w:sz w:val="20"/>
          <w:rtl/>
        </w:rPr>
        <w:t xml:space="preserve">لدليل المقدم على إصابته </w:t>
      </w:r>
      <w:r w:rsidRPr="003E698F">
        <w:rPr>
          <w:rFonts w:hint="cs"/>
          <w:spacing w:val="0"/>
          <w:kern w:val="0"/>
          <w:sz w:val="20"/>
          <w:rtl/>
        </w:rPr>
        <w:t>ب</w:t>
      </w:r>
      <w:r w:rsidR="004930E5">
        <w:rPr>
          <w:rFonts w:hint="cs"/>
          <w:spacing w:val="0"/>
          <w:kern w:val="0"/>
          <w:sz w:val="20"/>
          <w:rtl/>
        </w:rPr>
        <w:t xml:space="preserve">اضطراب </w:t>
      </w:r>
      <w:r w:rsidRPr="003E698F">
        <w:rPr>
          <w:rFonts w:hint="cs"/>
          <w:spacing w:val="0"/>
          <w:kern w:val="0"/>
          <w:sz w:val="20"/>
          <w:rtl/>
        </w:rPr>
        <w:t xml:space="preserve">الإجهاد اللاحق </w:t>
      </w:r>
      <w:r w:rsidR="004930E5">
        <w:rPr>
          <w:rFonts w:hint="cs"/>
          <w:spacing w:val="0"/>
          <w:kern w:val="0"/>
          <w:sz w:val="20"/>
          <w:rtl/>
        </w:rPr>
        <w:t>للصدمة</w:t>
      </w:r>
      <w:r w:rsidRPr="003E698F">
        <w:rPr>
          <w:spacing w:val="0"/>
          <w:kern w:val="0"/>
          <w:sz w:val="20"/>
          <w:rtl/>
        </w:rPr>
        <w:t xml:space="preserve">، الذي </w:t>
      </w:r>
      <w:r w:rsidRPr="003E698F">
        <w:rPr>
          <w:rFonts w:hint="cs"/>
          <w:spacing w:val="0"/>
          <w:kern w:val="0"/>
          <w:sz w:val="20"/>
          <w:rtl/>
        </w:rPr>
        <w:t xml:space="preserve">يمكنه أن </w:t>
      </w:r>
      <w:r w:rsidRPr="003E698F">
        <w:rPr>
          <w:spacing w:val="0"/>
          <w:kern w:val="0"/>
          <w:sz w:val="20"/>
          <w:rtl/>
        </w:rPr>
        <w:t xml:space="preserve">يؤثر على </w:t>
      </w:r>
      <w:r w:rsidRPr="003E698F">
        <w:rPr>
          <w:rFonts w:hint="cs"/>
          <w:spacing w:val="0"/>
          <w:kern w:val="0"/>
          <w:sz w:val="20"/>
          <w:rtl/>
        </w:rPr>
        <w:t xml:space="preserve">تذكره </w:t>
      </w:r>
      <w:r w:rsidRPr="003E698F">
        <w:rPr>
          <w:spacing w:val="0"/>
          <w:kern w:val="0"/>
          <w:sz w:val="20"/>
          <w:rtl/>
        </w:rPr>
        <w:t>للوقائع. و</w:t>
      </w:r>
      <w:r w:rsidRPr="003E698F">
        <w:rPr>
          <w:rFonts w:hint="cs"/>
          <w:spacing w:val="0"/>
          <w:kern w:val="0"/>
          <w:sz w:val="20"/>
          <w:rtl/>
        </w:rPr>
        <w:t>ي</w:t>
      </w:r>
      <w:r w:rsidRPr="003E698F">
        <w:rPr>
          <w:spacing w:val="0"/>
          <w:kern w:val="0"/>
          <w:sz w:val="20"/>
          <w:rtl/>
        </w:rPr>
        <w:t xml:space="preserve">ستبعد المسؤول عن تقييم المخاطر أيضاً رسالة المحامي الكونغولي الذي كان مشاركاً في محاولات إطلاق سراح صاحب الشكوى في عام 2002 والذي </w:t>
      </w:r>
      <w:r w:rsidRPr="003E698F">
        <w:rPr>
          <w:rFonts w:hint="cs"/>
          <w:spacing w:val="0"/>
          <w:kern w:val="0"/>
          <w:sz w:val="20"/>
          <w:rtl/>
        </w:rPr>
        <w:t xml:space="preserve">أكد </w:t>
      </w:r>
      <w:r w:rsidRPr="003E698F">
        <w:rPr>
          <w:spacing w:val="0"/>
          <w:kern w:val="0"/>
          <w:sz w:val="20"/>
          <w:rtl/>
        </w:rPr>
        <w:t>ادعاءات</w:t>
      </w:r>
      <w:r w:rsidRPr="003E698F">
        <w:rPr>
          <w:rFonts w:hint="cs"/>
          <w:spacing w:val="0"/>
          <w:kern w:val="0"/>
          <w:sz w:val="20"/>
          <w:rtl/>
        </w:rPr>
        <w:t xml:space="preserve"> صاحب الشكوى. ويعتبر</w:t>
      </w:r>
      <w:r w:rsidRPr="003E698F">
        <w:rPr>
          <w:spacing w:val="0"/>
          <w:kern w:val="0"/>
          <w:sz w:val="20"/>
          <w:rtl/>
        </w:rPr>
        <w:t xml:space="preserve"> </w:t>
      </w:r>
      <w:r w:rsidRPr="003E698F">
        <w:rPr>
          <w:rFonts w:hint="cs"/>
          <w:spacing w:val="0"/>
          <w:kern w:val="0"/>
          <w:sz w:val="20"/>
          <w:rtl/>
        </w:rPr>
        <w:t xml:space="preserve">المسؤول أن المحامي </w:t>
      </w:r>
      <w:r w:rsidRPr="003E698F">
        <w:rPr>
          <w:spacing w:val="0"/>
          <w:kern w:val="0"/>
          <w:sz w:val="20"/>
          <w:rtl/>
        </w:rPr>
        <w:t>منحاز و</w:t>
      </w:r>
      <w:r w:rsidRPr="003E698F">
        <w:rPr>
          <w:rFonts w:hint="cs"/>
          <w:spacing w:val="0"/>
          <w:kern w:val="0"/>
          <w:sz w:val="20"/>
          <w:rtl/>
        </w:rPr>
        <w:t>لكنه لا يبدي الأسباب التي تجعله يخلص إلى ذلك</w:t>
      </w:r>
      <w:r w:rsidRPr="003E698F">
        <w:rPr>
          <w:spacing w:val="0"/>
          <w:kern w:val="0"/>
          <w:sz w:val="20"/>
          <w:rtl/>
        </w:rPr>
        <w:t xml:space="preserve">. </w:t>
      </w:r>
      <w:r w:rsidRPr="003E698F">
        <w:rPr>
          <w:rFonts w:hint="cs"/>
          <w:spacing w:val="0"/>
          <w:kern w:val="0"/>
          <w:sz w:val="20"/>
          <w:rtl/>
        </w:rPr>
        <w:t xml:space="preserve">كما </w:t>
      </w:r>
      <w:r w:rsidRPr="003E698F">
        <w:rPr>
          <w:spacing w:val="0"/>
          <w:kern w:val="0"/>
          <w:sz w:val="20"/>
          <w:rtl/>
        </w:rPr>
        <w:t>است</w:t>
      </w:r>
      <w:r w:rsidRPr="003E698F">
        <w:rPr>
          <w:rFonts w:hint="cs"/>
          <w:spacing w:val="0"/>
          <w:kern w:val="0"/>
          <w:sz w:val="20"/>
          <w:rtl/>
        </w:rPr>
        <w:t>ُ</w:t>
      </w:r>
      <w:r w:rsidRPr="003E698F">
        <w:rPr>
          <w:spacing w:val="0"/>
          <w:kern w:val="0"/>
          <w:sz w:val="20"/>
          <w:rtl/>
        </w:rPr>
        <w:t>بعد الدليل المقدم على إصابة صاحب الشكوى ب</w:t>
      </w:r>
      <w:r w:rsidR="004930E5">
        <w:rPr>
          <w:rFonts w:hint="cs"/>
          <w:spacing w:val="0"/>
          <w:kern w:val="0"/>
          <w:sz w:val="20"/>
          <w:rtl/>
        </w:rPr>
        <w:t xml:space="preserve">اضطراب </w:t>
      </w:r>
      <w:r w:rsidRPr="003E698F">
        <w:rPr>
          <w:spacing w:val="0"/>
          <w:kern w:val="0"/>
          <w:sz w:val="20"/>
          <w:rtl/>
        </w:rPr>
        <w:t xml:space="preserve">الإجهاد اللاحق </w:t>
      </w:r>
      <w:r w:rsidR="004930E5">
        <w:rPr>
          <w:rFonts w:hint="cs"/>
          <w:spacing w:val="0"/>
          <w:kern w:val="0"/>
          <w:sz w:val="20"/>
          <w:rtl/>
        </w:rPr>
        <w:t xml:space="preserve">للصدمة </w:t>
      </w:r>
      <w:r w:rsidRPr="003E698F">
        <w:rPr>
          <w:rFonts w:hint="cs"/>
          <w:spacing w:val="0"/>
          <w:kern w:val="0"/>
          <w:sz w:val="20"/>
          <w:rtl/>
        </w:rPr>
        <w:t xml:space="preserve">دون إبداء أي </w:t>
      </w:r>
      <w:r w:rsidRPr="003E698F">
        <w:rPr>
          <w:spacing w:val="0"/>
          <w:kern w:val="0"/>
          <w:sz w:val="20"/>
          <w:rtl/>
        </w:rPr>
        <w:t>سبب ل</w:t>
      </w:r>
      <w:r w:rsidRPr="003E698F">
        <w:rPr>
          <w:rFonts w:hint="cs"/>
          <w:spacing w:val="0"/>
          <w:kern w:val="0"/>
          <w:sz w:val="20"/>
          <w:rtl/>
        </w:rPr>
        <w:t>هذا القرار</w:t>
      </w:r>
      <w:r w:rsidRPr="003E698F">
        <w:rPr>
          <w:spacing w:val="0"/>
          <w:kern w:val="0"/>
          <w:sz w:val="20"/>
          <w:rtl/>
        </w:rPr>
        <w:t xml:space="preserve">، على الرغم من </w:t>
      </w:r>
      <w:r w:rsidRPr="003E698F">
        <w:rPr>
          <w:rFonts w:hint="cs"/>
          <w:spacing w:val="0"/>
          <w:kern w:val="0"/>
          <w:sz w:val="20"/>
          <w:rtl/>
        </w:rPr>
        <w:t xml:space="preserve">أن التقرير الطبي الذي أصدرته </w:t>
      </w:r>
      <w:r w:rsidRPr="003E698F">
        <w:rPr>
          <w:spacing w:val="0"/>
          <w:kern w:val="0"/>
          <w:sz w:val="20"/>
          <w:rtl/>
        </w:rPr>
        <w:t xml:space="preserve">طبيبة </w:t>
      </w:r>
      <w:r w:rsidRPr="003E698F">
        <w:rPr>
          <w:rFonts w:hint="cs"/>
          <w:spacing w:val="0"/>
          <w:kern w:val="0"/>
          <w:sz w:val="20"/>
          <w:rtl/>
        </w:rPr>
        <w:t xml:space="preserve">متخصصة في فحص </w:t>
      </w:r>
      <w:r w:rsidRPr="003E698F">
        <w:rPr>
          <w:spacing w:val="0"/>
          <w:kern w:val="0"/>
          <w:sz w:val="20"/>
          <w:rtl/>
        </w:rPr>
        <w:t>ضحايا التعذيب.</w:t>
      </w:r>
    </w:p>
    <w:p w:rsidR="00921F02" w:rsidRPr="003E698F" w:rsidRDefault="00921F02" w:rsidP="00A4030E">
      <w:pPr>
        <w:pStyle w:val="SingleTxtGA"/>
        <w:jc w:val="lowKashida"/>
        <w:rPr>
          <w:spacing w:val="0"/>
          <w:kern w:val="0"/>
          <w:sz w:val="20"/>
          <w:rtl/>
        </w:rPr>
      </w:pPr>
      <w:r w:rsidRPr="003E698F">
        <w:rPr>
          <w:spacing w:val="0"/>
          <w:kern w:val="0"/>
          <w:sz w:val="20"/>
          <w:rtl/>
        </w:rPr>
        <w:t>2-11</w:t>
      </w:r>
      <w:r w:rsidRPr="003E698F">
        <w:rPr>
          <w:spacing w:val="0"/>
          <w:kern w:val="0"/>
          <w:sz w:val="20"/>
          <w:rtl/>
        </w:rPr>
        <w:tab/>
        <w:t>وفي 6 أيار/مايو 2008، تلقى صاحب الشكوى إشعاراً بأنه سيتم ترحيله في 6 حزيران/يوني</w:t>
      </w:r>
      <w:r w:rsidR="00A4030E">
        <w:rPr>
          <w:rFonts w:hint="cs"/>
          <w:spacing w:val="0"/>
          <w:kern w:val="0"/>
          <w:sz w:val="20"/>
          <w:rtl/>
        </w:rPr>
        <w:t>ه</w:t>
      </w:r>
      <w:r w:rsidRPr="003E698F">
        <w:rPr>
          <w:spacing w:val="0"/>
          <w:kern w:val="0"/>
          <w:sz w:val="20"/>
          <w:rtl/>
        </w:rPr>
        <w:t xml:space="preserve"> 2008. وفي 22 أيار/مايو 2008، قدم </w:t>
      </w:r>
      <w:r w:rsidRPr="003E698F">
        <w:rPr>
          <w:rFonts w:hint="cs"/>
          <w:spacing w:val="0"/>
          <w:kern w:val="0"/>
          <w:sz w:val="20"/>
          <w:rtl/>
        </w:rPr>
        <w:t>التماسا ً</w:t>
      </w:r>
      <w:r w:rsidRPr="003E698F">
        <w:rPr>
          <w:spacing w:val="0"/>
          <w:kern w:val="0"/>
          <w:sz w:val="20"/>
          <w:rtl/>
        </w:rPr>
        <w:t xml:space="preserve">إلى المحكمة الاتحادية الكندية لوقف التنفيذ. ورفضت المحكمة </w:t>
      </w:r>
      <w:r w:rsidRPr="003E698F">
        <w:rPr>
          <w:rFonts w:hint="cs"/>
          <w:spacing w:val="0"/>
          <w:kern w:val="0"/>
          <w:sz w:val="20"/>
          <w:rtl/>
        </w:rPr>
        <w:t xml:space="preserve">التماسه </w:t>
      </w:r>
      <w:r w:rsidRPr="003E698F">
        <w:rPr>
          <w:spacing w:val="0"/>
          <w:kern w:val="0"/>
          <w:sz w:val="20"/>
          <w:rtl/>
        </w:rPr>
        <w:t>في 2 حزيران/يونيه 2008.</w:t>
      </w:r>
    </w:p>
    <w:p w:rsidR="00921F02" w:rsidRPr="003E698F" w:rsidRDefault="00921F02" w:rsidP="00921F02">
      <w:pPr>
        <w:pStyle w:val="H23GA"/>
        <w:jc w:val="lowKashida"/>
        <w:rPr>
          <w:spacing w:val="0"/>
          <w:kern w:val="0"/>
          <w:sz w:val="20"/>
          <w:rtl/>
        </w:rPr>
      </w:pPr>
      <w:r w:rsidRPr="003E698F">
        <w:rPr>
          <w:spacing w:val="0"/>
          <w:kern w:val="0"/>
          <w:sz w:val="20"/>
          <w:rtl/>
        </w:rPr>
        <w:tab/>
      </w:r>
      <w:r w:rsidRPr="003E698F">
        <w:rPr>
          <w:spacing w:val="0"/>
          <w:kern w:val="0"/>
          <w:sz w:val="20"/>
          <w:rtl/>
        </w:rPr>
        <w:tab/>
        <w:t>الشكوى</w:t>
      </w:r>
    </w:p>
    <w:p w:rsidR="00921F02" w:rsidRPr="003E698F" w:rsidRDefault="00921F02" w:rsidP="00921F02">
      <w:pPr>
        <w:pStyle w:val="SingleTxtGA"/>
        <w:jc w:val="lowKashida"/>
        <w:rPr>
          <w:spacing w:val="0"/>
          <w:kern w:val="0"/>
          <w:sz w:val="20"/>
          <w:rtl/>
        </w:rPr>
      </w:pPr>
      <w:r w:rsidRPr="00B32542">
        <w:rPr>
          <w:spacing w:val="-2"/>
          <w:kern w:val="0"/>
          <w:sz w:val="20"/>
          <w:rtl/>
        </w:rPr>
        <w:t>3-1</w:t>
      </w:r>
      <w:r w:rsidRPr="00B32542">
        <w:rPr>
          <w:spacing w:val="-2"/>
          <w:kern w:val="0"/>
          <w:sz w:val="20"/>
          <w:rtl/>
        </w:rPr>
        <w:tab/>
      </w:r>
      <w:r w:rsidRPr="00B32542">
        <w:rPr>
          <w:rFonts w:hint="cs"/>
          <w:spacing w:val="-2"/>
          <w:kern w:val="0"/>
          <w:sz w:val="20"/>
          <w:rtl/>
        </w:rPr>
        <w:t>يدعي</w:t>
      </w:r>
      <w:r w:rsidRPr="00B32542">
        <w:rPr>
          <w:spacing w:val="-2"/>
          <w:kern w:val="0"/>
          <w:sz w:val="20"/>
          <w:rtl/>
        </w:rPr>
        <w:t xml:space="preserve"> صاحب الشكوى، بالنظر إلى </w:t>
      </w:r>
      <w:r w:rsidRPr="00B32542">
        <w:rPr>
          <w:rFonts w:hint="cs"/>
          <w:spacing w:val="-2"/>
          <w:kern w:val="0"/>
          <w:sz w:val="20"/>
          <w:rtl/>
        </w:rPr>
        <w:t xml:space="preserve">سجله </w:t>
      </w:r>
      <w:r w:rsidRPr="00B32542">
        <w:rPr>
          <w:spacing w:val="-2"/>
          <w:kern w:val="0"/>
          <w:sz w:val="20"/>
          <w:rtl/>
        </w:rPr>
        <w:t xml:space="preserve">الإجرامي في الولايات المتحدة، واحتجازه ثم هروبه من السجن في جمهورية الكونغو الديمقراطية في عام 2002، </w:t>
      </w:r>
      <w:r w:rsidRPr="00B32542">
        <w:rPr>
          <w:rFonts w:hint="cs"/>
          <w:spacing w:val="-2"/>
          <w:kern w:val="0"/>
          <w:sz w:val="20"/>
          <w:rtl/>
        </w:rPr>
        <w:t>و</w:t>
      </w:r>
      <w:r w:rsidRPr="00B32542">
        <w:rPr>
          <w:spacing w:val="-2"/>
          <w:kern w:val="0"/>
          <w:sz w:val="20"/>
          <w:rtl/>
        </w:rPr>
        <w:t xml:space="preserve">الآراء السياسية لوالده، </w:t>
      </w:r>
      <w:r w:rsidRPr="00B32542">
        <w:rPr>
          <w:rFonts w:hint="cs"/>
          <w:spacing w:val="-2"/>
          <w:kern w:val="0"/>
          <w:sz w:val="20"/>
          <w:rtl/>
        </w:rPr>
        <w:t xml:space="preserve">أن من المحتمل أن يلقى </w:t>
      </w:r>
      <w:r w:rsidRPr="00B32542">
        <w:rPr>
          <w:spacing w:val="-2"/>
          <w:kern w:val="0"/>
          <w:sz w:val="20"/>
          <w:rtl/>
        </w:rPr>
        <w:t xml:space="preserve">القبض عليه </w:t>
      </w:r>
      <w:r w:rsidRPr="00B32542">
        <w:rPr>
          <w:rFonts w:hint="cs"/>
          <w:spacing w:val="-2"/>
          <w:kern w:val="0"/>
          <w:sz w:val="20"/>
          <w:rtl/>
        </w:rPr>
        <w:t xml:space="preserve">ويُعذب </w:t>
      </w:r>
      <w:r w:rsidRPr="00B32542">
        <w:rPr>
          <w:spacing w:val="-2"/>
          <w:kern w:val="0"/>
          <w:sz w:val="20"/>
          <w:rtl/>
        </w:rPr>
        <w:t xml:space="preserve">مرة أخرى </w:t>
      </w:r>
      <w:r w:rsidRPr="00B32542">
        <w:rPr>
          <w:rFonts w:hint="cs"/>
          <w:spacing w:val="-2"/>
          <w:kern w:val="0"/>
          <w:sz w:val="20"/>
          <w:rtl/>
        </w:rPr>
        <w:t xml:space="preserve">إذا ما عاد </w:t>
      </w:r>
      <w:r w:rsidRPr="00B32542">
        <w:rPr>
          <w:spacing w:val="-2"/>
          <w:kern w:val="0"/>
          <w:sz w:val="20"/>
          <w:rtl/>
        </w:rPr>
        <w:t xml:space="preserve">إلى بلده الأصلي. وقد يتعرض صاحب الشكوى للخطر أيضاً نتيجة لانتمائه إلى جماعة اللوبا (بالوبا) الإثنية </w:t>
      </w:r>
      <w:r w:rsidRPr="00B32542">
        <w:rPr>
          <w:rFonts w:hint="cs"/>
          <w:spacing w:val="-2"/>
          <w:kern w:val="0"/>
          <w:sz w:val="20"/>
          <w:rtl/>
        </w:rPr>
        <w:t xml:space="preserve">بإقليم </w:t>
      </w:r>
      <w:r w:rsidRPr="00B32542">
        <w:rPr>
          <w:spacing w:val="-2"/>
          <w:kern w:val="0"/>
          <w:sz w:val="20"/>
          <w:rtl/>
        </w:rPr>
        <w:t xml:space="preserve">كاساي </w:t>
      </w:r>
      <w:r w:rsidRPr="00B32542">
        <w:rPr>
          <w:rFonts w:hint="cs"/>
          <w:spacing w:val="-2"/>
          <w:kern w:val="0"/>
          <w:sz w:val="20"/>
          <w:rtl/>
        </w:rPr>
        <w:t>لارتباط</w:t>
      </w:r>
      <w:r w:rsidRPr="00B32542">
        <w:rPr>
          <w:spacing w:val="-2"/>
          <w:kern w:val="0"/>
          <w:sz w:val="20"/>
          <w:rtl/>
        </w:rPr>
        <w:t xml:space="preserve"> هذه الجماعة </w:t>
      </w:r>
      <w:r w:rsidRPr="00B32542">
        <w:rPr>
          <w:rFonts w:hint="cs"/>
          <w:spacing w:val="-2"/>
          <w:kern w:val="0"/>
          <w:sz w:val="20"/>
          <w:rtl/>
        </w:rPr>
        <w:t>الإثنية ب</w:t>
      </w:r>
      <w:r w:rsidRPr="00B32542">
        <w:rPr>
          <w:spacing w:val="-2"/>
          <w:kern w:val="0"/>
          <w:sz w:val="20"/>
          <w:rtl/>
        </w:rPr>
        <w:t xml:space="preserve">حزب الاتحاد من أجل الديمقراطية والتقدم الاجتماعي المعارض. </w:t>
      </w:r>
      <w:r w:rsidRPr="00B32542">
        <w:rPr>
          <w:rFonts w:hint="cs"/>
          <w:spacing w:val="-2"/>
          <w:kern w:val="0"/>
          <w:sz w:val="20"/>
          <w:rtl/>
        </w:rPr>
        <w:t xml:space="preserve">ويدعي </w:t>
      </w:r>
      <w:r w:rsidRPr="00B32542">
        <w:rPr>
          <w:spacing w:val="-2"/>
          <w:kern w:val="0"/>
          <w:sz w:val="20"/>
          <w:rtl/>
        </w:rPr>
        <w:t xml:space="preserve">صاحب الشكوى أن هذا الخطر معروف للسلطات الكندية، بدليل وجود وقف اختياري </w:t>
      </w:r>
      <w:r w:rsidRPr="00B32542">
        <w:rPr>
          <w:rFonts w:hint="cs"/>
          <w:spacing w:val="-2"/>
          <w:kern w:val="0"/>
          <w:sz w:val="20"/>
          <w:rtl/>
        </w:rPr>
        <w:t xml:space="preserve">لإبعاد </w:t>
      </w:r>
      <w:r w:rsidRPr="00B32542">
        <w:rPr>
          <w:spacing w:val="-2"/>
          <w:kern w:val="0"/>
          <w:sz w:val="20"/>
          <w:rtl/>
        </w:rPr>
        <w:t xml:space="preserve">رعايا الكونغو إلى هذا البلد. بيد أن هناك استثناءات لهذا الوقف، </w:t>
      </w:r>
      <w:r w:rsidRPr="00B32542">
        <w:rPr>
          <w:rFonts w:hint="cs"/>
          <w:spacing w:val="-2"/>
          <w:kern w:val="0"/>
          <w:sz w:val="20"/>
          <w:rtl/>
        </w:rPr>
        <w:t>و</w:t>
      </w:r>
      <w:r w:rsidRPr="00B32542">
        <w:rPr>
          <w:spacing w:val="-2"/>
          <w:kern w:val="0"/>
          <w:sz w:val="20"/>
          <w:rtl/>
        </w:rPr>
        <w:t>لا سيما للأشخاص الممنوعين من البقاء في أراضي كندا بسبب</w:t>
      </w:r>
      <w:r w:rsidRPr="00B32542">
        <w:rPr>
          <w:rFonts w:hint="cs"/>
          <w:spacing w:val="-2"/>
          <w:kern w:val="0"/>
          <w:sz w:val="20"/>
          <w:rtl/>
        </w:rPr>
        <w:t xml:space="preserve"> نشاطهم</w:t>
      </w:r>
      <w:r w:rsidRPr="00B32542">
        <w:rPr>
          <w:spacing w:val="-2"/>
          <w:kern w:val="0"/>
          <w:sz w:val="20"/>
          <w:rtl/>
        </w:rPr>
        <w:t xml:space="preserve"> الإجرام</w:t>
      </w:r>
      <w:r w:rsidRPr="00B32542">
        <w:rPr>
          <w:rFonts w:hint="cs"/>
          <w:spacing w:val="-2"/>
          <w:kern w:val="0"/>
          <w:sz w:val="20"/>
          <w:rtl/>
        </w:rPr>
        <w:t>ي السابق</w:t>
      </w:r>
      <w:r w:rsidRPr="00B32542">
        <w:rPr>
          <w:spacing w:val="-2"/>
          <w:kern w:val="0"/>
          <w:sz w:val="20"/>
          <w:rtl/>
        </w:rPr>
        <w:t>، وفقا</w:t>
      </w:r>
      <w:r w:rsidRPr="00B32542">
        <w:rPr>
          <w:rFonts w:hint="cs"/>
          <w:spacing w:val="-2"/>
          <w:kern w:val="0"/>
          <w:sz w:val="20"/>
          <w:rtl/>
        </w:rPr>
        <w:t>ً</w:t>
      </w:r>
      <w:r w:rsidRPr="00B32542">
        <w:rPr>
          <w:spacing w:val="-2"/>
          <w:kern w:val="0"/>
          <w:sz w:val="20"/>
          <w:rtl/>
        </w:rPr>
        <w:t xml:space="preserve"> للمادة</w:t>
      </w:r>
      <w:r w:rsidRPr="00B32542">
        <w:rPr>
          <w:rFonts w:hint="cs"/>
          <w:spacing w:val="-2"/>
          <w:kern w:val="0"/>
          <w:sz w:val="20"/>
          <w:rtl/>
        </w:rPr>
        <w:t> </w:t>
      </w:r>
      <w:r w:rsidRPr="00B32542">
        <w:rPr>
          <w:spacing w:val="-2"/>
          <w:kern w:val="0"/>
          <w:sz w:val="20"/>
          <w:rtl/>
        </w:rPr>
        <w:t xml:space="preserve">230(3)(ج) من أنظمة الهجرة وحماية اللاجئين. ويشكل هذا الاستثناء تمييزاً على أساس صحيفة سوابقه الجنائية وبالتالي انتهاكاً للحق في المساواة في المعاملة أمام القانون. </w:t>
      </w:r>
      <w:r w:rsidRPr="00B32542">
        <w:rPr>
          <w:rFonts w:hint="cs"/>
          <w:spacing w:val="-2"/>
          <w:kern w:val="0"/>
          <w:sz w:val="20"/>
          <w:rtl/>
        </w:rPr>
        <w:t xml:space="preserve">ويحتج </w:t>
      </w:r>
      <w:r w:rsidRPr="00B32542">
        <w:rPr>
          <w:spacing w:val="-2"/>
          <w:kern w:val="0"/>
          <w:sz w:val="20"/>
          <w:rtl/>
        </w:rPr>
        <w:t xml:space="preserve">صاحب الشكوى </w:t>
      </w:r>
      <w:r w:rsidRPr="00B32542">
        <w:rPr>
          <w:rFonts w:hint="cs"/>
          <w:spacing w:val="-2"/>
          <w:kern w:val="0"/>
          <w:sz w:val="20"/>
          <w:rtl/>
        </w:rPr>
        <w:t>ب</w:t>
      </w:r>
      <w:r w:rsidRPr="00B32542">
        <w:rPr>
          <w:spacing w:val="-2"/>
          <w:kern w:val="0"/>
          <w:sz w:val="20"/>
          <w:rtl/>
        </w:rPr>
        <w:t xml:space="preserve">قرار اللجنة في البلاغ رقم 297/2006، </w:t>
      </w:r>
      <w:r w:rsidRPr="00B32542">
        <w:rPr>
          <w:i/>
          <w:iCs/>
          <w:spacing w:val="-2"/>
          <w:kern w:val="0"/>
          <w:sz w:val="20"/>
          <w:rtl/>
        </w:rPr>
        <w:t>سوغي ضد</w:t>
      </w:r>
      <w:r w:rsidRPr="003E698F">
        <w:rPr>
          <w:i/>
          <w:iCs/>
          <w:spacing w:val="0"/>
          <w:kern w:val="0"/>
          <w:sz w:val="20"/>
          <w:rtl/>
        </w:rPr>
        <w:t xml:space="preserve"> كندا</w:t>
      </w:r>
      <w:r w:rsidRPr="003E698F">
        <w:rPr>
          <w:spacing w:val="0"/>
          <w:kern w:val="0"/>
          <w:sz w:val="20"/>
          <w:rtl/>
        </w:rPr>
        <w:t xml:space="preserve">، حيث أشارت </w:t>
      </w:r>
      <w:r w:rsidRPr="003E698F">
        <w:rPr>
          <w:rFonts w:hint="cs"/>
          <w:spacing w:val="0"/>
          <w:kern w:val="0"/>
          <w:sz w:val="20"/>
          <w:rtl/>
        </w:rPr>
        <w:t xml:space="preserve">اللجنة </w:t>
      </w:r>
      <w:r w:rsidRPr="003E698F">
        <w:rPr>
          <w:spacing w:val="0"/>
          <w:kern w:val="0"/>
          <w:sz w:val="20"/>
          <w:rtl/>
        </w:rPr>
        <w:t xml:space="preserve">إلى أن المادة 3 تمنح الحماية المطلقة لكل شخص يوجد على أراضى دولة طرف بصرف النظر عن </w:t>
      </w:r>
      <w:r w:rsidRPr="003E698F">
        <w:rPr>
          <w:rFonts w:hint="cs"/>
          <w:spacing w:val="0"/>
          <w:kern w:val="0"/>
          <w:sz w:val="20"/>
          <w:rtl/>
        </w:rPr>
        <w:t>طباع</w:t>
      </w:r>
      <w:r w:rsidRPr="003E698F">
        <w:rPr>
          <w:spacing w:val="0"/>
          <w:kern w:val="0"/>
          <w:sz w:val="20"/>
          <w:rtl/>
        </w:rPr>
        <w:t xml:space="preserve"> الشخص أو </w:t>
      </w:r>
      <w:r w:rsidRPr="003E698F">
        <w:rPr>
          <w:rFonts w:hint="cs"/>
          <w:spacing w:val="0"/>
          <w:kern w:val="0"/>
          <w:sz w:val="20"/>
          <w:rtl/>
        </w:rPr>
        <w:t xml:space="preserve">ما قد يشكله من </w:t>
      </w:r>
      <w:r w:rsidRPr="003E698F">
        <w:rPr>
          <w:spacing w:val="0"/>
          <w:kern w:val="0"/>
          <w:sz w:val="20"/>
          <w:rtl/>
        </w:rPr>
        <w:t>خطر على المجتمع. وبناء على ذلك، لا</w:t>
      </w:r>
      <w:r w:rsidRPr="003E698F">
        <w:rPr>
          <w:rFonts w:hint="cs"/>
          <w:spacing w:val="0"/>
          <w:kern w:val="0"/>
          <w:sz w:val="20"/>
          <w:rtl/>
        </w:rPr>
        <w:t> </w:t>
      </w:r>
      <w:r w:rsidRPr="003E698F">
        <w:rPr>
          <w:spacing w:val="0"/>
          <w:kern w:val="0"/>
          <w:sz w:val="20"/>
          <w:rtl/>
        </w:rPr>
        <w:t xml:space="preserve">يجوز للدولة الطرف أن تحتج </w:t>
      </w:r>
      <w:r w:rsidRPr="003E698F">
        <w:rPr>
          <w:rFonts w:hint="cs"/>
          <w:spacing w:val="0"/>
          <w:kern w:val="0"/>
          <w:sz w:val="20"/>
          <w:rtl/>
        </w:rPr>
        <w:t xml:space="preserve">بالسجل </w:t>
      </w:r>
      <w:r w:rsidRPr="003E698F">
        <w:rPr>
          <w:spacing w:val="0"/>
          <w:kern w:val="0"/>
          <w:sz w:val="20"/>
          <w:rtl/>
        </w:rPr>
        <w:t xml:space="preserve">الإجرامي لصاحب الشكوى </w:t>
      </w:r>
      <w:r w:rsidRPr="003E698F">
        <w:rPr>
          <w:rFonts w:hint="cs"/>
          <w:spacing w:val="0"/>
          <w:kern w:val="0"/>
          <w:sz w:val="20"/>
          <w:rtl/>
        </w:rPr>
        <w:t xml:space="preserve">لكي تبرر الخروج على </w:t>
      </w:r>
      <w:r w:rsidRPr="003E698F">
        <w:rPr>
          <w:spacing w:val="0"/>
          <w:kern w:val="0"/>
          <w:sz w:val="20"/>
          <w:rtl/>
        </w:rPr>
        <w:t>الوقف الاختياري و</w:t>
      </w:r>
      <w:r w:rsidRPr="003E698F">
        <w:rPr>
          <w:rFonts w:hint="cs"/>
          <w:spacing w:val="0"/>
          <w:kern w:val="0"/>
          <w:sz w:val="20"/>
          <w:rtl/>
        </w:rPr>
        <w:t xml:space="preserve">إعادته </w:t>
      </w:r>
      <w:r w:rsidRPr="003E698F">
        <w:rPr>
          <w:spacing w:val="0"/>
          <w:kern w:val="0"/>
          <w:sz w:val="20"/>
          <w:rtl/>
        </w:rPr>
        <w:t>إلى بلد سيتعرض فيه لخطر التعذيب.</w:t>
      </w:r>
    </w:p>
    <w:p w:rsidR="00921F02" w:rsidRPr="003E698F" w:rsidRDefault="00921F02" w:rsidP="00921F02">
      <w:pPr>
        <w:pStyle w:val="SingleTxtGA"/>
        <w:jc w:val="lowKashida"/>
        <w:rPr>
          <w:spacing w:val="0"/>
          <w:kern w:val="0"/>
          <w:sz w:val="20"/>
          <w:rtl/>
        </w:rPr>
      </w:pPr>
      <w:r w:rsidRPr="003E698F">
        <w:rPr>
          <w:spacing w:val="0"/>
          <w:kern w:val="0"/>
          <w:sz w:val="20"/>
          <w:rtl/>
        </w:rPr>
        <w:t>3-2</w:t>
      </w:r>
      <w:r w:rsidRPr="003E698F">
        <w:rPr>
          <w:spacing w:val="0"/>
          <w:kern w:val="0"/>
          <w:sz w:val="20"/>
          <w:rtl/>
        </w:rPr>
        <w:tab/>
      </w:r>
      <w:r w:rsidRPr="003E698F">
        <w:rPr>
          <w:rFonts w:hint="cs"/>
          <w:spacing w:val="0"/>
          <w:kern w:val="0"/>
          <w:sz w:val="20"/>
          <w:rtl/>
        </w:rPr>
        <w:t xml:space="preserve">ويستشهد </w:t>
      </w:r>
      <w:r w:rsidRPr="003E698F">
        <w:rPr>
          <w:spacing w:val="0"/>
          <w:kern w:val="0"/>
          <w:sz w:val="20"/>
          <w:rtl/>
        </w:rPr>
        <w:t xml:space="preserve">صاحب الشكوى أيضاً </w:t>
      </w:r>
      <w:r w:rsidRPr="003E698F">
        <w:rPr>
          <w:rFonts w:hint="cs"/>
          <w:spacing w:val="0"/>
          <w:kern w:val="0"/>
          <w:sz w:val="20"/>
          <w:rtl/>
        </w:rPr>
        <w:t>ب</w:t>
      </w:r>
      <w:r w:rsidRPr="003E698F">
        <w:rPr>
          <w:spacing w:val="0"/>
          <w:kern w:val="0"/>
          <w:sz w:val="20"/>
          <w:rtl/>
        </w:rPr>
        <w:t xml:space="preserve">وثائق متعلقة بحالة حقوق الإنسان في جمهورية الكونغو الديمقراطية، </w:t>
      </w:r>
      <w:r w:rsidRPr="003E698F">
        <w:rPr>
          <w:rFonts w:hint="cs"/>
          <w:spacing w:val="0"/>
          <w:kern w:val="0"/>
          <w:sz w:val="20"/>
          <w:rtl/>
        </w:rPr>
        <w:t>و</w:t>
      </w:r>
      <w:r w:rsidRPr="003E698F">
        <w:rPr>
          <w:spacing w:val="0"/>
          <w:kern w:val="0"/>
          <w:sz w:val="20"/>
          <w:rtl/>
        </w:rPr>
        <w:t xml:space="preserve">لا سيما </w:t>
      </w:r>
      <w:r w:rsidRPr="003E698F">
        <w:rPr>
          <w:rFonts w:hint="cs"/>
          <w:spacing w:val="0"/>
          <w:kern w:val="0"/>
          <w:sz w:val="20"/>
          <w:rtl/>
        </w:rPr>
        <w:t xml:space="preserve">بممارسة </w:t>
      </w:r>
      <w:r w:rsidRPr="003E698F">
        <w:rPr>
          <w:spacing w:val="0"/>
          <w:kern w:val="0"/>
          <w:sz w:val="20"/>
          <w:rtl/>
        </w:rPr>
        <w:t xml:space="preserve">الاحتجاز التعسفي، والتعذيب، والإعدام خارج نطاق القضاء، والإفلات من العقاب. وتدل الوثائق </w:t>
      </w:r>
      <w:r w:rsidRPr="003E698F">
        <w:rPr>
          <w:rFonts w:hint="cs"/>
          <w:spacing w:val="0"/>
          <w:kern w:val="0"/>
          <w:sz w:val="20"/>
          <w:rtl/>
        </w:rPr>
        <w:t xml:space="preserve">التي قدمها </w:t>
      </w:r>
      <w:r w:rsidRPr="003E698F">
        <w:rPr>
          <w:spacing w:val="0"/>
          <w:kern w:val="0"/>
          <w:sz w:val="20"/>
          <w:rtl/>
        </w:rPr>
        <w:t xml:space="preserve">على عدم سيطرة الحكومة الكونغولية على قوات </w:t>
      </w:r>
      <w:r w:rsidRPr="003E698F">
        <w:rPr>
          <w:rFonts w:hint="cs"/>
          <w:spacing w:val="0"/>
          <w:kern w:val="0"/>
          <w:sz w:val="20"/>
          <w:rtl/>
        </w:rPr>
        <w:t>الأمن</w:t>
      </w:r>
      <w:r w:rsidRPr="003E698F">
        <w:rPr>
          <w:spacing w:val="0"/>
          <w:kern w:val="0"/>
          <w:sz w:val="20"/>
          <w:rtl/>
        </w:rPr>
        <w:t xml:space="preserve"> في جميع أنحاء البلد، وعلى قيام هذه القوات بعمليات توقيف واحتجاز تعسفي للمواطنين دون </w:t>
      </w:r>
      <w:r w:rsidRPr="003E698F">
        <w:rPr>
          <w:rFonts w:hint="cs"/>
          <w:spacing w:val="0"/>
          <w:kern w:val="0"/>
          <w:sz w:val="20"/>
          <w:rtl/>
        </w:rPr>
        <w:t xml:space="preserve">أي </w:t>
      </w:r>
      <w:r w:rsidRPr="003E698F">
        <w:rPr>
          <w:spacing w:val="0"/>
          <w:kern w:val="0"/>
          <w:sz w:val="20"/>
          <w:rtl/>
        </w:rPr>
        <w:t xml:space="preserve">عقاب حالما تشك في وجود معارضة سياسة. </w:t>
      </w:r>
    </w:p>
    <w:p w:rsidR="00921F02" w:rsidRPr="003E698F" w:rsidRDefault="00921F02" w:rsidP="00921F02">
      <w:pPr>
        <w:pStyle w:val="SingleTxtGA"/>
        <w:jc w:val="lowKashida"/>
        <w:rPr>
          <w:spacing w:val="0"/>
          <w:kern w:val="0"/>
          <w:sz w:val="20"/>
          <w:rtl/>
        </w:rPr>
      </w:pPr>
      <w:r w:rsidRPr="003E698F">
        <w:rPr>
          <w:spacing w:val="0"/>
          <w:kern w:val="0"/>
          <w:sz w:val="20"/>
          <w:rtl/>
        </w:rPr>
        <w:t>3-3</w:t>
      </w:r>
      <w:r w:rsidRPr="003E698F">
        <w:rPr>
          <w:spacing w:val="0"/>
          <w:kern w:val="0"/>
          <w:sz w:val="20"/>
          <w:rtl/>
        </w:rPr>
        <w:tab/>
        <w:t xml:space="preserve">وبالنظر إلى إقامته الطويلة في الخارج، وطلبه اللجوء، وسجله الجنائي، </w:t>
      </w:r>
      <w:r w:rsidRPr="003E698F">
        <w:rPr>
          <w:rFonts w:hint="cs"/>
          <w:spacing w:val="0"/>
          <w:kern w:val="0"/>
          <w:sz w:val="20"/>
          <w:rtl/>
        </w:rPr>
        <w:t>وإبعاده</w:t>
      </w:r>
      <w:r w:rsidRPr="003E698F">
        <w:rPr>
          <w:spacing w:val="0"/>
          <w:kern w:val="0"/>
          <w:sz w:val="20"/>
          <w:rtl/>
        </w:rPr>
        <w:t xml:space="preserve">، وعلاقته بحزب الاتحاد من أجل الديمقراطية والتقدم الاجتماعي </w:t>
      </w:r>
      <w:r w:rsidRPr="003E698F">
        <w:rPr>
          <w:rFonts w:hint="cs"/>
          <w:spacing w:val="0"/>
          <w:kern w:val="0"/>
          <w:sz w:val="20"/>
          <w:rtl/>
        </w:rPr>
        <w:t xml:space="preserve">من خلال </w:t>
      </w:r>
      <w:r w:rsidRPr="003E698F">
        <w:rPr>
          <w:spacing w:val="0"/>
          <w:kern w:val="0"/>
          <w:sz w:val="20"/>
          <w:rtl/>
        </w:rPr>
        <w:t>والده، وإجراءات التحقق من شخصيته لدى وصوله إلى جمهورية الكونغو الديمقراطية، وحالته الصحية، فإنه أكثر عرضة للتوقيف والاحتجاز وسوء المعاملة.</w:t>
      </w:r>
    </w:p>
    <w:p w:rsidR="00921F02" w:rsidRPr="003E698F" w:rsidRDefault="00921F02" w:rsidP="00921F02">
      <w:pPr>
        <w:pStyle w:val="H23GA"/>
        <w:jc w:val="lowKashida"/>
        <w:rPr>
          <w:spacing w:val="0"/>
          <w:kern w:val="0"/>
          <w:sz w:val="20"/>
          <w:rtl/>
        </w:rPr>
      </w:pPr>
      <w:r w:rsidRPr="003E698F">
        <w:rPr>
          <w:spacing w:val="0"/>
          <w:kern w:val="0"/>
          <w:sz w:val="20"/>
          <w:rtl/>
        </w:rPr>
        <w:tab/>
      </w:r>
      <w:r w:rsidRPr="003E698F">
        <w:rPr>
          <w:spacing w:val="0"/>
          <w:kern w:val="0"/>
          <w:sz w:val="20"/>
          <w:rtl/>
        </w:rPr>
        <w:tab/>
        <w:t xml:space="preserve">ملاحظات الدولة الطرف بشأن </w:t>
      </w:r>
      <w:r w:rsidRPr="003E698F">
        <w:rPr>
          <w:rFonts w:hint="cs"/>
          <w:spacing w:val="0"/>
          <w:kern w:val="0"/>
          <w:sz w:val="20"/>
          <w:rtl/>
        </w:rPr>
        <w:t>ال</w:t>
      </w:r>
      <w:r w:rsidRPr="003E698F">
        <w:rPr>
          <w:spacing w:val="0"/>
          <w:kern w:val="0"/>
          <w:sz w:val="20"/>
          <w:rtl/>
        </w:rPr>
        <w:t>مقبولية</w:t>
      </w:r>
    </w:p>
    <w:p w:rsidR="00921F02" w:rsidRPr="003E698F" w:rsidRDefault="00921F02" w:rsidP="004C5EBE">
      <w:pPr>
        <w:pStyle w:val="SingleTxtGA"/>
        <w:jc w:val="lowKashida"/>
        <w:rPr>
          <w:spacing w:val="0"/>
          <w:kern w:val="0"/>
          <w:sz w:val="20"/>
          <w:rtl/>
        </w:rPr>
      </w:pPr>
      <w:r w:rsidRPr="003E698F">
        <w:rPr>
          <w:spacing w:val="0"/>
          <w:kern w:val="0"/>
          <w:sz w:val="20"/>
          <w:rtl/>
        </w:rPr>
        <w:t>4-1</w:t>
      </w:r>
      <w:r w:rsidRPr="003E698F">
        <w:rPr>
          <w:spacing w:val="0"/>
          <w:kern w:val="0"/>
          <w:sz w:val="20"/>
          <w:rtl/>
        </w:rPr>
        <w:tab/>
        <w:t xml:space="preserve">في 5 آب/أغسطس 2008، قدمت الدولة الطرف ملاحظاتها بشأن مقبولية </w:t>
      </w:r>
      <w:r w:rsidRPr="003E698F">
        <w:rPr>
          <w:rFonts w:hint="cs"/>
          <w:spacing w:val="0"/>
          <w:kern w:val="0"/>
          <w:sz w:val="20"/>
          <w:rtl/>
        </w:rPr>
        <w:t>البلاغ</w:t>
      </w:r>
      <w:r w:rsidRPr="003E698F">
        <w:rPr>
          <w:spacing w:val="0"/>
          <w:kern w:val="0"/>
          <w:sz w:val="20"/>
          <w:rtl/>
        </w:rPr>
        <w:t>. وتؤكد الدولة الطرف أن صاحب الشكوى لم يستنفد سبل الانتصاف المحلية، وأن الشكوى لا أساس لها من الصحة وتشكل إساءة لاستعمال الإجراءات القضائية، وأن صاحب الشكوى لم يقم الدليل على أن قرارات السلطات الكندية الصادرة في قضيته تعسفية أو</w:t>
      </w:r>
      <w:r w:rsidR="004C5EBE">
        <w:rPr>
          <w:rFonts w:hint="cs"/>
          <w:spacing w:val="0"/>
          <w:kern w:val="0"/>
          <w:sz w:val="20"/>
          <w:rtl/>
        </w:rPr>
        <w:t> </w:t>
      </w:r>
      <w:r w:rsidR="00E61B85">
        <w:rPr>
          <w:spacing w:val="0"/>
          <w:kern w:val="0"/>
          <w:sz w:val="20"/>
          <w:rtl/>
        </w:rPr>
        <w:t>تشكل إنكاراً للعدالة. و</w:t>
      </w:r>
      <w:r w:rsidRPr="003E698F">
        <w:rPr>
          <w:spacing w:val="0"/>
          <w:kern w:val="0"/>
          <w:sz w:val="20"/>
          <w:rtl/>
        </w:rPr>
        <w:t>صاحب الشكوى لا يوافق على القرارات التي اتخذتها السلطات الكندية في قضيته. بيد أن اللجنة لا ينبغي أن تكون درجة رابعة من درجات التقاضي وأن تعيد النظر في الوقائع والأدلة أو تستعرض تطبيق السلطات الكندية لقوانينها المحلية.</w:t>
      </w:r>
    </w:p>
    <w:p w:rsidR="00921F02" w:rsidRPr="003E698F" w:rsidRDefault="00921F02" w:rsidP="00921F02">
      <w:pPr>
        <w:pStyle w:val="SingleTxtGA"/>
        <w:jc w:val="lowKashida"/>
        <w:rPr>
          <w:spacing w:val="0"/>
          <w:kern w:val="0"/>
          <w:sz w:val="20"/>
          <w:rtl/>
        </w:rPr>
      </w:pPr>
      <w:r w:rsidRPr="003E698F">
        <w:rPr>
          <w:spacing w:val="0"/>
          <w:kern w:val="0"/>
          <w:sz w:val="20"/>
          <w:rtl/>
        </w:rPr>
        <w:t>4-2</w:t>
      </w:r>
      <w:r w:rsidRPr="003E698F">
        <w:rPr>
          <w:spacing w:val="0"/>
          <w:kern w:val="0"/>
          <w:sz w:val="20"/>
          <w:rtl/>
        </w:rPr>
        <w:tab/>
      </w:r>
      <w:r w:rsidRPr="003E698F">
        <w:rPr>
          <w:rFonts w:hint="cs"/>
          <w:spacing w:val="0"/>
          <w:kern w:val="0"/>
          <w:sz w:val="20"/>
          <w:rtl/>
        </w:rPr>
        <w:t>ل</w:t>
      </w:r>
      <w:r w:rsidRPr="003E698F">
        <w:rPr>
          <w:spacing w:val="0"/>
          <w:kern w:val="0"/>
          <w:sz w:val="20"/>
          <w:rtl/>
        </w:rPr>
        <w:t>قد طلب صاحب الشكوى اللجوء في 4 شباط/فبراير 2003. وقدم في 19 آذار/</w:t>
      </w:r>
      <w:r w:rsidRPr="003E698F">
        <w:rPr>
          <w:rFonts w:hint="cs"/>
          <w:spacing w:val="0"/>
          <w:kern w:val="0"/>
          <w:sz w:val="20"/>
          <w:rtl/>
        </w:rPr>
        <w:t xml:space="preserve"> </w:t>
      </w:r>
      <w:r w:rsidRPr="003E698F">
        <w:rPr>
          <w:spacing w:val="0"/>
          <w:kern w:val="0"/>
          <w:sz w:val="20"/>
          <w:rtl/>
        </w:rPr>
        <w:t xml:space="preserve">مارس 2003 معلومات تحت اسم مستعار بشأن اضطهاده في جمهورية الكونغو الديمقراطية وتبين أن هذه المعلومات </w:t>
      </w:r>
      <w:r w:rsidRPr="003E698F">
        <w:rPr>
          <w:rFonts w:hint="cs"/>
          <w:spacing w:val="0"/>
          <w:kern w:val="0"/>
          <w:sz w:val="20"/>
          <w:rtl/>
        </w:rPr>
        <w:t xml:space="preserve">مختلقة </w:t>
      </w:r>
      <w:r w:rsidRPr="003E698F">
        <w:rPr>
          <w:spacing w:val="0"/>
          <w:kern w:val="0"/>
          <w:sz w:val="20"/>
          <w:rtl/>
        </w:rPr>
        <w:t xml:space="preserve">تماماً. </w:t>
      </w:r>
      <w:r w:rsidRPr="003E698F">
        <w:rPr>
          <w:rFonts w:hint="cs"/>
          <w:spacing w:val="0"/>
          <w:kern w:val="0"/>
          <w:sz w:val="20"/>
          <w:rtl/>
        </w:rPr>
        <w:t xml:space="preserve">فقد </w:t>
      </w:r>
      <w:r w:rsidRPr="003E698F">
        <w:rPr>
          <w:spacing w:val="0"/>
          <w:kern w:val="0"/>
          <w:sz w:val="20"/>
          <w:rtl/>
        </w:rPr>
        <w:t>ادعى بوجه خاص أنه عاش كل حياته في جمهورية الكونغو الديمقراطية، وأنه ألقي عليه القبض مع والده بسبب أنشطتهما السياسية، وأن والده قد توفي في عام 2002 نتيجة للتعذيب.</w:t>
      </w:r>
    </w:p>
    <w:p w:rsidR="00921F02" w:rsidRPr="003E698F" w:rsidRDefault="00921F02" w:rsidP="00921F02">
      <w:pPr>
        <w:pStyle w:val="SingleTxtGA"/>
        <w:jc w:val="lowKashida"/>
        <w:rPr>
          <w:spacing w:val="0"/>
          <w:kern w:val="0"/>
          <w:sz w:val="20"/>
          <w:rtl/>
        </w:rPr>
      </w:pPr>
      <w:r w:rsidRPr="003E698F">
        <w:rPr>
          <w:spacing w:val="0"/>
          <w:kern w:val="0"/>
          <w:sz w:val="20"/>
          <w:rtl/>
        </w:rPr>
        <w:t>4-3</w:t>
      </w:r>
      <w:r w:rsidRPr="003E698F">
        <w:rPr>
          <w:spacing w:val="0"/>
          <w:kern w:val="0"/>
          <w:sz w:val="20"/>
          <w:rtl/>
        </w:rPr>
        <w:tab/>
        <w:t xml:space="preserve">ولم يحضر صاحب الشكوى جلسة الاستماع المعقودة في 5 آب/أغسطس 2003 للنظر في طلب اللجوء. وحددت في </w:t>
      </w:r>
      <w:r w:rsidRPr="003E698F">
        <w:rPr>
          <w:rFonts w:hint="cs"/>
          <w:spacing w:val="0"/>
          <w:kern w:val="0"/>
          <w:sz w:val="20"/>
          <w:rtl/>
        </w:rPr>
        <w:t xml:space="preserve">ذلك التاريخ </w:t>
      </w:r>
      <w:r w:rsidRPr="003E698F">
        <w:rPr>
          <w:spacing w:val="0"/>
          <w:kern w:val="0"/>
          <w:sz w:val="20"/>
          <w:rtl/>
        </w:rPr>
        <w:t xml:space="preserve">جلسة استماع أخرى. </w:t>
      </w:r>
      <w:r w:rsidRPr="003E698F">
        <w:rPr>
          <w:rFonts w:hint="cs"/>
          <w:spacing w:val="0"/>
          <w:kern w:val="0"/>
          <w:sz w:val="20"/>
          <w:rtl/>
        </w:rPr>
        <w:t>و</w:t>
      </w:r>
      <w:r w:rsidRPr="003E698F">
        <w:rPr>
          <w:spacing w:val="0"/>
          <w:kern w:val="0"/>
          <w:sz w:val="20"/>
          <w:rtl/>
        </w:rPr>
        <w:t>نظراً لعدم حضور صاحب الشكوى أو محاميه، صدر قرار بوقف إجراءات النظر في الطلب. ولم</w:t>
      </w:r>
      <w:r w:rsidRPr="003E698F">
        <w:rPr>
          <w:rFonts w:hint="cs"/>
          <w:spacing w:val="0"/>
          <w:kern w:val="0"/>
          <w:sz w:val="20"/>
          <w:rtl/>
        </w:rPr>
        <w:t> </w:t>
      </w:r>
      <w:r w:rsidRPr="003E698F">
        <w:rPr>
          <w:spacing w:val="0"/>
          <w:kern w:val="0"/>
          <w:sz w:val="20"/>
          <w:rtl/>
        </w:rPr>
        <w:t xml:space="preserve">يطلب صاحب الشكوى المراجعة القضائية لقرار الوقف أمام المحكمة الاتحادية. </w:t>
      </w:r>
    </w:p>
    <w:p w:rsidR="00921F02" w:rsidRPr="003E698F" w:rsidRDefault="00921F02" w:rsidP="00921F02">
      <w:pPr>
        <w:pStyle w:val="SingleTxtGA"/>
        <w:jc w:val="lowKashida"/>
        <w:rPr>
          <w:spacing w:val="0"/>
          <w:kern w:val="0"/>
          <w:sz w:val="20"/>
          <w:rtl/>
        </w:rPr>
      </w:pPr>
      <w:r w:rsidRPr="003E698F">
        <w:rPr>
          <w:spacing w:val="0"/>
          <w:kern w:val="0"/>
          <w:sz w:val="20"/>
          <w:rtl/>
        </w:rPr>
        <w:t>4-4</w:t>
      </w:r>
      <w:r w:rsidRPr="003E698F">
        <w:rPr>
          <w:spacing w:val="0"/>
          <w:kern w:val="0"/>
          <w:sz w:val="20"/>
          <w:rtl/>
        </w:rPr>
        <w:tab/>
        <w:t xml:space="preserve">وفي 30 آذار/مارس 2007، طلب صاحب الشكوى إجراء تقييم للمخاطر قبل الترحيل، ورُفض هذا الطلب في 7 نيسان/أبريل 2008. ورأى المسؤول عن تقييم المخاطر قبل الترحيل أن هناك ثغرات وتناقضات هامة في المعلومات المقدمة من صاحب الشكوى وخلص إلى عدم مصداقيتها. وفي 20 أيار/مايو 2008، قدم صاحب الشكوى طلباً إلى المحكمة الاتحادية لإعادة النظر في قرار المسؤول عن تقييم المخاطر قبل الترحيل وقرار الترحيل. ورُفض هذا الطلب بسبب </w:t>
      </w:r>
      <w:r w:rsidRPr="003E698F">
        <w:rPr>
          <w:rFonts w:hint="cs"/>
          <w:spacing w:val="0"/>
          <w:kern w:val="0"/>
          <w:sz w:val="20"/>
          <w:rtl/>
        </w:rPr>
        <w:t>كذبه مراراً على</w:t>
      </w:r>
      <w:r w:rsidRPr="003E698F">
        <w:rPr>
          <w:spacing w:val="0"/>
          <w:kern w:val="0"/>
          <w:sz w:val="20"/>
          <w:rtl/>
        </w:rPr>
        <w:t xml:space="preserve"> السلطات الكندية والولايات المتحدة، مما يبعث على عدم مصداقيته بالنسبة للوقائع المزعومة. وعلاوة على ذلك، لم</w:t>
      </w:r>
      <w:r w:rsidRPr="003E698F">
        <w:rPr>
          <w:rFonts w:hint="cs"/>
          <w:spacing w:val="0"/>
          <w:kern w:val="0"/>
          <w:sz w:val="20"/>
          <w:rtl/>
        </w:rPr>
        <w:t> </w:t>
      </w:r>
      <w:r w:rsidRPr="003E698F">
        <w:rPr>
          <w:spacing w:val="0"/>
          <w:kern w:val="0"/>
          <w:sz w:val="20"/>
          <w:rtl/>
        </w:rPr>
        <w:t xml:space="preserve">تجد المحكمة </w:t>
      </w:r>
      <w:r w:rsidRPr="003E698F">
        <w:rPr>
          <w:rFonts w:hint="cs"/>
          <w:spacing w:val="0"/>
          <w:kern w:val="0"/>
          <w:sz w:val="20"/>
          <w:rtl/>
        </w:rPr>
        <w:t xml:space="preserve">أية </w:t>
      </w:r>
      <w:r w:rsidRPr="003E698F">
        <w:rPr>
          <w:spacing w:val="0"/>
          <w:kern w:val="0"/>
          <w:sz w:val="20"/>
          <w:rtl/>
        </w:rPr>
        <w:t>أخطاء في تقييم المخاطر الذي قام به المسؤول عن تقييم المخاطر قبل الترحيل.</w:t>
      </w:r>
    </w:p>
    <w:p w:rsidR="00921F02" w:rsidRPr="003E698F" w:rsidRDefault="00921F02" w:rsidP="00921F02">
      <w:pPr>
        <w:pStyle w:val="SingleTxtGA"/>
        <w:jc w:val="lowKashida"/>
        <w:rPr>
          <w:spacing w:val="0"/>
          <w:kern w:val="0"/>
          <w:sz w:val="20"/>
          <w:rtl/>
        </w:rPr>
      </w:pPr>
      <w:r w:rsidRPr="003E698F">
        <w:rPr>
          <w:spacing w:val="0"/>
          <w:kern w:val="0"/>
          <w:sz w:val="20"/>
          <w:rtl/>
        </w:rPr>
        <w:t>4-5</w:t>
      </w:r>
      <w:r w:rsidRPr="003E698F">
        <w:rPr>
          <w:spacing w:val="0"/>
          <w:kern w:val="0"/>
          <w:sz w:val="20"/>
          <w:rtl/>
        </w:rPr>
        <w:tab/>
        <w:t>وتؤكد الدولة الطرف أن صاحب الشكوى لم يستنفد سبل الانتصاف المحلية على أساس: (أ) أنه تخلى طواعية عن طلب اللجوء إلى كندا ولم يطلب المراجعة القضائية لقرار وقف الإجراءات؛ و(ب) أنه لم يقدم طلباً للإقامة استناداً إلى اعتبارات إنسانية</w:t>
      </w:r>
      <w:r w:rsidRPr="003E698F">
        <w:rPr>
          <w:rFonts w:hint="cs"/>
          <w:spacing w:val="0"/>
          <w:kern w:val="0"/>
          <w:sz w:val="20"/>
          <w:rtl/>
        </w:rPr>
        <w:t xml:space="preserve"> ووجدانية</w:t>
      </w:r>
      <w:r w:rsidRPr="003E698F">
        <w:rPr>
          <w:spacing w:val="0"/>
          <w:kern w:val="0"/>
          <w:sz w:val="20"/>
          <w:rtl/>
        </w:rPr>
        <w:t>. وعندما يقدم مثل هذا الطلب على أساس المخاطر التي قد يتعرض لها الشخص في بلد المنشأ، يقوم المسؤول عن تقييم المخاطر قبل الترحيل بفحص الطلب. بيد أنه خلافاً لطلبات تقييم المخاطر قبل الترحيل، لا يقتصر فحص الطلبات المقدمة استناداً إلى اعتبارات إنسانية</w:t>
      </w:r>
      <w:r w:rsidRPr="003E698F">
        <w:rPr>
          <w:rFonts w:hint="cs"/>
          <w:spacing w:val="0"/>
          <w:kern w:val="0"/>
          <w:sz w:val="20"/>
          <w:rtl/>
        </w:rPr>
        <w:t xml:space="preserve"> ووجدانية</w:t>
      </w:r>
      <w:r w:rsidRPr="003E698F">
        <w:rPr>
          <w:spacing w:val="0"/>
          <w:kern w:val="0"/>
          <w:sz w:val="20"/>
          <w:rtl/>
        </w:rPr>
        <w:t xml:space="preserve"> على الأدلة الجديدة المقدمة منذ </w:t>
      </w:r>
      <w:r w:rsidRPr="003E698F">
        <w:rPr>
          <w:rFonts w:hint="cs"/>
          <w:spacing w:val="0"/>
          <w:kern w:val="0"/>
          <w:sz w:val="20"/>
          <w:rtl/>
        </w:rPr>
        <w:t xml:space="preserve">صدور </w:t>
      </w:r>
      <w:r w:rsidRPr="003E698F">
        <w:rPr>
          <w:spacing w:val="0"/>
          <w:kern w:val="0"/>
          <w:sz w:val="20"/>
          <w:rtl/>
        </w:rPr>
        <w:t xml:space="preserve">القرار الأخير في الموضوع. </w:t>
      </w:r>
      <w:r w:rsidRPr="003E698F">
        <w:rPr>
          <w:rFonts w:hint="cs"/>
          <w:spacing w:val="0"/>
          <w:kern w:val="0"/>
          <w:sz w:val="20"/>
          <w:rtl/>
        </w:rPr>
        <w:t xml:space="preserve">بل </w:t>
      </w:r>
      <w:r w:rsidRPr="003E698F">
        <w:rPr>
          <w:spacing w:val="0"/>
          <w:kern w:val="0"/>
          <w:sz w:val="20"/>
          <w:rtl/>
        </w:rPr>
        <w:t xml:space="preserve">يراعي </w:t>
      </w:r>
      <w:r w:rsidRPr="003E698F">
        <w:rPr>
          <w:rFonts w:hint="cs"/>
          <w:spacing w:val="0"/>
          <w:kern w:val="0"/>
          <w:sz w:val="20"/>
          <w:rtl/>
        </w:rPr>
        <w:t xml:space="preserve">الفحص </w:t>
      </w:r>
      <w:r w:rsidRPr="003E698F">
        <w:rPr>
          <w:spacing w:val="0"/>
          <w:kern w:val="0"/>
          <w:sz w:val="20"/>
          <w:rtl/>
        </w:rPr>
        <w:t>جميع الظروف، ولا</w:t>
      </w:r>
      <w:r w:rsidRPr="003E698F">
        <w:rPr>
          <w:rFonts w:hint="cs"/>
          <w:spacing w:val="0"/>
          <w:kern w:val="0"/>
          <w:sz w:val="20"/>
          <w:rtl/>
        </w:rPr>
        <w:t> </w:t>
      </w:r>
      <w:r w:rsidRPr="003E698F">
        <w:rPr>
          <w:spacing w:val="0"/>
          <w:kern w:val="0"/>
          <w:sz w:val="20"/>
          <w:rtl/>
        </w:rPr>
        <w:t>يتوقف عند عوامل الخطر، ويتجاوز المعايير الموضوعة لتقييم المخاطر قبل الترحيل.</w:t>
      </w:r>
    </w:p>
    <w:p w:rsidR="00921F02" w:rsidRPr="003E698F" w:rsidRDefault="00921F02" w:rsidP="00921F02">
      <w:pPr>
        <w:pStyle w:val="SingleTxtGA"/>
        <w:jc w:val="lowKashida"/>
        <w:rPr>
          <w:spacing w:val="0"/>
          <w:kern w:val="0"/>
          <w:sz w:val="20"/>
          <w:rtl/>
        </w:rPr>
      </w:pPr>
      <w:r w:rsidRPr="003E698F">
        <w:rPr>
          <w:spacing w:val="0"/>
          <w:kern w:val="0"/>
          <w:sz w:val="20"/>
          <w:rtl/>
        </w:rPr>
        <w:t>4-6</w:t>
      </w:r>
      <w:r w:rsidRPr="003E698F">
        <w:rPr>
          <w:spacing w:val="0"/>
          <w:kern w:val="0"/>
          <w:sz w:val="20"/>
          <w:rtl/>
        </w:rPr>
        <w:tab/>
        <w:t>ولا توافق الدولة الطرف على ما ارتأته اللجنة في بعض قراراتها السابقة من أنه لا</w:t>
      </w:r>
      <w:r w:rsidRPr="003E698F">
        <w:rPr>
          <w:rFonts w:hint="cs"/>
          <w:spacing w:val="0"/>
          <w:kern w:val="0"/>
          <w:sz w:val="20"/>
          <w:rtl/>
        </w:rPr>
        <w:t> </w:t>
      </w:r>
      <w:r w:rsidRPr="003E698F">
        <w:rPr>
          <w:spacing w:val="0"/>
          <w:kern w:val="0"/>
          <w:sz w:val="20"/>
          <w:rtl/>
        </w:rPr>
        <w:t xml:space="preserve">يلزم استنفاد الطلبات المقدمة استناداً إلى </w:t>
      </w:r>
      <w:r w:rsidRPr="003E698F">
        <w:rPr>
          <w:rFonts w:hint="cs"/>
          <w:spacing w:val="0"/>
          <w:kern w:val="0"/>
          <w:sz w:val="20"/>
          <w:rtl/>
        </w:rPr>
        <w:t>ال</w:t>
      </w:r>
      <w:r w:rsidRPr="003E698F">
        <w:rPr>
          <w:spacing w:val="0"/>
          <w:kern w:val="0"/>
          <w:sz w:val="20"/>
          <w:rtl/>
        </w:rPr>
        <w:t xml:space="preserve">اعتبارات </w:t>
      </w:r>
      <w:r w:rsidRPr="003E698F">
        <w:rPr>
          <w:rFonts w:hint="cs"/>
          <w:spacing w:val="0"/>
          <w:kern w:val="0"/>
          <w:sz w:val="20"/>
          <w:rtl/>
        </w:rPr>
        <w:t>ال</w:t>
      </w:r>
      <w:r w:rsidRPr="003E698F">
        <w:rPr>
          <w:spacing w:val="0"/>
          <w:kern w:val="0"/>
          <w:sz w:val="20"/>
          <w:rtl/>
        </w:rPr>
        <w:t xml:space="preserve">إنسانية </w:t>
      </w:r>
      <w:r w:rsidRPr="003E698F">
        <w:rPr>
          <w:rFonts w:hint="cs"/>
          <w:spacing w:val="0"/>
          <w:kern w:val="0"/>
          <w:sz w:val="20"/>
          <w:rtl/>
        </w:rPr>
        <w:t xml:space="preserve">والوجدانية </w:t>
      </w:r>
      <w:r w:rsidRPr="003E698F">
        <w:rPr>
          <w:spacing w:val="0"/>
          <w:kern w:val="0"/>
          <w:sz w:val="20"/>
          <w:rtl/>
        </w:rPr>
        <w:t xml:space="preserve">نظراً للطابع التقديري للقرارات الوزارية. فلا يعني الطابع التقديري لسبيل الانتصاف أنه عديم الفعالية. وعلى الرغم من أن القرارات الوزارية تقديرية من الناحية التقنية، فإنها تخضع لمعايير وإجراءات محددة. ويجب أن تمارس السلطة التقديرية وفقاً للقانون، </w:t>
      </w:r>
      <w:r w:rsidRPr="003E698F">
        <w:rPr>
          <w:rFonts w:hint="cs"/>
          <w:spacing w:val="0"/>
          <w:kern w:val="0"/>
          <w:sz w:val="20"/>
          <w:rtl/>
        </w:rPr>
        <w:t>و</w:t>
      </w:r>
      <w:r w:rsidRPr="003E698F">
        <w:rPr>
          <w:spacing w:val="0"/>
          <w:kern w:val="0"/>
          <w:sz w:val="20"/>
          <w:rtl/>
        </w:rPr>
        <w:t>الميثاق الكندي للحقوق والحريات</w:t>
      </w:r>
      <w:r w:rsidRPr="003E698F">
        <w:rPr>
          <w:rFonts w:hint="cs"/>
          <w:spacing w:val="0"/>
          <w:kern w:val="0"/>
          <w:sz w:val="20"/>
          <w:rtl/>
        </w:rPr>
        <w:t>،</w:t>
      </w:r>
      <w:r w:rsidRPr="003E698F">
        <w:rPr>
          <w:spacing w:val="0"/>
          <w:kern w:val="0"/>
          <w:sz w:val="20"/>
          <w:rtl/>
        </w:rPr>
        <w:t xml:space="preserve"> والتزامات </w:t>
      </w:r>
      <w:r w:rsidRPr="003E698F">
        <w:rPr>
          <w:rFonts w:hint="cs"/>
          <w:spacing w:val="0"/>
          <w:kern w:val="0"/>
          <w:sz w:val="20"/>
          <w:rtl/>
        </w:rPr>
        <w:t xml:space="preserve">كندا </w:t>
      </w:r>
      <w:r w:rsidRPr="003E698F">
        <w:rPr>
          <w:spacing w:val="0"/>
          <w:kern w:val="0"/>
          <w:sz w:val="20"/>
          <w:rtl/>
        </w:rPr>
        <w:t xml:space="preserve">الدولية. </w:t>
      </w:r>
      <w:r w:rsidRPr="003E698F">
        <w:rPr>
          <w:rFonts w:hint="cs"/>
          <w:spacing w:val="0"/>
          <w:kern w:val="0"/>
          <w:sz w:val="20"/>
          <w:rtl/>
        </w:rPr>
        <w:t>ويمكن أن</w:t>
      </w:r>
      <w:r w:rsidRPr="003E698F">
        <w:rPr>
          <w:spacing w:val="0"/>
          <w:kern w:val="0"/>
          <w:sz w:val="20"/>
          <w:rtl/>
        </w:rPr>
        <w:t xml:space="preserve"> تعتمد الطلبات المقدمة استناداً إلى </w:t>
      </w:r>
      <w:r w:rsidRPr="003E698F">
        <w:rPr>
          <w:rFonts w:hint="cs"/>
          <w:spacing w:val="0"/>
          <w:kern w:val="0"/>
          <w:sz w:val="20"/>
          <w:rtl/>
        </w:rPr>
        <w:t>ال</w:t>
      </w:r>
      <w:r w:rsidRPr="003E698F">
        <w:rPr>
          <w:spacing w:val="0"/>
          <w:kern w:val="0"/>
          <w:sz w:val="20"/>
          <w:rtl/>
        </w:rPr>
        <w:t xml:space="preserve">اعتبارات </w:t>
      </w:r>
      <w:r w:rsidRPr="003E698F">
        <w:rPr>
          <w:rFonts w:hint="cs"/>
          <w:spacing w:val="0"/>
          <w:kern w:val="0"/>
          <w:sz w:val="20"/>
          <w:rtl/>
        </w:rPr>
        <w:t>ال</w:t>
      </w:r>
      <w:r w:rsidRPr="003E698F">
        <w:rPr>
          <w:spacing w:val="0"/>
          <w:kern w:val="0"/>
          <w:sz w:val="20"/>
          <w:rtl/>
        </w:rPr>
        <w:t xml:space="preserve">إنسانية </w:t>
      </w:r>
      <w:r w:rsidRPr="003E698F">
        <w:rPr>
          <w:rFonts w:hint="cs"/>
          <w:spacing w:val="0"/>
          <w:kern w:val="0"/>
          <w:sz w:val="20"/>
          <w:rtl/>
        </w:rPr>
        <w:t xml:space="preserve">والوجدانية </w:t>
      </w:r>
      <w:r w:rsidRPr="003E698F">
        <w:rPr>
          <w:spacing w:val="0"/>
          <w:kern w:val="0"/>
          <w:sz w:val="20"/>
          <w:rtl/>
        </w:rPr>
        <w:t>على خطر التعرض للتعذيب في بلد العودة، ويجوز الطعن في القرارات الوزارية أمام المحكمة الاتحادية. ويجوز الطعن في قرار الرفض الصادر من المحكمة الاتحادية أمام محكمة الاستئناف الاتحادية إذا كانت الحالة تثير مسألة ذات أهمية عامة. ويجوز أيضاً الطعن في القرار الصادر من محكمة الاستئناف الاتحادية أمام المحكمة العليا الكندية.</w:t>
      </w:r>
    </w:p>
    <w:p w:rsidR="00921F02" w:rsidRPr="003E698F" w:rsidRDefault="00921F02" w:rsidP="00921F02">
      <w:pPr>
        <w:pStyle w:val="SingleTxtGA"/>
        <w:jc w:val="lowKashida"/>
        <w:rPr>
          <w:spacing w:val="0"/>
          <w:kern w:val="0"/>
          <w:sz w:val="20"/>
          <w:rtl/>
        </w:rPr>
      </w:pPr>
      <w:r w:rsidRPr="003E698F">
        <w:rPr>
          <w:spacing w:val="0"/>
          <w:kern w:val="0"/>
          <w:sz w:val="20"/>
          <w:rtl/>
        </w:rPr>
        <w:t>4-7</w:t>
      </w:r>
      <w:r w:rsidRPr="003E698F">
        <w:rPr>
          <w:spacing w:val="0"/>
          <w:kern w:val="0"/>
          <w:sz w:val="20"/>
          <w:rtl/>
        </w:rPr>
        <w:tab/>
      </w:r>
      <w:r w:rsidRPr="003E698F">
        <w:rPr>
          <w:rFonts w:hint="cs"/>
          <w:spacing w:val="0"/>
          <w:kern w:val="0"/>
          <w:sz w:val="20"/>
          <w:rtl/>
        </w:rPr>
        <w:t>وتؤكد</w:t>
      </w:r>
      <w:r w:rsidRPr="003E698F">
        <w:rPr>
          <w:spacing w:val="0"/>
          <w:kern w:val="0"/>
          <w:sz w:val="20"/>
          <w:rtl/>
        </w:rPr>
        <w:t xml:space="preserve"> الدولة الطرف </w:t>
      </w:r>
      <w:r w:rsidRPr="003E698F">
        <w:rPr>
          <w:rFonts w:hint="cs"/>
          <w:spacing w:val="0"/>
          <w:kern w:val="0"/>
          <w:sz w:val="20"/>
          <w:rtl/>
        </w:rPr>
        <w:t xml:space="preserve">أن </w:t>
      </w:r>
      <w:r w:rsidRPr="003E698F">
        <w:rPr>
          <w:spacing w:val="0"/>
          <w:kern w:val="0"/>
          <w:sz w:val="20"/>
          <w:rtl/>
        </w:rPr>
        <w:t>الشكوى لا أساس لها من الصحة على الإطلاق</w:t>
      </w:r>
      <w:r w:rsidRPr="003E698F">
        <w:rPr>
          <w:rFonts w:hint="cs"/>
          <w:spacing w:val="0"/>
          <w:kern w:val="0"/>
          <w:sz w:val="20"/>
          <w:rtl/>
        </w:rPr>
        <w:t>، وبالتالي فلا يجوز قبولها</w:t>
      </w:r>
      <w:r w:rsidRPr="003E698F">
        <w:rPr>
          <w:spacing w:val="0"/>
          <w:kern w:val="0"/>
          <w:sz w:val="20"/>
          <w:rtl/>
        </w:rPr>
        <w:t xml:space="preserve">. وادعاءات صاحب الشكوى والأدلة التي قدمها للجنة هي في جوهرها نفس </w:t>
      </w:r>
      <w:r w:rsidRPr="003E698F">
        <w:rPr>
          <w:rFonts w:hint="cs"/>
          <w:spacing w:val="0"/>
          <w:kern w:val="0"/>
          <w:sz w:val="20"/>
          <w:rtl/>
        </w:rPr>
        <w:t>الادعاءات</w:t>
      </w:r>
      <w:r w:rsidRPr="003E698F">
        <w:rPr>
          <w:spacing w:val="0"/>
          <w:kern w:val="0"/>
          <w:sz w:val="20"/>
          <w:rtl/>
        </w:rPr>
        <w:t xml:space="preserve"> والأدلة التي قدمها للسلطات المحلية. و</w:t>
      </w:r>
      <w:r w:rsidRPr="003E698F">
        <w:rPr>
          <w:rFonts w:hint="cs"/>
          <w:spacing w:val="0"/>
          <w:kern w:val="0"/>
          <w:sz w:val="20"/>
          <w:rtl/>
        </w:rPr>
        <w:t xml:space="preserve">قد </w:t>
      </w:r>
      <w:r w:rsidRPr="003E698F">
        <w:rPr>
          <w:spacing w:val="0"/>
          <w:kern w:val="0"/>
          <w:sz w:val="20"/>
          <w:rtl/>
        </w:rPr>
        <w:t>استمع المسؤول عن تقييم المخاطر قبل الترحيل إلى صاحب الشكوى واستطاع أن يحكم بنفسه على مصداقيته. واستنتاجاته بالنسبة للمخاطر في حالة الترحيل ملائمة وقائمة على أسس سليمة. وتشير الدولة الطرف إلى آراء اللجنة التي تفيد بأنه ليس من دورها أن تعيد تقييم الاستنتاجات المتعلقة بالوقائع والمصداقية التي توصلت إليها السلطات الوطنية المختصة، ما لم يكن ذلك التقييم تعسفياً أو يشكل إنكاراً للعدالة. ولا تفيد الوثائق التي قدمها صاحب الشكوى إلى اللجنة بأن الاستنتاجات التي خلص إليها المسؤول عن تقييم المخاطر قبل الترحيل مشوبة بمثل هذه المخالفات. ولذلك، ليس هناك ما يدعو إلى إعادة النظر في النتائج التي توصلت إليها السلطات المحلية فيما</w:t>
      </w:r>
      <w:r w:rsidRPr="003E698F">
        <w:rPr>
          <w:rFonts w:hint="cs"/>
          <w:spacing w:val="0"/>
          <w:kern w:val="0"/>
          <w:sz w:val="20"/>
          <w:rtl/>
        </w:rPr>
        <w:t> </w:t>
      </w:r>
      <w:r w:rsidRPr="003E698F">
        <w:rPr>
          <w:spacing w:val="0"/>
          <w:kern w:val="0"/>
          <w:sz w:val="20"/>
          <w:rtl/>
        </w:rPr>
        <w:t>يتعلق بالوقائع وبمصداقية صاحب الشكوى.</w:t>
      </w:r>
    </w:p>
    <w:p w:rsidR="00921F02" w:rsidRPr="003E698F" w:rsidRDefault="00921F02" w:rsidP="004C5EBE">
      <w:pPr>
        <w:pStyle w:val="SingleTxtGA"/>
        <w:jc w:val="lowKashida"/>
        <w:rPr>
          <w:spacing w:val="0"/>
          <w:kern w:val="0"/>
          <w:sz w:val="20"/>
          <w:rtl/>
        </w:rPr>
      </w:pPr>
      <w:r w:rsidRPr="003E698F">
        <w:rPr>
          <w:spacing w:val="0"/>
          <w:kern w:val="0"/>
          <w:sz w:val="20"/>
          <w:rtl/>
        </w:rPr>
        <w:t>4-8</w:t>
      </w:r>
      <w:r w:rsidRPr="003E698F">
        <w:rPr>
          <w:spacing w:val="0"/>
          <w:kern w:val="0"/>
          <w:sz w:val="20"/>
          <w:rtl/>
        </w:rPr>
        <w:tab/>
        <w:t xml:space="preserve">وتستند عدم مصداقية صاحب الشكوى إلى العناصر التالية: (أ) أن روايته متناقضة فيما يتعلق بتاريخ وصوله للمرة الأولى إلى كندا. فقد أكد في مناسبات مختلفة أنه وصل في أيلول/سبتمبر 2002، وكانون الثاني/يناير 2003، ونيسان/أبريل 2003؛ و(ب) أنه قدم أيضاً معلومات متناقضة فيما يتعلق بهويته، </w:t>
      </w:r>
      <w:r w:rsidRPr="003E698F">
        <w:rPr>
          <w:rFonts w:hint="cs"/>
          <w:spacing w:val="0"/>
          <w:kern w:val="0"/>
          <w:sz w:val="20"/>
          <w:rtl/>
        </w:rPr>
        <w:t xml:space="preserve">ولا سيما </w:t>
      </w:r>
      <w:r w:rsidRPr="003E698F">
        <w:rPr>
          <w:spacing w:val="0"/>
          <w:kern w:val="0"/>
          <w:sz w:val="20"/>
          <w:rtl/>
        </w:rPr>
        <w:t>فيما يتعلق باسمه وتاريخ ميلاده؛ و(ج)</w:t>
      </w:r>
      <w:r w:rsidRPr="003E698F">
        <w:rPr>
          <w:rFonts w:hint="cs"/>
          <w:spacing w:val="0"/>
          <w:kern w:val="0"/>
          <w:sz w:val="20"/>
          <w:rtl/>
        </w:rPr>
        <w:t> </w:t>
      </w:r>
      <w:r w:rsidRPr="003E698F">
        <w:rPr>
          <w:spacing w:val="0"/>
          <w:kern w:val="0"/>
          <w:sz w:val="20"/>
          <w:rtl/>
        </w:rPr>
        <w:t>أنه قدم معلومات كاذبة فيما يتعلق، في جملة أمور، ب</w:t>
      </w:r>
      <w:r w:rsidRPr="003E698F">
        <w:rPr>
          <w:rFonts w:hint="cs"/>
          <w:spacing w:val="0"/>
          <w:kern w:val="0"/>
          <w:sz w:val="20"/>
          <w:rtl/>
        </w:rPr>
        <w:t>أنشطة والده السياسية و</w:t>
      </w:r>
      <w:r w:rsidRPr="003E698F">
        <w:rPr>
          <w:spacing w:val="0"/>
          <w:kern w:val="0"/>
          <w:sz w:val="20"/>
          <w:rtl/>
        </w:rPr>
        <w:t>اضطهاد</w:t>
      </w:r>
      <w:r w:rsidRPr="003E698F">
        <w:rPr>
          <w:rFonts w:hint="cs"/>
          <w:spacing w:val="0"/>
          <w:kern w:val="0"/>
          <w:sz w:val="20"/>
          <w:rtl/>
        </w:rPr>
        <w:t>ه</w:t>
      </w:r>
      <w:r w:rsidRPr="003E698F">
        <w:rPr>
          <w:spacing w:val="0"/>
          <w:kern w:val="0"/>
          <w:sz w:val="20"/>
          <w:rtl/>
        </w:rPr>
        <w:t xml:space="preserve"> وتوقيف</w:t>
      </w:r>
      <w:r w:rsidRPr="003E698F">
        <w:rPr>
          <w:rFonts w:hint="cs"/>
          <w:spacing w:val="0"/>
          <w:kern w:val="0"/>
          <w:sz w:val="20"/>
          <w:rtl/>
        </w:rPr>
        <w:t>ه</w:t>
      </w:r>
      <w:r w:rsidRPr="003E698F">
        <w:rPr>
          <w:spacing w:val="0"/>
          <w:kern w:val="0"/>
          <w:sz w:val="20"/>
          <w:rtl/>
        </w:rPr>
        <w:t xml:space="preserve"> وتعذيب</w:t>
      </w:r>
      <w:r w:rsidRPr="003E698F">
        <w:rPr>
          <w:rFonts w:hint="cs"/>
          <w:spacing w:val="0"/>
          <w:kern w:val="0"/>
          <w:sz w:val="20"/>
          <w:rtl/>
        </w:rPr>
        <w:t>ه</w:t>
      </w:r>
      <w:r w:rsidRPr="003E698F">
        <w:rPr>
          <w:spacing w:val="0"/>
          <w:kern w:val="0"/>
          <w:sz w:val="20"/>
          <w:rtl/>
        </w:rPr>
        <w:t xml:space="preserve"> ووفا</w:t>
      </w:r>
      <w:r w:rsidRPr="003E698F">
        <w:rPr>
          <w:rFonts w:hint="cs"/>
          <w:spacing w:val="0"/>
          <w:kern w:val="0"/>
          <w:sz w:val="20"/>
          <w:rtl/>
        </w:rPr>
        <w:t>ته</w:t>
      </w:r>
      <w:r w:rsidRPr="003E698F">
        <w:rPr>
          <w:spacing w:val="0"/>
          <w:kern w:val="0"/>
          <w:sz w:val="20"/>
          <w:rtl/>
        </w:rPr>
        <w:t xml:space="preserve">؛ و(د) أنه قدم معلومات كاذبة لسلطات الهجرة في الولايات المتحدة مما أدى إلى القبض عليه </w:t>
      </w:r>
      <w:r w:rsidRPr="003E698F">
        <w:rPr>
          <w:rFonts w:hint="cs"/>
          <w:spacing w:val="0"/>
          <w:kern w:val="0"/>
          <w:sz w:val="20"/>
          <w:rtl/>
        </w:rPr>
        <w:t xml:space="preserve">والحكم عليه </w:t>
      </w:r>
      <w:r w:rsidRPr="003E698F">
        <w:rPr>
          <w:spacing w:val="0"/>
          <w:kern w:val="0"/>
          <w:sz w:val="20"/>
          <w:rtl/>
        </w:rPr>
        <w:t xml:space="preserve">بالسجن </w:t>
      </w:r>
      <w:r w:rsidRPr="003E698F">
        <w:rPr>
          <w:rFonts w:hint="cs"/>
          <w:spacing w:val="0"/>
          <w:kern w:val="0"/>
          <w:sz w:val="20"/>
          <w:rtl/>
        </w:rPr>
        <w:t>ل</w:t>
      </w:r>
      <w:r w:rsidRPr="003E698F">
        <w:rPr>
          <w:spacing w:val="0"/>
          <w:kern w:val="0"/>
          <w:sz w:val="20"/>
          <w:rtl/>
        </w:rPr>
        <w:t>مدة 30 شهراً؛ و(</w:t>
      </w:r>
      <w:r w:rsidRPr="003E698F">
        <w:rPr>
          <w:rFonts w:hint="cs"/>
          <w:spacing w:val="0"/>
          <w:kern w:val="0"/>
          <w:sz w:val="20"/>
          <w:rtl/>
        </w:rPr>
        <w:t>ﻫ</w:t>
      </w:r>
      <w:r w:rsidRPr="003E698F">
        <w:rPr>
          <w:spacing w:val="0"/>
          <w:kern w:val="0"/>
          <w:sz w:val="20"/>
          <w:rtl/>
        </w:rPr>
        <w:t xml:space="preserve">) أنه أنكر في بداية الأمر، بعد إطلاق سراحه </w:t>
      </w:r>
      <w:r w:rsidRPr="003E698F">
        <w:rPr>
          <w:rFonts w:hint="cs"/>
          <w:spacing w:val="0"/>
          <w:kern w:val="0"/>
          <w:sz w:val="20"/>
          <w:rtl/>
        </w:rPr>
        <w:t xml:space="preserve">وإبعاده </w:t>
      </w:r>
      <w:r w:rsidRPr="003E698F">
        <w:rPr>
          <w:spacing w:val="0"/>
          <w:kern w:val="0"/>
          <w:sz w:val="20"/>
          <w:rtl/>
        </w:rPr>
        <w:t>إلى كندا، أنه طلب اللجوء إلى كندا من قبل؛ و(و) أنه قدم، في إطار تقييم المخاطر قبل الترحيل، معلومات متناقضة حول الوقائع التي ادعي أنه كان ضحية لها في عام</w:t>
      </w:r>
      <w:r w:rsidRPr="003E698F">
        <w:rPr>
          <w:rFonts w:hint="cs"/>
          <w:spacing w:val="0"/>
          <w:kern w:val="0"/>
          <w:sz w:val="20"/>
          <w:rtl/>
        </w:rPr>
        <w:t> </w:t>
      </w:r>
      <w:r w:rsidRPr="003E698F">
        <w:rPr>
          <w:spacing w:val="0"/>
          <w:kern w:val="0"/>
          <w:sz w:val="20"/>
          <w:rtl/>
        </w:rPr>
        <w:t>2002 في جمهورية ال</w:t>
      </w:r>
      <w:r w:rsidRPr="003E698F">
        <w:rPr>
          <w:rFonts w:hint="eastAsia"/>
          <w:spacing w:val="0"/>
          <w:kern w:val="0"/>
          <w:sz w:val="20"/>
          <w:rtl/>
        </w:rPr>
        <w:t>كونغو</w:t>
      </w:r>
      <w:r w:rsidRPr="003E698F">
        <w:rPr>
          <w:spacing w:val="0"/>
          <w:kern w:val="0"/>
          <w:sz w:val="20"/>
          <w:rtl/>
        </w:rPr>
        <w:t xml:space="preserve"> الديمقراطية. وبالتحديد، لم يقدم صاحب الشكوى تفاصيل عن السجن الذي كان محتجزاً به. ولم يوضح ما إذا كان قد أطلق سراحه أ</w:t>
      </w:r>
      <w:r w:rsidRPr="003E698F">
        <w:rPr>
          <w:rFonts w:hint="cs"/>
          <w:spacing w:val="0"/>
          <w:kern w:val="0"/>
          <w:sz w:val="20"/>
          <w:rtl/>
        </w:rPr>
        <w:t>م</w:t>
      </w:r>
      <w:r w:rsidRPr="003E698F">
        <w:rPr>
          <w:spacing w:val="0"/>
          <w:kern w:val="0"/>
          <w:sz w:val="20"/>
          <w:rtl/>
        </w:rPr>
        <w:t xml:space="preserve"> هرب من السجن. وتناق</w:t>
      </w:r>
      <w:r w:rsidRPr="003E698F">
        <w:rPr>
          <w:rFonts w:hint="cs"/>
          <w:spacing w:val="0"/>
          <w:kern w:val="0"/>
          <w:sz w:val="20"/>
          <w:rtl/>
        </w:rPr>
        <w:t>َ</w:t>
      </w:r>
      <w:r w:rsidRPr="003E698F">
        <w:rPr>
          <w:spacing w:val="0"/>
          <w:kern w:val="0"/>
          <w:sz w:val="20"/>
          <w:rtl/>
        </w:rPr>
        <w:t xml:space="preserve">ض في أقواله بشأن التاريخ الذي استعاد فيه حريته والوقت الذي قضاه في لومومباشي بعد </w:t>
      </w:r>
      <w:r w:rsidRPr="003E698F">
        <w:rPr>
          <w:rFonts w:hint="cs"/>
          <w:spacing w:val="0"/>
          <w:kern w:val="0"/>
          <w:sz w:val="20"/>
          <w:rtl/>
        </w:rPr>
        <w:t>احتجازه</w:t>
      </w:r>
      <w:r w:rsidRPr="003E698F">
        <w:rPr>
          <w:spacing w:val="0"/>
          <w:kern w:val="0"/>
          <w:sz w:val="20"/>
          <w:rtl/>
        </w:rPr>
        <w:t xml:space="preserve">. </w:t>
      </w:r>
      <w:r w:rsidRPr="003E698F">
        <w:rPr>
          <w:rFonts w:hint="cs"/>
          <w:spacing w:val="0"/>
          <w:kern w:val="0"/>
          <w:sz w:val="20"/>
          <w:rtl/>
        </w:rPr>
        <w:t xml:space="preserve">كما قدم </w:t>
      </w:r>
      <w:r w:rsidRPr="003E698F">
        <w:rPr>
          <w:spacing w:val="0"/>
          <w:kern w:val="0"/>
          <w:sz w:val="20"/>
          <w:rtl/>
        </w:rPr>
        <w:t xml:space="preserve">معلومات </w:t>
      </w:r>
      <w:r w:rsidRPr="003E698F">
        <w:rPr>
          <w:rFonts w:hint="cs"/>
          <w:spacing w:val="0"/>
          <w:kern w:val="0"/>
          <w:sz w:val="20"/>
          <w:rtl/>
        </w:rPr>
        <w:t xml:space="preserve">متناقضة </w:t>
      </w:r>
      <w:r w:rsidRPr="003E698F">
        <w:rPr>
          <w:spacing w:val="0"/>
          <w:kern w:val="0"/>
          <w:sz w:val="20"/>
          <w:rtl/>
        </w:rPr>
        <w:t>للمسؤول عن تقييم المخاطر بشأن تاريخ عودة والده إلى جمهورية الكونغو الديمقراطية في الفترة 2006-2007. وبعد الاستماع إلى أقوال</w:t>
      </w:r>
      <w:r w:rsidRPr="003E698F">
        <w:rPr>
          <w:rFonts w:hint="cs"/>
          <w:spacing w:val="0"/>
          <w:kern w:val="0"/>
          <w:sz w:val="20"/>
          <w:rtl/>
        </w:rPr>
        <w:t xml:space="preserve"> صاحب الشكوى</w:t>
      </w:r>
      <w:r w:rsidRPr="003E698F">
        <w:rPr>
          <w:spacing w:val="0"/>
          <w:kern w:val="0"/>
          <w:sz w:val="20"/>
          <w:rtl/>
        </w:rPr>
        <w:t xml:space="preserve">، طلب </w:t>
      </w:r>
      <w:r w:rsidRPr="003E698F">
        <w:rPr>
          <w:rFonts w:hint="cs"/>
          <w:spacing w:val="0"/>
          <w:kern w:val="0"/>
          <w:sz w:val="20"/>
          <w:rtl/>
        </w:rPr>
        <w:t xml:space="preserve">منه </w:t>
      </w:r>
      <w:r w:rsidRPr="003E698F">
        <w:rPr>
          <w:spacing w:val="0"/>
          <w:kern w:val="0"/>
          <w:sz w:val="20"/>
          <w:rtl/>
        </w:rPr>
        <w:t>المسؤول عن تقييم المخاطر وثائق معينة</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غير أن الوثائق المقدمة اعتُبرت</w:t>
      </w:r>
      <w:r w:rsidRPr="003E698F">
        <w:rPr>
          <w:spacing w:val="0"/>
          <w:kern w:val="0"/>
          <w:sz w:val="20"/>
          <w:rtl/>
        </w:rPr>
        <w:t xml:space="preserve"> غير مرضية. </w:t>
      </w:r>
      <w:r w:rsidRPr="003E698F">
        <w:rPr>
          <w:rFonts w:hint="cs"/>
          <w:spacing w:val="0"/>
          <w:kern w:val="0"/>
          <w:sz w:val="20"/>
          <w:rtl/>
        </w:rPr>
        <w:t>فلم تكن</w:t>
      </w:r>
      <w:r w:rsidRPr="003E698F">
        <w:rPr>
          <w:spacing w:val="0"/>
          <w:kern w:val="0"/>
          <w:sz w:val="20"/>
          <w:rtl/>
        </w:rPr>
        <w:t xml:space="preserve"> النسخة التصويرية لجواز سفر والده مقروءة </w:t>
      </w:r>
      <w:r w:rsidRPr="003E698F">
        <w:rPr>
          <w:rFonts w:hint="cs"/>
          <w:spacing w:val="0"/>
          <w:kern w:val="0"/>
          <w:sz w:val="20"/>
          <w:rtl/>
        </w:rPr>
        <w:t xml:space="preserve">على سبيل المثال، </w:t>
      </w:r>
      <w:r w:rsidRPr="003E698F">
        <w:rPr>
          <w:spacing w:val="0"/>
          <w:kern w:val="0"/>
          <w:sz w:val="20"/>
          <w:rtl/>
        </w:rPr>
        <w:t xml:space="preserve">ولم </w:t>
      </w:r>
      <w:r w:rsidRPr="003E698F">
        <w:rPr>
          <w:rFonts w:hint="cs"/>
          <w:spacing w:val="0"/>
          <w:kern w:val="0"/>
          <w:sz w:val="20"/>
          <w:rtl/>
        </w:rPr>
        <w:t xml:space="preserve">يظهر </w:t>
      </w:r>
      <w:r w:rsidRPr="003E698F">
        <w:rPr>
          <w:spacing w:val="0"/>
          <w:kern w:val="0"/>
          <w:sz w:val="20"/>
          <w:rtl/>
        </w:rPr>
        <w:t xml:space="preserve">بها تاريخ إقامته في جمهورية الكونغو الديمقراطية؛ وقدم </w:t>
      </w:r>
      <w:r w:rsidRPr="003E698F">
        <w:rPr>
          <w:rFonts w:hint="cs"/>
          <w:spacing w:val="0"/>
          <w:kern w:val="0"/>
          <w:sz w:val="20"/>
          <w:rtl/>
        </w:rPr>
        <w:t xml:space="preserve">صاحب الشكوى </w:t>
      </w:r>
      <w:r w:rsidRPr="003E698F">
        <w:rPr>
          <w:spacing w:val="0"/>
          <w:kern w:val="0"/>
          <w:sz w:val="20"/>
          <w:rtl/>
        </w:rPr>
        <w:t>نسخة من رسالة حزب الاتحاد من أجل الديمقراطية والتقدم الاجتماعي ولم</w:t>
      </w:r>
      <w:r w:rsidR="004C5EBE">
        <w:rPr>
          <w:rFonts w:hint="cs"/>
          <w:spacing w:val="0"/>
          <w:kern w:val="0"/>
          <w:sz w:val="20"/>
          <w:rtl/>
        </w:rPr>
        <w:t> </w:t>
      </w:r>
      <w:r w:rsidRPr="003E698F">
        <w:rPr>
          <w:spacing w:val="0"/>
          <w:kern w:val="0"/>
          <w:sz w:val="20"/>
          <w:rtl/>
        </w:rPr>
        <w:t>يقدم الأصل</w:t>
      </w:r>
      <w:r w:rsidRPr="003E698F">
        <w:rPr>
          <w:rFonts w:hint="cs"/>
          <w:spacing w:val="0"/>
          <w:kern w:val="0"/>
          <w:sz w:val="20"/>
          <w:rtl/>
        </w:rPr>
        <w:t xml:space="preserve"> الذي طلبه المسؤول عن تقييم المخاطر</w:t>
      </w:r>
      <w:r w:rsidRPr="003E698F">
        <w:rPr>
          <w:spacing w:val="0"/>
          <w:kern w:val="0"/>
          <w:sz w:val="20"/>
          <w:rtl/>
        </w:rPr>
        <w:t>.</w:t>
      </w:r>
    </w:p>
    <w:p w:rsidR="00921F02" w:rsidRPr="003E698F" w:rsidRDefault="00921F02" w:rsidP="004C5EBE">
      <w:pPr>
        <w:pStyle w:val="SingleTxtGA"/>
        <w:jc w:val="lowKashida"/>
        <w:rPr>
          <w:spacing w:val="0"/>
          <w:kern w:val="0"/>
          <w:sz w:val="20"/>
          <w:rtl/>
        </w:rPr>
      </w:pPr>
      <w:r w:rsidRPr="003E698F">
        <w:rPr>
          <w:spacing w:val="0"/>
          <w:kern w:val="0"/>
          <w:sz w:val="20"/>
          <w:rtl/>
        </w:rPr>
        <w:t>4-9</w:t>
      </w:r>
      <w:r w:rsidRPr="003E698F">
        <w:rPr>
          <w:spacing w:val="0"/>
          <w:kern w:val="0"/>
          <w:sz w:val="20"/>
          <w:rtl/>
        </w:rPr>
        <w:tab/>
        <w:t>وفيما يتعلق بالتقرير الطبي الذي قدمه</w:t>
      </w:r>
      <w:r w:rsidRPr="003E698F">
        <w:rPr>
          <w:rFonts w:hint="cs"/>
          <w:spacing w:val="0"/>
          <w:kern w:val="0"/>
          <w:sz w:val="20"/>
          <w:rtl/>
        </w:rPr>
        <w:t>ا</w:t>
      </w:r>
      <w:r w:rsidRPr="003E698F">
        <w:rPr>
          <w:spacing w:val="0"/>
          <w:kern w:val="0"/>
          <w:sz w:val="20"/>
          <w:rtl/>
        </w:rPr>
        <w:t xml:space="preserve"> صاحب الشكوى كدليل على التعذيب الذي تعرض له في جمهورية الكونغو الديمقراطية، رأى المسؤول عن تقييم المخاطر قبل الترحيل أنه ليس قطعياً. فقد </w:t>
      </w:r>
      <w:r w:rsidRPr="003E698F">
        <w:rPr>
          <w:rFonts w:hint="cs"/>
          <w:spacing w:val="0"/>
          <w:kern w:val="0"/>
          <w:sz w:val="20"/>
          <w:rtl/>
        </w:rPr>
        <w:t>لاحظ أن ال</w:t>
      </w:r>
      <w:r w:rsidRPr="003E698F">
        <w:rPr>
          <w:spacing w:val="0"/>
          <w:kern w:val="0"/>
          <w:sz w:val="20"/>
          <w:rtl/>
        </w:rPr>
        <w:t xml:space="preserve">أدلة على التعذيب </w:t>
      </w:r>
      <w:r w:rsidRPr="003E698F">
        <w:rPr>
          <w:rFonts w:hint="cs"/>
          <w:spacing w:val="0"/>
          <w:kern w:val="0"/>
          <w:sz w:val="20"/>
          <w:rtl/>
        </w:rPr>
        <w:t>أ</w:t>
      </w:r>
      <w:r w:rsidRPr="003E698F">
        <w:rPr>
          <w:spacing w:val="0"/>
          <w:kern w:val="0"/>
          <w:sz w:val="20"/>
          <w:rtl/>
        </w:rPr>
        <w:t>و</w:t>
      </w:r>
      <w:r w:rsidRPr="003E698F">
        <w:rPr>
          <w:rFonts w:hint="cs"/>
          <w:spacing w:val="0"/>
          <w:kern w:val="0"/>
          <w:sz w:val="20"/>
          <w:rtl/>
        </w:rPr>
        <w:t xml:space="preserve"> </w:t>
      </w:r>
      <w:r w:rsidRPr="003E698F">
        <w:rPr>
          <w:spacing w:val="0"/>
          <w:kern w:val="0"/>
          <w:sz w:val="20"/>
          <w:rtl/>
        </w:rPr>
        <w:t>الانتهاك قليلة</w:t>
      </w:r>
      <w:r w:rsidRPr="003E698F">
        <w:rPr>
          <w:rFonts w:hint="cs"/>
          <w:spacing w:val="0"/>
          <w:kern w:val="0"/>
          <w:sz w:val="20"/>
          <w:rtl/>
        </w:rPr>
        <w:t>.</w:t>
      </w:r>
      <w:r w:rsidRPr="003E698F">
        <w:rPr>
          <w:spacing w:val="0"/>
          <w:kern w:val="0"/>
          <w:sz w:val="20"/>
          <w:rtl/>
        </w:rPr>
        <w:t xml:space="preserve"> و</w:t>
      </w:r>
      <w:r w:rsidRPr="003E698F">
        <w:rPr>
          <w:rFonts w:hint="cs"/>
          <w:spacing w:val="0"/>
          <w:kern w:val="0"/>
          <w:sz w:val="20"/>
          <w:rtl/>
        </w:rPr>
        <w:t xml:space="preserve">لاحظ أن الطبيبة تشير </w:t>
      </w:r>
      <w:r w:rsidRPr="003E698F">
        <w:rPr>
          <w:spacing w:val="0"/>
          <w:kern w:val="0"/>
          <w:sz w:val="20"/>
          <w:rtl/>
        </w:rPr>
        <w:t xml:space="preserve">إلى </w:t>
      </w:r>
      <w:r w:rsidRPr="003E698F">
        <w:rPr>
          <w:rFonts w:hint="cs"/>
          <w:spacing w:val="0"/>
          <w:kern w:val="0"/>
          <w:sz w:val="20"/>
          <w:rtl/>
        </w:rPr>
        <w:t xml:space="preserve">أن </w:t>
      </w:r>
      <w:r w:rsidRPr="003E698F">
        <w:rPr>
          <w:spacing w:val="0"/>
          <w:kern w:val="0"/>
          <w:sz w:val="20"/>
          <w:rtl/>
        </w:rPr>
        <w:t xml:space="preserve">صاحب الشكوى </w:t>
      </w:r>
      <w:r w:rsidRPr="003E698F">
        <w:rPr>
          <w:rFonts w:hint="cs"/>
          <w:spacing w:val="0"/>
          <w:kern w:val="0"/>
          <w:sz w:val="20"/>
          <w:rtl/>
        </w:rPr>
        <w:t>ت</w:t>
      </w:r>
      <w:r w:rsidRPr="003E698F">
        <w:rPr>
          <w:spacing w:val="0"/>
          <w:kern w:val="0"/>
          <w:sz w:val="20"/>
          <w:rtl/>
        </w:rPr>
        <w:t xml:space="preserve">بدو </w:t>
      </w:r>
      <w:r w:rsidRPr="003E698F">
        <w:rPr>
          <w:rFonts w:hint="cs"/>
          <w:spacing w:val="0"/>
          <w:kern w:val="0"/>
          <w:sz w:val="20"/>
          <w:rtl/>
        </w:rPr>
        <w:t>عليه أعراض ال</w:t>
      </w:r>
      <w:r w:rsidRPr="003E698F">
        <w:rPr>
          <w:spacing w:val="0"/>
          <w:kern w:val="0"/>
          <w:sz w:val="20"/>
          <w:rtl/>
        </w:rPr>
        <w:t xml:space="preserve">اضطراب ما بعد الصدمة ولكنها لم تستخلص </w:t>
      </w:r>
      <w:r w:rsidRPr="003E698F">
        <w:rPr>
          <w:rFonts w:hint="cs"/>
          <w:spacing w:val="0"/>
          <w:kern w:val="0"/>
          <w:sz w:val="20"/>
          <w:rtl/>
        </w:rPr>
        <w:t xml:space="preserve">من ذلك </w:t>
      </w:r>
      <w:r w:rsidRPr="003E698F">
        <w:rPr>
          <w:spacing w:val="0"/>
          <w:kern w:val="0"/>
          <w:sz w:val="20"/>
          <w:rtl/>
        </w:rPr>
        <w:t>نتيجة نهائية. والاكتئاب والأفكار الانتحارية هي أقوال صاحب الشكوى</w:t>
      </w:r>
      <w:r w:rsidRPr="003E698F">
        <w:rPr>
          <w:rFonts w:hint="cs"/>
          <w:spacing w:val="0"/>
          <w:kern w:val="0"/>
          <w:sz w:val="20"/>
          <w:rtl/>
        </w:rPr>
        <w:t xml:space="preserve"> نفسه</w:t>
      </w:r>
      <w:r w:rsidRPr="003E698F">
        <w:rPr>
          <w:spacing w:val="0"/>
          <w:kern w:val="0"/>
          <w:sz w:val="20"/>
          <w:rtl/>
        </w:rPr>
        <w:t>. ولا</w:t>
      </w:r>
      <w:r w:rsidR="004C5EBE">
        <w:rPr>
          <w:rFonts w:hint="cs"/>
          <w:spacing w:val="0"/>
          <w:kern w:val="0"/>
          <w:sz w:val="20"/>
          <w:rtl/>
        </w:rPr>
        <w:t> </w:t>
      </w:r>
      <w:r w:rsidRPr="003E698F">
        <w:rPr>
          <w:spacing w:val="0"/>
          <w:kern w:val="0"/>
          <w:sz w:val="20"/>
          <w:rtl/>
        </w:rPr>
        <w:t>تبين الطبيبة الاختبارات التي سمحت بتشخيص إصابته باضطراب ما بعد الصدمة. و</w:t>
      </w:r>
      <w:r w:rsidRPr="003E698F">
        <w:rPr>
          <w:rFonts w:hint="cs"/>
          <w:spacing w:val="0"/>
          <w:kern w:val="0"/>
          <w:sz w:val="20"/>
          <w:rtl/>
        </w:rPr>
        <w:t xml:space="preserve">على الرغم من الإشارة إلى أن إصابات صاحب الشكوى متسقة مع ادعاءاته، </w:t>
      </w:r>
      <w:r w:rsidRPr="003E698F">
        <w:rPr>
          <w:spacing w:val="0"/>
          <w:kern w:val="0"/>
          <w:sz w:val="20"/>
          <w:rtl/>
        </w:rPr>
        <w:t xml:space="preserve">لا يوجد دليل على </w:t>
      </w:r>
      <w:r w:rsidRPr="003E698F">
        <w:rPr>
          <w:rFonts w:hint="cs"/>
          <w:spacing w:val="0"/>
          <w:kern w:val="0"/>
          <w:sz w:val="20"/>
          <w:rtl/>
        </w:rPr>
        <w:t xml:space="preserve">أن صاحب البلاغ مني بهذه </w:t>
      </w:r>
      <w:r w:rsidRPr="003E698F">
        <w:rPr>
          <w:spacing w:val="0"/>
          <w:kern w:val="0"/>
          <w:sz w:val="20"/>
          <w:rtl/>
        </w:rPr>
        <w:t xml:space="preserve">الإصابات </w:t>
      </w:r>
      <w:r w:rsidRPr="003E698F">
        <w:rPr>
          <w:rFonts w:hint="cs"/>
          <w:spacing w:val="0"/>
          <w:kern w:val="0"/>
          <w:sz w:val="20"/>
          <w:rtl/>
        </w:rPr>
        <w:t xml:space="preserve">في </w:t>
      </w:r>
      <w:r w:rsidRPr="003E698F">
        <w:rPr>
          <w:spacing w:val="0"/>
          <w:kern w:val="0"/>
          <w:sz w:val="20"/>
          <w:rtl/>
        </w:rPr>
        <w:t>أثناء احتجازه في جمهورية الكونغو الديمقراطية. ولا</w:t>
      </w:r>
      <w:r w:rsidR="004C5EBE">
        <w:rPr>
          <w:rFonts w:hint="cs"/>
          <w:spacing w:val="0"/>
          <w:kern w:val="0"/>
          <w:sz w:val="20"/>
          <w:rtl/>
        </w:rPr>
        <w:t> </w:t>
      </w:r>
      <w:r w:rsidRPr="003E698F">
        <w:rPr>
          <w:spacing w:val="0"/>
          <w:kern w:val="0"/>
          <w:sz w:val="20"/>
          <w:rtl/>
        </w:rPr>
        <w:t>تبين الطبيبة العلاقة بين الذبحة الصدرية والضغط اللذين يعاني منهما صاحب الشكوى والادعاءات المتعلقة بالتعذيب. وفي ضوء ما سلف، لم يثبت صاحب الشكوى أن الاستنتاج الذي توصل إليه المسؤول عن تقييم المخاطر قب</w:t>
      </w:r>
      <w:r w:rsidRPr="003E698F">
        <w:rPr>
          <w:rFonts w:hint="eastAsia"/>
          <w:spacing w:val="0"/>
          <w:kern w:val="0"/>
          <w:sz w:val="20"/>
          <w:rtl/>
        </w:rPr>
        <w:t>ل</w:t>
      </w:r>
      <w:r w:rsidRPr="003E698F">
        <w:rPr>
          <w:spacing w:val="0"/>
          <w:kern w:val="0"/>
          <w:sz w:val="20"/>
          <w:rtl/>
        </w:rPr>
        <w:t xml:space="preserve"> الترحيل بشأن الوزن الذي ينبغي إعطاؤه للشهادة الطبية </w:t>
      </w:r>
      <w:r w:rsidRPr="003E698F">
        <w:rPr>
          <w:rFonts w:hint="cs"/>
          <w:spacing w:val="0"/>
          <w:kern w:val="0"/>
          <w:sz w:val="20"/>
          <w:rtl/>
        </w:rPr>
        <w:t>لم يكن معقولا</w:t>
      </w:r>
      <w:r w:rsidR="004C5EBE">
        <w:rPr>
          <w:rFonts w:hint="cs"/>
          <w:spacing w:val="0"/>
          <w:kern w:val="0"/>
          <w:sz w:val="20"/>
          <w:rtl/>
        </w:rPr>
        <w:t>ً</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4-10</w:t>
      </w:r>
      <w:r w:rsidRPr="003E698F">
        <w:rPr>
          <w:spacing w:val="0"/>
          <w:kern w:val="0"/>
          <w:sz w:val="20"/>
          <w:rtl/>
        </w:rPr>
        <w:tab/>
        <w:t>ونظراً لعدم مصداقية صاحب الشكوى، خلص المسؤول عن تقييم المخاطر قبل الترحيل إلى عدم وجود دليل على احتجازه في جمهورية الكونغو الديمقراطية في عام 2002 و</w:t>
      </w:r>
      <w:r w:rsidRPr="003E698F">
        <w:rPr>
          <w:rFonts w:hint="cs"/>
          <w:spacing w:val="0"/>
          <w:kern w:val="0"/>
          <w:sz w:val="20"/>
          <w:rtl/>
        </w:rPr>
        <w:t xml:space="preserve">احتمال </w:t>
      </w:r>
      <w:r w:rsidRPr="003E698F">
        <w:rPr>
          <w:spacing w:val="0"/>
          <w:kern w:val="0"/>
          <w:sz w:val="20"/>
          <w:rtl/>
        </w:rPr>
        <w:t xml:space="preserve">تعرضه للتعذيب في حالة </w:t>
      </w:r>
      <w:r w:rsidRPr="003E698F">
        <w:rPr>
          <w:rFonts w:hint="cs"/>
          <w:spacing w:val="0"/>
          <w:kern w:val="0"/>
          <w:sz w:val="20"/>
          <w:rtl/>
        </w:rPr>
        <w:t xml:space="preserve">عودته </w:t>
      </w:r>
      <w:r w:rsidRPr="003E698F">
        <w:rPr>
          <w:spacing w:val="0"/>
          <w:kern w:val="0"/>
          <w:sz w:val="20"/>
          <w:rtl/>
        </w:rPr>
        <w:t>إلى هذا البلد. ولاحظ أن أعضاء حزب الاتحاد من أجل الديمقراطية والتقدم الاجت</w:t>
      </w:r>
      <w:r w:rsidRPr="003E698F">
        <w:rPr>
          <w:rFonts w:hint="eastAsia"/>
          <w:spacing w:val="0"/>
          <w:kern w:val="0"/>
          <w:sz w:val="20"/>
          <w:rtl/>
        </w:rPr>
        <w:t>ماعي</w:t>
      </w:r>
      <w:r w:rsidRPr="003E698F">
        <w:rPr>
          <w:spacing w:val="0"/>
          <w:kern w:val="0"/>
          <w:sz w:val="20"/>
          <w:rtl/>
        </w:rPr>
        <w:t xml:space="preserve"> يتعرضون أحياناً للتوقيف </w:t>
      </w:r>
      <w:r w:rsidRPr="003E698F">
        <w:rPr>
          <w:rFonts w:hint="cs"/>
          <w:spacing w:val="0"/>
          <w:kern w:val="0"/>
          <w:sz w:val="20"/>
          <w:rtl/>
        </w:rPr>
        <w:t xml:space="preserve">وسوء </w:t>
      </w:r>
      <w:r w:rsidRPr="003E698F">
        <w:rPr>
          <w:spacing w:val="0"/>
          <w:kern w:val="0"/>
          <w:sz w:val="20"/>
          <w:rtl/>
        </w:rPr>
        <w:t>المعاملة. بيد أنه وفقاً لتقرير وزارة الداخلية بالمملكة المتحدة، كانت حالتهم في عام 2007 أفضل من حالتهم في عام 2005.</w:t>
      </w:r>
    </w:p>
    <w:p w:rsidR="00921F02" w:rsidRPr="003E698F" w:rsidRDefault="00921F02" w:rsidP="009E31FC">
      <w:pPr>
        <w:pStyle w:val="SingleTxtGA"/>
        <w:jc w:val="lowKashida"/>
        <w:rPr>
          <w:spacing w:val="0"/>
          <w:kern w:val="0"/>
          <w:sz w:val="20"/>
          <w:rtl/>
        </w:rPr>
      </w:pPr>
      <w:r w:rsidRPr="003E698F">
        <w:rPr>
          <w:spacing w:val="0"/>
          <w:kern w:val="0"/>
          <w:sz w:val="20"/>
          <w:rtl/>
        </w:rPr>
        <w:t>4-11</w:t>
      </w:r>
      <w:r w:rsidRPr="003E698F">
        <w:rPr>
          <w:spacing w:val="0"/>
          <w:kern w:val="0"/>
          <w:sz w:val="20"/>
          <w:rtl/>
        </w:rPr>
        <w:tab/>
        <w:t>ولاحظ المسؤول عن تقييم المخاطر قبل الترحيل أيضاً أن القاضي الأمريكي أعرب عن شكوك حول مصداقية صاحب الشكوى. بيد أنه أجرى تقييماً خاصاً وخلص إلى أن صاحب الشكوى لم يقم الدليل على أنه هو أو والده عضوان نشطان في حزب الاتحاد من أجل الديمقراطية والتقدم الاجتماعي</w:t>
      </w:r>
      <w:r w:rsidRPr="003E698F">
        <w:rPr>
          <w:rFonts w:hint="eastAsia"/>
          <w:spacing w:val="0"/>
          <w:kern w:val="0"/>
          <w:sz w:val="20"/>
          <w:rtl/>
        </w:rPr>
        <w:t>،</w:t>
      </w:r>
      <w:r w:rsidRPr="003E698F">
        <w:rPr>
          <w:spacing w:val="0"/>
          <w:kern w:val="0"/>
          <w:sz w:val="20"/>
          <w:rtl/>
        </w:rPr>
        <w:t xml:space="preserve"> أو أنه ستساء معاملته بسبب أصله الإثني، </w:t>
      </w:r>
      <w:r w:rsidRPr="003E698F">
        <w:rPr>
          <w:rFonts w:hint="cs"/>
          <w:spacing w:val="0"/>
          <w:kern w:val="0"/>
          <w:sz w:val="20"/>
          <w:rtl/>
        </w:rPr>
        <w:t>و</w:t>
      </w:r>
      <w:r w:rsidRPr="003E698F">
        <w:rPr>
          <w:spacing w:val="0"/>
          <w:kern w:val="0"/>
          <w:sz w:val="20"/>
          <w:rtl/>
        </w:rPr>
        <w:t>بخاصة إذا كان سيقيم في كينشاسا. ولا ينكر المسؤول عن تقييم المخاطر قبل الترحيل الصعوبات التي قد يواجهها صاحب الشكوى لأنه عاش معظم حياته في الولايات المتحدة</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غير أن هذه الصعوبات لن تصل إلى حد </w:t>
      </w:r>
      <w:r w:rsidRPr="003E698F">
        <w:rPr>
          <w:spacing w:val="0"/>
          <w:kern w:val="0"/>
          <w:sz w:val="20"/>
          <w:rtl/>
        </w:rPr>
        <w:t xml:space="preserve">الاضطهاد بمعناه الوارد في الاتفاقية، أو </w:t>
      </w:r>
      <w:r w:rsidRPr="003E698F">
        <w:rPr>
          <w:rFonts w:hint="cs"/>
          <w:spacing w:val="0"/>
          <w:kern w:val="0"/>
          <w:sz w:val="20"/>
          <w:rtl/>
        </w:rPr>
        <w:t>تعريض حياته ل</w:t>
      </w:r>
      <w:r w:rsidRPr="003E698F">
        <w:rPr>
          <w:spacing w:val="0"/>
          <w:kern w:val="0"/>
          <w:sz w:val="20"/>
          <w:rtl/>
        </w:rPr>
        <w:t>لخطر، أو</w:t>
      </w:r>
      <w:r w:rsidR="009E31FC">
        <w:rPr>
          <w:rFonts w:hint="cs"/>
          <w:spacing w:val="0"/>
          <w:kern w:val="0"/>
          <w:sz w:val="20"/>
          <w:rtl/>
        </w:rPr>
        <w:t> </w:t>
      </w:r>
      <w:r w:rsidRPr="003E698F">
        <w:rPr>
          <w:rFonts w:hint="cs"/>
          <w:spacing w:val="0"/>
          <w:kern w:val="0"/>
          <w:sz w:val="20"/>
          <w:rtl/>
        </w:rPr>
        <w:t>تعريضه ل</w:t>
      </w:r>
      <w:r w:rsidRPr="003E698F">
        <w:rPr>
          <w:spacing w:val="0"/>
          <w:kern w:val="0"/>
          <w:sz w:val="20"/>
          <w:rtl/>
        </w:rPr>
        <w:t xml:space="preserve">خطر </w:t>
      </w:r>
      <w:r w:rsidRPr="003E698F">
        <w:rPr>
          <w:rFonts w:hint="cs"/>
          <w:spacing w:val="0"/>
          <w:kern w:val="0"/>
          <w:sz w:val="20"/>
          <w:rtl/>
        </w:rPr>
        <w:t>ا</w:t>
      </w:r>
      <w:r w:rsidRPr="003E698F">
        <w:rPr>
          <w:spacing w:val="0"/>
          <w:kern w:val="0"/>
          <w:sz w:val="20"/>
          <w:rtl/>
        </w:rPr>
        <w:t xml:space="preserve">لتعذيب أو المعاملة أو العقوبة القاسية </w:t>
      </w:r>
      <w:r w:rsidRPr="003E698F">
        <w:rPr>
          <w:rFonts w:hint="cs"/>
          <w:spacing w:val="0"/>
          <w:kern w:val="0"/>
          <w:sz w:val="20"/>
          <w:rtl/>
        </w:rPr>
        <w:t>و</w:t>
      </w:r>
      <w:r w:rsidRPr="003E698F">
        <w:rPr>
          <w:spacing w:val="0"/>
          <w:kern w:val="0"/>
          <w:sz w:val="20"/>
          <w:rtl/>
        </w:rPr>
        <w:t>غير العادية.</w:t>
      </w:r>
    </w:p>
    <w:p w:rsidR="00921F02" w:rsidRPr="003E698F" w:rsidRDefault="00921F02" w:rsidP="00921F02">
      <w:pPr>
        <w:pStyle w:val="SingleTxtGA"/>
        <w:jc w:val="lowKashida"/>
        <w:rPr>
          <w:spacing w:val="0"/>
          <w:kern w:val="0"/>
          <w:sz w:val="20"/>
          <w:rtl/>
        </w:rPr>
      </w:pPr>
      <w:r w:rsidRPr="003E698F">
        <w:rPr>
          <w:spacing w:val="0"/>
          <w:kern w:val="0"/>
          <w:sz w:val="20"/>
          <w:rtl/>
        </w:rPr>
        <w:t>4-12</w:t>
      </w:r>
      <w:r w:rsidRPr="003E698F">
        <w:rPr>
          <w:spacing w:val="0"/>
          <w:kern w:val="0"/>
          <w:sz w:val="20"/>
          <w:rtl/>
        </w:rPr>
        <w:tab/>
      </w:r>
      <w:r w:rsidRPr="003E698F">
        <w:rPr>
          <w:rFonts w:hint="cs"/>
          <w:spacing w:val="0"/>
          <w:kern w:val="0"/>
          <w:sz w:val="20"/>
          <w:rtl/>
        </w:rPr>
        <w:t xml:space="preserve">وتتفق </w:t>
      </w:r>
      <w:r w:rsidRPr="003E698F">
        <w:rPr>
          <w:spacing w:val="0"/>
          <w:kern w:val="0"/>
          <w:sz w:val="20"/>
          <w:rtl/>
        </w:rPr>
        <w:t xml:space="preserve">الدولة الطرف </w:t>
      </w:r>
      <w:r w:rsidRPr="003E698F">
        <w:rPr>
          <w:rFonts w:hint="cs"/>
          <w:spacing w:val="0"/>
          <w:kern w:val="0"/>
          <w:sz w:val="20"/>
          <w:rtl/>
        </w:rPr>
        <w:t xml:space="preserve">مع الرأي القائل إن </w:t>
      </w:r>
      <w:r w:rsidRPr="003E698F">
        <w:rPr>
          <w:spacing w:val="0"/>
          <w:kern w:val="0"/>
          <w:sz w:val="20"/>
          <w:rtl/>
        </w:rPr>
        <w:t xml:space="preserve">الحالة في جمهورية الكونغو الديمقراطية </w:t>
      </w:r>
      <w:r w:rsidRPr="003E698F">
        <w:rPr>
          <w:rFonts w:hint="cs"/>
          <w:spacing w:val="0"/>
          <w:kern w:val="0"/>
          <w:sz w:val="20"/>
          <w:rtl/>
        </w:rPr>
        <w:t xml:space="preserve">صعبة </w:t>
      </w:r>
      <w:r w:rsidRPr="003E698F">
        <w:rPr>
          <w:spacing w:val="0"/>
          <w:kern w:val="0"/>
          <w:sz w:val="20"/>
          <w:rtl/>
        </w:rPr>
        <w:t xml:space="preserve">منذ عدة سنوات. ومع ذلك، لا يكفي هذا لإثبات أن صاحب الشكوى سيتعرض لخطر حقيقي وشخصي ومتوقع للتعذيب </w:t>
      </w:r>
      <w:r w:rsidRPr="003E698F">
        <w:rPr>
          <w:rFonts w:hint="cs"/>
          <w:spacing w:val="0"/>
          <w:kern w:val="0"/>
          <w:sz w:val="20"/>
          <w:rtl/>
        </w:rPr>
        <w:t>حال عودته</w:t>
      </w:r>
      <w:r w:rsidRPr="003E698F">
        <w:rPr>
          <w:spacing w:val="0"/>
          <w:kern w:val="0"/>
          <w:sz w:val="20"/>
          <w:rtl/>
        </w:rPr>
        <w:t>. وتدفع الدولة الطرف</w:t>
      </w:r>
      <w:r w:rsidRPr="003E698F">
        <w:rPr>
          <w:rFonts w:hint="cs"/>
          <w:spacing w:val="0"/>
          <w:kern w:val="0"/>
          <w:sz w:val="20"/>
          <w:rtl/>
        </w:rPr>
        <w:t xml:space="preserve"> بأنه حتى لو كانت تلك هي الحال</w:t>
      </w:r>
      <w:r w:rsidRPr="003E698F">
        <w:rPr>
          <w:spacing w:val="0"/>
          <w:kern w:val="0"/>
          <w:sz w:val="20"/>
          <w:rtl/>
        </w:rPr>
        <w:t xml:space="preserve">، </w:t>
      </w:r>
      <w:r w:rsidRPr="003E698F">
        <w:rPr>
          <w:rFonts w:hint="cs"/>
          <w:spacing w:val="0"/>
          <w:kern w:val="0"/>
          <w:sz w:val="20"/>
          <w:rtl/>
        </w:rPr>
        <w:t>ف</w:t>
      </w:r>
      <w:r w:rsidRPr="003E698F">
        <w:rPr>
          <w:spacing w:val="0"/>
          <w:kern w:val="0"/>
          <w:sz w:val="20"/>
          <w:rtl/>
        </w:rPr>
        <w:t xml:space="preserve">صاحب الشكوى لم يثبت </w:t>
      </w:r>
      <w:r w:rsidRPr="003E698F">
        <w:rPr>
          <w:rFonts w:hint="cs"/>
          <w:spacing w:val="0"/>
          <w:kern w:val="0"/>
          <w:sz w:val="20"/>
          <w:rtl/>
        </w:rPr>
        <w:t>أن هذا ال</w:t>
      </w:r>
      <w:r w:rsidRPr="003E698F">
        <w:rPr>
          <w:spacing w:val="0"/>
          <w:kern w:val="0"/>
          <w:sz w:val="20"/>
          <w:rtl/>
        </w:rPr>
        <w:t>خط</w:t>
      </w:r>
      <w:r w:rsidRPr="003E698F">
        <w:rPr>
          <w:rFonts w:hint="eastAsia"/>
          <w:spacing w:val="0"/>
          <w:kern w:val="0"/>
          <w:sz w:val="20"/>
          <w:rtl/>
        </w:rPr>
        <w:t>ر</w:t>
      </w:r>
      <w:r w:rsidRPr="003E698F">
        <w:rPr>
          <w:spacing w:val="0"/>
          <w:kern w:val="0"/>
          <w:sz w:val="20"/>
          <w:rtl/>
        </w:rPr>
        <w:t xml:space="preserve"> </w:t>
      </w:r>
      <w:r w:rsidRPr="003E698F">
        <w:rPr>
          <w:rFonts w:hint="cs"/>
          <w:spacing w:val="0"/>
          <w:kern w:val="0"/>
          <w:sz w:val="20"/>
          <w:rtl/>
        </w:rPr>
        <w:t xml:space="preserve">موجود </w:t>
      </w:r>
      <w:r w:rsidRPr="003E698F">
        <w:rPr>
          <w:spacing w:val="0"/>
          <w:kern w:val="0"/>
          <w:sz w:val="20"/>
          <w:rtl/>
        </w:rPr>
        <w:t xml:space="preserve">في جميع أنحاء البلد. وقد </w:t>
      </w:r>
      <w:r w:rsidRPr="003E698F">
        <w:rPr>
          <w:rFonts w:hint="cs"/>
          <w:spacing w:val="0"/>
          <w:kern w:val="0"/>
          <w:sz w:val="20"/>
          <w:rtl/>
        </w:rPr>
        <w:t>أقر</w:t>
      </w:r>
      <w:r w:rsidRPr="003E698F">
        <w:rPr>
          <w:spacing w:val="0"/>
          <w:kern w:val="0"/>
          <w:sz w:val="20"/>
          <w:rtl/>
        </w:rPr>
        <w:t xml:space="preserve"> المسؤول عن تقييم المخاطر قبل الترحيل </w:t>
      </w:r>
      <w:r w:rsidRPr="003E698F">
        <w:rPr>
          <w:rFonts w:hint="cs"/>
          <w:spacing w:val="0"/>
          <w:kern w:val="0"/>
          <w:sz w:val="20"/>
          <w:rtl/>
        </w:rPr>
        <w:t>ب</w:t>
      </w:r>
      <w:r w:rsidRPr="003E698F">
        <w:rPr>
          <w:spacing w:val="0"/>
          <w:kern w:val="0"/>
          <w:sz w:val="20"/>
          <w:rtl/>
        </w:rPr>
        <w:t xml:space="preserve">أن الحالة قد تكون صعبة بالنسبة لجماعة اللوبا في منطقة كاتانغا ولكن صاحب الشكوى لم يثبت وجود </w:t>
      </w:r>
      <w:r w:rsidRPr="003E698F">
        <w:rPr>
          <w:rFonts w:hint="cs"/>
          <w:spacing w:val="0"/>
          <w:kern w:val="0"/>
          <w:sz w:val="20"/>
          <w:rtl/>
        </w:rPr>
        <w:t>مثل هذا ال</w:t>
      </w:r>
      <w:r w:rsidRPr="003E698F">
        <w:rPr>
          <w:spacing w:val="0"/>
          <w:kern w:val="0"/>
          <w:sz w:val="20"/>
          <w:rtl/>
        </w:rPr>
        <w:t>خطر في كينشاسا.</w:t>
      </w:r>
    </w:p>
    <w:p w:rsidR="00921F02" w:rsidRPr="003E698F" w:rsidRDefault="00921F02" w:rsidP="00921F02">
      <w:pPr>
        <w:pStyle w:val="H23GA"/>
        <w:jc w:val="lowKashida"/>
        <w:rPr>
          <w:spacing w:val="0"/>
          <w:kern w:val="0"/>
          <w:sz w:val="20"/>
          <w:rtl/>
        </w:rPr>
      </w:pPr>
      <w:r w:rsidRPr="003E698F">
        <w:rPr>
          <w:spacing w:val="0"/>
          <w:kern w:val="0"/>
          <w:sz w:val="20"/>
          <w:rtl/>
        </w:rPr>
        <w:tab/>
      </w:r>
      <w:r w:rsidRPr="003E698F">
        <w:rPr>
          <w:spacing w:val="0"/>
          <w:kern w:val="0"/>
          <w:sz w:val="20"/>
          <w:rtl/>
        </w:rPr>
        <w:tab/>
        <w:t>تعليقات صاحب الشكوى على ملاحظات الدولة الطرف بشأن مقبولية الشكوى</w:t>
      </w:r>
    </w:p>
    <w:p w:rsidR="00921F02" w:rsidRPr="003E698F" w:rsidRDefault="00921F02" w:rsidP="00921F02">
      <w:pPr>
        <w:pStyle w:val="SingleTxtGA"/>
        <w:jc w:val="lowKashida"/>
        <w:rPr>
          <w:spacing w:val="0"/>
          <w:kern w:val="0"/>
          <w:sz w:val="20"/>
          <w:rtl/>
        </w:rPr>
      </w:pPr>
      <w:r w:rsidRPr="003E698F">
        <w:rPr>
          <w:spacing w:val="0"/>
          <w:kern w:val="0"/>
          <w:sz w:val="20"/>
          <w:rtl/>
        </w:rPr>
        <w:t>5-1</w:t>
      </w:r>
      <w:r w:rsidRPr="003E698F">
        <w:rPr>
          <w:spacing w:val="0"/>
          <w:kern w:val="0"/>
          <w:sz w:val="20"/>
          <w:rtl/>
        </w:rPr>
        <w:tab/>
        <w:t xml:space="preserve">في 13 تشرين الثاني/نوفمبر 2008، قدم صاحب الشكوى تعليقاته على ملاحظات الدولة الطرف بشأن المقبولية. وأشار مجدداً إلى أسباب محاولته الدخول بطريقة غير مشروعة إلى الولايات المتحدة في 1 أيار/مايو 2003 واحتجازه في هذا البلد، مما أدى إلى عدم حضوره جلسة الاستماع في كندا. وقال، بالنظر إلى طلب الحماية الذي قدمه في الولايات المتحدة بموجب اتفاقية مناهضة التعذيب، والظروف النفسية التي حملته على مغادرة كندا والتماس الدعم من أسرته في الولايات المتحدة، إنه لا يمكن </w:t>
      </w:r>
      <w:r w:rsidRPr="003E698F">
        <w:rPr>
          <w:rFonts w:hint="cs"/>
          <w:spacing w:val="0"/>
          <w:kern w:val="0"/>
          <w:sz w:val="20"/>
          <w:rtl/>
        </w:rPr>
        <w:t>اعتباره مسؤولا</w:t>
      </w:r>
      <w:r w:rsidR="002C2A9D">
        <w:rPr>
          <w:rFonts w:hint="cs"/>
          <w:spacing w:val="0"/>
          <w:kern w:val="0"/>
          <w:sz w:val="20"/>
          <w:rtl/>
        </w:rPr>
        <w:t>ً</w:t>
      </w:r>
      <w:r w:rsidRPr="003E698F">
        <w:rPr>
          <w:rFonts w:hint="cs"/>
          <w:spacing w:val="0"/>
          <w:kern w:val="0"/>
          <w:sz w:val="20"/>
          <w:rtl/>
        </w:rPr>
        <w:t xml:space="preserve"> عن</w:t>
      </w:r>
      <w:r w:rsidRPr="003E698F">
        <w:rPr>
          <w:spacing w:val="0"/>
          <w:kern w:val="0"/>
          <w:sz w:val="20"/>
          <w:rtl/>
        </w:rPr>
        <w:t xml:space="preserve"> عدم مواصلة الإجراءات المتعلقة بطلب اللجوء إلى </w:t>
      </w:r>
      <w:r w:rsidRPr="003E698F">
        <w:rPr>
          <w:rFonts w:hint="eastAsia"/>
          <w:spacing w:val="0"/>
          <w:kern w:val="0"/>
          <w:sz w:val="20"/>
          <w:rtl/>
        </w:rPr>
        <w:t>كندا</w:t>
      </w:r>
      <w:r w:rsidRPr="003E698F">
        <w:rPr>
          <w:spacing w:val="0"/>
          <w:kern w:val="0"/>
          <w:sz w:val="20"/>
          <w:rtl/>
        </w:rPr>
        <w:t xml:space="preserve"> في ذلك الوقت، أو عدم طلب الحصول على إذن بالاستئناف وإجراء مراجعة قضائية للقرار الصادر بوقف الإجراءات.</w:t>
      </w:r>
    </w:p>
    <w:p w:rsidR="00921F02" w:rsidRPr="00B32542" w:rsidRDefault="00921F02" w:rsidP="00921F02">
      <w:pPr>
        <w:pStyle w:val="SingleTxtGA"/>
        <w:jc w:val="lowKashida"/>
        <w:rPr>
          <w:spacing w:val="-2"/>
          <w:kern w:val="0"/>
          <w:sz w:val="20"/>
          <w:rtl/>
        </w:rPr>
      </w:pPr>
      <w:r w:rsidRPr="00B32542">
        <w:rPr>
          <w:spacing w:val="-2"/>
          <w:kern w:val="0"/>
          <w:sz w:val="20"/>
          <w:rtl/>
        </w:rPr>
        <w:t>5-2</w:t>
      </w:r>
      <w:r w:rsidRPr="00B32542">
        <w:rPr>
          <w:spacing w:val="-2"/>
          <w:kern w:val="0"/>
          <w:sz w:val="20"/>
          <w:rtl/>
        </w:rPr>
        <w:tab/>
        <w:t xml:space="preserve">وخلافاً لتأكيدات الدولة الطرف، طلب </w:t>
      </w:r>
      <w:r w:rsidRPr="00B32542">
        <w:rPr>
          <w:rFonts w:hint="cs"/>
          <w:spacing w:val="-2"/>
          <w:kern w:val="0"/>
          <w:sz w:val="20"/>
          <w:rtl/>
        </w:rPr>
        <w:t xml:space="preserve">صاحب الشكوى </w:t>
      </w:r>
      <w:r w:rsidRPr="00B32542">
        <w:rPr>
          <w:spacing w:val="-2"/>
          <w:kern w:val="0"/>
          <w:sz w:val="20"/>
          <w:rtl/>
        </w:rPr>
        <w:t xml:space="preserve">فعلاً الحصول على الإقامة الدائمة لأسباب إنسانية </w:t>
      </w:r>
      <w:r w:rsidRPr="00B32542">
        <w:rPr>
          <w:rFonts w:hint="cs"/>
          <w:spacing w:val="-2"/>
          <w:kern w:val="0"/>
          <w:sz w:val="20"/>
          <w:rtl/>
        </w:rPr>
        <w:t xml:space="preserve">ووجدانية </w:t>
      </w:r>
      <w:r w:rsidRPr="00B32542">
        <w:rPr>
          <w:spacing w:val="-2"/>
          <w:kern w:val="0"/>
          <w:sz w:val="20"/>
          <w:rtl/>
        </w:rPr>
        <w:t>في 29 أيار/مايو 2008</w:t>
      </w:r>
      <w:r w:rsidRPr="00B32542">
        <w:rPr>
          <w:spacing w:val="-2"/>
          <w:kern w:val="0"/>
          <w:sz w:val="20"/>
          <w:vertAlign w:val="superscript"/>
          <w:rtl/>
        </w:rPr>
        <w:t>(</w:t>
      </w:r>
      <w:r w:rsidRPr="00B32542">
        <w:rPr>
          <w:rStyle w:val="FootnoteReference"/>
          <w:spacing w:val="-2"/>
          <w:sz w:val="20"/>
          <w:rtl/>
        </w:rPr>
        <w:footnoteReference w:id="172"/>
      </w:r>
      <w:r w:rsidRPr="00B32542">
        <w:rPr>
          <w:spacing w:val="-2"/>
          <w:kern w:val="0"/>
          <w:sz w:val="20"/>
          <w:vertAlign w:val="superscript"/>
          <w:rtl/>
        </w:rPr>
        <w:t>)</w:t>
      </w:r>
      <w:r w:rsidRPr="00B32542">
        <w:rPr>
          <w:spacing w:val="-2"/>
          <w:kern w:val="0"/>
          <w:sz w:val="20"/>
          <w:rtl/>
        </w:rPr>
        <w:t>. ولم يتم الفصل في هذا الطلب إلى حين إرسال هذه التعليقات. وعلاوة على ذلك، صدر قرار من المحكمة الاتحادية بشأن طلب الحصول على إذن بالاستئناف وإجراء مر</w:t>
      </w:r>
      <w:r w:rsidRPr="00B32542">
        <w:rPr>
          <w:rFonts w:hint="eastAsia"/>
          <w:spacing w:val="-2"/>
          <w:kern w:val="0"/>
          <w:sz w:val="20"/>
          <w:rtl/>
        </w:rPr>
        <w:t>اجعة</w:t>
      </w:r>
      <w:r w:rsidRPr="00B32542">
        <w:rPr>
          <w:spacing w:val="-2"/>
          <w:kern w:val="0"/>
          <w:sz w:val="20"/>
          <w:rtl/>
        </w:rPr>
        <w:t xml:space="preserve"> قضائية لقرار المسؤول عن تقييم المخاطر قبل الترحيل. ورفض هذا الطلب دون </w:t>
      </w:r>
      <w:r w:rsidRPr="00B32542">
        <w:rPr>
          <w:rFonts w:hint="cs"/>
          <w:spacing w:val="-2"/>
          <w:kern w:val="0"/>
          <w:sz w:val="20"/>
          <w:rtl/>
        </w:rPr>
        <w:t xml:space="preserve">إبداء أي </w:t>
      </w:r>
      <w:r w:rsidRPr="00B32542">
        <w:rPr>
          <w:spacing w:val="-2"/>
          <w:kern w:val="0"/>
          <w:sz w:val="20"/>
          <w:rtl/>
        </w:rPr>
        <w:t>سبب في 14 آب/ أغسطس 2008.</w:t>
      </w:r>
    </w:p>
    <w:p w:rsidR="00921F02" w:rsidRPr="003E698F" w:rsidRDefault="00921F02" w:rsidP="00921F02">
      <w:pPr>
        <w:pStyle w:val="SingleTxtGA"/>
        <w:jc w:val="lowKashida"/>
        <w:rPr>
          <w:spacing w:val="0"/>
          <w:kern w:val="0"/>
          <w:sz w:val="20"/>
          <w:rtl/>
        </w:rPr>
      </w:pPr>
      <w:r w:rsidRPr="003E698F">
        <w:rPr>
          <w:spacing w:val="0"/>
          <w:kern w:val="0"/>
          <w:sz w:val="20"/>
          <w:rtl/>
        </w:rPr>
        <w:t>5-3</w:t>
      </w:r>
      <w:r w:rsidRPr="003E698F">
        <w:rPr>
          <w:spacing w:val="0"/>
          <w:kern w:val="0"/>
          <w:sz w:val="20"/>
          <w:rtl/>
        </w:rPr>
        <w:tab/>
        <w:t xml:space="preserve">ويدفع صاحب الشكوى بأن الطلبات المقدمة لتقييم المخاطر قبل الترحيل والطلبات المقدمة استناداً إلى اعتبارات إنسانية ليست سبل انتصاف فعالة. فلا تصدر القرارات المتعلقة بالطلبات المقدمة استناداً إلى اعتبارات إنسانية بناء على أسس قانونية وإنما تصدر باعتبارها </w:t>
      </w:r>
      <w:r w:rsidRPr="003E698F">
        <w:rPr>
          <w:rFonts w:hint="eastAsia"/>
          <w:spacing w:val="0"/>
          <w:kern w:val="0"/>
          <w:sz w:val="20"/>
          <w:rtl/>
        </w:rPr>
        <w:t>منحة</w:t>
      </w:r>
      <w:r w:rsidRPr="003E698F">
        <w:rPr>
          <w:spacing w:val="0"/>
          <w:kern w:val="0"/>
          <w:sz w:val="20"/>
          <w:rtl/>
        </w:rPr>
        <w:t xml:space="preserve"> من الوزير. ولا توقف الطلبات المقدمة استناداً إلى اعتبارات إنسانية بقوة القانون ترحيل أصحاب هذه الطلبات. ولا تشكل الطلبات المقدمة بعد رفض تقييم المخاطر قبل الترحيل (طلبات الحصول على إذن بالطعن وإجراء مراجعة قضائية أمام المحكمة الاتحادية وبالاستئناف أما</w:t>
      </w:r>
      <w:r w:rsidRPr="003E698F">
        <w:rPr>
          <w:rFonts w:hint="eastAsia"/>
          <w:spacing w:val="0"/>
          <w:kern w:val="0"/>
          <w:sz w:val="20"/>
          <w:rtl/>
        </w:rPr>
        <w:t>م</w:t>
      </w:r>
      <w:r w:rsidRPr="003E698F">
        <w:rPr>
          <w:spacing w:val="0"/>
          <w:kern w:val="0"/>
          <w:sz w:val="20"/>
          <w:rtl/>
        </w:rPr>
        <w:t xml:space="preserve"> محكمة الاستئناف الاتحادية) سبل انتصاف فعالة أيضاً لأنها لا توقف بقوة القانون ترحيل أصحاب هذه الطلبات. والتقييم الذي أجرى للوقائع والأدلة في الشكوى قيد البحث تعسفي بشكل واضح و/أو </w:t>
      </w:r>
      <w:r w:rsidRPr="003E698F">
        <w:rPr>
          <w:rFonts w:hint="cs"/>
          <w:spacing w:val="0"/>
          <w:kern w:val="0"/>
          <w:sz w:val="20"/>
          <w:rtl/>
        </w:rPr>
        <w:t>يشكل</w:t>
      </w:r>
      <w:r w:rsidRPr="003E698F">
        <w:rPr>
          <w:spacing w:val="0"/>
          <w:kern w:val="0"/>
          <w:sz w:val="20"/>
          <w:rtl/>
        </w:rPr>
        <w:t xml:space="preserve"> إنكاراً للعدالة.</w:t>
      </w:r>
    </w:p>
    <w:p w:rsidR="00921F02" w:rsidRPr="003E698F" w:rsidRDefault="00921F02" w:rsidP="00921F02">
      <w:pPr>
        <w:pStyle w:val="SingleTxtGA"/>
        <w:jc w:val="lowKashida"/>
        <w:rPr>
          <w:spacing w:val="0"/>
          <w:kern w:val="0"/>
          <w:sz w:val="20"/>
          <w:rtl/>
        </w:rPr>
      </w:pPr>
      <w:r w:rsidRPr="003E698F">
        <w:rPr>
          <w:spacing w:val="0"/>
          <w:kern w:val="0"/>
          <w:sz w:val="20"/>
          <w:rtl/>
        </w:rPr>
        <w:t>5-4</w:t>
      </w:r>
      <w:r w:rsidRPr="003E698F">
        <w:rPr>
          <w:spacing w:val="0"/>
          <w:kern w:val="0"/>
          <w:sz w:val="20"/>
          <w:rtl/>
        </w:rPr>
        <w:tab/>
        <w:t xml:space="preserve">ويؤكد صاحب الشكوى أن </w:t>
      </w:r>
      <w:r w:rsidRPr="003E698F">
        <w:rPr>
          <w:rFonts w:hint="cs"/>
          <w:spacing w:val="0"/>
          <w:kern w:val="0"/>
          <w:sz w:val="20"/>
          <w:rtl/>
        </w:rPr>
        <w:t>ادعاءاته مدعمة بالأدلة الكافية</w:t>
      </w:r>
      <w:r w:rsidRPr="003E698F">
        <w:rPr>
          <w:spacing w:val="0"/>
          <w:kern w:val="0"/>
          <w:sz w:val="20"/>
          <w:rtl/>
        </w:rPr>
        <w:t xml:space="preserve">. فوالده معارض سياسي منذ مدة طويلة، وهو معروف ومعترف به في جمهورية الكونغو الديمقراطية بصفته من مؤسسي حزب الاتحاد من أجل الديمقراطية والتقدم الاجتماعي ومن الأعضاء في هذا الحزب، وهو الحزب الرئيسي للمعارضة. وخلافاً لتأكيدات الدولة الطرف، لم تشكك السلطات الكندية إطلاقاً في هوية صاحب الشكوى أو في </w:t>
      </w:r>
      <w:r w:rsidRPr="003E698F">
        <w:rPr>
          <w:rFonts w:hint="cs"/>
          <w:spacing w:val="0"/>
          <w:kern w:val="0"/>
          <w:sz w:val="20"/>
          <w:rtl/>
        </w:rPr>
        <w:t>ال</w:t>
      </w:r>
      <w:r w:rsidRPr="003E698F">
        <w:rPr>
          <w:spacing w:val="0"/>
          <w:kern w:val="0"/>
          <w:sz w:val="20"/>
          <w:rtl/>
        </w:rPr>
        <w:t xml:space="preserve">علاقة </w:t>
      </w:r>
      <w:r w:rsidRPr="003E698F">
        <w:rPr>
          <w:rFonts w:hint="cs"/>
          <w:spacing w:val="0"/>
          <w:kern w:val="0"/>
          <w:sz w:val="20"/>
          <w:rtl/>
        </w:rPr>
        <w:t xml:space="preserve">الأسرية التي </w:t>
      </w:r>
      <w:r w:rsidRPr="003E698F">
        <w:rPr>
          <w:spacing w:val="0"/>
          <w:kern w:val="0"/>
          <w:sz w:val="20"/>
          <w:rtl/>
        </w:rPr>
        <w:t>بينه وبين والده. وعلاوة على ذلك، فإن هوية كل منهما والعلاقة بينهما ثابتة مادياً بجواز سفر صاحب الشكوى وشهادة ميلاده. ويستند صاحب الشكوى إلى تقرير وزارة الخ</w:t>
      </w:r>
      <w:r w:rsidRPr="003E698F">
        <w:rPr>
          <w:rFonts w:hint="eastAsia"/>
          <w:spacing w:val="0"/>
          <w:kern w:val="0"/>
          <w:sz w:val="20"/>
          <w:rtl/>
        </w:rPr>
        <w:t>ارجية</w:t>
      </w:r>
      <w:r w:rsidRPr="003E698F">
        <w:rPr>
          <w:spacing w:val="0"/>
          <w:kern w:val="0"/>
          <w:sz w:val="20"/>
          <w:rtl/>
        </w:rPr>
        <w:t xml:space="preserve"> بالولايات المتحدة (2007) لإثبات أن المعارضين السياسيين، </w:t>
      </w:r>
      <w:r w:rsidRPr="003E698F">
        <w:rPr>
          <w:rFonts w:hint="cs"/>
          <w:spacing w:val="0"/>
          <w:kern w:val="0"/>
          <w:sz w:val="20"/>
          <w:rtl/>
        </w:rPr>
        <w:t>سواء كانوا معارضين فعليا</w:t>
      </w:r>
      <w:r w:rsidR="002C2A9D">
        <w:rPr>
          <w:rFonts w:hint="cs"/>
          <w:spacing w:val="0"/>
          <w:kern w:val="0"/>
          <w:sz w:val="20"/>
          <w:rtl/>
        </w:rPr>
        <w:t>ً</w:t>
      </w:r>
      <w:r w:rsidRPr="003E698F">
        <w:rPr>
          <w:rFonts w:hint="cs"/>
          <w:spacing w:val="0"/>
          <w:kern w:val="0"/>
          <w:sz w:val="20"/>
          <w:rtl/>
        </w:rPr>
        <w:t xml:space="preserve"> أو معتبرين كذلك فقط</w:t>
      </w:r>
      <w:r w:rsidRPr="003E698F">
        <w:rPr>
          <w:spacing w:val="0"/>
          <w:kern w:val="0"/>
          <w:sz w:val="20"/>
          <w:rtl/>
        </w:rPr>
        <w:t>، في جمهورية الكونغو الديمقراطية يتعرضون للتوقيف والتعذيب، وأن أفراد أسرة الأشخاص المشتبه بهم أو الجاري البحث عنهم يتعرضون للتوقيف والاحتجاز والتعذيب.</w:t>
      </w:r>
    </w:p>
    <w:p w:rsidR="00921F02" w:rsidRPr="003E698F" w:rsidRDefault="00921F02" w:rsidP="00921F02">
      <w:pPr>
        <w:pStyle w:val="SingleTxtGA"/>
        <w:jc w:val="lowKashida"/>
        <w:rPr>
          <w:rFonts w:hint="cs"/>
          <w:spacing w:val="0"/>
          <w:kern w:val="0"/>
          <w:sz w:val="20"/>
          <w:rtl/>
        </w:rPr>
      </w:pPr>
      <w:r w:rsidRPr="003E698F">
        <w:rPr>
          <w:spacing w:val="0"/>
          <w:kern w:val="0"/>
          <w:sz w:val="20"/>
          <w:rtl/>
        </w:rPr>
        <w:t>5-5</w:t>
      </w:r>
      <w:r w:rsidRPr="003E698F">
        <w:rPr>
          <w:spacing w:val="0"/>
          <w:kern w:val="0"/>
          <w:sz w:val="20"/>
          <w:rtl/>
        </w:rPr>
        <w:tab/>
        <w:t xml:space="preserve">وفيما يتعلق بادعاءات عدم المصداقية التي أعربت عنها الدولة الطرف </w:t>
      </w:r>
      <w:r w:rsidRPr="003E698F">
        <w:rPr>
          <w:rFonts w:hint="cs"/>
          <w:spacing w:val="0"/>
          <w:kern w:val="0"/>
          <w:sz w:val="20"/>
          <w:rtl/>
        </w:rPr>
        <w:t xml:space="preserve">فليست لها أي أهمية وينبغي </w:t>
      </w:r>
      <w:r w:rsidRPr="003E698F">
        <w:rPr>
          <w:spacing w:val="0"/>
          <w:kern w:val="0"/>
          <w:sz w:val="20"/>
          <w:rtl/>
        </w:rPr>
        <w:t xml:space="preserve">رفضها. وقد قررت المحاكم الكندية في </w:t>
      </w:r>
      <w:r w:rsidRPr="003E698F">
        <w:rPr>
          <w:rFonts w:hint="cs"/>
          <w:spacing w:val="0"/>
          <w:kern w:val="0"/>
          <w:sz w:val="20"/>
          <w:rtl/>
        </w:rPr>
        <w:t xml:space="preserve">عدة </w:t>
      </w:r>
      <w:r w:rsidRPr="003E698F">
        <w:rPr>
          <w:spacing w:val="0"/>
          <w:kern w:val="0"/>
          <w:sz w:val="20"/>
          <w:rtl/>
        </w:rPr>
        <w:t>مناسبات أن عدم مصداقية ملتمس اللجوء لا تحول دون اعتباره لاجئاً بالمعنى المقصود في الاتفاقية. وبالمثل، لا</w:t>
      </w:r>
      <w:r w:rsidRPr="003E698F">
        <w:rPr>
          <w:rFonts w:hint="cs"/>
          <w:spacing w:val="0"/>
          <w:kern w:val="0"/>
          <w:sz w:val="20"/>
          <w:rtl/>
        </w:rPr>
        <w:t> </w:t>
      </w:r>
      <w:r w:rsidRPr="003E698F">
        <w:rPr>
          <w:spacing w:val="0"/>
          <w:kern w:val="0"/>
          <w:sz w:val="20"/>
          <w:rtl/>
        </w:rPr>
        <w:t>أهمية لدرج</w:t>
      </w:r>
      <w:r w:rsidRPr="003E698F">
        <w:rPr>
          <w:rFonts w:hint="eastAsia"/>
          <w:spacing w:val="0"/>
          <w:kern w:val="0"/>
          <w:sz w:val="20"/>
          <w:rtl/>
        </w:rPr>
        <w:t>ة</w:t>
      </w:r>
      <w:r w:rsidRPr="003E698F">
        <w:rPr>
          <w:spacing w:val="0"/>
          <w:kern w:val="0"/>
          <w:sz w:val="20"/>
          <w:rtl/>
        </w:rPr>
        <w:t xml:space="preserve"> مصداقية صاحب الشكوى فيما يتعلق ببعض الادعاءات، </w:t>
      </w:r>
      <w:r w:rsidRPr="003E698F">
        <w:rPr>
          <w:rFonts w:hint="cs"/>
          <w:spacing w:val="0"/>
          <w:kern w:val="0"/>
          <w:sz w:val="20"/>
          <w:rtl/>
        </w:rPr>
        <w:t xml:space="preserve">بما أنه يظل من الناحيتين الموضوعية والذاتية معرضاً </w:t>
      </w:r>
      <w:r w:rsidRPr="003E698F">
        <w:rPr>
          <w:spacing w:val="0"/>
          <w:kern w:val="0"/>
          <w:sz w:val="20"/>
          <w:rtl/>
        </w:rPr>
        <w:t>للتعذيب في حالة عودته إلى جمهورية الكونغو الديمقراطية.</w:t>
      </w:r>
      <w:r w:rsidRPr="003E698F">
        <w:rPr>
          <w:rFonts w:hint="cs"/>
          <w:spacing w:val="0"/>
          <w:kern w:val="0"/>
          <w:sz w:val="20"/>
          <w:rtl/>
        </w:rPr>
        <w:t xml:space="preserve"> </w:t>
      </w:r>
    </w:p>
    <w:p w:rsidR="00921F02" w:rsidRPr="003E698F" w:rsidRDefault="00921F02" w:rsidP="00921F02">
      <w:pPr>
        <w:pStyle w:val="H23GA"/>
        <w:jc w:val="lowKashida"/>
        <w:rPr>
          <w:spacing w:val="0"/>
          <w:kern w:val="0"/>
          <w:sz w:val="20"/>
          <w:rtl/>
        </w:rPr>
      </w:pPr>
      <w:r w:rsidRPr="003E698F">
        <w:rPr>
          <w:rFonts w:hint="cs"/>
          <w:spacing w:val="0"/>
          <w:kern w:val="0"/>
          <w:sz w:val="20"/>
          <w:rtl/>
        </w:rPr>
        <w:tab/>
      </w:r>
      <w:r w:rsidRPr="003E698F">
        <w:rPr>
          <w:rFonts w:hint="cs"/>
          <w:spacing w:val="0"/>
          <w:kern w:val="0"/>
          <w:sz w:val="20"/>
          <w:rtl/>
        </w:rPr>
        <w:tab/>
      </w:r>
      <w:r w:rsidRPr="003E698F">
        <w:rPr>
          <w:rFonts w:hint="eastAsia"/>
          <w:spacing w:val="0"/>
          <w:kern w:val="0"/>
          <w:sz w:val="20"/>
          <w:rtl/>
        </w:rPr>
        <w:t>ملاحظات</w:t>
      </w:r>
      <w:r w:rsidRPr="003E698F">
        <w:rPr>
          <w:spacing w:val="0"/>
          <w:kern w:val="0"/>
          <w:sz w:val="20"/>
          <w:rtl/>
        </w:rPr>
        <w:t xml:space="preserve"> الدولة الطرف بشأن الأسس الموضوعية </w:t>
      </w:r>
    </w:p>
    <w:p w:rsidR="00921F02" w:rsidRPr="003E698F" w:rsidRDefault="00921F02" w:rsidP="00921F02">
      <w:pPr>
        <w:pStyle w:val="SingleTxtGA"/>
        <w:jc w:val="lowKashida"/>
        <w:rPr>
          <w:spacing w:val="0"/>
          <w:kern w:val="0"/>
          <w:sz w:val="20"/>
          <w:rtl/>
        </w:rPr>
      </w:pPr>
      <w:r w:rsidRPr="003E698F">
        <w:rPr>
          <w:spacing w:val="0"/>
          <w:kern w:val="0"/>
          <w:sz w:val="20"/>
          <w:rtl/>
        </w:rPr>
        <w:t>6-1</w:t>
      </w:r>
      <w:r w:rsidRPr="003E698F">
        <w:rPr>
          <w:spacing w:val="0"/>
          <w:kern w:val="0"/>
          <w:sz w:val="20"/>
          <w:rtl/>
        </w:rPr>
        <w:tab/>
        <w:t>في 6 شباط/فبراير 2009، قدمت الدولة الطرف ملاحظاتها بشأن الأسس الموضوعية للشكوى. وأكدت في الوقت نفس</w:t>
      </w:r>
      <w:r w:rsidRPr="003E698F">
        <w:rPr>
          <w:rFonts w:hint="cs"/>
          <w:spacing w:val="0"/>
          <w:kern w:val="0"/>
          <w:sz w:val="20"/>
          <w:rtl/>
        </w:rPr>
        <w:t>ه</w:t>
      </w:r>
      <w:r w:rsidRPr="003E698F">
        <w:rPr>
          <w:spacing w:val="0"/>
          <w:kern w:val="0"/>
          <w:sz w:val="20"/>
          <w:rtl/>
        </w:rPr>
        <w:t xml:space="preserve"> أنه ينبغي إعلان عدم مقبوليتها.</w:t>
      </w:r>
    </w:p>
    <w:p w:rsidR="00921F02" w:rsidRPr="003E698F" w:rsidRDefault="00921F02" w:rsidP="00921F02">
      <w:pPr>
        <w:pStyle w:val="SingleTxtGA"/>
        <w:jc w:val="lowKashida"/>
        <w:rPr>
          <w:spacing w:val="0"/>
          <w:kern w:val="0"/>
          <w:sz w:val="20"/>
          <w:rtl/>
        </w:rPr>
      </w:pPr>
      <w:r w:rsidRPr="003E698F">
        <w:rPr>
          <w:spacing w:val="0"/>
          <w:kern w:val="0"/>
          <w:sz w:val="20"/>
          <w:rtl/>
        </w:rPr>
        <w:t>6-2</w:t>
      </w:r>
      <w:r w:rsidRPr="003E698F">
        <w:rPr>
          <w:spacing w:val="0"/>
          <w:kern w:val="0"/>
          <w:sz w:val="20"/>
          <w:rtl/>
        </w:rPr>
        <w:tab/>
      </w:r>
      <w:r w:rsidRPr="003E698F">
        <w:rPr>
          <w:rFonts w:hint="cs"/>
          <w:spacing w:val="0"/>
          <w:kern w:val="0"/>
          <w:sz w:val="20"/>
          <w:rtl/>
        </w:rPr>
        <w:t xml:space="preserve">تفيد الدولة الطرف بأن </w:t>
      </w:r>
      <w:r w:rsidRPr="003E698F">
        <w:rPr>
          <w:spacing w:val="0"/>
          <w:kern w:val="0"/>
          <w:sz w:val="20"/>
          <w:rtl/>
        </w:rPr>
        <w:t xml:space="preserve">صاحب الشكوى حاول تبرير وقف الإجراءات المتعلقة بطلب اللجوء بحالته النفسية بعد الأحداث التي تعرض لها في جمهورية الكونغو الديمقراطية وحاجته إلى </w:t>
      </w:r>
      <w:r w:rsidRPr="003E698F">
        <w:rPr>
          <w:rFonts w:hint="cs"/>
          <w:spacing w:val="0"/>
          <w:kern w:val="0"/>
          <w:sz w:val="20"/>
          <w:rtl/>
        </w:rPr>
        <w:t>اللحاق ب</w:t>
      </w:r>
      <w:r w:rsidRPr="003E698F">
        <w:rPr>
          <w:spacing w:val="0"/>
          <w:kern w:val="0"/>
          <w:sz w:val="20"/>
          <w:rtl/>
        </w:rPr>
        <w:t>أسرته في الولايات المتحدة. غير أن هذا التفسير غير صحيح ولم يقدم صاحب الشكوى أدلة كاف</w:t>
      </w:r>
      <w:r w:rsidRPr="003E698F">
        <w:rPr>
          <w:rFonts w:hint="eastAsia"/>
          <w:spacing w:val="0"/>
          <w:kern w:val="0"/>
          <w:sz w:val="20"/>
          <w:rtl/>
        </w:rPr>
        <w:t>ية،</w:t>
      </w:r>
      <w:r w:rsidRPr="003E698F">
        <w:rPr>
          <w:spacing w:val="0"/>
          <w:kern w:val="0"/>
          <w:sz w:val="20"/>
          <w:rtl/>
        </w:rPr>
        <w:t xml:space="preserve"> طبية أو غير طبية، لتأييد ادعاءات</w:t>
      </w:r>
      <w:r w:rsidRPr="003E698F">
        <w:rPr>
          <w:rFonts w:hint="cs"/>
          <w:spacing w:val="0"/>
          <w:kern w:val="0"/>
          <w:sz w:val="20"/>
          <w:rtl/>
        </w:rPr>
        <w:t>ه</w:t>
      </w:r>
      <w:r w:rsidRPr="003E698F">
        <w:rPr>
          <w:spacing w:val="0"/>
          <w:kern w:val="0"/>
          <w:sz w:val="20"/>
          <w:rtl/>
        </w:rPr>
        <w:t xml:space="preserve">. والتقرير الطبي الوحيد الذي قدمه والصادر في تشرين الأول/أكتوبر 2005 ليس قطعياً، كما ذكرت من قبل. والإجهاد النفسي ليس غير مألوف بين ملتمسي اللجوء، بيد أن هذا ليس عذراً لعدم متابعة الإجراءات، </w:t>
      </w:r>
      <w:r w:rsidRPr="003E698F">
        <w:rPr>
          <w:rFonts w:hint="cs"/>
          <w:spacing w:val="0"/>
          <w:kern w:val="0"/>
          <w:sz w:val="20"/>
          <w:rtl/>
        </w:rPr>
        <w:t>و</w:t>
      </w:r>
      <w:r w:rsidRPr="003E698F">
        <w:rPr>
          <w:spacing w:val="0"/>
          <w:kern w:val="0"/>
          <w:sz w:val="20"/>
          <w:rtl/>
        </w:rPr>
        <w:t>لا سيما أنه كان يحظى بمس</w:t>
      </w:r>
      <w:r w:rsidRPr="003E698F">
        <w:rPr>
          <w:rFonts w:hint="eastAsia"/>
          <w:spacing w:val="0"/>
          <w:kern w:val="0"/>
          <w:sz w:val="20"/>
          <w:rtl/>
        </w:rPr>
        <w:t>اعدة</w:t>
      </w:r>
      <w:r w:rsidRPr="003E698F">
        <w:rPr>
          <w:spacing w:val="0"/>
          <w:kern w:val="0"/>
          <w:sz w:val="20"/>
          <w:rtl/>
        </w:rPr>
        <w:t xml:space="preserve"> محام. وكان ينبغي، بالتالي، أن يعلم النتائج المترتبة على مثل هذا التصرف. وبالإضافة إلى ذلك، لا توافق الدولة الطرف على الدفع المقدم بشأن المراجعة القضائية للقرار الصادر بوقف الإجراءات وتؤكد أن هذه المراجعة فعالة. وتقر الدولة الطرف بأن صاحب الشكوى قدم طل</w:t>
      </w:r>
      <w:r w:rsidRPr="003E698F">
        <w:rPr>
          <w:rFonts w:hint="eastAsia"/>
          <w:spacing w:val="0"/>
          <w:kern w:val="0"/>
          <w:sz w:val="20"/>
          <w:rtl/>
        </w:rPr>
        <w:t xml:space="preserve">باً </w:t>
      </w:r>
      <w:r w:rsidRPr="003E698F">
        <w:rPr>
          <w:spacing w:val="0"/>
          <w:kern w:val="0"/>
          <w:sz w:val="20"/>
          <w:rtl/>
        </w:rPr>
        <w:t>استناداً إلى اعتبارات إنسانية وتؤكد أنه ينبغي استنفاد هذا السبيل من سبل الانتصاف.</w:t>
      </w:r>
    </w:p>
    <w:p w:rsidR="00921F02" w:rsidRPr="003E698F" w:rsidRDefault="00921F02" w:rsidP="00921F02">
      <w:pPr>
        <w:pStyle w:val="SingleTxtGA"/>
        <w:jc w:val="lowKashida"/>
        <w:rPr>
          <w:spacing w:val="0"/>
          <w:kern w:val="0"/>
          <w:sz w:val="20"/>
          <w:rtl/>
        </w:rPr>
      </w:pPr>
      <w:r w:rsidRPr="003E698F">
        <w:rPr>
          <w:spacing w:val="0"/>
          <w:kern w:val="0"/>
          <w:sz w:val="20"/>
          <w:rtl/>
        </w:rPr>
        <w:t>6-3</w:t>
      </w:r>
      <w:r w:rsidRPr="003E698F">
        <w:rPr>
          <w:spacing w:val="0"/>
          <w:kern w:val="0"/>
          <w:sz w:val="20"/>
          <w:rtl/>
        </w:rPr>
        <w:tab/>
        <w:t xml:space="preserve">وتكرر الدولة الطرف أن الادعاءات المقدمة من صاحب الشكوى لا أساس لها من الصحة وبالتالي </w:t>
      </w:r>
      <w:r w:rsidRPr="003E698F">
        <w:rPr>
          <w:rFonts w:hint="cs"/>
          <w:spacing w:val="0"/>
          <w:kern w:val="0"/>
          <w:sz w:val="20"/>
          <w:rtl/>
        </w:rPr>
        <w:t>فهي غير مقبولة</w:t>
      </w:r>
      <w:r w:rsidRPr="003E698F">
        <w:rPr>
          <w:spacing w:val="0"/>
          <w:kern w:val="0"/>
          <w:sz w:val="20"/>
          <w:rtl/>
        </w:rPr>
        <w:t>. وفيما يتعلق بالأسس الموضوعية،لم يقدم صاحب الشكوى أدلة كافية تدعو إلى الاعتقاد بأنه سيتعرض للتعذيب في حالة عودته إلى جمهورية الكونغو الديمقرا</w:t>
      </w:r>
      <w:r w:rsidRPr="003E698F">
        <w:rPr>
          <w:rFonts w:hint="eastAsia"/>
          <w:spacing w:val="0"/>
          <w:kern w:val="0"/>
          <w:sz w:val="20"/>
          <w:rtl/>
        </w:rPr>
        <w:t>طية،</w:t>
      </w:r>
      <w:r w:rsidRPr="003E698F">
        <w:rPr>
          <w:spacing w:val="0"/>
          <w:kern w:val="0"/>
          <w:sz w:val="20"/>
          <w:rtl/>
        </w:rPr>
        <w:t xml:space="preserve"> وذلك للأسباب </w:t>
      </w:r>
      <w:r w:rsidRPr="003E698F">
        <w:rPr>
          <w:rFonts w:hint="cs"/>
          <w:spacing w:val="0"/>
          <w:kern w:val="0"/>
          <w:sz w:val="20"/>
          <w:rtl/>
        </w:rPr>
        <w:t xml:space="preserve">المبينة </w:t>
      </w:r>
      <w:r w:rsidRPr="003E698F">
        <w:rPr>
          <w:spacing w:val="0"/>
          <w:kern w:val="0"/>
          <w:sz w:val="20"/>
          <w:rtl/>
        </w:rPr>
        <w:t>أدناه.</w:t>
      </w:r>
    </w:p>
    <w:p w:rsidR="00921F02" w:rsidRPr="003E698F" w:rsidRDefault="00921F02" w:rsidP="00921F02">
      <w:pPr>
        <w:pStyle w:val="SingleTxtGA"/>
        <w:jc w:val="lowKashida"/>
        <w:rPr>
          <w:spacing w:val="0"/>
          <w:kern w:val="0"/>
          <w:sz w:val="20"/>
          <w:rtl/>
        </w:rPr>
      </w:pPr>
      <w:r w:rsidRPr="003E698F">
        <w:rPr>
          <w:spacing w:val="0"/>
          <w:kern w:val="0"/>
          <w:sz w:val="20"/>
          <w:rtl/>
        </w:rPr>
        <w:t>6-4</w:t>
      </w:r>
      <w:r w:rsidRPr="003E698F">
        <w:rPr>
          <w:spacing w:val="0"/>
          <w:kern w:val="0"/>
          <w:sz w:val="20"/>
          <w:rtl/>
        </w:rPr>
        <w:tab/>
        <w:t xml:space="preserve">قدم صاحب الشكوى معلومات متناقضة عن احتجازه وسوء معاملته في جمهورية الكونغو الديمقراطية في عام 2002. وفيما يتعلق بمدة الاحتجاز، قال في مناسبات مختلفة إنها بلغت ثلاثة أو أربعة أو تسعة أشهر. وفيما يتعلق باتصاله بالمحتجزين الآخرين، قال في البداية إنهم </w:t>
      </w:r>
      <w:r w:rsidRPr="003E698F">
        <w:rPr>
          <w:rFonts w:hint="eastAsia"/>
          <w:spacing w:val="0"/>
          <w:kern w:val="0"/>
          <w:sz w:val="20"/>
          <w:rtl/>
        </w:rPr>
        <w:t>كانوا</w:t>
      </w:r>
      <w:r w:rsidRPr="003E698F">
        <w:rPr>
          <w:spacing w:val="0"/>
          <w:kern w:val="0"/>
          <w:sz w:val="20"/>
          <w:rtl/>
        </w:rPr>
        <w:t xml:space="preserve"> لا يتكلمون الفرنسية. وعندما استرعي انتباهه إلى أن الفرنسية </w:t>
      </w:r>
      <w:r w:rsidRPr="003E698F">
        <w:rPr>
          <w:rFonts w:hint="cs"/>
          <w:spacing w:val="0"/>
          <w:kern w:val="0"/>
          <w:sz w:val="20"/>
          <w:rtl/>
        </w:rPr>
        <w:t xml:space="preserve">لغة </w:t>
      </w:r>
      <w:r w:rsidRPr="003E698F">
        <w:rPr>
          <w:spacing w:val="0"/>
          <w:kern w:val="0"/>
          <w:sz w:val="20"/>
          <w:rtl/>
        </w:rPr>
        <w:t xml:space="preserve">رسمية في البلد، قال إن بعضهم كان يتكلم الفرنسية. وأخيراً، قال إن معظمهم كانوا يتكلمون الفرنسية. وفيما يتعلق باحتفاظه بمبلغ 20 أو 40 دولاراً معه، قال أولاً إنه احتفظ بالنقود في </w:t>
      </w:r>
      <w:r w:rsidRPr="003E698F">
        <w:rPr>
          <w:rFonts w:hint="cs"/>
          <w:spacing w:val="0"/>
          <w:kern w:val="0"/>
          <w:sz w:val="20"/>
          <w:rtl/>
        </w:rPr>
        <w:t>جوربيه</w:t>
      </w:r>
      <w:r w:rsidRPr="003E698F">
        <w:rPr>
          <w:spacing w:val="0"/>
          <w:kern w:val="0"/>
          <w:sz w:val="20"/>
          <w:rtl/>
        </w:rPr>
        <w:t xml:space="preserve">. وعندما استرعي انتباهه إلى أنه أشار في بيانه إلى أنه كان حافي القدمين، قال إن النقود كانت مخبأة في سرواله ولم يتم اكتشافها. ووفقاً للدولة الطرف، لا مصداقية لهذه الأقوال </w:t>
      </w:r>
      <w:r w:rsidRPr="003E698F">
        <w:rPr>
          <w:rFonts w:hint="cs"/>
          <w:spacing w:val="0"/>
          <w:kern w:val="0"/>
          <w:sz w:val="20"/>
          <w:rtl/>
        </w:rPr>
        <w:t>فيما يتصل بادعاءات تعرضه</w:t>
      </w:r>
      <w:r w:rsidRPr="003E698F">
        <w:rPr>
          <w:spacing w:val="0"/>
          <w:kern w:val="0"/>
          <w:sz w:val="20"/>
          <w:rtl/>
        </w:rPr>
        <w:t xml:space="preserve"> لانتهاكات متكررة. وفيما يتعلق بكيفية استعادة حريته، ق</w:t>
      </w:r>
      <w:r w:rsidRPr="003E698F">
        <w:rPr>
          <w:rFonts w:hint="eastAsia"/>
          <w:spacing w:val="0"/>
          <w:kern w:val="0"/>
          <w:sz w:val="20"/>
          <w:rtl/>
        </w:rPr>
        <w:t>ال</w:t>
      </w:r>
      <w:r w:rsidRPr="003E698F">
        <w:rPr>
          <w:spacing w:val="0"/>
          <w:kern w:val="0"/>
          <w:sz w:val="20"/>
          <w:rtl/>
        </w:rPr>
        <w:t xml:space="preserve"> في تصريحاته المكتوبة إن حارساً ممن يعرفون جده أخرجه بالليل</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غير أنه مذكور </w:t>
      </w:r>
      <w:r w:rsidRPr="003E698F">
        <w:rPr>
          <w:spacing w:val="0"/>
          <w:kern w:val="0"/>
          <w:sz w:val="20"/>
          <w:rtl/>
        </w:rPr>
        <w:t xml:space="preserve">في رسالة </w:t>
      </w:r>
      <w:r w:rsidRPr="003E698F">
        <w:rPr>
          <w:rFonts w:hint="cs"/>
          <w:spacing w:val="0"/>
          <w:kern w:val="0"/>
          <w:sz w:val="20"/>
          <w:rtl/>
        </w:rPr>
        <w:t xml:space="preserve">نسبها </w:t>
      </w:r>
      <w:r w:rsidRPr="003E698F">
        <w:rPr>
          <w:spacing w:val="0"/>
          <w:kern w:val="0"/>
          <w:sz w:val="20"/>
          <w:rtl/>
        </w:rPr>
        <w:t xml:space="preserve">إلى محاميه </w:t>
      </w:r>
      <w:r w:rsidRPr="003E698F">
        <w:rPr>
          <w:rFonts w:hint="cs"/>
          <w:spacing w:val="0"/>
          <w:kern w:val="0"/>
          <w:sz w:val="20"/>
          <w:rtl/>
        </w:rPr>
        <w:t>لأ</w:t>
      </w:r>
      <w:r w:rsidRPr="003E698F">
        <w:rPr>
          <w:spacing w:val="0"/>
          <w:kern w:val="0"/>
          <w:sz w:val="20"/>
          <w:rtl/>
        </w:rPr>
        <w:t xml:space="preserve">ن الإفراج كان نتيجة لتدخل وكيل </w:t>
      </w:r>
      <w:r w:rsidRPr="003E698F">
        <w:rPr>
          <w:rFonts w:hint="cs"/>
          <w:spacing w:val="0"/>
          <w:kern w:val="0"/>
          <w:sz w:val="20"/>
          <w:rtl/>
        </w:rPr>
        <w:t>ل</w:t>
      </w:r>
      <w:r w:rsidRPr="003E698F">
        <w:rPr>
          <w:spacing w:val="0"/>
          <w:kern w:val="0"/>
          <w:sz w:val="20"/>
          <w:rtl/>
        </w:rPr>
        <w:t>لنائب العام وأحد كبار القضاة العسكريين. وأخيراً، قال في طلبه المقدم إلى المسؤول عن تقييم المخاطر قبل الترحيل إنه كان محتجزاً في ج</w:t>
      </w:r>
      <w:r w:rsidRPr="003E698F">
        <w:rPr>
          <w:rFonts w:hint="eastAsia"/>
          <w:spacing w:val="0"/>
          <w:kern w:val="0"/>
          <w:sz w:val="20"/>
          <w:rtl/>
        </w:rPr>
        <w:t>مهورية</w:t>
      </w:r>
      <w:r w:rsidRPr="003E698F">
        <w:rPr>
          <w:spacing w:val="0"/>
          <w:kern w:val="0"/>
          <w:sz w:val="20"/>
          <w:rtl/>
        </w:rPr>
        <w:t xml:space="preserve"> الكونغو الديمقراطية إلى حين وصوله إلى كندا في كانون الثاني/يناير 2003. </w:t>
      </w:r>
      <w:r w:rsidRPr="003E698F">
        <w:rPr>
          <w:rFonts w:hint="cs"/>
          <w:spacing w:val="0"/>
          <w:kern w:val="0"/>
          <w:sz w:val="20"/>
          <w:rtl/>
        </w:rPr>
        <w:t xml:space="preserve">غير أنه </w:t>
      </w:r>
      <w:r w:rsidRPr="003E698F">
        <w:rPr>
          <w:spacing w:val="0"/>
          <w:kern w:val="0"/>
          <w:sz w:val="20"/>
          <w:rtl/>
        </w:rPr>
        <w:t>قال في جلسة الاستماع إنه أقام في زامبيا عدة أشهر قبل التوجه إلى كندا.</w:t>
      </w:r>
    </w:p>
    <w:p w:rsidR="00921F02" w:rsidRPr="003E698F" w:rsidRDefault="00921F02" w:rsidP="00921F02">
      <w:pPr>
        <w:pStyle w:val="SingleTxtGA"/>
        <w:jc w:val="lowKashida"/>
        <w:rPr>
          <w:spacing w:val="0"/>
          <w:kern w:val="0"/>
          <w:sz w:val="20"/>
          <w:rtl/>
        </w:rPr>
      </w:pPr>
      <w:r w:rsidRPr="003E698F">
        <w:rPr>
          <w:spacing w:val="0"/>
          <w:kern w:val="0"/>
          <w:sz w:val="20"/>
          <w:rtl/>
        </w:rPr>
        <w:t>6-5</w:t>
      </w:r>
      <w:r w:rsidRPr="003E698F">
        <w:rPr>
          <w:spacing w:val="0"/>
          <w:kern w:val="0"/>
          <w:sz w:val="20"/>
          <w:rtl/>
        </w:rPr>
        <w:tab/>
        <w:t xml:space="preserve">وفي طلب اللجوء الذي قدمه في شباط/فبراير 2003، لا يشير صاحب الشكوى إلى تعرضه للتعذيب في جمهورية الكونغو الديمقراطية. وترى الدولة الطرف أن من المستبعد أن يغفل صاحب الشكوى الإشارة إلى التعذيب في طلب اللجوء إذا كان قد تعرض فعلاً للتعذيب. ولا يمكن تفسير </w:t>
      </w:r>
      <w:r w:rsidRPr="003E698F">
        <w:rPr>
          <w:rFonts w:hint="cs"/>
          <w:spacing w:val="0"/>
          <w:kern w:val="0"/>
          <w:sz w:val="20"/>
          <w:rtl/>
        </w:rPr>
        <w:t>هذا التصرف</w:t>
      </w:r>
      <w:r w:rsidRPr="003E698F">
        <w:rPr>
          <w:spacing w:val="0"/>
          <w:kern w:val="0"/>
          <w:sz w:val="20"/>
          <w:rtl/>
        </w:rPr>
        <w:t xml:space="preserve"> </w:t>
      </w:r>
      <w:r w:rsidRPr="003E698F">
        <w:rPr>
          <w:rFonts w:hint="eastAsia"/>
          <w:spacing w:val="0"/>
          <w:kern w:val="0"/>
          <w:sz w:val="20"/>
          <w:rtl/>
        </w:rPr>
        <w:t>بالإجهاد</w:t>
      </w:r>
      <w:r w:rsidRPr="003E698F">
        <w:rPr>
          <w:spacing w:val="0"/>
          <w:kern w:val="0"/>
          <w:sz w:val="20"/>
          <w:rtl/>
        </w:rPr>
        <w:t xml:space="preserve"> النفسي.</w:t>
      </w:r>
    </w:p>
    <w:p w:rsidR="00921F02" w:rsidRPr="003E698F" w:rsidRDefault="00921F02" w:rsidP="00921F02">
      <w:pPr>
        <w:pStyle w:val="SingleTxtGA"/>
        <w:jc w:val="lowKashida"/>
        <w:rPr>
          <w:spacing w:val="0"/>
          <w:kern w:val="0"/>
          <w:sz w:val="20"/>
          <w:rtl/>
        </w:rPr>
      </w:pPr>
      <w:r w:rsidRPr="003E698F">
        <w:rPr>
          <w:spacing w:val="0"/>
          <w:kern w:val="0"/>
          <w:sz w:val="20"/>
          <w:rtl/>
        </w:rPr>
        <w:t>6-6</w:t>
      </w:r>
      <w:r w:rsidRPr="003E698F">
        <w:rPr>
          <w:spacing w:val="0"/>
          <w:kern w:val="0"/>
          <w:sz w:val="20"/>
          <w:rtl/>
        </w:rPr>
        <w:tab/>
      </w:r>
      <w:r w:rsidRPr="003E698F">
        <w:rPr>
          <w:rFonts w:hint="cs"/>
          <w:spacing w:val="0"/>
          <w:kern w:val="0"/>
          <w:sz w:val="20"/>
          <w:rtl/>
        </w:rPr>
        <w:t>وقد ثبت وجود</w:t>
      </w:r>
      <w:r w:rsidRPr="003E698F">
        <w:rPr>
          <w:spacing w:val="0"/>
          <w:kern w:val="0"/>
          <w:sz w:val="20"/>
          <w:rtl/>
        </w:rPr>
        <w:t xml:space="preserve"> تناقض في معلومات أخرى قدمها صاحب الشكوى إلى السلطات الكندية. وهكذا، فيما يتعلق باسمه وتاريخ ميلاده، قدم في طلب اللجوء في عام 2003 اسما</w:t>
      </w:r>
      <w:r w:rsidRPr="003E698F">
        <w:rPr>
          <w:rFonts w:hint="cs"/>
          <w:spacing w:val="0"/>
          <w:kern w:val="0"/>
          <w:sz w:val="20"/>
          <w:rtl/>
        </w:rPr>
        <w:t>ً</w:t>
      </w:r>
      <w:r w:rsidRPr="003E698F">
        <w:rPr>
          <w:spacing w:val="0"/>
          <w:kern w:val="0"/>
          <w:sz w:val="20"/>
          <w:rtl/>
        </w:rPr>
        <w:t xml:space="preserve"> مزورا</w:t>
      </w:r>
      <w:r w:rsidRPr="003E698F">
        <w:rPr>
          <w:rFonts w:hint="cs"/>
          <w:spacing w:val="0"/>
          <w:kern w:val="0"/>
          <w:sz w:val="20"/>
          <w:rtl/>
        </w:rPr>
        <w:t>ً</w:t>
      </w:r>
      <w:r w:rsidRPr="003E698F">
        <w:rPr>
          <w:spacing w:val="0"/>
          <w:kern w:val="0"/>
          <w:sz w:val="20"/>
          <w:rtl/>
        </w:rPr>
        <w:t xml:space="preserve">؛ وقدم تواريخ مختلفة لوصوله للمرة الأولى إلى كندا؛ وحاول الدخول إلى الولايات المتحدة باستخدام وثائق مزورة </w:t>
      </w:r>
      <w:r w:rsidRPr="003E698F">
        <w:rPr>
          <w:rFonts w:hint="eastAsia"/>
          <w:spacing w:val="0"/>
          <w:kern w:val="0"/>
          <w:sz w:val="20"/>
          <w:rtl/>
        </w:rPr>
        <w:t>ونفى</w:t>
      </w:r>
      <w:r w:rsidRPr="003E698F">
        <w:rPr>
          <w:spacing w:val="0"/>
          <w:kern w:val="0"/>
          <w:sz w:val="20"/>
          <w:rtl/>
        </w:rPr>
        <w:t xml:space="preserve"> طلبه اللجوء إلى كندا من قبل؛ وقال للمسؤول عن تقييم المخاطر قبل الترحيل في كانون الأول/ديسمبر 2007 إن والده لم يذهب إلى جمهورية الكونغو الديمقراطية منذ مدة طويلة في حين أن والده كان عائداً لتوه من الإقامة في هذا البلد لمدة 20 شهرا</w:t>
      </w:r>
      <w:r w:rsidRPr="003E698F">
        <w:rPr>
          <w:rFonts w:hint="cs"/>
          <w:spacing w:val="0"/>
          <w:kern w:val="0"/>
          <w:sz w:val="20"/>
          <w:rtl/>
        </w:rPr>
        <w:t>ً</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6-7</w:t>
      </w:r>
      <w:r w:rsidRPr="003E698F">
        <w:rPr>
          <w:spacing w:val="0"/>
          <w:kern w:val="0"/>
          <w:sz w:val="20"/>
          <w:rtl/>
        </w:rPr>
        <w:tab/>
        <w:t>وتكرر الدولة الطرف تعليقاتها بشأن التقرير الطبي المقدم من صاحب الشكوى. ف</w:t>
      </w:r>
      <w:r w:rsidRPr="003E698F">
        <w:rPr>
          <w:rFonts w:hint="cs"/>
          <w:spacing w:val="0"/>
          <w:kern w:val="0"/>
          <w:sz w:val="20"/>
          <w:rtl/>
        </w:rPr>
        <w:t xml:space="preserve">هذا </w:t>
      </w:r>
      <w:r w:rsidRPr="003E698F">
        <w:rPr>
          <w:spacing w:val="0"/>
          <w:kern w:val="0"/>
          <w:sz w:val="20"/>
          <w:rtl/>
        </w:rPr>
        <w:t>التقرير</w:t>
      </w:r>
      <w:r w:rsidRPr="003E698F">
        <w:rPr>
          <w:rFonts w:hint="cs"/>
          <w:spacing w:val="0"/>
          <w:kern w:val="0"/>
          <w:sz w:val="20"/>
          <w:rtl/>
        </w:rPr>
        <w:t xml:space="preserve"> </w:t>
      </w:r>
      <w:r w:rsidRPr="003E698F">
        <w:rPr>
          <w:spacing w:val="0"/>
          <w:kern w:val="0"/>
          <w:sz w:val="20"/>
          <w:rtl/>
        </w:rPr>
        <w:t>يشير، استناداً إلى أقوال صاحب الشكوى وبصورة غير قطعية، إلى أنه يعاني على ما</w:t>
      </w:r>
      <w:r w:rsidRPr="003E698F">
        <w:rPr>
          <w:rFonts w:hint="cs"/>
          <w:spacing w:val="0"/>
          <w:kern w:val="0"/>
          <w:sz w:val="20"/>
          <w:rtl/>
        </w:rPr>
        <w:t> </w:t>
      </w:r>
      <w:r w:rsidRPr="003E698F">
        <w:rPr>
          <w:spacing w:val="0"/>
          <w:kern w:val="0"/>
          <w:sz w:val="20"/>
          <w:rtl/>
        </w:rPr>
        <w:t xml:space="preserve">يبدو من اضطرابات نفسية. </w:t>
      </w:r>
      <w:r w:rsidRPr="003E698F">
        <w:rPr>
          <w:rFonts w:hint="cs"/>
          <w:spacing w:val="0"/>
          <w:kern w:val="0"/>
          <w:sz w:val="20"/>
          <w:rtl/>
        </w:rPr>
        <w:t xml:space="preserve">وتشير الدولة الطرف أيضا إلى أن </w:t>
      </w:r>
      <w:r w:rsidRPr="003E698F">
        <w:rPr>
          <w:spacing w:val="0"/>
          <w:kern w:val="0"/>
          <w:sz w:val="20"/>
          <w:rtl/>
        </w:rPr>
        <w:t xml:space="preserve">المسؤول عن </w:t>
      </w:r>
      <w:r w:rsidRPr="003E698F">
        <w:rPr>
          <w:rFonts w:hint="eastAsia"/>
          <w:spacing w:val="0"/>
          <w:kern w:val="0"/>
          <w:sz w:val="20"/>
          <w:rtl/>
        </w:rPr>
        <w:t>تقييم</w:t>
      </w:r>
      <w:r w:rsidRPr="003E698F">
        <w:rPr>
          <w:spacing w:val="0"/>
          <w:kern w:val="0"/>
          <w:sz w:val="20"/>
          <w:rtl/>
        </w:rPr>
        <w:t xml:space="preserve"> المخاطر </w:t>
      </w:r>
      <w:r w:rsidRPr="003E698F">
        <w:rPr>
          <w:rFonts w:hint="cs"/>
          <w:spacing w:val="0"/>
          <w:kern w:val="0"/>
          <w:sz w:val="20"/>
          <w:rtl/>
        </w:rPr>
        <w:t>كان على حق في عدم الاعتداد بالإقرارات</w:t>
      </w:r>
      <w:r w:rsidRPr="003E698F">
        <w:rPr>
          <w:spacing w:val="0"/>
          <w:kern w:val="0"/>
          <w:sz w:val="20"/>
          <w:rtl/>
        </w:rPr>
        <w:t xml:space="preserve"> </w:t>
      </w:r>
      <w:r w:rsidRPr="003E698F">
        <w:rPr>
          <w:rFonts w:hint="cs"/>
          <w:spacing w:val="0"/>
          <w:kern w:val="0"/>
          <w:sz w:val="20"/>
          <w:rtl/>
        </w:rPr>
        <w:t>المقدمة لدعم الشكوى، بما أن بعضها صدر عن أشخاص منحازين وبعضها الآخر جانبته الدقة</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6-8</w:t>
      </w:r>
      <w:r w:rsidRPr="003E698F">
        <w:rPr>
          <w:spacing w:val="0"/>
          <w:kern w:val="0"/>
          <w:sz w:val="20"/>
          <w:rtl/>
        </w:rPr>
        <w:tab/>
        <w:t xml:space="preserve">ولم يشارك صاحب الشكوى في أي وقت في أنشطة يمكن أن تؤدي إلى تعرضه للتعذيب. وهو ليس عضواً في </w:t>
      </w:r>
      <w:r w:rsidRPr="003E698F">
        <w:rPr>
          <w:rFonts w:hint="cs"/>
          <w:spacing w:val="0"/>
          <w:kern w:val="0"/>
          <w:sz w:val="20"/>
          <w:rtl/>
        </w:rPr>
        <w:t xml:space="preserve">أي </w:t>
      </w:r>
      <w:r w:rsidRPr="003E698F">
        <w:rPr>
          <w:spacing w:val="0"/>
          <w:kern w:val="0"/>
          <w:sz w:val="20"/>
          <w:rtl/>
        </w:rPr>
        <w:t xml:space="preserve">منظمة سياسية ولم يقدم الدليل على احتمال أن يشكل ماضيه الجنائي في الولايات المتحدة وترحيله منها </w:t>
      </w:r>
      <w:r w:rsidRPr="003E698F">
        <w:rPr>
          <w:rFonts w:hint="cs"/>
          <w:spacing w:val="0"/>
          <w:kern w:val="0"/>
          <w:sz w:val="20"/>
          <w:rtl/>
        </w:rPr>
        <w:t xml:space="preserve">في حد ذاته </w:t>
      </w:r>
      <w:r w:rsidRPr="003E698F">
        <w:rPr>
          <w:spacing w:val="0"/>
          <w:kern w:val="0"/>
          <w:sz w:val="20"/>
          <w:rtl/>
        </w:rPr>
        <w:t>خطراً للتعرض للتعذيب. و</w:t>
      </w:r>
      <w:r w:rsidRPr="003E698F">
        <w:rPr>
          <w:rFonts w:hint="cs"/>
          <w:spacing w:val="0"/>
          <w:kern w:val="0"/>
          <w:sz w:val="20"/>
          <w:rtl/>
        </w:rPr>
        <w:t xml:space="preserve">قد أفيد بأن والدي </w:t>
      </w:r>
      <w:r w:rsidRPr="003E698F">
        <w:rPr>
          <w:spacing w:val="0"/>
          <w:kern w:val="0"/>
          <w:sz w:val="20"/>
          <w:rtl/>
        </w:rPr>
        <w:t xml:space="preserve">صاحب الشكوى </w:t>
      </w:r>
      <w:r w:rsidRPr="003E698F">
        <w:rPr>
          <w:rFonts w:hint="cs"/>
          <w:spacing w:val="0"/>
          <w:kern w:val="0"/>
          <w:sz w:val="20"/>
          <w:rtl/>
        </w:rPr>
        <w:t xml:space="preserve">أمضيا </w:t>
      </w:r>
      <w:r w:rsidRPr="003E698F">
        <w:rPr>
          <w:spacing w:val="0"/>
          <w:kern w:val="0"/>
          <w:sz w:val="20"/>
          <w:rtl/>
        </w:rPr>
        <w:t>بعض الوقت في جمهورية الكونغو الديمقراطية</w:t>
      </w:r>
      <w:r w:rsidRPr="003E698F">
        <w:rPr>
          <w:rFonts w:hint="cs"/>
          <w:spacing w:val="0"/>
          <w:kern w:val="0"/>
          <w:sz w:val="20"/>
          <w:rtl/>
        </w:rPr>
        <w:t xml:space="preserve"> في السنوات الأخيرة</w:t>
      </w:r>
      <w:r w:rsidRPr="003E698F">
        <w:rPr>
          <w:spacing w:val="0"/>
          <w:kern w:val="0"/>
          <w:sz w:val="20"/>
          <w:rtl/>
        </w:rPr>
        <w:t xml:space="preserve"> </w:t>
      </w:r>
      <w:r w:rsidRPr="003E698F">
        <w:rPr>
          <w:rFonts w:hint="cs"/>
          <w:spacing w:val="0"/>
          <w:kern w:val="0"/>
          <w:sz w:val="20"/>
          <w:rtl/>
        </w:rPr>
        <w:t>(</w:t>
      </w:r>
      <w:r w:rsidRPr="003E698F">
        <w:rPr>
          <w:spacing w:val="0"/>
          <w:kern w:val="0"/>
          <w:sz w:val="20"/>
          <w:rtl/>
        </w:rPr>
        <w:t>وأمضى والد صاحب الشكوى الفترة بين آذار/مارس 2006 وتشرين الثاني/نوفمبر 2007 بالتحديد في هذا البلد</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دون أن </w:t>
      </w:r>
      <w:r w:rsidRPr="003E698F">
        <w:rPr>
          <w:spacing w:val="0"/>
          <w:kern w:val="0"/>
          <w:sz w:val="20"/>
          <w:rtl/>
        </w:rPr>
        <w:t>يتعرض</w:t>
      </w:r>
      <w:r w:rsidRPr="003E698F">
        <w:rPr>
          <w:rFonts w:hint="cs"/>
          <w:spacing w:val="0"/>
          <w:kern w:val="0"/>
          <w:sz w:val="20"/>
          <w:rtl/>
        </w:rPr>
        <w:t>ا</w:t>
      </w:r>
      <w:r w:rsidRPr="003E698F">
        <w:rPr>
          <w:spacing w:val="0"/>
          <w:kern w:val="0"/>
          <w:sz w:val="20"/>
          <w:rtl/>
        </w:rPr>
        <w:t xml:space="preserve"> للاحتجاز أو التعذيب. وقدم صاحب الشكوى </w:t>
      </w:r>
      <w:r w:rsidRPr="003E698F">
        <w:rPr>
          <w:rFonts w:hint="cs"/>
          <w:spacing w:val="0"/>
          <w:kern w:val="0"/>
          <w:sz w:val="20"/>
          <w:rtl/>
        </w:rPr>
        <w:t>رسالة موجهة</w:t>
      </w:r>
      <w:r w:rsidRPr="003E698F">
        <w:rPr>
          <w:spacing w:val="0"/>
          <w:kern w:val="0"/>
          <w:sz w:val="20"/>
          <w:rtl/>
        </w:rPr>
        <w:t xml:space="preserve"> من أحد الأعضاء في حزب الاتحاد من أجل الديمقراطية والتق</w:t>
      </w:r>
      <w:r w:rsidRPr="003E698F">
        <w:rPr>
          <w:rFonts w:hint="eastAsia"/>
          <w:spacing w:val="0"/>
          <w:kern w:val="0"/>
          <w:sz w:val="20"/>
          <w:rtl/>
        </w:rPr>
        <w:t>دم</w:t>
      </w:r>
      <w:r w:rsidRPr="003E698F">
        <w:rPr>
          <w:spacing w:val="0"/>
          <w:kern w:val="0"/>
          <w:sz w:val="20"/>
          <w:rtl/>
        </w:rPr>
        <w:t xml:space="preserve"> الاجتماعي </w:t>
      </w:r>
      <w:r w:rsidRPr="003E698F">
        <w:rPr>
          <w:rFonts w:hint="cs"/>
          <w:spacing w:val="0"/>
          <w:kern w:val="0"/>
          <w:sz w:val="20"/>
          <w:rtl/>
        </w:rPr>
        <w:t xml:space="preserve">تفيد بتوجيه </w:t>
      </w:r>
      <w:r w:rsidRPr="003E698F">
        <w:rPr>
          <w:spacing w:val="0"/>
          <w:kern w:val="0"/>
          <w:sz w:val="20"/>
          <w:rtl/>
        </w:rPr>
        <w:t xml:space="preserve">تهديدات </w:t>
      </w:r>
      <w:r w:rsidRPr="003E698F">
        <w:rPr>
          <w:rFonts w:hint="cs"/>
          <w:spacing w:val="0"/>
          <w:kern w:val="0"/>
          <w:sz w:val="20"/>
          <w:rtl/>
        </w:rPr>
        <w:t>ل</w:t>
      </w:r>
      <w:r w:rsidRPr="003E698F">
        <w:rPr>
          <w:spacing w:val="0"/>
          <w:kern w:val="0"/>
          <w:sz w:val="20"/>
          <w:rtl/>
        </w:rPr>
        <w:t>والده من جانب الشرطة أثناء محاولته استرداد منزله</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غير أنه لا يوجد ما يفيد عن وقوع أي حادث انطوى على </w:t>
      </w:r>
      <w:r w:rsidRPr="003E698F">
        <w:rPr>
          <w:spacing w:val="0"/>
          <w:kern w:val="0"/>
          <w:sz w:val="20"/>
          <w:rtl/>
        </w:rPr>
        <w:t>احتجاز أو اعتداء بدني.</w:t>
      </w:r>
    </w:p>
    <w:p w:rsidR="00921F02" w:rsidRPr="003E698F" w:rsidRDefault="00921F02" w:rsidP="00921F02">
      <w:pPr>
        <w:pStyle w:val="SingleTxtGA"/>
        <w:jc w:val="lowKashida"/>
        <w:rPr>
          <w:spacing w:val="0"/>
          <w:kern w:val="0"/>
          <w:sz w:val="20"/>
          <w:rtl/>
        </w:rPr>
      </w:pPr>
      <w:r w:rsidRPr="003E698F">
        <w:rPr>
          <w:spacing w:val="0"/>
          <w:kern w:val="0"/>
          <w:sz w:val="20"/>
          <w:rtl/>
        </w:rPr>
        <w:t>6-9</w:t>
      </w:r>
      <w:r w:rsidRPr="003E698F">
        <w:rPr>
          <w:spacing w:val="0"/>
          <w:kern w:val="0"/>
          <w:sz w:val="20"/>
          <w:rtl/>
        </w:rPr>
        <w:tab/>
        <w:t>وقد أعطى القاضي الأمريكي</w:t>
      </w:r>
      <w:r w:rsidRPr="003E698F">
        <w:rPr>
          <w:rFonts w:hint="cs"/>
          <w:spacing w:val="0"/>
          <w:kern w:val="0"/>
          <w:sz w:val="20"/>
          <w:rtl/>
        </w:rPr>
        <w:t>،</w:t>
      </w:r>
      <w:r w:rsidRPr="003E698F">
        <w:rPr>
          <w:spacing w:val="0"/>
          <w:kern w:val="0"/>
          <w:sz w:val="20"/>
          <w:rtl/>
        </w:rPr>
        <w:t xml:space="preserve"> الذي خلص في عام 2005 إلى وجود خطر التعذيب</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أهمية </w:t>
      </w:r>
      <w:r w:rsidRPr="003E698F">
        <w:rPr>
          <w:spacing w:val="0"/>
          <w:kern w:val="0"/>
          <w:sz w:val="20"/>
          <w:rtl/>
        </w:rPr>
        <w:t>كبير</w:t>
      </w:r>
      <w:r w:rsidRPr="003E698F">
        <w:rPr>
          <w:rFonts w:hint="cs"/>
          <w:spacing w:val="0"/>
          <w:kern w:val="0"/>
          <w:sz w:val="20"/>
          <w:rtl/>
        </w:rPr>
        <w:t>ة</w:t>
      </w:r>
      <w:r w:rsidRPr="003E698F">
        <w:rPr>
          <w:spacing w:val="0"/>
          <w:kern w:val="0"/>
          <w:sz w:val="20"/>
          <w:rtl/>
        </w:rPr>
        <w:t xml:space="preserve"> لحالة والد صاحب الشكوى. بيد أن والد صاحب الشكوى أقام في جمهورية الكونغو الديمقراطية بعد هذا التاريخ دون </w:t>
      </w:r>
      <w:r w:rsidRPr="003E698F">
        <w:rPr>
          <w:rFonts w:hint="cs"/>
          <w:spacing w:val="0"/>
          <w:kern w:val="0"/>
          <w:sz w:val="20"/>
          <w:rtl/>
        </w:rPr>
        <w:t>أن يُحتجز</w:t>
      </w:r>
      <w:r w:rsidRPr="003E698F">
        <w:rPr>
          <w:spacing w:val="0"/>
          <w:kern w:val="0"/>
          <w:sz w:val="20"/>
          <w:rtl/>
        </w:rPr>
        <w:t>. و</w:t>
      </w:r>
      <w:r w:rsidRPr="003E698F">
        <w:rPr>
          <w:rFonts w:hint="cs"/>
          <w:spacing w:val="0"/>
          <w:kern w:val="0"/>
          <w:sz w:val="20"/>
          <w:rtl/>
        </w:rPr>
        <w:t xml:space="preserve">بالإضافة إلى ذلك، </w:t>
      </w:r>
      <w:r w:rsidRPr="003E698F">
        <w:rPr>
          <w:spacing w:val="0"/>
          <w:kern w:val="0"/>
          <w:sz w:val="20"/>
          <w:rtl/>
        </w:rPr>
        <w:t xml:space="preserve">لم يكن القاضي، على ما يبدو، على علم بالمعلومات الكاذبة التي </w:t>
      </w:r>
      <w:r w:rsidRPr="003E698F">
        <w:rPr>
          <w:rFonts w:hint="eastAsia"/>
          <w:spacing w:val="0"/>
          <w:kern w:val="0"/>
          <w:sz w:val="20"/>
          <w:rtl/>
        </w:rPr>
        <w:t>قدمها</w:t>
      </w:r>
      <w:r w:rsidRPr="003E698F">
        <w:rPr>
          <w:spacing w:val="0"/>
          <w:kern w:val="0"/>
          <w:sz w:val="20"/>
          <w:rtl/>
        </w:rPr>
        <w:t xml:space="preserve"> صاحب الشكوى إلى السلطات الكندية عندما طلب اللجوء في عام 2003. </w:t>
      </w:r>
    </w:p>
    <w:p w:rsidR="00921F02" w:rsidRPr="00B32542" w:rsidRDefault="00921F02" w:rsidP="00921F02">
      <w:pPr>
        <w:pStyle w:val="SingleTxtGA"/>
        <w:jc w:val="lowKashida"/>
        <w:rPr>
          <w:rFonts w:hint="cs"/>
          <w:spacing w:val="-2"/>
          <w:kern w:val="0"/>
          <w:sz w:val="20"/>
          <w:rtl/>
        </w:rPr>
      </w:pPr>
      <w:r w:rsidRPr="00B32542">
        <w:rPr>
          <w:spacing w:val="-2"/>
          <w:kern w:val="0"/>
          <w:sz w:val="20"/>
          <w:rtl/>
        </w:rPr>
        <w:t>6-10</w:t>
      </w:r>
      <w:r w:rsidRPr="00B32542">
        <w:rPr>
          <w:spacing w:val="-2"/>
          <w:kern w:val="0"/>
          <w:sz w:val="20"/>
          <w:rtl/>
        </w:rPr>
        <w:tab/>
        <w:t xml:space="preserve">وأخيراً، تشير الدولة الطرف إلى أن حالات التعذيب المرتكب ضد أعضاء حزب الاتحاد من أجل الديمقراطية والتقدم الاجتماعي أو جماعة اللوبا في </w:t>
      </w:r>
      <w:r w:rsidRPr="00B32542">
        <w:rPr>
          <w:rFonts w:hint="cs"/>
          <w:spacing w:val="-2"/>
          <w:kern w:val="0"/>
          <w:sz w:val="20"/>
          <w:rtl/>
        </w:rPr>
        <w:t>إقليم</w:t>
      </w:r>
      <w:r w:rsidRPr="00B32542">
        <w:rPr>
          <w:spacing w:val="-2"/>
          <w:kern w:val="0"/>
          <w:sz w:val="20"/>
          <w:rtl/>
        </w:rPr>
        <w:t xml:space="preserve"> كاساي المشار إليها في التقارير المتعلقة بحالة حقوق الإنسان في جمهورية الكونغو الديمقراطية، مثل تقرير منظمة العفو الدول</w:t>
      </w:r>
      <w:r w:rsidRPr="00B32542">
        <w:rPr>
          <w:rFonts w:hint="eastAsia"/>
          <w:spacing w:val="-2"/>
          <w:kern w:val="0"/>
          <w:sz w:val="20"/>
          <w:rtl/>
        </w:rPr>
        <w:t>ية</w:t>
      </w:r>
      <w:r w:rsidRPr="00B32542">
        <w:rPr>
          <w:spacing w:val="-2"/>
          <w:kern w:val="0"/>
          <w:sz w:val="20"/>
          <w:rtl/>
        </w:rPr>
        <w:t xml:space="preserve"> لعام 2007 أو تقرير وزارة الخارجية في الولايات المتحدة لعام 2008، قليلة للغاية.</w:t>
      </w:r>
    </w:p>
    <w:p w:rsidR="00921F02" w:rsidRPr="003E698F" w:rsidRDefault="00921F02" w:rsidP="00921F02">
      <w:pPr>
        <w:pStyle w:val="H23GA"/>
        <w:jc w:val="lowKashida"/>
        <w:rPr>
          <w:spacing w:val="0"/>
          <w:kern w:val="0"/>
          <w:sz w:val="20"/>
          <w:rtl/>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تعليقات صاحب الشكوى على ملاحظات الدولة الطرف بشأن الأسس الموضوعية</w:t>
      </w:r>
    </w:p>
    <w:p w:rsidR="00921F02" w:rsidRPr="003E698F" w:rsidRDefault="00921F02" w:rsidP="00921F02">
      <w:pPr>
        <w:pStyle w:val="SingleTxtGA"/>
        <w:jc w:val="lowKashida"/>
        <w:rPr>
          <w:spacing w:val="0"/>
          <w:kern w:val="0"/>
          <w:sz w:val="20"/>
          <w:rtl/>
        </w:rPr>
      </w:pPr>
      <w:r w:rsidRPr="003E698F">
        <w:rPr>
          <w:spacing w:val="0"/>
          <w:kern w:val="0"/>
          <w:sz w:val="20"/>
          <w:rtl/>
        </w:rPr>
        <w:t>7-1</w:t>
      </w:r>
      <w:r w:rsidRPr="003E698F">
        <w:rPr>
          <w:spacing w:val="0"/>
          <w:kern w:val="0"/>
          <w:sz w:val="20"/>
          <w:rtl/>
        </w:rPr>
        <w:tab/>
        <w:t>في 17 حزيران/يونيه 2009، قدم صاحب الشكوى تعليقات على ملاحظات الدولة الطرف. و</w:t>
      </w:r>
      <w:r w:rsidRPr="003E698F">
        <w:rPr>
          <w:rFonts w:hint="cs"/>
          <w:spacing w:val="0"/>
          <w:kern w:val="0"/>
          <w:sz w:val="20"/>
          <w:rtl/>
        </w:rPr>
        <w:t xml:space="preserve">يشير فيها </w:t>
      </w:r>
      <w:r w:rsidRPr="003E698F">
        <w:rPr>
          <w:spacing w:val="0"/>
          <w:kern w:val="0"/>
          <w:sz w:val="20"/>
          <w:rtl/>
        </w:rPr>
        <w:t>إلى أنه قدم طلباً لمراجعة قرار المسؤول عن تقييم المخاطر قبل ترحيل</w:t>
      </w:r>
      <w:r w:rsidRPr="003E698F">
        <w:rPr>
          <w:rFonts w:hint="cs"/>
          <w:spacing w:val="0"/>
          <w:kern w:val="0"/>
          <w:sz w:val="20"/>
          <w:rtl/>
        </w:rPr>
        <w:t>ه</w:t>
      </w:r>
      <w:r w:rsidRPr="003E698F">
        <w:rPr>
          <w:spacing w:val="0"/>
          <w:kern w:val="0"/>
          <w:sz w:val="20"/>
          <w:rtl/>
        </w:rPr>
        <w:t xml:space="preserve">. وليس لديه بعد رفض هذا الطلب سبل انتصاف أخرى للطعن في الترحيل. ورفض أيضاً الطلب الذي قدمه لتأجيل الترحيل </w:t>
      </w:r>
      <w:r w:rsidRPr="003E698F">
        <w:rPr>
          <w:rFonts w:hint="eastAsia"/>
          <w:spacing w:val="0"/>
          <w:kern w:val="0"/>
          <w:sz w:val="20"/>
          <w:rtl/>
        </w:rPr>
        <w:t>إلى</w:t>
      </w:r>
      <w:r w:rsidRPr="003E698F">
        <w:rPr>
          <w:spacing w:val="0"/>
          <w:kern w:val="0"/>
          <w:sz w:val="20"/>
          <w:rtl/>
        </w:rPr>
        <w:t xml:space="preserve"> حين الفصل في الطلب الذي قدمه للحصول على مساعدة إنسانية</w:t>
      </w:r>
      <w:r w:rsidRPr="003E698F">
        <w:rPr>
          <w:rFonts w:hint="cs"/>
          <w:spacing w:val="0"/>
          <w:kern w:val="0"/>
          <w:sz w:val="20"/>
          <w:rtl/>
        </w:rPr>
        <w:t xml:space="preserve"> ووجدانية</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7-2</w:t>
      </w:r>
      <w:r w:rsidRPr="003E698F">
        <w:rPr>
          <w:spacing w:val="0"/>
          <w:kern w:val="0"/>
          <w:sz w:val="20"/>
          <w:rtl/>
        </w:rPr>
        <w:tab/>
        <w:t xml:space="preserve">ويبرر صاحب الشكوى وقف الإجراءات المتعلقة بطلب اللجوء بإصابته باضطرابات </w:t>
      </w:r>
      <w:r w:rsidRPr="003E698F">
        <w:rPr>
          <w:rFonts w:hint="cs"/>
          <w:spacing w:val="0"/>
          <w:kern w:val="0"/>
          <w:sz w:val="20"/>
          <w:rtl/>
        </w:rPr>
        <w:t>ما بعد الصدمة</w:t>
      </w:r>
      <w:r w:rsidRPr="003E698F">
        <w:rPr>
          <w:spacing w:val="0"/>
          <w:kern w:val="0"/>
          <w:sz w:val="20"/>
          <w:rtl/>
        </w:rPr>
        <w:t xml:space="preserve">، وقد تأكد ذلك بالتقرير الطبي الذي أعدته طبيبة متخصصة في </w:t>
      </w:r>
      <w:r w:rsidRPr="003E698F">
        <w:rPr>
          <w:rFonts w:hint="cs"/>
          <w:spacing w:val="0"/>
          <w:kern w:val="0"/>
          <w:sz w:val="20"/>
          <w:rtl/>
        </w:rPr>
        <w:t>مثل هذه المسائل</w:t>
      </w:r>
      <w:r w:rsidRPr="003E698F">
        <w:rPr>
          <w:spacing w:val="0"/>
          <w:kern w:val="0"/>
          <w:sz w:val="20"/>
          <w:rtl/>
        </w:rPr>
        <w:t xml:space="preserve">. وفيما يتعلق بالتناقضات التي أشارت إليها الدولة الطرف في أقواله أمام السلطات الكندية، لا ينبغي </w:t>
      </w:r>
      <w:r w:rsidRPr="003E698F">
        <w:rPr>
          <w:rFonts w:hint="eastAsia"/>
          <w:spacing w:val="0"/>
          <w:kern w:val="0"/>
          <w:sz w:val="20"/>
          <w:rtl/>
        </w:rPr>
        <w:t>أن</w:t>
      </w:r>
      <w:r w:rsidRPr="003E698F">
        <w:rPr>
          <w:spacing w:val="0"/>
          <w:kern w:val="0"/>
          <w:sz w:val="20"/>
          <w:rtl/>
        </w:rPr>
        <w:t xml:space="preserve"> تولي اللجنة أهمية لهذا الادعاء، لعدم وجود تسجيلات لجلسة الاستماع التي أجراها المسؤول عن تقييم المخاطر قبل الترحيل وعدم وجود بالتالي دليل على هذه التناقضات. وقد سئل عندئذ عن المكان الذي يوجد فيه والده وأجاب بأنه سافر إلى الكونغو للمشاركة في الانتخابات.و</w:t>
      </w:r>
      <w:r w:rsidRPr="003E698F">
        <w:rPr>
          <w:rFonts w:hint="eastAsia"/>
          <w:spacing w:val="0"/>
          <w:kern w:val="0"/>
          <w:sz w:val="20"/>
          <w:rtl/>
        </w:rPr>
        <w:t>لا</w:t>
      </w:r>
      <w:r w:rsidRPr="003E698F">
        <w:rPr>
          <w:spacing w:val="0"/>
          <w:kern w:val="0"/>
          <w:sz w:val="20"/>
          <w:rtl/>
        </w:rPr>
        <w:t xml:space="preserve"> يتناقض هذا الرد مع المعلومات التي </w:t>
      </w:r>
      <w:r w:rsidRPr="003E698F">
        <w:rPr>
          <w:rFonts w:hint="cs"/>
          <w:spacing w:val="0"/>
          <w:kern w:val="0"/>
          <w:sz w:val="20"/>
          <w:rtl/>
        </w:rPr>
        <w:t xml:space="preserve">سبق أن </w:t>
      </w:r>
      <w:r w:rsidRPr="003E698F">
        <w:rPr>
          <w:spacing w:val="0"/>
          <w:kern w:val="0"/>
          <w:sz w:val="20"/>
          <w:rtl/>
        </w:rPr>
        <w:t>قدمها.</w:t>
      </w:r>
    </w:p>
    <w:p w:rsidR="00921F02" w:rsidRPr="009E31FC" w:rsidRDefault="00921F02" w:rsidP="009E31FC">
      <w:pPr>
        <w:pStyle w:val="SingleTxtGA"/>
        <w:jc w:val="lowKashida"/>
        <w:rPr>
          <w:spacing w:val="-4"/>
          <w:kern w:val="0"/>
          <w:sz w:val="20"/>
          <w:rtl/>
        </w:rPr>
      </w:pPr>
      <w:r w:rsidRPr="009E31FC">
        <w:rPr>
          <w:spacing w:val="-4"/>
          <w:kern w:val="0"/>
          <w:sz w:val="20"/>
          <w:rtl/>
        </w:rPr>
        <w:t>7-3</w:t>
      </w:r>
      <w:r w:rsidRPr="009E31FC">
        <w:rPr>
          <w:spacing w:val="-4"/>
          <w:kern w:val="0"/>
          <w:sz w:val="20"/>
          <w:rtl/>
        </w:rPr>
        <w:tab/>
        <w:t>ويكرر صاحب الشكوى أنه تعرض للتعذيب في الكونغو بسبب الآراء السياسية لوالده،</w:t>
      </w:r>
      <w:r w:rsidR="009E31FC">
        <w:rPr>
          <w:rFonts w:hint="cs"/>
          <w:spacing w:val="-4"/>
          <w:kern w:val="0"/>
          <w:sz w:val="20"/>
          <w:rtl/>
        </w:rPr>
        <w:t> </w:t>
      </w:r>
      <w:r w:rsidRPr="009E31FC">
        <w:rPr>
          <w:spacing w:val="-4"/>
          <w:kern w:val="0"/>
          <w:sz w:val="20"/>
          <w:rtl/>
        </w:rPr>
        <w:t>وأنه يخشى، نظراً لتعذيبه من قبل، أن يتم تعذيبه مرة أخرى. وفيما يتعلق بملاحظة الدولة الطرف أن والده لم يتعرض في الكونغو للإزعاج، قال إن والده يحمل جواز سفر أمريكي، و</w:t>
      </w:r>
      <w:r w:rsidRPr="009E31FC">
        <w:rPr>
          <w:rFonts w:hint="cs"/>
          <w:spacing w:val="-4"/>
          <w:kern w:val="0"/>
          <w:sz w:val="20"/>
          <w:rtl/>
        </w:rPr>
        <w:t>إ</w:t>
      </w:r>
      <w:r w:rsidRPr="009E31FC">
        <w:rPr>
          <w:spacing w:val="-4"/>
          <w:kern w:val="0"/>
          <w:sz w:val="20"/>
          <w:rtl/>
        </w:rPr>
        <w:t>ن ذلك يوفر له بعض الحماية، في حين أنه يحمل الجنسية الكونغولية. ويفسر هذا اختلاف معاملة كل منهما. وإذا تم الترحيل، سيعامل في مطار جمهورية الكونغو الديمقراطية بوصفه من الأشخاص الخاضعين للترح</w:t>
      </w:r>
      <w:r w:rsidRPr="009E31FC">
        <w:rPr>
          <w:rFonts w:hint="cs"/>
          <w:spacing w:val="-4"/>
          <w:kern w:val="0"/>
          <w:sz w:val="20"/>
          <w:rtl/>
        </w:rPr>
        <w:t>يل</w:t>
      </w:r>
      <w:r w:rsidRPr="009E31FC">
        <w:rPr>
          <w:spacing w:val="-4"/>
          <w:kern w:val="0"/>
          <w:sz w:val="20"/>
          <w:rtl/>
        </w:rPr>
        <w:t>، وسيسبب له هذا السياق مشاكل مع السلطات الكونغولية.</w:t>
      </w:r>
    </w:p>
    <w:p w:rsidR="00921F02" w:rsidRPr="003E698F" w:rsidRDefault="00921F02" w:rsidP="00921F02">
      <w:pPr>
        <w:pStyle w:val="SingleTxtGA"/>
        <w:jc w:val="lowKashida"/>
        <w:rPr>
          <w:spacing w:val="0"/>
          <w:kern w:val="0"/>
          <w:sz w:val="20"/>
          <w:rtl/>
        </w:rPr>
      </w:pPr>
      <w:r w:rsidRPr="003E698F">
        <w:rPr>
          <w:spacing w:val="0"/>
          <w:kern w:val="0"/>
          <w:sz w:val="20"/>
          <w:rtl/>
        </w:rPr>
        <w:t>7-4</w:t>
      </w:r>
      <w:r w:rsidRPr="003E698F">
        <w:rPr>
          <w:spacing w:val="0"/>
          <w:kern w:val="0"/>
          <w:sz w:val="20"/>
          <w:rtl/>
        </w:rPr>
        <w:tab/>
        <w:t>وأقر صاحب الشكوى بأنه لم يذكر في طلب اللجوء إلى كندا أنه ابن إيلونغا أندريه كالونزو. وقال إن السبب في ذلك هو اعتقاده، بعد ما تعرض له في جمهورية الكونغو الديمقراطية بسبب علاقته بوالده، أن أفضل سبيل للأمان هو عدم الإشارة إلى هذه العلاقة.</w:t>
      </w:r>
    </w:p>
    <w:p w:rsidR="00921F02" w:rsidRPr="003E698F" w:rsidRDefault="00921F02" w:rsidP="00921F02">
      <w:pPr>
        <w:pStyle w:val="SingleTxtGA"/>
        <w:jc w:val="lowKashida"/>
        <w:rPr>
          <w:spacing w:val="0"/>
          <w:kern w:val="0"/>
          <w:sz w:val="20"/>
          <w:rtl/>
        </w:rPr>
      </w:pPr>
      <w:r w:rsidRPr="003E698F">
        <w:rPr>
          <w:spacing w:val="0"/>
          <w:kern w:val="0"/>
          <w:sz w:val="20"/>
          <w:rtl/>
        </w:rPr>
        <w:t>7-5</w:t>
      </w:r>
      <w:r w:rsidRPr="003E698F">
        <w:rPr>
          <w:spacing w:val="0"/>
          <w:kern w:val="0"/>
          <w:sz w:val="20"/>
          <w:rtl/>
        </w:rPr>
        <w:tab/>
        <w:t>وأغفلت الدولة الطرف الإشارة إلى الوقف الاختياري لترحيل رعايا جمهورية الكونغو الديمقراطية إلى هذا البلد بسبب انعدام الأمن فيه. ولم يتغير الوضع في جمهورية الكونغو الديمقراطية منذ أن منحه القاضي الأمريكي الحماية على أساس تعرضه لخطر التعذيب. ولا يزال المحت</w:t>
      </w:r>
      <w:r w:rsidRPr="003E698F">
        <w:rPr>
          <w:rFonts w:hint="eastAsia"/>
          <w:spacing w:val="0"/>
          <w:kern w:val="0"/>
          <w:sz w:val="20"/>
          <w:rtl/>
        </w:rPr>
        <w:t>جزون</w:t>
      </w:r>
      <w:r w:rsidRPr="003E698F">
        <w:rPr>
          <w:spacing w:val="0"/>
          <w:kern w:val="0"/>
          <w:sz w:val="20"/>
          <w:rtl/>
        </w:rPr>
        <w:t xml:space="preserve"> يتعرضون للتعذيب في هذا البلد، بغض النظر عن انتمائهم أو</w:t>
      </w:r>
      <w:r w:rsidRPr="003E698F">
        <w:rPr>
          <w:rFonts w:hint="cs"/>
          <w:spacing w:val="0"/>
          <w:kern w:val="0"/>
          <w:sz w:val="20"/>
          <w:rtl/>
        </w:rPr>
        <w:t> </w:t>
      </w:r>
      <w:r w:rsidRPr="003E698F">
        <w:rPr>
          <w:spacing w:val="0"/>
          <w:kern w:val="0"/>
          <w:sz w:val="20"/>
          <w:rtl/>
        </w:rPr>
        <w:t xml:space="preserve">عدم انتمائهم إلى حزب سياسي. وأشار، في هذا الصدد، إلى تقرير وزارة الخارجية الأمريكية لعام 2008، وتقرير منظمة العفو الدولية </w:t>
      </w:r>
      <w:r w:rsidR="002C2A9D">
        <w:rPr>
          <w:rFonts w:hint="cs"/>
          <w:spacing w:val="0"/>
          <w:kern w:val="0"/>
          <w:sz w:val="20"/>
          <w:rtl/>
        </w:rPr>
        <w:t xml:space="preserve">لعام 2007 </w:t>
      </w:r>
      <w:r w:rsidRPr="003E698F">
        <w:rPr>
          <w:spacing w:val="0"/>
          <w:kern w:val="0"/>
          <w:sz w:val="20"/>
          <w:rtl/>
        </w:rPr>
        <w:t xml:space="preserve">عن الحالة في هذا البلد. </w:t>
      </w:r>
    </w:p>
    <w:p w:rsidR="00921F02" w:rsidRPr="003E698F" w:rsidRDefault="00921F02" w:rsidP="00921F02">
      <w:pPr>
        <w:pStyle w:val="SingleTxtGA"/>
        <w:jc w:val="lowKashida"/>
        <w:rPr>
          <w:spacing w:val="0"/>
          <w:kern w:val="0"/>
          <w:sz w:val="20"/>
          <w:rtl/>
        </w:rPr>
      </w:pPr>
      <w:r w:rsidRPr="003E698F">
        <w:rPr>
          <w:spacing w:val="0"/>
          <w:kern w:val="0"/>
          <w:sz w:val="20"/>
          <w:rtl/>
        </w:rPr>
        <w:t>7-6</w:t>
      </w:r>
      <w:r w:rsidRPr="003E698F">
        <w:rPr>
          <w:spacing w:val="0"/>
          <w:kern w:val="0"/>
          <w:sz w:val="20"/>
          <w:rtl/>
        </w:rPr>
        <w:tab/>
        <w:t>وأخيراً، يشير صاحب الشكوى إلى أن</w:t>
      </w:r>
      <w:r w:rsidRPr="003E698F">
        <w:rPr>
          <w:rFonts w:hint="cs"/>
          <w:spacing w:val="0"/>
          <w:kern w:val="0"/>
          <w:sz w:val="20"/>
          <w:rtl/>
        </w:rPr>
        <w:t>ه</w:t>
      </w:r>
      <w:r w:rsidRPr="003E698F">
        <w:rPr>
          <w:spacing w:val="0"/>
          <w:kern w:val="0"/>
          <w:sz w:val="20"/>
          <w:rtl/>
        </w:rPr>
        <w:t xml:space="preserve"> </w:t>
      </w:r>
      <w:r w:rsidRPr="003E698F">
        <w:rPr>
          <w:rFonts w:hint="cs"/>
          <w:spacing w:val="0"/>
          <w:kern w:val="0"/>
          <w:sz w:val="20"/>
          <w:rtl/>
        </w:rPr>
        <w:t xml:space="preserve">حصل على </w:t>
      </w:r>
      <w:r w:rsidRPr="003E698F">
        <w:rPr>
          <w:spacing w:val="0"/>
          <w:kern w:val="0"/>
          <w:sz w:val="20"/>
          <w:rtl/>
        </w:rPr>
        <w:t>وظيفة منذ وصوله إلى كندا وأنه أب لطفلة كندية. وطلب إلى اللجنة أن تجد حلاً لعدم الفصل بينه وبين ابنته ورفيقته اللتين تقيمان في كندا.</w:t>
      </w:r>
    </w:p>
    <w:p w:rsidR="00921F02" w:rsidRPr="003E698F" w:rsidRDefault="00921F02" w:rsidP="00921F02">
      <w:pPr>
        <w:pStyle w:val="H23GA"/>
        <w:jc w:val="lowKashida"/>
        <w:rPr>
          <w:spacing w:val="0"/>
          <w:kern w:val="0"/>
          <w:sz w:val="20"/>
          <w:rtl/>
        </w:rPr>
      </w:pPr>
      <w:r w:rsidRPr="003E698F">
        <w:rPr>
          <w:spacing w:val="0"/>
          <w:kern w:val="0"/>
          <w:sz w:val="20"/>
          <w:rtl/>
        </w:rPr>
        <w:tab/>
      </w:r>
      <w:r w:rsidRPr="003E698F">
        <w:rPr>
          <w:spacing w:val="0"/>
          <w:kern w:val="0"/>
          <w:sz w:val="20"/>
          <w:rtl/>
        </w:rPr>
        <w:tab/>
      </w:r>
      <w:r w:rsidRPr="003E698F">
        <w:rPr>
          <w:rFonts w:hint="cs"/>
          <w:spacing w:val="0"/>
          <w:kern w:val="0"/>
          <w:sz w:val="20"/>
          <w:rtl/>
        </w:rPr>
        <w:t xml:space="preserve">المسائل والإجراءات المعروضة على </w:t>
      </w:r>
      <w:r w:rsidRPr="003E698F">
        <w:rPr>
          <w:spacing w:val="0"/>
          <w:kern w:val="0"/>
          <w:sz w:val="20"/>
          <w:rtl/>
        </w:rPr>
        <w:t>اللجنة</w:t>
      </w:r>
    </w:p>
    <w:p w:rsidR="00921F02" w:rsidRPr="003E698F" w:rsidRDefault="00921F02" w:rsidP="00921F02">
      <w:pPr>
        <w:pStyle w:val="H4GA"/>
        <w:jc w:val="lowKashida"/>
        <w:rPr>
          <w:spacing w:val="0"/>
          <w:kern w:val="0"/>
          <w:sz w:val="20"/>
          <w:rtl/>
        </w:rPr>
      </w:pPr>
      <w:r w:rsidRPr="003E698F">
        <w:rPr>
          <w:spacing w:val="0"/>
          <w:kern w:val="0"/>
          <w:sz w:val="20"/>
          <w:rtl/>
        </w:rPr>
        <w:tab/>
      </w:r>
      <w:r w:rsidRPr="003E698F">
        <w:rPr>
          <w:spacing w:val="0"/>
          <w:kern w:val="0"/>
          <w:sz w:val="20"/>
          <w:rtl/>
        </w:rPr>
        <w:tab/>
        <w:t>النظر في المقبولية</w:t>
      </w:r>
    </w:p>
    <w:p w:rsidR="00921F02" w:rsidRPr="003A2D39" w:rsidRDefault="00921F02" w:rsidP="003A2D39">
      <w:pPr>
        <w:pStyle w:val="SingleTxtGA"/>
        <w:jc w:val="lowKashida"/>
        <w:rPr>
          <w:spacing w:val="-4"/>
          <w:kern w:val="0"/>
          <w:sz w:val="20"/>
          <w:rtl/>
        </w:rPr>
      </w:pPr>
      <w:r w:rsidRPr="003A2D39">
        <w:rPr>
          <w:spacing w:val="-4"/>
          <w:kern w:val="0"/>
          <w:sz w:val="20"/>
          <w:rtl/>
        </w:rPr>
        <w:t>8-1</w:t>
      </w:r>
      <w:r w:rsidRPr="003A2D39">
        <w:rPr>
          <w:spacing w:val="-4"/>
          <w:kern w:val="0"/>
          <w:sz w:val="20"/>
          <w:rtl/>
        </w:rPr>
        <w:tab/>
      </w:r>
      <w:r w:rsidR="003A2D39" w:rsidRPr="003A2D39">
        <w:rPr>
          <w:spacing w:val="-4"/>
          <w:kern w:val="0"/>
          <w:sz w:val="20"/>
          <w:rtl/>
        </w:rPr>
        <w:t xml:space="preserve">قبل النظر في أية ادعاءات ترد في شكوى ما، </w:t>
      </w:r>
      <w:r w:rsidR="003A2D39" w:rsidRPr="003A2D39">
        <w:rPr>
          <w:rFonts w:hint="cs"/>
          <w:spacing w:val="-4"/>
          <w:kern w:val="0"/>
          <w:sz w:val="20"/>
          <w:rtl/>
        </w:rPr>
        <w:t>يتعين</w:t>
      </w:r>
      <w:r w:rsidR="003A2D39" w:rsidRPr="003A2D39">
        <w:rPr>
          <w:spacing w:val="-4"/>
          <w:kern w:val="0"/>
          <w:sz w:val="20"/>
          <w:rtl/>
        </w:rPr>
        <w:t xml:space="preserve"> على لجنة مناهضة التعذيب أن </w:t>
      </w:r>
      <w:r w:rsidR="003A2D39" w:rsidRPr="003A2D39">
        <w:rPr>
          <w:rFonts w:hint="cs"/>
          <w:spacing w:val="-4"/>
          <w:kern w:val="0"/>
          <w:sz w:val="20"/>
          <w:rtl/>
        </w:rPr>
        <w:t>تبت في</w:t>
      </w:r>
      <w:r w:rsidR="003A2D39" w:rsidRPr="003A2D39">
        <w:rPr>
          <w:spacing w:val="-4"/>
          <w:kern w:val="0"/>
          <w:sz w:val="20"/>
          <w:rtl/>
        </w:rPr>
        <w:t>ما إذا كانت الشكوى مقبولة أم لا</w:t>
      </w:r>
      <w:r w:rsidRPr="003A2D39">
        <w:rPr>
          <w:spacing w:val="-4"/>
          <w:kern w:val="0"/>
          <w:sz w:val="20"/>
          <w:rtl/>
        </w:rPr>
        <w:t xml:space="preserve"> بموجب المادة 22 من الاتفاقية. وقد تأ</w:t>
      </w:r>
      <w:r w:rsidR="009E31FC" w:rsidRPr="003A2D39">
        <w:rPr>
          <w:spacing w:val="-4"/>
          <w:kern w:val="0"/>
          <w:sz w:val="20"/>
          <w:rtl/>
        </w:rPr>
        <w:t>ك</w:t>
      </w:r>
      <w:r w:rsidRPr="003A2D39">
        <w:rPr>
          <w:spacing w:val="-4"/>
          <w:kern w:val="0"/>
          <w:sz w:val="20"/>
          <w:rtl/>
        </w:rPr>
        <w:t>دت اللجنـة، وفقاً لما تقتضيه الفقرة 5(أ) من المادة 22 من الاتفاقية، من أن المسألة نفسها لم</w:t>
      </w:r>
      <w:r w:rsidRPr="003A2D39">
        <w:rPr>
          <w:rFonts w:hint="cs"/>
          <w:spacing w:val="-4"/>
          <w:kern w:val="0"/>
          <w:sz w:val="20"/>
          <w:rtl/>
        </w:rPr>
        <w:t> </w:t>
      </w:r>
      <w:r w:rsidRPr="003A2D39">
        <w:rPr>
          <w:spacing w:val="-4"/>
          <w:kern w:val="0"/>
          <w:sz w:val="20"/>
          <w:rtl/>
        </w:rPr>
        <w:t>تبحث ولا</w:t>
      </w:r>
      <w:r w:rsidRPr="003A2D39">
        <w:rPr>
          <w:rFonts w:hint="cs"/>
          <w:spacing w:val="-4"/>
          <w:kern w:val="0"/>
          <w:sz w:val="20"/>
          <w:rtl/>
        </w:rPr>
        <w:t> </w:t>
      </w:r>
      <w:r w:rsidRPr="003A2D39">
        <w:rPr>
          <w:spacing w:val="-4"/>
          <w:kern w:val="0"/>
          <w:sz w:val="20"/>
          <w:rtl/>
        </w:rPr>
        <w:t>يجر</w:t>
      </w:r>
      <w:r w:rsidRPr="003A2D39">
        <w:rPr>
          <w:rFonts w:hint="eastAsia"/>
          <w:spacing w:val="-4"/>
          <w:kern w:val="0"/>
          <w:sz w:val="20"/>
          <w:rtl/>
        </w:rPr>
        <w:t>ي</w:t>
      </w:r>
      <w:r w:rsidRPr="003A2D39">
        <w:rPr>
          <w:spacing w:val="-4"/>
          <w:kern w:val="0"/>
          <w:sz w:val="20"/>
          <w:rtl/>
        </w:rPr>
        <w:t xml:space="preserve"> بحثها في إطار أي إجراء آخر من إجراءات التحقيق الدولي أو التسوية الدولية. </w:t>
      </w:r>
    </w:p>
    <w:p w:rsidR="00921F02" w:rsidRPr="003E698F" w:rsidRDefault="00921F02" w:rsidP="00921F02">
      <w:pPr>
        <w:pStyle w:val="SingleTxtGA"/>
        <w:jc w:val="lowKashida"/>
        <w:rPr>
          <w:spacing w:val="0"/>
          <w:kern w:val="0"/>
          <w:sz w:val="20"/>
          <w:rtl/>
        </w:rPr>
      </w:pPr>
      <w:r w:rsidRPr="003E698F">
        <w:rPr>
          <w:spacing w:val="0"/>
          <w:kern w:val="0"/>
          <w:sz w:val="20"/>
          <w:rtl/>
        </w:rPr>
        <w:t>8-2</w:t>
      </w:r>
      <w:r w:rsidRPr="003E698F">
        <w:rPr>
          <w:spacing w:val="0"/>
          <w:kern w:val="0"/>
          <w:sz w:val="20"/>
          <w:rtl/>
        </w:rPr>
        <w:tab/>
        <w:t xml:space="preserve">وتحيط اللجنة علماً بالملاحظات التي أعربت عنها الدولة الطرف فيما يتعلق بعدم استنفاد سبل الانتصاف المحلية وبتعليقات صاحب الشكوى على هذه الملاحظات. وتلاحظ اللجنة أن صاحب الشكوى طلب بعد ترحيله من الولايات المتحدة إلى كندا، في 9 نيسان/أبريل 2006، الحصول على </w:t>
      </w:r>
      <w:r w:rsidRPr="003E698F">
        <w:rPr>
          <w:rFonts w:hint="eastAsia"/>
          <w:spacing w:val="0"/>
          <w:kern w:val="0"/>
          <w:sz w:val="20"/>
          <w:rtl/>
        </w:rPr>
        <w:t>مركز</w:t>
      </w:r>
      <w:r w:rsidRPr="003E698F">
        <w:rPr>
          <w:spacing w:val="0"/>
          <w:kern w:val="0"/>
          <w:sz w:val="20"/>
          <w:rtl/>
        </w:rPr>
        <w:t xml:space="preserve"> اللاجئ، ولكن كندا رفضت هذا الطلب. وفي</w:t>
      </w:r>
      <w:r w:rsidRPr="003E698F">
        <w:rPr>
          <w:rFonts w:hint="cs"/>
          <w:spacing w:val="0"/>
          <w:kern w:val="0"/>
          <w:sz w:val="20"/>
          <w:rtl/>
        </w:rPr>
        <w:t> </w:t>
      </w:r>
      <w:r w:rsidRPr="003E698F">
        <w:rPr>
          <w:spacing w:val="0"/>
          <w:kern w:val="0"/>
          <w:sz w:val="20"/>
          <w:rtl/>
        </w:rPr>
        <w:t>30 آذار/مارس 2007، طلب صاحب الشكوى إجراء تقييم للمخاطر قبل الترحيل، وهو سبيل الانتصاف الوحيد الذي كان متوفراً لديه. ورفض هذا الطلب في 7 نيسان/</w:t>
      </w:r>
      <w:r w:rsidRPr="003E698F">
        <w:rPr>
          <w:rFonts w:hint="cs"/>
          <w:spacing w:val="0"/>
          <w:kern w:val="0"/>
          <w:sz w:val="20"/>
          <w:rtl/>
        </w:rPr>
        <w:t xml:space="preserve"> </w:t>
      </w:r>
      <w:r w:rsidRPr="003E698F">
        <w:rPr>
          <w:spacing w:val="0"/>
          <w:kern w:val="0"/>
          <w:sz w:val="20"/>
          <w:rtl/>
        </w:rPr>
        <w:t>أبريل</w:t>
      </w:r>
      <w:r w:rsidRPr="003E698F">
        <w:rPr>
          <w:rFonts w:hint="cs"/>
          <w:spacing w:val="0"/>
          <w:kern w:val="0"/>
          <w:sz w:val="20"/>
          <w:rtl/>
        </w:rPr>
        <w:t> </w:t>
      </w:r>
      <w:r w:rsidRPr="003E698F">
        <w:rPr>
          <w:spacing w:val="0"/>
          <w:kern w:val="0"/>
          <w:sz w:val="20"/>
          <w:rtl/>
        </w:rPr>
        <w:t>2008. وفي 20 أيار/مايو 2008، قدم صاحب الشكوى طلباً إلى المحكمة الات</w:t>
      </w:r>
      <w:r w:rsidRPr="003E698F">
        <w:rPr>
          <w:rFonts w:hint="eastAsia"/>
          <w:spacing w:val="0"/>
          <w:kern w:val="0"/>
          <w:sz w:val="20"/>
          <w:rtl/>
        </w:rPr>
        <w:t>حادية</w:t>
      </w:r>
      <w:r w:rsidRPr="003E698F">
        <w:rPr>
          <w:spacing w:val="0"/>
          <w:kern w:val="0"/>
          <w:sz w:val="20"/>
          <w:rtl/>
        </w:rPr>
        <w:t xml:space="preserve"> الكندية لإعادة النظر في قرار الرفض و</w:t>
      </w:r>
      <w:r w:rsidRPr="003E698F">
        <w:rPr>
          <w:rFonts w:hint="cs"/>
          <w:spacing w:val="0"/>
          <w:kern w:val="0"/>
          <w:sz w:val="20"/>
          <w:rtl/>
        </w:rPr>
        <w:t xml:space="preserve">أمر </w:t>
      </w:r>
      <w:r w:rsidRPr="003E698F">
        <w:rPr>
          <w:spacing w:val="0"/>
          <w:kern w:val="0"/>
          <w:sz w:val="20"/>
          <w:rtl/>
        </w:rPr>
        <w:t>الترحيل، ورفض هذا الطلب أيضا</w:t>
      </w:r>
      <w:r w:rsidRPr="003E698F">
        <w:rPr>
          <w:rFonts w:hint="cs"/>
          <w:spacing w:val="0"/>
          <w:kern w:val="0"/>
          <w:sz w:val="20"/>
          <w:rtl/>
        </w:rPr>
        <w:t>ً</w:t>
      </w:r>
      <w:r w:rsidRPr="003E698F">
        <w:rPr>
          <w:spacing w:val="0"/>
          <w:kern w:val="0"/>
          <w:sz w:val="20"/>
          <w:rtl/>
        </w:rPr>
        <w:t xml:space="preserve">، دون </w:t>
      </w:r>
      <w:r w:rsidRPr="003E698F">
        <w:rPr>
          <w:rFonts w:hint="cs"/>
          <w:spacing w:val="0"/>
          <w:kern w:val="0"/>
          <w:sz w:val="20"/>
          <w:rtl/>
        </w:rPr>
        <w:t>إبداء ال</w:t>
      </w:r>
      <w:r w:rsidRPr="003E698F">
        <w:rPr>
          <w:spacing w:val="0"/>
          <w:kern w:val="0"/>
          <w:sz w:val="20"/>
          <w:rtl/>
        </w:rPr>
        <w:t>أسباب، في</w:t>
      </w:r>
      <w:r w:rsidRPr="003E698F">
        <w:rPr>
          <w:rFonts w:hint="cs"/>
          <w:spacing w:val="0"/>
          <w:kern w:val="0"/>
          <w:sz w:val="20"/>
          <w:rtl/>
        </w:rPr>
        <w:t> </w:t>
      </w:r>
      <w:r w:rsidRPr="003E698F">
        <w:rPr>
          <w:spacing w:val="0"/>
          <w:kern w:val="0"/>
          <w:sz w:val="20"/>
          <w:rtl/>
        </w:rPr>
        <w:t>14 آب/أغسطس 2008.</w:t>
      </w:r>
    </w:p>
    <w:p w:rsidR="00921F02" w:rsidRPr="00B32542" w:rsidRDefault="00921F02" w:rsidP="00921F02">
      <w:pPr>
        <w:pStyle w:val="SingleTxtGA"/>
        <w:jc w:val="lowKashida"/>
        <w:rPr>
          <w:spacing w:val="-2"/>
          <w:kern w:val="0"/>
          <w:sz w:val="20"/>
          <w:rtl/>
        </w:rPr>
      </w:pPr>
      <w:r w:rsidRPr="003E698F">
        <w:rPr>
          <w:spacing w:val="0"/>
          <w:kern w:val="0"/>
          <w:sz w:val="20"/>
          <w:rtl/>
        </w:rPr>
        <w:t>8-3</w:t>
      </w:r>
      <w:r w:rsidRPr="003E698F">
        <w:rPr>
          <w:spacing w:val="0"/>
          <w:kern w:val="0"/>
          <w:sz w:val="20"/>
          <w:rtl/>
        </w:rPr>
        <w:tab/>
        <w:t>وفي 29 أيار/مايو 2008، قدم صاحب الشكوى طلباً للحصول على الإقامة الدائمة لأسباب إنسانية</w:t>
      </w:r>
      <w:r w:rsidRPr="003E698F">
        <w:rPr>
          <w:rFonts w:hint="cs"/>
          <w:spacing w:val="0"/>
          <w:kern w:val="0"/>
          <w:sz w:val="20"/>
          <w:rtl/>
        </w:rPr>
        <w:t xml:space="preserve"> ووجدانية</w:t>
      </w:r>
      <w:r w:rsidRPr="003E698F">
        <w:rPr>
          <w:spacing w:val="0"/>
          <w:kern w:val="0"/>
          <w:sz w:val="20"/>
          <w:rtl/>
        </w:rPr>
        <w:t xml:space="preserve">. وفي ضوء ملاحظات الدولة الطرف بشأن فعالية هذا الطلب، تشير اللجنة إلى أنها بحثت في دورتها الخامسة والعشرين، في ملاحظاتها الختامية بشأن تقرير الدولة الطرف، مسألة تطبيق </w:t>
      </w:r>
      <w:r w:rsidRPr="003E698F">
        <w:rPr>
          <w:rFonts w:hint="eastAsia"/>
          <w:spacing w:val="0"/>
          <w:kern w:val="0"/>
          <w:sz w:val="20"/>
          <w:rtl/>
        </w:rPr>
        <w:t>الإعفاء</w:t>
      </w:r>
      <w:r w:rsidRPr="003E698F">
        <w:rPr>
          <w:spacing w:val="0"/>
          <w:kern w:val="0"/>
          <w:sz w:val="20"/>
          <w:rtl/>
        </w:rPr>
        <w:t xml:space="preserve"> الوزاري لأسباب إنسانية</w:t>
      </w:r>
      <w:r w:rsidRPr="003E698F">
        <w:rPr>
          <w:rFonts w:hint="cs"/>
          <w:spacing w:val="0"/>
          <w:kern w:val="0"/>
          <w:sz w:val="20"/>
          <w:rtl/>
        </w:rPr>
        <w:t xml:space="preserve"> ووجدانية</w:t>
      </w:r>
      <w:r w:rsidRPr="003E698F">
        <w:rPr>
          <w:spacing w:val="0"/>
          <w:kern w:val="0"/>
          <w:sz w:val="20"/>
          <w:rtl/>
        </w:rPr>
        <w:t xml:space="preserve">. ولاحظت اللجنة عندئذ عدم الاستقلال </w:t>
      </w:r>
      <w:r w:rsidRPr="003E698F">
        <w:rPr>
          <w:rFonts w:hint="cs"/>
          <w:spacing w:val="0"/>
          <w:kern w:val="0"/>
          <w:sz w:val="20"/>
          <w:rtl/>
        </w:rPr>
        <w:t>الواضح ل</w:t>
      </w:r>
      <w:r w:rsidRPr="003E698F">
        <w:rPr>
          <w:spacing w:val="0"/>
          <w:kern w:val="0"/>
          <w:sz w:val="20"/>
          <w:rtl/>
        </w:rPr>
        <w:t>لموظفين المسؤولين عن النظر في هذا النوع من الطلبات، فضلاً عن إمكان ترحيل الشخص المعني قبل الفصل في الطلب. وخلصت اللجنة إلى أن ذلك يقلل من فعالية حماية الحقوق المنصوص عليها في ا</w:t>
      </w:r>
      <w:r w:rsidRPr="003E698F">
        <w:rPr>
          <w:rFonts w:hint="eastAsia"/>
          <w:spacing w:val="0"/>
          <w:kern w:val="0"/>
          <w:sz w:val="20"/>
          <w:rtl/>
        </w:rPr>
        <w:t>لفقرة</w:t>
      </w:r>
      <w:r w:rsidRPr="003E698F">
        <w:rPr>
          <w:spacing w:val="0"/>
          <w:kern w:val="0"/>
          <w:sz w:val="20"/>
          <w:rtl/>
        </w:rPr>
        <w:t xml:space="preserve"> 1 من المادة 3 من الاتفاقية. ولاحظت أنه على الرغم من إمكان أن يشكل الحق في الحصول على مساعدة </w:t>
      </w:r>
      <w:r w:rsidRPr="00B32542">
        <w:rPr>
          <w:spacing w:val="-2"/>
          <w:kern w:val="0"/>
          <w:sz w:val="20"/>
          <w:rtl/>
        </w:rPr>
        <w:t>إنسانية سبيلاً من سبل الانتصاف المنصوص عليها في القانون، فإن هذه المساعدة يمنحها الوزير استناداً إلى معايير إنسانية بحتة وليس على أساس قانوني، و</w:t>
      </w:r>
      <w:r w:rsidRPr="00B32542">
        <w:rPr>
          <w:rFonts w:hint="cs"/>
          <w:spacing w:val="-2"/>
          <w:kern w:val="0"/>
          <w:sz w:val="20"/>
          <w:rtl/>
        </w:rPr>
        <w:t>هكذا ف</w:t>
      </w:r>
      <w:r w:rsidRPr="00B32542">
        <w:rPr>
          <w:spacing w:val="-2"/>
          <w:kern w:val="0"/>
          <w:sz w:val="20"/>
          <w:rtl/>
        </w:rPr>
        <w:t xml:space="preserve">هي تشكل منحة </w:t>
      </w:r>
      <w:r w:rsidRPr="00B32542">
        <w:rPr>
          <w:rFonts w:hint="cs"/>
          <w:spacing w:val="-2"/>
          <w:kern w:val="0"/>
          <w:sz w:val="20"/>
          <w:rtl/>
        </w:rPr>
        <w:t>بطبيعتها</w:t>
      </w:r>
      <w:r w:rsidRPr="00B32542">
        <w:rPr>
          <w:spacing w:val="-2"/>
          <w:kern w:val="0"/>
          <w:sz w:val="20"/>
          <w:rtl/>
        </w:rPr>
        <w:t>. ولاحظت اللجنة كذلك أن المحكمة الاتحادية تحيل الملف، عند قبول المراجعة القضائية، إلى الجهة التي اتخذت القرار الأصلي أو هيئة مختصة أخرى، ولا تقوم بنفسها بإعادة النظر في القضية أو</w:t>
      </w:r>
      <w:r w:rsidRPr="00B32542">
        <w:rPr>
          <w:rFonts w:hint="cs"/>
          <w:spacing w:val="-2"/>
          <w:kern w:val="0"/>
          <w:sz w:val="20"/>
          <w:rtl/>
        </w:rPr>
        <w:t> </w:t>
      </w:r>
      <w:r w:rsidRPr="00B32542">
        <w:rPr>
          <w:spacing w:val="-2"/>
          <w:kern w:val="0"/>
          <w:sz w:val="20"/>
          <w:rtl/>
        </w:rPr>
        <w:t>باتخاذ قرار فيها</w:t>
      </w:r>
      <w:r w:rsidRPr="00B32542">
        <w:rPr>
          <w:spacing w:val="-2"/>
          <w:kern w:val="0"/>
          <w:sz w:val="20"/>
          <w:vertAlign w:val="superscript"/>
          <w:rtl/>
        </w:rPr>
        <w:t>(</w:t>
      </w:r>
      <w:r w:rsidRPr="00B32542">
        <w:rPr>
          <w:rStyle w:val="FootnoteReference"/>
          <w:spacing w:val="-2"/>
          <w:sz w:val="20"/>
          <w:rtl/>
        </w:rPr>
        <w:footnoteReference w:id="173"/>
      </w:r>
      <w:r w:rsidRPr="00B32542">
        <w:rPr>
          <w:spacing w:val="-2"/>
          <w:kern w:val="0"/>
          <w:sz w:val="20"/>
          <w:vertAlign w:val="superscript"/>
          <w:rtl/>
        </w:rPr>
        <w:t>)</w:t>
      </w:r>
      <w:r w:rsidRPr="00B32542">
        <w:rPr>
          <w:spacing w:val="-2"/>
          <w:kern w:val="0"/>
          <w:sz w:val="20"/>
          <w:rtl/>
        </w:rPr>
        <w:t>. ويدخل القرار بالتالي في نطاق السلطة التقد</w:t>
      </w:r>
      <w:r w:rsidRPr="00B32542">
        <w:rPr>
          <w:rFonts w:hint="eastAsia"/>
          <w:spacing w:val="-2"/>
          <w:kern w:val="0"/>
          <w:sz w:val="20"/>
          <w:rtl/>
        </w:rPr>
        <w:t>يرية</w:t>
      </w:r>
      <w:r w:rsidRPr="00B32542">
        <w:rPr>
          <w:spacing w:val="-2"/>
          <w:kern w:val="0"/>
          <w:sz w:val="20"/>
          <w:rtl/>
        </w:rPr>
        <w:t xml:space="preserve"> للوزير ومن ثم في نطاق السلطة التنفيذية. وبناء على هذه الاعتبارات، تخلص اللجنة في الشكوى قيد البحث إلى أن عدم استنفاد هذا السبيل من سبل الانتصاف لا يشكل عقبة أمام مقبولية الشكوى.</w:t>
      </w:r>
    </w:p>
    <w:p w:rsidR="00921F02" w:rsidRPr="003E698F" w:rsidRDefault="00921F02" w:rsidP="00921F02">
      <w:pPr>
        <w:pStyle w:val="SingleTxtGA"/>
        <w:jc w:val="lowKashida"/>
        <w:rPr>
          <w:spacing w:val="0"/>
          <w:kern w:val="0"/>
          <w:sz w:val="20"/>
          <w:rtl/>
        </w:rPr>
      </w:pPr>
      <w:r w:rsidRPr="003E698F">
        <w:rPr>
          <w:spacing w:val="0"/>
          <w:kern w:val="0"/>
          <w:sz w:val="20"/>
          <w:rtl/>
        </w:rPr>
        <w:t>8-4</w:t>
      </w:r>
      <w:r w:rsidRPr="003E698F">
        <w:rPr>
          <w:spacing w:val="0"/>
          <w:kern w:val="0"/>
          <w:sz w:val="20"/>
          <w:rtl/>
        </w:rPr>
        <w:tab/>
        <w:t>وفيما يتعلق بالادعاء بانتهاك المادة 3، ترى اللجنة أن الحجج التي قدمها صاحب الشكوى تثير مسائل ينبغي النظر فيها من حيث الأسس الموضوعية وليس من حيث المقبولية. ولذلك، تعلن اللجنة مقبولية الشكوى وتشرع في النظر في الأسس الموضوعية.</w:t>
      </w:r>
    </w:p>
    <w:p w:rsidR="00921F02" w:rsidRPr="003E698F" w:rsidRDefault="00921F02" w:rsidP="00921F02">
      <w:pPr>
        <w:pStyle w:val="H4GA"/>
        <w:jc w:val="lowKashida"/>
        <w:rPr>
          <w:spacing w:val="0"/>
          <w:kern w:val="0"/>
          <w:sz w:val="20"/>
          <w:rtl/>
        </w:rPr>
      </w:pPr>
      <w:r w:rsidRPr="003E698F">
        <w:rPr>
          <w:rFonts w:hint="cs"/>
          <w:spacing w:val="0"/>
          <w:kern w:val="0"/>
          <w:sz w:val="20"/>
          <w:rtl/>
        </w:rPr>
        <w:tab/>
      </w:r>
      <w:r w:rsidRPr="003E698F">
        <w:rPr>
          <w:rFonts w:hint="cs"/>
          <w:spacing w:val="0"/>
          <w:kern w:val="0"/>
          <w:sz w:val="20"/>
          <w:rtl/>
        </w:rPr>
        <w:tab/>
      </w:r>
      <w:r w:rsidRPr="003E698F">
        <w:rPr>
          <w:rFonts w:hint="eastAsia"/>
          <w:spacing w:val="0"/>
          <w:kern w:val="0"/>
          <w:sz w:val="20"/>
          <w:rtl/>
        </w:rPr>
        <w:t>النظر</w:t>
      </w:r>
      <w:r w:rsidRPr="003E698F">
        <w:rPr>
          <w:spacing w:val="0"/>
          <w:kern w:val="0"/>
          <w:sz w:val="20"/>
          <w:rtl/>
        </w:rPr>
        <w:t xml:space="preserve"> في الأسس الموضوعية</w:t>
      </w:r>
    </w:p>
    <w:p w:rsidR="00921F02" w:rsidRPr="003E698F" w:rsidRDefault="00921F02" w:rsidP="00921F02">
      <w:pPr>
        <w:pStyle w:val="SingleTxtGA"/>
        <w:jc w:val="lowKashida"/>
        <w:rPr>
          <w:spacing w:val="0"/>
          <w:kern w:val="0"/>
          <w:sz w:val="20"/>
          <w:rtl/>
        </w:rPr>
      </w:pPr>
      <w:r w:rsidRPr="003E698F">
        <w:rPr>
          <w:spacing w:val="0"/>
          <w:kern w:val="0"/>
          <w:sz w:val="20"/>
          <w:rtl/>
        </w:rPr>
        <w:t>9-1</w:t>
      </w:r>
      <w:r w:rsidRPr="003E698F">
        <w:rPr>
          <w:spacing w:val="0"/>
          <w:kern w:val="0"/>
          <w:sz w:val="20"/>
          <w:rtl/>
        </w:rPr>
        <w:tab/>
        <w:t>يجب أن تحدد اللجنة ما إذا كان ترحيل صاحب الشكوى إلى جمهورية الكونغو الديمقراطية يشكل انتهاكاً لالتزام الدولة الطرف بموجب المادة 3 من الاتفاقية بعدم طرد شخص أو إعادته إلى دولة أخرى إذا كانت هناك أسباب جدية تدعو إلى الاعتقاد بأنه سيتعرض فيها لخطر التعذيب.</w:t>
      </w:r>
    </w:p>
    <w:p w:rsidR="00921F02" w:rsidRPr="003E698F" w:rsidRDefault="00921F02" w:rsidP="00921F02">
      <w:pPr>
        <w:pStyle w:val="SingleTxtGA"/>
        <w:jc w:val="lowKashida"/>
        <w:rPr>
          <w:spacing w:val="0"/>
          <w:kern w:val="0"/>
          <w:sz w:val="20"/>
          <w:rtl/>
        </w:rPr>
      </w:pPr>
      <w:r w:rsidRPr="003E698F">
        <w:rPr>
          <w:spacing w:val="0"/>
          <w:kern w:val="0"/>
          <w:sz w:val="20"/>
          <w:rtl/>
        </w:rPr>
        <w:t>9-2</w:t>
      </w:r>
      <w:r w:rsidRPr="003E698F">
        <w:rPr>
          <w:spacing w:val="0"/>
          <w:kern w:val="0"/>
          <w:sz w:val="20"/>
          <w:rtl/>
        </w:rPr>
        <w:tab/>
        <w:t xml:space="preserve">ولتقييم ما إذا كانت هناك أسباب </w:t>
      </w:r>
      <w:r w:rsidRPr="003E698F">
        <w:rPr>
          <w:rFonts w:hint="cs"/>
          <w:spacing w:val="0"/>
          <w:kern w:val="0"/>
          <w:sz w:val="20"/>
          <w:rtl/>
        </w:rPr>
        <w:t xml:space="preserve">وجيهة </w:t>
      </w:r>
      <w:r w:rsidRPr="003E698F">
        <w:rPr>
          <w:spacing w:val="0"/>
          <w:kern w:val="0"/>
          <w:sz w:val="20"/>
          <w:rtl/>
        </w:rPr>
        <w:t>تدعو إلى الاعتقاد بأن صاحب الشكوى سيتعرض ل</w:t>
      </w:r>
      <w:r w:rsidRPr="003E698F">
        <w:rPr>
          <w:rFonts w:hint="cs"/>
          <w:spacing w:val="0"/>
          <w:kern w:val="0"/>
          <w:sz w:val="20"/>
          <w:rtl/>
        </w:rPr>
        <w:t>خطر ا</w:t>
      </w:r>
      <w:r w:rsidRPr="003E698F">
        <w:rPr>
          <w:spacing w:val="0"/>
          <w:kern w:val="0"/>
          <w:sz w:val="20"/>
          <w:rtl/>
        </w:rPr>
        <w:t>لتعذيب في حالة ترحيله إلى جمهورية الكونغو الديمقراطية، يجب على اللجنة أن تأخذ في حسبانها جميع الاعتبارات ذات الصلة، بما في ذلك مدى وجود نمط ثابت من الانتهاكات الجسيمة أو الصا</w:t>
      </w:r>
      <w:r w:rsidRPr="003E698F">
        <w:rPr>
          <w:rFonts w:hint="eastAsia"/>
          <w:spacing w:val="0"/>
          <w:kern w:val="0"/>
          <w:sz w:val="20"/>
          <w:rtl/>
        </w:rPr>
        <w:t>رخة</w:t>
      </w:r>
      <w:r w:rsidRPr="003E698F">
        <w:rPr>
          <w:spacing w:val="0"/>
          <w:kern w:val="0"/>
          <w:sz w:val="20"/>
          <w:rtl/>
        </w:rPr>
        <w:t xml:space="preserve"> أو الجماعية لحقوق الإنسان في هذا البلد. بيد أن الهدف من هذا التحليل هو تحديد ما إذا كان صاحب الشكوى سيواجه شخصياً خطر التعرض للتعذيب في </w:t>
      </w:r>
      <w:r w:rsidRPr="003E698F">
        <w:rPr>
          <w:rFonts w:hint="cs"/>
          <w:spacing w:val="0"/>
          <w:kern w:val="0"/>
          <w:sz w:val="20"/>
          <w:rtl/>
        </w:rPr>
        <w:t>ال</w:t>
      </w:r>
      <w:r w:rsidRPr="003E698F">
        <w:rPr>
          <w:spacing w:val="0"/>
          <w:kern w:val="0"/>
          <w:sz w:val="20"/>
          <w:rtl/>
        </w:rPr>
        <w:t xml:space="preserve">بلد </w:t>
      </w:r>
      <w:r w:rsidRPr="003E698F">
        <w:rPr>
          <w:rFonts w:hint="cs"/>
          <w:spacing w:val="0"/>
          <w:kern w:val="0"/>
          <w:sz w:val="20"/>
          <w:rtl/>
        </w:rPr>
        <w:t>الذي سيرحل إليه</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9-3</w:t>
      </w:r>
      <w:r w:rsidRPr="003E698F">
        <w:rPr>
          <w:spacing w:val="0"/>
          <w:kern w:val="0"/>
          <w:sz w:val="20"/>
          <w:rtl/>
        </w:rPr>
        <w:tab/>
        <w:t xml:space="preserve">وتذكّر اللجنة بتعليقها العام بشأن تطبيق المادة 3 من الاتفاقية الذي ذكرت فيه أنه </w:t>
      </w:r>
      <w:r w:rsidRPr="003E698F">
        <w:rPr>
          <w:rFonts w:hint="cs"/>
          <w:spacing w:val="0"/>
          <w:kern w:val="0"/>
          <w:sz w:val="20"/>
          <w:rtl/>
        </w:rPr>
        <w:t xml:space="preserve">يجب </w:t>
      </w:r>
      <w:r w:rsidRPr="003E698F">
        <w:rPr>
          <w:spacing w:val="0"/>
          <w:kern w:val="0"/>
          <w:sz w:val="20"/>
          <w:rtl/>
        </w:rPr>
        <w:t>تقدير خطر التعذيب على أسس تتجاوز مجرد الافتراض أو الشك. وعلى الرغم من أنه ليس من الضروري إثبات أن الخطر شديد الاحتمال، تذكر اللجنة بأن عبء الإثبات يقع عادة على صاحب ا</w:t>
      </w:r>
      <w:r w:rsidRPr="003E698F">
        <w:rPr>
          <w:rFonts w:hint="eastAsia"/>
          <w:spacing w:val="0"/>
          <w:kern w:val="0"/>
          <w:sz w:val="20"/>
          <w:rtl/>
        </w:rPr>
        <w:t>لشكوى،</w:t>
      </w:r>
      <w:r w:rsidRPr="003E698F">
        <w:rPr>
          <w:spacing w:val="0"/>
          <w:kern w:val="0"/>
          <w:sz w:val="20"/>
          <w:rtl/>
        </w:rPr>
        <w:t xml:space="preserve"> الذي يجب عليه أن يقدم حججاً يمكن الدفاع عنها لإثبات أنه سيتعرض لخطر "متوقع وحقيقي وشخصي" للتعذيب. وتذكّر اللجنة أيضاً، على نحو ما</w:t>
      </w:r>
      <w:r w:rsidRPr="003E698F">
        <w:rPr>
          <w:rFonts w:hint="cs"/>
          <w:spacing w:val="0"/>
          <w:kern w:val="0"/>
          <w:sz w:val="20"/>
          <w:rtl/>
        </w:rPr>
        <w:t> </w:t>
      </w:r>
      <w:r w:rsidRPr="003E698F">
        <w:rPr>
          <w:spacing w:val="0"/>
          <w:kern w:val="0"/>
          <w:sz w:val="20"/>
          <w:rtl/>
        </w:rPr>
        <w:t>ذكرته في تعليقها العام رقم 1(1996)</w:t>
      </w:r>
      <w:r w:rsidRPr="003E698F">
        <w:rPr>
          <w:spacing w:val="0"/>
          <w:kern w:val="0"/>
          <w:sz w:val="20"/>
          <w:vertAlign w:val="superscript"/>
          <w:rtl/>
        </w:rPr>
        <w:t>(</w:t>
      </w:r>
      <w:r w:rsidRPr="003E698F">
        <w:rPr>
          <w:rStyle w:val="FootnoteReference"/>
          <w:spacing w:val="0"/>
          <w:sz w:val="20"/>
          <w:rtl/>
        </w:rPr>
        <w:footnoteReference w:id="174"/>
      </w:r>
      <w:r w:rsidRPr="003E698F">
        <w:rPr>
          <w:spacing w:val="0"/>
          <w:kern w:val="0"/>
          <w:sz w:val="20"/>
          <w:vertAlign w:val="superscript"/>
          <w:rtl/>
        </w:rPr>
        <w:t>)</w:t>
      </w:r>
      <w:r w:rsidRPr="003E698F">
        <w:rPr>
          <w:spacing w:val="0"/>
          <w:kern w:val="0"/>
          <w:sz w:val="20"/>
          <w:rtl/>
        </w:rPr>
        <w:t xml:space="preserve"> بأنها لئن كانت تعطي وزناً كبيراً للاستنتاجات التي تخلص إليها أجهزة الدولة الطرف، فإن لها الحق في تقدير الوقائع في كل قضية بحرية، آخذة الملابسات المحيطة بكل منها في الاعتبار.</w:t>
      </w:r>
    </w:p>
    <w:p w:rsidR="00921F02" w:rsidRPr="003E698F" w:rsidRDefault="00921F02" w:rsidP="00921F02">
      <w:pPr>
        <w:pStyle w:val="SingleTxtGA"/>
        <w:jc w:val="lowKashida"/>
        <w:rPr>
          <w:spacing w:val="0"/>
          <w:kern w:val="0"/>
          <w:sz w:val="20"/>
          <w:rtl/>
        </w:rPr>
      </w:pPr>
      <w:r w:rsidRPr="003E698F">
        <w:rPr>
          <w:spacing w:val="0"/>
          <w:kern w:val="0"/>
          <w:sz w:val="20"/>
          <w:rtl/>
        </w:rPr>
        <w:t>9-4</w:t>
      </w:r>
      <w:r w:rsidRPr="003E698F">
        <w:rPr>
          <w:spacing w:val="0"/>
          <w:kern w:val="0"/>
          <w:sz w:val="20"/>
          <w:rtl/>
        </w:rPr>
        <w:tab/>
      </w:r>
      <w:r w:rsidRPr="003E698F">
        <w:rPr>
          <w:rFonts w:hint="cs"/>
          <w:spacing w:val="0"/>
          <w:kern w:val="0"/>
          <w:sz w:val="20"/>
          <w:rtl/>
        </w:rPr>
        <w:t xml:space="preserve">وتحيط </w:t>
      </w:r>
      <w:r w:rsidRPr="003E698F">
        <w:rPr>
          <w:spacing w:val="0"/>
          <w:kern w:val="0"/>
          <w:sz w:val="20"/>
          <w:rtl/>
        </w:rPr>
        <w:t xml:space="preserve">اللجنة </w:t>
      </w:r>
      <w:r w:rsidRPr="003E698F">
        <w:rPr>
          <w:rFonts w:hint="cs"/>
          <w:spacing w:val="0"/>
          <w:kern w:val="0"/>
          <w:sz w:val="20"/>
          <w:rtl/>
        </w:rPr>
        <w:t>علما</w:t>
      </w:r>
      <w:r w:rsidR="002C2A9D">
        <w:rPr>
          <w:rFonts w:hint="cs"/>
          <w:spacing w:val="0"/>
          <w:kern w:val="0"/>
          <w:sz w:val="20"/>
          <w:rtl/>
        </w:rPr>
        <w:t>ً</w:t>
      </w:r>
      <w:r w:rsidRPr="003E698F">
        <w:rPr>
          <w:rFonts w:hint="cs"/>
          <w:spacing w:val="0"/>
          <w:kern w:val="0"/>
          <w:sz w:val="20"/>
          <w:rtl/>
        </w:rPr>
        <w:t xml:space="preserve"> ب</w:t>
      </w:r>
      <w:r w:rsidRPr="003E698F">
        <w:rPr>
          <w:spacing w:val="0"/>
          <w:kern w:val="0"/>
          <w:sz w:val="20"/>
          <w:rtl/>
        </w:rPr>
        <w:t xml:space="preserve">الملاحظات التي أعربت عنها الدولة الطرف بشأن عدم مصداقية صاحب الشكوى </w:t>
      </w:r>
      <w:r w:rsidRPr="003E698F">
        <w:rPr>
          <w:rFonts w:hint="cs"/>
          <w:spacing w:val="0"/>
          <w:kern w:val="0"/>
          <w:sz w:val="20"/>
          <w:rtl/>
        </w:rPr>
        <w:t xml:space="preserve">التي تستند تحديداً إلى ما قدمه صاحب الشكوى من </w:t>
      </w:r>
      <w:r w:rsidRPr="003E698F">
        <w:rPr>
          <w:spacing w:val="0"/>
          <w:kern w:val="0"/>
          <w:sz w:val="20"/>
          <w:rtl/>
        </w:rPr>
        <w:t xml:space="preserve">معلومات متناقضة إلى السلطات الكندية حول مدة احتجازه في جمهورية الكونغو الديمقراطية، واتصاله بالمحتجزين الآخرين، والنقود التي </w:t>
      </w:r>
      <w:r w:rsidRPr="003E698F">
        <w:rPr>
          <w:rFonts w:hint="cs"/>
          <w:spacing w:val="0"/>
          <w:kern w:val="0"/>
          <w:sz w:val="20"/>
          <w:rtl/>
        </w:rPr>
        <w:t xml:space="preserve">ادعى الاحتفاظ بها </w:t>
      </w:r>
      <w:r w:rsidRPr="003E698F">
        <w:rPr>
          <w:spacing w:val="0"/>
          <w:kern w:val="0"/>
          <w:sz w:val="20"/>
          <w:rtl/>
        </w:rPr>
        <w:t xml:space="preserve">معه، وكيفية استعادة حريته، وإقامته في زامبيا قبل ذهابه إلى كندا، وإقامته مع والده في جمهورية الكونغو الديمقراطية، وغيرها من التناقضات. </w:t>
      </w:r>
      <w:r w:rsidRPr="003E698F">
        <w:rPr>
          <w:rFonts w:hint="cs"/>
          <w:spacing w:val="0"/>
          <w:kern w:val="0"/>
          <w:sz w:val="20"/>
          <w:rtl/>
        </w:rPr>
        <w:t xml:space="preserve">كما تحيط </w:t>
      </w:r>
      <w:r w:rsidRPr="003E698F">
        <w:rPr>
          <w:spacing w:val="0"/>
          <w:kern w:val="0"/>
          <w:sz w:val="20"/>
          <w:rtl/>
        </w:rPr>
        <w:t xml:space="preserve">اللجنة </w:t>
      </w:r>
      <w:r w:rsidRPr="003E698F">
        <w:rPr>
          <w:rFonts w:hint="cs"/>
          <w:spacing w:val="0"/>
          <w:kern w:val="0"/>
          <w:sz w:val="20"/>
          <w:rtl/>
        </w:rPr>
        <w:t>علماً ب</w:t>
      </w:r>
      <w:r w:rsidRPr="003E698F">
        <w:rPr>
          <w:spacing w:val="0"/>
          <w:kern w:val="0"/>
          <w:sz w:val="20"/>
          <w:rtl/>
        </w:rPr>
        <w:t>الملاحظات التي أعربت عنها الدولة الطرف والتي مفادها أن صاحب الشكوى ليس عضواً في أي منظمة سياسية وأن والديه ذهبا إل</w:t>
      </w:r>
      <w:r w:rsidRPr="003E698F">
        <w:rPr>
          <w:rFonts w:hint="eastAsia"/>
          <w:spacing w:val="0"/>
          <w:kern w:val="0"/>
          <w:sz w:val="20"/>
          <w:rtl/>
        </w:rPr>
        <w:t>ى</w:t>
      </w:r>
      <w:r w:rsidRPr="003E698F">
        <w:rPr>
          <w:spacing w:val="0"/>
          <w:kern w:val="0"/>
          <w:sz w:val="20"/>
          <w:rtl/>
        </w:rPr>
        <w:t xml:space="preserve"> جمهورية الكونغو الديمقراطية مراراً دون التعرض للإزعاج.</w:t>
      </w:r>
    </w:p>
    <w:p w:rsidR="00921F02" w:rsidRPr="003E698F" w:rsidRDefault="00921F02" w:rsidP="00921F02">
      <w:pPr>
        <w:pStyle w:val="SingleTxtGA"/>
        <w:jc w:val="lowKashida"/>
        <w:rPr>
          <w:spacing w:val="0"/>
          <w:kern w:val="0"/>
          <w:sz w:val="20"/>
          <w:rtl/>
        </w:rPr>
      </w:pPr>
      <w:r w:rsidRPr="003E698F">
        <w:rPr>
          <w:spacing w:val="0"/>
          <w:kern w:val="0"/>
          <w:sz w:val="20"/>
          <w:rtl/>
        </w:rPr>
        <w:t>9-5</w:t>
      </w:r>
      <w:r w:rsidRPr="003E698F">
        <w:rPr>
          <w:spacing w:val="0"/>
          <w:kern w:val="0"/>
          <w:sz w:val="20"/>
          <w:rtl/>
        </w:rPr>
        <w:tab/>
      </w:r>
      <w:r w:rsidRPr="003E698F">
        <w:rPr>
          <w:rFonts w:hint="cs"/>
          <w:spacing w:val="0"/>
          <w:kern w:val="0"/>
          <w:sz w:val="20"/>
          <w:rtl/>
        </w:rPr>
        <w:t>وتحيط</w:t>
      </w:r>
      <w:r w:rsidRPr="003E698F">
        <w:rPr>
          <w:spacing w:val="0"/>
          <w:kern w:val="0"/>
          <w:sz w:val="20"/>
          <w:rtl/>
        </w:rPr>
        <w:t xml:space="preserve"> اللجنة </w:t>
      </w:r>
      <w:r w:rsidRPr="003E698F">
        <w:rPr>
          <w:rFonts w:hint="cs"/>
          <w:spacing w:val="0"/>
          <w:kern w:val="0"/>
          <w:sz w:val="20"/>
          <w:rtl/>
        </w:rPr>
        <w:t>علما</w:t>
      </w:r>
      <w:r w:rsidR="002C2A9D">
        <w:rPr>
          <w:rFonts w:hint="cs"/>
          <w:spacing w:val="0"/>
          <w:kern w:val="0"/>
          <w:sz w:val="20"/>
          <w:rtl/>
        </w:rPr>
        <w:t>ً</w:t>
      </w:r>
      <w:r w:rsidRPr="003E698F">
        <w:rPr>
          <w:rFonts w:hint="cs"/>
          <w:spacing w:val="0"/>
          <w:kern w:val="0"/>
          <w:sz w:val="20"/>
          <w:rtl/>
        </w:rPr>
        <w:t xml:space="preserve"> بالصعوبات التي تواجهها حالة </w:t>
      </w:r>
      <w:r w:rsidRPr="003E698F">
        <w:rPr>
          <w:spacing w:val="0"/>
          <w:kern w:val="0"/>
          <w:sz w:val="20"/>
          <w:rtl/>
        </w:rPr>
        <w:t xml:space="preserve">حقوق الإنسان في جمهورية الكونغو الديمقراطية، والوقف الاختياري الذي أعلنته كندا بشأن إعادة ملتمسي اللجوء الذين رفضت طلباتهم إلى هذا البلد. وفي هذا الصدد، تشير اللجنة إلى المعلومات المقدمة من صاحب الشكوى والتي </w:t>
      </w:r>
      <w:r w:rsidRPr="003E698F">
        <w:rPr>
          <w:rFonts w:hint="eastAsia"/>
          <w:spacing w:val="0"/>
          <w:kern w:val="0"/>
          <w:sz w:val="20"/>
          <w:rtl/>
        </w:rPr>
        <w:t>مفادها</w:t>
      </w:r>
      <w:r w:rsidRPr="003E698F">
        <w:rPr>
          <w:spacing w:val="0"/>
          <w:kern w:val="0"/>
          <w:sz w:val="20"/>
          <w:rtl/>
        </w:rPr>
        <w:t xml:space="preserve"> أن سبب الوقف الاختياري هو انتشار العنف في جمهورية الكونغو الديمقراطية وأنه سيستبعد من </w:t>
      </w:r>
      <w:r w:rsidRPr="003E698F">
        <w:rPr>
          <w:rFonts w:hint="cs"/>
          <w:spacing w:val="0"/>
          <w:kern w:val="0"/>
          <w:sz w:val="20"/>
          <w:rtl/>
        </w:rPr>
        <w:t xml:space="preserve">تطبيق </w:t>
      </w:r>
      <w:r w:rsidRPr="003E698F">
        <w:rPr>
          <w:spacing w:val="0"/>
          <w:kern w:val="0"/>
          <w:sz w:val="20"/>
          <w:rtl/>
        </w:rPr>
        <w:t>هذا الوقف بسبب ماضي</w:t>
      </w:r>
      <w:r w:rsidRPr="003E698F">
        <w:rPr>
          <w:rFonts w:hint="cs"/>
          <w:spacing w:val="0"/>
          <w:kern w:val="0"/>
          <w:sz w:val="20"/>
          <w:rtl/>
        </w:rPr>
        <w:t>ه</w:t>
      </w:r>
      <w:r w:rsidRPr="003E698F">
        <w:rPr>
          <w:spacing w:val="0"/>
          <w:kern w:val="0"/>
          <w:sz w:val="20"/>
          <w:rtl/>
        </w:rPr>
        <w:t xml:space="preserve"> الجنائي. ولم تعترض الدولة الطرف على هذه المعلومات. وترى اللجنة أن هذه المعلومات تؤكد الطابع التقديري للإجراء المتعلق بالوقف الاختياري وأن وقف </w:t>
      </w:r>
      <w:r w:rsidRPr="003E698F">
        <w:rPr>
          <w:rFonts w:hint="eastAsia"/>
          <w:spacing w:val="0"/>
          <w:kern w:val="0"/>
          <w:sz w:val="20"/>
          <w:rtl/>
        </w:rPr>
        <w:t>إعادة</w:t>
      </w:r>
      <w:r w:rsidRPr="003E698F">
        <w:rPr>
          <w:spacing w:val="0"/>
          <w:kern w:val="0"/>
          <w:sz w:val="20"/>
          <w:rtl/>
        </w:rPr>
        <w:t xml:space="preserve"> الأشخاص المعرضين للخطر إلى بلدهم بسبب العنف الذي يسود فيه ينبغي أن ينطبق، وفقاً لروح المادة 3 من الاتفاقية، على الكافة ودون أي تمييز.</w:t>
      </w:r>
    </w:p>
    <w:p w:rsidR="00921F02" w:rsidRPr="003E698F" w:rsidRDefault="00921F02" w:rsidP="004930E5">
      <w:pPr>
        <w:pStyle w:val="SingleTxtGA"/>
        <w:jc w:val="lowKashida"/>
        <w:rPr>
          <w:spacing w:val="0"/>
          <w:kern w:val="0"/>
          <w:sz w:val="20"/>
          <w:rtl/>
        </w:rPr>
      </w:pPr>
      <w:r w:rsidRPr="003E698F">
        <w:rPr>
          <w:spacing w:val="0"/>
          <w:kern w:val="0"/>
          <w:sz w:val="20"/>
          <w:rtl/>
        </w:rPr>
        <w:t>9-6</w:t>
      </w:r>
      <w:r w:rsidRPr="003E698F">
        <w:rPr>
          <w:spacing w:val="0"/>
          <w:kern w:val="0"/>
          <w:sz w:val="20"/>
          <w:rtl/>
        </w:rPr>
        <w:tab/>
      </w:r>
      <w:r w:rsidRPr="003E698F">
        <w:rPr>
          <w:rFonts w:hint="cs"/>
          <w:spacing w:val="0"/>
          <w:kern w:val="0"/>
          <w:sz w:val="20"/>
          <w:rtl/>
        </w:rPr>
        <w:t>كما تحيط</w:t>
      </w:r>
      <w:r w:rsidRPr="003E698F">
        <w:rPr>
          <w:spacing w:val="0"/>
          <w:kern w:val="0"/>
          <w:sz w:val="20"/>
          <w:rtl/>
        </w:rPr>
        <w:t xml:space="preserve"> اللجنة </w:t>
      </w:r>
      <w:r w:rsidRPr="003E698F">
        <w:rPr>
          <w:rFonts w:hint="cs"/>
          <w:spacing w:val="0"/>
          <w:kern w:val="0"/>
          <w:sz w:val="20"/>
          <w:rtl/>
        </w:rPr>
        <w:t>علماً ب</w:t>
      </w:r>
      <w:r w:rsidRPr="003E698F">
        <w:rPr>
          <w:spacing w:val="0"/>
          <w:kern w:val="0"/>
          <w:sz w:val="20"/>
          <w:rtl/>
        </w:rPr>
        <w:t>ادعاءات صاحب الشكوى بشأن: (أ) احتجازه وتعذيبه في جمهورية الكونغو الديمقراطية في عام 2002؛ و(ب) التقرير الطبي الصادر في عام 2005 الذي يدل، على الرغم من قلة العلامات المادية للتعذيب التي وجدت به، على أن الأمر خلاف ذلك فيما يتعلق بالآث</w:t>
      </w:r>
      <w:r w:rsidRPr="003E698F">
        <w:rPr>
          <w:rFonts w:hint="eastAsia"/>
          <w:spacing w:val="0"/>
          <w:kern w:val="0"/>
          <w:sz w:val="20"/>
          <w:rtl/>
        </w:rPr>
        <w:t>ار</w:t>
      </w:r>
      <w:r w:rsidRPr="003E698F">
        <w:rPr>
          <w:spacing w:val="0"/>
          <w:kern w:val="0"/>
          <w:sz w:val="20"/>
          <w:rtl/>
        </w:rPr>
        <w:t xml:space="preserve"> النفسية، حيث </w:t>
      </w:r>
      <w:r w:rsidRPr="003E698F">
        <w:rPr>
          <w:rFonts w:hint="cs"/>
          <w:spacing w:val="0"/>
          <w:kern w:val="0"/>
          <w:sz w:val="20"/>
          <w:rtl/>
        </w:rPr>
        <w:t xml:space="preserve">ظهرت عليه </w:t>
      </w:r>
      <w:r w:rsidRPr="003E698F">
        <w:rPr>
          <w:spacing w:val="0"/>
          <w:kern w:val="0"/>
          <w:sz w:val="20"/>
          <w:rtl/>
        </w:rPr>
        <w:t xml:space="preserve">علامات </w:t>
      </w:r>
      <w:r w:rsidR="004930E5">
        <w:rPr>
          <w:rFonts w:hint="cs"/>
          <w:spacing w:val="0"/>
          <w:kern w:val="0"/>
          <w:sz w:val="20"/>
          <w:rtl/>
        </w:rPr>
        <w:t xml:space="preserve">اضطراب </w:t>
      </w:r>
      <w:r w:rsidRPr="003E698F">
        <w:rPr>
          <w:spacing w:val="0"/>
          <w:kern w:val="0"/>
          <w:sz w:val="20"/>
          <w:rtl/>
        </w:rPr>
        <w:t xml:space="preserve">الإجهاد اللاحق </w:t>
      </w:r>
      <w:r w:rsidR="004930E5">
        <w:rPr>
          <w:rFonts w:hint="cs"/>
          <w:spacing w:val="0"/>
          <w:kern w:val="0"/>
          <w:sz w:val="20"/>
          <w:rtl/>
        </w:rPr>
        <w:t xml:space="preserve">للصدمة </w:t>
      </w:r>
      <w:r w:rsidRPr="003E698F">
        <w:rPr>
          <w:rFonts w:hint="cs"/>
          <w:spacing w:val="0"/>
          <w:kern w:val="0"/>
          <w:sz w:val="20"/>
          <w:rtl/>
        </w:rPr>
        <w:t xml:space="preserve">التي </w:t>
      </w:r>
      <w:r w:rsidRPr="003E698F">
        <w:rPr>
          <w:spacing w:val="0"/>
          <w:kern w:val="0"/>
          <w:sz w:val="20"/>
          <w:rtl/>
        </w:rPr>
        <w:t>تتسق تماماً مع روايته</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ويتضح </w:t>
      </w:r>
      <w:r w:rsidRPr="003E698F">
        <w:rPr>
          <w:spacing w:val="0"/>
          <w:kern w:val="0"/>
          <w:sz w:val="20"/>
          <w:rtl/>
        </w:rPr>
        <w:t xml:space="preserve">بصورة معقولة </w:t>
      </w:r>
      <w:r w:rsidRPr="003E698F">
        <w:rPr>
          <w:rFonts w:hint="cs"/>
          <w:spacing w:val="0"/>
          <w:kern w:val="0"/>
          <w:sz w:val="20"/>
          <w:rtl/>
        </w:rPr>
        <w:t xml:space="preserve">أنه يخشى </w:t>
      </w:r>
      <w:r w:rsidRPr="003E698F">
        <w:rPr>
          <w:spacing w:val="0"/>
          <w:kern w:val="0"/>
          <w:sz w:val="20"/>
          <w:rtl/>
        </w:rPr>
        <w:t xml:space="preserve">على مصيره في حالة </w:t>
      </w:r>
      <w:r w:rsidRPr="003E698F">
        <w:rPr>
          <w:rFonts w:hint="cs"/>
          <w:spacing w:val="0"/>
          <w:kern w:val="0"/>
          <w:sz w:val="20"/>
          <w:rtl/>
        </w:rPr>
        <w:t xml:space="preserve">إعادته </w:t>
      </w:r>
      <w:r w:rsidRPr="003E698F">
        <w:rPr>
          <w:spacing w:val="0"/>
          <w:kern w:val="0"/>
          <w:sz w:val="20"/>
          <w:rtl/>
        </w:rPr>
        <w:t>إلى جمهورية الكونغو الديمقراطية</w:t>
      </w:r>
      <w:r w:rsidRPr="003E698F">
        <w:rPr>
          <w:spacing w:val="0"/>
          <w:kern w:val="0"/>
          <w:sz w:val="20"/>
          <w:vertAlign w:val="superscript"/>
          <w:rtl/>
        </w:rPr>
        <w:t>(</w:t>
      </w:r>
      <w:r w:rsidRPr="003E698F">
        <w:rPr>
          <w:rStyle w:val="FootnoteReference"/>
          <w:spacing w:val="0"/>
          <w:sz w:val="20"/>
          <w:rtl/>
        </w:rPr>
        <w:footnoteReference w:id="175"/>
      </w:r>
      <w:r w:rsidRPr="003E698F">
        <w:rPr>
          <w:spacing w:val="0"/>
          <w:kern w:val="0"/>
          <w:sz w:val="20"/>
          <w:vertAlign w:val="superscript"/>
          <w:rtl/>
        </w:rPr>
        <w:t>)</w:t>
      </w:r>
      <w:r w:rsidRPr="003E698F">
        <w:rPr>
          <w:spacing w:val="0"/>
          <w:kern w:val="0"/>
          <w:sz w:val="20"/>
          <w:rtl/>
        </w:rPr>
        <w:t xml:space="preserve">؛ و(ج) </w:t>
      </w:r>
      <w:r w:rsidRPr="003E698F">
        <w:rPr>
          <w:rFonts w:hint="cs"/>
          <w:spacing w:val="0"/>
          <w:kern w:val="0"/>
          <w:sz w:val="20"/>
          <w:rtl/>
        </w:rPr>
        <w:t xml:space="preserve">رأي </w:t>
      </w:r>
      <w:r w:rsidRPr="003E698F">
        <w:rPr>
          <w:spacing w:val="0"/>
          <w:kern w:val="0"/>
          <w:sz w:val="20"/>
          <w:rtl/>
        </w:rPr>
        <w:t>القاضي الأمريكي الذي منحه الحماية بموجب الاتفاقية</w:t>
      </w:r>
      <w:r w:rsidRPr="003E698F">
        <w:rPr>
          <w:rFonts w:hint="cs"/>
          <w:spacing w:val="0"/>
          <w:kern w:val="0"/>
          <w:sz w:val="20"/>
          <w:rtl/>
        </w:rPr>
        <w:t>، ومفاده</w:t>
      </w:r>
      <w:r w:rsidRPr="003E698F">
        <w:rPr>
          <w:spacing w:val="0"/>
          <w:kern w:val="0"/>
          <w:sz w:val="20"/>
          <w:rtl/>
        </w:rPr>
        <w:t xml:space="preserve"> </w:t>
      </w:r>
      <w:r w:rsidRPr="003E698F">
        <w:rPr>
          <w:rFonts w:hint="cs"/>
          <w:spacing w:val="0"/>
          <w:kern w:val="0"/>
          <w:sz w:val="20"/>
          <w:rtl/>
        </w:rPr>
        <w:t xml:space="preserve">أن هناك </w:t>
      </w:r>
      <w:r w:rsidRPr="003E698F">
        <w:rPr>
          <w:spacing w:val="0"/>
          <w:kern w:val="0"/>
          <w:sz w:val="20"/>
          <w:rtl/>
        </w:rPr>
        <w:t>أسباب</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وجيهة تدعو إلى ا</w:t>
      </w:r>
      <w:r w:rsidRPr="003E698F">
        <w:rPr>
          <w:spacing w:val="0"/>
          <w:kern w:val="0"/>
          <w:sz w:val="20"/>
          <w:rtl/>
        </w:rPr>
        <w:t xml:space="preserve">لاعتقاد بأن </w:t>
      </w:r>
      <w:r w:rsidRPr="003E698F">
        <w:rPr>
          <w:rFonts w:hint="cs"/>
          <w:spacing w:val="0"/>
          <w:kern w:val="0"/>
          <w:sz w:val="20"/>
          <w:rtl/>
        </w:rPr>
        <w:t xml:space="preserve">صاحب الشكوى </w:t>
      </w:r>
      <w:r w:rsidRPr="003E698F">
        <w:rPr>
          <w:spacing w:val="0"/>
          <w:kern w:val="0"/>
          <w:sz w:val="20"/>
          <w:rtl/>
        </w:rPr>
        <w:t>س</w:t>
      </w:r>
      <w:r w:rsidRPr="003E698F">
        <w:rPr>
          <w:rFonts w:hint="eastAsia"/>
          <w:spacing w:val="0"/>
          <w:kern w:val="0"/>
          <w:sz w:val="20"/>
          <w:rtl/>
        </w:rPr>
        <w:t>يتعرض</w:t>
      </w:r>
      <w:r w:rsidRPr="003E698F">
        <w:rPr>
          <w:spacing w:val="0"/>
          <w:kern w:val="0"/>
          <w:sz w:val="20"/>
          <w:rtl/>
        </w:rPr>
        <w:t xml:space="preserve"> ل</w:t>
      </w:r>
      <w:r w:rsidRPr="003E698F">
        <w:rPr>
          <w:rFonts w:hint="cs"/>
          <w:spacing w:val="0"/>
          <w:kern w:val="0"/>
          <w:sz w:val="20"/>
          <w:rtl/>
        </w:rPr>
        <w:t>خطر ا</w:t>
      </w:r>
      <w:r w:rsidRPr="003E698F">
        <w:rPr>
          <w:spacing w:val="0"/>
          <w:kern w:val="0"/>
          <w:sz w:val="20"/>
          <w:rtl/>
        </w:rPr>
        <w:t>لتعذيب في حالة العودة.</w:t>
      </w:r>
    </w:p>
    <w:p w:rsidR="00921F02" w:rsidRPr="003E698F" w:rsidRDefault="00921F02" w:rsidP="00921F02">
      <w:pPr>
        <w:pStyle w:val="SingleTxtGA"/>
        <w:jc w:val="lowKashida"/>
        <w:rPr>
          <w:spacing w:val="0"/>
          <w:kern w:val="0"/>
          <w:sz w:val="20"/>
          <w:rtl/>
        </w:rPr>
      </w:pPr>
      <w:r w:rsidRPr="003E698F">
        <w:rPr>
          <w:spacing w:val="0"/>
          <w:kern w:val="0"/>
          <w:sz w:val="20"/>
          <w:rtl/>
        </w:rPr>
        <w:t>9-7</w:t>
      </w:r>
      <w:r w:rsidRPr="003E698F">
        <w:rPr>
          <w:spacing w:val="0"/>
          <w:kern w:val="0"/>
          <w:sz w:val="20"/>
          <w:rtl/>
        </w:rPr>
        <w:tab/>
      </w:r>
      <w:r w:rsidRPr="003E698F">
        <w:rPr>
          <w:rFonts w:hint="cs"/>
          <w:spacing w:val="0"/>
          <w:kern w:val="0"/>
          <w:sz w:val="20"/>
          <w:rtl/>
        </w:rPr>
        <w:t>كما تحيط</w:t>
      </w:r>
      <w:r w:rsidRPr="003E698F">
        <w:rPr>
          <w:spacing w:val="0"/>
          <w:kern w:val="0"/>
          <w:sz w:val="20"/>
          <w:rtl/>
        </w:rPr>
        <w:t xml:space="preserve"> اللجنة </w:t>
      </w:r>
      <w:r w:rsidRPr="003E698F">
        <w:rPr>
          <w:rFonts w:hint="cs"/>
          <w:spacing w:val="0"/>
          <w:kern w:val="0"/>
          <w:sz w:val="20"/>
          <w:rtl/>
        </w:rPr>
        <w:t>علماً ب</w:t>
      </w:r>
      <w:r w:rsidRPr="003E698F">
        <w:rPr>
          <w:spacing w:val="0"/>
          <w:kern w:val="0"/>
          <w:sz w:val="20"/>
          <w:rtl/>
        </w:rPr>
        <w:t xml:space="preserve">إشارة الدولة الطرف إلى التقارير </w:t>
      </w:r>
      <w:r w:rsidRPr="003E698F">
        <w:rPr>
          <w:rFonts w:hint="cs"/>
          <w:spacing w:val="0"/>
          <w:kern w:val="0"/>
          <w:sz w:val="20"/>
          <w:rtl/>
        </w:rPr>
        <w:t xml:space="preserve">المؤرخة </w:t>
      </w:r>
      <w:r w:rsidRPr="003E698F">
        <w:rPr>
          <w:spacing w:val="0"/>
          <w:kern w:val="0"/>
          <w:sz w:val="20"/>
          <w:rtl/>
        </w:rPr>
        <w:t xml:space="preserve">في عامي 2007 و2008 التي </w:t>
      </w:r>
      <w:r w:rsidRPr="003E698F">
        <w:rPr>
          <w:rFonts w:hint="cs"/>
          <w:spacing w:val="0"/>
          <w:kern w:val="0"/>
          <w:sz w:val="20"/>
          <w:rtl/>
        </w:rPr>
        <w:t xml:space="preserve">تفيد عن </w:t>
      </w:r>
      <w:r w:rsidRPr="003E698F">
        <w:rPr>
          <w:spacing w:val="0"/>
          <w:kern w:val="0"/>
          <w:sz w:val="20"/>
          <w:rtl/>
        </w:rPr>
        <w:t xml:space="preserve">قلة حالات التعذيب المرتكب ضد أعضاء حزب الاتحاد من أجل الديمقراطية والتقدم الاجتماعي أو جماعة اللوبا في </w:t>
      </w:r>
      <w:r w:rsidRPr="003E698F">
        <w:rPr>
          <w:rFonts w:hint="cs"/>
          <w:spacing w:val="0"/>
          <w:kern w:val="0"/>
          <w:sz w:val="20"/>
          <w:rtl/>
        </w:rPr>
        <w:t xml:space="preserve">إقليم </w:t>
      </w:r>
      <w:r w:rsidRPr="003E698F">
        <w:rPr>
          <w:spacing w:val="0"/>
          <w:kern w:val="0"/>
          <w:sz w:val="20"/>
          <w:rtl/>
        </w:rPr>
        <w:t xml:space="preserve">كاساي. وترى اللجنة في هذا الصدد </w:t>
      </w:r>
      <w:r w:rsidRPr="003E698F">
        <w:rPr>
          <w:rFonts w:hint="cs"/>
          <w:spacing w:val="0"/>
          <w:kern w:val="0"/>
          <w:sz w:val="20"/>
          <w:rtl/>
        </w:rPr>
        <w:t xml:space="preserve">أنه حتى لو كانت </w:t>
      </w:r>
      <w:r w:rsidRPr="003E698F">
        <w:rPr>
          <w:spacing w:val="0"/>
          <w:kern w:val="0"/>
          <w:sz w:val="20"/>
          <w:rtl/>
        </w:rPr>
        <w:t>حالات ا</w:t>
      </w:r>
      <w:r w:rsidRPr="003E698F">
        <w:rPr>
          <w:rFonts w:hint="eastAsia"/>
          <w:spacing w:val="0"/>
          <w:kern w:val="0"/>
          <w:sz w:val="20"/>
          <w:rtl/>
        </w:rPr>
        <w:t>لتعذيب</w:t>
      </w:r>
      <w:r w:rsidRPr="003E698F">
        <w:rPr>
          <w:rFonts w:hint="cs"/>
          <w:spacing w:val="0"/>
          <w:kern w:val="0"/>
          <w:sz w:val="20"/>
          <w:rtl/>
        </w:rPr>
        <w:t xml:space="preserve"> نادرة</w:t>
      </w:r>
      <w:r w:rsidRPr="003E698F">
        <w:rPr>
          <w:rFonts w:hint="eastAsia"/>
          <w:spacing w:val="0"/>
          <w:kern w:val="0"/>
          <w:sz w:val="20"/>
          <w:rtl/>
        </w:rPr>
        <w:t>،</w:t>
      </w:r>
      <w:r w:rsidRPr="003E698F">
        <w:rPr>
          <w:spacing w:val="0"/>
          <w:kern w:val="0"/>
          <w:sz w:val="20"/>
          <w:rtl/>
        </w:rPr>
        <w:t xml:space="preserve"> </w:t>
      </w:r>
      <w:r w:rsidRPr="003E698F">
        <w:rPr>
          <w:rFonts w:hint="cs"/>
          <w:spacing w:val="0"/>
          <w:kern w:val="0"/>
          <w:sz w:val="20"/>
          <w:rtl/>
        </w:rPr>
        <w:t xml:space="preserve">فإن </w:t>
      </w:r>
      <w:r w:rsidRPr="003E698F">
        <w:rPr>
          <w:spacing w:val="0"/>
          <w:kern w:val="0"/>
          <w:sz w:val="20"/>
          <w:rtl/>
        </w:rPr>
        <w:t xml:space="preserve">خطر التعرض للتعذيب فيما يتعلق بصاحب الشكوى، الذي هو نجل أحد زعماء حزب الاتحاد من أجل الديمقراطية والتقدم الاجتماعي، وينتمي إلى جماعة اللوبا </w:t>
      </w:r>
      <w:r w:rsidRPr="003E698F">
        <w:rPr>
          <w:rFonts w:hint="cs"/>
          <w:spacing w:val="0"/>
          <w:kern w:val="0"/>
          <w:sz w:val="20"/>
          <w:rtl/>
        </w:rPr>
        <w:t xml:space="preserve">بإقليم </w:t>
      </w:r>
      <w:r w:rsidRPr="003E698F">
        <w:rPr>
          <w:spacing w:val="0"/>
          <w:kern w:val="0"/>
          <w:sz w:val="20"/>
          <w:rtl/>
        </w:rPr>
        <w:t>كاساي، وسبق أن تعرض للعنف أثناء احتجازه في كينشاسا في عام 2002، لا</w:t>
      </w:r>
      <w:r w:rsidRPr="003E698F">
        <w:rPr>
          <w:rFonts w:hint="cs"/>
          <w:spacing w:val="0"/>
          <w:kern w:val="0"/>
          <w:sz w:val="20"/>
          <w:rtl/>
        </w:rPr>
        <w:t> </w:t>
      </w:r>
      <w:r w:rsidRPr="003E698F">
        <w:rPr>
          <w:spacing w:val="0"/>
          <w:kern w:val="0"/>
          <w:sz w:val="20"/>
          <w:rtl/>
        </w:rPr>
        <w:t>يزال قائماً. وبالإضافة إلى ذلك، ترى الل</w:t>
      </w:r>
      <w:r w:rsidRPr="003E698F">
        <w:rPr>
          <w:rFonts w:hint="eastAsia"/>
          <w:spacing w:val="0"/>
          <w:kern w:val="0"/>
          <w:sz w:val="20"/>
          <w:rtl/>
        </w:rPr>
        <w:t>جنة</w:t>
      </w:r>
      <w:r w:rsidRPr="003E698F">
        <w:rPr>
          <w:spacing w:val="0"/>
          <w:kern w:val="0"/>
          <w:sz w:val="20"/>
          <w:rtl/>
        </w:rPr>
        <w:t xml:space="preserve"> أن اقتراح الدولة الطرف بأن </w:t>
      </w:r>
      <w:r w:rsidRPr="003E698F">
        <w:rPr>
          <w:rFonts w:hint="cs"/>
          <w:spacing w:val="0"/>
          <w:kern w:val="0"/>
          <w:sz w:val="20"/>
          <w:rtl/>
        </w:rPr>
        <w:t xml:space="preserve">انتقال </w:t>
      </w:r>
      <w:r w:rsidRPr="003E698F">
        <w:rPr>
          <w:spacing w:val="0"/>
          <w:kern w:val="0"/>
          <w:sz w:val="20"/>
          <w:rtl/>
        </w:rPr>
        <w:t xml:space="preserve">صاحب الشكوى </w:t>
      </w:r>
      <w:r w:rsidRPr="003E698F">
        <w:rPr>
          <w:rFonts w:hint="cs"/>
          <w:spacing w:val="0"/>
          <w:kern w:val="0"/>
          <w:sz w:val="20"/>
          <w:rtl/>
        </w:rPr>
        <w:t xml:space="preserve">للإقامة </w:t>
      </w:r>
      <w:r w:rsidRPr="003E698F">
        <w:rPr>
          <w:spacing w:val="0"/>
          <w:kern w:val="0"/>
          <w:sz w:val="20"/>
          <w:rtl/>
        </w:rPr>
        <w:t>في كينشاسا، لعدم تعرض جماعة اللوبا على ما يبدو للعنف فيها، على عكس ما</w:t>
      </w:r>
      <w:r w:rsidRPr="003E698F">
        <w:rPr>
          <w:rFonts w:hint="cs"/>
          <w:spacing w:val="0"/>
          <w:kern w:val="0"/>
          <w:sz w:val="20"/>
          <w:rtl/>
        </w:rPr>
        <w:t> </w:t>
      </w:r>
      <w:r w:rsidRPr="003E698F">
        <w:rPr>
          <w:spacing w:val="0"/>
          <w:kern w:val="0"/>
          <w:sz w:val="20"/>
          <w:rtl/>
        </w:rPr>
        <w:t>يحدث في منطقة كاتانغا، لا يستبعد تماماً احتمال أن يواجه صاحب الشكوى شخصياً خطر التعذيب في هذه المنطقة. وتشير اللجنة في هذا الصدد، إلى آرائها السابقة التي تفيد بأن مفهوم "الخطر المحلي" لا يضع معايير قابلة للقياس ولا يكفي لأن يبدد تماماً خطر التعرض شخصياً للتعذيب"</w:t>
      </w:r>
      <w:r w:rsidRPr="003E698F">
        <w:rPr>
          <w:spacing w:val="0"/>
          <w:kern w:val="0"/>
          <w:sz w:val="20"/>
          <w:vertAlign w:val="superscript"/>
          <w:rtl/>
        </w:rPr>
        <w:t>(</w:t>
      </w:r>
      <w:r w:rsidRPr="003E698F">
        <w:rPr>
          <w:rStyle w:val="FootnoteReference"/>
          <w:spacing w:val="0"/>
          <w:sz w:val="20"/>
          <w:rtl/>
        </w:rPr>
        <w:footnoteReference w:id="176"/>
      </w:r>
      <w:r w:rsidRPr="003E698F">
        <w:rPr>
          <w:spacing w:val="0"/>
          <w:kern w:val="0"/>
          <w:sz w:val="20"/>
          <w:vertAlign w:val="superscript"/>
          <w:rtl/>
        </w:rPr>
        <w:t>)</w:t>
      </w:r>
      <w:r w:rsidRPr="003E698F">
        <w:rPr>
          <w:spacing w:val="0"/>
          <w:kern w:val="0"/>
          <w:sz w:val="20"/>
          <w:rtl/>
        </w:rPr>
        <w:t>.</w:t>
      </w:r>
    </w:p>
    <w:p w:rsidR="00921F02" w:rsidRPr="003E698F" w:rsidRDefault="00921F02" w:rsidP="00921F02">
      <w:pPr>
        <w:pStyle w:val="SingleTxtGA"/>
        <w:jc w:val="lowKashida"/>
        <w:rPr>
          <w:spacing w:val="0"/>
          <w:kern w:val="0"/>
          <w:sz w:val="20"/>
          <w:rtl/>
        </w:rPr>
      </w:pPr>
      <w:r w:rsidRPr="003E698F">
        <w:rPr>
          <w:spacing w:val="0"/>
          <w:kern w:val="0"/>
          <w:sz w:val="20"/>
          <w:rtl/>
        </w:rPr>
        <w:t>9-8</w:t>
      </w:r>
      <w:r w:rsidRPr="003E698F">
        <w:rPr>
          <w:spacing w:val="0"/>
          <w:kern w:val="0"/>
          <w:sz w:val="20"/>
          <w:rtl/>
        </w:rPr>
        <w:tab/>
        <w:t xml:space="preserve">وبالنظر إلى </w:t>
      </w:r>
      <w:r w:rsidRPr="003E698F">
        <w:rPr>
          <w:rFonts w:hint="cs"/>
          <w:spacing w:val="0"/>
          <w:kern w:val="0"/>
          <w:sz w:val="20"/>
          <w:rtl/>
        </w:rPr>
        <w:t>ما تقدم</w:t>
      </w:r>
      <w:r w:rsidRPr="003E698F">
        <w:rPr>
          <w:spacing w:val="0"/>
          <w:kern w:val="0"/>
          <w:sz w:val="20"/>
          <w:rtl/>
        </w:rPr>
        <w:t xml:space="preserve">، تخلص اللجنة إلى أن صاحب الشكوى قدم ما يكفي من الأدلة لإثبات أنه سيواجه خطراً شخصياً </w:t>
      </w:r>
      <w:r w:rsidRPr="003E698F">
        <w:rPr>
          <w:rFonts w:hint="cs"/>
          <w:spacing w:val="0"/>
          <w:kern w:val="0"/>
          <w:sz w:val="20"/>
          <w:rtl/>
        </w:rPr>
        <w:t>و</w:t>
      </w:r>
      <w:r w:rsidRPr="003E698F">
        <w:rPr>
          <w:spacing w:val="0"/>
          <w:kern w:val="0"/>
          <w:sz w:val="20"/>
          <w:rtl/>
        </w:rPr>
        <w:t xml:space="preserve">حقيقياً </w:t>
      </w:r>
      <w:r w:rsidRPr="003E698F">
        <w:rPr>
          <w:rFonts w:hint="cs"/>
          <w:spacing w:val="0"/>
          <w:kern w:val="0"/>
          <w:sz w:val="20"/>
          <w:rtl/>
        </w:rPr>
        <w:t>ومتوقعاً</w:t>
      </w:r>
      <w:r w:rsidRPr="003E698F">
        <w:rPr>
          <w:spacing w:val="0"/>
          <w:kern w:val="0"/>
          <w:sz w:val="20"/>
          <w:rtl/>
        </w:rPr>
        <w:t xml:space="preserve"> </w:t>
      </w:r>
      <w:r w:rsidRPr="003E698F">
        <w:rPr>
          <w:rFonts w:hint="cs"/>
          <w:spacing w:val="0"/>
          <w:kern w:val="0"/>
          <w:sz w:val="20"/>
          <w:rtl/>
        </w:rPr>
        <w:t>با</w:t>
      </w:r>
      <w:r w:rsidRPr="003E698F">
        <w:rPr>
          <w:spacing w:val="0"/>
          <w:kern w:val="0"/>
          <w:sz w:val="20"/>
          <w:rtl/>
        </w:rPr>
        <w:t xml:space="preserve">لتعرض للتعذيب في حالة </w:t>
      </w:r>
      <w:r w:rsidRPr="003E698F">
        <w:rPr>
          <w:rFonts w:hint="cs"/>
          <w:spacing w:val="0"/>
          <w:kern w:val="0"/>
          <w:sz w:val="20"/>
          <w:rtl/>
        </w:rPr>
        <w:t xml:space="preserve">إعادته </w:t>
      </w:r>
      <w:r w:rsidRPr="003E698F">
        <w:rPr>
          <w:spacing w:val="0"/>
          <w:kern w:val="0"/>
          <w:sz w:val="20"/>
          <w:rtl/>
        </w:rPr>
        <w:t>إلى جمهورية الكونغو الديمقراطية.</w:t>
      </w:r>
    </w:p>
    <w:p w:rsidR="00921F02" w:rsidRPr="003E698F" w:rsidRDefault="00921F02" w:rsidP="00921F02">
      <w:pPr>
        <w:pStyle w:val="SingleTxtGA"/>
        <w:jc w:val="lowKashida"/>
        <w:rPr>
          <w:spacing w:val="0"/>
          <w:kern w:val="0"/>
          <w:sz w:val="20"/>
          <w:rtl/>
        </w:rPr>
      </w:pPr>
      <w:r w:rsidRPr="003E698F">
        <w:rPr>
          <w:spacing w:val="0"/>
          <w:kern w:val="0"/>
          <w:sz w:val="20"/>
          <w:rtl/>
        </w:rPr>
        <w:t>10-</w:t>
      </w:r>
      <w:r w:rsidRPr="003E698F">
        <w:rPr>
          <w:spacing w:val="0"/>
          <w:kern w:val="0"/>
          <w:sz w:val="20"/>
          <w:rtl/>
        </w:rPr>
        <w:tab/>
      </w:r>
      <w:r w:rsidRPr="003E698F">
        <w:rPr>
          <w:rFonts w:hint="cs"/>
          <w:spacing w:val="0"/>
          <w:kern w:val="0"/>
          <w:sz w:val="20"/>
          <w:rtl/>
        </w:rPr>
        <w:t xml:space="preserve">وإن </w:t>
      </w:r>
      <w:r w:rsidRPr="003E698F">
        <w:rPr>
          <w:spacing w:val="0"/>
          <w:kern w:val="0"/>
          <w:sz w:val="20"/>
          <w:rtl/>
        </w:rPr>
        <w:t xml:space="preserve">لجنة مناهضة التعذيب، إذ </w:t>
      </w:r>
      <w:r w:rsidRPr="003E698F">
        <w:rPr>
          <w:rFonts w:hint="cs"/>
          <w:spacing w:val="0"/>
          <w:kern w:val="0"/>
          <w:sz w:val="20"/>
          <w:rtl/>
        </w:rPr>
        <w:t>تعمل</w:t>
      </w:r>
      <w:r w:rsidRPr="003E698F">
        <w:rPr>
          <w:spacing w:val="0"/>
          <w:kern w:val="0"/>
          <w:sz w:val="20"/>
          <w:rtl/>
        </w:rPr>
        <w:t xml:space="preserve"> بموجب الفقرة 7 من المادة 22 من اتفاقية مناهضة التعذيب وغيره من ضروب المعاملة أو العقوبة القاسية أو اللاإنسانية أو المهينة، </w:t>
      </w:r>
      <w:r w:rsidRPr="003E698F">
        <w:rPr>
          <w:rFonts w:hint="cs"/>
          <w:spacing w:val="0"/>
          <w:kern w:val="0"/>
          <w:sz w:val="20"/>
          <w:rtl/>
        </w:rPr>
        <w:t xml:space="preserve">ترى </w:t>
      </w:r>
      <w:r w:rsidRPr="003E698F">
        <w:rPr>
          <w:spacing w:val="0"/>
          <w:kern w:val="0"/>
          <w:sz w:val="20"/>
          <w:rtl/>
        </w:rPr>
        <w:t>أن قرار الدولة الطرف بترحيل صاحب الشكوى إلى جمهورية الكونغو الديمقراطية سيشكل، في حالة تنفيذه، انتهاكاً للمادة 3 من الاتفاقية.</w:t>
      </w:r>
    </w:p>
    <w:p w:rsidR="00921F02" w:rsidRPr="003E698F" w:rsidRDefault="00921F02" w:rsidP="00921F02">
      <w:pPr>
        <w:pStyle w:val="SingleTxtGA"/>
        <w:jc w:val="lowKashida"/>
        <w:rPr>
          <w:spacing w:val="0"/>
          <w:kern w:val="0"/>
          <w:sz w:val="20"/>
          <w:rtl/>
        </w:rPr>
      </w:pPr>
      <w:r w:rsidRPr="003E698F">
        <w:rPr>
          <w:spacing w:val="0"/>
          <w:kern w:val="0"/>
          <w:sz w:val="20"/>
          <w:rtl/>
        </w:rPr>
        <w:t>11-</w:t>
      </w:r>
      <w:r w:rsidRPr="003E698F">
        <w:rPr>
          <w:spacing w:val="0"/>
          <w:kern w:val="0"/>
          <w:sz w:val="20"/>
          <w:rtl/>
        </w:rPr>
        <w:tab/>
      </w:r>
      <w:r w:rsidRPr="003E698F">
        <w:rPr>
          <w:rFonts w:hint="cs"/>
          <w:spacing w:val="0"/>
          <w:kern w:val="0"/>
          <w:sz w:val="20"/>
          <w:rtl/>
        </w:rPr>
        <w:t>وتود</w:t>
      </w:r>
      <w:r w:rsidRPr="003E698F">
        <w:rPr>
          <w:spacing w:val="0"/>
          <w:kern w:val="0"/>
          <w:sz w:val="20"/>
          <w:rtl/>
        </w:rPr>
        <w:t xml:space="preserve"> اللجنة، </w:t>
      </w:r>
      <w:r w:rsidRPr="003E698F">
        <w:rPr>
          <w:rFonts w:hint="cs"/>
          <w:spacing w:val="0"/>
          <w:kern w:val="0"/>
          <w:sz w:val="20"/>
          <w:rtl/>
        </w:rPr>
        <w:t>وفقا</w:t>
      </w:r>
      <w:r w:rsidR="002C2A9D">
        <w:rPr>
          <w:rFonts w:hint="cs"/>
          <w:spacing w:val="0"/>
          <w:kern w:val="0"/>
          <w:sz w:val="20"/>
          <w:rtl/>
        </w:rPr>
        <w:t>ً</w:t>
      </w:r>
      <w:r w:rsidRPr="003E698F">
        <w:rPr>
          <w:rFonts w:hint="cs"/>
          <w:spacing w:val="0"/>
          <w:kern w:val="0"/>
          <w:sz w:val="20"/>
          <w:rtl/>
        </w:rPr>
        <w:t xml:space="preserve"> ل</w:t>
      </w:r>
      <w:r w:rsidRPr="003E698F">
        <w:rPr>
          <w:spacing w:val="0"/>
          <w:kern w:val="0"/>
          <w:sz w:val="20"/>
          <w:rtl/>
        </w:rPr>
        <w:t xml:space="preserve">لفقرة 5 من المادة 112 من نظامها الداخلي، </w:t>
      </w:r>
      <w:r w:rsidRPr="003E698F">
        <w:rPr>
          <w:rFonts w:hint="cs"/>
          <w:spacing w:val="0"/>
          <w:kern w:val="0"/>
          <w:sz w:val="20"/>
          <w:rtl/>
        </w:rPr>
        <w:t xml:space="preserve">أن تحيطها </w:t>
      </w:r>
      <w:r w:rsidRPr="003E698F">
        <w:rPr>
          <w:spacing w:val="0"/>
          <w:kern w:val="0"/>
          <w:sz w:val="20"/>
          <w:rtl/>
        </w:rPr>
        <w:t>الدولة الطرف</w:t>
      </w:r>
      <w:r w:rsidRPr="003E698F">
        <w:rPr>
          <w:rFonts w:hint="cs"/>
          <w:spacing w:val="0"/>
          <w:kern w:val="0"/>
          <w:sz w:val="20"/>
          <w:rtl/>
        </w:rPr>
        <w:t xml:space="preserve"> علماً</w:t>
      </w:r>
      <w:r w:rsidRPr="003E698F">
        <w:rPr>
          <w:spacing w:val="0"/>
          <w:kern w:val="0"/>
          <w:sz w:val="20"/>
          <w:rtl/>
        </w:rPr>
        <w:t>، في غضون 90 يوماً، بالخطوات التي اتخذتها استجابة لهذا القرار.</w:t>
      </w:r>
    </w:p>
    <w:p w:rsidR="00B32542" w:rsidRDefault="00B32542" w:rsidP="00921F02">
      <w:pPr>
        <w:pStyle w:val="H1GA"/>
        <w:spacing w:line="380" w:lineRule="exact"/>
        <w:rPr>
          <w:spacing w:val="0"/>
          <w:kern w:val="0"/>
          <w:sz w:val="20"/>
          <w:rtl/>
        </w:rPr>
        <w:sectPr w:rsidR="00B32542"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921F02" w:rsidRPr="003E698F" w:rsidRDefault="00921F02" w:rsidP="002A1584">
      <w:pPr>
        <w:pStyle w:val="H1GA"/>
        <w:spacing w:before="120" w:line="380" w:lineRule="exact"/>
        <w:rPr>
          <w:rFonts w:hint="cs"/>
          <w:spacing w:val="0"/>
          <w:kern w:val="0"/>
          <w:sz w:val="20"/>
          <w:rtl/>
        </w:rPr>
      </w:pPr>
      <w:r w:rsidRPr="003E698F">
        <w:rPr>
          <w:rFonts w:hint="cs"/>
          <w:spacing w:val="0"/>
          <w:kern w:val="0"/>
          <w:sz w:val="20"/>
          <w:rtl/>
        </w:rPr>
        <w:tab/>
      </w:r>
      <w:r w:rsidRPr="003E698F">
        <w:rPr>
          <w:rFonts w:hint="cs"/>
          <w:spacing w:val="0"/>
          <w:kern w:val="0"/>
          <w:sz w:val="20"/>
          <w:rtl/>
        </w:rPr>
        <w:tab/>
        <w:t xml:space="preserve">البلاغ رقم 347/2008: </w:t>
      </w:r>
      <w:r w:rsidRPr="003E698F">
        <w:rPr>
          <w:rFonts w:hint="cs"/>
          <w:i/>
          <w:iCs/>
          <w:spacing w:val="0"/>
          <w:kern w:val="0"/>
          <w:sz w:val="20"/>
          <w:rtl/>
        </w:rPr>
        <w:t>ن. ب</w:t>
      </w:r>
      <w:r w:rsidR="002A1584">
        <w:rPr>
          <w:rFonts w:hint="cs"/>
          <w:i/>
          <w:iCs/>
          <w:spacing w:val="0"/>
          <w:kern w:val="0"/>
          <w:sz w:val="20"/>
          <w:rtl/>
        </w:rPr>
        <w:t>.-</w:t>
      </w:r>
      <w:r w:rsidRPr="003E698F">
        <w:rPr>
          <w:rFonts w:hint="cs"/>
          <w:i/>
          <w:iCs/>
          <w:spacing w:val="0"/>
          <w:kern w:val="0"/>
          <w:sz w:val="20"/>
          <w:rtl/>
        </w:rPr>
        <w:t>م. ضد سويسرا</w:t>
      </w:r>
    </w:p>
    <w:p w:rsidR="00921F02" w:rsidRPr="003E698F" w:rsidRDefault="00921F02" w:rsidP="00B32542">
      <w:pPr>
        <w:pStyle w:val="SingleTxtGA"/>
        <w:tabs>
          <w:tab w:val="clear" w:pos="1928"/>
          <w:tab w:val="clear" w:pos="2608"/>
          <w:tab w:val="clear" w:pos="3289"/>
          <w:tab w:val="clear" w:pos="3969"/>
          <w:tab w:val="clear" w:pos="4649"/>
          <w:tab w:val="left" w:pos="4346"/>
        </w:tabs>
        <w:ind w:left="4514" w:hanging="2561"/>
        <w:rPr>
          <w:rFonts w:hint="cs"/>
          <w:spacing w:val="0"/>
          <w:kern w:val="0"/>
          <w:sz w:val="20"/>
          <w:rtl/>
          <w:lang w:val="fr-CH"/>
        </w:rPr>
      </w:pPr>
      <w:r w:rsidRPr="003E698F">
        <w:rPr>
          <w:rFonts w:hint="cs"/>
          <w:i/>
          <w:iCs/>
          <w:spacing w:val="0"/>
          <w:kern w:val="0"/>
          <w:sz w:val="20"/>
          <w:rtl/>
          <w:lang w:val="fr-CH"/>
        </w:rPr>
        <w:t>المقدم من</w:t>
      </w:r>
      <w:r w:rsidRPr="003E698F">
        <w:rPr>
          <w:rFonts w:hint="cs"/>
          <w:spacing w:val="0"/>
          <w:kern w:val="0"/>
          <w:sz w:val="20"/>
          <w:rtl/>
          <w:lang w:val="fr-CH"/>
        </w:rPr>
        <w:t>:</w:t>
      </w:r>
      <w:r w:rsidRPr="003E698F">
        <w:rPr>
          <w:rFonts w:hint="cs"/>
          <w:spacing w:val="0"/>
          <w:kern w:val="0"/>
          <w:sz w:val="20"/>
          <w:rtl/>
          <w:lang w:val="fr-CH"/>
        </w:rPr>
        <w:tab/>
      </w:r>
      <w:r w:rsidRPr="003E698F">
        <w:rPr>
          <w:rFonts w:hint="cs"/>
          <w:color w:val="000000"/>
          <w:spacing w:val="0"/>
          <w:kern w:val="0"/>
          <w:sz w:val="20"/>
          <w:rtl/>
          <w:lang w:val="fr-CH"/>
        </w:rPr>
        <w:t>ن. ب-م</w:t>
      </w:r>
      <w:r w:rsidRPr="003E698F">
        <w:rPr>
          <w:rFonts w:hint="cs"/>
          <w:spacing w:val="0"/>
          <w:kern w:val="0"/>
          <w:sz w:val="20"/>
          <w:rtl/>
          <w:lang w:val="fr-CH"/>
        </w:rPr>
        <w:t xml:space="preserve">. </w:t>
      </w:r>
      <w:r w:rsidRPr="003E698F">
        <w:rPr>
          <w:rFonts w:hint="cs"/>
          <w:spacing w:val="0"/>
          <w:kern w:val="0"/>
          <w:sz w:val="20"/>
          <w:szCs w:val="28"/>
          <w:rtl/>
        </w:rPr>
        <w:t>(لا يمثلها محام)</w:t>
      </w:r>
    </w:p>
    <w:p w:rsidR="00921F02" w:rsidRPr="003E698F" w:rsidRDefault="00921F02" w:rsidP="00B32542">
      <w:pPr>
        <w:pStyle w:val="SingleTxtGA"/>
        <w:tabs>
          <w:tab w:val="clear" w:pos="1928"/>
          <w:tab w:val="clear" w:pos="2608"/>
          <w:tab w:val="clear" w:pos="3289"/>
          <w:tab w:val="clear" w:pos="3969"/>
          <w:tab w:val="clear" w:pos="4649"/>
          <w:tab w:val="left" w:pos="4346"/>
        </w:tabs>
        <w:ind w:left="4514" w:hanging="2561"/>
        <w:rPr>
          <w:rFonts w:hint="cs"/>
          <w:spacing w:val="0"/>
          <w:kern w:val="0"/>
          <w:sz w:val="20"/>
          <w:rtl/>
          <w:lang w:val="fr-CH"/>
        </w:rPr>
      </w:pPr>
      <w:r w:rsidRPr="003E698F">
        <w:rPr>
          <w:rFonts w:hint="cs"/>
          <w:spacing w:val="0"/>
          <w:kern w:val="0"/>
          <w:sz w:val="20"/>
          <w:rtl/>
          <w:lang w:val="fr-CH"/>
        </w:rPr>
        <w:t>الشخص المدعى أنه ضحية:</w:t>
      </w:r>
      <w:r w:rsidRPr="003E698F">
        <w:rPr>
          <w:rFonts w:hint="cs"/>
          <w:spacing w:val="0"/>
          <w:kern w:val="0"/>
          <w:sz w:val="20"/>
          <w:rtl/>
          <w:lang w:val="fr-CH"/>
        </w:rPr>
        <w:tab/>
        <w:t>صاحبة الشكوى</w:t>
      </w:r>
    </w:p>
    <w:p w:rsidR="00921F02" w:rsidRPr="003E698F" w:rsidRDefault="00921F02" w:rsidP="00B32542">
      <w:pPr>
        <w:pStyle w:val="SingleTxtGA"/>
        <w:tabs>
          <w:tab w:val="clear" w:pos="1928"/>
          <w:tab w:val="clear" w:pos="2608"/>
          <w:tab w:val="clear" w:pos="3289"/>
          <w:tab w:val="clear" w:pos="3969"/>
          <w:tab w:val="clear" w:pos="4649"/>
          <w:tab w:val="left" w:pos="4346"/>
        </w:tabs>
        <w:ind w:left="4514" w:hanging="2561"/>
        <w:rPr>
          <w:rFonts w:hint="cs"/>
          <w:spacing w:val="0"/>
          <w:kern w:val="0"/>
          <w:sz w:val="20"/>
          <w:rtl/>
          <w:lang w:val="fr-CH"/>
        </w:rPr>
      </w:pPr>
      <w:r w:rsidRPr="003E698F">
        <w:rPr>
          <w:rFonts w:hint="cs"/>
          <w:i/>
          <w:iCs/>
          <w:spacing w:val="0"/>
          <w:kern w:val="0"/>
          <w:sz w:val="20"/>
          <w:rtl/>
          <w:lang w:val="fr-CH"/>
        </w:rPr>
        <w:t>الدولة الطرف</w:t>
      </w:r>
      <w:r w:rsidRPr="003E698F">
        <w:rPr>
          <w:rFonts w:hint="cs"/>
          <w:spacing w:val="0"/>
          <w:kern w:val="0"/>
          <w:sz w:val="20"/>
          <w:rtl/>
          <w:lang w:val="fr-CH"/>
        </w:rPr>
        <w:t>:</w:t>
      </w:r>
      <w:r w:rsidRPr="003E698F">
        <w:rPr>
          <w:rFonts w:hint="cs"/>
          <w:spacing w:val="0"/>
          <w:kern w:val="0"/>
          <w:sz w:val="20"/>
          <w:rtl/>
          <w:lang w:val="fr-CH"/>
        </w:rPr>
        <w:tab/>
        <w:t>سويسرا</w:t>
      </w:r>
    </w:p>
    <w:p w:rsidR="00921F02" w:rsidRPr="003E698F" w:rsidRDefault="00921F02" w:rsidP="00B32542">
      <w:pPr>
        <w:pStyle w:val="SingleTxtGA"/>
        <w:tabs>
          <w:tab w:val="clear" w:pos="1928"/>
          <w:tab w:val="clear" w:pos="2608"/>
          <w:tab w:val="clear" w:pos="3289"/>
          <w:tab w:val="clear" w:pos="3969"/>
          <w:tab w:val="clear" w:pos="4649"/>
          <w:tab w:val="left" w:pos="4346"/>
        </w:tabs>
        <w:ind w:left="4514" w:hanging="2561"/>
        <w:rPr>
          <w:rFonts w:hint="cs"/>
          <w:spacing w:val="0"/>
          <w:kern w:val="0"/>
          <w:sz w:val="20"/>
          <w:rtl/>
          <w:lang w:val="fr-CH"/>
        </w:rPr>
      </w:pPr>
      <w:r w:rsidRPr="003E698F">
        <w:rPr>
          <w:i/>
          <w:iCs/>
          <w:spacing w:val="0"/>
          <w:kern w:val="0"/>
          <w:sz w:val="20"/>
          <w:rtl/>
          <w:lang w:val="fr-CH"/>
        </w:rPr>
        <w:t>تاريخ تقديم الشكوى</w:t>
      </w:r>
      <w:r w:rsidRPr="003E698F">
        <w:rPr>
          <w:rFonts w:hint="cs"/>
          <w:spacing w:val="0"/>
          <w:kern w:val="0"/>
          <w:sz w:val="20"/>
          <w:rtl/>
          <w:lang w:val="fr-CH"/>
        </w:rPr>
        <w:t>:</w:t>
      </w:r>
      <w:r w:rsidRPr="003E698F">
        <w:rPr>
          <w:rFonts w:hint="cs"/>
          <w:spacing w:val="0"/>
          <w:kern w:val="0"/>
          <w:sz w:val="20"/>
          <w:rtl/>
          <w:lang w:val="fr-CH"/>
        </w:rPr>
        <w:tab/>
        <w:t>10نيسان/أبريل 2008 (تاريخ الرسالة الأولى)</w:t>
      </w:r>
    </w:p>
    <w:p w:rsidR="00921F02" w:rsidRPr="003E698F" w:rsidRDefault="00921F02" w:rsidP="00B32542">
      <w:pPr>
        <w:pStyle w:val="SingleTxtGA"/>
        <w:jc w:val="lowKashida"/>
        <w:rPr>
          <w:rFonts w:hint="cs"/>
          <w:spacing w:val="0"/>
          <w:kern w:val="0"/>
          <w:sz w:val="20"/>
          <w:rtl/>
        </w:rPr>
      </w:pPr>
      <w:r w:rsidRPr="003E698F">
        <w:rPr>
          <w:rFonts w:hint="cs"/>
          <w:i/>
          <w:iCs/>
          <w:spacing w:val="0"/>
          <w:kern w:val="0"/>
          <w:sz w:val="20"/>
          <w:rtl/>
        </w:rPr>
        <w:tab/>
      </w:r>
      <w:r w:rsidRPr="003E698F">
        <w:rPr>
          <w:i/>
          <w:iCs/>
          <w:spacing w:val="0"/>
          <w:kern w:val="0"/>
          <w:sz w:val="20"/>
          <w:rtl/>
        </w:rPr>
        <w:t>إن لجنة مناهضة التعذيب</w:t>
      </w:r>
      <w:r w:rsidRPr="003E698F">
        <w:rPr>
          <w:spacing w:val="0"/>
          <w:kern w:val="0"/>
          <w:sz w:val="20"/>
          <w:rtl/>
        </w:rPr>
        <w:t>، المنشأة بموجب المادة 17 من اتفاقية مناهضة التعذيب وغيره من ضروب المعاملة أو العقوبة القاسية أو اللاإنسانية أو المهينة،</w:t>
      </w:r>
    </w:p>
    <w:p w:rsidR="00921F02" w:rsidRPr="003E698F" w:rsidRDefault="00921F02" w:rsidP="00B32542">
      <w:pPr>
        <w:pStyle w:val="SingleTxtGA"/>
        <w:jc w:val="lowKashida"/>
        <w:rPr>
          <w:rFonts w:hint="cs"/>
          <w:spacing w:val="0"/>
          <w:kern w:val="0"/>
          <w:sz w:val="20"/>
          <w:rtl/>
        </w:rPr>
      </w:pPr>
      <w:r w:rsidRPr="003E698F">
        <w:rPr>
          <w:rFonts w:hint="cs"/>
          <w:i/>
          <w:iCs/>
          <w:spacing w:val="0"/>
          <w:kern w:val="0"/>
          <w:sz w:val="20"/>
          <w:rtl/>
        </w:rPr>
        <w:tab/>
      </w:r>
      <w:r w:rsidRPr="003E698F">
        <w:rPr>
          <w:i/>
          <w:iCs/>
          <w:spacing w:val="0"/>
          <w:kern w:val="0"/>
          <w:sz w:val="20"/>
          <w:rtl/>
        </w:rPr>
        <w:t>وقد اجتمعت</w:t>
      </w:r>
      <w:r w:rsidRPr="003E698F">
        <w:rPr>
          <w:spacing w:val="0"/>
          <w:kern w:val="0"/>
          <w:sz w:val="20"/>
          <w:rtl/>
        </w:rPr>
        <w:t xml:space="preserve"> في </w:t>
      </w:r>
      <w:r w:rsidRPr="003E698F">
        <w:rPr>
          <w:rFonts w:hint="cs"/>
          <w:spacing w:val="0"/>
          <w:kern w:val="0"/>
          <w:sz w:val="20"/>
          <w:rtl/>
        </w:rPr>
        <w:t>14 تشرين الثاني</w:t>
      </w:r>
      <w:r w:rsidRPr="003E698F">
        <w:rPr>
          <w:spacing w:val="0"/>
          <w:kern w:val="0"/>
          <w:sz w:val="20"/>
          <w:rtl/>
        </w:rPr>
        <w:t>/</w:t>
      </w:r>
      <w:r w:rsidRPr="003E698F">
        <w:rPr>
          <w:rFonts w:hint="cs"/>
          <w:spacing w:val="0"/>
          <w:kern w:val="0"/>
          <w:sz w:val="20"/>
          <w:rtl/>
        </w:rPr>
        <w:t>نوفمبر</w:t>
      </w:r>
      <w:r w:rsidRPr="003E698F">
        <w:rPr>
          <w:spacing w:val="0"/>
          <w:kern w:val="0"/>
          <w:sz w:val="20"/>
          <w:rtl/>
        </w:rPr>
        <w:t xml:space="preserve"> </w:t>
      </w:r>
      <w:r w:rsidRPr="003E698F">
        <w:rPr>
          <w:rFonts w:hint="cs"/>
          <w:spacing w:val="0"/>
          <w:kern w:val="0"/>
          <w:sz w:val="20"/>
          <w:rtl/>
        </w:rPr>
        <w:t>2011،</w:t>
      </w:r>
    </w:p>
    <w:p w:rsidR="00921F02" w:rsidRPr="003E698F" w:rsidRDefault="00921F02" w:rsidP="00B32542">
      <w:pPr>
        <w:pStyle w:val="SingleTxtGA"/>
        <w:jc w:val="lowKashida"/>
        <w:rPr>
          <w:rFonts w:hint="cs"/>
          <w:spacing w:val="0"/>
          <w:kern w:val="0"/>
          <w:sz w:val="20"/>
          <w:rtl/>
        </w:rPr>
      </w:pPr>
      <w:r w:rsidRPr="00E61B85">
        <w:rPr>
          <w:rFonts w:hint="cs"/>
          <w:i/>
          <w:iCs/>
          <w:spacing w:val="-2"/>
          <w:kern w:val="0"/>
          <w:sz w:val="20"/>
          <w:rtl/>
        </w:rPr>
        <w:tab/>
      </w:r>
      <w:r w:rsidRPr="00E61B85">
        <w:rPr>
          <w:i/>
          <w:iCs/>
          <w:spacing w:val="-2"/>
          <w:kern w:val="0"/>
          <w:sz w:val="20"/>
          <w:rtl/>
        </w:rPr>
        <w:t xml:space="preserve">وقد </w:t>
      </w:r>
      <w:r w:rsidRPr="00E61B85">
        <w:rPr>
          <w:rFonts w:hint="cs"/>
          <w:i/>
          <w:iCs/>
          <w:spacing w:val="-2"/>
          <w:kern w:val="0"/>
          <w:sz w:val="20"/>
          <w:rtl/>
        </w:rPr>
        <w:t>فرغت</w:t>
      </w:r>
      <w:r w:rsidRPr="00E61B85">
        <w:rPr>
          <w:rFonts w:hint="cs"/>
          <w:spacing w:val="-2"/>
          <w:kern w:val="0"/>
          <w:sz w:val="20"/>
          <w:rtl/>
        </w:rPr>
        <w:t xml:space="preserve"> من ال</w:t>
      </w:r>
      <w:r w:rsidRPr="00E61B85">
        <w:rPr>
          <w:spacing w:val="-2"/>
          <w:kern w:val="0"/>
          <w:sz w:val="20"/>
          <w:rtl/>
        </w:rPr>
        <w:t xml:space="preserve">نظر في الشكوى رقم </w:t>
      </w:r>
      <w:r w:rsidRPr="00E61B85">
        <w:rPr>
          <w:rFonts w:hint="cs"/>
          <w:spacing w:val="-2"/>
          <w:kern w:val="0"/>
          <w:sz w:val="20"/>
          <w:rtl/>
        </w:rPr>
        <w:t>347</w:t>
      </w:r>
      <w:r w:rsidRPr="00E61B85">
        <w:rPr>
          <w:spacing w:val="-2"/>
          <w:kern w:val="0"/>
          <w:sz w:val="20"/>
          <w:rtl/>
        </w:rPr>
        <w:t>/200</w:t>
      </w:r>
      <w:r w:rsidRPr="00E61B85">
        <w:rPr>
          <w:rFonts w:hint="cs"/>
          <w:spacing w:val="-2"/>
          <w:kern w:val="0"/>
          <w:sz w:val="20"/>
          <w:rtl/>
        </w:rPr>
        <w:t>8</w:t>
      </w:r>
      <w:r w:rsidRPr="00E61B85">
        <w:rPr>
          <w:spacing w:val="-2"/>
          <w:kern w:val="0"/>
          <w:sz w:val="20"/>
          <w:rtl/>
        </w:rPr>
        <w:t xml:space="preserve">، </w:t>
      </w:r>
      <w:r w:rsidRPr="00E61B85">
        <w:rPr>
          <w:rFonts w:hint="cs"/>
          <w:spacing w:val="-2"/>
          <w:kern w:val="0"/>
          <w:sz w:val="20"/>
          <w:rtl/>
        </w:rPr>
        <w:t>التي قدمتها</w:t>
      </w:r>
      <w:r w:rsidRPr="00E61B85">
        <w:rPr>
          <w:spacing w:val="-2"/>
          <w:kern w:val="0"/>
          <w:sz w:val="20"/>
          <w:rtl/>
        </w:rPr>
        <w:t xml:space="preserve"> </w:t>
      </w:r>
      <w:r w:rsidRPr="00E61B85">
        <w:rPr>
          <w:rFonts w:hint="cs"/>
          <w:spacing w:val="-2"/>
          <w:kern w:val="0"/>
          <w:sz w:val="20"/>
          <w:rtl/>
        </w:rPr>
        <w:t>السيدة ن. ب-م.</w:t>
      </w:r>
      <w:r w:rsidR="00E61B85">
        <w:rPr>
          <w:spacing w:val="0"/>
          <w:kern w:val="0"/>
          <w:sz w:val="20"/>
          <w:rtl/>
        </w:rPr>
        <w:t xml:space="preserve"> إلى لجنة مناهضة التعذيب</w:t>
      </w:r>
      <w:r w:rsidRPr="003E698F">
        <w:rPr>
          <w:rFonts w:hint="cs"/>
          <w:spacing w:val="0"/>
          <w:kern w:val="0"/>
          <w:sz w:val="20"/>
          <w:rtl/>
        </w:rPr>
        <w:t xml:space="preserve"> </w:t>
      </w:r>
      <w:r w:rsidRPr="003E698F">
        <w:rPr>
          <w:spacing w:val="0"/>
          <w:kern w:val="0"/>
          <w:sz w:val="20"/>
          <w:rtl/>
        </w:rPr>
        <w:t>بموجب المادة 22 من اتفاقية مناهضة التعذيب وغيره من ضروب المعاملة أو العقوبة القاسية أو اللاإنسانية أو المهينة،</w:t>
      </w:r>
    </w:p>
    <w:p w:rsidR="00921F02" w:rsidRPr="003E698F" w:rsidRDefault="00921F02" w:rsidP="00B32542">
      <w:pPr>
        <w:pStyle w:val="SingleTxtGA"/>
        <w:jc w:val="lowKashida"/>
        <w:rPr>
          <w:rFonts w:hint="cs"/>
          <w:spacing w:val="0"/>
          <w:kern w:val="0"/>
          <w:sz w:val="20"/>
          <w:rtl/>
        </w:rPr>
      </w:pPr>
      <w:r w:rsidRPr="003E698F">
        <w:rPr>
          <w:rFonts w:hint="cs"/>
          <w:i/>
          <w:iCs/>
          <w:spacing w:val="0"/>
          <w:kern w:val="0"/>
          <w:sz w:val="20"/>
          <w:rtl/>
        </w:rPr>
        <w:tab/>
      </w:r>
      <w:r w:rsidRPr="003E698F">
        <w:rPr>
          <w:i/>
          <w:iCs/>
          <w:spacing w:val="0"/>
          <w:kern w:val="0"/>
          <w:sz w:val="20"/>
          <w:rtl/>
        </w:rPr>
        <w:t xml:space="preserve">وقد </w:t>
      </w:r>
      <w:r w:rsidRPr="003E698F">
        <w:rPr>
          <w:rFonts w:hint="cs"/>
          <w:i/>
          <w:iCs/>
          <w:spacing w:val="0"/>
          <w:kern w:val="0"/>
          <w:sz w:val="20"/>
          <w:rtl/>
        </w:rPr>
        <w:t xml:space="preserve">وضعت </w:t>
      </w:r>
      <w:r w:rsidRPr="003E698F">
        <w:rPr>
          <w:i/>
          <w:iCs/>
          <w:spacing w:val="0"/>
          <w:kern w:val="0"/>
          <w:sz w:val="20"/>
          <w:rtl/>
        </w:rPr>
        <w:t>في</w:t>
      </w:r>
      <w:r w:rsidRPr="003E698F">
        <w:rPr>
          <w:rFonts w:hint="cs"/>
          <w:i/>
          <w:iCs/>
          <w:spacing w:val="0"/>
          <w:kern w:val="0"/>
          <w:sz w:val="20"/>
          <w:rtl/>
        </w:rPr>
        <w:t xml:space="preserve"> اعتبار</w:t>
      </w:r>
      <w:r w:rsidRPr="003E698F">
        <w:rPr>
          <w:rFonts w:hint="cs"/>
          <w:spacing w:val="0"/>
          <w:kern w:val="0"/>
          <w:sz w:val="20"/>
          <w:rtl/>
        </w:rPr>
        <w:t>ها</w:t>
      </w:r>
      <w:r w:rsidRPr="003E698F">
        <w:rPr>
          <w:spacing w:val="0"/>
          <w:kern w:val="0"/>
          <w:sz w:val="20"/>
          <w:rtl/>
        </w:rPr>
        <w:t xml:space="preserve"> جميع المعلومات التي أتاح</w:t>
      </w:r>
      <w:r w:rsidRPr="003E698F">
        <w:rPr>
          <w:rFonts w:hint="cs"/>
          <w:spacing w:val="0"/>
          <w:kern w:val="0"/>
          <w:sz w:val="20"/>
          <w:rtl/>
        </w:rPr>
        <w:t>ت</w:t>
      </w:r>
      <w:r w:rsidRPr="003E698F">
        <w:rPr>
          <w:spacing w:val="0"/>
          <w:kern w:val="0"/>
          <w:sz w:val="20"/>
          <w:rtl/>
        </w:rPr>
        <w:t>ها لها صاحب</w:t>
      </w:r>
      <w:r w:rsidRPr="003E698F">
        <w:rPr>
          <w:rFonts w:hint="cs"/>
          <w:spacing w:val="0"/>
          <w:kern w:val="0"/>
          <w:sz w:val="20"/>
          <w:rtl/>
        </w:rPr>
        <w:t>ة</w:t>
      </w:r>
      <w:r w:rsidRPr="003E698F">
        <w:rPr>
          <w:spacing w:val="0"/>
          <w:kern w:val="0"/>
          <w:sz w:val="20"/>
          <w:rtl/>
        </w:rPr>
        <w:t xml:space="preserve"> </w:t>
      </w:r>
      <w:r w:rsidRPr="003E698F">
        <w:rPr>
          <w:rFonts w:hint="cs"/>
          <w:spacing w:val="0"/>
          <w:kern w:val="0"/>
          <w:sz w:val="20"/>
          <w:rtl/>
        </w:rPr>
        <w:t>الشكوى</w:t>
      </w:r>
      <w:r w:rsidRPr="003E698F">
        <w:rPr>
          <w:spacing w:val="0"/>
          <w:kern w:val="0"/>
          <w:sz w:val="20"/>
          <w:rtl/>
        </w:rPr>
        <w:t xml:space="preserve"> و</w:t>
      </w:r>
      <w:r w:rsidRPr="003E698F">
        <w:rPr>
          <w:rFonts w:hint="cs"/>
          <w:spacing w:val="0"/>
          <w:kern w:val="0"/>
          <w:sz w:val="20"/>
          <w:rtl/>
        </w:rPr>
        <w:t>محاميها و</w:t>
      </w:r>
      <w:r w:rsidRPr="003E698F">
        <w:rPr>
          <w:spacing w:val="0"/>
          <w:kern w:val="0"/>
          <w:sz w:val="20"/>
          <w:rtl/>
        </w:rPr>
        <w:t>الدولة الطرف،</w:t>
      </w:r>
    </w:p>
    <w:p w:rsidR="00921F02" w:rsidRPr="003E698F" w:rsidRDefault="00921F02" w:rsidP="00B32542">
      <w:pPr>
        <w:pStyle w:val="SingleTxtGA"/>
        <w:jc w:val="lowKashida"/>
        <w:rPr>
          <w:rFonts w:hint="cs"/>
          <w:spacing w:val="0"/>
          <w:kern w:val="0"/>
          <w:sz w:val="20"/>
          <w:rtl/>
        </w:rPr>
      </w:pPr>
      <w:r w:rsidRPr="003E698F">
        <w:rPr>
          <w:rFonts w:hint="cs"/>
          <w:i/>
          <w:iCs/>
          <w:spacing w:val="0"/>
          <w:kern w:val="0"/>
          <w:sz w:val="20"/>
          <w:rtl/>
        </w:rPr>
        <w:tab/>
        <w:t>تعتمد</w:t>
      </w:r>
      <w:r w:rsidRPr="003E698F">
        <w:rPr>
          <w:rFonts w:hint="cs"/>
          <w:spacing w:val="0"/>
          <w:kern w:val="0"/>
          <w:sz w:val="20"/>
          <w:rtl/>
        </w:rPr>
        <w:t xml:space="preserve"> ما يلي:</w:t>
      </w:r>
    </w:p>
    <w:p w:rsidR="00921F02" w:rsidRPr="003E698F" w:rsidRDefault="00921F02" w:rsidP="00921F02">
      <w:pPr>
        <w:pStyle w:val="H1GA"/>
        <w:jc w:val="lowKashida"/>
        <w:rPr>
          <w:rFonts w:hint="cs"/>
          <w:spacing w:val="0"/>
          <w:kern w:val="0"/>
          <w:sz w:val="20"/>
          <w:rtl/>
        </w:rPr>
      </w:pPr>
      <w:r w:rsidRPr="003E698F">
        <w:rPr>
          <w:rFonts w:hint="cs"/>
          <w:i/>
          <w:iCs/>
          <w:spacing w:val="0"/>
          <w:kern w:val="0"/>
          <w:sz w:val="20"/>
          <w:rtl/>
        </w:rPr>
        <w:tab/>
      </w:r>
      <w:r w:rsidRPr="003E698F">
        <w:rPr>
          <w:rFonts w:hint="cs"/>
          <w:i/>
          <w:iCs/>
          <w:spacing w:val="0"/>
          <w:kern w:val="0"/>
          <w:sz w:val="20"/>
          <w:rtl/>
        </w:rPr>
        <w:tab/>
      </w:r>
      <w:r w:rsidRPr="003E698F">
        <w:rPr>
          <w:spacing w:val="0"/>
          <w:kern w:val="0"/>
          <w:sz w:val="20"/>
          <w:rtl/>
        </w:rPr>
        <w:t>قرار بموجب الفقرة 7 من المادة 22 من اتفاقية مناهضة التعذيب</w:t>
      </w:r>
    </w:p>
    <w:p w:rsidR="00921F02" w:rsidRPr="003E698F" w:rsidRDefault="00921F02" w:rsidP="00B32542">
      <w:pPr>
        <w:pStyle w:val="SingleTxtGA"/>
        <w:jc w:val="lowKashida"/>
        <w:rPr>
          <w:rFonts w:hint="cs"/>
          <w:spacing w:val="0"/>
          <w:kern w:val="0"/>
          <w:sz w:val="20"/>
        </w:rPr>
      </w:pPr>
      <w:r w:rsidRPr="003E698F">
        <w:rPr>
          <w:rFonts w:hint="cs"/>
          <w:spacing w:val="0"/>
          <w:kern w:val="0"/>
          <w:sz w:val="20"/>
          <w:rtl/>
        </w:rPr>
        <w:t>1-1</w:t>
      </w:r>
      <w:r w:rsidRPr="003E698F">
        <w:rPr>
          <w:rFonts w:hint="cs"/>
          <w:spacing w:val="0"/>
          <w:kern w:val="0"/>
          <w:sz w:val="20"/>
          <w:rtl/>
        </w:rPr>
        <w:tab/>
      </w:r>
      <w:r w:rsidRPr="003E698F">
        <w:rPr>
          <w:spacing w:val="0"/>
          <w:kern w:val="0"/>
          <w:sz w:val="20"/>
          <w:rtl/>
        </w:rPr>
        <w:t>صاحب</w:t>
      </w:r>
      <w:r w:rsidRPr="003E698F">
        <w:rPr>
          <w:rFonts w:hint="cs"/>
          <w:spacing w:val="0"/>
          <w:kern w:val="0"/>
          <w:sz w:val="20"/>
          <w:rtl/>
        </w:rPr>
        <w:t>ة</w:t>
      </w:r>
      <w:r w:rsidRPr="003E698F">
        <w:rPr>
          <w:spacing w:val="0"/>
          <w:kern w:val="0"/>
          <w:sz w:val="20"/>
          <w:rtl/>
        </w:rPr>
        <w:t xml:space="preserve"> الشكوى ه</w:t>
      </w:r>
      <w:r w:rsidRPr="003E698F">
        <w:rPr>
          <w:rFonts w:hint="cs"/>
          <w:spacing w:val="0"/>
          <w:kern w:val="0"/>
          <w:sz w:val="20"/>
          <w:rtl/>
        </w:rPr>
        <w:t>ي ن. ب-م.، وهي</w:t>
      </w:r>
      <w:r w:rsidRPr="003E698F">
        <w:rPr>
          <w:spacing w:val="0"/>
          <w:kern w:val="0"/>
          <w:sz w:val="20"/>
          <w:rtl/>
        </w:rPr>
        <w:t xml:space="preserve"> </w:t>
      </w:r>
      <w:r w:rsidRPr="003E698F">
        <w:rPr>
          <w:rFonts w:hint="cs"/>
          <w:spacing w:val="0"/>
          <w:kern w:val="0"/>
          <w:sz w:val="20"/>
          <w:rtl/>
        </w:rPr>
        <w:t>من مواطني جمهورية الكونغو الديمقراطية</w:t>
      </w:r>
      <w:r w:rsidRPr="003E698F">
        <w:rPr>
          <w:spacing w:val="0"/>
          <w:kern w:val="0"/>
          <w:sz w:val="20"/>
          <w:rtl/>
        </w:rPr>
        <w:t xml:space="preserve"> مولود</w:t>
      </w:r>
      <w:r w:rsidRPr="003E698F">
        <w:rPr>
          <w:rFonts w:hint="cs"/>
          <w:spacing w:val="0"/>
          <w:kern w:val="0"/>
          <w:sz w:val="20"/>
          <w:rtl/>
        </w:rPr>
        <w:t>ة</w:t>
      </w:r>
      <w:r w:rsidRPr="003E698F">
        <w:rPr>
          <w:spacing w:val="0"/>
          <w:kern w:val="0"/>
          <w:sz w:val="20"/>
          <w:rtl/>
        </w:rPr>
        <w:t xml:space="preserve"> في عام 19</w:t>
      </w:r>
      <w:r w:rsidRPr="003E698F">
        <w:rPr>
          <w:rFonts w:hint="cs"/>
          <w:spacing w:val="0"/>
          <w:kern w:val="0"/>
          <w:sz w:val="20"/>
          <w:rtl/>
        </w:rPr>
        <w:t>74</w:t>
      </w:r>
      <w:r w:rsidRPr="003E698F">
        <w:rPr>
          <w:spacing w:val="0"/>
          <w:kern w:val="0"/>
          <w:sz w:val="20"/>
          <w:rtl/>
        </w:rPr>
        <w:t xml:space="preserve"> و</w:t>
      </w:r>
      <w:r w:rsidRPr="003E698F">
        <w:rPr>
          <w:rFonts w:hint="cs"/>
          <w:spacing w:val="0"/>
          <w:kern w:val="0"/>
          <w:sz w:val="20"/>
          <w:rtl/>
        </w:rPr>
        <w:t xml:space="preserve">تواجه خطر الترحيل من سويسرا إلى بلدها الأصلي. </w:t>
      </w:r>
      <w:r w:rsidRPr="003E698F">
        <w:rPr>
          <w:spacing w:val="0"/>
          <w:kern w:val="0"/>
          <w:sz w:val="20"/>
          <w:rtl/>
        </w:rPr>
        <w:t>و</w:t>
      </w:r>
      <w:r w:rsidRPr="003E698F">
        <w:rPr>
          <w:rFonts w:hint="cs"/>
          <w:spacing w:val="0"/>
          <w:kern w:val="0"/>
          <w:sz w:val="20"/>
          <w:rtl/>
        </w:rPr>
        <w:t>ت</w:t>
      </w:r>
      <w:r w:rsidRPr="003E698F">
        <w:rPr>
          <w:spacing w:val="0"/>
          <w:kern w:val="0"/>
          <w:sz w:val="20"/>
          <w:rtl/>
        </w:rPr>
        <w:t xml:space="preserve">دعي أن </w:t>
      </w:r>
      <w:r w:rsidRPr="003E698F">
        <w:rPr>
          <w:rFonts w:hint="cs"/>
          <w:spacing w:val="0"/>
          <w:kern w:val="0"/>
          <w:sz w:val="20"/>
          <w:rtl/>
        </w:rPr>
        <w:t xml:space="preserve">هذا الإجراء </w:t>
      </w:r>
      <w:r w:rsidRPr="003E698F">
        <w:rPr>
          <w:spacing w:val="0"/>
          <w:kern w:val="0"/>
          <w:sz w:val="20"/>
          <w:rtl/>
        </w:rPr>
        <w:t>سيشكل انتهاكاً من جانب سويسرا لحقوقه</w:t>
      </w:r>
      <w:r w:rsidRPr="003E698F">
        <w:rPr>
          <w:rFonts w:hint="cs"/>
          <w:spacing w:val="0"/>
          <w:kern w:val="0"/>
          <w:sz w:val="20"/>
          <w:rtl/>
        </w:rPr>
        <w:t>ا</w:t>
      </w:r>
      <w:r w:rsidRPr="003E698F">
        <w:rPr>
          <w:spacing w:val="0"/>
          <w:kern w:val="0"/>
          <w:sz w:val="20"/>
          <w:rtl/>
        </w:rPr>
        <w:t xml:space="preserve"> المكفولة بموجب المادة 3 من </w:t>
      </w:r>
      <w:r w:rsidRPr="003E698F">
        <w:rPr>
          <w:rFonts w:hint="cs"/>
          <w:spacing w:val="0"/>
          <w:kern w:val="0"/>
          <w:sz w:val="20"/>
          <w:rtl/>
        </w:rPr>
        <w:t>ال</w:t>
      </w:r>
      <w:r w:rsidRPr="003E698F">
        <w:rPr>
          <w:spacing w:val="0"/>
          <w:kern w:val="0"/>
          <w:sz w:val="20"/>
          <w:rtl/>
        </w:rPr>
        <w:t>اتفاقية. ولا يمثله</w:t>
      </w:r>
      <w:r w:rsidRPr="003E698F">
        <w:rPr>
          <w:rFonts w:hint="cs"/>
          <w:spacing w:val="0"/>
          <w:kern w:val="0"/>
          <w:sz w:val="20"/>
          <w:rtl/>
        </w:rPr>
        <w:t>ا</w:t>
      </w:r>
      <w:r w:rsidRPr="003E698F">
        <w:rPr>
          <w:spacing w:val="0"/>
          <w:kern w:val="0"/>
          <w:sz w:val="20"/>
          <w:rtl/>
        </w:rPr>
        <w:t xml:space="preserve"> محام.</w:t>
      </w:r>
    </w:p>
    <w:p w:rsidR="00921F02" w:rsidRPr="003E698F" w:rsidRDefault="00921F02" w:rsidP="00283F0D">
      <w:pPr>
        <w:pStyle w:val="SingleTxtGA"/>
        <w:jc w:val="lowKashida"/>
        <w:rPr>
          <w:rFonts w:hint="cs"/>
          <w:spacing w:val="0"/>
          <w:kern w:val="0"/>
          <w:sz w:val="20"/>
          <w:rtl/>
        </w:rPr>
      </w:pPr>
      <w:r w:rsidRPr="003E698F">
        <w:rPr>
          <w:rFonts w:hint="cs"/>
          <w:spacing w:val="0"/>
          <w:kern w:val="0"/>
          <w:sz w:val="20"/>
          <w:rtl/>
        </w:rPr>
        <w:t>1-2</w:t>
      </w:r>
      <w:r w:rsidRPr="003E698F">
        <w:rPr>
          <w:rFonts w:hint="cs"/>
          <w:spacing w:val="0"/>
          <w:kern w:val="0"/>
          <w:sz w:val="20"/>
          <w:rtl/>
        </w:rPr>
        <w:tab/>
        <w:t>وفي 28 تموز/يوليه 2008،</w:t>
      </w:r>
      <w:r w:rsidRPr="003E698F">
        <w:rPr>
          <w:spacing w:val="0"/>
          <w:kern w:val="0"/>
          <w:sz w:val="20"/>
          <w:rtl/>
        </w:rPr>
        <w:t xml:space="preserve"> وجهت اللجنة نظر الدولة الطرف إلى الشكوى </w:t>
      </w:r>
      <w:r w:rsidRPr="003E698F">
        <w:rPr>
          <w:rFonts w:hint="cs"/>
          <w:spacing w:val="0"/>
          <w:kern w:val="0"/>
          <w:sz w:val="20"/>
          <w:rtl/>
        </w:rPr>
        <w:t>وفقاً للفقرة 3 من المادة 22 من الاتفاقية. وفي الوقت نفسه</w:t>
      </w:r>
      <w:r w:rsidRPr="003E698F">
        <w:rPr>
          <w:spacing w:val="0"/>
          <w:kern w:val="0"/>
          <w:sz w:val="20"/>
          <w:rtl/>
        </w:rPr>
        <w:t xml:space="preserve">، </w:t>
      </w:r>
      <w:r w:rsidRPr="003E698F">
        <w:rPr>
          <w:rFonts w:hint="cs"/>
          <w:spacing w:val="0"/>
          <w:kern w:val="0"/>
          <w:sz w:val="20"/>
          <w:rtl/>
        </w:rPr>
        <w:t xml:space="preserve">طلبت اللجنة </w:t>
      </w:r>
      <w:r w:rsidRPr="003E698F">
        <w:rPr>
          <w:spacing w:val="0"/>
          <w:kern w:val="0"/>
          <w:sz w:val="20"/>
          <w:rtl/>
        </w:rPr>
        <w:t xml:space="preserve">إلى الدولة الطرف </w:t>
      </w:r>
      <w:r w:rsidRPr="003E698F">
        <w:rPr>
          <w:rFonts w:hint="cs"/>
          <w:spacing w:val="0"/>
          <w:kern w:val="0"/>
          <w:sz w:val="20"/>
          <w:rtl/>
        </w:rPr>
        <w:t>عملاً با</w:t>
      </w:r>
      <w:r w:rsidRPr="003E698F">
        <w:rPr>
          <w:spacing w:val="0"/>
          <w:kern w:val="0"/>
          <w:sz w:val="20"/>
          <w:rtl/>
        </w:rPr>
        <w:t xml:space="preserve">لفقرة 1 من المادة 108 من نظامها الداخلي </w:t>
      </w:r>
      <w:r w:rsidRPr="003E698F">
        <w:rPr>
          <w:rFonts w:hint="cs"/>
          <w:spacing w:val="0"/>
          <w:kern w:val="0"/>
          <w:sz w:val="20"/>
          <w:rtl/>
        </w:rPr>
        <w:t xml:space="preserve">عدم ترحيل </w:t>
      </w:r>
      <w:r w:rsidRPr="003E698F">
        <w:rPr>
          <w:spacing w:val="0"/>
          <w:kern w:val="0"/>
          <w:sz w:val="20"/>
          <w:rtl/>
        </w:rPr>
        <w:t>صاحب</w:t>
      </w:r>
      <w:r w:rsidRPr="003E698F">
        <w:rPr>
          <w:rFonts w:hint="cs"/>
          <w:spacing w:val="0"/>
          <w:kern w:val="0"/>
          <w:sz w:val="20"/>
          <w:rtl/>
        </w:rPr>
        <w:t>ة</w:t>
      </w:r>
      <w:r w:rsidRPr="003E698F">
        <w:rPr>
          <w:spacing w:val="0"/>
          <w:kern w:val="0"/>
          <w:sz w:val="20"/>
          <w:rtl/>
        </w:rPr>
        <w:t xml:space="preserve"> الشكوى إلى </w:t>
      </w:r>
      <w:r w:rsidRPr="003E698F">
        <w:rPr>
          <w:rFonts w:hint="cs"/>
          <w:spacing w:val="0"/>
          <w:kern w:val="0"/>
          <w:sz w:val="20"/>
          <w:rtl/>
        </w:rPr>
        <w:t>جمهورية الكونغو الديمقراطية</w:t>
      </w:r>
      <w:r w:rsidRPr="003E698F">
        <w:rPr>
          <w:spacing w:val="0"/>
          <w:kern w:val="0"/>
          <w:sz w:val="20"/>
          <w:rtl/>
        </w:rPr>
        <w:t xml:space="preserve"> </w:t>
      </w:r>
      <w:r w:rsidR="00283F0D">
        <w:rPr>
          <w:rFonts w:hint="cs"/>
          <w:spacing w:val="0"/>
          <w:kern w:val="0"/>
          <w:sz w:val="20"/>
          <w:rtl/>
        </w:rPr>
        <w:t>ما دامت شكواها قيد النظر</w:t>
      </w:r>
      <w:r w:rsidRPr="003E698F">
        <w:rPr>
          <w:rFonts w:hint="cs"/>
          <w:spacing w:val="0"/>
          <w:kern w:val="0"/>
          <w:sz w:val="20"/>
          <w:rtl/>
        </w:rPr>
        <w:t>. ووافقت الدولة الطرف على هذا الطلب في 30 تموز/يوليه 2008.</w:t>
      </w:r>
    </w:p>
    <w:p w:rsidR="00921F02" w:rsidRPr="003E698F" w:rsidRDefault="002C2A9D" w:rsidP="002C2A9D">
      <w:pPr>
        <w:pStyle w:val="H23GA"/>
        <w:rPr>
          <w:rFonts w:hint="cs"/>
          <w:kern w:val="0"/>
        </w:rPr>
      </w:pPr>
      <w:r>
        <w:rPr>
          <w:kern w:val="0"/>
          <w:rtl/>
        </w:rPr>
        <w:br w:type="page"/>
      </w:r>
      <w:r w:rsidR="00921F02" w:rsidRPr="003E698F">
        <w:rPr>
          <w:rFonts w:hint="cs"/>
          <w:kern w:val="0"/>
          <w:rtl/>
        </w:rPr>
        <w:tab/>
      </w:r>
      <w:r w:rsidR="00921F02" w:rsidRPr="003E698F">
        <w:rPr>
          <w:rFonts w:hint="cs"/>
          <w:kern w:val="0"/>
          <w:rtl/>
        </w:rPr>
        <w:tab/>
        <w:t xml:space="preserve">بيان </w:t>
      </w:r>
      <w:r w:rsidR="00921F02" w:rsidRPr="003E698F">
        <w:rPr>
          <w:kern w:val="0"/>
          <w:rtl/>
        </w:rPr>
        <w:t>الوقائع</w:t>
      </w:r>
      <w:r w:rsidR="00921F02" w:rsidRPr="003E698F">
        <w:rPr>
          <w:kern w:val="0"/>
          <w:szCs w:val="28"/>
          <w:vertAlign w:val="superscript"/>
          <w:rtl/>
        </w:rPr>
        <w:t>(</w:t>
      </w:r>
      <w:r w:rsidR="00921F02" w:rsidRPr="003E698F">
        <w:rPr>
          <w:rStyle w:val="FootnoteReference"/>
          <w:b/>
          <w:bCs w:val="0"/>
          <w:spacing w:val="0"/>
          <w:sz w:val="20"/>
          <w:rtl/>
        </w:rPr>
        <w:footnoteReference w:id="177"/>
      </w:r>
      <w:r w:rsidR="00921F02" w:rsidRPr="003E698F">
        <w:rPr>
          <w:kern w:val="0"/>
          <w:szCs w:val="28"/>
          <w:vertAlign w:val="superscript"/>
          <w:rtl/>
        </w:rPr>
        <w:t>)</w:t>
      </w:r>
    </w:p>
    <w:p w:rsidR="00921F02" w:rsidRPr="003E698F" w:rsidRDefault="00921F02" w:rsidP="002C2A9D">
      <w:pPr>
        <w:pStyle w:val="SingleTxtGA"/>
        <w:jc w:val="lowKashida"/>
        <w:rPr>
          <w:rFonts w:hint="cs"/>
          <w:spacing w:val="0"/>
          <w:kern w:val="0"/>
          <w:sz w:val="20"/>
        </w:rPr>
      </w:pPr>
      <w:r w:rsidRPr="003E698F">
        <w:rPr>
          <w:rFonts w:hint="cs"/>
          <w:spacing w:val="0"/>
          <w:kern w:val="0"/>
          <w:sz w:val="20"/>
          <w:rtl/>
        </w:rPr>
        <w:t>2-1</w:t>
      </w:r>
      <w:r w:rsidRPr="003E698F">
        <w:rPr>
          <w:rFonts w:hint="cs"/>
          <w:spacing w:val="0"/>
          <w:kern w:val="0"/>
          <w:sz w:val="20"/>
          <w:rtl/>
        </w:rPr>
        <w:tab/>
        <w:t xml:space="preserve">وصفت صاحبة الشكوى </w:t>
      </w:r>
      <w:r w:rsidRPr="003E698F">
        <w:rPr>
          <w:spacing w:val="0"/>
          <w:kern w:val="0"/>
          <w:sz w:val="20"/>
          <w:rtl/>
        </w:rPr>
        <w:t>في رسالته</w:t>
      </w:r>
      <w:r w:rsidRPr="003E698F">
        <w:rPr>
          <w:rFonts w:hint="cs"/>
          <w:spacing w:val="0"/>
          <w:kern w:val="0"/>
          <w:sz w:val="20"/>
          <w:rtl/>
        </w:rPr>
        <w:t>ا</w:t>
      </w:r>
      <w:r w:rsidRPr="003E698F">
        <w:rPr>
          <w:spacing w:val="0"/>
          <w:kern w:val="0"/>
          <w:sz w:val="20"/>
          <w:rtl/>
        </w:rPr>
        <w:t xml:space="preserve"> الأولى </w:t>
      </w:r>
      <w:r w:rsidRPr="003E698F">
        <w:rPr>
          <w:rFonts w:hint="cs"/>
          <w:spacing w:val="0"/>
          <w:kern w:val="0"/>
          <w:sz w:val="20"/>
          <w:rtl/>
        </w:rPr>
        <w:t>بتاريخ</w:t>
      </w:r>
      <w:r w:rsidRPr="003E698F">
        <w:rPr>
          <w:spacing w:val="0"/>
          <w:kern w:val="0"/>
          <w:sz w:val="20"/>
          <w:rtl/>
        </w:rPr>
        <w:t xml:space="preserve"> 10 </w:t>
      </w:r>
      <w:r w:rsidRPr="003E698F">
        <w:rPr>
          <w:rFonts w:hint="cs"/>
          <w:spacing w:val="0"/>
          <w:kern w:val="0"/>
          <w:sz w:val="20"/>
          <w:rtl/>
        </w:rPr>
        <w:t>نيسان/</w:t>
      </w:r>
      <w:r w:rsidRPr="003E698F">
        <w:rPr>
          <w:spacing w:val="0"/>
          <w:kern w:val="0"/>
          <w:sz w:val="20"/>
          <w:rtl/>
        </w:rPr>
        <w:t xml:space="preserve">أبريل 2008، </w:t>
      </w:r>
      <w:r w:rsidRPr="003E698F">
        <w:rPr>
          <w:rFonts w:hint="cs"/>
          <w:spacing w:val="0"/>
          <w:kern w:val="0"/>
          <w:sz w:val="20"/>
          <w:rtl/>
        </w:rPr>
        <w:t>حالة الكرب التي تعاني منها جراء</w:t>
      </w:r>
      <w:r w:rsidRPr="003E698F">
        <w:rPr>
          <w:spacing w:val="0"/>
          <w:kern w:val="0"/>
          <w:sz w:val="20"/>
          <w:rtl/>
        </w:rPr>
        <w:t xml:space="preserve"> </w:t>
      </w:r>
      <w:r w:rsidRPr="003E698F">
        <w:rPr>
          <w:rFonts w:hint="cs"/>
          <w:spacing w:val="0"/>
          <w:kern w:val="0"/>
          <w:sz w:val="20"/>
          <w:rtl/>
        </w:rPr>
        <w:t>الخوف</w:t>
      </w:r>
      <w:r w:rsidRPr="003E698F">
        <w:rPr>
          <w:spacing w:val="0"/>
          <w:kern w:val="0"/>
          <w:sz w:val="20"/>
          <w:rtl/>
        </w:rPr>
        <w:t xml:space="preserve"> من </w:t>
      </w:r>
      <w:r w:rsidRPr="003E698F">
        <w:rPr>
          <w:rFonts w:hint="cs"/>
          <w:spacing w:val="0"/>
          <w:kern w:val="0"/>
          <w:sz w:val="20"/>
          <w:rtl/>
        </w:rPr>
        <w:t>ال</w:t>
      </w:r>
      <w:r w:rsidRPr="003E698F">
        <w:rPr>
          <w:spacing w:val="0"/>
          <w:kern w:val="0"/>
          <w:sz w:val="20"/>
          <w:rtl/>
        </w:rPr>
        <w:t>عود</w:t>
      </w:r>
      <w:r w:rsidRPr="003E698F">
        <w:rPr>
          <w:rFonts w:hint="cs"/>
          <w:spacing w:val="0"/>
          <w:kern w:val="0"/>
          <w:sz w:val="20"/>
          <w:rtl/>
        </w:rPr>
        <w:t>ة</w:t>
      </w:r>
      <w:r w:rsidRPr="003E698F">
        <w:rPr>
          <w:spacing w:val="0"/>
          <w:kern w:val="0"/>
          <w:sz w:val="20"/>
          <w:rtl/>
        </w:rPr>
        <w:t xml:space="preserve"> </w:t>
      </w:r>
      <w:r w:rsidRPr="003E698F">
        <w:rPr>
          <w:rFonts w:hint="cs"/>
          <w:spacing w:val="0"/>
          <w:kern w:val="0"/>
          <w:sz w:val="20"/>
          <w:rtl/>
        </w:rPr>
        <w:t>إلى</w:t>
      </w:r>
      <w:r w:rsidRPr="003E698F">
        <w:rPr>
          <w:spacing w:val="0"/>
          <w:kern w:val="0"/>
          <w:sz w:val="20"/>
          <w:rtl/>
        </w:rPr>
        <w:t xml:space="preserve"> جمهورية الكونغو الديمقراطية، </w:t>
      </w:r>
      <w:r w:rsidRPr="003E698F">
        <w:rPr>
          <w:rFonts w:hint="cs"/>
          <w:spacing w:val="0"/>
          <w:kern w:val="0"/>
          <w:sz w:val="20"/>
          <w:rtl/>
        </w:rPr>
        <w:t xml:space="preserve">وحالة تردي ظروفها المعيشية </w:t>
      </w:r>
      <w:r w:rsidRPr="003E698F">
        <w:rPr>
          <w:spacing w:val="0"/>
          <w:kern w:val="0"/>
          <w:sz w:val="20"/>
          <w:rtl/>
        </w:rPr>
        <w:t>في سويسرا</w:t>
      </w:r>
      <w:r w:rsidRPr="003E698F">
        <w:rPr>
          <w:rFonts w:hint="cs"/>
          <w:spacing w:val="0"/>
          <w:kern w:val="0"/>
          <w:sz w:val="20"/>
          <w:rtl/>
        </w:rPr>
        <w:t>. وادعت أ</w:t>
      </w:r>
      <w:r w:rsidRPr="003E698F">
        <w:rPr>
          <w:spacing w:val="0"/>
          <w:kern w:val="0"/>
          <w:sz w:val="20"/>
          <w:rtl/>
        </w:rPr>
        <w:t xml:space="preserve">نها </w:t>
      </w:r>
      <w:r w:rsidRPr="003E698F">
        <w:rPr>
          <w:rFonts w:hint="cs"/>
          <w:spacing w:val="0"/>
          <w:kern w:val="0"/>
          <w:sz w:val="20"/>
          <w:rtl/>
        </w:rPr>
        <w:t xml:space="preserve">تعاني من </w:t>
      </w:r>
      <w:r w:rsidRPr="003E698F">
        <w:rPr>
          <w:spacing w:val="0"/>
          <w:kern w:val="0"/>
          <w:sz w:val="20"/>
          <w:rtl/>
        </w:rPr>
        <w:t>الاكتئاب و</w:t>
      </w:r>
      <w:r w:rsidRPr="003E698F">
        <w:rPr>
          <w:rFonts w:hint="cs"/>
          <w:spacing w:val="0"/>
          <w:kern w:val="0"/>
          <w:sz w:val="20"/>
          <w:rtl/>
        </w:rPr>
        <w:t xml:space="preserve">من </w:t>
      </w:r>
      <w:r w:rsidRPr="003E698F">
        <w:rPr>
          <w:spacing w:val="0"/>
          <w:kern w:val="0"/>
          <w:sz w:val="20"/>
          <w:rtl/>
        </w:rPr>
        <w:t xml:space="preserve">مشاكل نفسية </w:t>
      </w:r>
      <w:r w:rsidRPr="003E698F">
        <w:rPr>
          <w:rFonts w:hint="cs"/>
          <w:spacing w:val="0"/>
          <w:kern w:val="0"/>
          <w:sz w:val="20"/>
          <w:rtl/>
        </w:rPr>
        <w:t>ناجمة عن</w:t>
      </w:r>
      <w:r w:rsidRPr="003E698F">
        <w:rPr>
          <w:spacing w:val="0"/>
          <w:kern w:val="0"/>
          <w:sz w:val="20"/>
          <w:rtl/>
        </w:rPr>
        <w:t xml:space="preserve"> خوفه</w:t>
      </w:r>
      <w:r w:rsidRPr="003E698F">
        <w:rPr>
          <w:rFonts w:hint="cs"/>
          <w:spacing w:val="0"/>
          <w:kern w:val="0"/>
          <w:sz w:val="20"/>
          <w:rtl/>
        </w:rPr>
        <w:t>ا</w:t>
      </w:r>
      <w:r w:rsidRPr="003E698F">
        <w:rPr>
          <w:spacing w:val="0"/>
          <w:kern w:val="0"/>
          <w:sz w:val="20"/>
          <w:rtl/>
        </w:rPr>
        <w:t xml:space="preserve"> من العودة إلى جمهورية الكونغو الديمقراطية وعدم </w:t>
      </w:r>
      <w:r w:rsidRPr="003E698F">
        <w:rPr>
          <w:rFonts w:hint="cs"/>
          <w:spacing w:val="0"/>
          <w:kern w:val="0"/>
          <w:sz w:val="20"/>
          <w:rtl/>
        </w:rPr>
        <w:t>مزاولة أي عمل</w:t>
      </w:r>
      <w:r w:rsidRPr="003E698F">
        <w:rPr>
          <w:spacing w:val="0"/>
          <w:kern w:val="0"/>
          <w:sz w:val="20"/>
          <w:rtl/>
        </w:rPr>
        <w:t xml:space="preserve"> في سويسرا</w:t>
      </w:r>
      <w:r w:rsidRPr="003E698F">
        <w:rPr>
          <w:rFonts w:hint="cs"/>
          <w:spacing w:val="0"/>
          <w:kern w:val="0"/>
          <w:sz w:val="20"/>
          <w:rtl/>
        </w:rPr>
        <w:t xml:space="preserve"> لأن القانون لا يسمح لها بذلك. وأكدت مجدداً </w:t>
      </w:r>
      <w:r w:rsidRPr="003E698F">
        <w:rPr>
          <w:spacing w:val="0"/>
          <w:kern w:val="0"/>
          <w:sz w:val="20"/>
          <w:rtl/>
        </w:rPr>
        <w:t>في رسالته</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بتاريخ</w:t>
      </w:r>
      <w:r w:rsidRPr="003E698F">
        <w:rPr>
          <w:spacing w:val="0"/>
          <w:kern w:val="0"/>
          <w:sz w:val="20"/>
          <w:rtl/>
        </w:rPr>
        <w:t xml:space="preserve"> 24 </w:t>
      </w:r>
      <w:r w:rsidRPr="003E698F">
        <w:rPr>
          <w:rFonts w:hint="cs"/>
          <w:spacing w:val="0"/>
          <w:kern w:val="0"/>
          <w:sz w:val="20"/>
          <w:rtl/>
        </w:rPr>
        <w:t>تموز/</w:t>
      </w:r>
      <w:r w:rsidRPr="003E698F">
        <w:rPr>
          <w:spacing w:val="0"/>
          <w:kern w:val="0"/>
          <w:sz w:val="20"/>
          <w:rtl/>
        </w:rPr>
        <w:t>يولي</w:t>
      </w:r>
      <w:r w:rsidRPr="003E698F">
        <w:rPr>
          <w:rFonts w:hint="cs"/>
          <w:spacing w:val="0"/>
          <w:kern w:val="0"/>
          <w:sz w:val="20"/>
          <w:rtl/>
        </w:rPr>
        <w:t>ه</w:t>
      </w:r>
      <w:r w:rsidRPr="003E698F">
        <w:rPr>
          <w:spacing w:val="0"/>
          <w:kern w:val="0"/>
          <w:sz w:val="20"/>
          <w:rtl/>
        </w:rPr>
        <w:t xml:space="preserve"> 2008، </w:t>
      </w:r>
      <w:r w:rsidRPr="003E698F">
        <w:rPr>
          <w:rFonts w:hint="cs"/>
          <w:spacing w:val="0"/>
          <w:kern w:val="0"/>
          <w:sz w:val="20"/>
          <w:rtl/>
        </w:rPr>
        <w:t>أ</w:t>
      </w:r>
      <w:r w:rsidRPr="003E698F">
        <w:rPr>
          <w:spacing w:val="0"/>
          <w:kern w:val="0"/>
          <w:sz w:val="20"/>
          <w:rtl/>
        </w:rPr>
        <w:t xml:space="preserve">نها تعاني من مشاكل صحية خطيرة </w:t>
      </w:r>
      <w:r w:rsidRPr="003E698F">
        <w:rPr>
          <w:rFonts w:hint="cs"/>
          <w:spacing w:val="0"/>
          <w:kern w:val="0"/>
          <w:sz w:val="20"/>
          <w:rtl/>
        </w:rPr>
        <w:t xml:space="preserve">تستدعي متابعة </w:t>
      </w:r>
      <w:r w:rsidRPr="003E698F">
        <w:rPr>
          <w:spacing w:val="0"/>
          <w:kern w:val="0"/>
          <w:sz w:val="20"/>
          <w:rtl/>
        </w:rPr>
        <w:t xml:space="preserve">طبية </w:t>
      </w:r>
      <w:r w:rsidRPr="003E698F">
        <w:rPr>
          <w:rFonts w:hint="cs"/>
          <w:spacing w:val="0"/>
          <w:kern w:val="0"/>
          <w:sz w:val="20"/>
          <w:rtl/>
        </w:rPr>
        <w:t>منتظمة</w:t>
      </w:r>
      <w:r w:rsidRPr="003E698F">
        <w:rPr>
          <w:spacing w:val="0"/>
          <w:kern w:val="0"/>
          <w:sz w:val="20"/>
          <w:rtl/>
        </w:rPr>
        <w:t xml:space="preserve">. كما </w:t>
      </w:r>
      <w:r w:rsidRPr="003E698F">
        <w:rPr>
          <w:rFonts w:hint="cs"/>
          <w:spacing w:val="0"/>
          <w:kern w:val="0"/>
          <w:sz w:val="20"/>
          <w:rtl/>
        </w:rPr>
        <w:t xml:space="preserve">ادعت أنها </w:t>
      </w:r>
      <w:r w:rsidRPr="003E698F">
        <w:rPr>
          <w:spacing w:val="0"/>
          <w:kern w:val="0"/>
          <w:sz w:val="20"/>
          <w:rtl/>
        </w:rPr>
        <w:t>تعرض</w:t>
      </w:r>
      <w:r w:rsidRPr="003E698F">
        <w:rPr>
          <w:rFonts w:hint="cs"/>
          <w:spacing w:val="0"/>
          <w:kern w:val="0"/>
          <w:sz w:val="20"/>
          <w:rtl/>
        </w:rPr>
        <w:t>ت</w:t>
      </w:r>
      <w:r w:rsidRPr="003E698F">
        <w:rPr>
          <w:spacing w:val="0"/>
          <w:kern w:val="0"/>
          <w:sz w:val="20"/>
          <w:rtl/>
        </w:rPr>
        <w:t xml:space="preserve"> للاغتصاب من قبل </w:t>
      </w:r>
      <w:r w:rsidRPr="003E698F">
        <w:rPr>
          <w:rFonts w:hint="cs"/>
          <w:spacing w:val="0"/>
          <w:kern w:val="0"/>
          <w:sz w:val="20"/>
          <w:rtl/>
        </w:rPr>
        <w:t xml:space="preserve">موظفَين </w:t>
      </w:r>
      <w:r w:rsidRPr="003E698F">
        <w:rPr>
          <w:spacing w:val="0"/>
          <w:kern w:val="0"/>
          <w:sz w:val="20"/>
          <w:rtl/>
        </w:rPr>
        <w:t>ساعدا</w:t>
      </w:r>
      <w:r w:rsidRPr="003E698F">
        <w:rPr>
          <w:rFonts w:hint="cs"/>
          <w:spacing w:val="0"/>
          <w:kern w:val="0"/>
          <w:sz w:val="20"/>
          <w:rtl/>
        </w:rPr>
        <w:t>ها</w:t>
      </w:r>
      <w:r w:rsidRPr="003E698F">
        <w:rPr>
          <w:spacing w:val="0"/>
          <w:kern w:val="0"/>
          <w:sz w:val="20"/>
          <w:rtl/>
        </w:rPr>
        <w:t xml:space="preserve"> على الفرار</w:t>
      </w:r>
      <w:r w:rsidR="002C2A9D">
        <w:rPr>
          <w:rFonts w:hint="cs"/>
          <w:spacing w:val="0"/>
          <w:kern w:val="0"/>
          <w:sz w:val="20"/>
          <w:rtl/>
        </w:rPr>
        <w:t xml:space="preserve"> </w:t>
      </w:r>
      <w:r w:rsidRPr="003E698F">
        <w:rPr>
          <w:spacing w:val="0"/>
          <w:kern w:val="0"/>
          <w:sz w:val="20"/>
          <w:rtl/>
        </w:rPr>
        <w:t>من مطار ندجيلي، و</w:t>
      </w:r>
      <w:r w:rsidRPr="003E698F">
        <w:rPr>
          <w:rFonts w:hint="cs"/>
          <w:spacing w:val="0"/>
          <w:kern w:val="0"/>
          <w:sz w:val="20"/>
          <w:rtl/>
        </w:rPr>
        <w:t xml:space="preserve">هي واقعة قالت إنها أغفلت </w:t>
      </w:r>
      <w:r w:rsidRPr="003E698F">
        <w:rPr>
          <w:spacing w:val="0"/>
          <w:kern w:val="0"/>
          <w:sz w:val="20"/>
          <w:rtl/>
        </w:rPr>
        <w:t>ذكر</w:t>
      </w:r>
      <w:r w:rsidRPr="003E698F">
        <w:rPr>
          <w:rFonts w:hint="cs"/>
          <w:spacing w:val="0"/>
          <w:kern w:val="0"/>
          <w:sz w:val="20"/>
          <w:rtl/>
        </w:rPr>
        <w:t xml:space="preserve">ها خلال إتمام إجراءات </w:t>
      </w:r>
      <w:r w:rsidRPr="003E698F">
        <w:rPr>
          <w:spacing w:val="0"/>
          <w:kern w:val="0"/>
          <w:sz w:val="20"/>
          <w:rtl/>
        </w:rPr>
        <w:t>اللجوء حياء</w:t>
      </w:r>
      <w:r w:rsidRPr="003E698F">
        <w:rPr>
          <w:rFonts w:hint="cs"/>
          <w:spacing w:val="0"/>
          <w:kern w:val="0"/>
          <w:sz w:val="20"/>
          <w:rtl/>
        </w:rPr>
        <w:t>ً منها واعتقاداً بعدم أهميتها للإجراءات.</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2-2</w:t>
      </w:r>
      <w:r w:rsidRPr="003E698F">
        <w:rPr>
          <w:rFonts w:hint="cs"/>
          <w:spacing w:val="0"/>
          <w:kern w:val="0"/>
          <w:sz w:val="20"/>
          <w:rtl/>
        </w:rPr>
        <w:tab/>
        <w:t>وبخصوص مغادرة صاحبة الشكوى لجم</w:t>
      </w:r>
      <w:r w:rsidRPr="003E698F">
        <w:rPr>
          <w:spacing w:val="0"/>
          <w:kern w:val="0"/>
          <w:sz w:val="20"/>
          <w:rtl/>
        </w:rPr>
        <w:t xml:space="preserve">هورية الكونغو الديمقراطية، </w:t>
      </w:r>
      <w:r w:rsidRPr="003E698F">
        <w:rPr>
          <w:rFonts w:hint="cs"/>
          <w:spacing w:val="0"/>
          <w:kern w:val="0"/>
          <w:sz w:val="20"/>
          <w:rtl/>
        </w:rPr>
        <w:t>يشير الملف إلى أن خطيبها الذي غادر كينشاسا في رحلة عمل إلى لوبومباشي أخبرها في اتصال هاتفي، في أواخر</w:t>
      </w:r>
      <w:r w:rsidRPr="003E698F">
        <w:rPr>
          <w:spacing w:val="0"/>
          <w:kern w:val="0"/>
          <w:sz w:val="20"/>
          <w:rtl/>
        </w:rPr>
        <w:t xml:space="preserve"> عام 2000</w:t>
      </w:r>
      <w:r w:rsidRPr="003E698F">
        <w:rPr>
          <w:rFonts w:hint="cs"/>
          <w:spacing w:val="0"/>
          <w:kern w:val="0"/>
          <w:sz w:val="20"/>
          <w:rtl/>
        </w:rPr>
        <w:t xml:space="preserve">، بأنه متّجه إلى كيسانغاني، وأنه </w:t>
      </w:r>
      <w:r w:rsidRPr="003E698F">
        <w:rPr>
          <w:spacing w:val="0"/>
          <w:kern w:val="0"/>
          <w:sz w:val="20"/>
          <w:rtl/>
        </w:rPr>
        <w:t xml:space="preserve">يعمل لحساب المتمردين </w:t>
      </w:r>
      <w:r w:rsidRPr="003E698F">
        <w:rPr>
          <w:rFonts w:hint="cs"/>
          <w:spacing w:val="0"/>
          <w:kern w:val="0"/>
          <w:sz w:val="20"/>
          <w:rtl/>
        </w:rPr>
        <w:t>التابعين ل</w:t>
      </w:r>
      <w:r w:rsidRPr="003E698F">
        <w:rPr>
          <w:spacing w:val="0"/>
          <w:kern w:val="0"/>
          <w:sz w:val="20"/>
          <w:rtl/>
        </w:rPr>
        <w:t>جان بيار بيمبا</w:t>
      </w:r>
      <w:r w:rsidRPr="003E698F">
        <w:rPr>
          <w:rFonts w:hint="cs"/>
          <w:spacing w:val="0"/>
          <w:kern w:val="0"/>
          <w:sz w:val="20"/>
          <w:rtl/>
        </w:rPr>
        <w:t xml:space="preserve">. وادعت أنها </w:t>
      </w:r>
      <w:r w:rsidRPr="003E698F">
        <w:rPr>
          <w:spacing w:val="0"/>
          <w:kern w:val="0"/>
          <w:sz w:val="20"/>
          <w:rtl/>
        </w:rPr>
        <w:t>عل</w:t>
      </w:r>
      <w:r w:rsidRPr="003E698F">
        <w:rPr>
          <w:rFonts w:hint="cs"/>
          <w:spacing w:val="0"/>
          <w:kern w:val="0"/>
          <w:sz w:val="20"/>
          <w:rtl/>
        </w:rPr>
        <w:t>مت منه</w:t>
      </w:r>
      <w:r w:rsidRPr="003E698F">
        <w:rPr>
          <w:spacing w:val="0"/>
          <w:kern w:val="0"/>
          <w:sz w:val="20"/>
          <w:rtl/>
        </w:rPr>
        <w:t xml:space="preserve"> </w:t>
      </w:r>
      <w:r w:rsidRPr="003E698F">
        <w:rPr>
          <w:rFonts w:hint="cs"/>
          <w:spacing w:val="0"/>
          <w:kern w:val="0"/>
          <w:sz w:val="20"/>
          <w:rtl/>
        </w:rPr>
        <w:t>في</w:t>
      </w:r>
      <w:r w:rsidRPr="003E698F">
        <w:rPr>
          <w:spacing w:val="0"/>
          <w:kern w:val="0"/>
          <w:sz w:val="20"/>
          <w:rtl/>
        </w:rPr>
        <w:t xml:space="preserve"> هذ</w:t>
      </w:r>
      <w:r w:rsidRPr="003E698F">
        <w:rPr>
          <w:rFonts w:hint="cs"/>
          <w:spacing w:val="0"/>
          <w:kern w:val="0"/>
          <w:sz w:val="20"/>
          <w:rtl/>
        </w:rPr>
        <w:t xml:space="preserve">ا الاتصال أيضاً أن </w:t>
      </w:r>
      <w:r w:rsidRPr="003E698F">
        <w:rPr>
          <w:spacing w:val="0"/>
          <w:kern w:val="0"/>
          <w:sz w:val="20"/>
          <w:rtl/>
        </w:rPr>
        <w:t>جوزيف كابيلا ل</w:t>
      </w:r>
      <w:r w:rsidRPr="003E698F">
        <w:rPr>
          <w:rFonts w:hint="cs"/>
          <w:spacing w:val="0"/>
          <w:kern w:val="0"/>
          <w:sz w:val="20"/>
          <w:rtl/>
        </w:rPr>
        <w:t>يس</w:t>
      </w:r>
      <w:r w:rsidRPr="003E698F">
        <w:rPr>
          <w:spacing w:val="0"/>
          <w:kern w:val="0"/>
          <w:sz w:val="20"/>
          <w:rtl/>
        </w:rPr>
        <w:t xml:space="preserve"> ابن لوران </w:t>
      </w:r>
      <w:r w:rsidRPr="003E698F">
        <w:rPr>
          <w:rFonts w:hint="cs"/>
          <w:spacing w:val="0"/>
          <w:kern w:val="0"/>
          <w:sz w:val="20"/>
          <w:rtl/>
        </w:rPr>
        <w:t xml:space="preserve">ديزيريه </w:t>
      </w:r>
      <w:r w:rsidRPr="003E698F">
        <w:rPr>
          <w:spacing w:val="0"/>
          <w:kern w:val="0"/>
          <w:sz w:val="20"/>
          <w:rtl/>
        </w:rPr>
        <w:t xml:space="preserve">كابيلا، </w:t>
      </w:r>
      <w:r w:rsidRPr="003E698F">
        <w:rPr>
          <w:rFonts w:hint="cs"/>
          <w:spacing w:val="0"/>
          <w:kern w:val="0"/>
          <w:sz w:val="20"/>
          <w:rtl/>
        </w:rPr>
        <w:t xml:space="preserve">وإنما </w:t>
      </w:r>
      <w:r w:rsidRPr="003E698F">
        <w:rPr>
          <w:spacing w:val="0"/>
          <w:kern w:val="0"/>
          <w:sz w:val="20"/>
          <w:rtl/>
        </w:rPr>
        <w:t xml:space="preserve">ابن </w:t>
      </w:r>
      <w:r w:rsidRPr="003E698F">
        <w:rPr>
          <w:rFonts w:hint="cs"/>
          <w:spacing w:val="0"/>
          <w:kern w:val="0"/>
          <w:sz w:val="20"/>
          <w:rtl/>
        </w:rPr>
        <w:t xml:space="preserve">رجلٍ </w:t>
      </w:r>
      <w:r w:rsidRPr="003E698F">
        <w:rPr>
          <w:spacing w:val="0"/>
          <w:kern w:val="0"/>
          <w:sz w:val="20"/>
          <w:rtl/>
        </w:rPr>
        <w:t>رواند</w:t>
      </w:r>
      <w:r w:rsidRPr="003E698F">
        <w:rPr>
          <w:rFonts w:hint="cs"/>
          <w:spacing w:val="0"/>
          <w:kern w:val="0"/>
          <w:sz w:val="20"/>
          <w:rtl/>
        </w:rPr>
        <w:t>ي</w:t>
      </w:r>
      <w:r w:rsidRPr="003E698F">
        <w:rPr>
          <w:spacing w:val="0"/>
          <w:kern w:val="0"/>
          <w:sz w:val="20"/>
          <w:rtl/>
        </w:rPr>
        <w:t>، و</w:t>
      </w:r>
      <w:r w:rsidRPr="003E698F">
        <w:rPr>
          <w:rFonts w:hint="cs"/>
          <w:spacing w:val="0"/>
          <w:kern w:val="0"/>
          <w:sz w:val="20"/>
          <w:rtl/>
        </w:rPr>
        <w:t xml:space="preserve">أن اغتيال كابيلا الأب تم التخطيط له ليستولي رجلٌ </w:t>
      </w:r>
      <w:r w:rsidRPr="003E698F">
        <w:rPr>
          <w:spacing w:val="0"/>
          <w:kern w:val="0"/>
          <w:sz w:val="20"/>
          <w:rtl/>
        </w:rPr>
        <w:t>رواند</w:t>
      </w:r>
      <w:r w:rsidRPr="003E698F">
        <w:rPr>
          <w:rFonts w:hint="cs"/>
          <w:spacing w:val="0"/>
          <w:kern w:val="0"/>
          <w:sz w:val="20"/>
          <w:rtl/>
        </w:rPr>
        <w:t>ي</w:t>
      </w:r>
      <w:r w:rsidRPr="003E698F">
        <w:rPr>
          <w:spacing w:val="0"/>
          <w:kern w:val="0"/>
          <w:sz w:val="20"/>
          <w:rtl/>
        </w:rPr>
        <w:t xml:space="preserve"> </w:t>
      </w:r>
      <w:r w:rsidRPr="003E698F">
        <w:rPr>
          <w:rFonts w:hint="cs"/>
          <w:spacing w:val="0"/>
          <w:kern w:val="0"/>
          <w:sz w:val="20"/>
          <w:rtl/>
        </w:rPr>
        <w:t xml:space="preserve">على الحكم في </w:t>
      </w:r>
      <w:r w:rsidRPr="003E698F">
        <w:rPr>
          <w:spacing w:val="0"/>
          <w:kern w:val="0"/>
          <w:sz w:val="20"/>
          <w:rtl/>
        </w:rPr>
        <w:t xml:space="preserve">جمهورية الكونغو الديمقراطية. </w:t>
      </w:r>
      <w:r w:rsidRPr="003E698F">
        <w:rPr>
          <w:rFonts w:hint="cs"/>
          <w:spacing w:val="0"/>
          <w:kern w:val="0"/>
          <w:sz w:val="20"/>
          <w:rtl/>
        </w:rPr>
        <w:t>وادعت صاحبة الشكوى أنها أطلعت أشخاصاً من الحي الذي تقطنه بكينشاسا على تلك</w:t>
      </w:r>
      <w:r w:rsidRPr="003E698F">
        <w:rPr>
          <w:spacing w:val="0"/>
          <w:kern w:val="0"/>
          <w:sz w:val="20"/>
          <w:rtl/>
        </w:rPr>
        <w:t xml:space="preserve"> المعلومات</w:t>
      </w:r>
      <w:r w:rsidRPr="003E698F">
        <w:rPr>
          <w:rFonts w:hint="cs"/>
          <w:spacing w:val="0"/>
          <w:kern w:val="0"/>
          <w:sz w:val="20"/>
          <w:rtl/>
        </w:rPr>
        <w:t>. وأن خطيبها أرسل لها ف</w:t>
      </w:r>
      <w:r w:rsidRPr="003E698F">
        <w:rPr>
          <w:spacing w:val="0"/>
          <w:kern w:val="0"/>
          <w:sz w:val="20"/>
          <w:rtl/>
        </w:rPr>
        <w:t>ي وقت لاحق رسولا</w:t>
      </w:r>
      <w:r w:rsidRPr="003E698F">
        <w:rPr>
          <w:rFonts w:hint="cs"/>
          <w:spacing w:val="0"/>
          <w:kern w:val="0"/>
          <w:sz w:val="20"/>
          <w:rtl/>
        </w:rPr>
        <w:t xml:space="preserve">ً حمل إليها </w:t>
      </w:r>
      <w:r w:rsidRPr="003E698F">
        <w:rPr>
          <w:spacing w:val="0"/>
          <w:kern w:val="0"/>
          <w:sz w:val="20"/>
          <w:rtl/>
        </w:rPr>
        <w:t>هاتف</w:t>
      </w:r>
      <w:r w:rsidRPr="003E698F">
        <w:rPr>
          <w:rFonts w:hint="cs"/>
          <w:spacing w:val="0"/>
          <w:kern w:val="0"/>
          <w:sz w:val="20"/>
          <w:rtl/>
        </w:rPr>
        <w:t xml:space="preserve">اً </w:t>
      </w:r>
      <w:r w:rsidRPr="003E698F">
        <w:rPr>
          <w:spacing w:val="0"/>
          <w:kern w:val="0"/>
          <w:sz w:val="20"/>
          <w:rtl/>
        </w:rPr>
        <w:t>خلوي</w:t>
      </w:r>
      <w:r w:rsidRPr="003E698F">
        <w:rPr>
          <w:rFonts w:hint="cs"/>
          <w:spacing w:val="0"/>
          <w:kern w:val="0"/>
          <w:sz w:val="20"/>
          <w:rtl/>
        </w:rPr>
        <w:t xml:space="preserve">اً وأموالاً </w:t>
      </w:r>
      <w:r w:rsidRPr="003E698F">
        <w:rPr>
          <w:spacing w:val="0"/>
          <w:kern w:val="0"/>
          <w:sz w:val="20"/>
          <w:rtl/>
        </w:rPr>
        <w:t>ونسخة من مجلة</w:t>
      </w:r>
      <w:r w:rsidRPr="003E698F">
        <w:rPr>
          <w:rFonts w:hint="cs"/>
          <w:spacing w:val="0"/>
          <w:kern w:val="0"/>
          <w:sz w:val="20"/>
          <w:rtl/>
        </w:rPr>
        <w:t xml:space="preserve"> "</w:t>
      </w:r>
      <w:r w:rsidRPr="003E698F">
        <w:rPr>
          <w:spacing w:val="0"/>
          <w:kern w:val="0"/>
          <w:sz w:val="20"/>
          <w:lang w:val="fr-CH"/>
        </w:rPr>
        <w:t>Jeune Afrique</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(جون </w:t>
      </w:r>
      <w:r w:rsidRPr="003E698F">
        <w:rPr>
          <w:spacing w:val="0"/>
          <w:kern w:val="0"/>
          <w:sz w:val="20"/>
          <w:rtl/>
        </w:rPr>
        <w:t>أفريك</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تضمنت مقالاً عن </w:t>
      </w:r>
      <w:r w:rsidRPr="003E698F">
        <w:rPr>
          <w:spacing w:val="0"/>
          <w:kern w:val="0"/>
          <w:sz w:val="20"/>
          <w:rtl/>
        </w:rPr>
        <w:t xml:space="preserve">ملابسات وفاة لوران </w:t>
      </w:r>
      <w:r w:rsidRPr="003E698F">
        <w:rPr>
          <w:rFonts w:hint="cs"/>
          <w:spacing w:val="0"/>
          <w:kern w:val="0"/>
          <w:sz w:val="20"/>
          <w:rtl/>
        </w:rPr>
        <w:t xml:space="preserve">ديزيريه </w:t>
      </w:r>
      <w:r w:rsidRPr="003E698F">
        <w:rPr>
          <w:spacing w:val="0"/>
          <w:kern w:val="0"/>
          <w:sz w:val="20"/>
          <w:rtl/>
        </w:rPr>
        <w:t>كابيلا</w:t>
      </w:r>
      <w:r w:rsidRPr="003E698F">
        <w:rPr>
          <w:rFonts w:hint="cs"/>
          <w:spacing w:val="0"/>
          <w:kern w:val="0"/>
          <w:sz w:val="20"/>
          <w:rtl/>
        </w:rPr>
        <w:t xml:space="preserve"> لتتولى </w:t>
      </w:r>
      <w:r w:rsidRPr="003E698F">
        <w:rPr>
          <w:spacing w:val="0"/>
          <w:kern w:val="0"/>
          <w:sz w:val="20"/>
          <w:rtl/>
        </w:rPr>
        <w:t>توزيعه</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و</w:t>
      </w:r>
      <w:r w:rsidRPr="003E698F">
        <w:rPr>
          <w:spacing w:val="0"/>
          <w:kern w:val="0"/>
          <w:sz w:val="20"/>
          <w:rtl/>
        </w:rPr>
        <w:t xml:space="preserve">بعد </w:t>
      </w:r>
      <w:r w:rsidRPr="003E698F">
        <w:rPr>
          <w:rFonts w:hint="cs"/>
          <w:spacing w:val="0"/>
          <w:kern w:val="0"/>
          <w:sz w:val="20"/>
          <w:rtl/>
        </w:rPr>
        <w:t>ذلك</w:t>
      </w:r>
      <w:r w:rsidRPr="003E698F">
        <w:rPr>
          <w:spacing w:val="0"/>
          <w:kern w:val="0"/>
          <w:sz w:val="20"/>
          <w:rtl/>
        </w:rPr>
        <w:t xml:space="preserve">، </w:t>
      </w:r>
      <w:r w:rsidRPr="003E698F">
        <w:rPr>
          <w:rFonts w:hint="cs"/>
          <w:spacing w:val="0"/>
          <w:kern w:val="0"/>
          <w:sz w:val="20"/>
          <w:rtl/>
        </w:rPr>
        <w:t xml:space="preserve">أُلقي القبض على ذلك </w:t>
      </w:r>
      <w:r w:rsidRPr="003E698F">
        <w:rPr>
          <w:spacing w:val="0"/>
          <w:kern w:val="0"/>
          <w:sz w:val="20"/>
          <w:rtl/>
        </w:rPr>
        <w:t xml:space="preserve">الرسول </w:t>
      </w:r>
      <w:r w:rsidRPr="003E698F">
        <w:rPr>
          <w:rFonts w:hint="cs"/>
          <w:spacing w:val="0"/>
          <w:kern w:val="0"/>
          <w:sz w:val="20"/>
          <w:rtl/>
        </w:rPr>
        <w:t xml:space="preserve">وجرى </w:t>
      </w:r>
      <w:r w:rsidRPr="003E698F">
        <w:rPr>
          <w:spacing w:val="0"/>
          <w:kern w:val="0"/>
          <w:sz w:val="20"/>
          <w:rtl/>
        </w:rPr>
        <w:t>استجواب</w:t>
      </w:r>
      <w:r w:rsidRPr="003E698F">
        <w:rPr>
          <w:rFonts w:hint="cs"/>
          <w:spacing w:val="0"/>
          <w:kern w:val="0"/>
          <w:sz w:val="20"/>
          <w:rtl/>
        </w:rPr>
        <w:t>ه</w:t>
      </w:r>
      <w:r w:rsidRPr="003E698F">
        <w:rPr>
          <w:spacing w:val="0"/>
          <w:kern w:val="0"/>
          <w:sz w:val="20"/>
          <w:rtl/>
        </w:rPr>
        <w:t>. و</w:t>
      </w:r>
      <w:r w:rsidRPr="003E698F">
        <w:rPr>
          <w:rFonts w:hint="cs"/>
          <w:spacing w:val="0"/>
          <w:kern w:val="0"/>
          <w:sz w:val="20"/>
          <w:rtl/>
        </w:rPr>
        <w:t xml:space="preserve">ادعت صاحبة الشكوى أيضاً أنها علمت بورود </w:t>
      </w:r>
      <w:r w:rsidRPr="003E698F">
        <w:rPr>
          <w:spacing w:val="0"/>
          <w:kern w:val="0"/>
          <w:sz w:val="20"/>
          <w:rtl/>
        </w:rPr>
        <w:t xml:space="preserve">اسمها </w:t>
      </w:r>
      <w:r w:rsidRPr="003E698F">
        <w:rPr>
          <w:rFonts w:hint="cs"/>
          <w:spacing w:val="0"/>
          <w:kern w:val="0"/>
          <w:sz w:val="20"/>
          <w:rtl/>
        </w:rPr>
        <w:t xml:space="preserve">واسم </w:t>
      </w:r>
      <w:r w:rsidRPr="003E698F">
        <w:rPr>
          <w:spacing w:val="0"/>
          <w:kern w:val="0"/>
          <w:sz w:val="20"/>
          <w:rtl/>
        </w:rPr>
        <w:t xml:space="preserve">خطيبها </w:t>
      </w:r>
      <w:r w:rsidRPr="003E698F">
        <w:rPr>
          <w:rFonts w:hint="cs"/>
          <w:spacing w:val="0"/>
          <w:kern w:val="0"/>
          <w:sz w:val="20"/>
          <w:rtl/>
        </w:rPr>
        <w:t>أثناء ال</w:t>
      </w:r>
      <w:r w:rsidRPr="003E698F">
        <w:rPr>
          <w:spacing w:val="0"/>
          <w:kern w:val="0"/>
          <w:sz w:val="20"/>
          <w:rtl/>
        </w:rPr>
        <w:t>استجواب</w:t>
      </w:r>
      <w:r w:rsidRPr="003E698F">
        <w:rPr>
          <w:rFonts w:hint="cs"/>
          <w:spacing w:val="0"/>
          <w:kern w:val="0"/>
          <w:sz w:val="20"/>
          <w:rtl/>
        </w:rPr>
        <w:t>، ودخلت الشرطة إ</w:t>
      </w:r>
      <w:r w:rsidRPr="003E698F">
        <w:rPr>
          <w:spacing w:val="0"/>
          <w:kern w:val="0"/>
          <w:sz w:val="20"/>
          <w:rtl/>
        </w:rPr>
        <w:t xml:space="preserve">لى منزل </w:t>
      </w:r>
      <w:r w:rsidRPr="003E698F">
        <w:rPr>
          <w:rFonts w:hint="cs"/>
          <w:spacing w:val="0"/>
          <w:kern w:val="0"/>
          <w:sz w:val="20"/>
          <w:rtl/>
        </w:rPr>
        <w:t>صاحبة الشكوى في</w:t>
      </w:r>
      <w:r w:rsidRPr="003E698F">
        <w:rPr>
          <w:spacing w:val="0"/>
          <w:kern w:val="0"/>
          <w:sz w:val="20"/>
          <w:rtl/>
        </w:rPr>
        <w:t xml:space="preserve"> غيابه</w:t>
      </w:r>
      <w:r w:rsidRPr="003E698F">
        <w:rPr>
          <w:rFonts w:hint="cs"/>
          <w:spacing w:val="0"/>
          <w:kern w:val="0"/>
          <w:sz w:val="20"/>
          <w:rtl/>
        </w:rPr>
        <w:t>ا</w:t>
      </w:r>
      <w:r w:rsidRPr="003E698F">
        <w:rPr>
          <w:spacing w:val="0"/>
          <w:kern w:val="0"/>
          <w:sz w:val="20"/>
          <w:rtl/>
        </w:rPr>
        <w:t>، و</w:t>
      </w:r>
      <w:r w:rsidRPr="003E698F">
        <w:rPr>
          <w:rFonts w:hint="cs"/>
          <w:spacing w:val="0"/>
          <w:kern w:val="0"/>
          <w:sz w:val="20"/>
          <w:rtl/>
        </w:rPr>
        <w:t xml:space="preserve">عثرت فيه </w:t>
      </w:r>
      <w:r w:rsidRPr="003E698F">
        <w:rPr>
          <w:spacing w:val="0"/>
          <w:kern w:val="0"/>
          <w:sz w:val="20"/>
          <w:rtl/>
        </w:rPr>
        <w:t xml:space="preserve">على نسخ </w:t>
      </w:r>
      <w:r w:rsidRPr="003E698F">
        <w:rPr>
          <w:rFonts w:hint="cs"/>
          <w:spacing w:val="0"/>
          <w:kern w:val="0"/>
          <w:sz w:val="20"/>
          <w:rtl/>
        </w:rPr>
        <w:t>من مجلة "جون</w:t>
      </w:r>
      <w:r w:rsidRPr="003E698F">
        <w:rPr>
          <w:spacing w:val="0"/>
          <w:kern w:val="0"/>
          <w:sz w:val="20"/>
          <w:rtl/>
        </w:rPr>
        <w:t xml:space="preserve"> أفريك</w:t>
      </w:r>
      <w:r w:rsidRPr="003E698F">
        <w:rPr>
          <w:rFonts w:hint="cs"/>
          <w:spacing w:val="0"/>
          <w:kern w:val="0"/>
          <w:sz w:val="20"/>
          <w:rtl/>
        </w:rPr>
        <w:t>"</w:t>
      </w:r>
      <w:r w:rsidRPr="003E698F">
        <w:rPr>
          <w:spacing w:val="0"/>
          <w:kern w:val="0"/>
          <w:sz w:val="20"/>
          <w:rtl/>
        </w:rPr>
        <w:t xml:space="preserve"> و</w:t>
      </w:r>
      <w:r w:rsidRPr="003E698F">
        <w:rPr>
          <w:rFonts w:hint="cs"/>
          <w:spacing w:val="0"/>
          <w:kern w:val="0"/>
          <w:sz w:val="20"/>
          <w:rtl/>
        </w:rPr>
        <w:t>على ال</w:t>
      </w:r>
      <w:r w:rsidRPr="003E698F">
        <w:rPr>
          <w:spacing w:val="0"/>
          <w:kern w:val="0"/>
          <w:sz w:val="20"/>
          <w:rtl/>
        </w:rPr>
        <w:t>رسائل</w:t>
      </w:r>
      <w:r w:rsidRPr="003E698F">
        <w:rPr>
          <w:rFonts w:hint="cs"/>
          <w:spacing w:val="0"/>
          <w:kern w:val="0"/>
          <w:sz w:val="20"/>
          <w:rtl/>
        </w:rPr>
        <w:t xml:space="preserve"> التي بعث بها</w:t>
      </w:r>
      <w:r w:rsidRPr="003E698F">
        <w:rPr>
          <w:spacing w:val="0"/>
          <w:kern w:val="0"/>
          <w:sz w:val="20"/>
          <w:rtl/>
        </w:rPr>
        <w:t xml:space="preserve"> خطيبها</w:t>
      </w:r>
      <w:r w:rsidRPr="003E698F">
        <w:rPr>
          <w:rFonts w:hint="cs"/>
          <w:spacing w:val="0"/>
          <w:kern w:val="0"/>
          <w:sz w:val="20"/>
          <w:rtl/>
        </w:rPr>
        <w:t>.</w:t>
      </w:r>
    </w:p>
    <w:p w:rsidR="00921F02" w:rsidRPr="003E698F" w:rsidRDefault="00921F02" w:rsidP="00921F02">
      <w:pPr>
        <w:pStyle w:val="SingleTxtGA"/>
        <w:jc w:val="lowKashida"/>
        <w:rPr>
          <w:spacing w:val="0"/>
          <w:kern w:val="0"/>
          <w:sz w:val="20"/>
        </w:rPr>
      </w:pPr>
      <w:r w:rsidRPr="009E31FC">
        <w:rPr>
          <w:rFonts w:hint="cs"/>
          <w:spacing w:val="-2"/>
          <w:kern w:val="0"/>
          <w:sz w:val="20"/>
          <w:rtl/>
        </w:rPr>
        <w:t>2-3</w:t>
      </w:r>
      <w:r w:rsidRPr="009E31FC">
        <w:rPr>
          <w:rFonts w:hint="cs"/>
          <w:spacing w:val="-2"/>
          <w:kern w:val="0"/>
          <w:sz w:val="20"/>
          <w:rtl/>
        </w:rPr>
        <w:tab/>
        <w:t>وخ</w:t>
      </w:r>
      <w:r w:rsidRPr="009E31FC">
        <w:rPr>
          <w:spacing w:val="-2"/>
          <w:kern w:val="0"/>
          <w:sz w:val="20"/>
          <w:rtl/>
        </w:rPr>
        <w:t>وفا</w:t>
      </w:r>
      <w:r w:rsidRPr="009E31FC">
        <w:rPr>
          <w:rFonts w:hint="cs"/>
          <w:spacing w:val="-2"/>
          <w:kern w:val="0"/>
          <w:sz w:val="20"/>
          <w:rtl/>
        </w:rPr>
        <w:t>ً</w:t>
      </w:r>
      <w:r w:rsidRPr="009E31FC">
        <w:rPr>
          <w:spacing w:val="-2"/>
          <w:kern w:val="0"/>
          <w:sz w:val="20"/>
          <w:rtl/>
        </w:rPr>
        <w:t xml:space="preserve"> على حياته</w:t>
      </w:r>
      <w:r w:rsidRPr="009E31FC">
        <w:rPr>
          <w:rFonts w:hint="cs"/>
          <w:spacing w:val="-2"/>
          <w:kern w:val="0"/>
          <w:sz w:val="20"/>
          <w:rtl/>
        </w:rPr>
        <w:t>ا، هربت صاحبة الشكوى على حد زعمها وأقامت</w:t>
      </w:r>
      <w:r w:rsidRPr="009E31FC">
        <w:rPr>
          <w:spacing w:val="-2"/>
          <w:kern w:val="0"/>
          <w:sz w:val="20"/>
          <w:rtl/>
        </w:rPr>
        <w:t xml:space="preserve"> </w:t>
      </w:r>
      <w:r w:rsidRPr="009E31FC">
        <w:rPr>
          <w:rFonts w:hint="cs"/>
          <w:spacing w:val="-2"/>
          <w:kern w:val="0"/>
          <w:sz w:val="20"/>
          <w:rtl/>
        </w:rPr>
        <w:t xml:space="preserve">في البداية عند </w:t>
      </w:r>
      <w:r w:rsidRPr="009E31FC">
        <w:rPr>
          <w:spacing w:val="-2"/>
          <w:kern w:val="0"/>
          <w:sz w:val="20"/>
          <w:rtl/>
        </w:rPr>
        <w:t>أقارب</w:t>
      </w:r>
      <w:r w:rsidRPr="009E31FC">
        <w:rPr>
          <w:rFonts w:hint="cs"/>
          <w:spacing w:val="-2"/>
          <w:kern w:val="0"/>
          <w:sz w:val="20"/>
          <w:rtl/>
        </w:rPr>
        <w:t xml:space="preserve"> لها في </w:t>
      </w:r>
      <w:r w:rsidRPr="009E31FC">
        <w:rPr>
          <w:spacing w:val="-2"/>
          <w:kern w:val="0"/>
          <w:sz w:val="20"/>
          <w:rtl/>
        </w:rPr>
        <w:t xml:space="preserve">مالوكو، </w:t>
      </w:r>
      <w:r w:rsidRPr="009E31FC">
        <w:rPr>
          <w:rFonts w:hint="cs"/>
          <w:spacing w:val="-2"/>
          <w:kern w:val="0"/>
          <w:sz w:val="20"/>
          <w:rtl/>
        </w:rPr>
        <w:t xml:space="preserve">حيث مكثت </w:t>
      </w:r>
      <w:r w:rsidRPr="009E31FC">
        <w:rPr>
          <w:spacing w:val="-2"/>
          <w:kern w:val="0"/>
          <w:sz w:val="20"/>
          <w:rtl/>
        </w:rPr>
        <w:t>حتى</w:t>
      </w:r>
      <w:r w:rsidRPr="009E31FC">
        <w:rPr>
          <w:rFonts w:hint="cs"/>
          <w:spacing w:val="-2"/>
          <w:kern w:val="0"/>
          <w:sz w:val="20"/>
          <w:rtl/>
        </w:rPr>
        <w:t xml:space="preserve"> يوم</w:t>
      </w:r>
      <w:r w:rsidRPr="009E31FC">
        <w:rPr>
          <w:spacing w:val="-2"/>
          <w:kern w:val="0"/>
          <w:sz w:val="20"/>
          <w:rtl/>
        </w:rPr>
        <w:t xml:space="preserve"> 25 </w:t>
      </w:r>
      <w:r w:rsidRPr="009E31FC">
        <w:rPr>
          <w:rFonts w:hint="cs"/>
          <w:spacing w:val="-2"/>
          <w:kern w:val="0"/>
          <w:sz w:val="20"/>
          <w:rtl/>
        </w:rPr>
        <w:t>آب/</w:t>
      </w:r>
      <w:r w:rsidRPr="009E31FC">
        <w:rPr>
          <w:spacing w:val="-2"/>
          <w:kern w:val="0"/>
          <w:sz w:val="20"/>
          <w:rtl/>
        </w:rPr>
        <w:t xml:space="preserve">أغسطس 2001. </w:t>
      </w:r>
      <w:r w:rsidRPr="009E31FC">
        <w:rPr>
          <w:rFonts w:hint="cs"/>
          <w:spacing w:val="-2"/>
          <w:kern w:val="0"/>
          <w:sz w:val="20"/>
          <w:rtl/>
        </w:rPr>
        <w:t>وعندما علمت من والدتها أن أفراداً من الجيش يترددون باستمرار على منزل الأسرة للاستعلام عنها، قررت م</w:t>
      </w:r>
      <w:r w:rsidRPr="009E31FC">
        <w:rPr>
          <w:spacing w:val="-2"/>
          <w:kern w:val="0"/>
          <w:sz w:val="20"/>
          <w:rtl/>
        </w:rPr>
        <w:t>غادر</w:t>
      </w:r>
      <w:r w:rsidRPr="009E31FC">
        <w:rPr>
          <w:rFonts w:hint="cs"/>
          <w:spacing w:val="-2"/>
          <w:kern w:val="0"/>
          <w:sz w:val="20"/>
          <w:rtl/>
        </w:rPr>
        <w:t>ة</w:t>
      </w:r>
      <w:r w:rsidRPr="009E31FC">
        <w:rPr>
          <w:spacing w:val="-2"/>
          <w:kern w:val="0"/>
          <w:sz w:val="20"/>
          <w:rtl/>
        </w:rPr>
        <w:t xml:space="preserve"> جمهورية الكونغو الديمقراطية</w:t>
      </w:r>
      <w:r w:rsidRPr="009E31FC">
        <w:rPr>
          <w:rFonts w:hint="cs"/>
          <w:spacing w:val="-2"/>
          <w:kern w:val="0"/>
          <w:sz w:val="20"/>
          <w:rtl/>
        </w:rPr>
        <w:t>. وفي</w:t>
      </w:r>
      <w:r w:rsidRPr="009E31FC">
        <w:rPr>
          <w:spacing w:val="-2"/>
          <w:kern w:val="0"/>
          <w:sz w:val="20"/>
          <w:rtl/>
        </w:rPr>
        <w:t xml:space="preserve"> </w:t>
      </w:r>
      <w:r w:rsidRPr="009E31FC">
        <w:rPr>
          <w:rFonts w:hint="cs"/>
          <w:spacing w:val="-2"/>
          <w:kern w:val="0"/>
          <w:sz w:val="20"/>
          <w:rtl/>
        </w:rPr>
        <w:t>28 آب/</w:t>
      </w:r>
      <w:r w:rsidRPr="009E31FC">
        <w:rPr>
          <w:spacing w:val="-2"/>
          <w:kern w:val="0"/>
          <w:sz w:val="20"/>
          <w:rtl/>
        </w:rPr>
        <w:t xml:space="preserve">أغسطس 2001، </w:t>
      </w:r>
      <w:r w:rsidRPr="009E31FC">
        <w:rPr>
          <w:rFonts w:hint="cs"/>
          <w:spacing w:val="-2"/>
          <w:kern w:val="0"/>
          <w:sz w:val="20"/>
          <w:rtl/>
        </w:rPr>
        <w:t>غادرت</w:t>
      </w:r>
      <w:r w:rsidRPr="009E31FC">
        <w:rPr>
          <w:spacing w:val="-2"/>
          <w:kern w:val="0"/>
          <w:sz w:val="20"/>
          <w:rtl/>
        </w:rPr>
        <w:t xml:space="preserve"> مطار ندجيلي </w:t>
      </w:r>
      <w:r w:rsidRPr="009E31FC">
        <w:rPr>
          <w:rFonts w:hint="cs"/>
          <w:spacing w:val="-2"/>
          <w:kern w:val="0"/>
          <w:sz w:val="20"/>
          <w:rtl/>
        </w:rPr>
        <w:t xml:space="preserve">متجهة إلى </w:t>
      </w:r>
      <w:r w:rsidRPr="009E31FC">
        <w:rPr>
          <w:spacing w:val="-2"/>
          <w:kern w:val="0"/>
          <w:sz w:val="20"/>
          <w:rtl/>
        </w:rPr>
        <w:t xml:space="preserve">باماكو، </w:t>
      </w:r>
      <w:r w:rsidRPr="009E31FC">
        <w:rPr>
          <w:rFonts w:hint="cs"/>
          <w:spacing w:val="-2"/>
          <w:kern w:val="0"/>
          <w:sz w:val="20"/>
          <w:rtl/>
        </w:rPr>
        <w:t xml:space="preserve">ثم وصلت عبر لاغوس وأكرا وأديس أبابا </w:t>
      </w:r>
      <w:r w:rsidRPr="009E31FC">
        <w:rPr>
          <w:spacing w:val="-2"/>
          <w:kern w:val="0"/>
          <w:sz w:val="20"/>
          <w:rtl/>
        </w:rPr>
        <w:t xml:space="preserve">إلى روما في 9 </w:t>
      </w:r>
      <w:r w:rsidRPr="009E31FC">
        <w:rPr>
          <w:rFonts w:hint="cs"/>
          <w:spacing w:val="-2"/>
          <w:kern w:val="0"/>
          <w:sz w:val="20"/>
          <w:rtl/>
        </w:rPr>
        <w:t>أيلول/</w:t>
      </w:r>
      <w:r w:rsidRPr="009E31FC">
        <w:rPr>
          <w:spacing w:val="-2"/>
          <w:kern w:val="0"/>
          <w:sz w:val="20"/>
          <w:rtl/>
        </w:rPr>
        <w:t xml:space="preserve">سبتمبر 2001، </w:t>
      </w:r>
      <w:r w:rsidRPr="009E31FC">
        <w:rPr>
          <w:rFonts w:hint="cs"/>
          <w:spacing w:val="-2"/>
          <w:kern w:val="0"/>
          <w:sz w:val="20"/>
          <w:rtl/>
        </w:rPr>
        <w:t>ومن ثم إلى</w:t>
      </w:r>
      <w:r w:rsidRPr="009E31FC">
        <w:rPr>
          <w:spacing w:val="-2"/>
          <w:kern w:val="0"/>
          <w:sz w:val="20"/>
          <w:rtl/>
        </w:rPr>
        <w:t xml:space="preserve"> سويسرا </w:t>
      </w:r>
      <w:r w:rsidRPr="009E31FC">
        <w:rPr>
          <w:rFonts w:hint="cs"/>
          <w:spacing w:val="-2"/>
          <w:kern w:val="0"/>
          <w:sz w:val="20"/>
          <w:rtl/>
        </w:rPr>
        <w:t>عن طريق البر في 10 أيلول/</w:t>
      </w:r>
      <w:r w:rsidRPr="009E31FC">
        <w:rPr>
          <w:spacing w:val="-2"/>
          <w:kern w:val="0"/>
          <w:sz w:val="20"/>
          <w:rtl/>
        </w:rPr>
        <w:t xml:space="preserve">سبتمبر </w:t>
      </w:r>
      <w:r w:rsidRPr="009E31FC">
        <w:rPr>
          <w:rFonts w:hint="cs"/>
          <w:spacing w:val="-2"/>
          <w:kern w:val="0"/>
          <w:sz w:val="20"/>
          <w:rtl/>
        </w:rPr>
        <w:t>2001</w:t>
      </w:r>
      <w:r w:rsidRPr="009E31FC">
        <w:rPr>
          <w:spacing w:val="-2"/>
          <w:kern w:val="0"/>
          <w:sz w:val="20"/>
          <w:rtl/>
        </w:rPr>
        <w:t xml:space="preserve">. </w:t>
      </w:r>
      <w:r w:rsidRPr="009E31FC">
        <w:rPr>
          <w:rFonts w:hint="cs"/>
          <w:spacing w:val="-2"/>
          <w:kern w:val="0"/>
          <w:sz w:val="20"/>
          <w:rtl/>
        </w:rPr>
        <w:t xml:space="preserve">وقدمت </w:t>
      </w:r>
      <w:r w:rsidRPr="009E31FC">
        <w:rPr>
          <w:spacing w:val="-2"/>
          <w:kern w:val="0"/>
          <w:sz w:val="20"/>
          <w:rtl/>
        </w:rPr>
        <w:t>في اليوم</w:t>
      </w:r>
      <w:r w:rsidRPr="003E698F">
        <w:rPr>
          <w:spacing w:val="0"/>
          <w:kern w:val="0"/>
          <w:sz w:val="20"/>
          <w:rtl/>
        </w:rPr>
        <w:t xml:space="preserve"> نفسه </w:t>
      </w:r>
      <w:r w:rsidRPr="003E698F">
        <w:rPr>
          <w:rFonts w:hint="cs"/>
          <w:spacing w:val="0"/>
          <w:kern w:val="0"/>
          <w:sz w:val="20"/>
          <w:rtl/>
        </w:rPr>
        <w:t>طلباً</w:t>
      </w:r>
      <w:r w:rsidRPr="003E698F">
        <w:rPr>
          <w:spacing w:val="0"/>
          <w:kern w:val="0"/>
          <w:sz w:val="20"/>
          <w:rtl/>
        </w:rPr>
        <w:t xml:space="preserve"> للحصول على اللجوء ف</w:t>
      </w:r>
      <w:r w:rsidRPr="003E698F">
        <w:rPr>
          <w:rFonts w:hint="cs"/>
          <w:spacing w:val="0"/>
          <w:kern w:val="0"/>
          <w:sz w:val="20"/>
          <w:rtl/>
        </w:rPr>
        <w:t>ي بلدة فالورب.</w:t>
      </w:r>
    </w:p>
    <w:p w:rsidR="00921F02" w:rsidRPr="003E698F" w:rsidRDefault="00921F02" w:rsidP="00921F02">
      <w:pPr>
        <w:pStyle w:val="SingleTxtGA"/>
        <w:jc w:val="lowKashida"/>
        <w:rPr>
          <w:spacing w:val="0"/>
          <w:kern w:val="0"/>
          <w:sz w:val="20"/>
        </w:rPr>
      </w:pPr>
      <w:r w:rsidRPr="003E698F">
        <w:rPr>
          <w:rFonts w:hint="cs"/>
          <w:spacing w:val="0"/>
          <w:kern w:val="0"/>
          <w:sz w:val="20"/>
          <w:rtl/>
        </w:rPr>
        <w:t>2-4</w:t>
      </w:r>
      <w:r w:rsidRPr="003E698F">
        <w:rPr>
          <w:rFonts w:hint="cs"/>
          <w:spacing w:val="0"/>
          <w:kern w:val="0"/>
          <w:sz w:val="20"/>
          <w:rtl/>
        </w:rPr>
        <w:tab/>
        <w:t>و</w:t>
      </w:r>
      <w:r w:rsidRPr="003E698F">
        <w:rPr>
          <w:spacing w:val="0"/>
          <w:kern w:val="0"/>
          <w:sz w:val="20"/>
          <w:rtl/>
        </w:rPr>
        <w:t>في 13 حزيران</w:t>
      </w:r>
      <w:r w:rsidRPr="003E698F">
        <w:rPr>
          <w:rFonts w:hint="cs"/>
          <w:spacing w:val="0"/>
          <w:kern w:val="0"/>
          <w:sz w:val="20"/>
          <w:rtl/>
        </w:rPr>
        <w:t>/يونيه</w:t>
      </w:r>
      <w:r w:rsidRPr="003E698F">
        <w:rPr>
          <w:spacing w:val="0"/>
          <w:kern w:val="0"/>
          <w:sz w:val="20"/>
          <w:rtl/>
        </w:rPr>
        <w:t xml:space="preserve"> 2002، رفض المكتب الاتحادي السويسري لشؤون اللاجئين </w:t>
      </w:r>
      <w:r w:rsidRPr="003E698F">
        <w:rPr>
          <w:rFonts w:hint="cs"/>
          <w:spacing w:val="0"/>
          <w:kern w:val="0"/>
          <w:sz w:val="20"/>
          <w:rtl/>
        </w:rPr>
        <w:t xml:space="preserve">طلب صاحبة الشكوى الحصول على اللجوء معتبراً أن </w:t>
      </w:r>
      <w:r w:rsidRPr="003E698F">
        <w:rPr>
          <w:spacing w:val="0"/>
          <w:kern w:val="0"/>
          <w:sz w:val="20"/>
          <w:rtl/>
        </w:rPr>
        <w:t xml:space="preserve">ادعاءاتها غير </w:t>
      </w:r>
      <w:r w:rsidRPr="003E698F">
        <w:rPr>
          <w:rFonts w:hint="cs"/>
          <w:spacing w:val="0"/>
          <w:kern w:val="0"/>
          <w:sz w:val="20"/>
          <w:rtl/>
        </w:rPr>
        <w:t>قابلة للتصديق</w:t>
      </w:r>
      <w:r w:rsidRPr="003E698F">
        <w:rPr>
          <w:spacing w:val="0"/>
          <w:kern w:val="0"/>
          <w:sz w:val="20"/>
          <w:rtl/>
        </w:rPr>
        <w:t xml:space="preserve">. </w:t>
      </w:r>
      <w:r w:rsidRPr="003E698F">
        <w:rPr>
          <w:rFonts w:hint="cs"/>
          <w:spacing w:val="0"/>
          <w:kern w:val="0"/>
          <w:sz w:val="20"/>
          <w:rtl/>
        </w:rPr>
        <w:t xml:space="preserve">فقد لاحظ المكتب بوجه </w:t>
      </w:r>
      <w:r w:rsidRPr="003E698F">
        <w:rPr>
          <w:spacing w:val="0"/>
          <w:kern w:val="0"/>
          <w:sz w:val="20"/>
          <w:rtl/>
        </w:rPr>
        <w:t>خاص</w:t>
      </w:r>
      <w:r w:rsidRPr="003E698F">
        <w:rPr>
          <w:rFonts w:hint="cs"/>
          <w:spacing w:val="0"/>
          <w:kern w:val="0"/>
          <w:sz w:val="20"/>
          <w:rtl/>
        </w:rPr>
        <w:t xml:space="preserve">، عدم تمكن صاحبة الشكوى من </w:t>
      </w:r>
      <w:r w:rsidRPr="003E698F">
        <w:rPr>
          <w:spacing w:val="0"/>
          <w:kern w:val="0"/>
          <w:sz w:val="20"/>
          <w:rtl/>
        </w:rPr>
        <w:t xml:space="preserve">إثبات دور </w:t>
      </w:r>
      <w:r w:rsidRPr="003E698F">
        <w:rPr>
          <w:rFonts w:hint="cs"/>
          <w:spacing w:val="0"/>
          <w:kern w:val="0"/>
          <w:sz w:val="20"/>
          <w:rtl/>
        </w:rPr>
        <w:t>خطيبها</w:t>
      </w:r>
      <w:r w:rsidRPr="003E698F">
        <w:rPr>
          <w:spacing w:val="0"/>
          <w:kern w:val="0"/>
          <w:sz w:val="20"/>
          <w:rtl/>
        </w:rPr>
        <w:t xml:space="preserve"> في </w:t>
      </w:r>
      <w:r w:rsidRPr="003E698F">
        <w:rPr>
          <w:rFonts w:hint="cs"/>
          <w:spacing w:val="0"/>
          <w:kern w:val="0"/>
          <w:sz w:val="20"/>
          <w:rtl/>
        </w:rPr>
        <w:t xml:space="preserve">حركة </w:t>
      </w:r>
      <w:r w:rsidRPr="003E698F">
        <w:rPr>
          <w:spacing w:val="0"/>
          <w:kern w:val="0"/>
          <w:sz w:val="20"/>
          <w:rtl/>
        </w:rPr>
        <w:t>التمرد</w:t>
      </w:r>
      <w:r w:rsidRPr="003E698F">
        <w:rPr>
          <w:rFonts w:hint="cs"/>
          <w:spacing w:val="0"/>
          <w:kern w:val="0"/>
          <w:sz w:val="20"/>
          <w:rtl/>
        </w:rPr>
        <w:t xml:space="preserve"> التي تزعّمها</w:t>
      </w:r>
      <w:r w:rsidRPr="003E698F">
        <w:rPr>
          <w:spacing w:val="0"/>
          <w:kern w:val="0"/>
          <w:sz w:val="20"/>
          <w:rtl/>
        </w:rPr>
        <w:t xml:space="preserve"> جان بيير بيمبا، </w:t>
      </w:r>
      <w:r w:rsidRPr="003E698F">
        <w:rPr>
          <w:rFonts w:hint="cs"/>
          <w:spacing w:val="0"/>
          <w:kern w:val="0"/>
          <w:sz w:val="20"/>
          <w:rtl/>
        </w:rPr>
        <w:t>ولم يقتنع بروايتها بشأن تكليفها ببث الدعاية</w:t>
      </w:r>
      <w:r w:rsidRPr="003E698F">
        <w:rPr>
          <w:spacing w:val="0"/>
          <w:kern w:val="0"/>
          <w:sz w:val="20"/>
          <w:rtl/>
        </w:rPr>
        <w:t xml:space="preserve"> السياسية في الحي الذي </w:t>
      </w:r>
      <w:r w:rsidRPr="003E698F">
        <w:rPr>
          <w:rFonts w:hint="cs"/>
          <w:spacing w:val="0"/>
          <w:kern w:val="0"/>
          <w:sz w:val="20"/>
          <w:rtl/>
        </w:rPr>
        <w:t>تسكنه</w:t>
      </w:r>
      <w:r w:rsidRPr="003E698F">
        <w:rPr>
          <w:spacing w:val="0"/>
          <w:kern w:val="0"/>
          <w:sz w:val="20"/>
          <w:rtl/>
        </w:rPr>
        <w:t>. و</w:t>
      </w:r>
      <w:r w:rsidRPr="003E698F">
        <w:rPr>
          <w:rFonts w:hint="cs"/>
          <w:spacing w:val="0"/>
          <w:kern w:val="0"/>
          <w:sz w:val="20"/>
          <w:rtl/>
        </w:rPr>
        <w:t xml:space="preserve">أشار إلى أن دور صاحبة الشكوى كمعاِرضة هو دور ثانوي وخلص بالتالي، إلى أن ذلك يضعف مصداقية ادعائها بشأن تعبئة قوات الأمن بكثافة لاعتقالها. </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2-5</w:t>
      </w:r>
      <w:r w:rsidRPr="003E698F">
        <w:rPr>
          <w:rFonts w:hint="cs"/>
          <w:spacing w:val="0"/>
          <w:kern w:val="0"/>
          <w:sz w:val="20"/>
          <w:rtl/>
        </w:rPr>
        <w:tab/>
      </w:r>
      <w:r w:rsidRPr="003E698F">
        <w:rPr>
          <w:spacing w:val="0"/>
          <w:kern w:val="0"/>
          <w:sz w:val="20"/>
          <w:rtl/>
        </w:rPr>
        <w:t>وف</w:t>
      </w:r>
      <w:r w:rsidRPr="003E698F">
        <w:rPr>
          <w:rFonts w:hint="cs"/>
          <w:spacing w:val="0"/>
          <w:kern w:val="0"/>
          <w:sz w:val="20"/>
          <w:rtl/>
        </w:rPr>
        <w:t>ي 14 تشرين الثاني/نوفم</w:t>
      </w:r>
      <w:r w:rsidRPr="003E698F">
        <w:rPr>
          <w:spacing w:val="0"/>
          <w:kern w:val="0"/>
          <w:sz w:val="20"/>
          <w:rtl/>
        </w:rPr>
        <w:t>بر 2002، رفض</w:t>
      </w:r>
      <w:r w:rsidRPr="003E698F">
        <w:rPr>
          <w:rFonts w:hint="cs"/>
          <w:spacing w:val="0"/>
          <w:kern w:val="0"/>
          <w:sz w:val="20"/>
          <w:rtl/>
        </w:rPr>
        <w:t xml:space="preserve">ت </w:t>
      </w:r>
      <w:r w:rsidRPr="003E698F">
        <w:rPr>
          <w:spacing w:val="0"/>
          <w:kern w:val="0"/>
          <w:sz w:val="20"/>
          <w:rtl/>
        </w:rPr>
        <w:t xml:space="preserve">اللجنة الحكومية المعنية بالطعون في قضايا اللجوء </w:t>
      </w:r>
      <w:r w:rsidRPr="003E698F">
        <w:rPr>
          <w:rFonts w:hint="cs"/>
          <w:spacing w:val="0"/>
          <w:kern w:val="0"/>
          <w:sz w:val="20"/>
          <w:rtl/>
        </w:rPr>
        <w:t xml:space="preserve">طلب الاستئناف الذي قدمته صاحبة الشكوى لأنها تخلفت عن </w:t>
      </w:r>
      <w:r w:rsidRPr="003E698F">
        <w:rPr>
          <w:spacing w:val="0"/>
          <w:kern w:val="0"/>
          <w:sz w:val="20"/>
          <w:rtl/>
        </w:rPr>
        <w:t xml:space="preserve">دفع </w:t>
      </w:r>
      <w:r w:rsidRPr="003E698F">
        <w:rPr>
          <w:rFonts w:hint="cs"/>
          <w:spacing w:val="0"/>
          <w:kern w:val="0"/>
          <w:sz w:val="20"/>
          <w:rtl/>
        </w:rPr>
        <w:t>ال</w:t>
      </w:r>
      <w:r w:rsidRPr="003E698F">
        <w:rPr>
          <w:spacing w:val="0"/>
          <w:kern w:val="0"/>
          <w:sz w:val="20"/>
          <w:rtl/>
        </w:rPr>
        <w:t xml:space="preserve">رسوم </w:t>
      </w:r>
      <w:r w:rsidRPr="003E698F">
        <w:rPr>
          <w:rFonts w:hint="cs"/>
          <w:spacing w:val="0"/>
          <w:kern w:val="0"/>
          <w:sz w:val="20"/>
          <w:rtl/>
        </w:rPr>
        <w:t xml:space="preserve">الإجرائية </w:t>
      </w:r>
      <w:r w:rsidRPr="003E698F">
        <w:rPr>
          <w:spacing w:val="0"/>
          <w:kern w:val="0"/>
          <w:sz w:val="20"/>
          <w:rtl/>
        </w:rPr>
        <w:t xml:space="preserve">في </w:t>
      </w:r>
      <w:r w:rsidRPr="003E698F">
        <w:rPr>
          <w:rFonts w:hint="cs"/>
          <w:spacing w:val="0"/>
          <w:kern w:val="0"/>
          <w:sz w:val="20"/>
          <w:rtl/>
        </w:rPr>
        <w:t>الموعد المحدد</w:t>
      </w:r>
      <w:r w:rsidRPr="003E698F">
        <w:rPr>
          <w:spacing w:val="0"/>
          <w:kern w:val="0"/>
          <w:sz w:val="20"/>
          <w:rtl/>
        </w:rPr>
        <w:t xml:space="preserve">. </w:t>
      </w:r>
      <w:r w:rsidRPr="003E698F">
        <w:rPr>
          <w:rFonts w:hint="cs"/>
          <w:spacing w:val="0"/>
          <w:kern w:val="0"/>
          <w:sz w:val="20"/>
          <w:rtl/>
        </w:rPr>
        <w:t xml:space="preserve">كما أعلنت عدم قبول </w:t>
      </w:r>
      <w:r w:rsidRPr="003E698F">
        <w:rPr>
          <w:spacing w:val="0"/>
          <w:kern w:val="0"/>
          <w:sz w:val="20"/>
          <w:rtl/>
        </w:rPr>
        <w:t>طلب</w:t>
      </w:r>
      <w:r w:rsidRPr="003E698F">
        <w:rPr>
          <w:rFonts w:hint="cs"/>
          <w:spacing w:val="0"/>
          <w:kern w:val="0"/>
          <w:sz w:val="20"/>
          <w:rtl/>
        </w:rPr>
        <w:t>ي</w:t>
      </w:r>
      <w:r w:rsidRPr="003E698F">
        <w:rPr>
          <w:spacing w:val="0"/>
          <w:kern w:val="0"/>
          <w:sz w:val="20"/>
          <w:rtl/>
        </w:rPr>
        <w:t xml:space="preserve">ن </w:t>
      </w:r>
      <w:r w:rsidRPr="003E698F">
        <w:rPr>
          <w:rFonts w:hint="cs"/>
          <w:spacing w:val="0"/>
          <w:kern w:val="0"/>
          <w:sz w:val="20"/>
          <w:rtl/>
        </w:rPr>
        <w:t>متتالين لتمديد موعد الدفع.</w:t>
      </w:r>
    </w:p>
    <w:p w:rsidR="00921F02" w:rsidRPr="003E698F" w:rsidRDefault="00921F02" w:rsidP="00921F02">
      <w:pPr>
        <w:pStyle w:val="SingleTxtGA"/>
        <w:jc w:val="lowKashida"/>
        <w:rPr>
          <w:spacing w:val="0"/>
          <w:kern w:val="0"/>
          <w:sz w:val="20"/>
        </w:rPr>
      </w:pPr>
      <w:r w:rsidRPr="003E698F">
        <w:rPr>
          <w:rFonts w:hint="cs"/>
          <w:spacing w:val="0"/>
          <w:kern w:val="0"/>
          <w:sz w:val="20"/>
          <w:rtl/>
        </w:rPr>
        <w:t>2-6</w:t>
      </w:r>
      <w:r w:rsidRPr="003E698F">
        <w:rPr>
          <w:rFonts w:hint="cs"/>
          <w:spacing w:val="0"/>
          <w:kern w:val="0"/>
          <w:sz w:val="20"/>
          <w:rtl/>
        </w:rPr>
        <w:tab/>
        <w:t xml:space="preserve">وفي </w:t>
      </w:r>
      <w:r w:rsidRPr="003E698F">
        <w:rPr>
          <w:spacing w:val="0"/>
          <w:kern w:val="0"/>
          <w:sz w:val="20"/>
          <w:rtl/>
        </w:rPr>
        <w:t>15 آب</w:t>
      </w:r>
      <w:r w:rsidRPr="003E698F">
        <w:rPr>
          <w:rFonts w:hint="cs"/>
          <w:spacing w:val="0"/>
          <w:kern w:val="0"/>
          <w:sz w:val="20"/>
          <w:rtl/>
        </w:rPr>
        <w:t>/أغسطس</w:t>
      </w:r>
      <w:r w:rsidRPr="003E698F">
        <w:rPr>
          <w:spacing w:val="0"/>
          <w:kern w:val="0"/>
          <w:sz w:val="20"/>
          <w:rtl/>
        </w:rPr>
        <w:t xml:space="preserve"> 2005</w:t>
      </w:r>
      <w:r w:rsidRPr="003E698F">
        <w:rPr>
          <w:rFonts w:hint="cs"/>
          <w:spacing w:val="0"/>
          <w:kern w:val="0"/>
          <w:sz w:val="20"/>
          <w:rtl/>
        </w:rPr>
        <w:t xml:space="preserve">، </w:t>
      </w:r>
      <w:r w:rsidRPr="003E698F">
        <w:rPr>
          <w:spacing w:val="0"/>
          <w:kern w:val="0"/>
          <w:sz w:val="20"/>
          <w:rtl/>
        </w:rPr>
        <w:t>طلب</w:t>
      </w:r>
      <w:r w:rsidRPr="003E698F">
        <w:rPr>
          <w:rFonts w:hint="cs"/>
          <w:spacing w:val="0"/>
          <w:kern w:val="0"/>
          <w:sz w:val="20"/>
          <w:rtl/>
        </w:rPr>
        <w:t xml:space="preserve">ت صاحبة الشكوى </w:t>
      </w:r>
      <w:r w:rsidRPr="003E698F">
        <w:rPr>
          <w:spacing w:val="0"/>
          <w:kern w:val="0"/>
          <w:sz w:val="20"/>
          <w:rtl/>
        </w:rPr>
        <w:t xml:space="preserve">إعادة النظر في قرار </w:t>
      </w:r>
      <w:r w:rsidRPr="003E698F">
        <w:rPr>
          <w:rFonts w:hint="cs"/>
          <w:spacing w:val="0"/>
          <w:kern w:val="0"/>
          <w:sz w:val="20"/>
          <w:rtl/>
        </w:rPr>
        <w:t>المكتب الاتحادي السويسري لشؤون اللاجئين المؤرخ 13 حزيران/يونيه 2</w:t>
      </w:r>
      <w:r w:rsidRPr="003E698F">
        <w:rPr>
          <w:spacing w:val="0"/>
          <w:kern w:val="0"/>
          <w:sz w:val="20"/>
          <w:rtl/>
        </w:rPr>
        <w:t xml:space="preserve">002، </w:t>
      </w:r>
      <w:r w:rsidRPr="003E698F">
        <w:rPr>
          <w:rFonts w:hint="cs"/>
          <w:spacing w:val="0"/>
          <w:kern w:val="0"/>
          <w:sz w:val="20"/>
          <w:rtl/>
        </w:rPr>
        <w:t>في ضوء أ</w:t>
      </w:r>
      <w:r w:rsidRPr="003E698F">
        <w:rPr>
          <w:spacing w:val="0"/>
          <w:kern w:val="0"/>
          <w:sz w:val="20"/>
          <w:rtl/>
        </w:rPr>
        <w:t>دلة جديدة</w:t>
      </w:r>
      <w:r w:rsidRPr="003E698F">
        <w:rPr>
          <w:rFonts w:hint="cs"/>
          <w:spacing w:val="0"/>
          <w:kern w:val="0"/>
          <w:sz w:val="20"/>
          <w:rtl/>
        </w:rPr>
        <w:t xml:space="preserve"> قدمتها</w:t>
      </w:r>
      <w:r w:rsidRPr="003E698F">
        <w:rPr>
          <w:spacing w:val="0"/>
          <w:kern w:val="0"/>
          <w:sz w:val="20"/>
          <w:rtl/>
        </w:rPr>
        <w:t xml:space="preserve"> بما في ذلك نسخة من</w:t>
      </w:r>
      <w:r w:rsidRPr="003E698F">
        <w:rPr>
          <w:rFonts w:hint="cs"/>
          <w:spacing w:val="0"/>
          <w:kern w:val="0"/>
          <w:sz w:val="20"/>
          <w:rtl/>
        </w:rPr>
        <w:t xml:space="preserve"> المجلة </w:t>
      </w:r>
      <w:r w:rsidRPr="003E698F">
        <w:rPr>
          <w:spacing w:val="0"/>
          <w:kern w:val="0"/>
          <w:sz w:val="20"/>
          <w:rtl/>
        </w:rPr>
        <w:t>الأسبوعية</w:t>
      </w:r>
      <w:r w:rsidRPr="003E698F">
        <w:rPr>
          <w:rFonts w:hint="cs"/>
          <w:spacing w:val="0"/>
          <w:kern w:val="0"/>
          <w:sz w:val="20"/>
          <w:szCs w:val="28"/>
          <w:vertAlign w:val="superscript"/>
          <w:rtl/>
        </w:rPr>
        <w:t>(</w:t>
      </w:r>
      <w:r w:rsidRPr="003E698F">
        <w:rPr>
          <w:rStyle w:val="FootnoteReference"/>
          <w:spacing w:val="0"/>
          <w:sz w:val="20"/>
          <w:rtl/>
        </w:rPr>
        <w:footnoteReference w:id="178"/>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w:t>
      </w:r>
      <w:r w:rsidRPr="003E698F">
        <w:rPr>
          <w:rStyle w:val="SingleTxtGChar"/>
          <w:spacing w:val="0"/>
          <w:kern w:val="0"/>
          <w:sz w:val="20"/>
        </w:rPr>
        <w:t>Le Courrier d’Afrique</w:t>
      </w:r>
      <w:r w:rsidRPr="003E698F">
        <w:rPr>
          <w:rFonts w:hint="cs"/>
          <w:spacing w:val="0"/>
          <w:kern w:val="0"/>
          <w:sz w:val="20"/>
          <w:rtl/>
        </w:rPr>
        <w:t>" (لوكورييه دافريك)</w:t>
      </w:r>
      <w:r w:rsidRPr="003E698F">
        <w:rPr>
          <w:spacing w:val="0"/>
          <w:kern w:val="0"/>
          <w:sz w:val="20"/>
          <w:rtl/>
        </w:rPr>
        <w:t xml:space="preserve"> التي نشرت مقالين</w:t>
      </w:r>
      <w:r w:rsidRPr="003E698F">
        <w:rPr>
          <w:rFonts w:hint="cs"/>
          <w:spacing w:val="0"/>
          <w:kern w:val="0"/>
          <w:sz w:val="20"/>
          <w:rtl/>
        </w:rPr>
        <w:t xml:space="preserve"> يثبتان، على حد زعمها</w:t>
      </w:r>
      <w:r w:rsidRPr="003E698F">
        <w:rPr>
          <w:spacing w:val="0"/>
          <w:kern w:val="0"/>
          <w:sz w:val="20"/>
          <w:rtl/>
        </w:rPr>
        <w:t>، أن</w:t>
      </w:r>
      <w:r w:rsidRPr="003E698F">
        <w:rPr>
          <w:rFonts w:hint="cs"/>
          <w:spacing w:val="0"/>
          <w:kern w:val="0"/>
          <w:sz w:val="20"/>
          <w:rtl/>
        </w:rPr>
        <w:t xml:space="preserve"> </w:t>
      </w:r>
      <w:r w:rsidRPr="003E698F">
        <w:rPr>
          <w:spacing w:val="0"/>
          <w:kern w:val="0"/>
          <w:sz w:val="20"/>
          <w:rtl/>
        </w:rPr>
        <w:t xml:space="preserve">أجهزة الأمن في جمهورية الكونغو الديمقراطية </w:t>
      </w:r>
      <w:r w:rsidRPr="003E698F">
        <w:rPr>
          <w:rFonts w:hint="cs"/>
          <w:spacing w:val="0"/>
          <w:kern w:val="0"/>
          <w:sz w:val="20"/>
          <w:rtl/>
        </w:rPr>
        <w:t xml:space="preserve">تبحث عنها بتهمة </w:t>
      </w:r>
      <w:r w:rsidRPr="003E698F">
        <w:rPr>
          <w:spacing w:val="0"/>
          <w:kern w:val="0"/>
          <w:sz w:val="20"/>
          <w:rtl/>
        </w:rPr>
        <w:t xml:space="preserve">دعم </w:t>
      </w:r>
      <w:r w:rsidRPr="003E698F">
        <w:rPr>
          <w:rFonts w:hint="cs"/>
          <w:spacing w:val="0"/>
          <w:kern w:val="0"/>
          <w:sz w:val="20"/>
          <w:rtl/>
        </w:rPr>
        <w:t xml:space="preserve">مجموعة </w:t>
      </w:r>
      <w:r w:rsidRPr="003E698F">
        <w:rPr>
          <w:spacing w:val="0"/>
          <w:kern w:val="0"/>
          <w:sz w:val="20"/>
          <w:rtl/>
        </w:rPr>
        <w:t>معارض</w:t>
      </w:r>
      <w:r w:rsidRPr="003E698F">
        <w:rPr>
          <w:rFonts w:hint="cs"/>
          <w:spacing w:val="0"/>
          <w:kern w:val="0"/>
          <w:sz w:val="20"/>
          <w:rtl/>
        </w:rPr>
        <w:t>ة</w:t>
      </w:r>
      <w:r w:rsidRPr="003E698F">
        <w:rPr>
          <w:spacing w:val="0"/>
          <w:kern w:val="0"/>
          <w:sz w:val="20"/>
          <w:rtl/>
        </w:rPr>
        <w:t xml:space="preserve">. </w:t>
      </w:r>
      <w:r w:rsidRPr="003E698F">
        <w:rPr>
          <w:rFonts w:hint="cs"/>
          <w:spacing w:val="0"/>
          <w:kern w:val="0"/>
          <w:sz w:val="20"/>
          <w:rtl/>
        </w:rPr>
        <w:t>و</w:t>
      </w:r>
      <w:r w:rsidRPr="003E698F">
        <w:rPr>
          <w:spacing w:val="0"/>
          <w:kern w:val="0"/>
          <w:sz w:val="20"/>
          <w:rtl/>
        </w:rPr>
        <w:t>طلبت أيضا</w:t>
      </w:r>
      <w:r w:rsidRPr="003E698F">
        <w:rPr>
          <w:rFonts w:hint="cs"/>
          <w:spacing w:val="0"/>
          <w:kern w:val="0"/>
          <w:sz w:val="20"/>
          <w:rtl/>
        </w:rPr>
        <w:t>ً</w:t>
      </w:r>
      <w:r w:rsidRPr="003E698F">
        <w:rPr>
          <w:spacing w:val="0"/>
          <w:kern w:val="0"/>
          <w:sz w:val="20"/>
          <w:rtl/>
        </w:rPr>
        <w:t xml:space="preserve"> أن </w:t>
      </w:r>
      <w:r w:rsidRPr="003E698F">
        <w:rPr>
          <w:rFonts w:hint="cs"/>
          <w:spacing w:val="0"/>
          <w:kern w:val="0"/>
          <w:sz w:val="20"/>
          <w:rtl/>
        </w:rPr>
        <w:t>تقوم الممثلية السو</w:t>
      </w:r>
      <w:r w:rsidRPr="003E698F">
        <w:rPr>
          <w:spacing w:val="0"/>
          <w:kern w:val="0"/>
          <w:sz w:val="20"/>
          <w:rtl/>
        </w:rPr>
        <w:t>يسري</w:t>
      </w:r>
      <w:r w:rsidRPr="003E698F">
        <w:rPr>
          <w:rFonts w:hint="cs"/>
          <w:spacing w:val="0"/>
          <w:kern w:val="0"/>
          <w:sz w:val="20"/>
          <w:rtl/>
        </w:rPr>
        <w:t>ة</w:t>
      </w:r>
      <w:r w:rsidRPr="003E698F">
        <w:rPr>
          <w:spacing w:val="0"/>
          <w:kern w:val="0"/>
          <w:sz w:val="20"/>
          <w:rtl/>
        </w:rPr>
        <w:t xml:space="preserve"> في جمهورية الكونغو الديمقراطية </w:t>
      </w:r>
      <w:r w:rsidRPr="003E698F">
        <w:rPr>
          <w:rFonts w:hint="cs"/>
          <w:spacing w:val="0"/>
          <w:kern w:val="0"/>
          <w:sz w:val="20"/>
          <w:rtl/>
        </w:rPr>
        <w:t>بإ</w:t>
      </w:r>
      <w:r w:rsidRPr="003E698F">
        <w:rPr>
          <w:spacing w:val="0"/>
          <w:kern w:val="0"/>
          <w:sz w:val="20"/>
          <w:rtl/>
        </w:rPr>
        <w:t>جراء</w:t>
      </w:r>
      <w:r w:rsidRPr="003E698F">
        <w:rPr>
          <w:rFonts w:hint="cs"/>
          <w:spacing w:val="0"/>
          <w:kern w:val="0"/>
          <w:sz w:val="20"/>
          <w:rtl/>
        </w:rPr>
        <w:t xml:space="preserve"> تحقيق للتثبت من مدى </w:t>
      </w:r>
      <w:r w:rsidRPr="003E698F">
        <w:rPr>
          <w:spacing w:val="0"/>
          <w:kern w:val="0"/>
          <w:sz w:val="20"/>
          <w:rtl/>
        </w:rPr>
        <w:t xml:space="preserve">صحة </w:t>
      </w:r>
      <w:r w:rsidRPr="003E698F">
        <w:rPr>
          <w:rFonts w:hint="cs"/>
          <w:spacing w:val="0"/>
          <w:kern w:val="0"/>
          <w:sz w:val="20"/>
          <w:rtl/>
        </w:rPr>
        <w:t>هذا الدليل</w:t>
      </w:r>
      <w:r w:rsidRPr="003E698F">
        <w:rPr>
          <w:spacing w:val="0"/>
          <w:kern w:val="0"/>
          <w:sz w:val="20"/>
          <w:rtl/>
        </w:rPr>
        <w:t>.</w:t>
      </w:r>
      <w:r w:rsidRPr="003E698F">
        <w:rPr>
          <w:rFonts w:hint="cs"/>
          <w:spacing w:val="0"/>
          <w:kern w:val="0"/>
          <w:sz w:val="20"/>
          <w:rtl/>
        </w:rPr>
        <w:t xml:space="preserve"> وفي</w:t>
      </w:r>
      <w:r w:rsidRPr="003E698F">
        <w:rPr>
          <w:spacing w:val="0"/>
          <w:kern w:val="0"/>
          <w:sz w:val="20"/>
          <w:rtl/>
        </w:rPr>
        <w:t xml:space="preserve"> 19 </w:t>
      </w:r>
      <w:r w:rsidRPr="003E698F">
        <w:rPr>
          <w:rFonts w:hint="cs"/>
          <w:spacing w:val="0"/>
          <w:kern w:val="0"/>
          <w:sz w:val="20"/>
          <w:rtl/>
        </w:rPr>
        <w:t>آب/</w:t>
      </w:r>
      <w:r w:rsidRPr="003E698F">
        <w:rPr>
          <w:spacing w:val="0"/>
          <w:kern w:val="0"/>
          <w:sz w:val="20"/>
          <w:rtl/>
        </w:rPr>
        <w:t xml:space="preserve">أغسطس 2005، </w:t>
      </w:r>
      <w:r w:rsidRPr="003E698F">
        <w:rPr>
          <w:rFonts w:hint="cs"/>
          <w:spacing w:val="0"/>
          <w:kern w:val="0"/>
          <w:sz w:val="20"/>
          <w:rtl/>
        </w:rPr>
        <w:t>رأى ال</w:t>
      </w:r>
      <w:r w:rsidRPr="003E698F">
        <w:rPr>
          <w:spacing w:val="0"/>
          <w:kern w:val="0"/>
          <w:sz w:val="20"/>
          <w:rtl/>
        </w:rPr>
        <w:t xml:space="preserve">مكتب الاتحادي </w:t>
      </w:r>
      <w:r w:rsidRPr="003E698F">
        <w:rPr>
          <w:rFonts w:hint="cs"/>
          <w:spacing w:val="0"/>
          <w:kern w:val="0"/>
          <w:sz w:val="20"/>
          <w:rtl/>
        </w:rPr>
        <w:t>ل</w:t>
      </w:r>
      <w:r w:rsidRPr="003E698F">
        <w:rPr>
          <w:spacing w:val="0"/>
          <w:kern w:val="0"/>
          <w:sz w:val="20"/>
          <w:rtl/>
        </w:rPr>
        <w:t xml:space="preserve">لهجرة </w:t>
      </w:r>
      <w:r w:rsidRPr="003E698F">
        <w:rPr>
          <w:rFonts w:hint="cs"/>
          <w:spacing w:val="0"/>
          <w:kern w:val="0"/>
          <w:sz w:val="20"/>
          <w:rtl/>
        </w:rPr>
        <w:t xml:space="preserve">أنه لا توجد مسوغات، في ظل عدم توافر وقائع أو أدلة جديدة وتقديم </w:t>
      </w:r>
      <w:r w:rsidRPr="003E698F">
        <w:rPr>
          <w:spacing w:val="0"/>
          <w:kern w:val="0"/>
          <w:sz w:val="20"/>
          <w:rtl/>
        </w:rPr>
        <w:t xml:space="preserve">نسخة </w:t>
      </w:r>
      <w:r w:rsidRPr="003E698F">
        <w:rPr>
          <w:rFonts w:hint="cs"/>
          <w:spacing w:val="0"/>
          <w:kern w:val="0"/>
          <w:sz w:val="20"/>
          <w:rtl/>
        </w:rPr>
        <w:t>محرفة</w:t>
      </w:r>
      <w:r w:rsidRPr="003E698F">
        <w:rPr>
          <w:spacing w:val="0"/>
          <w:kern w:val="0"/>
          <w:sz w:val="20"/>
          <w:rtl/>
        </w:rPr>
        <w:t xml:space="preserve"> </w:t>
      </w:r>
      <w:r w:rsidRPr="003E698F">
        <w:rPr>
          <w:rFonts w:hint="cs"/>
          <w:spacing w:val="0"/>
          <w:kern w:val="0"/>
          <w:sz w:val="20"/>
          <w:rtl/>
        </w:rPr>
        <w:t>من مجلة "لوكورييه دافريك"،</w:t>
      </w:r>
      <w:r w:rsidRPr="003E698F">
        <w:rPr>
          <w:spacing w:val="0"/>
          <w:kern w:val="0"/>
          <w:sz w:val="20"/>
          <w:rtl/>
        </w:rPr>
        <w:t xml:space="preserve"> </w:t>
      </w:r>
      <w:r w:rsidRPr="003E698F">
        <w:rPr>
          <w:rFonts w:hint="cs"/>
          <w:spacing w:val="0"/>
          <w:kern w:val="0"/>
          <w:sz w:val="20"/>
          <w:rtl/>
        </w:rPr>
        <w:t>لأن يُنظَر في طلب المراجعة الذي قدمته صاحبة الشكوى.</w:t>
      </w:r>
    </w:p>
    <w:p w:rsidR="00921F02" w:rsidRPr="00B32542" w:rsidRDefault="00921F02" w:rsidP="009E31FC">
      <w:pPr>
        <w:pStyle w:val="SingleTxtGA"/>
        <w:jc w:val="lowKashida"/>
        <w:rPr>
          <w:rFonts w:hint="cs"/>
          <w:spacing w:val="-2"/>
          <w:kern w:val="0"/>
          <w:sz w:val="20"/>
        </w:rPr>
      </w:pPr>
      <w:r w:rsidRPr="00B32542">
        <w:rPr>
          <w:rFonts w:hint="cs"/>
          <w:spacing w:val="-2"/>
          <w:kern w:val="0"/>
          <w:sz w:val="20"/>
          <w:rtl/>
        </w:rPr>
        <w:t>2-7</w:t>
      </w:r>
      <w:r w:rsidRPr="00B32542">
        <w:rPr>
          <w:rFonts w:hint="cs"/>
          <w:spacing w:val="-2"/>
          <w:kern w:val="0"/>
          <w:sz w:val="20"/>
          <w:rtl/>
        </w:rPr>
        <w:tab/>
        <w:t xml:space="preserve">وفي </w:t>
      </w:r>
      <w:r w:rsidRPr="00B32542">
        <w:rPr>
          <w:spacing w:val="-2"/>
          <w:kern w:val="0"/>
          <w:sz w:val="20"/>
          <w:rtl/>
        </w:rPr>
        <w:t xml:space="preserve">12 </w:t>
      </w:r>
      <w:r w:rsidRPr="00B32542">
        <w:rPr>
          <w:rFonts w:hint="cs"/>
          <w:spacing w:val="-2"/>
          <w:kern w:val="0"/>
          <w:sz w:val="20"/>
          <w:rtl/>
        </w:rPr>
        <w:t>أيلول/</w:t>
      </w:r>
      <w:r w:rsidRPr="00B32542">
        <w:rPr>
          <w:spacing w:val="-2"/>
          <w:kern w:val="0"/>
          <w:sz w:val="20"/>
          <w:rtl/>
        </w:rPr>
        <w:t>سبتمبر 2005</w:t>
      </w:r>
      <w:r w:rsidRPr="00B32542">
        <w:rPr>
          <w:rFonts w:hint="cs"/>
          <w:spacing w:val="-2"/>
          <w:kern w:val="0"/>
          <w:sz w:val="20"/>
          <w:rtl/>
        </w:rPr>
        <w:t xml:space="preserve">، طعنت صاحبة الشكوى مرة أخرى في آخر </w:t>
      </w:r>
      <w:r w:rsidRPr="00B32542">
        <w:rPr>
          <w:spacing w:val="-2"/>
          <w:kern w:val="0"/>
          <w:sz w:val="20"/>
          <w:rtl/>
        </w:rPr>
        <w:t xml:space="preserve">قرار </w:t>
      </w:r>
      <w:r w:rsidRPr="00B32542">
        <w:rPr>
          <w:rFonts w:hint="cs"/>
          <w:spacing w:val="-2"/>
          <w:kern w:val="0"/>
          <w:sz w:val="20"/>
          <w:rtl/>
        </w:rPr>
        <w:t>اتخذه المكتب الاتحادي للهجرة</w:t>
      </w:r>
      <w:r w:rsidRPr="00B32542">
        <w:rPr>
          <w:spacing w:val="-2"/>
          <w:kern w:val="0"/>
          <w:sz w:val="20"/>
          <w:rtl/>
        </w:rPr>
        <w:t xml:space="preserve"> </w:t>
      </w:r>
      <w:r w:rsidRPr="00B32542">
        <w:rPr>
          <w:rFonts w:hint="cs"/>
          <w:spacing w:val="-2"/>
          <w:kern w:val="0"/>
          <w:sz w:val="20"/>
          <w:rtl/>
        </w:rPr>
        <w:t xml:space="preserve">مدعية </w:t>
      </w:r>
      <w:r w:rsidRPr="00B32542">
        <w:rPr>
          <w:spacing w:val="-2"/>
          <w:kern w:val="0"/>
          <w:sz w:val="20"/>
          <w:rtl/>
        </w:rPr>
        <w:t>أنه</w:t>
      </w:r>
      <w:r w:rsidRPr="00B32542">
        <w:rPr>
          <w:rFonts w:hint="cs"/>
          <w:spacing w:val="-2"/>
          <w:kern w:val="0"/>
          <w:sz w:val="20"/>
          <w:rtl/>
        </w:rPr>
        <w:t>ا</w:t>
      </w:r>
      <w:r w:rsidRPr="00B32542">
        <w:rPr>
          <w:spacing w:val="-2"/>
          <w:kern w:val="0"/>
          <w:sz w:val="20"/>
          <w:rtl/>
        </w:rPr>
        <w:t xml:space="preserve"> قد</w:t>
      </w:r>
      <w:r w:rsidRPr="00B32542">
        <w:rPr>
          <w:rFonts w:hint="cs"/>
          <w:spacing w:val="-2"/>
          <w:kern w:val="0"/>
          <w:sz w:val="20"/>
          <w:rtl/>
        </w:rPr>
        <w:t>مت</w:t>
      </w:r>
      <w:r w:rsidRPr="00B32542">
        <w:rPr>
          <w:spacing w:val="-2"/>
          <w:kern w:val="0"/>
          <w:sz w:val="20"/>
          <w:rtl/>
        </w:rPr>
        <w:t xml:space="preserve"> أدلة </w:t>
      </w:r>
      <w:r w:rsidRPr="00B32542">
        <w:rPr>
          <w:rFonts w:hint="cs"/>
          <w:spacing w:val="-2"/>
          <w:kern w:val="0"/>
          <w:sz w:val="20"/>
          <w:rtl/>
        </w:rPr>
        <w:t xml:space="preserve">دامغة على الخطر الذي يتهددها في </w:t>
      </w:r>
      <w:r w:rsidRPr="00B32542">
        <w:rPr>
          <w:spacing w:val="-2"/>
          <w:kern w:val="0"/>
          <w:sz w:val="20"/>
          <w:rtl/>
        </w:rPr>
        <w:t xml:space="preserve">جمهورية الكونغو الديمقراطية. </w:t>
      </w:r>
      <w:r w:rsidRPr="00B32542">
        <w:rPr>
          <w:rFonts w:hint="cs"/>
          <w:spacing w:val="-2"/>
          <w:kern w:val="0"/>
          <w:sz w:val="20"/>
          <w:rtl/>
        </w:rPr>
        <w:t>و</w:t>
      </w:r>
      <w:r w:rsidRPr="00B32542">
        <w:rPr>
          <w:spacing w:val="-2"/>
          <w:kern w:val="0"/>
          <w:sz w:val="20"/>
          <w:rtl/>
        </w:rPr>
        <w:t>دعم</w:t>
      </w:r>
      <w:r w:rsidRPr="00B32542">
        <w:rPr>
          <w:rFonts w:hint="cs"/>
          <w:spacing w:val="-2"/>
          <w:kern w:val="0"/>
          <w:sz w:val="20"/>
          <w:rtl/>
        </w:rPr>
        <w:t>ت صاحبة الشكوى طعنها ب</w:t>
      </w:r>
      <w:r w:rsidRPr="00B32542">
        <w:rPr>
          <w:spacing w:val="-2"/>
          <w:kern w:val="0"/>
          <w:sz w:val="20"/>
          <w:rtl/>
        </w:rPr>
        <w:t>أدلة جديدة</w:t>
      </w:r>
      <w:r w:rsidRPr="00B32542">
        <w:rPr>
          <w:rFonts w:hint="cs"/>
          <w:spacing w:val="-2"/>
          <w:kern w:val="0"/>
          <w:sz w:val="20"/>
          <w:rtl/>
        </w:rPr>
        <w:t xml:space="preserve"> تضمنت استدعاء موجها إلى والدتها ورسالة موجهة إليها من والدتها. واعتبرت قاضية التحقيق في </w:t>
      </w:r>
      <w:r w:rsidRPr="00B32542">
        <w:rPr>
          <w:spacing w:val="-2"/>
          <w:kern w:val="0"/>
          <w:sz w:val="20"/>
          <w:rtl/>
        </w:rPr>
        <w:t>اللجنة الحكومية المعنية بالطعون في قضايا اللجوء</w:t>
      </w:r>
      <w:r w:rsidRPr="00B32542">
        <w:rPr>
          <w:rFonts w:hint="cs"/>
          <w:spacing w:val="-2"/>
          <w:kern w:val="0"/>
          <w:sz w:val="20"/>
          <w:rtl/>
        </w:rPr>
        <w:t xml:space="preserve"> أن الطعن محكوم عليه بالفشل فرفضت في الأول من </w:t>
      </w:r>
      <w:r w:rsidRPr="00B32542">
        <w:rPr>
          <w:spacing w:val="-2"/>
          <w:kern w:val="0"/>
          <w:sz w:val="20"/>
          <w:rtl/>
        </w:rPr>
        <w:t>تشرين الثاني</w:t>
      </w:r>
      <w:r w:rsidRPr="00B32542">
        <w:rPr>
          <w:rFonts w:hint="cs"/>
          <w:spacing w:val="-2"/>
          <w:kern w:val="0"/>
          <w:sz w:val="20"/>
          <w:rtl/>
        </w:rPr>
        <w:t>/نوفمبر</w:t>
      </w:r>
      <w:r w:rsidRPr="00B32542">
        <w:rPr>
          <w:spacing w:val="-2"/>
          <w:kern w:val="0"/>
          <w:sz w:val="20"/>
          <w:rtl/>
        </w:rPr>
        <w:t xml:space="preserve"> 2005، </w:t>
      </w:r>
      <w:r w:rsidRPr="00B32542">
        <w:rPr>
          <w:rFonts w:hint="cs"/>
          <w:spacing w:val="-2"/>
          <w:kern w:val="0"/>
          <w:sz w:val="20"/>
          <w:rtl/>
        </w:rPr>
        <w:t>أن ت</w:t>
      </w:r>
      <w:r w:rsidRPr="00B32542">
        <w:rPr>
          <w:spacing w:val="-2"/>
          <w:kern w:val="0"/>
          <w:sz w:val="20"/>
          <w:rtl/>
        </w:rPr>
        <w:t xml:space="preserve">أمر باتخاذ تدابير مؤقتة، </w:t>
      </w:r>
      <w:r w:rsidRPr="00B32542">
        <w:rPr>
          <w:rFonts w:hint="cs"/>
          <w:spacing w:val="-2"/>
          <w:kern w:val="0"/>
          <w:sz w:val="20"/>
          <w:rtl/>
        </w:rPr>
        <w:t>وحددت م</w:t>
      </w:r>
      <w:r w:rsidRPr="00B32542">
        <w:rPr>
          <w:spacing w:val="-2"/>
          <w:kern w:val="0"/>
          <w:sz w:val="20"/>
          <w:rtl/>
        </w:rPr>
        <w:t xml:space="preserve">هلة لتسديد </w:t>
      </w:r>
      <w:r w:rsidRPr="00B32542">
        <w:rPr>
          <w:rFonts w:hint="cs"/>
          <w:spacing w:val="-2"/>
          <w:kern w:val="0"/>
          <w:sz w:val="20"/>
          <w:rtl/>
        </w:rPr>
        <w:t>ال</w:t>
      </w:r>
      <w:r w:rsidRPr="00B32542">
        <w:rPr>
          <w:spacing w:val="-2"/>
          <w:kern w:val="0"/>
          <w:sz w:val="20"/>
          <w:rtl/>
        </w:rPr>
        <w:t xml:space="preserve">رسوم </w:t>
      </w:r>
      <w:r w:rsidRPr="00B32542">
        <w:rPr>
          <w:rFonts w:hint="cs"/>
          <w:spacing w:val="-2"/>
          <w:kern w:val="0"/>
          <w:sz w:val="20"/>
          <w:rtl/>
        </w:rPr>
        <w:t>الإجرائية المقررة</w:t>
      </w:r>
      <w:r w:rsidRPr="00B32542">
        <w:rPr>
          <w:spacing w:val="-2"/>
          <w:kern w:val="0"/>
          <w:sz w:val="20"/>
          <w:rtl/>
        </w:rPr>
        <w:t xml:space="preserve">. </w:t>
      </w:r>
      <w:r w:rsidRPr="00B32542">
        <w:rPr>
          <w:rFonts w:hint="cs"/>
          <w:spacing w:val="-2"/>
          <w:kern w:val="0"/>
          <w:sz w:val="20"/>
          <w:rtl/>
        </w:rPr>
        <w:t xml:space="preserve">وطعنت صاحبة الشكوى في هذا القرار بتاريخ 11 </w:t>
      </w:r>
      <w:r w:rsidRPr="00B32542">
        <w:rPr>
          <w:spacing w:val="-2"/>
          <w:kern w:val="0"/>
          <w:sz w:val="20"/>
          <w:rtl/>
        </w:rPr>
        <w:t>تشرين الثاني</w:t>
      </w:r>
      <w:r w:rsidRPr="00B32542">
        <w:rPr>
          <w:rFonts w:hint="cs"/>
          <w:spacing w:val="-2"/>
          <w:kern w:val="0"/>
          <w:sz w:val="20"/>
          <w:rtl/>
        </w:rPr>
        <w:t>/</w:t>
      </w:r>
      <w:r w:rsidR="009E31FC">
        <w:rPr>
          <w:rFonts w:hint="cs"/>
          <w:spacing w:val="-2"/>
          <w:kern w:val="0"/>
          <w:sz w:val="20"/>
          <w:rtl/>
        </w:rPr>
        <w:t xml:space="preserve"> </w:t>
      </w:r>
      <w:r w:rsidRPr="00B32542">
        <w:rPr>
          <w:rFonts w:hint="cs"/>
          <w:spacing w:val="-2"/>
          <w:kern w:val="0"/>
          <w:sz w:val="20"/>
          <w:rtl/>
        </w:rPr>
        <w:t>نوفمبر</w:t>
      </w:r>
      <w:r w:rsidR="009E31FC">
        <w:rPr>
          <w:rFonts w:hint="eastAsia"/>
          <w:spacing w:val="-2"/>
          <w:kern w:val="0"/>
          <w:sz w:val="20"/>
          <w:rtl/>
        </w:rPr>
        <w:t> </w:t>
      </w:r>
      <w:r w:rsidRPr="00B32542">
        <w:rPr>
          <w:rFonts w:hint="cs"/>
          <w:spacing w:val="-2"/>
          <w:kern w:val="0"/>
          <w:sz w:val="20"/>
          <w:rtl/>
        </w:rPr>
        <w:t>2005، وأ</w:t>
      </w:r>
      <w:r w:rsidRPr="00B32542">
        <w:rPr>
          <w:spacing w:val="-2"/>
          <w:kern w:val="0"/>
          <w:sz w:val="20"/>
          <w:rtl/>
        </w:rPr>
        <w:t>كد</w:t>
      </w:r>
      <w:r w:rsidRPr="00B32542">
        <w:rPr>
          <w:rFonts w:hint="cs"/>
          <w:spacing w:val="-2"/>
          <w:kern w:val="0"/>
          <w:sz w:val="20"/>
          <w:rtl/>
        </w:rPr>
        <w:t xml:space="preserve">ت مجدداً </w:t>
      </w:r>
      <w:r w:rsidRPr="00B32542">
        <w:rPr>
          <w:spacing w:val="-2"/>
          <w:kern w:val="0"/>
          <w:sz w:val="20"/>
          <w:rtl/>
        </w:rPr>
        <w:t>صحة الوثائق المقدمة</w:t>
      </w:r>
      <w:r w:rsidRPr="00B32542">
        <w:rPr>
          <w:rFonts w:hint="cs"/>
          <w:spacing w:val="-2"/>
          <w:kern w:val="0"/>
          <w:sz w:val="20"/>
          <w:rtl/>
        </w:rPr>
        <w:t xml:space="preserve"> و</w:t>
      </w:r>
      <w:r w:rsidRPr="00B32542">
        <w:rPr>
          <w:spacing w:val="-2"/>
          <w:kern w:val="0"/>
          <w:sz w:val="20"/>
          <w:rtl/>
        </w:rPr>
        <w:t>ضمت إل</w:t>
      </w:r>
      <w:r w:rsidRPr="00B32542">
        <w:rPr>
          <w:rFonts w:hint="cs"/>
          <w:spacing w:val="-2"/>
          <w:kern w:val="0"/>
          <w:sz w:val="20"/>
          <w:rtl/>
        </w:rPr>
        <w:t>يها است</w:t>
      </w:r>
      <w:r w:rsidRPr="00B32542">
        <w:rPr>
          <w:spacing w:val="-2"/>
          <w:kern w:val="0"/>
          <w:sz w:val="20"/>
          <w:rtl/>
        </w:rPr>
        <w:t xml:space="preserve">دعاء </w:t>
      </w:r>
      <w:r w:rsidRPr="00B32542">
        <w:rPr>
          <w:rFonts w:hint="cs"/>
          <w:spacing w:val="-2"/>
          <w:kern w:val="0"/>
          <w:sz w:val="20"/>
          <w:rtl/>
        </w:rPr>
        <w:t>موجه إليها في</w:t>
      </w:r>
      <w:r w:rsidRPr="00B32542">
        <w:rPr>
          <w:spacing w:val="-2"/>
          <w:kern w:val="0"/>
          <w:sz w:val="20"/>
          <w:rtl/>
        </w:rPr>
        <w:t xml:space="preserve"> 10 </w:t>
      </w:r>
      <w:r w:rsidRPr="00B32542">
        <w:rPr>
          <w:rFonts w:hint="cs"/>
          <w:spacing w:val="-2"/>
          <w:kern w:val="0"/>
          <w:sz w:val="20"/>
          <w:rtl/>
        </w:rPr>
        <w:t>تشرين الأول/</w:t>
      </w:r>
      <w:r w:rsidRPr="00B32542">
        <w:rPr>
          <w:spacing w:val="-2"/>
          <w:kern w:val="0"/>
          <w:sz w:val="20"/>
          <w:rtl/>
        </w:rPr>
        <w:t>أكتوبر 2001.</w:t>
      </w:r>
      <w:r w:rsidRPr="00B32542">
        <w:rPr>
          <w:rFonts w:hint="cs"/>
          <w:spacing w:val="-2"/>
          <w:kern w:val="0"/>
          <w:sz w:val="20"/>
          <w:rtl/>
        </w:rPr>
        <w:t xml:space="preserve"> وفي</w:t>
      </w:r>
      <w:r w:rsidRPr="00B32542">
        <w:rPr>
          <w:spacing w:val="-2"/>
          <w:kern w:val="0"/>
          <w:sz w:val="20"/>
          <w:rtl/>
        </w:rPr>
        <w:t xml:space="preserve"> 18 </w:t>
      </w:r>
      <w:r w:rsidRPr="00B32542">
        <w:rPr>
          <w:rFonts w:hint="cs"/>
          <w:spacing w:val="-2"/>
          <w:kern w:val="0"/>
          <w:sz w:val="20"/>
          <w:rtl/>
        </w:rPr>
        <w:t>تشرين الثاني/ن</w:t>
      </w:r>
      <w:r w:rsidRPr="00B32542">
        <w:rPr>
          <w:spacing w:val="-2"/>
          <w:kern w:val="0"/>
          <w:sz w:val="20"/>
          <w:rtl/>
        </w:rPr>
        <w:t>وفمبر 2005، رفض</w:t>
      </w:r>
      <w:r w:rsidRPr="00B32542">
        <w:rPr>
          <w:rFonts w:hint="cs"/>
          <w:spacing w:val="-2"/>
          <w:kern w:val="0"/>
          <w:sz w:val="20"/>
          <w:rtl/>
        </w:rPr>
        <w:t>ت</w:t>
      </w:r>
      <w:r w:rsidRPr="00B32542">
        <w:rPr>
          <w:spacing w:val="-2"/>
          <w:kern w:val="0"/>
          <w:sz w:val="20"/>
          <w:rtl/>
        </w:rPr>
        <w:t xml:space="preserve"> القاضي</w:t>
      </w:r>
      <w:r w:rsidRPr="00B32542">
        <w:rPr>
          <w:rFonts w:hint="cs"/>
          <w:spacing w:val="-2"/>
          <w:kern w:val="0"/>
          <w:sz w:val="20"/>
          <w:rtl/>
        </w:rPr>
        <w:t>ة</w:t>
      </w:r>
      <w:r w:rsidRPr="00B32542">
        <w:rPr>
          <w:spacing w:val="-2"/>
          <w:kern w:val="0"/>
          <w:sz w:val="20"/>
          <w:rtl/>
        </w:rPr>
        <w:t xml:space="preserve"> طلب </w:t>
      </w:r>
      <w:r w:rsidRPr="00B32542">
        <w:rPr>
          <w:rFonts w:hint="cs"/>
          <w:spacing w:val="-2"/>
          <w:kern w:val="0"/>
          <w:sz w:val="20"/>
          <w:rtl/>
        </w:rPr>
        <w:t xml:space="preserve">صاحبة الشكوى وأشارت إلى أن </w:t>
      </w:r>
      <w:r w:rsidRPr="00B32542">
        <w:rPr>
          <w:spacing w:val="-2"/>
          <w:kern w:val="0"/>
          <w:sz w:val="20"/>
          <w:rtl/>
        </w:rPr>
        <w:t xml:space="preserve">الاستدعاء </w:t>
      </w:r>
      <w:r w:rsidRPr="00B32542">
        <w:rPr>
          <w:rFonts w:hint="cs"/>
          <w:spacing w:val="-2"/>
          <w:kern w:val="0"/>
          <w:sz w:val="20"/>
          <w:rtl/>
        </w:rPr>
        <w:t>مزيف و</w:t>
      </w:r>
      <w:r w:rsidRPr="00B32542">
        <w:rPr>
          <w:spacing w:val="-2"/>
          <w:kern w:val="0"/>
          <w:sz w:val="20"/>
          <w:rtl/>
        </w:rPr>
        <w:t xml:space="preserve">لم </w:t>
      </w:r>
      <w:r w:rsidRPr="00B32542">
        <w:rPr>
          <w:rFonts w:hint="cs"/>
          <w:spacing w:val="-2"/>
          <w:kern w:val="0"/>
          <w:sz w:val="20"/>
          <w:rtl/>
        </w:rPr>
        <w:t>يسبق أن أشير إليه بتاتاً في</w:t>
      </w:r>
      <w:r w:rsidRPr="00B32542">
        <w:rPr>
          <w:spacing w:val="-2"/>
          <w:kern w:val="0"/>
          <w:sz w:val="20"/>
          <w:rtl/>
        </w:rPr>
        <w:t xml:space="preserve"> الإجراء</w:t>
      </w:r>
      <w:r w:rsidRPr="00B32542">
        <w:rPr>
          <w:rFonts w:hint="cs"/>
          <w:spacing w:val="-2"/>
          <w:kern w:val="0"/>
          <w:sz w:val="20"/>
          <w:rtl/>
        </w:rPr>
        <w:t>ات.</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2-8</w:t>
      </w:r>
      <w:r w:rsidRPr="003E698F">
        <w:rPr>
          <w:rFonts w:hint="cs"/>
          <w:spacing w:val="0"/>
          <w:kern w:val="0"/>
          <w:sz w:val="20"/>
          <w:rtl/>
        </w:rPr>
        <w:tab/>
        <w:t>و</w:t>
      </w:r>
      <w:r w:rsidRPr="003E698F">
        <w:rPr>
          <w:spacing w:val="0"/>
          <w:kern w:val="0"/>
          <w:sz w:val="20"/>
          <w:rtl/>
        </w:rPr>
        <w:t>رفضت المحكمة الإدارية الاتحادية</w:t>
      </w:r>
      <w:r w:rsidRPr="003E698F">
        <w:rPr>
          <w:rFonts w:hint="cs"/>
          <w:spacing w:val="0"/>
          <w:kern w:val="0"/>
          <w:sz w:val="20"/>
          <w:rtl/>
        </w:rPr>
        <w:t xml:space="preserve"> في ق</w:t>
      </w:r>
      <w:r w:rsidRPr="003E698F">
        <w:rPr>
          <w:spacing w:val="0"/>
          <w:kern w:val="0"/>
          <w:sz w:val="20"/>
          <w:rtl/>
        </w:rPr>
        <w:t xml:space="preserve">رارها </w:t>
      </w:r>
      <w:r w:rsidRPr="003E698F">
        <w:rPr>
          <w:rFonts w:hint="cs"/>
          <w:spacing w:val="0"/>
          <w:kern w:val="0"/>
          <w:sz w:val="20"/>
          <w:rtl/>
        </w:rPr>
        <w:t>المؤرخ</w:t>
      </w:r>
      <w:r w:rsidRPr="003E698F">
        <w:rPr>
          <w:spacing w:val="0"/>
          <w:kern w:val="0"/>
          <w:sz w:val="20"/>
          <w:rtl/>
        </w:rPr>
        <w:t xml:space="preserve"> 31 </w:t>
      </w:r>
      <w:r w:rsidRPr="003E698F">
        <w:rPr>
          <w:rFonts w:hint="cs"/>
          <w:spacing w:val="0"/>
          <w:kern w:val="0"/>
          <w:sz w:val="20"/>
          <w:rtl/>
        </w:rPr>
        <w:t>آذار/</w:t>
      </w:r>
      <w:r w:rsidRPr="003E698F">
        <w:rPr>
          <w:spacing w:val="0"/>
          <w:kern w:val="0"/>
          <w:sz w:val="20"/>
          <w:rtl/>
        </w:rPr>
        <w:t>مارس 2008،</w:t>
      </w:r>
      <w:r w:rsidRPr="003E698F">
        <w:rPr>
          <w:rFonts w:hint="cs"/>
          <w:spacing w:val="0"/>
          <w:kern w:val="0"/>
          <w:sz w:val="20"/>
          <w:rtl/>
        </w:rPr>
        <w:t xml:space="preserve"> طلب الاستئناف</w:t>
      </w:r>
      <w:r w:rsidRPr="003E698F">
        <w:rPr>
          <w:spacing w:val="0"/>
          <w:kern w:val="0"/>
          <w:sz w:val="20"/>
          <w:rtl/>
        </w:rPr>
        <w:t xml:space="preserve"> </w:t>
      </w:r>
      <w:r w:rsidRPr="003E698F">
        <w:rPr>
          <w:rFonts w:hint="cs"/>
          <w:spacing w:val="0"/>
          <w:kern w:val="0"/>
          <w:sz w:val="20"/>
          <w:rtl/>
        </w:rPr>
        <w:t>ال</w:t>
      </w:r>
      <w:r w:rsidRPr="003E698F">
        <w:rPr>
          <w:spacing w:val="0"/>
          <w:kern w:val="0"/>
          <w:sz w:val="20"/>
          <w:rtl/>
        </w:rPr>
        <w:t>مقدم</w:t>
      </w:r>
      <w:r w:rsidRPr="003E698F">
        <w:rPr>
          <w:rFonts w:hint="cs"/>
          <w:spacing w:val="0"/>
          <w:kern w:val="0"/>
          <w:sz w:val="20"/>
          <w:rtl/>
        </w:rPr>
        <w:t xml:space="preserve"> من صاحبة الشكوى على</w:t>
      </w:r>
      <w:r w:rsidRPr="003E698F">
        <w:rPr>
          <w:spacing w:val="0"/>
          <w:kern w:val="0"/>
          <w:sz w:val="20"/>
          <w:rtl/>
        </w:rPr>
        <w:t xml:space="preserve"> </w:t>
      </w:r>
      <w:r w:rsidRPr="003E698F">
        <w:rPr>
          <w:rFonts w:hint="cs"/>
          <w:spacing w:val="0"/>
          <w:kern w:val="0"/>
          <w:sz w:val="20"/>
          <w:rtl/>
        </w:rPr>
        <w:t>اعتبار</w:t>
      </w:r>
      <w:r w:rsidRPr="003E698F">
        <w:rPr>
          <w:spacing w:val="0"/>
          <w:kern w:val="0"/>
          <w:sz w:val="20"/>
          <w:rtl/>
        </w:rPr>
        <w:t xml:space="preserve"> أنه لم </w:t>
      </w:r>
      <w:r w:rsidRPr="003E698F">
        <w:rPr>
          <w:rFonts w:hint="cs"/>
          <w:spacing w:val="0"/>
          <w:kern w:val="0"/>
          <w:sz w:val="20"/>
          <w:rtl/>
        </w:rPr>
        <w:t>يتضمن</w:t>
      </w:r>
      <w:r w:rsidRPr="003E698F">
        <w:rPr>
          <w:spacing w:val="0"/>
          <w:kern w:val="0"/>
          <w:sz w:val="20"/>
          <w:rtl/>
        </w:rPr>
        <w:t xml:space="preserve"> أي </w:t>
      </w:r>
      <w:r w:rsidRPr="003E698F">
        <w:rPr>
          <w:rFonts w:hint="cs"/>
          <w:spacing w:val="0"/>
          <w:kern w:val="0"/>
          <w:sz w:val="20"/>
          <w:rtl/>
        </w:rPr>
        <w:t>واقعة</w:t>
      </w:r>
      <w:r w:rsidRPr="003E698F">
        <w:rPr>
          <w:spacing w:val="0"/>
          <w:kern w:val="0"/>
          <w:sz w:val="20"/>
          <w:rtl/>
        </w:rPr>
        <w:t xml:space="preserve"> أو أدلة جديدة، </w:t>
      </w:r>
      <w:r w:rsidRPr="003E698F">
        <w:rPr>
          <w:rFonts w:hint="cs"/>
          <w:spacing w:val="0"/>
          <w:kern w:val="0"/>
          <w:sz w:val="20"/>
          <w:rtl/>
        </w:rPr>
        <w:t>وأكدت مجدداً</w:t>
      </w:r>
      <w:r w:rsidRPr="003E698F">
        <w:rPr>
          <w:spacing w:val="0"/>
          <w:kern w:val="0"/>
          <w:sz w:val="20"/>
          <w:rtl/>
        </w:rPr>
        <w:t xml:space="preserve"> </w:t>
      </w:r>
      <w:r w:rsidRPr="003E698F">
        <w:rPr>
          <w:rFonts w:hint="cs"/>
          <w:spacing w:val="0"/>
          <w:kern w:val="0"/>
          <w:sz w:val="20"/>
          <w:rtl/>
        </w:rPr>
        <w:t>عدم مصداقية</w:t>
      </w:r>
      <w:r w:rsidRPr="003E698F">
        <w:rPr>
          <w:spacing w:val="0"/>
          <w:kern w:val="0"/>
          <w:sz w:val="20"/>
          <w:rtl/>
        </w:rPr>
        <w:t xml:space="preserve"> </w:t>
      </w:r>
      <w:r w:rsidRPr="003E698F">
        <w:rPr>
          <w:rFonts w:hint="cs"/>
          <w:spacing w:val="0"/>
          <w:kern w:val="0"/>
          <w:sz w:val="20"/>
          <w:rtl/>
        </w:rPr>
        <w:t>الادعاءات</w:t>
      </w:r>
      <w:r w:rsidRPr="003E698F">
        <w:rPr>
          <w:spacing w:val="0"/>
          <w:kern w:val="0"/>
          <w:sz w:val="20"/>
          <w:rtl/>
        </w:rPr>
        <w:t xml:space="preserve"> والأدلة المقدمة. </w:t>
      </w:r>
      <w:r w:rsidRPr="003E698F">
        <w:rPr>
          <w:rFonts w:hint="cs"/>
          <w:spacing w:val="0"/>
          <w:kern w:val="0"/>
          <w:sz w:val="20"/>
          <w:rtl/>
        </w:rPr>
        <w:t xml:space="preserve">ورأت </w:t>
      </w:r>
      <w:r w:rsidRPr="003E698F">
        <w:rPr>
          <w:spacing w:val="0"/>
          <w:kern w:val="0"/>
          <w:sz w:val="20"/>
          <w:rtl/>
        </w:rPr>
        <w:t>المحكمة الإدارية الاتحادي</w:t>
      </w:r>
      <w:r w:rsidRPr="003E698F">
        <w:rPr>
          <w:rFonts w:hint="cs"/>
          <w:spacing w:val="0"/>
          <w:kern w:val="0"/>
          <w:sz w:val="20"/>
          <w:rtl/>
        </w:rPr>
        <w:t>ة أن ال</w:t>
      </w:r>
      <w:r w:rsidRPr="003E698F">
        <w:rPr>
          <w:spacing w:val="0"/>
          <w:kern w:val="0"/>
          <w:sz w:val="20"/>
          <w:rtl/>
        </w:rPr>
        <w:t xml:space="preserve">قيمة </w:t>
      </w:r>
      <w:r w:rsidRPr="003E698F">
        <w:rPr>
          <w:rFonts w:hint="cs"/>
          <w:spacing w:val="0"/>
          <w:kern w:val="0"/>
          <w:sz w:val="20"/>
          <w:rtl/>
        </w:rPr>
        <w:t xml:space="preserve">الثبوتية للاستدعاءين اللذين قدمتهما صاحبة الشكوى ضعيفة للغاية، ولاحظت </w:t>
      </w:r>
      <w:r w:rsidRPr="003E698F">
        <w:rPr>
          <w:spacing w:val="0"/>
          <w:kern w:val="0"/>
          <w:sz w:val="20"/>
          <w:rtl/>
        </w:rPr>
        <w:t>أن</w:t>
      </w:r>
      <w:r w:rsidRPr="003E698F">
        <w:rPr>
          <w:rFonts w:hint="cs"/>
          <w:spacing w:val="0"/>
          <w:kern w:val="0"/>
          <w:sz w:val="20"/>
          <w:rtl/>
        </w:rPr>
        <w:t>هما</w:t>
      </w:r>
      <w:r w:rsidRPr="003E698F">
        <w:rPr>
          <w:spacing w:val="0"/>
          <w:kern w:val="0"/>
          <w:sz w:val="20"/>
          <w:rtl/>
        </w:rPr>
        <w:t xml:space="preserve"> ق</w:t>
      </w:r>
      <w:r w:rsidRPr="003E698F">
        <w:rPr>
          <w:rFonts w:hint="cs"/>
          <w:spacing w:val="0"/>
          <w:kern w:val="0"/>
          <w:sz w:val="20"/>
          <w:rtl/>
        </w:rPr>
        <w:t>ُ</w:t>
      </w:r>
      <w:r w:rsidRPr="003E698F">
        <w:rPr>
          <w:spacing w:val="0"/>
          <w:kern w:val="0"/>
          <w:sz w:val="20"/>
          <w:rtl/>
        </w:rPr>
        <w:t>د</w:t>
      </w:r>
      <w:r w:rsidRPr="003E698F">
        <w:rPr>
          <w:rFonts w:hint="cs"/>
          <w:spacing w:val="0"/>
          <w:kern w:val="0"/>
          <w:sz w:val="20"/>
          <w:rtl/>
        </w:rPr>
        <w:t>ِّ</w:t>
      </w:r>
      <w:r w:rsidRPr="003E698F">
        <w:rPr>
          <w:spacing w:val="0"/>
          <w:kern w:val="0"/>
          <w:sz w:val="20"/>
          <w:rtl/>
        </w:rPr>
        <w:t>م</w:t>
      </w:r>
      <w:r w:rsidRPr="003E698F">
        <w:rPr>
          <w:rFonts w:hint="cs"/>
          <w:spacing w:val="0"/>
          <w:kern w:val="0"/>
          <w:sz w:val="20"/>
          <w:rtl/>
        </w:rPr>
        <w:t>ا ف</w:t>
      </w:r>
      <w:r w:rsidRPr="003E698F">
        <w:rPr>
          <w:spacing w:val="0"/>
          <w:kern w:val="0"/>
          <w:sz w:val="20"/>
          <w:rtl/>
        </w:rPr>
        <w:t xml:space="preserve">ي عام 2005، </w:t>
      </w:r>
      <w:r w:rsidRPr="003E698F">
        <w:rPr>
          <w:rFonts w:hint="cs"/>
          <w:spacing w:val="0"/>
          <w:kern w:val="0"/>
          <w:sz w:val="20"/>
          <w:rtl/>
        </w:rPr>
        <w:t xml:space="preserve">أي بعد مرور حوالي </w:t>
      </w:r>
      <w:r w:rsidRPr="003E698F">
        <w:rPr>
          <w:spacing w:val="0"/>
          <w:kern w:val="0"/>
          <w:sz w:val="20"/>
          <w:rtl/>
        </w:rPr>
        <w:t xml:space="preserve">خمس سنوات </w:t>
      </w:r>
      <w:r w:rsidRPr="003E698F">
        <w:rPr>
          <w:rFonts w:hint="cs"/>
          <w:spacing w:val="0"/>
          <w:kern w:val="0"/>
          <w:sz w:val="20"/>
          <w:rtl/>
        </w:rPr>
        <w:t>على</w:t>
      </w:r>
      <w:r w:rsidRPr="003E698F">
        <w:rPr>
          <w:spacing w:val="0"/>
          <w:kern w:val="0"/>
          <w:sz w:val="20"/>
          <w:rtl/>
        </w:rPr>
        <w:t xml:space="preserve"> الأحدا</w:t>
      </w:r>
      <w:r w:rsidRPr="003E698F">
        <w:rPr>
          <w:rFonts w:hint="cs"/>
          <w:spacing w:val="0"/>
          <w:kern w:val="0"/>
          <w:sz w:val="20"/>
          <w:rtl/>
        </w:rPr>
        <w:t>ث المزعومة.</w:t>
      </w:r>
    </w:p>
    <w:p w:rsidR="00921F02" w:rsidRPr="003E698F" w:rsidRDefault="00921F02" w:rsidP="00921F02">
      <w:pPr>
        <w:pStyle w:val="SingleTxtGA"/>
        <w:jc w:val="lowKashida"/>
        <w:rPr>
          <w:spacing w:val="0"/>
          <w:kern w:val="0"/>
          <w:sz w:val="20"/>
        </w:rPr>
      </w:pPr>
      <w:r w:rsidRPr="003E698F">
        <w:rPr>
          <w:rFonts w:hint="cs"/>
          <w:spacing w:val="0"/>
          <w:kern w:val="0"/>
          <w:sz w:val="20"/>
          <w:rtl/>
        </w:rPr>
        <w:t>2-9</w:t>
      </w:r>
      <w:r w:rsidRPr="003E698F">
        <w:rPr>
          <w:rFonts w:hint="cs"/>
          <w:spacing w:val="0"/>
          <w:kern w:val="0"/>
          <w:sz w:val="20"/>
          <w:rtl/>
        </w:rPr>
        <w:tab/>
        <w:t xml:space="preserve">وفي </w:t>
      </w:r>
      <w:r w:rsidRPr="003E698F">
        <w:rPr>
          <w:spacing w:val="0"/>
          <w:kern w:val="0"/>
          <w:sz w:val="20"/>
          <w:rtl/>
        </w:rPr>
        <w:t xml:space="preserve">18 </w:t>
      </w:r>
      <w:r w:rsidRPr="003E698F">
        <w:rPr>
          <w:rFonts w:hint="cs"/>
          <w:spacing w:val="0"/>
          <w:kern w:val="0"/>
          <w:sz w:val="20"/>
          <w:rtl/>
        </w:rPr>
        <w:t>تموز/</w:t>
      </w:r>
      <w:r w:rsidRPr="003E698F">
        <w:rPr>
          <w:spacing w:val="0"/>
          <w:kern w:val="0"/>
          <w:sz w:val="20"/>
          <w:rtl/>
        </w:rPr>
        <w:t>يولي</w:t>
      </w:r>
      <w:r w:rsidRPr="003E698F">
        <w:rPr>
          <w:rFonts w:hint="cs"/>
          <w:spacing w:val="0"/>
          <w:kern w:val="0"/>
          <w:sz w:val="20"/>
          <w:rtl/>
        </w:rPr>
        <w:t>ه</w:t>
      </w:r>
      <w:r w:rsidRPr="003E698F">
        <w:rPr>
          <w:spacing w:val="0"/>
          <w:kern w:val="0"/>
          <w:sz w:val="20"/>
          <w:rtl/>
        </w:rPr>
        <w:t xml:space="preserve"> 2008، رفض</w:t>
      </w:r>
      <w:r w:rsidRPr="003E698F">
        <w:rPr>
          <w:rFonts w:hint="cs"/>
          <w:spacing w:val="0"/>
          <w:kern w:val="0"/>
          <w:sz w:val="20"/>
          <w:rtl/>
        </w:rPr>
        <w:t>ت المحكمة الإدارية الاتحادية م</w:t>
      </w:r>
      <w:r w:rsidRPr="003E698F">
        <w:rPr>
          <w:spacing w:val="0"/>
          <w:kern w:val="0"/>
          <w:sz w:val="20"/>
          <w:rtl/>
        </w:rPr>
        <w:t xml:space="preserve">رة أخرى </w:t>
      </w:r>
      <w:r w:rsidRPr="003E698F">
        <w:rPr>
          <w:rFonts w:hint="cs"/>
          <w:spacing w:val="0"/>
          <w:kern w:val="0"/>
          <w:sz w:val="20"/>
          <w:rtl/>
        </w:rPr>
        <w:t>الطعن المقدم من صاحبة الشكوى لأنها لم تسدد الدفعة المقدمة من الرسوم الإجرائية.</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2-10</w:t>
      </w:r>
      <w:r w:rsidRPr="003E698F">
        <w:rPr>
          <w:rFonts w:hint="cs"/>
          <w:spacing w:val="0"/>
          <w:kern w:val="0"/>
          <w:sz w:val="20"/>
          <w:rtl/>
        </w:rPr>
        <w:tab/>
        <w:t>وأكدت صاحبة الشكوى أمام</w:t>
      </w:r>
      <w:r w:rsidRPr="003E698F">
        <w:rPr>
          <w:spacing w:val="0"/>
          <w:kern w:val="0"/>
          <w:sz w:val="20"/>
          <w:rtl/>
        </w:rPr>
        <w:t xml:space="preserve"> اللجنة</w:t>
      </w:r>
      <w:r w:rsidRPr="003E698F">
        <w:rPr>
          <w:rFonts w:hint="cs"/>
          <w:spacing w:val="0"/>
          <w:kern w:val="0"/>
          <w:sz w:val="20"/>
          <w:rtl/>
        </w:rPr>
        <w:t xml:space="preserve"> أنها تملك أسباباً وجيهة لطلب اللجوء</w:t>
      </w:r>
      <w:r w:rsidRPr="003E698F">
        <w:rPr>
          <w:spacing w:val="0"/>
          <w:kern w:val="0"/>
          <w:sz w:val="20"/>
          <w:rtl/>
        </w:rPr>
        <w:t xml:space="preserve">. </w:t>
      </w:r>
      <w:r w:rsidRPr="003E698F">
        <w:rPr>
          <w:rFonts w:hint="cs"/>
          <w:spacing w:val="0"/>
          <w:kern w:val="0"/>
          <w:sz w:val="20"/>
          <w:rtl/>
        </w:rPr>
        <w:t>وادعت أ</w:t>
      </w:r>
      <w:r w:rsidRPr="003E698F">
        <w:rPr>
          <w:spacing w:val="0"/>
          <w:kern w:val="0"/>
          <w:sz w:val="20"/>
          <w:rtl/>
        </w:rPr>
        <w:t xml:space="preserve">نها تخشى </w:t>
      </w:r>
      <w:r w:rsidRPr="003E698F">
        <w:rPr>
          <w:rFonts w:hint="cs"/>
          <w:spacing w:val="0"/>
          <w:kern w:val="0"/>
          <w:sz w:val="20"/>
          <w:rtl/>
        </w:rPr>
        <w:t>التعرض للا</w:t>
      </w:r>
      <w:r w:rsidRPr="003E698F">
        <w:rPr>
          <w:spacing w:val="0"/>
          <w:kern w:val="0"/>
          <w:sz w:val="20"/>
          <w:rtl/>
        </w:rPr>
        <w:t xml:space="preserve">عتقال والتعذيب والاغتصاب إذا </w:t>
      </w:r>
      <w:r w:rsidRPr="003E698F">
        <w:rPr>
          <w:rFonts w:hint="cs"/>
          <w:spacing w:val="0"/>
          <w:kern w:val="0"/>
          <w:sz w:val="20"/>
          <w:rtl/>
        </w:rPr>
        <w:t>أُعيدت</w:t>
      </w:r>
      <w:r w:rsidRPr="003E698F">
        <w:rPr>
          <w:spacing w:val="0"/>
          <w:kern w:val="0"/>
          <w:sz w:val="20"/>
          <w:rtl/>
        </w:rPr>
        <w:t xml:space="preserve"> إلى جمهورية الكونغو الديمقراطية. </w:t>
      </w:r>
      <w:r w:rsidRPr="003E698F">
        <w:rPr>
          <w:rFonts w:hint="cs"/>
          <w:spacing w:val="0"/>
          <w:kern w:val="0"/>
          <w:sz w:val="20"/>
          <w:rtl/>
        </w:rPr>
        <w:t>وقالت إن</w:t>
      </w:r>
      <w:r w:rsidRPr="003E698F">
        <w:rPr>
          <w:spacing w:val="0"/>
          <w:kern w:val="0"/>
          <w:sz w:val="20"/>
          <w:rtl/>
        </w:rPr>
        <w:t>ه</w:t>
      </w:r>
      <w:r w:rsidRPr="003E698F">
        <w:rPr>
          <w:rFonts w:hint="cs"/>
          <w:spacing w:val="0"/>
          <w:kern w:val="0"/>
          <w:sz w:val="20"/>
          <w:rtl/>
        </w:rPr>
        <w:t xml:space="preserve">ا ستودع السجن مباشرة </w:t>
      </w:r>
      <w:r w:rsidRPr="003E698F">
        <w:rPr>
          <w:spacing w:val="0"/>
          <w:kern w:val="0"/>
          <w:sz w:val="20"/>
          <w:rtl/>
        </w:rPr>
        <w:t>حال</w:t>
      </w:r>
      <w:r w:rsidRPr="003E698F">
        <w:rPr>
          <w:rFonts w:hint="cs"/>
          <w:spacing w:val="0"/>
          <w:kern w:val="0"/>
          <w:sz w:val="20"/>
          <w:rtl/>
        </w:rPr>
        <w:t xml:space="preserve"> </w:t>
      </w:r>
      <w:r w:rsidRPr="003E698F">
        <w:rPr>
          <w:spacing w:val="0"/>
          <w:kern w:val="0"/>
          <w:sz w:val="20"/>
          <w:rtl/>
        </w:rPr>
        <w:t>عود</w:t>
      </w:r>
      <w:r w:rsidRPr="003E698F">
        <w:rPr>
          <w:rFonts w:hint="cs"/>
          <w:spacing w:val="0"/>
          <w:kern w:val="0"/>
          <w:sz w:val="20"/>
          <w:rtl/>
        </w:rPr>
        <w:t>تها</w:t>
      </w:r>
      <w:r w:rsidRPr="003E698F">
        <w:rPr>
          <w:spacing w:val="0"/>
          <w:kern w:val="0"/>
          <w:sz w:val="20"/>
          <w:rtl/>
        </w:rPr>
        <w:t>، و</w:t>
      </w:r>
      <w:r w:rsidRPr="003E698F">
        <w:rPr>
          <w:rFonts w:hint="cs"/>
          <w:spacing w:val="0"/>
          <w:kern w:val="0"/>
          <w:sz w:val="20"/>
          <w:rtl/>
        </w:rPr>
        <w:t>أ</w:t>
      </w:r>
      <w:r w:rsidRPr="003E698F">
        <w:rPr>
          <w:spacing w:val="0"/>
          <w:kern w:val="0"/>
          <w:sz w:val="20"/>
          <w:rtl/>
        </w:rPr>
        <w:t>ن</w:t>
      </w:r>
      <w:r w:rsidRPr="003E698F">
        <w:rPr>
          <w:rFonts w:hint="cs"/>
          <w:spacing w:val="0"/>
          <w:kern w:val="0"/>
          <w:sz w:val="20"/>
          <w:rtl/>
        </w:rPr>
        <w:t xml:space="preserve">ها تخشى أن تتعرض في السجن للاغتصاب </w:t>
      </w:r>
      <w:r w:rsidRPr="003E698F">
        <w:rPr>
          <w:spacing w:val="0"/>
          <w:kern w:val="0"/>
          <w:sz w:val="20"/>
          <w:rtl/>
        </w:rPr>
        <w:t>والعمل القسري</w:t>
      </w:r>
      <w:r w:rsidRPr="003E698F">
        <w:rPr>
          <w:rFonts w:hint="cs"/>
          <w:spacing w:val="0"/>
          <w:kern w:val="0"/>
          <w:sz w:val="20"/>
          <w:rtl/>
        </w:rPr>
        <w:t xml:space="preserve"> والإصابة ب</w:t>
      </w:r>
      <w:r w:rsidRPr="003E698F">
        <w:rPr>
          <w:spacing w:val="0"/>
          <w:kern w:val="0"/>
          <w:sz w:val="20"/>
          <w:rtl/>
        </w:rPr>
        <w:t xml:space="preserve">أمراض خطيرة. </w:t>
      </w:r>
      <w:r w:rsidRPr="003E698F">
        <w:rPr>
          <w:rFonts w:hint="cs"/>
          <w:spacing w:val="0"/>
          <w:kern w:val="0"/>
          <w:sz w:val="20"/>
          <w:rtl/>
        </w:rPr>
        <w:t>وأضافت</w:t>
      </w:r>
      <w:r w:rsidRPr="003E698F">
        <w:rPr>
          <w:spacing w:val="0"/>
          <w:kern w:val="0"/>
          <w:sz w:val="20"/>
          <w:rtl/>
        </w:rPr>
        <w:t xml:space="preserve"> أن</w:t>
      </w:r>
      <w:r w:rsidRPr="003E698F">
        <w:rPr>
          <w:rFonts w:hint="cs"/>
          <w:spacing w:val="0"/>
          <w:kern w:val="0"/>
          <w:sz w:val="20"/>
          <w:rtl/>
        </w:rPr>
        <w:t xml:space="preserve"> والدتها تعرضت للتهديد أيضاً واضطرت إ</w:t>
      </w:r>
      <w:r w:rsidRPr="003E698F">
        <w:rPr>
          <w:spacing w:val="0"/>
          <w:kern w:val="0"/>
          <w:sz w:val="20"/>
          <w:rtl/>
        </w:rPr>
        <w:t>لى مغادرة كينشاسا</w:t>
      </w:r>
      <w:r w:rsidRPr="003E698F">
        <w:rPr>
          <w:rFonts w:hint="cs"/>
          <w:spacing w:val="0"/>
          <w:kern w:val="0"/>
          <w:sz w:val="20"/>
          <w:rtl/>
        </w:rPr>
        <w:t xml:space="preserve">، وأنه لم يعد لها أهل </w:t>
      </w:r>
      <w:r w:rsidRPr="003E698F">
        <w:rPr>
          <w:spacing w:val="0"/>
          <w:kern w:val="0"/>
          <w:sz w:val="20"/>
          <w:rtl/>
        </w:rPr>
        <w:t>في كينشاسا، و</w:t>
      </w:r>
      <w:r w:rsidRPr="003E698F">
        <w:rPr>
          <w:rFonts w:hint="cs"/>
          <w:spacing w:val="0"/>
          <w:kern w:val="0"/>
          <w:sz w:val="20"/>
          <w:rtl/>
        </w:rPr>
        <w:t>أنها لن تجد هناك من يقدم لها ال</w:t>
      </w:r>
      <w:r w:rsidRPr="003E698F">
        <w:rPr>
          <w:spacing w:val="0"/>
          <w:kern w:val="0"/>
          <w:sz w:val="20"/>
          <w:rtl/>
        </w:rPr>
        <w:t xml:space="preserve">دعم </w:t>
      </w:r>
      <w:r w:rsidRPr="003E698F">
        <w:rPr>
          <w:rFonts w:hint="cs"/>
          <w:spacing w:val="0"/>
          <w:kern w:val="0"/>
          <w:sz w:val="20"/>
          <w:rtl/>
        </w:rPr>
        <w:t>ال</w:t>
      </w:r>
      <w:r w:rsidRPr="003E698F">
        <w:rPr>
          <w:spacing w:val="0"/>
          <w:kern w:val="0"/>
          <w:sz w:val="20"/>
          <w:rtl/>
        </w:rPr>
        <w:t>مادي و</w:t>
      </w:r>
      <w:r w:rsidRPr="003E698F">
        <w:rPr>
          <w:rFonts w:hint="cs"/>
          <w:spacing w:val="0"/>
          <w:kern w:val="0"/>
          <w:sz w:val="20"/>
          <w:rtl/>
        </w:rPr>
        <w:t>ال</w:t>
      </w:r>
      <w:r w:rsidRPr="003E698F">
        <w:rPr>
          <w:spacing w:val="0"/>
          <w:kern w:val="0"/>
          <w:sz w:val="20"/>
          <w:rtl/>
        </w:rPr>
        <w:t xml:space="preserve">معنوي في حين أنها </w:t>
      </w:r>
      <w:r w:rsidRPr="003E698F">
        <w:rPr>
          <w:rFonts w:hint="cs"/>
          <w:spacing w:val="0"/>
          <w:kern w:val="0"/>
          <w:sz w:val="20"/>
          <w:rtl/>
        </w:rPr>
        <w:t xml:space="preserve">تملك </w:t>
      </w:r>
      <w:r w:rsidRPr="003E698F">
        <w:rPr>
          <w:spacing w:val="0"/>
          <w:kern w:val="0"/>
          <w:sz w:val="20"/>
          <w:rtl/>
        </w:rPr>
        <w:t xml:space="preserve">في سويسرا شبكة </w:t>
      </w:r>
      <w:r w:rsidRPr="003E698F">
        <w:rPr>
          <w:rFonts w:hint="cs"/>
          <w:spacing w:val="0"/>
          <w:kern w:val="0"/>
          <w:sz w:val="20"/>
          <w:rtl/>
        </w:rPr>
        <w:t>من العلاقات ال</w:t>
      </w:r>
      <w:r w:rsidRPr="003E698F">
        <w:rPr>
          <w:spacing w:val="0"/>
          <w:kern w:val="0"/>
          <w:sz w:val="20"/>
          <w:rtl/>
        </w:rPr>
        <w:t>اجتماعية، و</w:t>
      </w:r>
      <w:r w:rsidRPr="003E698F">
        <w:rPr>
          <w:rFonts w:hint="cs"/>
          <w:spacing w:val="0"/>
          <w:kern w:val="0"/>
          <w:sz w:val="20"/>
          <w:rtl/>
        </w:rPr>
        <w:t>لديها سكن و</w:t>
      </w:r>
      <w:r w:rsidRPr="003E698F">
        <w:rPr>
          <w:spacing w:val="0"/>
          <w:kern w:val="0"/>
          <w:sz w:val="20"/>
          <w:rtl/>
        </w:rPr>
        <w:t xml:space="preserve">تأمين صحي، </w:t>
      </w:r>
      <w:r w:rsidRPr="003E698F">
        <w:rPr>
          <w:rFonts w:hint="cs"/>
          <w:spacing w:val="0"/>
          <w:kern w:val="0"/>
          <w:sz w:val="20"/>
          <w:rtl/>
        </w:rPr>
        <w:t xml:space="preserve">فضلاً عن أنها تحصل على معونة </w:t>
      </w:r>
      <w:r w:rsidRPr="003E698F">
        <w:rPr>
          <w:spacing w:val="0"/>
          <w:kern w:val="0"/>
          <w:sz w:val="20"/>
          <w:rtl/>
        </w:rPr>
        <w:t xml:space="preserve">اجتماعية. </w:t>
      </w:r>
      <w:r w:rsidRPr="003E698F">
        <w:rPr>
          <w:rFonts w:hint="cs"/>
          <w:spacing w:val="0"/>
          <w:kern w:val="0"/>
          <w:sz w:val="20"/>
          <w:rtl/>
        </w:rPr>
        <w:t>و</w:t>
      </w:r>
      <w:r w:rsidRPr="003E698F">
        <w:rPr>
          <w:spacing w:val="0"/>
          <w:kern w:val="0"/>
          <w:sz w:val="20"/>
          <w:rtl/>
        </w:rPr>
        <w:t>في رسال</w:t>
      </w:r>
      <w:r w:rsidRPr="003E698F">
        <w:rPr>
          <w:rFonts w:hint="cs"/>
          <w:spacing w:val="0"/>
          <w:kern w:val="0"/>
          <w:sz w:val="20"/>
          <w:rtl/>
        </w:rPr>
        <w:t xml:space="preserve">ة مؤرخة </w:t>
      </w:r>
      <w:r w:rsidRPr="003E698F">
        <w:rPr>
          <w:spacing w:val="0"/>
          <w:kern w:val="0"/>
          <w:sz w:val="20"/>
          <w:rtl/>
        </w:rPr>
        <w:t>21 آب</w:t>
      </w:r>
      <w:r w:rsidRPr="003E698F">
        <w:rPr>
          <w:rFonts w:hint="cs"/>
          <w:spacing w:val="0"/>
          <w:kern w:val="0"/>
          <w:sz w:val="20"/>
          <w:rtl/>
        </w:rPr>
        <w:t>/أغسطس</w:t>
      </w:r>
      <w:r w:rsidRPr="003E698F">
        <w:rPr>
          <w:spacing w:val="0"/>
          <w:kern w:val="0"/>
          <w:sz w:val="20"/>
          <w:rtl/>
        </w:rPr>
        <w:t xml:space="preserve"> 2008، </w:t>
      </w:r>
      <w:r w:rsidRPr="003E698F">
        <w:rPr>
          <w:rFonts w:hint="cs"/>
          <w:spacing w:val="0"/>
          <w:kern w:val="0"/>
          <w:sz w:val="20"/>
          <w:rtl/>
        </w:rPr>
        <w:t>أكدت صاحبة الشكوى مجدداً أنها تعاني من ال</w:t>
      </w:r>
      <w:r w:rsidRPr="003E698F">
        <w:rPr>
          <w:spacing w:val="0"/>
          <w:kern w:val="0"/>
          <w:sz w:val="20"/>
          <w:rtl/>
        </w:rPr>
        <w:t xml:space="preserve">اكتئاب </w:t>
      </w:r>
      <w:r w:rsidRPr="003E698F">
        <w:rPr>
          <w:rFonts w:hint="cs"/>
          <w:spacing w:val="0"/>
          <w:kern w:val="0"/>
          <w:sz w:val="20"/>
          <w:rtl/>
        </w:rPr>
        <w:t>وتخضع لعل</w:t>
      </w:r>
      <w:r w:rsidRPr="003E698F">
        <w:rPr>
          <w:spacing w:val="0"/>
          <w:kern w:val="0"/>
          <w:sz w:val="20"/>
          <w:rtl/>
        </w:rPr>
        <w:t>اج</w:t>
      </w:r>
      <w:r w:rsidRPr="003E698F">
        <w:rPr>
          <w:rFonts w:hint="cs"/>
          <w:spacing w:val="0"/>
          <w:kern w:val="0"/>
          <w:sz w:val="20"/>
          <w:rtl/>
        </w:rPr>
        <w:t xml:space="preserve"> </w:t>
      </w:r>
      <w:r w:rsidRPr="003E698F">
        <w:rPr>
          <w:spacing w:val="0"/>
          <w:kern w:val="0"/>
          <w:sz w:val="20"/>
          <w:rtl/>
        </w:rPr>
        <w:t>طبي</w:t>
      </w:r>
      <w:r w:rsidRPr="003E698F">
        <w:rPr>
          <w:rFonts w:hint="cs"/>
          <w:spacing w:val="0"/>
          <w:kern w:val="0"/>
          <w:sz w:val="20"/>
          <w:rtl/>
        </w:rPr>
        <w:t>.</w:t>
      </w:r>
    </w:p>
    <w:p w:rsidR="00921F02" w:rsidRPr="003E698F" w:rsidRDefault="00921F02" w:rsidP="00921F02">
      <w:pPr>
        <w:pStyle w:val="H23GA"/>
        <w:jc w:val="lowKashida"/>
        <w:rPr>
          <w:spacing w:val="0"/>
          <w:kern w:val="0"/>
          <w:sz w:val="20"/>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الشكوى</w:t>
      </w:r>
    </w:p>
    <w:p w:rsidR="00921F02" w:rsidRPr="003E698F" w:rsidRDefault="00921F02" w:rsidP="00921F02">
      <w:pPr>
        <w:pStyle w:val="SingleTxtGA"/>
        <w:jc w:val="lowKashida"/>
        <w:rPr>
          <w:spacing w:val="0"/>
          <w:kern w:val="0"/>
          <w:sz w:val="20"/>
          <w:rtl/>
        </w:rPr>
      </w:pPr>
      <w:r w:rsidRPr="003E698F">
        <w:rPr>
          <w:rFonts w:hint="cs"/>
          <w:spacing w:val="0"/>
          <w:kern w:val="0"/>
          <w:sz w:val="20"/>
          <w:rtl/>
        </w:rPr>
        <w:t>3-1</w:t>
      </w:r>
      <w:r w:rsidRPr="003E698F">
        <w:rPr>
          <w:rFonts w:hint="cs"/>
          <w:spacing w:val="0"/>
          <w:kern w:val="0"/>
          <w:sz w:val="20"/>
          <w:rtl/>
        </w:rPr>
        <w:tab/>
        <w:t>تدعي صاحبة البلاغ أن ترحيلها</w:t>
      </w:r>
      <w:r w:rsidRPr="003E698F">
        <w:rPr>
          <w:spacing w:val="0"/>
          <w:kern w:val="0"/>
          <w:sz w:val="20"/>
          <w:rtl/>
        </w:rPr>
        <w:t xml:space="preserve"> من سويسرا إلى جمهورية الكونغو الديمقراطية </w:t>
      </w:r>
      <w:r w:rsidRPr="003E698F">
        <w:rPr>
          <w:rFonts w:hint="cs"/>
          <w:spacing w:val="0"/>
          <w:kern w:val="0"/>
          <w:sz w:val="20"/>
          <w:rtl/>
        </w:rPr>
        <w:t>سيشكل انتهاكاً ل</w:t>
      </w:r>
      <w:r w:rsidRPr="003E698F">
        <w:rPr>
          <w:spacing w:val="0"/>
          <w:kern w:val="0"/>
          <w:sz w:val="20"/>
          <w:rtl/>
        </w:rPr>
        <w:t xml:space="preserve">لمادة 3 من الاتفاقية، </w:t>
      </w:r>
      <w:r w:rsidRPr="003E698F">
        <w:rPr>
          <w:rFonts w:hint="cs"/>
          <w:spacing w:val="0"/>
          <w:kern w:val="0"/>
          <w:sz w:val="20"/>
          <w:rtl/>
        </w:rPr>
        <w:t xml:space="preserve">لأن هناك </w:t>
      </w:r>
      <w:r w:rsidRPr="003E698F">
        <w:rPr>
          <w:spacing w:val="0"/>
          <w:kern w:val="0"/>
          <w:sz w:val="20"/>
          <w:rtl/>
        </w:rPr>
        <w:t>أسباب</w:t>
      </w:r>
      <w:r w:rsidRPr="003E698F">
        <w:rPr>
          <w:rFonts w:hint="cs"/>
          <w:spacing w:val="0"/>
          <w:kern w:val="0"/>
          <w:sz w:val="20"/>
          <w:rtl/>
        </w:rPr>
        <w:t>اً</w:t>
      </w:r>
      <w:r w:rsidRPr="003E698F">
        <w:rPr>
          <w:spacing w:val="0"/>
          <w:kern w:val="0"/>
          <w:sz w:val="20"/>
          <w:rtl/>
        </w:rPr>
        <w:t xml:space="preserve"> وجيهة</w:t>
      </w:r>
      <w:r w:rsidRPr="003E698F">
        <w:rPr>
          <w:rFonts w:hint="cs"/>
          <w:spacing w:val="0"/>
          <w:kern w:val="0"/>
          <w:sz w:val="20"/>
          <w:rtl/>
        </w:rPr>
        <w:t xml:space="preserve"> تدعو إلى ال</w:t>
      </w:r>
      <w:r w:rsidRPr="003E698F">
        <w:rPr>
          <w:spacing w:val="0"/>
          <w:kern w:val="0"/>
          <w:sz w:val="20"/>
          <w:rtl/>
        </w:rPr>
        <w:t xml:space="preserve">اعتقاد </w:t>
      </w:r>
      <w:r w:rsidRPr="003E698F">
        <w:rPr>
          <w:rFonts w:hint="cs"/>
          <w:spacing w:val="0"/>
          <w:kern w:val="0"/>
          <w:sz w:val="20"/>
          <w:rtl/>
        </w:rPr>
        <w:t>ب</w:t>
      </w:r>
      <w:r w:rsidRPr="003E698F">
        <w:rPr>
          <w:spacing w:val="0"/>
          <w:kern w:val="0"/>
          <w:sz w:val="20"/>
          <w:rtl/>
        </w:rPr>
        <w:t>أن</w:t>
      </w:r>
      <w:r w:rsidRPr="003E698F">
        <w:rPr>
          <w:rFonts w:hint="cs"/>
          <w:spacing w:val="0"/>
          <w:kern w:val="0"/>
          <w:sz w:val="20"/>
          <w:rtl/>
        </w:rPr>
        <w:t>ها</w:t>
      </w:r>
      <w:r w:rsidRPr="003E698F">
        <w:rPr>
          <w:spacing w:val="0"/>
          <w:kern w:val="0"/>
          <w:sz w:val="20"/>
          <w:rtl/>
        </w:rPr>
        <w:t xml:space="preserve"> </w:t>
      </w:r>
      <w:r w:rsidRPr="003E698F">
        <w:rPr>
          <w:rFonts w:hint="cs"/>
          <w:spacing w:val="0"/>
          <w:kern w:val="0"/>
          <w:sz w:val="20"/>
          <w:rtl/>
        </w:rPr>
        <w:t xml:space="preserve">ستتعرض </w:t>
      </w:r>
      <w:r w:rsidRPr="003E698F">
        <w:rPr>
          <w:spacing w:val="0"/>
          <w:kern w:val="0"/>
          <w:sz w:val="20"/>
          <w:rtl/>
        </w:rPr>
        <w:t xml:space="preserve">للتعذيب </w:t>
      </w:r>
      <w:r w:rsidRPr="003E698F">
        <w:rPr>
          <w:rFonts w:hint="cs"/>
          <w:spacing w:val="0"/>
          <w:kern w:val="0"/>
          <w:sz w:val="20"/>
          <w:rtl/>
        </w:rPr>
        <w:t>في حال إعادتها.</w:t>
      </w:r>
    </w:p>
    <w:p w:rsidR="00921F02" w:rsidRPr="003E698F" w:rsidRDefault="00921F02" w:rsidP="00921F02">
      <w:pPr>
        <w:pStyle w:val="H23GA"/>
        <w:jc w:val="lowKashida"/>
        <w:rPr>
          <w:spacing w:val="0"/>
          <w:kern w:val="0"/>
          <w:sz w:val="20"/>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ملاحظات الدولة الطرف بشأن الأسس الموضوعية</w:t>
      </w:r>
    </w:p>
    <w:p w:rsidR="00921F02" w:rsidRPr="003E698F" w:rsidRDefault="00921F02" w:rsidP="00921F02">
      <w:pPr>
        <w:pStyle w:val="SingleTxtGA"/>
        <w:jc w:val="lowKashida"/>
        <w:rPr>
          <w:spacing w:val="0"/>
          <w:kern w:val="0"/>
          <w:sz w:val="20"/>
        </w:rPr>
      </w:pPr>
      <w:r w:rsidRPr="003E698F">
        <w:rPr>
          <w:rFonts w:hint="cs"/>
          <w:spacing w:val="0"/>
          <w:kern w:val="0"/>
          <w:sz w:val="20"/>
          <w:rtl/>
        </w:rPr>
        <w:t>4-1</w:t>
      </w:r>
      <w:r w:rsidRPr="003E698F">
        <w:rPr>
          <w:rFonts w:hint="cs"/>
          <w:spacing w:val="0"/>
          <w:kern w:val="0"/>
          <w:sz w:val="20"/>
          <w:rtl/>
        </w:rPr>
        <w:tab/>
      </w:r>
      <w:r w:rsidRPr="003E698F">
        <w:rPr>
          <w:spacing w:val="0"/>
          <w:kern w:val="0"/>
          <w:sz w:val="20"/>
          <w:rtl/>
        </w:rPr>
        <w:t>في 22 كانون الثاني</w:t>
      </w:r>
      <w:r w:rsidRPr="003E698F">
        <w:rPr>
          <w:rFonts w:hint="cs"/>
          <w:spacing w:val="0"/>
          <w:kern w:val="0"/>
          <w:sz w:val="20"/>
          <w:rtl/>
        </w:rPr>
        <w:t>/يناير</w:t>
      </w:r>
      <w:r w:rsidRPr="003E698F">
        <w:rPr>
          <w:spacing w:val="0"/>
          <w:kern w:val="0"/>
          <w:sz w:val="20"/>
          <w:rtl/>
        </w:rPr>
        <w:t xml:space="preserve"> 2009، قدمت الدولة الطرف ملاحظاتها </w:t>
      </w:r>
      <w:r w:rsidRPr="003E698F">
        <w:rPr>
          <w:rFonts w:hint="cs"/>
          <w:spacing w:val="0"/>
          <w:kern w:val="0"/>
          <w:sz w:val="20"/>
          <w:rtl/>
        </w:rPr>
        <w:t>بشأن</w:t>
      </w:r>
      <w:r w:rsidRPr="003E698F">
        <w:rPr>
          <w:spacing w:val="0"/>
          <w:kern w:val="0"/>
          <w:sz w:val="20"/>
          <w:rtl/>
        </w:rPr>
        <w:t xml:space="preserve"> الأسس الموضوعية للبلاغ. </w:t>
      </w:r>
      <w:r w:rsidRPr="003E698F">
        <w:rPr>
          <w:rFonts w:hint="cs"/>
          <w:spacing w:val="0"/>
          <w:kern w:val="0"/>
          <w:sz w:val="20"/>
          <w:rtl/>
        </w:rPr>
        <w:t xml:space="preserve">وادعت </w:t>
      </w:r>
      <w:r w:rsidRPr="003E698F">
        <w:rPr>
          <w:spacing w:val="0"/>
          <w:kern w:val="0"/>
          <w:sz w:val="20"/>
          <w:rtl/>
        </w:rPr>
        <w:t>أن</w:t>
      </w:r>
      <w:r w:rsidRPr="003E698F">
        <w:rPr>
          <w:rFonts w:hint="cs"/>
          <w:spacing w:val="0"/>
          <w:kern w:val="0"/>
          <w:sz w:val="20"/>
          <w:rtl/>
        </w:rPr>
        <w:t xml:space="preserve"> صاحبة الشكوى لم تقدم ما يثبت أنها تواجه</w:t>
      </w:r>
      <w:r w:rsidRPr="003E698F">
        <w:rPr>
          <w:spacing w:val="0"/>
          <w:kern w:val="0"/>
          <w:sz w:val="20"/>
          <w:rtl/>
        </w:rPr>
        <w:t xml:space="preserve"> شخصيا</w:t>
      </w:r>
      <w:r w:rsidRPr="003E698F">
        <w:rPr>
          <w:rFonts w:hint="cs"/>
          <w:spacing w:val="0"/>
          <w:kern w:val="0"/>
          <w:sz w:val="20"/>
          <w:rtl/>
        </w:rPr>
        <w:t>ً</w:t>
      </w:r>
      <w:r w:rsidRPr="003E698F">
        <w:rPr>
          <w:spacing w:val="0"/>
          <w:kern w:val="0"/>
          <w:sz w:val="20"/>
          <w:rtl/>
        </w:rPr>
        <w:t xml:space="preserve"> خطر</w:t>
      </w:r>
      <w:r w:rsidRPr="003E698F">
        <w:rPr>
          <w:rFonts w:hint="cs"/>
          <w:spacing w:val="0"/>
          <w:kern w:val="0"/>
          <w:sz w:val="20"/>
          <w:rtl/>
        </w:rPr>
        <w:t>اً</w:t>
      </w:r>
      <w:r w:rsidRPr="003E698F">
        <w:rPr>
          <w:spacing w:val="0"/>
          <w:kern w:val="0"/>
          <w:sz w:val="20"/>
          <w:rtl/>
        </w:rPr>
        <w:t xml:space="preserve"> حقيقي</w:t>
      </w:r>
      <w:r w:rsidRPr="003E698F">
        <w:rPr>
          <w:rFonts w:hint="cs"/>
          <w:spacing w:val="0"/>
          <w:kern w:val="0"/>
          <w:sz w:val="20"/>
          <w:rtl/>
        </w:rPr>
        <w:t>اً</w:t>
      </w:r>
      <w:r w:rsidRPr="003E698F">
        <w:rPr>
          <w:spacing w:val="0"/>
          <w:kern w:val="0"/>
          <w:sz w:val="20"/>
          <w:rtl/>
        </w:rPr>
        <w:t xml:space="preserve"> ومحدق</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 xml:space="preserve">يتمثل في تعرضها </w:t>
      </w:r>
      <w:r w:rsidRPr="003E698F">
        <w:rPr>
          <w:spacing w:val="0"/>
          <w:kern w:val="0"/>
          <w:sz w:val="20"/>
          <w:rtl/>
        </w:rPr>
        <w:t>للتعذيب</w:t>
      </w:r>
      <w:r w:rsidRPr="003E698F">
        <w:rPr>
          <w:rFonts w:hint="cs"/>
          <w:spacing w:val="0"/>
          <w:kern w:val="0"/>
          <w:sz w:val="20"/>
          <w:rtl/>
        </w:rPr>
        <w:t xml:space="preserve"> عند عودتها إلى جمهورية الكونغو الديمقراطية. وقالت الدولة الطرف إنها تعي حالة </w:t>
      </w:r>
      <w:r w:rsidRPr="003E698F">
        <w:rPr>
          <w:spacing w:val="0"/>
          <w:kern w:val="0"/>
          <w:sz w:val="20"/>
          <w:rtl/>
        </w:rPr>
        <w:t xml:space="preserve">حقوق الإنسان في جمهورية الكونغو الديمقراطية، </w:t>
      </w:r>
      <w:r w:rsidRPr="003E698F">
        <w:rPr>
          <w:rFonts w:hint="cs"/>
          <w:spacing w:val="0"/>
          <w:kern w:val="0"/>
          <w:sz w:val="20"/>
          <w:rtl/>
        </w:rPr>
        <w:t xml:space="preserve">وأشارت </w:t>
      </w:r>
      <w:r w:rsidRPr="003E698F">
        <w:rPr>
          <w:spacing w:val="0"/>
          <w:kern w:val="0"/>
          <w:sz w:val="20"/>
          <w:rtl/>
        </w:rPr>
        <w:t>إلى التعليق العام</w:t>
      </w:r>
      <w:r w:rsidRPr="003E698F">
        <w:rPr>
          <w:rFonts w:hint="cs"/>
          <w:spacing w:val="0"/>
          <w:kern w:val="0"/>
          <w:sz w:val="20"/>
          <w:rtl/>
        </w:rPr>
        <w:t xml:space="preserve"> للجنة</w:t>
      </w:r>
      <w:r w:rsidRPr="003E698F">
        <w:rPr>
          <w:spacing w:val="0"/>
          <w:kern w:val="0"/>
          <w:sz w:val="20"/>
          <w:rtl/>
        </w:rPr>
        <w:t xml:space="preserve"> رقم</w:t>
      </w:r>
      <w:r w:rsidRPr="003E698F">
        <w:rPr>
          <w:rFonts w:hint="cs"/>
          <w:spacing w:val="0"/>
          <w:kern w:val="0"/>
          <w:sz w:val="20"/>
          <w:rtl/>
        </w:rPr>
        <w:t xml:space="preserve"> 1</w:t>
      </w:r>
      <w:r w:rsidRPr="003E698F">
        <w:rPr>
          <w:rFonts w:hint="cs"/>
          <w:spacing w:val="0"/>
          <w:kern w:val="0"/>
          <w:sz w:val="20"/>
          <w:szCs w:val="28"/>
          <w:vertAlign w:val="superscript"/>
          <w:rtl/>
        </w:rPr>
        <w:t>(</w:t>
      </w:r>
      <w:r w:rsidRPr="003E698F">
        <w:rPr>
          <w:rStyle w:val="FootnoteReference"/>
          <w:spacing w:val="0"/>
          <w:sz w:val="20"/>
          <w:rtl/>
        </w:rPr>
        <w:footnoteReference w:id="179"/>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 xml:space="preserve">لكنها أكدت </w:t>
      </w:r>
      <w:r w:rsidRPr="003E698F">
        <w:rPr>
          <w:spacing w:val="0"/>
          <w:kern w:val="0"/>
          <w:sz w:val="20"/>
          <w:rtl/>
        </w:rPr>
        <w:t xml:space="preserve">أن </w:t>
      </w:r>
      <w:r w:rsidRPr="003E698F">
        <w:rPr>
          <w:rFonts w:hint="cs"/>
          <w:spacing w:val="0"/>
          <w:kern w:val="0"/>
          <w:sz w:val="20"/>
          <w:rtl/>
        </w:rPr>
        <w:t>هذه الحالة لا تشكل في</w:t>
      </w:r>
      <w:r w:rsidRPr="003E698F">
        <w:rPr>
          <w:spacing w:val="0"/>
          <w:kern w:val="0"/>
          <w:sz w:val="20"/>
          <w:rtl/>
        </w:rPr>
        <w:t xml:space="preserve"> حد ذاته</w:t>
      </w:r>
      <w:r w:rsidRPr="003E698F">
        <w:rPr>
          <w:rFonts w:hint="cs"/>
          <w:spacing w:val="0"/>
          <w:kern w:val="0"/>
          <w:sz w:val="20"/>
          <w:rtl/>
        </w:rPr>
        <w:t xml:space="preserve">ا عنصراً كافياً يحمل على الاعتقاد بأن صاحبة الشكوى قد تتعرض </w:t>
      </w:r>
      <w:r w:rsidRPr="003E698F">
        <w:rPr>
          <w:spacing w:val="0"/>
          <w:kern w:val="0"/>
          <w:sz w:val="20"/>
          <w:rtl/>
        </w:rPr>
        <w:t xml:space="preserve">لخطر التعذيب </w:t>
      </w:r>
      <w:r w:rsidRPr="003E698F">
        <w:rPr>
          <w:rFonts w:hint="cs"/>
          <w:spacing w:val="0"/>
          <w:kern w:val="0"/>
          <w:sz w:val="20"/>
          <w:rtl/>
        </w:rPr>
        <w:t>في حال عودتها</w:t>
      </w:r>
      <w:r w:rsidRPr="003E698F">
        <w:rPr>
          <w:spacing w:val="0"/>
          <w:kern w:val="0"/>
          <w:sz w:val="20"/>
          <w:rtl/>
        </w:rPr>
        <w:t>،</w:t>
      </w:r>
      <w:r w:rsidRPr="003E698F">
        <w:rPr>
          <w:rFonts w:hint="cs"/>
          <w:spacing w:val="0"/>
          <w:kern w:val="0"/>
          <w:sz w:val="20"/>
          <w:rtl/>
        </w:rPr>
        <w:t xml:space="preserve"> وادعت أن صاحبة الشكوى لم تقدم دليلا يثبت أنها تواجه</w:t>
      </w:r>
      <w:r w:rsidRPr="003E698F">
        <w:rPr>
          <w:spacing w:val="0"/>
          <w:kern w:val="0"/>
          <w:sz w:val="20"/>
          <w:rtl/>
        </w:rPr>
        <w:t xml:space="preserve"> خطر</w:t>
      </w:r>
      <w:r w:rsidRPr="003E698F">
        <w:rPr>
          <w:rFonts w:hint="cs"/>
          <w:spacing w:val="0"/>
          <w:kern w:val="0"/>
          <w:sz w:val="20"/>
          <w:rtl/>
        </w:rPr>
        <w:t>اً</w:t>
      </w:r>
      <w:r w:rsidRPr="003E698F">
        <w:rPr>
          <w:spacing w:val="0"/>
          <w:kern w:val="0"/>
          <w:sz w:val="20"/>
          <w:rtl/>
        </w:rPr>
        <w:t xml:space="preserve"> شخصيا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و</w:t>
      </w:r>
      <w:r w:rsidRPr="003E698F">
        <w:rPr>
          <w:spacing w:val="0"/>
          <w:kern w:val="0"/>
          <w:sz w:val="20"/>
          <w:rtl/>
        </w:rPr>
        <w:t>حقيقي</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 xml:space="preserve">ومتوقعاً يتمثل في تعرضها </w:t>
      </w:r>
      <w:r w:rsidRPr="003E698F">
        <w:rPr>
          <w:spacing w:val="0"/>
          <w:kern w:val="0"/>
          <w:sz w:val="20"/>
          <w:rtl/>
        </w:rPr>
        <w:t>للتعذيب</w:t>
      </w:r>
      <w:r w:rsidRPr="003E698F">
        <w:rPr>
          <w:rFonts w:hint="cs"/>
          <w:spacing w:val="0"/>
          <w:kern w:val="0"/>
          <w:sz w:val="20"/>
          <w:rtl/>
        </w:rPr>
        <w:t xml:space="preserve"> في حال عادت إلى جمهورية الكونغو الديمقراطية.</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4-2</w:t>
      </w:r>
      <w:r w:rsidRPr="003E698F">
        <w:rPr>
          <w:rFonts w:hint="cs"/>
          <w:spacing w:val="0"/>
          <w:kern w:val="0"/>
          <w:sz w:val="20"/>
          <w:rtl/>
        </w:rPr>
        <w:tab/>
        <w:t xml:space="preserve">وأشارت </w:t>
      </w:r>
      <w:r w:rsidRPr="003E698F">
        <w:rPr>
          <w:spacing w:val="0"/>
          <w:kern w:val="0"/>
          <w:sz w:val="20"/>
          <w:rtl/>
        </w:rPr>
        <w:t xml:space="preserve">الدولة الطرف </w:t>
      </w:r>
      <w:r w:rsidRPr="003E698F">
        <w:rPr>
          <w:rFonts w:hint="cs"/>
          <w:spacing w:val="0"/>
          <w:kern w:val="0"/>
          <w:sz w:val="20"/>
          <w:rtl/>
        </w:rPr>
        <w:t xml:space="preserve">إلى </w:t>
      </w:r>
      <w:r w:rsidRPr="003E698F">
        <w:rPr>
          <w:spacing w:val="0"/>
          <w:kern w:val="0"/>
          <w:sz w:val="20"/>
          <w:rtl/>
        </w:rPr>
        <w:t xml:space="preserve">أن </w:t>
      </w:r>
      <w:r w:rsidRPr="003E698F">
        <w:rPr>
          <w:rFonts w:hint="cs"/>
          <w:spacing w:val="0"/>
          <w:kern w:val="0"/>
          <w:sz w:val="20"/>
          <w:rtl/>
        </w:rPr>
        <w:t>صاحبة الشكوى</w:t>
      </w:r>
      <w:r w:rsidRPr="003E698F">
        <w:rPr>
          <w:spacing w:val="0"/>
          <w:kern w:val="0"/>
          <w:sz w:val="20"/>
          <w:rtl/>
        </w:rPr>
        <w:t xml:space="preserve"> لم </w:t>
      </w:r>
      <w:r w:rsidRPr="003E698F">
        <w:rPr>
          <w:rFonts w:hint="cs"/>
          <w:spacing w:val="0"/>
          <w:kern w:val="0"/>
          <w:sz w:val="20"/>
          <w:rtl/>
        </w:rPr>
        <w:t>تبلغها</w:t>
      </w:r>
      <w:r w:rsidRPr="003E698F">
        <w:rPr>
          <w:spacing w:val="0"/>
          <w:kern w:val="0"/>
          <w:sz w:val="20"/>
          <w:rtl/>
        </w:rPr>
        <w:t xml:space="preserve"> </w:t>
      </w:r>
      <w:r w:rsidRPr="003E698F">
        <w:rPr>
          <w:rFonts w:hint="cs"/>
          <w:spacing w:val="0"/>
          <w:kern w:val="0"/>
          <w:sz w:val="20"/>
          <w:rtl/>
        </w:rPr>
        <w:t xml:space="preserve">بمزاعم تعرضها </w:t>
      </w:r>
      <w:r w:rsidRPr="003E698F">
        <w:rPr>
          <w:spacing w:val="0"/>
          <w:kern w:val="0"/>
          <w:sz w:val="20"/>
          <w:rtl/>
        </w:rPr>
        <w:t>للاغتصاب أثناء مغادرته</w:t>
      </w:r>
      <w:r w:rsidRPr="003E698F">
        <w:rPr>
          <w:rFonts w:hint="cs"/>
          <w:spacing w:val="0"/>
          <w:kern w:val="0"/>
          <w:sz w:val="20"/>
          <w:rtl/>
        </w:rPr>
        <w:t>ا</w:t>
      </w:r>
      <w:r w:rsidRPr="003E698F">
        <w:rPr>
          <w:spacing w:val="0"/>
          <w:kern w:val="0"/>
          <w:sz w:val="20"/>
          <w:rtl/>
        </w:rPr>
        <w:t xml:space="preserve"> مطار ندجيلي في عام 2001. </w:t>
      </w:r>
      <w:r w:rsidRPr="003E698F">
        <w:rPr>
          <w:rFonts w:hint="cs"/>
          <w:spacing w:val="0"/>
          <w:kern w:val="0"/>
          <w:sz w:val="20"/>
          <w:rtl/>
        </w:rPr>
        <w:t>واعتبرت التفسير الذي ساقته لتبرير</w:t>
      </w:r>
      <w:r w:rsidRPr="003E698F">
        <w:rPr>
          <w:spacing w:val="0"/>
          <w:kern w:val="0"/>
          <w:sz w:val="20"/>
          <w:rtl/>
        </w:rPr>
        <w:t xml:space="preserve"> إغفال</w:t>
      </w:r>
      <w:r w:rsidRPr="003E698F">
        <w:rPr>
          <w:rFonts w:hint="cs"/>
          <w:spacing w:val="0"/>
          <w:kern w:val="0"/>
          <w:sz w:val="20"/>
          <w:rtl/>
        </w:rPr>
        <w:t>ها الإبلاغ عن هذا الأمر، غير</w:t>
      </w:r>
      <w:r w:rsidRPr="003E698F">
        <w:rPr>
          <w:spacing w:val="0"/>
          <w:kern w:val="0"/>
          <w:sz w:val="20"/>
          <w:rtl/>
        </w:rPr>
        <w:t xml:space="preserve"> </w:t>
      </w:r>
      <w:r w:rsidRPr="003E698F">
        <w:rPr>
          <w:rFonts w:hint="cs"/>
          <w:spacing w:val="0"/>
          <w:kern w:val="0"/>
          <w:sz w:val="20"/>
          <w:rtl/>
        </w:rPr>
        <w:t>وجيه</w:t>
      </w:r>
      <w:r w:rsidRPr="003E698F">
        <w:rPr>
          <w:spacing w:val="0"/>
          <w:kern w:val="0"/>
          <w:sz w:val="20"/>
          <w:rtl/>
        </w:rPr>
        <w:t xml:space="preserve">. وبالإضافة إلى ذلك، </w:t>
      </w:r>
      <w:r w:rsidRPr="003E698F">
        <w:rPr>
          <w:rFonts w:hint="cs"/>
          <w:spacing w:val="0"/>
          <w:kern w:val="0"/>
          <w:sz w:val="20"/>
          <w:rtl/>
        </w:rPr>
        <w:t>لاحظت</w:t>
      </w:r>
      <w:r w:rsidRPr="003E698F">
        <w:rPr>
          <w:spacing w:val="0"/>
          <w:kern w:val="0"/>
          <w:sz w:val="20"/>
          <w:rtl/>
        </w:rPr>
        <w:t xml:space="preserve"> الدولة الطرف </w:t>
      </w:r>
      <w:r w:rsidRPr="003E698F">
        <w:rPr>
          <w:rFonts w:hint="cs"/>
          <w:spacing w:val="0"/>
          <w:kern w:val="0"/>
          <w:sz w:val="20"/>
          <w:rtl/>
        </w:rPr>
        <w:t xml:space="preserve">أن صاحبة الشكوى ادعت على أية حال أن من قام باغتصابها هما موظفان تواطآ معها في الهروب من </w:t>
      </w:r>
      <w:r w:rsidRPr="003E698F">
        <w:rPr>
          <w:spacing w:val="0"/>
          <w:kern w:val="0"/>
          <w:sz w:val="20"/>
          <w:rtl/>
        </w:rPr>
        <w:t>جمهورية الكونغو الديمقراطية،</w:t>
      </w:r>
      <w:r w:rsidRPr="003E698F">
        <w:rPr>
          <w:rFonts w:hint="cs"/>
          <w:spacing w:val="0"/>
          <w:kern w:val="0"/>
          <w:sz w:val="20"/>
          <w:rtl/>
        </w:rPr>
        <w:t xml:space="preserve"> وبالتالي، فإنهما لم يتصرفا </w:t>
      </w:r>
      <w:r w:rsidRPr="003E698F">
        <w:rPr>
          <w:spacing w:val="0"/>
          <w:kern w:val="0"/>
          <w:sz w:val="20"/>
          <w:rtl/>
        </w:rPr>
        <w:t>بصفته</w:t>
      </w:r>
      <w:r w:rsidRPr="003E698F">
        <w:rPr>
          <w:rFonts w:hint="cs"/>
          <w:spacing w:val="0"/>
          <w:kern w:val="0"/>
          <w:sz w:val="20"/>
          <w:rtl/>
        </w:rPr>
        <w:t>ما</w:t>
      </w:r>
      <w:r w:rsidRPr="003E698F">
        <w:rPr>
          <w:spacing w:val="0"/>
          <w:kern w:val="0"/>
          <w:sz w:val="20"/>
          <w:rtl/>
        </w:rPr>
        <w:t xml:space="preserve"> الرسمية. و</w:t>
      </w:r>
      <w:r w:rsidRPr="003E698F">
        <w:rPr>
          <w:rFonts w:hint="cs"/>
          <w:spacing w:val="0"/>
          <w:kern w:val="0"/>
          <w:sz w:val="20"/>
          <w:rtl/>
        </w:rPr>
        <w:t xml:space="preserve">عليه، فإن </w:t>
      </w:r>
      <w:r w:rsidRPr="003E698F">
        <w:rPr>
          <w:spacing w:val="0"/>
          <w:kern w:val="0"/>
          <w:sz w:val="20"/>
          <w:rtl/>
        </w:rPr>
        <w:t xml:space="preserve">هذه </w:t>
      </w:r>
      <w:r w:rsidRPr="003E698F">
        <w:rPr>
          <w:rFonts w:hint="cs"/>
          <w:spacing w:val="0"/>
          <w:kern w:val="0"/>
          <w:sz w:val="20"/>
          <w:rtl/>
        </w:rPr>
        <w:t>الواقعة لا يُعتدّ بها</w:t>
      </w:r>
      <w:r w:rsidRPr="003E698F">
        <w:rPr>
          <w:spacing w:val="0"/>
          <w:kern w:val="0"/>
          <w:sz w:val="20"/>
          <w:rtl/>
        </w:rPr>
        <w:t>، حتى لو ثبت</w:t>
      </w:r>
      <w:r w:rsidRPr="003E698F">
        <w:rPr>
          <w:rFonts w:hint="cs"/>
          <w:spacing w:val="0"/>
          <w:kern w:val="0"/>
          <w:sz w:val="20"/>
          <w:rtl/>
        </w:rPr>
        <w:t>ت صحتها</w:t>
      </w:r>
      <w:r w:rsidRPr="003E698F">
        <w:rPr>
          <w:spacing w:val="0"/>
          <w:kern w:val="0"/>
          <w:sz w:val="20"/>
          <w:rtl/>
        </w:rPr>
        <w:t xml:space="preserve">، </w:t>
      </w:r>
      <w:r w:rsidRPr="003E698F">
        <w:rPr>
          <w:rFonts w:hint="cs"/>
          <w:spacing w:val="0"/>
          <w:kern w:val="0"/>
          <w:sz w:val="20"/>
          <w:rtl/>
        </w:rPr>
        <w:t>لاستنتاج أن صاحبة الشكوى ستكون عرضة لخ</w:t>
      </w:r>
      <w:r w:rsidRPr="003E698F">
        <w:rPr>
          <w:spacing w:val="0"/>
          <w:kern w:val="0"/>
          <w:sz w:val="20"/>
          <w:rtl/>
        </w:rPr>
        <w:t xml:space="preserve">طر </w:t>
      </w:r>
      <w:r w:rsidRPr="003E698F">
        <w:rPr>
          <w:rFonts w:hint="cs"/>
          <w:spacing w:val="0"/>
          <w:kern w:val="0"/>
          <w:sz w:val="20"/>
          <w:rtl/>
        </w:rPr>
        <w:t>ا</w:t>
      </w:r>
      <w:r w:rsidRPr="003E698F">
        <w:rPr>
          <w:spacing w:val="0"/>
          <w:kern w:val="0"/>
          <w:sz w:val="20"/>
          <w:rtl/>
        </w:rPr>
        <w:t xml:space="preserve">لتعذيب إذا </w:t>
      </w:r>
      <w:r w:rsidRPr="003E698F">
        <w:rPr>
          <w:rFonts w:hint="cs"/>
          <w:spacing w:val="0"/>
          <w:kern w:val="0"/>
          <w:sz w:val="20"/>
          <w:rtl/>
        </w:rPr>
        <w:t>أعيدت</w:t>
      </w:r>
      <w:r w:rsidRPr="003E698F">
        <w:rPr>
          <w:spacing w:val="0"/>
          <w:kern w:val="0"/>
          <w:sz w:val="20"/>
          <w:rtl/>
        </w:rPr>
        <w:t xml:space="preserve"> إلى جمهورية الكونغو الديمقراطية</w:t>
      </w:r>
      <w:r w:rsidRPr="003E698F">
        <w:rPr>
          <w:rFonts w:hint="cs"/>
          <w:spacing w:val="0"/>
          <w:kern w:val="0"/>
          <w:sz w:val="20"/>
          <w:rtl/>
        </w:rPr>
        <w:t>.</w:t>
      </w:r>
    </w:p>
    <w:p w:rsidR="00921F02" w:rsidRPr="003E698F" w:rsidRDefault="00921F02" w:rsidP="00E61B85">
      <w:pPr>
        <w:pStyle w:val="SingleTxtGA"/>
        <w:jc w:val="lowKashida"/>
        <w:rPr>
          <w:spacing w:val="0"/>
          <w:kern w:val="0"/>
          <w:sz w:val="20"/>
          <w:rtl/>
        </w:rPr>
      </w:pPr>
      <w:r w:rsidRPr="003E698F">
        <w:rPr>
          <w:rFonts w:hint="cs"/>
          <w:spacing w:val="0"/>
          <w:kern w:val="0"/>
          <w:sz w:val="20"/>
          <w:rtl/>
        </w:rPr>
        <w:t>4-3</w:t>
      </w:r>
      <w:r w:rsidRPr="003E698F">
        <w:rPr>
          <w:rFonts w:hint="cs"/>
          <w:spacing w:val="0"/>
          <w:kern w:val="0"/>
          <w:sz w:val="20"/>
          <w:rtl/>
        </w:rPr>
        <w:tab/>
        <w:t>وشككت ا</w:t>
      </w:r>
      <w:r w:rsidRPr="003E698F">
        <w:rPr>
          <w:spacing w:val="0"/>
          <w:kern w:val="0"/>
          <w:sz w:val="20"/>
          <w:rtl/>
        </w:rPr>
        <w:t>لدولة الطرف</w:t>
      </w:r>
      <w:r w:rsidRPr="003E698F">
        <w:rPr>
          <w:rFonts w:hint="cs"/>
          <w:spacing w:val="0"/>
          <w:kern w:val="0"/>
          <w:sz w:val="20"/>
          <w:rtl/>
        </w:rPr>
        <w:t xml:space="preserve"> في مصداقية صاحبة الشكوى لأنها تدعي أ</w:t>
      </w:r>
      <w:r w:rsidRPr="003E698F">
        <w:rPr>
          <w:spacing w:val="0"/>
          <w:kern w:val="0"/>
          <w:sz w:val="20"/>
          <w:rtl/>
        </w:rPr>
        <w:t xml:space="preserve">نها </w:t>
      </w:r>
      <w:r w:rsidRPr="003E698F">
        <w:rPr>
          <w:rFonts w:hint="cs"/>
          <w:spacing w:val="0"/>
          <w:kern w:val="0"/>
          <w:sz w:val="20"/>
          <w:rtl/>
        </w:rPr>
        <w:t>جازفت ب</w:t>
      </w:r>
      <w:r w:rsidRPr="003E698F">
        <w:rPr>
          <w:spacing w:val="0"/>
          <w:kern w:val="0"/>
          <w:sz w:val="20"/>
          <w:rtl/>
        </w:rPr>
        <w:t>حياته</w:t>
      </w:r>
      <w:r w:rsidRPr="003E698F">
        <w:rPr>
          <w:rFonts w:hint="cs"/>
          <w:spacing w:val="0"/>
          <w:kern w:val="0"/>
          <w:sz w:val="20"/>
          <w:rtl/>
        </w:rPr>
        <w:t>ا</w:t>
      </w:r>
      <w:r w:rsidRPr="003E698F">
        <w:rPr>
          <w:spacing w:val="0"/>
          <w:kern w:val="0"/>
          <w:sz w:val="20"/>
          <w:rtl/>
        </w:rPr>
        <w:t xml:space="preserve"> لإ</w:t>
      </w:r>
      <w:r w:rsidRPr="003E698F">
        <w:rPr>
          <w:rFonts w:hint="cs"/>
          <w:spacing w:val="0"/>
          <w:kern w:val="0"/>
          <w:sz w:val="20"/>
          <w:rtl/>
        </w:rPr>
        <w:t xml:space="preserve">بلاغ </w:t>
      </w:r>
      <w:r w:rsidRPr="003E698F">
        <w:rPr>
          <w:spacing w:val="0"/>
          <w:kern w:val="0"/>
          <w:sz w:val="20"/>
          <w:rtl/>
        </w:rPr>
        <w:t>رسالة سياسية</w:t>
      </w:r>
      <w:r w:rsidRPr="003E698F">
        <w:rPr>
          <w:rFonts w:hint="cs"/>
          <w:spacing w:val="0"/>
          <w:kern w:val="0"/>
          <w:sz w:val="20"/>
          <w:rtl/>
        </w:rPr>
        <w:t xml:space="preserve"> دون أن تتمكن من تقديم تفاصيل عن </w:t>
      </w:r>
      <w:r w:rsidRPr="003E698F">
        <w:rPr>
          <w:spacing w:val="0"/>
          <w:kern w:val="0"/>
          <w:sz w:val="20"/>
          <w:rtl/>
        </w:rPr>
        <w:t>تجربته</w:t>
      </w:r>
      <w:r w:rsidRPr="003E698F">
        <w:rPr>
          <w:rFonts w:hint="cs"/>
          <w:spacing w:val="0"/>
          <w:kern w:val="0"/>
          <w:sz w:val="20"/>
          <w:rtl/>
        </w:rPr>
        <w:t>ا</w:t>
      </w:r>
      <w:r w:rsidRPr="003E698F">
        <w:rPr>
          <w:spacing w:val="0"/>
          <w:kern w:val="0"/>
          <w:sz w:val="20"/>
          <w:rtl/>
        </w:rPr>
        <w:t xml:space="preserve"> ولا عن الأنشطة السياسية </w:t>
      </w:r>
      <w:r w:rsidRPr="003E698F">
        <w:rPr>
          <w:rFonts w:hint="cs"/>
          <w:spacing w:val="0"/>
          <w:kern w:val="0"/>
          <w:sz w:val="20"/>
          <w:rtl/>
        </w:rPr>
        <w:t>التي اضطلع بها</w:t>
      </w:r>
      <w:r w:rsidRPr="003E698F">
        <w:rPr>
          <w:spacing w:val="0"/>
          <w:kern w:val="0"/>
          <w:sz w:val="20"/>
          <w:rtl/>
        </w:rPr>
        <w:t xml:space="preserve"> </w:t>
      </w:r>
      <w:r w:rsidRPr="003E698F">
        <w:rPr>
          <w:rFonts w:hint="cs"/>
          <w:spacing w:val="0"/>
          <w:kern w:val="0"/>
          <w:sz w:val="20"/>
          <w:rtl/>
        </w:rPr>
        <w:t>خطيبها</w:t>
      </w:r>
      <w:r w:rsidRPr="003E698F">
        <w:rPr>
          <w:spacing w:val="0"/>
          <w:kern w:val="0"/>
          <w:sz w:val="20"/>
          <w:rtl/>
        </w:rPr>
        <w:t xml:space="preserve">. </w:t>
      </w:r>
      <w:r w:rsidRPr="003E698F">
        <w:rPr>
          <w:rFonts w:hint="cs"/>
          <w:spacing w:val="0"/>
          <w:kern w:val="0"/>
          <w:sz w:val="20"/>
          <w:rtl/>
        </w:rPr>
        <w:t xml:space="preserve">كما رأت أن من الصعب تصديق </w:t>
      </w:r>
      <w:r w:rsidRPr="003E698F">
        <w:rPr>
          <w:spacing w:val="0"/>
          <w:kern w:val="0"/>
          <w:sz w:val="20"/>
          <w:rtl/>
        </w:rPr>
        <w:t>ادعاءاته</w:t>
      </w:r>
      <w:r w:rsidRPr="003E698F">
        <w:rPr>
          <w:rFonts w:hint="cs"/>
          <w:spacing w:val="0"/>
          <w:kern w:val="0"/>
          <w:sz w:val="20"/>
          <w:rtl/>
        </w:rPr>
        <w:t xml:space="preserve">ا بشأن قدوم شخص أرسله خطيبها ليسلمها </w:t>
      </w:r>
      <w:r w:rsidRPr="003E698F">
        <w:rPr>
          <w:spacing w:val="0"/>
          <w:kern w:val="0"/>
          <w:sz w:val="20"/>
          <w:rtl/>
        </w:rPr>
        <w:t>هاتف</w:t>
      </w:r>
      <w:r w:rsidRPr="003E698F">
        <w:rPr>
          <w:rFonts w:hint="cs"/>
          <w:spacing w:val="0"/>
          <w:kern w:val="0"/>
          <w:sz w:val="20"/>
          <w:rtl/>
        </w:rPr>
        <w:t>اً ون</w:t>
      </w:r>
      <w:r w:rsidRPr="003E698F">
        <w:rPr>
          <w:spacing w:val="0"/>
          <w:kern w:val="0"/>
          <w:sz w:val="20"/>
          <w:rtl/>
        </w:rPr>
        <w:t>سخا</w:t>
      </w:r>
      <w:r w:rsidRPr="003E698F">
        <w:rPr>
          <w:rFonts w:hint="cs"/>
          <w:spacing w:val="0"/>
          <w:kern w:val="0"/>
          <w:sz w:val="20"/>
          <w:rtl/>
        </w:rPr>
        <w:t>ً</w:t>
      </w:r>
      <w:r w:rsidRPr="003E698F">
        <w:rPr>
          <w:spacing w:val="0"/>
          <w:kern w:val="0"/>
          <w:sz w:val="20"/>
          <w:rtl/>
        </w:rPr>
        <w:t xml:space="preserve"> من مجلة </w:t>
      </w:r>
      <w:r w:rsidRPr="003E698F">
        <w:rPr>
          <w:rFonts w:hint="cs"/>
          <w:spacing w:val="0"/>
          <w:kern w:val="0"/>
          <w:sz w:val="20"/>
          <w:rtl/>
        </w:rPr>
        <w:t xml:space="preserve">"جون </w:t>
      </w:r>
      <w:r w:rsidRPr="003E698F">
        <w:rPr>
          <w:spacing w:val="0"/>
          <w:kern w:val="0"/>
          <w:sz w:val="20"/>
          <w:rtl/>
        </w:rPr>
        <w:t>أفريك</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وأموالاً لنشر</w:t>
      </w:r>
      <w:r w:rsidRPr="003E698F">
        <w:rPr>
          <w:spacing w:val="0"/>
          <w:kern w:val="0"/>
          <w:sz w:val="20"/>
          <w:rtl/>
        </w:rPr>
        <w:t xml:space="preserve"> رسالة سياسية في </w:t>
      </w:r>
      <w:r w:rsidRPr="003E698F">
        <w:rPr>
          <w:rFonts w:hint="cs"/>
          <w:spacing w:val="0"/>
          <w:kern w:val="0"/>
          <w:sz w:val="20"/>
          <w:rtl/>
        </w:rPr>
        <w:t>الحي الذي تسكنه، لأن الوسائل التي سخَّرها ال</w:t>
      </w:r>
      <w:r w:rsidRPr="003E698F">
        <w:rPr>
          <w:spacing w:val="0"/>
          <w:kern w:val="0"/>
          <w:sz w:val="20"/>
          <w:rtl/>
        </w:rPr>
        <w:t>متمرد</w:t>
      </w:r>
      <w:r w:rsidRPr="003E698F">
        <w:rPr>
          <w:rFonts w:hint="cs"/>
          <w:spacing w:val="0"/>
          <w:kern w:val="0"/>
          <w:sz w:val="20"/>
          <w:rtl/>
        </w:rPr>
        <w:t>و</w:t>
      </w:r>
      <w:r w:rsidRPr="003E698F">
        <w:rPr>
          <w:spacing w:val="0"/>
          <w:kern w:val="0"/>
          <w:sz w:val="20"/>
          <w:rtl/>
        </w:rPr>
        <w:t xml:space="preserve">ن </w:t>
      </w:r>
      <w:r w:rsidRPr="003E698F">
        <w:rPr>
          <w:rFonts w:hint="cs"/>
          <w:spacing w:val="0"/>
          <w:kern w:val="0"/>
          <w:sz w:val="20"/>
          <w:rtl/>
        </w:rPr>
        <w:t xml:space="preserve">لا </w:t>
      </w:r>
      <w:r w:rsidRPr="003E698F">
        <w:rPr>
          <w:spacing w:val="0"/>
          <w:kern w:val="0"/>
          <w:sz w:val="20"/>
          <w:rtl/>
        </w:rPr>
        <w:t xml:space="preserve">تبدو متناسبة مع النتائج </w:t>
      </w:r>
      <w:r w:rsidRPr="003E698F">
        <w:rPr>
          <w:rFonts w:hint="cs"/>
          <w:spacing w:val="0"/>
          <w:kern w:val="0"/>
          <w:sz w:val="20"/>
          <w:rtl/>
        </w:rPr>
        <w:t xml:space="preserve">المرجوة من </w:t>
      </w:r>
      <w:r w:rsidRPr="003E698F">
        <w:rPr>
          <w:spacing w:val="0"/>
          <w:kern w:val="0"/>
          <w:sz w:val="20"/>
          <w:rtl/>
        </w:rPr>
        <w:t xml:space="preserve">حي </w:t>
      </w:r>
      <w:r w:rsidRPr="003E698F">
        <w:rPr>
          <w:rFonts w:hint="cs"/>
          <w:spacing w:val="0"/>
          <w:kern w:val="0"/>
          <w:sz w:val="20"/>
          <w:rtl/>
        </w:rPr>
        <w:t>يسكنه</w:t>
      </w:r>
      <w:r w:rsidRPr="003E698F">
        <w:rPr>
          <w:spacing w:val="0"/>
          <w:kern w:val="0"/>
          <w:sz w:val="20"/>
          <w:rtl/>
        </w:rPr>
        <w:t xml:space="preserve"> </w:t>
      </w:r>
      <w:r w:rsidRPr="003E698F">
        <w:rPr>
          <w:rFonts w:hint="cs"/>
          <w:spacing w:val="0"/>
          <w:kern w:val="0"/>
          <w:sz w:val="20"/>
          <w:rtl/>
        </w:rPr>
        <w:t>ما يقرب من</w:t>
      </w:r>
      <w:r w:rsidRPr="003E698F">
        <w:rPr>
          <w:spacing w:val="0"/>
          <w:kern w:val="0"/>
          <w:sz w:val="20"/>
          <w:rtl/>
        </w:rPr>
        <w:t xml:space="preserve"> خمسين شخصا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كذلك اعتبرت </w:t>
      </w:r>
      <w:r w:rsidRPr="003E698F">
        <w:rPr>
          <w:spacing w:val="0"/>
          <w:kern w:val="0"/>
          <w:sz w:val="20"/>
          <w:rtl/>
        </w:rPr>
        <w:t xml:space="preserve">الدولة الطرف </w:t>
      </w:r>
      <w:r w:rsidR="00E61B85">
        <w:rPr>
          <w:rFonts w:hint="cs"/>
          <w:spacing w:val="0"/>
          <w:kern w:val="0"/>
          <w:sz w:val="20"/>
          <w:rtl/>
        </w:rPr>
        <w:t xml:space="preserve">أن </w:t>
      </w:r>
      <w:r w:rsidRPr="003E698F">
        <w:rPr>
          <w:rFonts w:hint="cs"/>
          <w:spacing w:val="0"/>
          <w:kern w:val="0"/>
          <w:sz w:val="20"/>
          <w:rtl/>
        </w:rPr>
        <w:t>ما</w:t>
      </w:r>
      <w:r w:rsidR="00E61B85">
        <w:rPr>
          <w:rFonts w:hint="eastAsia"/>
          <w:spacing w:val="0"/>
          <w:kern w:val="0"/>
          <w:sz w:val="20"/>
          <w:rtl/>
        </w:rPr>
        <w:t> </w:t>
      </w:r>
      <w:r w:rsidRPr="003E698F">
        <w:rPr>
          <w:rFonts w:hint="cs"/>
          <w:spacing w:val="0"/>
          <w:kern w:val="0"/>
          <w:sz w:val="20"/>
          <w:rtl/>
        </w:rPr>
        <w:t>ادعته صاحبة الشكوى بشأن استماتة السلطات في البحث عنها في منزلها أكثر من مرة وهي غائبة، أمر لا يرجح حدوثه في حالة معارِضة معزولة.</w:t>
      </w:r>
    </w:p>
    <w:p w:rsidR="00921F02" w:rsidRPr="003E698F" w:rsidRDefault="00921F02" w:rsidP="000B4D1D">
      <w:pPr>
        <w:pStyle w:val="SingleTxtGA"/>
        <w:jc w:val="lowKashida"/>
        <w:rPr>
          <w:rFonts w:hint="cs"/>
          <w:spacing w:val="0"/>
          <w:kern w:val="0"/>
          <w:sz w:val="20"/>
        </w:rPr>
      </w:pPr>
      <w:r w:rsidRPr="003E698F">
        <w:rPr>
          <w:rFonts w:hint="cs"/>
          <w:spacing w:val="0"/>
          <w:kern w:val="0"/>
          <w:sz w:val="20"/>
          <w:rtl/>
        </w:rPr>
        <w:t>4-4</w:t>
      </w:r>
      <w:r w:rsidRPr="003E698F">
        <w:rPr>
          <w:rFonts w:hint="cs"/>
          <w:spacing w:val="0"/>
          <w:kern w:val="0"/>
          <w:sz w:val="20"/>
          <w:rtl/>
        </w:rPr>
        <w:tab/>
        <w:t xml:space="preserve">ولاحظت الدولة الطرف أن صاحبة الشكوى استطاعت أن تغادر جمهورية الكونغو الديمقراطية من مطار ندجيلي، وهو من الأماكن التي تخضع </w:t>
      </w:r>
      <w:r w:rsidRPr="003E698F">
        <w:rPr>
          <w:spacing w:val="0"/>
          <w:kern w:val="0"/>
          <w:sz w:val="20"/>
          <w:rtl/>
        </w:rPr>
        <w:t>لرقابة مشدَّدة من قِبل</w:t>
      </w:r>
      <w:r w:rsidRPr="003E698F">
        <w:rPr>
          <w:rFonts w:hint="cs"/>
          <w:spacing w:val="0"/>
          <w:kern w:val="0"/>
          <w:sz w:val="20"/>
          <w:rtl/>
        </w:rPr>
        <w:t xml:space="preserve"> قوات حفظ الأمن، مع أنها كانت مهددة ب</w:t>
      </w:r>
      <w:r w:rsidRPr="003E698F">
        <w:rPr>
          <w:spacing w:val="0"/>
          <w:kern w:val="0"/>
          <w:sz w:val="20"/>
          <w:rtl/>
        </w:rPr>
        <w:t>الاعتقال</w:t>
      </w:r>
      <w:r w:rsidRPr="003E698F">
        <w:rPr>
          <w:rFonts w:hint="cs"/>
          <w:spacing w:val="0"/>
          <w:kern w:val="0"/>
          <w:sz w:val="20"/>
          <w:rtl/>
        </w:rPr>
        <w:t xml:space="preserve"> على حد زعمها، وهذا أيضاً </w:t>
      </w:r>
      <w:r w:rsidRPr="003E698F">
        <w:rPr>
          <w:spacing w:val="0"/>
          <w:kern w:val="0"/>
          <w:sz w:val="20"/>
          <w:rtl/>
        </w:rPr>
        <w:t xml:space="preserve">يجعل </w:t>
      </w:r>
      <w:r w:rsidRPr="003E698F">
        <w:rPr>
          <w:rFonts w:hint="cs"/>
          <w:spacing w:val="0"/>
          <w:kern w:val="0"/>
          <w:sz w:val="20"/>
          <w:rtl/>
        </w:rPr>
        <w:t>روايتها</w:t>
      </w:r>
      <w:r w:rsidRPr="003E698F">
        <w:rPr>
          <w:spacing w:val="0"/>
          <w:kern w:val="0"/>
          <w:sz w:val="20"/>
          <w:rtl/>
        </w:rPr>
        <w:t xml:space="preserve"> غير قابل</w:t>
      </w:r>
      <w:r w:rsidRPr="003E698F">
        <w:rPr>
          <w:rFonts w:hint="cs"/>
          <w:spacing w:val="0"/>
          <w:kern w:val="0"/>
          <w:sz w:val="20"/>
          <w:rtl/>
        </w:rPr>
        <w:t>ة</w:t>
      </w:r>
      <w:r w:rsidRPr="003E698F">
        <w:rPr>
          <w:spacing w:val="0"/>
          <w:kern w:val="0"/>
          <w:sz w:val="20"/>
          <w:rtl/>
        </w:rPr>
        <w:t xml:space="preserve"> للتصديق. </w:t>
      </w:r>
      <w:r w:rsidRPr="003E698F">
        <w:rPr>
          <w:rFonts w:hint="cs"/>
          <w:spacing w:val="0"/>
          <w:kern w:val="0"/>
          <w:sz w:val="20"/>
          <w:rtl/>
        </w:rPr>
        <w:t>وفيما يخص ال</w:t>
      </w:r>
      <w:r w:rsidRPr="003E698F">
        <w:rPr>
          <w:spacing w:val="0"/>
          <w:kern w:val="0"/>
          <w:sz w:val="20"/>
          <w:rtl/>
        </w:rPr>
        <w:t>مقال</w:t>
      </w:r>
      <w:r w:rsidRPr="003E698F">
        <w:rPr>
          <w:rFonts w:hint="cs"/>
          <w:spacing w:val="0"/>
          <w:kern w:val="0"/>
          <w:sz w:val="20"/>
          <w:rtl/>
        </w:rPr>
        <w:t>ين</w:t>
      </w:r>
      <w:r w:rsidRPr="003E698F">
        <w:rPr>
          <w:spacing w:val="0"/>
          <w:kern w:val="0"/>
          <w:sz w:val="20"/>
          <w:rtl/>
        </w:rPr>
        <w:t xml:space="preserve"> الصحفي</w:t>
      </w:r>
      <w:r w:rsidRPr="003E698F">
        <w:rPr>
          <w:rFonts w:hint="cs"/>
          <w:spacing w:val="0"/>
          <w:kern w:val="0"/>
          <w:sz w:val="20"/>
          <w:rtl/>
        </w:rPr>
        <w:t>ين اللذين استشهدت بهما فإن زيفهما مفضوح</w:t>
      </w:r>
      <w:r w:rsidRPr="003E698F">
        <w:rPr>
          <w:spacing w:val="0"/>
          <w:kern w:val="0"/>
          <w:sz w:val="20"/>
          <w:rtl/>
        </w:rPr>
        <w:t xml:space="preserve"> </w:t>
      </w:r>
      <w:r w:rsidRPr="003E698F">
        <w:rPr>
          <w:rFonts w:hint="cs"/>
          <w:spacing w:val="0"/>
          <w:kern w:val="0"/>
          <w:sz w:val="20"/>
          <w:rtl/>
        </w:rPr>
        <w:t>وكذلك الأمر بالنسبة للاستدعاءين الموجهين إلى صاحبة الشكوى ووالدتها واللذين لا</w:t>
      </w:r>
      <w:r w:rsidR="000B4D1D">
        <w:rPr>
          <w:rFonts w:hint="eastAsia"/>
          <w:spacing w:val="0"/>
          <w:kern w:val="0"/>
          <w:sz w:val="20"/>
          <w:rtl/>
        </w:rPr>
        <w:t> </w:t>
      </w:r>
      <w:r w:rsidRPr="003E698F">
        <w:rPr>
          <w:rFonts w:hint="cs"/>
          <w:spacing w:val="0"/>
          <w:kern w:val="0"/>
          <w:sz w:val="20"/>
          <w:rtl/>
        </w:rPr>
        <w:t xml:space="preserve">يكفيان لإثبات وجود </w:t>
      </w:r>
      <w:r w:rsidRPr="003E698F">
        <w:rPr>
          <w:spacing w:val="0"/>
          <w:kern w:val="0"/>
          <w:sz w:val="20"/>
          <w:rtl/>
        </w:rPr>
        <w:t xml:space="preserve">مخاطر </w:t>
      </w:r>
      <w:r w:rsidRPr="003E698F">
        <w:rPr>
          <w:rFonts w:hint="cs"/>
          <w:spacing w:val="0"/>
          <w:kern w:val="0"/>
          <w:sz w:val="20"/>
          <w:rtl/>
        </w:rPr>
        <w:t>ولا يُعتد بقيمتهما الثبوتية لأنهما قدما</w:t>
      </w:r>
      <w:r w:rsidRPr="003E698F">
        <w:rPr>
          <w:spacing w:val="0"/>
          <w:kern w:val="0"/>
          <w:sz w:val="20"/>
          <w:rtl/>
        </w:rPr>
        <w:t xml:space="preserve"> في عام 2005، </w:t>
      </w:r>
      <w:r w:rsidRPr="003E698F">
        <w:rPr>
          <w:rFonts w:hint="cs"/>
          <w:spacing w:val="0"/>
          <w:kern w:val="0"/>
          <w:sz w:val="20"/>
          <w:rtl/>
        </w:rPr>
        <w:t xml:space="preserve">أي بعد مرور </w:t>
      </w:r>
      <w:r w:rsidRPr="003E698F">
        <w:rPr>
          <w:spacing w:val="0"/>
          <w:kern w:val="0"/>
          <w:sz w:val="20"/>
          <w:rtl/>
        </w:rPr>
        <w:t xml:space="preserve">خمس سنوات </w:t>
      </w:r>
      <w:r w:rsidRPr="003E698F">
        <w:rPr>
          <w:rFonts w:hint="cs"/>
          <w:spacing w:val="0"/>
          <w:kern w:val="0"/>
          <w:sz w:val="20"/>
          <w:rtl/>
        </w:rPr>
        <w:t>على</w:t>
      </w:r>
      <w:r w:rsidRPr="003E698F">
        <w:rPr>
          <w:spacing w:val="0"/>
          <w:kern w:val="0"/>
          <w:sz w:val="20"/>
          <w:rtl/>
        </w:rPr>
        <w:t xml:space="preserve"> </w:t>
      </w:r>
      <w:r w:rsidRPr="003E698F">
        <w:rPr>
          <w:rFonts w:hint="cs"/>
          <w:spacing w:val="0"/>
          <w:kern w:val="0"/>
          <w:sz w:val="20"/>
          <w:rtl/>
        </w:rPr>
        <w:t>الادعاءات</w:t>
      </w:r>
      <w:r w:rsidRPr="003E698F">
        <w:rPr>
          <w:spacing w:val="0"/>
          <w:kern w:val="0"/>
          <w:sz w:val="20"/>
          <w:rtl/>
        </w:rPr>
        <w:t xml:space="preserve"> </w:t>
      </w:r>
      <w:r w:rsidRPr="003E698F">
        <w:rPr>
          <w:rFonts w:hint="cs"/>
          <w:spacing w:val="0"/>
          <w:kern w:val="0"/>
          <w:sz w:val="20"/>
          <w:rtl/>
        </w:rPr>
        <w:t>التي أبلغت عنها.</w:t>
      </w:r>
    </w:p>
    <w:p w:rsidR="00921F02" w:rsidRPr="003E698F" w:rsidRDefault="00921F02" w:rsidP="000B4D1D">
      <w:pPr>
        <w:pStyle w:val="SingleTxtGA"/>
        <w:jc w:val="lowKashida"/>
        <w:rPr>
          <w:spacing w:val="0"/>
          <w:kern w:val="0"/>
          <w:sz w:val="20"/>
        </w:rPr>
      </w:pPr>
      <w:r w:rsidRPr="003E698F">
        <w:rPr>
          <w:rFonts w:hint="cs"/>
          <w:spacing w:val="0"/>
          <w:kern w:val="0"/>
          <w:sz w:val="20"/>
          <w:rtl/>
        </w:rPr>
        <w:t>4-5</w:t>
      </w:r>
      <w:r w:rsidRPr="003E698F">
        <w:rPr>
          <w:rFonts w:hint="cs"/>
          <w:spacing w:val="0"/>
          <w:kern w:val="0"/>
          <w:sz w:val="20"/>
          <w:rtl/>
        </w:rPr>
        <w:tab/>
        <w:t>و</w:t>
      </w:r>
      <w:r w:rsidRPr="003E698F">
        <w:rPr>
          <w:spacing w:val="0"/>
          <w:kern w:val="0"/>
          <w:sz w:val="20"/>
          <w:rtl/>
        </w:rPr>
        <w:t>فيما يتعلق ب</w:t>
      </w:r>
      <w:r w:rsidRPr="003E698F">
        <w:rPr>
          <w:rFonts w:hint="cs"/>
          <w:spacing w:val="0"/>
          <w:kern w:val="0"/>
          <w:sz w:val="20"/>
          <w:rtl/>
        </w:rPr>
        <w:t>أنشطتها</w:t>
      </w:r>
      <w:r w:rsidRPr="003E698F">
        <w:rPr>
          <w:spacing w:val="0"/>
          <w:kern w:val="0"/>
          <w:sz w:val="20"/>
          <w:rtl/>
        </w:rPr>
        <w:t xml:space="preserve"> السياسي</w:t>
      </w:r>
      <w:r w:rsidRPr="003E698F">
        <w:rPr>
          <w:rFonts w:hint="cs"/>
          <w:spacing w:val="0"/>
          <w:kern w:val="0"/>
          <w:sz w:val="20"/>
          <w:rtl/>
        </w:rPr>
        <w:t>ة</w:t>
      </w:r>
      <w:r w:rsidRPr="003E698F">
        <w:rPr>
          <w:spacing w:val="0"/>
          <w:kern w:val="0"/>
          <w:sz w:val="20"/>
          <w:rtl/>
        </w:rPr>
        <w:t>، لاحظ</w:t>
      </w:r>
      <w:r w:rsidRPr="003E698F">
        <w:rPr>
          <w:rFonts w:hint="cs"/>
          <w:spacing w:val="0"/>
          <w:kern w:val="0"/>
          <w:sz w:val="20"/>
          <w:rtl/>
        </w:rPr>
        <w:t>ت</w:t>
      </w:r>
      <w:r w:rsidRPr="003E698F">
        <w:rPr>
          <w:spacing w:val="0"/>
          <w:kern w:val="0"/>
          <w:sz w:val="20"/>
          <w:rtl/>
        </w:rPr>
        <w:t xml:space="preserve"> الدولة الطرف أن</w:t>
      </w:r>
      <w:r w:rsidRPr="003E698F">
        <w:rPr>
          <w:rFonts w:hint="cs"/>
          <w:spacing w:val="0"/>
          <w:kern w:val="0"/>
          <w:sz w:val="20"/>
          <w:rtl/>
        </w:rPr>
        <w:t xml:space="preserve"> صاحبة الشكوى تدعي حالياً أنها مستمرة في نشاطها السياسي في إطار تأييد </w:t>
      </w:r>
      <w:r w:rsidRPr="003E698F">
        <w:rPr>
          <w:spacing w:val="0"/>
          <w:kern w:val="0"/>
          <w:sz w:val="20"/>
          <w:rtl/>
        </w:rPr>
        <w:t xml:space="preserve">" </w:t>
      </w:r>
      <w:r w:rsidRPr="003E698F">
        <w:rPr>
          <w:rFonts w:hint="cs"/>
          <w:spacing w:val="0"/>
          <w:kern w:val="0"/>
          <w:sz w:val="20"/>
          <w:rtl/>
        </w:rPr>
        <w:t>تحالف</w:t>
      </w:r>
      <w:r w:rsidRPr="003E698F">
        <w:rPr>
          <w:spacing w:val="0"/>
          <w:kern w:val="0"/>
          <w:sz w:val="20"/>
          <w:rtl/>
        </w:rPr>
        <w:t xml:space="preserve"> الوطنيين من أجل إصلاح الكونغو</w:t>
      </w:r>
      <w:r w:rsidRPr="003E698F">
        <w:rPr>
          <w:rFonts w:hint="cs"/>
          <w:spacing w:val="0"/>
          <w:kern w:val="0"/>
          <w:sz w:val="20"/>
          <w:rtl/>
        </w:rPr>
        <w:t xml:space="preserve">"، لكنها </w:t>
      </w:r>
      <w:r w:rsidRPr="003E698F">
        <w:rPr>
          <w:spacing w:val="0"/>
          <w:kern w:val="0"/>
          <w:sz w:val="20"/>
          <w:rtl/>
        </w:rPr>
        <w:t xml:space="preserve">لم </w:t>
      </w:r>
      <w:r w:rsidRPr="003E698F">
        <w:rPr>
          <w:rFonts w:hint="cs"/>
          <w:spacing w:val="0"/>
          <w:kern w:val="0"/>
          <w:sz w:val="20"/>
          <w:rtl/>
        </w:rPr>
        <w:t>تقدم أدلة تدعم هذه الإدعاءات</w:t>
      </w:r>
      <w:r w:rsidRPr="003E698F">
        <w:rPr>
          <w:spacing w:val="0"/>
          <w:kern w:val="0"/>
          <w:sz w:val="20"/>
          <w:rtl/>
        </w:rPr>
        <w:t xml:space="preserve">. </w:t>
      </w:r>
      <w:r w:rsidRPr="003E698F">
        <w:rPr>
          <w:rFonts w:hint="cs"/>
          <w:spacing w:val="0"/>
          <w:kern w:val="0"/>
          <w:sz w:val="20"/>
          <w:rtl/>
        </w:rPr>
        <w:t xml:space="preserve">وأشارت إلى أنها ادعت </w:t>
      </w:r>
      <w:r w:rsidRPr="003E698F">
        <w:rPr>
          <w:spacing w:val="0"/>
          <w:kern w:val="0"/>
          <w:sz w:val="20"/>
          <w:rtl/>
        </w:rPr>
        <w:t>في جلس</w:t>
      </w:r>
      <w:r w:rsidRPr="003E698F">
        <w:rPr>
          <w:rFonts w:hint="cs"/>
          <w:spacing w:val="0"/>
          <w:kern w:val="0"/>
          <w:sz w:val="20"/>
          <w:rtl/>
        </w:rPr>
        <w:t xml:space="preserve">ة </w:t>
      </w:r>
      <w:r w:rsidRPr="003E698F">
        <w:rPr>
          <w:spacing w:val="0"/>
          <w:kern w:val="0"/>
          <w:sz w:val="20"/>
          <w:rtl/>
        </w:rPr>
        <w:t>استماع في</w:t>
      </w:r>
      <w:r w:rsidRPr="003E698F">
        <w:rPr>
          <w:rFonts w:hint="cs"/>
          <w:spacing w:val="0"/>
          <w:kern w:val="0"/>
          <w:sz w:val="20"/>
          <w:rtl/>
        </w:rPr>
        <w:t xml:space="preserve"> عام</w:t>
      </w:r>
      <w:r w:rsidRPr="003E698F">
        <w:rPr>
          <w:spacing w:val="0"/>
          <w:kern w:val="0"/>
          <w:sz w:val="20"/>
          <w:rtl/>
        </w:rPr>
        <w:t xml:space="preserve"> 2001</w:t>
      </w:r>
      <w:r w:rsidRPr="003E698F">
        <w:rPr>
          <w:rFonts w:hint="cs"/>
          <w:spacing w:val="0"/>
          <w:kern w:val="0"/>
          <w:sz w:val="20"/>
          <w:rtl/>
        </w:rPr>
        <w:t>، أنها لم تنشغل بأمور السياسة أ</w:t>
      </w:r>
      <w:r w:rsidRPr="003E698F">
        <w:rPr>
          <w:spacing w:val="0"/>
          <w:kern w:val="0"/>
          <w:sz w:val="20"/>
          <w:rtl/>
        </w:rPr>
        <w:t>بدا</w:t>
      </w:r>
      <w:r w:rsidRPr="003E698F">
        <w:rPr>
          <w:rFonts w:hint="cs"/>
          <w:spacing w:val="0"/>
          <w:kern w:val="0"/>
          <w:sz w:val="20"/>
          <w:rtl/>
        </w:rPr>
        <w:t>ً</w:t>
      </w:r>
      <w:r w:rsidRPr="003E698F">
        <w:rPr>
          <w:spacing w:val="0"/>
          <w:kern w:val="0"/>
          <w:sz w:val="20"/>
          <w:rtl/>
        </w:rPr>
        <w:t xml:space="preserve"> و</w:t>
      </w:r>
      <w:r w:rsidRPr="003E698F">
        <w:rPr>
          <w:rFonts w:hint="cs"/>
          <w:spacing w:val="0"/>
          <w:kern w:val="0"/>
          <w:sz w:val="20"/>
          <w:rtl/>
        </w:rPr>
        <w:t xml:space="preserve">لم تؤيد أي </w:t>
      </w:r>
      <w:r w:rsidRPr="003E698F">
        <w:rPr>
          <w:spacing w:val="0"/>
          <w:kern w:val="0"/>
          <w:sz w:val="20"/>
          <w:rtl/>
        </w:rPr>
        <w:t>حزب سياسي</w:t>
      </w:r>
      <w:r w:rsidR="000B4D1D">
        <w:rPr>
          <w:rFonts w:hint="cs"/>
          <w:spacing w:val="0"/>
          <w:kern w:val="0"/>
          <w:sz w:val="20"/>
          <w:rtl/>
        </w:rPr>
        <w:t xml:space="preserve"> </w:t>
      </w:r>
      <w:r w:rsidRPr="003E698F">
        <w:rPr>
          <w:rFonts w:hint="cs"/>
          <w:spacing w:val="0"/>
          <w:kern w:val="0"/>
          <w:sz w:val="20"/>
          <w:rtl/>
        </w:rPr>
        <w:t>ولم</w:t>
      </w:r>
      <w:r w:rsidR="000B4D1D">
        <w:rPr>
          <w:rFonts w:hint="eastAsia"/>
          <w:spacing w:val="0"/>
          <w:kern w:val="0"/>
          <w:sz w:val="20"/>
          <w:rtl/>
        </w:rPr>
        <w:t> </w:t>
      </w:r>
      <w:r w:rsidRPr="003E698F">
        <w:rPr>
          <w:rFonts w:hint="cs"/>
          <w:spacing w:val="0"/>
          <w:kern w:val="0"/>
          <w:sz w:val="20"/>
          <w:rtl/>
        </w:rPr>
        <w:t>تنتم إلى أي حزب</w:t>
      </w:r>
      <w:r w:rsidRPr="003E698F">
        <w:rPr>
          <w:spacing w:val="0"/>
          <w:kern w:val="0"/>
          <w:sz w:val="20"/>
          <w:rtl/>
        </w:rPr>
        <w:t>. و</w:t>
      </w:r>
      <w:r w:rsidRPr="003E698F">
        <w:rPr>
          <w:rFonts w:hint="cs"/>
          <w:spacing w:val="0"/>
          <w:kern w:val="0"/>
          <w:sz w:val="20"/>
          <w:rtl/>
        </w:rPr>
        <w:t xml:space="preserve">من ثم خلصت </w:t>
      </w:r>
      <w:r w:rsidRPr="003E698F">
        <w:rPr>
          <w:spacing w:val="0"/>
          <w:kern w:val="0"/>
          <w:sz w:val="20"/>
          <w:rtl/>
        </w:rPr>
        <w:t>الدولة الطرف إلى أن</w:t>
      </w:r>
      <w:r w:rsidRPr="003E698F">
        <w:rPr>
          <w:rFonts w:hint="cs"/>
          <w:spacing w:val="0"/>
          <w:kern w:val="0"/>
          <w:sz w:val="20"/>
          <w:rtl/>
        </w:rPr>
        <w:t xml:space="preserve"> إفادتها الملتبسة والمتخبطة غير قابلة للتصديق، وشككت في صحة </w:t>
      </w:r>
      <w:r w:rsidRPr="003E698F">
        <w:rPr>
          <w:spacing w:val="0"/>
          <w:kern w:val="0"/>
          <w:sz w:val="20"/>
          <w:rtl/>
        </w:rPr>
        <w:t>ادعا</w:t>
      </w:r>
      <w:r w:rsidRPr="003E698F">
        <w:rPr>
          <w:rFonts w:hint="cs"/>
          <w:spacing w:val="0"/>
          <w:kern w:val="0"/>
          <w:sz w:val="20"/>
          <w:rtl/>
        </w:rPr>
        <w:t>ءاتها بشأن ن</w:t>
      </w:r>
      <w:r w:rsidRPr="003E698F">
        <w:rPr>
          <w:spacing w:val="0"/>
          <w:kern w:val="0"/>
          <w:sz w:val="20"/>
          <w:rtl/>
        </w:rPr>
        <w:t>شاط</w:t>
      </w:r>
      <w:r w:rsidRPr="003E698F">
        <w:rPr>
          <w:rFonts w:hint="cs"/>
          <w:spacing w:val="0"/>
          <w:kern w:val="0"/>
          <w:sz w:val="20"/>
          <w:rtl/>
        </w:rPr>
        <w:t xml:space="preserve">ها </w:t>
      </w:r>
      <w:r w:rsidRPr="003E698F">
        <w:rPr>
          <w:spacing w:val="0"/>
          <w:kern w:val="0"/>
          <w:sz w:val="20"/>
          <w:rtl/>
        </w:rPr>
        <w:t>السياس</w:t>
      </w:r>
      <w:r w:rsidRPr="003E698F">
        <w:rPr>
          <w:rFonts w:hint="cs"/>
          <w:spacing w:val="0"/>
          <w:kern w:val="0"/>
          <w:sz w:val="20"/>
          <w:rtl/>
        </w:rPr>
        <w:t>ي الحالي.</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4-6</w:t>
      </w:r>
      <w:r w:rsidRPr="003E698F">
        <w:rPr>
          <w:rFonts w:hint="cs"/>
          <w:spacing w:val="0"/>
          <w:kern w:val="0"/>
          <w:sz w:val="20"/>
          <w:rtl/>
        </w:rPr>
        <w:tab/>
        <w:t xml:space="preserve">وادعت </w:t>
      </w:r>
      <w:r w:rsidRPr="003E698F">
        <w:rPr>
          <w:spacing w:val="0"/>
          <w:kern w:val="0"/>
          <w:sz w:val="20"/>
          <w:rtl/>
        </w:rPr>
        <w:t>الدولة الطرف</w:t>
      </w:r>
      <w:r w:rsidRPr="003E698F">
        <w:rPr>
          <w:rFonts w:hint="cs"/>
          <w:spacing w:val="0"/>
          <w:kern w:val="0"/>
          <w:sz w:val="20"/>
          <w:rtl/>
        </w:rPr>
        <w:t xml:space="preserve">، فيما يخص الحالة </w:t>
      </w:r>
      <w:r w:rsidRPr="003E698F">
        <w:rPr>
          <w:spacing w:val="0"/>
          <w:kern w:val="0"/>
          <w:sz w:val="20"/>
          <w:rtl/>
        </w:rPr>
        <w:t>الصحي</w:t>
      </w:r>
      <w:r w:rsidRPr="003E698F">
        <w:rPr>
          <w:rFonts w:hint="cs"/>
          <w:spacing w:val="0"/>
          <w:kern w:val="0"/>
          <w:sz w:val="20"/>
          <w:rtl/>
        </w:rPr>
        <w:t xml:space="preserve">ة لصاحبة الشكوى في الوقت الحاضر، أنه لا </w:t>
      </w:r>
      <w:r w:rsidRPr="003E698F">
        <w:rPr>
          <w:spacing w:val="0"/>
          <w:kern w:val="0"/>
          <w:sz w:val="20"/>
          <w:rtl/>
        </w:rPr>
        <w:t xml:space="preserve">يمكن أن </w:t>
      </w:r>
      <w:r w:rsidRPr="003E698F">
        <w:rPr>
          <w:rFonts w:hint="cs"/>
          <w:spacing w:val="0"/>
          <w:kern w:val="0"/>
          <w:sz w:val="20"/>
          <w:rtl/>
        </w:rPr>
        <w:t>ت</w:t>
      </w:r>
      <w:r w:rsidRPr="003E698F">
        <w:rPr>
          <w:spacing w:val="0"/>
          <w:kern w:val="0"/>
          <w:sz w:val="20"/>
          <w:rtl/>
        </w:rPr>
        <w:t>عزى إلى خوفه</w:t>
      </w:r>
      <w:r w:rsidRPr="003E698F">
        <w:rPr>
          <w:rFonts w:hint="cs"/>
          <w:spacing w:val="0"/>
          <w:kern w:val="0"/>
          <w:sz w:val="20"/>
          <w:rtl/>
        </w:rPr>
        <w:t>ا</w:t>
      </w:r>
      <w:r w:rsidRPr="003E698F">
        <w:rPr>
          <w:spacing w:val="0"/>
          <w:kern w:val="0"/>
          <w:sz w:val="20"/>
          <w:rtl/>
        </w:rPr>
        <w:t xml:space="preserve"> من التعرض </w:t>
      </w:r>
      <w:r w:rsidRPr="003E698F">
        <w:rPr>
          <w:rFonts w:hint="cs"/>
          <w:spacing w:val="0"/>
          <w:kern w:val="0"/>
          <w:sz w:val="20"/>
          <w:rtl/>
        </w:rPr>
        <w:t>للعنف</w:t>
      </w:r>
      <w:r w:rsidRPr="003E698F">
        <w:rPr>
          <w:spacing w:val="0"/>
          <w:kern w:val="0"/>
          <w:sz w:val="20"/>
          <w:rtl/>
        </w:rPr>
        <w:t xml:space="preserve"> </w:t>
      </w:r>
      <w:r w:rsidRPr="003E698F">
        <w:rPr>
          <w:rFonts w:hint="cs"/>
          <w:spacing w:val="0"/>
          <w:kern w:val="0"/>
          <w:sz w:val="20"/>
          <w:rtl/>
        </w:rPr>
        <w:t>في حال أُعيدت</w:t>
      </w:r>
      <w:r w:rsidRPr="003E698F">
        <w:rPr>
          <w:spacing w:val="0"/>
          <w:kern w:val="0"/>
          <w:sz w:val="20"/>
          <w:rtl/>
        </w:rPr>
        <w:t xml:space="preserve"> إلى جمهورية الكونغو الديمقراطية، و</w:t>
      </w:r>
      <w:r w:rsidRPr="003E698F">
        <w:rPr>
          <w:rFonts w:hint="cs"/>
          <w:spacing w:val="0"/>
          <w:kern w:val="0"/>
          <w:sz w:val="20"/>
          <w:rtl/>
        </w:rPr>
        <w:t>إنما إلى عدم مزاولتها لأي عمل ف</w:t>
      </w:r>
      <w:r w:rsidRPr="003E698F">
        <w:rPr>
          <w:spacing w:val="0"/>
          <w:kern w:val="0"/>
          <w:sz w:val="20"/>
          <w:rtl/>
        </w:rPr>
        <w:t>ي سويسرا. و</w:t>
      </w:r>
      <w:r w:rsidRPr="003E698F">
        <w:rPr>
          <w:rFonts w:hint="cs"/>
          <w:spacing w:val="0"/>
          <w:kern w:val="0"/>
          <w:sz w:val="20"/>
          <w:rtl/>
        </w:rPr>
        <w:t xml:space="preserve">هي </w:t>
      </w:r>
      <w:r w:rsidRPr="003E698F">
        <w:rPr>
          <w:spacing w:val="0"/>
          <w:kern w:val="0"/>
          <w:sz w:val="20"/>
          <w:rtl/>
        </w:rPr>
        <w:t xml:space="preserve">علاوة على ذلك، </w:t>
      </w:r>
      <w:r w:rsidRPr="003E698F">
        <w:rPr>
          <w:rFonts w:hint="cs"/>
          <w:spacing w:val="0"/>
          <w:kern w:val="0"/>
          <w:sz w:val="20"/>
          <w:rtl/>
        </w:rPr>
        <w:t xml:space="preserve">لا تعاني من حالة صحية تبلغ من الخطورة ما يحول </w:t>
      </w:r>
      <w:r w:rsidRPr="003E698F">
        <w:rPr>
          <w:spacing w:val="0"/>
          <w:kern w:val="0"/>
          <w:sz w:val="20"/>
          <w:rtl/>
        </w:rPr>
        <w:t xml:space="preserve">دون تنفيذ </w:t>
      </w:r>
      <w:r w:rsidRPr="003E698F">
        <w:rPr>
          <w:rFonts w:hint="cs"/>
          <w:spacing w:val="0"/>
          <w:kern w:val="0"/>
          <w:sz w:val="20"/>
          <w:rtl/>
        </w:rPr>
        <w:t>أمر ترحيلها</w:t>
      </w:r>
      <w:r w:rsidRPr="003E698F">
        <w:rPr>
          <w:spacing w:val="0"/>
          <w:kern w:val="0"/>
          <w:sz w:val="20"/>
          <w:rtl/>
        </w:rPr>
        <w:t xml:space="preserve">، </w:t>
      </w:r>
      <w:r w:rsidRPr="003E698F">
        <w:rPr>
          <w:rFonts w:hint="cs"/>
          <w:spacing w:val="0"/>
          <w:kern w:val="0"/>
          <w:sz w:val="20"/>
          <w:rtl/>
        </w:rPr>
        <w:t>ولا</w:t>
      </w:r>
      <w:r w:rsidRPr="003E698F">
        <w:rPr>
          <w:rFonts w:hint="eastAsia"/>
          <w:spacing w:val="0"/>
          <w:kern w:val="0"/>
          <w:sz w:val="20"/>
          <w:rtl/>
        </w:rPr>
        <w:t> </w:t>
      </w:r>
      <w:r w:rsidRPr="003E698F">
        <w:rPr>
          <w:rFonts w:hint="cs"/>
          <w:spacing w:val="0"/>
          <w:kern w:val="0"/>
          <w:sz w:val="20"/>
          <w:rtl/>
        </w:rPr>
        <w:t>سيما أ</w:t>
      </w:r>
      <w:r w:rsidRPr="003E698F">
        <w:rPr>
          <w:spacing w:val="0"/>
          <w:kern w:val="0"/>
          <w:sz w:val="20"/>
          <w:rtl/>
        </w:rPr>
        <w:t>ن</w:t>
      </w:r>
      <w:r w:rsidRPr="003E698F">
        <w:rPr>
          <w:rFonts w:hint="cs"/>
          <w:spacing w:val="0"/>
          <w:kern w:val="0"/>
          <w:sz w:val="20"/>
          <w:rtl/>
        </w:rPr>
        <w:t xml:space="preserve"> بإمكانها التماس مساعدة مالية لدى عودتها واستشارة </w:t>
      </w:r>
      <w:r w:rsidRPr="003E698F">
        <w:rPr>
          <w:spacing w:val="0"/>
          <w:kern w:val="0"/>
          <w:sz w:val="20"/>
          <w:rtl/>
        </w:rPr>
        <w:t xml:space="preserve">طبيب في جمهورية الكونغو الديمقراطية. </w:t>
      </w:r>
      <w:r w:rsidRPr="003E698F">
        <w:rPr>
          <w:rFonts w:hint="cs"/>
          <w:spacing w:val="0"/>
          <w:kern w:val="0"/>
          <w:sz w:val="20"/>
          <w:rtl/>
        </w:rPr>
        <w:t>وأخيراً</w:t>
      </w:r>
      <w:r w:rsidRPr="003E698F">
        <w:rPr>
          <w:spacing w:val="0"/>
          <w:kern w:val="0"/>
          <w:sz w:val="20"/>
          <w:rtl/>
        </w:rPr>
        <w:t xml:space="preserve">، </w:t>
      </w:r>
      <w:r w:rsidRPr="003E698F">
        <w:rPr>
          <w:rFonts w:hint="cs"/>
          <w:spacing w:val="0"/>
          <w:kern w:val="0"/>
          <w:sz w:val="20"/>
          <w:rtl/>
        </w:rPr>
        <w:t>أكدت</w:t>
      </w:r>
      <w:r w:rsidRPr="003E698F">
        <w:rPr>
          <w:spacing w:val="0"/>
          <w:kern w:val="0"/>
          <w:sz w:val="20"/>
          <w:rtl/>
        </w:rPr>
        <w:t xml:space="preserve"> الدولة الطرف </w:t>
      </w:r>
      <w:r w:rsidRPr="003E698F">
        <w:rPr>
          <w:rFonts w:hint="cs"/>
          <w:spacing w:val="0"/>
          <w:kern w:val="0"/>
          <w:sz w:val="20"/>
          <w:rtl/>
        </w:rPr>
        <w:t>مجدداً عدم وجود أ</w:t>
      </w:r>
      <w:r w:rsidRPr="003E698F">
        <w:rPr>
          <w:spacing w:val="0"/>
          <w:kern w:val="0"/>
          <w:sz w:val="20"/>
          <w:rtl/>
        </w:rPr>
        <w:t>سباب</w:t>
      </w:r>
      <w:r w:rsidRPr="003E698F">
        <w:rPr>
          <w:rFonts w:hint="cs"/>
          <w:spacing w:val="0"/>
          <w:kern w:val="0"/>
          <w:sz w:val="20"/>
          <w:rtl/>
        </w:rPr>
        <w:t xml:space="preserve"> حقيقية تدعو إ</w:t>
      </w:r>
      <w:r w:rsidRPr="003E698F">
        <w:rPr>
          <w:spacing w:val="0"/>
          <w:kern w:val="0"/>
          <w:sz w:val="20"/>
          <w:rtl/>
        </w:rPr>
        <w:t xml:space="preserve">لى </w:t>
      </w:r>
      <w:r w:rsidRPr="003E698F">
        <w:rPr>
          <w:rFonts w:hint="cs"/>
          <w:spacing w:val="0"/>
          <w:kern w:val="0"/>
          <w:sz w:val="20"/>
          <w:rtl/>
        </w:rPr>
        <w:t xml:space="preserve">الاعتقاد بأن </w:t>
      </w:r>
      <w:r w:rsidRPr="003E698F">
        <w:rPr>
          <w:spacing w:val="0"/>
          <w:kern w:val="0"/>
          <w:sz w:val="20"/>
          <w:rtl/>
        </w:rPr>
        <w:t>صاحب</w:t>
      </w:r>
      <w:r w:rsidRPr="003E698F">
        <w:rPr>
          <w:rFonts w:hint="cs"/>
          <w:spacing w:val="0"/>
          <w:kern w:val="0"/>
          <w:sz w:val="20"/>
          <w:rtl/>
        </w:rPr>
        <w:t>ة</w:t>
      </w:r>
      <w:r w:rsidRPr="003E698F">
        <w:rPr>
          <w:spacing w:val="0"/>
          <w:kern w:val="0"/>
          <w:sz w:val="20"/>
          <w:rtl/>
        </w:rPr>
        <w:t xml:space="preserve"> </w:t>
      </w:r>
      <w:r w:rsidRPr="003E698F">
        <w:rPr>
          <w:rFonts w:hint="cs"/>
          <w:spacing w:val="0"/>
          <w:kern w:val="0"/>
          <w:sz w:val="20"/>
          <w:rtl/>
        </w:rPr>
        <w:t>الشكوى</w:t>
      </w:r>
      <w:r w:rsidRPr="003E698F">
        <w:rPr>
          <w:spacing w:val="0"/>
          <w:kern w:val="0"/>
          <w:sz w:val="20"/>
          <w:rtl/>
        </w:rPr>
        <w:t xml:space="preserve"> </w:t>
      </w:r>
      <w:r w:rsidRPr="003E698F">
        <w:rPr>
          <w:rFonts w:hint="cs"/>
          <w:spacing w:val="0"/>
          <w:kern w:val="0"/>
          <w:sz w:val="20"/>
          <w:rtl/>
        </w:rPr>
        <w:t>تواجه خطرا</w:t>
      </w:r>
      <w:r w:rsidR="00090555">
        <w:rPr>
          <w:rFonts w:hint="cs"/>
          <w:spacing w:val="0"/>
          <w:kern w:val="0"/>
          <w:sz w:val="20"/>
          <w:rtl/>
        </w:rPr>
        <w:t>ً</w:t>
      </w:r>
      <w:r w:rsidRPr="003E698F">
        <w:rPr>
          <w:rFonts w:hint="cs"/>
          <w:spacing w:val="0"/>
          <w:kern w:val="0"/>
          <w:sz w:val="20"/>
          <w:rtl/>
        </w:rPr>
        <w:t xml:space="preserve"> محددا</w:t>
      </w:r>
      <w:r w:rsidR="00090555">
        <w:rPr>
          <w:rFonts w:hint="cs"/>
          <w:spacing w:val="0"/>
          <w:kern w:val="0"/>
          <w:sz w:val="20"/>
          <w:rtl/>
        </w:rPr>
        <w:t>ً</w:t>
      </w:r>
      <w:r w:rsidRPr="003E698F">
        <w:rPr>
          <w:rFonts w:hint="cs"/>
          <w:spacing w:val="0"/>
          <w:kern w:val="0"/>
          <w:sz w:val="20"/>
          <w:rtl/>
        </w:rPr>
        <w:t xml:space="preserve"> و</w:t>
      </w:r>
      <w:r w:rsidRPr="003E698F">
        <w:rPr>
          <w:spacing w:val="0"/>
          <w:kern w:val="0"/>
          <w:sz w:val="20"/>
          <w:rtl/>
        </w:rPr>
        <w:t xml:space="preserve">شخصياً </w:t>
      </w:r>
      <w:r w:rsidRPr="003E698F">
        <w:rPr>
          <w:rFonts w:hint="cs"/>
          <w:spacing w:val="0"/>
          <w:kern w:val="0"/>
          <w:sz w:val="20"/>
          <w:rtl/>
        </w:rPr>
        <w:t xml:space="preserve">بالتعرض </w:t>
      </w:r>
      <w:r w:rsidRPr="003E698F">
        <w:rPr>
          <w:spacing w:val="0"/>
          <w:kern w:val="0"/>
          <w:sz w:val="20"/>
          <w:rtl/>
        </w:rPr>
        <w:t xml:space="preserve">للتعذيب </w:t>
      </w:r>
      <w:r w:rsidRPr="003E698F">
        <w:rPr>
          <w:rFonts w:hint="cs"/>
          <w:spacing w:val="0"/>
          <w:kern w:val="0"/>
          <w:sz w:val="20"/>
          <w:rtl/>
        </w:rPr>
        <w:t>في حال</w:t>
      </w:r>
      <w:r w:rsidRPr="003E698F">
        <w:rPr>
          <w:spacing w:val="0"/>
          <w:kern w:val="0"/>
          <w:sz w:val="20"/>
          <w:rtl/>
        </w:rPr>
        <w:t xml:space="preserve"> عودته</w:t>
      </w:r>
      <w:r w:rsidRPr="003E698F">
        <w:rPr>
          <w:rFonts w:hint="cs"/>
          <w:spacing w:val="0"/>
          <w:kern w:val="0"/>
          <w:sz w:val="20"/>
          <w:rtl/>
        </w:rPr>
        <w:t>ا</w:t>
      </w:r>
      <w:r w:rsidRPr="003E698F">
        <w:rPr>
          <w:spacing w:val="0"/>
          <w:kern w:val="0"/>
          <w:sz w:val="20"/>
          <w:rtl/>
        </w:rPr>
        <w:t xml:space="preserve"> إلى جمهورية الكونغو الديمقراطي</w:t>
      </w:r>
      <w:r w:rsidRPr="003E698F">
        <w:rPr>
          <w:rFonts w:hint="cs"/>
          <w:spacing w:val="0"/>
          <w:kern w:val="0"/>
          <w:sz w:val="20"/>
          <w:rtl/>
        </w:rPr>
        <w:t>ة.</w:t>
      </w:r>
    </w:p>
    <w:p w:rsidR="00921F02" w:rsidRPr="003E698F" w:rsidRDefault="00921F02" w:rsidP="00921F02">
      <w:pPr>
        <w:pStyle w:val="H23GA"/>
        <w:jc w:val="lowKashida"/>
        <w:rPr>
          <w:spacing w:val="0"/>
          <w:kern w:val="0"/>
          <w:sz w:val="20"/>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تعليق</w:t>
      </w:r>
      <w:r w:rsidRPr="003E698F">
        <w:rPr>
          <w:rFonts w:hint="cs"/>
          <w:spacing w:val="0"/>
          <w:kern w:val="0"/>
          <w:sz w:val="20"/>
          <w:rtl/>
        </w:rPr>
        <w:t>ات صاحبة البلاغ على ملاحظات الدولة الطرف بشأن الأسس الموضوعية</w:t>
      </w:r>
    </w:p>
    <w:p w:rsidR="00921F02" w:rsidRPr="003E698F" w:rsidRDefault="00921F02" w:rsidP="00921F02">
      <w:pPr>
        <w:pStyle w:val="SingleTxtGA"/>
        <w:jc w:val="lowKashida"/>
        <w:rPr>
          <w:spacing w:val="0"/>
          <w:kern w:val="0"/>
          <w:sz w:val="20"/>
        </w:rPr>
      </w:pPr>
      <w:r w:rsidRPr="003E698F">
        <w:rPr>
          <w:rFonts w:hint="cs"/>
          <w:spacing w:val="0"/>
          <w:kern w:val="0"/>
          <w:sz w:val="20"/>
          <w:rtl/>
        </w:rPr>
        <w:t>5-1</w:t>
      </w:r>
      <w:r w:rsidRPr="003E698F">
        <w:rPr>
          <w:rFonts w:hint="cs"/>
          <w:spacing w:val="0"/>
          <w:kern w:val="0"/>
          <w:sz w:val="20"/>
          <w:rtl/>
        </w:rPr>
        <w:tab/>
      </w:r>
      <w:r w:rsidRPr="003E698F">
        <w:rPr>
          <w:spacing w:val="0"/>
          <w:kern w:val="0"/>
          <w:sz w:val="20"/>
          <w:rtl/>
        </w:rPr>
        <w:t xml:space="preserve">في 26 </w:t>
      </w:r>
      <w:r w:rsidRPr="003E698F">
        <w:rPr>
          <w:rFonts w:hint="cs"/>
          <w:spacing w:val="0"/>
          <w:kern w:val="0"/>
          <w:sz w:val="20"/>
          <w:rtl/>
        </w:rPr>
        <w:t>آذار/</w:t>
      </w:r>
      <w:r w:rsidRPr="003E698F">
        <w:rPr>
          <w:spacing w:val="0"/>
          <w:kern w:val="0"/>
          <w:sz w:val="20"/>
          <w:rtl/>
        </w:rPr>
        <w:t xml:space="preserve">مارس 2009، </w:t>
      </w:r>
      <w:r w:rsidRPr="003E698F">
        <w:rPr>
          <w:rFonts w:hint="cs"/>
          <w:spacing w:val="0"/>
          <w:kern w:val="0"/>
          <w:sz w:val="20"/>
          <w:rtl/>
        </w:rPr>
        <w:t>ادعت صاحبة الشكوى أن ال</w:t>
      </w:r>
      <w:r w:rsidRPr="003E698F">
        <w:rPr>
          <w:spacing w:val="0"/>
          <w:kern w:val="0"/>
          <w:sz w:val="20"/>
          <w:rtl/>
        </w:rPr>
        <w:t xml:space="preserve">دولة الطرف اعترفت </w:t>
      </w:r>
      <w:r w:rsidRPr="003E698F">
        <w:rPr>
          <w:rFonts w:hint="cs"/>
          <w:spacing w:val="0"/>
          <w:kern w:val="0"/>
          <w:sz w:val="20"/>
          <w:rtl/>
        </w:rPr>
        <w:t>ب</w:t>
      </w:r>
      <w:r w:rsidRPr="003E698F">
        <w:rPr>
          <w:spacing w:val="0"/>
          <w:kern w:val="0"/>
          <w:sz w:val="20"/>
          <w:rtl/>
        </w:rPr>
        <w:t xml:space="preserve">وجود نمط ثابت من انتهاكات حقوق الإنسان </w:t>
      </w:r>
      <w:r w:rsidRPr="003E698F">
        <w:rPr>
          <w:rFonts w:hint="cs"/>
          <w:spacing w:val="0"/>
          <w:kern w:val="0"/>
          <w:sz w:val="20"/>
          <w:rtl/>
        </w:rPr>
        <w:t xml:space="preserve">في </w:t>
      </w:r>
      <w:r w:rsidRPr="003E698F">
        <w:rPr>
          <w:spacing w:val="0"/>
          <w:kern w:val="0"/>
          <w:sz w:val="20"/>
          <w:rtl/>
        </w:rPr>
        <w:t>جمهورية الكونغو الديمقراطية، وأن هذ</w:t>
      </w:r>
      <w:r w:rsidRPr="003E698F">
        <w:rPr>
          <w:rFonts w:hint="cs"/>
          <w:spacing w:val="0"/>
          <w:kern w:val="0"/>
          <w:sz w:val="20"/>
          <w:rtl/>
        </w:rPr>
        <w:t>ه الحالة لها صلة</w:t>
      </w:r>
      <w:r w:rsidRPr="00B32542">
        <w:rPr>
          <w:rFonts w:hint="cs"/>
          <w:spacing w:val="0"/>
          <w:kern w:val="0"/>
          <w:sz w:val="20"/>
          <w:rtl/>
        </w:rPr>
        <w:t xml:space="preserve"> </w:t>
      </w:r>
      <w:r w:rsidRPr="003E698F">
        <w:rPr>
          <w:spacing w:val="0"/>
          <w:kern w:val="0"/>
          <w:sz w:val="20"/>
          <w:rtl/>
        </w:rPr>
        <w:t>مباشر</w:t>
      </w:r>
      <w:r w:rsidRPr="003E698F">
        <w:rPr>
          <w:rFonts w:hint="cs"/>
          <w:spacing w:val="0"/>
          <w:kern w:val="0"/>
          <w:sz w:val="20"/>
          <w:rtl/>
        </w:rPr>
        <w:t>ة</w:t>
      </w:r>
      <w:r w:rsidRPr="003E698F">
        <w:rPr>
          <w:spacing w:val="0"/>
          <w:kern w:val="0"/>
          <w:sz w:val="20"/>
          <w:rtl/>
        </w:rPr>
        <w:t xml:space="preserve"> </w:t>
      </w:r>
      <w:r w:rsidRPr="003E698F">
        <w:rPr>
          <w:rFonts w:hint="cs"/>
          <w:spacing w:val="0"/>
          <w:kern w:val="0"/>
          <w:sz w:val="20"/>
          <w:rtl/>
        </w:rPr>
        <w:t>بالمخاطر التي قد تواجهها في حال عودتها</w:t>
      </w:r>
      <w:r w:rsidRPr="003E698F">
        <w:rPr>
          <w:spacing w:val="0"/>
          <w:kern w:val="0"/>
          <w:sz w:val="20"/>
          <w:rtl/>
        </w:rPr>
        <w:t>. و</w:t>
      </w:r>
      <w:r w:rsidRPr="003E698F">
        <w:rPr>
          <w:rFonts w:hint="cs"/>
          <w:spacing w:val="0"/>
          <w:kern w:val="0"/>
          <w:sz w:val="20"/>
          <w:rtl/>
        </w:rPr>
        <w:t xml:space="preserve">تحدثت </w:t>
      </w:r>
      <w:r w:rsidRPr="003E698F">
        <w:rPr>
          <w:spacing w:val="0"/>
          <w:kern w:val="0"/>
          <w:sz w:val="20"/>
          <w:rtl/>
        </w:rPr>
        <w:t>أيضا</w:t>
      </w:r>
      <w:r w:rsidRPr="003E698F">
        <w:rPr>
          <w:rFonts w:hint="cs"/>
          <w:spacing w:val="0"/>
          <w:kern w:val="0"/>
          <w:sz w:val="20"/>
          <w:rtl/>
        </w:rPr>
        <w:t>ً عن</w:t>
      </w:r>
      <w:r w:rsidRPr="003E698F">
        <w:rPr>
          <w:spacing w:val="0"/>
          <w:kern w:val="0"/>
          <w:sz w:val="20"/>
          <w:rtl/>
        </w:rPr>
        <w:t xml:space="preserve"> مخاوف </w:t>
      </w:r>
      <w:r w:rsidRPr="003E698F">
        <w:rPr>
          <w:rFonts w:hint="cs"/>
          <w:spacing w:val="0"/>
          <w:kern w:val="0"/>
          <w:sz w:val="20"/>
          <w:rtl/>
        </w:rPr>
        <w:t xml:space="preserve">موضوعية انتابتها بعد هروبها ولا سيما بعد توجيه </w:t>
      </w:r>
      <w:r w:rsidRPr="003E698F">
        <w:rPr>
          <w:spacing w:val="0"/>
          <w:kern w:val="0"/>
          <w:sz w:val="20"/>
          <w:rtl/>
        </w:rPr>
        <w:t xml:space="preserve">تهديدات </w:t>
      </w:r>
      <w:r w:rsidRPr="003E698F">
        <w:rPr>
          <w:rFonts w:hint="cs"/>
          <w:spacing w:val="0"/>
          <w:kern w:val="0"/>
          <w:sz w:val="20"/>
          <w:rtl/>
        </w:rPr>
        <w:t xml:space="preserve">إلى </w:t>
      </w:r>
      <w:r w:rsidRPr="003E698F">
        <w:rPr>
          <w:spacing w:val="0"/>
          <w:kern w:val="0"/>
          <w:sz w:val="20"/>
          <w:rtl/>
        </w:rPr>
        <w:t>والدته</w:t>
      </w:r>
      <w:r w:rsidRPr="003E698F">
        <w:rPr>
          <w:rFonts w:hint="cs"/>
          <w:spacing w:val="0"/>
          <w:kern w:val="0"/>
          <w:sz w:val="20"/>
          <w:rtl/>
        </w:rPr>
        <w:t>ا</w:t>
      </w:r>
      <w:r w:rsidRPr="003E698F">
        <w:rPr>
          <w:spacing w:val="0"/>
          <w:kern w:val="0"/>
          <w:sz w:val="20"/>
          <w:rtl/>
        </w:rPr>
        <w:t>. و</w:t>
      </w:r>
      <w:r w:rsidRPr="003E698F">
        <w:rPr>
          <w:rFonts w:hint="cs"/>
          <w:spacing w:val="0"/>
          <w:kern w:val="0"/>
          <w:sz w:val="20"/>
          <w:rtl/>
        </w:rPr>
        <w:t>أكدت مجدداً أن المق</w:t>
      </w:r>
      <w:r w:rsidRPr="003E698F">
        <w:rPr>
          <w:spacing w:val="0"/>
          <w:kern w:val="0"/>
          <w:sz w:val="20"/>
          <w:rtl/>
        </w:rPr>
        <w:t>ال</w:t>
      </w:r>
      <w:r w:rsidRPr="003E698F">
        <w:rPr>
          <w:rFonts w:hint="cs"/>
          <w:spacing w:val="0"/>
          <w:kern w:val="0"/>
          <w:sz w:val="20"/>
          <w:rtl/>
        </w:rPr>
        <w:t>ين ال</w:t>
      </w:r>
      <w:r w:rsidRPr="003E698F">
        <w:rPr>
          <w:spacing w:val="0"/>
          <w:kern w:val="0"/>
          <w:sz w:val="20"/>
          <w:rtl/>
        </w:rPr>
        <w:t>صحف</w:t>
      </w:r>
      <w:r w:rsidRPr="003E698F">
        <w:rPr>
          <w:rFonts w:hint="cs"/>
          <w:spacing w:val="0"/>
          <w:kern w:val="0"/>
          <w:sz w:val="20"/>
          <w:rtl/>
        </w:rPr>
        <w:t xml:space="preserve">يين اللذين </w:t>
      </w:r>
      <w:r w:rsidRPr="003E698F">
        <w:rPr>
          <w:spacing w:val="0"/>
          <w:kern w:val="0"/>
          <w:sz w:val="20"/>
          <w:rtl/>
        </w:rPr>
        <w:t>قدمته</w:t>
      </w:r>
      <w:r w:rsidRPr="003E698F">
        <w:rPr>
          <w:rFonts w:hint="cs"/>
          <w:spacing w:val="0"/>
          <w:kern w:val="0"/>
          <w:sz w:val="20"/>
          <w:rtl/>
        </w:rPr>
        <w:t>ما يمثلان أدلة موضوعية على ا</w:t>
      </w:r>
      <w:r w:rsidRPr="003E698F">
        <w:rPr>
          <w:spacing w:val="0"/>
          <w:kern w:val="0"/>
          <w:sz w:val="20"/>
          <w:rtl/>
        </w:rPr>
        <w:t>لمخاطر ال</w:t>
      </w:r>
      <w:r w:rsidRPr="003E698F">
        <w:rPr>
          <w:rFonts w:hint="cs"/>
          <w:spacing w:val="0"/>
          <w:kern w:val="0"/>
          <w:sz w:val="20"/>
          <w:rtl/>
        </w:rPr>
        <w:t>تي تحدق بها</w:t>
      </w:r>
      <w:r w:rsidRPr="003E698F">
        <w:rPr>
          <w:spacing w:val="0"/>
          <w:kern w:val="0"/>
          <w:sz w:val="20"/>
          <w:rtl/>
        </w:rPr>
        <w:t xml:space="preserve">. </w:t>
      </w:r>
      <w:r w:rsidRPr="003E698F">
        <w:rPr>
          <w:rFonts w:hint="cs"/>
          <w:spacing w:val="0"/>
          <w:kern w:val="0"/>
          <w:sz w:val="20"/>
          <w:rtl/>
        </w:rPr>
        <w:t>وادعت أنها</w:t>
      </w:r>
      <w:r w:rsidRPr="003E698F">
        <w:rPr>
          <w:spacing w:val="0"/>
          <w:kern w:val="0"/>
          <w:sz w:val="20"/>
          <w:rtl/>
        </w:rPr>
        <w:t xml:space="preserve"> </w:t>
      </w:r>
      <w:r w:rsidRPr="003E698F">
        <w:rPr>
          <w:rFonts w:hint="cs"/>
          <w:spacing w:val="0"/>
          <w:kern w:val="0"/>
          <w:sz w:val="20"/>
          <w:rtl/>
        </w:rPr>
        <w:t>تمارس في الوقت الحالي</w:t>
      </w:r>
      <w:r w:rsidRPr="003E698F">
        <w:rPr>
          <w:spacing w:val="0"/>
          <w:kern w:val="0"/>
          <w:sz w:val="20"/>
          <w:rtl/>
        </w:rPr>
        <w:t xml:space="preserve"> أنشط</w:t>
      </w:r>
      <w:r w:rsidRPr="003E698F">
        <w:rPr>
          <w:rFonts w:hint="cs"/>
          <w:spacing w:val="0"/>
          <w:kern w:val="0"/>
          <w:sz w:val="20"/>
          <w:rtl/>
        </w:rPr>
        <w:t xml:space="preserve">ة </w:t>
      </w:r>
      <w:r w:rsidRPr="003E698F">
        <w:rPr>
          <w:spacing w:val="0"/>
          <w:kern w:val="0"/>
          <w:sz w:val="20"/>
          <w:rtl/>
        </w:rPr>
        <w:t xml:space="preserve">سياسية </w:t>
      </w:r>
      <w:r w:rsidRPr="003E698F">
        <w:rPr>
          <w:rFonts w:hint="cs"/>
          <w:spacing w:val="0"/>
          <w:kern w:val="0"/>
          <w:sz w:val="20"/>
          <w:rtl/>
        </w:rPr>
        <w:t xml:space="preserve">في إطار </w:t>
      </w:r>
      <w:r w:rsidRPr="003E698F">
        <w:rPr>
          <w:spacing w:val="0"/>
          <w:kern w:val="0"/>
          <w:sz w:val="20"/>
          <w:rtl/>
        </w:rPr>
        <w:t>"تحالف الوطنيين من أجل إصلاح الكونغو</w:t>
      </w:r>
      <w:r w:rsidRPr="003E698F">
        <w:rPr>
          <w:rFonts w:hint="cs"/>
          <w:spacing w:val="0"/>
          <w:kern w:val="0"/>
          <w:sz w:val="20"/>
          <w:rtl/>
        </w:rPr>
        <w:t>"</w:t>
      </w:r>
      <w:r w:rsidRPr="003E698F">
        <w:rPr>
          <w:spacing w:val="0"/>
          <w:kern w:val="0"/>
          <w:sz w:val="20"/>
          <w:rtl/>
        </w:rPr>
        <w:t>،</w:t>
      </w:r>
      <w:r w:rsidRPr="003E698F">
        <w:rPr>
          <w:rFonts w:hint="cs"/>
          <w:spacing w:val="0"/>
          <w:kern w:val="0"/>
          <w:sz w:val="20"/>
          <w:rtl/>
        </w:rPr>
        <w:t xml:space="preserve"> بهدف إذكاء الوعي ونشر رسالة سياسية</w:t>
      </w:r>
      <w:r w:rsidRPr="003E698F">
        <w:rPr>
          <w:spacing w:val="0"/>
          <w:kern w:val="0"/>
          <w:sz w:val="20"/>
          <w:rtl/>
        </w:rPr>
        <w:t xml:space="preserve">. لذلك </w:t>
      </w:r>
      <w:r w:rsidRPr="003E698F">
        <w:rPr>
          <w:rFonts w:hint="cs"/>
          <w:spacing w:val="0"/>
          <w:kern w:val="0"/>
          <w:sz w:val="20"/>
          <w:rtl/>
        </w:rPr>
        <w:t>فهي معروفة بال</w:t>
      </w:r>
      <w:r w:rsidRPr="003E698F">
        <w:rPr>
          <w:spacing w:val="0"/>
          <w:kern w:val="0"/>
          <w:sz w:val="20"/>
          <w:rtl/>
        </w:rPr>
        <w:t>اسم</w:t>
      </w:r>
      <w:r w:rsidRPr="003E698F">
        <w:rPr>
          <w:rFonts w:hint="cs"/>
          <w:spacing w:val="0"/>
          <w:kern w:val="0"/>
          <w:sz w:val="20"/>
          <w:rtl/>
        </w:rPr>
        <w:t xml:space="preserve"> وال</w:t>
      </w:r>
      <w:r w:rsidRPr="003E698F">
        <w:rPr>
          <w:spacing w:val="0"/>
          <w:kern w:val="0"/>
          <w:sz w:val="20"/>
          <w:rtl/>
        </w:rPr>
        <w:t>وجه</w:t>
      </w:r>
      <w:r w:rsidRPr="003E698F">
        <w:rPr>
          <w:rFonts w:hint="cs"/>
          <w:spacing w:val="0"/>
          <w:kern w:val="0"/>
          <w:sz w:val="20"/>
          <w:rtl/>
        </w:rPr>
        <w:t xml:space="preserve"> لدى الأوساط الكونغولية في سويسرا ومن ثم، لدى </w:t>
      </w:r>
      <w:r w:rsidRPr="003E698F">
        <w:rPr>
          <w:spacing w:val="0"/>
          <w:kern w:val="0"/>
          <w:sz w:val="20"/>
          <w:rtl/>
        </w:rPr>
        <w:t>السلطات الكونغولية</w:t>
      </w:r>
      <w:r w:rsidRPr="003E698F">
        <w:rPr>
          <w:spacing w:val="0"/>
          <w:kern w:val="0"/>
          <w:sz w:val="20"/>
        </w:rPr>
        <w:t>.</w:t>
      </w:r>
    </w:p>
    <w:p w:rsidR="00921F02" w:rsidRPr="003E698F" w:rsidRDefault="00921F02" w:rsidP="009E31FC">
      <w:pPr>
        <w:pStyle w:val="SingleTxtGA"/>
        <w:jc w:val="lowKashida"/>
        <w:rPr>
          <w:rFonts w:hint="cs"/>
          <w:spacing w:val="0"/>
          <w:kern w:val="0"/>
          <w:sz w:val="20"/>
        </w:rPr>
      </w:pPr>
      <w:r w:rsidRPr="003E698F">
        <w:rPr>
          <w:rFonts w:hint="cs"/>
          <w:spacing w:val="0"/>
          <w:kern w:val="0"/>
          <w:sz w:val="20"/>
          <w:rtl/>
        </w:rPr>
        <w:t>5-2</w:t>
      </w:r>
      <w:r w:rsidRPr="003E698F">
        <w:rPr>
          <w:rFonts w:hint="cs"/>
          <w:spacing w:val="0"/>
          <w:kern w:val="0"/>
          <w:sz w:val="20"/>
          <w:rtl/>
        </w:rPr>
        <w:tab/>
        <w:t>وأكدت صاحبة الشكوى أنها لم تأت على ذكر حادثة اغتصابها أمام السلطات السويسرية لأ</w:t>
      </w:r>
      <w:r w:rsidRPr="003E698F">
        <w:rPr>
          <w:spacing w:val="0"/>
          <w:kern w:val="0"/>
          <w:sz w:val="20"/>
          <w:rtl/>
        </w:rPr>
        <w:t>ن</w:t>
      </w:r>
      <w:r w:rsidRPr="003E698F">
        <w:rPr>
          <w:rFonts w:hint="cs"/>
          <w:spacing w:val="0"/>
          <w:kern w:val="0"/>
          <w:sz w:val="20"/>
          <w:rtl/>
        </w:rPr>
        <w:t xml:space="preserve">ها لم تقوَ بفعل تأثير الصدمة على </w:t>
      </w:r>
      <w:r w:rsidRPr="003E698F">
        <w:rPr>
          <w:spacing w:val="0"/>
          <w:kern w:val="0"/>
          <w:sz w:val="20"/>
          <w:rtl/>
        </w:rPr>
        <w:t>كشف</w:t>
      </w:r>
      <w:r w:rsidRPr="003E698F">
        <w:rPr>
          <w:rFonts w:hint="cs"/>
          <w:spacing w:val="0"/>
          <w:kern w:val="0"/>
          <w:sz w:val="20"/>
          <w:rtl/>
        </w:rPr>
        <w:t>ها آنذاك</w:t>
      </w:r>
      <w:r w:rsidRPr="003E698F">
        <w:rPr>
          <w:spacing w:val="0"/>
          <w:kern w:val="0"/>
          <w:sz w:val="20"/>
          <w:rtl/>
        </w:rPr>
        <w:t xml:space="preserve">. </w:t>
      </w:r>
      <w:r w:rsidRPr="003E698F">
        <w:rPr>
          <w:rFonts w:hint="cs"/>
          <w:spacing w:val="0"/>
          <w:kern w:val="0"/>
          <w:sz w:val="20"/>
          <w:rtl/>
        </w:rPr>
        <w:t>واعتبرت</w:t>
      </w:r>
      <w:r w:rsidRPr="003E698F">
        <w:rPr>
          <w:spacing w:val="0"/>
          <w:kern w:val="0"/>
          <w:sz w:val="20"/>
          <w:rtl/>
        </w:rPr>
        <w:t xml:space="preserve"> أن وضعها الصحي </w:t>
      </w:r>
      <w:r w:rsidRPr="003E698F">
        <w:rPr>
          <w:rFonts w:hint="cs"/>
          <w:spacing w:val="0"/>
          <w:kern w:val="0"/>
          <w:sz w:val="20"/>
          <w:rtl/>
        </w:rPr>
        <w:t xml:space="preserve">حالياً يمثل عاملاً </w:t>
      </w:r>
      <w:r w:rsidRPr="003E698F">
        <w:rPr>
          <w:spacing w:val="0"/>
          <w:kern w:val="0"/>
          <w:sz w:val="20"/>
          <w:rtl/>
        </w:rPr>
        <w:t>مهم</w:t>
      </w:r>
      <w:r w:rsidRPr="003E698F">
        <w:rPr>
          <w:rFonts w:hint="cs"/>
          <w:spacing w:val="0"/>
          <w:kern w:val="0"/>
          <w:sz w:val="20"/>
          <w:rtl/>
        </w:rPr>
        <w:t xml:space="preserve">اً </w:t>
      </w:r>
      <w:r w:rsidRPr="003E698F">
        <w:rPr>
          <w:spacing w:val="0"/>
          <w:kern w:val="0"/>
          <w:sz w:val="20"/>
          <w:rtl/>
        </w:rPr>
        <w:t xml:space="preserve">ينبغي </w:t>
      </w:r>
      <w:r w:rsidRPr="003E698F">
        <w:rPr>
          <w:rFonts w:hint="cs"/>
          <w:spacing w:val="0"/>
          <w:kern w:val="0"/>
          <w:sz w:val="20"/>
          <w:rtl/>
        </w:rPr>
        <w:t xml:space="preserve">مراعاته في </w:t>
      </w:r>
      <w:r w:rsidRPr="003E698F">
        <w:rPr>
          <w:spacing w:val="0"/>
          <w:kern w:val="0"/>
          <w:sz w:val="20"/>
          <w:rtl/>
        </w:rPr>
        <w:t xml:space="preserve">تقييم المخاطر </w:t>
      </w:r>
      <w:r w:rsidRPr="003E698F">
        <w:rPr>
          <w:rFonts w:hint="cs"/>
          <w:spacing w:val="0"/>
          <w:kern w:val="0"/>
          <w:sz w:val="20"/>
          <w:rtl/>
        </w:rPr>
        <w:t xml:space="preserve">التي قد تتعرض لها </w:t>
      </w:r>
      <w:r w:rsidRPr="003E698F">
        <w:rPr>
          <w:spacing w:val="0"/>
          <w:kern w:val="0"/>
          <w:sz w:val="20"/>
          <w:rtl/>
        </w:rPr>
        <w:t>في حال</w:t>
      </w:r>
      <w:r w:rsidRPr="003E698F">
        <w:rPr>
          <w:rFonts w:hint="cs"/>
          <w:spacing w:val="0"/>
          <w:kern w:val="0"/>
          <w:sz w:val="20"/>
          <w:rtl/>
        </w:rPr>
        <w:t xml:space="preserve"> ترحيلها</w:t>
      </w:r>
      <w:r w:rsidRPr="003E698F">
        <w:rPr>
          <w:spacing w:val="0"/>
          <w:kern w:val="0"/>
          <w:sz w:val="20"/>
          <w:rtl/>
        </w:rPr>
        <w:t>، بما</w:t>
      </w:r>
      <w:r w:rsidR="009E31FC">
        <w:rPr>
          <w:rFonts w:hint="cs"/>
          <w:spacing w:val="0"/>
          <w:kern w:val="0"/>
          <w:sz w:val="20"/>
          <w:rtl/>
        </w:rPr>
        <w:t> </w:t>
      </w:r>
      <w:r w:rsidRPr="003E698F">
        <w:rPr>
          <w:spacing w:val="0"/>
          <w:kern w:val="0"/>
          <w:sz w:val="20"/>
          <w:rtl/>
        </w:rPr>
        <w:t>في ذلك خطر الانتحار. وأخيرا، طلب</w:t>
      </w:r>
      <w:r w:rsidRPr="003E698F">
        <w:rPr>
          <w:rFonts w:hint="cs"/>
          <w:spacing w:val="0"/>
          <w:kern w:val="0"/>
          <w:sz w:val="20"/>
          <w:rtl/>
        </w:rPr>
        <w:t>ت</w:t>
      </w:r>
      <w:r w:rsidRPr="003E698F">
        <w:rPr>
          <w:spacing w:val="0"/>
          <w:kern w:val="0"/>
          <w:sz w:val="20"/>
          <w:rtl/>
        </w:rPr>
        <w:t xml:space="preserve"> </w:t>
      </w:r>
      <w:r w:rsidRPr="003E698F">
        <w:rPr>
          <w:rFonts w:hint="cs"/>
          <w:spacing w:val="0"/>
          <w:kern w:val="0"/>
          <w:sz w:val="20"/>
          <w:rtl/>
        </w:rPr>
        <w:t xml:space="preserve">صاحبة الشكوى إلى اللجنة أن </w:t>
      </w:r>
      <w:r w:rsidRPr="003E698F">
        <w:rPr>
          <w:spacing w:val="0"/>
          <w:kern w:val="0"/>
          <w:sz w:val="20"/>
          <w:rtl/>
        </w:rPr>
        <w:t>ت</w:t>
      </w:r>
      <w:r w:rsidRPr="003E698F">
        <w:rPr>
          <w:rFonts w:hint="cs"/>
          <w:spacing w:val="0"/>
          <w:kern w:val="0"/>
          <w:sz w:val="20"/>
          <w:rtl/>
        </w:rPr>
        <w:t>أ</w:t>
      </w:r>
      <w:r w:rsidRPr="003E698F">
        <w:rPr>
          <w:spacing w:val="0"/>
          <w:kern w:val="0"/>
          <w:sz w:val="20"/>
          <w:rtl/>
        </w:rPr>
        <w:t>خذ</w:t>
      </w:r>
      <w:r w:rsidRPr="003E698F">
        <w:rPr>
          <w:rFonts w:hint="cs"/>
          <w:spacing w:val="0"/>
          <w:kern w:val="0"/>
          <w:sz w:val="20"/>
          <w:rtl/>
        </w:rPr>
        <w:t xml:space="preserve"> في الاعتبار </w:t>
      </w:r>
      <w:r w:rsidRPr="003E698F">
        <w:rPr>
          <w:spacing w:val="0"/>
          <w:kern w:val="0"/>
          <w:sz w:val="20"/>
          <w:rtl/>
        </w:rPr>
        <w:t xml:space="preserve">المخاطر التي تواجهها النساء </w:t>
      </w:r>
      <w:r w:rsidRPr="003E698F">
        <w:rPr>
          <w:rFonts w:hint="cs"/>
          <w:spacing w:val="0"/>
          <w:kern w:val="0"/>
          <w:sz w:val="20"/>
          <w:rtl/>
        </w:rPr>
        <w:t>بشكل خاص</w:t>
      </w:r>
      <w:r w:rsidRPr="003E698F">
        <w:rPr>
          <w:spacing w:val="0"/>
          <w:kern w:val="0"/>
          <w:sz w:val="20"/>
          <w:rtl/>
        </w:rPr>
        <w:t xml:space="preserve">، </w:t>
      </w:r>
      <w:r w:rsidRPr="003E698F">
        <w:rPr>
          <w:rFonts w:hint="cs"/>
          <w:spacing w:val="0"/>
          <w:kern w:val="0"/>
          <w:sz w:val="20"/>
          <w:rtl/>
        </w:rPr>
        <w:t>وأكدت</w:t>
      </w:r>
      <w:r w:rsidRPr="003E698F">
        <w:rPr>
          <w:spacing w:val="0"/>
          <w:kern w:val="0"/>
          <w:sz w:val="20"/>
          <w:rtl/>
        </w:rPr>
        <w:t xml:space="preserve"> أن نشاطه</w:t>
      </w:r>
      <w:r w:rsidRPr="003E698F">
        <w:rPr>
          <w:rFonts w:hint="cs"/>
          <w:spacing w:val="0"/>
          <w:kern w:val="0"/>
          <w:sz w:val="20"/>
          <w:rtl/>
        </w:rPr>
        <w:t>ا</w:t>
      </w:r>
      <w:r w:rsidRPr="003E698F">
        <w:rPr>
          <w:spacing w:val="0"/>
          <w:kern w:val="0"/>
          <w:sz w:val="20"/>
          <w:rtl/>
        </w:rPr>
        <w:t xml:space="preserve"> السياسي في سويسرا </w:t>
      </w:r>
      <w:r w:rsidRPr="003E698F">
        <w:rPr>
          <w:rFonts w:hint="cs"/>
          <w:spacing w:val="0"/>
          <w:kern w:val="0"/>
          <w:sz w:val="20"/>
          <w:rtl/>
        </w:rPr>
        <w:t>يعرضها ل</w:t>
      </w:r>
      <w:r w:rsidRPr="003E698F">
        <w:rPr>
          <w:spacing w:val="0"/>
          <w:kern w:val="0"/>
          <w:sz w:val="20"/>
          <w:rtl/>
        </w:rPr>
        <w:t xml:space="preserve">خطر </w:t>
      </w:r>
      <w:r w:rsidRPr="003E698F">
        <w:rPr>
          <w:rFonts w:hint="cs"/>
          <w:spacing w:val="0"/>
          <w:kern w:val="0"/>
          <w:sz w:val="20"/>
          <w:rtl/>
        </w:rPr>
        <w:t>فعلي</w:t>
      </w:r>
      <w:r w:rsidRPr="003E698F">
        <w:rPr>
          <w:spacing w:val="0"/>
          <w:kern w:val="0"/>
          <w:sz w:val="20"/>
          <w:rtl/>
        </w:rPr>
        <w:t xml:space="preserve"> </w:t>
      </w:r>
      <w:r w:rsidRPr="003E698F">
        <w:rPr>
          <w:rFonts w:hint="cs"/>
          <w:spacing w:val="0"/>
          <w:kern w:val="0"/>
          <w:sz w:val="20"/>
          <w:rtl/>
        </w:rPr>
        <w:t>في حال عودتها إلى بلدها.</w:t>
      </w:r>
    </w:p>
    <w:p w:rsidR="00921F02" w:rsidRPr="003E698F" w:rsidRDefault="00921F02" w:rsidP="00921F02">
      <w:pPr>
        <w:pStyle w:val="H23GA"/>
        <w:jc w:val="lowKashida"/>
        <w:rPr>
          <w:spacing w:val="0"/>
          <w:kern w:val="0"/>
          <w:sz w:val="20"/>
        </w:rPr>
      </w:pPr>
      <w:r w:rsidRPr="003E698F">
        <w:rPr>
          <w:rFonts w:hint="cs"/>
          <w:spacing w:val="0"/>
          <w:kern w:val="0"/>
          <w:sz w:val="20"/>
          <w:rtl/>
        </w:rPr>
        <w:tab/>
      </w:r>
      <w:r w:rsidRPr="003E698F">
        <w:rPr>
          <w:rFonts w:hint="cs"/>
          <w:spacing w:val="0"/>
          <w:kern w:val="0"/>
          <w:sz w:val="20"/>
          <w:rtl/>
        </w:rPr>
        <w:tab/>
        <w:t xml:space="preserve">معلومات </w:t>
      </w:r>
      <w:r w:rsidRPr="003E698F">
        <w:rPr>
          <w:spacing w:val="0"/>
          <w:kern w:val="0"/>
          <w:sz w:val="20"/>
          <w:rtl/>
        </w:rPr>
        <w:t>إضافية مقدمة من صاحب</w:t>
      </w:r>
      <w:r w:rsidRPr="003E698F">
        <w:rPr>
          <w:rFonts w:hint="cs"/>
          <w:spacing w:val="0"/>
          <w:kern w:val="0"/>
          <w:sz w:val="20"/>
          <w:rtl/>
        </w:rPr>
        <w:t>ة الشكوى</w:t>
      </w:r>
    </w:p>
    <w:p w:rsidR="00921F02" w:rsidRPr="003E698F" w:rsidRDefault="00921F02" w:rsidP="000B4D1D">
      <w:pPr>
        <w:pStyle w:val="SingleTxtGA"/>
        <w:jc w:val="lowKashida"/>
        <w:rPr>
          <w:rFonts w:hint="cs"/>
          <w:spacing w:val="0"/>
          <w:kern w:val="0"/>
          <w:sz w:val="20"/>
        </w:rPr>
      </w:pPr>
      <w:r w:rsidRPr="00B32542">
        <w:rPr>
          <w:rFonts w:hint="cs"/>
          <w:spacing w:val="-2"/>
          <w:kern w:val="0"/>
          <w:sz w:val="20"/>
          <w:rtl/>
        </w:rPr>
        <w:t>6-1</w:t>
      </w:r>
      <w:r w:rsidRPr="00B32542">
        <w:rPr>
          <w:rFonts w:hint="cs"/>
          <w:spacing w:val="-2"/>
          <w:kern w:val="0"/>
          <w:sz w:val="20"/>
          <w:rtl/>
        </w:rPr>
        <w:tab/>
        <w:t>ف</w:t>
      </w:r>
      <w:r w:rsidRPr="00B32542">
        <w:rPr>
          <w:spacing w:val="-2"/>
          <w:kern w:val="0"/>
          <w:sz w:val="20"/>
          <w:rtl/>
        </w:rPr>
        <w:t>ي 15 نيسان</w:t>
      </w:r>
      <w:r w:rsidRPr="00B32542">
        <w:rPr>
          <w:rFonts w:hint="cs"/>
          <w:spacing w:val="-2"/>
          <w:kern w:val="0"/>
          <w:sz w:val="20"/>
          <w:rtl/>
        </w:rPr>
        <w:t>/أبريل</w:t>
      </w:r>
      <w:r w:rsidRPr="00B32542">
        <w:rPr>
          <w:spacing w:val="-2"/>
          <w:kern w:val="0"/>
          <w:sz w:val="20"/>
          <w:rtl/>
        </w:rPr>
        <w:t xml:space="preserve"> 2010، أبلغ</w:t>
      </w:r>
      <w:r w:rsidRPr="00B32542">
        <w:rPr>
          <w:rFonts w:hint="cs"/>
          <w:spacing w:val="-2"/>
          <w:kern w:val="0"/>
          <w:sz w:val="20"/>
          <w:rtl/>
        </w:rPr>
        <w:t xml:space="preserve">ت صاحبة الشكوى اللجنة بأنها قدمت </w:t>
      </w:r>
      <w:r w:rsidRPr="00B32542">
        <w:rPr>
          <w:spacing w:val="-2"/>
          <w:kern w:val="0"/>
          <w:sz w:val="20"/>
          <w:rtl/>
        </w:rPr>
        <w:t>طلب</w:t>
      </w:r>
      <w:r w:rsidRPr="00B32542">
        <w:rPr>
          <w:rFonts w:hint="cs"/>
          <w:spacing w:val="-2"/>
          <w:kern w:val="0"/>
          <w:sz w:val="20"/>
          <w:rtl/>
        </w:rPr>
        <w:t xml:space="preserve">اً </w:t>
      </w:r>
      <w:r w:rsidRPr="00B32542">
        <w:rPr>
          <w:spacing w:val="-2"/>
          <w:kern w:val="0"/>
          <w:sz w:val="20"/>
          <w:rtl/>
        </w:rPr>
        <w:t xml:space="preserve">للحصول على تصريح </w:t>
      </w:r>
      <w:r w:rsidRPr="00B32542">
        <w:rPr>
          <w:rFonts w:hint="cs"/>
          <w:spacing w:val="-2"/>
          <w:kern w:val="0"/>
          <w:sz w:val="20"/>
          <w:rtl/>
        </w:rPr>
        <w:t>ال</w:t>
      </w:r>
      <w:r w:rsidRPr="00B32542">
        <w:rPr>
          <w:spacing w:val="-2"/>
          <w:kern w:val="0"/>
          <w:sz w:val="20"/>
          <w:rtl/>
        </w:rPr>
        <w:t xml:space="preserve">إقامة </w:t>
      </w:r>
      <w:r w:rsidRPr="00B32542">
        <w:rPr>
          <w:rFonts w:hint="cs"/>
          <w:spacing w:val="-2"/>
          <w:kern w:val="0"/>
          <w:sz w:val="20"/>
          <w:rtl/>
        </w:rPr>
        <w:t xml:space="preserve">بسبب </w:t>
      </w:r>
      <w:r w:rsidRPr="00B32542">
        <w:rPr>
          <w:spacing w:val="-2"/>
          <w:kern w:val="0"/>
          <w:sz w:val="20"/>
          <w:rtl/>
        </w:rPr>
        <w:t>"</w:t>
      </w:r>
      <w:r w:rsidRPr="00B32542">
        <w:rPr>
          <w:rFonts w:hint="cs"/>
          <w:spacing w:val="-2"/>
          <w:kern w:val="0"/>
          <w:sz w:val="20"/>
          <w:rtl/>
        </w:rPr>
        <w:t>حالة الضيق" بموجب المادة 14(2) من قانون اللجوء</w:t>
      </w:r>
      <w:r w:rsidRPr="00B32542">
        <w:rPr>
          <w:rFonts w:hint="cs"/>
          <w:spacing w:val="-2"/>
          <w:kern w:val="0"/>
          <w:sz w:val="20"/>
          <w:szCs w:val="28"/>
          <w:vertAlign w:val="superscript"/>
          <w:rtl/>
        </w:rPr>
        <w:t>(</w:t>
      </w:r>
      <w:r w:rsidRPr="00B32542">
        <w:rPr>
          <w:rStyle w:val="FootnoteReference"/>
          <w:spacing w:val="-2"/>
          <w:sz w:val="20"/>
          <w:rtl/>
        </w:rPr>
        <w:footnoteReference w:id="180"/>
      </w:r>
      <w:r w:rsidRPr="00B32542">
        <w:rPr>
          <w:rFonts w:hint="cs"/>
          <w:spacing w:val="-2"/>
          <w:kern w:val="0"/>
          <w:sz w:val="20"/>
          <w:szCs w:val="28"/>
          <w:vertAlign w:val="superscript"/>
          <w:rtl/>
        </w:rPr>
        <w:t>)</w:t>
      </w:r>
      <w:r w:rsidRPr="00B32542">
        <w:rPr>
          <w:rFonts w:hint="cs"/>
          <w:spacing w:val="-2"/>
          <w:kern w:val="0"/>
          <w:sz w:val="20"/>
          <w:rtl/>
        </w:rPr>
        <w:t>.</w:t>
      </w:r>
      <w:r w:rsidRPr="00B32542">
        <w:rPr>
          <w:rFonts w:hint="cs"/>
          <w:spacing w:val="-2"/>
          <w:kern w:val="0"/>
          <w:sz w:val="20"/>
          <w:rtl/>
          <w:lang/>
        </w:rPr>
        <w:t xml:space="preserve"> </w:t>
      </w:r>
      <w:r w:rsidRPr="00B32542">
        <w:rPr>
          <w:spacing w:val="-2"/>
          <w:kern w:val="0"/>
          <w:sz w:val="20"/>
          <w:rtl/>
        </w:rPr>
        <w:t>ورفض المكتب الاتحادي للهجر</w:t>
      </w:r>
      <w:r w:rsidRPr="00B32542">
        <w:rPr>
          <w:rFonts w:hint="cs"/>
          <w:spacing w:val="-2"/>
          <w:kern w:val="0"/>
          <w:sz w:val="20"/>
          <w:rtl/>
        </w:rPr>
        <w:t xml:space="preserve">ة </w:t>
      </w:r>
      <w:r w:rsidRPr="00B32542">
        <w:rPr>
          <w:spacing w:val="-2"/>
          <w:kern w:val="0"/>
          <w:sz w:val="20"/>
          <w:rtl/>
        </w:rPr>
        <w:t>الطلب الأول</w:t>
      </w:r>
      <w:r w:rsidRPr="00B32542">
        <w:rPr>
          <w:rFonts w:hint="cs"/>
          <w:spacing w:val="-2"/>
          <w:kern w:val="0"/>
          <w:sz w:val="20"/>
          <w:rtl/>
        </w:rPr>
        <w:t>ي</w:t>
      </w:r>
      <w:r w:rsidRPr="00B32542">
        <w:rPr>
          <w:spacing w:val="-2"/>
          <w:kern w:val="0"/>
          <w:sz w:val="20"/>
          <w:rtl/>
        </w:rPr>
        <w:t xml:space="preserve"> </w:t>
      </w:r>
      <w:r w:rsidRPr="00B32542">
        <w:rPr>
          <w:rFonts w:hint="cs"/>
          <w:spacing w:val="-2"/>
          <w:kern w:val="0"/>
          <w:sz w:val="20"/>
          <w:rtl/>
        </w:rPr>
        <w:t xml:space="preserve">بتاريخ </w:t>
      </w:r>
      <w:r w:rsidRPr="00B32542">
        <w:rPr>
          <w:spacing w:val="-2"/>
          <w:kern w:val="0"/>
          <w:sz w:val="20"/>
          <w:rtl/>
        </w:rPr>
        <w:t xml:space="preserve">13 </w:t>
      </w:r>
      <w:r w:rsidRPr="00B32542">
        <w:rPr>
          <w:rFonts w:hint="cs"/>
          <w:spacing w:val="-2"/>
          <w:kern w:val="0"/>
          <w:sz w:val="20"/>
          <w:rtl/>
        </w:rPr>
        <w:t>كانون الثاني/</w:t>
      </w:r>
      <w:r w:rsidRPr="00B32542">
        <w:rPr>
          <w:spacing w:val="-2"/>
          <w:kern w:val="0"/>
          <w:sz w:val="20"/>
          <w:rtl/>
        </w:rPr>
        <w:t>يناير 2010</w:t>
      </w:r>
      <w:r w:rsidRPr="00B32542">
        <w:rPr>
          <w:rFonts w:hint="cs"/>
          <w:spacing w:val="-2"/>
          <w:kern w:val="0"/>
          <w:sz w:val="20"/>
          <w:rtl/>
        </w:rPr>
        <w:t xml:space="preserve">، ثم رفض الطعن بتاريخ 12 </w:t>
      </w:r>
      <w:r w:rsidRPr="00B32542">
        <w:rPr>
          <w:spacing w:val="-2"/>
          <w:kern w:val="0"/>
          <w:sz w:val="20"/>
          <w:rtl/>
        </w:rPr>
        <w:t>شباط</w:t>
      </w:r>
      <w:r w:rsidRPr="00B32542">
        <w:rPr>
          <w:rFonts w:hint="cs"/>
          <w:spacing w:val="-2"/>
          <w:kern w:val="0"/>
          <w:sz w:val="20"/>
          <w:rtl/>
        </w:rPr>
        <w:t>/فبراير</w:t>
      </w:r>
      <w:r w:rsidRPr="00B32542">
        <w:rPr>
          <w:spacing w:val="-2"/>
          <w:kern w:val="0"/>
          <w:sz w:val="20"/>
          <w:rtl/>
        </w:rPr>
        <w:t xml:space="preserve"> </w:t>
      </w:r>
      <w:r w:rsidRPr="00B32542">
        <w:rPr>
          <w:rFonts w:hint="cs"/>
          <w:spacing w:val="-2"/>
          <w:kern w:val="0"/>
          <w:sz w:val="20"/>
          <w:rtl/>
        </w:rPr>
        <w:t>2010</w:t>
      </w:r>
      <w:r w:rsidRPr="00B32542">
        <w:rPr>
          <w:spacing w:val="-2"/>
          <w:kern w:val="0"/>
          <w:sz w:val="20"/>
          <w:rtl/>
        </w:rPr>
        <w:t xml:space="preserve">، </w:t>
      </w:r>
      <w:r w:rsidRPr="00B32542">
        <w:rPr>
          <w:rFonts w:hint="cs"/>
          <w:spacing w:val="-2"/>
          <w:kern w:val="0"/>
          <w:sz w:val="20"/>
          <w:rtl/>
        </w:rPr>
        <w:t>لسبب أساسي هو أن صاحبة</w:t>
      </w:r>
      <w:r w:rsidRPr="003E698F">
        <w:rPr>
          <w:rFonts w:hint="cs"/>
          <w:spacing w:val="0"/>
          <w:kern w:val="0"/>
          <w:sz w:val="20"/>
          <w:rtl/>
        </w:rPr>
        <w:t xml:space="preserve"> الشكوى لا</w:t>
      </w:r>
      <w:r w:rsidRPr="003E698F">
        <w:rPr>
          <w:rFonts w:hint="eastAsia"/>
          <w:spacing w:val="0"/>
          <w:kern w:val="0"/>
          <w:sz w:val="20"/>
          <w:rtl/>
        </w:rPr>
        <w:t> </w:t>
      </w:r>
      <w:r w:rsidRPr="003E698F">
        <w:rPr>
          <w:rFonts w:hint="cs"/>
          <w:spacing w:val="0"/>
          <w:kern w:val="0"/>
          <w:sz w:val="20"/>
          <w:rtl/>
        </w:rPr>
        <w:t>تستوفي ال</w:t>
      </w:r>
      <w:r w:rsidRPr="003E698F">
        <w:rPr>
          <w:spacing w:val="0"/>
          <w:kern w:val="0"/>
          <w:sz w:val="20"/>
          <w:rtl/>
        </w:rPr>
        <w:t xml:space="preserve">شروط </w:t>
      </w:r>
      <w:r w:rsidRPr="003E698F">
        <w:rPr>
          <w:rFonts w:hint="cs"/>
          <w:spacing w:val="0"/>
          <w:kern w:val="0"/>
          <w:sz w:val="20"/>
          <w:rtl/>
        </w:rPr>
        <w:t>المنصوص عليها</w:t>
      </w:r>
      <w:r w:rsidRPr="003E698F">
        <w:rPr>
          <w:spacing w:val="0"/>
          <w:kern w:val="0"/>
          <w:sz w:val="20"/>
          <w:rtl/>
        </w:rPr>
        <w:t xml:space="preserve"> في المادة 14(2) من قانون اللجوء، </w:t>
      </w:r>
      <w:r w:rsidRPr="003E698F">
        <w:rPr>
          <w:rFonts w:hint="cs"/>
          <w:spacing w:val="0"/>
          <w:kern w:val="0"/>
          <w:sz w:val="20"/>
          <w:rtl/>
        </w:rPr>
        <w:t>ولم يمض على إقامتها في سويسرا سوى 8 سن</w:t>
      </w:r>
      <w:r w:rsidRPr="003E698F">
        <w:rPr>
          <w:spacing w:val="0"/>
          <w:kern w:val="0"/>
          <w:sz w:val="20"/>
          <w:rtl/>
        </w:rPr>
        <w:t xml:space="preserve">وات، </w:t>
      </w:r>
      <w:r w:rsidRPr="003E698F">
        <w:rPr>
          <w:rFonts w:hint="cs"/>
          <w:spacing w:val="0"/>
          <w:kern w:val="0"/>
          <w:sz w:val="20"/>
          <w:rtl/>
        </w:rPr>
        <w:t>ولم تبرهن على أنها اندمجت في البلد بالقدر الكافي على الصعيد الا</w:t>
      </w:r>
      <w:r w:rsidRPr="003E698F">
        <w:rPr>
          <w:spacing w:val="0"/>
          <w:kern w:val="0"/>
          <w:sz w:val="20"/>
          <w:rtl/>
        </w:rPr>
        <w:t xml:space="preserve">جتماعي </w:t>
      </w:r>
      <w:r w:rsidRPr="003E698F">
        <w:rPr>
          <w:rFonts w:hint="cs"/>
          <w:spacing w:val="0"/>
          <w:kern w:val="0"/>
          <w:sz w:val="20"/>
          <w:rtl/>
        </w:rPr>
        <w:t>والمهني والأسري</w:t>
      </w:r>
      <w:r w:rsidRPr="003E698F">
        <w:rPr>
          <w:spacing w:val="0"/>
          <w:kern w:val="0"/>
          <w:sz w:val="20"/>
          <w:rtl/>
        </w:rPr>
        <w:t xml:space="preserve">. </w:t>
      </w:r>
      <w:r w:rsidRPr="003E698F">
        <w:rPr>
          <w:rFonts w:hint="cs"/>
          <w:spacing w:val="0"/>
          <w:kern w:val="0"/>
          <w:sz w:val="20"/>
          <w:rtl/>
        </w:rPr>
        <w:t>وأشار المكتب الاتحادي للهجرة أيضاً إلى عدم وجود ما يوحي بأن صاحبة الشكوى</w:t>
      </w:r>
      <w:r w:rsidRPr="003E698F">
        <w:rPr>
          <w:spacing w:val="0"/>
          <w:kern w:val="0"/>
          <w:sz w:val="20"/>
          <w:rtl/>
        </w:rPr>
        <w:t xml:space="preserve"> ل</w:t>
      </w:r>
      <w:r w:rsidRPr="003E698F">
        <w:rPr>
          <w:rFonts w:hint="cs"/>
          <w:spacing w:val="0"/>
          <w:kern w:val="0"/>
          <w:sz w:val="20"/>
          <w:rtl/>
        </w:rPr>
        <w:t xml:space="preserve">ن تفلح في الاندماج من جديد في </w:t>
      </w:r>
      <w:r w:rsidRPr="003E698F">
        <w:rPr>
          <w:spacing w:val="0"/>
          <w:kern w:val="0"/>
          <w:sz w:val="20"/>
          <w:rtl/>
        </w:rPr>
        <w:t>جمهورية الكونغو الديمقراطية</w:t>
      </w:r>
      <w:r w:rsidRPr="003E698F">
        <w:rPr>
          <w:rFonts w:hint="cs"/>
          <w:spacing w:val="0"/>
          <w:kern w:val="0"/>
          <w:sz w:val="20"/>
          <w:rtl/>
        </w:rPr>
        <w:t xml:space="preserve"> التي لم</w:t>
      </w:r>
      <w:r w:rsidR="000B4D1D">
        <w:rPr>
          <w:rFonts w:hint="eastAsia"/>
          <w:spacing w:val="0"/>
          <w:kern w:val="0"/>
          <w:sz w:val="20"/>
          <w:rtl/>
        </w:rPr>
        <w:t> </w:t>
      </w:r>
      <w:r w:rsidRPr="003E698F">
        <w:rPr>
          <w:rFonts w:hint="cs"/>
          <w:spacing w:val="0"/>
          <w:kern w:val="0"/>
          <w:sz w:val="20"/>
          <w:rtl/>
        </w:rPr>
        <w:t>تغادرها إلا في سن</w:t>
      </w:r>
      <w:r w:rsidRPr="003E698F">
        <w:rPr>
          <w:spacing w:val="0"/>
          <w:kern w:val="0"/>
          <w:sz w:val="20"/>
          <w:rtl/>
        </w:rPr>
        <w:t xml:space="preserve"> </w:t>
      </w:r>
      <w:r w:rsidRPr="003E698F">
        <w:rPr>
          <w:rFonts w:hint="cs"/>
          <w:spacing w:val="0"/>
          <w:kern w:val="0"/>
          <w:sz w:val="20"/>
          <w:rtl/>
        </w:rPr>
        <w:t xml:space="preserve">متأخرة إذ كان عمرها آنذاك </w:t>
      </w:r>
      <w:r w:rsidRPr="003E698F">
        <w:rPr>
          <w:spacing w:val="0"/>
          <w:kern w:val="0"/>
          <w:sz w:val="20"/>
          <w:rtl/>
        </w:rPr>
        <w:t>27 عاما</w:t>
      </w:r>
      <w:r w:rsidRPr="003E698F">
        <w:rPr>
          <w:rFonts w:hint="cs"/>
          <w:spacing w:val="0"/>
          <w:kern w:val="0"/>
          <w:sz w:val="20"/>
          <w:rtl/>
        </w:rPr>
        <w:t>ً.</w:t>
      </w:r>
    </w:p>
    <w:p w:rsidR="00921F02" w:rsidRPr="004A748F" w:rsidRDefault="00921F02" w:rsidP="004A748F">
      <w:pPr>
        <w:pStyle w:val="SingleTxtGA"/>
        <w:jc w:val="lowKashida"/>
        <w:rPr>
          <w:rFonts w:hint="cs"/>
          <w:spacing w:val="-2"/>
          <w:kern w:val="0"/>
          <w:sz w:val="20"/>
          <w:rtl/>
        </w:rPr>
      </w:pPr>
      <w:r w:rsidRPr="004A748F">
        <w:rPr>
          <w:rFonts w:hint="cs"/>
          <w:spacing w:val="-2"/>
          <w:kern w:val="0"/>
          <w:sz w:val="20"/>
          <w:rtl/>
        </w:rPr>
        <w:t>6-2</w:t>
      </w:r>
      <w:r w:rsidRPr="004A748F">
        <w:rPr>
          <w:rFonts w:hint="cs"/>
          <w:spacing w:val="-2"/>
          <w:kern w:val="0"/>
          <w:sz w:val="20"/>
          <w:rtl/>
        </w:rPr>
        <w:tab/>
        <w:t>وفي 15 تشرين الأول/</w:t>
      </w:r>
      <w:r w:rsidRPr="004A748F">
        <w:rPr>
          <w:spacing w:val="-2"/>
          <w:kern w:val="0"/>
          <w:sz w:val="20"/>
          <w:rtl/>
        </w:rPr>
        <w:t xml:space="preserve">أكتوبر 2010، </w:t>
      </w:r>
      <w:r w:rsidRPr="004A748F">
        <w:rPr>
          <w:rFonts w:hint="cs"/>
          <w:spacing w:val="-2"/>
          <w:kern w:val="0"/>
          <w:sz w:val="20"/>
          <w:rtl/>
        </w:rPr>
        <w:t>أ</w:t>
      </w:r>
      <w:r w:rsidRPr="004A748F">
        <w:rPr>
          <w:spacing w:val="-2"/>
          <w:kern w:val="0"/>
          <w:sz w:val="20"/>
          <w:rtl/>
        </w:rPr>
        <w:t>بلغت</w:t>
      </w:r>
      <w:r w:rsidRPr="004A748F">
        <w:rPr>
          <w:rFonts w:hint="cs"/>
          <w:spacing w:val="-2"/>
          <w:kern w:val="0"/>
          <w:sz w:val="20"/>
          <w:rtl/>
        </w:rPr>
        <w:t xml:space="preserve"> صاحبة الشكوى</w:t>
      </w:r>
      <w:r w:rsidRPr="004A748F">
        <w:rPr>
          <w:spacing w:val="-2"/>
          <w:kern w:val="0"/>
          <w:sz w:val="20"/>
          <w:rtl/>
        </w:rPr>
        <w:t xml:space="preserve"> اللجنة بأنها </w:t>
      </w:r>
      <w:r w:rsidRPr="004A748F">
        <w:rPr>
          <w:rFonts w:hint="cs"/>
          <w:spacing w:val="-2"/>
          <w:kern w:val="0"/>
          <w:sz w:val="20"/>
          <w:rtl/>
        </w:rPr>
        <w:t>رفعت دعوى استئناف في كانون الثاني/</w:t>
      </w:r>
      <w:r w:rsidRPr="004A748F">
        <w:rPr>
          <w:spacing w:val="-2"/>
          <w:kern w:val="0"/>
          <w:sz w:val="20"/>
          <w:rtl/>
        </w:rPr>
        <w:t>يناير 2010</w:t>
      </w:r>
      <w:r w:rsidRPr="004A748F">
        <w:rPr>
          <w:rFonts w:hint="cs"/>
          <w:spacing w:val="-2"/>
          <w:kern w:val="0"/>
          <w:sz w:val="20"/>
          <w:rtl/>
        </w:rPr>
        <w:t>، ضد ال</w:t>
      </w:r>
      <w:r w:rsidRPr="004A748F">
        <w:rPr>
          <w:spacing w:val="-2"/>
          <w:kern w:val="0"/>
          <w:sz w:val="20"/>
          <w:rtl/>
        </w:rPr>
        <w:t xml:space="preserve">قرار </w:t>
      </w:r>
      <w:r w:rsidRPr="004A748F">
        <w:rPr>
          <w:rFonts w:hint="cs"/>
          <w:spacing w:val="-2"/>
          <w:kern w:val="0"/>
          <w:sz w:val="20"/>
          <w:rtl/>
        </w:rPr>
        <w:t xml:space="preserve">الأخير للمكتب الاتحادي للهجرة المشار إليه أعلاه. وفي </w:t>
      </w:r>
      <w:r w:rsidRPr="004A748F">
        <w:rPr>
          <w:spacing w:val="-2"/>
          <w:kern w:val="0"/>
          <w:sz w:val="20"/>
          <w:rtl/>
        </w:rPr>
        <w:t xml:space="preserve">14 </w:t>
      </w:r>
      <w:r w:rsidRPr="004A748F">
        <w:rPr>
          <w:rFonts w:hint="cs"/>
          <w:spacing w:val="-2"/>
          <w:kern w:val="0"/>
          <w:sz w:val="20"/>
          <w:rtl/>
        </w:rPr>
        <w:t>أيار/</w:t>
      </w:r>
      <w:r w:rsidRPr="004A748F">
        <w:rPr>
          <w:spacing w:val="-2"/>
          <w:kern w:val="0"/>
          <w:sz w:val="20"/>
          <w:rtl/>
        </w:rPr>
        <w:t>مايو 2010، رفضت المحكمة الإدارية الاتحادية</w:t>
      </w:r>
      <w:r w:rsidRPr="004A748F">
        <w:rPr>
          <w:spacing w:val="-2"/>
          <w:kern w:val="0"/>
          <w:sz w:val="20"/>
        </w:rPr>
        <w:t xml:space="preserve"> </w:t>
      </w:r>
      <w:r w:rsidRPr="004A748F">
        <w:rPr>
          <w:spacing w:val="-2"/>
          <w:kern w:val="0"/>
          <w:sz w:val="20"/>
          <w:rtl/>
        </w:rPr>
        <w:t>طلبه</w:t>
      </w:r>
      <w:r w:rsidRPr="004A748F">
        <w:rPr>
          <w:rFonts w:hint="cs"/>
          <w:spacing w:val="-2"/>
          <w:kern w:val="0"/>
          <w:sz w:val="20"/>
          <w:rtl/>
        </w:rPr>
        <w:t>ا ا</w:t>
      </w:r>
      <w:r w:rsidRPr="004A748F">
        <w:rPr>
          <w:spacing w:val="-2"/>
          <w:kern w:val="0"/>
          <w:sz w:val="20"/>
          <w:rtl/>
        </w:rPr>
        <w:t xml:space="preserve">لحصول على المساعدة القضائية </w:t>
      </w:r>
      <w:r w:rsidRPr="004A748F">
        <w:rPr>
          <w:rFonts w:hint="cs"/>
          <w:spacing w:val="-2"/>
          <w:kern w:val="0"/>
          <w:sz w:val="20"/>
          <w:rtl/>
        </w:rPr>
        <w:t xml:space="preserve">فيما يتصل بهذا الاستئناف، وطالبتها بتسديد الرسوم </w:t>
      </w:r>
      <w:r w:rsidRPr="004A748F">
        <w:rPr>
          <w:spacing w:val="-2"/>
          <w:kern w:val="0"/>
          <w:sz w:val="20"/>
          <w:rtl/>
        </w:rPr>
        <w:t>الإجرائية.</w:t>
      </w:r>
      <w:r w:rsidRPr="004A748F">
        <w:rPr>
          <w:rFonts w:hint="cs"/>
          <w:spacing w:val="-2"/>
          <w:kern w:val="0"/>
          <w:sz w:val="20"/>
          <w:rtl/>
        </w:rPr>
        <w:t xml:space="preserve"> وفي</w:t>
      </w:r>
      <w:r w:rsidRPr="004A748F">
        <w:rPr>
          <w:spacing w:val="-2"/>
          <w:kern w:val="0"/>
          <w:sz w:val="20"/>
          <w:rtl/>
        </w:rPr>
        <w:t xml:space="preserve"> 29 </w:t>
      </w:r>
      <w:r w:rsidRPr="004A748F">
        <w:rPr>
          <w:rFonts w:hint="cs"/>
          <w:spacing w:val="-2"/>
          <w:kern w:val="0"/>
          <w:sz w:val="20"/>
          <w:rtl/>
        </w:rPr>
        <w:t>حزيران/</w:t>
      </w:r>
      <w:r w:rsidRPr="004A748F">
        <w:rPr>
          <w:spacing w:val="-2"/>
          <w:kern w:val="0"/>
          <w:sz w:val="20"/>
          <w:rtl/>
        </w:rPr>
        <w:t>يوني</w:t>
      </w:r>
      <w:r w:rsidRPr="004A748F">
        <w:rPr>
          <w:rFonts w:hint="cs"/>
          <w:spacing w:val="-2"/>
          <w:kern w:val="0"/>
          <w:sz w:val="20"/>
          <w:rtl/>
        </w:rPr>
        <w:t>ه</w:t>
      </w:r>
      <w:r w:rsidRPr="004A748F">
        <w:rPr>
          <w:spacing w:val="-2"/>
          <w:kern w:val="0"/>
          <w:sz w:val="20"/>
          <w:rtl/>
        </w:rPr>
        <w:t xml:space="preserve"> 2010، قدم</w:t>
      </w:r>
      <w:r w:rsidRPr="004A748F">
        <w:rPr>
          <w:rFonts w:hint="cs"/>
          <w:spacing w:val="-2"/>
          <w:kern w:val="0"/>
          <w:sz w:val="20"/>
          <w:rtl/>
        </w:rPr>
        <w:t xml:space="preserve"> المكتب الاتحادي للهجرة</w:t>
      </w:r>
      <w:r w:rsidRPr="004A748F">
        <w:rPr>
          <w:spacing w:val="-2"/>
          <w:kern w:val="0"/>
          <w:sz w:val="20"/>
          <w:rtl/>
        </w:rPr>
        <w:t xml:space="preserve"> </w:t>
      </w:r>
      <w:r w:rsidRPr="004A748F">
        <w:rPr>
          <w:rFonts w:hint="cs"/>
          <w:spacing w:val="-2"/>
          <w:kern w:val="0"/>
          <w:sz w:val="20"/>
          <w:rtl/>
        </w:rPr>
        <w:t>إلى المحكمة تقريراً يتعلق بالإجراء الذي قامت به صاحبة الشكوى بموجب</w:t>
      </w:r>
      <w:r w:rsidRPr="004A748F">
        <w:rPr>
          <w:spacing w:val="-2"/>
          <w:kern w:val="0"/>
          <w:sz w:val="20"/>
          <w:rtl/>
        </w:rPr>
        <w:t xml:space="preserve"> المادة 14(2) من قانون اللجوء</w:t>
      </w:r>
      <w:r w:rsidRPr="004A748F">
        <w:rPr>
          <w:rFonts w:hint="cs"/>
          <w:spacing w:val="-2"/>
          <w:kern w:val="0"/>
          <w:sz w:val="20"/>
          <w:rtl/>
        </w:rPr>
        <w:t>، أكد فيه مجدداً أنها غير مندمجة بما فيه الكفاية في المجتمع السويسري وأنه ليست لها صلات وثيقة تربطها بسويسرا. و</w:t>
      </w:r>
      <w:r w:rsidRPr="004A748F">
        <w:rPr>
          <w:spacing w:val="-2"/>
          <w:kern w:val="0"/>
          <w:sz w:val="20"/>
          <w:rtl/>
        </w:rPr>
        <w:t>في</w:t>
      </w:r>
      <w:r w:rsidR="004A748F">
        <w:rPr>
          <w:rFonts w:hint="cs"/>
          <w:spacing w:val="-2"/>
          <w:kern w:val="0"/>
          <w:sz w:val="20"/>
          <w:rtl/>
        </w:rPr>
        <w:t> </w:t>
      </w:r>
      <w:r w:rsidRPr="004A748F">
        <w:rPr>
          <w:spacing w:val="-2"/>
          <w:kern w:val="0"/>
          <w:sz w:val="20"/>
          <w:rtl/>
        </w:rPr>
        <w:t>1 تموز</w:t>
      </w:r>
      <w:r w:rsidRPr="004A748F">
        <w:rPr>
          <w:rFonts w:hint="cs"/>
          <w:spacing w:val="-2"/>
          <w:kern w:val="0"/>
          <w:sz w:val="20"/>
          <w:rtl/>
        </w:rPr>
        <w:t>/يوليه</w:t>
      </w:r>
      <w:r w:rsidRPr="004A748F">
        <w:rPr>
          <w:spacing w:val="-2"/>
          <w:kern w:val="0"/>
          <w:sz w:val="20"/>
          <w:rtl/>
        </w:rPr>
        <w:t xml:space="preserve"> 2010، </w:t>
      </w:r>
      <w:r w:rsidRPr="004A748F">
        <w:rPr>
          <w:rFonts w:hint="cs"/>
          <w:spacing w:val="-2"/>
          <w:kern w:val="0"/>
          <w:sz w:val="20"/>
          <w:rtl/>
        </w:rPr>
        <w:t xml:space="preserve">طلبت </w:t>
      </w:r>
      <w:r w:rsidRPr="004A748F">
        <w:rPr>
          <w:spacing w:val="-2"/>
          <w:kern w:val="0"/>
          <w:sz w:val="20"/>
          <w:rtl/>
        </w:rPr>
        <w:t>المحكمة الإدارية الاتحادية</w:t>
      </w:r>
      <w:r w:rsidRPr="004A748F">
        <w:rPr>
          <w:rFonts w:hint="cs"/>
          <w:spacing w:val="-2"/>
          <w:kern w:val="0"/>
          <w:sz w:val="20"/>
          <w:rtl/>
        </w:rPr>
        <w:t xml:space="preserve"> من صاحبة الشكوى أن تدلي أيضاً بتعليقاتها بحلول 16 آب/أغسطس </w:t>
      </w:r>
      <w:r w:rsidRPr="004A748F">
        <w:rPr>
          <w:spacing w:val="-2"/>
          <w:kern w:val="0"/>
          <w:sz w:val="20"/>
          <w:rtl/>
        </w:rPr>
        <w:t>2010، و</w:t>
      </w:r>
      <w:r w:rsidRPr="004A748F">
        <w:rPr>
          <w:rFonts w:hint="cs"/>
          <w:spacing w:val="-2"/>
          <w:kern w:val="0"/>
          <w:sz w:val="20"/>
          <w:rtl/>
        </w:rPr>
        <w:t>هو ما فعلته خلال المهلة</w:t>
      </w:r>
      <w:r w:rsidRPr="004A748F">
        <w:rPr>
          <w:spacing w:val="-2"/>
          <w:kern w:val="0"/>
          <w:sz w:val="20"/>
          <w:rtl/>
        </w:rPr>
        <w:t xml:space="preserve"> المحدد</w:t>
      </w:r>
      <w:r w:rsidRPr="004A748F">
        <w:rPr>
          <w:rFonts w:hint="cs"/>
          <w:spacing w:val="-2"/>
          <w:kern w:val="0"/>
          <w:sz w:val="20"/>
          <w:rtl/>
        </w:rPr>
        <w:t>ة</w:t>
      </w:r>
      <w:r w:rsidRPr="004A748F">
        <w:rPr>
          <w:spacing w:val="-2"/>
          <w:kern w:val="0"/>
          <w:sz w:val="20"/>
          <w:szCs w:val="28"/>
          <w:vertAlign w:val="superscript"/>
          <w:rtl/>
        </w:rPr>
        <w:t>(</w:t>
      </w:r>
      <w:r w:rsidRPr="004A748F">
        <w:rPr>
          <w:rStyle w:val="FootnoteReference"/>
          <w:spacing w:val="-2"/>
          <w:sz w:val="2"/>
          <w:szCs w:val="2"/>
          <w:rtl/>
        </w:rPr>
        <w:footnoteReference w:id="181"/>
      </w:r>
      <w:r w:rsidR="004A748F" w:rsidRPr="004A748F">
        <w:rPr>
          <w:rFonts w:hint="cs"/>
          <w:spacing w:val="-2"/>
          <w:kern w:val="0"/>
          <w:sz w:val="30"/>
          <w:vertAlign w:val="superscript"/>
          <w:rtl/>
        </w:rPr>
        <w:t>ﻫ</w:t>
      </w:r>
      <w:r w:rsidRPr="004A748F">
        <w:rPr>
          <w:spacing w:val="-2"/>
          <w:kern w:val="0"/>
          <w:sz w:val="20"/>
          <w:szCs w:val="28"/>
          <w:vertAlign w:val="superscript"/>
          <w:rtl/>
        </w:rPr>
        <w:t>)</w:t>
      </w:r>
      <w:r w:rsidRPr="004A748F">
        <w:rPr>
          <w:rFonts w:hint="cs"/>
          <w:spacing w:val="-2"/>
          <w:kern w:val="0"/>
          <w:sz w:val="20"/>
          <w:rtl/>
        </w:rPr>
        <w:t>.</w:t>
      </w:r>
    </w:p>
    <w:p w:rsidR="00921F02" w:rsidRPr="003E698F" w:rsidRDefault="00921F02" w:rsidP="009E31FC">
      <w:pPr>
        <w:pStyle w:val="SingleTxtGA"/>
        <w:jc w:val="lowKashida"/>
        <w:rPr>
          <w:rFonts w:hint="cs"/>
          <w:spacing w:val="0"/>
          <w:kern w:val="0"/>
          <w:sz w:val="20"/>
        </w:rPr>
      </w:pPr>
      <w:r w:rsidRPr="003E698F">
        <w:rPr>
          <w:rFonts w:hint="cs"/>
          <w:spacing w:val="0"/>
          <w:kern w:val="0"/>
          <w:sz w:val="20"/>
          <w:rtl/>
        </w:rPr>
        <w:t>6-3</w:t>
      </w:r>
      <w:r w:rsidRPr="003E698F">
        <w:rPr>
          <w:rFonts w:hint="cs"/>
          <w:spacing w:val="0"/>
          <w:kern w:val="0"/>
          <w:sz w:val="20"/>
          <w:rtl/>
        </w:rPr>
        <w:tab/>
        <w:t xml:space="preserve">وأعادت صاحبة الشكوى في نفس الطلب الذي قدمته بتاريخ </w:t>
      </w:r>
      <w:r w:rsidRPr="003E698F">
        <w:rPr>
          <w:spacing w:val="0"/>
          <w:kern w:val="0"/>
          <w:sz w:val="20"/>
          <w:rtl/>
        </w:rPr>
        <w:t>في 15 تشرين الأول</w:t>
      </w:r>
      <w:r w:rsidRPr="003E698F">
        <w:rPr>
          <w:rFonts w:hint="cs"/>
          <w:spacing w:val="0"/>
          <w:kern w:val="0"/>
          <w:sz w:val="20"/>
          <w:rtl/>
        </w:rPr>
        <w:t>/أكتوبر</w:t>
      </w:r>
      <w:r w:rsidRPr="003E698F">
        <w:rPr>
          <w:spacing w:val="0"/>
          <w:kern w:val="0"/>
          <w:sz w:val="20"/>
          <w:rtl/>
        </w:rPr>
        <w:t xml:space="preserve"> 2010، </w:t>
      </w:r>
      <w:r w:rsidRPr="003E698F">
        <w:rPr>
          <w:rFonts w:hint="cs"/>
          <w:spacing w:val="0"/>
          <w:kern w:val="0"/>
          <w:sz w:val="20"/>
          <w:rtl/>
        </w:rPr>
        <w:t>تأكيد مخاوفها من العودة إلى</w:t>
      </w:r>
      <w:r w:rsidRPr="003E698F">
        <w:rPr>
          <w:spacing w:val="0"/>
          <w:kern w:val="0"/>
          <w:sz w:val="20"/>
          <w:rtl/>
        </w:rPr>
        <w:t xml:space="preserve"> كينشاسا، زاعمة أنه</w:t>
      </w:r>
      <w:r w:rsidRPr="003E698F">
        <w:rPr>
          <w:rFonts w:hint="cs"/>
          <w:spacing w:val="0"/>
          <w:kern w:val="0"/>
          <w:sz w:val="20"/>
          <w:rtl/>
        </w:rPr>
        <w:t>ا</w:t>
      </w:r>
      <w:r w:rsidRPr="003E698F">
        <w:rPr>
          <w:spacing w:val="0"/>
          <w:kern w:val="0"/>
          <w:sz w:val="20"/>
          <w:rtl/>
        </w:rPr>
        <w:t xml:space="preserve"> لا </w:t>
      </w:r>
      <w:r w:rsidRPr="003E698F">
        <w:rPr>
          <w:rFonts w:hint="cs"/>
          <w:spacing w:val="0"/>
          <w:kern w:val="0"/>
          <w:sz w:val="20"/>
          <w:rtl/>
        </w:rPr>
        <w:t>ت</w:t>
      </w:r>
      <w:r w:rsidRPr="003E698F">
        <w:rPr>
          <w:spacing w:val="0"/>
          <w:kern w:val="0"/>
          <w:sz w:val="20"/>
          <w:rtl/>
        </w:rPr>
        <w:t>زال عضوا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نشطاً</w:t>
      </w:r>
      <w:r w:rsidRPr="003E698F">
        <w:rPr>
          <w:spacing w:val="0"/>
          <w:kern w:val="0"/>
          <w:sz w:val="20"/>
          <w:rtl/>
        </w:rPr>
        <w:t xml:space="preserve"> في</w:t>
      </w:r>
      <w:r w:rsidRPr="003E698F">
        <w:rPr>
          <w:rFonts w:hint="cs"/>
          <w:spacing w:val="0"/>
          <w:kern w:val="0"/>
          <w:sz w:val="20"/>
          <w:rtl/>
        </w:rPr>
        <w:t xml:space="preserve"> "تحالف الوطنيين من أجل إصلاح الكونغو" في </w:t>
      </w:r>
      <w:r w:rsidRPr="003E698F">
        <w:rPr>
          <w:spacing w:val="0"/>
          <w:kern w:val="0"/>
          <w:sz w:val="20"/>
          <w:rtl/>
        </w:rPr>
        <w:t xml:space="preserve">زيورخ. وأضافت أن </w:t>
      </w:r>
      <w:r w:rsidRPr="003E698F">
        <w:rPr>
          <w:rFonts w:hint="cs"/>
          <w:spacing w:val="0"/>
          <w:kern w:val="0"/>
          <w:sz w:val="20"/>
          <w:rtl/>
        </w:rPr>
        <w:t>"</w:t>
      </w:r>
      <w:r w:rsidRPr="003E698F">
        <w:rPr>
          <w:spacing w:val="0"/>
          <w:kern w:val="0"/>
          <w:sz w:val="20"/>
          <w:rtl/>
        </w:rPr>
        <w:t xml:space="preserve">حزب الشعب </w:t>
      </w:r>
      <w:r w:rsidRPr="003E698F">
        <w:rPr>
          <w:rFonts w:hint="cs"/>
          <w:spacing w:val="0"/>
          <w:kern w:val="0"/>
          <w:sz w:val="20"/>
          <w:rtl/>
        </w:rPr>
        <w:t xml:space="preserve">من أجل </w:t>
      </w:r>
      <w:r w:rsidRPr="003E698F">
        <w:rPr>
          <w:spacing w:val="0"/>
          <w:kern w:val="0"/>
          <w:sz w:val="20"/>
          <w:rtl/>
        </w:rPr>
        <w:t>إعادة الإعمار والديمقراطية</w:t>
      </w:r>
      <w:r w:rsidRPr="003E698F">
        <w:rPr>
          <w:rFonts w:hint="cs"/>
          <w:spacing w:val="0"/>
          <w:kern w:val="0"/>
          <w:sz w:val="20"/>
          <w:rtl/>
        </w:rPr>
        <w:t xml:space="preserve">" المقرب من الرئيس كابيلا، له حضور أيضاً في زيورخ، وهو يشي بأفراد المعارضة النشطين لنظام الحكم في كينشاسا، الأمر الذي يزيد من حجم المخاطر التي قد تتعرض لها في حال عودتها. كما أبلغت صاحبة الشكوى اللجنة بأن والدتها توفيت في </w:t>
      </w:r>
      <w:r w:rsidRPr="003E698F">
        <w:rPr>
          <w:spacing w:val="0"/>
          <w:kern w:val="0"/>
          <w:sz w:val="20"/>
          <w:rtl/>
        </w:rPr>
        <w:t xml:space="preserve">جمهورية الكونغو الديمقراطية في </w:t>
      </w:r>
      <w:r w:rsidRPr="003E698F">
        <w:rPr>
          <w:rFonts w:hint="cs"/>
          <w:spacing w:val="0"/>
          <w:kern w:val="0"/>
          <w:sz w:val="20"/>
          <w:rtl/>
        </w:rPr>
        <w:t>حزيران/</w:t>
      </w:r>
      <w:r w:rsidRPr="003E698F">
        <w:rPr>
          <w:spacing w:val="0"/>
          <w:kern w:val="0"/>
          <w:sz w:val="20"/>
          <w:rtl/>
        </w:rPr>
        <w:t>يوني</w:t>
      </w:r>
      <w:r w:rsidRPr="003E698F">
        <w:rPr>
          <w:rFonts w:hint="cs"/>
          <w:spacing w:val="0"/>
          <w:kern w:val="0"/>
          <w:sz w:val="20"/>
          <w:rtl/>
        </w:rPr>
        <w:t>ه</w:t>
      </w:r>
      <w:r w:rsidRPr="003E698F">
        <w:rPr>
          <w:spacing w:val="0"/>
          <w:kern w:val="0"/>
          <w:sz w:val="20"/>
          <w:rtl/>
        </w:rPr>
        <w:t xml:space="preserve"> 2010، </w:t>
      </w:r>
      <w:r w:rsidRPr="003E698F">
        <w:rPr>
          <w:rFonts w:hint="cs"/>
          <w:spacing w:val="0"/>
          <w:kern w:val="0"/>
          <w:sz w:val="20"/>
          <w:rtl/>
        </w:rPr>
        <w:t>و</w:t>
      </w:r>
      <w:r w:rsidRPr="003E698F">
        <w:rPr>
          <w:spacing w:val="0"/>
          <w:kern w:val="0"/>
          <w:sz w:val="20"/>
          <w:rtl/>
        </w:rPr>
        <w:t xml:space="preserve">أن </w:t>
      </w:r>
      <w:r w:rsidRPr="003E698F">
        <w:rPr>
          <w:rFonts w:hint="cs"/>
          <w:spacing w:val="0"/>
          <w:kern w:val="0"/>
          <w:sz w:val="20"/>
          <w:rtl/>
        </w:rPr>
        <w:t>خطيبها</w:t>
      </w:r>
      <w:r w:rsidRPr="003E698F">
        <w:rPr>
          <w:spacing w:val="0"/>
          <w:kern w:val="0"/>
          <w:sz w:val="20"/>
          <w:rtl/>
        </w:rPr>
        <w:t xml:space="preserve"> </w:t>
      </w:r>
      <w:r w:rsidRPr="003E698F">
        <w:rPr>
          <w:rFonts w:hint="cs"/>
          <w:spacing w:val="0"/>
          <w:kern w:val="0"/>
          <w:sz w:val="20"/>
          <w:rtl/>
        </w:rPr>
        <w:t>لا</w:t>
      </w:r>
      <w:r w:rsidR="009E31FC">
        <w:rPr>
          <w:rFonts w:hint="eastAsia"/>
          <w:spacing w:val="0"/>
          <w:kern w:val="0"/>
          <w:sz w:val="20"/>
          <w:rtl/>
        </w:rPr>
        <w:t> </w:t>
      </w:r>
      <w:r w:rsidRPr="003E698F">
        <w:rPr>
          <w:rFonts w:hint="cs"/>
          <w:spacing w:val="0"/>
          <w:kern w:val="0"/>
          <w:sz w:val="20"/>
          <w:rtl/>
        </w:rPr>
        <w:t>يزال</w:t>
      </w:r>
      <w:r w:rsidRPr="003E698F">
        <w:rPr>
          <w:spacing w:val="0"/>
          <w:kern w:val="0"/>
          <w:sz w:val="20"/>
          <w:rtl/>
        </w:rPr>
        <w:t xml:space="preserve"> في عداد المفقودين و</w:t>
      </w:r>
      <w:r w:rsidRPr="003E698F">
        <w:rPr>
          <w:rFonts w:hint="cs"/>
          <w:spacing w:val="0"/>
          <w:kern w:val="0"/>
          <w:sz w:val="20"/>
          <w:rtl/>
        </w:rPr>
        <w:t>أن أخباره انقطعت عنها</w:t>
      </w:r>
      <w:r w:rsidRPr="003E698F">
        <w:rPr>
          <w:spacing w:val="0"/>
          <w:kern w:val="0"/>
          <w:sz w:val="20"/>
          <w:rtl/>
        </w:rPr>
        <w:t xml:space="preserve">. </w:t>
      </w:r>
      <w:r w:rsidRPr="003E698F">
        <w:rPr>
          <w:rFonts w:hint="cs"/>
          <w:spacing w:val="0"/>
          <w:kern w:val="0"/>
          <w:sz w:val="20"/>
          <w:rtl/>
        </w:rPr>
        <w:t>و</w:t>
      </w:r>
      <w:r w:rsidRPr="003E698F">
        <w:rPr>
          <w:spacing w:val="0"/>
          <w:kern w:val="0"/>
          <w:sz w:val="20"/>
          <w:rtl/>
        </w:rPr>
        <w:t>أخيرا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استرعت</w:t>
      </w:r>
      <w:r w:rsidRPr="003E698F">
        <w:rPr>
          <w:spacing w:val="0"/>
          <w:kern w:val="0"/>
          <w:sz w:val="20"/>
          <w:rtl/>
        </w:rPr>
        <w:t xml:space="preserve"> انتباه اللجنة إلى وضعه</w:t>
      </w:r>
      <w:r w:rsidRPr="003E698F">
        <w:rPr>
          <w:rFonts w:hint="cs"/>
          <w:spacing w:val="0"/>
          <w:kern w:val="0"/>
          <w:sz w:val="20"/>
          <w:rtl/>
        </w:rPr>
        <w:t>ا</w:t>
      </w:r>
      <w:r w:rsidRPr="003E698F">
        <w:rPr>
          <w:spacing w:val="0"/>
          <w:kern w:val="0"/>
          <w:sz w:val="20"/>
          <w:rtl/>
        </w:rPr>
        <w:t xml:space="preserve"> الصحي، </w:t>
      </w:r>
      <w:r w:rsidRPr="003E698F">
        <w:rPr>
          <w:rFonts w:hint="cs"/>
          <w:spacing w:val="0"/>
          <w:kern w:val="0"/>
          <w:sz w:val="20"/>
          <w:rtl/>
        </w:rPr>
        <w:t xml:space="preserve">وأرفقت بطلبها </w:t>
      </w:r>
      <w:r w:rsidRPr="003E698F">
        <w:rPr>
          <w:spacing w:val="0"/>
          <w:kern w:val="0"/>
          <w:sz w:val="20"/>
          <w:rtl/>
        </w:rPr>
        <w:t xml:space="preserve">شهادة طبية تثبت </w:t>
      </w:r>
      <w:r w:rsidRPr="003E698F">
        <w:rPr>
          <w:rFonts w:hint="cs"/>
          <w:spacing w:val="0"/>
          <w:kern w:val="0"/>
          <w:sz w:val="20"/>
          <w:rtl/>
        </w:rPr>
        <w:t>إصابتها بعدة أم</w:t>
      </w:r>
      <w:r w:rsidRPr="003E698F">
        <w:rPr>
          <w:spacing w:val="0"/>
          <w:kern w:val="0"/>
          <w:sz w:val="20"/>
          <w:rtl/>
        </w:rPr>
        <w:t>راض</w:t>
      </w:r>
      <w:r w:rsidRPr="003E698F">
        <w:rPr>
          <w:rFonts w:hint="cs"/>
          <w:spacing w:val="0"/>
          <w:kern w:val="0"/>
          <w:sz w:val="20"/>
          <w:rtl/>
        </w:rPr>
        <w:t xml:space="preserve"> </w:t>
      </w:r>
      <w:r w:rsidRPr="003E698F">
        <w:rPr>
          <w:spacing w:val="0"/>
          <w:kern w:val="0"/>
          <w:sz w:val="20"/>
          <w:rtl/>
        </w:rPr>
        <w:t xml:space="preserve">جسدية ونفسية، </w:t>
      </w:r>
      <w:r w:rsidRPr="003E698F">
        <w:rPr>
          <w:rFonts w:hint="cs"/>
          <w:spacing w:val="0"/>
          <w:kern w:val="0"/>
          <w:sz w:val="20"/>
          <w:rtl/>
        </w:rPr>
        <w:t xml:space="preserve">ولا سيما حالة </w:t>
      </w:r>
      <w:r w:rsidRPr="003E698F">
        <w:rPr>
          <w:spacing w:val="0"/>
          <w:kern w:val="0"/>
          <w:sz w:val="20"/>
          <w:rtl/>
        </w:rPr>
        <w:t xml:space="preserve">اكتئاب وأرق </w:t>
      </w:r>
      <w:r w:rsidRPr="003E698F">
        <w:rPr>
          <w:rFonts w:hint="cs"/>
          <w:spacing w:val="0"/>
          <w:kern w:val="0"/>
          <w:sz w:val="20"/>
          <w:rtl/>
        </w:rPr>
        <w:t xml:space="preserve">شديد </w:t>
      </w:r>
      <w:r w:rsidRPr="003E698F">
        <w:rPr>
          <w:spacing w:val="0"/>
          <w:kern w:val="0"/>
          <w:sz w:val="20"/>
          <w:rtl/>
        </w:rPr>
        <w:t>وميول انتحارية</w:t>
      </w:r>
      <w:r w:rsidRPr="003E698F">
        <w:rPr>
          <w:rFonts w:hint="cs"/>
          <w:spacing w:val="0"/>
          <w:kern w:val="0"/>
          <w:sz w:val="20"/>
          <w:rtl/>
        </w:rPr>
        <w:t>.</w:t>
      </w:r>
    </w:p>
    <w:p w:rsidR="00921F02" w:rsidRPr="003E698F" w:rsidRDefault="00921F02" w:rsidP="00921F02">
      <w:pPr>
        <w:pStyle w:val="H23GA"/>
        <w:jc w:val="lowKashida"/>
        <w:rPr>
          <w:spacing w:val="0"/>
          <w:kern w:val="0"/>
          <w:sz w:val="20"/>
        </w:rPr>
      </w:pPr>
      <w:r w:rsidRPr="003E698F">
        <w:rPr>
          <w:rFonts w:hint="cs"/>
          <w:spacing w:val="0"/>
          <w:kern w:val="0"/>
          <w:sz w:val="20"/>
          <w:rtl/>
        </w:rPr>
        <w:tab/>
      </w:r>
      <w:r w:rsidRPr="003E698F">
        <w:rPr>
          <w:rFonts w:hint="cs"/>
          <w:spacing w:val="0"/>
          <w:kern w:val="0"/>
          <w:sz w:val="20"/>
          <w:rtl/>
        </w:rPr>
        <w:tab/>
        <w:t xml:space="preserve">معلومات </w:t>
      </w:r>
      <w:r w:rsidRPr="003E698F">
        <w:rPr>
          <w:spacing w:val="0"/>
          <w:kern w:val="0"/>
          <w:sz w:val="20"/>
          <w:rtl/>
        </w:rPr>
        <w:t>إضافية مقدمة من الدولة الطرف</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7-1</w:t>
      </w:r>
      <w:r w:rsidRPr="003E698F">
        <w:rPr>
          <w:rFonts w:hint="cs"/>
          <w:spacing w:val="0"/>
          <w:kern w:val="0"/>
          <w:sz w:val="20"/>
          <w:rtl/>
        </w:rPr>
        <w:tab/>
        <w:t>في 14 نيسان/أ</w:t>
      </w:r>
      <w:r w:rsidRPr="003E698F">
        <w:rPr>
          <w:spacing w:val="0"/>
          <w:kern w:val="0"/>
          <w:sz w:val="20"/>
          <w:rtl/>
        </w:rPr>
        <w:t xml:space="preserve">بريل 2011، </w:t>
      </w:r>
      <w:r w:rsidRPr="003E698F">
        <w:rPr>
          <w:rFonts w:hint="cs"/>
          <w:spacing w:val="0"/>
          <w:kern w:val="0"/>
          <w:sz w:val="20"/>
          <w:rtl/>
        </w:rPr>
        <w:t xml:space="preserve">قدمت </w:t>
      </w:r>
      <w:r w:rsidRPr="003E698F">
        <w:rPr>
          <w:spacing w:val="0"/>
          <w:kern w:val="0"/>
          <w:sz w:val="20"/>
          <w:rtl/>
        </w:rPr>
        <w:t xml:space="preserve">الدولة الطرف </w:t>
      </w:r>
      <w:r w:rsidRPr="003E698F">
        <w:rPr>
          <w:rFonts w:hint="cs"/>
          <w:spacing w:val="0"/>
          <w:kern w:val="0"/>
          <w:sz w:val="20"/>
          <w:rtl/>
        </w:rPr>
        <w:t xml:space="preserve">بناء على </w:t>
      </w:r>
      <w:r w:rsidRPr="003E698F">
        <w:rPr>
          <w:spacing w:val="0"/>
          <w:kern w:val="0"/>
          <w:sz w:val="20"/>
          <w:rtl/>
        </w:rPr>
        <w:t xml:space="preserve">طلب اللجنة، </w:t>
      </w:r>
      <w:r w:rsidRPr="003E698F">
        <w:rPr>
          <w:rFonts w:hint="cs"/>
          <w:spacing w:val="0"/>
          <w:kern w:val="0"/>
          <w:sz w:val="20"/>
          <w:rtl/>
        </w:rPr>
        <w:t xml:space="preserve">ملاحظات بشأن </w:t>
      </w:r>
      <w:r w:rsidRPr="003E698F">
        <w:rPr>
          <w:spacing w:val="0"/>
          <w:kern w:val="0"/>
          <w:sz w:val="20"/>
          <w:rtl/>
        </w:rPr>
        <w:t xml:space="preserve">النظام الداخلي </w:t>
      </w:r>
      <w:r w:rsidRPr="003E698F">
        <w:rPr>
          <w:rFonts w:hint="cs"/>
          <w:spacing w:val="0"/>
          <w:kern w:val="0"/>
          <w:sz w:val="20"/>
          <w:rtl/>
        </w:rPr>
        <w:t xml:space="preserve">المنطبق على الاستعانة بمحام مجاناً </w:t>
      </w:r>
      <w:r w:rsidRPr="003E698F">
        <w:rPr>
          <w:spacing w:val="0"/>
          <w:kern w:val="0"/>
          <w:sz w:val="20"/>
          <w:rtl/>
        </w:rPr>
        <w:t xml:space="preserve">في </w:t>
      </w:r>
      <w:r w:rsidRPr="003E698F">
        <w:rPr>
          <w:rFonts w:hint="cs"/>
          <w:spacing w:val="0"/>
          <w:kern w:val="0"/>
          <w:sz w:val="20"/>
          <w:rtl/>
        </w:rPr>
        <w:t>إجراءات</w:t>
      </w:r>
      <w:r w:rsidRPr="003E698F">
        <w:rPr>
          <w:spacing w:val="0"/>
          <w:kern w:val="0"/>
          <w:sz w:val="20"/>
          <w:rtl/>
        </w:rPr>
        <w:t xml:space="preserve"> </w:t>
      </w:r>
      <w:r w:rsidRPr="003E698F">
        <w:rPr>
          <w:rFonts w:hint="cs"/>
          <w:spacing w:val="0"/>
          <w:kern w:val="0"/>
          <w:sz w:val="20"/>
          <w:rtl/>
        </w:rPr>
        <w:t>الاستئناف</w:t>
      </w:r>
      <w:r w:rsidRPr="003E698F">
        <w:rPr>
          <w:spacing w:val="0"/>
          <w:kern w:val="0"/>
          <w:sz w:val="20"/>
          <w:rtl/>
        </w:rPr>
        <w:t>، و</w:t>
      </w:r>
      <w:r w:rsidRPr="003E698F">
        <w:rPr>
          <w:rFonts w:hint="cs"/>
          <w:spacing w:val="0"/>
          <w:kern w:val="0"/>
          <w:sz w:val="20"/>
          <w:rtl/>
        </w:rPr>
        <w:t xml:space="preserve">نظام دفع رسوم إجراءات </w:t>
      </w:r>
      <w:r w:rsidRPr="003E698F">
        <w:rPr>
          <w:spacing w:val="0"/>
          <w:kern w:val="0"/>
          <w:sz w:val="20"/>
          <w:rtl/>
        </w:rPr>
        <w:t>اللجوء</w:t>
      </w:r>
      <w:r w:rsidRPr="003E698F">
        <w:rPr>
          <w:rFonts w:hint="cs"/>
          <w:spacing w:val="0"/>
          <w:kern w:val="0"/>
          <w:sz w:val="20"/>
          <w:rtl/>
        </w:rPr>
        <w:t xml:space="preserve"> مقدماً</w:t>
      </w:r>
      <w:r w:rsidRPr="003E698F">
        <w:rPr>
          <w:spacing w:val="0"/>
          <w:kern w:val="0"/>
          <w:sz w:val="20"/>
          <w:rtl/>
        </w:rPr>
        <w:t xml:space="preserve">. </w:t>
      </w:r>
      <w:r w:rsidRPr="003E698F">
        <w:rPr>
          <w:rFonts w:hint="cs"/>
          <w:spacing w:val="0"/>
          <w:kern w:val="0"/>
          <w:sz w:val="20"/>
          <w:rtl/>
        </w:rPr>
        <w:t>و</w:t>
      </w:r>
      <w:r w:rsidRPr="003E698F">
        <w:rPr>
          <w:spacing w:val="0"/>
          <w:kern w:val="0"/>
          <w:sz w:val="20"/>
          <w:rtl/>
        </w:rPr>
        <w:t xml:space="preserve">فيما يتعلق </w:t>
      </w:r>
      <w:r w:rsidRPr="003E698F">
        <w:rPr>
          <w:rFonts w:hint="cs"/>
          <w:spacing w:val="0"/>
          <w:kern w:val="0"/>
          <w:sz w:val="20"/>
          <w:rtl/>
        </w:rPr>
        <w:t>بالنظام</w:t>
      </w:r>
      <w:r w:rsidRPr="003E698F">
        <w:rPr>
          <w:spacing w:val="0"/>
          <w:kern w:val="0"/>
          <w:sz w:val="20"/>
          <w:rtl/>
        </w:rPr>
        <w:t xml:space="preserve"> الأول </w:t>
      </w:r>
      <w:r w:rsidRPr="003E698F">
        <w:rPr>
          <w:rFonts w:hint="cs"/>
          <w:spacing w:val="0"/>
          <w:kern w:val="0"/>
          <w:sz w:val="20"/>
          <w:rtl/>
        </w:rPr>
        <w:t>شددت</w:t>
      </w:r>
      <w:r w:rsidRPr="003E698F">
        <w:rPr>
          <w:spacing w:val="0"/>
          <w:kern w:val="0"/>
          <w:sz w:val="20"/>
          <w:rtl/>
        </w:rPr>
        <w:t xml:space="preserve"> الدولة الطرف</w:t>
      </w:r>
      <w:r w:rsidRPr="003E698F">
        <w:rPr>
          <w:rFonts w:hint="cs"/>
          <w:spacing w:val="0"/>
          <w:kern w:val="0"/>
          <w:sz w:val="20"/>
          <w:rtl/>
        </w:rPr>
        <w:t xml:space="preserve"> بدايةً</w:t>
      </w:r>
      <w:r w:rsidRPr="003E698F">
        <w:rPr>
          <w:spacing w:val="0"/>
          <w:kern w:val="0"/>
          <w:sz w:val="20"/>
          <w:rtl/>
        </w:rPr>
        <w:t xml:space="preserve">، </w:t>
      </w:r>
      <w:r w:rsidRPr="003E698F">
        <w:rPr>
          <w:rFonts w:hint="cs"/>
          <w:spacing w:val="0"/>
          <w:kern w:val="0"/>
          <w:sz w:val="20"/>
          <w:rtl/>
        </w:rPr>
        <w:t xml:space="preserve">على أن </w:t>
      </w:r>
      <w:r w:rsidRPr="003E698F">
        <w:rPr>
          <w:spacing w:val="0"/>
          <w:kern w:val="0"/>
          <w:sz w:val="20"/>
          <w:rtl/>
        </w:rPr>
        <w:t>المادة 3 من الاتفاقية</w:t>
      </w:r>
      <w:r w:rsidRPr="003E698F">
        <w:rPr>
          <w:rFonts w:hint="cs"/>
          <w:spacing w:val="0"/>
          <w:kern w:val="0"/>
          <w:sz w:val="20"/>
          <w:rtl/>
        </w:rPr>
        <w:t xml:space="preserve"> لا</w:t>
      </w:r>
      <w:r w:rsidRPr="003E698F">
        <w:rPr>
          <w:spacing w:val="0"/>
          <w:kern w:val="0"/>
          <w:sz w:val="20"/>
          <w:rtl/>
        </w:rPr>
        <w:t xml:space="preserve"> </w:t>
      </w:r>
      <w:r w:rsidRPr="003E698F">
        <w:rPr>
          <w:rFonts w:hint="cs"/>
          <w:spacing w:val="0"/>
          <w:kern w:val="0"/>
          <w:sz w:val="20"/>
          <w:rtl/>
        </w:rPr>
        <w:t xml:space="preserve">يُمكن أن تُفسر على أنها تلزم </w:t>
      </w:r>
      <w:r w:rsidRPr="003E698F">
        <w:rPr>
          <w:spacing w:val="0"/>
          <w:kern w:val="0"/>
          <w:sz w:val="20"/>
          <w:rtl/>
        </w:rPr>
        <w:t xml:space="preserve">الدولة الطرف </w:t>
      </w:r>
      <w:r w:rsidRPr="003E698F">
        <w:rPr>
          <w:rFonts w:hint="cs"/>
          <w:spacing w:val="0"/>
          <w:kern w:val="0"/>
          <w:sz w:val="20"/>
          <w:rtl/>
        </w:rPr>
        <w:t>بالتكفل بأتعاب ال</w:t>
      </w:r>
      <w:r w:rsidRPr="003E698F">
        <w:rPr>
          <w:spacing w:val="0"/>
          <w:kern w:val="0"/>
          <w:sz w:val="20"/>
          <w:rtl/>
        </w:rPr>
        <w:t xml:space="preserve">محامي </w:t>
      </w:r>
      <w:r w:rsidRPr="003E698F">
        <w:rPr>
          <w:rFonts w:hint="cs"/>
          <w:spacing w:val="0"/>
          <w:kern w:val="0"/>
          <w:sz w:val="20"/>
          <w:rtl/>
        </w:rPr>
        <w:t>الذي تعيِّنه المحكمة</w:t>
      </w:r>
      <w:r w:rsidRPr="003E698F">
        <w:rPr>
          <w:spacing w:val="0"/>
          <w:kern w:val="0"/>
          <w:sz w:val="20"/>
          <w:rtl/>
        </w:rPr>
        <w:t xml:space="preserve"> في جميع الحالات </w:t>
      </w:r>
      <w:r w:rsidRPr="003E698F">
        <w:rPr>
          <w:rFonts w:hint="cs"/>
          <w:spacing w:val="0"/>
          <w:kern w:val="0"/>
          <w:sz w:val="20"/>
          <w:rtl/>
        </w:rPr>
        <w:t xml:space="preserve">أيا كانت </w:t>
      </w:r>
      <w:r w:rsidRPr="003E698F">
        <w:rPr>
          <w:spacing w:val="0"/>
          <w:kern w:val="0"/>
          <w:sz w:val="20"/>
          <w:rtl/>
        </w:rPr>
        <w:t>ملابسات القضية</w:t>
      </w:r>
      <w:r w:rsidRPr="003E698F">
        <w:rPr>
          <w:rFonts w:hint="cs"/>
          <w:spacing w:val="0"/>
          <w:kern w:val="0"/>
          <w:sz w:val="20"/>
          <w:szCs w:val="28"/>
          <w:vertAlign w:val="superscript"/>
          <w:rtl/>
        </w:rPr>
        <w:t>(</w:t>
      </w:r>
      <w:r w:rsidRPr="003E698F">
        <w:rPr>
          <w:rStyle w:val="FootnoteReference"/>
          <w:spacing w:val="0"/>
          <w:sz w:val="20"/>
          <w:rtl/>
        </w:rPr>
        <w:footnoteReference w:id="182"/>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وأضافت الدولة الطرف</w:t>
      </w:r>
      <w:r w:rsidRPr="003E698F">
        <w:rPr>
          <w:spacing w:val="0"/>
          <w:kern w:val="0"/>
          <w:sz w:val="20"/>
          <w:rtl/>
        </w:rPr>
        <w:t xml:space="preserve"> أن القانون </w:t>
      </w:r>
      <w:r w:rsidRPr="003E698F">
        <w:rPr>
          <w:rFonts w:hint="cs"/>
          <w:spacing w:val="0"/>
          <w:kern w:val="0"/>
          <w:sz w:val="20"/>
          <w:rtl/>
        </w:rPr>
        <w:t>الداخلي</w:t>
      </w:r>
      <w:r w:rsidRPr="003E698F">
        <w:rPr>
          <w:spacing w:val="0"/>
          <w:kern w:val="0"/>
          <w:sz w:val="20"/>
          <w:rtl/>
        </w:rPr>
        <w:t xml:space="preserve"> المنطبق</w:t>
      </w:r>
      <w:r w:rsidRPr="003E698F">
        <w:rPr>
          <w:rFonts w:hint="cs"/>
          <w:spacing w:val="0"/>
          <w:kern w:val="0"/>
          <w:sz w:val="20"/>
          <w:rtl/>
        </w:rPr>
        <w:t xml:space="preserve"> حدد ثلاثة شروط ينبغي استيفاؤها لتكفل الدولة بدفع أتعاب المحامي المُعَيَّن من المحكمة، وهذه الشروط هي</w:t>
      </w:r>
      <w:r w:rsidRPr="003E698F">
        <w:rPr>
          <w:spacing w:val="0"/>
          <w:kern w:val="0"/>
          <w:sz w:val="20"/>
          <w:rtl/>
        </w:rPr>
        <w:t xml:space="preserve">: </w:t>
      </w:r>
      <w:r w:rsidRPr="003E698F">
        <w:rPr>
          <w:rFonts w:hint="cs"/>
          <w:spacing w:val="0"/>
          <w:kern w:val="0"/>
          <w:sz w:val="20"/>
          <w:rtl/>
        </w:rPr>
        <w:t>(</w:t>
      </w:r>
      <w:r w:rsidRPr="003E698F">
        <w:rPr>
          <w:spacing w:val="0"/>
          <w:kern w:val="0"/>
          <w:sz w:val="20"/>
          <w:rtl/>
        </w:rPr>
        <w:t>أ)</w:t>
      </w:r>
      <w:r w:rsidRPr="003E698F">
        <w:rPr>
          <w:rFonts w:hint="cs"/>
          <w:spacing w:val="0"/>
          <w:kern w:val="0"/>
          <w:sz w:val="20"/>
          <w:rtl/>
        </w:rPr>
        <w:t> أن يكون ا</w:t>
      </w:r>
      <w:r w:rsidRPr="003E698F">
        <w:rPr>
          <w:spacing w:val="0"/>
          <w:kern w:val="0"/>
          <w:sz w:val="20"/>
          <w:rtl/>
        </w:rPr>
        <w:t>لشخص معوز</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w:t>
      </w:r>
      <w:r w:rsidRPr="003E698F">
        <w:rPr>
          <w:spacing w:val="0"/>
          <w:kern w:val="0"/>
          <w:sz w:val="20"/>
          <w:rtl/>
        </w:rPr>
        <w:t>ب)</w:t>
      </w:r>
      <w:r w:rsidRPr="003E698F">
        <w:rPr>
          <w:rFonts w:hint="cs"/>
          <w:spacing w:val="0"/>
          <w:kern w:val="0"/>
          <w:sz w:val="20"/>
          <w:rtl/>
        </w:rPr>
        <w:t> ألا يكون طلبه محكوماً عليه الفشل، و(</w:t>
      </w:r>
      <w:r w:rsidRPr="003E698F">
        <w:rPr>
          <w:spacing w:val="0"/>
          <w:kern w:val="0"/>
          <w:sz w:val="20"/>
          <w:rtl/>
        </w:rPr>
        <w:t>ج)</w:t>
      </w:r>
      <w:r w:rsidRPr="003E698F">
        <w:rPr>
          <w:rFonts w:hint="cs"/>
          <w:spacing w:val="0"/>
          <w:kern w:val="0"/>
          <w:sz w:val="20"/>
          <w:rtl/>
        </w:rPr>
        <w:t> </w:t>
      </w:r>
      <w:r w:rsidRPr="003E698F">
        <w:rPr>
          <w:spacing w:val="0"/>
          <w:kern w:val="0"/>
          <w:sz w:val="20"/>
          <w:rtl/>
        </w:rPr>
        <w:t xml:space="preserve">أن يكون </w:t>
      </w:r>
      <w:r w:rsidRPr="003E698F">
        <w:rPr>
          <w:rFonts w:hint="cs"/>
          <w:spacing w:val="0"/>
          <w:kern w:val="0"/>
          <w:sz w:val="20"/>
          <w:rtl/>
        </w:rPr>
        <w:t xml:space="preserve">تعيين المحامي </w:t>
      </w:r>
      <w:r w:rsidRPr="003E698F">
        <w:rPr>
          <w:spacing w:val="0"/>
          <w:kern w:val="0"/>
          <w:sz w:val="20"/>
          <w:rtl/>
        </w:rPr>
        <w:t>ضروري</w:t>
      </w:r>
      <w:r w:rsidRPr="003E698F">
        <w:rPr>
          <w:rFonts w:hint="cs"/>
          <w:spacing w:val="0"/>
          <w:kern w:val="0"/>
          <w:sz w:val="20"/>
          <w:rtl/>
        </w:rPr>
        <w:t>اً ل</w:t>
      </w:r>
      <w:r w:rsidRPr="003E698F">
        <w:rPr>
          <w:spacing w:val="0"/>
          <w:kern w:val="0"/>
          <w:sz w:val="20"/>
          <w:rtl/>
        </w:rPr>
        <w:t xml:space="preserve">أن القضية </w:t>
      </w:r>
      <w:r w:rsidRPr="003E698F">
        <w:rPr>
          <w:rFonts w:hint="cs"/>
          <w:spacing w:val="0"/>
          <w:kern w:val="0"/>
          <w:sz w:val="20"/>
          <w:rtl/>
        </w:rPr>
        <w:t>تنطوي،</w:t>
      </w:r>
      <w:r w:rsidRPr="003E698F">
        <w:rPr>
          <w:spacing w:val="0"/>
          <w:kern w:val="0"/>
          <w:sz w:val="20"/>
          <w:rtl/>
        </w:rPr>
        <w:t xml:space="preserve"> بحكم القانون أو بحكم الواقع،</w:t>
      </w:r>
      <w:r w:rsidRPr="003E698F">
        <w:rPr>
          <w:rFonts w:hint="cs"/>
          <w:spacing w:val="0"/>
          <w:kern w:val="0"/>
          <w:sz w:val="20"/>
          <w:rtl/>
        </w:rPr>
        <w:t xml:space="preserve"> على </w:t>
      </w:r>
      <w:r w:rsidRPr="003E698F">
        <w:rPr>
          <w:spacing w:val="0"/>
          <w:kern w:val="0"/>
          <w:sz w:val="20"/>
          <w:rtl/>
        </w:rPr>
        <w:t>صعوبات</w:t>
      </w:r>
      <w:r w:rsidR="00E61B85">
        <w:rPr>
          <w:rFonts w:hint="cs"/>
          <w:spacing w:val="0"/>
          <w:kern w:val="0"/>
          <w:sz w:val="20"/>
          <w:rtl/>
        </w:rPr>
        <w:t xml:space="preserve"> معينة يعجز </w:t>
      </w:r>
      <w:r w:rsidRPr="003E698F">
        <w:rPr>
          <w:rFonts w:hint="cs"/>
          <w:spacing w:val="0"/>
          <w:kern w:val="0"/>
          <w:sz w:val="20"/>
          <w:rtl/>
        </w:rPr>
        <w:t>الطرف عن حلها بنفسه</w:t>
      </w:r>
      <w:r w:rsidRPr="003E698F">
        <w:rPr>
          <w:rFonts w:hint="cs"/>
          <w:spacing w:val="0"/>
          <w:kern w:val="0"/>
          <w:sz w:val="20"/>
          <w:szCs w:val="28"/>
          <w:vertAlign w:val="superscript"/>
          <w:rtl/>
        </w:rPr>
        <w:t>(</w:t>
      </w:r>
      <w:r w:rsidRPr="003E698F">
        <w:rPr>
          <w:rStyle w:val="FootnoteReference"/>
          <w:spacing w:val="0"/>
          <w:sz w:val="20"/>
          <w:rtl/>
        </w:rPr>
        <w:footnoteReference w:id="183"/>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ورأت ا</w:t>
      </w:r>
      <w:r w:rsidRPr="003E698F">
        <w:rPr>
          <w:spacing w:val="0"/>
          <w:kern w:val="0"/>
          <w:sz w:val="20"/>
          <w:rtl/>
        </w:rPr>
        <w:t>لدولة الطرف</w:t>
      </w:r>
      <w:r w:rsidRPr="003E698F">
        <w:rPr>
          <w:rFonts w:hint="cs"/>
          <w:spacing w:val="0"/>
          <w:kern w:val="0"/>
          <w:sz w:val="20"/>
          <w:rtl/>
        </w:rPr>
        <w:t xml:space="preserve"> أن مقتضيات ا</w:t>
      </w:r>
      <w:r w:rsidRPr="003E698F">
        <w:rPr>
          <w:spacing w:val="0"/>
          <w:kern w:val="0"/>
          <w:sz w:val="20"/>
          <w:rtl/>
        </w:rPr>
        <w:t xml:space="preserve">لمادة 3 من الاتفاقية </w:t>
      </w:r>
      <w:r w:rsidRPr="003E698F">
        <w:rPr>
          <w:rFonts w:hint="cs"/>
          <w:spacing w:val="0"/>
          <w:kern w:val="0"/>
          <w:sz w:val="20"/>
          <w:rtl/>
        </w:rPr>
        <w:t xml:space="preserve">لا تتخطى </w:t>
      </w:r>
      <w:r w:rsidRPr="003E698F">
        <w:rPr>
          <w:spacing w:val="0"/>
          <w:kern w:val="0"/>
          <w:sz w:val="20"/>
          <w:rtl/>
        </w:rPr>
        <w:t>هذه المبادئ</w:t>
      </w:r>
      <w:r w:rsidRPr="003E698F">
        <w:rPr>
          <w:rFonts w:hint="cs"/>
          <w:spacing w:val="0"/>
          <w:kern w:val="0"/>
          <w:sz w:val="20"/>
          <w:rtl/>
        </w:rPr>
        <w:t>.</w:t>
      </w:r>
    </w:p>
    <w:p w:rsidR="00921F02" w:rsidRPr="003E698F" w:rsidRDefault="00921F02" w:rsidP="000B4D1D">
      <w:pPr>
        <w:pStyle w:val="SingleTxtGA"/>
        <w:jc w:val="lowKashida"/>
        <w:rPr>
          <w:spacing w:val="0"/>
          <w:kern w:val="0"/>
          <w:sz w:val="20"/>
        </w:rPr>
      </w:pPr>
      <w:r w:rsidRPr="003E698F">
        <w:rPr>
          <w:rFonts w:hint="cs"/>
          <w:spacing w:val="0"/>
          <w:kern w:val="0"/>
          <w:sz w:val="20"/>
          <w:rtl/>
        </w:rPr>
        <w:t>7-2</w:t>
      </w:r>
      <w:r w:rsidRPr="003E698F">
        <w:rPr>
          <w:rFonts w:hint="cs"/>
          <w:spacing w:val="0"/>
          <w:kern w:val="0"/>
          <w:sz w:val="20"/>
          <w:rtl/>
        </w:rPr>
        <w:tab/>
        <w:t>وفي</w:t>
      </w:r>
      <w:r w:rsidRPr="003E698F">
        <w:rPr>
          <w:spacing w:val="0"/>
          <w:kern w:val="0"/>
          <w:sz w:val="20"/>
          <w:rtl/>
        </w:rPr>
        <w:t xml:space="preserve">ما يتعلق </w:t>
      </w:r>
      <w:r w:rsidRPr="003E698F">
        <w:rPr>
          <w:rFonts w:hint="cs"/>
          <w:spacing w:val="0"/>
          <w:kern w:val="0"/>
          <w:sz w:val="20"/>
          <w:rtl/>
        </w:rPr>
        <w:t>بالرسوم الإجرائية</w:t>
      </w:r>
      <w:r w:rsidRPr="003E698F">
        <w:rPr>
          <w:spacing w:val="0"/>
          <w:kern w:val="0"/>
          <w:sz w:val="20"/>
          <w:rtl/>
        </w:rPr>
        <w:t xml:space="preserve">، </w:t>
      </w:r>
      <w:r w:rsidRPr="003E698F">
        <w:rPr>
          <w:rFonts w:hint="cs"/>
          <w:spacing w:val="0"/>
          <w:kern w:val="0"/>
          <w:sz w:val="20"/>
          <w:rtl/>
        </w:rPr>
        <w:t>أكدت</w:t>
      </w:r>
      <w:r w:rsidRPr="003E698F">
        <w:rPr>
          <w:spacing w:val="0"/>
          <w:kern w:val="0"/>
          <w:sz w:val="20"/>
          <w:rtl/>
        </w:rPr>
        <w:t xml:space="preserve"> الدولة الطرف </w:t>
      </w:r>
      <w:r w:rsidRPr="003E698F">
        <w:rPr>
          <w:rFonts w:hint="cs"/>
          <w:spacing w:val="0"/>
          <w:kern w:val="0"/>
          <w:sz w:val="20"/>
          <w:rtl/>
        </w:rPr>
        <w:t>أن تقديم طلب اللجوء</w:t>
      </w:r>
      <w:r w:rsidRPr="003E698F">
        <w:rPr>
          <w:spacing w:val="0"/>
          <w:kern w:val="0"/>
          <w:sz w:val="20"/>
          <w:rtl/>
        </w:rPr>
        <w:t xml:space="preserve"> </w:t>
      </w:r>
      <w:r w:rsidRPr="003E698F">
        <w:rPr>
          <w:rFonts w:hint="cs"/>
          <w:spacing w:val="0"/>
          <w:kern w:val="0"/>
          <w:sz w:val="20"/>
          <w:rtl/>
        </w:rPr>
        <w:t>الأول يكون مجانيا</w:t>
      </w:r>
      <w:r w:rsidR="002C2A9D">
        <w:rPr>
          <w:rFonts w:hint="cs"/>
          <w:spacing w:val="0"/>
          <w:kern w:val="0"/>
          <w:sz w:val="20"/>
          <w:rtl/>
        </w:rPr>
        <w:t>ً</w:t>
      </w:r>
      <w:r w:rsidRPr="003E698F">
        <w:rPr>
          <w:spacing w:val="0"/>
          <w:kern w:val="0"/>
          <w:sz w:val="20"/>
          <w:rtl/>
        </w:rPr>
        <w:t xml:space="preserve">. </w:t>
      </w:r>
      <w:r w:rsidRPr="003E698F">
        <w:rPr>
          <w:rFonts w:hint="cs"/>
          <w:spacing w:val="0"/>
          <w:kern w:val="0"/>
          <w:sz w:val="20"/>
          <w:rtl/>
        </w:rPr>
        <w:t>غير أن الرسوم تُفرض على إ</w:t>
      </w:r>
      <w:r w:rsidRPr="003E698F">
        <w:rPr>
          <w:spacing w:val="0"/>
          <w:kern w:val="0"/>
          <w:sz w:val="20"/>
          <w:rtl/>
        </w:rPr>
        <w:t xml:space="preserve">جراءات إعادة النظر </w:t>
      </w:r>
      <w:r w:rsidRPr="003E698F">
        <w:rPr>
          <w:rFonts w:hint="cs"/>
          <w:spacing w:val="0"/>
          <w:kern w:val="0"/>
          <w:sz w:val="20"/>
          <w:rtl/>
        </w:rPr>
        <w:t>من قبل المكتب الاتحادي للهجرة</w:t>
      </w:r>
      <w:r w:rsidRPr="003E698F">
        <w:rPr>
          <w:spacing w:val="0"/>
          <w:kern w:val="0"/>
          <w:sz w:val="20"/>
          <w:rtl/>
        </w:rPr>
        <w:t>، و</w:t>
      </w:r>
      <w:r w:rsidRPr="003E698F">
        <w:rPr>
          <w:rFonts w:hint="cs"/>
          <w:spacing w:val="0"/>
          <w:kern w:val="0"/>
          <w:sz w:val="20"/>
          <w:rtl/>
        </w:rPr>
        <w:t>على طلبات اللجوء</w:t>
      </w:r>
      <w:r w:rsidRPr="003E698F">
        <w:rPr>
          <w:spacing w:val="0"/>
          <w:kern w:val="0"/>
          <w:sz w:val="20"/>
          <w:rtl/>
        </w:rPr>
        <w:t xml:space="preserve"> المتكررة</w:t>
      </w:r>
      <w:r w:rsidRPr="003E698F">
        <w:rPr>
          <w:rFonts w:hint="cs"/>
          <w:spacing w:val="0"/>
          <w:kern w:val="0"/>
          <w:sz w:val="20"/>
          <w:szCs w:val="28"/>
          <w:vertAlign w:val="superscript"/>
          <w:rtl/>
        </w:rPr>
        <w:t>(</w:t>
      </w:r>
      <w:r w:rsidRPr="003E698F">
        <w:rPr>
          <w:rStyle w:val="FootnoteReference"/>
          <w:spacing w:val="0"/>
          <w:sz w:val="20"/>
          <w:rtl/>
        </w:rPr>
        <w:footnoteReference w:id="184"/>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كما يجوز للمكتب الاتحادي للهجرة أن يطالب بتسديد الرسوم</w:t>
      </w:r>
      <w:r w:rsidRPr="003E698F">
        <w:rPr>
          <w:spacing w:val="0"/>
          <w:kern w:val="0"/>
          <w:sz w:val="20"/>
          <w:rtl/>
        </w:rPr>
        <w:t xml:space="preserve"> الإجرائية </w:t>
      </w:r>
      <w:r w:rsidRPr="003E698F">
        <w:rPr>
          <w:rFonts w:hint="cs"/>
          <w:spacing w:val="0"/>
          <w:kern w:val="0"/>
          <w:sz w:val="20"/>
          <w:rtl/>
        </w:rPr>
        <w:t>المقررة مقدماً</w:t>
      </w:r>
      <w:r w:rsidRPr="003E698F">
        <w:rPr>
          <w:rFonts w:hint="cs"/>
          <w:spacing w:val="0"/>
          <w:kern w:val="0"/>
          <w:sz w:val="20"/>
          <w:szCs w:val="28"/>
          <w:vertAlign w:val="superscript"/>
          <w:rtl/>
        </w:rPr>
        <w:t>(</w:t>
      </w:r>
      <w:r w:rsidRPr="003E698F">
        <w:rPr>
          <w:rStyle w:val="FootnoteReference"/>
          <w:spacing w:val="0"/>
          <w:sz w:val="20"/>
          <w:rtl/>
        </w:rPr>
        <w:footnoteReference w:id="185"/>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وفي حال قُدِّم</w:t>
      </w:r>
      <w:r w:rsidRPr="003E698F">
        <w:rPr>
          <w:spacing w:val="0"/>
          <w:kern w:val="0"/>
          <w:sz w:val="20"/>
          <w:rtl/>
        </w:rPr>
        <w:t xml:space="preserve"> طلب</w:t>
      </w:r>
      <w:r w:rsidRPr="003E698F">
        <w:rPr>
          <w:rFonts w:hint="cs"/>
          <w:spacing w:val="0"/>
          <w:kern w:val="0"/>
          <w:sz w:val="20"/>
          <w:rtl/>
        </w:rPr>
        <w:t>ُ</w:t>
      </w:r>
      <w:r w:rsidRPr="003E698F">
        <w:rPr>
          <w:spacing w:val="0"/>
          <w:kern w:val="0"/>
          <w:sz w:val="20"/>
          <w:rtl/>
        </w:rPr>
        <w:t xml:space="preserve"> إعادة</w:t>
      </w:r>
      <w:r w:rsidRPr="003E698F">
        <w:rPr>
          <w:rFonts w:hint="cs"/>
          <w:spacing w:val="0"/>
          <w:kern w:val="0"/>
          <w:sz w:val="20"/>
          <w:rtl/>
        </w:rPr>
        <w:t>ِ</w:t>
      </w:r>
      <w:r w:rsidRPr="003E698F">
        <w:rPr>
          <w:spacing w:val="0"/>
          <w:kern w:val="0"/>
          <w:sz w:val="20"/>
          <w:rtl/>
        </w:rPr>
        <w:t xml:space="preserve"> النظر قبل </w:t>
      </w:r>
      <w:r w:rsidRPr="003E698F">
        <w:rPr>
          <w:rFonts w:hint="cs"/>
          <w:spacing w:val="0"/>
          <w:kern w:val="0"/>
          <w:sz w:val="20"/>
          <w:rtl/>
        </w:rPr>
        <w:t xml:space="preserve">تنفيذ أمر الترحيل بفترة </w:t>
      </w:r>
      <w:r w:rsidRPr="003E698F">
        <w:rPr>
          <w:spacing w:val="0"/>
          <w:kern w:val="0"/>
          <w:sz w:val="20"/>
          <w:rtl/>
        </w:rPr>
        <w:t>قصير</w:t>
      </w:r>
      <w:r w:rsidRPr="003E698F">
        <w:rPr>
          <w:rFonts w:hint="cs"/>
          <w:spacing w:val="0"/>
          <w:kern w:val="0"/>
          <w:sz w:val="20"/>
          <w:rtl/>
        </w:rPr>
        <w:t>ة</w:t>
      </w:r>
      <w:r w:rsidRPr="003E698F">
        <w:rPr>
          <w:spacing w:val="0"/>
          <w:kern w:val="0"/>
          <w:sz w:val="20"/>
          <w:rtl/>
        </w:rPr>
        <w:t xml:space="preserve">، </w:t>
      </w:r>
      <w:r w:rsidRPr="003E698F">
        <w:rPr>
          <w:rFonts w:hint="cs"/>
          <w:spacing w:val="0"/>
          <w:kern w:val="0"/>
          <w:sz w:val="20"/>
          <w:rtl/>
        </w:rPr>
        <w:t xml:space="preserve">وكان الترحيل قد تقرر بالفعل، </w:t>
      </w:r>
      <w:r w:rsidRPr="003E698F">
        <w:rPr>
          <w:spacing w:val="0"/>
          <w:kern w:val="0"/>
          <w:sz w:val="20"/>
          <w:rtl/>
        </w:rPr>
        <w:t xml:space="preserve">فإن </w:t>
      </w:r>
      <w:r w:rsidRPr="003E698F">
        <w:rPr>
          <w:rFonts w:hint="cs"/>
          <w:spacing w:val="0"/>
          <w:kern w:val="0"/>
          <w:sz w:val="20"/>
          <w:rtl/>
        </w:rPr>
        <w:t>المكتب الاتحادي للهجرة يتنازل عادة عن المطالبة بتسديد ا</w:t>
      </w:r>
      <w:r w:rsidRPr="003E698F">
        <w:rPr>
          <w:spacing w:val="0"/>
          <w:kern w:val="0"/>
          <w:sz w:val="20"/>
          <w:rtl/>
        </w:rPr>
        <w:t xml:space="preserve">لرسوم </w:t>
      </w:r>
      <w:r w:rsidRPr="003E698F">
        <w:rPr>
          <w:rFonts w:hint="cs"/>
          <w:spacing w:val="0"/>
          <w:kern w:val="0"/>
          <w:sz w:val="20"/>
          <w:rtl/>
        </w:rPr>
        <w:t xml:space="preserve">مقدماً وينظر في الطلب بالاستناد إلى أسسه الموضوعية </w:t>
      </w:r>
      <w:r w:rsidRPr="003E698F">
        <w:rPr>
          <w:spacing w:val="0"/>
          <w:kern w:val="0"/>
          <w:sz w:val="20"/>
          <w:rtl/>
        </w:rPr>
        <w:t xml:space="preserve">في أقرب </w:t>
      </w:r>
      <w:r w:rsidRPr="003E698F">
        <w:rPr>
          <w:rFonts w:hint="cs"/>
          <w:spacing w:val="0"/>
          <w:kern w:val="0"/>
          <w:sz w:val="20"/>
          <w:rtl/>
        </w:rPr>
        <w:t xml:space="preserve">الآجال. </w:t>
      </w:r>
      <w:r w:rsidRPr="003E698F">
        <w:rPr>
          <w:spacing w:val="0"/>
          <w:kern w:val="0"/>
          <w:sz w:val="20"/>
          <w:rtl/>
        </w:rPr>
        <w:t>و</w:t>
      </w:r>
      <w:r w:rsidRPr="003E698F">
        <w:rPr>
          <w:rFonts w:hint="cs"/>
          <w:spacing w:val="0"/>
          <w:kern w:val="0"/>
          <w:sz w:val="20"/>
          <w:rtl/>
        </w:rPr>
        <w:t xml:space="preserve">تُتَّبع </w:t>
      </w:r>
      <w:r w:rsidRPr="003E698F">
        <w:rPr>
          <w:spacing w:val="0"/>
          <w:kern w:val="0"/>
          <w:sz w:val="20"/>
          <w:rtl/>
        </w:rPr>
        <w:t xml:space="preserve">الممارسة </w:t>
      </w:r>
      <w:r w:rsidRPr="003E698F">
        <w:rPr>
          <w:rFonts w:hint="cs"/>
          <w:spacing w:val="0"/>
          <w:kern w:val="0"/>
          <w:sz w:val="20"/>
          <w:rtl/>
        </w:rPr>
        <w:t xml:space="preserve">نفسها </w:t>
      </w:r>
      <w:r w:rsidRPr="003E698F">
        <w:rPr>
          <w:spacing w:val="0"/>
          <w:kern w:val="0"/>
          <w:sz w:val="20"/>
          <w:rtl/>
        </w:rPr>
        <w:t xml:space="preserve">في </w:t>
      </w:r>
      <w:r w:rsidRPr="003E698F">
        <w:rPr>
          <w:rFonts w:hint="cs"/>
          <w:spacing w:val="0"/>
          <w:kern w:val="0"/>
          <w:sz w:val="20"/>
          <w:rtl/>
        </w:rPr>
        <w:t>بعض ال</w:t>
      </w:r>
      <w:r w:rsidRPr="003E698F">
        <w:rPr>
          <w:spacing w:val="0"/>
          <w:kern w:val="0"/>
          <w:sz w:val="20"/>
          <w:rtl/>
        </w:rPr>
        <w:t xml:space="preserve">ظروف </w:t>
      </w:r>
      <w:r w:rsidRPr="003E698F">
        <w:rPr>
          <w:rFonts w:hint="cs"/>
          <w:spacing w:val="0"/>
          <w:kern w:val="0"/>
          <w:sz w:val="20"/>
          <w:rtl/>
        </w:rPr>
        <w:t>ال</w:t>
      </w:r>
      <w:r w:rsidRPr="003E698F">
        <w:rPr>
          <w:spacing w:val="0"/>
          <w:kern w:val="0"/>
          <w:sz w:val="20"/>
          <w:rtl/>
        </w:rPr>
        <w:t>خاصة</w:t>
      </w:r>
      <w:r w:rsidRPr="003E698F">
        <w:rPr>
          <w:rFonts w:hint="cs"/>
          <w:spacing w:val="0"/>
          <w:kern w:val="0"/>
          <w:sz w:val="20"/>
          <w:rtl/>
        </w:rPr>
        <w:t xml:space="preserve"> كما هو الأمر عند تقديم </w:t>
      </w:r>
      <w:r w:rsidRPr="003E698F">
        <w:rPr>
          <w:spacing w:val="0"/>
          <w:kern w:val="0"/>
          <w:sz w:val="20"/>
          <w:rtl/>
        </w:rPr>
        <w:t>الطلب</w:t>
      </w:r>
      <w:r w:rsidRPr="003E698F">
        <w:rPr>
          <w:rFonts w:hint="cs"/>
          <w:spacing w:val="0"/>
          <w:kern w:val="0"/>
          <w:sz w:val="20"/>
          <w:rtl/>
        </w:rPr>
        <w:t xml:space="preserve"> </w:t>
      </w:r>
      <w:r w:rsidRPr="003E698F">
        <w:rPr>
          <w:spacing w:val="0"/>
          <w:kern w:val="0"/>
          <w:sz w:val="20"/>
          <w:rtl/>
        </w:rPr>
        <w:t xml:space="preserve">في المطار، أو </w:t>
      </w:r>
      <w:r w:rsidRPr="003E698F">
        <w:rPr>
          <w:rFonts w:hint="cs"/>
          <w:spacing w:val="0"/>
          <w:kern w:val="0"/>
          <w:sz w:val="20"/>
          <w:rtl/>
        </w:rPr>
        <w:t xml:space="preserve">عندما يكون صاحب الطلب رهن الاحتجاز. </w:t>
      </w:r>
      <w:r w:rsidRPr="003E698F">
        <w:rPr>
          <w:spacing w:val="0"/>
          <w:kern w:val="0"/>
          <w:sz w:val="20"/>
          <w:rtl/>
        </w:rPr>
        <w:t>و</w:t>
      </w:r>
      <w:r w:rsidRPr="003E698F">
        <w:rPr>
          <w:rFonts w:hint="cs"/>
          <w:spacing w:val="0"/>
          <w:kern w:val="0"/>
          <w:sz w:val="20"/>
          <w:rtl/>
        </w:rPr>
        <w:t>في بقية الحالات الأخرى</w:t>
      </w:r>
      <w:r w:rsidRPr="003E698F">
        <w:rPr>
          <w:spacing w:val="0"/>
          <w:kern w:val="0"/>
          <w:sz w:val="20"/>
          <w:rtl/>
        </w:rPr>
        <w:t xml:space="preserve">، </w:t>
      </w:r>
      <w:r w:rsidRPr="003E698F">
        <w:rPr>
          <w:rFonts w:hint="cs"/>
          <w:spacing w:val="0"/>
          <w:kern w:val="0"/>
          <w:sz w:val="20"/>
          <w:rtl/>
        </w:rPr>
        <w:t xml:space="preserve">يشترط عادة التسديد مقدماً </w:t>
      </w:r>
      <w:r w:rsidRPr="003E698F">
        <w:rPr>
          <w:spacing w:val="0"/>
          <w:kern w:val="0"/>
          <w:sz w:val="20"/>
          <w:rtl/>
        </w:rPr>
        <w:t xml:space="preserve">إذا </w:t>
      </w:r>
      <w:r w:rsidRPr="003E698F">
        <w:rPr>
          <w:rFonts w:hint="cs"/>
          <w:spacing w:val="0"/>
          <w:kern w:val="0"/>
          <w:sz w:val="20"/>
          <w:rtl/>
        </w:rPr>
        <w:t>لم يكن</w:t>
      </w:r>
      <w:r w:rsidRPr="003E698F">
        <w:rPr>
          <w:spacing w:val="0"/>
          <w:kern w:val="0"/>
          <w:sz w:val="20"/>
          <w:rtl/>
        </w:rPr>
        <w:t xml:space="preserve"> </w:t>
      </w:r>
      <w:r w:rsidRPr="003E698F">
        <w:rPr>
          <w:rFonts w:hint="cs"/>
          <w:spacing w:val="0"/>
          <w:kern w:val="0"/>
          <w:sz w:val="20"/>
          <w:rtl/>
        </w:rPr>
        <w:t>الطرف</w:t>
      </w:r>
      <w:r w:rsidRPr="003E698F">
        <w:rPr>
          <w:spacing w:val="0"/>
          <w:kern w:val="0"/>
          <w:sz w:val="20"/>
          <w:rtl/>
        </w:rPr>
        <w:t xml:space="preserve"> معوزا</w:t>
      </w:r>
      <w:r w:rsidRPr="003E698F">
        <w:rPr>
          <w:rFonts w:hint="cs"/>
          <w:spacing w:val="0"/>
          <w:kern w:val="0"/>
          <w:sz w:val="20"/>
          <w:rtl/>
        </w:rPr>
        <w:t>ً</w:t>
      </w:r>
      <w:r w:rsidRPr="003E698F">
        <w:rPr>
          <w:spacing w:val="0"/>
          <w:kern w:val="0"/>
          <w:sz w:val="20"/>
          <w:rtl/>
        </w:rPr>
        <w:t xml:space="preserve">، أو إذا </w:t>
      </w:r>
      <w:r w:rsidRPr="003E698F">
        <w:rPr>
          <w:rFonts w:hint="cs"/>
          <w:spacing w:val="0"/>
          <w:kern w:val="0"/>
          <w:sz w:val="20"/>
          <w:rtl/>
        </w:rPr>
        <w:t>بدا أن طلبه</w:t>
      </w:r>
      <w:r w:rsidRPr="003E698F">
        <w:rPr>
          <w:spacing w:val="0"/>
          <w:kern w:val="0"/>
          <w:sz w:val="20"/>
          <w:rtl/>
        </w:rPr>
        <w:t xml:space="preserve"> </w:t>
      </w:r>
      <w:r w:rsidRPr="003E698F">
        <w:rPr>
          <w:rFonts w:hint="cs"/>
          <w:spacing w:val="0"/>
          <w:kern w:val="0"/>
          <w:sz w:val="20"/>
          <w:rtl/>
        </w:rPr>
        <w:t xml:space="preserve">مآله </w:t>
      </w:r>
      <w:r w:rsidRPr="003E698F">
        <w:rPr>
          <w:spacing w:val="0"/>
          <w:kern w:val="0"/>
          <w:sz w:val="20"/>
          <w:rtl/>
        </w:rPr>
        <w:t xml:space="preserve">الفشل، </w:t>
      </w:r>
      <w:r w:rsidRPr="003E698F">
        <w:rPr>
          <w:rFonts w:hint="cs"/>
          <w:spacing w:val="0"/>
          <w:kern w:val="0"/>
          <w:sz w:val="20"/>
          <w:rtl/>
        </w:rPr>
        <w:t>سواء تعلق الطلب بإعادة النظر أو بالتماس اللجوء من جديد</w:t>
      </w:r>
      <w:r w:rsidRPr="003E698F">
        <w:rPr>
          <w:spacing w:val="0"/>
          <w:kern w:val="0"/>
          <w:sz w:val="20"/>
          <w:rtl/>
        </w:rPr>
        <w:t>.</w:t>
      </w:r>
      <w:r w:rsidRPr="003E698F">
        <w:rPr>
          <w:rFonts w:hint="cs"/>
          <w:spacing w:val="0"/>
          <w:kern w:val="0"/>
          <w:sz w:val="20"/>
          <w:rtl/>
        </w:rPr>
        <w:t xml:space="preserve"> و</w:t>
      </w:r>
      <w:r w:rsidRPr="003E698F">
        <w:rPr>
          <w:spacing w:val="0"/>
          <w:kern w:val="0"/>
          <w:sz w:val="20"/>
          <w:rtl/>
        </w:rPr>
        <w:t xml:space="preserve">عادة </w:t>
      </w:r>
      <w:r w:rsidRPr="003E698F">
        <w:rPr>
          <w:rFonts w:hint="cs"/>
          <w:spacing w:val="0"/>
          <w:kern w:val="0"/>
          <w:sz w:val="20"/>
          <w:rtl/>
        </w:rPr>
        <w:t>ما يُنظر في ما</w:t>
      </w:r>
      <w:r w:rsidR="004A748F">
        <w:rPr>
          <w:rFonts w:hint="eastAsia"/>
          <w:spacing w:val="0"/>
          <w:kern w:val="0"/>
          <w:sz w:val="20"/>
          <w:rtl/>
        </w:rPr>
        <w:t> </w:t>
      </w:r>
      <w:r w:rsidRPr="003E698F">
        <w:rPr>
          <w:rFonts w:hint="cs"/>
          <w:spacing w:val="0"/>
          <w:kern w:val="0"/>
          <w:sz w:val="20"/>
          <w:rtl/>
        </w:rPr>
        <w:t xml:space="preserve">إذا كان يجب التسديد مقدماً أم لا بعد </w:t>
      </w:r>
      <w:r w:rsidRPr="003E698F">
        <w:rPr>
          <w:spacing w:val="0"/>
          <w:kern w:val="0"/>
          <w:sz w:val="20"/>
          <w:rtl/>
        </w:rPr>
        <w:t>تقديم الطل</w:t>
      </w:r>
      <w:r w:rsidRPr="003E698F">
        <w:rPr>
          <w:rFonts w:hint="cs"/>
          <w:spacing w:val="0"/>
          <w:kern w:val="0"/>
          <w:sz w:val="20"/>
          <w:rtl/>
        </w:rPr>
        <w:t xml:space="preserve">ب مباشرة. </w:t>
      </w:r>
    </w:p>
    <w:p w:rsidR="00921F02" w:rsidRPr="003E698F" w:rsidRDefault="00921F02" w:rsidP="004A748F">
      <w:pPr>
        <w:pStyle w:val="SingleTxtGA"/>
        <w:spacing w:line="370" w:lineRule="exact"/>
        <w:jc w:val="lowKashida"/>
        <w:rPr>
          <w:rFonts w:hint="cs"/>
          <w:spacing w:val="0"/>
          <w:kern w:val="0"/>
          <w:sz w:val="20"/>
          <w:rtl/>
        </w:rPr>
      </w:pPr>
      <w:r w:rsidRPr="003E698F">
        <w:rPr>
          <w:rFonts w:hint="cs"/>
          <w:spacing w:val="0"/>
          <w:kern w:val="0"/>
          <w:sz w:val="20"/>
          <w:rtl/>
        </w:rPr>
        <w:t>7-3</w:t>
      </w:r>
      <w:r w:rsidRPr="003E698F">
        <w:rPr>
          <w:rFonts w:hint="cs"/>
          <w:spacing w:val="0"/>
          <w:kern w:val="0"/>
          <w:sz w:val="20"/>
          <w:rtl/>
        </w:rPr>
        <w:tab/>
        <w:t>ويعتبر الشخص المعني معوزا</w:t>
      </w:r>
      <w:r w:rsidRPr="003E698F">
        <w:rPr>
          <w:spacing w:val="0"/>
          <w:kern w:val="0"/>
          <w:sz w:val="20"/>
          <w:rtl/>
        </w:rPr>
        <w:t xml:space="preserve"> </w:t>
      </w:r>
      <w:r w:rsidRPr="003E698F">
        <w:rPr>
          <w:rFonts w:hint="cs"/>
          <w:spacing w:val="0"/>
          <w:kern w:val="0"/>
          <w:sz w:val="20"/>
          <w:rtl/>
        </w:rPr>
        <w:t>إذا لم يكن بمقدوره تحمل الرسوم</w:t>
      </w:r>
      <w:r w:rsidRPr="003E698F">
        <w:rPr>
          <w:spacing w:val="0"/>
          <w:kern w:val="0"/>
          <w:sz w:val="20"/>
          <w:rtl/>
        </w:rPr>
        <w:t xml:space="preserve"> </w:t>
      </w:r>
      <w:r w:rsidRPr="003E698F">
        <w:rPr>
          <w:rFonts w:hint="cs"/>
          <w:spacing w:val="0"/>
          <w:kern w:val="0"/>
          <w:sz w:val="20"/>
          <w:rtl/>
        </w:rPr>
        <w:t>الإجرائية</w:t>
      </w:r>
      <w:r w:rsidRPr="003E698F">
        <w:rPr>
          <w:spacing w:val="0"/>
          <w:kern w:val="0"/>
          <w:sz w:val="20"/>
          <w:rtl/>
        </w:rPr>
        <w:t xml:space="preserve"> </w:t>
      </w:r>
      <w:r w:rsidRPr="003E698F">
        <w:rPr>
          <w:rFonts w:hint="cs"/>
          <w:spacing w:val="0"/>
          <w:kern w:val="0"/>
          <w:sz w:val="20"/>
          <w:rtl/>
        </w:rPr>
        <w:t xml:space="preserve">إلا باستخدام الأموال اللازمة لتلبية احتياجاته </w:t>
      </w:r>
      <w:r w:rsidRPr="003E698F">
        <w:rPr>
          <w:spacing w:val="0"/>
          <w:kern w:val="0"/>
          <w:sz w:val="20"/>
          <w:rtl/>
        </w:rPr>
        <w:t xml:space="preserve">الشخصية </w:t>
      </w:r>
      <w:r w:rsidRPr="003E698F">
        <w:rPr>
          <w:rFonts w:hint="cs"/>
          <w:spacing w:val="0"/>
          <w:kern w:val="0"/>
          <w:sz w:val="20"/>
          <w:rtl/>
        </w:rPr>
        <w:t>واحتياجات أسرته</w:t>
      </w:r>
      <w:r w:rsidRPr="003E698F">
        <w:rPr>
          <w:spacing w:val="0"/>
          <w:kern w:val="0"/>
          <w:sz w:val="20"/>
          <w:rtl/>
        </w:rPr>
        <w:t xml:space="preserve">. </w:t>
      </w:r>
      <w:r w:rsidRPr="003E698F">
        <w:rPr>
          <w:rFonts w:hint="cs"/>
          <w:spacing w:val="0"/>
          <w:kern w:val="0"/>
          <w:sz w:val="20"/>
          <w:rtl/>
        </w:rPr>
        <w:t>ووفقاً للفقه القانوني،</w:t>
      </w:r>
      <w:r w:rsidRPr="003E698F">
        <w:rPr>
          <w:spacing w:val="0"/>
          <w:kern w:val="0"/>
          <w:sz w:val="20"/>
          <w:rtl/>
        </w:rPr>
        <w:t xml:space="preserve"> </w:t>
      </w:r>
      <w:r w:rsidRPr="003E698F">
        <w:rPr>
          <w:rFonts w:hint="cs"/>
          <w:spacing w:val="0"/>
          <w:kern w:val="0"/>
          <w:sz w:val="20"/>
          <w:rtl/>
        </w:rPr>
        <w:t xml:space="preserve">تعتبر </w:t>
      </w:r>
      <w:r w:rsidRPr="003E698F">
        <w:rPr>
          <w:spacing w:val="0"/>
          <w:kern w:val="0"/>
          <w:sz w:val="20"/>
          <w:rtl/>
        </w:rPr>
        <w:t>فرص نجاح</w:t>
      </w:r>
      <w:r w:rsidRPr="003E698F">
        <w:rPr>
          <w:rFonts w:hint="cs"/>
          <w:spacing w:val="0"/>
          <w:kern w:val="0"/>
          <w:sz w:val="20"/>
          <w:rtl/>
        </w:rPr>
        <w:t xml:space="preserve"> الدعوى منعدمة إذا كانت احت</w:t>
      </w:r>
      <w:r w:rsidRPr="003E698F">
        <w:rPr>
          <w:spacing w:val="0"/>
          <w:kern w:val="0"/>
          <w:sz w:val="20"/>
          <w:rtl/>
        </w:rPr>
        <w:t xml:space="preserve">مالات </w:t>
      </w:r>
      <w:r w:rsidRPr="003E698F">
        <w:rPr>
          <w:rFonts w:hint="cs"/>
          <w:spacing w:val="0"/>
          <w:kern w:val="0"/>
          <w:sz w:val="20"/>
          <w:rtl/>
        </w:rPr>
        <w:t>كسبها أضعف بكثير من احتمال خسارتها، وإذا بدت هذه الفرص ضئيلة ل</w:t>
      </w:r>
      <w:r w:rsidRPr="003E698F">
        <w:rPr>
          <w:spacing w:val="0"/>
          <w:kern w:val="0"/>
          <w:sz w:val="20"/>
          <w:rtl/>
        </w:rPr>
        <w:t xml:space="preserve">درجة </w:t>
      </w:r>
      <w:r w:rsidRPr="003E698F">
        <w:rPr>
          <w:rFonts w:hint="cs"/>
          <w:spacing w:val="0"/>
          <w:kern w:val="0"/>
          <w:sz w:val="20"/>
          <w:rtl/>
        </w:rPr>
        <w:t>تثني</w:t>
      </w:r>
      <w:r w:rsidRPr="003E698F">
        <w:rPr>
          <w:spacing w:val="0"/>
          <w:kern w:val="0"/>
          <w:sz w:val="20"/>
          <w:rtl/>
        </w:rPr>
        <w:t xml:space="preserve"> </w:t>
      </w:r>
      <w:r w:rsidRPr="003E698F">
        <w:rPr>
          <w:rFonts w:hint="cs"/>
          <w:spacing w:val="0"/>
          <w:kern w:val="0"/>
          <w:sz w:val="20"/>
          <w:rtl/>
        </w:rPr>
        <w:t>المتقاضي</w:t>
      </w:r>
      <w:r w:rsidRPr="003E698F">
        <w:rPr>
          <w:spacing w:val="0"/>
          <w:kern w:val="0"/>
          <w:sz w:val="20"/>
          <w:rtl/>
        </w:rPr>
        <w:t xml:space="preserve"> </w:t>
      </w:r>
      <w:r w:rsidRPr="003E698F">
        <w:rPr>
          <w:rFonts w:hint="cs"/>
          <w:spacing w:val="0"/>
          <w:kern w:val="0"/>
          <w:sz w:val="20"/>
          <w:rtl/>
        </w:rPr>
        <w:t>الحصيف وال</w:t>
      </w:r>
      <w:r w:rsidRPr="003E698F">
        <w:rPr>
          <w:spacing w:val="0"/>
          <w:kern w:val="0"/>
          <w:sz w:val="20"/>
          <w:rtl/>
        </w:rPr>
        <w:t>ميسور</w:t>
      </w:r>
      <w:r w:rsidRPr="003E698F">
        <w:rPr>
          <w:rFonts w:hint="cs"/>
          <w:spacing w:val="0"/>
          <w:kern w:val="0"/>
          <w:sz w:val="20"/>
          <w:rtl/>
        </w:rPr>
        <w:t xml:space="preserve"> عن الشروع في الإجراءات بسبب الرسوم التي سيضطر إلى دفعها</w:t>
      </w:r>
      <w:r w:rsidRPr="003E698F">
        <w:rPr>
          <w:spacing w:val="0"/>
          <w:kern w:val="0"/>
          <w:sz w:val="20"/>
          <w:rtl/>
        </w:rPr>
        <w:t xml:space="preserve">. </w:t>
      </w:r>
      <w:r w:rsidRPr="003E698F">
        <w:rPr>
          <w:rFonts w:hint="cs"/>
          <w:spacing w:val="0"/>
          <w:kern w:val="0"/>
          <w:sz w:val="20"/>
          <w:rtl/>
        </w:rPr>
        <w:t>وفي المقابل، يمكن توفير</w:t>
      </w:r>
      <w:r w:rsidRPr="003E698F">
        <w:rPr>
          <w:spacing w:val="0"/>
          <w:kern w:val="0"/>
          <w:sz w:val="20"/>
          <w:rtl/>
        </w:rPr>
        <w:t xml:space="preserve"> المساعدة القضائية </w:t>
      </w:r>
      <w:r w:rsidRPr="003E698F">
        <w:rPr>
          <w:rFonts w:hint="cs"/>
          <w:spacing w:val="0"/>
          <w:kern w:val="0"/>
          <w:sz w:val="20"/>
          <w:rtl/>
        </w:rPr>
        <w:t xml:space="preserve">إذا كانت </w:t>
      </w:r>
      <w:r w:rsidRPr="003E698F">
        <w:rPr>
          <w:spacing w:val="0"/>
          <w:kern w:val="0"/>
          <w:sz w:val="20"/>
          <w:rtl/>
        </w:rPr>
        <w:t>فرص النجاح و</w:t>
      </w:r>
      <w:r w:rsidRPr="003E698F">
        <w:rPr>
          <w:rFonts w:hint="cs"/>
          <w:spacing w:val="0"/>
          <w:kern w:val="0"/>
          <w:sz w:val="20"/>
          <w:rtl/>
        </w:rPr>
        <w:t xml:space="preserve">احتمالات </w:t>
      </w:r>
      <w:r w:rsidRPr="003E698F">
        <w:rPr>
          <w:spacing w:val="0"/>
          <w:kern w:val="0"/>
          <w:sz w:val="20"/>
          <w:rtl/>
        </w:rPr>
        <w:t>الفشل</w:t>
      </w:r>
      <w:r w:rsidRPr="003E698F">
        <w:rPr>
          <w:rFonts w:hint="cs"/>
          <w:spacing w:val="0"/>
          <w:kern w:val="0"/>
          <w:sz w:val="20"/>
          <w:rtl/>
        </w:rPr>
        <w:t xml:space="preserve"> </w:t>
      </w:r>
      <w:r w:rsidRPr="003E698F">
        <w:rPr>
          <w:spacing w:val="0"/>
          <w:kern w:val="0"/>
          <w:sz w:val="20"/>
          <w:rtl/>
        </w:rPr>
        <w:t>متساوية تقريبا</w:t>
      </w:r>
      <w:r w:rsidRPr="003E698F">
        <w:rPr>
          <w:rFonts w:hint="cs"/>
          <w:spacing w:val="0"/>
          <w:kern w:val="0"/>
          <w:sz w:val="20"/>
          <w:rtl/>
        </w:rPr>
        <w:t>ً</w:t>
      </w:r>
      <w:r w:rsidRPr="003E698F">
        <w:rPr>
          <w:spacing w:val="0"/>
          <w:kern w:val="0"/>
          <w:sz w:val="20"/>
          <w:rtl/>
        </w:rPr>
        <w:t xml:space="preserve">، أو </w:t>
      </w:r>
      <w:r w:rsidRPr="003E698F">
        <w:rPr>
          <w:rFonts w:hint="cs"/>
          <w:spacing w:val="0"/>
          <w:kern w:val="0"/>
          <w:sz w:val="20"/>
          <w:rtl/>
        </w:rPr>
        <w:t>إذا كانت فرص النجاح أقل قليلاً من احتمالات الفشل</w:t>
      </w:r>
      <w:r w:rsidRPr="003E698F">
        <w:rPr>
          <w:spacing w:val="0"/>
          <w:kern w:val="0"/>
          <w:sz w:val="20"/>
          <w:rtl/>
        </w:rPr>
        <w:t xml:space="preserve">. </w:t>
      </w:r>
      <w:r w:rsidRPr="003E698F">
        <w:rPr>
          <w:rFonts w:hint="cs"/>
          <w:spacing w:val="0"/>
          <w:kern w:val="0"/>
          <w:sz w:val="20"/>
          <w:rtl/>
        </w:rPr>
        <w:t>ويُتَّخذ القرار الرسمي استناداً إلى تقييم أولي وموجز</w:t>
      </w:r>
      <w:r w:rsidRPr="003E698F">
        <w:rPr>
          <w:spacing w:val="0"/>
          <w:kern w:val="0"/>
          <w:sz w:val="20"/>
          <w:rtl/>
        </w:rPr>
        <w:t xml:space="preserve"> للأدلة</w:t>
      </w:r>
      <w:r w:rsidRPr="003E698F">
        <w:rPr>
          <w:rFonts w:hint="cs"/>
          <w:spacing w:val="0"/>
          <w:kern w:val="0"/>
          <w:sz w:val="20"/>
          <w:rtl/>
        </w:rPr>
        <w:t>؛ ويجب ال</w:t>
      </w:r>
      <w:r w:rsidRPr="003E698F">
        <w:rPr>
          <w:spacing w:val="0"/>
          <w:kern w:val="0"/>
          <w:sz w:val="20"/>
          <w:rtl/>
        </w:rPr>
        <w:t xml:space="preserve">تحقق من </w:t>
      </w:r>
      <w:r w:rsidRPr="003E698F">
        <w:rPr>
          <w:rFonts w:hint="cs"/>
          <w:spacing w:val="0"/>
          <w:kern w:val="0"/>
          <w:sz w:val="20"/>
          <w:rtl/>
        </w:rPr>
        <w:t xml:space="preserve">صحة </w:t>
      </w:r>
      <w:r w:rsidRPr="003E698F">
        <w:rPr>
          <w:spacing w:val="0"/>
          <w:kern w:val="0"/>
          <w:sz w:val="20"/>
          <w:rtl/>
        </w:rPr>
        <w:t xml:space="preserve">ادعاءات </w:t>
      </w:r>
      <w:r w:rsidRPr="003E698F">
        <w:rPr>
          <w:rFonts w:hint="cs"/>
          <w:spacing w:val="0"/>
          <w:kern w:val="0"/>
          <w:sz w:val="20"/>
          <w:rtl/>
        </w:rPr>
        <w:t>مقدِّم</w:t>
      </w:r>
      <w:r w:rsidRPr="003E698F">
        <w:rPr>
          <w:spacing w:val="0"/>
          <w:kern w:val="0"/>
          <w:sz w:val="20"/>
          <w:rtl/>
        </w:rPr>
        <w:t xml:space="preserve"> </w:t>
      </w:r>
      <w:r w:rsidRPr="003E698F">
        <w:rPr>
          <w:rFonts w:hint="cs"/>
          <w:spacing w:val="0"/>
          <w:kern w:val="0"/>
          <w:sz w:val="20"/>
          <w:rtl/>
        </w:rPr>
        <w:t>الطلب</w:t>
      </w:r>
      <w:r w:rsidRPr="003E698F">
        <w:rPr>
          <w:spacing w:val="0"/>
          <w:kern w:val="0"/>
          <w:sz w:val="20"/>
          <w:rtl/>
        </w:rPr>
        <w:t xml:space="preserve">. </w:t>
      </w:r>
      <w:r w:rsidRPr="003E698F">
        <w:rPr>
          <w:rFonts w:hint="cs"/>
          <w:spacing w:val="0"/>
          <w:kern w:val="0"/>
          <w:sz w:val="20"/>
          <w:rtl/>
        </w:rPr>
        <w:t>وغالباً ما تُرفض طلبات الإعفاء من تسديد الرسوم ف</w:t>
      </w:r>
      <w:r w:rsidRPr="003E698F">
        <w:rPr>
          <w:spacing w:val="0"/>
          <w:kern w:val="0"/>
          <w:sz w:val="20"/>
          <w:rtl/>
        </w:rPr>
        <w:t xml:space="preserve">ي إجراءات اللجوء، </w:t>
      </w:r>
      <w:r w:rsidRPr="003E698F">
        <w:rPr>
          <w:rFonts w:hint="cs"/>
          <w:spacing w:val="0"/>
          <w:kern w:val="0"/>
          <w:sz w:val="20"/>
          <w:rtl/>
        </w:rPr>
        <w:t>لأن الطلب يبدو من أول وهلة محكوماً عليه بالفشل. وفي الممارسة العملية، يطلب المكتب الاتحادي للهجرة من مقدِّم الطلب تسديد دفعة مقدمة عن طريق رسالة تنص على مهلة</w:t>
      </w:r>
      <w:r w:rsidRPr="003E698F">
        <w:rPr>
          <w:spacing w:val="0"/>
          <w:kern w:val="0"/>
          <w:sz w:val="20"/>
          <w:rtl/>
        </w:rPr>
        <w:t xml:space="preserve"> زمنية </w:t>
      </w:r>
      <w:r w:rsidRPr="003E698F">
        <w:rPr>
          <w:rFonts w:hint="cs"/>
          <w:spacing w:val="0"/>
          <w:kern w:val="0"/>
          <w:sz w:val="20"/>
          <w:rtl/>
        </w:rPr>
        <w:t xml:space="preserve">مدتها </w:t>
      </w:r>
      <w:r w:rsidRPr="003E698F">
        <w:rPr>
          <w:spacing w:val="0"/>
          <w:kern w:val="0"/>
          <w:sz w:val="20"/>
          <w:rtl/>
        </w:rPr>
        <w:t>خمسة عشر يوما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تبدأ </w:t>
      </w:r>
      <w:r w:rsidRPr="003E698F">
        <w:rPr>
          <w:spacing w:val="0"/>
          <w:kern w:val="0"/>
          <w:sz w:val="20"/>
          <w:rtl/>
        </w:rPr>
        <w:t>من</w:t>
      </w:r>
      <w:r w:rsidRPr="003E698F">
        <w:rPr>
          <w:rFonts w:hint="cs"/>
          <w:spacing w:val="0"/>
          <w:kern w:val="0"/>
          <w:sz w:val="20"/>
          <w:rtl/>
        </w:rPr>
        <w:t xml:space="preserve"> تاريخ</w:t>
      </w:r>
      <w:r w:rsidRPr="003E698F">
        <w:rPr>
          <w:spacing w:val="0"/>
          <w:kern w:val="0"/>
          <w:sz w:val="20"/>
          <w:rtl/>
        </w:rPr>
        <w:t xml:space="preserve"> إرسال </w:t>
      </w:r>
      <w:r w:rsidRPr="003E698F">
        <w:rPr>
          <w:rFonts w:hint="cs"/>
          <w:spacing w:val="0"/>
          <w:kern w:val="0"/>
          <w:sz w:val="20"/>
          <w:rtl/>
        </w:rPr>
        <w:t>الرسالة</w:t>
      </w:r>
      <w:r w:rsidRPr="003E698F">
        <w:rPr>
          <w:spacing w:val="0"/>
          <w:kern w:val="0"/>
          <w:sz w:val="20"/>
          <w:rtl/>
        </w:rPr>
        <w:t xml:space="preserve">، </w:t>
      </w:r>
      <w:r w:rsidRPr="003E698F">
        <w:rPr>
          <w:rFonts w:hint="cs"/>
          <w:spacing w:val="0"/>
          <w:kern w:val="0"/>
          <w:sz w:val="20"/>
          <w:rtl/>
        </w:rPr>
        <w:t>وهي مهلة غير قابلة للتمديد حتى لو تأخر مقدِّم الطلب في سحب الرسالة من مكتب البريد</w:t>
      </w:r>
      <w:r w:rsidRPr="003E698F">
        <w:rPr>
          <w:spacing w:val="0"/>
          <w:kern w:val="0"/>
          <w:sz w:val="20"/>
          <w:rtl/>
        </w:rPr>
        <w:t xml:space="preserve">. </w:t>
      </w:r>
      <w:r w:rsidRPr="003E698F">
        <w:rPr>
          <w:rFonts w:hint="cs"/>
          <w:spacing w:val="0"/>
          <w:kern w:val="0"/>
          <w:sz w:val="20"/>
          <w:rtl/>
        </w:rPr>
        <w:t>و</w:t>
      </w:r>
      <w:r w:rsidRPr="003E698F">
        <w:rPr>
          <w:spacing w:val="0"/>
          <w:kern w:val="0"/>
          <w:sz w:val="20"/>
          <w:rtl/>
        </w:rPr>
        <w:t xml:space="preserve">إذا </w:t>
      </w:r>
      <w:r w:rsidRPr="003E698F">
        <w:rPr>
          <w:rFonts w:hint="cs"/>
          <w:spacing w:val="0"/>
          <w:kern w:val="0"/>
          <w:sz w:val="20"/>
          <w:rtl/>
        </w:rPr>
        <w:t>لم تُسدد الدفعة المقدمة المطلوبة - التي تعادل الرسوم</w:t>
      </w:r>
      <w:r w:rsidRPr="003E698F">
        <w:rPr>
          <w:spacing w:val="0"/>
          <w:kern w:val="0"/>
          <w:sz w:val="20"/>
          <w:rtl/>
        </w:rPr>
        <w:t xml:space="preserve"> الإجرائي</w:t>
      </w:r>
      <w:r w:rsidRPr="003E698F">
        <w:rPr>
          <w:rFonts w:hint="cs"/>
          <w:spacing w:val="0"/>
          <w:kern w:val="0"/>
          <w:sz w:val="20"/>
          <w:rtl/>
        </w:rPr>
        <w:t>ة المقررة - لا ينظر المكتب في الطلب. وبإمكان مقدِّم الطلب الطعن في هذا القرار أمام المحكمة الإدارية الاتحادية في غضون 30 يوماً.</w:t>
      </w:r>
    </w:p>
    <w:p w:rsidR="00921F02" w:rsidRPr="003E698F" w:rsidRDefault="00921F02" w:rsidP="009E31FC">
      <w:pPr>
        <w:pStyle w:val="SingleTxtGA"/>
        <w:spacing w:line="370" w:lineRule="exact"/>
        <w:jc w:val="lowKashida"/>
        <w:rPr>
          <w:spacing w:val="0"/>
          <w:kern w:val="0"/>
          <w:sz w:val="20"/>
        </w:rPr>
      </w:pPr>
      <w:r w:rsidRPr="003E698F">
        <w:rPr>
          <w:rFonts w:hint="cs"/>
          <w:spacing w:val="0"/>
          <w:kern w:val="0"/>
          <w:sz w:val="20"/>
          <w:rtl/>
        </w:rPr>
        <w:t>7-4</w:t>
      </w:r>
      <w:r w:rsidRPr="003E698F">
        <w:rPr>
          <w:rFonts w:hint="cs"/>
          <w:spacing w:val="0"/>
          <w:kern w:val="0"/>
          <w:sz w:val="20"/>
          <w:rtl/>
        </w:rPr>
        <w:tab/>
        <w:t>وفي</w:t>
      </w:r>
      <w:r w:rsidRPr="003E698F">
        <w:rPr>
          <w:spacing w:val="0"/>
          <w:kern w:val="0"/>
          <w:sz w:val="20"/>
          <w:rtl/>
        </w:rPr>
        <w:t xml:space="preserve">ما يتعلق بحالة </w:t>
      </w:r>
      <w:r w:rsidRPr="003E698F">
        <w:rPr>
          <w:rFonts w:hint="cs"/>
          <w:spacing w:val="0"/>
          <w:kern w:val="0"/>
          <w:sz w:val="20"/>
          <w:rtl/>
        </w:rPr>
        <w:t>صاحبة الشكوى تحديداً،</w:t>
      </w:r>
      <w:r w:rsidRPr="003E698F">
        <w:rPr>
          <w:spacing w:val="0"/>
          <w:kern w:val="0"/>
          <w:sz w:val="20"/>
          <w:rtl/>
        </w:rPr>
        <w:t xml:space="preserve"> </w:t>
      </w:r>
      <w:r w:rsidRPr="003E698F">
        <w:rPr>
          <w:rFonts w:hint="cs"/>
          <w:spacing w:val="0"/>
          <w:kern w:val="0"/>
          <w:sz w:val="20"/>
          <w:rtl/>
        </w:rPr>
        <w:t xml:space="preserve">أشارت </w:t>
      </w:r>
      <w:r w:rsidRPr="003E698F">
        <w:rPr>
          <w:spacing w:val="0"/>
          <w:kern w:val="0"/>
          <w:sz w:val="20"/>
          <w:rtl/>
        </w:rPr>
        <w:t>الدولة الطرف إلى أن</w:t>
      </w:r>
      <w:r w:rsidRPr="003E698F">
        <w:rPr>
          <w:rFonts w:hint="cs"/>
          <w:spacing w:val="0"/>
          <w:kern w:val="0"/>
          <w:sz w:val="20"/>
          <w:rtl/>
        </w:rPr>
        <w:t xml:space="preserve"> المكتب الاتحادي للهجرة لم يفرض رسوماً عن</w:t>
      </w:r>
      <w:r w:rsidRPr="003E698F">
        <w:rPr>
          <w:spacing w:val="0"/>
          <w:kern w:val="0"/>
          <w:sz w:val="20"/>
          <w:rtl/>
        </w:rPr>
        <w:t xml:space="preserve"> </w:t>
      </w:r>
      <w:r w:rsidRPr="003E698F">
        <w:rPr>
          <w:rFonts w:hint="cs"/>
          <w:spacing w:val="0"/>
          <w:kern w:val="0"/>
          <w:sz w:val="20"/>
          <w:rtl/>
        </w:rPr>
        <w:t xml:space="preserve">أول </w:t>
      </w:r>
      <w:r w:rsidRPr="003E698F">
        <w:rPr>
          <w:spacing w:val="0"/>
          <w:kern w:val="0"/>
          <w:sz w:val="20"/>
          <w:rtl/>
        </w:rPr>
        <w:t>قرار</w:t>
      </w:r>
      <w:r w:rsidRPr="003E698F">
        <w:rPr>
          <w:rFonts w:hint="cs"/>
          <w:spacing w:val="0"/>
          <w:kern w:val="0"/>
          <w:sz w:val="20"/>
          <w:rtl/>
        </w:rPr>
        <w:t xml:space="preserve"> اتخذه بشأنها بتاريخ 13 حزيران/</w:t>
      </w:r>
      <w:r w:rsidR="009E31FC">
        <w:rPr>
          <w:rFonts w:hint="cs"/>
          <w:spacing w:val="0"/>
          <w:kern w:val="0"/>
          <w:sz w:val="20"/>
          <w:rtl/>
        </w:rPr>
        <w:t xml:space="preserve"> </w:t>
      </w:r>
      <w:r w:rsidRPr="003E698F">
        <w:rPr>
          <w:rFonts w:hint="cs"/>
          <w:spacing w:val="0"/>
          <w:kern w:val="0"/>
          <w:sz w:val="20"/>
          <w:rtl/>
        </w:rPr>
        <w:t>يونيه</w:t>
      </w:r>
      <w:r w:rsidR="009E31FC">
        <w:rPr>
          <w:rFonts w:hint="eastAsia"/>
          <w:spacing w:val="0"/>
          <w:kern w:val="0"/>
          <w:sz w:val="20"/>
          <w:rtl/>
        </w:rPr>
        <w:t> </w:t>
      </w:r>
      <w:r w:rsidRPr="003E698F">
        <w:rPr>
          <w:rFonts w:hint="cs"/>
          <w:spacing w:val="0"/>
          <w:kern w:val="0"/>
          <w:sz w:val="20"/>
          <w:rtl/>
        </w:rPr>
        <w:t>2</w:t>
      </w:r>
      <w:r w:rsidRPr="003E698F">
        <w:rPr>
          <w:spacing w:val="0"/>
          <w:kern w:val="0"/>
          <w:sz w:val="20"/>
          <w:rtl/>
        </w:rPr>
        <w:t xml:space="preserve">002. </w:t>
      </w:r>
      <w:r w:rsidRPr="003E698F">
        <w:rPr>
          <w:rFonts w:hint="cs"/>
          <w:spacing w:val="0"/>
          <w:kern w:val="0"/>
          <w:sz w:val="20"/>
          <w:rtl/>
        </w:rPr>
        <w:t>كما لم يفرض رسوماً عندما أبلغ صاحبة الشكوى بأن طلب إعادة النظر</w:t>
      </w:r>
      <w:r w:rsidRPr="003E698F">
        <w:rPr>
          <w:spacing w:val="0"/>
          <w:kern w:val="0"/>
          <w:sz w:val="20"/>
          <w:rtl/>
        </w:rPr>
        <w:t xml:space="preserve"> </w:t>
      </w:r>
      <w:r w:rsidR="004A748F">
        <w:rPr>
          <w:rFonts w:hint="cs"/>
          <w:spacing w:val="0"/>
          <w:kern w:val="0"/>
          <w:sz w:val="20"/>
          <w:rtl/>
        </w:rPr>
        <w:t>الذي</w:t>
      </w:r>
      <w:r w:rsidR="004A748F">
        <w:rPr>
          <w:rFonts w:hint="eastAsia"/>
          <w:spacing w:val="0"/>
          <w:kern w:val="0"/>
          <w:sz w:val="20"/>
          <w:rtl/>
        </w:rPr>
        <w:t> </w:t>
      </w:r>
      <w:r w:rsidR="004A748F">
        <w:rPr>
          <w:rFonts w:hint="cs"/>
          <w:spacing w:val="0"/>
          <w:kern w:val="0"/>
          <w:sz w:val="20"/>
          <w:rtl/>
        </w:rPr>
        <w:t xml:space="preserve">قدمته </w:t>
      </w:r>
      <w:r w:rsidRPr="003E698F">
        <w:rPr>
          <w:rFonts w:hint="cs"/>
          <w:spacing w:val="0"/>
          <w:kern w:val="0"/>
          <w:sz w:val="20"/>
          <w:rtl/>
        </w:rPr>
        <w:t xml:space="preserve">بتاريخ 15 آب/أغسطس </w:t>
      </w:r>
      <w:r w:rsidRPr="003E698F">
        <w:rPr>
          <w:spacing w:val="0"/>
          <w:kern w:val="0"/>
          <w:sz w:val="20"/>
          <w:rtl/>
        </w:rPr>
        <w:t>2005</w:t>
      </w:r>
      <w:r w:rsidRPr="003E698F">
        <w:rPr>
          <w:rFonts w:hint="cs"/>
          <w:spacing w:val="0"/>
          <w:kern w:val="0"/>
          <w:sz w:val="20"/>
          <w:rtl/>
        </w:rPr>
        <w:t xml:space="preserve"> لم يتضمن أسباباً موجبة ل</w:t>
      </w:r>
      <w:r w:rsidRPr="003E698F">
        <w:rPr>
          <w:spacing w:val="0"/>
          <w:kern w:val="0"/>
          <w:sz w:val="20"/>
          <w:rtl/>
        </w:rPr>
        <w:t>إعادة النظر في قرار</w:t>
      </w:r>
      <w:r w:rsidRPr="003E698F">
        <w:rPr>
          <w:rFonts w:hint="cs"/>
          <w:spacing w:val="0"/>
          <w:kern w:val="0"/>
          <w:sz w:val="20"/>
          <w:rtl/>
        </w:rPr>
        <w:t>ه</w:t>
      </w:r>
      <w:r w:rsidRPr="003E698F">
        <w:rPr>
          <w:spacing w:val="0"/>
          <w:kern w:val="0"/>
          <w:sz w:val="20"/>
          <w:rtl/>
        </w:rPr>
        <w:t xml:space="preserve"> </w:t>
      </w:r>
      <w:r w:rsidRPr="003E698F">
        <w:rPr>
          <w:rFonts w:hint="cs"/>
          <w:spacing w:val="0"/>
          <w:kern w:val="0"/>
          <w:sz w:val="20"/>
          <w:rtl/>
        </w:rPr>
        <w:t>المؤرخ</w:t>
      </w:r>
      <w:r w:rsidRPr="003E698F">
        <w:rPr>
          <w:spacing w:val="0"/>
          <w:kern w:val="0"/>
          <w:sz w:val="20"/>
          <w:rtl/>
        </w:rPr>
        <w:t xml:space="preserve"> 13 </w:t>
      </w:r>
      <w:r w:rsidRPr="003E698F">
        <w:rPr>
          <w:rFonts w:hint="cs"/>
          <w:spacing w:val="0"/>
          <w:kern w:val="0"/>
          <w:sz w:val="20"/>
          <w:rtl/>
        </w:rPr>
        <w:t>حزيران/</w:t>
      </w:r>
      <w:r w:rsidRPr="003E698F">
        <w:rPr>
          <w:spacing w:val="0"/>
          <w:kern w:val="0"/>
          <w:sz w:val="20"/>
          <w:rtl/>
        </w:rPr>
        <w:t>يوني</w:t>
      </w:r>
      <w:r w:rsidRPr="003E698F">
        <w:rPr>
          <w:rFonts w:hint="cs"/>
          <w:spacing w:val="0"/>
          <w:kern w:val="0"/>
          <w:sz w:val="20"/>
          <w:rtl/>
        </w:rPr>
        <w:t>ه</w:t>
      </w:r>
      <w:r w:rsidRPr="003E698F">
        <w:rPr>
          <w:spacing w:val="0"/>
          <w:kern w:val="0"/>
          <w:sz w:val="20"/>
          <w:rtl/>
        </w:rPr>
        <w:t xml:space="preserve"> 2002. </w:t>
      </w:r>
      <w:r w:rsidRPr="003E698F">
        <w:rPr>
          <w:rFonts w:hint="cs"/>
          <w:spacing w:val="0"/>
          <w:kern w:val="0"/>
          <w:sz w:val="20"/>
          <w:rtl/>
        </w:rPr>
        <w:t>غير أن المكتب فرض رسوماً ب</w:t>
      </w:r>
      <w:r w:rsidR="004A748F">
        <w:rPr>
          <w:rFonts w:hint="cs"/>
          <w:spacing w:val="0"/>
          <w:kern w:val="0"/>
          <w:sz w:val="20"/>
          <w:rtl/>
        </w:rPr>
        <w:t xml:space="preserve">قيمة 600 فرنك سويسري عن معالجة </w:t>
      </w:r>
      <w:r w:rsidRPr="003E698F">
        <w:rPr>
          <w:spacing w:val="0"/>
          <w:kern w:val="0"/>
          <w:sz w:val="20"/>
          <w:rtl/>
        </w:rPr>
        <w:t xml:space="preserve">طلب إعادة النظر </w:t>
      </w:r>
      <w:r w:rsidRPr="003E698F">
        <w:rPr>
          <w:rFonts w:hint="cs"/>
          <w:spacing w:val="0"/>
          <w:kern w:val="0"/>
          <w:sz w:val="20"/>
          <w:rtl/>
        </w:rPr>
        <w:t xml:space="preserve">الذي قدمته صاحبة الشكوى </w:t>
      </w:r>
      <w:r w:rsidRPr="003E698F">
        <w:rPr>
          <w:spacing w:val="0"/>
          <w:kern w:val="0"/>
          <w:sz w:val="20"/>
          <w:rtl/>
        </w:rPr>
        <w:t>في 9 نيسان</w:t>
      </w:r>
      <w:r w:rsidRPr="003E698F">
        <w:rPr>
          <w:rFonts w:hint="cs"/>
          <w:spacing w:val="0"/>
          <w:kern w:val="0"/>
          <w:sz w:val="20"/>
          <w:rtl/>
        </w:rPr>
        <w:t>/أبريل</w:t>
      </w:r>
      <w:r w:rsidRPr="003E698F">
        <w:rPr>
          <w:spacing w:val="0"/>
          <w:kern w:val="0"/>
          <w:sz w:val="20"/>
          <w:rtl/>
        </w:rPr>
        <w:t xml:space="preserve"> 2008</w:t>
      </w:r>
      <w:r w:rsidRPr="003E698F">
        <w:rPr>
          <w:rFonts w:hint="cs"/>
          <w:spacing w:val="0"/>
          <w:kern w:val="0"/>
          <w:sz w:val="20"/>
          <w:rtl/>
        </w:rPr>
        <w:t>، والذي رفضه بموجب قراره الصادر في 4 حزيران/يونيه 2008.</w:t>
      </w:r>
    </w:p>
    <w:p w:rsidR="00921F02" w:rsidRPr="003E698F" w:rsidRDefault="00921F02" w:rsidP="004A748F">
      <w:pPr>
        <w:pStyle w:val="SingleTxtGA"/>
        <w:spacing w:line="370" w:lineRule="exact"/>
        <w:jc w:val="lowKashida"/>
        <w:rPr>
          <w:rFonts w:hint="cs"/>
          <w:spacing w:val="0"/>
          <w:kern w:val="0"/>
          <w:sz w:val="20"/>
          <w:rtl/>
        </w:rPr>
      </w:pPr>
      <w:r w:rsidRPr="003E698F">
        <w:rPr>
          <w:rFonts w:hint="cs"/>
          <w:spacing w:val="0"/>
          <w:kern w:val="0"/>
          <w:sz w:val="20"/>
          <w:rtl/>
        </w:rPr>
        <w:t>7-5</w:t>
      </w:r>
      <w:r w:rsidRPr="003E698F">
        <w:rPr>
          <w:rFonts w:hint="cs"/>
          <w:spacing w:val="0"/>
          <w:kern w:val="0"/>
          <w:sz w:val="20"/>
          <w:rtl/>
        </w:rPr>
        <w:tab/>
        <w:t>و</w:t>
      </w:r>
      <w:r w:rsidRPr="003E698F">
        <w:rPr>
          <w:spacing w:val="0"/>
          <w:kern w:val="0"/>
          <w:sz w:val="20"/>
          <w:rtl/>
        </w:rPr>
        <w:t xml:space="preserve">في 12 </w:t>
      </w:r>
      <w:r w:rsidRPr="003E698F">
        <w:rPr>
          <w:rFonts w:hint="cs"/>
          <w:spacing w:val="0"/>
          <w:kern w:val="0"/>
          <w:sz w:val="20"/>
          <w:rtl/>
        </w:rPr>
        <w:t>تموز/</w:t>
      </w:r>
      <w:r w:rsidRPr="003E698F">
        <w:rPr>
          <w:spacing w:val="0"/>
          <w:kern w:val="0"/>
          <w:sz w:val="20"/>
          <w:rtl/>
        </w:rPr>
        <w:t>يولي</w:t>
      </w:r>
      <w:r w:rsidRPr="003E698F">
        <w:rPr>
          <w:rFonts w:hint="cs"/>
          <w:spacing w:val="0"/>
          <w:kern w:val="0"/>
          <w:sz w:val="20"/>
          <w:rtl/>
        </w:rPr>
        <w:t>ه</w:t>
      </w:r>
      <w:r w:rsidRPr="003E698F">
        <w:rPr>
          <w:spacing w:val="0"/>
          <w:kern w:val="0"/>
          <w:sz w:val="20"/>
          <w:rtl/>
        </w:rPr>
        <w:t xml:space="preserve"> 2002، </w:t>
      </w:r>
      <w:r w:rsidRPr="003E698F">
        <w:rPr>
          <w:rFonts w:hint="cs"/>
          <w:spacing w:val="0"/>
          <w:kern w:val="0"/>
          <w:sz w:val="20"/>
          <w:rtl/>
        </w:rPr>
        <w:t>طعنت صاحبة الشكوى في ق</w:t>
      </w:r>
      <w:r w:rsidRPr="003E698F">
        <w:rPr>
          <w:spacing w:val="0"/>
          <w:kern w:val="0"/>
          <w:sz w:val="20"/>
          <w:rtl/>
        </w:rPr>
        <w:t>رار</w:t>
      </w:r>
      <w:r w:rsidRPr="003E698F">
        <w:rPr>
          <w:rFonts w:hint="cs"/>
          <w:spacing w:val="0"/>
          <w:kern w:val="0"/>
          <w:sz w:val="20"/>
          <w:rtl/>
        </w:rPr>
        <w:t xml:space="preserve"> المكتب المذكور </w:t>
      </w:r>
      <w:r w:rsidRPr="003E698F">
        <w:rPr>
          <w:spacing w:val="0"/>
          <w:kern w:val="0"/>
          <w:sz w:val="20"/>
          <w:rtl/>
        </w:rPr>
        <w:t xml:space="preserve">أعلاه </w:t>
      </w:r>
      <w:r w:rsidRPr="003E698F">
        <w:rPr>
          <w:rFonts w:hint="cs"/>
          <w:spacing w:val="0"/>
          <w:kern w:val="0"/>
          <w:sz w:val="20"/>
          <w:rtl/>
        </w:rPr>
        <w:t>أمام</w:t>
      </w:r>
      <w:r w:rsidRPr="003E698F">
        <w:rPr>
          <w:spacing w:val="0"/>
          <w:kern w:val="0"/>
          <w:sz w:val="20"/>
          <w:rtl/>
        </w:rPr>
        <w:t xml:space="preserve"> </w:t>
      </w:r>
      <w:r w:rsidRPr="003E698F">
        <w:rPr>
          <w:color w:val="000000"/>
          <w:spacing w:val="0"/>
          <w:kern w:val="0"/>
          <w:sz w:val="20"/>
          <w:rtl/>
        </w:rPr>
        <w:t xml:space="preserve">اللجنة الحكومية المعنية بالطعون في قضايا اللجوء </w:t>
      </w:r>
      <w:r w:rsidRPr="003E698F">
        <w:rPr>
          <w:rFonts w:hint="cs"/>
          <w:spacing w:val="0"/>
          <w:kern w:val="0"/>
          <w:sz w:val="20"/>
          <w:rtl/>
        </w:rPr>
        <w:t xml:space="preserve">(التي حلت محلها مؤخراً المحكمة الإدارية الاتحادية). وفي خطاب مسجل أُرسِل بتاريخ </w:t>
      </w:r>
      <w:r w:rsidRPr="003E698F">
        <w:rPr>
          <w:spacing w:val="0"/>
          <w:kern w:val="0"/>
          <w:sz w:val="20"/>
          <w:rtl/>
        </w:rPr>
        <w:t xml:space="preserve">24 </w:t>
      </w:r>
      <w:r w:rsidRPr="003E698F">
        <w:rPr>
          <w:rFonts w:hint="cs"/>
          <w:spacing w:val="0"/>
          <w:kern w:val="0"/>
          <w:sz w:val="20"/>
          <w:rtl/>
        </w:rPr>
        <w:t>تموز/</w:t>
      </w:r>
      <w:r w:rsidRPr="003E698F">
        <w:rPr>
          <w:spacing w:val="0"/>
          <w:kern w:val="0"/>
          <w:sz w:val="20"/>
          <w:rtl/>
        </w:rPr>
        <w:t>يولي</w:t>
      </w:r>
      <w:r w:rsidRPr="003E698F">
        <w:rPr>
          <w:rFonts w:hint="cs"/>
          <w:spacing w:val="0"/>
          <w:kern w:val="0"/>
          <w:sz w:val="20"/>
          <w:rtl/>
        </w:rPr>
        <w:t>ه</w:t>
      </w:r>
      <w:r w:rsidRPr="003E698F">
        <w:rPr>
          <w:spacing w:val="0"/>
          <w:kern w:val="0"/>
          <w:sz w:val="20"/>
          <w:rtl/>
        </w:rPr>
        <w:t xml:space="preserve"> 2002، </w:t>
      </w:r>
      <w:r w:rsidRPr="003E698F">
        <w:rPr>
          <w:rFonts w:hint="cs"/>
          <w:spacing w:val="0"/>
          <w:kern w:val="0"/>
          <w:sz w:val="20"/>
          <w:rtl/>
        </w:rPr>
        <w:t>منحتها اللجنة مهلة حتى 8 آب/أغسطس</w:t>
      </w:r>
      <w:r w:rsidRPr="003E698F">
        <w:rPr>
          <w:spacing w:val="0"/>
          <w:kern w:val="0"/>
          <w:sz w:val="20"/>
          <w:rtl/>
        </w:rPr>
        <w:t xml:space="preserve"> 2002 </w:t>
      </w:r>
      <w:r w:rsidRPr="003E698F">
        <w:rPr>
          <w:rFonts w:hint="cs"/>
          <w:spacing w:val="0"/>
          <w:kern w:val="0"/>
          <w:sz w:val="20"/>
          <w:rtl/>
        </w:rPr>
        <w:t>لتسديد قيمة ال</w:t>
      </w:r>
      <w:r w:rsidRPr="003E698F">
        <w:rPr>
          <w:spacing w:val="0"/>
          <w:kern w:val="0"/>
          <w:sz w:val="20"/>
          <w:rtl/>
        </w:rPr>
        <w:t xml:space="preserve">رسوم </w:t>
      </w:r>
      <w:r w:rsidRPr="003E698F">
        <w:rPr>
          <w:rFonts w:hint="cs"/>
          <w:spacing w:val="0"/>
          <w:kern w:val="0"/>
          <w:sz w:val="20"/>
          <w:rtl/>
        </w:rPr>
        <w:t>الإجرائية</w:t>
      </w:r>
      <w:r w:rsidRPr="003E698F">
        <w:rPr>
          <w:spacing w:val="0"/>
          <w:kern w:val="0"/>
          <w:sz w:val="20"/>
          <w:rtl/>
        </w:rPr>
        <w:t xml:space="preserve"> </w:t>
      </w:r>
      <w:r w:rsidRPr="003E698F">
        <w:rPr>
          <w:rFonts w:hint="cs"/>
          <w:spacing w:val="0"/>
          <w:kern w:val="0"/>
          <w:sz w:val="20"/>
          <w:rtl/>
        </w:rPr>
        <w:t>مقدماً التي تعادل 600 ف</w:t>
      </w:r>
      <w:r w:rsidRPr="003E698F">
        <w:rPr>
          <w:spacing w:val="0"/>
          <w:kern w:val="0"/>
          <w:sz w:val="20"/>
          <w:rtl/>
        </w:rPr>
        <w:t xml:space="preserve">رنك، </w:t>
      </w:r>
      <w:r w:rsidRPr="003E698F">
        <w:rPr>
          <w:rFonts w:hint="cs"/>
          <w:spacing w:val="0"/>
          <w:kern w:val="0"/>
          <w:sz w:val="20"/>
          <w:rtl/>
        </w:rPr>
        <w:t>كما أبلغتها،</w:t>
      </w:r>
      <w:r w:rsidRPr="003E698F">
        <w:rPr>
          <w:spacing w:val="0"/>
          <w:kern w:val="0"/>
          <w:sz w:val="20"/>
          <w:rtl/>
        </w:rPr>
        <w:t xml:space="preserve"> </w:t>
      </w:r>
      <w:r w:rsidRPr="003E698F">
        <w:rPr>
          <w:rFonts w:hint="cs"/>
          <w:spacing w:val="0"/>
          <w:kern w:val="0"/>
          <w:sz w:val="20"/>
          <w:rtl/>
        </w:rPr>
        <w:t>جرياً على العرف المتبع</w:t>
      </w:r>
      <w:r w:rsidRPr="003E698F">
        <w:rPr>
          <w:spacing w:val="0"/>
          <w:kern w:val="0"/>
          <w:sz w:val="20"/>
          <w:rtl/>
        </w:rPr>
        <w:t xml:space="preserve">، </w:t>
      </w:r>
      <w:r w:rsidRPr="003E698F">
        <w:rPr>
          <w:rFonts w:hint="cs"/>
          <w:spacing w:val="0"/>
          <w:kern w:val="0"/>
          <w:sz w:val="20"/>
          <w:rtl/>
        </w:rPr>
        <w:t xml:space="preserve">بأن القاعدة تقضي بعدم قبول الدفع بالتقسيط، </w:t>
      </w:r>
      <w:r w:rsidRPr="003E698F">
        <w:rPr>
          <w:spacing w:val="0"/>
          <w:kern w:val="0"/>
          <w:sz w:val="20"/>
          <w:rtl/>
        </w:rPr>
        <w:t>و</w:t>
      </w:r>
      <w:r w:rsidRPr="003E698F">
        <w:rPr>
          <w:rFonts w:hint="cs"/>
          <w:spacing w:val="0"/>
          <w:kern w:val="0"/>
          <w:sz w:val="20"/>
          <w:rtl/>
        </w:rPr>
        <w:t xml:space="preserve">بأنها ستُعلن عدم قبول الاستئناف ما لم يُسدِّد المبلغ مقدماً في المهلة المحددة. وأرسلت صاحبة الشكوى </w:t>
      </w:r>
      <w:r w:rsidRPr="003E698F">
        <w:rPr>
          <w:spacing w:val="0"/>
          <w:kern w:val="0"/>
          <w:sz w:val="20"/>
          <w:rtl/>
        </w:rPr>
        <w:t xml:space="preserve">رسالة </w:t>
      </w:r>
      <w:r w:rsidRPr="003E698F">
        <w:rPr>
          <w:rFonts w:hint="cs"/>
          <w:spacing w:val="0"/>
          <w:kern w:val="0"/>
          <w:sz w:val="20"/>
          <w:rtl/>
        </w:rPr>
        <w:t>إلى اللجنة تتعلق بوضعها المادي غير المستقر بتاريخ</w:t>
      </w:r>
      <w:r w:rsidRPr="003E698F">
        <w:rPr>
          <w:spacing w:val="0"/>
          <w:kern w:val="0"/>
          <w:sz w:val="20"/>
          <w:rtl/>
        </w:rPr>
        <w:t xml:space="preserve"> 6 </w:t>
      </w:r>
      <w:r w:rsidRPr="003E698F">
        <w:rPr>
          <w:rFonts w:hint="cs"/>
          <w:spacing w:val="0"/>
          <w:kern w:val="0"/>
          <w:sz w:val="20"/>
          <w:rtl/>
        </w:rPr>
        <w:t>آب/</w:t>
      </w:r>
      <w:r w:rsidRPr="003E698F">
        <w:rPr>
          <w:spacing w:val="0"/>
          <w:kern w:val="0"/>
          <w:sz w:val="20"/>
          <w:rtl/>
        </w:rPr>
        <w:t>أغسطس 2002</w:t>
      </w:r>
      <w:r w:rsidRPr="003E698F">
        <w:rPr>
          <w:rFonts w:hint="cs"/>
          <w:spacing w:val="0"/>
          <w:kern w:val="0"/>
          <w:sz w:val="20"/>
          <w:rtl/>
        </w:rPr>
        <w:t>، فهمتها على أنها</w:t>
      </w:r>
      <w:r w:rsidRPr="003E698F">
        <w:rPr>
          <w:spacing w:val="0"/>
          <w:kern w:val="0"/>
          <w:sz w:val="20"/>
          <w:rtl/>
        </w:rPr>
        <w:t xml:space="preserve"> طلب </w:t>
      </w:r>
      <w:r w:rsidRPr="003E698F">
        <w:rPr>
          <w:rFonts w:hint="cs"/>
          <w:spacing w:val="0"/>
          <w:kern w:val="0"/>
          <w:sz w:val="20"/>
          <w:rtl/>
        </w:rPr>
        <w:t>إعفاء من دفع الرسوم الإجرائية</w:t>
      </w:r>
      <w:r w:rsidRPr="003E698F">
        <w:rPr>
          <w:spacing w:val="0"/>
          <w:kern w:val="0"/>
          <w:sz w:val="20"/>
          <w:rtl/>
        </w:rPr>
        <w:t xml:space="preserve">، </w:t>
      </w:r>
      <w:r w:rsidRPr="003E698F">
        <w:rPr>
          <w:rFonts w:hint="cs"/>
          <w:spacing w:val="0"/>
          <w:kern w:val="0"/>
          <w:sz w:val="20"/>
          <w:rtl/>
        </w:rPr>
        <w:t>ورفضت ال</w:t>
      </w:r>
      <w:r w:rsidRPr="003E698F">
        <w:rPr>
          <w:spacing w:val="0"/>
          <w:kern w:val="0"/>
          <w:sz w:val="20"/>
          <w:rtl/>
        </w:rPr>
        <w:t xml:space="preserve">طلب </w:t>
      </w:r>
      <w:r w:rsidRPr="003E698F">
        <w:rPr>
          <w:rFonts w:hint="cs"/>
          <w:spacing w:val="0"/>
          <w:kern w:val="0"/>
          <w:sz w:val="20"/>
          <w:rtl/>
        </w:rPr>
        <w:t xml:space="preserve">بموجب </w:t>
      </w:r>
      <w:r w:rsidRPr="003E698F">
        <w:rPr>
          <w:spacing w:val="0"/>
          <w:kern w:val="0"/>
          <w:sz w:val="20"/>
          <w:rtl/>
        </w:rPr>
        <w:t xml:space="preserve">القرار </w:t>
      </w:r>
      <w:r w:rsidRPr="003E698F">
        <w:rPr>
          <w:rFonts w:hint="cs"/>
          <w:spacing w:val="0"/>
          <w:kern w:val="0"/>
          <w:sz w:val="20"/>
          <w:rtl/>
        </w:rPr>
        <w:t>المؤرخ</w:t>
      </w:r>
      <w:r w:rsidRPr="003E698F">
        <w:rPr>
          <w:spacing w:val="0"/>
          <w:kern w:val="0"/>
          <w:sz w:val="20"/>
          <w:rtl/>
        </w:rPr>
        <w:t xml:space="preserve"> 23 </w:t>
      </w:r>
      <w:r w:rsidRPr="003E698F">
        <w:rPr>
          <w:rFonts w:hint="cs"/>
          <w:spacing w:val="0"/>
          <w:kern w:val="0"/>
          <w:sz w:val="20"/>
          <w:rtl/>
        </w:rPr>
        <w:t>تشرين الأول/</w:t>
      </w:r>
      <w:r w:rsidRPr="003E698F">
        <w:rPr>
          <w:spacing w:val="0"/>
          <w:kern w:val="0"/>
          <w:sz w:val="20"/>
          <w:rtl/>
        </w:rPr>
        <w:t xml:space="preserve">أكتوبر 2002، بعد </w:t>
      </w:r>
      <w:r w:rsidRPr="003E698F">
        <w:rPr>
          <w:rFonts w:hint="cs"/>
          <w:spacing w:val="0"/>
          <w:kern w:val="0"/>
          <w:sz w:val="20"/>
          <w:rtl/>
        </w:rPr>
        <w:t>أن نظرت في قرار المكتب الاتحادي للهجرة وفي ادعاءات صاحبة الشكوى</w:t>
      </w:r>
      <w:r w:rsidRPr="003E698F">
        <w:rPr>
          <w:spacing w:val="0"/>
          <w:kern w:val="0"/>
          <w:sz w:val="20"/>
          <w:rtl/>
        </w:rPr>
        <w:t>، و</w:t>
      </w:r>
      <w:r w:rsidRPr="003E698F">
        <w:rPr>
          <w:rFonts w:hint="cs"/>
          <w:spacing w:val="0"/>
          <w:kern w:val="0"/>
          <w:sz w:val="20"/>
          <w:rtl/>
        </w:rPr>
        <w:t>خلصت إلى أ</w:t>
      </w:r>
      <w:r w:rsidRPr="003E698F">
        <w:rPr>
          <w:spacing w:val="0"/>
          <w:kern w:val="0"/>
          <w:sz w:val="20"/>
          <w:rtl/>
        </w:rPr>
        <w:t xml:space="preserve">ن </w:t>
      </w:r>
      <w:r w:rsidRPr="003E698F">
        <w:rPr>
          <w:rFonts w:hint="cs"/>
          <w:spacing w:val="0"/>
          <w:kern w:val="0"/>
          <w:sz w:val="20"/>
          <w:rtl/>
        </w:rPr>
        <w:t>الاستئناف يبدو ظاهرياً أن مآله الفشل</w:t>
      </w:r>
      <w:r w:rsidRPr="003E698F">
        <w:rPr>
          <w:spacing w:val="0"/>
          <w:kern w:val="0"/>
          <w:sz w:val="20"/>
          <w:rtl/>
        </w:rPr>
        <w:t xml:space="preserve">. </w:t>
      </w:r>
      <w:r w:rsidRPr="003E698F">
        <w:rPr>
          <w:rFonts w:hint="cs"/>
          <w:spacing w:val="0"/>
          <w:kern w:val="0"/>
          <w:sz w:val="20"/>
          <w:rtl/>
        </w:rPr>
        <w:t>ومنحت اللجنة صاحبة الشكوى مهلة</w:t>
      </w:r>
      <w:r w:rsidRPr="003E698F">
        <w:rPr>
          <w:spacing w:val="0"/>
          <w:kern w:val="0"/>
          <w:sz w:val="20"/>
          <w:rtl/>
        </w:rPr>
        <w:t xml:space="preserve"> </w:t>
      </w:r>
      <w:r w:rsidRPr="003E698F">
        <w:rPr>
          <w:rFonts w:hint="cs"/>
          <w:spacing w:val="0"/>
          <w:kern w:val="0"/>
          <w:sz w:val="20"/>
          <w:rtl/>
        </w:rPr>
        <w:t>إضافية</w:t>
      </w:r>
      <w:r w:rsidRPr="003E698F">
        <w:rPr>
          <w:spacing w:val="0"/>
          <w:kern w:val="0"/>
          <w:sz w:val="20"/>
          <w:rtl/>
        </w:rPr>
        <w:t xml:space="preserve"> مدتها ثلاثة أيام </w:t>
      </w:r>
      <w:r w:rsidRPr="003E698F">
        <w:rPr>
          <w:rFonts w:hint="cs"/>
          <w:spacing w:val="0"/>
          <w:kern w:val="0"/>
          <w:sz w:val="20"/>
          <w:rtl/>
        </w:rPr>
        <w:t>لتسديد</w:t>
      </w:r>
      <w:r w:rsidRPr="003E698F">
        <w:rPr>
          <w:spacing w:val="0"/>
          <w:kern w:val="0"/>
          <w:sz w:val="20"/>
          <w:rtl/>
        </w:rPr>
        <w:t xml:space="preserve"> </w:t>
      </w:r>
      <w:r w:rsidRPr="003E698F">
        <w:rPr>
          <w:rFonts w:hint="cs"/>
          <w:spacing w:val="0"/>
          <w:kern w:val="0"/>
          <w:sz w:val="20"/>
          <w:rtl/>
        </w:rPr>
        <w:t>الرسوم الإجرائية</w:t>
      </w:r>
      <w:r w:rsidRPr="003E698F">
        <w:rPr>
          <w:spacing w:val="0"/>
          <w:kern w:val="0"/>
          <w:sz w:val="20"/>
          <w:rtl/>
        </w:rPr>
        <w:t xml:space="preserve">. </w:t>
      </w:r>
      <w:r w:rsidRPr="003E698F">
        <w:rPr>
          <w:rFonts w:hint="cs"/>
          <w:spacing w:val="0"/>
          <w:kern w:val="0"/>
          <w:sz w:val="20"/>
          <w:rtl/>
        </w:rPr>
        <w:t>وعندما لم تتمكن صاحبة الشكوى من ذلك</w:t>
      </w:r>
      <w:r w:rsidRPr="003E698F">
        <w:rPr>
          <w:spacing w:val="0"/>
          <w:kern w:val="0"/>
          <w:sz w:val="20"/>
          <w:rtl/>
        </w:rPr>
        <w:t>، أعلن</w:t>
      </w:r>
      <w:r w:rsidRPr="003E698F">
        <w:rPr>
          <w:rFonts w:hint="cs"/>
          <w:spacing w:val="0"/>
          <w:kern w:val="0"/>
          <w:sz w:val="20"/>
          <w:rtl/>
        </w:rPr>
        <w:t xml:space="preserve">ت اللجنة </w:t>
      </w:r>
      <w:r w:rsidRPr="003E698F">
        <w:rPr>
          <w:spacing w:val="0"/>
          <w:kern w:val="0"/>
          <w:sz w:val="20"/>
          <w:rtl/>
        </w:rPr>
        <w:t xml:space="preserve">عدم قبول الاستئناف </w:t>
      </w:r>
      <w:r w:rsidRPr="003E698F">
        <w:rPr>
          <w:rFonts w:hint="cs"/>
          <w:spacing w:val="0"/>
          <w:kern w:val="0"/>
          <w:sz w:val="20"/>
          <w:rtl/>
        </w:rPr>
        <w:t xml:space="preserve">بموجب </w:t>
      </w:r>
      <w:r w:rsidRPr="003E698F">
        <w:rPr>
          <w:spacing w:val="0"/>
          <w:kern w:val="0"/>
          <w:sz w:val="20"/>
          <w:rtl/>
        </w:rPr>
        <w:t>القرار المؤرخ 14 تشرين الثاني</w:t>
      </w:r>
      <w:r w:rsidRPr="003E698F">
        <w:rPr>
          <w:rFonts w:hint="cs"/>
          <w:spacing w:val="0"/>
          <w:kern w:val="0"/>
          <w:sz w:val="20"/>
          <w:rtl/>
        </w:rPr>
        <w:t>/نوفمبر</w:t>
      </w:r>
      <w:r w:rsidRPr="003E698F">
        <w:rPr>
          <w:spacing w:val="0"/>
          <w:kern w:val="0"/>
          <w:sz w:val="20"/>
          <w:rtl/>
        </w:rPr>
        <w:t xml:space="preserve"> 2002. </w:t>
      </w:r>
      <w:r w:rsidRPr="003E698F">
        <w:rPr>
          <w:rFonts w:hint="cs"/>
          <w:spacing w:val="0"/>
          <w:kern w:val="0"/>
          <w:sz w:val="20"/>
          <w:rtl/>
        </w:rPr>
        <w:t xml:space="preserve">وفرضت رسوماً إضافية بقيمة 200 فرنك عن </w:t>
      </w:r>
      <w:r w:rsidRPr="003E698F">
        <w:rPr>
          <w:spacing w:val="0"/>
          <w:kern w:val="0"/>
          <w:sz w:val="20"/>
          <w:rtl/>
        </w:rPr>
        <w:t xml:space="preserve">هذا القرار. </w:t>
      </w:r>
      <w:r w:rsidRPr="003E698F">
        <w:rPr>
          <w:rFonts w:hint="cs"/>
          <w:spacing w:val="0"/>
          <w:kern w:val="0"/>
          <w:sz w:val="20"/>
          <w:rtl/>
        </w:rPr>
        <w:t>وفي 2 كانون الأول/</w:t>
      </w:r>
      <w:r w:rsidRPr="003E698F">
        <w:rPr>
          <w:spacing w:val="0"/>
          <w:kern w:val="0"/>
          <w:sz w:val="20"/>
          <w:rtl/>
        </w:rPr>
        <w:t>ديسمبر 2002،</w:t>
      </w:r>
      <w:r w:rsidRPr="003E698F">
        <w:rPr>
          <w:rFonts w:hint="cs"/>
          <w:spacing w:val="0"/>
          <w:kern w:val="0"/>
          <w:sz w:val="20"/>
          <w:rtl/>
        </w:rPr>
        <w:t xml:space="preserve"> أخطرت صاحبةُ الشكوى</w:t>
      </w:r>
      <w:r w:rsidRPr="003E698F">
        <w:rPr>
          <w:spacing w:val="0"/>
          <w:kern w:val="0"/>
          <w:sz w:val="20"/>
          <w:rtl/>
        </w:rPr>
        <w:t xml:space="preserve"> </w:t>
      </w:r>
      <w:r w:rsidRPr="003E698F">
        <w:rPr>
          <w:rFonts w:hint="cs"/>
          <w:spacing w:val="0"/>
          <w:kern w:val="0"/>
          <w:sz w:val="20"/>
          <w:rtl/>
        </w:rPr>
        <w:t xml:space="preserve">اللجنةَ بأنها </w:t>
      </w:r>
      <w:r w:rsidRPr="003E698F">
        <w:rPr>
          <w:spacing w:val="0"/>
          <w:kern w:val="0"/>
          <w:sz w:val="20"/>
          <w:rtl/>
        </w:rPr>
        <w:t>لم تتلق</w:t>
      </w:r>
      <w:r w:rsidRPr="003E698F">
        <w:rPr>
          <w:rFonts w:hint="cs"/>
          <w:spacing w:val="0"/>
          <w:kern w:val="0"/>
          <w:sz w:val="20"/>
          <w:rtl/>
        </w:rPr>
        <w:t xml:space="preserve"> أي</w:t>
      </w:r>
      <w:r w:rsidRPr="003E698F">
        <w:rPr>
          <w:spacing w:val="0"/>
          <w:kern w:val="0"/>
          <w:sz w:val="20"/>
          <w:rtl/>
        </w:rPr>
        <w:t xml:space="preserve"> إشعار</w:t>
      </w:r>
      <w:r w:rsidRPr="003E698F">
        <w:rPr>
          <w:rFonts w:hint="cs"/>
          <w:spacing w:val="0"/>
          <w:kern w:val="0"/>
          <w:sz w:val="20"/>
          <w:rtl/>
        </w:rPr>
        <w:t xml:space="preserve"> لاستلام القرار المؤرخ 23 تشرين الأول/أكتوبر </w:t>
      </w:r>
      <w:r w:rsidRPr="003E698F">
        <w:rPr>
          <w:spacing w:val="0"/>
          <w:kern w:val="0"/>
          <w:sz w:val="20"/>
          <w:rtl/>
        </w:rPr>
        <w:t>2002</w:t>
      </w:r>
      <w:r w:rsidRPr="003E698F">
        <w:rPr>
          <w:rFonts w:hint="cs"/>
          <w:spacing w:val="0"/>
          <w:kern w:val="0"/>
          <w:sz w:val="20"/>
          <w:rtl/>
        </w:rPr>
        <w:t xml:space="preserve"> في مكتب البريد، وبأنها سددت في اليوم </w:t>
      </w:r>
      <w:r w:rsidRPr="003E698F">
        <w:rPr>
          <w:spacing w:val="0"/>
          <w:kern w:val="0"/>
          <w:sz w:val="20"/>
          <w:rtl/>
        </w:rPr>
        <w:t>نفس</w:t>
      </w:r>
      <w:r w:rsidRPr="003E698F">
        <w:rPr>
          <w:rFonts w:hint="cs"/>
          <w:spacing w:val="0"/>
          <w:kern w:val="0"/>
          <w:sz w:val="20"/>
          <w:rtl/>
        </w:rPr>
        <w:t>ه</w:t>
      </w:r>
      <w:r w:rsidRPr="003E698F">
        <w:rPr>
          <w:spacing w:val="0"/>
          <w:kern w:val="0"/>
          <w:sz w:val="20"/>
          <w:rtl/>
        </w:rPr>
        <w:t xml:space="preserve"> </w:t>
      </w:r>
      <w:r w:rsidRPr="003E698F">
        <w:rPr>
          <w:rFonts w:hint="cs"/>
          <w:spacing w:val="0"/>
          <w:kern w:val="0"/>
          <w:sz w:val="20"/>
          <w:rtl/>
        </w:rPr>
        <w:t>المبلغ المطلوب مقدماً</w:t>
      </w:r>
      <w:r w:rsidRPr="003E698F">
        <w:rPr>
          <w:spacing w:val="0"/>
          <w:kern w:val="0"/>
          <w:sz w:val="20"/>
          <w:rtl/>
        </w:rPr>
        <w:t xml:space="preserve">. </w:t>
      </w:r>
      <w:r w:rsidRPr="003E698F">
        <w:rPr>
          <w:rFonts w:hint="cs"/>
          <w:spacing w:val="0"/>
          <w:kern w:val="0"/>
          <w:sz w:val="20"/>
          <w:rtl/>
        </w:rPr>
        <w:t xml:space="preserve">وأرسلت </w:t>
      </w:r>
      <w:r w:rsidRPr="003E698F">
        <w:rPr>
          <w:spacing w:val="0"/>
          <w:kern w:val="0"/>
          <w:sz w:val="20"/>
          <w:rtl/>
        </w:rPr>
        <w:t>أيضا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رسالة بتاريخ 12 كانون الأول/ديسمبر </w:t>
      </w:r>
      <w:r w:rsidRPr="003E698F">
        <w:rPr>
          <w:spacing w:val="0"/>
          <w:kern w:val="0"/>
          <w:sz w:val="20"/>
          <w:rtl/>
        </w:rPr>
        <w:t>2002</w:t>
      </w:r>
      <w:r w:rsidRPr="003E698F">
        <w:rPr>
          <w:rFonts w:hint="cs"/>
          <w:spacing w:val="0"/>
          <w:kern w:val="0"/>
          <w:sz w:val="20"/>
          <w:rtl/>
        </w:rPr>
        <w:t xml:space="preserve"> تطلب فيها تمديد المهلة. وأعلنت اللجنة عدم قبول هذا الطلب بموجب ال</w:t>
      </w:r>
      <w:r w:rsidRPr="003E698F">
        <w:rPr>
          <w:spacing w:val="0"/>
          <w:kern w:val="0"/>
          <w:sz w:val="20"/>
          <w:rtl/>
        </w:rPr>
        <w:t>قرار المؤرخ 23 كانون الأول</w:t>
      </w:r>
      <w:r w:rsidRPr="003E698F">
        <w:rPr>
          <w:rFonts w:hint="cs"/>
          <w:spacing w:val="0"/>
          <w:kern w:val="0"/>
          <w:sz w:val="20"/>
          <w:rtl/>
        </w:rPr>
        <w:t>/ديسمبر</w:t>
      </w:r>
      <w:r w:rsidRPr="003E698F">
        <w:rPr>
          <w:spacing w:val="0"/>
          <w:kern w:val="0"/>
          <w:sz w:val="20"/>
          <w:rtl/>
        </w:rPr>
        <w:t xml:space="preserve"> 2002، </w:t>
      </w:r>
      <w:r w:rsidRPr="003E698F">
        <w:rPr>
          <w:rFonts w:hint="cs"/>
          <w:spacing w:val="0"/>
          <w:kern w:val="0"/>
          <w:sz w:val="20"/>
          <w:rtl/>
        </w:rPr>
        <w:t>بدعوى أن الفترة المقررة للتمديد هي 10 أيام اعتباراً من تاريخ انتفاء المانع الذي حال دون التقيد بالأجل المحدد. وفُرضت رسوم بقيمة</w:t>
      </w:r>
      <w:r w:rsidR="004A748F">
        <w:rPr>
          <w:rFonts w:hint="eastAsia"/>
          <w:spacing w:val="0"/>
          <w:kern w:val="0"/>
          <w:sz w:val="20"/>
          <w:rtl/>
        </w:rPr>
        <w:t> </w:t>
      </w:r>
      <w:r w:rsidRPr="003E698F">
        <w:rPr>
          <w:rFonts w:hint="cs"/>
          <w:spacing w:val="0"/>
          <w:kern w:val="0"/>
          <w:sz w:val="20"/>
          <w:rtl/>
        </w:rPr>
        <w:t>200 فرنك عن هذا القرار.</w:t>
      </w:r>
    </w:p>
    <w:p w:rsidR="00921F02" w:rsidRPr="003E698F" w:rsidRDefault="00921F02" w:rsidP="004A748F">
      <w:pPr>
        <w:pStyle w:val="SingleTxtGA"/>
        <w:spacing w:line="370" w:lineRule="exact"/>
        <w:jc w:val="lowKashida"/>
        <w:rPr>
          <w:rFonts w:hint="cs"/>
          <w:spacing w:val="0"/>
          <w:kern w:val="0"/>
          <w:sz w:val="20"/>
        </w:rPr>
      </w:pPr>
      <w:r w:rsidRPr="004A748F">
        <w:rPr>
          <w:rFonts w:hint="cs"/>
          <w:spacing w:val="-2"/>
          <w:kern w:val="0"/>
          <w:sz w:val="20"/>
          <w:rtl/>
        </w:rPr>
        <w:t>7-6</w:t>
      </w:r>
      <w:r w:rsidRPr="004A748F">
        <w:rPr>
          <w:rFonts w:hint="cs"/>
          <w:spacing w:val="-2"/>
          <w:kern w:val="0"/>
          <w:sz w:val="20"/>
          <w:rtl/>
        </w:rPr>
        <w:tab/>
        <w:t xml:space="preserve">وفي 16 كانون الثاني/يناير 2003، قدمت صاحبة الشكوى ممثّلة بمحام، طلباً إلى </w:t>
      </w:r>
      <w:r w:rsidRPr="004A748F">
        <w:rPr>
          <w:spacing w:val="-2"/>
          <w:kern w:val="0"/>
          <w:sz w:val="20"/>
          <w:rtl/>
        </w:rPr>
        <w:t>اللجنة الحكومية المعنية بالطعون في قضايا اللجوء،</w:t>
      </w:r>
      <w:r w:rsidRPr="004A748F">
        <w:rPr>
          <w:rFonts w:hint="cs"/>
          <w:spacing w:val="-2"/>
          <w:kern w:val="0"/>
          <w:sz w:val="20"/>
          <w:rtl/>
        </w:rPr>
        <w:t xml:space="preserve"> تلتمس فيه مراجعة القرار على أساس أنها</w:t>
      </w:r>
      <w:r w:rsidR="004A748F">
        <w:rPr>
          <w:rFonts w:hint="eastAsia"/>
          <w:spacing w:val="-2"/>
          <w:kern w:val="0"/>
          <w:sz w:val="20"/>
          <w:rtl/>
        </w:rPr>
        <w:t> </w:t>
      </w:r>
      <w:r w:rsidRPr="004A748F">
        <w:rPr>
          <w:rFonts w:hint="cs"/>
          <w:spacing w:val="-2"/>
          <w:kern w:val="0"/>
          <w:sz w:val="20"/>
          <w:rtl/>
        </w:rPr>
        <w:t>لم تستلم القرارين المؤرخين 23 تشرين الأول/أكتوبر 2002، و14 تشرين الثاني/</w:t>
      </w:r>
      <w:r w:rsidR="004A748F">
        <w:rPr>
          <w:rFonts w:hint="cs"/>
          <w:spacing w:val="-2"/>
          <w:kern w:val="0"/>
          <w:sz w:val="20"/>
          <w:rtl/>
        </w:rPr>
        <w:t xml:space="preserve"> </w:t>
      </w:r>
      <w:r w:rsidRPr="004A748F">
        <w:rPr>
          <w:rFonts w:hint="cs"/>
          <w:spacing w:val="-2"/>
          <w:kern w:val="0"/>
          <w:sz w:val="20"/>
          <w:rtl/>
        </w:rPr>
        <w:t>نوفمبر</w:t>
      </w:r>
      <w:r w:rsidR="004A748F">
        <w:rPr>
          <w:rFonts w:hint="eastAsia"/>
          <w:spacing w:val="0"/>
          <w:kern w:val="0"/>
          <w:sz w:val="20"/>
          <w:rtl/>
        </w:rPr>
        <w:t> </w:t>
      </w:r>
      <w:r w:rsidRPr="003E698F">
        <w:rPr>
          <w:rFonts w:hint="cs"/>
          <w:spacing w:val="0"/>
          <w:kern w:val="0"/>
          <w:sz w:val="20"/>
          <w:rtl/>
        </w:rPr>
        <w:t>2002 في الوقت المناسب لتقديم طعن. وفي 3 شباط/فبراير 2003، أرسلت اللجنة إلى ممثل صاحبة الشكوى رسالة تتضمن عدداً من الوثائق التي تثبت أن القرار المؤرخ 14 تشرين الثاني/نوفمبر 2002 قد أُرسل قبل تاريخ 15 تشرين الثاني/نوفمبر 2002، وتم</w:t>
      </w:r>
      <w:r w:rsidR="004A748F">
        <w:rPr>
          <w:rFonts w:hint="eastAsia"/>
          <w:spacing w:val="0"/>
          <w:kern w:val="0"/>
          <w:sz w:val="20"/>
          <w:rtl/>
        </w:rPr>
        <w:t> </w:t>
      </w:r>
      <w:r w:rsidRPr="003E698F">
        <w:rPr>
          <w:rFonts w:hint="cs"/>
          <w:spacing w:val="0"/>
          <w:kern w:val="0"/>
          <w:sz w:val="20"/>
          <w:rtl/>
        </w:rPr>
        <w:t>استلامه في البريد قبل 25 تشرين الثاني/نوفمبر 2002. وفي رسالة مؤرخة 6 شباط/</w:t>
      </w:r>
      <w:r w:rsidR="004A748F">
        <w:rPr>
          <w:rFonts w:hint="cs"/>
          <w:spacing w:val="0"/>
          <w:kern w:val="0"/>
          <w:sz w:val="20"/>
          <w:rtl/>
        </w:rPr>
        <w:t xml:space="preserve"> </w:t>
      </w:r>
      <w:r w:rsidRPr="003E698F">
        <w:rPr>
          <w:rFonts w:hint="cs"/>
          <w:spacing w:val="0"/>
          <w:kern w:val="0"/>
          <w:sz w:val="20"/>
          <w:rtl/>
        </w:rPr>
        <w:t>فبراير</w:t>
      </w:r>
      <w:r w:rsidR="004A748F">
        <w:rPr>
          <w:rFonts w:hint="eastAsia"/>
          <w:spacing w:val="0"/>
          <w:kern w:val="0"/>
          <w:sz w:val="20"/>
          <w:rtl/>
        </w:rPr>
        <w:t> </w:t>
      </w:r>
      <w:r w:rsidRPr="003E698F">
        <w:rPr>
          <w:rFonts w:hint="cs"/>
          <w:spacing w:val="0"/>
          <w:kern w:val="0"/>
          <w:sz w:val="20"/>
          <w:rtl/>
        </w:rPr>
        <w:t>2003، أعرب ممثل صاحبة الشكوى عن رفضه التعليق بهذا الش</w:t>
      </w:r>
      <w:r w:rsidR="00E61B85">
        <w:rPr>
          <w:rFonts w:hint="cs"/>
          <w:spacing w:val="0"/>
          <w:kern w:val="0"/>
          <w:sz w:val="20"/>
          <w:rtl/>
        </w:rPr>
        <w:t>أن. وبناء على ذلك، أعلنت اللجنة</w:t>
      </w:r>
      <w:r w:rsidRPr="003E698F">
        <w:rPr>
          <w:rFonts w:hint="cs"/>
          <w:spacing w:val="0"/>
          <w:kern w:val="0"/>
          <w:sz w:val="20"/>
          <w:rtl/>
        </w:rPr>
        <w:t xml:space="preserve"> في 27 شباط/فبراير 2003، عدم قبول طلب تمديد المهلة الثاني، وفرضت رسوماً بقيمة 400 فرنك عن هذا القرار.</w:t>
      </w:r>
    </w:p>
    <w:p w:rsidR="00921F02" w:rsidRPr="003E698F" w:rsidRDefault="00921F02" w:rsidP="009E31FC">
      <w:pPr>
        <w:pStyle w:val="SingleTxtGA"/>
        <w:jc w:val="lowKashida"/>
        <w:rPr>
          <w:spacing w:val="0"/>
          <w:kern w:val="0"/>
          <w:sz w:val="20"/>
          <w:rtl/>
        </w:rPr>
      </w:pPr>
      <w:r w:rsidRPr="003E698F">
        <w:rPr>
          <w:rFonts w:hint="cs"/>
          <w:spacing w:val="0"/>
          <w:kern w:val="0"/>
          <w:sz w:val="20"/>
          <w:rtl/>
        </w:rPr>
        <w:t>7-7</w:t>
      </w:r>
      <w:r w:rsidRPr="003E698F">
        <w:rPr>
          <w:rFonts w:hint="cs"/>
          <w:spacing w:val="0"/>
          <w:kern w:val="0"/>
          <w:sz w:val="20"/>
          <w:rtl/>
        </w:rPr>
        <w:tab/>
      </w:r>
      <w:r w:rsidRPr="003E698F">
        <w:rPr>
          <w:spacing w:val="0"/>
          <w:kern w:val="0"/>
          <w:sz w:val="20"/>
          <w:rtl/>
        </w:rPr>
        <w:t xml:space="preserve">وفي 12 </w:t>
      </w:r>
      <w:r w:rsidRPr="003E698F">
        <w:rPr>
          <w:rFonts w:hint="cs"/>
          <w:spacing w:val="0"/>
          <w:kern w:val="0"/>
          <w:sz w:val="20"/>
          <w:rtl/>
        </w:rPr>
        <w:t>أيلول/</w:t>
      </w:r>
      <w:r w:rsidRPr="003E698F">
        <w:rPr>
          <w:spacing w:val="0"/>
          <w:kern w:val="0"/>
          <w:sz w:val="20"/>
          <w:rtl/>
        </w:rPr>
        <w:t xml:space="preserve">سبتمبر 2005، </w:t>
      </w:r>
      <w:r w:rsidRPr="003E698F">
        <w:rPr>
          <w:rFonts w:hint="cs"/>
          <w:spacing w:val="0"/>
          <w:kern w:val="0"/>
          <w:sz w:val="20"/>
          <w:rtl/>
        </w:rPr>
        <w:t>طعنت صاحبة الشكوى في ال</w:t>
      </w:r>
      <w:r w:rsidRPr="003E698F">
        <w:rPr>
          <w:spacing w:val="0"/>
          <w:kern w:val="0"/>
          <w:sz w:val="20"/>
          <w:rtl/>
        </w:rPr>
        <w:t>قرار</w:t>
      </w:r>
      <w:r w:rsidRPr="003E698F">
        <w:rPr>
          <w:rFonts w:hint="cs"/>
          <w:spacing w:val="0"/>
          <w:kern w:val="0"/>
          <w:sz w:val="20"/>
          <w:rtl/>
        </w:rPr>
        <w:t xml:space="preserve"> الذي اتخذه</w:t>
      </w:r>
      <w:r w:rsidRPr="003E698F">
        <w:rPr>
          <w:spacing w:val="0"/>
          <w:kern w:val="0"/>
          <w:sz w:val="20"/>
          <w:rtl/>
        </w:rPr>
        <w:t xml:space="preserve"> </w:t>
      </w:r>
      <w:r w:rsidRPr="003E698F">
        <w:rPr>
          <w:rFonts w:hint="cs"/>
          <w:spacing w:val="0"/>
          <w:kern w:val="0"/>
          <w:sz w:val="20"/>
          <w:rtl/>
        </w:rPr>
        <w:t>المكتب الاتحادي للهجرة</w:t>
      </w:r>
      <w:r w:rsidRPr="003E698F">
        <w:rPr>
          <w:spacing w:val="0"/>
          <w:kern w:val="0"/>
          <w:sz w:val="20"/>
          <w:rtl/>
        </w:rPr>
        <w:t xml:space="preserve"> </w:t>
      </w:r>
      <w:r w:rsidRPr="003E698F">
        <w:rPr>
          <w:rFonts w:hint="cs"/>
          <w:spacing w:val="0"/>
          <w:kern w:val="0"/>
          <w:sz w:val="20"/>
          <w:rtl/>
        </w:rPr>
        <w:t>في</w:t>
      </w:r>
      <w:r w:rsidRPr="003E698F">
        <w:rPr>
          <w:spacing w:val="0"/>
          <w:kern w:val="0"/>
          <w:sz w:val="20"/>
          <w:rtl/>
        </w:rPr>
        <w:t xml:space="preserve"> 19 آب</w:t>
      </w:r>
      <w:r w:rsidRPr="003E698F">
        <w:rPr>
          <w:rFonts w:hint="cs"/>
          <w:spacing w:val="0"/>
          <w:kern w:val="0"/>
          <w:sz w:val="20"/>
          <w:rtl/>
        </w:rPr>
        <w:t>/أغسطس</w:t>
      </w:r>
      <w:r w:rsidRPr="003E698F">
        <w:rPr>
          <w:spacing w:val="0"/>
          <w:kern w:val="0"/>
          <w:sz w:val="20"/>
          <w:rtl/>
        </w:rPr>
        <w:t xml:space="preserve"> 2005 </w:t>
      </w:r>
      <w:r w:rsidRPr="003E698F">
        <w:rPr>
          <w:rFonts w:hint="cs"/>
          <w:spacing w:val="0"/>
          <w:kern w:val="0"/>
          <w:sz w:val="20"/>
          <w:rtl/>
        </w:rPr>
        <w:t>بشأن</w:t>
      </w:r>
      <w:r w:rsidRPr="003E698F">
        <w:rPr>
          <w:spacing w:val="0"/>
          <w:kern w:val="0"/>
          <w:sz w:val="20"/>
          <w:rtl/>
        </w:rPr>
        <w:t xml:space="preserve"> </w:t>
      </w:r>
      <w:r w:rsidRPr="003E698F">
        <w:rPr>
          <w:rFonts w:hint="cs"/>
          <w:spacing w:val="0"/>
          <w:kern w:val="0"/>
          <w:sz w:val="20"/>
          <w:rtl/>
        </w:rPr>
        <w:t>التماسها</w:t>
      </w:r>
      <w:r w:rsidRPr="003E698F">
        <w:rPr>
          <w:spacing w:val="0"/>
          <w:kern w:val="0"/>
          <w:sz w:val="20"/>
          <w:rtl/>
        </w:rPr>
        <w:t xml:space="preserve"> الأول </w:t>
      </w:r>
      <w:r w:rsidRPr="003E698F">
        <w:rPr>
          <w:rFonts w:hint="cs"/>
          <w:spacing w:val="0"/>
          <w:kern w:val="0"/>
          <w:sz w:val="20"/>
          <w:rtl/>
        </w:rPr>
        <w:t>المتعلق ب</w:t>
      </w:r>
      <w:r w:rsidRPr="003E698F">
        <w:rPr>
          <w:spacing w:val="0"/>
          <w:kern w:val="0"/>
          <w:sz w:val="20"/>
          <w:rtl/>
        </w:rPr>
        <w:t xml:space="preserve">إعادة النظر. </w:t>
      </w:r>
      <w:r w:rsidRPr="003E698F">
        <w:rPr>
          <w:rFonts w:hint="cs"/>
          <w:spacing w:val="0"/>
          <w:kern w:val="0"/>
          <w:sz w:val="20"/>
          <w:rtl/>
        </w:rPr>
        <w:t xml:space="preserve">وفي </w:t>
      </w:r>
      <w:r w:rsidRPr="003E698F">
        <w:rPr>
          <w:spacing w:val="0"/>
          <w:kern w:val="0"/>
          <w:sz w:val="20"/>
          <w:rtl/>
        </w:rPr>
        <w:t xml:space="preserve">قرار </w:t>
      </w:r>
      <w:r w:rsidRPr="003E698F">
        <w:rPr>
          <w:rFonts w:hint="cs"/>
          <w:spacing w:val="0"/>
          <w:kern w:val="0"/>
          <w:sz w:val="20"/>
          <w:rtl/>
        </w:rPr>
        <w:t>تحفظي مؤرخ</w:t>
      </w:r>
      <w:r w:rsidRPr="003E698F">
        <w:rPr>
          <w:spacing w:val="0"/>
          <w:kern w:val="0"/>
          <w:sz w:val="20"/>
          <w:rtl/>
        </w:rPr>
        <w:t xml:space="preserve"> 1 تشرين الثاني</w:t>
      </w:r>
      <w:r w:rsidRPr="003E698F">
        <w:rPr>
          <w:rFonts w:hint="cs"/>
          <w:spacing w:val="0"/>
          <w:kern w:val="0"/>
          <w:sz w:val="20"/>
          <w:rtl/>
        </w:rPr>
        <w:t>/نوفمبر</w:t>
      </w:r>
      <w:r w:rsidRPr="003E698F">
        <w:rPr>
          <w:spacing w:val="0"/>
          <w:kern w:val="0"/>
          <w:sz w:val="20"/>
          <w:rtl/>
        </w:rPr>
        <w:t xml:space="preserve"> 2005، </w:t>
      </w:r>
      <w:r w:rsidRPr="003E698F">
        <w:rPr>
          <w:rFonts w:hint="cs"/>
          <w:spacing w:val="0"/>
          <w:kern w:val="0"/>
          <w:sz w:val="20"/>
          <w:rtl/>
        </w:rPr>
        <w:t>منحتها</w:t>
      </w:r>
      <w:r w:rsidRPr="003E698F">
        <w:rPr>
          <w:color w:val="008000"/>
          <w:spacing w:val="0"/>
          <w:kern w:val="0"/>
          <w:sz w:val="20"/>
          <w:rtl/>
        </w:rPr>
        <w:t xml:space="preserve"> </w:t>
      </w:r>
      <w:r w:rsidRPr="003E698F">
        <w:rPr>
          <w:spacing w:val="0"/>
          <w:kern w:val="0"/>
          <w:sz w:val="20"/>
          <w:rtl/>
        </w:rPr>
        <w:t xml:space="preserve">اللجنة الحكومية المعنية بالطعون في قضايا اللجوء </w:t>
      </w:r>
      <w:r w:rsidRPr="003E698F">
        <w:rPr>
          <w:rFonts w:hint="cs"/>
          <w:spacing w:val="0"/>
          <w:kern w:val="0"/>
          <w:sz w:val="20"/>
          <w:rtl/>
        </w:rPr>
        <w:t>مهلة</w:t>
      </w:r>
      <w:r w:rsidRPr="003E698F">
        <w:rPr>
          <w:spacing w:val="0"/>
          <w:kern w:val="0"/>
          <w:sz w:val="20"/>
          <w:rtl/>
        </w:rPr>
        <w:t xml:space="preserve"> حتى 16 </w:t>
      </w:r>
      <w:r w:rsidRPr="003E698F">
        <w:rPr>
          <w:rFonts w:hint="cs"/>
          <w:spacing w:val="0"/>
          <w:kern w:val="0"/>
          <w:sz w:val="20"/>
          <w:rtl/>
        </w:rPr>
        <w:t>تشرين الثاني/</w:t>
      </w:r>
      <w:r w:rsidRPr="003E698F">
        <w:rPr>
          <w:spacing w:val="0"/>
          <w:kern w:val="0"/>
          <w:sz w:val="20"/>
          <w:rtl/>
        </w:rPr>
        <w:t xml:space="preserve">نوفمبر 2005 </w:t>
      </w:r>
      <w:r w:rsidRPr="003E698F">
        <w:rPr>
          <w:rFonts w:hint="cs"/>
          <w:spacing w:val="0"/>
          <w:kern w:val="0"/>
          <w:sz w:val="20"/>
          <w:rtl/>
        </w:rPr>
        <w:t>لتسديد رسوم بقيمة</w:t>
      </w:r>
      <w:r w:rsidR="004A748F">
        <w:rPr>
          <w:rFonts w:hint="eastAsia"/>
          <w:spacing w:val="0"/>
          <w:kern w:val="0"/>
          <w:sz w:val="20"/>
          <w:rtl/>
        </w:rPr>
        <w:t> </w:t>
      </w:r>
      <w:r w:rsidRPr="003E698F">
        <w:rPr>
          <w:rFonts w:hint="cs"/>
          <w:spacing w:val="0"/>
          <w:kern w:val="0"/>
          <w:sz w:val="20"/>
          <w:rtl/>
        </w:rPr>
        <w:t xml:space="preserve">200 1 فرنك مقدماً. </w:t>
      </w:r>
      <w:r w:rsidRPr="003E698F">
        <w:rPr>
          <w:spacing w:val="0"/>
          <w:kern w:val="0"/>
          <w:sz w:val="20"/>
          <w:rtl/>
        </w:rPr>
        <w:t>و</w:t>
      </w:r>
      <w:r w:rsidRPr="003E698F">
        <w:rPr>
          <w:rFonts w:hint="cs"/>
          <w:spacing w:val="0"/>
          <w:kern w:val="0"/>
          <w:sz w:val="20"/>
          <w:rtl/>
        </w:rPr>
        <w:t xml:space="preserve">أشارت في البداية إلى مقالي </w:t>
      </w:r>
      <w:r w:rsidRPr="003E698F">
        <w:rPr>
          <w:rFonts w:hint="cs"/>
          <w:i/>
          <w:iCs/>
          <w:spacing w:val="0"/>
          <w:kern w:val="0"/>
          <w:sz w:val="20"/>
          <w:rtl/>
        </w:rPr>
        <w:t>"كورييه دافريك"</w:t>
      </w:r>
      <w:r w:rsidRPr="003E698F">
        <w:rPr>
          <w:rFonts w:hint="cs"/>
          <w:spacing w:val="0"/>
          <w:kern w:val="0"/>
          <w:sz w:val="20"/>
          <w:rtl/>
        </w:rPr>
        <w:t xml:space="preserve"> اللذين ضمتهما صاحبة البلاغ إلى الملف، فقالت إنهما مزوران ويفتقران إلى القيمة الثبوتية، وإنه من الواضح أنهما لا يعبران عما أدلت به من أقوال بشأن الأسباب التي دفعتها إلى طلب اللجوء. وأشارت اللجنة أيضاً إلى أن صاحبة البلاغ لم تقدم أي معلومات جديدة تدعم طلبها اللجوء. وفي 1 تشرين الثاني/نوفمبر 2005، خلصت على إثر استعراض أولي لطلب الاستئناف، إلى أن مآله الفشل. وبعد أن تم تسديد الدفعة المقدمة في 11 و23 تشرين الثاني/نوفمبر 2005، نظرت المحكمة الإدارية الاتحادية في الطعن ورفضته في الجانب المتعلق بالمقبولية. </w:t>
      </w:r>
    </w:p>
    <w:p w:rsidR="00921F02" w:rsidRPr="003E698F" w:rsidRDefault="00921F02" w:rsidP="009E31FC">
      <w:pPr>
        <w:pStyle w:val="SingleTxtGA"/>
        <w:jc w:val="lowKashida"/>
        <w:rPr>
          <w:spacing w:val="0"/>
          <w:kern w:val="0"/>
          <w:sz w:val="20"/>
        </w:rPr>
      </w:pPr>
      <w:r w:rsidRPr="003E698F">
        <w:rPr>
          <w:rFonts w:hint="cs"/>
          <w:spacing w:val="0"/>
          <w:kern w:val="0"/>
          <w:sz w:val="20"/>
          <w:rtl/>
        </w:rPr>
        <w:t>7-8</w:t>
      </w:r>
      <w:r w:rsidRPr="003E698F">
        <w:rPr>
          <w:rFonts w:hint="cs"/>
          <w:spacing w:val="0"/>
          <w:kern w:val="0"/>
          <w:sz w:val="20"/>
          <w:rtl/>
        </w:rPr>
        <w:tab/>
        <w:t>وف</w:t>
      </w:r>
      <w:r w:rsidRPr="003E698F">
        <w:rPr>
          <w:spacing w:val="0"/>
          <w:kern w:val="0"/>
          <w:sz w:val="20"/>
          <w:rtl/>
        </w:rPr>
        <w:t xml:space="preserve">ي 7 </w:t>
      </w:r>
      <w:r w:rsidRPr="003E698F">
        <w:rPr>
          <w:rFonts w:hint="cs"/>
          <w:spacing w:val="0"/>
          <w:kern w:val="0"/>
          <w:sz w:val="20"/>
          <w:rtl/>
        </w:rPr>
        <w:t>حزيران/</w:t>
      </w:r>
      <w:r w:rsidRPr="003E698F">
        <w:rPr>
          <w:spacing w:val="0"/>
          <w:kern w:val="0"/>
          <w:sz w:val="20"/>
          <w:rtl/>
        </w:rPr>
        <w:t>يوني</w:t>
      </w:r>
      <w:r w:rsidRPr="003E698F">
        <w:rPr>
          <w:rFonts w:hint="cs"/>
          <w:spacing w:val="0"/>
          <w:kern w:val="0"/>
          <w:sz w:val="20"/>
          <w:rtl/>
        </w:rPr>
        <w:t>ه</w:t>
      </w:r>
      <w:r w:rsidRPr="003E698F">
        <w:rPr>
          <w:spacing w:val="0"/>
          <w:kern w:val="0"/>
          <w:sz w:val="20"/>
          <w:rtl/>
        </w:rPr>
        <w:t xml:space="preserve"> 2008، </w:t>
      </w:r>
      <w:r w:rsidRPr="003E698F">
        <w:rPr>
          <w:rFonts w:hint="cs"/>
          <w:spacing w:val="0"/>
          <w:kern w:val="0"/>
          <w:sz w:val="20"/>
          <w:rtl/>
        </w:rPr>
        <w:t xml:space="preserve">اعترضت صاحبة الشكوى على قرار المكتب الاتحادي للهجرة المؤرخ 4 حزيران/يونيه 2008، والمتعلق بطلبها الثاني من أجل إعادة النظر. واعتبر المكتبُ الطلبَ استئنافاً فأحاله إلى المحكمة الإدارية الاتحادية باعتبارها الهيئة المختصة بالنظر فيه. وبما أنه تضمن إشارة إلى وضعها المالي غير المستقر فقد استنتجت المحكمة من ذلك أنها تطلب إعفاءها من دفع الرسوم الإجرائية، ورفضت الطلب بموجب القرار الصادر في 19 </w:t>
      </w:r>
      <w:r w:rsidRPr="003E698F">
        <w:rPr>
          <w:spacing w:val="0"/>
          <w:kern w:val="0"/>
          <w:sz w:val="20"/>
          <w:rtl/>
        </w:rPr>
        <w:t>حزيران</w:t>
      </w:r>
      <w:r w:rsidRPr="003E698F">
        <w:rPr>
          <w:rFonts w:hint="cs"/>
          <w:spacing w:val="0"/>
          <w:kern w:val="0"/>
          <w:sz w:val="20"/>
          <w:rtl/>
        </w:rPr>
        <w:t>/يونيه</w:t>
      </w:r>
      <w:r w:rsidRPr="003E698F">
        <w:rPr>
          <w:spacing w:val="0"/>
          <w:kern w:val="0"/>
          <w:sz w:val="20"/>
          <w:rtl/>
        </w:rPr>
        <w:t xml:space="preserve"> 2008</w:t>
      </w:r>
      <w:r w:rsidRPr="003E698F">
        <w:rPr>
          <w:rFonts w:hint="cs"/>
          <w:spacing w:val="0"/>
          <w:kern w:val="0"/>
          <w:sz w:val="20"/>
          <w:rtl/>
        </w:rPr>
        <w:t xml:space="preserve">، على أساس </w:t>
      </w:r>
      <w:r w:rsidRPr="003E698F">
        <w:rPr>
          <w:spacing w:val="0"/>
          <w:kern w:val="0"/>
          <w:sz w:val="20"/>
          <w:rtl/>
        </w:rPr>
        <w:t xml:space="preserve">أن </w:t>
      </w:r>
      <w:r w:rsidRPr="003E698F">
        <w:rPr>
          <w:rFonts w:hint="cs"/>
          <w:spacing w:val="0"/>
          <w:kern w:val="0"/>
          <w:sz w:val="20"/>
          <w:rtl/>
        </w:rPr>
        <w:t xml:space="preserve">الاستئناف يبدو منذ البداية محكوماً عليه بالفشل في ظل عدم تضمين الطلب معلومات جديدة وأن الوثائق المرفقه به لا تثبت مزاولة صاحبة الشكوى لنشاط سياسي في المنفى. وأشارت المحكمة فضلا عن ذلك، إلى أن المشاكل </w:t>
      </w:r>
      <w:r w:rsidRPr="009E31FC">
        <w:rPr>
          <w:rFonts w:hint="cs"/>
          <w:spacing w:val="-2"/>
          <w:kern w:val="0"/>
          <w:sz w:val="20"/>
          <w:rtl/>
        </w:rPr>
        <w:t>الصحية التي ذكرتها لا تحول دون إعادتها بما أنه بإمكانها الحصول على العلاج النفسي في كينشاسا. ومنحت المحكمة صاحبة الشكوى مهلة تنتهي في 4 تموز/يوليه 2008 لتسديد رسوم إجرائية بقيمة 200</w:t>
      </w:r>
      <w:r w:rsidRPr="009E31FC">
        <w:rPr>
          <w:rFonts w:hint="eastAsia"/>
          <w:spacing w:val="-2"/>
          <w:kern w:val="0"/>
          <w:sz w:val="20"/>
          <w:rtl/>
        </w:rPr>
        <w:t> </w:t>
      </w:r>
      <w:r w:rsidRPr="009E31FC">
        <w:rPr>
          <w:rFonts w:hint="cs"/>
          <w:spacing w:val="-2"/>
          <w:kern w:val="0"/>
          <w:sz w:val="20"/>
          <w:rtl/>
        </w:rPr>
        <w:t xml:space="preserve">1 فرنك مقدماً، وأبلغتها أيضاً أنها ستعلن عدم قبول الطعن ولن تمنحها مهلة إضافية حتى في حال تقديم طلب ثان للحصول على المساعدة القضائية ما لم تسدد المبلغ. وفي </w:t>
      </w:r>
      <w:r w:rsidRPr="009E31FC">
        <w:rPr>
          <w:spacing w:val="-2"/>
          <w:kern w:val="0"/>
          <w:sz w:val="20"/>
          <w:rtl/>
        </w:rPr>
        <w:t xml:space="preserve">30 </w:t>
      </w:r>
      <w:r w:rsidRPr="009E31FC">
        <w:rPr>
          <w:rFonts w:hint="cs"/>
          <w:spacing w:val="-2"/>
          <w:kern w:val="0"/>
          <w:sz w:val="20"/>
          <w:rtl/>
        </w:rPr>
        <w:t>حزيران/</w:t>
      </w:r>
      <w:r w:rsidRPr="009E31FC">
        <w:rPr>
          <w:spacing w:val="-2"/>
          <w:kern w:val="0"/>
          <w:sz w:val="20"/>
          <w:rtl/>
        </w:rPr>
        <w:t>يوني</w:t>
      </w:r>
      <w:r w:rsidRPr="009E31FC">
        <w:rPr>
          <w:rFonts w:hint="cs"/>
          <w:spacing w:val="-2"/>
          <w:kern w:val="0"/>
          <w:sz w:val="20"/>
          <w:rtl/>
        </w:rPr>
        <w:t>ه</w:t>
      </w:r>
      <w:r w:rsidRPr="009E31FC">
        <w:rPr>
          <w:spacing w:val="-2"/>
          <w:kern w:val="0"/>
          <w:sz w:val="20"/>
          <w:rtl/>
        </w:rPr>
        <w:t xml:space="preserve"> 2008</w:t>
      </w:r>
      <w:r w:rsidRPr="009E31FC">
        <w:rPr>
          <w:rFonts w:hint="cs"/>
          <w:spacing w:val="-2"/>
          <w:kern w:val="0"/>
          <w:sz w:val="20"/>
          <w:rtl/>
        </w:rPr>
        <w:t xml:space="preserve">، طلبت صاحبة الشكوى مجدداً إعفاءها من </w:t>
      </w:r>
      <w:r w:rsidRPr="009E31FC">
        <w:rPr>
          <w:spacing w:val="-2"/>
          <w:kern w:val="0"/>
          <w:sz w:val="20"/>
          <w:rtl/>
        </w:rPr>
        <w:t>دفع</w:t>
      </w:r>
      <w:r w:rsidRPr="003E698F">
        <w:rPr>
          <w:spacing w:val="0"/>
          <w:kern w:val="0"/>
          <w:sz w:val="20"/>
          <w:rtl/>
        </w:rPr>
        <w:t xml:space="preserve"> الرسوم مقدما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مدعية أنها تعيش على الإعانات الحكومية. وبناء عليه، أعلنت المحكمة عدم قبول الطعن بمقتضى حكم صادر في 18 تموز/يوليه 2008. وفُرضت عليها رسوم بقيمة</w:t>
      </w:r>
      <w:r w:rsidR="004A748F">
        <w:rPr>
          <w:rFonts w:hint="eastAsia"/>
          <w:spacing w:val="0"/>
          <w:kern w:val="0"/>
          <w:sz w:val="20"/>
          <w:rtl/>
        </w:rPr>
        <w:t> </w:t>
      </w:r>
      <w:r w:rsidR="009E31FC">
        <w:rPr>
          <w:rFonts w:hint="cs"/>
          <w:spacing w:val="0"/>
          <w:kern w:val="0"/>
          <w:sz w:val="20"/>
          <w:rtl/>
        </w:rPr>
        <w:t>200 فرنك عن هذا القرار.</w:t>
      </w:r>
    </w:p>
    <w:p w:rsidR="00921F02" w:rsidRPr="003E698F" w:rsidRDefault="00921F02" w:rsidP="009E31FC">
      <w:pPr>
        <w:pStyle w:val="SingleTxtGA"/>
        <w:spacing w:line="374" w:lineRule="exact"/>
        <w:jc w:val="lowKashida"/>
        <w:rPr>
          <w:spacing w:val="0"/>
          <w:kern w:val="0"/>
          <w:sz w:val="20"/>
          <w:rtl/>
        </w:rPr>
      </w:pPr>
      <w:r w:rsidRPr="003E698F">
        <w:rPr>
          <w:rFonts w:hint="cs"/>
          <w:spacing w:val="0"/>
          <w:kern w:val="0"/>
          <w:sz w:val="20"/>
          <w:rtl/>
        </w:rPr>
        <w:t>7-9</w:t>
      </w:r>
      <w:r w:rsidRPr="003E698F">
        <w:rPr>
          <w:rFonts w:hint="cs"/>
          <w:spacing w:val="0"/>
          <w:kern w:val="0"/>
          <w:sz w:val="20"/>
          <w:rtl/>
        </w:rPr>
        <w:tab/>
        <w:t>وبخصوص المعلومات المتعلقة ب</w:t>
      </w:r>
      <w:r w:rsidRPr="003E698F">
        <w:rPr>
          <w:spacing w:val="0"/>
          <w:kern w:val="0"/>
          <w:sz w:val="20"/>
          <w:rtl/>
        </w:rPr>
        <w:t>تمثيل</w:t>
      </w:r>
      <w:r w:rsidRPr="003E698F">
        <w:rPr>
          <w:rFonts w:hint="cs"/>
          <w:spacing w:val="0"/>
          <w:kern w:val="0"/>
          <w:sz w:val="20"/>
          <w:rtl/>
        </w:rPr>
        <w:t xml:space="preserve"> ملتمسي </w:t>
      </w:r>
      <w:r w:rsidRPr="003E698F">
        <w:rPr>
          <w:spacing w:val="0"/>
          <w:kern w:val="0"/>
          <w:sz w:val="20"/>
          <w:rtl/>
        </w:rPr>
        <w:t xml:space="preserve">اللجوء </w:t>
      </w:r>
      <w:r w:rsidRPr="003E698F">
        <w:rPr>
          <w:rFonts w:hint="cs"/>
          <w:spacing w:val="0"/>
          <w:kern w:val="0"/>
          <w:sz w:val="20"/>
          <w:rtl/>
        </w:rPr>
        <w:t xml:space="preserve">من قبل محام مُعيَّن من المحكمة، وهي المعلومات التي طلبتها اللجنة أيضا، أشارت </w:t>
      </w:r>
      <w:r w:rsidRPr="003E698F">
        <w:rPr>
          <w:spacing w:val="0"/>
          <w:kern w:val="0"/>
          <w:sz w:val="20"/>
          <w:rtl/>
        </w:rPr>
        <w:t>الدولة الطرف إلى</w:t>
      </w:r>
      <w:r w:rsidRPr="003E698F">
        <w:rPr>
          <w:rFonts w:hint="cs"/>
          <w:spacing w:val="0"/>
          <w:kern w:val="0"/>
          <w:sz w:val="20"/>
          <w:rtl/>
        </w:rPr>
        <w:t xml:space="preserve"> </w:t>
      </w:r>
      <w:r w:rsidRPr="003E698F">
        <w:rPr>
          <w:spacing w:val="0"/>
          <w:kern w:val="0"/>
          <w:sz w:val="20"/>
          <w:rtl/>
        </w:rPr>
        <w:t>الأحكام القانونية ذات الصلة</w:t>
      </w:r>
      <w:r w:rsidRPr="003E698F">
        <w:rPr>
          <w:rFonts w:hint="cs"/>
          <w:spacing w:val="0"/>
          <w:kern w:val="0"/>
          <w:sz w:val="20"/>
          <w:szCs w:val="28"/>
          <w:vertAlign w:val="superscript"/>
          <w:rtl/>
        </w:rPr>
        <w:t>(</w:t>
      </w:r>
      <w:r w:rsidRPr="003E698F">
        <w:rPr>
          <w:rStyle w:val="FootnoteReference"/>
          <w:spacing w:val="0"/>
          <w:sz w:val="20"/>
          <w:rtl/>
        </w:rPr>
        <w:footnoteReference w:id="186"/>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 xml:space="preserve">وقالت إن محامياً مثَّل صاحبة الشكوى في </w:t>
      </w:r>
      <w:r w:rsidRPr="003E698F">
        <w:rPr>
          <w:spacing w:val="0"/>
          <w:kern w:val="0"/>
          <w:sz w:val="20"/>
          <w:rtl/>
        </w:rPr>
        <w:t>طلب</w:t>
      </w:r>
      <w:r w:rsidRPr="003E698F">
        <w:rPr>
          <w:rFonts w:hint="cs"/>
          <w:spacing w:val="0"/>
          <w:kern w:val="0"/>
          <w:sz w:val="20"/>
          <w:rtl/>
        </w:rPr>
        <w:t xml:space="preserve"> إعادة النظر الذي قدمته أول مرة،</w:t>
      </w:r>
      <w:r w:rsidRPr="003E698F">
        <w:rPr>
          <w:spacing w:val="0"/>
          <w:kern w:val="0"/>
          <w:sz w:val="20"/>
          <w:rtl/>
        </w:rPr>
        <w:t xml:space="preserve"> </w:t>
      </w:r>
      <w:r w:rsidRPr="003E698F">
        <w:rPr>
          <w:rFonts w:hint="cs"/>
          <w:spacing w:val="0"/>
          <w:kern w:val="0"/>
          <w:sz w:val="20"/>
          <w:rtl/>
        </w:rPr>
        <w:t>وإن المحامي لم</w:t>
      </w:r>
      <w:r w:rsidRPr="003E698F">
        <w:rPr>
          <w:spacing w:val="0"/>
          <w:kern w:val="0"/>
          <w:sz w:val="20"/>
          <w:rtl/>
        </w:rPr>
        <w:t xml:space="preserve"> </w:t>
      </w:r>
      <w:r w:rsidRPr="003E698F">
        <w:rPr>
          <w:rFonts w:hint="cs"/>
          <w:spacing w:val="0"/>
          <w:kern w:val="0"/>
          <w:sz w:val="20"/>
          <w:rtl/>
        </w:rPr>
        <w:t xml:space="preserve">يطلب تسديد أتعابه في إطار المساعدة القضائية المجانية. وفي </w:t>
      </w:r>
      <w:r w:rsidRPr="003E698F">
        <w:rPr>
          <w:spacing w:val="0"/>
          <w:kern w:val="0"/>
          <w:sz w:val="20"/>
          <w:rtl/>
        </w:rPr>
        <w:t>طلب</w:t>
      </w:r>
      <w:r w:rsidRPr="003E698F">
        <w:rPr>
          <w:rFonts w:hint="cs"/>
          <w:spacing w:val="0"/>
          <w:kern w:val="0"/>
          <w:sz w:val="20"/>
          <w:rtl/>
        </w:rPr>
        <w:t xml:space="preserve"> </w:t>
      </w:r>
      <w:r w:rsidRPr="003E698F">
        <w:rPr>
          <w:spacing w:val="0"/>
          <w:kern w:val="0"/>
          <w:sz w:val="20"/>
          <w:rtl/>
        </w:rPr>
        <w:t>إعادة النظر</w:t>
      </w:r>
      <w:r w:rsidRPr="003E698F">
        <w:rPr>
          <w:rFonts w:hint="cs"/>
          <w:spacing w:val="0"/>
          <w:kern w:val="0"/>
          <w:sz w:val="20"/>
          <w:rtl/>
        </w:rPr>
        <w:t xml:space="preserve"> الثاني، لم يكن هناك محام يمثل صاحبة الشكوى</w:t>
      </w:r>
      <w:r w:rsidRPr="003E698F">
        <w:rPr>
          <w:spacing w:val="0"/>
          <w:kern w:val="0"/>
          <w:sz w:val="20"/>
          <w:rtl/>
        </w:rPr>
        <w:t xml:space="preserve">. </w:t>
      </w:r>
      <w:r w:rsidRPr="003E698F">
        <w:rPr>
          <w:rFonts w:hint="cs"/>
          <w:spacing w:val="0"/>
          <w:kern w:val="0"/>
          <w:sz w:val="20"/>
          <w:rtl/>
        </w:rPr>
        <w:t>واستنتجت الدولة الطرف من</w:t>
      </w:r>
      <w:r w:rsidRPr="003E698F">
        <w:rPr>
          <w:spacing w:val="0"/>
          <w:kern w:val="0"/>
          <w:sz w:val="20"/>
          <w:rtl/>
        </w:rPr>
        <w:t xml:space="preserve"> </w:t>
      </w:r>
      <w:r w:rsidRPr="003E698F">
        <w:rPr>
          <w:rFonts w:hint="cs"/>
          <w:spacing w:val="0"/>
          <w:kern w:val="0"/>
          <w:sz w:val="20"/>
          <w:rtl/>
        </w:rPr>
        <w:t xml:space="preserve">المذكرة التي قدمتها بتاريخ </w:t>
      </w:r>
      <w:r w:rsidRPr="003E698F">
        <w:rPr>
          <w:spacing w:val="0"/>
          <w:kern w:val="0"/>
          <w:sz w:val="20"/>
          <w:rtl/>
        </w:rPr>
        <w:t>9 نيسان</w:t>
      </w:r>
      <w:r w:rsidRPr="003E698F">
        <w:rPr>
          <w:rFonts w:hint="cs"/>
          <w:spacing w:val="0"/>
          <w:kern w:val="0"/>
          <w:sz w:val="20"/>
          <w:rtl/>
        </w:rPr>
        <w:t>/أبريل</w:t>
      </w:r>
      <w:r w:rsidRPr="003E698F">
        <w:rPr>
          <w:spacing w:val="0"/>
          <w:kern w:val="0"/>
          <w:sz w:val="20"/>
          <w:rtl/>
        </w:rPr>
        <w:t xml:space="preserve"> 2008، و</w:t>
      </w:r>
      <w:r w:rsidRPr="003E698F">
        <w:rPr>
          <w:rFonts w:hint="cs"/>
          <w:spacing w:val="0"/>
          <w:kern w:val="0"/>
          <w:sz w:val="20"/>
          <w:rtl/>
        </w:rPr>
        <w:t>من بقية مستندات الملف أنها لم تطلب أبداً</w:t>
      </w:r>
      <w:r w:rsidRPr="003E698F">
        <w:rPr>
          <w:spacing w:val="0"/>
          <w:kern w:val="0"/>
          <w:sz w:val="20"/>
          <w:rtl/>
        </w:rPr>
        <w:t xml:space="preserve"> </w:t>
      </w:r>
      <w:r w:rsidRPr="003E698F">
        <w:rPr>
          <w:rFonts w:hint="cs"/>
          <w:spacing w:val="0"/>
          <w:kern w:val="0"/>
          <w:sz w:val="20"/>
          <w:rtl/>
        </w:rPr>
        <w:t>تعيين محام يمثلها</w:t>
      </w:r>
      <w:r w:rsidRPr="003E698F">
        <w:rPr>
          <w:spacing w:val="0"/>
          <w:kern w:val="0"/>
          <w:sz w:val="20"/>
          <w:rtl/>
        </w:rPr>
        <w:t>. وت</w:t>
      </w:r>
      <w:r w:rsidRPr="003E698F">
        <w:rPr>
          <w:rFonts w:hint="cs"/>
          <w:spacing w:val="0"/>
          <w:kern w:val="0"/>
          <w:sz w:val="20"/>
          <w:rtl/>
        </w:rPr>
        <w:t xml:space="preserve">شير </w:t>
      </w:r>
      <w:r w:rsidRPr="003E698F">
        <w:rPr>
          <w:spacing w:val="0"/>
          <w:kern w:val="0"/>
          <w:sz w:val="20"/>
          <w:rtl/>
        </w:rPr>
        <w:t>الدولة الطرف</w:t>
      </w:r>
      <w:r w:rsidRPr="003E698F">
        <w:rPr>
          <w:rFonts w:hint="cs"/>
          <w:spacing w:val="0"/>
          <w:kern w:val="0"/>
          <w:sz w:val="20"/>
          <w:rtl/>
        </w:rPr>
        <w:t>، من ناحية أخرى،</w:t>
      </w:r>
      <w:r w:rsidRPr="003E698F">
        <w:rPr>
          <w:spacing w:val="0"/>
          <w:kern w:val="0"/>
          <w:sz w:val="20"/>
          <w:rtl/>
        </w:rPr>
        <w:t xml:space="preserve"> </w:t>
      </w:r>
      <w:r w:rsidRPr="003E698F">
        <w:rPr>
          <w:rFonts w:hint="cs"/>
          <w:spacing w:val="0"/>
          <w:kern w:val="0"/>
          <w:sz w:val="20"/>
          <w:rtl/>
        </w:rPr>
        <w:t xml:space="preserve">إلى </w:t>
      </w:r>
      <w:r w:rsidRPr="003E698F">
        <w:rPr>
          <w:spacing w:val="0"/>
          <w:kern w:val="0"/>
          <w:sz w:val="20"/>
          <w:rtl/>
        </w:rPr>
        <w:t>أن</w:t>
      </w:r>
      <w:r w:rsidRPr="003E698F">
        <w:rPr>
          <w:rFonts w:hint="cs"/>
          <w:spacing w:val="0"/>
          <w:kern w:val="0"/>
          <w:sz w:val="20"/>
          <w:rtl/>
        </w:rPr>
        <w:t xml:space="preserve"> طلبات إعادة النظر التي قدمتها صاحبة الشكوى كان مآلها الفشل وفقاً </w:t>
      </w:r>
      <w:r w:rsidRPr="003E698F">
        <w:rPr>
          <w:spacing w:val="0"/>
          <w:kern w:val="0"/>
          <w:sz w:val="20"/>
          <w:rtl/>
        </w:rPr>
        <w:t xml:space="preserve">لمختلف </w:t>
      </w:r>
      <w:r w:rsidRPr="003E698F">
        <w:rPr>
          <w:rFonts w:hint="cs"/>
          <w:spacing w:val="0"/>
          <w:kern w:val="0"/>
          <w:sz w:val="20"/>
          <w:rtl/>
        </w:rPr>
        <w:t>الهيئات القضائية التي طُلب منها ا</w:t>
      </w:r>
      <w:r w:rsidRPr="003E698F">
        <w:rPr>
          <w:spacing w:val="0"/>
          <w:kern w:val="0"/>
          <w:sz w:val="20"/>
          <w:rtl/>
        </w:rPr>
        <w:t>لبت في</w:t>
      </w:r>
      <w:r w:rsidRPr="003E698F">
        <w:rPr>
          <w:spacing w:val="0"/>
          <w:kern w:val="0"/>
          <w:sz w:val="20"/>
        </w:rPr>
        <w:t xml:space="preserve"> </w:t>
      </w:r>
      <w:r w:rsidRPr="003E698F">
        <w:rPr>
          <w:spacing w:val="0"/>
          <w:kern w:val="0"/>
          <w:sz w:val="20"/>
          <w:rtl/>
        </w:rPr>
        <w:t>هذ</w:t>
      </w:r>
      <w:r w:rsidRPr="003E698F">
        <w:rPr>
          <w:rFonts w:hint="cs"/>
          <w:spacing w:val="0"/>
          <w:kern w:val="0"/>
          <w:sz w:val="20"/>
          <w:rtl/>
        </w:rPr>
        <w:t>ا الأمر</w:t>
      </w:r>
      <w:r w:rsidRPr="003E698F">
        <w:rPr>
          <w:spacing w:val="0"/>
          <w:kern w:val="0"/>
          <w:sz w:val="20"/>
          <w:rtl/>
        </w:rPr>
        <w:t xml:space="preserve">. وعلاوة على ذلك، </w:t>
      </w:r>
      <w:r w:rsidRPr="003E698F">
        <w:rPr>
          <w:rFonts w:hint="cs"/>
          <w:spacing w:val="0"/>
          <w:kern w:val="0"/>
          <w:sz w:val="20"/>
          <w:rtl/>
        </w:rPr>
        <w:t xml:space="preserve">لا تنطوي القضية على أي </w:t>
      </w:r>
      <w:r w:rsidRPr="003E698F">
        <w:rPr>
          <w:spacing w:val="0"/>
          <w:kern w:val="0"/>
          <w:sz w:val="20"/>
          <w:rtl/>
        </w:rPr>
        <w:t>صعوب</w:t>
      </w:r>
      <w:r w:rsidRPr="003E698F">
        <w:rPr>
          <w:rFonts w:hint="cs"/>
          <w:spacing w:val="0"/>
          <w:kern w:val="0"/>
          <w:sz w:val="20"/>
          <w:rtl/>
        </w:rPr>
        <w:t>ات</w:t>
      </w:r>
      <w:r w:rsidRPr="003E698F">
        <w:rPr>
          <w:spacing w:val="0"/>
          <w:kern w:val="0"/>
          <w:sz w:val="20"/>
          <w:rtl/>
        </w:rPr>
        <w:t xml:space="preserve"> </w:t>
      </w:r>
      <w:r w:rsidRPr="003E698F">
        <w:rPr>
          <w:rFonts w:hint="cs"/>
          <w:spacing w:val="0"/>
          <w:kern w:val="0"/>
          <w:sz w:val="20"/>
          <w:rtl/>
        </w:rPr>
        <w:t>ق</w:t>
      </w:r>
      <w:r w:rsidRPr="003E698F">
        <w:rPr>
          <w:spacing w:val="0"/>
          <w:kern w:val="0"/>
          <w:sz w:val="20"/>
          <w:rtl/>
        </w:rPr>
        <w:t>انونية، لأن</w:t>
      </w:r>
      <w:r w:rsidRPr="003E698F">
        <w:rPr>
          <w:rFonts w:hint="cs"/>
          <w:spacing w:val="0"/>
          <w:kern w:val="0"/>
          <w:sz w:val="20"/>
          <w:rtl/>
        </w:rPr>
        <w:t xml:space="preserve"> المسألة تتعلق فقط بتحديد </w:t>
      </w:r>
      <w:r w:rsidRPr="003E698F">
        <w:rPr>
          <w:spacing w:val="0"/>
          <w:kern w:val="0"/>
          <w:sz w:val="20"/>
          <w:rtl/>
        </w:rPr>
        <w:t>ما إذا كان</w:t>
      </w:r>
      <w:r w:rsidRPr="003E698F">
        <w:rPr>
          <w:rFonts w:hint="cs"/>
          <w:spacing w:val="0"/>
          <w:kern w:val="0"/>
          <w:sz w:val="20"/>
          <w:rtl/>
        </w:rPr>
        <w:t>ت صاحبة الشكوى</w:t>
      </w:r>
      <w:r w:rsidRPr="003E698F">
        <w:rPr>
          <w:spacing w:val="0"/>
          <w:kern w:val="0"/>
          <w:sz w:val="20"/>
          <w:rtl/>
        </w:rPr>
        <w:t xml:space="preserve"> </w:t>
      </w:r>
      <w:r w:rsidRPr="003E698F">
        <w:rPr>
          <w:rFonts w:hint="cs"/>
          <w:spacing w:val="0"/>
          <w:kern w:val="0"/>
          <w:sz w:val="20"/>
          <w:rtl/>
        </w:rPr>
        <w:t xml:space="preserve">تحمل صفة اللاجئ </w:t>
      </w:r>
      <w:r w:rsidRPr="003E698F">
        <w:rPr>
          <w:spacing w:val="0"/>
          <w:kern w:val="0"/>
          <w:sz w:val="20"/>
          <w:rtl/>
        </w:rPr>
        <w:t xml:space="preserve">بالمعنى المقصود في قانون </w:t>
      </w:r>
      <w:r w:rsidRPr="003E698F">
        <w:rPr>
          <w:rFonts w:hint="cs"/>
          <w:spacing w:val="0"/>
          <w:kern w:val="0"/>
          <w:sz w:val="20"/>
          <w:rtl/>
        </w:rPr>
        <w:t xml:space="preserve">اللجوء </w:t>
      </w:r>
      <w:r w:rsidRPr="003E698F">
        <w:rPr>
          <w:spacing w:val="0"/>
          <w:kern w:val="0"/>
          <w:sz w:val="20"/>
          <w:rtl/>
        </w:rPr>
        <w:t xml:space="preserve">الاتحادي، وما إذا كانت هناك أسباب </w:t>
      </w:r>
      <w:r w:rsidRPr="003E698F">
        <w:rPr>
          <w:rFonts w:hint="cs"/>
          <w:spacing w:val="0"/>
          <w:kern w:val="0"/>
          <w:sz w:val="20"/>
          <w:rtl/>
        </w:rPr>
        <w:t>تحول دون ترحيلها إلى جمهورية الكونغو الديمقراطية</w:t>
      </w:r>
      <w:r w:rsidRPr="003E698F">
        <w:rPr>
          <w:spacing w:val="0"/>
          <w:kern w:val="0"/>
          <w:sz w:val="20"/>
          <w:rtl/>
        </w:rPr>
        <w:t>. وقد ر</w:t>
      </w:r>
      <w:r w:rsidRPr="003E698F">
        <w:rPr>
          <w:rFonts w:hint="cs"/>
          <w:spacing w:val="0"/>
          <w:kern w:val="0"/>
          <w:sz w:val="20"/>
          <w:rtl/>
        </w:rPr>
        <w:t>ُ</w:t>
      </w:r>
      <w:r w:rsidRPr="003E698F">
        <w:rPr>
          <w:spacing w:val="0"/>
          <w:kern w:val="0"/>
          <w:sz w:val="20"/>
          <w:rtl/>
        </w:rPr>
        <w:t>فض طلب</w:t>
      </w:r>
      <w:r w:rsidRPr="003E698F">
        <w:rPr>
          <w:rFonts w:hint="cs"/>
          <w:spacing w:val="0"/>
          <w:kern w:val="0"/>
          <w:sz w:val="20"/>
          <w:rtl/>
        </w:rPr>
        <w:t xml:space="preserve">ها الأول لالتماس </w:t>
      </w:r>
      <w:r w:rsidRPr="003E698F">
        <w:rPr>
          <w:spacing w:val="0"/>
          <w:kern w:val="0"/>
          <w:sz w:val="20"/>
          <w:rtl/>
        </w:rPr>
        <w:t>إعادة النظر</w:t>
      </w:r>
      <w:r w:rsidRPr="003E698F">
        <w:rPr>
          <w:rFonts w:hint="cs"/>
          <w:spacing w:val="0"/>
          <w:kern w:val="0"/>
          <w:sz w:val="20"/>
          <w:rtl/>
        </w:rPr>
        <w:t xml:space="preserve"> عندما مثلها المحامي، مثلما رُفضت الطلبات التي قدمتها بعد ذلك</w:t>
      </w:r>
      <w:r w:rsidRPr="003E698F">
        <w:rPr>
          <w:spacing w:val="0"/>
          <w:kern w:val="0"/>
          <w:sz w:val="20"/>
          <w:rtl/>
        </w:rPr>
        <w:t>. و</w:t>
      </w:r>
      <w:r w:rsidRPr="003E698F">
        <w:rPr>
          <w:rFonts w:hint="cs"/>
          <w:spacing w:val="0"/>
          <w:kern w:val="0"/>
          <w:sz w:val="20"/>
          <w:rtl/>
        </w:rPr>
        <w:t>الأرجح أن النتيجة ما كانت لتتغير حتى لو مثلها محام في الجلسات اللاحقة</w:t>
      </w:r>
      <w:r w:rsidRPr="003E698F">
        <w:rPr>
          <w:spacing w:val="0"/>
          <w:kern w:val="0"/>
          <w:sz w:val="20"/>
          <w:rtl/>
        </w:rPr>
        <w:t>، و</w:t>
      </w:r>
      <w:r w:rsidRPr="003E698F">
        <w:rPr>
          <w:rFonts w:hint="cs"/>
          <w:spacing w:val="0"/>
          <w:kern w:val="0"/>
          <w:sz w:val="20"/>
          <w:rtl/>
        </w:rPr>
        <w:t xml:space="preserve">هي لم يلحقها أي ضرر جراء عدم تمثيلها من قبل محام أمام المكتب الاتحادي للهجرة. </w:t>
      </w:r>
    </w:p>
    <w:p w:rsidR="00921F02" w:rsidRPr="003E698F" w:rsidRDefault="00921F02" w:rsidP="009E31FC">
      <w:pPr>
        <w:pStyle w:val="SingleTxtGA"/>
        <w:spacing w:line="374" w:lineRule="exact"/>
        <w:jc w:val="lowKashida"/>
        <w:rPr>
          <w:rFonts w:hint="cs"/>
          <w:spacing w:val="0"/>
          <w:kern w:val="0"/>
          <w:sz w:val="20"/>
        </w:rPr>
      </w:pPr>
      <w:r w:rsidRPr="003E698F">
        <w:rPr>
          <w:rFonts w:hint="cs"/>
          <w:spacing w:val="0"/>
          <w:kern w:val="0"/>
          <w:sz w:val="20"/>
          <w:rtl/>
        </w:rPr>
        <w:t>7-10</w:t>
      </w:r>
      <w:r w:rsidRPr="003E698F">
        <w:rPr>
          <w:rFonts w:hint="cs"/>
          <w:spacing w:val="0"/>
          <w:kern w:val="0"/>
          <w:sz w:val="20"/>
          <w:rtl/>
        </w:rPr>
        <w:tab/>
      </w:r>
      <w:r w:rsidRPr="003E698F">
        <w:rPr>
          <w:spacing w:val="0"/>
          <w:kern w:val="0"/>
          <w:sz w:val="20"/>
          <w:rtl/>
        </w:rPr>
        <w:t xml:space="preserve">وفيما يتعلق </w:t>
      </w:r>
      <w:r w:rsidRPr="003E698F">
        <w:rPr>
          <w:rFonts w:hint="cs"/>
          <w:spacing w:val="0"/>
          <w:kern w:val="0"/>
          <w:sz w:val="20"/>
          <w:rtl/>
        </w:rPr>
        <w:t>ب</w:t>
      </w:r>
      <w:r w:rsidRPr="003E698F">
        <w:rPr>
          <w:spacing w:val="0"/>
          <w:kern w:val="0"/>
          <w:sz w:val="20"/>
          <w:rtl/>
        </w:rPr>
        <w:t>الدعوى المرفوعة أمام</w:t>
      </w:r>
      <w:r w:rsidRPr="003E698F">
        <w:rPr>
          <w:rFonts w:hint="cs"/>
          <w:spacing w:val="0"/>
          <w:kern w:val="0"/>
          <w:sz w:val="20"/>
          <w:rtl/>
        </w:rPr>
        <w:t xml:space="preserve"> المحكمة الإدارية الاتحادية، مثَّل محام صاحبة الشكوى </w:t>
      </w:r>
      <w:r w:rsidRPr="003E698F">
        <w:rPr>
          <w:spacing w:val="0"/>
          <w:kern w:val="0"/>
          <w:sz w:val="20"/>
          <w:rtl/>
        </w:rPr>
        <w:t xml:space="preserve">خلال </w:t>
      </w:r>
      <w:r w:rsidRPr="003E698F">
        <w:rPr>
          <w:rFonts w:hint="cs"/>
          <w:spacing w:val="0"/>
          <w:kern w:val="0"/>
          <w:sz w:val="20"/>
          <w:rtl/>
        </w:rPr>
        <w:t xml:space="preserve">النظر في طلب تمديد المهلة الثاني الذي قدمته إلى </w:t>
      </w:r>
      <w:r w:rsidRPr="003E698F">
        <w:rPr>
          <w:spacing w:val="0"/>
          <w:kern w:val="0"/>
          <w:sz w:val="20"/>
          <w:rtl/>
        </w:rPr>
        <w:t>اللجنة الحكومية المعنية بالطعون في قضايا اللجوء</w:t>
      </w:r>
      <w:r w:rsidRPr="003E698F">
        <w:rPr>
          <w:rFonts w:hint="cs"/>
          <w:spacing w:val="0"/>
          <w:kern w:val="0"/>
          <w:sz w:val="20"/>
          <w:rtl/>
        </w:rPr>
        <w:t xml:space="preserve"> بتاريخ 16 كانون الثاني/يناير 2003. وكما لم تطلب تعيين محام يمثلها في الإجراءات أمام المكتب الاتحادي للهجرة، لم تطلب ذلك أيضاً لدى عرض القضية على المحكمة الإدارية الاتحادية. والأرجح، في ضوء رفض منحها المساعدة القضائية بسبب ضآلة فرص نجاح الطعون التي قدمتها، أن طلب تعيين محام يمثلها كان سُيرفض أيضاً.</w:t>
      </w:r>
      <w:r w:rsidRPr="003E698F">
        <w:rPr>
          <w:spacing w:val="0"/>
          <w:kern w:val="0"/>
          <w:sz w:val="20"/>
          <w:rtl/>
        </w:rPr>
        <w:t xml:space="preserve"> </w:t>
      </w:r>
      <w:r w:rsidRPr="003E698F">
        <w:rPr>
          <w:rFonts w:hint="cs"/>
          <w:spacing w:val="0"/>
          <w:kern w:val="0"/>
          <w:sz w:val="20"/>
          <w:rtl/>
        </w:rPr>
        <w:t>ويتبين من دراسة الملف أن صاحبة الشكوى</w:t>
      </w:r>
      <w:r w:rsidRPr="003E698F">
        <w:rPr>
          <w:spacing w:val="0"/>
          <w:kern w:val="0"/>
          <w:sz w:val="20"/>
          <w:rtl/>
        </w:rPr>
        <w:t xml:space="preserve"> </w:t>
      </w:r>
      <w:r w:rsidRPr="003E698F">
        <w:rPr>
          <w:rFonts w:hint="cs"/>
          <w:spacing w:val="0"/>
          <w:kern w:val="0"/>
          <w:sz w:val="20"/>
          <w:rtl/>
        </w:rPr>
        <w:t xml:space="preserve">لديها فكرة واضحة عن </w:t>
      </w:r>
      <w:r w:rsidRPr="003E698F">
        <w:rPr>
          <w:spacing w:val="0"/>
          <w:kern w:val="0"/>
          <w:sz w:val="20"/>
          <w:rtl/>
        </w:rPr>
        <w:t>معايير إجراءات اللجوء، و</w:t>
      </w:r>
      <w:r w:rsidRPr="003E698F">
        <w:rPr>
          <w:rFonts w:hint="cs"/>
          <w:spacing w:val="0"/>
          <w:kern w:val="0"/>
          <w:sz w:val="20"/>
          <w:rtl/>
        </w:rPr>
        <w:t xml:space="preserve">قد استطاعت أن تعرض ما لديها من دوافع عرضاً </w:t>
      </w:r>
      <w:r w:rsidRPr="003E698F">
        <w:rPr>
          <w:spacing w:val="0"/>
          <w:kern w:val="0"/>
          <w:sz w:val="20"/>
          <w:rtl/>
        </w:rPr>
        <w:t>واضح</w:t>
      </w:r>
      <w:r w:rsidRPr="003E698F">
        <w:rPr>
          <w:rFonts w:hint="cs"/>
          <w:spacing w:val="0"/>
          <w:kern w:val="0"/>
          <w:sz w:val="20"/>
          <w:rtl/>
        </w:rPr>
        <w:t>اً</w:t>
      </w:r>
      <w:r w:rsidRPr="003E698F">
        <w:rPr>
          <w:spacing w:val="0"/>
          <w:kern w:val="0"/>
          <w:sz w:val="20"/>
          <w:rtl/>
        </w:rPr>
        <w:t xml:space="preserve"> ومفهوم</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بل إنها استشهدت ب</w:t>
      </w:r>
      <w:r w:rsidRPr="003E698F">
        <w:rPr>
          <w:spacing w:val="0"/>
          <w:kern w:val="0"/>
          <w:sz w:val="20"/>
          <w:rtl/>
        </w:rPr>
        <w:t xml:space="preserve">سوابق </w:t>
      </w:r>
      <w:r w:rsidRPr="003E698F">
        <w:rPr>
          <w:rFonts w:hint="cs"/>
          <w:spacing w:val="0"/>
          <w:kern w:val="0"/>
          <w:sz w:val="20"/>
          <w:rtl/>
        </w:rPr>
        <w:t>قضائية في طلبات إعادة النظر التي تقدمت بها. وبالتالي</w:t>
      </w:r>
      <w:r w:rsidRPr="003E698F">
        <w:rPr>
          <w:spacing w:val="0"/>
          <w:kern w:val="0"/>
          <w:sz w:val="20"/>
          <w:rtl/>
        </w:rPr>
        <w:t xml:space="preserve">، </w:t>
      </w:r>
      <w:r w:rsidRPr="003E698F">
        <w:rPr>
          <w:rFonts w:hint="cs"/>
          <w:spacing w:val="0"/>
          <w:kern w:val="0"/>
          <w:sz w:val="20"/>
          <w:rtl/>
        </w:rPr>
        <w:t>فإن تعيين محام لها لم يكن أمراً ضرورياً ليتسنى لها المطالبة ب</w:t>
      </w:r>
      <w:r w:rsidRPr="003E698F">
        <w:rPr>
          <w:spacing w:val="0"/>
          <w:kern w:val="0"/>
          <w:sz w:val="20"/>
          <w:rtl/>
        </w:rPr>
        <w:t>حقوق</w:t>
      </w:r>
      <w:r w:rsidRPr="003E698F">
        <w:rPr>
          <w:rFonts w:hint="cs"/>
          <w:spacing w:val="0"/>
          <w:kern w:val="0"/>
          <w:sz w:val="20"/>
          <w:rtl/>
        </w:rPr>
        <w:t>ها على نحو يفي بالغرض</w:t>
      </w:r>
      <w:r w:rsidRPr="003E698F">
        <w:rPr>
          <w:spacing w:val="0"/>
          <w:kern w:val="0"/>
          <w:sz w:val="20"/>
          <w:rtl/>
        </w:rPr>
        <w:t>، و</w:t>
      </w:r>
      <w:r w:rsidRPr="003E698F">
        <w:rPr>
          <w:rFonts w:hint="cs"/>
          <w:spacing w:val="0"/>
          <w:kern w:val="0"/>
          <w:sz w:val="20"/>
          <w:rtl/>
        </w:rPr>
        <w:t xml:space="preserve">هي لم تتضرر من </w:t>
      </w:r>
      <w:r w:rsidRPr="003E698F">
        <w:rPr>
          <w:spacing w:val="0"/>
          <w:kern w:val="0"/>
          <w:sz w:val="20"/>
          <w:rtl/>
        </w:rPr>
        <w:t>عدم تمثيل</w:t>
      </w:r>
      <w:r w:rsidRPr="003E698F">
        <w:rPr>
          <w:rFonts w:hint="cs"/>
          <w:spacing w:val="0"/>
          <w:kern w:val="0"/>
          <w:sz w:val="20"/>
          <w:rtl/>
        </w:rPr>
        <w:t xml:space="preserve"> محام لها في جميع</w:t>
      </w:r>
      <w:r w:rsidRPr="003E698F">
        <w:rPr>
          <w:spacing w:val="0"/>
          <w:kern w:val="0"/>
          <w:sz w:val="20"/>
          <w:rtl/>
        </w:rPr>
        <w:t xml:space="preserve"> الإجراءات</w:t>
      </w:r>
      <w:r w:rsidRPr="003E698F">
        <w:rPr>
          <w:rFonts w:hint="cs"/>
          <w:spacing w:val="0"/>
          <w:kern w:val="0"/>
          <w:sz w:val="20"/>
          <w:rtl/>
        </w:rPr>
        <w:t xml:space="preserve"> التي قامت بها.</w:t>
      </w:r>
    </w:p>
    <w:p w:rsidR="00921F02" w:rsidRPr="003E698F" w:rsidRDefault="00921F02" w:rsidP="009E31FC">
      <w:pPr>
        <w:pStyle w:val="SingleTxtGA"/>
        <w:spacing w:line="374" w:lineRule="exact"/>
        <w:jc w:val="lowKashida"/>
        <w:rPr>
          <w:rFonts w:hint="cs"/>
          <w:spacing w:val="0"/>
          <w:kern w:val="0"/>
          <w:sz w:val="20"/>
        </w:rPr>
      </w:pPr>
      <w:r w:rsidRPr="003E698F">
        <w:rPr>
          <w:rFonts w:hint="cs"/>
          <w:spacing w:val="0"/>
          <w:kern w:val="0"/>
          <w:sz w:val="20"/>
          <w:rtl/>
        </w:rPr>
        <w:t>7-11</w:t>
      </w:r>
      <w:r w:rsidRPr="003E698F">
        <w:rPr>
          <w:rFonts w:hint="cs"/>
          <w:spacing w:val="0"/>
          <w:kern w:val="0"/>
          <w:sz w:val="20"/>
          <w:rtl/>
        </w:rPr>
        <w:tab/>
      </w:r>
      <w:r w:rsidRPr="003E698F">
        <w:rPr>
          <w:spacing w:val="0"/>
          <w:kern w:val="0"/>
          <w:sz w:val="20"/>
          <w:rtl/>
        </w:rPr>
        <w:t xml:space="preserve">وفي الختام، </w:t>
      </w:r>
      <w:r w:rsidRPr="003E698F">
        <w:rPr>
          <w:rFonts w:hint="cs"/>
          <w:spacing w:val="0"/>
          <w:kern w:val="0"/>
          <w:sz w:val="20"/>
          <w:rtl/>
        </w:rPr>
        <w:t>أكدت</w:t>
      </w:r>
      <w:r w:rsidRPr="003E698F">
        <w:rPr>
          <w:spacing w:val="0"/>
          <w:kern w:val="0"/>
          <w:sz w:val="20"/>
          <w:rtl/>
        </w:rPr>
        <w:t xml:space="preserve"> الدولة الطرف</w:t>
      </w:r>
      <w:r w:rsidRPr="003E698F">
        <w:rPr>
          <w:rFonts w:hint="cs"/>
          <w:spacing w:val="0"/>
          <w:kern w:val="0"/>
          <w:sz w:val="20"/>
          <w:rtl/>
        </w:rPr>
        <w:t xml:space="preserve"> مجدداً</w:t>
      </w:r>
      <w:r w:rsidRPr="003E698F">
        <w:rPr>
          <w:spacing w:val="0"/>
          <w:kern w:val="0"/>
          <w:sz w:val="20"/>
          <w:rtl/>
        </w:rPr>
        <w:t xml:space="preserve"> أن المادة 3 من الاتفاقية </w:t>
      </w:r>
      <w:r w:rsidRPr="003E698F">
        <w:rPr>
          <w:rFonts w:hint="cs"/>
          <w:spacing w:val="0"/>
          <w:kern w:val="0"/>
          <w:sz w:val="20"/>
          <w:rtl/>
        </w:rPr>
        <w:t>لا</w:t>
      </w:r>
      <w:r w:rsidRPr="003E698F">
        <w:rPr>
          <w:spacing w:val="0"/>
          <w:kern w:val="0"/>
          <w:sz w:val="20"/>
          <w:rtl/>
        </w:rPr>
        <w:t xml:space="preserve"> </w:t>
      </w:r>
      <w:r w:rsidRPr="003E698F">
        <w:rPr>
          <w:rFonts w:hint="cs"/>
          <w:spacing w:val="0"/>
          <w:kern w:val="0"/>
          <w:sz w:val="20"/>
          <w:rtl/>
        </w:rPr>
        <w:t>يُمكن أن تُفسر على أنها تلزمها بمنح إعفاء من الرسوم الإجرائية وتعيين محام عن طريق المحكمة في جميع الحالات.</w:t>
      </w:r>
      <w:r w:rsidRPr="003E698F">
        <w:rPr>
          <w:spacing w:val="0"/>
          <w:kern w:val="0"/>
          <w:sz w:val="20"/>
          <w:rtl/>
        </w:rPr>
        <w:t xml:space="preserve"> وفي ضوء </w:t>
      </w:r>
      <w:r w:rsidRPr="003E698F">
        <w:rPr>
          <w:rFonts w:hint="cs"/>
          <w:spacing w:val="0"/>
          <w:kern w:val="0"/>
          <w:sz w:val="20"/>
          <w:rtl/>
        </w:rPr>
        <w:t xml:space="preserve">كافة </w:t>
      </w:r>
      <w:r w:rsidRPr="003E698F">
        <w:rPr>
          <w:spacing w:val="0"/>
          <w:kern w:val="0"/>
          <w:sz w:val="20"/>
          <w:rtl/>
        </w:rPr>
        <w:t xml:space="preserve">ظروف </w:t>
      </w:r>
      <w:r w:rsidRPr="003E698F">
        <w:rPr>
          <w:rFonts w:hint="cs"/>
          <w:spacing w:val="0"/>
          <w:kern w:val="0"/>
          <w:sz w:val="20"/>
          <w:rtl/>
        </w:rPr>
        <w:t xml:space="preserve">هذه </w:t>
      </w:r>
      <w:r w:rsidRPr="003E698F">
        <w:rPr>
          <w:spacing w:val="0"/>
          <w:kern w:val="0"/>
          <w:sz w:val="20"/>
          <w:rtl/>
        </w:rPr>
        <w:t xml:space="preserve">القضية، </w:t>
      </w:r>
      <w:r w:rsidRPr="003E698F">
        <w:rPr>
          <w:rFonts w:hint="cs"/>
          <w:spacing w:val="0"/>
          <w:kern w:val="0"/>
          <w:sz w:val="20"/>
          <w:rtl/>
        </w:rPr>
        <w:t xml:space="preserve">ترى الدولة الطرف أن عدم الإعفاء من </w:t>
      </w:r>
      <w:r w:rsidRPr="003E698F">
        <w:rPr>
          <w:spacing w:val="0"/>
          <w:kern w:val="0"/>
          <w:sz w:val="20"/>
          <w:rtl/>
        </w:rPr>
        <w:t xml:space="preserve">دفع </w:t>
      </w:r>
      <w:r w:rsidRPr="003E698F">
        <w:rPr>
          <w:rFonts w:hint="cs"/>
          <w:spacing w:val="0"/>
          <w:kern w:val="0"/>
          <w:sz w:val="20"/>
          <w:rtl/>
        </w:rPr>
        <w:t>ال</w:t>
      </w:r>
      <w:r w:rsidRPr="003E698F">
        <w:rPr>
          <w:spacing w:val="0"/>
          <w:kern w:val="0"/>
          <w:sz w:val="20"/>
          <w:rtl/>
        </w:rPr>
        <w:t xml:space="preserve">رسوم </w:t>
      </w:r>
      <w:r w:rsidRPr="003E698F">
        <w:rPr>
          <w:rFonts w:hint="cs"/>
          <w:spacing w:val="0"/>
          <w:kern w:val="0"/>
          <w:sz w:val="20"/>
          <w:rtl/>
        </w:rPr>
        <w:t xml:space="preserve">الإجرائية </w:t>
      </w:r>
      <w:r w:rsidRPr="003E698F">
        <w:rPr>
          <w:spacing w:val="0"/>
          <w:kern w:val="0"/>
          <w:sz w:val="20"/>
          <w:rtl/>
        </w:rPr>
        <w:t xml:space="preserve">وعدم </w:t>
      </w:r>
      <w:r w:rsidRPr="003E698F">
        <w:rPr>
          <w:rFonts w:hint="cs"/>
          <w:spacing w:val="0"/>
          <w:kern w:val="0"/>
          <w:sz w:val="20"/>
          <w:rtl/>
        </w:rPr>
        <w:t>تعيين محام عن طريق المحكمة لا ي</w:t>
      </w:r>
      <w:r w:rsidRPr="003E698F">
        <w:rPr>
          <w:spacing w:val="0"/>
          <w:kern w:val="0"/>
          <w:sz w:val="20"/>
          <w:rtl/>
        </w:rPr>
        <w:t>شكل</w:t>
      </w:r>
      <w:r w:rsidRPr="003E698F">
        <w:rPr>
          <w:rFonts w:hint="cs"/>
          <w:spacing w:val="0"/>
          <w:kern w:val="0"/>
          <w:sz w:val="20"/>
          <w:rtl/>
        </w:rPr>
        <w:t>ان</w:t>
      </w:r>
      <w:r w:rsidRPr="003E698F">
        <w:rPr>
          <w:spacing w:val="0"/>
          <w:kern w:val="0"/>
          <w:sz w:val="20"/>
          <w:rtl/>
        </w:rPr>
        <w:t xml:space="preserve"> انتهاكا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لل</w:t>
      </w:r>
      <w:r w:rsidRPr="003E698F">
        <w:rPr>
          <w:spacing w:val="0"/>
          <w:kern w:val="0"/>
          <w:sz w:val="20"/>
          <w:rtl/>
        </w:rPr>
        <w:t xml:space="preserve">مادة 3 من الاتفاقية. </w:t>
      </w:r>
      <w:r w:rsidRPr="003E698F">
        <w:rPr>
          <w:rFonts w:hint="cs"/>
          <w:spacing w:val="0"/>
          <w:kern w:val="0"/>
          <w:sz w:val="20"/>
          <w:rtl/>
        </w:rPr>
        <w:t>وتمسكت الدولة الطرف، علاوة على ذلك، بجميع ال</w:t>
      </w:r>
      <w:r w:rsidRPr="003E698F">
        <w:rPr>
          <w:spacing w:val="0"/>
          <w:kern w:val="0"/>
          <w:sz w:val="20"/>
          <w:rtl/>
        </w:rPr>
        <w:t>استنتاجات</w:t>
      </w:r>
      <w:r w:rsidRPr="003E698F">
        <w:rPr>
          <w:rFonts w:hint="cs"/>
          <w:spacing w:val="0"/>
          <w:kern w:val="0"/>
          <w:sz w:val="20"/>
          <w:rtl/>
        </w:rPr>
        <w:t xml:space="preserve"> التي سبق أن قدمتها بشأن الأسس الموضوعية</w:t>
      </w:r>
      <w:r w:rsidRPr="003E698F">
        <w:rPr>
          <w:spacing w:val="0"/>
          <w:kern w:val="0"/>
          <w:sz w:val="20"/>
          <w:rtl/>
        </w:rPr>
        <w:t xml:space="preserve"> </w:t>
      </w:r>
      <w:r w:rsidRPr="003E698F">
        <w:rPr>
          <w:rFonts w:hint="cs"/>
          <w:spacing w:val="0"/>
          <w:kern w:val="0"/>
          <w:sz w:val="20"/>
          <w:rtl/>
        </w:rPr>
        <w:t>للشكوى.</w:t>
      </w:r>
    </w:p>
    <w:p w:rsidR="00921F02" w:rsidRPr="003E698F" w:rsidRDefault="00921F02" w:rsidP="00921F02">
      <w:pPr>
        <w:pStyle w:val="H23GA"/>
        <w:jc w:val="lowKashida"/>
        <w:rPr>
          <w:spacing w:val="0"/>
          <w:kern w:val="0"/>
          <w:sz w:val="20"/>
        </w:rPr>
      </w:pPr>
      <w:r w:rsidRPr="003E698F">
        <w:rPr>
          <w:rFonts w:hint="cs"/>
          <w:spacing w:val="0"/>
          <w:kern w:val="0"/>
          <w:sz w:val="20"/>
          <w:rtl/>
        </w:rPr>
        <w:tab/>
      </w:r>
      <w:r w:rsidRPr="003E698F">
        <w:rPr>
          <w:rFonts w:hint="cs"/>
          <w:spacing w:val="0"/>
          <w:kern w:val="0"/>
          <w:sz w:val="20"/>
          <w:rtl/>
        </w:rPr>
        <w:tab/>
        <w:t>ملاحظات إضافية مقدمة من صاحبة الشكوى</w:t>
      </w:r>
    </w:p>
    <w:p w:rsidR="00921F02" w:rsidRPr="004A748F" w:rsidRDefault="00921F02" w:rsidP="002C2A9D">
      <w:pPr>
        <w:pStyle w:val="SingleTxtGA"/>
        <w:spacing w:line="360" w:lineRule="exact"/>
        <w:jc w:val="lowKashida"/>
        <w:rPr>
          <w:rFonts w:hint="cs"/>
          <w:spacing w:val="-2"/>
          <w:kern w:val="0"/>
          <w:sz w:val="20"/>
        </w:rPr>
      </w:pPr>
      <w:r w:rsidRPr="004A748F">
        <w:rPr>
          <w:rFonts w:hint="cs"/>
          <w:spacing w:val="-2"/>
          <w:kern w:val="0"/>
          <w:sz w:val="20"/>
          <w:rtl/>
        </w:rPr>
        <w:t>8-1</w:t>
      </w:r>
      <w:r w:rsidRPr="004A748F">
        <w:rPr>
          <w:rFonts w:hint="cs"/>
          <w:spacing w:val="-2"/>
          <w:kern w:val="0"/>
          <w:sz w:val="20"/>
          <w:rtl/>
        </w:rPr>
        <w:tab/>
      </w:r>
      <w:r w:rsidRPr="004A748F">
        <w:rPr>
          <w:spacing w:val="-2"/>
          <w:kern w:val="0"/>
          <w:sz w:val="20"/>
          <w:rtl/>
        </w:rPr>
        <w:t xml:space="preserve">في 29 </w:t>
      </w:r>
      <w:r w:rsidRPr="004A748F">
        <w:rPr>
          <w:rFonts w:hint="cs"/>
          <w:spacing w:val="-2"/>
          <w:kern w:val="0"/>
          <w:sz w:val="20"/>
          <w:rtl/>
        </w:rPr>
        <w:t>آب/</w:t>
      </w:r>
      <w:r w:rsidRPr="004A748F">
        <w:rPr>
          <w:spacing w:val="-2"/>
          <w:kern w:val="0"/>
          <w:sz w:val="20"/>
          <w:rtl/>
        </w:rPr>
        <w:t xml:space="preserve">أغسطس 2011، أبلغت </w:t>
      </w:r>
      <w:r w:rsidRPr="004A748F">
        <w:rPr>
          <w:rFonts w:hint="cs"/>
          <w:spacing w:val="-2"/>
          <w:kern w:val="0"/>
          <w:sz w:val="20"/>
          <w:rtl/>
        </w:rPr>
        <w:t xml:space="preserve">صاحبة الشكوى </w:t>
      </w:r>
      <w:r w:rsidRPr="004A748F">
        <w:rPr>
          <w:spacing w:val="-2"/>
          <w:kern w:val="0"/>
          <w:sz w:val="20"/>
          <w:rtl/>
        </w:rPr>
        <w:t xml:space="preserve">اللجنة بأن </w:t>
      </w:r>
      <w:r w:rsidRPr="004A748F">
        <w:rPr>
          <w:rFonts w:hint="cs"/>
          <w:spacing w:val="-2"/>
          <w:kern w:val="0"/>
          <w:sz w:val="20"/>
          <w:rtl/>
        </w:rPr>
        <w:t>المحكمة الإدارية الاتحادية رفضت، في قرارها المؤرخ 8 آب/أغسطس 2011، ال</w:t>
      </w:r>
      <w:r w:rsidRPr="004A748F">
        <w:rPr>
          <w:spacing w:val="-2"/>
          <w:kern w:val="0"/>
          <w:sz w:val="20"/>
          <w:rtl/>
        </w:rPr>
        <w:t>طلب</w:t>
      </w:r>
      <w:r w:rsidRPr="004A748F">
        <w:rPr>
          <w:rFonts w:hint="cs"/>
          <w:spacing w:val="-2"/>
          <w:kern w:val="0"/>
          <w:sz w:val="20"/>
          <w:rtl/>
        </w:rPr>
        <w:t xml:space="preserve"> الذي قدمته </w:t>
      </w:r>
      <w:r w:rsidRPr="004A748F">
        <w:rPr>
          <w:spacing w:val="-2"/>
          <w:kern w:val="0"/>
          <w:sz w:val="20"/>
          <w:rtl/>
        </w:rPr>
        <w:t xml:space="preserve">للحصول على تصريح </w:t>
      </w:r>
      <w:r w:rsidRPr="004A748F">
        <w:rPr>
          <w:rFonts w:hint="cs"/>
          <w:spacing w:val="-2"/>
          <w:kern w:val="0"/>
          <w:sz w:val="20"/>
          <w:rtl/>
        </w:rPr>
        <w:t>الإقامة بداعي حالة الضيق</w:t>
      </w:r>
      <w:r w:rsidRPr="004A748F">
        <w:rPr>
          <w:rFonts w:hint="cs"/>
          <w:spacing w:val="-2"/>
          <w:kern w:val="0"/>
          <w:sz w:val="20"/>
          <w:szCs w:val="28"/>
          <w:vertAlign w:val="superscript"/>
          <w:rtl/>
        </w:rPr>
        <w:t>(</w:t>
      </w:r>
      <w:r w:rsidRPr="004A748F">
        <w:rPr>
          <w:rStyle w:val="FootnoteReference"/>
          <w:spacing w:val="-2"/>
          <w:sz w:val="20"/>
          <w:rtl/>
        </w:rPr>
        <w:footnoteReference w:id="187"/>
      </w:r>
      <w:r w:rsidRPr="004A748F">
        <w:rPr>
          <w:rFonts w:hint="cs"/>
          <w:spacing w:val="-2"/>
          <w:kern w:val="0"/>
          <w:sz w:val="20"/>
          <w:szCs w:val="28"/>
          <w:vertAlign w:val="superscript"/>
          <w:rtl/>
        </w:rPr>
        <w:t>)</w:t>
      </w:r>
      <w:r w:rsidRPr="004A748F">
        <w:rPr>
          <w:spacing w:val="-2"/>
          <w:kern w:val="0"/>
          <w:sz w:val="20"/>
          <w:rtl/>
        </w:rPr>
        <w:t xml:space="preserve">. </w:t>
      </w:r>
      <w:r w:rsidRPr="004A748F">
        <w:rPr>
          <w:rFonts w:hint="cs"/>
          <w:spacing w:val="-2"/>
          <w:kern w:val="0"/>
          <w:sz w:val="20"/>
          <w:rtl/>
        </w:rPr>
        <w:t xml:space="preserve">وخلصت المحكمة الإدارية إلى جملة أمور من بينها </w:t>
      </w:r>
      <w:r w:rsidRPr="004A748F">
        <w:rPr>
          <w:spacing w:val="-2"/>
          <w:kern w:val="0"/>
          <w:sz w:val="20"/>
          <w:rtl/>
        </w:rPr>
        <w:t xml:space="preserve">أن </w:t>
      </w:r>
      <w:r w:rsidRPr="004A748F">
        <w:rPr>
          <w:rFonts w:hint="cs"/>
          <w:spacing w:val="-2"/>
          <w:kern w:val="0"/>
          <w:sz w:val="20"/>
          <w:rtl/>
        </w:rPr>
        <w:t>صاحبة الشكوى</w:t>
      </w:r>
      <w:r w:rsidRPr="004A748F">
        <w:rPr>
          <w:spacing w:val="-2"/>
          <w:kern w:val="0"/>
          <w:sz w:val="20"/>
          <w:rtl/>
        </w:rPr>
        <w:t xml:space="preserve"> لم تظهر </w:t>
      </w:r>
      <w:r w:rsidRPr="004A748F">
        <w:rPr>
          <w:rFonts w:hint="cs"/>
          <w:spacing w:val="-2"/>
          <w:kern w:val="0"/>
          <w:sz w:val="20"/>
          <w:rtl/>
        </w:rPr>
        <w:t xml:space="preserve">أي اندماج </w:t>
      </w:r>
      <w:r w:rsidRPr="004A748F">
        <w:rPr>
          <w:spacing w:val="-2"/>
          <w:kern w:val="0"/>
          <w:sz w:val="20"/>
          <w:rtl/>
        </w:rPr>
        <w:t xml:space="preserve">في سويسرا من </w:t>
      </w:r>
      <w:r w:rsidRPr="004A748F">
        <w:rPr>
          <w:rFonts w:hint="cs"/>
          <w:spacing w:val="-2"/>
          <w:kern w:val="0"/>
          <w:sz w:val="20"/>
          <w:rtl/>
        </w:rPr>
        <w:t xml:space="preserve">النواحي </w:t>
      </w:r>
      <w:r w:rsidRPr="004A748F">
        <w:rPr>
          <w:spacing w:val="-2"/>
          <w:kern w:val="0"/>
          <w:sz w:val="20"/>
          <w:rtl/>
        </w:rPr>
        <w:t xml:space="preserve">المهنية </w:t>
      </w:r>
      <w:r w:rsidRPr="004A748F">
        <w:rPr>
          <w:rFonts w:hint="cs"/>
          <w:spacing w:val="-2"/>
          <w:kern w:val="0"/>
          <w:sz w:val="20"/>
          <w:rtl/>
        </w:rPr>
        <w:t>و</w:t>
      </w:r>
      <w:r w:rsidRPr="004A748F">
        <w:rPr>
          <w:spacing w:val="-2"/>
          <w:kern w:val="0"/>
          <w:sz w:val="20"/>
          <w:rtl/>
        </w:rPr>
        <w:t>الاجتماعية والعائلية، و</w:t>
      </w:r>
      <w:r w:rsidRPr="004A748F">
        <w:rPr>
          <w:rFonts w:hint="cs"/>
          <w:spacing w:val="-2"/>
          <w:kern w:val="0"/>
          <w:sz w:val="20"/>
          <w:rtl/>
        </w:rPr>
        <w:t xml:space="preserve">رأت </w:t>
      </w:r>
      <w:r w:rsidRPr="004A748F">
        <w:rPr>
          <w:spacing w:val="-2"/>
          <w:kern w:val="0"/>
          <w:sz w:val="20"/>
          <w:rtl/>
        </w:rPr>
        <w:t>أن</w:t>
      </w:r>
      <w:r w:rsidRPr="004A748F">
        <w:rPr>
          <w:rFonts w:hint="cs"/>
          <w:spacing w:val="-2"/>
          <w:kern w:val="0"/>
          <w:sz w:val="20"/>
          <w:rtl/>
        </w:rPr>
        <w:t xml:space="preserve"> بإمكانها أن تندمج من جديد </w:t>
      </w:r>
      <w:r w:rsidRPr="004A748F">
        <w:rPr>
          <w:spacing w:val="-2"/>
          <w:kern w:val="0"/>
          <w:sz w:val="20"/>
          <w:rtl/>
        </w:rPr>
        <w:t xml:space="preserve">في جمهورية الكونغو الديمقراطية </w:t>
      </w:r>
      <w:r w:rsidRPr="004A748F">
        <w:rPr>
          <w:rFonts w:hint="cs"/>
          <w:spacing w:val="-2"/>
          <w:kern w:val="0"/>
          <w:sz w:val="20"/>
          <w:rtl/>
        </w:rPr>
        <w:t>التي غادرتها وهي كبيرة في السن إذ كانت في السابعة والعشرين من العمر</w:t>
      </w:r>
      <w:r w:rsidRPr="004A748F">
        <w:rPr>
          <w:spacing w:val="-2"/>
          <w:kern w:val="0"/>
          <w:sz w:val="20"/>
          <w:rtl/>
        </w:rPr>
        <w:t xml:space="preserve">. </w:t>
      </w:r>
      <w:r w:rsidRPr="004A748F">
        <w:rPr>
          <w:rFonts w:hint="cs"/>
          <w:spacing w:val="-2"/>
          <w:kern w:val="0"/>
          <w:sz w:val="20"/>
          <w:rtl/>
        </w:rPr>
        <w:t>وقالت صاحبة الشكوى إنها تقيم في سويسرا منذ عشر سنوات</w:t>
      </w:r>
      <w:r w:rsidRPr="004A748F">
        <w:rPr>
          <w:spacing w:val="-2"/>
          <w:kern w:val="0"/>
          <w:sz w:val="20"/>
          <w:rtl/>
        </w:rPr>
        <w:t>، و</w:t>
      </w:r>
      <w:r w:rsidRPr="004A748F">
        <w:rPr>
          <w:rFonts w:hint="cs"/>
          <w:spacing w:val="-2"/>
          <w:kern w:val="0"/>
          <w:sz w:val="20"/>
          <w:rtl/>
        </w:rPr>
        <w:t>إ</w:t>
      </w:r>
      <w:r w:rsidRPr="004A748F">
        <w:rPr>
          <w:spacing w:val="-2"/>
          <w:kern w:val="0"/>
          <w:sz w:val="20"/>
          <w:rtl/>
        </w:rPr>
        <w:t xml:space="preserve">نها </w:t>
      </w:r>
      <w:r w:rsidRPr="004A748F">
        <w:rPr>
          <w:rFonts w:hint="cs"/>
          <w:spacing w:val="-2"/>
          <w:kern w:val="0"/>
          <w:sz w:val="20"/>
          <w:rtl/>
        </w:rPr>
        <w:t xml:space="preserve">لم تتمكن من العمل لأن </w:t>
      </w:r>
      <w:r w:rsidRPr="004A748F">
        <w:rPr>
          <w:spacing w:val="-2"/>
          <w:kern w:val="0"/>
          <w:sz w:val="20"/>
          <w:rtl/>
        </w:rPr>
        <w:t>وضعها القانوني في سويسرا</w:t>
      </w:r>
      <w:r w:rsidRPr="004A748F">
        <w:rPr>
          <w:rFonts w:hint="cs"/>
          <w:spacing w:val="-2"/>
          <w:kern w:val="0"/>
          <w:sz w:val="20"/>
          <w:rtl/>
        </w:rPr>
        <w:t xml:space="preserve"> </w:t>
      </w:r>
      <w:r w:rsidRPr="004A748F">
        <w:rPr>
          <w:spacing w:val="-2"/>
          <w:kern w:val="0"/>
          <w:sz w:val="20"/>
          <w:rtl/>
        </w:rPr>
        <w:t>لا</w:t>
      </w:r>
      <w:r w:rsidR="004A748F">
        <w:rPr>
          <w:rFonts w:hint="cs"/>
          <w:spacing w:val="-2"/>
          <w:kern w:val="0"/>
          <w:sz w:val="20"/>
          <w:rtl/>
        </w:rPr>
        <w:t> </w:t>
      </w:r>
      <w:r w:rsidRPr="004A748F">
        <w:rPr>
          <w:rFonts w:hint="cs"/>
          <w:spacing w:val="-2"/>
          <w:kern w:val="0"/>
          <w:sz w:val="20"/>
          <w:rtl/>
        </w:rPr>
        <w:t>ي</w:t>
      </w:r>
      <w:r w:rsidRPr="004A748F">
        <w:rPr>
          <w:spacing w:val="-2"/>
          <w:kern w:val="0"/>
          <w:sz w:val="20"/>
          <w:rtl/>
        </w:rPr>
        <w:t xml:space="preserve">سمح </w:t>
      </w:r>
      <w:r w:rsidRPr="004A748F">
        <w:rPr>
          <w:rFonts w:hint="cs"/>
          <w:spacing w:val="-2"/>
          <w:kern w:val="0"/>
          <w:sz w:val="20"/>
          <w:rtl/>
        </w:rPr>
        <w:t xml:space="preserve">لها </w:t>
      </w:r>
      <w:r w:rsidRPr="004A748F">
        <w:rPr>
          <w:spacing w:val="-2"/>
          <w:kern w:val="0"/>
          <w:sz w:val="20"/>
          <w:rtl/>
        </w:rPr>
        <w:t>بذلك</w:t>
      </w:r>
      <w:r w:rsidRPr="004A748F">
        <w:rPr>
          <w:rFonts w:hint="cs"/>
          <w:spacing w:val="-2"/>
          <w:kern w:val="0"/>
          <w:sz w:val="20"/>
          <w:rtl/>
        </w:rPr>
        <w:t>.</w:t>
      </w:r>
      <w:r w:rsidR="002C2A9D">
        <w:rPr>
          <w:rFonts w:hint="cs"/>
          <w:spacing w:val="-2"/>
          <w:kern w:val="0"/>
          <w:sz w:val="20"/>
          <w:rtl/>
        </w:rPr>
        <w:t xml:space="preserve"> </w:t>
      </w:r>
      <w:r w:rsidRPr="004A748F">
        <w:rPr>
          <w:spacing w:val="-2"/>
          <w:kern w:val="0"/>
          <w:sz w:val="20"/>
          <w:rtl/>
        </w:rPr>
        <w:t>و</w:t>
      </w:r>
      <w:r w:rsidRPr="004A748F">
        <w:rPr>
          <w:rFonts w:hint="cs"/>
          <w:spacing w:val="-2"/>
          <w:kern w:val="0"/>
          <w:sz w:val="20"/>
          <w:rtl/>
        </w:rPr>
        <w:t>أكدت أن</w:t>
      </w:r>
      <w:r w:rsidRPr="004A748F">
        <w:rPr>
          <w:spacing w:val="-2"/>
          <w:kern w:val="0"/>
          <w:sz w:val="20"/>
          <w:rtl/>
        </w:rPr>
        <w:t xml:space="preserve"> </w:t>
      </w:r>
      <w:r w:rsidRPr="004A748F">
        <w:rPr>
          <w:rFonts w:hint="cs"/>
          <w:spacing w:val="-2"/>
          <w:kern w:val="0"/>
          <w:sz w:val="20"/>
          <w:rtl/>
        </w:rPr>
        <w:t>صحتها وسلامتها ستتعرضان ل</w:t>
      </w:r>
      <w:r w:rsidRPr="004A748F">
        <w:rPr>
          <w:spacing w:val="-2"/>
          <w:kern w:val="0"/>
          <w:sz w:val="20"/>
          <w:rtl/>
        </w:rPr>
        <w:t xml:space="preserve">مخاطر كبيرة </w:t>
      </w:r>
      <w:r w:rsidRPr="004A748F">
        <w:rPr>
          <w:rFonts w:hint="cs"/>
          <w:spacing w:val="-2"/>
          <w:kern w:val="0"/>
          <w:sz w:val="20"/>
          <w:rtl/>
        </w:rPr>
        <w:t>إ</w:t>
      </w:r>
      <w:r w:rsidRPr="004A748F">
        <w:rPr>
          <w:spacing w:val="-2"/>
          <w:kern w:val="0"/>
          <w:sz w:val="20"/>
          <w:rtl/>
        </w:rPr>
        <w:t xml:space="preserve">ذا </w:t>
      </w:r>
      <w:r w:rsidRPr="004A748F">
        <w:rPr>
          <w:rFonts w:hint="cs"/>
          <w:spacing w:val="-2"/>
          <w:kern w:val="0"/>
          <w:sz w:val="20"/>
          <w:rtl/>
        </w:rPr>
        <w:t xml:space="preserve">رُحلت </w:t>
      </w:r>
      <w:r w:rsidRPr="004A748F">
        <w:rPr>
          <w:spacing w:val="-2"/>
          <w:kern w:val="0"/>
          <w:sz w:val="20"/>
          <w:rtl/>
        </w:rPr>
        <w:t>إلى جمهورية الكونغو الديمقراطية</w:t>
      </w:r>
      <w:r w:rsidRPr="004A748F">
        <w:rPr>
          <w:rFonts w:hint="cs"/>
          <w:spacing w:val="-2"/>
          <w:kern w:val="0"/>
          <w:sz w:val="20"/>
          <w:rtl/>
        </w:rPr>
        <w:t xml:space="preserve"> في ظل الو</w:t>
      </w:r>
      <w:r w:rsidRPr="004A748F">
        <w:rPr>
          <w:spacing w:val="-2"/>
          <w:kern w:val="0"/>
          <w:sz w:val="20"/>
          <w:rtl/>
        </w:rPr>
        <w:t xml:space="preserve">ضع المأساوي لحقوق الإنسان هناك، </w:t>
      </w:r>
      <w:r w:rsidRPr="004A748F">
        <w:rPr>
          <w:rFonts w:hint="cs"/>
          <w:spacing w:val="-2"/>
          <w:kern w:val="0"/>
          <w:sz w:val="20"/>
          <w:rtl/>
        </w:rPr>
        <w:t xml:space="preserve">خصوصاً </w:t>
      </w:r>
      <w:r w:rsidRPr="004A748F">
        <w:rPr>
          <w:spacing w:val="-2"/>
          <w:kern w:val="0"/>
          <w:sz w:val="20"/>
          <w:rtl/>
        </w:rPr>
        <w:t xml:space="preserve">بالنسبة للنساء، </w:t>
      </w:r>
      <w:r w:rsidRPr="004A748F">
        <w:rPr>
          <w:rFonts w:hint="cs"/>
          <w:spacing w:val="-2"/>
          <w:kern w:val="0"/>
          <w:sz w:val="20"/>
          <w:rtl/>
        </w:rPr>
        <w:t>وبسبب معارضتها للنظام الحاكم حالياً والأنشطة التي تضطلع بها ضمن "تحالف الوطنيين من أجل إصلاح الكونغو"</w:t>
      </w:r>
      <w:r w:rsidRPr="004A748F">
        <w:rPr>
          <w:spacing w:val="-2"/>
          <w:kern w:val="0"/>
          <w:sz w:val="20"/>
          <w:rtl/>
        </w:rPr>
        <w:t xml:space="preserve">، </w:t>
      </w:r>
      <w:r w:rsidRPr="004A748F">
        <w:rPr>
          <w:rFonts w:hint="cs"/>
          <w:spacing w:val="-2"/>
          <w:kern w:val="0"/>
          <w:sz w:val="20"/>
          <w:rtl/>
        </w:rPr>
        <w:t>و</w:t>
      </w:r>
      <w:r w:rsidRPr="004A748F">
        <w:rPr>
          <w:spacing w:val="-2"/>
          <w:kern w:val="0"/>
          <w:sz w:val="20"/>
          <w:rtl/>
        </w:rPr>
        <w:t>حالته</w:t>
      </w:r>
      <w:r w:rsidRPr="004A748F">
        <w:rPr>
          <w:rFonts w:hint="cs"/>
          <w:spacing w:val="-2"/>
          <w:kern w:val="0"/>
          <w:sz w:val="20"/>
          <w:rtl/>
        </w:rPr>
        <w:t>ا</w:t>
      </w:r>
      <w:r w:rsidRPr="004A748F">
        <w:rPr>
          <w:spacing w:val="-2"/>
          <w:kern w:val="0"/>
          <w:sz w:val="20"/>
          <w:rtl/>
        </w:rPr>
        <w:t xml:space="preserve"> الصحية </w:t>
      </w:r>
      <w:r w:rsidRPr="004A748F">
        <w:rPr>
          <w:rFonts w:hint="cs"/>
          <w:spacing w:val="-2"/>
          <w:kern w:val="0"/>
          <w:sz w:val="20"/>
          <w:rtl/>
        </w:rPr>
        <w:t>المقلقة</w:t>
      </w:r>
      <w:r w:rsidRPr="004A748F">
        <w:rPr>
          <w:spacing w:val="-2"/>
          <w:kern w:val="0"/>
          <w:sz w:val="20"/>
          <w:rtl/>
        </w:rPr>
        <w:t>. و</w:t>
      </w:r>
      <w:r w:rsidRPr="004A748F">
        <w:rPr>
          <w:rFonts w:hint="cs"/>
          <w:spacing w:val="-2"/>
          <w:kern w:val="0"/>
          <w:sz w:val="20"/>
          <w:rtl/>
        </w:rPr>
        <w:t xml:space="preserve">ادعت </w:t>
      </w:r>
      <w:r w:rsidRPr="004A748F">
        <w:rPr>
          <w:spacing w:val="-2"/>
          <w:kern w:val="0"/>
          <w:sz w:val="20"/>
          <w:rtl/>
        </w:rPr>
        <w:t xml:space="preserve">بالإضافة إلى ذلك، </w:t>
      </w:r>
      <w:r w:rsidRPr="004A748F">
        <w:rPr>
          <w:rFonts w:hint="cs"/>
          <w:spacing w:val="-2"/>
          <w:kern w:val="0"/>
          <w:sz w:val="20"/>
          <w:rtl/>
        </w:rPr>
        <w:t>أنه لم</w:t>
      </w:r>
      <w:r w:rsidR="004A748F">
        <w:rPr>
          <w:rFonts w:hint="eastAsia"/>
          <w:spacing w:val="-2"/>
          <w:kern w:val="0"/>
          <w:sz w:val="20"/>
          <w:rtl/>
        </w:rPr>
        <w:t> </w:t>
      </w:r>
      <w:r w:rsidRPr="004A748F">
        <w:rPr>
          <w:rFonts w:hint="cs"/>
          <w:spacing w:val="-2"/>
          <w:kern w:val="0"/>
          <w:sz w:val="20"/>
          <w:rtl/>
        </w:rPr>
        <w:t xml:space="preserve">يعد لها أهل </w:t>
      </w:r>
      <w:r w:rsidRPr="004A748F">
        <w:rPr>
          <w:spacing w:val="-2"/>
          <w:kern w:val="0"/>
          <w:sz w:val="20"/>
          <w:rtl/>
        </w:rPr>
        <w:t>في جمهورية الكونغو الديمقراطية</w:t>
      </w:r>
      <w:r w:rsidRPr="004A748F">
        <w:rPr>
          <w:rFonts w:hint="cs"/>
          <w:spacing w:val="-2"/>
          <w:kern w:val="0"/>
          <w:sz w:val="20"/>
          <w:rtl/>
        </w:rPr>
        <w:t xml:space="preserve"> وأنها لن تتمكن أبداً من الاندماج هناك.</w:t>
      </w:r>
    </w:p>
    <w:p w:rsidR="00921F02" w:rsidRPr="003E698F" w:rsidRDefault="00921F02" w:rsidP="00921F02">
      <w:pPr>
        <w:pStyle w:val="H23GA"/>
        <w:spacing w:line="400" w:lineRule="exact"/>
        <w:jc w:val="lowKashida"/>
        <w:rPr>
          <w:spacing w:val="0"/>
          <w:kern w:val="0"/>
          <w:sz w:val="20"/>
          <w:rtl/>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 xml:space="preserve">المسائل والإجراءات </w:t>
      </w:r>
      <w:r w:rsidRPr="003E698F">
        <w:rPr>
          <w:rFonts w:hint="cs"/>
          <w:spacing w:val="0"/>
          <w:kern w:val="0"/>
          <w:sz w:val="20"/>
          <w:rtl/>
        </w:rPr>
        <w:t>المعروضة على</w:t>
      </w:r>
      <w:r w:rsidRPr="003E698F">
        <w:rPr>
          <w:spacing w:val="0"/>
          <w:kern w:val="0"/>
          <w:sz w:val="20"/>
          <w:rtl/>
        </w:rPr>
        <w:t xml:space="preserve"> اللجنة</w:t>
      </w:r>
    </w:p>
    <w:p w:rsidR="00921F02" w:rsidRPr="002C2A9D" w:rsidRDefault="00921F02" w:rsidP="003A2D39">
      <w:pPr>
        <w:pStyle w:val="SingleTxtGA"/>
        <w:spacing w:line="360" w:lineRule="exact"/>
        <w:jc w:val="lowKashida"/>
        <w:rPr>
          <w:spacing w:val="-2"/>
          <w:kern w:val="0"/>
          <w:sz w:val="20"/>
        </w:rPr>
      </w:pPr>
      <w:r w:rsidRPr="003E698F">
        <w:rPr>
          <w:rFonts w:hint="cs"/>
          <w:spacing w:val="0"/>
          <w:kern w:val="0"/>
          <w:sz w:val="20"/>
          <w:rtl/>
        </w:rPr>
        <w:t>9-1</w:t>
      </w:r>
      <w:r w:rsidRPr="003E698F">
        <w:rPr>
          <w:rFonts w:hint="cs"/>
          <w:spacing w:val="0"/>
          <w:kern w:val="0"/>
          <w:sz w:val="20"/>
          <w:rtl/>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لجنة مناهضة التعذيب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2C2A9D">
        <w:rPr>
          <w:spacing w:val="-2"/>
          <w:kern w:val="0"/>
          <w:sz w:val="20"/>
          <w:rtl/>
        </w:rPr>
        <w:t xml:space="preserve"> بموجب المادة 22 من الاتفاقية. وقد </w:t>
      </w:r>
      <w:r w:rsidRPr="002C2A9D">
        <w:rPr>
          <w:rFonts w:hint="cs"/>
          <w:spacing w:val="-2"/>
          <w:kern w:val="0"/>
          <w:sz w:val="20"/>
          <w:rtl/>
        </w:rPr>
        <w:t xml:space="preserve">تأكدت </w:t>
      </w:r>
      <w:r w:rsidRPr="002C2A9D">
        <w:rPr>
          <w:spacing w:val="-2"/>
          <w:kern w:val="0"/>
          <w:sz w:val="20"/>
          <w:rtl/>
        </w:rPr>
        <w:t xml:space="preserve">اللجنة، </w:t>
      </w:r>
      <w:r w:rsidRPr="002C2A9D">
        <w:rPr>
          <w:rFonts w:hint="cs"/>
          <w:spacing w:val="-2"/>
          <w:kern w:val="0"/>
          <w:sz w:val="20"/>
          <w:rtl/>
        </w:rPr>
        <w:t>وفقاً</w:t>
      </w:r>
      <w:r w:rsidR="002C2A9D">
        <w:rPr>
          <w:rFonts w:hint="eastAsia"/>
          <w:spacing w:val="-2"/>
          <w:kern w:val="0"/>
          <w:sz w:val="20"/>
          <w:rtl/>
        </w:rPr>
        <w:t> </w:t>
      </w:r>
      <w:r w:rsidRPr="002C2A9D">
        <w:rPr>
          <w:rFonts w:hint="cs"/>
          <w:spacing w:val="-2"/>
          <w:kern w:val="0"/>
          <w:sz w:val="20"/>
          <w:rtl/>
        </w:rPr>
        <w:t>ل</w:t>
      </w:r>
      <w:r w:rsidRPr="002C2A9D">
        <w:rPr>
          <w:spacing w:val="-2"/>
          <w:kern w:val="0"/>
          <w:sz w:val="20"/>
          <w:rtl/>
        </w:rPr>
        <w:t xml:space="preserve">ما تقتضيه الفقرة 5(أ) من المادة 2 من الاتفاقية، من أن </w:t>
      </w:r>
      <w:r w:rsidRPr="002C2A9D">
        <w:rPr>
          <w:rFonts w:hint="cs"/>
          <w:spacing w:val="-2"/>
          <w:kern w:val="0"/>
          <w:sz w:val="20"/>
          <w:rtl/>
        </w:rPr>
        <w:t>هذه</w:t>
      </w:r>
      <w:r w:rsidRPr="002C2A9D">
        <w:rPr>
          <w:spacing w:val="-2"/>
          <w:kern w:val="0"/>
          <w:sz w:val="20"/>
          <w:rtl/>
        </w:rPr>
        <w:t xml:space="preserve"> المسألة لم </w:t>
      </w:r>
      <w:r w:rsidRPr="002C2A9D">
        <w:rPr>
          <w:rFonts w:hint="cs"/>
          <w:spacing w:val="-2"/>
          <w:kern w:val="0"/>
          <w:sz w:val="20"/>
          <w:rtl/>
        </w:rPr>
        <w:t>تُبحث</w:t>
      </w:r>
      <w:r w:rsidRPr="002C2A9D">
        <w:rPr>
          <w:spacing w:val="-2"/>
          <w:kern w:val="0"/>
          <w:sz w:val="20"/>
          <w:rtl/>
        </w:rPr>
        <w:t xml:space="preserve"> ولا يجرى بحثها </w:t>
      </w:r>
      <w:r w:rsidRPr="002C2A9D">
        <w:rPr>
          <w:rFonts w:hint="cs"/>
          <w:spacing w:val="-2"/>
          <w:kern w:val="0"/>
          <w:sz w:val="20"/>
          <w:rtl/>
        </w:rPr>
        <w:t xml:space="preserve">في إطار </w:t>
      </w:r>
      <w:r w:rsidRPr="002C2A9D">
        <w:rPr>
          <w:spacing w:val="-2"/>
          <w:kern w:val="0"/>
          <w:sz w:val="20"/>
          <w:rtl/>
        </w:rPr>
        <w:t xml:space="preserve">أي إجراء </w:t>
      </w:r>
      <w:r w:rsidRPr="002C2A9D">
        <w:rPr>
          <w:rFonts w:hint="cs"/>
          <w:spacing w:val="-2"/>
          <w:kern w:val="0"/>
          <w:sz w:val="20"/>
          <w:rtl/>
        </w:rPr>
        <w:t xml:space="preserve">آخر </w:t>
      </w:r>
      <w:r w:rsidRPr="002C2A9D">
        <w:rPr>
          <w:spacing w:val="-2"/>
          <w:kern w:val="0"/>
          <w:sz w:val="20"/>
          <w:rtl/>
        </w:rPr>
        <w:t xml:space="preserve">من إجراءات التحقيق </w:t>
      </w:r>
      <w:r w:rsidRPr="002C2A9D">
        <w:rPr>
          <w:rFonts w:hint="cs"/>
          <w:spacing w:val="-2"/>
          <w:kern w:val="0"/>
          <w:sz w:val="20"/>
          <w:rtl/>
        </w:rPr>
        <w:t xml:space="preserve">الدولي </w:t>
      </w:r>
      <w:r w:rsidRPr="002C2A9D">
        <w:rPr>
          <w:spacing w:val="-2"/>
          <w:kern w:val="0"/>
          <w:sz w:val="20"/>
          <w:rtl/>
        </w:rPr>
        <w:t>أو التسوية الدولية</w:t>
      </w:r>
      <w:r w:rsidRPr="002C2A9D">
        <w:rPr>
          <w:rFonts w:hint="cs"/>
          <w:spacing w:val="-2"/>
          <w:kern w:val="0"/>
          <w:sz w:val="20"/>
          <w:rtl/>
        </w:rPr>
        <w:t>.</w:t>
      </w:r>
      <w:r w:rsidRPr="002C2A9D">
        <w:rPr>
          <w:spacing w:val="-2"/>
          <w:kern w:val="0"/>
          <w:sz w:val="20"/>
          <w:rtl/>
        </w:rPr>
        <w:t xml:space="preserve"> كما تلاحظ اللجنة أن سبل الانتصاف المحلية قد استُنفدت وأن الدولة الطرف لا تطعن في مقبولية الشكوى. </w:t>
      </w:r>
      <w:r w:rsidRPr="002C2A9D">
        <w:rPr>
          <w:rFonts w:hint="cs"/>
          <w:spacing w:val="-2"/>
          <w:kern w:val="0"/>
          <w:sz w:val="20"/>
          <w:rtl/>
        </w:rPr>
        <w:t xml:space="preserve">وبناء على </w:t>
      </w:r>
      <w:r w:rsidRPr="002C2A9D">
        <w:rPr>
          <w:spacing w:val="-2"/>
          <w:kern w:val="0"/>
          <w:sz w:val="20"/>
          <w:rtl/>
        </w:rPr>
        <w:t>ذلك، ترى اللجنة أن الشكوى مقبولة وتشرع في النظر في</w:t>
      </w:r>
      <w:r w:rsidRPr="002C2A9D">
        <w:rPr>
          <w:rFonts w:hint="cs"/>
          <w:spacing w:val="-2"/>
          <w:kern w:val="0"/>
          <w:sz w:val="20"/>
          <w:rtl/>
        </w:rPr>
        <w:t xml:space="preserve"> أسسها الموضوعية. </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9-2</w:t>
      </w:r>
      <w:r w:rsidRPr="003E698F">
        <w:rPr>
          <w:rFonts w:hint="cs"/>
          <w:spacing w:val="0"/>
          <w:kern w:val="0"/>
          <w:sz w:val="20"/>
          <w:rtl/>
        </w:rPr>
        <w:tab/>
        <w:t>تحيط اللجنة علما</w:t>
      </w:r>
      <w:r w:rsidR="002C2A9D">
        <w:rPr>
          <w:rFonts w:hint="cs"/>
          <w:spacing w:val="0"/>
          <w:kern w:val="0"/>
          <w:sz w:val="20"/>
          <w:rtl/>
        </w:rPr>
        <w:t>ً</w:t>
      </w:r>
      <w:r w:rsidRPr="003E698F">
        <w:rPr>
          <w:rFonts w:hint="cs"/>
          <w:spacing w:val="0"/>
          <w:kern w:val="0"/>
          <w:sz w:val="20"/>
          <w:rtl/>
        </w:rPr>
        <w:t xml:space="preserve"> بالمعلومات التي قدمتها الدولة الطرف فيما يتعلق بالجوانب الإجرائية في </w:t>
      </w:r>
      <w:r w:rsidRPr="003E698F">
        <w:rPr>
          <w:spacing w:val="0"/>
          <w:kern w:val="0"/>
          <w:sz w:val="20"/>
          <w:rtl/>
        </w:rPr>
        <w:t>قوانين</w:t>
      </w:r>
      <w:r w:rsidRPr="003E698F">
        <w:rPr>
          <w:rFonts w:hint="cs"/>
          <w:spacing w:val="0"/>
          <w:kern w:val="0"/>
          <w:sz w:val="20"/>
          <w:rtl/>
        </w:rPr>
        <w:t>ها</w:t>
      </w:r>
      <w:r w:rsidRPr="003E698F">
        <w:rPr>
          <w:spacing w:val="0"/>
          <w:kern w:val="0"/>
          <w:sz w:val="20"/>
          <w:rtl/>
        </w:rPr>
        <w:t xml:space="preserve"> وممارساتها </w:t>
      </w:r>
      <w:r w:rsidRPr="003E698F">
        <w:rPr>
          <w:rFonts w:hint="cs"/>
          <w:spacing w:val="0"/>
          <w:kern w:val="0"/>
          <w:sz w:val="20"/>
          <w:rtl/>
        </w:rPr>
        <w:t>العملية</w:t>
      </w:r>
      <w:r w:rsidRPr="003E698F">
        <w:rPr>
          <w:spacing w:val="0"/>
          <w:kern w:val="0"/>
          <w:sz w:val="20"/>
          <w:rtl/>
        </w:rPr>
        <w:t xml:space="preserve">، </w:t>
      </w:r>
      <w:r w:rsidRPr="003E698F">
        <w:rPr>
          <w:rFonts w:hint="cs"/>
          <w:spacing w:val="0"/>
          <w:kern w:val="0"/>
          <w:sz w:val="20"/>
          <w:rtl/>
        </w:rPr>
        <w:t>و</w:t>
      </w:r>
      <w:r w:rsidRPr="003E698F">
        <w:rPr>
          <w:spacing w:val="0"/>
          <w:kern w:val="0"/>
          <w:sz w:val="20"/>
          <w:rtl/>
        </w:rPr>
        <w:t>لا</w:t>
      </w:r>
      <w:r w:rsidRPr="003E698F">
        <w:rPr>
          <w:rFonts w:hint="eastAsia"/>
          <w:spacing w:val="0"/>
          <w:kern w:val="0"/>
          <w:sz w:val="20"/>
          <w:rtl/>
        </w:rPr>
        <w:t> </w:t>
      </w:r>
      <w:r w:rsidRPr="003E698F">
        <w:rPr>
          <w:spacing w:val="0"/>
          <w:kern w:val="0"/>
          <w:sz w:val="20"/>
          <w:rtl/>
        </w:rPr>
        <w:t xml:space="preserve">سيما </w:t>
      </w:r>
      <w:r w:rsidRPr="003E698F">
        <w:rPr>
          <w:rFonts w:hint="cs"/>
          <w:spacing w:val="0"/>
          <w:kern w:val="0"/>
          <w:sz w:val="20"/>
          <w:rtl/>
        </w:rPr>
        <w:t>مسألة دفع ا</w:t>
      </w:r>
      <w:r w:rsidRPr="003E698F">
        <w:rPr>
          <w:spacing w:val="0"/>
          <w:kern w:val="0"/>
          <w:sz w:val="20"/>
          <w:rtl/>
        </w:rPr>
        <w:t>لرسوم</w:t>
      </w:r>
      <w:r w:rsidRPr="003E698F">
        <w:rPr>
          <w:rFonts w:hint="cs"/>
          <w:spacing w:val="0"/>
          <w:kern w:val="0"/>
          <w:sz w:val="20"/>
          <w:rtl/>
        </w:rPr>
        <w:t xml:space="preserve"> مسبقاً</w:t>
      </w:r>
      <w:r w:rsidRPr="003E698F">
        <w:rPr>
          <w:spacing w:val="0"/>
          <w:kern w:val="0"/>
          <w:sz w:val="20"/>
          <w:rtl/>
        </w:rPr>
        <w:t xml:space="preserve"> و</w:t>
      </w:r>
      <w:r w:rsidRPr="003E698F">
        <w:rPr>
          <w:rFonts w:hint="cs"/>
          <w:spacing w:val="0"/>
          <w:kern w:val="0"/>
          <w:sz w:val="20"/>
          <w:rtl/>
        </w:rPr>
        <w:t xml:space="preserve">الاستعانة بمحام لدى </w:t>
      </w:r>
      <w:r w:rsidRPr="003E698F">
        <w:rPr>
          <w:spacing w:val="0"/>
          <w:kern w:val="0"/>
          <w:sz w:val="20"/>
          <w:rtl/>
        </w:rPr>
        <w:t xml:space="preserve">الطعن </w:t>
      </w:r>
      <w:r w:rsidRPr="003E698F">
        <w:rPr>
          <w:rFonts w:hint="cs"/>
          <w:spacing w:val="0"/>
          <w:kern w:val="0"/>
          <w:sz w:val="20"/>
          <w:rtl/>
        </w:rPr>
        <w:t xml:space="preserve">في القرارات ذات الصلة بطلب </w:t>
      </w:r>
      <w:r w:rsidRPr="003E698F">
        <w:rPr>
          <w:spacing w:val="0"/>
          <w:kern w:val="0"/>
          <w:sz w:val="20"/>
          <w:rtl/>
        </w:rPr>
        <w:t xml:space="preserve">اللجوء. </w:t>
      </w:r>
      <w:r w:rsidRPr="003E698F">
        <w:rPr>
          <w:rFonts w:hint="cs"/>
          <w:spacing w:val="0"/>
          <w:kern w:val="0"/>
          <w:sz w:val="20"/>
          <w:rtl/>
        </w:rPr>
        <w:t>وتلاحظ اللجنة أن محامياً مثَّل صاحبة الشكوى في</w:t>
      </w:r>
      <w:r w:rsidRPr="003E698F">
        <w:rPr>
          <w:spacing w:val="0"/>
          <w:kern w:val="0"/>
          <w:sz w:val="20"/>
          <w:rtl/>
        </w:rPr>
        <w:t xml:space="preserve"> جزء من </w:t>
      </w:r>
      <w:r w:rsidRPr="003E698F">
        <w:rPr>
          <w:rFonts w:hint="cs"/>
          <w:spacing w:val="0"/>
          <w:kern w:val="0"/>
          <w:sz w:val="20"/>
          <w:rtl/>
        </w:rPr>
        <w:t>الإجراءات</w:t>
      </w:r>
      <w:r w:rsidRPr="003E698F">
        <w:rPr>
          <w:spacing w:val="0"/>
          <w:kern w:val="0"/>
          <w:sz w:val="20"/>
          <w:rtl/>
        </w:rPr>
        <w:t>، وأنه</w:t>
      </w:r>
      <w:r w:rsidRPr="003E698F">
        <w:rPr>
          <w:rFonts w:hint="cs"/>
          <w:spacing w:val="0"/>
          <w:kern w:val="0"/>
          <w:sz w:val="20"/>
          <w:rtl/>
        </w:rPr>
        <w:t>ا لم تلتمس أبداً الحصول على المساعدة القضائية والاستعانة بمحام</w:t>
      </w:r>
      <w:r w:rsidRPr="003E698F">
        <w:rPr>
          <w:spacing w:val="0"/>
          <w:kern w:val="0"/>
          <w:sz w:val="20"/>
          <w:rtl/>
        </w:rPr>
        <w:t xml:space="preserve">. </w:t>
      </w:r>
      <w:r w:rsidRPr="003E698F">
        <w:rPr>
          <w:rFonts w:hint="cs"/>
          <w:spacing w:val="0"/>
          <w:kern w:val="0"/>
          <w:sz w:val="20"/>
          <w:rtl/>
        </w:rPr>
        <w:t>و</w:t>
      </w:r>
      <w:r w:rsidRPr="003E698F">
        <w:rPr>
          <w:spacing w:val="0"/>
          <w:kern w:val="0"/>
          <w:sz w:val="20"/>
          <w:rtl/>
        </w:rPr>
        <w:t xml:space="preserve">فيما </w:t>
      </w:r>
      <w:r w:rsidRPr="003E698F">
        <w:rPr>
          <w:rFonts w:hint="cs"/>
          <w:spacing w:val="0"/>
          <w:kern w:val="0"/>
          <w:sz w:val="20"/>
          <w:rtl/>
        </w:rPr>
        <w:t>يتعلق بدفع ال</w:t>
      </w:r>
      <w:r w:rsidRPr="003E698F">
        <w:rPr>
          <w:spacing w:val="0"/>
          <w:kern w:val="0"/>
          <w:sz w:val="20"/>
          <w:rtl/>
        </w:rPr>
        <w:t xml:space="preserve">رسوم </w:t>
      </w:r>
      <w:r w:rsidRPr="003E698F">
        <w:rPr>
          <w:rFonts w:hint="cs"/>
          <w:spacing w:val="0"/>
          <w:kern w:val="0"/>
          <w:sz w:val="20"/>
          <w:rtl/>
        </w:rPr>
        <w:t>الإجرائية مقدماً</w:t>
      </w:r>
      <w:r w:rsidRPr="003E698F">
        <w:rPr>
          <w:spacing w:val="0"/>
          <w:kern w:val="0"/>
          <w:sz w:val="20"/>
          <w:rtl/>
        </w:rPr>
        <w:t>، تلاحظ اللجنة أن</w:t>
      </w:r>
      <w:r w:rsidRPr="003E698F">
        <w:rPr>
          <w:rFonts w:hint="cs"/>
          <w:spacing w:val="0"/>
          <w:kern w:val="0"/>
          <w:sz w:val="20"/>
          <w:rtl/>
        </w:rPr>
        <w:t xml:space="preserve"> </w:t>
      </w:r>
      <w:r w:rsidRPr="003E698F">
        <w:rPr>
          <w:spacing w:val="0"/>
          <w:kern w:val="0"/>
          <w:sz w:val="20"/>
          <w:rtl/>
        </w:rPr>
        <w:t>اللجنة الحكومية المعنية بالطعون في قضايا اللجوء</w:t>
      </w:r>
      <w:r w:rsidRPr="003E698F">
        <w:rPr>
          <w:rFonts w:hint="cs"/>
          <w:spacing w:val="0"/>
          <w:kern w:val="0"/>
          <w:sz w:val="20"/>
          <w:rtl/>
        </w:rPr>
        <w:t xml:space="preserve"> </w:t>
      </w:r>
      <w:r w:rsidRPr="003E698F">
        <w:rPr>
          <w:spacing w:val="0"/>
          <w:kern w:val="0"/>
          <w:sz w:val="20"/>
          <w:rtl/>
        </w:rPr>
        <w:t xml:space="preserve">أعلنت </w:t>
      </w:r>
      <w:r w:rsidRPr="003E698F">
        <w:rPr>
          <w:rFonts w:hint="cs"/>
          <w:spacing w:val="0"/>
          <w:kern w:val="0"/>
          <w:sz w:val="20"/>
          <w:rtl/>
        </w:rPr>
        <w:t xml:space="preserve">في 14 تشرين الثاني/نوفمبر 2002، عدم قبول الطعن الذي تقدمت به صاحبة الشكوى </w:t>
      </w:r>
      <w:r w:rsidRPr="003E698F">
        <w:rPr>
          <w:spacing w:val="0"/>
          <w:kern w:val="0"/>
          <w:sz w:val="20"/>
          <w:rtl/>
        </w:rPr>
        <w:t>ل</w:t>
      </w:r>
      <w:r w:rsidRPr="003E698F">
        <w:rPr>
          <w:rFonts w:hint="cs"/>
          <w:spacing w:val="0"/>
          <w:kern w:val="0"/>
          <w:sz w:val="20"/>
          <w:rtl/>
        </w:rPr>
        <w:t>أنها لم تسدد هذه ال</w:t>
      </w:r>
      <w:r w:rsidRPr="003E698F">
        <w:rPr>
          <w:spacing w:val="0"/>
          <w:kern w:val="0"/>
          <w:sz w:val="20"/>
          <w:rtl/>
        </w:rPr>
        <w:t>رسوم</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وتمكنت صاحبة الشكوى عن طريق المحامي الذي كان يُمثِّلها، من الطعن في هذا القرار أمام المحكمة الإدارية الاتحادية في 16 </w:t>
      </w:r>
      <w:r w:rsidRPr="003E698F">
        <w:rPr>
          <w:spacing w:val="0"/>
          <w:kern w:val="0"/>
          <w:sz w:val="20"/>
          <w:rtl/>
        </w:rPr>
        <w:t>كانون الثاني</w:t>
      </w:r>
      <w:r w:rsidRPr="003E698F">
        <w:rPr>
          <w:rFonts w:hint="cs"/>
          <w:spacing w:val="0"/>
          <w:kern w:val="0"/>
          <w:sz w:val="20"/>
          <w:rtl/>
        </w:rPr>
        <w:t>/يناير</w:t>
      </w:r>
      <w:r w:rsidRPr="003E698F">
        <w:rPr>
          <w:spacing w:val="0"/>
          <w:kern w:val="0"/>
          <w:sz w:val="20"/>
          <w:rtl/>
        </w:rPr>
        <w:t xml:space="preserve"> 2003. </w:t>
      </w:r>
      <w:r w:rsidRPr="003E698F">
        <w:rPr>
          <w:rFonts w:hint="cs"/>
          <w:spacing w:val="0"/>
          <w:kern w:val="0"/>
          <w:sz w:val="20"/>
          <w:rtl/>
        </w:rPr>
        <w:t>و</w:t>
      </w:r>
      <w:r w:rsidRPr="003E698F">
        <w:rPr>
          <w:spacing w:val="0"/>
          <w:kern w:val="0"/>
          <w:sz w:val="20"/>
          <w:rtl/>
        </w:rPr>
        <w:t xml:space="preserve">تلاحظ اللجنة أن </w:t>
      </w:r>
      <w:r w:rsidRPr="003E698F">
        <w:rPr>
          <w:rFonts w:hint="cs"/>
          <w:spacing w:val="0"/>
          <w:kern w:val="0"/>
          <w:sz w:val="20"/>
          <w:rtl/>
        </w:rPr>
        <w:t xml:space="preserve">صاحبة الشكوى </w:t>
      </w:r>
      <w:r w:rsidRPr="003E698F">
        <w:rPr>
          <w:spacing w:val="0"/>
          <w:kern w:val="0"/>
          <w:sz w:val="20"/>
          <w:rtl/>
        </w:rPr>
        <w:t xml:space="preserve">لم </w:t>
      </w:r>
      <w:r w:rsidRPr="003E698F">
        <w:rPr>
          <w:rFonts w:hint="cs"/>
          <w:spacing w:val="0"/>
          <w:kern w:val="0"/>
          <w:sz w:val="20"/>
          <w:rtl/>
        </w:rPr>
        <w:t xml:space="preserve">تتظلم بشأن إجراءات الطعن </w:t>
      </w:r>
      <w:r w:rsidRPr="003E698F">
        <w:rPr>
          <w:spacing w:val="0"/>
          <w:kern w:val="0"/>
          <w:sz w:val="20"/>
          <w:rtl/>
        </w:rPr>
        <w:t>أمام مختلف هيئات الدولة الطرف، ول</w:t>
      </w:r>
      <w:r w:rsidRPr="003E698F">
        <w:rPr>
          <w:rFonts w:hint="cs"/>
          <w:spacing w:val="0"/>
          <w:kern w:val="0"/>
          <w:sz w:val="20"/>
          <w:rtl/>
        </w:rPr>
        <w:t xml:space="preserve">ا يظهر من </w:t>
      </w:r>
      <w:r w:rsidRPr="003E698F">
        <w:rPr>
          <w:spacing w:val="0"/>
          <w:kern w:val="0"/>
          <w:sz w:val="20"/>
          <w:rtl/>
        </w:rPr>
        <w:t>الملف أنه</w:t>
      </w:r>
      <w:r w:rsidRPr="003E698F">
        <w:rPr>
          <w:rFonts w:hint="cs"/>
          <w:spacing w:val="0"/>
          <w:kern w:val="0"/>
          <w:sz w:val="20"/>
          <w:rtl/>
        </w:rPr>
        <w:t>ا تضررت من</w:t>
      </w:r>
      <w:r w:rsidRPr="003E698F">
        <w:rPr>
          <w:spacing w:val="0"/>
          <w:kern w:val="0"/>
          <w:sz w:val="20"/>
          <w:rtl/>
        </w:rPr>
        <w:t xml:space="preserve"> </w:t>
      </w:r>
      <w:r w:rsidRPr="003E698F">
        <w:rPr>
          <w:rFonts w:hint="cs"/>
          <w:spacing w:val="0"/>
          <w:kern w:val="0"/>
          <w:sz w:val="20"/>
          <w:rtl/>
        </w:rPr>
        <w:t xml:space="preserve">عدم تعيين محام يمثلها </w:t>
      </w:r>
      <w:r w:rsidRPr="003E698F">
        <w:rPr>
          <w:spacing w:val="0"/>
          <w:kern w:val="0"/>
          <w:sz w:val="20"/>
          <w:rtl/>
        </w:rPr>
        <w:t xml:space="preserve">أو </w:t>
      </w:r>
      <w:r w:rsidRPr="003E698F">
        <w:rPr>
          <w:rFonts w:hint="cs"/>
          <w:spacing w:val="0"/>
          <w:kern w:val="0"/>
          <w:sz w:val="20"/>
          <w:rtl/>
        </w:rPr>
        <w:t xml:space="preserve">من </w:t>
      </w:r>
      <w:r w:rsidRPr="003E698F">
        <w:rPr>
          <w:spacing w:val="0"/>
          <w:kern w:val="0"/>
          <w:sz w:val="20"/>
          <w:rtl/>
        </w:rPr>
        <w:t xml:space="preserve">رفض </w:t>
      </w:r>
      <w:r w:rsidRPr="003E698F">
        <w:rPr>
          <w:rFonts w:hint="cs"/>
          <w:spacing w:val="0"/>
          <w:kern w:val="0"/>
          <w:sz w:val="20"/>
          <w:rtl/>
        </w:rPr>
        <w:t xml:space="preserve">منحها </w:t>
      </w:r>
      <w:r w:rsidRPr="003E698F">
        <w:rPr>
          <w:spacing w:val="0"/>
          <w:kern w:val="0"/>
          <w:sz w:val="20"/>
          <w:rtl/>
        </w:rPr>
        <w:t>المساعدة القضائية</w:t>
      </w:r>
      <w:r w:rsidRPr="003E698F">
        <w:rPr>
          <w:rFonts w:hint="cs"/>
          <w:spacing w:val="0"/>
          <w:kern w:val="0"/>
          <w:sz w:val="20"/>
          <w:rtl/>
        </w:rPr>
        <w:t>.</w:t>
      </w:r>
    </w:p>
    <w:p w:rsidR="00921F02" w:rsidRPr="003E698F" w:rsidRDefault="00921F02" w:rsidP="00921F02">
      <w:pPr>
        <w:pStyle w:val="SingleTxtGA"/>
        <w:jc w:val="lowKashida"/>
        <w:rPr>
          <w:spacing w:val="0"/>
          <w:kern w:val="0"/>
          <w:sz w:val="20"/>
        </w:rPr>
      </w:pPr>
      <w:r w:rsidRPr="003E698F">
        <w:rPr>
          <w:rFonts w:hint="cs"/>
          <w:spacing w:val="0"/>
          <w:kern w:val="0"/>
          <w:sz w:val="20"/>
          <w:rtl/>
        </w:rPr>
        <w:t>9-3</w:t>
      </w:r>
      <w:r w:rsidRPr="003E698F">
        <w:rPr>
          <w:rFonts w:hint="cs"/>
          <w:spacing w:val="0"/>
          <w:kern w:val="0"/>
          <w:sz w:val="20"/>
          <w:rtl/>
        </w:rPr>
        <w:tab/>
        <w:t xml:space="preserve">وتتمثل المسألة المعروضة على </w:t>
      </w:r>
      <w:r w:rsidRPr="003E698F">
        <w:rPr>
          <w:spacing w:val="0"/>
          <w:kern w:val="0"/>
          <w:sz w:val="20"/>
          <w:rtl/>
        </w:rPr>
        <w:t xml:space="preserve">اللجنة </w:t>
      </w:r>
      <w:r w:rsidRPr="003E698F">
        <w:rPr>
          <w:rFonts w:hint="cs"/>
          <w:spacing w:val="0"/>
          <w:kern w:val="0"/>
          <w:sz w:val="20"/>
          <w:rtl/>
        </w:rPr>
        <w:t>في</w:t>
      </w:r>
      <w:r w:rsidRPr="003E698F">
        <w:rPr>
          <w:spacing w:val="0"/>
          <w:kern w:val="0"/>
          <w:sz w:val="20"/>
          <w:rtl/>
        </w:rPr>
        <w:t>ما إذا كان ترحيل صاحب</w:t>
      </w:r>
      <w:r w:rsidRPr="003E698F">
        <w:rPr>
          <w:rFonts w:hint="cs"/>
          <w:spacing w:val="0"/>
          <w:kern w:val="0"/>
          <w:sz w:val="20"/>
          <w:rtl/>
        </w:rPr>
        <w:t>ة</w:t>
      </w:r>
      <w:r w:rsidRPr="003E698F">
        <w:rPr>
          <w:spacing w:val="0"/>
          <w:kern w:val="0"/>
          <w:sz w:val="20"/>
          <w:rtl/>
        </w:rPr>
        <w:t xml:space="preserve"> الشكوى إلى </w:t>
      </w:r>
      <w:r w:rsidRPr="003E698F">
        <w:rPr>
          <w:rFonts w:hint="cs"/>
          <w:spacing w:val="0"/>
          <w:kern w:val="0"/>
          <w:sz w:val="20"/>
          <w:rtl/>
        </w:rPr>
        <w:t>جمهورية الكونغو الديمقراطية</w:t>
      </w:r>
      <w:r w:rsidRPr="003E698F">
        <w:rPr>
          <w:spacing w:val="0"/>
          <w:kern w:val="0"/>
          <w:sz w:val="20"/>
          <w:rtl/>
        </w:rPr>
        <w:t xml:space="preserve"> يشكل انتهاكاً لالتزام الدولة الطرف بموجب المادة 3 من الاتفاقية بعدم طرد شخص أو إعادته إلى دولة أخرى إذا كانت هناك أسباب </w:t>
      </w:r>
      <w:r w:rsidRPr="003E698F">
        <w:rPr>
          <w:rFonts w:hint="cs"/>
          <w:spacing w:val="0"/>
          <w:kern w:val="0"/>
          <w:sz w:val="20"/>
          <w:rtl/>
        </w:rPr>
        <w:t>حقيقية</w:t>
      </w:r>
      <w:r w:rsidRPr="003E698F">
        <w:rPr>
          <w:spacing w:val="0"/>
          <w:kern w:val="0"/>
          <w:sz w:val="20"/>
          <w:rtl/>
        </w:rPr>
        <w:t xml:space="preserve"> تدعو إلى اعتقاد </w:t>
      </w:r>
      <w:r w:rsidRPr="003E698F">
        <w:rPr>
          <w:rFonts w:hint="cs"/>
          <w:spacing w:val="0"/>
          <w:kern w:val="0"/>
          <w:sz w:val="20"/>
          <w:rtl/>
        </w:rPr>
        <w:t>ب</w:t>
      </w:r>
      <w:r w:rsidRPr="003E698F">
        <w:rPr>
          <w:spacing w:val="0"/>
          <w:kern w:val="0"/>
          <w:sz w:val="20"/>
          <w:rtl/>
        </w:rPr>
        <w:t xml:space="preserve">أنه </w:t>
      </w:r>
      <w:r w:rsidRPr="003E698F">
        <w:rPr>
          <w:rFonts w:hint="cs"/>
          <w:spacing w:val="0"/>
          <w:kern w:val="0"/>
          <w:sz w:val="20"/>
          <w:rtl/>
        </w:rPr>
        <w:t>سيتعرض ل</w:t>
      </w:r>
      <w:r w:rsidRPr="003E698F">
        <w:rPr>
          <w:spacing w:val="0"/>
          <w:kern w:val="0"/>
          <w:sz w:val="20"/>
          <w:rtl/>
        </w:rPr>
        <w:t>خطر التعذيب</w:t>
      </w:r>
      <w:r w:rsidRPr="003E698F">
        <w:rPr>
          <w:rFonts w:hint="cs"/>
          <w:spacing w:val="0"/>
          <w:kern w:val="0"/>
          <w:sz w:val="20"/>
          <w:rtl/>
        </w:rPr>
        <w:t>.</w:t>
      </w:r>
    </w:p>
    <w:p w:rsidR="00921F02" w:rsidRPr="003E698F" w:rsidRDefault="00921F02" w:rsidP="009E31FC">
      <w:pPr>
        <w:pStyle w:val="SingleTxtGA"/>
        <w:jc w:val="lowKashida"/>
        <w:rPr>
          <w:spacing w:val="0"/>
          <w:kern w:val="0"/>
          <w:sz w:val="20"/>
          <w:rtl/>
        </w:rPr>
      </w:pPr>
      <w:r w:rsidRPr="003E698F">
        <w:rPr>
          <w:rFonts w:hint="cs"/>
          <w:spacing w:val="0"/>
          <w:kern w:val="0"/>
          <w:sz w:val="20"/>
          <w:rtl/>
        </w:rPr>
        <w:t>9-4</w:t>
      </w:r>
      <w:r w:rsidRPr="003E698F">
        <w:rPr>
          <w:rFonts w:hint="cs"/>
          <w:spacing w:val="0"/>
          <w:kern w:val="0"/>
          <w:sz w:val="20"/>
          <w:rtl/>
        </w:rPr>
        <w:tab/>
      </w:r>
      <w:r w:rsidRPr="003E698F">
        <w:rPr>
          <w:spacing w:val="0"/>
          <w:kern w:val="0"/>
          <w:sz w:val="20"/>
          <w:rtl/>
        </w:rPr>
        <w:t xml:space="preserve">ولتقييم ما إذا كانت هناك أسباب </w:t>
      </w:r>
      <w:r w:rsidRPr="003E698F">
        <w:rPr>
          <w:rFonts w:hint="cs"/>
          <w:spacing w:val="0"/>
          <w:kern w:val="0"/>
          <w:sz w:val="20"/>
          <w:rtl/>
        </w:rPr>
        <w:t xml:space="preserve">حقيقية </w:t>
      </w:r>
      <w:r w:rsidRPr="003E698F">
        <w:rPr>
          <w:spacing w:val="0"/>
          <w:kern w:val="0"/>
          <w:sz w:val="20"/>
          <w:rtl/>
        </w:rPr>
        <w:t xml:space="preserve">تدعو إلى اعتقاد </w:t>
      </w:r>
      <w:r w:rsidRPr="003E698F">
        <w:rPr>
          <w:rFonts w:hint="cs"/>
          <w:spacing w:val="0"/>
          <w:kern w:val="0"/>
          <w:sz w:val="20"/>
          <w:rtl/>
        </w:rPr>
        <w:t>ب</w:t>
      </w:r>
      <w:r w:rsidRPr="003E698F">
        <w:rPr>
          <w:spacing w:val="0"/>
          <w:kern w:val="0"/>
          <w:sz w:val="20"/>
          <w:rtl/>
        </w:rPr>
        <w:t>أن صاحب</w:t>
      </w:r>
      <w:r w:rsidRPr="003E698F">
        <w:rPr>
          <w:rFonts w:hint="cs"/>
          <w:spacing w:val="0"/>
          <w:kern w:val="0"/>
          <w:sz w:val="20"/>
          <w:rtl/>
        </w:rPr>
        <w:t>ة</w:t>
      </w:r>
      <w:r w:rsidRPr="003E698F">
        <w:rPr>
          <w:spacing w:val="0"/>
          <w:kern w:val="0"/>
          <w:sz w:val="20"/>
          <w:rtl/>
        </w:rPr>
        <w:t xml:space="preserve"> الشكوى قد </w:t>
      </w:r>
      <w:r w:rsidRPr="003E698F">
        <w:rPr>
          <w:rFonts w:hint="cs"/>
          <w:spacing w:val="0"/>
          <w:kern w:val="0"/>
          <w:sz w:val="20"/>
          <w:rtl/>
        </w:rPr>
        <w:t>تتعرض ل</w:t>
      </w:r>
      <w:r w:rsidRPr="003E698F">
        <w:rPr>
          <w:spacing w:val="0"/>
          <w:kern w:val="0"/>
          <w:sz w:val="20"/>
          <w:rtl/>
        </w:rPr>
        <w:t xml:space="preserve">خطر </w:t>
      </w:r>
      <w:r w:rsidRPr="003E698F">
        <w:rPr>
          <w:rFonts w:hint="cs"/>
          <w:spacing w:val="0"/>
          <w:kern w:val="0"/>
          <w:sz w:val="20"/>
          <w:rtl/>
        </w:rPr>
        <w:t>ا</w:t>
      </w:r>
      <w:r w:rsidRPr="003E698F">
        <w:rPr>
          <w:spacing w:val="0"/>
          <w:kern w:val="0"/>
          <w:sz w:val="20"/>
          <w:rtl/>
        </w:rPr>
        <w:t xml:space="preserve">لتعذيب إذا </w:t>
      </w:r>
      <w:r w:rsidRPr="003E698F">
        <w:rPr>
          <w:rFonts w:hint="cs"/>
          <w:spacing w:val="0"/>
          <w:kern w:val="0"/>
          <w:sz w:val="20"/>
          <w:rtl/>
        </w:rPr>
        <w:t>رُحِّلت</w:t>
      </w:r>
      <w:r w:rsidRPr="003E698F">
        <w:rPr>
          <w:spacing w:val="0"/>
          <w:kern w:val="0"/>
          <w:sz w:val="20"/>
          <w:rtl/>
        </w:rPr>
        <w:t xml:space="preserve"> إلى جمهورية الكونغو الديمقراطية، يجب </w:t>
      </w:r>
      <w:r w:rsidRPr="003E698F">
        <w:rPr>
          <w:rFonts w:hint="cs"/>
          <w:spacing w:val="0"/>
          <w:kern w:val="0"/>
          <w:sz w:val="20"/>
          <w:rtl/>
        </w:rPr>
        <w:t xml:space="preserve">على اللجنة </w:t>
      </w:r>
      <w:r w:rsidRPr="003E698F">
        <w:rPr>
          <w:spacing w:val="0"/>
          <w:kern w:val="0"/>
          <w:sz w:val="20"/>
          <w:rtl/>
        </w:rPr>
        <w:t xml:space="preserve">أن تأخذ في حسبانها جميع الاعتبارات ذات الصلة، بما في ذلك </w:t>
      </w:r>
      <w:r w:rsidRPr="003E698F">
        <w:rPr>
          <w:rFonts w:hint="cs"/>
          <w:spacing w:val="0"/>
          <w:kern w:val="0"/>
          <w:sz w:val="20"/>
          <w:rtl/>
        </w:rPr>
        <w:t xml:space="preserve">مدى </w:t>
      </w:r>
      <w:r w:rsidRPr="003E698F">
        <w:rPr>
          <w:spacing w:val="0"/>
          <w:kern w:val="0"/>
          <w:sz w:val="20"/>
          <w:rtl/>
        </w:rPr>
        <w:t xml:space="preserve">وجود نمط ثابت </w:t>
      </w:r>
      <w:r w:rsidRPr="003E698F">
        <w:rPr>
          <w:rFonts w:hint="cs"/>
          <w:spacing w:val="0"/>
          <w:kern w:val="0"/>
          <w:sz w:val="20"/>
          <w:rtl/>
        </w:rPr>
        <w:t>من ا</w:t>
      </w:r>
      <w:r w:rsidRPr="003E698F">
        <w:rPr>
          <w:spacing w:val="0"/>
          <w:kern w:val="0"/>
          <w:sz w:val="20"/>
          <w:rtl/>
        </w:rPr>
        <w:t xml:space="preserve">لانتهاكات </w:t>
      </w:r>
      <w:r w:rsidRPr="003E698F">
        <w:rPr>
          <w:rFonts w:hint="cs"/>
          <w:spacing w:val="0"/>
          <w:kern w:val="0"/>
          <w:sz w:val="20"/>
          <w:rtl/>
        </w:rPr>
        <w:t>ال</w:t>
      </w:r>
      <w:r w:rsidRPr="003E698F">
        <w:rPr>
          <w:spacing w:val="0"/>
          <w:kern w:val="0"/>
          <w:sz w:val="20"/>
          <w:rtl/>
        </w:rPr>
        <w:t xml:space="preserve">جسيمة أو </w:t>
      </w:r>
      <w:r w:rsidRPr="003E698F">
        <w:rPr>
          <w:rFonts w:hint="cs"/>
          <w:spacing w:val="0"/>
          <w:kern w:val="0"/>
          <w:sz w:val="20"/>
          <w:rtl/>
        </w:rPr>
        <w:t>ال</w:t>
      </w:r>
      <w:r w:rsidRPr="003E698F">
        <w:rPr>
          <w:spacing w:val="0"/>
          <w:kern w:val="0"/>
          <w:sz w:val="20"/>
          <w:rtl/>
        </w:rPr>
        <w:t xml:space="preserve">صارخة أو </w:t>
      </w:r>
      <w:r w:rsidRPr="003E698F">
        <w:rPr>
          <w:rFonts w:hint="cs"/>
          <w:spacing w:val="0"/>
          <w:kern w:val="0"/>
          <w:sz w:val="20"/>
          <w:rtl/>
        </w:rPr>
        <w:t>ال</w:t>
      </w:r>
      <w:r w:rsidRPr="003E698F">
        <w:rPr>
          <w:spacing w:val="0"/>
          <w:kern w:val="0"/>
          <w:sz w:val="20"/>
          <w:rtl/>
        </w:rPr>
        <w:t>جماعية لحقوق الإنسان</w:t>
      </w:r>
      <w:r w:rsidRPr="003E698F">
        <w:rPr>
          <w:rFonts w:hint="cs"/>
          <w:spacing w:val="0"/>
          <w:kern w:val="0"/>
          <w:sz w:val="20"/>
          <w:rtl/>
        </w:rPr>
        <w:t>.</w:t>
      </w:r>
      <w:r w:rsidRPr="003E698F">
        <w:rPr>
          <w:spacing w:val="0"/>
          <w:kern w:val="0"/>
          <w:sz w:val="20"/>
          <w:rtl/>
        </w:rPr>
        <w:t xml:space="preserve"> غير أن الهدف من هذا التحليل </w:t>
      </w:r>
      <w:r w:rsidRPr="003E698F">
        <w:rPr>
          <w:rFonts w:hint="cs"/>
          <w:spacing w:val="0"/>
          <w:kern w:val="0"/>
          <w:sz w:val="20"/>
          <w:rtl/>
        </w:rPr>
        <w:t>يتمثل</w:t>
      </w:r>
      <w:r w:rsidRPr="003E698F">
        <w:rPr>
          <w:spacing w:val="0"/>
          <w:kern w:val="0"/>
          <w:sz w:val="20"/>
          <w:rtl/>
        </w:rPr>
        <w:t xml:space="preserve"> في تحديد </w:t>
      </w:r>
      <w:r w:rsidRPr="003E698F">
        <w:rPr>
          <w:rFonts w:hint="cs"/>
          <w:spacing w:val="0"/>
          <w:kern w:val="0"/>
          <w:sz w:val="20"/>
          <w:rtl/>
        </w:rPr>
        <w:t xml:space="preserve">ما </w:t>
      </w:r>
      <w:r w:rsidRPr="003E698F">
        <w:rPr>
          <w:spacing w:val="0"/>
          <w:kern w:val="0"/>
          <w:sz w:val="20"/>
          <w:rtl/>
        </w:rPr>
        <w:t>إ</w:t>
      </w:r>
      <w:r w:rsidRPr="003E698F">
        <w:rPr>
          <w:rFonts w:hint="cs"/>
          <w:spacing w:val="0"/>
          <w:kern w:val="0"/>
          <w:sz w:val="20"/>
          <w:rtl/>
        </w:rPr>
        <w:t>ذا</w:t>
      </w:r>
      <w:r w:rsidRPr="003E698F">
        <w:rPr>
          <w:spacing w:val="0"/>
          <w:kern w:val="0"/>
          <w:sz w:val="20"/>
          <w:rtl/>
        </w:rPr>
        <w:t xml:space="preserve"> كان</w:t>
      </w:r>
      <w:r w:rsidRPr="003E698F">
        <w:rPr>
          <w:rFonts w:hint="cs"/>
          <w:spacing w:val="0"/>
          <w:kern w:val="0"/>
          <w:sz w:val="20"/>
          <w:rtl/>
        </w:rPr>
        <w:t>ت</w:t>
      </w:r>
      <w:r w:rsidRPr="003E698F">
        <w:rPr>
          <w:spacing w:val="0"/>
          <w:kern w:val="0"/>
          <w:sz w:val="20"/>
          <w:rtl/>
        </w:rPr>
        <w:t xml:space="preserve"> صاحب</w:t>
      </w:r>
      <w:r w:rsidRPr="003E698F">
        <w:rPr>
          <w:rFonts w:hint="cs"/>
          <w:spacing w:val="0"/>
          <w:kern w:val="0"/>
          <w:sz w:val="20"/>
          <w:rtl/>
        </w:rPr>
        <w:t>ة</w:t>
      </w:r>
      <w:r w:rsidRPr="003E698F">
        <w:rPr>
          <w:spacing w:val="0"/>
          <w:kern w:val="0"/>
          <w:sz w:val="20"/>
          <w:rtl/>
        </w:rPr>
        <w:t xml:space="preserve"> الشكوى </w:t>
      </w:r>
      <w:r w:rsidRPr="003E698F">
        <w:rPr>
          <w:rFonts w:hint="cs"/>
          <w:spacing w:val="0"/>
          <w:kern w:val="0"/>
          <w:sz w:val="20"/>
          <w:rtl/>
        </w:rPr>
        <w:t>تواجه</w:t>
      </w:r>
      <w:r w:rsidRPr="003E698F">
        <w:rPr>
          <w:spacing w:val="0"/>
          <w:kern w:val="0"/>
          <w:sz w:val="20"/>
          <w:rtl/>
        </w:rPr>
        <w:t xml:space="preserve"> شخصياً خطر التعرض للتعذيب في البلد الذي س</w:t>
      </w:r>
      <w:r w:rsidRPr="003E698F">
        <w:rPr>
          <w:rFonts w:hint="cs"/>
          <w:spacing w:val="0"/>
          <w:kern w:val="0"/>
          <w:sz w:val="20"/>
          <w:rtl/>
        </w:rPr>
        <w:t>ت</w:t>
      </w:r>
      <w:r w:rsidRPr="003E698F">
        <w:rPr>
          <w:spacing w:val="0"/>
          <w:kern w:val="0"/>
          <w:sz w:val="20"/>
          <w:rtl/>
        </w:rPr>
        <w:t>ُ</w:t>
      </w:r>
      <w:r w:rsidRPr="003E698F">
        <w:rPr>
          <w:rFonts w:hint="cs"/>
          <w:spacing w:val="0"/>
          <w:kern w:val="0"/>
          <w:sz w:val="20"/>
          <w:rtl/>
        </w:rPr>
        <w:t xml:space="preserve">رحَّل </w:t>
      </w:r>
      <w:r w:rsidRPr="003E698F">
        <w:rPr>
          <w:spacing w:val="0"/>
          <w:kern w:val="0"/>
          <w:sz w:val="20"/>
          <w:rtl/>
        </w:rPr>
        <w:t xml:space="preserve">إليه. ويستتبـع ذلـك أن وجـود نمط ثابت من الانتهاكات الجسيمة أو الصارخة أو الجماعية لحقوق الإنسان في بلدٍ ما لا يُشكل بذاته سبباً كافياً </w:t>
      </w:r>
      <w:r w:rsidRPr="003E698F">
        <w:rPr>
          <w:rFonts w:hint="cs"/>
          <w:spacing w:val="0"/>
          <w:kern w:val="0"/>
          <w:sz w:val="20"/>
          <w:rtl/>
        </w:rPr>
        <w:t xml:space="preserve">للخلوص إلى </w:t>
      </w:r>
      <w:r w:rsidRPr="003E698F">
        <w:rPr>
          <w:spacing w:val="0"/>
          <w:kern w:val="0"/>
          <w:sz w:val="20"/>
          <w:rtl/>
        </w:rPr>
        <w:t xml:space="preserve">أن شخصاً بعيْنه قد يواجه خطر التعرض للتعذيب في حال إعادته إلى هذا البلد؛ إذ يجب تقديم أسباب إضافية تُبيّن أن الفرد المعنيّ </w:t>
      </w:r>
      <w:r w:rsidRPr="003E698F">
        <w:rPr>
          <w:rFonts w:hint="cs"/>
          <w:spacing w:val="0"/>
          <w:kern w:val="0"/>
          <w:sz w:val="20"/>
          <w:rtl/>
        </w:rPr>
        <w:t>سيتعرض</w:t>
      </w:r>
      <w:r w:rsidRPr="003E698F">
        <w:rPr>
          <w:spacing w:val="0"/>
          <w:kern w:val="0"/>
          <w:sz w:val="20"/>
          <w:rtl/>
        </w:rPr>
        <w:t xml:space="preserve"> شخصياًً للخطر</w:t>
      </w:r>
      <w:r w:rsidRPr="003E698F">
        <w:rPr>
          <w:rFonts w:hint="cs"/>
          <w:spacing w:val="0"/>
          <w:kern w:val="0"/>
          <w:sz w:val="20"/>
          <w:rtl/>
        </w:rPr>
        <w:t>.</w:t>
      </w:r>
      <w:r w:rsidRPr="003E698F">
        <w:rPr>
          <w:spacing w:val="0"/>
          <w:kern w:val="0"/>
          <w:sz w:val="20"/>
          <w:rtl/>
        </w:rPr>
        <w:t xml:space="preserve"> و</w:t>
      </w:r>
      <w:r w:rsidRPr="003E698F">
        <w:rPr>
          <w:rFonts w:hint="cs"/>
          <w:spacing w:val="0"/>
          <w:kern w:val="0"/>
          <w:sz w:val="20"/>
          <w:rtl/>
        </w:rPr>
        <w:t>على العكس من ذلك</w:t>
      </w:r>
      <w:r w:rsidRPr="003E698F">
        <w:rPr>
          <w:spacing w:val="0"/>
          <w:kern w:val="0"/>
          <w:sz w:val="20"/>
          <w:rtl/>
        </w:rPr>
        <w:t>، فإن عدم وجود نمط ثابت من الانتهاكات الجسيمة لحقوق الإنسان لا يعني أنه لا</w:t>
      </w:r>
      <w:r w:rsidR="009E31FC">
        <w:rPr>
          <w:rFonts w:hint="cs"/>
          <w:spacing w:val="0"/>
          <w:kern w:val="0"/>
          <w:sz w:val="20"/>
          <w:rtl/>
        </w:rPr>
        <w:t> </w:t>
      </w:r>
      <w:r w:rsidRPr="003E698F">
        <w:rPr>
          <w:spacing w:val="0"/>
          <w:kern w:val="0"/>
          <w:sz w:val="20"/>
          <w:rtl/>
        </w:rPr>
        <w:t>يجوز اعتبار شخص ما معرضاً للتعذيب في ظروف</w:t>
      </w:r>
      <w:r w:rsidRPr="003E698F">
        <w:rPr>
          <w:rFonts w:hint="cs"/>
          <w:spacing w:val="0"/>
          <w:kern w:val="0"/>
          <w:sz w:val="20"/>
          <w:rtl/>
        </w:rPr>
        <w:t xml:space="preserve">ه </w:t>
      </w:r>
      <w:r w:rsidRPr="003E698F">
        <w:rPr>
          <w:spacing w:val="0"/>
          <w:kern w:val="0"/>
          <w:sz w:val="20"/>
          <w:rtl/>
        </w:rPr>
        <w:t>الخاصة</w:t>
      </w:r>
      <w:r w:rsidRPr="003E698F">
        <w:rPr>
          <w:rFonts w:hint="cs"/>
          <w:spacing w:val="0"/>
          <w:kern w:val="0"/>
          <w:sz w:val="20"/>
          <w:rtl/>
        </w:rPr>
        <w:t xml:space="preserve"> تحديداً</w:t>
      </w:r>
      <w:r w:rsidRPr="003E698F">
        <w:rPr>
          <w:spacing w:val="0"/>
          <w:kern w:val="0"/>
          <w:sz w:val="20"/>
          <w:rtl/>
        </w:rPr>
        <w:t>.</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9-5</w:t>
      </w:r>
      <w:r w:rsidRPr="003E698F">
        <w:rPr>
          <w:rFonts w:hint="cs"/>
          <w:spacing w:val="0"/>
          <w:kern w:val="0"/>
          <w:sz w:val="20"/>
          <w:rtl/>
        </w:rPr>
        <w:tab/>
        <w:t xml:space="preserve">وتقر </w:t>
      </w:r>
      <w:r w:rsidRPr="003E698F">
        <w:rPr>
          <w:spacing w:val="0"/>
          <w:kern w:val="0"/>
          <w:sz w:val="20"/>
          <w:rtl/>
        </w:rPr>
        <w:t xml:space="preserve">اللجنة </w:t>
      </w:r>
      <w:r w:rsidRPr="003E698F">
        <w:rPr>
          <w:rFonts w:hint="cs"/>
          <w:spacing w:val="0"/>
          <w:kern w:val="0"/>
          <w:sz w:val="20"/>
          <w:rtl/>
        </w:rPr>
        <w:t xml:space="preserve">بتردي </w:t>
      </w:r>
      <w:r w:rsidRPr="003E698F">
        <w:rPr>
          <w:spacing w:val="0"/>
          <w:kern w:val="0"/>
          <w:sz w:val="20"/>
          <w:rtl/>
        </w:rPr>
        <w:t>حالة حقوق الإنسان</w:t>
      </w:r>
      <w:r w:rsidRPr="003E698F">
        <w:rPr>
          <w:rFonts w:hint="cs"/>
          <w:spacing w:val="0"/>
          <w:kern w:val="0"/>
          <w:sz w:val="20"/>
          <w:rtl/>
        </w:rPr>
        <w:t>، وبخاصة النساء،</w:t>
      </w:r>
      <w:r w:rsidRPr="003E698F">
        <w:rPr>
          <w:spacing w:val="0"/>
          <w:kern w:val="0"/>
          <w:sz w:val="20"/>
          <w:rtl/>
        </w:rPr>
        <w:t xml:space="preserve"> في جمهورية الكونغو الديمقراطية</w:t>
      </w:r>
      <w:r w:rsidRPr="003E698F">
        <w:rPr>
          <w:rFonts w:hint="cs"/>
          <w:spacing w:val="0"/>
          <w:kern w:val="0"/>
          <w:sz w:val="20"/>
          <w:szCs w:val="28"/>
          <w:vertAlign w:val="superscript"/>
          <w:rtl/>
        </w:rPr>
        <w:t>(</w:t>
      </w:r>
      <w:r w:rsidRPr="003E698F">
        <w:rPr>
          <w:rStyle w:val="FootnoteReference"/>
          <w:spacing w:val="0"/>
          <w:sz w:val="20"/>
          <w:rtl/>
        </w:rPr>
        <w:footnoteReference w:id="188"/>
      </w:r>
      <w:r w:rsidRPr="003E698F">
        <w:rPr>
          <w:rFonts w:hint="cs"/>
          <w:spacing w:val="0"/>
          <w:kern w:val="0"/>
          <w:sz w:val="20"/>
          <w:szCs w:val="28"/>
          <w:vertAlign w:val="superscript"/>
          <w:rtl/>
        </w:rPr>
        <w:t>)</w:t>
      </w:r>
      <w:r w:rsidRPr="003E698F">
        <w:rPr>
          <w:spacing w:val="0"/>
          <w:kern w:val="0"/>
          <w:sz w:val="20"/>
          <w:rtl/>
        </w:rPr>
        <w:t>، و</w:t>
      </w:r>
      <w:r w:rsidRPr="003E698F">
        <w:rPr>
          <w:rFonts w:hint="cs"/>
          <w:spacing w:val="0"/>
          <w:kern w:val="0"/>
          <w:sz w:val="20"/>
          <w:rtl/>
        </w:rPr>
        <w:t>ت</w:t>
      </w:r>
      <w:r w:rsidRPr="003E698F">
        <w:rPr>
          <w:spacing w:val="0"/>
          <w:kern w:val="0"/>
          <w:sz w:val="20"/>
          <w:rtl/>
        </w:rPr>
        <w:t>شير أيضا</w:t>
      </w:r>
      <w:r w:rsidRPr="003E698F">
        <w:rPr>
          <w:rFonts w:hint="cs"/>
          <w:spacing w:val="0"/>
          <w:kern w:val="0"/>
          <w:sz w:val="20"/>
          <w:rtl/>
        </w:rPr>
        <w:t>ً</w:t>
      </w:r>
      <w:r w:rsidRPr="003E698F">
        <w:rPr>
          <w:spacing w:val="0"/>
          <w:kern w:val="0"/>
          <w:sz w:val="20"/>
          <w:rtl/>
        </w:rPr>
        <w:t xml:space="preserve"> إلى </w:t>
      </w:r>
      <w:r w:rsidRPr="003E698F">
        <w:rPr>
          <w:rFonts w:hint="cs"/>
          <w:spacing w:val="0"/>
          <w:kern w:val="0"/>
          <w:sz w:val="20"/>
          <w:rtl/>
        </w:rPr>
        <w:t xml:space="preserve">قرارها السابق </w:t>
      </w:r>
      <w:r w:rsidRPr="003E698F">
        <w:rPr>
          <w:spacing w:val="0"/>
          <w:kern w:val="0"/>
          <w:sz w:val="20"/>
          <w:rtl/>
        </w:rPr>
        <w:t>في هذا الشأن</w:t>
      </w:r>
      <w:r w:rsidRPr="003E698F">
        <w:rPr>
          <w:rFonts w:hint="cs"/>
          <w:spacing w:val="0"/>
          <w:kern w:val="0"/>
          <w:sz w:val="20"/>
          <w:szCs w:val="28"/>
          <w:vertAlign w:val="superscript"/>
          <w:rtl/>
        </w:rPr>
        <w:t>(</w:t>
      </w:r>
      <w:r w:rsidRPr="003E698F">
        <w:rPr>
          <w:rStyle w:val="FootnoteReference"/>
          <w:spacing w:val="0"/>
          <w:sz w:val="20"/>
          <w:rtl/>
        </w:rPr>
        <w:footnoteReference w:id="189"/>
      </w:r>
      <w:r w:rsidRPr="003E698F">
        <w:rPr>
          <w:rFonts w:hint="cs"/>
          <w:spacing w:val="0"/>
          <w:kern w:val="0"/>
          <w:sz w:val="20"/>
          <w:szCs w:val="28"/>
          <w:vertAlign w:val="superscript"/>
          <w:rtl/>
        </w:rPr>
        <w:t>)</w:t>
      </w:r>
      <w:r w:rsidRPr="003E698F">
        <w:rPr>
          <w:spacing w:val="0"/>
          <w:kern w:val="0"/>
          <w:sz w:val="20"/>
          <w:rtl/>
        </w:rPr>
        <w:t xml:space="preserve">. وتلاحظ اللجنة </w:t>
      </w:r>
      <w:r w:rsidRPr="003E698F">
        <w:rPr>
          <w:rFonts w:hint="cs"/>
          <w:spacing w:val="0"/>
          <w:kern w:val="0"/>
          <w:sz w:val="20"/>
          <w:rtl/>
        </w:rPr>
        <w:t xml:space="preserve">أن </w:t>
      </w:r>
      <w:r w:rsidRPr="003E698F">
        <w:rPr>
          <w:spacing w:val="0"/>
          <w:kern w:val="0"/>
          <w:sz w:val="20"/>
          <w:rtl/>
        </w:rPr>
        <w:t xml:space="preserve">الدولة الطرف </w:t>
      </w:r>
      <w:r w:rsidRPr="003E698F">
        <w:rPr>
          <w:rFonts w:hint="cs"/>
          <w:spacing w:val="0"/>
          <w:kern w:val="0"/>
          <w:sz w:val="20"/>
          <w:rtl/>
        </w:rPr>
        <w:t>قد وضعت</w:t>
      </w:r>
      <w:r w:rsidRPr="003E698F">
        <w:rPr>
          <w:spacing w:val="0"/>
          <w:kern w:val="0"/>
          <w:sz w:val="20"/>
          <w:rtl/>
        </w:rPr>
        <w:t xml:space="preserve"> هذا </w:t>
      </w:r>
      <w:r w:rsidRPr="003E698F">
        <w:rPr>
          <w:rFonts w:hint="cs"/>
          <w:spacing w:val="0"/>
          <w:kern w:val="0"/>
          <w:sz w:val="20"/>
          <w:rtl/>
        </w:rPr>
        <w:t xml:space="preserve">العامل </w:t>
      </w:r>
      <w:r w:rsidRPr="003E698F">
        <w:rPr>
          <w:spacing w:val="0"/>
          <w:kern w:val="0"/>
          <w:sz w:val="20"/>
          <w:rtl/>
        </w:rPr>
        <w:t xml:space="preserve">في </w:t>
      </w:r>
      <w:r w:rsidRPr="003E698F">
        <w:rPr>
          <w:rFonts w:hint="cs"/>
          <w:spacing w:val="0"/>
          <w:kern w:val="0"/>
          <w:sz w:val="20"/>
          <w:rtl/>
        </w:rPr>
        <w:t>ال</w:t>
      </w:r>
      <w:r w:rsidRPr="003E698F">
        <w:rPr>
          <w:spacing w:val="0"/>
          <w:kern w:val="0"/>
          <w:sz w:val="20"/>
          <w:rtl/>
        </w:rPr>
        <w:t xml:space="preserve">اعتبار </w:t>
      </w:r>
      <w:r w:rsidRPr="003E698F">
        <w:rPr>
          <w:rFonts w:hint="cs"/>
          <w:spacing w:val="0"/>
          <w:kern w:val="0"/>
          <w:sz w:val="20"/>
          <w:rtl/>
        </w:rPr>
        <w:t>لدى</w:t>
      </w:r>
      <w:r w:rsidRPr="003E698F">
        <w:rPr>
          <w:spacing w:val="0"/>
          <w:kern w:val="0"/>
          <w:sz w:val="20"/>
          <w:rtl/>
        </w:rPr>
        <w:t xml:space="preserve"> تقييم </w:t>
      </w:r>
      <w:r w:rsidRPr="003E698F">
        <w:rPr>
          <w:rFonts w:hint="cs"/>
          <w:spacing w:val="0"/>
          <w:kern w:val="0"/>
          <w:sz w:val="20"/>
          <w:rtl/>
        </w:rPr>
        <w:t>الخطر الذي يمكن أن تتعرض له صاحبة الشكوى</w:t>
      </w:r>
      <w:r w:rsidRPr="003E698F">
        <w:rPr>
          <w:spacing w:val="0"/>
          <w:kern w:val="0"/>
          <w:sz w:val="20"/>
          <w:rtl/>
        </w:rPr>
        <w:t xml:space="preserve"> إذا</w:t>
      </w:r>
      <w:r w:rsidRPr="003E698F">
        <w:rPr>
          <w:rFonts w:hint="cs"/>
          <w:spacing w:val="0"/>
          <w:kern w:val="0"/>
          <w:sz w:val="20"/>
          <w:rtl/>
        </w:rPr>
        <w:t xml:space="preserve"> رُحِّلت</w:t>
      </w:r>
      <w:r w:rsidRPr="003E698F">
        <w:rPr>
          <w:spacing w:val="0"/>
          <w:kern w:val="0"/>
          <w:sz w:val="20"/>
          <w:rtl/>
        </w:rPr>
        <w:t xml:space="preserve"> إلى بلده</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و</w:t>
      </w:r>
      <w:r w:rsidRPr="003E698F">
        <w:rPr>
          <w:spacing w:val="0"/>
          <w:kern w:val="0"/>
          <w:sz w:val="20"/>
          <w:rtl/>
        </w:rPr>
        <w:t xml:space="preserve">علاوة على ذلك </w:t>
      </w:r>
      <w:r w:rsidRPr="003E698F">
        <w:rPr>
          <w:rFonts w:hint="cs"/>
          <w:spacing w:val="0"/>
          <w:kern w:val="0"/>
          <w:sz w:val="20"/>
          <w:rtl/>
        </w:rPr>
        <w:t>ترى اللجنة</w:t>
      </w:r>
      <w:r w:rsidRPr="003E698F">
        <w:rPr>
          <w:spacing w:val="0"/>
          <w:kern w:val="0"/>
          <w:sz w:val="20"/>
          <w:rtl/>
        </w:rPr>
        <w:t>،</w:t>
      </w:r>
      <w:r w:rsidRPr="003E698F">
        <w:rPr>
          <w:rFonts w:hint="cs"/>
          <w:spacing w:val="0"/>
          <w:kern w:val="0"/>
          <w:sz w:val="20"/>
          <w:rtl/>
        </w:rPr>
        <w:t xml:space="preserve"> </w:t>
      </w:r>
      <w:r w:rsidRPr="003E698F">
        <w:rPr>
          <w:spacing w:val="0"/>
          <w:kern w:val="0"/>
          <w:sz w:val="20"/>
          <w:rtl/>
        </w:rPr>
        <w:t>استنادا</w:t>
      </w:r>
      <w:r w:rsidRPr="003E698F">
        <w:rPr>
          <w:rFonts w:hint="cs"/>
          <w:spacing w:val="0"/>
          <w:kern w:val="0"/>
          <w:sz w:val="20"/>
          <w:rtl/>
        </w:rPr>
        <w:t>ً</w:t>
      </w:r>
      <w:r w:rsidRPr="003E698F">
        <w:rPr>
          <w:spacing w:val="0"/>
          <w:kern w:val="0"/>
          <w:sz w:val="20"/>
          <w:rtl/>
        </w:rPr>
        <w:t xml:space="preserve"> إلى </w:t>
      </w:r>
      <w:r w:rsidRPr="003E698F">
        <w:rPr>
          <w:rFonts w:hint="cs"/>
          <w:spacing w:val="0"/>
          <w:kern w:val="0"/>
          <w:sz w:val="20"/>
          <w:rtl/>
        </w:rPr>
        <w:t>ال</w:t>
      </w:r>
      <w:r w:rsidRPr="003E698F">
        <w:rPr>
          <w:spacing w:val="0"/>
          <w:kern w:val="0"/>
          <w:sz w:val="20"/>
          <w:rtl/>
        </w:rPr>
        <w:t xml:space="preserve">معلومات </w:t>
      </w:r>
      <w:r w:rsidRPr="003E698F">
        <w:rPr>
          <w:rFonts w:hint="cs"/>
          <w:spacing w:val="0"/>
          <w:kern w:val="0"/>
          <w:sz w:val="20"/>
          <w:rtl/>
        </w:rPr>
        <w:t xml:space="preserve">المتعلقة بالوضع السائد </w:t>
      </w:r>
      <w:r w:rsidRPr="003E698F">
        <w:rPr>
          <w:spacing w:val="0"/>
          <w:kern w:val="0"/>
          <w:sz w:val="20"/>
          <w:rtl/>
        </w:rPr>
        <w:t>في كينشاسا</w:t>
      </w:r>
      <w:r w:rsidRPr="003E698F">
        <w:rPr>
          <w:rFonts w:hint="cs"/>
          <w:spacing w:val="0"/>
          <w:kern w:val="0"/>
          <w:sz w:val="20"/>
          <w:szCs w:val="28"/>
          <w:vertAlign w:val="superscript"/>
          <w:rtl/>
        </w:rPr>
        <w:t>(</w:t>
      </w:r>
      <w:r w:rsidRPr="003E698F">
        <w:rPr>
          <w:rStyle w:val="FootnoteReference"/>
          <w:spacing w:val="0"/>
          <w:sz w:val="20"/>
          <w:rtl/>
        </w:rPr>
        <w:footnoteReference w:id="190"/>
      </w:r>
      <w:r w:rsidRPr="003E698F">
        <w:rPr>
          <w:rFonts w:hint="cs"/>
          <w:spacing w:val="0"/>
          <w:kern w:val="0"/>
          <w:sz w:val="20"/>
          <w:szCs w:val="28"/>
          <w:vertAlign w:val="superscript"/>
          <w:rtl/>
        </w:rPr>
        <w:t>)</w:t>
      </w:r>
      <w:r w:rsidRPr="003E698F">
        <w:rPr>
          <w:rFonts w:hint="cs"/>
          <w:spacing w:val="0"/>
          <w:kern w:val="0"/>
          <w:sz w:val="20"/>
          <w:rtl/>
        </w:rPr>
        <w:t xml:space="preserve"> التي ستُرحل إليها صاحبة الشكوى، أن</w:t>
      </w:r>
      <w:r w:rsidRPr="003E698F">
        <w:rPr>
          <w:spacing w:val="0"/>
          <w:kern w:val="0"/>
          <w:sz w:val="20"/>
          <w:rtl/>
        </w:rPr>
        <w:t xml:space="preserve"> </w:t>
      </w:r>
      <w:r w:rsidRPr="003E698F">
        <w:rPr>
          <w:rFonts w:hint="cs"/>
          <w:spacing w:val="0"/>
          <w:kern w:val="0"/>
          <w:sz w:val="20"/>
          <w:rtl/>
        </w:rPr>
        <w:t>ذلك الوضع ليس بالخطورة التي تحول دون ترحيلها</w:t>
      </w:r>
      <w:r w:rsidRPr="003E698F">
        <w:rPr>
          <w:spacing w:val="0"/>
          <w:kern w:val="0"/>
          <w:sz w:val="20"/>
          <w:rtl/>
        </w:rPr>
        <w:t xml:space="preserve">. </w:t>
      </w:r>
      <w:r w:rsidRPr="003E698F">
        <w:rPr>
          <w:rFonts w:hint="cs"/>
          <w:spacing w:val="0"/>
          <w:kern w:val="0"/>
          <w:sz w:val="20"/>
          <w:rtl/>
        </w:rPr>
        <w:t>و</w:t>
      </w:r>
      <w:r w:rsidRPr="003E698F">
        <w:rPr>
          <w:spacing w:val="0"/>
          <w:kern w:val="0"/>
          <w:sz w:val="20"/>
          <w:rtl/>
        </w:rPr>
        <w:t xml:space="preserve">تشرع اللجنة </w:t>
      </w:r>
      <w:r w:rsidRPr="003E698F">
        <w:rPr>
          <w:rFonts w:hint="cs"/>
          <w:spacing w:val="0"/>
          <w:kern w:val="0"/>
          <w:sz w:val="20"/>
          <w:rtl/>
        </w:rPr>
        <w:t xml:space="preserve">بالتالي في تحليل الخطر الشخصي المحدق بصاحبة الشكوى </w:t>
      </w:r>
      <w:r w:rsidRPr="003E698F">
        <w:rPr>
          <w:spacing w:val="0"/>
          <w:kern w:val="0"/>
          <w:sz w:val="20"/>
          <w:rtl/>
        </w:rPr>
        <w:t>وفقا</w:t>
      </w:r>
      <w:r w:rsidRPr="003E698F">
        <w:rPr>
          <w:rFonts w:hint="cs"/>
          <w:spacing w:val="0"/>
          <w:kern w:val="0"/>
          <w:sz w:val="20"/>
          <w:rtl/>
        </w:rPr>
        <w:t>ً</w:t>
      </w:r>
      <w:r w:rsidRPr="003E698F">
        <w:rPr>
          <w:spacing w:val="0"/>
          <w:kern w:val="0"/>
          <w:sz w:val="20"/>
          <w:rtl/>
        </w:rPr>
        <w:t xml:space="preserve"> للمادة 3</w:t>
      </w:r>
      <w:r w:rsidRPr="003E698F">
        <w:rPr>
          <w:spacing w:val="0"/>
          <w:kern w:val="0"/>
          <w:sz w:val="20"/>
        </w:rPr>
        <w:t xml:space="preserve"> </w:t>
      </w:r>
      <w:r w:rsidRPr="003E698F">
        <w:rPr>
          <w:spacing w:val="0"/>
          <w:kern w:val="0"/>
          <w:sz w:val="20"/>
          <w:rtl/>
        </w:rPr>
        <w:t>من الاتفاقية</w:t>
      </w:r>
      <w:r w:rsidRPr="003E698F">
        <w:rPr>
          <w:rFonts w:hint="cs"/>
          <w:spacing w:val="0"/>
          <w:kern w:val="0"/>
          <w:sz w:val="20"/>
          <w:rtl/>
        </w:rPr>
        <w:t>.</w:t>
      </w:r>
    </w:p>
    <w:p w:rsidR="00921F02" w:rsidRPr="003E698F" w:rsidRDefault="00921F02" w:rsidP="009E31FC">
      <w:pPr>
        <w:pStyle w:val="SingleTxtGA"/>
        <w:jc w:val="lowKashida"/>
        <w:rPr>
          <w:spacing w:val="0"/>
          <w:kern w:val="0"/>
          <w:sz w:val="20"/>
        </w:rPr>
      </w:pPr>
      <w:r w:rsidRPr="003E698F">
        <w:rPr>
          <w:spacing w:val="0"/>
          <w:kern w:val="0"/>
          <w:sz w:val="20"/>
          <w:rtl/>
        </w:rPr>
        <w:t>9-6</w:t>
      </w:r>
      <w:r w:rsidRPr="003E698F">
        <w:rPr>
          <w:rFonts w:hint="cs"/>
          <w:spacing w:val="0"/>
          <w:kern w:val="0"/>
          <w:sz w:val="20"/>
          <w:rtl/>
        </w:rPr>
        <w:tab/>
      </w:r>
      <w:r w:rsidRPr="003E698F">
        <w:rPr>
          <w:spacing w:val="0"/>
          <w:kern w:val="0"/>
          <w:sz w:val="20"/>
          <w:rtl/>
          <w:lang/>
        </w:rPr>
        <w:t xml:space="preserve">تذكّر اللجنة بتعليقها العام بشأن </w:t>
      </w:r>
      <w:r w:rsidRPr="003E698F">
        <w:rPr>
          <w:rFonts w:hint="cs"/>
          <w:spacing w:val="0"/>
          <w:kern w:val="0"/>
          <w:sz w:val="20"/>
          <w:rtl/>
          <w:lang/>
        </w:rPr>
        <w:t xml:space="preserve">تنفيذ </w:t>
      </w:r>
      <w:r w:rsidRPr="003E698F">
        <w:rPr>
          <w:spacing w:val="0"/>
          <w:kern w:val="0"/>
          <w:sz w:val="20"/>
          <w:rtl/>
          <w:lang/>
        </w:rPr>
        <w:t>المادة 3</w:t>
      </w:r>
      <w:r w:rsidRPr="003E698F">
        <w:rPr>
          <w:rFonts w:hint="cs"/>
          <w:spacing w:val="0"/>
          <w:kern w:val="0"/>
          <w:sz w:val="20"/>
          <w:rtl/>
          <w:lang/>
        </w:rPr>
        <w:t xml:space="preserve"> من الاتفاقية الذي جاء فيه </w:t>
      </w:r>
      <w:r w:rsidRPr="003E698F">
        <w:rPr>
          <w:spacing w:val="0"/>
          <w:kern w:val="0"/>
          <w:sz w:val="20"/>
          <w:rtl/>
          <w:lang/>
        </w:rPr>
        <w:t>أن</w:t>
      </w:r>
      <w:r w:rsidRPr="003E698F">
        <w:rPr>
          <w:rFonts w:hint="cs"/>
          <w:spacing w:val="0"/>
          <w:kern w:val="0"/>
          <w:sz w:val="20"/>
          <w:rtl/>
          <w:lang/>
        </w:rPr>
        <w:t>ه</w:t>
      </w:r>
      <w:r w:rsidRPr="003E698F">
        <w:rPr>
          <w:spacing w:val="0"/>
          <w:kern w:val="0"/>
          <w:sz w:val="20"/>
          <w:rtl/>
          <w:lang/>
        </w:rPr>
        <w:t xml:space="preserve"> " يجب أن يقدر خطر التعذيب على أسس تتجاوز مجرد الافتراض أو الشك</w:t>
      </w:r>
      <w:r w:rsidRPr="003E698F">
        <w:rPr>
          <w:rFonts w:hint="cs"/>
          <w:spacing w:val="0"/>
          <w:kern w:val="0"/>
          <w:sz w:val="20"/>
          <w:rtl/>
          <w:lang/>
        </w:rPr>
        <w:t>.</w:t>
      </w:r>
      <w:r w:rsidRPr="003E698F">
        <w:rPr>
          <w:spacing w:val="0"/>
          <w:kern w:val="0"/>
          <w:sz w:val="20"/>
          <w:rtl/>
          <w:lang/>
        </w:rPr>
        <w:t xml:space="preserve"> </w:t>
      </w:r>
      <w:r w:rsidRPr="003E698F">
        <w:rPr>
          <w:rFonts w:hint="cs"/>
          <w:spacing w:val="0"/>
          <w:kern w:val="0"/>
          <w:sz w:val="20"/>
          <w:rtl/>
          <w:lang/>
        </w:rPr>
        <w:t xml:space="preserve">غير </w:t>
      </w:r>
      <w:r w:rsidRPr="003E698F">
        <w:rPr>
          <w:spacing w:val="0"/>
          <w:kern w:val="0"/>
          <w:sz w:val="20"/>
          <w:rtl/>
          <w:lang/>
        </w:rPr>
        <w:t xml:space="preserve">أنه لا يتحتم أن </w:t>
      </w:r>
      <w:r w:rsidRPr="003E698F">
        <w:rPr>
          <w:rFonts w:hint="cs"/>
          <w:spacing w:val="0"/>
          <w:kern w:val="0"/>
          <w:sz w:val="20"/>
          <w:rtl/>
          <w:lang/>
        </w:rPr>
        <w:t>يكون</w:t>
      </w:r>
      <w:r w:rsidRPr="003E698F">
        <w:rPr>
          <w:spacing w:val="0"/>
          <w:kern w:val="0"/>
          <w:sz w:val="20"/>
          <w:rtl/>
          <w:lang/>
        </w:rPr>
        <w:t xml:space="preserve"> هذا الخطر </w:t>
      </w:r>
      <w:r w:rsidRPr="003E698F">
        <w:rPr>
          <w:rFonts w:hint="cs"/>
          <w:spacing w:val="0"/>
          <w:kern w:val="0"/>
          <w:sz w:val="20"/>
          <w:rtl/>
          <w:lang/>
        </w:rPr>
        <w:t>موافقاً لاختبار مدى</w:t>
      </w:r>
      <w:r w:rsidRPr="003E698F">
        <w:rPr>
          <w:spacing w:val="0"/>
          <w:kern w:val="0"/>
          <w:sz w:val="20"/>
          <w:rtl/>
          <w:lang/>
        </w:rPr>
        <w:t xml:space="preserve"> احتمال وقوعه</w:t>
      </w:r>
      <w:r w:rsidRPr="003E698F">
        <w:rPr>
          <w:rFonts w:hint="cs"/>
          <w:spacing w:val="0"/>
          <w:kern w:val="0"/>
          <w:sz w:val="20"/>
          <w:rtl/>
          <w:lang/>
        </w:rPr>
        <w:t>"</w:t>
      </w:r>
      <w:r w:rsidRPr="003E698F">
        <w:rPr>
          <w:rFonts w:hint="cs"/>
          <w:spacing w:val="0"/>
          <w:kern w:val="0"/>
          <w:sz w:val="20"/>
          <w:szCs w:val="28"/>
          <w:vertAlign w:val="superscript"/>
          <w:rtl/>
          <w:lang/>
        </w:rPr>
        <w:t>(</w:t>
      </w:r>
      <w:r w:rsidRPr="003E698F">
        <w:rPr>
          <w:rStyle w:val="FootnoteReference"/>
          <w:spacing w:val="0"/>
          <w:sz w:val="20"/>
          <w:rtl/>
        </w:rPr>
        <w:footnoteReference w:id="191"/>
      </w:r>
      <w:r w:rsidRPr="003E698F">
        <w:rPr>
          <w:rFonts w:hint="cs"/>
          <w:spacing w:val="0"/>
          <w:kern w:val="0"/>
          <w:sz w:val="20"/>
          <w:szCs w:val="28"/>
          <w:vertAlign w:val="superscript"/>
          <w:rtl/>
        </w:rPr>
        <w:t>)</w:t>
      </w:r>
      <w:r w:rsidRPr="003E698F">
        <w:rPr>
          <w:rFonts w:hint="cs"/>
          <w:spacing w:val="0"/>
          <w:kern w:val="0"/>
          <w:sz w:val="20"/>
          <w:rtl/>
        </w:rPr>
        <w:t>.</w:t>
      </w:r>
      <w:r w:rsidRPr="003E698F">
        <w:rPr>
          <w:spacing w:val="0"/>
          <w:kern w:val="0"/>
          <w:sz w:val="20"/>
          <w:rtl/>
        </w:rPr>
        <w:t xml:space="preserve"> وتقول صاحبة الشكوى </w:t>
      </w:r>
      <w:r w:rsidRPr="003E698F">
        <w:rPr>
          <w:rFonts w:hint="cs"/>
          <w:spacing w:val="0"/>
          <w:kern w:val="0"/>
          <w:sz w:val="20"/>
          <w:rtl/>
        </w:rPr>
        <w:t>إ</w:t>
      </w:r>
      <w:r w:rsidRPr="003E698F">
        <w:rPr>
          <w:spacing w:val="0"/>
          <w:kern w:val="0"/>
          <w:sz w:val="20"/>
          <w:rtl/>
        </w:rPr>
        <w:t>ن</w:t>
      </w:r>
      <w:r w:rsidRPr="003E698F">
        <w:rPr>
          <w:rFonts w:hint="cs"/>
          <w:spacing w:val="0"/>
          <w:kern w:val="0"/>
          <w:sz w:val="20"/>
          <w:rtl/>
        </w:rPr>
        <w:t xml:space="preserve"> هناك </w:t>
      </w:r>
      <w:r w:rsidRPr="003E698F">
        <w:rPr>
          <w:spacing w:val="0"/>
          <w:kern w:val="0"/>
          <w:sz w:val="20"/>
          <w:rtl/>
        </w:rPr>
        <w:t>خطر</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 xml:space="preserve">شخصياً وحقيقياً </w:t>
      </w:r>
      <w:r w:rsidRPr="003E698F">
        <w:rPr>
          <w:spacing w:val="0"/>
          <w:kern w:val="0"/>
          <w:sz w:val="20"/>
          <w:rtl/>
        </w:rPr>
        <w:t>بتعرض</w:t>
      </w:r>
      <w:r w:rsidRPr="003E698F">
        <w:rPr>
          <w:rFonts w:hint="cs"/>
          <w:spacing w:val="0"/>
          <w:kern w:val="0"/>
          <w:sz w:val="20"/>
          <w:rtl/>
        </w:rPr>
        <w:t>ها</w:t>
      </w:r>
      <w:r w:rsidRPr="003E698F">
        <w:rPr>
          <w:spacing w:val="0"/>
          <w:kern w:val="0"/>
          <w:sz w:val="20"/>
          <w:rtl/>
        </w:rPr>
        <w:t xml:space="preserve"> للتعذيب في جمهورية الكونغو</w:t>
      </w:r>
      <w:r w:rsidRPr="003E698F">
        <w:rPr>
          <w:rFonts w:hint="cs"/>
          <w:spacing w:val="0"/>
          <w:kern w:val="0"/>
          <w:sz w:val="20"/>
          <w:rtl/>
        </w:rPr>
        <w:t xml:space="preserve"> </w:t>
      </w:r>
      <w:r w:rsidRPr="003E698F">
        <w:rPr>
          <w:spacing w:val="0"/>
          <w:kern w:val="0"/>
          <w:sz w:val="20"/>
          <w:rtl/>
        </w:rPr>
        <w:t xml:space="preserve">الديمقراطية </w:t>
      </w:r>
      <w:r w:rsidRPr="003E698F">
        <w:rPr>
          <w:rFonts w:hint="cs"/>
          <w:spacing w:val="0"/>
          <w:kern w:val="0"/>
          <w:sz w:val="20"/>
          <w:rtl/>
        </w:rPr>
        <w:t>بسبب نشرها</w:t>
      </w:r>
      <w:r w:rsidRPr="003E698F">
        <w:rPr>
          <w:spacing w:val="0"/>
          <w:kern w:val="0"/>
          <w:sz w:val="20"/>
          <w:rtl/>
        </w:rPr>
        <w:t xml:space="preserve"> رسالة سياسية ضد النظام </w:t>
      </w:r>
      <w:r w:rsidRPr="003E698F">
        <w:rPr>
          <w:rFonts w:hint="cs"/>
          <w:spacing w:val="0"/>
          <w:kern w:val="0"/>
          <w:sz w:val="20"/>
          <w:rtl/>
        </w:rPr>
        <w:t xml:space="preserve">الحاكم </w:t>
      </w:r>
      <w:r w:rsidRPr="003E698F">
        <w:rPr>
          <w:spacing w:val="0"/>
          <w:kern w:val="0"/>
          <w:sz w:val="20"/>
          <w:rtl/>
        </w:rPr>
        <w:t>في الحي الذي تقطنه،</w:t>
      </w:r>
      <w:r w:rsidRPr="003E698F">
        <w:rPr>
          <w:rFonts w:hint="cs"/>
          <w:spacing w:val="0"/>
          <w:kern w:val="0"/>
          <w:sz w:val="20"/>
          <w:rtl/>
        </w:rPr>
        <w:t xml:space="preserve"> </w:t>
      </w:r>
      <w:r w:rsidRPr="003E698F">
        <w:rPr>
          <w:spacing w:val="0"/>
          <w:kern w:val="0"/>
          <w:sz w:val="20"/>
          <w:rtl/>
        </w:rPr>
        <w:t>بناء على طلب خطيبها، و</w:t>
      </w:r>
      <w:r w:rsidRPr="003E698F">
        <w:rPr>
          <w:rFonts w:hint="cs"/>
          <w:spacing w:val="0"/>
          <w:kern w:val="0"/>
          <w:sz w:val="20"/>
          <w:rtl/>
        </w:rPr>
        <w:t>هو ما</w:t>
      </w:r>
      <w:r w:rsidR="009E31FC">
        <w:rPr>
          <w:rFonts w:hint="eastAsia"/>
          <w:spacing w:val="0"/>
          <w:kern w:val="0"/>
          <w:sz w:val="20"/>
          <w:rtl/>
        </w:rPr>
        <w:t> </w:t>
      </w:r>
      <w:r w:rsidRPr="003E698F">
        <w:rPr>
          <w:rFonts w:hint="cs"/>
          <w:spacing w:val="0"/>
          <w:kern w:val="0"/>
          <w:sz w:val="20"/>
          <w:rtl/>
        </w:rPr>
        <w:t>عرضها لته</w:t>
      </w:r>
      <w:r w:rsidRPr="003E698F">
        <w:rPr>
          <w:spacing w:val="0"/>
          <w:kern w:val="0"/>
          <w:sz w:val="20"/>
          <w:rtl/>
        </w:rPr>
        <w:t>د</w:t>
      </w:r>
      <w:r w:rsidRPr="003E698F">
        <w:rPr>
          <w:rFonts w:hint="cs"/>
          <w:spacing w:val="0"/>
          <w:kern w:val="0"/>
          <w:sz w:val="20"/>
          <w:rtl/>
        </w:rPr>
        <w:t>ي</w:t>
      </w:r>
      <w:r w:rsidRPr="003E698F">
        <w:rPr>
          <w:spacing w:val="0"/>
          <w:kern w:val="0"/>
          <w:sz w:val="20"/>
          <w:rtl/>
        </w:rPr>
        <w:t>دا</w:t>
      </w:r>
      <w:r w:rsidRPr="003E698F">
        <w:rPr>
          <w:rFonts w:hint="cs"/>
          <w:spacing w:val="0"/>
          <w:kern w:val="0"/>
          <w:sz w:val="20"/>
          <w:rtl/>
        </w:rPr>
        <w:t>ت</w:t>
      </w:r>
      <w:r w:rsidRPr="003E698F">
        <w:rPr>
          <w:spacing w:val="0"/>
          <w:kern w:val="0"/>
          <w:sz w:val="20"/>
          <w:rtl/>
        </w:rPr>
        <w:t xml:space="preserve"> أجهزة الأمن في جمهورية الكونغو الديمقراطية </w:t>
      </w:r>
      <w:r w:rsidRPr="003E698F">
        <w:rPr>
          <w:rFonts w:hint="cs"/>
          <w:spacing w:val="0"/>
          <w:kern w:val="0"/>
          <w:sz w:val="20"/>
          <w:rtl/>
        </w:rPr>
        <w:t xml:space="preserve">التي ما زالت تبحث عنها منذ أن غادرت منزل أسرتها ثم البلد في </w:t>
      </w:r>
      <w:r w:rsidRPr="003E698F">
        <w:rPr>
          <w:spacing w:val="0"/>
          <w:kern w:val="0"/>
          <w:sz w:val="20"/>
          <w:rtl/>
        </w:rPr>
        <w:t>عام 2001. وتلاحظ اللجنة أن الدولة الطرف طعن</w:t>
      </w:r>
      <w:r w:rsidRPr="003E698F">
        <w:rPr>
          <w:rFonts w:hint="cs"/>
          <w:spacing w:val="0"/>
          <w:kern w:val="0"/>
          <w:sz w:val="20"/>
          <w:rtl/>
        </w:rPr>
        <w:t>ت</w:t>
      </w:r>
      <w:r w:rsidRPr="003E698F">
        <w:rPr>
          <w:spacing w:val="0"/>
          <w:kern w:val="0"/>
          <w:sz w:val="20"/>
          <w:rtl/>
        </w:rPr>
        <w:t xml:space="preserve"> في مصداقية ادعاءات </w:t>
      </w:r>
      <w:r w:rsidRPr="003E698F">
        <w:rPr>
          <w:rFonts w:hint="cs"/>
          <w:spacing w:val="0"/>
          <w:kern w:val="0"/>
          <w:sz w:val="20"/>
          <w:rtl/>
        </w:rPr>
        <w:t>صاحبة الشكوى</w:t>
      </w:r>
      <w:r w:rsidRPr="003E698F">
        <w:rPr>
          <w:spacing w:val="0"/>
          <w:kern w:val="0"/>
          <w:sz w:val="20"/>
          <w:rtl/>
        </w:rPr>
        <w:t xml:space="preserve">، بما في ذلك </w:t>
      </w:r>
      <w:r w:rsidRPr="003E698F">
        <w:rPr>
          <w:rFonts w:hint="cs"/>
          <w:spacing w:val="0"/>
          <w:kern w:val="0"/>
          <w:sz w:val="20"/>
          <w:rtl/>
        </w:rPr>
        <w:t>ما قالته عن نشرها رسالةً سياسية وردتها من خطيبها</w:t>
      </w:r>
      <w:r w:rsidRPr="003E698F">
        <w:rPr>
          <w:spacing w:val="0"/>
          <w:kern w:val="0"/>
          <w:sz w:val="20"/>
          <w:rtl/>
        </w:rPr>
        <w:t>. و</w:t>
      </w:r>
      <w:r w:rsidRPr="003E698F">
        <w:rPr>
          <w:rFonts w:hint="cs"/>
          <w:spacing w:val="0"/>
          <w:kern w:val="0"/>
          <w:sz w:val="20"/>
          <w:rtl/>
        </w:rPr>
        <w:t xml:space="preserve">اعتبرت ما قالته صاحبة الشكوى عن الجهود التي سخَّرها </w:t>
      </w:r>
      <w:r w:rsidRPr="003E698F">
        <w:rPr>
          <w:spacing w:val="0"/>
          <w:kern w:val="0"/>
          <w:sz w:val="20"/>
          <w:rtl/>
        </w:rPr>
        <w:t>المتمرد</w:t>
      </w:r>
      <w:r w:rsidRPr="003E698F">
        <w:rPr>
          <w:rFonts w:hint="cs"/>
          <w:spacing w:val="0"/>
          <w:kern w:val="0"/>
          <w:sz w:val="20"/>
          <w:rtl/>
        </w:rPr>
        <w:t>و</w:t>
      </w:r>
      <w:r w:rsidRPr="003E698F">
        <w:rPr>
          <w:spacing w:val="0"/>
          <w:kern w:val="0"/>
          <w:sz w:val="20"/>
          <w:rtl/>
        </w:rPr>
        <w:t xml:space="preserve">ن لنشر </w:t>
      </w:r>
      <w:r w:rsidRPr="003E698F">
        <w:rPr>
          <w:rFonts w:hint="cs"/>
          <w:spacing w:val="0"/>
          <w:kern w:val="0"/>
          <w:sz w:val="20"/>
          <w:rtl/>
        </w:rPr>
        <w:t>تلك</w:t>
      </w:r>
      <w:r w:rsidRPr="003E698F">
        <w:rPr>
          <w:spacing w:val="0"/>
          <w:kern w:val="0"/>
          <w:sz w:val="20"/>
          <w:rtl/>
        </w:rPr>
        <w:t xml:space="preserve"> الرسالة</w:t>
      </w:r>
      <w:r w:rsidRPr="003E698F">
        <w:rPr>
          <w:rFonts w:hint="cs"/>
          <w:spacing w:val="0"/>
          <w:kern w:val="0"/>
          <w:sz w:val="20"/>
          <w:rtl/>
        </w:rPr>
        <w:t xml:space="preserve"> من جهة و</w:t>
      </w:r>
      <w:r w:rsidRPr="003E698F">
        <w:rPr>
          <w:spacing w:val="0"/>
          <w:kern w:val="0"/>
          <w:sz w:val="20"/>
          <w:rtl/>
        </w:rPr>
        <w:t xml:space="preserve">السلطات الكونغولية </w:t>
      </w:r>
      <w:r w:rsidRPr="003E698F">
        <w:rPr>
          <w:rFonts w:hint="cs"/>
          <w:spacing w:val="0"/>
          <w:kern w:val="0"/>
          <w:sz w:val="20"/>
          <w:rtl/>
        </w:rPr>
        <w:t xml:space="preserve">من الجهة الأخرى </w:t>
      </w:r>
      <w:r w:rsidRPr="003E698F">
        <w:rPr>
          <w:spacing w:val="0"/>
          <w:kern w:val="0"/>
          <w:sz w:val="20"/>
          <w:rtl/>
        </w:rPr>
        <w:t xml:space="preserve">للعثور على </w:t>
      </w:r>
      <w:r w:rsidRPr="003E698F">
        <w:rPr>
          <w:rFonts w:hint="cs"/>
          <w:spacing w:val="0"/>
          <w:kern w:val="0"/>
          <w:sz w:val="20"/>
          <w:rtl/>
        </w:rPr>
        <w:t>معارِضة سياسية منعزلة كصاحبة الشكوى غير منطقي</w:t>
      </w:r>
      <w:r w:rsidRPr="003E698F">
        <w:rPr>
          <w:spacing w:val="0"/>
          <w:kern w:val="0"/>
          <w:sz w:val="20"/>
          <w:rtl/>
        </w:rPr>
        <w:t xml:space="preserve"> </w:t>
      </w:r>
      <w:r w:rsidRPr="003E698F">
        <w:rPr>
          <w:rFonts w:hint="cs"/>
          <w:spacing w:val="0"/>
          <w:kern w:val="0"/>
          <w:sz w:val="20"/>
          <w:rtl/>
        </w:rPr>
        <w:t>وخاليا من الوجاهة</w:t>
      </w:r>
      <w:r w:rsidRPr="003E698F">
        <w:rPr>
          <w:spacing w:val="0"/>
          <w:kern w:val="0"/>
          <w:sz w:val="20"/>
          <w:rtl/>
        </w:rPr>
        <w:t xml:space="preserve">. </w:t>
      </w:r>
      <w:r w:rsidRPr="003E698F">
        <w:rPr>
          <w:rFonts w:hint="cs"/>
          <w:spacing w:val="0"/>
          <w:kern w:val="0"/>
          <w:sz w:val="20"/>
          <w:rtl/>
        </w:rPr>
        <w:t xml:space="preserve">ولم تقدم صاحبة الشكوى </w:t>
      </w:r>
      <w:r w:rsidRPr="003E698F">
        <w:rPr>
          <w:spacing w:val="0"/>
          <w:kern w:val="0"/>
          <w:sz w:val="20"/>
          <w:rtl/>
        </w:rPr>
        <w:t xml:space="preserve">حجة </w:t>
      </w:r>
      <w:r w:rsidRPr="003E698F">
        <w:rPr>
          <w:rFonts w:hint="cs"/>
          <w:spacing w:val="0"/>
          <w:kern w:val="0"/>
          <w:sz w:val="20"/>
          <w:rtl/>
        </w:rPr>
        <w:t xml:space="preserve">مقنعة تسمح </w:t>
      </w:r>
      <w:r w:rsidRPr="003E698F">
        <w:rPr>
          <w:spacing w:val="0"/>
          <w:kern w:val="0"/>
          <w:sz w:val="20"/>
          <w:rtl/>
        </w:rPr>
        <w:t xml:space="preserve">للجنة </w:t>
      </w:r>
      <w:r w:rsidRPr="003E698F">
        <w:rPr>
          <w:rFonts w:hint="cs"/>
          <w:spacing w:val="0"/>
          <w:kern w:val="0"/>
          <w:sz w:val="20"/>
          <w:rtl/>
        </w:rPr>
        <w:t xml:space="preserve">بالتشكيك </w:t>
      </w:r>
      <w:r w:rsidRPr="003E698F">
        <w:rPr>
          <w:spacing w:val="0"/>
          <w:kern w:val="0"/>
          <w:sz w:val="20"/>
          <w:rtl/>
        </w:rPr>
        <w:t xml:space="preserve">في استنتاجات الدولة الطرف في هذا الصدد. </w:t>
      </w:r>
      <w:r w:rsidRPr="003E698F">
        <w:rPr>
          <w:rFonts w:hint="cs"/>
          <w:spacing w:val="0"/>
          <w:kern w:val="0"/>
          <w:sz w:val="20"/>
          <w:rtl/>
        </w:rPr>
        <w:t>و</w:t>
      </w:r>
      <w:r w:rsidRPr="003E698F">
        <w:rPr>
          <w:spacing w:val="0"/>
          <w:kern w:val="0"/>
          <w:sz w:val="20"/>
          <w:rtl/>
        </w:rPr>
        <w:t xml:space="preserve">في ضوء كل </w:t>
      </w:r>
      <w:r w:rsidRPr="003E698F">
        <w:rPr>
          <w:rFonts w:hint="cs"/>
          <w:spacing w:val="0"/>
          <w:kern w:val="0"/>
          <w:sz w:val="20"/>
          <w:rtl/>
        </w:rPr>
        <w:t xml:space="preserve">هذه </w:t>
      </w:r>
      <w:r w:rsidRPr="003E698F">
        <w:rPr>
          <w:spacing w:val="0"/>
          <w:kern w:val="0"/>
          <w:sz w:val="20"/>
          <w:rtl/>
        </w:rPr>
        <w:t>الظروف، ل</w:t>
      </w:r>
      <w:r w:rsidRPr="003E698F">
        <w:rPr>
          <w:rFonts w:hint="cs"/>
          <w:spacing w:val="0"/>
          <w:kern w:val="0"/>
          <w:sz w:val="20"/>
          <w:rtl/>
        </w:rPr>
        <w:t>م تقتنع ا</w:t>
      </w:r>
      <w:r w:rsidRPr="003E698F">
        <w:rPr>
          <w:spacing w:val="0"/>
          <w:kern w:val="0"/>
          <w:sz w:val="20"/>
          <w:rtl/>
        </w:rPr>
        <w:t xml:space="preserve">للجنة </w:t>
      </w:r>
      <w:r w:rsidRPr="003E698F">
        <w:rPr>
          <w:rFonts w:hint="cs"/>
          <w:spacing w:val="0"/>
          <w:kern w:val="0"/>
          <w:sz w:val="20"/>
          <w:rtl/>
        </w:rPr>
        <w:t>بما دفعت به</w:t>
      </w:r>
      <w:r w:rsidRPr="003E698F">
        <w:rPr>
          <w:spacing w:val="0"/>
          <w:kern w:val="0"/>
          <w:sz w:val="20"/>
          <w:rtl/>
        </w:rPr>
        <w:t xml:space="preserve"> </w:t>
      </w:r>
      <w:r w:rsidRPr="003E698F">
        <w:rPr>
          <w:rFonts w:hint="cs"/>
          <w:spacing w:val="0"/>
          <w:kern w:val="0"/>
          <w:sz w:val="20"/>
          <w:rtl/>
        </w:rPr>
        <w:t xml:space="preserve">صاحبة الشكوى بشأن استمرار البحث عنها بعد مرور </w:t>
      </w:r>
      <w:r w:rsidRPr="003E698F">
        <w:rPr>
          <w:spacing w:val="0"/>
          <w:kern w:val="0"/>
          <w:sz w:val="20"/>
          <w:rtl/>
        </w:rPr>
        <w:t>11 عاما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 xml:space="preserve">على </w:t>
      </w:r>
      <w:r w:rsidRPr="003E698F">
        <w:rPr>
          <w:spacing w:val="0"/>
          <w:kern w:val="0"/>
          <w:sz w:val="20"/>
          <w:rtl/>
        </w:rPr>
        <w:t>الحادثة المذكورة،</w:t>
      </w:r>
      <w:r w:rsidRPr="003E698F">
        <w:rPr>
          <w:rFonts w:hint="cs"/>
          <w:spacing w:val="0"/>
          <w:kern w:val="0"/>
          <w:sz w:val="20"/>
          <w:rtl/>
        </w:rPr>
        <w:t xml:space="preserve"> وهي التي لم يكن لها أبداً نشاط سياسي في جمهورية الكونغو الديمقراطية.</w:t>
      </w:r>
      <w:r w:rsidRPr="003E698F">
        <w:rPr>
          <w:spacing w:val="0"/>
          <w:kern w:val="0"/>
          <w:sz w:val="20"/>
          <w:rtl/>
        </w:rPr>
        <w:t xml:space="preserve"> و</w:t>
      </w:r>
      <w:r w:rsidRPr="003E698F">
        <w:rPr>
          <w:rFonts w:hint="cs"/>
          <w:spacing w:val="0"/>
          <w:kern w:val="0"/>
          <w:sz w:val="20"/>
          <w:rtl/>
        </w:rPr>
        <w:t xml:space="preserve">فيما يتعلق بنشاطها السياسي </w:t>
      </w:r>
      <w:r w:rsidRPr="003E698F">
        <w:rPr>
          <w:spacing w:val="0"/>
          <w:kern w:val="0"/>
          <w:sz w:val="20"/>
          <w:rtl/>
        </w:rPr>
        <w:t xml:space="preserve">في </w:t>
      </w:r>
      <w:r w:rsidRPr="003E698F">
        <w:rPr>
          <w:rFonts w:hint="cs"/>
          <w:spacing w:val="0"/>
          <w:kern w:val="0"/>
          <w:sz w:val="20"/>
          <w:rtl/>
        </w:rPr>
        <w:t>سويسرا، ورغم ادعائها مؤخرا</w:t>
      </w:r>
      <w:r w:rsidR="004A748F">
        <w:rPr>
          <w:rFonts w:hint="cs"/>
          <w:spacing w:val="0"/>
          <w:kern w:val="0"/>
          <w:sz w:val="20"/>
          <w:rtl/>
        </w:rPr>
        <w:t>ً</w:t>
      </w:r>
      <w:r w:rsidRPr="003E698F">
        <w:rPr>
          <w:rFonts w:hint="cs"/>
          <w:spacing w:val="0"/>
          <w:kern w:val="0"/>
          <w:sz w:val="20"/>
          <w:rtl/>
        </w:rPr>
        <w:t xml:space="preserve"> أنها تمارس نشاطا</w:t>
      </w:r>
      <w:r w:rsidR="002C2A9D">
        <w:rPr>
          <w:rFonts w:hint="cs"/>
          <w:spacing w:val="0"/>
          <w:kern w:val="0"/>
          <w:sz w:val="20"/>
          <w:rtl/>
        </w:rPr>
        <w:t>ً</w:t>
      </w:r>
      <w:r w:rsidRPr="003E698F">
        <w:rPr>
          <w:rFonts w:hint="cs"/>
          <w:spacing w:val="0"/>
          <w:kern w:val="0"/>
          <w:sz w:val="20"/>
          <w:rtl/>
        </w:rPr>
        <w:t xml:space="preserve"> مع </w:t>
      </w:r>
      <w:r w:rsidRPr="003E698F">
        <w:rPr>
          <w:spacing w:val="0"/>
          <w:kern w:val="0"/>
          <w:sz w:val="20"/>
          <w:rtl/>
        </w:rPr>
        <w:t xml:space="preserve">"تحالف الوطنيين من أجل إصلاح </w:t>
      </w:r>
      <w:r w:rsidRPr="003E698F">
        <w:rPr>
          <w:rFonts w:hint="cs"/>
          <w:spacing w:val="0"/>
          <w:kern w:val="0"/>
          <w:sz w:val="20"/>
          <w:rtl/>
        </w:rPr>
        <w:t>ا</w:t>
      </w:r>
      <w:r w:rsidRPr="003E698F">
        <w:rPr>
          <w:spacing w:val="0"/>
          <w:kern w:val="0"/>
          <w:sz w:val="20"/>
          <w:rtl/>
        </w:rPr>
        <w:t>لكونغو</w:t>
      </w:r>
      <w:r w:rsidRPr="003E698F">
        <w:rPr>
          <w:rFonts w:hint="cs"/>
          <w:spacing w:val="0"/>
          <w:kern w:val="0"/>
          <w:sz w:val="20"/>
          <w:rtl/>
        </w:rPr>
        <w:t>"</w:t>
      </w:r>
      <w:r w:rsidRPr="003E698F">
        <w:rPr>
          <w:rFonts w:hint="cs"/>
          <w:spacing w:val="0"/>
          <w:kern w:val="0"/>
          <w:sz w:val="20"/>
          <w:szCs w:val="28"/>
          <w:vertAlign w:val="superscript"/>
          <w:rtl/>
        </w:rPr>
        <w:t>(</w:t>
      </w:r>
      <w:r w:rsidRPr="003E698F">
        <w:rPr>
          <w:rStyle w:val="FootnoteReference"/>
          <w:spacing w:val="0"/>
          <w:sz w:val="20"/>
          <w:rtl/>
        </w:rPr>
        <w:footnoteReference w:id="192"/>
      </w:r>
      <w:r w:rsidRPr="003E698F">
        <w:rPr>
          <w:rFonts w:hint="cs"/>
          <w:spacing w:val="0"/>
          <w:kern w:val="0"/>
          <w:sz w:val="20"/>
          <w:szCs w:val="28"/>
          <w:vertAlign w:val="superscript"/>
          <w:rtl/>
        </w:rPr>
        <w:t>)</w:t>
      </w:r>
      <w:r w:rsidRPr="003E698F">
        <w:rPr>
          <w:rFonts w:hint="cs"/>
          <w:spacing w:val="0"/>
          <w:kern w:val="0"/>
          <w:sz w:val="20"/>
          <w:rtl/>
        </w:rPr>
        <w:t>، فإنها لم</w:t>
      </w:r>
      <w:r w:rsidR="004A748F">
        <w:rPr>
          <w:rFonts w:hint="eastAsia"/>
          <w:spacing w:val="0"/>
          <w:kern w:val="0"/>
          <w:sz w:val="20"/>
          <w:rtl/>
        </w:rPr>
        <w:t> </w:t>
      </w:r>
      <w:r w:rsidRPr="003E698F">
        <w:rPr>
          <w:rFonts w:hint="cs"/>
          <w:spacing w:val="0"/>
          <w:kern w:val="0"/>
          <w:sz w:val="20"/>
          <w:rtl/>
        </w:rPr>
        <w:t>ت</w:t>
      </w:r>
      <w:r w:rsidRPr="003E698F">
        <w:rPr>
          <w:spacing w:val="0"/>
          <w:kern w:val="0"/>
          <w:sz w:val="20"/>
          <w:rtl/>
        </w:rPr>
        <w:t xml:space="preserve">حدد </w:t>
      </w:r>
      <w:r w:rsidRPr="003E698F">
        <w:rPr>
          <w:rFonts w:hint="cs"/>
          <w:spacing w:val="0"/>
          <w:kern w:val="0"/>
          <w:sz w:val="20"/>
          <w:rtl/>
        </w:rPr>
        <w:t xml:space="preserve">الفترة التي دأبت فيها على المشاركة في </w:t>
      </w:r>
      <w:r w:rsidRPr="003E698F">
        <w:rPr>
          <w:spacing w:val="0"/>
          <w:kern w:val="0"/>
          <w:sz w:val="20"/>
          <w:rtl/>
        </w:rPr>
        <w:t xml:space="preserve">هذه </w:t>
      </w:r>
      <w:r w:rsidRPr="003E698F">
        <w:rPr>
          <w:rFonts w:hint="cs"/>
          <w:spacing w:val="0"/>
          <w:kern w:val="0"/>
          <w:sz w:val="20"/>
          <w:rtl/>
        </w:rPr>
        <w:t>ال</w:t>
      </w:r>
      <w:r w:rsidRPr="003E698F">
        <w:rPr>
          <w:spacing w:val="0"/>
          <w:kern w:val="0"/>
          <w:sz w:val="20"/>
          <w:rtl/>
        </w:rPr>
        <w:t>حركة، ول</w:t>
      </w:r>
      <w:r w:rsidRPr="003E698F">
        <w:rPr>
          <w:rFonts w:hint="cs"/>
          <w:spacing w:val="0"/>
          <w:kern w:val="0"/>
          <w:sz w:val="20"/>
          <w:rtl/>
        </w:rPr>
        <w:t>م ت</w:t>
      </w:r>
      <w:r w:rsidRPr="003E698F">
        <w:rPr>
          <w:spacing w:val="0"/>
          <w:kern w:val="0"/>
          <w:sz w:val="20"/>
          <w:rtl/>
        </w:rPr>
        <w:t xml:space="preserve">وضح بشكل مقنع كيف </w:t>
      </w:r>
      <w:r w:rsidRPr="003E698F">
        <w:rPr>
          <w:rFonts w:hint="cs"/>
          <w:spacing w:val="0"/>
          <w:kern w:val="0"/>
          <w:sz w:val="20"/>
          <w:rtl/>
        </w:rPr>
        <w:t xml:space="preserve">سيعرضها </w:t>
      </w:r>
      <w:r w:rsidRPr="003E698F">
        <w:rPr>
          <w:spacing w:val="0"/>
          <w:kern w:val="0"/>
          <w:sz w:val="20"/>
          <w:rtl/>
        </w:rPr>
        <w:t>هذ</w:t>
      </w:r>
      <w:r w:rsidRPr="003E698F">
        <w:rPr>
          <w:rFonts w:hint="cs"/>
          <w:spacing w:val="0"/>
          <w:kern w:val="0"/>
          <w:sz w:val="20"/>
          <w:rtl/>
        </w:rPr>
        <w:t>ا النشاط</w:t>
      </w:r>
      <w:r w:rsidRPr="003E698F">
        <w:rPr>
          <w:spacing w:val="0"/>
          <w:kern w:val="0"/>
          <w:sz w:val="20"/>
          <w:rtl/>
        </w:rPr>
        <w:t xml:space="preserve"> لخطر محدد </w:t>
      </w:r>
      <w:r w:rsidRPr="003E698F">
        <w:rPr>
          <w:rFonts w:hint="cs"/>
          <w:spacing w:val="0"/>
          <w:kern w:val="0"/>
          <w:sz w:val="20"/>
          <w:rtl/>
        </w:rPr>
        <w:t>ينطوي على انتهاك الدولة الطرف لالتزامها بموجب ا</w:t>
      </w:r>
      <w:r w:rsidRPr="003E698F">
        <w:rPr>
          <w:spacing w:val="0"/>
          <w:kern w:val="0"/>
          <w:sz w:val="20"/>
          <w:rtl/>
        </w:rPr>
        <w:t>لمادة</w:t>
      </w:r>
      <w:r w:rsidR="004A748F">
        <w:rPr>
          <w:rFonts w:hint="cs"/>
          <w:spacing w:val="0"/>
          <w:kern w:val="0"/>
          <w:sz w:val="20"/>
          <w:rtl/>
        </w:rPr>
        <w:t> </w:t>
      </w:r>
      <w:r w:rsidRPr="003E698F">
        <w:rPr>
          <w:spacing w:val="0"/>
          <w:kern w:val="0"/>
          <w:sz w:val="20"/>
          <w:rtl/>
        </w:rPr>
        <w:t xml:space="preserve">3 </w:t>
      </w:r>
      <w:r w:rsidRPr="003E698F">
        <w:rPr>
          <w:rFonts w:hint="cs"/>
          <w:spacing w:val="0"/>
          <w:kern w:val="0"/>
          <w:sz w:val="20"/>
          <w:rtl/>
        </w:rPr>
        <w:t xml:space="preserve">في حالة عودتها إلى </w:t>
      </w:r>
      <w:r w:rsidRPr="003E698F">
        <w:rPr>
          <w:spacing w:val="0"/>
          <w:kern w:val="0"/>
          <w:sz w:val="20"/>
          <w:rtl/>
        </w:rPr>
        <w:t>جمهورية الكونغو الديمقراطية</w:t>
      </w:r>
      <w:r w:rsidRPr="003E698F">
        <w:rPr>
          <w:rFonts w:hint="cs"/>
          <w:spacing w:val="0"/>
          <w:kern w:val="0"/>
          <w:sz w:val="20"/>
          <w:rtl/>
        </w:rPr>
        <w:t>.</w:t>
      </w:r>
    </w:p>
    <w:p w:rsidR="00921F02" w:rsidRPr="003E698F" w:rsidRDefault="00921F02" w:rsidP="00921F02">
      <w:pPr>
        <w:pStyle w:val="SingleTxtGA"/>
        <w:jc w:val="lowKashida"/>
        <w:rPr>
          <w:rFonts w:hint="cs"/>
          <w:spacing w:val="0"/>
          <w:kern w:val="0"/>
          <w:sz w:val="20"/>
        </w:rPr>
      </w:pPr>
      <w:r w:rsidRPr="003E698F">
        <w:rPr>
          <w:rFonts w:hint="cs"/>
          <w:spacing w:val="0"/>
          <w:kern w:val="0"/>
          <w:sz w:val="20"/>
          <w:rtl/>
        </w:rPr>
        <w:t>9-7</w:t>
      </w:r>
      <w:r w:rsidRPr="003E698F">
        <w:rPr>
          <w:rFonts w:hint="cs"/>
          <w:spacing w:val="0"/>
          <w:kern w:val="0"/>
          <w:sz w:val="20"/>
          <w:rtl/>
        </w:rPr>
        <w:tab/>
        <w:t>وفي</w:t>
      </w:r>
      <w:r w:rsidRPr="003E698F">
        <w:rPr>
          <w:spacing w:val="0"/>
          <w:kern w:val="0"/>
          <w:sz w:val="20"/>
          <w:rtl/>
        </w:rPr>
        <w:t xml:space="preserve">ما يتعلق </w:t>
      </w:r>
      <w:r w:rsidRPr="003E698F">
        <w:rPr>
          <w:rFonts w:hint="cs"/>
          <w:spacing w:val="0"/>
          <w:kern w:val="0"/>
          <w:sz w:val="20"/>
          <w:rtl/>
        </w:rPr>
        <w:t>بما ادعته</w:t>
      </w:r>
      <w:r w:rsidRPr="003E698F">
        <w:rPr>
          <w:spacing w:val="0"/>
          <w:kern w:val="0"/>
          <w:sz w:val="20"/>
          <w:rtl/>
        </w:rPr>
        <w:t xml:space="preserve"> </w:t>
      </w:r>
      <w:r w:rsidRPr="003E698F">
        <w:rPr>
          <w:rFonts w:hint="cs"/>
          <w:spacing w:val="0"/>
          <w:kern w:val="0"/>
          <w:sz w:val="20"/>
          <w:rtl/>
        </w:rPr>
        <w:t>صاحبة الشكوى</w:t>
      </w:r>
      <w:r w:rsidRPr="003E698F">
        <w:rPr>
          <w:spacing w:val="0"/>
          <w:kern w:val="0"/>
          <w:sz w:val="20"/>
          <w:rtl/>
        </w:rPr>
        <w:t xml:space="preserve"> </w:t>
      </w:r>
      <w:r w:rsidRPr="003E698F">
        <w:rPr>
          <w:rFonts w:hint="cs"/>
          <w:spacing w:val="0"/>
          <w:kern w:val="0"/>
          <w:sz w:val="20"/>
          <w:rtl/>
        </w:rPr>
        <w:t>عن</w:t>
      </w:r>
      <w:r w:rsidRPr="003E698F">
        <w:rPr>
          <w:spacing w:val="0"/>
          <w:kern w:val="0"/>
          <w:sz w:val="20"/>
          <w:rtl/>
        </w:rPr>
        <w:t xml:space="preserve"> </w:t>
      </w:r>
      <w:r w:rsidRPr="003E698F">
        <w:rPr>
          <w:rFonts w:hint="cs"/>
          <w:spacing w:val="0"/>
          <w:kern w:val="0"/>
          <w:sz w:val="20"/>
          <w:rtl/>
        </w:rPr>
        <w:t>ت</w:t>
      </w:r>
      <w:r w:rsidRPr="003E698F">
        <w:rPr>
          <w:spacing w:val="0"/>
          <w:kern w:val="0"/>
          <w:sz w:val="20"/>
          <w:rtl/>
        </w:rPr>
        <w:t>عرض</w:t>
      </w:r>
      <w:r w:rsidRPr="003E698F">
        <w:rPr>
          <w:rFonts w:hint="cs"/>
          <w:spacing w:val="0"/>
          <w:kern w:val="0"/>
          <w:sz w:val="20"/>
          <w:rtl/>
        </w:rPr>
        <w:t xml:space="preserve">ها </w:t>
      </w:r>
      <w:r w:rsidRPr="003E698F">
        <w:rPr>
          <w:spacing w:val="0"/>
          <w:kern w:val="0"/>
          <w:sz w:val="20"/>
          <w:rtl/>
        </w:rPr>
        <w:t>للاغتصاب في مطار كينشاسا</w:t>
      </w:r>
      <w:r w:rsidRPr="003E698F">
        <w:rPr>
          <w:rFonts w:hint="cs"/>
          <w:spacing w:val="0"/>
          <w:kern w:val="0"/>
          <w:sz w:val="20"/>
          <w:rtl/>
        </w:rPr>
        <w:t xml:space="preserve"> وهي في طريقها لمغادرة ج</w:t>
      </w:r>
      <w:r w:rsidRPr="003E698F">
        <w:rPr>
          <w:spacing w:val="0"/>
          <w:kern w:val="0"/>
          <w:sz w:val="20"/>
          <w:rtl/>
        </w:rPr>
        <w:t xml:space="preserve">مهورية الكونغو الديمقراطية، </w:t>
      </w:r>
      <w:r w:rsidRPr="003E698F">
        <w:rPr>
          <w:rFonts w:hint="cs"/>
          <w:spacing w:val="0"/>
          <w:kern w:val="0"/>
          <w:sz w:val="20"/>
          <w:rtl/>
        </w:rPr>
        <w:t>وهو ادعاء أشارت</w:t>
      </w:r>
      <w:r w:rsidRPr="003E698F">
        <w:rPr>
          <w:spacing w:val="0"/>
          <w:kern w:val="0"/>
          <w:sz w:val="20"/>
          <w:rtl/>
        </w:rPr>
        <w:t xml:space="preserve"> إل</w:t>
      </w:r>
      <w:r w:rsidRPr="003E698F">
        <w:rPr>
          <w:rFonts w:hint="cs"/>
          <w:spacing w:val="0"/>
          <w:kern w:val="0"/>
          <w:sz w:val="20"/>
          <w:rtl/>
        </w:rPr>
        <w:t xml:space="preserve">يه في ثاني رسالة قدمتها </w:t>
      </w:r>
      <w:r w:rsidRPr="003E698F">
        <w:rPr>
          <w:spacing w:val="0"/>
          <w:kern w:val="0"/>
          <w:sz w:val="20"/>
          <w:rtl/>
        </w:rPr>
        <w:t>للجنة</w:t>
      </w:r>
      <w:r w:rsidRPr="003E698F">
        <w:rPr>
          <w:rFonts w:hint="cs"/>
          <w:spacing w:val="0"/>
          <w:kern w:val="0"/>
          <w:sz w:val="20"/>
          <w:szCs w:val="28"/>
          <w:vertAlign w:val="superscript"/>
          <w:rtl/>
        </w:rPr>
        <w:t>(</w:t>
      </w:r>
      <w:r w:rsidRPr="003E698F">
        <w:rPr>
          <w:rStyle w:val="FootnoteReference"/>
          <w:spacing w:val="0"/>
          <w:sz w:val="20"/>
          <w:rtl/>
        </w:rPr>
        <w:footnoteReference w:id="193"/>
      </w:r>
      <w:r w:rsidRPr="003E698F">
        <w:rPr>
          <w:rFonts w:hint="cs"/>
          <w:spacing w:val="0"/>
          <w:kern w:val="0"/>
          <w:sz w:val="20"/>
          <w:szCs w:val="28"/>
          <w:vertAlign w:val="superscript"/>
          <w:rtl/>
        </w:rPr>
        <w:t>)</w:t>
      </w:r>
      <w:r w:rsidRPr="003E698F">
        <w:rPr>
          <w:spacing w:val="0"/>
          <w:kern w:val="0"/>
          <w:sz w:val="20"/>
          <w:rtl/>
        </w:rPr>
        <w:t xml:space="preserve">، </w:t>
      </w:r>
      <w:r w:rsidRPr="003E698F">
        <w:rPr>
          <w:rFonts w:hint="cs"/>
          <w:spacing w:val="0"/>
          <w:kern w:val="0"/>
          <w:sz w:val="20"/>
          <w:rtl/>
        </w:rPr>
        <w:t>فلا تستطيع اللجنة أن تقِيم لهذا الا</w:t>
      </w:r>
      <w:r w:rsidRPr="003E698F">
        <w:rPr>
          <w:spacing w:val="0"/>
          <w:kern w:val="0"/>
          <w:sz w:val="20"/>
          <w:rtl/>
        </w:rPr>
        <w:t xml:space="preserve">دعاء </w:t>
      </w:r>
      <w:r w:rsidRPr="003E698F">
        <w:rPr>
          <w:rFonts w:hint="cs"/>
          <w:spacing w:val="0"/>
          <w:kern w:val="0"/>
          <w:sz w:val="20"/>
          <w:rtl/>
        </w:rPr>
        <w:t xml:space="preserve">وزنا كبيرا بما أن صاحبة الشكوى لم تذكره إلا بشكل مقتضب مكتفيةً بالإشارة إلى </w:t>
      </w:r>
      <w:r w:rsidRPr="003E698F">
        <w:rPr>
          <w:spacing w:val="0"/>
          <w:kern w:val="0"/>
          <w:sz w:val="20"/>
          <w:rtl/>
        </w:rPr>
        <w:t>تعرض</w:t>
      </w:r>
      <w:r w:rsidRPr="003E698F">
        <w:rPr>
          <w:rFonts w:hint="cs"/>
          <w:spacing w:val="0"/>
          <w:kern w:val="0"/>
          <w:sz w:val="20"/>
          <w:rtl/>
        </w:rPr>
        <w:t xml:space="preserve">ها </w:t>
      </w:r>
      <w:r w:rsidRPr="003E698F">
        <w:rPr>
          <w:spacing w:val="0"/>
          <w:kern w:val="0"/>
          <w:sz w:val="20"/>
          <w:rtl/>
        </w:rPr>
        <w:t xml:space="preserve">للاغتصاب </w:t>
      </w:r>
      <w:r w:rsidRPr="003E698F">
        <w:rPr>
          <w:rFonts w:hint="cs"/>
          <w:spacing w:val="0"/>
          <w:kern w:val="0"/>
          <w:sz w:val="20"/>
          <w:rtl/>
        </w:rPr>
        <w:t xml:space="preserve">من قبل موظفين </w:t>
      </w:r>
      <w:r w:rsidRPr="003E698F">
        <w:rPr>
          <w:spacing w:val="0"/>
          <w:kern w:val="0"/>
          <w:sz w:val="20"/>
          <w:rtl/>
        </w:rPr>
        <w:t>ساعد</w:t>
      </w:r>
      <w:r w:rsidRPr="003E698F">
        <w:rPr>
          <w:rFonts w:hint="cs"/>
          <w:spacing w:val="0"/>
          <w:kern w:val="0"/>
          <w:sz w:val="20"/>
          <w:rtl/>
        </w:rPr>
        <w:t>ا</w:t>
      </w:r>
      <w:r w:rsidRPr="003E698F">
        <w:rPr>
          <w:spacing w:val="0"/>
          <w:kern w:val="0"/>
          <w:sz w:val="20"/>
          <w:rtl/>
        </w:rPr>
        <w:t xml:space="preserve">ها على </w:t>
      </w:r>
      <w:r w:rsidRPr="003E698F">
        <w:rPr>
          <w:rFonts w:hint="cs"/>
          <w:spacing w:val="0"/>
          <w:kern w:val="0"/>
          <w:sz w:val="20"/>
          <w:rtl/>
        </w:rPr>
        <w:t>الفرار</w:t>
      </w:r>
      <w:r w:rsidRPr="003E698F">
        <w:rPr>
          <w:spacing w:val="0"/>
          <w:kern w:val="0"/>
          <w:sz w:val="20"/>
          <w:rtl/>
        </w:rPr>
        <w:t xml:space="preserve">، دون </w:t>
      </w:r>
      <w:r w:rsidRPr="003E698F">
        <w:rPr>
          <w:rFonts w:hint="cs"/>
          <w:spacing w:val="0"/>
          <w:kern w:val="0"/>
          <w:sz w:val="20"/>
          <w:rtl/>
        </w:rPr>
        <w:t xml:space="preserve">أن </w:t>
      </w:r>
      <w:r w:rsidRPr="003E698F">
        <w:rPr>
          <w:spacing w:val="0"/>
          <w:kern w:val="0"/>
          <w:sz w:val="20"/>
          <w:rtl/>
        </w:rPr>
        <w:t xml:space="preserve">تقدم </w:t>
      </w:r>
      <w:r w:rsidRPr="003E698F">
        <w:rPr>
          <w:rFonts w:hint="cs"/>
          <w:spacing w:val="0"/>
          <w:kern w:val="0"/>
          <w:sz w:val="20"/>
          <w:rtl/>
        </w:rPr>
        <w:t xml:space="preserve">ما يثبت </w:t>
      </w:r>
      <w:r w:rsidRPr="003E698F">
        <w:rPr>
          <w:spacing w:val="0"/>
          <w:kern w:val="0"/>
          <w:sz w:val="20"/>
          <w:rtl/>
        </w:rPr>
        <w:t>ادعاء</w:t>
      </w:r>
      <w:r w:rsidRPr="003E698F">
        <w:rPr>
          <w:rFonts w:hint="cs"/>
          <w:spacing w:val="0"/>
          <w:kern w:val="0"/>
          <w:sz w:val="20"/>
          <w:rtl/>
        </w:rPr>
        <w:t>ها.</w:t>
      </w:r>
    </w:p>
    <w:p w:rsidR="00921F02" w:rsidRPr="003E698F" w:rsidRDefault="00921F02" w:rsidP="00E61B85">
      <w:pPr>
        <w:pStyle w:val="SingleTxtGA"/>
        <w:jc w:val="lowKashida"/>
        <w:rPr>
          <w:spacing w:val="0"/>
          <w:kern w:val="0"/>
          <w:sz w:val="20"/>
        </w:rPr>
      </w:pPr>
      <w:r w:rsidRPr="003E698F">
        <w:rPr>
          <w:rFonts w:hint="cs"/>
          <w:spacing w:val="0"/>
          <w:kern w:val="0"/>
          <w:sz w:val="20"/>
          <w:rtl/>
        </w:rPr>
        <w:t>9-8</w:t>
      </w:r>
      <w:r w:rsidRPr="003E698F">
        <w:rPr>
          <w:rFonts w:hint="cs"/>
          <w:spacing w:val="0"/>
          <w:kern w:val="0"/>
          <w:sz w:val="20"/>
          <w:rtl/>
        </w:rPr>
        <w:tab/>
      </w:r>
      <w:r w:rsidRPr="003E698F">
        <w:rPr>
          <w:spacing w:val="0"/>
          <w:kern w:val="0"/>
          <w:sz w:val="20"/>
          <w:rtl/>
        </w:rPr>
        <w:t xml:space="preserve">وفيما يتعلق بادعاءات </w:t>
      </w:r>
      <w:r w:rsidRPr="003E698F">
        <w:rPr>
          <w:rFonts w:hint="cs"/>
          <w:spacing w:val="0"/>
          <w:kern w:val="0"/>
          <w:sz w:val="20"/>
          <w:rtl/>
        </w:rPr>
        <w:t xml:space="preserve">صاحبة الشكوى </w:t>
      </w:r>
      <w:r w:rsidRPr="003E698F">
        <w:rPr>
          <w:spacing w:val="0"/>
          <w:kern w:val="0"/>
          <w:sz w:val="20"/>
          <w:rtl/>
        </w:rPr>
        <w:t xml:space="preserve">المتعلقة </w:t>
      </w:r>
      <w:r w:rsidRPr="003E698F">
        <w:rPr>
          <w:rFonts w:hint="cs"/>
          <w:spacing w:val="0"/>
          <w:kern w:val="0"/>
          <w:sz w:val="20"/>
          <w:rtl/>
        </w:rPr>
        <w:t>بو</w:t>
      </w:r>
      <w:r w:rsidRPr="003E698F">
        <w:rPr>
          <w:spacing w:val="0"/>
          <w:kern w:val="0"/>
          <w:sz w:val="20"/>
          <w:rtl/>
        </w:rPr>
        <w:t>ضعه</w:t>
      </w:r>
      <w:r w:rsidRPr="003E698F">
        <w:rPr>
          <w:rFonts w:hint="cs"/>
          <w:spacing w:val="0"/>
          <w:kern w:val="0"/>
          <w:sz w:val="20"/>
          <w:rtl/>
        </w:rPr>
        <w:t>ا</w:t>
      </w:r>
      <w:r w:rsidRPr="003E698F">
        <w:rPr>
          <w:spacing w:val="0"/>
          <w:kern w:val="0"/>
          <w:sz w:val="20"/>
          <w:rtl/>
        </w:rPr>
        <w:t xml:space="preserve"> الصحي الحالي، </w:t>
      </w:r>
      <w:r w:rsidRPr="003E698F">
        <w:rPr>
          <w:rFonts w:hint="cs"/>
          <w:spacing w:val="0"/>
          <w:kern w:val="0"/>
          <w:sz w:val="20"/>
          <w:rtl/>
        </w:rPr>
        <w:t>تحيط اللجنة علما ب</w:t>
      </w:r>
      <w:r w:rsidRPr="003E698F">
        <w:rPr>
          <w:spacing w:val="0"/>
          <w:kern w:val="0"/>
          <w:sz w:val="20"/>
          <w:rtl/>
        </w:rPr>
        <w:t xml:space="preserve">الصعوبات التي </w:t>
      </w:r>
      <w:r w:rsidRPr="003E698F">
        <w:rPr>
          <w:rFonts w:hint="cs"/>
          <w:spacing w:val="0"/>
          <w:kern w:val="0"/>
          <w:sz w:val="20"/>
          <w:rtl/>
        </w:rPr>
        <w:t>تعاني منها صاحبة الشكوى</w:t>
      </w:r>
      <w:r w:rsidRPr="003E698F">
        <w:rPr>
          <w:spacing w:val="0"/>
          <w:kern w:val="0"/>
          <w:sz w:val="20"/>
          <w:rtl/>
        </w:rPr>
        <w:t xml:space="preserve">. </w:t>
      </w:r>
      <w:r w:rsidRPr="003E698F">
        <w:rPr>
          <w:rFonts w:hint="cs"/>
          <w:spacing w:val="0"/>
          <w:kern w:val="0"/>
          <w:sz w:val="20"/>
          <w:rtl/>
        </w:rPr>
        <w:t>كما تحيط علماً بحجة</w:t>
      </w:r>
      <w:r w:rsidRPr="003E698F">
        <w:rPr>
          <w:spacing w:val="0"/>
          <w:kern w:val="0"/>
          <w:sz w:val="20"/>
          <w:rtl/>
        </w:rPr>
        <w:t xml:space="preserve"> الدولة الطرف </w:t>
      </w:r>
      <w:r w:rsidRPr="003E698F">
        <w:rPr>
          <w:rFonts w:hint="cs"/>
          <w:spacing w:val="0"/>
          <w:kern w:val="0"/>
          <w:sz w:val="20"/>
          <w:rtl/>
        </w:rPr>
        <w:t>بأن صاحبة الشكوى</w:t>
      </w:r>
      <w:r w:rsidRPr="003E698F">
        <w:rPr>
          <w:spacing w:val="0"/>
          <w:kern w:val="0"/>
          <w:sz w:val="20"/>
          <w:rtl/>
        </w:rPr>
        <w:t xml:space="preserve"> </w:t>
      </w:r>
      <w:r w:rsidRPr="003E698F">
        <w:rPr>
          <w:rFonts w:hint="cs"/>
          <w:spacing w:val="0"/>
          <w:kern w:val="0"/>
          <w:sz w:val="20"/>
          <w:rtl/>
        </w:rPr>
        <w:t xml:space="preserve">بوسعها </w:t>
      </w:r>
      <w:r w:rsidRPr="003E698F">
        <w:rPr>
          <w:spacing w:val="0"/>
          <w:kern w:val="0"/>
          <w:sz w:val="20"/>
          <w:rtl/>
        </w:rPr>
        <w:t xml:space="preserve">استشارة طبيب في جمهورية الكونغو الديمقراطية. </w:t>
      </w:r>
      <w:r w:rsidRPr="003E698F">
        <w:rPr>
          <w:rFonts w:hint="cs"/>
          <w:spacing w:val="0"/>
          <w:kern w:val="0"/>
          <w:sz w:val="20"/>
          <w:rtl/>
        </w:rPr>
        <w:t>ولم تطعن</w:t>
      </w:r>
      <w:r w:rsidRPr="003E698F">
        <w:rPr>
          <w:spacing w:val="0"/>
          <w:kern w:val="0"/>
          <w:sz w:val="20"/>
          <w:rtl/>
        </w:rPr>
        <w:t xml:space="preserve"> </w:t>
      </w:r>
      <w:r w:rsidRPr="003E698F">
        <w:rPr>
          <w:rFonts w:hint="cs"/>
          <w:spacing w:val="0"/>
          <w:kern w:val="0"/>
          <w:sz w:val="20"/>
          <w:rtl/>
        </w:rPr>
        <w:t xml:space="preserve">صاحبة الشكوى </w:t>
      </w:r>
      <w:r w:rsidRPr="003E698F">
        <w:rPr>
          <w:spacing w:val="0"/>
          <w:kern w:val="0"/>
          <w:sz w:val="20"/>
          <w:rtl/>
        </w:rPr>
        <w:t>في هذ</w:t>
      </w:r>
      <w:r w:rsidRPr="003E698F">
        <w:rPr>
          <w:rFonts w:hint="cs"/>
          <w:spacing w:val="0"/>
          <w:kern w:val="0"/>
          <w:sz w:val="20"/>
          <w:rtl/>
        </w:rPr>
        <w:t>ه الحجة</w:t>
      </w:r>
      <w:r w:rsidRPr="003E698F">
        <w:rPr>
          <w:spacing w:val="0"/>
          <w:kern w:val="0"/>
          <w:sz w:val="20"/>
          <w:rtl/>
        </w:rPr>
        <w:t xml:space="preserve">، </w:t>
      </w:r>
      <w:r w:rsidRPr="003E698F">
        <w:rPr>
          <w:rFonts w:hint="cs"/>
          <w:spacing w:val="0"/>
          <w:kern w:val="0"/>
          <w:sz w:val="20"/>
          <w:rtl/>
        </w:rPr>
        <w:t>وقد اطلعت ا</w:t>
      </w:r>
      <w:r w:rsidRPr="003E698F">
        <w:rPr>
          <w:spacing w:val="0"/>
          <w:kern w:val="0"/>
          <w:sz w:val="20"/>
          <w:rtl/>
        </w:rPr>
        <w:t xml:space="preserve">للجنة نفسها </w:t>
      </w:r>
      <w:r w:rsidRPr="003E698F">
        <w:rPr>
          <w:rFonts w:hint="cs"/>
          <w:spacing w:val="0"/>
          <w:kern w:val="0"/>
          <w:sz w:val="20"/>
          <w:rtl/>
        </w:rPr>
        <w:t xml:space="preserve">على </w:t>
      </w:r>
      <w:r w:rsidRPr="003E698F">
        <w:rPr>
          <w:spacing w:val="0"/>
          <w:kern w:val="0"/>
          <w:sz w:val="20"/>
          <w:rtl/>
        </w:rPr>
        <w:t>تقارير</w:t>
      </w:r>
      <w:r w:rsidRPr="003E698F">
        <w:rPr>
          <w:rFonts w:hint="cs"/>
          <w:spacing w:val="0"/>
          <w:kern w:val="0"/>
          <w:sz w:val="20"/>
          <w:rtl/>
        </w:rPr>
        <w:t xml:space="preserve"> وإن تفيد بانعدام اليقين</w:t>
      </w:r>
      <w:r w:rsidRPr="003E698F">
        <w:rPr>
          <w:spacing w:val="0"/>
          <w:kern w:val="0"/>
          <w:sz w:val="20"/>
          <w:rtl/>
        </w:rPr>
        <w:t xml:space="preserve"> وارتفاع تكلف</w:t>
      </w:r>
      <w:r w:rsidRPr="003E698F">
        <w:rPr>
          <w:rFonts w:hint="cs"/>
          <w:spacing w:val="0"/>
          <w:kern w:val="0"/>
          <w:sz w:val="20"/>
          <w:rtl/>
        </w:rPr>
        <w:t>ة الرعاية الطبية</w:t>
      </w:r>
      <w:r w:rsidRPr="003E698F">
        <w:rPr>
          <w:spacing w:val="0"/>
          <w:kern w:val="0"/>
          <w:sz w:val="20"/>
          <w:rtl/>
        </w:rPr>
        <w:t xml:space="preserve"> </w:t>
      </w:r>
      <w:r w:rsidRPr="003E698F">
        <w:rPr>
          <w:rFonts w:hint="cs"/>
          <w:spacing w:val="0"/>
          <w:kern w:val="0"/>
          <w:sz w:val="20"/>
          <w:rtl/>
        </w:rPr>
        <w:t>ل</w:t>
      </w:r>
      <w:r w:rsidRPr="003E698F">
        <w:rPr>
          <w:spacing w:val="0"/>
          <w:kern w:val="0"/>
          <w:sz w:val="20"/>
          <w:rtl/>
        </w:rPr>
        <w:t xml:space="preserve">لنظام الصحي في جمهورية الكونغو الديمقراطية، </w:t>
      </w:r>
      <w:r w:rsidRPr="003E698F">
        <w:rPr>
          <w:rFonts w:hint="cs"/>
          <w:spacing w:val="0"/>
          <w:kern w:val="0"/>
          <w:sz w:val="20"/>
          <w:rtl/>
        </w:rPr>
        <w:t xml:space="preserve">إلا أنها </w:t>
      </w:r>
      <w:r w:rsidRPr="003E698F">
        <w:rPr>
          <w:spacing w:val="0"/>
          <w:kern w:val="0"/>
          <w:sz w:val="20"/>
          <w:rtl/>
        </w:rPr>
        <w:t xml:space="preserve">تشير إلى </w:t>
      </w:r>
      <w:r w:rsidRPr="003E698F">
        <w:rPr>
          <w:rFonts w:hint="cs"/>
          <w:spacing w:val="0"/>
          <w:kern w:val="0"/>
          <w:sz w:val="20"/>
          <w:rtl/>
        </w:rPr>
        <w:t>توافر</w:t>
      </w:r>
      <w:r w:rsidRPr="003E698F">
        <w:rPr>
          <w:spacing w:val="0"/>
          <w:kern w:val="0"/>
          <w:sz w:val="20"/>
          <w:rtl/>
        </w:rPr>
        <w:t xml:space="preserve"> </w:t>
      </w:r>
      <w:r w:rsidRPr="003E698F">
        <w:rPr>
          <w:rFonts w:hint="cs"/>
          <w:spacing w:val="0"/>
          <w:kern w:val="0"/>
          <w:sz w:val="20"/>
          <w:rtl/>
        </w:rPr>
        <w:t xml:space="preserve">الهياكل الأساسية </w:t>
      </w:r>
      <w:r w:rsidRPr="003E698F">
        <w:rPr>
          <w:spacing w:val="0"/>
          <w:kern w:val="0"/>
          <w:sz w:val="20"/>
          <w:rtl/>
        </w:rPr>
        <w:t>و</w:t>
      </w:r>
      <w:r w:rsidRPr="003E698F">
        <w:rPr>
          <w:rFonts w:hint="cs"/>
          <w:spacing w:val="0"/>
          <w:kern w:val="0"/>
          <w:sz w:val="20"/>
          <w:rtl/>
        </w:rPr>
        <w:t xml:space="preserve">الأدوية لمعالجة حالات </w:t>
      </w:r>
      <w:r w:rsidRPr="003E698F">
        <w:rPr>
          <w:spacing w:val="0"/>
          <w:kern w:val="0"/>
          <w:sz w:val="20"/>
          <w:rtl/>
        </w:rPr>
        <w:t>الاكتئاب في كينشاسا</w:t>
      </w:r>
      <w:r w:rsidRPr="003E698F">
        <w:rPr>
          <w:rFonts w:hint="cs"/>
          <w:spacing w:val="0"/>
          <w:kern w:val="0"/>
          <w:sz w:val="20"/>
          <w:szCs w:val="28"/>
          <w:vertAlign w:val="superscript"/>
          <w:rtl/>
        </w:rPr>
        <w:t>(</w:t>
      </w:r>
      <w:r w:rsidRPr="003E698F">
        <w:rPr>
          <w:rStyle w:val="FootnoteReference"/>
          <w:spacing w:val="0"/>
          <w:sz w:val="20"/>
          <w:rtl/>
        </w:rPr>
        <w:footnoteReference w:id="194"/>
      </w:r>
      <w:r w:rsidRPr="003E698F">
        <w:rPr>
          <w:rFonts w:hint="cs"/>
          <w:spacing w:val="0"/>
          <w:kern w:val="0"/>
          <w:sz w:val="20"/>
          <w:szCs w:val="28"/>
          <w:vertAlign w:val="superscript"/>
          <w:rtl/>
        </w:rPr>
        <w:t>)</w:t>
      </w:r>
      <w:r w:rsidRPr="003E698F">
        <w:rPr>
          <w:spacing w:val="0"/>
          <w:kern w:val="0"/>
          <w:sz w:val="20"/>
          <w:rtl/>
        </w:rPr>
        <w:t>. وتلاحظ اللجنة أيضا</w:t>
      </w:r>
      <w:r w:rsidRPr="003E698F">
        <w:rPr>
          <w:rFonts w:hint="cs"/>
          <w:spacing w:val="0"/>
          <w:kern w:val="0"/>
          <w:sz w:val="20"/>
          <w:rtl/>
        </w:rPr>
        <w:t>ً</w:t>
      </w:r>
      <w:r w:rsidRPr="003E698F">
        <w:rPr>
          <w:spacing w:val="0"/>
          <w:kern w:val="0"/>
          <w:sz w:val="20"/>
          <w:rtl/>
        </w:rPr>
        <w:t xml:space="preserve"> أنه </w:t>
      </w:r>
      <w:r w:rsidRPr="003E698F">
        <w:rPr>
          <w:rFonts w:hint="cs"/>
          <w:spacing w:val="0"/>
          <w:kern w:val="0"/>
          <w:sz w:val="20"/>
          <w:rtl/>
        </w:rPr>
        <w:t>حتى لو تدهورت ا</w:t>
      </w:r>
      <w:r w:rsidRPr="003E698F">
        <w:rPr>
          <w:spacing w:val="0"/>
          <w:kern w:val="0"/>
          <w:sz w:val="20"/>
          <w:rtl/>
        </w:rPr>
        <w:t xml:space="preserve">لحالة الصحية </w:t>
      </w:r>
      <w:r w:rsidRPr="003E698F">
        <w:rPr>
          <w:rFonts w:hint="cs"/>
          <w:spacing w:val="0"/>
          <w:kern w:val="0"/>
          <w:sz w:val="20"/>
          <w:rtl/>
        </w:rPr>
        <w:t>لصاحبة الشكوى</w:t>
      </w:r>
      <w:r w:rsidRPr="003E698F">
        <w:rPr>
          <w:spacing w:val="0"/>
          <w:kern w:val="0"/>
          <w:sz w:val="20"/>
          <w:rtl/>
        </w:rPr>
        <w:t xml:space="preserve"> </w:t>
      </w:r>
      <w:r w:rsidRPr="003E698F">
        <w:rPr>
          <w:rFonts w:hint="cs"/>
          <w:spacing w:val="0"/>
          <w:kern w:val="0"/>
          <w:sz w:val="20"/>
          <w:rtl/>
        </w:rPr>
        <w:t>بعد طردها</w:t>
      </w:r>
      <w:r w:rsidRPr="003E698F">
        <w:rPr>
          <w:spacing w:val="0"/>
          <w:kern w:val="0"/>
          <w:sz w:val="20"/>
          <w:rtl/>
        </w:rPr>
        <w:t xml:space="preserve">، </w:t>
      </w:r>
      <w:r w:rsidRPr="003E698F">
        <w:rPr>
          <w:rFonts w:hint="cs"/>
          <w:spacing w:val="0"/>
          <w:kern w:val="0"/>
          <w:sz w:val="20"/>
          <w:rtl/>
        </w:rPr>
        <w:t xml:space="preserve">فإن هذا التدهور لا يشكل في حد ذاته </w:t>
      </w:r>
      <w:r w:rsidRPr="003E698F">
        <w:rPr>
          <w:spacing w:val="0"/>
          <w:kern w:val="0"/>
          <w:sz w:val="20"/>
          <w:rtl/>
        </w:rPr>
        <w:t xml:space="preserve">معاملة </w:t>
      </w:r>
      <w:r w:rsidRPr="003E698F">
        <w:rPr>
          <w:rFonts w:hint="cs"/>
          <w:spacing w:val="0"/>
          <w:kern w:val="0"/>
          <w:sz w:val="20"/>
          <w:rtl/>
        </w:rPr>
        <w:t>أو عقوبة قاسية أو لا إنسانية</w:t>
      </w:r>
      <w:r w:rsidRPr="003E698F">
        <w:rPr>
          <w:spacing w:val="0"/>
          <w:kern w:val="0"/>
          <w:sz w:val="20"/>
          <w:rtl/>
        </w:rPr>
        <w:t xml:space="preserve"> أو مهينة </w:t>
      </w:r>
      <w:r w:rsidRPr="003E698F">
        <w:rPr>
          <w:rFonts w:hint="cs"/>
          <w:spacing w:val="0"/>
          <w:kern w:val="0"/>
          <w:sz w:val="20"/>
          <w:rtl/>
        </w:rPr>
        <w:t xml:space="preserve">تُنسب إلى </w:t>
      </w:r>
      <w:r w:rsidRPr="003E698F">
        <w:rPr>
          <w:spacing w:val="0"/>
          <w:kern w:val="0"/>
          <w:sz w:val="20"/>
          <w:rtl/>
        </w:rPr>
        <w:t xml:space="preserve">الدولة الطرف </w:t>
      </w:r>
      <w:r w:rsidRPr="003E698F">
        <w:rPr>
          <w:rFonts w:hint="cs"/>
          <w:spacing w:val="0"/>
          <w:kern w:val="0"/>
          <w:sz w:val="20"/>
          <w:rtl/>
        </w:rPr>
        <w:t xml:space="preserve">بالمعنى </w:t>
      </w:r>
      <w:r w:rsidRPr="003E698F">
        <w:rPr>
          <w:spacing w:val="0"/>
          <w:kern w:val="0"/>
          <w:sz w:val="20"/>
          <w:rtl/>
        </w:rPr>
        <w:t>المقصود في المادة 16 من الاتفاقي</w:t>
      </w:r>
      <w:r w:rsidRPr="003E698F">
        <w:rPr>
          <w:rFonts w:hint="cs"/>
          <w:spacing w:val="0"/>
          <w:kern w:val="0"/>
          <w:sz w:val="20"/>
          <w:rtl/>
        </w:rPr>
        <w:t>ة</w:t>
      </w:r>
      <w:r w:rsidRPr="003E698F">
        <w:rPr>
          <w:rFonts w:hint="cs"/>
          <w:spacing w:val="0"/>
          <w:kern w:val="0"/>
          <w:sz w:val="20"/>
          <w:szCs w:val="28"/>
          <w:vertAlign w:val="superscript"/>
          <w:rtl/>
        </w:rPr>
        <w:t>(</w:t>
      </w:r>
      <w:r w:rsidRPr="003E698F">
        <w:rPr>
          <w:rStyle w:val="FootnoteReference"/>
          <w:spacing w:val="0"/>
          <w:sz w:val="20"/>
          <w:rtl/>
        </w:rPr>
        <w:footnoteReference w:id="195"/>
      </w:r>
      <w:r w:rsidRPr="003E698F">
        <w:rPr>
          <w:rFonts w:hint="cs"/>
          <w:spacing w:val="0"/>
          <w:kern w:val="0"/>
          <w:sz w:val="20"/>
          <w:szCs w:val="28"/>
          <w:vertAlign w:val="superscript"/>
          <w:rtl/>
        </w:rPr>
        <w:t>)</w:t>
      </w:r>
      <w:r w:rsidRPr="003E698F">
        <w:rPr>
          <w:rFonts w:hint="cs"/>
          <w:spacing w:val="0"/>
          <w:kern w:val="0"/>
          <w:sz w:val="20"/>
          <w:rtl/>
        </w:rPr>
        <w:t>.</w:t>
      </w:r>
    </w:p>
    <w:p w:rsidR="00921F02" w:rsidRPr="003E698F" w:rsidRDefault="00921F02" w:rsidP="00921F02">
      <w:pPr>
        <w:pStyle w:val="SingleTxtGA"/>
        <w:jc w:val="lowKashida"/>
        <w:rPr>
          <w:spacing w:val="0"/>
          <w:kern w:val="0"/>
          <w:sz w:val="20"/>
          <w:rtl/>
        </w:rPr>
      </w:pPr>
      <w:r w:rsidRPr="003E698F">
        <w:rPr>
          <w:rFonts w:hint="cs"/>
          <w:spacing w:val="0"/>
          <w:kern w:val="0"/>
          <w:sz w:val="20"/>
          <w:rtl/>
        </w:rPr>
        <w:t>9-9</w:t>
      </w:r>
      <w:r w:rsidRPr="003E698F">
        <w:rPr>
          <w:rFonts w:hint="cs"/>
          <w:spacing w:val="0"/>
          <w:kern w:val="0"/>
          <w:sz w:val="20"/>
          <w:rtl/>
        </w:rPr>
        <w:tab/>
      </w:r>
      <w:r w:rsidRPr="003E698F">
        <w:rPr>
          <w:spacing w:val="0"/>
          <w:kern w:val="0"/>
          <w:sz w:val="20"/>
          <w:rtl/>
        </w:rPr>
        <w:t>وتذكّر اللجنة ب</w:t>
      </w:r>
      <w:r w:rsidRPr="003E698F">
        <w:rPr>
          <w:rFonts w:hint="cs"/>
          <w:spacing w:val="0"/>
          <w:kern w:val="0"/>
          <w:sz w:val="20"/>
          <w:rtl/>
        </w:rPr>
        <w:t>قراراتها</w:t>
      </w:r>
      <w:r w:rsidRPr="003E698F">
        <w:rPr>
          <w:spacing w:val="0"/>
          <w:kern w:val="0"/>
          <w:sz w:val="20"/>
          <w:rtl/>
        </w:rPr>
        <w:t xml:space="preserve"> السابقة التي تقضي بأن صاحب الشكوى </w:t>
      </w:r>
      <w:r w:rsidRPr="003E698F">
        <w:rPr>
          <w:rFonts w:hint="cs"/>
          <w:spacing w:val="0"/>
          <w:kern w:val="0"/>
          <w:sz w:val="20"/>
          <w:rtl/>
        </w:rPr>
        <w:t>هو المسؤول عادةً عن تقديم قضية مدعمة بحجج</w:t>
      </w:r>
      <w:r w:rsidRPr="003E698F">
        <w:rPr>
          <w:spacing w:val="0"/>
          <w:kern w:val="0"/>
          <w:sz w:val="20"/>
          <w:rtl/>
        </w:rPr>
        <w:t xml:space="preserve"> </w:t>
      </w:r>
      <w:r w:rsidRPr="003E698F">
        <w:rPr>
          <w:rFonts w:hint="cs"/>
          <w:spacing w:val="0"/>
          <w:kern w:val="0"/>
          <w:sz w:val="20"/>
          <w:rtl/>
        </w:rPr>
        <w:t>قوية</w:t>
      </w:r>
      <w:r w:rsidRPr="003E698F">
        <w:rPr>
          <w:rFonts w:hint="cs"/>
          <w:spacing w:val="0"/>
          <w:kern w:val="0"/>
          <w:sz w:val="20"/>
          <w:szCs w:val="28"/>
          <w:vertAlign w:val="superscript"/>
          <w:rtl/>
        </w:rPr>
        <w:t>(</w:t>
      </w:r>
      <w:r w:rsidRPr="003E698F">
        <w:rPr>
          <w:rStyle w:val="FootnoteReference"/>
          <w:spacing w:val="0"/>
          <w:sz w:val="20"/>
          <w:rtl/>
        </w:rPr>
        <w:footnoteReference w:id="196"/>
      </w:r>
      <w:r w:rsidRPr="003E698F">
        <w:rPr>
          <w:rFonts w:hint="cs"/>
          <w:spacing w:val="0"/>
          <w:kern w:val="0"/>
          <w:sz w:val="20"/>
          <w:szCs w:val="28"/>
          <w:vertAlign w:val="superscript"/>
          <w:rtl/>
        </w:rPr>
        <w:t>)</w:t>
      </w:r>
      <w:r w:rsidRPr="003E698F">
        <w:rPr>
          <w:rFonts w:hint="cs"/>
          <w:spacing w:val="0"/>
          <w:kern w:val="0"/>
          <w:sz w:val="20"/>
          <w:rtl/>
        </w:rPr>
        <w:t xml:space="preserve">. </w:t>
      </w:r>
      <w:r w:rsidRPr="003E698F">
        <w:rPr>
          <w:spacing w:val="0"/>
          <w:kern w:val="0"/>
          <w:sz w:val="20"/>
          <w:rtl/>
        </w:rPr>
        <w:t>و</w:t>
      </w:r>
      <w:r w:rsidRPr="003E698F">
        <w:rPr>
          <w:rFonts w:hint="cs"/>
          <w:spacing w:val="0"/>
          <w:kern w:val="0"/>
          <w:sz w:val="20"/>
          <w:rtl/>
        </w:rPr>
        <w:t xml:space="preserve">استناداً إلى جميع المعلومات المقدمة إلى اللجنة، بما في ذلك الحالة السائدة في كينشاسا، ترى اللجنة </w:t>
      </w:r>
      <w:r w:rsidRPr="003E698F">
        <w:rPr>
          <w:spacing w:val="0"/>
          <w:kern w:val="0"/>
          <w:sz w:val="20"/>
          <w:rtl/>
        </w:rPr>
        <w:t>أن</w:t>
      </w:r>
      <w:r w:rsidRPr="003E698F">
        <w:rPr>
          <w:rFonts w:hint="cs"/>
          <w:spacing w:val="0"/>
          <w:kern w:val="0"/>
          <w:sz w:val="20"/>
          <w:rtl/>
        </w:rPr>
        <w:t xml:space="preserve"> صاحبة الشكوى لم تقدم أدلة كافية تحملها على الاعتقاد</w:t>
      </w:r>
      <w:r w:rsidRPr="003E698F">
        <w:rPr>
          <w:spacing w:val="0"/>
          <w:kern w:val="0"/>
          <w:sz w:val="20"/>
          <w:rtl/>
        </w:rPr>
        <w:t xml:space="preserve"> </w:t>
      </w:r>
      <w:r w:rsidRPr="003E698F">
        <w:rPr>
          <w:rFonts w:hint="cs"/>
          <w:spacing w:val="0"/>
          <w:kern w:val="0"/>
          <w:sz w:val="20"/>
          <w:rtl/>
        </w:rPr>
        <w:t>ب</w:t>
      </w:r>
      <w:r w:rsidRPr="003E698F">
        <w:rPr>
          <w:spacing w:val="0"/>
          <w:kern w:val="0"/>
          <w:sz w:val="20"/>
          <w:rtl/>
        </w:rPr>
        <w:t>أن</w:t>
      </w:r>
      <w:r w:rsidRPr="003E698F">
        <w:rPr>
          <w:rFonts w:hint="cs"/>
          <w:spacing w:val="0"/>
          <w:kern w:val="0"/>
          <w:sz w:val="20"/>
          <w:rtl/>
        </w:rPr>
        <w:t xml:space="preserve"> عودتها إلى جمهورية الكونغو الديمقراطية ستعرضها لخطر حقيقي ومحدد وشخصي بالتعرض للتعذيب، وفقا</w:t>
      </w:r>
      <w:r w:rsidR="002C2A9D">
        <w:rPr>
          <w:rFonts w:hint="cs"/>
          <w:spacing w:val="0"/>
          <w:kern w:val="0"/>
          <w:sz w:val="20"/>
          <w:rtl/>
        </w:rPr>
        <w:t>ً</w:t>
      </w:r>
      <w:r w:rsidRPr="003E698F">
        <w:rPr>
          <w:rFonts w:hint="cs"/>
          <w:spacing w:val="0"/>
          <w:kern w:val="0"/>
          <w:sz w:val="20"/>
          <w:rtl/>
        </w:rPr>
        <w:t xml:space="preserve"> لما تقتضيه المادة 3 من الاتفاقية.</w:t>
      </w:r>
    </w:p>
    <w:p w:rsidR="00921F02" w:rsidRPr="003E698F" w:rsidRDefault="00921F02" w:rsidP="00921F02">
      <w:pPr>
        <w:pStyle w:val="SingleTxtGA"/>
        <w:jc w:val="lowKashida"/>
        <w:rPr>
          <w:spacing w:val="0"/>
          <w:kern w:val="0"/>
          <w:sz w:val="20"/>
          <w:rtl/>
        </w:rPr>
      </w:pPr>
      <w:r w:rsidRPr="003E698F">
        <w:rPr>
          <w:rFonts w:hint="cs"/>
          <w:spacing w:val="0"/>
          <w:kern w:val="0"/>
          <w:sz w:val="20"/>
          <w:rtl/>
        </w:rPr>
        <w:t>10-</w:t>
      </w:r>
      <w:r w:rsidRPr="003E698F">
        <w:rPr>
          <w:rFonts w:hint="cs"/>
          <w:spacing w:val="0"/>
          <w:kern w:val="0"/>
          <w:sz w:val="20"/>
          <w:rtl/>
        </w:rPr>
        <w:tab/>
        <w:t>وبناء</w:t>
      </w:r>
      <w:r w:rsidR="00EC14B7">
        <w:rPr>
          <w:rFonts w:hint="cs"/>
          <w:spacing w:val="0"/>
          <w:kern w:val="0"/>
          <w:sz w:val="20"/>
          <w:rtl/>
        </w:rPr>
        <w:t>ً</w:t>
      </w:r>
      <w:r w:rsidRPr="003E698F">
        <w:rPr>
          <w:rFonts w:hint="cs"/>
          <w:spacing w:val="0"/>
          <w:kern w:val="0"/>
          <w:sz w:val="20"/>
          <w:rtl/>
        </w:rPr>
        <w:t xml:space="preserve"> عليه</w:t>
      </w:r>
      <w:r w:rsidRPr="003E698F">
        <w:rPr>
          <w:spacing w:val="0"/>
          <w:kern w:val="0"/>
          <w:sz w:val="20"/>
          <w:rtl/>
        </w:rPr>
        <w:t xml:space="preserve">، </w:t>
      </w:r>
      <w:r w:rsidRPr="003E698F">
        <w:rPr>
          <w:rFonts w:hint="cs"/>
          <w:spacing w:val="0"/>
          <w:kern w:val="0"/>
          <w:sz w:val="20"/>
          <w:rtl/>
        </w:rPr>
        <w:t xml:space="preserve">فإن </w:t>
      </w:r>
      <w:r w:rsidRPr="003E698F">
        <w:rPr>
          <w:spacing w:val="0"/>
          <w:kern w:val="0"/>
          <w:sz w:val="20"/>
          <w:rtl/>
        </w:rPr>
        <w:t xml:space="preserve">لجنة مناهضة التعذيب، </w:t>
      </w:r>
      <w:r w:rsidRPr="003E698F">
        <w:rPr>
          <w:rFonts w:hint="cs"/>
          <w:spacing w:val="0"/>
          <w:kern w:val="0"/>
          <w:sz w:val="20"/>
          <w:rtl/>
        </w:rPr>
        <w:t xml:space="preserve">إذ تعمل </w:t>
      </w:r>
      <w:r w:rsidRPr="003E698F">
        <w:rPr>
          <w:spacing w:val="0"/>
          <w:kern w:val="0"/>
          <w:sz w:val="20"/>
          <w:rtl/>
        </w:rPr>
        <w:t>ب</w:t>
      </w:r>
      <w:r w:rsidRPr="003E698F">
        <w:rPr>
          <w:rFonts w:hint="cs"/>
          <w:spacing w:val="0"/>
          <w:kern w:val="0"/>
          <w:sz w:val="20"/>
          <w:rtl/>
        </w:rPr>
        <w:t xml:space="preserve">موجب </w:t>
      </w:r>
      <w:r w:rsidRPr="003E698F">
        <w:rPr>
          <w:spacing w:val="0"/>
          <w:kern w:val="0"/>
          <w:sz w:val="20"/>
          <w:rtl/>
        </w:rPr>
        <w:t xml:space="preserve">الفقرة 7 من المادة 22 من اتفاقية مناهضة التعذيب وغيره من ضروب المعاملة أو العقوبة القاسية أو اللاإنسانية أو المهينة، </w:t>
      </w:r>
      <w:r w:rsidRPr="003E698F">
        <w:rPr>
          <w:rFonts w:hint="cs"/>
          <w:spacing w:val="0"/>
          <w:kern w:val="0"/>
          <w:sz w:val="20"/>
          <w:rtl/>
        </w:rPr>
        <w:t xml:space="preserve">تخلص إلى </w:t>
      </w:r>
      <w:r w:rsidRPr="003E698F">
        <w:rPr>
          <w:spacing w:val="0"/>
          <w:kern w:val="0"/>
          <w:sz w:val="20"/>
          <w:rtl/>
        </w:rPr>
        <w:t>أن إعادة صاحب</w:t>
      </w:r>
      <w:r w:rsidRPr="003E698F">
        <w:rPr>
          <w:rFonts w:hint="cs"/>
          <w:spacing w:val="0"/>
          <w:kern w:val="0"/>
          <w:sz w:val="20"/>
          <w:rtl/>
        </w:rPr>
        <w:t>ة</w:t>
      </w:r>
      <w:r w:rsidRPr="003E698F">
        <w:rPr>
          <w:spacing w:val="0"/>
          <w:kern w:val="0"/>
          <w:sz w:val="20"/>
          <w:rtl/>
        </w:rPr>
        <w:t xml:space="preserve"> الشكوى إلى </w:t>
      </w:r>
      <w:r w:rsidRPr="003E698F">
        <w:rPr>
          <w:rFonts w:hint="cs"/>
          <w:spacing w:val="0"/>
          <w:kern w:val="0"/>
          <w:sz w:val="20"/>
          <w:rtl/>
        </w:rPr>
        <w:t>جمهورية الكونغو الديمقراطية</w:t>
      </w:r>
      <w:r w:rsidRPr="003E698F">
        <w:rPr>
          <w:spacing w:val="0"/>
          <w:kern w:val="0"/>
          <w:sz w:val="20"/>
          <w:rtl/>
        </w:rPr>
        <w:t xml:space="preserve"> لا </w:t>
      </w:r>
      <w:r w:rsidRPr="003E698F">
        <w:rPr>
          <w:rFonts w:hint="cs"/>
          <w:spacing w:val="0"/>
          <w:kern w:val="0"/>
          <w:sz w:val="20"/>
          <w:rtl/>
        </w:rPr>
        <w:t xml:space="preserve">تشكل </w:t>
      </w:r>
      <w:r w:rsidRPr="003E698F">
        <w:rPr>
          <w:spacing w:val="0"/>
          <w:kern w:val="0"/>
          <w:sz w:val="20"/>
          <w:rtl/>
        </w:rPr>
        <w:t>انتهاك</w:t>
      </w:r>
      <w:r w:rsidRPr="003E698F">
        <w:rPr>
          <w:rFonts w:hint="cs"/>
          <w:spacing w:val="0"/>
          <w:kern w:val="0"/>
          <w:sz w:val="20"/>
          <w:rtl/>
        </w:rPr>
        <w:t>ا</w:t>
      </w:r>
      <w:r w:rsidR="009E31FC">
        <w:rPr>
          <w:rFonts w:hint="cs"/>
          <w:spacing w:val="0"/>
          <w:kern w:val="0"/>
          <w:sz w:val="20"/>
          <w:rtl/>
        </w:rPr>
        <w:t>ً</w:t>
      </w:r>
      <w:r w:rsidRPr="003E698F">
        <w:rPr>
          <w:spacing w:val="0"/>
          <w:kern w:val="0"/>
          <w:sz w:val="20"/>
          <w:rtl/>
        </w:rPr>
        <w:t xml:space="preserve"> للمادة 3 من الاتفاقية. </w:t>
      </w:r>
    </w:p>
    <w:p w:rsidR="00FE387B" w:rsidRDefault="00FE387B" w:rsidP="00921F02">
      <w:pPr>
        <w:pStyle w:val="H1GA"/>
        <w:rPr>
          <w:spacing w:val="0"/>
          <w:kern w:val="0"/>
          <w:sz w:val="20"/>
          <w:rtl/>
        </w:rPr>
        <w:sectPr w:rsidR="00FE387B"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921F02" w:rsidRPr="003E698F" w:rsidRDefault="00921F02" w:rsidP="00FE387B">
      <w:pPr>
        <w:pStyle w:val="H1GA"/>
        <w:spacing w:before="120"/>
        <w:rPr>
          <w:rFonts w:hint="cs"/>
          <w:spacing w:val="0"/>
          <w:kern w:val="0"/>
          <w:sz w:val="20"/>
          <w:rtl/>
        </w:rPr>
      </w:pPr>
      <w:r w:rsidRPr="003E698F">
        <w:rPr>
          <w:rFonts w:hint="cs"/>
          <w:spacing w:val="0"/>
          <w:kern w:val="0"/>
          <w:sz w:val="20"/>
          <w:rtl/>
        </w:rPr>
        <w:tab/>
      </w:r>
      <w:r w:rsidRPr="003E698F">
        <w:rPr>
          <w:rFonts w:hint="cs"/>
          <w:spacing w:val="0"/>
          <w:kern w:val="0"/>
          <w:sz w:val="20"/>
          <w:rtl/>
        </w:rPr>
        <w:tab/>
        <w:t xml:space="preserve">البلاغ رقم 351/2008: </w:t>
      </w:r>
      <w:r w:rsidRPr="003E698F">
        <w:rPr>
          <w:rFonts w:hint="cs"/>
          <w:i/>
          <w:iCs/>
          <w:spacing w:val="0"/>
          <w:kern w:val="0"/>
          <w:sz w:val="20"/>
          <w:rtl/>
        </w:rPr>
        <w:t>إ. ل. ضد سويسرا</w:t>
      </w:r>
    </w:p>
    <w:p w:rsidR="00921F02" w:rsidRPr="003E698F" w:rsidRDefault="00921F02" w:rsidP="00FE387B">
      <w:pPr>
        <w:pStyle w:val="SingleTxtGA"/>
        <w:tabs>
          <w:tab w:val="left" w:pos="4458"/>
        </w:tabs>
        <w:spacing w:line="360" w:lineRule="exact"/>
        <w:ind w:left="3974" w:hanging="2727"/>
        <w:rPr>
          <w:spacing w:val="0"/>
          <w:kern w:val="0"/>
          <w:sz w:val="20"/>
          <w:rtl/>
        </w:rPr>
      </w:pPr>
      <w:r w:rsidRPr="003E698F">
        <w:rPr>
          <w:rFonts w:hint="cs"/>
          <w:i/>
          <w:iCs/>
          <w:spacing w:val="0"/>
          <w:kern w:val="0"/>
          <w:sz w:val="20"/>
          <w:rtl/>
        </w:rPr>
        <w:tab/>
      </w:r>
      <w:r w:rsidRPr="003E698F">
        <w:rPr>
          <w:i/>
          <w:iCs/>
          <w:spacing w:val="0"/>
          <w:kern w:val="0"/>
          <w:sz w:val="20"/>
          <w:rtl/>
        </w:rPr>
        <w:t>المقدم من:</w:t>
      </w:r>
      <w:r w:rsidRPr="003E698F">
        <w:rPr>
          <w:i/>
          <w:iCs/>
          <w:spacing w:val="0"/>
          <w:kern w:val="0"/>
          <w:sz w:val="20"/>
          <w:rtl/>
        </w:rPr>
        <w:tab/>
      </w:r>
      <w:r w:rsidRPr="003E698F">
        <w:rPr>
          <w:i/>
          <w:iCs/>
          <w:spacing w:val="0"/>
          <w:kern w:val="0"/>
          <w:sz w:val="20"/>
          <w:rtl/>
        </w:rPr>
        <w:tab/>
      </w:r>
      <w:r w:rsidRPr="003E698F">
        <w:rPr>
          <w:rFonts w:hint="cs"/>
          <w:i/>
          <w:iCs/>
          <w:spacing w:val="0"/>
          <w:kern w:val="0"/>
          <w:sz w:val="20"/>
          <w:rtl/>
        </w:rPr>
        <w:tab/>
      </w:r>
      <w:r w:rsidRPr="003E698F">
        <w:rPr>
          <w:rFonts w:hint="cs"/>
          <w:spacing w:val="0"/>
          <w:kern w:val="0"/>
          <w:sz w:val="20"/>
          <w:rtl/>
        </w:rPr>
        <w:tab/>
        <w:t>إ. ل. (لا يمثلها محام)</w:t>
      </w:r>
    </w:p>
    <w:p w:rsidR="00921F02" w:rsidRPr="003E698F" w:rsidRDefault="00921F02" w:rsidP="00FE387B">
      <w:pPr>
        <w:pStyle w:val="SingleTxtGA"/>
        <w:tabs>
          <w:tab w:val="left" w:pos="4458"/>
        </w:tabs>
        <w:spacing w:line="360" w:lineRule="exact"/>
        <w:ind w:left="3974" w:hanging="2727"/>
        <w:rPr>
          <w:i/>
          <w:iCs/>
          <w:spacing w:val="0"/>
          <w:kern w:val="0"/>
          <w:sz w:val="20"/>
          <w:rtl/>
        </w:rPr>
      </w:pPr>
      <w:r w:rsidRPr="003E698F">
        <w:rPr>
          <w:rFonts w:hint="cs"/>
          <w:i/>
          <w:iCs/>
          <w:spacing w:val="0"/>
          <w:kern w:val="0"/>
          <w:sz w:val="20"/>
          <w:rtl/>
        </w:rPr>
        <w:tab/>
      </w:r>
      <w:r w:rsidRPr="003E698F">
        <w:rPr>
          <w:i/>
          <w:iCs/>
          <w:spacing w:val="0"/>
          <w:kern w:val="0"/>
          <w:sz w:val="20"/>
          <w:rtl/>
        </w:rPr>
        <w:t>الشخص المدعى أنه ضحية:</w:t>
      </w:r>
      <w:r w:rsidRPr="003E698F">
        <w:rPr>
          <w:i/>
          <w:iCs/>
          <w:spacing w:val="0"/>
          <w:kern w:val="0"/>
          <w:sz w:val="20"/>
          <w:rtl/>
        </w:rPr>
        <w:tab/>
      </w:r>
      <w:r w:rsidRPr="003E698F">
        <w:rPr>
          <w:spacing w:val="0"/>
          <w:kern w:val="0"/>
          <w:sz w:val="20"/>
          <w:rtl/>
        </w:rPr>
        <w:t>صاحب</w:t>
      </w:r>
      <w:r w:rsidRPr="003E698F">
        <w:rPr>
          <w:rFonts w:hint="cs"/>
          <w:spacing w:val="0"/>
          <w:kern w:val="0"/>
          <w:sz w:val="20"/>
          <w:rtl/>
        </w:rPr>
        <w:t>ة الشكوى</w:t>
      </w:r>
    </w:p>
    <w:p w:rsidR="00921F02" w:rsidRPr="003E698F" w:rsidRDefault="00921F02" w:rsidP="00FE387B">
      <w:pPr>
        <w:pStyle w:val="SingleTxtGA"/>
        <w:tabs>
          <w:tab w:val="left" w:pos="4458"/>
        </w:tabs>
        <w:spacing w:line="360" w:lineRule="exact"/>
        <w:ind w:left="3974" w:hanging="2727"/>
        <w:rPr>
          <w:i/>
          <w:iCs/>
          <w:spacing w:val="0"/>
          <w:kern w:val="0"/>
          <w:sz w:val="20"/>
          <w:rtl/>
        </w:rPr>
      </w:pPr>
      <w:r w:rsidRPr="003E698F">
        <w:rPr>
          <w:rFonts w:hint="cs"/>
          <w:i/>
          <w:iCs/>
          <w:spacing w:val="0"/>
          <w:kern w:val="0"/>
          <w:sz w:val="20"/>
          <w:rtl/>
        </w:rPr>
        <w:tab/>
      </w:r>
      <w:r w:rsidRPr="003E698F">
        <w:rPr>
          <w:i/>
          <w:iCs/>
          <w:spacing w:val="0"/>
          <w:kern w:val="0"/>
          <w:sz w:val="20"/>
          <w:rtl/>
        </w:rPr>
        <w:t>الدولة الطرف:</w:t>
      </w:r>
      <w:r w:rsidRPr="003E698F">
        <w:rPr>
          <w:i/>
          <w:iCs/>
          <w:spacing w:val="0"/>
          <w:kern w:val="0"/>
          <w:sz w:val="20"/>
          <w:rtl/>
        </w:rPr>
        <w:tab/>
      </w:r>
      <w:r w:rsidRPr="003E698F">
        <w:rPr>
          <w:i/>
          <w:iCs/>
          <w:spacing w:val="0"/>
          <w:kern w:val="0"/>
          <w:sz w:val="20"/>
          <w:rtl/>
        </w:rPr>
        <w:tab/>
      </w:r>
      <w:r w:rsidRPr="003E698F">
        <w:rPr>
          <w:rFonts w:hint="cs"/>
          <w:i/>
          <w:iCs/>
          <w:spacing w:val="0"/>
          <w:kern w:val="0"/>
          <w:sz w:val="20"/>
          <w:rtl/>
        </w:rPr>
        <w:tab/>
      </w:r>
      <w:r w:rsidRPr="003E698F">
        <w:rPr>
          <w:rFonts w:hint="cs"/>
          <w:spacing w:val="0"/>
          <w:kern w:val="0"/>
          <w:sz w:val="20"/>
          <w:rtl/>
        </w:rPr>
        <w:tab/>
      </w:r>
      <w:r w:rsidRPr="003E698F">
        <w:rPr>
          <w:spacing w:val="0"/>
          <w:kern w:val="0"/>
          <w:sz w:val="20"/>
          <w:rtl/>
        </w:rPr>
        <w:t>سويسرا</w:t>
      </w:r>
    </w:p>
    <w:p w:rsidR="00921F02" w:rsidRPr="003E698F" w:rsidRDefault="00921F02" w:rsidP="00FE387B">
      <w:pPr>
        <w:pStyle w:val="SingleTxtGA"/>
        <w:tabs>
          <w:tab w:val="left" w:pos="4458"/>
        </w:tabs>
        <w:spacing w:line="360" w:lineRule="exact"/>
        <w:ind w:left="3974" w:hanging="2727"/>
        <w:rPr>
          <w:rFonts w:hint="cs"/>
          <w:i/>
          <w:iCs/>
          <w:spacing w:val="0"/>
          <w:kern w:val="0"/>
          <w:sz w:val="20"/>
          <w:rtl/>
        </w:rPr>
      </w:pPr>
      <w:r w:rsidRPr="003E698F">
        <w:rPr>
          <w:rFonts w:hint="cs"/>
          <w:i/>
          <w:iCs/>
          <w:spacing w:val="0"/>
          <w:kern w:val="0"/>
          <w:sz w:val="20"/>
          <w:rtl/>
        </w:rPr>
        <w:tab/>
      </w:r>
      <w:r w:rsidRPr="003E698F">
        <w:rPr>
          <w:i/>
          <w:iCs/>
          <w:spacing w:val="0"/>
          <w:kern w:val="0"/>
          <w:sz w:val="20"/>
          <w:rtl/>
        </w:rPr>
        <w:t>تاريخ تقديم ال</w:t>
      </w:r>
      <w:r w:rsidRPr="003E698F">
        <w:rPr>
          <w:rFonts w:hint="cs"/>
          <w:i/>
          <w:iCs/>
          <w:spacing w:val="0"/>
          <w:kern w:val="0"/>
          <w:sz w:val="20"/>
          <w:rtl/>
        </w:rPr>
        <w:t>شكوى</w:t>
      </w:r>
      <w:r w:rsidRPr="003E698F">
        <w:rPr>
          <w:i/>
          <w:iCs/>
          <w:spacing w:val="0"/>
          <w:kern w:val="0"/>
          <w:sz w:val="20"/>
          <w:rtl/>
        </w:rPr>
        <w:t>:</w:t>
      </w:r>
      <w:r w:rsidRPr="003E698F">
        <w:rPr>
          <w:rFonts w:hint="cs"/>
          <w:i/>
          <w:iCs/>
          <w:spacing w:val="0"/>
          <w:kern w:val="0"/>
          <w:sz w:val="20"/>
          <w:rtl/>
        </w:rPr>
        <w:tab/>
      </w:r>
      <w:r w:rsidRPr="003E698F">
        <w:rPr>
          <w:i/>
          <w:iCs/>
          <w:spacing w:val="0"/>
          <w:kern w:val="0"/>
          <w:sz w:val="20"/>
          <w:rtl/>
        </w:rPr>
        <w:tab/>
      </w:r>
      <w:r w:rsidRPr="003E698F">
        <w:rPr>
          <w:i/>
          <w:iCs/>
          <w:spacing w:val="0"/>
          <w:kern w:val="0"/>
          <w:sz w:val="20"/>
          <w:rtl/>
        </w:rPr>
        <w:tab/>
      </w:r>
      <w:r w:rsidRPr="003E698F">
        <w:rPr>
          <w:rFonts w:hint="cs"/>
          <w:spacing w:val="0"/>
          <w:kern w:val="0"/>
          <w:sz w:val="20"/>
          <w:rtl/>
        </w:rPr>
        <w:t>9 أيار/مايو 2008 (تاريخ الرسالة الأولى)</w:t>
      </w:r>
    </w:p>
    <w:p w:rsidR="00921F02" w:rsidRPr="003E698F" w:rsidRDefault="00921F02" w:rsidP="00FE387B">
      <w:pPr>
        <w:pStyle w:val="SingleTxtGA"/>
        <w:spacing w:line="360" w:lineRule="exact"/>
        <w:jc w:val="lowKashida"/>
        <w:rPr>
          <w:rFonts w:hint="cs"/>
          <w:spacing w:val="0"/>
          <w:kern w:val="0"/>
          <w:sz w:val="20"/>
          <w:rtl/>
        </w:rPr>
      </w:pPr>
      <w:r w:rsidRPr="003E698F">
        <w:rPr>
          <w:rFonts w:hint="cs"/>
          <w:i/>
          <w:iCs/>
          <w:spacing w:val="0"/>
          <w:kern w:val="0"/>
          <w:sz w:val="20"/>
          <w:rtl/>
        </w:rPr>
        <w:tab/>
        <w:t>إن لجنة مناهضة التعذيب</w:t>
      </w:r>
      <w:r w:rsidRPr="003E698F">
        <w:rPr>
          <w:rFonts w:hint="cs"/>
          <w:spacing w:val="0"/>
          <w:kern w:val="0"/>
          <w:sz w:val="20"/>
          <w:rtl/>
        </w:rPr>
        <w:t>، المنشأة بموجب المادة 17 من اتفاقية مناهضة التعذيب وغيره من ضروب المعاملة أو العقوبة القاسية أو اللاإنسانية أو المهينة،</w:t>
      </w:r>
    </w:p>
    <w:p w:rsidR="00921F02" w:rsidRPr="003E698F" w:rsidRDefault="00921F02" w:rsidP="00FE387B">
      <w:pPr>
        <w:pStyle w:val="SingleTxtGA"/>
        <w:spacing w:line="360" w:lineRule="exact"/>
        <w:jc w:val="lowKashida"/>
        <w:rPr>
          <w:rFonts w:hint="cs"/>
          <w:spacing w:val="0"/>
          <w:kern w:val="0"/>
          <w:sz w:val="20"/>
          <w:rtl/>
        </w:rPr>
      </w:pPr>
      <w:r w:rsidRPr="003E698F">
        <w:rPr>
          <w:rFonts w:hint="cs"/>
          <w:i/>
          <w:iCs/>
          <w:spacing w:val="0"/>
          <w:kern w:val="0"/>
          <w:sz w:val="20"/>
          <w:rtl/>
        </w:rPr>
        <w:tab/>
        <w:t>وقد اجتمعت</w:t>
      </w:r>
      <w:r w:rsidRPr="003E698F">
        <w:rPr>
          <w:rFonts w:hint="cs"/>
          <w:spacing w:val="0"/>
          <w:kern w:val="0"/>
          <w:sz w:val="20"/>
          <w:rtl/>
        </w:rPr>
        <w:t xml:space="preserve"> في 15 تشرين الثاني/نوفمبر 2011،</w:t>
      </w:r>
    </w:p>
    <w:p w:rsidR="00921F02" w:rsidRPr="003E698F" w:rsidRDefault="00921F02" w:rsidP="000B4D1D">
      <w:pPr>
        <w:pStyle w:val="SingleTxtGA"/>
        <w:spacing w:line="360" w:lineRule="exact"/>
        <w:jc w:val="lowKashida"/>
        <w:rPr>
          <w:rFonts w:hint="cs"/>
          <w:spacing w:val="0"/>
          <w:kern w:val="0"/>
          <w:sz w:val="20"/>
          <w:rtl/>
        </w:rPr>
      </w:pPr>
      <w:r w:rsidRPr="003E698F">
        <w:rPr>
          <w:rFonts w:hint="cs"/>
          <w:i/>
          <w:iCs/>
          <w:spacing w:val="0"/>
          <w:kern w:val="0"/>
          <w:sz w:val="20"/>
          <w:rtl/>
        </w:rPr>
        <w:tab/>
        <w:t xml:space="preserve">وقد فرغت </w:t>
      </w:r>
      <w:r w:rsidRPr="003E698F">
        <w:rPr>
          <w:rFonts w:hint="cs"/>
          <w:spacing w:val="0"/>
          <w:kern w:val="0"/>
          <w:sz w:val="20"/>
          <w:rtl/>
        </w:rPr>
        <w:t>من النظر في البلاغ رقم 351/2008، الذي قدمته إ. ل. إلى لجنة مناهضة التعذيب بموجب المادة 22 من اتفاقية مناهضة التعذيب وغيره من ضروب المعاملة أو</w:t>
      </w:r>
      <w:r w:rsidR="000B4D1D">
        <w:rPr>
          <w:rFonts w:hint="eastAsia"/>
          <w:spacing w:val="0"/>
          <w:kern w:val="0"/>
          <w:sz w:val="20"/>
          <w:rtl/>
        </w:rPr>
        <w:t> </w:t>
      </w:r>
      <w:r w:rsidRPr="003E698F">
        <w:rPr>
          <w:rFonts w:hint="cs"/>
          <w:spacing w:val="0"/>
          <w:kern w:val="0"/>
          <w:sz w:val="20"/>
          <w:rtl/>
        </w:rPr>
        <w:t>العقوبة القاسية أو اللاإنسانية أو المهينة،</w:t>
      </w:r>
    </w:p>
    <w:p w:rsidR="00921F02" w:rsidRPr="003E698F" w:rsidRDefault="00921F02" w:rsidP="00FE387B">
      <w:pPr>
        <w:pStyle w:val="SingleTxtGA"/>
        <w:spacing w:line="360" w:lineRule="exact"/>
        <w:jc w:val="lowKashida"/>
        <w:rPr>
          <w:rFonts w:hint="cs"/>
          <w:spacing w:val="0"/>
          <w:kern w:val="0"/>
          <w:sz w:val="20"/>
          <w:rtl/>
        </w:rPr>
      </w:pPr>
      <w:r w:rsidRPr="003E698F">
        <w:rPr>
          <w:rFonts w:hint="cs"/>
          <w:i/>
          <w:iCs/>
          <w:spacing w:val="0"/>
          <w:kern w:val="0"/>
          <w:sz w:val="20"/>
          <w:rtl/>
        </w:rPr>
        <w:tab/>
        <w:t xml:space="preserve">وقد أخذت في اعتبارها </w:t>
      </w:r>
      <w:r w:rsidRPr="003E698F">
        <w:rPr>
          <w:rFonts w:hint="cs"/>
          <w:spacing w:val="0"/>
          <w:kern w:val="0"/>
          <w:sz w:val="20"/>
          <w:rtl/>
        </w:rPr>
        <w:t>جميع المعلومات التي أتاحتها لها صاحبة الشكوى والدولة الطرف،</w:t>
      </w:r>
    </w:p>
    <w:p w:rsidR="00921F02" w:rsidRPr="003E698F" w:rsidRDefault="00921F02" w:rsidP="00FE387B">
      <w:pPr>
        <w:pStyle w:val="SingleTxtGA"/>
        <w:spacing w:line="360" w:lineRule="exact"/>
        <w:jc w:val="lowKashida"/>
        <w:rPr>
          <w:rFonts w:hint="cs"/>
          <w:spacing w:val="0"/>
          <w:kern w:val="0"/>
          <w:sz w:val="20"/>
          <w:rtl/>
        </w:rPr>
      </w:pPr>
      <w:r w:rsidRPr="003E698F">
        <w:rPr>
          <w:rFonts w:hint="cs"/>
          <w:spacing w:val="0"/>
          <w:kern w:val="0"/>
          <w:sz w:val="20"/>
          <w:rtl/>
        </w:rPr>
        <w:tab/>
      </w:r>
      <w:r w:rsidRPr="003E698F">
        <w:rPr>
          <w:rFonts w:hint="cs"/>
          <w:i/>
          <w:iCs/>
          <w:spacing w:val="0"/>
          <w:kern w:val="0"/>
          <w:sz w:val="20"/>
          <w:rtl/>
        </w:rPr>
        <w:t>تعتمد ما يلي</w:t>
      </w:r>
      <w:r w:rsidRPr="003E698F">
        <w:rPr>
          <w:rFonts w:hint="cs"/>
          <w:spacing w:val="0"/>
          <w:kern w:val="0"/>
          <w:sz w:val="20"/>
          <w:rtl/>
        </w:rPr>
        <w:t>:</w:t>
      </w:r>
    </w:p>
    <w:p w:rsidR="00921F02" w:rsidRPr="003E698F" w:rsidRDefault="00921F02" w:rsidP="00921F02">
      <w:pPr>
        <w:pStyle w:val="H1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قرار بموجب الفقرة 7 من المادة 22 من اتفاقية مناهضة التعذيب وغيره من ضروب المعاملة أو العقوبة القاسية أو اللاإنسانية أو المهينة</w:t>
      </w:r>
    </w:p>
    <w:p w:rsidR="00921F02" w:rsidRPr="003E698F" w:rsidRDefault="00921F02" w:rsidP="00FE387B">
      <w:pPr>
        <w:pStyle w:val="SingleTxtGA"/>
        <w:spacing w:line="360" w:lineRule="exact"/>
        <w:jc w:val="lowKashida"/>
        <w:rPr>
          <w:rFonts w:hint="cs"/>
          <w:spacing w:val="0"/>
          <w:kern w:val="0"/>
          <w:sz w:val="20"/>
          <w:rtl/>
          <w:lang w:val="fr-CH"/>
        </w:rPr>
      </w:pPr>
      <w:r w:rsidRPr="003E698F">
        <w:rPr>
          <w:rFonts w:hint="cs"/>
          <w:spacing w:val="0"/>
          <w:kern w:val="0"/>
          <w:sz w:val="20"/>
          <w:rtl/>
          <w:lang w:val="fr-CH"/>
        </w:rPr>
        <w:t>1-1</w:t>
      </w:r>
      <w:r w:rsidRPr="003E698F">
        <w:rPr>
          <w:rFonts w:hint="cs"/>
          <w:spacing w:val="0"/>
          <w:kern w:val="0"/>
          <w:sz w:val="20"/>
          <w:rtl/>
          <w:lang w:val="fr-CH"/>
        </w:rPr>
        <w:tab/>
        <w:t>صاحبة الشكوى هي إ. ل.، وهي من مواطني جمهورية الكونغو الديمقراطية، من مواليد عام 1988، وتواجه خطر الترحيل من سويسرا. وتدعي صاحبة الشكوى أن ترحيلها إلى جمهورية الكونغو الديمقراطية يشكل انتهاكاً للمادة 3 من اتفاقية مناهضة التعذيب وغيره من ضروب المعاملة أو العقوبة القاسية أو اللاإنسانية أو المهينة. ولا يمثلها محام.</w:t>
      </w:r>
    </w:p>
    <w:p w:rsidR="00921F02" w:rsidRPr="00283F0D" w:rsidRDefault="00921F02" w:rsidP="00283F0D">
      <w:pPr>
        <w:pStyle w:val="SingleTxtGA"/>
        <w:spacing w:line="360" w:lineRule="exact"/>
        <w:jc w:val="lowKashida"/>
        <w:rPr>
          <w:rFonts w:hint="cs"/>
          <w:spacing w:val="-2"/>
          <w:kern w:val="0"/>
          <w:sz w:val="20"/>
          <w:rtl/>
          <w:lang w:val="fr-CH"/>
        </w:rPr>
      </w:pPr>
      <w:r w:rsidRPr="00283F0D">
        <w:rPr>
          <w:rFonts w:hint="cs"/>
          <w:spacing w:val="-2"/>
          <w:kern w:val="0"/>
          <w:sz w:val="20"/>
          <w:rtl/>
          <w:lang w:val="fr-CH"/>
        </w:rPr>
        <w:t>1-2</w:t>
      </w:r>
      <w:r w:rsidRPr="00283F0D">
        <w:rPr>
          <w:rFonts w:hint="cs"/>
          <w:spacing w:val="-2"/>
          <w:kern w:val="0"/>
          <w:sz w:val="20"/>
          <w:rtl/>
          <w:lang w:val="fr-CH"/>
        </w:rPr>
        <w:tab/>
        <w:t>وفي 18 آب/أغسطس 2007، طلب المقرر الخاص المعني بالبلاغات الجديدة والتدابير المؤقتة إلى الدولة الطرف، بموجب الفقرة 1 من المادة 108 من النظام الداخلي للجنة، عدم</w:t>
      </w:r>
      <w:r w:rsidR="00283F0D">
        <w:rPr>
          <w:rFonts w:hint="eastAsia"/>
          <w:spacing w:val="-2"/>
          <w:kern w:val="0"/>
          <w:sz w:val="20"/>
          <w:rtl/>
          <w:lang w:val="fr-CH"/>
        </w:rPr>
        <w:t> </w:t>
      </w:r>
      <w:r w:rsidRPr="00283F0D">
        <w:rPr>
          <w:rFonts w:hint="cs"/>
          <w:spacing w:val="-2"/>
          <w:kern w:val="0"/>
          <w:sz w:val="20"/>
          <w:rtl/>
          <w:lang w:val="fr-CH"/>
        </w:rPr>
        <w:t xml:space="preserve">ترحيل صاحبة الشكوى إلى جمهورية الكونغو الديمقراطية </w:t>
      </w:r>
      <w:r w:rsidR="00283F0D" w:rsidRPr="00283F0D">
        <w:rPr>
          <w:rFonts w:hint="cs"/>
          <w:spacing w:val="-2"/>
          <w:kern w:val="0"/>
          <w:sz w:val="20"/>
          <w:rtl/>
          <w:lang w:val="fr-CH"/>
        </w:rPr>
        <w:t>ما دامت قضيتها قيد النظر</w:t>
      </w:r>
      <w:r w:rsidRPr="00283F0D">
        <w:rPr>
          <w:rFonts w:hint="cs"/>
          <w:spacing w:val="-2"/>
          <w:kern w:val="0"/>
          <w:sz w:val="20"/>
          <w:rtl/>
          <w:lang w:val="fr-CH"/>
        </w:rPr>
        <w:t>.</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بيان الوقائع</w:t>
      </w:r>
      <w:r w:rsidRPr="003E698F">
        <w:rPr>
          <w:spacing w:val="0"/>
          <w:kern w:val="0"/>
          <w:sz w:val="20"/>
          <w:vertAlign w:val="superscript"/>
          <w:rtl/>
          <w:lang w:val="fr-CH"/>
        </w:rPr>
        <w:t>(</w:t>
      </w:r>
      <w:r w:rsidRPr="003E698F">
        <w:rPr>
          <w:rStyle w:val="FootnoteReference"/>
          <w:spacing w:val="0"/>
          <w:sz w:val="20"/>
          <w:rtl/>
          <w:lang w:val="fr-CH"/>
        </w:rPr>
        <w:footnoteReference w:id="197"/>
      </w:r>
      <w:r w:rsidRPr="003E698F">
        <w:rPr>
          <w:spacing w:val="0"/>
          <w:kern w:val="0"/>
          <w:sz w:val="20"/>
          <w:vertAlign w:val="superscript"/>
          <w:rtl/>
          <w:lang w:val="fr-CH"/>
        </w:rPr>
        <w:t>)</w:t>
      </w:r>
    </w:p>
    <w:p w:rsidR="00921F02" w:rsidRPr="003E698F" w:rsidRDefault="00921F02" w:rsidP="00FE387B">
      <w:pPr>
        <w:pStyle w:val="SingleTxtGA"/>
        <w:jc w:val="lowKashida"/>
        <w:rPr>
          <w:rFonts w:hint="cs"/>
          <w:spacing w:val="0"/>
          <w:kern w:val="0"/>
          <w:sz w:val="20"/>
          <w:rtl/>
          <w:lang w:val="fr-CH"/>
        </w:rPr>
      </w:pPr>
      <w:r w:rsidRPr="003E698F">
        <w:rPr>
          <w:rFonts w:hint="cs"/>
          <w:spacing w:val="0"/>
          <w:kern w:val="0"/>
          <w:sz w:val="20"/>
          <w:rtl/>
          <w:lang w:val="fr-CH"/>
        </w:rPr>
        <w:t>2-1</w:t>
      </w:r>
      <w:r w:rsidRPr="003E698F">
        <w:rPr>
          <w:rFonts w:hint="cs"/>
          <w:spacing w:val="0"/>
          <w:kern w:val="0"/>
          <w:sz w:val="20"/>
          <w:rtl/>
          <w:lang w:val="fr-CH"/>
        </w:rPr>
        <w:tab/>
        <w:t xml:space="preserve">تدعي صاحبة الشكوى أنها بعد وفاة والدتها في عام 1998 </w:t>
      </w:r>
      <w:r w:rsidR="00FE387B">
        <w:rPr>
          <w:rFonts w:hint="cs"/>
          <w:spacing w:val="0"/>
          <w:kern w:val="0"/>
          <w:sz w:val="20"/>
          <w:rtl/>
          <w:lang w:val="fr-CH"/>
        </w:rPr>
        <w:t>-</w:t>
      </w:r>
      <w:r w:rsidRPr="003E698F">
        <w:rPr>
          <w:rFonts w:hint="cs"/>
          <w:spacing w:val="0"/>
          <w:kern w:val="0"/>
          <w:sz w:val="20"/>
          <w:rtl/>
          <w:lang w:val="fr-CH"/>
        </w:rPr>
        <w:t xml:space="preserve"> في أعقاب وفاة والدها في عام 1990</w:t>
      </w:r>
      <w:r w:rsidR="00FE387B">
        <w:rPr>
          <w:rFonts w:hint="cs"/>
          <w:spacing w:val="0"/>
          <w:kern w:val="0"/>
          <w:sz w:val="20"/>
          <w:rtl/>
          <w:lang w:val="fr-CH"/>
        </w:rPr>
        <w:t xml:space="preserve"> </w:t>
      </w:r>
      <w:r w:rsidRPr="003E698F">
        <w:rPr>
          <w:rFonts w:hint="cs"/>
          <w:spacing w:val="0"/>
          <w:kern w:val="0"/>
          <w:sz w:val="20"/>
          <w:rtl/>
          <w:lang w:val="fr-CH"/>
        </w:rPr>
        <w:t>- كانت تعيش مع أخويها الأكبر منها سناً حتى رحلا إلى رواندا للانضمام إلى قوات المتمردين في عام 2002. وبعد رحيلهما، كانت تعيش مع جيرانها. وفي</w:t>
      </w:r>
      <w:r w:rsidRPr="003E698F">
        <w:rPr>
          <w:rFonts w:hint="eastAsia"/>
          <w:spacing w:val="0"/>
          <w:kern w:val="0"/>
          <w:sz w:val="20"/>
          <w:rtl/>
          <w:lang w:val="fr-CH"/>
        </w:rPr>
        <w:t> </w:t>
      </w:r>
      <w:r w:rsidRPr="003E698F">
        <w:rPr>
          <w:rFonts w:hint="cs"/>
          <w:spacing w:val="0"/>
          <w:kern w:val="0"/>
          <w:sz w:val="20"/>
          <w:rtl/>
          <w:lang w:val="fr-CH"/>
        </w:rPr>
        <w:t>22 حزيران/يونيه 2003، وهي في الخامسة عشرة من العمر، عملت موظفة استقبال في مكتب مقرر الجمعية الوطنية الكونغولية في كينشاسا، السيد رافائيل لوهولو لونغي. وكان من بين مهام عملها استقبال زائري البرلمان</w:t>
      </w:r>
      <w:r w:rsidRPr="003E698F" w:rsidDel="00392E90">
        <w:rPr>
          <w:rFonts w:hint="cs"/>
          <w:spacing w:val="0"/>
          <w:kern w:val="0"/>
          <w:sz w:val="20"/>
          <w:rtl/>
          <w:lang w:val="fr-CH"/>
        </w:rPr>
        <w:t xml:space="preserve"> </w:t>
      </w:r>
      <w:r w:rsidRPr="003E698F">
        <w:rPr>
          <w:rFonts w:hint="cs"/>
          <w:spacing w:val="0"/>
          <w:kern w:val="0"/>
          <w:sz w:val="20"/>
          <w:rtl/>
          <w:lang w:val="fr-CH"/>
        </w:rPr>
        <w:t>الموقرين، وإعداد وثائق الجلسات، وتنظيف مكتب المقرر.</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2-2</w:t>
      </w:r>
      <w:r w:rsidRPr="003E698F">
        <w:rPr>
          <w:rFonts w:hint="cs"/>
          <w:spacing w:val="0"/>
          <w:kern w:val="0"/>
          <w:sz w:val="20"/>
          <w:rtl/>
          <w:lang w:val="fr-CH"/>
        </w:rPr>
        <w:tab/>
        <w:t>وفي عام 2004</w:t>
      </w:r>
      <w:r w:rsidRPr="003E698F">
        <w:rPr>
          <w:spacing w:val="0"/>
          <w:kern w:val="0"/>
          <w:sz w:val="20"/>
          <w:vertAlign w:val="superscript"/>
          <w:rtl/>
          <w:lang w:val="fr-CH"/>
        </w:rPr>
        <w:t>(</w:t>
      </w:r>
      <w:r w:rsidRPr="003E698F">
        <w:rPr>
          <w:rStyle w:val="FootnoteReference"/>
          <w:spacing w:val="0"/>
          <w:sz w:val="20"/>
          <w:rtl/>
          <w:lang w:val="fr-CH"/>
        </w:rPr>
        <w:footnoteReference w:id="198"/>
      </w:r>
      <w:r w:rsidRPr="003E698F">
        <w:rPr>
          <w:spacing w:val="0"/>
          <w:kern w:val="0"/>
          <w:sz w:val="20"/>
          <w:vertAlign w:val="superscript"/>
          <w:rtl/>
          <w:lang w:val="fr-CH"/>
        </w:rPr>
        <w:t>)</w:t>
      </w:r>
      <w:r w:rsidRPr="003E698F">
        <w:rPr>
          <w:rFonts w:hint="cs"/>
          <w:spacing w:val="0"/>
          <w:kern w:val="0"/>
          <w:sz w:val="20"/>
          <w:rtl/>
          <w:lang w:val="fr-CH"/>
        </w:rPr>
        <w:t>، ادعت صاحبة الشكوى أنها تلقت مكالمة هاتفية من أحد أخويها وأبلغها بأنه انضم إلى قوات المتمردين وطلب منها موافاته بجميع المعلومات التي يمكنها الحصول عليها في سياق عملها، وعلى وجه التحديد معلومات عن القوانين التي سيتم التصويت عليها وكذلك معلومات عن تشكيل القوات المسلحة الكونغولية ومواقعها. واستجابت صاحبة الشكوى، حسب زعمها، لطلب أخيها ونقلت إليه معلومات كثيرة بواسطة الهاتف</w:t>
      </w:r>
      <w:r w:rsidRPr="003E698F">
        <w:rPr>
          <w:spacing w:val="0"/>
          <w:kern w:val="0"/>
          <w:sz w:val="20"/>
          <w:vertAlign w:val="superscript"/>
          <w:rtl/>
          <w:lang w:val="fr-CH"/>
        </w:rPr>
        <w:t>(</w:t>
      </w:r>
      <w:r w:rsidRPr="003E698F">
        <w:rPr>
          <w:rStyle w:val="FootnoteReference"/>
          <w:spacing w:val="0"/>
          <w:sz w:val="20"/>
          <w:rtl/>
          <w:lang w:val="fr-CH"/>
        </w:rPr>
        <w:footnoteReference w:id="199"/>
      </w:r>
      <w:r w:rsidRPr="003E698F">
        <w:rPr>
          <w:spacing w:val="0"/>
          <w:kern w:val="0"/>
          <w:sz w:val="20"/>
          <w:vertAlign w:val="superscript"/>
          <w:rtl/>
          <w:lang w:val="fr-CH"/>
        </w:rPr>
        <w:t>)</w:t>
      </w:r>
      <w:r w:rsidRPr="003E698F">
        <w:rPr>
          <w:rFonts w:hint="cs"/>
          <w:spacing w:val="0"/>
          <w:kern w:val="0"/>
          <w:sz w:val="20"/>
          <w:rtl/>
          <w:lang w:val="fr-CH"/>
        </w:rPr>
        <w:t>.</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2-3</w:t>
      </w:r>
      <w:r w:rsidRPr="003E698F">
        <w:rPr>
          <w:rFonts w:hint="cs"/>
          <w:spacing w:val="0"/>
          <w:kern w:val="0"/>
          <w:sz w:val="20"/>
          <w:rtl/>
          <w:lang w:val="fr-CH"/>
        </w:rPr>
        <w:tab/>
        <w:t>وفي 26 كانون الثاني/يناير 2005، تلقت صاحبة الشكوى تحذيراً من أحد الموظفين التابعين لوكالة الاستخبارات الوطنية</w:t>
      </w:r>
      <w:r w:rsidRPr="003E698F">
        <w:rPr>
          <w:spacing w:val="0"/>
          <w:kern w:val="0"/>
          <w:sz w:val="20"/>
          <w:vertAlign w:val="superscript"/>
          <w:rtl/>
          <w:lang w:val="fr-CH"/>
        </w:rPr>
        <w:t>(</w:t>
      </w:r>
      <w:r w:rsidRPr="003E698F">
        <w:rPr>
          <w:rStyle w:val="FootnoteReference"/>
          <w:spacing w:val="0"/>
          <w:sz w:val="20"/>
          <w:rtl/>
          <w:lang w:val="fr-CH"/>
        </w:rPr>
        <w:footnoteReference w:id="200"/>
      </w:r>
      <w:r w:rsidRPr="003E698F">
        <w:rPr>
          <w:spacing w:val="0"/>
          <w:kern w:val="0"/>
          <w:sz w:val="20"/>
          <w:vertAlign w:val="superscript"/>
          <w:rtl/>
          <w:lang w:val="fr-CH"/>
        </w:rPr>
        <w:t>)</w:t>
      </w:r>
      <w:r w:rsidRPr="003E698F">
        <w:rPr>
          <w:rFonts w:hint="cs"/>
          <w:spacing w:val="0"/>
          <w:kern w:val="0"/>
          <w:sz w:val="20"/>
          <w:rtl/>
          <w:lang w:val="fr-CH"/>
        </w:rPr>
        <w:t xml:space="preserve"> بأن الوكالة على علم باتصالاتها مع قوات المتمردين وبالمعلومات السرية التي تنقلها إليها. وفي اليوم التالي، استدعى مقرر البرلمان جميع الموظفين العاملين في مكتبه وأبلغهم بأن وكالة الاستخبارات الوطنية تقوم بالتحقيق في المكتب وبأنها ستكشف آجلاً أو عاجلاً عن الموظف المسؤول عن نقل المعلومات.</w:t>
      </w:r>
    </w:p>
    <w:p w:rsidR="00921F02" w:rsidRPr="003E698F" w:rsidRDefault="00921F02" w:rsidP="00FE387B">
      <w:pPr>
        <w:pStyle w:val="SingleTxtGA"/>
        <w:jc w:val="lowKashida"/>
        <w:rPr>
          <w:rFonts w:hint="cs"/>
          <w:spacing w:val="0"/>
          <w:kern w:val="0"/>
          <w:sz w:val="20"/>
          <w:rtl/>
          <w:lang w:val="fr-CH"/>
        </w:rPr>
      </w:pPr>
      <w:r w:rsidRPr="003E698F">
        <w:rPr>
          <w:rFonts w:hint="cs"/>
          <w:spacing w:val="0"/>
          <w:kern w:val="0"/>
          <w:sz w:val="20"/>
          <w:rtl/>
          <w:lang w:val="fr-CH"/>
        </w:rPr>
        <w:t>2-4</w:t>
      </w:r>
      <w:r w:rsidRPr="003E698F">
        <w:rPr>
          <w:rFonts w:hint="cs"/>
          <w:spacing w:val="0"/>
          <w:kern w:val="0"/>
          <w:sz w:val="20"/>
          <w:rtl/>
          <w:lang w:val="fr-CH"/>
        </w:rPr>
        <w:tab/>
        <w:t>وعلى الفور، أبلغت صاحبة الشكوى أخيها بالتحذير الذي تلقته بشأن الكشف عن المسؤول عن تسريب المعلومات، واتخذ أخوها إجراءات عاجلة لهروبها من البلد. وفي اليوم التالي، استقلت صاحبة الشكوى، بمساعدة أحد معارف أخيها، زورقاً إلى برازافيل، واختبأت</w:t>
      </w:r>
      <w:r w:rsidR="00FE387B">
        <w:rPr>
          <w:rFonts w:hint="eastAsia"/>
          <w:spacing w:val="0"/>
          <w:kern w:val="0"/>
          <w:sz w:val="20"/>
          <w:rtl/>
          <w:lang w:val="fr-CH"/>
        </w:rPr>
        <w:t> </w:t>
      </w:r>
      <w:r w:rsidRPr="003E698F">
        <w:rPr>
          <w:rFonts w:hint="cs"/>
          <w:spacing w:val="0"/>
          <w:kern w:val="0"/>
          <w:sz w:val="20"/>
          <w:rtl/>
          <w:lang w:val="fr-CH"/>
        </w:rPr>
        <w:t>بضعة أيام في أحد المنازل، ثم استقلت الطائرة وتوجهت إلى سويسرا في 22 آذار/مارس 2005.</w:t>
      </w:r>
    </w:p>
    <w:p w:rsidR="00921F02" w:rsidRPr="003E698F" w:rsidRDefault="00921F02" w:rsidP="00706CAA">
      <w:pPr>
        <w:pStyle w:val="SingleTxtGA"/>
        <w:jc w:val="lowKashida"/>
        <w:rPr>
          <w:rFonts w:hint="cs"/>
          <w:spacing w:val="0"/>
          <w:kern w:val="0"/>
          <w:sz w:val="20"/>
          <w:rtl/>
          <w:lang w:val="fr-CH"/>
        </w:rPr>
      </w:pPr>
      <w:r w:rsidRPr="003E698F">
        <w:rPr>
          <w:rFonts w:hint="cs"/>
          <w:spacing w:val="0"/>
          <w:kern w:val="0"/>
          <w:sz w:val="20"/>
          <w:rtl/>
          <w:lang w:val="fr-CH"/>
        </w:rPr>
        <w:t>2-5</w:t>
      </w:r>
      <w:r w:rsidRPr="003E698F">
        <w:rPr>
          <w:rFonts w:hint="cs"/>
          <w:spacing w:val="0"/>
          <w:kern w:val="0"/>
          <w:sz w:val="20"/>
          <w:rtl/>
          <w:lang w:val="fr-CH"/>
        </w:rPr>
        <w:tab/>
        <w:t xml:space="preserve">وفي 23 آذار/مارس 2005، قدمت صاحبة الشكوى طلباً للجوء. وأصدر المكتب الاتحادي للهجرة في </w:t>
      </w:r>
      <w:r w:rsidR="000235D4">
        <w:rPr>
          <w:rFonts w:hint="cs"/>
          <w:spacing w:val="0"/>
          <w:kern w:val="0"/>
          <w:sz w:val="20"/>
          <w:rtl/>
          <w:lang w:val="fr-CH"/>
        </w:rPr>
        <w:t>23</w:t>
      </w:r>
      <w:r w:rsidRPr="003E698F">
        <w:rPr>
          <w:rFonts w:hint="cs"/>
          <w:spacing w:val="0"/>
          <w:kern w:val="0"/>
          <w:sz w:val="20"/>
          <w:rtl/>
          <w:lang w:val="fr-CH"/>
        </w:rPr>
        <w:t xml:space="preserve"> </w:t>
      </w:r>
      <w:r w:rsidR="000235D4">
        <w:rPr>
          <w:rFonts w:hint="cs"/>
          <w:spacing w:val="0"/>
          <w:kern w:val="0"/>
          <w:sz w:val="20"/>
          <w:rtl/>
          <w:lang w:val="fr-CH"/>
        </w:rPr>
        <w:t>آذار/مارس 2005</w:t>
      </w:r>
      <w:r w:rsidRPr="003E698F">
        <w:rPr>
          <w:rFonts w:hint="cs"/>
          <w:spacing w:val="0"/>
          <w:kern w:val="0"/>
          <w:sz w:val="20"/>
          <w:rtl/>
          <w:lang w:val="fr-CH"/>
        </w:rPr>
        <w:t xml:space="preserve"> قراراً برفض الطلب على أساس أن البيانات المقدمة منها لا تستوفي شروط المصداقية. ورأى المكتب الاتحادي على وجه التحديد أن من المستبعد أن تكون صاحبة الشكوى قد حصلت على معلومات سرية بحكم وظيفتها في مكتب المقرر، ولا سيما على معلومات عسكرية. وعلاوة على ذلك، لم تتمكن صاحبة الشكوى من تحديد محتوى المعلومات السرية التي تدعي أنها نقلتها إلى أخيها، أو شرح كيفية علم أخيها بعملها الجديد في مكتب المقرر على الرغم من انقطاع الاتصال بينهما لعدة سنوات. وأخيراً، رأ</w:t>
      </w:r>
      <w:r w:rsidR="00706CAA">
        <w:rPr>
          <w:rFonts w:hint="cs"/>
          <w:spacing w:val="0"/>
          <w:kern w:val="0"/>
          <w:sz w:val="20"/>
          <w:rtl/>
          <w:lang w:val="fr-CH"/>
        </w:rPr>
        <w:t>ى</w:t>
      </w:r>
      <w:r w:rsidRPr="003E698F">
        <w:rPr>
          <w:rFonts w:hint="cs"/>
          <w:spacing w:val="0"/>
          <w:kern w:val="0"/>
          <w:sz w:val="20"/>
          <w:rtl/>
          <w:lang w:val="fr-CH"/>
        </w:rPr>
        <w:t xml:space="preserve"> المكتب الاتحادي أن الوضع في جمهورية الكونغو الديمقراطية، التي لا</w:t>
      </w:r>
      <w:r w:rsidR="00EC14B7">
        <w:rPr>
          <w:rFonts w:hint="eastAsia"/>
          <w:spacing w:val="0"/>
          <w:kern w:val="0"/>
          <w:sz w:val="20"/>
          <w:rtl/>
          <w:lang w:val="fr-CH"/>
        </w:rPr>
        <w:t> </w:t>
      </w:r>
      <w:r w:rsidRPr="003E698F">
        <w:rPr>
          <w:rFonts w:hint="cs"/>
          <w:spacing w:val="0"/>
          <w:kern w:val="0"/>
          <w:sz w:val="20"/>
          <w:rtl/>
          <w:lang w:val="fr-CH"/>
        </w:rPr>
        <w:t>تشهد حرباً أهلية ولا تعاني من العنف في جميع أرجاء البلد، لا يبرر القول بإنها معرضة للخطر بالمفهوم الوارد في الفقرة 4 من المادة 14(أ) من القانون الاتحادي السويسري بشأن إقامة واستيطان الأجانب.</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2-6</w:t>
      </w:r>
      <w:r w:rsidRPr="003E698F">
        <w:rPr>
          <w:rFonts w:hint="cs"/>
          <w:spacing w:val="0"/>
          <w:kern w:val="0"/>
          <w:sz w:val="20"/>
          <w:rtl/>
          <w:lang w:val="fr-CH"/>
        </w:rPr>
        <w:tab/>
        <w:t>وفي 4 تموز/يوليه 2007، طعنت صاحبة الشكوى في هذا القرار أمام المحكمة الإدارية الاتحادية. وفي 26 تموز/يوليه، قدمت صاحبة الشكوى نسخة من مقال نشر في عدد</w:t>
      </w:r>
      <w:r w:rsidRPr="003E698F">
        <w:rPr>
          <w:rFonts w:hint="eastAsia"/>
          <w:spacing w:val="0"/>
          <w:kern w:val="0"/>
          <w:sz w:val="20"/>
          <w:rtl/>
          <w:lang w:val="fr-CH"/>
        </w:rPr>
        <w:t> </w:t>
      </w:r>
      <w:r w:rsidRPr="003E698F">
        <w:rPr>
          <w:rFonts w:hint="cs"/>
          <w:spacing w:val="0"/>
          <w:kern w:val="0"/>
          <w:sz w:val="20"/>
          <w:rtl/>
          <w:lang w:val="fr-CH"/>
        </w:rPr>
        <w:t xml:space="preserve">28 كانون الثاني/يناير 2005 من صحيفة </w:t>
      </w:r>
      <w:r w:rsidRPr="003E698F">
        <w:rPr>
          <w:rFonts w:hint="cs"/>
          <w:i/>
          <w:iCs/>
          <w:spacing w:val="0"/>
          <w:kern w:val="0"/>
          <w:sz w:val="20"/>
          <w:rtl/>
          <w:lang w:val="fr-CH"/>
        </w:rPr>
        <w:t>لامانشيت</w:t>
      </w:r>
      <w:r w:rsidRPr="003E698F">
        <w:rPr>
          <w:rFonts w:hint="cs"/>
          <w:spacing w:val="0"/>
          <w:kern w:val="0"/>
          <w:sz w:val="20"/>
          <w:rtl/>
          <w:lang w:val="fr-CH"/>
        </w:rPr>
        <w:t xml:space="preserve"> الكونغولية التي تصدر مرتين أسبوعياً يفيد بأن الشرطة السياسية تبحث عن صاحبة الشكوى لاتهامها "بالاتجار بالمعلومات والتجسس". وتستند صاحبة الشكوى إلى هذا المقال لتأكيد أن خوفها من الاضطهاد</w:t>
      </w:r>
      <w:r w:rsidRPr="003E698F">
        <w:rPr>
          <w:rFonts w:hint="cs"/>
          <w:spacing w:val="0"/>
          <w:kern w:val="0"/>
          <w:sz w:val="20"/>
          <w:vertAlign w:val="superscript"/>
          <w:rtl/>
          <w:lang w:val="fr-CH"/>
        </w:rPr>
        <w:t xml:space="preserve"> </w:t>
      </w:r>
      <w:r w:rsidRPr="003E698F">
        <w:rPr>
          <w:rFonts w:hint="cs"/>
          <w:spacing w:val="0"/>
          <w:kern w:val="0"/>
          <w:sz w:val="20"/>
          <w:rtl/>
          <w:lang w:val="fr-CH"/>
        </w:rPr>
        <w:t>في المستقبل كان حقيقياً</w:t>
      </w:r>
      <w:r w:rsidRPr="003E698F">
        <w:rPr>
          <w:spacing w:val="0"/>
          <w:kern w:val="0"/>
          <w:sz w:val="20"/>
          <w:vertAlign w:val="superscript"/>
          <w:rtl/>
          <w:lang w:val="fr-CH"/>
        </w:rPr>
        <w:t>(</w:t>
      </w:r>
      <w:r w:rsidRPr="00FE387B">
        <w:rPr>
          <w:rStyle w:val="FootnoteReference"/>
          <w:spacing w:val="0"/>
          <w:sz w:val="2"/>
          <w:szCs w:val="2"/>
          <w:rtl/>
          <w:lang w:val="fr-CH"/>
        </w:rPr>
        <w:footnoteReference w:id="201"/>
      </w:r>
      <w:r w:rsidR="00FE387B" w:rsidRPr="00FE387B">
        <w:rPr>
          <w:rFonts w:hint="cs"/>
          <w:spacing w:val="0"/>
          <w:kern w:val="0"/>
          <w:sz w:val="30"/>
          <w:vertAlign w:val="superscript"/>
          <w:rtl/>
          <w:lang w:val="fr-CH"/>
        </w:rPr>
        <w:t>ﻫ</w:t>
      </w:r>
      <w:r w:rsidRPr="003E698F">
        <w:rPr>
          <w:spacing w:val="0"/>
          <w:kern w:val="0"/>
          <w:sz w:val="20"/>
          <w:vertAlign w:val="superscript"/>
          <w:rtl/>
          <w:lang w:val="fr-CH"/>
        </w:rPr>
        <w:t>)</w:t>
      </w:r>
      <w:r w:rsidRPr="003E698F">
        <w:rPr>
          <w:rFonts w:hint="cs"/>
          <w:spacing w:val="0"/>
          <w:kern w:val="0"/>
          <w:sz w:val="20"/>
          <w:rtl/>
          <w:lang w:val="fr-CH"/>
        </w:rPr>
        <w:t>. وفي 6 أيلول/سبتمبر 2007، رفضت المحكمة الإدارية الاتحادية الطعن وأصبح القرار الصادر برفض اللجوء وترحيل صاحبة الشكوى نهائياً. وخلص حكم المحكمة الإدارية الاتحادية إلى عدم اقتناع المحكمة بعدم قدرة صاحبة الشكوى على تقديم أي أدلة ملموسة على طبيعة ومضمون المعلومات الحساسة والسرية التي زُعم أنها ظلت تنقلها طوال عدة شهور إلى أخويها. وأضافت المحكمة أن الملابسات التي علمت صاحبة البلاغ من خلالها أن وكالة الاستخبارات الوطنية تشك في قيامها بنقل معلومات إلى المتمردين غير معقولة، ولا سيما فيما يتعلق بقيام أحد الموظفين التابعين للوكالة بتحذيرها من الخطر المحدق بها بدلاً من القبض عليها، وبتمكُّن أخويها اللذين كانا يعيشان في المنفى في رواندا من اتخاذ الترتيبات اللازمة لإخراجها من البلد بمثل هذه السرعة بمجرد إجراء اتصال هاتفي وفي أقل من يوم واحد. وفيما يتعلق بالمقال الصحفي، رأت المحكمة أنه لا حجية له نظرا</w:t>
      </w:r>
      <w:r w:rsidR="00706CAA">
        <w:rPr>
          <w:rFonts w:hint="cs"/>
          <w:spacing w:val="0"/>
          <w:kern w:val="0"/>
          <w:sz w:val="20"/>
          <w:rtl/>
          <w:lang w:val="fr-CH"/>
        </w:rPr>
        <w:t>ً</w:t>
      </w:r>
      <w:r w:rsidRPr="003E698F">
        <w:rPr>
          <w:rFonts w:hint="cs"/>
          <w:spacing w:val="0"/>
          <w:kern w:val="0"/>
          <w:sz w:val="20"/>
          <w:rtl/>
          <w:lang w:val="fr-CH"/>
        </w:rPr>
        <w:t xml:space="preserve"> لإمكانية تزوير هذا النوع من النسخ المصورة، ولا سيما أن حجم الحروف التي وردت بالمقال يختلف عن حجم الحروف الواردة بالمقالات الأخرى في نفس الصفحة من الصحيفة.</w:t>
      </w:r>
    </w:p>
    <w:p w:rsidR="00921F02" w:rsidRPr="00FE387B" w:rsidRDefault="00921F02" w:rsidP="00921F02">
      <w:pPr>
        <w:pStyle w:val="SingleTxtGA"/>
        <w:jc w:val="lowKashida"/>
        <w:rPr>
          <w:rFonts w:hint="cs"/>
          <w:spacing w:val="-2"/>
          <w:kern w:val="0"/>
          <w:sz w:val="20"/>
          <w:rtl/>
          <w:lang w:val="fr-CH"/>
        </w:rPr>
      </w:pPr>
      <w:r w:rsidRPr="00FE387B">
        <w:rPr>
          <w:rFonts w:hint="cs"/>
          <w:spacing w:val="-2"/>
          <w:kern w:val="0"/>
          <w:sz w:val="20"/>
          <w:rtl/>
          <w:lang w:val="fr-CH"/>
        </w:rPr>
        <w:t>2-7</w:t>
      </w:r>
      <w:r w:rsidRPr="00FE387B">
        <w:rPr>
          <w:rFonts w:hint="cs"/>
          <w:spacing w:val="-2"/>
          <w:kern w:val="0"/>
          <w:sz w:val="20"/>
          <w:rtl/>
          <w:lang w:val="fr-CH"/>
        </w:rPr>
        <w:tab/>
        <w:t>وفي 29 تشرين الثاني/نوفمبر 2007، أعلنت المحكمة الإدارية الاتحادية رفض التماس إعادة النظر المقدم من صاحبة الشكوى على أساس أنها لم تقدم وقائع جديدة أو أدلة حاسمة فيما يتعلق بالموضوع. وفي 1 شباط/فبراير 2008، قدمت صاحبة الشكوى طلباً جديداً لإعادة النظر في قرار المحكمة الإدارية الاتحادية الصادر في 5 حزيران/يونيه 2007، وأعلنت المحكمة في</w:t>
      </w:r>
      <w:r w:rsidRPr="00FE387B">
        <w:rPr>
          <w:rFonts w:hint="eastAsia"/>
          <w:spacing w:val="-2"/>
          <w:kern w:val="0"/>
          <w:sz w:val="20"/>
          <w:rtl/>
          <w:lang w:val="fr-CH"/>
        </w:rPr>
        <w:t> </w:t>
      </w:r>
      <w:r w:rsidRPr="00FE387B">
        <w:rPr>
          <w:rFonts w:hint="cs"/>
          <w:spacing w:val="-2"/>
          <w:kern w:val="0"/>
          <w:sz w:val="20"/>
          <w:rtl/>
          <w:lang w:val="fr-CH"/>
        </w:rPr>
        <w:t>18 آذار/مارس 2008 عدم قبول هذا الطلب لتقديمه بعد الأجل المحدد للطعن.</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الشكوى</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3-1</w:t>
      </w:r>
      <w:r w:rsidRPr="003E698F">
        <w:rPr>
          <w:rFonts w:hint="cs"/>
          <w:spacing w:val="0"/>
          <w:kern w:val="0"/>
          <w:sz w:val="20"/>
          <w:rtl/>
          <w:lang w:val="fr-CH"/>
        </w:rPr>
        <w:tab/>
        <w:t>تدعي صاحبة الشكوى أنها ستتعرض في حالة عودتها إلى جمهورية الكونغو الديمقراطية للتعذيب أو سوء المعاملة. وأشارت إلى أنها كانت منخرطة في العمل السياسي في البلد، وكانت محيطة بأسرار كثيرة عن الوضع السياسي والأمني فيه، وأنها تركت البلد وتوجهت إلى بلد أجنبي لطلب اللجوء، ويعتبر ذلك في نظر السلطات الكونغولية بمثابة "خيانة" للبلد. وتؤكد صاحبة الشكوى أنها ستتعرض في حالة عودتها لخطر جسيم وملموس لأنها ستخضع، على الأرجح، لاستجواب واف، وبالتالي، لسوء المعاملة.</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3-2</w:t>
      </w:r>
      <w:r w:rsidRPr="003E698F">
        <w:rPr>
          <w:rFonts w:hint="cs"/>
          <w:spacing w:val="0"/>
          <w:kern w:val="0"/>
          <w:sz w:val="20"/>
          <w:rtl/>
          <w:lang w:val="fr-CH"/>
        </w:rPr>
        <w:tab/>
        <w:t>وتفيد صاحبة الشكوى بأن ما يدعم وجود خطر التعرض للتعذيب أو سوء المعاملة هو محاضر جلسات الاستماع، والقرارات الصادرة في طعونها المختلفة، وأدلة الإثبات المقدمة في إطار الإجراءات الداخلية، بما فيها مقال الصحيفة المشار إليه أعلاه</w:t>
      </w:r>
      <w:r w:rsidRPr="003E698F">
        <w:rPr>
          <w:spacing w:val="0"/>
          <w:kern w:val="0"/>
          <w:sz w:val="20"/>
          <w:vertAlign w:val="superscript"/>
          <w:rtl/>
          <w:lang w:val="fr-CH"/>
        </w:rPr>
        <w:t>(</w:t>
      </w:r>
      <w:r w:rsidRPr="003E698F">
        <w:rPr>
          <w:rStyle w:val="FootnoteReference"/>
          <w:spacing w:val="0"/>
          <w:sz w:val="20"/>
          <w:rtl/>
          <w:lang w:val="fr-CH"/>
        </w:rPr>
        <w:footnoteReference w:id="202"/>
      </w:r>
      <w:r w:rsidRPr="003E698F">
        <w:rPr>
          <w:spacing w:val="0"/>
          <w:kern w:val="0"/>
          <w:sz w:val="20"/>
          <w:vertAlign w:val="superscript"/>
          <w:rtl/>
          <w:lang w:val="fr-CH"/>
        </w:rPr>
        <w:t>)</w:t>
      </w:r>
      <w:r w:rsidRPr="003E698F">
        <w:rPr>
          <w:rFonts w:hint="cs"/>
          <w:spacing w:val="0"/>
          <w:kern w:val="0"/>
          <w:sz w:val="20"/>
          <w:rtl/>
          <w:lang w:val="fr-CH"/>
        </w:rPr>
        <w:t>، والشهادة الخطية المقدمة من السيد لوهولو لونغي، التي لم يؤخذ بها، فضلاً عن التصريح الخاص بها، الذي يثبت أنها عملت مع الجمعية الوطنية.</w:t>
      </w:r>
    </w:p>
    <w:p w:rsidR="00921F02" w:rsidRPr="003E698F" w:rsidRDefault="00921F02" w:rsidP="00FE387B">
      <w:pPr>
        <w:pStyle w:val="SingleTxtGA"/>
        <w:jc w:val="lowKashida"/>
        <w:rPr>
          <w:rFonts w:hint="cs"/>
          <w:spacing w:val="0"/>
          <w:kern w:val="0"/>
          <w:sz w:val="20"/>
          <w:rtl/>
          <w:lang w:val="fr-CH"/>
        </w:rPr>
      </w:pPr>
      <w:r w:rsidRPr="003E698F">
        <w:rPr>
          <w:rFonts w:hint="cs"/>
          <w:spacing w:val="0"/>
          <w:kern w:val="0"/>
          <w:sz w:val="20"/>
          <w:rtl/>
          <w:lang w:val="fr-CH"/>
        </w:rPr>
        <w:t>3-3</w:t>
      </w:r>
      <w:r w:rsidRPr="003E698F">
        <w:rPr>
          <w:rFonts w:hint="cs"/>
          <w:spacing w:val="0"/>
          <w:kern w:val="0"/>
          <w:sz w:val="20"/>
          <w:rtl/>
          <w:lang w:val="fr-CH"/>
        </w:rPr>
        <w:tab/>
        <w:t>وتشير صاحبة الشكوى إلى أسباب محددة لهروب النساء وطلبهن اللجوء ولكنها لا</w:t>
      </w:r>
      <w:r w:rsidR="00FE387B">
        <w:rPr>
          <w:rFonts w:hint="eastAsia"/>
          <w:spacing w:val="0"/>
          <w:kern w:val="0"/>
          <w:sz w:val="20"/>
          <w:rtl/>
          <w:lang w:val="fr-CH"/>
        </w:rPr>
        <w:t> </w:t>
      </w:r>
      <w:r w:rsidRPr="003E698F">
        <w:rPr>
          <w:rFonts w:hint="cs"/>
          <w:spacing w:val="0"/>
          <w:kern w:val="0"/>
          <w:sz w:val="20"/>
          <w:rtl/>
          <w:lang w:val="fr-CH"/>
        </w:rPr>
        <w:t>تقدم ما يؤيد هذه الأسباب.</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ملاحظات الدولة الطرف بشأن الأسس الموضوعية للشكوى</w:t>
      </w:r>
    </w:p>
    <w:p w:rsidR="00921F02" w:rsidRPr="003E698F" w:rsidRDefault="00921F02" w:rsidP="00EC14B7">
      <w:pPr>
        <w:pStyle w:val="SingleTxtGA"/>
        <w:jc w:val="lowKashida"/>
        <w:rPr>
          <w:rFonts w:hint="cs"/>
          <w:spacing w:val="0"/>
          <w:kern w:val="0"/>
          <w:sz w:val="20"/>
          <w:lang w:val="fr-CH"/>
        </w:rPr>
      </w:pPr>
      <w:r w:rsidRPr="003E698F">
        <w:rPr>
          <w:rFonts w:hint="cs"/>
          <w:spacing w:val="0"/>
          <w:kern w:val="0"/>
          <w:sz w:val="20"/>
          <w:rtl/>
          <w:lang w:val="fr-CH"/>
        </w:rPr>
        <w:t>4-1</w:t>
      </w:r>
      <w:r w:rsidRPr="003E698F">
        <w:rPr>
          <w:rFonts w:hint="cs"/>
          <w:spacing w:val="0"/>
          <w:kern w:val="0"/>
          <w:sz w:val="20"/>
          <w:rtl/>
          <w:lang w:val="fr-CH"/>
        </w:rPr>
        <w:tab/>
        <w:t>في 17 شباط/فبراير 2009، أفادت الدولة الطرف بأن صاحبة الشكوى لم تقدم دليلاً على احتمال تعرضها بصورة متوقعة وشخصية وحقيقية للتعذيب في حالة عودتها إلى جمهورية الكونغو الديمقراطية. ولم تدّع صاحبة الشكوى تعرضها لسوء المعاملة من قبل. ولم</w:t>
      </w:r>
      <w:r w:rsidR="00EC14B7">
        <w:rPr>
          <w:rFonts w:hint="eastAsia"/>
          <w:spacing w:val="0"/>
          <w:kern w:val="0"/>
          <w:sz w:val="20"/>
          <w:rtl/>
          <w:lang w:val="fr-CH"/>
        </w:rPr>
        <w:t> </w:t>
      </w:r>
      <w:r w:rsidRPr="003E698F">
        <w:rPr>
          <w:rFonts w:hint="cs"/>
          <w:spacing w:val="0"/>
          <w:kern w:val="0"/>
          <w:sz w:val="20"/>
          <w:rtl/>
          <w:lang w:val="fr-CH"/>
        </w:rPr>
        <w:t>تقدم دليلاً على صحة ما تدعيه بشأن نقل معلومات سرية إلى أخويها المرتبطين بحركة التمرد. وبالتحديد، لم تتمكن صاحبة الشكوى من توضيح كيفية علم أخيها بعملها في خدمة البرلمان، وكيفية حصوله على عنوانها بعد ما ترك كينشاسا بعدة سنوات. وعلاوة على ذلك، من غير المعقول أن تترك صاحبة الشكوى عملها وأن تتعرض للآثار الوخيمة التي ستترتب على ذلك لمجرد تلقيها مكالمة هاتفية، ولا سيما أن النشاط المزعوم كان منسوباً إلى الشخص الذي قام بتعيينها في الوظيفة التي كانت تشغلها. كذلك، لم تحدد صاحبة الشكوى الفترة التي جرى فيها الاتصال بينها وبين أخيها، وتناقضت أقوالها في هذا الشأن حيث أكدت في أقوالها الأولى أنه لم يكن هناك اتصال بينها وبين أخويها منذ اتصالهما بها هاتفياً عندما كان عمرها</w:t>
      </w:r>
      <w:r w:rsidRPr="003E698F">
        <w:rPr>
          <w:rFonts w:hint="eastAsia"/>
          <w:spacing w:val="0"/>
          <w:kern w:val="0"/>
          <w:sz w:val="20"/>
          <w:rtl/>
          <w:lang w:val="fr-CH"/>
        </w:rPr>
        <w:t> </w:t>
      </w:r>
      <w:r w:rsidRPr="003E698F">
        <w:rPr>
          <w:rFonts w:hint="cs"/>
          <w:spacing w:val="0"/>
          <w:kern w:val="0"/>
          <w:sz w:val="20"/>
          <w:rtl/>
          <w:lang w:val="fr-CH"/>
        </w:rPr>
        <w:t>15 سنة، ثم قالت بعد ذلك أنها كانت تنقل معلومات إليهما عن طريق الهاتف. وتشير الدولة الطرف أيضاً إلى أن صاحبة الشكوى لم تقدم بيانات عن المعلومات التي تدعي أنها قامت بنقلها وأن التفسير الذي قدمته لذلك وهو خوفها من تذكُّر هذه المعلومات ليس مقنعاً.</w:t>
      </w:r>
    </w:p>
    <w:p w:rsidR="00921F02" w:rsidRPr="003E698F" w:rsidRDefault="00921F02" w:rsidP="00921F02">
      <w:pPr>
        <w:pStyle w:val="SingleTxtGA"/>
        <w:jc w:val="lowKashida"/>
        <w:rPr>
          <w:rFonts w:hint="cs"/>
          <w:spacing w:val="0"/>
          <w:kern w:val="0"/>
          <w:sz w:val="20"/>
          <w:lang w:val="fr-CH"/>
        </w:rPr>
      </w:pPr>
      <w:r w:rsidRPr="003E698F">
        <w:rPr>
          <w:rFonts w:hint="cs"/>
          <w:spacing w:val="0"/>
          <w:kern w:val="0"/>
          <w:sz w:val="20"/>
          <w:rtl/>
          <w:lang w:val="fr-CH"/>
        </w:rPr>
        <w:t>4-2</w:t>
      </w:r>
      <w:r w:rsidRPr="003E698F">
        <w:rPr>
          <w:rFonts w:hint="cs"/>
          <w:spacing w:val="0"/>
          <w:kern w:val="0"/>
          <w:sz w:val="20"/>
          <w:rtl/>
          <w:lang w:val="fr-CH"/>
        </w:rPr>
        <w:tab/>
        <w:t xml:space="preserve">وتشير الدولة الطرف أيضاً إلى وجود تناقضات في الوقائع التي أدلت بها صاحبة الشكوى مما يدعو إلى عدم تصديقها. فوفقاً للدولة الطرف، لم تقدم صاحبة الشكوى ما يدل على صحة المعلومات التي قدمتها عن محيطها العائلي، ولا تتفق هذه المعلومات مع العلاقات الاجتماعية الشائعة في أفريقيا. فليس من المعقول أن تجهل من هم أقارب والديها، والأصل الإثني لوالدتها وتاريخ ميلادها بالتقريب، أو المكان الذي يوجد به أخواها. وتضيف الدولة الطرف أن المعلومات التي قدمتها صاحبة الشكوى عن أسباب هروبها تتناقض مع الواقع العام والسلوك المنطقي. وهكذا، من المستبعد أن يخاطر أحد الموظفين العاملين في وكالة الاستخبارات الوطنية بتحذيرها بالتحريات الجارية بشأنها، ولا سيما في سياق الوضع السائد في جمهورية الكونغو الديمقراطية. ومما يؤكد هذا القول أنها ذكرت في بداية الأمر أن الموظف المذكور اتصل بها هاتفياً ثم عادت وأكدت أنه كلمها شخصياً. وتشير الدولة الطرف إلى أن صاحبة الشكوى وصفت هروبها بطريقة سطحية، دون ذكر من قام بمساعدتها، ومن قام بتمويل هذه الرحلة، وكيف تمت فعلياً، </w:t>
      </w:r>
      <w:r w:rsidR="00001F13">
        <w:rPr>
          <w:rFonts w:hint="cs"/>
          <w:spacing w:val="0"/>
          <w:kern w:val="0"/>
          <w:sz w:val="20"/>
          <w:rtl/>
          <w:lang w:val="fr-CH"/>
        </w:rPr>
        <w:t>وكيف تمكن أخواها من تنظيمها انط</w:t>
      </w:r>
      <w:r w:rsidRPr="003E698F">
        <w:rPr>
          <w:rFonts w:hint="cs"/>
          <w:spacing w:val="0"/>
          <w:kern w:val="0"/>
          <w:sz w:val="20"/>
          <w:rtl/>
          <w:lang w:val="fr-CH"/>
        </w:rPr>
        <w:t>لاقا</w:t>
      </w:r>
      <w:r w:rsidR="00001F13">
        <w:rPr>
          <w:rFonts w:hint="cs"/>
          <w:spacing w:val="0"/>
          <w:kern w:val="0"/>
          <w:sz w:val="20"/>
          <w:rtl/>
          <w:lang w:val="fr-CH"/>
        </w:rPr>
        <w:t>ً</w:t>
      </w:r>
      <w:r w:rsidRPr="003E698F">
        <w:rPr>
          <w:rFonts w:hint="cs"/>
          <w:spacing w:val="0"/>
          <w:kern w:val="0"/>
          <w:sz w:val="20"/>
          <w:rtl/>
          <w:lang w:val="fr-CH"/>
        </w:rPr>
        <w:t xml:space="preserve"> من رواندا في غضون بضع ساعات.</w:t>
      </w:r>
    </w:p>
    <w:p w:rsidR="00921F02" w:rsidRPr="003E698F" w:rsidRDefault="00921F02" w:rsidP="00921F02">
      <w:pPr>
        <w:pStyle w:val="SingleTxtGA"/>
        <w:jc w:val="lowKashida"/>
        <w:rPr>
          <w:rFonts w:hint="cs"/>
          <w:spacing w:val="0"/>
          <w:kern w:val="0"/>
          <w:sz w:val="20"/>
          <w:lang w:val="fr-CH"/>
        </w:rPr>
      </w:pPr>
      <w:r w:rsidRPr="003E698F">
        <w:rPr>
          <w:rFonts w:hint="cs"/>
          <w:spacing w:val="0"/>
          <w:kern w:val="0"/>
          <w:sz w:val="20"/>
          <w:rtl/>
          <w:lang w:val="fr-CH"/>
        </w:rPr>
        <w:t>4-3</w:t>
      </w:r>
      <w:r w:rsidRPr="003E698F">
        <w:rPr>
          <w:rFonts w:hint="cs"/>
          <w:spacing w:val="0"/>
          <w:kern w:val="0"/>
          <w:sz w:val="20"/>
          <w:rtl/>
          <w:lang w:val="fr-CH"/>
        </w:rPr>
        <w:tab/>
        <w:t xml:space="preserve">وتفيد الدولة الطرف بأن عدم صحة رواية صاحبة الشكوى تأكدت بنسخة المقال الصحفي التي قدمتها إلى المحكمة، في مرحلة الطعن، وهو مقال غريب، واضح التزوير، ويتناقض مع ادعاءات صاحبة الشكوى في عدة نقاط. وهكذا، يفيد المقال بأنها كان يتعقبها كل يوم رجال يرتدون الزي العسكري، وهو أمر لم تذكره من قبل. ويفيد المقال أيضاً بأن والديها يبحثان عنها في حين أنهما متوفيان. ومن ناحية أخرى، قدمت صاحبة الشكوى إلى المحكمة شهادة من رئيس تحرير صحيفة </w:t>
      </w:r>
      <w:r w:rsidRPr="003E698F">
        <w:rPr>
          <w:rFonts w:hint="cs"/>
          <w:i/>
          <w:iCs/>
          <w:spacing w:val="0"/>
          <w:kern w:val="0"/>
          <w:sz w:val="20"/>
          <w:rtl/>
          <w:lang w:val="fr-CH"/>
        </w:rPr>
        <w:t>لامانشيت</w:t>
      </w:r>
      <w:r w:rsidRPr="003E698F">
        <w:rPr>
          <w:rFonts w:hint="cs"/>
          <w:spacing w:val="0"/>
          <w:kern w:val="0"/>
          <w:sz w:val="20"/>
          <w:rtl/>
          <w:lang w:val="fr-CH"/>
        </w:rPr>
        <w:t xml:space="preserve"> تؤكد صحة هذا المقال بينما تحمل الورقة التي حررت بها الشهادة اسماً آخر للصحيفة وهو</w:t>
      </w:r>
      <w:r w:rsidRPr="003E698F">
        <w:rPr>
          <w:rFonts w:hint="cs"/>
          <w:i/>
          <w:iCs/>
          <w:spacing w:val="0"/>
          <w:kern w:val="0"/>
          <w:sz w:val="20"/>
          <w:rtl/>
          <w:lang w:val="fr-CH"/>
        </w:rPr>
        <w:t xml:space="preserve"> لاماشيت. </w:t>
      </w:r>
      <w:r w:rsidRPr="003E698F">
        <w:rPr>
          <w:rFonts w:hint="cs"/>
          <w:spacing w:val="0"/>
          <w:kern w:val="0"/>
          <w:sz w:val="20"/>
          <w:rtl/>
          <w:lang w:val="fr-CH"/>
        </w:rPr>
        <w:t>وتستبعد الدولة الطرف أن تتضمن ورقة صادرة من وسيلة إعلام مطبوعة مثل هذا الخطأ الإملائي.</w:t>
      </w:r>
    </w:p>
    <w:p w:rsidR="00921F02" w:rsidRPr="003E698F" w:rsidRDefault="00921F02" w:rsidP="00921F02">
      <w:pPr>
        <w:pStyle w:val="SingleTxtGA"/>
        <w:jc w:val="lowKashida"/>
        <w:rPr>
          <w:rFonts w:hint="cs"/>
          <w:spacing w:val="0"/>
          <w:kern w:val="0"/>
          <w:sz w:val="20"/>
          <w:lang w:val="fr-CH"/>
        </w:rPr>
      </w:pPr>
      <w:r w:rsidRPr="003E698F">
        <w:rPr>
          <w:rFonts w:hint="cs"/>
          <w:spacing w:val="0"/>
          <w:kern w:val="0"/>
          <w:sz w:val="20"/>
          <w:rtl/>
          <w:lang w:val="fr-CH"/>
        </w:rPr>
        <w:t>4-4</w:t>
      </w:r>
      <w:r w:rsidRPr="003E698F">
        <w:rPr>
          <w:rFonts w:hint="cs"/>
          <w:spacing w:val="0"/>
          <w:kern w:val="0"/>
          <w:sz w:val="20"/>
          <w:rtl/>
          <w:lang w:val="fr-CH"/>
        </w:rPr>
        <w:tab/>
        <w:t>وأخيراً، تدعي الدولة الطرف أن تقديم "شهادة" خطية منسوبة إلى السيد لوهولو لونغي، في مرحلة الطعن، دليل أيضاً على عدم صحة رواية صاحبة الشكوى. فوفقاً للدولة الطرف، من المشكوك فيه أن يقر السيد لوهولو لونغي صراحة بمسؤوليته عن تسرب معلومات هامة من مكتبه. وعلاوة على ذلك، لا يعقل أن تصدر هذه الشهادة من ذات الشخص الذي يكون مستاء من صاحبة الشكوى لقيامها بنقل معلومات سرية. واستناد الشهادة إلى المقال الذي نشر في صحيفة</w:t>
      </w:r>
      <w:r w:rsidRPr="003E698F">
        <w:rPr>
          <w:rFonts w:hint="cs"/>
          <w:i/>
          <w:iCs/>
          <w:spacing w:val="0"/>
          <w:kern w:val="0"/>
          <w:sz w:val="20"/>
          <w:rtl/>
          <w:lang w:val="fr-CH"/>
        </w:rPr>
        <w:t xml:space="preserve"> لامانشيت</w:t>
      </w:r>
      <w:r w:rsidRPr="003E698F">
        <w:rPr>
          <w:rFonts w:hint="cs"/>
          <w:spacing w:val="0"/>
          <w:kern w:val="0"/>
          <w:sz w:val="20"/>
          <w:rtl/>
          <w:lang w:val="fr-CH"/>
        </w:rPr>
        <w:t>، والذي يعتبر مقالا محرفاً، يلقي بظلال من الشك في عدم مصداقية هذه الشهادة.</w:t>
      </w:r>
    </w:p>
    <w:p w:rsidR="00921F02" w:rsidRPr="003E698F" w:rsidRDefault="00921F02" w:rsidP="00706CAA">
      <w:pPr>
        <w:pStyle w:val="SingleTxtGA"/>
        <w:jc w:val="lowKashida"/>
        <w:rPr>
          <w:rFonts w:hint="cs"/>
          <w:spacing w:val="0"/>
          <w:kern w:val="0"/>
          <w:sz w:val="20"/>
          <w:rtl/>
          <w:lang w:val="fr-CH"/>
        </w:rPr>
      </w:pPr>
      <w:r w:rsidRPr="003E698F">
        <w:rPr>
          <w:rFonts w:hint="cs"/>
          <w:spacing w:val="0"/>
          <w:kern w:val="0"/>
          <w:sz w:val="20"/>
          <w:rtl/>
          <w:lang w:val="fr-CH"/>
        </w:rPr>
        <w:t>4-5</w:t>
      </w:r>
      <w:r w:rsidRPr="003E698F">
        <w:rPr>
          <w:rFonts w:hint="cs"/>
          <w:spacing w:val="0"/>
          <w:kern w:val="0"/>
          <w:sz w:val="20"/>
          <w:rtl/>
          <w:lang w:val="fr-CH"/>
        </w:rPr>
        <w:tab/>
        <w:t>وخلصت الدولة الطرف إلى أن إدعاءات صاحبة الشكوى والأدلة المقدمة لتأييدها لا</w:t>
      </w:r>
      <w:r w:rsidR="00706CAA">
        <w:rPr>
          <w:rFonts w:hint="eastAsia"/>
          <w:spacing w:val="0"/>
          <w:kern w:val="0"/>
          <w:sz w:val="20"/>
          <w:rtl/>
          <w:lang w:val="fr-CH"/>
        </w:rPr>
        <w:t> </w:t>
      </w:r>
      <w:r w:rsidRPr="003E698F">
        <w:rPr>
          <w:rFonts w:hint="cs"/>
          <w:spacing w:val="0"/>
          <w:kern w:val="0"/>
          <w:sz w:val="20"/>
          <w:rtl/>
          <w:lang w:val="fr-CH"/>
        </w:rPr>
        <w:t>تسمح بالقول باحتمال تعرضها بصورة حقيقية وملموسة وشخصية للتعذيب في حالة عودتها إلى جمهورية الكونغو الديمقراطية.</w:t>
      </w:r>
    </w:p>
    <w:p w:rsidR="00921F02" w:rsidRPr="003E698F" w:rsidRDefault="00921F02" w:rsidP="00921F02">
      <w:pPr>
        <w:pStyle w:val="H23GA"/>
        <w:keepNext/>
        <w:keepLines/>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تعليقات صاحبة الشكوى على ملاحظات الدولة الطرف</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5-1</w:t>
      </w:r>
      <w:r w:rsidRPr="003E698F">
        <w:rPr>
          <w:rFonts w:hint="cs"/>
          <w:spacing w:val="0"/>
          <w:kern w:val="0"/>
          <w:sz w:val="20"/>
          <w:rtl/>
          <w:lang w:val="fr-CH"/>
        </w:rPr>
        <w:tab/>
        <w:t xml:space="preserve">في 24 نيسان/أبريل 2009، أكدت صاحبة الشكوى مجدداً النتائج التي توصلت إليها وطلبت إلى اللجنة عدم الأخذ بالملاحظات المقدمة من الدولة الطرف. وقدمت صاحبة الشكوى نسخة من أمر الضبط والإحضار الصادر في 25 كانون الثاني/يناير 2009 إلى وكالة الاستخبارات الوطنية للبحث عنها فوراً في مدينة كينشاسا. وتؤكد صاحبة الشكوى أن هذا الأمر يدل على احتمال تعرضها بصورة متوقعة وحقيقية وشخصية لمعاملة مخالفة للمادة 3 من الاتفاقية. وتبرر صاحبة الشكوى هذا الاحتمال بالتصرفات التي قامت بها قبل </w:t>
      </w:r>
      <w:r w:rsidRPr="00FE387B">
        <w:rPr>
          <w:rFonts w:hint="cs"/>
          <w:spacing w:val="-2"/>
          <w:kern w:val="0"/>
          <w:sz w:val="20"/>
          <w:rtl/>
          <w:lang w:val="fr-CH"/>
        </w:rPr>
        <w:t>مغادرة جمهورية الكونغو الديمقراطية، في البرلمان، وفيما يتعلق بالمعلومات الواردة في وثائق الدولة الحساسة التي كانت في حوزتها، وطلب اللجوء الذي قدمته إلى سويسرا. وتشير صاحبة الشكوى إلى أن الدولة الطرف لم تشكك في عملها السابق في برلمان جمهورية الكونغو الديمقراطية. وتشدد على أهمية شهادة المقرر، السيد لوهولو لونغي، والمقال الصحفي</w:t>
      </w:r>
      <w:r w:rsidR="00FE387B" w:rsidRPr="00FE387B">
        <w:rPr>
          <w:rFonts w:hint="cs"/>
          <w:spacing w:val="-2"/>
          <w:kern w:val="0"/>
          <w:sz w:val="20"/>
          <w:rtl/>
          <w:lang w:val="fr-CH"/>
        </w:rPr>
        <w:t xml:space="preserve"> </w:t>
      </w:r>
      <w:r w:rsidRPr="00FE387B">
        <w:rPr>
          <w:rFonts w:hint="cs"/>
          <w:spacing w:val="-2"/>
          <w:kern w:val="0"/>
          <w:sz w:val="20"/>
          <w:rtl/>
          <w:lang w:val="fr-CH"/>
        </w:rPr>
        <w:t>- على الرغم من العيوب الشكلية البسيطة الواردة بهما - بوصفهما عنصرين يدلان على</w:t>
      </w:r>
      <w:r w:rsidRPr="003E698F">
        <w:rPr>
          <w:rFonts w:hint="cs"/>
          <w:spacing w:val="0"/>
          <w:kern w:val="0"/>
          <w:sz w:val="20"/>
          <w:rtl/>
          <w:lang w:val="fr-CH"/>
        </w:rPr>
        <w:t xml:space="preserve"> الأخطار الجسيمة التي ستتعرض لها في حالة عودتها إلى جمهورية الكونغو الديمقراطية.</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ملاحظات إضافية مقدمة من الدولة الطرف</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6-</w:t>
      </w:r>
      <w:r w:rsidRPr="003E698F">
        <w:rPr>
          <w:rFonts w:hint="cs"/>
          <w:spacing w:val="0"/>
          <w:kern w:val="0"/>
          <w:sz w:val="20"/>
          <w:rtl/>
          <w:lang w:val="fr-CH"/>
        </w:rPr>
        <w:tab/>
        <w:t>في 12 أيار/مايو 2009، كررت الدولة الطرف ملاحظاتها السابقة وأفادت بأن ملاحظات صاحبة الشكوى لا تنطوي على عناصر جديدة. وتؤكد الدولة الطرف أن أمر الضبط والإحضار الذي تشير إليه صاحبة الشكوى مزور بوضوح، فمن المستبعد أن يصدر مثل هذا الأمر في كانون الثاني/يناير 2009 بعد مغادرتها للبلد بنحو أربع سنوات تقريباً. وعلاوة على ذلك، من غير المعقول أن تصدر السلطات الكونغولية أمراً بالبحث عنها في كينشاسا في حين أنها كانت تعلم بأنها طلبت اللجوء إلى سويسرا.</w:t>
      </w:r>
    </w:p>
    <w:p w:rsidR="00921F02" w:rsidRPr="003E698F" w:rsidRDefault="00921F02" w:rsidP="00921F02">
      <w:pPr>
        <w:pStyle w:val="H23GA"/>
        <w:jc w:val="lowKashida"/>
        <w:rPr>
          <w:rFonts w:hint="cs"/>
          <w:spacing w:val="0"/>
          <w:kern w:val="0"/>
          <w:sz w:val="20"/>
          <w:rtl/>
          <w:lang w:val="fr-CH"/>
        </w:rPr>
      </w:pPr>
      <w:r w:rsidRPr="003E698F">
        <w:rPr>
          <w:rFonts w:hint="cs"/>
          <w:spacing w:val="0"/>
          <w:kern w:val="0"/>
          <w:sz w:val="20"/>
          <w:rtl/>
          <w:lang w:val="fr-CH"/>
        </w:rPr>
        <w:tab/>
      </w:r>
      <w:r w:rsidRPr="003E698F">
        <w:rPr>
          <w:rFonts w:hint="cs"/>
          <w:spacing w:val="0"/>
          <w:kern w:val="0"/>
          <w:sz w:val="20"/>
          <w:rtl/>
          <w:lang w:val="fr-CH"/>
        </w:rPr>
        <w:tab/>
        <w:t>تعليقات إضافية مقدمة من صاحبة الشكوى</w:t>
      </w:r>
    </w:p>
    <w:p w:rsidR="00921F02" w:rsidRPr="003E698F" w:rsidRDefault="00921F02" w:rsidP="00921F02">
      <w:pPr>
        <w:pStyle w:val="SingleTxtGA"/>
        <w:jc w:val="lowKashida"/>
        <w:rPr>
          <w:rFonts w:hint="cs"/>
          <w:spacing w:val="0"/>
          <w:kern w:val="0"/>
          <w:sz w:val="20"/>
          <w:rtl/>
          <w:lang w:val="fr-CH"/>
        </w:rPr>
      </w:pPr>
      <w:r w:rsidRPr="003E698F">
        <w:rPr>
          <w:rFonts w:hint="cs"/>
          <w:spacing w:val="0"/>
          <w:kern w:val="0"/>
          <w:sz w:val="20"/>
          <w:rtl/>
          <w:lang w:val="fr-CH"/>
        </w:rPr>
        <w:t>7-</w:t>
      </w:r>
      <w:r w:rsidRPr="003E698F">
        <w:rPr>
          <w:rFonts w:hint="cs"/>
          <w:spacing w:val="0"/>
          <w:kern w:val="0"/>
          <w:sz w:val="20"/>
          <w:rtl/>
          <w:lang w:val="fr-CH"/>
        </w:rPr>
        <w:tab/>
        <w:t>في 24 أيار/مايو 2009، أكدت صاحبة الشكوى أن احتجاج الدولة الطرف بتزوير أمر الضبط والإحضار يستند إلى افتراضات تفتقر إلى الموضوعية. فقد توافرت في هذا الأمر جميع الشروط الشكلية والموضوعية المطلوبة. وأكدت أنها حصلت على نسخة من هذا الأمر بواسطة أحد المعارف الذين لا تزال على اتصال بهم وأنه يحيطها علماً باستمرار بالمخاطر التي ستتعرض لها في حالة عودتها.</w:t>
      </w:r>
    </w:p>
    <w:p w:rsidR="00921F02" w:rsidRPr="003E698F" w:rsidRDefault="00921F02" w:rsidP="00921F02">
      <w:pPr>
        <w:pStyle w:val="H23GA"/>
        <w:keepNext/>
        <w:keepLines/>
        <w:jc w:val="lowKashida"/>
        <w:rPr>
          <w:rFonts w:hint="cs"/>
          <w:spacing w:val="0"/>
          <w:kern w:val="0"/>
          <w:sz w:val="20"/>
          <w:rtl/>
        </w:rPr>
      </w:pPr>
      <w:r w:rsidRPr="003E698F">
        <w:rPr>
          <w:rFonts w:hint="cs"/>
          <w:spacing w:val="0"/>
          <w:kern w:val="0"/>
          <w:sz w:val="20"/>
          <w:rtl/>
          <w:lang w:val="fr-CH"/>
        </w:rPr>
        <w:tab/>
      </w:r>
      <w:r w:rsidRPr="003E698F">
        <w:rPr>
          <w:rFonts w:hint="cs"/>
          <w:spacing w:val="0"/>
          <w:kern w:val="0"/>
          <w:sz w:val="20"/>
          <w:rtl/>
          <w:lang w:val="fr-CH"/>
        </w:rPr>
        <w:tab/>
      </w:r>
      <w:r w:rsidRPr="003E698F">
        <w:rPr>
          <w:rFonts w:hint="cs"/>
          <w:spacing w:val="0"/>
          <w:kern w:val="0"/>
          <w:sz w:val="20"/>
          <w:rtl/>
        </w:rPr>
        <w:t>المسائل والإجراءات المعروضة على اللجنة</w:t>
      </w:r>
    </w:p>
    <w:p w:rsidR="00921F02" w:rsidRPr="003E698F" w:rsidRDefault="00921F02" w:rsidP="00921F02">
      <w:pPr>
        <w:pStyle w:val="H4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النظر في المقبولية</w:t>
      </w:r>
    </w:p>
    <w:p w:rsidR="00921F02" w:rsidRPr="003A2D39" w:rsidRDefault="00921F02" w:rsidP="003A2D39">
      <w:pPr>
        <w:pStyle w:val="SingleTxtGA"/>
        <w:jc w:val="lowKashida"/>
        <w:rPr>
          <w:rFonts w:hint="cs"/>
          <w:spacing w:val="-4"/>
          <w:kern w:val="0"/>
          <w:sz w:val="20"/>
          <w:rtl/>
        </w:rPr>
      </w:pPr>
      <w:r w:rsidRPr="003A2D39">
        <w:rPr>
          <w:rFonts w:hint="cs"/>
          <w:spacing w:val="-4"/>
          <w:kern w:val="0"/>
          <w:sz w:val="20"/>
          <w:rtl/>
        </w:rPr>
        <w:t>8-</w:t>
      </w:r>
      <w:r w:rsidRPr="003A2D39">
        <w:rPr>
          <w:rFonts w:hint="cs"/>
          <w:spacing w:val="-4"/>
          <w:kern w:val="0"/>
          <w:sz w:val="20"/>
          <w:rtl/>
        </w:rPr>
        <w:tab/>
      </w:r>
      <w:r w:rsidR="003A2D39" w:rsidRPr="003A2D39">
        <w:rPr>
          <w:spacing w:val="-4"/>
          <w:kern w:val="0"/>
          <w:sz w:val="20"/>
          <w:rtl/>
        </w:rPr>
        <w:t xml:space="preserve">قبل النظر في أية ادعاءات ترد في شكوى ما، </w:t>
      </w:r>
      <w:r w:rsidR="003A2D39" w:rsidRPr="003A2D39">
        <w:rPr>
          <w:rFonts w:hint="cs"/>
          <w:spacing w:val="-4"/>
          <w:kern w:val="0"/>
          <w:sz w:val="20"/>
          <w:rtl/>
        </w:rPr>
        <w:t>يتعين</w:t>
      </w:r>
      <w:r w:rsidR="003A2D39" w:rsidRPr="003A2D39">
        <w:rPr>
          <w:spacing w:val="-4"/>
          <w:kern w:val="0"/>
          <w:sz w:val="20"/>
          <w:rtl/>
        </w:rPr>
        <w:t xml:space="preserve"> على لجنة مناهضة التعذيب أن </w:t>
      </w:r>
      <w:r w:rsidR="003A2D39" w:rsidRPr="003A2D39">
        <w:rPr>
          <w:rFonts w:hint="cs"/>
          <w:spacing w:val="-4"/>
          <w:kern w:val="0"/>
          <w:sz w:val="20"/>
          <w:rtl/>
        </w:rPr>
        <w:t>تبت في</w:t>
      </w:r>
      <w:r w:rsidR="003A2D39" w:rsidRPr="003A2D39">
        <w:rPr>
          <w:spacing w:val="-4"/>
          <w:kern w:val="0"/>
          <w:sz w:val="20"/>
          <w:rtl/>
        </w:rPr>
        <w:t>ما إذا كانت الشكوى مقبولة أم لا</w:t>
      </w:r>
      <w:r w:rsidRPr="003A2D39">
        <w:rPr>
          <w:spacing w:val="-4"/>
          <w:kern w:val="0"/>
          <w:sz w:val="20"/>
          <w:rtl/>
        </w:rPr>
        <w:t xml:space="preserve"> بموجب المادة 22 من الاتفاقية. و</w:t>
      </w:r>
      <w:r w:rsidRPr="003A2D39">
        <w:rPr>
          <w:rFonts w:hint="cs"/>
          <w:spacing w:val="-4"/>
          <w:kern w:val="0"/>
          <w:sz w:val="20"/>
          <w:rtl/>
        </w:rPr>
        <w:t xml:space="preserve">قد </w:t>
      </w:r>
      <w:r w:rsidRPr="003A2D39">
        <w:rPr>
          <w:spacing w:val="-4"/>
          <w:kern w:val="0"/>
          <w:sz w:val="20"/>
          <w:rtl/>
        </w:rPr>
        <w:t>تأكدت اللجنة</w:t>
      </w:r>
      <w:r w:rsidRPr="003A2D39">
        <w:rPr>
          <w:rFonts w:hint="cs"/>
          <w:spacing w:val="-4"/>
          <w:kern w:val="0"/>
          <w:sz w:val="20"/>
          <w:rtl/>
        </w:rPr>
        <w:t>، وفقاً لما</w:t>
      </w:r>
      <w:r w:rsidRPr="003A2D39">
        <w:rPr>
          <w:rFonts w:hint="eastAsia"/>
          <w:spacing w:val="-4"/>
          <w:kern w:val="0"/>
          <w:sz w:val="20"/>
          <w:rtl/>
        </w:rPr>
        <w:t> </w:t>
      </w:r>
      <w:r w:rsidRPr="003A2D39">
        <w:rPr>
          <w:rFonts w:hint="cs"/>
          <w:spacing w:val="-4"/>
          <w:kern w:val="0"/>
          <w:sz w:val="20"/>
          <w:rtl/>
        </w:rPr>
        <w:t>تقتضيه الفقرة 5(أ) من المادة 22 من الاتفاقية،</w:t>
      </w:r>
      <w:r w:rsidRPr="003A2D39">
        <w:rPr>
          <w:spacing w:val="-4"/>
          <w:kern w:val="0"/>
          <w:sz w:val="20"/>
          <w:rtl/>
        </w:rPr>
        <w:t xml:space="preserve"> من أن المسألة </w:t>
      </w:r>
      <w:r w:rsidRPr="003A2D39">
        <w:rPr>
          <w:rFonts w:hint="cs"/>
          <w:spacing w:val="-4"/>
          <w:kern w:val="0"/>
          <w:sz w:val="20"/>
          <w:rtl/>
        </w:rPr>
        <w:t>نفسها</w:t>
      </w:r>
      <w:r w:rsidRPr="003A2D39">
        <w:rPr>
          <w:spacing w:val="-4"/>
          <w:kern w:val="0"/>
          <w:sz w:val="20"/>
          <w:rtl/>
        </w:rPr>
        <w:t xml:space="preserve"> لم تبحث ولا يجري بحثها </w:t>
      </w:r>
      <w:r w:rsidRPr="003A2D39">
        <w:rPr>
          <w:rFonts w:hint="cs"/>
          <w:spacing w:val="-4"/>
          <w:kern w:val="0"/>
          <w:sz w:val="20"/>
          <w:rtl/>
        </w:rPr>
        <w:t xml:space="preserve">في إطار </w:t>
      </w:r>
      <w:r w:rsidRPr="003A2D39">
        <w:rPr>
          <w:spacing w:val="-4"/>
          <w:kern w:val="0"/>
          <w:sz w:val="20"/>
          <w:rtl/>
        </w:rPr>
        <w:t>أي إجراء آخر من إجراءات التحقيق الدولي أو التسوية الدولية.</w:t>
      </w:r>
      <w:r w:rsidRPr="003A2D39">
        <w:rPr>
          <w:rFonts w:hint="cs"/>
          <w:spacing w:val="-4"/>
          <w:kern w:val="0"/>
          <w:sz w:val="20"/>
          <w:rtl/>
        </w:rPr>
        <w:t xml:space="preserve"> وتلاحظ اللجنة أيضاً أن جميع سبل الانتصاف الداخلية قد استنفدت، وأن الدولة الطرف لم تعترض على مقبولية الشكوى. وعليه، خلصت اللجنة إلى مقبولية البلاغ وشرعت في النظر في أسسه الموضوعية.</w:t>
      </w:r>
    </w:p>
    <w:p w:rsidR="00921F02" w:rsidRPr="003E698F" w:rsidRDefault="00921F02" w:rsidP="00921F02">
      <w:pPr>
        <w:pStyle w:val="H4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النظر في الأسس الموضوعية</w:t>
      </w:r>
    </w:p>
    <w:p w:rsidR="00921F02" w:rsidRPr="003E698F" w:rsidRDefault="00921F02" w:rsidP="00FE387B">
      <w:pPr>
        <w:pStyle w:val="SingleTxtGA"/>
        <w:spacing w:line="370" w:lineRule="exact"/>
        <w:jc w:val="lowKashida"/>
        <w:rPr>
          <w:rFonts w:hint="cs"/>
          <w:spacing w:val="0"/>
          <w:kern w:val="0"/>
          <w:sz w:val="20"/>
          <w:rtl/>
        </w:rPr>
      </w:pPr>
      <w:r w:rsidRPr="003E698F">
        <w:rPr>
          <w:rFonts w:hint="cs"/>
          <w:spacing w:val="0"/>
          <w:kern w:val="0"/>
          <w:sz w:val="20"/>
          <w:rtl/>
        </w:rPr>
        <w:t>9-1</w:t>
      </w:r>
      <w:r w:rsidRPr="003E698F">
        <w:rPr>
          <w:rFonts w:hint="cs"/>
          <w:spacing w:val="0"/>
          <w:kern w:val="0"/>
          <w:sz w:val="20"/>
          <w:rtl/>
        </w:rPr>
        <w:tab/>
        <w:t>يجب على اللجنة أن تُحدِّد ما إذا كان ترحيل صاحبة الشكوى إلى جمهورية الكونغو الديمقراطية يمثل انتهاكاً لالتزام الدولة الطرف بموجب الفقرة 1 من المادة 3 من الاتفاقية بعدم طرد شخص أو إعادته إلى دولة أخرى إذا توافرت لديها أسباب حقيقية تدعو إلى الاعتقاد بأنه سيكون في خطر التعرض للتعذيب.</w:t>
      </w:r>
    </w:p>
    <w:p w:rsidR="00921F02" w:rsidRPr="003E698F" w:rsidRDefault="00921F02" w:rsidP="00FE387B">
      <w:pPr>
        <w:pStyle w:val="SingleTxtGA"/>
        <w:spacing w:line="370" w:lineRule="exact"/>
        <w:jc w:val="lowKashida"/>
        <w:rPr>
          <w:rFonts w:hint="cs"/>
          <w:spacing w:val="0"/>
          <w:kern w:val="0"/>
          <w:sz w:val="20"/>
          <w:rtl/>
        </w:rPr>
      </w:pPr>
      <w:r w:rsidRPr="003E698F">
        <w:rPr>
          <w:rFonts w:hint="cs"/>
          <w:spacing w:val="0"/>
          <w:kern w:val="0"/>
          <w:sz w:val="20"/>
          <w:rtl/>
        </w:rPr>
        <w:t>9-2</w:t>
      </w:r>
      <w:r w:rsidRPr="003E698F">
        <w:rPr>
          <w:rFonts w:hint="cs"/>
          <w:spacing w:val="0"/>
          <w:kern w:val="0"/>
          <w:sz w:val="20"/>
          <w:rtl/>
        </w:rPr>
        <w:tab/>
        <w:t xml:space="preserve">وعند القيام بذلك، ينبغي أن تراعي اللجنة جميع العناصر، بما في ذلك وجود </w:t>
      </w:r>
      <w:r w:rsidRPr="003E698F">
        <w:rPr>
          <w:spacing w:val="0"/>
          <w:kern w:val="0"/>
          <w:sz w:val="20"/>
          <w:rtl/>
        </w:rPr>
        <w:t xml:space="preserve">نمط </w:t>
      </w:r>
      <w:r w:rsidRPr="003E698F">
        <w:rPr>
          <w:rFonts w:hint="cs"/>
          <w:spacing w:val="0"/>
          <w:kern w:val="0"/>
          <w:sz w:val="20"/>
          <w:rtl/>
        </w:rPr>
        <w:t>ثابت</w:t>
      </w:r>
      <w:r w:rsidRPr="003E698F">
        <w:rPr>
          <w:spacing w:val="0"/>
          <w:kern w:val="0"/>
          <w:sz w:val="20"/>
          <w:rtl/>
        </w:rPr>
        <w:t xml:space="preserve"> من الانتهاكات </w:t>
      </w:r>
      <w:r w:rsidRPr="003E698F">
        <w:rPr>
          <w:rFonts w:hint="cs"/>
          <w:spacing w:val="0"/>
          <w:kern w:val="0"/>
          <w:sz w:val="20"/>
          <w:rtl/>
        </w:rPr>
        <w:t>الفادحة</w:t>
      </w:r>
      <w:r w:rsidRPr="003E698F">
        <w:rPr>
          <w:spacing w:val="0"/>
          <w:kern w:val="0"/>
          <w:sz w:val="20"/>
          <w:rtl/>
        </w:rPr>
        <w:t xml:space="preserve"> أو الصارخة </w:t>
      </w:r>
      <w:r w:rsidRPr="003E698F">
        <w:rPr>
          <w:rFonts w:hint="cs"/>
          <w:spacing w:val="0"/>
          <w:kern w:val="0"/>
          <w:sz w:val="20"/>
          <w:rtl/>
        </w:rPr>
        <w:t xml:space="preserve">أو الجماعية لحقوق </w:t>
      </w:r>
      <w:r w:rsidRPr="003E698F">
        <w:rPr>
          <w:spacing w:val="0"/>
          <w:kern w:val="0"/>
          <w:sz w:val="20"/>
          <w:rtl/>
        </w:rPr>
        <w:t>الإنسان</w:t>
      </w:r>
      <w:r w:rsidRPr="003E698F">
        <w:rPr>
          <w:rFonts w:hint="cs"/>
          <w:spacing w:val="0"/>
          <w:kern w:val="0"/>
          <w:sz w:val="20"/>
          <w:rtl/>
        </w:rPr>
        <w:t xml:space="preserve"> في البلد الذي يراد ترحيل صاحبة الشكوى إليه. ومع ذلك، ينبغي أن تحدد اللجنة أيضاً ما إذا كانت صاحبة الشكوى معرضة شخصياً للتعذيب في هذا البلد. وتؤكد اللجنة مجدداً أن وجود </w:t>
      </w:r>
      <w:r w:rsidRPr="003E698F">
        <w:rPr>
          <w:spacing w:val="0"/>
          <w:kern w:val="0"/>
          <w:sz w:val="20"/>
          <w:rtl/>
        </w:rPr>
        <w:t xml:space="preserve">نمط </w:t>
      </w:r>
      <w:r w:rsidRPr="003E698F">
        <w:rPr>
          <w:rFonts w:hint="cs"/>
          <w:spacing w:val="0"/>
          <w:kern w:val="0"/>
          <w:sz w:val="20"/>
          <w:rtl/>
        </w:rPr>
        <w:t>ثابت</w:t>
      </w:r>
      <w:r w:rsidRPr="003E698F">
        <w:rPr>
          <w:spacing w:val="0"/>
          <w:kern w:val="0"/>
          <w:sz w:val="20"/>
          <w:rtl/>
        </w:rPr>
        <w:t xml:space="preserve"> من الانتهاكات </w:t>
      </w:r>
      <w:r w:rsidRPr="003E698F">
        <w:rPr>
          <w:rFonts w:hint="cs"/>
          <w:spacing w:val="0"/>
          <w:kern w:val="0"/>
          <w:sz w:val="20"/>
          <w:rtl/>
        </w:rPr>
        <w:t>الفادحة</w:t>
      </w:r>
      <w:r w:rsidRPr="003E698F">
        <w:rPr>
          <w:spacing w:val="0"/>
          <w:kern w:val="0"/>
          <w:sz w:val="20"/>
          <w:rtl/>
        </w:rPr>
        <w:t xml:space="preserve"> أو الصارخة </w:t>
      </w:r>
      <w:r w:rsidRPr="003E698F">
        <w:rPr>
          <w:rFonts w:hint="cs"/>
          <w:spacing w:val="0"/>
          <w:kern w:val="0"/>
          <w:sz w:val="20"/>
          <w:rtl/>
        </w:rPr>
        <w:t xml:space="preserve">أو الواسعة النطاق لحقوق </w:t>
      </w:r>
      <w:r w:rsidRPr="003E698F">
        <w:rPr>
          <w:spacing w:val="0"/>
          <w:kern w:val="0"/>
          <w:sz w:val="20"/>
          <w:rtl/>
        </w:rPr>
        <w:t>الإنسان</w:t>
      </w:r>
      <w:r w:rsidRPr="003E698F">
        <w:rPr>
          <w:rFonts w:hint="cs"/>
          <w:spacing w:val="0"/>
          <w:kern w:val="0"/>
          <w:sz w:val="20"/>
          <w:rtl/>
        </w:rPr>
        <w:t xml:space="preserve"> في هذا البلد ليس سبباً كافياً للقول بأن الشخص سيكون معرضاً للتعذيب عند عودته إلى هذا البلد، ويلزم وجود عناصر إضافية تدعو إلى الاعتقاد بأنه سيكون معرضاً شخصياً للتعذيب. وبالعكس، لا</w:t>
      </w:r>
      <w:r w:rsidR="00FE387B">
        <w:rPr>
          <w:rFonts w:hint="eastAsia"/>
          <w:spacing w:val="0"/>
          <w:kern w:val="0"/>
          <w:sz w:val="20"/>
          <w:rtl/>
        </w:rPr>
        <w:t> </w:t>
      </w:r>
      <w:r w:rsidRPr="003E698F">
        <w:rPr>
          <w:rFonts w:hint="cs"/>
          <w:spacing w:val="0"/>
          <w:kern w:val="0"/>
          <w:sz w:val="20"/>
          <w:rtl/>
        </w:rPr>
        <w:t xml:space="preserve">يمكن القول بأن عدم وجود </w:t>
      </w:r>
      <w:r w:rsidRPr="003E698F">
        <w:rPr>
          <w:spacing w:val="0"/>
          <w:kern w:val="0"/>
          <w:sz w:val="20"/>
          <w:rtl/>
        </w:rPr>
        <w:t xml:space="preserve">نمط </w:t>
      </w:r>
      <w:r w:rsidRPr="003E698F">
        <w:rPr>
          <w:rFonts w:hint="cs"/>
          <w:spacing w:val="0"/>
          <w:kern w:val="0"/>
          <w:sz w:val="20"/>
          <w:rtl/>
        </w:rPr>
        <w:t>ثابت</w:t>
      </w:r>
      <w:r w:rsidRPr="003E698F">
        <w:rPr>
          <w:spacing w:val="0"/>
          <w:kern w:val="0"/>
          <w:sz w:val="20"/>
          <w:rtl/>
        </w:rPr>
        <w:t xml:space="preserve"> من الانتهاكات </w:t>
      </w:r>
      <w:r w:rsidRPr="003E698F">
        <w:rPr>
          <w:rFonts w:hint="cs"/>
          <w:spacing w:val="0"/>
          <w:kern w:val="0"/>
          <w:sz w:val="20"/>
          <w:rtl/>
        </w:rPr>
        <w:t>الفادحة</w:t>
      </w:r>
      <w:r w:rsidRPr="003E698F">
        <w:rPr>
          <w:spacing w:val="0"/>
          <w:kern w:val="0"/>
          <w:sz w:val="20"/>
          <w:rtl/>
        </w:rPr>
        <w:t xml:space="preserve"> أو الصارخة </w:t>
      </w:r>
      <w:r w:rsidRPr="003E698F">
        <w:rPr>
          <w:rFonts w:hint="cs"/>
          <w:spacing w:val="0"/>
          <w:kern w:val="0"/>
          <w:sz w:val="20"/>
          <w:rtl/>
        </w:rPr>
        <w:t xml:space="preserve">أو الجماعية لحقوق </w:t>
      </w:r>
      <w:r w:rsidRPr="003E698F">
        <w:rPr>
          <w:spacing w:val="0"/>
          <w:kern w:val="0"/>
          <w:sz w:val="20"/>
          <w:rtl/>
        </w:rPr>
        <w:t>الإنسان</w:t>
      </w:r>
      <w:r w:rsidRPr="003E698F">
        <w:rPr>
          <w:rFonts w:hint="cs"/>
          <w:spacing w:val="0"/>
          <w:kern w:val="0"/>
          <w:sz w:val="20"/>
          <w:rtl/>
        </w:rPr>
        <w:t xml:space="preserve"> في هذا البلد دليل على أن الشخص لن يكون معرضاً للتعذيب بسبب الظروف الخاصة لهذا الشخص.</w:t>
      </w:r>
    </w:p>
    <w:p w:rsidR="00921F02" w:rsidRPr="003E698F" w:rsidRDefault="00921F02" w:rsidP="00FE387B">
      <w:pPr>
        <w:pStyle w:val="SingleTxtGA"/>
        <w:spacing w:line="370" w:lineRule="exact"/>
        <w:jc w:val="lowKashida"/>
        <w:rPr>
          <w:spacing w:val="0"/>
          <w:kern w:val="0"/>
          <w:sz w:val="20"/>
          <w:rtl/>
        </w:rPr>
      </w:pPr>
      <w:r w:rsidRPr="003E698F">
        <w:rPr>
          <w:rFonts w:hint="cs"/>
          <w:spacing w:val="0"/>
          <w:kern w:val="0"/>
          <w:sz w:val="20"/>
          <w:rtl/>
        </w:rPr>
        <w:t>9-3</w:t>
      </w:r>
      <w:r w:rsidRPr="003E698F">
        <w:rPr>
          <w:rFonts w:hint="cs"/>
          <w:spacing w:val="0"/>
          <w:kern w:val="0"/>
          <w:sz w:val="20"/>
          <w:rtl/>
        </w:rPr>
        <w:tab/>
        <w:t>وتشير اللجنة إلى تعليقها العام بشأن تطبيق المادة 3 من الاتفاقية وتؤكد مجدداً أنه "ي</w:t>
      </w:r>
      <w:r w:rsidRPr="003E698F">
        <w:rPr>
          <w:spacing w:val="0"/>
          <w:kern w:val="0"/>
          <w:sz w:val="20"/>
          <w:rtl/>
        </w:rPr>
        <w:t xml:space="preserve">جب أن يقدر خطر التعذيب على أسس تتجاوز مجرد </w:t>
      </w:r>
      <w:r w:rsidRPr="003E698F">
        <w:rPr>
          <w:rFonts w:hint="cs"/>
          <w:spacing w:val="0"/>
          <w:kern w:val="0"/>
          <w:sz w:val="20"/>
          <w:rtl/>
        </w:rPr>
        <w:t xml:space="preserve">الافتراض </w:t>
      </w:r>
      <w:r w:rsidRPr="003E698F">
        <w:rPr>
          <w:spacing w:val="0"/>
          <w:kern w:val="0"/>
          <w:sz w:val="20"/>
          <w:rtl/>
        </w:rPr>
        <w:t xml:space="preserve">أو الشك. غير أنه لا يتحتم أن يكون هذا الخطر موافقاً لاختبار </w:t>
      </w:r>
      <w:r w:rsidRPr="003E698F">
        <w:rPr>
          <w:rFonts w:hint="cs"/>
          <w:spacing w:val="0"/>
          <w:kern w:val="0"/>
          <w:sz w:val="20"/>
          <w:rtl/>
        </w:rPr>
        <w:t>"</w:t>
      </w:r>
      <w:r w:rsidRPr="003E698F">
        <w:rPr>
          <w:spacing w:val="0"/>
          <w:kern w:val="0"/>
          <w:sz w:val="20"/>
          <w:rtl/>
        </w:rPr>
        <w:t>مدى احتمال وقوعه</w:t>
      </w:r>
      <w:r w:rsidRPr="003E698F">
        <w:rPr>
          <w:rFonts w:hint="cs"/>
          <w:spacing w:val="0"/>
          <w:kern w:val="0"/>
          <w:sz w:val="20"/>
          <w:rtl/>
        </w:rPr>
        <w:t>""</w:t>
      </w:r>
      <w:r w:rsidRPr="003E698F">
        <w:rPr>
          <w:spacing w:val="0"/>
          <w:kern w:val="0"/>
          <w:sz w:val="20"/>
          <w:vertAlign w:val="superscript"/>
          <w:rtl/>
        </w:rPr>
        <w:t>(</w:t>
      </w:r>
      <w:r w:rsidRPr="003E698F">
        <w:rPr>
          <w:rStyle w:val="FootnoteReference"/>
          <w:spacing w:val="0"/>
          <w:sz w:val="20"/>
          <w:rtl/>
        </w:rPr>
        <w:footnoteReference w:id="203"/>
      </w:r>
      <w:r w:rsidRPr="003E698F">
        <w:rPr>
          <w:spacing w:val="0"/>
          <w:kern w:val="0"/>
          <w:sz w:val="20"/>
          <w:vertAlign w:val="superscript"/>
          <w:rtl/>
        </w:rPr>
        <w:t>)</w:t>
      </w:r>
      <w:r w:rsidRPr="003E698F">
        <w:rPr>
          <w:rFonts w:hint="cs"/>
          <w:spacing w:val="0"/>
          <w:kern w:val="0"/>
          <w:sz w:val="20"/>
          <w:rtl/>
        </w:rPr>
        <w:t>، وينبغي أن يكون الخطر شخصياً ومحدقاً. وفي هذا الصدد، خلصت اللجنة في قرارات سابقة إلى أن خطر التعذيب ينبغي أن يكون متوقعاً وحقيقياً وشخصياً"</w:t>
      </w:r>
      <w:r w:rsidRPr="003E698F">
        <w:rPr>
          <w:spacing w:val="0"/>
          <w:kern w:val="0"/>
          <w:sz w:val="20"/>
          <w:vertAlign w:val="superscript"/>
          <w:rtl/>
        </w:rPr>
        <w:t>(</w:t>
      </w:r>
      <w:r w:rsidRPr="003E698F">
        <w:rPr>
          <w:rStyle w:val="FootnoteReference"/>
          <w:spacing w:val="0"/>
          <w:sz w:val="20"/>
          <w:rtl/>
        </w:rPr>
        <w:footnoteReference w:id="204"/>
      </w:r>
      <w:r w:rsidRPr="003E698F">
        <w:rPr>
          <w:spacing w:val="0"/>
          <w:kern w:val="0"/>
          <w:sz w:val="20"/>
          <w:vertAlign w:val="superscript"/>
          <w:rtl/>
        </w:rPr>
        <w:t xml:space="preserve"> </w:t>
      </w:r>
      <w:r w:rsidRPr="003E698F">
        <w:rPr>
          <w:rFonts w:hint="cs"/>
          <w:spacing w:val="0"/>
          <w:kern w:val="0"/>
          <w:sz w:val="20"/>
          <w:vertAlign w:val="superscript"/>
          <w:rtl/>
        </w:rPr>
        <w:t>)</w:t>
      </w:r>
      <w:r w:rsidRPr="003E698F">
        <w:rPr>
          <w:rFonts w:hint="cs"/>
          <w:spacing w:val="0"/>
          <w:kern w:val="0"/>
          <w:sz w:val="20"/>
          <w:rtl/>
        </w:rPr>
        <w:t>. وتشير اللجنة أيضاً إلى أنها ينبغي أن تعطي، لدى ممارسة اختصاصها عملاً بالمادة 3 من الاتفاقية، وزناً كبيراً للمعلومات الوقائعية التي توفرها أجهزة الدولة الطرف المعنية.</w:t>
      </w:r>
    </w:p>
    <w:p w:rsidR="00921F02" w:rsidRPr="003E698F" w:rsidRDefault="00921F02" w:rsidP="00FE387B">
      <w:pPr>
        <w:pStyle w:val="SingleTxtGA"/>
        <w:spacing w:line="370" w:lineRule="exact"/>
        <w:jc w:val="lowKashida"/>
        <w:rPr>
          <w:rFonts w:hint="cs"/>
          <w:spacing w:val="0"/>
          <w:kern w:val="0"/>
          <w:sz w:val="20"/>
          <w:rtl/>
        </w:rPr>
      </w:pPr>
      <w:r w:rsidRPr="003E698F">
        <w:rPr>
          <w:rFonts w:hint="cs"/>
          <w:spacing w:val="0"/>
          <w:kern w:val="0"/>
          <w:sz w:val="20"/>
          <w:rtl/>
        </w:rPr>
        <w:t>9-4</w:t>
      </w:r>
      <w:r w:rsidRPr="003E698F">
        <w:rPr>
          <w:rFonts w:hint="cs"/>
          <w:spacing w:val="0"/>
          <w:kern w:val="0"/>
          <w:sz w:val="20"/>
          <w:rtl/>
        </w:rPr>
        <w:tab/>
        <w:t>وتدرك اللجنة حالة حقوق الإنسان السائدة في جمهورية الكونغو الديمقراطية والانتهاكات العديدة التي لا يزال يشار إليها في التقارير الواردة عن هذا البلد ومن بينها التعذيب، والاحتجاز التعسفي، والعنف ضد المرأة</w:t>
      </w:r>
      <w:r w:rsidRPr="003E698F">
        <w:rPr>
          <w:spacing w:val="0"/>
          <w:kern w:val="0"/>
          <w:sz w:val="20"/>
          <w:vertAlign w:val="superscript"/>
          <w:rtl/>
        </w:rPr>
        <w:t>(</w:t>
      </w:r>
      <w:r w:rsidRPr="003E698F">
        <w:rPr>
          <w:rStyle w:val="FootnoteReference"/>
          <w:spacing w:val="0"/>
          <w:sz w:val="20"/>
          <w:rtl/>
        </w:rPr>
        <w:footnoteReference w:id="205"/>
      </w:r>
      <w:r w:rsidRPr="003E698F">
        <w:rPr>
          <w:spacing w:val="0"/>
          <w:kern w:val="0"/>
          <w:sz w:val="20"/>
          <w:vertAlign w:val="superscript"/>
          <w:rtl/>
        </w:rPr>
        <w:t>)</w:t>
      </w:r>
      <w:r w:rsidRPr="003E698F">
        <w:rPr>
          <w:rFonts w:hint="cs"/>
          <w:spacing w:val="0"/>
          <w:kern w:val="0"/>
          <w:sz w:val="20"/>
          <w:rtl/>
        </w:rPr>
        <w:t>. بيد أن اللجنة تشير إلى أن هذا الوضع لا يشكل سبباً كافياً في حد ذاته لإثبات أن صاحبة الشكوى ستكون في خطر التعرض للتعذيب عند عودتها إلى هذا البلد، ويلزم وجود أسباب أخرى تدعو إلى الاعتقاد بأنها ستكون معرضة شخصياً لهذا الخطر.</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9-5</w:t>
      </w:r>
      <w:r w:rsidRPr="003E698F">
        <w:rPr>
          <w:rFonts w:hint="cs"/>
          <w:spacing w:val="0"/>
          <w:kern w:val="0"/>
          <w:sz w:val="20"/>
          <w:rtl/>
        </w:rPr>
        <w:tab/>
        <w:t>وتلاحظ اللجنة ادعاءات صاحبة الشكوى بأن نقلها معلومات سرية إلى القوات المتمردة في رواندا عندما كانت تعمل موظفة استقبال في مكتب مقرر البرلمان في جمهورية الكونغو الديمقراطية في عام 2004 فضلا</w:t>
      </w:r>
      <w:r w:rsidR="00706CAA">
        <w:rPr>
          <w:rFonts w:hint="cs"/>
          <w:spacing w:val="0"/>
          <w:kern w:val="0"/>
          <w:sz w:val="20"/>
          <w:rtl/>
        </w:rPr>
        <w:t>ً</w:t>
      </w:r>
      <w:r w:rsidRPr="003E698F">
        <w:rPr>
          <w:rFonts w:hint="cs"/>
          <w:spacing w:val="0"/>
          <w:kern w:val="0"/>
          <w:sz w:val="20"/>
          <w:rtl/>
        </w:rPr>
        <w:t xml:space="preserve"> عن طلبها اللجوء السياسي إلى سويسرا قد يؤدي إلى إساءة معاملتها عند عودتها إلى جمهورية الكونغو الديمقراطية. وتلاحظ اللجنة أيضاً أن صاحبة البلاغ لم تفد عن تعرضها لأي سوء معاملة في جمهورية الكونغو الديمقراطية وأن السلطات الوطنية تشكك في مصداقية ادعاءات صاحبة الشكوى.</w:t>
      </w:r>
    </w:p>
    <w:p w:rsidR="00921F02" w:rsidRPr="003E698F" w:rsidRDefault="00921F02" w:rsidP="00921F02">
      <w:pPr>
        <w:pStyle w:val="SingleTxtGA"/>
        <w:jc w:val="lowKashida"/>
        <w:rPr>
          <w:spacing w:val="0"/>
          <w:kern w:val="0"/>
          <w:sz w:val="20"/>
          <w:rtl/>
        </w:rPr>
      </w:pPr>
      <w:r w:rsidRPr="003E698F">
        <w:rPr>
          <w:rFonts w:hint="cs"/>
          <w:spacing w:val="0"/>
          <w:kern w:val="0"/>
          <w:sz w:val="20"/>
          <w:rtl/>
        </w:rPr>
        <w:t>9-6</w:t>
      </w:r>
      <w:r w:rsidRPr="003E698F">
        <w:rPr>
          <w:rFonts w:hint="cs"/>
          <w:spacing w:val="0"/>
          <w:kern w:val="0"/>
          <w:sz w:val="20"/>
          <w:rtl/>
        </w:rPr>
        <w:tab/>
        <w:t xml:space="preserve"> وعلى الرغم من أن اللجنة تحتفظ، وفقاً لتعليقها العام، بحرية تقييم الوقائع بالاستناد إلى مجموع الملابسات المتصلة بكل قضية، فإنها تذكّر بأنها ليست هيئة قضائية استئنافية، وأنه يجب عليها أن تعطي وزناً كبيراً للمعلومات الوقائعية التي توفرها أجهزة الدولة الطرف المعنية</w:t>
      </w:r>
      <w:r w:rsidRPr="003E698F">
        <w:rPr>
          <w:spacing w:val="0"/>
          <w:kern w:val="0"/>
          <w:sz w:val="20"/>
          <w:vertAlign w:val="superscript"/>
          <w:rtl/>
        </w:rPr>
        <w:t>(</w:t>
      </w:r>
      <w:r w:rsidRPr="003E698F">
        <w:rPr>
          <w:rStyle w:val="FootnoteReference"/>
          <w:spacing w:val="0"/>
          <w:sz w:val="20"/>
          <w:rtl/>
        </w:rPr>
        <w:footnoteReference w:id="206"/>
      </w:r>
      <w:r w:rsidRPr="003E698F">
        <w:rPr>
          <w:spacing w:val="0"/>
          <w:kern w:val="0"/>
          <w:sz w:val="20"/>
          <w:vertAlign w:val="superscript"/>
          <w:rtl/>
        </w:rPr>
        <w:t>)</w:t>
      </w:r>
      <w:r w:rsidRPr="003E698F">
        <w:rPr>
          <w:rFonts w:hint="cs"/>
          <w:spacing w:val="0"/>
          <w:kern w:val="0"/>
          <w:sz w:val="20"/>
          <w:rtl/>
        </w:rPr>
        <w:t>. وفي القضية قيد البحث، تعطي اللجنة الوزن اللازم لاستنتاجات الأجهزة المختلفة للدولة الطرف، التي نظرت في الوقائع والأدلة المقدمة من صاحبة الشكوى في إجراءات اللجوء، وخلصت إلى أنها تفتقر إلى المصداقية. وتستند هذه الاستنتاجات إلى عدم الاتساق والتناقضات في روايتها، ولا سيما فيما يتعلق بالمعلومات السرية التي تدعي أنها نقلتها إلى قوات المتمردين في رواندا، واتصالها بأخويها، والتحذير الذي تلقته من أحد الموظفين التابعين لوكالة الاستخبارات الوطنية، وهروبها من البلد، والتفاصيل المتعلقة بمحيطها العائلي. وتستند هذه الاستنتاجات أيضاً إلى استخدام أدلة مزورة - مثل المقال الصحفي المشار إليه أعلاه</w:t>
      </w:r>
      <w:r w:rsidRPr="003E698F">
        <w:rPr>
          <w:spacing w:val="0"/>
          <w:kern w:val="0"/>
          <w:sz w:val="20"/>
          <w:vertAlign w:val="superscript"/>
          <w:rtl/>
        </w:rPr>
        <w:t>(</w:t>
      </w:r>
      <w:r w:rsidRPr="003E698F">
        <w:rPr>
          <w:rStyle w:val="FootnoteReference"/>
          <w:spacing w:val="0"/>
          <w:sz w:val="20"/>
          <w:rtl/>
        </w:rPr>
        <w:footnoteReference w:id="207"/>
      </w:r>
      <w:r w:rsidRPr="003E698F">
        <w:rPr>
          <w:spacing w:val="0"/>
          <w:kern w:val="0"/>
          <w:sz w:val="20"/>
          <w:vertAlign w:val="superscript"/>
          <w:rtl/>
        </w:rPr>
        <w:t>)</w:t>
      </w:r>
      <w:r w:rsidRPr="003E698F">
        <w:rPr>
          <w:rFonts w:hint="cs"/>
          <w:spacing w:val="0"/>
          <w:kern w:val="0"/>
          <w:sz w:val="20"/>
          <w:rtl/>
        </w:rPr>
        <w:t>، والشهادة الخطية المنسوبة إلى السيد</w:t>
      </w:r>
      <w:r w:rsidRPr="003E698F">
        <w:rPr>
          <w:spacing w:val="0"/>
          <w:kern w:val="0"/>
          <w:sz w:val="20"/>
          <w:rtl/>
        </w:rPr>
        <w:t xml:space="preserve"> </w:t>
      </w:r>
      <w:r w:rsidRPr="003E698F">
        <w:rPr>
          <w:rFonts w:hint="cs"/>
          <w:spacing w:val="0"/>
          <w:kern w:val="0"/>
          <w:sz w:val="20"/>
          <w:rtl/>
        </w:rPr>
        <w:t>لوهولو لونغي، مقرر البرلمان الكونغولي. وأولت اللجنة الاعتبار اللازم لتعليقات صاحبة الشكوى ولكنها ترى مع ذلك أن ادعاءاتها ليست مؤيدة بأدلة كافية لتوضيح أو إبطال التناقضات التي أشارت إليها الدولة الطرف في ملاحظاتها.</w:t>
      </w:r>
    </w:p>
    <w:p w:rsidR="00921F02" w:rsidRPr="003E698F" w:rsidRDefault="00921F02" w:rsidP="00FE387B">
      <w:pPr>
        <w:pStyle w:val="SingleTxtGA"/>
        <w:jc w:val="lowKashida"/>
        <w:rPr>
          <w:rFonts w:hint="cs"/>
          <w:spacing w:val="0"/>
          <w:kern w:val="0"/>
          <w:sz w:val="20"/>
          <w:rtl/>
        </w:rPr>
      </w:pPr>
      <w:r w:rsidRPr="003E698F">
        <w:rPr>
          <w:rFonts w:hint="cs"/>
          <w:spacing w:val="0"/>
          <w:kern w:val="0"/>
          <w:sz w:val="20"/>
          <w:rtl/>
        </w:rPr>
        <w:t>9-7</w:t>
      </w:r>
      <w:r w:rsidRPr="003E698F">
        <w:rPr>
          <w:rFonts w:hint="cs"/>
          <w:spacing w:val="0"/>
          <w:kern w:val="0"/>
          <w:sz w:val="20"/>
          <w:rtl/>
        </w:rPr>
        <w:tab/>
        <w:t>وفي ضوء ما سلف، فإن اللجنة غير مقتنعة بأن الوقائع، على نحو ما عُرضت مجتمعة، كافية لاستنتاج أن صاحبة الشكوى ستواجه خطر التعرّض للتعذيب بصورة متوقعة وحقيقية وشخصية إذا أُعيدت إلى جمهورية الكونغو الديمقراطية</w:t>
      </w:r>
      <w:r w:rsidRPr="003E698F">
        <w:rPr>
          <w:rFonts w:hint="cs"/>
          <w:spacing w:val="0"/>
          <w:kern w:val="0"/>
          <w:sz w:val="20"/>
          <w:rtl/>
          <w:lang w:val="fr-CH"/>
        </w:rPr>
        <w:t xml:space="preserve"> على النحو الوارد في المادة 3 من</w:t>
      </w:r>
      <w:r w:rsidR="00FE387B">
        <w:rPr>
          <w:rFonts w:hint="eastAsia"/>
          <w:spacing w:val="0"/>
          <w:kern w:val="0"/>
          <w:sz w:val="20"/>
          <w:rtl/>
          <w:lang w:val="fr-CH"/>
        </w:rPr>
        <w:t> </w:t>
      </w:r>
      <w:r w:rsidRPr="003E698F">
        <w:rPr>
          <w:rFonts w:hint="cs"/>
          <w:spacing w:val="0"/>
          <w:kern w:val="0"/>
          <w:sz w:val="20"/>
          <w:rtl/>
          <w:lang w:val="fr-CH"/>
        </w:rPr>
        <w:t>الاتفاقية.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10-</w:t>
      </w:r>
      <w:r w:rsidRPr="003E698F">
        <w:rPr>
          <w:rFonts w:hint="cs"/>
          <w:spacing w:val="0"/>
          <w:kern w:val="0"/>
          <w:sz w:val="20"/>
          <w:rtl/>
        </w:rPr>
        <w:tab/>
        <w:t>وإن لجنة مناهضة التعذيب، إذ تعمل بموجب الفقرة 7 من المادة 22 من اتفاقية مناهضة التعذيب وغيره من ضروب المعاملة أو العقوبة القاسية أو اللاإنسانية أو المهينة، ترى أن ترحيل صاحبة الشكوى إلى جمهورية الكونغو الديمقراطية لن يشكل انتهاكاً من جانب الدولة الطرف للمادة 3 من الاتفاقية.</w:t>
      </w:r>
    </w:p>
    <w:p w:rsidR="00FE387B" w:rsidRDefault="00FE387B" w:rsidP="00921F02">
      <w:pPr>
        <w:pStyle w:val="H1GA"/>
        <w:rPr>
          <w:spacing w:val="0"/>
          <w:kern w:val="0"/>
          <w:sz w:val="20"/>
          <w:rtl/>
        </w:rPr>
        <w:sectPr w:rsidR="00FE387B"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921F02" w:rsidRPr="003E698F" w:rsidRDefault="00921F02" w:rsidP="00FE387B">
      <w:pPr>
        <w:pStyle w:val="H1GA"/>
        <w:spacing w:before="120"/>
        <w:rPr>
          <w:rFonts w:hint="cs"/>
          <w:spacing w:val="0"/>
          <w:kern w:val="0"/>
          <w:sz w:val="20"/>
          <w:rtl/>
          <w:lang w:bidi="ar-SY"/>
        </w:rPr>
      </w:pPr>
      <w:r w:rsidRPr="003E698F">
        <w:rPr>
          <w:rFonts w:hint="cs"/>
          <w:spacing w:val="0"/>
          <w:kern w:val="0"/>
          <w:sz w:val="20"/>
          <w:rtl/>
        </w:rPr>
        <w:tab/>
      </w:r>
      <w:r w:rsidRPr="003E698F">
        <w:rPr>
          <w:rFonts w:hint="cs"/>
          <w:spacing w:val="0"/>
          <w:kern w:val="0"/>
          <w:sz w:val="20"/>
          <w:rtl/>
        </w:rPr>
        <w:tab/>
        <w:t>البلاغ رقم 353/2008</w:t>
      </w:r>
      <w:r w:rsidRPr="003E698F">
        <w:rPr>
          <w:rFonts w:hint="cs"/>
          <w:spacing w:val="0"/>
          <w:kern w:val="0"/>
          <w:sz w:val="20"/>
          <w:rtl/>
          <w:lang w:bidi="ar-SY"/>
        </w:rPr>
        <w:t xml:space="preserve">: </w:t>
      </w:r>
      <w:r w:rsidRPr="003E698F">
        <w:rPr>
          <w:rFonts w:hint="cs"/>
          <w:i/>
          <w:iCs/>
          <w:spacing w:val="0"/>
          <w:kern w:val="0"/>
          <w:sz w:val="20"/>
          <w:rtl/>
          <w:lang w:bidi="ar-SY"/>
        </w:rPr>
        <w:t>سليوسار ضد أوكرانيا</w:t>
      </w:r>
    </w:p>
    <w:p w:rsidR="00921F02" w:rsidRPr="003E698F" w:rsidRDefault="00921F02" w:rsidP="00921F02">
      <w:pPr>
        <w:pStyle w:val="SingleTxtGA"/>
        <w:ind w:firstLine="678"/>
        <w:rPr>
          <w:rFonts w:hint="cs"/>
          <w:spacing w:val="0"/>
          <w:kern w:val="0"/>
          <w:sz w:val="20"/>
          <w:rtl/>
        </w:rPr>
      </w:pPr>
      <w:r w:rsidRPr="003E698F">
        <w:rPr>
          <w:rFonts w:hint="cs"/>
          <w:i/>
          <w:iCs/>
          <w:spacing w:val="0"/>
          <w:kern w:val="0"/>
          <w:sz w:val="20"/>
          <w:rtl/>
        </w:rPr>
        <w:t>المقدم من:</w:t>
      </w:r>
      <w:r w:rsidRPr="003E698F">
        <w:rPr>
          <w:rFonts w:hint="cs"/>
          <w:spacing w:val="0"/>
          <w:kern w:val="0"/>
          <w:sz w:val="20"/>
          <w:rtl/>
        </w:rPr>
        <w:tab/>
      </w:r>
      <w:r w:rsidRPr="003E698F">
        <w:rPr>
          <w:rFonts w:hint="cs"/>
          <w:spacing w:val="0"/>
          <w:kern w:val="0"/>
          <w:sz w:val="20"/>
          <w:rtl/>
        </w:rPr>
        <w:tab/>
      </w:r>
      <w:r w:rsidRPr="003E698F">
        <w:rPr>
          <w:rFonts w:hint="cs"/>
          <w:spacing w:val="0"/>
          <w:kern w:val="0"/>
          <w:sz w:val="20"/>
          <w:rtl/>
        </w:rPr>
        <w:tab/>
        <w:t>دميترو سليوسار (لا يمثله محام)</w:t>
      </w:r>
    </w:p>
    <w:p w:rsidR="00921F02" w:rsidRPr="003E698F" w:rsidRDefault="00921F02" w:rsidP="00921F02">
      <w:pPr>
        <w:pStyle w:val="SingleTxtGA"/>
        <w:ind w:firstLine="678"/>
        <w:rPr>
          <w:rFonts w:hint="cs"/>
          <w:spacing w:val="0"/>
          <w:kern w:val="0"/>
          <w:sz w:val="20"/>
          <w:rtl/>
        </w:rPr>
      </w:pPr>
      <w:r w:rsidRPr="003E698F">
        <w:rPr>
          <w:rFonts w:hint="cs"/>
          <w:i/>
          <w:iCs/>
          <w:spacing w:val="0"/>
          <w:kern w:val="0"/>
          <w:sz w:val="20"/>
          <w:rtl/>
        </w:rPr>
        <w:t>الشخص المدعى أنه ضحية:</w:t>
      </w:r>
      <w:r w:rsidRPr="003E698F">
        <w:rPr>
          <w:rFonts w:hint="cs"/>
          <w:spacing w:val="0"/>
          <w:kern w:val="0"/>
          <w:sz w:val="20"/>
          <w:rtl/>
        </w:rPr>
        <w:tab/>
        <w:t xml:space="preserve">صاحب الشكوى </w:t>
      </w:r>
    </w:p>
    <w:p w:rsidR="00921F02" w:rsidRPr="003E698F" w:rsidRDefault="00921F02" w:rsidP="00921F02">
      <w:pPr>
        <w:pStyle w:val="SingleTxtGA"/>
        <w:ind w:firstLine="678"/>
        <w:rPr>
          <w:rFonts w:hint="cs"/>
          <w:spacing w:val="0"/>
          <w:kern w:val="0"/>
          <w:sz w:val="20"/>
          <w:rtl/>
        </w:rPr>
      </w:pPr>
      <w:r w:rsidRPr="003E698F">
        <w:rPr>
          <w:rFonts w:hint="cs"/>
          <w:i/>
          <w:iCs/>
          <w:spacing w:val="0"/>
          <w:kern w:val="0"/>
          <w:sz w:val="20"/>
          <w:rtl/>
        </w:rPr>
        <w:t>الدولة الطرف:</w:t>
      </w:r>
      <w:r w:rsidRPr="003E698F">
        <w:rPr>
          <w:rFonts w:hint="cs"/>
          <w:spacing w:val="0"/>
          <w:kern w:val="0"/>
          <w:sz w:val="20"/>
          <w:rtl/>
        </w:rPr>
        <w:tab/>
      </w:r>
      <w:r w:rsidRPr="003E698F">
        <w:rPr>
          <w:rFonts w:hint="cs"/>
          <w:spacing w:val="0"/>
          <w:kern w:val="0"/>
          <w:sz w:val="20"/>
          <w:rtl/>
        </w:rPr>
        <w:tab/>
      </w:r>
      <w:r w:rsidRPr="003E698F">
        <w:rPr>
          <w:rFonts w:hint="cs"/>
          <w:spacing w:val="0"/>
          <w:kern w:val="0"/>
          <w:sz w:val="20"/>
          <w:rtl/>
        </w:rPr>
        <w:tab/>
        <w:t>أوكرانيا</w:t>
      </w:r>
    </w:p>
    <w:p w:rsidR="00921F02" w:rsidRPr="003E698F" w:rsidRDefault="00921F02" w:rsidP="00921F02">
      <w:pPr>
        <w:pStyle w:val="SingleTxtGA"/>
        <w:ind w:firstLine="678"/>
        <w:rPr>
          <w:rFonts w:hint="cs"/>
          <w:spacing w:val="0"/>
          <w:kern w:val="0"/>
          <w:sz w:val="20"/>
          <w:rtl/>
        </w:rPr>
      </w:pPr>
      <w:r w:rsidRPr="003E698F">
        <w:rPr>
          <w:rFonts w:hint="cs"/>
          <w:i/>
          <w:iCs/>
          <w:spacing w:val="0"/>
          <w:kern w:val="0"/>
          <w:sz w:val="20"/>
          <w:rtl/>
        </w:rPr>
        <w:t>تاريخ تقديم الشكوى:</w:t>
      </w:r>
      <w:r w:rsidRPr="003E698F">
        <w:rPr>
          <w:rFonts w:hint="cs"/>
          <w:spacing w:val="0"/>
          <w:kern w:val="0"/>
          <w:sz w:val="20"/>
          <w:rtl/>
        </w:rPr>
        <w:tab/>
      </w:r>
      <w:r w:rsidRPr="003E698F">
        <w:rPr>
          <w:rFonts w:hint="cs"/>
          <w:spacing w:val="0"/>
          <w:kern w:val="0"/>
          <w:sz w:val="20"/>
          <w:rtl/>
        </w:rPr>
        <w:tab/>
        <w:t>28 تموز/يوليه 2008 (تاريخ الرسالة الأولى)</w:t>
      </w:r>
    </w:p>
    <w:p w:rsidR="00921F02" w:rsidRPr="003E698F" w:rsidRDefault="00921F02" w:rsidP="00921F02">
      <w:pPr>
        <w:pStyle w:val="SingleTxtGA"/>
        <w:jc w:val="lowKashida"/>
        <w:rPr>
          <w:rFonts w:hint="cs"/>
          <w:spacing w:val="0"/>
          <w:kern w:val="0"/>
          <w:sz w:val="20"/>
          <w:rtl/>
        </w:rPr>
      </w:pPr>
      <w:r w:rsidRPr="003E698F">
        <w:rPr>
          <w:rFonts w:hint="cs"/>
          <w:i/>
          <w:iCs/>
          <w:spacing w:val="0"/>
          <w:kern w:val="0"/>
          <w:sz w:val="20"/>
          <w:rtl/>
        </w:rPr>
        <w:tab/>
        <w:t>إن لجنة مناهضة التعذيب</w:t>
      </w:r>
      <w:r w:rsidRPr="003E698F">
        <w:rPr>
          <w:rFonts w:hint="cs"/>
          <w:spacing w:val="0"/>
          <w:kern w:val="0"/>
          <w:sz w:val="20"/>
          <w:rtl/>
        </w:rPr>
        <w:t>، المنشأة بموجب المادة 17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jc w:val="lowKashida"/>
        <w:rPr>
          <w:rFonts w:hint="cs"/>
          <w:spacing w:val="0"/>
          <w:kern w:val="0"/>
          <w:sz w:val="20"/>
          <w:rtl/>
        </w:rPr>
      </w:pPr>
      <w:r w:rsidRPr="003E698F">
        <w:rPr>
          <w:rFonts w:hint="cs"/>
          <w:i/>
          <w:iCs/>
          <w:spacing w:val="0"/>
          <w:kern w:val="0"/>
          <w:sz w:val="20"/>
          <w:rtl/>
        </w:rPr>
        <w:tab/>
        <w:t>وقد اجتمعت</w:t>
      </w:r>
      <w:r w:rsidRPr="003E698F">
        <w:rPr>
          <w:rFonts w:hint="cs"/>
          <w:spacing w:val="0"/>
          <w:kern w:val="0"/>
          <w:sz w:val="20"/>
          <w:rtl/>
        </w:rPr>
        <w:t xml:space="preserve"> في 14 تشرين الثاني/نوفمبر 2011،</w:t>
      </w:r>
    </w:p>
    <w:p w:rsidR="00921F02" w:rsidRPr="003E698F" w:rsidRDefault="00921F02" w:rsidP="00921F02">
      <w:pPr>
        <w:pStyle w:val="SingleTxtGA"/>
        <w:jc w:val="lowKashida"/>
        <w:rPr>
          <w:rFonts w:hint="cs"/>
          <w:spacing w:val="0"/>
          <w:kern w:val="0"/>
          <w:sz w:val="20"/>
          <w:rtl/>
        </w:rPr>
      </w:pPr>
      <w:r w:rsidRPr="003E698F">
        <w:rPr>
          <w:rFonts w:hint="cs"/>
          <w:i/>
          <w:iCs/>
          <w:spacing w:val="0"/>
          <w:kern w:val="0"/>
          <w:sz w:val="20"/>
          <w:rtl/>
        </w:rPr>
        <w:tab/>
        <w:t xml:space="preserve">وقد فرغت </w:t>
      </w:r>
      <w:r w:rsidRPr="003E698F">
        <w:rPr>
          <w:rFonts w:hint="cs"/>
          <w:spacing w:val="0"/>
          <w:kern w:val="0"/>
          <w:sz w:val="20"/>
          <w:rtl/>
        </w:rPr>
        <w:t>من النظر في الشكوى رقم 353/2008، التي قدّمها دميترو سليوسار إلى لجنة مناهضة التعذيب بموجب المادة 22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jc w:val="lowKashida"/>
        <w:rPr>
          <w:rFonts w:hint="cs"/>
          <w:spacing w:val="0"/>
          <w:kern w:val="0"/>
          <w:sz w:val="20"/>
          <w:rtl/>
        </w:rPr>
      </w:pPr>
      <w:r w:rsidRPr="003E698F">
        <w:rPr>
          <w:rFonts w:hint="cs"/>
          <w:i/>
          <w:iCs/>
          <w:spacing w:val="0"/>
          <w:kern w:val="0"/>
          <w:sz w:val="20"/>
          <w:rtl/>
        </w:rPr>
        <w:tab/>
        <w:t xml:space="preserve">وقد أخذت في اعتبارها </w:t>
      </w:r>
      <w:r w:rsidRPr="003E698F">
        <w:rPr>
          <w:rFonts w:hint="cs"/>
          <w:spacing w:val="0"/>
          <w:kern w:val="0"/>
          <w:sz w:val="20"/>
          <w:rtl/>
        </w:rPr>
        <w:t>جميع المعلومات التي أتاحها لها صاحب الشكوى ومحاميه والدولة الطرف،</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ab/>
      </w:r>
      <w:r w:rsidRPr="003E698F">
        <w:rPr>
          <w:rFonts w:hint="cs"/>
          <w:i/>
          <w:iCs/>
          <w:spacing w:val="0"/>
          <w:kern w:val="0"/>
          <w:sz w:val="20"/>
          <w:rtl/>
        </w:rPr>
        <w:t xml:space="preserve">تعتمد </w:t>
      </w:r>
      <w:r w:rsidRPr="003E698F">
        <w:rPr>
          <w:rFonts w:hint="cs"/>
          <w:spacing w:val="0"/>
          <w:kern w:val="0"/>
          <w:sz w:val="20"/>
          <w:rtl/>
        </w:rPr>
        <w:t>ما يلي:</w:t>
      </w:r>
    </w:p>
    <w:p w:rsidR="00921F02" w:rsidRPr="003E698F" w:rsidRDefault="00921F02" w:rsidP="00921F02">
      <w:pPr>
        <w:pStyle w:val="H1GA"/>
        <w:jc w:val="lowKashida"/>
        <w:rPr>
          <w:spacing w:val="0"/>
          <w:kern w:val="0"/>
          <w:sz w:val="20"/>
          <w:rtl/>
        </w:rPr>
      </w:pPr>
      <w:r w:rsidRPr="003E698F">
        <w:rPr>
          <w:rFonts w:hint="cs"/>
          <w:spacing w:val="0"/>
          <w:kern w:val="0"/>
          <w:sz w:val="20"/>
          <w:rtl/>
        </w:rPr>
        <w:tab/>
      </w:r>
      <w:r w:rsidRPr="003E698F">
        <w:rPr>
          <w:rFonts w:hint="cs"/>
          <w:spacing w:val="0"/>
          <w:kern w:val="0"/>
          <w:sz w:val="20"/>
          <w:rtl/>
        </w:rPr>
        <w:tab/>
        <w:t>قرار بموجب الفقرة 7 من المادة 22 من اتفاقية مناهضة التعذيب</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w:t>
      </w:r>
      <w:r w:rsidRPr="003E698F">
        <w:rPr>
          <w:rFonts w:hint="cs"/>
          <w:spacing w:val="0"/>
          <w:kern w:val="0"/>
          <w:sz w:val="20"/>
          <w:rtl/>
        </w:rPr>
        <w:tab/>
        <w:t>صاحب الشكوى هـو السيد دميترو سليوسار، وهو مواطـن أوكراني مولود في عام 1981. ويدعي صاحب الشكوى أنه وقـع ضحية لانتهاك الفقرة 1 من المادة 2، والمادة 12 من اتفاقية مناهضة التعذيب وغيره من ضروب المعاملة أو العقوبة القاسية أو اللاإنسانية أو المهينة. ولا يمثل صاحب الشكوى محام.</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الوقائع كما عرضها صاحب الشكوى</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rPr>
        <w:t>2-1</w:t>
      </w:r>
      <w:r w:rsidRPr="003E698F">
        <w:rPr>
          <w:rFonts w:hint="cs"/>
          <w:spacing w:val="0"/>
          <w:kern w:val="0"/>
          <w:sz w:val="20"/>
          <w:rtl/>
        </w:rPr>
        <w:tab/>
        <w:t xml:space="preserve">في 17 نيسان/أبريل 2003، اختفى والد صاحب الشكوى في ظروف غامضة. ويزعم أن والده كان قد كتب وصيته قبل يومين من اختفائه، وهي وصية جاء فيها </w:t>
      </w:r>
      <w:r w:rsidRPr="003E698F">
        <w:rPr>
          <w:rFonts w:hint="cs"/>
          <w:spacing w:val="0"/>
          <w:kern w:val="0"/>
          <w:sz w:val="20"/>
          <w:rtl/>
          <w:lang w:bidi="ar-SY"/>
        </w:rPr>
        <w:t xml:space="preserve">أنه ترك جميع أملاكه لأخيه، يوري </w:t>
      </w:r>
      <w:r w:rsidRPr="003E698F">
        <w:rPr>
          <w:rFonts w:hint="cs"/>
          <w:spacing w:val="0"/>
          <w:kern w:val="0"/>
          <w:sz w:val="20"/>
          <w:rtl/>
        </w:rPr>
        <w:t>سليوسار</w:t>
      </w:r>
      <w:r w:rsidRPr="003E698F">
        <w:rPr>
          <w:rFonts w:hint="cs"/>
          <w:spacing w:val="0"/>
          <w:kern w:val="0"/>
          <w:sz w:val="20"/>
          <w:rtl/>
          <w:lang w:bidi="ar-SY"/>
        </w:rPr>
        <w:t>. وفي 18 نيسان/أبريل 2003، توجه صاحب الشكوى بمعية والدته إلى الشرطة وإلى غيرها من وكالات إنفاذ القانون للإبلاغ عن اختفاء أبيه، ومع ذلك، لم تُتخذ أية إجراءات للتحقيق في أمر اختفائه. وعوضاً عن ذلك فتحت قضية جنائية تتعلق بمقتله.</w:t>
      </w:r>
    </w:p>
    <w:p w:rsidR="00921F02" w:rsidRPr="00FE387B" w:rsidRDefault="00921F02" w:rsidP="00921F02">
      <w:pPr>
        <w:pStyle w:val="SingleTxtGA"/>
        <w:jc w:val="lowKashida"/>
        <w:rPr>
          <w:rFonts w:hint="cs"/>
          <w:spacing w:val="-2"/>
          <w:kern w:val="0"/>
          <w:sz w:val="20"/>
          <w:rtl/>
          <w:lang w:bidi="ar-SY"/>
        </w:rPr>
      </w:pPr>
      <w:r w:rsidRPr="00FE387B">
        <w:rPr>
          <w:rFonts w:hint="cs"/>
          <w:spacing w:val="-2"/>
          <w:kern w:val="0"/>
          <w:sz w:val="20"/>
          <w:rtl/>
          <w:lang w:bidi="ar-SY"/>
        </w:rPr>
        <w:t>2-2</w:t>
      </w:r>
      <w:r w:rsidRPr="00FE387B">
        <w:rPr>
          <w:rFonts w:hint="cs"/>
          <w:spacing w:val="-2"/>
          <w:kern w:val="0"/>
          <w:sz w:val="20"/>
          <w:rtl/>
          <w:lang w:bidi="ar-SY"/>
        </w:rPr>
        <w:tab/>
        <w:t>ويدعي صاحب الشكوى أن عمه يوري سليوسار قد عرقل التحقيق في القضية بتقديم إفادات كاذبة وتحريض آخرين على تقديم إفادات كاذبة ضد صاحب الشكوى ووالدته.</w:t>
      </w:r>
    </w:p>
    <w:p w:rsidR="00921F02" w:rsidRPr="00FE387B" w:rsidRDefault="00921F02" w:rsidP="00921F02">
      <w:pPr>
        <w:pStyle w:val="SingleTxtGA"/>
        <w:jc w:val="lowKashida"/>
        <w:rPr>
          <w:rFonts w:hint="cs"/>
          <w:spacing w:val="-2"/>
          <w:kern w:val="0"/>
          <w:sz w:val="20"/>
          <w:rtl/>
        </w:rPr>
      </w:pPr>
      <w:r w:rsidRPr="00FE387B">
        <w:rPr>
          <w:rFonts w:hint="cs"/>
          <w:spacing w:val="-2"/>
          <w:kern w:val="0"/>
          <w:sz w:val="20"/>
          <w:rtl/>
          <w:lang w:bidi="ar-SY"/>
        </w:rPr>
        <w:t>2-3</w:t>
      </w:r>
      <w:r w:rsidRPr="00FE387B">
        <w:rPr>
          <w:rFonts w:hint="cs"/>
          <w:spacing w:val="-2"/>
          <w:kern w:val="0"/>
          <w:sz w:val="20"/>
          <w:rtl/>
          <w:lang w:bidi="ar-SY"/>
        </w:rPr>
        <w:tab/>
        <w:t xml:space="preserve">وفي 17 شباط/فبراير 2006 قام ثلاثة رجال يحملون بطاقات للشرطة بالقبض على </w:t>
      </w:r>
      <w:r w:rsidRPr="00FE387B">
        <w:rPr>
          <w:rFonts w:hint="cs"/>
          <w:spacing w:val="-2"/>
          <w:kern w:val="0"/>
          <w:sz w:val="20"/>
          <w:rtl/>
        </w:rPr>
        <w:t xml:space="preserve">صاحب الشكوى </w:t>
      </w:r>
      <w:r w:rsidRPr="00FE387B">
        <w:rPr>
          <w:rFonts w:hint="cs"/>
          <w:spacing w:val="-2"/>
          <w:kern w:val="0"/>
          <w:sz w:val="20"/>
          <w:rtl/>
          <w:lang w:bidi="ar-SY"/>
        </w:rPr>
        <w:t>وهو في طريقه إلى عمله واقتادوه إلى مركز شرطة منطقة سولوميانسكي. وهو يدعي أنهم قدموا تقريراً يتهمونه فيه بارتكاب مخالفة إدارية لكونه استخدم عبارات غير لائقة على الرغم من تحذيراتهم له. ويزعم صاحب الشكوى أن تلك الاتهامات كاذبة. وفي اليوم نفسه، اقتيد إلى محكمة منطقة سفياتوشينسكي التي حكمت عليه بالسجن لمدة سبعة أيام. ويزعم صاحب الشكوى أنه لم يحصل على مساعدة قضائية أثناء وجوده في الاحتجاز الإداري.</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2-4</w:t>
      </w:r>
      <w:r w:rsidRPr="003E698F">
        <w:rPr>
          <w:rFonts w:hint="cs"/>
          <w:spacing w:val="0"/>
          <w:kern w:val="0"/>
          <w:sz w:val="20"/>
          <w:rtl/>
          <w:lang w:bidi="ar-SY"/>
        </w:rPr>
        <w:tab/>
        <w:t>ويدفع صاحب الشكوى بأن القبض عليه قد صدر في الواقع بأمر من مكتب المدعي العام الذي كان يحقق أيضاً في مقتل والده. ويزعم صاحب الشكوى أنه احتجز في البداية في مركز الاحتجاز المؤقت بكييف، وبعد مرور يومين أو ثلاثة أيام، نُقل إلى إدارة شرطة سولوميانسكي حيث خضع للتعذيب البدني والنفسي. وتعرض لضرب مبرح واحتجز في زنزانة تبلغ درجة حرارتها 4 درجات مئوية. ولم يسمح له بالنوم أو بالأكل وكان يتلقى تهديدات بأن زوجته ووالدته ستتعرضان للإيذاء إن لم يعترف بأنه قتل والده. وفي 24 شباط/فبراير 2006، احتُجز مرة أخرى بأمر من مكتب المدعي العام لاتهامه بقتل أبيه وتعرض من جديد للتعذيب</w:t>
      </w:r>
      <w:r w:rsidRPr="003E698F">
        <w:rPr>
          <w:spacing w:val="0"/>
          <w:kern w:val="0"/>
          <w:sz w:val="20"/>
          <w:vertAlign w:val="superscript"/>
          <w:rtl/>
          <w:lang w:bidi="ar-SY"/>
        </w:rPr>
        <w:t>(</w:t>
      </w:r>
      <w:r w:rsidRPr="003E698F">
        <w:rPr>
          <w:rStyle w:val="FootnoteReference"/>
          <w:spacing w:val="0"/>
          <w:sz w:val="20"/>
          <w:rtl/>
          <w:lang w:bidi="ar-SY"/>
        </w:rPr>
        <w:footnoteReference w:id="208"/>
      </w:r>
      <w:r w:rsidRPr="003E698F">
        <w:rPr>
          <w:spacing w:val="0"/>
          <w:kern w:val="0"/>
          <w:sz w:val="20"/>
          <w:vertAlign w:val="superscript"/>
          <w:rtl/>
          <w:lang w:bidi="ar-SY"/>
        </w:rPr>
        <w:t>)</w:t>
      </w:r>
      <w:r w:rsidRPr="003E698F">
        <w:rPr>
          <w:rFonts w:hint="cs"/>
          <w:spacing w:val="0"/>
          <w:kern w:val="0"/>
          <w:sz w:val="20"/>
          <w:rtl/>
          <w:lang w:bidi="ar-SY"/>
        </w:rPr>
        <w:t>. وقد تدهورت حالته الصحية بدرجة كبيرة وأظهر التشخيص المرضي أنه مصاب باضطراب في القلب والأوعية الدموية ناجم عن ارتفاع ضغط الدم.</w:t>
      </w:r>
    </w:p>
    <w:p w:rsidR="00921F02" w:rsidRPr="003E698F" w:rsidRDefault="00921F02" w:rsidP="000B4D1D">
      <w:pPr>
        <w:pStyle w:val="SingleTxtGA"/>
        <w:jc w:val="lowKashida"/>
        <w:rPr>
          <w:rFonts w:hint="cs"/>
          <w:spacing w:val="0"/>
          <w:kern w:val="0"/>
          <w:sz w:val="20"/>
          <w:rtl/>
          <w:lang w:bidi="ar-SY"/>
        </w:rPr>
      </w:pPr>
      <w:r w:rsidRPr="003E698F">
        <w:rPr>
          <w:rFonts w:hint="cs"/>
          <w:spacing w:val="0"/>
          <w:kern w:val="0"/>
          <w:sz w:val="20"/>
          <w:rtl/>
          <w:lang w:bidi="ar-SY"/>
        </w:rPr>
        <w:t>2-5</w:t>
      </w:r>
      <w:r w:rsidRPr="003E698F">
        <w:rPr>
          <w:rFonts w:hint="cs"/>
          <w:spacing w:val="0"/>
          <w:kern w:val="0"/>
          <w:sz w:val="20"/>
          <w:rtl/>
          <w:lang w:bidi="ar-SY"/>
        </w:rPr>
        <w:tab/>
        <w:t>وطعن صاحب الشكوى في القرار الصادر عن محكمة منطقة سفياتوشينسكي أمام</w:t>
      </w:r>
      <w:r w:rsidR="000B4D1D">
        <w:rPr>
          <w:rFonts w:hint="eastAsia"/>
          <w:spacing w:val="0"/>
          <w:kern w:val="0"/>
          <w:sz w:val="20"/>
          <w:rtl/>
          <w:lang w:bidi="ar-SY"/>
        </w:rPr>
        <w:t> </w:t>
      </w:r>
      <w:r w:rsidRPr="003E698F">
        <w:rPr>
          <w:rFonts w:hint="cs"/>
          <w:spacing w:val="0"/>
          <w:kern w:val="0"/>
          <w:sz w:val="20"/>
          <w:rtl/>
          <w:lang w:bidi="ar-SY"/>
        </w:rPr>
        <w:t>محكمة الاستئناف بكييف، فألغت القرار وأحالت القضية لإعادة النظر في 4 نيسان/</w:t>
      </w:r>
      <w:r w:rsidR="000B4D1D">
        <w:rPr>
          <w:rFonts w:hint="cs"/>
          <w:spacing w:val="0"/>
          <w:kern w:val="0"/>
          <w:sz w:val="20"/>
          <w:rtl/>
          <w:lang w:bidi="ar-SY"/>
        </w:rPr>
        <w:t xml:space="preserve"> </w:t>
      </w:r>
      <w:r w:rsidRPr="003E698F">
        <w:rPr>
          <w:rFonts w:hint="cs"/>
          <w:spacing w:val="0"/>
          <w:kern w:val="0"/>
          <w:sz w:val="20"/>
          <w:rtl/>
          <w:lang w:bidi="ar-SY"/>
        </w:rPr>
        <w:t>أبريل 2006. وفي 20 تشرين الأول/أكتوبر 2006، أكد قاض آخر في محكمة منطقة سفياتوشينسكي أن صاحب الشكوى قد ارتكب مخالفة إدارية.</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2-6</w:t>
      </w:r>
      <w:r w:rsidRPr="003E698F">
        <w:rPr>
          <w:rFonts w:hint="cs"/>
          <w:spacing w:val="0"/>
          <w:kern w:val="0"/>
          <w:sz w:val="20"/>
          <w:rtl/>
          <w:lang w:bidi="ar-SY"/>
        </w:rPr>
        <w:tab/>
        <w:t>وقدم صاحب الشكوى طعناً آخر إلى محكمة الاستئناف بكييف ضد القرار الثاني الصادر عن محكمة منطقة سفياتوشينسكي. وفي 29 كانون الأول/ديسمبر 2006 ألغت محكمة الاستئناف بكييف مرة أخرى قرار محكمة منطقة سفياتوشينسكي وأحالت إليها القضية لكي تعيد النظر فيها. وفي 4 نيسان/أبريل 2007، قرر قاض ثالث من محكمة منطقة سفياتوشينسكي أن صاحب الشكوى ارتكب مخالفة إدارية، وأغلق ملف القضية مرة أخرى بسبب الفترة الزمنية التي انقضت. ورفض الطعن الثالث الذي قدمه صاحب الشكوى إلى محكمة الاستئناف بكييف. ورفضت المحكمة العليا هي الأخرى طعنه في 26 كانون الأول/ديسمبر 2007.</w:t>
      </w:r>
    </w:p>
    <w:p w:rsidR="00921F02" w:rsidRPr="00FE387B" w:rsidRDefault="00921F02" w:rsidP="00921F02">
      <w:pPr>
        <w:pStyle w:val="SingleTxtGA"/>
        <w:jc w:val="lowKashida"/>
        <w:rPr>
          <w:rFonts w:hint="cs"/>
          <w:spacing w:val="-2"/>
          <w:kern w:val="0"/>
          <w:sz w:val="20"/>
          <w:rtl/>
          <w:lang w:bidi="ar-SY"/>
        </w:rPr>
      </w:pPr>
      <w:r w:rsidRPr="003E698F">
        <w:rPr>
          <w:rFonts w:hint="cs"/>
          <w:spacing w:val="0"/>
          <w:kern w:val="0"/>
          <w:sz w:val="20"/>
          <w:rtl/>
          <w:lang w:bidi="ar-SY"/>
        </w:rPr>
        <w:t>2-7</w:t>
      </w:r>
      <w:r w:rsidRPr="003E698F">
        <w:rPr>
          <w:rFonts w:hint="cs"/>
          <w:spacing w:val="0"/>
          <w:kern w:val="0"/>
          <w:sz w:val="20"/>
          <w:rtl/>
          <w:lang w:bidi="ar-SY"/>
        </w:rPr>
        <w:tab/>
        <w:t xml:space="preserve">ويدفع صاحب الشكوى بأن ادعاءاته المتعلقة بالتعرض للتعذيب مدعمة بتقرير الطب الشرعي. وفي 2 آذار/مارس 2006، رفع شكوى إلى مكتب المدعي العام بشأن تعرضه </w:t>
      </w:r>
      <w:r w:rsidRPr="00FE387B">
        <w:rPr>
          <w:rFonts w:hint="cs"/>
          <w:spacing w:val="-2"/>
          <w:kern w:val="0"/>
          <w:sz w:val="20"/>
          <w:rtl/>
          <w:lang w:bidi="ar-SY"/>
        </w:rPr>
        <w:t>للتعذيب فلم يعر بالاً لشكواه. ورُفضت الدعوى التي رفعها إلى محكمة منطقة سولوميانسكي بشأن عدم تحقيق مكتب المدعي العام في ادعاءات تعرضه للتعذيب. وطعن صاحب الشكوى في قرار محكمة منطقة سولوميانسكي أمام محكمة الاستئناف بكييف التي ألغت قرار محكمة المنطقة بشكل جزئي. وأقرت المحكمة على نحو خاص بمسألة عدم تحقيق مكتب المدعي العام في ادعاءات صاحب الشكوى لكنها لم تلزم المكتب بإجراء تحقيقات في الأمر. ولذلك، خلص صاحب الشكوى إلى أن أياً من سبل الانتصاف المحلية لن يكون فعّالاً، كما أنها غير متاحة.</w:t>
      </w:r>
    </w:p>
    <w:p w:rsidR="00921F02" w:rsidRPr="003E698F" w:rsidRDefault="00921F02" w:rsidP="00921F02">
      <w:pPr>
        <w:pStyle w:val="H23GA"/>
        <w:jc w:val="lowKashida"/>
        <w:rPr>
          <w:rFonts w:hint="cs"/>
          <w:spacing w:val="0"/>
          <w:kern w:val="0"/>
          <w:sz w:val="20"/>
          <w:rtl/>
          <w:lang w:bidi="ar-SY"/>
        </w:rPr>
      </w:pPr>
      <w:r w:rsidRPr="003E698F">
        <w:rPr>
          <w:rFonts w:hint="cs"/>
          <w:spacing w:val="0"/>
          <w:kern w:val="0"/>
          <w:sz w:val="20"/>
          <w:rtl/>
          <w:lang w:bidi="ar-SY"/>
        </w:rPr>
        <w:tab/>
      </w:r>
      <w:r w:rsidRPr="003E698F">
        <w:rPr>
          <w:rFonts w:hint="cs"/>
          <w:spacing w:val="0"/>
          <w:kern w:val="0"/>
          <w:sz w:val="20"/>
          <w:rtl/>
          <w:lang w:bidi="ar-SY"/>
        </w:rPr>
        <w:tab/>
        <w:t>الشكوى</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3-</w:t>
      </w:r>
      <w:r w:rsidRPr="003E698F">
        <w:rPr>
          <w:rFonts w:hint="cs"/>
          <w:spacing w:val="0"/>
          <w:kern w:val="0"/>
          <w:sz w:val="20"/>
          <w:rtl/>
          <w:lang w:bidi="ar-SY"/>
        </w:rPr>
        <w:tab/>
        <w:t>يدعي صاحب الشكوى أنه احتجز بصورة غير شرعية وتعرض لتعذيب شديد مما يشكل انتهاكاً للفقرة 1 من المادة 2 وللمادة 12 من الاتفاقية.</w:t>
      </w:r>
    </w:p>
    <w:p w:rsidR="00921F02" w:rsidRPr="003E698F" w:rsidRDefault="00921F02" w:rsidP="00921F02">
      <w:pPr>
        <w:pStyle w:val="H23GA"/>
        <w:jc w:val="lowKashida"/>
        <w:rPr>
          <w:rFonts w:hint="cs"/>
          <w:spacing w:val="0"/>
          <w:kern w:val="0"/>
          <w:sz w:val="20"/>
          <w:rtl/>
          <w:lang/>
        </w:rPr>
      </w:pPr>
      <w:r w:rsidRPr="003E698F">
        <w:rPr>
          <w:rFonts w:hint="cs"/>
          <w:spacing w:val="0"/>
          <w:kern w:val="0"/>
          <w:sz w:val="20"/>
          <w:rtl/>
          <w:lang/>
        </w:rPr>
        <w:tab/>
      </w:r>
      <w:r w:rsidRPr="003E698F">
        <w:rPr>
          <w:rFonts w:hint="cs"/>
          <w:spacing w:val="0"/>
          <w:kern w:val="0"/>
          <w:sz w:val="20"/>
          <w:rtl/>
          <w:lang/>
        </w:rPr>
        <w:tab/>
        <w:t>ملاحظات الدولة الطرف بشأن المقبولية والأسس الموضوعية</w:t>
      </w:r>
    </w:p>
    <w:p w:rsidR="00921F02" w:rsidRPr="003E698F" w:rsidRDefault="00921F02" w:rsidP="00921F02">
      <w:pPr>
        <w:pStyle w:val="SingleTxtGA"/>
        <w:jc w:val="lowKashida"/>
        <w:rPr>
          <w:rFonts w:hint="cs"/>
          <w:spacing w:val="0"/>
          <w:kern w:val="0"/>
          <w:sz w:val="20"/>
          <w:rtl/>
          <w:lang w:bidi="ar-SY"/>
        </w:rPr>
      </w:pPr>
      <w:r w:rsidRPr="00FE387B">
        <w:rPr>
          <w:rFonts w:hint="cs"/>
          <w:spacing w:val="-2"/>
          <w:kern w:val="0"/>
          <w:sz w:val="20"/>
          <w:rtl/>
          <w:lang/>
        </w:rPr>
        <w:t>4-1</w:t>
      </w:r>
      <w:r w:rsidRPr="00FE387B">
        <w:rPr>
          <w:rFonts w:hint="cs"/>
          <w:spacing w:val="-2"/>
          <w:kern w:val="0"/>
          <w:sz w:val="20"/>
          <w:rtl/>
          <w:lang w:bidi="ar-SY"/>
        </w:rPr>
        <w:tab/>
        <w:t>في 24 تشرين الثاني/نوفمبر 2008، دفعت الدولة الطرف بأن مكتب المدعي العام في منطقة سولوميانسكي قد فتح قضية جنائية في 20 أيار/مايو 2003 بشأن أسر والد صاحب الشكوى السيد سليوسار سيرغي بصورة غير شرعية بموجب الجزء 1 من المادة 146 من القانون الجنائي. وفي 9 تموز/يوليه 2003، شرع مكتب المدعي العام نفسه أثناء</w:t>
      </w:r>
      <w:r w:rsidRPr="003E698F">
        <w:rPr>
          <w:rFonts w:hint="cs"/>
          <w:spacing w:val="0"/>
          <w:kern w:val="0"/>
          <w:sz w:val="20"/>
          <w:rtl/>
          <w:lang w:bidi="ar-SY"/>
        </w:rPr>
        <w:t xml:space="preserve"> التحقيق في هذه القضيه الجنائية في تحقيق جنائي مع صاحب الشكوى ووالدته بموجب المادة نفسها من القانوني الجنائي. وفي ذاك اليوم، احتُجز كل من صاحب الشكوى ووالدته لمدة عشرة أيام بقرار من محكمة مدينة سولوميانسكي. وفي 18 تموز/يوليه 2003، أفرج عنهما بشرط عدم مغادرتهما البلد. ونظراً إلى تعذر إثبات تورط صاحب الشكوى ووالدته في القضية، فإن ملف القضية قد أغلق في 21 تموز/يوليه 2003.</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4-2</w:t>
      </w:r>
      <w:r w:rsidRPr="003E698F">
        <w:rPr>
          <w:rFonts w:hint="cs"/>
          <w:spacing w:val="0"/>
          <w:kern w:val="0"/>
          <w:sz w:val="20"/>
          <w:rtl/>
          <w:lang w:bidi="ar-SY"/>
        </w:rPr>
        <w:tab/>
        <w:t>وفي 17 شباط/فبراير 2006، احتجزت الشرطة صاحب الشكوى بسبب أفعال شغب بسيطة. وفي اليوم نفسه نظرت محكمة منطقة سفياتوشينسكي في القضية وحكمت على صاحب الشكوى بالحبس لمدة سبعة أيام بموجب المادة 173 من القانون الإداري.</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4-3</w:t>
      </w:r>
      <w:r w:rsidRPr="003E698F">
        <w:rPr>
          <w:rFonts w:hint="cs"/>
          <w:spacing w:val="0"/>
          <w:kern w:val="0"/>
          <w:sz w:val="20"/>
          <w:rtl/>
          <w:lang w:bidi="ar-SY"/>
        </w:rPr>
        <w:tab/>
        <w:t xml:space="preserve">وبعد إطلاق سراحه من الاحتجاز في 24 شباط/فبراير 2006، احتُجز صاحب الشكوى من جديد، غير أن التهمة التي وجهت إليه هذه المرة هي قتل والده. وفي 27 شباط/فبراير 2006، أخلي سبيله. وفي 28 شباط/فبراير 2006، طلب صاحب الشكوى توقيع فحص طبي عليه، كشف عن تعرضه لإصابات خفيفة. وقدم شكوى إلى مكتب المدعي العام عن تعرضه للضغط البدني والنفسي </w:t>
      </w:r>
      <w:r w:rsidRPr="003E698F">
        <w:rPr>
          <w:rFonts w:hint="cs"/>
          <w:spacing w:val="0"/>
          <w:kern w:val="0"/>
          <w:sz w:val="20"/>
          <w:rtl/>
        </w:rPr>
        <w:t>على</w:t>
      </w:r>
      <w:r w:rsidRPr="003E698F">
        <w:rPr>
          <w:rFonts w:hint="cs"/>
          <w:spacing w:val="0"/>
          <w:kern w:val="0"/>
          <w:sz w:val="20"/>
          <w:rtl/>
          <w:lang w:bidi="ar-SY"/>
        </w:rPr>
        <w:t xml:space="preserve"> أيدي ضباط الشرطة في المرتين اللتين احتجز فيهما. بيد أن التحقيق الذي أجرته وزارة الداخلية ومكتب المدعي العام لم يؤكد تلك الادعاءات. وخلصت المحكمة العليا إلى أن احتجاز صاحب الشكوى فيما يتعلق بأفعال الشغب مشروع وقررت تأييد قرار محكمة منطقة سفياتوشينسكي.</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4-4</w:t>
      </w:r>
      <w:r w:rsidRPr="003E698F">
        <w:rPr>
          <w:rFonts w:hint="cs"/>
          <w:spacing w:val="0"/>
          <w:kern w:val="0"/>
          <w:sz w:val="20"/>
          <w:rtl/>
          <w:lang w:bidi="ar-SY"/>
        </w:rPr>
        <w:tab/>
        <w:t xml:space="preserve">وتدفع الدولة الطرف بأنه نتيجة لالتماسات الطعن التي قدمها صاحب الشكوى، فإن قرار احتجازه قد خضع للمراجعة مرات عديدة من قبل المحكمة الأدنى درجة. وقام صاحب الشكوى أيضاً برفع شكوى إلى مكتب المدعي العام </w:t>
      </w:r>
      <w:r w:rsidRPr="003E698F">
        <w:rPr>
          <w:rFonts w:hint="cs"/>
          <w:spacing w:val="0"/>
          <w:kern w:val="0"/>
          <w:sz w:val="20"/>
          <w:rtl/>
        </w:rPr>
        <w:t>في</w:t>
      </w:r>
      <w:r w:rsidRPr="003E698F">
        <w:rPr>
          <w:rFonts w:hint="cs"/>
          <w:spacing w:val="0"/>
          <w:kern w:val="0"/>
          <w:sz w:val="20"/>
          <w:rtl/>
          <w:lang w:bidi="ar-SY"/>
        </w:rPr>
        <w:t xml:space="preserve"> المنطقة بشأن تعرضه للتعذيب غير أن مكتب المدعي العام رفض في 26 تموز/يوليه 2006 فتح قضية جنائية ضد ضباط الشرطة. وقد طعن صاحب الشكوى في هذا القرار أمام مكتب المدعي العام الأعلى درجة. ولم يُبت في الطعن بعدُ، ولا يكون صاحب الشكوى قد استنفد بذلك سبل الانتصاف المحلية.</w:t>
      </w:r>
    </w:p>
    <w:p w:rsidR="00921F02" w:rsidRPr="003E698F" w:rsidRDefault="00921F02" w:rsidP="00921F02">
      <w:pPr>
        <w:pStyle w:val="H23GA"/>
        <w:jc w:val="lowKashida"/>
        <w:rPr>
          <w:rFonts w:hint="cs"/>
          <w:spacing w:val="0"/>
          <w:kern w:val="0"/>
          <w:sz w:val="20"/>
          <w:lang w:bidi="ar-SY"/>
        </w:rPr>
      </w:pPr>
      <w:r w:rsidRPr="003E698F">
        <w:rPr>
          <w:rFonts w:hint="cs"/>
          <w:spacing w:val="0"/>
          <w:kern w:val="0"/>
          <w:sz w:val="20"/>
          <w:rtl/>
        </w:rPr>
        <w:tab/>
      </w:r>
      <w:r w:rsidRPr="003E698F">
        <w:rPr>
          <w:rFonts w:hint="cs"/>
          <w:spacing w:val="0"/>
          <w:kern w:val="0"/>
          <w:sz w:val="20"/>
          <w:rtl/>
        </w:rPr>
        <w:tab/>
        <w:t>تعليقات صاحب الشكوى على ملاحظات الدولة الطرف بشأن المقبولية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5-</w:t>
      </w:r>
      <w:r w:rsidRPr="003E698F">
        <w:rPr>
          <w:rFonts w:hint="cs"/>
          <w:spacing w:val="0"/>
          <w:kern w:val="0"/>
          <w:sz w:val="20"/>
          <w:rtl/>
        </w:rPr>
        <w:tab/>
        <w:t xml:space="preserve">في 19 كانون الثاني/يناير 2009، كرر صاحب الشكوى الوقائع التي عرضها منذ رسالته الأولى وادعى أنه استنفد جميع سبل الانتصاف المحلية المتاحة فيما يتعلق باحتجازه. ويدعي صاحب الشكوى أن هناك سبعة قرارات صادرة عن محاكم أوكرانية تتضمن جميعها رفضاً لادعاءاته. وبعد مرور أربعة أشهر على الشكوى الأولى التي قدمها بشأن تعرضه للتعذيب، أحيلت قضيته إلى </w:t>
      </w:r>
      <w:r w:rsidRPr="003E698F">
        <w:rPr>
          <w:rFonts w:hint="cs"/>
          <w:spacing w:val="0"/>
          <w:kern w:val="0"/>
          <w:sz w:val="20"/>
          <w:rtl/>
          <w:lang w:bidi="ar-SY"/>
        </w:rPr>
        <w:t>مكتب</w:t>
      </w:r>
      <w:r w:rsidRPr="003E698F">
        <w:rPr>
          <w:rFonts w:hint="cs"/>
          <w:spacing w:val="0"/>
          <w:kern w:val="0"/>
          <w:sz w:val="20"/>
          <w:rtl/>
        </w:rPr>
        <w:t xml:space="preserve"> المدعي العام في منطقة سولوميانسكي بكييف في تموز/يوليه 2006، فرفض المكتب فتح قضية جنائية ضد ضباط الشرطة. وطعن صاحب الشكوى في قرار مكتب المدعي العام بكييف في 26 تموز/يوليه 2006 لكنه لم يستلم أي رد منذ ذلك الوقت. وبناء على ذلك، فإنه يدعي أن فترة استنفاد سبل الانتصاف استغرقت وقتاً طويلاً تجاوز الحد المعقول ولا يمكن أن تشكل سبيل انتصاف فعالاً لأنها ستؤدي إلى إعادة القضية إلى مكتب المدعي العام. </w:t>
      </w:r>
    </w:p>
    <w:p w:rsidR="00921F02" w:rsidRPr="003E698F" w:rsidRDefault="00921F02" w:rsidP="00921F02">
      <w:pPr>
        <w:pStyle w:val="SingleTxtGA"/>
        <w:jc w:val="lowKashida"/>
        <w:rPr>
          <w:rFonts w:hint="cs"/>
          <w:b/>
          <w:bCs/>
          <w:spacing w:val="0"/>
          <w:kern w:val="0"/>
          <w:sz w:val="20"/>
          <w:rtl/>
        </w:rPr>
      </w:pPr>
      <w:r w:rsidRPr="003E698F">
        <w:rPr>
          <w:rFonts w:hint="cs"/>
          <w:b/>
          <w:bCs/>
          <w:spacing w:val="0"/>
          <w:kern w:val="0"/>
          <w:sz w:val="20"/>
          <w:rtl/>
        </w:rPr>
        <w:t>ملاحظات إضافية قدمتها الدولة الطرف</w:t>
      </w:r>
    </w:p>
    <w:p w:rsidR="00921F02" w:rsidRPr="003E698F" w:rsidRDefault="00921F02" w:rsidP="00EC14B7">
      <w:pPr>
        <w:pStyle w:val="SingleTxtGA"/>
        <w:jc w:val="lowKashida"/>
        <w:rPr>
          <w:rFonts w:hint="cs"/>
          <w:spacing w:val="0"/>
          <w:kern w:val="0"/>
          <w:sz w:val="20"/>
          <w:rtl/>
        </w:rPr>
      </w:pPr>
      <w:r w:rsidRPr="003E698F">
        <w:rPr>
          <w:rFonts w:hint="cs"/>
          <w:spacing w:val="0"/>
          <w:kern w:val="0"/>
          <w:sz w:val="20"/>
          <w:rtl/>
        </w:rPr>
        <w:t>6-1</w:t>
      </w:r>
      <w:r w:rsidRPr="003E698F">
        <w:rPr>
          <w:rFonts w:hint="cs"/>
          <w:spacing w:val="0"/>
          <w:kern w:val="0"/>
          <w:sz w:val="20"/>
          <w:rtl/>
        </w:rPr>
        <w:tab/>
        <w:t>في 20 آذار/مارس 2009، دفعت الدولة الطرف بأنه لا توجد صلة بين الوقائع المثبتة في الفحص الطبي الذي أجري في 28 شباط/فبراير 2006 وتقرير العيادة الطبية الصادر عن وزارة الداخلية والمؤرخ 4 أيار/مايو 2006 واحتمال ممارسة التعذيب ضد صاحب الشكوى. وتؤكد شهادات الشهود والضحية إدانته فيما يتعلق بالمخالفة الإدارية. ولم</w:t>
      </w:r>
      <w:r w:rsidR="00EC14B7">
        <w:rPr>
          <w:rFonts w:hint="eastAsia"/>
          <w:spacing w:val="0"/>
          <w:kern w:val="0"/>
          <w:sz w:val="20"/>
          <w:rtl/>
        </w:rPr>
        <w:t> </w:t>
      </w:r>
      <w:r w:rsidRPr="003E698F">
        <w:rPr>
          <w:rFonts w:hint="cs"/>
          <w:spacing w:val="0"/>
          <w:kern w:val="0"/>
          <w:sz w:val="20"/>
          <w:rtl/>
        </w:rPr>
        <w:t>يستخدم صاحب الشكوى حقه الدستوري في رفع شكوى أمام المحكمة بشأن استخدام الشرطة للتعذيب.</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6-2</w:t>
      </w:r>
      <w:r w:rsidRPr="003E698F">
        <w:rPr>
          <w:rFonts w:hint="cs"/>
          <w:spacing w:val="0"/>
          <w:kern w:val="0"/>
          <w:sz w:val="20"/>
          <w:rtl/>
        </w:rPr>
        <w:tab/>
        <w:t>وفي 27 أيار/مايو 2009، أفادت الدولة الطرف عن التشريع المحلي المتعلق بإجراء الطعن الذي يحدد مهلة من سبعة أيام للطعن في قرار مكتب المدعي العام.</w:t>
      </w:r>
    </w:p>
    <w:p w:rsidR="00921F02" w:rsidRPr="003E698F" w:rsidRDefault="00FE387B" w:rsidP="00921F02">
      <w:pPr>
        <w:pStyle w:val="H23GA"/>
        <w:jc w:val="lowKashida"/>
        <w:rPr>
          <w:rFonts w:hint="cs"/>
          <w:spacing w:val="0"/>
          <w:kern w:val="0"/>
          <w:sz w:val="20"/>
          <w:rtl/>
        </w:rPr>
      </w:pPr>
      <w:r>
        <w:rPr>
          <w:spacing w:val="0"/>
          <w:kern w:val="0"/>
          <w:sz w:val="20"/>
          <w:rtl/>
        </w:rPr>
        <w:br w:type="page"/>
      </w:r>
      <w:r w:rsidR="00921F02" w:rsidRPr="003E698F">
        <w:rPr>
          <w:rFonts w:hint="cs"/>
          <w:spacing w:val="0"/>
          <w:kern w:val="0"/>
          <w:sz w:val="20"/>
          <w:rtl/>
        </w:rPr>
        <w:tab/>
      </w:r>
      <w:r w:rsidR="00921F02" w:rsidRPr="003E698F">
        <w:rPr>
          <w:rFonts w:hint="cs"/>
          <w:spacing w:val="0"/>
          <w:kern w:val="0"/>
          <w:sz w:val="20"/>
          <w:rtl/>
        </w:rPr>
        <w:tab/>
        <w:t>تعليقات إضافية قدمها صاحب الشكوى</w:t>
      </w:r>
    </w:p>
    <w:p w:rsidR="00921F02" w:rsidRPr="003E698F" w:rsidRDefault="00921F02" w:rsidP="00FE387B">
      <w:pPr>
        <w:pStyle w:val="SingleTxtGA"/>
        <w:jc w:val="lowKashida"/>
        <w:rPr>
          <w:rFonts w:hint="cs"/>
          <w:spacing w:val="0"/>
          <w:kern w:val="0"/>
          <w:sz w:val="20"/>
          <w:rtl/>
        </w:rPr>
      </w:pPr>
      <w:r w:rsidRPr="003E698F">
        <w:rPr>
          <w:rFonts w:hint="cs"/>
          <w:spacing w:val="0"/>
          <w:kern w:val="0"/>
          <w:sz w:val="20"/>
          <w:rtl/>
        </w:rPr>
        <w:t>7-1</w:t>
      </w:r>
      <w:r w:rsidRPr="003E698F">
        <w:rPr>
          <w:rFonts w:hint="cs"/>
          <w:spacing w:val="0"/>
          <w:kern w:val="0"/>
          <w:sz w:val="20"/>
          <w:rtl/>
        </w:rPr>
        <w:tab/>
        <w:t>في 11 أيار/مايو 2009، اعترض صاحب الشكوى على ملاحظات الدولة الطرف. وذكر أن الشهود الذين أشارت إليهم الدولة الطرف هم ضباط في إدارة شرطة سولوميانسكي تصرفوا بأوامر من مكتب المدعي العام بكييف الذي كان يحقق في مقتل والده. ويؤكد صاحب الشكوى من جديد أنه بعد مرور سبعة أيام على احتجازه بسبب المخالفة الإدارية، وقبل أن يغادر مبنى إدارة شرطة سولوميانسكي، احتُجز مرة أخرى لمدة</w:t>
      </w:r>
      <w:r w:rsidR="00FE387B">
        <w:rPr>
          <w:rFonts w:hint="eastAsia"/>
          <w:spacing w:val="0"/>
          <w:kern w:val="0"/>
          <w:sz w:val="20"/>
          <w:rtl/>
        </w:rPr>
        <w:t> </w:t>
      </w:r>
      <w:r w:rsidRPr="003E698F">
        <w:rPr>
          <w:rFonts w:hint="cs"/>
          <w:spacing w:val="0"/>
          <w:kern w:val="0"/>
          <w:sz w:val="20"/>
          <w:rtl/>
        </w:rPr>
        <w:t>72 ساعة بتهمة قتل والده. ويدعي أن ضباط الشرطة كانوا في منطقته يحققون في قضية والده وتلقوا تعليمات باحتجازه. ويزعم أنه لو احتُجز لمجرد ارتكابه مخالفة إدارية كما ذكرت الدولة الطرف لكان من الأولى احتجازه في مركز الاحتجاز المؤقت بكييف لا إحالته إلى إدارة شرطة سولوميانسكي.</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7-2</w:t>
      </w:r>
      <w:r w:rsidRPr="003E698F">
        <w:rPr>
          <w:rFonts w:hint="cs"/>
          <w:spacing w:val="0"/>
          <w:kern w:val="0"/>
          <w:sz w:val="20"/>
          <w:rtl/>
        </w:rPr>
        <w:tab/>
        <w:t>ويدعي صاحب الشكوى أن هناك أوجه عدم اتساق وأكاذيب أخرى كثيرة في أقوال ضباط الشرطة ومعاونهم ("الضحية" في جريمة أفعال الشغب) وهي أقوال لم تجر المحكمة تحقيقاً وافياً للتأكد من صحتها.</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7-3</w:t>
      </w:r>
      <w:r w:rsidRPr="003E698F">
        <w:rPr>
          <w:rFonts w:hint="cs"/>
          <w:spacing w:val="0"/>
          <w:kern w:val="0"/>
          <w:sz w:val="20"/>
          <w:rtl/>
        </w:rPr>
        <w:tab/>
        <w:t>ويدفع صاحب الشكوى بأنه وفقاً للتقرير الطبي فإن إصاباته حدثت في أثناء احتجازه. ونتيجة لذلك، كان عليه الذهاب إلى المستشفى حيث أظهر ال</w:t>
      </w:r>
      <w:r w:rsidRPr="003E698F">
        <w:rPr>
          <w:rFonts w:hint="cs"/>
          <w:spacing w:val="0"/>
          <w:kern w:val="0"/>
          <w:sz w:val="20"/>
          <w:rtl/>
          <w:lang w:bidi="ar-SY"/>
        </w:rPr>
        <w:t>تشخيص</w:t>
      </w:r>
      <w:r w:rsidRPr="003E698F">
        <w:rPr>
          <w:rFonts w:hint="cs"/>
          <w:spacing w:val="0"/>
          <w:kern w:val="0"/>
          <w:sz w:val="20"/>
          <w:rtl/>
        </w:rPr>
        <w:t xml:space="preserve"> </w:t>
      </w:r>
      <w:r w:rsidRPr="003E698F">
        <w:rPr>
          <w:rFonts w:hint="cs"/>
          <w:spacing w:val="0"/>
          <w:kern w:val="0"/>
          <w:sz w:val="20"/>
          <w:rtl/>
          <w:lang w:bidi="ar-SY"/>
        </w:rPr>
        <w:t xml:space="preserve">أنه مصاب باضطراب في القلب والأوعية الدموية ناجم عن ارتفاع ضغط الدم </w:t>
      </w:r>
      <w:r w:rsidRPr="003E698F">
        <w:rPr>
          <w:rFonts w:hint="cs"/>
          <w:spacing w:val="0"/>
          <w:kern w:val="0"/>
          <w:sz w:val="20"/>
          <w:rtl/>
        </w:rPr>
        <w:t>على النحو المبين في التقرير المؤرخ 4 أيار/مايو 2006. وأخيراً يكرر صاحب الشكوى ملاحظاته السابقة بشأن استنفاد سبل الانتصاف فيما يتعلق بادعاءاته المتعلقة بالتعذيب.</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7-4</w:t>
      </w:r>
      <w:r w:rsidRPr="003E698F">
        <w:rPr>
          <w:rFonts w:hint="cs"/>
          <w:spacing w:val="0"/>
          <w:kern w:val="0"/>
          <w:sz w:val="20"/>
          <w:rtl/>
        </w:rPr>
        <w:tab/>
        <w:t xml:space="preserve">وفي 6 تموز/يوليه 2009، أكد صاحب الشكوى مرة أخرى أن مكتب المدعي العام بكييف لم يتخذ أي قرار في قضيته على الرغم من أنه كان </w:t>
      </w:r>
      <w:r w:rsidRPr="003E698F">
        <w:rPr>
          <w:rFonts w:hint="cs"/>
          <w:spacing w:val="0"/>
          <w:kern w:val="0"/>
          <w:sz w:val="20"/>
          <w:rtl/>
          <w:lang w:bidi="ar-SY"/>
        </w:rPr>
        <w:t>عليه</w:t>
      </w:r>
      <w:r w:rsidRPr="003E698F">
        <w:rPr>
          <w:rFonts w:hint="cs"/>
          <w:spacing w:val="0"/>
          <w:kern w:val="0"/>
          <w:sz w:val="20"/>
          <w:rtl/>
        </w:rPr>
        <w:t xml:space="preserve"> بموجب القانون أن يرسل ردّه في غضون ثلاثة أيام. ويدفع صاحب الشكوى بأنه لم يطعن أمام المحكمة في قرار مكتب المدعي العام في المنطقة المتعلق بعدم فتح قضية جنائية، لأنه قدم الطعن إلى مكتب المدعي العام الأعلى درجة ولا يمكن لطعنه أن يكون موضع نظر هيئتي استعراض في آن معاً.</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7-5</w:t>
      </w:r>
      <w:r w:rsidRPr="003E698F">
        <w:rPr>
          <w:rFonts w:hint="cs"/>
          <w:spacing w:val="0"/>
          <w:kern w:val="0"/>
          <w:sz w:val="20"/>
          <w:rtl/>
        </w:rPr>
        <w:tab/>
        <w:t>وفي 26 تشرين الأول/أكتوبر 2011، دفع صاحب الشكوى بأن طعونه الأخرى التي قدمها في عامي 2010 و2011 إلى مكتب المدعي العام ومكتب المدعي العام في كييف قد رفضت.</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lang/>
        </w:rPr>
        <w:tab/>
      </w:r>
      <w:r w:rsidRPr="003E698F">
        <w:rPr>
          <w:rFonts w:hint="cs"/>
          <w:spacing w:val="0"/>
          <w:kern w:val="0"/>
          <w:sz w:val="20"/>
          <w:rtl/>
          <w:lang/>
        </w:rPr>
        <w:tab/>
        <w:t>المسائل والإجراءات المعروضة على اللجنة</w:t>
      </w:r>
    </w:p>
    <w:p w:rsidR="00921F02" w:rsidRPr="003E698F" w:rsidRDefault="00921F02" w:rsidP="00921F02">
      <w:pPr>
        <w:pStyle w:val="H4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النظر في المقبولية</w:t>
      </w:r>
    </w:p>
    <w:p w:rsidR="00921F02" w:rsidRPr="003E698F" w:rsidRDefault="00921F02" w:rsidP="003A2D39">
      <w:pPr>
        <w:pStyle w:val="SingleTxtGA"/>
        <w:jc w:val="lowKashida"/>
        <w:rPr>
          <w:rFonts w:hint="cs"/>
          <w:spacing w:val="0"/>
          <w:kern w:val="0"/>
          <w:sz w:val="20"/>
          <w:rtl/>
          <w:lang/>
        </w:rPr>
      </w:pPr>
      <w:r w:rsidRPr="003E698F">
        <w:rPr>
          <w:rFonts w:hint="cs"/>
          <w:spacing w:val="0"/>
          <w:kern w:val="0"/>
          <w:sz w:val="20"/>
          <w:rtl/>
        </w:rPr>
        <w:t>8-1</w:t>
      </w:r>
      <w:r w:rsidRPr="003E698F">
        <w:rPr>
          <w:rFonts w:hint="cs"/>
          <w:spacing w:val="0"/>
          <w:kern w:val="0"/>
          <w:sz w:val="20"/>
          <w:rtl/>
          <w:lang/>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w:t>
      </w:r>
      <w:r w:rsidR="003A2D39">
        <w:rPr>
          <w:rFonts w:hint="cs"/>
          <w:spacing w:val="-2"/>
          <w:kern w:val="0"/>
          <w:sz w:val="20"/>
          <w:rtl/>
        </w:rPr>
        <w:t>ال</w:t>
      </w:r>
      <w:r w:rsidR="003A2D39" w:rsidRPr="00ED6B1C">
        <w:rPr>
          <w:spacing w:val="-2"/>
          <w:kern w:val="0"/>
          <w:sz w:val="20"/>
          <w:rtl/>
        </w:rPr>
        <w:t xml:space="preserve">لجنة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3E698F">
        <w:rPr>
          <w:rFonts w:hint="cs"/>
          <w:spacing w:val="0"/>
          <w:kern w:val="0"/>
          <w:sz w:val="20"/>
          <w:rtl/>
          <w:lang/>
        </w:rPr>
        <w:t xml:space="preserve"> بموجب المادة 22 من الاتفاقية. </w:t>
      </w:r>
    </w:p>
    <w:p w:rsidR="00921F02" w:rsidRPr="003E698F" w:rsidRDefault="00921F02" w:rsidP="00FE387B">
      <w:pPr>
        <w:pStyle w:val="SingleTxtGA"/>
        <w:jc w:val="lowKashida"/>
        <w:rPr>
          <w:rFonts w:hint="cs"/>
          <w:spacing w:val="0"/>
          <w:kern w:val="0"/>
          <w:sz w:val="20"/>
          <w:rtl/>
        </w:rPr>
      </w:pPr>
      <w:r w:rsidRPr="003E698F">
        <w:rPr>
          <w:rFonts w:hint="cs"/>
          <w:spacing w:val="0"/>
          <w:kern w:val="0"/>
          <w:sz w:val="20"/>
          <w:rtl/>
          <w:lang/>
        </w:rPr>
        <w:t>8-2</w:t>
      </w:r>
      <w:r w:rsidRPr="003E698F">
        <w:rPr>
          <w:rFonts w:hint="cs"/>
          <w:spacing w:val="0"/>
          <w:kern w:val="0"/>
          <w:sz w:val="20"/>
          <w:rtl/>
          <w:lang/>
        </w:rPr>
        <w:tab/>
        <w:t xml:space="preserve">تلاحظ اللجنة ادعاء الدولة الطرف أن صاحب الشكوى لم يستنفد سبل الانتصاف المحلية لأن شكواه لا تزال قيد النظر في مكتب المدعي العام </w:t>
      </w:r>
      <w:r w:rsidRPr="003E698F">
        <w:rPr>
          <w:rFonts w:hint="cs"/>
          <w:spacing w:val="0"/>
          <w:kern w:val="0"/>
          <w:sz w:val="20"/>
          <w:rtl/>
          <w:lang w:bidi="ar-SY"/>
        </w:rPr>
        <w:t>بكييف</w:t>
      </w:r>
      <w:r w:rsidRPr="003E698F">
        <w:rPr>
          <w:rFonts w:hint="cs"/>
          <w:spacing w:val="0"/>
          <w:kern w:val="0"/>
          <w:sz w:val="20"/>
          <w:rtl/>
          <w:lang/>
        </w:rPr>
        <w:t xml:space="preserve">. وقد اعترض صاحب الشكوى على الادعاء مشيراً إلى أن طعنه ظل معلقاً لسنوات عديدة، ولذلك فإن الإجراء استغرق وقتاً طويلاً تجاوز الحد المعقول. وتشير اللجنة إلى أنه يتعين على الدول الأطراف أن تجري تحقيقاً سريعاً ونزيهاً إذا كانت هناك أسباب معقولة تدعو إلى الاعتقاد بأن فعلاً من أفعال التعذيب قد ارتكب. وترى اللجنة أنه قد انقضى وقت طويل منذ تقديم صاحب الشكوى لطعنه. وفي ظل هذه الظروف، تخلص اللجنة إلى أن استنفاد سبل الانتصاف المحلية قد استغرق وقتاً طويلاً تجاوز الحد المعقول </w:t>
      </w:r>
      <w:r w:rsidRPr="003E698F">
        <w:rPr>
          <w:rFonts w:hint="cs"/>
          <w:spacing w:val="0"/>
          <w:kern w:val="0"/>
          <w:sz w:val="20"/>
          <w:rtl/>
        </w:rPr>
        <w:t>وأن الشروط الواردة في الفقرة 5(ب) من المادة</w:t>
      </w:r>
      <w:r w:rsidR="00FE387B">
        <w:rPr>
          <w:rFonts w:hint="eastAsia"/>
          <w:spacing w:val="0"/>
          <w:kern w:val="0"/>
          <w:sz w:val="20"/>
          <w:rtl/>
        </w:rPr>
        <w:t> </w:t>
      </w:r>
      <w:r w:rsidRPr="003E698F">
        <w:rPr>
          <w:rFonts w:hint="cs"/>
          <w:spacing w:val="0"/>
          <w:kern w:val="0"/>
          <w:sz w:val="20"/>
          <w:rtl/>
        </w:rPr>
        <w:t>22 من الاتفاقية لا تمنعها من النظر في البلاغ.</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8-3</w:t>
      </w:r>
      <w:r w:rsidRPr="003E698F">
        <w:rPr>
          <w:rFonts w:hint="cs"/>
          <w:spacing w:val="0"/>
          <w:kern w:val="0"/>
          <w:sz w:val="20"/>
          <w:rtl/>
        </w:rPr>
        <w:tab/>
        <w:t xml:space="preserve">وبالنظر إلى استيفاء </w:t>
      </w:r>
      <w:r w:rsidRPr="003E698F">
        <w:rPr>
          <w:rFonts w:hint="cs"/>
          <w:spacing w:val="0"/>
          <w:kern w:val="0"/>
          <w:sz w:val="20"/>
          <w:rtl/>
          <w:lang w:bidi="ar-SY"/>
        </w:rPr>
        <w:t>شروط</w:t>
      </w:r>
      <w:r w:rsidRPr="003E698F">
        <w:rPr>
          <w:rFonts w:hint="cs"/>
          <w:spacing w:val="0"/>
          <w:kern w:val="0"/>
          <w:sz w:val="20"/>
          <w:rtl/>
        </w:rPr>
        <w:t xml:space="preserve"> المقبولية الأخرى، تعلن اللجنة مقبولية البلاغ.</w:t>
      </w:r>
    </w:p>
    <w:p w:rsidR="00921F02" w:rsidRPr="003E698F" w:rsidRDefault="00921F02" w:rsidP="00921F02">
      <w:pPr>
        <w:pStyle w:val="H4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النظر في الأسس الموضوعية</w:t>
      </w:r>
    </w:p>
    <w:p w:rsidR="00921F02" w:rsidRPr="003E698F" w:rsidRDefault="00921F02" w:rsidP="00FE387B">
      <w:pPr>
        <w:pStyle w:val="SingleTxtGA"/>
        <w:spacing w:line="370" w:lineRule="exact"/>
        <w:jc w:val="lowKashida"/>
        <w:rPr>
          <w:rFonts w:hint="cs"/>
          <w:spacing w:val="0"/>
          <w:kern w:val="0"/>
          <w:sz w:val="20"/>
          <w:rtl/>
          <w:lang/>
        </w:rPr>
      </w:pPr>
      <w:r w:rsidRPr="003E698F">
        <w:rPr>
          <w:rFonts w:hint="cs"/>
          <w:spacing w:val="0"/>
          <w:kern w:val="0"/>
          <w:sz w:val="20"/>
          <w:rtl/>
        </w:rPr>
        <w:t>9-</w:t>
      </w:r>
      <w:r w:rsidRPr="003E698F">
        <w:rPr>
          <w:rFonts w:hint="cs"/>
          <w:spacing w:val="0"/>
          <w:kern w:val="0"/>
          <w:sz w:val="20"/>
          <w:rtl/>
          <w:lang/>
        </w:rPr>
        <w:t>1</w:t>
      </w:r>
      <w:r w:rsidRPr="003E698F">
        <w:rPr>
          <w:rFonts w:hint="cs"/>
          <w:spacing w:val="0"/>
          <w:kern w:val="0"/>
          <w:sz w:val="20"/>
          <w:rtl/>
          <w:lang/>
        </w:rPr>
        <w:tab/>
        <w:t>نظرت اللجنة في هذا البلاغ في ضوء جميع المعلومات التي أتاحها لها الطرفان وفقاً للفقرة 4 من المادة 22 من الاتفاقية.</w:t>
      </w:r>
    </w:p>
    <w:p w:rsidR="00921F02" w:rsidRPr="003E698F" w:rsidRDefault="00921F02" w:rsidP="00FE387B">
      <w:pPr>
        <w:pStyle w:val="SingleTxtGA"/>
        <w:spacing w:line="370" w:lineRule="exact"/>
        <w:jc w:val="lowKashida"/>
        <w:rPr>
          <w:rFonts w:hint="cs"/>
          <w:spacing w:val="0"/>
          <w:kern w:val="0"/>
          <w:sz w:val="20"/>
          <w:rtl/>
        </w:rPr>
      </w:pPr>
      <w:r w:rsidRPr="003E698F">
        <w:rPr>
          <w:rFonts w:hint="cs"/>
          <w:spacing w:val="0"/>
          <w:kern w:val="0"/>
          <w:sz w:val="20"/>
          <w:rtl/>
        </w:rPr>
        <w:t>9-2</w:t>
      </w:r>
      <w:r w:rsidRPr="003E698F">
        <w:rPr>
          <w:rFonts w:hint="cs"/>
          <w:spacing w:val="0"/>
          <w:kern w:val="0"/>
          <w:sz w:val="20"/>
          <w:rtl/>
        </w:rPr>
        <w:tab/>
        <w:t xml:space="preserve">وتلاحظ اللجنة أن </w:t>
      </w:r>
      <w:r w:rsidRPr="003E698F">
        <w:rPr>
          <w:rFonts w:hint="cs"/>
          <w:spacing w:val="0"/>
          <w:kern w:val="0"/>
          <w:sz w:val="20"/>
          <w:rtl/>
          <w:lang w:bidi="ar-SY"/>
        </w:rPr>
        <w:t>صاحب</w:t>
      </w:r>
      <w:r w:rsidRPr="003E698F">
        <w:rPr>
          <w:rFonts w:hint="cs"/>
          <w:spacing w:val="0"/>
          <w:kern w:val="0"/>
          <w:sz w:val="20"/>
          <w:rtl/>
        </w:rPr>
        <w:t xml:space="preserve"> الشكوى يدعي انتهاك الفقرة 1 من المادة 2 من الاتفاقية على أساس أن الدولة الطرف لم تؤد واجبها في منع أفعال التعذيب والمعاقبة عليها. وتلاحظ اللجنة أيضاً ادعاءات صاحب الشكوى المتعلقة بالمعاملة التي عُومل بها أثناء احتجازه وما قدمه من شهادات طبية تصف الإصابات البدنية التي تعرض لها فضلاً عن عدم توافر الضمانات القانونية أثناء فترة الاحتجاز الإداري. واكتفت الدولة الطرف بالإشارة إلى عدم وجود صلة بين الوقائع المثبتة في التقرير الطبي المؤرخ 28 شباط/فبراير 2006 وتقرير العيادة الطبية الصادر عن وزارة الداخلية المؤرخ 4 أيار/مايو 2006 واحتمال ممارسة التعذيب ضد صاحب الشكوى. وفي غياب توضيحات مفصلة من الدولة الطرف واستناداً إلى الوثائق المقدمة، فإن اللجنة تخلص إلى أن الوقائع كما هي مقدمة تشكل فعلاً من أفعال التعذيب بالمعنى الوارد في المادة 1 من الاتفاقية وأن الدولة الطرف لم تؤد واجبها في منع أفعال التعذيب والمعاقبة عليها وهو ما يشكل انتهاكاً للفقرة 1 من المادة 2 من الاتفاقية.</w:t>
      </w:r>
    </w:p>
    <w:p w:rsidR="00921F02" w:rsidRPr="003E698F" w:rsidRDefault="00921F02" w:rsidP="00FE387B">
      <w:pPr>
        <w:pStyle w:val="SingleTxtGA"/>
        <w:spacing w:line="370" w:lineRule="exact"/>
        <w:jc w:val="lowKashida"/>
        <w:rPr>
          <w:rFonts w:hint="cs"/>
          <w:spacing w:val="0"/>
          <w:kern w:val="0"/>
          <w:sz w:val="20"/>
          <w:rtl/>
        </w:rPr>
      </w:pPr>
      <w:r w:rsidRPr="003E698F">
        <w:rPr>
          <w:rFonts w:hint="cs"/>
          <w:spacing w:val="0"/>
          <w:kern w:val="0"/>
          <w:sz w:val="20"/>
          <w:rtl/>
        </w:rPr>
        <w:t>9-3</w:t>
      </w:r>
      <w:r w:rsidRPr="003E698F">
        <w:rPr>
          <w:rFonts w:hint="cs"/>
          <w:spacing w:val="0"/>
          <w:kern w:val="0"/>
          <w:sz w:val="20"/>
          <w:rtl/>
        </w:rPr>
        <w:tab/>
        <w:t>وفيما يخص الادعاءات</w:t>
      </w:r>
      <w:r w:rsidRPr="003E698F">
        <w:rPr>
          <w:rFonts w:hint="cs"/>
          <w:spacing w:val="0"/>
          <w:kern w:val="0"/>
          <w:sz w:val="20"/>
          <w:rtl/>
          <w:lang w:bidi="ar-SY"/>
        </w:rPr>
        <w:t xml:space="preserve"> المتعلقة بانتهاك المادة 12 من الاتفاقية، تلاحظ اللجنة أنه وفقاً لصاحب الشكوى فإن الدولة الطرف لم تجر تحقيقات في ادعاءات تعرضه للتعذيب أثناء الاحتجاز. ولم تدحض الدولة الطرف هذا الادعاء. وإضافة إلى ذلك، ظل طعن صاحب الشكوى المتعلق بعدم اتخاذ أي إجراء من قبل مكتب المدعي العام في المنطقة معلقاً لسنوات عديدة على النحو الذي أكدته الدولة الطرف. وفي ظل هذه الظروف، تكرر اللجنة أن           المادة 12 من الاتفاقية</w:t>
      </w:r>
      <w:r w:rsidRPr="003E698F">
        <w:rPr>
          <w:spacing w:val="0"/>
          <w:kern w:val="0"/>
          <w:sz w:val="20"/>
          <w:vertAlign w:val="superscript"/>
          <w:rtl/>
          <w:lang w:bidi="ar-SY"/>
        </w:rPr>
        <w:t>(</w:t>
      </w:r>
      <w:r w:rsidRPr="003E698F">
        <w:rPr>
          <w:rStyle w:val="FootnoteReference"/>
          <w:spacing w:val="0"/>
          <w:sz w:val="20"/>
          <w:rtl/>
          <w:lang w:bidi="ar-SY"/>
        </w:rPr>
        <w:footnoteReference w:id="209"/>
      </w:r>
      <w:r w:rsidRPr="003E698F">
        <w:rPr>
          <w:spacing w:val="0"/>
          <w:kern w:val="0"/>
          <w:sz w:val="20"/>
          <w:vertAlign w:val="superscript"/>
          <w:rtl/>
          <w:lang w:bidi="ar-SY"/>
        </w:rPr>
        <w:t>)</w:t>
      </w:r>
      <w:r w:rsidRPr="003E698F">
        <w:rPr>
          <w:rFonts w:hint="cs"/>
          <w:spacing w:val="0"/>
          <w:kern w:val="0"/>
          <w:sz w:val="20"/>
          <w:rtl/>
          <w:lang w:bidi="ar-SY"/>
        </w:rPr>
        <w:t xml:space="preserve"> تشترط على الدولة الطرف أن تجري تحقيقات سريعة ونزيهة </w:t>
      </w:r>
      <w:r w:rsidRPr="003E698F">
        <w:rPr>
          <w:rFonts w:hint="cs"/>
          <w:spacing w:val="0"/>
          <w:kern w:val="0"/>
          <w:sz w:val="20"/>
          <w:rtl/>
          <w:lang/>
        </w:rPr>
        <w:t>إذا كانت هناك أسباب معقولة تدعو إلى الاعتقاد بأن فعلاً من أفعال التعذيب قد ارتكب.</w:t>
      </w:r>
      <w:r w:rsidRPr="003E698F">
        <w:rPr>
          <w:rFonts w:hint="cs"/>
          <w:spacing w:val="0"/>
          <w:kern w:val="0"/>
          <w:sz w:val="20"/>
          <w:rtl/>
          <w:lang w:bidi="ar-SY"/>
        </w:rPr>
        <w:t xml:space="preserve"> ونظراً لعدم توافر أية معلومات أخرى، ترى اللجنة أن الدولة الطرف لم تف بالتزاماتها بموجب المادة</w:t>
      </w:r>
      <w:r w:rsidR="00FE387B">
        <w:rPr>
          <w:rFonts w:hint="eastAsia"/>
          <w:spacing w:val="0"/>
          <w:kern w:val="0"/>
          <w:sz w:val="20"/>
          <w:rtl/>
          <w:lang w:bidi="ar-SY"/>
        </w:rPr>
        <w:t> </w:t>
      </w:r>
      <w:r w:rsidRPr="003E698F">
        <w:rPr>
          <w:rFonts w:hint="cs"/>
          <w:spacing w:val="0"/>
          <w:kern w:val="0"/>
          <w:sz w:val="20"/>
          <w:rtl/>
          <w:lang w:bidi="ar-SY"/>
        </w:rPr>
        <w:t>12 من الاتفاقية كما لم تف بالتزامها بموجب المادة 13 من الاتفاقية بضمان حق صاحب الشكوى في رفع شكوى إلى السلطات المختصة وفي التحقيق في قضيته على نحو سريع ونزيه من قبل هذه السلطات، وبالتزامها بموجب المادة 14 بجبر صاحب الشكوى وتعويضه بوصفه ضحية من ضحايا التعذيب.</w:t>
      </w:r>
    </w:p>
    <w:p w:rsidR="00921F02" w:rsidRPr="000B4D1D" w:rsidRDefault="00921F02" w:rsidP="00921F02">
      <w:pPr>
        <w:pStyle w:val="SingleTxtGA"/>
        <w:jc w:val="lowKashida"/>
        <w:rPr>
          <w:rFonts w:hint="cs"/>
          <w:spacing w:val="-2"/>
          <w:kern w:val="0"/>
          <w:sz w:val="20"/>
          <w:rtl/>
          <w:lang w:bidi="ar-SY"/>
        </w:rPr>
      </w:pPr>
      <w:r w:rsidRPr="000B4D1D">
        <w:rPr>
          <w:rFonts w:hint="cs"/>
          <w:spacing w:val="-2"/>
          <w:kern w:val="0"/>
          <w:sz w:val="20"/>
          <w:rtl/>
          <w:lang w:bidi="ar-SY"/>
        </w:rPr>
        <w:t>9-4</w:t>
      </w:r>
      <w:r w:rsidRPr="000B4D1D">
        <w:rPr>
          <w:rFonts w:hint="cs"/>
          <w:spacing w:val="-2"/>
          <w:kern w:val="0"/>
          <w:sz w:val="20"/>
          <w:rtl/>
          <w:lang/>
        </w:rPr>
        <w:tab/>
        <w:t xml:space="preserve">وإن لجنة مناهضة </w:t>
      </w:r>
      <w:r w:rsidRPr="000B4D1D">
        <w:rPr>
          <w:rFonts w:hint="cs"/>
          <w:spacing w:val="-2"/>
          <w:kern w:val="0"/>
          <w:sz w:val="20"/>
          <w:rtl/>
          <w:lang w:bidi="ar-SY"/>
        </w:rPr>
        <w:t>التعذيب</w:t>
      </w:r>
      <w:r w:rsidRPr="000B4D1D">
        <w:rPr>
          <w:rFonts w:hint="cs"/>
          <w:spacing w:val="-2"/>
          <w:kern w:val="0"/>
          <w:sz w:val="20"/>
          <w:rtl/>
          <w:lang/>
        </w:rPr>
        <w:t>، إذ تعمل بموجب الفقرة 7 من المادة 22 من اتفاقية مناهضة التعذيب وغيره من ضروب المعاملة أو العقوبة القاسية أو اللاإنسانية أو المهينة، ترى أن الدولة الطرف انتهكت المادة 1 والفقرة 1 من المادة 2، والمواد 12 و13 و14 من الاتفاقية.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lang w:bidi="ar-SY"/>
        </w:rPr>
        <w:t>10-</w:t>
      </w:r>
      <w:r w:rsidRPr="003E698F">
        <w:rPr>
          <w:rFonts w:hint="cs"/>
          <w:spacing w:val="0"/>
          <w:kern w:val="0"/>
          <w:sz w:val="20"/>
          <w:rtl/>
        </w:rPr>
        <w:tab/>
        <w:t xml:space="preserve">وعملاً بالفقرة 5 من المادة 118 (المادة 112 سابقاً) من النظام الداخلي للجنة </w:t>
      </w:r>
      <w:r w:rsidRPr="003E698F">
        <w:rPr>
          <w:spacing w:val="0"/>
          <w:kern w:val="0"/>
          <w:sz w:val="20"/>
          <w:lang w:bidi="ar-SY"/>
        </w:rPr>
        <w:t>(CAT/C/3/Rev.5)</w:t>
      </w:r>
      <w:r w:rsidRPr="003E698F">
        <w:rPr>
          <w:rFonts w:hint="cs"/>
          <w:spacing w:val="0"/>
          <w:kern w:val="0"/>
          <w:sz w:val="20"/>
          <w:rtl/>
        </w:rPr>
        <w:t xml:space="preserve">، فإن اللجنة ترغب في الحصول على معلومات، في غضون 90 يوماً، عن </w:t>
      </w:r>
      <w:r w:rsidRPr="003E698F">
        <w:rPr>
          <w:rFonts w:hint="cs"/>
          <w:spacing w:val="0"/>
          <w:kern w:val="0"/>
          <w:sz w:val="20"/>
          <w:rtl/>
          <w:lang/>
        </w:rPr>
        <w:t>التدابير</w:t>
      </w:r>
      <w:r w:rsidRPr="003E698F">
        <w:rPr>
          <w:rFonts w:hint="cs"/>
          <w:spacing w:val="0"/>
          <w:kern w:val="0"/>
          <w:sz w:val="20"/>
          <w:rtl/>
        </w:rPr>
        <w:t xml:space="preserve"> التي اتخذتها الدولة الطرف استجابة لهذا القرار.</w:t>
      </w:r>
    </w:p>
    <w:p w:rsidR="00FE387B" w:rsidRDefault="00FE387B" w:rsidP="00921F02">
      <w:pPr>
        <w:pStyle w:val="H1GA"/>
        <w:rPr>
          <w:spacing w:val="0"/>
          <w:kern w:val="0"/>
          <w:sz w:val="20"/>
          <w:rtl/>
        </w:rPr>
        <w:sectPr w:rsidR="00FE387B"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921F02" w:rsidRPr="003E698F" w:rsidRDefault="00921F02" w:rsidP="00FE387B">
      <w:pPr>
        <w:pStyle w:val="H1GA"/>
        <w:spacing w:before="120"/>
        <w:rPr>
          <w:rFonts w:hint="cs"/>
          <w:spacing w:val="0"/>
          <w:kern w:val="0"/>
          <w:sz w:val="20"/>
          <w:rtl/>
        </w:rPr>
      </w:pPr>
      <w:r w:rsidRPr="003E698F">
        <w:rPr>
          <w:rFonts w:hint="cs"/>
          <w:spacing w:val="0"/>
          <w:kern w:val="0"/>
          <w:sz w:val="20"/>
          <w:rtl/>
        </w:rPr>
        <w:tab/>
      </w:r>
      <w:r w:rsidRPr="003E698F">
        <w:rPr>
          <w:rFonts w:hint="cs"/>
          <w:spacing w:val="0"/>
          <w:kern w:val="0"/>
          <w:sz w:val="20"/>
          <w:rtl/>
        </w:rPr>
        <w:tab/>
        <w:t xml:space="preserve">البلاغ رقم 364/2008: </w:t>
      </w:r>
      <w:r w:rsidRPr="003E698F">
        <w:rPr>
          <w:rFonts w:hint="cs"/>
          <w:i/>
          <w:iCs/>
          <w:spacing w:val="0"/>
          <w:kern w:val="0"/>
          <w:sz w:val="20"/>
          <w:rtl/>
        </w:rPr>
        <w:t>ج. ل. ل. ضد سويسرا</w:t>
      </w:r>
    </w:p>
    <w:p w:rsidR="00921F02" w:rsidRPr="003E698F" w:rsidRDefault="00921F02" w:rsidP="00921F02">
      <w:pPr>
        <w:pStyle w:val="SingleTxtGA"/>
        <w:rPr>
          <w:rFonts w:hint="cs"/>
          <w:spacing w:val="0"/>
          <w:kern w:val="0"/>
          <w:sz w:val="20"/>
          <w:rtl/>
        </w:rPr>
      </w:pPr>
      <w:r w:rsidRPr="003E698F">
        <w:rPr>
          <w:rFonts w:hint="cs"/>
          <w:i/>
          <w:iCs/>
          <w:spacing w:val="0"/>
          <w:kern w:val="0"/>
          <w:sz w:val="20"/>
          <w:rtl/>
        </w:rPr>
        <w:tab/>
        <w:t>المقدم من</w:t>
      </w:r>
      <w:r w:rsidRPr="003E698F">
        <w:rPr>
          <w:rFonts w:hint="cs"/>
          <w:spacing w:val="0"/>
          <w:kern w:val="0"/>
          <w:sz w:val="20"/>
          <w:rtl/>
        </w:rPr>
        <w:t>:</w:t>
      </w:r>
      <w:r w:rsidRPr="003E698F">
        <w:rPr>
          <w:rFonts w:hint="cs"/>
          <w:spacing w:val="0"/>
          <w:kern w:val="0"/>
          <w:sz w:val="20"/>
          <w:rtl/>
        </w:rPr>
        <w:tab/>
      </w:r>
      <w:r w:rsidRPr="003E698F">
        <w:rPr>
          <w:rFonts w:hint="cs"/>
          <w:spacing w:val="0"/>
          <w:kern w:val="0"/>
          <w:sz w:val="20"/>
          <w:rtl/>
        </w:rPr>
        <w:tab/>
      </w:r>
      <w:r w:rsidRPr="003E698F">
        <w:rPr>
          <w:rFonts w:hint="cs"/>
          <w:spacing w:val="0"/>
          <w:kern w:val="0"/>
          <w:sz w:val="20"/>
          <w:rtl/>
        </w:rPr>
        <w:tab/>
        <w:t>ج. ل. ل.</w:t>
      </w:r>
    </w:p>
    <w:p w:rsidR="00921F02" w:rsidRPr="003E698F" w:rsidRDefault="00921F02" w:rsidP="00921F02">
      <w:pPr>
        <w:pStyle w:val="SingleTxtGA"/>
        <w:rPr>
          <w:rFonts w:hint="cs"/>
          <w:spacing w:val="0"/>
          <w:kern w:val="0"/>
          <w:sz w:val="20"/>
          <w:rtl/>
        </w:rPr>
      </w:pPr>
      <w:r w:rsidRPr="003E698F">
        <w:rPr>
          <w:rFonts w:hint="cs"/>
          <w:spacing w:val="0"/>
          <w:kern w:val="0"/>
          <w:sz w:val="20"/>
          <w:rtl/>
        </w:rPr>
        <w:tab/>
      </w:r>
      <w:r w:rsidRPr="003E698F">
        <w:rPr>
          <w:rFonts w:hint="cs"/>
          <w:i/>
          <w:iCs/>
          <w:spacing w:val="0"/>
          <w:kern w:val="0"/>
          <w:sz w:val="20"/>
          <w:rtl/>
        </w:rPr>
        <w:t>الشخص المدعى أنه ضحية</w:t>
      </w:r>
      <w:r w:rsidRPr="003E698F">
        <w:rPr>
          <w:rFonts w:hint="cs"/>
          <w:spacing w:val="0"/>
          <w:kern w:val="0"/>
          <w:sz w:val="20"/>
          <w:rtl/>
        </w:rPr>
        <w:t>:</w:t>
      </w:r>
      <w:r w:rsidRPr="003E698F">
        <w:rPr>
          <w:rFonts w:hint="cs"/>
          <w:spacing w:val="0"/>
          <w:kern w:val="0"/>
          <w:sz w:val="20"/>
          <w:rtl/>
        </w:rPr>
        <w:tab/>
        <w:t>صاحب الشكوى وطفلاه أ. ن. وم. ل.</w:t>
      </w:r>
    </w:p>
    <w:p w:rsidR="00921F02" w:rsidRPr="003E698F" w:rsidRDefault="00921F02" w:rsidP="00921F02">
      <w:pPr>
        <w:pStyle w:val="SingleTxtGA"/>
        <w:rPr>
          <w:rFonts w:hint="cs"/>
          <w:spacing w:val="0"/>
          <w:kern w:val="0"/>
          <w:sz w:val="20"/>
          <w:rtl/>
        </w:rPr>
      </w:pPr>
      <w:r w:rsidRPr="003E698F">
        <w:rPr>
          <w:rFonts w:hint="cs"/>
          <w:i/>
          <w:iCs/>
          <w:spacing w:val="0"/>
          <w:kern w:val="0"/>
          <w:sz w:val="20"/>
          <w:rtl/>
        </w:rPr>
        <w:tab/>
        <w:t>الدولة الطرف</w:t>
      </w:r>
      <w:r w:rsidRPr="003E698F">
        <w:rPr>
          <w:rFonts w:hint="cs"/>
          <w:spacing w:val="0"/>
          <w:kern w:val="0"/>
          <w:sz w:val="20"/>
          <w:rtl/>
        </w:rPr>
        <w:t>:</w:t>
      </w:r>
      <w:r w:rsidRPr="003E698F">
        <w:rPr>
          <w:rFonts w:hint="cs"/>
          <w:spacing w:val="0"/>
          <w:kern w:val="0"/>
          <w:sz w:val="20"/>
          <w:rtl/>
        </w:rPr>
        <w:tab/>
      </w:r>
      <w:r w:rsidRPr="003E698F">
        <w:rPr>
          <w:rFonts w:hint="cs"/>
          <w:spacing w:val="0"/>
          <w:kern w:val="0"/>
          <w:sz w:val="20"/>
          <w:rtl/>
        </w:rPr>
        <w:tab/>
      </w:r>
      <w:r w:rsidRPr="003E698F">
        <w:rPr>
          <w:rFonts w:hint="cs"/>
          <w:spacing w:val="0"/>
          <w:kern w:val="0"/>
          <w:sz w:val="20"/>
          <w:rtl/>
        </w:rPr>
        <w:tab/>
        <w:t>سويسرا</w:t>
      </w:r>
    </w:p>
    <w:p w:rsidR="00921F02" w:rsidRPr="003E698F" w:rsidRDefault="00921F02" w:rsidP="00921F02">
      <w:pPr>
        <w:pStyle w:val="SingleTxtGA"/>
        <w:rPr>
          <w:rFonts w:hint="cs"/>
          <w:spacing w:val="0"/>
          <w:kern w:val="0"/>
          <w:sz w:val="20"/>
          <w:rtl/>
        </w:rPr>
      </w:pPr>
      <w:r w:rsidRPr="003E698F">
        <w:rPr>
          <w:rFonts w:hint="cs"/>
          <w:i/>
          <w:iCs/>
          <w:spacing w:val="0"/>
          <w:kern w:val="0"/>
          <w:sz w:val="20"/>
          <w:rtl/>
        </w:rPr>
        <w:tab/>
      </w:r>
      <w:r w:rsidRPr="003E698F">
        <w:rPr>
          <w:i/>
          <w:iCs/>
          <w:spacing w:val="0"/>
          <w:kern w:val="0"/>
          <w:sz w:val="20"/>
          <w:rtl/>
        </w:rPr>
        <w:t>تاريخ تقديم الشكوى</w:t>
      </w:r>
      <w:r w:rsidRPr="003E698F">
        <w:rPr>
          <w:rFonts w:hint="cs"/>
          <w:spacing w:val="0"/>
          <w:kern w:val="0"/>
          <w:sz w:val="20"/>
          <w:rtl/>
        </w:rPr>
        <w:t>:</w:t>
      </w:r>
      <w:r w:rsidRPr="003E698F">
        <w:rPr>
          <w:rFonts w:hint="cs"/>
          <w:spacing w:val="0"/>
          <w:kern w:val="0"/>
          <w:sz w:val="20"/>
          <w:rtl/>
        </w:rPr>
        <w:tab/>
      </w:r>
      <w:r w:rsidRPr="003E698F">
        <w:rPr>
          <w:rFonts w:hint="cs"/>
          <w:spacing w:val="0"/>
          <w:kern w:val="0"/>
          <w:sz w:val="20"/>
          <w:rtl/>
        </w:rPr>
        <w:tab/>
        <w:t xml:space="preserve">18 تشرين الثاني/نوفمبر 2008 (تاريخ الرسالة </w:t>
      </w:r>
      <w:r w:rsidRPr="003E698F">
        <w:rPr>
          <w:rFonts w:hint="cs"/>
          <w:spacing w:val="0"/>
          <w:kern w:val="0"/>
          <w:sz w:val="20"/>
          <w:rtl/>
        </w:rPr>
        <w:tab/>
      </w:r>
      <w:r w:rsidRPr="003E698F">
        <w:rPr>
          <w:rFonts w:hint="cs"/>
          <w:spacing w:val="0"/>
          <w:kern w:val="0"/>
          <w:sz w:val="20"/>
          <w:rtl/>
        </w:rPr>
        <w:tab/>
      </w:r>
      <w:r w:rsidRPr="003E698F">
        <w:rPr>
          <w:rFonts w:hint="cs"/>
          <w:spacing w:val="0"/>
          <w:kern w:val="0"/>
          <w:sz w:val="20"/>
          <w:rtl/>
        </w:rPr>
        <w:tab/>
      </w:r>
      <w:r w:rsidRPr="003E698F">
        <w:rPr>
          <w:rFonts w:hint="cs"/>
          <w:spacing w:val="0"/>
          <w:kern w:val="0"/>
          <w:sz w:val="20"/>
          <w:rtl/>
        </w:rPr>
        <w:tab/>
      </w:r>
      <w:r w:rsidRPr="003E698F">
        <w:rPr>
          <w:rFonts w:hint="cs"/>
          <w:spacing w:val="0"/>
          <w:kern w:val="0"/>
          <w:sz w:val="20"/>
          <w:rtl/>
        </w:rPr>
        <w:tab/>
        <w:t>الأولى)</w:t>
      </w:r>
    </w:p>
    <w:p w:rsidR="00921F02" w:rsidRPr="003E698F" w:rsidRDefault="00921F02" w:rsidP="00921F02">
      <w:pPr>
        <w:pStyle w:val="SingleTxtGA"/>
        <w:jc w:val="lowKashida"/>
        <w:rPr>
          <w:rFonts w:hint="cs"/>
          <w:spacing w:val="0"/>
          <w:kern w:val="0"/>
          <w:sz w:val="20"/>
          <w:rtl/>
        </w:rPr>
      </w:pPr>
      <w:r w:rsidRPr="003E698F">
        <w:rPr>
          <w:rFonts w:hint="cs"/>
          <w:i/>
          <w:iCs/>
          <w:spacing w:val="0"/>
          <w:kern w:val="0"/>
          <w:sz w:val="20"/>
          <w:rtl/>
        </w:rPr>
        <w:tab/>
      </w:r>
      <w:r w:rsidRPr="003E698F">
        <w:rPr>
          <w:i/>
          <w:iCs/>
          <w:spacing w:val="0"/>
          <w:kern w:val="0"/>
          <w:sz w:val="20"/>
          <w:rtl/>
        </w:rPr>
        <w:t>إن لجنة مناهضة التعذيب</w:t>
      </w:r>
      <w:r w:rsidRPr="003E698F">
        <w:rPr>
          <w:spacing w:val="0"/>
          <w:kern w:val="0"/>
          <w:sz w:val="20"/>
          <w:rtl/>
        </w:rPr>
        <w:t>، المنشأة بموجب المادة 17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rPr>
          <w:rFonts w:hint="cs"/>
          <w:spacing w:val="0"/>
          <w:kern w:val="0"/>
          <w:sz w:val="20"/>
          <w:rtl/>
        </w:rPr>
      </w:pPr>
      <w:r w:rsidRPr="003E698F">
        <w:rPr>
          <w:rFonts w:hint="cs"/>
          <w:i/>
          <w:iCs/>
          <w:spacing w:val="0"/>
          <w:kern w:val="0"/>
          <w:sz w:val="20"/>
          <w:rtl/>
        </w:rPr>
        <w:tab/>
      </w:r>
      <w:r w:rsidRPr="003E698F">
        <w:rPr>
          <w:i/>
          <w:iCs/>
          <w:spacing w:val="0"/>
          <w:kern w:val="0"/>
          <w:sz w:val="20"/>
          <w:rtl/>
        </w:rPr>
        <w:t>وقد اجتمعت</w:t>
      </w:r>
      <w:r w:rsidRPr="003E698F">
        <w:rPr>
          <w:spacing w:val="0"/>
          <w:kern w:val="0"/>
          <w:sz w:val="20"/>
          <w:rtl/>
        </w:rPr>
        <w:t xml:space="preserve"> في </w:t>
      </w:r>
      <w:r w:rsidRPr="003E698F">
        <w:rPr>
          <w:rFonts w:hint="cs"/>
          <w:spacing w:val="0"/>
          <w:kern w:val="0"/>
          <w:sz w:val="20"/>
          <w:rtl/>
        </w:rPr>
        <w:t>18 أيار</w:t>
      </w:r>
      <w:r w:rsidRPr="003E698F">
        <w:rPr>
          <w:spacing w:val="0"/>
          <w:kern w:val="0"/>
          <w:sz w:val="20"/>
          <w:rtl/>
        </w:rPr>
        <w:t>/</w:t>
      </w:r>
      <w:r w:rsidRPr="003E698F">
        <w:rPr>
          <w:rFonts w:hint="cs"/>
          <w:spacing w:val="0"/>
          <w:kern w:val="0"/>
          <w:sz w:val="20"/>
          <w:rtl/>
        </w:rPr>
        <w:t>مايو</w:t>
      </w:r>
      <w:r w:rsidRPr="003E698F">
        <w:rPr>
          <w:spacing w:val="0"/>
          <w:kern w:val="0"/>
          <w:sz w:val="20"/>
          <w:rtl/>
        </w:rPr>
        <w:t xml:space="preserve"> </w:t>
      </w:r>
      <w:r w:rsidRPr="003E698F">
        <w:rPr>
          <w:rFonts w:hint="cs"/>
          <w:spacing w:val="0"/>
          <w:kern w:val="0"/>
          <w:sz w:val="20"/>
          <w:rtl/>
        </w:rPr>
        <w:t>2012،</w:t>
      </w:r>
    </w:p>
    <w:p w:rsidR="00921F02" w:rsidRPr="003E698F" w:rsidRDefault="00921F02" w:rsidP="00921F02">
      <w:pPr>
        <w:pStyle w:val="SingleTxtGA"/>
        <w:jc w:val="lowKashida"/>
        <w:rPr>
          <w:rFonts w:hint="cs"/>
          <w:spacing w:val="0"/>
          <w:kern w:val="0"/>
          <w:sz w:val="20"/>
          <w:rtl/>
        </w:rPr>
      </w:pPr>
      <w:r w:rsidRPr="003E698F">
        <w:rPr>
          <w:rFonts w:hint="cs"/>
          <w:i/>
          <w:iCs/>
          <w:spacing w:val="0"/>
          <w:kern w:val="0"/>
          <w:sz w:val="20"/>
          <w:rtl/>
        </w:rPr>
        <w:tab/>
      </w:r>
      <w:r w:rsidRPr="003E698F">
        <w:rPr>
          <w:i/>
          <w:iCs/>
          <w:spacing w:val="0"/>
          <w:kern w:val="0"/>
          <w:sz w:val="20"/>
          <w:rtl/>
        </w:rPr>
        <w:t xml:space="preserve">وقد </w:t>
      </w:r>
      <w:r w:rsidRPr="003E698F">
        <w:rPr>
          <w:rFonts w:hint="cs"/>
          <w:i/>
          <w:iCs/>
          <w:spacing w:val="0"/>
          <w:kern w:val="0"/>
          <w:sz w:val="20"/>
          <w:rtl/>
        </w:rPr>
        <w:t>فرغت</w:t>
      </w:r>
      <w:r w:rsidRPr="003E698F">
        <w:rPr>
          <w:rFonts w:hint="cs"/>
          <w:spacing w:val="0"/>
          <w:kern w:val="0"/>
          <w:sz w:val="20"/>
          <w:rtl/>
        </w:rPr>
        <w:t xml:space="preserve"> من ال</w:t>
      </w:r>
      <w:r w:rsidRPr="003E698F">
        <w:rPr>
          <w:spacing w:val="0"/>
          <w:kern w:val="0"/>
          <w:sz w:val="20"/>
          <w:rtl/>
        </w:rPr>
        <w:t xml:space="preserve">نظر في الشكوى رقم </w:t>
      </w:r>
      <w:r w:rsidRPr="003E698F">
        <w:rPr>
          <w:rFonts w:hint="cs"/>
          <w:spacing w:val="0"/>
          <w:kern w:val="0"/>
          <w:sz w:val="20"/>
          <w:rtl/>
        </w:rPr>
        <w:t>364</w:t>
      </w:r>
      <w:r w:rsidRPr="003E698F">
        <w:rPr>
          <w:spacing w:val="0"/>
          <w:kern w:val="0"/>
          <w:sz w:val="20"/>
          <w:rtl/>
        </w:rPr>
        <w:t>/200</w:t>
      </w:r>
      <w:r w:rsidRPr="003E698F">
        <w:rPr>
          <w:rFonts w:hint="cs"/>
          <w:spacing w:val="0"/>
          <w:kern w:val="0"/>
          <w:sz w:val="20"/>
          <w:rtl/>
        </w:rPr>
        <w:t>8</w:t>
      </w:r>
      <w:r w:rsidRPr="003E698F">
        <w:rPr>
          <w:spacing w:val="0"/>
          <w:kern w:val="0"/>
          <w:sz w:val="20"/>
          <w:rtl/>
        </w:rPr>
        <w:t xml:space="preserve">، </w:t>
      </w:r>
      <w:r w:rsidRPr="003E698F">
        <w:rPr>
          <w:rFonts w:hint="cs"/>
          <w:spacing w:val="0"/>
          <w:kern w:val="0"/>
          <w:sz w:val="20"/>
          <w:rtl/>
        </w:rPr>
        <w:t xml:space="preserve">التي قدمها ج. ل. ل. </w:t>
      </w:r>
      <w:r w:rsidRPr="003E698F">
        <w:rPr>
          <w:spacing w:val="0"/>
          <w:kern w:val="0"/>
          <w:sz w:val="20"/>
          <w:rtl/>
        </w:rPr>
        <w:t>بموجب المادة 22 من اتفاقية مناهضة التعذيب وغيره من ضروب المعاملة أو العقوبة القاسية أو اللاإنسانية أو المهينة،</w:t>
      </w:r>
    </w:p>
    <w:p w:rsidR="00921F02" w:rsidRPr="003E698F" w:rsidRDefault="00921F02" w:rsidP="00921F02">
      <w:pPr>
        <w:pStyle w:val="SingleTxtGA"/>
        <w:jc w:val="lowKashida"/>
        <w:rPr>
          <w:rFonts w:hint="cs"/>
          <w:spacing w:val="0"/>
          <w:kern w:val="0"/>
          <w:sz w:val="20"/>
          <w:rtl/>
        </w:rPr>
      </w:pPr>
      <w:r w:rsidRPr="003E698F">
        <w:rPr>
          <w:rFonts w:hint="cs"/>
          <w:i/>
          <w:iCs/>
          <w:spacing w:val="0"/>
          <w:kern w:val="0"/>
          <w:sz w:val="20"/>
          <w:rtl/>
        </w:rPr>
        <w:tab/>
      </w:r>
      <w:r w:rsidRPr="003E698F">
        <w:rPr>
          <w:i/>
          <w:iCs/>
          <w:spacing w:val="0"/>
          <w:kern w:val="0"/>
          <w:sz w:val="20"/>
          <w:rtl/>
        </w:rPr>
        <w:t xml:space="preserve">وقد </w:t>
      </w:r>
      <w:r w:rsidRPr="003E698F">
        <w:rPr>
          <w:rFonts w:hint="cs"/>
          <w:i/>
          <w:iCs/>
          <w:spacing w:val="0"/>
          <w:kern w:val="0"/>
          <w:sz w:val="20"/>
          <w:rtl/>
        </w:rPr>
        <w:t xml:space="preserve">وضعت </w:t>
      </w:r>
      <w:r w:rsidRPr="003E698F">
        <w:rPr>
          <w:i/>
          <w:iCs/>
          <w:spacing w:val="0"/>
          <w:kern w:val="0"/>
          <w:sz w:val="20"/>
          <w:rtl/>
        </w:rPr>
        <w:t>في</w:t>
      </w:r>
      <w:r w:rsidRPr="003E698F">
        <w:rPr>
          <w:rFonts w:hint="cs"/>
          <w:i/>
          <w:iCs/>
          <w:spacing w:val="0"/>
          <w:kern w:val="0"/>
          <w:sz w:val="20"/>
          <w:rtl/>
        </w:rPr>
        <w:t xml:space="preserve"> اعتبارها</w:t>
      </w:r>
      <w:r w:rsidRPr="003E698F">
        <w:rPr>
          <w:spacing w:val="0"/>
          <w:kern w:val="0"/>
          <w:sz w:val="20"/>
          <w:rtl/>
        </w:rPr>
        <w:t xml:space="preserve"> جميع المعلومات التي أتاحها لها صاحب </w:t>
      </w:r>
      <w:r w:rsidRPr="003E698F">
        <w:rPr>
          <w:rFonts w:hint="cs"/>
          <w:spacing w:val="0"/>
          <w:kern w:val="0"/>
          <w:sz w:val="20"/>
          <w:rtl/>
        </w:rPr>
        <w:t>الشكوى</w:t>
      </w:r>
      <w:r w:rsidRPr="003E698F">
        <w:rPr>
          <w:spacing w:val="0"/>
          <w:kern w:val="0"/>
          <w:sz w:val="20"/>
          <w:rtl/>
        </w:rPr>
        <w:t xml:space="preserve"> و</w:t>
      </w:r>
      <w:r w:rsidRPr="003E698F">
        <w:rPr>
          <w:rFonts w:hint="cs"/>
          <w:spacing w:val="0"/>
          <w:kern w:val="0"/>
          <w:sz w:val="20"/>
          <w:rtl/>
        </w:rPr>
        <w:t>محاميه و</w:t>
      </w:r>
      <w:r w:rsidRPr="003E698F">
        <w:rPr>
          <w:spacing w:val="0"/>
          <w:kern w:val="0"/>
          <w:sz w:val="20"/>
          <w:rtl/>
        </w:rPr>
        <w:t>الدولة الطرف،</w:t>
      </w:r>
    </w:p>
    <w:p w:rsidR="00921F02" w:rsidRPr="003E698F" w:rsidRDefault="00921F02" w:rsidP="00921F02">
      <w:pPr>
        <w:pStyle w:val="SingleTxtGA"/>
        <w:jc w:val="lowKashida"/>
        <w:rPr>
          <w:rFonts w:hint="cs"/>
          <w:i/>
          <w:iCs/>
          <w:spacing w:val="0"/>
          <w:kern w:val="0"/>
          <w:sz w:val="20"/>
          <w:rtl/>
        </w:rPr>
      </w:pPr>
      <w:r w:rsidRPr="003E698F">
        <w:rPr>
          <w:rFonts w:hint="cs"/>
          <w:i/>
          <w:iCs/>
          <w:spacing w:val="0"/>
          <w:kern w:val="0"/>
          <w:sz w:val="20"/>
          <w:rtl/>
        </w:rPr>
        <w:tab/>
      </w:r>
      <w:r w:rsidRPr="003E698F">
        <w:rPr>
          <w:i/>
          <w:iCs/>
          <w:spacing w:val="0"/>
          <w:kern w:val="0"/>
          <w:sz w:val="20"/>
          <w:rtl/>
        </w:rPr>
        <w:t>تعتمد</w:t>
      </w:r>
      <w:r w:rsidRPr="003E698F">
        <w:rPr>
          <w:rFonts w:hint="cs"/>
          <w:i/>
          <w:iCs/>
          <w:spacing w:val="0"/>
          <w:kern w:val="0"/>
          <w:sz w:val="20"/>
          <w:rtl/>
        </w:rPr>
        <w:t xml:space="preserve"> مايلي:</w:t>
      </w:r>
    </w:p>
    <w:p w:rsidR="00921F02" w:rsidRPr="003E698F" w:rsidRDefault="00921F02" w:rsidP="00921F02">
      <w:pPr>
        <w:pStyle w:val="H1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 xml:space="preserve">قرار </w:t>
      </w:r>
      <w:r w:rsidRPr="003E698F">
        <w:rPr>
          <w:spacing w:val="0"/>
          <w:kern w:val="0"/>
          <w:sz w:val="20"/>
          <w:rtl/>
        </w:rPr>
        <w:t>بموجب الفقرة 7 من المادة 22 من اتفاقية مناهضة التعذيب</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1-</w:t>
      </w:r>
      <w:r w:rsidRPr="003E698F">
        <w:rPr>
          <w:rFonts w:hint="cs"/>
          <w:spacing w:val="0"/>
          <w:kern w:val="0"/>
          <w:sz w:val="20"/>
          <w:rtl/>
        </w:rPr>
        <w:tab/>
      </w:r>
      <w:r w:rsidRPr="003E698F">
        <w:rPr>
          <w:spacing w:val="0"/>
          <w:kern w:val="0"/>
          <w:sz w:val="20"/>
          <w:rtl/>
        </w:rPr>
        <w:t xml:space="preserve">صاحب الشكوى </w:t>
      </w:r>
      <w:r w:rsidRPr="003E698F">
        <w:rPr>
          <w:rFonts w:hint="cs"/>
          <w:spacing w:val="0"/>
          <w:kern w:val="0"/>
          <w:sz w:val="20"/>
          <w:rtl/>
        </w:rPr>
        <w:t>المؤرخة 18 تشرين الثاني/نوفمبر 2008 هو السيد ج. ل. ل.، المولود في 20 أيار/مايو 1968 وطفلاه القاصران أ. ن. المولود في عام 1995 وم. ل. المولود في عام</w:t>
      </w:r>
      <w:r w:rsidRPr="003E698F">
        <w:rPr>
          <w:rFonts w:hint="eastAsia"/>
          <w:spacing w:val="0"/>
          <w:kern w:val="0"/>
          <w:sz w:val="20"/>
          <w:rtl/>
        </w:rPr>
        <w:t> </w:t>
      </w:r>
      <w:r w:rsidRPr="003E698F">
        <w:rPr>
          <w:rFonts w:hint="cs"/>
          <w:spacing w:val="0"/>
          <w:kern w:val="0"/>
          <w:sz w:val="20"/>
          <w:rtl/>
        </w:rPr>
        <w:t>2000، وهم</w:t>
      </w:r>
      <w:r w:rsidRPr="003E698F">
        <w:rPr>
          <w:spacing w:val="0"/>
          <w:kern w:val="0"/>
          <w:sz w:val="20"/>
          <w:rtl/>
        </w:rPr>
        <w:t xml:space="preserve"> </w:t>
      </w:r>
      <w:r w:rsidRPr="003E698F">
        <w:rPr>
          <w:rFonts w:hint="cs"/>
          <w:spacing w:val="0"/>
          <w:kern w:val="0"/>
          <w:sz w:val="20"/>
          <w:rtl/>
        </w:rPr>
        <w:t>من مواطني جمهورية الكونغو الديمقراطية</w:t>
      </w:r>
      <w:r w:rsidRPr="003E698F">
        <w:rPr>
          <w:spacing w:val="0"/>
          <w:kern w:val="0"/>
          <w:sz w:val="20"/>
          <w:rtl/>
        </w:rPr>
        <w:t xml:space="preserve"> </w:t>
      </w:r>
      <w:r w:rsidRPr="003E698F">
        <w:rPr>
          <w:rFonts w:hint="cs"/>
          <w:spacing w:val="0"/>
          <w:kern w:val="0"/>
          <w:sz w:val="20"/>
          <w:rtl/>
        </w:rPr>
        <w:t xml:space="preserve">ويقيمون حالياً في سويسرا. ويؤكد صاحب الشكوى أن ترحيلهم من سويسرا إلى جمهورية الكونغو الديمقراطية </w:t>
      </w:r>
      <w:r w:rsidRPr="003E698F">
        <w:rPr>
          <w:spacing w:val="0"/>
          <w:kern w:val="0"/>
          <w:sz w:val="20"/>
          <w:rtl/>
        </w:rPr>
        <w:t xml:space="preserve">سيشكل انتهاكاً </w:t>
      </w:r>
      <w:r w:rsidRPr="003E698F">
        <w:rPr>
          <w:rFonts w:hint="cs"/>
          <w:spacing w:val="0"/>
          <w:kern w:val="0"/>
          <w:sz w:val="20"/>
          <w:rtl/>
        </w:rPr>
        <w:t xml:space="preserve">للمادة 3 من اتفاقية مناهضة التعذيب. </w:t>
      </w:r>
      <w:r w:rsidRPr="003E698F">
        <w:rPr>
          <w:spacing w:val="0"/>
          <w:kern w:val="0"/>
          <w:sz w:val="20"/>
          <w:rtl/>
        </w:rPr>
        <w:t>ولا يمثل</w:t>
      </w:r>
      <w:r w:rsidRPr="003E698F">
        <w:rPr>
          <w:rFonts w:hint="cs"/>
          <w:spacing w:val="0"/>
          <w:kern w:val="0"/>
          <w:sz w:val="20"/>
          <w:rtl/>
        </w:rPr>
        <w:t xml:space="preserve"> صاحب الشكوى</w:t>
      </w:r>
      <w:r w:rsidRPr="003E698F">
        <w:rPr>
          <w:spacing w:val="0"/>
          <w:kern w:val="0"/>
          <w:sz w:val="20"/>
          <w:rtl/>
        </w:rPr>
        <w:t xml:space="preserve"> محام.</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بيان الوقائع</w:t>
      </w:r>
      <w:r w:rsidRPr="003E698F">
        <w:rPr>
          <w:b w:val="0"/>
          <w:bCs w:val="0"/>
          <w:spacing w:val="0"/>
          <w:kern w:val="0"/>
          <w:sz w:val="20"/>
          <w:vertAlign w:val="superscript"/>
          <w:rtl/>
        </w:rPr>
        <w:t>(</w:t>
      </w:r>
      <w:r w:rsidRPr="003E698F">
        <w:rPr>
          <w:b w:val="0"/>
          <w:bCs w:val="0"/>
          <w:spacing w:val="0"/>
          <w:kern w:val="0"/>
          <w:sz w:val="20"/>
          <w:vertAlign w:val="superscript"/>
          <w:rtl/>
        </w:rPr>
        <w:footnoteReference w:id="210"/>
      </w:r>
      <w:r w:rsidRPr="003E698F">
        <w:rPr>
          <w:b w:val="0"/>
          <w:bCs w:val="0"/>
          <w:spacing w:val="0"/>
          <w:kern w:val="0"/>
          <w:sz w:val="20"/>
          <w:vertAlign w:val="superscript"/>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2-1</w:t>
      </w:r>
      <w:r w:rsidRPr="003E698F">
        <w:rPr>
          <w:rFonts w:hint="cs"/>
          <w:spacing w:val="0"/>
          <w:kern w:val="0"/>
          <w:sz w:val="20"/>
          <w:rtl/>
        </w:rPr>
        <w:tab/>
        <w:t>ولد صاحب الشكوى في كينشاسا من أب رواندي توتسي ومن أم كونغولية. وفي</w:t>
      </w:r>
      <w:r w:rsidRPr="003E698F">
        <w:rPr>
          <w:rFonts w:hint="eastAsia"/>
          <w:spacing w:val="0"/>
          <w:kern w:val="0"/>
          <w:sz w:val="20"/>
          <w:rtl/>
        </w:rPr>
        <w:t> </w:t>
      </w:r>
      <w:r w:rsidRPr="003E698F">
        <w:rPr>
          <w:rFonts w:hint="cs"/>
          <w:spacing w:val="0"/>
          <w:kern w:val="0"/>
          <w:sz w:val="20"/>
          <w:rtl/>
        </w:rPr>
        <w:t>2 آب/أغسطس 1998، أثناء الهجوم الذي وقع في جمهورية الكونغو الديمقراطية على أيدي متمردين يتلقون الدعم والمساندة من رواندا، أُفيد بأن صاحب الشكوى تعرض لإساءة معاملته في كينشاسا من قبل الطلاب وسكان الحي الذي كان يقطن فيه وموظفين عموميين كونغوليين إلى أن اعتُقل بسبب أصله. وأفيد بأن السلطات لم تتمكن من حمايته.</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2-2</w:t>
      </w:r>
      <w:r w:rsidRPr="003E698F">
        <w:rPr>
          <w:rFonts w:hint="cs"/>
          <w:spacing w:val="0"/>
          <w:kern w:val="0"/>
          <w:sz w:val="20"/>
          <w:rtl/>
        </w:rPr>
        <w:tab/>
        <w:t>وقد وصل صاحب الشكوى إلى سويسرا في 2 تموز/يوليه 2003 وهو التاريخ الذي قدم فيه طلب اللجوء. وادعى صاحب الشكوى أثناء النظر في طلب اللجوء الذي قدمه إلى السلطات السويسرية، أنه اعتُقل بتاريخ يقارب 10 تشرين الثاني/نوفمبر 1998 عندما كان طالباً في كلية الحقوق بجامعة كينشاسا على أيدي الموظفين العموميين بسبب أصله الرواندي، واقتيد إلى مقر إقامة لوران ديزيريه كابيلا حيث تمكن من الهرب بفضل مساعدة أحد حراسه بعد أسبوع من الاحتجاز. وادعى صاحب الشكوى أنه تمكن بعد ذلك من الفرار إلى بونيا (إتوري). وادعي أن عناصر من ميليشيات الليندو اختطفوه في الأول من أيار/ مايو</w:t>
      </w:r>
      <w:r w:rsidRPr="003E698F">
        <w:rPr>
          <w:rFonts w:hint="eastAsia"/>
          <w:spacing w:val="0"/>
          <w:kern w:val="0"/>
          <w:sz w:val="20"/>
          <w:rtl/>
        </w:rPr>
        <w:t> </w:t>
      </w:r>
      <w:r w:rsidRPr="003E698F">
        <w:rPr>
          <w:rFonts w:hint="cs"/>
          <w:spacing w:val="0"/>
          <w:kern w:val="0"/>
          <w:sz w:val="20"/>
          <w:rtl/>
        </w:rPr>
        <w:t xml:space="preserve">2003، وأساؤوا معاملته بعد أن اعتقدوا أنه من الهيما بسبب مظهره. وزعم أن عناصر ميلشيات الليندو حاولت الحصول على أسماء الأشخاص الذين يعتزمون مهاجمتهم. وأثناء نقله في 5 أيار/مايو 2003، تمكن صاحب الشكوى من الفرار بفضل مساعدة أحد عناصر الميليشيات الذي تعرّف عليه. وفي 7 أيار/مايو 2003، هرب إلى أوغندا على متن زورق. وتوجه بالطائرة بعد ذلك إلى كينيا ومنها إلى روما في 29 حزيران/يونيه 2003. ثم توجه إلى سويسرا حيث وصل في 2 تموز/يوليه 2003 وقدم طلب اللجوء في اليوم نفسه. </w:t>
      </w:r>
    </w:p>
    <w:p w:rsidR="00921F02" w:rsidRPr="00772699" w:rsidRDefault="00921F02" w:rsidP="00706CAA">
      <w:pPr>
        <w:pStyle w:val="SingleTxtGA"/>
        <w:jc w:val="lowKashida"/>
        <w:rPr>
          <w:rFonts w:hint="cs"/>
          <w:spacing w:val="-2"/>
          <w:kern w:val="0"/>
          <w:sz w:val="20"/>
          <w:rtl/>
        </w:rPr>
      </w:pPr>
      <w:r w:rsidRPr="00772699">
        <w:rPr>
          <w:rFonts w:hint="cs"/>
          <w:spacing w:val="-2"/>
          <w:kern w:val="0"/>
          <w:sz w:val="20"/>
          <w:rtl/>
        </w:rPr>
        <w:t>2-3</w:t>
      </w:r>
      <w:r w:rsidRPr="00772699">
        <w:rPr>
          <w:rFonts w:hint="cs"/>
          <w:spacing w:val="-2"/>
          <w:kern w:val="0"/>
          <w:sz w:val="20"/>
          <w:rtl/>
        </w:rPr>
        <w:tab/>
        <w:t>وفي 2 شباط/فبراير 2005، رفض المكتب الاتحادي للهجرة طلب اللجوء الذي قدمه صاحب الشكوى. فقد أثبت المكتب الاتحادي للهجرة بمساعدة التحقيقات التي أجرتها السفارة السويسرية في جمهورية الكونغو الديمقراطية أن صاحب الشكوى هو من أب رواندي من إثنية الهوتو وليست التوتسي كما يدعي. وإضافة إلى ذلك، لم يكن صاحب الشكوى قادراً على التحدث بلغة التوتسي، ولا يعرف أي تقليد من تقاليد التوتسي، ولا</w:t>
      </w:r>
      <w:r w:rsidRPr="00772699">
        <w:rPr>
          <w:rFonts w:hint="eastAsia"/>
          <w:spacing w:val="-2"/>
          <w:kern w:val="0"/>
          <w:sz w:val="20"/>
          <w:rtl/>
        </w:rPr>
        <w:t> </w:t>
      </w:r>
      <w:r w:rsidRPr="00772699">
        <w:rPr>
          <w:rFonts w:hint="cs"/>
          <w:spacing w:val="-2"/>
          <w:kern w:val="0"/>
          <w:sz w:val="20"/>
          <w:rtl/>
        </w:rPr>
        <w:t>يعرف شيئاً عن مسقط رأس أبيه. ويدعي صاحب الشكوى في شكواه التي قدمها إلى اللجنة أنه من إثنية التوتسي على عكس ما جاء في التحقيقات التي أجرتها السلطات السويسرية. وعلاوة على ذلك، فإن المكتب الاتحادي للهجرة قد أثبت بالاستناد إلى تحقيق الممثلية السويسرية في كينشاسا أن صاحب الشكوى لم يقم في بونيا في الفترة من 1998 إلى 2003. وقد تمسك صاحب الشكوى بهذا الادعاء وطلب الاستماع إلى شهود من بونيا، غير أن المكتب الاتحادي للهجرة رفض طلبه. وفي المقابل، أكد المكتب الاتحادي للهجرة أن صاحب الشكوى تعرض لمضايقات في عام 1998، لكنه رأى أن هذه المضايقات لم تكن شديدة إلى درجة تجعل صاحب الشكوى غير قادر على مواصلة حياته في كينشاسا حتى عام 2003.</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2-4</w:t>
      </w:r>
      <w:r w:rsidRPr="003E698F">
        <w:rPr>
          <w:rFonts w:hint="cs"/>
          <w:spacing w:val="0"/>
          <w:kern w:val="0"/>
          <w:sz w:val="20"/>
          <w:rtl/>
        </w:rPr>
        <w:tab/>
        <w:t xml:space="preserve">وفي 11 تموز/يوليه 2005، رفضت اللجنة السويسرية للطعون المتعلقة باللجوء والتي حلت محلها فيما بعد المحكمة الإدارية الاتحادية، طعن صاحب الشكوى، وأصدرت أمراً بترحيله من سويسرا في 8 أيلول/سبتمبر 2005. وقد دفعت اللجنة السويسرية للطعون بأن أصل صاحب الشكوى التوتسي لم يثبت، وبأن ادعاءاته التي تتعلق بهروبه مرتين من الاحتجاز في كينشاسا وبونيا لا تبدو صحيحة. وفي المقابل، أقرت اللجنة السويسرية للطعون بأن صاحب الشكوى واجه صعوبات في عام 1998 في كينشاسا، لكن لم يثبت أنه كان سيتعرض لخطر حقيقي ملموس ومحدق للتعذيب في حالة إعادته إلى جمهورية الكونغو الديمقراطية بموجب المادة 3 من الاتفاقية. </w:t>
      </w:r>
    </w:p>
    <w:p w:rsidR="00921F02" w:rsidRPr="00FE387B" w:rsidRDefault="00921F02" w:rsidP="00772699">
      <w:pPr>
        <w:pStyle w:val="SingleTxtGA"/>
        <w:jc w:val="lowKashida"/>
        <w:rPr>
          <w:rFonts w:hint="cs"/>
          <w:spacing w:val="-2"/>
          <w:kern w:val="0"/>
          <w:sz w:val="20"/>
          <w:rtl/>
        </w:rPr>
      </w:pPr>
      <w:r w:rsidRPr="00FE387B">
        <w:rPr>
          <w:rFonts w:hint="cs"/>
          <w:spacing w:val="-2"/>
          <w:kern w:val="0"/>
          <w:sz w:val="20"/>
          <w:rtl/>
        </w:rPr>
        <w:t>2-5</w:t>
      </w:r>
      <w:r w:rsidRPr="00FE387B">
        <w:rPr>
          <w:rFonts w:hint="cs"/>
          <w:spacing w:val="-2"/>
          <w:kern w:val="0"/>
          <w:sz w:val="20"/>
          <w:rtl/>
        </w:rPr>
        <w:tab/>
        <w:t>وفي 22 آب/أغسطس 2005، قدم طفلا صاحب الشكوى طلب لجوء رفضه المكتب الاتحادي للهجرة في 20 كانون الأول/ديسمبر 2007. وفي 24 أيلول/ سبتمبر</w:t>
      </w:r>
      <w:r w:rsidRPr="00FE387B">
        <w:rPr>
          <w:rFonts w:hint="eastAsia"/>
          <w:spacing w:val="-2"/>
          <w:kern w:val="0"/>
          <w:sz w:val="20"/>
          <w:rtl/>
        </w:rPr>
        <w:t> </w:t>
      </w:r>
      <w:r w:rsidRPr="00FE387B">
        <w:rPr>
          <w:rFonts w:hint="cs"/>
          <w:spacing w:val="-2"/>
          <w:kern w:val="0"/>
          <w:sz w:val="20"/>
          <w:rtl/>
        </w:rPr>
        <w:t>2008، رفضت المحكمة الإدارية الاتحادية طعنهما وأصدرت أمراً بترحيلهما من سويسرا في 3 تشرين الثاني/نوفمبر 2008. ويدعى أن الطفلين غادرا جمهورية الكونغو الديمقراطية بعد تعرضهما للتهديد والاضطهاد بسبب أصولهما الرواندية. وفي آب/ أغسطس</w:t>
      </w:r>
      <w:r w:rsidRPr="00FE387B">
        <w:rPr>
          <w:rFonts w:hint="eastAsia"/>
          <w:spacing w:val="-2"/>
          <w:kern w:val="0"/>
          <w:sz w:val="20"/>
          <w:rtl/>
        </w:rPr>
        <w:t> </w:t>
      </w:r>
      <w:r w:rsidRPr="00FE387B">
        <w:rPr>
          <w:rFonts w:hint="cs"/>
          <w:spacing w:val="-2"/>
          <w:kern w:val="0"/>
          <w:sz w:val="20"/>
          <w:rtl/>
        </w:rPr>
        <w:t>2005، زُعم أن "سيدة بيضاء" مجهولة الهوية أبلغت والدهما بوصولهما إلى سويسرا. ورأت المحكمة الإدارية الاتحادية أن تصريحات الطفلين لا تبدو صحيحة، وأثبتت أن أصلهما الإثني التوتسي لا يمكن أن يكون صحيحاً بسبب الطعن في صحة هذا الأصل الإثني نفسه فيما</w:t>
      </w:r>
      <w:r w:rsidR="00772699">
        <w:rPr>
          <w:rFonts w:hint="eastAsia"/>
          <w:spacing w:val="-2"/>
          <w:kern w:val="0"/>
          <w:sz w:val="20"/>
          <w:rtl/>
        </w:rPr>
        <w:t> </w:t>
      </w:r>
      <w:r w:rsidRPr="00FE387B">
        <w:rPr>
          <w:rFonts w:hint="cs"/>
          <w:spacing w:val="-2"/>
          <w:kern w:val="0"/>
          <w:sz w:val="20"/>
          <w:rtl/>
        </w:rPr>
        <w:t xml:space="preserve">يخص والدهما. وإضافة إلى ذلك، أكدت المحكمة الإدارية الاتحادية أن الاضطرابات النفسية المثبتة في التقرير الطبي لطفلي صاحب الشكوى لا تشكل عائقاً أمام ترحيلهما لأن العلاج متاح في كينشاسا. وخلصت المحكمة الإدارية الاتحادية إلى أن طفلي صاحب الشكوى لم يثبتا أنهما كانا سيتعرضان شخصياً لخطر التعذيب في حالة إعادتهما إلى جمهورية الكونغو الديمقراطية. </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الشكوى</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3-1</w:t>
      </w:r>
      <w:r w:rsidRPr="003E698F">
        <w:rPr>
          <w:rFonts w:hint="cs"/>
          <w:spacing w:val="0"/>
          <w:kern w:val="0"/>
          <w:sz w:val="20"/>
          <w:rtl/>
        </w:rPr>
        <w:tab/>
        <w:t>يدعي صاحب الشكوى أن ترحيله وطفليه إلى جمهورية الكونغو الديمقراطية سيشكل انتهاكاً للمادة 3 من اتفاقية مناهضة التعذيب لأن أصولهم الرواندية من إثنية التوتسي ستعرضهم للاضطهاد على أيدي موظفين عموميين وأفراد من المجتمع المحلي لدى</w:t>
      </w:r>
      <w:r w:rsidRPr="003E698F">
        <w:rPr>
          <w:rFonts w:hint="eastAsia"/>
          <w:spacing w:val="0"/>
          <w:kern w:val="0"/>
          <w:sz w:val="20"/>
          <w:rtl/>
        </w:rPr>
        <w:t> </w:t>
      </w:r>
      <w:r w:rsidRPr="003E698F">
        <w:rPr>
          <w:rFonts w:hint="cs"/>
          <w:spacing w:val="0"/>
          <w:kern w:val="0"/>
          <w:sz w:val="20"/>
          <w:rtl/>
        </w:rPr>
        <w:t>عودتهم.</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3-2</w:t>
      </w:r>
      <w:r w:rsidRPr="003E698F">
        <w:rPr>
          <w:rFonts w:hint="cs"/>
          <w:spacing w:val="0"/>
          <w:kern w:val="0"/>
          <w:sz w:val="20"/>
          <w:rtl/>
        </w:rPr>
        <w:tab/>
        <w:t>ويضيف صاحب الشكوى أنه على الرغم من أن نهاية الحرب قد أتاحت إدماج أفراد مختلف الأطراف في إدارة شؤون الدولة، فإن السلام لا يزال غير مستتب. ومنذ عام</w:t>
      </w:r>
      <w:r w:rsidRPr="003E698F">
        <w:rPr>
          <w:rFonts w:hint="eastAsia"/>
          <w:spacing w:val="0"/>
          <w:kern w:val="0"/>
          <w:sz w:val="20"/>
          <w:rtl/>
        </w:rPr>
        <w:t> </w:t>
      </w:r>
      <w:r w:rsidRPr="003E698F">
        <w:rPr>
          <w:rFonts w:hint="cs"/>
          <w:spacing w:val="0"/>
          <w:kern w:val="0"/>
          <w:sz w:val="20"/>
          <w:rtl/>
        </w:rPr>
        <w:t xml:space="preserve">2005، ظهرت حركة تمرد تدعمها رواندا في شرقي جمهورية الكونغو الديمقراطية بقيادة نكوندا باتوار، وهو توتسي كونغولي، وتهدف هذه الحركة إلى حماية أفراد التوتسي الموجودين في الكونغو من الاضطهاد. وتعتبر وسائط الإعلام والأوساط المدرسية أن حالة عدم الاستقرار التي يعيشها البلد بأسره تعزى إلى جماعة التوتسي. </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 xml:space="preserve">ملاحظات الدولة الطرف بشأن المقبولية والأسس الموضوعية </w:t>
      </w:r>
    </w:p>
    <w:p w:rsidR="00921F02" w:rsidRPr="003E698F" w:rsidRDefault="00921F02" w:rsidP="00772699">
      <w:pPr>
        <w:pStyle w:val="SingleTxtGA"/>
        <w:spacing w:line="370" w:lineRule="exact"/>
        <w:jc w:val="lowKashida"/>
        <w:rPr>
          <w:rFonts w:hint="cs"/>
          <w:spacing w:val="0"/>
          <w:kern w:val="0"/>
          <w:sz w:val="20"/>
          <w:rtl/>
        </w:rPr>
      </w:pPr>
      <w:r w:rsidRPr="003E698F">
        <w:rPr>
          <w:rFonts w:hint="cs"/>
          <w:spacing w:val="0"/>
          <w:kern w:val="0"/>
          <w:sz w:val="20"/>
          <w:rtl/>
        </w:rPr>
        <w:t>4-1</w:t>
      </w:r>
      <w:r w:rsidRPr="003E698F">
        <w:rPr>
          <w:rFonts w:hint="cs"/>
          <w:spacing w:val="0"/>
          <w:kern w:val="0"/>
          <w:sz w:val="20"/>
          <w:rtl/>
        </w:rPr>
        <w:tab/>
        <w:t>اعترضت الدولة الطرف، في 26 كانون الثاني/يناير 2009، على مقبولية البلاغ لعدم استنفاده سبل الانتصاف المحلية، حيث إن صاحب الشكوى قدم طلباً بإعادة النظر في حالته في 18 كانون الأول/ديسمبر 2008، أي بعد عرض شكواه على اللجنة. وقد رفض المكتب الاتحادي للهجرة طلب صاحب الشكوى في قراره الصادر في 30 كانون الأول/ ديسمبر</w:t>
      </w:r>
      <w:r w:rsidRPr="003E698F">
        <w:rPr>
          <w:rFonts w:hint="eastAsia"/>
          <w:spacing w:val="0"/>
          <w:kern w:val="0"/>
          <w:sz w:val="20"/>
          <w:rtl/>
        </w:rPr>
        <w:t> </w:t>
      </w:r>
      <w:r w:rsidRPr="003E698F">
        <w:rPr>
          <w:rFonts w:hint="cs"/>
          <w:spacing w:val="0"/>
          <w:kern w:val="0"/>
          <w:sz w:val="20"/>
          <w:rtl/>
        </w:rPr>
        <w:t>2008. وأبلغت الدولة الطرف اللجنة في رسالة مؤرخة 13 أيار/مايو 1999 بأن صاحب الشكوى قدم طعنا أمام المحكمة الإدارية الاتحادية في 4 شباط/ فبراير</w:t>
      </w:r>
      <w:r w:rsidRPr="003E698F">
        <w:rPr>
          <w:rFonts w:hint="eastAsia"/>
          <w:spacing w:val="0"/>
          <w:kern w:val="0"/>
          <w:sz w:val="20"/>
          <w:rtl/>
        </w:rPr>
        <w:t> </w:t>
      </w:r>
      <w:r w:rsidRPr="003E698F">
        <w:rPr>
          <w:rFonts w:hint="cs"/>
          <w:spacing w:val="0"/>
          <w:kern w:val="0"/>
          <w:sz w:val="20"/>
          <w:rtl/>
        </w:rPr>
        <w:t>2009. وفي</w:t>
      </w:r>
      <w:r w:rsidR="00772699">
        <w:rPr>
          <w:rFonts w:hint="eastAsia"/>
          <w:spacing w:val="0"/>
          <w:kern w:val="0"/>
          <w:sz w:val="20"/>
          <w:rtl/>
        </w:rPr>
        <w:t> </w:t>
      </w:r>
      <w:r w:rsidRPr="003E698F">
        <w:rPr>
          <w:rFonts w:hint="cs"/>
          <w:spacing w:val="0"/>
          <w:kern w:val="0"/>
          <w:sz w:val="20"/>
          <w:rtl/>
        </w:rPr>
        <w:t xml:space="preserve">23 حزيران/يونيه 2009 أعلمت الدولة الطرف اللجنة بأن المحكمة الإدارية الاتحادية قد أصدرت قرارا في 19 حزيران/يونيه 2009 برفض ادعاءات صاحب الشكوى، وأنهت بذلك سبل الانتصاف المحلية. </w:t>
      </w:r>
    </w:p>
    <w:p w:rsidR="00921F02" w:rsidRPr="003E698F" w:rsidRDefault="00921F02" w:rsidP="00772699">
      <w:pPr>
        <w:pStyle w:val="SingleTxtGA"/>
        <w:spacing w:line="370" w:lineRule="exact"/>
        <w:jc w:val="lowKashida"/>
        <w:rPr>
          <w:rFonts w:hint="cs"/>
          <w:spacing w:val="0"/>
          <w:kern w:val="0"/>
          <w:sz w:val="20"/>
          <w:rtl/>
        </w:rPr>
      </w:pPr>
      <w:r w:rsidRPr="003E698F">
        <w:rPr>
          <w:rFonts w:hint="cs"/>
          <w:spacing w:val="0"/>
          <w:kern w:val="0"/>
          <w:sz w:val="20"/>
          <w:rtl/>
        </w:rPr>
        <w:t>4-2</w:t>
      </w:r>
      <w:r w:rsidRPr="003E698F">
        <w:rPr>
          <w:rFonts w:hint="cs"/>
          <w:spacing w:val="0"/>
          <w:kern w:val="0"/>
          <w:sz w:val="20"/>
          <w:rtl/>
        </w:rPr>
        <w:tab/>
        <w:t>وفي 28 نيسان/أبريل 2010، قدمت الدولة الطرف ملاحظاتها بشأن الأسس الموضوعية. وبعد الإشارة إلى مراحل إجراء اللجوء المتعلق بصاحب الشكوى وطفليه، توجز الدولة الطرف أسباب طلب إعادة النظر الذي قدمه صاحب الشكوى بالأصالة عن نفسه وبالنيابة عن ولديه في 18 كانون الأول/ديسمبر 2008 (أي بعد عرض الشكوى على اللجنة). ويدعي صاحب الشكوى أمام السلطات السويسرية بأنه قد أُبلغ بأن زوجته التي بقيت في جمهورية الكونغو الديمقراطية قد توفيت في 1 تشرين الأول/أكتوبر 2008. ونتيجة لذلك، فإنه لم يعد لديه ولدى طفليه أي سند يلجأون إليه في شبكة المعارف المقربين. وإضافة إلى ذلك، فإن الحالة النفسية للطفلين قد تدهورت كما زُعم منذ الإعلان عن وفاة والدتهما.</w:t>
      </w:r>
    </w:p>
    <w:p w:rsidR="00921F02" w:rsidRPr="003E698F" w:rsidRDefault="00921F02" w:rsidP="00772699">
      <w:pPr>
        <w:pStyle w:val="SingleTxtGA"/>
        <w:spacing w:line="370" w:lineRule="exact"/>
        <w:jc w:val="lowKashida"/>
        <w:rPr>
          <w:rFonts w:hint="cs"/>
          <w:spacing w:val="0"/>
          <w:kern w:val="0"/>
          <w:sz w:val="20"/>
          <w:rtl/>
        </w:rPr>
      </w:pPr>
      <w:r w:rsidRPr="003E698F">
        <w:rPr>
          <w:rFonts w:hint="cs"/>
          <w:spacing w:val="0"/>
          <w:kern w:val="0"/>
          <w:sz w:val="20"/>
          <w:rtl/>
        </w:rPr>
        <w:t>4-3</w:t>
      </w:r>
      <w:r w:rsidRPr="003E698F">
        <w:rPr>
          <w:rFonts w:hint="cs"/>
          <w:spacing w:val="0"/>
          <w:kern w:val="0"/>
          <w:sz w:val="20"/>
          <w:rtl/>
        </w:rPr>
        <w:tab/>
        <w:t>وعرض صاحب الشكوى على اللجنة شهادة مقدمة من مؤسسة العمل على إعادة تأهيل أطفال الشوارع وحمايتهم وتقارير طبية وإعلاناً صادراً عن جماعة التوتسي في أوروبا. بيد أن الدولة الطرف تشير إلى أن صاحب الشكوى لم يقدم أي عنصر جديد يتيح التشكيك في قراري المحكمة الإدارية الاتحادية المؤرخين 24 أيلول/سبتمبر 2008 و17 حزيران/</w:t>
      </w:r>
      <w:r w:rsidR="00772699">
        <w:rPr>
          <w:rFonts w:hint="cs"/>
          <w:spacing w:val="0"/>
          <w:kern w:val="0"/>
          <w:sz w:val="20"/>
          <w:rtl/>
        </w:rPr>
        <w:t xml:space="preserve"> </w:t>
      </w:r>
      <w:r w:rsidRPr="003E698F">
        <w:rPr>
          <w:rFonts w:hint="cs"/>
          <w:spacing w:val="0"/>
          <w:kern w:val="0"/>
          <w:sz w:val="20"/>
          <w:rtl/>
        </w:rPr>
        <w:t>يونيه</w:t>
      </w:r>
      <w:r w:rsidR="00772699">
        <w:rPr>
          <w:rFonts w:hint="eastAsia"/>
          <w:spacing w:val="0"/>
          <w:kern w:val="0"/>
          <w:sz w:val="20"/>
          <w:rtl/>
        </w:rPr>
        <w:t> </w:t>
      </w:r>
      <w:r w:rsidRPr="003E698F">
        <w:rPr>
          <w:rFonts w:hint="cs"/>
          <w:spacing w:val="0"/>
          <w:kern w:val="0"/>
          <w:sz w:val="20"/>
          <w:rtl/>
        </w:rPr>
        <w:t>2009 اللذين أصدرتهما في أعقاب مراجعة مفصلة للقضية. ولم يقدم صاحب الشكوى للجنة أية توضيحات عن أوجه التضارب والتناقض التي أشارت إليها السلطات السويسرية المختصة أثناء الإجراء.</w:t>
      </w:r>
    </w:p>
    <w:p w:rsidR="00921F02" w:rsidRPr="003E698F" w:rsidRDefault="00921F02" w:rsidP="00772699">
      <w:pPr>
        <w:pStyle w:val="SingleTxtGA"/>
        <w:spacing w:line="370" w:lineRule="exact"/>
        <w:jc w:val="lowKashida"/>
        <w:rPr>
          <w:rFonts w:hint="cs"/>
          <w:spacing w:val="0"/>
          <w:kern w:val="0"/>
          <w:sz w:val="20"/>
          <w:rtl/>
        </w:rPr>
      </w:pPr>
      <w:r w:rsidRPr="003E698F">
        <w:rPr>
          <w:rFonts w:hint="cs"/>
          <w:spacing w:val="0"/>
          <w:kern w:val="0"/>
          <w:sz w:val="20"/>
          <w:rtl/>
        </w:rPr>
        <w:t>4-4</w:t>
      </w:r>
      <w:r w:rsidRPr="003E698F">
        <w:rPr>
          <w:rFonts w:hint="cs"/>
          <w:spacing w:val="0"/>
          <w:kern w:val="0"/>
          <w:sz w:val="20"/>
          <w:rtl/>
        </w:rPr>
        <w:tab/>
        <w:t>وتشدد الدولة الطرف في معرض إشارتها إلى نص المادة 3 على المعايير التي حددتها اللجنة في تعليقها العام رقم 1</w:t>
      </w:r>
      <w:r w:rsidRPr="003E698F">
        <w:rPr>
          <w:spacing w:val="0"/>
          <w:kern w:val="0"/>
          <w:sz w:val="20"/>
          <w:szCs w:val="28"/>
          <w:vertAlign w:val="superscript"/>
          <w:rtl/>
        </w:rPr>
        <w:t>(</w:t>
      </w:r>
      <w:r w:rsidRPr="003E698F">
        <w:rPr>
          <w:spacing w:val="0"/>
          <w:kern w:val="0"/>
          <w:sz w:val="20"/>
          <w:szCs w:val="28"/>
          <w:vertAlign w:val="superscript"/>
          <w:rtl/>
        </w:rPr>
        <w:footnoteReference w:id="211"/>
      </w:r>
      <w:r w:rsidRPr="003E698F">
        <w:rPr>
          <w:spacing w:val="0"/>
          <w:kern w:val="0"/>
          <w:sz w:val="20"/>
          <w:szCs w:val="28"/>
          <w:vertAlign w:val="superscript"/>
          <w:rtl/>
        </w:rPr>
        <w:t>)</w:t>
      </w:r>
      <w:r w:rsidRPr="003E698F">
        <w:rPr>
          <w:rFonts w:hint="cs"/>
          <w:spacing w:val="0"/>
          <w:kern w:val="0"/>
          <w:sz w:val="20"/>
          <w:rtl/>
        </w:rPr>
        <w:t>، ولا</w:t>
      </w:r>
      <w:r w:rsidR="00E61B85">
        <w:rPr>
          <w:rFonts w:hint="cs"/>
          <w:spacing w:val="0"/>
          <w:kern w:val="0"/>
          <w:sz w:val="20"/>
          <w:rtl/>
        </w:rPr>
        <w:t xml:space="preserve"> </w:t>
      </w:r>
      <w:r w:rsidRPr="003E698F">
        <w:rPr>
          <w:rFonts w:hint="cs"/>
          <w:spacing w:val="0"/>
          <w:kern w:val="0"/>
          <w:sz w:val="20"/>
          <w:rtl/>
        </w:rPr>
        <w:t>سيما في الفقرات 6 وما يليها عن ضرورة وجود خطر شخصي وفعلي ومحدق للتعرض للتعذيب في حالة الإعادة إلى البلد الأصلي. وعلى الرغم من أن الفقرة 2 من المادة 3 من الاتفاقية تنص بالفعل على مراعاة جميع الاعتبارات ذات الصلة، بما في ذلك وجود نمط ثابت من الانتهاكات الفادحة أو الصارخة أو الجماعية لحقوق الإنسان في الدولة المعنية، فإن الأمر يتعلق بتحديد ما إذا كان الشخص المعني سيتعرض شخصياً لخطر التعذيب. بيد أنه حسبما أشارت المحكمة الإدارية الاتحادية في قرارها الصادر في 24 أيلول/سبتمبر 2008، فإن جمهورية الكونغو الديمقراطية لا تعيش حالة حرب أو</w:t>
      </w:r>
      <w:r w:rsidR="00772699">
        <w:rPr>
          <w:rFonts w:hint="eastAsia"/>
          <w:spacing w:val="0"/>
          <w:kern w:val="0"/>
          <w:sz w:val="20"/>
          <w:rtl/>
        </w:rPr>
        <w:t> </w:t>
      </w:r>
      <w:r w:rsidRPr="003E698F">
        <w:rPr>
          <w:rFonts w:hint="cs"/>
          <w:spacing w:val="0"/>
          <w:kern w:val="0"/>
          <w:sz w:val="20"/>
          <w:rtl/>
        </w:rPr>
        <w:t>نزاعات أهلية ولا تشهد انتشاراً للعنف على نطاق واسع في كامل إقليمها إلى درجة تتيح الافتراض منذ البداية أن جميع أصحاب الشكاوى من هذه الدولة معرضون تلقائياً للخطر بغض النظر عن ظروف كل قضية.</w:t>
      </w:r>
    </w:p>
    <w:p w:rsidR="00921F02" w:rsidRPr="003E698F" w:rsidRDefault="00921F02" w:rsidP="00772699">
      <w:pPr>
        <w:pStyle w:val="SingleTxtGA"/>
        <w:spacing w:line="374" w:lineRule="exact"/>
        <w:jc w:val="lowKashida"/>
        <w:rPr>
          <w:rFonts w:hint="cs"/>
          <w:spacing w:val="0"/>
          <w:kern w:val="0"/>
          <w:sz w:val="20"/>
          <w:rtl/>
          <w:lang w:bidi="ar-SY"/>
        </w:rPr>
      </w:pPr>
      <w:r w:rsidRPr="003E698F">
        <w:rPr>
          <w:rFonts w:hint="cs"/>
          <w:spacing w:val="0"/>
          <w:kern w:val="0"/>
          <w:sz w:val="20"/>
          <w:rtl/>
        </w:rPr>
        <w:t>4-5</w:t>
      </w:r>
      <w:r w:rsidRPr="003E698F">
        <w:rPr>
          <w:rFonts w:hint="cs"/>
          <w:spacing w:val="0"/>
          <w:kern w:val="0"/>
          <w:sz w:val="20"/>
          <w:rtl/>
        </w:rPr>
        <w:tab/>
        <w:t>ووفقاً للمعلومات التي حصلت عليها السفارة السويسرية في كينشاسا في كانون الأول/ديسمبر 2008، لا يوجد في كينشاسا حالياً، وهي المدينة التي عاش فيها صاحب الشكوى مع طفليه قبل مغادرتها، أية نزاعات بسبب الأصل الإثني أو حالات اضطهاد لجماعات إثنية معينة. وإضافة إلى ذلك، فإن أهل كينشاسا يعتبرون الحرب في شرق البلد نزاعا بين النخبة من جميع الإثنيات لأسباب اقتصادية وسياسية. وعلاوة على ذلك، لا يرى أهل كينشاسا أن التوتسي والهوتو الذين يعيش حوالي مائة ألف شخص منهم في كينشاسا هم المسؤولون عن النزاع المشار إليه. ونتيجة لذلك، فإن أصحاب الشكوى لن يتعرضوا بسبب انتمائهم الإثني لخطر حقيقي ومحدق في حالة ترحيلهم.</w:t>
      </w:r>
    </w:p>
    <w:p w:rsidR="00921F02" w:rsidRPr="003E698F" w:rsidRDefault="00921F02" w:rsidP="00772699">
      <w:pPr>
        <w:pStyle w:val="SingleTxtGA"/>
        <w:spacing w:line="374" w:lineRule="exact"/>
        <w:jc w:val="lowKashida"/>
        <w:rPr>
          <w:rFonts w:hint="cs"/>
          <w:spacing w:val="0"/>
          <w:kern w:val="0"/>
          <w:sz w:val="20"/>
          <w:rtl/>
          <w:lang w:bidi="ar-SY"/>
        </w:rPr>
      </w:pPr>
      <w:r w:rsidRPr="003E698F">
        <w:rPr>
          <w:rFonts w:hint="cs"/>
          <w:spacing w:val="0"/>
          <w:kern w:val="0"/>
          <w:sz w:val="20"/>
          <w:rtl/>
          <w:lang w:bidi="ar-SY"/>
        </w:rPr>
        <w:t>4-6</w:t>
      </w:r>
      <w:r w:rsidRPr="003E698F">
        <w:rPr>
          <w:rFonts w:hint="cs"/>
          <w:spacing w:val="0"/>
          <w:kern w:val="0"/>
          <w:sz w:val="20"/>
          <w:rtl/>
          <w:lang w:bidi="ar-SY"/>
        </w:rPr>
        <w:tab/>
        <w:t>وإضافة إلى ذلك، تشير الدولة الطرف إلى أن الالتماس الذي قدمته جماعة التوتسي الكونغولية والذي يدين استمرار خطر الإبادة الجماعية في 13 تشرين الثاني/نوفمبر 2007 والمرفق بالشكوى، لم يعرض على سلطات الدولة الطرف بل على اللجنة فقط. ومع ذلك، فإن الدولة الطرف تلاحظ أن هذا الالتماس يشير إلى الحالة العامة للتوتسي في جمهورية الكونغو الديمقراطية، وبالتالي فإنه لا يخص صاحب الشكوى وطفليه، ولا سيما أن سلطات الدولة الطرف شككت في أصولهم التوتسية أثناء إجراء اللجوء.</w:t>
      </w:r>
    </w:p>
    <w:p w:rsidR="00921F02" w:rsidRPr="003E698F" w:rsidRDefault="00921F02" w:rsidP="00772699">
      <w:pPr>
        <w:pStyle w:val="SingleTxtGA"/>
        <w:spacing w:line="374" w:lineRule="exact"/>
        <w:jc w:val="lowKashida"/>
        <w:rPr>
          <w:rFonts w:hint="cs"/>
          <w:spacing w:val="0"/>
          <w:kern w:val="0"/>
          <w:sz w:val="20"/>
          <w:rtl/>
          <w:lang w:bidi="ar-SY"/>
        </w:rPr>
      </w:pPr>
      <w:r w:rsidRPr="003E698F">
        <w:rPr>
          <w:rFonts w:hint="cs"/>
          <w:spacing w:val="0"/>
          <w:kern w:val="0"/>
          <w:sz w:val="20"/>
          <w:rtl/>
          <w:lang w:bidi="ar-SY"/>
        </w:rPr>
        <w:t>4-7</w:t>
      </w:r>
      <w:r w:rsidRPr="003E698F">
        <w:rPr>
          <w:rFonts w:hint="cs"/>
          <w:spacing w:val="0"/>
          <w:kern w:val="0"/>
          <w:sz w:val="20"/>
          <w:rtl/>
          <w:lang w:bidi="ar-SY"/>
        </w:rPr>
        <w:tab/>
        <w:t>وتضيف الدولة الطرف أن مصداقية صاحب الشكوى وطفليه كانت موضع شكوك أثناء إجراء اللجوء، ولا سيما فيما يخص احتجازه في مقر إقامة جوزيف كابيلا واختطافه من قبل ميليشيات في بونيا. وعلى الرغم من أن سلطات الدولة الطرف تعترف بالصعوبات التي واجهها صاحب الشكوى في عام 1998، فإنها لا تعتبرها شديدة إلى درجة تكفي لجعلها تشكل خطر التعرض للاضطهاد في المستقبل. وإضافة إلى ذلك فإن الفترة الزمنية الفاصلة التي انقضت ما بين مواجهة هذه الصعوبات، أي تلك المرتبطة بأصله الإثني، في عام 1998 ورحيله من البلد في عام 2003، تستبعد أية رابطة سببية بين تلك الصعوبات وطلب</w:t>
      </w:r>
      <w:r w:rsidRPr="003E698F">
        <w:rPr>
          <w:rFonts w:hint="eastAsia"/>
          <w:spacing w:val="0"/>
          <w:kern w:val="0"/>
          <w:sz w:val="20"/>
          <w:rtl/>
          <w:lang w:bidi="ar-SY"/>
        </w:rPr>
        <w:t> </w:t>
      </w:r>
      <w:r w:rsidRPr="003E698F">
        <w:rPr>
          <w:rFonts w:hint="cs"/>
          <w:spacing w:val="0"/>
          <w:kern w:val="0"/>
          <w:sz w:val="20"/>
          <w:rtl/>
          <w:lang w:bidi="ar-SY"/>
        </w:rPr>
        <w:t xml:space="preserve">اللجوء. </w:t>
      </w:r>
    </w:p>
    <w:p w:rsidR="00921F02" w:rsidRPr="003E698F" w:rsidRDefault="00921F02" w:rsidP="00772699">
      <w:pPr>
        <w:pStyle w:val="SingleTxtGA"/>
        <w:spacing w:line="374" w:lineRule="exact"/>
        <w:jc w:val="lowKashida"/>
        <w:rPr>
          <w:rFonts w:hint="cs"/>
          <w:spacing w:val="0"/>
          <w:kern w:val="0"/>
          <w:sz w:val="20"/>
          <w:rtl/>
        </w:rPr>
      </w:pPr>
      <w:r w:rsidRPr="003E698F">
        <w:rPr>
          <w:rFonts w:hint="cs"/>
          <w:spacing w:val="0"/>
          <w:kern w:val="0"/>
          <w:sz w:val="20"/>
          <w:rtl/>
        </w:rPr>
        <w:t>4-8</w:t>
      </w:r>
      <w:r w:rsidRPr="003E698F">
        <w:rPr>
          <w:rFonts w:hint="cs"/>
          <w:spacing w:val="0"/>
          <w:kern w:val="0"/>
          <w:sz w:val="20"/>
          <w:rtl/>
        </w:rPr>
        <w:tab/>
        <w:t>وعلاوة على ذلك، تلاحظ الدولة الطرف أن صاحب الشكوى وطفليه لم يقدموا دليلا على أي نشاط سياسي يدعم طلب لجوئهم.</w:t>
      </w:r>
    </w:p>
    <w:p w:rsidR="00921F02" w:rsidRPr="003E698F" w:rsidRDefault="00921F02" w:rsidP="00772699">
      <w:pPr>
        <w:pStyle w:val="SingleTxtGA"/>
        <w:spacing w:line="374" w:lineRule="exact"/>
        <w:jc w:val="lowKashida"/>
        <w:rPr>
          <w:rFonts w:hint="cs"/>
          <w:spacing w:val="0"/>
          <w:kern w:val="0"/>
          <w:sz w:val="20"/>
          <w:rtl/>
        </w:rPr>
      </w:pPr>
      <w:r w:rsidRPr="003E698F">
        <w:rPr>
          <w:rFonts w:hint="cs"/>
          <w:spacing w:val="0"/>
          <w:kern w:val="0"/>
          <w:sz w:val="20"/>
          <w:rtl/>
        </w:rPr>
        <w:t>4-9</w:t>
      </w:r>
      <w:r w:rsidRPr="003E698F">
        <w:rPr>
          <w:rFonts w:hint="cs"/>
          <w:spacing w:val="0"/>
          <w:kern w:val="0"/>
          <w:sz w:val="20"/>
          <w:rtl/>
        </w:rPr>
        <w:tab/>
        <w:t>وترى الدولة الطرف أن صاحب الشكوى لم يثبت قط أنه رواندي من أصل إثني توتسي، وكل ما فعله هو إنكار نتائج تحقيقات السفارة السويسرية في هذا الخصوص دون أن يدعم أقواله بالأدلة، وردد موقفه أمام اللجنة دون إضافة أية أدلة أخرى. وأكد صاحب الشكوى أمام السلطات الوطنية أنه كان مختبئاً في مكان محدد في تشرين الثاني/نوفمبر 1998 للهروب من الفظائع التي كانت ترتكب بحق الروانديين في كينشاسا. بيد أن نتائج تحقيقات الدولة الطرف تبين أنه لم يُستدل على صاحب الشكوى في هذا العنوان. ولذلك، فإن هذا الادعاء يبدو خالياً من المصداقية. وإضافة إلى ذلك، لم يتقدم صاحب الشكوى بهذه الحجة إلى اللجنة. وبعد إجراء التحقيقات تبين أيضاً أن صاحب الشكوى لم يذهب قط إلى بونيا، وهو أمر زعزع الثقة في ادعاءاته المتعلقة باختطافه من قبل ميليشيات.</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4-10</w:t>
      </w:r>
      <w:r w:rsidRPr="003E698F">
        <w:rPr>
          <w:rFonts w:hint="cs"/>
          <w:spacing w:val="0"/>
          <w:kern w:val="0"/>
          <w:sz w:val="20"/>
          <w:rtl/>
        </w:rPr>
        <w:tab/>
        <w:t xml:space="preserve">وفيما يتعلق بطفلي صاحب الشكوى، شككت التحقيقات أيضاً في مصداقيتهما لأنه تبين أن الطفلين لم يتعرضا لأية شتائم أو تهديدات في المدرسة وفي الحي الذي كانا يقطنان فيه، وإنما كانا يعيشان حياة رغدة على عنوانهما في كينشاسا الذي أشارا إليه، وكانا على عكس ذلك مندمجين جيداً في المجتمع وغير معرضين لأي خطر. وأشارت أيضا السلطات المعنية بطلبات اللجوء إلى أن إفادات الطفلين المتعلقة بظروف مغادرتهما كينشاسا كانت متضاربة. فإن الطفلين يدعيان، في الواقع، أن "سيدة بيضاء" اصطحبتهما في المرحلة الأولى بالطائرة إلى جنوب أفريقيا ثم بالقطار إلى سويسرا. بيد أن التحقيق كشف عن أن الطفلين اصطُحبا إلى سويسرا مباشرة دون أن يمرا بجنوب أفريقيا. وعلاوة على ذلك، فإن مؤسسة العمل على إعادة تأهيل أطفال الشوارع وحمايتهم في كينشاسا قد أكدت في مستند مرفق بالشكوى أن طفلي صاحب الشكوى أقاما في مراكز تابعة لها في الفترة الممتدة من 6 تشرين الثاني/نوفمبر 2003 إلى 2 تموز/يوليه 2005 وهو تاريخ مغادرتهما جمهورية الكونغو الديمقراطية. غير أن الطفلين أوضحا أثناء إجراء اللجوء أنهما كانا مقيمين لدى والدتهما إلى حين مغادرتهما البلد.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4-11</w:t>
      </w:r>
      <w:r w:rsidRPr="003E698F">
        <w:rPr>
          <w:rFonts w:hint="cs"/>
          <w:spacing w:val="0"/>
          <w:kern w:val="0"/>
          <w:sz w:val="20"/>
          <w:rtl/>
        </w:rPr>
        <w:tab/>
        <w:t>وتشكك الدولة الطرف في صحة أقوال صاحب الشكوى التي تفيد بأن زوجته قد توفيت وأن هذا النبأ هو مصدر طلب المراجعة. وفي الواقع، لم تقدم إلى سلطات الدولة الطرف سوى صورة من شهادة الوفاة، ولم يكشف أصحاب الشكوى للسلطات الوطنية عن الظروف الحقيقة التي حصلوا فيها على هذا المستند. ولم يرغب صاحب الشكوى على وجه التحديد في الكشف عن اسم الشخص الذي أرسل الفاكس الذي يتضمن نبأ وفاة زوجته.</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rPr>
        <w:t>4-12</w:t>
      </w:r>
      <w:r w:rsidRPr="003E698F">
        <w:rPr>
          <w:rFonts w:hint="cs"/>
          <w:spacing w:val="0"/>
          <w:kern w:val="0"/>
          <w:sz w:val="20"/>
          <w:rtl/>
        </w:rPr>
        <w:tab/>
        <w:t>وفيما يخص الحالة الصحية لصاحب الشكوى وطفليه، تفيد الدولة الطرف بأنها لا</w:t>
      </w:r>
      <w:r w:rsidRPr="003E698F">
        <w:rPr>
          <w:rFonts w:hint="eastAsia"/>
          <w:spacing w:val="0"/>
          <w:kern w:val="0"/>
          <w:sz w:val="20"/>
          <w:rtl/>
        </w:rPr>
        <w:t> </w:t>
      </w:r>
      <w:r w:rsidRPr="003E698F">
        <w:rPr>
          <w:rFonts w:hint="cs"/>
          <w:spacing w:val="0"/>
          <w:kern w:val="0"/>
          <w:sz w:val="20"/>
          <w:rtl/>
        </w:rPr>
        <w:t>تشكل معياراً لتحديد ما إذا كانت هناك أسباب حقيقية تدعو إلى الاعتقاد بوجود خطر التعرض للتعذيب في حالة إبعادهم. وتشير الدولة الطرف في هذا الصدد إلى الأحكام السابقة للجنة التي خلصت فيها إلى أن تدهور الحالة الصحية البدنية أو العقلية لشخص ما من جراء الإبعاد لا يمثل عموماً سبباً كافياً، في غياب أية عوامل إضافية، لكي يشكل ضرباً من ضروب المعاملة المهينة بما ينتهك أحكام</w:t>
      </w:r>
      <w:r w:rsidRPr="003E698F">
        <w:rPr>
          <w:rFonts w:hint="cs"/>
          <w:spacing w:val="0"/>
          <w:kern w:val="0"/>
          <w:sz w:val="20"/>
          <w:rtl/>
          <w:lang w:bidi="ar-SY"/>
        </w:rPr>
        <w:t xml:space="preserve"> المادة 16 من الاتفاقية</w:t>
      </w:r>
      <w:r w:rsidRPr="003E698F">
        <w:rPr>
          <w:spacing w:val="0"/>
          <w:kern w:val="0"/>
          <w:sz w:val="20"/>
          <w:szCs w:val="28"/>
          <w:vertAlign w:val="superscript"/>
          <w:rtl/>
        </w:rPr>
        <w:t>(</w:t>
      </w:r>
      <w:r w:rsidRPr="003E698F">
        <w:rPr>
          <w:spacing w:val="0"/>
          <w:kern w:val="0"/>
          <w:sz w:val="20"/>
          <w:szCs w:val="28"/>
          <w:vertAlign w:val="superscript"/>
          <w:rtl/>
        </w:rPr>
        <w:footnoteReference w:id="212"/>
      </w:r>
      <w:r w:rsidRPr="003E698F">
        <w:rPr>
          <w:spacing w:val="0"/>
          <w:kern w:val="0"/>
          <w:sz w:val="20"/>
          <w:szCs w:val="28"/>
          <w:vertAlign w:val="superscript"/>
          <w:rtl/>
        </w:rPr>
        <w:t>)</w:t>
      </w:r>
      <w:r w:rsidRPr="003E698F">
        <w:rPr>
          <w:rFonts w:hint="cs"/>
          <w:spacing w:val="0"/>
          <w:kern w:val="0"/>
          <w:sz w:val="20"/>
          <w:rtl/>
          <w:lang w:bidi="ar-SY"/>
        </w:rPr>
        <w:t>. وقد ذكر صاحب الشكوى أمام سلطات الدولة الطرف أنه يعاني من مرض السل. غير أن التقرير الطبي الصادر في 4 نيسان/أبريل 2005 يشير إلى أن العلاج الطبي ضد السل قد انتهى. وإضافة إلى ذلك، وفي حالة الانتكاس، فإن علاج هذا المرض متوفر في كينشاسا، بل ويُقدمُ مجاناً في بعض الأحيان.</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4-13</w:t>
      </w:r>
      <w:r w:rsidRPr="003E698F">
        <w:rPr>
          <w:rFonts w:hint="cs"/>
          <w:spacing w:val="0"/>
          <w:kern w:val="0"/>
          <w:sz w:val="20"/>
          <w:rtl/>
          <w:lang w:bidi="ar-SY"/>
        </w:rPr>
        <w:tab/>
        <w:t>وفيما يتعلق بالطفلين، فإن حالتهما الصحية لا يمكن وصفها بأنها خطيرة إلى درجة تعرضهما للخطر بشكل ملموس إذا ما عادا إلى بلدهما الأصلي، حسبما أشارت المحكمة الإدارية الاتحادية في قرارها المؤرخ 24 أيلول/سبتمبر 2008. وليس هناك ما يدل على أنهما يحتاجان إلى علاج قوي لا يمكن تقديمه في جمهورية الكونغو الديمقراطية في المستقبل القريب. وفي حالة عدم كفاية الدعم المالي الذي تقدمه أسرتهما في كينشاسا لمواصلة العلاجات المناسبة، فإن صاحب الشكوى يمكن أن يطلب إلى المكتب الاتحادي للهجرة المساعدة لدى العودة، ولا سيما المساعدة الفردية بهدف الحصول على تغطية لنفقات العناية الطبية لمدة زمنية ملائمة. وعلى الرغم من أنه قد تبين أن أسرة صاحب الشكوى موسرة، وأن صاحب الشكوى نفسه حاصل على تعليم جامعي، فإن المحكمة الإدارية الاتحادية تعتزم منحه مهلة للرحيل تتناسب مع متطلبات العلاج الجاري. وأفادت المحكمة الإدارية الاتحادية أيضاً بأن التصوير السلبي لحالته النفسية هو رد فعل يظهر عادة لدى الشخص الذي يُرفض طلبه الحصول على اللجوء، وأن ذلك لا يشكل عائقاً جدياً أمام تنفيذ الإبعاد.</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4-14</w:t>
      </w:r>
      <w:r w:rsidRPr="003E698F">
        <w:rPr>
          <w:rFonts w:hint="cs"/>
          <w:spacing w:val="0"/>
          <w:kern w:val="0"/>
          <w:sz w:val="20"/>
          <w:rtl/>
          <w:lang w:bidi="ar-SY"/>
        </w:rPr>
        <w:tab/>
        <w:t xml:space="preserve">وفيما يتعلق بتقرير قسم الرعاية النفسية في المدارس بمدينة زيوريخ، المؤرخ 19 تشرين الثاني/نوفمبر 2008، تتحفظ المحكمة الإدارية الاتحادية بعض </w:t>
      </w:r>
      <w:r w:rsidR="00E61B85">
        <w:rPr>
          <w:rFonts w:hint="cs"/>
          <w:spacing w:val="0"/>
          <w:kern w:val="0"/>
          <w:sz w:val="20"/>
          <w:rtl/>
          <w:lang w:bidi="ar-SY"/>
        </w:rPr>
        <w:t xml:space="preserve">الشيء على ذلك الجزء من التشخيص </w:t>
      </w:r>
      <w:r w:rsidRPr="003E698F">
        <w:rPr>
          <w:rFonts w:hint="cs"/>
          <w:spacing w:val="0"/>
          <w:kern w:val="0"/>
          <w:sz w:val="20"/>
          <w:rtl/>
          <w:lang w:bidi="ar-SY"/>
        </w:rPr>
        <w:t>الذي يفيد بأن خطر انتحار الطفلين قد يرتفع وأن ما يعانياه أصلاً من أعراض قد تفاقم</w:t>
      </w:r>
      <w:r w:rsidRPr="003E698F" w:rsidDel="00CD2F52">
        <w:rPr>
          <w:rFonts w:hint="cs"/>
          <w:spacing w:val="0"/>
          <w:kern w:val="0"/>
          <w:sz w:val="20"/>
          <w:rtl/>
          <w:lang w:bidi="ar-SY"/>
        </w:rPr>
        <w:t xml:space="preserve"> </w:t>
      </w:r>
      <w:r w:rsidRPr="003E698F">
        <w:rPr>
          <w:rFonts w:hint="cs"/>
          <w:spacing w:val="0"/>
          <w:kern w:val="0"/>
          <w:sz w:val="20"/>
          <w:rtl/>
          <w:lang w:bidi="ar-SY"/>
        </w:rPr>
        <w:t>بسبب نبأ وفاة والدة الطفلين. ويختلف تاريخ الحالة الوارد في التقرير الطبي من عدة نواح عن الاستنتاجات الوقائعية الواردة في القرارات التي دخلت حيز النفاذ للأمر المقضي به في إجراء اللجوء العادي وفي أحكام الطعن المتعلقة به، ولا يسمح التقرير بالاستنتاج بأنه قد أجريت عمليات للتحقق من ذلك. وفيما يخص الشهادة الطبية لخدمة الرعاية النفسية في المدارس التابعة لمدينة ز</w:t>
      </w:r>
      <w:r w:rsidR="00001F13">
        <w:rPr>
          <w:rFonts w:hint="cs"/>
          <w:spacing w:val="0"/>
          <w:kern w:val="0"/>
          <w:sz w:val="20"/>
          <w:rtl/>
          <w:lang w:bidi="ar-SY"/>
        </w:rPr>
        <w:t>ي</w:t>
      </w:r>
      <w:r w:rsidRPr="003E698F">
        <w:rPr>
          <w:rFonts w:hint="cs"/>
          <w:spacing w:val="0"/>
          <w:kern w:val="0"/>
          <w:sz w:val="20"/>
          <w:rtl/>
          <w:lang w:bidi="ar-SY"/>
        </w:rPr>
        <w:t>وريخ، المؤرخة 30 أيلول/سبتمبر 2008، والتي عرضها صاحب الشكوى على اللجنة، فإنها لا تتضمن عناصر جديدة بالنسبة إلى الشهادات السابقة لهذه الخدمة، وهي شهادات نظرت فيها المحكمة الإدارية الاتحادية على النحو الواجب ووضعتها في الاعتبار في حكمها الصادر في 17 حزيران/يونيه 2009. وأخيراً، فإنه في حال طرد الطفلين إلى جمهورية الكونغو الديمقراطية فإنهما سيطردان بمعية والدهما، وبالتالي فإنهما لن يكونا غير مصحوبين ومن دون مورد للدعم.</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4-15</w:t>
      </w:r>
      <w:r w:rsidRPr="003E698F">
        <w:rPr>
          <w:rFonts w:hint="cs"/>
          <w:spacing w:val="0"/>
          <w:kern w:val="0"/>
          <w:sz w:val="20"/>
          <w:rtl/>
          <w:lang w:bidi="ar-SY"/>
        </w:rPr>
        <w:tab/>
        <w:t xml:space="preserve">وتخلص الدولة الطرف إلى أنه ليس هناك ما يدل على وجود أسباب وجيهة </w:t>
      </w:r>
      <w:r w:rsidRPr="003E698F">
        <w:rPr>
          <w:rFonts w:hint="cs"/>
          <w:spacing w:val="0"/>
          <w:kern w:val="0"/>
          <w:sz w:val="20"/>
          <w:rtl/>
          <w:lang/>
        </w:rPr>
        <w:t xml:space="preserve">تدعو إلى التخوف من تعرض صاحب الشكوى وطفليه بصورة حقيقية وشخصية لخطر التعذيب لدى عودتهم </w:t>
      </w:r>
      <w:r w:rsidRPr="003E698F">
        <w:rPr>
          <w:rFonts w:hint="cs"/>
          <w:spacing w:val="0"/>
          <w:kern w:val="0"/>
          <w:sz w:val="20"/>
          <w:rtl/>
          <w:lang w:bidi="ar-SY"/>
        </w:rPr>
        <w:t>إلى جمهورية الكونغو الديمقراطية.</w:t>
      </w:r>
    </w:p>
    <w:p w:rsidR="00921F02" w:rsidRPr="003E698F" w:rsidRDefault="00921F02" w:rsidP="00921F02">
      <w:pPr>
        <w:pStyle w:val="H23GA"/>
        <w:jc w:val="lowKashida"/>
        <w:rPr>
          <w:rFonts w:hint="cs"/>
          <w:spacing w:val="0"/>
          <w:kern w:val="0"/>
          <w:sz w:val="20"/>
          <w:rtl/>
          <w:lang w:bidi="ar-SY"/>
        </w:rPr>
      </w:pPr>
      <w:r w:rsidRPr="003E698F">
        <w:rPr>
          <w:rFonts w:hint="cs"/>
          <w:spacing w:val="0"/>
          <w:kern w:val="0"/>
          <w:sz w:val="20"/>
          <w:rtl/>
          <w:lang w:bidi="ar-SY"/>
        </w:rPr>
        <w:tab/>
      </w:r>
      <w:r w:rsidRPr="003E698F">
        <w:rPr>
          <w:rFonts w:hint="cs"/>
          <w:spacing w:val="0"/>
          <w:kern w:val="0"/>
          <w:sz w:val="20"/>
          <w:rtl/>
          <w:lang w:bidi="ar-SY"/>
        </w:rPr>
        <w:tab/>
        <w:t>معلومات إضافية مقدمة من صاحب الشكوى</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5-1</w:t>
      </w:r>
      <w:r w:rsidRPr="003E698F">
        <w:rPr>
          <w:rFonts w:hint="cs"/>
          <w:spacing w:val="0"/>
          <w:kern w:val="0"/>
          <w:sz w:val="20"/>
          <w:rtl/>
          <w:lang w:bidi="ar-SY"/>
        </w:rPr>
        <w:tab/>
        <w:t>يشير صاحب الشكوى إلى أن سبل الانتصاف المحلية قد استُنفدت، في 17 أيار مايو و8 حزيران/يونيه 2010، وإلى أنه لا يوجد بالتالي أي عائق يحول دون إمكانية قبول</w:t>
      </w:r>
      <w:r w:rsidRPr="003E698F">
        <w:rPr>
          <w:rFonts w:hint="eastAsia"/>
          <w:spacing w:val="0"/>
          <w:kern w:val="0"/>
          <w:sz w:val="20"/>
          <w:rtl/>
          <w:lang w:bidi="ar-SY"/>
        </w:rPr>
        <w:t> </w:t>
      </w:r>
      <w:r w:rsidRPr="003E698F">
        <w:rPr>
          <w:rFonts w:hint="cs"/>
          <w:spacing w:val="0"/>
          <w:kern w:val="0"/>
          <w:sz w:val="20"/>
          <w:rtl/>
          <w:lang w:bidi="ar-SY"/>
        </w:rPr>
        <w:t>الشكوى.</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5-2</w:t>
      </w:r>
      <w:r w:rsidRPr="003E698F">
        <w:rPr>
          <w:rFonts w:hint="cs"/>
          <w:spacing w:val="0"/>
          <w:kern w:val="0"/>
          <w:sz w:val="20"/>
          <w:rtl/>
          <w:lang w:bidi="ar-SY"/>
        </w:rPr>
        <w:tab/>
        <w:t>ويشير صاحب الشكوى إلى أنه في أعقاب رفض طلب اللجوء الذي قدمه، فإنه شرع في إجراءات طلب تصريح إقامة لأسباب إنسانية بموجب الفقرة 2 من المادة</w:t>
      </w:r>
      <w:r w:rsidRPr="003E698F">
        <w:rPr>
          <w:rFonts w:hint="eastAsia"/>
          <w:spacing w:val="0"/>
          <w:kern w:val="0"/>
          <w:sz w:val="20"/>
          <w:rtl/>
          <w:lang w:bidi="ar-SY"/>
        </w:rPr>
        <w:t> </w:t>
      </w:r>
      <w:r w:rsidRPr="003E698F">
        <w:rPr>
          <w:rFonts w:hint="cs"/>
          <w:spacing w:val="0"/>
          <w:kern w:val="0"/>
          <w:sz w:val="20"/>
          <w:rtl/>
          <w:lang w:bidi="ar-SY"/>
        </w:rPr>
        <w:t xml:space="preserve">14 من قانون اللجوء السويسري. </w:t>
      </w:r>
      <w:r w:rsidRPr="003E698F">
        <w:rPr>
          <w:rFonts w:hint="cs"/>
          <w:spacing w:val="0"/>
          <w:kern w:val="0"/>
          <w:sz w:val="20"/>
          <w:rtl/>
        </w:rPr>
        <w:t xml:space="preserve">وقد </w:t>
      </w:r>
      <w:r w:rsidRPr="003E698F">
        <w:rPr>
          <w:rFonts w:hint="cs"/>
          <w:spacing w:val="0"/>
          <w:kern w:val="0"/>
          <w:sz w:val="20"/>
          <w:rtl/>
          <w:lang w:bidi="ar-SY"/>
        </w:rPr>
        <w:t>قوبل هذا الطلب بالرفض هو الآخر. ويوجه صاحب الشكوى انتقادات لسياسة اللجوء التي يتبعها كانتون زيوريخ لأنها تستهدف، في نظره، إثناء جميع طالبي اللجوء عن تسوية إقامتهم تسوية قانونية. ويستشهد صاحب الشكوى باندماجه الجيد في المجتمع حيث إنه يتقن اللغة الألمانية وحصل على عرض عمل وألحق طفليه بالمدرسة.</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5-3</w:t>
      </w:r>
      <w:r w:rsidRPr="003E698F">
        <w:rPr>
          <w:rFonts w:hint="cs"/>
          <w:spacing w:val="0"/>
          <w:kern w:val="0"/>
          <w:sz w:val="20"/>
          <w:rtl/>
          <w:lang w:bidi="ar-SY"/>
        </w:rPr>
        <w:tab/>
        <w:t>ويخشى صاحب الشكوى من أن تؤدي الانتخابات الرئاسية المقرر إجراؤها في جمهورية الكونغو الديمقراطية في 28 تشرين الثاني/نوفمبر 2011، التي قد تسفر عن إعادة انتخاب جوزيف كابيلا وهو من أصل رواندي، إلى تأجيج حدة التوترات مرة أخرى بين الجماعتين الإثنيتين مع ما نطوي عليه ذلك من احتمالات التعرض للتعذيب بل والاعتداء على الأرواح، ولا سيما فيما يتصل به وبطفليه.</w:t>
      </w:r>
    </w:p>
    <w:p w:rsidR="00921F02" w:rsidRPr="003E698F" w:rsidRDefault="00921F02" w:rsidP="00921F02">
      <w:pPr>
        <w:pStyle w:val="H23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تعليق</w:t>
      </w:r>
      <w:r w:rsidRPr="003E698F">
        <w:rPr>
          <w:rFonts w:hint="cs"/>
          <w:spacing w:val="0"/>
          <w:kern w:val="0"/>
          <w:sz w:val="20"/>
          <w:rtl/>
        </w:rPr>
        <w:t xml:space="preserve">ات صاحب الشكوى على ملاحظات الدولة الطرف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6-1</w:t>
      </w:r>
      <w:r w:rsidRPr="003E698F">
        <w:rPr>
          <w:rFonts w:hint="cs"/>
          <w:spacing w:val="0"/>
          <w:kern w:val="0"/>
          <w:sz w:val="20"/>
          <w:rtl/>
        </w:rPr>
        <w:tab/>
        <w:t>يرفض صاحب الشكوى في تعليقاته المؤرخة 18 آب/أغسطس 2011 ادعاءات الدولة الطرف التي تفيد بأن سكان كينشاسا يعتبرون النزاع الذي يدور في شرق جمهورية الكونغو الديمقراطية نزاعاً بين النخب الإثنية. ويذّكر صاحب الشكوى بأن الإثنيات، مثل إثنية نداد أو باشي أو الهيما ليست لديهم نخب. وإضافة إلى ذلك، فإن المجازر التي تعرض لها السكان واغتصاب النساء ليست حكراً على النخب الإثنية.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6-2</w:t>
      </w:r>
      <w:r w:rsidRPr="003E698F">
        <w:rPr>
          <w:rFonts w:hint="cs"/>
          <w:spacing w:val="0"/>
          <w:kern w:val="0"/>
          <w:sz w:val="20"/>
          <w:rtl/>
        </w:rPr>
        <w:tab/>
        <w:t xml:space="preserve">وفيما يتعلق بالأنشطة السياسية التي يضطلع بها صاحب الشكوى، فإنه يشير إلى أنه كان عضواً نشطاً داخل تحالف الوطنيين من أجل إصلاح الكونغو. ويمكن أن يؤكد رئيس هذا التنظيم في سويسرا مشاركته. ويضيف صاحب الشكوى أنه تحدث عدة مرات على راديو تشيوندو الذي يبث عبر الإنترنت مما عّرف بنشاطه السياسي في سويسرا. </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rPr>
        <w:t>6-3</w:t>
      </w:r>
      <w:r w:rsidRPr="003E698F">
        <w:rPr>
          <w:rFonts w:hint="cs"/>
          <w:spacing w:val="0"/>
          <w:kern w:val="0"/>
          <w:sz w:val="20"/>
          <w:rtl/>
        </w:rPr>
        <w:tab/>
        <w:t>وفيما يتعلق باستنتاجات السفارة السويسرية التي تفيد بالتشكيك في أصوله التوتسية، يدفع صاحب الشكوى بأن</w:t>
      </w:r>
      <w:r w:rsidRPr="003E698F">
        <w:rPr>
          <w:rFonts w:hint="cs"/>
          <w:spacing w:val="0"/>
          <w:kern w:val="0"/>
          <w:sz w:val="20"/>
          <w:rtl/>
          <w:lang w:bidi="ar-SY"/>
        </w:rPr>
        <w:t xml:space="preserve"> معظم السكان في منطقة كينشاسا غير قادرين على التمييز بين الهوتو والتوتسي، ولذلك فإن العنصر الرئيسي الذي يستندون إليه ببساطة هو الجنسية</w:t>
      </w:r>
      <w:r w:rsidRPr="003E698F">
        <w:rPr>
          <w:rFonts w:hint="eastAsia"/>
          <w:spacing w:val="0"/>
          <w:kern w:val="0"/>
          <w:sz w:val="20"/>
          <w:rtl/>
          <w:lang w:bidi="ar-SY"/>
        </w:rPr>
        <w:t> </w:t>
      </w:r>
      <w:r w:rsidRPr="003E698F">
        <w:rPr>
          <w:rFonts w:hint="cs"/>
          <w:spacing w:val="0"/>
          <w:kern w:val="0"/>
          <w:sz w:val="20"/>
          <w:rtl/>
          <w:lang w:bidi="ar-SY"/>
        </w:rPr>
        <w:t>الرواندية.</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6-4</w:t>
      </w:r>
      <w:r w:rsidRPr="003E698F">
        <w:rPr>
          <w:rFonts w:hint="cs"/>
          <w:spacing w:val="0"/>
          <w:kern w:val="0"/>
          <w:sz w:val="20"/>
          <w:rtl/>
          <w:lang w:bidi="ar-SY"/>
        </w:rPr>
        <w:tab/>
        <w:t>ويدعي صاحب الشكوى أن السلطات السويسرية لم تستفسر قط عن ملابسات وفاة زوجته، فموتها لم يكن لأسباب طبيعية وإنما ماتت مقتولة. وعلى العكس من أقوال الدولة الطرف، فإن التهديدات التي تعرّض لها في جمهورية الكونغو الديمقراطية كانت أكثر من "مضايقات" لأن أي شخص تحدد هويته كرواندي يمكنه أن يموت ميتة أليمة.</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6-5</w:t>
      </w:r>
      <w:r w:rsidRPr="003E698F">
        <w:rPr>
          <w:rFonts w:hint="cs"/>
          <w:spacing w:val="0"/>
          <w:kern w:val="0"/>
          <w:sz w:val="20"/>
          <w:rtl/>
          <w:lang w:bidi="ar-SY"/>
        </w:rPr>
        <w:tab/>
        <w:t>ويذكر صاحب الشكوى أيضاً بتشكيك الدولة الطرف في مصداقيته. ويتطرق إلى عنوانه في كينشاسا الذي يؤكده وإلى معرفته بأصوله الرواندية وطفولته التي أمضاها بعيداً عن كينشاسا. وفيما يتعلق باحتجازه على أيدي الميليشيات، يشير صاحب الشكوى إلى أنه قد احتُجز في كوخ طيني لعدم وجود سجن لدى الميليشيات.</w:t>
      </w:r>
    </w:p>
    <w:p w:rsidR="00921F02" w:rsidRPr="003E698F" w:rsidRDefault="00921F02" w:rsidP="00921F02">
      <w:pPr>
        <w:pStyle w:val="SingleTxtGA"/>
        <w:jc w:val="lowKashida"/>
        <w:rPr>
          <w:rFonts w:hint="cs"/>
          <w:spacing w:val="0"/>
          <w:kern w:val="0"/>
          <w:sz w:val="20"/>
          <w:rtl/>
          <w:lang w:bidi="ar-SY"/>
        </w:rPr>
      </w:pPr>
      <w:r w:rsidRPr="003E698F">
        <w:rPr>
          <w:rFonts w:hint="cs"/>
          <w:spacing w:val="0"/>
          <w:kern w:val="0"/>
          <w:sz w:val="20"/>
          <w:rtl/>
          <w:lang w:bidi="ar-SY"/>
        </w:rPr>
        <w:t>6-6</w:t>
      </w:r>
      <w:r w:rsidRPr="003E698F">
        <w:rPr>
          <w:rFonts w:hint="cs"/>
          <w:spacing w:val="0"/>
          <w:kern w:val="0"/>
          <w:sz w:val="20"/>
          <w:rtl/>
          <w:lang w:bidi="ar-SY"/>
        </w:rPr>
        <w:tab/>
        <w:t xml:space="preserve">ويأسف صاحب الشكوى لقلة ثقة السلطات السويسرية في أقوال طفليه، ويستنكر عدم التحقق من ادعاءاتهما. ويرى صاحب الشكوى أن من المتوقع ألا يتّذكر الأطفال بدقة بعض التواريخ كتاريخ الدخول إلى مركز مؤسسة إعادة تأهيل أطفال الشوارع وحمايتهم وتاريخ الخروج منه. وفي الختام، يرفض صاحب الشكوى الحجة التي ساقتها الدولة الطرف بأن طفليه يمكن أن يخضعا لعلاج طبي مناسب في جمهورية الكونغو الديمقراطية. ويشير صاحب الشكوى أخيراً إلى أن مرض السل قد انتقل إليه في ذلك الوقت أثناء احتجازه، وهو ما يثبت ماضيه العسير في جمهورية الكونغو الديمقراطية. </w:t>
      </w:r>
    </w:p>
    <w:p w:rsidR="00921F02" w:rsidRPr="003E698F" w:rsidRDefault="00921F02" w:rsidP="00921F02">
      <w:pPr>
        <w:pStyle w:val="H23GA"/>
        <w:jc w:val="lowKashida"/>
        <w:rPr>
          <w:rFonts w:hint="cs"/>
          <w:spacing w:val="0"/>
          <w:kern w:val="0"/>
          <w:sz w:val="20"/>
          <w:rtl/>
          <w:lang w:bidi="ar-SY"/>
        </w:rPr>
      </w:pPr>
      <w:r w:rsidRPr="003E698F">
        <w:rPr>
          <w:rFonts w:hint="cs"/>
          <w:spacing w:val="0"/>
          <w:kern w:val="0"/>
          <w:sz w:val="20"/>
          <w:rtl/>
        </w:rPr>
        <w:tab/>
      </w:r>
      <w:r w:rsidRPr="003E698F">
        <w:rPr>
          <w:rFonts w:hint="cs"/>
          <w:spacing w:val="0"/>
          <w:kern w:val="0"/>
          <w:sz w:val="20"/>
          <w:rtl/>
        </w:rPr>
        <w:tab/>
      </w:r>
      <w:r w:rsidRPr="003E698F">
        <w:rPr>
          <w:spacing w:val="0"/>
          <w:kern w:val="0"/>
          <w:sz w:val="20"/>
          <w:rtl/>
        </w:rPr>
        <w:t xml:space="preserve">المسائل والإجراءات </w:t>
      </w:r>
      <w:r w:rsidRPr="003E698F">
        <w:rPr>
          <w:rFonts w:hint="cs"/>
          <w:spacing w:val="0"/>
          <w:kern w:val="0"/>
          <w:sz w:val="20"/>
          <w:rtl/>
        </w:rPr>
        <w:t>المعروضة على</w:t>
      </w:r>
      <w:r w:rsidRPr="003E698F">
        <w:rPr>
          <w:spacing w:val="0"/>
          <w:kern w:val="0"/>
          <w:sz w:val="20"/>
          <w:rtl/>
        </w:rPr>
        <w:t xml:space="preserve"> اللجنة</w:t>
      </w:r>
    </w:p>
    <w:p w:rsidR="00921F02" w:rsidRPr="003E698F" w:rsidRDefault="00921F02" w:rsidP="00921F02">
      <w:pPr>
        <w:pStyle w:val="H4GA"/>
        <w:jc w:val="lowKashida"/>
        <w:rPr>
          <w:rFonts w:hint="cs"/>
          <w:spacing w:val="0"/>
          <w:kern w:val="0"/>
          <w:sz w:val="20"/>
          <w:rtl/>
          <w:lang w:bidi="ar-SY"/>
        </w:rPr>
      </w:pPr>
      <w:r w:rsidRPr="003E698F">
        <w:rPr>
          <w:rFonts w:hint="cs"/>
          <w:spacing w:val="0"/>
          <w:kern w:val="0"/>
          <w:sz w:val="20"/>
          <w:rtl/>
          <w:lang w:bidi="ar-SY"/>
        </w:rPr>
        <w:tab/>
      </w:r>
      <w:r w:rsidRPr="003E698F">
        <w:rPr>
          <w:rFonts w:hint="cs"/>
          <w:spacing w:val="0"/>
          <w:kern w:val="0"/>
          <w:sz w:val="20"/>
          <w:rtl/>
          <w:lang w:bidi="ar-SY"/>
        </w:rPr>
        <w:tab/>
        <w:t>النظر في المقبولية</w:t>
      </w:r>
    </w:p>
    <w:p w:rsidR="00921F02" w:rsidRPr="001C3296" w:rsidRDefault="00921F02" w:rsidP="001C3296">
      <w:pPr>
        <w:pStyle w:val="SingleTxtGA"/>
        <w:jc w:val="lowKashida"/>
        <w:rPr>
          <w:rFonts w:hint="cs"/>
          <w:spacing w:val="-4"/>
          <w:kern w:val="0"/>
          <w:sz w:val="20"/>
          <w:rtl/>
        </w:rPr>
      </w:pPr>
      <w:r w:rsidRPr="001C3296">
        <w:rPr>
          <w:rFonts w:hint="cs"/>
          <w:spacing w:val="-4"/>
          <w:kern w:val="0"/>
          <w:sz w:val="20"/>
          <w:rtl/>
        </w:rPr>
        <w:t>7-1</w:t>
      </w:r>
      <w:r w:rsidRPr="001C3296">
        <w:rPr>
          <w:rFonts w:hint="cs"/>
          <w:spacing w:val="-4"/>
          <w:kern w:val="0"/>
          <w:sz w:val="20"/>
          <w:rtl/>
        </w:rPr>
        <w:tab/>
      </w:r>
      <w:r w:rsidR="003A2D39" w:rsidRPr="001C3296">
        <w:rPr>
          <w:spacing w:val="-4"/>
          <w:kern w:val="0"/>
          <w:sz w:val="20"/>
          <w:rtl/>
        </w:rPr>
        <w:t xml:space="preserve">قبل النظر في أية ادعاءات ترد في شكوى ما، </w:t>
      </w:r>
      <w:r w:rsidR="003A2D39" w:rsidRPr="001C3296">
        <w:rPr>
          <w:rFonts w:hint="cs"/>
          <w:spacing w:val="-4"/>
          <w:kern w:val="0"/>
          <w:sz w:val="20"/>
          <w:rtl/>
        </w:rPr>
        <w:t>يتعين</w:t>
      </w:r>
      <w:r w:rsidR="003A2D39" w:rsidRPr="001C3296">
        <w:rPr>
          <w:spacing w:val="-4"/>
          <w:kern w:val="0"/>
          <w:sz w:val="20"/>
          <w:rtl/>
        </w:rPr>
        <w:t xml:space="preserve"> على لجنة مناهضة التعذيب أن </w:t>
      </w:r>
      <w:r w:rsidR="003A2D39" w:rsidRPr="001C3296">
        <w:rPr>
          <w:rFonts w:hint="cs"/>
          <w:spacing w:val="-4"/>
          <w:kern w:val="0"/>
          <w:sz w:val="20"/>
          <w:rtl/>
        </w:rPr>
        <w:t>تبت في</w:t>
      </w:r>
      <w:r w:rsidR="003A2D39" w:rsidRPr="001C3296">
        <w:rPr>
          <w:spacing w:val="-4"/>
          <w:kern w:val="0"/>
          <w:sz w:val="20"/>
          <w:rtl/>
        </w:rPr>
        <w:t>ما إذا كانت الشكوى مقبولة أم لا</w:t>
      </w:r>
      <w:r w:rsidRPr="001C3296">
        <w:rPr>
          <w:rFonts w:hint="cs"/>
          <w:spacing w:val="-4"/>
          <w:kern w:val="0"/>
          <w:sz w:val="20"/>
          <w:rtl/>
        </w:rPr>
        <w:t xml:space="preserve"> بموجب المادة 22 من الاتفاقية. وقد تحققت اللجنـة، وفقـاً لما تقتضيـه الفقرة 5(أ) من المادة 22 من الاتفاقية، من أن المسألة نفسها لم تُبحث ولا</w:t>
      </w:r>
      <w:r w:rsidR="001C3296">
        <w:rPr>
          <w:rFonts w:hint="eastAsia"/>
          <w:spacing w:val="-4"/>
          <w:kern w:val="0"/>
          <w:sz w:val="20"/>
          <w:rtl/>
        </w:rPr>
        <w:t> </w:t>
      </w:r>
      <w:r w:rsidRPr="001C3296">
        <w:rPr>
          <w:rFonts w:hint="cs"/>
          <w:spacing w:val="-4"/>
          <w:kern w:val="0"/>
          <w:sz w:val="20"/>
          <w:rtl/>
        </w:rPr>
        <w:t xml:space="preserve">يجري بحثها في إطار أي إجراء آخر من إجراءات التحقيق الدولي أو التسوية الدولية. </w:t>
      </w:r>
    </w:p>
    <w:p w:rsidR="00921F02" w:rsidRPr="006B679F" w:rsidRDefault="00921F02" w:rsidP="006B679F">
      <w:pPr>
        <w:pStyle w:val="SingleTxtGA"/>
        <w:jc w:val="lowKashida"/>
        <w:rPr>
          <w:rFonts w:hint="cs"/>
          <w:spacing w:val="0"/>
          <w:kern w:val="0"/>
          <w:sz w:val="20"/>
          <w:rtl/>
        </w:rPr>
      </w:pPr>
      <w:r w:rsidRPr="006B679F">
        <w:rPr>
          <w:rFonts w:hint="cs"/>
          <w:spacing w:val="-2"/>
          <w:kern w:val="0"/>
          <w:sz w:val="20"/>
          <w:rtl/>
        </w:rPr>
        <w:t>7-2</w:t>
      </w:r>
      <w:r w:rsidRPr="006B679F">
        <w:rPr>
          <w:rFonts w:hint="cs"/>
          <w:spacing w:val="-2"/>
          <w:kern w:val="0"/>
          <w:sz w:val="20"/>
          <w:rtl/>
        </w:rPr>
        <w:tab/>
        <w:t xml:space="preserve">وتلاحظ اللجنة كذلك أن سبل الانتصاف المحلية قد استُنفدت بموجب </w:t>
      </w:r>
      <w:r w:rsidRPr="006B679F">
        <w:rPr>
          <w:spacing w:val="-2"/>
          <w:kern w:val="0"/>
          <w:sz w:val="20"/>
          <w:rtl/>
        </w:rPr>
        <w:t xml:space="preserve">الفقرة 5(ب) من المادة 22 </w:t>
      </w:r>
      <w:r w:rsidRPr="006B679F">
        <w:rPr>
          <w:rFonts w:hint="cs"/>
          <w:spacing w:val="-2"/>
          <w:kern w:val="0"/>
          <w:sz w:val="20"/>
          <w:rtl/>
        </w:rPr>
        <w:t>فيما يتعلق بالادعاءات الواردة في البلاغ الأصلي المعروض على اللجنة.</w:t>
      </w:r>
      <w:r w:rsidRPr="006B679F">
        <w:rPr>
          <w:rFonts w:hint="cs"/>
          <w:spacing w:val="0"/>
          <w:kern w:val="0"/>
          <w:sz w:val="20"/>
          <w:rtl/>
        </w:rPr>
        <w:t xml:space="preserve"> وفي</w:t>
      </w:r>
      <w:r w:rsidR="006B679F">
        <w:rPr>
          <w:rFonts w:hint="eastAsia"/>
          <w:spacing w:val="0"/>
          <w:kern w:val="0"/>
          <w:sz w:val="20"/>
          <w:rtl/>
        </w:rPr>
        <w:t> </w:t>
      </w:r>
      <w:r w:rsidRPr="006B679F">
        <w:rPr>
          <w:rFonts w:hint="cs"/>
          <w:spacing w:val="0"/>
          <w:kern w:val="0"/>
          <w:sz w:val="20"/>
          <w:rtl/>
        </w:rPr>
        <w:t>الواقع، على الرغم من أن الدولة الطرف قد اعترضت في البداية على مقبولية الشكوى لعدم استنفاد سبل الانتصاف المحلية</w:t>
      </w:r>
      <w:r w:rsidRPr="006B679F">
        <w:rPr>
          <w:spacing w:val="0"/>
          <w:kern w:val="0"/>
          <w:sz w:val="20"/>
          <w:rtl/>
        </w:rPr>
        <w:t xml:space="preserve">، </w:t>
      </w:r>
      <w:r w:rsidRPr="006B679F">
        <w:rPr>
          <w:rFonts w:hint="cs"/>
          <w:spacing w:val="0"/>
          <w:kern w:val="0"/>
          <w:sz w:val="20"/>
          <w:rtl/>
        </w:rPr>
        <w:t xml:space="preserve">فإن هذه السبل المتاحة قد استنفدت فيما بعد، وأقرّت الدولة الطرف بمقبولية الشكوى. بيد أنه فيما يتعلق بادعاء صاحب الشكوى الذي يفيد بأنه كان عضواً نشطاً في تحالف الوطنيين من أجل إصلاح الكونغو، وهو ما عرّف بنشاطه السياسي في سويسرا، تشير اللجنة إلى أن صاحب الشكوى قدمه للمرة الأولى في مرحلة تعليقاته على ملاحظات الدولة الطرف. ولذلك، فإن اللجنة تلاحظ أن الفرصة لم تتح للدولة الطرف لكي تعلّق على هذا الادعاء الذي لم يذكر أيضاً أمام سلطات القضاء المحلية كعنصر يعرّض صاحب الشكوى للتعذيب إذا ما عاد إلى جمهورية الكونغو الديمقراطية. وبالنظر إلى ما تقدم تعتبر اللجنة أن هذا الجزء من البلاغ غير مقبول بموجب الفقرة 5(ب) من المادة 22 من الاتفاقية. </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7-3</w:t>
      </w:r>
      <w:r w:rsidRPr="003E698F">
        <w:rPr>
          <w:rFonts w:hint="cs"/>
          <w:spacing w:val="0"/>
          <w:kern w:val="0"/>
          <w:sz w:val="20"/>
          <w:rtl/>
        </w:rPr>
        <w:tab/>
        <w:t>وفيما يتعلق بالادعاءات الأخرى المقدمة بموجب المادة 3 من الاتفاقية، تعلن اللجنة أنها مقبولة وتنتقل بالتالي إلى النظر في الأسس الموضوعية للبلاغ.</w:t>
      </w:r>
    </w:p>
    <w:p w:rsidR="00921F02" w:rsidRPr="003E698F" w:rsidRDefault="00921F02" w:rsidP="00921F02">
      <w:pPr>
        <w:pStyle w:val="H4GA"/>
        <w:jc w:val="lowKashida"/>
        <w:rPr>
          <w:rFonts w:hint="cs"/>
          <w:spacing w:val="0"/>
          <w:kern w:val="0"/>
          <w:sz w:val="20"/>
          <w:rtl/>
        </w:rPr>
      </w:pPr>
      <w:r w:rsidRPr="003E698F">
        <w:rPr>
          <w:rFonts w:hint="cs"/>
          <w:spacing w:val="0"/>
          <w:kern w:val="0"/>
          <w:sz w:val="20"/>
          <w:rtl/>
        </w:rPr>
        <w:tab/>
      </w:r>
      <w:r w:rsidRPr="003E698F">
        <w:rPr>
          <w:rFonts w:hint="cs"/>
          <w:spacing w:val="0"/>
          <w:kern w:val="0"/>
          <w:sz w:val="20"/>
          <w:rtl/>
        </w:rPr>
        <w:tab/>
        <w:t>النظر في الأسس الموضوعية</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8-1</w:t>
      </w:r>
      <w:r w:rsidRPr="003E698F">
        <w:rPr>
          <w:rFonts w:hint="cs"/>
          <w:spacing w:val="0"/>
          <w:kern w:val="0"/>
          <w:sz w:val="20"/>
          <w:rtl/>
        </w:rPr>
        <w:tab/>
      </w:r>
      <w:r w:rsidRPr="003E698F">
        <w:rPr>
          <w:spacing w:val="0"/>
          <w:kern w:val="0"/>
          <w:sz w:val="20"/>
          <w:rtl/>
        </w:rPr>
        <w:t xml:space="preserve">نظرت اللجنة في </w:t>
      </w:r>
      <w:r w:rsidRPr="003E698F">
        <w:rPr>
          <w:rFonts w:hint="cs"/>
          <w:spacing w:val="0"/>
          <w:kern w:val="0"/>
          <w:sz w:val="20"/>
          <w:rtl/>
        </w:rPr>
        <w:t xml:space="preserve">هذا </w:t>
      </w:r>
      <w:r w:rsidRPr="003E698F">
        <w:rPr>
          <w:spacing w:val="0"/>
          <w:kern w:val="0"/>
          <w:sz w:val="20"/>
          <w:rtl/>
        </w:rPr>
        <w:t xml:space="preserve">البلاغ </w:t>
      </w:r>
      <w:r w:rsidRPr="003E698F">
        <w:rPr>
          <w:rFonts w:hint="cs"/>
          <w:spacing w:val="0"/>
          <w:kern w:val="0"/>
          <w:sz w:val="20"/>
          <w:rtl/>
        </w:rPr>
        <w:t>في ضوء</w:t>
      </w:r>
      <w:r w:rsidRPr="003E698F">
        <w:rPr>
          <w:spacing w:val="0"/>
          <w:kern w:val="0"/>
          <w:sz w:val="20"/>
          <w:rtl/>
        </w:rPr>
        <w:t xml:space="preserve"> جميع المعلومات التي </w:t>
      </w:r>
      <w:r w:rsidRPr="003E698F">
        <w:rPr>
          <w:rFonts w:hint="cs"/>
          <w:spacing w:val="0"/>
          <w:kern w:val="0"/>
          <w:sz w:val="20"/>
          <w:rtl/>
        </w:rPr>
        <w:t xml:space="preserve">أتاحها لها </w:t>
      </w:r>
      <w:r w:rsidRPr="003E698F">
        <w:rPr>
          <w:spacing w:val="0"/>
          <w:kern w:val="0"/>
          <w:sz w:val="20"/>
          <w:rtl/>
        </w:rPr>
        <w:t>الطرفان، وفقاً لأحكام الفقرة 4 من المادة 22 من الاتفاقية</w:t>
      </w:r>
      <w:r w:rsidRPr="003E698F">
        <w:rPr>
          <w:rFonts w:hint="cs"/>
          <w:spacing w:val="0"/>
          <w:kern w:val="0"/>
          <w:sz w:val="20"/>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8-2</w:t>
      </w:r>
      <w:r w:rsidRPr="003E698F">
        <w:rPr>
          <w:rFonts w:hint="cs"/>
          <w:spacing w:val="0"/>
          <w:kern w:val="0"/>
          <w:sz w:val="20"/>
          <w:rtl/>
        </w:rPr>
        <w:tab/>
        <w:t>وعلى اللجنة أن تبت فيما إذا كان طرد صاحب الشكوى وطفليه إلى جمهورية الكونغو الديمقراطية يشكل انتهاكاً لالتزام الدولة الطرف بموجب المادة 3 من الاتفاقية التي تنص على عدم طرد أو إعادة شخص إلى دولة أخرى لديها أسباب حقيقية تدعو إلى الاعتقاد بأنه سيتعرض لخطر التعذيب.</w:t>
      </w:r>
    </w:p>
    <w:p w:rsidR="00921F02" w:rsidRPr="00772699" w:rsidRDefault="00921F02" w:rsidP="00921F02">
      <w:pPr>
        <w:pStyle w:val="SingleTxtGA"/>
        <w:jc w:val="lowKashida"/>
        <w:rPr>
          <w:rFonts w:hint="cs"/>
          <w:spacing w:val="-2"/>
          <w:kern w:val="0"/>
          <w:sz w:val="20"/>
          <w:rtl/>
        </w:rPr>
      </w:pPr>
      <w:r w:rsidRPr="00772699">
        <w:rPr>
          <w:rFonts w:hint="cs"/>
          <w:spacing w:val="-2"/>
          <w:kern w:val="0"/>
          <w:sz w:val="20"/>
          <w:rtl/>
        </w:rPr>
        <w:t>8-3</w:t>
      </w:r>
      <w:r w:rsidRPr="00772699">
        <w:rPr>
          <w:rFonts w:hint="cs"/>
          <w:spacing w:val="-2"/>
          <w:kern w:val="0"/>
          <w:sz w:val="20"/>
          <w:rtl/>
        </w:rPr>
        <w:tab/>
        <w:t>وفيما يتعلق بادعاءات صاحب الشكوى التي قدمها بالأصالة عن نفسه وبالنيابة عن طفليه بموجب المادة</w:t>
      </w:r>
      <w:r w:rsidRPr="00772699">
        <w:rPr>
          <w:rFonts w:hint="eastAsia"/>
          <w:spacing w:val="-2"/>
          <w:kern w:val="0"/>
          <w:sz w:val="20"/>
          <w:rtl/>
        </w:rPr>
        <w:t> </w:t>
      </w:r>
      <w:r w:rsidRPr="00772699">
        <w:rPr>
          <w:rFonts w:hint="cs"/>
          <w:spacing w:val="-2"/>
          <w:kern w:val="0"/>
          <w:sz w:val="20"/>
          <w:rtl/>
        </w:rPr>
        <w:t>3، ينبغي أن تراعي اللجنة جميع العناصر، بما في ذلك وجود نمط ثابت من الانتهاكات الفادحة</w:t>
      </w:r>
      <w:r w:rsidRPr="00772699">
        <w:rPr>
          <w:spacing w:val="-2"/>
          <w:kern w:val="0"/>
          <w:sz w:val="20"/>
          <w:rtl/>
        </w:rPr>
        <w:t xml:space="preserve"> أو الصارخة أو الجماعية</w:t>
      </w:r>
      <w:r w:rsidRPr="00772699">
        <w:rPr>
          <w:rFonts w:hint="cs"/>
          <w:spacing w:val="-2"/>
          <w:kern w:val="0"/>
          <w:sz w:val="20"/>
          <w:rtl/>
        </w:rPr>
        <w:t xml:space="preserve"> </w:t>
      </w:r>
      <w:r w:rsidRPr="00772699">
        <w:rPr>
          <w:spacing w:val="-2"/>
          <w:kern w:val="0"/>
          <w:sz w:val="20"/>
          <w:rtl/>
        </w:rPr>
        <w:t>لحقوق الإنسان</w:t>
      </w:r>
      <w:r w:rsidRPr="00772699">
        <w:rPr>
          <w:rFonts w:hint="cs"/>
          <w:spacing w:val="-2"/>
          <w:kern w:val="0"/>
          <w:sz w:val="20"/>
          <w:rtl/>
        </w:rPr>
        <w:t xml:space="preserve"> في الدولة التي سيرحّل إليها. بيد أن الغرض هو إثبات ما إذا كان صاحب الشكوى وطفلاه سيواجهون شخصياً خطر التعّرض للتعذيب في جمهورية الكونغو الديمقراطية أم لا. ومن ثم، فإن وجود </w:t>
      </w:r>
      <w:r w:rsidRPr="00772699">
        <w:rPr>
          <w:spacing w:val="-2"/>
          <w:kern w:val="0"/>
          <w:sz w:val="20"/>
          <w:rtl/>
        </w:rPr>
        <w:t xml:space="preserve">نمط ثابت من الانتهاكات </w:t>
      </w:r>
      <w:r w:rsidRPr="00772699">
        <w:rPr>
          <w:rFonts w:hint="cs"/>
          <w:spacing w:val="-2"/>
          <w:kern w:val="0"/>
          <w:sz w:val="20"/>
          <w:rtl/>
        </w:rPr>
        <w:t>الفادحة</w:t>
      </w:r>
      <w:r w:rsidRPr="00772699">
        <w:rPr>
          <w:spacing w:val="-2"/>
          <w:kern w:val="0"/>
          <w:sz w:val="20"/>
          <w:rtl/>
        </w:rPr>
        <w:t xml:space="preserve"> أو الصارخة أو الجماعية</w:t>
      </w:r>
      <w:r w:rsidRPr="00772699">
        <w:rPr>
          <w:rFonts w:hint="cs"/>
          <w:spacing w:val="-2"/>
          <w:kern w:val="0"/>
          <w:sz w:val="20"/>
          <w:rtl/>
        </w:rPr>
        <w:t xml:space="preserve"> </w:t>
      </w:r>
      <w:r w:rsidRPr="00772699">
        <w:rPr>
          <w:spacing w:val="-2"/>
          <w:kern w:val="0"/>
          <w:sz w:val="20"/>
          <w:rtl/>
        </w:rPr>
        <w:t>لحقوق الإنسان</w:t>
      </w:r>
      <w:r w:rsidRPr="00772699">
        <w:rPr>
          <w:rFonts w:hint="cs"/>
          <w:spacing w:val="-2"/>
          <w:kern w:val="0"/>
          <w:sz w:val="20"/>
          <w:rtl/>
        </w:rPr>
        <w:t xml:space="preserve"> في البلد لا يشكل في حد ذاته سبباً كافياً لإثبات أنهم سيواجهون خطر التعّرض للتعذيب عند طردهم إلى هذا البلد، بل يجب أن تكون هناك أسباب إضافية تفيد بأن الأشخاص المعنيين سيتعرضون للخطر شخصياً</w:t>
      </w:r>
      <w:r w:rsidRPr="00772699">
        <w:rPr>
          <w:spacing w:val="-2"/>
          <w:kern w:val="0"/>
          <w:sz w:val="20"/>
          <w:szCs w:val="28"/>
          <w:vertAlign w:val="superscript"/>
          <w:rtl/>
        </w:rPr>
        <w:t>(</w:t>
      </w:r>
      <w:r w:rsidRPr="00772699">
        <w:rPr>
          <w:spacing w:val="-2"/>
          <w:kern w:val="0"/>
          <w:sz w:val="20"/>
          <w:szCs w:val="28"/>
          <w:vertAlign w:val="superscript"/>
          <w:rtl/>
        </w:rPr>
        <w:footnoteReference w:id="213"/>
      </w:r>
      <w:r w:rsidRPr="00772699">
        <w:rPr>
          <w:spacing w:val="-2"/>
          <w:kern w:val="0"/>
          <w:sz w:val="20"/>
          <w:szCs w:val="28"/>
          <w:vertAlign w:val="superscript"/>
          <w:rtl/>
        </w:rPr>
        <w:t>)</w:t>
      </w:r>
      <w:r w:rsidRPr="00772699">
        <w:rPr>
          <w:rFonts w:hint="cs"/>
          <w:spacing w:val="-2"/>
          <w:kern w:val="0"/>
          <w:sz w:val="20"/>
          <w:rtl/>
        </w:rPr>
        <w:t>.</w:t>
      </w:r>
    </w:p>
    <w:p w:rsidR="00921F02" w:rsidRPr="003E698F" w:rsidRDefault="00921F02" w:rsidP="00921F02">
      <w:pPr>
        <w:pStyle w:val="SingleTxtGA"/>
        <w:jc w:val="lowKashida"/>
        <w:rPr>
          <w:rFonts w:hint="cs"/>
          <w:spacing w:val="0"/>
          <w:kern w:val="0"/>
          <w:sz w:val="20"/>
          <w:rtl/>
        </w:rPr>
      </w:pPr>
      <w:r w:rsidRPr="003E698F">
        <w:rPr>
          <w:rFonts w:hint="cs"/>
          <w:spacing w:val="0"/>
          <w:kern w:val="0"/>
          <w:sz w:val="20"/>
          <w:rtl/>
        </w:rPr>
        <w:t>8-4</w:t>
      </w:r>
      <w:r w:rsidRPr="003E698F">
        <w:rPr>
          <w:rFonts w:hint="cs"/>
          <w:spacing w:val="0"/>
          <w:kern w:val="0"/>
          <w:sz w:val="20"/>
          <w:rtl/>
        </w:rPr>
        <w:tab/>
        <w:t>وتذّكر اللجنة بتعليقها العام رقم 1(1996) المتعلق بتطبيق المادة 3 في سياق المادة</w:t>
      </w:r>
      <w:r w:rsidRPr="003E698F">
        <w:rPr>
          <w:rFonts w:hint="eastAsia"/>
          <w:spacing w:val="0"/>
          <w:kern w:val="0"/>
          <w:sz w:val="20"/>
          <w:rtl/>
        </w:rPr>
        <w:t> </w:t>
      </w:r>
      <w:r w:rsidRPr="003E698F">
        <w:rPr>
          <w:rFonts w:hint="cs"/>
          <w:spacing w:val="0"/>
          <w:kern w:val="0"/>
          <w:sz w:val="20"/>
          <w:rtl/>
        </w:rPr>
        <w:t xml:space="preserve">22، والذي أوضحت فيه أنه لا يلزم إثبات أن الخطر القائم محتمل جداً، ولكن يجب أن يكون شخصياً وفعلياً. وفي هذا الصدد، أوضحت اللجنة في قرارات سابقة أن خطر التعذيب ينبغي أن يكون </w:t>
      </w:r>
      <w:r w:rsidRPr="003E698F">
        <w:rPr>
          <w:spacing w:val="0"/>
          <w:kern w:val="0"/>
          <w:sz w:val="20"/>
          <w:rtl/>
        </w:rPr>
        <w:t>"</w:t>
      </w:r>
      <w:r w:rsidRPr="003E698F">
        <w:rPr>
          <w:rFonts w:hint="cs"/>
          <w:spacing w:val="0"/>
          <w:kern w:val="0"/>
          <w:sz w:val="20"/>
          <w:rtl/>
        </w:rPr>
        <w:t>متوقعاً وحقيقياً وشخصياً</w:t>
      </w:r>
      <w:r w:rsidRPr="003E698F">
        <w:rPr>
          <w:spacing w:val="0"/>
          <w:kern w:val="0"/>
          <w:sz w:val="20"/>
          <w:rtl/>
        </w:rPr>
        <w:t>"</w:t>
      </w:r>
      <w:r w:rsidRPr="003E698F">
        <w:rPr>
          <w:spacing w:val="0"/>
          <w:kern w:val="0"/>
          <w:sz w:val="20"/>
          <w:szCs w:val="28"/>
          <w:vertAlign w:val="superscript"/>
          <w:rtl/>
        </w:rPr>
        <w:t>(</w:t>
      </w:r>
      <w:r w:rsidRPr="00772699">
        <w:rPr>
          <w:spacing w:val="0"/>
          <w:kern w:val="0"/>
          <w:sz w:val="2"/>
          <w:szCs w:val="2"/>
          <w:vertAlign w:val="superscript"/>
          <w:rtl/>
        </w:rPr>
        <w:footnoteReference w:id="214"/>
      </w:r>
      <w:r w:rsidR="00772699" w:rsidRPr="00772699">
        <w:rPr>
          <w:rFonts w:hint="cs"/>
          <w:spacing w:val="0"/>
          <w:kern w:val="0"/>
          <w:sz w:val="30"/>
          <w:vertAlign w:val="superscript"/>
          <w:rtl/>
        </w:rPr>
        <w:t>ﻫ</w:t>
      </w:r>
      <w:r w:rsidRPr="003E698F">
        <w:rPr>
          <w:spacing w:val="0"/>
          <w:kern w:val="0"/>
          <w:sz w:val="20"/>
          <w:szCs w:val="28"/>
          <w:vertAlign w:val="superscript"/>
          <w:rtl/>
        </w:rPr>
        <w:t>)</w:t>
      </w:r>
      <w:r w:rsidRPr="003E698F">
        <w:rPr>
          <w:rFonts w:hint="cs"/>
          <w:spacing w:val="0"/>
          <w:kern w:val="0"/>
          <w:sz w:val="20"/>
          <w:rtl/>
        </w:rPr>
        <w:t>.</w:t>
      </w:r>
      <w:r w:rsidRPr="003E698F">
        <w:rPr>
          <w:spacing w:val="0"/>
          <w:kern w:val="0"/>
          <w:sz w:val="20"/>
          <w:rtl/>
        </w:rPr>
        <w:t xml:space="preserve"> وفيما يخص عبء الإثبات، تذك</w:t>
      </w:r>
      <w:r w:rsidRPr="003E698F">
        <w:rPr>
          <w:rFonts w:hint="cs"/>
          <w:spacing w:val="0"/>
          <w:kern w:val="0"/>
          <w:sz w:val="20"/>
          <w:rtl/>
        </w:rPr>
        <w:t>ّ</w:t>
      </w:r>
      <w:r w:rsidRPr="003E698F">
        <w:rPr>
          <w:spacing w:val="0"/>
          <w:kern w:val="0"/>
          <w:sz w:val="20"/>
          <w:rtl/>
        </w:rPr>
        <w:t xml:space="preserve">ر اللجنة </w:t>
      </w:r>
      <w:r w:rsidRPr="003E698F">
        <w:rPr>
          <w:rFonts w:hint="cs"/>
          <w:spacing w:val="0"/>
          <w:kern w:val="0"/>
          <w:sz w:val="20"/>
          <w:rtl/>
        </w:rPr>
        <w:t>ب</w:t>
      </w:r>
      <w:r w:rsidRPr="003E698F">
        <w:rPr>
          <w:spacing w:val="0"/>
          <w:kern w:val="0"/>
          <w:sz w:val="20"/>
          <w:rtl/>
        </w:rPr>
        <w:t>أن على صاحب ال</w:t>
      </w:r>
      <w:r w:rsidRPr="003E698F">
        <w:rPr>
          <w:rFonts w:hint="cs"/>
          <w:spacing w:val="0"/>
          <w:kern w:val="0"/>
          <w:sz w:val="20"/>
          <w:rtl/>
        </w:rPr>
        <w:t>شكوى</w:t>
      </w:r>
      <w:r w:rsidRPr="003E698F">
        <w:rPr>
          <w:spacing w:val="0"/>
          <w:kern w:val="0"/>
          <w:sz w:val="20"/>
          <w:rtl/>
        </w:rPr>
        <w:t xml:space="preserve"> عموماً تقديم حجج مقنعة، وأن</w:t>
      </w:r>
      <w:r w:rsidRPr="003E698F">
        <w:rPr>
          <w:rFonts w:hint="cs"/>
          <w:spacing w:val="0"/>
          <w:kern w:val="0"/>
          <w:sz w:val="20"/>
          <w:rtl/>
        </w:rPr>
        <w:t>ه</w:t>
      </w:r>
      <w:r w:rsidRPr="003E698F">
        <w:rPr>
          <w:spacing w:val="0"/>
          <w:kern w:val="0"/>
          <w:sz w:val="20"/>
          <w:rtl/>
        </w:rPr>
        <w:t xml:space="preserve"> يجب تقييم خطر التع</w:t>
      </w:r>
      <w:r w:rsidRPr="003E698F">
        <w:rPr>
          <w:rFonts w:hint="cs"/>
          <w:spacing w:val="0"/>
          <w:kern w:val="0"/>
          <w:sz w:val="20"/>
          <w:rtl/>
        </w:rPr>
        <w:t>ّ</w:t>
      </w:r>
      <w:r w:rsidRPr="003E698F">
        <w:rPr>
          <w:spacing w:val="0"/>
          <w:kern w:val="0"/>
          <w:sz w:val="20"/>
          <w:rtl/>
        </w:rPr>
        <w:t xml:space="preserve">رض للتعذيب بناءً على أدلة لا تقتصر على مجرد افتراضات </w:t>
      </w:r>
      <w:r w:rsidRPr="003E698F">
        <w:rPr>
          <w:rFonts w:hint="cs"/>
          <w:spacing w:val="0"/>
          <w:kern w:val="0"/>
          <w:sz w:val="20"/>
          <w:rtl/>
        </w:rPr>
        <w:t>أ</w:t>
      </w:r>
      <w:r w:rsidRPr="003E698F">
        <w:rPr>
          <w:spacing w:val="0"/>
          <w:kern w:val="0"/>
          <w:sz w:val="20"/>
          <w:rtl/>
        </w:rPr>
        <w:t>و</w:t>
      </w:r>
      <w:r w:rsidRPr="003E698F">
        <w:rPr>
          <w:rFonts w:hint="cs"/>
          <w:spacing w:val="0"/>
          <w:kern w:val="0"/>
          <w:sz w:val="20"/>
          <w:rtl/>
        </w:rPr>
        <w:t xml:space="preserve"> </w:t>
      </w:r>
      <w:r w:rsidRPr="003E698F">
        <w:rPr>
          <w:spacing w:val="0"/>
          <w:kern w:val="0"/>
          <w:sz w:val="20"/>
          <w:rtl/>
        </w:rPr>
        <w:t>شكوك.</w:t>
      </w:r>
    </w:p>
    <w:p w:rsidR="00921F02" w:rsidRPr="003E698F" w:rsidRDefault="00921F02" w:rsidP="00BF3AE0">
      <w:pPr>
        <w:pStyle w:val="SingleTxtGA"/>
        <w:jc w:val="lowKashida"/>
        <w:rPr>
          <w:rFonts w:hint="cs"/>
          <w:spacing w:val="0"/>
          <w:kern w:val="0"/>
          <w:sz w:val="20"/>
          <w:rtl/>
        </w:rPr>
      </w:pPr>
      <w:r w:rsidRPr="003E698F">
        <w:rPr>
          <w:spacing w:val="0"/>
          <w:kern w:val="0"/>
          <w:sz w:val="20"/>
          <w:rtl/>
        </w:rPr>
        <w:t>8</w:t>
      </w:r>
      <w:r w:rsidRPr="003E698F">
        <w:rPr>
          <w:rFonts w:hint="cs"/>
          <w:spacing w:val="0"/>
          <w:kern w:val="0"/>
          <w:sz w:val="20"/>
          <w:rtl/>
        </w:rPr>
        <w:t>-</w:t>
      </w:r>
      <w:r w:rsidRPr="003E698F">
        <w:rPr>
          <w:spacing w:val="0"/>
          <w:kern w:val="0"/>
          <w:sz w:val="20"/>
          <w:rtl/>
        </w:rPr>
        <w:t>5</w:t>
      </w:r>
      <w:r w:rsidRPr="003E698F">
        <w:rPr>
          <w:rFonts w:hint="cs"/>
          <w:spacing w:val="0"/>
          <w:kern w:val="0"/>
          <w:sz w:val="20"/>
          <w:rtl/>
        </w:rPr>
        <w:tab/>
        <w:t>و</w:t>
      </w:r>
      <w:r w:rsidRPr="003E698F">
        <w:rPr>
          <w:spacing w:val="0"/>
          <w:kern w:val="0"/>
          <w:sz w:val="20"/>
          <w:rtl/>
        </w:rPr>
        <w:t xml:space="preserve">تدرك اللجنة الوضع </w:t>
      </w:r>
      <w:r w:rsidRPr="003E698F">
        <w:rPr>
          <w:rFonts w:hint="cs"/>
          <w:spacing w:val="0"/>
          <w:kern w:val="0"/>
          <w:sz w:val="20"/>
          <w:rtl/>
        </w:rPr>
        <w:t>الهش</w:t>
      </w:r>
      <w:r w:rsidRPr="003E698F">
        <w:rPr>
          <w:spacing w:val="0"/>
          <w:kern w:val="0"/>
          <w:sz w:val="20"/>
          <w:rtl/>
        </w:rPr>
        <w:t xml:space="preserve"> لحقوق الإنسان في جمهورية الكونغو الديمقراطية</w:t>
      </w:r>
      <w:r w:rsidRPr="003E698F">
        <w:rPr>
          <w:spacing w:val="0"/>
          <w:kern w:val="0"/>
          <w:sz w:val="20"/>
          <w:szCs w:val="28"/>
          <w:vertAlign w:val="superscript"/>
          <w:rtl/>
        </w:rPr>
        <w:t>(</w:t>
      </w:r>
      <w:r w:rsidRPr="003E698F">
        <w:rPr>
          <w:spacing w:val="0"/>
          <w:kern w:val="0"/>
          <w:sz w:val="20"/>
          <w:szCs w:val="28"/>
          <w:vertAlign w:val="superscript"/>
          <w:rtl/>
        </w:rPr>
        <w:footnoteReference w:id="215"/>
      </w:r>
      <w:r w:rsidRPr="003E698F">
        <w:rPr>
          <w:spacing w:val="0"/>
          <w:kern w:val="0"/>
          <w:sz w:val="20"/>
          <w:szCs w:val="28"/>
          <w:vertAlign w:val="superscript"/>
          <w:rtl/>
        </w:rPr>
        <w:t>)</w:t>
      </w:r>
      <w:r w:rsidRPr="003E698F">
        <w:rPr>
          <w:spacing w:val="0"/>
          <w:kern w:val="0"/>
          <w:sz w:val="20"/>
          <w:rtl/>
        </w:rPr>
        <w:t>،</w:t>
      </w:r>
      <w:r w:rsidRPr="00772699">
        <w:rPr>
          <w:spacing w:val="0"/>
          <w:kern w:val="0"/>
          <w:sz w:val="20"/>
          <w:rtl/>
        </w:rPr>
        <w:t xml:space="preserve"> </w:t>
      </w:r>
      <w:r w:rsidRPr="003E698F">
        <w:rPr>
          <w:spacing w:val="0"/>
          <w:kern w:val="0"/>
          <w:sz w:val="20"/>
          <w:rtl/>
        </w:rPr>
        <w:t>ومع ذلك، فإنه</w:t>
      </w:r>
      <w:r w:rsidRPr="003E698F">
        <w:rPr>
          <w:rFonts w:hint="cs"/>
          <w:spacing w:val="0"/>
          <w:kern w:val="0"/>
          <w:sz w:val="20"/>
          <w:rtl/>
        </w:rPr>
        <w:t>ا</w:t>
      </w:r>
      <w:r w:rsidRPr="003E698F">
        <w:rPr>
          <w:spacing w:val="0"/>
          <w:kern w:val="0"/>
          <w:sz w:val="20"/>
          <w:rtl/>
        </w:rPr>
        <w:t xml:space="preserve"> </w:t>
      </w:r>
      <w:r w:rsidRPr="003E698F">
        <w:rPr>
          <w:rFonts w:hint="cs"/>
          <w:spacing w:val="0"/>
          <w:kern w:val="0"/>
          <w:sz w:val="20"/>
          <w:rtl/>
        </w:rPr>
        <w:t>ت</w:t>
      </w:r>
      <w:r w:rsidRPr="003E698F">
        <w:rPr>
          <w:spacing w:val="0"/>
          <w:kern w:val="0"/>
          <w:sz w:val="20"/>
          <w:rtl/>
        </w:rPr>
        <w:t xml:space="preserve">لاحظ الشكوك التي أعربت عنها الدولة الطرف </w:t>
      </w:r>
      <w:r w:rsidRPr="003E698F">
        <w:rPr>
          <w:rFonts w:hint="cs"/>
          <w:spacing w:val="0"/>
          <w:kern w:val="0"/>
          <w:sz w:val="20"/>
          <w:rtl/>
        </w:rPr>
        <w:t xml:space="preserve">حول </w:t>
      </w:r>
      <w:r w:rsidRPr="003E698F">
        <w:rPr>
          <w:spacing w:val="0"/>
          <w:kern w:val="0"/>
          <w:sz w:val="20"/>
          <w:rtl/>
        </w:rPr>
        <w:t>مصداقية ا</w:t>
      </w:r>
      <w:r w:rsidRPr="003E698F">
        <w:rPr>
          <w:rFonts w:hint="cs"/>
          <w:spacing w:val="0"/>
          <w:kern w:val="0"/>
          <w:sz w:val="20"/>
          <w:rtl/>
        </w:rPr>
        <w:t>لا</w:t>
      </w:r>
      <w:r w:rsidRPr="003E698F">
        <w:rPr>
          <w:spacing w:val="0"/>
          <w:kern w:val="0"/>
          <w:sz w:val="20"/>
          <w:rtl/>
        </w:rPr>
        <w:t>دعاءات</w:t>
      </w:r>
      <w:r w:rsidRPr="003E698F">
        <w:rPr>
          <w:rFonts w:hint="cs"/>
          <w:spacing w:val="0"/>
          <w:kern w:val="0"/>
          <w:sz w:val="20"/>
          <w:rtl/>
        </w:rPr>
        <w:t xml:space="preserve"> التي قدمها</w:t>
      </w:r>
      <w:r w:rsidRPr="003E698F">
        <w:rPr>
          <w:spacing w:val="0"/>
          <w:kern w:val="0"/>
          <w:sz w:val="20"/>
          <w:rtl/>
        </w:rPr>
        <w:t xml:space="preserve"> صاحب ال</w:t>
      </w:r>
      <w:r w:rsidRPr="003E698F">
        <w:rPr>
          <w:rFonts w:hint="cs"/>
          <w:spacing w:val="0"/>
          <w:kern w:val="0"/>
          <w:sz w:val="20"/>
          <w:rtl/>
        </w:rPr>
        <w:t>شكوى ثم طفلاه</w:t>
      </w:r>
      <w:r w:rsidRPr="003E698F">
        <w:rPr>
          <w:spacing w:val="0"/>
          <w:kern w:val="0"/>
          <w:sz w:val="20"/>
          <w:rtl/>
        </w:rPr>
        <w:t xml:space="preserve"> </w:t>
      </w:r>
      <w:r w:rsidRPr="003E698F">
        <w:rPr>
          <w:rFonts w:hint="cs"/>
          <w:spacing w:val="0"/>
          <w:kern w:val="0"/>
          <w:sz w:val="20"/>
          <w:rtl/>
        </w:rPr>
        <w:t xml:space="preserve">منذ تقديم </w:t>
      </w:r>
      <w:r w:rsidRPr="003E698F">
        <w:rPr>
          <w:spacing w:val="0"/>
          <w:kern w:val="0"/>
          <w:sz w:val="20"/>
          <w:rtl/>
        </w:rPr>
        <w:t xml:space="preserve">طلب </w:t>
      </w:r>
      <w:r w:rsidRPr="003E698F">
        <w:rPr>
          <w:rFonts w:hint="cs"/>
          <w:spacing w:val="0"/>
          <w:kern w:val="0"/>
          <w:sz w:val="20"/>
          <w:rtl/>
        </w:rPr>
        <w:t>لجوئهم</w:t>
      </w:r>
      <w:r w:rsidRPr="003E698F">
        <w:rPr>
          <w:spacing w:val="0"/>
          <w:kern w:val="0"/>
          <w:sz w:val="20"/>
          <w:rtl/>
        </w:rPr>
        <w:t xml:space="preserve"> الأول</w:t>
      </w:r>
      <w:r w:rsidR="00731C1F">
        <w:rPr>
          <w:rFonts w:hint="cs"/>
          <w:spacing w:val="0"/>
          <w:kern w:val="0"/>
          <w:sz w:val="20"/>
          <w:rtl/>
        </w:rPr>
        <w:t xml:space="preserve"> في 2 تموز/</w:t>
      </w:r>
      <w:r w:rsidRPr="003E698F">
        <w:rPr>
          <w:rFonts w:hint="cs"/>
          <w:spacing w:val="0"/>
          <w:kern w:val="0"/>
          <w:sz w:val="20"/>
          <w:rtl/>
        </w:rPr>
        <w:t>يوليه</w:t>
      </w:r>
      <w:r w:rsidRPr="003E698F">
        <w:rPr>
          <w:rFonts w:hint="eastAsia"/>
          <w:spacing w:val="0"/>
          <w:kern w:val="0"/>
          <w:sz w:val="20"/>
          <w:rtl/>
        </w:rPr>
        <w:t> </w:t>
      </w:r>
      <w:r w:rsidRPr="003E698F">
        <w:rPr>
          <w:rFonts w:hint="cs"/>
          <w:spacing w:val="0"/>
          <w:kern w:val="0"/>
          <w:sz w:val="20"/>
          <w:rtl/>
        </w:rPr>
        <w:t>2003</w:t>
      </w:r>
      <w:r w:rsidRPr="003E698F">
        <w:rPr>
          <w:spacing w:val="0"/>
          <w:kern w:val="0"/>
          <w:sz w:val="20"/>
          <w:rtl/>
        </w:rPr>
        <w:t xml:space="preserve"> </w:t>
      </w:r>
      <w:r w:rsidRPr="003E698F">
        <w:rPr>
          <w:rFonts w:hint="cs"/>
          <w:spacing w:val="0"/>
          <w:kern w:val="0"/>
          <w:sz w:val="20"/>
          <w:rtl/>
        </w:rPr>
        <w:t>و22 آب/أغسطس 2005 على التوالي.</w:t>
      </w:r>
    </w:p>
    <w:p w:rsidR="00921F02" w:rsidRPr="003E698F" w:rsidRDefault="00921F02" w:rsidP="00BF3AE0">
      <w:pPr>
        <w:pStyle w:val="SingleTxtGA"/>
        <w:jc w:val="lowKashida"/>
        <w:rPr>
          <w:rFonts w:hint="cs"/>
          <w:spacing w:val="0"/>
          <w:w w:val="96"/>
          <w:kern w:val="0"/>
          <w:sz w:val="20"/>
          <w:rtl/>
        </w:rPr>
      </w:pPr>
      <w:r w:rsidRPr="00BF3AE0">
        <w:rPr>
          <w:rFonts w:hint="cs"/>
          <w:spacing w:val="-2"/>
          <w:w w:val="96"/>
          <w:kern w:val="0"/>
          <w:sz w:val="20"/>
          <w:rtl/>
        </w:rPr>
        <w:t>8-6</w:t>
      </w:r>
      <w:r w:rsidRPr="00BF3AE0">
        <w:rPr>
          <w:rFonts w:hint="cs"/>
          <w:spacing w:val="-2"/>
          <w:w w:val="96"/>
          <w:kern w:val="0"/>
          <w:sz w:val="20"/>
          <w:rtl/>
        </w:rPr>
        <w:tab/>
        <w:t>وتلاحظ اللجنة لدى تقييم خطر التعذيب في الحالة قيد النظر، الحجة التي يسوقها صاحب الشكوى بأنه قد تعّرض لسوء المعاملة على أيدي الطلاب وسكان الحي الذي كان يقطنه في</w:t>
      </w:r>
      <w:r w:rsidR="00BF3AE0">
        <w:rPr>
          <w:rFonts w:hint="eastAsia"/>
          <w:spacing w:val="-2"/>
          <w:w w:val="96"/>
          <w:kern w:val="0"/>
          <w:sz w:val="20"/>
          <w:rtl/>
        </w:rPr>
        <w:t> </w:t>
      </w:r>
      <w:r w:rsidRPr="00BF3AE0">
        <w:rPr>
          <w:rFonts w:hint="cs"/>
          <w:spacing w:val="-2"/>
          <w:w w:val="96"/>
          <w:kern w:val="0"/>
          <w:sz w:val="20"/>
          <w:rtl/>
        </w:rPr>
        <w:t>كينشاسا والموظفين العموميين بسبب أصله الرواندي التوتسي وذلك منذ عام</w:t>
      </w:r>
      <w:r w:rsidRPr="00BF3AE0">
        <w:rPr>
          <w:rFonts w:hint="eastAsia"/>
          <w:spacing w:val="-2"/>
          <w:w w:val="96"/>
          <w:kern w:val="0"/>
          <w:sz w:val="20"/>
          <w:rtl/>
        </w:rPr>
        <w:t> </w:t>
      </w:r>
      <w:r w:rsidRPr="00BF3AE0">
        <w:rPr>
          <w:rFonts w:hint="cs"/>
          <w:spacing w:val="-2"/>
          <w:w w:val="96"/>
          <w:kern w:val="0"/>
          <w:sz w:val="20"/>
          <w:rtl/>
        </w:rPr>
        <w:t>1998. وتشير اللجنة إلى أنه أثناء إجراء اللجوء، أوضح صاحب الشكوى أنه اقتيد إلى مقر إقامة لوران ديزيريه كابيلا بتاريخ يقارب 10 تشرين الثاني/نوفمبر 1998 حيث تمكن من الهرب بعد أسبوع من احتجازه، ومن ثم فرّ إلى بونيا في شرقي البلد، وأنه تعرض للاختطاف في 5 أيار/مايو 2003 على أيدي مليشيات، واحتجز في كوخ طيني، وأنه تمكن من الفرار والهرب من البلد، وأنه ذهب إلى كينيا ومن ثم إلى إيطاليا لينتهي به الأمر في سويسرا حيث طلب اللجوء في 2 تموز/يوليه 2003. وتشير اللجنة إلى حجة صاحب الشكوى التي تفيد بأن طفليه قد تعرضا هما أيضاً</w:t>
      </w:r>
      <w:r w:rsidRPr="003E698F">
        <w:rPr>
          <w:rFonts w:hint="cs"/>
          <w:spacing w:val="0"/>
          <w:w w:val="96"/>
          <w:kern w:val="0"/>
          <w:sz w:val="20"/>
          <w:rtl/>
        </w:rPr>
        <w:t xml:space="preserve"> للاضطهاد في</w:t>
      </w:r>
      <w:r w:rsidR="00BF3AE0">
        <w:rPr>
          <w:rFonts w:hint="eastAsia"/>
          <w:spacing w:val="0"/>
          <w:w w:val="96"/>
          <w:kern w:val="0"/>
          <w:sz w:val="20"/>
          <w:rtl/>
        </w:rPr>
        <w:t> </w:t>
      </w:r>
      <w:r w:rsidRPr="003E698F">
        <w:rPr>
          <w:rFonts w:hint="cs"/>
          <w:spacing w:val="0"/>
          <w:w w:val="96"/>
          <w:kern w:val="0"/>
          <w:sz w:val="20"/>
          <w:rtl/>
        </w:rPr>
        <w:t>كينشاسا بسبب أصولهما مما حملهما على مغادرة البلد بمساعدة "امرأة بيضاء" في تموز/</w:t>
      </w:r>
      <w:r w:rsidR="00BF3AE0">
        <w:rPr>
          <w:rFonts w:hint="cs"/>
          <w:spacing w:val="0"/>
          <w:w w:val="96"/>
          <w:kern w:val="0"/>
          <w:sz w:val="20"/>
          <w:rtl/>
        </w:rPr>
        <w:t xml:space="preserve"> </w:t>
      </w:r>
      <w:r w:rsidRPr="003E698F">
        <w:rPr>
          <w:rFonts w:hint="cs"/>
          <w:spacing w:val="0"/>
          <w:w w:val="96"/>
          <w:kern w:val="0"/>
          <w:sz w:val="20"/>
          <w:rtl/>
        </w:rPr>
        <w:t>يوليه</w:t>
      </w:r>
      <w:r w:rsidR="00BF3AE0">
        <w:rPr>
          <w:rFonts w:hint="eastAsia"/>
          <w:spacing w:val="0"/>
          <w:w w:val="96"/>
          <w:kern w:val="0"/>
          <w:sz w:val="20"/>
          <w:rtl/>
        </w:rPr>
        <w:t> </w:t>
      </w:r>
      <w:r w:rsidRPr="003E698F">
        <w:rPr>
          <w:rFonts w:hint="cs"/>
          <w:spacing w:val="0"/>
          <w:w w:val="96"/>
          <w:kern w:val="0"/>
          <w:sz w:val="20"/>
          <w:rtl/>
        </w:rPr>
        <w:t>2005 وإلى أنهما قدما طلب لجوء في 22 آب/أغسطس 2005. وأخيراً، تشير اللجنة إلى أنه حسبما ذكر صاحب الشكوى، فإن خطر تعرضهم للاضطهاد بسبب أصولهم الرواندية (سواء أكانوا من الهوتو أم من التوتسي) هو فعلي لأن التوترات الإثنية في كينشاسا لا تزال مستمرة ولأن الانتخابات الرئاسية المقبلة لن تؤدي إلا إلى تأجيجها.</w:t>
      </w:r>
    </w:p>
    <w:p w:rsidR="00921F02" w:rsidRPr="00772699" w:rsidRDefault="00921F02" w:rsidP="00BF3AE0">
      <w:pPr>
        <w:pStyle w:val="SingleTxtGA"/>
        <w:jc w:val="lowKashida"/>
        <w:rPr>
          <w:rFonts w:hint="cs"/>
          <w:spacing w:val="-2"/>
          <w:w w:val="96"/>
          <w:kern w:val="0"/>
          <w:sz w:val="20"/>
          <w:rtl/>
        </w:rPr>
      </w:pPr>
      <w:r w:rsidRPr="003E698F">
        <w:rPr>
          <w:rFonts w:hint="cs"/>
          <w:spacing w:val="0"/>
          <w:w w:val="96"/>
          <w:kern w:val="0"/>
          <w:sz w:val="20"/>
          <w:rtl/>
        </w:rPr>
        <w:t>8-7</w:t>
      </w:r>
      <w:r w:rsidRPr="003E698F">
        <w:rPr>
          <w:rFonts w:hint="cs"/>
          <w:spacing w:val="0"/>
          <w:w w:val="96"/>
          <w:kern w:val="0"/>
          <w:sz w:val="20"/>
          <w:rtl/>
        </w:rPr>
        <w:tab/>
        <w:t xml:space="preserve">وتشير اللجنة إلى الحجة التي ساقتها الدولة الطرف بأن الأدلة التي قدمها صاحب الشكوى لدعم بلاغه المعروض على اللجنة ليست ذات طابع يتيح التشكيك في قرارات سلطات الدولة الطرف التي أصدرتها بعد مراجعة مفصلة للقضية. وتشير اللجنة إلى حجة الدولة الطرف </w:t>
      </w:r>
      <w:r w:rsidRPr="00772699">
        <w:rPr>
          <w:rFonts w:hint="cs"/>
          <w:spacing w:val="-2"/>
          <w:w w:val="96"/>
          <w:kern w:val="0"/>
          <w:sz w:val="20"/>
          <w:rtl/>
        </w:rPr>
        <w:t>التي تفيد بأن السفارة السويسرية في كينشاسا أجرت تحقيقاً أظهر أنه لا يوجد في كينشاسا، وهي المدينة التي عاش فيها صاحب الشكوى مع طفليه حتى رحيلهم عن البلد، نزاع على أساس إثني أو</w:t>
      </w:r>
      <w:r w:rsidR="00772699">
        <w:rPr>
          <w:rFonts w:hint="eastAsia"/>
          <w:spacing w:val="-2"/>
          <w:w w:val="96"/>
          <w:kern w:val="0"/>
          <w:sz w:val="20"/>
          <w:rtl/>
        </w:rPr>
        <w:t> </w:t>
      </w:r>
      <w:r w:rsidRPr="00772699">
        <w:rPr>
          <w:rFonts w:hint="cs"/>
          <w:spacing w:val="-2"/>
          <w:w w:val="96"/>
          <w:kern w:val="0"/>
          <w:sz w:val="20"/>
          <w:rtl/>
        </w:rPr>
        <w:t>اضطهاد لجماعات إثنية معينة، وأن صاحب الشكوى وطفليه هم روانديون من إثنية الهوتو وليس التوتسي، ولذلك فإن ادعاءاتهم التي تقوم على أساس هذا المنشأ الإثني لا مصداقية لها.</w:t>
      </w:r>
    </w:p>
    <w:p w:rsidR="00921F02" w:rsidRPr="003E698F" w:rsidRDefault="00921F02" w:rsidP="00BF3AE0">
      <w:pPr>
        <w:pStyle w:val="SingleTxtGA"/>
        <w:jc w:val="lowKashida"/>
        <w:rPr>
          <w:spacing w:val="0"/>
          <w:w w:val="96"/>
          <w:kern w:val="0"/>
          <w:sz w:val="20"/>
          <w:rtl/>
        </w:rPr>
      </w:pPr>
      <w:r w:rsidRPr="003E698F">
        <w:rPr>
          <w:rFonts w:hint="cs"/>
          <w:spacing w:val="0"/>
          <w:w w:val="96"/>
          <w:kern w:val="0"/>
          <w:sz w:val="20"/>
          <w:rtl/>
        </w:rPr>
        <w:t>8-8</w:t>
      </w:r>
      <w:r w:rsidRPr="003E698F">
        <w:rPr>
          <w:rFonts w:hint="cs"/>
          <w:spacing w:val="0"/>
          <w:w w:val="96"/>
          <w:kern w:val="0"/>
          <w:sz w:val="20"/>
          <w:rtl/>
        </w:rPr>
        <w:tab/>
        <w:t>و</w:t>
      </w:r>
      <w:r w:rsidRPr="003E698F">
        <w:rPr>
          <w:spacing w:val="0"/>
          <w:w w:val="96"/>
          <w:kern w:val="0"/>
          <w:sz w:val="20"/>
          <w:rtl/>
        </w:rPr>
        <w:t>في ضوء المعلومات المقدمة من الطرفين، ت</w:t>
      </w:r>
      <w:r w:rsidRPr="003E698F">
        <w:rPr>
          <w:rFonts w:hint="cs"/>
          <w:spacing w:val="0"/>
          <w:w w:val="96"/>
          <w:kern w:val="0"/>
          <w:sz w:val="20"/>
          <w:rtl/>
        </w:rPr>
        <w:t>رى</w:t>
      </w:r>
      <w:r w:rsidRPr="003E698F">
        <w:rPr>
          <w:spacing w:val="0"/>
          <w:w w:val="96"/>
          <w:kern w:val="0"/>
          <w:sz w:val="20"/>
          <w:rtl/>
        </w:rPr>
        <w:t xml:space="preserve"> اللجنة أن صاحب ال</w:t>
      </w:r>
      <w:r w:rsidRPr="003E698F">
        <w:rPr>
          <w:rFonts w:hint="cs"/>
          <w:spacing w:val="0"/>
          <w:w w:val="96"/>
          <w:kern w:val="0"/>
          <w:sz w:val="20"/>
          <w:rtl/>
        </w:rPr>
        <w:t>شكوى</w:t>
      </w:r>
      <w:r w:rsidRPr="003E698F">
        <w:rPr>
          <w:spacing w:val="0"/>
          <w:w w:val="96"/>
          <w:kern w:val="0"/>
          <w:sz w:val="20"/>
          <w:rtl/>
        </w:rPr>
        <w:t xml:space="preserve"> لم يثبت وجود علاقة سببية بين الأحداث التي دفعته</w:t>
      </w:r>
      <w:r w:rsidRPr="003E698F">
        <w:rPr>
          <w:rFonts w:hint="cs"/>
          <w:spacing w:val="0"/>
          <w:w w:val="96"/>
          <w:kern w:val="0"/>
          <w:sz w:val="20"/>
          <w:rtl/>
        </w:rPr>
        <w:t xml:space="preserve"> هو وطفليه</w:t>
      </w:r>
      <w:r w:rsidRPr="003E698F">
        <w:rPr>
          <w:spacing w:val="0"/>
          <w:w w:val="96"/>
          <w:kern w:val="0"/>
          <w:sz w:val="20"/>
          <w:rtl/>
        </w:rPr>
        <w:t xml:space="preserve"> إلى مغادرة </w:t>
      </w:r>
      <w:r w:rsidRPr="003E698F">
        <w:rPr>
          <w:rFonts w:hint="cs"/>
          <w:spacing w:val="0"/>
          <w:w w:val="96"/>
          <w:kern w:val="0"/>
          <w:sz w:val="20"/>
          <w:rtl/>
        </w:rPr>
        <w:t>بلدهم الأصلي</w:t>
      </w:r>
      <w:r w:rsidRPr="003E698F">
        <w:rPr>
          <w:spacing w:val="0"/>
          <w:w w:val="96"/>
          <w:kern w:val="0"/>
          <w:sz w:val="20"/>
          <w:rtl/>
        </w:rPr>
        <w:t>، و</w:t>
      </w:r>
      <w:r w:rsidRPr="003E698F">
        <w:rPr>
          <w:rFonts w:hint="cs"/>
          <w:spacing w:val="0"/>
          <w:w w:val="96"/>
          <w:kern w:val="0"/>
          <w:sz w:val="20"/>
          <w:rtl/>
        </w:rPr>
        <w:t xml:space="preserve">بين </w:t>
      </w:r>
      <w:r w:rsidRPr="003E698F">
        <w:rPr>
          <w:spacing w:val="0"/>
          <w:w w:val="96"/>
          <w:kern w:val="0"/>
          <w:sz w:val="20"/>
          <w:rtl/>
        </w:rPr>
        <w:t xml:space="preserve">خطر التعرض للتعذيب </w:t>
      </w:r>
      <w:r w:rsidRPr="003E698F">
        <w:rPr>
          <w:rFonts w:hint="cs"/>
          <w:spacing w:val="0"/>
          <w:w w:val="96"/>
          <w:kern w:val="0"/>
          <w:sz w:val="20"/>
          <w:rtl/>
        </w:rPr>
        <w:t>في حالة عودتهم</w:t>
      </w:r>
      <w:r w:rsidRPr="003E698F">
        <w:rPr>
          <w:spacing w:val="0"/>
          <w:w w:val="96"/>
          <w:kern w:val="0"/>
          <w:sz w:val="20"/>
          <w:rtl/>
        </w:rPr>
        <w:t xml:space="preserve"> إلى جمهورية الكونغو الديمقراطية</w:t>
      </w:r>
      <w:r w:rsidRPr="003E698F">
        <w:rPr>
          <w:rFonts w:hint="cs"/>
          <w:spacing w:val="0"/>
          <w:w w:val="96"/>
          <w:kern w:val="0"/>
          <w:sz w:val="20"/>
          <w:rtl/>
        </w:rPr>
        <w:t>. و</w:t>
      </w:r>
      <w:r w:rsidRPr="003E698F">
        <w:rPr>
          <w:spacing w:val="0"/>
          <w:w w:val="96"/>
          <w:kern w:val="0"/>
          <w:sz w:val="20"/>
          <w:rtl/>
        </w:rPr>
        <w:t>في واقع الأمر</w:t>
      </w:r>
      <w:r w:rsidRPr="003E698F">
        <w:rPr>
          <w:rFonts w:hint="cs"/>
          <w:spacing w:val="0"/>
          <w:w w:val="96"/>
          <w:kern w:val="0"/>
          <w:sz w:val="20"/>
          <w:rtl/>
        </w:rPr>
        <w:t>،</w:t>
      </w:r>
      <w:r w:rsidRPr="003E698F">
        <w:rPr>
          <w:spacing w:val="0"/>
          <w:w w:val="96"/>
          <w:kern w:val="0"/>
          <w:sz w:val="20"/>
          <w:rtl/>
        </w:rPr>
        <w:t xml:space="preserve"> </w:t>
      </w:r>
      <w:r w:rsidRPr="003E698F">
        <w:rPr>
          <w:rFonts w:hint="cs"/>
          <w:spacing w:val="0"/>
          <w:w w:val="96"/>
          <w:kern w:val="0"/>
          <w:sz w:val="20"/>
          <w:rtl/>
        </w:rPr>
        <w:t>لم ي</w:t>
      </w:r>
      <w:r w:rsidRPr="003E698F">
        <w:rPr>
          <w:spacing w:val="0"/>
          <w:w w:val="96"/>
          <w:kern w:val="0"/>
          <w:sz w:val="20"/>
          <w:rtl/>
        </w:rPr>
        <w:t>قدم صاحب ال</w:t>
      </w:r>
      <w:r w:rsidRPr="003E698F">
        <w:rPr>
          <w:rFonts w:hint="cs"/>
          <w:spacing w:val="0"/>
          <w:w w:val="96"/>
          <w:kern w:val="0"/>
          <w:sz w:val="20"/>
          <w:rtl/>
        </w:rPr>
        <w:t>شكوى إلى اللجنة سوى معلومات مقتضبة جداً عن المعاملة التي عومل بها كضحية، ولا سيما المعاملة التي عانى منها في كينشاسا في عام 1998، ولم تتمكن اللجنة من تكوين صورة واضحة لادعاءات صاحب الشكوى وطفليه إلا بعد الرجوع إلى قرارات السلطات الوطنية. وفي الختام، ترى اللجنة أن المعلومات التي تتعلق بالتوترات الإثنية المحتملة في البلد الأصلي عامة الطابع ولا تتيح الاستنتاج بوجود خطر</w:t>
      </w:r>
      <w:r w:rsidRPr="003E698F">
        <w:rPr>
          <w:spacing w:val="0"/>
          <w:w w:val="96"/>
          <w:kern w:val="0"/>
          <w:sz w:val="20"/>
          <w:rtl/>
        </w:rPr>
        <w:t xml:space="preserve"> حقيقي وشخص</w:t>
      </w:r>
      <w:r w:rsidRPr="003E698F">
        <w:rPr>
          <w:rFonts w:hint="cs"/>
          <w:spacing w:val="0"/>
          <w:w w:val="96"/>
          <w:kern w:val="0"/>
          <w:sz w:val="20"/>
          <w:rtl/>
        </w:rPr>
        <w:t>ي</w:t>
      </w:r>
      <w:r w:rsidRPr="003E698F">
        <w:rPr>
          <w:spacing w:val="0"/>
          <w:w w:val="96"/>
          <w:kern w:val="0"/>
          <w:sz w:val="20"/>
          <w:rtl/>
        </w:rPr>
        <w:t xml:space="preserve"> </w:t>
      </w:r>
      <w:r w:rsidRPr="003E698F">
        <w:rPr>
          <w:rFonts w:hint="cs"/>
          <w:spacing w:val="0"/>
          <w:w w:val="96"/>
          <w:kern w:val="0"/>
          <w:sz w:val="20"/>
          <w:rtl/>
        </w:rPr>
        <w:t>ومتوقع بالتعرض للتعذيب</w:t>
      </w:r>
      <w:r w:rsidRPr="003E698F">
        <w:rPr>
          <w:spacing w:val="0"/>
          <w:w w:val="96"/>
          <w:kern w:val="0"/>
          <w:sz w:val="20"/>
          <w:rtl/>
        </w:rPr>
        <w:t xml:space="preserve">. </w:t>
      </w:r>
    </w:p>
    <w:p w:rsidR="00921F02" w:rsidRPr="003E698F" w:rsidRDefault="00921F02" w:rsidP="00BF3AE0">
      <w:pPr>
        <w:pStyle w:val="SingleTxtGA"/>
        <w:jc w:val="lowKashida"/>
        <w:rPr>
          <w:rFonts w:hint="cs"/>
          <w:spacing w:val="0"/>
          <w:kern w:val="0"/>
          <w:sz w:val="20"/>
          <w:rtl/>
        </w:rPr>
      </w:pPr>
      <w:r w:rsidRPr="003E698F">
        <w:rPr>
          <w:spacing w:val="0"/>
          <w:kern w:val="0"/>
          <w:sz w:val="20"/>
          <w:rtl/>
        </w:rPr>
        <w:t>8</w:t>
      </w:r>
      <w:r w:rsidRPr="003E698F">
        <w:rPr>
          <w:rFonts w:hint="cs"/>
          <w:spacing w:val="0"/>
          <w:kern w:val="0"/>
          <w:sz w:val="20"/>
          <w:rtl/>
        </w:rPr>
        <w:t>-</w:t>
      </w:r>
      <w:r w:rsidRPr="003E698F">
        <w:rPr>
          <w:spacing w:val="0"/>
          <w:kern w:val="0"/>
          <w:sz w:val="20"/>
          <w:rtl/>
        </w:rPr>
        <w:t>9</w:t>
      </w:r>
      <w:r w:rsidRPr="003E698F">
        <w:rPr>
          <w:rFonts w:hint="cs"/>
          <w:spacing w:val="0"/>
          <w:kern w:val="0"/>
          <w:sz w:val="20"/>
          <w:rtl/>
        </w:rPr>
        <w:tab/>
      </w:r>
      <w:r w:rsidRPr="003E698F">
        <w:rPr>
          <w:spacing w:val="0"/>
          <w:kern w:val="0"/>
          <w:sz w:val="20"/>
          <w:rtl/>
        </w:rPr>
        <w:t>وت</w:t>
      </w:r>
      <w:r w:rsidRPr="003E698F">
        <w:rPr>
          <w:rFonts w:hint="cs"/>
          <w:spacing w:val="0"/>
          <w:kern w:val="0"/>
          <w:sz w:val="20"/>
          <w:rtl/>
        </w:rPr>
        <w:t xml:space="preserve">رى </w:t>
      </w:r>
      <w:r w:rsidRPr="003E698F">
        <w:rPr>
          <w:spacing w:val="0"/>
          <w:kern w:val="0"/>
          <w:sz w:val="20"/>
          <w:rtl/>
        </w:rPr>
        <w:t xml:space="preserve">اللجنة، </w:t>
      </w:r>
      <w:r w:rsidRPr="003E698F">
        <w:rPr>
          <w:rFonts w:hint="cs"/>
          <w:spacing w:val="0"/>
          <w:kern w:val="0"/>
          <w:sz w:val="20"/>
          <w:rtl/>
        </w:rPr>
        <w:t>في ضوء جميع</w:t>
      </w:r>
      <w:r w:rsidRPr="003E698F">
        <w:rPr>
          <w:spacing w:val="0"/>
          <w:kern w:val="0"/>
          <w:sz w:val="20"/>
          <w:rtl/>
        </w:rPr>
        <w:t xml:space="preserve"> المعلومات المعروضة عليها، أن صاحب</w:t>
      </w:r>
      <w:r w:rsidRPr="003E698F">
        <w:rPr>
          <w:rFonts w:hint="cs"/>
          <w:spacing w:val="0"/>
          <w:kern w:val="0"/>
          <w:sz w:val="20"/>
          <w:rtl/>
        </w:rPr>
        <w:t xml:space="preserve"> الشكوى</w:t>
      </w:r>
      <w:r w:rsidRPr="003E698F">
        <w:rPr>
          <w:spacing w:val="0"/>
          <w:kern w:val="0"/>
          <w:sz w:val="20"/>
          <w:rtl/>
        </w:rPr>
        <w:t xml:space="preserve"> لم</w:t>
      </w:r>
      <w:r w:rsidR="00772699">
        <w:rPr>
          <w:rFonts w:hint="cs"/>
          <w:spacing w:val="0"/>
          <w:kern w:val="0"/>
          <w:sz w:val="20"/>
          <w:rtl/>
        </w:rPr>
        <w:t> </w:t>
      </w:r>
      <w:r w:rsidRPr="003E698F">
        <w:rPr>
          <w:spacing w:val="0"/>
          <w:kern w:val="0"/>
          <w:sz w:val="20"/>
          <w:rtl/>
        </w:rPr>
        <w:t xml:space="preserve">يقدم ما يكفي من الأدلة ليثبت </w:t>
      </w:r>
      <w:r w:rsidRPr="003E698F">
        <w:rPr>
          <w:rFonts w:hint="cs"/>
          <w:spacing w:val="0"/>
          <w:kern w:val="0"/>
          <w:sz w:val="20"/>
          <w:rtl/>
        </w:rPr>
        <w:t>ما إذا كان هو نفسه</w:t>
      </w:r>
      <w:r w:rsidRPr="003E698F">
        <w:rPr>
          <w:spacing w:val="0"/>
          <w:kern w:val="0"/>
          <w:sz w:val="20"/>
          <w:rtl/>
        </w:rPr>
        <w:t xml:space="preserve"> </w:t>
      </w:r>
      <w:r w:rsidRPr="003E698F">
        <w:rPr>
          <w:rFonts w:hint="cs"/>
          <w:spacing w:val="0"/>
          <w:kern w:val="0"/>
          <w:sz w:val="20"/>
          <w:rtl/>
        </w:rPr>
        <w:t xml:space="preserve">أو أي طفل من طفليه </w:t>
      </w:r>
      <w:r w:rsidRPr="003E698F">
        <w:rPr>
          <w:spacing w:val="0"/>
          <w:kern w:val="0"/>
          <w:sz w:val="20"/>
          <w:rtl/>
        </w:rPr>
        <w:t>يواجه خطرا</w:t>
      </w:r>
      <w:r w:rsidRPr="003E698F">
        <w:rPr>
          <w:rFonts w:hint="cs"/>
          <w:spacing w:val="0"/>
          <w:kern w:val="0"/>
          <w:sz w:val="20"/>
          <w:rtl/>
        </w:rPr>
        <w:t>ً</w:t>
      </w:r>
      <w:r w:rsidRPr="003E698F">
        <w:rPr>
          <w:spacing w:val="0"/>
          <w:kern w:val="0"/>
          <w:sz w:val="20"/>
          <w:rtl/>
        </w:rPr>
        <w:t xml:space="preserve"> ومتوقعا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و</w:t>
      </w:r>
      <w:r w:rsidRPr="003E698F">
        <w:rPr>
          <w:spacing w:val="0"/>
          <w:kern w:val="0"/>
          <w:sz w:val="20"/>
          <w:rtl/>
        </w:rPr>
        <w:t>حقيق</w:t>
      </w:r>
      <w:r w:rsidRPr="003E698F">
        <w:rPr>
          <w:rFonts w:hint="cs"/>
          <w:spacing w:val="0"/>
          <w:kern w:val="0"/>
          <w:sz w:val="20"/>
          <w:rtl/>
        </w:rPr>
        <w:t>ي</w:t>
      </w:r>
      <w:r w:rsidRPr="003E698F">
        <w:rPr>
          <w:spacing w:val="0"/>
          <w:kern w:val="0"/>
          <w:sz w:val="20"/>
          <w:rtl/>
        </w:rPr>
        <w:t>ا</w:t>
      </w:r>
      <w:r w:rsidRPr="003E698F">
        <w:rPr>
          <w:rFonts w:hint="cs"/>
          <w:spacing w:val="0"/>
          <w:kern w:val="0"/>
          <w:sz w:val="20"/>
          <w:rtl/>
        </w:rPr>
        <w:t>ً</w:t>
      </w:r>
      <w:r w:rsidRPr="003E698F">
        <w:rPr>
          <w:spacing w:val="0"/>
          <w:kern w:val="0"/>
          <w:sz w:val="20"/>
          <w:rtl/>
        </w:rPr>
        <w:t xml:space="preserve"> </w:t>
      </w:r>
      <w:r w:rsidRPr="003E698F">
        <w:rPr>
          <w:rFonts w:hint="cs"/>
          <w:spacing w:val="0"/>
          <w:kern w:val="0"/>
          <w:sz w:val="20"/>
          <w:rtl/>
        </w:rPr>
        <w:t>و</w:t>
      </w:r>
      <w:r w:rsidRPr="003E698F">
        <w:rPr>
          <w:spacing w:val="0"/>
          <w:kern w:val="0"/>
          <w:sz w:val="20"/>
          <w:rtl/>
        </w:rPr>
        <w:t xml:space="preserve">شخصياً </w:t>
      </w:r>
      <w:r w:rsidRPr="003E698F">
        <w:rPr>
          <w:rFonts w:hint="cs"/>
          <w:spacing w:val="0"/>
          <w:kern w:val="0"/>
          <w:sz w:val="20"/>
          <w:rtl/>
        </w:rPr>
        <w:t>با</w:t>
      </w:r>
      <w:r w:rsidRPr="003E698F">
        <w:rPr>
          <w:spacing w:val="0"/>
          <w:kern w:val="0"/>
          <w:sz w:val="20"/>
          <w:rtl/>
        </w:rPr>
        <w:t xml:space="preserve">لتعرض للتعذيب إذا </w:t>
      </w:r>
      <w:r w:rsidRPr="003E698F">
        <w:rPr>
          <w:rFonts w:hint="cs"/>
          <w:spacing w:val="0"/>
          <w:kern w:val="0"/>
          <w:sz w:val="20"/>
          <w:rtl/>
        </w:rPr>
        <w:t>طردوا</w:t>
      </w:r>
      <w:r w:rsidRPr="003E698F">
        <w:rPr>
          <w:spacing w:val="0"/>
          <w:kern w:val="0"/>
          <w:sz w:val="20"/>
          <w:rtl/>
        </w:rPr>
        <w:t xml:space="preserve"> إلى </w:t>
      </w:r>
      <w:r w:rsidRPr="003E698F">
        <w:rPr>
          <w:rFonts w:hint="cs"/>
          <w:spacing w:val="0"/>
          <w:kern w:val="0"/>
          <w:sz w:val="20"/>
          <w:rtl/>
        </w:rPr>
        <w:t>بلدهم الأصلي.</w:t>
      </w:r>
    </w:p>
    <w:p w:rsidR="001D3F00" w:rsidRDefault="00921F02" w:rsidP="00BF3AE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rPr>
      </w:pPr>
      <w:r w:rsidRPr="003E698F">
        <w:rPr>
          <w:rFonts w:hint="cs"/>
          <w:spacing w:val="0"/>
          <w:kern w:val="0"/>
          <w:sz w:val="20"/>
          <w:rtl/>
        </w:rPr>
        <w:t>9-</w:t>
      </w:r>
      <w:r w:rsidRPr="003E698F">
        <w:rPr>
          <w:rFonts w:hint="cs"/>
          <w:spacing w:val="0"/>
          <w:kern w:val="0"/>
          <w:sz w:val="20"/>
          <w:rtl/>
        </w:rPr>
        <w:tab/>
        <w:t>وإن لجنة مناهضة التعذيب، إذ تعمل بموجب الفقرة 7 من المادة 22 من اتفاقية مناهضة التعذيب وغيره من ضروب المعاملة أو العقوبة القاسية أو اللاإنسانية أو المهينة، تخلص إلى أن طرد صاحب الشكوى مع طفليه إلى جمهورية الكونغو الديمقراطية لا يشكل انتهاكاً للمادة 3 من الاتفاقية.</w:t>
      </w:r>
    </w:p>
    <w:p w:rsidR="009A1314" w:rsidRPr="003E698F" w:rsidRDefault="009A1314" w:rsidP="00BF3AE0">
      <w:pPr>
        <w:tabs>
          <w:tab w:val="left" w:pos="1928"/>
          <w:tab w:val="left" w:pos="2608"/>
          <w:tab w:val="left" w:pos="3289"/>
          <w:tab w:val="left" w:pos="3969"/>
          <w:tab w:val="left" w:pos="4649"/>
          <w:tab w:val="left" w:pos="5330"/>
        </w:tabs>
        <w:spacing w:after="120" w:line="380" w:lineRule="exact"/>
        <w:ind w:left="1247" w:right="1247"/>
        <w:jc w:val="lowKashida"/>
        <w:rPr>
          <w:rFonts w:hint="cs"/>
          <w:spacing w:val="0"/>
          <w:kern w:val="0"/>
          <w:sz w:val="20"/>
          <w:rtl/>
          <w:lang w:eastAsia="en-US"/>
        </w:rPr>
      </w:pPr>
    </w:p>
    <w:p w:rsidR="00325C94" w:rsidRDefault="00325C94" w:rsidP="00FA6676">
      <w:pPr>
        <w:pStyle w:val="HChGA"/>
        <w:rPr>
          <w:rtl/>
          <w:lang w:val="fr-CH"/>
        </w:rPr>
        <w:sectPr w:rsidR="00325C94"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EA66E5" w:rsidRPr="00EA66E5" w:rsidRDefault="00EA66E5" w:rsidP="00EA66E5">
      <w:pPr>
        <w:pStyle w:val="H1GA"/>
        <w:spacing w:before="120"/>
        <w:rPr>
          <w:rFonts w:hint="cs"/>
          <w:spacing w:val="0"/>
          <w:kern w:val="0"/>
          <w:rtl/>
          <w:lang w:bidi="ar-SY"/>
        </w:rPr>
      </w:pPr>
      <w:r w:rsidRPr="00EA66E5">
        <w:rPr>
          <w:rFonts w:hint="cs"/>
          <w:spacing w:val="0"/>
          <w:kern w:val="0"/>
          <w:rtl/>
          <w:lang w:bidi="ar-SY"/>
        </w:rPr>
        <w:tab/>
      </w:r>
      <w:r w:rsidRPr="00EA66E5">
        <w:rPr>
          <w:rFonts w:hint="cs"/>
          <w:spacing w:val="0"/>
          <w:kern w:val="0"/>
          <w:rtl/>
          <w:lang w:bidi="ar-SY"/>
        </w:rPr>
        <w:tab/>
        <w:t>البلاغ رقم 368/2008</w:t>
      </w:r>
      <w:r w:rsidRPr="00EA66E5">
        <w:rPr>
          <w:rFonts w:hint="cs"/>
          <w:spacing w:val="0"/>
          <w:kern w:val="0"/>
          <w:sz w:val="20"/>
          <w:rtl/>
          <w:lang w:bidi="ar-SY"/>
        </w:rPr>
        <w:t xml:space="preserve">: </w:t>
      </w:r>
      <w:r w:rsidRPr="00EA66E5">
        <w:rPr>
          <w:rFonts w:hint="cs"/>
          <w:i/>
          <w:iCs/>
          <w:spacing w:val="0"/>
          <w:kern w:val="0"/>
          <w:sz w:val="20"/>
          <w:rtl/>
          <w:lang w:bidi="ar-SY"/>
        </w:rPr>
        <w:t>سونكو ضد إسبانيا</w:t>
      </w:r>
      <w:r w:rsidRPr="00EA66E5">
        <w:rPr>
          <w:rStyle w:val="FootnoteReference"/>
          <w:spacing w:val="0"/>
          <w:sz w:val="20"/>
          <w:vertAlign w:val="baseline"/>
          <w:rtl/>
          <w:lang w:bidi="ar-SY"/>
        </w:rPr>
        <w:footnoteReference w:customMarkFollows="1" w:id="216"/>
        <w:t>*</w:t>
      </w:r>
    </w:p>
    <w:p w:rsidR="00EA66E5" w:rsidRPr="00EA66E5" w:rsidRDefault="00EA66E5" w:rsidP="00D3490C">
      <w:pPr>
        <w:pStyle w:val="SingleTxtGA"/>
        <w:tabs>
          <w:tab w:val="clear" w:pos="1928"/>
          <w:tab w:val="clear" w:pos="2608"/>
          <w:tab w:val="clear" w:pos="3289"/>
          <w:tab w:val="clear" w:pos="3969"/>
          <w:tab w:val="clear" w:pos="4649"/>
          <w:tab w:val="clear" w:pos="5330"/>
        </w:tabs>
        <w:ind w:left="4224" w:hanging="2325"/>
        <w:jc w:val="lowKashida"/>
        <w:rPr>
          <w:rFonts w:hint="cs"/>
          <w:i/>
          <w:iCs/>
          <w:spacing w:val="0"/>
          <w:kern w:val="0"/>
          <w:rtl/>
          <w:lang w:bidi="ar-SY"/>
        </w:rPr>
      </w:pPr>
      <w:r w:rsidRPr="00EA66E5">
        <w:rPr>
          <w:rFonts w:hint="cs"/>
          <w:i/>
          <w:iCs/>
          <w:spacing w:val="0"/>
          <w:kern w:val="0"/>
          <w:rtl/>
          <w:lang w:bidi="ar-SY"/>
        </w:rPr>
        <w:t>المقدم من:</w:t>
      </w:r>
      <w:r w:rsidRPr="00EA66E5">
        <w:rPr>
          <w:rFonts w:hint="cs"/>
          <w:i/>
          <w:iCs/>
          <w:spacing w:val="0"/>
          <w:kern w:val="0"/>
          <w:rtl/>
          <w:lang w:bidi="ar-SY"/>
        </w:rPr>
        <w:tab/>
      </w:r>
      <w:r w:rsidRPr="00EA66E5">
        <w:rPr>
          <w:rFonts w:hint="cs"/>
          <w:spacing w:val="0"/>
          <w:kern w:val="0"/>
          <w:rtl/>
          <w:lang w:bidi="ar-SY"/>
        </w:rPr>
        <w:t>فاتو سونكو</w:t>
      </w:r>
      <w:r w:rsidRPr="00EA66E5">
        <w:rPr>
          <w:spacing w:val="0"/>
          <w:kern w:val="0"/>
          <w:rtl/>
          <w:lang w:bidi="ar-SY"/>
        </w:rPr>
        <w:t xml:space="preserve"> (</w:t>
      </w:r>
      <w:r w:rsidRPr="00EA66E5">
        <w:rPr>
          <w:rFonts w:hint="cs"/>
          <w:spacing w:val="0"/>
          <w:kern w:val="0"/>
          <w:rtl/>
          <w:lang w:bidi="ar-SY"/>
        </w:rPr>
        <w:t>ي</w:t>
      </w:r>
      <w:r w:rsidRPr="00EA66E5">
        <w:rPr>
          <w:spacing w:val="0"/>
          <w:kern w:val="0"/>
          <w:rtl/>
          <w:lang w:bidi="ar-SY"/>
        </w:rPr>
        <w:t>مثله</w:t>
      </w:r>
      <w:r w:rsidRPr="00EA66E5">
        <w:rPr>
          <w:rFonts w:hint="cs"/>
          <w:spacing w:val="0"/>
          <w:kern w:val="0"/>
          <w:rtl/>
          <w:lang w:bidi="ar-SY"/>
        </w:rPr>
        <w:t>ا</w:t>
      </w:r>
      <w:r w:rsidRPr="00EA66E5">
        <w:rPr>
          <w:spacing w:val="0"/>
          <w:kern w:val="0"/>
          <w:rtl/>
          <w:lang w:bidi="ar-SY"/>
        </w:rPr>
        <w:t xml:space="preserve"> المحامي </w:t>
      </w:r>
      <w:r w:rsidRPr="00EA66E5">
        <w:rPr>
          <w:rFonts w:hint="cs"/>
          <w:spacing w:val="0"/>
          <w:kern w:val="0"/>
          <w:rtl/>
          <w:lang w:bidi="ar-SY"/>
        </w:rPr>
        <w:t>ألبرتو ج. ريفويلتا لوسيرغا</w:t>
      </w:r>
      <w:r w:rsidRPr="00EA66E5">
        <w:rPr>
          <w:spacing w:val="0"/>
          <w:kern w:val="0"/>
          <w:rtl/>
          <w:lang w:bidi="ar-SY"/>
        </w:rPr>
        <w:t>)</w:t>
      </w:r>
    </w:p>
    <w:p w:rsidR="00EA66E5" w:rsidRPr="00EA66E5" w:rsidRDefault="00EA66E5" w:rsidP="00D3490C">
      <w:pPr>
        <w:pStyle w:val="SingleTxtGA"/>
        <w:tabs>
          <w:tab w:val="clear" w:pos="1928"/>
          <w:tab w:val="clear" w:pos="2608"/>
          <w:tab w:val="clear" w:pos="3289"/>
          <w:tab w:val="clear" w:pos="3969"/>
          <w:tab w:val="clear" w:pos="4649"/>
          <w:tab w:val="clear" w:pos="5330"/>
        </w:tabs>
        <w:ind w:left="4224" w:hanging="2325"/>
        <w:jc w:val="lowKashida"/>
        <w:rPr>
          <w:rFonts w:hint="cs"/>
          <w:spacing w:val="0"/>
          <w:kern w:val="0"/>
          <w:rtl/>
          <w:lang w:bidi="ar-SY"/>
        </w:rPr>
      </w:pPr>
      <w:r w:rsidRPr="00EA66E5">
        <w:rPr>
          <w:rFonts w:hint="cs"/>
          <w:i/>
          <w:iCs/>
          <w:spacing w:val="0"/>
          <w:kern w:val="0"/>
          <w:rtl/>
          <w:lang w:bidi="ar-SY"/>
        </w:rPr>
        <w:t>الشخص المدع</w:t>
      </w:r>
      <w:r w:rsidR="00D3490C">
        <w:rPr>
          <w:rFonts w:hint="cs"/>
          <w:i/>
          <w:iCs/>
          <w:spacing w:val="0"/>
          <w:kern w:val="0"/>
          <w:rtl/>
          <w:lang w:bidi="ar-SY"/>
        </w:rPr>
        <w:t>ى</w:t>
      </w:r>
      <w:r w:rsidRPr="00EA66E5">
        <w:rPr>
          <w:rFonts w:hint="cs"/>
          <w:i/>
          <w:iCs/>
          <w:spacing w:val="0"/>
          <w:kern w:val="0"/>
          <w:rtl/>
          <w:lang w:bidi="ar-SY"/>
        </w:rPr>
        <w:t xml:space="preserve"> أنه ضحية:</w:t>
      </w:r>
      <w:r w:rsidRPr="00EA66E5">
        <w:rPr>
          <w:rFonts w:hint="cs"/>
          <w:spacing w:val="0"/>
          <w:kern w:val="0"/>
          <w:rtl/>
          <w:lang w:bidi="ar-SY"/>
        </w:rPr>
        <w:tab/>
        <w:t>لودنغ سونكو (متوفى)</w:t>
      </w:r>
    </w:p>
    <w:p w:rsidR="00EA66E5" w:rsidRPr="00EA66E5" w:rsidRDefault="00EA66E5" w:rsidP="00D3490C">
      <w:pPr>
        <w:pStyle w:val="SingleTxtGA"/>
        <w:tabs>
          <w:tab w:val="clear" w:pos="1928"/>
          <w:tab w:val="clear" w:pos="2608"/>
          <w:tab w:val="clear" w:pos="3289"/>
          <w:tab w:val="clear" w:pos="3969"/>
          <w:tab w:val="clear" w:pos="4649"/>
          <w:tab w:val="clear" w:pos="5330"/>
        </w:tabs>
        <w:ind w:left="4224" w:hanging="2325"/>
        <w:jc w:val="lowKashida"/>
        <w:rPr>
          <w:rFonts w:hint="cs"/>
          <w:spacing w:val="0"/>
          <w:kern w:val="0"/>
          <w:rtl/>
          <w:lang w:bidi="ar-SY"/>
        </w:rPr>
      </w:pPr>
      <w:r w:rsidRPr="00EA66E5">
        <w:rPr>
          <w:rFonts w:hint="cs"/>
          <w:i/>
          <w:iCs/>
          <w:spacing w:val="0"/>
          <w:kern w:val="0"/>
          <w:rtl/>
          <w:lang w:bidi="ar-SY"/>
        </w:rPr>
        <w:t>الدولة الطرف:</w:t>
      </w:r>
      <w:r w:rsidRPr="00EA66E5">
        <w:rPr>
          <w:rFonts w:hint="cs"/>
          <w:spacing w:val="0"/>
          <w:kern w:val="0"/>
          <w:rtl/>
          <w:lang w:bidi="ar-SY"/>
        </w:rPr>
        <w:tab/>
        <w:t>إسبانيا</w:t>
      </w:r>
    </w:p>
    <w:p w:rsidR="00EA66E5" w:rsidRPr="00D3490C" w:rsidRDefault="00EA66E5" w:rsidP="00D3490C">
      <w:pPr>
        <w:pStyle w:val="SingleTxtGA"/>
        <w:tabs>
          <w:tab w:val="clear" w:pos="1928"/>
          <w:tab w:val="clear" w:pos="2608"/>
          <w:tab w:val="clear" w:pos="3289"/>
          <w:tab w:val="clear" w:pos="3969"/>
          <w:tab w:val="clear" w:pos="4649"/>
          <w:tab w:val="clear" w:pos="5330"/>
        </w:tabs>
        <w:ind w:left="4224" w:hanging="2325"/>
        <w:jc w:val="lowKashida"/>
        <w:rPr>
          <w:rFonts w:hint="cs"/>
          <w:spacing w:val="-4"/>
          <w:kern w:val="0"/>
          <w:rtl/>
          <w:lang w:bidi="ar-SY"/>
        </w:rPr>
      </w:pPr>
      <w:r w:rsidRPr="00D3490C">
        <w:rPr>
          <w:rFonts w:hint="cs"/>
          <w:i/>
          <w:iCs/>
          <w:spacing w:val="-4"/>
          <w:kern w:val="0"/>
          <w:rtl/>
          <w:lang w:bidi="ar-SY"/>
        </w:rPr>
        <w:t>تاريخ تقديم الشكوى:</w:t>
      </w:r>
      <w:r w:rsidRPr="00D3490C">
        <w:rPr>
          <w:rFonts w:hint="cs"/>
          <w:spacing w:val="-4"/>
          <w:kern w:val="0"/>
          <w:rtl/>
          <w:lang w:bidi="ar-SY"/>
        </w:rPr>
        <w:tab/>
        <w:t>23</w:t>
      </w:r>
      <w:r w:rsidRPr="00D3490C">
        <w:rPr>
          <w:spacing w:val="-4"/>
          <w:kern w:val="0"/>
          <w:rtl/>
          <w:lang w:bidi="ar-SY"/>
        </w:rPr>
        <w:t xml:space="preserve"> تشرين </w:t>
      </w:r>
      <w:r w:rsidRPr="00D3490C">
        <w:rPr>
          <w:rFonts w:hint="cs"/>
          <w:spacing w:val="-4"/>
          <w:kern w:val="0"/>
          <w:rtl/>
          <w:lang w:bidi="ar-SY"/>
        </w:rPr>
        <w:t>الأول</w:t>
      </w:r>
      <w:r w:rsidRPr="00D3490C">
        <w:rPr>
          <w:spacing w:val="-4"/>
          <w:kern w:val="0"/>
          <w:rtl/>
          <w:lang w:bidi="ar-SY"/>
        </w:rPr>
        <w:t>/</w:t>
      </w:r>
      <w:r w:rsidRPr="00D3490C">
        <w:rPr>
          <w:rFonts w:hint="cs"/>
          <w:spacing w:val="-4"/>
          <w:kern w:val="0"/>
          <w:rtl/>
          <w:lang w:bidi="ar-SY"/>
        </w:rPr>
        <w:t>أكتوبر</w:t>
      </w:r>
      <w:r w:rsidRPr="00D3490C">
        <w:rPr>
          <w:spacing w:val="-4"/>
          <w:kern w:val="0"/>
          <w:rtl/>
          <w:lang w:bidi="ar-SY"/>
        </w:rPr>
        <w:t xml:space="preserve"> 2008 (تاريخ الرسالة الأولى)</w:t>
      </w:r>
    </w:p>
    <w:p w:rsidR="00EA66E5" w:rsidRPr="00EA66E5" w:rsidRDefault="00EA66E5" w:rsidP="00D3490C">
      <w:pPr>
        <w:pStyle w:val="SingleTxtGA"/>
        <w:jc w:val="lowKashida"/>
        <w:rPr>
          <w:rFonts w:hint="cs"/>
          <w:spacing w:val="0"/>
          <w:kern w:val="0"/>
          <w:sz w:val="30"/>
          <w:szCs w:val="20"/>
          <w:rtl/>
        </w:rPr>
      </w:pPr>
      <w:r w:rsidRPr="00EA66E5">
        <w:rPr>
          <w:rFonts w:hint="cs"/>
          <w:i/>
          <w:iCs/>
          <w:spacing w:val="0"/>
          <w:kern w:val="0"/>
          <w:rtl/>
          <w:lang w:bidi="ar-SY"/>
        </w:rPr>
        <w:tab/>
        <w:t>إن لجنة مناهضة التعذيب</w:t>
      </w:r>
      <w:r w:rsidRPr="00EA66E5">
        <w:rPr>
          <w:rFonts w:hint="cs"/>
          <w:spacing w:val="0"/>
          <w:kern w:val="0"/>
          <w:rtl/>
          <w:lang w:bidi="ar-SY"/>
        </w:rPr>
        <w:t xml:space="preserve">، المنشأة بموجب المادة 17 من </w:t>
      </w:r>
      <w:r w:rsidRPr="00EA66E5">
        <w:rPr>
          <w:spacing w:val="0"/>
          <w:kern w:val="0"/>
          <w:rtl/>
          <w:lang w:bidi="ar-SY"/>
        </w:rPr>
        <w:t>اتفاقية مناهضة التعذيب وغيره من ضروب المعاملة أو العقوبة القاسية أو اللاإنسانية أو المهينة</w:t>
      </w:r>
      <w:r w:rsidRPr="00EA66E5">
        <w:rPr>
          <w:rFonts w:hint="cs"/>
          <w:spacing w:val="0"/>
          <w:kern w:val="0"/>
          <w:rtl/>
          <w:lang w:bidi="ar-SY"/>
        </w:rPr>
        <w:t>،</w:t>
      </w:r>
    </w:p>
    <w:p w:rsidR="00EA66E5" w:rsidRPr="00EA66E5" w:rsidRDefault="00EA66E5" w:rsidP="00D3490C">
      <w:pPr>
        <w:pStyle w:val="SingleTxtGA"/>
        <w:jc w:val="lowKashida"/>
        <w:rPr>
          <w:rFonts w:hint="cs"/>
          <w:spacing w:val="0"/>
          <w:kern w:val="0"/>
          <w:rtl/>
          <w:lang w:bidi="ar-SY"/>
        </w:rPr>
      </w:pPr>
      <w:r w:rsidRPr="00EA66E5">
        <w:rPr>
          <w:rFonts w:hint="cs"/>
          <w:i/>
          <w:iCs/>
          <w:spacing w:val="0"/>
          <w:kern w:val="0"/>
          <w:rtl/>
          <w:lang w:bidi="ar-SY"/>
        </w:rPr>
        <w:tab/>
        <w:t>وقد اجتمعت</w:t>
      </w:r>
      <w:r w:rsidRPr="00EA66E5">
        <w:rPr>
          <w:rFonts w:hint="cs"/>
          <w:spacing w:val="0"/>
          <w:kern w:val="0"/>
          <w:rtl/>
          <w:lang w:bidi="ar-SY"/>
        </w:rPr>
        <w:t xml:space="preserve"> في 25</w:t>
      </w:r>
      <w:r w:rsidRPr="00EA66E5">
        <w:rPr>
          <w:spacing w:val="0"/>
          <w:kern w:val="0"/>
          <w:rtl/>
          <w:lang w:bidi="ar-SY"/>
        </w:rPr>
        <w:t xml:space="preserve"> تشرين الثاني/نوفمبر 2011</w:t>
      </w:r>
      <w:r w:rsidRPr="00EA66E5">
        <w:rPr>
          <w:rFonts w:hint="cs"/>
          <w:spacing w:val="0"/>
          <w:kern w:val="0"/>
          <w:rtl/>
          <w:lang w:bidi="ar-SY"/>
        </w:rPr>
        <w:t>،</w:t>
      </w:r>
    </w:p>
    <w:p w:rsidR="00EA66E5" w:rsidRPr="00EA66E5" w:rsidRDefault="00EA66E5" w:rsidP="00D3490C">
      <w:pPr>
        <w:pStyle w:val="SingleTxtGA"/>
        <w:jc w:val="lowKashida"/>
        <w:rPr>
          <w:rFonts w:hint="cs"/>
          <w:spacing w:val="0"/>
          <w:kern w:val="0"/>
          <w:rtl/>
          <w:lang w:bidi="ar-SY"/>
        </w:rPr>
      </w:pPr>
      <w:r w:rsidRPr="00EA66E5">
        <w:rPr>
          <w:rFonts w:hint="cs"/>
          <w:i/>
          <w:iCs/>
          <w:spacing w:val="0"/>
          <w:kern w:val="0"/>
          <w:rtl/>
          <w:lang w:bidi="ar-SY"/>
        </w:rPr>
        <w:tab/>
        <w:t>وقد فرغت</w:t>
      </w:r>
      <w:r w:rsidRPr="00EA66E5">
        <w:rPr>
          <w:rFonts w:hint="cs"/>
          <w:spacing w:val="0"/>
          <w:kern w:val="0"/>
          <w:rtl/>
          <w:lang w:bidi="ar-SY"/>
        </w:rPr>
        <w:t xml:space="preserve"> من النظر في البلاغ</w:t>
      </w:r>
      <w:r w:rsidRPr="00EA66E5">
        <w:rPr>
          <w:spacing w:val="0"/>
          <w:kern w:val="0"/>
          <w:rtl/>
          <w:lang w:bidi="ar-SY"/>
        </w:rPr>
        <w:t xml:space="preserve"> رقم </w:t>
      </w:r>
      <w:r w:rsidRPr="00EA66E5">
        <w:rPr>
          <w:rFonts w:hint="cs"/>
          <w:spacing w:val="0"/>
          <w:kern w:val="0"/>
          <w:rtl/>
          <w:lang w:bidi="ar-SY"/>
        </w:rPr>
        <w:t>368</w:t>
      </w:r>
      <w:r w:rsidRPr="00EA66E5">
        <w:rPr>
          <w:spacing w:val="0"/>
          <w:kern w:val="0"/>
          <w:rtl/>
          <w:lang w:bidi="ar-SY"/>
        </w:rPr>
        <w:t>/200</w:t>
      </w:r>
      <w:r w:rsidRPr="00EA66E5">
        <w:rPr>
          <w:rFonts w:hint="cs"/>
          <w:spacing w:val="0"/>
          <w:kern w:val="0"/>
          <w:rtl/>
          <w:lang w:bidi="ar-SY"/>
        </w:rPr>
        <w:t>8</w:t>
      </w:r>
      <w:r w:rsidRPr="00EA66E5">
        <w:rPr>
          <w:spacing w:val="0"/>
          <w:kern w:val="0"/>
          <w:rtl/>
          <w:lang w:bidi="ar-SY"/>
        </w:rPr>
        <w:t>، المقدم إلى لجنة مناهضة التعذيب بموجب المادة 22 من اتفاقية</w:t>
      </w:r>
      <w:r w:rsidRPr="00EA66E5">
        <w:rPr>
          <w:rFonts w:hint="cs"/>
          <w:spacing w:val="0"/>
          <w:kern w:val="0"/>
          <w:rtl/>
          <w:lang w:bidi="ar-SY"/>
        </w:rPr>
        <w:t xml:space="preserve"> </w:t>
      </w:r>
      <w:r w:rsidRPr="00EA66E5">
        <w:rPr>
          <w:spacing w:val="0"/>
          <w:kern w:val="0"/>
          <w:rtl/>
          <w:lang w:bidi="ar-SY"/>
        </w:rPr>
        <w:t>مناهضة التعذيب وغيره من ضروب المعاملة أو العقوبة القاسية أو اللاإنسانية أو المهينة</w:t>
      </w:r>
      <w:r w:rsidRPr="00EA66E5">
        <w:rPr>
          <w:rFonts w:hint="cs"/>
          <w:spacing w:val="0"/>
          <w:kern w:val="0"/>
          <w:rtl/>
          <w:lang w:bidi="ar-SY"/>
        </w:rPr>
        <w:t>،</w:t>
      </w:r>
    </w:p>
    <w:p w:rsidR="00EA66E5" w:rsidRPr="00EA66E5" w:rsidRDefault="00EA66E5" w:rsidP="00D3490C">
      <w:pPr>
        <w:pStyle w:val="SingleTxtGA"/>
        <w:jc w:val="lowKashida"/>
        <w:rPr>
          <w:rFonts w:hint="cs"/>
          <w:spacing w:val="0"/>
          <w:kern w:val="0"/>
          <w:rtl/>
          <w:lang w:bidi="ar-SY"/>
        </w:rPr>
      </w:pPr>
      <w:r w:rsidRPr="00EA66E5">
        <w:rPr>
          <w:rFonts w:hint="cs"/>
          <w:i/>
          <w:iCs/>
          <w:spacing w:val="0"/>
          <w:kern w:val="0"/>
          <w:rtl/>
          <w:lang w:bidi="ar-SY"/>
        </w:rPr>
        <w:tab/>
        <w:t>وقد وضعت في الاعتبار</w:t>
      </w:r>
      <w:r w:rsidRPr="00EA66E5">
        <w:rPr>
          <w:rFonts w:hint="cs"/>
          <w:spacing w:val="0"/>
          <w:kern w:val="0"/>
          <w:rtl/>
          <w:lang w:bidi="ar-SY"/>
        </w:rPr>
        <w:t xml:space="preserve"> جميع المعلومات التي أتاحها لها كلّ من صاحبة الشكوى ومحاميها والدولة الطرف،</w:t>
      </w:r>
    </w:p>
    <w:p w:rsidR="00EA66E5" w:rsidRPr="00EA66E5" w:rsidRDefault="00EA66E5" w:rsidP="00D3490C">
      <w:pPr>
        <w:pStyle w:val="SingleTxtGA"/>
        <w:jc w:val="lowKashida"/>
        <w:rPr>
          <w:rFonts w:hint="cs"/>
          <w:spacing w:val="0"/>
          <w:kern w:val="0"/>
          <w:rtl/>
        </w:rPr>
      </w:pPr>
      <w:r w:rsidRPr="00EA66E5">
        <w:rPr>
          <w:rFonts w:hint="cs"/>
          <w:spacing w:val="0"/>
          <w:kern w:val="0"/>
          <w:rtl/>
          <w:lang w:bidi="ar-SY"/>
        </w:rPr>
        <w:tab/>
      </w:r>
      <w:r w:rsidRPr="00EA66E5">
        <w:rPr>
          <w:rFonts w:hint="cs"/>
          <w:i/>
          <w:iCs/>
          <w:spacing w:val="0"/>
          <w:kern w:val="0"/>
          <w:rtl/>
          <w:lang w:bidi="ar-SY"/>
        </w:rPr>
        <w:t>تعتمد</w:t>
      </w:r>
      <w:r w:rsidRPr="00EA66E5">
        <w:rPr>
          <w:rFonts w:hint="cs"/>
          <w:spacing w:val="0"/>
          <w:kern w:val="0"/>
          <w:rtl/>
          <w:lang w:bidi="ar-SY"/>
        </w:rPr>
        <w:t xml:space="preserve"> ما يلي</w:t>
      </w:r>
      <w:r w:rsidRPr="00EA66E5">
        <w:rPr>
          <w:rFonts w:hint="cs"/>
          <w:spacing w:val="0"/>
          <w:kern w:val="0"/>
          <w:rtl/>
        </w:rPr>
        <w:t>:</w:t>
      </w:r>
    </w:p>
    <w:p w:rsidR="00EA66E5" w:rsidRPr="00EA66E5" w:rsidRDefault="00EA66E5" w:rsidP="00EA66E5">
      <w:pPr>
        <w:pStyle w:val="H1GA"/>
        <w:rPr>
          <w:rFonts w:hint="cs"/>
          <w:spacing w:val="0"/>
          <w:kern w:val="0"/>
          <w:rtl/>
        </w:rPr>
      </w:pPr>
      <w:r w:rsidRPr="00EA66E5">
        <w:rPr>
          <w:rFonts w:hint="cs"/>
          <w:spacing w:val="0"/>
          <w:kern w:val="0"/>
          <w:rtl/>
        </w:rPr>
        <w:tab/>
      </w:r>
      <w:r w:rsidRPr="00EA66E5">
        <w:rPr>
          <w:rFonts w:hint="cs"/>
          <w:spacing w:val="0"/>
          <w:kern w:val="0"/>
          <w:rtl/>
        </w:rPr>
        <w:tab/>
      </w:r>
      <w:r w:rsidRPr="00EA66E5">
        <w:rPr>
          <w:spacing w:val="0"/>
          <w:kern w:val="0"/>
          <w:rtl/>
        </w:rPr>
        <w:t>قرار بموجب الفقرة 7 من المادة 22 من اتفاقية مناهضة التعذيب</w:t>
      </w:r>
    </w:p>
    <w:p w:rsidR="00EA66E5" w:rsidRPr="00EA66E5" w:rsidRDefault="00EA66E5" w:rsidP="00EA66E5">
      <w:pPr>
        <w:pStyle w:val="SingleTxtGA"/>
        <w:jc w:val="lowKashida"/>
        <w:rPr>
          <w:rFonts w:hint="cs"/>
          <w:spacing w:val="0"/>
          <w:kern w:val="0"/>
          <w:rtl/>
          <w:lang w:val="en-CA"/>
        </w:rPr>
      </w:pPr>
      <w:r w:rsidRPr="00EA66E5">
        <w:rPr>
          <w:spacing w:val="0"/>
          <w:kern w:val="0"/>
          <w:rtl/>
          <w:lang w:val="en-CA"/>
        </w:rPr>
        <w:t>1-1</w:t>
      </w:r>
      <w:r w:rsidRPr="00EA66E5">
        <w:rPr>
          <w:spacing w:val="0"/>
          <w:kern w:val="0"/>
          <w:rtl/>
          <w:lang w:val="en-CA"/>
        </w:rPr>
        <w:tab/>
        <w:t xml:space="preserve">صاحبة الشكوى </w:t>
      </w:r>
      <w:r w:rsidRPr="00EA66E5">
        <w:rPr>
          <w:rFonts w:hint="cs"/>
          <w:spacing w:val="0"/>
          <w:kern w:val="0"/>
          <w:rtl/>
          <w:lang w:val="en-CA"/>
        </w:rPr>
        <w:t>هي السيدة</w:t>
      </w:r>
      <w:r w:rsidRPr="00EA66E5">
        <w:rPr>
          <w:spacing w:val="0"/>
          <w:kern w:val="0"/>
          <w:rtl/>
          <w:lang w:val="en-CA"/>
        </w:rPr>
        <w:t xml:space="preserve"> فاتو سونكو</w:t>
      </w:r>
      <w:r w:rsidRPr="00EA66E5">
        <w:rPr>
          <w:rFonts w:hint="cs"/>
          <w:spacing w:val="0"/>
          <w:kern w:val="0"/>
          <w:rtl/>
          <w:lang w:val="en-CA"/>
        </w:rPr>
        <w:t>، وهي</w:t>
      </w:r>
      <w:r w:rsidRPr="00EA66E5">
        <w:rPr>
          <w:spacing w:val="0"/>
          <w:kern w:val="0"/>
          <w:rtl/>
          <w:lang w:val="en-CA"/>
        </w:rPr>
        <w:t xml:space="preserve"> مواطنة سنغالية تقيم في إسبانيا. وقدم</w:t>
      </w:r>
      <w:r w:rsidRPr="00EA66E5">
        <w:rPr>
          <w:rFonts w:hint="cs"/>
          <w:spacing w:val="0"/>
          <w:kern w:val="0"/>
          <w:rtl/>
          <w:lang w:val="en-CA"/>
        </w:rPr>
        <w:t>ت</w:t>
      </w:r>
      <w:r w:rsidRPr="00EA66E5">
        <w:rPr>
          <w:spacing w:val="0"/>
          <w:kern w:val="0"/>
          <w:rtl/>
          <w:lang w:val="en-CA"/>
        </w:rPr>
        <w:t xml:space="preserve"> الشكوى بالنيابة عن شقيقها لودنغ</w:t>
      </w:r>
      <w:r w:rsidRPr="00EA66E5">
        <w:rPr>
          <w:rFonts w:hint="cs"/>
          <w:spacing w:val="0"/>
          <w:kern w:val="0"/>
          <w:rtl/>
          <w:lang w:val="en-CA"/>
        </w:rPr>
        <w:t xml:space="preserve"> سونكو</w:t>
      </w:r>
      <w:r w:rsidRPr="00EA66E5">
        <w:rPr>
          <w:spacing w:val="0"/>
          <w:kern w:val="0"/>
          <w:rtl/>
          <w:lang w:val="en-CA"/>
        </w:rPr>
        <w:t>، من مواليد 16 تشرين الأول/</w:t>
      </w:r>
      <w:r w:rsidRPr="00EA66E5">
        <w:rPr>
          <w:rFonts w:hint="cs"/>
          <w:spacing w:val="0"/>
          <w:kern w:val="0"/>
          <w:rtl/>
          <w:lang w:val="en-CA"/>
        </w:rPr>
        <w:t xml:space="preserve"> </w:t>
      </w:r>
      <w:r w:rsidRPr="00EA66E5">
        <w:rPr>
          <w:spacing w:val="0"/>
          <w:kern w:val="0"/>
          <w:rtl/>
          <w:lang w:val="en-CA"/>
        </w:rPr>
        <w:t>أكتوبر</w:t>
      </w:r>
      <w:r w:rsidRPr="00EA66E5">
        <w:rPr>
          <w:rFonts w:hint="cs"/>
          <w:spacing w:val="0"/>
          <w:kern w:val="0"/>
          <w:rtl/>
          <w:lang w:val="en-CA"/>
        </w:rPr>
        <w:t> </w:t>
      </w:r>
      <w:r w:rsidRPr="00EA66E5">
        <w:rPr>
          <w:spacing w:val="0"/>
          <w:kern w:val="0"/>
          <w:rtl/>
          <w:lang w:val="en-CA"/>
        </w:rPr>
        <w:t>1978. وتشير صاحبة الشكوى إلى أن شقيقها ضحية انتهاك إسبانيا للفقرة 1 من المادة 1 والفقرتين 1</w:t>
      </w:r>
      <w:r w:rsidRPr="00EA66E5">
        <w:rPr>
          <w:rFonts w:hint="cs"/>
          <w:spacing w:val="0"/>
          <w:kern w:val="0"/>
          <w:rtl/>
          <w:lang w:val="en-CA"/>
        </w:rPr>
        <w:t xml:space="preserve"> </w:t>
      </w:r>
      <w:r w:rsidRPr="00EA66E5">
        <w:rPr>
          <w:spacing w:val="0"/>
          <w:kern w:val="0"/>
          <w:rtl/>
          <w:lang w:val="en-CA"/>
        </w:rPr>
        <w:t xml:space="preserve">و2 من المادة 16 من الاتفاقية. </w:t>
      </w:r>
      <w:r w:rsidRPr="00EA66E5">
        <w:rPr>
          <w:rFonts w:hint="cs"/>
          <w:spacing w:val="0"/>
          <w:kern w:val="0"/>
          <w:rtl/>
          <w:lang w:val="en-CA"/>
        </w:rPr>
        <w:t>وقد أصدرت</w:t>
      </w:r>
      <w:r w:rsidRPr="00EA66E5">
        <w:rPr>
          <w:spacing w:val="0"/>
          <w:kern w:val="0"/>
          <w:rtl/>
          <w:lang w:val="en-CA"/>
        </w:rPr>
        <w:t xml:space="preserve"> إسبانيا الإعلان بموجب المادة 22 من الاتفاقية في 21 تشرين الأول/أكتوبر 1987. ويمثل </w:t>
      </w:r>
      <w:r w:rsidRPr="00EA66E5">
        <w:rPr>
          <w:rFonts w:hint="cs"/>
          <w:spacing w:val="0"/>
          <w:kern w:val="0"/>
          <w:rtl/>
          <w:lang w:val="en-CA"/>
        </w:rPr>
        <w:t>صاحبة الشكوى</w:t>
      </w:r>
      <w:r w:rsidRPr="00EA66E5">
        <w:rPr>
          <w:spacing w:val="0"/>
          <w:kern w:val="0"/>
          <w:rtl/>
          <w:lang w:val="en-CA"/>
        </w:rPr>
        <w:t xml:space="preserve"> المحامي ألبرتو ج. ريفويلتا لوسيرغا.</w:t>
      </w:r>
    </w:p>
    <w:p w:rsidR="00EA66E5" w:rsidRPr="00EA66E5" w:rsidRDefault="00EA66E5" w:rsidP="00EA66E5">
      <w:pPr>
        <w:pStyle w:val="H23GA"/>
        <w:rPr>
          <w:spacing w:val="0"/>
          <w:kern w:val="0"/>
          <w:rtl/>
        </w:rPr>
      </w:pPr>
      <w:r w:rsidRPr="00EA66E5">
        <w:rPr>
          <w:rFonts w:hint="cs"/>
          <w:spacing w:val="0"/>
          <w:kern w:val="0"/>
          <w:rtl/>
        </w:rPr>
        <w:tab/>
      </w:r>
      <w:r w:rsidRPr="00EA66E5">
        <w:rPr>
          <w:rFonts w:hint="cs"/>
          <w:spacing w:val="0"/>
          <w:kern w:val="0"/>
          <w:rtl/>
        </w:rPr>
        <w:tab/>
      </w:r>
      <w:r w:rsidRPr="00EA66E5">
        <w:rPr>
          <w:rFonts w:hint="eastAsia"/>
          <w:spacing w:val="0"/>
          <w:kern w:val="0"/>
          <w:rtl/>
        </w:rPr>
        <w:t>الوقائع</w:t>
      </w:r>
      <w:r w:rsidRPr="00EA66E5">
        <w:rPr>
          <w:spacing w:val="0"/>
          <w:kern w:val="0"/>
          <w:rtl/>
        </w:rPr>
        <w:t xml:space="preserve"> كما عرض</w:t>
      </w:r>
      <w:r w:rsidRPr="00EA66E5">
        <w:rPr>
          <w:rFonts w:hint="cs"/>
          <w:spacing w:val="0"/>
          <w:kern w:val="0"/>
          <w:rtl/>
        </w:rPr>
        <w:t>ت</w:t>
      </w:r>
      <w:r w:rsidRPr="00EA66E5">
        <w:rPr>
          <w:spacing w:val="0"/>
          <w:kern w:val="0"/>
          <w:rtl/>
        </w:rPr>
        <w:t xml:space="preserve">ها </w:t>
      </w:r>
      <w:r w:rsidRPr="00EA66E5">
        <w:rPr>
          <w:rFonts w:hint="cs"/>
          <w:spacing w:val="0"/>
          <w:kern w:val="0"/>
          <w:rtl/>
        </w:rPr>
        <w:t>صاحبة الشكوى</w:t>
      </w:r>
    </w:p>
    <w:p w:rsidR="00EA66E5" w:rsidRPr="00EA66E5" w:rsidRDefault="00EA66E5" w:rsidP="00123D37">
      <w:pPr>
        <w:pStyle w:val="SingleTxtGA"/>
        <w:jc w:val="lowKashida"/>
        <w:rPr>
          <w:spacing w:val="0"/>
          <w:kern w:val="0"/>
          <w:rtl/>
          <w:lang w:val="en-CA"/>
        </w:rPr>
      </w:pPr>
      <w:r w:rsidRPr="00EA66E5">
        <w:rPr>
          <w:spacing w:val="0"/>
          <w:kern w:val="0"/>
          <w:rtl/>
          <w:lang w:val="en-CA"/>
        </w:rPr>
        <w:t>2-1</w:t>
      </w:r>
      <w:r w:rsidRPr="00EA66E5">
        <w:rPr>
          <w:spacing w:val="0"/>
          <w:kern w:val="0"/>
          <w:rtl/>
          <w:lang w:val="en-CA"/>
        </w:rPr>
        <w:tab/>
        <w:t xml:space="preserve">في </w:t>
      </w:r>
      <w:r w:rsidRPr="00EA66E5">
        <w:rPr>
          <w:rFonts w:hint="cs"/>
          <w:spacing w:val="0"/>
          <w:kern w:val="0"/>
          <w:rtl/>
          <w:lang w:val="en-CA"/>
        </w:rPr>
        <w:t xml:space="preserve">مساء يوم </w:t>
      </w:r>
      <w:r w:rsidRPr="00EA66E5">
        <w:rPr>
          <w:spacing w:val="0"/>
          <w:kern w:val="0"/>
          <w:rtl/>
          <w:lang w:val="en-CA"/>
        </w:rPr>
        <w:t>26 أيلول/سبتمبر 2007</w:t>
      </w:r>
      <w:r w:rsidRPr="00EA66E5">
        <w:rPr>
          <w:rFonts w:hint="cs"/>
          <w:spacing w:val="0"/>
          <w:kern w:val="0"/>
          <w:rtl/>
          <w:lang w:val="en-CA"/>
        </w:rPr>
        <w:t xml:space="preserve">، </w:t>
      </w:r>
      <w:r w:rsidRPr="00EA66E5">
        <w:rPr>
          <w:spacing w:val="0"/>
          <w:kern w:val="0"/>
          <w:rtl/>
          <w:lang w:val="en-CA"/>
        </w:rPr>
        <w:t xml:space="preserve">حاولت مجموعة من أربعة مهاجرين </w:t>
      </w:r>
      <w:r w:rsidRPr="00EA66E5">
        <w:rPr>
          <w:rFonts w:hint="cs"/>
          <w:spacing w:val="0"/>
          <w:kern w:val="0"/>
          <w:rtl/>
          <w:lang w:val="en-CA"/>
        </w:rPr>
        <w:t>أفارقة</w:t>
      </w:r>
      <w:r w:rsidRPr="00EA66E5">
        <w:rPr>
          <w:spacing w:val="0"/>
          <w:kern w:val="0"/>
          <w:rtl/>
          <w:lang w:val="en-CA"/>
        </w:rPr>
        <w:t xml:space="preserve"> (ثلاث</w:t>
      </w:r>
      <w:r w:rsidRPr="00EA66E5">
        <w:rPr>
          <w:rFonts w:hint="cs"/>
          <w:spacing w:val="0"/>
          <w:kern w:val="0"/>
          <w:rtl/>
          <w:lang w:val="en-CA"/>
        </w:rPr>
        <w:t>ة</w:t>
      </w:r>
      <w:r w:rsidRPr="00EA66E5">
        <w:rPr>
          <w:spacing w:val="0"/>
          <w:kern w:val="0"/>
          <w:rtl/>
          <w:lang w:val="en-CA"/>
        </w:rPr>
        <w:t xml:space="preserve"> رجال وامرأة)، </w:t>
      </w:r>
      <w:r w:rsidRPr="00EA66E5">
        <w:rPr>
          <w:rFonts w:hint="cs"/>
          <w:spacing w:val="0"/>
          <w:kern w:val="0"/>
          <w:rtl/>
          <w:lang w:val="en-CA"/>
        </w:rPr>
        <w:t xml:space="preserve">كان </w:t>
      </w:r>
      <w:r w:rsidRPr="00EA66E5">
        <w:rPr>
          <w:spacing w:val="0"/>
          <w:kern w:val="0"/>
          <w:rtl/>
          <w:lang w:val="en-CA"/>
        </w:rPr>
        <w:t xml:space="preserve">السيد لودنغ </w:t>
      </w:r>
      <w:r w:rsidR="00123D37" w:rsidRPr="00EA66E5">
        <w:rPr>
          <w:spacing w:val="0"/>
          <w:kern w:val="0"/>
          <w:rtl/>
          <w:lang w:val="en-CA"/>
        </w:rPr>
        <w:t>سونكو</w:t>
      </w:r>
      <w:r w:rsidR="00123D37" w:rsidRPr="00EA66E5">
        <w:rPr>
          <w:rFonts w:hint="cs"/>
          <w:spacing w:val="0"/>
          <w:kern w:val="0"/>
          <w:rtl/>
          <w:lang w:val="en-CA"/>
        </w:rPr>
        <w:t xml:space="preserve"> </w:t>
      </w:r>
      <w:r w:rsidRPr="00EA66E5">
        <w:rPr>
          <w:rFonts w:hint="cs"/>
          <w:spacing w:val="0"/>
          <w:kern w:val="0"/>
          <w:rtl/>
          <w:lang w:val="en-CA"/>
        </w:rPr>
        <w:t>واحدا</w:t>
      </w:r>
      <w:r w:rsidR="00123D37">
        <w:rPr>
          <w:rFonts w:hint="cs"/>
          <w:spacing w:val="0"/>
          <w:kern w:val="0"/>
          <w:rtl/>
          <w:lang w:val="en-CA"/>
        </w:rPr>
        <w:t>ً</w:t>
      </w:r>
      <w:r w:rsidRPr="00EA66E5">
        <w:rPr>
          <w:rFonts w:hint="cs"/>
          <w:spacing w:val="0"/>
          <w:kern w:val="0"/>
          <w:rtl/>
          <w:lang w:val="en-CA"/>
        </w:rPr>
        <w:t xml:space="preserve"> </w:t>
      </w:r>
      <w:r w:rsidR="00123D37">
        <w:rPr>
          <w:rFonts w:hint="cs"/>
          <w:spacing w:val="0"/>
          <w:kern w:val="0"/>
          <w:rtl/>
          <w:lang w:val="en-CA"/>
        </w:rPr>
        <w:t>منهم</w:t>
      </w:r>
      <w:r w:rsidRPr="00EA66E5">
        <w:rPr>
          <w:spacing w:val="0"/>
          <w:kern w:val="0"/>
          <w:rtl/>
          <w:lang w:val="en-CA"/>
        </w:rPr>
        <w:t>، دخول مدينة سبتة المتمتعة بالحكم الذاتي عن طريق السباحة على امتداد الساحل بين بليونكس وبن</w:t>
      </w:r>
      <w:r w:rsidRPr="00EA66E5">
        <w:rPr>
          <w:rFonts w:hint="cs"/>
          <w:spacing w:val="0"/>
          <w:kern w:val="0"/>
          <w:rtl/>
          <w:lang w:val="en-CA"/>
        </w:rPr>
        <w:t>ـ</w:t>
      </w:r>
      <w:r w:rsidRPr="00EA66E5">
        <w:rPr>
          <w:spacing w:val="0"/>
          <w:kern w:val="0"/>
          <w:rtl/>
          <w:lang w:val="en-CA"/>
        </w:rPr>
        <w:t xml:space="preserve">زو. وكان مع كل </w:t>
      </w:r>
      <w:r w:rsidRPr="00EA66E5">
        <w:rPr>
          <w:rFonts w:hint="cs"/>
          <w:spacing w:val="0"/>
          <w:kern w:val="0"/>
          <w:rtl/>
          <w:lang w:val="en-CA"/>
        </w:rPr>
        <w:t>فرد</w:t>
      </w:r>
      <w:r w:rsidRPr="00EA66E5">
        <w:rPr>
          <w:spacing w:val="0"/>
          <w:kern w:val="0"/>
          <w:rtl/>
          <w:lang w:val="en-CA"/>
        </w:rPr>
        <w:t xml:space="preserve"> منهم </w:t>
      </w:r>
      <w:r w:rsidRPr="00EA66E5">
        <w:rPr>
          <w:rFonts w:hint="cs"/>
          <w:spacing w:val="0"/>
          <w:kern w:val="0"/>
          <w:rtl/>
          <w:lang w:val="en-CA"/>
        </w:rPr>
        <w:t>قارب</w:t>
      </w:r>
      <w:r w:rsidRPr="00EA66E5">
        <w:rPr>
          <w:spacing w:val="0"/>
          <w:kern w:val="0"/>
          <w:rtl/>
          <w:lang w:val="en-CA"/>
        </w:rPr>
        <w:t xml:space="preserve"> مطاطي وسترة </w:t>
      </w:r>
      <w:r w:rsidRPr="00EA66E5">
        <w:rPr>
          <w:rFonts w:hint="cs"/>
          <w:spacing w:val="0"/>
          <w:kern w:val="0"/>
          <w:rtl/>
          <w:lang w:val="en-CA"/>
        </w:rPr>
        <w:t>غوص</w:t>
      </w:r>
      <w:r w:rsidRPr="00EA66E5">
        <w:rPr>
          <w:spacing w:val="0"/>
          <w:kern w:val="0"/>
          <w:rtl/>
          <w:lang w:val="en-CA"/>
        </w:rPr>
        <w:t xml:space="preserve">. </w:t>
      </w:r>
      <w:r w:rsidRPr="00EA66E5">
        <w:rPr>
          <w:rFonts w:hint="cs"/>
          <w:spacing w:val="0"/>
          <w:kern w:val="0"/>
          <w:rtl/>
          <w:lang w:val="en-CA"/>
        </w:rPr>
        <w:t>وفي</w:t>
      </w:r>
      <w:r w:rsidRPr="00EA66E5">
        <w:rPr>
          <w:spacing w:val="0"/>
          <w:kern w:val="0"/>
          <w:rtl/>
          <w:lang w:val="en-CA"/>
        </w:rPr>
        <w:t xml:space="preserve"> الساعة </w:t>
      </w:r>
      <w:r w:rsidRPr="00EA66E5">
        <w:rPr>
          <w:rFonts w:hint="cs"/>
          <w:spacing w:val="0"/>
          <w:kern w:val="0"/>
          <w:rtl/>
          <w:lang w:val="en-CA"/>
        </w:rPr>
        <w:t>الخامسة وخمس دقائق</w:t>
      </w:r>
      <w:r w:rsidRPr="00EA66E5">
        <w:rPr>
          <w:spacing w:val="0"/>
          <w:kern w:val="0"/>
          <w:rtl/>
          <w:lang w:val="en-CA"/>
        </w:rPr>
        <w:t xml:space="preserve"> صباحاً، اعترضت سفينة تابعة للحرس المدني الإسباني السباحين الأربعة </w:t>
      </w:r>
      <w:r w:rsidRPr="00EA66E5">
        <w:rPr>
          <w:rFonts w:hint="cs"/>
          <w:spacing w:val="0"/>
          <w:kern w:val="0"/>
          <w:rtl/>
          <w:lang w:val="en-CA"/>
        </w:rPr>
        <w:t>وانتُشلوا</w:t>
      </w:r>
      <w:r w:rsidRPr="00EA66E5">
        <w:rPr>
          <w:spacing w:val="0"/>
          <w:kern w:val="0"/>
          <w:rtl/>
          <w:lang w:val="en-CA"/>
        </w:rPr>
        <w:t xml:space="preserve"> أحياء </w:t>
      </w:r>
      <w:r w:rsidRPr="00EA66E5">
        <w:rPr>
          <w:rFonts w:hint="cs"/>
          <w:spacing w:val="0"/>
          <w:kern w:val="0"/>
          <w:rtl/>
          <w:lang w:val="en-CA"/>
        </w:rPr>
        <w:t>إ</w:t>
      </w:r>
      <w:r w:rsidRPr="00EA66E5">
        <w:rPr>
          <w:spacing w:val="0"/>
          <w:kern w:val="0"/>
          <w:rtl/>
          <w:lang w:val="en-CA"/>
        </w:rPr>
        <w:t>لى متن السفينة. ونقلوا إلى منطقة بالقرب من شاطئ باستيون</w:t>
      </w:r>
      <w:r w:rsidRPr="00EA66E5">
        <w:rPr>
          <w:rFonts w:hint="cs"/>
          <w:spacing w:val="0"/>
          <w:kern w:val="0"/>
          <w:rtl/>
          <w:lang w:val="en-CA"/>
        </w:rPr>
        <w:t>س</w:t>
      </w:r>
      <w:r w:rsidRPr="00EA66E5">
        <w:rPr>
          <w:spacing w:val="0"/>
          <w:kern w:val="0"/>
          <w:rtl/>
          <w:lang w:val="en-CA"/>
        </w:rPr>
        <w:t xml:space="preserve">، في </w:t>
      </w:r>
      <w:r w:rsidRPr="00EA66E5">
        <w:rPr>
          <w:rFonts w:hint="cs"/>
          <w:spacing w:val="0"/>
          <w:kern w:val="0"/>
          <w:rtl/>
          <w:lang w:val="en-CA"/>
        </w:rPr>
        <w:t>المياه</w:t>
      </w:r>
      <w:r w:rsidRPr="00EA66E5">
        <w:rPr>
          <w:spacing w:val="0"/>
          <w:kern w:val="0"/>
          <w:rtl/>
          <w:lang w:val="en-CA"/>
        </w:rPr>
        <w:t xml:space="preserve"> الإقليمية المغربية، وأجبروا على القفز في المياه في موقع عميق. وقبل ذلك، كان ضا</w:t>
      </w:r>
      <w:r w:rsidRPr="00EA66E5">
        <w:rPr>
          <w:rFonts w:hint="cs"/>
          <w:spacing w:val="0"/>
          <w:kern w:val="0"/>
          <w:rtl/>
          <w:lang w:val="en-CA"/>
        </w:rPr>
        <w:t>ب</w:t>
      </w:r>
      <w:r w:rsidRPr="00EA66E5">
        <w:rPr>
          <w:spacing w:val="0"/>
          <w:kern w:val="0"/>
          <w:rtl/>
          <w:lang w:val="en-CA"/>
        </w:rPr>
        <w:t>ط</w:t>
      </w:r>
      <w:r w:rsidRPr="00EA66E5">
        <w:rPr>
          <w:rFonts w:hint="cs"/>
          <w:spacing w:val="0"/>
          <w:kern w:val="0"/>
          <w:rtl/>
          <w:lang w:val="en-CA"/>
        </w:rPr>
        <w:t>ا</w:t>
      </w:r>
      <w:r w:rsidRPr="00EA66E5">
        <w:rPr>
          <w:spacing w:val="0"/>
          <w:kern w:val="0"/>
          <w:rtl/>
          <w:lang w:val="en-CA"/>
        </w:rPr>
        <w:t xml:space="preserve"> الحرس المدني</w:t>
      </w:r>
      <w:r w:rsidRPr="00EA66E5">
        <w:rPr>
          <w:rFonts w:hint="cs"/>
          <w:spacing w:val="0"/>
          <w:kern w:val="0"/>
          <w:rtl/>
          <w:lang w:val="en-CA"/>
        </w:rPr>
        <w:t xml:space="preserve"> قد ثقبا زوارق</w:t>
      </w:r>
      <w:r w:rsidRPr="00EA66E5">
        <w:rPr>
          <w:spacing w:val="0"/>
          <w:kern w:val="0"/>
          <w:rtl/>
          <w:lang w:val="en-CA"/>
        </w:rPr>
        <w:t xml:space="preserve"> المهاجرين </w:t>
      </w:r>
      <w:r w:rsidRPr="00EA66E5">
        <w:rPr>
          <w:rFonts w:hint="cs"/>
          <w:spacing w:val="0"/>
          <w:kern w:val="0"/>
          <w:rtl/>
          <w:lang w:val="en-CA"/>
        </w:rPr>
        <w:t xml:space="preserve">المطاطية </w:t>
      </w:r>
      <w:r w:rsidRPr="00EA66E5">
        <w:rPr>
          <w:spacing w:val="0"/>
          <w:kern w:val="0"/>
          <w:rtl/>
          <w:lang w:val="en-CA"/>
        </w:rPr>
        <w:t xml:space="preserve">باستثناء قارب </w:t>
      </w:r>
      <w:r w:rsidRPr="00EA66E5">
        <w:rPr>
          <w:rFonts w:hint="cs"/>
          <w:spacing w:val="0"/>
          <w:kern w:val="0"/>
          <w:rtl/>
          <w:lang w:val="en-CA"/>
        </w:rPr>
        <w:t>المرأة</w:t>
      </w:r>
      <w:r w:rsidRPr="00EA66E5">
        <w:rPr>
          <w:spacing w:val="0"/>
          <w:kern w:val="0"/>
          <w:rtl/>
          <w:lang w:val="en-CA"/>
        </w:rPr>
        <w:t>.</w:t>
      </w:r>
    </w:p>
    <w:p w:rsidR="00EA66E5" w:rsidRPr="00EA66E5" w:rsidRDefault="00EA66E5" w:rsidP="00EA66E5">
      <w:pPr>
        <w:pStyle w:val="SingleTxtGA"/>
        <w:jc w:val="lowKashida"/>
        <w:rPr>
          <w:spacing w:val="0"/>
          <w:kern w:val="0"/>
          <w:rtl/>
          <w:lang w:val="en-CA"/>
        </w:rPr>
      </w:pPr>
      <w:r w:rsidRPr="00EA66E5">
        <w:rPr>
          <w:spacing w:val="0"/>
          <w:kern w:val="0"/>
          <w:rtl/>
          <w:lang w:val="en-CA"/>
        </w:rPr>
        <w:t>2-2</w:t>
      </w:r>
      <w:r w:rsidRPr="00EA66E5">
        <w:rPr>
          <w:spacing w:val="0"/>
          <w:kern w:val="0"/>
          <w:rtl/>
          <w:lang w:val="en-CA"/>
        </w:rPr>
        <w:tab/>
        <w:t>وت</w:t>
      </w:r>
      <w:r w:rsidRPr="00EA66E5">
        <w:rPr>
          <w:rFonts w:hint="cs"/>
          <w:spacing w:val="0"/>
          <w:kern w:val="0"/>
          <w:rtl/>
          <w:lang w:val="en-CA"/>
        </w:rPr>
        <w:t>َ</w:t>
      </w:r>
      <w:r w:rsidRPr="00EA66E5">
        <w:rPr>
          <w:spacing w:val="0"/>
          <w:kern w:val="0"/>
          <w:rtl/>
          <w:lang w:val="en-CA"/>
        </w:rPr>
        <w:t xml:space="preserve">علق السيد سونكو </w:t>
      </w:r>
      <w:r w:rsidRPr="00EA66E5">
        <w:rPr>
          <w:rFonts w:hint="cs"/>
          <w:spacing w:val="0"/>
          <w:kern w:val="0"/>
          <w:rtl/>
          <w:lang w:val="en-CA"/>
        </w:rPr>
        <w:t>بحاجز</w:t>
      </w:r>
      <w:r w:rsidRPr="00EA66E5">
        <w:rPr>
          <w:spacing w:val="0"/>
          <w:kern w:val="0"/>
          <w:rtl/>
          <w:lang w:val="en-CA"/>
        </w:rPr>
        <w:t xml:space="preserve"> السفينة </w:t>
      </w:r>
      <w:r w:rsidRPr="00EA66E5">
        <w:rPr>
          <w:rFonts w:hint="cs"/>
          <w:spacing w:val="0"/>
          <w:kern w:val="0"/>
          <w:rtl/>
          <w:lang w:val="en-CA"/>
        </w:rPr>
        <w:t>مردداً</w:t>
      </w:r>
      <w:r w:rsidRPr="00EA66E5">
        <w:rPr>
          <w:spacing w:val="0"/>
          <w:kern w:val="0"/>
          <w:rtl/>
          <w:lang w:val="en-CA"/>
        </w:rPr>
        <w:t xml:space="preserve"> </w:t>
      </w:r>
      <w:r w:rsidRPr="00EA66E5">
        <w:rPr>
          <w:rFonts w:hint="cs"/>
          <w:spacing w:val="0"/>
          <w:kern w:val="0"/>
          <w:rtl/>
          <w:lang w:val="en-CA"/>
        </w:rPr>
        <w:t xml:space="preserve">أنه </w:t>
      </w:r>
      <w:r w:rsidRPr="00EA66E5">
        <w:rPr>
          <w:spacing w:val="0"/>
          <w:kern w:val="0"/>
          <w:rtl/>
          <w:lang w:val="en-CA"/>
        </w:rPr>
        <w:t xml:space="preserve">لا </w:t>
      </w:r>
      <w:r w:rsidRPr="00EA66E5">
        <w:rPr>
          <w:rFonts w:hint="cs"/>
          <w:spacing w:val="0"/>
          <w:kern w:val="0"/>
          <w:rtl/>
          <w:lang w:val="en-CA"/>
        </w:rPr>
        <w:t>يعرف</w:t>
      </w:r>
      <w:r w:rsidRPr="00EA66E5">
        <w:rPr>
          <w:spacing w:val="0"/>
          <w:kern w:val="0"/>
          <w:rtl/>
          <w:lang w:val="en-CA"/>
        </w:rPr>
        <w:t xml:space="preserve"> السباحة ولكن ضا</w:t>
      </w:r>
      <w:r w:rsidRPr="00EA66E5">
        <w:rPr>
          <w:rFonts w:hint="cs"/>
          <w:spacing w:val="0"/>
          <w:kern w:val="0"/>
          <w:rtl/>
          <w:lang w:val="en-CA"/>
        </w:rPr>
        <w:t>ب</w:t>
      </w:r>
      <w:r w:rsidRPr="00EA66E5">
        <w:rPr>
          <w:spacing w:val="0"/>
          <w:kern w:val="0"/>
          <w:rtl/>
          <w:lang w:val="en-CA"/>
        </w:rPr>
        <w:t>ط</w:t>
      </w:r>
      <w:r w:rsidRPr="00EA66E5">
        <w:rPr>
          <w:rFonts w:hint="cs"/>
          <w:spacing w:val="0"/>
          <w:kern w:val="0"/>
          <w:rtl/>
          <w:lang w:val="en-CA"/>
        </w:rPr>
        <w:t>ي</w:t>
      </w:r>
      <w:r w:rsidRPr="00EA66E5">
        <w:rPr>
          <w:spacing w:val="0"/>
          <w:kern w:val="0"/>
          <w:rtl/>
          <w:lang w:val="en-CA"/>
        </w:rPr>
        <w:t xml:space="preserve"> الحرس المدني أجبر</w:t>
      </w:r>
      <w:r w:rsidRPr="00EA66E5">
        <w:rPr>
          <w:rFonts w:hint="cs"/>
          <w:spacing w:val="0"/>
          <w:kern w:val="0"/>
          <w:rtl/>
          <w:lang w:val="en-CA"/>
        </w:rPr>
        <w:t>ا</w:t>
      </w:r>
      <w:r w:rsidRPr="00EA66E5">
        <w:rPr>
          <w:spacing w:val="0"/>
          <w:kern w:val="0"/>
          <w:rtl/>
          <w:lang w:val="en-CA"/>
        </w:rPr>
        <w:t xml:space="preserve">ه على </w:t>
      </w:r>
      <w:r w:rsidRPr="00EA66E5">
        <w:rPr>
          <w:rFonts w:hint="cs"/>
          <w:spacing w:val="0"/>
          <w:kern w:val="0"/>
          <w:rtl/>
          <w:lang w:val="en-CA"/>
        </w:rPr>
        <w:t xml:space="preserve">ترك </w:t>
      </w:r>
      <w:r w:rsidRPr="00EA66E5">
        <w:rPr>
          <w:spacing w:val="0"/>
          <w:kern w:val="0"/>
          <w:rtl/>
          <w:lang w:val="en-CA"/>
        </w:rPr>
        <w:t xml:space="preserve">السفينة </w:t>
      </w:r>
      <w:r w:rsidRPr="00EA66E5">
        <w:rPr>
          <w:rFonts w:hint="cs"/>
          <w:spacing w:val="0"/>
          <w:kern w:val="0"/>
          <w:rtl/>
          <w:lang w:val="en-CA"/>
        </w:rPr>
        <w:t>وقذفاه</w:t>
      </w:r>
      <w:r w:rsidRPr="00EA66E5">
        <w:rPr>
          <w:spacing w:val="0"/>
          <w:kern w:val="0"/>
          <w:rtl/>
          <w:lang w:val="en-CA"/>
        </w:rPr>
        <w:t xml:space="preserve"> في البحر.</w:t>
      </w:r>
      <w:r w:rsidRPr="00EA66E5">
        <w:rPr>
          <w:rFonts w:hint="cs"/>
          <w:spacing w:val="0"/>
          <w:kern w:val="0"/>
          <w:rtl/>
          <w:lang w:val="en-CA"/>
        </w:rPr>
        <w:t xml:space="preserve"> </w:t>
      </w:r>
      <w:r w:rsidRPr="00EA66E5">
        <w:rPr>
          <w:spacing w:val="0"/>
          <w:kern w:val="0"/>
          <w:rtl/>
          <w:lang w:val="en-CA"/>
        </w:rPr>
        <w:t xml:space="preserve">واستغاث السيد سونكو طالباً </w:t>
      </w:r>
      <w:r w:rsidRPr="00EA66E5">
        <w:rPr>
          <w:rFonts w:hint="cs"/>
          <w:spacing w:val="0"/>
          <w:kern w:val="0"/>
          <w:rtl/>
          <w:lang w:val="en-CA"/>
        </w:rPr>
        <w:t>النجدة</w:t>
      </w:r>
      <w:r w:rsidRPr="00EA66E5">
        <w:rPr>
          <w:spacing w:val="0"/>
          <w:kern w:val="0"/>
          <w:rtl/>
          <w:lang w:val="en-CA"/>
        </w:rPr>
        <w:t xml:space="preserve"> </w:t>
      </w:r>
      <w:r w:rsidRPr="00EA66E5">
        <w:rPr>
          <w:rFonts w:hint="cs"/>
          <w:spacing w:val="0"/>
          <w:kern w:val="0"/>
          <w:rtl/>
          <w:lang w:val="en-CA"/>
        </w:rPr>
        <w:t>و</w:t>
      </w:r>
      <w:r w:rsidRPr="00EA66E5">
        <w:rPr>
          <w:spacing w:val="0"/>
          <w:kern w:val="0"/>
          <w:rtl/>
          <w:lang w:val="en-CA"/>
        </w:rPr>
        <w:t xml:space="preserve">كان يواجه صعوبة كبيرة </w:t>
      </w:r>
      <w:r w:rsidRPr="00EA66E5">
        <w:rPr>
          <w:rFonts w:hint="cs"/>
          <w:spacing w:val="0"/>
          <w:kern w:val="0"/>
          <w:rtl/>
          <w:lang w:val="en-CA"/>
        </w:rPr>
        <w:t>في ا</w:t>
      </w:r>
      <w:r w:rsidRPr="00EA66E5">
        <w:rPr>
          <w:spacing w:val="0"/>
          <w:kern w:val="0"/>
          <w:rtl/>
          <w:lang w:val="en-CA"/>
        </w:rPr>
        <w:t xml:space="preserve">لوصول إلى الشاطئ، </w:t>
      </w:r>
      <w:r w:rsidRPr="00EA66E5">
        <w:rPr>
          <w:rFonts w:hint="cs"/>
          <w:spacing w:val="0"/>
          <w:kern w:val="0"/>
          <w:rtl/>
          <w:lang w:val="en-CA"/>
        </w:rPr>
        <w:t>ف</w:t>
      </w:r>
      <w:r w:rsidRPr="00EA66E5">
        <w:rPr>
          <w:spacing w:val="0"/>
          <w:kern w:val="0"/>
          <w:rtl/>
          <w:lang w:val="en-CA"/>
        </w:rPr>
        <w:t>قفز أحد ضا</w:t>
      </w:r>
      <w:r w:rsidRPr="00EA66E5">
        <w:rPr>
          <w:rFonts w:hint="cs"/>
          <w:spacing w:val="0"/>
          <w:kern w:val="0"/>
          <w:rtl/>
          <w:lang w:val="en-CA"/>
        </w:rPr>
        <w:t>ب</w:t>
      </w:r>
      <w:r w:rsidRPr="00EA66E5">
        <w:rPr>
          <w:spacing w:val="0"/>
          <w:kern w:val="0"/>
          <w:rtl/>
          <w:lang w:val="en-CA"/>
        </w:rPr>
        <w:t>ط</w:t>
      </w:r>
      <w:r w:rsidRPr="00EA66E5">
        <w:rPr>
          <w:rFonts w:hint="cs"/>
          <w:spacing w:val="0"/>
          <w:kern w:val="0"/>
          <w:rtl/>
          <w:lang w:val="en-CA"/>
        </w:rPr>
        <w:t>ي</w:t>
      </w:r>
      <w:r w:rsidRPr="00EA66E5">
        <w:rPr>
          <w:spacing w:val="0"/>
          <w:kern w:val="0"/>
          <w:rtl/>
          <w:lang w:val="en-CA"/>
        </w:rPr>
        <w:t xml:space="preserve"> الحرس المدني في المياه لمساعدته وإنقاذه من الغرق. وفور الوصول إلى الشاطئ</w:t>
      </w:r>
      <w:r w:rsidRPr="00EA66E5">
        <w:rPr>
          <w:rFonts w:hint="cs"/>
          <w:spacing w:val="0"/>
          <w:kern w:val="0"/>
          <w:rtl/>
          <w:lang w:val="en-CA"/>
        </w:rPr>
        <w:t>،</w:t>
      </w:r>
      <w:r w:rsidRPr="00EA66E5">
        <w:rPr>
          <w:spacing w:val="0"/>
          <w:kern w:val="0"/>
          <w:rtl/>
          <w:lang w:val="en-CA"/>
        </w:rPr>
        <w:t xml:space="preserve"> بدأ الضابط في تدليك </w:t>
      </w:r>
      <w:r w:rsidRPr="00EA66E5">
        <w:rPr>
          <w:rFonts w:hint="cs"/>
          <w:spacing w:val="0"/>
          <w:kern w:val="0"/>
          <w:rtl/>
          <w:lang w:val="en-CA"/>
        </w:rPr>
        <w:t>عضلات</w:t>
      </w:r>
      <w:r w:rsidRPr="00EA66E5">
        <w:rPr>
          <w:spacing w:val="0"/>
          <w:kern w:val="0"/>
          <w:rtl/>
          <w:lang w:val="en-CA"/>
        </w:rPr>
        <w:t xml:space="preserve"> قلبه. وتوفي السيد سونكو بعد ذلك بقليل، على الرغم من الجهود التي بذلت </w:t>
      </w:r>
      <w:r w:rsidRPr="00EA66E5">
        <w:rPr>
          <w:rFonts w:hint="cs"/>
          <w:spacing w:val="0"/>
          <w:kern w:val="0"/>
          <w:rtl/>
          <w:lang w:val="en-CA"/>
        </w:rPr>
        <w:t>لإنعاشه</w:t>
      </w:r>
      <w:r w:rsidRPr="00EA66E5">
        <w:rPr>
          <w:spacing w:val="0"/>
          <w:kern w:val="0"/>
          <w:rtl/>
          <w:lang w:val="en-CA"/>
        </w:rPr>
        <w:t xml:space="preserve"> ودفن في </w:t>
      </w:r>
      <w:r w:rsidRPr="00EA66E5">
        <w:rPr>
          <w:rFonts w:hint="cs"/>
          <w:spacing w:val="0"/>
          <w:kern w:val="0"/>
          <w:rtl/>
          <w:lang w:val="en-CA"/>
        </w:rPr>
        <w:t>قبر لا يحمل</w:t>
      </w:r>
      <w:r w:rsidRPr="00EA66E5">
        <w:rPr>
          <w:spacing w:val="0"/>
          <w:kern w:val="0"/>
          <w:rtl/>
          <w:lang w:val="en-CA"/>
        </w:rPr>
        <w:t xml:space="preserve"> </w:t>
      </w:r>
      <w:r w:rsidRPr="00EA66E5">
        <w:rPr>
          <w:rFonts w:hint="cs"/>
          <w:spacing w:val="0"/>
          <w:kern w:val="0"/>
          <w:rtl/>
          <w:lang w:val="en-CA"/>
        </w:rPr>
        <w:t xml:space="preserve">أي </w:t>
      </w:r>
      <w:r w:rsidRPr="00EA66E5">
        <w:rPr>
          <w:spacing w:val="0"/>
          <w:kern w:val="0"/>
          <w:rtl/>
          <w:lang w:val="en-CA"/>
        </w:rPr>
        <w:t>علامة في مقبرة سانتا كتالانيا.</w:t>
      </w:r>
    </w:p>
    <w:p w:rsidR="00EA66E5" w:rsidRPr="00EA66E5" w:rsidRDefault="00EA66E5" w:rsidP="00EA66E5">
      <w:pPr>
        <w:pStyle w:val="SingleTxtGA"/>
        <w:jc w:val="lowKashida"/>
        <w:rPr>
          <w:spacing w:val="0"/>
          <w:kern w:val="0"/>
          <w:rtl/>
          <w:lang w:val="en-CA"/>
        </w:rPr>
      </w:pPr>
      <w:r w:rsidRPr="00EA66E5">
        <w:rPr>
          <w:spacing w:val="0"/>
          <w:kern w:val="0"/>
          <w:rtl/>
          <w:lang w:val="en-CA"/>
        </w:rPr>
        <w:t>2-3</w:t>
      </w:r>
      <w:r w:rsidRPr="00EA66E5">
        <w:rPr>
          <w:spacing w:val="0"/>
          <w:kern w:val="0"/>
          <w:rtl/>
          <w:lang w:val="en-CA"/>
        </w:rPr>
        <w:tab/>
        <w:t xml:space="preserve">وفي 28 أيلول/سبتمبر 2007، </w:t>
      </w:r>
      <w:r w:rsidRPr="00EA66E5">
        <w:rPr>
          <w:rFonts w:hint="cs"/>
          <w:spacing w:val="0"/>
          <w:kern w:val="0"/>
          <w:rtl/>
          <w:lang w:val="en-CA"/>
        </w:rPr>
        <w:t>رفضت</w:t>
      </w:r>
      <w:r w:rsidRPr="00EA66E5">
        <w:rPr>
          <w:spacing w:val="0"/>
          <w:kern w:val="0"/>
          <w:rtl/>
          <w:lang w:val="en-CA"/>
        </w:rPr>
        <w:t xml:space="preserve"> محكمة </w:t>
      </w:r>
      <w:r w:rsidRPr="00EA66E5">
        <w:rPr>
          <w:rFonts w:hint="cs"/>
          <w:spacing w:val="0"/>
          <w:kern w:val="0"/>
          <w:rtl/>
          <w:lang w:val="en-CA"/>
        </w:rPr>
        <w:t>التحقيق</w:t>
      </w:r>
      <w:r w:rsidRPr="00EA66E5">
        <w:rPr>
          <w:spacing w:val="0"/>
          <w:kern w:val="0"/>
          <w:rtl/>
          <w:lang w:val="en-CA"/>
        </w:rPr>
        <w:t xml:space="preserve"> رقم 1 في سبتة، أثناء تحقيق أولي، الدعوى </w:t>
      </w:r>
      <w:r w:rsidRPr="00EA66E5">
        <w:rPr>
          <w:rFonts w:hint="cs"/>
          <w:spacing w:val="0"/>
          <w:kern w:val="0"/>
          <w:rtl/>
          <w:lang w:val="en-CA"/>
        </w:rPr>
        <w:t xml:space="preserve">المرفوعة بشأن </w:t>
      </w:r>
      <w:r w:rsidRPr="00EA66E5">
        <w:rPr>
          <w:spacing w:val="0"/>
          <w:kern w:val="0"/>
          <w:rtl/>
          <w:lang w:val="en-CA"/>
        </w:rPr>
        <w:t xml:space="preserve">وفاة السيد سونكو استناداً إلى خلوصها </w:t>
      </w:r>
      <w:r w:rsidRPr="00EA66E5">
        <w:rPr>
          <w:rFonts w:hint="cs"/>
          <w:spacing w:val="0"/>
          <w:kern w:val="0"/>
          <w:rtl/>
          <w:lang w:val="en-CA"/>
        </w:rPr>
        <w:t xml:space="preserve">إلى </w:t>
      </w:r>
      <w:r w:rsidRPr="00EA66E5">
        <w:rPr>
          <w:spacing w:val="0"/>
          <w:kern w:val="0"/>
          <w:rtl/>
          <w:lang w:val="en-CA"/>
        </w:rPr>
        <w:t xml:space="preserve">أنها ليست مختصة </w:t>
      </w:r>
      <w:r w:rsidRPr="00EA66E5">
        <w:rPr>
          <w:rFonts w:hint="cs"/>
          <w:spacing w:val="0"/>
          <w:kern w:val="0"/>
          <w:rtl/>
          <w:lang w:val="en-CA"/>
        </w:rPr>
        <w:t>ب</w:t>
      </w:r>
      <w:r w:rsidRPr="00EA66E5">
        <w:rPr>
          <w:spacing w:val="0"/>
          <w:kern w:val="0"/>
          <w:rtl/>
          <w:lang w:val="en-CA"/>
        </w:rPr>
        <w:t xml:space="preserve">بحث قضية تتعلق بأحداث وقعت </w:t>
      </w:r>
      <w:r w:rsidRPr="00EA66E5">
        <w:rPr>
          <w:rFonts w:hint="cs"/>
          <w:spacing w:val="0"/>
          <w:kern w:val="0"/>
          <w:rtl/>
          <w:lang w:val="en-CA"/>
        </w:rPr>
        <w:t xml:space="preserve">على الإقليم </w:t>
      </w:r>
      <w:r w:rsidRPr="00EA66E5">
        <w:rPr>
          <w:spacing w:val="0"/>
          <w:kern w:val="0"/>
          <w:rtl/>
          <w:lang w:val="en-CA"/>
        </w:rPr>
        <w:t>المغربي.</w:t>
      </w:r>
    </w:p>
    <w:p w:rsidR="00EA66E5" w:rsidRPr="00EA66E5" w:rsidRDefault="00EA66E5" w:rsidP="00EA66E5">
      <w:pPr>
        <w:pStyle w:val="SingleTxtGA"/>
        <w:jc w:val="lowKashida"/>
        <w:rPr>
          <w:spacing w:val="0"/>
          <w:kern w:val="0"/>
          <w:rtl/>
          <w:lang w:val="en-CA"/>
        </w:rPr>
      </w:pPr>
      <w:r w:rsidRPr="00EA66E5">
        <w:rPr>
          <w:spacing w:val="0"/>
          <w:kern w:val="0"/>
          <w:rtl/>
          <w:lang w:val="en-CA"/>
        </w:rPr>
        <w:t>2-4</w:t>
      </w:r>
      <w:r w:rsidRPr="00EA66E5">
        <w:rPr>
          <w:spacing w:val="0"/>
          <w:kern w:val="0"/>
          <w:rtl/>
          <w:lang w:val="en-CA"/>
        </w:rPr>
        <w:tab/>
        <w:t xml:space="preserve">وفي 4 و9 تشرين الأول/أكتوبر 2007، طلبت صاحبة الشكوى أن يحقق أمين المظالم في </w:t>
      </w:r>
      <w:r w:rsidRPr="00EA66E5">
        <w:rPr>
          <w:rFonts w:hint="cs"/>
          <w:spacing w:val="0"/>
          <w:kern w:val="0"/>
          <w:rtl/>
          <w:lang w:val="en-CA"/>
        </w:rPr>
        <w:t xml:space="preserve">ملابسات </w:t>
      </w:r>
      <w:r w:rsidRPr="00EA66E5">
        <w:rPr>
          <w:spacing w:val="0"/>
          <w:kern w:val="0"/>
          <w:rtl/>
          <w:lang w:val="en-CA"/>
        </w:rPr>
        <w:t xml:space="preserve">وفاة السيد سونكو. وفي 12 تشرين الثاني/نوفمبر 2007، </w:t>
      </w:r>
      <w:r w:rsidRPr="00EA66E5">
        <w:rPr>
          <w:rFonts w:hint="cs"/>
          <w:spacing w:val="0"/>
          <w:kern w:val="0"/>
          <w:rtl/>
          <w:lang w:val="en-CA"/>
        </w:rPr>
        <w:t xml:space="preserve">أحال </w:t>
      </w:r>
      <w:r w:rsidRPr="00EA66E5">
        <w:rPr>
          <w:spacing w:val="0"/>
          <w:kern w:val="0"/>
          <w:rtl/>
          <w:lang w:val="en-CA"/>
        </w:rPr>
        <w:t>أمين المظالم الأحداث إلى علم النائب العام</w:t>
      </w:r>
      <w:r w:rsidRPr="00EA66E5">
        <w:rPr>
          <w:rFonts w:hint="cs"/>
          <w:spacing w:val="0"/>
          <w:kern w:val="0"/>
          <w:rtl/>
          <w:lang w:val="en-CA"/>
        </w:rPr>
        <w:t xml:space="preserve"> الذي </w:t>
      </w:r>
      <w:r w:rsidRPr="00EA66E5">
        <w:rPr>
          <w:spacing w:val="0"/>
          <w:kern w:val="0"/>
          <w:rtl/>
          <w:lang w:val="en-CA"/>
        </w:rPr>
        <w:t>أمر في 14 كانون الأول/ديسمبر 2007 باتخاذ الخطوات اللازمة لتحديد وقائع المسألة.</w:t>
      </w:r>
    </w:p>
    <w:p w:rsidR="00EA66E5" w:rsidRPr="00EA66E5" w:rsidRDefault="00EA66E5" w:rsidP="00EA66E5">
      <w:pPr>
        <w:pStyle w:val="SingleTxtGA"/>
        <w:jc w:val="lowKashida"/>
        <w:rPr>
          <w:spacing w:val="0"/>
          <w:kern w:val="0"/>
          <w:rtl/>
          <w:lang w:val="en-CA"/>
        </w:rPr>
      </w:pPr>
      <w:r w:rsidRPr="00EA66E5">
        <w:rPr>
          <w:spacing w:val="0"/>
          <w:kern w:val="0"/>
          <w:rtl/>
          <w:lang w:val="en-CA"/>
        </w:rPr>
        <w:t>2-5</w:t>
      </w:r>
      <w:r w:rsidRPr="00EA66E5">
        <w:rPr>
          <w:spacing w:val="0"/>
          <w:kern w:val="0"/>
          <w:rtl/>
          <w:lang w:val="en-CA"/>
        </w:rPr>
        <w:tab/>
        <w:t xml:space="preserve">وفي 9 أيار/مايو 2008، قدم أحد المهاجرين من </w:t>
      </w:r>
      <w:r w:rsidRPr="00EA66E5">
        <w:rPr>
          <w:rFonts w:hint="cs"/>
          <w:spacing w:val="0"/>
          <w:kern w:val="0"/>
          <w:rtl/>
          <w:lang w:val="en-CA"/>
        </w:rPr>
        <w:t>بين أفراد</w:t>
      </w:r>
      <w:r w:rsidRPr="00EA66E5">
        <w:rPr>
          <w:spacing w:val="0"/>
          <w:kern w:val="0"/>
          <w:rtl/>
          <w:lang w:val="en-CA"/>
        </w:rPr>
        <w:t xml:space="preserve"> المجموعة، </w:t>
      </w:r>
      <w:r w:rsidRPr="00EA66E5">
        <w:rPr>
          <w:rFonts w:hint="cs"/>
          <w:spacing w:val="0"/>
          <w:kern w:val="0"/>
          <w:rtl/>
          <w:lang w:val="en-CA"/>
        </w:rPr>
        <w:t xml:space="preserve">وهو </w:t>
      </w:r>
      <w:r w:rsidRPr="00EA66E5">
        <w:rPr>
          <w:spacing w:val="0"/>
          <w:kern w:val="0"/>
          <w:rtl/>
          <w:lang w:val="en-CA"/>
        </w:rPr>
        <w:t>السيد داو تو</w:t>
      </w:r>
      <w:r w:rsidRPr="00EA66E5">
        <w:rPr>
          <w:rFonts w:hint="cs"/>
          <w:spacing w:val="0"/>
          <w:kern w:val="0"/>
          <w:rtl/>
          <w:lang w:val="en-CA"/>
        </w:rPr>
        <w:t>ر</w:t>
      </w:r>
      <w:r w:rsidRPr="00EA66E5">
        <w:rPr>
          <w:spacing w:val="0"/>
          <w:kern w:val="0"/>
          <w:rtl/>
          <w:lang w:val="en-CA"/>
        </w:rPr>
        <w:t xml:space="preserve">يه، </w:t>
      </w:r>
      <w:r w:rsidRPr="00EA66E5">
        <w:rPr>
          <w:rFonts w:hint="cs"/>
          <w:spacing w:val="0"/>
          <w:kern w:val="0"/>
          <w:rtl/>
          <w:lang w:val="en-CA"/>
        </w:rPr>
        <w:t xml:space="preserve">إفادة </w:t>
      </w:r>
      <w:r w:rsidRPr="00EA66E5">
        <w:rPr>
          <w:spacing w:val="0"/>
          <w:kern w:val="0"/>
          <w:rtl/>
          <w:lang w:val="en-CA"/>
        </w:rPr>
        <w:t>خطي</w:t>
      </w:r>
      <w:r w:rsidRPr="00EA66E5">
        <w:rPr>
          <w:rFonts w:hint="cs"/>
          <w:spacing w:val="0"/>
          <w:kern w:val="0"/>
          <w:rtl/>
          <w:lang w:val="en-CA"/>
        </w:rPr>
        <w:t>ة</w:t>
      </w:r>
      <w:r w:rsidRPr="00EA66E5">
        <w:rPr>
          <w:spacing w:val="0"/>
          <w:kern w:val="0"/>
          <w:rtl/>
          <w:lang w:val="en-CA"/>
        </w:rPr>
        <w:t xml:space="preserve"> </w:t>
      </w:r>
      <w:r w:rsidRPr="00EA66E5">
        <w:rPr>
          <w:rFonts w:hint="cs"/>
          <w:spacing w:val="0"/>
          <w:kern w:val="0"/>
          <w:rtl/>
          <w:lang w:val="en-CA"/>
        </w:rPr>
        <w:t>ت</w:t>
      </w:r>
      <w:r w:rsidRPr="00EA66E5">
        <w:rPr>
          <w:spacing w:val="0"/>
          <w:kern w:val="0"/>
          <w:rtl/>
          <w:lang w:val="en-CA"/>
        </w:rPr>
        <w:t xml:space="preserve">تعلق بأحداث أيلول/سبتمبر 2007 إلى محكمة </w:t>
      </w:r>
      <w:r w:rsidRPr="00EA66E5">
        <w:rPr>
          <w:rFonts w:hint="cs"/>
          <w:spacing w:val="0"/>
          <w:kern w:val="0"/>
          <w:rtl/>
        </w:rPr>
        <w:t>التحقيق</w:t>
      </w:r>
      <w:r w:rsidRPr="00EA66E5">
        <w:rPr>
          <w:spacing w:val="0"/>
          <w:kern w:val="0"/>
          <w:rtl/>
          <w:lang w:val="en-CA"/>
        </w:rPr>
        <w:t xml:space="preserve"> رقم 1 في سبتة،</w:t>
      </w:r>
      <w:r>
        <w:rPr>
          <w:rFonts w:hint="cs"/>
          <w:spacing w:val="0"/>
          <w:kern w:val="0"/>
          <w:rtl/>
          <w:lang w:val="en-CA"/>
        </w:rPr>
        <w:t> </w:t>
      </w:r>
      <w:r w:rsidRPr="00EA66E5">
        <w:rPr>
          <w:spacing w:val="0"/>
          <w:kern w:val="0"/>
          <w:rtl/>
          <w:lang w:val="en-CA"/>
        </w:rPr>
        <w:t>و</w:t>
      </w:r>
      <w:r w:rsidRPr="00EA66E5">
        <w:rPr>
          <w:rFonts w:hint="cs"/>
          <w:spacing w:val="0"/>
          <w:kern w:val="0"/>
          <w:rtl/>
          <w:lang w:val="en-CA"/>
        </w:rPr>
        <w:t>ت</w:t>
      </w:r>
      <w:r w:rsidRPr="00EA66E5">
        <w:rPr>
          <w:spacing w:val="0"/>
          <w:kern w:val="0"/>
          <w:rtl/>
          <w:lang w:val="en-CA"/>
        </w:rPr>
        <w:t xml:space="preserve">رد </w:t>
      </w:r>
      <w:r w:rsidRPr="00EA66E5">
        <w:rPr>
          <w:rFonts w:hint="cs"/>
          <w:spacing w:val="0"/>
          <w:kern w:val="0"/>
          <w:rtl/>
          <w:lang w:val="en-CA"/>
        </w:rPr>
        <w:t xml:space="preserve">هذه الإفادة </w:t>
      </w:r>
      <w:r w:rsidRPr="00EA66E5">
        <w:rPr>
          <w:spacing w:val="0"/>
          <w:kern w:val="0"/>
          <w:rtl/>
          <w:lang w:val="en-CA"/>
        </w:rPr>
        <w:t xml:space="preserve">في التحقيق الأولي رقم 1135/2007. وقال السيد </w:t>
      </w:r>
      <w:r w:rsidRPr="00EA66E5">
        <w:rPr>
          <w:rFonts w:hint="cs"/>
          <w:spacing w:val="0"/>
          <w:kern w:val="0"/>
          <w:rtl/>
          <w:lang w:val="en-CA"/>
        </w:rPr>
        <w:t>توريه</w:t>
      </w:r>
      <w:r w:rsidRPr="00EA66E5">
        <w:rPr>
          <w:spacing w:val="0"/>
          <w:kern w:val="0"/>
          <w:rtl/>
          <w:lang w:val="en-CA"/>
        </w:rPr>
        <w:t xml:space="preserve"> في </w:t>
      </w:r>
      <w:r w:rsidRPr="00EA66E5">
        <w:rPr>
          <w:rFonts w:hint="cs"/>
          <w:spacing w:val="0"/>
          <w:kern w:val="0"/>
          <w:rtl/>
          <w:lang w:val="en-CA"/>
        </w:rPr>
        <w:t>إفادته</w:t>
      </w:r>
      <w:r>
        <w:rPr>
          <w:rFonts w:hint="eastAsia"/>
          <w:spacing w:val="0"/>
          <w:kern w:val="0"/>
          <w:rtl/>
          <w:lang w:val="en-CA"/>
        </w:rPr>
        <w:t> </w:t>
      </w:r>
      <w:r w:rsidRPr="00EA66E5">
        <w:rPr>
          <w:rFonts w:hint="cs"/>
          <w:spacing w:val="0"/>
          <w:kern w:val="0"/>
          <w:rtl/>
          <w:lang w:val="en-CA"/>
        </w:rPr>
        <w:t>ما يلي</w:t>
      </w:r>
      <w:r w:rsidRPr="00EA66E5">
        <w:rPr>
          <w:spacing w:val="0"/>
          <w:kern w:val="0"/>
          <w:rtl/>
          <w:lang w:val="en-CA"/>
        </w:rPr>
        <w:t>:</w:t>
      </w:r>
    </w:p>
    <w:p w:rsidR="00EA66E5" w:rsidRPr="00EA66E5" w:rsidRDefault="00EA66E5" w:rsidP="00EA66E5">
      <w:pPr>
        <w:pStyle w:val="SingleTxtGA"/>
        <w:ind w:left="1928"/>
        <w:jc w:val="lowKashida"/>
        <w:rPr>
          <w:spacing w:val="0"/>
          <w:kern w:val="0"/>
          <w:rtl/>
          <w:lang w:val="en-CA"/>
        </w:rPr>
      </w:pPr>
      <w:r w:rsidRPr="00EA66E5">
        <w:rPr>
          <w:rFonts w:hint="cs"/>
          <w:spacing w:val="0"/>
          <w:kern w:val="0"/>
          <w:rtl/>
          <w:lang w:val="en-CA"/>
        </w:rPr>
        <w:tab/>
      </w:r>
      <w:r w:rsidRPr="00EA66E5">
        <w:rPr>
          <w:spacing w:val="0"/>
          <w:kern w:val="0"/>
          <w:rtl/>
          <w:lang w:val="en-CA"/>
        </w:rPr>
        <w:t>"[المهاجرون] لم يشيروا في أي وقت من الأوقات</w:t>
      </w:r>
      <w:r w:rsidRPr="00EA66E5">
        <w:rPr>
          <w:rFonts w:hint="cs"/>
          <w:spacing w:val="0"/>
          <w:kern w:val="0"/>
          <w:rtl/>
          <w:lang w:val="en-CA"/>
        </w:rPr>
        <w:t xml:space="preserve"> إلى</w:t>
      </w:r>
      <w:r w:rsidRPr="00EA66E5">
        <w:rPr>
          <w:spacing w:val="0"/>
          <w:kern w:val="0"/>
          <w:rtl/>
          <w:lang w:val="en-CA"/>
        </w:rPr>
        <w:t xml:space="preserve"> أنهم </w:t>
      </w:r>
      <w:r w:rsidRPr="00EA66E5">
        <w:rPr>
          <w:rFonts w:hint="cs"/>
          <w:spacing w:val="0"/>
          <w:kern w:val="0"/>
          <w:rtl/>
          <w:lang w:val="en-CA"/>
        </w:rPr>
        <w:t>يرغبون في التماس</w:t>
      </w:r>
      <w:r w:rsidRPr="00EA66E5">
        <w:rPr>
          <w:spacing w:val="0"/>
          <w:kern w:val="0"/>
          <w:rtl/>
          <w:lang w:val="en-CA"/>
        </w:rPr>
        <w:t xml:space="preserve"> اللجوء </w:t>
      </w:r>
      <w:r w:rsidRPr="00EA66E5">
        <w:rPr>
          <w:rFonts w:hint="cs"/>
          <w:spacing w:val="0"/>
          <w:kern w:val="0"/>
          <w:rtl/>
          <w:lang w:val="en-CA"/>
        </w:rPr>
        <w:t>إلى</w:t>
      </w:r>
      <w:r w:rsidRPr="00EA66E5">
        <w:rPr>
          <w:spacing w:val="0"/>
          <w:kern w:val="0"/>
          <w:rtl/>
          <w:lang w:val="en-CA"/>
        </w:rPr>
        <w:t xml:space="preserve"> إسبانيا، </w:t>
      </w:r>
      <w:r w:rsidRPr="00EA66E5">
        <w:rPr>
          <w:rFonts w:hint="cs"/>
          <w:spacing w:val="0"/>
          <w:kern w:val="0"/>
          <w:rtl/>
          <w:lang w:val="en-CA"/>
        </w:rPr>
        <w:t xml:space="preserve">ولم </w:t>
      </w:r>
      <w:r w:rsidRPr="00EA66E5">
        <w:rPr>
          <w:spacing w:val="0"/>
          <w:kern w:val="0"/>
          <w:rtl/>
          <w:lang w:val="en-CA"/>
        </w:rPr>
        <w:t>يتحدث [ض</w:t>
      </w:r>
      <w:r w:rsidRPr="00EA66E5">
        <w:rPr>
          <w:rFonts w:hint="cs"/>
          <w:spacing w:val="0"/>
          <w:kern w:val="0"/>
          <w:rtl/>
          <w:lang w:val="en-CA"/>
        </w:rPr>
        <w:t>ا</w:t>
      </w:r>
      <w:r w:rsidRPr="00EA66E5">
        <w:rPr>
          <w:spacing w:val="0"/>
          <w:kern w:val="0"/>
          <w:rtl/>
          <w:lang w:val="en-CA"/>
        </w:rPr>
        <w:t>بط</w:t>
      </w:r>
      <w:r w:rsidRPr="00EA66E5">
        <w:rPr>
          <w:rFonts w:hint="cs"/>
          <w:spacing w:val="0"/>
          <w:kern w:val="0"/>
          <w:rtl/>
          <w:lang w:val="en-CA"/>
        </w:rPr>
        <w:t>ا</w:t>
      </w:r>
      <w:r w:rsidRPr="00EA66E5">
        <w:rPr>
          <w:spacing w:val="0"/>
          <w:kern w:val="0"/>
          <w:rtl/>
          <w:lang w:val="en-CA"/>
        </w:rPr>
        <w:t xml:space="preserve"> الحرس المدني] إليهم بالفرنسية، ولم</w:t>
      </w:r>
      <w:r>
        <w:rPr>
          <w:rFonts w:hint="cs"/>
          <w:spacing w:val="0"/>
          <w:kern w:val="0"/>
          <w:rtl/>
          <w:lang w:val="en-CA"/>
        </w:rPr>
        <w:t> </w:t>
      </w:r>
      <w:r w:rsidRPr="00EA66E5">
        <w:rPr>
          <w:spacing w:val="0"/>
          <w:kern w:val="0"/>
          <w:rtl/>
          <w:lang w:val="en-CA"/>
        </w:rPr>
        <w:t>يحاولا التواصل معهم بأي شكل من الأشكال. ولم يكن هناك سوى ضابط</w:t>
      </w:r>
      <w:r w:rsidRPr="00EA66E5">
        <w:rPr>
          <w:rFonts w:hint="cs"/>
          <w:spacing w:val="0"/>
          <w:kern w:val="0"/>
          <w:rtl/>
          <w:lang w:val="en-CA"/>
        </w:rPr>
        <w:t>ا</w:t>
      </w:r>
      <w:r w:rsidRPr="00EA66E5">
        <w:rPr>
          <w:spacing w:val="0"/>
          <w:kern w:val="0"/>
          <w:rtl/>
          <w:lang w:val="en-CA"/>
        </w:rPr>
        <w:t xml:space="preserve">ن </w:t>
      </w:r>
      <w:r w:rsidRPr="00EA66E5">
        <w:rPr>
          <w:rFonts w:hint="cs"/>
          <w:spacing w:val="0"/>
          <w:kern w:val="0"/>
          <w:rtl/>
          <w:lang w:val="en-CA"/>
        </w:rPr>
        <w:t xml:space="preserve">فقط </w:t>
      </w:r>
      <w:r w:rsidRPr="00EA66E5">
        <w:rPr>
          <w:spacing w:val="0"/>
          <w:kern w:val="0"/>
          <w:rtl/>
          <w:lang w:val="en-CA"/>
        </w:rPr>
        <w:t>من ضباط الحرس المدني على متن السفينة. ولم يفهما أي ش</w:t>
      </w:r>
      <w:r w:rsidRPr="00EA66E5">
        <w:rPr>
          <w:rFonts w:hint="cs"/>
          <w:spacing w:val="0"/>
          <w:kern w:val="0"/>
          <w:rtl/>
          <w:lang w:val="en-CA"/>
        </w:rPr>
        <w:t>يء</w:t>
      </w:r>
      <w:r w:rsidRPr="00EA66E5">
        <w:rPr>
          <w:spacing w:val="0"/>
          <w:kern w:val="0"/>
          <w:rtl/>
          <w:lang w:val="en-CA"/>
        </w:rPr>
        <w:t xml:space="preserve"> مما يقوله المهاجرون </w:t>
      </w:r>
      <w:r w:rsidRPr="00EA66E5">
        <w:rPr>
          <w:rFonts w:hint="cs"/>
          <w:spacing w:val="0"/>
          <w:kern w:val="0"/>
          <w:rtl/>
          <w:lang w:val="en-CA"/>
        </w:rPr>
        <w:t xml:space="preserve">وبديا وكأنهما </w:t>
      </w:r>
      <w:r w:rsidRPr="00EA66E5">
        <w:rPr>
          <w:spacing w:val="0"/>
          <w:kern w:val="0"/>
          <w:rtl/>
          <w:lang w:val="en-CA"/>
        </w:rPr>
        <w:t>ي</w:t>
      </w:r>
      <w:r w:rsidRPr="00EA66E5">
        <w:rPr>
          <w:rFonts w:hint="cs"/>
          <w:spacing w:val="0"/>
          <w:kern w:val="0"/>
          <w:rtl/>
          <w:lang w:val="en-CA"/>
        </w:rPr>
        <w:t>ت</w:t>
      </w:r>
      <w:r w:rsidRPr="00EA66E5">
        <w:rPr>
          <w:spacing w:val="0"/>
          <w:kern w:val="0"/>
          <w:rtl/>
          <w:lang w:val="en-CA"/>
        </w:rPr>
        <w:t>جادلان؛ وأخيراً توجها إلى شاطئ بليونكس.</w:t>
      </w:r>
    </w:p>
    <w:p w:rsidR="00EA66E5" w:rsidRPr="00EA66E5" w:rsidRDefault="00EA66E5" w:rsidP="00EA66E5">
      <w:pPr>
        <w:pStyle w:val="SingleTxtGA"/>
        <w:ind w:left="1928"/>
        <w:jc w:val="lowKashida"/>
        <w:rPr>
          <w:rFonts w:hint="cs"/>
          <w:spacing w:val="0"/>
          <w:kern w:val="0"/>
          <w:rtl/>
          <w:lang w:val="en-CA"/>
        </w:rPr>
      </w:pPr>
      <w:r w:rsidRPr="00EA66E5">
        <w:rPr>
          <w:rFonts w:hint="cs"/>
          <w:spacing w:val="0"/>
          <w:kern w:val="0"/>
          <w:rtl/>
          <w:lang w:val="en-CA"/>
        </w:rPr>
        <w:tab/>
      </w:r>
      <w:r w:rsidRPr="00EA66E5">
        <w:rPr>
          <w:spacing w:val="0"/>
          <w:kern w:val="0"/>
          <w:rtl/>
          <w:lang w:val="en-CA"/>
        </w:rPr>
        <w:t xml:space="preserve">وأوقفا الزورق بعد ذلك </w:t>
      </w:r>
      <w:r w:rsidRPr="00EA66E5">
        <w:rPr>
          <w:rFonts w:hint="cs"/>
          <w:spacing w:val="0"/>
          <w:kern w:val="0"/>
          <w:rtl/>
          <w:lang w:val="en-CA"/>
        </w:rPr>
        <w:t>بالقرب من</w:t>
      </w:r>
      <w:r w:rsidRPr="00EA66E5">
        <w:rPr>
          <w:spacing w:val="0"/>
          <w:kern w:val="0"/>
          <w:rtl/>
          <w:lang w:val="en-CA"/>
        </w:rPr>
        <w:t xml:space="preserve"> شاطئ بليونكس. ولم يكونوا بعيد</w:t>
      </w:r>
      <w:r w:rsidRPr="00EA66E5">
        <w:rPr>
          <w:rFonts w:hint="cs"/>
          <w:spacing w:val="0"/>
          <w:kern w:val="0"/>
          <w:rtl/>
          <w:lang w:val="en-CA"/>
        </w:rPr>
        <w:t>ين</w:t>
      </w:r>
      <w:r w:rsidRPr="00EA66E5">
        <w:rPr>
          <w:spacing w:val="0"/>
          <w:kern w:val="0"/>
          <w:rtl/>
          <w:lang w:val="en-CA"/>
        </w:rPr>
        <w:t xml:space="preserve"> عن الشاطئ ولكنهم لم يكونوا </w:t>
      </w:r>
      <w:r w:rsidRPr="00EA66E5">
        <w:rPr>
          <w:rFonts w:hint="cs"/>
          <w:spacing w:val="0"/>
          <w:kern w:val="0"/>
          <w:rtl/>
          <w:lang w:val="en-CA"/>
        </w:rPr>
        <w:t>قريبين</w:t>
      </w:r>
      <w:r w:rsidRPr="00EA66E5">
        <w:rPr>
          <w:spacing w:val="0"/>
          <w:kern w:val="0"/>
          <w:rtl/>
          <w:lang w:val="en-CA"/>
        </w:rPr>
        <w:t xml:space="preserve"> منه أيضاً. (...) وباستعمال سكين، </w:t>
      </w:r>
      <w:r w:rsidRPr="00EA66E5">
        <w:rPr>
          <w:rFonts w:hint="cs"/>
          <w:spacing w:val="0"/>
          <w:kern w:val="0"/>
          <w:rtl/>
          <w:lang w:val="en-CA"/>
        </w:rPr>
        <w:t>ثقب</w:t>
      </w:r>
      <w:r w:rsidRPr="00EA66E5">
        <w:rPr>
          <w:spacing w:val="0"/>
          <w:kern w:val="0"/>
          <w:rtl/>
          <w:lang w:val="en-CA"/>
        </w:rPr>
        <w:t xml:space="preserve"> [ضا</w:t>
      </w:r>
      <w:r w:rsidRPr="00EA66E5">
        <w:rPr>
          <w:rFonts w:hint="cs"/>
          <w:spacing w:val="0"/>
          <w:kern w:val="0"/>
          <w:rtl/>
          <w:lang w:val="en-CA"/>
        </w:rPr>
        <w:t>ب</w:t>
      </w:r>
      <w:r w:rsidRPr="00EA66E5">
        <w:rPr>
          <w:spacing w:val="0"/>
          <w:kern w:val="0"/>
          <w:rtl/>
          <w:lang w:val="en-CA"/>
        </w:rPr>
        <w:t>ط</w:t>
      </w:r>
      <w:r w:rsidRPr="00EA66E5">
        <w:rPr>
          <w:rFonts w:hint="cs"/>
          <w:spacing w:val="0"/>
          <w:kern w:val="0"/>
          <w:rtl/>
          <w:lang w:val="en-CA"/>
        </w:rPr>
        <w:t>ا</w:t>
      </w:r>
      <w:r w:rsidRPr="00EA66E5">
        <w:rPr>
          <w:spacing w:val="0"/>
          <w:kern w:val="0"/>
          <w:rtl/>
          <w:lang w:val="en-CA"/>
        </w:rPr>
        <w:t xml:space="preserve"> الحرس المدني] جميع </w:t>
      </w:r>
      <w:r w:rsidRPr="00EA66E5">
        <w:rPr>
          <w:rFonts w:hint="cs"/>
          <w:spacing w:val="0"/>
          <w:kern w:val="0"/>
          <w:rtl/>
          <w:lang w:val="en-CA"/>
        </w:rPr>
        <w:t>زوارق</w:t>
      </w:r>
      <w:r w:rsidRPr="00EA66E5">
        <w:rPr>
          <w:spacing w:val="0"/>
          <w:kern w:val="0"/>
          <w:rtl/>
          <w:lang w:val="en-CA"/>
        </w:rPr>
        <w:t xml:space="preserve"> المهاجرين المطاطية باستثناء </w:t>
      </w:r>
      <w:r w:rsidRPr="00EA66E5">
        <w:rPr>
          <w:rFonts w:hint="cs"/>
          <w:spacing w:val="0"/>
          <w:kern w:val="0"/>
          <w:rtl/>
          <w:lang w:val="en-CA"/>
        </w:rPr>
        <w:t>قارب المرأة</w:t>
      </w:r>
      <w:r w:rsidRPr="00EA66E5">
        <w:rPr>
          <w:spacing w:val="0"/>
          <w:kern w:val="0"/>
          <w:rtl/>
          <w:lang w:val="en-CA"/>
        </w:rPr>
        <w:t xml:space="preserve">، </w:t>
      </w:r>
      <w:r w:rsidRPr="00EA66E5">
        <w:rPr>
          <w:rFonts w:hint="cs"/>
          <w:spacing w:val="0"/>
          <w:kern w:val="0"/>
          <w:rtl/>
          <w:lang w:val="en-CA"/>
        </w:rPr>
        <w:t>وقذفا</w:t>
      </w:r>
      <w:r>
        <w:rPr>
          <w:rFonts w:hint="cs"/>
          <w:spacing w:val="0"/>
          <w:kern w:val="0"/>
          <w:rtl/>
          <w:lang w:val="en-CA"/>
        </w:rPr>
        <w:t> </w:t>
      </w:r>
      <w:r w:rsidRPr="00EA66E5">
        <w:rPr>
          <w:spacing w:val="0"/>
          <w:kern w:val="0"/>
          <w:rtl/>
          <w:lang w:val="en-CA"/>
        </w:rPr>
        <w:t xml:space="preserve">بهم في المياه، في موقع عميق. وكانت هناك مجموعة من </w:t>
      </w:r>
      <w:r w:rsidRPr="00EA66E5">
        <w:rPr>
          <w:rFonts w:hint="cs"/>
          <w:spacing w:val="0"/>
          <w:kern w:val="0"/>
          <w:rtl/>
          <w:lang w:val="en-CA"/>
        </w:rPr>
        <w:t>الجنود</w:t>
      </w:r>
      <w:r w:rsidRPr="00EA66E5">
        <w:rPr>
          <w:spacing w:val="0"/>
          <w:kern w:val="0"/>
          <w:rtl/>
          <w:lang w:val="en-CA"/>
        </w:rPr>
        <w:t xml:space="preserve"> المغاربة في انتظارهم </w:t>
      </w:r>
      <w:r w:rsidRPr="00EA66E5">
        <w:rPr>
          <w:rFonts w:hint="cs"/>
          <w:spacing w:val="0"/>
          <w:kern w:val="0"/>
          <w:rtl/>
          <w:lang w:val="en-CA"/>
        </w:rPr>
        <w:t xml:space="preserve">على </w:t>
      </w:r>
      <w:r w:rsidRPr="00EA66E5">
        <w:rPr>
          <w:spacing w:val="0"/>
          <w:kern w:val="0"/>
          <w:rtl/>
          <w:lang w:val="en-CA"/>
        </w:rPr>
        <w:t>الشاطئ. وكان أول من ألق</w:t>
      </w:r>
      <w:r w:rsidRPr="00EA66E5">
        <w:rPr>
          <w:rFonts w:hint="cs"/>
          <w:spacing w:val="0"/>
          <w:kern w:val="0"/>
          <w:rtl/>
          <w:lang w:val="en-CA"/>
        </w:rPr>
        <w:t>ي</w:t>
      </w:r>
      <w:r w:rsidRPr="00EA66E5">
        <w:rPr>
          <w:spacing w:val="0"/>
          <w:kern w:val="0"/>
          <w:rtl/>
          <w:lang w:val="en-CA"/>
        </w:rPr>
        <w:t xml:space="preserve"> </w:t>
      </w:r>
      <w:r w:rsidRPr="00EA66E5">
        <w:rPr>
          <w:rFonts w:hint="cs"/>
          <w:spacing w:val="0"/>
          <w:kern w:val="0"/>
          <w:rtl/>
          <w:lang w:val="en-CA"/>
        </w:rPr>
        <w:t xml:space="preserve">به </w:t>
      </w:r>
      <w:r w:rsidRPr="00EA66E5">
        <w:rPr>
          <w:spacing w:val="0"/>
          <w:kern w:val="0"/>
          <w:rtl/>
          <w:lang w:val="en-CA"/>
        </w:rPr>
        <w:t>في المياه هو الشخص السنغالي الذي أمسك بجسر الزورق</w:t>
      </w:r>
      <w:r w:rsidRPr="00EA66E5">
        <w:rPr>
          <w:rFonts w:hint="cs"/>
          <w:spacing w:val="0"/>
          <w:kern w:val="0"/>
          <w:rtl/>
          <w:lang w:val="en-CA"/>
        </w:rPr>
        <w:t xml:space="preserve"> للنجاة من الوقوع في مياه البحر</w:t>
      </w:r>
      <w:r w:rsidRPr="00EA66E5">
        <w:rPr>
          <w:spacing w:val="0"/>
          <w:kern w:val="0"/>
          <w:rtl/>
          <w:lang w:val="en-CA"/>
        </w:rPr>
        <w:t>. وكان عصبياً جدا</w:t>
      </w:r>
      <w:r w:rsidRPr="00EA66E5">
        <w:rPr>
          <w:rFonts w:hint="cs"/>
          <w:spacing w:val="0"/>
          <w:kern w:val="0"/>
          <w:rtl/>
          <w:lang w:val="en-CA"/>
        </w:rPr>
        <w:t>ً</w:t>
      </w:r>
      <w:r w:rsidRPr="00EA66E5">
        <w:rPr>
          <w:spacing w:val="0"/>
          <w:kern w:val="0"/>
          <w:rtl/>
          <w:lang w:val="en-CA"/>
        </w:rPr>
        <w:t xml:space="preserve"> ويكرر أنه لا</w:t>
      </w:r>
      <w:r>
        <w:rPr>
          <w:rFonts w:hint="cs"/>
          <w:spacing w:val="0"/>
          <w:kern w:val="0"/>
          <w:rtl/>
          <w:lang w:val="en-CA"/>
        </w:rPr>
        <w:t> </w:t>
      </w:r>
      <w:r w:rsidRPr="00EA66E5">
        <w:rPr>
          <w:rFonts w:hint="cs"/>
          <w:spacing w:val="0"/>
          <w:kern w:val="0"/>
          <w:rtl/>
          <w:lang w:val="en-CA"/>
        </w:rPr>
        <w:t>يعرف</w:t>
      </w:r>
      <w:r w:rsidRPr="00EA66E5">
        <w:rPr>
          <w:spacing w:val="0"/>
          <w:kern w:val="0"/>
          <w:rtl/>
          <w:lang w:val="en-CA"/>
        </w:rPr>
        <w:t xml:space="preserve"> السباحة، ولكن </w:t>
      </w:r>
      <w:r w:rsidRPr="00EA66E5">
        <w:rPr>
          <w:rFonts w:hint="cs"/>
          <w:spacing w:val="0"/>
          <w:kern w:val="0"/>
          <w:rtl/>
          <w:lang w:val="en-CA"/>
        </w:rPr>
        <w:t>أرغمه</w:t>
      </w:r>
      <w:r w:rsidRPr="00EA66E5">
        <w:rPr>
          <w:spacing w:val="0"/>
          <w:kern w:val="0"/>
          <w:rtl/>
          <w:lang w:val="en-CA"/>
        </w:rPr>
        <w:t xml:space="preserve"> ضباطا الحرس </w:t>
      </w:r>
      <w:r w:rsidRPr="00EA66E5">
        <w:rPr>
          <w:rFonts w:hint="cs"/>
          <w:spacing w:val="0"/>
          <w:kern w:val="0"/>
          <w:rtl/>
          <w:lang w:val="en-CA"/>
        </w:rPr>
        <w:t xml:space="preserve">على فكّ قبضته عن الجسر </w:t>
      </w:r>
      <w:r w:rsidRPr="00EA66E5">
        <w:rPr>
          <w:spacing w:val="0"/>
          <w:kern w:val="0"/>
          <w:rtl/>
          <w:lang w:val="en-CA"/>
        </w:rPr>
        <w:t xml:space="preserve">وقذفاه في البحر. (...) </w:t>
      </w:r>
      <w:r w:rsidRPr="00EA66E5">
        <w:rPr>
          <w:rFonts w:hint="cs"/>
          <w:spacing w:val="0"/>
          <w:kern w:val="0"/>
          <w:rtl/>
          <w:lang w:val="en-CA"/>
        </w:rPr>
        <w:t>غير أن</w:t>
      </w:r>
      <w:r w:rsidRPr="00EA66E5">
        <w:rPr>
          <w:spacing w:val="0"/>
          <w:kern w:val="0"/>
          <w:rtl/>
          <w:lang w:val="en-CA"/>
        </w:rPr>
        <w:t xml:space="preserve"> الشخص السنغالي </w:t>
      </w:r>
      <w:r w:rsidRPr="00EA66E5">
        <w:rPr>
          <w:rFonts w:hint="cs"/>
          <w:spacing w:val="0"/>
          <w:kern w:val="0"/>
          <w:rtl/>
          <w:lang w:val="en-CA"/>
        </w:rPr>
        <w:t xml:space="preserve">كان </w:t>
      </w:r>
      <w:r w:rsidRPr="00EA66E5">
        <w:rPr>
          <w:spacing w:val="0"/>
          <w:kern w:val="0"/>
          <w:rtl/>
          <w:lang w:val="en-CA"/>
        </w:rPr>
        <w:t xml:space="preserve">يغرق وظل يصرخ طالباً </w:t>
      </w:r>
      <w:r w:rsidRPr="00EA66E5">
        <w:rPr>
          <w:rFonts w:hint="cs"/>
          <w:spacing w:val="0"/>
          <w:kern w:val="0"/>
          <w:rtl/>
          <w:lang w:val="en-CA"/>
        </w:rPr>
        <w:t>النجدة</w:t>
      </w:r>
      <w:r w:rsidRPr="00EA66E5">
        <w:rPr>
          <w:spacing w:val="0"/>
          <w:kern w:val="0"/>
          <w:rtl/>
          <w:lang w:val="en-CA"/>
        </w:rPr>
        <w:t>:</w:t>
      </w:r>
      <w:r w:rsidRPr="00EA66E5">
        <w:rPr>
          <w:rFonts w:hint="cs"/>
          <w:spacing w:val="0"/>
          <w:kern w:val="0"/>
          <w:rtl/>
          <w:lang w:val="en-CA"/>
        </w:rPr>
        <w:t xml:space="preserve"> </w:t>
      </w:r>
      <w:r w:rsidRPr="00EA66E5">
        <w:rPr>
          <w:spacing w:val="0"/>
          <w:kern w:val="0"/>
          <w:sz w:val="20"/>
          <w:lang w:val="fr-CH"/>
        </w:rPr>
        <w:t>'aide-moi, aide-moi'</w:t>
      </w:r>
      <w:r w:rsidRPr="00EA66E5">
        <w:rPr>
          <w:rFonts w:hint="cs"/>
          <w:spacing w:val="0"/>
          <w:kern w:val="0"/>
          <w:sz w:val="20"/>
          <w:rtl/>
          <w:lang w:val="en-CA"/>
        </w:rPr>
        <w:t xml:space="preserve"> (</w:t>
      </w:r>
      <w:r w:rsidRPr="00EA66E5">
        <w:rPr>
          <w:spacing w:val="0"/>
          <w:kern w:val="0"/>
          <w:sz w:val="20"/>
          <w:rtl/>
          <w:lang w:val="en-CA"/>
        </w:rPr>
        <w:t xml:space="preserve">ساعدني، ساعدني). ثم قفز أحد </w:t>
      </w:r>
      <w:r w:rsidRPr="00EA66E5">
        <w:rPr>
          <w:rFonts w:hint="cs"/>
          <w:spacing w:val="0"/>
          <w:kern w:val="0"/>
          <w:sz w:val="20"/>
          <w:rtl/>
          <w:lang w:val="en-CA"/>
        </w:rPr>
        <w:t>ضابطي</w:t>
      </w:r>
      <w:r w:rsidRPr="00EA66E5">
        <w:rPr>
          <w:spacing w:val="0"/>
          <w:kern w:val="0"/>
          <w:sz w:val="20"/>
          <w:rtl/>
          <w:lang w:val="en-CA"/>
        </w:rPr>
        <w:t xml:space="preserve"> الحرس المدني في</w:t>
      </w:r>
      <w:r w:rsidRPr="00EA66E5">
        <w:rPr>
          <w:spacing w:val="0"/>
          <w:kern w:val="0"/>
          <w:rtl/>
          <w:lang w:val="en-CA"/>
        </w:rPr>
        <w:t xml:space="preserve"> </w:t>
      </w:r>
      <w:r w:rsidRPr="00EA66E5">
        <w:rPr>
          <w:rFonts w:hint="cs"/>
          <w:spacing w:val="0"/>
          <w:kern w:val="0"/>
          <w:rtl/>
          <w:lang w:val="en-CA"/>
        </w:rPr>
        <w:t>البحر</w:t>
      </w:r>
      <w:r w:rsidRPr="00EA66E5">
        <w:rPr>
          <w:spacing w:val="0"/>
          <w:kern w:val="0"/>
          <w:rtl/>
          <w:lang w:val="en-CA"/>
        </w:rPr>
        <w:t xml:space="preserve"> في حين ظل الآخر </w:t>
      </w:r>
      <w:r w:rsidRPr="00EA66E5">
        <w:rPr>
          <w:rFonts w:hint="cs"/>
          <w:spacing w:val="0"/>
          <w:kern w:val="0"/>
          <w:rtl/>
          <w:lang w:val="en-CA"/>
        </w:rPr>
        <w:t>يتابع الموقف</w:t>
      </w:r>
      <w:r w:rsidRPr="00EA66E5">
        <w:rPr>
          <w:spacing w:val="0"/>
          <w:kern w:val="0"/>
          <w:rtl/>
          <w:lang w:val="en-CA"/>
        </w:rPr>
        <w:t xml:space="preserve"> من الزورق. وأمسك ضابط الحرس المدني بالشخص السنغالي وجذبه إلى الشاطئ، حيث بدأ فوراً </w:t>
      </w:r>
      <w:r w:rsidRPr="00EA66E5">
        <w:rPr>
          <w:rFonts w:hint="cs"/>
          <w:spacing w:val="0"/>
          <w:kern w:val="0"/>
          <w:rtl/>
          <w:lang w:val="en-CA"/>
        </w:rPr>
        <w:t xml:space="preserve">في </w:t>
      </w:r>
      <w:r w:rsidRPr="00EA66E5">
        <w:rPr>
          <w:spacing w:val="0"/>
          <w:kern w:val="0"/>
          <w:rtl/>
          <w:lang w:val="en-CA"/>
        </w:rPr>
        <w:t>تدليك قلبه وصدره، في حين كان الشخص السنغالي مستلقيا</w:t>
      </w:r>
      <w:r w:rsidRPr="00EA66E5">
        <w:rPr>
          <w:rFonts w:hint="cs"/>
          <w:spacing w:val="0"/>
          <w:kern w:val="0"/>
          <w:rtl/>
          <w:lang w:val="en-CA"/>
        </w:rPr>
        <w:t>ً</w:t>
      </w:r>
      <w:r w:rsidRPr="00EA66E5">
        <w:rPr>
          <w:spacing w:val="0"/>
          <w:kern w:val="0"/>
          <w:rtl/>
          <w:lang w:val="en-CA"/>
        </w:rPr>
        <w:t xml:space="preserve"> على ظهره على الشاطئ</w:t>
      </w:r>
      <w:r w:rsidRPr="00EA66E5">
        <w:rPr>
          <w:rFonts w:hint="cs"/>
          <w:spacing w:val="0"/>
          <w:kern w:val="0"/>
          <w:rtl/>
          <w:lang w:val="en-CA"/>
        </w:rPr>
        <w:t>.</w:t>
      </w:r>
      <w:r w:rsidRPr="00EA66E5">
        <w:rPr>
          <w:spacing w:val="0"/>
          <w:kern w:val="0"/>
          <w:rtl/>
          <w:lang w:val="en-CA"/>
        </w:rPr>
        <w:t>"</w:t>
      </w:r>
    </w:p>
    <w:p w:rsidR="00EA66E5" w:rsidRPr="00EA66E5" w:rsidRDefault="00EA66E5" w:rsidP="00D3490C">
      <w:pPr>
        <w:pStyle w:val="SingleTxtGA"/>
        <w:spacing w:line="376" w:lineRule="exact"/>
        <w:jc w:val="lowKashida"/>
        <w:rPr>
          <w:spacing w:val="0"/>
          <w:kern w:val="0"/>
          <w:rtl/>
          <w:lang w:val="en-CA"/>
        </w:rPr>
      </w:pPr>
      <w:r w:rsidRPr="00EA66E5">
        <w:rPr>
          <w:spacing w:val="0"/>
          <w:kern w:val="0"/>
          <w:rtl/>
          <w:lang w:val="en-CA"/>
        </w:rPr>
        <w:t>2-6</w:t>
      </w:r>
      <w:r w:rsidRPr="00EA66E5">
        <w:rPr>
          <w:spacing w:val="0"/>
          <w:kern w:val="0"/>
          <w:rtl/>
          <w:lang w:val="en-CA"/>
        </w:rPr>
        <w:tab/>
        <w:t>وتشير صاحبة الشكوى إلى أنها لم تقدم نسخة من سجل</w:t>
      </w:r>
      <w:r w:rsidRPr="00EA66E5">
        <w:rPr>
          <w:rFonts w:hint="cs"/>
          <w:spacing w:val="0"/>
          <w:kern w:val="0"/>
          <w:rtl/>
          <w:lang w:val="en-CA"/>
        </w:rPr>
        <w:t xml:space="preserve"> هذه الدعوى،</w:t>
      </w:r>
      <w:r w:rsidRPr="00EA66E5">
        <w:rPr>
          <w:spacing w:val="0"/>
          <w:kern w:val="0"/>
          <w:rtl/>
          <w:lang w:val="en-CA"/>
        </w:rPr>
        <w:t xml:space="preserve"> بما في ذلك </w:t>
      </w:r>
      <w:r w:rsidRPr="00EA66E5">
        <w:rPr>
          <w:rFonts w:hint="cs"/>
          <w:spacing w:val="0"/>
          <w:kern w:val="0"/>
          <w:rtl/>
          <w:lang w:val="en-CA"/>
        </w:rPr>
        <w:t>الحكم</w:t>
      </w:r>
      <w:r w:rsidRPr="00EA66E5">
        <w:rPr>
          <w:spacing w:val="0"/>
          <w:kern w:val="0"/>
          <w:rtl/>
          <w:lang w:val="en-CA"/>
        </w:rPr>
        <w:t xml:space="preserve"> الذي </w:t>
      </w:r>
      <w:r w:rsidRPr="00EA66E5">
        <w:rPr>
          <w:rFonts w:hint="cs"/>
          <w:spacing w:val="0"/>
          <w:kern w:val="0"/>
          <w:rtl/>
          <w:lang w:val="en-CA"/>
        </w:rPr>
        <w:t>أصدرته</w:t>
      </w:r>
      <w:r w:rsidRPr="00EA66E5">
        <w:rPr>
          <w:spacing w:val="0"/>
          <w:kern w:val="0"/>
          <w:rtl/>
          <w:lang w:val="en-CA"/>
        </w:rPr>
        <w:t xml:space="preserve"> محكمة </w:t>
      </w:r>
      <w:r w:rsidRPr="00EA66E5">
        <w:rPr>
          <w:rFonts w:hint="cs"/>
          <w:spacing w:val="0"/>
          <w:kern w:val="0"/>
          <w:rtl/>
          <w:lang w:val="en-CA"/>
        </w:rPr>
        <w:t>التحقيق</w:t>
      </w:r>
      <w:r w:rsidRPr="00EA66E5">
        <w:rPr>
          <w:spacing w:val="0"/>
          <w:kern w:val="0"/>
          <w:rtl/>
          <w:lang w:val="en-CA"/>
        </w:rPr>
        <w:t xml:space="preserve"> رقم 1 في سبتة </w:t>
      </w:r>
      <w:r w:rsidRPr="00EA66E5">
        <w:rPr>
          <w:rFonts w:hint="cs"/>
          <w:spacing w:val="0"/>
          <w:kern w:val="0"/>
          <w:rtl/>
          <w:lang w:val="en-CA"/>
        </w:rPr>
        <w:t>في</w:t>
      </w:r>
      <w:r w:rsidRPr="00EA66E5">
        <w:rPr>
          <w:spacing w:val="0"/>
          <w:kern w:val="0"/>
          <w:rtl/>
          <w:lang w:val="en-CA"/>
        </w:rPr>
        <w:t xml:space="preserve"> 28 أيلول/سبتمبر 2007، لأن لا</w:t>
      </w:r>
      <w:r>
        <w:rPr>
          <w:rFonts w:hint="cs"/>
          <w:spacing w:val="0"/>
          <w:kern w:val="0"/>
          <w:rtl/>
          <w:lang w:val="en-CA"/>
        </w:rPr>
        <w:t> </w:t>
      </w:r>
      <w:r w:rsidRPr="00EA66E5">
        <w:rPr>
          <w:spacing w:val="0"/>
          <w:kern w:val="0"/>
          <w:rtl/>
          <w:lang w:val="en-CA"/>
        </w:rPr>
        <w:t>أسرتها</w:t>
      </w:r>
      <w:r w:rsidRPr="00EA66E5">
        <w:rPr>
          <w:rFonts w:hint="cs"/>
          <w:spacing w:val="0"/>
          <w:kern w:val="0"/>
          <w:rtl/>
          <w:lang w:val="en-CA"/>
        </w:rPr>
        <w:t xml:space="preserve"> </w:t>
      </w:r>
      <w:r w:rsidRPr="00EA66E5">
        <w:rPr>
          <w:spacing w:val="0"/>
          <w:kern w:val="0"/>
          <w:rtl/>
          <w:lang w:val="en-CA"/>
        </w:rPr>
        <w:t xml:space="preserve">ولا محاميها، وهو أحد أعضاء مكتب المساعدة القضائية في مكتب الفرع الجنوبي للجنة الإسبانية لمساعدة اللاجئين، </w:t>
      </w:r>
      <w:r w:rsidRPr="00EA66E5">
        <w:rPr>
          <w:rFonts w:hint="cs"/>
          <w:spacing w:val="0"/>
          <w:kern w:val="0"/>
          <w:rtl/>
          <w:lang w:val="en-CA"/>
        </w:rPr>
        <w:t xml:space="preserve">أُخطرا </w:t>
      </w:r>
      <w:r w:rsidRPr="00EA66E5">
        <w:rPr>
          <w:spacing w:val="0"/>
          <w:kern w:val="0"/>
          <w:rtl/>
          <w:lang w:val="en-CA"/>
        </w:rPr>
        <w:t xml:space="preserve">بهذه </w:t>
      </w:r>
      <w:r w:rsidRPr="00EA66E5">
        <w:rPr>
          <w:rFonts w:hint="cs"/>
          <w:spacing w:val="0"/>
          <w:kern w:val="0"/>
          <w:rtl/>
          <w:lang w:val="en-CA"/>
        </w:rPr>
        <w:t>الإجراءات</w:t>
      </w:r>
      <w:r w:rsidRPr="00EA66E5">
        <w:rPr>
          <w:spacing w:val="0"/>
          <w:kern w:val="0"/>
          <w:rtl/>
          <w:lang w:val="en-CA"/>
        </w:rPr>
        <w:t xml:space="preserve">. وتشير صاحبة الشكوى كذلك إلى أن أسرتها </w:t>
      </w:r>
      <w:r w:rsidRPr="00EA66E5">
        <w:rPr>
          <w:rFonts w:hint="cs"/>
          <w:spacing w:val="0"/>
          <w:kern w:val="0"/>
          <w:rtl/>
          <w:lang w:val="en-CA"/>
        </w:rPr>
        <w:t>و</w:t>
      </w:r>
      <w:r w:rsidRPr="00EA66E5">
        <w:rPr>
          <w:spacing w:val="0"/>
          <w:kern w:val="0"/>
          <w:rtl/>
          <w:lang w:val="en-CA"/>
        </w:rPr>
        <w:t xml:space="preserve">مكتب المساعدة القضائية في مكتب الفرع الجنوبي للجنة الإسبانية لمساعدة اللاجئين لم يتمكنا من </w:t>
      </w:r>
      <w:r w:rsidRPr="00EA66E5">
        <w:rPr>
          <w:rFonts w:hint="cs"/>
          <w:spacing w:val="0"/>
          <w:kern w:val="0"/>
          <w:rtl/>
          <w:lang w:val="en-CA"/>
        </w:rPr>
        <w:t>المشاركة</w:t>
      </w:r>
      <w:r w:rsidRPr="00EA66E5">
        <w:rPr>
          <w:spacing w:val="0"/>
          <w:kern w:val="0"/>
          <w:rtl/>
          <w:lang w:val="en-CA"/>
        </w:rPr>
        <w:t xml:space="preserve"> كطرف في </w:t>
      </w:r>
      <w:r w:rsidRPr="00EA66E5">
        <w:rPr>
          <w:rFonts w:hint="cs"/>
          <w:spacing w:val="0"/>
          <w:kern w:val="0"/>
          <w:rtl/>
          <w:lang w:val="en-CA"/>
        </w:rPr>
        <w:t>الدعوى</w:t>
      </w:r>
      <w:r w:rsidRPr="00EA66E5">
        <w:rPr>
          <w:spacing w:val="0"/>
          <w:kern w:val="0"/>
          <w:rtl/>
          <w:lang w:val="en-CA"/>
        </w:rPr>
        <w:t xml:space="preserve"> التي </w:t>
      </w:r>
      <w:r w:rsidRPr="00EA66E5">
        <w:rPr>
          <w:rFonts w:hint="cs"/>
          <w:spacing w:val="0"/>
          <w:kern w:val="0"/>
          <w:rtl/>
          <w:lang w:val="en-CA"/>
        </w:rPr>
        <w:t>حركها</w:t>
      </w:r>
      <w:r w:rsidRPr="00EA66E5">
        <w:rPr>
          <w:spacing w:val="0"/>
          <w:kern w:val="0"/>
          <w:rtl/>
          <w:lang w:val="en-CA"/>
        </w:rPr>
        <w:t xml:space="preserve"> مكتب النائب العام.</w:t>
      </w:r>
    </w:p>
    <w:p w:rsidR="00EA66E5" w:rsidRPr="00EA66E5" w:rsidRDefault="00EA66E5" w:rsidP="00D3490C">
      <w:pPr>
        <w:pStyle w:val="H23GA"/>
        <w:spacing w:line="376" w:lineRule="exact"/>
        <w:jc w:val="lowKashida"/>
        <w:rPr>
          <w:spacing w:val="0"/>
          <w:kern w:val="0"/>
          <w:rtl/>
        </w:rPr>
      </w:pPr>
      <w:r w:rsidRPr="00EA66E5">
        <w:rPr>
          <w:rFonts w:hint="cs"/>
          <w:spacing w:val="0"/>
          <w:kern w:val="0"/>
          <w:rtl/>
        </w:rPr>
        <w:tab/>
      </w:r>
      <w:r w:rsidRPr="00EA66E5">
        <w:rPr>
          <w:rFonts w:hint="cs"/>
          <w:spacing w:val="0"/>
          <w:kern w:val="0"/>
          <w:rtl/>
        </w:rPr>
        <w:tab/>
      </w:r>
      <w:r w:rsidRPr="00EA66E5">
        <w:rPr>
          <w:spacing w:val="0"/>
          <w:kern w:val="0"/>
          <w:rtl/>
        </w:rPr>
        <w:t>الشكوى</w:t>
      </w:r>
    </w:p>
    <w:p w:rsidR="00EA66E5" w:rsidRPr="00EA66E5" w:rsidRDefault="00EA66E5" w:rsidP="00D3490C">
      <w:pPr>
        <w:pStyle w:val="SingleTxtGA"/>
        <w:spacing w:line="376" w:lineRule="exact"/>
        <w:jc w:val="lowKashida"/>
        <w:rPr>
          <w:spacing w:val="0"/>
          <w:kern w:val="0"/>
          <w:rtl/>
          <w:lang w:val="en-CA"/>
        </w:rPr>
      </w:pPr>
      <w:r w:rsidRPr="00EA66E5">
        <w:rPr>
          <w:spacing w:val="0"/>
          <w:kern w:val="0"/>
          <w:rtl/>
          <w:lang w:val="en-CA"/>
        </w:rPr>
        <w:t>3-1</w:t>
      </w:r>
      <w:r w:rsidRPr="00EA66E5">
        <w:rPr>
          <w:spacing w:val="0"/>
          <w:kern w:val="0"/>
          <w:rtl/>
          <w:lang w:val="en-CA"/>
        </w:rPr>
        <w:tab/>
        <w:t>تدفع صاحبة الشكوى بأن شقيقها كان ض</w:t>
      </w:r>
      <w:r w:rsidRPr="00EA66E5">
        <w:rPr>
          <w:rFonts w:hint="cs"/>
          <w:spacing w:val="0"/>
          <w:kern w:val="0"/>
          <w:rtl/>
          <w:lang w:val="en-CA"/>
        </w:rPr>
        <w:t>ح</w:t>
      </w:r>
      <w:r w:rsidRPr="00EA66E5">
        <w:rPr>
          <w:spacing w:val="0"/>
          <w:kern w:val="0"/>
          <w:rtl/>
          <w:lang w:val="en-CA"/>
        </w:rPr>
        <w:t xml:space="preserve">ية انتهاك إسبانيا للفقرة 1 من المادة 1 والفقرتين 1 و2 من المادة 16 من الاتفاقية. وتدعي صاحبة الشكوى أن السيد سونكو كان تحت العلم الإسباني </w:t>
      </w:r>
      <w:r w:rsidRPr="00EA66E5">
        <w:rPr>
          <w:rFonts w:hint="cs"/>
          <w:spacing w:val="0"/>
          <w:kern w:val="0"/>
          <w:rtl/>
          <w:lang w:val="en-CA"/>
        </w:rPr>
        <w:t>منذ لحظة</w:t>
      </w:r>
      <w:r w:rsidRPr="00EA66E5">
        <w:rPr>
          <w:spacing w:val="0"/>
          <w:kern w:val="0"/>
          <w:rtl/>
          <w:lang w:val="en-CA"/>
        </w:rPr>
        <w:t xml:space="preserve"> صع</w:t>
      </w:r>
      <w:r w:rsidRPr="00EA66E5">
        <w:rPr>
          <w:rFonts w:hint="cs"/>
          <w:spacing w:val="0"/>
          <w:kern w:val="0"/>
          <w:rtl/>
          <w:lang w:val="en-CA"/>
        </w:rPr>
        <w:t>و</w:t>
      </w:r>
      <w:r w:rsidRPr="00EA66E5">
        <w:rPr>
          <w:spacing w:val="0"/>
          <w:kern w:val="0"/>
          <w:rtl/>
          <w:lang w:val="en-CA"/>
        </w:rPr>
        <w:t>د</w:t>
      </w:r>
      <w:r w:rsidRPr="00EA66E5">
        <w:rPr>
          <w:rFonts w:hint="cs"/>
          <w:spacing w:val="0"/>
          <w:kern w:val="0"/>
          <w:rtl/>
          <w:lang w:val="en-CA"/>
        </w:rPr>
        <w:t>ه</w:t>
      </w:r>
      <w:r w:rsidRPr="00EA66E5">
        <w:rPr>
          <w:spacing w:val="0"/>
          <w:kern w:val="0"/>
          <w:rtl/>
          <w:lang w:val="en-CA"/>
        </w:rPr>
        <w:t xml:space="preserve"> على متن سفينة الحرس المدني</w:t>
      </w:r>
      <w:r w:rsidRPr="00EA66E5">
        <w:rPr>
          <w:rFonts w:hint="cs"/>
          <w:spacing w:val="0"/>
          <w:kern w:val="0"/>
          <w:rtl/>
          <w:lang w:val="en-CA"/>
        </w:rPr>
        <w:t>،</w:t>
      </w:r>
      <w:r w:rsidRPr="00EA66E5">
        <w:rPr>
          <w:spacing w:val="0"/>
          <w:kern w:val="0"/>
          <w:rtl/>
          <w:lang w:val="en-CA"/>
        </w:rPr>
        <w:t xml:space="preserve"> والسلطات الإسبانية مسؤولة عما حدث على متن هذه السفينة وعن توفير الحماية الواجبة للأشخاص الموجودين تحت هذا العلم.</w:t>
      </w:r>
    </w:p>
    <w:p w:rsidR="00EA66E5" w:rsidRPr="00EA66E5" w:rsidRDefault="00EA66E5" w:rsidP="00D3490C">
      <w:pPr>
        <w:pStyle w:val="SingleTxtGA"/>
        <w:spacing w:line="376" w:lineRule="exact"/>
        <w:jc w:val="lowKashida"/>
        <w:rPr>
          <w:spacing w:val="0"/>
          <w:kern w:val="0"/>
          <w:rtl/>
          <w:lang w:val="en-CA"/>
        </w:rPr>
      </w:pPr>
      <w:r w:rsidRPr="00EA66E5">
        <w:rPr>
          <w:spacing w:val="0"/>
          <w:kern w:val="0"/>
          <w:rtl/>
          <w:lang w:val="en-CA"/>
        </w:rPr>
        <w:t>3-2</w:t>
      </w:r>
      <w:r w:rsidRPr="00EA66E5">
        <w:rPr>
          <w:spacing w:val="0"/>
          <w:kern w:val="0"/>
          <w:rtl/>
          <w:lang w:val="en-CA"/>
        </w:rPr>
        <w:tab/>
        <w:t xml:space="preserve">وتشير </w:t>
      </w:r>
      <w:r w:rsidRPr="00EA66E5">
        <w:rPr>
          <w:rFonts w:hint="cs"/>
          <w:spacing w:val="0"/>
          <w:kern w:val="0"/>
          <w:rtl/>
          <w:lang w:val="en-CA"/>
        </w:rPr>
        <w:t xml:space="preserve">صاحبة الشكوى </w:t>
      </w:r>
      <w:r w:rsidRPr="00EA66E5">
        <w:rPr>
          <w:spacing w:val="0"/>
          <w:kern w:val="0"/>
          <w:rtl/>
          <w:lang w:val="en-CA"/>
        </w:rPr>
        <w:t xml:space="preserve">إلى أن الدولة الطرف، من خلال ضباط الشرطة التابعين لها، استعملت القوة لإلقاء الضحية في البحر، وهو لا </w:t>
      </w:r>
      <w:r w:rsidRPr="00EA66E5">
        <w:rPr>
          <w:rFonts w:hint="cs"/>
          <w:spacing w:val="0"/>
          <w:kern w:val="0"/>
          <w:rtl/>
          <w:lang w:val="en-CA"/>
        </w:rPr>
        <w:t>يعرف</w:t>
      </w:r>
      <w:r w:rsidRPr="00EA66E5">
        <w:rPr>
          <w:spacing w:val="0"/>
          <w:kern w:val="0"/>
          <w:rtl/>
          <w:lang w:val="en-CA"/>
        </w:rPr>
        <w:t xml:space="preserve"> السباحة وبالتالي غرق. ولم يمثل الشخص المتوف</w:t>
      </w:r>
      <w:r w:rsidRPr="00EA66E5">
        <w:rPr>
          <w:rFonts w:hint="cs"/>
          <w:spacing w:val="0"/>
          <w:kern w:val="0"/>
          <w:rtl/>
          <w:lang w:val="en-CA"/>
        </w:rPr>
        <w:t>ي</w:t>
      </w:r>
      <w:r w:rsidRPr="00EA66E5">
        <w:rPr>
          <w:spacing w:val="0"/>
          <w:kern w:val="0"/>
          <w:rtl/>
          <w:lang w:val="en-CA"/>
        </w:rPr>
        <w:t xml:space="preserve"> ولا </w:t>
      </w:r>
      <w:r w:rsidRPr="00EA66E5">
        <w:rPr>
          <w:rFonts w:hint="cs"/>
          <w:spacing w:val="0"/>
          <w:kern w:val="0"/>
          <w:rtl/>
          <w:lang w:val="en-CA"/>
        </w:rPr>
        <w:t xml:space="preserve">رفاقه </w:t>
      </w:r>
      <w:r w:rsidRPr="00EA66E5">
        <w:rPr>
          <w:spacing w:val="0"/>
          <w:kern w:val="0"/>
          <w:rtl/>
          <w:lang w:val="en-CA"/>
        </w:rPr>
        <w:t xml:space="preserve">أمام قوة شرطة التحقيقات في </w:t>
      </w:r>
      <w:r w:rsidRPr="00EA66E5">
        <w:rPr>
          <w:rFonts w:hint="cs"/>
          <w:spacing w:val="0"/>
          <w:kern w:val="0"/>
          <w:rtl/>
          <w:lang w:val="en-CA"/>
        </w:rPr>
        <w:t>سبتة</w:t>
      </w:r>
      <w:r w:rsidRPr="00EA66E5">
        <w:rPr>
          <w:spacing w:val="0"/>
          <w:kern w:val="0"/>
          <w:rtl/>
          <w:lang w:val="en-CA"/>
        </w:rPr>
        <w:t xml:space="preserve">، وهي الهيئة المسؤولة عن </w:t>
      </w:r>
      <w:r w:rsidRPr="00EA66E5">
        <w:rPr>
          <w:rFonts w:hint="cs"/>
          <w:spacing w:val="0"/>
          <w:kern w:val="0"/>
          <w:rtl/>
          <w:lang w:val="en-CA"/>
        </w:rPr>
        <w:t>البت في</w:t>
      </w:r>
      <w:r w:rsidRPr="00EA66E5">
        <w:rPr>
          <w:spacing w:val="0"/>
          <w:kern w:val="0"/>
          <w:rtl/>
          <w:lang w:val="en-CA"/>
        </w:rPr>
        <w:t xml:space="preserve"> المسائل المتعلقة بالهجرة، ولم يمثلوا أمام أي محكمة.</w:t>
      </w:r>
      <w:r w:rsidRPr="00EA66E5">
        <w:rPr>
          <w:rFonts w:hint="cs"/>
          <w:spacing w:val="0"/>
          <w:kern w:val="0"/>
          <w:rtl/>
          <w:lang w:val="en-CA"/>
        </w:rPr>
        <w:t xml:space="preserve"> </w:t>
      </w:r>
      <w:r w:rsidRPr="00EA66E5">
        <w:rPr>
          <w:spacing w:val="0"/>
          <w:kern w:val="0"/>
          <w:rtl/>
          <w:lang w:val="en-CA"/>
        </w:rPr>
        <w:t xml:space="preserve">وتشير صاحبة الشكوى إلى أنه لم يكن هناك أي إجراء إداري لرفض الدخول، وهو ما كان </w:t>
      </w:r>
      <w:r w:rsidRPr="00EA66E5">
        <w:rPr>
          <w:rFonts w:hint="cs"/>
          <w:spacing w:val="0"/>
          <w:kern w:val="0"/>
          <w:rtl/>
          <w:lang w:val="en-CA"/>
        </w:rPr>
        <w:t>س</w:t>
      </w:r>
      <w:r w:rsidRPr="00EA66E5">
        <w:rPr>
          <w:spacing w:val="0"/>
          <w:kern w:val="0"/>
          <w:rtl/>
          <w:lang w:val="en-CA"/>
        </w:rPr>
        <w:t>يشمل جلسة استماع وقرار ي</w:t>
      </w:r>
      <w:r w:rsidRPr="00EA66E5">
        <w:rPr>
          <w:rFonts w:hint="cs"/>
          <w:spacing w:val="0"/>
          <w:kern w:val="0"/>
          <w:rtl/>
          <w:lang w:val="en-CA"/>
        </w:rPr>
        <w:t>ُ</w:t>
      </w:r>
      <w:r w:rsidRPr="00EA66E5">
        <w:rPr>
          <w:spacing w:val="0"/>
          <w:kern w:val="0"/>
          <w:rtl/>
          <w:lang w:val="en-CA"/>
        </w:rPr>
        <w:t xml:space="preserve">حفظ في ملف القضية وإمكانية </w:t>
      </w:r>
      <w:r w:rsidRPr="00EA66E5">
        <w:rPr>
          <w:rFonts w:hint="cs"/>
          <w:spacing w:val="0"/>
          <w:kern w:val="0"/>
          <w:rtl/>
          <w:lang w:val="en-CA"/>
        </w:rPr>
        <w:t>الطعن في</w:t>
      </w:r>
      <w:r w:rsidRPr="00EA66E5">
        <w:rPr>
          <w:spacing w:val="0"/>
          <w:kern w:val="0"/>
          <w:rtl/>
          <w:lang w:val="en-CA"/>
        </w:rPr>
        <w:t xml:space="preserve"> مثل هذا القرار. وفي </w:t>
      </w:r>
      <w:r w:rsidRPr="00EA66E5">
        <w:rPr>
          <w:rFonts w:hint="cs"/>
          <w:spacing w:val="0"/>
          <w:kern w:val="0"/>
          <w:rtl/>
          <w:lang w:val="en-CA"/>
        </w:rPr>
        <w:t>ال</w:t>
      </w:r>
      <w:r w:rsidRPr="00EA66E5">
        <w:rPr>
          <w:spacing w:val="0"/>
          <w:kern w:val="0"/>
          <w:rtl/>
          <w:lang w:val="en-CA"/>
        </w:rPr>
        <w:t xml:space="preserve">وقت </w:t>
      </w:r>
      <w:r w:rsidRPr="00EA66E5">
        <w:rPr>
          <w:rFonts w:hint="cs"/>
          <w:spacing w:val="0"/>
          <w:kern w:val="0"/>
          <w:rtl/>
          <w:lang w:val="en-CA"/>
        </w:rPr>
        <w:t xml:space="preserve">الذي </w:t>
      </w:r>
      <w:r w:rsidRPr="00EA66E5">
        <w:rPr>
          <w:spacing w:val="0"/>
          <w:kern w:val="0"/>
          <w:rtl/>
          <w:lang w:val="en-CA"/>
        </w:rPr>
        <w:t xml:space="preserve">تنبه </w:t>
      </w:r>
      <w:r w:rsidRPr="00EA66E5">
        <w:rPr>
          <w:rFonts w:hint="cs"/>
          <w:spacing w:val="0"/>
          <w:kern w:val="0"/>
          <w:rtl/>
          <w:lang w:val="en-CA"/>
        </w:rPr>
        <w:t xml:space="preserve">فيه </w:t>
      </w:r>
      <w:r w:rsidRPr="00EA66E5">
        <w:rPr>
          <w:spacing w:val="0"/>
          <w:kern w:val="0"/>
          <w:rtl/>
          <w:lang w:val="en-CA"/>
        </w:rPr>
        <w:t xml:space="preserve">حرس الحدود بواسطة كاميرات تصوير حراري </w:t>
      </w:r>
      <w:r w:rsidRPr="00EA66E5">
        <w:rPr>
          <w:rFonts w:hint="cs"/>
          <w:spacing w:val="0"/>
          <w:kern w:val="0"/>
          <w:rtl/>
          <w:lang w:val="en-CA"/>
        </w:rPr>
        <w:t xml:space="preserve">إلى </w:t>
      </w:r>
      <w:r w:rsidRPr="00EA66E5">
        <w:rPr>
          <w:spacing w:val="0"/>
          <w:kern w:val="0"/>
          <w:rtl/>
          <w:lang w:val="en-CA"/>
        </w:rPr>
        <w:t xml:space="preserve">محاولة أربعة أجانب دخول </w:t>
      </w:r>
      <w:r w:rsidRPr="00EA66E5">
        <w:rPr>
          <w:rFonts w:hint="cs"/>
          <w:spacing w:val="0"/>
          <w:kern w:val="0"/>
          <w:rtl/>
          <w:lang w:val="en-CA"/>
        </w:rPr>
        <w:t xml:space="preserve">الإقليم </w:t>
      </w:r>
      <w:r w:rsidRPr="00EA66E5">
        <w:rPr>
          <w:spacing w:val="0"/>
          <w:kern w:val="0"/>
          <w:rtl/>
          <w:lang w:val="en-CA"/>
        </w:rPr>
        <w:t xml:space="preserve">الإسباني </w:t>
      </w:r>
      <w:r w:rsidRPr="00EA66E5">
        <w:rPr>
          <w:rFonts w:hint="cs"/>
          <w:spacing w:val="0"/>
          <w:kern w:val="0"/>
          <w:rtl/>
          <w:lang w:val="en-CA"/>
        </w:rPr>
        <w:t>وإصدارهم</w:t>
      </w:r>
      <w:r w:rsidRPr="00EA66E5">
        <w:rPr>
          <w:spacing w:val="0"/>
          <w:kern w:val="0"/>
          <w:rtl/>
          <w:lang w:val="en-CA"/>
        </w:rPr>
        <w:t xml:space="preserve"> </w:t>
      </w:r>
      <w:r w:rsidRPr="00EA66E5">
        <w:rPr>
          <w:rFonts w:hint="cs"/>
          <w:spacing w:val="0"/>
          <w:kern w:val="0"/>
          <w:rtl/>
          <w:lang w:val="en-CA"/>
        </w:rPr>
        <w:t>الأمر بمنعهم</w:t>
      </w:r>
      <w:r w:rsidRPr="00EA66E5">
        <w:rPr>
          <w:spacing w:val="0"/>
          <w:kern w:val="0"/>
          <w:rtl/>
          <w:lang w:val="en-CA"/>
        </w:rPr>
        <w:t xml:space="preserve">، </w:t>
      </w:r>
      <w:r w:rsidRPr="00EA66E5">
        <w:rPr>
          <w:rFonts w:hint="cs"/>
          <w:spacing w:val="0"/>
          <w:kern w:val="0"/>
          <w:rtl/>
          <w:lang w:val="en-CA"/>
        </w:rPr>
        <w:t>بدأ تحريك ال</w:t>
      </w:r>
      <w:r w:rsidRPr="00EA66E5">
        <w:rPr>
          <w:spacing w:val="0"/>
          <w:kern w:val="0"/>
          <w:rtl/>
          <w:lang w:val="en-CA"/>
        </w:rPr>
        <w:t xml:space="preserve">إجراء </w:t>
      </w:r>
      <w:r w:rsidRPr="00EA66E5">
        <w:rPr>
          <w:rFonts w:hint="cs"/>
          <w:spacing w:val="0"/>
          <w:kern w:val="0"/>
          <w:rtl/>
          <w:lang w:val="en-CA"/>
        </w:rPr>
        <w:t>ال</w:t>
      </w:r>
      <w:r w:rsidRPr="00EA66E5">
        <w:rPr>
          <w:spacing w:val="0"/>
          <w:kern w:val="0"/>
          <w:rtl/>
          <w:lang w:val="en-CA"/>
        </w:rPr>
        <w:t xml:space="preserve">إداري لرفض دخولهم ولكنه لم </w:t>
      </w:r>
      <w:r w:rsidRPr="00EA66E5">
        <w:rPr>
          <w:rFonts w:hint="cs"/>
          <w:spacing w:val="0"/>
          <w:kern w:val="0"/>
          <w:rtl/>
          <w:lang w:val="en-CA"/>
        </w:rPr>
        <w:t>يستكمل</w:t>
      </w:r>
      <w:r w:rsidRPr="00EA66E5">
        <w:rPr>
          <w:spacing w:val="0"/>
          <w:kern w:val="0"/>
          <w:rtl/>
          <w:lang w:val="en-CA"/>
        </w:rPr>
        <w:t>.</w:t>
      </w:r>
    </w:p>
    <w:p w:rsidR="00EA66E5" w:rsidRPr="00EA66E5" w:rsidRDefault="00EA66E5" w:rsidP="00D3490C">
      <w:pPr>
        <w:pStyle w:val="SingleTxtGA"/>
        <w:spacing w:line="376" w:lineRule="exact"/>
        <w:jc w:val="lowKashida"/>
        <w:rPr>
          <w:spacing w:val="0"/>
          <w:kern w:val="0"/>
          <w:rtl/>
          <w:lang w:val="en-CA"/>
        </w:rPr>
      </w:pPr>
      <w:r w:rsidRPr="00EA66E5">
        <w:rPr>
          <w:spacing w:val="0"/>
          <w:kern w:val="0"/>
          <w:rtl/>
          <w:lang w:val="en-CA"/>
        </w:rPr>
        <w:t>3-3</w:t>
      </w:r>
      <w:r w:rsidRPr="00EA66E5">
        <w:rPr>
          <w:spacing w:val="0"/>
          <w:kern w:val="0"/>
          <w:rtl/>
          <w:lang w:val="en-CA"/>
        </w:rPr>
        <w:tab/>
        <w:t xml:space="preserve">وتدفع صاحبة الشكوى بأن إلقاء المهاجرين </w:t>
      </w:r>
      <w:r w:rsidRPr="00EA66E5">
        <w:rPr>
          <w:rFonts w:hint="cs"/>
          <w:spacing w:val="0"/>
          <w:kern w:val="0"/>
          <w:rtl/>
          <w:lang w:val="en-CA"/>
        </w:rPr>
        <w:t xml:space="preserve">الذين كانوا متواجدين </w:t>
      </w:r>
      <w:r w:rsidRPr="00EA66E5">
        <w:rPr>
          <w:spacing w:val="0"/>
          <w:kern w:val="0"/>
          <w:rtl/>
          <w:lang w:val="en-CA"/>
        </w:rPr>
        <w:t xml:space="preserve">على متن السفينة </w:t>
      </w:r>
      <w:r w:rsidRPr="00EA66E5">
        <w:rPr>
          <w:rFonts w:hint="cs"/>
          <w:spacing w:val="0"/>
          <w:kern w:val="0"/>
          <w:rtl/>
          <w:lang w:val="en-CA"/>
        </w:rPr>
        <w:t xml:space="preserve">في البحر </w:t>
      </w:r>
      <w:r w:rsidRPr="00EA66E5">
        <w:rPr>
          <w:spacing w:val="0"/>
          <w:kern w:val="0"/>
          <w:rtl/>
          <w:lang w:val="en-CA"/>
        </w:rPr>
        <w:t xml:space="preserve">يمثل معاملة لا إنسانية ومهينة، وهي جريمة </w:t>
      </w:r>
      <w:r w:rsidRPr="00EA66E5">
        <w:rPr>
          <w:rFonts w:hint="cs"/>
          <w:spacing w:val="0"/>
          <w:kern w:val="0"/>
          <w:rtl/>
          <w:lang w:val="en-CA"/>
        </w:rPr>
        <w:t>مخلة</w:t>
      </w:r>
      <w:r w:rsidRPr="00EA66E5">
        <w:rPr>
          <w:spacing w:val="0"/>
          <w:kern w:val="0"/>
          <w:rtl/>
          <w:lang w:val="en-CA"/>
        </w:rPr>
        <w:t xml:space="preserve"> </w:t>
      </w:r>
      <w:r w:rsidRPr="00EA66E5">
        <w:rPr>
          <w:rFonts w:hint="cs"/>
          <w:spacing w:val="0"/>
          <w:kern w:val="0"/>
          <w:rtl/>
          <w:lang w:val="en-CA"/>
        </w:rPr>
        <w:t>ب</w:t>
      </w:r>
      <w:r w:rsidRPr="00EA66E5">
        <w:rPr>
          <w:spacing w:val="0"/>
          <w:kern w:val="0"/>
          <w:rtl/>
          <w:lang w:val="en-CA"/>
        </w:rPr>
        <w:t>كرامتهم الشخصية وتعرض حياتهم</w:t>
      </w:r>
      <w:r>
        <w:rPr>
          <w:rFonts w:hint="cs"/>
          <w:spacing w:val="0"/>
          <w:kern w:val="0"/>
          <w:rtl/>
          <w:lang w:val="en-CA"/>
        </w:rPr>
        <w:t> </w:t>
      </w:r>
      <w:r w:rsidRPr="00EA66E5">
        <w:rPr>
          <w:spacing w:val="0"/>
          <w:kern w:val="0"/>
          <w:rtl/>
          <w:lang w:val="en-CA"/>
        </w:rPr>
        <w:t>للخطر (</w:t>
      </w:r>
      <w:r w:rsidRPr="00EA66E5">
        <w:rPr>
          <w:rFonts w:hint="cs"/>
          <w:spacing w:val="0"/>
          <w:kern w:val="0"/>
          <w:rtl/>
          <w:lang w:val="en-CA"/>
        </w:rPr>
        <w:t xml:space="preserve">كما تدل على ذلك </w:t>
      </w:r>
      <w:r w:rsidRPr="00EA66E5">
        <w:rPr>
          <w:spacing w:val="0"/>
          <w:kern w:val="0"/>
          <w:rtl/>
          <w:lang w:val="en-CA"/>
        </w:rPr>
        <w:t>وفاة الضحية بالفعل)، في انتهاك للفقرة 1 من المادة 16 من الاتفاقية.</w:t>
      </w:r>
    </w:p>
    <w:p w:rsidR="00EA66E5" w:rsidRPr="00D3490C" w:rsidRDefault="00EA66E5" w:rsidP="00EA66E5">
      <w:pPr>
        <w:pStyle w:val="SingleTxtGA"/>
        <w:jc w:val="lowKashida"/>
        <w:rPr>
          <w:spacing w:val="0"/>
          <w:kern w:val="0"/>
          <w:rtl/>
          <w:lang w:val="en-CA"/>
        </w:rPr>
      </w:pPr>
      <w:r w:rsidRPr="00D3490C">
        <w:rPr>
          <w:spacing w:val="0"/>
          <w:kern w:val="0"/>
          <w:rtl/>
          <w:lang w:val="en-CA"/>
        </w:rPr>
        <w:t>3-4</w:t>
      </w:r>
      <w:r w:rsidRPr="00D3490C">
        <w:rPr>
          <w:spacing w:val="0"/>
          <w:kern w:val="0"/>
          <w:rtl/>
          <w:lang w:val="en-CA"/>
        </w:rPr>
        <w:tab/>
        <w:t>و</w:t>
      </w:r>
      <w:r w:rsidRPr="00D3490C">
        <w:rPr>
          <w:rFonts w:hint="cs"/>
          <w:spacing w:val="0"/>
          <w:kern w:val="0"/>
          <w:rtl/>
          <w:lang w:val="en-CA"/>
        </w:rPr>
        <w:t xml:space="preserve">تشير </w:t>
      </w:r>
      <w:r w:rsidRPr="00D3490C">
        <w:rPr>
          <w:spacing w:val="0"/>
          <w:kern w:val="0"/>
          <w:rtl/>
          <w:lang w:val="en-CA"/>
        </w:rPr>
        <w:t xml:space="preserve">صاحبة الشكوى أيضاً </w:t>
      </w:r>
      <w:r w:rsidRPr="00D3490C">
        <w:rPr>
          <w:rFonts w:hint="cs"/>
          <w:spacing w:val="0"/>
          <w:kern w:val="0"/>
          <w:rtl/>
          <w:lang w:val="en-CA"/>
        </w:rPr>
        <w:t xml:space="preserve">إلى وجود </w:t>
      </w:r>
      <w:r w:rsidRPr="00D3490C">
        <w:rPr>
          <w:spacing w:val="0"/>
          <w:kern w:val="0"/>
          <w:rtl/>
          <w:lang w:val="en-CA"/>
        </w:rPr>
        <w:t>انتهاكا</w:t>
      </w:r>
      <w:r w:rsidRPr="00D3490C">
        <w:rPr>
          <w:rFonts w:hint="cs"/>
          <w:spacing w:val="0"/>
          <w:kern w:val="0"/>
          <w:rtl/>
          <w:lang w:val="en-CA"/>
        </w:rPr>
        <w:t>ت</w:t>
      </w:r>
      <w:r w:rsidRPr="00D3490C">
        <w:rPr>
          <w:spacing w:val="0"/>
          <w:kern w:val="0"/>
          <w:rtl/>
          <w:lang w:val="en-CA"/>
        </w:rPr>
        <w:t xml:space="preserve"> للعهد الدولي الخاص بالحقوق المدنية والسياسية </w:t>
      </w:r>
      <w:r w:rsidRPr="00D3490C">
        <w:rPr>
          <w:rFonts w:hint="cs"/>
          <w:spacing w:val="0"/>
          <w:kern w:val="0"/>
          <w:rtl/>
          <w:lang w:val="en-CA"/>
        </w:rPr>
        <w:t>ول</w:t>
      </w:r>
      <w:r w:rsidRPr="00D3490C">
        <w:rPr>
          <w:spacing w:val="0"/>
          <w:kern w:val="0"/>
          <w:rtl/>
          <w:lang w:val="en-CA"/>
        </w:rPr>
        <w:t>مجموعة المبادئ المتعلقة بحماية جميع الأشخاص الذين يتعرضون لأي شكل من أشكال الاحتجاز أو السجن</w:t>
      </w:r>
      <w:r w:rsidRPr="00D3490C">
        <w:rPr>
          <w:rFonts w:hint="cs"/>
          <w:spacing w:val="0"/>
          <w:kern w:val="0"/>
          <w:rtl/>
          <w:lang w:val="en-CA"/>
        </w:rPr>
        <w:t>.</w:t>
      </w:r>
    </w:p>
    <w:p w:rsidR="00EA66E5" w:rsidRPr="00D3490C" w:rsidRDefault="00EA66E5" w:rsidP="00D3490C">
      <w:pPr>
        <w:pStyle w:val="SingleTxtGA"/>
        <w:jc w:val="lowKashida"/>
        <w:rPr>
          <w:rFonts w:hint="cs"/>
          <w:spacing w:val="0"/>
          <w:kern w:val="0"/>
          <w:rtl/>
          <w:lang w:val="en-CA"/>
        </w:rPr>
      </w:pPr>
      <w:r w:rsidRPr="00D3490C">
        <w:rPr>
          <w:spacing w:val="0"/>
          <w:kern w:val="0"/>
          <w:rtl/>
          <w:lang w:val="en-CA"/>
        </w:rPr>
        <w:t>3-5</w:t>
      </w:r>
      <w:r w:rsidRPr="00D3490C">
        <w:rPr>
          <w:spacing w:val="0"/>
          <w:kern w:val="0"/>
          <w:rtl/>
          <w:lang w:val="en-CA"/>
        </w:rPr>
        <w:tab/>
        <w:t>وفيما يتعلق بمقبولية الشكوى، فإ</w:t>
      </w:r>
      <w:r w:rsidRPr="00D3490C">
        <w:rPr>
          <w:rFonts w:hint="cs"/>
          <w:spacing w:val="0"/>
          <w:kern w:val="0"/>
          <w:rtl/>
          <w:lang w:val="en-CA"/>
        </w:rPr>
        <w:t xml:space="preserve">ن صاحبة الشكوى </w:t>
      </w:r>
      <w:r w:rsidRPr="00D3490C">
        <w:rPr>
          <w:spacing w:val="0"/>
          <w:kern w:val="0"/>
          <w:rtl/>
          <w:lang w:val="en-CA"/>
        </w:rPr>
        <w:t xml:space="preserve">تدعي </w:t>
      </w:r>
      <w:r w:rsidRPr="00D3490C">
        <w:rPr>
          <w:rFonts w:hint="cs"/>
          <w:spacing w:val="0"/>
          <w:kern w:val="0"/>
          <w:rtl/>
          <w:lang w:val="en-CA"/>
        </w:rPr>
        <w:t>أن جم</w:t>
      </w:r>
      <w:r w:rsidRPr="00D3490C">
        <w:rPr>
          <w:spacing w:val="0"/>
          <w:kern w:val="0"/>
          <w:rtl/>
          <w:lang w:val="en-CA"/>
        </w:rPr>
        <w:t xml:space="preserve">يع سبل الانتصاف القانونية </w:t>
      </w:r>
      <w:r w:rsidRPr="00D3490C">
        <w:rPr>
          <w:rFonts w:hint="cs"/>
          <w:spacing w:val="0"/>
          <w:kern w:val="0"/>
          <w:rtl/>
          <w:lang w:val="en-CA"/>
        </w:rPr>
        <w:t xml:space="preserve">استنفدت </w:t>
      </w:r>
      <w:r w:rsidRPr="00D3490C">
        <w:rPr>
          <w:spacing w:val="0"/>
          <w:kern w:val="0"/>
          <w:rtl/>
          <w:lang w:val="en-CA"/>
        </w:rPr>
        <w:t xml:space="preserve">عندما خلصت محكمة </w:t>
      </w:r>
      <w:r w:rsidRPr="00D3490C">
        <w:rPr>
          <w:rFonts w:hint="cs"/>
          <w:spacing w:val="0"/>
          <w:kern w:val="0"/>
          <w:rtl/>
          <w:lang w:val="en-CA"/>
        </w:rPr>
        <w:t>التحقيق</w:t>
      </w:r>
      <w:r w:rsidRPr="00D3490C">
        <w:rPr>
          <w:spacing w:val="0"/>
          <w:kern w:val="0"/>
          <w:rtl/>
          <w:lang w:val="en-CA"/>
        </w:rPr>
        <w:t xml:space="preserve"> رقم 1 في سبتة إلى أنها غير مختصة </w:t>
      </w:r>
      <w:r w:rsidRPr="00D3490C">
        <w:rPr>
          <w:rFonts w:hint="cs"/>
          <w:spacing w:val="0"/>
          <w:kern w:val="0"/>
          <w:rtl/>
          <w:lang w:val="en-CA"/>
        </w:rPr>
        <w:t>با</w:t>
      </w:r>
      <w:r w:rsidRPr="00D3490C">
        <w:rPr>
          <w:spacing w:val="0"/>
          <w:kern w:val="0"/>
          <w:rtl/>
          <w:lang w:val="en-CA"/>
        </w:rPr>
        <w:t xml:space="preserve">لنظر في القضية لأن الأحداث </w:t>
      </w:r>
      <w:r w:rsidRPr="00D3490C">
        <w:rPr>
          <w:rFonts w:hint="cs"/>
          <w:spacing w:val="0"/>
          <w:kern w:val="0"/>
          <w:rtl/>
          <w:lang w:val="en-CA"/>
        </w:rPr>
        <w:t xml:space="preserve">قيد النظر وقعت </w:t>
      </w:r>
      <w:r w:rsidRPr="00D3490C">
        <w:rPr>
          <w:spacing w:val="0"/>
          <w:kern w:val="0"/>
          <w:rtl/>
          <w:lang w:val="en-CA"/>
        </w:rPr>
        <w:t>في المغرب</w:t>
      </w:r>
      <w:r w:rsidRPr="00D3490C">
        <w:rPr>
          <w:rFonts w:hint="cs"/>
          <w:spacing w:val="0"/>
          <w:kern w:val="0"/>
          <w:rtl/>
          <w:lang w:val="en-CA"/>
        </w:rPr>
        <w:t>،</w:t>
      </w:r>
      <w:r w:rsidRPr="00D3490C">
        <w:rPr>
          <w:spacing w:val="0"/>
          <w:kern w:val="0"/>
          <w:rtl/>
          <w:lang w:val="en-CA"/>
        </w:rPr>
        <w:t xml:space="preserve"> وأصدرت أمراً </w:t>
      </w:r>
      <w:r w:rsidRPr="00D3490C">
        <w:rPr>
          <w:rFonts w:hint="cs"/>
          <w:spacing w:val="0"/>
          <w:kern w:val="0"/>
          <w:rtl/>
          <w:lang w:val="en-CA"/>
        </w:rPr>
        <w:t>برفض</w:t>
      </w:r>
      <w:r w:rsidRPr="00D3490C">
        <w:rPr>
          <w:spacing w:val="0"/>
          <w:kern w:val="0"/>
          <w:rtl/>
          <w:lang w:val="en-CA"/>
        </w:rPr>
        <w:t xml:space="preserve"> الدعوى</w:t>
      </w:r>
      <w:r w:rsidRPr="00D3490C">
        <w:rPr>
          <w:spacing w:val="0"/>
          <w:kern w:val="0"/>
          <w:vertAlign w:val="superscript"/>
          <w:rtl/>
          <w:lang w:val="en-CA"/>
        </w:rPr>
        <w:t>(</w:t>
      </w:r>
      <w:r w:rsidRPr="00D3490C">
        <w:rPr>
          <w:rStyle w:val="FootnoteReference"/>
          <w:spacing w:val="0"/>
          <w:rtl/>
          <w:lang w:val="en-CA"/>
        </w:rPr>
        <w:footnoteReference w:id="217"/>
      </w:r>
      <w:r w:rsidRPr="00D3490C">
        <w:rPr>
          <w:spacing w:val="0"/>
          <w:kern w:val="0"/>
          <w:vertAlign w:val="superscript"/>
          <w:rtl/>
          <w:lang w:val="en-CA"/>
        </w:rPr>
        <w:t>)</w:t>
      </w:r>
      <w:r w:rsidRPr="00D3490C">
        <w:rPr>
          <w:spacing w:val="0"/>
          <w:kern w:val="0"/>
          <w:rtl/>
          <w:lang w:val="en-CA"/>
        </w:rPr>
        <w:t>.</w:t>
      </w:r>
      <w:r w:rsidR="00D3490C">
        <w:rPr>
          <w:rFonts w:hint="cs"/>
          <w:spacing w:val="0"/>
          <w:kern w:val="0"/>
          <w:rtl/>
          <w:lang w:val="en-CA"/>
        </w:rPr>
        <w:t xml:space="preserve"> </w:t>
      </w:r>
      <w:r w:rsidRPr="00D3490C">
        <w:rPr>
          <w:spacing w:val="0"/>
          <w:kern w:val="0"/>
          <w:rtl/>
          <w:lang w:val="en-CA"/>
        </w:rPr>
        <w:t>ولم</w:t>
      </w:r>
      <w:r w:rsidR="00D3490C">
        <w:rPr>
          <w:rFonts w:hint="cs"/>
          <w:spacing w:val="0"/>
          <w:kern w:val="0"/>
          <w:rtl/>
          <w:lang w:val="en-CA"/>
        </w:rPr>
        <w:t> </w:t>
      </w:r>
      <w:r w:rsidRPr="00D3490C">
        <w:rPr>
          <w:spacing w:val="0"/>
          <w:kern w:val="0"/>
          <w:rtl/>
          <w:lang w:val="en-CA"/>
        </w:rPr>
        <w:t>ي</w:t>
      </w:r>
      <w:r w:rsidRPr="00D3490C">
        <w:rPr>
          <w:rFonts w:hint="cs"/>
          <w:spacing w:val="0"/>
          <w:kern w:val="0"/>
          <w:rtl/>
          <w:lang w:val="en-CA"/>
        </w:rPr>
        <w:t>ُ</w:t>
      </w:r>
      <w:r w:rsidRPr="00D3490C">
        <w:rPr>
          <w:spacing w:val="0"/>
          <w:kern w:val="0"/>
          <w:rtl/>
          <w:lang w:val="en-CA"/>
        </w:rPr>
        <w:t>طعن في الأمر وأصبح نهائياً. وبالتالي، است</w:t>
      </w:r>
      <w:r w:rsidRPr="00D3490C">
        <w:rPr>
          <w:rFonts w:hint="cs"/>
          <w:spacing w:val="0"/>
          <w:kern w:val="0"/>
          <w:rtl/>
          <w:lang w:val="en-CA"/>
        </w:rPr>
        <w:t>ُ</w:t>
      </w:r>
      <w:r w:rsidRPr="00D3490C">
        <w:rPr>
          <w:spacing w:val="0"/>
          <w:kern w:val="0"/>
          <w:rtl/>
          <w:lang w:val="en-CA"/>
        </w:rPr>
        <w:t>نفدت سبل الانتصاف المحلية في إسبانيا.</w:t>
      </w:r>
    </w:p>
    <w:p w:rsidR="00EA66E5" w:rsidRPr="00D3490C" w:rsidRDefault="00EA66E5" w:rsidP="00EA66E5">
      <w:pPr>
        <w:pStyle w:val="H23GA"/>
        <w:jc w:val="lowKashida"/>
        <w:rPr>
          <w:spacing w:val="0"/>
          <w:kern w:val="0"/>
          <w:rtl/>
        </w:rPr>
      </w:pPr>
      <w:r w:rsidRPr="00D3490C">
        <w:rPr>
          <w:rFonts w:hint="cs"/>
          <w:spacing w:val="0"/>
          <w:kern w:val="0"/>
          <w:rtl/>
        </w:rPr>
        <w:tab/>
      </w:r>
      <w:r w:rsidRPr="00D3490C">
        <w:rPr>
          <w:rFonts w:hint="cs"/>
          <w:spacing w:val="0"/>
          <w:kern w:val="0"/>
          <w:rtl/>
        </w:rPr>
        <w:tab/>
      </w:r>
      <w:r w:rsidRPr="00D3490C">
        <w:rPr>
          <w:spacing w:val="0"/>
          <w:kern w:val="0"/>
          <w:rtl/>
        </w:rPr>
        <w:t>ملاحظات الدولة الطرف بشأن المقبولية</w:t>
      </w:r>
    </w:p>
    <w:p w:rsidR="00EA66E5" w:rsidRPr="00D3490C" w:rsidRDefault="00EA66E5" w:rsidP="00EA66E5">
      <w:pPr>
        <w:pStyle w:val="SingleTxtGA"/>
        <w:jc w:val="lowKashida"/>
        <w:rPr>
          <w:spacing w:val="0"/>
          <w:kern w:val="0"/>
          <w:rtl/>
          <w:lang w:val="en-CA"/>
        </w:rPr>
      </w:pPr>
      <w:r w:rsidRPr="00D3490C">
        <w:rPr>
          <w:spacing w:val="0"/>
          <w:kern w:val="0"/>
          <w:rtl/>
          <w:lang w:val="en-CA"/>
        </w:rPr>
        <w:t>4-1</w:t>
      </w:r>
      <w:r w:rsidRPr="00D3490C">
        <w:rPr>
          <w:spacing w:val="0"/>
          <w:kern w:val="0"/>
          <w:rtl/>
          <w:lang w:val="en-CA"/>
        </w:rPr>
        <w:tab/>
        <w:t>تؤكد الدولة الطرف في مذكرتها الشفوية المؤرخة 11 شباط/فبراير 2009 أن الشكوى غير مقبولة لأن سبل الانتصاف المحلية لم ت</w:t>
      </w:r>
      <w:r w:rsidRPr="00D3490C">
        <w:rPr>
          <w:rFonts w:hint="cs"/>
          <w:spacing w:val="0"/>
          <w:kern w:val="0"/>
          <w:rtl/>
          <w:lang w:val="en-CA"/>
        </w:rPr>
        <w:t>ُ</w:t>
      </w:r>
      <w:r w:rsidRPr="00D3490C">
        <w:rPr>
          <w:spacing w:val="0"/>
          <w:kern w:val="0"/>
          <w:rtl/>
          <w:lang w:val="en-CA"/>
        </w:rPr>
        <w:t xml:space="preserve">ستنفد. وتشير الدولة الطرف إلى أن الأحداث المشار إليها في الشكوى تحقق </w:t>
      </w:r>
      <w:r w:rsidRPr="00D3490C">
        <w:rPr>
          <w:rFonts w:hint="cs"/>
          <w:spacing w:val="0"/>
          <w:kern w:val="0"/>
          <w:rtl/>
          <w:lang w:val="en-CA"/>
        </w:rPr>
        <w:t>فيها حالياً</w:t>
      </w:r>
      <w:r w:rsidRPr="00D3490C">
        <w:rPr>
          <w:spacing w:val="0"/>
          <w:kern w:val="0"/>
          <w:rtl/>
          <w:lang w:val="en-CA"/>
        </w:rPr>
        <w:t xml:space="preserve"> السلطات القضائية الإ</w:t>
      </w:r>
      <w:r w:rsidRPr="00D3490C">
        <w:rPr>
          <w:rFonts w:hint="cs"/>
          <w:spacing w:val="0"/>
          <w:kern w:val="0"/>
          <w:rtl/>
          <w:lang w:val="en-CA"/>
        </w:rPr>
        <w:t>سبانية</w:t>
      </w:r>
      <w:r w:rsidRPr="00D3490C">
        <w:rPr>
          <w:spacing w:val="0"/>
          <w:kern w:val="0"/>
          <w:rtl/>
          <w:lang w:val="en-CA"/>
        </w:rPr>
        <w:t xml:space="preserve"> وبالتحديد محكمة </w:t>
      </w:r>
      <w:r w:rsidRPr="00D3490C">
        <w:rPr>
          <w:rFonts w:hint="cs"/>
          <w:spacing w:val="0"/>
          <w:kern w:val="0"/>
          <w:rtl/>
          <w:lang w:val="en-CA"/>
        </w:rPr>
        <w:t xml:space="preserve">التحقيقات </w:t>
      </w:r>
      <w:r w:rsidRPr="00D3490C">
        <w:rPr>
          <w:spacing w:val="0"/>
          <w:kern w:val="0"/>
          <w:rtl/>
          <w:lang w:val="en-CA"/>
        </w:rPr>
        <w:t>رقم 1 في سبتة.</w:t>
      </w:r>
    </w:p>
    <w:p w:rsidR="00EA66E5" w:rsidRPr="00D3490C" w:rsidRDefault="00EA66E5" w:rsidP="00EA66E5">
      <w:pPr>
        <w:pStyle w:val="SingleTxtGA"/>
        <w:jc w:val="lowKashida"/>
        <w:rPr>
          <w:spacing w:val="0"/>
          <w:kern w:val="0"/>
          <w:rtl/>
          <w:lang w:val="en-CA"/>
        </w:rPr>
      </w:pPr>
      <w:r w:rsidRPr="00D3490C">
        <w:rPr>
          <w:spacing w:val="0"/>
          <w:kern w:val="0"/>
          <w:rtl/>
          <w:lang w:val="en-CA"/>
        </w:rPr>
        <w:t>4-2</w:t>
      </w:r>
      <w:r w:rsidRPr="00D3490C">
        <w:rPr>
          <w:spacing w:val="0"/>
          <w:kern w:val="0"/>
          <w:rtl/>
          <w:lang w:val="en-CA"/>
        </w:rPr>
        <w:tab/>
        <w:t>وتضيف</w:t>
      </w:r>
      <w:r w:rsidRPr="00D3490C">
        <w:rPr>
          <w:rFonts w:hint="cs"/>
          <w:spacing w:val="0"/>
          <w:kern w:val="0"/>
          <w:rtl/>
          <w:lang w:val="en-CA"/>
        </w:rPr>
        <w:t xml:space="preserve"> الدولة الطرف</w:t>
      </w:r>
      <w:r w:rsidRPr="00D3490C">
        <w:rPr>
          <w:spacing w:val="0"/>
          <w:kern w:val="0"/>
          <w:rtl/>
          <w:lang w:val="en-CA"/>
        </w:rPr>
        <w:t xml:space="preserve"> أنه غير صحيح أن لا الأسرة ولا اللجنة الإسبانية لمساعدة اللاجئين لم يستطيعا </w:t>
      </w:r>
      <w:r w:rsidRPr="00D3490C">
        <w:rPr>
          <w:rFonts w:hint="cs"/>
          <w:spacing w:val="0"/>
          <w:kern w:val="0"/>
          <w:rtl/>
          <w:lang w:val="en-CA"/>
        </w:rPr>
        <w:t>المشاركة</w:t>
      </w:r>
      <w:r w:rsidRPr="00D3490C">
        <w:rPr>
          <w:spacing w:val="0"/>
          <w:kern w:val="0"/>
          <w:rtl/>
          <w:lang w:val="en-CA"/>
        </w:rPr>
        <w:t xml:space="preserve"> كأطراف في </w:t>
      </w:r>
      <w:r w:rsidRPr="00D3490C">
        <w:rPr>
          <w:rFonts w:hint="cs"/>
          <w:spacing w:val="0"/>
          <w:kern w:val="0"/>
          <w:rtl/>
          <w:lang w:val="en-CA"/>
        </w:rPr>
        <w:t>الإجراءات</w:t>
      </w:r>
      <w:r w:rsidRPr="00D3490C">
        <w:rPr>
          <w:spacing w:val="0"/>
          <w:kern w:val="0"/>
          <w:rtl/>
          <w:lang w:val="en-CA"/>
        </w:rPr>
        <w:t xml:space="preserve"> القانونية التي شرعت فيها </w:t>
      </w:r>
      <w:r w:rsidRPr="00D3490C">
        <w:rPr>
          <w:rFonts w:hint="cs"/>
          <w:spacing w:val="0"/>
          <w:kern w:val="0"/>
          <w:rtl/>
          <w:lang w:val="en-CA"/>
        </w:rPr>
        <w:t>دائرة الادعاء</w:t>
      </w:r>
      <w:r w:rsidRPr="00D3490C">
        <w:rPr>
          <w:spacing w:val="0"/>
          <w:kern w:val="0"/>
          <w:rtl/>
          <w:lang w:val="en-CA"/>
        </w:rPr>
        <w:t xml:space="preserve"> العام. وفي 28 تشرين الثاني/نوفمبر 2008، أرسلت محكمة </w:t>
      </w:r>
      <w:r w:rsidRPr="00D3490C">
        <w:rPr>
          <w:rFonts w:hint="cs"/>
          <w:spacing w:val="0"/>
          <w:kern w:val="0"/>
          <w:rtl/>
          <w:lang w:val="en-CA"/>
        </w:rPr>
        <w:t>التحقيق</w:t>
      </w:r>
      <w:r w:rsidRPr="00D3490C">
        <w:rPr>
          <w:spacing w:val="0"/>
          <w:kern w:val="0"/>
          <w:rtl/>
          <w:lang w:val="en-CA"/>
        </w:rPr>
        <w:t xml:space="preserve"> رقم 1 في سبتة رسالة إلى محكمة </w:t>
      </w:r>
      <w:r w:rsidRPr="00D3490C">
        <w:rPr>
          <w:rFonts w:hint="cs"/>
          <w:spacing w:val="0"/>
          <w:kern w:val="0"/>
          <w:rtl/>
          <w:lang w:val="en-CA"/>
        </w:rPr>
        <w:t>ألمرية</w:t>
      </w:r>
      <w:r w:rsidRPr="00D3490C">
        <w:rPr>
          <w:spacing w:val="0"/>
          <w:kern w:val="0"/>
          <w:rtl/>
          <w:lang w:val="en-CA"/>
        </w:rPr>
        <w:t xml:space="preserve"> العليا طلبت فيه تحديد </w:t>
      </w:r>
      <w:r w:rsidRPr="00D3490C">
        <w:rPr>
          <w:rFonts w:hint="cs"/>
          <w:spacing w:val="0"/>
          <w:kern w:val="0"/>
          <w:rtl/>
          <w:lang w:val="en-CA"/>
        </w:rPr>
        <w:t xml:space="preserve">مكان تواجد </w:t>
      </w:r>
      <w:r w:rsidRPr="00D3490C">
        <w:rPr>
          <w:spacing w:val="0"/>
          <w:kern w:val="0"/>
          <w:rtl/>
          <w:lang w:val="en-CA"/>
        </w:rPr>
        <w:t>أقارب الشخص المتوف</w:t>
      </w:r>
      <w:r w:rsidRPr="00D3490C">
        <w:rPr>
          <w:rFonts w:hint="cs"/>
          <w:spacing w:val="0"/>
          <w:kern w:val="0"/>
          <w:rtl/>
          <w:lang w:val="en-CA"/>
        </w:rPr>
        <w:t>ي.</w:t>
      </w:r>
      <w:r w:rsidRPr="00D3490C">
        <w:rPr>
          <w:spacing w:val="0"/>
          <w:kern w:val="0"/>
          <w:rtl/>
          <w:lang w:val="en-CA"/>
        </w:rPr>
        <w:t xml:space="preserve"> وفي 5 </w:t>
      </w:r>
      <w:r w:rsidRPr="00D3490C">
        <w:rPr>
          <w:rFonts w:hint="cs"/>
          <w:spacing w:val="0"/>
          <w:kern w:val="0"/>
          <w:rtl/>
          <w:lang w:val="en-CA"/>
        </w:rPr>
        <w:t>كانون</w:t>
      </w:r>
      <w:r w:rsidRPr="00D3490C">
        <w:rPr>
          <w:spacing w:val="0"/>
          <w:kern w:val="0"/>
          <w:rtl/>
          <w:lang w:val="en-CA"/>
        </w:rPr>
        <w:t xml:space="preserve"> الثاني/</w:t>
      </w:r>
      <w:r w:rsidRPr="00D3490C">
        <w:rPr>
          <w:rFonts w:hint="cs"/>
          <w:spacing w:val="0"/>
          <w:kern w:val="0"/>
          <w:rtl/>
          <w:lang w:val="en-CA"/>
        </w:rPr>
        <w:t>يناير</w:t>
      </w:r>
      <w:r w:rsidRPr="00D3490C">
        <w:rPr>
          <w:spacing w:val="0"/>
          <w:kern w:val="0"/>
          <w:rtl/>
          <w:lang w:val="en-CA"/>
        </w:rPr>
        <w:t xml:space="preserve"> 2009، أخطر السيد </w:t>
      </w:r>
      <w:r w:rsidRPr="00D3490C">
        <w:rPr>
          <w:rFonts w:hint="cs"/>
          <w:spacing w:val="0"/>
          <w:kern w:val="0"/>
          <w:rtl/>
          <w:lang w:val="en-CA"/>
        </w:rPr>
        <w:t>ي</w:t>
      </w:r>
      <w:r w:rsidRPr="00D3490C">
        <w:rPr>
          <w:spacing w:val="0"/>
          <w:kern w:val="0"/>
          <w:rtl/>
          <w:lang w:val="en-CA"/>
        </w:rPr>
        <w:t xml:space="preserve">انكوبا كولي، </w:t>
      </w:r>
      <w:r w:rsidRPr="00D3490C">
        <w:rPr>
          <w:rFonts w:hint="cs"/>
          <w:spacing w:val="0"/>
          <w:kern w:val="0"/>
          <w:rtl/>
          <w:lang w:val="en-CA"/>
        </w:rPr>
        <w:t>أحد أ</w:t>
      </w:r>
      <w:r w:rsidRPr="00D3490C">
        <w:rPr>
          <w:spacing w:val="0"/>
          <w:kern w:val="0"/>
          <w:rtl/>
          <w:lang w:val="en-CA"/>
        </w:rPr>
        <w:t>بن</w:t>
      </w:r>
      <w:r w:rsidRPr="00D3490C">
        <w:rPr>
          <w:rFonts w:hint="cs"/>
          <w:spacing w:val="0"/>
          <w:kern w:val="0"/>
          <w:rtl/>
          <w:lang w:val="en-CA"/>
        </w:rPr>
        <w:t>اء</w:t>
      </w:r>
      <w:r w:rsidRPr="00D3490C">
        <w:rPr>
          <w:spacing w:val="0"/>
          <w:kern w:val="0"/>
          <w:rtl/>
          <w:lang w:val="en-CA"/>
        </w:rPr>
        <w:t xml:space="preserve"> </w:t>
      </w:r>
      <w:r w:rsidRPr="00D3490C">
        <w:rPr>
          <w:rFonts w:hint="cs"/>
          <w:spacing w:val="0"/>
          <w:kern w:val="0"/>
          <w:rtl/>
          <w:lang w:val="en-CA"/>
        </w:rPr>
        <w:t>عمومة</w:t>
      </w:r>
      <w:r w:rsidRPr="00D3490C">
        <w:rPr>
          <w:spacing w:val="0"/>
          <w:kern w:val="0"/>
          <w:rtl/>
          <w:lang w:val="en-CA"/>
        </w:rPr>
        <w:t xml:space="preserve"> السيد سونكو في فيكار (ألم</w:t>
      </w:r>
      <w:r w:rsidRPr="00D3490C">
        <w:rPr>
          <w:rFonts w:hint="cs"/>
          <w:spacing w:val="0"/>
          <w:kern w:val="0"/>
          <w:rtl/>
          <w:lang w:val="en-CA"/>
        </w:rPr>
        <w:t>رية</w:t>
      </w:r>
      <w:r w:rsidRPr="00D3490C">
        <w:rPr>
          <w:spacing w:val="0"/>
          <w:kern w:val="0"/>
          <w:rtl/>
          <w:lang w:val="en-CA"/>
        </w:rPr>
        <w:t>)</w:t>
      </w:r>
      <w:r w:rsidRPr="00D3490C">
        <w:rPr>
          <w:rFonts w:hint="cs"/>
          <w:spacing w:val="0"/>
          <w:kern w:val="0"/>
          <w:rtl/>
          <w:lang w:val="en-CA"/>
        </w:rPr>
        <w:t xml:space="preserve"> بالدعوى</w:t>
      </w:r>
      <w:r w:rsidRPr="00D3490C">
        <w:rPr>
          <w:spacing w:val="0"/>
          <w:kern w:val="0"/>
          <w:rtl/>
          <w:lang w:val="en-CA"/>
        </w:rPr>
        <w:t>. غير أن أي</w:t>
      </w:r>
      <w:r w:rsidRPr="00D3490C">
        <w:rPr>
          <w:rFonts w:hint="cs"/>
          <w:spacing w:val="0"/>
          <w:kern w:val="0"/>
          <w:rtl/>
          <w:lang w:val="en-CA"/>
        </w:rPr>
        <w:t>اً</w:t>
      </w:r>
      <w:r w:rsidRPr="00D3490C">
        <w:rPr>
          <w:spacing w:val="0"/>
          <w:kern w:val="0"/>
          <w:rtl/>
          <w:lang w:val="en-CA"/>
        </w:rPr>
        <w:t xml:space="preserve"> </w:t>
      </w:r>
      <w:r w:rsidRPr="00D3490C">
        <w:rPr>
          <w:rFonts w:hint="cs"/>
          <w:spacing w:val="0"/>
          <w:kern w:val="0"/>
          <w:rtl/>
          <w:lang w:val="en-CA"/>
        </w:rPr>
        <w:t xml:space="preserve">من أفراد الأسرة </w:t>
      </w:r>
      <w:r w:rsidRPr="00D3490C">
        <w:rPr>
          <w:spacing w:val="0"/>
          <w:kern w:val="0"/>
          <w:rtl/>
          <w:lang w:val="en-CA"/>
        </w:rPr>
        <w:t xml:space="preserve">لم يسجل </w:t>
      </w:r>
      <w:r w:rsidRPr="00D3490C">
        <w:rPr>
          <w:rFonts w:hint="cs"/>
          <w:spacing w:val="0"/>
          <w:kern w:val="0"/>
          <w:rtl/>
          <w:lang w:val="en-CA"/>
        </w:rPr>
        <w:t>نفسه</w:t>
      </w:r>
      <w:r w:rsidRPr="00D3490C">
        <w:rPr>
          <w:spacing w:val="0"/>
          <w:kern w:val="0"/>
          <w:rtl/>
          <w:lang w:val="en-CA"/>
        </w:rPr>
        <w:t xml:space="preserve"> كطرف في </w:t>
      </w:r>
      <w:r w:rsidRPr="00D3490C">
        <w:rPr>
          <w:rFonts w:hint="cs"/>
          <w:spacing w:val="0"/>
          <w:kern w:val="0"/>
          <w:rtl/>
          <w:lang w:val="en-CA"/>
        </w:rPr>
        <w:t>الإجراءات</w:t>
      </w:r>
      <w:r w:rsidRPr="00D3490C">
        <w:rPr>
          <w:spacing w:val="0"/>
          <w:kern w:val="0"/>
          <w:rtl/>
          <w:lang w:val="en-CA"/>
        </w:rPr>
        <w:t>.</w:t>
      </w:r>
    </w:p>
    <w:p w:rsidR="00EA66E5" w:rsidRPr="00D3490C" w:rsidRDefault="00EA66E5" w:rsidP="00EA66E5">
      <w:pPr>
        <w:pStyle w:val="SingleTxtGA"/>
        <w:jc w:val="lowKashida"/>
        <w:rPr>
          <w:spacing w:val="0"/>
          <w:kern w:val="0"/>
          <w:rtl/>
          <w:lang w:val="en-CA"/>
        </w:rPr>
      </w:pPr>
      <w:r w:rsidRPr="00D3490C">
        <w:rPr>
          <w:spacing w:val="0"/>
          <w:kern w:val="0"/>
          <w:rtl/>
          <w:lang w:val="en-CA"/>
        </w:rPr>
        <w:t>4-3</w:t>
      </w:r>
      <w:r w:rsidRPr="00D3490C">
        <w:rPr>
          <w:spacing w:val="0"/>
          <w:kern w:val="0"/>
          <w:rtl/>
          <w:lang w:val="en-CA"/>
        </w:rPr>
        <w:tab/>
        <w:t xml:space="preserve">وتؤكد الدولة الطرف أن </w:t>
      </w:r>
      <w:r w:rsidRPr="00D3490C">
        <w:rPr>
          <w:rFonts w:hint="cs"/>
          <w:spacing w:val="0"/>
          <w:kern w:val="0"/>
          <w:rtl/>
          <w:lang w:val="en-CA"/>
        </w:rPr>
        <w:t>رواية</w:t>
      </w:r>
      <w:r w:rsidRPr="00D3490C">
        <w:rPr>
          <w:spacing w:val="0"/>
          <w:kern w:val="0"/>
          <w:rtl/>
          <w:lang w:val="en-CA"/>
        </w:rPr>
        <w:t xml:space="preserve"> صاحبة الشكوى </w:t>
      </w:r>
      <w:r w:rsidRPr="00D3490C">
        <w:rPr>
          <w:rFonts w:hint="cs"/>
          <w:spacing w:val="0"/>
          <w:kern w:val="0"/>
          <w:rtl/>
          <w:lang w:val="en-CA"/>
        </w:rPr>
        <w:t>ع</w:t>
      </w:r>
      <w:r w:rsidRPr="00D3490C">
        <w:rPr>
          <w:spacing w:val="0"/>
          <w:kern w:val="0"/>
          <w:rtl/>
          <w:lang w:val="en-CA"/>
        </w:rPr>
        <w:t xml:space="preserve">ن الأحداث تختلف في جوانب أساسية معينة عن الوقائع التي تأكدت منها الدولة الطرف. </w:t>
      </w:r>
      <w:r w:rsidRPr="00D3490C">
        <w:rPr>
          <w:rFonts w:hint="cs"/>
          <w:spacing w:val="0"/>
          <w:kern w:val="0"/>
          <w:rtl/>
          <w:lang w:val="en-CA"/>
        </w:rPr>
        <w:t>وأرفقت</w:t>
      </w:r>
      <w:r w:rsidRPr="00D3490C">
        <w:rPr>
          <w:spacing w:val="0"/>
          <w:kern w:val="0"/>
          <w:rtl/>
          <w:lang w:val="en-CA"/>
        </w:rPr>
        <w:t xml:space="preserve"> الدولة الطرف نسخة من </w:t>
      </w:r>
      <w:r w:rsidRPr="00D3490C">
        <w:rPr>
          <w:rFonts w:hint="cs"/>
          <w:spacing w:val="0"/>
          <w:kern w:val="0"/>
          <w:rtl/>
          <w:lang w:val="en-CA"/>
        </w:rPr>
        <w:t>تقرير</w:t>
      </w:r>
      <w:r w:rsidRPr="00D3490C">
        <w:rPr>
          <w:spacing w:val="0"/>
          <w:kern w:val="0"/>
          <w:rtl/>
          <w:lang w:val="en-CA"/>
        </w:rPr>
        <w:t xml:space="preserve"> </w:t>
      </w:r>
      <w:r w:rsidRPr="00D3490C">
        <w:rPr>
          <w:rFonts w:hint="cs"/>
          <w:spacing w:val="0"/>
          <w:kern w:val="0"/>
          <w:rtl/>
          <w:lang w:val="en-CA"/>
        </w:rPr>
        <w:t>أصدره المقدم</w:t>
      </w:r>
      <w:r w:rsidRPr="00D3490C">
        <w:rPr>
          <w:spacing w:val="0"/>
          <w:kern w:val="0"/>
          <w:rtl/>
          <w:lang w:val="en-CA"/>
        </w:rPr>
        <w:t xml:space="preserve"> العامل في مقر الحرس المدني في سبتة، ال</w:t>
      </w:r>
      <w:r w:rsidRPr="00D3490C">
        <w:rPr>
          <w:rFonts w:hint="cs"/>
          <w:spacing w:val="0"/>
          <w:kern w:val="0"/>
          <w:rtl/>
          <w:lang w:val="en-CA"/>
        </w:rPr>
        <w:t>ذ</w:t>
      </w:r>
      <w:r w:rsidRPr="00D3490C">
        <w:rPr>
          <w:spacing w:val="0"/>
          <w:kern w:val="0"/>
          <w:rtl/>
          <w:lang w:val="en-CA"/>
        </w:rPr>
        <w:t xml:space="preserve">ي يشير فيه إلى أن </w:t>
      </w:r>
      <w:r w:rsidRPr="00D3490C">
        <w:rPr>
          <w:rFonts w:hint="cs"/>
          <w:spacing w:val="0"/>
          <w:kern w:val="0"/>
          <w:rtl/>
          <w:lang w:val="en-CA"/>
        </w:rPr>
        <w:t xml:space="preserve">الزوارق </w:t>
      </w:r>
      <w:r w:rsidRPr="00D3490C">
        <w:rPr>
          <w:spacing w:val="0"/>
          <w:kern w:val="0"/>
          <w:rtl/>
          <w:lang w:val="en-CA"/>
        </w:rPr>
        <w:t>المطاطية لم تثقب؛ وأن عملية المساعدة والإنقاذ جرت في المياه المغربية؛</w:t>
      </w:r>
      <w:r w:rsidRPr="00D3490C">
        <w:rPr>
          <w:rFonts w:hint="cs"/>
          <w:spacing w:val="0"/>
          <w:kern w:val="0"/>
          <w:rtl/>
          <w:lang w:val="en-CA"/>
        </w:rPr>
        <w:t xml:space="preserve"> </w:t>
      </w:r>
      <w:r w:rsidRPr="00D3490C">
        <w:rPr>
          <w:spacing w:val="0"/>
          <w:kern w:val="0"/>
          <w:rtl/>
          <w:lang w:val="en-CA"/>
        </w:rPr>
        <w:t xml:space="preserve">وأن المهاجرين </w:t>
      </w:r>
      <w:r w:rsidRPr="00D3490C">
        <w:rPr>
          <w:rFonts w:hint="cs"/>
          <w:spacing w:val="0"/>
          <w:kern w:val="0"/>
          <w:rtl/>
          <w:lang w:val="en-CA"/>
        </w:rPr>
        <w:t>كانوا يتحدثون</w:t>
      </w:r>
      <w:r w:rsidRPr="00D3490C">
        <w:rPr>
          <w:spacing w:val="0"/>
          <w:kern w:val="0"/>
          <w:rtl/>
          <w:lang w:val="en-CA"/>
        </w:rPr>
        <w:t xml:space="preserve"> لغة </w:t>
      </w:r>
      <w:r w:rsidRPr="00D3490C">
        <w:rPr>
          <w:rFonts w:hint="cs"/>
          <w:spacing w:val="0"/>
          <w:kern w:val="0"/>
          <w:rtl/>
          <w:lang w:val="en-CA"/>
        </w:rPr>
        <w:t xml:space="preserve">لا </w:t>
      </w:r>
      <w:r w:rsidRPr="00D3490C">
        <w:rPr>
          <w:spacing w:val="0"/>
          <w:kern w:val="0"/>
          <w:rtl/>
          <w:lang w:val="en-CA"/>
        </w:rPr>
        <w:t xml:space="preserve">يفهمها ضابطا الشرطة </w:t>
      </w:r>
      <w:r w:rsidRPr="00D3490C">
        <w:rPr>
          <w:rFonts w:hint="cs"/>
          <w:spacing w:val="0"/>
          <w:kern w:val="0"/>
          <w:rtl/>
          <w:lang w:val="en-CA"/>
        </w:rPr>
        <w:t>المعنيان</w:t>
      </w:r>
      <w:r w:rsidRPr="00D3490C">
        <w:rPr>
          <w:spacing w:val="0"/>
          <w:kern w:val="0"/>
          <w:rtl/>
          <w:lang w:val="en-CA"/>
        </w:rPr>
        <w:t>؛ وأن ضابط الحرس المدني قفز إلى المياه لان</w:t>
      </w:r>
      <w:r w:rsidRPr="00D3490C">
        <w:rPr>
          <w:rFonts w:hint="cs"/>
          <w:spacing w:val="0"/>
          <w:kern w:val="0"/>
          <w:rtl/>
          <w:lang w:val="en-CA"/>
        </w:rPr>
        <w:t>ت</w:t>
      </w:r>
      <w:r w:rsidRPr="00D3490C">
        <w:rPr>
          <w:spacing w:val="0"/>
          <w:kern w:val="0"/>
          <w:rtl/>
          <w:lang w:val="en-CA"/>
        </w:rPr>
        <w:t xml:space="preserve">شال السيد سونكو </w:t>
      </w:r>
      <w:r w:rsidRPr="00D3490C">
        <w:rPr>
          <w:rFonts w:hint="cs"/>
          <w:spacing w:val="0"/>
          <w:kern w:val="0"/>
          <w:rtl/>
          <w:lang w:val="en-CA"/>
        </w:rPr>
        <w:t xml:space="preserve">في </w:t>
      </w:r>
      <w:r w:rsidRPr="00D3490C">
        <w:rPr>
          <w:spacing w:val="0"/>
          <w:kern w:val="0"/>
          <w:rtl/>
          <w:lang w:val="en-CA"/>
        </w:rPr>
        <w:t xml:space="preserve">محاولة </w:t>
      </w:r>
      <w:r w:rsidRPr="00D3490C">
        <w:rPr>
          <w:rFonts w:hint="cs"/>
          <w:spacing w:val="0"/>
          <w:kern w:val="0"/>
          <w:rtl/>
          <w:lang w:val="en-CA"/>
        </w:rPr>
        <w:t>لإ</w:t>
      </w:r>
      <w:r w:rsidRPr="00D3490C">
        <w:rPr>
          <w:spacing w:val="0"/>
          <w:kern w:val="0"/>
          <w:rtl/>
          <w:lang w:val="en-CA"/>
        </w:rPr>
        <w:t>نقاذ</w:t>
      </w:r>
      <w:r w:rsidRPr="00D3490C">
        <w:rPr>
          <w:rFonts w:hint="cs"/>
          <w:spacing w:val="0"/>
          <w:kern w:val="0"/>
          <w:rtl/>
          <w:lang w:val="en-CA"/>
        </w:rPr>
        <w:t>ه</w:t>
      </w:r>
      <w:r w:rsidRPr="00D3490C">
        <w:rPr>
          <w:spacing w:val="0"/>
          <w:kern w:val="0"/>
          <w:rtl/>
          <w:lang w:val="en-CA"/>
        </w:rPr>
        <w:t xml:space="preserve">؛ وأنه لم توجد </w:t>
      </w:r>
      <w:r w:rsidRPr="00D3490C">
        <w:rPr>
          <w:rFonts w:hint="cs"/>
          <w:spacing w:val="0"/>
          <w:kern w:val="0"/>
          <w:rtl/>
          <w:lang w:val="en-CA"/>
        </w:rPr>
        <w:t xml:space="preserve">إصابات </w:t>
      </w:r>
      <w:r w:rsidRPr="00D3490C">
        <w:rPr>
          <w:spacing w:val="0"/>
          <w:kern w:val="0"/>
          <w:rtl/>
          <w:lang w:val="en-CA"/>
        </w:rPr>
        <w:t xml:space="preserve">على جسد السيد سونكو. وعمل ضابطا الحرس المدني وفقاً لإجراءات التعامل مع الهجرة عن طريق البحر التي وضعها الحرس المدني في سبتة والقوانين </w:t>
      </w:r>
      <w:r w:rsidRPr="00D3490C">
        <w:rPr>
          <w:rFonts w:hint="cs"/>
          <w:spacing w:val="0"/>
          <w:kern w:val="0"/>
          <w:rtl/>
          <w:lang w:val="en-CA"/>
        </w:rPr>
        <w:t xml:space="preserve">الخاصة </w:t>
      </w:r>
      <w:r w:rsidRPr="00D3490C">
        <w:rPr>
          <w:spacing w:val="0"/>
          <w:kern w:val="0"/>
          <w:rtl/>
          <w:lang w:val="en-CA"/>
        </w:rPr>
        <w:t>المنطبقة والاتفاقيات والمعاهدات التي وقعت عليها الدولة الطرف.</w:t>
      </w:r>
      <w:r w:rsidRPr="00D3490C">
        <w:rPr>
          <w:rFonts w:hint="cs"/>
          <w:spacing w:val="0"/>
          <w:kern w:val="0"/>
          <w:rtl/>
          <w:lang w:val="en-CA"/>
        </w:rPr>
        <w:t xml:space="preserve"> و</w:t>
      </w:r>
      <w:r w:rsidRPr="00D3490C">
        <w:rPr>
          <w:spacing w:val="0"/>
          <w:kern w:val="0"/>
          <w:rtl/>
          <w:lang w:val="en-CA"/>
        </w:rPr>
        <w:t xml:space="preserve">وفقاً للتقرير، فإن الإجراءات </w:t>
      </w:r>
      <w:r w:rsidRPr="00D3490C">
        <w:rPr>
          <w:rFonts w:hint="cs"/>
          <w:spacing w:val="0"/>
          <w:kern w:val="0"/>
          <w:rtl/>
          <w:lang w:val="en-CA"/>
        </w:rPr>
        <w:t>التي اتبعت</w:t>
      </w:r>
      <w:r w:rsidRPr="00D3490C">
        <w:rPr>
          <w:spacing w:val="0"/>
          <w:kern w:val="0"/>
          <w:rtl/>
          <w:lang w:val="en-CA"/>
        </w:rPr>
        <w:t xml:space="preserve"> لمساعدة المهاجرين الذين </w:t>
      </w:r>
      <w:r w:rsidRPr="00D3490C">
        <w:rPr>
          <w:rFonts w:hint="cs"/>
          <w:spacing w:val="0"/>
          <w:kern w:val="0"/>
          <w:rtl/>
          <w:lang w:val="en-CA"/>
        </w:rPr>
        <w:t>يُ</w:t>
      </w:r>
      <w:r w:rsidRPr="00D3490C">
        <w:rPr>
          <w:spacing w:val="0"/>
          <w:kern w:val="0"/>
          <w:rtl/>
          <w:lang w:val="en-CA"/>
        </w:rPr>
        <w:t xml:space="preserve">عثر عليهم في المياه المغربية وبالقرب من العلامات المائية التي تفصل حدود كل بلد قللت بشكل كبير </w:t>
      </w:r>
      <w:r w:rsidRPr="00D3490C">
        <w:rPr>
          <w:rFonts w:hint="cs"/>
          <w:spacing w:val="0"/>
          <w:kern w:val="0"/>
          <w:rtl/>
          <w:lang w:val="en-CA"/>
        </w:rPr>
        <w:t xml:space="preserve">من </w:t>
      </w:r>
      <w:r w:rsidRPr="00D3490C">
        <w:rPr>
          <w:spacing w:val="0"/>
          <w:kern w:val="0"/>
          <w:rtl/>
          <w:lang w:val="en-CA"/>
        </w:rPr>
        <w:t>عدد الوفيات. وأضافت الدولة الطرف أن السفن التي تنقذ الأشخاص في البحر في حالة استغاثة أو</w:t>
      </w:r>
      <w:r w:rsidRPr="00D3490C">
        <w:rPr>
          <w:rFonts w:hint="cs"/>
          <w:spacing w:val="0"/>
          <w:kern w:val="0"/>
          <w:rtl/>
          <w:lang w:val="en-CA"/>
        </w:rPr>
        <w:t> </w:t>
      </w:r>
      <w:r w:rsidRPr="00D3490C">
        <w:rPr>
          <w:spacing w:val="0"/>
          <w:kern w:val="0"/>
          <w:rtl/>
          <w:lang w:val="en-CA"/>
        </w:rPr>
        <w:t xml:space="preserve">خطر عليها التزام بتوفير </w:t>
      </w:r>
      <w:r w:rsidRPr="00D3490C">
        <w:rPr>
          <w:rFonts w:hint="cs"/>
          <w:spacing w:val="0"/>
          <w:kern w:val="0"/>
          <w:rtl/>
          <w:lang w:val="en-CA"/>
        </w:rPr>
        <w:t>ال</w:t>
      </w:r>
      <w:r w:rsidRPr="00D3490C">
        <w:rPr>
          <w:spacing w:val="0"/>
          <w:kern w:val="0"/>
          <w:rtl/>
          <w:lang w:val="en-CA"/>
        </w:rPr>
        <w:t>مساعدة لهم ونقلهم إلى "مكان آمن" ومعاملتهم بطريقة إنسانية.</w:t>
      </w:r>
    </w:p>
    <w:p w:rsidR="00EA66E5" w:rsidRPr="00EA66E5" w:rsidRDefault="00EA66E5" w:rsidP="00EA66E5">
      <w:pPr>
        <w:pStyle w:val="H23GA"/>
        <w:jc w:val="lowKashida"/>
        <w:rPr>
          <w:spacing w:val="0"/>
          <w:kern w:val="0"/>
          <w:rtl/>
        </w:rPr>
      </w:pPr>
      <w:r w:rsidRPr="00EA66E5">
        <w:rPr>
          <w:rFonts w:hint="cs"/>
          <w:spacing w:val="0"/>
          <w:kern w:val="0"/>
          <w:rtl/>
        </w:rPr>
        <w:tab/>
      </w:r>
      <w:r w:rsidRPr="00EA66E5">
        <w:rPr>
          <w:rFonts w:hint="cs"/>
          <w:spacing w:val="0"/>
          <w:kern w:val="0"/>
          <w:rtl/>
        </w:rPr>
        <w:tab/>
      </w:r>
      <w:r w:rsidRPr="00EA66E5">
        <w:rPr>
          <w:spacing w:val="0"/>
          <w:kern w:val="0"/>
          <w:rtl/>
        </w:rPr>
        <w:t>تعليقات صاحبة الشكوى على تقرير الدولة الطرف</w:t>
      </w:r>
    </w:p>
    <w:p w:rsidR="00EA66E5" w:rsidRPr="00EA66E5" w:rsidRDefault="00EA66E5" w:rsidP="00EA66E5">
      <w:pPr>
        <w:pStyle w:val="SingleTxtGA"/>
        <w:jc w:val="lowKashida"/>
        <w:rPr>
          <w:spacing w:val="0"/>
          <w:kern w:val="0"/>
          <w:rtl/>
          <w:lang w:val="en-CA"/>
        </w:rPr>
      </w:pPr>
      <w:r w:rsidRPr="00EA66E5">
        <w:rPr>
          <w:spacing w:val="0"/>
          <w:kern w:val="0"/>
          <w:rtl/>
          <w:lang w:val="en-CA"/>
        </w:rPr>
        <w:t>5-1</w:t>
      </w:r>
      <w:r w:rsidRPr="00EA66E5">
        <w:rPr>
          <w:spacing w:val="0"/>
          <w:kern w:val="0"/>
          <w:rtl/>
          <w:lang w:val="en-CA"/>
        </w:rPr>
        <w:tab/>
        <w:t>تؤكد صاحبة الشكوى، في بلاغها المؤرخ 6 نيسان/أبريل 2009</w:t>
      </w:r>
      <w:r w:rsidRPr="00EA66E5">
        <w:rPr>
          <w:rFonts w:hint="cs"/>
          <w:spacing w:val="0"/>
          <w:kern w:val="0"/>
          <w:rtl/>
          <w:lang w:val="en-CA"/>
        </w:rPr>
        <w:t>،</w:t>
      </w:r>
      <w:r w:rsidRPr="00EA66E5">
        <w:rPr>
          <w:spacing w:val="0"/>
          <w:kern w:val="0"/>
          <w:rtl/>
          <w:lang w:val="en-CA"/>
        </w:rPr>
        <w:t xml:space="preserve"> أن جميع سبل الانتصاف المحلية است</w:t>
      </w:r>
      <w:r w:rsidRPr="00EA66E5">
        <w:rPr>
          <w:rFonts w:hint="cs"/>
          <w:spacing w:val="0"/>
          <w:kern w:val="0"/>
          <w:rtl/>
          <w:lang w:val="en-CA"/>
        </w:rPr>
        <w:t>ُ</w:t>
      </w:r>
      <w:r w:rsidRPr="00EA66E5">
        <w:rPr>
          <w:spacing w:val="0"/>
          <w:kern w:val="0"/>
          <w:rtl/>
          <w:lang w:val="en-CA"/>
        </w:rPr>
        <w:t xml:space="preserve">نفدت. وتشير إلى أن المحكمة العامة رقم 1 في سبتة أعلنت عن إغلاق التحقيق الأولي وأصدرت أمراً </w:t>
      </w:r>
      <w:r w:rsidRPr="00EA66E5">
        <w:rPr>
          <w:rFonts w:hint="cs"/>
          <w:spacing w:val="0"/>
          <w:kern w:val="0"/>
          <w:rtl/>
          <w:lang w:val="en-CA"/>
        </w:rPr>
        <w:t>برفض</w:t>
      </w:r>
      <w:r w:rsidRPr="00EA66E5">
        <w:rPr>
          <w:spacing w:val="0"/>
          <w:kern w:val="0"/>
          <w:rtl/>
          <w:lang w:val="en-CA"/>
        </w:rPr>
        <w:t xml:space="preserve"> الدعوى المتعلقة بوفاة السيد سونكو غرقاً. ولم يطعن في قرار </w:t>
      </w:r>
      <w:r w:rsidRPr="00EA66E5">
        <w:rPr>
          <w:rFonts w:hint="cs"/>
          <w:spacing w:val="0"/>
          <w:kern w:val="0"/>
          <w:rtl/>
          <w:lang w:val="en-CA"/>
        </w:rPr>
        <w:t>رفض</w:t>
      </w:r>
      <w:r w:rsidRPr="00EA66E5">
        <w:rPr>
          <w:spacing w:val="0"/>
          <w:kern w:val="0"/>
          <w:rtl/>
          <w:lang w:val="en-CA"/>
        </w:rPr>
        <w:t xml:space="preserve"> الدعوى المحامي الذي يمثل ضابطي الحرس المدني المعنيين ولا مكتب النائب العام في سبتة وبذلك أصبح نهائيا</w:t>
      </w:r>
      <w:r w:rsidRPr="00EA66E5">
        <w:rPr>
          <w:rFonts w:hint="cs"/>
          <w:spacing w:val="0"/>
          <w:kern w:val="0"/>
          <w:rtl/>
          <w:lang w:val="en-CA"/>
        </w:rPr>
        <w:t>ً</w:t>
      </w:r>
      <w:r w:rsidRPr="00EA66E5">
        <w:rPr>
          <w:spacing w:val="0"/>
          <w:kern w:val="0"/>
          <w:rtl/>
          <w:lang w:val="en-CA"/>
        </w:rPr>
        <w:t xml:space="preserve">. وتشير صاحبة الشكوى </w:t>
      </w:r>
      <w:r w:rsidRPr="00EA66E5">
        <w:rPr>
          <w:rFonts w:hint="cs"/>
          <w:spacing w:val="0"/>
          <w:kern w:val="0"/>
          <w:rtl/>
          <w:lang w:val="en-CA"/>
        </w:rPr>
        <w:t xml:space="preserve">إلى </w:t>
      </w:r>
      <w:r w:rsidRPr="00EA66E5">
        <w:rPr>
          <w:spacing w:val="0"/>
          <w:kern w:val="0"/>
          <w:rtl/>
          <w:lang w:val="en-CA"/>
        </w:rPr>
        <w:t>أن</w:t>
      </w:r>
      <w:r w:rsidRPr="00EA66E5">
        <w:rPr>
          <w:rFonts w:hint="cs"/>
          <w:spacing w:val="0"/>
          <w:kern w:val="0"/>
          <w:rtl/>
          <w:lang w:val="en-CA"/>
        </w:rPr>
        <w:t>ها</w:t>
      </w:r>
      <w:r w:rsidRPr="00EA66E5">
        <w:rPr>
          <w:spacing w:val="0"/>
          <w:kern w:val="0"/>
          <w:rtl/>
          <w:lang w:val="en-CA"/>
        </w:rPr>
        <w:t xml:space="preserve"> لم تستطع التسجيل كطرف في </w:t>
      </w:r>
      <w:r w:rsidRPr="00EA66E5">
        <w:rPr>
          <w:rFonts w:hint="cs"/>
          <w:spacing w:val="0"/>
          <w:kern w:val="0"/>
          <w:rtl/>
          <w:lang w:val="en-CA"/>
        </w:rPr>
        <w:t>الإجراءات</w:t>
      </w:r>
      <w:r w:rsidRPr="00EA66E5">
        <w:rPr>
          <w:spacing w:val="0"/>
          <w:kern w:val="0"/>
          <w:rtl/>
          <w:lang w:val="en-CA"/>
        </w:rPr>
        <w:t xml:space="preserve"> لأن الدولة الطرف لم </w:t>
      </w:r>
      <w:r w:rsidRPr="00EA66E5">
        <w:rPr>
          <w:rFonts w:hint="cs"/>
          <w:spacing w:val="0"/>
          <w:kern w:val="0"/>
          <w:rtl/>
          <w:lang w:val="en-CA"/>
        </w:rPr>
        <w:t>تحاول</w:t>
      </w:r>
      <w:r w:rsidRPr="00EA66E5">
        <w:rPr>
          <w:spacing w:val="0"/>
          <w:kern w:val="0"/>
          <w:rtl/>
          <w:lang w:val="en-CA"/>
        </w:rPr>
        <w:t xml:space="preserve"> أثناء </w:t>
      </w:r>
      <w:r w:rsidRPr="00EA66E5">
        <w:rPr>
          <w:rFonts w:hint="cs"/>
          <w:spacing w:val="0"/>
          <w:kern w:val="0"/>
          <w:rtl/>
          <w:lang w:val="en-CA"/>
        </w:rPr>
        <w:t>الإجراءات</w:t>
      </w:r>
      <w:r w:rsidRPr="00EA66E5">
        <w:rPr>
          <w:spacing w:val="0"/>
          <w:kern w:val="0"/>
          <w:rtl/>
          <w:lang w:val="en-CA"/>
        </w:rPr>
        <w:t xml:space="preserve"> القضائية تحديد </w:t>
      </w:r>
      <w:r w:rsidRPr="00EA66E5">
        <w:rPr>
          <w:rFonts w:hint="cs"/>
          <w:spacing w:val="0"/>
          <w:kern w:val="0"/>
          <w:rtl/>
          <w:lang w:val="en-CA"/>
        </w:rPr>
        <w:t>مكان تواجد</w:t>
      </w:r>
      <w:r w:rsidRPr="00EA66E5">
        <w:rPr>
          <w:spacing w:val="0"/>
          <w:kern w:val="0"/>
          <w:rtl/>
          <w:lang w:val="en-CA"/>
        </w:rPr>
        <w:t xml:space="preserve"> أسرة السيد سونكو.</w:t>
      </w:r>
      <w:r w:rsidRPr="00EA66E5">
        <w:rPr>
          <w:rFonts w:hint="cs"/>
          <w:spacing w:val="0"/>
          <w:kern w:val="0"/>
          <w:rtl/>
          <w:lang w:val="en-CA"/>
        </w:rPr>
        <w:t xml:space="preserve"> </w:t>
      </w:r>
      <w:r w:rsidRPr="00EA66E5">
        <w:rPr>
          <w:spacing w:val="0"/>
          <w:kern w:val="0"/>
          <w:rtl/>
          <w:lang w:val="en-CA"/>
        </w:rPr>
        <w:t xml:space="preserve">وتشير صاحبة الشكوى </w:t>
      </w:r>
      <w:r w:rsidRPr="00EA66E5">
        <w:rPr>
          <w:rFonts w:hint="cs"/>
          <w:spacing w:val="0"/>
          <w:kern w:val="0"/>
          <w:rtl/>
          <w:lang w:val="en-CA"/>
        </w:rPr>
        <w:t xml:space="preserve">إلى </w:t>
      </w:r>
      <w:r w:rsidRPr="00EA66E5">
        <w:rPr>
          <w:spacing w:val="0"/>
          <w:kern w:val="0"/>
          <w:rtl/>
          <w:lang w:val="en-CA"/>
        </w:rPr>
        <w:t xml:space="preserve">السوابق القضائية المحلية التي تفيد بأن أمر </w:t>
      </w:r>
      <w:r w:rsidRPr="00EA66E5">
        <w:rPr>
          <w:rFonts w:hint="cs"/>
          <w:spacing w:val="0"/>
          <w:kern w:val="0"/>
          <w:rtl/>
          <w:lang w:val="en-CA"/>
        </w:rPr>
        <w:t>رفض</w:t>
      </w:r>
      <w:r w:rsidRPr="00EA66E5">
        <w:rPr>
          <w:spacing w:val="0"/>
          <w:kern w:val="0"/>
          <w:rtl/>
          <w:lang w:val="en-CA"/>
        </w:rPr>
        <w:t xml:space="preserve"> الدعوى </w:t>
      </w:r>
      <w:r w:rsidRPr="00EA66E5">
        <w:rPr>
          <w:rFonts w:hint="cs"/>
          <w:spacing w:val="0"/>
          <w:kern w:val="0"/>
          <w:rtl/>
          <w:lang w:val="en-CA"/>
        </w:rPr>
        <w:t>يكون</w:t>
      </w:r>
      <w:r w:rsidRPr="00EA66E5">
        <w:rPr>
          <w:spacing w:val="0"/>
          <w:kern w:val="0"/>
          <w:rtl/>
          <w:lang w:val="en-CA"/>
        </w:rPr>
        <w:t xml:space="preserve"> أمراً مقضياً به </w:t>
      </w:r>
      <w:r w:rsidRPr="00EA66E5">
        <w:rPr>
          <w:rFonts w:hint="cs"/>
          <w:spacing w:val="0"/>
          <w:kern w:val="0"/>
          <w:rtl/>
          <w:lang w:val="en-CA"/>
        </w:rPr>
        <w:t>ما</w:t>
      </w:r>
      <w:r w:rsidRPr="00EA66E5">
        <w:rPr>
          <w:spacing w:val="0"/>
          <w:kern w:val="0"/>
          <w:rtl/>
          <w:lang w:val="en-CA"/>
        </w:rPr>
        <w:t xml:space="preserve"> أن يصبح نهائياً.</w:t>
      </w:r>
    </w:p>
    <w:p w:rsidR="00EA66E5" w:rsidRPr="00EA66E5" w:rsidRDefault="00EA66E5" w:rsidP="00EA66E5">
      <w:pPr>
        <w:pStyle w:val="SingleTxtGA"/>
        <w:jc w:val="lowKashida"/>
        <w:rPr>
          <w:spacing w:val="0"/>
          <w:kern w:val="0"/>
          <w:rtl/>
          <w:lang w:val="en-CA"/>
        </w:rPr>
      </w:pPr>
      <w:r w:rsidRPr="00EA66E5">
        <w:rPr>
          <w:spacing w:val="0"/>
          <w:kern w:val="0"/>
          <w:rtl/>
          <w:lang w:val="en-CA"/>
        </w:rPr>
        <w:t>5-2</w:t>
      </w:r>
      <w:r w:rsidRPr="00EA66E5">
        <w:rPr>
          <w:spacing w:val="0"/>
          <w:kern w:val="0"/>
          <w:rtl/>
          <w:lang w:val="en-CA"/>
        </w:rPr>
        <w:tab/>
        <w:t xml:space="preserve">ووفقاً لصاحبة الشكوى، فإن ادعاءات الدولة الطرف لا </w:t>
      </w:r>
      <w:r w:rsidRPr="00EA66E5">
        <w:rPr>
          <w:rFonts w:hint="cs"/>
          <w:spacing w:val="0"/>
          <w:kern w:val="0"/>
          <w:rtl/>
          <w:lang w:val="en-CA"/>
        </w:rPr>
        <w:t>تتعارض مع</w:t>
      </w:r>
      <w:r w:rsidRPr="00EA66E5">
        <w:rPr>
          <w:spacing w:val="0"/>
          <w:kern w:val="0"/>
          <w:rtl/>
          <w:lang w:val="en-CA"/>
        </w:rPr>
        <w:t xml:space="preserve"> الوقائع حسبما وصفتها أصلاً صاحبة الشكوى وتثبت حدوث تعذيب أو معاملة لا إنسانية أو مهينة.</w:t>
      </w:r>
      <w:r w:rsidRPr="00EA66E5">
        <w:rPr>
          <w:rFonts w:hint="cs"/>
          <w:spacing w:val="0"/>
          <w:kern w:val="0"/>
          <w:rtl/>
          <w:lang w:val="en-CA"/>
        </w:rPr>
        <w:t xml:space="preserve"> </w:t>
      </w:r>
      <w:r w:rsidRPr="00EA66E5">
        <w:rPr>
          <w:spacing w:val="0"/>
          <w:kern w:val="0"/>
          <w:rtl/>
          <w:lang w:val="en-CA"/>
        </w:rPr>
        <w:t>وتكرر أن السيد سونكو ورفاقه نقلوا على متن زورق الدورية الإسبانية ولذلك كانوا تحت الولاية القضائية الإس</w:t>
      </w:r>
      <w:r w:rsidRPr="00EA66E5">
        <w:rPr>
          <w:rFonts w:hint="cs"/>
          <w:spacing w:val="0"/>
          <w:kern w:val="0"/>
          <w:rtl/>
          <w:lang w:val="en-CA"/>
        </w:rPr>
        <w:t>ب</w:t>
      </w:r>
      <w:r w:rsidRPr="00EA66E5">
        <w:rPr>
          <w:spacing w:val="0"/>
          <w:kern w:val="0"/>
          <w:rtl/>
          <w:lang w:val="en-CA"/>
        </w:rPr>
        <w:t xml:space="preserve">انية. وكان السيد سونكو بصحة جيدة عندما كان على متن الزورق. غير أن حالته كانت سيئة عندما وصل إلى الشاطئ؛ وكان </w:t>
      </w:r>
      <w:r w:rsidRPr="00EA66E5">
        <w:rPr>
          <w:rFonts w:hint="cs"/>
          <w:spacing w:val="0"/>
          <w:kern w:val="0"/>
          <w:rtl/>
          <w:lang w:val="en-CA"/>
        </w:rPr>
        <w:t>ب</w:t>
      </w:r>
      <w:r w:rsidRPr="00EA66E5">
        <w:rPr>
          <w:spacing w:val="0"/>
          <w:kern w:val="0"/>
          <w:rtl/>
          <w:lang w:val="en-CA"/>
        </w:rPr>
        <w:t>حاجة إلى مساعدة طبية وتوفي</w:t>
      </w:r>
      <w:r w:rsidRPr="00EA66E5">
        <w:rPr>
          <w:rFonts w:hint="cs"/>
          <w:spacing w:val="0"/>
          <w:kern w:val="0"/>
          <w:rtl/>
          <w:lang w:val="en-CA"/>
        </w:rPr>
        <w:t xml:space="preserve"> بعد ذلك</w:t>
      </w:r>
      <w:r w:rsidRPr="00EA66E5">
        <w:rPr>
          <w:spacing w:val="0"/>
          <w:kern w:val="0"/>
          <w:rtl/>
          <w:lang w:val="en-CA"/>
        </w:rPr>
        <w:t xml:space="preserve">. ولا يوجد شك في </w:t>
      </w:r>
      <w:r w:rsidRPr="00EA66E5">
        <w:rPr>
          <w:rFonts w:hint="cs"/>
          <w:spacing w:val="0"/>
          <w:kern w:val="0"/>
          <w:rtl/>
          <w:lang w:val="en-CA"/>
        </w:rPr>
        <w:t>وجدود علاقة سببية بين هذه الأحداث</w:t>
      </w:r>
      <w:r w:rsidRPr="00EA66E5">
        <w:rPr>
          <w:spacing w:val="0"/>
          <w:kern w:val="0"/>
          <w:rtl/>
          <w:lang w:val="en-CA"/>
        </w:rPr>
        <w:t>.</w:t>
      </w:r>
    </w:p>
    <w:p w:rsidR="00EA66E5" w:rsidRPr="00EA66E5" w:rsidRDefault="00EA66E5" w:rsidP="00EA66E5">
      <w:pPr>
        <w:pStyle w:val="SingleTxtGA"/>
        <w:jc w:val="lowKashida"/>
        <w:rPr>
          <w:rFonts w:hint="cs"/>
          <w:spacing w:val="0"/>
          <w:kern w:val="0"/>
          <w:rtl/>
          <w:lang w:val="en-CA"/>
        </w:rPr>
      </w:pPr>
      <w:r w:rsidRPr="00EA66E5">
        <w:rPr>
          <w:spacing w:val="0"/>
          <w:kern w:val="0"/>
          <w:rtl/>
          <w:lang w:val="en-CA"/>
        </w:rPr>
        <w:t>5-3</w:t>
      </w:r>
      <w:r w:rsidRPr="00EA66E5">
        <w:rPr>
          <w:spacing w:val="0"/>
          <w:kern w:val="0"/>
          <w:rtl/>
          <w:lang w:val="en-CA"/>
        </w:rPr>
        <w:tab/>
      </w:r>
      <w:r w:rsidRPr="00EA66E5">
        <w:rPr>
          <w:rFonts w:hint="cs"/>
          <w:spacing w:val="0"/>
          <w:kern w:val="0"/>
          <w:rtl/>
          <w:lang w:val="en-CA"/>
        </w:rPr>
        <w:t xml:space="preserve">وتؤكد صاحبة الشكوى أن مبدأ عدم الرد يُلزم الدولة بالإذن بقبول ملتمسي اللجوء أو بدخولهم مؤقتاً، وبإتاحة الفرصة لهم للوصول إلى إجراءات تحديد موضوعي بشأن ما إذا كانوا سيتعرضون أم لا، في حالة إعادتهم، لخطر كبير يهدد حياتهم أو لحرمانهم من حريتهم أو للتعذيب أو المعاملة اللاإنسانية أو المهينة. وتشير صاحبة الشكوى دعماً لمزاعمها إلى </w:t>
      </w:r>
      <w:r w:rsidRPr="00EA66E5">
        <w:rPr>
          <w:spacing w:val="0"/>
          <w:kern w:val="0"/>
          <w:rtl/>
          <w:lang w:val="en-CA"/>
        </w:rPr>
        <w:t xml:space="preserve">تقرير أمين المظالم المؤرخ 3 نيسان/أبريل 2009، الذي يعترض فيه على الإجراء الذي اتبعته </w:t>
      </w:r>
      <w:r w:rsidRPr="00EA66E5">
        <w:rPr>
          <w:rFonts w:hint="cs"/>
          <w:spacing w:val="0"/>
          <w:kern w:val="0"/>
          <w:rtl/>
          <w:lang w:val="en-CA"/>
        </w:rPr>
        <w:t xml:space="preserve">دائرة </w:t>
      </w:r>
      <w:r w:rsidRPr="00EA66E5">
        <w:rPr>
          <w:spacing w:val="0"/>
          <w:kern w:val="0"/>
          <w:rtl/>
          <w:lang w:val="en-CA"/>
        </w:rPr>
        <w:t>الخدمات البحرية الإقليمية في سبتة لإعادة الأشخاص إلى المغرب</w:t>
      </w:r>
      <w:r w:rsidRPr="00EA66E5">
        <w:rPr>
          <w:rFonts w:hint="cs"/>
          <w:spacing w:val="0"/>
          <w:kern w:val="0"/>
          <w:rtl/>
          <w:lang w:val="en-CA"/>
        </w:rPr>
        <w:t xml:space="preserve"> حيث</w:t>
      </w:r>
      <w:r w:rsidRPr="00EA66E5">
        <w:rPr>
          <w:spacing w:val="0"/>
          <w:kern w:val="0"/>
          <w:rtl/>
          <w:lang w:val="en-CA"/>
        </w:rPr>
        <w:t xml:space="preserve"> اعترضهم </w:t>
      </w:r>
      <w:r w:rsidRPr="00EA66E5">
        <w:rPr>
          <w:rFonts w:hint="cs"/>
          <w:spacing w:val="0"/>
          <w:kern w:val="0"/>
          <w:rtl/>
          <w:lang w:val="en-CA"/>
        </w:rPr>
        <w:t xml:space="preserve">الحرس المدني الإسباني </w:t>
      </w:r>
      <w:r w:rsidRPr="00EA66E5">
        <w:rPr>
          <w:spacing w:val="0"/>
          <w:kern w:val="0"/>
          <w:rtl/>
          <w:lang w:val="en-CA"/>
        </w:rPr>
        <w:t xml:space="preserve">في المياه المغربية بالقرب من الحدود </w:t>
      </w:r>
      <w:r w:rsidRPr="00EA66E5">
        <w:rPr>
          <w:rFonts w:hint="cs"/>
          <w:spacing w:val="0"/>
          <w:kern w:val="0"/>
          <w:rtl/>
          <w:lang w:val="en-CA"/>
        </w:rPr>
        <w:t>البحرية</w:t>
      </w:r>
      <w:r w:rsidRPr="00EA66E5">
        <w:rPr>
          <w:spacing w:val="0"/>
          <w:kern w:val="0"/>
          <w:rtl/>
          <w:lang w:val="en-CA"/>
        </w:rPr>
        <w:t xml:space="preserve"> الفاصلة بين </w:t>
      </w:r>
      <w:r w:rsidRPr="00EA66E5">
        <w:rPr>
          <w:rFonts w:hint="cs"/>
          <w:spacing w:val="0"/>
          <w:kern w:val="0"/>
          <w:rtl/>
          <w:lang w:val="en-CA"/>
        </w:rPr>
        <w:t xml:space="preserve">الإقليمين </w:t>
      </w:r>
      <w:r w:rsidRPr="00EA66E5">
        <w:rPr>
          <w:spacing w:val="0"/>
          <w:kern w:val="0"/>
          <w:rtl/>
          <w:lang w:val="en-CA"/>
        </w:rPr>
        <w:t xml:space="preserve">الإسباني والمغربي. </w:t>
      </w:r>
      <w:r w:rsidRPr="00EA66E5">
        <w:rPr>
          <w:rFonts w:hint="cs"/>
          <w:spacing w:val="0"/>
          <w:kern w:val="0"/>
          <w:rtl/>
          <w:lang w:val="en-CA"/>
        </w:rPr>
        <w:t>و</w:t>
      </w:r>
      <w:r w:rsidRPr="00EA66E5">
        <w:rPr>
          <w:spacing w:val="0"/>
          <w:kern w:val="0"/>
          <w:rtl/>
          <w:lang w:val="en-CA"/>
        </w:rPr>
        <w:t>وفق</w:t>
      </w:r>
      <w:r w:rsidRPr="00EA66E5">
        <w:rPr>
          <w:rFonts w:hint="cs"/>
          <w:spacing w:val="0"/>
          <w:kern w:val="0"/>
          <w:rtl/>
          <w:lang w:val="en-CA"/>
        </w:rPr>
        <w:t>ا</w:t>
      </w:r>
      <w:r w:rsidRPr="00EA66E5">
        <w:rPr>
          <w:spacing w:val="0"/>
          <w:kern w:val="0"/>
          <w:rtl/>
          <w:lang w:val="en-CA"/>
        </w:rPr>
        <w:t xml:space="preserve">ً لذلك التقرير، فإن العامل الفاصل ليس ما إذا كان ملتمسو اللجوء </w:t>
      </w:r>
      <w:r w:rsidRPr="00EA66E5">
        <w:rPr>
          <w:rFonts w:hint="cs"/>
          <w:spacing w:val="0"/>
          <w:kern w:val="0"/>
          <w:rtl/>
          <w:lang w:val="en-CA"/>
        </w:rPr>
        <w:t>داخل</w:t>
      </w:r>
      <w:r w:rsidRPr="00EA66E5">
        <w:rPr>
          <w:spacing w:val="0"/>
          <w:kern w:val="0"/>
          <w:rtl/>
          <w:lang w:val="en-CA"/>
        </w:rPr>
        <w:t xml:space="preserve"> الإقليم الإسباني ولكن ما إذا كانوا أو لم يكونوا تحت السيطرة الفعلية للسلطات الإسبانية؛ وإذا كانوا تحت سيطرة السلطات الإس</w:t>
      </w:r>
      <w:r w:rsidRPr="00EA66E5">
        <w:rPr>
          <w:rFonts w:hint="cs"/>
          <w:spacing w:val="0"/>
          <w:kern w:val="0"/>
          <w:rtl/>
          <w:lang w:val="en-CA"/>
        </w:rPr>
        <w:t>ب</w:t>
      </w:r>
      <w:r w:rsidRPr="00EA66E5">
        <w:rPr>
          <w:spacing w:val="0"/>
          <w:kern w:val="0"/>
          <w:rtl/>
          <w:lang w:val="en-CA"/>
        </w:rPr>
        <w:t>انية</w:t>
      </w:r>
      <w:r w:rsidRPr="00EA66E5">
        <w:rPr>
          <w:rFonts w:hint="cs"/>
          <w:spacing w:val="0"/>
          <w:kern w:val="0"/>
          <w:rtl/>
          <w:lang w:val="en-CA"/>
        </w:rPr>
        <w:t>،</w:t>
      </w:r>
      <w:r w:rsidRPr="00EA66E5">
        <w:rPr>
          <w:spacing w:val="0"/>
          <w:kern w:val="0"/>
          <w:rtl/>
          <w:lang w:val="en-CA"/>
        </w:rPr>
        <w:t xml:space="preserve"> فلا يمكن </w:t>
      </w:r>
      <w:r w:rsidRPr="00EA66E5">
        <w:rPr>
          <w:rFonts w:hint="cs"/>
          <w:spacing w:val="0"/>
          <w:kern w:val="0"/>
          <w:rtl/>
          <w:lang w:val="en-CA"/>
        </w:rPr>
        <w:t>التنصل من</w:t>
      </w:r>
      <w:r w:rsidRPr="00EA66E5">
        <w:rPr>
          <w:spacing w:val="0"/>
          <w:kern w:val="0"/>
          <w:rtl/>
          <w:lang w:val="en-CA"/>
        </w:rPr>
        <w:t xml:space="preserve"> مبدأ عدم </w:t>
      </w:r>
      <w:r w:rsidRPr="00EA66E5">
        <w:rPr>
          <w:rFonts w:hint="cs"/>
          <w:spacing w:val="0"/>
          <w:kern w:val="0"/>
          <w:rtl/>
          <w:lang w:val="en-CA"/>
        </w:rPr>
        <w:t>الرد</w:t>
      </w:r>
      <w:r w:rsidRPr="00EA66E5">
        <w:rPr>
          <w:spacing w:val="0"/>
          <w:kern w:val="0"/>
          <w:rtl/>
          <w:lang w:val="en-CA"/>
        </w:rPr>
        <w:t xml:space="preserve"> </w:t>
      </w:r>
      <w:r w:rsidRPr="00EA66E5">
        <w:rPr>
          <w:rFonts w:hint="cs"/>
          <w:spacing w:val="0"/>
          <w:kern w:val="0"/>
          <w:rtl/>
          <w:lang w:val="en-CA"/>
        </w:rPr>
        <w:t>احتجاجاً ب</w:t>
      </w:r>
      <w:r w:rsidRPr="00EA66E5">
        <w:rPr>
          <w:spacing w:val="0"/>
          <w:kern w:val="0"/>
          <w:rtl/>
          <w:lang w:val="en-CA"/>
        </w:rPr>
        <w:t>أن الإنقاذ جرى خارج المياه الإقليمية الإسبانية</w:t>
      </w:r>
      <w:r w:rsidRPr="00EA66E5">
        <w:rPr>
          <w:rFonts w:hint="cs"/>
          <w:spacing w:val="0"/>
          <w:kern w:val="0"/>
          <w:vertAlign w:val="superscript"/>
          <w:rtl/>
          <w:lang w:val="en-CA"/>
        </w:rPr>
        <w:t>(</w:t>
      </w:r>
      <w:r w:rsidRPr="00EA66E5">
        <w:rPr>
          <w:rStyle w:val="FootnoteReference"/>
          <w:spacing w:val="0"/>
          <w:rtl/>
          <w:lang w:val="en-CA"/>
        </w:rPr>
        <w:footnoteReference w:id="218"/>
      </w:r>
      <w:r w:rsidRPr="00EA66E5">
        <w:rPr>
          <w:rFonts w:hint="cs"/>
          <w:spacing w:val="0"/>
          <w:kern w:val="0"/>
          <w:vertAlign w:val="superscript"/>
          <w:rtl/>
          <w:lang w:val="en-CA"/>
        </w:rPr>
        <w:t>)</w:t>
      </w:r>
      <w:r w:rsidRPr="00EA66E5">
        <w:rPr>
          <w:rFonts w:hint="cs"/>
          <w:spacing w:val="0"/>
          <w:kern w:val="0"/>
          <w:rtl/>
          <w:lang w:val="en-CA"/>
        </w:rPr>
        <w:t>.</w:t>
      </w:r>
    </w:p>
    <w:p w:rsidR="00EA66E5" w:rsidRPr="00EA66E5" w:rsidRDefault="00EA66E5" w:rsidP="00EA66E5">
      <w:pPr>
        <w:pStyle w:val="H23GA"/>
        <w:jc w:val="lowKashida"/>
        <w:rPr>
          <w:rFonts w:hint="cs"/>
          <w:spacing w:val="0"/>
          <w:kern w:val="0"/>
          <w:rtl/>
        </w:rPr>
      </w:pPr>
      <w:r w:rsidRPr="00EA66E5">
        <w:rPr>
          <w:rFonts w:hint="cs"/>
          <w:spacing w:val="0"/>
          <w:kern w:val="0"/>
          <w:rtl/>
        </w:rPr>
        <w:tab/>
      </w:r>
      <w:r w:rsidRPr="00EA66E5">
        <w:rPr>
          <w:rFonts w:hint="cs"/>
          <w:spacing w:val="0"/>
          <w:kern w:val="0"/>
          <w:rtl/>
        </w:rPr>
        <w:tab/>
      </w:r>
      <w:r w:rsidRPr="00EA66E5">
        <w:rPr>
          <w:spacing w:val="0"/>
          <w:kern w:val="0"/>
          <w:rtl/>
        </w:rPr>
        <w:t>ملاحظات الدولة الطرف بشأن الأسس الموضوعية</w:t>
      </w:r>
    </w:p>
    <w:p w:rsidR="00EA66E5" w:rsidRPr="00EA66E5" w:rsidRDefault="00EA66E5" w:rsidP="00EA66E5">
      <w:pPr>
        <w:pStyle w:val="SingleTxtGA"/>
        <w:jc w:val="lowKashida"/>
        <w:rPr>
          <w:spacing w:val="0"/>
          <w:kern w:val="0"/>
          <w:rtl/>
          <w:lang w:val="en-CA"/>
        </w:rPr>
      </w:pPr>
      <w:r w:rsidRPr="00EA66E5">
        <w:rPr>
          <w:spacing w:val="0"/>
          <w:kern w:val="0"/>
          <w:rtl/>
          <w:lang w:val="en-CA"/>
        </w:rPr>
        <w:t>6-1</w:t>
      </w:r>
      <w:r w:rsidRPr="00EA66E5">
        <w:rPr>
          <w:spacing w:val="0"/>
          <w:kern w:val="0"/>
          <w:rtl/>
          <w:lang w:val="en-CA"/>
        </w:rPr>
        <w:tab/>
        <w:t>قدمت الدولة الطرف ملاحظاتها بشأن الأسس الموضوعية لهذه الشكوى في 15 حزيران/يونيه 2009</w:t>
      </w:r>
      <w:r w:rsidRPr="00EA66E5">
        <w:rPr>
          <w:rFonts w:hint="cs"/>
          <w:spacing w:val="0"/>
          <w:kern w:val="0"/>
          <w:rtl/>
          <w:lang w:val="en-CA"/>
        </w:rPr>
        <w:t>.</w:t>
      </w:r>
    </w:p>
    <w:p w:rsidR="00EA66E5" w:rsidRPr="00EA66E5" w:rsidRDefault="00EA66E5" w:rsidP="00EA66E5">
      <w:pPr>
        <w:pStyle w:val="SingleTxtGA"/>
        <w:jc w:val="lowKashida"/>
        <w:rPr>
          <w:spacing w:val="0"/>
          <w:kern w:val="0"/>
          <w:rtl/>
          <w:lang w:val="en-CA"/>
        </w:rPr>
      </w:pPr>
      <w:r w:rsidRPr="00EA66E5">
        <w:rPr>
          <w:spacing w:val="0"/>
          <w:kern w:val="0"/>
          <w:rtl/>
          <w:lang w:val="en-CA"/>
        </w:rPr>
        <w:t>6-2</w:t>
      </w:r>
      <w:r w:rsidRPr="00EA66E5">
        <w:rPr>
          <w:spacing w:val="0"/>
          <w:kern w:val="0"/>
          <w:rtl/>
          <w:lang w:val="en-CA"/>
        </w:rPr>
        <w:tab/>
        <w:t>وتكرر الدولة الطرف أن الأحداث التي أشارت إليها صاحبة الشكوى</w:t>
      </w:r>
      <w:r w:rsidRPr="00EA66E5">
        <w:rPr>
          <w:rFonts w:hint="cs"/>
          <w:spacing w:val="0"/>
          <w:kern w:val="0"/>
          <w:rtl/>
          <w:lang w:val="en-CA"/>
        </w:rPr>
        <w:t xml:space="preserve"> هي حالياً</w:t>
      </w:r>
      <w:r w:rsidRPr="00EA66E5">
        <w:rPr>
          <w:spacing w:val="0"/>
          <w:kern w:val="0"/>
          <w:rtl/>
          <w:lang w:val="en-CA"/>
        </w:rPr>
        <w:t xml:space="preserve"> قيد تحقيق السلطات الإسبانية وتحديداً محكمة </w:t>
      </w:r>
      <w:r w:rsidRPr="00EA66E5">
        <w:rPr>
          <w:rFonts w:hint="cs"/>
          <w:spacing w:val="0"/>
          <w:kern w:val="0"/>
          <w:rtl/>
          <w:lang w:val="en-CA"/>
        </w:rPr>
        <w:t xml:space="preserve">التحقيق </w:t>
      </w:r>
      <w:r w:rsidRPr="00EA66E5">
        <w:rPr>
          <w:spacing w:val="0"/>
          <w:kern w:val="0"/>
          <w:rtl/>
          <w:lang w:val="en-CA"/>
        </w:rPr>
        <w:t>رقم 1 في سبتة</w:t>
      </w:r>
      <w:r w:rsidRPr="00EA66E5">
        <w:rPr>
          <w:rFonts w:hint="cs"/>
          <w:spacing w:val="0"/>
          <w:kern w:val="0"/>
          <w:rtl/>
          <w:lang w:val="en-CA"/>
        </w:rPr>
        <w:t>،</w:t>
      </w:r>
      <w:r w:rsidRPr="00EA66E5">
        <w:rPr>
          <w:spacing w:val="0"/>
          <w:kern w:val="0"/>
          <w:rtl/>
          <w:lang w:val="en-CA"/>
        </w:rPr>
        <w:t xml:space="preserve"> </w:t>
      </w:r>
      <w:r w:rsidRPr="00EA66E5">
        <w:rPr>
          <w:rFonts w:hint="cs"/>
          <w:spacing w:val="0"/>
          <w:kern w:val="0"/>
          <w:rtl/>
          <w:lang w:val="en-CA"/>
        </w:rPr>
        <w:t xml:space="preserve">ومن ثم </w:t>
      </w:r>
      <w:r w:rsidRPr="00EA66E5">
        <w:rPr>
          <w:spacing w:val="0"/>
          <w:kern w:val="0"/>
          <w:rtl/>
          <w:lang w:val="en-CA"/>
        </w:rPr>
        <w:t xml:space="preserve">ينطبق </w:t>
      </w:r>
      <w:r w:rsidRPr="00EA66E5">
        <w:rPr>
          <w:rFonts w:hint="cs"/>
          <w:spacing w:val="0"/>
          <w:kern w:val="0"/>
          <w:rtl/>
          <w:lang w:val="en-CA"/>
        </w:rPr>
        <w:t xml:space="preserve">السبب في الانتهاء </w:t>
      </w:r>
      <w:r w:rsidRPr="00EA66E5">
        <w:rPr>
          <w:spacing w:val="0"/>
          <w:kern w:val="0"/>
          <w:rtl/>
          <w:lang w:val="en-CA"/>
        </w:rPr>
        <w:t xml:space="preserve">إلى أن الشكوى غير مقبولة على النحو المنصوص عليه في الفقرة 5(ب) من المادة 22 من الاتفاقية. وتشير </w:t>
      </w:r>
      <w:r w:rsidRPr="00EA66E5">
        <w:rPr>
          <w:rFonts w:hint="cs"/>
          <w:spacing w:val="0"/>
          <w:kern w:val="0"/>
          <w:rtl/>
          <w:lang w:val="en-CA"/>
        </w:rPr>
        <w:t xml:space="preserve">الدولة الطرف </w:t>
      </w:r>
      <w:r w:rsidRPr="00EA66E5">
        <w:rPr>
          <w:spacing w:val="0"/>
          <w:kern w:val="0"/>
          <w:rtl/>
          <w:lang w:val="en-CA"/>
        </w:rPr>
        <w:t>أيضاً إلى أنه كان بإمكان أ</w:t>
      </w:r>
      <w:r w:rsidRPr="00EA66E5">
        <w:rPr>
          <w:rFonts w:hint="cs"/>
          <w:spacing w:val="0"/>
          <w:kern w:val="0"/>
          <w:rtl/>
          <w:lang w:val="en-CA"/>
        </w:rPr>
        <w:t>فراد</w:t>
      </w:r>
      <w:r w:rsidRPr="00EA66E5">
        <w:rPr>
          <w:spacing w:val="0"/>
          <w:kern w:val="0"/>
          <w:rtl/>
          <w:lang w:val="en-CA"/>
        </w:rPr>
        <w:t xml:space="preserve"> الأسرة </w:t>
      </w:r>
      <w:r w:rsidRPr="00EA66E5">
        <w:rPr>
          <w:rFonts w:hint="cs"/>
          <w:spacing w:val="0"/>
          <w:kern w:val="0"/>
          <w:rtl/>
          <w:lang w:val="en-CA"/>
        </w:rPr>
        <w:t xml:space="preserve">المشاركة </w:t>
      </w:r>
      <w:r w:rsidRPr="00EA66E5">
        <w:rPr>
          <w:spacing w:val="0"/>
          <w:kern w:val="0"/>
          <w:rtl/>
          <w:lang w:val="en-CA"/>
        </w:rPr>
        <w:t xml:space="preserve">كأطراف في </w:t>
      </w:r>
      <w:r w:rsidRPr="00EA66E5">
        <w:rPr>
          <w:rFonts w:hint="cs"/>
          <w:spacing w:val="0"/>
          <w:kern w:val="0"/>
          <w:rtl/>
          <w:lang w:val="en-CA"/>
        </w:rPr>
        <w:t>الإجراءات</w:t>
      </w:r>
      <w:r w:rsidRPr="00EA66E5">
        <w:rPr>
          <w:spacing w:val="0"/>
          <w:kern w:val="0"/>
          <w:rtl/>
          <w:lang w:val="en-CA"/>
        </w:rPr>
        <w:t xml:space="preserve"> القضائية ولكنهم لم </w:t>
      </w:r>
      <w:r w:rsidRPr="00EA66E5">
        <w:rPr>
          <w:rFonts w:hint="cs"/>
          <w:spacing w:val="0"/>
          <w:kern w:val="0"/>
          <w:rtl/>
          <w:lang w:val="en-CA"/>
        </w:rPr>
        <w:t>يفعلوا</w:t>
      </w:r>
      <w:r w:rsidRPr="00EA66E5">
        <w:rPr>
          <w:spacing w:val="0"/>
          <w:kern w:val="0"/>
          <w:rtl/>
          <w:lang w:val="en-CA"/>
        </w:rPr>
        <w:t xml:space="preserve"> ذلك.</w:t>
      </w:r>
    </w:p>
    <w:p w:rsidR="00EA66E5" w:rsidRPr="00EA66E5" w:rsidRDefault="00EA66E5" w:rsidP="00EA66E5">
      <w:pPr>
        <w:pStyle w:val="SingleTxtGA"/>
        <w:jc w:val="lowKashida"/>
        <w:rPr>
          <w:rFonts w:hint="cs"/>
          <w:spacing w:val="0"/>
          <w:kern w:val="0"/>
          <w:rtl/>
          <w:lang w:val="en-CA"/>
        </w:rPr>
      </w:pPr>
      <w:r w:rsidRPr="00EA66E5">
        <w:rPr>
          <w:spacing w:val="0"/>
          <w:kern w:val="0"/>
          <w:rtl/>
          <w:lang w:val="en-CA"/>
        </w:rPr>
        <w:t>6-3</w:t>
      </w:r>
      <w:r w:rsidRPr="00EA66E5">
        <w:rPr>
          <w:spacing w:val="0"/>
          <w:kern w:val="0"/>
          <w:rtl/>
          <w:lang w:val="en-CA"/>
        </w:rPr>
        <w:tab/>
        <w:t xml:space="preserve">وقدمت الدولة الطرف نسخة من سجل التحقيق الأولي رقم 1135/2007 الذي </w:t>
      </w:r>
      <w:r w:rsidRPr="00EA66E5">
        <w:rPr>
          <w:rFonts w:hint="cs"/>
          <w:spacing w:val="0"/>
          <w:kern w:val="0"/>
          <w:rtl/>
          <w:lang w:val="en-CA"/>
        </w:rPr>
        <w:t>يشير</w:t>
      </w:r>
      <w:r w:rsidRPr="00EA66E5">
        <w:rPr>
          <w:spacing w:val="0"/>
          <w:kern w:val="0"/>
          <w:rtl/>
          <w:lang w:val="en-CA"/>
        </w:rPr>
        <w:t xml:space="preserve"> في جزء منه</w:t>
      </w:r>
      <w:r w:rsidRPr="00EA66E5">
        <w:rPr>
          <w:rFonts w:hint="cs"/>
          <w:spacing w:val="0"/>
          <w:kern w:val="0"/>
          <w:rtl/>
          <w:lang w:val="en-CA"/>
        </w:rPr>
        <w:t xml:space="preserve"> إلى ما يلي</w:t>
      </w:r>
      <w:r w:rsidRPr="00EA66E5">
        <w:rPr>
          <w:spacing w:val="0"/>
          <w:kern w:val="0"/>
          <w:rtl/>
          <w:lang w:val="en-CA"/>
        </w:rPr>
        <w:t>:</w:t>
      </w:r>
    </w:p>
    <w:p w:rsidR="00EA66E5" w:rsidRPr="00EA66E5" w:rsidRDefault="00EA66E5" w:rsidP="00DA4ADA">
      <w:pPr>
        <w:pStyle w:val="Bullet1GA"/>
        <w:numPr>
          <w:ilvl w:val="0"/>
          <w:numId w:val="0"/>
        </w:numPr>
        <w:tabs>
          <w:tab w:val="left" w:pos="2438"/>
        </w:tabs>
        <w:bidi/>
        <w:ind w:left="1928"/>
        <w:jc w:val="lowKashida"/>
        <w:rPr>
          <w:rFonts w:hint="cs"/>
          <w:spacing w:val="0"/>
          <w:kern w:val="0"/>
          <w:rtl/>
          <w:lang w:val="en-CA"/>
        </w:rPr>
      </w:pPr>
      <w:r w:rsidRPr="00EA66E5">
        <w:rPr>
          <w:rFonts w:hint="cs"/>
          <w:spacing w:val="0"/>
          <w:kern w:val="0"/>
          <w:rtl/>
          <w:lang w:val="en-CA"/>
        </w:rPr>
        <w:t>1-</w:t>
      </w:r>
      <w:r w:rsidRPr="00EA66E5">
        <w:rPr>
          <w:rFonts w:hint="cs"/>
          <w:spacing w:val="0"/>
          <w:kern w:val="0"/>
          <w:rtl/>
          <w:lang w:val="en-CA"/>
        </w:rPr>
        <w:tab/>
      </w:r>
      <w:r w:rsidRPr="00EA66E5">
        <w:rPr>
          <w:spacing w:val="0"/>
          <w:kern w:val="0"/>
          <w:rtl/>
          <w:lang w:val="en-CA"/>
        </w:rPr>
        <w:t xml:space="preserve">في 28 أيلول/سبتمبر 2007، فتحت محكمة </w:t>
      </w:r>
      <w:r w:rsidRPr="00EA66E5">
        <w:rPr>
          <w:rFonts w:hint="cs"/>
          <w:spacing w:val="0"/>
          <w:kern w:val="0"/>
          <w:rtl/>
          <w:lang w:val="en-CA"/>
        </w:rPr>
        <w:t>التحقيق</w:t>
      </w:r>
      <w:r w:rsidRPr="00EA66E5">
        <w:rPr>
          <w:spacing w:val="0"/>
          <w:kern w:val="0"/>
          <w:rtl/>
          <w:lang w:val="en-CA"/>
        </w:rPr>
        <w:t xml:space="preserve"> رقم 1 في سبتة تحقيقاً للتأكد من الوقائع. </w:t>
      </w:r>
      <w:r w:rsidRPr="00EA66E5">
        <w:rPr>
          <w:rFonts w:hint="cs"/>
          <w:spacing w:val="0"/>
          <w:kern w:val="0"/>
          <w:rtl/>
          <w:lang w:val="en-CA"/>
        </w:rPr>
        <w:t>و</w:t>
      </w:r>
      <w:r w:rsidRPr="00EA66E5">
        <w:rPr>
          <w:spacing w:val="0"/>
          <w:kern w:val="0"/>
          <w:rtl/>
          <w:lang w:val="en-CA"/>
        </w:rPr>
        <w:t>قرر القاضي</w:t>
      </w:r>
      <w:r w:rsidRPr="00EA66E5">
        <w:rPr>
          <w:rFonts w:hint="cs"/>
          <w:spacing w:val="0"/>
          <w:kern w:val="0"/>
          <w:rtl/>
          <w:lang w:val="en-CA"/>
        </w:rPr>
        <w:t xml:space="preserve"> في اليوم نفسه،</w:t>
      </w:r>
      <w:r w:rsidRPr="00EA66E5">
        <w:rPr>
          <w:spacing w:val="0"/>
          <w:kern w:val="0"/>
          <w:rtl/>
          <w:lang w:val="en-CA"/>
        </w:rPr>
        <w:t xml:space="preserve"> على أساس الأدلة، </w:t>
      </w:r>
      <w:r w:rsidRPr="00EA66E5">
        <w:rPr>
          <w:rFonts w:hint="cs"/>
          <w:spacing w:val="0"/>
          <w:kern w:val="0"/>
          <w:rtl/>
          <w:lang w:val="en-CA"/>
        </w:rPr>
        <w:t>رفض الدعوى</w:t>
      </w:r>
      <w:r w:rsidRPr="00EA66E5">
        <w:rPr>
          <w:spacing w:val="0"/>
          <w:kern w:val="0"/>
          <w:rtl/>
          <w:lang w:val="en-CA"/>
        </w:rPr>
        <w:t xml:space="preserve"> وغلق </w:t>
      </w:r>
      <w:r w:rsidRPr="00EA66E5">
        <w:rPr>
          <w:rFonts w:hint="cs"/>
          <w:spacing w:val="0"/>
          <w:kern w:val="0"/>
          <w:rtl/>
          <w:lang w:val="en-CA"/>
        </w:rPr>
        <w:t xml:space="preserve">ملف </w:t>
      </w:r>
      <w:r w:rsidRPr="00EA66E5">
        <w:rPr>
          <w:spacing w:val="0"/>
          <w:kern w:val="0"/>
          <w:rtl/>
          <w:lang w:val="en-CA"/>
        </w:rPr>
        <w:t xml:space="preserve">القضية لأن الأحداث المشار إليها لم تقع في الإقليم الإسباني والأفعال المشار إليها غير معرفة كجرائم </w:t>
      </w:r>
      <w:r w:rsidRPr="00EA66E5">
        <w:rPr>
          <w:rFonts w:hint="cs"/>
          <w:spacing w:val="0"/>
          <w:kern w:val="0"/>
          <w:rtl/>
          <w:lang w:val="en-CA"/>
        </w:rPr>
        <w:t>في القانون ال</w:t>
      </w:r>
      <w:r w:rsidRPr="00EA66E5">
        <w:rPr>
          <w:spacing w:val="0"/>
          <w:kern w:val="0"/>
          <w:rtl/>
          <w:lang w:val="en-CA"/>
        </w:rPr>
        <w:t xml:space="preserve">جنائي. كما أمرت المحكمة بأخذ عينات من الجثة لأغراض تحديد </w:t>
      </w:r>
      <w:r w:rsidRPr="00EA66E5">
        <w:rPr>
          <w:rFonts w:hint="cs"/>
          <w:spacing w:val="0"/>
          <w:kern w:val="0"/>
          <w:rtl/>
          <w:lang w:val="en-CA"/>
        </w:rPr>
        <w:t>الهوية الوراثي</w:t>
      </w:r>
      <w:r w:rsidRPr="00EA66E5">
        <w:rPr>
          <w:spacing w:val="0"/>
          <w:kern w:val="0"/>
          <w:rtl/>
          <w:lang w:val="en-CA"/>
        </w:rPr>
        <w:t xml:space="preserve"> وقرر</w:t>
      </w:r>
      <w:r w:rsidRPr="00EA66E5">
        <w:rPr>
          <w:rFonts w:hint="cs"/>
          <w:spacing w:val="0"/>
          <w:kern w:val="0"/>
          <w:rtl/>
          <w:lang w:val="en-CA"/>
        </w:rPr>
        <w:t>ت</w:t>
      </w:r>
      <w:r w:rsidRPr="00EA66E5">
        <w:rPr>
          <w:spacing w:val="0"/>
          <w:kern w:val="0"/>
          <w:rtl/>
          <w:lang w:val="en-CA"/>
        </w:rPr>
        <w:t xml:space="preserve"> إحالة </w:t>
      </w:r>
      <w:r w:rsidRPr="00EA66E5">
        <w:rPr>
          <w:rFonts w:hint="cs"/>
          <w:spacing w:val="0"/>
          <w:kern w:val="0"/>
          <w:rtl/>
          <w:lang w:val="en-CA"/>
        </w:rPr>
        <w:t>الإجراءات</w:t>
      </w:r>
      <w:r w:rsidRPr="00EA66E5">
        <w:rPr>
          <w:spacing w:val="0"/>
          <w:kern w:val="0"/>
          <w:rtl/>
          <w:lang w:val="en-CA"/>
        </w:rPr>
        <w:t xml:space="preserve"> إلى </w:t>
      </w:r>
      <w:r w:rsidRPr="00EA66E5">
        <w:rPr>
          <w:rFonts w:hint="cs"/>
          <w:spacing w:val="0"/>
          <w:kern w:val="0"/>
          <w:rtl/>
          <w:lang w:val="en-CA"/>
        </w:rPr>
        <w:t>دائرة</w:t>
      </w:r>
      <w:r w:rsidRPr="00EA66E5">
        <w:rPr>
          <w:spacing w:val="0"/>
          <w:kern w:val="0"/>
          <w:rtl/>
          <w:lang w:val="en-CA"/>
        </w:rPr>
        <w:t xml:space="preserve"> الادعاء</w:t>
      </w:r>
      <w:r w:rsidR="00DA4ADA">
        <w:rPr>
          <w:rFonts w:hint="cs"/>
          <w:spacing w:val="0"/>
          <w:kern w:val="0"/>
          <w:rtl/>
          <w:lang w:val="en-CA"/>
        </w:rPr>
        <w:t> </w:t>
      </w:r>
      <w:r w:rsidRPr="00EA66E5">
        <w:rPr>
          <w:spacing w:val="0"/>
          <w:kern w:val="0"/>
          <w:rtl/>
          <w:lang w:val="en-CA"/>
        </w:rPr>
        <w:t>العام.</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2-</w:t>
      </w:r>
      <w:r w:rsidRPr="00EA66E5">
        <w:rPr>
          <w:rFonts w:hint="cs"/>
          <w:spacing w:val="0"/>
          <w:kern w:val="0"/>
          <w:rtl/>
          <w:lang w:val="en-CA"/>
        </w:rPr>
        <w:tab/>
        <w:t>و</w:t>
      </w:r>
      <w:r w:rsidRPr="00EA66E5">
        <w:rPr>
          <w:spacing w:val="0"/>
          <w:kern w:val="0"/>
          <w:rtl/>
          <w:lang w:val="en-CA"/>
        </w:rPr>
        <w:t>في 11 كانون الثاني/يناير</w:t>
      </w:r>
      <w:r w:rsidRPr="00EA66E5">
        <w:rPr>
          <w:rFonts w:hint="cs"/>
          <w:spacing w:val="0"/>
          <w:kern w:val="0"/>
          <w:rtl/>
          <w:lang w:val="en-CA"/>
        </w:rPr>
        <w:t xml:space="preserve"> 2008</w:t>
      </w:r>
      <w:r w:rsidRPr="00EA66E5">
        <w:rPr>
          <w:spacing w:val="0"/>
          <w:kern w:val="0"/>
          <w:rtl/>
          <w:lang w:val="en-CA"/>
        </w:rPr>
        <w:t xml:space="preserve">، طلب مكتب النائب العام أن تعيد محكمة </w:t>
      </w:r>
      <w:r w:rsidRPr="00EA66E5">
        <w:rPr>
          <w:rFonts w:hint="cs"/>
          <w:spacing w:val="0"/>
          <w:kern w:val="0"/>
          <w:rtl/>
          <w:lang w:val="en-CA"/>
        </w:rPr>
        <w:t>التحقيق</w:t>
      </w:r>
      <w:r w:rsidRPr="00EA66E5">
        <w:rPr>
          <w:spacing w:val="0"/>
          <w:kern w:val="0"/>
          <w:rtl/>
          <w:lang w:val="en-CA"/>
        </w:rPr>
        <w:t xml:space="preserve"> رقم 1 في سبتة فتح القضية في ضوء المعلومات الجديدة التي تشير إلى أن الأحداث </w:t>
      </w:r>
      <w:r w:rsidRPr="00EA66E5">
        <w:rPr>
          <w:rFonts w:hint="cs"/>
          <w:spacing w:val="0"/>
          <w:kern w:val="0"/>
          <w:rtl/>
          <w:lang w:val="en-CA"/>
        </w:rPr>
        <w:t>المذكورة</w:t>
      </w:r>
      <w:r w:rsidRPr="00EA66E5">
        <w:rPr>
          <w:spacing w:val="0"/>
          <w:kern w:val="0"/>
          <w:rtl/>
          <w:lang w:val="en-CA"/>
        </w:rPr>
        <w:t xml:space="preserve"> وقعت على متن سفينة ترفع العلم الإسباني، مما يجعل </w:t>
      </w:r>
      <w:r w:rsidRPr="00EA66E5">
        <w:rPr>
          <w:rFonts w:hint="cs"/>
          <w:spacing w:val="0"/>
          <w:kern w:val="0"/>
          <w:rtl/>
          <w:lang w:val="en-CA"/>
        </w:rPr>
        <w:t>المحاكم</w:t>
      </w:r>
      <w:r w:rsidRPr="00EA66E5">
        <w:rPr>
          <w:spacing w:val="0"/>
          <w:kern w:val="0"/>
          <w:rtl/>
          <w:lang w:val="en-CA"/>
        </w:rPr>
        <w:t xml:space="preserve"> الإسبانية مختصة </w:t>
      </w:r>
      <w:r w:rsidRPr="00EA66E5">
        <w:rPr>
          <w:rFonts w:hint="cs"/>
          <w:spacing w:val="0"/>
          <w:kern w:val="0"/>
          <w:rtl/>
          <w:lang w:val="en-CA"/>
        </w:rPr>
        <w:t>بال</w:t>
      </w:r>
      <w:r w:rsidRPr="00EA66E5">
        <w:rPr>
          <w:spacing w:val="0"/>
          <w:kern w:val="0"/>
          <w:rtl/>
          <w:lang w:val="en-CA"/>
        </w:rPr>
        <w:t xml:space="preserve">نظر في القضية. ووجد النائب العام أن التحقيق الأولي كشف عن علامات تفيد </w:t>
      </w:r>
      <w:r w:rsidRPr="00EA66E5">
        <w:rPr>
          <w:rFonts w:hint="cs"/>
          <w:spacing w:val="0"/>
          <w:kern w:val="0"/>
          <w:rtl/>
          <w:lang w:val="en-CA"/>
        </w:rPr>
        <w:t>عن ارتكاب</w:t>
      </w:r>
      <w:r w:rsidRPr="00EA66E5">
        <w:rPr>
          <w:spacing w:val="0"/>
          <w:kern w:val="0"/>
          <w:rtl/>
          <w:lang w:val="en-CA"/>
        </w:rPr>
        <w:t xml:space="preserve"> </w:t>
      </w:r>
      <w:r w:rsidRPr="00EA66E5">
        <w:rPr>
          <w:rFonts w:hint="cs"/>
          <w:spacing w:val="0"/>
          <w:kern w:val="0"/>
          <w:rtl/>
          <w:lang w:val="en-CA"/>
        </w:rPr>
        <w:t>جريمة جنائية</w:t>
      </w:r>
      <w:r w:rsidRPr="00EA66E5">
        <w:rPr>
          <w:spacing w:val="0"/>
          <w:kern w:val="0"/>
          <w:rtl/>
          <w:lang w:val="en-CA"/>
        </w:rPr>
        <w:t>، نظرا</w:t>
      </w:r>
      <w:r w:rsidRPr="00EA66E5">
        <w:rPr>
          <w:rFonts w:hint="cs"/>
          <w:spacing w:val="0"/>
          <w:kern w:val="0"/>
          <w:rtl/>
          <w:lang w:val="en-CA"/>
        </w:rPr>
        <w:t>ً</w:t>
      </w:r>
      <w:r w:rsidRPr="00EA66E5">
        <w:rPr>
          <w:spacing w:val="0"/>
          <w:kern w:val="0"/>
          <w:rtl/>
          <w:lang w:val="en-CA"/>
        </w:rPr>
        <w:t xml:space="preserve"> لأن السيد سونكو توفي أثناء </w:t>
      </w:r>
      <w:r w:rsidRPr="00EA66E5">
        <w:rPr>
          <w:rFonts w:hint="cs"/>
          <w:spacing w:val="0"/>
          <w:kern w:val="0"/>
          <w:rtl/>
          <w:lang w:val="en-CA"/>
        </w:rPr>
        <w:t>احتجاز ا</w:t>
      </w:r>
      <w:r w:rsidRPr="00EA66E5">
        <w:rPr>
          <w:spacing w:val="0"/>
          <w:kern w:val="0"/>
          <w:rtl/>
          <w:lang w:val="en-CA"/>
        </w:rPr>
        <w:t>لحرس المدني</w:t>
      </w:r>
      <w:r w:rsidRPr="00EA66E5">
        <w:rPr>
          <w:rFonts w:hint="cs"/>
          <w:spacing w:val="0"/>
          <w:kern w:val="0"/>
          <w:rtl/>
          <w:lang w:val="en-CA"/>
        </w:rPr>
        <w:t xml:space="preserve"> له</w:t>
      </w:r>
      <w:r w:rsidRPr="00EA66E5">
        <w:rPr>
          <w:spacing w:val="0"/>
          <w:kern w:val="0"/>
          <w:rtl/>
          <w:lang w:val="en-CA"/>
        </w:rPr>
        <w:t>، مما يعني أن ضا</w:t>
      </w:r>
      <w:r w:rsidRPr="00EA66E5">
        <w:rPr>
          <w:rFonts w:hint="cs"/>
          <w:spacing w:val="0"/>
          <w:kern w:val="0"/>
          <w:rtl/>
          <w:lang w:val="en-CA"/>
        </w:rPr>
        <w:t>ب</w:t>
      </w:r>
      <w:r w:rsidRPr="00EA66E5">
        <w:rPr>
          <w:spacing w:val="0"/>
          <w:kern w:val="0"/>
          <w:rtl/>
          <w:lang w:val="en-CA"/>
        </w:rPr>
        <w:t>ط</w:t>
      </w:r>
      <w:r w:rsidRPr="00EA66E5">
        <w:rPr>
          <w:rFonts w:hint="cs"/>
          <w:spacing w:val="0"/>
          <w:kern w:val="0"/>
          <w:rtl/>
          <w:lang w:val="en-CA"/>
        </w:rPr>
        <w:t>ي</w:t>
      </w:r>
      <w:r w:rsidRPr="00EA66E5">
        <w:rPr>
          <w:spacing w:val="0"/>
          <w:kern w:val="0"/>
          <w:rtl/>
          <w:lang w:val="en-CA"/>
        </w:rPr>
        <w:t xml:space="preserve"> الحرس المدني كانا مسؤولين عن حماية حياته وضمان سلامته.</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3-</w:t>
      </w:r>
      <w:r w:rsidRPr="00EA66E5">
        <w:rPr>
          <w:rFonts w:hint="cs"/>
          <w:spacing w:val="0"/>
          <w:kern w:val="0"/>
          <w:rtl/>
          <w:lang w:val="en-CA"/>
        </w:rPr>
        <w:tab/>
        <w:t>و</w:t>
      </w:r>
      <w:r w:rsidRPr="00EA66E5">
        <w:rPr>
          <w:spacing w:val="0"/>
          <w:kern w:val="0"/>
          <w:rtl/>
          <w:lang w:val="en-CA"/>
        </w:rPr>
        <w:t xml:space="preserve">في 7 شباط/فبراير 2008، أعادت محكمة </w:t>
      </w:r>
      <w:r w:rsidRPr="00EA66E5">
        <w:rPr>
          <w:rFonts w:hint="cs"/>
          <w:spacing w:val="0"/>
          <w:kern w:val="0"/>
          <w:rtl/>
          <w:lang w:val="en-CA"/>
        </w:rPr>
        <w:t>التحقيق</w:t>
      </w:r>
      <w:r w:rsidRPr="00EA66E5">
        <w:rPr>
          <w:spacing w:val="0"/>
          <w:kern w:val="0"/>
          <w:rtl/>
          <w:lang w:val="en-CA"/>
        </w:rPr>
        <w:t xml:space="preserve"> رقم 1 في سبتة فتح التحقيق وأم</w:t>
      </w:r>
      <w:r w:rsidRPr="00EA66E5">
        <w:rPr>
          <w:rFonts w:hint="cs"/>
          <w:spacing w:val="0"/>
          <w:kern w:val="0"/>
          <w:rtl/>
          <w:lang w:val="en-CA"/>
        </w:rPr>
        <w:t>ر</w:t>
      </w:r>
      <w:r w:rsidRPr="00EA66E5">
        <w:rPr>
          <w:spacing w:val="0"/>
          <w:kern w:val="0"/>
          <w:rtl/>
          <w:lang w:val="en-CA"/>
        </w:rPr>
        <w:t xml:space="preserve">ت </w:t>
      </w:r>
      <w:r w:rsidRPr="00EA66E5">
        <w:rPr>
          <w:rFonts w:hint="cs"/>
          <w:spacing w:val="0"/>
          <w:kern w:val="0"/>
          <w:rtl/>
          <w:lang w:val="en-CA"/>
        </w:rPr>
        <w:t>بأخذ أقوال</w:t>
      </w:r>
      <w:r w:rsidRPr="00EA66E5">
        <w:rPr>
          <w:spacing w:val="0"/>
          <w:kern w:val="0"/>
          <w:rtl/>
          <w:lang w:val="en-CA"/>
        </w:rPr>
        <w:t xml:space="preserve"> ضباط الحرس المدني</w:t>
      </w:r>
      <w:r w:rsidRPr="00EA66E5">
        <w:rPr>
          <w:rFonts w:hint="cs"/>
          <w:spacing w:val="0"/>
          <w:kern w:val="0"/>
          <w:rtl/>
          <w:lang w:val="en-CA"/>
        </w:rPr>
        <w:t xml:space="preserve"> الثلاثة</w:t>
      </w:r>
      <w:r w:rsidRPr="00EA66E5">
        <w:rPr>
          <w:spacing w:val="0"/>
          <w:kern w:val="0"/>
          <w:rtl/>
          <w:lang w:val="en-CA"/>
        </w:rPr>
        <w:t xml:space="preserve"> </w:t>
      </w:r>
      <w:r w:rsidRPr="00EA66E5">
        <w:rPr>
          <w:rFonts w:hint="cs"/>
          <w:spacing w:val="0"/>
          <w:kern w:val="0"/>
          <w:rtl/>
          <w:lang w:val="en-CA"/>
        </w:rPr>
        <w:t>المشتبه فيهم</w:t>
      </w:r>
      <w:r w:rsidRPr="00EA66E5">
        <w:rPr>
          <w:spacing w:val="0"/>
          <w:kern w:val="0"/>
          <w:rtl/>
          <w:lang w:val="en-CA"/>
        </w:rPr>
        <w:t xml:space="preserve"> </w:t>
      </w:r>
      <w:r w:rsidRPr="00EA66E5">
        <w:rPr>
          <w:rFonts w:hint="cs"/>
          <w:spacing w:val="0"/>
          <w:kern w:val="0"/>
          <w:rtl/>
          <w:lang w:val="en-CA"/>
        </w:rPr>
        <w:t xml:space="preserve">وأحد </w:t>
      </w:r>
      <w:r w:rsidRPr="00EA66E5">
        <w:rPr>
          <w:spacing w:val="0"/>
          <w:kern w:val="0"/>
          <w:rtl/>
          <w:lang w:val="en-CA"/>
        </w:rPr>
        <w:t>أعضاء الحرس المدني كشاهد</w:t>
      </w:r>
      <w:r w:rsidRPr="00EA66E5">
        <w:rPr>
          <w:rFonts w:hint="cs"/>
          <w:spacing w:val="0"/>
          <w:kern w:val="0"/>
          <w:rtl/>
          <w:lang w:val="en-CA"/>
        </w:rPr>
        <w:t>،</w:t>
      </w:r>
      <w:r w:rsidRPr="00EA66E5">
        <w:rPr>
          <w:spacing w:val="0"/>
          <w:kern w:val="0"/>
          <w:rtl/>
          <w:lang w:val="en-CA"/>
        </w:rPr>
        <w:t xml:space="preserve"> والسيد لوسيرغا (أحد أعضاء مكتب الفرع الجنوبي للجنة الإسبانية لمساعدة اللاجئين)، كشاهد أيضاً. </w:t>
      </w:r>
      <w:r w:rsidRPr="00EA66E5">
        <w:rPr>
          <w:rFonts w:hint="cs"/>
          <w:spacing w:val="0"/>
          <w:kern w:val="0"/>
          <w:rtl/>
          <w:lang w:val="en-CA"/>
        </w:rPr>
        <w:t xml:space="preserve">كما أُخذت أقوال </w:t>
      </w:r>
      <w:r w:rsidRPr="00EA66E5">
        <w:rPr>
          <w:spacing w:val="0"/>
          <w:kern w:val="0"/>
          <w:rtl/>
          <w:lang w:val="en-CA"/>
        </w:rPr>
        <w:t>ضباط الحرس المدني الثلاثة المشتبه فيهم في 15 نيسان/أبريل 2008؛ و</w:t>
      </w:r>
      <w:r w:rsidRPr="00EA66E5">
        <w:rPr>
          <w:rFonts w:hint="cs"/>
          <w:spacing w:val="0"/>
          <w:kern w:val="0"/>
          <w:rtl/>
          <w:lang w:val="en-CA"/>
        </w:rPr>
        <w:t xml:space="preserve">أقوال </w:t>
      </w:r>
      <w:r w:rsidRPr="00EA66E5">
        <w:rPr>
          <w:spacing w:val="0"/>
          <w:kern w:val="0"/>
          <w:rtl/>
          <w:lang w:val="en-CA"/>
        </w:rPr>
        <w:t>عضو الحرس المدني كشاهد في 13 آذار/مارس 2008؛ و</w:t>
      </w:r>
      <w:r w:rsidRPr="00EA66E5">
        <w:rPr>
          <w:rFonts w:hint="cs"/>
          <w:spacing w:val="0"/>
          <w:kern w:val="0"/>
          <w:rtl/>
          <w:lang w:val="en-CA"/>
        </w:rPr>
        <w:t xml:space="preserve">أقوال </w:t>
      </w:r>
      <w:r w:rsidRPr="00EA66E5">
        <w:rPr>
          <w:spacing w:val="0"/>
          <w:kern w:val="0"/>
          <w:rtl/>
          <w:lang w:val="en-CA"/>
        </w:rPr>
        <w:t>السيد لوسيرغا</w:t>
      </w:r>
      <w:r w:rsidRPr="00EA66E5">
        <w:rPr>
          <w:rFonts w:hint="cs"/>
          <w:spacing w:val="0"/>
          <w:kern w:val="0"/>
          <w:rtl/>
          <w:lang w:val="en-CA"/>
        </w:rPr>
        <w:t xml:space="preserve"> في</w:t>
      </w:r>
      <w:r w:rsidRPr="00EA66E5">
        <w:rPr>
          <w:spacing w:val="0"/>
          <w:kern w:val="0"/>
          <w:rtl/>
          <w:lang w:val="en-CA"/>
        </w:rPr>
        <w:t xml:space="preserve"> 13 أيار/مايو 2008.</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4-</w:t>
      </w:r>
      <w:r w:rsidRPr="00EA66E5">
        <w:rPr>
          <w:rFonts w:hint="cs"/>
          <w:spacing w:val="0"/>
          <w:kern w:val="0"/>
          <w:rtl/>
          <w:lang w:val="en-CA"/>
        </w:rPr>
        <w:tab/>
        <w:t>و</w:t>
      </w:r>
      <w:r w:rsidRPr="00EA66E5">
        <w:rPr>
          <w:spacing w:val="0"/>
          <w:kern w:val="0"/>
          <w:rtl/>
          <w:lang w:val="en-CA"/>
        </w:rPr>
        <w:t xml:space="preserve">في 9 أيار/مايو 2008، وقف محام من مكتب الفرع الجنوبي للجنة الإسبانية لمساعدة اللاجئين أمام محكمة </w:t>
      </w:r>
      <w:r w:rsidRPr="00EA66E5">
        <w:rPr>
          <w:rFonts w:hint="cs"/>
          <w:spacing w:val="0"/>
          <w:kern w:val="0"/>
          <w:rtl/>
          <w:lang w:val="en-CA"/>
        </w:rPr>
        <w:t xml:space="preserve">التحقيق </w:t>
      </w:r>
      <w:r w:rsidRPr="00EA66E5">
        <w:rPr>
          <w:spacing w:val="0"/>
          <w:kern w:val="0"/>
          <w:rtl/>
          <w:lang w:val="en-CA"/>
        </w:rPr>
        <w:t>رقم 1 وقدم بيان</w:t>
      </w:r>
      <w:r w:rsidRPr="00EA66E5">
        <w:rPr>
          <w:rFonts w:hint="cs"/>
          <w:spacing w:val="0"/>
          <w:kern w:val="0"/>
          <w:rtl/>
          <w:lang w:val="en-CA"/>
        </w:rPr>
        <w:t>اً</w:t>
      </w:r>
      <w:r w:rsidRPr="00EA66E5">
        <w:rPr>
          <w:spacing w:val="0"/>
          <w:kern w:val="0"/>
          <w:rtl/>
          <w:lang w:val="en-CA"/>
        </w:rPr>
        <w:t xml:space="preserve"> أدلى به السيد داو توريه، </w:t>
      </w:r>
      <w:r w:rsidRPr="00EA66E5">
        <w:rPr>
          <w:rFonts w:hint="cs"/>
          <w:spacing w:val="0"/>
          <w:kern w:val="0"/>
          <w:rtl/>
          <w:lang w:val="en-CA"/>
        </w:rPr>
        <w:t xml:space="preserve">وهو </w:t>
      </w:r>
      <w:r w:rsidRPr="00EA66E5">
        <w:rPr>
          <w:spacing w:val="0"/>
          <w:kern w:val="0"/>
          <w:rtl/>
          <w:lang w:val="en-CA"/>
        </w:rPr>
        <w:t xml:space="preserve">مواطن سنغالي من </w:t>
      </w:r>
      <w:r w:rsidRPr="00EA66E5">
        <w:rPr>
          <w:rFonts w:hint="cs"/>
          <w:spacing w:val="0"/>
          <w:kern w:val="0"/>
          <w:rtl/>
          <w:lang w:val="en-CA"/>
        </w:rPr>
        <w:t xml:space="preserve">بين </w:t>
      </w:r>
      <w:r w:rsidRPr="00EA66E5">
        <w:rPr>
          <w:spacing w:val="0"/>
          <w:kern w:val="0"/>
          <w:rtl/>
          <w:lang w:val="en-CA"/>
        </w:rPr>
        <w:t>المهاجرين الأفارق</w:t>
      </w:r>
      <w:r w:rsidRPr="00EA66E5">
        <w:rPr>
          <w:rFonts w:hint="cs"/>
          <w:spacing w:val="0"/>
          <w:kern w:val="0"/>
          <w:rtl/>
          <w:lang w:val="en-CA"/>
        </w:rPr>
        <w:t>ة</w:t>
      </w:r>
      <w:r w:rsidRPr="00EA66E5">
        <w:rPr>
          <w:spacing w:val="0"/>
          <w:kern w:val="0"/>
          <w:rtl/>
          <w:lang w:val="en-CA"/>
        </w:rPr>
        <w:t xml:space="preserve"> الأربعة الذين حاولوا الس</w:t>
      </w:r>
      <w:r w:rsidRPr="00EA66E5">
        <w:rPr>
          <w:rFonts w:hint="cs"/>
          <w:spacing w:val="0"/>
          <w:kern w:val="0"/>
          <w:rtl/>
          <w:lang w:val="en-CA"/>
        </w:rPr>
        <w:t>ب</w:t>
      </w:r>
      <w:r w:rsidRPr="00EA66E5">
        <w:rPr>
          <w:spacing w:val="0"/>
          <w:kern w:val="0"/>
          <w:rtl/>
          <w:lang w:val="en-CA"/>
        </w:rPr>
        <w:t xml:space="preserve">احة عبر الحدود إلى سبتة. وأكد السيد توريه </w:t>
      </w:r>
      <w:r w:rsidRPr="00EA66E5">
        <w:rPr>
          <w:rFonts w:hint="cs"/>
          <w:spacing w:val="0"/>
          <w:kern w:val="0"/>
          <w:rtl/>
          <w:lang w:val="en-CA"/>
        </w:rPr>
        <w:t>رواية</w:t>
      </w:r>
      <w:r w:rsidRPr="00EA66E5">
        <w:rPr>
          <w:spacing w:val="0"/>
          <w:kern w:val="0"/>
          <w:rtl/>
          <w:lang w:val="en-CA"/>
        </w:rPr>
        <w:t xml:space="preserve"> صاحبة الشكوى </w:t>
      </w:r>
      <w:r w:rsidRPr="00EA66E5">
        <w:rPr>
          <w:rFonts w:hint="cs"/>
          <w:spacing w:val="0"/>
          <w:kern w:val="0"/>
          <w:rtl/>
          <w:lang w:val="en-CA"/>
        </w:rPr>
        <w:t xml:space="preserve">عن </w:t>
      </w:r>
      <w:r w:rsidRPr="00EA66E5">
        <w:rPr>
          <w:spacing w:val="0"/>
          <w:kern w:val="0"/>
          <w:rtl/>
          <w:lang w:val="en-CA"/>
        </w:rPr>
        <w:t xml:space="preserve">الأحداث. وقال إنهم لم يشيروا في أي وقت من الأوقات </w:t>
      </w:r>
      <w:r w:rsidRPr="00EA66E5">
        <w:rPr>
          <w:rFonts w:hint="cs"/>
          <w:spacing w:val="0"/>
          <w:kern w:val="0"/>
          <w:rtl/>
          <w:lang w:val="en-CA"/>
        </w:rPr>
        <w:t xml:space="preserve">إلى </w:t>
      </w:r>
      <w:r w:rsidRPr="00EA66E5">
        <w:rPr>
          <w:spacing w:val="0"/>
          <w:kern w:val="0"/>
          <w:rtl/>
          <w:lang w:val="en-CA"/>
        </w:rPr>
        <w:t xml:space="preserve">أن أنهم يرغبون في </w:t>
      </w:r>
      <w:r w:rsidRPr="00EA66E5">
        <w:rPr>
          <w:rFonts w:hint="cs"/>
          <w:spacing w:val="0"/>
          <w:kern w:val="0"/>
          <w:rtl/>
          <w:lang w:val="en-CA"/>
        </w:rPr>
        <w:t xml:space="preserve">التماس </w:t>
      </w:r>
      <w:r w:rsidRPr="00EA66E5">
        <w:rPr>
          <w:spacing w:val="0"/>
          <w:kern w:val="0"/>
          <w:rtl/>
          <w:lang w:val="en-CA"/>
        </w:rPr>
        <w:t xml:space="preserve">اللجوء </w:t>
      </w:r>
      <w:r w:rsidRPr="00EA66E5">
        <w:rPr>
          <w:rFonts w:hint="cs"/>
          <w:spacing w:val="0"/>
          <w:kern w:val="0"/>
          <w:rtl/>
          <w:lang w:val="en-CA"/>
        </w:rPr>
        <w:t>في</w:t>
      </w:r>
      <w:r w:rsidRPr="00EA66E5">
        <w:rPr>
          <w:spacing w:val="0"/>
          <w:kern w:val="0"/>
          <w:rtl/>
          <w:lang w:val="en-CA"/>
        </w:rPr>
        <w:t xml:space="preserve"> إسبانيا وإن الحراس لم يتحدثوا إليهم بالفرنسية، ولم يحاولوا إقامة أي </w:t>
      </w:r>
      <w:r w:rsidRPr="00EA66E5">
        <w:rPr>
          <w:rFonts w:hint="cs"/>
          <w:spacing w:val="0"/>
          <w:kern w:val="0"/>
          <w:rtl/>
          <w:lang w:val="en-CA"/>
        </w:rPr>
        <w:t xml:space="preserve">نوع من التواصل </w:t>
      </w:r>
      <w:r w:rsidRPr="00EA66E5">
        <w:rPr>
          <w:spacing w:val="0"/>
          <w:kern w:val="0"/>
          <w:rtl/>
          <w:lang w:val="en-CA"/>
        </w:rPr>
        <w:t>معهم.</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5-</w:t>
      </w:r>
      <w:r w:rsidRPr="00EA66E5">
        <w:rPr>
          <w:rFonts w:hint="cs"/>
          <w:spacing w:val="0"/>
          <w:kern w:val="0"/>
          <w:rtl/>
          <w:lang w:val="en-CA"/>
        </w:rPr>
        <w:tab/>
        <w:t>و</w:t>
      </w:r>
      <w:r w:rsidRPr="00EA66E5">
        <w:rPr>
          <w:spacing w:val="0"/>
          <w:kern w:val="0"/>
          <w:rtl/>
          <w:lang w:val="en-CA"/>
        </w:rPr>
        <w:t xml:space="preserve">في 14 أيار/مايو 2008، قال محامي مكتب الفرع الجنوبي للجنة الإسبانية لمساعدة اللاجئين إنه علم </w:t>
      </w:r>
      <w:r w:rsidRPr="00EA66E5">
        <w:rPr>
          <w:rFonts w:hint="cs"/>
          <w:spacing w:val="0"/>
          <w:kern w:val="0"/>
          <w:rtl/>
          <w:lang w:val="en-CA"/>
        </w:rPr>
        <w:t>ب</w:t>
      </w:r>
      <w:r w:rsidRPr="00EA66E5">
        <w:rPr>
          <w:spacing w:val="0"/>
          <w:kern w:val="0"/>
          <w:rtl/>
          <w:lang w:val="en-CA"/>
        </w:rPr>
        <w:t>أن السيد توريه سي</w:t>
      </w:r>
      <w:r w:rsidRPr="00EA66E5">
        <w:rPr>
          <w:rFonts w:hint="cs"/>
          <w:spacing w:val="0"/>
          <w:kern w:val="0"/>
          <w:rtl/>
          <w:lang w:val="en-CA"/>
        </w:rPr>
        <w:t>ُ</w:t>
      </w:r>
      <w:r w:rsidRPr="00EA66E5">
        <w:rPr>
          <w:spacing w:val="0"/>
          <w:kern w:val="0"/>
          <w:rtl/>
          <w:lang w:val="en-CA"/>
        </w:rPr>
        <w:t xml:space="preserve">ستدعى كشاهد </w:t>
      </w:r>
      <w:r w:rsidRPr="00EA66E5">
        <w:rPr>
          <w:rFonts w:hint="cs"/>
          <w:spacing w:val="0"/>
          <w:kern w:val="0"/>
          <w:rtl/>
          <w:lang w:val="en-CA"/>
        </w:rPr>
        <w:t>للإدلاء</w:t>
      </w:r>
      <w:r w:rsidRPr="00EA66E5">
        <w:rPr>
          <w:spacing w:val="0"/>
          <w:kern w:val="0"/>
          <w:rtl/>
          <w:lang w:val="en-CA"/>
        </w:rPr>
        <w:t xml:space="preserve"> بشهادته في المحكمة وطلب السماح له </w:t>
      </w:r>
      <w:r w:rsidRPr="00EA66E5">
        <w:rPr>
          <w:rFonts w:hint="cs"/>
          <w:spacing w:val="0"/>
          <w:kern w:val="0"/>
          <w:rtl/>
          <w:lang w:val="en-CA"/>
        </w:rPr>
        <w:t>بالحضور</w:t>
      </w:r>
      <w:r w:rsidRPr="00EA66E5">
        <w:rPr>
          <w:spacing w:val="0"/>
          <w:kern w:val="0"/>
          <w:rtl/>
          <w:lang w:val="en-CA"/>
        </w:rPr>
        <w:t xml:space="preserve"> عندما يدلي السيد توريه بشهادته</w:t>
      </w:r>
      <w:r w:rsidRPr="00EA66E5">
        <w:rPr>
          <w:rFonts w:hint="cs"/>
          <w:spacing w:val="0"/>
          <w:kern w:val="0"/>
          <w:rtl/>
          <w:lang w:val="en-CA"/>
        </w:rPr>
        <w:t>. و</w:t>
      </w:r>
      <w:r w:rsidRPr="00EA66E5">
        <w:rPr>
          <w:spacing w:val="0"/>
          <w:kern w:val="0"/>
          <w:rtl/>
          <w:lang w:val="en-CA"/>
        </w:rPr>
        <w:t xml:space="preserve">في 15 أيار/مايو 2008، رفضت محكمة </w:t>
      </w:r>
      <w:r w:rsidRPr="00EA66E5">
        <w:rPr>
          <w:rFonts w:hint="cs"/>
          <w:spacing w:val="0"/>
          <w:kern w:val="0"/>
          <w:rtl/>
          <w:lang w:val="en-CA"/>
        </w:rPr>
        <w:t>التحقيق</w:t>
      </w:r>
      <w:r w:rsidRPr="00EA66E5">
        <w:rPr>
          <w:spacing w:val="0"/>
          <w:kern w:val="0"/>
          <w:rtl/>
          <w:lang w:val="en-CA"/>
        </w:rPr>
        <w:t xml:space="preserve"> رقم 1 طلب المحامي </w:t>
      </w:r>
      <w:r w:rsidRPr="00EA66E5">
        <w:rPr>
          <w:rFonts w:hint="cs"/>
          <w:spacing w:val="0"/>
          <w:kern w:val="0"/>
          <w:rtl/>
          <w:lang w:val="en-CA"/>
        </w:rPr>
        <w:t>لعدم تمتعه ب</w:t>
      </w:r>
      <w:r w:rsidRPr="00EA66E5">
        <w:rPr>
          <w:spacing w:val="0"/>
          <w:kern w:val="0"/>
          <w:rtl/>
          <w:lang w:val="en-CA"/>
        </w:rPr>
        <w:t>مركز قانوني في القضية.</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6-</w:t>
      </w:r>
      <w:r w:rsidRPr="00EA66E5">
        <w:rPr>
          <w:rFonts w:hint="cs"/>
          <w:spacing w:val="0"/>
          <w:kern w:val="0"/>
          <w:rtl/>
          <w:lang w:val="en-CA"/>
        </w:rPr>
        <w:tab/>
        <w:t>و</w:t>
      </w:r>
      <w:r w:rsidRPr="00EA66E5">
        <w:rPr>
          <w:spacing w:val="0"/>
          <w:kern w:val="0"/>
          <w:rtl/>
          <w:lang w:val="en-CA"/>
        </w:rPr>
        <w:t xml:space="preserve">في 23 أيار/مايو 2008، قدم النائب العام في سبتة طلباً حث فيه على إحالة </w:t>
      </w:r>
      <w:r w:rsidRPr="00EA66E5">
        <w:rPr>
          <w:rFonts w:hint="cs"/>
          <w:spacing w:val="0"/>
          <w:kern w:val="0"/>
          <w:rtl/>
          <w:lang w:val="en-CA"/>
        </w:rPr>
        <w:t>الإجراءات</w:t>
      </w:r>
      <w:r w:rsidRPr="00EA66E5">
        <w:rPr>
          <w:spacing w:val="0"/>
          <w:kern w:val="0"/>
          <w:rtl/>
          <w:lang w:val="en-CA"/>
        </w:rPr>
        <w:t xml:space="preserve"> إلى المحكمة الوطنية العليا، التي يرى أنها مختصة </w:t>
      </w:r>
      <w:r w:rsidRPr="00EA66E5">
        <w:rPr>
          <w:rFonts w:hint="cs"/>
          <w:spacing w:val="0"/>
          <w:kern w:val="0"/>
          <w:rtl/>
          <w:lang w:val="en-CA"/>
        </w:rPr>
        <w:t>با</w:t>
      </w:r>
      <w:r w:rsidRPr="00EA66E5">
        <w:rPr>
          <w:spacing w:val="0"/>
          <w:kern w:val="0"/>
          <w:rtl/>
          <w:lang w:val="en-CA"/>
        </w:rPr>
        <w:t xml:space="preserve">لنظر في القضية، نظراً لأن المشتبه فيهم </w:t>
      </w:r>
      <w:r w:rsidRPr="00EA66E5">
        <w:rPr>
          <w:rFonts w:hint="cs"/>
          <w:spacing w:val="0"/>
          <w:kern w:val="0"/>
          <w:rtl/>
          <w:lang w:val="en-CA"/>
        </w:rPr>
        <w:t>من ال</w:t>
      </w:r>
      <w:r w:rsidRPr="00EA66E5">
        <w:rPr>
          <w:spacing w:val="0"/>
          <w:kern w:val="0"/>
          <w:rtl/>
          <w:lang w:val="en-CA"/>
        </w:rPr>
        <w:t xml:space="preserve">مواطنين </w:t>
      </w:r>
      <w:r w:rsidRPr="00EA66E5">
        <w:rPr>
          <w:rFonts w:hint="cs"/>
          <w:spacing w:val="0"/>
          <w:kern w:val="0"/>
          <w:rtl/>
          <w:lang w:val="en-CA"/>
        </w:rPr>
        <w:t>الإسبان</w:t>
      </w:r>
      <w:r w:rsidRPr="00EA66E5">
        <w:rPr>
          <w:spacing w:val="0"/>
          <w:kern w:val="0"/>
          <w:rtl/>
          <w:lang w:val="en-CA"/>
        </w:rPr>
        <w:t xml:space="preserve"> و</w:t>
      </w:r>
      <w:r w:rsidRPr="00EA66E5">
        <w:rPr>
          <w:rFonts w:hint="cs"/>
          <w:spacing w:val="0"/>
          <w:kern w:val="0"/>
          <w:rtl/>
          <w:lang w:val="en-CA"/>
        </w:rPr>
        <w:t xml:space="preserve">أن </w:t>
      </w:r>
      <w:r w:rsidRPr="00EA66E5">
        <w:rPr>
          <w:spacing w:val="0"/>
          <w:kern w:val="0"/>
          <w:rtl/>
          <w:lang w:val="en-CA"/>
        </w:rPr>
        <w:t>الأحداث وقعت في إقليم أجنبي.</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7-</w:t>
      </w:r>
      <w:r w:rsidRPr="00EA66E5">
        <w:rPr>
          <w:rFonts w:hint="cs"/>
          <w:spacing w:val="0"/>
          <w:kern w:val="0"/>
          <w:rtl/>
          <w:lang w:val="en-CA"/>
        </w:rPr>
        <w:tab/>
        <w:t>و</w:t>
      </w:r>
      <w:r w:rsidRPr="00EA66E5">
        <w:rPr>
          <w:spacing w:val="0"/>
          <w:kern w:val="0"/>
          <w:rtl/>
          <w:lang w:val="en-CA"/>
        </w:rPr>
        <w:t xml:space="preserve">في 27 أيار/مايو 2008، </w:t>
      </w:r>
      <w:r w:rsidRPr="00EA66E5">
        <w:rPr>
          <w:rFonts w:hint="cs"/>
          <w:spacing w:val="0"/>
          <w:kern w:val="0"/>
          <w:rtl/>
          <w:lang w:val="en-CA"/>
        </w:rPr>
        <w:t>تنحت</w:t>
      </w:r>
      <w:r w:rsidRPr="00EA66E5">
        <w:rPr>
          <w:spacing w:val="0"/>
          <w:kern w:val="0"/>
          <w:rtl/>
          <w:lang w:val="en-CA"/>
        </w:rPr>
        <w:t xml:space="preserve"> محكمة </w:t>
      </w:r>
      <w:r w:rsidRPr="00EA66E5">
        <w:rPr>
          <w:rFonts w:hint="cs"/>
          <w:spacing w:val="0"/>
          <w:kern w:val="0"/>
          <w:rtl/>
          <w:lang w:val="en-CA"/>
        </w:rPr>
        <w:t>التحقيق</w:t>
      </w:r>
      <w:r w:rsidRPr="00EA66E5">
        <w:rPr>
          <w:spacing w:val="0"/>
          <w:kern w:val="0"/>
          <w:rtl/>
          <w:lang w:val="en-CA"/>
        </w:rPr>
        <w:t xml:space="preserve"> رقم 1 </w:t>
      </w:r>
      <w:r w:rsidRPr="00EA66E5">
        <w:rPr>
          <w:rFonts w:hint="cs"/>
          <w:spacing w:val="0"/>
          <w:kern w:val="0"/>
          <w:rtl/>
          <w:lang w:val="en-CA"/>
        </w:rPr>
        <w:t xml:space="preserve">عن النظر في </w:t>
      </w:r>
      <w:r w:rsidRPr="00EA66E5">
        <w:rPr>
          <w:spacing w:val="0"/>
          <w:kern w:val="0"/>
          <w:rtl/>
          <w:lang w:val="en-CA"/>
        </w:rPr>
        <w:t>القضية وحولتها إلى المحكمة الوطنية العليا.</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8-</w:t>
      </w:r>
      <w:r w:rsidRPr="00EA66E5">
        <w:rPr>
          <w:rFonts w:hint="cs"/>
          <w:spacing w:val="0"/>
          <w:kern w:val="0"/>
          <w:rtl/>
          <w:lang w:val="en-CA"/>
        </w:rPr>
        <w:tab/>
        <w:t>و</w:t>
      </w:r>
      <w:r w:rsidRPr="00EA66E5">
        <w:rPr>
          <w:spacing w:val="0"/>
          <w:kern w:val="0"/>
          <w:rtl/>
          <w:lang w:val="en-CA"/>
        </w:rPr>
        <w:t>في 16 حزيران/يونيه 2008، قدم محامي الدولة طلباً اعترض فيه على إعادة</w:t>
      </w:r>
      <w:r w:rsidR="008C3E8A">
        <w:rPr>
          <w:rFonts w:hint="cs"/>
          <w:spacing w:val="0"/>
          <w:kern w:val="0"/>
          <w:rtl/>
          <w:lang w:val="en-CA"/>
        </w:rPr>
        <w:t> </w:t>
      </w:r>
      <w:r w:rsidRPr="00EA66E5">
        <w:rPr>
          <w:spacing w:val="0"/>
          <w:kern w:val="0"/>
          <w:rtl/>
          <w:lang w:val="en-CA"/>
        </w:rPr>
        <w:t xml:space="preserve">فتح </w:t>
      </w:r>
      <w:r w:rsidRPr="00EA66E5">
        <w:rPr>
          <w:rFonts w:hint="cs"/>
          <w:spacing w:val="0"/>
          <w:kern w:val="0"/>
          <w:rtl/>
          <w:lang w:val="en-CA"/>
        </w:rPr>
        <w:t xml:space="preserve">ملف </w:t>
      </w:r>
      <w:r w:rsidRPr="00EA66E5">
        <w:rPr>
          <w:spacing w:val="0"/>
          <w:kern w:val="0"/>
          <w:rtl/>
          <w:lang w:val="en-CA"/>
        </w:rPr>
        <w:t>القضية على أساس أن التحقيقات الإضافية التي اضطلع بها لم تقدم أدلة</w:t>
      </w:r>
      <w:r w:rsidRPr="00EA66E5">
        <w:rPr>
          <w:rFonts w:hint="cs"/>
          <w:spacing w:val="0"/>
          <w:kern w:val="0"/>
          <w:rtl/>
          <w:lang w:val="en-CA"/>
        </w:rPr>
        <w:t xml:space="preserve"> عن أي أوضاع</w:t>
      </w:r>
      <w:r w:rsidRPr="00EA66E5">
        <w:rPr>
          <w:spacing w:val="0"/>
          <w:kern w:val="0"/>
          <w:rtl/>
          <w:lang w:val="en-CA"/>
        </w:rPr>
        <w:t xml:space="preserve"> تختلف عن تلك التي أدت إلى </w:t>
      </w:r>
      <w:r w:rsidRPr="00EA66E5">
        <w:rPr>
          <w:rFonts w:hint="cs"/>
          <w:spacing w:val="0"/>
          <w:kern w:val="0"/>
          <w:rtl/>
          <w:lang w:val="en-CA"/>
        </w:rPr>
        <w:t>رفض الدعوى</w:t>
      </w:r>
      <w:r w:rsidRPr="00EA66E5">
        <w:rPr>
          <w:spacing w:val="0"/>
          <w:kern w:val="0"/>
          <w:rtl/>
          <w:lang w:val="en-CA"/>
        </w:rPr>
        <w:t xml:space="preserve"> في 28 أيلول/سبتمبر 2007.</w:t>
      </w:r>
      <w:r w:rsidRPr="00EA66E5">
        <w:rPr>
          <w:rFonts w:hint="cs"/>
          <w:spacing w:val="0"/>
          <w:kern w:val="0"/>
          <w:rtl/>
          <w:lang w:val="en-CA"/>
        </w:rPr>
        <w:t xml:space="preserve"> </w:t>
      </w:r>
      <w:r w:rsidRPr="00EA66E5">
        <w:rPr>
          <w:spacing w:val="0"/>
          <w:kern w:val="0"/>
          <w:rtl/>
          <w:lang w:val="en-CA"/>
        </w:rPr>
        <w:t>كما دفع المحامي بأنه في أي حال من الأحوال</w:t>
      </w:r>
      <w:r w:rsidRPr="00EA66E5">
        <w:rPr>
          <w:rFonts w:hint="cs"/>
          <w:spacing w:val="0"/>
          <w:kern w:val="0"/>
          <w:rtl/>
          <w:lang w:val="en-CA"/>
        </w:rPr>
        <w:t>،</w:t>
      </w:r>
      <w:r w:rsidRPr="00EA66E5">
        <w:rPr>
          <w:spacing w:val="0"/>
          <w:kern w:val="0"/>
          <w:rtl/>
          <w:lang w:val="en-CA"/>
        </w:rPr>
        <w:t xml:space="preserve"> ليس لمحاكم </w:t>
      </w:r>
      <w:r w:rsidRPr="00EA66E5">
        <w:rPr>
          <w:rFonts w:hint="cs"/>
          <w:spacing w:val="0"/>
          <w:kern w:val="0"/>
          <w:rtl/>
          <w:lang w:val="en-CA"/>
        </w:rPr>
        <w:t>التحقيق</w:t>
      </w:r>
      <w:r w:rsidRPr="00EA66E5">
        <w:rPr>
          <w:spacing w:val="0"/>
          <w:kern w:val="0"/>
          <w:rtl/>
          <w:lang w:val="en-CA"/>
        </w:rPr>
        <w:t xml:space="preserve"> المركزية ولاية قضائية </w:t>
      </w:r>
      <w:r w:rsidRPr="00EA66E5">
        <w:rPr>
          <w:rFonts w:hint="cs"/>
          <w:spacing w:val="0"/>
          <w:kern w:val="0"/>
          <w:rtl/>
          <w:lang w:val="en-CA"/>
        </w:rPr>
        <w:t>في</w:t>
      </w:r>
      <w:r w:rsidRPr="00EA66E5">
        <w:rPr>
          <w:spacing w:val="0"/>
          <w:kern w:val="0"/>
          <w:rtl/>
          <w:lang w:val="en-CA"/>
        </w:rPr>
        <w:t xml:space="preserve"> هذه القضايا على أساس أن </w:t>
      </w:r>
      <w:r w:rsidRPr="00EA66E5">
        <w:rPr>
          <w:rFonts w:hint="cs"/>
          <w:spacing w:val="0"/>
          <w:kern w:val="0"/>
          <w:rtl/>
          <w:lang w:val="en-CA"/>
        </w:rPr>
        <w:t>زورق</w:t>
      </w:r>
      <w:r w:rsidRPr="00EA66E5">
        <w:rPr>
          <w:spacing w:val="0"/>
          <w:kern w:val="0"/>
          <w:rtl/>
          <w:lang w:val="en-CA"/>
        </w:rPr>
        <w:t xml:space="preserve"> الدورية </w:t>
      </w:r>
      <w:r w:rsidRPr="00EA66E5">
        <w:rPr>
          <w:rFonts w:hint="cs"/>
          <w:spacing w:val="0"/>
          <w:kern w:val="0"/>
          <w:rtl/>
          <w:lang w:val="en-CA"/>
        </w:rPr>
        <w:t>يُ</w:t>
      </w:r>
      <w:r w:rsidRPr="00EA66E5">
        <w:rPr>
          <w:spacing w:val="0"/>
          <w:kern w:val="0"/>
          <w:rtl/>
          <w:lang w:val="en-CA"/>
        </w:rPr>
        <w:t>مثل إقليماً وطنياً. وفي 9 تموز/يوليه 2008، أ</w:t>
      </w:r>
      <w:r w:rsidRPr="00EA66E5">
        <w:rPr>
          <w:rFonts w:hint="cs"/>
          <w:spacing w:val="0"/>
          <w:kern w:val="0"/>
          <w:rtl/>
          <w:lang w:val="en-CA"/>
        </w:rPr>
        <w:t>ي</w:t>
      </w:r>
      <w:r w:rsidRPr="00EA66E5">
        <w:rPr>
          <w:spacing w:val="0"/>
          <w:kern w:val="0"/>
          <w:rtl/>
          <w:lang w:val="en-CA"/>
        </w:rPr>
        <w:t xml:space="preserve">دت محكمة </w:t>
      </w:r>
      <w:r w:rsidRPr="00EA66E5">
        <w:rPr>
          <w:rFonts w:hint="cs"/>
          <w:spacing w:val="0"/>
          <w:kern w:val="0"/>
          <w:rtl/>
          <w:lang w:val="en-CA"/>
        </w:rPr>
        <w:t>التحقيق</w:t>
      </w:r>
      <w:r w:rsidRPr="00EA66E5">
        <w:rPr>
          <w:spacing w:val="0"/>
          <w:kern w:val="0"/>
          <w:rtl/>
          <w:lang w:val="en-CA"/>
        </w:rPr>
        <w:t xml:space="preserve"> رقم 1 في سبتة قرارها الصادر في 27 أيار/مايو 2008.</w:t>
      </w:r>
    </w:p>
    <w:p w:rsidR="00EA66E5" w:rsidRPr="008C3E8A" w:rsidRDefault="00EA66E5" w:rsidP="008C3E8A">
      <w:pPr>
        <w:pStyle w:val="Bullet1GA"/>
        <w:numPr>
          <w:ilvl w:val="0"/>
          <w:numId w:val="0"/>
        </w:numPr>
        <w:tabs>
          <w:tab w:val="left" w:pos="2438"/>
        </w:tabs>
        <w:bidi/>
        <w:ind w:left="1928"/>
        <w:jc w:val="lowKashida"/>
        <w:rPr>
          <w:spacing w:val="-2"/>
          <w:kern w:val="0"/>
          <w:rtl/>
          <w:lang w:val="en-CA"/>
        </w:rPr>
      </w:pPr>
      <w:r w:rsidRPr="00EA66E5">
        <w:rPr>
          <w:rFonts w:hint="cs"/>
          <w:spacing w:val="0"/>
          <w:kern w:val="0"/>
          <w:rtl/>
          <w:lang w:val="en-CA"/>
        </w:rPr>
        <w:t>9-</w:t>
      </w:r>
      <w:r w:rsidRPr="00EA66E5">
        <w:rPr>
          <w:rFonts w:hint="cs"/>
          <w:spacing w:val="0"/>
          <w:kern w:val="0"/>
          <w:rtl/>
          <w:lang w:val="en-CA"/>
        </w:rPr>
        <w:tab/>
        <w:t>و</w:t>
      </w:r>
      <w:r w:rsidRPr="00EA66E5">
        <w:rPr>
          <w:spacing w:val="0"/>
          <w:kern w:val="0"/>
          <w:rtl/>
          <w:lang w:val="en-CA"/>
        </w:rPr>
        <w:t xml:space="preserve">في 18 تموز/يوليه 2008، قدم محامي الدولة طعناً </w:t>
      </w:r>
      <w:r w:rsidRPr="00EA66E5">
        <w:rPr>
          <w:rFonts w:hint="cs"/>
          <w:spacing w:val="0"/>
          <w:kern w:val="0"/>
          <w:rtl/>
          <w:lang w:val="en-CA"/>
        </w:rPr>
        <w:t>ا</w:t>
      </w:r>
      <w:r w:rsidRPr="00EA66E5">
        <w:rPr>
          <w:spacing w:val="0"/>
          <w:kern w:val="0"/>
          <w:rtl/>
          <w:lang w:val="en-CA"/>
        </w:rPr>
        <w:t xml:space="preserve">دعى فيه أنه من غير المناسب إعادة فتح القضية لأن قرار </w:t>
      </w:r>
      <w:r w:rsidRPr="00EA66E5">
        <w:rPr>
          <w:rFonts w:hint="cs"/>
          <w:spacing w:val="0"/>
          <w:kern w:val="0"/>
          <w:rtl/>
          <w:lang w:val="en-CA"/>
        </w:rPr>
        <w:t>رفض الدعوى</w:t>
      </w:r>
      <w:r w:rsidRPr="00EA66E5">
        <w:rPr>
          <w:spacing w:val="0"/>
          <w:kern w:val="0"/>
          <w:rtl/>
          <w:lang w:val="en-CA"/>
        </w:rPr>
        <w:t xml:space="preserve"> أصبح نهائيا</w:t>
      </w:r>
      <w:r w:rsidRPr="00EA66E5">
        <w:rPr>
          <w:rFonts w:hint="cs"/>
          <w:spacing w:val="0"/>
          <w:kern w:val="0"/>
          <w:rtl/>
          <w:lang w:val="en-CA"/>
        </w:rPr>
        <w:t>ً</w:t>
      </w:r>
      <w:r w:rsidRPr="00EA66E5">
        <w:rPr>
          <w:spacing w:val="0"/>
          <w:kern w:val="0"/>
          <w:rtl/>
          <w:lang w:val="en-CA"/>
        </w:rPr>
        <w:t xml:space="preserve"> ول</w:t>
      </w:r>
      <w:r w:rsidRPr="00EA66E5">
        <w:rPr>
          <w:rFonts w:hint="cs"/>
          <w:spacing w:val="0"/>
          <w:kern w:val="0"/>
          <w:rtl/>
          <w:lang w:val="en-CA"/>
        </w:rPr>
        <w:t>أ</w:t>
      </w:r>
      <w:r w:rsidRPr="00EA66E5">
        <w:rPr>
          <w:spacing w:val="0"/>
          <w:kern w:val="0"/>
          <w:rtl/>
          <w:lang w:val="en-CA"/>
        </w:rPr>
        <w:t xml:space="preserve">نه لم تظهر أدلة جديدة. وفي 30 أيلول/سبتمبر 2008، أيدت محكمة كاديث العليا الإقليمية </w:t>
      </w:r>
      <w:r w:rsidRPr="008C3E8A">
        <w:rPr>
          <w:spacing w:val="-2"/>
          <w:kern w:val="0"/>
          <w:rtl/>
          <w:lang w:val="en-CA"/>
        </w:rPr>
        <w:t>الطعن</w:t>
      </w:r>
      <w:r w:rsidR="008C3E8A" w:rsidRPr="008C3E8A">
        <w:rPr>
          <w:rFonts w:hint="cs"/>
          <w:spacing w:val="-2"/>
          <w:kern w:val="0"/>
          <w:rtl/>
          <w:lang w:val="en-CA"/>
        </w:rPr>
        <w:t> </w:t>
      </w:r>
      <w:r w:rsidRPr="008C3E8A">
        <w:rPr>
          <w:spacing w:val="-2"/>
          <w:kern w:val="0"/>
          <w:rtl/>
          <w:lang w:val="en-CA"/>
        </w:rPr>
        <w:t>جزئيا</w:t>
      </w:r>
      <w:r w:rsidRPr="008C3E8A">
        <w:rPr>
          <w:rFonts w:hint="cs"/>
          <w:spacing w:val="-2"/>
          <w:kern w:val="0"/>
          <w:rtl/>
          <w:lang w:val="en-CA"/>
        </w:rPr>
        <w:t>ً</w:t>
      </w:r>
      <w:r w:rsidRPr="008C3E8A">
        <w:rPr>
          <w:spacing w:val="-2"/>
          <w:kern w:val="0"/>
          <w:rtl/>
          <w:lang w:val="en-CA"/>
        </w:rPr>
        <w:t xml:space="preserve">، وخلصت إلى أن </w:t>
      </w:r>
      <w:r w:rsidRPr="008C3E8A">
        <w:rPr>
          <w:rFonts w:hint="cs"/>
          <w:spacing w:val="-2"/>
          <w:kern w:val="0"/>
          <w:rtl/>
          <w:lang w:val="en-CA"/>
        </w:rPr>
        <w:t>الرفض</w:t>
      </w:r>
      <w:r w:rsidRPr="008C3E8A">
        <w:rPr>
          <w:spacing w:val="-2"/>
          <w:kern w:val="0"/>
          <w:rtl/>
          <w:lang w:val="en-CA"/>
        </w:rPr>
        <w:t xml:space="preserve"> ليس نهائياً لأنه لم يرسل إلى "الأشخاص الذين يمكن أن يتأثروا به سلبياً"، على النحو المنصوص عليه في القانون. وقررت المحكمة العلي</w:t>
      </w:r>
      <w:r w:rsidRPr="008C3E8A">
        <w:rPr>
          <w:rFonts w:hint="cs"/>
          <w:spacing w:val="-2"/>
          <w:kern w:val="0"/>
          <w:rtl/>
          <w:lang w:val="en-CA"/>
        </w:rPr>
        <w:t>ا الإ</w:t>
      </w:r>
      <w:r w:rsidRPr="008C3E8A">
        <w:rPr>
          <w:spacing w:val="-2"/>
          <w:kern w:val="0"/>
          <w:rtl/>
          <w:lang w:val="en-CA"/>
        </w:rPr>
        <w:t xml:space="preserve">قليمية عدم الأخذ بقرار </w:t>
      </w:r>
      <w:r w:rsidRPr="008C3E8A">
        <w:rPr>
          <w:rFonts w:hint="cs"/>
          <w:spacing w:val="-2"/>
          <w:kern w:val="0"/>
          <w:rtl/>
          <w:lang w:val="en-CA"/>
        </w:rPr>
        <w:t xml:space="preserve">التنحي عن النظر في </w:t>
      </w:r>
      <w:r w:rsidRPr="008C3E8A">
        <w:rPr>
          <w:spacing w:val="-2"/>
          <w:kern w:val="0"/>
          <w:rtl/>
          <w:lang w:val="en-CA"/>
        </w:rPr>
        <w:t>القضية، الصادر في 27 أيار/</w:t>
      </w:r>
      <w:r w:rsidR="008C3E8A">
        <w:rPr>
          <w:rFonts w:hint="cs"/>
          <w:spacing w:val="-2"/>
          <w:kern w:val="0"/>
          <w:rtl/>
          <w:lang w:val="en-CA"/>
        </w:rPr>
        <w:t xml:space="preserve"> </w:t>
      </w:r>
      <w:r w:rsidRPr="008C3E8A">
        <w:rPr>
          <w:spacing w:val="-2"/>
          <w:kern w:val="0"/>
          <w:rtl/>
          <w:lang w:val="en-CA"/>
        </w:rPr>
        <w:t xml:space="preserve">مايو 2008، حتى يتم إخطار الأطراف المعنية، مما يعطيهم فرصة </w:t>
      </w:r>
      <w:r w:rsidRPr="008C3E8A">
        <w:rPr>
          <w:rFonts w:hint="cs"/>
          <w:spacing w:val="-2"/>
          <w:kern w:val="0"/>
          <w:rtl/>
          <w:lang w:val="en-CA"/>
        </w:rPr>
        <w:t>ل</w:t>
      </w:r>
      <w:r w:rsidRPr="008C3E8A">
        <w:rPr>
          <w:spacing w:val="-2"/>
          <w:kern w:val="0"/>
          <w:rtl/>
          <w:lang w:val="en-CA"/>
        </w:rPr>
        <w:t>لمثول أمام المحكمة كأطراف في القضية و</w:t>
      </w:r>
      <w:r w:rsidRPr="008C3E8A">
        <w:rPr>
          <w:rFonts w:hint="cs"/>
          <w:spacing w:val="-2"/>
          <w:kern w:val="0"/>
          <w:rtl/>
          <w:lang w:val="en-CA"/>
        </w:rPr>
        <w:t>ال</w:t>
      </w:r>
      <w:r w:rsidRPr="008C3E8A">
        <w:rPr>
          <w:spacing w:val="-2"/>
          <w:kern w:val="0"/>
          <w:rtl/>
          <w:lang w:val="en-CA"/>
        </w:rPr>
        <w:t xml:space="preserve">طعن في </w:t>
      </w:r>
      <w:r w:rsidRPr="008C3E8A">
        <w:rPr>
          <w:rFonts w:hint="cs"/>
          <w:spacing w:val="-2"/>
          <w:kern w:val="0"/>
          <w:rtl/>
          <w:lang w:val="en-CA"/>
        </w:rPr>
        <w:t>رفض الدعوى</w:t>
      </w:r>
      <w:r w:rsidRPr="008C3E8A">
        <w:rPr>
          <w:spacing w:val="-2"/>
          <w:kern w:val="0"/>
          <w:rtl/>
          <w:lang w:val="en-CA"/>
        </w:rPr>
        <w:t>. وتشير المحكمة العليا الإقليمية</w:t>
      </w:r>
      <w:r w:rsidRPr="008C3E8A">
        <w:rPr>
          <w:rFonts w:hint="cs"/>
          <w:spacing w:val="-2"/>
          <w:kern w:val="0"/>
          <w:rtl/>
          <w:lang w:val="en-CA"/>
        </w:rPr>
        <w:t xml:space="preserve">، </w:t>
      </w:r>
      <w:r w:rsidRPr="008C3E8A">
        <w:rPr>
          <w:spacing w:val="-2"/>
          <w:kern w:val="0"/>
          <w:rtl/>
          <w:lang w:val="en-CA"/>
        </w:rPr>
        <w:t>في قرارها الصادر في 30 أيلول/سبتمبر 2008، إلى أن سجلات التحقيق تشير إلى وجود أعضاء من أسرة المتوفي وتوفر أسماء والديه، مالان وفاتو</w:t>
      </w:r>
      <w:r w:rsidRPr="008C3E8A">
        <w:rPr>
          <w:rFonts w:hint="cs"/>
          <w:spacing w:val="-2"/>
          <w:kern w:val="0"/>
          <w:rtl/>
          <w:lang w:val="en-CA"/>
        </w:rPr>
        <w:t>؛</w:t>
      </w:r>
      <w:r w:rsidRPr="008C3E8A">
        <w:rPr>
          <w:spacing w:val="-2"/>
          <w:kern w:val="0"/>
          <w:rtl/>
          <w:lang w:val="en-CA"/>
        </w:rPr>
        <w:t xml:space="preserve"> كما تشير إلى أن مكتب المساعدة القضائية </w:t>
      </w:r>
      <w:r w:rsidRPr="008C3E8A">
        <w:rPr>
          <w:rFonts w:hint="cs"/>
          <w:spacing w:val="-2"/>
          <w:kern w:val="0"/>
          <w:rtl/>
          <w:lang w:val="en-CA"/>
        </w:rPr>
        <w:t>ل</w:t>
      </w:r>
      <w:r w:rsidRPr="008C3E8A">
        <w:rPr>
          <w:spacing w:val="-2"/>
          <w:kern w:val="0"/>
          <w:rtl/>
          <w:lang w:val="en-CA"/>
        </w:rPr>
        <w:t xml:space="preserve">مكتب الفرع الجنوبي للجنة الإسبانية لمساعدة اللاجئين حدد </w:t>
      </w:r>
      <w:r w:rsidRPr="008C3E8A">
        <w:rPr>
          <w:rFonts w:hint="cs"/>
          <w:spacing w:val="-2"/>
          <w:kern w:val="0"/>
          <w:rtl/>
          <w:lang w:val="en-CA"/>
        </w:rPr>
        <w:t>مكان تواجد</w:t>
      </w:r>
      <w:r w:rsidRPr="008C3E8A">
        <w:rPr>
          <w:spacing w:val="-2"/>
          <w:kern w:val="0"/>
          <w:rtl/>
          <w:lang w:val="en-CA"/>
        </w:rPr>
        <w:t xml:space="preserve"> إحدى </w:t>
      </w:r>
      <w:r w:rsidRPr="008C3E8A">
        <w:rPr>
          <w:rFonts w:hint="cs"/>
          <w:spacing w:val="-2"/>
          <w:kern w:val="0"/>
          <w:rtl/>
          <w:lang w:val="en-CA"/>
        </w:rPr>
        <w:t>شقيقاته</w:t>
      </w:r>
      <w:r w:rsidRPr="008C3E8A">
        <w:rPr>
          <w:spacing w:val="-2"/>
          <w:kern w:val="0"/>
          <w:rtl/>
          <w:lang w:val="en-CA"/>
        </w:rPr>
        <w:t xml:space="preserve"> </w:t>
      </w:r>
      <w:r w:rsidRPr="008C3E8A">
        <w:rPr>
          <w:rFonts w:hint="cs"/>
          <w:spacing w:val="-2"/>
          <w:kern w:val="0"/>
          <w:rtl/>
          <w:lang w:val="en-CA"/>
        </w:rPr>
        <w:t>وزوج إحدى شقيقاته</w:t>
      </w:r>
      <w:r w:rsidRPr="008C3E8A">
        <w:rPr>
          <w:spacing w:val="-2"/>
          <w:kern w:val="0"/>
          <w:rtl/>
          <w:lang w:val="en-CA"/>
        </w:rPr>
        <w:t xml:space="preserve"> </w:t>
      </w:r>
      <w:r w:rsidRPr="008C3E8A">
        <w:rPr>
          <w:rFonts w:hint="cs"/>
          <w:spacing w:val="-2"/>
          <w:kern w:val="0"/>
          <w:rtl/>
          <w:lang w:val="en-CA"/>
        </w:rPr>
        <w:t>وأحد أبناء عمومته</w:t>
      </w:r>
      <w:r w:rsidRPr="008C3E8A">
        <w:rPr>
          <w:spacing w:val="-2"/>
          <w:kern w:val="0"/>
          <w:rtl/>
          <w:lang w:val="en-CA"/>
        </w:rPr>
        <w:t>.</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10-</w:t>
      </w:r>
      <w:r w:rsidRPr="00EA66E5">
        <w:rPr>
          <w:rFonts w:hint="cs"/>
          <w:spacing w:val="0"/>
          <w:kern w:val="0"/>
          <w:rtl/>
          <w:lang w:val="en-CA"/>
        </w:rPr>
        <w:tab/>
        <w:t>و</w:t>
      </w:r>
      <w:r w:rsidRPr="00EA66E5">
        <w:rPr>
          <w:spacing w:val="0"/>
          <w:kern w:val="0"/>
          <w:rtl/>
          <w:lang w:val="en-CA"/>
        </w:rPr>
        <w:t xml:space="preserve">في 5 كانون الثاني/يناير 2009، أرسلت محكمة </w:t>
      </w:r>
      <w:r w:rsidRPr="00EA66E5">
        <w:rPr>
          <w:rFonts w:hint="cs"/>
          <w:spacing w:val="0"/>
          <w:kern w:val="0"/>
          <w:rtl/>
          <w:lang w:val="en-CA"/>
        </w:rPr>
        <w:t>التحقيق</w:t>
      </w:r>
      <w:r w:rsidRPr="00EA66E5">
        <w:rPr>
          <w:spacing w:val="0"/>
          <w:kern w:val="0"/>
          <w:rtl/>
          <w:lang w:val="en-CA"/>
        </w:rPr>
        <w:t xml:space="preserve"> رقم 1 في سبتة إخطاراً إلى السيد </w:t>
      </w:r>
      <w:r w:rsidRPr="00EA66E5">
        <w:rPr>
          <w:rFonts w:hint="cs"/>
          <w:spacing w:val="0"/>
          <w:kern w:val="0"/>
          <w:rtl/>
          <w:lang w:val="en-CA"/>
        </w:rPr>
        <w:t>ي</w:t>
      </w:r>
      <w:r w:rsidRPr="00EA66E5">
        <w:rPr>
          <w:spacing w:val="0"/>
          <w:kern w:val="0"/>
          <w:rtl/>
          <w:lang w:val="en-CA"/>
        </w:rPr>
        <w:t xml:space="preserve">انكوبا كولي، </w:t>
      </w:r>
      <w:r w:rsidRPr="00EA66E5">
        <w:rPr>
          <w:rFonts w:hint="cs"/>
          <w:spacing w:val="0"/>
          <w:kern w:val="0"/>
          <w:rtl/>
          <w:lang w:val="en-CA"/>
        </w:rPr>
        <w:t>أحد أبناء عمومة</w:t>
      </w:r>
      <w:r w:rsidRPr="00EA66E5">
        <w:rPr>
          <w:spacing w:val="0"/>
          <w:kern w:val="0"/>
          <w:rtl/>
          <w:lang w:val="en-CA"/>
        </w:rPr>
        <w:t xml:space="preserve"> الضحية.</w:t>
      </w:r>
      <w:r w:rsidRPr="00EA66E5">
        <w:rPr>
          <w:rFonts w:hint="cs"/>
          <w:spacing w:val="0"/>
          <w:kern w:val="0"/>
          <w:rtl/>
          <w:lang w:val="en-CA"/>
        </w:rPr>
        <w:t xml:space="preserve"> </w:t>
      </w:r>
      <w:r w:rsidRPr="00EA66E5">
        <w:rPr>
          <w:spacing w:val="0"/>
          <w:kern w:val="0"/>
          <w:rtl/>
          <w:lang w:val="en-CA"/>
        </w:rPr>
        <w:t>وفي 19 شباط/</w:t>
      </w:r>
      <w:r w:rsidR="008C3E8A">
        <w:rPr>
          <w:rFonts w:hint="cs"/>
          <w:spacing w:val="0"/>
          <w:kern w:val="0"/>
          <w:rtl/>
          <w:lang w:val="en-CA"/>
        </w:rPr>
        <w:t xml:space="preserve"> </w:t>
      </w:r>
      <w:r w:rsidRPr="00EA66E5">
        <w:rPr>
          <w:spacing w:val="0"/>
          <w:kern w:val="0"/>
          <w:rtl/>
          <w:lang w:val="en-CA"/>
        </w:rPr>
        <w:t>فبراير</w:t>
      </w:r>
      <w:r w:rsidR="008C3E8A">
        <w:rPr>
          <w:rFonts w:hint="cs"/>
          <w:spacing w:val="0"/>
          <w:kern w:val="0"/>
          <w:rtl/>
          <w:lang w:val="en-CA"/>
        </w:rPr>
        <w:t> </w:t>
      </w:r>
      <w:r w:rsidRPr="00EA66E5">
        <w:rPr>
          <w:spacing w:val="0"/>
          <w:kern w:val="0"/>
          <w:rtl/>
          <w:lang w:val="en-CA"/>
        </w:rPr>
        <w:t xml:space="preserve">2009، قررت محكمة </w:t>
      </w:r>
      <w:r w:rsidRPr="00EA66E5">
        <w:rPr>
          <w:rFonts w:hint="cs"/>
          <w:spacing w:val="0"/>
          <w:kern w:val="0"/>
          <w:rtl/>
          <w:lang w:val="en-CA"/>
        </w:rPr>
        <w:t>التحقيق</w:t>
      </w:r>
      <w:r w:rsidRPr="00EA66E5">
        <w:rPr>
          <w:spacing w:val="0"/>
          <w:kern w:val="0"/>
          <w:rtl/>
          <w:lang w:val="en-CA"/>
        </w:rPr>
        <w:t xml:space="preserve"> رقم 1 في سبتة </w:t>
      </w:r>
      <w:r w:rsidRPr="00EA66E5">
        <w:rPr>
          <w:rFonts w:hint="cs"/>
          <w:spacing w:val="0"/>
          <w:kern w:val="0"/>
          <w:rtl/>
          <w:lang w:val="en-CA"/>
        </w:rPr>
        <w:t xml:space="preserve">التنحي عن النظر في </w:t>
      </w:r>
      <w:r w:rsidRPr="00EA66E5">
        <w:rPr>
          <w:spacing w:val="0"/>
          <w:kern w:val="0"/>
          <w:rtl/>
          <w:lang w:val="en-CA"/>
        </w:rPr>
        <w:t>القضية وتحويلها إلى المحكمة الوطنية العليا.</w:t>
      </w:r>
    </w:p>
    <w:p w:rsidR="00EA66E5" w:rsidRPr="00EA66E5" w:rsidRDefault="00EA66E5" w:rsidP="008C3E8A">
      <w:pPr>
        <w:pStyle w:val="Bullet1GA"/>
        <w:numPr>
          <w:ilvl w:val="0"/>
          <w:numId w:val="0"/>
        </w:numPr>
        <w:tabs>
          <w:tab w:val="left" w:pos="2438"/>
        </w:tabs>
        <w:bidi/>
        <w:ind w:left="1928"/>
        <w:jc w:val="lowKashida"/>
        <w:rPr>
          <w:spacing w:val="0"/>
          <w:kern w:val="0"/>
          <w:rtl/>
          <w:lang w:val="en-CA"/>
        </w:rPr>
      </w:pPr>
      <w:r w:rsidRPr="00EA66E5">
        <w:rPr>
          <w:rFonts w:hint="cs"/>
          <w:spacing w:val="0"/>
          <w:kern w:val="0"/>
          <w:rtl/>
          <w:lang w:val="en-CA"/>
        </w:rPr>
        <w:t>11-</w:t>
      </w:r>
      <w:r w:rsidRPr="00EA66E5">
        <w:rPr>
          <w:rFonts w:hint="cs"/>
          <w:spacing w:val="0"/>
          <w:kern w:val="0"/>
          <w:rtl/>
          <w:lang w:val="en-CA"/>
        </w:rPr>
        <w:tab/>
        <w:t>و</w:t>
      </w:r>
      <w:r w:rsidRPr="00EA66E5">
        <w:rPr>
          <w:spacing w:val="0"/>
          <w:kern w:val="0"/>
          <w:rtl/>
          <w:lang w:val="en-CA"/>
        </w:rPr>
        <w:t xml:space="preserve">في </w:t>
      </w:r>
      <w:r w:rsidRPr="00EA66E5">
        <w:rPr>
          <w:rFonts w:hint="cs"/>
          <w:spacing w:val="0"/>
          <w:kern w:val="0"/>
          <w:rtl/>
          <w:lang w:val="en-CA"/>
        </w:rPr>
        <w:t xml:space="preserve">12 </w:t>
      </w:r>
      <w:r w:rsidRPr="00EA66E5">
        <w:rPr>
          <w:spacing w:val="0"/>
          <w:kern w:val="0"/>
          <w:rtl/>
          <w:lang w:val="en-CA"/>
        </w:rPr>
        <w:t xml:space="preserve">شباط/فبراير 2009، أخطر كبير محامي الدولة محكمة </w:t>
      </w:r>
      <w:r w:rsidRPr="00EA66E5">
        <w:rPr>
          <w:rFonts w:hint="cs"/>
          <w:spacing w:val="0"/>
          <w:kern w:val="0"/>
          <w:rtl/>
          <w:lang w:val="en-CA"/>
        </w:rPr>
        <w:t>التحقيق</w:t>
      </w:r>
      <w:r w:rsidRPr="00EA66E5">
        <w:rPr>
          <w:spacing w:val="0"/>
          <w:kern w:val="0"/>
          <w:rtl/>
          <w:lang w:val="en-CA"/>
        </w:rPr>
        <w:t xml:space="preserve"> رقم</w:t>
      </w:r>
      <w:r w:rsidR="008C3E8A">
        <w:rPr>
          <w:rFonts w:hint="cs"/>
          <w:spacing w:val="0"/>
          <w:kern w:val="0"/>
          <w:rtl/>
          <w:lang w:val="en-CA"/>
        </w:rPr>
        <w:t> </w:t>
      </w:r>
      <w:r w:rsidRPr="00EA66E5">
        <w:rPr>
          <w:spacing w:val="0"/>
          <w:kern w:val="0"/>
          <w:rtl/>
          <w:lang w:val="en-CA"/>
        </w:rPr>
        <w:t xml:space="preserve">1 في سبتة </w:t>
      </w:r>
      <w:r w:rsidRPr="00EA66E5">
        <w:rPr>
          <w:rFonts w:hint="cs"/>
          <w:spacing w:val="0"/>
          <w:kern w:val="0"/>
          <w:rtl/>
          <w:lang w:val="en-CA"/>
        </w:rPr>
        <w:t>بأن هناك</w:t>
      </w:r>
      <w:r w:rsidRPr="00EA66E5">
        <w:rPr>
          <w:spacing w:val="0"/>
          <w:kern w:val="0"/>
          <w:rtl/>
          <w:lang w:val="en-CA"/>
        </w:rPr>
        <w:t xml:space="preserve"> شكوى </w:t>
      </w:r>
      <w:r w:rsidRPr="00EA66E5">
        <w:rPr>
          <w:rFonts w:hint="cs"/>
          <w:spacing w:val="0"/>
          <w:kern w:val="0"/>
          <w:rtl/>
          <w:lang w:val="en-CA"/>
        </w:rPr>
        <w:t xml:space="preserve">قدمت </w:t>
      </w:r>
      <w:r w:rsidRPr="00EA66E5">
        <w:rPr>
          <w:spacing w:val="0"/>
          <w:kern w:val="0"/>
          <w:rtl/>
          <w:lang w:val="en-CA"/>
        </w:rPr>
        <w:t>إلى لجنة مناهضة التعذيب.</w:t>
      </w:r>
    </w:p>
    <w:p w:rsidR="00EA66E5" w:rsidRPr="008C3E8A" w:rsidRDefault="00EA66E5" w:rsidP="008C3E8A">
      <w:pPr>
        <w:pStyle w:val="SingleTxtGA"/>
        <w:jc w:val="lowKashida"/>
        <w:rPr>
          <w:rFonts w:hint="cs"/>
          <w:spacing w:val="-2"/>
          <w:kern w:val="0"/>
          <w:rtl/>
          <w:lang w:val="en-CA"/>
        </w:rPr>
      </w:pPr>
      <w:r w:rsidRPr="008C3E8A">
        <w:rPr>
          <w:spacing w:val="-2"/>
          <w:kern w:val="0"/>
          <w:rtl/>
          <w:lang w:val="en-CA"/>
        </w:rPr>
        <w:t>6-4</w:t>
      </w:r>
      <w:r w:rsidRPr="008C3E8A">
        <w:rPr>
          <w:spacing w:val="-2"/>
          <w:kern w:val="0"/>
          <w:rtl/>
          <w:lang w:val="en-CA"/>
        </w:rPr>
        <w:tab/>
        <w:t>وترى الدولة الطرف أن الوقائع الواردة في الشكوى لا تدل على حدوث تعذيب أو</w:t>
      </w:r>
      <w:r w:rsidR="008C3E8A">
        <w:rPr>
          <w:rFonts w:hint="cs"/>
          <w:spacing w:val="-2"/>
          <w:kern w:val="0"/>
          <w:rtl/>
          <w:lang w:val="en-CA"/>
        </w:rPr>
        <w:t> </w:t>
      </w:r>
      <w:r w:rsidRPr="008C3E8A">
        <w:rPr>
          <w:spacing w:val="-2"/>
          <w:kern w:val="0"/>
          <w:rtl/>
          <w:lang w:val="en-CA"/>
        </w:rPr>
        <w:t xml:space="preserve">سوء معاملة، ولكن </w:t>
      </w:r>
      <w:r w:rsidRPr="008C3E8A">
        <w:rPr>
          <w:rFonts w:hint="cs"/>
          <w:spacing w:val="-2"/>
          <w:kern w:val="0"/>
          <w:rtl/>
          <w:lang w:val="en-CA"/>
        </w:rPr>
        <w:t xml:space="preserve">وقوع </w:t>
      </w:r>
      <w:r w:rsidRPr="008C3E8A">
        <w:rPr>
          <w:spacing w:val="-2"/>
          <w:kern w:val="0"/>
          <w:rtl/>
          <w:lang w:val="en-CA"/>
        </w:rPr>
        <w:t xml:space="preserve">حادث مؤسف عندما ساعدت دورية الحرس المدني عدة أشخاص كانوا يسبحون في البحر ونقلتهم إلى </w:t>
      </w:r>
      <w:r w:rsidRPr="008C3E8A">
        <w:rPr>
          <w:rFonts w:hint="cs"/>
          <w:spacing w:val="-2"/>
          <w:kern w:val="0"/>
          <w:rtl/>
          <w:lang w:val="en-CA"/>
        </w:rPr>
        <w:t xml:space="preserve">منطقة قريبة من </w:t>
      </w:r>
      <w:r w:rsidRPr="008C3E8A">
        <w:rPr>
          <w:spacing w:val="-2"/>
          <w:kern w:val="0"/>
          <w:rtl/>
          <w:lang w:val="en-CA"/>
        </w:rPr>
        <w:t xml:space="preserve">الشاطئ. وتؤكد </w:t>
      </w:r>
      <w:r w:rsidRPr="008C3E8A">
        <w:rPr>
          <w:rFonts w:hint="cs"/>
          <w:spacing w:val="-2"/>
          <w:kern w:val="0"/>
          <w:rtl/>
          <w:lang w:val="en-CA"/>
        </w:rPr>
        <w:t xml:space="preserve">الدولة الطرف </w:t>
      </w:r>
      <w:r w:rsidRPr="008C3E8A">
        <w:rPr>
          <w:spacing w:val="-2"/>
          <w:kern w:val="0"/>
          <w:rtl/>
          <w:lang w:val="en-CA"/>
        </w:rPr>
        <w:t>أن الأحداث وقعت في المياه المغربية وأن الأشخاص الذين انتشلتهم السفينة ت</w:t>
      </w:r>
      <w:r w:rsidRPr="008C3E8A">
        <w:rPr>
          <w:rFonts w:hint="cs"/>
          <w:spacing w:val="-2"/>
          <w:kern w:val="0"/>
          <w:rtl/>
          <w:lang w:val="en-CA"/>
        </w:rPr>
        <w:t>ُ</w:t>
      </w:r>
      <w:r w:rsidRPr="008C3E8A">
        <w:rPr>
          <w:spacing w:val="-2"/>
          <w:kern w:val="0"/>
          <w:rtl/>
          <w:lang w:val="en-CA"/>
        </w:rPr>
        <w:t xml:space="preserve">ركوا في منطقة قريبة جداً من الشاطئ، وأن </w:t>
      </w:r>
      <w:r w:rsidRPr="008C3E8A">
        <w:rPr>
          <w:rFonts w:hint="cs"/>
          <w:spacing w:val="-2"/>
          <w:kern w:val="0"/>
          <w:rtl/>
          <w:lang w:val="en-CA"/>
        </w:rPr>
        <w:t>ضابطي</w:t>
      </w:r>
      <w:r w:rsidRPr="008C3E8A">
        <w:rPr>
          <w:spacing w:val="-2"/>
          <w:kern w:val="0"/>
          <w:rtl/>
          <w:lang w:val="en-CA"/>
        </w:rPr>
        <w:t xml:space="preserve"> الحرس المدني لم </w:t>
      </w:r>
      <w:r w:rsidRPr="008C3E8A">
        <w:rPr>
          <w:rFonts w:hint="cs"/>
          <w:spacing w:val="-2"/>
          <w:kern w:val="0"/>
          <w:rtl/>
          <w:lang w:val="en-CA"/>
        </w:rPr>
        <w:t>يحدثا ثقوباً في</w:t>
      </w:r>
      <w:r w:rsidRPr="008C3E8A">
        <w:rPr>
          <w:spacing w:val="-2"/>
          <w:kern w:val="0"/>
          <w:rtl/>
          <w:lang w:val="en-CA"/>
        </w:rPr>
        <w:t xml:space="preserve"> </w:t>
      </w:r>
      <w:r w:rsidRPr="008C3E8A">
        <w:rPr>
          <w:rFonts w:hint="cs"/>
          <w:spacing w:val="-2"/>
          <w:kern w:val="0"/>
          <w:rtl/>
          <w:lang w:val="en-CA"/>
        </w:rPr>
        <w:t>الزوارق</w:t>
      </w:r>
      <w:r w:rsidRPr="008C3E8A">
        <w:rPr>
          <w:spacing w:val="-2"/>
          <w:kern w:val="0"/>
          <w:rtl/>
          <w:lang w:val="en-CA"/>
        </w:rPr>
        <w:t xml:space="preserve"> المطاطية للسيد سونكو ورفاقه، وأن </w:t>
      </w:r>
      <w:r w:rsidRPr="008C3E8A">
        <w:rPr>
          <w:rFonts w:hint="cs"/>
          <w:spacing w:val="-2"/>
          <w:kern w:val="0"/>
          <w:rtl/>
          <w:lang w:val="en-CA"/>
        </w:rPr>
        <w:t>ضابطي</w:t>
      </w:r>
      <w:r w:rsidRPr="008C3E8A">
        <w:rPr>
          <w:spacing w:val="-2"/>
          <w:kern w:val="0"/>
          <w:rtl/>
          <w:lang w:val="en-CA"/>
        </w:rPr>
        <w:t xml:space="preserve"> الحرس المدني ساعدا السيد سونكو </w:t>
      </w:r>
      <w:r w:rsidRPr="008C3E8A">
        <w:rPr>
          <w:rFonts w:hint="cs"/>
          <w:spacing w:val="-2"/>
          <w:kern w:val="0"/>
          <w:rtl/>
          <w:lang w:val="en-CA"/>
        </w:rPr>
        <w:t>ومارسا</w:t>
      </w:r>
      <w:r w:rsidRPr="008C3E8A">
        <w:rPr>
          <w:spacing w:val="-2"/>
          <w:kern w:val="0"/>
          <w:rtl/>
          <w:lang w:val="en-CA"/>
        </w:rPr>
        <w:t xml:space="preserve"> </w:t>
      </w:r>
      <w:r w:rsidRPr="008C3E8A">
        <w:rPr>
          <w:rFonts w:hint="cs"/>
          <w:spacing w:val="-2"/>
          <w:kern w:val="0"/>
          <w:rtl/>
          <w:lang w:val="en-CA"/>
        </w:rPr>
        <w:t xml:space="preserve">معه </w:t>
      </w:r>
      <w:r w:rsidRPr="008C3E8A">
        <w:rPr>
          <w:spacing w:val="-2"/>
          <w:kern w:val="0"/>
          <w:rtl/>
          <w:lang w:val="en-CA"/>
        </w:rPr>
        <w:t xml:space="preserve">تقنيات </w:t>
      </w:r>
      <w:r w:rsidRPr="008C3E8A">
        <w:rPr>
          <w:rFonts w:hint="cs"/>
          <w:spacing w:val="-2"/>
          <w:kern w:val="0"/>
          <w:rtl/>
          <w:lang w:val="en-CA"/>
        </w:rPr>
        <w:t>الإنعاش</w:t>
      </w:r>
      <w:r w:rsidRPr="008C3E8A">
        <w:rPr>
          <w:spacing w:val="-2"/>
          <w:kern w:val="0"/>
          <w:rtl/>
          <w:lang w:val="en-CA"/>
        </w:rPr>
        <w:t>.</w:t>
      </w:r>
    </w:p>
    <w:p w:rsidR="00EA66E5" w:rsidRPr="00EA66E5" w:rsidRDefault="00EA66E5" w:rsidP="00EA66E5">
      <w:pPr>
        <w:pStyle w:val="H23GA"/>
        <w:jc w:val="lowKashida"/>
        <w:rPr>
          <w:spacing w:val="0"/>
          <w:kern w:val="0"/>
          <w:rtl/>
        </w:rPr>
      </w:pPr>
      <w:r w:rsidRPr="00EA66E5">
        <w:rPr>
          <w:rFonts w:hint="cs"/>
          <w:spacing w:val="0"/>
          <w:kern w:val="0"/>
          <w:rtl/>
        </w:rPr>
        <w:tab/>
      </w:r>
      <w:r w:rsidRPr="00EA66E5">
        <w:rPr>
          <w:rFonts w:hint="cs"/>
          <w:spacing w:val="0"/>
          <w:kern w:val="0"/>
          <w:rtl/>
        </w:rPr>
        <w:tab/>
      </w:r>
      <w:r w:rsidRPr="00EA66E5">
        <w:rPr>
          <w:spacing w:val="0"/>
          <w:kern w:val="0"/>
          <w:rtl/>
        </w:rPr>
        <w:t>تعليقات صاحبة الشكوى على ملاحظات الدولة الطرف</w:t>
      </w:r>
    </w:p>
    <w:p w:rsidR="00EA66E5" w:rsidRPr="00EA66E5" w:rsidRDefault="00EA66E5" w:rsidP="00EA66E5">
      <w:pPr>
        <w:pStyle w:val="SingleTxtGA"/>
        <w:jc w:val="lowKashida"/>
        <w:rPr>
          <w:spacing w:val="0"/>
          <w:kern w:val="0"/>
          <w:rtl/>
          <w:lang w:val="en-CA"/>
        </w:rPr>
      </w:pPr>
      <w:r w:rsidRPr="00EA66E5">
        <w:rPr>
          <w:spacing w:val="0"/>
          <w:kern w:val="0"/>
          <w:rtl/>
          <w:lang w:val="en-CA"/>
        </w:rPr>
        <w:t>7-1</w:t>
      </w:r>
      <w:r w:rsidRPr="00EA66E5">
        <w:rPr>
          <w:spacing w:val="0"/>
          <w:kern w:val="0"/>
          <w:rtl/>
          <w:lang w:val="en-CA"/>
        </w:rPr>
        <w:tab/>
        <w:t>في 3 تموز/يوليه 2009، قدمت صاحبة الشكوى تعليقها على الملاحظات التي قدمتها الدولة الطرف.</w:t>
      </w:r>
    </w:p>
    <w:p w:rsidR="00EA66E5" w:rsidRPr="00EA66E5" w:rsidRDefault="00EA66E5" w:rsidP="008D1B92">
      <w:pPr>
        <w:pStyle w:val="SingleTxtGA"/>
        <w:jc w:val="lowKashida"/>
        <w:rPr>
          <w:spacing w:val="0"/>
          <w:kern w:val="0"/>
          <w:rtl/>
          <w:lang w:val="en-CA"/>
        </w:rPr>
      </w:pPr>
      <w:r w:rsidRPr="00EA66E5">
        <w:rPr>
          <w:spacing w:val="0"/>
          <w:kern w:val="0"/>
          <w:rtl/>
          <w:lang w:val="en-CA"/>
        </w:rPr>
        <w:t>7-2</w:t>
      </w:r>
      <w:r w:rsidRPr="00EA66E5">
        <w:rPr>
          <w:spacing w:val="0"/>
          <w:kern w:val="0"/>
          <w:rtl/>
          <w:lang w:val="en-CA"/>
        </w:rPr>
        <w:tab/>
        <w:t>وتدعي صاحبة الشكوى أن سبل الانتصاف القضائية استن</w:t>
      </w:r>
      <w:r w:rsidRPr="00EA66E5">
        <w:rPr>
          <w:rFonts w:hint="cs"/>
          <w:spacing w:val="0"/>
          <w:kern w:val="0"/>
          <w:rtl/>
          <w:lang w:val="en-CA"/>
        </w:rPr>
        <w:t>ف</w:t>
      </w:r>
      <w:r w:rsidRPr="00EA66E5">
        <w:rPr>
          <w:spacing w:val="0"/>
          <w:kern w:val="0"/>
          <w:rtl/>
          <w:lang w:val="en-CA"/>
        </w:rPr>
        <w:t xml:space="preserve">دت، نظراً لأن </w:t>
      </w:r>
      <w:r w:rsidRPr="00EA66E5">
        <w:rPr>
          <w:rFonts w:hint="cs"/>
          <w:spacing w:val="0"/>
          <w:kern w:val="0"/>
          <w:rtl/>
          <w:lang w:val="en-CA"/>
        </w:rPr>
        <w:t>الإجراء</w:t>
      </w:r>
      <w:r w:rsidRPr="00EA66E5">
        <w:rPr>
          <w:spacing w:val="0"/>
          <w:kern w:val="0"/>
          <w:rtl/>
          <w:lang w:val="en-CA"/>
        </w:rPr>
        <w:t xml:space="preserve"> رقم</w:t>
      </w:r>
      <w:r w:rsidRPr="00EA66E5">
        <w:rPr>
          <w:rFonts w:hint="cs"/>
          <w:spacing w:val="0"/>
          <w:kern w:val="0"/>
          <w:rtl/>
          <w:lang w:val="en-CA"/>
        </w:rPr>
        <w:t> </w:t>
      </w:r>
      <w:r w:rsidRPr="00EA66E5">
        <w:rPr>
          <w:spacing w:val="0"/>
          <w:kern w:val="0"/>
          <w:rtl/>
          <w:lang w:val="en-CA"/>
        </w:rPr>
        <w:t>1135/2007 أغلق في 23 نيسان/أبريل 2009.</w:t>
      </w:r>
      <w:r w:rsidRPr="00EA66E5">
        <w:rPr>
          <w:rFonts w:hint="cs"/>
          <w:spacing w:val="0"/>
          <w:kern w:val="0"/>
          <w:rtl/>
          <w:lang w:val="en-CA"/>
        </w:rPr>
        <w:t xml:space="preserve"> </w:t>
      </w:r>
      <w:r w:rsidRPr="00EA66E5">
        <w:rPr>
          <w:spacing w:val="0"/>
          <w:kern w:val="0"/>
          <w:rtl/>
          <w:lang w:val="en-CA"/>
        </w:rPr>
        <w:t>وأرفقت صاحبة الشكوى أقوالاً أدل</w:t>
      </w:r>
      <w:r w:rsidRPr="00EA66E5">
        <w:rPr>
          <w:rFonts w:hint="cs"/>
          <w:spacing w:val="0"/>
          <w:kern w:val="0"/>
          <w:rtl/>
          <w:lang w:val="en-CA"/>
        </w:rPr>
        <w:t>ت</w:t>
      </w:r>
      <w:r w:rsidRPr="00EA66E5">
        <w:rPr>
          <w:spacing w:val="0"/>
          <w:kern w:val="0"/>
          <w:rtl/>
          <w:lang w:val="en-CA"/>
        </w:rPr>
        <w:t xml:space="preserve"> بها تحت القسم السيدة عبد الرحمن محامية السيد داو توريه الذي كان شاهداً في </w:t>
      </w:r>
      <w:r w:rsidRPr="00EA66E5">
        <w:rPr>
          <w:rFonts w:hint="cs"/>
          <w:spacing w:val="0"/>
          <w:kern w:val="0"/>
          <w:rtl/>
          <w:lang w:val="en-CA"/>
        </w:rPr>
        <w:t>الإجراءات</w:t>
      </w:r>
      <w:r w:rsidRPr="00EA66E5">
        <w:rPr>
          <w:spacing w:val="0"/>
          <w:kern w:val="0"/>
          <w:rtl/>
          <w:lang w:val="en-CA"/>
        </w:rPr>
        <w:t xml:space="preserve"> التي شرعت فيها محكمة الاستجواب رقم 1 في سبتة فيما يتصل بوفاة السيد سونكو، تشير فيها إلى أن النائب العام </w:t>
      </w:r>
      <w:r w:rsidRPr="00EA66E5">
        <w:rPr>
          <w:rFonts w:hint="cs"/>
          <w:spacing w:val="0"/>
          <w:kern w:val="0"/>
          <w:rtl/>
          <w:lang w:val="en-CA"/>
        </w:rPr>
        <w:t xml:space="preserve">في </w:t>
      </w:r>
      <w:r w:rsidRPr="00EA66E5">
        <w:rPr>
          <w:spacing w:val="0"/>
          <w:kern w:val="0"/>
          <w:rtl/>
          <w:lang w:val="en-CA"/>
        </w:rPr>
        <w:t xml:space="preserve">سبتة أبلغها في 23 نيسان/أبريل 2009 </w:t>
      </w:r>
      <w:r w:rsidRPr="00EA66E5">
        <w:rPr>
          <w:rFonts w:hint="cs"/>
          <w:spacing w:val="0"/>
          <w:kern w:val="0"/>
          <w:rtl/>
          <w:lang w:val="en-CA"/>
        </w:rPr>
        <w:t>ب</w:t>
      </w:r>
      <w:r w:rsidRPr="00EA66E5">
        <w:rPr>
          <w:spacing w:val="0"/>
          <w:kern w:val="0"/>
          <w:rtl/>
          <w:lang w:val="en-CA"/>
        </w:rPr>
        <w:t>أنه: "فيما</w:t>
      </w:r>
      <w:r w:rsidR="008D1B92">
        <w:rPr>
          <w:rFonts w:hint="cs"/>
          <w:spacing w:val="0"/>
          <w:kern w:val="0"/>
          <w:rtl/>
          <w:lang w:val="en-CA"/>
        </w:rPr>
        <w:t> </w:t>
      </w:r>
      <w:r w:rsidRPr="00EA66E5">
        <w:rPr>
          <w:spacing w:val="0"/>
          <w:kern w:val="0"/>
          <w:rtl/>
          <w:lang w:val="en-CA"/>
        </w:rPr>
        <w:t>يتعلق بطلبك</w:t>
      </w:r>
      <w:r w:rsidRPr="00EA66E5">
        <w:rPr>
          <w:rFonts w:hint="cs"/>
          <w:spacing w:val="0"/>
          <w:kern w:val="0"/>
          <w:rtl/>
          <w:lang w:val="en-CA"/>
        </w:rPr>
        <w:t>م</w:t>
      </w:r>
      <w:r w:rsidRPr="00EA66E5">
        <w:rPr>
          <w:spacing w:val="0"/>
          <w:kern w:val="0"/>
          <w:rtl/>
          <w:lang w:val="en-CA"/>
        </w:rPr>
        <w:t xml:space="preserve"> المؤرخ 6 نيسان/أبريل 2009 [...] المتعلق </w:t>
      </w:r>
      <w:r w:rsidRPr="00EA66E5">
        <w:rPr>
          <w:spacing w:val="0"/>
          <w:kern w:val="0"/>
          <w:sz w:val="32"/>
          <w:szCs w:val="32"/>
          <w:rtl/>
          <w:lang w:val="en-CA"/>
        </w:rPr>
        <w:t>بالسيد داو توريه</w:t>
      </w:r>
      <w:r w:rsidRPr="00EA66E5">
        <w:rPr>
          <w:spacing w:val="0"/>
          <w:kern w:val="0"/>
          <w:rtl/>
          <w:lang w:val="en-CA"/>
        </w:rPr>
        <w:t xml:space="preserve"> ودوره كشاهد في موجز </w:t>
      </w:r>
      <w:r w:rsidRPr="00EA66E5">
        <w:rPr>
          <w:rFonts w:hint="cs"/>
          <w:spacing w:val="0"/>
          <w:kern w:val="0"/>
          <w:rtl/>
          <w:lang w:val="en-CA"/>
        </w:rPr>
        <w:t xml:space="preserve">الدعوى </w:t>
      </w:r>
      <w:r w:rsidRPr="00EA66E5">
        <w:rPr>
          <w:spacing w:val="0"/>
          <w:kern w:val="0"/>
          <w:rtl/>
          <w:lang w:val="en-CA"/>
        </w:rPr>
        <w:t>رقم 1135/7، أبلغك</w:t>
      </w:r>
      <w:r w:rsidRPr="00EA66E5">
        <w:rPr>
          <w:rFonts w:hint="cs"/>
          <w:spacing w:val="0"/>
          <w:kern w:val="0"/>
          <w:rtl/>
          <w:lang w:val="en-CA"/>
        </w:rPr>
        <w:t>م</w:t>
      </w:r>
      <w:r w:rsidRPr="00EA66E5">
        <w:rPr>
          <w:spacing w:val="0"/>
          <w:kern w:val="0"/>
          <w:rtl/>
          <w:lang w:val="en-CA"/>
        </w:rPr>
        <w:t xml:space="preserve"> </w:t>
      </w:r>
      <w:r w:rsidRPr="00EA66E5">
        <w:rPr>
          <w:rFonts w:hint="cs"/>
          <w:spacing w:val="0"/>
          <w:kern w:val="0"/>
          <w:rtl/>
          <w:lang w:val="en-CA"/>
        </w:rPr>
        <w:t>ب</w:t>
      </w:r>
      <w:r w:rsidRPr="00EA66E5">
        <w:rPr>
          <w:spacing w:val="0"/>
          <w:kern w:val="0"/>
          <w:rtl/>
          <w:lang w:val="en-CA"/>
        </w:rPr>
        <w:t xml:space="preserve">أن قرار </w:t>
      </w:r>
      <w:r w:rsidRPr="00EA66E5">
        <w:rPr>
          <w:rFonts w:hint="cs"/>
          <w:spacing w:val="0"/>
          <w:kern w:val="0"/>
          <w:rtl/>
          <w:lang w:val="en-CA"/>
        </w:rPr>
        <w:t>الرفض</w:t>
      </w:r>
      <w:r w:rsidRPr="00EA66E5">
        <w:rPr>
          <w:spacing w:val="0"/>
          <w:kern w:val="0"/>
          <w:rtl/>
          <w:lang w:val="en-CA"/>
        </w:rPr>
        <w:t xml:space="preserve"> النهائي المتصل بهذه </w:t>
      </w:r>
      <w:r w:rsidRPr="00EA66E5">
        <w:rPr>
          <w:rFonts w:hint="cs"/>
          <w:spacing w:val="0"/>
          <w:kern w:val="0"/>
          <w:rtl/>
          <w:lang w:val="en-CA"/>
        </w:rPr>
        <w:t>الإجراءات</w:t>
      </w:r>
      <w:r w:rsidRPr="00EA66E5">
        <w:rPr>
          <w:spacing w:val="0"/>
          <w:kern w:val="0"/>
          <w:rtl/>
          <w:lang w:val="en-CA"/>
        </w:rPr>
        <w:t xml:space="preserve"> قد صدر ولم ي</w:t>
      </w:r>
      <w:r w:rsidRPr="00EA66E5">
        <w:rPr>
          <w:rFonts w:hint="cs"/>
          <w:spacing w:val="0"/>
          <w:kern w:val="0"/>
          <w:rtl/>
          <w:lang w:val="en-CA"/>
        </w:rPr>
        <w:t>ُ</w:t>
      </w:r>
      <w:r w:rsidRPr="00EA66E5">
        <w:rPr>
          <w:spacing w:val="0"/>
          <w:kern w:val="0"/>
          <w:rtl/>
          <w:lang w:val="en-CA"/>
        </w:rPr>
        <w:t>طعن فيه</w:t>
      </w:r>
      <w:r w:rsidRPr="00EA66E5">
        <w:rPr>
          <w:rFonts w:hint="cs"/>
          <w:spacing w:val="0"/>
          <w:kern w:val="0"/>
          <w:rtl/>
          <w:lang w:val="en-CA"/>
        </w:rPr>
        <w:t>،</w:t>
      </w:r>
      <w:r w:rsidRPr="00EA66E5">
        <w:rPr>
          <w:spacing w:val="0"/>
          <w:kern w:val="0"/>
          <w:rtl/>
          <w:lang w:val="en-CA"/>
        </w:rPr>
        <w:t xml:space="preserve"> ولذلك لا توجد حاجة إلى مثولك</w:t>
      </w:r>
      <w:r w:rsidRPr="00EA66E5">
        <w:rPr>
          <w:rFonts w:hint="cs"/>
          <w:spacing w:val="0"/>
          <w:kern w:val="0"/>
          <w:rtl/>
          <w:lang w:val="en-CA"/>
        </w:rPr>
        <w:t>م</w:t>
      </w:r>
      <w:r w:rsidRPr="00EA66E5">
        <w:rPr>
          <w:spacing w:val="0"/>
          <w:kern w:val="0"/>
          <w:rtl/>
          <w:lang w:val="en-CA"/>
        </w:rPr>
        <w:t xml:space="preserve"> أمام المحكمة."</w:t>
      </w:r>
    </w:p>
    <w:p w:rsidR="00EA66E5" w:rsidRPr="00EA66E5" w:rsidRDefault="00EA66E5" w:rsidP="00EA66E5">
      <w:pPr>
        <w:pStyle w:val="SingleTxtGA"/>
        <w:jc w:val="lowKashida"/>
        <w:rPr>
          <w:spacing w:val="0"/>
          <w:kern w:val="0"/>
          <w:rtl/>
          <w:lang w:val="en-CA"/>
        </w:rPr>
      </w:pPr>
      <w:r w:rsidRPr="008D1B92">
        <w:rPr>
          <w:spacing w:val="-2"/>
          <w:kern w:val="0"/>
          <w:rtl/>
          <w:lang w:val="en-CA"/>
        </w:rPr>
        <w:t>7-3</w:t>
      </w:r>
      <w:r w:rsidRPr="008D1B92">
        <w:rPr>
          <w:spacing w:val="-2"/>
          <w:kern w:val="0"/>
          <w:rtl/>
          <w:lang w:val="en-CA"/>
        </w:rPr>
        <w:tab/>
        <w:t xml:space="preserve">وتدفع صاحبة الشكوى بأن بيانات الدولة الطرف المتعلقة بإخطار </w:t>
      </w:r>
      <w:r w:rsidRPr="008D1B92">
        <w:rPr>
          <w:rFonts w:hint="cs"/>
          <w:spacing w:val="-2"/>
          <w:kern w:val="0"/>
          <w:rtl/>
          <w:lang w:val="en-CA"/>
        </w:rPr>
        <w:t>أفراد</w:t>
      </w:r>
      <w:r w:rsidRPr="008D1B92">
        <w:rPr>
          <w:spacing w:val="-2"/>
          <w:kern w:val="0"/>
          <w:rtl/>
          <w:lang w:val="en-CA"/>
        </w:rPr>
        <w:t xml:space="preserve"> أسرة السيد سونكو غير </w:t>
      </w:r>
      <w:r w:rsidRPr="008D1B92">
        <w:rPr>
          <w:rFonts w:hint="cs"/>
          <w:spacing w:val="-2"/>
          <w:kern w:val="0"/>
          <w:rtl/>
          <w:lang w:val="en-CA"/>
        </w:rPr>
        <w:t>صحيحة</w:t>
      </w:r>
      <w:r w:rsidRPr="008D1B92">
        <w:rPr>
          <w:spacing w:val="-2"/>
          <w:kern w:val="0"/>
          <w:rtl/>
          <w:lang w:val="en-CA"/>
        </w:rPr>
        <w:t xml:space="preserve">. ذلك أنه منذ </w:t>
      </w:r>
      <w:r w:rsidRPr="008D1B92">
        <w:rPr>
          <w:rFonts w:hint="cs"/>
          <w:spacing w:val="-2"/>
          <w:kern w:val="0"/>
          <w:rtl/>
          <w:lang w:val="en-CA"/>
        </w:rPr>
        <w:t>فتح الدعوى</w:t>
      </w:r>
      <w:r w:rsidRPr="008D1B92">
        <w:rPr>
          <w:spacing w:val="-2"/>
          <w:kern w:val="0"/>
          <w:rtl/>
          <w:lang w:val="en-CA"/>
        </w:rPr>
        <w:t xml:space="preserve"> في تشرين الأول/أكتوبر 2007،</w:t>
      </w:r>
      <w:r w:rsidRPr="008D1B92">
        <w:rPr>
          <w:rFonts w:hint="cs"/>
          <w:spacing w:val="-2"/>
          <w:kern w:val="0"/>
          <w:rtl/>
          <w:lang w:val="en-CA"/>
        </w:rPr>
        <w:t xml:space="preserve"> </w:t>
      </w:r>
      <w:r w:rsidRPr="008D1B92">
        <w:rPr>
          <w:spacing w:val="-2"/>
          <w:kern w:val="0"/>
          <w:rtl/>
          <w:lang w:val="en-CA"/>
        </w:rPr>
        <w:t xml:space="preserve">لم يرسل أي إخطار إلى شقيقته، وهي الشخص المتأثر مباشرة </w:t>
      </w:r>
      <w:r w:rsidRPr="008D1B92">
        <w:rPr>
          <w:rFonts w:hint="cs"/>
          <w:spacing w:val="-2"/>
          <w:kern w:val="0"/>
          <w:rtl/>
          <w:lang w:val="en-CA"/>
        </w:rPr>
        <w:t>بهذه الدعوى</w:t>
      </w:r>
      <w:r w:rsidRPr="008D1B92">
        <w:rPr>
          <w:spacing w:val="-2"/>
          <w:kern w:val="0"/>
          <w:rtl/>
          <w:lang w:val="en-CA"/>
        </w:rPr>
        <w:t xml:space="preserve">. وقد وصل الإخطار المرسل إلى السيد </w:t>
      </w:r>
      <w:r w:rsidRPr="008D1B92">
        <w:rPr>
          <w:rFonts w:hint="cs"/>
          <w:spacing w:val="-2"/>
          <w:kern w:val="0"/>
          <w:rtl/>
          <w:lang w:val="en-CA"/>
        </w:rPr>
        <w:t>ي</w:t>
      </w:r>
      <w:r w:rsidRPr="008D1B92">
        <w:rPr>
          <w:spacing w:val="-2"/>
          <w:kern w:val="0"/>
          <w:rtl/>
          <w:lang w:val="en-CA"/>
        </w:rPr>
        <w:t xml:space="preserve">انكوبا </w:t>
      </w:r>
      <w:r w:rsidRPr="008D1B92">
        <w:rPr>
          <w:rFonts w:hint="cs"/>
          <w:spacing w:val="-2"/>
          <w:kern w:val="0"/>
          <w:rtl/>
          <w:lang w:val="en-CA"/>
        </w:rPr>
        <w:t>كولي أحد أبناء عمومة</w:t>
      </w:r>
      <w:r w:rsidRPr="008D1B92">
        <w:rPr>
          <w:spacing w:val="-2"/>
          <w:kern w:val="0"/>
          <w:rtl/>
          <w:lang w:val="en-CA"/>
        </w:rPr>
        <w:t xml:space="preserve"> السيد سونكو بعد سنة ونصف من </w:t>
      </w:r>
      <w:r w:rsidRPr="008D1B92">
        <w:rPr>
          <w:rFonts w:hint="cs"/>
          <w:spacing w:val="-2"/>
          <w:kern w:val="0"/>
          <w:rtl/>
          <w:lang w:val="en-CA"/>
        </w:rPr>
        <w:t>فتح الدعوى</w:t>
      </w:r>
      <w:r w:rsidRPr="008D1B92">
        <w:rPr>
          <w:spacing w:val="-2"/>
          <w:kern w:val="0"/>
          <w:rtl/>
          <w:lang w:val="en-CA"/>
        </w:rPr>
        <w:t xml:space="preserve">. وفي هذا الصدد، </w:t>
      </w:r>
      <w:r w:rsidRPr="008D1B92">
        <w:rPr>
          <w:rFonts w:hint="cs"/>
          <w:spacing w:val="-2"/>
          <w:kern w:val="0"/>
          <w:rtl/>
          <w:lang w:val="en-CA"/>
        </w:rPr>
        <w:t>تحتج</w:t>
      </w:r>
      <w:r w:rsidRPr="008D1B92">
        <w:rPr>
          <w:spacing w:val="-2"/>
          <w:kern w:val="0"/>
          <w:rtl/>
          <w:lang w:val="en-CA"/>
        </w:rPr>
        <w:t xml:space="preserve"> صاحبة الشكوى بالجملة الثانية من الفقرة (</w:t>
      </w:r>
      <w:r w:rsidRPr="008D1B92">
        <w:rPr>
          <w:rFonts w:hint="cs"/>
          <w:spacing w:val="-2"/>
          <w:kern w:val="0"/>
          <w:rtl/>
          <w:lang w:val="en-CA"/>
        </w:rPr>
        <w:t>ﻫ</w:t>
      </w:r>
      <w:r w:rsidRPr="008D1B92">
        <w:rPr>
          <w:spacing w:val="-2"/>
          <w:kern w:val="0"/>
          <w:rtl/>
          <w:lang w:val="en-CA"/>
        </w:rPr>
        <w:t>) من</w:t>
      </w:r>
      <w:r w:rsidRPr="008D1B92">
        <w:rPr>
          <w:rFonts w:hint="cs"/>
          <w:spacing w:val="-2"/>
          <w:kern w:val="0"/>
          <w:rtl/>
          <w:lang w:val="en-CA"/>
        </w:rPr>
        <w:t xml:space="preserve"> </w:t>
      </w:r>
      <w:r w:rsidRPr="008D1B92">
        <w:rPr>
          <w:spacing w:val="-2"/>
          <w:kern w:val="0"/>
          <w:rtl/>
          <w:lang w:val="en-CA"/>
        </w:rPr>
        <w:t>المادة 107 من النظام الداخلي للجنة. كما تدفع بأن السلطات المختصة منعت الشاهد الوحيد</w:t>
      </w:r>
      <w:r w:rsidRPr="00EA66E5">
        <w:rPr>
          <w:spacing w:val="0"/>
          <w:kern w:val="0"/>
          <w:rtl/>
          <w:lang w:val="en-CA"/>
        </w:rPr>
        <w:t xml:space="preserve"> الحي الموجود في إسبانيا، وهو السيد داو توريه، من المثول أمام </w:t>
      </w:r>
      <w:r w:rsidRPr="00EA66E5">
        <w:rPr>
          <w:rFonts w:hint="eastAsia"/>
          <w:spacing w:val="0"/>
          <w:kern w:val="0"/>
          <w:rtl/>
          <w:lang w:val="en-CA"/>
        </w:rPr>
        <w:t>المحكمة</w:t>
      </w:r>
      <w:r w:rsidRPr="00EA66E5">
        <w:rPr>
          <w:spacing w:val="0"/>
          <w:kern w:val="0"/>
          <w:rtl/>
          <w:lang w:val="en-CA"/>
        </w:rPr>
        <w:t xml:space="preserve"> والإدلاء بشهادته.</w:t>
      </w:r>
    </w:p>
    <w:p w:rsidR="00EA66E5" w:rsidRPr="00EA66E5" w:rsidRDefault="00EA66E5" w:rsidP="00EA66E5">
      <w:pPr>
        <w:pStyle w:val="SingleTxtGA"/>
        <w:spacing w:before="120"/>
        <w:jc w:val="lowKashida"/>
        <w:rPr>
          <w:rFonts w:hint="cs"/>
          <w:spacing w:val="0"/>
          <w:kern w:val="0"/>
          <w:rtl/>
          <w:lang w:val="en-CA"/>
        </w:rPr>
      </w:pPr>
      <w:r w:rsidRPr="00EA66E5">
        <w:rPr>
          <w:spacing w:val="0"/>
          <w:kern w:val="0"/>
          <w:rtl/>
          <w:lang w:val="en-CA"/>
        </w:rPr>
        <w:t>7-4</w:t>
      </w:r>
      <w:r w:rsidRPr="00EA66E5">
        <w:rPr>
          <w:spacing w:val="0"/>
          <w:kern w:val="0"/>
          <w:rtl/>
          <w:lang w:val="en-CA"/>
        </w:rPr>
        <w:tab/>
        <w:t>وتؤكد</w:t>
      </w:r>
      <w:r w:rsidRPr="00EA66E5">
        <w:rPr>
          <w:rFonts w:hint="cs"/>
          <w:spacing w:val="0"/>
          <w:kern w:val="0"/>
          <w:rtl/>
          <w:lang w:val="en-CA"/>
        </w:rPr>
        <w:t xml:space="preserve"> </w:t>
      </w:r>
      <w:r w:rsidRPr="00EA66E5">
        <w:rPr>
          <w:spacing w:val="0"/>
          <w:kern w:val="0"/>
          <w:rtl/>
          <w:lang w:val="en-CA"/>
        </w:rPr>
        <w:t xml:space="preserve">صاحبة الشكوى أن </w:t>
      </w:r>
      <w:r w:rsidRPr="00EA66E5">
        <w:rPr>
          <w:rFonts w:hint="cs"/>
          <w:spacing w:val="0"/>
          <w:kern w:val="0"/>
          <w:rtl/>
          <w:lang w:val="en-CA"/>
        </w:rPr>
        <w:t xml:space="preserve">الدولة هي التي تتحمل، </w:t>
      </w:r>
      <w:r w:rsidRPr="00EA66E5">
        <w:rPr>
          <w:spacing w:val="0"/>
          <w:kern w:val="0"/>
          <w:rtl/>
          <w:lang w:val="en-CA"/>
        </w:rPr>
        <w:t xml:space="preserve">بموجب القانون المحلي، </w:t>
      </w:r>
      <w:r w:rsidRPr="00EA66E5">
        <w:rPr>
          <w:rFonts w:hint="cs"/>
          <w:spacing w:val="0"/>
          <w:kern w:val="0"/>
          <w:rtl/>
          <w:lang w:val="en-CA"/>
        </w:rPr>
        <w:t xml:space="preserve">المسؤولية عن </w:t>
      </w:r>
      <w:r w:rsidRPr="00EA66E5">
        <w:rPr>
          <w:spacing w:val="0"/>
          <w:kern w:val="0"/>
          <w:rtl/>
          <w:lang w:val="en-CA"/>
        </w:rPr>
        <w:t>التحقيق في جريمة ما</w:t>
      </w:r>
      <w:r w:rsidRPr="00EA66E5">
        <w:rPr>
          <w:rFonts w:hint="cs"/>
          <w:spacing w:val="0"/>
          <w:kern w:val="0"/>
          <w:rtl/>
          <w:lang w:val="en-CA"/>
        </w:rPr>
        <w:t xml:space="preserve"> وإقامة الدعوى ومباشرتها</w:t>
      </w:r>
      <w:r w:rsidRPr="00EA66E5">
        <w:rPr>
          <w:spacing w:val="0"/>
          <w:kern w:val="0"/>
          <w:rtl/>
          <w:lang w:val="en-CA"/>
        </w:rPr>
        <w:t xml:space="preserve">. وبالتالي، فإن ادعاءات الدولة الطرف </w:t>
      </w:r>
      <w:r w:rsidRPr="00EA66E5">
        <w:rPr>
          <w:rFonts w:hint="cs"/>
          <w:spacing w:val="0"/>
          <w:kern w:val="0"/>
          <w:rtl/>
          <w:lang w:val="en-CA"/>
        </w:rPr>
        <w:t xml:space="preserve">بشأن </w:t>
      </w:r>
      <w:r w:rsidRPr="00EA66E5">
        <w:rPr>
          <w:spacing w:val="0"/>
          <w:kern w:val="0"/>
          <w:rtl/>
          <w:lang w:val="en-CA"/>
        </w:rPr>
        <w:t xml:space="preserve">الالتزام المفترض </w:t>
      </w:r>
      <w:r w:rsidRPr="00EA66E5">
        <w:rPr>
          <w:rFonts w:hint="cs"/>
          <w:spacing w:val="0"/>
          <w:kern w:val="0"/>
          <w:rtl/>
          <w:lang w:val="en-CA"/>
        </w:rPr>
        <w:t xml:space="preserve">على </w:t>
      </w:r>
      <w:r w:rsidRPr="00EA66E5">
        <w:rPr>
          <w:spacing w:val="0"/>
          <w:kern w:val="0"/>
          <w:rtl/>
          <w:lang w:val="en-CA"/>
        </w:rPr>
        <w:t xml:space="preserve">صاحبة الشكوى </w:t>
      </w:r>
      <w:r w:rsidRPr="00EA66E5">
        <w:rPr>
          <w:rFonts w:hint="cs"/>
          <w:spacing w:val="0"/>
          <w:kern w:val="0"/>
          <w:rtl/>
          <w:lang w:val="en-CA"/>
        </w:rPr>
        <w:t xml:space="preserve">بتحريك الدعوى </w:t>
      </w:r>
      <w:r w:rsidRPr="00EA66E5">
        <w:rPr>
          <w:spacing w:val="0"/>
          <w:kern w:val="0"/>
          <w:rtl/>
          <w:lang w:val="en-CA"/>
        </w:rPr>
        <w:t xml:space="preserve">أو حضورها يفتقر إلى </w:t>
      </w:r>
      <w:r w:rsidRPr="00EA66E5">
        <w:rPr>
          <w:rFonts w:hint="cs"/>
          <w:spacing w:val="0"/>
          <w:kern w:val="0"/>
          <w:rtl/>
          <w:lang w:val="en-CA"/>
        </w:rPr>
        <w:t xml:space="preserve">الوجاهة </w:t>
      </w:r>
      <w:r w:rsidRPr="00EA66E5">
        <w:rPr>
          <w:spacing w:val="0"/>
          <w:kern w:val="0"/>
          <w:rtl/>
          <w:lang w:val="en-CA"/>
        </w:rPr>
        <w:t>القانوني</w:t>
      </w:r>
      <w:r w:rsidRPr="00EA66E5">
        <w:rPr>
          <w:rFonts w:hint="cs"/>
          <w:spacing w:val="0"/>
          <w:kern w:val="0"/>
          <w:rtl/>
          <w:lang w:val="en-CA"/>
        </w:rPr>
        <w:t>ة</w:t>
      </w:r>
      <w:r w:rsidRPr="00EA66E5">
        <w:rPr>
          <w:spacing w:val="0"/>
          <w:kern w:val="0"/>
          <w:rtl/>
          <w:lang w:val="en-CA"/>
        </w:rPr>
        <w:t>.</w:t>
      </w:r>
    </w:p>
    <w:p w:rsidR="00EA66E5" w:rsidRPr="00EA66E5" w:rsidRDefault="00EA66E5" w:rsidP="00EA66E5">
      <w:pPr>
        <w:pStyle w:val="H23GA"/>
        <w:jc w:val="lowKashida"/>
        <w:rPr>
          <w:spacing w:val="0"/>
          <w:kern w:val="0"/>
          <w:rtl/>
        </w:rPr>
      </w:pPr>
      <w:r w:rsidRPr="00EA66E5">
        <w:rPr>
          <w:rFonts w:hint="cs"/>
          <w:spacing w:val="0"/>
          <w:kern w:val="0"/>
          <w:rtl/>
        </w:rPr>
        <w:tab/>
      </w:r>
      <w:r w:rsidRPr="00EA66E5">
        <w:rPr>
          <w:rFonts w:hint="cs"/>
          <w:spacing w:val="0"/>
          <w:kern w:val="0"/>
          <w:rtl/>
        </w:rPr>
        <w:tab/>
        <w:t>ال</w:t>
      </w:r>
      <w:r w:rsidRPr="00EA66E5">
        <w:rPr>
          <w:rFonts w:hint="eastAsia"/>
          <w:spacing w:val="0"/>
          <w:kern w:val="0"/>
          <w:rtl/>
        </w:rPr>
        <w:t>ملاحظات</w:t>
      </w:r>
      <w:r w:rsidRPr="00EA66E5">
        <w:rPr>
          <w:spacing w:val="0"/>
          <w:kern w:val="0"/>
          <w:rtl/>
        </w:rPr>
        <w:t xml:space="preserve"> </w:t>
      </w:r>
      <w:r w:rsidRPr="00EA66E5">
        <w:rPr>
          <w:rFonts w:hint="cs"/>
          <w:spacing w:val="0"/>
          <w:kern w:val="0"/>
          <w:rtl/>
        </w:rPr>
        <w:t>ال</w:t>
      </w:r>
      <w:r w:rsidRPr="00EA66E5">
        <w:rPr>
          <w:spacing w:val="0"/>
          <w:kern w:val="0"/>
          <w:rtl/>
        </w:rPr>
        <w:t xml:space="preserve">إضافية </w:t>
      </w:r>
      <w:r w:rsidRPr="00EA66E5">
        <w:rPr>
          <w:rFonts w:hint="cs"/>
          <w:spacing w:val="0"/>
          <w:kern w:val="0"/>
          <w:rtl/>
        </w:rPr>
        <w:t xml:space="preserve">المقدمة </w:t>
      </w:r>
      <w:r w:rsidRPr="00EA66E5">
        <w:rPr>
          <w:spacing w:val="0"/>
          <w:kern w:val="0"/>
          <w:rtl/>
        </w:rPr>
        <w:t>من الدولة الطرف بشأن المقبولية والأسس الموضوعية</w:t>
      </w:r>
    </w:p>
    <w:p w:rsidR="00EA66E5" w:rsidRPr="00EA66E5" w:rsidRDefault="00EA66E5" w:rsidP="00EA66E5">
      <w:pPr>
        <w:pStyle w:val="SingleTxtGA"/>
        <w:jc w:val="lowKashida"/>
        <w:rPr>
          <w:spacing w:val="0"/>
          <w:kern w:val="0"/>
          <w:rtl/>
          <w:lang w:val="en-CA"/>
        </w:rPr>
      </w:pPr>
      <w:r w:rsidRPr="00EA66E5">
        <w:rPr>
          <w:spacing w:val="0"/>
          <w:kern w:val="0"/>
          <w:rtl/>
          <w:lang w:val="en-CA"/>
        </w:rPr>
        <w:t>8-1</w:t>
      </w:r>
      <w:r w:rsidRPr="00EA66E5">
        <w:rPr>
          <w:spacing w:val="0"/>
          <w:kern w:val="0"/>
          <w:rtl/>
          <w:lang w:val="en-CA"/>
        </w:rPr>
        <w:tab/>
        <w:t>قدمت الدولة الطرف</w:t>
      </w:r>
      <w:r w:rsidRPr="00EA66E5">
        <w:rPr>
          <w:rFonts w:hint="cs"/>
          <w:spacing w:val="0"/>
          <w:kern w:val="0"/>
          <w:rtl/>
          <w:lang w:val="en-CA"/>
        </w:rPr>
        <w:t>،</w:t>
      </w:r>
      <w:r w:rsidRPr="00EA66E5">
        <w:rPr>
          <w:spacing w:val="0"/>
          <w:kern w:val="0"/>
          <w:rtl/>
          <w:lang w:val="en-CA"/>
        </w:rPr>
        <w:t xml:space="preserve"> في 28 أيار/مايو 2011، معلومات إضافية </w:t>
      </w:r>
      <w:r w:rsidRPr="00EA66E5">
        <w:rPr>
          <w:rFonts w:hint="cs"/>
          <w:spacing w:val="0"/>
          <w:kern w:val="0"/>
          <w:rtl/>
          <w:lang w:val="en-CA"/>
        </w:rPr>
        <w:t>ت</w:t>
      </w:r>
      <w:r w:rsidRPr="00EA66E5">
        <w:rPr>
          <w:spacing w:val="0"/>
          <w:kern w:val="0"/>
          <w:rtl/>
          <w:lang w:val="en-CA"/>
        </w:rPr>
        <w:t xml:space="preserve">تعلق بالوضع الحالي </w:t>
      </w:r>
      <w:r w:rsidRPr="00EA66E5">
        <w:rPr>
          <w:rFonts w:hint="cs"/>
          <w:spacing w:val="0"/>
          <w:kern w:val="0"/>
          <w:rtl/>
          <w:lang w:val="en-CA"/>
        </w:rPr>
        <w:t>للدعوى</w:t>
      </w:r>
      <w:r w:rsidRPr="00EA66E5">
        <w:rPr>
          <w:spacing w:val="0"/>
          <w:kern w:val="0"/>
          <w:rtl/>
          <w:lang w:val="en-CA"/>
        </w:rPr>
        <w:t>.</w:t>
      </w:r>
    </w:p>
    <w:p w:rsidR="00EA66E5" w:rsidRPr="00EA66E5" w:rsidRDefault="00EA66E5" w:rsidP="00EA66E5">
      <w:pPr>
        <w:pStyle w:val="SingleTxtGA"/>
        <w:jc w:val="lowKashida"/>
        <w:rPr>
          <w:spacing w:val="0"/>
          <w:kern w:val="0"/>
          <w:rtl/>
          <w:lang w:val="en-CA"/>
        </w:rPr>
      </w:pPr>
      <w:r w:rsidRPr="00EA66E5">
        <w:rPr>
          <w:spacing w:val="0"/>
          <w:kern w:val="0"/>
          <w:rtl/>
          <w:lang w:val="en-CA"/>
        </w:rPr>
        <w:t>8-2</w:t>
      </w:r>
      <w:r w:rsidRPr="00EA66E5">
        <w:rPr>
          <w:spacing w:val="0"/>
          <w:kern w:val="0"/>
          <w:rtl/>
          <w:lang w:val="en-CA"/>
        </w:rPr>
        <w:tab/>
        <w:t>وتضيف الدولة الطرف أنه في قرار صادر</w:t>
      </w:r>
      <w:r w:rsidRPr="00EA66E5">
        <w:rPr>
          <w:rFonts w:hint="cs"/>
          <w:spacing w:val="0"/>
          <w:kern w:val="0"/>
          <w:rtl/>
          <w:lang w:val="en-CA"/>
        </w:rPr>
        <w:t xml:space="preserve"> في</w:t>
      </w:r>
      <w:r w:rsidRPr="00EA66E5">
        <w:rPr>
          <w:spacing w:val="0"/>
          <w:kern w:val="0"/>
          <w:rtl/>
          <w:lang w:val="en-CA"/>
        </w:rPr>
        <w:t xml:space="preserve"> 28 تشرين الثاني/نوفمبر 2008، وافقت محكمة </w:t>
      </w:r>
      <w:r w:rsidRPr="00EA66E5">
        <w:rPr>
          <w:rFonts w:hint="cs"/>
          <w:spacing w:val="0"/>
          <w:kern w:val="0"/>
          <w:rtl/>
          <w:lang w:val="en-CA"/>
        </w:rPr>
        <w:t>التحقيق</w:t>
      </w:r>
      <w:r w:rsidRPr="00EA66E5">
        <w:rPr>
          <w:spacing w:val="0"/>
          <w:kern w:val="0"/>
          <w:rtl/>
          <w:lang w:val="en-CA"/>
        </w:rPr>
        <w:t xml:space="preserve"> رقم 1 في سبتة على إخطار </w:t>
      </w:r>
      <w:r w:rsidRPr="00EA66E5">
        <w:rPr>
          <w:rFonts w:hint="cs"/>
          <w:spacing w:val="0"/>
          <w:kern w:val="0"/>
          <w:rtl/>
          <w:lang w:val="en-CA"/>
        </w:rPr>
        <w:t>أفراد</w:t>
      </w:r>
      <w:r w:rsidRPr="00EA66E5">
        <w:rPr>
          <w:spacing w:val="0"/>
          <w:kern w:val="0"/>
          <w:rtl/>
          <w:lang w:val="en-CA"/>
        </w:rPr>
        <w:t xml:space="preserve"> أسرة السيد سونكو</w:t>
      </w:r>
      <w:r w:rsidRPr="00EA66E5">
        <w:rPr>
          <w:rFonts w:hint="cs"/>
          <w:spacing w:val="0"/>
          <w:kern w:val="0"/>
          <w:rtl/>
          <w:lang w:val="en-CA"/>
        </w:rPr>
        <w:t>،</w:t>
      </w:r>
      <w:r w:rsidRPr="00EA66E5">
        <w:rPr>
          <w:spacing w:val="0"/>
          <w:kern w:val="0"/>
          <w:rtl/>
          <w:lang w:val="en-CA"/>
        </w:rPr>
        <w:t xml:space="preserve"> وبالتحديد شقيقته السيدة </w:t>
      </w:r>
      <w:r w:rsidRPr="00EA66E5">
        <w:rPr>
          <w:rFonts w:hint="cs"/>
          <w:spacing w:val="0"/>
          <w:kern w:val="0"/>
          <w:rtl/>
          <w:lang w:val="en-CA"/>
        </w:rPr>
        <w:t>ي</w:t>
      </w:r>
      <w:r w:rsidRPr="00EA66E5">
        <w:rPr>
          <w:spacing w:val="0"/>
          <w:kern w:val="0"/>
          <w:rtl/>
          <w:lang w:val="en-CA"/>
        </w:rPr>
        <w:t>انكوبا كولي بالأمر الصادر في 28 أيلول/سبتمبر 2007</w:t>
      </w:r>
      <w:r w:rsidRPr="00EA66E5">
        <w:rPr>
          <w:rFonts w:hint="cs"/>
          <w:spacing w:val="0"/>
          <w:kern w:val="0"/>
          <w:rtl/>
          <w:lang w:val="en-CA"/>
        </w:rPr>
        <w:t>.</w:t>
      </w:r>
    </w:p>
    <w:p w:rsidR="00EA66E5" w:rsidRPr="00EA66E5" w:rsidRDefault="00EA66E5" w:rsidP="00350D2E">
      <w:pPr>
        <w:pStyle w:val="SingleTxtGA"/>
        <w:jc w:val="lowKashida"/>
        <w:rPr>
          <w:rFonts w:hint="cs"/>
          <w:spacing w:val="0"/>
          <w:kern w:val="0"/>
          <w:rtl/>
          <w:lang w:val="en-CA"/>
        </w:rPr>
      </w:pPr>
      <w:r w:rsidRPr="00EA66E5">
        <w:rPr>
          <w:spacing w:val="0"/>
          <w:kern w:val="0"/>
          <w:rtl/>
          <w:lang w:val="en-CA"/>
        </w:rPr>
        <w:t>8-3</w:t>
      </w:r>
      <w:r w:rsidRPr="00EA66E5">
        <w:rPr>
          <w:spacing w:val="0"/>
          <w:kern w:val="0"/>
          <w:rtl/>
          <w:lang w:val="en-CA"/>
        </w:rPr>
        <w:tab/>
      </w:r>
      <w:r w:rsidRPr="00EA66E5">
        <w:rPr>
          <w:rFonts w:hint="cs"/>
          <w:spacing w:val="0"/>
          <w:kern w:val="0"/>
          <w:rtl/>
          <w:lang w:val="en-CA"/>
        </w:rPr>
        <w:t>و</w:t>
      </w:r>
      <w:r w:rsidRPr="00EA66E5">
        <w:rPr>
          <w:spacing w:val="0"/>
          <w:kern w:val="0"/>
          <w:rtl/>
          <w:lang w:val="en-CA"/>
        </w:rPr>
        <w:t xml:space="preserve">في 31 آذار/مارس 2009، أعلنت المحكمة الوطنية العليا أن إحالة محكمة </w:t>
      </w:r>
      <w:r w:rsidRPr="00EA66E5">
        <w:rPr>
          <w:rFonts w:hint="cs"/>
          <w:spacing w:val="0"/>
          <w:kern w:val="0"/>
          <w:rtl/>
          <w:lang w:val="en-CA"/>
        </w:rPr>
        <w:t>التحقيق</w:t>
      </w:r>
      <w:r w:rsidRPr="00EA66E5">
        <w:rPr>
          <w:spacing w:val="0"/>
          <w:kern w:val="0"/>
          <w:rtl/>
          <w:lang w:val="en-CA"/>
        </w:rPr>
        <w:t xml:space="preserve"> رقم 1 في سبتة القضية إليها </w:t>
      </w:r>
      <w:r w:rsidRPr="00EA66E5">
        <w:rPr>
          <w:rFonts w:hint="cs"/>
          <w:spacing w:val="0"/>
          <w:kern w:val="0"/>
          <w:rtl/>
          <w:lang w:val="en-CA"/>
        </w:rPr>
        <w:t>باطلة</w:t>
      </w:r>
      <w:r w:rsidRPr="00EA66E5">
        <w:rPr>
          <w:spacing w:val="0"/>
          <w:kern w:val="0"/>
          <w:rtl/>
          <w:lang w:val="en-CA"/>
        </w:rPr>
        <w:t xml:space="preserve">، </w:t>
      </w:r>
      <w:r w:rsidRPr="00EA66E5">
        <w:rPr>
          <w:rFonts w:hint="cs"/>
          <w:spacing w:val="0"/>
          <w:kern w:val="0"/>
          <w:rtl/>
          <w:lang w:val="en-CA"/>
        </w:rPr>
        <w:t xml:space="preserve">وأحالت الدعوى </w:t>
      </w:r>
      <w:r w:rsidRPr="00EA66E5">
        <w:rPr>
          <w:spacing w:val="0"/>
          <w:kern w:val="0"/>
          <w:rtl/>
          <w:lang w:val="en-CA"/>
        </w:rPr>
        <w:t xml:space="preserve">مرة أخرى إلى محكمة </w:t>
      </w:r>
      <w:r w:rsidRPr="00EA66E5">
        <w:rPr>
          <w:rFonts w:hint="cs"/>
          <w:spacing w:val="0"/>
          <w:kern w:val="0"/>
          <w:rtl/>
          <w:lang w:val="en-CA"/>
        </w:rPr>
        <w:t>التحقيق</w:t>
      </w:r>
      <w:r w:rsidRPr="00EA66E5">
        <w:rPr>
          <w:spacing w:val="0"/>
          <w:kern w:val="0"/>
          <w:rtl/>
          <w:lang w:val="en-CA"/>
        </w:rPr>
        <w:t xml:space="preserve">، على أساس أن أمر </w:t>
      </w:r>
      <w:r w:rsidRPr="00EA66E5">
        <w:rPr>
          <w:rFonts w:hint="cs"/>
          <w:spacing w:val="0"/>
          <w:kern w:val="0"/>
          <w:rtl/>
          <w:lang w:val="en-CA"/>
        </w:rPr>
        <w:t>الرفض</w:t>
      </w:r>
      <w:r w:rsidRPr="00EA66E5">
        <w:rPr>
          <w:spacing w:val="0"/>
          <w:kern w:val="0"/>
          <w:rtl/>
          <w:lang w:val="en-CA"/>
        </w:rPr>
        <w:t xml:space="preserve"> الصادر في 28 أيلول/سبتمبر </w:t>
      </w:r>
      <w:r w:rsidR="00350D2E">
        <w:rPr>
          <w:rFonts w:hint="cs"/>
          <w:spacing w:val="0"/>
          <w:kern w:val="0"/>
          <w:rtl/>
          <w:lang w:val="en-CA"/>
        </w:rPr>
        <w:t>2007</w:t>
      </w:r>
      <w:r w:rsidRPr="00EA66E5">
        <w:rPr>
          <w:rFonts w:hint="cs"/>
          <w:spacing w:val="0"/>
          <w:kern w:val="0"/>
          <w:rtl/>
          <w:lang w:val="en-CA"/>
        </w:rPr>
        <w:t xml:space="preserve"> </w:t>
      </w:r>
      <w:r w:rsidRPr="00EA66E5">
        <w:rPr>
          <w:spacing w:val="0"/>
          <w:kern w:val="0"/>
          <w:rtl/>
          <w:lang w:val="en-CA"/>
        </w:rPr>
        <w:t xml:space="preserve">أصبح نهائياً بالنظر </w:t>
      </w:r>
      <w:r w:rsidRPr="00EA66E5">
        <w:rPr>
          <w:rFonts w:hint="cs"/>
          <w:spacing w:val="0"/>
          <w:kern w:val="0"/>
          <w:rtl/>
          <w:lang w:val="en-CA"/>
        </w:rPr>
        <w:t>إلى</w:t>
      </w:r>
      <w:r w:rsidRPr="00EA66E5">
        <w:rPr>
          <w:spacing w:val="0"/>
          <w:kern w:val="0"/>
          <w:rtl/>
          <w:lang w:val="en-CA"/>
        </w:rPr>
        <w:t xml:space="preserve"> عدم الطعن</w:t>
      </w:r>
      <w:r w:rsidR="008D1B92">
        <w:rPr>
          <w:rFonts w:hint="cs"/>
          <w:spacing w:val="0"/>
          <w:kern w:val="0"/>
          <w:rtl/>
          <w:lang w:val="en-CA"/>
        </w:rPr>
        <w:t> </w:t>
      </w:r>
      <w:r w:rsidRPr="00EA66E5">
        <w:rPr>
          <w:spacing w:val="0"/>
          <w:kern w:val="0"/>
          <w:rtl/>
          <w:lang w:val="en-CA"/>
        </w:rPr>
        <w:t>في</w:t>
      </w:r>
      <w:r w:rsidRPr="00EA66E5">
        <w:rPr>
          <w:rFonts w:hint="cs"/>
          <w:spacing w:val="0"/>
          <w:kern w:val="0"/>
          <w:rtl/>
          <w:lang w:val="en-CA"/>
        </w:rPr>
        <w:t>ه.</w:t>
      </w:r>
    </w:p>
    <w:p w:rsidR="00EA66E5" w:rsidRPr="00EA66E5" w:rsidRDefault="00EA66E5" w:rsidP="00EA66E5">
      <w:pPr>
        <w:pStyle w:val="SingleTxtGA"/>
        <w:jc w:val="lowKashida"/>
        <w:rPr>
          <w:spacing w:val="0"/>
          <w:kern w:val="0"/>
          <w:rtl/>
          <w:lang w:val="en-CA"/>
        </w:rPr>
      </w:pPr>
      <w:r w:rsidRPr="00EA66E5">
        <w:rPr>
          <w:spacing w:val="0"/>
          <w:kern w:val="0"/>
          <w:rtl/>
          <w:lang w:val="en-CA"/>
        </w:rPr>
        <w:t>8-4</w:t>
      </w:r>
      <w:r w:rsidRPr="00EA66E5">
        <w:rPr>
          <w:spacing w:val="0"/>
          <w:kern w:val="0"/>
          <w:rtl/>
          <w:lang w:val="en-CA"/>
        </w:rPr>
        <w:tab/>
      </w:r>
      <w:r w:rsidRPr="00EA66E5">
        <w:rPr>
          <w:rFonts w:hint="cs"/>
          <w:spacing w:val="0"/>
          <w:kern w:val="0"/>
          <w:rtl/>
          <w:lang w:val="en-CA"/>
        </w:rPr>
        <w:t>و</w:t>
      </w:r>
      <w:r w:rsidRPr="00EA66E5">
        <w:rPr>
          <w:spacing w:val="0"/>
          <w:kern w:val="0"/>
          <w:rtl/>
          <w:lang w:val="en-CA"/>
        </w:rPr>
        <w:t>في 12 أيار/مايو 2009،</w:t>
      </w:r>
      <w:r w:rsidRPr="00EA66E5">
        <w:rPr>
          <w:rFonts w:hint="cs"/>
          <w:spacing w:val="0"/>
          <w:kern w:val="0"/>
          <w:rtl/>
          <w:lang w:val="en-CA"/>
        </w:rPr>
        <w:t xml:space="preserve"> </w:t>
      </w:r>
      <w:r w:rsidRPr="00EA66E5">
        <w:rPr>
          <w:spacing w:val="0"/>
          <w:kern w:val="0"/>
          <w:rtl/>
          <w:lang w:val="en-CA"/>
        </w:rPr>
        <w:t xml:space="preserve">حكمت محكمة </w:t>
      </w:r>
      <w:r w:rsidRPr="00EA66E5">
        <w:rPr>
          <w:rFonts w:hint="cs"/>
          <w:spacing w:val="0"/>
          <w:kern w:val="0"/>
          <w:rtl/>
          <w:lang w:val="en-CA"/>
        </w:rPr>
        <w:t>التحقيق</w:t>
      </w:r>
      <w:r w:rsidRPr="00EA66E5">
        <w:rPr>
          <w:spacing w:val="0"/>
          <w:kern w:val="0"/>
          <w:rtl/>
          <w:lang w:val="en-CA"/>
        </w:rPr>
        <w:t xml:space="preserve"> رقم 1 في سبتة بأنه ينبغي </w:t>
      </w:r>
      <w:r w:rsidRPr="00EA66E5">
        <w:rPr>
          <w:rFonts w:hint="cs"/>
          <w:spacing w:val="0"/>
          <w:kern w:val="0"/>
          <w:rtl/>
          <w:lang w:val="en-CA"/>
        </w:rPr>
        <w:t>رفض</w:t>
      </w:r>
      <w:r w:rsidRPr="00EA66E5">
        <w:rPr>
          <w:spacing w:val="0"/>
          <w:kern w:val="0"/>
          <w:rtl/>
          <w:lang w:val="en-CA"/>
        </w:rPr>
        <w:t xml:space="preserve"> القضية فور تنفيذ الأمر الذي أصدرته محكمة كاديث </w:t>
      </w:r>
      <w:r w:rsidRPr="00EA66E5">
        <w:rPr>
          <w:rFonts w:hint="cs"/>
          <w:spacing w:val="0"/>
          <w:kern w:val="0"/>
          <w:rtl/>
          <w:lang w:val="en-CA"/>
        </w:rPr>
        <w:t>الإقل</w:t>
      </w:r>
      <w:r w:rsidRPr="00EA66E5">
        <w:rPr>
          <w:spacing w:val="0"/>
          <w:kern w:val="0"/>
          <w:rtl/>
          <w:lang w:val="en-CA"/>
        </w:rPr>
        <w:t xml:space="preserve">يمية العليا </w:t>
      </w:r>
      <w:r w:rsidRPr="00EA66E5">
        <w:rPr>
          <w:rFonts w:hint="cs"/>
          <w:spacing w:val="0"/>
          <w:kern w:val="0"/>
          <w:rtl/>
          <w:lang w:val="en-CA"/>
        </w:rPr>
        <w:t xml:space="preserve">في سبتة </w:t>
      </w:r>
      <w:r w:rsidRPr="00EA66E5">
        <w:rPr>
          <w:spacing w:val="0"/>
          <w:kern w:val="0"/>
          <w:rtl/>
          <w:lang w:val="en-CA"/>
        </w:rPr>
        <w:t xml:space="preserve">فيما يتعلق بإخطار الأطراف </w:t>
      </w:r>
      <w:r w:rsidRPr="00EA66E5">
        <w:rPr>
          <w:rFonts w:hint="cs"/>
          <w:spacing w:val="0"/>
          <w:kern w:val="0"/>
          <w:rtl/>
          <w:lang w:val="en-CA"/>
        </w:rPr>
        <w:t>المتضررة</w:t>
      </w:r>
      <w:r w:rsidRPr="00EA66E5">
        <w:rPr>
          <w:spacing w:val="0"/>
          <w:kern w:val="0"/>
          <w:rtl/>
          <w:lang w:val="en-CA"/>
        </w:rPr>
        <w:t xml:space="preserve"> </w:t>
      </w:r>
      <w:r w:rsidRPr="00EA66E5">
        <w:rPr>
          <w:rFonts w:hint="cs"/>
          <w:spacing w:val="0"/>
          <w:kern w:val="0"/>
          <w:rtl/>
          <w:lang w:val="en-CA"/>
        </w:rPr>
        <w:t>(</w:t>
      </w:r>
      <w:r w:rsidRPr="00EA66E5">
        <w:rPr>
          <w:spacing w:val="0"/>
          <w:kern w:val="0"/>
          <w:rtl/>
          <w:lang w:val="en-CA"/>
        </w:rPr>
        <w:t xml:space="preserve">أقارب الشخص المتوفي) </w:t>
      </w:r>
      <w:r w:rsidRPr="00EA66E5">
        <w:rPr>
          <w:rFonts w:hint="cs"/>
          <w:spacing w:val="0"/>
          <w:kern w:val="0"/>
          <w:rtl/>
          <w:lang w:val="en-CA"/>
        </w:rPr>
        <w:t>بالدعوى</w:t>
      </w:r>
      <w:r w:rsidRPr="00EA66E5">
        <w:rPr>
          <w:spacing w:val="0"/>
          <w:kern w:val="0"/>
          <w:rtl/>
          <w:lang w:val="en-CA"/>
        </w:rPr>
        <w:t xml:space="preserve"> على النحو الواجب وعدم الطعن في أمر </w:t>
      </w:r>
      <w:r w:rsidRPr="00EA66E5">
        <w:rPr>
          <w:rFonts w:hint="cs"/>
          <w:spacing w:val="0"/>
          <w:kern w:val="0"/>
          <w:rtl/>
          <w:lang w:val="en-CA"/>
        </w:rPr>
        <w:t>الرفض</w:t>
      </w:r>
      <w:r w:rsidRPr="00EA66E5">
        <w:rPr>
          <w:spacing w:val="0"/>
          <w:kern w:val="0"/>
          <w:rtl/>
          <w:lang w:val="en-CA"/>
        </w:rPr>
        <w:t xml:space="preserve"> المؤرخ 28 أيلول/سبتمبر 2007.</w:t>
      </w:r>
    </w:p>
    <w:p w:rsidR="00EA66E5" w:rsidRPr="00EA66E5" w:rsidRDefault="00EA66E5" w:rsidP="00EA66E5">
      <w:pPr>
        <w:pStyle w:val="H23GA"/>
        <w:jc w:val="lowKashida"/>
        <w:rPr>
          <w:spacing w:val="0"/>
          <w:kern w:val="0"/>
          <w:rtl/>
        </w:rPr>
      </w:pPr>
      <w:r w:rsidRPr="00EA66E5">
        <w:rPr>
          <w:rFonts w:hint="cs"/>
          <w:spacing w:val="0"/>
          <w:kern w:val="0"/>
          <w:rtl/>
        </w:rPr>
        <w:tab/>
      </w:r>
      <w:r w:rsidRPr="00EA66E5">
        <w:rPr>
          <w:rFonts w:hint="cs"/>
          <w:spacing w:val="0"/>
          <w:kern w:val="0"/>
          <w:rtl/>
        </w:rPr>
        <w:tab/>
      </w:r>
      <w:r w:rsidRPr="00EA66E5">
        <w:rPr>
          <w:rFonts w:hint="eastAsia"/>
          <w:spacing w:val="0"/>
          <w:kern w:val="0"/>
          <w:rtl/>
        </w:rPr>
        <w:t>المسائل</w:t>
      </w:r>
      <w:r w:rsidRPr="00EA66E5">
        <w:rPr>
          <w:spacing w:val="0"/>
          <w:kern w:val="0"/>
          <w:rtl/>
        </w:rPr>
        <w:t xml:space="preserve"> والإجراءات المعروضة </w:t>
      </w:r>
      <w:r w:rsidRPr="00EA66E5">
        <w:rPr>
          <w:rFonts w:hint="cs"/>
          <w:spacing w:val="0"/>
          <w:kern w:val="0"/>
          <w:rtl/>
        </w:rPr>
        <w:t>على</w:t>
      </w:r>
      <w:r w:rsidRPr="00EA66E5">
        <w:rPr>
          <w:spacing w:val="0"/>
          <w:kern w:val="0"/>
          <w:rtl/>
        </w:rPr>
        <w:t xml:space="preserve"> اللجنة</w:t>
      </w:r>
    </w:p>
    <w:p w:rsidR="00EA66E5" w:rsidRPr="00EA66E5" w:rsidRDefault="00EA66E5" w:rsidP="00EA66E5">
      <w:pPr>
        <w:pStyle w:val="H4GA"/>
        <w:jc w:val="lowKashida"/>
        <w:rPr>
          <w:spacing w:val="0"/>
          <w:kern w:val="0"/>
          <w:rtl/>
        </w:rPr>
      </w:pPr>
      <w:r w:rsidRPr="00EA66E5">
        <w:rPr>
          <w:rFonts w:hint="cs"/>
          <w:spacing w:val="0"/>
          <w:kern w:val="0"/>
          <w:rtl/>
        </w:rPr>
        <w:tab/>
      </w:r>
      <w:r w:rsidRPr="00EA66E5">
        <w:rPr>
          <w:rFonts w:hint="cs"/>
          <w:spacing w:val="0"/>
          <w:kern w:val="0"/>
          <w:rtl/>
        </w:rPr>
        <w:tab/>
      </w:r>
      <w:r w:rsidRPr="00EA66E5">
        <w:rPr>
          <w:rFonts w:hint="eastAsia"/>
          <w:spacing w:val="0"/>
          <w:kern w:val="0"/>
          <w:rtl/>
        </w:rPr>
        <w:t>النظر</w:t>
      </w:r>
      <w:r w:rsidRPr="00EA66E5">
        <w:rPr>
          <w:spacing w:val="0"/>
          <w:kern w:val="0"/>
          <w:rtl/>
        </w:rPr>
        <w:t xml:space="preserve"> في المقبولية</w:t>
      </w:r>
    </w:p>
    <w:p w:rsidR="00EA66E5" w:rsidRPr="00EA66E5" w:rsidRDefault="00EA66E5" w:rsidP="003A2D39">
      <w:pPr>
        <w:pStyle w:val="SingleTxtGA"/>
        <w:jc w:val="lowKashida"/>
        <w:rPr>
          <w:rFonts w:hint="cs"/>
          <w:spacing w:val="0"/>
          <w:kern w:val="0"/>
          <w:rtl/>
          <w:lang w:val="en-CA"/>
        </w:rPr>
      </w:pPr>
      <w:r w:rsidRPr="00EA66E5">
        <w:rPr>
          <w:spacing w:val="0"/>
          <w:kern w:val="0"/>
          <w:rtl/>
          <w:lang w:val="en-CA"/>
        </w:rPr>
        <w:t>9-1</w:t>
      </w:r>
      <w:r w:rsidRPr="00EA66E5">
        <w:rPr>
          <w:spacing w:val="0"/>
          <w:kern w:val="0"/>
          <w:rtl/>
          <w:lang w:val="en-CA"/>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لجنة مناهضة التعذيب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EA66E5">
        <w:rPr>
          <w:rFonts w:hint="cs"/>
          <w:spacing w:val="0"/>
          <w:kern w:val="0"/>
          <w:rtl/>
          <w:lang w:val="en-CA"/>
        </w:rPr>
        <w:t xml:space="preserve"> بموجب المادة 22 من الاتفاقية.</w:t>
      </w:r>
    </w:p>
    <w:p w:rsidR="00EA66E5" w:rsidRPr="00EA66E5" w:rsidRDefault="00EA66E5" w:rsidP="008D1B92">
      <w:pPr>
        <w:pStyle w:val="SingleTxtGA"/>
        <w:jc w:val="lowKashida"/>
        <w:rPr>
          <w:spacing w:val="0"/>
          <w:kern w:val="0"/>
          <w:rtl/>
          <w:lang w:val="en-CA"/>
        </w:rPr>
      </w:pPr>
      <w:r w:rsidRPr="00EA66E5">
        <w:rPr>
          <w:spacing w:val="0"/>
          <w:kern w:val="0"/>
          <w:rtl/>
          <w:lang w:val="en-CA"/>
        </w:rPr>
        <w:t>9-2</w:t>
      </w:r>
      <w:r w:rsidRPr="00EA66E5">
        <w:rPr>
          <w:spacing w:val="0"/>
          <w:kern w:val="0"/>
          <w:rtl/>
          <w:lang w:val="en-CA"/>
        </w:rPr>
        <w:tab/>
        <w:t xml:space="preserve">وتلاحظ اللجنة أنه على الرغم من أن الدولة الطرف </w:t>
      </w:r>
      <w:r w:rsidRPr="00EA66E5">
        <w:rPr>
          <w:rFonts w:hint="cs"/>
          <w:spacing w:val="0"/>
          <w:kern w:val="0"/>
          <w:rtl/>
          <w:lang w:val="en-CA"/>
        </w:rPr>
        <w:t>ا</w:t>
      </w:r>
      <w:r w:rsidRPr="00EA66E5">
        <w:rPr>
          <w:spacing w:val="0"/>
          <w:kern w:val="0"/>
          <w:rtl/>
          <w:lang w:val="en-CA"/>
        </w:rPr>
        <w:t xml:space="preserve">دعت </w:t>
      </w:r>
      <w:r w:rsidRPr="00EA66E5">
        <w:rPr>
          <w:rFonts w:hint="cs"/>
          <w:spacing w:val="0"/>
          <w:kern w:val="0"/>
          <w:rtl/>
          <w:lang w:val="en-CA"/>
        </w:rPr>
        <w:t xml:space="preserve">أصلاً </w:t>
      </w:r>
      <w:r w:rsidRPr="00EA66E5">
        <w:rPr>
          <w:spacing w:val="0"/>
          <w:kern w:val="0"/>
          <w:rtl/>
          <w:lang w:val="en-CA"/>
        </w:rPr>
        <w:t xml:space="preserve">أن الشكوى غير مقبولة بسبب عدم استنفاد سبل الانتصاف المحلية، فإن الدولة الطرف أبلغت اللجنة في 28 </w:t>
      </w:r>
      <w:r w:rsidRPr="008D1B92">
        <w:rPr>
          <w:spacing w:val="-2"/>
          <w:kern w:val="0"/>
          <w:rtl/>
          <w:lang w:val="en-CA"/>
        </w:rPr>
        <w:t xml:space="preserve">أيار/مايو 2011 </w:t>
      </w:r>
      <w:r w:rsidRPr="008D1B92">
        <w:rPr>
          <w:rFonts w:hint="cs"/>
          <w:spacing w:val="-2"/>
          <w:kern w:val="0"/>
          <w:rtl/>
          <w:lang w:val="en-CA"/>
        </w:rPr>
        <w:t>ب</w:t>
      </w:r>
      <w:r w:rsidRPr="008D1B92">
        <w:rPr>
          <w:spacing w:val="-2"/>
          <w:kern w:val="0"/>
          <w:rtl/>
          <w:lang w:val="en-CA"/>
        </w:rPr>
        <w:t xml:space="preserve">أن محكمة </w:t>
      </w:r>
      <w:r w:rsidRPr="008D1B92">
        <w:rPr>
          <w:rFonts w:hint="cs"/>
          <w:spacing w:val="-2"/>
          <w:kern w:val="0"/>
          <w:rtl/>
          <w:lang w:val="en-CA"/>
        </w:rPr>
        <w:t>التحقيق</w:t>
      </w:r>
      <w:r w:rsidRPr="008D1B92">
        <w:rPr>
          <w:spacing w:val="-2"/>
          <w:kern w:val="0"/>
          <w:rtl/>
          <w:lang w:val="en-CA"/>
        </w:rPr>
        <w:t xml:space="preserve"> رقم 1 في سبتة </w:t>
      </w:r>
      <w:r w:rsidRPr="008D1B92">
        <w:rPr>
          <w:rFonts w:hint="cs"/>
          <w:spacing w:val="-2"/>
          <w:kern w:val="0"/>
          <w:rtl/>
          <w:lang w:val="en-CA"/>
        </w:rPr>
        <w:t>رفضت</w:t>
      </w:r>
      <w:r w:rsidRPr="008D1B92">
        <w:rPr>
          <w:spacing w:val="-2"/>
          <w:kern w:val="0"/>
          <w:rtl/>
          <w:lang w:val="en-CA"/>
        </w:rPr>
        <w:t xml:space="preserve"> القضية في 12 أيار/مايو 2009. وبالتالي، </w:t>
      </w:r>
      <w:r w:rsidRPr="008D1B92">
        <w:rPr>
          <w:rFonts w:hint="cs"/>
          <w:spacing w:val="-2"/>
          <w:kern w:val="0"/>
          <w:rtl/>
          <w:lang w:val="en-CA"/>
        </w:rPr>
        <w:t xml:space="preserve">ترى </w:t>
      </w:r>
      <w:r w:rsidRPr="008D1B92">
        <w:rPr>
          <w:spacing w:val="-2"/>
          <w:kern w:val="0"/>
          <w:rtl/>
          <w:lang w:val="en-CA"/>
        </w:rPr>
        <w:t>اللجنة أن</w:t>
      </w:r>
      <w:r w:rsidRPr="008D1B92">
        <w:rPr>
          <w:rFonts w:hint="eastAsia"/>
          <w:spacing w:val="-2"/>
          <w:kern w:val="0"/>
          <w:rtl/>
          <w:lang w:val="en-CA"/>
        </w:rPr>
        <w:t>ه</w:t>
      </w:r>
      <w:r w:rsidRPr="008D1B92">
        <w:rPr>
          <w:spacing w:val="-2"/>
          <w:kern w:val="0"/>
          <w:rtl/>
          <w:lang w:val="en-CA"/>
        </w:rPr>
        <w:t xml:space="preserve"> لا يوجد </w:t>
      </w:r>
      <w:r w:rsidRPr="008D1B92">
        <w:rPr>
          <w:rFonts w:hint="cs"/>
          <w:spacing w:val="-2"/>
          <w:kern w:val="0"/>
          <w:rtl/>
          <w:lang w:val="en-CA"/>
        </w:rPr>
        <w:t>مانع ل</w:t>
      </w:r>
      <w:r w:rsidRPr="008D1B92">
        <w:rPr>
          <w:spacing w:val="-2"/>
          <w:kern w:val="0"/>
          <w:rtl/>
          <w:lang w:val="en-CA"/>
        </w:rPr>
        <w:t>لنظر في الأسس الموضوعية للشكوى</w:t>
      </w:r>
      <w:r w:rsidRPr="00EA66E5">
        <w:rPr>
          <w:spacing w:val="0"/>
          <w:kern w:val="0"/>
          <w:rtl/>
          <w:lang w:val="en-CA"/>
        </w:rPr>
        <w:t xml:space="preserve"> بموجب الفقرة</w:t>
      </w:r>
      <w:r w:rsidR="008D1B92">
        <w:rPr>
          <w:rFonts w:hint="cs"/>
          <w:spacing w:val="0"/>
          <w:kern w:val="0"/>
          <w:rtl/>
          <w:lang w:val="en-CA"/>
        </w:rPr>
        <w:t> </w:t>
      </w:r>
      <w:r w:rsidRPr="00EA66E5">
        <w:rPr>
          <w:spacing w:val="0"/>
          <w:kern w:val="0"/>
          <w:rtl/>
          <w:lang w:val="en-CA"/>
        </w:rPr>
        <w:t>5(ب) من المادة 22 من الاتفاقية.</w:t>
      </w:r>
    </w:p>
    <w:p w:rsidR="00EA66E5" w:rsidRPr="00EA66E5" w:rsidRDefault="00EA66E5" w:rsidP="00EA66E5">
      <w:pPr>
        <w:pStyle w:val="H4GA"/>
        <w:jc w:val="lowKashida"/>
        <w:rPr>
          <w:spacing w:val="0"/>
          <w:kern w:val="0"/>
          <w:rtl/>
        </w:rPr>
      </w:pPr>
      <w:r w:rsidRPr="00EA66E5">
        <w:rPr>
          <w:rFonts w:hint="cs"/>
          <w:spacing w:val="0"/>
          <w:kern w:val="0"/>
          <w:rtl/>
        </w:rPr>
        <w:tab/>
      </w:r>
      <w:r w:rsidRPr="00EA66E5">
        <w:rPr>
          <w:rFonts w:hint="cs"/>
          <w:spacing w:val="0"/>
          <w:kern w:val="0"/>
          <w:rtl/>
        </w:rPr>
        <w:tab/>
      </w:r>
      <w:r w:rsidRPr="00EA66E5">
        <w:rPr>
          <w:rFonts w:hint="eastAsia"/>
          <w:spacing w:val="0"/>
          <w:kern w:val="0"/>
          <w:rtl/>
        </w:rPr>
        <w:t>النظر</w:t>
      </w:r>
      <w:r w:rsidRPr="00EA66E5">
        <w:rPr>
          <w:spacing w:val="0"/>
          <w:kern w:val="0"/>
          <w:rtl/>
        </w:rPr>
        <w:t xml:space="preserve"> في الأسس الموضوعية</w:t>
      </w:r>
    </w:p>
    <w:p w:rsidR="00EA66E5" w:rsidRPr="00EA66E5" w:rsidRDefault="00EA66E5" w:rsidP="00EA66E5">
      <w:pPr>
        <w:pStyle w:val="SingleTxtGA"/>
        <w:jc w:val="lowKashida"/>
        <w:rPr>
          <w:spacing w:val="0"/>
          <w:kern w:val="0"/>
          <w:rtl/>
          <w:lang w:val="en-CA"/>
        </w:rPr>
      </w:pPr>
      <w:r w:rsidRPr="00EA66E5">
        <w:rPr>
          <w:spacing w:val="0"/>
          <w:kern w:val="0"/>
          <w:rtl/>
          <w:lang w:val="en-CA"/>
        </w:rPr>
        <w:t>10-1</w:t>
      </w:r>
      <w:r w:rsidRPr="00EA66E5">
        <w:rPr>
          <w:spacing w:val="0"/>
          <w:kern w:val="0"/>
          <w:rtl/>
          <w:lang w:val="en-CA"/>
        </w:rPr>
        <w:tab/>
        <w:t>تحيط اللجنة علماً بملاحظات الدولة الطرف التي تفيد بأن الأحداث المشار إليها وقعت في المياه المغربية وأن الأشخاص الذين انتشلوا ت</w:t>
      </w:r>
      <w:r w:rsidRPr="00EA66E5">
        <w:rPr>
          <w:rFonts w:hint="cs"/>
          <w:spacing w:val="0"/>
          <w:kern w:val="0"/>
          <w:rtl/>
          <w:lang w:val="en-CA"/>
        </w:rPr>
        <w:t>ُ</w:t>
      </w:r>
      <w:r w:rsidRPr="00EA66E5">
        <w:rPr>
          <w:spacing w:val="0"/>
          <w:kern w:val="0"/>
          <w:rtl/>
          <w:lang w:val="en-CA"/>
        </w:rPr>
        <w:t>ركوا في منطقة قريبة جداً من الشاطئ، وأن ضا</w:t>
      </w:r>
      <w:r w:rsidRPr="00EA66E5">
        <w:rPr>
          <w:rFonts w:hint="cs"/>
          <w:spacing w:val="0"/>
          <w:kern w:val="0"/>
          <w:rtl/>
          <w:lang w:val="en-CA"/>
        </w:rPr>
        <w:t>ب</w:t>
      </w:r>
      <w:r w:rsidRPr="00EA66E5">
        <w:rPr>
          <w:spacing w:val="0"/>
          <w:kern w:val="0"/>
          <w:rtl/>
          <w:lang w:val="en-CA"/>
        </w:rPr>
        <w:t>ط</w:t>
      </w:r>
      <w:r w:rsidRPr="00EA66E5">
        <w:rPr>
          <w:rFonts w:hint="cs"/>
          <w:spacing w:val="0"/>
          <w:kern w:val="0"/>
          <w:rtl/>
          <w:lang w:val="en-CA"/>
        </w:rPr>
        <w:t>ي</w:t>
      </w:r>
      <w:r w:rsidRPr="00EA66E5">
        <w:rPr>
          <w:spacing w:val="0"/>
          <w:kern w:val="0"/>
          <w:rtl/>
          <w:lang w:val="en-CA"/>
        </w:rPr>
        <w:t xml:space="preserve"> الحرس الوطني لم يحدثا ثقوباً في </w:t>
      </w:r>
      <w:r w:rsidRPr="00EA66E5">
        <w:rPr>
          <w:rFonts w:hint="cs"/>
          <w:spacing w:val="0"/>
          <w:kern w:val="0"/>
          <w:rtl/>
          <w:lang w:val="en-CA"/>
        </w:rPr>
        <w:t xml:space="preserve">زوارق </w:t>
      </w:r>
      <w:r w:rsidRPr="00EA66E5">
        <w:rPr>
          <w:spacing w:val="0"/>
          <w:kern w:val="0"/>
          <w:rtl/>
          <w:lang w:val="en-CA"/>
        </w:rPr>
        <w:t>السيد سونكو ورفاقه</w:t>
      </w:r>
      <w:r w:rsidRPr="00EA66E5">
        <w:rPr>
          <w:rFonts w:hint="cs"/>
          <w:spacing w:val="0"/>
          <w:kern w:val="0"/>
          <w:rtl/>
          <w:lang w:val="en-CA"/>
        </w:rPr>
        <w:t>،</w:t>
      </w:r>
      <w:r w:rsidRPr="00EA66E5">
        <w:rPr>
          <w:spacing w:val="0"/>
          <w:kern w:val="0"/>
          <w:rtl/>
          <w:lang w:val="en-CA"/>
        </w:rPr>
        <w:t xml:space="preserve"> وأن السيد سونكو حصل عل</w:t>
      </w:r>
      <w:r w:rsidRPr="00EA66E5">
        <w:rPr>
          <w:rFonts w:hint="eastAsia"/>
          <w:spacing w:val="0"/>
          <w:kern w:val="0"/>
          <w:rtl/>
          <w:lang w:val="en-CA"/>
        </w:rPr>
        <w:t>ى</w:t>
      </w:r>
      <w:r w:rsidRPr="00EA66E5">
        <w:rPr>
          <w:spacing w:val="0"/>
          <w:kern w:val="0"/>
          <w:rtl/>
          <w:lang w:val="en-CA"/>
        </w:rPr>
        <w:t xml:space="preserve"> مساعدة من قبل </w:t>
      </w:r>
      <w:r w:rsidRPr="00EA66E5">
        <w:rPr>
          <w:rFonts w:hint="cs"/>
          <w:spacing w:val="0"/>
          <w:kern w:val="0"/>
          <w:rtl/>
          <w:lang w:val="en-CA"/>
        </w:rPr>
        <w:t>ضابطي</w:t>
      </w:r>
      <w:r w:rsidRPr="00EA66E5">
        <w:rPr>
          <w:spacing w:val="0"/>
          <w:kern w:val="0"/>
          <w:rtl/>
          <w:lang w:val="en-CA"/>
        </w:rPr>
        <w:t xml:space="preserve"> الحرس المدني ال</w:t>
      </w:r>
      <w:r w:rsidRPr="00EA66E5">
        <w:rPr>
          <w:rFonts w:hint="cs"/>
          <w:spacing w:val="0"/>
          <w:kern w:val="0"/>
          <w:rtl/>
          <w:lang w:val="en-CA"/>
        </w:rPr>
        <w:t>ل</w:t>
      </w:r>
      <w:r w:rsidRPr="00EA66E5">
        <w:rPr>
          <w:spacing w:val="0"/>
          <w:kern w:val="0"/>
          <w:rtl/>
          <w:lang w:val="en-CA"/>
        </w:rPr>
        <w:t xml:space="preserve">ذين </w:t>
      </w:r>
      <w:r w:rsidRPr="00EA66E5">
        <w:rPr>
          <w:rFonts w:hint="cs"/>
          <w:spacing w:val="0"/>
          <w:kern w:val="0"/>
          <w:rtl/>
          <w:lang w:val="en-CA"/>
        </w:rPr>
        <w:t>مارسا معه</w:t>
      </w:r>
      <w:r w:rsidRPr="00EA66E5">
        <w:rPr>
          <w:spacing w:val="0"/>
          <w:kern w:val="0"/>
          <w:rtl/>
          <w:lang w:val="en-CA"/>
        </w:rPr>
        <w:t xml:space="preserve"> تقنيات </w:t>
      </w:r>
      <w:r w:rsidRPr="00EA66E5">
        <w:rPr>
          <w:rFonts w:hint="cs"/>
          <w:spacing w:val="0"/>
          <w:kern w:val="0"/>
          <w:rtl/>
          <w:lang w:val="en-CA"/>
        </w:rPr>
        <w:t>الإنعاش</w:t>
      </w:r>
      <w:r w:rsidRPr="00EA66E5">
        <w:rPr>
          <w:spacing w:val="0"/>
          <w:kern w:val="0"/>
          <w:rtl/>
          <w:lang w:val="en-CA"/>
        </w:rPr>
        <w:t xml:space="preserve">. كما تحيط اللجنة علماً بادعاءات صاحبة الشكوى التي تفيد بأنه لا يمكن إنكار </w:t>
      </w:r>
      <w:r w:rsidRPr="00EA66E5">
        <w:rPr>
          <w:rFonts w:hint="cs"/>
          <w:spacing w:val="0"/>
          <w:kern w:val="0"/>
          <w:rtl/>
          <w:lang w:val="en-CA"/>
        </w:rPr>
        <w:t xml:space="preserve">وجود </w:t>
      </w:r>
      <w:r w:rsidRPr="00EA66E5">
        <w:rPr>
          <w:spacing w:val="0"/>
          <w:kern w:val="0"/>
          <w:rtl/>
          <w:lang w:val="en-CA"/>
        </w:rPr>
        <w:t>علاقة سببية بين وفاة السيد سونكو وإجراءات ضباط الحرس المدني</w:t>
      </w:r>
      <w:r w:rsidRPr="00EA66E5">
        <w:rPr>
          <w:rFonts w:hint="cs"/>
          <w:spacing w:val="0"/>
          <w:kern w:val="0"/>
          <w:rtl/>
          <w:lang w:val="en-CA"/>
        </w:rPr>
        <w:t>،</w:t>
      </w:r>
      <w:r w:rsidRPr="00EA66E5">
        <w:rPr>
          <w:spacing w:val="0"/>
          <w:kern w:val="0"/>
          <w:rtl/>
          <w:lang w:val="en-CA"/>
        </w:rPr>
        <w:t xml:space="preserve"> بقدر ما </w:t>
      </w:r>
      <w:r w:rsidRPr="00EA66E5">
        <w:rPr>
          <w:rFonts w:hint="cs"/>
          <w:spacing w:val="0"/>
          <w:kern w:val="0"/>
          <w:rtl/>
          <w:lang w:val="en-CA"/>
        </w:rPr>
        <w:t>أن</w:t>
      </w:r>
      <w:r w:rsidRPr="00EA66E5">
        <w:rPr>
          <w:spacing w:val="0"/>
          <w:kern w:val="0"/>
          <w:rtl/>
          <w:lang w:val="en-CA"/>
        </w:rPr>
        <w:t xml:space="preserve"> السيد سونكو </w:t>
      </w:r>
      <w:r w:rsidRPr="00EA66E5">
        <w:rPr>
          <w:rFonts w:hint="cs"/>
          <w:spacing w:val="0"/>
          <w:kern w:val="0"/>
          <w:rtl/>
          <w:lang w:val="en-CA"/>
        </w:rPr>
        <w:t xml:space="preserve">كان </w:t>
      </w:r>
      <w:r w:rsidRPr="00EA66E5">
        <w:rPr>
          <w:spacing w:val="0"/>
          <w:kern w:val="0"/>
          <w:rtl/>
          <w:lang w:val="en-CA"/>
        </w:rPr>
        <w:t xml:space="preserve">بصحة جيدة عندما كان على متن </w:t>
      </w:r>
      <w:r w:rsidRPr="00EA66E5">
        <w:rPr>
          <w:rFonts w:hint="cs"/>
          <w:spacing w:val="0"/>
          <w:kern w:val="0"/>
          <w:rtl/>
          <w:lang w:val="en-CA"/>
        </w:rPr>
        <w:t xml:space="preserve">زورق </w:t>
      </w:r>
      <w:r w:rsidRPr="00EA66E5">
        <w:rPr>
          <w:spacing w:val="0"/>
          <w:kern w:val="0"/>
          <w:rtl/>
          <w:lang w:val="en-CA"/>
        </w:rPr>
        <w:t>الدورية ولكن</w:t>
      </w:r>
      <w:r w:rsidRPr="00EA66E5">
        <w:rPr>
          <w:rFonts w:hint="cs"/>
          <w:spacing w:val="0"/>
          <w:kern w:val="0"/>
          <w:rtl/>
          <w:lang w:val="en-CA"/>
        </w:rPr>
        <w:t>ه</w:t>
      </w:r>
      <w:r w:rsidRPr="00EA66E5">
        <w:rPr>
          <w:spacing w:val="0"/>
          <w:kern w:val="0"/>
          <w:rtl/>
          <w:lang w:val="en-CA"/>
        </w:rPr>
        <w:t xml:space="preserve"> عندما وصل إلى الشاطئ كانت </w:t>
      </w:r>
      <w:r w:rsidRPr="00EA66E5">
        <w:rPr>
          <w:rFonts w:hint="cs"/>
          <w:spacing w:val="0"/>
          <w:kern w:val="0"/>
          <w:rtl/>
          <w:lang w:val="en-CA"/>
        </w:rPr>
        <w:t>حالته</w:t>
      </w:r>
      <w:r w:rsidRPr="00EA66E5">
        <w:rPr>
          <w:spacing w:val="0"/>
          <w:kern w:val="0"/>
          <w:rtl/>
          <w:lang w:val="en-CA"/>
        </w:rPr>
        <w:t xml:space="preserve"> سيئة وتوفي</w:t>
      </w:r>
      <w:r w:rsidRPr="00EA66E5">
        <w:rPr>
          <w:rFonts w:hint="cs"/>
          <w:spacing w:val="0"/>
          <w:kern w:val="0"/>
          <w:rtl/>
          <w:lang w:val="en-CA"/>
        </w:rPr>
        <w:t xml:space="preserve"> بعد ذلك</w:t>
      </w:r>
      <w:r w:rsidRPr="00EA66E5">
        <w:rPr>
          <w:spacing w:val="0"/>
          <w:kern w:val="0"/>
          <w:rtl/>
          <w:lang w:val="en-CA"/>
        </w:rPr>
        <w:t>.</w:t>
      </w:r>
    </w:p>
    <w:p w:rsidR="00EA66E5" w:rsidRPr="00EA66E5" w:rsidRDefault="00EA66E5" w:rsidP="008D1B92">
      <w:pPr>
        <w:pStyle w:val="SingleTxtGA"/>
        <w:jc w:val="lowKashida"/>
        <w:rPr>
          <w:spacing w:val="0"/>
          <w:kern w:val="0"/>
          <w:rtl/>
          <w:lang w:val="en-CA"/>
        </w:rPr>
      </w:pPr>
      <w:r w:rsidRPr="00EA66E5">
        <w:rPr>
          <w:spacing w:val="0"/>
          <w:kern w:val="0"/>
          <w:rtl/>
          <w:lang w:val="en-CA"/>
        </w:rPr>
        <w:t>10-2</w:t>
      </w:r>
      <w:r w:rsidRPr="00EA66E5">
        <w:rPr>
          <w:spacing w:val="0"/>
          <w:kern w:val="0"/>
          <w:rtl/>
          <w:lang w:val="en-CA"/>
        </w:rPr>
        <w:tab/>
        <w:t xml:space="preserve">وتشير اللجنة إلى أنه ليس من مهامها تقدير الأدلة أو إعادة تقييم الأقوال التي أدلي بها فيما يتعلق بالوقائع أو </w:t>
      </w:r>
      <w:r w:rsidRPr="00EA66E5">
        <w:rPr>
          <w:rFonts w:hint="cs"/>
          <w:spacing w:val="0"/>
          <w:kern w:val="0"/>
          <w:rtl/>
          <w:lang w:val="en-CA"/>
        </w:rPr>
        <w:t>التشكيك في مصداقية</w:t>
      </w:r>
      <w:r w:rsidRPr="00EA66E5">
        <w:rPr>
          <w:spacing w:val="0"/>
          <w:kern w:val="0"/>
          <w:rtl/>
          <w:lang w:val="en-CA"/>
        </w:rPr>
        <w:t xml:space="preserve"> السلطات الوطنية المختصة. وتلاحظ اللجنة كذلك </w:t>
      </w:r>
      <w:r w:rsidRPr="00EA66E5">
        <w:rPr>
          <w:rFonts w:hint="cs"/>
          <w:spacing w:val="0"/>
          <w:kern w:val="0"/>
          <w:rtl/>
          <w:lang w:val="en-CA"/>
        </w:rPr>
        <w:t>الاختلاف بين</w:t>
      </w:r>
      <w:r w:rsidRPr="00EA66E5">
        <w:rPr>
          <w:spacing w:val="0"/>
          <w:kern w:val="0"/>
          <w:rtl/>
          <w:lang w:val="en-CA"/>
        </w:rPr>
        <w:t xml:space="preserve"> </w:t>
      </w:r>
      <w:r w:rsidRPr="00EA66E5">
        <w:rPr>
          <w:rFonts w:hint="cs"/>
          <w:spacing w:val="0"/>
          <w:kern w:val="0"/>
          <w:rtl/>
          <w:lang w:val="en-CA"/>
        </w:rPr>
        <w:t>روايتي</w:t>
      </w:r>
      <w:r w:rsidRPr="00EA66E5">
        <w:rPr>
          <w:spacing w:val="0"/>
          <w:kern w:val="0"/>
          <w:rtl/>
          <w:lang w:val="en-CA"/>
        </w:rPr>
        <w:t xml:space="preserve"> الدولة الطرف وصاحبة الشكوى عن </w:t>
      </w:r>
      <w:r w:rsidRPr="00EA66E5">
        <w:rPr>
          <w:rFonts w:hint="cs"/>
          <w:spacing w:val="0"/>
          <w:kern w:val="0"/>
          <w:rtl/>
          <w:lang w:val="en-CA"/>
        </w:rPr>
        <w:t xml:space="preserve">ملابسات </w:t>
      </w:r>
      <w:r w:rsidRPr="00EA66E5">
        <w:rPr>
          <w:spacing w:val="0"/>
          <w:kern w:val="0"/>
          <w:rtl/>
          <w:lang w:val="en-CA"/>
        </w:rPr>
        <w:t xml:space="preserve">هذه الأحداث </w:t>
      </w:r>
      <w:r w:rsidRPr="00EA66E5">
        <w:rPr>
          <w:rFonts w:hint="cs"/>
          <w:spacing w:val="0"/>
          <w:kern w:val="0"/>
          <w:rtl/>
          <w:lang w:val="en-CA"/>
        </w:rPr>
        <w:t xml:space="preserve">وإن كان </w:t>
      </w:r>
      <w:r w:rsidRPr="00EA66E5">
        <w:rPr>
          <w:spacing w:val="0"/>
          <w:kern w:val="0"/>
          <w:rtl/>
          <w:lang w:val="en-CA"/>
        </w:rPr>
        <w:t xml:space="preserve">الطرفان </w:t>
      </w:r>
      <w:r w:rsidRPr="00EA66E5">
        <w:rPr>
          <w:rFonts w:hint="cs"/>
          <w:spacing w:val="0"/>
          <w:kern w:val="0"/>
          <w:rtl/>
          <w:lang w:val="en-CA"/>
        </w:rPr>
        <w:t xml:space="preserve">متفقين </w:t>
      </w:r>
      <w:r w:rsidRPr="00EA66E5">
        <w:rPr>
          <w:spacing w:val="0"/>
          <w:kern w:val="0"/>
          <w:rtl/>
          <w:lang w:val="en-CA"/>
        </w:rPr>
        <w:t>على أن السيد سونكو والسباحين الثلاثة ا</w:t>
      </w:r>
      <w:r w:rsidRPr="00EA66E5">
        <w:rPr>
          <w:rFonts w:hint="cs"/>
          <w:spacing w:val="0"/>
          <w:kern w:val="0"/>
          <w:rtl/>
          <w:lang w:val="en-CA"/>
        </w:rPr>
        <w:t>ل</w:t>
      </w:r>
      <w:r w:rsidRPr="00EA66E5">
        <w:rPr>
          <w:spacing w:val="0"/>
          <w:kern w:val="0"/>
          <w:rtl/>
          <w:lang w:val="en-CA"/>
        </w:rPr>
        <w:t xml:space="preserve">آخرين اعترضتهم سفينة الحرس المدني وصعدوا على متنها وهم أحياء. كما </w:t>
      </w:r>
      <w:r w:rsidRPr="00EA66E5">
        <w:rPr>
          <w:rFonts w:hint="cs"/>
          <w:spacing w:val="0"/>
          <w:kern w:val="0"/>
          <w:rtl/>
          <w:lang w:val="en-CA"/>
        </w:rPr>
        <w:t>ي</w:t>
      </w:r>
      <w:r w:rsidRPr="00EA66E5">
        <w:rPr>
          <w:spacing w:val="0"/>
          <w:kern w:val="0"/>
          <w:rtl/>
          <w:lang w:val="en-CA"/>
        </w:rPr>
        <w:t xml:space="preserve">ؤكد </w:t>
      </w:r>
      <w:r w:rsidRPr="00EA66E5">
        <w:rPr>
          <w:rFonts w:hint="cs"/>
          <w:spacing w:val="0"/>
          <w:kern w:val="0"/>
          <w:rtl/>
          <w:lang w:val="en-CA"/>
        </w:rPr>
        <w:t xml:space="preserve">الطرفان </w:t>
      </w:r>
      <w:r w:rsidRPr="00EA66E5">
        <w:rPr>
          <w:spacing w:val="0"/>
          <w:kern w:val="0"/>
          <w:rtl/>
          <w:lang w:val="en-CA"/>
        </w:rPr>
        <w:t>أن حالة السيد سونكو لم</w:t>
      </w:r>
      <w:r w:rsidR="008D1B92">
        <w:rPr>
          <w:rFonts w:hint="cs"/>
          <w:spacing w:val="0"/>
          <w:kern w:val="0"/>
          <w:rtl/>
          <w:lang w:val="en-CA"/>
        </w:rPr>
        <w:t> </w:t>
      </w:r>
      <w:r w:rsidRPr="00EA66E5">
        <w:rPr>
          <w:spacing w:val="0"/>
          <w:kern w:val="0"/>
          <w:rtl/>
          <w:lang w:val="en-CA"/>
        </w:rPr>
        <w:t xml:space="preserve">تكن جيدة عندما وصل إلى الشاطئ وأنه </w:t>
      </w:r>
      <w:r w:rsidRPr="00EA66E5">
        <w:rPr>
          <w:rFonts w:hint="cs"/>
          <w:spacing w:val="0"/>
          <w:kern w:val="0"/>
          <w:rtl/>
          <w:lang w:val="en-CA"/>
        </w:rPr>
        <w:t xml:space="preserve">توفي </w:t>
      </w:r>
      <w:r w:rsidRPr="00EA66E5">
        <w:rPr>
          <w:spacing w:val="0"/>
          <w:kern w:val="0"/>
          <w:rtl/>
          <w:lang w:val="en-CA"/>
        </w:rPr>
        <w:t>على الرغم من الجهود التي ب</w:t>
      </w:r>
      <w:r w:rsidRPr="00EA66E5">
        <w:rPr>
          <w:rFonts w:hint="cs"/>
          <w:spacing w:val="0"/>
          <w:kern w:val="0"/>
          <w:rtl/>
          <w:lang w:val="en-CA"/>
        </w:rPr>
        <w:t>ُ</w:t>
      </w:r>
      <w:r w:rsidRPr="00EA66E5">
        <w:rPr>
          <w:spacing w:val="0"/>
          <w:kern w:val="0"/>
          <w:rtl/>
          <w:lang w:val="en-CA"/>
        </w:rPr>
        <w:t xml:space="preserve">ذلت </w:t>
      </w:r>
      <w:r w:rsidRPr="00EA66E5">
        <w:rPr>
          <w:rFonts w:hint="cs"/>
          <w:spacing w:val="0"/>
          <w:kern w:val="0"/>
          <w:rtl/>
          <w:lang w:val="en-CA"/>
        </w:rPr>
        <w:t>لإنعاشه</w:t>
      </w:r>
      <w:r w:rsidRPr="00EA66E5">
        <w:rPr>
          <w:spacing w:val="0"/>
          <w:kern w:val="0"/>
          <w:rtl/>
          <w:lang w:val="en-CA"/>
        </w:rPr>
        <w:t>.</w:t>
      </w:r>
    </w:p>
    <w:p w:rsidR="00EA66E5" w:rsidRPr="008D1B92" w:rsidRDefault="00EA66E5" w:rsidP="00EA66E5">
      <w:pPr>
        <w:pStyle w:val="SingleTxtGA"/>
        <w:jc w:val="lowKashida"/>
        <w:rPr>
          <w:spacing w:val="-2"/>
          <w:kern w:val="0"/>
          <w:rtl/>
          <w:lang w:val="en-CA"/>
        </w:rPr>
      </w:pPr>
      <w:r w:rsidRPr="008D1B92">
        <w:rPr>
          <w:spacing w:val="-2"/>
          <w:kern w:val="0"/>
          <w:rtl/>
          <w:lang w:val="en-CA"/>
        </w:rPr>
        <w:t>10-3</w:t>
      </w:r>
      <w:r w:rsidRPr="008D1B92">
        <w:rPr>
          <w:spacing w:val="-2"/>
          <w:kern w:val="0"/>
          <w:rtl/>
          <w:lang w:val="en-CA"/>
        </w:rPr>
        <w:tab/>
        <w:t xml:space="preserve">وتشير اللجنة إلى تعليقها العام رقم 2 الذي </w:t>
      </w:r>
      <w:r w:rsidRPr="008D1B92">
        <w:rPr>
          <w:rFonts w:hint="cs"/>
          <w:spacing w:val="-2"/>
          <w:kern w:val="0"/>
          <w:rtl/>
          <w:lang w:val="en-CA"/>
        </w:rPr>
        <w:t>تذكر</w:t>
      </w:r>
      <w:r w:rsidRPr="008D1B92">
        <w:rPr>
          <w:spacing w:val="-2"/>
          <w:kern w:val="0"/>
          <w:rtl/>
          <w:lang w:val="en-CA"/>
        </w:rPr>
        <w:t xml:space="preserve"> فيه أن الولاية القضائية للدولة الطرف </w:t>
      </w:r>
      <w:r w:rsidRPr="008D1B92">
        <w:rPr>
          <w:rFonts w:hint="cs"/>
          <w:spacing w:val="-2"/>
          <w:kern w:val="0"/>
          <w:rtl/>
          <w:lang w:val="en-CA"/>
        </w:rPr>
        <w:t xml:space="preserve">تشمل </w:t>
      </w:r>
      <w:r w:rsidRPr="008D1B92">
        <w:rPr>
          <w:spacing w:val="-2"/>
          <w:kern w:val="0"/>
          <w:rtl/>
          <w:lang w:val="en-CA"/>
        </w:rPr>
        <w:t>أي إقليم تمارس فيه الدولة</w:t>
      </w:r>
      <w:r w:rsidRPr="008D1B92">
        <w:rPr>
          <w:rFonts w:hint="cs"/>
          <w:spacing w:val="-2"/>
          <w:kern w:val="0"/>
          <w:rtl/>
          <w:lang w:val="en-CA"/>
        </w:rPr>
        <w:t xml:space="preserve"> الطرف،</w:t>
      </w:r>
      <w:r w:rsidRPr="008D1B92">
        <w:rPr>
          <w:spacing w:val="-2"/>
          <w:kern w:val="0"/>
          <w:rtl/>
          <w:lang w:val="en-CA"/>
        </w:rPr>
        <w:t xml:space="preserve"> وفقاً ل</w:t>
      </w:r>
      <w:r w:rsidRPr="008D1B92">
        <w:rPr>
          <w:rFonts w:hint="cs"/>
          <w:spacing w:val="-2"/>
          <w:kern w:val="0"/>
          <w:rtl/>
          <w:lang w:val="en-CA"/>
        </w:rPr>
        <w:t>أحكام ا</w:t>
      </w:r>
      <w:r w:rsidRPr="008D1B92">
        <w:rPr>
          <w:spacing w:val="-2"/>
          <w:kern w:val="0"/>
          <w:rtl/>
          <w:lang w:val="en-CA"/>
        </w:rPr>
        <w:t>لقانون الدولي</w:t>
      </w:r>
      <w:r w:rsidRPr="008D1B92">
        <w:rPr>
          <w:rFonts w:hint="cs"/>
          <w:spacing w:val="-2"/>
          <w:kern w:val="0"/>
          <w:rtl/>
          <w:lang w:val="en-CA"/>
        </w:rPr>
        <w:t>،</w:t>
      </w:r>
      <w:r w:rsidRPr="008D1B92">
        <w:rPr>
          <w:spacing w:val="-2"/>
          <w:kern w:val="0"/>
          <w:rtl/>
          <w:lang w:val="en-CA"/>
        </w:rPr>
        <w:t xml:space="preserve"> سيطرة فعلية مباشر</w:t>
      </w:r>
      <w:r w:rsidRPr="008D1B92">
        <w:rPr>
          <w:rFonts w:hint="cs"/>
          <w:spacing w:val="-2"/>
          <w:kern w:val="0"/>
          <w:rtl/>
          <w:lang w:val="en-CA"/>
        </w:rPr>
        <w:t>ة</w:t>
      </w:r>
      <w:r w:rsidRPr="008D1B92">
        <w:rPr>
          <w:spacing w:val="-2"/>
          <w:kern w:val="0"/>
          <w:rtl/>
          <w:lang w:val="en-CA"/>
        </w:rPr>
        <w:t xml:space="preserve"> أو غير مباشر</w:t>
      </w:r>
      <w:r w:rsidRPr="008D1B92">
        <w:rPr>
          <w:rFonts w:hint="cs"/>
          <w:spacing w:val="-2"/>
          <w:kern w:val="0"/>
          <w:rtl/>
          <w:lang w:val="en-CA"/>
        </w:rPr>
        <w:t>ة</w:t>
      </w:r>
      <w:r w:rsidRPr="008D1B92">
        <w:rPr>
          <w:spacing w:val="-2"/>
          <w:kern w:val="0"/>
          <w:rtl/>
          <w:lang w:val="en-CA"/>
        </w:rPr>
        <w:t xml:space="preserve"> </w:t>
      </w:r>
      <w:r w:rsidRPr="008D1B92">
        <w:rPr>
          <w:rFonts w:hint="cs"/>
          <w:spacing w:val="-2"/>
          <w:kern w:val="0"/>
          <w:rtl/>
          <w:lang w:val="en-CA"/>
        </w:rPr>
        <w:t xml:space="preserve">كلية </w:t>
      </w:r>
      <w:r w:rsidRPr="008D1B92">
        <w:rPr>
          <w:spacing w:val="-2"/>
          <w:kern w:val="0"/>
          <w:rtl/>
          <w:lang w:val="en-CA"/>
        </w:rPr>
        <w:t xml:space="preserve">أو </w:t>
      </w:r>
      <w:r w:rsidRPr="008D1B92">
        <w:rPr>
          <w:rFonts w:hint="cs"/>
          <w:spacing w:val="-2"/>
          <w:kern w:val="0"/>
          <w:rtl/>
          <w:lang w:val="en-CA"/>
        </w:rPr>
        <w:t>جزئية،</w:t>
      </w:r>
      <w:r w:rsidRPr="008D1B92">
        <w:rPr>
          <w:spacing w:val="-2"/>
          <w:kern w:val="0"/>
          <w:rtl/>
          <w:lang w:val="en-CA"/>
        </w:rPr>
        <w:t xml:space="preserve"> </w:t>
      </w:r>
      <w:r w:rsidRPr="008D1B92">
        <w:rPr>
          <w:rFonts w:hint="cs"/>
          <w:spacing w:val="-2"/>
          <w:kern w:val="0"/>
          <w:rtl/>
          <w:lang w:val="en-CA"/>
        </w:rPr>
        <w:t>بحكم القانون أو بحكم الواقع</w:t>
      </w:r>
      <w:r w:rsidRPr="008D1B92">
        <w:rPr>
          <w:rFonts w:hint="cs"/>
          <w:spacing w:val="-2"/>
          <w:kern w:val="0"/>
          <w:vertAlign w:val="superscript"/>
          <w:rtl/>
          <w:lang w:val="en-CA"/>
        </w:rPr>
        <w:t>(</w:t>
      </w:r>
      <w:r w:rsidRPr="008D1B92">
        <w:rPr>
          <w:rStyle w:val="FootnoteReference"/>
          <w:spacing w:val="-2"/>
          <w:rtl/>
          <w:lang w:val="en-CA"/>
        </w:rPr>
        <w:footnoteReference w:id="219"/>
      </w:r>
      <w:r w:rsidRPr="008D1B92">
        <w:rPr>
          <w:rFonts w:hint="cs"/>
          <w:spacing w:val="-2"/>
          <w:kern w:val="0"/>
          <w:vertAlign w:val="superscript"/>
          <w:rtl/>
          <w:lang w:val="en-CA"/>
        </w:rPr>
        <w:t>)</w:t>
      </w:r>
      <w:r w:rsidRPr="008D1B92">
        <w:rPr>
          <w:rFonts w:hint="cs"/>
          <w:spacing w:val="-2"/>
          <w:kern w:val="0"/>
          <w:rtl/>
          <w:lang w:val="en-CA"/>
        </w:rPr>
        <w:t>. ولا ينطبق هذا التفسير لمفهوم الولاية القضائية على المادة 2 فحسب، بل أيضاً على جميع الأحكام المنصوص عليها في الاتفاقية، بما في ذلك المادة 22</w:t>
      </w:r>
      <w:r w:rsidRPr="008D1B92">
        <w:rPr>
          <w:rFonts w:hint="cs"/>
          <w:spacing w:val="-2"/>
          <w:kern w:val="0"/>
          <w:vertAlign w:val="superscript"/>
          <w:rtl/>
          <w:lang w:val="en-CA"/>
        </w:rPr>
        <w:t>(</w:t>
      </w:r>
      <w:r w:rsidRPr="008D1B92">
        <w:rPr>
          <w:rStyle w:val="FootnoteReference"/>
          <w:spacing w:val="-2"/>
          <w:rtl/>
          <w:lang w:val="en-CA"/>
        </w:rPr>
        <w:footnoteReference w:id="220"/>
      </w:r>
      <w:r w:rsidRPr="008D1B92">
        <w:rPr>
          <w:rFonts w:hint="cs"/>
          <w:spacing w:val="-2"/>
          <w:kern w:val="0"/>
          <w:vertAlign w:val="superscript"/>
          <w:rtl/>
          <w:lang w:val="en-CA"/>
        </w:rPr>
        <w:t>)</w:t>
      </w:r>
      <w:r w:rsidRPr="008D1B92">
        <w:rPr>
          <w:rFonts w:hint="cs"/>
          <w:spacing w:val="-2"/>
          <w:kern w:val="0"/>
          <w:rtl/>
          <w:lang w:val="en-CA"/>
        </w:rPr>
        <w:t xml:space="preserve">. </w:t>
      </w:r>
      <w:r w:rsidRPr="008D1B92">
        <w:rPr>
          <w:rFonts w:hint="eastAsia"/>
          <w:spacing w:val="-2"/>
          <w:kern w:val="0"/>
          <w:rtl/>
          <w:lang w:val="en-CA"/>
        </w:rPr>
        <w:t>وفي</w:t>
      </w:r>
      <w:r w:rsidRPr="008D1B92">
        <w:rPr>
          <w:spacing w:val="-2"/>
          <w:kern w:val="0"/>
          <w:rtl/>
          <w:lang w:val="en-CA"/>
        </w:rPr>
        <w:t xml:space="preserve"> هذه القضية، تلاحظ اللجنة أن </w:t>
      </w:r>
      <w:r w:rsidRPr="008D1B92">
        <w:rPr>
          <w:rFonts w:hint="cs"/>
          <w:spacing w:val="-2"/>
          <w:kern w:val="0"/>
          <w:rtl/>
          <w:lang w:val="en-CA"/>
        </w:rPr>
        <w:t>ضابطي</w:t>
      </w:r>
      <w:r w:rsidRPr="008D1B92">
        <w:rPr>
          <w:spacing w:val="-2"/>
          <w:kern w:val="0"/>
          <w:rtl/>
          <w:lang w:val="en-CA"/>
        </w:rPr>
        <w:t xml:space="preserve"> الحرس المدني مارسا السيطرة على الأشخاص على متن السفينة ولذلك كانا مسؤولين عن سلامتهم.</w:t>
      </w:r>
    </w:p>
    <w:p w:rsidR="00EA66E5" w:rsidRPr="00EA66E5" w:rsidRDefault="00EA66E5" w:rsidP="008D1B92">
      <w:pPr>
        <w:pStyle w:val="SingleTxtGA"/>
        <w:jc w:val="lowKashida"/>
        <w:rPr>
          <w:spacing w:val="0"/>
          <w:kern w:val="0"/>
          <w:rtl/>
          <w:lang w:val="en-CA"/>
        </w:rPr>
      </w:pPr>
      <w:r w:rsidRPr="00EA66E5">
        <w:rPr>
          <w:spacing w:val="0"/>
          <w:kern w:val="0"/>
          <w:rtl/>
          <w:lang w:val="en-CA"/>
        </w:rPr>
        <w:t>10-4</w:t>
      </w:r>
      <w:r w:rsidRPr="00EA66E5">
        <w:rPr>
          <w:spacing w:val="0"/>
          <w:kern w:val="0"/>
          <w:rtl/>
          <w:lang w:val="en-CA"/>
        </w:rPr>
        <w:tab/>
        <w:t>وتشير اللجنة إلى أن حظر سوء المعاملة بموجب الاتفاقية حظر مطلق وأن منع</w:t>
      </w:r>
      <w:r w:rsidRPr="00EA66E5">
        <w:rPr>
          <w:rFonts w:hint="cs"/>
          <w:spacing w:val="0"/>
          <w:kern w:val="0"/>
          <w:rtl/>
          <w:lang w:val="en-CA"/>
        </w:rPr>
        <w:t xml:space="preserve"> سوء المعاملة</w:t>
      </w:r>
      <w:r w:rsidRPr="00EA66E5">
        <w:rPr>
          <w:spacing w:val="0"/>
          <w:kern w:val="0"/>
          <w:rtl/>
          <w:lang w:val="en-CA"/>
        </w:rPr>
        <w:t xml:space="preserve"> يمثل تدبيراً فعالاً </w:t>
      </w:r>
      <w:r w:rsidRPr="00EA66E5">
        <w:rPr>
          <w:rFonts w:hint="cs"/>
          <w:spacing w:val="0"/>
          <w:kern w:val="0"/>
          <w:rtl/>
          <w:lang w:val="en-CA"/>
        </w:rPr>
        <w:t>غير قابل للانتقاص</w:t>
      </w:r>
      <w:r w:rsidRPr="00EA66E5">
        <w:rPr>
          <w:rFonts w:hint="cs"/>
          <w:spacing w:val="0"/>
          <w:kern w:val="0"/>
          <w:vertAlign w:val="superscript"/>
          <w:rtl/>
          <w:lang w:val="en-CA"/>
        </w:rPr>
        <w:t>(</w:t>
      </w:r>
      <w:r w:rsidRPr="00350D2E">
        <w:rPr>
          <w:rStyle w:val="FootnoteReference"/>
          <w:spacing w:val="0"/>
          <w:sz w:val="2"/>
          <w:szCs w:val="2"/>
          <w:rtl/>
          <w:lang w:val="en-CA"/>
        </w:rPr>
        <w:footnoteReference w:id="221"/>
      </w:r>
      <w:r w:rsidR="00350D2E" w:rsidRPr="00350D2E">
        <w:rPr>
          <w:rFonts w:hint="cs"/>
          <w:spacing w:val="0"/>
          <w:kern w:val="0"/>
          <w:sz w:val="30"/>
          <w:vertAlign w:val="superscript"/>
          <w:rtl/>
          <w:lang w:val="en-CA"/>
        </w:rPr>
        <w:t>ﻫ</w:t>
      </w:r>
      <w:r w:rsidRPr="00EA66E5">
        <w:rPr>
          <w:rFonts w:hint="cs"/>
          <w:spacing w:val="0"/>
          <w:kern w:val="0"/>
          <w:vertAlign w:val="superscript"/>
          <w:rtl/>
          <w:lang w:val="en-CA"/>
        </w:rPr>
        <w:t>)</w:t>
      </w:r>
      <w:r w:rsidRPr="00EA66E5">
        <w:rPr>
          <w:rFonts w:hint="cs"/>
          <w:spacing w:val="0"/>
          <w:kern w:val="0"/>
          <w:rtl/>
          <w:lang w:val="en-CA"/>
        </w:rPr>
        <w:t xml:space="preserve">. </w:t>
      </w:r>
      <w:r w:rsidRPr="00EA66E5">
        <w:rPr>
          <w:spacing w:val="0"/>
          <w:kern w:val="0"/>
          <w:rtl/>
          <w:lang w:val="en-CA"/>
        </w:rPr>
        <w:t xml:space="preserve">وترى اللجنة أن على الدولة الطرف أن توضح </w:t>
      </w:r>
      <w:r w:rsidRPr="00EA66E5">
        <w:rPr>
          <w:rFonts w:hint="cs"/>
          <w:spacing w:val="0"/>
          <w:kern w:val="0"/>
          <w:rtl/>
          <w:lang w:val="en-CA"/>
        </w:rPr>
        <w:t xml:space="preserve">ملابسات </w:t>
      </w:r>
      <w:r w:rsidRPr="00EA66E5">
        <w:rPr>
          <w:spacing w:val="0"/>
          <w:kern w:val="0"/>
          <w:rtl/>
          <w:lang w:val="en-CA"/>
        </w:rPr>
        <w:t>وفاة السيد سونكو نظراً لأنه كان على قيد الحياة عندما انت</w:t>
      </w:r>
      <w:r w:rsidRPr="00EA66E5">
        <w:rPr>
          <w:rFonts w:hint="cs"/>
          <w:spacing w:val="0"/>
          <w:kern w:val="0"/>
          <w:rtl/>
          <w:lang w:val="en-CA"/>
        </w:rPr>
        <w:t>ُ</w:t>
      </w:r>
      <w:r w:rsidRPr="00EA66E5">
        <w:rPr>
          <w:spacing w:val="0"/>
          <w:kern w:val="0"/>
          <w:rtl/>
          <w:lang w:val="en-CA"/>
        </w:rPr>
        <w:t>شل من المياه. وترى اللجنة كذلك أنه بصرف النظر عما</w:t>
      </w:r>
      <w:r w:rsidRPr="00EA66E5">
        <w:rPr>
          <w:rFonts w:hint="cs"/>
          <w:spacing w:val="0"/>
          <w:kern w:val="0"/>
          <w:rtl/>
          <w:lang w:val="en-CA"/>
        </w:rPr>
        <w:t xml:space="preserve"> إذا</w:t>
      </w:r>
      <w:r w:rsidRPr="00EA66E5">
        <w:rPr>
          <w:spacing w:val="0"/>
          <w:kern w:val="0"/>
          <w:rtl/>
          <w:lang w:val="en-CA"/>
        </w:rPr>
        <w:t xml:space="preserve"> كان </w:t>
      </w:r>
      <w:r w:rsidRPr="00EA66E5">
        <w:rPr>
          <w:rFonts w:hint="cs"/>
          <w:spacing w:val="0"/>
          <w:kern w:val="0"/>
          <w:rtl/>
          <w:lang w:val="en-CA"/>
        </w:rPr>
        <w:t>ضابطا</w:t>
      </w:r>
      <w:r w:rsidRPr="00EA66E5">
        <w:rPr>
          <w:spacing w:val="0"/>
          <w:kern w:val="0"/>
          <w:rtl/>
          <w:lang w:val="en-CA"/>
        </w:rPr>
        <w:t xml:space="preserve"> الحرس المدن</w:t>
      </w:r>
      <w:r w:rsidRPr="00EA66E5">
        <w:rPr>
          <w:rFonts w:hint="eastAsia"/>
          <w:spacing w:val="0"/>
          <w:kern w:val="0"/>
          <w:rtl/>
          <w:lang w:val="en-CA"/>
        </w:rPr>
        <w:t>ي</w:t>
      </w:r>
      <w:r w:rsidRPr="00EA66E5">
        <w:rPr>
          <w:spacing w:val="0"/>
          <w:kern w:val="0"/>
          <w:rtl/>
          <w:lang w:val="en-CA"/>
        </w:rPr>
        <w:t xml:space="preserve"> قد </w:t>
      </w:r>
      <w:r w:rsidRPr="00EA66E5">
        <w:rPr>
          <w:rFonts w:hint="cs"/>
          <w:spacing w:val="0"/>
          <w:kern w:val="0"/>
          <w:rtl/>
          <w:lang w:val="en-CA"/>
        </w:rPr>
        <w:t>أ</w:t>
      </w:r>
      <w:r w:rsidRPr="00EA66E5">
        <w:rPr>
          <w:spacing w:val="0"/>
          <w:kern w:val="0"/>
          <w:rtl/>
          <w:lang w:val="en-CA"/>
        </w:rPr>
        <w:t>حدثا ثقوبا</w:t>
      </w:r>
      <w:r w:rsidRPr="00EA66E5">
        <w:rPr>
          <w:rFonts w:hint="cs"/>
          <w:spacing w:val="0"/>
          <w:kern w:val="0"/>
          <w:rtl/>
          <w:lang w:val="en-CA"/>
        </w:rPr>
        <w:t>ً</w:t>
      </w:r>
      <w:r w:rsidRPr="00EA66E5">
        <w:rPr>
          <w:spacing w:val="0"/>
          <w:kern w:val="0"/>
          <w:rtl/>
          <w:lang w:val="en-CA"/>
        </w:rPr>
        <w:t xml:space="preserve"> في </w:t>
      </w:r>
      <w:r w:rsidRPr="00EA66E5">
        <w:rPr>
          <w:rFonts w:hint="cs"/>
          <w:spacing w:val="0"/>
          <w:kern w:val="0"/>
          <w:rtl/>
          <w:lang w:val="en-CA"/>
        </w:rPr>
        <w:t>قارب</w:t>
      </w:r>
      <w:r w:rsidRPr="00EA66E5">
        <w:rPr>
          <w:spacing w:val="0"/>
          <w:kern w:val="0"/>
          <w:rtl/>
          <w:lang w:val="en-CA"/>
        </w:rPr>
        <w:t xml:space="preserve"> السيد سونكو المطاطي </w:t>
      </w:r>
      <w:r w:rsidRPr="00EA66E5">
        <w:rPr>
          <w:rFonts w:hint="cs"/>
          <w:spacing w:val="0"/>
          <w:kern w:val="0"/>
          <w:rtl/>
          <w:lang w:val="en-CA"/>
        </w:rPr>
        <w:t xml:space="preserve">أم لا وبغض النظر عن المسافة </w:t>
      </w:r>
      <w:r w:rsidRPr="00EA66E5">
        <w:rPr>
          <w:spacing w:val="0"/>
          <w:kern w:val="0"/>
          <w:rtl/>
          <w:lang w:val="en-CA"/>
        </w:rPr>
        <w:t xml:space="preserve">من الشاطئ </w:t>
      </w:r>
      <w:r w:rsidRPr="00EA66E5">
        <w:rPr>
          <w:rFonts w:hint="cs"/>
          <w:spacing w:val="0"/>
          <w:kern w:val="0"/>
          <w:rtl/>
          <w:lang w:val="en-CA"/>
        </w:rPr>
        <w:t xml:space="preserve">التي </w:t>
      </w:r>
      <w:r w:rsidRPr="00EA66E5">
        <w:rPr>
          <w:spacing w:val="0"/>
          <w:kern w:val="0"/>
          <w:rtl/>
          <w:lang w:val="en-CA"/>
        </w:rPr>
        <w:t xml:space="preserve">أنزل </w:t>
      </w:r>
      <w:r w:rsidRPr="00EA66E5">
        <w:rPr>
          <w:rFonts w:hint="cs"/>
          <w:spacing w:val="0"/>
          <w:kern w:val="0"/>
          <w:rtl/>
          <w:lang w:val="en-CA"/>
        </w:rPr>
        <w:t xml:space="preserve">فيها </w:t>
      </w:r>
      <w:r w:rsidRPr="00EA66E5">
        <w:rPr>
          <w:spacing w:val="0"/>
          <w:kern w:val="0"/>
          <w:rtl/>
          <w:lang w:val="en-CA"/>
        </w:rPr>
        <w:t>من الزورق</w:t>
      </w:r>
      <w:r w:rsidRPr="00EA66E5">
        <w:rPr>
          <w:rFonts w:hint="cs"/>
          <w:spacing w:val="0"/>
          <w:kern w:val="0"/>
          <w:rtl/>
          <w:lang w:val="en-CA"/>
        </w:rPr>
        <w:t>،</w:t>
      </w:r>
      <w:r w:rsidRPr="00EA66E5">
        <w:rPr>
          <w:spacing w:val="0"/>
          <w:kern w:val="0"/>
          <w:rtl/>
          <w:lang w:val="en-CA"/>
        </w:rPr>
        <w:t xml:space="preserve"> فقد وضع في موقف تسبب في وفاته. وفيما يتعلق </w:t>
      </w:r>
      <w:r w:rsidRPr="00EA66E5">
        <w:rPr>
          <w:rFonts w:hint="cs"/>
          <w:spacing w:val="0"/>
          <w:kern w:val="0"/>
          <w:rtl/>
          <w:lang w:val="en-CA"/>
        </w:rPr>
        <w:t>بالتوصيف</w:t>
      </w:r>
      <w:r w:rsidRPr="00EA66E5">
        <w:rPr>
          <w:spacing w:val="0"/>
          <w:kern w:val="0"/>
          <w:rtl/>
          <w:lang w:val="en-CA"/>
        </w:rPr>
        <w:t xml:space="preserve"> القانوني للطريقة التي عومل بها السيد سونكو في 26 أيلول/سبتمبر 2007، فإن اللجنة ترى أنه في حين أن تعريض السيد سونكو لم</w:t>
      </w:r>
      <w:r w:rsidRPr="00EA66E5">
        <w:rPr>
          <w:rFonts w:hint="eastAsia"/>
          <w:spacing w:val="0"/>
          <w:kern w:val="0"/>
          <w:rtl/>
          <w:lang w:val="en-CA"/>
        </w:rPr>
        <w:t>عاناة</w:t>
      </w:r>
      <w:r w:rsidRPr="00EA66E5">
        <w:rPr>
          <w:spacing w:val="0"/>
          <w:kern w:val="0"/>
          <w:rtl/>
          <w:lang w:val="en-CA"/>
        </w:rPr>
        <w:t xml:space="preserve"> جسدية </w:t>
      </w:r>
      <w:r w:rsidRPr="00EA66E5">
        <w:rPr>
          <w:rFonts w:hint="cs"/>
          <w:spacing w:val="0"/>
          <w:kern w:val="0"/>
          <w:rtl/>
          <w:lang w:val="en-CA"/>
        </w:rPr>
        <w:t>وذهنية</w:t>
      </w:r>
      <w:r w:rsidRPr="00EA66E5">
        <w:rPr>
          <w:spacing w:val="0"/>
          <w:kern w:val="0"/>
          <w:rtl/>
          <w:lang w:val="en-CA"/>
        </w:rPr>
        <w:t xml:space="preserve"> قبل وفاته زاد من حد</w:t>
      </w:r>
      <w:r w:rsidRPr="00EA66E5">
        <w:rPr>
          <w:rFonts w:hint="cs"/>
          <w:spacing w:val="0"/>
          <w:kern w:val="0"/>
          <w:rtl/>
          <w:lang w:val="en-CA"/>
        </w:rPr>
        <w:t>ت</w:t>
      </w:r>
      <w:r w:rsidRPr="00EA66E5">
        <w:rPr>
          <w:spacing w:val="0"/>
          <w:kern w:val="0"/>
          <w:rtl/>
          <w:lang w:val="en-CA"/>
        </w:rPr>
        <w:t>ها ضعف</w:t>
      </w:r>
      <w:r w:rsidRPr="00EA66E5">
        <w:rPr>
          <w:rFonts w:hint="cs"/>
          <w:spacing w:val="0"/>
          <w:kern w:val="0"/>
          <w:rtl/>
          <w:lang w:val="en-CA"/>
        </w:rPr>
        <w:t xml:space="preserve"> وضعه</w:t>
      </w:r>
      <w:r w:rsidRPr="00EA66E5">
        <w:rPr>
          <w:spacing w:val="0"/>
          <w:kern w:val="0"/>
          <w:rtl/>
          <w:lang w:val="en-CA"/>
        </w:rPr>
        <w:t xml:space="preserve"> الخاص كمهاجر</w:t>
      </w:r>
      <w:r w:rsidRPr="00EA66E5">
        <w:rPr>
          <w:rFonts w:hint="cs"/>
          <w:spacing w:val="0"/>
          <w:kern w:val="0"/>
          <w:rtl/>
          <w:lang w:val="en-CA"/>
        </w:rPr>
        <w:t>،</w:t>
      </w:r>
      <w:r w:rsidRPr="00EA66E5">
        <w:rPr>
          <w:spacing w:val="0"/>
          <w:kern w:val="0"/>
          <w:rtl/>
          <w:lang w:val="en-CA"/>
        </w:rPr>
        <w:t xml:space="preserve"> لا</w:t>
      </w:r>
      <w:r w:rsidR="008D1B92">
        <w:rPr>
          <w:rFonts w:hint="cs"/>
          <w:spacing w:val="0"/>
          <w:kern w:val="0"/>
          <w:rtl/>
          <w:lang w:val="en-CA"/>
        </w:rPr>
        <w:t> </w:t>
      </w:r>
      <w:r w:rsidRPr="00EA66E5">
        <w:rPr>
          <w:rFonts w:hint="cs"/>
          <w:spacing w:val="0"/>
          <w:kern w:val="0"/>
          <w:rtl/>
          <w:lang w:val="en-CA"/>
        </w:rPr>
        <w:t xml:space="preserve">يشكل </w:t>
      </w:r>
      <w:r w:rsidRPr="00EA66E5">
        <w:rPr>
          <w:spacing w:val="0"/>
          <w:kern w:val="0"/>
          <w:rtl/>
          <w:lang w:val="en-CA"/>
        </w:rPr>
        <w:t xml:space="preserve">انتهاكاً للمادة 1 من الاتفاقية، </w:t>
      </w:r>
      <w:r w:rsidRPr="00EA66E5">
        <w:rPr>
          <w:rFonts w:hint="cs"/>
          <w:spacing w:val="0"/>
          <w:kern w:val="0"/>
          <w:rtl/>
          <w:lang w:val="en-CA"/>
        </w:rPr>
        <w:t xml:space="preserve">فإنه </w:t>
      </w:r>
      <w:r w:rsidRPr="00EA66E5">
        <w:rPr>
          <w:spacing w:val="0"/>
          <w:kern w:val="0"/>
          <w:rtl/>
          <w:lang w:val="en-CA"/>
        </w:rPr>
        <w:t xml:space="preserve">يتجاوز </w:t>
      </w:r>
      <w:r w:rsidRPr="00EA66E5">
        <w:rPr>
          <w:rFonts w:hint="cs"/>
          <w:spacing w:val="0"/>
          <w:kern w:val="0"/>
          <w:rtl/>
          <w:lang w:val="en-CA"/>
        </w:rPr>
        <w:t xml:space="preserve">فعلياً </w:t>
      </w:r>
      <w:r w:rsidRPr="00EA66E5">
        <w:rPr>
          <w:spacing w:val="0"/>
          <w:kern w:val="0"/>
          <w:rtl/>
          <w:lang w:val="en-CA"/>
        </w:rPr>
        <w:t>عتبة المعاملة أو العقوبة القاسية أو</w:t>
      </w:r>
      <w:r w:rsidR="008D1B92">
        <w:rPr>
          <w:rFonts w:hint="cs"/>
          <w:spacing w:val="0"/>
          <w:kern w:val="0"/>
          <w:rtl/>
          <w:lang w:val="en-CA"/>
        </w:rPr>
        <w:t> </w:t>
      </w:r>
      <w:r w:rsidRPr="00EA66E5">
        <w:rPr>
          <w:spacing w:val="0"/>
          <w:kern w:val="0"/>
          <w:rtl/>
          <w:lang w:val="en-CA"/>
        </w:rPr>
        <w:t>ا</w:t>
      </w:r>
      <w:r w:rsidRPr="00EA66E5">
        <w:rPr>
          <w:rFonts w:hint="cs"/>
          <w:spacing w:val="0"/>
          <w:kern w:val="0"/>
          <w:rtl/>
          <w:lang w:val="en-CA"/>
        </w:rPr>
        <w:t>ل</w:t>
      </w:r>
      <w:r w:rsidRPr="00EA66E5">
        <w:rPr>
          <w:spacing w:val="0"/>
          <w:kern w:val="0"/>
          <w:rtl/>
          <w:lang w:val="en-CA"/>
        </w:rPr>
        <w:t xml:space="preserve">لاإنسانية أو المهينة، بموجب </w:t>
      </w:r>
      <w:r w:rsidRPr="00EA66E5">
        <w:rPr>
          <w:rFonts w:hint="cs"/>
          <w:spacing w:val="0"/>
          <w:kern w:val="0"/>
          <w:rtl/>
          <w:lang w:val="en-CA"/>
        </w:rPr>
        <w:t>أحكام</w:t>
      </w:r>
      <w:r w:rsidRPr="00EA66E5">
        <w:rPr>
          <w:spacing w:val="0"/>
          <w:kern w:val="0"/>
          <w:rtl/>
          <w:lang w:val="en-CA"/>
        </w:rPr>
        <w:t xml:space="preserve"> المادة 16 من الاتفاقية.</w:t>
      </w:r>
    </w:p>
    <w:p w:rsidR="00EA66E5" w:rsidRPr="00EA66E5" w:rsidRDefault="00EA66E5" w:rsidP="00EA66E5">
      <w:pPr>
        <w:pStyle w:val="SingleTxtGA"/>
        <w:jc w:val="lowKashida"/>
        <w:rPr>
          <w:spacing w:val="0"/>
          <w:kern w:val="0"/>
          <w:rtl/>
          <w:lang w:val="en-CA"/>
        </w:rPr>
      </w:pPr>
      <w:r w:rsidRPr="00EA66E5">
        <w:rPr>
          <w:spacing w:val="0"/>
          <w:kern w:val="0"/>
          <w:rtl/>
          <w:lang w:val="en-CA"/>
        </w:rPr>
        <w:t>10-5</w:t>
      </w:r>
      <w:r w:rsidRPr="00EA66E5">
        <w:rPr>
          <w:spacing w:val="0"/>
          <w:kern w:val="0"/>
          <w:rtl/>
          <w:lang w:val="en-CA"/>
        </w:rPr>
        <w:tab/>
        <w:t xml:space="preserve">وترى اللجنة أنه على الرغم من أن صاحبة الشكوى لم تدع إلا انتهاك المادتين 1 و16 من الاتفاقية، فإن هذه القضية تتعلق بظروف يمكن أن </w:t>
      </w:r>
      <w:r w:rsidRPr="00EA66E5">
        <w:rPr>
          <w:rFonts w:hint="cs"/>
          <w:spacing w:val="0"/>
          <w:kern w:val="0"/>
          <w:rtl/>
          <w:lang w:val="en-CA"/>
        </w:rPr>
        <w:t>تكون لها صلة أيضاً ب</w:t>
      </w:r>
      <w:r w:rsidRPr="00EA66E5">
        <w:rPr>
          <w:spacing w:val="0"/>
          <w:kern w:val="0"/>
          <w:rtl/>
          <w:lang w:val="en-CA"/>
        </w:rPr>
        <w:t>المادة 12 من الاتفاقية. وتلاحظ اللجنة أيضاً أن صاحبة الشكوى والدولة الطرف قدمتا ملاحظات</w:t>
      </w:r>
      <w:r w:rsidRPr="00EA66E5">
        <w:rPr>
          <w:rFonts w:hint="cs"/>
          <w:spacing w:val="0"/>
          <w:kern w:val="0"/>
          <w:rtl/>
          <w:lang w:val="en-CA"/>
        </w:rPr>
        <w:t xml:space="preserve"> </w:t>
      </w:r>
      <w:r w:rsidRPr="00EA66E5">
        <w:rPr>
          <w:spacing w:val="0"/>
          <w:kern w:val="0"/>
          <w:rtl/>
          <w:lang w:val="en-CA"/>
        </w:rPr>
        <w:t>فيما يتعلق با</w:t>
      </w:r>
      <w:r w:rsidRPr="00EA66E5">
        <w:rPr>
          <w:rFonts w:hint="eastAsia"/>
          <w:spacing w:val="0"/>
          <w:kern w:val="0"/>
          <w:rtl/>
          <w:lang w:val="en-CA"/>
        </w:rPr>
        <w:t>لتحقيق</w:t>
      </w:r>
      <w:r w:rsidRPr="00EA66E5">
        <w:rPr>
          <w:spacing w:val="0"/>
          <w:kern w:val="0"/>
          <w:rtl/>
          <w:lang w:val="en-CA"/>
        </w:rPr>
        <w:t xml:space="preserve"> القضائي الذي </w:t>
      </w:r>
      <w:r w:rsidRPr="00EA66E5">
        <w:rPr>
          <w:rFonts w:hint="cs"/>
          <w:spacing w:val="0"/>
          <w:kern w:val="0"/>
          <w:rtl/>
          <w:lang w:val="en-CA"/>
        </w:rPr>
        <w:t xml:space="preserve">فتحته </w:t>
      </w:r>
      <w:r w:rsidRPr="00EA66E5">
        <w:rPr>
          <w:spacing w:val="0"/>
          <w:kern w:val="0"/>
          <w:rtl/>
          <w:lang w:val="en-CA"/>
        </w:rPr>
        <w:t>الدولة الطرف.</w:t>
      </w:r>
    </w:p>
    <w:p w:rsidR="00EA66E5" w:rsidRPr="00EA66E5" w:rsidRDefault="00EA66E5" w:rsidP="008D1B92">
      <w:pPr>
        <w:pStyle w:val="SingleTxtGA"/>
        <w:jc w:val="lowKashida"/>
        <w:rPr>
          <w:spacing w:val="0"/>
          <w:kern w:val="0"/>
          <w:rtl/>
          <w:lang w:val="en-CA"/>
        </w:rPr>
      </w:pPr>
      <w:r w:rsidRPr="00EA66E5">
        <w:rPr>
          <w:spacing w:val="0"/>
          <w:kern w:val="0"/>
          <w:rtl/>
          <w:lang w:val="en-CA"/>
        </w:rPr>
        <w:t>10-</w:t>
      </w:r>
      <w:r w:rsidRPr="00EA66E5">
        <w:rPr>
          <w:rFonts w:hint="cs"/>
          <w:spacing w:val="0"/>
          <w:kern w:val="0"/>
          <w:rtl/>
          <w:lang w:val="en-CA"/>
        </w:rPr>
        <w:t>6</w:t>
      </w:r>
      <w:r w:rsidRPr="00EA66E5">
        <w:rPr>
          <w:spacing w:val="0"/>
          <w:kern w:val="0"/>
          <w:rtl/>
          <w:lang w:val="en-CA"/>
        </w:rPr>
        <w:tab/>
        <w:t xml:space="preserve">وفي هذا الصدد، تلاحظ اللجنة أن الدولة الطرف </w:t>
      </w:r>
      <w:r w:rsidRPr="00EA66E5">
        <w:rPr>
          <w:rFonts w:hint="cs"/>
          <w:spacing w:val="0"/>
          <w:kern w:val="0"/>
          <w:rtl/>
          <w:lang w:val="en-CA"/>
        </w:rPr>
        <w:t>أرسلت إخطاراً إلى</w:t>
      </w:r>
      <w:r w:rsidRPr="00EA66E5">
        <w:rPr>
          <w:spacing w:val="0"/>
          <w:kern w:val="0"/>
          <w:rtl/>
          <w:lang w:val="en-CA"/>
        </w:rPr>
        <w:t xml:space="preserve"> أحد أقارب الضحية بعد 16 شهراً من بداية التحقيق. وتلاحظ أيضاً أن صاحبة </w:t>
      </w:r>
      <w:r w:rsidRPr="00EA66E5">
        <w:rPr>
          <w:rFonts w:hint="cs"/>
          <w:spacing w:val="0"/>
          <w:kern w:val="0"/>
          <w:rtl/>
          <w:lang w:val="en-CA"/>
        </w:rPr>
        <w:t>الشكوى</w:t>
      </w:r>
      <w:r w:rsidRPr="00EA66E5">
        <w:rPr>
          <w:spacing w:val="0"/>
          <w:kern w:val="0"/>
          <w:rtl/>
          <w:lang w:val="en-CA"/>
        </w:rPr>
        <w:t xml:space="preserve"> (و/أو أحد </w:t>
      </w:r>
      <w:r w:rsidRPr="00EA66E5">
        <w:rPr>
          <w:rFonts w:hint="cs"/>
          <w:spacing w:val="0"/>
          <w:kern w:val="0"/>
          <w:rtl/>
          <w:lang w:val="en-CA"/>
        </w:rPr>
        <w:t>أفراد</w:t>
      </w:r>
      <w:r w:rsidRPr="00EA66E5">
        <w:rPr>
          <w:spacing w:val="0"/>
          <w:kern w:val="0"/>
          <w:rtl/>
          <w:lang w:val="en-CA"/>
        </w:rPr>
        <w:t xml:space="preserve"> الأسرة) لم </w:t>
      </w:r>
      <w:r w:rsidRPr="00EA66E5">
        <w:rPr>
          <w:rFonts w:hint="cs"/>
          <w:spacing w:val="0"/>
          <w:kern w:val="0"/>
          <w:rtl/>
          <w:lang w:val="en-CA"/>
        </w:rPr>
        <w:t xml:space="preserve">تشارك </w:t>
      </w:r>
      <w:r w:rsidRPr="00EA66E5">
        <w:rPr>
          <w:spacing w:val="0"/>
          <w:kern w:val="0"/>
          <w:rtl/>
          <w:lang w:val="en-CA"/>
        </w:rPr>
        <w:t xml:space="preserve">كطرف في </w:t>
      </w:r>
      <w:r w:rsidRPr="00EA66E5">
        <w:rPr>
          <w:rFonts w:hint="cs"/>
          <w:spacing w:val="0"/>
          <w:kern w:val="0"/>
          <w:rtl/>
          <w:lang w:val="en-CA"/>
        </w:rPr>
        <w:t>الدعوى</w:t>
      </w:r>
      <w:r w:rsidRPr="00EA66E5">
        <w:rPr>
          <w:spacing w:val="0"/>
          <w:kern w:val="0"/>
          <w:rtl/>
          <w:lang w:val="en-CA"/>
        </w:rPr>
        <w:t>. و</w:t>
      </w:r>
      <w:r w:rsidRPr="00EA66E5">
        <w:rPr>
          <w:rFonts w:hint="cs"/>
          <w:spacing w:val="0"/>
          <w:kern w:val="0"/>
          <w:rtl/>
          <w:lang w:val="en-CA"/>
        </w:rPr>
        <w:t xml:space="preserve">لقد سبق أن </w:t>
      </w:r>
      <w:r w:rsidRPr="00EA66E5">
        <w:rPr>
          <w:spacing w:val="0"/>
          <w:kern w:val="0"/>
          <w:rtl/>
          <w:lang w:val="en-CA"/>
        </w:rPr>
        <w:t xml:space="preserve">أشارت اللجنة في مناسبات أخرى </w:t>
      </w:r>
      <w:r w:rsidRPr="00EA66E5">
        <w:rPr>
          <w:rFonts w:hint="cs"/>
          <w:spacing w:val="0"/>
          <w:kern w:val="0"/>
          <w:rtl/>
          <w:lang w:val="en-CA"/>
        </w:rPr>
        <w:t xml:space="preserve">إلى </w:t>
      </w:r>
      <w:r w:rsidRPr="00EA66E5">
        <w:rPr>
          <w:spacing w:val="0"/>
          <w:kern w:val="0"/>
          <w:rtl/>
          <w:lang w:val="en-CA"/>
        </w:rPr>
        <w:t xml:space="preserve">أن </w:t>
      </w:r>
      <w:r w:rsidRPr="00EA66E5">
        <w:rPr>
          <w:rFonts w:hint="cs"/>
          <w:spacing w:val="0"/>
          <w:kern w:val="0"/>
          <w:rtl/>
          <w:lang w:val="en-CA"/>
        </w:rPr>
        <w:t xml:space="preserve">المجني عليه </w:t>
      </w:r>
      <w:r w:rsidRPr="00EA66E5">
        <w:rPr>
          <w:spacing w:val="0"/>
          <w:kern w:val="0"/>
          <w:rtl/>
          <w:lang w:val="en-CA"/>
        </w:rPr>
        <w:t xml:space="preserve">غير </w:t>
      </w:r>
      <w:r w:rsidRPr="00EA66E5">
        <w:rPr>
          <w:rFonts w:hint="cs"/>
          <w:spacing w:val="0"/>
          <w:kern w:val="0"/>
          <w:rtl/>
          <w:lang w:val="en-CA"/>
        </w:rPr>
        <w:t xml:space="preserve">مطالب، </w:t>
      </w:r>
      <w:r w:rsidRPr="00EA66E5">
        <w:rPr>
          <w:spacing w:val="0"/>
          <w:kern w:val="0"/>
          <w:rtl/>
          <w:lang w:val="en-CA"/>
        </w:rPr>
        <w:t>بموجب الاتفاقية</w:t>
      </w:r>
      <w:r w:rsidRPr="00EA66E5">
        <w:rPr>
          <w:rFonts w:hint="cs"/>
          <w:spacing w:val="0"/>
          <w:kern w:val="0"/>
          <w:rtl/>
          <w:lang w:val="en-CA"/>
        </w:rPr>
        <w:t>،</w:t>
      </w:r>
      <w:r w:rsidRPr="00EA66E5">
        <w:rPr>
          <w:spacing w:val="0"/>
          <w:kern w:val="0"/>
          <w:rtl/>
          <w:lang w:val="en-CA"/>
        </w:rPr>
        <w:t xml:space="preserve"> </w:t>
      </w:r>
      <w:r w:rsidRPr="00EA66E5">
        <w:rPr>
          <w:rFonts w:hint="cs"/>
          <w:spacing w:val="0"/>
          <w:kern w:val="0"/>
          <w:rtl/>
          <w:lang w:val="en-CA"/>
        </w:rPr>
        <w:t>ب</w:t>
      </w:r>
      <w:r w:rsidRPr="00EA66E5">
        <w:rPr>
          <w:spacing w:val="0"/>
          <w:kern w:val="0"/>
          <w:rtl/>
          <w:lang w:val="en-CA"/>
        </w:rPr>
        <w:t xml:space="preserve">تقديم شكوى رسمية </w:t>
      </w:r>
      <w:r w:rsidRPr="00EA66E5">
        <w:rPr>
          <w:rFonts w:hint="cs"/>
          <w:spacing w:val="0"/>
          <w:kern w:val="0"/>
          <w:rtl/>
          <w:lang w:val="en-CA"/>
        </w:rPr>
        <w:t>أمام</w:t>
      </w:r>
      <w:r w:rsidRPr="00EA66E5">
        <w:rPr>
          <w:spacing w:val="0"/>
          <w:kern w:val="0"/>
          <w:rtl/>
          <w:lang w:val="en-CA"/>
        </w:rPr>
        <w:t xml:space="preserve"> المحاكم الوطنية عندما يحدث تعذيب أو غيره من ضروب المعاملة أو العقوبة القاسية أو اللاإنسانية أو</w:t>
      </w:r>
      <w:r w:rsidR="008D1B92">
        <w:rPr>
          <w:rFonts w:hint="cs"/>
          <w:spacing w:val="0"/>
          <w:kern w:val="0"/>
          <w:rtl/>
          <w:lang w:val="en-CA"/>
        </w:rPr>
        <w:t> </w:t>
      </w:r>
      <w:r w:rsidRPr="00EA66E5">
        <w:rPr>
          <w:spacing w:val="0"/>
          <w:kern w:val="0"/>
          <w:rtl/>
          <w:lang w:val="en-CA"/>
        </w:rPr>
        <w:t>المهينة</w:t>
      </w:r>
      <w:r w:rsidRPr="00EA66E5">
        <w:rPr>
          <w:rFonts w:hint="cs"/>
          <w:spacing w:val="0"/>
          <w:kern w:val="0"/>
          <w:rtl/>
          <w:lang w:val="en-CA"/>
        </w:rPr>
        <w:t>،</w:t>
      </w:r>
      <w:r w:rsidRPr="00EA66E5">
        <w:rPr>
          <w:spacing w:val="0"/>
          <w:kern w:val="0"/>
          <w:rtl/>
          <w:lang w:val="en-CA"/>
        </w:rPr>
        <w:t xml:space="preserve"> </w:t>
      </w:r>
      <w:r w:rsidRPr="00EA66E5">
        <w:rPr>
          <w:rFonts w:hint="cs"/>
          <w:spacing w:val="0"/>
          <w:kern w:val="0"/>
          <w:rtl/>
          <w:lang w:val="en-CA"/>
        </w:rPr>
        <w:t xml:space="preserve">وأنه </w:t>
      </w:r>
      <w:r w:rsidRPr="00EA66E5">
        <w:rPr>
          <w:spacing w:val="0"/>
          <w:kern w:val="0"/>
          <w:rtl/>
          <w:lang w:val="en-CA"/>
        </w:rPr>
        <w:t>يكفي أن تكون الوقائع قد نقلت إلى علم السلطات الحكومية</w:t>
      </w:r>
      <w:r w:rsidRPr="00EA66E5">
        <w:rPr>
          <w:rFonts w:hint="cs"/>
          <w:spacing w:val="0"/>
          <w:kern w:val="0"/>
          <w:vertAlign w:val="superscript"/>
          <w:rtl/>
          <w:lang w:val="en-CA"/>
        </w:rPr>
        <w:t>(</w:t>
      </w:r>
      <w:r w:rsidRPr="00EA66E5">
        <w:rPr>
          <w:rStyle w:val="FootnoteReference"/>
          <w:spacing w:val="0"/>
          <w:rtl/>
          <w:lang w:val="en-CA"/>
        </w:rPr>
        <w:footnoteReference w:id="222"/>
      </w:r>
      <w:r w:rsidRPr="00EA66E5">
        <w:rPr>
          <w:rFonts w:hint="cs"/>
          <w:spacing w:val="0"/>
          <w:kern w:val="0"/>
          <w:vertAlign w:val="superscript"/>
          <w:rtl/>
          <w:lang w:val="en-CA"/>
        </w:rPr>
        <w:t>)</w:t>
      </w:r>
      <w:r w:rsidRPr="00EA66E5">
        <w:rPr>
          <w:rFonts w:hint="cs"/>
          <w:spacing w:val="0"/>
          <w:kern w:val="0"/>
          <w:rtl/>
          <w:lang w:val="en-CA"/>
        </w:rPr>
        <w:t xml:space="preserve">. </w:t>
      </w:r>
      <w:r w:rsidRPr="00EA66E5">
        <w:rPr>
          <w:rFonts w:hint="eastAsia"/>
          <w:spacing w:val="0"/>
          <w:kern w:val="0"/>
          <w:rtl/>
          <w:lang w:val="en-CA"/>
        </w:rPr>
        <w:t>وبالتالي،</w:t>
      </w:r>
      <w:r w:rsidRPr="00EA66E5">
        <w:rPr>
          <w:spacing w:val="0"/>
          <w:kern w:val="0"/>
          <w:rtl/>
          <w:lang w:val="en-CA"/>
        </w:rPr>
        <w:t xml:space="preserve"> ترى اللجنة أنه لم يكن من الضروري أن تنضم صاحبة الشكوى (و/أو </w:t>
      </w:r>
      <w:r w:rsidRPr="00EA66E5">
        <w:rPr>
          <w:rFonts w:hint="cs"/>
          <w:spacing w:val="0"/>
          <w:kern w:val="0"/>
          <w:rtl/>
          <w:lang w:val="en-CA"/>
        </w:rPr>
        <w:t>فرد</w:t>
      </w:r>
      <w:r w:rsidRPr="00EA66E5">
        <w:rPr>
          <w:spacing w:val="0"/>
          <w:kern w:val="0"/>
          <w:rtl/>
          <w:lang w:val="en-CA"/>
        </w:rPr>
        <w:t xml:space="preserve"> آخر من أ</w:t>
      </w:r>
      <w:r w:rsidRPr="00EA66E5">
        <w:rPr>
          <w:rFonts w:hint="cs"/>
          <w:spacing w:val="0"/>
          <w:kern w:val="0"/>
          <w:rtl/>
          <w:lang w:val="en-CA"/>
        </w:rPr>
        <w:t>فراد</w:t>
      </w:r>
      <w:r w:rsidRPr="00EA66E5">
        <w:rPr>
          <w:spacing w:val="0"/>
          <w:kern w:val="0"/>
          <w:rtl/>
          <w:lang w:val="en-CA"/>
        </w:rPr>
        <w:t xml:space="preserve"> الأسرة) كطرف في </w:t>
      </w:r>
      <w:r w:rsidRPr="00EA66E5">
        <w:rPr>
          <w:rFonts w:hint="cs"/>
          <w:spacing w:val="0"/>
          <w:kern w:val="0"/>
          <w:rtl/>
          <w:lang w:val="en-CA"/>
        </w:rPr>
        <w:t xml:space="preserve">الدعوى </w:t>
      </w:r>
      <w:r w:rsidRPr="00EA66E5">
        <w:rPr>
          <w:spacing w:val="0"/>
          <w:kern w:val="0"/>
          <w:rtl/>
          <w:lang w:val="en-CA"/>
        </w:rPr>
        <w:t xml:space="preserve">كي تفي الدولة الطرف بالتزامها بموجب المادة 12 من الاتفاقية، وأن الالتزام بالتحقيق </w:t>
      </w:r>
      <w:r w:rsidRPr="00EA66E5">
        <w:rPr>
          <w:rFonts w:hint="cs"/>
          <w:spacing w:val="0"/>
          <w:kern w:val="0"/>
          <w:rtl/>
          <w:lang w:val="en-CA"/>
        </w:rPr>
        <w:t>في أحداث</w:t>
      </w:r>
      <w:r w:rsidRPr="00EA66E5">
        <w:rPr>
          <w:spacing w:val="0"/>
          <w:kern w:val="0"/>
          <w:rtl/>
          <w:lang w:val="en-CA"/>
        </w:rPr>
        <w:t xml:space="preserve"> </w:t>
      </w:r>
      <w:r w:rsidRPr="00EA66E5">
        <w:rPr>
          <w:rFonts w:hint="cs"/>
          <w:spacing w:val="0"/>
          <w:kern w:val="0"/>
          <w:rtl/>
          <w:lang w:val="en-CA"/>
        </w:rPr>
        <w:t>ت</w:t>
      </w:r>
      <w:r w:rsidRPr="00EA66E5">
        <w:rPr>
          <w:spacing w:val="0"/>
          <w:kern w:val="0"/>
          <w:rtl/>
          <w:lang w:val="en-CA"/>
        </w:rPr>
        <w:t xml:space="preserve">شير إلى </w:t>
      </w:r>
      <w:r w:rsidRPr="00EA66E5">
        <w:rPr>
          <w:rFonts w:hint="cs"/>
          <w:spacing w:val="0"/>
          <w:kern w:val="0"/>
          <w:rtl/>
          <w:lang w:val="en-CA"/>
        </w:rPr>
        <w:t xml:space="preserve">وقوع </w:t>
      </w:r>
      <w:r w:rsidRPr="00EA66E5">
        <w:rPr>
          <w:spacing w:val="0"/>
          <w:kern w:val="0"/>
          <w:rtl/>
          <w:lang w:val="en-CA"/>
        </w:rPr>
        <w:t xml:space="preserve">سوء معاملة واجب مطلق بموجب الاتفاقية </w:t>
      </w:r>
      <w:r w:rsidRPr="00EA66E5">
        <w:rPr>
          <w:rFonts w:hint="eastAsia"/>
          <w:spacing w:val="0"/>
          <w:kern w:val="0"/>
          <w:rtl/>
          <w:lang w:val="en-CA"/>
        </w:rPr>
        <w:t>ويقع</w:t>
      </w:r>
      <w:r w:rsidRPr="00EA66E5">
        <w:rPr>
          <w:spacing w:val="0"/>
          <w:kern w:val="0"/>
          <w:rtl/>
          <w:lang w:val="en-CA"/>
        </w:rPr>
        <w:t xml:space="preserve"> على عاتق الدولة.</w:t>
      </w:r>
    </w:p>
    <w:p w:rsidR="00EA66E5" w:rsidRPr="00EA66E5" w:rsidRDefault="00EA66E5" w:rsidP="00EA66E5">
      <w:pPr>
        <w:pStyle w:val="SingleTxtGA"/>
        <w:jc w:val="lowKashida"/>
        <w:rPr>
          <w:spacing w:val="0"/>
          <w:kern w:val="0"/>
          <w:rtl/>
          <w:lang w:val="en-CA"/>
        </w:rPr>
      </w:pPr>
      <w:r w:rsidRPr="00EA66E5">
        <w:rPr>
          <w:spacing w:val="0"/>
          <w:kern w:val="0"/>
          <w:rtl/>
          <w:lang w:val="en-CA"/>
        </w:rPr>
        <w:t>10-7</w:t>
      </w:r>
      <w:r w:rsidRPr="00EA66E5">
        <w:rPr>
          <w:spacing w:val="0"/>
          <w:kern w:val="0"/>
          <w:rtl/>
          <w:lang w:val="en-CA"/>
        </w:rPr>
        <w:tab/>
        <w:t>وعلى الرغم من تعقد القضية، ت</w:t>
      </w:r>
      <w:r w:rsidRPr="00EA66E5">
        <w:rPr>
          <w:rFonts w:hint="cs"/>
          <w:spacing w:val="0"/>
          <w:kern w:val="0"/>
          <w:rtl/>
          <w:lang w:val="en-CA"/>
        </w:rPr>
        <w:t>ُ</w:t>
      </w:r>
      <w:r w:rsidRPr="00EA66E5">
        <w:rPr>
          <w:spacing w:val="0"/>
          <w:kern w:val="0"/>
          <w:rtl/>
          <w:lang w:val="en-CA"/>
        </w:rPr>
        <w:t>ذك</w:t>
      </w:r>
      <w:r w:rsidRPr="00EA66E5">
        <w:rPr>
          <w:rFonts w:hint="cs"/>
          <w:spacing w:val="0"/>
          <w:kern w:val="0"/>
          <w:rtl/>
          <w:lang w:val="en-CA"/>
        </w:rPr>
        <w:t>ّ</w:t>
      </w:r>
      <w:r w:rsidRPr="00EA66E5">
        <w:rPr>
          <w:spacing w:val="0"/>
          <w:kern w:val="0"/>
          <w:rtl/>
          <w:lang w:val="en-CA"/>
        </w:rPr>
        <w:t xml:space="preserve">ر اللجنة الدولة الطرف </w:t>
      </w:r>
      <w:r w:rsidRPr="00EA66E5">
        <w:rPr>
          <w:rFonts w:hint="cs"/>
          <w:spacing w:val="0"/>
          <w:kern w:val="0"/>
          <w:rtl/>
          <w:lang w:val="en-CA"/>
        </w:rPr>
        <w:t>ب</w:t>
      </w:r>
      <w:r w:rsidRPr="00EA66E5">
        <w:rPr>
          <w:spacing w:val="0"/>
          <w:kern w:val="0"/>
          <w:rtl/>
          <w:lang w:val="en-CA"/>
        </w:rPr>
        <w:t>أن عليها التزام</w:t>
      </w:r>
      <w:r w:rsidRPr="00EA66E5">
        <w:rPr>
          <w:rFonts w:hint="cs"/>
          <w:spacing w:val="0"/>
          <w:kern w:val="0"/>
          <w:rtl/>
          <w:lang w:val="en-CA"/>
        </w:rPr>
        <w:t>اً</w:t>
      </w:r>
      <w:r w:rsidRPr="00EA66E5">
        <w:rPr>
          <w:spacing w:val="0"/>
          <w:kern w:val="0"/>
          <w:rtl/>
          <w:lang w:val="en-CA"/>
        </w:rPr>
        <w:t xml:space="preserve"> ب</w:t>
      </w:r>
      <w:r w:rsidRPr="00EA66E5">
        <w:rPr>
          <w:rFonts w:hint="cs"/>
          <w:spacing w:val="0"/>
          <w:kern w:val="0"/>
          <w:rtl/>
          <w:lang w:val="en-CA"/>
        </w:rPr>
        <w:t xml:space="preserve">إجراء </w:t>
      </w:r>
      <w:r w:rsidRPr="00EA66E5">
        <w:rPr>
          <w:spacing w:val="0"/>
          <w:kern w:val="0"/>
          <w:rtl/>
          <w:lang w:val="en-CA"/>
        </w:rPr>
        <w:t xml:space="preserve">تحقيق </w:t>
      </w:r>
      <w:r w:rsidRPr="00EA66E5">
        <w:rPr>
          <w:rFonts w:hint="cs"/>
          <w:spacing w:val="0"/>
          <w:kern w:val="0"/>
          <w:rtl/>
          <w:lang w:val="en-CA"/>
        </w:rPr>
        <w:t>سريع</w:t>
      </w:r>
      <w:r w:rsidRPr="00EA66E5">
        <w:rPr>
          <w:spacing w:val="0"/>
          <w:kern w:val="0"/>
          <w:rtl/>
          <w:lang w:val="en-CA"/>
        </w:rPr>
        <w:t xml:space="preserve"> وكامل </w:t>
      </w:r>
      <w:r w:rsidRPr="00EA66E5">
        <w:rPr>
          <w:rFonts w:hint="cs"/>
          <w:spacing w:val="0"/>
          <w:kern w:val="0"/>
          <w:rtl/>
          <w:lang w:val="en-CA"/>
        </w:rPr>
        <w:t xml:space="preserve">متى كان </w:t>
      </w:r>
      <w:r w:rsidRPr="00EA66E5">
        <w:rPr>
          <w:spacing w:val="0"/>
          <w:kern w:val="0"/>
          <w:rtl/>
          <w:lang w:val="en-CA"/>
        </w:rPr>
        <w:t xml:space="preserve">هناك ما يشير إلى أن الأفعال المرتكبة يمكن أن </w:t>
      </w:r>
      <w:r w:rsidRPr="00EA66E5">
        <w:rPr>
          <w:rFonts w:hint="cs"/>
          <w:spacing w:val="0"/>
          <w:kern w:val="0"/>
          <w:rtl/>
          <w:lang w:val="en-CA"/>
        </w:rPr>
        <w:t xml:space="preserve">تشكل </w:t>
      </w:r>
      <w:r w:rsidRPr="00EA66E5">
        <w:rPr>
          <w:spacing w:val="0"/>
          <w:kern w:val="0"/>
          <w:rtl/>
          <w:lang w:val="en-CA"/>
        </w:rPr>
        <w:t xml:space="preserve">معاملة قاسية أو لا إنسانية أو مهينة. وينبغي أن </w:t>
      </w:r>
      <w:r w:rsidRPr="00EA66E5">
        <w:rPr>
          <w:rFonts w:hint="cs"/>
          <w:spacing w:val="0"/>
          <w:kern w:val="0"/>
          <w:rtl/>
          <w:lang w:val="en-CA"/>
        </w:rPr>
        <w:t xml:space="preserve">يهدف </w:t>
      </w:r>
      <w:r w:rsidRPr="00EA66E5">
        <w:rPr>
          <w:spacing w:val="0"/>
          <w:kern w:val="0"/>
          <w:rtl/>
          <w:lang w:val="en-CA"/>
        </w:rPr>
        <w:t xml:space="preserve">مثل هذا التحقيق </w:t>
      </w:r>
      <w:r w:rsidRPr="00EA66E5">
        <w:rPr>
          <w:rFonts w:hint="cs"/>
          <w:spacing w:val="0"/>
          <w:kern w:val="0"/>
          <w:rtl/>
          <w:lang w:val="en-CA"/>
        </w:rPr>
        <w:t xml:space="preserve">إلى </w:t>
      </w:r>
      <w:r w:rsidRPr="00EA66E5">
        <w:rPr>
          <w:spacing w:val="0"/>
          <w:kern w:val="0"/>
          <w:rtl/>
          <w:lang w:val="en-CA"/>
        </w:rPr>
        <w:t xml:space="preserve">تحديد طبيعة الأحداث المبلغ عنها </w:t>
      </w:r>
      <w:r w:rsidRPr="00EA66E5">
        <w:rPr>
          <w:rFonts w:hint="cs"/>
          <w:spacing w:val="0"/>
          <w:kern w:val="0"/>
          <w:rtl/>
          <w:lang w:val="en-CA"/>
        </w:rPr>
        <w:t xml:space="preserve">وملابساتها </w:t>
      </w:r>
      <w:r w:rsidRPr="00EA66E5">
        <w:rPr>
          <w:spacing w:val="0"/>
          <w:kern w:val="0"/>
          <w:rtl/>
          <w:lang w:val="en-CA"/>
        </w:rPr>
        <w:t xml:space="preserve">وهوية </w:t>
      </w:r>
      <w:r w:rsidRPr="00EA66E5">
        <w:rPr>
          <w:rFonts w:hint="cs"/>
          <w:spacing w:val="0"/>
          <w:kern w:val="0"/>
          <w:rtl/>
          <w:lang w:val="en-CA"/>
        </w:rPr>
        <w:t xml:space="preserve">أي </w:t>
      </w:r>
      <w:r w:rsidRPr="00EA66E5">
        <w:rPr>
          <w:spacing w:val="0"/>
          <w:kern w:val="0"/>
          <w:rtl/>
          <w:lang w:val="en-CA"/>
        </w:rPr>
        <w:t xml:space="preserve">شخص يمكن أن يكون قد </w:t>
      </w:r>
      <w:r w:rsidRPr="00EA66E5">
        <w:rPr>
          <w:rFonts w:hint="cs"/>
          <w:spacing w:val="0"/>
          <w:kern w:val="0"/>
          <w:rtl/>
          <w:lang w:val="en-CA"/>
        </w:rPr>
        <w:t>اشترك</w:t>
      </w:r>
      <w:r w:rsidRPr="00EA66E5">
        <w:rPr>
          <w:spacing w:val="0"/>
          <w:kern w:val="0"/>
          <w:rtl/>
          <w:lang w:val="en-CA"/>
        </w:rPr>
        <w:t xml:space="preserve"> فيها</w:t>
      </w:r>
      <w:r w:rsidRPr="00EA66E5">
        <w:rPr>
          <w:rFonts w:hint="cs"/>
          <w:spacing w:val="0"/>
          <w:kern w:val="0"/>
          <w:vertAlign w:val="superscript"/>
          <w:rtl/>
          <w:lang w:val="en-CA"/>
        </w:rPr>
        <w:t>(</w:t>
      </w:r>
      <w:r w:rsidRPr="00EA66E5">
        <w:rPr>
          <w:rStyle w:val="FootnoteReference"/>
          <w:spacing w:val="0"/>
          <w:rtl/>
          <w:lang w:val="en-CA"/>
        </w:rPr>
        <w:footnoteReference w:id="223"/>
      </w:r>
      <w:r w:rsidRPr="00EA66E5">
        <w:rPr>
          <w:rFonts w:hint="cs"/>
          <w:spacing w:val="0"/>
          <w:kern w:val="0"/>
          <w:vertAlign w:val="superscript"/>
          <w:rtl/>
          <w:lang w:val="en-CA"/>
        </w:rPr>
        <w:t>)</w:t>
      </w:r>
      <w:r w:rsidRPr="00EA66E5">
        <w:rPr>
          <w:rFonts w:hint="cs"/>
          <w:spacing w:val="0"/>
          <w:kern w:val="0"/>
          <w:rtl/>
          <w:lang w:val="en-CA"/>
        </w:rPr>
        <w:t xml:space="preserve">. </w:t>
      </w:r>
      <w:r w:rsidRPr="00EA66E5">
        <w:rPr>
          <w:rFonts w:hint="eastAsia"/>
          <w:spacing w:val="0"/>
          <w:kern w:val="0"/>
          <w:rtl/>
          <w:lang w:val="en-CA"/>
        </w:rPr>
        <w:t>وقد</w:t>
      </w:r>
      <w:r w:rsidRPr="00EA66E5">
        <w:rPr>
          <w:spacing w:val="0"/>
          <w:kern w:val="0"/>
          <w:rtl/>
          <w:lang w:val="en-CA"/>
        </w:rPr>
        <w:t xml:space="preserve"> بدأ التحقيق في الوقائع في 28 أيلول/سبتمبر 2007 وانتهى تماماً في 12 أيار/مايو 2009 بدون ال</w:t>
      </w:r>
      <w:r w:rsidRPr="00EA66E5">
        <w:rPr>
          <w:rFonts w:hint="cs"/>
          <w:spacing w:val="0"/>
          <w:kern w:val="0"/>
          <w:rtl/>
          <w:lang w:val="en-CA"/>
        </w:rPr>
        <w:t>ا</w:t>
      </w:r>
      <w:r w:rsidRPr="00EA66E5">
        <w:rPr>
          <w:spacing w:val="0"/>
          <w:kern w:val="0"/>
          <w:rtl/>
          <w:lang w:val="en-CA"/>
        </w:rPr>
        <w:t xml:space="preserve">ضطلاع بتحقيق </w:t>
      </w:r>
      <w:r w:rsidRPr="00EA66E5">
        <w:rPr>
          <w:rFonts w:hint="cs"/>
          <w:spacing w:val="0"/>
          <w:kern w:val="0"/>
          <w:rtl/>
          <w:lang w:val="en-CA"/>
        </w:rPr>
        <w:t xml:space="preserve">سريع </w:t>
      </w:r>
      <w:r w:rsidRPr="00EA66E5">
        <w:rPr>
          <w:spacing w:val="0"/>
          <w:kern w:val="0"/>
          <w:rtl/>
          <w:lang w:val="en-CA"/>
        </w:rPr>
        <w:t>ونزيه</w:t>
      </w:r>
      <w:r w:rsidRPr="00EA66E5">
        <w:rPr>
          <w:rFonts w:hint="cs"/>
          <w:spacing w:val="0"/>
          <w:kern w:val="0"/>
          <w:rtl/>
          <w:lang w:val="en-CA"/>
        </w:rPr>
        <w:t xml:space="preserve"> في الوقائع</w:t>
      </w:r>
      <w:r w:rsidRPr="00EA66E5">
        <w:rPr>
          <w:spacing w:val="0"/>
          <w:kern w:val="0"/>
          <w:rtl/>
          <w:lang w:val="en-CA"/>
        </w:rPr>
        <w:t xml:space="preserve">. لذلك، ترى اللجنة أن التحقيق الذي أجرته سلطات الدولة الطرف لا </w:t>
      </w:r>
      <w:r w:rsidRPr="00EA66E5">
        <w:rPr>
          <w:rFonts w:hint="cs"/>
          <w:spacing w:val="0"/>
          <w:kern w:val="0"/>
          <w:rtl/>
          <w:lang w:val="en-CA"/>
        </w:rPr>
        <w:t>يستوفي الشروط</w:t>
      </w:r>
      <w:r w:rsidRPr="00EA66E5">
        <w:rPr>
          <w:spacing w:val="0"/>
          <w:kern w:val="0"/>
          <w:rtl/>
          <w:lang w:val="en-CA"/>
        </w:rPr>
        <w:t xml:space="preserve"> المنصوص عليها في المادة 12 من الاتفاقية.</w:t>
      </w:r>
    </w:p>
    <w:p w:rsidR="00EA66E5" w:rsidRPr="00EA66E5" w:rsidRDefault="00EA66E5" w:rsidP="00EA66E5">
      <w:pPr>
        <w:pStyle w:val="SingleTxtGA"/>
        <w:jc w:val="lowKashida"/>
        <w:rPr>
          <w:rFonts w:hint="cs"/>
          <w:spacing w:val="0"/>
          <w:kern w:val="0"/>
          <w:rtl/>
          <w:lang w:val="en-CA"/>
        </w:rPr>
      </w:pPr>
      <w:r w:rsidRPr="00EA66E5">
        <w:rPr>
          <w:rFonts w:hint="cs"/>
          <w:spacing w:val="0"/>
          <w:kern w:val="0"/>
          <w:rtl/>
          <w:lang w:val="en-CA"/>
        </w:rPr>
        <w:t>10-8</w:t>
      </w:r>
      <w:r w:rsidRPr="00EA66E5">
        <w:rPr>
          <w:rFonts w:hint="cs"/>
          <w:spacing w:val="0"/>
          <w:kern w:val="0"/>
          <w:rtl/>
          <w:lang w:val="en-CA"/>
        </w:rPr>
        <w:tab/>
        <w:t>وإن لجنة مناهضة التعذيب، إذ تعمل بموجب الفقرة 7 من المادة 22 من الاتفاقية،</w:t>
      </w:r>
      <w:r w:rsidRPr="00EA66E5">
        <w:rPr>
          <w:spacing w:val="0"/>
          <w:kern w:val="0"/>
          <w:rtl/>
          <w:lang w:val="en-CA"/>
        </w:rPr>
        <w:t xml:space="preserve"> </w:t>
      </w:r>
      <w:r w:rsidRPr="00EA66E5">
        <w:rPr>
          <w:rFonts w:hint="cs"/>
          <w:spacing w:val="0"/>
          <w:kern w:val="0"/>
          <w:rtl/>
          <w:lang w:val="en-CA"/>
        </w:rPr>
        <w:t xml:space="preserve">ترى أن المعلومات المعروضة عليها تكشف عن انتهاك للمادتين 12 و16 من اتفاقية </w:t>
      </w:r>
      <w:r w:rsidRPr="00EA66E5">
        <w:rPr>
          <w:spacing w:val="0"/>
          <w:kern w:val="0"/>
          <w:rtl/>
          <w:lang w:val="en-CA"/>
        </w:rPr>
        <w:t>مناهضة التعذيب وغيره من ضروب المعاملة أو العقوبة القاسية أو اللاإنسانية أو المهينة</w:t>
      </w:r>
      <w:r w:rsidRPr="00EA66E5">
        <w:rPr>
          <w:rFonts w:hint="cs"/>
          <w:spacing w:val="0"/>
          <w:kern w:val="0"/>
          <w:rtl/>
          <w:lang w:val="en-CA"/>
        </w:rPr>
        <w:t>.</w:t>
      </w:r>
    </w:p>
    <w:p w:rsidR="00EA66E5" w:rsidRDefault="00EA66E5" w:rsidP="008D1B92">
      <w:pPr>
        <w:pStyle w:val="SingleTxtGA"/>
        <w:jc w:val="lowKashida"/>
        <w:rPr>
          <w:rFonts w:hint="cs"/>
          <w:spacing w:val="0"/>
          <w:kern w:val="0"/>
          <w:rtl/>
          <w:lang w:val="en-CA"/>
        </w:rPr>
      </w:pPr>
      <w:r w:rsidRPr="008D1B92">
        <w:rPr>
          <w:rFonts w:hint="cs"/>
          <w:spacing w:val="0"/>
          <w:kern w:val="0"/>
          <w:rtl/>
          <w:lang w:val="en-CA"/>
        </w:rPr>
        <w:t>10-9</w:t>
      </w:r>
      <w:r w:rsidRPr="008D1B92">
        <w:rPr>
          <w:rFonts w:hint="cs"/>
          <w:spacing w:val="0"/>
          <w:kern w:val="0"/>
          <w:rtl/>
          <w:lang w:val="en-CA"/>
        </w:rPr>
        <w:tab/>
        <w:t>وتحث اللجنة الدولة الطرف على إجراء تحقيق مناسب في الأحداث التي وقعت في</w:t>
      </w:r>
      <w:r w:rsidR="008D1B92">
        <w:rPr>
          <w:rFonts w:hint="eastAsia"/>
          <w:spacing w:val="0"/>
          <w:kern w:val="0"/>
          <w:rtl/>
          <w:lang w:val="en-CA"/>
        </w:rPr>
        <w:t> </w:t>
      </w:r>
      <w:r w:rsidRPr="008D1B92">
        <w:rPr>
          <w:rFonts w:hint="cs"/>
          <w:spacing w:val="0"/>
          <w:kern w:val="0"/>
          <w:rtl/>
          <w:lang w:val="en-CA"/>
        </w:rPr>
        <w:t>26 أيلول/سبتمبر 2007، وملاحقة الأشخاص المسؤولين عن هذه الأفعال ومعاقبتهم، وتوفير سبيل انتصاف فعال يشمل تعويضاً ملائماً لأسرة السيد سونكو. وعملاً بالفقرة 5 من المادة 118 من النظام الداخلي للجنة، تود اللجنة أن تتلقى من الدولة الطرف في غضون 90 يوماً من صدور هذا القرار بالخطوات التي اتخذتها استجابة للملاحظات المبينة أعلاه.</w:t>
      </w:r>
    </w:p>
    <w:p w:rsidR="00D3490C" w:rsidRPr="008D1B92" w:rsidRDefault="00D3490C" w:rsidP="008D1B92">
      <w:pPr>
        <w:pStyle w:val="SingleTxtGA"/>
        <w:jc w:val="lowKashida"/>
        <w:rPr>
          <w:rFonts w:hint="cs"/>
          <w:b/>
          <w:bCs/>
          <w:spacing w:val="0"/>
          <w:kern w:val="0"/>
          <w:rtl/>
          <w:lang w:val="fr-CH"/>
        </w:rPr>
      </w:pPr>
    </w:p>
    <w:p w:rsidR="008D1B92" w:rsidRDefault="008D1B92" w:rsidP="009A1314">
      <w:pPr>
        <w:rPr>
          <w:rtl/>
          <w:lang w:val="fr-CH"/>
        </w:rPr>
        <w:sectPr w:rsidR="008D1B92"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8D1B92" w:rsidRPr="003E3E82" w:rsidRDefault="008D1B92" w:rsidP="008D1B92">
      <w:pPr>
        <w:pStyle w:val="HChGA"/>
        <w:spacing w:before="120"/>
        <w:rPr>
          <w:rtl/>
          <w:lang w:bidi="ar-SY"/>
        </w:rPr>
      </w:pPr>
      <w:r w:rsidRPr="003E3E82">
        <w:rPr>
          <w:rFonts w:hint="eastAsia"/>
          <w:rtl/>
          <w:lang w:bidi="ar-SY"/>
        </w:rPr>
        <w:t>تذييل</w:t>
      </w:r>
    </w:p>
    <w:p w:rsidR="008D1B92" w:rsidRPr="008D1B92" w:rsidRDefault="008D1B92" w:rsidP="008D1B92">
      <w:pPr>
        <w:pStyle w:val="HChGA"/>
        <w:jc w:val="lowKashida"/>
        <w:rPr>
          <w:spacing w:val="0"/>
          <w:kern w:val="0"/>
          <w:rtl/>
          <w:lang w:bidi="ar-SY"/>
        </w:rPr>
      </w:pPr>
      <w:r w:rsidRPr="008D1B92">
        <w:rPr>
          <w:rFonts w:hint="cs"/>
          <w:spacing w:val="0"/>
          <w:kern w:val="0"/>
          <w:rtl/>
          <w:lang w:bidi="ar-SY"/>
        </w:rPr>
        <w:tab/>
      </w:r>
      <w:r w:rsidRPr="008D1B92">
        <w:rPr>
          <w:rFonts w:hint="cs"/>
          <w:spacing w:val="0"/>
          <w:kern w:val="0"/>
          <w:rtl/>
          <w:lang w:bidi="ar-SY"/>
        </w:rPr>
        <w:tab/>
      </w:r>
      <w:r w:rsidRPr="008D1B92">
        <w:rPr>
          <w:rFonts w:hint="eastAsia"/>
          <w:spacing w:val="0"/>
          <w:kern w:val="0"/>
          <w:rtl/>
          <w:lang w:bidi="ar-SY"/>
        </w:rPr>
        <w:t>رأي</w:t>
      </w:r>
      <w:r w:rsidRPr="008D1B92">
        <w:rPr>
          <w:spacing w:val="0"/>
          <w:kern w:val="0"/>
          <w:rtl/>
          <w:lang w:bidi="ar-SY"/>
        </w:rPr>
        <w:t xml:space="preserve"> فردي لعضو اللجنة، السيدة فيليس غاير (رأي مخالف </w:t>
      </w:r>
      <w:r w:rsidRPr="008D1B92">
        <w:rPr>
          <w:rFonts w:hint="cs"/>
          <w:spacing w:val="0"/>
          <w:kern w:val="0"/>
          <w:rtl/>
          <w:lang w:bidi="ar-SY"/>
        </w:rPr>
        <w:t>جزئياً</w:t>
      </w:r>
      <w:r w:rsidRPr="008D1B92">
        <w:rPr>
          <w:spacing w:val="0"/>
          <w:kern w:val="0"/>
          <w:rtl/>
          <w:lang w:bidi="ar-SY"/>
        </w:rPr>
        <w:t>)</w:t>
      </w:r>
    </w:p>
    <w:p w:rsidR="008D1B92" w:rsidRPr="008D1B92" w:rsidRDefault="008D1B92" w:rsidP="008D1B92">
      <w:pPr>
        <w:pStyle w:val="SingleTxtGA"/>
        <w:jc w:val="lowKashida"/>
        <w:rPr>
          <w:spacing w:val="0"/>
          <w:kern w:val="0"/>
          <w:rtl/>
          <w:lang w:val="en-CA"/>
        </w:rPr>
      </w:pPr>
      <w:r w:rsidRPr="008D1B92">
        <w:rPr>
          <w:spacing w:val="0"/>
          <w:kern w:val="0"/>
          <w:rtl/>
          <w:lang w:val="en-CA"/>
        </w:rPr>
        <w:t>1-</w:t>
      </w:r>
      <w:r w:rsidRPr="008D1B92">
        <w:rPr>
          <w:spacing w:val="0"/>
          <w:kern w:val="0"/>
          <w:rtl/>
          <w:lang w:val="en-CA"/>
        </w:rPr>
        <w:tab/>
        <w:t xml:space="preserve">هناك </w:t>
      </w:r>
      <w:r w:rsidRPr="008D1B92">
        <w:rPr>
          <w:rFonts w:hint="cs"/>
          <w:spacing w:val="0"/>
          <w:kern w:val="0"/>
          <w:rtl/>
          <w:lang w:val="en-CA"/>
        </w:rPr>
        <w:t xml:space="preserve">خلاف </w:t>
      </w:r>
      <w:r w:rsidRPr="008D1B92">
        <w:rPr>
          <w:spacing w:val="0"/>
          <w:kern w:val="0"/>
          <w:rtl/>
          <w:lang w:val="en-CA"/>
        </w:rPr>
        <w:t xml:space="preserve">أساسي في هذه القضية بين صاحبة الشكوى والدولة الطرف المعنية حول وقائع رئيسية معينة </w:t>
      </w:r>
      <w:r w:rsidRPr="008D1B92">
        <w:rPr>
          <w:rFonts w:hint="cs"/>
          <w:spacing w:val="0"/>
          <w:kern w:val="0"/>
          <w:rtl/>
          <w:lang w:val="en-CA"/>
        </w:rPr>
        <w:t xml:space="preserve">لها أهمية </w:t>
      </w:r>
      <w:r w:rsidRPr="008D1B92">
        <w:rPr>
          <w:spacing w:val="0"/>
          <w:kern w:val="0"/>
          <w:rtl/>
          <w:lang w:val="en-CA"/>
        </w:rPr>
        <w:t>حاسمة في تحديد ما إذا كان انتهاك للمادة 16 من الاتفاقية</w:t>
      </w:r>
      <w:r w:rsidRPr="008D1B92">
        <w:rPr>
          <w:rFonts w:hint="cs"/>
          <w:spacing w:val="0"/>
          <w:kern w:val="0"/>
          <w:rtl/>
          <w:lang w:val="en-CA"/>
        </w:rPr>
        <w:t xml:space="preserve"> قد </w:t>
      </w:r>
      <w:r w:rsidRPr="008D1B92">
        <w:rPr>
          <w:spacing w:val="0"/>
          <w:kern w:val="0"/>
          <w:rtl/>
          <w:lang w:val="en-CA"/>
        </w:rPr>
        <w:t>ارت</w:t>
      </w:r>
      <w:r w:rsidRPr="008D1B92">
        <w:rPr>
          <w:rFonts w:hint="cs"/>
          <w:spacing w:val="0"/>
          <w:kern w:val="0"/>
          <w:rtl/>
          <w:lang w:val="en-CA"/>
        </w:rPr>
        <w:t>ُ</w:t>
      </w:r>
      <w:r w:rsidRPr="008D1B92">
        <w:rPr>
          <w:spacing w:val="0"/>
          <w:kern w:val="0"/>
          <w:rtl/>
          <w:lang w:val="en-CA"/>
        </w:rPr>
        <w:t>كب</w:t>
      </w:r>
      <w:r w:rsidRPr="008D1B92">
        <w:rPr>
          <w:rFonts w:hint="cs"/>
          <w:spacing w:val="0"/>
          <w:kern w:val="0"/>
          <w:rtl/>
          <w:lang w:val="en-CA"/>
        </w:rPr>
        <w:t xml:space="preserve"> أم لا</w:t>
      </w:r>
      <w:r w:rsidRPr="008D1B92">
        <w:rPr>
          <w:spacing w:val="0"/>
          <w:kern w:val="0"/>
          <w:rtl/>
          <w:lang w:val="en-CA"/>
        </w:rPr>
        <w:t>.</w:t>
      </w:r>
      <w:r w:rsidRPr="008D1B92">
        <w:rPr>
          <w:rFonts w:hint="cs"/>
          <w:spacing w:val="0"/>
          <w:kern w:val="0"/>
          <w:rtl/>
          <w:lang w:val="en-CA"/>
        </w:rPr>
        <w:t xml:space="preserve"> </w:t>
      </w:r>
      <w:r w:rsidRPr="008D1B92">
        <w:rPr>
          <w:rFonts w:hint="eastAsia"/>
          <w:spacing w:val="0"/>
          <w:kern w:val="0"/>
          <w:rtl/>
          <w:lang w:val="en-CA"/>
        </w:rPr>
        <w:t>ودون</w:t>
      </w:r>
      <w:r w:rsidRPr="008D1B92">
        <w:rPr>
          <w:spacing w:val="0"/>
          <w:kern w:val="0"/>
          <w:rtl/>
          <w:lang w:val="en-CA"/>
        </w:rPr>
        <w:t xml:space="preserve"> الاعتراض على القرار النهائي للجنة في هذه القضية الذي يفيد بحدوث انتهاك، ف</w:t>
      </w:r>
      <w:r w:rsidRPr="008D1B92">
        <w:rPr>
          <w:rFonts w:hint="cs"/>
          <w:spacing w:val="0"/>
          <w:kern w:val="0"/>
          <w:rtl/>
          <w:lang w:val="en-CA"/>
        </w:rPr>
        <w:t>إن</w:t>
      </w:r>
      <w:r w:rsidRPr="008D1B92">
        <w:rPr>
          <w:spacing w:val="0"/>
          <w:kern w:val="0"/>
          <w:rtl/>
          <w:lang w:val="en-CA"/>
        </w:rPr>
        <w:t>ي اختلف</w:t>
      </w:r>
      <w:r w:rsidRPr="008D1B92">
        <w:rPr>
          <w:rFonts w:hint="cs"/>
          <w:spacing w:val="0"/>
          <w:kern w:val="0"/>
          <w:rtl/>
          <w:lang w:val="en-CA"/>
        </w:rPr>
        <w:t>، مع كامل احتراماتي،</w:t>
      </w:r>
      <w:r w:rsidRPr="008D1B92">
        <w:rPr>
          <w:spacing w:val="0"/>
          <w:kern w:val="0"/>
          <w:rtl/>
          <w:lang w:val="en-CA"/>
        </w:rPr>
        <w:t xml:space="preserve"> </w:t>
      </w:r>
      <w:r w:rsidRPr="008D1B92">
        <w:rPr>
          <w:rFonts w:hint="cs"/>
          <w:spacing w:val="0"/>
          <w:kern w:val="0"/>
          <w:rtl/>
          <w:lang w:val="en-CA"/>
        </w:rPr>
        <w:t xml:space="preserve">مع </w:t>
      </w:r>
      <w:r w:rsidRPr="008D1B92">
        <w:rPr>
          <w:spacing w:val="0"/>
          <w:kern w:val="0"/>
          <w:rtl/>
          <w:lang w:val="en-CA"/>
        </w:rPr>
        <w:t>المنهجية التي تدعي اللجنة أنها اتبعتها لتسوية النزاع فيما يتعلق بالانتهاك المزعوم للمادة 16</w:t>
      </w:r>
      <w:r w:rsidRPr="008D1B92">
        <w:rPr>
          <w:rFonts w:hint="cs"/>
          <w:spacing w:val="0"/>
          <w:kern w:val="0"/>
          <w:rtl/>
          <w:lang w:val="en-CA"/>
        </w:rPr>
        <w:t>.</w:t>
      </w:r>
    </w:p>
    <w:p w:rsidR="008D1B92" w:rsidRPr="008D1B92" w:rsidRDefault="008D1B92" w:rsidP="008D1B92">
      <w:pPr>
        <w:pStyle w:val="SingleTxtGA"/>
        <w:jc w:val="lowKashida"/>
        <w:rPr>
          <w:spacing w:val="-2"/>
          <w:kern w:val="0"/>
          <w:rtl/>
          <w:lang w:val="en-CA"/>
        </w:rPr>
      </w:pPr>
      <w:r w:rsidRPr="008D1B92">
        <w:rPr>
          <w:spacing w:val="-2"/>
          <w:kern w:val="0"/>
          <w:rtl/>
          <w:lang w:val="en-CA"/>
        </w:rPr>
        <w:t>2-</w:t>
      </w:r>
      <w:r w:rsidRPr="008D1B92">
        <w:rPr>
          <w:spacing w:val="-2"/>
          <w:kern w:val="0"/>
          <w:rtl/>
          <w:lang w:val="en-CA"/>
        </w:rPr>
        <w:tab/>
      </w:r>
      <w:r w:rsidRPr="008D1B92">
        <w:rPr>
          <w:rFonts w:hint="cs"/>
          <w:spacing w:val="-2"/>
          <w:kern w:val="0"/>
          <w:rtl/>
          <w:lang w:val="en-CA"/>
        </w:rPr>
        <w:t>لقد عُرض على</w:t>
      </w:r>
      <w:r w:rsidRPr="008D1B92">
        <w:rPr>
          <w:spacing w:val="-2"/>
          <w:kern w:val="0"/>
          <w:rtl/>
          <w:lang w:val="en-CA"/>
        </w:rPr>
        <w:t xml:space="preserve"> اللجنة في هذه القضية ادعاء من صاحبة الشكوى يفيد بأن </w:t>
      </w:r>
      <w:r w:rsidRPr="008D1B92">
        <w:rPr>
          <w:rFonts w:hint="cs"/>
          <w:spacing w:val="-2"/>
          <w:kern w:val="0"/>
          <w:rtl/>
          <w:lang w:val="en-CA"/>
        </w:rPr>
        <w:t>ضابطي</w:t>
      </w:r>
      <w:r w:rsidRPr="008D1B92">
        <w:rPr>
          <w:spacing w:val="-2"/>
          <w:kern w:val="0"/>
          <w:rtl/>
          <w:lang w:val="en-CA"/>
        </w:rPr>
        <w:t xml:space="preserve"> الحرس المدني الإسباني أخذا شقيقها، لودنغ سونكو</w:t>
      </w:r>
      <w:r w:rsidRPr="008D1B92">
        <w:rPr>
          <w:rFonts w:hint="cs"/>
          <w:spacing w:val="-2"/>
          <w:kern w:val="0"/>
          <w:rtl/>
          <w:lang w:val="en-CA"/>
        </w:rPr>
        <w:t>،</w:t>
      </w:r>
      <w:r w:rsidRPr="008D1B92">
        <w:rPr>
          <w:spacing w:val="-2"/>
          <w:kern w:val="0"/>
          <w:rtl/>
          <w:lang w:val="en-CA"/>
        </w:rPr>
        <w:t xml:space="preserve"> ورفاقه على متن سفينتهم</w:t>
      </w:r>
      <w:r w:rsidRPr="008D1B92">
        <w:rPr>
          <w:rFonts w:hint="cs"/>
          <w:spacing w:val="-2"/>
          <w:kern w:val="0"/>
          <w:rtl/>
          <w:lang w:val="en-CA"/>
        </w:rPr>
        <w:t>ا</w:t>
      </w:r>
      <w:r w:rsidRPr="008D1B92">
        <w:rPr>
          <w:spacing w:val="-2"/>
          <w:kern w:val="0"/>
          <w:rtl/>
          <w:lang w:val="en-CA"/>
        </w:rPr>
        <w:t>، و</w:t>
      </w:r>
      <w:r w:rsidRPr="008D1B92">
        <w:rPr>
          <w:rFonts w:hint="cs"/>
          <w:spacing w:val="-2"/>
          <w:kern w:val="0"/>
          <w:rtl/>
          <w:lang w:val="en-CA"/>
        </w:rPr>
        <w:t>أ</w:t>
      </w:r>
      <w:r w:rsidRPr="008D1B92">
        <w:rPr>
          <w:spacing w:val="-2"/>
          <w:kern w:val="0"/>
          <w:rtl/>
          <w:lang w:val="en-CA"/>
        </w:rPr>
        <w:t xml:space="preserve">حدثا ثقوباً بثلاثة من </w:t>
      </w:r>
      <w:r w:rsidRPr="008D1B92">
        <w:rPr>
          <w:rFonts w:hint="cs"/>
          <w:spacing w:val="-2"/>
          <w:kern w:val="0"/>
          <w:rtl/>
          <w:lang w:val="en-CA"/>
        </w:rPr>
        <w:t xml:space="preserve">الزوارق </w:t>
      </w:r>
      <w:r w:rsidRPr="008D1B92">
        <w:rPr>
          <w:spacing w:val="-2"/>
          <w:kern w:val="0"/>
          <w:rtl/>
          <w:lang w:val="en-CA"/>
        </w:rPr>
        <w:t xml:space="preserve">المطاطية الأربعة التي كانوا يستعملونها في وقت سابق </w:t>
      </w:r>
      <w:r w:rsidRPr="008D1B92">
        <w:rPr>
          <w:rFonts w:hint="cs"/>
          <w:spacing w:val="-2"/>
          <w:kern w:val="0"/>
          <w:rtl/>
          <w:lang w:val="en-CA"/>
        </w:rPr>
        <w:t>وقذفا</w:t>
      </w:r>
      <w:r w:rsidRPr="008D1B92">
        <w:rPr>
          <w:spacing w:val="-2"/>
          <w:kern w:val="0"/>
          <w:rtl/>
          <w:lang w:val="en-CA"/>
        </w:rPr>
        <w:t xml:space="preserve"> بهم في </w:t>
      </w:r>
      <w:r w:rsidRPr="008D1B92">
        <w:rPr>
          <w:rFonts w:hint="cs"/>
          <w:spacing w:val="-2"/>
          <w:kern w:val="0"/>
          <w:rtl/>
          <w:lang w:val="en-CA"/>
        </w:rPr>
        <w:t xml:space="preserve">البحر على عمق لا يسمح لهم بالوقوف، </w:t>
      </w:r>
      <w:r w:rsidRPr="008D1B92">
        <w:rPr>
          <w:spacing w:val="-2"/>
          <w:kern w:val="0"/>
          <w:rtl/>
          <w:lang w:val="en-CA"/>
        </w:rPr>
        <w:t xml:space="preserve">على الرغم من اعتراضات شقيقها </w:t>
      </w:r>
      <w:r w:rsidRPr="008D1B92">
        <w:rPr>
          <w:rFonts w:hint="cs"/>
          <w:spacing w:val="-2"/>
          <w:kern w:val="0"/>
          <w:rtl/>
          <w:lang w:val="en-CA"/>
        </w:rPr>
        <w:t>قائلاً إ</w:t>
      </w:r>
      <w:r w:rsidRPr="008D1B92">
        <w:rPr>
          <w:spacing w:val="-2"/>
          <w:kern w:val="0"/>
          <w:rtl/>
          <w:lang w:val="en-CA"/>
        </w:rPr>
        <w:t xml:space="preserve">نه لا </w:t>
      </w:r>
      <w:r w:rsidRPr="008D1B92">
        <w:rPr>
          <w:rFonts w:hint="cs"/>
          <w:spacing w:val="-2"/>
          <w:kern w:val="0"/>
          <w:rtl/>
          <w:lang w:val="en-CA"/>
        </w:rPr>
        <w:t>يعرف</w:t>
      </w:r>
      <w:r w:rsidRPr="008D1B92">
        <w:rPr>
          <w:spacing w:val="-2"/>
          <w:kern w:val="0"/>
          <w:rtl/>
          <w:lang w:val="en-CA"/>
        </w:rPr>
        <w:t xml:space="preserve"> السباحة، وما نتج عن ذلك من غرق السيد سونكو. وتؤكد الدولة الطرف أن </w:t>
      </w:r>
      <w:r w:rsidRPr="008D1B92">
        <w:rPr>
          <w:rFonts w:hint="cs"/>
          <w:spacing w:val="-2"/>
          <w:kern w:val="0"/>
          <w:rtl/>
          <w:lang w:val="en-CA"/>
        </w:rPr>
        <w:t>ضابطي</w:t>
      </w:r>
      <w:r w:rsidRPr="008D1B92">
        <w:rPr>
          <w:spacing w:val="-2"/>
          <w:kern w:val="0"/>
          <w:rtl/>
          <w:lang w:val="en-CA"/>
        </w:rPr>
        <w:t xml:space="preserve"> الحرس المدني أخذا السيد سونكو ورفاقه بالفعل على متن </w:t>
      </w:r>
      <w:r w:rsidRPr="008D1B92">
        <w:rPr>
          <w:rFonts w:hint="cs"/>
          <w:spacing w:val="-2"/>
          <w:kern w:val="0"/>
          <w:rtl/>
          <w:lang w:val="en-CA"/>
        </w:rPr>
        <w:t>زورقهما</w:t>
      </w:r>
      <w:r w:rsidRPr="008D1B92">
        <w:rPr>
          <w:spacing w:val="-2"/>
          <w:kern w:val="0"/>
          <w:rtl/>
          <w:lang w:val="en-CA"/>
        </w:rPr>
        <w:t xml:space="preserve"> و"</w:t>
      </w:r>
      <w:r w:rsidRPr="008D1B92">
        <w:rPr>
          <w:rFonts w:hint="cs"/>
          <w:spacing w:val="-2"/>
          <w:kern w:val="0"/>
          <w:rtl/>
          <w:lang w:val="en-CA"/>
        </w:rPr>
        <w:t>أ</w:t>
      </w:r>
      <w:r w:rsidRPr="008D1B92">
        <w:rPr>
          <w:spacing w:val="-2"/>
          <w:kern w:val="0"/>
          <w:rtl/>
          <w:lang w:val="en-CA"/>
        </w:rPr>
        <w:t>طلقا سراحهم" في وقت لاحق، لكنها تدعي أنهم</w:t>
      </w:r>
      <w:r w:rsidRPr="008D1B92">
        <w:rPr>
          <w:rFonts w:hint="cs"/>
          <w:spacing w:val="-2"/>
          <w:kern w:val="0"/>
          <w:rtl/>
          <w:lang w:val="en-CA"/>
        </w:rPr>
        <w:t>ا</w:t>
      </w:r>
      <w:r w:rsidRPr="008D1B92">
        <w:rPr>
          <w:spacing w:val="-2"/>
          <w:kern w:val="0"/>
          <w:rtl/>
          <w:lang w:val="en-CA"/>
        </w:rPr>
        <w:t xml:space="preserve"> فعلا ذلك "ف</w:t>
      </w:r>
      <w:r w:rsidRPr="008D1B92">
        <w:rPr>
          <w:rFonts w:hint="eastAsia"/>
          <w:spacing w:val="-2"/>
          <w:kern w:val="0"/>
          <w:rtl/>
          <w:lang w:val="en-CA"/>
        </w:rPr>
        <w:t>ي</w:t>
      </w:r>
      <w:r w:rsidRPr="008D1B92">
        <w:rPr>
          <w:spacing w:val="-2"/>
          <w:kern w:val="0"/>
          <w:rtl/>
          <w:lang w:val="en-CA"/>
        </w:rPr>
        <w:t xml:space="preserve"> منطقة قريبة جداً من الشاطئ" و</w:t>
      </w:r>
      <w:r w:rsidRPr="008D1B92">
        <w:rPr>
          <w:rFonts w:hint="cs"/>
          <w:spacing w:val="-2"/>
          <w:kern w:val="0"/>
          <w:rtl/>
          <w:lang w:val="en-CA"/>
        </w:rPr>
        <w:t>أنهما ل</w:t>
      </w:r>
      <w:r w:rsidRPr="008D1B92">
        <w:rPr>
          <w:spacing w:val="-2"/>
          <w:kern w:val="0"/>
          <w:rtl/>
          <w:lang w:val="en-CA"/>
        </w:rPr>
        <w:t xml:space="preserve">م يحدثا ثقوباً في </w:t>
      </w:r>
      <w:r w:rsidRPr="008D1B92">
        <w:rPr>
          <w:rFonts w:hint="cs"/>
          <w:spacing w:val="-2"/>
          <w:kern w:val="0"/>
          <w:rtl/>
          <w:lang w:val="en-CA"/>
        </w:rPr>
        <w:t xml:space="preserve">الزوارق </w:t>
      </w:r>
      <w:r w:rsidRPr="008D1B92">
        <w:rPr>
          <w:spacing w:val="-2"/>
          <w:kern w:val="0"/>
          <w:rtl/>
          <w:lang w:val="en-CA"/>
        </w:rPr>
        <w:t>المطاطية. وبالتالي، تدعي الدولة الطرف أن وفاة السيد سونكو كان</w:t>
      </w:r>
      <w:r w:rsidRPr="008D1B92">
        <w:rPr>
          <w:rFonts w:hint="cs"/>
          <w:spacing w:val="-2"/>
          <w:kern w:val="0"/>
          <w:rtl/>
          <w:lang w:val="en-CA"/>
        </w:rPr>
        <w:t>ت</w:t>
      </w:r>
      <w:r w:rsidRPr="008D1B92">
        <w:rPr>
          <w:spacing w:val="-2"/>
          <w:kern w:val="0"/>
          <w:rtl/>
          <w:lang w:val="en-CA"/>
        </w:rPr>
        <w:t xml:space="preserve"> "حادثاً مؤسفاً" وليس فع</w:t>
      </w:r>
      <w:r w:rsidRPr="008D1B92">
        <w:rPr>
          <w:rFonts w:hint="cs"/>
          <w:spacing w:val="-2"/>
          <w:kern w:val="0"/>
          <w:rtl/>
          <w:lang w:val="en-CA"/>
        </w:rPr>
        <w:t>لاً</w:t>
      </w:r>
      <w:r w:rsidRPr="008D1B92">
        <w:rPr>
          <w:spacing w:val="-2"/>
          <w:kern w:val="0"/>
          <w:rtl/>
          <w:lang w:val="en-CA"/>
        </w:rPr>
        <w:t xml:space="preserve"> من أفعال المعاملة أو العقوبة القاسية أو اللاإنسانية أو المهينة.</w:t>
      </w:r>
    </w:p>
    <w:p w:rsidR="008D1B92" w:rsidRPr="008D1B92" w:rsidRDefault="008D1B92" w:rsidP="008D1B92">
      <w:pPr>
        <w:pStyle w:val="SingleTxtGA"/>
        <w:jc w:val="lowKashida"/>
        <w:rPr>
          <w:spacing w:val="0"/>
          <w:kern w:val="0"/>
          <w:rtl/>
          <w:lang w:val="en-CA"/>
        </w:rPr>
      </w:pPr>
      <w:r w:rsidRPr="008D1B92">
        <w:rPr>
          <w:spacing w:val="0"/>
          <w:kern w:val="0"/>
          <w:rtl/>
          <w:lang w:val="en-CA"/>
        </w:rPr>
        <w:t>3-</w:t>
      </w:r>
      <w:r w:rsidRPr="008D1B92">
        <w:rPr>
          <w:spacing w:val="0"/>
          <w:kern w:val="0"/>
          <w:rtl/>
          <w:lang w:val="en-CA"/>
        </w:rPr>
        <w:tab/>
        <w:t xml:space="preserve">ومهمة اللجنة في هذه </w:t>
      </w:r>
      <w:r w:rsidRPr="008D1B92">
        <w:rPr>
          <w:rFonts w:hint="cs"/>
          <w:spacing w:val="0"/>
          <w:kern w:val="0"/>
          <w:rtl/>
          <w:lang w:val="en-CA"/>
        </w:rPr>
        <w:t>القضية</w:t>
      </w:r>
      <w:r w:rsidRPr="008D1B92">
        <w:rPr>
          <w:spacing w:val="0"/>
          <w:kern w:val="0"/>
          <w:rtl/>
          <w:lang w:val="en-CA"/>
        </w:rPr>
        <w:t xml:space="preserve"> هي تحديد ما إذا كان قد حدث انتهاك للمادة 16 من الاتفاقية</w:t>
      </w:r>
      <w:r w:rsidRPr="008D1B92">
        <w:rPr>
          <w:rFonts w:hint="cs"/>
          <w:spacing w:val="0"/>
          <w:kern w:val="0"/>
          <w:rtl/>
          <w:lang w:val="en-CA"/>
        </w:rPr>
        <w:t xml:space="preserve"> أم لا</w:t>
      </w:r>
      <w:r w:rsidRPr="008D1B92">
        <w:rPr>
          <w:spacing w:val="0"/>
          <w:kern w:val="0"/>
          <w:rtl/>
          <w:lang w:val="en-CA"/>
        </w:rPr>
        <w:t xml:space="preserve">. وبالطبع لا يمكن أن تقوم اللجنة </w:t>
      </w:r>
      <w:r w:rsidRPr="008D1B92">
        <w:rPr>
          <w:rFonts w:hint="cs"/>
          <w:spacing w:val="0"/>
          <w:kern w:val="0"/>
          <w:rtl/>
          <w:lang w:val="en-CA"/>
        </w:rPr>
        <w:t>بذلك</w:t>
      </w:r>
      <w:r w:rsidRPr="008D1B92">
        <w:rPr>
          <w:spacing w:val="0"/>
          <w:kern w:val="0"/>
          <w:rtl/>
          <w:lang w:val="en-CA"/>
        </w:rPr>
        <w:t xml:space="preserve"> دون تقييم وقائع القضية. ولكن بدلاً من أن تتناول اللجنة مباشرة النزاعات الوقائعية المعروضة </w:t>
      </w:r>
      <w:r w:rsidRPr="008D1B92">
        <w:rPr>
          <w:rFonts w:hint="cs"/>
          <w:spacing w:val="0"/>
          <w:kern w:val="0"/>
          <w:rtl/>
          <w:lang w:val="en-CA"/>
        </w:rPr>
        <w:t>عليها</w:t>
      </w:r>
      <w:r w:rsidRPr="008D1B92">
        <w:rPr>
          <w:spacing w:val="0"/>
          <w:kern w:val="0"/>
          <w:rtl/>
          <w:lang w:val="en-CA"/>
        </w:rPr>
        <w:t xml:space="preserve">، أعلنت اللجنة بدلاً من ذلك </w:t>
      </w:r>
      <w:r w:rsidRPr="008D1B92">
        <w:rPr>
          <w:rFonts w:hint="cs"/>
          <w:spacing w:val="0"/>
          <w:kern w:val="0"/>
          <w:rtl/>
          <w:lang w:val="en-CA"/>
        </w:rPr>
        <w:t>رأياً مثيرا</w:t>
      </w:r>
      <w:r w:rsidR="00BA41EC">
        <w:rPr>
          <w:rFonts w:hint="cs"/>
          <w:spacing w:val="0"/>
          <w:kern w:val="0"/>
          <w:rtl/>
          <w:lang w:val="en-CA"/>
        </w:rPr>
        <w:t>ً</w:t>
      </w:r>
      <w:r w:rsidRPr="008D1B92">
        <w:rPr>
          <w:rFonts w:hint="cs"/>
          <w:spacing w:val="0"/>
          <w:kern w:val="0"/>
          <w:rtl/>
          <w:lang w:val="en-CA"/>
        </w:rPr>
        <w:t xml:space="preserve"> للغرابة يفيد بأنه "</w:t>
      </w:r>
      <w:r w:rsidRPr="008D1B92">
        <w:rPr>
          <w:spacing w:val="0"/>
          <w:kern w:val="0"/>
          <w:rtl/>
          <w:lang w:val="en-CA"/>
        </w:rPr>
        <w:t>ليس من مهامها تقدير الأدلة أو إعادة تقييم الأقوال التي أدلي بها</w:t>
      </w:r>
      <w:r w:rsidRPr="008D1B92">
        <w:rPr>
          <w:rFonts w:hint="cs"/>
          <w:spacing w:val="0"/>
          <w:kern w:val="0"/>
          <w:rtl/>
          <w:lang w:val="en-CA"/>
        </w:rPr>
        <w:t xml:space="preserve"> </w:t>
      </w:r>
      <w:r w:rsidRPr="008D1B92">
        <w:rPr>
          <w:spacing w:val="0"/>
          <w:kern w:val="0"/>
          <w:rtl/>
          <w:lang w:val="en-CA"/>
        </w:rPr>
        <w:t xml:space="preserve">فيما يتعلق بالوقائع أو </w:t>
      </w:r>
      <w:r w:rsidRPr="008D1B92">
        <w:rPr>
          <w:rFonts w:hint="cs"/>
          <w:spacing w:val="0"/>
          <w:kern w:val="0"/>
          <w:rtl/>
          <w:lang w:val="en-CA"/>
        </w:rPr>
        <w:t xml:space="preserve">التشكيك في مصداقية </w:t>
      </w:r>
      <w:r w:rsidRPr="008D1B92">
        <w:rPr>
          <w:spacing w:val="0"/>
          <w:kern w:val="0"/>
          <w:rtl/>
          <w:lang w:val="en-CA"/>
        </w:rPr>
        <w:t>السلطات الوطنية المختصة</w:t>
      </w:r>
      <w:r w:rsidRPr="008D1B92">
        <w:rPr>
          <w:rFonts w:hint="cs"/>
          <w:spacing w:val="0"/>
          <w:kern w:val="0"/>
          <w:rtl/>
          <w:lang w:val="en-CA"/>
        </w:rPr>
        <w:t>"</w:t>
      </w:r>
      <w:r w:rsidRPr="008D1B92">
        <w:rPr>
          <w:spacing w:val="0"/>
          <w:kern w:val="0"/>
          <w:rtl/>
          <w:lang w:val="en-CA"/>
        </w:rPr>
        <w:t xml:space="preserve"> (انظر الفقرة 10-2 أعلاه). وأنا </w:t>
      </w:r>
      <w:r w:rsidRPr="008D1B92">
        <w:rPr>
          <w:rFonts w:hint="cs"/>
          <w:spacing w:val="0"/>
          <w:kern w:val="0"/>
          <w:rtl/>
          <w:lang w:val="en-CA"/>
        </w:rPr>
        <w:t>اختلف</w:t>
      </w:r>
      <w:r w:rsidRPr="008D1B92">
        <w:rPr>
          <w:spacing w:val="0"/>
          <w:kern w:val="0"/>
          <w:rtl/>
          <w:lang w:val="en-CA"/>
        </w:rPr>
        <w:t xml:space="preserve"> بشدة </w:t>
      </w:r>
      <w:r w:rsidRPr="008D1B92">
        <w:rPr>
          <w:rFonts w:hint="cs"/>
          <w:spacing w:val="0"/>
          <w:kern w:val="0"/>
          <w:rtl/>
          <w:lang w:val="en-CA"/>
        </w:rPr>
        <w:t xml:space="preserve">مع </w:t>
      </w:r>
      <w:r w:rsidRPr="008D1B92">
        <w:rPr>
          <w:spacing w:val="0"/>
          <w:kern w:val="0"/>
          <w:rtl/>
          <w:lang w:val="en-CA"/>
        </w:rPr>
        <w:t xml:space="preserve">هذا </w:t>
      </w:r>
      <w:r w:rsidRPr="008D1B92">
        <w:rPr>
          <w:rFonts w:hint="cs"/>
          <w:spacing w:val="0"/>
          <w:kern w:val="0"/>
          <w:rtl/>
          <w:lang w:val="en-CA"/>
        </w:rPr>
        <w:t>القول</w:t>
      </w:r>
      <w:r w:rsidRPr="008D1B92">
        <w:rPr>
          <w:spacing w:val="0"/>
          <w:kern w:val="0"/>
          <w:rtl/>
          <w:lang w:val="en-CA"/>
        </w:rPr>
        <w:t xml:space="preserve"> حيث </w:t>
      </w:r>
      <w:r w:rsidRPr="008D1B92">
        <w:rPr>
          <w:rFonts w:hint="cs"/>
          <w:spacing w:val="0"/>
          <w:kern w:val="0"/>
          <w:rtl/>
          <w:lang w:val="en-CA"/>
        </w:rPr>
        <w:t>إ</w:t>
      </w:r>
      <w:r w:rsidRPr="008D1B92">
        <w:rPr>
          <w:spacing w:val="0"/>
          <w:kern w:val="0"/>
          <w:rtl/>
          <w:lang w:val="en-CA"/>
        </w:rPr>
        <w:t xml:space="preserve">نه يتعارض مع كل من محتوى تعليق </w:t>
      </w:r>
      <w:r w:rsidRPr="008D1B92">
        <w:rPr>
          <w:rFonts w:hint="cs"/>
          <w:spacing w:val="0"/>
          <w:kern w:val="0"/>
          <w:rtl/>
          <w:lang w:val="en-CA"/>
        </w:rPr>
        <w:t>ا</w:t>
      </w:r>
      <w:r w:rsidRPr="008D1B92">
        <w:rPr>
          <w:spacing w:val="0"/>
          <w:kern w:val="0"/>
          <w:rtl/>
          <w:lang w:val="en-CA"/>
        </w:rPr>
        <w:t xml:space="preserve">للجنة العام رقم 1 الذي </w:t>
      </w:r>
      <w:r w:rsidRPr="008D1B92">
        <w:rPr>
          <w:rFonts w:hint="cs"/>
          <w:spacing w:val="0"/>
          <w:kern w:val="0"/>
          <w:rtl/>
          <w:lang w:val="en-CA"/>
        </w:rPr>
        <w:t xml:space="preserve">استرشد به </w:t>
      </w:r>
      <w:r w:rsidRPr="008D1B92">
        <w:rPr>
          <w:spacing w:val="0"/>
          <w:kern w:val="0"/>
          <w:rtl/>
          <w:lang w:val="en-CA"/>
        </w:rPr>
        <w:t>العديد من قرارات اللجنة والسوابق القضائية للجنة في طائفة من البلاغات الفردية.</w:t>
      </w:r>
    </w:p>
    <w:p w:rsidR="008D1B92" w:rsidRPr="008D1B92" w:rsidRDefault="008D1B92" w:rsidP="008D1B92">
      <w:pPr>
        <w:pStyle w:val="SingleTxtGA"/>
        <w:jc w:val="lowKashida"/>
        <w:rPr>
          <w:spacing w:val="0"/>
          <w:kern w:val="0"/>
          <w:rtl/>
          <w:lang w:val="en-CA"/>
        </w:rPr>
      </w:pPr>
      <w:r w:rsidRPr="008D1B92">
        <w:rPr>
          <w:spacing w:val="0"/>
          <w:kern w:val="0"/>
          <w:rtl/>
          <w:lang w:val="en-CA"/>
        </w:rPr>
        <w:t>4-</w:t>
      </w:r>
      <w:r w:rsidRPr="008D1B92">
        <w:rPr>
          <w:spacing w:val="0"/>
          <w:kern w:val="0"/>
          <w:rtl/>
          <w:lang w:val="en-CA"/>
        </w:rPr>
        <w:tab/>
      </w:r>
      <w:r w:rsidRPr="008D1B92">
        <w:rPr>
          <w:rFonts w:hint="cs"/>
          <w:spacing w:val="0"/>
          <w:kern w:val="0"/>
          <w:rtl/>
          <w:lang w:val="en-CA"/>
        </w:rPr>
        <w:t>ف</w:t>
      </w:r>
      <w:r w:rsidRPr="008D1B92">
        <w:rPr>
          <w:spacing w:val="0"/>
          <w:kern w:val="0"/>
          <w:rtl/>
          <w:lang w:val="en-CA"/>
        </w:rPr>
        <w:t xml:space="preserve">الفقرة 9 من تعليق </w:t>
      </w:r>
      <w:r w:rsidRPr="008D1B92">
        <w:rPr>
          <w:rFonts w:hint="cs"/>
          <w:spacing w:val="0"/>
          <w:kern w:val="0"/>
          <w:rtl/>
          <w:lang w:val="en-CA"/>
        </w:rPr>
        <w:t>ا</w:t>
      </w:r>
      <w:r w:rsidRPr="008D1B92">
        <w:rPr>
          <w:spacing w:val="0"/>
          <w:kern w:val="0"/>
          <w:rtl/>
          <w:lang w:val="en-CA"/>
        </w:rPr>
        <w:t>للجنة العام رقم 1 تتناول هذه المسألة مباشرة.</w:t>
      </w:r>
      <w:r w:rsidRPr="008D1B92">
        <w:rPr>
          <w:rFonts w:hint="cs"/>
          <w:spacing w:val="0"/>
          <w:kern w:val="0"/>
          <w:rtl/>
          <w:lang w:val="en-CA"/>
        </w:rPr>
        <w:t xml:space="preserve"> وقد جاء فيها ما</w:t>
      </w:r>
      <w:r>
        <w:rPr>
          <w:rFonts w:hint="eastAsia"/>
          <w:spacing w:val="0"/>
          <w:kern w:val="0"/>
          <w:rtl/>
          <w:lang w:val="en-CA"/>
        </w:rPr>
        <w:t> </w:t>
      </w:r>
      <w:r w:rsidRPr="008D1B92">
        <w:rPr>
          <w:rFonts w:hint="cs"/>
          <w:spacing w:val="0"/>
          <w:kern w:val="0"/>
          <w:rtl/>
          <w:lang w:val="en-CA"/>
        </w:rPr>
        <w:t>يلي</w:t>
      </w:r>
      <w:r w:rsidRPr="008D1B92">
        <w:rPr>
          <w:spacing w:val="0"/>
          <w:kern w:val="0"/>
          <w:rtl/>
          <w:lang w:val="en-CA"/>
        </w:rPr>
        <w:t>:</w:t>
      </w:r>
    </w:p>
    <w:p w:rsidR="008D1B92" w:rsidRPr="008D1B92" w:rsidRDefault="008D1B92" w:rsidP="008D1B92">
      <w:pPr>
        <w:pStyle w:val="SingleTxtGA"/>
        <w:tabs>
          <w:tab w:val="clear" w:pos="1928"/>
          <w:tab w:val="left" w:pos="2438"/>
        </w:tabs>
        <w:ind w:left="1928"/>
        <w:jc w:val="lowKashida"/>
        <w:rPr>
          <w:rFonts w:hint="cs"/>
          <w:spacing w:val="0"/>
          <w:kern w:val="0"/>
          <w:rtl/>
          <w:lang w:val="en-CA"/>
        </w:rPr>
      </w:pPr>
      <w:r w:rsidRPr="008D1B92">
        <w:rPr>
          <w:rFonts w:hint="cs"/>
          <w:spacing w:val="0"/>
          <w:kern w:val="0"/>
          <w:rtl/>
          <w:lang w:val="en-CA"/>
        </w:rPr>
        <w:tab/>
        <w:t>"وإذا وضع في الاعتبار أن لجنة مناهضة التعذيب ليست هيئة استئناف أو هيئة شبه قضائية أو هيئة إدارية، بل هي هيئة رصد أوجدتها الدول الأطراف نفسها بسلطات إعلانية فقط، فإن ذلك يعني ما يلي:</w:t>
      </w:r>
    </w:p>
    <w:p w:rsidR="008D1B92" w:rsidRPr="008D1B92" w:rsidRDefault="008D1B92" w:rsidP="008D1B92">
      <w:pPr>
        <w:pStyle w:val="SingleTxtGA"/>
        <w:ind w:left="1928"/>
        <w:jc w:val="lowKashida"/>
        <w:rPr>
          <w:rFonts w:hint="cs"/>
          <w:spacing w:val="0"/>
          <w:kern w:val="0"/>
          <w:rtl/>
          <w:lang w:val="en-CA"/>
        </w:rPr>
      </w:pPr>
      <w:r w:rsidRPr="008D1B92">
        <w:rPr>
          <w:rFonts w:hint="cs"/>
          <w:spacing w:val="0"/>
          <w:kern w:val="0"/>
          <w:rtl/>
          <w:lang w:val="en-CA"/>
        </w:rPr>
        <w:tab/>
        <w:t>(أ)</w:t>
      </w:r>
      <w:r w:rsidRPr="008D1B92">
        <w:rPr>
          <w:rFonts w:hint="cs"/>
          <w:spacing w:val="0"/>
          <w:kern w:val="0"/>
          <w:rtl/>
          <w:lang w:val="en-CA"/>
        </w:rPr>
        <w:tab/>
        <w:t>سيعطى وزن كبير، لدى ممارسة اللجنة لاختصاصها ... للاستنتاجات الوقائعية التي توفرها أجهزة الدولة الطرف المعنية؛</w:t>
      </w:r>
    </w:p>
    <w:p w:rsidR="008D1B92" w:rsidRPr="008D1B92" w:rsidRDefault="008D1B92" w:rsidP="003A2D39">
      <w:pPr>
        <w:pStyle w:val="SingleTxtGA"/>
        <w:ind w:left="1928"/>
        <w:jc w:val="lowKashida"/>
        <w:rPr>
          <w:rFonts w:hint="cs"/>
          <w:spacing w:val="0"/>
          <w:kern w:val="0"/>
          <w:rtl/>
          <w:lang w:val="en-CA"/>
        </w:rPr>
      </w:pPr>
      <w:r w:rsidRPr="008D1B92">
        <w:rPr>
          <w:rFonts w:hint="cs"/>
          <w:spacing w:val="0"/>
          <w:kern w:val="0"/>
          <w:rtl/>
          <w:lang w:val="en-CA"/>
        </w:rPr>
        <w:tab/>
        <w:t>(ب)</w:t>
      </w:r>
      <w:r w:rsidRPr="008D1B92">
        <w:rPr>
          <w:rFonts w:hint="cs"/>
          <w:spacing w:val="0"/>
          <w:kern w:val="0"/>
          <w:rtl/>
          <w:lang w:val="en-CA"/>
        </w:rPr>
        <w:tab/>
        <w:t xml:space="preserve">لا تتقيد اللجنة بهذه الاستنتاجات غير أن لها بدلاً من ذلك حقاً تنص عليه الفقرة 4 من المادة 22 من الاتفاقية، في التقدير الحر للوقائع بناء على </w:t>
      </w:r>
      <w:r w:rsidR="003A2D39">
        <w:rPr>
          <w:rFonts w:hint="cs"/>
          <w:spacing w:val="0"/>
          <w:kern w:val="0"/>
          <w:rtl/>
          <w:lang w:val="en-CA"/>
        </w:rPr>
        <w:t xml:space="preserve">مُجمل ملابسات </w:t>
      </w:r>
      <w:r w:rsidRPr="008D1B92">
        <w:rPr>
          <w:rFonts w:hint="cs"/>
          <w:spacing w:val="0"/>
          <w:kern w:val="0"/>
          <w:rtl/>
          <w:lang w:val="en-CA"/>
        </w:rPr>
        <w:t>كل قضية</w:t>
      </w:r>
      <w:r w:rsidRPr="008D1B92">
        <w:rPr>
          <w:rFonts w:hint="cs"/>
          <w:spacing w:val="0"/>
          <w:kern w:val="0"/>
          <w:vertAlign w:val="superscript"/>
          <w:rtl/>
          <w:lang w:val="en-CA"/>
        </w:rPr>
        <w:t>(</w:t>
      </w:r>
      <w:r w:rsidRPr="008D1B92">
        <w:rPr>
          <w:rStyle w:val="FootnoteReference"/>
          <w:spacing w:val="0"/>
          <w:rtl/>
          <w:lang w:val="en-CA"/>
        </w:rPr>
        <w:footnoteReference w:id="224"/>
      </w:r>
      <w:r w:rsidRPr="008D1B92">
        <w:rPr>
          <w:rFonts w:hint="cs"/>
          <w:spacing w:val="0"/>
          <w:kern w:val="0"/>
          <w:vertAlign w:val="superscript"/>
          <w:rtl/>
          <w:lang w:val="en-CA"/>
        </w:rPr>
        <w:t>)</w:t>
      </w:r>
      <w:r w:rsidRPr="008D1B92">
        <w:rPr>
          <w:rFonts w:hint="cs"/>
          <w:spacing w:val="0"/>
          <w:kern w:val="0"/>
          <w:rtl/>
          <w:lang w:val="en-CA"/>
        </w:rPr>
        <w:t>."</w:t>
      </w:r>
    </w:p>
    <w:p w:rsidR="008D1B92" w:rsidRPr="008D1B92" w:rsidRDefault="008D1B92" w:rsidP="003A2D39">
      <w:pPr>
        <w:pStyle w:val="SingleTxtGA"/>
        <w:jc w:val="lowKashida"/>
        <w:rPr>
          <w:spacing w:val="0"/>
          <w:kern w:val="0"/>
          <w:rtl/>
          <w:lang w:val="en-CA"/>
        </w:rPr>
      </w:pPr>
      <w:r w:rsidRPr="008D1B92">
        <w:rPr>
          <w:spacing w:val="0"/>
          <w:kern w:val="0"/>
          <w:rtl/>
          <w:lang w:val="en-CA"/>
        </w:rPr>
        <w:t>5-</w:t>
      </w:r>
      <w:r w:rsidRPr="008D1B92">
        <w:rPr>
          <w:spacing w:val="0"/>
          <w:kern w:val="0"/>
          <w:rtl/>
          <w:lang w:val="en-CA"/>
        </w:rPr>
        <w:tab/>
        <w:t xml:space="preserve">وفي عدد من القضايا التي توصلت فيها الكيانات القضائية إلى </w:t>
      </w:r>
      <w:r w:rsidRPr="008D1B92">
        <w:rPr>
          <w:rFonts w:hint="cs"/>
          <w:spacing w:val="0"/>
          <w:kern w:val="0"/>
          <w:rtl/>
          <w:lang w:val="en-CA"/>
        </w:rPr>
        <w:t>استنتاجات</w:t>
      </w:r>
      <w:r w:rsidRPr="008D1B92">
        <w:rPr>
          <w:spacing w:val="0"/>
          <w:kern w:val="0"/>
          <w:rtl/>
          <w:lang w:val="en-CA"/>
        </w:rPr>
        <w:t xml:space="preserve"> ذات صلة </w:t>
      </w:r>
      <w:r w:rsidRPr="008D1B92">
        <w:rPr>
          <w:rFonts w:hint="cs"/>
          <w:spacing w:val="0"/>
          <w:kern w:val="0"/>
          <w:rtl/>
          <w:lang w:val="en-CA"/>
        </w:rPr>
        <w:t>تؤثر على</w:t>
      </w:r>
      <w:r w:rsidRPr="008D1B92">
        <w:rPr>
          <w:spacing w:val="0"/>
          <w:kern w:val="0"/>
          <w:rtl/>
          <w:lang w:val="en-CA"/>
        </w:rPr>
        <w:t xml:space="preserve"> الادعاءات قيد النظر </w:t>
      </w:r>
      <w:r w:rsidRPr="008D1B92">
        <w:rPr>
          <w:rFonts w:hint="cs"/>
          <w:spacing w:val="0"/>
          <w:kern w:val="0"/>
          <w:rtl/>
          <w:lang w:val="en-CA"/>
        </w:rPr>
        <w:t xml:space="preserve">التي </w:t>
      </w:r>
      <w:r w:rsidRPr="008D1B92">
        <w:rPr>
          <w:spacing w:val="0"/>
          <w:kern w:val="0"/>
          <w:rtl/>
          <w:lang w:val="en-CA"/>
        </w:rPr>
        <w:t xml:space="preserve">لم تقم فيها الكيانات القضائية </w:t>
      </w:r>
      <w:r w:rsidRPr="008D1B92">
        <w:rPr>
          <w:rFonts w:hint="cs"/>
          <w:spacing w:val="0"/>
          <w:kern w:val="0"/>
          <w:rtl/>
          <w:lang w:val="en-CA"/>
        </w:rPr>
        <w:t>للدولة،</w:t>
      </w:r>
      <w:r w:rsidRPr="008D1B92">
        <w:rPr>
          <w:spacing w:val="0"/>
          <w:kern w:val="0"/>
          <w:rtl/>
          <w:lang w:val="en-CA"/>
        </w:rPr>
        <w:t xml:space="preserve"> مثلما ه</w:t>
      </w:r>
      <w:r w:rsidRPr="008D1B92">
        <w:rPr>
          <w:rFonts w:hint="cs"/>
          <w:spacing w:val="0"/>
          <w:kern w:val="0"/>
          <w:rtl/>
          <w:lang w:val="en-CA"/>
        </w:rPr>
        <w:t>ي</w:t>
      </w:r>
      <w:r w:rsidRPr="008D1B92">
        <w:rPr>
          <w:spacing w:val="0"/>
          <w:kern w:val="0"/>
          <w:rtl/>
          <w:lang w:val="en-CA"/>
        </w:rPr>
        <w:t xml:space="preserve"> الحال في هذه القضية</w:t>
      </w:r>
      <w:r w:rsidRPr="008D1B92">
        <w:rPr>
          <w:rFonts w:hint="cs"/>
          <w:spacing w:val="0"/>
          <w:kern w:val="0"/>
          <w:rtl/>
          <w:lang w:val="en-CA"/>
        </w:rPr>
        <w:t xml:space="preserve">، </w:t>
      </w:r>
      <w:r w:rsidRPr="008D1B92">
        <w:rPr>
          <w:spacing w:val="0"/>
          <w:kern w:val="0"/>
          <w:rtl/>
          <w:lang w:val="en-CA"/>
        </w:rPr>
        <w:t xml:space="preserve">بإجراء تحقيقات فورية وكاملة وبالتالي لم تتوصل إلى </w:t>
      </w:r>
      <w:r w:rsidRPr="008D1B92">
        <w:rPr>
          <w:rFonts w:hint="cs"/>
          <w:spacing w:val="0"/>
          <w:kern w:val="0"/>
          <w:rtl/>
          <w:lang w:val="en-CA"/>
        </w:rPr>
        <w:t xml:space="preserve">استنتاجات وقائعية </w:t>
      </w:r>
      <w:r w:rsidRPr="008D1B92">
        <w:rPr>
          <w:spacing w:val="0"/>
          <w:kern w:val="0"/>
          <w:rtl/>
          <w:lang w:val="en-CA"/>
        </w:rPr>
        <w:t>تستح</w:t>
      </w:r>
      <w:r w:rsidRPr="008D1B92">
        <w:rPr>
          <w:rFonts w:hint="eastAsia"/>
          <w:spacing w:val="0"/>
          <w:kern w:val="0"/>
          <w:rtl/>
          <w:lang w:val="en-CA"/>
        </w:rPr>
        <w:t>ق</w:t>
      </w:r>
      <w:r w:rsidRPr="008D1B92">
        <w:rPr>
          <w:spacing w:val="0"/>
          <w:kern w:val="0"/>
          <w:rtl/>
          <w:lang w:val="en-CA"/>
        </w:rPr>
        <w:t xml:space="preserve"> </w:t>
      </w:r>
      <w:r w:rsidRPr="008D1B92">
        <w:rPr>
          <w:rFonts w:hint="cs"/>
          <w:spacing w:val="0"/>
          <w:kern w:val="0"/>
          <w:rtl/>
          <w:lang w:val="en-CA"/>
        </w:rPr>
        <w:t xml:space="preserve">أن يكون لها </w:t>
      </w:r>
      <w:r w:rsidRPr="008D1B92">
        <w:rPr>
          <w:spacing w:val="0"/>
          <w:kern w:val="0"/>
          <w:rtl/>
          <w:lang w:val="en-CA"/>
        </w:rPr>
        <w:t>"وزن كبير"، فقد عملت اللجنة على إجراء "تق</w:t>
      </w:r>
      <w:r w:rsidRPr="008D1B92">
        <w:rPr>
          <w:rFonts w:hint="cs"/>
          <w:spacing w:val="0"/>
          <w:kern w:val="0"/>
          <w:rtl/>
          <w:lang w:val="en-CA"/>
        </w:rPr>
        <w:t>دير</w:t>
      </w:r>
      <w:r w:rsidRPr="008D1B92">
        <w:rPr>
          <w:spacing w:val="0"/>
          <w:kern w:val="0"/>
          <w:rtl/>
          <w:lang w:val="en-CA"/>
        </w:rPr>
        <w:t xml:space="preserve"> حر" للوقائع قيد النظر، استنادا</w:t>
      </w:r>
      <w:r w:rsidRPr="008D1B92">
        <w:rPr>
          <w:rFonts w:hint="cs"/>
          <w:spacing w:val="0"/>
          <w:kern w:val="0"/>
          <w:rtl/>
          <w:lang w:val="en-CA"/>
        </w:rPr>
        <w:t>ً</w:t>
      </w:r>
      <w:r w:rsidRPr="008D1B92">
        <w:rPr>
          <w:spacing w:val="0"/>
          <w:kern w:val="0"/>
          <w:rtl/>
          <w:lang w:val="en-CA"/>
        </w:rPr>
        <w:t xml:space="preserve"> إلى </w:t>
      </w:r>
      <w:r w:rsidR="003A2D39">
        <w:rPr>
          <w:rFonts w:hint="cs"/>
          <w:spacing w:val="0"/>
          <w:kern w:val="0"/>
          <w:rtl/>
          <w:lang w:val="en-CA"/>
        </w:rPr>
        <w:t>مُجمل م</w:t>
      </w:r>
      <w:r w:rsidRPr="008D1B92">
        <w:rPr>
          <w:rFonts w:hint="cs"/>
          <w:spacing w:val="0"/>
          <w:kern w:val="0"/>
          <w:rtl/>
          <w:lang w:val="en-CA"/>
        </w:rPr>
        <w:t xml:space="preserve">لابسات </w:t>
      </w:r>
      <w:r w:rsidRPr="008D1B92">
        <w:rPr>
          <w:spacing w:val="0"/>
          <w:kern w:val="0"/>
          <w:rtl/>
          <w:lang w:val="en-CA"/>
        </w:rPr>
        <w:t xml:space="preserve">القضية. ومن الأمثلة ذات الصلة القرار </w:t>
      </w:r>
      <w:r w:rsidRPr="008D1B92">
        <w:rPr>
          <w:rFonts w:hint="cs"/>
          <w:spacing w:val="0"/>
          <w:kern w:val="0"/>
          <w:rtl/>
          <w:lang w:val="en-CA"/>
        </w:rPr>
        <w:t>المتعلق ب</w:t>
      </w:r>
      <w:r w:rsidRPr="008D1B92">
        <w:rPr>
          <w:spacing w:val="0"/>
          <w:kern w:val="0"/>
          <w:rtl/>
          <w:lang w:val="en-CA"/>
        </w:rPr>
        <w:t xml:space="preserve">البلاغ رقم 257/2004، </w:t>
      </w:r>
      <w:r w:rsidRPr="008D1B92">
        <w:rPr>
          <w:i/>
          <w:iCs/>
          <w:spacing w:val="0"/>
          <w:kern w:val="0"/>
          <w:rtl/>
          <w:lang w:val="en-CA"/>
        </w:rPr>
        <w:t>كيريميدشييف ضد بلغاريا</w:t>
      </w:r>
      <w:r w:rsidRPr="008D1B92">
        <w:rPr>
          <w:spacing w:val="0"/>
          <w:kern w:val="0"/>
          <w:rtl/>
          <w:lang w:val="en-CA"/>
        </w:rPr>
        <w:t xml:space="preserve">. </w:t>
      </w:r>
      <w:r w:rsidRPr="008D1B92">
        <w:rPr>
          <w:rFonts w:hint="cs"/>
          <w:spacing w:val="0"/>
          <w:kern w:val="0"/>
          <w:rtl/>
          <w:lang w:val="en-CA"/>
        </w:rPr>
        <w:t>ف</w:t>
      </w:r>
      <w:r w:rsidRPr="008D1B92">
        <w:rPr>
          <w:spacing w:val="0"/>
          <w:kern w:val="0"/>
          <w:rtl/>
          <w:lang w:val="en-CA"/>
        </w:rPr>
        <w:t xml:space="preserve">في تلك القضية، رفضت اللجنة ادعاء الدولة الطرف </w:t>
      </w:r>
      <w:r w:rsidRPr="008D1B92">
        <w:rPr>
          <w:rFonts w:hint="cs"/>
          <w:spacing w:val="0"/>
          <w:kern w:val="0"/>
          <w:rtl/>
          <w:lang w:val="en-CA"/>
        </w:rPr>
        <w:t>الناتج</w:t>
      </w:r>
      <w:r w:rsidRPr="008D1B92">
        <w:rPr>
          <w:spacing w:val="0"/>
          <w:kern w:val="0"/>
          <w:rtl/>
          <w:lang w:val="en-CA"/>
        </w:rPr>
        <w:t xml:space="preserve"> </w:t>
      </w:r>
      <w:r w:rsidRPr="008D1B92">
        <w:rPr>
          <w:rFonts w:hint="cs"/>
          <w:spacing w:val="0"/>
          <w:kern w:val="0"/>
          <w:rtl/>
          <w:lang w:val="en-CA"/>
        </w:rPr>
        <w:t>ع</w:t>
      </w:r>
      <w:r w:rsidRPr="008D1B92">
        <w:rPr>
          <w:rFonts w:hint="eastAsia"/>
          <w:spacing w:val="0"/>
          <w:kern w:val="0"/>
          <w:rtl/>
          <w:lang w:val="en-CA"/>
        </w:rPr>
        <w:t>ن</w:t>
      </w:r>
      <w:r w:rsidRPr="008D1B92">
        <w:rPr>
          <w:spacing w:val="0"/>
          <w:kern w:val="0"/>
          <w:rtl/>
          <w:lang w:val="en-CA"/>
        </w:rPr>
        <w:t xml:space="preserve"> قرار محاكم</w:t>
      </w:r>
      <w:r w:rsidRPr="008D1B92">
        <w:rPr>
          <w:rFonts w:hint="cs"/>
          <w:spacing w:val="0"/>
          <w:kern w:val="0"/>
          <w:rtl/>
          <w:lang w:val="en-CA"/>
        </w:rPr>
        <w:t>ه</w:t>
      </w:r>
      <w:r w:rsidRPr="008D1B92">
        <w:rPr>
          <w:spacing w:val="0"/>
          <w:kern w:val="0"/>
          <w:rtl/>
          <w:lang w:val="en-CA"/>
        </w:rPr>
        <w:t xml:space="preserve">ا والذي يفيد </w:t>
      </w:r>
      <w:r w:rsidRPr="008D1B92">
        <w:rPr>
          <w:rFonts w:hint="cs"/>
          <w:spacing w:val="0"/>
          <w:kern w:val="0"/>
          <w:rtl/>
          <w:lang w:val="en-CA"/>
        </w:rPr>
        <w:t xml:space="preserve">بأن </w:t>
      </w:r>
      <w:r w:rsidRPr="008D1B92">
        <w:rPr>
          <w:spacing w:val="0"/>
          <w:kern w:val="0"/>
          <w:rtl/>
          <w:lang w:val="en-CA"/>
        </w:rPr>
        <w:t>ضباط شرطة الدولة الطرف استعملوا قوة ضرورية ومتناسبة لتوقيف</w:t>
      </w:r>
      <w:r w:rsidRPr="008D1B92">
        <w:rPr>
          <w:rFonts w:hint="cs"/>
          <w:spacing w:val="0"/>
          <w:kern w:val="0"/>
          <w:rtl/>
          <w:lang w:val="en-CA"/>
        </w:rPr>
        <w:t xml:space="preserve"> صاحب الشكوى</w:t>
      </w:r>
      <w:r w:rsidRPr="008D1B92">
        <w:rPr>
          <w:spacing w:val="0"/>
          <w:kern w:val="0"/>
          <w:rtl/>
          <w:lang w:val="en-CA"/>
        </w:rPr>
        <w:t xml:space="preserve"> ولم تلحق </w:t>
      </w:r>
      <w:r w:rsidRPr="008D1B92">
        <w:rPr>
          <w:rFonts w:hint="cs"/>
          <w:spacing w:val="0"/>
          <w:kern w:val="0"/>
          <w:rtl/>
          <w:lang w:val="en-CA"/>
        </w:rPr>
        <w:t>به سوى</w:t>
      </w:r>
      <w:r w:rsidRPr="008D1B92">
        <w:rPr>
          <w:spacing w:val="0"/>
          <w:kern w:val="0"/>
          <w:rtl/>
          <w:lang w:val="en-CA"/>
        </w:rPr>
        <w:t xml:space="preserve"> "أضرار جسدية بسيطة". وبدلاً من ذلك، وجدت اللجنة أن إصابات صاحب الشكوى كانت </w:t>
      </w:r>
      <w:r w:rsidRPr="008D1B92">
        <w:rPr>
          <w:rFonts w:hint="cs"/>
          <w:spacing w:val="0"/>
          <w:kern w:val="0"/>
          <w:rtl/>
          <w:lang w:val="en-CA"/>
        </w:rPr>
        <w:t xml:space="preserve">خطيرة </w:t>
      </w:r>
      <w:r w:rsidRPr="008D1B92">
        <w:rPr>
          <w:spacing w:val="0"/>
          <w:kern w:val="0"/>
          <w:rtl/>
          <w:lang w:val="en-CA"/>
        </w:rPr>
        <w:t xml:space="preserve">جداً </w:t>
      </w:r>
      <w:r w:rsidRPr="008D1B92">
        <w:rPr>
          <w:rFonts w:hint="cs"/>
          <w:spacing w:val="0"/>
          <w:kern w:val="0"/>
          <w:rtl/>
          <w:lang w:val="en-CA"/>
        </w:rPr>
        <w:t>بما لا يتوافق</w:t>
      </w:r>
      <w:r w:rsidRPr="008D1B92">
        <w:rPr>
          <w:spacing w:val="0"/>
          <w:kern w:val="0"/>
          <w:rtl/>
          <w:lang w:val="en-CA"/>
        </w:rPr>
        <w:t xml:space="preserve"> مع </w:t>
      </w:r>
      <w:r w:rsidRPr="008D1B92">
        <w:rPr>
          <w:rFonts w:hint="cs"/>
          <w:spacing w:val="0"/>
          <w:kern w:val="0"/>
          <w:rtl/>
          <w:lang w:val="en-CA"/>
        </w:rPr>
        <w:t xml:space="preserve">استعمال </w:t>
      </w:r>
      <w:r w:rsidRPr="008D1B92">
        <w:rPr>
          <w:spacing w:val="0"/>
          <w:kern w:val="0"/>
          <w:rtl/>
          <w:lang w:val="en-CA"/>
        </w:rPr>
        <w:t xml:space="preserve">القوة المتناسبة من قبل الضابط ورفضت </w:t>
      </w:r>
      <w:r w:rsidRPr="008D1B92">
        <w:rPr>
          <w:rFonts w:hint="cs"/>
          <w:spacing w:val="0"/>
          <w:kern w:val="0"/>
          <w:rtl/>
          <w:lang w:val="en-CA"/>
        </w:rPr>
        <w:t xml:space="preserve">استنتاجات </w:t>
      </w:r>
      <w:r w:rsidRPr="008D1B92">
        <w:rPr>
          <w:spacing w:val="0"/>
          <w:kern w:val="0"/>
          <w:rtl/>
          <w:lang w:val="en-CA"/>
        </w:rPr>
        <w:t>محكمة الدو</w:t>
      </w:r>
      <w:r w:rsidRPr="008D1B92">
        <w:rPr>
          <w:rFonts w:hint="eastAsia"/>
          <w:spacing w:val="0"/>
          <w:kern w:val="0"/>
          <w:rtl/>
          <w:lang w:val="en-CA"/>
        </w:rPr>
        <w:t>لة</w:t>
      </w:r>
      <w:r w:rsidRPr="008D1B92">
        <w:rPr>
          <w:spacing w:val="0"/>
          <w:kern w:val="0"/>
          <w:rtl/>
          <w:lang w:val="en-CA"/>
        </w:rPr>
        <w:t xml:space="preserve"> الطرف بأن الإصابة الناتجة عن استعمال القوة كانت "بسيطة"، وخلصت بدلاً من ذلك إلى أنها تشكل معاملة أو عقوبة قاسية أو لا إنسانية أو مهينة على النحو المنصوص عليه في المادة</w:t>
      </w:r>
      <w:r w:rsidR="003A2D39">
        <w:rPr>
          <w:rFonts w:hint="cs"/>
          <w:spacing w:val="0"/>
          <w:kern w:val="0"/>
          <w:rtl/>
          <w:lang w:val="en-CA"/>
        </w:rPr>
        <w:t> </w:t>
      </w:r>
      <w:r w:rsidRPr="008D1B92">
        <w:rPr>
          <w:spacing w:val="0"/>
          <w:kern w:val="0"/>
          <w:rtl/>
          <w:lang w:val="en-CA"/>
        </w:rPr>
        <w:t>16 من الاتفاقية</w:t>
      </w:r>
      <w:r w:rsidRPr="008D1B92">
        <w:rPr>
          <w:rFonts w:hint="cs"/>
          <w:spacing w:val="0"/>
          <w:kern w:val="0"/>
          <w:vertAlign w:val="superscript"/>
          <w:rtl/>
          <w:lang w:val="en-CA"/>
        </w:rPr>
        <w:t>(</w:t>
      </w:r>
      <w:r w:rsidRPr="008D1B92">
        <w:rPr>
          <w:rStyle w:val="FootnoteReference"/>
          <w:spacing w:val="0"/>
          <w:rtl/>
          <w:lang w:val="en-CA"/>
        </w:rPr>
        <w:footnoteReference w:id="225"/>
      </w:r>
      <w:r w:rsidRPr="008D1B92">
        <w:rPr>
          <w:rFonts w:hint="cs"/>
          <w:spacing w:val="0"/>
          <w:kern w:val="0"/>
          <w:vertAlign w:val="superscript"/>
          <w:rtl/>
          <w:lang w:val="en-CA"/>
        </w:rPr>
        <w:t>)</w:t>
      </w:r>
      <w:r w:rsidRPr="008D1B92">
        <w:rPr>
          <w:rFonts w:hint="cs"/>
          <w:spacing w:val="0"/>
          <w:kern w:val="0"/>
          <w:rtl/>
          <w:lang w:val="en-CA"/>
        </w:rPr>
        <w:t>.</w:t>
      </w:r>
    </w:p>
    <w:p w:rsidR="008D1B92" w:rsidRPr="008D1B92" w:rsidRDefault="008D1B92" w:rsidP="008D1B92">
      <w:pPr>
        <w:pStyle w:val="SingleTxtGA"/>
        <w:jc w:val="lowKashida"/>
        <w:rPr>
          <w:spacing w:val="0"/>
          <w:kern w:val="0"/>
          <w:rtl/>
          <w:lang w:val="en-CA"/>
        </w:rPr>
      </w:pPr>
      <w:r w:rsidRPr="008D1B92">
        <w:rPr>
          <w:spacing w:val="0"/>
          <w:kern w:val="0"/>
          <w:rtl/>
          <w:lang w:val="en-CA"/>
        </w:rPr>
        <w:t>6-</w:t>
      </w:r>
      <w:r w:rsidRPr="008D1B92">
        <w:rPr>
          <w:spacing w:val="0"/>
          <w:kern w:val="0"/>
          <w:rtl/>
          <w:lang w:val="en-CA"/>
        </w:rPr>
        <w:tab/>
        <w:t xml:space="preserve">ولا يتعارض بيان اللجنة </w:t>
      </w:r>
      <w:r w:rsidRPr="008D1B92">
        <w:rPr>
          <w:rFonts w:hint="cs"/>
          <w:spacing w:val="0"/>
          <w:kern w:val="0"/>
          <w:rtl/>
          <w:lang w:val="en-CA"/>
        </w:rPr>
        <w:t xml:space="preserve">الذي ينص على </w:t>
      </w:r>
      <w:r w:rsidRPr="008D1B92">
        <w:rPr>
          <w:spacing w:val="0"/>
          <w:kern w:val="0"/>
          <w:rtl/>
          <w:lang w:val="en-CA"/>
        </w:rPr>
        <w:t>أنه "ليس من مهامها تقدير الأدلة" مع التعليق العام رقم 1 ومع سوابقها القضائية في فرادى البلاغات فحسب</w:t>
      </w:r>
      <w:r w:rsidRPr="008D1B92">
        <w:rPr>
          <w:rFonts w:hint="cs"/>
          <w:spacing w:val="0"/>
          <w:kern w:val="0"/>
          <w:rtl/>
          <w:lang w:val="en-CA"/>
        </w:rPr>
        <w:t>،</w:t>
      </w:r>
      <w:r w:rsidRPr="008D1B92">
        <w:rPr>
          <w:spacing w:val="0"/>
          <w:kern w:val="0"/>
          <w:rtl/>
          <w:lang w:val="en-CA"/>
        </w:rPr>
        <w:t xml:space="preserve"> بل يبدو </w:t>
      </w:r>
      <w:r w:rsidRPr="008D1B92">
        <w:rPr>
          <w:rFonts w:hint="cs"/>
          <w:spacing w:val="0"/>
          <w:kern w:val="0"/>
          <w:rtl/>
          <w:lang w:val="en-CA"/>
        </w:rPr>
        <w:t xml:space="preserve">أنه </w:t>
      </w:r>
      <w:r w:rsidRPr="008D1B92">
        <w:rPr>
          <w:spacing w:val="0"/>
          <w:kern w:val="0"/>
          <w:rtl/>
          <w:lang w:val="en-CA"/>
        </w:rPr>
        <w:t>لا يتسق أيضاً مع قرار اللجنة في هذه القضية بالتحديد.</w:t>
      </w:r>
      <w:r w:rsidRPr="008D1B92">
        <w:rPr>
          <w:rFonts w:hint="cs"/>
          <w:spacing w:val="0"/>
          <w:kern w:val="0"/>
          <w:rtl/>
          <w:lang w:val="en-CA"/>
        </w:rPr>
        <w:t xml:space="preserve"> </w:t>
      </w:r>
      <w:r w:rsidRPr="008D1B92">
        <w:rPr>
          <w:rFonts w:hint="eastAsia"/>
          <w:spacing w:val="0"/>
          <w:kern w:val="0"/>
          <w:rtl/>
          <w:lang w:val="en-CA"/>
        </w:rPr>
        <w:t>ولكي</w:t>
      </w:r>
      <w:r w:rsidRPr="008D1B92">
        <w:rPr>
          <w:spacing w:val="0"/>
          <w:kern w:val="0"/>
          <w:rtl/>
          <w:lang w:val="en-CA"/>
        </w:rPr>
        <w:t xml:space="preserve"> تتوصل اللجنة إلى قرار حدوث انتهاك للمادة 16 من الاتفاقية، يجب أن ترف</w:t>
      </w:r>
      <w:r w:rsidRPr="008D1B92">
        <w:rPr>
          <w:rFonts w:hint="cs"/>
          <w:spacing w:val="0"/>
          <w:kern w:val="0"/>
          <w:rtl/>
          <w:lang w:val="en-CA"/>
        </w:rPr>
        <w:t>ض</w:t>
      </w:r>
      <w:r w:rsidRPr="008D1B92">
        <w:rPr>
          <w:spacing w:val="0"/>
          <w:kern w:val="0"/>
          <w:rtl/>
          <w:lang w:val="en-CA"/>
        </w:rPr>
        <w:t xml:space="preserve"> </w:t>
      </w:r>
      <w:r w:rsidRPr="008D1B92">
        <w:rPr>
          <w:rFonts w:hint="cs"/>
          <w:spacing w:val="0"/>
          <w:kern w:val="0"/>
          <w:rtl/>
          <w:lang w:val="en-CA"/>
        </w:rPr>
        <w:t>رواية</w:t>
      </w:r>
      <w:r w:rsidRPr="008D1B92">
        <w:rPr>
          <w:spacing w:val="0"/>
          <w:kern w:val="0"/>
          <w:rtl/>
          <w:lang w:val="en-CA"/>
        </w:rPr>
        <w:t xml:space="preserve"> الوقائع التي </w:t>
      </w:r>
      <w:r w:rsidRPr="008D1B92">
        <w:rPr>
          <w:rFonts w:hint="cs"/>
          <w:spacing w:val="0"/>
          <w:kern w:val="0"/>
          <w:rtl/>
          <w:lang w:val="en-CA"/>
        </w:rPr>
        <w:t>قدمتها</w:t>
      </w:r>
      <w:r w:rsidRPr="008D1B92">
        <w:rPr>
          <w:spacing w:val="0"/>
          <w:kern w:val="0"/>
          <w:rtl/>
          <w:lang w:val="en-CA"/>
        </w:rPr>
        <w:t xml:space="preserve"> الدولة الطرف في القضية. وفي حين تلاحظ اللجنة أن السيد سونكو كان </w:t>
      </w:r>
      <w:r w:rsidRPr="008D1B92">
        <w:rPr>
          <w:rFonts w:hint="cs"/>
          <w:spacing w:val="0"/>
          <w:kern w:val="0"/>
          <w:rtl/>
          <w:lang w:val="en-CA"/>
        </w:rPr>
        <w:t>دون جدال محتجزا</w:t>
      </w:r>
      <w:r w:rsidR="00350D2E">
        <w:rPr>
          <w:rFonts w:hint="cs"/>
          <w:spacing w:val="0"/>
          <w:kern w:val="0"/>
          <w:rtl/>
          <w:lang w:val="en-CA"/>
        </w:rPr>
        <w:t>ً</w:t>
      </w:r>
      <w:r w:rsidRPr="008D1B92">
        <w:rPr>
          <w:rFonts w:hint="cs"/>
          <w:spacing w:val="0"/>
          <w:kern w:val="0"/>
          <w:rtl/>
          <w:lang w:val="en-CA"/>
        </w:rPr>
        <w:t xml:space="preserve"> لدى</w:t>
      </w:r>
      <w:r w:rsidRPr="008D1B92">
        <w:rPr>
          <w:spacing w:val="0"/>
          <w:kern w:val="0"/>
          <w:rtl/>
          <w:lang w:val="en-CA"/>
        </w:rPr>
        <w:t xml:space="preserve"> الدولة الطرف في اللحظات </w:t>
      </w:r>
      <w:r w:rsidRPr="008D1B92">
        <w:rPr>
          <w:rFonts w:hint="cs"/>
          <w:spacing w:val="0"/>
          <w:kern w:val="0"/>
          <w:rtl/>
          <w:lang w:val="en-CA"/>
        </w:rPr>
        <w:t>السابقة</w:t>
      </w:r>
      <w:r w:rsidRPr="008D1B92">
        <w:rPr>
          <w:spacing w:val="0"/>
          <w:kern w:val="0"/>
          <w:rtl/>
          <w:lang w:val="en-CA"/>
        </w:rPr>
        <w:t xml:space="preserve"> </w:t>
      </w:r>
      <w:r w:rsidRPr="008D1B92">
        <w:rPr>
          <w:rFonts w:hint="cs"/>
          <w:spacing w:val="0"/>
          <w:kern w:val="0"/>
          <w:rtl/>
          <w:lang w:val="en-CA"/>
        </w:rPr>
        <w:t>ل</w:t>
      </w:r>
      <w:r w:rsidRPr="008D1B92">
        <w:rPr>
          <w:spacing w:val="0"/>
          <w:kern w:val="0"/>
          <w:rtl/>
          <w:lang w:val="en-CA"/>
        </w:rPr>
        <w:t xml:space="preserve">وفاته، فإن هذه الواقعة </w:t>
      </w:r>
      <w:r w:rsidRPr="008D1B92">
        <w:rPr>
          <w:rFonts w:hint="eastAsia"/>
          <w:spacing w:val="0"/>
          <w:kern w:val="0"/>
          <w:rtl/>
          <w:lang w:val="en-CA"/>
        </w:rPr>
        <w:t>وحدها</w:t>
      </w:r>
      <w:r w:rsidRPr="008D1B92">
        <w:rPr>
          <w:spacing w:val="0"/>
          <w:kern w:val="0"/>
          <w:rtl/>
          <w:lang w:val="en-CA"/>
        </w:rPr>
        <w:t xml:space="preserve"> ينبغي ألا تدفعنا إلى </w:t>
      </w:r>
      <w:r w:rsidRPr="008D1B92">
        <w:rPr>
          <w:rFonts w:hint="cs"/>
          <w:spacing w:val="0"/>
          <w:kern w:val="0"/>
          <w:rtl/>
          <w:lang w:val="en-CA"/>
        </w:rPr>
        <w:t>الانتهاء إلى</w:t>
      </w:r>
      <w:r w:rsidRPr="008D1B92">
        <w:rPr>
          <w:spacing w:val="0"/>
          <w:kern w:val="0"/>
          <w:rtl/>
          <w:lang w:val="en-CA"/>
        </w:rPr>
        <w:t xml:space="preserve"> أن الدولة الطرف ارتكبت</w:t>
      </w:r>
      <w:r w:rsidRPr="008D1B92">
        <w:rPr>
          <w:rFonts w:hint="cs"/>
          <w:spacing w:val="0"/>
          <w:kern w:val="0"/>
          <w:rtl/>
          <w:lang w:val="en-CA"/>
        </w:rPr>
        <w:t xml:space="preserve"> فعلاً من أفعال ال</w:t>
      </w:r>
      <w:r w:rsidRPr="008D1B92">
        <w:rPr>
          <w:spacing w:val="0"/>
          <w:kern w:val="0"/>
          <w:rtl/>
          <w:lang w:val="en-CA"/>
        </w:rPr>
        <w:t xml:space="preserve">معاملة </w:t>
      </w:r>
      <w:r w:rsidRPr="008D1B92">
        <w:rPr>
          <w:rFonts w:hint="cs"/>
          <w:spacing w:val="0"/>
          <w:kern w:val="0"/>
          <w:rtl/>
          <w:lang w:val="en-CA"/>
        </w:rPr>
        <w:t>ال</w:t>
      </w:r>
      <w:r w:rsidRPr="008D1B92">
        <w:rPr>
          <w:spacing w:val="0"/>
          <w:kern w:val="0"/>
          <w:rtl/>
          <w:lang w:val="en-CA"/>
        </w:rPr>
        <w:t xml:space="preserve">قاسية أو </w:t>
      </w:r>
      <w:r w:rsidRPr="008D1B92">
        <w:rPr>
          <w:rFonts w:hint="cs"/>
          <w:spacing w:val="0"/>
          <w:kern w:val="0"/>
          <w:rtl/>
          <w:lang w:val="en-CA"/>
        </w:rPr>
        <w:t>ال</w:t>
      </w:r>
      <w:r w:rsidRPr="008D1B92">
        <w:rPr>
          <w:spacing w:val="0"/>
          <w:kern w:val="0"/>
          <w:rtl/>
          <w:lang w:val="en-CA"/>
        </w:rPr>
        <w:t xml:space="preserve">لاإنسانية أو </w:t>
      </w:r>
      <w:r w:rsidRPr="008D1B92">
        <w:rPr>
          <w:rFonts w:hint="cs"/>
          <w:spacing w:val="0"/>
          <w:kern w:val="0"/>
          <w:rtl/>
          <w:lang w:val="en-CA"/>
        </w:rPr>
        <w:t>ال</w:t>
      </w:r>
      <w:r w:rsidRPr="008D1B92">
        <w:rPr>
          <w:spacing w:val="0"/>
          <w:kern w:val="0"/>
          <w:rtl/>
          <w:lang w:val="en-CA"/>
        </w:rPr>
        <w:t xml:space="preserve">مهينة. ولا تشكل كل حالة وفاة تحدث أثناء الاحتجاز انتهاكاً للاتفاقية؛ وبالإضافة إلى ذلك، حتى في </w:t>
      </w:r>
      <w:r w:rsidRPr="008D1B92">
        <w:rPr>
          <w:rFonts w:hint="cs"/>
          <w:spacing w:val="0"/>
          <w:kern w:val="0"/>
          <w:rtl/>
          <w:lang w:val="en-CA"/>
        </w:rPr>
        <w:t>الحالات التي يؤدي فيها</w:t>
      </w:r>
      <w:r w:rsidRPr="008D1B92">
        <w:rPr>
          <w:spacing w:val="0"/>
          <w:kern w:val="0"/>
          <w:rtl/>
          <w:lang w:val="en-CA"/>
        </w:rPr>
        <w:t xml:space="preserve"> </w:t>
      </w:r>
      <w:r w:rsidRPr="008D1B92">
        <w:rPr>
          <w:rFonts w:hint="cs"/>
          <w:spacing w:val="0"/>
          <w:kern w:val="0"/>
          <w:rtl/>
          <w:lang w:val="en-CA"/>
        </w:rPr>
        <w:t>تقصير أعوان</w:t>
      </w:r>
      <w:r w:rsidRPr="008D1B92">
        <w:rPr>
          <w:spacing w:val="0"/>
          <w:kern w:val="0"/>
          <w:rtl/>
          <w:lang w:val="en-CA"/>
        </w:rPr>
        <w:t xml:space="preserve"> الدولة </w:t>
      </w:r>
      <w:r w:rsidRPr="008D1B92">
        <w:rPr>
          <w:rFonts w:hint="cs"/>
          <w:spacing w:val="0"/>
          <w:kern w:val="0"/>
          <w:rtl/>
          <w:lang w:val="en-CA"/>
        </w:rPr>
        <w:t xml:space="preserve">إلى </w:t>
      </w:r>
      <w:r w:rsidRPr="008D1B92">
        <w:rPr>
          <w:spacing w:val="0"/>
          <w:kern w:val="0"/>
          <w:rtl/>
          <w:lang w:val="en-CA"/>
        </w:rPr>
        <w:t>وفاة شخص محتجز لديها</w:t>
      </w:r>
      <w:r w:rsidRPr="008D1B92">
        <w:rPr>
          <w:rFonts w:hint="cs"/>
          <w:spacing w:val="0"/>
          <w:kern w:val="0"/>
          <w:rtl/>
          <w:lang w:val="en-CA"/>
        </w:rPr>
        <w:t>،</w:t>
      </w:r>
      <w:r w:rsidRPr="008D1B92">
        <w:rPr>
          <w:spacing w:val="0"/>
          <w:kern w:val="0"/>
          <w:rtl/>
          <w:lang w:val="en-CA"/>
        </w:rPr>
        <w:t xml:space="preserve"> ينبغي </w:t>
      </w:r>
      <w:r w:rsidRPr="008D1B92">
        <w:rPr>
          <w:rFonts w:hint="cs"/>
          <w:spacing w:val="0"/>
          <w:kern w:val="0"/>
          <w:rtl/>
          <w:lang w:val="en-CA"/>
        </w:rPr>
        <w:t xml:space="preserve">على الدولة </w:t>
      </w:r>
      <w:r w:rsidRPr="008D1B92">
        <w:rPr>
          <w:spacing w:val="0"/>
          <w:kern w:val="0"/>
          <w:rtl/>
          <w:lang w:val="en-CA"/>
        </w:rPr>
        <w:t xml:space="preserve">أن </w:t>
      </w:r>
      <w:r w:rsidRPr="008D1B92">
        <w:rPr>
          <w:rFonts w:hint="cs"/>
          <w:spacing w:val="0"/>
          <w:kern w:val="0"/>
          <w:rtl/>
          <w:lang w:val="en-CA"/>
        </w:rPr>
        <w:t>ت</w:t>
      </w:r>
      <w:r w:rsidRPr="008D1B92">
        <w:rPr>
          <w:spacing w:val="0"/>
          <w:kern w:val="0"/>
          <w:rtl/>
          <w:lang w:val="en-CA"/>
        </w:rPr>
        <w:t>تحم</w:t>
      </w:r>
      <w:r w:rsidRPr="008D1B92">
        <w:rPr>
          <w:rFonts w:hint="eastAsia"/>
          <w:spacing w:val="0"/>
          <w:kern w:val="0"/>
          <w:rtl/>
          <w:lang w:val="en-CA"/>
        </w:rPr>
        <w:t>ل</w:t>
      </w:r>
      <w:r w:rsidRPr="008D1B92">
        <w:rPr>
          <w:spacing w:val="0"/>
          <w:kern w:val="0"/>
          <w:rtl/>
          <w:lang w:val="en-CA"/>
        </w:rPr>
        <w:t xml:space="preserve"> المسؤولية بموجب قانون الخطأ المدني المحلي </w:t>
      </w:r>
      <w:r w:rsidRPr="008D1B92">
        <w:rPr>
          <w:rFonts w:hint="cs"/>
          <w:spacing w:val="0"/>
          <w:kern w:val="0"/>
          <w:rtl/>
          <w:lang w:val="en-CA"/>
        </w:rPr>
        <w:t>عن ا</w:t>
      </w:r>
      <w:r w:rsidRPr="008D1B92">
        <w:rPr>
          <w:spacing w:val="0"/>
          <w:kern w:val="0"/>
          <w:rtl/>
          <w:lang w:val="en-CA"/>
        </w:rPr>
        <w:t>لضرر الناتج عن إهماله</w:t>
      </w:r>
      <w:r w:rsidRPr="008D1B92">
        <w:rPr>
          <w:rFonts w:hint="cs"/>
          <w:spacing w:val="0"/>
          <w:kern w:val="0"/>
          <w:rtl/>
          <w:lang w:val="en-CA"/>
        </w:rPr>
        <w:t>ا</w:t>
      </w:r>
      <w:r w:rsidRPr="008D1B92">
        <w:rPr>
          <w:spacing w:val="0"/>
          <w:kern w:val="0"/>
          <w:rtl/>
          <w:lang w:val="en-CA"/>
        </w:rPr>
        <w:t xml:space="preserve">، </w:t>
      </w:r>
      <w:r w:rsidRPr="008D1B92">
        <w:rPr>
          <w:rFonts w:hint="cs"/>
          <w:spacing w:val="0"/>
          <w:kern w:val="0"/>
          <w:rtl/>
          <w:lang w:val="en-CA"/>
        </w:rPr>
        <w:t>و</w:t>
      </w:r>
      <w:r w:rsidRPr="008D1B92">
        <w:rPr>
          <w:spacing w:val="0"/>
          <w:kern w:val="0"/>
          <w:rtl/>
          <w:lang w:val="en-CA"/>
        </w:rPr>
        <w:t>ليس من الضروري أن يشكل هذا الإهمال أيضاً "معاملة أو عقوبة قاسية أو لا إنسانية أو مهينة" على النحو المنصوص عليه في الاتفاقية.</w:t>
      </w:r>
      <w:r w:rsidRPr="008D1B92">
        <w:rPr>
          <w:rFonts w:hint="cs"/>
          <w:spacing w:val="0"/>
          <w:kern w:val="0"/>
          <w:rtl/>
          <w:lang w:val="en-CA"/>
        </w:rPr>
        <w:t xml:space="preserve"> </w:t>
      </w:r>
      <w:r w:rsidRPr="008D1B92">
        <w:rPr>
          <w:rFonts w:hint="eastAsia"/>
          <w:spacing w:val="0"/>
          <w:kern w:val="0"/>
          <w:rtl/>
          <w:lang w:val="en-CA"/>
        </w:rPr>
        <w:t>وفي</w:t>
      </w:r>
      <w:r w:rsidRPr="008D1B92">
        <w:rPr>
          <w:spacing w:val="0"/>
          <w:kern w:val="0"/>
          <w:rtl/>
          <w:lang w:val="en-CA"/>
        </w:rPr>
        <w:t xml:space="preserve"> هذه القضية، </w:t>
      </w:r>
      <w:r w:rsidRPr="008D1B92">
        <w:rPr>
          <w:rFonts w:hint="cs"/>
          <w:spacing w:val="0"/>
          <w:kern w:val="0"/>
          <w:rtl/>
          <w:lang w:val="en-CA"/>
        </w:rPr>
        <w:t xml:space="preserve">كانت </w:t>
      </w:r>
      <w:r w:rsidRPr="008D1B92">
        <w:rPr>
          <w:spacing w:val="0"/>
          <w:kern w:val="0"/>
          <w:rtl/>
          <w:lang w:val="en-CA"/>
        </w:rPr>
        <w:t xml:space="preserve">اللجنة </w:t>
      </w:r>
      <w:r w:rsidRPr="008D1B92">
        <w:rPr>
          <w:rFonts w:hint="cs"/>
          <w:spacing w:val="0"/>
          <w:kern w:val="0"/>
          <w:rtl/>
          <w:lang w:val="en-CA"/>
        </w:rPr>
        <w:t xml:space="preserve">مدعوة </w:t>
      </w:r>
      <w:r w:rsidRPr="008D1B92">
        <w:rPr>
          <w:spacing w:val="0"/>
          <w:kern w:val="0"/>
          <w:rtl/>
          <w:lang w:val="en-CA"/>
        </w:rPr>
        <w:t xml:space="preserve">إلى </w:t>
      </w:r>
      <w:r w:rsidRPr="008D1B92">
        <w:rPr>
          <w:rFonts w:hint="cs"/>
          <w:spacing w:val="0"/>
          <w:kern w:val="0"/>
          <w:rtl/>
          <w:lang w:val="en-CA"/>
        </w:rPr>
        <w:t>التوصل إلى استنتاجات وقائعية</w:t>
      </w:r>
      <w:r w:rsidRPr="008D1B92">
        <w:rPr>
          <w:spacing w:val="0"/>
          <w:kern w:val="0"/>
          <w:rtl/>
          <w:lang w:val="en-CA"/>
        </w:rPr>
        <w:t xml:space="preserve"> وتسوية الاختلافات بين </w:t>
      </w:r>
      <w:r w:rsidRPr="008D1B92">
        <w:rPr>
          <w:rFonts w:hint="cs"/>
          <w:spacing w:val="0"/>
          <w:kern w:val="0"/>
          <w:rtl/>
          <w:lang w:val="en-CA"/>
        </w:rPr>
        <w:t>روايتي</w:t>
      </w:r>
      <w:r w:rsidRPr="008D1B92">
        <w:rPr>
          <w:spacing w:val="0"/>
          <w:kern w:val="0"/>
          <w:rtl/>
          <w:lang w:val="en-CA"/>
        </w:rPr>
        <w:t xml:space="preserve"> صاحبة الشكوى والدولة الطرف، </w:t>
      </w:r>
      <w:r w:rsidRPr="008D1B92">
        <w:rPr>
          <w:rFonts w:hint="cs"/>
          <w:spacing w:val="0"/>
          <w:kern w:val="0"/>
          <w:rtl/>
          <w:lang w:val="en-CA"/>
        </w:rPr>
        <w:t xml:space="preserve">لمعرفة </w:t>
      </w:r>
      <w:r w:rsidRPr="008D1B92">
        <w:rPr>
          <w:spacing w:val="0"/>
          <w:kern w:val="0"/>
          <w:rtl/>
          <w:lang w:val="en-CA"/>
        </w:rPr>
        <w:t xml:space="preserve">ما إذا كان </w:t>
      </w:r>
      <w:r w:rsidRPr="008D1B92">
        <w:rPr>
          <w:rFonts w:hint="cs"/>
          <w:spacing w:val="0"/>
          <w:kern w:val="0"/>
          <w:rtl/>
          <w:lang w:val="en-CA"/>
        </w:rPr>
        <w:t>ضابطا</w:t>
      </w:r>
      <w:r w:rsidRPr="008D1B92">
        <w:rPr>
          <w:spacing w:val="0"/>
          <w:kern w:val="0"/>
          <w:rtl/>
          <w:lang w:val="en-CA"/>
        </w:rPr>
        <w:t xml:space="preserve"> الدولة </w:t>
      </w:r>
      <w:r w:rsidRPr="008D1B92">
        <w:rPr>
          <w:rFonts w:hint="cs"/>
          <w:spacing w:val="0"/>
          <w:kern w:val="0"/>
          <w:rtl/>
          <w:lang w:val="en-CA"/>
        </w:rPr>
        <w:t xml:space="preserve">قد </w:t>
      </w:r>
      <w:r w:rsidRPr="008D1B92">
        <w:rPr>
          <w:spacing w:val="0"/>
          <w:kern w:val="0"/>
          <w:rtl/>
          <w:lang w:val="en-CA"/>
        </w:rPr>
        <w:t xml:space="preserve">تركا السيد سونكو </w:t>
      </w:r>
      <w:r w:rsidRPr="008D1B92">
        <w:rPr>
          <w:rFonts w:hint="cs"/>
          <w:spacing w:val="0"/>
          <w:kern w:val="0"/>
          <w:rtl/>
          <w:lang w:val="en-CA"/>
        </w:rPr>
        <w:t>وبحوزته قاربه</w:t>
      </w:r>
      <w:r w:rsidRPr="008D1B92">
        <w:rPr>
          <w:spacing w:val="0"/>
          <w:kern w:val="0"/>
          <w:rtl/>
          <w:lang w:val="en-CA"/>
        </w:rPr>
        <w:t xml:space="preserve"> المطاطي عندما </w:t>
      </w:r>
      <w:r w:rsidRPr="008D1B92">
        <w:rPr>
          <w:rFonts w:hint="cs"/>
          <w:spacing w:val="0"/>
          <w:kern w:val="0"/>
          <w:rtl/>
          <w:lang w:val="en-CA"/>
        </w:rPr>
        <w:t xml:space="preserve">ألقياه </w:t>
      </w:r>
      <w:r w:rsidRPr="008D1B92">
        <w:rPr>
          <w:spacing w:val="0"/>
          <w:kern w:val="0"/>
          <w:rtl/>
          <w:lang w:val="en-CA"/>
        </w:rPr>
        <w:t xml:space="preserve">من على متن </w:t>
      </w:r>
      <w:r w:rsidRPr="008D1B92">
        <w:rPr>
          <w:rFonts w:hint="cs"/>
          <w:spacing w:val="0"/>
          <w:kern w:val="0"/>
          <w:rtl/>
          <w:lang w:val="en-CA"/>
        </w:rPr>
        <w:t>زورق</w:t>
      </w:r>
      <w:r w:rsidRPr="008D1B92">
        <w:rPr>
          <w:spacing w:val="0"/>
          <w:kern w:val="0"/>
          <w:rtl/>
          <w:lang w:val="en-CA"/>
        </w:rPr>
        <w:t xml:space="preserve"> الدورية</w:t>
      </w:r>
      <w:r w:rsidRPr="008D1B92">
        <w:rPr>
          <w:rFonts w:hint="cs"/>
          <w:spacing w:val="0"/>
          <w:kern w:val="0"/>
          <w:rtl/>
          <w:lang w:val="en-CA"/>
        </w:rPr>
        <w:t>، على سبيل المثال</w:t>
      </w:r>
      <w:r w:rsidRPr="008D1B92">
        <w:rPr>
          <w:spacing w:val="0"/>
          <w:kern w:val="0"/>
          <w:rtl/>
          <w:lang w:val="en-CA"/>
        </w:rPr>
        <w:t xml:space="preserve">، وإذا كان </w:t>
      </w:r>
      <w:r w:rsidRPr="008D1B92">
        <w:rPr>
          <w:rFonts w:hint="cs"/>
          <w:spacing w:val="0"/>
          <w:kern w:val="0"/>
          <w:rtl/>
          <w:lang w:val="en-CA"/>
        </w:rPr>
        <w:t>الأمر ك</w:t>
      </w:r>
      <w:r w:rsidRPr="008D1B92">
        <w:rPr>
          <w:spacing w:val="0"/>
          <w:kern w:val="0"/>
          <w:rtl/>
          <w:lang w:val="en-CA"/>
        </w:rPr>
        <w:t xml:space="preserve">ذلك، كيف يمكن أن يكون السيد سونكو قد غرق على الرغم من ذلك قبل الوصول إلى الشاطئ إذا </w:t>
      </w:r>
      <w:r w:rsidRPr="008D1B92">
        <w:rPr>
          <w:rFonts w:hint="cs"/>
          <w:spacing w:val="0"/>
          <w:kern w:val="0"/>
          <w:rtl/>
          <w:lang w:val="en-CA"/>
        </w:rPr>
        <w:t>كان هذا هو ما حدث</w:t>
      </w:r>
      <w:r w:rsidRPr="008D1B92">
        <w:rPr>
          <w:spacing w:val="0"/>
          <w:kern w:val="0"/>
          <w:rtl/>
          <w:lang w:val="en-CA"/>
        </w:rPr>
        <w:t xml:space="preserve">. </w:t>
      </w:r>
      <w:r w:rsidRPr="008D1B92">
        <w:rPr>
          <w:rFonts w:hint="cs"/>
          <w:spacing w:val="0"/>
          <w:kern w:val="0"/>
          <w:rtl/>
          <w:lang w:val="en-CA"/>
        </w:rPr>
        <w:t xml:space="preserve">لقد </w:t>
      </w:r>
      <w:r w:rsidRPr="008D1B92">
        <w:rPr>
          <w:spacing w:val="0"/>
          <w:kern w:val="0"/>
          <w:rtl/>
          <w:lang w:val="en-CA"/>
        </w:rPr>
        <w:t>توصلت</w:t>
      </w:r>
      <w:r w:rsidRPr="008D1B92">
        <w:rPr>
          <w:rFonts w:hint="cs"/>
          <w:spacing w:val="0"/>
          <w:kern w:val="0"/>
          <w:rtl/>
          <w:lang w:val="en-CA"/>
        </w:rPr>
        <w:t xml:space="preserve"> </w:t>
      </w:r>
      <w:r w:rsidRPr="008D1B92">
        <w:rPr>
          <w:spacing w:val="0"/>
          <w:kern w:val="0"/>
          <w:rtl/>
          <w:lang w:val="en-CA"/>
        </w:rPr>
        <w:t xml:space="preserve">اللجنة </w:t>
      </w:r>
      <w:r w:rsidRPr="008D1B92">
        <w:rPr>
          <w:rFonts w:hint="cs"/>
          <w:spacing w:val="0"/>
          <w:kern w:val="0"/>
          <w:rtl/>
          <w:lang w:val="en-CA"/>
        </w:rPr>
        <w:t>بوضوح إلى</w:t>
      </w:r>
      <w:r w:rsidRPr="008D1B92">
        <w:rPr>
          <w:spacing w:val="0"/>
          <w:kern w:val="0"/>
          <w:rtl/>
          <w:lang w:val="en-CA"/>
        </w:rPr>
        <w:t xml:space="preserve"> </w:t>
      </w:r>
      <w:r w:rsidRPr="008D1B92">
        <w:rPr>
          <w:rFonts w:hint="cs"/>
          <w:spacing w:val="0"/>
          <w:kern w:val="0"/>
          <w:rtl/>
          <w:lang w:val="en-CA"/>
        </w:rPr>
        <w:t>أن رواية</w:t>
      </w:r>
      <w:r w:rsidRPr="008D1B92">
        <w:rPr>
          <w:spacing w:val="0"/>
          <w:kern w:val="0"/>
          <w:rtl/>
          <w:lang w:val="en-CA"/>
        </w:rPr>
        <w:t xml:space="preserve"> الدولة الطرف </w:t>
      </w:r>
      <w:r w:rsidRPr="008D1B92">
        <w:rPr>
          <w:rFonts w:hint="cs"/>
          <w:spacing w:val="0"/>
          <w:kern w:val="0"/>
          <w:rtl/>
          <w:lang w:val="en-CA"/>
        </w:rPr>
        <w:t>للأحداث تفتقر إلى المصداقية</w:t>
      </w:r>
      <w:r w:rsidRPr="008D1B92">
        <w:rPr>
          <w:spacing w:val="0"/>
          <w:kern w:val="0"/>
          <w:rtl/>
          <w:lang w:val="en-CA"/>
        </w:rPr>
        <w:t xml:space="preserve">. </w:t>
      </w:r>
      <w:r w:rsidRPr="008D1B92">
        <w:rPr>
          <w:rFonts w:hint="cs"/>
          <w:spacing w:val="0"/>
          <w:kern w:val="0"/>
          <w:rtl/>
          <w:lang w:val="en-CA"/>
        </w:rPr>
        <w:t>ومن صلاحيات</w:t>
      </w:r>
      <w:r w:rsidRPr="008D1B92">
        <w:rPr>
          <w:spacing w:val="0"/>
          <w:kern w:val="0"/>
          <w:rtl/>
          <w:lang w:val="en-CA"/>
        </w:rPr>
        <w:t xml:space="preserve"> </w:t>
      </w:r>
      <w:r w:rsidRPr="008D1B92">
        <w:rPr>
          <w:rFonts w:hint="cs"/>
          <w:spacing w:val="0"/>
          <w:kern w:val="0"/>
          <w:rtl/>
          <w:lang w:val="en-CA"/>
        </w:rPr>
        <w:t xml:space="preserve">اللجنة </w:t>
      </w:r>
      <w:r w:rsidRPr="008D1B92">
        <w:rPr>
          <w:spacing w:val="0"/>
          <w:kern w:val="0"/>
          <w:rtl/>
          <w:lang w:val="en-CA"/>
        </w:rPr>
        <w:t xml:space="preserve">أن تفعل ذلك </w:t>
      </w:r>
      <w:r w:rsidRPr="008D1B92">
        <w:rPr>
          <w:rFonts w:hint="cs"/>
          <w:spacing w:val="0"/>
          <w:kern w:val="0"/>
          <w:rtl/>
          <w:lang w:val="en-CA"/>
        </w:rPr>
        <w:t xml:space="preserve">تماماً </w:t>
      </w:r>
      <w:r w:rsidRPr="008D1B92">
        <w:rPr>
          <w:spacing w:val="0"/>
          <w:kern w:val="0"/>
          <w:rtl/>
          <w:lang w:val="en-CA"/>
        </w:rPr>
        <w:t xml:space="preserve">وكان </w:t>
      </w:r>
      <w:r w:rsidRPr="008D1B92">
        <w:rPr>
          <w:rFonts w:hint="cs"/>
          <w:spacing w:val="0"/>
          <w:kern w:val="0"/>
          <w:rtl/>
          <w:lang w:val="en-CA"/>
        </w:rPr>
        <w:t xml:space="preserve">عليها أن تقوم </w:t>
      </w:r>
      <w:r w:rsidRPr="008D1B92">
        <w:rPr>
          <w:spacing w:val="0"/>
          <w:kern w:val="0"/>
          <w:rtl/>
          <w:lang w:val="en-CA"/>
        </w:rPr>
        <w:t>ذلك</w:t>
      </w:r>
      <w:r w:rsidRPr="008D1B92">
        <w:rPr>
          <w:rFonts w:hint="cs"/>
          <w:spacing w:val="0"/>
          <w:kern w:val="0"/>
          <w:rtl/>
          <w:lang w:val="en-CA"/>
        </w:rPr>
        <w:t xml:space="preserve"> بكل بساطة</w:t>
      </w:r>
      <w:r w:rsidRPr="008D1B92">
        <w:rPr>
          <w:spacing w:val="0"/>
          <w:kern w:val="0"/>
          <w:rtl/>
          <w:lang w:val="en-CA"/>
        </w:rPr>
        <w:t>.</w:t>
      </w:r>
    </w:p>
    <w:p w:rsidR="009A1314" w:rsidRPr="008D1B92" w:rsidRDefault="008D1B92" w:rsidP="008D1B92">
      <w:pPr>
        <w:pStyle w:val="SingleTxtGA"/>
        <w:spacing w:before="120"/>
        <w:jc w:val="right"/>
        <w:rPr>
          <w:rFonts w:hint="cs"/>
          <w:spacing w:val="0"/>
          <w:kern w:val="0"/>
          <w:rtl/>
          <w:lang w:val="fr-CH"/>
        </w:rPr>
      </w:pPr>
      <w:r w:rsidRPr="008D1B92">
        <w:rPr>
          <w:rFonts w:hint="cs"/>
          <w:i/>
          <w:iCs/>
          <w:spacing w:val="0"/>
          <w:kern w:val="0"/>
          <w:rtl/>
          <w:lang w:val="en-CA"/>
        </w:rPr>
        <w:t>(التوقيع)</w:t>
      </w:r>
      <w:r w:rsidRPr="008D1B92">
        <w:rPr>
          <w:rFonts w:hint="cs"/>
          <w:spacing w:val="0"/>
          <w:kern w:val="0"/>
          <w:rtl/>
          <w:lang w:val="en-CA"/>
        </w:rPr>
        <w:t xml:space="preserve">  فيليس </w:t>
      </w:r>
      <w:r w:rsidRPr="008D1B92">
        <w:rPr>
          <w:rFonts w:hint="cs"/>
          <w:b/>
          <w:bCs/>
          <w:spacing w:val="0"/>
          <w:kern w:val="0"/>
          <w:rtl/>
          <w:lang w:val="en-CA"/>
        </w:rPr>
        <w:t>غاير</w:t>
      </w:r>
    </w:p>
    <w:p w:rsidR="008D1B92" w:rsidRDefault="008D1B92" w:rsidP="009A1314">
      <w:pPr>
        <w:rPr>
          <w:rFonts w:hint="cs"/>
          <w:rtl/>
          <w:lang w:val="fr-CH"/>
        </w:rPr>
      </w:pPr>
    </w:p>
    <w:p w:rsidR="008D1B92" w:rsidRDefault="008D1B92" w:rsidP="009A1314">
      <w:pPr>
        <w:rPr>
          <w:rtl/>
          <w:lang w:val="fr-CH"/>
        </w:rPr>
        <w:sectPr w:rsidR="008D1B92"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8D1B92" w:rsidRPr="008D1B92" w:rsidRDefault="008D1B92" w:rsidP="00BC2867">
      <w:pPr>
        <w:pStyle w:val="H1GA"/>
        <w:spacing w:before="120"/>
        <w:jc w:val="lowKashida"/>
        <w:rPr>
          <w:rFonts w:hint="cs"/>
          <w:spacing w:val="0"/>
          <w:kern w:val="0"/>
          <w:sz w:val="20"/>
          <w:rtl/>
        </w:rPr>
      </w:pPr>
      <w:r w:rsidRPr="008D1B92">
        <w:rPr>
          <w:rFonts w:hint="cs"/>
          <w:spacing w:val="0"/>
          <w:kern w:val="0"/>
          <w:sz w:val="20"/>
          <w:rtl/>
          <w:lang w:bidi="ar-SY"/>
        </w:rPr>
        <w:tab/>
      </w:r>
      <w:r w:rsidRPr="008D1B92">
        <w:rPr>
          <w:rFonts w:hint="cs"/>
          <w:spacing w:val="0"/>
          <w:kern w:val="0"/>
          <w:sz w:val="20"/>
          <w:rtl/>
          <w:lang w:bidi="ar-SY"/>
        </w:rPr>
        <w:tab/>
        <w:t xml:space="preserve">البلاغ رقم 370/2009: </w:t>
      </w:r>
      <w:r w:rsidRPr="008D1B92">
        <w:rPr>
          <w:rFonts w:hint="cs"/>
          <w:i/>
          <w:iCs/>
          <w:spacing w:val="0"/>
          <w:kern w:val="0"/>
          <w:sz w:val="20"/>
          <w:rtl/>
          <w:lang w:bidi="ar-SY"/>
        </w:rPr>
        <w:t>إ.</w:t>
      </w:r>
      <w:r w:rsidR="00D3490C">
        <w:rPr>
          <w:rFonts w:hint="cs"/>
          <w:i/>
          <w:iCs/>
          <w:spacing w:val="0"/>
          <w:kern w:val="0"/>
          <w:sz w:val="20"/>
          <w:rtl/>
          <w:lang w:bidi="ar-SY"/>
        </w:rPr>
        <w:t xml:space="preserve"> </w:t>
      </w:r>
      <w:r w:rsidRPr="008D1B92">
        <w:rPr>
          <w:rFonts w:hint="cs"/>
          <w:i/>
          <w:iCs/>
          <w:spacing w:val="0"/>
          <w:kern w:val="0"/>
          <w:sz w:val="20"/>
          <w:rtl/>
          <w:lang w:bidi="ar-SY"/>
        </w:rPr>
        <w:t>ل. ضد كندا</w:t>
      </w:r>
    </w:p>
    <w:p w:rsidR="008D1B92" w:rsidRPr="008D1B92" w:rsidRDefault="008D1B92" w:rsidP="00DE469F">
      <w:pPr>
        <w:pStyle w:val="SingleTxtGA"/>
        <w:tabs>
          <w:tab w:val="clear" w:pos="1928"/>
          <w:tab w:val="clear" w:pos="2608"/>
          <w:tab w:val="clear" w:pos="3289"/>
          <w:tab w:val="clear" w:pos="3969"/>
          <w:tab w:val="clear" w:pos="4649"/>
          <w:tab w:val="clear" w:pos="5330"/>
        </w:tabs>
        <w:ind w:left="4423" w:hanging="2495"/>
        <w:jc w:val="lowKashida"/>
        <w:rPr>
          <w:rFonts w:hint="cs"/>
          <w:i/>
          <w:iCs/>
          <w:spacing w:val="0"/>
          <w:kern w:val="0"/>
          <w:sz w:val="20"/>
          <w:rtl/>
          <w:lang w:bidi="ar-SY"/>
        </w:rPr>
      </w:pPr>
      <w:r w:rsidRPr="008D1B92">
        <w:rPr>
          <w:rFonts w:hint="cs"/>
          <w:i/>
          <w:iCs/>
          <w:spacing w:val="0"/>
          <w:kern w:val="0"/>
          <w:sz w:val="20"/>
          <w:rtl/>
          <w:lang w:bidi="ar-SY"/>
        </w:rPr>
        <w:t>المقدم من:</w:t>
      </w:r>
      <w:r w:rsidRPr="008D1B92">
        <w:rPr>
          <w:rFonts w:hint="cs"/>
          <w:i/>
          <w:iCs/>
          <w:spacing w:val="0"/>
          <w:kern w:val="0"/>
          <w:sz w:val="20"/>
          <w:rtl/>
          <w:lang w:bidi="ar-SY"/>
        </w:rPr>
        <w:tab/>
      </w:r>
      <w:r w:rsidRPr="008D1B92">
        <w:rPr>
          <w:rFonts w:hint="cs"/>
          <w:spacing w:val="0"/>
          <w:kern w:val="0"/>
          <w:sz w:val="20"/>
          <w:rtl/>
          <w:lang w:bidi="ar-SY"/>
        </w:rPr>
        <w:t>إ. ل.</w:t>
      </w:r>
      <w:r w:rsidRPr="008D1B92">
        <w:rPr>
          <w:spacing w:val="0"/>
          <w:kern w:val="0"/>
          <w:sz w:val="20"/>
          <w:rtl/>
          <w:lang w:bidi="ar-SY"/>
        </w:rPr>
        <w:t xml:space="preserve"> (</w:t>
      </w:r>
      <w:r w:rsidRPr="00BC2867">
        <w:rPr>
          <w:rFonts w:hint="cs"/>
          <w:spacing w:val="-4"/>
          <w:kern w:val="0"/>
          <w:sz w:val="20"/>
          <w:rtl/>
          <w:lang w:bidi="ar-SY"/>
        </w:rPr>
        <w:t>يمثله</w:t>
      </w:r>
      <w:r w:rsidRPr="008D1B92">
        <w:rPr>
          <w:spacing w:val="0"/>
          <w:kern w:val="0"/>
          <w:sz w:val="20"/>
          <w:rtl/>
          <w:lang w:bidi="ar-SY"/>
        </w:rPr>
        <w:t xml:space="preserve"> المحامي </w:t>
      </w:r>
      <w:r w:rsidRPr="008D1B92">
        <w:rPr>
          <w:rFonts w:hint="cs"/>
          <w:spacing w:val="0"/>
          <w:kern w:val="0"/>
          <w:sz w:val="20"/>
          <w:rtl/>
          <w:lang w:bidi="ar-SY"/>
        </w:rPr>
        <w:t>كارلوس هويوس - تييو</w:t>
      </w:r>
      <w:r w:rsidRPr="008D1B92">
        <w:rPr>
          <w:spacing w:val="0"/>
          <w:kern w:val="0"/>
          <w:sz w:val="20"/>
          <w:rtl/>
          <w:lang w:bidi="ar-SY"/>
        </w:rPr>
        <w:t>)</w:t>
      </w:r>
    </w:p>
    <w:p w:rsidR="008D1B92" w:rsidRPr="008D1B92" w:rsidRDefault="008D1B92" w:rsidP="00B1101B">
      <w:pPr>
        <w:pStyle w:val="SingleTxtGA"/>
        <w:tabs>
          <w:tab w:val="clear" w:pos="1928"/>
          <w:tab w:val="clear" w:pos="2608"/>
          <w:tab w:val="clear" w:pos="3289"/>
          <w:tab w:val="clear" w:pos="3969"/>
          <w:tab w:val="clear" w:pos="4649"/>
          <w:tab w:val="clear" w:pos="5330"/>
        </w:tabs>
        <w:ind w:left="4423" w:hanging="2495"/>
        <w:jc w:val="lowKashida"/>
        <w:rPr>
          <w:rFonts w:hint="cs"/>
          <w:spacing w:val="0"/>
          <w:kern w:val="0"/>
          <w:sz w:val="20"/>
          <w:rtl/>
          <w:lang w:bidi="ar-SY"/>
        </w:rPr>
      </w:pPr>
      <w:r w:rsidRPr="008D1B92">
        <w:rPr>
          <w:rFonts w:hint="cs"/>
          <w:i/>
          <w:iCs/>
          <w:spacing w:val="0"/>
          <w:kern w:val="0"/>
          <w:sz w:val="20"/>
          <w:rtl/>
          <w:lang w:bidi="ar-SY"/>
        </w:rPr>
        <w:t>الشخص المدع</w:t>
      </w:r>
      <w:r w:rsidR="00B1101B">
        <w:rPr>
          <w:rFonts w:hint="cs"/>
          <w:i/>
          <w:iCs/>
          <w:spacing w:val="0"/>
          <w:kern w:val="0"/>
          <w:sz w:val="20"/>
          <w:rtl/>
          <w:lang w:bidi="ar-SY"/>
        </w:rPr>
        <w:t>ى</w:t>
      </w:r>
      <w:r w:rsidRPr="008D1B92">
        <w:rPr>
          <w:rFonts w:hint="cs"/>
          <w:i/>
          <w:iCs/>
          <w:spacing w:val="0"/>
          <w:kern w:val="0"/>
          <w:sz w:val="20"/>
          <w:rtl/>
          <w:lang w:bidi="ar-SY"/>
        </w:rPr>
        <w:t xml:space="preserve"> أنه ضحية:</w:t>
      </w:r>
      <w:r w:rsidRPr="008D1B92">
        <w:rPr>
          <w:rFonts w:hint="cs"/>
          <w:spacing w:val="0"/>
          <w:kern w:val="0"/>
          <w:sz w:val="20"/>
          <w:rtl/>
          <w:lang w:bidi="ar-SY"/>
        </w:rPr>
        <w:tab/>
      </w:r>
      <w:r w:rsidRPr="00BC2867">
        <w:rPr>
          <w:spacing w:val="-4"/>
          <w:kern w:val="0"/>
          <w:sz w:val="20"/>
          <w:rtl/>
          <w:lang w:bidi="ar-SY"/>
        </w:rPr>
        <w:t>صاحب</w:t>
      </w:r>
      <w:r w:rsidRPr="008D1B92">
        <w:rPr>
          <w:spacing w:val="0"/>
          <w:kern w:val="0"/>
          <w:sz w:val="20"/>
          <w:rtl/>
          <w:lang w:bidi="ar-SY"/>
        </w:rPr>
        <w:t xml:space="preserve"> الشكوى</w:t>
      </w:r>
    </w:p>
    <w:p w:rsidR="008D1B92" w:rsidRPr="008D1B92" w:rsidRDefault="008D1B92" w:rsidP="00DE469F">
      <w:pPr>
        <w:pStyle w:val="SingleTxtGA"/>
        <w:tabs>
          <w:tab w:val="clear" w:pos="1928"/>
          <w:tab w:val="clear" w:pos="2608"/>
          <w:tab w:val="clear" w:pos="3289"/>
          <w:tab w:val="clear" w:pos="3969"/>
          <w:tab w:val="clear" w:pos="4649"/>
          <w:tab w:val="clear" w:pos="5330"/>
        </w:tabs>
        <w:ind w:left="4423" w:hanging="2495"/>
        <w:jc w:val="lowKashida"/>
        <w:rPr>
          <w:rFonts w:hint="cs"/>
          <w:spacing w:val="0"/>
          <w:kern w:val="0"/>
          <w:sz w:val="20"/>
          <w:rtl/>
          <w:lang w:bidi="ar-SY"/>
        </w:rPr>
      </w:pPr>
      <w:r w:rsidRPr="008D1B92">
        <w:rPr>
          <w:rFonts w:hint="cs"/>
          <w:i/>
          <w:iCs/>
          <w:spacing w:val="0"/>
          <w:kern w:val="0"/>
          <w:sz w:val="20"/>
          <w:rtl/>
          <w:lang w:bidi="ar-SY"/>
        </w:rPr>
        <w:t>الدولة الطرف:</w:t>
      </w:r>
      <w:r w:rsidRPr="008D1B92">
        <w:rPr>
          <w:rFonts w:hint="cs"/>
          <w:spacing w:val="0"/>
          <w:kern w:val="0"/>
          <w:sz w:val="20"/>
          <w:rtl/>
          <w:lang w:bidi="ar-SY"/>
        </w:rPr>
        <w:tab/>
      </w:r>
      <w:r w:rsidRPr="00BC2867">
        <w:rPr>
          <w:rFonts w:hint="cs"/>
          <w:spacing w:val="-4"/>
          <w:kern w:val="0"/>
          <w:sz w:val="20"/>
          <w:rtl/>
          <w:lang w:bidi="ar-SY"/>
        </w:rPr>
        <w:t>كندا</w:t>
      </w:r>
    </w:p>
    <w:p w:rsidR="008D1B92" w:rsidRPr="00BC2867" w:rsidRDefault="008D1B92" w:rsidP="00DE469F">
      <w:pPr>
        <w:pStyle w:val="SingleTxtGA"/>
        <w:tabs>
          <w:tab w:val="clear" w:pos="1928"/>
          <w:tab w:val="clear" w:pos="2608"/>
          <w:tab w:val="clear" w:pos="3289"/>
          <w:tab w:val="clear" w:pos="3969"/>
          <w:tab w:val="clear" w:pos="4649"/>
          <w:tab w:val="clear" w:pos="5330"/>
        </w:tabs>
        <w:ind w:left="4423" w:hanging="2495"/>
        <w:jc w:val="lowKashida"/>
        <w:rPr>
          <w:rFonts w:hint="cs"/>
          <w:spacing w:val="-4"/>
          <w:kern w:val="0"/>
          <w:sz w:val="20"/>
          <w:rtl/>
          <w:lang w:bidi="ar-SY"/>
        </w:rPr>
      </w:pPr>
      <w:r w:rsidRPr="00BC2867">
        <w:rPr>
          <w:rFonts w:hint="cs"/>
          <w:i/>
          <w:iCs/>
          <w:spacing w:val="-4"/>
          <w:kern w:val="0"/>
          <w:sz w:val="20"/>
          <w:rtl/>
          <w:lang w:bidi="ar-SY"/>
        </w:rPr>
        <w:t>تاريخ تقديم الشكوى:</w:t>
      </w:r>
      <w:r w:rsidRPr="00BC2867">
        <w:rPr>
          <w:rFonts w:hint="cs"/>
          <w:spacing w:val="-4"/>
          <w:kern w:val="0"/>
          <w:sz w:val="20"/>
          <w:rtl/>
          <w:lang w:bidi="ar-SY"/>
        </w:rPr>
        <w:tab/>
        <w:t>14</w:t>
      </w:r>
      <w:r w:rsidRPr="00BC2867">
        <w:rPr>
          <w:spacing w:val="-4"/>
          <w:kern w:val="0"/>
          <w:sz w:val="20"/>
          <w:rtl/>
          <w:lang w:bidi="ar-SY"/>
        </w:rPr>
        <w:t xml:space="preserve"> </w:t>
      </w:r>
      <w:r w:rsidRPr="00BC2867">
        <w:rPr>
          <w:rFonts w:hint="cs"/>
          <w:spacing w:val="-4"/>
          <w:kern w:val="0"/>
          <w:sz w:val="20"/>
          <w:rtl/>
          <w:lang w:bidi="ar-SY"/>
        </w:rPr>
        <w:t>كانون</w:t>
      </w:r>
      <w:r w:rsidRPr="00BC2867">
        <w:rPr>
          <w:spacing w:val="-4"/>
          <w:kern w:val="0"/>
          <w:sz w:val="20"/>
          <w:rtl/>
          <w:lang w:bidi="ar-SY"/>
        </w:rPr>
        <w:t xml:space="preserve"> الثاني/</w:t>
      </w:r>
      <w:r w:rsidRPr="00BC2867">
        <w:rPr>
          <w:rFonts w:hint="cs"/>
          <w:spacing w:val="-4"/>
          <w:kern w:val="0"/>
          <w:sz w:val="20"/>
          <w:rtl/>
          <w:lang w:bidi="ar-SY"/>
        </w:rPr>
        <w:t>يناير</w:t>
      </w:r>
      <w:r w:rsidRPr="00BC2867">
        <w:rPr>
          <w:spacing w:val="-4"/>
          <w:kern w:val="0"/>
          <w:sz w:val="20"/>
          <w:rtl/>
          <w:lang w:bidi="ar-SY"/>
        </w:rPr>
        <w:t xml:space="preserve"> </w:t>
      </w:r>
      <w:r w:rsidRPr="00BC2867">
        <w:rPr>
          <w:rFonts w:hint="cs"/>
          <w:spacing w:val="-4"/>
          <w:kern w:val="0"/>
          <w:sz w:val="20"/>
          <w:rtl/>
          <w:lang w:bidi="ar-SY"/>
        </w:rPr>
        <w:t>2009</w:t>
      </w:r>
      <w:r w:rsidRPr="00BC2867">
        <w:rPr>
          <w:spacing w:val="-4"/>
          <w:kern w:val="0"/>
          <w:sz w:val="20"/>
          <w:rtl/>
          <w:lang w:bidi="ar-SY"/>
        </w:rPr>
        <w:t xml:space="preserve"> (تاريخ الرسالة الأولى)</w:t>
      </w:r>
    </w:p>
    <w:p w:rsidR="008D1B92" w:rsidRPr="008D1B92" w:rsidRDefault="008D1B92" w:rsidP="00DE469F">
      <w:pPr>
        <w:pStyle w:val="SingleTxtGA"/>
        <w:jc w:val="lowKashida"/>
        <w:rPr>
          <w:rFonts w:hint="cs"/>
          <w:spacing w:val="0"/>
          <w:kern w:val="0"/>
          <w:sz w:val="20"/>
          <w:szCs w:val="20"/>
          <w:rtl/>
        </w:rPr>
      </w:pPr>
      <w:r w:rsidRPr="008D1B92">
        <w:rPr>
          <w:rFonts w:hint="cs"/>
          <w:i/>
          <w:iCs/>
          <w:spacing w:val="0"/>
          <w:kern w:val="0"/>
          <w:sz w:val="20"/>
          <w:rtl/>
          <w:lang w:bidi="ar-SY"/>
        </w:rPr>
        <w:tab/>
        <w:t>إن لجنة مناهضة التعذيب</w:t>
      </w:r>
      <w:r w:rsidRPr="008D1B92">
        <w:rPr>
          <w:rFonts w:hint="cs"/>
          <w:spacing w:val="0"/>
          <w:kern w:val="0"/>
          <w:sz w:val="20"/>
          <w:rtl/>
          <w:lang w:bidi="ar-SY"/>
        </w:rPr>
        <w:t xml:space="preserve">، المنشأة بموجب المادة 17 من </w:t>
      </w:r>
      <w:r w:rsidRPr="008D1B92">
        <w:rPr>
          <w:spacing w:val="0"/>
          <w:kern w:val="0"/>
          <w:sz w:val="20"/>
          <w:rtl/>
          <w:lang w:bidi="ar-SY"/>
        </w:rPr>
        <w:t>اتفاقية مناهضة التعذيب وغيره من ضروب المعاملة أو العقوبة القاسية أو اللاإنسانية أو المهينة</w:t>
      </w:r>
      <w:r w:rsidRPr="008D1B92">
        <w:rPr>
          <w:rFonts w:hint="cs"/>
          <w:spacing w:val="0"/>
          <w:kern w:val="0"/>
          <w:sz w:val="20"/>
          <w:rtl/>
          <w:lang w:bidi="ar-SY"/>
        </w:rPr>
        <w:t>،</w:t>
      </w:r>
    </w:p>
    <w:p w:rsidR="008D1B92" w:rsidRPr="008D1B92" w:rsidRDefault="008D1B92" w:rsidP="00DE469F">
      <w:pPr>
        <w:pStyle w:val="SingleTxtGA"/>
        <w:jc w:val="lowKashida"/>
        <w:rPr>
          <w:rFonts w:hint="cs"/>
          <w:spacing w:val="0"/>
          <w:kern w:val="0"/>
          <w:sz w:val="20"/>
          <w:rtl/>
          <w:lang w:bidi="ar-SY"/>
        </w:rPr>
      </w:pPr>
      <w:r w:rsidRPr="008D1B92">
        <w:rPr>
          <w:rFonts w:hint="cs"/>
          <w:i/>
          <w:iCs/>
          <w:spacing w:val="0"/>
          <w:kern w:val="0"/>
          <w:sz w:val="20"/>
          <w:rtl/>
          <w:lang w:bidi="ar-SY"/>
        </w:rPr>
        <w:tab/>
        <w:t>وقد اجتمعت</w:t>
      </w:r>
      <w:r w:rsidRPr="008D1B92">
        <w:rPr>
          <w:rFonts w:hint="cs"/>
          <w:spacing w:val="0"/>
          <w:kern w:val="0"/>
          <w:sz w:val="20"/>
          <w:rtl/>
          <w:lang w:bidi="ar-SY"/>
        </w:rPr>
        <w:t xml:space="preserve"> في </w:t>
      </w:r>
      <w:r w:rsidRPr="008D1B92">
        <w:rPr>
          <w:spacing w:val="0"/>
          <w:kern w:val="0"/>
          <w:sz w:val="20"/>
          <w:rtl/>
          <w:lang w:bidi="ar-SY"/>
        </w:rPr>
        <w:t xml:space="preserve">21 </w:t>
      </w:r>
      <w:r w:rsidRPr="008D1B92">
        <w:rPr>
          <w:rFonts w:hint="cs"/>
          <w:spacing w:val="0"/>
          <w:kern w:val="0"/>
          <w:sz w:val="20"/>
          <w:rtl/>
          <w:lang w:bidi="ar-SY"/>
        </w:rPr>
        <w:t>أيار</w:t>
      </w:r>
      <w:r w:rsidRPr="008D1B92">
        <w:rPr>
          <w:spacing w:val="0"/>
          <w:kern w:val="0"/>
          <w:sz w:val="20"/>
          <w:rtl/>
          <w:lang w:bidi="ar-SY"/>
        </w:rPr>
        <w:t>/</w:t>
      </w:r>
      <w:r w:rsidRPr="008D1B92">
        <w:rPr>
          <w:rFonts w:hint="cs"/>
          <w:spacing w:val="0"/>
          <w:kern w:val="0"/>
          <w:sz w:val="20"/>
          <w:rtl/>
          <w:lang w:bidi="ar-SY"/>
        </w:rPr>
        <w:t>مايو</w:t>
      </w:r>
      <w:r w:rsidRPr="008D1B92">
        <w:rPr>
          <w:spacing w:val="0"/>
          <w:kern w:val="0"/>
          <w:sz w:val="20"/>
          <w:rtl/>
          <w:lang w:bidi="ar-SY"/>
        </w:rPr>
        <w:t xml:space="preserve"> 201</w:t>
      </w:r>
      <w:r w:rsidRPr="008D1B92">
        <w:rPr>
          <w:rFonts w:hint="cs"/>
          <w:spacing w:val="0"/>
          <w:kern w:val="0"/>
          <w:sz w:val="20"/>
          <w:rtl/>
          <w:lang w:bidi="ar-SY"/>
        </w:rPr>
        <w:t>2،</w:t>
      </w:r>
    </w:p>
    <w:p w:rsidR="008D1B92" w:rsidRPr="008D1B92" w:rsidRDefault="008D1B92" w:rsidP="00DE469F">
      <w:pPr>
        <w:pStyle w:val="SingleTxtGA"/>
        <w:jc w:val="lowKashida"/>
        <w:rPr>
          <w:rFonts w:hint="cs"/>
          <w:spacing w:val="0"/>
          <w:kern w:val="0"/>
          <w:sz w:val="20"/>
          <w:rtl/>
          <w:lang w:bidi="ar-SY"/>
        </w:rPr>
      </w:pPr>
      <w:r w:rsidRPr="008D1B92">
        <w:rPr>
          <w:rFonts w:hint="cs"/>
          <w:i/>
          <w:iCs/>
          <w:spacing w:val="0"/>
          <w:kern w:val="0"/>
          <w:sz w:val="20"/>
          <w:rtl/>
          <w:lang w:bidi="ar-SY"/>
        </w:rPr>
        <w:tab/>
        <w:t>وقد فرغت</w:t>
      </w:r>
      <w:r w:rsidRPr="008D1B92">
        <w:rPr>
          <w:rFonts w:hint="cs"/>
          <w:spacing w:val="0"/>
          <w:kern w:val="0"/>
          <w:sz w:val="20"/>
          <w:rtl/>
          <w:lang w:bidi="ar-SY"/>
        </w:rPr>
        <w:t xml:space="preserve"> من النظر في الشكوى</w:t>
      </w:r>
      <w:r w:rsidRPr="008D1B92">
        <w:rPr>
          <w:spacing w:val="0"/>
          <w:kern w:val="0"/>
          <w:sz w:val="20"/>
          <w:rtl/>
          <w:lang w:bidi="ar-SY"/>
        </w:rPr>
        <w:t xml:space="preserve"> رقم </w:t>
      </w:r>
      <w:r w:rsidRPr="008D1B92">
        <w:rPr>
          <w:rFonts w:hint="cs"/>
          <w:spacing w:val="0"/>
          <w:kern w:val="0"/>
          <w:sz w:val="20"/>
          <w:rtl/>
          <w:lang w:bidi="ar-SY"/>
        </w:rPr>
        <w:t>370</w:t>
      </w:r>
      <w:r w:rsidRPr="008D1B92">
        <w:rPr>
          <w:spacing w:val="0"/>
          <w:kern w:val="0"/>
          <w:sz w:val="20"/>
          <w:rtl/>
          <w:lang w:bidi="ar-SY"/>
        </w:rPr>
        <w:t>/2009، المقدم</w:t>
      </w:r>
      <w:r w:rsidRPr="008D1B92">
        <w:rPr>
          <w:rFonts w:hint="cs"/>
          <w:spacing w:val="0"/>
          <w:kern w:val="0"/>
          <w:sz w:val="20"/>
          <w:rtl/>
          <w:lang w:bidi="ar-SY"/>
        </w:rPr>
        <w:t>ة إلى لجنة مناهضة التعذيب</w:t>
      </w:r>
      <w:r w:rsidRPr="008D1B92">
        <w:rPr>
          <w:spacing w:val="0"/>
          <w:kern w:val="0"/>
          <w:sz w:val="20"/>
          <w:rtl/>
          <w:lang w:bidi="ar-SY"/>
        </w:rPr>
        <w:t xml:space="preserve"> </w:t>
      </w:r>
      <w:r w:rsidRPr="008D1B92">
        <w:rPr>
          <w:rFonts w:hint="cs"/>
          <w:spacing w:val="0"/>
          <w:kern w:val="0"/>
          <w:sz w:val="20"/>
          <w:rtl/>
          <w:lang w:bidi="ar-SY"/>
        </w:rPr>
        <w:t>من إ. ل.</w:t>
      </w:r>
      <w:r w:rsidRPr="008D1B92">
        <w:rPr>
          <w:spacing w:val="0"/>
          <w:kern w:val="0"/>
          <w:sz w:val="20"/>
          <w:rtl/>
          <w:lang w:bidi="ar-SY"/>
        </w:rPr>
        <w:t xml:space="preserve"> بموجب المادة 22 من اتفاقية</w:t>
      </w:r>
      <w:r w:rsidRPr="008D1B92">
        <w:rPr>
          <w:rFonts w:hint="cs"/>
          <w:spacing w:val="0"/>
          <w:kern w:val="0"/>
          <w:sz w:val="20"/>
          <w:rtl/>
          <w:lang w:bidi="ar-SY"/>
        </w:rPr>
        <w:t xml:space="preserve"> </w:t>
      </w:r>
      <w:r w:rsidRPr="008D1B92">
        <w:rPr>
          <w:spacing w:val="0"/>
          <w:kern w:val="0"/>
          <w:sz w:val="20"/>
          <w:rtl/>
          <w:lang w:bidi="ar-SY"/>
        </w:rPr>
        <w:t>مناهضة التعذيب وغيره من ضروب المعاملة أو العقوبة القاسية أو</w:t>
      </w:r>
      <w:r w:rsidRPr="008D1B92">
        <w:rPr>
          <w:rFonts w:hint="cs"/>
          <w:spacing w:val="0"/>
          <w:kern w:val="0"/>
          <w:sz w:val="20"/>
          <w:rtl/>
          <w:lang w:bidi="ar-SY"/>
        </w:rPr>
        <w:t> </w:t>
      </w:r>
      <w:r w:rsidRPr="008D1B92">
        <w:rPr>
          <w:spacing w:val="0"/>
          <w:kern w:val="0"/>
          <w:sz w:val="20"/>
          <w:rtl/>
          <w:lang w:bidi="ar-SY"/>
        </w:rPr>
        <w:t>اللاإنسانية أو المهينة</w:t>
      </w:r>
      <w:r w:rsidRPr="008D1B92">
        <w:rPr>
          <w:rFonts w:hint="cs"/>
          <w:spacing w:val="0"/>
          <w:kern w:val="0"/>
          <w:sz w:val="20"/>
          <w:rtl/>
          <w:lang w:bidi="ar-SY"/>
        </w:rPr>
        <w:t>،</w:t>
      </w:r>
    </w:p>
    <w:p w:rsidR="008D1B92" w:rsidRPr="008D1B92" w:rsidRDefault="008D1B92" w:rsidP="00DE469F">
      <w:pPr>
        <w:pStyle w:val="SingleTxtGA"/>
        <w:jc w:val="lowKashida"/>
        <w:rPr>
          <w:rFonts w:hint="cs"/>
          <w:spacing w:val="0"/>
          <w:kern w:val="0"/>
          <w:sz w:val="20"/>
          <w:rtl/>
          <w:lang w:bidi="ar-SY"/>
        </w:rPr>
      </w:pPr>
      <w:r w:rsidRPr="008D1B92">
        <w:rPr>
          <w:rFonts w:hint="cs"/>
          <w:i/>
          <w:iCs/>
          <w:spacing w:val="0"/>
          <w:kern w:val="0"/>
          <w:sz w:val="20"/>
          <w:rtl/>
          <w:lang w:bidi="ar-SY"/>
        </w:rPr>
        <w:tab/>
        <w:t xml:space="preserve">وقد وضعت في الاعتبار </w:t>
      </w:r>
      <w:r w:rsidRPr="008D1B92">
        <w:rPr>
          <w:rFonts w:hint="cs"/>
          <w:spacing w:val="0"/>
          <w:kern w:val="0"/>
          <w:sz w:val="20"/>
          <w:rtl/>
          <w:lang w:bidi="ar-SY"/>
        </w:rPr>
        <w:t>جميع المعلومات التي أتاحها لها صاحب الشكوى ومحاميه والدولة الطرف،</w:t>
      </w:r>
    </w:p>
    <w:p w:rsidR="008D1B92" w:rsidRPr="008D1B92" w:rsidRDefault="008D1B92" w:rsidP="00DE469F">
      <w:pPr>
        <w:pStyle w:val="SingleTxtGA"/>
        <w:jc w:val="lowKashida"/>
        <w:rPr>
          <w:rFonts w:hint="cs"/>
          <w:spacing w:val="0"/>
          <w:kern w:val="0"/>
          <w:sz w:val="20"/>
          <w:rtl/>
        </w:rPr>
      </w:pPr>
      <w:r w:rsidRPr="008D1B92">
        <w:rPr>
          <w:rFonts w:hint="cs"/>
          <w:i/>
          <w:iCs/>
          <w:spacing w:val="0"/>
          <w:kern w:val="0"/>
          <w:sz w:val="20"/>
          <w:rtl/>
          <w:lang w:bidi="ar-SY"/>
        </w:rPr>
        <w:tab/>
        <w:t xml:space="preserve">تعتمد </w:t>
      </w:r>
      <w:r w:rsidRPr="008D1B92">
        <w:rPr>
          <w:rFonts w:hint="cs"/>
          <w:spacing w:val="0"/>
          <w:kern w:val="0"/>
          <w:sz w:val="20"/>
          <w:rtl/>
          <w:lang w:bidi="ar-SY"/>
        </w:rPr>
        <w:t>ما يلي</w:t>
      </w:r>
      <w:r w:rsidRPr="008D1B92">
        <w:rPr>
          <w:rFonts w:hint="cs"/>
          <w:spacing w:val="0"/>
          <w:kern w:val="0"/>
          <w:sz w:val="20"/>
          <w:rtl/>
        </w:rPr>
        <w:t>:</w:t>
      </w:r>
    </w:p>
    <w:p w:rsidR="008D1B92" w:rsidRPr="008D1B92" w:rsidRDefault="008D1B92" w:rsidP="00BC2867">
      <w:pPr>
        <w:pStyle w:val="H1GA"/>
        <w:rPr>
          <w:rFonts w:hint="cs"/>
          <w:kern w:val="0"/>
          <w:rtl/>
        </w:rPr>
      </w:pPr>
      <w:r w:rsidRPr="008D1B92">
        <w:rPr>
          <w:rFonts w:hint="cs"/>
          <w:kern w:val="0"/>
          <w:rtl/>
        </w:rPr>
        <w:tab/>
      </w:r>
      <w:r w:rsidRPr="008D1B92">
        <w:rPr>
          <w:rFonts w:hint="cs"/>
          <w:kern w:val="0"/>
          <w:rtl/>
        </w:rPr>
        <w:tab/>
      </w:r>
      <w:r w:rsidRPr="008D1B92">
        <w:rPr>
          <w:kern w:val="0"/>
          <w:rtl/>
        </w:rPr>
        <w:t>قرار بموجب الفقرة 7 من المادة 22 من اتفاقية مناهضة التعذيب</w:t>
      </w:r>
    </w:p>
    <w:p w:rsidR="008D1B92" w:rsidRPr="008D1B92" w:rsidRDefault="008D1B92" w:rsidP="00DE469F">
      <w:pPr>
        <w:pStyle w:val="SingleTxtGA"/>
        <w:jc w:val="lowKashida"/>
        <w:rPr>
          <w:rFonts w:hint="cs"/>
          <w:spacing w:val="0"/>
          <w:kern w:val="0"/>
          <w:sz w:val="20"/>
          <w:rtl/>
          <w:lang w:val="en-CA"/>
        </w:rPr>
      </w:pPr>
      <w:r w:rsidRPr="008D1B92">
        <w:rPr>
          <w:spacing w:val="0"/>
          <w:kern w:val="0"/>
          <w:sz w:val="20"/>
          <w:rtl/>
          <w:lang w:val="en-CA"/>
        </w:rPr>
        <w:t>1-</w:t>
      </w:r>
      <w:r w:rsidRPr="008D1B92">
        <w:rPr>
          <w:rFonts w:hint="cs"/>
          <w:spacing w:val="0"/>
          <w:kern w:val="0"/>
          <w:sz w:val="20"/>
          <w:rtl/>
          <w:lang w:val="en-CA"/>
        </w:rPr>
        <w:t>1</w:t>
      </w:r>
      <w:r w:rsidRPr="008D1B92">
        <w:rPr>
          <w:spacing w:val="0"/>
          <w:kern w:val="0"/>
          <w:sz w:val="20"/>
          <w:rtl/>
          <w:lang w:val="en-CA"/>
        </w:rPr>
        <w:tab/>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 xml:space="preserve">هو </w:t>
      </w:r>
      <w:r w:rsidRPr="008D1B92">
        <w:rPr>
          <w:spacing w:val="0"/>
          <w:kern w:val="0"/>
          <w:sz w:val="20"/>
          <w:rtl/>
          <w:lang w:val="en-CA"/>
        </w:rPr>
        <w:t xml:space="preserve">السيد </w:t>
      </w:r>
      <w:r w:rsidRPr="008D1B92">
        <w:rPr>
          <w:rFonts w:hint="cs"/>
          <w:spacing w:val="0"/>
          <w:kern w:val="0"/>
          <w:sz w:val="20"/>
          <w:rtl/>
          <w:lang w:val="en-CA"/>
        </w:rPr>
        <w:t>إ</w:t>
      </w:r>
      <w:r w:rsidRPr="008D1B92">
        <w:rPr>
          <w:spacing w:val="0"/>
          <w:kern w:val="0"/>
          <w:sz w:val="20"/>
          <w:rtl/>
          <w:lang w:val="en-CA"/>
        </w:rPr>
        <w:t>.</w:t>
      </w:r>
      <w:r w:rsidRPr="008D1B92">
        <w:rPr>
          <w:rFonts w:hint="cs"/>
          <w:spacing w:val="0"/>
          <w:kern w:val="0"/>
          <w:sz w:val="20"/>
          <w:rtl/>
          <w:lang w:val="en-CA"/>
        </w:rPr>
        <w:t xml:space="preserve"> ل.، وقد وُلد في هايتي في</w:t>
      </w:r>
      <w:r w:rsidRPr="008D1B92">
        <w:rPr>
          <w:spacing w:val="0"/>
          <w:kern w:val="0"/>
          <w:sz w:val="20"/>
          <w:rtl/>
          <w:lang w:val="en-CA"/>
        </w:rPr>
        <w:t xml:space="preserve"> عام </w:t>
      </w:r>
      <w:r w:rsidRPr="008D1B92">
        <w:rPr>
          <w:rFonts w:hint="cs"/>
          <w:spacing w:val="0"/>
          <w:kern w:val="0"/>
          <w:sz w:val="20"/>
          <w:rtl/>
          <w:lang w:val="en-CA"/>
        </w:rPr>
        <w:t>1961، هو من مواطني هايتي.</w:t>
      </w:r>
      <w:r w:rsidRPr="008D1B92">
        <w:rPr>
          <w:spacing w:val="0"/>
          <w:kern w:val="0"/>
          <w:sz w:val="20"/>
          <w:rtl/>
          <w:lang w:val="en-CA"/>
        </w:rPr>
        <w:t xml:space="preserve"> </w:t>
      </w:r>
      <w:r w:rsidRPr="008D1B92">
        <w:rPr>
          <w:rFonts w:hint="cs"/>
          <w:spacing w:val="0"/>
          <w:kern w:val="0"/>
          <w:sz w:val="20"/>
          <w:rtl/>
          <w:lang w:val="en-CA"/>
        </w:rPr>
        <w:t>ويدعي صاحب الشكوى</w:t>
      </w:r>
      <w:r w:rsidRPr="008D1B92">
        <w:rPr>
          <w:spacing w:val="0"/>
          <w:kern w:val="0"/>
          <w:sz w:val="20"/>
          <w:rtl/>
          <w:lang w:val="en-CA"/>
        </w:rPr>
        <w:t xml:space="preserve"> أن ترحيله</w:t>
      </w:r>
      <w:r w:rsidRPr="008D1B92">
        <w:rPr>
          <w:rFonts w:hint="cs"/>
          <w:spacing w:val="0"/>
          <w:kern w:val="0"/>
          <w:sz w:val="20"/>
          <w:rtl/>
          <w:lang w:val="en-CA"/>
        </w:rPr>
        <w:t xml:space="preserve"> إلى هايتي</w:t>
      </w:r>
      <w:r w:rsidRPr="008D1B92">
        <w:rPr>
          <w:spacing w:val="0"/>
          <w:kern w:val="0"/>
          <w:sz w:val="20"/>
          <w:rtl/>
          <w:lang w:val="en-CA"/>
        </w:rPr>
        <w:t xml:space="preserve"> </w:t>
      </w:r>
      <w:r w:rsidRPr="008D1B92">
        <w:rPr>
          <w:rFonts w:hint="cs"/>
          <w:spacing w:val="0"/>
          <w:kern w:val="0"/>
          <w:sz w:val="20"/>
          <w:rtl/>
          <w:lang w:val="en-CA"/>
        </w:rPr>
        <w:t>سيشكل</w:t>
      </w:r>
      <w:r w:rsidRPr="008D1B92">
        <w:rPr>
          <w:spacing w:val="0"/>
          <w:kern w:val="0"/>
          <w:sz w:val="20"/>
          <w:rtl/>
          <w:lang w:val="en-CA"/>
        </w:rPr>
        <w:t xml:space="preserve"> انتهاكاً من </w:t>
      </w:r>
      <w:r w:rsidRPr="008D1B92">
        <w:rPr>
          <w:rFonts w:hint="cs"/>
          <w:spacing w:val="0"/>
          <w:kern w:val="0"/>
          <w:sz w:val="20"/>
          <w:rtl/>
          <w:lang w:val="en-CA"/>
        </w:rPr>
        <w:t>جانب</w:t>
      </w:r>
      <w:r w:rsidRPr="008D1B92">
        <w:rPr>
          <w:spacing w:val="0"/>
          <w:kern w:val="0"/>
          <w:sz w:val="20"/>
          <w:rtl/>
          <w:lang w:val="en-CA"/>
        </w:rPr>
        <w:t xml:space="preserve"> </w:t>
      </w:r>
      <w:r w:rsidRPr="008D1B92">
        <w:rPr>
          <w:rFonts w:hint="cs"/>
          <w:spacing w:val="0"/>
          <w:kern w:val="0"/>
          <w:sz w:val="20"/>
          <w:rtl/>
          <w:lang w:val="en-CA"/>
        </w:rPr>
        <w:t>الدولة الطرف</w:t>
      </w:r>
      <w:r w:rsidRPr="008D1B92">
        <w:rPr>
          <w:spacing w:val="0"/>
          <w:kern w:val="0"/>
          <w:sz w:val="20"/>
          <w:rtl/>
          <w:lang w:val="en-CA"/>
        </w:rPr>
        <w:t xml:space="preserve"> للماد</w:t>
      </w:r>
      <w:r w:rsidRPr="008D1B92">
        <w:rPr>
          <w:rFonts w:hint="eastAsia"/>
          <w:spacing w:val="0"/>
          <w:kern w:val="0"/>
          <w:sz w:val="20"/>
          <w:rtl/>
          <w:lang w:val="en-CA"/>
        </w:rPr>
        <w:t>ة</w:t>
      </w:r>
      <w:r w:rsidRPr="008D1B92">
        <w:rPr>
          <w:rFonts w:hint="cs"/>
          <w:spacing w:val="0"/>
          <w:kern w:val="0"/>
          <w:sz w:val="20"/>
          <w:rtl/>
          <w:lang w:val="en-CA"/>
        </w:rPr>
        <w:t> </w:t>
      </w:r>
      <w:r w:rsidRPr="008D1B92">
        <w:rPr>
          <w:spacing w:val="0"/>
          <w:kern w:val="0"/>
          <w:sz w:val="20"/>
          <w:rtl/>
          <w:lang w:val="en-CA"/>
        </w:rPr>
        <w:t>3 من اتفاقية</w:t>
      </w:r>
      <w:r w:rsidRPr="008D1B92">
        <w:rPr>
          <w:rFonts w:hint="cs"/>
          <w:spacing w:val="0"/>
          <w:kern w:val="0"/>
          <w:sz w:val="20"/>
          <w:rtl/>
          <w:lang w:val="en-CA"/>
        </w:rPr>
        <w:t xml:space="preserve"> مناهضة التعذيب</w:t>
      </w:r>
      <w:r w:rsidRPr="008D1B92">
        <w:rPr>
          <w:spacing w:val="0"/>
          <w:kern w:val="0"/>
          <w:sz w:val="20"/>
          <w:rtl/>
          <w:lang w:val="en-CA"/>
        </w:rPr>
        <w:t>.</w:t>
      </w:r>
      <w:r w:rsidRPr="008D1B92">
        <w:rPr>
          <w:rFonts w:hint="cs"/>
          <w:spacing w:val="0"/>
          <w:kern w:val="0"/>
          <w:sz w:val="20"/>
          <w:rtl/>
          <w:lang w:val="en-CA"/>
        </w:rPr>
        <w:t xml:space="preserve"> </w:t>
      </w:r>
      <w:r w:rsidRPr="008D1B92">
        <w:rPr>
          <w:rFonts w:hint="eastAsia"/>
          <w:spacing w:val="0"/>
          <w:kern w:val="0"/>
          <w:sz w:val="20"/>
          <w:rtl/>
          <w:lang w:val="en-CA"/>
        </w:rPr>
        <w:t>و</w:t>
      </w:r>
      <w:r w:rsidRPr="008D1B92">
        <w:rPr>
          <w:rFonts w:hint="cs"/>
          <w:spacing w:val="0"/>
          <w:kern w:val="0"/>
          <w:sz w:val="20"/>
          <w:rtl/>
          <w:lang w:val="en-CA"/>
        </w:rPr>
        <w:t>ي</w:t>
      </w:r>
      <w:r w:rsidRPr="008D1B92">
        <w:rPr>
          <w:rFonts w:hint="eastAsia"/>
          <w:spacing w:val="0"/>
          <w:kern w:val="0"/>
          <w:sz w:val="20"/>
          <w:rtl/>
          <w:lang w:val="en-CA"/>
        </w:rPr>
        <w:t>مثل</w:t>
      </w:r>
      <w:r w:rsidRPr="008D1B92">
        <w:rPr>
          <w:spacing w:val="0"/>
          <w:kern w:val="0"/>
          <w:sz w:val="20"/>
          <w:rtl/>
          <w:lang w:val="en-CA"/>
        </w:rPr>
        <w:t xml:space="preserve"> </w:t>
      </w:r>
      <w:r w:rsidRPr="008D1B92">
        <w:rPr>
          <w:rFonts w:hint="cs"/>
          <w:spacing w:val="0"/>
          <w:kern w:val="0"/>
          <w:sz w:val="20"/>
          <w:rtl/>
          <w:lang w:val="en-CA"/>
        </w:rPr>
        <w:t>صاحب الشكوى</w:t>
      </w:r>
      <w:r w:rsidRPr="008D1B92">
        <w:rPr>
          <w:spacing w:val="0"/>
          <w:kern w:val="0"/>
          <w:sz w:val="20"/>
          <w:rtl/>
          <w:lang w:val="en-CA"/>
        </w:rPr>
        <w:t xml:space="preserve"> المحامي</w:t>
      </w:r>
      <w:r w:rsidRPr="008D1B92">
        <w:rPr>
          <w:rFonts w:hint="cs"/>
          <w:spacing w:val="0"/>
          <w:kern w:val="0"/>
          <w:sz w:val="20"/>
          <w:rtl/>
          <w:lang w:val="en-CA"/>
        </w:rPr>
        <w:t xml:space="preserve"> </w:t>
      </w:r>
      <w:r w:rsidRPr="008D1B92">
        <w:rPr>
          <w:rFonts w:hint="cs"/>
          <w:spacing w:val="0"/>
          <w:kern w:val="0"/>
          <w:sz w:val="20"/>
          <w:rtl/>
          <w:lang w:bidi="ar-SY"/>
        </w:rPr>
        <w:t>كارلوس هويوس - تييو</w:t>
      </w:r>
      <w:r w:rsidRPr="008D1B92">
        <w:rPr>
          <w:spacing w:val="0"/>
          <w:kern w:val="0"/>
          <w:sz w:val="20"/>
          <w:rtl/>
          <w:lang w:val="en-CA"/>
        </w:rPr>
        <w:t>.</w:t>
      </w:r>
    </w:p>
    <w:p w:rsidR="008D1B92" w:rsidRPr="008D1B92" w:rsidRDefault="008D1B92" w:rsidP="00DE469F">
      <w:pPr>
        <w:pStyle w:val="SingleTxtGA"/>
        <w:jc w:val="lowKashida"/>
        <w:rPr>
          <w:spacing w:val="0"/>
          <w:kern w:val="0"/>
          <w:sz w:val="20"/>
          <w:rtl/>
          <w:lang w:val="en-CA"/>
        </w:rPr>
      </w:pPr>
      <w:r w:rsidRPr="008D1B92">
        <w:rPr>
          <w:rFonts w:hint="cs"/>
          <w:spacing w:val="0"/>
          <w:kern w:val="0"/>
          <w:sz w:val="20"/>
          <w:rtl/>
          <w:lang w:val="en-CA"/>
        </w:rPr>
        <w:t>1-2</w:t>
      </w:r>
      <w:r w:rsidRPr="008D1B92">
        <w:rPr>
          <w:rFonts w:hint="cs"/>
          <w:spacing w:val="0"/>
          <w:kern w:val="0"/>
          <w:sz w:val="20"/>
          <w:rtl/>
          <w:lang w:val="en-CA"/>
        </w:rPr>
        <w:tab/>
        <w:t>وفي 11 شباط/فبراير 2009، طلبت اللجنة إلى الدولة الطرف، ووفقاً</w:t>
      </w:r>
      <w:r w:rsidRPr="008D1B92">
        <w:rPr>
          <w:spacing w:val="0"/>
          <w:kern w:val="0"/>
          <w:sz w:val="20"/>
          <w:rtl/>
          <w:lang w:val="en-CA"/>
        </w:rPr>
        <w:t xml:space="preserve"> للفقرة 1 من المادة 108 من النظام الداخلي للجنة، عدم </w:t>
      </w:r>
      <w:r w:rsidRPr="008D1B92">
        <w:rPr>
          <w:rFonts w:hint="cs"/>
          <w:spacing w:val="0"/>
          <w:kern w:val="0"/>
          <w:sz w:val="20"/>
          <w:rtl/>
          <w:lang w:val="en-CA"/>
        </w:rPr>
        <w:t>طرد</w:t>
      </w:r>
      <w:r w:rsidRPr="008D1B92">
        <w:rPr>
          <w:spacing w:val="0"/>
          <w:kern w:val="0"/>
          <w:sz w:val="20"/>
          <w:rtl/>
          <w:lang w:val="en-CA"/>
        </w:rPr>
        <w:t xml:space="preserve"> صاحب الشكوى إلى </w:t>
      </w:r>
      <w:r w:rsidRPr="008D1B92">
        <w:rPr>
          <w:rFonts w:hint="cs"/>
          <w:spacing w:val="0"/>
          <w:kern w:val="0"/>
          <w:sz w:val="20"/>
          <w:rtl/>
          <w:lang w:val="en-CA"/>
        </w:rPr>
        <w:t>هايتي</w:t>
      </w:r>
      <w:r w:rsidRPr="008D1B92">
        <w:rPr>
          <w:spacing w:val="0"/>
          <w:kern w:val="0"/>
          <w:sz w:val="20"/>
          <w:rtl/>
          <w:lang w:val="en-CA"/>
        </w:rPr>
        <w:t xml:space="preserve"> ما دام</w:t>
      </w:r>
      <w:r w:rsidRPr="008D1B92">
        <w:rPr>
          <w:rFonts w:hint="cs"/>
          <w:spacing w:val="0"/>
          <w:kern w:val="0"/>
          <w:sz w:val="20"/>
          <w:rtl/>
          <w:lang w:val="en-CA"/>
        </w:rPr>
        <w:t>ت شكواه</w:t>
      </w:r>
      <w:r w:rsidRPr="008D1B92">
        <w:rPr>
          <w:spacing w:val="0"/>
          <w:kern w:val="0"/>
          <w:sz w:val="20"/>
          <w:rtl/>
          <w:lang w:val="en-CA"/>
        </w:rPr>
        <w:t xml:space="preserve"> قيد</w:t>
      </w:r>
      <w:r w:rsidRPr="008D1B92">
        <w:rPr>
          <w:rFonts w:hint="cs"/>
          <w:spacing w:val="0"/>
          <w:kern w:val="0"/>
          <w:sz w:val="20"/>
          <w:rtl/>
          <w:lang w:val="en-CA"/>
        </w:rPr>
        <w:t> </w:t>
      </w:r>
      <w:r w:rsidRPr="008D1B92">
        <w:rPr>
          <w:spacing w:val="0"/>
          <w:kern w:val="0"/>
          <w:sz w:val="20"/>
          <w:rtl/>
          <w:lang w:val="en-CA"/>
        </w:rPr>
        <w:t>النظر</w:t>
      </w:r>
      <w:r w:rsidRPr="008D1B92">
        <w:rPr>
          <w:rFonts w:hint="cs"/>
          <w:spacing w:val="0"/>
          <w:kern w:val="0"/>
          <w:sz w:val="20"/>
          <w:rtl/>
          <w:lang w:val="en-CA"/>
        </w:rPr>
        <w:t>. وفي ضوء المعلومات التي قدمتها الدولة الطرف، قررت اللجنة في 28 كانون الأول/ديسمبر 2009 سحب طلبها بشأن اتخاذ التدابير المؤقتة.</w:t>
      </w:r>
      <w:r w:rsidRPr="008D1B92">
        <w:rPr>
          <w:rFonts w:hint="cs"/>
          <w:spacing w:val="0"/>
          <w:kern w:val="0"/>
          <w:sz w:val="20"/>
          <w:rtl/>
          <w:lang w:val="en-CA"/>
        </w:rPr>
        <w:tab/>
      </w:r>
    </w:p>
    <w:p w:rsidR="008D1B92" w:rsidRPr="008D1B92" w:rsidRDefault="008D1B92" w:rsidP="008D1B92">
      <w:pPr>
        <w:pStyle w:val="H23GA"/>
        <w:jc w:val="lowKashida"/>
        <w:rPr>
          <w:spacing w:val="0"/>
          <w:kern w:val="0"/>
          <w:sz w:val="20"/>
          <w:rtl/>
        </w:rPr>
      </w:pPr>
      <w:r w:rsidRPr="008D1B92">
        <w:rPr>
          <w:rFonts w:hint="cs"/>
          <w:spacing w:val="0"/>
          <w:kern w:val="0"/>
          <w:sz w:val="20"/>
          <w:rtl/>
        </w:rPr>
        <w:tab/>
      </w:r>
      <w:r w:rsidRPr="008D1B92">
        <w:rPr>
          <w:rFonts w:hint="cs"/>
          <w:spacing w:val="0"/>
          <w:kern w:val="0"/>
          <w:sz w:val="20"/>
          <w:rtl/>
        </w:rPr>
        <w:tab/>
      </w:r>
      <w:r w:rsidRPr="008D1B92">
        <w:rPr>
          <w:rFonts w:hint="eastAsia"/>
          <w:spacing w:val="0"/>
          <w:kern w:val="0"/>
          <w:sz w:val="20"/>
          <w:rtl/>
        </w:rPr>
        <w:t>الوقائع</w:t>
      </w:r>
      <w:r w:rsidRPr="008D1B92">
        <w:rPr>
          <w:spacing w:val="0"/>
          <w:kern w:val="0"/>
          <w:sz w:val="20"/>
          <w:rtl/>
        </w:rPr>
        <w:t xml:space="preserve"> كما عرضها </w:t>
      </w:r>
      <w:r w:rsidRPr="008D1B92">
        <w:rPr>
          <w:rFonts w:hint="cs"/>
          <w:spacing w:val="0"/>
          <w:kern w:val="0"/>
          <w:sz w:val="20"/>
          <w:rtl/>
        </w:rPr>
        <w:t>صاحب</w:t>
      </w:r>
      <w:r w:rsidRPr="008D1B92">
        <w:rPr>
          <w:spacing w:val="0"/>
          <w:kern w:val="0"/>
          <w:sz w:val="20"/>
          <w:rtl/>
        </w:rPr>
        <w:t xml:space="preserve"> الشكوى</w:t>
      </w:r>
    </w:p>
    <w:p w:rsidR="00DE469F" w:rsidRDefault="008D1B92" w:rsidP="00DE469F">
      <w:pPr>
        <w:pStyle w:val="SingleTxtGA"/>
        <w:jc w:val="lowKashida"/>
        <w:rPr>
          <w:rFonts w:hint="cs"/>
          <w:spacing w:val="0"/>
          <w:kern w:val="0"/>
          <w:sz w:val="20"/>
          <w:rtl/>
          <w:lang w:val="en-CA"/>
        </w:rPr>
      </w:pPr>
      <w:r w:rsidRPr="00BC2867">
        <w:rPr>
          <w:spacing w:val="0"/>
          <w:kern w:val="0"/>
          <w:sz w:val="20"/>
          <w:rtl/>
          <w:lang w:val="en-CA"/>
        </w:rPr>
        <w:t>2-1</w:t>
      </w:r>
      <w:r w:rsidRPr="00BC2867">
        <w:rPr>
          <w:spacing w:val="0"/>
          <w:kern w:val="0"/>
          <w:sz w:val="20"/>
          <w:rtl/>
          <w:lang w:val="en-CA"/>
        </w:rPr>
        <w:tab/>
      </w:r>
      <w:r w:rsidRPr="00BC2867">
        <w:rPr>
          <w:rFonts w:hint="cs"/>
          <w:spacing w:val="0"/>
          <w:kern w:val="0"/>
          <w:sz w:val="20"/>
          <w:rtl/>
          <w:lang w:val="en-CA"/>
        </w:rPr>
        <w:t xml:space="preserve">وصل صاحب الشكوى إلى كندا في 21 تشرين الثاني/نوفمبر 1990 وأصبح مقيماً إقامة دائمة، تحت رعاية زوجته الأولى. وفي 9 نيسان/أبريل 2003، أدين بسبب اعتدائه </w:t>
      </w:r>
      <w:r w:rsidR="00DE469F">
        <w:rPr>
          <w:spacing w:val="0"/>
          <w:kern w:val="0"/>
          <w:sz w:val="20"/>
          <w:rtl/>
          <w:lang w:val="en-CA"/>
        </w:rPr>
        <w:br/>
      </w:r>
    </w:p>
    <w:p w:rsidR="008D1B92" w:rsidRPr="008D1B92" w:rsidRDefault="008D1B92" w:rsidP="00DE469F">
      <w:pPr>
        <w:pStyle w:val="SingleTxtGA"/>
        <w:jc w:val="lowKashida"/>
        <w:rPr>
          <w:rFonts w:hint="cs"/>
          <w:spacing w:val="0"/>
          <w:kern w:val="0"/>
          <w:sz w:val="20"/>
          <w:rtl/>
          <w:lang w:val="en-CA"/>
        </w:rPr>
      </w:pPr>
      <w:r w:rsidRPr="00BC2867">
        <w:rPr>
          <w:rFonts w:hint="cs"/>
          <w:spacing w:val="0"/>
          <w:kern w:val="0"/>
          <w:sz w:val="20"/>
          <w:rtl/>
          <w:lang w:val="en-CA"/>
        </w:rPr>
        <w:t>على شخص آخر وحكم عليه بالسجن لمدة سنتين مع إيقاف التنفيذ. وفي 12 حزيران/</w:t>
      </w:r>
      <w:r w:rsidR="00BC2867">
        <w:rPr>
          <w:rFonts w:hint="cs"/>
          <w:spacing w:val="0"/>
          <w:kern w:val="0"/>
          <w:sz w:val="20"/>
          <w:rtl/>
          <w:lang w:val="en-CA"/>
        </w:rPr>
        <w:t xml:space="preserve"> </w:t>
      </w:r>
      <w:r w:rsidRPr="00BC2867">
        <w:rPr>
          <w:rFonts w:hint="cs"/>
          <w:spacing w:val="0"/>
          <w:kern w:val="0"/>
          <w:sz w:val="20"/>
          <w:rtl/>
          <w:lang w:val="en-CA"/>
        </w:rPr>
        <w:t>يونيه</w:t>
      </w:r>
      <w:r w:rsidR="00BC2867">
        <w:rPr>
          <w:rFonts w:hint="eastAsia"/>
          <w:spacing w:val="0"/>
          <w:kern w:val="0"/>
          <w:sz w:val="20"/>
          <w:rtl/>
          <w:lang w:val="en-CA"/>
        </w:rPr>
        <w:t> </w:t>
      </w:r>
      <w:r w:rsidRPr="008D1B92">
        <w:rPr>
          <w:rFonts w:hint="cs"/>
          <w:spacing w:val="0"/>
          <w:kern w:val="0"/>
          <w:sz w:val="20"/>
          <w:rtl/>
          <w:lang w:val="en-CA"/>
        </w:rPr>
        <w:t>2006، أدين بمخالفة</w:t>
      </w:r>
      <w:r w:rsidRPr="008D1B92">
        <w:rPr>
          <w:rFonts w:hint="eastAsia"/>
          <w:spacing w:val="0"/>
          <w:kern w:val="0"/>
          <w:sz w:val="20"/>
          <w:rtl/>
          <w:lang w:val="en-CA"/>
        </w:rPr>
        <w:t> </w:t>
      </w:r>
      <w:r w:rsidRPr="008D1B92">
        <w:rPr>
          <w:rFonts w:hint="cs"/>
          <w:spacing w:val="0"/>
          <w:kern w:val="0"/>
          <w:sz w:val="20"/>
          <w:rtl/>
          <w:lang w:val="en-CA"/>
        </w:rPr>
        <w:t>أخرى منتهكاً بذلك شروط إيقاف تنفيذ الحكم السابق. وحكم عليه بدفع غرامة قدرها</w:t>
      </w:r>
      <w:r w:rsidRPr="008D1B92">
        <w:rPr>
          <w:rFonts w:hint="eastAsia"/>
          <w:spacing w:val="0"/>
          <w:kern w:val="0"/>
          <w:sz w:val="20"/>
          <w:rtl/>
          <w:lang w:val="en-CA"/>
        </w:rPr>
        <w:t> </w:t>
      </w:r>
      <w:r w:rsidRPr="008D1B92">
        <w:rPr>
          <w:rFonts w:hint="cs"/>
          <w:spacing w:val="0"/>
          <w:kern w:val="0"/>
          <w:sz w:val="20"/>
          <w:rtl/>
          <w:lang w:val="en-CA"/>
        </w:rPr>
        <w:t>50 دولاراً كندياً. وفي 29 حزيران/يونيه 2007، أدين باستيراد مخدرات وحيازة مخدرات بهدف الاتجار بها وحيازة مواد ممنوعة وحكم عليه بالسجن لمدة 31 شهراً. وفي 11 كانون الأول/ديسمبر 2007، ألغت وزارة المواطنة والهجرة الكندية إقامته الدائمة على إثر عدم السماح له بالإقامة في كندا بسبب ارتكابه جرائم خطيرة.</w:t>
      </w:r>
    </w:p>
    <w:p w:rsidR="008D1B92" w:rsidRPr="008D1B92" w:rsidRDefault="008D1B92" w:rsidP="00BA41EC">
      <w:pPr>
        <w:pStyle w:val="SingleTxtGA"/>
        <w:jc w:val="lowKashida"/>
        <w:rPr>
          <w:rFonts w:hint="cs"/>
          <w:spacing w:val="0"/>
          <w:kern w:val="0"/>
          <w:sz w:val="20"/>
          <w:rtl/>
          <w:lang w:val="en-CA"/>
        </w:rPr>
      </w:pPr>
      <w:r w:rsidRPr="008D1B92">
        <w:rPr>
          <w:rFonts w:hint="cs"/>
          <w:spacing w:val="0"/>
          <w:kern w:val="0"/>
          <w:sz w:val="20"/>
          <w:rtl/>
          <w:lang w:val="en-CA"/>
        </w:rPr>
        <w:t>2-2</w:t>
      </w:r>
      <w:r w:rsidRPr="008D1B92">
        <w:rPr>
          <w:rFonts w:hint="cs"/>
          <w:spacing w:val="0"/>
          <w:kern w:val="0"/>
          <w:sz w:val="20"/>
          <w:rtl/>
          <w:lang w:val="en-CA"/>
        </w:rPr>
        <w:tab/>
        <w:t xml:space="preserve">وفي 31 كانون الأول/ ديسمبر 2007، وبعد صدور قرار بترحيل صاحب الشكوى، طلب </w:t>
      </w:r>
      <w:r w:rsidR="00BA41EC">
        <w:rPr>
          <w:rFonts w:hint="cs"/>
          <w:spacing w:val="0"/>
          <w:kern w:val="0"/>
          <w:sz w:val="20"/>
          <w:rtl/>
          <w:lang w:val="en-CA"/>
        </w:rPr>
        <w:t xml:space="preserve">الحصول </w:t>
      </w:r>
      <w:r w:rsidRPr="008D1B92">
        <w:rPr>
          <w:rFonts w:hint="cs"/>
          <w:spacing w:val="0"/>
          <w:kern w:val="0"/>
          <w:sz w:val="20"/>
          <w:rtl/>
          <w:lang w:val="en-CA"/>
        </w:rPr>
        <w:t xml:space="preserve">على مركز اللاجئ، ولم يُقبل الطلب بسبب عدم السماح له بالإقامة لارتكابه جرائم خطيرة. وفي 21 نيسان/أبريل 2008، رُفض طلب </w:t>
      </w:r>
      <w:r w:rsidRPr="008D1B92">
        <w:rPr>
          <w:spacing w:val="0"/>
          <w:kern w:val="0"/>
          <w:sz w:val="20"/>
          <w:rtl/>
          <w:lang w:val="en-CA"/>
        </w:rPr>
        <w:t>إجراء تقييم المخاطر قبل الترحيل</w:t>
      </w:r>
      <w:r w:rsidRPr="008D1B92">
        <w:rPr>
          <w:rFonts w:hint="cs"/>
          <w:spacing w:val="0"/>
          <w:kern w:val="0"/>
          <w:sz w:val="20"/>
          <w:rtl/>
          <w:lang w:val="en-CA"/>
        </w:rPr>
        <w:t xml:space="preserve"> وطلب مراعاة الأسباب الإنسانية والوجدانية. وفي 27 أيار/مايو 2008، عُلق الترحيل مؤقتاً للسماح للمحكمة الاتحادية بإجراء مراجعة قضائية للقرارين السلبيين بشأن طلب </w:t>
      </w:r>
      <w:r w:rsidRPr="008D1B92">
        <w:rPr>
          <w:spacing w:val="0"/>
          <w:kern w:val="0"/>
          <w:sz w:val="20"/>
          <w:rtl/>
          <w:lang w:val="en-CA"/>
        </w:rPr>
        <w:t>إجراء تقييم المخاطر قبل الترحيل</w:t>
      </w:r>
      <w:r w:rsidRPr="008D1B92">
        <w:rPr>
          <w:rFonts w:hint="cs"/>
          <w:spacing w:val="0"/>
          <w:kern w:val="0"/>
          <w:sz w:val="20"/>
          <w:rtl/>
          <w:lang w:val="en-CA"/>
        </w:rPr>
        <w:t xml:space="preserve"> وطلب مراعاة الأسباب الإنسانية. وفي 5 كانون الثاني/يناير 2009، رفضت المحكمة الاتحادية الطلبين. ورأت المحكمة الاتحادية أن صاحب الشكوى لم يقدم أي دليل يدعم مزاعمه التي تفيد بأن</w:t>
      </w:r>
      <w:r w:rsidRPr="008D1B92">
        <w:rPr>
          <w:rFonts w:hint="eastAsia"/>
          <w:spacing w:val="0"/>
          <w:kern w:val="0"/>
          <w:sz w:val="20"/>
          <w:rtl/>
          <w:lang w:val="en-CA"/>
        </w:rPr>
        <w:t> </w:t>
      </w:r>
      <w:r w:rsidRPr="008D1B92">
        <w:rPr>
          <w:rFonts w:hint="cs"/>
          <w:spacing w:val="0"/>
          <w:kern w:val="0"/>
          <w:sz w:val="20"/>
          <w:rtl/>
          <w:lang w:val="en-CA"/>
        </w:rPr>
        <w:t xml:space="preserve">هايتي ليس فيها رعاية طبية جيدة لمرضى القلب ولا معدات لاستبدال بطاريات أجهزة </w:t>
      </w:r>
      <w:r w:rsidRPr="008D1B92">
        <w:rPr>
          <w:spacing w:val="0"/>
          <w:kern w:val="0"/>
          <w:sz w:val="20"/>
          <w:rtl/>
          <w:lang w:val="en-CA"/>
        </w:rPr>
        <w:t>تنظيم ضربات القلب</w:t>
      </w:r>
      <w:r w:rsidRPr="008D1B92">
        <w:rPr>
          <w:rFonts w:hint="cs"/>
          <w:spacing w:val="0"/>
          <w:kern w:val="0"/>
          <w:sz w:val="20"/>
          <w:rtl/>
          <w:lang w:val="en-CA"/>
        </w:rPr>
        <w:t>. ووفقاً للمحكمة الاتحادية، كان على صاحب الشكوى نفسه أن يقدم هذه الأدلة.</w:t>
      </w:r>
    </w:p>
    <w:p w:rsidR="008D1B92" w:rsidRPr="008D1B92" w:rsidRDefault="008D1B92" w:rsidP="00DE469F">
      <w:pPr>
        <w:pStyle w:val="SingleTxtGA"/>
        <w:spacing w:before="240"/>
        <w:jc w:val="lowKashida"/>
        <w:rPr>
          <w:rFonts w:hint="cs"/>
          <w:spacing w:val="0"/>
          <w:kern w:val="0"/>
          <w:sz w:val="20"/>
          <w:rtl/>
          <w:lang w:val="en-CA"/>
        </w:rPr>
      </w:pPr>
      <w:r w:rsidRPr="008D1B92">
        <w:rPr>
          <w:rFonts w:hint="cs"/>
          <w:spacing w:val="0"/>
          <w:kern w:val="0"/>
          <w:sz w:val="20"/>
          <w:rtl/>
          <w:lang w:val="en-CA"/>
        </w:rPr>
        <w:t>2-3</w:t>
      </w:r>
      <w:r w:rsidRPr="008D1B92">
        <w:rPr>
          <w:rFonts w:hint="cs"/>
          <w:spacing w:val="0"/>
          <w:kern w:val="0"/>
          <w:sz w:val="20"/>
          <w:rtl/>
          <w:lang w:val="en-CA"/>
        </w:rPr>
        <w:tab/>
        <w:t xml:space="preserve">وفي 16 كانون الثاني/يناير 2009، استلم صاحب الشكوى رسالة من وكالة الخدمات الحدودية الكندية تبلغه بأنه سيُرحل في 18 شباط/فبراير 2009. وقدم محامي صاحب الشكوى طلباً لوقف تنفيذ الحكم لإحضار ما يثبت عدم وجود استعدادات طبية في هايتي لاستبدال جهاز تنظيم ضربات القلب الخاص بصاحب الشكوى. ودعماً لطلبه، </w:t>
      </w:r>
      <w:r w:rsidRPr="00BC2867">
        <w:rPr>
          <w:rFonts w:hint="cs"/>
          <w:spacing w:val="-2"/>
          <w:kern w:val="0"/>
          <w:sz w:val="20"/>
          <w:rtl/>
          <w:lang w:val="en-CA"/>
        </w:rPr>
        <w:t>ادعى</w:t>
      </w:r>
      <w:r w:rsidRPr="00BC2867">
        <w:rPr>
          <w:rFonts w:hint="eastAsia"/>
          <w:spacing w:val="-2"/>
          <w:kern w:val="0"/>
          <w:sz w:val="20"/>
          <w:rtl/>
          <w:lang w:val="en-CA"/>
        </w:rPr>
        <w:t> </w:t>
      </w:r>
      <w:r w:rsidRPr="00BC2867">
        <w:rPr>
          <w:rFonts w:hint="cs"/>
          <w:spacing w:val="-2"/>
          <w:kern w:val="0"/>
          <w:sz w:val="20"/>
          <w:rtl/>
          <w:lang w:val="en-CA"/>
        </w:rPr>
        <w:t>صاحب الشكوى أن الإثباتات التي تفيد بعدم توافر الأجهزة الطبية موجودة ولكنها لم</w:t>
      </w:r>
      <w:r w:rsidRPr="00BC2867">
        <w:rPr>
          <w:rFonts w:hint="eastAsia"/>
          <w:spacing w:val="-2"/>
          <w:kern w:val="0"/>
          <w:sz w:val="20"/>
          <w:rtl/>
          <w:lang w:val="en-CA"/>
        </w:rPr>
        <w:t> </w:t>
      </w:r>
      <w:r w:rsidRPr="00BC2867">
        <w:rPr>
          <w:rFonts w:hint="cs"/>
          <w:spacing w:val="-2"/>
          <w:kern w:val="0"/>
          <w:sz w:val="20"/>
          <w:rtl/>
          <w:lang w:val="en-CA"/>
        </w:rPr>
        <w:t xml:space="preserve">تقدم أثناء النظر في طلب </w:t>
      </w:r>
      <w:r w:rsidRPr="00BC2867">
        <w:rPr>
          <w:spacing w:val="-2"/>
          <w:kern w:val="0"/>
          <w:sz w:val="20"/>
          <w:rtl/>
          <w:lang w:val="en-CA"/>
        </w:rPr>
        <w:t>إجراء تقييم المخاطر قبل الترحيل</w:t>
      </w:r>
      <w:r w:rsidRPr="00BC2867">
        <w:rPr>
          <w:rFonts w:hint="cs"/>
          <w:spacing w:val="-2"/>
          <w:kern w:val="0"/>
          <w:sz w:val="20"/>
          <w:rtl/>
          <w:lang w:val="en-CA"/>
        </w:rPr>
        <w:t xml:space="preserve"> وطلب مراعاة الأسباب الإنسانية بسبب سجن صاحب الشكوى وبالتالي عدم قدرته على جمع هذه الإثباتات. وقدم</w:t>
      </w:r>
      <w:r w:rsidRPr="00BC2867">
        <w:rPr>
          <w:rFonts w:hint="eastAsia"/>
          <w:spacing w:val="-2"/>
          <w:kern w:val="0"/>
          <w:sz w:val="20"/>
          <w:rtl/>
          <w:lang w:val="en-CA"/>
        </w:rPr>
        <w:t> </w:t>
      </w:r>
      <w:r w:rsidRPr="00BC2867">
        <w:rPr>
          <w:rFonts w:hint="cs"/>
          <w:spacing w:val="-2"/>
          <w:kern w:val="0"/>
          <w:sz w:val="20"/>
          <w:rtl/>
          <w:lang w:val="en-CA"/>
        </w:rPr>
        <w:t>صاحب الشكوى رسالة من القنصلية العامة لجمهورية هايتي في مونتريال مؤرخة 9 أيار/مايو 2008، تفيد بأنه لن يستطيع أن يحصل في هايتي على الرعاية المناسبة المطلوبة لحالته</w:t>
      </w:r>
      <w:r w:rsidRPr="00BC2867">
        <w:rPr>
          <w:rFonts w:hint="eastAsia"/>
          <w:spacing w:val="-2"/>
          <w:kern w:val="0"/>
          <w:sz w:val="20"/>
          <w:rtl/>
          <w:lang w:val="en-CA"/>
        </w:rPr>
        <w:t> </w:t>
      </w:r>
      <w:r w:rsidRPr="00BC2867">
        <w:rPr>
          <w:rFonts w:hint="cs"/>
          <w:spacing w:val="-2"/>
          <w:kern w:val="0"/>
          <w:sz w:val="20"/>
          <w:rtl/>
          <w:lang w:val="en-CA"/>
        </w:rPr>
        <w:t>نظراً للوضع الحالي للتكنولوجيا الطبية في هايتي وطبيعة مرضه الخاصة. كما قدم صاحب الشكوى رسالة أخرى، مؤرخة 22 أيار/مايو 2008 وموقعة من أحد أطباء أمراض القلب في كندا، يشير فيها الطبيب إلى أن صاحب الشكوى يستعمل جهاز تنظيم ضربات القلب منذ حزيران/يونيه 2000 وهو</w:t>
      </w:r>
      <w:r w:rsidR="00BC2867">
        <w:rPr>
          <w:rFonts w:hint="eastAsia"/>
          <w:spacing w:val="-2"/>
          <w:kern w:val="0"/>
          <w:sz w:val="20"/>
          <w:rtl/>
          <w:lang w:val="en-CA"/>
        </w:rPr>
        <w:t> </w:t>
      </w:r>
      <w:r w:rsidRPr="00BC2867">
        <w:rPr>
          <w:rFonts w:hint="cs"/>
          <w:spacing w:val="-2"/>
          <w:kern w:val="0"/>
          <w:sz w:val="20"/>
          <w:rtl/>
          <w:lang w:val="en-CA"/>
        </w:rPr>
        <w:t xml:space="preserve">جهاز </w:t>
      </w:r>
      <w:r w:rsidRPr="00BC2867">
        <w:rPr>
          <w:spacing w:val="-2"/>
          <w:kern w:val="0"/>
          <w:sz w:val="20"/>
          <w:lang w:val="en-CA"/>
        </w:rPr>
        <w:t>Medtronic</w:t>
      </w:r>
      <w:r w:rsidRPr="00BC2867">
        <w:rPr>
          <w:rFonts w:hint="cs"/>
          <w:spacing w:val="-2"/>
          <w:kern w:val="0"/>
          <w:sz w:val="20"/>
          <w:rtl/>
          <w:lang w:val="en-CA"/>
        </w:rPr>
        <w:t xml:space="preserve"> (</w:t>
      </w:r>
      <w:r w:rsidRPr="00BC2867">
        <w:rPr>
          <w:spacing w:val="-2"/>
          <w:kern w:val="0"/>
          <w:sz w:val="20"/>
          <w:rtl/>
          <w:lang w:val="en-CA"/>
        </w:rPr>
        <w:t>مدترونيك</w:t>
      </w:r>
      <w:r w:rsidRPr="00BC2867">
        <w:rPr>
          <w:rFonts w:hint="cs"/>
          <w:spacing w:val="-2"/>
          <w:kern w:val="0"/>
          <w:sz w:val="20"/>
          <w:rtl/>
          <w:lang w:val="en-CA"/>
        </w:rPr>
        <w:t xml:space="preserve">) من طراز </w:t>
      </w:r>
      <w:r w:rsidRPr="00BC2867">
        <w:rPr>
          <w:spacing w:val="-2"/>
          <w:kern w:val="0"/>
          <w:sz w:val="20"/>
          <w:lang w:val="en-CA"/>
        </w:rPr>
        <w:t>KDR 733</w:t>
      </w:r>
      <w:r w:rsidRPr="00BC2867">
        <w:rPr>
          <w:rFonts w:hint="cs"/>
          <w:spacing w:val="-2"/>
          <w:kern w:val="0"/>
          <w:sz w:val="20"/>
          <w:rtl/>
          <w:lang w:val="en-CA"/>
        </w:rPr>
        <w:t xml:space="preserve"> </w:t>
      </w:r>
      <w:r w:rsidRPr="00BC2867">
        <w:rPr>
          <w:spacing w:val="-2"/>
          <w:kern w:val="0"/>
          <w:sz w:val="20"/>
          <w:lang w:val="fr-CH"/>
        </w:rPr>
        <w:t>Kappa</w:t>
      </w:r>
      <w:r w:rsidRPr="00BC2867">
        <w:rPr>
          <w:rFonts w:hint="cs"/>
          <w:spacing w:val="-2"/>
          <w:kern w:val="0"/>
          <w:sz w:val="20"/>
          <w:rtl/>
        </w:rPr>
        <w:t xml:space="preserve"> </w:t>
      </w:r>
      <w:r w:rsidRPr="00BC2867">
        <w:rPr>
          <w:rFonts w:hint="cs"/>
          <w:spacing w:val="-2"/>
          <w:kern w:val="0"/>
          <w:sz w:val="20"/>
          <w:rtl/>
          <w:lang w:val="en-CA"/>
        </w:rPr>
        <w:t>وأنه ينبغي تغيير الجهاز في</w:t>
      </w:r>
      <w:r w:rsidR="00BC2867">
        <w:rPr>
          <w:rFonts w:hint="eastAsia"/>
          <w:spacing w:val="-2"/>
          <w:kern w:val="0"/>
          <w:sz w:val="20"/>
          <w:rtl/>
          <w:lang w:val="en-CA"/>
        </w:rPr>
        <w:t> </w:t>
      </w:r>
      <w:r w:rsidRPr="00BC2867">
        <w:rPr>
          <w:rFonts w:hint="cs"/>
          <w:spacing w:val="-2"/>
          <w:kern w:val="0"/>
          <w:sz w:val="20"/>
          <w:rtl/>
          <w:lang w:val="en-CA"/>
        </w:rPr>
        <w:t>حزيران/يونيه 2010. وأضاف طبيب أمراض القلب أن</w:t>
      </w:r>
      <w:r w:rsidRPr="008D1B92">
        <w:rPr>
          <w:rFonts w:hint="cs"/>
          <w:spacing w:val="0"/>
          <w:kern w:val="0"/>
          <w:sz w:val="20"/>
          <w:rtl/>
          <w:lang w:val="en-CA"/>
        </w:rPr>
        <w:t xml:space="preserve"> خدمات شركة </w:t>
      </w:r>
      <w:r w:rsidRPr="008D1B92">
        <w:rPr>
          <w:spacing w:val="0"/>
          <w:kern w:val="0"/>
          <w:sz w:val="20"/>
          <w:rtl/>
          <w:lang w:val="en-CA"/>
        </w:rPr>
        <w:t>مدترونيك</w:t>
      </w:r>
      <w:r w:rsidRPr="008D1B92">
        <w:rPr>
          <w:rFonts w:hint="cs"/>
          <w:spacing w:val="0"/>
          <w:kern w:val="0"/>
          <w:sz w:val="20"/>
          <w:rtl/>
          <w:lang w:val="en-CA"/>
        </w:rPr>
        <w:t xml:space="preserve"> غير متاحة في هايتي.</w:t>
      </w:r>
    </w:p>
    <w:p w:rsidR="008D1B92" w:rsidRPr="008D1B92" w:rsidRDefault="008D1B92" w:rsidP="008D1B92">
      <w:pPr>
        <w:pStyle w:val="H23GA"/>
        <w:jc w:val="lowKashida"/>
        <w:rPr>
          <w:spacing w:val="0"/>
          <w:kern w:val="0"/>
          <w:sz w:val="20"/>
          <w:rtl/>
        </w:rPr>
      </w:pPr>
      <w:r w:rsidRPr="008D1B92">
        <w:rPr>
          <w:rFonts w:hint="cs"/>
          <w:spacing w:val="0"/>
          <w:kern w:val="0"/>
          <w:sz w:val="20"/>
          <w:rtl/>
        </w:rPr>
        <w:tab/>
      </w:r>
      <w:r w:rsidRPr="008D1B92">
        <w:rPr>
          <w:rFonts w:hint="cs"/>
          <w:spacing w:val="0"/>
          <w:kern w:val="0"/>
          <w:sz w:val="20"/>
          <w:rtl/>
        </w:rPr>
        <w:tab/>
      </w:r>
      <w:r w:rsidRPr="008D1B92">
        <w:rPr>
          <w:rFonts w:hint="eastAsia"/>
          <w:spacing w:val="0"/>
          <w:kern w:val="0"/>
          <w:sz w:val="20"/>
          <w:rtl/>
        </w:rPr>
        <w:t>الشكوى</w:t>
      </w:r>
    </w:p>
    <w:p w:rsidR="008D1B92" w:rsidRPr="008D1B92" w:rsidRDefault="008D1B92" w:rsidP="00BC2867">
      <w:pPr>
        <w:pStyle w:val="SingleTxtGA"/>
        <w:jc w:val="lowKashida"/>
        <w:rPr>
          <w:rFonts w:hint="cs"/>
          <w:spacing w:val="0"/>
          <w:kern w:val="0"/>
          <w:sz w:val="20"/>
          <w:rtl/>
          <w:lang w:val="en-CA"/>
        </w:rPr>
      </w:pPr>
      <w:r w:rsidRPr="00BC2867">
        <w:rPr>
          <w:spacing w:val="-2"/>
          <w:kern w:val="0"/>
          <w:sz w:val="20"/>
          <w:rtl/>
          <w:lang w:val="en-CA"/>
        </w:rPr>
        <w:t>3-1</w:t>
      </w:r>
      <w:r w:rsidRPr="00BC2867">
        <w:rPr>
          <w:spacing w:val="-2"/>
          <w:kern w:val="0"/>
          <w:sz w:val="20"/>
          <w:rtl/>
          <w:lang w:val="en-CA"/>
        </w:rPr>
        <w:tab/>
        <w:t xml:space="preserve">يدعي </w:t>
      </w:r>
      <w:r w:rsidRPr="00BC2867">
        <w:rPr>
          <w:rFonts w:hint="cs"/>
          <w:spacing w:val="-2"/>
          <w:kern w:val="0"/>
          <w:sz w:val="20"/>
          <w:rtl/>
          <w:lang w:val="en-CA"/>
        </w:rPr>
        <w:t>صاحب الشكوى</w:t>
      </w:r>
      <w:r w:rsidRPr="00BC2867">
        <w:rPr>
          <w:spacing w:val="-2"/>
          <w:kern w:val="0"/>
          <w:sz w:val="20"/>
          <w:rtl/>
          <w:lang w:val="en-CA"/>
        </w:rPr>
        <w:t xml:space="preserve"> أن </w:t>
      </w:r>
      <w:r w:rsidRPr="00BC2867">
        <w:rPr>
          <w:rFonts w:hint="cs"/>
          <w:spacing w:val="-2"/>
          <w:kern w:val="0"/>
          <w:sz w:val="20"/>
          <w:rtl/>
          <w:lang w:val="en-CA"/>
        </w:rPr>
        <w:t>وضعه الشخصي وحالته الصحية يستدعيان عدم ترحيله، وبخاصة بالنظر إلى أنه أب لطفلين صغيرين (من مواليد 2002 و2005)، وأن</w:t>
      </w:r>
      <w:r w:rsidR="00BC2867" w:rsidRPr="00BC2867">
        <w:rPr>
          <w:rFonts w:hint="eastAsia"/>
          <w:spacing w:val="-2"/>
          <w:kern w:val="0"/>
          <w:sz w:val="20"/>
          <w:rtl/>
          <w:lang w:val="en-CA"/>
        </w:rPr>
        <w:t> </w:t>
      </w:r>
      <w:r w:rsidRPr="00BC2867">
        <w:rPr>
          <w:rFonts w:hint="cs"/>
          <w:spacing w:val="-2"/>
          <w:kern w:val="0"/>
          <w:sz w:val="20"/>
          <w:rtl/>
          <w:lang w:val="en-CA"/>
        </w:rPr>
        <w:t>شريكته تعاني من اضطرابات نفسية بسبب احتجازه والقلق من ترحيله القسري إلى</w:t>
      </w:r>
      <w:r w:rsidRPr="008D1B92">
        <w:rPr>
          <w:rFonts w:hint="cs"/>
          <w:spacing w:val="0"/>
          <w:kern w:val="0"/>
          <w:sz w:val="20"/>
          <w:rtl/>
          <w:lang w:val="en-CA"/>
        </w:rPr>
        <w:t xml:space="preserve"> هايتي. ويقدم صاحب الشكوى أيضاً وثيقة تؤكد أنه يجب تغيير جهاز تنظيم ضربات القلب الخاص به في حزيران/يونيه 2010 وأن خدمات شركة </w:t>
      </w:r>
      <w:r w:rsidRPr="008D1B92">
        <w:rPr>
          <w:spacing w:val="0"/>
          <w:kern w:val="0"/>
          <w:sz w:val="20"/>
          <w:rtl/>
          <w:lang w:val="en-CA"/>
        </w:rPr>
        <w:t>مدترونيك</w:t>
      </w:r>
      <w:r w:rsidRPr="008D1B92">
        <w:rPr>
          <w:rFonts w:hint="cs"/>
          <w:spacing w:val="0"/>
          <w:kern w:val="0"/>
          <w:sz w:val="20"/>
          <w:rtl/>
          <w:lang w:val="en-CA"/>
        </w:rPr>
        <w:t xml:space="preserve"> غير متاحة في هايتي.</w:t>
      </w:r>
    </w:p>
    <w:p w:rsidR="008D1B92" w:rsidRPr="008D1B92" w:rsidRDefault="008D1B92" w:rsidP="00BC2867">
      <w:pPr>
        <w:pStyle w:val="SingleTxtGA"/>
        <w:jc w:val="lowKashida"/>
        <w:rPr>
          <w:rFonts w:hint="cs"/>
          <w:spacing w:val="0"/>
          <w:kern w:val="0"/>
          <w:sz w:val="20"/>
          <w:rtl/>
          <w:lang/>
        </w:rPr>
      </w:pPr>
      <w:r w:rsidRPr="008D1B92">
        <w:rPr>
          <w:rFonts w:hint="cs"/>
          <w:spacing w:val="0"/>
          <w:kern w:val="0"/>
          <w:sz w:val="20"/>
          <w:rtl/>
          <w:lang w:val="en-CA"/>
        </w:rPr>
        <w:t>3-2</w:t>
      </w:r>
      <w:r w:rsidRPr="008D1B92">
        <w:rPr>
          <w:rFonts w:hint="cs"/>
          <w:spacing w:val="0"/>
          <w:kern w:val="0"/>
          <w:sz w:val="20"/>
          <w:rtl/>
          <w:lang w:val="en-CA"/>
        </w:rPr>
        <w:tab/>
        <w:t>ويدفع صاحب الشكوى</w:t>
      </w:r>
      <w:r w:rsidRPr="008D1B92">
        <w:rPr>
          <w:spacing w:val="0"/>
          <w:kern w:val="0"/>
          <w:sz w:val="20"/>
          <w:rtl/>
          <w:lang w:val="en-CA"/>
        </w:rPr>
        <w:t xml:space="preserve"> بأنه </w:t>
      </w:r>
      <w:r w:rsidRPr="008D1B92">
        <w:rPr>
          <w:rFonts w:hint="cs"/>
          <w:spacing w:val="0"/>
          <w:kern w:val="0"/>
          <w:sz w:val="20"/>
          <w:rtl/>
          <w:lang w:val="en-CA"/>
        </w:rPr>
        <w:t>بوصفه مرحلاً لأسباب إجرامية عاش لسنوات عديدة في الخارج، فإنه معرض بدرجة أكبر</w:t>
      </w:r>
      <w:r w:rsidRPr="008D1B92">
        <w:rPr>
          <w:spacing w:val="0"/>
          <w:kern w:val="0"/>
          <w:sz w:val="20"/>
          <w:rtl/>
          <w:lang w:val="en-CA"/>
        </w:rPr>
        <w:t xml:space="preserve"> </w:t>
      </w:r>
      <w:r w:rsidRPr="008D1B92">
        <w:rPr>
          <w:rFonts w:hint="cs"/>
          <w:spacing w:val="0"/>
          <w:kern w:val="0"/>
          <w:sz w:val="20"/>
          <w:rtl/>
          <w:lang w:val="en-CA"/>
        </w:rPr>
        <w:t>ل</w:t>
      </w:r>
      <w:r w:rsidRPr="008D1B92">
        <w:rPr>
          <w:spacing w:val="0"/>
          <w:kern w:val="0"/>
          <w:sz w:val="20"/>
          <w:rtl/>
          <w:lang w:val="en-CA"/>
        </w:rPr>
        <w:t xml:space="preserve">خطر </w:t>
      </w:r>
      <w:r w:rsidRPr="008D1B92">
        <w:rPr>
          <w:rFonts w:hint="cs"/>
          <w:spacing w:val="0"/>
          <w:kern w:val="0"/>
          <w:sz w:val="20"/>
          <w:rtl/>
          <w:lang w:val="en-CA"/>
        </w:rPr>
        <w:t>ا</w:t>
      </w:r>
      <w:r w:rsidRPr="008D1B92">
        <w:rPr>
          <w:spacing w:val="0"/>
          <w:kern w:val="0"/>
          <w:sz w:val="20"/>
          <w:rtl/>
          <w:lang w:val="en-CA"/>
        </w:rPr>
        <w:t xml:space="preserve">لاختطاف من </w:t>
      </w:r>
      <w:r w:rsidRPr="008D1B92">
        <w:rPr>
          <w:rFonts w:hint="cs"/>
          <w:spacing w:val="0"/>
          <w:kern w:val="0"/>
          <w:sz w:val="20"/>
          <w:rtl/>
          <w:lang w:val="en-CA"/>
        </w:rPr>
        <w:t>جانب</w:t>
      </w:r>
      <w:r w:rsidRPr="008D1B92">
        <w:rPr>
          <w:spacing w:val="0"/>
          <w:kern w:val="0"/>
          <w:sz w:val="20"/>
          <w:rtl/>
          <w:lang w:val="en-CA"/>
        </w:rPr>
        <w:t xml:space="preserve"> الجماعات الإجرامية </w:t>
      </w:r>
      <w:r w:rsidRPr="008D1B92">
        <w:rPr>
          <w:rFonts w:hint="cs"/>
          <w:spacing w:val="0"/>
          <w:kern w:val="0"/>
          <w:sz w:val="20"/>
          <w:rtl/>
          <w:lang w:val="en-CA"/>
        </w:rPr>
        <w:t>التي</w:t>
      </w:r>
      <w:r w:rsidRPr="008D1B92">
        <w:rPr>
          <w:spacing w:val="0"/>
          <w:kern w:val="0"/>
          <w:sz w:val="20"/>
          <w:rtl/>
          <w:lang w:val="en-CA"/>
        </w:rPr>
        <w:t xml:space="preserve"> قد </w:t>
      </w:r>
      <w:r w:rsidRPr="008D1B92">
        <w:rPr>
          <w:rFonts w:hint="cs"/>
          <w:spacing w:val="0"/>
          <w:kern w:val="0"/>
          <w:sz w:val="20"/>
          <w:rtl/>
          <w:lang w:val="en-CA"/>
        </w:rPr>
        <w:t>ترى</w:t>
      </w:r>
      <w:r w:rsidRPr="008D1B92">
        <w:rPr>
          <w:spacing w:val="0"/>
          <w:kern w:val="0"/>
          <w:sz w:val="20"/>
          <w:rtl/>
          <w:lang w:val="en-CA"/>
        </w:rPr>
        <w:t xml:space="preserve"> فيه منافسا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يمتلك </w:t>
      </w:r>
      <w:r w:rsidRPr="008D1B92">
        <w:rPr>
          <w:spacing w:val="0"/>
          <w:kern w:val="0"/>
          <w:sz w:val="20"/>
          <w:rtl/>
          <w:lang w:val="en-CA"/>
        </w:rPr>
        <w:t xml:space="preserve">موارد مالية </w:t>
      </w:r>
      <w:r w:rsidRPr="008D1B92">
        <w:rPr>
          <w:rFonts w:hint="cs"/>
          <w:spacing w:val="0"/>
          <w:kern w:val="0"/>
          <w:sz w:val="20"/>
          <w:rtl/>
          <w:lang w:val="en-CA"/>
        </w:rPr>
        <w:t>ضخمة</w:t>
      </w:r>
      <w:r w:rsidRPr="008D1B92">
        <w:rPr>
          <w:spacing w:val="0"/>
          <w:kern w:val="0"/>
          <w:sz w:val="20"/>
          <w:rtl/>
          <w:lang w:val="en-CA"/>
        </w:rPr>
        <w:t xml:space="preserve"> </w:t>
      </w:r>
      <w:r w:rsidRPr="008D1B92">
        <w:rPr>
          <w:rFonts w:hint="cs"/>
          <w:spacing w:val="0"/>
          <w:kern w:val="0"/>
          <w:sz w:val="20"/>
          <w:rtl/>
          <w:lang w:val="en-CA"/>
        </w:rPr>
        <w:t xml:space="preserve">نتيجة إقامته الطويلة </w:t>
      </w:r>
      <w:r w:rsidRPr="008D1B92">
        <w:rPr>
          <w:spacing w:val="0"/>
          <w:kern w:val="0"/>
          <w:sz w:val="20"/>
          <w:rtl/>
          <w:lang w:val="en-CA"/>
        </w:rPr>
        <w:t>في كندا.</w:t>
      </w:r>
      <w:r w:rsidRPr="008D1B92">
        <w:rPr>
          <w:rFonts w:hint="cs"/>
          <w:spacing w:val="0"/>
          <w:kern w:val="0"/>
          <w:sz w:val="20"/>
          <w:rtl/>
          <w:lang w:val="en-CA"/>
        </w:rPr>
        <w:t xml:space="preserve"> وأشار إلى أن </w:t>
      </w:r>
      <w:r w:rsidRPr="008D1B92">
        <w:rPr>
          <w:rFonts w:hint="cs"/>
          <w:spacing w:val="0"/>
          <w:kern w:val="0"/>
          <w:sz w:val="20"/>
          <w:rtl/>
          <w:lang/>
        </w:rPr>
        <w:t>المجلس الكندي للهجرة واللاجئين يطبق وقفاً طوعياً على الترحيل إلى هايتي. وعلى الرغم من ذلك، لا يطبق الوقف الطوعي على الأشخاص الذين يعتبرون مجرمين خطيرين أو يشكلون خطراً على المجتمع. ويستشهد بالملاحظات الختامية للجنة مناهضة التعذيب بشأن كندا (أيار/</w:t>
      </w:r>
      <w:r w:rsidR="00BC2867">
        <w:rPr>
          <w:rFonts w:hint="cs"/>
          <w:spacing w:val="0"/>
          <w:kern w:val="0"/>
          <w:sz w:val="20"/>
          <w:rtl/>
          <w:lang/>
        </w:rPr>
        <w:t xml:space="preserve"> </w:t>
      </w:r>
      <w:r w:rsidRPr="008D1B92">
        <w:rPr>
          <w:rFonts w:hint="cs"/>
          <w:spacing w:val="0"/>
          <w:kern w:val="0"/>
          <w:sz w:val="20"/>
          <w:rtl/>
          <w:lang/>
        </w:rPr>
        <w:t>مايو</w:t>
      </w:r>
      <w:r w:rsidR="00BC2867">
        <w:rPr>
          <w:rFonts w:hint="eastAsia"/>
          <w:spacing w:val="0"/>
          <w:kern w:val="0"/>
          <w:sz w:val="20"/>
          <w:rtl/>
          <w:lang/>
        </w:rPr>
        <w:t> </w:t>
      </w:r>
      <w:r w:rsidRPr="008D1B92">
        <w:rPr>
          <w:rFonts w:hint="cs"/>
          <w:spacing w:val="0"/>
          <w:kern w:val="0"/>
          <w:sz w:val="20"/>
          <w:rtl/>
          <w:lang/>
        </w:rPr>
        <w:t>2005) التي أعربت فيها اللجنة عن قلقها من استبعاد فئات معينة من الأشخاص الذين يعتبرون مجرمين من الحماية الدولية من خطر تعرضهم للتعذيب وغيره من ضروب المعاملة أو</w:t>
      </w:r>
      <w:r w:rsidR="00BC2867">
        <w:rPr>
          <w:rFonts w:hint="eastAsia"/>
          <w:spacing w:val="0"/>
          <w:kern w:val="0"/>
          <w:sz w:val="20"/>
          <w:rtl/>
          <w:lang/>
        </w:rPr>
        <w:t> </w:t>
      </w:r>
      <w:r w:rsidRPr="008D1B92">
        <w:rPr>
          <w:rFonts w:hint="cs"/>
          <w:spacing w:val="0"/>
          <w:kern w:val="0"/>
          <w:sz w:val="20"/>
          <w:rtl/>
          <w:lang/>
        </w:rPr>
        <w:t>العقوبة القاسية واللاإنسانية. وا</w:t>
      </w:r>
      <w:r w:rsidRPr="008D1B92">
        <w:rPr>
          <w:spacing w:val="0"/>
          <w:kern w:val="0"/>
          <w:sz w:val="20"/>
          <w:rtl/>
          <w:lang/>
        </w:rPr>
        <w:t xml:space="preserve">ستشهد </w:t>
      </w:r>
      <w:r w:rsidRPr="008D1B92">
        <w:rPr>
          <w:rFonts w:hint="cs"/>
          <w:spacing w:val="0"/>
          <w:kern w:val="0"/>
          <w:sz w:val="20"/>
          <w:rtl/>
          <w:lang/>
        </w:rPr>
        <w:t>صاحب الشكوى ب</w:t>
      </w:r>
      <w:r w:rsidRPr="008D1B92">
        <w:rPr>
          <w:spacing w:val="0"/>
          <w:kern w:val="0"/>
          <w:sz w:val="20"/>
          <w:rtl/>
          <w:lang/>
        </w:rPr>
        <w:t xml:space="preserve">اثنين من مواطني هايتي، </w:t>
      </w:r>
      <w:r w:rsidRPr="008D1B92">
        <w:rPr>
          <w:rFonts w:hint="cs"/>
          <w:spacing w:val="0"/>
          <w:kern w:val="0"/>
          <w:sz w:val="20"/>
          <w:rtl/>
          <w:lang/>
        </w:rPr>
        <w:t xml:space="preserve">أحدهما رُحل من </w:t>
      </w:r>
      <w:r w:rsidRPr="008D1B92">
        <w:rPr>
          <w:spacing w:val="0"/>
          <w:kern w:val="0"/>
          <w:sz w:val="20"/>
          <w:rtl/>
          <w:lang/>
        </w:rPr>
        <w:t xml:space="preserve">كندا </w:t>
      </w:r>
      <w:r w:rsidRPr="008D1B92">
        <w:rPr>
          <w:rFonts w:hint="cs"/>
          <w:spacing w:val="0"/>
          <w:kern w:val="0"/>
          <w:sz w:val="20"/>
          <w:rtl/>
          <w:lang/>
        </w:rPr>
        <w:t>وانقطعت أخباره</w:t>
      </w:r>
      <w:r w:rsidRPr="008D1B92">
        <w:rPr>
          <w:spacing w:val="0"/>
          <w:kern w:val="0"/>
          <w:sz w:val="20"/>
          <w:rtl/>
          <w:lang/>
        </w:rPr>
        <w:t xml:space="preserve"> منذ </w:t>
      </w:r>
      <w:r w:rsidRPr="008D1B92">
        <w:rPr>
          <w:rFonts w:hint="cs"/>
          <w:spacing w:val="0"/>
          <w:kern w:val="0"/>
          <w:sz w:val="20"/>
          <w:rtl/>
          <w:lang/>
        </w:rPr>
        <w:t>ذلك الحين و</w:t>
      </w:r>
      <w:r w:rsidRPr="008D1B92">
        <w:rPr>
          <w:spacing w:val="0"/>
          <w:kern w:val="0"/>
          <w:sz w:val="20"/>
          <w:rtl/>
          <w:lang/>
        </w:rPr>
        <w:t>الآخر قدم أيضا</w:t>
      </w:r>
      <w:r w:rsidRPr="008D1B92">
        <w:rPr>
          <w:rFonts w:hint="cs"/>
          <w:spacing w:val="0"/>
          <w:kern w:val="0"/>
          <w:sz w:val="20"/>
          <w:rtl/>
          <w:lang/>
        </w:rPr>
        <w:t>ً شكوى</w:t>
      </w:r>
      <w:r w:rsidRPr="008D1B92">
        <w:rPr>
          <w:spacing w:val="0"/>
          <w:kern w:val="0"/>
          <w:sz w:val="20"/>
          <w:rtl/>
          <w:lang/>
        </w:rPr>
        <w:t xml:space="preserve"> إلى اللجنة وط</w:t>
      </w:r>
      <w:r w:rsidRPr="008D1B92">
        <w:rPr>
          <w:rFonts w:hint="cs"/>
          <w:spacing w:val="0"/>
          <w:kern w:val="0"/>
          <w:sz w:val="20"/>
          <w:rtl/>
          <w:lang/>
        </w:rPr>
        <w:t>ُ</w:t>
      </w:r>
      <w:r w:rsidRPr="008D1B92">
        <w:rPr>
          <w:spacing w:val="0"/>
          <w:kern w:val="0"/>
          <w:sz w:val="20"/>
          <w:rtl/>
          <w:lang/>
        </w:rPr>
        <w:t xml:space="preserve">لب </w:t>
      </w:r>
      <w:r w:rsidRPr="008D1B92">
        <w:rPr>
          <w:rFonts w:hint="cs"/>
          <w:spacing w:val="0"/>
          <w:kern w:val="0"/>
          <w:sz w:val="20"/>
          <w:rtl/>
          <w:lang/>
        </w:rPr>
        <w:t xml:space="preserve">بشأنه </w:t>
      </w:r>
      <w:r w:rsidRPr="008D1B92">
        <w:rPr>
          <w:spacing w:val="0"/>
          <w:kern w:val="0"/>
          <w:sz w:val="20"/>
          <w:rtl/>
          <w:lang/>
        </w:rPr>
        <w:t xml:space="preserve">اتخاذ تدابير مؤقتة </w:t>
      </w:r>
      <w:r w:rsidRPr="008D1B92">
        <w:rPr>
          <w:rFonts w:hint="cs"/>
          <w:spacing w:val="0"/>
          <w:kern w:val="0"/>
          <w:sz w:val="20"/>
          <w:rtl/>
          <w:lang/>
        </w:rPr>
        <w:t xml:space="preserve">لوقف ترحيله إلى </w:t>
      </w:r>
      <w:r w:rsidRPr="008D1B92">
        <w:rPr>
          <w:spacing w:val="0"/>
          <w:kern w:val="0"/>
          <w:sz w:val="20"/>
          <w:rtl/>
          <w:lang/>
        </w:rPr>
        <w:t>هايتي</w:t>
      </w:r>
      <w:r w:rsidRPr="008D1B92">
        <w:rPr>
          <w:rFonts w:hint="cs"/>
          <w:spacing w:val="0"/>
          <w:kern w:val="0"/>
          <w:sz w:val="20"/>
          <w:vertAlign w:val="superscript"/>
          <w:rtl/>
          <w:lang/>
        </w:rPr>
        <w:t>(</w:t>
      </w:r>
      <w:r w:rsidRPr="008D1B92">
        <w:rPr>
          <w:rStyle w:val="FootnoteReference"/>
          <w:spacing w:val="0"/>
          <w:sz w:val="20"/>
          <w:rtl/>
          <w:lang/>
        </w:rPr>
        <w:footnoteReference w:id="226"/>
      </w:r>
      <w:r w:rsidRPr="008D1B92">
        <w:rPr>
          <w:rFonts w:hint="cs"/>
          <w:spacing w:val="0"/>
          <w:kern w:val="0"/>
          <w:sz w:val="20"/>
          <w:vertAlign w:val="superscript"/>
          <w:rtl/>
          <w:lang/>
        </w:rPr>
        <w:t>)</w:t>
      </w:r>
      <w:r w:rsidRPr="008D1B92">
        <w:rPr>
          <w:spacing w:val="0"/>
          <w:kern w:val="0"/>
          <w:sz w:val="20"/>
          <w:rtl/>
          <w:lang/>
        </w:rPr>
        <w:t>.</w:t>
      </w:r>
    </w:p>
    <w:p w:rsidR="008D1B92" w:rsidRPr="008D1B92" w:rsidRDefault="008D1B92" w:rsidP="008D1B92">
      <w:pPr>
        <w:pStyle w:val="SingleTxtGA"/>
        <w:spacing w:line="360" w:lineRule="exact"/>
        <w:jc w:val="lowKashida"/>
        <w:rPr>
          <w:rFonts w:hint="cs"/>
          <w:spacing w:val="0"/>
          <w:kern w:val="0"/>
          <w:sz w:val="20"/>
          <w:rtl/>
          <w:lang w:val="en-CA"/>
        </w:rPr>
      </w:pPr>
      <w:r w:rsidRPr="008D1B92">
        <w:rPr>
          <w:rFonts w:hint="cs"/>
          <w:spacing w:val="0"/>
          <w:kern w:val="0"/>
          <w:sz w:val="20"/>
          <w:rtl/>
          <w:lang/>
        </w:rPr>
        <w:t>3-3</w:t>
      </w:r>
      <w:r w:rsidRPr="008D1B92">
        <w:rPr>
          <w:rFonts w:hint="cs"/>
          <w:spacing w:val="0"/>
          <w:kern w:val="0"/>
          <w:sz w:val="20"/>
          <w:rtl/>
          <w:lang/>
        </w:rPr>
        <w:tab/>
        <w:t>وأرفق صاحب الشكوى ببلاغه عدة مقالات صحفية تشهد بصفة خاصة على أن الهايتيين العائدين يحتجزون بصورة منهجية في ظروف يرثى لها بدون غذاء وماء ورعاية طبية مما يمكن أن يؤدي في حالته إلى الوفاة. وتشير هذه الوثائق نفسها إلى ممارسة الحكومة الهايتية المتمثلة في حرمان أي شخص عائد من حق الحصول على جواز سفر هايتي لمدة ثمانية أشهر من عودته. ويدعي صاحب الشكوى أنه لن يستطيع تغيير جهاز تنظيم ضربات القلب الخاص به في هايتي والحصول على رعاية طبية مناسبة حسبما تشير الرسالتان المقدمتان دعماً للطلب الذي قدمه لوقف تنفيذ الترحيل، بالإضافة إلى أنه يتعرض لخطر التجريد من جواز سفره في الشهور الأولى من عودته. وتدل جميع هذه العناصر على وجود خطر حقيقي وشخصي على حياة صاحب الشكوى في حالة ترحيله إلى هايتي.</w:t>
      </w:r>
    </w:p>
    <w:p w:rsidR="008D1B92" w:rsidRPr="008D1B92" w:rsidRDefault="008D1B92" w:rsidP="008D1B92">
      <w:pPr>
        <w:pStyle w:val="H23GA"/>
        <w:jc w:val="lowKashida"/>
        <w:rPr>
          <w:rFonts w:hint="cs"/>
          <w:spacing w:val="0"/>
          <w:kern w:val="0"/>
          <w:sz w:val="20"/>
          <w:rtl/>
        </w:rPr>
      </w:pPr>
      <w:r w:rsidRPr="008D1B92">
        <w:rPr>
          <w:spacing w:val="0"/>
          <w:kern w:val="0"/>
          <w:sz w:val="20"/>
          <w:rtl/>
        </w:rPr>
        <w:tab/>
      </w:r>
      <w:r w:rsidRPr="008D1B92">
        <w:rPr>
          <w:rFonts w:hint="cs"/>
          <w:spacing w:val="0"/>
          <w:kern w:val="0"/>
          <w:sz w:val="20"/>
          <w:rtl/>
        </w:rPr>
        <w:tab/>
      </w:r>
      <w:r w:rsidRPr="008D1B92">
        <w:rPr>
          <w:rFonts w:hint="eastAsia"/>
          <w:spacing w:val="0"/>
          <w:kern w:val="0"/>
          <w:sz w:val="20"/>
          <w:rtl/>
        </w:rPr>
        <w:t>ملاحظات</w:t>
      </w:r>
      <w:r w:rsidRPr="008D1B92">
        <w:rPr>
          <w:spacing w:val="0"/>
          <w:kern w:val="0"/>
          <w:sz w:val="20"/>
          <w:rtl/>
        </w:rPr>
        <w:t xml:space="preserve"> الدولة الطرف</w:t>
      </w:r>
      <w:r w:rsidRPr="008D1B92">
        <w:rPr>
          <w:rFonts w:hint="cs"/>
          <w:spacing w:val="0"/>
          <w:kern w:val="0"/>
          <w:sz w:val="20"/>
          <w:rtl/>
        </w:rPr>
        <w:t xml:space="preserve"> بشأن المقبولية والأسس الموضوعية</w:t>
      </w:r>
    </w:p>
    <w:p w:rsidR="008D1B92" w:rsidRPr="008D1B92" w:rsidRDefault="008D1B92" w:rsidP="008D1B92">
      <w:pPr>
        <w:pStyle w:val="SingleTxtGA"/>
        <w:jc w:val="lowKashida"/>
        <w:rPr>
          <w:rFonts w:hint="cs"/>
          <w:spacing w:val="0"/>
          <w:kern w:val="0"/>
          <w:sz w:val="20"/>
          <w:rtl/>
          <w:lang w:val="en-CA"/>
        </w:rPr>
      </w:pPr>
      <w:r w:rsidRPr="008D1B92">
        <w:rPr>
          <w:rFonts w:hint="cs"/>
          <w:spacing w:val="0"/>
          <w:kern w:val="0"/>
          <w:sz w:val="20"/>
          <w:rtl/>
          <w:lang w:val="en-CA"/>
        </w:rPr>
        <w:t>4-1</w:t>
      </w:r>
      <w:r w:rsidRPr="008D1B92">
        <w:rPr>
          <w:rFonts w:hint="cs"/>
          <w:spacing w:val="0"/>
          <w:kern w:val="0"/>
          <w:sz w:val="20"/>
          <w:rtl/>
          <w:lang w:val="en-CA"/>
        </w:rPr>
        <w:tab/>
      </w:r>
      <w:r w:rsidRPr="008D1B92">
        <w:rPr>
          <w:spacing w:val="0"/>
          <w:kern w:val="0"/>
          <w:sz w:val="20"/>
          <w:rtl/>
          <w:lang w:val="en-CA"/>
        </w:rPr>
        <w:t xml:space="preserve">في </w:t>
      </w:r>
      <w:r w:rsidRPr="008D1B92">
        <w:rPr>
          <w:rFonts w:hint="cs"/>
          <w:spacing w:val="0"/>
          <w:kern w:val="0"/>
          <w:sz w:val="20"/>
          <w:rtl/>
          <w:lang w:val="en-CA"/>
        </w:rPr>
        <w:t>24</w:t>
      </w:r>
      <w:r w:rsidRPr="008D1B92">
        <w:rPr>
          <w:spacing w:val="0"/>
          <w:kern w:val="0"/>
          <w:sz w:val="20"/>
          <w:rtl/>
          <w:lang w:val="en-CA"/>
        </w:rPr>
        <w:t xml:space="preserve"> </w:t>
      </w:r>
      <w:r w:rsidRPr="008D1B92">
        <w:rPr>
          <w:rFonts w:hint="cs"/>
          <w:spacing w:val="0"/>
          <w:kern w:val="0"/>
          <w:sz w:val="20"/>
          <w:rtl/>
          <w:lang w:val="en-CA"/>
        </w:rPr>
        <w:t>تموز</w:t>
      </w:r>
      <w:r w:rsidRPr="008D1B92">
        <w:rPr>
          <w:spacing w:val="0"/>
          <w:kern w:val="0"/>
          <w:sz w:val="20"/>
          <w:rtl/>
          <w:lang w:val="en-CA"/>
        </w:rPr>
        <w:t>/</w:t>
      </w:r>
      <w:r w:rsidRPr="008D1B92">
        <w:rPr>
          <w:rFonts w:hint="cs"/>
          <w:spacing w:val="0"/>
          <w:kern w:val="0"/>
          <w:sz w:val="20"/>
          <w:rtl/>
          <w:lang w:val="en-CA"/>
        </w:rPr>
        <w:t>يوليه</w:t>
      </w:r>
      <w:r w:rsidRPr="008D1B92">
        <w:rPr>
          <w:spacing w:val="0"/>
          <w:kern w:val="0"/>
          <w:sz w:val="20"/>
          <w:rtl/>
          <w:lang w:val="en-CA"/>
        </w:rPr>
        <w:t xml:space="preserve"> 2009، </w:t>
      </w:r>
      <w:r w:rsidRPr="008D1B92">
        <w:rPr>
          <w:rFonts w:hint="cs"/>
          <w:spacing w:val="0"/>
          <w:kern w:val="0"/>
          <w:sz w:val="20"/>
          <w:rtl/>
          <w:lang w:val="en-CA"/>
        </w:rPr>
        <w:t>قدمت الدولة الطرف</w:t>
      </w:r>
      <w:r w:rsidRPr="008D1B92">
        <w:rPr>
          <w:spacing w:val="0"/>
          <w:kern w:val="0"/>
          <w:sz w:val="20"/>
          <w:rtl/>
          <w:lang w:val="en-CA"/>
        </w:rPr>
        <w:t xml:space="preserve"> ملاحظاتها بشأن </w:t>
      </w:r>
      <w:r w:rsidRPr="008D1B92">
        <w:rPr>
          <w:rFonts w:hint="cs"/>
          <w:spacing w:val="0"/>
          <w:kern w:val="0"/>
          <w:sz w:val="20"/>
          <w:rtl/>
          <w:lang w:val="en-CA"/>
        </w:rPr>
        <w:t>ال</w:t>
      </w:r>
      <w:r w:rsidRPr="008D1B92">
        <w:rPr>
          <w:spacing w:val="0"/>
          <w:kern w:val="0"/>
          <w:sz w:val="20"/>
          <w:rtl/>
          <w:lang w:val="en-CA"/>
        </w:rPr>
        <w:t>مقبولية و</w:t>
      </w:r>
      <w:r w:rsidRPr="008D1B92">
        <w:rPr>
          <w:rFonts w:hint="cs"/>
          <w:spacing w:val="0"/>
          <w:kern w:val="0"/>
          <w:sz w:val="20"/>
          <w:rtl/>
          <w:lang w:val="en-CA"/>
        </w:rPr>
        <w:t>ال</w:t>
      </w:r>
      <w:r w:rsidRPr="008D1B92">
        <w:rPr>
          <w:spacing w:val="0"/>
          <w:kern w:val="0"/>
          <w:sz w:val="20"/>
          <w:rtl/>
          <w:lang w:val="en-CA"/>
        </w:rPr>
        <w:t xml:space="preserve">أسس الموضوعية. </w:t>
      </w:r>
      <w:r w:rsidRPr="008D1B92">
        <w:rPr>
          <w:rFonts w:hint="cs"/>
          <w:spacing w:val="0"/>
          <w:kern w:val="0"/>
          <w:sz w:val="20"/>
          <w:rtl/>
          <w:lang w:val="en-CA"/>
        </w:rPr>
        <w:t>وترى الدولة الطرف</w:t>
      </w:r>
      <w:r w:rsidRPr="008D1B92">
        <w:rPr>
          <w:spacing w:val="0"/>
          <w:kern w:val="0"/>
          <w:sz w:val="20"/>
          <w:rtl/>
          <w:lang w:val="en-CA"/>
        </w:rPr>
        <w:t xml:space="preserve"> </w:t>
      </w:r>
      <w:r w:rsidRPr="008D1B92">
        <w:rPr>
          <w:rFonts w:hint="cs"/>
          <w:spacing w:val="0"/>
          <w:kern w:val="0"/>
          <w:sz w:val="20"/>
          <w:rtl/>
          <w:lang w:val="en-CA"/>
        </w:rPr>
        <w:t>أن الشكوى لا تتسق مع أحكام الاتفاقية لأن المخاطر المزعومة لا تشكل تعذيباً لأغراض المقبولية بموجب الفقرة 2 من المادة 22 من الاتفاقية. وتدفع الدولة الطرف كذلك بأن الشكوى ليست مدعومة بالأدلة الكافية لأنها تستند إلى مجرد افتراضات ولا تتضمن أي دليل يثبت الخطر الشخصي بالتعرض للتعذيب في حالة ترحيل صاحب الشكوى. وفي المقابل</w:t>
      </w:r>
      <w:r w:rsidRPr="008D1B92">
        <w:rPr>
          <w:spacing w:val="0"/>
          <w:kern w:val="0"/>
          <w:sz w:val="20"/>
          <w:rtl/>
          <w:lang w:val="en-CA"/>
        </w:rPr>
        <w:t xml:space="preserve">، ترى الدولة الطرف أنه ينبغي رفض الشكوى </w:t>
      </w:r>
      <w:r w:rsidRPr="008D1B92">
        <w:rPr>
          <w:rFonts w:hint="cs"/>
          <w:spacing w:val="0"/>
          <w:kern w:val="0"/>
          <w:sz w:val="20"/>
          <w:rtl/>
          <w:lang w:val="en-CA"/>
        </w:rPr>
        <w:t xml:space="preserve">من حيث </w:t>
      </w:r>
      <w:r w:rsidRPr="008D1B92">
        <w:rPr>
          <w:spacing w:val="0"/>
          <w:kern w:val="0"/>
          <w:sz w:val="20"/>
          <w:rtl/>
          <w:lang w:val="en-CA"/>
        </w:rPr>
        <w:t xml:space="preserve">الأسس الموضوعية لأنه لا يوجد سبب </w:t>
      </w:r>
      <w:r w:rsidRPr="008D1B92">
        <w:rPr>
          <w:rFonts w:hint="cs"/>
          <w:spacing w:val="0"/>
          <w:kern w:val="0"/>
          <w:sz w:val="20"/>
          <w:rtl/>
          <w:lang w:val="en-CA"/>
        </w:rPr>
        <w:t>حقيقي</w:t>
      </w:r>
      <w:r w:rsidRPr="008D1B92">
        <w:rPr>
          <w:spacing w:val="0"/>
          <w:kern w:val="0"/>
          <w:sz w:val="20"/>
          <w:rtl/>
          <w:lang w:val="en-CA"/>
        </w:rPr>
        <w:t xml:space="preserve"> </w:t>
      </w:r>
      <w:r w:rsidRPr="008D1B92">
        <w:rPr>
          <w:rFonts w:hint="cs"/>
          <w:spacing w:val="0"/>
          <w:kern w:val="0"/>
          <w:sz w:val="20"/>
          <w:rtl/>
          <w:lang w:val="en-CA"/>
        </w:rPr>
        <w:t>يدعو إلى ا</w:t>
      </w:r>
      <w:r w:rsidRPr="008D1B92">
        <w:rPr>
          <w:spacing w:val="0"/>
          <w:kern w:val="0"/>
          <w:sz w:val="20"/>
          <w:rtl/>
          <w:lang w:val="en-CA"/>
        </w:rPr>
        <w:t xml:space="preserve">لاعتقاد </w:t>
      </w:r>
      <w:r w:rsidRPr="008D1B92">
        <w:rPr>
          <w:rFonts w:hint="cs"/>
          <w:spacing w:val="0"/>
          <w:kern w:val="0"/>
          <w:sz w:val="20"/>
          <w:rtl/>
          <w:lang w:val="en-CA"/>
        </w:rPr>
        <w:t>ب</w:t>
      </w:r>
      <w:r w:rsidRPr="008D1B92">
        <w:rPr>
          <w:spacing w:val="0"/>
          <w:kern w:val="0"/>
          <w:sz w:val="20"/>
          <w:rtl/>
          <w:lang w:val="en-CA"/>
        </w:rPr>
        <w:t xml:space="preserve">أن </w:t>
      </w:r>
      <w:r w:rsidRPr="008D1B92">
        <w:rPr>
          <w:rFonts w:hint="cs"/>
          <w:spacing w:val="0"/>
          <w:kern w:val="0"/>
          <w:sz w:val="20"/>
          <w:rtl/>
          <w:lang w:val="en-CA"/>
        </w:rPr>
        <w:t>ترحيل صاحب الشكوى</w:t>
      </w:r>
      <w:r w:rsidRPr="008D1B92">
        <w:rPr>
          <w:spacing w:val="0"/>
          <w:kern w:val="0"/>
          <w:sz w:val="20"/>
          <w:rtl/>
          <w:lang w:val="en-CA"/>
        </w:rPr>
        <w:t xml:space="preserve"> إلى هايتي سيعرضه شخصيا</w:t>
      </w:r>
      <w:r w:rsidRPr="008D1B92">
        <w:rPr>
          <w:rFonts w:hint="cs"/>
          <w:spacing w:val="0"/>
          <w:kern w:val="0"/>
          <w:sz w:val="20"/>
          <w:rtl/>
          <w:lang w:val="en-CA"/>
        </w:rPr>
        <w:t>ً</w:t>
      </w:r>
      <w:r w:rsidRPr="008D1B92">
        <w:rPr>
          <w:spacing w:val="0"/>
          <w:kern w:val="0"/>
          <w:sz w:val="20"/>
          <w:rtl/>
          <w:lang w:val="en-CA"/>
        </w:rPr>
        <w:t xml:space="preserve"> لخطر حقيقي وشيك </w:t>
      </w:r>
      <w:r w:rsidRPr="008D1B92">
        <w:rPr>
          <w:rFonts w:hint="cs"/>
          <w:spacing w:val="0"/>
          <w:kern w:val="0"/>
          <w:sz w:val="20"/>
          <w:rtl/>
          <w:lang w:val="en-CA"/>
        </w:rPr>
        <w:t>با</w:t>
      </w:r>
      <w:r w:rsidRPr="008D1B92">
        <w:rPr>
          <w:spacing w:val="0"/>
          <w:kern w:val="0"/>
          <w:sz w:val="20"/>
          <w:rtl/>
          <w:lang w:val="en-CA"/>
        </w:rPr>
        <w:t>لتعذيب.</w:t>
      </w:r>
    </w:p>
    <w:p w:rsidR="008D1B92" w:rsidRPr="008D1B92" w:rsidRDefault="008D1B92" w:rsidP="00CA2D0E">
      <w:pPr>
        <w:pStyle w:val="SingleTxtGA"/>
        <w:spacing w:line="360" w:lineRule="exact"/>
        <w:jc w:val="lowKashida"/>
        <w:rPr>
          <w:rFonts w:hint="cs"/>
          <w:spacing w:val="0"/>
          <w:kern w:val="0"/>
          <w:sz w:val="20"/>
          <w:rtl/>
          <w:lang w:val="en-CA"/>
        </w:rPr>
      </w:pPr>
      <w:r w:rsidRPr="00CA2D0E">
        <w:rPr>
          <w:rFonts w:hint="cs"/>
          <w:spacing w:val="-2"/>
          <w:kern w:val="0"/>
          <w:sz w:val="20"/>
          <w:rtl/>
          <w:lang w:val="en-CA"/>
        </w:rPr>
        <w:t>4-2</w:t>
      </w:r>
      <w:r w:rsidRPr="00CA2D0E">
        <w:rPr>
          <w:rFonts w:hint="cs"/>
          <w:spacing w:val="-2"/>
          <w:kern w:val="0"/>
          <w:sz w:val="20"/>
          <w:rtl/>
          <w:lang w:val="en-CA"/>
        </w:rPr>
        <w:tab/>
        <w:t xml:space="preserve">وتشير الدولة الطرف إلى </w:t>
      </w:r>
      <w:r w:rsidRPr="00CA2D0E">
        <w:rPr>
          <w:spacing w:val="-2"/>
          <w:kern w:val="0"/>
          <w:sz w:val="20"/>
          <w:rtl/>
          <w:lang w:val="en-CA"/>
        </w:rPr>
        <w:t xml:space="preserve">أن جميع </w:t>
      </w:r>
      <w:r w:rsidRPr="00CA2D0E">
        <w:rPr>
          <w:rFonts w:hint="cs"/>
          <w:spacing w:val="-2"/>
          <w:kern w:val="0"/>
          <w:sz w:val="20"/>
          <w:rtl/>
          <w:lang w:val="en-CA"/>
        </w:rPr>
        <w:t>الادعاءات</w:t>
      </w:r>
      <w:r w:rsidRPr="00CA2D0E">
        <w:rPr>
          <w:spacing w:val="-2"/>
          <w:kern w:val="0"/>
          <w:sz w:val="20"/>
          <w:rtl/>
          <w:lang w:val="en-CA"/>
        </w:rPr>
        <w:t xml:space="preserve"> التي </w:t>
      </w:r>
      <w:r w:rsidRPr="00CA2D0E">
        <w:rPr>
          <w:rFonts w:hint="cs"/>
          <w:spacing w:val="-2"/>
          <w:kern w:val="0"/>
          <w:sz w:val="20"/>
          <w:rtl/>
          <w:lang w:val="en-CA"/>
        </w:rPr>
        <w:t>قدمها</w:t>
      </w:r>
      <w:r w:rsidRPr="00CA2D0E">
        <w:rPr>
          <w:spacing w:val="-2"/>
          <w:kern w:val="0"/>
          <w:sz w:val="20"/>
          <w:rtl/>
          <w:lang w:val="en-CA"/>
        </w:rPr>
        <w:t xml:space="preserve"> </w:t>
      </w:r>
      <w:r w:rsidRPr="00CA2D0E">
        <w:rPr>
          <w:rFonts w:hint="cs"/>
          <w:spacing w:val="-2"/>
          <w:kern w:val="0"/>
          <w:sz w:val="20"/>
          <w:rtl/>
          <w:lang w:val="en-CA"/>
        </w:rPr>
        <w:t>صاحب الشكوى</w:t>
      </w:r>
      <w:r w:rsidRPr="00CA2D0E">
        <w:rPr>
          <w:spacing w:val="-2"/>
          <w:kern w:val="0"/>
          <w:sz w:val="20"/>
          <w:rtl/>
          <w:lang w:val="en-CA"/>
        </w:rPr>
        <w:t xml:space="preserve"> في </w:t>
      </w:r>
      <w:r w:rsidRPr="00CA2D0E">
        <w:rPr>
          <w:rFonts w:hint="cs"/>
          <w:spacing w:val="-2"/>
          <w:kern w:val="0"/>
          <w:sz w:val="20"/>
          <w:rtl/>
          <w:lang w:val="en-CA"/>
        </w:rPr>
        <w:t>بلاغه</w:t>
      </w:r>
      <w:r w:rsidRPr="00CA2D0E">
        <w:rPr>
          <w:spacing w:val="-2"/>
          <w:kern w:val="0"/>
          <w:sz w:val="20"/>
          <w:rtl/>
          <w:lang w:val="en-CA"/>
        </w:rPr>
        <w:t xml:space="preserve"> </w:t>
      </w:r>
      <w:r w:rsidRPr="00CA2D0E">
        <w:rPr>
          <w:rFonts w:hint="cs"/>
          <w:spacing w:val="-2"/>
          <w:kern w:val="0"/>
          <w:sz w:val="20"/>
          <w:rtl/>
          <w:lang w:val="en-CA"/>
        </w:rPr>
        <w:t>المقدم إلى ال</w:t>
      </w:r>
      <w:r w:rsidRPr="00CA2D0E">
        <w:rPr>
          <w:spacing w:val="-2"/>
          <w:kern w:val="0"/>
          <w:sz w:val="20"/>
          <w:rtl/>
          <w:lang w:val="en-CA"/>
        </w:rPr>
        <w:t xml:space="preserve">لجنة </w:t>
      </w:r>
      <w:r w:rsidRPr="00CA2D0E">
        <w:rPr>
          <w:rFonts w:hint="cs"/>
          <w:spacing w:val="-2"/>
          <w:kern w:val="0"/>
          <w:sz w:val="20"/>
          <w:rtl/>
          <w:lang w:val="en-CA"/>
        </w:rPr>
        <w:t xml:space="preserve">خضعت لتقييمات متعمقة </w:t>
      </w:r>
      <w:r w:rsidRPr="00CA2D0E">
        <w:rPr>
          <w:spacing w:val="-2"/>
          <w:kern w:val="0"/>
          <w:sz w:val="20"/>
          <w:rtl/>
          <w:lang w:val="en-CA"/>
        </w:rPr>
        <w:t xml:space="preserve">من جانب السلطات الكندية </w:t>
      </w:r>
      <w:r w:rsidRPr="00CA2D0E">
        <w:rPr>
          <w:rFonts w:hint="cs"/>
          <w:spacing w:val="-2"/>
          <w:kern w:val="0"/>
          <w:sz w:val="20"/>
          <w:rtl/>
          <w:lang w:val="en-CA"/>
        </w:rPr>
        <w:t xml:space="preserve">التي خلصت </w:t>
      </w:r>
      <w:r w:rsidRPr="00CA2D0E">
        <w:rPr>
          <w:spacing w:val="-2"/>
          <w:kern w:val="0"/>
          <w:sz w:val="20"/>
          <w:rtl/>
          <w:lang w:val="en-CA"/>
        </w:rPr>
        <w:t>دائما</w:t>
      </w:r>
      <w:r w:rsidRPr="00CA2D0E">
        <w:rPr>
          <w:rFonts w:hint="cs"/>
          <w:spacing w:val="-2"/>
          <w:kern w:val="0"/>
          <w:sz w:val="20"/>
          <w:rtl/>
          <w:lang w:val="en-CA"/>
        </w:rPr>
        <w:t>ً إلى</w:t>
      </w:r>
      <w:r w:rsidRPr="00CA2D0E">
        <w:rPr>
          <w:spacing w:val="-2"/>
          <w:kern w:val="0"/>
          <w:sz w:val="20"/>
          <w:rtl/>
          <w:lang w:val="en-CA"/>
        </w:rPr>
        <w:t xml:space="preserve"> أن</w:t>
      </w:r>
      <w:r w:rsidRPr="00CA2D0E">
        <w:rPr>
          <w:rFonts w:hint="cs"/>
          <w:spacing w:val="-2"/>
          <w:kern w:val="0"/>
          <w:sz w:val="20"/>
          <w:rtl/>
          <w:lang w:val="en-CA"/>
        </w:rPr>
        <w:t>ه</w:t>
      </w:r>
      <w:r w:rsidRPr="00CA2D0E">
        <w:rPr>
          <w:spacing w:val="-2"/>
          <w:kern w:val="0"/>
          <w:sz w:val="20"/>
          <w:rtl/>
          <w:lang w:val="en-CA"/>
        </w:rPr>
        <w:t xml:space="preserve"> لا </w:t>
      </w:r>
      <w:r w:rsidRPr="00CA2D0E">
        <w:rPr>
          <w:rFonts w:hint="cs"/>
          <w:spacing w:val="-2"/>
          <w:kern w:val="0"/>
          <w:sz w:val="20"/>
          <w:rtl/>
          <w:lang w:val="en-CA"/>
        </w:rPr>
        <w:t xml:space="preserve">يوجد </w:t>
      </w:r>
      <w:r w:rsidRPr="00CA2D0E">
        <w:rPr>
          <w:spacing w:val="-2"/>
          <w:kern w:val="0"/>
          <w:sz w:val="20"/>
          <w:rtl/>
          <w:lang w:val="en-CA"/>
        </w:rPr>
        <w:t xml:space="preserve">أساس </w:t>
      </w:r>
      <w:r w:rsidRPr="00CA2D0E">
        <w:rPr>
          <w:rFonts w:hint="cs"/>
          <w:spacing w:val="-2"/>
          <w:kern w:val="0"/>
          <w:sz w:val="20"/>
          <w:rtl/>
          <w:lang w:val="en-CA"/>
        </w:rPr>
        <w:t>ل</w:t>
      </w:r>
      <w:r w:rsidRPr="00CA2D0E">
        <w:rPr>
          <w:spacing w:val="-2"/>
          <w:kern w:val="0"/>
          <w:sz w:val="20"/>
          <w:rtl/>
          <w:lang w:val="en-CA"/>
        </w:rPr>
        <w:t xml:space="preserve">هذه </w:t>
      </w:r>
      <w:r w:rsidRPr="00CA2D0E">
        <w:rPr>
          <w:rFonts w:hint="cs"/>
          <w:spacing w:val="-2"/>
          <w:kern w:val="0"/>
          <w:sz w:val="20"/>
          <w:rtl/>
          <w:lang w:val="en-CA"/>
        </w:rPr>
        <w:t>الادعاءات</w:t>
      </w:r>
      <w:r w:rsidRPr="00CA2D0E">
        <w:rPr>
          <w:spacing w:val="-2"/>
          <w:kern w:val="0"/>
          <w:sz w:val="20"/>
          <w:rtl/>
          <w:lang w:val="en-CA"/>
        </w:rPr>
        <w:t xml:space="preserve">. </w:t>
      </w:r>
      <w:r w:rsidRPr="00CA2D0E">
        <w:rPr>
          <w:rFonts w:hint="cs"/>
          <w:spacing w:val="-2"/>
          <w:kern w:val="0"/>
          <w:sz w:val="20"/>
          <w:rtl/>
          <w:lang w:val="en-CA"/>
        </w:rPr>
        <w:t>وتشير</w:t>
      </w:r>
      <w:r w:rsidRPr="00CA2D0E">
        <w:rPr>
          <w:spacing w:val="-2"/>
          <w:kern w:val="0"/>
          <w:sz w:val="20"/>
          <w:rtl/>
          <w:lang w:val="en-CA"/>
        </w:rPr>
        <w:t xml:space="preserve"> الدولة الطرف </w:t>
      </w:r>
      <w:r w:rsidRPr="00CA2D0E">
        <w:rPr>
          <w:rFonts w:hint="cs"/>
          <w:spacing w:val="-2"/>
          <w:kern w:val="0"/>
          <w:sz w:val="20"/>
          <w:rtl/>
          <w:lang w:val="en-CA"/>
        </w:rPr>
        <w:t xml:space="preserve">إلى أن صاحب الشكوى أدين في </w:t>
      </w:r>
      <w:r w:rsidRPr="00CA2D0E">
        <w:rPr>
          <w:spacing w:val="-2"/>
          <w:kern w:val="0"/>
          <w:sz w:val="20"/>
          <w:rtl/>
          <w:lang w:val="en-CA"/>
        </w:rPr>
        <w:t xml:space="preserve">1 </w:t>
      </w:r>
      <w:r w:rsidRPr="00CA2D0E">
        <w:rPr>
          <w:rFonts w:hint="cs"/>
          <w:spacing w:val="-2"/>
          <w:kern w:val="0"/>
          <w:sz w:val="20"/>
          <w:rtl/>
          <w:lang w:val="en-CA"/>
        </w:rPr>
        <w:t>أيار/</w:t>
      </w:r>
      <w:r w:rsidRPr="00CA2D0E">
        <w:rPr>
          <w:spacing w:val="-2"/>
          <w:kern w:val="0"/>
          <w:sz w:val="20"/>
          <w:rtl/>
          <w:lang w:val="en-CA"/>
        </w:rPr>
        <w:t>مايو 2007</w:t>
      </w:r>
      <w:r w:rsidRPr="00CA2D0E">
        <w:rPr>
          <w:rFonts w:hint="cs"/>
          <w:spacing w:val="-2"/>
          <w:kern w:val="0"/>
          <w:sz w:val="20"/>
          <w:rtl/>
          <w:lang w:val="en-CA"/>
        </w:rPr>
        <w:t xml:space="preserve">، بعد حصوله على وضع المقيم إقامة دائمة، لاستيراده </w:t>
      </w:r>
      <w:r w:rsidRPr="00CA2D0E">
        <w:rPr>
          <w:spacing w:val="-2"/>
          <w:kern w:val="0"/>
          <w:sz w:val="20"/>
          <w:rtl/>
          <w:lang w:val="en-CA"/>
        </w:rPr>
        <w:t xml:space="preserve">مخدرات </w:t>
      </w:r>
      <w:r w:rsidR="00CA2D0E">
        <w:rPr>
          <w:rFonts w:hint="cs"/>
          <w:spacing w:val="-2"/>
          <w:kern w:val="0"/>
          <w:sz w:val="20"/>
          <w:rtl/>
          <w:lang w:val="en-CA"/>
        </w:rPr>
        <w:t>-</w:t>
      </w:r>
      <w:r w:rsidRPr="00CA2D0E">
        <w:rPr>
          <w:rFonts w:hint="cs"/>
          <w:spacing w:val="-2"/>
          <w:kern w:val="0"/>
          <w:sz w:val="20"/>
          <w:rtl/>
          <w:lang w:val="en-CA"/>
        </w:rPr>
        <w:t xml:space="preserve"> </w:t>
      </w:r>
      <w:r w:rsidRPr="00CA2D0E">
        <w:rPr>
          <w:spacing w:val="-2"/>
          <w:kern w:val="0"/>
          <w:sz w:val="20"/>
          <w:rtl/>
          <w:lang w:val="en-CA"/>
        </w:rPr>
        <w:t>1.9 ك</w:t>
      </w:r>
      <w:r w:rsidRPr="00CA2D0E">
        <w:rPr>
          <w:rFonts w:hint="cs"/>
          <w:spacing w:val="-2"/>
          <w:kern w:val="0"/>
          <w:sz w:val="20"/>
          <w:rtl/>
          <w:lang w:val="en-CA"/>
        </w:rPr>
        <w:t>غ</w:t>
      </w:r>
      <w:r w:rsidRPr="00CA2D0E">
        <w:rPr>
          <w:spacing w:val="-2"/>
          <w:kern w:val="0"/>
          <w:sz w:val="20"/>
          <w:rtl/>
          <w:lang w:val="en-CA"/>
        </w:rPr>
        <w:t>م من الكوكايين</w:t>
      </w:r>
      <w:r w:rsidRPr="00CA2D0E">
        <w:rPr>
          <w:rFonts w:hint="cs"/>
          <w:spacing w:val="-2"/>
          <w:kern w:val="0"/>
          <w:sz w:val="20"/>
          <w:rtl/>
          <w:lang w:val="en-CA"/>
        </w:rPr>
        <w:t xml:space="preserve"> </w:t>
      </w:r>
      <w:r w:rsidR="00CA2D0E">
        <w:rPr>
          <w:rFonts w:hint="cs"/>
          <w:spacing w:val="-2"/>
          <w:kern w:val="0"/>
          <w:sz w:val="20"/>
          <w:rtl/>
          <w:lang w:val="en-CA"/>
        </w:rPr>
        <w:t>-</w:t>
      </w:r>
      <w:r w:rsidRPr="00CA2D0E">
        <w:rPr>
          <w:rFonts w:hint="cs"/>
          <w:spacing w:val="-2"/>
          <w:kern w:val="0"/>
          <w:sz w:val="20"/>
          <w:rtl/>
          <w:lang w:val="en-CA"/>
        </w:rPr>
        <w:t xml:space="preserve"> وحيازتها ب</w:t>
      </w:r>
      <w:r w:rsidRPr="00CA2D0E">
        <w:rPr>
          <w:spacing w:val="-2"/>
          <w:kern w:val="0"/>
          <w:sz w:val="20"/>
          <w:rtl/>
          <w:lang w:val="en-CA"/>
        </w:rPr>
        <w:t>غرض الاتجار</w:t>
      </w:r>
      <w:r w:rsidRPr="00CA2D0E">
        <w:rPr>
          <w:rFonts w:hint="cs"/>
          <w:spacing w:val="-2"/>
          <w:kern w:val="0"/>
          <w:sz w:val="20"/>
          <w:rtl/>
          <w:lang w:val="en-CA"/>
        </w:rPr>
        <w:t xml:space="preserve"> بها</w:t>
      </w:r>
      <w:r w:rsidRPr="00CA2D0E">
        <w:rPr>
          <w:spacing w:val="-2"/>
          <w:kern w:val="0"/>
          <w:sz w:val="20"/>
          <w:rtl/>
          <w:lang w:val="en-CA"/>
        </w:rPr>
        <w:t xml:space="preserve">. وحكم عليه في 29 </w:t>
      </w:r>
      <w:r w:rsidRPr="00CA2D0E">
        <w:rPr>
          <w:rFonts w:hint="cs"/>
          <w:spacing w:val="-2"/>
          <w:kern w:val="0"/>
          <w:sz w:val="20"/>
          <w:rtl/>
          <w:lang w:val="en-CA"/>
        </w:rPr>
        <w:t>حزيران/</w:t>
      </w:r>
      <w:r w:rsidRPr="00CA2D0E">
        <w:rPr>
          <w:spacing w:val="-2"/>
          <w:kern w:val="0"/>
          <w:sz w:val="20"/>
          <w:rtl/>
          <w:lang w:val="en-CA"/>
        </w:rPr>
        <w:t>يوني</w:t>
      </w:r>
      <w:r w:rsidRPr="00CA2D0E">
        <w:rPr>
          <w:rFonts w:hint="cs"/>
          <w:spacing w:val="-2"/>
          <w:kern w:val="0"/>
          <w:sz w:val="20"/>
          <w:rtl/>
          <w:lang w:val="en-CA"/>
        </w:rPr>
        <w:t>ه</w:t>
      </w:r>
      <w:r w:rsidRPr="00CA2D0E">
        <w:rPr>
          <w:spacing w:val="-2"/>
          <w:kern w:val="0"/>
          <w:sz w:val="20"/>
          <w:rtl/>
          <w:lang w:val="en-CA"/>
        </w:rPr>
        <w:t xml:space="preserve"> 2007</w:t>
      </w:r>
      <w:r w:rsidRPr="00CA2D0E">
        <w:rPr>
          <w:rFonts w:hint="cs"/>
          <w:spacing w:val="-2"/>
          <w:kern w:val="0"/>
          <w:sz w:val="20"/>
          <w:rtl/>
          <w:lang w:val="en-CA"/>
        </w:rPr>
        <w:t xml:space="preserve"> </w:t>
      </w:r>
      <w:r w:rsidRPr="00CA2D0E">
        <w:rPr>
          <w:spacing w:val="-2"/>
          <w:kern w:val="0"/>
          <w:sz w:val="20"/>
          <w:rtl/>
          <w:lang w:val="en-CA"/>
        </w:rPr>
        <w:t>بالسجن لمدة 31 شهرا</w:t>
      </w:r>
      <w:r w:rsidRPr="00CA2D0E">
        <w:rPr>
          <w:rFonts w:hint="cs"/>
          <w:spacing w:val="-2"/>
          <w:kern w:val="0"/>
          <w:sz w:val="20"/>
          <w:rtl/>
          <w:lang w:val="en-CA"/>
        </w:rPr>
        <w:t>ً</w:t>
      </w:r>
      <w:r w:rsidRPr="00CA2D0E">
        <w:rPr>
          <w:spacing w:val="-2"/>
          <w:kern w:val="0"/>
          <w:sz w:val="20"/>
          <w:rtl/>
          <w:lang w:val="en-CA"/>
        </w:rPr>
        <w:t>. ونظرا</w:t>
      </w:r>
      <w:r w:rsidRPr="00CA2D0E">
        <w:rPr>
          <w:rFonts w:hint="cs"/>
          <w:spacing w:val="-2"/>
          <w:kern w:val="0"/>
          <w:sz w:val="20"/>
          <w:rtl/>
          <w:lang w:val="en-CA"/>
        </w:rPr>
        <w:t>ً</w:t>
      </w:r>
      <w:r w:rsidRPr="00CA2D0E">
        <w:rPr>
          <w:spacing w:val="-2"/>
          <w:kern w:val="0"/>
          <w:sz w:val="20"/>
          <w:rtl/>
          <w:lang w:val="en-CA"/>
        </w:rPr>
        <w:t xml:space="preserve"> لهذه </w:t>
      </w:r>
      <w:r w:rsidRPr="00CA2D0E">
        <w:rPr>
          <w:rFonts w:hint="cs"/>
          <w:spacing w:val="-2"/>
          <w:kern w:val="0"/>
          <w:sz w:val="20"/>
          <w:rtl/>
          <w:lang w:val="en-CA"/>
        </w:rPr>
        <w:t>الإدانة</w:t>
      </w:r>
      <w:r w:rsidRPr="00CA2D0E">
        <w:rPr>
          <w:spacing w:val="-2"/>
          <w:kern w:val="0"/>
          <w:sz w:val="20"/>
          <w:rtl/>
          <w:lang w:val="en-CA"/>
        </w:rPr>
        <w:t>، أصدرت وكالة الخدمات الحدودية</w:t>
      </w:r>
      <w:r w:rsidRPr="008D1B92">
        <w:rPr>
          <w:spacing w:val="0"/>
          <w:kern w:val="0"/>
          <w:sz w:val="20"/>
          <w:rtl/>
          <w:lang w:val="en-CA"/>
        </w:rPr>
        <w:t xml:space="preserve"> </w:t>
      </w:r>
      <w:r w:rsidRPr="008D1B92">
        <w:rPr>
          <w:rFonts w:hint="cs"/>
          <w:spacing w:val="0"/>
          <w:kern w:val="0"/>
          <w:sz w:val="20"/>
          <w:rtl/>
          <w:lang w:val="en-CA"/>
        </w:rPr>
        <w:t>ال</w:t>
      </w:r>
      <w:r w:rsidRPr="008D1B92">
        <w:rPr>
          <w:spacing w:val="0"/>
          <w:kern w:val="0"/>
          <w:sz w:val="20"/>
          <w:rtl/>
          <w:lang w:val="en-CA"/>
        </w:rPr>
        <w:t>كند</w:t>
      </w:r>
      <w:r w:rsidRPr="008D1B92">
        <w:rPr>
          <w:rFonts w:hint="cs"/>
          <w:spacing w:val="0"/>
          <w:kern w:val="0"/>
          <w:sz w:val="20"/>
          <w:rtl/>
          <w:lang w:val="en-CA"/>
        </w:rPr>
        <w:t>ية</w:t>
      </w:r>
      <w:r w:rsidRPr="008D1B92">
        <w:rPr>
          <w:spacing w:val="0"/>
          <w:kern w:val="0"/>
          <w:sz w:val="20"/>
          <w:rtl/>
          <w:lang w:val="en-CA"/>
        </w:rPr>
        <w:t xml:space="preserve"> </w:t>
      </w:r>
      <w:r w:rsidRPr="008D1B92">
        <w:rPr>
          <w:rFonts w:hint="cs"/>
          <w:spacing w:val="0"/>
          <w:kern w:val="0"/>
          <w:sz w:val="20"/>
          <w:rtl/>
          <w:lang w:val="en-CA"/>
        </w:rPr>
        <w:t xml:space="preserve">أمراً بعدم السماح لصاحب الشكوى بالإقامة </w:t>
      </w:r>
      <w:r w:rsidRPr="008D1B92">
        <w:rPr>
          <w:spacing w:val="0"/>
          <w:kern w:val="0"/>
          <w:sz w:val="20"/>
          <w:rtl/>
          <w:lang w:val="en-CA"/>
        </w:rPr>
        <w:t>وأح</w:t>
      </w:r>
      <w:r w:rsidRPr="008D1B92">
        <w:rPr>
          <w:rFonts w:hint="cs"/>
          <w:spacing w:val="0"/>
          <w:kern w:val="0"/>
          <w:sz w:val="20"/>
          <w:rtl/>
          <w:lang w:val="en-CA"/>
        </w:rPr>
        <w:t>ا</w:t>
      </w:r>
      <w:r w:rsidRPr="008D1B92">
        <w:rPr>
          <w:spacing w:val="0"/>
          <w:kern w:val="0"/>
          <w:sz w:val="20"/>
          <w:rtl/>
          <w:lang w:val="en-CA"/>
        </w:rPr>
        <w:t xml:space="preserve">لت قضيته إلى قسم الهجرة </w:t>
      </w:r>
      <w:r w:rsidRPr="008D1B92">
        <w:rPr>
          <w:rFonts w:hint="cs"/>
          <w:spacing w:val="0"/>
          <w:kern w:val="0"/>
          <w:sz w:val="20"/>
          <w:rtl/>
          <w:lang w:val="en-CA"/>
        </w:rPr>
        <w:t>التابع لمجلس</w:t>
      </w:r>
      <w:r w:rsidRPr="008D1B92">
        <w:rPr>
          <w:spacing w:val="0"/>
          <w:kern w:val="0"/>
          <w:sz w:val="20"/>
          <w:rtl/>
          <w:lang w:val="en-CA"/>
        </w:rPr>
        <w:t xml:space="preserve"> الهجرة واللاجئين للتحقيق فيها.</w:t>
      </w:r>
      <w:r w:rsidRPr="008D1B92">
        <w:rPr>
          <w:rFonts w:hint="cs"/>
          <w:spacing w:val="0"/>
          <w:kern w:val="0"/>
          <w:sz w:val="20"/>
          <w:rtl/>
          <w:lang w:val="en-CA"/>
        </w:rPr>
        <w:t xml:space="preserve"> وفي</w:t>
      </w:r>
      <w:r w:rsidRPr="008D1B92">
        <w:rPr>
          <w:spacing w:val="0"/>
          <w:kern w:val="0"/>
          <w:sz w:val="20"/>
          <w:rtl/>
          <w:lang w:val="en-CA"/>
        </w:rPr>
        <w:t xml:space="preserve"> 31 </w:t>
      </w:r>
      <w:r w:rsidRPr="008D1B92">
        <w:rPr>
          <w:rFonts w:hint="cs"/>
          <w:spacing w:val="0"/>
          <w:kern w:val="0"/>
          <w:sz w:val="20"/>
          <w:rtl/>
          <w:lang w:val="en-CA"/>
        </w:rPr>
        <w:t>كانون الأول/</w:t>
      </w:r>
      <w:r w:rsidRPr="008D1B92">
        <w:rPr>
          <w:spacing w:val="0"/>
          <w:kern w:val="0"/>
          <w:sz w:val="20"/>
          <w:rtl/>
          <w:lang w:val="en-CA"/>
        </w:rPr>
        <w:t xml:space="preserve">ديسمبر 2007، </w:t>
      </w:r>
      <w:r w:rsidRPr="008D1B92">
        <w:rPr>
          <w:rFonts w:hint="cs"/>
          <w:spacing w:val="0"/>
          <w:kern w:val="0"/>
          <w:sz w:val="20"/>
          <w:rtl/>
          <w:lang w:val="en-CA"/>
        </w:rPr>
        <w:t>و</w:t>
      </w:r>
      <w:r w:rsidRPr="008D1B92">
        <w:rPr>
          <w:spacing w:val="0"/>
          <w:kern w:val="0"/>
          <w:sz w:val="20"/>
          <w:rtl/>
          <w:lang w:val="en-CA"/>
        </w:rPr>
        <w:t xml:space="preserve">بعد جلسة استماع </w:t>
      </w:r>
      <w:r w:rsidRPr="008D1B92">
        <w:rPr>
          <w:rFonts w:hint="cs"/>
          <w:spacing w:val="0"/>
          <w:kern w:val="0"/>
          <w:sz w:val="20"/>
          <w:rtl/>
          <w:lang w:val="en-CA"/>
        </w:rPr>
        <w:t>سنحت فيها لصاحب الشكوى فرصة لكي يقدم ال</w:t>
      </w:r>
      <w:r w:rsidRPr="008D1B92">
        <w:rPr>
          <w:spacing w:val="0"/>
          <w:kern w:val="0"/>
          <w:sz w:val="20"/>
          <w:rtl/>
          <w:lang w:val="en-CA"/>
        </w:rPr>
        <w:t xml:space="preserve">أدلة </w:t>
      </w:r>
      <w:r w:rsidRPr="008D1B92">
        <w:rPr>
          <w:rFonts w:hint="cs"/>
          <w:spacing w:val="0"/>
          <w:kern w:val="0"/>
          <w:sz w:val="20"/>
          <w:rtl/>
          <w:lang w:val="en-CA"/>
        </w:rPr>
        <w:t>التي ي</w:t>
      </w:r>
      <w:r w:rsidRPr="008D1B92">
        <w:rPr>
          <w:spacing w:val="0"/>
          <w:kern w:val="0"/>
          <w:sz w:val="20"/>
          <w:rtl/>
          <w:lang w:val="en-CA"/>
        </w:rPr>
        <w:t xml:space="preserve">عتبرها ذات صلة، </w:t>
      </w:r>
      <w:r w:rsidRPr="008D1B92">
        <w:rPr>
          <w:rFonts w:hint="cs"/>
          <w:spacing w:val="0"/>
          <w:kern w:val="0"/>
          <w:sz w:val="20"/>
          <w:rtl/>
          <w:lang w:val="en-CA"/>
        </w:rPr>
        <w:t>خلص</w:t>
      </w:r>
      <w:r w:rsidRPr="008D1B92">
        <w:rPr>
          <w:spacing w:val="0"/>
          <w:kern w:val="0"/>
          <w:sz w:val="20"/>
          <w:rtl/>
          <w:lang w:val="en-CA"/>
        </w:rPr>
        <w:t xml:space="preserve"> </w:t>
      </w:r>
      <w:r w:rsidRPr="008D1B92">
        <w:rPr>
          <w:rFonts w:hint="cs"/>
          <w:spacing w:val="0"/>
          <w:kern w:val="0"/>
          <w:sz w:val="20"/>
          <w:rtl/>
          <w:lang w:val="en-CA"/>
        </w:rPr>
        <w:t>قسم</w:t>
      </w:r>
      <w:r w:rsidRPr="008D1B92">
        <w:rPr>
          <w:spacing w:val="0"/>
          <w:kern w:val="0"/>
          <w:sz w:val="20"/>
          <w:rtl/>
          <w:lang w:val="en-CA"/>
        </w:rPr>
        <w:t xml:space="preserve"> الهجرة </w:t>
      </w:r>
      <w:r w:rsidRPr="008D1B92">
        <w:rPr>
          <w:rFonts w:hint="cs"/>
          <w:spacing w:val="0"/>
          <w:kern w:val="0"/>
          <w:sz w:val="20"/>
          <w:rtl/>
          <w:lang w:val="en-CA"/>
        </w:rPr>
        <w:t xml:space="preserve">إلى </w:t>
      </w:r>
      <w:r w:rsidRPr="008D1B92">
        <w:rPr>
          <w:spacing w:val="0"/>
          <w:kern w:val="0"/>
          <w:sz w:val="20"/>
          <w:rtl/>
          <w:lang w:val="en-CA"/>
        </w:rPr>
        <w:t xml:space="preserve">أن </w:t>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ممنوع فعلاً من الدخول</w:t>
      </w:r>
      <w:r w:rsidRPr="008D1B92">
        <w:rPr>
          <w:spacing w:val="0"/>
          <w:kern w:val="0"/>
          <w:sz w:val="20"/>
          <w:rtl/>
          <w:lang w:val="en-CA"/>
        </w:rPr>
        <w:t xml:space="preserve"> </w:t>
      </w:r>
      <w:r w:rsidRPr="008D1B92">
        <w:rPr>
          <w:rFonts w:hint="cs"/>
          <w:spacing w:val="0"/>
          <w:kern w:val="0"/>
          <w:sz w:val="20"/>
          <w:rtl/>
          <w:lang w:val="en-CA"/>
        </w:rPr>
        <w:t>بسبب ارتكابه لجرائم خطيرة وفقاً للفقرة</w:t>
      </w:r>
      <w:r w:rsidRPr="008D1B92">
        <w:rPr>
          <w:rFonts w:hint="eastAsia"/>
          <w:spacing w:val="0"/>
          <w:kern w:val="0"/>
          <w:sz w:val="20"/>
          <w:rtl/>
          <w:lang w:val="en-CA"/>
        </w:rPr>
        <w:t> </w:t>
      </w:r>
      <w:r w:rsidRPr="008D1B92">
        <w:rPr>
          <w:rFonts w:hint="cs"/>
          <w:spacing w:val="0"/>
          <w:kern w:val="0"/>
          <w:sz w:val="20"/>
          <w:rtl/>
          <w:lang w:val="en-CA"/>
        </w:rPr>
        <w:t xml:space="preserve">1(أ) من المادة 36 من </w:t>
      </w:r>
      <w:r w:rsidRPr="008D1B92">
        <w:rPr>
          <w:spacing w:val="0"/>
          <w:kern w:val="0"/>
          <w:sz w:val="20"/>
          <w:rtl/>
          <w:lang w:val="en-CA"/>
        </w:rPr>
        <w:t>قانون الهجرة وحماية اللاجئين و</w:t>
      </w:r>
      <w:r w:rsidRPr="008D1B92">
        <w:rPr>
          <w:rFonts w:hint="cs"/>
          <w:spacing w:val="0"/>
          <w:kern w:val="0"/>
          <w:sz w:val="20"/>
          <w:rtl/>
          <w:lang w:val="en-CA"/>
        </w:rPr>
        <w:t>اتخذ قسم</w:t>
      </w:r>
      <w:r w:rsidRPr="008D1B92">
        <w:rPr>
          <w:spacing w:val="0"/>
          <w:kern w:val="0"/>
          <w:sz w:val="20"/>
          <w:rtl/>
          <w:lang w:val="en-CA"/>
        </w:rPr>
        <w:t xml:space="preserve"> الهجرة </w:t>
      </w:r>
      <w:r w:rsidRPr="008D1B92">
        <w:rPr>
          <w:rFonts w:hint="cs"/>
          <w:spacing w:val="0"/>
          <w:kern w:val="0"/>
          <w:sz w:val="20"/>
          <w:rtl/>
          <w:lang w:val="en-CA"/>
        </w:rPr>
        <w:t>قراراً بترحيله</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 xml:space="preserve">بسبب </w:t>
      </w:r>
      <w:r w:rsidRPr="008D1B92">
        <w:rPr>
          <w:rFonts w:hint="cs"/>
          <w:spacing w:val="0"/>
          <w:kern w:val="0"/>
          <w:sz w:val="20"/>
          <w:rtl/>
          <w:lang w:val="en-CA"/>
        </w:rPr>
        <w:t>قرار الترحيل هذا</w:t>
      </w:r>
      <w:r w:rsidRPr="008D1B92">
        <w:rPr>
          <w:spacing w:val="0"/>
          <w:kern w:val="0"/>
          <w:sz w:val="20"/>
          <w:rtl/>
          <w:lang w:val="en-CA"/>
        </w:rPr>
        <w:t xml:space="preserve">، فقد </w:t>
      </w:r>
      <w:r w:rsidRPr="008D1B92">
        <w:rPr>
          <w:rFonts w:hint="cs"/>
          <w:spacing w:val="0"/>
          <w:kern w:val="0"/>
          <w:sz w:val="20"/>
          <w:rtl/>
          <w:lang w:val="en-CA"/>
        </w:rPr>
        <w:t xml:space="preserve">صاحب الشكوى </w:t>
      </w:r>
      <w:r w:rsidRPr="008D1B92">
        <w:rPr>
          <w:spacing w:val="0"/>
          <w:kern w:val="0"/>
          <w:sz w:val="20"/>
          <w:rtl/>
          <w:lang w:val="en-CA"/>
        </w:rPr>
        <w:t xml:space="preserve">وضعه </w:t>
      </w:r>
      <w:r w:rsidRPr="008D1B92">
        <w:rPr>
          <w:rFonts w:hint="cs"/>
          <w:spacing w:val="0"/>
          <w:kern w:val="0"/>
          <w:sz w:val="20"/>
          <w:rtl/>
          <w:lang w:val="en-CA"/>
        </w:rPr>
        <w:t>ك</w:t>
      </w:r>
      <w:r w:rsidRPr="008D1B92">
        <w:rPr>
          <w:spacing w:val="0"/>
          <w:kern w:val="0"/>
          <w:sz w:val="20"/>
          <w:rtl/>
          <w:lang w:val="en-CA"/>
        </w:rPr>
        <w:t>مقيم دائم في كندا</w:t>
      </w:r>
      <w:r w:rsidRPr="008D1B92">
        <w:rPr>
          <w:rFonts w:hint="cs"/>
          <w:spacing w:val="0"/>
          <w:kern w:val="0"/>
          <w:sz w:val="20"/>
          <w:rtl/>
          <w:lang w:val="en-CA"/>
        </w:rPr>
        <w:t>.</w:t>
      </w:r>
    </w:p>
    <w:p w:rsidR="008D1B92" w:rsidRPr="00CA2D0E" w:rsidRDefault="008D1B92" w:rsidP="008D1B92">
      <w:pPr>
        <w:pStyle w:val="SingleTxtGA"/>
        <w:spacing w:line="360" w:lineRule="exact"/>
        <w:jc w:val="lowKashida"/>
        <w:rPr>
          <w:rFonts w:hint="cs"/>
          <w:spacing w:val="-2"/>
          <w:kern w:val="0"/>
          <w:sz w:val="20"/>
          <w:rtl/>
          <w:lang w:val="en-CA"/>
        </w:rPr>
      </w:pPr>
      <w:r w:rsidRPr="00CA2D0E">
        <w:rPr>
          <w:rFonts w:hint="cs"/>
          <w:spacing w:val="-2"/>
          <w:kern w:val="0"/>
          <w:sz w:val="20"/>
          <w:rtl/>
          <w:lang w:val="en-CA"/>
        </w:rPr>
        <w:t>4-3</w:t>
      </w:r>
      <w:r w:rsidRPr="00CA2D0E">
        <w:rPr>
          <w:rFonts w:hint="cs"/>
          <w:spacing w:val="-2"/>
          <w:kern w:val="0"/>
          <w:sz w:val="20"/>
          <w:rtl/>
          <w:lang w:val="en-CA"/>
        </w:rPr>
        <w:tab/>
        <w:t xml:space="preserve">وطلب صاحب الشكوى بعد ذلك منحه حق اللجوء إلى كندا، ورُفض الطلب في </w:t>
      </w:r>
      <w:r w:rsidRPr="00CA2D0E">
        <w:rPr>
          <w:spacing w:val="-2"/>
          <w:kern w:val="0"/>
          <w:sz w:val="20"/>
          <w:rtl/>
          <w:lang w:val="en-CA"/>
        </w:rPr>
        <w:t xml:space="preserve">9 </w:t>
      </w:r>
      <w:r w:rsidRPr="00CA2D0E">
        <w:rPr>
          <w:rFonts w:hint="cs"/>
          <w:spacing w:val="-2"/>
          <w:kern w:val="0"/>
          <w:sz w:val="20"/>
          <w:rtl/>
          <w:lang w:val="en-CA"/>
        </w:rPr>
        <w:t>كانون الثاني/</w:t>
      </w:r>
      <w:r w:rsidRPr="00CA2D0E">
        <w:rPr>
          <w:spacing w:val="-2"/>
          <w:kern w:val="0"/>
          <w:sz w:val="20"/>
          <w:rtl/>
          <w:lang w:val="en-CA"/>
        </w:rPr>
        <w:t xml:space="preserve">يناير 2008 بسبب </w:t>
      </w:r>
      <w:r w:rsidRPr="00CA2D0E">
        <w:rPr>
          <w:rFonts w:hint="cs"/>
          <w:spacing w:val="-2"/>
          <w:kern w:val="0"/>
          <w:sz w:val="20"/>
          <w:rtl/>
          <w:lang w:val="en-CA"/>
        </w:rPr>
        <w:t>عدم السماح له بالإقامة</w:t>
      </w:r>
      <w:r w:rsidRPr="00CA2D0E">
        <w:rPr>
          <w:spacing w:val="-2"/>
          <w:kern w:val="0"/>
          <w:sz w:val="20"/>
          <w:rtl/>
          <w:lang w:val="en-CA"/>
        </w:rPr>
        <w:t xml:space="preserve"> وفقا</w:t>
      </w:r>
      <w:r w:rsidRPr="00CA2D0E">
        <w:rPr>
          <w:rFonts w:hint="cs"/>
          <w:spacing w:val="-2"/>
          <w:kern w:val="0"/>
          <w:sz w:val="20"/>
          <w:rtl/>
          <w:lang w:val="en-CA"/>
        </w:rPr>
        <w:t>ً</w:t>
      </w:r>
      <w:r w:rsidRPr="00CA2D0E">
        <w:rPr>
          <w:spacing w:val="-2"/>
          <w:kern w:val="0"/>
          <w:sz w:val="20"/>
          <w:rtl/>
          <w:lang w:val="en-CA"/>
        </w:rPr>
        <w:t xml:space="preserve"> </w:t>
      </w:r>
      <w:r w:rsidRPr="00CA2D0E">
        <w:rPr>
          <w:rFonts w:hint="cs"/>
          <w:spacing w:val="-2"/>
          <w:kern w:val="0"/>
          <w:sz w:val="20"/>
          <w:rtl/>
          <w:lang w:val="en-CA"/>
        </w:rPr>
        <w:t>للفقرة 2(أ) من ا</w:t>
      </w:r>
      <w:r w:rsidRPr="00CA2D0E">
        <w:rPr>
          <w:spacing w:val="-2"/>
          <w:kern w:val="0"/>
          <w:sz w:val="20"/>
          <w:rtl/>
          <w:lang w:val="en-CA"/>
        </w:rPr>
        <w:t>لمادة 101 من قانون</w:t>
      </w:r>
      <w:r w:rsidRPr="00CA2D0E">
        <w:rPr>
          <w:rFonts w:hint="cs"/>
          <w:spacing w:val="-2"/>
          <w:kern w:val="0"/>
          <w:sz w:val="20"/>
          <w:rtl/>
          <w:lang w:val="en-CA"/>
        </w:rPr>
        <w:t> </w:t>
      </w:r>
      <w:r w:rsidRPr="00CA2D0E">
        <w:rPr>
          <w:spacing w:val="-2"/>
          <w:kern w:val="0"/>
          <w:sz w:val="20"/>
          <w:rtl/>
          <w:lang w:val="en-CA"/>
        </w:rPr>
        <w:t>الهجرة وحماية اللاجئين و</w:t>
      </w:r>
      <w:r w:rsidRPr="00CA2D0E">
        <w:rPr>
          <w:rFonts w:hint="cs"/>
          <w:spacing w:val="-2"/>
          <w:kern w:val="0"/>
          <w:sz w:val="20"/>
          <w:rtl/>
          <w:lang w:val="en-CA"/>
        </w:rPr>
        <w:t xml:space="preserve">الفقرة 2 من </w:t>
      </w:r>
      <w:r w:rsidRPr="00CA2D0E">
        <w:rPr>
          <w:spacing w:val="-2"/>
          <w:kern w:val="0"/>
          <w:sz w:val="20"/>
          <w:rtl/>
          <w:lang w:val="en-CA"/>
        </w:rPr>
        <w:t xml:space="preserve">المادة 33 من الاتفاقية </w:t>
      </w:r>
      <w:r w:rsidRPr="00CA2D0E">
        <w:rPr>
          <w:rFonts w:hint="cs"/>
          <w:spacing w:val="-2"/>
          <w:kern w:val="0"/>
          <w:sz w:val="20"/>
          <w:rtl/>
          <w:lang w:val="en-CA"/>
        </w:rPr>
        <w:t xml:space="preserve">الخاصة بوضع </w:t>
      </w:r>
      <w:r w:rsidRPr="00CA2D0E">
        <w:rPr>
          <w:spacing w:val="-2"/>
          <w:kern w:val="0"/>
          <w:sz w:val="20"/>
          <w:rtl/>
          <w:lang w:val="en-CA"/>
        </w:rPr>
        <w:t>اللاجئين لعام</w:t>
      </w:r>
      <w:r w:rsidRPr="00CA2D0E">
        <w:rPr>
          <w:rFonts w:hint="cs"/>
          <w:spacing w:val="-2"/>
          <w:kern w:val="0"/>
          <w:sz w:val="20"/>
          <w:rtl/>
          <w:lang w:val="en-CA"/>
        </w:rPr>
        <w:t> </w:t>
      </w:r>
      <w:r w:rsidRPr="00CA2D0E">
        <w:rPr>
          <w:spacing w:val="-2"/>
          <w:kern w:val="0"/>
          <w:sz w:val="20"/>
          <w:rtl/>
          <w:lang w:val="en-CA"/>
        </w:rPr>
        <w:t xml:space="preserve">1951. ورفضت طلباته </w:t>
      </w:r>
      <w:r w:rsidRPr="00CA2D0E">
        <w:rPr>
          <w:rFonts w:hint="cs"/>
          <w:spacing w:val="-2"/>
          <w:kern w:val="0"/>
          <w:sz w:val="20"/>
          <w:rtl/>
          <w:lang w:val="en-CA"/>
        </w:rPr>
        <w:t xml:space="preserve">لإجراء </w:t>
      </w:r>
      <w:r w:rsidRPr="00CA2D0E">
        <w:rPr>
          <w:spacing w:val="-2"/>
          <w:kern w:val="0"/>
          <w:sz w:val="20"/>
          <w:rtl/>
          <w:lang w:val="en-CA"/>
        </w:rPr>
        <w:t>تقييم المخاطر قبل الترحيل والإعفاء من تأشيرة الدخول و</w:t>
      </w:r>
      <w:r w:rsidRPr="00CA2D0E">
        <w:rPr>
          <w:rFonts w:hint="cs"/>
          <w:spacing w:val="-2"/>
          <w:kern w:val="0"/>
          <w:sz w:val="20"/>
          <w:rtl/>
          <w:lang w:val="en-CA"/>
        </w:rPr>
        <w:t xml:space="preserve">الحصول على </w:t>
      </w:r>
      <w:r w:rsidRPr="00CA2D0E">
        <w:rPr>
          <w:spacing w:val="-2"/>
          <w:kern w:val="0"/>
          <w:sz w:val="20"/>
          <w:rtl/>
          <w:lang w:val="en-CA"/>
        </w:rPr>
        <w:t xml:space="preserve">إقامة دائمة في كندا </w:t>
      </w:r>
      <w:r w:rsidRPr="00CA2D0E">
        <w:rPr>
          <w:rFonts w:hint="cs"/>
          <w:spacing w:val="-2"/>
          <w:kern w:val="0"/>
          <w:sz w:val="20"/>
          <w:rtl/>
          <w:lang w:val="en-CA"/>
        </w:rPr>
        <w:t>لأسباب</w:t>
      </w:r>
      <w:r w:rsidRPr="00CA2D0E">
        <w:rPr>
          <w:spacing w:val="-2"/>
          <w:kern w:val="0"/>
          <w:sz w:val="20"/>
          <w:rtl/>
          <w:lang w:val="en-CA"/>
        </w:rPr>
        <w:t xml:space="preserve"> إنسانية</w:t>
      </w:r>
      <w:r w:rsidRPr="00CA2D0E">
        <w:rPr>
          <w:rFonts w:hint="cs"/>
          <w:spacing w:val="-2"/>
          <w:kern w:val="0"/>
          <w:sz w:val="20"/>
          <w:rtl/>
          <w:lang w:val="en-CA"/>
        </w:rPr>
        <w:t xml:space="preserve"> في </w:t>
      </w:r>
      <w:r w:rsidRPr="00CA2D0E">
        <w:rPr>
          <w:spacing w:val="-2"/>
          <w:kern w:val="0"/>
          <w:sz w:val="20"/>
          <w:rtl/>
          <w:lang w:val="en-CA"/>
        </w:rPr>
        <w:t xml:space="preserve">21 </w:t>
      </w:r>
      <w:r w:rsidRPr="00CA2D0E">
        <w:rPr>
          <w:rFonts w:hint="cs"/>
          <w:spacing w:val="-2"/>
          <w:kern w:val="0"/>
          <w:sz w:val="20"/>
          <w:rtl/>
          <w:lang w:val="en-CA"/>
        </w:rPr>
        <w:t>نيسان/</w:t>
      </w:r>
      <w:r w:rsidRPr="00CA2D0E">
        <w:rPr>
          <w:spacing w:val="-2"/>
          <w:kern w:val="0"/>
          <w:sz w:val="20"/>
          <w:rtl/>
          <w:lang w:val="en-CA"/>
        </w:rPr>
        <w:t xml:space="preserve">أبريل 2008. </w:t>
      </w:r>
      <w:r w:rsidRPr="00CA2D0E">
        <w:rPr>
          <w:rFonts w:hint="cs"/>
          <w:spacing w:val="-2"/>
          <w:kern w:val="0"/>
          <w:sz w:val="20"/>
          <w:rtl/>
          <w:lang w:val="en-CA"/>
        </w:rPr>
        <w:t xml:space="preserve">ورأى الموظف المسؤول عن </w:t>
      </w:r>
      <w:r w:rsidRPr="00CA2D0E">
        <w:rPr>
          <w:spacing w:val="-2"/>
          <w:kern w:val="0"/>
          <w:sz w:val="20"/>
          <w:rtl/>
          <w:lang w:val="en-CA"/>
        </w:rPr>
        <w:t xml:space="preserve">تقييم المخاطر قبل الترحيل أن </w:t>
      </w:r>
      <w:r w:rsidRPr="00CA2D0E">
        <w:rPr>
          <w:rFonts w:hint="cs"/>
          <w:spacing w:val="-2"/>
          <w:kern w:val="0"/>
          <w:sz w:val="20"/>
          <w:rtl/>
          <w:lang w:val="en-CA"/>
        </w:rPr>
        <w:t>صاحب الشكوى</w:t>
      </w:r>
      <w:r w:rsidRPr="00CA2D0E">
        <w:rPr>
          <w:spacing w:val="-2"/>
          <w:kern w:val="0"/>
          <w:sz w:val="20"/>
          <w:rtl/>
          <w:lang w:val="en-CA"/>
        </w:rPr>
        <w:t xml:space="preserve"> لم </w:t>
      </w:r>
      <w:r w:rsidRPr="00CA2D0E">
        <w:rPr>
          <w:rFonts w:hint="cs"/>
          <w:spacing w:val="-2"/>
          <w:kern w:val="0"/>
          <w:sz w:val="20"/>
          <w:rtl/>
          <w:lang w:val="en-CA"/>
        </w:rPr>
        <w:t>ي</w:t>
      </w:r>
      <w:r w:rsidRPr="00CA2D0E">
        <w:rPr>
          <w:spacing w:val="-2"/>
          <w:kern w:val="0"/>
          <w:sz w:val="20"/>
          <w:rtl/>
          <w:lang w:val="en-CA"/>
        </w:rPr>
        <w:t xml:space="preserve">قدم أدلة كافية </w:t>
      </w:r>
      <w:r w:rsidRPr="00CA2D0E">
        <w:rPr>
          <w:rFonts w:hint="cs"/>
          <w:spacing w:val="-2"/>
          <w:kern w:val="0"/>
          <w:sz w:val="20"/>
          <w:rtl/>
          <w:lang w:val="en-CA"/>
        </w:rPr>
        <w:t xml:space="preserve">تبين أنه يواجه شخصياً </w:t>
      </w:r>
      <w:r w:rsidRPr="00CA2D0E">
        <w:rPr>
          <w:spacing w:val="-2"/>
          <w:kern w:val="0"/>
          <w:sz w:val="20"/>
          <w:rtl/>
          <w:lang w:val="en-CA"/>
        </w:rPr>
        <w:t xml:space="preserve">خطر </w:t>
      </w:r>
      <w:r w:rsidRPr="00CA2D0E">
        <w:rPr>
          <w:rFonts w:hint="cs"/>
          <w:spacing w:val="-2"/>
          <w:kern w:val="0"/>
          <w:sz w:val="20"/>
          <w:rtl/>
          <w:lang w:val="en-CA"/>
        </w:rPr>
        <w:t>التعرض ل</w:t>
      </w:r>
      <w:r w:rsidRPr="00CA2D0E">
        <w:rPr>
          <w:spacing w:val="-2"/>
          <w:kern w:val="0"/>
          <w:sz w:val="20"/>
          <w:rtl/>
          <w:lang w:val="en-CA"/>
        </w:rPr>
        <w:t xml:space="preserve">لتعذيب </w:t>
      </w:r>
      <w:r w:rsidRPr="00CA2D0E">
        <w:rPr>
          <w:rFonts w:hint="cs"/>
          <w:spacing w:val="-2"/>
          <w:kern w:val="0"/>
          <w:sz w:val="20"/>
          <w:rtl/>
          <w:lang w:val="en-CA"/>
        </w:rPr>
        <w:t>أو تهديداً ل</w:t>
      </w:r>
      <w:r w:rsidRPr="00CA2D0E">
        <w:rPr>
          <w:spacing w:val="-2"/>
          <w:kern w:val="0"/>
          <w:sz w:val="20"/>
          <w:rtl/>
          <w:lang w:val="en-CA"/>
        </w:rPr>
        <w:t>حي</w:t>
      </w:r>
      <w:r w:rsidRPr="00CA2D0E">
        <w:rPr>
          <w:rFonts w:hint="cs"/>
          <w:spacing w:val="-2"/>
          <w:kern w:val="0"/>
          <w:sz w:val="20"/>
          <w:rtl/>
          <w:lang w:val="en-CA"/>
        </w:rPr>
        <w:t>اته</w:t>
      </w:r>
      <w:r w:rsidRPr="00CA2D0E">
        <w:rPr>
          <w:spacing w:val="-2"/>
          <w:kern w:val="0"/>
          <w:sz w:val="20"/>
          <w:rtl/>
          <w:lang w:val="en-CA"/>
        </w:rPr>
        <w:t xml:space="preserve"> أو </w:t>
      </w:r>
      <w:r w:rsidRPr="00CA2D0E">
        <w:rPr>
          <w:rFonts w:hint="cs"/>
          <w:spacing w:val="-2"/>
          <w:kern w:val="0"/>
          <w:sz w:val="20"/>
          <w:rtl/>
          <w:lang w:val="en-CA"/>
        </w:rPr>
        <w:t xml:space="preserve">معاملة </w:t>
      </w:r>
      <w:r w:rsidRPr="00CA2D0E">
        <w:rPr>
          <w:spacing w:val="-2"/>
          <w:kern w:val="0"/>
          <w:sz w:val="20"/>
          <w:rtl/>
          <w:lang w:val="en-CA"/>
        </w:rPr>
        <w:t xml:space="preserve">قاسية وغير عادية. </w:t>
      </w:r>
      <w:r w:rsidRPr="00CA2D0E">
        <w:rPr>
          <w:rFonts w:hint="cs"/>
          <w:spacing w:val="-2"/>
          <w:kern w:val="0"/>
          <w:sz w:val="20"/>
          <w:rtl/>
          <w:lang w:val="en-CA"/>
        </w:rPr>
        <w:t>واستبعد</w:t>
      </w:r>
      <w:r w:rsidRPr="00CA2D0E">
        <w:rPr>
          <w:spacing w:val="-2"/>
          <w:kern w:val="0"/>
          <w:sz w:val="20"/>
          <w:rtl/>
          <w:lang w:val="en-CA"/>
        </w:rPr>
        <w:t xml:space="preserve"> </w:t>
      </w:r>
      <w:r w:rsidRPr="00CA2D0E">
        <w:rPr>
          <w:rFonts w:hint="cs"/>
          <w:spacing w:val="-2"/>
          <w:kern w:val="0"/>
          <w:sz w:val="20"/>
          <w:rtl/>
          <w:lang w:val="en-CA"/>
        </w:rPr>
        <w:t xml:space="preserve">الموظف المسؤول عن </w:t>
      </w:r>
      <w:r w:rsidRPr="00CA2D0E">
        <w:rPr>
          <w:spacing w:val="-2"/>
          <w:kern w:val="0"/>
          <w:sz w:val="20"/>
          <w:rtl/>
          <w:lang w:val="en-CA"/>
        </w:rPr>
        <w:t xml:space="preserve">تقييم المخاطر قبل الترحيل خطر </w:t>
      </w:r>
      <w:r w:rsidRPr="00CA2D0E">
        <w:rPr>
          <w:rFonts w:hint="cs"/>
          <w:spacing w:val="-2"/>
          <w:kern w:val="0"/>
          <w:sz w:val="20"/>
          <w:rtl/>
          <w:lang w:val="en-CA"/>
        </w:rPr>
        <w:t>تعرضه للاحتجاز</w:t>
      </w:r>
      <w:r w:rsidRPr="00CA2D0E">
        <w:rPr>
          <w:spacing w:val="-2"/>
          <w:kern w:val="0"/>
          <w:sz w:val="20"/>
          <w:rtl/>
          <w:lang w:val="en-CA"/>
        </w:rPr>
        <w:t xml:space="preserve">، وأضاف أنه حتى </w:t>
      </w:r>
      <w:r w:rsidRPr="00CA2D0E">
        <w:rPr>
          <w:rFonts w:hint="cs"/>
          <w:spacing w:val="-2"/>
          <w:kern w:val="0"/>
          <w:sz w:val="20"/>
          <w:rtl/>
          <w:lang w:val="en-CA"/>
        </w:rPr>
        <w:t>في حالة احتجاز صاحب الشكوى</w:t>
      </w:r>
      <w:r w:rsidRPr="00CA2D0E">
        <w:rPr>
          <w:spacing w:val="-2"/>
          <w:kern w:val="0"/>
          <w:sz w:val="20"/>
          <w:rtl/>
          <w:lang w:val="en-CA"/>
        </w:rPr>
        <w:t xml:space="preserve">، </w:t>
      </w:r>
      <w:r w:rsidRPr="00CA2D0E">
        <w:rPr>
          <w:rFonts w:hint="cs"/>
          <w:spacing w:val="-2"/>
          <w:kern w:val="0"/>
          <w:sz w:val="20"/>
          <w:rtl/>
          <w:lang w:val="en-CA"/>
        </w:rPr>
        <w:t>لا يوجد</w:t>
      </w:r>
      <w:r w:rsidRPr="00CA2D0E">
        <w:rPr>
          <w:spacing w:val="-2"/>
          <w:kern w:val="0"/>
          <w:sz w:val="20"/>
          <w:rtl/>
          <w:lang w:val="en-CA"/>
        </w:rPr>
        <w:t xml:space="preserve"> </w:t>
      </w:r>
      <w:r w:rsidRPr="00CA2D0E">
        <w:rPr>
          <w:rFonts w:hint="cs"/>
          <w:spacing w:val="-2"/>
          <w:kern w:val="0"/>
          <w:sz w:val="20"/>
          <w:rtl/>
          <w:lang w:val="en-CA"/>
        </w:rPr>
        <w:t>ما يشير إ</w:t>
      </w:r>
      <w:r w:rsidRPr="00CA2D0E">
        <w:rPr>
          <w:spacing w:val="-2"/>
          <w:kern w:val="0"/>
          <w:sz w:val="20"/>
          <w:rtl/>
          <w:lang w:val="en-CA"/>
        </w:rPr>
        <w:t>لى أن أحد أفراد أسر</w:t>
      </w:r>
      <w:r w:rsidRPr="00CA2D0E">
        <w:rPr>
          <w:rFonts w:hint="cs"/>
          <w:spacing w:val="-2"/>
          <w:kern w:val="0"/>
          <w:sz w:val="20"/>
          <w:rtl/>
          <w:lang w:val="en-CA"/>
        </w:rPr>
        <w:t>ته لن يستطيع إ</w:t>
      </w:r>
      <w:r w:rsidRPr="00CA2D0E">
        <w:rPr>
          <w:spacing w:val="-2"/>
          <w:kern w:val="0"/>
          <w:sz w:val="20"/>
          <w:rtl/>
          <w:lang w:val="en-CA"/>
        </w:rPr>
        <w:t xml:space="preserve">طلاق سراحه. </w:t>
      </w:r>
      <w:r w:rsidRPr="00CA2D0E">
        <w:rPr>
          <w:rFonts w:hint="cs"/>
          <w:spacing w:val="-2"/>
          <w:kern w:val="0"/>
          <w:sz w:val="20"/>
          <w:rtl/>
          <w:lang w:val="en-CA"/>
        </w:rPr>
        <w:t>واستبعد</w:t>
      </w:r>
      <w:r w:rsidRPr="00CA2D0E">
        <w:rPr>
          <w:spacing w:val="-2"/>
          <w:kern w:val="0"/>
          <w:sz w:val="20"/>
          <w:rtl/>
          <w:lang w:val="en-CA"/>
        </w:rPr>
        <w:t xml:space="preserve"> </w:t>
      </w:r>
      <w:r w:rsidRPr="00CA2D0E">
        <w:rPr>
          <w:rFonts w:hint="cs"/>
          <w:spacing w:val="-2"/>
          <w:kern w:val="0"/>
          <w:sz w:val="20"/>
          <w:rtl/>
          <w:lang w:val="en-CA"/>
        </w:rPr>
        <w:t xml:space="preserve">الموظف </w:t>
      </w:r>
      <w:r w:rsidRPr="00CA2D0E">
        <w:rPr>
          <w:spacing w:val="-2"/>
          <w:kern w:val="0"/>
          <w:sz w:val="20"/>
          <w:rtl/>
          <w:lang w:val="en-CA"/>
        </w:rPr>
        <w:t>أيضا</w:t>
      </w:r>
      <w:r w:rsidRPr="00CA2D0E">
        <w:rPr>
          <w:rFonts w:hint="cs"/>
          <w:spacing w:val="-2"/>
          <w:kern w:val="0"/>
          <w:sz w:val="20"/>
          <w:rtl/>
          <w:lang w:val="en-CA"/>
        </w:rPr>
        <w:t>ً</w:t>
      </w:r>
      <w:r w:rsidRPr="00CA2D0E">
        <w:rPr>
          <w:spacing w:val="-2"/>
          <w:kern w:val="0"/>
          <w:sz w:val="20"/>
          <w:rtl/>
          <w:lang w:val="en-CA"/>
        </w:rPr>
        <w:t xml:space="preserve"> الادعاء بأن الخدمات الصحية في هايتي </w:t>
      </w:r>
      <w:r w:rsidRPr="00CA2D0E">
        <w:rPr>
          <w:rFonts w:hint="cs"/>
          <w:spacing w:val="-2"/>
          <w:kern w:val="0"/>
          <w:sz w:val="20"/>
          <w:rtl/>
          <w:lang w:val="en-CA"/>
        </w:rPr>
        <w:t>ليست مناسبة لتغيير بطاريات جهاز تنظيم ضربات القلب الخاص بصاحب الشكوى</w:t>
      </w:r>
      <w:r w:rsidRPr="00CA2D0E">
        <w:rPr>
          <w:spacing w:val="-2"/>
          <w:kern w:val="0"/>
          <w:sz w:val="20"/>
          <w:rtl/>
          <w:lang w:val="en-CA"/>
        </w:rPr>
        <w:t xml:space="preserve">. </w:t>
      </w:r>
      <w:r w:rsidRPr="00CA2D0E">
        <w:rPr>
          <w:rFonts w:hint="cs"/>
          <w:spacing w:val="-2"/>
          <w:kern w:val="0"/>
          <w:sz w:val="20"/>
          <w:rtl/>
          <w:lang w:val="en-CA"/>
        </w:rPr>
        <w:t>ولاحظ</w:t>
      </w:r>
      <w:r w:rsidRPr="00CA2D0E">
        <w:rPr>
          <w:spacing w:val="-2"/>
          <w:kern w:val="0"/>
          <w:sz w:val="20"/>
          <w:rtl/>
          <w:lang w:val="en-CA"/>
        </w:rPr>
        <w:t xml:space="preserve"> </w:t>
      </w:r>
      <w:r w:rsidRPr="00CA2D0E">
        <w:rPr>
          <w:rFonts w:hint="cs"/>
          <w:spacing w:val="-2"/>
          <w:kern w:val="0"/>
          <w:sz w:val="20"/>
          <w:rtl/>
          <w:lang w:val="en-CA"/>
        </w:rPr>
        <w:t>الموظف</w:t>
      </w:r>
      <w:r w:rsidRPr="00CA2D0E">
        <w:rPr>
          <w:spacing w:val="-2"/>
          <w:kern w:val="0"/>
          <w:sz w:val="20"/>
          <w:rtl/>
          <w:lang w:val="en-CA"/>
        </w:rPr>
        <w:t xml:space="preserve"> أن الحصول على الرعاية أقل صعوبة في بورت</w:t>
      </w:r>
      <w:r w:rsidRPr="00CA2D0E">
        <w:rPr>
          <w:rFonts w:hint="cs"/>
          <w:spacing w:val="-2"/>
          <w:kern w:val="0"/>
          <w:sz w:val="20"/>
          <w:rtl/>
          <w:lang w:val="en-CA"/>
        </w:rPr>
        <w:t xml:space="preserve"> </w:t>
      </w:r>
      <w:r w:rsidRPr="00CA2D0E">
        <w:rPr>
          <w:spacing w:val="-2"/>
          <w:kern w:val="0"/>
          <w:sz w:val="20"/>
          <w:rtl/>
          <w:lang w:val="en-CA"/>
        </w:rPr>
        <w:t>أو</w:t>
      </w:r>
      <w:r w:rsidRPr="00CA2D0E">
        <w:rPr>
          <w:rFonts w:hint="cs"/>
          <w:spacing w:val="-2"/>
          <w:kern w:val="0"/>
          <w:sz w:val="20"/>
          <w:rtl/>
          <w:lang w:val="en-CA"/>
        </w:rPr>
        <w:t xml:space="preserve"> </w:t>
      </w:r>
      <w:r w:rsidRPr="00CA2D0E">
        <w:rPr>
          <w:spacing w:val="-2"/>
          <w:kern w:val="0"/>
          <w:sz w:val="20"/>
          <w:rtl/>
          <w:lang w:val="en-CA"/>
        </w:rPr>
        <w:t>بر</w:t>
      </w:r>
      <w:r w:rsidRPr="00CA2D0E">
        <w:rPr>
          <w:rFonts w:hint="cs"/>
          <w:spacing w:val="-2"/>
          <w:kern w:val="0"/>
          <w:sz w:val="20"/>
          <w:rtl/>
          <w:lang w:val="en-CA"/>
        </w:rPr>
        <w:t>ا</w:t>
      </w:r>
      <w:r w:rsidRPr="00CA2D0E">
        <w:rPr>
          <w:spacing w:val="-2"/>
          <w:kern w:val="0"/>
          <w:sz w:val="20"/>
          <w:rtl/>
          <w:lang w:val="en-CA"/>
        </w:rPr>
        <w:t xml:space="preserve">نس </w:t>
      </w:r>
      <w:r w:rsidRPr="00CA2D0E">
        <w:rPr>
          <w:rFonts w:hint="cs"/>
          <w:spacing w:val="-2"/>
          <w:kern w:val="0"/>
          <w:sz w:val="20"/>
          <w:rtl/>
          <w:lang w:val="en-CA"/>
        </w:rPr>
        <w:t>مسقط رأس صاحب الشكوى</w:t>
      </w:r>
      <w:r w:rsidRPr="00CA2D0E">
        <w:rPr>
          <w:spacing w:val="-2"/>
          <w:kern w:val="0"/>
          <w:sz w:val="20"/>
          <w:rtl/>
          <w:lang w:val="en-CA"/>
        </w:rPr>
        <w:t>.</w:t>
      </w:r>
    </w:p>
    <w:p w:rsidR="008D1B92" w:rsidRPr="008D1B92" w:rsidRDefault="008D1B92" w:rsidP="008D1B92">
      <w:pPr>
        <w:pStyle w:val="SingleTxtGA"/>
        <w:jc w:val="lowKashida"/>
        <w:rPr>
          <w:rFonts w:hint="cs"/>
          <w:spacing w:val="0"/>
          <w:kern w:val="0"/>
          <w:sz w:val="20"/>
          <w:rtl/>
          <w:lang w:val="en-CA"/>
        </w:rPr>
      </w:pPr>
      <w:r w:rsidRPr="008D1B92">
        <w:rPr>
          <w:rFonts w:hint="cs"/>
          <w:spacing w:val="0"/>
          <w:kern w:val="0"/>
          <w:sz w:val="20"/>
          <w:rtl/>
          <w:lang w:val="en-CA"/>
        </w:rPr>
        <w:t>4-4</w:t>
      </w:r>
      <w:r w:rsidRPr="008D1B92">
        <w:rPr>
          <w:rFonts w:hint="cs"/>
          <w:spacing w:val="0"/>
          <w:kern w:val="0"/>
          <w:sz w:val="20"/>
          <w:rtl/>
          <w:lang w:val="en-CA"/>
        </w:rPr>
        <w:tab/>
        <w:t>و</w:t>
      </w:r>
      <w:r w:rsidRPr="008D1B92">
        <w:rPr>
          <w:spacing w:val="0"/>
          <w:kern w:val="0"/>
          <w:sz w:val="20"/>
          <w:rtl/>
          <w:lang w:val="en-CA"/>
        </w:rPr>
        <w:t xml:space="preserve">في </w:t>
      </w:r>
      <w:r w:rsidRPr="008D1B92">
        <w:rPr>
          <w:rFonts w:hint="cs"/>
          <w:spacing w:val="0"/>
          <w:kern w:val="0"/>
          <w:sz w:val="20"/>
          <w:rtl/>
          <w:lang w:val="en-CA"/>
        </w:rPr>
        <w:t>9 أيار/</w:t>
      </w:r>
      <w:r w:rsidRPr="008D1B92">
        <w:rPr>
          <w:spacing w:val="0"/>
          <w:kern w:val="0"/>
          <w:sz w:val="20"/>
          <w:rtl/>
          <w:lang w:val="en-CA"/>
        </w:rPr>
        <w:t xml:space="preserve">مايو 2008، قدم </w:t>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طلباً للحصول على إذن بالطعن وإجراء</w:t>
      </w:r>
      <w:r w:rsidRPr="008D1B92">
        <w:rPr>
          <w:spacing w:val="0"/>
          <w:kern w:val="0"/>
          <w:sz w:val="20"/>
          <w:rtl/>
          <w:lang w:val="en-CA"/>
        </w:rPr>
        <w:t xml:space="preserve"> مراجعة قضائية.</w:t>
      </w:r>
      <w:r w:rsidRPr="008D1B92">
        <w:rPr>
          <w:rFonts w:hint="cs"/>
          <w:spacing w:val="0"/>
          <w:kern w:val="0"/>
          <w:sz w:val="20"/>
          <w:rtl/>
          <w:lang w:val="en-CA"/>
        </w:rPr>
        <w:t xml:space="preserve"> وفي</w:t>
      </w:r>
      <w:r w:rsidRPr="008D1B92">
        <w:rPr>
          <w:spacing w:val="0"/>
          <w:kern w:val="0"/>
          <w:sz w:val="20"/>
          <w:rtl/>
          <w:lang w:val="en-CA"/>
        </w:rPr>
        <w:t xml:space="preserve"> 4 </w:t>
      </w:r>
      <w:r w:rsidRPr="008D1B92">
        <w:rPr>
          <w:rFonts w:hint="cs"/>
          <w:spacing w:val="0"/>
          <w:kern w:val="0"/>
          <w:sz w:val="20"/>
          <w:rtl/>
          <w:lang w:val="en-CA"/>
        </w:rPr>
        <w:t>حزيران/</w:t>
      </w:r>
      <w:r w:rsidRPr="008D1B92">
        <w:rPr>
          <w:spacing w:val="0"/>
          <w:kern w:val="0"/>
          <w:sz w:val="20"/>
          <w:rtl/>
          <w:lang w:val="en-CA"/>
        </w:rPr>
        <w:t>يوني</w:t>
      </w:r>
      <w:r w:rsidRPr="008D1B92">
        <w:rPr>
          <w:rFonts w:hint="cs"/>
          <w:spacing w:val="0"/>
          <w:kern w:val="0"/>
          <w:sz w:val="20"/>
          <w:rtl/>
          <w:lang w:val="en-CA"/>
        </w:rPr>
        <w:t>ه</w:t>
      </w:r>
      <w:r w:rsidRPr="008D1B92">
        <w:rPr>
          <w:spacing w:val="0"/>
          <w:kern w:val="0"/>
          <w:sz w:val="20"/>
          <w:rtl/>
          <w:lang w:val="en-CA"/>
        </w:rPr>
        <w:t xml:space="preserve"> 2008، </w:t>
      </w:r>
      <w:r w:rsidRPr="008D1B92">
        <w:rPr>
          <w:rFonts w:hint="cs"/>
          <w:spacing w:val="0"/>
          <w:kern w:val="0"/>
          <w:sz w:val="20"/>
          <w:rtl/>
          <w:lang w:val="en-CA"/>
        </w:rPr>
        <w:t>أوقفت</w:t>
      </w:r>
      <w:r w:rsidRPr="008D1B92">
        <w:rPr>
          <w:spacing w:val="0"/>
          <w:kern w:val="0"/>
          <w:sz w:val="20"/>
          <w:rtl/>
          <w:lang w:val="en-CA"/>
        </w:rPr>
        <w:t xml:space="preserve"> المحكمة الاتحادية </w:t>
      </w:r>
      <w:r w:rsidRPr="008D1B92">
        <w:rPr>
          <w:rFonts w:hint="cs"/>
          <w:spacing w:val="0"/>
          <w:kern w:val="0"/>
          <w:sz w:val="20"/>
          <w:rtl/>
          <w:lang w:val="en-CA"/>
        </w:rPr>
        <w:t>الكندية</w:t>
      </w:r>
      <w:r w:rsidRPr="008D1B92">
        <w:rPr>
          <w:spacing w:val="0"/>
          <w:kern w:val="0"/>
          <w:sz w:val="20"/>
          <w:rtl/>
          <w:lang w:val="en-CA"/>
        </w:rPr>
        <w:t xml:space="preserve"> </w:t>
      </w:r>
      <w:r w:rsidRPr="008D1B92">
        <w:rPr>
          <w:rFonts w:hint="cs"/>
          <w:spacing w:val="0"/>
          <w:kern w:val="0"/>
          <w:sz w:val="20"/>
          <w:rtl/>
          <w:lang w:val="en-CA"/>
        </w:rPr>
        <w:t>تنفيذ</w:t>
      </w:r>
      <w:r w:rsidRPr="008D1B92">
        <w:rPr>
          <w:rFonts w:hint="eastAsia"/>
          <w:spacing w:val="0"/>
          <w:kern w:val="0"/>
          <w:sz w:val="20"/>
          <w:rtl/>
          <w:lang w:val="en-CA"/>
        </w:rPr>
        <w:t> </w:t>
      </w:r>
      <w:r w:rsidRPr="008D1B92">
        <w:rPr>
          <w:rFonts w:hint="cs"/>
          <w:spacing w:val="0"/>
          <w:kern w:val="0"/>
          <w:sz w:val="20"/>
          <w:rtl/>
          <w:lang w:val="en-CA"/>
        </w:rPr>
        <w:t>أمر الترحيل</w:t>
      </w:r>
      <w:r w:rsidRPr="008D1B92">
        <w:rPr>
          <w:spacing w:val="0"/>
          <w:kern w:val="0"/>
          <w:sz w:val="20"/>
          <w:rtl/>
          <w:lang w:val="en-CA"/>
        </w:rPr>
        <w:t xml:space="preserve"> </w:t>
      </w:r>
      <w:r w:rsidRPr="008D1B92">
        <w:rPr>
          <w:rFonts w:hint="cs"/>
          <w:spacing w:val="0"/>
          <w:kern w:val="0"/>
          <w:sz w:val="20"/>
          <w:rtl/>
          <w:lang w:val="en-CA"/>
        </w:rPr>
        <w:t>ما دام هذان</w:t>
      </w:r>
      <w:r w:rsidRPr="008D1B92">
        <w:rPr>
          <w:spacing w:val="0"/>
          <w:kern w:val="0"/>
          <w:sz w:val="20"/>
          <w:rtl/>
          <w:lang w:val="en-CA"/>
        </w:rPr>
        <w:t xml:space="preserve"> </w:t>
      </w:r>
      <w:r w:rsidRPr="008D1B92">
        <w:rPr>
          <w:rFonts w:hint="cs"/>
          <w:spacing w:val="0"/>
          <w:kern w:val="0"/>
          <w:sz w:val="20"/>
          <w:rtl/>
          <w:lang w:val="en-CA"/>
        </w:rPr>
        <w:t xml:space="preserve">الالتماسان </w:t>
      </w:r>
      <w:r w:rsidRPr="008D1B92">
        <w:rPr>
          <w:spacing w:val="0"/>
          <w:kern w:val="0"/>
          <w:sz w:val="20"/>
          <w:rtl/>
          <w:lang w:val="en-CA"/>
        </w:rPr>
        <w:t>قيد النظر.</w:t>
      </w:r>
      <w:r w:rsidRPr="008D1B92">
        <w:rPr>
          <w:rFonts w:hint="cs"/>
          <w:spacing w:val="0"/>
          <w:kern w:val="0"/>
          <w:sz w:val="20"/>
          <w:rtl/>
          <w:lang w:val="en-CA"/>
        </w:rPr>
        <w:t xml:space="preserve"> وفي</w:t>
      </w:r>
      <w:r w:rsidRPr="008D1B92">
        <w:rPr>
          <w:spacing w:val="0"/>
          <w:kern w:val="0"/>
          <w:sz w:val="20"/>
          <w:rtl/>
          <w:lang w:val="en-CA"/>
        </w:rPr>
        <w:t xml:space="preserve"> 5 </w:t>
      </w:r>
      <w:r w:rsidRPr="008D1B92">
        <w:rPr>
          <w:rFonts w:hint="cs"/>
          <w:spacing w:val="0"/>
          <w:kern w:val="0"/>
          <w:sz w:val="20"/>
          <w:rtl/>
          <w:lang w:val="en-CA"/>
        </w:rPr>
        <w:t>كانون الثاني/</w:t>
      </w:r>
      <w:r w:rsidRPr="008D1B92">
        <w:rPr>
          <w:spacing w:val="0"/>
          <w:kern w:val="0"/>
          <w:sz w:val="20"/>
          <w:rtl/>
          <w:lang w:val="en-CA"/>
        </w:rPr>
        <w:t xml:space="preserve">يناير </w:t>
      </w:r>
      <w:r w:rsidRPr="008D1B92">
        <w:rPr>
          <w:rFonts w:hint="cs"/>
          <w:spacing w:val="0"/>
          <w:kern w:val="0"/>
          <w:sz w:val="20"/>
          <w:rtl/>
          <w:lang w:val="en-CA"/>
        </w:rPr>
        <w:t>2009</w:t>
      </w:r>
      <w:r w:rsidRPr="008D1B92">
        <w:rPr>
          <w:spacing w:val="0"/>
          <w:kern w:val="0"/>
          <w:sz w:val="20"/>
          <w:rtl/>
          <w:lang w:val="en-CA"/>
        </w:rPr>
        <w:t xml:space="preserve">، رفضت المحكمة الاتحادية </w:t>
      </w:r>
      <w:r w:rsidRPr="008D1B92">
        <w:rPr>
          <w:rFonts w:hint="cs"/>
          <w:spacing w:val="0"/>
          <w:kern w:val="0"/>
          <w:sz w:val="20"/>
          <w:rtl/>
          <w:lang w:val="en-CA"/>
        </w:rPr>
        <w:t>الكندية</w:t>
      </w:r>
      <w:r w:rsidRPr="008D1B92">
        <w:rPr>
          <w:spacing w:val="0"/>
          <w:kern w:val="0"/>
          <w:sz w:val="20"/>
          <w:rtl/>
          <w:lang w:val="en-CA"/>
        </w:rPr>
        <w:t xml:space="preserve"> طلب</w:t>
      </w:r>
      <w:r w:rsidRPr="008D1B92">
        <w:rPr>
          <w:rFonts w:hint="cs"/>
          <w:spacing w:val="0"/>
          <w:kern w:val="0"/>
          <w:sz w:val="20"/>
          <w:rtl/>
          <w:lang w:val="en-CA"/>
        </w:rPr>
        <w:t>ي</w:t>
      </w:r>
      <w:r w:rsidRPr="008D1B92">
        <w:rPr>
          <w:spacing w:val="0"/>
          <w:kern w:val="0"/>
          <w:sz w:val="20"/>
          <w:rtl/>
          <w:lang w:val="en-CA"/>
        </w:rPr>
        <w:t xml:space="preserve"> </w:t>
      </w:r>
      <w:r w:rsidRPr="008D1B92">
        <w:rPr>
          <w:rFonts w:hint="cs"/>
          <w:spacing w:val="0"/>
          <w:kern w:val="0"/>
          <w:sz w:val="20"/>
          <w:rtl/>
          <w:lang w:val="en-CA"/>
        </w:rPr>
        <w:t>الإذن بالاستئناف وإجراء</w:t>
      </w:r>
      <w:r w:rsidRPr="008D1B92">
        <w:rPr>
          <w:spacing w:val="0"/>
          <w:kern w:val="0"/>
          <w:sz w:val="20"/>
          <w:rtl/>
          <w:lang w:val="en-CA"/>
        </w:rPr>
        <w:t xml:space="preserve"> </w:t>
      </w:r>
      <w:r w:rsidRPr="008D1B92">
        <w:rPr>
          <w:rFonts w:hint="cs"/>
          <w:spacing w:val="0"/>
          <w:kern w:val="0"/>
          <w:sz w:val="20"/>
          <w:rtl/>
          <w:lang w:val="en-CA"/>
        </w:rPr>
        <w:t xml:space="preserve">المراجعة القضائية للقرارين المتعلقين بطلب </w:t>
      </w:r>
      <w:r w:rsidRPr="008D1B92">
        <w:rPr>
          <w:spacing w:val="0"/>
          <w:kern w:val="0"/>
          <w:sz w:val="20"/>
          <w:rtl/>
          <w:lang w:val="en-CA"/>
        </w:rPr>
        <w:t xml:space="preserve">تقييم المخاطر قبل الترحيل </w:t>
      </w:r>
      <w:r w:rsidRPr="008D1B92">
        <w:rPr>
          <w:rFonts w:hint="cs"/>
          <w:spacing w:val="0"/>
          <w:kern w:val="0"/>
          <w:sz w:val="20"/>
          <w:rtl/>
          <w:lang w:val="en-CA"/>
        </w:rPr>
        <w:t>وطلب مراعاة الأسباب</w:t>
      </w:r>
      <w:r w:rsidRPr="008D1B92">
        <w:rPr>
          <w:spacing w:val="0"/>
          <w:kern w:val="0"/>
          <w:sz w:val="20"/>
          <w:rtl/>
          <w:lang w:val="en-CA"/>
        </w:rPr>
        <w:t xml:space="preserve"> ال</w:t>
      </w:r>
      <w:r w:rsidRPr="008D1B92">
        <w:rPr>
          <w:rFonts w:hint="cs"/>
          <w:spacing w:val="0"/>
          <w:kern w:val="0"/>
          <w:sz w:val="20"/>
          <w:rtl/>
          <w:lang w:val="en-CA"/>
        </w:rPr>
        <w:t>إ</w:t>
      </w:r>
      <w:r w:rsidRPr="008D1B92">
        <w:rPr>
          <w:spacing w:val="0"/>
          <w:kern w:val="0"/>
          <w:sz w:val="20"/>
          <w:rtl/>
          <w:lang w:val="en-CA"/>
        </w:rPr>
        <w:t>نسانية. ورأت المحكمة الاتحادية أن</w:t>
      </w:r>
      <w:r w:rsidRPr="008D1B92">
        <w:rPr>
          <w:rFonts w:hint="cs"/>
          <w:spacing w:val="0"/>
          <w:kern w:val="0"/>
          <w:sz w:val="20"/>
          <w:rtl/>
          <w:lang w:val="en-CA"/>
        </w:rPr>
        <w:t xml:space="preserve"> </w:t>
      </w:r>
      <w:r w:rsidRPr="008D1B92">
        <w:rPr>
          <w:spacing w:val="0"/>
          <w:kern w:val="0"/>
          <w:sz w:val="20"/>
          <w:rtl/>
          <w:lang w:val="en-CA"/>
        </w:rPr>
        <w:t xml:space="preserve">على </w:t>
      </w:r>
      <w:r w:rsidRPr="008D1B92">
        <w:rPr>
          <w:rFonts w:hint="cs"/>
          <w:spacing w:val="0"/>
          <w:kern w:val="0"/>
          <w:sz w:val="20"/>
          <w:rtl/>
          <w:lang w:val="en-CA"/>
        </w:rPr>
        <w:t xml:space="preserve">صاحب الشكوى </w:t>
      </w:r>
      <w:r w:rsidRPr="008D1B92">
        <w:rPr>
          <w:spacing w:val="0"/>
          <w:kern w:val="0"/>
          <w:sz w:val="20"/>
          <w:rtl/>
          <w:lang w:val="en-CA"/>
        </w:rPr>
        <w:t xml:space="preserve">مسؤولية إقامة </w:t>
      </w:r>
      <w:r w:rsidRPr="008D1B92">
        <w:rPr>
          <w:rFonts w:hint="cs"/>
          <w:spacing w:val="0"/>
          <w:kern w:val="0"/>
          <w:sz w:val="20"/>
          <w:rtl/>
          <w:lang w:val="en-CA"/>
        </w:rPr>
        <w:t>ال</w:t>
      </w:r>
      <w:r w:rsidRPr="008D1B92">
        <w:rPr>
          <w:spacing w:val="0"/>
          <w:kern w:val="0"/>
          <w:sz w:val="20"/>
          <w:rtl/>
          <w:lang w:val="en-CA"/>
        </w:rPr>
        <w:t>صلة بين وضعه الشخصي والأوضاع العامة في بلده، و</w:t>
      </w:r>
      <w:r w:rsidRPr="008D1B92">
        <w:rPr>
          <w:rFonts w:hint="cs"/>
          <w:spacing w:val="0"/>
          <w:kern w:val="0"/>
          <w:sz w:val="20"/>
          <w:rtl/>
          <w:lang w:val="en-CA"/>
        </w:rPr>
        <w:t>أ</w:t>
      </w:r>
      <w:r w:rsidRPr="008D1B92">
        <w:rPr>
          <w:spacing w:val="0"/>
          <w:kern w:val="0"/>
          <w:sz w:val="20"/>
          <w:rtl/>
          <w:lang w:val="en-CA"/>
        </w:rPr>
        <w:t xml:space="preserve">نه لم يفعل ذلك. </w:t>
      </w:r>
      <w:r w:rsidRPr="008D1B92">
        <w:rPr>
          <w:rFonts w:hint="cs"/>
          <w:spacing w:val="0"/>
          <w:kern w:val="0"/>
          <w:sz w:val="20"/>
          <w:rtl/>
          <w:lang w:val="en-CA"/>
        </w:rPr>
        <w:t>وأشارت</w:t>
      </w:r>
      <w:r w:rsidRPr="008D1B92">
        <w:rPr>
          <w:spacing w:val="0"/>
          <w:kern w:val="0"/>
          <w:sz w:val="20"/>
          <w:rtl/>
          <w:lang w:val="en-CA"/>
        </w:rPr>
        <w:t xml:space="preserve"> المحكمة </w:t>
      </w:r>
      <w:r w:rsidRPr="008D1B92">
        <w:rPr>
          <w:rFonts w:hint="cs"/>
          <w:spacing w:val="0"/>
          <w:kern w:val="0"/>
          <w:sz w:val="20"/>
          <w:rtl/>
          <w:lang w:val="en-CA"/>
        </w:rPr>
        <w:t xml:space="preserve">إلى </w:t>
      </w:r>
      <w:r w:rsidRPr="008D1B92">
        <w:rPr>
          <w:spacing w:val="0"/>
          <w:kern w:val="0"/>
          <w:sz w:val="20"/>
          <w:rtl/>
          <w:lang w:val="en-CA"/>
        </w:rPr>
        <w:t xml:space="preserve">أنه في سياق طلب </w:t>
      </w:r>
      <w:r w:rsidRPr="008D1B92">
        <w:rPr>
          <w:rFonts w:hint="cs"/>
          <w:spacing w:val="0"/>
          <w:kern w:val="0"/>
          <w:sz w:val="20"/>
          <w:rtl/>
          <w:lang w:val="en-CA"/>
        </w:rPr>
        <w:t>إجراء ال</w:t>
      </w:r>
      <w:r w:rsidRPr="008D1B92">
        <w:rPr>
          <w:spacing w:val="0"/>
          <w:kern w:val="0"/>
          <w:sz w:val="20"/>
          <w:rtl/>
          <w:lang w:val="en-CA"/>
        </w:rPr>
        <w:t xml:space="preserve">مراجعة </w:t>
      </w:r>
      <w:r w:rsidRPr="008D1B92">
        <w:rPr>
          <w:rFonts w:hint="cs"/>
          <w:spacing w:val="0"/>
          <w:kern w:val="0"/>
          <w:sz w:val="20"/>
          <w:rtl/>
          <w:lang w:val="en-CA"/>
        </w:rPr>
        <w:t>ال</w:t>
      </w:r>
      <w:r w:rsidRPr="008D1B92">
        <w:rPr>
          <w:spacing w:val="0"/>
          <w:kern w:val="0"/>
          <w:sz w:val="20"/>
          <w:rtl/>
          <w:lang w:val="en-CA"/>
        </w:rPr>
        <w:t>قضائية</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لا</w:t>
      </w:r>
      <w:r w:rsidRPr="008D1B92">
        <w:rPr>
          <w:rFonts w:hint="eastAsia"/>
          <w:spacing w:val="0"/>
          <w:kern w:val="0"/>
          <w:sz w:val="20"/>
          <w:rtl/>
          <w:lang w:val="en-CA"/>
        </w:rPr>
        <w:t> </w:t>
      </w:r>
      <w:r w:rsidRPr="008D1B92">
        <w:rPr>
          <w:rFonts w:hint="cs"/>
          <w:spacing w:val="0"/>
          <w:kern w:val="0"/>
          <w:sz w:val="20"/>
          <w:rtl/>
          <w:lang w:val="en-CA"/>
        </w:rPr>
        <w:t>يمكنها</w:t>
      </w:r>
      <w:r w:rsidRPr="008D1B92">
        <w:rPr>
          <w:spacing w:val="0"/>
          <w:kern w:val="0"/>
          <w:sz w:val="20"/>
          <w:rtl/>
          <w:lang w:val="en-CA"/>
        </w:rPr>
        <w:t xml:space="preserve"> </w:t>
      </w:r>
      <w:r w:rsidRPr="008D1B92">
        <w:rPr>
          <w:rFonts w:hint="cs"/>
          <w:spacing w:val="0"/>
          <w:kern w:val="0"/>
          <w:sz w:val="20"/>
          <w:rtl/>
          <w:lang w:val="en-CA"/>
        </w:rPr>
        <w:t xml:space="preserve">أن تنظر </w:t>
      </w:r>
      <w:r w:rsidRPr="008D1B92">
        <w:rPr>
          <w:spacing w:val="0"/>
          <w:kern w:val="0"/>
          <w:sz w:val="20"/>
          <w:rtl/>
          <w:lang w:val="en-CA"/>
        </w:rPr>
        <w:t>في أدلة جديدة لم يسبق أن قدم</w:t>
      </w:r>
      <w:r w:rsidRPr="008D1B92">
        <w:rPr>
          <w:rFonts w:hint="cs"/>
          <w:spacing w:val="0"/>
          <w:kern w:val="0"/>
          <w:sz w:val="20"/>
          <w:rtl/>
          <w:lang w:val="en-CA"/>
        </w:rPr>
        <w:t>ت</w:t>
      </w:r>
      <w:r w:rsidRPr="008D1B92">
        <w:rPr>
          <w:spacing w:val="0"/>
          <w:kern w:val="0"/>
          <w:sz w:val="20"/>
          <w:rtl/>
          <w:lang w:val="en-CA"/>
        </w:rPr>
        <w:t xml:space="preserve"> إلى </w:t>
      </w:r>
      <w:r w:rsidRPr="008D1B92">
        <w:rPr>
          <w:rFonts w:hint="cs"/>
          <w:spacing w:val="0"/>
          <w:kern w:val="0"/>
          <w:sz w:val="20"/>
          <w:rtl/>
          <w:lang w:val="en-CA"/>
        </w:rPr>
        <w:t>ال</w:t>
      </w:r>
      <w:r w:rsidRPr="008D1B92">
        <w:rPr>
          <w:spacing w:val="0"/>
          <w:kern w:val="0"/>
          <w:sz w:val="20"/>
          <w:rtl/>
          <w:lang w:val="en-CA"/>
        </w:rPr>
        <w:t xml:space="preserve">موظف </w:t>
      </w:r>
      <w:r w:rsidRPr="008D1B92">
        <w:rPr>
          <w:rFonts w:hint="cs"/>
          <w:spacing w:val="0"/>
          <w:kern w:val="0"/>
          <w:sz w:val="20"/>
          <w:rtl/>
          <w:lang w:val="en-CA"/>
        </w:rPr>
        <w:t>المعني ب</w:t>
      </w:r>
      <w:r w:rsidRPr="008D1B92">
        <w:rPr>
          <w:spacing w:val="0"/>
          <w:kern w:val="0"/>
          <w:sz w:val="20"/>
          <w:rtl/>
          <w:lang w:val="en-CA"/>
        </w:rPr>
        <w:t xml:space="preserve">الهجرة. </w:t>
      </w:r>
      <w:r w:rsidRPr="008D1B92">
        <w:rPr>
          <w:rFonts w:hint="cs"/>
          <w:spacing w:val="0"/>
          <w:kern w:val="0"/>
          <w:sz w:val="20"/>
          <w:rtl/>
          <w:lang w:val="en-CA"/>
        </w:rPr>
        <w:t xml:space="preserve">ولذلك، </w:t>
      </w:r>
      <w:r w:rsidRPr="008D1B92">
        <w:rPr>
          <w:spacing w:val="0"/>
          <w:kern w:val="0"/>
          <w:sz w:val="20"/>
          <w:rtl/>
          <w:lang w:val="en-CA"/>
        </w:rPr>
        <w:t xml:space="preserve">رفضت </w:t>
      </w:r>
      <w:r w:rsidRPr="008D1B92">
        <w:rPr>
          <w:rFonts w:hint="cs"/>
          <w:spacing w:val="0"/>
          <w:kern w:val="0"/>
          <w:sz w:val="20"/>
          <w:rtl/>
          <w:lang w:val="en-CA"/>
        </w:rPr>
        <w:t>المزاعم</w:t>
      </w:r>
      <w:r w:rsidRPr="008D1B92">
        <w:rPr>
          <w:spacing w:val="0"/>
          <w:kern w:val="0"/>
          <w:sz w:val="20"/>
          <w:rtl/>
          <w:lang w:val="en-CA"/>
        </w:rPr>
        <w:t xml:space="preserve"> </w:t>
      </w:r>
      <w:r w:rsidRPr="008D1B92">
        <w:rPr>
          <w:rFonts w:hint="cs"/>
          <w:spacing w:val="0"/>
          <w:kern w:val="0"/>
          <w:sz w:val="20"/>
          <w:rtl/>
          <w:lang w:val="en-CA"/>
        </w:rPr>
        <w:t xml:space="preserve">التي تفيد بأن </w:t>
      </w:r>
      <w:r w:rsidRPr="008D1B92">
        <w:rPr>
          <w:spacing w:val="0"/>
          <w:kern w:val="0"/>
          <w:sz w:val="20"/>
          <w:rtl/>
          <w:lang w:val="en-CA"/>
        </w:rPr>
        <w:t>الخدمات الصحية في هايتي</w:t>
      </w:r>
      <w:r w:rsidRPr="008D1B92">
        <w:rPr>
          <w:rFonts w:hint="cs"/>
          <w:spacing w:val="0"/>
          <w:kern w:val="0"/>
          <w:sz w:val="20"/>
          <w:rtl/>
          <w:lang w:val="en-CA"/>
        </w:rPr>
        <w:t xml:space="preserve"> غير مجهزة</w:t>
      </w:r>
      <w:r w:rsidRPr="008D1B92">
        <w:rPr>
          <w:spacing w:val="0"/>
          <w:kern w:val="0"/>
          <w:sz w:val="20"/>
          <w:rtl/>
          <w:lang w:val="en-CA"/>
        </w:rPr>
        <w:t xml:space="preserve"> لاستبدال بطاري</w:t>
      </w:r>
      <w:r w:rsidRPr="008D1B92">
        <w:rPr>
          <w:rFonts w:hint="cs"/>
          <w:spacing w:val="0"/>
          <w:kern w:val="0"/>
          <w:sz w:val="20"/>
          <w:rtl/>
          <w:lang w:val="en-CA"/>
        </w:rPr>
        <w:t>ات</w:t>
      </w:r>
      <w:r w:rsidRPr="008D1B92">
        <w:rPr>
          <w:spacing w:val="0"/>
          <w:kern w:val="0"/>
          <w:sz w:val="20"/>
          <w:rtl/>
          <w:lang w:val="en-CA"/>
        </w:rPr>
        <w:t xml:space="preserve"> جهاز تنظيم ضربات القلب </w:t>
      </w:r>
      <w:r w:rsidRPr="008D1B92">
        <w:rPr>
          <w:rFonts w:hint="cs"/>
          <w:spacing w:val="0"/>
          <w:kern w:val="0"/>
          <w:sz w:val="20"/>
          <w:rtl/>
          <w:lang w:val="en-CA"/>
        </w:rPr>
        <w:t>الخاص بصاحب الشكوى</w:t>
      </w:r>
      <w:r w:rsidRPr="008D1B92">
        <w:rPr>
          <w:spacing w:val="0"/>
          <w:kern w:val="0"/>
          <w:sz w:val="20"/>
          <w:rtl/>
          <w:lang w:val="en-CA"/>
        </w:rPr>
        <w:t>.</w:t>
      </w:r>
    </w:p>
    <w:p w:rsidR="008D1B92" w:rsidRPr="008D1B92" w:rsidRDefault="008D1B92" w:rsidP="00CA2D0E">
      <w:pPr>
        <w:pStyle w:val="SingleTxtGA"/>
        <w:spacing w:line="360" w:lineRule="exact"/>
        <w:jc w:val="lowKashida"/>
        <w:rPr>
          <w:rFonts w:hint="cs"/>
          <w:spacing w:val="0"/>
          <w:kern w:val="0"/>
          <w:sz w:val="20"/>
          <w:rtl/>
          <w:lang w:val="en-CA"/>
        </w:rPr>
      </w:pPr>
      <w:r w:rsidRPr="008D1B92">
        <w:rPr>
          <w:rFonts w:hint="cs"/>
          <w:spacing w:val="0"/>
          <w:kern w:val="0"/>
          <w:sz w:val="20"/>
          <w:rtl/>
          <w:lang w:val="en-CA"/>
        </w:rPr>
        <w:t>4-5</w:t>
      </w:r>
      <w:r w:rsidRPr="008D1B92">
        <w:rPr>
          <w:rFonts w:hint="cs"/>
          <w:spacing w:val="0"/>
          <w:kern w:val="0"/>
          <w:sz w:val="20"/>
          <w:rtl/>
          <w:lang w:val="en-CA"/>
        </w:rPr>
        <w:tab/>
        <w:t>و</w:t>
      </w:r>
      <w:r w:rsidRPr="008D1B92">
        <w:rPr>
          <w:spacing w:val="0"/>
          <w:kern w:val="0"/>
          <w:sz w:val="20"/>
          <w:rtl/>
          <w:lang w:val="en-CA"/>
        </w:rPr>
        <w:t>في 31 كانون الثاني</w:t>
      </w:r>
      <w:r w:rsidRPr="008D1B92">
        <w:rPr>
          <w:rFonts w:hint="cs"/>
          <w:spacing w:val="0"/>
          <w:kern w:val="0"/>
          <w:sz w:val="20"/>
          <w:rtl/>
          <w:lang w:val="en-CA"/>
        </w:rPr>
        <w:t>/يناير</w:t>
      </w:r>
      <w:r w:rsidRPr="008D1B92">
        <w:rPr>
          <w:spacing w:val="0"/>
          <w:kern w:val="0"/>
          <w:sz w:val="20"/>
          <w:rtl/>
          <w:lang w:val="en-CA"/>
        </w:rPr>
        <w:t xml:space="preserve"> 2009، </w:t>
      </w:r>
      <w:r w:rsidRPr="008D1B92">
        <w:rPr>
          <w:rFonts w:hint="cs"/>
          <w:spacing w:val="0"/>
          <w:kern w:val="0"/>
          <w:sz w:val="20"/>
          <w:rtl/>
          <w:lang w:val="en-CA"/>
        </w:rPr>
        <w:t>قدم صاحب الشكوى</w:t>
      </w:r>
      <w:r w:rsidRPr="008D1B92">
        <w:rPr>
          <w:spacing w:val="0"/>
          <w:kern w:val="0"/>
          <w:sz w:val="20"/>
          <w:rtl/>
          <w:lang w:val="en-CA"/>
        </w:rPr>
        <w:t xml:space="preserve"> إلى </w:t>
      </w:r>
      <w:r w:rsidRPr="008D1B92">
        <w:rPr>
          <w:rFonts w:hint="cs"/>
          <w:spacing w:val="0"/>
          <w:kern w:val="0"/>
          <w:sz w:val="20"/>
          <w:rtl/>
          <w:lang w:val="en-CA"/>
        </w:rPr>
        <w:t xml:space="preserve">موظف </w:t>
      </w:r>
      <w:r w:rsidRPr="008D1B92">
        <w:rPr>
          <w:spacing w:val="0"/>
          <w:kern w:val="0"/>
          <w:sz w:val="20"/>
          <w:rtl/>
          <w:lang w:val="en-CA"/>
        </w:rPr>
        <w:t xml:space="preserve">وكالة </w:t>
      </w:r>
      <w:r w:rsidRPr="008D1B92">
        <w:rPr>
          <w:rFonts w:hint="cs"/>
          <w:spacing w:val="0"/>
          <w:kern w:val="0"/>
          <w:sz w:val="20"/>
          <w:rtl/>
          <w:lang w:val="en-CA"/>
        </w:rPr>
        <w:t>ال</w:t>
      </w:r>
      <w:r w:rsidRPr="008D1B92">
        <w:rPr>
          <w:spacing w:val="0"/>
          <w:kern w:val="0"/>
          <w:sz w:val="20"/>
          <w:rtl/>
          <w:lang w:val="en-CA"/>
        </w:rPr>
        <w:t>خدمات الحدود</w:t>
      </w:r>
      <w:r w:rsidRPr="008D1B92">
        <w:rPr>
          <w:rFonts w:hint="cs"/>
          <w:spacing w:val="0"/>
          <w:kern w:val="0"/>
          <w:sz w:val="20"/>
          <w:rtl/>
          <w:lang w:val="en-CA"/>
        </w:rPr>
        <w:t>ية</w:t>
      </w:r>
      <w:r w:rsidRPr="008D1B92">
        <w:rPr>
          <w:spacing w:val="0"/>
          <w:kern w:val="0"/>
          <w:sz w:val="20"/>
          <w:rtl/>
          <w:lang w:val="en-CA"/>
        </w:rPr>
        <w:t xml:space="preserve"> </w:t>
      </w:r>
      <w:r w:rsidRPr="008D1B92">
        <w:rPr>
          <w:rFonts w:hint="cs"/>
          <w:spacing w:val="0"/>
          <w:kern w:val="0"/>
          <w:sz w:val="20"/>
          <w:rtl/>
          <w:lang w:val="en-CA"/>
        </w:rPr>
        <w:t>ال</w:t>
      </w:r>
      <w:r w:rsidRPr="008D1B92">
        <w:rPr>
          <w:spacing w:val="0"/>
          <w:kern w:val="0"/>
          <w:sz w:val="20"/>
          <w:rtl/>
          <w:lang w:val="en-CA"/>
        </w:rPr>
        <w:t>كند</w:t>
      </w:r>
      <w:r w:rsidRPr="008D1B92">
        <w:rPr>
          <w:rFonts w:hint="cs"/>
          <w:spacing w:val="0"/>
          <w:kern w:val="0"/>
          <w:sz w:val="20"/>
          <w:rtl/>
          <w:lang w:val="en-CA"/>
        </w:rPr>
        <w:t>ية</w:t>
      </w:r>
      <w:r w:rsidRPr="008D1B92">
        <w:rPr>
          <w:spacing w:val="0"/>
          <w:kern w:val="0"/>
          <w:sz w:val="20"/>
          <w:rtl/>
          <w:lang w:val="en-CA"/>
        </w:rPr>
        <w:t xml:space="preserve"> طلبا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لوقف تنفيذ الترحيل </w:t>
      </w:r>
      <w:r w:rsidRPr="008D1B92">
        <w:rPr>
          <w:spacing w:val="0"/>
          <w:kern w:val="0"/>
          <w:sz w:val="20"/>
          <w:rtl/>
          <w:lang w:val="en-CA"/>
        </w:rPr>
        <w:t>إداري</w:t>
      </w:r>
      <w:r w:rsidRPr="008D1B92">
        <w:rPr>
          <w:rFonts w:hint="cs"/>
          <w:spacing w:val="0"/>
          <w:kern w:val="0"/>
          <w:sz w:val="20"/>
          <w:rtl/>
          <w:lang w:val="en-CA"/>
        </w:rPr>
        <w:t>اً</w:t>
      </w:r>
      <w:r w:rsidRPr="008D1B92">
        <w:rPr>
          <w:spacing w:val="0"/>
          <w:kern w:val="0"/>
          <w:sz w:val="20"/>
          <w:rtl/>
          <w:lang w:val="en-CA"/>
        </w:rPr>
        <w:t xml:space="preserve"> زعم </w:t>
      </w:r>
      <w:r w:rsidRPr="008D1B92">
        <w:rPr>
          <w:rFonts w:hint="cs"/>
          <w:spacing w:val="0"/>
          <w:kern w:val="0"/>
          <w:sz w:val="20"/>
          <w:rtl/>
          <w:lang w:val="en-CA"/>
        </w:rPr>
        <w:t xml:space="preserve">فيه مرة أخرى </w:t>
      </w:r>
      <w:r w:rsidRPr="008D1B92">
        <w:rPr>
          <w:spacing w:val="0"/>
          <w:kern w:val="0"/>
          <w:sz w:val="20"/>
          <w:rtl/>
          <w:lang w:val="en-CA"/>
        </w:rPr>
        <w:t>أن الخدمات</w:t>
      </w:r>
      <w:r w:rsidRPr="008D1B92">
        <w:rPr>
          <w:rFonts w:hint="cs"/>
          <w:spacing w:val="0"/>
          <w:kern w:val="0"/>
          <w:sz w:val="20"/>
          <w:rtl/>
          <w:lang w:val="en-CA"/>
        </w:rPr>
        <w:t> </w:t>
      </w:r>
      <w:r w:rsidRPr="008D1B92">
        <w:rPr>
          <w:spacing w:val="0"/>
          <w:kern w:val="0"/>
          <w:sz w:val="20"/>
          <w:rtl/>
          <w:lang w:val="en-CA"/>
        </w:rPr>
        <w:t xml:space="preserve">الصحية في هايتي </w:t>
      </w:r>
      <w:r w:rsidRPr="008D1B92">
        <w:rPr>
          <w:rFonts w:hint="cs"/>
          <w:spacing w:val="0"/>
          <w:kern w:val="0"/>
          <w:sz w:val="20"/>
          <w:rtl/>
          <w:lang w:val="en-CA"/>
        </w:rPr>
        <w:t>ليست مناسبة</w:t>
      </w:r>
      <w:r w:rsidRPr="008D1B92">
        <w:rPr>
          <w:spacing w:val="0"/>
          <w:kern w:val="0"/>
          <w:sz w:val="20"/>
          <w:rtl/>
          <w:lang w:val="en-CA"/>
        </w:rPr>
        <w:t xml:space="preserve">. </w:t>
      </w:r>
      <w:r w:rsidRPr="008D1B92">
        <w:rPr>
          <w:rFonts w:hint="cs"/>
          <w:spacing w:val="0"/>
          <w:kern w:val="0"/>
          <w:sz w:val="20"/>
          <w:rtl/>
          <w:lang w:val="en-CA"/>
        </w:rPr>
        <w:t xml:space="preserve">ودعم </w:t>
      </w:r>
      <w:r w:rsidRPr="008D1B92">
        <w:rPr>
          <w:spacing w:val="0"/>
          <w:kern w:val="0"/>
          <w:sz w:val="20"/>
          <w:rtl/>
          <w:lang w:val="en-CA"/>
        </w:rPr>
        <w:t xml:space="preserve">هذا الطلب بنفس الأدلة </w:t>
      </w:r>
      <w:r w:rsidRPr="008D1B92">
        <w:rPr>
          <w:rFonts w:hint="cs"/>
          <w:spacing w:val="0"/>
          <w:kern w:val="0"/>
          <w:sz w:val="20"/>
          <w:rtl/>
          <w:lang w:val="en-CA"/>
        </w:rPr>
        <w:t>المقدمة</w:t>
      </w:r>
      <w:r w:rsidRPr="008D1B92">
        <w:rPr>
          <w:spacing w:val="0"/>
          <w:kern w:val="0"/>
          <w:sz w:val="20"/>
          <w:rtl/>
          <w:lang w:val="en-CA"/>
        </w:rPr>
        <w:t xml:space="preserve"> إلى اللجنة، وهي رسالة من نائب القنصل </w:t>
      </w:r>
      <w:r w:rsidRPr="008D1B92">
        <w:rPr>
          <w:rFonts w:hint="cs"/>
          <w:spacing w:val="0"/>
          <w:kern w:val="0"/>
          <w:sz w:val="20"/>
          <w:rtl/>
          <w:lang w:val="en-CA"/>
        </w:rPr>
        <w:t>ال</w:t>
      </w:r>
      <w:r w:rsidRPr="008D1B92">
        <w:rPr>
          <w:spacing w:val="0"/>
          <w:kern w:val="0"/>
          <w:sz w:val="20"/>
          <w:rtl/>
          <w:lang w:val="en-CA"/>
        </w:rPr>
        <w:t xml:space="preserve">هايتي في مونتريال ورسالة من </w:t>
      </w:r>
      <w:r w:rsidRPr="008D1B92">
        <w:rPr>
          <w:rFonts w:hint="cs"/>
          <w:spacing w:val="0"/>
          <w:kern w:val="0"/>
          <w:sz w:val="20"/>
          <w:rtl/>
          <w:lang w:val="en-CA"/>
        </w:rPr>
        <w:t>أحد أطباء أمراض ال</w:t>
      </w:r>
      <w:r w:rsidRPr="008D1B92">
        <w:rPr>
          <w:spacing w:val="0"/>
          <w:kern w:val="0"/>
          <w:sz w:val="20"/>
          <w:rtl/>
          <w:lang w:val="en-CA"/>
        </w:rPr>
        <w:t xml:space="preserve">قلب في كندا. </w:t>
      </w:r>
      <w:r w:rsidRPr="008D1B92">
        <w:rPr>
          <w:rFonts w:hint="cs"/>
          <w:spacing w:val="0"/>
          <w:kern w:val="0"/>
          <w:sz w:val="20"/>
          <w:rtl/>
          <w:lang w:val="en-CA"/>
        </w:rPr>
        <w:t>وبالتالي</w:t>
      </w:r>
      <w:r w:rsidRPr="008D1B92">
        <w:rPr>
          <w:spacing w:val="0"/>
          <w:kern w:val="0"/>
          <w:sz w:val="20"/>
          <w:rtl/>
          <w:lang w:val="en-CA"/>
        </w:rPr>
        <w:t xml:space="preserve">، أحيل ملف </w:t>
      </w:r>
      <w:r w:rsidRPr="008D1B92">
        <w:rPr>
          <w:rFonts w:hint="cs"/>
          <w:spacing w:val="0"/>
          <w:kern w:val="0"/>
          <w:sz w:val="20"/>
          <w:rtl/>
          <w:lang w:val="en-CA"/>
        </w:rPr>
        <w:t>صاحب الشكوى</w:t>
      </w:r>
      <w:r w:rsidRPr="008D1B92">
        <w:rPr>
          <w:spacing w:val="0"/>
          <w:kern w:val="0"/>
          <w:sz w:val="20"/>
          <w:rtl/>
          <w:lang w:val="en-CA"/>
        </w:rPr>
        <w:t xml:space="preserve"> إلى طبي</w:t>
      </w:r>
      <w:r w:rsidRPr="008D1B92">
        <w:rPr>
          <w:rFonts w:hint="cs"/>
          <w:spacing w:val="0"/>
          <w:kern w:val="0"/>
          <w:sz w:val="20"/>
          <w:rtl/>
          <w:lang w:val="en-CA"/>
        </w:rPr>
        <w:t xml:space="preserve">ب معتمد لدى إدارة </w:t>
      </w:r>
      <w:r w:rsidRPr="008D1B92">
        <w:rPr>
          <w:spacing w:val="0"/>
          <w:kern w:val="0"/>
          <w:sz w:val="20"/>
          <w:rtl/>
          <w:lang w:val="en-CA"/>
        </w:rPr>
        <w:t xml:space="preserve">المواطنة والهجرة الكندية للحصول على رأي طبي. </w:t>
      </w:r>
      <w:r w:rsidRPr="008D1B92">
        <w:rPr>
          <w:rFonts w:hint="cs"/>
          <w:spacing w:val="0"/>
          <w:kern w:val="0"/>
          <w:sz w:val="20"/>
          <w:rtl/>
          <w:lang w:val="en-CA"/>
        </w:rPr>
        <w:t xml:space="preserve">واستشير </w:t>
      </w:r>
      <w:r w:rsidRPr="008D1B92">
        <w:rPr>
          <w:spacing w:val="0"/>
          <w:kern w:val="0"/>
          <w:sz w:val="20"/>
          <w:rtl/>
          <w:lang w:val="en-CA"/>
        </w:rPr>
        <w:t>أيضا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الطبيب الإقليمي المعتمد لدى البعثة</w:t>
      </w:r>
      <w:r w:rsidRPr="008D1B92">
        <w:rPr>
          <w:spacing w:val="0"/>
          <w:kern w:val="0"/>
          <w:sz w:val="20"/>
          <w:rtl/>
          <w:lang w:val="en-CA"/>
        </w:rPr>
        <w:t xml:space="preserve"> الكندية في بورت</w:t>
      </w:r>
      <w:r w:rsidRPr="008D1B92">
        <w:rPr>
          <w:rFonts w:hint="cs"/>
          <w:spacing w:val="0"/>
          <w:kern w:val="0"/>
          <w:sz w:val="20"/>
          <w:rtl/>
          <w:lang w:val="en-CA"/>
        </w:rPr>
        <w:t xml:space="preserve"> </w:t>
      </w:r>
      <w:r w:rsidRPr="008D1B92">
        <w:rPr>
          <w:spacing w:val="0"/>
          <w:kern w:val="0"/>
          <w:sz w:val="20"/>
          <w:rtl/>
          <w:lang w:val="en-CA"/>
        </w:rPr>
        <w:t>أوف</w:t>
      </w:r>
      <w:r w:rsidRPr="008D1B92">
        <w:rPr>
          <w:rFonts w:hint="cs"/>
          <w:spacing w:val="0"/>
          <w:kern w:val="0"/>
          <w:sz w:val="20"/>
          <w:rtl/>
          <w:lang w:val="en-CA"/>
        </w:rPr>
        <w:t xml:space="preserve"> سبين،</w:t>
      </w:r>
      <w:r w:rsidRPr="008D1B92">
        <w:rPr>
          <w:spacing w:val="0"/>
          <w:kern w:val="0"/>
          <w:sz w:val="20"/>
          <w:rtl/>
          <w:lang w:val="en-CA"/>
        </w:rPr>
        <w:t xml:space="preserve"> ترينيداد وتوباغو. </w:t>
      </w:r>
      <w:r w:rsidRPr="008D1B92">
        <w:rPr>
          <w:rFonts w:hint="cs"/>
          <w:spacing w:val="0"/>
          <w:kern w:val="0"/>
          <w:sz w:val="20"/>
          <w:rtl/>
          <w:lang w:val="en-CA"/>
        </w:rPr>
        <w:t>و</w:t>
      </w:r>
      <w:r w:rsidRPr="008D1B92">
        <w:rPr>
          <w:spacing w:val="0"/>
          <w:kern w:val="0"/>
          <w:sz w:val="20"/>
          <w:rtl/>
          <w:lang w:val="en-CA"/>
        </w:rPr>
        <w:t>بعد التحقق، خل</w:t>
      </w:r>
      <w:r w:rsidRPr="008D1B92">
        <w:rPr>
          <w:rFonts w:hint="cs"/>
          <w:spacing w:val="0"/>
          <w:kern w:val="0"/>
          <w:sz w:val="20"/>
          <w:rtl/>
          <w:lang w:val="en-CA"/>
        </w:rPr>
        <w:t>ُ</w:t>
      </w:r>
      <w:r w:rsidRPr="008D1B92">
        <w:rPr>
          <w:spacing w:val="0"/>
          <w:kern w:val="0"/>
          <w:sz w:val="20"/>
          <w:rtl/>
          <w:lang w:val="en-CA"/>
        </w:rPr>
        <w:t xml:space="preserve">ص </w:t>
      </w:r>
      <w:r w:rsidRPr="008D1B92">
        <w:rPr>
          <w:rFonts w:hint="cs"/>
          <w:spacing w:val="0"/>
          <w:kern w:val="0"/>
          <w:sz w:val="20"/>
          <w:rtl/>
          <w:lang w:val="en-CA"/>
        </w:rPr>
        <w:t>الخبيران</w:t>
      </w:r>
      <w:r w:rsidRPr="008D1B92">
        <w:rPr>
          <w:spacing w:val="0"/>
          <w:kern w:val="0"/>
          <w:sz w:val="20"/>
          <w:rtl/>
          <w:lang w:val="en-CA"/>
        </w:rPr>
        <w:t xml:space="preserve"> إلى </w:t>
      </w:r>
      <w:r w:rsidRPr="008D1B92">
        <w:rPr>
          <w:rFonts w:hint="cs"/>
          <w:spacing w:val="0"/>
          <w:kern w:val="0"/>
          <w:sz w:val="20"/>
          <w:rtl/>
          <w:lang w:val="en-CA"/>
        </w:rPr>
        <w:t>توافر</w:t>
      </w:r>
      <w:r w:rsidRPr="008D1B92">
        <w:rPr>
          <w:spacing w:val="0"/>
          <w:kern w:val="0"/>
          <w:sz w:val="20"/>
          <w:rtl/>
          <w:lang w:val="en-CA"/>
        </w:rPr>
        <w:t xml:space="preserve"> </w:t>
      </w:r>
      <w:r w:rsidRPr="008D1B92">
        <w:rPr>
          <w:rFonts w:hint="cs"/>
          <w:spacing w:val="0"/>
          <w:kern w:val="0"/>
          <w:sz w:val="20"/>
          <w:rtl/>
          <w:lang w:val="en-CA"/>
        </w:rPr>
        <w:t>ال</w:t>
      </w:r>
      <w:r w:rsidRPr="008D1B92">
        <w:rPr>
          <w:spacing w:val="0"/>
          <w:kern w:val="0"/>
          <w:sz w:val="20"/>
          <w:rtl/>
          <w:lang w:val="en-CA"/>
        </w:rPr>
        <w:t xml:space="preserve">خدمات </w:t>
      </w:r>
      <w:r w:rsidRPr="008D1B92">
        <w:rPr>
          <w:rFonts w:hint="cs"/>
          <w:spacing w:val="0"/>
          <w:kern w:val="0"/>
          <w:sz w:val="20"/>
          <w:rtl/>
          <w:lang w:val="en-CA"/>
        </w:rPr>
        <w:t>ال</w:t>
      </w:r>
      <w:r w:rsidRPr="008D1B92">
        <w:rPr>
          <w:spacing w:val="0"/>
          <w:kern w:val="0"/>
          <w:sz w:val="20"/>
          <w:rtl/>
          <w:lang w:val="en-CA"/>
        </w:rPr>
        <w:t>صح</w:t>
      </w:r>
      <w:r w:rsidRPr="008D1B92">
        <w:rPr>
          <w:rFonts w:hint="cs"/>
          <w:spacing w:val="0"/>
          <w:kern w:val="0"/>
          <w:sz w:val="20"/>
          <w:rtl/>
          <w:lang w:val="en-CA"/>
        </w:rPr>
        <w:t>ي</w:t>
      </w:r>
      <w:r w:rsidRPr="008D1B92">
        <w:rPr>
          <w:spacing w:val="0"/>
          <w:kern w:val="0"/>
          <w:sz w:val="20"/>
          <w:rtl/>
          <w:lang w:val="en-CA"/>
        </w:rPr>
        <w:t xml:space="preserve">ة </w:t>
      </w:r>
      <w:r w:rsidRPr="008D1B92">
        <w:rPr>
          <w:rFonts w:hint="cs"/>
          <w:spacing w:val="0"/>
          <w:kern w:val="0"/>
          <w:sz w:val="20"/>
          <w:rtl/>
          <w:lang w:val="en-CA"/>
        </w:rPr>
        <w:t>المتعلقة بأمراض ا</w:t>
      </w:r>
      <w:r w:rsidRPr="008D1B92">
        <w:rPr>
          <w:spacing w:val="0"/>
          <w:kern w:val="0"/>
          <w:sz w:val="20"/>
          <w:rtl/>
          <w:lang w:val="en-CA"/>
        </w:rPr>
        <w:t xml:space="preserve">لقلب </w:t>
      </w:r>
      <w:r w:rsidRPr="008D1B92">
        <w:rPr>
          <w:rFonts w:hint="cs"/>
          <w:spacing w:val="0"/>
          <w:kern w:val="0"/>
          <w:sz w:val="20"/>
          <w:rtl/>
          <w:lang w:val="en-CA"/>
        </w:rPr>
        <w:t xml:space="preserve">في </w:t>
      </w:r>
      <w:r w:rsidRPr="008D1B92">
        <w:rPr>
          <w:spacing w:val="0"/>
          <w:kern w:val="0"/>
          <w:sz w:val="20"/>
          <w:rtl/>
          <w:lang w:val="en-CA"/>
        </w:rPr>
        <w:t>هايتي وحدد</w:t>
      </w:r>
      <w:r w:rsidRPr="008D1B92">
        <w:rPr>
          <w:rFonts w:hint="cs"/>
          <w:spacing w:val="0"/>
          <w:kern w:val="0"/>
          <w:sz w:val="20"/>
          <w:rtl/>
          <w:lang w:val="en-CA"/>
        </w:rPr>
        <w:t xml:space="preserve">ا مستشفى </w:t>
      </w:r>
      <w:r w:rsidRPr="008D1B92">
        <w:rPr>
          <w:spacing w:val="0"/>
          <w:kern w:val="0"/>
          <w:sz w:val="20"/>
          <w:rtl/>
          <w:lang w:val="en-CA"/>
        </w:rPr>
        <w:t>وفريق</w:t>
      </w:r>
      <w:r w:rsidRPr="008D1B92">
        <w:rPr>
          <w:rFonts w:hint="cs"/>
          <w:spacing w:val="0"/>
          <w:kern w:val="0"/>
          <w:sz w:val="20"/>
          <w:rtl/>
          <w:lang w:val="en-CA"/>
        </w:rPr>
        <w:t>اً</w:t>
      </w:r>
      <w:r w:rsidRPr="008D1B92">
        <w:rPr>
          <w:spacing w:val="0"/>
          <w:kern w:val="0"/>
          <w:sz w:val="20"/>
          <w:rtl/>
          <w:lang w:val="en-CA"/>
        </w:rPr>
        <w:t xml:space="preserve"> من المتخصصين </w:t>
      </w:r>
      <w:r w:rsidRPr="008D1B92">
        <w:rPr>
          <w:rFonts w:hint="cs"/>
          <w:spacing w:val="0"/>
          <w:kern w:val="0"/>
          <w:sz w:val="20"/>
          <w:rtl/>
          <w:lang w:val="en-CA"/>
        </w:rPr>
        <w:t>يتألف</w:t>
      </w:r>
      <w:r w:rsidRPr="008D1B92">
        <w:rPr>
          <w:spacing w:val="0"/>
          <w:kern w:val="0"/>
          <w:sz w:val="20"/>
          <w:rtl/>
          <w:lang w:val="en-CA"/>
        </w:rPr>
        <w:t xml:space="preserve"> من اثنين من أطباء القلب وجراح </w:t>
      </w:r>
      <w:r w:rsidRPr="008D1B92">
        <w:rPr>
          <w:rFonts w:hint="cs"/>
          <w:spacing w:val="0"/>
          <w:kern w:val="0"/>
          <w:sz w:val="20"/>
          <w:rtl/>
          <w:lang w:val="en-CA"/>
        </w:rPr>
        <w:t>يمكنهم</w:t>
      </w:r>
      <w:r w:rsidRPr="008D1B92">
        <w:rPr>
          <w:spacing w:val="0"/>
          <w:kern w:val="0"/>
          <w:sz w:val="20"/>
          <w:rtl/>
          <w:lang w:val="en-CA"/>
        </w:rPr>
        <w:t xml:space="preserve"> التحقق من تشغيل جهاز تنظيم ضربات القلب وتغيير البطارية. وأرسل اسم وعنوان </w:t>
      </w:r>
      <w:r w:rsidRPr="008D1B92">
        <w:rPr>
          <w:rFonts w:hint="cs"/>
          <w:spacing w:val="0"/>
          <w:kern w:val="0"/>
          <w:sz w:val="20"/>
          <w:rtl/>
          <w:lang w:val="en-CA"/>
        </w:rPr>
        <w:t xml:space="preserve">وهاتف </w:t>
      </w:r>
      <w:r w:rsidRPr="008D1B92">
        <w:rPr>
          <w:spacing w:val="0"/>
          <w:kern w:val="0"/>
          <w:sz w:val="20"/>
          <w:rtl/>
          <w:lang w:val="en-CA"/>
        </w:rPr>
        <w:t xml:space="preserve">المستشفى </w:t>
      </w:r>
      <w:r w:rsidRPr="008D1B92">
        <w:rPr>
          <w:rFonts w:hint="cs"/>
          <w:spacing w:val="0"/>
          <w:kern w:val="0"/>
          <w:sz w:val="20"/>
          <w:rtl/>
          <w:lang w:val="en-CA"/>
        </w:rPr>
        <w:t>إلى صاحب الشكوى</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نظرا</w:t>
      </w:r>
      <w:r w:rsidRPr="008D1B92">
        <w:rPr>
          <w:rFonts w:hint="cs"/>
          <w:spacing w:val="0"/>
          <w:kern w:val="0"/>
          <w:sz w:val="20"/>
          <w:rtl/>
          <w:lang w:val="en-CA"/>
        </w:rPr>
        <w:t>ً</w:t>
      </w:r>
      <w:r w:rsidRPr="008D1B92">
        <w:rPr>
          <w:spacing w:val="0"/>
          <w:kern w:val="0"/>
          <w:sz w:val="20"/>
          <w:rtl/>
          <w:lang w:val="en-CA"/>
        </w:rPr>
        <w:t xml:space="preserve"> لتوافر هذه الخدمات في هايتي، ر</w:t>
      </w:r>
      <w:r w:rsidRPr="008D1B92">
        <w:rPr>
          <w:rFonts w:hint="cs"/>
          <w:spacing w:val="0"/>
          <w:kern w:val="0"/>
          <w:sz w:val="20"/>
          <w:rtl/>
          <w:lang w:val="en-CA"/>
        </w:rPr>
        <w:t>ُ</w:t>
      </w:r>
      <w:r w:rsidRPr="008D1B92">
        <w:rPr>
          <w:spacing w:val="0"/>
          <w:kern w:val="0"/>
          <w:sz w:val="20"/>
          <w:rtl/>
          <w:lang w:val="en-CA"/>
        </w:rPr>
        <w:t xml:space="preserve">فض طلب وقف </w:t>
      </w:r>
      <w:r w:rsidRPr="008D1B92">
        <w:rPr>
          <w:rFonts w:hint="cs"/>
          <w:spacing w:val="0"/>
          <w:kern w:val="0"/>
          <w:sz w:val="20"/>
          <w:rtl/>
          <w:lang w:val="en-CA"/>
        </w:rPr>
        <w:t xml:space="preserve">تنفيذ الترحيل </w:t>
      </w:r>
      <w:r w:rsidRPr="008D1B92">
        <w:rPr>
          <w:spacing w:val="0"/>
          <w:kern w:val="0"/>
          <w:sz w:val="20"/>
          <w:rtl/>
          <w:lang w:val="en-CA"/>
        </w:rPr>
        <w:t>إداري</w:t>
      </w:r>
      <w:r w:rsidRPr="008D1B92">
        <w:rPr>
          <w:rFonts w:hint="cs"/>
          <w:spacing w:val="0"/>
          <w:kern w:val="0"/>
          <w:sz w:val="20"/>
          <w:rtl/>
          <w:lang w:val="en-CA"/>
        </w:rPr>
        <w:t>اً</w:t>
      </w:r>
      <w:r w:rsidRPr="008D1B92">
        <w:rPr>
          <w:spacing w:val="0"/>
          <w:kern w:val="0"/>
          <w:sz w:val="20"/>
          <w:rtl/>
          <w:lang w:val="en-CA"/>
        </w:rPr>
        <w:t>.</w:t>
      </w:r>
    </w:p>
    <w:p w:rsidR="008D1B92" w:rsidRPr="00CA2D0E" w:rsidRDefault="008D1B92" w:rsidP="00CA2D0E">
      <w:pPr>
        <w:pStyle w:val="SingleTxtGA"/>
        <w:jc w:val="lowKashida"/>
        <w:rPr>
          <w:rFonts w:hint="cs"/>
          <w:spacing w:val="0"/>
          <w:kern w:val="0"/>
          <w:sz w:val="20"/>
          <w:rtl/>
          <w:lang w:val="en-CA"/>
        </w:rPr>
      </w:pPr>
      <w:r w:rsidRPr="00CA2D0E">
        <w:rPr>
          <w:rFonts w:hint="cs"/>
          <w:spacing w:val="0"/>
          <w:kern w:val="0"/>
          <w:sz w:val="20"/>
          <w:rtl/>
          <w:lang w:val="en-CA"/>
        </w:rPr>
        <w:t>4-6</w:t>
      </w:r>
      <w:r w:rsidRPr="00CA2D0E">
        <w:rPr>
          <w:rFonts w:hint="cs"/>
          <w:spacing w:val="0"/>
          <w:kern w:val="0"/>
          <w:sz w:val="20"/>
          <w:rtl/>
          <w:lang w:val="en-CA"/>
        </w:rPr>
        <w:tab/>
        <w:t>وفيما يتعلق بالمقبولية، تشير الدولة الطرف أولاً إلى أن المادة 3 من الاتفاقية تستدعي وجود أسباب حقيقية تدعو إلى الاعتقاد بأن صاحب الشكوى يواجه خطر التعرض للتعذيب. و</w:t>
      </w:r>
      <w:r w:rsidRPr="00CA2D0E">
        <w:rPr>
          <w:spacing w:val="0"/>
          <w:kern w:val="0"/>
          <w:sz w:val="20"/>
          <w:rtl/>
          <w:lang w:val="en-CA"/>
        </w:rPr>
        <w:t>وفقا</w:t>
      </w:r>
      <w:r w:rsidRPr="00CA2D0E">
        <w:rPr>
          <w:rFonts w:hint="cs"/>
          <w:spacing w:val="0"/>
          <w:kern w:val="0"/>
          <w:sz w:val="20"/>
          <w:rtl/>
          <w:lang w:val="en-CA"/>
        </w:rPr>
        <w:t>ً</w:t>
      </w:r>
      <w:r w:rsidRPr="00CA2D0E">
        <w:rPr>
          <w:spacing w:val="0"/>
          <w:kern w:val="0"/>
          <w:sz w:val="20"/>
          <w:rtl/>
          <w:lang w:val="en-CA"/>
        </w:rPr>
        <w:t xml:space="preserve"> </w:t>
      </w:r>
      <w:r w:rsidRPr="00CA2D0E">
        <w:rPr>
          <w:rFonts w:hint="cs"/>
          <w:spacing w:val="0"/>
          <w:kern w:val="0"/>
          <w:sz w:val="20"/>
          <w:rtl/>
          <w:lang w:val="en-CA"/>
        </w:rPr>
        <w:t>للاجتهادات القانونية</w:t>
      </w:r>
      <w:r w:rsidRPr="00CA2D0E">
        <w:rPr>
          <w:spacing w:val="0"/>
          <w:kern w:val="0"/>
          <w:sz w:val="20"/>
          <w:rtl/>
          <w:lang w:val="en-CA"/>
        </w:rPr>
        <w:t xml:space="preserve"> للجنة</w:t>
      </w:r>
      <w:r w:rsidRPr="00CA2D0E">
        <w:rPr>
          <w:rFonts w:hint="cs"/>
          <w:spacing w:val="0"/>
          <w:kern w:val="0"/>
          <w:sz w:val="20"/>
          <w:rtl/>
          <w:lang w:val="en-CA"/>
        </w:rPr>
        <w:t xml:space="preserve">، </w:t>
      </w:r>
      <w:r w:rsidRPr="00CA2D0E">
        <w:rPr>
          <w:spacing w:val="0"/>
          <w:kern w:val="0"/>
          <w:sz w:val="20"/>
          <w:rtl/>
          <w:lang w:val="en-CA"/>
        </w:rPr>
        <w:t xml:space="preserve">يجب أن يكون </w:t>
      </w:r>
      <w:r w:rsidRPr="00CA2D0E">
        <w:rPr>
          <w:rFonts w:hint="cs"/>
          <w:spacing w:val="0"/>
          <w:kern w:val="0"/>
          <w:sz w:val="20"/>
          <w:rtl/>
          <w:lang w:val="en-CA"/>
        </w:rPr>
        <w:t xml:space="preserve">هذا الخطر </w:t>
      </w:r>
      <w:r w:rsidRPr="00CA2D0E">
        <w:rPr>
          <w:spacing w:val="0"/>
          <w:kern w:val="0"/>
          <w:sz w:val="20"/>
          <w:rtl/>
          <w:lang w:val="en-CA"/>
        </w:rPr>
        <w:t>شخصي</w:t>
      </w:r>
      <w:r w:rsidRPr="00CA2D0E">
        <w:rPr>
          <w:rFonts w:hint="cs"/>
          <w:spacing w:val="0"/>
          <w:kern w:val="0"/>
          <w:sz w:val="20"/>
          <w:rtl/>
          <w:lang w:val="en-CA"/>
        </w:rPr>
        <w:t>اً</w:t>
      </w:r>
      <w:r w:rsidRPr="00CA2D0E">
        <w:rPr>
          <w:spacing w:val="0"/>
          <w:kern w:val="0"/>
          <w:sz w:val="20"/>
          <w:rtl/>
          <w:lang w:val="en-CA"/>
        </w:rPr>
        <w:t xml:space="preserve"> </w:t>
      </w:r>
      <w:r w:rsidRPr="00CA2D0E">
        <w:rPr>
          <w:rFonts w:hint="cs"/>
          <w:spacing w:val="0"/>
          <w:kern w:val="0"/>
          <w:sz w:val="20"/>
          <w:rtl/>
          <w:lang w:val="en-CA"/>
        </w:rPr>
        <w:t xml:space="preserve">وحقيقياً، </w:t>
      </w:r>
      <w:r w:rsidRPr="00CA2D0E">
        <w:rPr>
          <w:spacing w:val="0"/>
          <w:kern w:val="0"/>
          <w:sz w:val="20"/>
          <w:rtl/>
          <w:lang w:val="en-CA"/>
        </w:rPr>
        <w:t>وينبغي أ</w:t>
      </w:r>
      <w:r w:rsidRPr="00CA2D0E">
        <w:rPr>
          <w:rFonts w:hint="cs"/>
          <w:spacing w:val="0"/>
          <w:kern w:val="0"/>
          <w:sz w:val="20"/>
          <w:rtl/>
          <w:lang w:val="en-CA"/>
        </w:rPr>
        <w:t>لا </w:t>
      </w:r>
      <w:r w:rsidRPr="00CA2D0E">
        <w:rPr>
          <w:spacing w:val="0"/>
          <w:kern w:val="0"/>
          <w:sz w:val="20"/>
          <w:rtl/>
          <w:lang w:val="en-CA"/>
        </w:rPr>
        <w:t xml:space="preserve">يقتصر على </w:t>
      </w:r>
      <w:r w:rsidRPr="00CA2D0E">
        <w:rPr>
          <w:rFonts w:hint="cs"/>
          <w:spacing w:val="0"/>
          <w:kern w:val="0"/>
          <w:sz w:val="20"/>
          <w:rtl/>
          <w:lang w:val="en-CA"/>
        </w:rPr>
        <w:t>مجرد افتراضات</w:t>
      </w:r>
      <w:r w:rsidRPr="00CA2D0E">
        <w:rPr>
          <w:spacing w:val="0"/>
          <w:kern w:val="0"/>
          <w:sz w:val="20"/>
          <w:rtl/>
          <w:lang w:val="en-CA"/>
        </w:rPr>
        <w:t xml:space="preserve"> أو شك</w:t>
      </w:r>
      <w:r w:rsidRPr="00CA2D0E">
        <w:rPr>
          <w:rFonts w:hint="cs"/>
          <w:spacing w:val="0"/>
          <w:kern w:val="0"/>
          <w:sz w:val="20"/>
          <w:rtl/>
          <w:lang w:val="en-CA"/>
        </w:rPr>
        <w:t>وك</w:t>
      </w:r>
      <w:r w:rsidRPr="00CA2D0E">
        <w:rPr>
          <w:spacing w:val="0"/>
          <w:kern w:val="0"/>
          <w:sz w:val="20"/>
          <w:rtl/>
          <w:lang w:val="en-CA"/>
        </w:rPr>
        <w:t xml:space="preserve">. </w:t>
      </w:r>
      <w:r w:rsidRPr="00CA2D0E">
        <w:rPr>
          <w:rFonts w:hint="cs"/>
          <w:spacing w:val="0"/>
          <w:kern w:val="0"/>
          <w:sz w:val="20"/>
          <w:rtl/>
          <w:lang w:val="en-CA"/>
        </w:rPr>
        <w:t>كما تشير</w:t>
      </w:r>
      <w:r w:rsidRPr="00CA2D0E">
        <w:rPr>
          <w:spacing w:val="0"/>
          <w:kern w:val="0"/>
          <w:sz w:val="20"/>
          <w:rtl/>
          <w:lang w:val="en-CA"/>
        </w:rPr>
        <w:t xml:space="preserve"> الدولة الطرف </w:t>
      </w:r>
      <w:r w:rsidRPr="00CA2D0E">
        <w:rPr>
          <w:rFonts w:hint="cs"/>
          <w:spacing w:val="0"/>
          <w:kern w:val="0"/>
          <w:sz w:val="20"/>
          <w:rtl/>
          <w:lang w:val="en-CA"/>
        </w:rPr>
        <w:t xml:space="preserve">إلى </w:t>
      </w:r>
      <w:r w:rsidRPr="00CA2D0E">
        <w:rPr>
          <w:spacing w:val="0"/>
          <w:kern w:val="0"/>
          <w:sz w:val="20"/>
          <w:rtl/>
          <w:lang w:val="en-CA"/>
        </w:rPr>
        <w:t>أن</w:t>
      </w:r>
      <w:r w:rsidRPr="00CA2D0E">
        <w:rPr>
          <w:rFonts w:hint="cs"/>
          <w:spacing w:val="0"/>
          <w:kern w:val="0"/>
          <w:sz w:val="20"/>
          <w:rtl/>
          <w:lang w:val="en-CA"/>
        </w:rPr>
        <w:t>ه على</w:t>
      </w:r>
      <w:r w:rsidRPr="00CA2D0E">
        <w:rPr>
          <w:spacing w:val="0"/>
          <w:kern w:val="0"/>
          <w:sz w:val="20"/>
          <w:rtl/>
          <w:lang w:val="en-CA"/>
        </w:rPr>
        <w:t xml:space="preserve"> صاحب الشكوى </w:t>
      </w:r>
      <w:r w:rsidRPr="00CA2D0E">
        <w:rPr>
          <w:rFonts w:hint="cs"/>
          <w:spacing w:val="0"/>
          <w:kern w:val="0"/>
          <w:sz w:val="20"/>
          <w:rtl/>
          <w:lang w:val="en-CA"/>
        </w:rPr>
        <w:t xml:space="preserve">إثبات أن شكواه مقبولة بطريقة ظاهرة الوجاهة </w:t>
      </w:r>
      <w:r w:rsidRPr="00CA2D0E">
        <w:rPr>
          <w:spacing w:val="0"/>
          <w:kern w:val="0"/>
          <w:sz w:val="20"/>
          <w:rtl/>
          <w:lang w:val="en-CA"/>
        </w:rPr>
        <w:t xml:space="preserve">بموجب المادة 22 من الاتفاقية. </w:t>
      </w:r>
      <w:r w:rsidRPr="00CA2D0E">
        <w:rPr>
          <w:rFonts w:hint="cs"/>
          <w:spacing w:val="0"/>
          <w:kern w:val="0"/>
          <w:sz w:val="20"/>
          <w:rtl/>
          <w:lang w:val="en-CA"/>
        </w:rPr>
        <w:t>و</w:t>
      </w:r>
      <w:r w:rsidRPr="00CA2D0E">
        <w:rPr>
          <w:spacing w:val="0"/>
          <w:kern w:val="0"/>
          <w:sz w:val="20"/>
          <w:rtl/>
          <w:lang w:val="en-CA"/>
        </w:rPr>
        <w:t xml:space="preserve">فيما يتعلق </w:t>
      </w:r>
      <w:r w:rsidRPr="00CA2D0E">
        <w:rPr>
          <w:rFonts w:hint="cs"/>
          <w:spacing w:val="0"/>
          <w:kern w:val="0"/>
          <w:sz w:val="20"/>
          <w:rtl/>
          <w:lang w:val="en-CA"/>
        </w:rPr>
        <w:t xml:space="preserve">بما يزعمه صاحب الشكوى من </w:t>
      </w:r>
      <w:r w:rsidRPr="00CA2D0E">
        <w:rPr>
          <w:spacing w:val="0"/>
          <w:kern w:val="0"/>
          <w:sz w:val="20"/>
          <w:rtl/>
          <w:lang w:val="en-CA"/>
        </w:rPr>
        <w:t xml:space="preserve">خطر </w:t>
      </w:r>
      <w:r w:rsidRPr="00CA2D0E">
        <w:rPr>
          <w:rFonts w:hint="cs"/>
          <w:spacing w:val="0"/>
          <w:kern w:val="0"/>
          <w:sz w:val="20"/>
          <w:rtl/>
          <w:lang w:val="en-CA"/>
        </w:rPr>
        <w:t>تعرضه للاختطاف</w:t>
      </w:r>
      <w:r w:rsidRPr="00CA2D0E">
        <w:rPr>
          <w:spacing w:val="0"/>
          <w:kern w:val="0"/>
          <w:sz w:val="20"/>
          <w:rtl/>
          <w:lang w:val="en-CA"/>
        </w:rPr>
        <w:t xml:space="preserve"> </w:t>
      </w:r>
      <w:r w:rsidRPr="00CA2D0E">
        <w:rPr>
          <w:rFonts w:hint="cs"/>
          <w:spacing w:val="0"/>
          <w:kern w:val="0"/>
          <w:sz w:val="20"/>
          <w:rtl/>
          <w:lang w:val="en-CA"/>
        </w:rPr>
        <w:t xml:space="preserve">والتعذيب والقتل </w:t>
      </w:r>
      <w:r w:rsidRPr="00CA2D0E">
        <w:rPr>
          <w:spacing w:val="0"/>
          <w:kern w:val="0"/>
          <w:sz w:val="20"/>
          <w:rtl/>
          <w:lang w:val="en-CA"/>
        </w:rPr>
        <w:t xml:space="preserve">من </w:t>
      </w:r>
      <w:r w:rsidRPr="00CA2D0E">
        <w:rPr>
          <w:rFonts w:hint="cs"/>
          <w:spacing w:val="0"/>
          <w:kern w:val="0"/>
          <w:sz w:val="20"/>
          <w:rtl/>
          <w:lang w:val="en-CA"/>
        </w:rPr>
        <w:t>جانب</w:t>
      </w:r>
      <w:r w:rsidRPr="00CA2D0E">
        <w:rPr>
          <w:spacing w:val="0"/>
          <w:kern w:val="0"/>
          <w:sz w:val="20"/>
          <w:rtl/>
          <w:lang w:val="en-CA"/>
        </w:rPr>
        <w:t xml:space="preserve"> مجرمين هايتي</w:t>
      </w:r>
      <w:r w:rsidRPr="00CA2D0E">
        <w:rPr>
          <w:rFonts w:hint="cs"/>
          <w:spacing w:val="0"/>
          <w:kern w:val="0"/>
          <w:sz w:val="20"/>
          <w:rtl/>
          <w:lang w:val="en-CA"/>
        </w:rPr>
        <w:t>ين</w:t>
      </w:r>
      <w:r w:rsidRPr="00CA2D0E">
        <w:rPr>
          <w:spacing w:val="0"/>
          <w:kern w:val="0"/>
          <w:sz w:val="20"/>
          <w:rtl/>
          <w:lang w:val="en-CA"/>
        </w:rPr>
        <w:t xml:space="preserve"> والأدلة </w:t>
      </w:r>
      <w:r w:rsidRPr="00CA2D0E">
        <w:rPr>
          <w:rFonts w:hint="cs"/>
          <w:spacing w:val="0"/>
          <w:kern w:val="0"/>
          <w:sz w:val="20"/>
          <w:rtl/>
          <w:lang w:val="en-CA"/>
        </w:rPr>
        <w:t>الداعمة</w:t>
      </w:r>
      <w:r w:rsidRPr="00CA2D0E">
        <w:rPr>
          <w:spacing w:val="0"/>
          <w:kern w:val="0"/>
          <w:sz w:val="20"/>
          <w:rtl/>
          <w:lang w:val="en-CA"/>
        </w:rPr>
        <w:t xml:space="preserve"> </w:t>
      </w:r>
      <w:r w:rsidRPr="00CA2D0E">
        <w:rPr>
          <w:rFonts w:hint="cs"/>
          <w:spacing w:val="0"/>
          <w:kern w:val="0"/>
          <w:sz w:val="20"/>
          <w:rtl/>
          <w:lang w:val="en-CA"/>
        </w:rPr>
        <w:t>ل</w:t>
      </w:r>
      <w:r w:rsidRPr="00CA2D0E">
        <w:rPr>
          <w:spacing w:val="0"/>
          <w:kern w:val="0"/>
          <w:sz w:val="20"/>
          <w:rtl/>
          <w:lang w:val="en-CA"/>
        </w:rPr>
        <w:t xml:space="preserve">ذلك، </w:t>
      </w:r>
      <w:r w:rsidRPr="00CA2D0E">
        <w:rPr>
          <w:rFonts w:hint="cs"/>
          <w:spacing w:val="0"/>
          <w:kern w:val="0"/>
          <w:sz w:val="20"/>
          <w:rtl/>
          <w:lang w:val="en-CA"/>
        </w:rPr>
        <w:t>تشير</w:t>
      </w:r>
      <w:r w:rsidRPr="00CA2D0E">
        <w:rPr>
          <w:spacing w:val="0"/>
          <w:kern w:val="0"/>
          <w:sz w:val="20"/>
          <w:rtl/>
          <w:lang w:val="en-CA"/>
        </w:rPr>
        <w:t xml:space="preserve"> الدولة الطرف </w:t>
      </w:r>
      <w:r w:rsidRPr="00CA2D0E">
        <w:rPr>
          <w:rFonts w:hint="cs"/>
          <w:spacing w:val="0"/>
          <w:kern w:val="0"/>
          <w:sz w:val="20"/>
          <w:rtl/>
          <w:lang w:val="en-CA"/>
        </w:rPr>
        <w:t xml:space="preserve">إلى خضوع هذه المزاعم </w:t>
      </w:r>
      <w:r w:rsidRPr="00CA2D0E">
        <w:rPr>
          <w:spacing w:val="0"/>
          <w:kern w:val="0"/>
          <w:sz w:val="20"/>
          <w:rtl/>
          <w:lang w:val="en-CA"/>
        </w:rPr>
        <w:t xml:space="preserve">بالفعل </w:t>
      </w:r>
      <w:r w:rsidRPr="00CA2D0E">
        <w:rPr>
          <w:rFonts w:hint="cs"/>
          <w:spacing w:val="0"/>
          <w:kern w:val="0"/>
          <w:sz w:val="20"/>
          <w:rtl/>
          <w:lang w:val="en-CA"/>
        </w:rPr>
        <w:t>لتقييم</w:t>
      </w:r>
      <w:r w:rsidRPr="00CA2D0E">
        <w:rPr>
          <w:spacing w:val="0"/>
          <w:kern w:val="0"/>
          <w:sz w:val="20"/>
          <w:rtl/>
          <w:lang w:val="en-CA"/>
        </w:rPr>
        <w:t xml:space="preserve"> </w:t>
      </w:r>
      <w:r w:rsidRPr="00CA2D0E">
        <w:rPr>
          <w:rFonts w:hint="cs"/>
          <w:spacing w:val="0"/>
          <w:kern w:val="0"/>
          <w:sz w:val="20"/>
          <w:rtl/>
          <w:lang w:val="en-CA"/>
        </w:rPr>
        <w:t>متعمق</w:t>
      </w:r>
      <w:r w:rsidRPr="00CA2D0E">
        <w:rPr>
          <w:spacing w:val="0"/>
          <w:kern w:val="0"/>
          <w:sz w:val="20"/>
          <w:rtl/>
          <w:lang w:val="en-CA"/>
        </w:rPr>
        <w:t xml:space="preserve"> من جانب السلطات الكندية. </w:t>
      </w:r>
      <w:r w:rsidRPr="00CA2D0E">
        <w:rPr>
          <w:rFonts w:hint="cs"/>
          <w:spacing w:val="0"/>
          <w:kern w:val="0"/>
          <w:sz w:val="20"/>
          <w:rtl/>
          <w:lang w:val="en-CA"/>
        </w:rPr>
        <w:t>و</w:t>
      </w:r>
      <w:r w:rsidRPr="00CA2D0E">
        <w:rPr>
          <w:spacing w:val="0"/>
          <w:kern w:val="0"/>
          <w:sz w:val="20"/>
          <w:rtl/>
          <w:lang w:val="en-CA"/>
        </w:rPr>
        <w:t xml:space="preserve">لم يقدم أي </w:t>
      </w:r>
      <w:r w:rsidRPr="00CA2D0E">
        <w:rPr>
          <w:rFonts w:hint="cs"/>
          <w:spacing w:val="0"/>
          <w:kern w:val="0"/>
          <w:sz w:val="20"/>
          <w:rtl/>
          <w:lang w:val="en-CA"/>
        </w:rPr>
        <w:t>دليل</w:t>
      </w:r>
      <w:r w:rsidRPr="00CA2D0E">
        <w:rPr>
          <w:spacing w:val="0"/>
          <w:kern w:val="0"/>
          <w:sz w:val="20"/>
          <w:rtl/>
          <w:lang w:val="en-CA"/>
        </w:rPr>
        <w:t xml:space="preserve"> جديد إلى اللجنة، ولا سيما لدعم الادعاء </w:t>
      </w:r>
      <w:r w:rsidRPr="00CA2D0E">
        <w:rPr>
          <w:rFonts w:hint="cs"/>
          <w:spacing w:val="0"/>
          <w:kern w:val="0"/>
          <w:sz w:val="20"/>
          <w:rtl/>
          <w:lang w:val="en-CA"/>
        </w:rPr>
        <w:t xml:space="preserve">الذي يفيد </w:t>
      </w:r>
      <w:r w:rsidRPr="00CA2D0E">
        <w:rPr>
          <w:spacing w:val="0"/>
          <w:kern w:val="0"/>
          <w:sz w:val="20"/>
          <w:rtl/>
          <w:lang w:val="en-CA"/>
        </w:rPr>
        <w:t>بأن</w:t>
      </w:r>
      <w:r w:rsidRPr="00CA2D0E">
        <w:rPr>
          <w:rFonts w:hint="cs"/>
          <w:spacing w:val="0"/>
          <w:kern w:val="0"/>
          <w:sz w:val="20"/>
          <w:rtl/>
          <w:lang w:val="en-CA"/>
        </w:rPr>
        <w:t>ه</w:t>
      </w:r>
      <w:r w:rsidRPr="00CA2D0E">
        <w:rPr>
          <w:spacing w:val="0"/>
          <w:kern w:val="0"/>
          <w:sz w:val="20"/>
          <w:rtl/>
          <w:lang w:val="en-CA"/>
        </w:rPr>
        <w:t xml:space="preserve"> </w:t>
      </w:r>
      <w:r w:rsidRPr="00CA2D0E">
        <w:rPr>
          <w:rFonts w:hint="cs"/>
          <w:spacing w:val="0"/>
          <w:kern w:val="0"/>
          <w:sz w:val="20"/>
          <w:rtl/>
          <w:lang w:val="en-CA"/>
        </w:rPr>
        <w:t>شخص</w:t>
      </w:r>
      <w:r w:rsidRPr="00CA2D0E">
        <w:rPr>
          <w:spacing w:val="0"/>
          <w:kern w:val="0"/>
          <w:sz w:val="20"/>
          <w:rtl/>
          <w:lang w:val="en-CA"/>
        </w:rPr>
        <w:t xml:space="preserve"> معروف في هايتي، وسيتم تحديده </w:t>
      </w:r>
      <w:r w:rsidRPr="00CA2D0E">
        <w:rPr>
          <w:rFonts w:hint="cs"/>
          <w:spacing w:val="0"/>
          <w:kern w:val="0"/>
          <w:sz w:val="20"/>
          <w:rtl/>
          <w:lang w:val="en-CA"/>
        </w:rPr>
        <w:t xml:space="preserve">بسرعة </w:t>
      </w:r>
      <w:r w:rsidRPr="00CA2D0E">
        <w:rPr>
          <w:spacing w:val="0"/>
          <w:kern w:val="0"/>
          <w:sz w:val="20"/>
          <w:rtl/>
          <w:lang w:val="en-CA"/>
        </w:rPr>
        <w:t xml:space="preserve">من </w:t>
      </w:r>
      <w:r w:rsidRPr="00CA2D0E">
        <w:rPr>
          <w:rFonts w:hint="cs"/>
          <w:spacing w:val="0"/>
          <w:kern w:val="0"/>
          <w:sz w:val="20"/>
          <w:rtl/>
          <w:lang w:val="en-CA"/>
        </w:rPr>
        <w:t>جانب</w:t>
      </w:r>
      <w:r w:rsidRPr="00CA2D0E">
        <w:rPr>
          <w:spacing w:val="0"/>
          <w:kern w:val="0"/>
          <w:sz w:val="20"/>
          <w:rtl/>
          <w:lang w:val="en-CA"/>
        </w:rPr>
        <w:t xml:space="preserve"> مجرمين </w:t>
      </w:r>
      <w:r w:rsidRPr="00CA2D0E">
        <w:rPr>
          <w:rFonts w:hint="cs"/>
          <w:spacing w:val="0"/>
          <w:kern w:val="0"/>
          <w:sz w:val="20"/>
          <w:rtl/>
          <w:lang w:val="en-CA"/>
        </w:rPr>
        <w:t>مثل تجار</w:t>
      </w:r>
      <w:r w:rsidRPr="00CA2D0E">
        <w:rPr>
          <w:spacing w:val="0"/>
          <w:kern w:val="0"/>
          <w:sz w:val="20"/>
          <w:rtl/>
          <w:lang w:val="en-CA"/>
        </w:rPr>
        <w:t xml:space="preserve"> </w:t>
      </w:r>
      <w:r w:rsidRPr="00CA2D0E">
        <w:rPr>
          <w:rFonts w:hint="cs"/>
          <w:spacing w:val="0"/>
          <w:kern w:val="0"/>
          <w:sz w:val="20"/>
          <w:rtl/>
          <w:lang w:val="en-CA"/>
        </w:rPr>
        <w:t>ال</w:t>
      </w:r>
      <w:r w:rsidRPr="00CA2D0E">
        <w:rPr>
          <w:spacing w:val="0"/>
          <w:kern w:val="0"/>
          <w:sz w:val="20"/>
          <w:rtl/>
          <w:lang w:val="en-CA"/>
        </w:rPr>
        <w:t xml:space="preserve">مخدرات. </w:t>
      </w:r>
      <w:r w:rsidRPr="00CA2D0E">
        <w:rPr>
          <w:rFonts w:hint="cs"/>
          <w:spacing w:val="0"/>
          <w:kern w:val="0"/>
          <w:sz w:val="20"/>
          <w:rtl/>
          <w:lang w:val="en-CA"/>
        </w:rPr>
        <w:t>كما لا يوجد</w:t>
      </w:r>
      <w:r w:rsidRPr="00CA2D0E">
        <w:rPr>
          <w:spacing w:val="0"/>
          <w:kern w:val="0"/>
          <w:sz w:val="20"/>
          <w:rtl/>
          <w:lang w:val="en-CA"/>
        </w:rPr>
        <w:t xml:space="preserve"> أي دليل على أن </w:t>
      </w:r>
      <w:r w:rsidRPr="00CA2D0E">
        <w:rPr>
          <w:rFonts w:hint="cs"/>
          <w:spacing w:val="0"/>
          <w:kern w:val="0"/>
          <w:sz w:val="20"/>
          <w:rtl/>
          <w:lang w:val="en-CA"/>
        </w:rPr>
        <w:t>الأشخاص المرحلين إل</w:t>
      </w:r>
      <w:r w:rsidRPr="00CA2D0E">
        <w:rPr>
          <w:spacing w:val="0"/>
          <w:kern w:val="0"/>
          <w:sz w:val="20"/>
          <w:rtl/>
          <w:lang w:val="en-CA"/>
        </w:rPr>
        <w:t xml:space="preserve">ى هايتي لأسباب </w:t>
      </w:r>
      <w:r w:rsidRPr="00CA2D0E">
        <w:rPr>
          <w:rFonts w:hint="cs"/>
          <w:spacing w:val="0"/>
          <w:kern w:val="0"/>
          <w:sz w:val="20"/>
          <w:rtl/>
          <w:lang w:val="en-CA"/>
        </w:rPr>
        <w:t>إجرامية</w:t>
      </w:r>
      <w:r w:rsidRPr="00CA2D0E">
        <w:rPr>
          <w:spacing w:val="0"/>
          <w:kern w:val="0"/>
          <w:sz w:val="20"/>
          <w:rtl/>
          <w:lang w:val="en-CA"/>
        </w:rPr>
        <w:t xml:space="preserve"> </w:t>
      </w:r>
      <w:r w:rsidRPr="00CA2D0E">
        <w:rPr>
          <w:rFonts w:hint="cs"/>
          <w:spacing w:val="0"/>
          <w:kern w:val="0"/>
          <w:sz w:val="20"/>
          <w:rtl/>
          <w:lang w:val="en-CA"/>
        </w:rPr>
        <w:t>يواجهون</w:t>
      </w:r>
      <w:r w:rsidRPr="00CA2D0E">
        <w:rPr>
          <w:spacing w:val="0"/>
          <w:kern w:val="0"/>
          <w:sz w:val="20"/>
          <w:rtl/>
          <w:lang w:val="en-CA"/>
        </w:rPr>
        <w:t xml:space="preserve"> خطر</w:t>
      </w:r>
      <w:r w:rsidRPr="00CA2D0E">
        <w:rPr>
          <w:rFonts w:hint="cs"/>
          <w:spacing w:val="0"/>
          <w:kern w:val="0"/>
          <w:sz w:val="20"/>
          <w:rtl/>
          <w:lang w:val="en-CA"/>
        </w:rPr>
        <w:t>اً خاصاً بالتعرض ل</w:t>
      </w:r>
      <w:r w:rsidRPr="00CA2D0E">
        <w:rPr>
          <w:spacing w:val="0"/>
          <w:kern w:val="0"/>
          <w:sz w:val="20"/>
          <w:rtl/>
          <w:lang w:val="en-CA"/>
        </w:rPr>
        <w:t>لاختطاف</w:t>
      </w:r>
      <w:r w:rsidRPr="00CA2D0E">
        <w:rPr>
          <w:rFonts w:hint="cs"/>
          <w:spacing w:val="0"/>
          <w:kern w:val="0"/>
          <w:sz w:val="20"/>
          <w:rtl/>
          <w:lang w:val="en-CA"/>
        </w:rPr>
        <w:t xml:space="preserve"> حسبما </w:t>
      </w:r>
      <w:r w:rsidRPr="00CA2D0E">
        <w:rPr>
          <w:spacing w:val="0"/>
          <w:kern w:val="0"/>
          <w:sz w:val="20"/>
          <w:rtl/>
          <w:lang w:val="en-CA"/>
        </w:rPr>
        <w:t xml:space="preserve">ادعى </w:t>
      </w:r>
      <w:r w:rsidRPr="00CA2D0E">
        <w:rPr>
          <w:rFonts w:hint="cs"/>
          <w:spacing w:val="0"/>
          <w:kern w:val="0"/>
          <w:sz w:val="20"/>
          <w:rtl/>
          <w:lang w:val="en-CA"/>
        </w:rPr>
        <w:t>صاحب الشكوى</w:t>
      </w:r>
      <w:r w:rsidRPr="00CA2D0E">
        <w:rPr>
          <w:spacing w:val="0"/>
          <w:kern w:val="0"/>
          <w:sz w:val="20"/>
          <w:rtl/>
          <w:lang w:val="en-CA"/>
        </w:rPr>
        <w:t xml:space="preserve">. </w:t>
      </w:r>
      <w:r w:rsidRPr="00CA2D0E">
        <w:rPr>
          <w:rFonts w:hint="cs"/>
          <w:spacing w:val="0"/>
          <w:kern w:val="0"/>
          <w:sz w:val="20"/>
          <w:rtl/>
          <w:lang w:val="en-CA"/>
        </w:rPr>
        <w:t xml:space="preserve">وتستشهد </w:t>
      </w:r>
      <w:r w:rsidRPr="00CA2D0E">
        <w:rPr>
          <w:spacing w:val="0"/>
          <w:kern w:val="0"/>
          <w:sz w:val="20"/>
          <w:rtl/>
          <w:lang w:val="en-CA"/>
        </w:rPr>
        <w:t xml:space="preserve">الدولة الطرف </w:t>
      </w:r>
      <w:r w:rsidRPr="00CA2D0E">
        <w:rPr>
          <w:rFonts w:hint="cs"/>
          <w:spacing w:val="0"/>
          <w:kern w:val="0"/>
          <w:sz w:val="20"/>
          <w:rtl/>
          <w:lang w:val="en-CA"/>
        </w:rPr>
        <w:t xml:space="preserve">بأحد تقارير </w:t>
      </w:r>
      <w:r w:rsidRPr="00CA2D0E">
        <w:rPr>
          <w:spacing w:val="0"/>
          <w:kern w:val="0"/>
          <w:sz w:val="20"/>
          <w:rtl/>
          <w:lang w:val="en-CA"/>
        </w:rPr>
        <w:t xml:space="preserve">الأمين العام </w:t>
      </w:r>
      <w:r w:rsidRPr="00CA2D0E">
        <w:rPr>
          <w:rFonts w:hint="cs"/>
          <w:spacing w:val="0"/>
          <w:kern w:val="0"/>
          <w:sz w:val="20"/>
          <w:rtl/>
          <w:lang w:val="en-CA"/>
        </w:rPr>
        <w:t>ل</w:t>
      </w:r>
      <w:r w:rsidRPr="00CA2D0E">
        <w:rPr>
          <w:spacing w:val="0"/>
          <w:kern w:val="0"/>
          <w:sz w:val="20"/>
          <w:rtl/>
          <w:lang w:val="en-CA"/>
        </w:rPr>
        <w:t>بعثة الأمم المتحدة لتحقيق الاستقرار في</w:t>
      </w:r>
      <w:r w:rsidRPr="00CA2D0E">
        <w:rPr>
          <w:rFonts w:hint="cs"/>
          <w:spacing w:val="0"/>
          <w:kern w:val="0"/>
          <w:sz w:val="20"/>
          <w:rtl/>
          <w:lang w:val="en-CA"/>
        </w:rPr>
        <w:t> </w:t>
      </w:r>
      <w:r w:rsidRPr="00CA2D0E">
        <w:rPr>
          <w:spacing w:val="0"/>
          <w:kern w:val="0"/>
          <w:sz w:val="20"/>
          <w:rtl/>
          <w:lang w:val="en-CA"/>
        </w:rPr>
        <w:t xml:space="preserve">هايتي </w:t>
      </w:r>
      <w:r w:rsidRPr="00CA2D0E">
        <w:rPr>
          <w:rFonts w:hint="cs"/>
          <w:spacing w:val="0"/>
          <w:kern w:val="0"/>
          <w:sz w:val="20"/>
          <w:rtl/>
          <w:lang w:val="en-CA"/>
        </w:rPr>
        <w:t xml:space="preserve">والذي يشير إلى انخفاض </w:t>
      </w:r>
      <w:r w:rsidRPr="00CA2D0E">
        <w:rPr>
          <w:spacing w:val="0"/>
          <w:kern w:val="0"/>
          <w:sz w:val="20"/>
          <w:rtl/>
          <w:lang w:val="en-CA"/>
        </w:rPr>
        <w:t xml:space="preserve">عدد </w:t>
      </w:r>
      <w:r w:rsidRPr="00CA2D0E">
        <w:rPr>
          <w:rFonts w:hint="cs"/>
          <w:spacing w:val="0"/>
          <w:kern w:val="0"/>
          <w:sz w:val="20"/>
          <w:rtl/>
          <w:lang w:val="en-CA"/>
        </w:rPr>
        <w:t>حالات الاختطاف</w:t>
      </w:r>
      <w:r w:rsidRPr="00CA2D0E">
        <w:rPr>
          <w:rFonts w:hint="cs"/>
          <w:spacing w:val="0"/>
          <w:kern w:val="0"/>
          <w:sz w:val="20"/>
          <w:vertAlign w:val="superscript"/>
          <w:rtl/>
          <w:lang w:val="en-CA"/>
        </w:rPr>
        <w:t>(</w:t>
      </w:r>
      <w:r w:rsidRPr="00CA2D0E">
        <w:rPr>
          <w:rStyle w:val="FootnoteReference"/>
          <w:spacing w:val="0"/>
          <w:sz w:val="20"/>
          <w:rtl/>
          <w:lang w:val="en-CA"/>
        </w:rPr>
        <w:footnoteReference w:id="227"/>
      </w:r>
      <w:r w:rsidRPr="00CA2D0E">
        <w:rPr>
          <w:rFonts w:hint="cs"/>
          <w:spacing w:val="0"/>
          <w:kern w:val="0"/>
          <w:sz w:val="20"/>
          <w:vertAlign w:val="superscript"/>
          <w:rtl/>
          <w:lang w:val="en-CA"/>
        </w:rPr>
        <w:t>)</w:t>
      </w:r>
      <w:r w:rsidRPr="00CA2D0E">
        <w:rPr>
          <w:rFonts w:hint="cs"/>
          <w:spacing w:val="0"/>
          <w:kern w:val="0"/>
          <w:sz w:val="20"/>
          <w:rtl/>
          <w:lang w:val="en-CA"/>
        </w:rPr>
        <w:t xml:space="preserve">. </w:t>
      </w:r>
      <w:r w:rsidRPr="00CA2D0E">
        <w:rPr>
          <w:spacing w:val="0"/>
          <w:kern w:val="0"/>
          <w:sz w:val="20"/>
          <w:rtl/>
          <w:lang w:val="en-CA"/>
        </w:rPr>
        <w:t xml:space="preserve">وعلاوة على ذلك، فإن خطر الاختطاف </w:t>
      </w:r>
      <w:r w:rsidRPr="00CA2D0E">
        <w:rPr>
          <w:rFonts w:hint="cs"/>
          <w:spacing w:val="0"/>
          <w:kern w:val="0"/>
          <w:sz w:val="20"/>
          <w:rtl/>
          <w:lang w:val="en-CA"/>
        </w:rPr>
        <w:t>ينطبق</w:t>
      </w:r>
      <w:r w:rsidRPr="00CA2D0E">
        <w:rPr>
          <w:spacing w:val="0"/>
          <w:kern w:val="0"/>
          <w:sz w:val="20"/>
          <w:rtl/>
          <w:lang w:val="en-CA"/>
        </w:rPr>
        <w:t xml:space="preserve"> على جميع السكان. </w:t>
      </w:r>
      <w:r w:rsidRPr="00CA2D0E">
        <w:rPr>
          <w:rFonts w:hint="cs"/>
          <w:spacing w:val="0"/>
          <w:kern w:val="0"/>
          <w:sz w:val="20"/>
          <w:rtl/>
          <w:lang w:val="en-CA"/>
        </w:rPr>
        <w:t>و</w:t>
      </w:r>
      <w:r w:rsidRPr="00CA2D0E">
        <w:rPr>
          <w:spacing w:val="0"/>
          <w:kern w:val="0"/>
          <w:sz w:val="20"/>
          <w:rtl/>
          <w:lang w:val="en-CA"/>
        </w:rPr>
        <w:t xml:space="preserve">تخلص الدولة الطرف إلى أنه </w:t>
      </w:r>
      <w:r w:rsidRPr="00CA2D0E">
        <w:rPr>
          <w:rFonts w:hint="cs"/>
          <w:spacing w:val="0"/>
          <w:kern w:val="0"/>
          <w:sz w:val="20"/>
          <w:rtl/>
          <w:lang w:val="en-CA"/>
        </w:rPr>
        <w:t xml:space="preserve">حتى إذا كان </w:t>
      </w:r>
      <w:r w:rsidRPr="00CA2D0E">
        <w:rPr>
          <w:spacing w:val="0"/>
          <w:kern w:val="0"/>
          <w:sz w:val="20"/>
          <w:rtl/>
          <w:lang w:val="en-CA"/>
        </w:rPr>
        <w:t>الخطر حقيقي</w:t>
      </w:r>
      <w:r w:rsidRPr="00CA2D0E">
        <w:rPr>
          <w:rFonts w:hint="cs"/>
          <w:spacing w:val="0"/>
          <w:kern w:val="0"/>
          <w:sz w:val="20"/>
          <w:rtl/>
          <w:lang w:val="en-CA"/>
        </w:rPr>
        <w:t>اً</w:t>
      </w:r>
      <w:r w:rsidRPr="00CA2D0E">
        <w:rPr>
          <w:spacing w:val="0"/>
          <w:kern w:val="0"/>
          <w:sz w:val="20"/>
          <w:rtl/>
          <w:lang w:val="en-CA"/>
        </w:rPr>
        <w:t xml:space="preserve">، </w:t>
      </w:r>
      <w:r w:rsidRPr="00CA2D0E">
        <w:rPr>
          <w:rFonts w:hint="cs"/>
          <w:spacing w:val="0"/>
          <w:kern w:val="0"/>
          <w:sz w:val="20"/>
          <w:rtl/>
          <w:lang w:val="en-CA"/>
        </w:rPr>
        <w:t>فإنه لا ي</w:t>
      </w:r>
      <w:r w:rsidRPr="00CA2D0E">
        <w:rPr>
          <w:spacing w:val="0"/>
          <w:kern w:val="0"/>
          <w:sz w:val="20"/>
          <w:rtl/>
          <w:lang w:val="en-CA"/>
        </w:rPr>
        <w:t xml:space="preserve">دخل في </w:t>
      </w:r>
      <w:r w:rsidRPr="00CA2D0E">
        <w:rPr>
          <w:rFonts w:hint="cs"/>
          <w:spacing w:val="0"/>
          <w:kern w:val="0"/>
          <w:sz w:val="20"/>
          <w:rtl/>
          <w:lang w:val="en-CA"/>
        </w:rPr>
        <w:t xml:space="preserve">نطاق </w:t>
      </w:r>
      <w:r w:rsidRPr="00CA2D0E">
        <w:rPr>
          <w:spacing w:val="0"/>
          <w:kern w:val="0"/>
          <w:sz w:val="20"/>
          <w:rtl/>
          <w:lang w:val="en-CA"/>
        </w:rPr>
        <w:t xml:space="preserve">المادة 3 من الاتفاقية </w:t>
      </w:r>
      <w:r w:rsidRPr="00CA2D0E">
        <w:rPr>
          <w:rFonts w:hint="cs"/>
          <w:spacing w:val="0"/>
          <w:kern w:val="0"/>
          <w:sz w:val="20"/>
          <w:rtl/>
          <w:lang w:val="en-CA"/>
        </w:rPr>
        <w:t>نظراً لأن الاختطاف لا</w:t>
      </w:r>
      <w:r w:rsidRPr="00CA2D0E">
        <w:rPr>
          <w:spacing w:val="0"/>
          <w:kern w:val="0"/>
          <w:sz w:val="20"/>
          <w:rtl/>
          <w:lang w:val="en-CA"/>
        </w:rPr>
        <w:t xml:space="preserve"> </w:t>
      </w:r>
      <w:r w:rsidRPr="00CA2D0E">
        <w:rPr>
          <w:rFonts w:hint="cs"/>
          <w:spacing w:val="0"/>
          <w:kern w:val="0"/>
          <w:sz w:val="20"/>
          <w:rtl/>
          <w:lang w:val="en-CA"/>
        </w:rPr>
        <w:t>ي</w:t>
      </w:r>
      <w:r w:rsidRPr="00CA2D0E">
        <w:rPr>
          <w:spacing w:val="0"/>
          <w:kern w:val="0"/>
          <w:sz w:val="20"/>
          <w:rtl/>
          <w:lang w:val="en-CA"/>
        </w:rPr>
        <w:t>شكل تعذيبا</w:t>
      </w:r>
      <w:r w:rsidRPr="00CA2D0E">
        <w:rPr>
          <w:rFonts w:hint="cs"/>
          <w:spacing w:val="0"/>
          <w:kern w:val="0"/>
          <w:sz w:val="20"/>
          <w:rtl/>
          <w:lang w:val="en-CA"/>
        </w:rPr>
        <w:t>ً</w:t>
      </w:r>
      <w:r w:rsidRPr="00CA2D0E">
        <w:rPr>
          <w:spacing w:val="0"/>
          <w:kern w:val="0"/>
          <w:sz w:val="20"/>
          <w:rtl/>
          <w:lang w:val="en-CA"/>
        </w:rPr>
        <w:t xml:space="preserve">. </w:t>
      </w:r>
      <w:r w:rsidRPr="00CA2D0E">
        <w:rPr>
          <w:rFonts w:hint="cs"/>
          <w:spacing w:val="0"/>
          <w:kern w:val="0"/>
          <w:sz w:val="20"/>
          <w:rtl/>
          <w:lang w:val="en-CA"/>
        </w:rPr>
        <w:t>وبخلاف</w:t>
      </w:r>
      <w:r w:rsidRPr="00CA2D0E">
        <w:rPr>
          <w:spacing w:val="0"/>
          <w:kern w:val="0"/>
          <w:sz w:val="20"/>
          <w:rtl/>
          <w:lang w:val="en-CA"/>
        </w:rPr>
        <w:t xml:space="preserve"> مسألة شدة المعاناة، </w:t>
      </w:r>
      <w:r w:rsidRPr="00CA2D0E">
        <w:rPr>
          <w:rFonts w:hint="cs"/>
          <w:spacing w:val="0"/>
          <w:kern w:val="0"/>
          <w:sz w:val="20"/>
          <w:rtl/>
          <w:lang w:val="en-CA"/>
        </w:rPr>
        <w:t>يجب أن تكون هذه الأفعال</w:t>
      </w:r>
      <w:r w:rsidR="00CA2D0E">
        <w:rPr>
          <w:rFonts w:hint="eastAsia"/>
          <w:spacing w:val="0"/>
          <w:kern w:val="0"/>
          <w:sz w:val="20"/>
          <w:rtl/>
          <w:lang w:val="en-CA"/>
        </w:rPr>
        <w:t> </w:t>
      </w:r>
      <w:r w:rsidRPr="00CA2D0E">
        <w:rPr>
          <w:rFonts w:hint="cs"/>
          <w:spacing w:val="0"/>
          <w:kern w:val="0"/>
          <w:sz w:val="20"/>
          <w:rtl/>
          <w:lang w:val="en-CA"/>
        </w:rPr>
        <w:t xml:space="preserve">مرتكبة من جانب موظفي الدولة أو </w:t>
      </w:r>
      <w:r w:rsidRPr="00CA2D0E">
        <w:rPr>
          <w:spacing w:val="0"/>
          <w:kern w:val="0"/>
          <w:sz w:val="20"/>
          <w:rtl/>
          <w:lang w:val="en-CA"/>
        </w:rPr>
        <w:t>بتحريض من</w:t>
      </w:r>
      <w:r w:rsidRPr="00CA2D0E">
        <w:rPr>
          <w:rFonts w:hint="cs"/>
          <w:spacing w:val="0"/>
          <w:kern w:val="0"/>
          <w:sz w:val="20"/>
          <w:rtl/>
          <w:lang w:val="en-CA"/>
        </w:rPr>
        <w:t>هم</w:t>
      </w:r>
      <w:r w:rsidRPr="00CA2D0E">
        <w:rPr>
          <w:spacing w:val="0"/>
          <w:kern w:val="0"/>
          <w:sz w:val="20"/>
          <w:rtl/>
          <w:lang w:val="en-CA"/>
        </w:rPr>
        <w:t xml:space="preserve">. ومع ذلك، لا يوجد أي دليل على أن السلطات </w:t>
      </w:r>
      <w:r w:rsidRPr="00CA2D0E">
        <w:rPr>
          <w:rFonts w:hint="cs"/>
          <w:spacing w:val="0"/>
          <w:kern w:val="0"/>
          <w:sz w:val="20"/>
          <w:rtl/>
          <w:lang w:val="en-CA"/>
        </w:rPr>
        <w:t>ال</w:t>
      </w:r>
      <w:r w:rsidRPr="00CA2D0E">
        <w:rPr>
          <w:spacing w:val="0"/>
          <w:kern w:val="0"/>
          <w:sz w:val="20"/>
          <w:rtl/>
          <w:lang w:val="en-CA"/>
        </w:rPr>
        <w:t>هايتي</w:t>
      </w:r>
      <w:r w:rsidRPr="00CA2D0E">
        <w:rPr>
          <w:rFonts w:hint="cs"/>
          <w:spacing w:val="0"/>
          <w:kern w:val="0"/>
          <w:sz w:val="20"/>
          <w:rtl/>
          <w:lang w:val="en-CA"/>
        </w:rPr>
        <w:t>ة</w:t>
      </w:r>
      <w:r w:rsidRPr="00CA2D0E">
        <w:rPr>
          <w:spacing w:val="0"/>
          <w:kern w:val="0"/>
          <w:sz w:val="20"/>
          <w:rtl/>
          <w:lang w:val="en-CA"/>
        </w:rPr>
        <w:t xml:space="preserve"> </w:t>
      </w:r>
      <w:r w:rsidRPr="00CA2D0E">
        <w:rPr>
          <w:rFonts w:hint="cs"/>
          <w:spacing w:val="0"/>
          <w:kern w:val="0"/>
          <w:sz w:val="20"/>
          <w:rtl/>
          <w:lang w:val="en-CA"/>
        </w:rPr>
        <w:t xml:space="preserve">متورطة </w:t>
      </w:r>
      <w:r w:rsidRPr="00CA2D0E">
        <w:rPr>
          <w:spacing w:val="0"/>
          <w:kern w:val="0"/>
          <w:sz w:val="20"/>
          <w:rtl/>
          <w:lang w:val="en-CA"/>
        </w:rPr>
        <w:t>في عملي</w:t>
      </w:r>
      <w:r w:rsidRPr="00CA2D0E">
        <w:rPr>
          <w:rFonts w:hint="cs"/>
          <w:spacing w:val="0"/>
          <w:kern w:val="0"/>
          <w:sz w:val="20"/>
          <w:rtl/>
          <w:lang w:val="en-CA"/>
        </w:rPr>
        <w:t>ات الاختطاف هذه. و</w:t>
      </w:r>
      <w:r w:rsidRPr="00CA2D0E">
        <w:rPr>
          <w:spacing w:val="0"/>
          <w:kern w:val="0"/>
          <w:sz w:val="20"/>
          <w:rtl/>
          <w:lang w:val="en-CA"/>
        </w:rPr>
        <w:t>أخيرا</w:t>
      </w:r>
      <w:r w:rsidRPr="00CA2D0E">
        <w:rPr>
          <w:rFonts w:hint="cs"/>
          <w:spacing w:val="0"/>
          <w:kern w:val="0"/>
          <w:sz w:val="20"/>
          <w:rtl/>
          <w:lang w:val="en-CA"/>
        </w:rPr>
        <w:t>ً</w:t>
      </w:r>
      <w:r w:rsidRPr="00CA2D0E">
        <w:rPr>
          <w:spacing w:val="0"/>
          <w:kern w:val="0"/>
          <w:sz w:val="20"/>
          <w:rtl/>
          <w:lang w:val="en-CA"/>
        </w:rPr>
        <w:t xml:space="preserve">، يبدو أن الخاطفين </w:t>
      </w:r>
      <w:r w:rsidRPr="00CA2D0E">
        <w:rPr>
          <w:rFonts w:hint="cs"/>
          <w:spacing w:val="0"/>
          <w:kern w:val="0"/>
          <w:sz w:val="20"/>
          <w:rtl/>
          <w:lang w:val="en-CA"/>
        </w:rPr>
        <w:t>يتصرفون بدافع</w:t>
      </w:r>
      <w:r w:rsidRPr="00CA2D0E">
        <w:rPr>
          <w:spacing w:val="0"/>
          <w:kern w:val="0"/>
          <w:sz w:val="20"/>
          <w:rtl/>
          <w:lang w:val="en-CA"/>
        </w:rPr>
        <w:t xml:space="preserve"> الجشع </w:t>
      </w:r>
      <w:r w:rsidRPr="00CA2D0E">
        <w:rPr>
          <w:rFonts w:hint="cs"/>
          <w:spacing w:val="0"/>
          <w:kern w:val="0"/>
          <w:sz w:val="20"/>
          <w:rtl/>
          <w:lang w:val="en-CA"/>
        </w:rPr>
        <w:t xml:space="preserve">لتحقيق مكاسب </w:t>
      </w:r>
      <w:r w:rsidRPr="00CA2D0E">
        <w:rPr>
          <w:spacing w:val="0"/>
          <w:kern w:val="0"/>
          <w:sz w:val="20"/>
          <w:rtl/>
          <w:lang w:val="en-CA"/>
        </w:rPr>
        <w:t>وليس</w:t>
      </w:r>
      <w:r w:rsidRPr="00CA2D0E">
        <w:rPr>
          <w:rFonts w:hint="cs"/>
          <w:spacing w:val="0"/>
          <w:kern w:val="0"/>
          <w:sz w:val="20"/>
          <w:rtl/>
          <w:lang w:val="en-CA"/>
        </w:rPr>
        <w:t xml:space="preserve"> بدافع سبب من </w:t>
      </w:r>
      <w:r w:rsidRPr="00CA2D0E">
        <w:rPr>
          <w:spacing w:val="0"/>
          <w:kern w:val="0"/>
          <w:sz w:val="20"/>
          <w:rtl/>
          <w:lang w:val="en-CA"/>
        </w:rPr>
        <w:t>الأسباب المذكورة في المادة 1 من الاتفاقية</w:t>
      </w:r>
      <w:r w:rsidRPr="00CA2D0E">
        <w:rPr>
          <w:rFonts w:hint="cs"/>
          <w:spacing w:val="0"/>
          <w:kern w:val="0"/>
          <w:sz w:val="20"/>
          <w:rtl/>
          <w:lang w:val="en-CA"/>
        </w:rPr>
        <w:t>.</w:t>
      </w:r>
    </w:p>
    <w:p w:rsidR="008D1B92" w:rsidRPr="008D1B92" w:rsidRDefault="008D1B92" w:rsidP="00CA2D0E">
      <w:pPr>
        <w:pStyle w:val="SingleTxtGA"/>
        <w:jc w:val="lowKashida"/>
        <w:rPr>
          <w:rFonts w:hint="cs"/>
          <w:spacing w:val="0"/>
          <w:kern w:val="0"/>
          <w:sz w:val="20"/>
          <w:rtl/>
          <w:lang w:val="en-CA"/>
        </w:rPr>
      </w:pPr>
      <w:r w:rsidRPr="008D1B92">
        <w:rPr>
          <w:rFonts w:hint="cs"/>
          <w:spacing w:val="0"/>
          <w:kern w:val="0"/>
          <w:sz w:val="20"/>
          <w:rtl/>
          <w:lang w:val="en-CA"/>
        </w:rPr>
        <w:t>4-7</w:t>
      </w:r>
      <w:r w:rsidRPr="008D1B92">
        <w:rPr>
          <w:rFonts w:hint="cs"/>
          <w:spacing w:val="0"/>
          <w:kern w:val="0"/>
          <w:sz w:val="20"/>
          <w:rtl/>
          <w:lang w:val="en-CA"/>
        </w:rPr>
        <w:tab/>
        <w:t>وفيما يتعلق بخطر احتجاز صاحب الشكوى</w:t>
      </w:r>
      <w:r w:rsidRPr="008D1B92">
        <w:rPr>
          <w:spacing w:val="0"/>
          <w:kern w:val="0"/>
          <w:sz w:val="20"/>
          <w:rtl/>
          <w:lang w:val="en-CA"/>
        </w:rPr>
        <w:t xml:space="preserve">، ترى الدولة الطرف أن هذا الادعاء </w:t>
      </w:r>
      <w:r w:rsidRPr="008D1B92">
        <w:rPr>
          <w:rFonts w:hint="cs"/>
          <w:spacing w:val="0"/>
          <w:kern w:val="0"/>
          <w:sz w:val="20"/>
          <w:rtl/>
          <w:lang w:val="en-CA"/>
        </w:rPr>
        <w:t>ي</w:t>
      </w:r>
      <w:r w:rsidRPr="008D1B92">
        <w:rPr>
          <w:spacing w:val="0"/>
          <w:kern w:val="0"/>
          <w:sz w:val="20"/>
          <w:rtl/>
          <w:lang w:val="en-CA"/>
        </w:rPr>
        <w:t xml:space="preserve">شير </w:t>
      </w:r>
      <w:r w:rsidRPr="008D1B92">
        <w:rPr>
          <w:rFonts w:hint="cs"/>
          <w:spacing w:val="0"/>
          <w:kern w:val="0"/>
          <w:sz w:val="20"/>
          <w:rtl/>
          <w:lang w:val="en-CA"/>
        </w:rPr>
        <w:t xml:space="preserve">على ما </w:t>
      </w:r>
      <w:r w:rsidRPr="008D1B92">
        <w:rPr>
          <w:spacing w:val="0"/>
          <w:kern w:val="0"/>
          <w:sz w:val="20"/>
          <w:rtl/>
          <w:lang w:val="en-CA"/>
        </w:rPr>
        <w:t xml:space="preserve">يبدو إلى ممارسة الاحتجاز الوقائي </w:t>
      </w:r>
      <w:r w:rsidRPr="008D1B92">
        <w:rPr>
          <w:rFonts w:hint="cs"/>
          <w:spacing w:val="0"/>
          <w:kern w:val="0"/>
          <w:sz w:val="20"/>
          <w:rtl/>
          <w:lang w:val="en-CA"/>
        </w:rPr>
        <w:t>للمرحلين المجرمين</w:t>
      </w:r>
      <w:r w:rsidRPr="008D1B92">
        <w:rPr>
          <w:spacing w:val="0"/>
          <w:kern w:val="0"/>
          <w:sz w:val="20"/>
          <w:rtl/>
          <w:lang w:val="en-CA"/>
        </w:rPr>
        <w:t xml:space="preserve"> في السجن الوطني في بورت</w:t>
      </w:r>
      <w:r w:rsidRPr="008D1B92">
        <w:rPr>
          <w:rFonts w:hint="cs"/>
          <w:spacing w:val="0"/>
          <w:kern w:val="0"/>
          <w:sz w:val="20"/>
          <w:rtl/>
          <w:lang w:val="en-CA"/>
        </w:rPr>
        <w:t xml:space="preserve"> </w:t>
      </w:r>
      <w:r w:rsidRPr="008D1B92">
        <w:rPr>
          <w:spacing w:val="0"/>
          <w:kern w:val="0"/>
          <w:sz w:val="20"/>
          <w:rtl/>
          <w:lang w:val="en-CA"/>
        </w:rPr>
        <w:t>أو</w:t>
      </w:r>
      <w:r w:rsidRPr="008D1B92">
        <w:rPr>
          <w:rFonts w:hint="cs"/>
          <w:spacing w:val="0"/>
          <w:kern w:val="0"/>
          <w:sz w:val="20"/>
          <w:rtl/>
          <w:lang w:val="en-CA"/>
        </w:rPr>
        <w:t xml:space="preserve"> </w:t>
      </w:r>
      <w:r w:rsidRPr="008D1B92">
        <w:rPr>
          <w:spacing w:val="0"/>
          <w:kern w:val="0"/>
          <w:sz w:val="20"/>
          <w:rtl/>
          <w:lang w:val="en-CA"/>
        </w:rPr>
        <w:t>بر</w:t>
      </w:r>
      <w:r w:rsidRPr="008D1B92">
        <w:rPr>
          <w:rFonts w:hint="cs"/>
          <w:spacing w:val="0"/>
          <w:kern w:val="0"/>
          <w:sz w:val="20"/>
          <w:rtl/>
          <w:lang w:val="en-CA"/>
        </w:rPr>
        <w:t>ا</w:t>
      </w:r>
      <w:r w:rsidRPr="008D1B92">
        <w:rPr>
          <w:spacing w:val="0"/>
          <w:kern w:val="0"/>
          <w:sz w:val="20"/>
          <w:rtl/>
          <w:lang w:val="en-CA"/>
        </w:rPr>
        <w:t xml:space="preserve">نس. </w:t>
      </w:r>
      <w:r w:rsidRPr="008D1B92">
        <w:rPr>
          <w:rFonts w:hint="cs"/>
          <w:spacing w:val="0"/>
          <w:kern w:val="0"/>
          <w:sz w:val="20"/>
          <w:rtl/>
          <w:lang w:val="en-CA"/>
        </w:rPr>
        <w:t xml:space="preserve">وقد ألغيت </w:t>
      </w:r>
      <w:r w:rsidRPr="008D1B92">
        <w:rPr>
          <w:spacing w:val="0"/>
          <w:kern w:val="0"/>
          <w:sz w:val="20"/>
          <w:rtl/>
          <w:lang w:val="en-CA"/>
        </w:rPr>
        <w:t xml:space="preserve">هذه الممارسة </w:t>
      </w:r>
      <w:r w:rsidRPr="008D1B92">
        <w:rPr>
          <w:rFonts w:hint="cs"/>
          <w:spacing w:val="0"/>
          <w:kern w:val="0"/>
          <w:sz w:val="20"/>
          <w:rtl/>
          <w:lang w:val="en-CA"/>
        </w:rPr>
        <w:t>بصدور</w:t>
      </w:r>
      <w:r w:rsidRPr="008D1B92">
        <w:rPr>
          <w:spacing w:val="0"/>
          <w:kern w:val="0"/>
          <w:sz w:val="20"/>
          <w:rtl/>
          <w:lang w:val="en-CA"/>
        </w:rPr>
        <w:t xml:space="preserve"> قرار من المحكمة </w:t>
      </w:r>
      <w:r w:rsidRPr="008D1B92">
        <w:rPr>
          <w:rFonts w:hint="cs"/>
          <w:spacing w:val="0"/>
          <w:kern w:val="0"/>
          <w:sz w:val="20"/>
          <w:rtl/>
          <w:lang w:val="en-CA"/>
        </w:rPr>
        <w:t>ال</w:t>
      </w:r>
      <w:r w:rsidRPr="008D1B92">
        <w:rPr>
          <w:spacing w:val="0"/>
          <w:kern w:val="0"/>
          <w:sz w:val="20"/>
          <w:rtl/>
          <w:lang w:val="en-CA"/>
        </w:rPr>
        <w:t>هايتي</w:t>
      </w:r>
      <w:r w:rsidRPr="008D1B92">
        <w:rPr>
          <w:rFonts w:hint="cs"/>
          <w:spacing w:val="0"/>
          <w:kern w:val="0"/>
          <w:sz w:val="20"/>
          <w:rtl/>
          <w:lang w:val="en-CA"/>
        </w:rPr>
        <w:t>ة في 11 أيلول/</w:t>
      </w:r>
      <w:r w:rsidRPr="008D1B92">
        <w:rPr>
          <w:spacing w:val="0"/>
          <w:kern w:val="0"/>
          <w:sz w:val="20"/>
          <w:rtl/>
          <w:lang w:val="en-CA"/>
        </w:rPr>
        <w:t>سبتمبر</w:t>
      </w:r>
      <w:r w:rsidRPr="008D1B92">
        <w:rPr>
          <w:rFonts w:hint="cs"/>
          <w:spacing w:val="0"/>
          <w:kern w:val="0"/>
          <w:sz w:val="20"/>
          <w:rtl/>
          <w:lang w:val="en-CA"/>
        </w:rPr>
        <w:t xml:space="preserve"> </w:t>
      </w:r>
      <w:r w:rsidRPr="008D1B92">
        <w:rPr>
          <w:spacing w:val="0"/>
          <w:kern w:val="0"/>
          <w:sz w:val="20"/>
          <w:rtl/>
          <w:lang w:val="en-CA"/>
        </w:rPr>
        <w:t>2006. ومنذ ذلك الحين</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 xml:space="preserve">السياسة </w:t>
      </w:r>
      <w:r w:rsidRPr="008D1B92">
        <w:rPr>
          <w:rFonts w:hint="cs"/>
          <w:spacing w:val="0"/>
          <w:kern w:val="0"/>
          <w:sz w:val="20"/>
          <w:rtl/>
          <w:lang w:val="en-CA"/>
        </w:rPr>
        <w:t xml:space="preserve">العامة </w:t>
      </w:r>
      <w:r w:rsidRPr="008D1B92">
        <w:rPr>
          <w:spacing w:val="0"/>
          <w:kern w:val="0"/>
          <w:sz w:val="20"/>
          <w:rtl/>
          <w:lang w:val="en-CA"/>
        </w:rPr>
        <w:t>الهايتي</w:t>
      </w:r>
      <w:r w:rsidRPr="008D1B92">
        <w:rPr>
          <w:rFonts w:hint="cs"/>
          <w:spacing w:val="0"/>
          <w:kern w:val="0"/>
          <w:sz w:val="20"/>
          <w:rtl/>
          <w:lang w:val="en-CA"/>
        </w:rPr>
        <w:t>ة</w:t>
      </w:r>
      <w:r w:rsidRPr="008D1B92">
        <w:rPr>
          <w:spacing w:val="0"/>
          <w:kern w:val="0"/>
          <w:sz w:val="20"/>
          <w:rtl/>
          <w:lang w:val="en-CA"/>
        </w:rPr>
        <w:t xml:space="preserve"> </w:t>
      </w:r>
      <w:r w:rsidRPr="008D1B92">
        <w:rPr>
          <w:rFonts w:hint="cs"/>
          <w:spacing w:val="0"/>
          <w:kern w:val="0"/>
          <w:sz w:val="20"/>
          <w:rtl/>
          <w:lang w:val="en-CA"/>
        </w:rPr>
        <w:t xml:space="preserve">تتمثل في </w:t>
      </w:r>
      <w:r w:rsidRPr="008D1B92">
        <w:rPr>
          <w:spacing w:val="0"/>
          <w:kern w:val="0"/>
          <w:sz w:val="20"/>
          <w:rtl/>
          <w:lang w:val="en-CA"/>
        </w:rPr>
        <w:t xml:space="preserve">احتجاز هؤلاء الأشخاص </w:t>
      </w:r>
      <w:r w:rsidRPr="008D1B92">
        <w:rPr>
          <w:rFonts w:hint="cs"/>
          <w:spacing w:val="0"/>
          <w:kern w:val="0"/>
          <w:sz w:val="20"/>
          <w:rtl/>
          <w:lang w:val="en-CA"/>
        </w:rPr>
        <w:t xml:space="preserve">بصورة </w:t>
      </w:r>
      <w:r w:rsidRPr="008D1B92">
        <w:rPr>
          <w:spacing w:val="0"/>
          <w:kern w:val="0"/>
          <w:sz w:val="20"/>
          <w:rtl/>
          <w:lang w:val="en-CA"/>
        </w:rPr>
        <w:t>مؤقت</w:t>
      </w:r>
      <w:r w:rsidRPr="008D1B92">
        <w:rPr>
          <w:rFonts w:hint="cs"/>
          <w:spacing w:val="0"/>
          <w:kern w:val="0"/>
          <w:sz w:val="20"/>
          <w:rtl/>
          <w:lang w:val="en-CA"/>
        </w:rPr>
        <w:t>ة</w:t>
      </w:r>
      <w:r w:rsidRPr="008D1B92">
        <w:rPr>
          <w:spacing w:val="0"/>
          <w:kern w:val="0"/>
          <w:sz w:val="20"/>
          <w:rtl/>
          <w:lang w:val="en-CA"/>
        </w:rPr>
        <w:t xml:space="preserve"> في </w:t>
      </w:r>
      <w:r w:rsidRPr="008D1B92">
        <w:rPr>
          <w:rFonts w:hint="cs"/>
          <w:spacing w:val="0"/>
          <w:kern w:val="0"/>
          <w:sz w:val="20"/>
          <w:rtl/>
          <w:lang w:val="en-CA"/>
        </w:rPr>
        <w:t xml:space="preserve">أحد مراكز الإدارة </w:t>
      </w:r>
      <w:r w:rsidRPr="008D1B92">
        <w:rPr>
          <w:spacing w:val="0"/>
          <w:kern w:val="0"/>
          <w:sz w:val="20"/>
          <w:rtl/>
          <w:lang w:val="en-CA"/>
        </w:rPr>
        <w:t xml:space="preserve">المركزية للشرطة القضائية بالقرب من المطار لمدة لا </w:t>
      </w:r>
      <w:r w:rsidRPr="008D1B92">
        <w:rPr>
          <w:rFonts w:hint="cs"/>
          <w:spacing w:val="0"/>
          <w:kern w:val="0"/>
          <w:sz w:val="20"/>
          <w:rtl/>
          <w:lang w:val="en-CA"/>
        </w:rPr>
        <w:t>تتجاوز</w:t>
      </w:r>
      <w:r w:rsidRPr="008D1B92">
        <w:rPr>
          <w:spacing w:val="0"/>
          <w:kern w:val="0"/>
          <w:sz w:val="20"/>
          <w:rtl/>
          <w:lang w:val="en-CA"/>
        </w:rPr>
        <w:t xml:space="preserve"> </w:t>
      </w:r>
      <w:r w:rsidRPr="008D1B92">
        <w:rPr>
          <w:rFonts w:hint="cs"/>
          <w:spacing w:val="0"/>
          <w:kern w:val="0"/>
          <w:sz w:val="20"/>
          <w:rtl/>
          <w:lang w:val="en-CA"/>
        </w:rPr>
        <w:t>أ</w:t>
      </w:r>
      <w:r w:rsidRPr="008D1B92">
        <w:rPr>
          <w:spacing w:val="0"/>
          <w:kern w:val="0"/>
          <w:sz w:val="20"/>
          <w:rtl/>
          <w:lang w:val="en-CA"/>
        </w:rPr>
        <w:t xml:space="preserve">سبوعين. والغرض من هذا </w:t>
      </w:r>
      <w:r w:rsidRPr="008D1B92">
        <w:rPr>
          <w:rFonts w:hint="cs"/>
          <w:spacing w:val="0"/>
          <w:kern w:val="0"/>
          <w:sz w:val="20"/>
          <w:rtl/>
          <w:lang w:val="en-CA"/>
        </w:rPr>
        <w:t xml:space="preserve">الاحتجاز الوقائي </w:t>
      </w:r>
      <w:r w:rsidRPr="008D1B92">
        <w:rPr>
          <w:spacing w:val="0"/>
          <w:kern w:val="0"/>
          <w:sz w:val="20"/>
          <w:rtl/>
          <w:lang w:val="en-CA"/>
        </w:rPr>
        <w:t xml:space="preserve">هو </w:t>
      </w:r>
      <w:r w:rsidRPr="008D1B92">
        <w:rPr>
          <w:rFonts w:hint="cs"/>
          <w:spacing w:val="0"/>
          <w:kern w:val="0"/>
          <w:sz w:val="20"/>
          <w:rtl/>
          <w:lang w:val="en-CA"/>
        </w:rPr>
        <w:t xml:space="preserve">تحديد </w:t>
      </w:r>
      <w:r w:rsidRPr="008D1B92">
        <w:rPr>
          <w:spacing w:val="0"/>
          <w:kern w:val="0"/>
          <w:sz w:val="20"/>
          <w:rtl/>
          <w:lang w:val="en-CA"/>
        </w:rPr>
        <w:t xml:space="preserve">ما إذا كان </w:t>
      </w:r>
      <w:r w:rsidRPr="008D1B92">
        <w:rPr>
          <w:rFonts w:hint="cs"/>
          <w:spacing w:val="0"/>
          <w:kern w:val="0"/>
          <w:sz w:val="20"/>
          <w:rtl/>
          <w:lang w:val="en-CA"/>
        </w:rPr>
        <w:t>الشخص</w:t>
      </w:r>
      <w:r w:rsidRPr="008D1B92">
        <w:rPr>
          <w:spacing w:val="0"/>
          <w:kern w:val="0"/>
          <w:sz w:val="20"/>
          <w:rtl/>
          <w:lang w:val="en-CA"/>
        </w:rPr>
        <w:t xml:space="preserve"> قد ارتكب جرائم في هايتي، والسماح ل</w:t>
      </w:r>
      <w:r w:rsidRPr="008D1B92">
        <w:rPr>
          <w:rFonts w:hint="cs"/>
          <w:spacing w:val="0"/>
          <w:kern w:val="0"/>
          <w:sz w:val="20"/>
          <w:rtl/>
          <w:lang w:val="en-CA"/>
        </w:rPr>
        <w:t xml:space="preserve">أحد </w:t>
      </w:r>
      <w:r w:rsidRPr="008D1B92">
        <w:rPr>
          <w:spacing w:val="0"/>
          <w:kern w:val="0"/>
          <w:sz w:val="20"/>
          <w:rtl/>
          <w:lang w:val="en-CA"/>
        </w:rPr>
        <w:t xml:space="preserve">أفراد الأسرة </w:t>
      </w:r>
      <w:r w:rsidRPr="008D1B92">
        <w:rPr>
          <w:rFonts w:hint="cs"/>
          <w:spacing w:val="0"/>
          <w:kern w:val="0"/>
          <w:sz w:val="20"/>
          <w:rtl/>
          <w:lang w:val="en-CA"/>
        </w:rPr>
        <w:t>بضمانه</w:t>
      </w:r>
      <w:r w:rsidRPr="008D1B92">
        <w:rPr>
          <w:spacing w:val="0"/>
          <w:kern w:val="0"/>
          <w:sz w:val="20"/>
          <w:rtl/>
          <w:lang w:val="en-CA"/>
        </w:rPr>
        <w:t xml:space="preserve">. </w:t>
      </w:r>
      <w:r w:rsidRPr="008D1B92">
        <w:rPr>
          <w:rFonts w:hint="cs"/>
          <w:spacing w:val="0"/>
          <w:kern w:val="0"/>
          <w:sz w:val="20"/>
          <w:rtl/>
          <w:lang w:val="en-CA"/>
        </w:rPr>
        <w:t>ويُفرج عن الشخص بعد ذلك إفراجاً مشروطاً</w:t>
      </w:r>
      <w:r w:rsidRPr="008D1B92">
        <w:rPr>
          <w:spacing w:val="0"/>
          <w:kern w:val="0"/>
          <w:sz w:val="20"/>
          <w:rtl/>
          <w:lang w:val="en-CA"/>
        </w:rPr>
        <w:t xml:space="preserve"> لمدة </w:t>
      </w:r>
      <w:r w:rsidRPr="008D1B92">
        <w:rPr>
          <w:rFonts w:hint="cs"/>
          <w:spacing w:val="0"/>
          <w:kern w:val="0"/>
          <w:sz w:val="20"/>
          <w:rtl/>
          <w:lang w:val="en-CA"/>
        </w:rPr>
        <w:t xml:space="preserve">تتراوح بين </w:t>
      </w:r>
      <w:r w:rsidRPr="008D1B92">
        <w:rPr>
          <w:spacing w:val="0"/>
          <w:kern w:val="0"/>
          <w:sz w:val="20"/>
          <w:rtl/>
          <w:lang w:val="en-CA"/>
        </w:rPr>
        <w:t xml:space="preserve">8 أسابيع </w:t>
      </w:r>
      <w:r w:rsidRPr="008D1B92">
        <w:rPr>
          <w:rFonts w:hint="cs"/>
          <w:spacing w:val="0"/>
          <w:kern w:val="0"/>
          <w:sz w:val="20"/>
          <w:rtl/>
          <w:lang w:val="en-CA"/>
        </w:rPr>
        <w:t>و</w:t>
      </w:r>
      <w:r w:rsidRPr="008D1B92">
        <w:rPr>
          <w:spacing w:val="0"/>
          <w:kern w:val="0"/>
          <w:sz w:val="20"/>
          <w:rtl/>
          <w:lang w:val="en-CA"/>
        </w:rPr>
        <w:t xml:space="preserve">6 </w:t>
      </w:r>
      <w:r w:rsidRPr="008D1B92">
        <w:rPr>
          <w:rFonts w:hint="cs"/>
          <w:spacing w:val="0"/>
          <w:kern w:val="0"/>
          <w:sz w:val="20"/>
          <w:rtl/>
          <w:lang w:val="en-CA"/>
        </w:rPr>
        <w:t>أشهر</w:t>
      </w:r>
      <w:r w:rsidRPr="008D1B92">
        <w:rPr>
          <w:spacing w:val="0"/>
          <w:kern w:val="0"/>
          <w:sz w:val="20"/>
          <w:rtl/>
          <w:lang w:val="en-CA"/>
        </w:rPr>
        <w:t xml:space="preserve">. </w:t>
      </w:r>
      <w:r w:rsidRPr="008D1B92">
        <w:rPr>
          <w:rFonts w:hint="cs"/>
          <w:spacing w:val="0"/>
          <w:kern w:val="0"/>
          <w:sz w:val="20"/>
          <w:rtl/>
          <w:lang w:val="en-CA"/>
        </w:rPr>
        <w:t xml:space="preserve">وتلاحظ </w:t>
      </w:r>
      <w:r w:rsidRPr="008D1B92">
        <w:rPr>
          <w:spacing w:val="0"/>
          <w:kern w:val="0"/>
          <w:sz w:val="20"/>
          <w:rtl/>
          <w:lang w:val="en-CA"/>
        </w:rPr>
        <w:t xml:space="preserve">الدولة الطرف أن هذه الممارسة ليست موحدة. وهكذا، منذ </w:t>
      </w:r>
      <w:r w:rsidRPr="008D1B92">
        <w:rPr>
          <w:rFonts w:hint="cs"/>
          <w:spacing w:val="0"/>
          <w:kern w:val="0"/>
          <w:sz w:val="20"/>
          <w:rtl/>
          <w:lang w:val="en-CA"/>
        </w:rPr>
        <w:t>آب/</w:t>
      </w:r>
      <w:r w:rsidRPr="008D1B92">
        <w:rPr>
          <w:spacing w:val="0"/>
          <w:kern w:val="0"/>
          <w:sz w:val="20"/>
          <w:rtl/>
          <w:lang w:val="en-CA"/>
        </w:rPr>
        <w:t xml:space="preserve">أغسطس 2008، </w:t>
      </w:r>
      <w:r w:rsidRPr="008D1B92">
        <w:rPr>
          <w:rFonts w:hint="cs"/>
          <w:spacing w:val="0"/>
          <w:kern w:val="0"/>
          <w:sz w:val="20"/>
          <w:rtl/>
          <w:lang w:val="en-CA"/>
        </w:rPr>
        <w:t xml:space="preserve">احتجز 9 أشخاص من </w:t>
      </w:r>
      <w:r w:rsidRPr="008D1B92">
        <w:rPr>
          <w:spacing w:val="0"/>
          <w:kern w:val="0"/>
          <w:sz w:val="20"/>
          <w:rtl/>
          <w:lang w:val="en-CA"/>
        </w:rPr>
        <w:t>أصل</w:t>
      </w:r>
      <w:r w:rsidRPr="008D1B92">
        <w:rPr>
          <w:rFonts w:hint="cs"/>
          <w:spacing w:val="0"/>
          <w:kern w:val="0"/>
          <w:sz w:val="20"/>
          <w:rtl/>
          <w:lang w:val="en-CA"/>
        </w:rPr>
        <w:t> </w:t>
      </w:r>
      <w:r w:rsidRPr="008D1B92">
        <w:rPr>
          <w:spacing w:val="0"/>
          <w:kern w:val="0"/>
          <w:sz w:val="20"/>
          <w:rtl/>
          <w:lang w:val="en-CA"/>
        </w:rPr>
        <w:t>23 شخصا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مرحلاً </w:t>
      </w:r>
      <w:r w:rsidRPr="008D1B92">
        <w:rPr>
          <w:spacing w:val="0"/>
          <w:kern w:val="0"/>
          <w:sz w:val="20"/>
          <w:rtl/>
          <w:lang w:val="en-CA"/>
        </w:rPr>
        <w:t xml:space="preserve">من كندا إلى هايتي بسبب </w:t>
      </w:r>
      <w:r w:rsidRPr="008D1B92">
        <w:rPr>
          <w:rFonts w:hint="cs"/>
          <w:spacing w:val="0"/>
          <w:kern w:val="0"/>
          <w:sz w:val="20"/>
          <w:rtl/>
          <w:lang w:val="en-CA"/>
        </w:rPr>
        <w:t>ال</w:t>
      </w:r>
      <w:r w:rsidRPr="008D1B92">
        <w:rPr>
          <w:spacing w:val="0"/>
          <w:kern w:val="0"/>
          <w:sz w:val="20"/>
          <w:rtl/>
          <w:lang w:val="en-CA"/>
        </w:rPr>
        <w:t>جريمة</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وتشير</w:t>
      </w:r>
      <w:r w:rsidRPr="008D1B92">
        <w:rPr>
          <w:spacing w:val="0"/>
          <w:kern w:val="0"/>
          <w:sz w:val="20"/>
          <w:rtl/>
          <w:lang w:val="en-CA"/>
        </w:rPr>
        <w:t xml:space="preserve"> الدولة الطرف أيضا</w:t>
      </w:r>
      <w:r w:rsidRPr="008D1B92">
        <w:rPr>
          <w:rFonts w:hint="cs"/>
          <w:spacing w:val="0"/>
          <w:kern w:val="0"/>
          <w:sz w:val="20"/>
          <w:rtl/>
          <w:lang w:val="en-CA"/>
        </w:rPr>
        <w:t xml:space="preserve">ً إلى أرقام الفترة من </w:t>
      </w:r>
      <w:r w:rsidRPr="008D1B92">
        <w:rPr>
          <w:spacing w:val="0"/>
          <w:kern w:val="0"/>
          <w:sz w:val="20"/>
          <w:rtl/>
          <w:lang w:val="en-CA"/>
        </w:rPr>
        <w:t>آب</w:t>
      </w:r>
      <w:r w:rsidRPr="008D1B92">
        <w:rPr>
          <w:rFonts w:hint="cs"/>
          <w:spacing w:val="0"/>
          <w:kern w:val="0"/>
          <w:sz w:val="20"/>
          <w:rtl/>
          <w:lang w:val="en-CA"/>
        </w:rPr>
        <w:t>/أغسطس</w:t>
      </w:r>
      <w:r w:rsidRPr="008D1B92">
        <w:rPr>
          <w:spacing w:val="0"/>
          <w:kern w:val="0"/>
          <w:sz w:val="20"/>
          <w:rtl/>
          <w:lang w:val="en-CA"/>
        </w:rPr>
        <w:t xml:space="preserve"> 2007 </w:t>
      </w:r>
      <w:r w:rsidRPr="008D1B92">
        <w:rPr>
          <w:rFonts w:hint="cs"/>
          <w:spacing w:val="0"/>
          <w:kern w:val="0"/>
          <w:sz w:val="20"/>
          <w:rtl/>
          <w:lang w:val="en-CA"/>
        </w:rPr>
        <w:t>إلى آب/</w:t>
      </w:r>
      <w:r w:rsidRPr="008D1B92">
        <w:rPr>
          <w:spacing w:val="0"/>
          <w:kern w:val="0"/>
          <w:sz w:val="20"/>
          <w:rtl/>
          <w:lang w:val="en-CA"/>
        </w:rPr>
        <w:t>أغسطس 2008</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حيث احتجز </w:t>
      </w:r>
      <w:r w:rsidRPr="008D1B92">
        <w:rPr>
          <w:spacing w:val="0"/>
          <w:kern w:val="0"/>
          <w:sz w:val="20"/>
          <w:rtl/>
          <w:lang w:val="en-CA"/>
        </w:rPr>
        <w:t xml:space="preserve">7 </w:t>
      </w:r>
      <w:r w:rsidRPr="008D1B92">
        <w:rPr>
          <w:rFonts w:hint="cs"/>
          <w:spacing w:val="0"/>
          <w:kern w:val="0"/>
          <w:sz w:val="20"/>
          <w:rtl/>
          <w:lang w:val="en-CA"/>
        </w:rPr>
        <w:t>أشخاص م</w:t>
      </w:r>
      <w:r w:rsidRPr="008D1B92">
        <w:rPr>
          <w:spacing w:val="0"/>
          <w:kern w:val="0"/>
          <w:sz w:val="20"/>
          <w:rtl/>
          <w:lang w:val="en-CA"/>
        </w:rPr>
        <w:t>ن أصل 15</w:t>
      </w:r>
      <w:r w:rsidRPr="008D1B92">
        <w:rPr>
          <w:rFonts w:hint="cs"/>
          <w:spacing w:val="0"/>
          <w:kern w:val="0"/>
          <w:sz w:val="20"/>
          <w:rtl/>
          <w:lang w:val="en-CA"/>
        </w:rPr>
        <w:t xml:space="preserve"> شخصاً</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وفقا</w:t>
      </w:r>
      <w:r w:rsidRPr="008D1B92">
        <w:rPr>
          <w:rFonts w:hint="cs"/>
          <w:spacing w:val="0"/>
          <w:kern w:val="0"/>
          <w:sz w:val="20"/>
          <w:rtl/>
          <w:lang w:val="en-CA"/>
        </w:rPr>
        <w:t>ً</w:t>
      </w:r>
      <w:r w:rsidRPr="008D1B92">
        <w:rPr>
          <w:spacing w:val="0"/>
          <w:kern w:val="0"/>
          <w:sz w:val="20"/>
          <w:rtl/>
          <w:lang w:val="en-CA"/>
        </w:rPr>
        <w:t xml:space="preserve"> للمعلومات المتاحة للدولة الطرف، </w:t>
      </w:r>
      <w:r w:rsidRPr="008D1B92">
        <w:rPr>
          <w:rFonts w:hint="cs"/>
          <w:spacing w:val="0"/>
          <w:kern w:val="0"/>
          <w:sz w:val="20"/>
          <w:rtl/>
          <w:lang w:val="en-CA"/>
        </w:rPr>
        <w:t>لم يحتجز</w:t>
      </w:r>
      <w:r w:rsidRPr="008D1B92">
        <w:rPr>
          <w:spacing w:val="0"/>
          <w:kern w:val="0"/>
          <w:sz w:val="20"/>
          <w:rtl/>
          <w:lang w:val="en-CA"/>
        </w:rPr>
        <w:t xml:space="preserve"> أي شخص في السجن الوطني ولم ترد تقارير عن </w:t>
      </w:r>
      <w:r w:rsidRPr="008D1B92">
        <w:rPr>
          <w:rFonts w:hint="cs"/>
          <w:spacing w:val="0"/>
          <w:kern w:val="0"/>
          <w:sz w:val="20"/>
          <w:rtl/>
          <w:lang w:val="en-CA"/>
        </w:rPr>
        <w:t>ادعاءات ب</w:t>
      </w:r>
      <w:r w:rsidRPr="008D1B92">
        <w:rPr>
          <w:spacing w:val="0"/>
          <w:kern w:val="0"/>
          <w:sz w:val="20"/>
          <w:rtl/>
          <w:lang w:val="en-CA"/>
        </w:rPr>
        <w:t xml:space="preserve">سوء المعاملة من هؤلاء الأفراد. </w:t>
      </w:r>
      <w:r w:rsidRPr="008D1B92">
        <w:rPr>
          <w:rFonts w:hint="cs"/>
          <w:spacing w:val="0"/>
          <w:kern w:val="0"/>
          <w:sz w:val="20"/>
          <w:rtl/>
          <w:lang w:val="en-CA"/>
        </w:rPr>
        <w:t>كما تشير</w:t>
      </w:r>
      <w:r w:rsidRPr="008D1B92">
        <w:rPr>
          <w:spacing w:val="0"/>
          <w:kern w:val="0"/>
          <w:sz w:val="20"/>
          <w:rtl/>
          <w:lang w:val="en-CA"/>
        </w:rPr>
        <w:t xml:space="preserve"> الدولة الطرف </w:t>
      </w:r>
      <w:r w:rsidRPr="008D1B92">
        <w:rPr>
          <w:rFonts w:hint="cs"/>
          <w:spacing w:val="0"/>
          <w:kern w:val="0"/>
          <w:sz w:val="20"/>
          <w:rtl/>
          <w:lang w:val="en-CA"/>
        </w:rPr>
        <w:t xml:space="preserve">إلى </w:t>
      </w:r>
      <w:r w:rsidRPr="008D1B92">
        <w:rPr>
          <w:spacing w:val="0"/>
          <w:kern w:val="0"/>
          <w:sz w:val="20"/>
          <w:rtl/>
          <w:lang w:val="en-CA"/>
        </w:rPr>
        <w:t>أنه وفقا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للاجتهادات القانونية </w:t>
      </w:r>
      <w:r w:rsidRPr="008D1B92">
        <w:rPr>
          <w:spacing w:val="0"/>
          <w:kern w:val="0"/>
          <w:sz w:val="20"/>
          <w:rtl/>
          <w:lang w:val="en-CA"/>
        </w:rPr>
        <w:t xml:space="preserve">للجنة، </w:t>
      </w:r>
      <w:r w:rsidRPr="008D1B92">
        <w:rPr>
          <w:rFonts w:hint="cs"/>
          <w:spacing w:val="0"/>
          <w:kern w:val="0"/>
          <w:sz w:val="20"/>
          <w:rtl/>
          <w:lang w:val="en-CA"/>
        </w:rPr>
        <w:t>فإن عملية توقيف أو احتجاز</w:t>
      </w:r>
      <w:r w:rsidRPr="008D1B92">
        <w:rPr>
          <w:spacing w:val="0"/>
          <w:kern w:val="0"/>
          <w:sz w:val="20"/>
          <w:rtl/>
          <w:lang w:val="en-CA"/>
        </w:rPr>
        <w:t xml:space="preserve"> واحد</w:t>
      </w:r>
      <w:r w:rsidRPr="008D1B92">
        <w:rPr>
          <w:rFonts w:hint="cs"/>
          <w:spacing w:val="0"/>
          <w:kern w:val="0"/>
          <w:sz w:val="20"/>
          <w:rtl/>
          <w:lang w:val="en-CA"/>
        </w:rPr>
        <w:t>ة</w:t>
      </w:r>
      <w:r w:rsidRPr="008D1B92">
        <w:rPr>
          <w:spacing w:val="0"/>
          <w:kern w:val="0"/>
          <w:sz w:val="20"/>
          <w:rtl/>
          <w:lang w:val="en-CA"/>
        </w:rPr>
        <w:t xml:space="preserve"> لا</w:t>
      </w:r>
      <w:r w:rsidRPr="008D1B92">
        <w:rPr>
          <w:rFonts w:hint="cs"/>
          <w:spacing w:val="0"/>
          <w:kern w:val="0"/>
          <w:sz w:val="20"/>
          <w:rtl/>
          <w:lang w:val="en-CA"/>
        </w:rPr>
        <w:t> ت</w:t>
      </w:r>
      <w:r w:rsidRPr="008D1B92">
        <w:rPr>
          <w:spacing w:val="0"/>
          <w:kern w:val="0"/>
          <w:sz w:val="20"/>
          <w:rtl/>
          <w:lang w:val="en-CA"/>
        </w:rPr>
        <w:t>شكل في حد ذاته</w:t>
      </w:r>
      <w:r w:rsidRPr="008D1B92">
        <w:rPr>
          <w:rFonts w:hint="cs"/>
          <w:spacing w:val="0"/>
          <w:kern w:val="0"/>
          <w:sz w:val="20"/>
          <w:rtl/>
          <w:lang w:val="en-CA"/>
        </w:rPr>
        <w:t>ا</w:t>
      </w:r>
      <w:r w:rsidRPr="008D1B92">
        <w:rPr>
          <w:spacing w:val="0"/>
          <w:kern w:val="0"/>
          <w:sz w:val="20"/>
          <w:rtl/>
          <w:lang w:val="en-CA"/>
        </w:rPr>
        <w:t xml:space="preserve"> تعذيب</w:t>
      </w:r>
      <w:r w:rsidRPr="008D1B92">
        <w:rPr>
          <w:rFonts w:hint="cs"/>
          <w:spacing w:val="0"/>
          <w:kern w:val="0"/>
          <w:sz w:val="20"/>
          <w:rtl/>
          <w:lang w:val="en-CA"/>
        </w:rPr>
        <w:t>اً</w:t>
      </w:r>
      <w:r w:rsidRPr="008D1B92">
        <w:rPr>
          <w:rFonts w:hint="cs"/>
          <w:spacing w:val="0"/>
          <w:kern w:val="0"/>
          <w:sz w:val="20"/>
          <w:vertAlign w:val="superscript"/>
          <w:rtl/>
          <w:lang w:val="en-CA"/>
        </w:rPr>
        <w:t>(</w:t>
      </w:r>
      <w:r w:rsidRPr="008D1B92">
        <w:rPr>
          <w:rStyle w:val="FootnoteReference"/>
          <w:spacing w:val="0"/>
          <w:sz w:val="20"/>
          <w:rtl/>
          <w:lang w:val="en-CA"/>
        </w:rPr>
        <w:footnoteReference w:id="228"/>
      </w:r>
      <w:r w:rsidRPr="008D1B92">
        <w:rPr>
          <w:rFonts w:hint="cs"/>
          <w:spacing w:val="0"/>
          <w:kern w:val="0"/>
          <w:sz w:val="20"/>
          <w:vertAlign w:val="superscript"/>
          <w:rtl/>
          <w:lang w:val="en-CA"/>
        </w:rPr>
        <w:t>)</w:t>
      </w:r>
      <w:r w:rsidRPr="008D1B92">
        <w:rPr>
          <w:rFonts w:hint="cs"/>
          <w:spacing w:val="0"/>
          <w:kern w:val="0"/>
          <w:sz w:val="20"/>
          <w:rtl/>
          <w:lang w:val="en-CA"/>
        </w:rPr>
        <w:t>. و</w:t>
      </w:r>
      <w:r w:rsidRPr="008D1B92">
        <w:rPr>
          <w:spacing w:val="0"/>
          <w:kern w:val="0"/>
          <w:sz w:val="20"/>
          <w:rtl/>
          <w:lang w:val="en-CA"/>
        </w:rPr>
        <w:t>في هذه الحالة</w:t>
      </w:r>
      <w:r w:rsidRPr="008D1B92">
        <w:rPr>
          <w:rFonts w:hint="cs"/>
          <w:spacing w:val="0"/>
          <w:kern w:val="0"/>
          <w:sz w:val="20"/>
          <w:rtl/>
          <w:lang w:val="en-CA"/>
        </w:rPr>
        <w:t xml:space="preserve">، لا يدعى صاحب الشكوى أنه يواجه </w:t>
      </w:r>
      <w:r w:rsidRPr="008D1B92">
        <w:rPr>
          <w:spacing w:val="0"/>
          <w:kern w:val="0"/>
          <w:sz w:val="20"/>
          <w:rtl/>
          <w:lang w:val="en-CA"/>
        </w:rPr>
        <w:t xml:space="preserve">خطر التعرض للتعذيب من جانب السلطات الهايتية ولا يقدم أدلة </w:t>
      </w:r>
      <w:r w:rsidRPr="008D1B92">
        <w:rPr>
          <w:rFonts w:hint="cs"/>
          <w:spacing w:val="0"/>
          <w:kern w:val="0"/>
          <w:sz w:val="20"/>
          <w:rtl/>
          <w:lang w:val="en-CA"/>
        </w:rPr>
        <w:t xml:space="preserve">تدعو إلى الاعتقاد بأن </w:t>
      </w:r>
      <w:r w:rsidRPr="008D1B92">
        <w:rPr>
          <w:spacing w:val="0"/>
          <w:kern w:val="0"/>
          <w:sz w:val="20"/>
          <w:rtl/>
          <w:lang w:val="en-CA"/>
        </w:rPr>
        <w:t xml:space="preserve">ظروف </w:t>
      </w:r>
      <w:r w:rsidRPr="008D1B92">
        <w:rPr>
          <w:rFonts w:hint="cs"/>
          <w:spacing w:val="0"/>
          <w:kern w:val="0"/>
          <w:sz w:val="20"/>
          <w:rtl/>
          <w:lang w:val="en-CA"/>
        </w:rPr>
        <w:t>الاحتجاز</w:t>
      </w:r>
      <w:r w:rsidRPr="008D1B92">
        <w:rPr>
          <w:spacing w:val="0"/>
          <w:kern w:val="0"/>
          <w:sz w:val="20"/>
          <w:rtl/>
          <w:lang w:val="en-CA"/>
        </w:rPr>
        <w:t xml:space="preserve"> من </w:t>
      </w:r>
      <w:r w:rsidRPr="008D1B92">
        <w:rPr>
          <w:rFonts w:hint="cs"/>
          <w:spacing w:val="0"/>
          <w:kern w:val="0"/>
          <w:sz w:val="20"/>
          <w:rtl/>
          <w:lang w:val="en-CA"/>
        </w:rPr>
        <w:t>جانب</w:t>
      </w:r>
      <w:r w:rsidRPr="008D1B92">
        <w:rPr>
          <w:spacing w:val="0"/>
          <w:kern w:val="0"/>
          <w:sz w:val="20"/>
          <w:rtl/>
          <w:lang w:val="en-CA"/>
        </w:rPr>
        <w:t xml:space="preserve"> </w:t>
      </w:r>
      <w:r w:rsidRPr="008D1B92">
        <w:rPr>
          <w:rFonts w:hint="cs"/>
          <w:spacing w:val="0"/>
          <w:kern w:val="0"/>
          <w:sz w:val="20"/>
          <w:rtl/>
          <w:lang w:val="en-CA"/>
        </w:rPr>
        <w:t>الإدارة</w:t>
      </w:r>
      <w:r w:rsidRPr="008D1B92">
        <w:rPr>
          <w:spacing w:val="0"/>
          <w:kern w:val="0"/>
          <w:sz w:val="20"/>
          <w:rtl/>
          <w:lang w:val="en-CA"/>
        </w:rPr>
        <w:t xml:space="preserve"> المركزية للشرطة القضائية تشكل تعذيبا</w:t>
      </w:r>
      <w:r w:rsidRPr="008D1B92">
        <w:rPr>
          <w:rFonts w:hint="cs"/>
          <w:spacing w:val="0"/>
          <w:kern w:val="0"/>
          <w:sz w:val="20"/>
          <w:rtl/>
          <w:lang w:val="en-CA"/>
        </w:rPr>
        <w:t>ً</w:t>
      </w:r>
      <w:r w:rsidRPr="008D1B92">
        <w:rPr>
          <w:spacing w:val="0"/>
          <w:kern w:val="0"/>
          <w:sz w:val="20"/>
          <w:rtl/>
          <w:lang w:val="en-CA"/>
        </w:rPr>
        <w:t>.</w:t>
      </w:r>
    </w:p>
    <w:p w:rsidR="008D1B92" w:rsidRPr="008D1B92" w:rsidRDefault="008D1B92" w:rsidP="00CA2D0E">
      <w:pPr>
        <w:pStyle w:val="SingleTxtGA"/>
        <w:jc w:val="lowKashida"/>
        <w:rPr>
          <w:rFonts w:hint="cs"/>
          <w:spacing w:val="0"/>
          <w:kern w:val="0"/>
          <w:sz w:val="20"/>
          <w:rtl/>
          <w:lang w:val="en-CA"/>
        </w:rPr>
      </w:pPr>
      <w:r w:rsidRPr="008D1B92">
        <w:rPr>
          <w:rFonts w:hint="cs"/>
          <w:spacing w:val="0"/>
          <w:kern w:val="0"/>
          <w:sz w:val="20"/>
          <w:rtl/>
          <w:lang w:val="en-CA"/>
        </w:rPr>
        <w:t>4-8</w:t>
      </w:r>
      <w:r w:rsidRPr="008D1B92">
        <w:rPr>
          <w:rFonts w:hint="cs"/>
          <w:spacing w:val="0"/>
          <w:kern w:val="0"/>
          <w:sz w:val="20"/>
          <w:rtl/>
          <w:lang w:val="en-CA"/>
        </w:rPr>
        <w:tab/>
      </w:r>
      <w:r w:rsidRPr="008D1B92">
        <w:rPr>
          <w:spacing w:val="0"/>
          <w:kern w:val="0"/>
          <w:sz w:val="20"/>
          <w:rtl/>
          <w:lang w:val="en-CA"/>
        </w:rPr>
        <w:t xml:space="preserve">وترى الدولة الطرف أن الادعاءات المتعلقة </w:t>
      </w:r>
      <w:r w:rsidRPr="008D1B92">
        <w:rPr>
          <w:rFonts w:hint="cs"/>
          <w:spacing w:val="0"/>
          <w:kern w:val="0"/>
          <w:sz w:val="20"/>
          <w:rtl/>
          <w:lang w:val="en-CA"/>
        </w:rPr>
        <w:t>بطفلي</w:t>
      </w:r>
      <w:r w:rsidRPr="008D1B92">
        <w:rPr>
          <w:spacing w:val="0"/>
          <w:kern w:val="0"/>
          <w:sz w:val="20"/>
          <w:rtl/>
          <w:lang w:val="en-CA"/>
        </w:rPr>
        <w:t xml:space="preserve"> </w:t>
      </w:r>
      <w:r w:rsidRPr="008D1B92">
        <w:rPr>
          <w:rFonts w:hint="cs"/>
          <w:spacing w:val="0"/>
          <w:kern w:val="0"/>
          <w:sz w:val="20"/>
          <w:rtl/>
          <w:lang w:val="en-CA"/>
        </w:rPr>
        <w:t xml:space="preserve">صاحب الشكوى </w:t>
      </w:r>
      <w:r w:rsidRPr="008D1B92">
        <w:rPr>
          <w:spacing w:val="0"/>
          <w:kern w:val="0"/>
          <w:sz w:val="20"/>
          <w:rtl/>
          <w:lang w:val="en-CA"/>
        </w:rPr>
        <w:t>وزوج</w:t>
      </w:r>
      <w:r w:rsidRPr="008D1B92">
        <w:rPr>
          <w:rFonts w:hint="cs"/>
          <w:spacing w:val="0"/>
          <w:kern w:val="0"/>
          <w:sz w:val="20"/>
          <w:rtl/>
          <w:lang w:val="en-CA"/>
        </w:rPr>
        <w:t xml:space="preserve">ته </w:t>
      </w:r>
      <w:r w:rsidRPr="008D1B92">
        <w:rPr>
          <w:spacing w:val="0"/>
          <w:kern w:val="0"/>
          <w:sz w:val="20"/>
          <w:rtl/>
          <w:lang w:val="en-CA"/>
        </w:rPr>
        <w:t>غير مقبول</w:t>
      </w:r>
      <w:r w:rsidRPr="008D1B92">
        <w:rPr>
          <w:rFonts w:hint="cs"/>
          <w:spacing w:val="0"/>
          <w:kern w:val="0"/>
          <w:sz w:val="20"/>
          <w:rtl/>
          <w:lang w:val="en-CA"/>
        </w:rPr>
        <w:t>ة موضوعياً</w:t>
      </w:r>
      <w:r w:rsidRPr="008D1B92">
        <w:rPr>
          <w:spacing w:val="0"/>
          <w:kern w:val="0"/>
          <w:sz w:val="20"/>
          <w:rtl/>
          <w:lang w:val="en-CA"/>
        </w:rPr>
        <w:t xml:space="preserve"> </w:t>
      </w:r>
      <w:r w:rsidRPr="008D1B92">
        <w:rPr>
          <w:rFonts w:hint="cs"/>
          <w:spacing w:val="0"/>
          <w:kern w:val="0"/>
          <w:sz w:val="20"/>
          <w:rtl/>
          <w:lang w:val="en-CA"/>
        </w:rPr>
        <w:t>ل</w:t>
      </w:r>
      <w:r w:rsidRPr="008D1B92">
        <w:rPr>
          <w:spacing w:val="0"/>
          <w:kern w:val="0"/>
          <w:sz w:val="20"/>
          <w:rtl/>
          <w:lang w:val="en-CA"/>
        </w:rPr>
        <w:t>أنها لا تشكل تعذيبا</w:t>
      </w:r>
      <w:r w:rsidRPr="008D1B92">
        <w:rPr>
          <w:rFonts w:hint="cs"/>
          <w:spacing w:val="0"/>
          <w:kern w:val="0"/>
          <w:sz w:val="20"/>
          <w:rtl/>
          <w:lang w:val="en-CA"/>
        </w:rPr>
        <w:t>ً</w:t>
      </w:r>
      <w:r w:rsidRPr="008D1B92">
        <w:rPr>
          <w:spacing w:val="0"/>
          <w:kern w:val="0"/>
          <w:sz w:val="20"/>
          <w:rtl/>
          <w:lang w:val="en-CA"/>
        </w:rPr>
        <w:t xml:space="preserve"> بموجب الاتفاقية.</w:t>
      </w:r>
    </w:p>
    <w:p w:rsidR="008D1B92" w:rsidRPr="008D1B92" w:rsidRDefault="008D1B92" w:rsidP="00CA2D0E">
      <w:pPr>
        <w:pStyle w:val="SingleTxtGA"/>
        <w:jc w:val="lowKashida"/>
        <w:rPr>
          <w:rFonts w:hint="cs"/>
          <w:spacing w:val="0"/>
          <w:kern w:val="0"/>
          <w:sz w:val="20"/>
          <w:rtl/>
          <w:lang w:val="en-CA"/>
        </w:rPr>
      </w:pPr>
      <w:r w:rsidRPr="008D1B92">
        <w:rPr>
          <w:rFonts w:hint="cs"/>
          <w:spacing w:val="0"/>
          <w:kern w:val="0"/>
          <w:sz w:val="20"/>
          <w:rtl/>
          <w:lang w:val="en-CA"/>
        </w:rPr>
        <w:t>4-9</w:t>
      </w:r>
      <w:r w:rsidRPr="008D1B92">
        <w:rPr>
          <w:rFonts w:hint="cs"/>
          <w:spacing w:val="0"/>
          <w:kern w:val="0"/>
          <w:sz w:val="20"/>
          <w:rtl/>
          <w:lang w:val="en-CA"/>
        </w:rPr>
        <w:tab/>
      </w:r>
      <w:r w:rsidRPr="008D1B92">
        <w:rPr>
          <w:spacing w:val="0"/>
          <w:kern w:val="0"/>
          <w:sz w:val="20"/>
          <w:rtl/>
          <w:lang w:val="en-CA"/>
        </w:rPr>
        <w:t xml:space="preserve">وفيما يتعلق </w:t>
      </w:r>
      <w:r w:rsidRPr="008D1B92">
        <w:rPr>
          <w:rFonts w:hint="cs"/>
          <w:spacing w:val="0"/>
          <w:kern w:val="0"/>
          <w:sz w:val="20"/>
          <w:rtl/>
          <w:lang w:val="en-CA"/>
        </w:rPr>
        <w:t>بالادعاءات</w:t>
      </w:r>
      <w:r w:rsidRPr="008D1B92">
        <w:rPr>
          <w:spacing w:val="0"/>
          <w:kern w:val="0"/>
          <w:sz w:val="20"/>
          <w:rtl/>
          <w:lang w:val="en-CA"/>
        </w:rPr>
        <w:t xml:space="preserve"> </w:t>
      </w:r>
      <w:r w:rsidRPr="008D1B92">
        <w:rPr>
          <w:rFonts w:hint="cs"/>
          <w:spacing w:val="0"/>
          <w:kern w:val="0"/>
          <w:sz w:val="20"/>
          <w:rtl/>
          <w:lang w:val="en-CA"/>
        </w:rPr>
        <w:t>الخاصة</w:t>
      </w:r>
      <w:r w:rsidRPr="008D1B92">
        <w:rPr>
          <w:spacing w:val="0"/>
          <w:kern w:val="0"/>
          <w:sz w:val="20"/>
          <w:rtl/>
          <w:lang w:val="en-CA"/>
        </w:rPr>
        <w:t xml:space="preserve"> </w:t>
      </w:r>
      <w:r w:rsidRPr="008D1B92">
        <w:rPr>
          <w:rFonts w:hint="cs"/>
          <w:spacing w:val="0"/>
          <w:kern w:val="0"/>
          <w:sz w:val="20"/>
          <w:rtl/>
          <w:lang w:val="en-CA"/>
        </w:rPr>
        <w:t xml:space="preserve">بجهاز </w:t>
      </w:r>
      <w:r w:rsidRPr="008D1B92">
        <w:rPr>
          <w:spacing w:val="0"/>
          <w:kern w:val="0"/>
          <w:sz w:val="20"/>
          <w:rtl/>
          <w:lang w:val="en-CA"/>
        </w:rPr>
        <w:t xml:space="preserve">تنظيم ضربات القلب، </w:t>
      </w:r>
      <w:r w:rsidRPr="008D1B92">
        <w:rPr>
          <w:rFonts w:hint="cs"/>
          <w:spacing w:val="0"/>
          <w:kern w:val="0"/>
          <w:sz w:val="20"/>
          <w:rtl/>
          <w:lang w:val="en-CA"/>
        </w:rPr>
        <w:t>ف</w:t>
      </w:r>
      <w:r w:rsidRPr="008D1B92">
        <w:rPr>
          <w:spacing w:val="0"/>
          <w:kern w:val="0"/>
          <w:sz w:val="20"/>
          <w:rtl/>
          <w:lang w:val="en-CA"/>
        </w:rPr>
        <w:t xml:space="preserve">قد </w:t>
      </w:r>
      <w:r w:rsidRPr="008D1B92">
        <w:rPr>
          <w:rFonts w:hint="cs"/>
          <w:spacing w:val="0"/>
          <w:kern w:val="0"/>
          <w:sz w:val="20"/>
          <w:rtl/>
          <w:lang w:val="en-CA"/>
        </w:rPr>
        <w:t>جرى</w:t>
      </w:r>
      <w:r w:rsidRPr="008D1B92">
        <w:rPr>
          <w:spacing w:val="0"/>
          <w:kern w:val="0"/>
          <w:sz w:val="20"/>
          <w:rtl/>
          <w:lang w:val="en-CA"/>
        </w:rPr>
        <w:t xml:space="preserve"> بالفعل </w:t>
      </w:r>
      <w:r w:rsidRPr="008D1B92">
        <w:rPr>
          <w:rFonts w:hint="cs"/>
          <w:spacing w:val="0"/>
          <w:kern w:val="0"/>
          <w:sz w:val="20"/>
          <w:rtl/>
          <w:lang w:val="en-CA"/>
        </w:rPr>
        <w:t>تحليلها </w:t>
      </w:r>
      <w:r w:rsidRPr="008D1B92">
        <w:rPr>
          <w:spacing w:val="0"/>
          <w:kern w:val="0"/>
          <w:sz w:val="20"/>
          <w:rtl/>
          <w:lang w:val="en-CA"/>
        </w:rPr>
        <w:t xml:space="preserve">من جانب السلطات الكندية </w:t>
      </w:r>
      <w:r w:rsidRPr="008D1B92">
        <w:rPr>
          <w:rFonts w:hint="cs"/>
          <w:spacing w:val="0"/>
          <w:kern w:val="0"/>
          <w:sz w:val="20"/>
          <w:rtl/>
          <w:lang w:val="en-CA"/>
        </w:rPr>
        <w:t>في إطار طلب وقف تنفيذ حكم الترحيل إدارياً</w:t>
      </w:r>
      <w:r w:rsidRPr="008D1B92">
        <w:rPr>
          <w:spacing w:val="0"/>
          <w:kern w:val="0"/>
          <w:sz w:val="20"/>
          <w:rtl/>
          <w:lang w:val="en-CA"/>
        </w:rPr>
        <w:t xml:space="preserve">. </w:t>
      </w:r>
      <w:r w:rsidRPr="008D1B92">
        <w:rPr>
          <w:rFonts w:hint="cs"/>
          <w:spacing w:val="0"/>
          <w:kern w:val="0"/>
          <w:sz w:val="20"/>
          <w:rtl/>
          <w:lang w:val="en-CA"/>
        </w:rPr>
        <w:t>وحسبما</w:t>
      </w:r>
      <w:r w:rsidRPr="008D1B92">
        <w:rPr>
          <w:spacing w:val="0"/>
          <w:kern w:val="0"/>
          <w:sz w:val="20"/>
          <w:rtl/>
          <w:lang w:val="en-CA"/>
        </w:rPr>
        <w:t xml:space="preserve"> </w:t>
      </w:r>
      <w:r w:rsidRPr="008D1B92">
        <w:rPr>
          <w:rFonts w:hint="cs"/>
          <w:spacing w:val="0"/>
          <w:kern w:val="0"/>
          <w:sz w:val="20"/>
          <w:rtl/>
          <w:lang w:val="en-CA"/>
        </w:rPr>
        <w:t>أشير</w:t>
      </w:r>
      <w:r w:rsidRPr="008D1B92">
        <w:rPr>
          <w:spacing w:val="0"/>
          <w:kern w:val="0"/>
          <w:sz w:val="20"/>
          <w:rtl/>
          <w:lang w:val="en-CA"/>
        </w:rPr>
        <w:t xml:space="preserve"> أعلاه (الفقرة </w:t>
      </w:r>
      <w:r w:rsidRPr="008D1B92">
        <w:rPr>
          <w:rFonts w:hint="cs"/>
          <w:spacing w:val="0"/>
          <w:kern w:val="0"/>
          <w:sz w:val="20"/>
          <w:rtl/>
          <w:lang w:val="en-CA"/>
        </w:rPr>
        <w:t>4-5</w:t>
      </w:r>
      <w:r w:rsidRPr="008D1B92">
        <w:rPr>
          <w:spacing w:val="0"/>
          <w:kern w:val="0"/>
          <w:sz w:val="20"/>
          <w:rtl/>
          <w:lang w:val="en-CA"/>
        </w:rPr>
        <w:t xml:space="preserve">)، </w:t>
      </w:r>
      <w:r w:rsidRPr="008D1B92">
        <w:rPr>
          <w:rFonts w:hint="cs"/>
          <w:spacing w:val="0"/>
          <w:kern w:val="0"/>
          <w:sz w:val="20"/>
          <w:rtl/>
          <w:lang w:val="en-CA"/>
        </w:rPr>
        <w:t xml:space="preserve">التمست وزارة </w:t>
      </w:r>
      <w:r w:rsidRPr="008D1B92">
        <w:rPr>
          <w:spacing w:val="0"/>
          <w:kern w:val="0"/>
          <w:sz w:val="20"/>
          <w:rtl/>
          <w:lang w:val="en-CA"/>
        </w:rPr>
        <w:t>المواطنة والهجرة الكندية رأي</w:t>
      </w:r>
      <w:r w:rsidRPr="008D1B92">
        <w:rPr>
          <w:rFonts w:hint="cs"/>
          <w:spacing w:val="0"/>
          <w:kern w:val="0"/>
          <w:sz w:val="20"/>
          <w:rtl/>
          <w:lang w:val="en-CA"/>
        </w:rPr>
        <w:t>اً</w:t>
      </w:r>
      <w:r w:rsidRPr="008D1B92">
        <w:rPr>
          <w:spacing w:val="0"/>
          <w:kern w:val="0"/>
          <w:sz w:val="20"/>
          <w:rtl/>
          <w:lang w:val="en-CA"/>
        </w:rPr>
        <w:t xml:space="preserve"> طبي</w:t>
      </w:r>
      <w:r w:rsidRPr="008D1B92">
        <w:rPr>
          <w:rFonts w:hint="cs"/>
          <w:spacing w:val="0"/>
          <w:kern w:val="0"/>
          <w:sz w:val="20"/>
          <w:rtl/>
          <w:lang w:val="en-CA"/>
        </w:rPr>
        <w:t xml:space="preserve">اً، حيث </w:t>
      </w:r>
      <w:r w:rsidRPr="008D1B92">
        <w:rPr>
          <w:spacing w:val="0"/>
          <w:kern w:val="0"/>
          <w:sz w:val="20"/>
          <w:rtl/>
          <w:lang w:val="en-CA"/>
        </w:rPr>
        <w:t xml:space="preserve">أكد </w:t>
      </w:r>
      <w:r w:rsidRPr="008D1B92">
        <w:rPr>
          <w:rFonts w:hint="cs"/>
          <w:spacing w:val="0"/>
          <w:kern w:val="0"/>
          <w:sz w:val="20"/>
          <w:rtl/>
          <w:lang w:val="en-CA"/>
        </w:rPr>
        <w:t xml:space="preserve">الرأي الطبي </w:t>
      </w:r>
      <w:r w:rsidRPr="008D1B92">
        <w:rPr>
          <w:spacing w:val="0"/>
          <w:kern w:val="0"/>
          <w:sz w:val="20"/>
          <w:rtl/>
          <w:lang w:val="en-CA"/>
        </w:rPr>
        <w:t xml:space="preserve">أن الرعاية الطبية اللازمة </w:t>
      </w:r>
      <w:r w:rsidRPr="008D1B92">
        <w:rPr>
          <w:rFonts w:hint="cs"/>
          <w:spacing w:val="0"/>
          <w:kern w:val="0"/>
          <w:sz w:val="20"/>
          <w:rtl/>
          <w:lang w:val="en-CA"/>
        </w:rPr>
        <w:t>لصيانة جهاز</w:t>
      </w:r>
      <w:r w:rsidRPr="008D1B92">
        <w:rPr>
          <w:spacing w:val="0"/>
          <w:kern w:val="0"/>
          <w:sz w:val="20"/>
          <w:rtl/>
          <w:lang w:val="en-CA"/>
        </w:rPr>
        <w:t xml:space="preserve"> تنظيم ضربات القلب </w:t>
      </w:r>
      <w:r w:rsidRPr="008D1B92">
        <w:rPr>
          <w:rFonts w:hint="cs"/>
          <w:spacing w:val="0"/>
          <w:kern w:val="0"/>
          <w:sz w:val="20"/>
          <w:rtl/>
          <w:lang w:val="en-CA"/>
        </w:rPr>
        <w:t>لصاحب الشكوى</w:t>
      </w:r>
      <w:r w:rsidRPr="008D1B92">
        <w:rPr>
          <w:spacing w:val="0"/>
          <w:kern w:val="0"/>
          <w:sz w:val="20"/>
          <w:rtl/>
          <w:lang w:val="en-CA"/>
        </w:rPr>
        <w:t xml:space="preserve"> متوفرة في</w:t>
      </w:r>
      <w:r w:rsidRPr="008D1B92">
        <w:rPr>
          <w:rFonts w:hint="cs"/>
          <w:spacing w:val="0"/>
          <w:kern w:val="0"/>
          <w:sz w:val="20"/>
          <w:rtl/>
          <w:lang w:val="en-CA"/>
        </w:rPr>
        <w:t> </w:t>
      </w:r>
      <w:r w:rsidRPr="008D1B92">
        <w:rPr>
          <w:spacing w:val="0"/>
          <w:kern w:val="0"/>
          <w:sz w:val="20"/>
          <w:rtl/>
          <w:lang w:val="en-CA"/>
        </w:rPr>
        <w:t xml:space="preserve">هايتي، وبالتالي، </w:t>
      </w:r>
      <w:r w:rsidRPr="008D1B92">
        <w:rPr>
          <w:rFonts w:hint="cs"/>
          <w:spacing w:val="0"/>
          <w:kern w:val="0"/>
          <w:sz w:val="20"/>
          <w:rtl/>
          <w:lang w:val="en-CA"/>
        </w:rPr>
        <w:t xml:space="preserve">فإن ادعاءات صاحب الشكوى بشأن هذه </w:t>
      </w:r>
      <w:r w:rsidRPr="008D1B92">
        <w:rPr>
          <w:spacing w:val="0"/>
          <w:kern w:val="0"/>
          <w:sz w:val="20"/>
          <w:rtl/>
          <w:lang w:val="en-CA"/>
        </w:rPr>
        <w:t xml:space="preserve">النقطة </w:t>
      </w:r>
      <w:r w:rsidRPr="008D1B92">
        <w:rPr>
          <w:rFonts w:hint="cs"/>
          <w:spacing w:val="0"/>
          <w:kern w:val="0"/>
          <w:sz w:val="20"/>
          <w:rtl/>
          <w:lang w:val="en-CA"/>
        </w:rPr>
        <w:t>ليست مقنعة</w:t>
      </w:r>
      <w:r w:rsidRPr="008D1B92">
        <w:rPr>
          <w:spacing w:val="0"/>
          <w:kern w:val="0"/>
          <w:sz w:val="20"/>
          <w:rtl/>
          <w:lang w:val="en-CA"/>
        </w:rPr>
        <w:t>. وتضيف</w:t>
      </w:r>
      <w:r w:rsidRPr="008D1B92">
        <w:rPr>
          <w:rFonts w:hint="cs"/>
          <w:spacing w:val="0"/>
          <w:kern w:val="0"/>
          <w:sz w:val="20"/>
          <w:rtl/>
          <w:lang w:val="en-CA"/>
        </w:rPr>
        <w:t> الدولة الطرف أن</w:t>
      </w:r>
      <w:r w:rsidRPr="008D1B92">
        <w:rPr>
          <w:spacing w:val="0"/>
          <w:kern w:val="0"/>
          <w:sz w:val="20"/>
          <w:rtl/>
          <w:lang w:val="en-CA"/>
        </w:rPr>
        <w:t xml:space="preserve">ه </w:t>
      </w:r>
      <w:r w:rsidRPr="008D1B92">
        <w:rPr>
          <w:rFonts w:hint="cs"/>
          <w:spacing w:val="0"/>
          <w:kern w:val="0"/>
          <w:sz w:val="20"/>
          <w:rtl/>
          <w:lang w:val="en-CA"/>
        </w:rPr>
        <w:t xml:space="preserve">وفقاً للاجتهادات القانونية الدائمة </w:t>
      </w:r>
      <w:r w:rsidRPr="008D1B92">
        <w:rPr>
          <w:spacing w:val="0"/>
          <w:kern w:val="0"/>
          <w:sz w:val="20"/>
          <w:rtl/>
          <w:lang w:val="en-CA"/>
        </w:rPr>
        <w:t>للجنة</w:t>
      </w:r>
      <w:r w:rsidRPr="008D1B92">
        <w:rPr>
          <w:rFonts w:hint="cs"/>
          <w:spacing w:val="0"/>
          <w:kern w:val="0"/>
          <w:sz w:val="20"/>
          <w:rtl/>
          <w:lang w:val="en-CA"/>
        </w:rPr>
        <w:t>، فإن</w:t>
      </w:r>
      <w:r w:rsidRPr="008D1B92">
        <w:rPr>
          <w:spacing w:val="0"/>
          <w:kern w:val="0"/>
          <w:sz w:val="20"/>
          <w:rtl/>
          <w:lang w:val="en-CA"/>
        </w:rPr>
        <w:t xml:space="preserve"> "</w:t>
      </w:r>
      <w:r w:rsidRPr="008D1B92">
        <w:rPr>
          <w:rFonts w:hint="cs"/>
          <w:spacing w:val="0"/>
          <w:kern w:val="0"/>
          <w:sz w:val="20"/>
          <w:rtl/>
        </w:rPr>
        <w:t>احتمال تدهور الحالة الصحية لصاحب الشكوى في حال ترحيله لا يشكل ضرباً من المعاملة القاسية أو اللاإنسانية أو</w:t>
      </w:r>
      <w:r w:rsidRPr="008D1B92">
        <w:rPr>
          <w:rFonts w:hint="eastAsia"/>
          <w:spacing w:val="0"/>
          <w:kern w:val="0"/>
          <w:sz w:val="20"/>
          <w:rtl/>
        </w:rPr>
        <w:t> </w:t>
      </w:r>
      <w:r w:rsidRPr="008D1B92">
        <w:rPr>
          <w:rFonts w:hint="cs"/>
          <w:spacing w:val="0"/>
          <w:kern w:val="0"/>
          <w:sz w:val="20"/>
          <w:rtl/>
        </w:rPr>
        <w:t>المهينة التي تنص عليها المادة 16 من الاتفاقية"</w:t>
      </w:r>
      <w:r w:rsidRPr="008D1B92">
        <w:rPr>
          <w:rFonts w:hint="cs"/>
          <w:spacing w:val="0"/>
          <w:kern w:val="0"/>
          <w:sz w:val="20"/>
          <w:vertAlign w:val="superscript"/>
          <w:rtl/>
        </w:rPr>
        <w:t>(</w:t>
      </w:r>
      <w:r w:rsidRPr="008D1B92">
        <w:rPr>
          <w:rStyle w:val="FootnoteReference"/>
          <w:spacing w:val="0"/>
          <w:sz w:val="20"/>
          <w:rtl/>
        </w:rPr>
        <w:footnoteReference w:id="229"/>
      </w:r>
      <w:r w:rsidRPr="008D1B92">
        <w:rPr>
          <w:rFonts w:hint="cs"/>
          <w:spacing w:val="0"/>
          <w:kern w:val="0"/>
          <w:sz w:val="20"/>
          <w:vertAlign w:val="superscript"/>
          <w:rtl/>
        </w:rPr>
        <w:t>)</w:t>
      </w:r>
      <w:r w:rsidRPr="008D1B92">
        <w:rPr>
          <w:spacing w:val="0"/>
          <w:kern w:val="0"/>
          <w:sz w:val="20"/>
          <w:rtl/>
          <w:lang w:val="en-CA"/>
        </w:rPr>
        <w:t>.</w:t>
      </w:r>
      <w:r w:rsidRPr="008D1B92">
        <w:rPr>
          <w:rFonts w:hint="cs"/>
          <w:spacing w:val="0"/>
          <w:kern w:val="0"/>
          <w:sz w:val="20"/>
          <w:rtl/>
          <w:lang w:val="en-CA"/>
        </w:rPr>
        <w:t xml:space="preserve"> وهذا يعني أن </w:t>
      </w:r>
      <w:r w:rsidRPr="008D1B92">
        <w:rPr>
          <w:spacing w:val="0"/>
          <w:kern w:val="0"/>
          <w:sz w:val="20"/>
          <w:rtl/>
          <w:lang w:val="en-CA"/>
        </w:rPr>
        <w:t xml:space="preserve">واجب عدم </w:t>
      </w:r>
      <w:r w:rsidRPr="008D1B92">
        <w:rPr>
          <w:rFonts w:hint="cs"/>
          <w:spacing w:val="0"/>
          <w:kern w:val="0"/>
          <w:sz w:val="20"/>
          <w:rtl/>
          <w:lang w:val="en-CA"/>
        </w:rPr>
        <w:t xml:space="preserve">الرد </w:t>
      </w:r>
      <w:r w:rsidRPr="008D1B92">
        <w:rPr>
          <w:spacing w:val="0"/>
          <w:kern w:val="0"/>
          <w:sz w:val="20"/>
          <w:rtl/>
          <w:lang w:val="en-CA"/>
        </w:rPr>
        <w:t>بموجب</w:t>
      </w:r>
      <w:r w:rsidRPr="008D1B92">
        <w:rPr>
          <w:rFonts w:hint="cs"/>
          <w:spacing w:val="0"/>
          <w:kern w:val="0"/>
          <w:sz w:val="20"/>
          <w:rtl/>
          <w:lang w:val="en-CA"/>
        </w:rPr>
        <w:t> </w:t>
      </w:r>
      <w:r w:rsidRPr="008D1B92">
        <w:rPr>
          <w:spacing w:val="0"/>
          <w:kern w:val="0"/>
          <w:sz w:val="20"/>
          <w:rtl/>
          <w:lang w:val="en-CA"/>
        </w:rPr>
        <w:t xml:space="preserve">المادة 3 لا </w:t>
      </w:r>
      <w:r w:rsidRPr="008D1B92">
        <w:rPr>
          <w:rFonts w:hint="cs"/>
          <w:spacing w:val="0"/>
          <w:kern w:val="0"/>
          <w:sz w:val="20"/>
          <w:rtl/>
          <w:lang w:val="en-CA"/>
        </w:rPr>
        <w:t>ي</w:t>
      </w:r>
      <w:r w:rsidRPr="008D1B92">
        <w:rPr>
          <w:spacing w:val="0"/>
          <w:kern w:val="0"/>
          <w:sz w:val="20"/>
          <w:rtl/>
          <w:lang w:val="en-CA"/>
        </w:rPr>
        <w:t xml:space="preserve">شمل حالات سوء المعاملة التي </w:t>
      </w:r>
      <w:r w:rsidRPr="008D1B92">
        <w:rPr>
          <w:rFonts w:hint="cs"/>
          <w:spacing w:val="0"/>
          <w:kern w:val="0"/>
          <w:sz w:val="20"/>
          <w:rtl/>
          <w:lang w:val="en-CA"/>
        </w:rPr>
        <w:t xml:space="preserve">تنص عليها </w:t>
      </w:r>
      <w:r w:rsidRPr="008D1B92">
        <w:rPr>
          <w:spacing w:val="0"/>
          <w:kern w:val="0"/>
          <w:sz w:val="20"/>
          <w:rtl/>
          <w:lang w:val="en-CA"/>
        </w:rPr>
        <w:t>المادة 16</w:t>
      </w:r>
      <w:r w:rsidRPr="008D1B92">
        <w:rPr>
          <w:rFonts w:hint="cs"/>
          <w:spacing w:val="0"/>
          <w:kern w:val="0"/>
          <w:sz w:val="20"/>
          <w:vertAlign w:val="superscript"/>
          <w:rtl/>
          <w:lang w:val="en-CA"/>
        </w:rPr>
        <w:t>(</w:t>
      </w:r>
      <w:r w:rsidRPr="00CA2D0E">
        <w:rPr>
          <w:rStyle w:val="FootnoteReference"/>
          <w:spacing w:val="0"/>
          <w:sz w:val="2"/>
          <w:szCs w:val="2"/>
          <w:rtl/>
          <w:lang w:val="en-CA"/>
        </w:rPr>
        <w:footnoteReference w:id="230"/>
      </w:r>
      <w:r w:rsidR="00CA2D0E" w:rsidRPr="00CA2D0E">
        <w:rPr>
          <w:rFonts w:hint="cs"/>
          <w:spacing w:val="0"/>
          <w:kern w:val="0"/>
          <w:sz w:val="30"/>
          <w:vertAlign w:val="superscript"/>
          <w:rtl/>
          <w:lang w:val="en-CA"/>
        </w:rPr>
        <w:t>ﻫ</w:t>
      </w:r>
      <w:r w:rsidRPr="008D1B92">
        <w:rPr>
          <w:rFonts w:hint="cs"/>
          <w:spacing w:val="0"/>
          <w:kern w:val="0"/>
          <w:sz w:val="20"/>
          <w:vertAlign w:val="superscript"/>
          <w:rtl/>
          <w:lang w:val="en-CA"/>
        </w:rPr>
        <w:t>)</w:t>
      </w:r>
      <w:r w:rsidRPr="008D1B92">
        <w:rPr>
          <w:rFonts w:hint="cs"/>
          <w:spacing w:val="0"/>
          <w:kern w:val="0"/>
          <w:sz w:val="20"/>
          <w:rtl/>
          <w:lang w:val="en-CA"/>
        </w:rPr>
        <w:t xml:space="preserve">. وبالتالي، فإن </w:t>
      </w:r>
      <w:r w:rsidRPr="008D1B92">
        <w:rPr>
          <w:spacing w:val="0"/>
          <w:kern w:val="0"/>
          <w:sz w:val="20"/>
          <w:rtl/>
          <w:lang w:val="en-CA"/>
        </w:rPr>
        <w:t xml:space="preserve">هذا </w:t>
      </w:r>
      <w:r w:rsidRPr="008D1B92">
        <w:rPr>
          <w:rFonts w:hint="cs"/>
          <w:spacing w:val="0"/>
          <w:kern w:val="0"/>
          <w:sz w:val="20"/>
          <w:rtl/>
          <w:lang w:val="en-CA"/>
        </w:rPr>
        <w:t>ال</w:t>
      </w:r>
      <w:r w:rsidRPr="008D1B92">
        <w:rPr>
          <w:spacing w:val="0"/>
          <w:kern w:val="0"/>
          <w:sz w:val="20"/>
          <w:rtl/>
          <w:lang w:val="en-CA"/>
        </w:rPr>
        <w:t xml:space="preserve">جزء من </w:t>
      </w:r>
      <w:r w:rsidRPr="008D1B92">
        <w:rPr>
          <w:rFonts w:hint="cs"/>
          <w:spacing w:val="0"/>
          <w:kern w:val="0"/>
          <w:sz w:val="20"/>
          <w:rtl/>
          <w:lang w:val="en-CA"/>
        </w:rPr>
        <w:t>الشكوى</w:t>
      </w:r>
      <w:r w:rsidRPr="008D1B92">
        <w:rPr>
          <w:spacing w:val="0"/>
          <w:kern w:val="0"/>
          <w:sz w:val="20"/>
          <w:rtl/>
          <w:lang w:val="en-CA"/>
        </w:rPr>
        <w:t xml:space="preserve"> </w:t>
      </w:r>
      <w:r w:rsidRPr="008D1B92">
        <w:rPr>
          <w:rFonts w:hint="cs"/>
          <w:spacing w:val="0"/>
          <w:kern w:val="0"/>
          <w:sz w:val="20"/>
          <w:rtl/>
          <w:lang w:val="en-CA"/>
        </w:rPr>
        <w:t>لا ي</w:t>
      </w:r>
      <w:r w:rsidRPr="008D1B92">
        <w:rPr>
          <w:spacing w:val="0"/>
          <w:kern w:val="0"/>
          <w:sz w:val="20"/>
          <w:rtl/>
          <w:lang w:val="en-CA"/>
        </w:rPr>
        <w:t>توافق مع الاتفاقية و</w:t>
      </w:r>
      <w:r w:rsidRPr="008D1B92">
        <w:rPr>
          <w:rFonts w:hint="cs"/>
          <w:spacing w:val="0"/>
          <w:kern w:val="0"/>
          <w:sz w:val="20"/>
          <w:rtl/>
          <w:lang w:val="en-CA"/>
        </w:rPr>
        <w:t xml:space="preserve">غير مدعوم </w:t>
      </w:r>
      <w:r w:rsidRPr="008D1B92">
        <w:rPr>
          <w:spacing w:val="0"/>
          <w:kern w:val="0"/>
          <w:sz w:val="20"/>
          <w:rtl/>
          <w:lang w:val="en-CA"/>
        </w:rPr>
        <w:t>بأدلة كافية لأغراض المقبولية.</w:t>
      </w:r>
    </w:p>
    <w:p w:rsidR="008D1B92" w:rsidRPr="008D1B92" w:rsidRDefault="008D1B92" w:rsidP="008D1B92">
      <w:pPr>
        <w:pStyle w:val="SingleTxtGA"/>
        <w:jc w:val="lowKashida"/>
        <w:rPr>
          <w:rFonts w:hint="cs"/>
          <w:spacing w:val="0"/>
          <w:kern w:val="0"/>
          <w:sz w:val="20"/>
          <w:rtl/>
          <w:lang w:val="en-CA"/>
        </w:rPr>
      </w:pPr>
      <w:r w:rsidRPr="008D1B92">
        <w:rPr>
          <w:rFonts w:hint="cs"/>
          <w:spacing w:val="0"/>
          <w:kern w:val="0"/>
          <w:sz w:val="20"/>
          <w:rtl/>
          <w:lang w:val="en-CA"/>
        </w:rPr>
        <w:t>4-10</w:t>
      </w:r>
      <w:r w:rsidRPr="008D1B92">
        <w:rPr>
          <w:rFonts w:hint="cs"/>
          <w:spacing w:val="0"/>
          <w:kern w:val="0"/>
          <w:sz w:val="20"/>
          <w:rtl/>
          <w:lang w:val="en-CA"/>
        </w:rPr>
        <w:tab/>
      </w:r>
      <w:r w:rsidRPr="008D1B92">
        <w:rPr>
          <w:spacing w:val="0"/>
          <w:kern w:val="0"/>
          <w:sz w:val="20"/>
          <w:rtl/>
          <w:lang w:val="en-CA"/>
        </w:rPr>
        <w:t xml:space="preserve">وترفض الدولة الطرف ادعاءات </w:t>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من حيث</w:t>
      </w:r>
      <w:r w:rsidRPr="008D1B92">
        <w:rPr>
          <w:spacing w:val="0"/>
          <w:kern w:val="0"/>
          <w:sz w:val="20"/>
          <w:rtl/>
          <w:lang w:val="en-CA"/>
        </w:rPr>
        <w:t xml:space="preserve"> </w:t>
      </w:r>
      <w:r w:rsidRPr="008D1B92">
        <w:rPr>
          <w:rFonts w:hint="cs"/>
          <w:spacing w:val="0"/>
          <w:kern w:val="0"/>
          <w:sz w:val="20"/>
          <w:rtl/>
          <w:lang w:val="en-CA"/>
        </w:rPr>
        <w:t>الأسس</w:t>
      </w:r>
      <w:r w:rsidRPr="008D1B92">
        <w:rPr>
          <w:spacing w:val="0"/>
          <w:kern w:val="0"/>
          <w:sz w:val="20"/>
          <w:rtl/>
          <w:lang w:val="en-CA"/>
        </w:rPr>
        <w:t xml:space="preserve"> الموضوعية، مشير</w:t>
      </w:r>
      <w:r w:rsidRPr="008D1B92">
        <w:rPr>
          <w:rFonts w:hint="cs"/>
          <w:spacing w:val="0"/>
          <w:kern w:val="0"/>
          <w:sz w:val="20"/>
          <w:rtl/>
          <w:lang w:val="en-CA"/>
        </w:rPr>
        <w:t>ة</w:t>
      </w:r>
      <w:r w:rsidRPr="008D1B92">
        <w:rPr>
          <w:spacing w:val="0"/>
          <w:kern w:val="0"/>
          <w:sz w:val="20"/>
          <w:rtl/>
          <w:lang w:val="en-CA"/>
        </w:rPr>
        <w:t xml:space="preserve"> إلى </w:t>
      </w:r>
      <w:r w:rsidRPr="008D1B92">
        <w:rPr>
          <w:rFonts w:hint="cs"/>
          <w:spacing w:val="0"/>
          <w:kern w:val="0"/>
          <w:sz w:val="20"/>
          <w:rtl/>
          <w:lang w:val="en-CA"/>
        </w:rPr>
        <w:t xml:space="preserve">أنه جرى </w:t>
      </w:r>
      <w:r w:rsidRPr="008D1B92">
        <w:rPr>
          <w:spacing w:val="0"/>
          <w:kern w:val="0"/>
          <w:sz w:val="20"/>
          <w:rtl/>
          <w:lang w:val="en-CA"/>
        </w:rPr>
        <w:t>تحليل</w:t>
      </w:r>
      <w:r w:rsidRPr="008D1B92">
        <w:rPr>
          <w:rFonts w:hint="cs"/>
          <w:spacing w:val="0"/>
          <w:kern w:val="0"/>
          <w:sz w:val="20"/>
          <w:rtl/>
          <w:lang w:val="en-CA"/>
        </w:rPr>
        <w:t xml:space="preserve"> هذه الادعاءات</w:t>
      </w:r>
      <w:r w:rsidRPr="008D1B92">
        <w:rPr>
          <w:spacing w:val="0"/>
          <w:kern w:val="0"/>
          <w:sz w:val="20"/>
          <w:rtl/>
          <w:lang w:val="en-CA"/>
        </w:rPr>
        <w:t xml:space="preserve"> من </w:t>
      </w:r>
      <w:r w:rsidRPr="008D1B92">
        <w:rPr>
          <w:rFonts w:hint="cs"/>
          <w:spacing w:val="0"/>
          <w:kern w:val="0"/>
          <w:sz w:val="20"/>
          <w:rtl/>
          <w:lang w:val="en-CA"/>
        </w:rPr>
        <w:t xml:space="preserve">جانب هيئات </w:t>
      </w:r>
      <w:r w:rsidRPr="008D1B92">
        <w:rPr>
          <w:spacing w:val="0"/>
          <w:kern w:val="0"/>
          <w:sz w:val="20"/>
          <w:rtl/>
          <w:lang w:val="en-CA"/>
        </w:rPr>
        <w:t xml:space="preserve">وطنية مستقلة </w:t>
      </w:r>
      <w:r w:rsidRPr="008D1B92">
        <w:rPr>
          <w:rFonts w:hint="cs"/>
          <w:spacing w:val="0"/>
          <w:kern w:val="0"/>
          <w:sz w:val="20"/>
          <w:rtl/>
          <w:lang w:val="en-CA"/>
        </w:rPr>
        <w:t>ونزيهة</w:t>
      </w:r>
      <w:r w:rsidRPr="008D1B92">
        <w:rPr>
          <w:spacing w:val="0"/>
          <w:kern w:val="0"/>
          <w:sz w:val="20"/>
          <w:rtl/>
          <w:lang w:val="en-CA"/>
        </w:rPr>
        <w:t xml:space="preserve"> </w:t>
      </w:r>
      <w:r w:rsidRPr="008D1B92">
        <w:rPr>
          <w:rFonts w:hint="cs"/>
          <w:spacing w:val="0"/>
          <w:kern w:val="0"/>
          <w:sz w:val="20"/>
          <w:rtl/>
          <w:lang w:val="en-CA"/>
        </w:rPr>
        <w:t>مع احترم القانون</w:t>
      </w:r>
      <w:r w:rsidRPr="008D1B92">
        <w:rPr>
          <w:spacing w:val="0"/>
          <w:kern w:val="0"/>
          <w:sz w:val="20"/>
          <w:rtl/>
          <w:lang w:val="en-CA"/>
        </w:rPr>
        <w:t xml:space="preserve"> والعدالة. </w:t>
      </w:r>
      <w:r w:rsidRPr="008D1B92">
        <w:rPr>
          <w:rFonts w:hint="cs"/>
          <w:spacing w:val="0"/>
          <w:kern w:val="0"/>
          <w:sz w:val="20"/>
          <w:rtl/>
          <w:lang w:val="en-CA"/>
        </w:rPr>
        <w:t>و</w:t>
      </w:r>
      <w:r w:rsidRPr="008D1B92">
        <w:rPr>
          <w:spacing w:val="0"/>
          <w:kern w:val="0"/>
          <w:sz w:val="20"/>
          <w:rtl/>
          <w:lang w:val="en-CA"/>
        </w:rPr>
        <w:t xml:space="preserve">في حالة عدم وجود أدلة على </w:t>
      </w:r>
      <w:r w:rsidRPr="008D1B92">
        <w:rPr>
          <w:rFonts w:hint="cs"/>
          <w:spacing w:val="0"/>
          <w:kern w:val="0"/>
          <w:sz w:val="20"/>
          <w:rtl/>
          <w:lang w:val="en-CA"/>
        </w:rPr>
        <w:t>وقوع خطأ</w:t>
      </w:r>
      <w:r w:rsidRPr="008D1B92">
        <w:rPr>
          <w:spacing w:val="0"/>
          <w:kern w:val="0"/>
          <w:sz w:val="20"/>
          <w:rtl/>
          <w:lang w:val="en-CA"/>
        </w:rPr>
        <w:t xml:space="preserve"> </w:t>
      </w:r>
      <w:r w:rsidRPr="008D1B92">
        <w:rPr>
          <w:rFonts w:hint="cs"/>
          <w:spacing w:val="0"/>
          <w:kern w:val="0"/>
          <w:sz w:val="20"/>
          <w:rtl/>
          <w:lang w:val="en-CA"/>
        </w:rPr>
        <w:t>واضح أ</w:t>
      </w:r>
      <w:r w:rsidRPr="008D1B92">
        <w:rPr>
          <w:spacing w:val="0"/>
          <w:kern w:val="0"/>
          <w:sz w:val="20"/>
          <w:rtl/>
          <w:lang w:val="en-CA"/>
        </w:rPr>
        <w:t>و</w:t>
      </w:r>
      <w:r w:rsidRPr="008D1B92">
        <w:rPr>
          <w:rFonts w:hint="cs"/>
          <w:spacing w:val="0"/>
          <w:kern w:val="0"/>
          <w:sz w:val="20"/>
          <w:rtl/>
          <w:lang w:val="en-CA"/>
        </w:rPr>
        <w:t xml:space="preserve"> خطأ في الإجراءات أو </w:t>
      </w:r>
      <w:r w:rsidRPr="008D1B92">
        <w:rPr>
          <w:spacing w:val="0"/>
          <w:kern w:val="0"/>
          <w:sz w:val="20"/>
          <w:rtl/>
          <w:lang w:val="en-CA"/>
        </w:rPr>
        <w:t xml:space="preserve">سوء نية </w:t>
      </w:r>
      <w:r w:rsidRPr="008D1B92">
        <w:rPr>
          <w:rFonts w:hint="cs"/>
          <w:spacing w:val="0"/>
          <w:kern w:val="0"/>
          <w:sz w:val="20"/>
          <w:rtl/>
          <w:lang w:val="en-CA"/>
        </w:rPr>
        <w:t>أ</w:t>
      </w:r>
      <w:r w:rsidRPr="008D1B92">
        <w:rPr>
          <w:spacing w:val="0"/>
          <w:kern w:val="0"/>
          <w:sz w:val="20"/>
          <w:rtl/>
          <w:lang w:val="en-CA"/>
        </w:rPr>
        <w:t>و</w:t>
      </w:r>
      <w:r w:rsidRPr="008D1B92">
        <w:rPr>
          <w:rFonts w:hint="cs"/>
          <w:spacing w:val="0"/>
          <w:kern w:val="0"/>
          <w:sz w:val="20"/>
          <w:rtl/>
          <w:lang w:val="en-CA"/>
        </w:rPr>
        <w:t xml:space="preserve"> </w:t>
      </w:r>
      <w:r w:rsidRPr="008D1B92">
        <w:rPr>
          <w:spacing w:val="0"/>
          <w:kern w:val="0"/>
          <w:sz w:val="20"/>
          <w:rtl/>
          <w:lang w:val="en-CA"/>
        </w:rPr>
        <w:t>تحيز صريح أو تجاوزات خطيرة في الإجراء، على اللجنة أ</w:t>
      </w:r>
      <w:r w:rsidRPr="008D1B92">
        <w:rPr>
          <w:rFonts w:hint="cs"/>
          <w:spacing w:val="0"/>
          <w:kern w:val="0"/>
          <w:sz w:val="20"/>
          <w:rtl/>
          <w:lang w:val="en-CA"/>
        </w:rPr>
        <w:t>لا</w:t>
      </w:r>
      <w:r w:rsidRPr="008D1B92">
        <w:rPr>
          <w:spacing w:val="0"/>
          <w:kern w:val="0"/>
          <w:sz w:val="20"/>
          <w:rtl/>
          <w:lang w:val="en-CA"/>
        </w:rPr>
        <w:t xml:space="preserve"> تحل محل هيئات الدولة الطرف. </w:t>
      </w:r>
      <w:r w:rsidRPr="008D1B92">
        <w:rPr>
          <w:rFonts w:hint="cs"/>
          <w:spacing w:val="0"/>
          <w:kern w:val="0"/>
          <w:sz w:val="20"/>
          <w:rtl/>
          <w:lang w:val="en-CA"/>
        </w:rPr>
        <w:t>كما</w:t>
      </w:r>
      <w:r w:rsidRPr="008D1B92">
        <w:rPr>
          <w:spacing w:val="0"/>
          <w:kern w:val="0"/>
          <w:sz w:val="20"/>
          <w:rtl/>
          <w:lang w:val="en-CA"/>
        </w:rPr>
        <w:t xml:space="preserve"> أقرت اللجنة</w:t>
      </w:r>
      <w:r w:rsidRPr="008D1B92">
        <w:rPr>
          <w:rFonts w:hint="cs"/>
          <w:spacing w:val="0"/>
          <w:kern w:val="0"/>
          <w:sz w:val="20"/>
          <w:vertAlign w:val="superscript"/>
          <w:rtl/>
          <w:lang w:val="en-CA"/>
        </w:rPr>
        <w:t>(</w:t>
      </w:r>
      <w:r w:rsidRPr="008D1B92">
        <w:rPr>
          <w:rStyle w:val="FootnoteReference"/>
          <w:spacing w:val="0"/>
          <w:sz w:val="20"/>
          <w:rtl/>
          <w:lang w:val="en-CA"/>
        </w:rPr>
        <w:footnoteReference w:id="231"/>
      </w:r>
      <w:r w:rsidRPr="008D1B92">
        <w:rPr>
          <w:rFonts w:hint="cs"/>
          <w:spacing w:val="0"/>
          <w:kern w:val="0"/>
          <w:sz w:val="20"/>
          <w:vertAlign w:val="superscript"/>
          <w:rtl/>
          <w:lang w:val="en-CA"/>
        </w:rPr>
        <w:t>)</w:t>
      </w:r>
      <w:r w:rsidRPr="008D1B92">
        <w:rPr>
          <w:spacing w:val="0"/>
          <w:kern w:val="0"/>
          <w:sz w:val="20"/>
          <w:rtl/>
          <w:lang w:val="en-CA"/>
        </w:rPr>
        <w:t xml:space="preserve"> مرارا</w:t>
      </w:r>
      <w:r w:rsidRPr="008D1B92">
        <w:rPr>
          <w:rFonts w:hint="cs"/>
          <w:spacing w:val="0"/>
          <w:kern w:val="0"/>
          <w:sz w:val="20"/>
          <w:rtl/>
          <w:lang w:val="en-CA"/>
        </w:rPr>
        <w:t>ً</w:t>
      </w:r>
      <w:r w:rsidRPr="008D1B92">
        <w:rPr>
          <w:spacing w:val="0"/>
          <w:kern w:val="0"/>
          <w:sz w:val="20"/>
          <w:rtl/>
          <w:lang w:val="en-CA"/>
        </w:rPr>
        <w:t xml:space="preserve"> وتكرارا</w:t>
      </w:r>
      <w:r w:rsidRPr="008D1B92">
        <w:rPr>
          <w:rFonts w:hint="cs"/>
          <w:spacing w:val="0"/>
          <w:kern w:val="0"/>
          <w:sz w:val="20"/>
          <w:rtl/>
          <w:lang w:val="en-CA"/>
        </w:rPr>
        <w:t>ً</w:t>
      </w:r>
      <w:r w:rsidRPr="008D1B92">
        <w:rPr>
          <w:spacing w:val="0"/>
          <w:kern w:val="0"/>
          <w:sz w:val="20"/>
          <w:rtl/>
          <w:lang w:val="en-CA"/>
        </w:rPr>
        <w:t xml:space="preserve"> أنه </w:t>
      </w:r>
      <w:r w:rsidRPr="008D1B92">
        <w:rPr>
          <w:rFonts w:hint="cs"/>
          <w:spacing w:val="0"/>
          <w:kern w:val="0"/>
          <w:sz w:val="20"/>
          <w:rtl/>
        </w:rPr>
        <w:t>ليس من اختصاصها الطعن في</w:t>
      </w:r>
      <w:r w:rsidRPr="008D1B92">
        <w:rPr>
          <w:spacing w:val="0"/>
          <w:kern w:val="0"/>
          <w:sz w:val="20"/>
          <w:rtl/>
          <w:lang w:val="en-CA"/>
        </w:rPr>
        <w:t xml:space="preserve"> تقدير الوقائع والأدلة التي </w:t>
      </w:r>
      <w:r w:rsidRPr="008D1B92">
        <w:rPr>
          <w:rFonts w:hint="cs"/>
          <w:spacing w:val="0"/>
          <w:kern w:val="0"/>
          <w:sz w:val="20"/>
          <w:rtl/>
          <w:lang w:val="en-CA"/>
        </w:rPr>
        <w:t>توصلت إليها الهيئات ال</w:t>
      </w:r>
      <w:r w:rsidRPr="008D1B92">
        <w:rPr>
          <w:spacing w:val="0"/>
          <w:kern w:val="0"/>
          <w:sz w:val="20"/>
          <w:rtl/>
          <w:lang w:val="en-CA"/>
        </w:rPr>
        <w:t>وطنية</w:t>
      </w:r>
      <w:r w:rsidRPr="008D1B92">
        <w:rPr>
          <w:rFonts w:hint="cs"/>
          <w:spacing w:val="0"/>
          <w:kern w:val="0"/>
          <w:sz w:val="20"/>
          <w:vertAlign w:val="superscript"/>
          <w:rtl/>
          <w:lang w:val="en-CA"/>
        </w:rPr>
        <w:t>(</w:t>
      </w:r>
      <w:r w:rsidRPr="008D1B92">
        <w:rPr>
          <w:rStyle w:val="FootnoteReference"/>
          <w:spacing w:val="0"/>
          <w:sz w:val="20"/>
          <w:rtl/>
          <w:lang w:val="en-CA"/>
        </w:rPr>
        <w:footnoteReference w:id="232"/>
      </w:r>
      <w:r w:rsidRPr="008D1B92">
        <w:rPr>
          <w:rFonts w:hint="cs"/>
          <w:spacing w:val="0"/>
          <w:kern w:val="0"/>
          <w:sz w:val="20"/>
          <w:vertAlign w:val="superscript"/>
          <w:rtl/>
          <w:lang w:val="en-CA"/>
        </w:rPr>
        <w:t>)</w:t>
      </w:r>
      <w:r w:rsidRPr="008D1B92">
        <w:rPr>
          <w:rFonts w:hint="cs"/>
          <w:spacing w:val="0"/>
          <w:kern w:val="0"/>
          <w:sz w:val="20"/>
          <w:rtl/>
          <w:lang w:val="en-CA"/>
        </w:rPr>
        <w:t>.</w:t>
      </w:r>
    </w:p>
    <w:p w:rsidR="008D1B92" w:rsidRPr="008D1B92" w:rsidRDefault="008D1B92" w:rsidP="008D1B92">
      <w:pPr>
        <w:pStyle w:val="H23GA"/>
        <w:jc w:val="lowKashida"/>
        <w:rPr>
          <w:spacing w:val="0"/>
          <w:kern w:val="0"/>
          <w:sz w:val="20"/>
          <w:rtl/>
        </w:rPr>
      </w:pPr>
      <w:r w:rsidRPr="008D1B92">
        <w:rPr>
          <w:spacing w:val="0"/>
          <w:kern w:val="0"/>
          <w:sz w:val="20"/>
          <w:rtl/>
        </w:rPr>
        <w:tab/>
      </w:r>
      <w:r w:rsidRPr="008D1B92">
        <w:rPr>
          <w:rFonts w:hint="cs"/>
          <w:spacing w:val="0"/>
          <w:kern w:val="0"/>
          <w:sz w:val="20"/>
          <w:rtl/>
        </w:rPr>
        <w:tab/>
      </w:r>
      <w:r w:rsidRPr="008D1B92">
        <w:rPr>
          <w:rFonts w:hint="eastAsia"/>
          <w:spacing w:val="0"/>
          <w:kern w:val="0"/>
          <w:sz w:val="20"/>
          <w:rtl/>
        </w:rPr>
        <w:t>تعليقات</w:t>
      </w:r>
      <w:r w:rsidRPr="008D1B92">
        <w:rPr>
          <w:spacing w:val="0"/>
          <w:kern w:val="0"/>
          <w:sz w:val="20"/>
          <w:rtl/>
        </w:rPr>
        <w:t xml:space="preserve"> </w:t>
      </w:r>
      <w:r w:rsidRPr="008D1B92">
        <w:rPr>
          <w:rFonts w:hint="cs"/>
          <w:spacing w:val="0"/>
          <w:kern w:val="0"/>
          <w:sz w:val="20"/>
          <w:rtl/>
        </w:rPr>
        <w:t>صاحب الشكوى</w:t>
      </w:r>
      <w:r w:rsidRPr="008D1B92">
        <w:rPr>
          <w:spacing w:val="0"/>
          <w:kern w:val="0"/>
          <w:sz w:val="20"/>
          <w:rtl/>
        </w:rPr>
        <w:t xml:space="preserve"> على ملاحظات الدولة الطرف</w:t>
      </w:r>
    </w:p>
    <w:p w:rsidR="008D1B92" w:rsidRPr="00CA2D0E" w:rsidRDefault="008D1B92" w:rsidP="00CA2D0E">
      <w:pPr>
        <w:pStyle w:val="SingleTxtGA"/>
        <w:jc w:val="lowKashida"/>
        <w:rPr>
          <w:rFonts w:hint="cs"/>
          <w:spacing w:val="-2"/>
          <w:kern w:val="0"/>
          <w:sz w:val="20"/>
          <w:rtl/>
          <w:lang w:val="en-CA"/>
        </w:rPr>
      </w:pPr>
      <w:r w:rsidRPr="00CA2D0E">
        <w:rPr>
          <w:spacing w:val="0"/>
          <w:kern w:val="0"/>
          <w:sz w:val="20"/>
          <w:rtl/>
          <w:lang w:val="en-CA"/>
        </w:rPr>
        <w:t>5-1</w:t>
      </w:r>
      <w:r w:rsidRPr="00CA2D0E">
        <w:rPr>
          <w:spacing w:val="0"/>
          <w:kern w:val="0"/>
          <w:sz w:val="20"/>
          <w:rtl/>
          <w:lang w:val="en-CA"/>
        </w:rPr>
        <w:tab/>
      </w:r>
      <w:r w:rsidRPr="00CA2D0E">
        <w:rPr>
          <w:rFonts w:hint="cs"/>
          <w:spacing w:val="0"/>
          <w:kern w:val="0"/>
          <w:sz w:val="20"/>
          <w:rtl/>
          <w:lang w:val="en-CA"/>
        </w:rPr>
        <w:t>قدم</w:t>
      </w:r>
      <w:r w:rsidRPr="00CA2D0E">
        <w:rPr>
          <w:spacing w:val="0"/>
          <w:kern w:val="0"/>
          <w:sz w:val="20"/>
          <w:rtl/>
          <w:lang w:val="en-CA"/>
        </w:rPr>
        <w:t xml:space="preserve"> </w:t>
      </w:r>
      <w:r w:rsidRPr="00CA2D0E">
        <w:rPr>
          <w:rFonts w:hint="cs"/>
          <w:spacing w:val="0"/>
          <w:kern w:val="0"/>
          <w:sz w:val="20"/>
          <w:rtl/>
          <w:lang w:val="en-CA"/>
        </w:rPr>
        <w:t xml:space="preserve">صاحب الشكوى </w:t>
      </w:r>
      <w:r w:rsidRPr="00CA2D0E">
        <w:rPr>
          <w:spacing w:val="0"/>
          <w:kern w:val="0"/>
          <w:sz w:val="20"/>
          <w:rtl/>
          <w:lang w:val="en-CA"/>
        </w:rPr>
        <w:t xml:space="preserve">معلومات </w:t>
      </w:r>
      <w:r w:rsidRPr="00CA2D0E">
        <w:rPr>
          <w:rFonts w:hint="cs"/>
          <w:spacing w:val="0"/>
          <w:kern w:val="0"/>
          <w:sz w:val="20"/>
          <w:rtl/>
          <w:lang w:val="en-CA"/>
        </w:rPr>
        <w:t>إضافية</w:t>
      </w:r>
      <w:r w:rsidRPr="00CA2D0E">
        <w:rPr>
          <w:spacing w:val="0"/>
          <w:kern w:val="0"/>
          <w:sz w:val="20"/>
          <w:rtl/>
          <w:lang w:val="en-CA"/>
        </w:rPr>
        <w:t xml:space="preserve"> في 13 و16 </w:t>
      </w:r>
      <w:r w:rsidRPr="00CA2D0E">
        <w:rPr>
          <w:rFonts w:hint="cs"/>
          <w:spacing w:val="0"/>
          <w:kern w:val="0"/>
          <w:sz w:val="20"/>
          <w:rtl/>
          <w:lang w:val="en-CA"/>
        </w:rPr>
        <w:t>أيلول/</w:t>
      </w:r>
      <w:r w:rsidRPr="00CA2D0E">
        <w:rPr>
          <w:spacing w:val="0"/>
          <w:kern w:val="0"/>
          <w:sz w:val="20"/>
          <w:rtl/>
          <w:lang w:val="en-CA"/>
        </w:rPr>
        <w:t>سبتمبر 2009</w:t>
      </w:r>
      <w:r w:rsidRPr="00CA2D0E">
        <w:rPr>
          <w:rFonts w:hint="cs"/>
          <w:spacing w:val="0"/>
          <w:kern w:val="0"/>
          <w:sz w:val="20"/>
          <w:rtl/>
          <w:lang w:val="en-CA"/>
        </w:rPr>
        <w:t xml:space="preserve"> </w:t>
      </w:r>
      <w:r w:rsidRPr="00CA2D0E">
        <w:rPr>
          <w:spacing w:val="0"/>
          <w:kern w:val="0"/>
          <w:sz w:val="20"/>
          <w:rtl/>
          <w:lang w:val="en-CA"/>
        </w:rPr>
        <w:t xml:space="preserve">قبل </w:t>
      </w:r>
      <w:r w:rsidRPr="00CA2D0E">
        <w:rPr>
          <w:rFonts w:hint="cs"/>
          <w:spacing w:val="0"/>
          <w:kern w:val="0"/>
          <w:sz w:val="20"/>
          <w:rtl/>
          <w:lang w:val="en-CA"/>
        </w:rPr>
        <w:t xml:space="preserve">أن يقدم </w:t>
      </w:r>
      <w:r w:rsidRPr="00CA2D0E">
        <w:rPr>
          <w:spacing w:val="0"/>
          <w:kern w:val="0"/>
          <w:sz w:val="20"/>
          <w:rtl/>
          <w:lang w:val="en-CA"/>
        </w:rPr>
        <w:t xml:space="preserve">تعليقاته، لدعم طلبه </w:t>
      </w:r>
      <w:r w:rsidRPr="00CA2D0E">
        <w:rPr>
          <w:rFonts w:hint="cs"/>
          <w:spacing w:val="0"/>
          <w:kern w:val="0"/>
          <w:sz w:val="20"/>
          <w:rtl/>
          <w:lang w:val="en-CA"/>
        </w:rPr>
        <w:t>المتعلق ب</w:t>
      </w:r>
      <w:r w:rsidRPr="00CA2D0E">
        <w:rPr>
          <w:spacing w:val="0"/>
          <w:kern w:val="0"/>
          <w:sz w:val="20"/>
          <w:rtl/>
          <w:lang w:val="en-CA"/>
        </w:rPr>
        <w:t>اتخاذ تدابير مؤقتة. و</w:t>
      </w:r>
      <w:r w:rsidRPr="00CA2D0E">
        <w:rPr>
          <w:rFonts w:hint="cs"/>
          <w:spacing w:val="0"/>
          <w:kern w:val="0"/>
          <w:sz w:val="20"/>
          <w:rtl/>
          <w:lang w:val="en-CA"/>
        </w:rPr>
        <w:t>يشير</w:t>
      </w:r>
      <w:r w:rsidRPr="00CA2D0E">
        <w:rPr>
          <w:spacing w:val="0"/>
          <w:kern w:val="0"/>
          <w:sz w:val="20"/>
          <w:rtl/>
          <w:lang w:val="en-CA"/>
        </w:rPr>
        <w:t xml:space="preserve"> </w:t>
      </w:r>
      <w:r w:rsidRPr="00CA2D0E">
        <w:rPr>
          <w:rFonts w:hint="cs"/>
          <w:spacing w:val="0"/>
          <w:kern w:val="0"/>
          <w:sz w:val="20"/>
          <w:rtl/>
          <w:lang w:val="en-CA"/>
        </w:rPr>
        <w:t xml:space="preserve">صاحب الشكوى إلى أنه </w:t>
      </w:r>
      <w:r w:rsidRPr="00CA2D0E">
        <w:rPr>
          <w:spacing w:val="0"/>
          <w:kern w:val="0"/>
          <w:sz w:val="20"/>
          <w:rtl/>
          <w:lang w:val="en-CA"/>
        </w:rPr>
        <w:t>قدم طلبا</w:t>
      </w:r>
      <w:r w:rsidRPr="00CA2D0E">
        <w:rPr>
          <w:rFonts w:hint="cs"/>
          <w:spacing w:val="0"/>
          <w:kern w:val="0"/>
          <w:sz w:val="20"/>
          <w:rtl/>
          <w:lang w:val="en-CA"/>
        </w:rPr>
        <w:t>ً</w:t>
      </w:r>
      <w:r w:rsidRPr="00CA2D0E">
        <w:rPr>
          <w:spacing w:val="0"/>
          <w:kern w:val="0"/>
          <w:sz w:val="20"/>
          <w:rtl/>
          <w:lang w:val="en-CA"/>
        </w:rPr>
        <w:t xml:space="preserve"> جديدا</w:t>
      </w:r>
      <w:r w:rsidRPr="00CA2D0E">
        <w:rPr>
          <w:rFonts w:hint="cs"/>
          <w:spacing w:val="0"/>
          <w:kern w:val="0"/>
          <w:sz w:val="20"/>
          <w:rtl/>
          <w:lang w:val="en-CA"/>
        </w:rPr>
        <w:t>ً</w:t>
      </w:r>
      <w:r w:rsidRPr="00CA2D0E">
        <w:rPr>
          <w:spacing w:val="0"/>
          <w:kern w:val="0"/>
          <w:sz w:val="20"/>
          <w:rtl/>
          <w:lang w:val="en-CA"/>
        </w:rPr>
        <w:t xml:space="preserve"> </w:t>
      </w:r>
      <w:r w:rsidRPr="00CA2D0E">
        <w:rPr>
          <w:rFonts w:hint="cs"/>
          <w:spacing w:val="0"/>
          <w:kern w:val="0"/>
          <w:sz w:val="20"/>
          <w:rtl/>
          <w:lang w:val="en-CA"/>
        </w:rPr>
        <w:t>لوقف تنفيذ</w:t>
      </w:r>
      <w:r w:rsidRPr="00CA2D0E">
        <w:rPr>
          <w:spacing w:val="0"/>
          <w:kern w:val="0"/>
          <w:sz w:val="20"/>
          <w:rtl/>
          <w:lang w:val="en-CA"/>
        </w:rPr>
        <w:t xml:space="preserve"> </w:t>
      </w:r>
      <w:r w:rsidRPr="00CA2D0E">
        <w:rPr>
          <w:rFonts w:hint="cs"/>
          <w:spacing w:val="0"/>
          <w:kern w:val="0"/>
          <w:sz w:val="20"/>
          <w:rtl/>
          <w:lang w:val="en-CA"/>
        </w:rPr>
        <w:t xml:space="preserve">الترحيل </w:t>
      </w:r>
      <w:r w:rsidRPr="00CA2D0E">
        <w:rPr>
          <w:spacing w:val="0"/>
          <w:kern w:val="0"/>
          <w:sz w:val="20"/>
          <w:rtl/>
          <w:lang w:val="en-CA"/>
        </w:rPr>
        <w:t>إداري</w:t>
      </w:r>
      <w:r w:rsidRPr="00CA2D0E">
        <w:rPr>
          <w:rFonts w:hint="cs"/>
          <w:spacing w:val="0"/>
          <w:kern w:val="0"/>
          <w:sz w:val="20"/>
          <w:rtl/>
          <w:lang w:val="en-CA"/>
        </w:rPr>
        <w:t>اً في</w:t>
      </w:r>
      <w:r w:rsidRPr="00CA2D0E">
        <w:rPr>
          <w:spacing w:val="0"/>
          <w:kern w:val="0"/>
          <w:sz w:val="20"/>
          <w:rtl/>
          <w:lang w:val="en-CA"/>
        </w:rPr>
        <w:t xml:space="preserve"> 4 </w:t>
      </w:r>
      <w:r w:rsidRPr="00CA2D0E">
        <w:rPr>
          <w:rFonts w:hint="cs"/>
          <w:spacing w:val="0"/>
          <w:kern w:val="0"/>
          <w:sz w:val="20"/>
          <w:rtl/>
          <w:lang w:val="en-CA"/>
        </w:rPr>
        <w:t>أيلول/</w:t>
      </w:r>
      <w:r w:rsidRPr="00CA2D0E">
        <w:rPr>
          <w:spacing w:val="0"/>
          <w:kern w:val="0"/>
          <w:sz w:val="20"/>
          <w:rtl/>
          <w:lang w:val="en-CA"/>
        </w:rPr>
        <w:t>سبتمبر 2009، ر</w:t>
      </w:r>
      <w:r w:rsidRPr="00CA2D0E">
        <w:rPr>
          <w:rFonts w:hint="cs"/>
          <w:spacing w:val="0"/>
          <w:kern w:val="0"/>
          <w:sz w:val="20"/>
          <w:rtl/>
          <w:lang w:val="en-CA"/>
        </w:rPr>
        <w:t>ُ</w:t>
      </w:r>
      <w:r w:rsidRPr="00CA2D0E">
        <w:rPr>
          <w:spacing w:val="0"/>
          <w:kern w:val="0"/>
          <w:sz w:val="20"/>
          <w:rtl/>
          <w:lang w:val="en-CA"/>
        </w:rPr>
        <w:t>فض في اليوم</w:t>
      </w:r>
      <w:r w:rsidRPr="00CA2D0E">
        <w:rPr>
          <w:rFonts w:hint="cs"/>
          <w:spacing w:val="0"/>
          <w:kern w:val="0"/>
          <w:sz w:val="20"/>
          <w:rtl/>
          <w:lang w:val="en-CA"/>
        </w:rPr>
        <w:t xml:space="preserve"> نفسه، وأن </w:t>
      </w:r>
      <w:r w:rsidRPr="00CA2D0E">
        <w:rPr>
          <w:spacing w:val="0"/>
          <w:kern w:val="0"/>
          <w:sz w:val="20"/>
          <w:rtl/>
          <w:lang w:val="en-CA"/>
        </w:rPr>
        <w:t xml:space="preserve">هذا الرد يحتوي على عناصر </w:t>
      </w:r>
      <w:r w:rsidRPr="00CA2D0E">
        <w:rPr>
          <w:rFonts w:hint="cs"/>
          <w:spacing w:val="0"/>
          <w:kern w:val="0"/>
          <w:sz w:val="20"/>
          <w:rtl/>
          <w:lang w:val="en-CA"/>
        </w:rPr>
        <w:t>تثير ا</w:t>
      </w:r>
      <w:r w:rsidRPr="00CA2D0E">
        <w:rPr>
          <w:spacing w:val="0"/>
          <w:kern w:val="0"/>
          <w:sz w:val="20"/>
          <w:rtl/>
          <w:lang w:val="en-CA"/>
        </w:rPr>
        <w:t xml:space="preserve">لقلق لأنها مطابقة </w:t>
      </w:r>
      <w:r w:rsidRPr="00CA2D0E">
        <w:rPr>
          <w:rFonts w:hint="cs"/>
          <w:spacing w:val="0"/>
          <w:kern w:val="0"/>
          <w:sz w:val="20"/>
          <w:rtl/>
          <w:lang w:val="en-CA"/>
        </w:rPr>
        <w:t>لرسالة</w:t>
      </w:r>
      <w:r w:rsidRPr="00CA2D0E">
        <w:rPr>
          <w:spacing w:val="0"/>
          <w:kern w:val="0"/>
          <w:sz w:val="20"/>
          <w:rtl/>
          <w:lang w:val="en-CA"/>
        </w:rPr>
        <w:t xml:space="preserve"> رفض الطلب الأول </w:t>
      </w:r>
      <w:r w:rsidRPr="00CA2D0E">
        <w:rPr>
          <w:rFonts w:hint="cs"/>
          <w:spacing w:val="0"/>
          <w:kern w:val="0"/>
          <w:sz w:val="20"/>
          <w:rtl/>
          <w:lang w:val="en-CA"/>
        </w:rPr>
        <w:t>لوقف تنفيذ الترحيل</w:t>
      </w:r>
      <w:r w:rsidRPr="00CA2D0E">
        <w:rPr>
          <w:spacing w:val="0"/>
          <w:kern w:val="0"/>
          <w:sz w:val="20"/>
          <w:rtl/>
          <w:lang w:val="en-CA"/>
        </w:rPr>
        <w:t xml:space="preserve"> إداري</w:t>
      </w:r>
      <w:r w:rsidRPr="00CA2D0E">
        <w:rPr>
          <w:rFonts w:hint="cs"/>
          <w:spacing w:val="0"/>
          <w:kern w:val="0"/>
          <w:sz w:val="20"/>
          <w:rtl/>
          <w:lang w:val="en-CA"/>
        </w:rPr>
        <w:t>اً</w:t>
      </w:r>
      <w:r w:rsidRPr="00CA2D0E">
        <w:rPr>
          <w:spacing w:val="0"/>
          <w:kern w:val="0"/>
          <w:sz w:val="20"/>
          <w:rtl/>
          <w:lang w:val="en-CA"/>
        </w:rPr>
        <w:t xml:space="preserve"> </w:t>
      </w:r>
      <w:r w:rsidRPr="00CA2D0E">
        <w:rPr>
          <w:rFonts w:hint="cs"/>
          <w:spacing w:val="0"/>
          <w:kern w:val="0"/>
          <w:sz w:val="20"/>
          <w:rtl/>
          <w:lang w:val="en-CA"/>
        </w:rPr>
        <w:t>ال</w:t>
      </w:r>
      <w:r w:rsidRPr="00CA2D0E">
        <w:rPr>
          <w:spacing w:val="0"/>
          <w:kern w:val="0"/>
          <w:sz w:val="20"/>
          <w:rtl/>
          <w:lang w:val="en-CA"/>
        </w:rPr>
        <w:t xml:space="preserve">مؤرخ 9 </w:t>
      </w:r>
      <w:r w:rsidRPr="00CA2D0E">
        <w:rPr>
          <w:rFonts w:hint="cs"/>
          <w:spacing w:val="0"/>
          <w:kern w:val="0"/>
          <w:sz w:val="20"/>
          <w:rtl/>
          <w:lang w:val="en-CA"/>
        </w:rPr>
        <w:t>شباط/</w:t>
      </w:r>
      <w:r w:rsidRPr="00CA2D0E">
        <w:rPr>
          <w:spacing w:val="0"/>
          <w:kern w:val="0"/>
          <w:sz w:val="20"/>
          <w:rtl/>
          <w:lang w:val="en-CA"/>
        </w:rPr>
        <w:t xml:space="preserve">فبراير 2009 باستثناء </w:t>
      </w:r>
      <w:r w:rsidRPr="00CA2D0E">
        <w:rPr>
          <w:rFonts w:hint="cs"/>
          <w:spacing w:val="0"/>
          <w:kern w:val="0"/>
          <w:sz w:val="20"/>
          <w:rtl/>
          <w:lang w:val="en-CA"/>
        </w:rPr>
        <w:t>ال</w:t>
      </w:r>
      <w:r w:rsidRPr="00CA2D0E">
        <w:rPr>
          <w:spacing w:val="0"/>
          <w:kern w:val="0"/>
          <w:sz w:val="20"/>
          <w:rtl/>
          <w:lang w:val="en-CA"/>
        </w:rPr>
        <w:t>جزء التالي</w:t>
      </w:r>
      <w:r w:rsidRPr="00CA2D0E">
        <w:rPr>
          <w:rFonts w:hint="cs"/>
          <w:spacing w:val="0"/>
          <w:kern w:val="0"/>
          <w:sz w:val="20"/>
          <w:rtl/>
          <w:lang w:val="en-CA"/>
        </w:rPr>
        <w:t xml:space="preserve"> من</w:t>
      </w:r>
      <w:r w:rsidRPr="00CA2D0E">
        <w:rPr>
          <w:spacing w:val="0"/>
          <w:kern w:val="0"/>
          <w:sz w:val="20"/>
          <w:rtl/>
          <w:lang w:val="en-CA"/>
        </w:rPr>
        <w:t xml:space="preserve"> الجملة: "يمكن استبدال جهاز تنظيم ضربات القلب </w:t>
      </w:r>
      <w:r w:rsidRPr="00CA2D0E">
        <w:rPr>
          <w:rFonts w:hint="cs"/>
          <w:spacing w:val="0"/>
          <w:kern w:val="0"/>
          <w:sz w:val="20"/>
          <w:rtl/>
          <w:lang w:val="en-CA"/>
        </w:rPr>
        <w:t xml:space="preserve">للشخص المدعو </w:t>
      </w:r>
      <w:r w:rsidRPr="00CA2D0E">
        <w:rPr>
          <w:spacing w:val="0"/>
          <w:kern w:val="0"/>
          <w:sz w:val="20"/>
          <w:rtl/>
          <w:lang w:val="en-CA"/>
        </w:rPr>
        <w:t xml:space="preserve">في </w:t>
      </w:r>
      <w:r w:rsidRPr="00CA2D0E">
        <w:rPr>
          <w:rFonts w:hint="cs"/>
          <w:spacing w:val="0"/>
          <w:kern w:val="0"/>
          <w:sz w:val="20"/>
          <w:rtl/>
          <w:lang w:val="en-CA"/>
        </w:rPr>
        <w:t>ال</w:t>
      </w:r>
      <w:r w:rsidRPr="00CA2D0E">
        <w:rPr>
          <w:spacing w:val="0"/>
          <w:kern w:val="0"/>
          <w:sz w:val="20"/>
          <w:rtl/>
          <w:lang w:val="en-CA"/>
        </w:rPr>
        <w:t>جمهورية الدومينيك</w:t>
      </w:r>
      <w:r w:rsidRPr="00CA2D0E">
        <w:rPr>
          <w:rFonts w:hint="cs"/>
          <w:spacing w:val="0"/>
          <w:kern w:val="0"/>
          <w:sz w:val="20"/>
          <w:rtl/>
          <w:lang w:val="en-CA"/>
        </w:rPr>
        <w:t>ية"</w:t>
      </w:r>
      <w:r w:rsidRPr="00CA2D0E">
        <w:rPr>
          <w:spacing w:val="0"/>
          <w:kern w:val="0"/>
          <w:sz w:val="20"/>
          <w:rtl/>
          <w:lang w:val="en-CA"/>
        </w:rPr>
        <w:t xml:space="preserve">. </w:t>
      </w:r>
      <w:r w:rsidRPr="00CA2D0E">
        <w:rPr>
          <w:rFonts w:hint="cs"/>
          <w:spacing w:val="0"/>
          <w:kern w:val="0"/>
          <w:sz w:val="20"/>
          <w:rtl/>
          <w:lang w:val="en-CA"/>
        </w:rPr>
        <w:t>وهذه العبارة ت</w:t>
      </w:r>
      <w:r w:rsidRPr="00CA2D0E">
        <w:rPr>
          <w:spacing w:val="0"/>
          <w:kern w:val="0"/>
          <w:sz w:val="20"/>
          <w:rtl/>
          <w:lang w:val="en-CA"/>
        </w:rPr>
        <w:t>عني أن جهاز تنظيم ضربات القلب</w:t>
      </w:r>
      <w:r w:rsidRPr="00CA2D0E">
        <w:rPr>
          <w:rFonts w:hint="cs"/>
          <w:spacing w:val="0"/>
          <w:kern w:val="0"/>
          <w:sz w:val="20"/>
          <w:rtl/>
          <w:lang w:val="en-CA"/>
        </w:rPr>
        <w:t xml:space="preserve"> الخاص بصاحب الشكوى</w:t>
      </w:r>
      <w:r w:rsidRPr="00CA2D0E">
        <w:rPr>
          <w:spacing w:val="0"/>
          <w:kern w:val="0"/>
          <w:sz w:val="20"/>
          <w:rtl/>
          <w:lang w:val="en-CA"/>
        </w:rPr>
        <w:t xml:space="preserve"> لا يمكن </w:t>
      </w:r>
      <w:r w:rsidRPr="00CA2D0E">
        <w:rPr>
          <w:rFonts w:hint="cs"/>
          <w:spacing w:val="0"/>
          <w:kern w:val="0"/>
          <w:sz w:val="20"/>
          <w:rtl/>
          <w:lang w:val="en-CA"/>
        </w:rPr>
        <w:t>استبداله</w:t>
      </w:r>
      <w:r w:rsidRPr="00CA2D0E">
        <w:rPr>
          <w:spacing w:val="0"/>
          <w:kern w:val="0"/>
          <w:sz w:val="20"/>
          <w:rtl/>
          <w:lang w:val="en-CA"/>
        </w:rPr>
        <w:t xml:space="preserve"> في هايتي ولكن في بلد ليس </w:t>
      </w:r>
      <w:r w:rsidRPr="00CA2D0E">
        <w:rPr>
          <w:rFonts w:hint="cs"/>
          <w:spacing w:val="0"/>
          <w:kern w:val="0"/>
          <w:sz w:val="20"/>
          <w:rtl/>
          <w:lang w:val="en-CA"/>
        </w:rPr>
        <w:t>بلده</w:t>
      </w:r>
      <w:r w:rsidRPr="00CA2D0E">
        <w:rPr>
          <w:spacing w:val="0"/>
          <w:kern w:val="0"/>
          <w:sz w:val="20"/>
          <w:rtl/>
          <w:lang w:val="en-CA"/>
        </w:rPr>
        <w:t xml:space="preserve">. </w:t>
      </w:r>
      <w:r w:rsidRPr="00CA2D0E">
        <w:rPr>
          <w:rFonts w:hint="cs"/>
          <w:spacing w:val="0"/>
          <w:kern w:val="0"/>
          <w:sz w:val="20"/>
          <w:rtl/>
          <w:lang w:val="en-CA"/>
        </w:rPr>
        <w:t>ولا يوجد ما يضمن أن يستطيع صاحب الشكوى</w:t>
      </w:r>
      <w:r w:rsidRPr="00CA2D0E">
        <w:rPr>
          <w:spacing w:val="0"/>
          <w:kern w:val="0"/>
          <w:sz w:val="20"/>
          <w:rtl/>
          <w:lang w:val="en-CA"/>
        </w:rPr>
        <w:t xml:space="preserve"> </w:t>
      </w:r>
      <w:r w:rsidRPr="00CA2D0E">
        <w:rPr>
          <w:rFonts w:hint="cs"/>
          <w:spacing w:val="0"/>
          <w:kern w:val="0"/>
          <w:sz w:val="20"/>
          <w:rtl/>
          <w:lang w:val="en-CA"/>
        </w:rPr>
        <w:t xml:space="preserve">الذهاب </w:t>
      </w:r>
      <w:r w:rsidRPr="00CA2D0E">
        <w:rPr>
          <w:spacing w:val="0"/>
          <w:kern w:val="0"/>
          <w:sz w:val="20"/>
          <w:rtl/>
          <w:lang w:val="en-CA"/>
        </w:rPr>
        <w:t xml:space="preserve">إلى </w:t>
      </w:r>
      <w:r w:rsidRPr="00CA2D0E">
        <w:rPr>
          <w:rFonts w:hint="cs"/>
          <w:spacing w:val="0"/>
          <w:kern w:val="0"/>
          <w:sz w:val="20"/>
          <w:rtl/>
          <w:lang w:val="en-CA"/>
        </w:rPr>
        <w:t>ال</w:t>
      </w:r>
      <w:r w:rsidRPr="00CA2D0E">
        <w:rPr>
          <w:spacing w:val="0"/>
          <w:kern w:val="0"/>
          <w:sz w:val="20"/>
          <w:rtl/>
          <w:lang w:val="en-CA"/>
        </w:rPr>
        <w:t>جمهورية الدومينيك</w:t>
      </w:r>
      <w:r w:rsidRPr="00CA2D0E">
        <w:rPr>
          <w:rFonts w:hint="cs"/>
          <w:spacing w:val="0"/>
          <w:kern w:val="0"/>
          <w:sz w:val="20"/>
          <w:rtl/>
          <w:lang w:val="en-CA"/>
        </w:rPr>
        <w:t>ية</w:t>
      </w:r>
      <w:r w:rsidRPr="00CA2D0E">
        <w:rPr>
          <w:spacing w:val="0"/>
          <w:kern w:val="0"/>
          <w:sz w:val="20"/>
          <w:rtl/>
          <w:lang w:val="en-CA"/>
        </w:rPr>
        <w:t>، وخصوصا</w:t>
      </w:r>
      <w:r w:rsidRPr="00CA2D0E">
        <w:rPr>
          <w:rFonts w:hint="cs"/>
          <w:spacing w:val="0"/>
          <w:kern w:val="0"/>
          <w:sz w:val="20"/>
          <w:rtl/>
          <w:lang w:val="en-CA"/>
        </w:rPr>
        <w:t>ً</w:t>
      </w:r>
      <w:r w:rsidRPr="00CA2D0E">
        <w:rPr>
          <w:spacing w:val="0"/>
          <w:kern w:val="0"/>
          <w:sz w:val="20"/>
          <w:rtl/>
          <w:lang w:val="en-CA"/>
        </w:rPr>
        <w:t xml:space="preserve"> بسبب ماضيه الإجرامي. </w:t>
      </w:r>
      <w:r w:rsidRPr="00CA2D0E">
        <w:rPr>
          <w:rFonts w:hint="cs"/>
          <w:spacing w:val="0"/>
          <w:kern w:val="0"/>
          <w:sz w:val="20"/>
          <w:rtl/>
          <w:lang w:val="en-CA"/>
        </w:rPr>
        <w:t>و</w:t>
      </w:r>
      <w:r w:rsidRPr="00CA2D0E">
        <w:rPr>
          <w:spacing w:val="0"/>
          <w:kern w:val="0"/>
          <w:sz w:val="20"/>
          <w:rtl/>
          <w:lang w:val="en-CA"/>
        </w:rPr>
        <w:t xml:space="preserve">بعد </w:t>
      </w:r>
      <w:r w:rsidRPr="00CA2D0E">
        <w:rPr>
          <w:rFonts w:hint="cs"/>
          <w:spacing w:val="0"/>
          <w:kern w:val="0"/>
          <w:sz w:val="20"/>
          <w:rtl/>
          <w:lang w:val="en-CA"/>
        </w:rPr>
        <w:t>ال</w:t>
      </w:r>
      <w:r w:rsidRPr="00CA2D0E">
        <w:rPr>
          <w:spacing w:val="0"/>
          <w:kern w:val="0"/>
          <w:sz w:val="20"/>
          <w:rtl/>
          <w:lang w:val="en-CA"/>
        </w:rPr>
        <w:t xml:space="preserve">رفض الأول </w:t>
      </w:r>
      <w:r w:rsidRPr="00CA2D0E">
        <w:rPr>
          <w:rFonts w:hint="cs"/>
          <w:spacing w:val="0"/>
          <w:kern w:val="0"/>
          <w:sz w:val="20"/>
          <w:rtl/>
          <w:lang w:val="en-CA"/>
        </w:rPr>
        <w:t>لطلب وقف تنفيذ الترحيل</w:t>
      </w:r>
      <w:r w:rsidRPr="00CA2D0E">
        <w:rPr>
          <w:spacing w:val="0"/>
          <w:kern w:val="0"/>
          <w:sz w:val="20"/>
          <w:rtl/>
          <w:lang w:val="en-CA"/>
        </w:rPr>
        <w:t xml:space="preserve">، حصل </w:t>
      </w:r>
      <w:r w:rsidRPr="00CA2D0E">
        <w:rPr>
          <w:rFonts w:hint="cs"/>
          <w:spacing w:val="0"/>
          <w:kern w:val="0"/>
          <w:sz w:val="20"/>
          <w:rtl/>
          <w:lang w:val="en-CA"/>
        </w:rPr>
        <w:t xml:space="preserve">صاحب الشكوى على </w:t>
      </w:r>
      <w:r w:rsidRPr="00CA2D0E">
        <w:rPr>
          <w:spacing w:val="0"/>
          <w:kern w:val="0"/>
          <w:sz w:val="20"/>
          <w:rtl/>
          <w:lang w:val="en-CA"/>
        </w:rPr>
        <w:t xml:space="preserve">شهادتين طبيتين مؤرختين 11 و12 </w:t>
      </w:r>
      <w:r w:rsidRPr="00CA2D0E">
        <w:rPr>
          <w:rFonts w:hint="cs"/>
          <w:spacing w:val="0"/>
          <w:kern w:val="0"/>
          <w:sz w:val="20"/>
          <w:rtl/>
          <w:lang w:val="en-CA"/>
        </w:rPr>
        <w:t>شباط/</w:t>
      </w:r>
      <w:r w:rsidRPr="00CA2D0E">
        <w:rPr>
          <w:spacing w:val="0"/>
          <w:kern w:val="0"/>
          <w:sz w:val="20"/>
          <w:rtl/>
          <w:lang w:val="en-CA"/>
        </w:rPr>
        <w:t>فبراير 2009</w:t>
      </w:r>
      <w:r w:rsidRPr="00CA2D0E">
        <w:rPr>
          <w:rFonts w:hint="cs"/>
          <w:spacing w:val="0"/>
          <w:kern w:val="0"/>
          <w:sz w:val="20"/>
          <w:rtl/>
          <w:lang w:val="en-CA"/>
        </w:rPr>
        <w:t>،</w:t>
      </w:r>
      <w:r w:rsidRPr="00CA2D0E">
        <w:rPr>
          <w:spacing w:val="0"/>
          <w:kern w:val="0"/>
          <w:sz w:val="20"/>
          <w:rtl/>
          <w:lang w:val="en-CA"/>
        </w:rPr>
        <w:t xml:space="preserve"> واحدة </w:t>
      </w:r>
      <w:r w:rsidRPr="00CA2D0E">
        <w:rPr>
          <w:rFonts w:hint="cs"/>
          <w:spacing w:val="0"/>
          <w:kern w:val="0"/>
          <w:sz w:val="20"/>
          <w:rtl/>
          <w:lang w:val="en-CA"/>
        </w:rPr>
        <w:t xml:space="preserve">منهما </w:t>
      </w:r>
      <w:r w:rsidRPr="00CA2D0E">
        <w:rPr>
          <w:spacing w:val="0"/>
          <w:kern w:val="0"/>
          <w:sz w:val="20"/>
          <w:rtl/>
          <w:lang w:val="en-CA"/>
        </w:rPr>
        <w:t xml:space="preserve">من شركة مدترونيك كندا </w:t>
      </w:r>
      <w:r w:rsidRPr="00CA2D0E">
        <w:rPr>
          <w:rFonts w:hint="cs"/>
          <w:spacing w:val="0"/>
          <w:kern w:val="0"/>
          <w:sz w:val="20"/>
          <w:rtl/>
          <w:lang w:val="en-CA"/>
        </w:rPr>
        <w:t>ت</w:t>
      </w:r>
      <w:r w:rsidRPr="00CA2D0E">
        <w:rPr>
          <w:spacing w:val="0"/>
          <w:kern w:val="0"/>
          <w:sz w:val="20"/>
          <w:rtl/>
          <w:lang w:val="en-CA"/>
        </w:rPr>
        <w:t xml:space="preserve">بلغ </w:t>
      </w:r>
      <w:r w:rsidRPr="00CA2D0E">
        <w:rPr>
          <w:rFonts w:hint="cs"/>
          <w:spacing w:val="0"/>
          <w:kern w:val="0"/>
          <w:sz w:val="20"/>
          <w:rtl/>
          <w:lang w:val="en-CA"/>
        </w:rPr>
        <w:t>صاحب الشكوى</w:t>
      </w:r>
      <w:r w:rsidRPr="00CA2D0E">
        <w:rPr>
          <w:spacing w:val="0"/>
          <w:kern w:val="0"/>
          <w:sz w:val="20"/>
          <w:rtl/>
          <w:lang w:val="en-CA"/>
        </w:rPr>
        <w:t xml:space="preserve"> </w:t>
      </w:r>
      <w:r w:rsidRPr="00CA2D0E">
        <w:rPr>
          <w:rFonts w:hint="cs"/>
          <w:spacing w:val="0"/>
          <w:kern w:val="0"/>
          <w:sz w:val="20"/>
          <w:rtl/>
          <w:lang w:val="en-CA"/>
        </w:rPr>
        <w:t>ب</w:t>
      </w:r>
      <w:r w:rsidRPr="00CA2D0E">
        <w:rPr>
          <w:spacing w:val="0"/>
          <w:kern w:val="0"/>
          <w:sz w:val="20"/>
          <w:rtl/>
          <w:lang w:val="en-CA"/>
        </w:rPr>
        <w:t>أنها</w:t>
      </w:r>
      <w:r w:rsidR="00CA2D0E">
        <w:rPr>
          <w:rFonts w:hint="cs"/>
          <w:spacing w:val="0"/>
          <w:kern w:val="0"/>
          <w:sz w:val="20"/>
          <w:rtl/>
          <w:lang w:val="en-CA"/>
        </w:rPr>
        <w:t> </w:t>
      </w:r>
      <w:r w:rsidRPr="00CA2D0E">
        <w:rPr>
          <w:spacing w:val="0"/>
          <w:kern w:val="0"/>
          <w:sz w:val="20"/>
          <w:rtl/>
          <w:lang w:val="en-CA"/>
        </w:rPr>
        <w:t xml:space="preserve">ليست على علم </w:t>
      </w:r>
      <w:r w:rsidRPr="00CA2D0E">
        <w:rPr>
          <w:rFonts w:hint="cs"/>
          <w:spacing w:val="0"/>
          <w:kern w:val="0"/>
          <w:sz w:val="20"/>
          <w:rtl/>
          <w:lang w:val="en-CA"/>
        </w:rPr>
        <w:t>بو</w:t>
      </w:r>
      <w:r w:rsidRPr="00CA2D0E">
        <w:rPr>
          <w:spacing w:val="0"/>
          <w:kern w:val="0"/>
          <w:sz w:val="20"/>
          <w:rtl/>
          <w:lang w:val="en-CA"/>
        </w:rPr>
        <w:t xml:space="preserve">جود عيادة </w:t>
      </w:r>
      <w:r w:rsidRPr="00CA2D0E">
        <w:rPr>
          <w:rFonts w:hint="cs"/>
          <w:spacing w:val="0"/>
          <w:kern w:val="0"/>
          <w:sz w:val="20"/>
          <w:rtl/>
          <w:lang w:val="en-CA"/>
        </w:rPr>
        <w:t xml:space="preserve">أو </w:t>
      </w:r>
      <w:r w:rsidRPr="00CA2D0E">
        <w:rPr>
          <w:spacing w:val="0"/>
          <w:kern w:val="0"/>
          <w:sz w:val="20"/>
          <w:rtl/>
          <w:lang w:val="en-CA"/>
        </w:rPr>
        <w:t xml:space="preserve">طبيب </w:t>
      </w:r>
      <w:r w:rsidRPr="00CA2D0E">
        <w:rPr>
          <w:rFonts w:hint="cs"/>
          <w:spacing w:val="0"/>
          <w:kern w:val="0"/>
          <w:sz w:val="20"/>
          <w:rtl/>
          <w:lang w:val="en-CA"/>
        </w:rPr>
        <w:t xml:space="preserve">مؤهل </w:t>
      </w:r>
      <w:r w:rsidRPr="00CA2D0E">
        <w:rPr>
          <w:spacing w:val="0"/>
          <w:kern w:val="0"/>
          <w:sz w:val="20"/>
          <w:rtl/>
          <w:lang w:val="en-CA"/>
        </w:rPr>
        <w:t xml:space="preserve">في هايتي </w:t>
      </w:r>
      <w:r w:rsidRPr="00CA2D0E">
        <w:rPr>
          <w:rFonts w:hint="cs"/>
          <w:spacing w:val="0"/>
          <w:kern w:val="0"/>
          <w:sz w:val="20"/>
          <w:rtl/>
          <w:lang w:val="en-CA"/>
        </w:rPr>
        <w:t>لصيانة</w:t>
      </w:r>
      <w:r w:rsidRPr="00CA2D0E">
        <w:rPr>
          <w:spacing w:val="0"/>
          <w:kern w:val="0"/>
          <w:sz w:val="20"/>
          <w:rtl/>
          <w:lang w:val="en-CA"/>
        </w:rPr>
        <w:t xml:space="preserve"> أجهزة مدترونيك</w:t>
      </w:r>
      <w:r w:rsidRPr="00CA2D0E">
        <w:rPr>
          <w:rFonts w:hint="cs"/>
          <w:spacing w:val="0"/>
          <w:kern w:val="0"/>
          <w:sz w:val="20"/>
          <w:rtl/>
          <w:lang w:val="en-CA"/>
        </w:rPr>
        <w:t xml:space="preserve"> لتنظيم ضربات</w:t>
      </w:r>
      <w:r w:rsidRPr="00CA2D0E">
        <w:rPr>
          <w:spacing w:val="0"/>
          <w:kern w:val="0"/>
          <w:sz w:val="20"/>
          <w:rtl/>
          <w:lang w:val="en-CA"/>
        </w:rPr>
        <w:t xml:space="preserve"> القلب. </w:t>
      </w:r>
      <w:r w:rsidRPr="00CA2D0E">
        <w:rPr>
          <w:rFonts w:hint="cs"/>
          <w:spacing w:val="0"/>
          <w:kern w:val="0"/>
          <w:sz w:val="20"/>
          <w:rtl/>
          <w:lang w:val="en-CA"/>
        </w:rPr>
        <w:t xml:space="preserve">ويؤكد صاحب الشكوى أن ما </w:t>
      </w:r>
      <w:r w:rsidRPr="00CA2D0E">
        <w:rPr>
          <w:spacing w:val="0"/>
          <w:kern w:val="0"/>
          <w:sz w:val="20"/>
          <w:rtl/>
          <w:lang w:val="en-CA"/>
        </w:rPr>
        <w:t>يحتاج</w:t>
      </w:r>
      <w:r w:rsidRPr="00CA2D0E">
        <w:rPr>
          <w:rFonts w:hint="cs"/>
          <w:spacing w:val="0"/>
          <w:kern w:val="0"/>
          <w:sz w:val="20"/>
          <w:rtl/>
          <w:lang w:val="en-CA"/>
        </w:rPr>
        <w:t xml:space="preserve"> إليه </w:t>
      </w:r>
      <w:r w:rsidRPr="00CA2D0E">
        <w:rPr>
          <w:spacing w:val="0"/>
          <w:kern w:val="0"/>
          <w:sz w:val="20"/>
          <w:rtl/>
          <w:lang w:val="en-CA"/>
        </w:rPr>
        <w:t xml:space="preserve">ليس مجرد </w:t>
      </w:r>
      <w:r w:rsidRPr="00CA2D0E">
        <w:rPr>
          <w:rFonts w:hint="cs"/>
          <w:spacing w:val="0"/>
          <w:kern w:val="0"/>
          <w:sz w:val="20"/>
          <w:rtl/>
          <w:lang w:val="en-CA"/>
        </w:rPr>
        <w:t>متابعة</w:t>
      </w:r>
      <w:r w:rsidRPr="00CA2D0E">
        <w:rPr>
          <w:spacing w:val="0"/>
          <w:kern w:val="0"/>
          <w:sz w:val="20"/>
          <w:rtl/>
          <w:lang w:val="en-CA"/>
        </w:rPr>
        <w:t xml:space="preserve"> طبية في هايتي</w:t>
      </w:r>
      <w:r w:rsidR="00CA2D0E">
        <w:rPr>
          <w:rFonts w:hint="cs"/>
          <w:spacing w:val="0"/>
          <w:kern w:val="0"/>
          <w:sz w:val="20"/>
          <w:rtl/>
          <w:lang w:val="en-CA"/>
        </w:rPr>
        <w:t> </w:t>
      </w:r>
      <w:r w:rsidRPr="00CA2D0E">
        <w:rPr>
          <w:rFonts w:hint="cs"/>
          <w:spacing w:val="0"/>
          <w:kern w:val="0"/>
          <w:sz w:val="20"/>
          <w:rtl/>
          <w:lang w:val="en-CA"/>
        </w:rPr>
        <w:t xml:space="preserve">ولكن أن تكون أجهزة مدترونيك </w:t>
      </w:r>
      <w:r w:rsidRPr="00CA2D0E">
        <w:rPr>
          <w:spacing w:val="0"/>
          <w:kern w:val="0"/>
          <w:sz w:val="20"/>
          <w:rtl/>
          <w:lang w:val="en-CA"/>
        </w:rPr>
        <w:t xml:space="preserve">موجودة في هايتي. </w:t>
      </w:r>
      <w:r w:rsidRPr="00CA2D0E">
        <w:rPr>
          <w:rFonts w:hint="cs"/>
          <w:spacing w:val="0"/>
          <w:kern w:val="0"/>
          <w:sz w:val="20"/>
          <w:rtl/>
          <w:lang w:val="en-CA"/>
        </w:rPr>
        <w:t>ويشير صاحب الشكوى</w:t>
      </w:r>
      <w:r w:rsidRPr="00CA2D0E">
        <w:rPr>
          <w:spacing w:val="0"/>
          <w:kern w:val="0"/>
          <w:sz w:val="20"/>
          <w:rtl/>
          <w:lang w:val="en-CA"/>
        </w:rPr>
        <w:t xml:space="preserve"> أيضا</w:t>
      </w:r>
      <w:r w:rsidRPr="00CA2D0E">
        <w:rPr>
          <w:rFonts w:hint="cs"/>
          <w:spacing w:val="0"/>
          <w:kern w:val="0"/>
          <w:sz w:val="20"/>
          <w:rtl/>
          <w:lang w:val="en-CA"/>
        </w:rPr>
        <w:t xml:space="preserve">ً إلى </w:t>
      </w:r>
      <w:r w:rsidRPr="00CA2D0E">
        <w:rPr>
          <w:spacing w:val="0"/>
          <w:kern w:val="0"/>
          <w:sz w:val="20"/>
          <w:rtl/>
          <w:lang w:val="en-CA"/>
        </w:rPr>
        <w:t xml:space="preserve">رسالة مؤرخة 14 </w:t>
      </w:r>
      <w:r w:rsidRPr="00CA2D0E">
        <w:rPr>
          <w:rFonts w:hint="cs"/>
          <w:spacing w:val="0"/>
          <w:kern w:val="0"/>
          <w:sz w:val="20"/>
          <w:rtl/>
          <w:lang w:val="en-CA"/>
        </w:rPr>
        <w:t>أيلول/</w:t>
      </w:r>
      <w:r w:rsidRPr="00CA2D0E">
        <w:rPr>
          <w:spacing w:val="0"/>
          <w:kern w:val="0"/>
          <w:sz w:val="20"/>
          <w:rtl/>
          <w:lang w:val="en-CA"/>
        </w:rPr>
        <w:t>سبتمبر 2009</w:t>
      </w:r>
      <w:r w:rsidRPr="00CA2D0E">
        <w:rPr>
          <w:spacing w:val="-2"/>
          <w:kern w:val="0"/>
          <w:sz w:val="20"/>
          <w:rtl/>
          <w:lang w:val="en-CA"/>
        </w:rPr>
        <w:t xml:space="preserve"> من طبيب </w:t>
      </w:r>
      <w:r w:rsidRPr="00CA2D0E">
        <w:rPr>
          <w:rFonts w:hint="cs"/>
          <w:spacing w:val="-2"/>
          <w:kern w:val="0"/>
          <w:sz w:val="20"/>
          <w:rtl/>
          <w:lang w:val="en-CA"/>
        </w:rPr>
        <w:t>في</w:t>
      </w:r>
      <w:r w:rsidRPr="00CA2D0E">
        <w:rPr>
          <w:spacing w:val="-2"/>
          <w:kern w:val="0"/>
          <w:sz w:val="20"/>
          <w:rtl/>
          <w:lang w:val="en-CA"/>
        </w:rPr>
        <w:t xml:space="preserve"> مستشفى جامعة مونتريال </w:t>
      </w:r>
      <w:r w:rsidRPr="00CA2D0E">
        <w:rPr>
          <w:rFonts w:hint="cs"/>
          <w:spacing w:val="-2"/>
          <w:kern w:val="0"/>
          <w:sz w:val="20"/>
          <w:rtl/>
          <w:lang w:val="en-CA"/>
        </w:rPr>
        <w:t>يشكك فيها الطبيب أيضاً في</w:t>
      </w:r>
      <w:r w:rsidRPr="00CA2D0E">
        <w:rPr>
          <w:spacing w:val="-2"/>
          <w:kern w:val="0"/>
          <w:sz w:val="20"/>
          <w:rtl/>
          <w:lang w:val="en-CA"/>
        </w:rPr>
        <w:t xml:space="preserve"> توافر </w:t>
      </w:r>
      <w:r w:rsidRPr="00CA2D0E">
        <w:rPr>
          <w:rFonts w:hint="cs"/>
          <w:spacing w:val="-2"/>
          <w:kern w:val="0"/>
          <w:sz w:val="20"/>
          <w:rtl/>
          <w:lang w:val="en-CA"/>
        </w:rPr>
        <w:t xml:space="preserve">أخصائيين </w:t>
      </w:r>
      <w:r w:rsidRPr="00CA2D0E">
        <w:rPr>
          <w:spacing w:val="-2"/>
          <w:kern w:val="0"/>
          <w:sz w:val="20"/>
          <w:rtl/>
          <w:lang w:val="en-CA"/>
        </w:rPr>
        <w:t xml:space="preserve">طبيين مدربين </w:t>
      </w:r>
      <w:r w:rsidRPr="00CA2D0E">
        <w:rPr>
          <w:rFonts w:hint="cs"/>
          <w:spacing w:val="-2"/>
          <w:kern w:val="0"/>
          <w:sz w:val="20"/>
          <w:rtl/>
          <w:lang w:val="en-CA"/>
        </w:rPr>
        <w:t xml:space="preserve">لتغيير </w:t>
      </w:r>
      <w:r w:rsidRPr="00CA2D0E">
        <w:rPr>
          <w:spacing w:val="-2"/>
          <w:kern w:val="0"/>
          <w:sz w:val="20"/>
          <w:rtl/>
          <w:lang w:val="en-CA"/>
        </w:rPr>
        <w:t xml:space="preserve">جهاز مدترونيك </w:t>
      </w:r>
      <w:r w:rsidRPr="00CA2D0E">
        <w:rPr>
          <w:rFonts w:hint="cs"/>
          <w:spacing w:val="-2"/>
          <w:kern w:val="0"/>
          <w:sz w:val="20"/>
          <w:rtl/>
          <w:lang w:val="en-CA"/>
        </w:rPr>
        <w:t>ل</w:t>
      </w:r>
      <w:r w:rsidRPr="00CA2D0E">
        <w:rPr>
          <w:spacing w:val="-2"/>
          <w:kern w:val="0"/>
          <w:sz w:val="20"/>
          <w:rtl/>
          <w:lang w:val="en-CA"/>
        </w:rPr>
        <w:t>تنظيم ضربات القلب في هايتي</w:t>
      </w:r>
      <w:r w:rsidRPr="00CA2D0E">
        <w:rPr>
          <w:rFonts w:hint="cs"/>
          <w:spacing w:val="-2"/>
          <w:kern w:val="0"/>
          <w:sz w:val="20"/>
          <w:vertAlign w:val="superscript"/>
          <w:rtl/>
          <w:lang w:val="en-CA"/>
        </w:rPr>
        <w:t>(</w:t>
      </w:r>
      <w:r w:rsidRPr="00CA2D0E">
        <w:rPr>
          <w:rStyle w:val="FootnoteReference"/>
          <w:spacing w:val="-2"/>
          <w:sz w:val="20"/>
          <w:rtl/>
          <w:lang w:val="en-CA"/>
        </w:rPr>
        <w:footnoteReference w:id="233"/>
      </w:r>
      <w:r w:rsidRPr="00CA2D0E">
        <w:rPr>
          <w:rFonts w:hint="cs"/>
          <w:spacing w:val="-2"/>
          <w:kern w:val="0"/>
          <w:sz w:val="20"/>
          <w:vertAlign w:val="superscript"/>
          <w:rtl/>
          <w:lang w:val="en-CA"/>
        </w:rPr>
        <w:t>)</w:t>
      </w:r>
      <w:r w:rsidRPr="00CA2D0E">
        <w:rPr>
          <w:spacing w:val="-2"/>
          <w:kern w:val="0"/>
          <w:sz w:val="20"/>
          <w:rtl/>
          <w:lang w:val="en-CA"/>
        </w:rPr>
        <w:t>.</w:t>
      </w:r>
    </w:p>
    <w:p w:rsidR="008D1B92" w:rsidRPr="008D1B92" w:rsidRDefault="008D1B92" w:rsidP="008D1B92">
      <w:pPr>
        <w:pStyle w:val="SingleTxtGA"/>
        <w:jc w:val="lowKashida"/>
        <w:rPr>
          <w:rFonts w:hint="cs"/>
          <w:spacing w:val="0"/>
          <w:kern w:val="0"/>
          <w:sz w:val="20"/>
          <w:rtl/>
          <w:lang w:val="en-CA"/>
        </w:rPr>
      </w:pPr>
      <w:r w:rsidRPr="008D1B92">
        <w:rPr>
          <w:rFonts w:hint="cs"/>
          <w:spacing w:val="0"/>
          <w:kern w:val="0"/>
          <w:sz w:val="20"/>
          <w:rtl/>
          <w:lang w:val="en-CA"/>
        </w:rPr>
        <w:t>5-2</w:t>
      </w:r>
      <w:r w:rsidRPr="008D1B92">
        <w:rPr>
          <w:rFonts w:hint="cs"/>
          <w:spacing w:val="0"/>
          <w:kern w:val="0"/>
          <w:sz w:val="20"/>
          <w:rtl/>
          <w:lang w:val="en-CA"/>
        </w:rPr>
        <w:tab/>
        <w:t>وفي 4 تشرين الأول/</w:t>
      </w:r>
      <w:r w:rsidRPr="008D1B92">
        <w:rPr>
          <w:spacing w:val="0"/>
          <w:kern w:val="0"/>
          <w:sz w:val="20"/>
          <w:rtl/>
          <w:lang w:val="en-CA"/>
        </w:rPr>
        <w:t>أكتوبر 2009</w:t>
      </w:r>
      <w:r w:rsidRPr="008D1B92">
        <w:rPr>
          <w:rFonts w:hint="cs"/>
          <w:spacing w:val="0"/>
          <w:kern w:val="0"/>
          <w:sz w:val="20"/>
          <w:rtl/>
          <w:lang w:val="en-CA"/>
        </w:rPr>
        <w:t>،</w:t>
      </w:r>
      <w:r w:rsidRPr="008D1B92">
        <w:rPr>
          <w:spacing w:val="0"/>
          <w:kern w:val="0"/>
          <w:sz w:val="20"/>
          <w:rtl/>
          <w:lang w:val="en-CA"/>
        </w:rPr>
        <w:t xml:space="preserve"> قدم </w:t>
      </w:r>
      <w:r w:rsidRPr="008D1B92">
        <w:rPr>
          <w:rFonts w:hint="cs"/>
          <w:spacing w:val="0"/>
          <w:kern w:val="0"/>
          <w:sz w:val="20"/>
          <w:rtl/>
          <w:lang w:val="en-CA"/>
        </w:rPr>
        <w:t>صاحب الشكوى</w:t>
      </w:r>
      <w:r w:rsidRPr="008D1B92">
        <w:rPr>
          <w:spacing w:val="0"/>
          <w:kern w:val="0"/>
          <w:sz w:val="20"/>
          <w:rtl/>
          <w:lang w:val="en-CA"/>
        </w:rPr>
        <w:t xml:space="preserve"> تعليقاته على ملاحظات الدولة الطرف. </w:t>
      </w:r>
      <w:r w:rsidRPr="008D1B92">
        <w:rPr>
          <w:rFonts w:hint="cs"/>
          <w:spacing w:val="0"/>
          <w:kern w:val="0"/>
          <w:sz w:val="20"/>
          <w:rtl/>
          <w:lang w:val="en-CA"/>
        </w:rPr>
        <w:t xml:space="preserve">وأشار إلى </w:t>
      </w:r>
      <w:r w:rsidRPr="008D1B92">
        <w:rPr>
          <w:spacing w:val="0"/>
          <w:kern w:val="0"/>
          <w:sz w:val="20"/>
          <w:rtl/>
          <w:lang w:val="en-CA"/>
        </w:rPr>
        <w:t>أن</w:t>
      </w:r>
      <w:r w:rsidRPr="008D1B92">
        <w:rPr>
          <w:rFonts w:hint="cs"/>
          <w:spacing w:val="0"/>
          <w:kern w:val="0"/>
          <w:sz w:val="20"/>
          <w:rtl/>
          <w:lang w:val="en-CA"/>
        </w:rPr>
        <w:t xml:space="preserve"> اللجنة أعربت في </w:t>
      </w:r>
      <w:r w:rsidRPr="008D1B92">
        <w:rPr>
          <w:spacing w:val="0"/>
          <w:kern w:val="0"/>
          <w:sz w:val="20"/>
          <w:rtl/>
          <w:lang w:val="en-CA"/>
        </w:rPr>
        <w:t xml:space="preserve">ملاحظاتها الختامية عن قلقها </w:t>
      </w:r>
      <w:r w:rsidRPr="008D1B92">
        <w:rPr>
          <w:rFonts w:hint="cs"/>
          <w:spacing w:val="0"/>
          <w:kern w:val="0"/>
          <w:sz w:val="20"/>
          <w:rtl/>
          <w:lang w:val="en-CA"/>
        </w:rPr>
        <w:t>إزاء </w:t>
      </w:r>
      <w:r w:rsidRPr="008D1B92">
        <w:rPr>
          <w:spacing w:val="0"/>
          <w:kern w:val="0"/>
          <w:sz w:val="20"/>
          <w:rtl/>
          <w:lang w:val="en-CA"/>
        </w:rPr>
        <w:t>الاستبعاد الصريح لفئات معينة من الأشخاص الذين يشكلون خطرا</w:t>
      </w:r>
      <w:r w:rsidRPr="008D1B92">
        <w:rPr>
          <w:rFonts w:hint="cs"/>
          <w:spacing w:val="0"/>
          <w:kern w:val="0"/>
          <w:sz w:val="20"/>
          <w:rtl/>
          <w:lang w:val="en-CA"/>
        </w:rPr>
        <w:t>ً</w:t>
      </w:r>
      <w:r w:rsidRPr="008D1B92">
        <w:rPr>
          <w:spacing w:val="0"/>
          <w:kern w:val="0"/>
          <w:sz w:val="20"/>
          <w:rtl/>
          <w:lang w:val="en-CA"/>
        </w:rPr>
        <w:t xml:space="preserve"> من حيث السلامة أو </w:t>
      </w:r>
      <w:r w:rsidRPr="008D1B92">
        <w:rPr>
          <w:rFonts w:hint="cs"/>
          <w:spacing w:val="0"/>
          <w:kern w:val="0"/>
          <w:sz w:val="20"/>
          <w:rtl/>
          <w:lang w:val="en-CA"/>
        </w:rPr>
        <w:t>ال</w:t>
      </w:r>
      <w:r w:rsidRPr="008D1B92">
        <w:rPr>
          <w:spacing w:val="0"/>
          <w:kern w:val="0"/>
          <w:sz w:val="20"/>
          <w:rtl/>
          <w:lang w:val="en-CA"/>
        </w:rPr>
        <w:t xml:space="preserve">جريمة </w:t>
      </w:r>
      <w:r w:rsidRPr="008D1B92">
        <w:rPr>
          <w:rFonts w:hint="cs"/>
          <w:spacing w:val="0"/>
          <w:kern w:val="0"/>
          <w:sz w:val="20"/>
          <w:rtl/>
          <w:lang w:val="en-CA"/>
        </w:rPr>
        <w:t>من الاستفادة</w:t>
      </w:r>
      <w:r w:rsidRPr="008D1B92">
        <w:rPr>
          <w:spacing w:val="0"/>
          <w:kern w:val="0"/>
          <w:sz w:val="20"/>
          <w:rtl/>
          <w:lang w:val="en-CA"/>
        </w:rPr>
        <w:t xml:space="preserve"> من مبدأ عدم </w:t>
      </w:r>
      <w:r w:rsidRPr="008D1B92">
        <w:rPr>
          <w:rFonts w:hint="cs"/>
          <w:spacing w:val="0"/>
          <w:kern w:val="0"/>
          <w:sz w:val="20"/>
          <w:rtl/>
          <w:lang w:val="en-CA"/>
        </w:rPr>
        <w:t xml:space="preserve">الرد </w:t>
      </w:r>
      <w:r w:rsidRPr="008D1B92">
        <w:rPr>
          <w:spacing w:val="0"/>
          <w:kern w:val="0"/>
          <w:sz w:val="20"/>
          <w:rtl/>
          <w:lang w:val="en-CA"/>
        </w:rPr>
        <w:t>المنصوص عليه في قانون الهجرة وحماية اللاجئين لعام 2002 (</w:t>
      </w:r>
      <w:r w:rsidRPr="008D1B92">
        <w:rPr>
          <w:rFonts w:hint="cs"/>
          <w:spacing w:val="0"/>
          <w:kern w:val="0"/>
          <w:sz w:val="20"/>
          <w:rtl/>
          <w:lang w:val="en-CA"/>
        </w:rPr>
        <w:t xml:space="preserve">الفقرة 2 من </w:t>
      </w:r>
      <w:r w:rsidRPr="008D1B92">
        <w:rPr>
          <w:spacing w:val="0"/>
          <w:kern w:val="0"/>
          <w:sz w:val="20"/>
          <w:rtl/>
          <w:lang w:val="en-CA"/>
        </w:rPr>
        <w:t xml:space="preserve">المادة 115). </w:t>
      </w:r>
      <w:r w:rsidRPr="008D1B92">
        <w:rPr>
          <w:rFonts w:hint="cs"/>
          <w:spacing w:val="0"/>
          <w:kern w:val="0"/>
          <w:sz w:val="20"/>
          <w:rtl/>
          <w:lang w:val="en-CA"/>
        </w:rPr>
        <w:t xml:space="preserve">ولذلك، </w:t>
      </w:r>
      <w:r w:rsidRPr="008D1B92">
        <w:rPr>
          <w:spacing w:val="0"/>
          <w:kern w:val="0"/>
          <w:sz w:val="20"/>
          <w:rtl/>
          <w:lang w:val="en-CA"/>
        </w:rPr>
        <w:t xml:space="preserve">أوصت اللجنة بأن </w:t>
      </w:r>
      <w:r w:rsidRPr="008D1B92">
        <w:rPr>
          <w:rFonts w:hint="cs"/>
          <w:spacing w:val="0"/>
          <w:kern w:val="0"/>
          <w:sz w:val="20"/>
          <w:rtl/>
          <w:lang w:val="en-CA"/>
        </w:rPr>
        <w:t>تحذف</w:t>
      </w:r>
      <w:r w:rsidRPr="008D1B92">
        <w:rPr>
          <w:spacing w:val="0"/>
          <w:kern w:val="0"/>
          <w:sz w:val="20"/>
          <w:rtl/>
          <w:lang w:val="en-CA"/>
        </w:rPr>
        <w:t xml:space="preserve"> الدولة الطرف </w:t>
      </w:r>
      <w:r w:rsidRPr="008D1B92">
        <w:rPr>
          <w:rFonts w:hint="cs"/>
          <w:spacing w:val="0"/>
          <w:kern w:val="0"/>
          <w:sz w:val="20"/>
          <w:rtl/>
          <w:lang w:val="en-CA"/>
        </w:rPr>
        <w:t>من</w:t>
      </w:r>
      <w:r w:rsidRPr="008D1B92">
        <w:rPr>
          <w:spacing w:val="0"/>
          <w:kern w:val="0"/>
          <w:sz w:val="20"/>
          <w:rtl/>
          <w:lang w:val="en-CA"/>
        </w:rPr>
        <w:t xml:space="preserve"> قانون الهجرة وحماية اللاجئين </w:t>
      </w:r>
      <w:r w:rsidRPr="008D1B92">
        <w:rPr>
          <w:rFonts w:hint="cs"/>
          <w:spacing w:val="0"/>
          <w:kern w:val="0"/>
          <w:sz w:val="20"/>
          <w:rtl/>
          <w:lang w:val="en-CA"/>
        </w:rPr>
        <w:t>ل</w:t>
      </w:r>
      <w:r w:rsidRPr="008D1B92">
        <w:rPr>
          <w:spacing w:val="0"/>
          <w:kern w:val="0"/>
          <w:sz w:val="20"/>
          <w:rtl/>
          <w:lang w:val="en-CA"/>
        </w:rPr>
        <w:t xml:space="preserve">عام 2002 </w:t>
      </w:r>
      <w:r w:rsidRPr="008D1B92">
        <w:rPr>
          <w:rFonts w:hint="cs"/>
          <w:spacing w:val="0"/>
          <w:kern w:val="0"/>
          <w:sz w:val="20"/>
          <w:rtl/>
          <w:lang w:val="en-CA"/>
        </w:rPr>
        <w:t>أسباب ا</w:t>
      </w:r>
      <w:r w:rsidRPr="008D1B92">
        <w:rPr>
          <w:spacing w:val="0"/>
          <w:kern w:val="0"/>
          <w:sz w:val="20"/>
          <w:rtl/>
          <w:lang w:val="en-CA"/>
        </w:rPr>
        <w:t xml:space="preserve">لاستبعاد </w:t>
      </w:r>
      <w:r w:rsidRPr="008D1B92">
        <w:rPr>
          <w:rFonts w:hint="cs"/>
          <w:spacing w:val="0"/>
          <w:kern w:val="0"/>
          <w:sz w:val="20"/>
          <w:rtl/>
          <w:lang w:val="en-CA"/>
        </w:rPr>
        <w:t>هذه بحيث يمكن للأشخاص المستبعدين بالفعل أن يتمتعوا بالحق في الحماية و</w:t>
      </w:r>
      <w:r w:rsidRPr="008D1B92">
        <w:rPr>
          <w:spacing w:val="0"/>
          <w:kern w:val="0"/>
          <w:sz w:val="20"/>
          <w:rtl/>
          <w:lang w:val="en-CA"/>
        </w:rPr>
        <w:t xml:space="preserve">مبدأ عدم </w:t>
      </w:r>
      <w:r w:rsidRPr="008D1B92">
        <w:rPr>
          <w:rFonts w:hint="cs"/>
          <w:spacing w:val="0"/>
          <w:kern w:val="0"/>
          <w:sz w:val="20"/>
          <w:rtl/>
          <w:lang w:val="en-CA"/>
        </w:rPr>
        <w:t xml:space="preserve">الرد </w:t>
      </w:r>
      <w:r w:rsidRPr="008D1B92">
        <w:rPr>
          <w:spacing w:val="0"/>
          <w:kern w:val="0"/>
          <w:sz w:val="20"/>
          <w:rtl/>
          <w:lang w:val="en-CA"/>
        </w:rPr>
        <w:t>بسبب وجود خطر التعرض للتعذيب</w:t>
      </w:r>
      <w:r w:rsidRPr="008D1B92">
        <w:rPr>
          <w:rFonts w:hint="cs"/>
          <w:spacing w:val="0"/>
          <w:kern w:val="0"/>
          <w:sz w:val="20"/>
          <w:vertAlign w:val="superscript"/>
          <w:rtl/>
          <w:lang w:val="en-CA"/>
        </w:rPr>
        <w:t>(</w:t>
      </w:r>
      <w:r w:rsidRPr="008D1B92">
        <w:rPr>
          <w:rStyle w:val="FootnoteReference"/>
          <w:spacing w:val="0"/>
          <w:sz w:val="20"/>
          <w:rtl/>
          <w:lang w:val="en-CA"/>
        </w:rPr>
        <w:footnoteReference w:id="234"/>
      </w:r>
      <w:r w:rsidRPr="008D1B92">
        <w:rPr>
          <w:rFonts w:hint="cs"/>
          <w:spacing w:val="0"/>
          <w:kern w:val="0"/>
          <w:sz w:val="20"/>
          <w:vertAlign w:val="superscript"/>
          <w:rtl/>
          <w:lang w:val="en-CA"/>
        </w:rPr>
        <w:t>)</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 xml:space="preserve">يدعي </w:t>
      </w:r>
      <w:r w:rsidRPr="008D1B92">
        <w:rPr>
          <w:rFonts w:hint="cs"/>
          <w:spacing w:val="0"/>
          <w:kern w:val="0"/>
          <w:sz w:val="20"/>
          <w:rtl/>
          <w:lang w:val="en-CA"/>
        </w:rPr>
        <w:t xml:space="preserve">صاحب الشكوى بذلك أنه لا يجوز ترحيله إلى </w:t>
      </w:r>
      <w:r w:rsidRPr="008D1B92">
        <w:rPr>
          <w:spacing w:val="0"/>
          <w:kern w:val="0"/>
          <w:sz w:val="20"/>
          <w:rtl/>
          <w:lang w:val="en-CA"/>
        </w:rPr>
        <w:t xml:space="preserve">هايتي بحجة </w:t>
      </w:r>
      <w:r w:rsidRPr="008D1B92">
        <w:rPr>
          <w:rFonts w:hint="cs"/>
          <w:spacing w:val="0"/>
          <w:kern w:val="0"/>
          <w:sz w:val="20"/>
          <w:rtl/>
          <w:lang w:val="en-CA"/>
        </w:rPr>
        <w:t>أنه</w:t>
      </w:r>
      <w:r w:rsidRPr="008D1B92">
        <w:rPr>
          <w:spacing w:val="0"/>
          <w:kern w:val="0"/>
          <w:sz w:val="20"/>
          <w:rtl/>
          <w:lang w:val="en-CA"/>
        </w:rPr>
        <w:t xml:space="preserve"> ارتكب جرائم على ال</w:t>
      </w:r>
      <w:r w:rsidRPr="008D1B92">
        <w:rPr>
          <w:rFonts w:hint="cs"/>
          <w:spacing w:val="0"/>
          <w:kern w:val="0"/>
          <w:sz w:val="20"/>
          <w:rtl/>
          <w:lang w:val="en-CA"/>
        </w:rPr>
        <w:t>أ</w:t>
      </w:r>
      <w:r w:rsidRPr="008D1B92">
        <w:rPr>
          <w:spacing w:val="0"/>
          <w:kern w:val="0"/>
          <w:sz w:val="20"/>
          <w:rtl/>
          <w:lang w:val="en-CA"/>
        </w:rPr>
        <w:t xml:space="preserve">راضي الكندية. </w:t>
      </w:r>
      <w:r w:rsidRPr="008D1B92">
        <w:rPr>
          <w:rFonts w:hint="cs"/>
          <w:spacing w:val="0"/>
          <w:kern w:val="0"/>
          <w:sz w:val="20"/>
          <w:rtl/>
          <w:lang w:val="en-CA"/>
        </w:rPr>
        <w:t xml:space="preserve">كما أن هناك </w:t>
      </w:r>
      <w:r w:rsidRPr="008D1B92">
        <w:rPr>
          <w:spacing w:val="0"/>
          <w:kern w:val="0"/>
          <w:sz w:val="20"/>
          <w:rtl/>
          <w:lang w:val="en-CA"/>
        </w:rPr>
        <w:t xml:space="preserve">حالات فردية أخرى تبين أن </w:t>
      </w:r>
      <w:r w:rsidRPr="008D1B92">
        <w:rPr>
          <w:rFonts w:hint="cs"/>
          <w:spacing w:val="0"/>
          <w:kern w:val="0"/>
          <w:sz w:val="20"/>
          <w:rtl/>
          <w:lang w:val="en-CA"/>
        </w:rPr>
        <w:t xml:space="preserve">هناك أشخاصاً كانوا معرضين لخطر التعذيب وكانت لهم سوابق إجرامية ورحلوا، ولم </w:t>
      </w:r>
      <w:r w:rsidRPr="008D1B92">
        <w:rPr>
          <w:spacing w:val="0"/>
          <w:kern w:val="0"/>
          <w:sz w:val="20"/>
          <w:rtl/>
          <w:lang w:val="en-CA"/>
        </w:rPr>
        <w:t xml:space="preserve">ترد أنباء عن مصيرهم </w:t>
      </w:r>
      <w:r w:rsidRPr="008D1B92">
        <w:rPr>
          <w:rFonts w:hint="cs"/>
          <w:spacing w:val="0"/>
          <w:kern w:val="0"/>
          <w:sz w:val="20"/>
          <w:rtl/>
          <w:lang w:val="en-CA"/>
        </w:rPr>
        <w:t>منذ ذلك</w:t>
      </w:r>
      <w:r w:rsidRPr="008D1B92">
        <w:rPr>
          <w:spacing w:val="0"/>
          <w:kern w:val="0"/>
          <w:sz w:val="20"/>
          <w:rtl/>
          <w:lang w:val="en-CA"/>
        </w:rPr>
        <w:t xml:space="preserve"> الوقت.</w:t>
      </w:r>
    </w:p>
    <w:p w:rsidR="008D1B92" w:rsidRPr="008D1B92" w:rsidRDefault="008D1B92" w:rsidP="00DE469F">
      <w:pPr>
        <w:pStyle w:val="SingleTxtGA"/>
        <w:jc w:val="lowKashida"/>
        <w:rPr>
          <w:rFonts w:hint="cs"/>
          <w:spacing w:val="0"/>
          <w:kern w:val="0"/>
          <w:sz w:val="20"/>
          <w:szCs w:val="20"/>
          <w:rtl/>
        </w:rPr>
      </w:pPr>
      <w:r w:rsidRPr="008D1B92">
        <w:rPr>
          <w:rFonts w:hint="cs"/>
          <w:spacing w:val="0"/>
          <w:kern w:val="0"/>
          <w:sz w:val="20"/>
          <w:rtl/>
          <w:lang w:val="en-CA"/>
        </w:rPr>
        <w:t>5-3</w:t>
      </w:r>
      <w:r w:rsidRPr="008D1B92">
        <w:rPr>
          <w:rFonts w:hint="cs"/>
          <w:spacing w:val="0"/>
          <w:kern w:val="0"/>
          <w:sz w:val="20"/>
          <w:rtl/>
          <w:lang w:val="en-CA"/>
        </w:rPr>
        <w:tab/>
        <w:t>وعلى عكس</w:t>
      </w:r>
      <w:r w:rsidRPr="008D1B92">
        <w:rPr>
          <w:spacing w:val="0"/>
          <w:kern w:val="0"/>
          <w:sz w:val="20"/>
          <w:rtl/>
          <w:lang w:val="en-CA"/>
        </w:rPr>
        <w:t xml:space="preserve"> </w:t>
      </w:r>
      <w:r w:rsidRPr="008D1B92">
        <w:rPr>
          <w:rFonts w:hint="cs"/>
          <w:spacing w:val="0"/>
          <w:kern w:val="0"/>
          <w:sz w:val="20"/>
          <w:rtl/>
          <w:lang w:val="en-CA"/>
        </w:rPr>
        <w:t>ما أكدته</w:t>
      </w:r>
      <w:r w:rsidRPr="008D1B92">
        <w:rPr>
          <w:spacing w:val="0"/>
          <w:kern w:val="0"/>
          <w:sz w:val="20"/>
          <w:rtl/>
          <w:lang w:val="en-CA"/>
        </w:rPr>
        <w:t xml:space="preserve"> الدولة الطرف، </w:t>
      </w:r>
      <w:r w:rsidRPr="008D1B92">
        <w:rPr>
          <w:rFonts w:hint="cs"/>
          <w:spacing w:val="0"/>
          <w:kern w:val="0"/>
          <w:sz w:val="20"/>
          <w:rtl/>
          <w:lang w:val="en-CA"/>
        </w:rPr>
        <w:t xml:space="preserve">فإن ممارسات احتجاز الأشخاص العائدين </w:t>
      </w:r>
      <w:r w:rsidRPr="008D1B92">
        <w:rPr>
          <w:spacing w:val="0"/>
          <w:kern w:val="0"/>
          <w:sz w:val="20"/>
          <w:rtl/>
          <w:lang w:val="en-CA"/>
        </w:rPr>
        <w:t xml:space="preserve">ليست موحدة. </w:t>
      </w:r>
      <w:r w:rsidRPr="008D1B92">
        <w:rPr>
          <w:rFonts w:hint="cs"/>
          <w:spacing w:val="0"/>
          <w:kern w:val="0"/>
          <w:sz w:val="20"/>
          <w:rtl/>
          <w:lang w:val="en-CA"/>
        </w:rPr>
        <w:t>و</w:t>
      </w:r>
      <w:r w:rsidRPr="008D1B92">
        <w:rPr>
          <w:spacing w:val="0"/>
          <w:kern w:val="0"/>
          <w:sz w:val="20"/>
          <w:rtl/>
          <w:lang w:val="en-CA"/>
        </w:rPr>
        <w:t xml:space="preserve">إلغاء ممارسة الاحتجاز الوقائي </w:t>
      </w:r>
      <w:r w:rsidRPr="008D1B92">
        <w:rPr>
          <w:rFonts w:hint="cs"/>
          <w:spacing w:val="0"/>
          <w:kern w:val="0"/>
          <w:sz w:val="20"/>
          <w:rtl/>
          <w:lang w:val="en-CA"/>
        </w:rPr>
        <w:t>للمجرمين المرحلين</w:t>
      </w:r>
      <w:r w:rsidRPr="008D1B92">
        <w:rPr>
          <w:spacing w:val="0"/>
          <w:kern w:val="0"/>
          <w:sz w:val="20"/>
          <w:rtl/>
          <w:lang w:val="en-CA"/>
        </w:rPr>
        <w:t xml:space="preserve"> في السجن الوطني في بورت</w:t>
      </w:r>
      <w:r w:rsidRPr="008D1B92">
        <w:rPr>
          <w:rFonts w:hint="cs"/>
          <w:spacing w:val="0"/>
          <w:kern w:val="0"/>
          <w:sz w:val="20"/>
          <w:rtl/>
          <w:lang w:val="en-CA"/>
        </w:rPr>
        <w:t xml:space="preserve"> </w:t>
      </w:r>
      <w:r w:rsidRPr="008D1B92">
        <w:rPr>
          <w:spacing w:val="0"/>
          <w:kern w:val="0"/>
          <w:sz w:val="20"/>
          <w:rtl/>
          <w:lang w:val="en-CA"/>
        </w:rPr>
        <w:t>أو</w:t>
      </w:r>
      <w:r w:rsidRPr="008D1B92">
        <w:rPr>
          <w:rFonts w:hint="cs"/>
          <w:spacing w:val="0"/>
          <w:kern w:val="0"/>
          <w:sz w:val="20"/>
          <w:rtl/>
          <w:lang w:val="en-CA"/>
        </w:rPr>
        <w:t xml:space="preserve"> </w:t>
      </w:r>
      <w:r w:rsidRPr="008D1B92">
        <w:rPr>
          <w:spacing w:val="0"/>
          <w:kern w:val="0"/>
          <w:sz w:val="20"/>
          <w:rtl/>
          <w:lang w:val="en-CA"/>
        </w:rPr>
        <w:t>بر</w:t>
      </w:r>
      <w:r w:rsidRPr="008D1B92">
        <w:rPr>
          <w:rFonts w:hint="cs"/>
          <w:spacing w:val="0"/>
          <w:kern w:val="0"/>
          <w:sz w:val="20"/>
          <w:rtl/>
          <w:lang w:val="en-CA"/>
        </w:rPr>
        <w:t>ا</w:t>
      </w:r>
      <w:r w:rsidRPr="008D1B92">
        <w:rPr>
          <w:spacing w:val="0"/>
          <w:kern w:val="0"/>
          <w:sz w:val="20"/>
          <w:rtl/>
          <w:lang w:val="en-CA"/>
        </w:rPr>
        <w:t xml:space="preserve">نس </w:t>
      </w:r>
      <w:r w:rsidRPr="008D1B92">
        <w:rPr>
          <w:rFonts w:hint="cs"/>
          <w:spacing w:val="0"/>
          <w:kern w:val="0"/>
          <w:sz w:val="20"/>
          <w:rtl/>
          <w:lang w:val="en-CA"/>
        </w:rPr>
        <w:t>مسألة حديثة جداً ولا تسمح ب</w:t>
      </w:r>
      <w:r w:rsidRPr="008D1B92">
        <w:rPr>
          <w:spacing w:val="0"/>
          <w:kern w:val="0"/>
          <w:sz w:val="20"/>
          <w:rtl/>
          <w:lang w:val="en-CA"/>
        </w:rPr>
        <w:t xml:space="preserve">استنتاج أنها لا تنطوي على خطر </w:t>
      </w:r>
      <w:r w:rsidRPr="008D1B92">
        <w:rPr>
          <w:rFonts w:hint="cs"/>
          <w:spacing w:val="0"/>
          <w:kern w:val="0"/>
          <w:sz w:val="20"/>
          <w:rtl/>
          <w:lang w:val="en-CA"/>
        </w:rPr>
        <w:t>الاحتجاز</w:t>
      </w:r>
      <w:r w:rsidRPr="008D1B92">
        <w:rPr>
          <w:spacing w:val="0"/>
          <w:kern w:val="0"/>
          <w:sz w:val="20"/>
          <w:rtl/>
          <w:lang w:val="en-CA"/>
        </w:rPr>
        <w:t xml:space="preserve"> التعسفي. </w:t>
      </w:r>
      <w:r w:rsidRPr="008D1B92">
        <w:rPr>
          <w:rFonts w:hint="cs"/>
          <w:spacing w:val="0"/>
          <w:kern w:val="0"/>
          <w:sz w:val="20"/>
          <w:rtl/>
          <w:lang w:val="en-CA"/>
        </w:rPr>
        <w:t xml:space="preserve">وتبين </w:t>
      </w:r>
      <w:r w:rsidRPr="008D1B92">
        <w:rPr>
          <w:spacing w:val="0"/>
          <w:kern w:val="0"/>
          <w:sz w:val="20"/>
          <w:rtl/>
          <w:lang w:val="en-CA"/>
        </w:rPr>
        <w:t xml:space="preserve">بعض المقالات الصحفية التي قدمها </w:t>
      </w:r>
      <w:r w:rsidRPr="008D1B92">
        <w:rPr>
          <w:rFonts w:hint="cs"/>
          <w:spacing w:val="0"/>
          <w:kern w:val="0"/>
          <w:sz w:val="20"/>
          <w:rtl/>
          <w:lang w:val="en-CA"/>
        </w:rPr>
        <w:t>صاحب الشكوى</w:t>
      </w:r>
      <w:r w:rsidRPr="008D1B92">
        <w:rPr>
          <w:spacing w:val="0"/>
          <w:kern w:val="0"/>
          <w:sz w:val="20"/>
          <w:rtl/>
          <w:lang w:val="en-CA"/>
        </w:rPr>
        <w:t xml:space="preserve"> أن </w:t>
      </w:r>
      <w:r w:rsidRPr="008D1B92">
        <w:rPr>
          <w:rFonts w:hint="cs"/>
          <w:spacing w:val="0"/>
          <w:kern w:val="0"/>
          <w:sz w:val="20"/>
          <w:rtl/>
          <w:lang w:val="en-CA"/>
        </w:rPr>
        <w:t>الاحتجاز</w:t>
      </w:r>
      <w:r w:rsidRPr="008D1B92">
        <w:rPr>
          <w:spacing w:val="0"/>
          <w:kern w:val="0"/>
          <w:sz w:val="20"/>
          <w:rtl/>
          <w:lang w:val="en-CA"/>
        </w:rPr>
        <w:t xml:space="preserve"> التعسفي في مراكز الشرطة موجود وأن ظروف </w:t>
      </w:r>
      <w:r w:rsidRPr="008D1B92">
        <w:rPr>
          <w:rFonts w:hint="cs"/>
          <w:spacing w:val="0"/>
          <w:kern w:val="0"/>
          <w:sz w:val="20"/>
          <w:rtl/>
          <w:lang w:val="en-CA"/>
        </w:rPr>
        <w:t xml:space="preserve">الاحتجاز لا </w:t>
      </w:r>
      <w:r w:rsidRPr="008D1B92">
        <w:rPr>
          <w:spacing w:val="0"/>
          <w:kern w:val="0"/>
          <w:sz w:val="20"/>
          <w:rtl/>
          <w:lang w:val="en-CA"/>
        </w:rPr>
        <w:t xml:space="preserve">إنسانية، </w:t>
      </w:r>
      <w:r w:rsidRPr="008D1B92">
        <w:rPr>
          <w:rFonts w:hint="cs"/>
          <w:spacing w:val="0"/>
          <w:kern w:val="0"/>
          <w:sz w:val="20"/>
          <w:rtl/>
          <w:lang w:val="en-CA"/>
        </w:rPr>
        <w:t>بدون</w:t>
      </w:r>
      <w:r w:rsidRPr="008D1B92">
        <w:rPr>
          <w:spacing w:val="0"/>
          <w:kern w:val="0"/>
          <w:sz w:val="20"/>
          <w:rtl/>
          <w:lang w:val="en-CA"/>
        </w:rPr>
        <w:t xml:space="preserve"> </w:t>
      </w:r>
      <w:r w:rsidRPr="008D1B92">
        <w:rPr>
          <w:rFonts w:hint="cs"/>
          <w:spacing w:val="0"/>
          <w:kern w:val="0"/>
          <w:sz w:val="20"/>
          <w:rtl/>
          <w:lang w:val="en-CA"/>
        </w:rPr>
        <w:t>سبل مناسبة ل</w:t>
      </w:r>
      <w:r w:rsidRPr="008D1B92">
        <w:rPr>
          <w:spacing w:val="0"/>
          <w:kern w:val="0"/>
          <w:sz w:val="20"/>
          <w:rtl/>
          <w:lang w:val="en-CA"/>
        </w:rPr>
        <w:t xml:space="preserve">لحصول على </w:t>
      </w:r>
      <w:r w:rsidRPr="008D1B92">
        <w:rPr>
          <w:rFonts w:hint="cs"/>
          <w:spacing w:val="0"/>
          <w:kern w:val="0"/>
          <w:sz w:val="20"/>
          <w:rtl/>
          <w:lang w:val="en-CA"/>
        </w:rPr>
        <w:t>الماء</w:t>
      </w:r>
      <w:r w:rsidRPr="008D1B92">
        <w:rPr>
          <w:spacing w:val="0"/>
          <w:kern w:val="0"/>
          <w:sz w:val="20"/>
          <w:rtl/>
          <w:lang w:val="en-CA"/>
        </w:rPr>
        <w:t xml:space="preserve"> و</w:t>
      </w:r>
      <w:r w:rsidRPr="008D1B92">
        <w:rPr>
          <w:rFonts w:hint="cs"/>
          <w:spacing w:val="0"/>
          <w:kern w:val="0"/>
          <w:sz w:val="20"/>
          <w:rtl/>
          <w:lang w:val="en-CA"/>
        </w:rPr>
        <w:t>ال</w:t>
      </w:r>
      <w:r w:rsidRPr="008D1B92">
        <w:rPr>
          <w:spacing w:val="0"/>
          <w:kern w:val="0"/>
          <w:sz w:val="20"/>
          <w:rtl/>
          <w:lang w:val="en-CA"/>
        </w:rPr>
        <w:t>غذاء و</w:t>
      </w:r>
      <w:r w:rsidRPr="008D1B92">
        <w:rPr>
          <w:rFonts w:hint="cs"/>
          <w:spacing w:val="0"/>
          <w:kern w:val="0"/>
          <w:sz w:val="20"/>
          <w:rtl/>
          <w:lang w:val="en-CA"/>
        </w:rPr>
        <w:t>الخدمات ال</w:t>
      </w:r>
      <w:r w:rsidRPr="008D1B92">
        <w:rPr>
          <w:spacing w:val="0"/>
          <w:kern w:val="0"/>
          <w:sz w:val="20"/>
          <w:rtl/>
          <w:lang w:val="en-CA"/>
        </w:rPr>
        <w:t>صح</w:t>
      </w:r>
      <w:r w:rsidRPr="008D1B92">
        <w:rPr>
          <w:rFonts w:hint="cs"/>
          <w:spacing w:val="0"/>
          <w:kern w:val="0"/>
          <w:sz w:val="20"/>
          <w:rtl/>
          <w:lang w:val="en-CA"/>
        </w:rPr>
        <w:t>ي</w:t>
      </w:r>
      <w:r w:rsidRPr="008D1B92">
        <w:rPr>
          <w:spacing w:val="0"/>
          <w:kern w:val="0"/>
          <w:sz w:val="20"/>
          <w:rtl/>
          <w:lang w:val="en-CA"/>
        </w:rPr>
        <w:t xml:space="preserve">ة. </w:t>
      </w:r>
      <w:r w:rsidRPr="008D1B92">
        <w:rPr>
          <w:rFonts w:hint="cs"/>
          <w:spacing w:val="0"/>
          <w:kern w:val="0"/>
          <w:sz w:val="20"/>
          <w:rtl/>
          <w:lang w:val="en-CA"/>
        </w:rPr>
        <w:t>و</w:t>
      </w:r>
      <w:r w:rsidRPr="008D1B92">
        <w:rPr>
          <w:spacing w:val="0"/>
          <w:kern w:val="0"/>
          <w:sz w:val="20"/>
          <w:rtl/>
          <w:lang w:val="en-CA"/>
        </w:rPr>
        <w:t xml:space="preserve">في حالة </w:t>
      </w:r>
      <w:r w:rsidRPr="008D1B92">
        <w:rPr>
          <w:rFonts w:hint="cs"/>
          <w:spacing w:val="0"/>
          <w:kern w:val="0"/>
          <w:sz w:val="20"/>
          <w:rtl/>
          <w:lang w:val="en-CA"/>
        </w:rPr>
        <w:t>صاحب الشكوى</w:t>
      </w:r>
      <w:r w:rsidRPr="008D1B92">
        <w:rPr>
          <w:spacing w:val="0"/>
          <w:kern w:val="0"/>
          <w:sz w:val="20"/>
          <w:rtl/>
          <w:lang w:val="en-CA"/>
        </w:rPr>
        <w:t xml:space="preserve">، يمكن </w:t>
      </w:r>
      <w:r w:rsidRPr="008D1B92">
        <w:rPr>
          <w:rFonts w:hint="cs"/>
          <w:spacing w:val="0"/>
          <w:kern w:val="0"/>
          <w:sz w:val="20"/>
          <w:rtl/>
          <w:lang w:val="en-CA"/>
        </w:rPr>
        <w:t xml:space="preserve">لمثل </w:t>
      </w:r>
      <w:r w:rsidRPr="008D1B92">
        <w:rPr>
          <w:spacing w:val="0"/>
          <w:kern w:val="0"/>
          <w:sz w:val="20"/>
          <w:rtl/>
          <w:lang w:val="en-CA"/>
        </w:rPr>
        <w:t xml:space="preserve">هذا </w:t>
      </w:r>
      <w:r w:rsidRPr="008D1B92">
        <w:rPr>
          <w:rFonts w:hint="cs"/>
          <w:spacing w:val="0"/>
          <w:kern w:val="0"/>
          <w:sz w:val="20"/>
          <w:rtl/>
          <w:lang w:val="en-CA"/>
        </w:rPr>
        <w:t>القصور</w:t>
      </w:r>
      <w:r w:rsidRPr="008D1B92">
        <w:rPr>
          <w:spacing w:val="0"/>
          <w:kern w:val="0"/>
          <w:sz w:val="20"/>
          <w:rtl/>
          <w:lang w:val="en-CA"/>
        </w:rPr>
        <w:t xml:space="preserve"> أن </w:t>
      </w:r>
      <w:r w:rsidRPr="008D1B92">
        <w:rPr>
          <w:rFonts w:hint="cs"/>
          <w:spacing w:val="0"/>
          <w:kern w:val="0"/>
          <w:sz w:val="20"/>
          <w:rtl/>
          <w:lang w:val="en-CA"/>
        </w:rPr>
        <w:t>يؤدي إلى وفاته</w:t>
      </w:r>
      <w:r w:rsidRPr="008D1B92">
        <w:rPr>
          <w:spacing w:val="0"/>
          <w:kern w:val="0"/>
          <w:sz w:val="20"/>
          <w:rtl/>
          <w:lang w:val="en-CA"/>
        </w:rPr>
        <w:t xml:space="preserve">. </w:t>
      </w:r>
      <w:r w:rsidRPr="008D1B92">
        <w:rPr>
          <w:rFonts w:hint="cs"/>
          <w:spacing w:val="0"/>
          <w:kern w:val="0"/>
          <w:sz w:val="20"/>
          <w:rtl/>
          <w:lang w:val="en-CA"/>
        </w:rPr>
        <w:t xml:space="preserve">كما أن </w:t>
      </w:r>
      <w:r w:rsidRPr="008D1B92">
        <w:rPr>
          <w:spacing w:val="0"/>
          <w:kern w:val="0"/>
          <w:sz w:val="20"/>
          <w:rtl/>
          <w:lang w:val="en-CA"/>
        </w:rPr>
        <w:t xml:space="preserve">سجون </w:t>
      </w:r>
      <w:r w:rsidRPr="008D1B92">
        <w:rPr>
          <w:rFonts w:hint="cs"/>
          <w:spacing w:val="0"/>
          <w:kern w:val="0"/>
          <w:sz w:val="20"/>
          <w:rtl/>
          <w:lang w:val="en-CA"/>
        </w:rPr>
        <w:t>الجرائ</w:t>
      </w:r>
      <w:r w:rsidRPr="008D1B92">
        <w:rPr>
          <w:rFonts w:hint="eastAsia"/>
          <w:spacing w:val="0"/>
          <w:kern w:val="0"/>
          <w:sz w:val="20"/>
          <w:rtl/>
          <w:lang w:val="en-CA"/>
        </w:rPr>
        <w:t>م</w:t>
      </w:r>
      <w:r w:rsidRPr="008D1B92">
        <w:rPr>
          <w:rFonts w:hint="cs"/>
          <w:spacing w:val="0"/>
          <w:kern w:val="0"/>
          <w:sz w:val="20"/>
          <w:rtl/>
          <w:lang w:val="en-CA"/>
        </w:rPr>
        <w:t xml:space="preserve"> العادية</w:t>
      </w:r>
      <w:r w:rsidRPr="008D1B92">
        <w:rPr>
          <w:spacing w:val="0"/>
          <w:kern w:val="0"/>
          <w:sz w:val="20"/>
          <w:rtl/>
          <w:lang w:val="en-CA"/>
        </w:rPr>
        <w:t xml:space="preserve"> </w:t>
      </w:r>
      <w:r w:rsidRPr="008D1B92">
        <w:rPr>
          <w:rFonts w:hint="cs"/>
          <w:spacing w:val="0"/>
          <w:kern w:val="0"/>
          <w:sz w:val="20"/>
          <w:rtl/>
          <w:lang w:val="en-CA"/>
        </w:rPr>
        <w:t xml:space="preserve">نفسها تعاني من سوء </w:t>
      </w:r>
      <w:r w:rsidRPr="008D1B92">
        <w:rPr>
          <w:spacing w:val="0"/>
          <w:kern w:val="0"/>
          <w:sz w:val="20"/>
          <w:rtl/>
          <w:lang w:val="en-CA"/>
        </w:rPr>
        <w:t>الرعاية الطبية، مما</w:t>
      </w:r>
      <w:r w:rsidR="00DE469F">
        <w:rPr>
          <w:rFonts w:hint="cs"/>
          <w:spacing w:val="0"/>
          <w:kern w:val="0"/>
          <w:sz w:val="20"/>
          <w:rtl/>
          <w:lang w:val="en-CA"/>
        </w:rPr>
        <w:t> </w:t>
      </w:r>
      <w:r w:rsidRPr="008D1B92">
        <w:rPr>
          <w:rFonts w:hint="cs"/>
          <w:spacing w:val="0"/>
          <w:kern w:val="0"/>
          <w:sz w:val="20"/>
          <w:rtl/>
          <w:lang w:val="en-CA"/>
        </w:rPr>
        <w:t>يترتب عليه تعرض أكيد لحياة صاحب الشكوى للخطر</w:t>
      </w:r>
      <w:r w:rsidRPr="008D1B92">
        <w:rPr>
          <w:spacing w:val="0"/>
          <w:kern w:val="0"/>
          <w:sz w:val="20"/>
          <w:rtl/>
          <w:lang w:val="en-CA"/>
        </w:rPr>
        <w:t xml:space="preserve">. </w:t>
      </w:r>
      <w:r w:rsidRPr="008D1B92">
        <w:rPr>
          <w:rFonts w:hint="cs"/>
          <w:spacing w:val="0"/>
          <w:kern w:val="0"/>
          <w:sz w:val="20"/>
          <w:rtl/>
          <w:lang w:val="en-CA"/>
        </w:rPr>
        <w:t>وعليه</w:t>
      </w:r>
      <w:r w:rsidRPr="008D1B92">
        <w:rPr>
          <w:spacing w:val="0"/>
          <w:kern w:val="0"/>
          <w:sz w:val="20"/>
          <w:rtl/>
          <w:lang w:val="en-CA"/>
        </w:rPr>
        <w:t xml:space="preserve">، </w:t>
      </w:r>
      <w:r w:rsidRPr="008D1B92">
        <w:rPr>
          <w:rFonts w:hint="cs"/>
          <w:spacing w:val="0"/>
          <w:kern w:val="0"/>
          <w:sz w:val="20"/>
          <w:rtl/>
          <w:lang w:val="en-CA"/>
        </w:rPr>
        <w:t>يستند صاحب الشكوى إلى مقالات</w:t>
      </w:r>
      <w:r w:rsidRPr="008D1B92">
        <w:rPr>
          <w:spacing w:val="0"/>
          <w:kern w:val="0"/>
          <w:sz w:val="20"/>
          <w:rtl/>
          <w:lang w:val="en-CA"/>
        </w:rPr>
        <w:t xml:space="preserve"> المنظمة غير الحكومية "</w:t>
      </w:r>
      <w:r w:rsidRPr="008D1B92">
        <w:rPr>
          <w:rFonts w:hint="cs"/>
          <w:spacing w:val="0"/>
          <w:kern w:val="0"/>
          <w:sz w:val="20"/>
          <w:rtl/>
          <w:lang w:val="en-CA"/>
        </w:rPr>
        <w:t>ال</w:t>
      </w:r>
      <w:r w:rsidRPr="008D1B92">
        <w:rPr>
          <w:spacing w:val="0"/>
          <w:kern w:val="0"/>
          <w:sz w:val="20"/>
          <w:rtl/>
          <w:lang w:val="en-CA"/>
        </w:rPr>
        <w:t>فرصة البديل</w:t>
      </w:r>
      <w:r w:rsidRPr="008D1B92">
        <w:rPr>
          <w:rFonts w:hint="cs"/>
          <w:spacing w:val="0"/>
          <w:kern w:val="0"/>
          <w:sz w:val="20"/>
          <w:rtl/>
          <w:lang w:val="en-CA"/>
        </w:rPr>
        <w:t>ة</w:t>
      </w:r>
      <w:r w:rsidRPr="008D1B92">
        <w:rPr>
          <w:spacing w:val="0"/>
          <w:kern w:val="0"/>
          <w:sz w:val="20"/>
          <w:rtl/>
          <w:lang w:val="en-CA"/>
        </w:rPr>
        <w:t xml:space="preserve">"، </w:t>
      </w:r>
      <w:r w:rsidRPr="008D1B92">
        <w:rPr>
          <w:rFonts w:hint="cs"/>
          <w:spacing w:val="0"/>
          <w:kern w:val="0"/>
          <w:sz w:val="20"/>
          <w:rtl/>
          <w:lang w:val="en-CA"/>
        </w:rPr>
        <w:t>التي تشير إلى سوء</w:t>
      </w:r>
      <w:r w:rsidRPr="008D1B92">
        <w:rPr>
          <w:spacing w:val="0"/>
          <w:kern w:val="0"/>
          <w:sz w:val="20"/>
          <w:rtl/>
          <w:lang w:val="en-CA"/>
        </w:rPr>
        <w:t xml:space="preserve"> ظروف </w:t>
      </w:r>
      <w:r w:rsidRPr="008D1B92">
        <w:rPr>
          <w:rFonts w:hint="cs"/>
          <w:spacing w:val="0"/>
          <w:kern w:val="0"/>
          <w:sz w:val="20"/>
          <w:rtl/>
          <w:lang w:val="en-CA"/>
        </w:rPr>
        <w:t>الاحتجاز</w:t>
      </w:r>
      <w:r w:rsidRPr="008D1B92">
        <w:rPr>
          <w:spacing w:val="0"/>
          <w:kern w:val="0"/>
          <w:sz w:val="20"/>
          <w:rtl/>
          <w:lang w:val="en-CA"/>
        </w:rPr>
        <w:t xml:space="preserve"> في هايتي. </w:t>
      </w:r>
      <w:r w:rsidRPr="008D1B92">
        <w:rPr>
          <w:rFonts w:hint="cs"/>
          <w:spacing w:val="0"/>
          <w:kern w:val="0"/>
          <w:sz w:val="20"/>
          <w:rtl/>
          <w:lang w:val="en-CA"/>
        </w:rPr>
        <w:t xml:space="preserve">ويرى صاحب الشكوى أن هناك خطراً على حياته أيضاً </w:t>
      </w:r>
      <w:r w:rsidRPr="008D1B92">
        <w:rPr>
          <w:spacing w:val="0"/>
          <w:kern w:val="0"/>
          <w:sz w:val="20"/>
          <w:rtl/>
          <w:lang w:val="en-CA"/>
        </w:rPr>
        <w:t xml:space="preserve">في أماكن أخرى خارج السجن بسبب عدم وجود مرافق طبية مناسبة لاستبدال جهاز تنظيم ضربات القلب </w:t>
      </w:r>
      <w:r w:rsidRPr="008D1B92">
        <w:rPr>
          <w:rFonts w:hint="cs"/>
          <w:spacing w:val="0"/>
          <w:kern w:val="0"/>
          <w:sz w:val="20"/>
          <w:rtl/>
          <w:lang w:val="en-CA"/>
        </w:rPr>
        <w:t>الخاص به</w:t>
      </w:r>
      <w:r w:rsidRPr="008D1B92">
        <w:rPr>
          <w:spacing w:val="0"/>
          <w:kern w:val="0"/>
          <w:sz w:val="20"/>
          <w:rtl/>
          <w:lang w:val="en-CA"/>
        </w:rPr>
        <w:t xml:space="preserve"> في هايتي.</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5-4</w:t>
      </w:r>
      <w:r w:rsidRPr="008D1B92">
        <w:rPr>
          <w:rFonts w:hint="cs"/>
          <w:spacing w:val="0"/>
          <w:kern w:val="0"/>
          <w:sz w:val="20"/>
          <w:rtl/>
          <w:lang w:val="en-CA"/>
        </w:rPr>
        <w:tab/>
        <w:t>و</w:t>
      </w:r>
      <w:r w:rsidRPr="008D1B92">
        <w:rPr>
          <w:spacing w:val="0"/>
          <w:kern w:val="0"/>
          <w:sz w:val="20"/>
          <w:rtl/>
          <w:lang w:val="en-CA"/>
        </w:rPr>
        <w:t xml:space="preserve">يشير </w:t>
      </w:r>
      <w:r w:rsidRPr="008D1B92">
        <w:rPr>
          <w:rFonts w:hint="cs"/>
          <w:spacing w:val="0"/>
          <w:kern w:val="0"/>
          <w:sz w:val="20"/>
          <w:rtl/>
          <w:lang w:val="en-CA"/>
        </w:rPr>
        <w:t>صاحب الشكوى</w:t>
      </w:r>
      <w:r w:rsidRPr="008D1B92">
        <w:rPr>
          <w:spacing w:val="0"/>
          <w:kern w:val="0"/>
          <w:sz w:val="20"/>
          <w:rtl/>
          <w:lang w:val="en-CA"/>
        </w:rPr>
        <w:t xml:space="preserve"> أيضا</w:t>
      </w:r>
      <w:r w:rsidRPr="008D1B92">
        <w:rPr>
          <w:rFonts w:hint="cs"/>
          <w:spacing w:val="0"/>
          <w:kern w:val="0"/>
          <w:sz w:val="20"/>
          <w:rtl/>
          <w:lang w:val="en-CA"/>
        </w:rPr>
        <w:t>ً</w:t>
      </w:r>
      <w:r w:rsidRPr="008D1B92">
        <w:rPr>
          <w:spacing w:val="0"/>
          <w:kern w:val="0"/>
          <w:sz w:val="20"/>
          <w:rtl/>
          <w:lang w:val="en-CA"/>
        </w:rPr>
        <w:t xml:space="preserve"> إلى حالة فردية لشخص</w:t>
      </w:r>
      <w:r w:rsidRPr="008D1B92">
        <w:rPr>
          <w:rFonts w:hint="cs"/>
          <w:spacing w:val="0"/>
          <w:kern w:val="0"/>
          <w:sz w:val="20"/>
          <w:rtl/>
          <w:lang w:val="en-CA"/>
        </w:rPr>
        <w:t xml:space="preserve"> آخر</w:t>
      </w:r>
      <w:r w:rsidRPr="008D1B92">
        <w:rPr>
          <w:spacing w:val="0"/>
          <w:kern w:val="0"/>
          <w:sz w:val="20"/>
          <w:rtl/>
          <w:lang w:val="en-CA"/>
        </w:rPr>
        <w:t xml:space="preserve"> </w:t>
      </w:r>
      <w:r w:rsidRPr="008D1B92">
        <w:rPr>
          <w:rFonts w:hint="cs"/>
          <w:spacing w:val="0"/>
          <w:kern w:val="0"/>
          <w:sz w:val="20"/>
          <w:rtl/>
          <w:lang w:val="en-CA"/>
        </w:rPr>
        <w:t>تعرض لخطر الإعادة إلى</w:t>
      </w:r>
      <w:r w:rsidRPr="008D1B92">
        <w:rPr>
          <w:spacing w:val="0"/>
          <w:kern w:val="0"/>
          <w:sz w:val="20"/>
          <w:rtl/>
          <w:lang w:val="en-CA"/>
        </w:rPr>
        <w:t xml:space="preserve"> هايتي </w:t>
      </w:r>
      <w:r w:rsidRPr="008D1B92">
        <w:rPr>
          <w:rFonts w:hint="cs"/>
          <w:spacing w:val="0"/>
          <w:kern w:val="0"/>
          <w:sz w:val="20"/>
          <w:rtl/>
          <w:lang w:val="en-CA"/>
        </w:rPr>
        <w:t xml:space="preserve">ولديه </w:t>
      </w:r>
      <w:r w:rsidRPr="008D1B92">
        <w:rPr>
          <w:spacing w:val="0"/>
          <w:kern w:val="0"/>
          <w:sz w:val="20"/>
          <w:rtl/>
          <w:lang w:val="en-CA"/>
        </w:rPr>
        <w:t>أيضا</w:t>
      </w:r>
      <w:r w:rsidRPr="008D1B92">
        <w:rPr>
          <w:rFonts w:hint="cs"/>
          <w:spacing w:val="0"/>
          <w:kern w:val="0"/>
          <w:sz w:val="20"/>
          <w:rtl/>
          <w:lang w:val="en-CA"/>
        </w:rPr>
        <w:t>ً</w:t>
      </w:r>
      <w:r w:rsidRPr="008D1B92">
        <w:rPr>
          <w:spacing w:val="0"/>
          <w:kern w:val="0"/>
          <w:sz w:val="20"/>
          <w:rtl/>
          <w:lang w:val="en-CA"/>
        </w:rPr>
        <w:t xml:space="preserve"> سوابق جنائية في كندا. </w:t>
      </w:r>
      <w:r w:rsidRPr="008D1B92">
        <w:rPr>
          <w:rFonts w:hint="cs"/>
          <w:spacing w:val="0"/>
          <w:kern w:val="0"/>
          <w:sz w:val="20"/>
          <w:rtl/>
          <w:lang w:val="en-CA"/>
        </w:rPr>
        <w:t xml:space="preserve">ويرى صاحب الشكوى أن قاضي </w:t>
      </w:r>
      <w:r w:rsidRPr="008D1B92">
        <w:rPr>
          <w:spacing w:val="0"/>
          <w:kern w:val="0"/>
          <w:sz w:val="20"/>
          <w:rtl/>
          <w:lang w:val="en-CA"/>
        </w:rPr>
        <w:t>المحكمة الاتحادية أعط</w:t>
      </w:r>
      <w:r w:rsidRPr="008D1B92">
        <w:rPr>
          <w:rFonts w:hint="cs"/>
          <w:spacing w:val="0"/>
          <w:kern w:val="0"/>
          <w:sz w:val="20"/>
          <w:rtl/>
          <w:lang w:val="en-CA"/>
        </w:rPr>
        <w:t>ى</w:t>
      </w:r>
      <w:r w:rsidRPr="008D1B92">
        <w:rPr>
          <w:spacing w:val="0"/>
          <w:kern w:val="0"/>
          <w:sz w:val="20"/>
          <w:rtl/>
          <w:lang w:val="en-CA"/>
        </w:rPr>
        <w:t xml:space="preserve"> وثائق </w:t>
      </w:r>
      <w:r w:rsidRPr="008D1B92">
        <w:rPr>
          <w:rFonts w:hint="cs"/>
          <w:spacing w:val="0"/>
          <w:kern w:val="0"/>
          <w:sz w:val="20"/>
          <w:rtl/>
          <w:lang w:val="en-CA"/>
        </w:rPr>
        <w:t>ال</w:t>
      </w:r>
      <w:r w:rsidRPr="008D1B92">
        <w:rPr>
          <w:spacing w:val="0"/>
          <w:kern w:val="0"/>
          <w:sz w:val="20"/>
          <w:rtl/>
          <w:lang w:val="en-CA"/>
        </w:rPr>
        <w:t>من</w:t>
      </w:r>
      <w:r w:rsidRPr="008D1B92">
        <w:rPr>
          <w:rFonts w:hint="cs"/>
          <w:spacing w:val="0"/>
          <w:kern w:val="0"/>
          <w:sz w:val="20"/>
          <w:rtl/>
          <w:lang w:val="en-CA"/>
        </w:rPr>
        <w:t>ظمة</w:t>
      </w:r>
      <w:r w:rsidRPr="008D1B92">
        <w:rPr>
          <w:spacing w:val="0"/>
          <w:kern w:val="0"/>
          <w:sz w:val="20"/>
          <w:rtl/>
          <w:lang w:val="en-CA"/>
        </w:rPr>
        <w:t xml:space="preserve"> غير الحكومية "الفرصة البديلة" </w:t>
      </w:r>
      <w:r w:rsidRPr="008D1B92">
        <w:rPr>
          <w:rFonts w:hint="cs"/>
          <w:spacing w:val="0"/>
          <w:kern w:val="0"/>
          <w:sz w:val="20"/>
          <w:rtl/>
          <w:lang w:val="en-CA"/>
        </w:rPr>
        <w:t>المقدمة في تلك القضية وزناً أكبر مما أعطاه لتأكيدات الموظف ال</w:t>
      </w:r>
      <w:r w:rsidRPr="008D1B92">
        <w:rPr>
          <w:spacing w:val="0"/>
          <w:kern w:val="0"/>
          <w:sz w:val="20"/>
          <w:rtl/>
          <w:lang w:val="en-CA"/>
        </w:rPr>
        <w:t xml:space="preserve">حكومي الذي </w:t>
      </w:r>
      <w:r w:rsidRPr="008D1B92">
        <w:rPr>
          <w:rFonts w:hint="cs"/>
          <w:spacing w:val="0"/>
          <w:kern w:val="0"/>
          <w:sz w:val="20"/>
          <w:rtl/>
          <w:lang w:val="en-CA"/>
        </w:rPr>
        <w:t>يرى أن الأشخاص الذين يرحلون إلى هايتي لا يتعرضون للاحتجاز ولا للتعذيب</w:t>
      </w:r>
      <w:r w:rsidRPr="008D1B92">
        <w:rPr>
          <w:rFonts w:hint="cs"/>
          <w:spacing w:val="0"/>
          <w:kern w:val="0"/>
          <w:sz w:val="20"/>
          <w:szCs w:val="28"/>
          <w:vertAlign w:val="superscript"/>
          <w:rtl/>
          <w:lang w:val="en-CA"/>
        </w:rPr>
        <w:t>(</w:t>
      </w:r>
      <w:r w:rsidRPr="008D1B92">
        <w:rPr>
          <w:rStyle w:val="FootnoteReference"/>
          <w:spacing w:val="0"/>
          <w:sz w:val="20"/>
          <w:rtl/>
          <w:lang w:val="en-CA"/>
        </w:rPr>
        <w:footnoteReference w:id="235"/>
      </w:r>
      <w:r w:rsidRPr="008D1B92">
        <w:rPr>
          <w:rFonts w:hint="cs"/>
          <w:spacing w:val="0"/>
          <w:kern w:val="0"/>
          <w:sz w:val="20"/>
          <w:szCs w:val="28"/>
          <w:vertAlign w:val="superscript"/>
          <w:rtl/>
          <w:lang w:val="en-CA"/>
        </w:rPr>
        <w:t>)</w:t>
      </w:r>
      <w:r w:rsidRPr="008D1B92">
        <w:rPr>
          <w:rFonts w:hint="cs"/>
          <w:spacing w:val="0"/>
          <w:kern w:val="0"/>
          <w:sz w:val="20"/>
          <w:rtl/>
          <w:lang w:val="en-CA"/>
        </w:rPr>
        <w:t>. و</w:t>
      </w:r>
      <w:r w:rsidRPr="008D1B92">
        <w:rPr>
          <w:spacing w:val="0"/>
          <w:kern w:val="0"/>
          <w:sz w:val="20"/>
          <w:rtl/>
          <w:lang w:val="en-CA"/>
        </w:rPr>
        <w:t xml:space="preserve">في هذه </w:t>
      </w:r>
      <w:r w:rsidRPr="008D1B92">
        <w:rPr>
          <w:rFonts w:hint="cs"/>
          <w:spacing w:val="0"/>
          <w:kern w:val="0"/>
          <w:sz w:val="20"/>
          <w:rtl/>
          <w:lang w:val="en-CA"/>
        </w:rPr>
        <w:t>القضية</w:t>
      </w:r>
      <w:r w:rsidRPr="008D1B92">
        <w:rPr>
          <w:spacing w:val="0"/>
          <w:kern w:val="0"/>
          <w:sz w:val="20"/>
          <w:rtl/>
          <w:lang w:val="en-CA"/>
        </w:rPr>
        <w:t>، ينبغي للجنة أيضا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إعطاء </w:t>
      </w:r>
      <w:r w:rsidRPr="008D1B92">
        <w:rPr>
          <w:spacing w:val="0"/>
          <w:kern w:val="0"/>
          <w:sz w:val="20"/>
          <w:rtl/>
          <w:lang w:val="en-CA"/>
        </w:rPr>
        <w:t>تحليل</w:t>
      </w:r>
      <w:r w:rsidRPr="008D1B92">
        <w:rPr>
          <w:rFonts w:hint="cs"/>
          <w:spacing w:val="0"/>
          <w:kern w:val="0"/>
          <w:sz w:val="20"/>
          <w:rtl/>
          <w:lang w:val="en-CA"/>
        </w:rPr>
        <w:t>ات</w:t>
      </w:r>
      <w:r w:rsidRPr="008D1B92">
        <w:rPr>
          <w:spacing w:val="0"/>
          <w:kern w:val="0"/>
          <w:sz w:val="20"/>
          <w:rtl/>
          <w:lang w:val="en-CA"/>
        </w:rPr>
        <w:t xml:space="preserve"> منظمة </w:t>
      </w:r>
      <w:r w:rsidRPr="008D1B92">
        <w:rPr>
          <w:rFonts w:hint="cs"/>
          <w:spacing w:val="0"/>
          <w:kern w:val="0"/>
          <w:sz w:val="20"/>
          <w:rtl/>
          <w:lang w:val="en-CA"/>
        </w:rPr>
        <w:t xml:space="preserve">نزيهة مثل </w:t>
      </w:r>
      <w:r w:rsidRPr="008D1B92">
        <w:rPr>
          <w:spacing w:val="0"/>
          <w:kern w:val="0"/>
          <w:sz w:val="20"/>
          <w:rtl/>
          <w:lang w:val="en-CA"/>
        </w:rPr>
        <w:t>"</w:t>
      </w:r>
      <w:r w:rsidRPr="008D1B92">
        <w:rPr>
          <w:rFonts w:hint="cs"/>
          <w:spacing w:val="0"/>
          <w:kern w:val="0"/>
          <w:sz w:val="20"/>
          <w:rtl/>
          <w:lang w:val="en-CA"/>
        </w:rPr>
        <w:t>ال</w:t>
      </w:r>
      <w:r w:rsidRPr="008D1B92">
        <w:rPr>
          <w:spacing w:val="0"/>
          <w:kern w:val="0"/>
          <w:sz w:val="20"/>
          <w:rtl/>
          <w:lang w:val="en-CA"/>
        </w:rPr>
        <w:t xml:space="preserve">فرصة </w:t>
      </w:r>
      <w:r w:rsidRPr="008D1B92">
        <w:rPr>
          <w:rFonts w:hint="cs"/>
          <w:spacing w:val="0"/>
          <w:kern w:val="0"/>
          <w:sz w:val="20"/>
          <w:rtl/>
          <w:lang w:val="en-CA"/>
        </w:rPr>
        <w:t>ال</w:t>
      </w:r>
      <w:r w:rsidRPr="008D1B92">
        <w:rPr>
          <w:spacing w:val="0"/>
          <w:kern w:val="0"/>
          <w:sz w:val="20"/>
          <w:rtl/>
          <w:lang w:val="en-CA"/>
        </w:rPr>
        <w:t>بديل</w:t>
      </w:r>
      <w:r w:rsidRPr="008D1B92">
        <w:rPr>
          <w:rFonts w:hint="cs"/>
          <w:spacing w:val="0"/>
          <w:kern w:val="0"/>
          <w:sz w:val="20"/>
          <w:rtl/>
          <w:lang w:val="en-CA"/>
        </w:rPr>
        <w:t>ة</w:t>
      </w:r>
      <w:r w:rsidRPr="008D1B92">
        <w:rPr>
          <w:spacing w:val="0"/>
          <w:kern w:val="0"/>
          <w:sz w:val="20"/>
          <w:rtl/>
          <w:lang w:val="en-CA"/>
        </w:rPr>
        <w:t xml:space="preserve">" </w:t>
      </w:r>
      <w:r w:rsidRPr="008D1B92">
        <w:rPr>
          <w:rFonts w:hint="cs"/>
          <w:spacing w:val="0"/>
          <w:kern w:val="0"/>
          <w:sz w:val="20"/>
          <w:rtl/>
          <w:lang w:val="en-CA"/>
        </w:rPr>
        <w:t>وزناً أكبر من ال</w:t>
      </w:r>
      <w:r w:rsidRPr="008D1B92">
        <w:rPr>
          <w:spacing w:val="0"/>
          <w:kern w:val="0"/>
          <w:sz w:val="20"/>
          <w:rtl/>
          <w:lang w:val="en-CA"/>
        </w:rPr>
        <w:t xml:space="preserve">تأكيد </w:t>
      </w:r>
      <w:r w:rsidRPr="008D1B92">
        <w:rPr>
          <w:rFonts w:hint="cs"/>
          <w:spacing w:val="0"/>
          <w:kern w:val="0"/>
          <w:sz w:val="20"/>
          <w:rtl/>
          <w:lang w:val="en-CA"/>
        </w:rPr>
        <w:t xml:space="preserve">الوارد في </w:t>
      </w:r>
      <w:r w:rsidRPr="008D1B92">
        <w:rPr>
          <w:spacing w:val="0"/>
          <w:kern w:val="0"/>
          <w:sz w:val="20"/>
          <w:rtl/>
          <w:lang w:val="en-CA"/>
        </w:rPr>
        <w:t>مقال صحف</w:t>
      </w:r>
      <w:r w:rsidRPr="008D1B92">
        <w:rPr>
          <w:rFonts w:hint="cs"/>
          <w:spacing w:val="0"/>
          <w:kern w:val="0"/>
          <w:sz w:val="20"/>
          <w:rtl/>
          <w:lang w:val="en-CA"/>
        </w:rPr>
        <w:t>ي يفيد بأ</w:t>
      </w:r>
      <w:r w:rsidRPr="008D1B92">
        <w:rPr>
          <w:spacing w:val="0"/>
          <w:kern w:val="0"/>
          <w:sz w:val="20"/>
          <w:rtl/>
          <w:lang w:val="en-CA"/>
        </w:rPr>
        <w:t xml:space="preserve">ن سياسة </w:t>
      </w:r>
      <w:r w:rsidRPr="008D1B92">
        <w:rPr>
          <w:rFonts w:hint="cs"/>
          <w:spacing w:val="0"/>
          <w:kern w:val="0"/>
          <w:sz w:val="20"/>
          <w:rtl/>
          <w:lang w:val="en-CA"/>
        </w:rPr>
        <w:t>الاحتجاز الجديدة</w:t>
      </w:r>
      <w:r w:rsidRPr="008D1B92">
        <w:rPr>
          <w:spacing w:val="0"/>
          <w:kern w:val="0"/>
          <w:sz w:val="20"/>
          <w:rtl/>
          <w:lang w:val="en-CA"/>
        </w:rPr>
        <w:t xml:space="preserve"> التي تلت قرار المحكمة </w:t>
      </w:r>
      <w:r w:rsidRPr="008D1B92">
        <w:rPr>
          <w:rFonts w:hint="cs"/>
          <w:spacing w:val="0"/>
          <w:kern w:val="0"/>
          <w:sz w:val="20"/>
          <w:rtl/>
          <w:lang w:val="en-CA"/>
        </w:rPr>
        <w:t>ال</w:t>
      </w:r>
      <w:r w:rsidRPr="008D1B92">
        <w:rPr>
          <w:spacing w:val="0"/>
          <w:kern w:val="0"/>
          <w:sz w:val="20"/>
          <w:rtl/>
          <w:lang w:val="en-CA"/>
        </w:rPr>
        <w:t>هايتي</w:t>
      </w:r>
      <w:r w:rsidRPr="008D1B92">
        <w:rPr>
          <w:rFonts w:hint="cs"/>
          <w:spacing w:val="0"/>
          <w:kern w:val="0"/>
          <w:sz w:val="20"/>
          <w:rtl/>
          <w:lang w:val="en-CA"/>
        </w:rPr>
        <w:t>ة</w:t>
      </w:r>
      <w:r w:rsidRPr="008D1B92">
        <w:rPr>
          <w:spacing w:val="0"/>
          <w:kern w:val="0"/>
          <w:sz w:val="20"/>
          <w:rtl/>
          <w:lang w:val="en-CA"/>
        </w:rPr>
        <w:t xml:space="preserve"> </w:t>
      </w:r>
      <w:r w:rsidRPr="008D1B92">
        <w:rPr>
          <w:rFonts w:hint="cs"/>
          <w:spacing w:val="0"/>
          <w:kern w:val="0"/>
          <w:sz w:val="20"/>
          <w:rtl/>
          <w:lang w:val="en-CA"/>
        </w:rPr>
        <w:t xml:space="preserve">في </w:t>
      </w:r>
      <w:r w:rsidRPr="008D1B92">
        <w:rPr>
          <w:spacing w:val="0"/>
          <w:kern w:val="0"/>
          <w:sz w:val="20"/>
          <w:rtl/>
          <w:lang w:val="en-CA"/>
        </w:rPr>
        <w:t xml:space="preserve">11 </w:t>
      </w:r>
      <w:r w:rsidRPr="008D1B92">
        <w:rPr>
          <w:rFonts w:hint="cs"/>
          <w:spacing w:val="0"/>
          <w:kern w:val="0"/>
          <w:sz w:val="20"/>
          <w:rtl/>
          <w:lang w:val="en-CA"/>
        </w:rPr>
        <w:t>أيلول/</w:t>
      </w:r>
      <w:r w:rsidRPr="008D1B92">
        <w:rPr>
          <w:spacing w:val="0"/>
          <w:kern w:val="0"/>
          <w:sz w:val="20"/>
          <w:rtl/>
          <w:lang w:val="en-CA"/>
        </w:rPr>
        <w:t>سبتمبر 2006</w:t>
      </w:r>
      <w:r w:rsidRPr="008D1B92">
        <w:rPr>
          <w:rFonts w:hint="cs"/>
          <w:spacing w:val="0"/>
          <w:kern w:val="0"/>
          <w:sz w:val="20"/>
          <w:rtl/>
          <w:lang w:val="en-CA"/>
        </w:rPr>
        <w:t xml:space="preserve"> أنهت خطر الاحتجاز </w:t>
      </w:r>
      <w:r w:rsidRPr="008D1B92">
        <w:rPr>
          <w:spacing w:val="0"/>
          <w:kern w:val="0"/>
          <w:sz w:val="20"/>
          <w:rtl/>
          <w:lang w:val="en-CA"/>
        </w:rPr>
        <w:t xml:space="preserve">التعسفي في هايتي. </w:t>
      </w:r>
      <w:r w:rsidRPr="008D1B92">
        <w:rPr>
          <w:rFonts w:hint="cs"/>
          <w:spacing w:val="0"/>
          <w:kern w:val="0"/>
          <w:sz w:val="20"/>
          <w:rtl/>
          <w:lang w:val="en-CA"/>
        </w:rPr>
        <w:t xml:space="preserve">ويكرر صاحب الشكوى الحجة التي تفيد بأن من </w:t>
      </w:r>
      <w:r w:rsidRPr="008D1B92">
        <w:rPr>
          <w:spacing w:val="0"/>
          <w:kern w:val="0"/>
          <w:sz w:val="20"/>
          <w:rtl/>
          <w:lang w:val="en-CA"/>
        </w:rPr>
        <w:t xml:space="preserve">السابق </w:t>
      </w:r>
      <w:r w:rsidRPr="008D1B92">
        <w:rPr>
          <w:rFonts w:hint="cs"/>
          <w:spacing w:val="0"/>
          <w:kern w:val="0"/>
          <w:sz w:val="20"/>
          <w:rtl/>
          <w:lang w:val="en-CA"/>
        </w:rPr>
        <w:t xml:space="preserve">لأوانه </w:t>
      </w:r>
      <w:r w:rsidRPr="008D1B92">
        <w:rPr>
          <w:spacing w:val="0"/>
          <w:kern w:val="0"/>
          <w:sz w:val="20"/>
          <w:rtl/>
          <w:lang w:val="en-CA"/>
        </w:rPr>
        <w:t xml:space="preserve">تحديد ما إذا كانت التدابير التي اتخذتها السلطات </w:t>
      </w:r>
      <w:r w:rsidRPr="008D1B92">
        <w:rPr>
          <w:rFonts w:hint="cs"/>
          <w:spacing w:val="0"/>
          <w:kern w:val="0"/>
          <w:sz w:val="20"/>
          <w:rtl/>
          <w:lang w:val="en-CA"/>
        </w:rPr>
        <w:t>ال</w:t>
      </w:r>
      <w:r w:rsidRPr="008D1B92">
        <w:rPr>
          <w:spacing w:val="0"/>
          <w:kern w:val="0"/>
          <w:sz w:val="20"/>
          <w:rtl/>
          <w:lang w:val="en-CA"/>
        </w:rPr>
        <w:t>هايتي</w:t>
      </w:r>
      <w:r w:rsidRPr="008D1B92">
        <w:rPr>
          <w:rFonts w:hint="cs"/>
          <w:spacing w:val="0"/>
          <w:kern w:val="0"/>
          <w:sz w:val="20"/>
          <w:rtl/>
          <w:lang w:val="en-CA"/>
        </w:rPr>
        <w:t>ة</w:t>
      </w:r>
      <w:r w:rsidRPr="008D1B92">
        <w:rPr>
          <w:spacing w:val="0"/>
          <w:kern w:val="0"/>
          <w:sz w:val="20"/>
          <w:rtl/>
          <w:lang w:val="en-CA"/>
        </w:rPr>
        <w:t xml:space="preserve"> في هذا المجال فعالة.</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5-5</w:t>
      </w:r>
      <w:r w:rsidRPr="008D1B92">
        <w:rPr>
          <w:rFonts w:hint="cs"/>
          <w:spacing w:val="0"/>
          <w:kern w:val="0"/>
          <w:sz w:val="20"/>
          <w:rtl/>
          <w:lang w:val="en-CA"/>
        </w:rPr>
        <w:tab/>
      </w:r>
      <w:r w:rsidRPr="008D1B92">
        <w:rPr>
          <w:spacing w:val="0"/>
          <w:kern w:val="0"/>
          <w:sz w:val="20"/>
          <w:rtl/>
          <w:lang w:val="en-CA"/>
        </w:rPr>
        <w:t xml:space="preserve">وفيما يتعلق </w:t>
      </w:r>
      <w:r w:rsidRPr="008D1B92">
        <w:rPr>
          <w:rFonts w:hint="cs"/>
          <w:spacing w:val="0"/>
          <w:kern w:val="0"/>
          <w:sz w:val="20"/>
          <w:rtl/>
          <w:lang w:val="en-CA"/>
        </w:rPr>
        <w:t>بال</w:t>
      </w:r>
      <w:r w:rsidRPr="008D1B92">
        <w:rPr>
          <w:spacing w:val="0"/>
          <w:kern w:val="0"/>
          <w:sz w:val="20"/>
          <w:rtl/>
          <w:lang w:val="en-CA"/>
        </w:rPr>
        <w:t xml:space="preserve">إحصاءات التي قدمتها الدولة الطرف عن عدد </w:t>
      </w:r>
      <w:r w:rsidRPr="008D1B92">
        <w:rPr>
          <w:rFonts w:hint="cs"/>
          <w:spacing w:val="0"/>
          <w:kern w:val="0"/>
          <w:sz w:val="20"/>
          <w:rtl/>
          <w:lang w:val="en-CA"/>
        </w:rPr>
        <w:t>العائدين الذين احتجزوا</w:t>
      </w:r>
      <w:r w:rsidRPr="008D1B92">
        <w:rPr>
          <w:spacing w:val="0"/>
          <w:kern w:val="0"/>
          <w:sz w:val="20"/>
          <w:rtl/>
          <w:lang w:val="en-CA"/>
        </w:rPr>
        <w:t xml:space="preserve">، </w:t>
      </w:r>
      <w:r w:rsidRPr="008D1B92">
        <w:rPr>
          <w:rFonts w:hint="cs"/>
          <w:spacing w:val="0"/>
          <w:kern w:val="0"/>
          <w:sz w:val="20"/>
          <w:rtl/>
          <w:lang w:val="en-CA"/>
        </w:rPr>
        <w:t>يرى صاحب الشكوى</w:t>
      </w:r>
      <w:r w:rsidRPr="008D1B92">
        <w:rPr>
          <w:spacing w:val="0"/>
          <w:kern w:val="0"/>
          <w:sz w:val="20"/>
          <w:rtl/>
          <w:lang w:val="en-CA"/>
        </w:rPr>
        <w:t xml:space="preserve"> أن</w:t>
      </w:r>
      <w:r w:rsidRPr="008D1B92">
        <w:rPr>
          <w:rFonts w:hint="cs"/>
          <w:spacing w:val="0"/>
          <w:kern w:val="0"/>
          <w:sz w:val="20"/>
          <w:rtl/>
          <w:lang w:val="en-CA"/>
        </w:rPr>
        <w:t xml:space="preserve">ه حتى إذا احتجز </w:t>
      </w:r>
      <w:r w:rsidRPr="008D1B92">
        <w:rPr>
          <w:spacing w:val="0"/>
          <w:kern w:val="0"/>
          <w:sz w:val="20"/>
          <w:rtl/>
          <w:lang w:val="en-CA"/>
        </w:rPr>
        <w:t xml:space="preserve">شخص واحد، </w:t>
      </w:r>
      <w:r w:rsidRPr="008D1B92">
        <w:rPr>
          <w:rFonts w:hint="cs"/>
          <w:spacing w:val="0"/>
          <w:kern w:val="0"/>
          <w:sz w:val="20"/>
          <w:rtl/>
          <w:lang w:val="en-CA"/>
        </w:rPr>
        <w:t>فإن الخطر يظل</w:t>
      </w:r>
      <w:r w:rsidRPr="008D1B92">
        <w:rPr>
          <w:spacing w:val="0"/>
          <w:kern w:val="0"/>
          <w:sz w:val="20"/>
          <w:rtl/>
          <w:lang w:val="en-CA"/>
        </w:rPr>
        <w:t xml:space="preserve"> حقيقي</w:t>
      </w:r>
      <w:r w:rsidRPr="008D1B92">
        <w:rPr>
          <w:rFonts w:hint="cs"/>
          <w:spacing w:val="0"/>
          <w:kern w:val="0"/>
          <w:sz w:val="20"/>
          <w:rtl/>
          <w:lang w:val="en-CA"/>
        </w:rPr>
        <w:t>اً</w:t>
      </w:r>
      <w:r w:rsidRPr="008D1B92">
        <w:rPr>
          <w:spacing w:val="0"/>
          <w:kern w:val="0"/>
          <w:sz w:val="20"/>
          <w:rtl/>
          <w:lang w:val="en-CA"/>
        </w:rPr>
        <w:t xml:space="preserve">. </w:t>
      </w:r>
      <w:r w:rsidRPr="008D1B92">
        <w:rPr>
          <w:rFonts w:hint="cs"/>
          <w:spacing w:val="0"/>
          <w:kern w:val="0"/>
          <w:sz w:val="20"/>
          <w:rtl/>
          <w:lang w:val="en-CA"/>
        </w:rPr>
        <w:t>ويتفق صاحب الشكوى مع</w:t>
      </w:r>
      <w:r w:rsidRPr="008D1B92">
        <w:rPr>
          <w:spacing w:val="0"/>
          <w:kern w:val="0"/>
          <w:sz w:val="20"/>
          <w:rtl/>
          <w:lang w:val="en-CA"/>
        </w:rPr>
        <w:t xml:space="preserve"> موقف الدولة الطرف </w:t>
      </w:r>
      <w:r w:rsidRPr="008D1B92">
        <w:rPr>
          <w:rFonts w:hint="cs"/>
          <w:spacing w:val="0"/>
          <w:kern w:val="0"/>
          <w:sz w:val="20"/>
          <w:rtl/>
          <w:lang w:val="en-CA"/>
        </w:rPr>
        <w:t xml:space="preserve">الذي يفيد </w:t>
      </w:r>
      <w:r w:rsidRPr="008D1B92">
        <w:rPr>
          <w:spacing w:val="0"/>
          <w:kern w:val="0"/>
          <w:sz w:val="20"/>
          <w:rtl/>
          <w:lang w:val="en-CA"/>
        </w:rPr>
        <w:t xml:space="preserve">بأن عملية </w:t>
      </w:r>
      <w:r w:rsidRPr="008D1B92">
        <w:rPr>
          <w:rFonts w:hint="cs"/>
          <w:spacing w:val="0"/>
          <w:kern w:val="0"/>
          <w:sz w:val="20"/>
          <w:rtl/>
          <w:lang w:val="en-CA"/>
        </w:rPr>
        <w:t>توقيف أو احتجاز</w:t>
      </w:r>
      <w:r w:rsidRPr="008D1B92">
        <w:rPr>
          <w:spacing w:val="0"/>
          <w:kern w:val="0"/>
          <w:sz w:val="20"/>
          <w:rtl/>
          <w:lang w:val="en-CA"/>
        </w:rPr>
        <w:t xml:space="preserve"> واحدة لا </w:t>
      </w:r>
      <w:r w:rsidRPr="008D1B92">
        <w:rPr>
          <w:rFonts w:hint="cs"/>
          <w:spacing w:val="0"/>
          <w:kern w:val="0"/>
          <w:sz w:val="20"/>
          <w:rtl/>
          <w:lang w:val="en-CA"/>
        </w:rPr>
        <w:t>ت</w:t>
      </w:r>
      <w:r w:rsidRPr="008D1B92">
        <w:rPr>
          <w:spacing w:val="0"/>
          <w:kern w:val="0"/>
          <w:sz w:val="20"/>
          <w:rtl/>
          <w:lang w:val="en-CA"/>
        </w:rPr>
        <w:t>شكل تعذيبا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غير أن الاحتجاز </w:t>
      </w:r>
      <w:r w:rsidRPr="008D1B92">
        <w:rPr>
          <w:spacing w:val="0"/>
          <w:kern w:val="0"/>
          <w:sz w:val="20"/>
          <w:rtl/>
          <w:lang w:val="en-CA"/>
        </w:rPr>
        <w:t>في ظروف مهينة و</w:t>
      </w:r>
      <w:r w:rsidRPr="008D1B92">
        <w:rPr>
          <w:rFonts w:hint="cs"/>
          <w:spacing w:val="0"/>
          <w:kern w:val="0"/>
          <w:sz w:val="20"/>
          <w:rtl/>
          <w:lang w:val="en-CA"/>
        </w:rPr>
        <w:t xml:space="preserve">لا </w:t>
      </w:r>
      <w:r w:rsidRPr="008D1B92">
        <w:rPr>
          <w:spacing w:val="0"/>
          <w:kern w:val="0"/>
          <w:sz w:val="20"/>
          <w:rtl/>
          <w:lang w:val="en-CA"/>
        </w:rPr>
        <w:t xml:space="preserve">إنسانية دون الحصول على الرعاية الطبية </w:t>
      </w:r>
      <w:r w:rsidRPr="008D1B92">
        <w:rPr>
          <w:rFonts w:hint="cs"/>
          <w:spacing w:val="0"/>
          <w:kern w:val="0"/>
          <w:sz w:val="20"/>
          <w:rtl/>
          <w:lang w:val="en-CA"/>
        </w:rPr>
        <w:t>المناسبة و</w:t>
      </w:r>
      <w:r w:rsidRPr="008D1B92">
        <w:rPr>
          <w:spacing w:val="0"/>
          <w:kern w:val="0"/>
          <w:sz w:val="20"/>
          <w:rtl/>
          <w:lang w:val="en-CA"/>
        </w:rPr>
        <w:t xml:space="preserve">الوصول إلى </w:t>
      </w:r>
      <w:r w:rsidRPr="008D1B92">
        <w:rPr>
          <w:rFonts w:hint="cs"/>
          <w:spacing w:val="0"/>
          <w:kern w:val="0"/>
          <w:sz w:val="20"/>
          <w:rtl/>
          <w:lang w:val="en-CA"/>
        </w:rPr>
        <w:t>الملفات</w:t>
      </w:r>
      <w:r w:rsidRPr="008D1B92">
        <w:rPr>
          <w:spacing w:val="0"/>
          <w:kern w:val="0"/>
          <w:sz w:val="20"/>
          <w:rtl/>
          <w:lang w:val="en-CA"/>
        </w:rPr>
        <w:t xml:space="preserve"> الطبية ودون إمكانية </w:t>
      </w:r>
      <w:r w:rsidRPr="008D1B92">
        <w:rPr>
          <w:rFonts w:hint="cs"/>
          <w:spacing w:val="0"/>
          <w:kern w:val="0"/>
          <w:sz w:val="20"/>
          <w:rtl/>
          <w:lang w:val="en-CA"/>
        </w:rPr>
        <w:t>الحصول على محاكمة</w:t>
      </w:r>
      <w:r w:rsidRPr="008D1B92">
        <w:rPr>
          <w:spacing w:val="0"/>
          <w:kern w:val="0"/>
          <w:sz w:val="20"/>
          <w:rtl/>
          <w:lang w:val="en-CA"/>
        </w:rPr>
        <w:t xml:space="preserve"> قضائية عادلة </w:t>
      </w:r>
      <w:r w:rsidRPr="008D1B92">
        <w:rPr>
          <w:rFonts w:hint="cs"/>
          <w:spacing w:val="0"/>
          <w:kern w:val="0"/>
          <w:sz w:val="20"/>
          <w:rtl/>
          <w:lang w:val="en-CA"/>
        </w:rPr>
        <w:t xml:space="preserve">يشكل </w:t>
      </w:r>
      <w:r w:rsidRPr="008D1B92">
        <w:rPr>
          <w:spacing w:val="0"/>
          <w:kern w:val="0"/>
          <w:sz w:val="20"/>
          <w:rtl/>
          <w:lang w:val="en-CA"/>
        </w:rPr>
        <w:t>في حد ذاته تعذيب</w:t>
      </w:r>
      <w:r w:rsidRPr="008D1B92">
        <w:rPr>
          <w:rFonts w:hint="cs"/>
          <w:spacing w:val="0"/>
          <w:kern w:val="0"/>
          <w:sz w:val="20"/>
          <w:rtl/>
          <w:lang w:val="en-CA"/>
        </w:rPr>
        <w:t>اً</w:t>
      </w:r>
      <w:r w:rsidRPr="008D1B92">
        <w:rPr>
          <w:spacing w:val="0"/>
          <w:kern w:val="0"/>
          <w:sz w:val="20"/>
          <w:rtl/>
          <w:lang w:val="en-CA"/>
        </w:rPr>
        <w:t xml:space="preserve"> ومعاملة </w:t>
      </w:r>
      <w:r w:rsidRPr="008D1B92">
        <w:rPr>
          <w:rFonts w:hint="cs"/>
          <w:spacing w:val="0"/>
          <w:kern w:val="0"/>
          <w:sz w:val="20"/>
          <w:rtl/>
          <w:lang w:val="en-CA"/>
        </w:rPr>
        <w:t xml:space="preserve">أو عقوبة </w:t>
      </w:r>
      <w:r w:rsidRPr="008D1B92">
        <w:rPr>
          <w:spacing w:val="0"/>
          <w:kern w:val="0"/>
          <w:sz w:val="20"/>
          <w:rtl/>
          <w:lang w:val="en-CA"/>
        </w:rPr>
        <w:t>قاسية وغير عادية.</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5-6</w:t>
      </w:r>
      <w:r w:rsidRPr="008D1B92">
        <w:rPr>
          <w:rFonts w:hint="cs"/>
          <w:spacing w:val="0"/>
          <w:kern w:val="0"/>
          <w:sz w:val="20"/>
          <w:rtl/>
          <w:lang w:val="en-CA"/>
        </w:rPr>
        <w:tab/>
        <w:t>ويستشهد</w:t>
      </w:r>
      <w:r w:rsidRPr="008D1B92">
        <w:rPr>
          <w:spacing w:val="0"/>
          <w:kern w:val="0"/>
          <w:sz w:val="20"/>
          <w:rtl/>
          <w:lang w:val="en-CA"/>
        </w:rPr>
        <w:t xml:space="preserve"> صاحب الشكوى أيضا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ب</w:t>
      </w:r>
      <w:r w:rsidRPr="008D1B92">
        <w:rPr>
          <w:spacing w:val="0"/>
          <w:kern w:val="0"/>
          <w:sz w:val="20"/>
          <w:rtl/>
          <w:lang w:val="en-CA"/>
        </w:rPr>
        <w:t>وثيقة نشرت على الموقع الالكتروني للمنظم</w:t>
      </w:r>
      <w:r w:rsidRPr="008D1B92">
        <w:rPr>
          <w:rFonts w:hint="cs"/>
          <w:spacing w:val="0"/>
          <w:kern w:val="0"/>
          <w:sz w:val="20"/>
          <w:rtl/>
          <w:lang w:val="en-CA"/>
        </w:rPr>
        <w:t>ة</w:t>
      </w:r>
      <w:r w:rsidRPr="008D1B92">
        <w:rPr>
          <w:spacing w:val="0"/>
          <w:kern w:val="0"/>
          <w:sz w:val="20"/>
          <w:rtl/>
          <w:lang w:val="en-CA"/>
        </w:rPr>
        <w:t xml:space="preserve"> غير الحكومية "</w:t>
      </w:r>
      <w:r w:rsidRPr="008D1B92">
        <w:rPr>
          <w:rFonts w:hint="cs"/>
          <w:spacing w:val="0"/>
          <w:kern w:val="0"/>
          <w:sz w:val="20"/>
          <w:rtl/>
          <w:lang w:val="en-CA"/>
        </w:rPr>
        <w:t>ال</w:t>
      </w:r>
      <w:r w:rsidRPr="008D1B92">
        <w:rPr>
          <w:spacing w:val="0"/>
          <w:kern w:val="0"/>
          <w:sz w:val="20"/>
          <w:rtl/>
          <w:lang w:val="en-CA"/>
        </w:rPr>
        <w:t>فرصة البديل</w:t>
      </w:r>
      <w:r w:rsidRPr="008D1B92">
        <w:rPr>
          <w:rFonts w:hint="cs"/>
          <w:spacing w:val="0"/>
          <w:kern w:val="0"/>
          <w:sz w:val="20"/>
          <w:rtl/>
          <w:lang w:val="en-CA"/>
        </w:rPr>
        <w:t>ة</w:t>
      </w:r>
      <w:r w:rsidRPr="008D1B92">
        <w:rPr>
          <w:spacing w:val="0"/>
          <w:kern w:val="0"/>
          <w:sz w:val="20"/>
          <w:rtl/>
          <w:lang w:val="en-CA"/>
        </w:rPr>
        <w:t>"</w:t>
      </w:r>
      <w:r w:rsidRPr="008D1B92">
        <w:rPr>
          <w:rFonts w:hint="cs"/>
          <w:spacing w:val="0"/>
          <w:kern w:val="0"/>
          <w:sz w:val="20"/>
          <w:szCs w:val="28"/>
          <w:vertAlign w:val="superscript"/>
          <w:rtl/>
          <w:lang w:val="en-CA"/>
        </w:rPr>
        <w:t>(</w:t>
      </w:r>
      <w:r w:rsidRPr="008D1B92">
        <w:rPr>
          <w:rStyle w:val="FootnoteReference"/>
          <w:spacing w:val="0"/>
          <w:sz w:val="20"/>
          <w:rtl/>
          <w:lang w:val="en-CA"/>
        </w:rPr>
        <w:footnoteReference w:id="236"/>
      </w:r>
      <w:r w:rsidRPr="008D1B92">
        <w:rPr>
          <w:rFonts w:hint="cs"/>
          <w:spacing w:val="0"/>
          <w:kern w:val="0"/>
          <w:sz w:val="20"/>
          <w:szCs w:val="28"/>
          <w:vertAlign w:val="superscript"/>
          <w:rtl/>
          <w:lang w:val="en-CA"/>
        </w:rPr>
        <w:t>)</w:t>
      </w:r>
      <w:r w:rsidRPr="008D1B92">
        <w:rPr>
          <w:spacing w:val="0"/>
          <w:kern w:val="0"/>
          <w:sz w:val="20"/>
          <w:rtl/>
          <w:lang w:val="en-CA"/>
        </w:rPr>
        <w:t xml:space="preserve"> </w:t>
      </w:r>
      <w:r w:rsidRPr="008D1B92">
        <w:rPr>
          <w:rFonts w:hint="cs"/>
          <w:spacing w:val="0"/>
          <w:kern w:val="0"/>
          <w:sz w:val="20"/>
          <w:rtl/>
          <w:lang w:val="en-CA"/>
        </w:rPr>
        <w:t xml:space="preserve">تعرض السوابق القضائية </w:t>
      </w:r>
      <w:r w:rsidRPr="008D1B92">
        <w:rPr>
          <w:spacing w:val="0"/>
          <w:kern w:val="0"/>
          <w:sz w:val="20"/>
          <w:rtl/>
          <w:lang w:val="en-CA"/>
        </w:rPr>
        <w:t xml:space="preserve">الأمريكي </w:t>
      </w:r>
      <w:r w:rsidRPr="008D1B92">
        <w:rPr>
          <w:rFonts w:hint="cs"/>
          <w:spacing w:val="0"/>
          <w:kern w:val="0"/>
          <w:sz w:val="20"/>
          <w:rtl/>
          <w:lang w:val="en-CA"/>
        </w:rPr>
        <w:t xml:space="preserve">المتعلقة </w:t>
      </w:r>
      <w:r w:rsidRPr="008D1B92">
        <w:rPr>
          <w:spacing w:val="0"/>
          <w:kern w:val="0"/>
          <w:sz w:val="20"/>
          <w:rtl/>
          <w:lang w:val="en-CA"/>
        </w:rPr>
        <w:t xml:space="preserve">بعدم </w:t>
      </w:r>
      <w:r w:rsidRPr="008D1B92">
        <w:rPr>
          <w:rFonts w:hint="cs"/>
          <w:spacing w:val="0"/>
          <w:kern w:val="0"/>
          <w:sz w:val="20"/>
          <w:rtl/>
          <w:lang w:val="en-CA"/>
        </w:rPr>
        <w:t>رد ا</w:t>
      </w:r>
      <w:r w:rsidRPr="008D1B92">
        <w:rPr>
          <w:spacing w:val="0"/>
          <w:kern w:val="0"/>
          <w:sz w:val="20"/>
          <w:rtl/>
          <w:lang w:val="en-CA"/>
        </w:rPr>
        <w:t xml:space="preserve">لمجرمين </w:t>
      </w:r>
      <w:r w:rsidRPr="008D1B92">
        <w:rPr>
          <w:rFonts w:hint="cs"/>
          <w:spacing w:val="0"/>
          <w:kern w:val="0"/>
          <w:sz w:val="20"/>
          <w:rtl/>
          <w:lang w:val="en-CA"/>
        </w:rPr>
        <w:t>ال</w:t>
      </w:r>
      <w:r w:rsidRPr="008D1B92">
        <w:rPr>
          <w:spacing w:val="0"/>
          <w:kern w:val="0"/>
          <w:sz w:val="20"/>
          <w:rtl/>
          <w:lang w:val="en-CA"/>
        </w:rPr>
        <w:t>هايتي</w:t>
      </w:r>
      <w:r w:rsidRPr="008D1B92">
        <w:rPr>
          <w:rFonts w:hint="cs"/>
          <w:spacing w:val="0"/>
          <w:kern w:val="0"/>
          <w:sz w:val="20"/>
          <w:rtl/>
          <w:lang w:val="en-CA"/>
        </w:rPr>
        <w:t>ين</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 xml:space="preserve">في </w:t>
      </w:r>
      <w:r w:rsidRPr="008D1B92">
        <w:rPr>
          <w:rFonts w:hint="cs"/>
          <w:spacing w:val="0"/>
          <w:kern w:val="0"/>
          <w:sz w:val="20"/>
          <w:rtl/>
          <w:lang w:val="en-CA"/>
        </w:rPr>
        <w:t>إحدى الحالات</w:t>
      </w:r>
      <w:r w:rsidRPr="008D1B92">
        <w:rPr>
          <w:spacing w:val="0"/>
          <w:kern w:val="0"/>
          <w:sz w:val="20"/>
          <w:rtl/>
          <w:lang w:val="en-CA"/>
        </w:rPr>
        <w:t xml:space="preserve">، </w:t>
      </w:r>
      <w:r w:rsidRPr="008D1B92">
        <w:rPr>
          <w:rFonts w:hint="cs"/>
          <w:spacing w:val="0"/>
          <w:kern w:val="0"/>
          <w:sz w:val="20"/>
          <w:rtl/>
          <w:lang w:val="en-CA"/>
        </w:rPr>
        <w:t>رأت</w:t>
      </w:r>
      <w:r w:rsidRPr="008D1B92">
        <w:rPr>
          <w:spacing w:val="0"/>
          <w:kern w:val="0"/>
          <w:sz w:val="20"/>
          <w:rtl/>
          <w:lang w:val="en-CA"/>
        </w:rPr>
        <w:t xml:space="preserve"> محكمة </w:t>
      </w:r>
      <w:r w:rsidRPr="008D1B92">
        <w:rPr>
          <w:rFonts w:hint="cs"/>
          <w:spacing w:val="0"/>
          <w:kern w:val="0"/>
          <w:sz w:val="20"/>
          <w:rtl/>
          <w:lang w:val="en-CA"/>
        </w:rPr>
        <w:t>أمريكية</w:t>
      </w:r>
      <w:r w:rsidRPr="008D1B92">
        <w:rPr>
          <w:spacing w:val="0"/>
          <w:kern w:val="0"/>
          <w:sz w:val="20"/>
          <w:rtl/>
          <w:lang w:val="en-CA"/>
        </w:rPr>
        <w:t xml:space="preserve"> أن شخص</w:t>
      </w:r>
      <w:r w:rsidRPr="008D1B92">
        <w:rPr>
          <w:rFonts w:hint="cs"/>
          <w:spacing w:val="0"/>
          <w:kern w:val="0"/>
          <w:sz w:val="20"/>
          <w:rtl/>
          <w:lang w:val="en-CA"/>
        </w:rPr>
        <w:t>اً</w:t>
      </w:r>
      <w:r w:rsidRPr="008D1B92">
        <w:rPr>
          <w:spacing w:val="0"/>
          <w:kern w:val="0"/>
          <w:sz w:val="20"/>
          <w:rtl/>
          <w:lang w:val="en-CA"/>
        </w:rPr>
        <w:t xml:space="preserve"> مع</w:t>
      </w:r>
      <w:r w:rsidRPr="008D1B92">
        <w:rPr>
          <w:rFonts w:hint="cs"/>
          <w:spacing w:val="0"/>
          <w:kern w:val="0"/>
          <w:sz w:val="20"/>
          <w:rtl/>
          <w:lang w:val="en-CA"/>
        </w:rPr>
        <w:t>ا</w:t>
      </w:r>
      <w:r w:rsidRPr="008D1B92">
        <w:rPr>
          <w:spacing w:val="0"/>
          <w:kern w:val="0"/>
          <w:sz w:val="20"/>
          <w:rtl/>
          <w:lang w:val="en-CA"/>
        </w:rPr>
        <w:t>ق</w:t>
      </w:r>
      <w:r w:rsidRPr="008D1B92">
        <w:rPr>
          <w:rFonts w:hint="cs"/>
          <w:spacing w:val="0"/>
          <w:kern w:val="0"/>
          <w:sz w:val="20"/>
          <w:rtl/>
          <w:lang w:val="en-CA"/>
        </w:rPr>
        <w:t>اً</w:t>
      </w:r>
      <w:r w:rsidRPr="008D1B92">
        <w:rPr>
          <w:spacing w:val="0"/>
          <w:kern w:val="0"/>
          <w:sz w:val="20"/>
          <w:rtl/>
          <w:lang w:val="en-CA"/>
        </w:rPr>
        <w:t xml:space="preserve"> عقليا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ويعاني من </w:t>
      </w:r>
      <w:r w:rsidRPr="008D1B92">
        <w:rPr>
          <w:spacing w:val="0"/>
          <w:kern w:val="0"/>
          <w:sz w:val="20"/>
          <w:rtl/>
          <w:lang w:val="en-CA"/>
        </w:rPr>
        <w:t xml:space="preserve">فيروس نقص المناعة البشري </w:t>
      </w:r>
      <w:r w:rsidRPr="008D1B92">
        <w:rPr>
          <w:rFonts w:hint="cs"/>
          <w:spacing w:val="0"/>
          <w:kern w:val="0"/>
          <w:sz w:val="20"/>
          <w:rtl/>
          <w:lang w:val="en-CA"/>
        </w:rPr>
        <w:t>سيتعرض لخطر التمييز ول</w:t>
      </w:r>
      <w:r w:rsidRPr="008D1B92">
        <w:rPr>
          <w:spacing w:val="0"/>
          <w:kern w:val="0"/>
          <w:sz w:val="20"/>
          <w:rtl/>
          <w:lang w:val="en-CA"/>
        </w:rPr>
        <w:t xml:space="preserve">معاملة </w:t>
      </w:r>
      <w:r w:rsidRPr="008D1B92">
        <w:rPr>
          <w:rFonts w:hint="cs"/>
          <w:spacing w:val="0"/>
          <w:kern w:val="0"/>
          <w:sz w:val="20"/>
          <w:rtl/>
          <w:lang w:val="en-CA"/>
        </w:rPr>
        <w:t xml:space="preserve">تماثل </w:t>
      </w:r>
      <w:r w:rsidRPr="008D1B92">
        <w:rPr>
          <w:spacing w:val="0"/>
          <w:kern w:val="0"/>
          <w:sz w:val="20"/>
          <w:rtl/>
          <w:lang w:val="en-CA"/>
        </w:rPr>
        <w:t xml:space="preserve">التعذيب </w:t>
      </w:r>
      <w:r w:rsidRPr="008D1B92">
        <w:rPr>
          <w:rFonts w:hint="cs"/>
          <w:spacing w:val="0"/>
          <w:kern w:val="0"/>
          <w:sz w:val="20"/>
          <w:rtl/>
          <w:lang w:val="en-CA"/>
        </w:rPr>
        <w:t>في حالة طرده</w:t>
      </w:r>
      <w:r w:rsidRPr="008D1B92">
        <w:rPr>
          <w:spacing w:val="0"/>
          <w:kern w:val="0"/>
          <w:sz w:val="20"/>
          <w:rtl/>
          <w:lang w:val="en-CA"/>
        </w:rPr>
        <w:t xml:space="preserve">. ويخلص </w:t>
      </w:r>
      <w:r w:rsidRPr="008D1B92">
        <w:rPr>
          <w:rFonts w:hint="cs"/>
          <w:spacing w:val="0"/>
          <w:kern w:val="0"/>
          <w:sz w:val="20"/>
          <w:rtl/>
          <w:lang w:val="en-CA"/>
        </w:rPr>
        <w:t>صاحب الشكوى إلى أنه حتى إذا كانت</w:t>
      </w:r>
      <w:r w:rsidRPr="008D1B92">
        <w:rPr>
          <w:spacing w:val="0"/>
          <w:kern w:val="0"/>
          <w:sz w:val="20"/>
          <w:rtl/>
          <w:lang w:val="en-CA"/>
        </w:rPr>
        <w:t xml:space="preserve"> </w:t>
      </w:r>
      <w:r w:rsidRPr="008D1B92">
        <w:rPr>
          <w:rFonts w:hint="cs"/>
          <w:spacing w:val="0"/>
          <w:kern w:val="0"/>
          <w:sz w:val="20"/>
          <w:rtl/>
          <w:lang w:val="en-CA"/>
        </w:rPr>
        <w:t>مجموعات</w:t>
      </w:r>
      <w:r w:rsidRPr="008D1B92">
        <w:rPr>
          <w:spacing w:val="0"/>
          <w:kern w:val="0"/>
          <w:sz w:val="20"/>
          <w:rtl/>
          <w:lang w:val="en-CA"/>
        </w:rPr>
        <w:t xml:space="preserve"> المرحلين عموما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لا تواجه </w:t>
      </w:r>
      <w:r w:rsidRPr="008D1B92">
        <w:rPr>
          <w:spacing w:val="0"/>
          <w:kern w:val="0"/>
          <w:sz w:val="20"/>
          <w:rtl/>
          <w:lang w:val="en-CA"/>
        </w:rPr>
        <w:t>خطر التعرض للتعذيب إذا عاد</w:t>
      </w:r>
      <w:r w:rsidRPr="008D1B92">
        <w:rPr>
          <w:rFonts w:hint="cs"/>
          <w:spacing w:val="0"/>
          <w:kern w:val="0"/>
          <w:sz w:val="20"/>
          <w:rtl/>
          <w:lang w:val="en-CA"/>
        </w:rPr>
        <w:t>ت</w:t>
      </w:r>
      <w:r w:rsidRPr="008D1B92">
        <w:rPr>
          <w:spacing w:val="0"/>
          <w:kern w:val="0"/>
          <w:sz w:val="20"/>
          <w:rtl/>
          <w:lang w:val="en-CA"/>
        </w:rPr>
        <w:t xml:space="preserve"> إلى هايتي، </w:t>
      </w:r>
      <w:r w:rsidRPr="008D1B92">
        <w:rPr>
          <w:rFonts w:hint="cs"/>
          <w:spacing w:val="0"/>
          <w:kern w:val="0"/>
          <w:sz w:val="20"/>
          <w:rtl/>
          <w:lang w:val="en-CA"/>
        </w:rPr>
        <w:t>فإن المرضى مثله يتعرضون لخطر بسبب الإهمال المتعمد من جانب ا</w:t>
      </w:r>
      <w:r w:rsidRPr="008D1B92">
        <w:rPr>
          <w:spacing w:val="0"/>
          <w:kern w:val="0"/>
          <w:sz w:val="20"/>
          <w:rtl/>
          <w:lang w:val="en-CA"/>
        </w:rPr>
        <w:t>لسلطات الهايتية</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يشكل </w:t>
      </w:r>
      <w:r w:rsidRPr="008D1B92">
        <w:rPr>
          <w:spacing w:val="0"/>
          <w:kern w:val="0"/>
          <w:sz w:val="20"/>
          <w:rtl/>
          <w:lang w:val="en-CA"/>
        </w:rPr>
        <w:t>انتهاكا</w:t>
      </w:r>
      <w:r w:rsidRPr="008D1B92">
        <w:rPr>
          <w:rFonts w:hint="cs"/>
          <w:spacing w:val="0"/>
          <w:kern w:val="0"/>
          <w:sz w:val="20"/>
          <w:rtl/>
          <w:lang w:val="en-CA"/>
        </w:rPr>
        <w:t>ً</w:t>
      </w:r>
      <w:r w:rsidRPr="008D1B92">
        <w:rPr>
          <w:spacing w:val="0"/>
          <w:kern w:val="0"/>
          <w:sz w:val="20"/>
          <w:rtl/>
          <w:lang w:val="en-CA"/>
        </w:rPr>
        <w:t xml:space="preserve"> لحقوق الإنسان. ولذلك </w:t>
      </w:r>
      <w:r w:rsidRPr="008D1B92">
        <w:rPr>
          <w:rFonts w:hint="cs"/>
          <w:spacing w:val="0"/>
          <w:kern w:val="0"/>
          <w:sz w:val="20"/>
          <w:rtl/>
          <w:lang w:val="en-CA"/>
        </w:rPr>
        <w:t>ي</w:t>
      </w:r>
      <w:r w:rsidRPr="008D1B92">
        <w:rPr>
          <w:spacing w:val="0"/>
          <w:kern w:val="0"/>
          <w:sz w:val="20"/>
          <w:rtl/>
          <w:lang w:val="en-CA"/>
        </w:rPr>
        <w:t xml:space="preserve">رى </w:t>
      </w:r>
      <w:r w:rsidRPr="008D1B92">
        <w:rPr>
          <w:rFonts w:hint="cs"/>
          <w:spacing w:val="0"/>
          <w:kern w:val="0"/>
          <w:sz w:val="20"/>
          <w:rtl/>
          <w:lang w:val="en-CA"/>
        </w:rPr>
        <w:t>صاحب الشكوى، خلافاً لتأكيدات</w:t>
      </w:r>
      <w:r w:rsidRPr="008D1B92">
        <w:rPr>
          <w:spacing w:val="0"/>
          <w:kern w:val="0"/>
          <w:sz w:val="20"/>
          <w:rtl/>
          <w:lang w:val="en-CA"/>
        </w:rPr>
        <w:t xml:space="preserve"> الدولة الطرف، </w:t>
      </w:r>
      <w:r w:rsidRPr="008D1B92">
        <w:rPr>
          <w:rFonts w:hint="cs"/>
          <w:spacing w:val="0"/>
          <w:kern w:val="0"/>
          <w:sz w:val="20"/>
          <w:rtl/>
          <w:lang w:val="en-CA"/>
        </w:rPr>
        <w:t>أنه أثبت تعرضه ل</w:t>
      </w:r>
      <w:r w:rsidRPr="008D1B92">
        <w:rPr>
          <w:spacing w:val="0"/>
          <w:kern w:val="0"/>
          <w:sz w:val="20"/>
          <w:rtl/>
          <w:lang w:val="en-CA"/>
        </w:rPr>
        <w:t xml:space="preserve">خطر </w:t>
      </w:r>
      <w:r w:rsidRPr="008D1B92">
        <w:rPr>
          <w:rFonts w:hint="cs"/>
          <w:spacing w:val="0"/>
          <w:kern w:val="0"/>
          <w:sz w:val="20"/>
          <w:rtl/>
          <w:lang w:val="en-CA"/>
        </w:rPr>
        <w:t xml:space="preserve">تعذيب </w:t>
      </w:r>
      <w:r w:rsidRPr="008D1B92">
        <w:rPr>
          <w:spacing w:val="0"/>
          <w:kern w:val="0"/>
          <w:sz w:val="20"/>
          <w:rtl/>
          <w:lang w:val="en-CA"/>
        </w:rPr>
        <w:t xml:space="preserve">حقيقي وشخصي </w:t>
      </w:r>
      <w:r w:rsidRPr="008D1B92">
        <w:rPr>
          <w:rFonts w:hint="cs"/>
          <w:spacing w:val="0"/>
          <w:kern w:val="0"/>
          <w:sz w:val="20"/>
          <w:rtl/>
          <w:lang w:val="en-CA"/>
        </w:rPr>
        <w:t>في حالة ترحيله إلى بلده الأصلي.</w:t>
      </w:r>
    </w:p>
    <w:p w:rsidR="008D1B92" w:rsidRPr="008D1B92" w:rsidRDefault="008D1B92" w:rsidP="00DE469F">
      <w:pPr>
        <w:pStyle w:val="SingleTxtGA"/>
        <w:jc w:val="lowKashida"/>
        <w:rPr>
          <w:rFonts w:hint="cs"/>
          <w:spacing w:val="0"/>
          <w:kern w:val="0"/>
          <w:sz w:val="20"/>
          <w:szCs w:val="20"/>
          <w:rtl/>
        </w:rPr>
      </w:pPr>
      <w:r w:rsidRPr="008D1B92">
        <w:rPr>
          <w:rFonts w:hint="cs"/>
          <w:spacing w:val="0"/>
          <w:kern w:val="0"/>
          <w:sz w:val="20"/>
          <w:rtl/>
          <w:lang w:val="en-CA"/>
        </w:rPr>
        <w:t>5-7</w:t>
      </w:r>
      <w:r w:rsidRPr="008D1B92">
        <w:rPr>
          <w:rFonts w:hint="cs"/>
          <w:spacing w:val="0"/>
          <w:kern w:val="0"/>
          <w:sz w:val="20"/>
          <w:rtl/>
          <w:lang w:val="en-CA"/>
        </w:rPr>
        <w:tab/>
      </w:r>
      <w:r w:rsidRPr="008D1B92">
        <w:rPr>
          <w:spacing w:val="0"/>
          <w:kern w:val="0"/>
          <w:sz w:val="20"/>
          <w:rtl/>
          <w:lang w:val="en-CA"/>
        </w:rPr>
        <w:t xml:space="preserve">وفيما يتعلق بالادعاءات </w:t>
      </w:r>
      <w:r w:rsidRPr="008D1B92">
        <w:rPr>
          <w:rFonts w:hint="cs"/>
          <w:spacing w:val="0"/>
          <w:kern w:val="0"/>
          <w:sz w:val="20"/>
          <w:rtl/>
          <w:lang w:val="en-CA"/>
        </w:rPr>
        <w:t xml:space="preserve">المتعلقة بجهاز </w:t>
      </w:r>
      <w:r w:rsidRPr="008D1B92">
        <w:rPr>
          <w:spacing w:val="0"/>
          <w:kern w:val="0"/>
          <w:sz w:val="20"/>
          <w:rtl/>
          <w:lang w:val="en-CA"/>
        </w:rPr>
        <w:t xml:space="preserve">تنظيم ضربات القلب، يدعي </w:t>
      </w:r>
      <w:r w:rsidRPr="008D1B92">
        <w:rPr>
          <w:rFonts w:hint="cs"/>
          <w:spacing w:val="0"/>
          <w:kern w:val="0"/>
          <w:sz w:val="20"/>
          <w:rtl/>
          <w:lang w:val="en-CA"/>
        </w:rPr>
        <w:t xml:space="preserve">صاحب الشكوى </w:t>
      </w:r>
      <w:r w:rsidRPr="008D1B92">
        <w:rPr>
          <w:spacing w:val="0"/>
          <w:kern w:val="0"/>
          <w:sz w:val="20"/>
          <w:rtl/>
          <w:lang w:val="en-CA"/>
        </w:rPr>
        <w:t xml:space="preserve">أن الدولة الطرف </w:t>
      </w:r>
      <w:r w:rsidRPr="008D1B92">
        <w:rPr>
          <w:rFonts w:hint="cs"/>
          <w:spacing w:val="0"/>
          <w:kern w:val="0"/>
          <w:sz w:val="20"/>
          <w:rtl/>
          <w:lang w:val="en-CA"/>
        </w:rPr>
        <w:t>أجرت تحليلاً سطحياً وجزئياً للموقف</w:t>
      </w:r>
      <w:r w:rsidRPr="008D1B92">
        <w:rPr>
          <w:rFonts w:hint="cs"/>
          <w:spacing w:val="0"/>
          <w:kern w:val="0"/>
          <w:sz w:val="20"/>
          <w:vertAlign w:val="superscript"/>
          <w:rtl/>
          <w:lang w:val="en-CA"/>
        </w:rPr>
        <w:t>(</w:t>
      </w:r>
      <w:r w:rsidRPr="008D1B92">
        <w:rPr>
          <w:rStyle w:val="FootnoteReference"/>
          <w:spacing w:val="0"/>
          <w:sz w:val="20"/>
          <w:rtl/>
          <w:lang w:val="en-CA"/>
        </w:rPr>
        <w:footnoteReference w:id="237"/>
      </w:r>
      <w:r w:rsidRPr="008D1B92">
        <w:rPr>
          <w:rFonts w:hint="cs"/>
          <w:spacing w:val="0"/>
          <w:kern w:val="0"/>
          <w:sz w:val="20"/>
          <w:vertAlign w:val="superscript"/>
          <w:rtl/>
          <w:lang w:val="en-CA"/>
        </w:rPr>
        <w:t>)</w:t>
      </w:r>
      <w:r w:rsidRPr="008D1B92">
        <w:rPr>
          <w:spacing w:val="0"/>
          <w:kern w:val="0"/>
          <w:sz w:val="20"/>
          <w:rtl/>
          <w:lang w:val="en-CA"/>
        </w:rPr>
        <w:t xml:space="preserve">. </w:t>
      </w:r>
      <w:r w:rsidRPr="008D1B92">
        <w:rPr>
          <w:rFonts w:hint="cs"/>
          <w:spacing w:val="0"/>
          <w:kern w:val="0"/>
          <w:sz w:val="20"/>
          <w:rtl/>
          <w:lang w:val="en-CA"/>
        </w:rPr>
        <w:t>ويدل الرد على طلب وقف تنفيذ الترحيل إدارياً المؤرخ 4 أيلول/سبتمبر 2009 على</w:t>
      </w:r>
      <w:r w:rsidRPr="008D1B92">
        <w:rPr>
          <w:spacing w:val="0"/>
          <w:kern w:val="0"/>
          <w:sz w:val="20"/>
          <w:rtl/>
          <w:lang w:val="en-CA"/>
        </w:rPr>
        <w:t xml:space="preserve"> سطحية </w:t>
      </w:r>
      <w:r w:rsidRPr="008D1B92">
        <w:rPr>
          <w:rFonts w:hint="cs"/>
          <w:spacing w:val="0"/>
          <w:kern w:val="0"/>
          <w:sz w:val="20"/>
          <w:rtl/>
          <w:lang w:val="en-CA"/>
        </w:rPr>
        <w:t xml:space="preserve">التحليل، حيث كان </w:t>
      </w:r>
      <w:r w:rsidRPr="008D1B92">
        <w:rPr>
          <w:spacing w:val="0"/>
          <w:kern w:val="0"/>
          <w:sz w:val="20"/>
          <w:rtl/>
          <w:lang w:val="en-CA"/>
        </w:rPr>
        <w:t>مطابق</w:t>
      </w:r>
      <w:r w:rsidRPr="008D1B92">
        <w:rPr>
          <w:rFonts w:hint="cs"/>
          <w:spacing w:val="0"/>
          <w:kern w:val="0"/>
          <w:sz w:val="20"/>
          <w:rtl/>
          <w:lang w:val="en-CA"/>
        </w:rPr>
        <w:t>اً</w:t>
      </w:r>
      <w:r w:rsidRPr="008D1B92">
        <w:rPr>
          <w:spacing w:val="0"/>
          <w:kern w:val="0"/>
          <w:sz w:val="20"/>
          <w:rtl/>
          <w:lang w:val="en-CA"/>
        </w:rPr>
        <w:t xml:space="preserve"> تماما</w:t>
      </w:r>
      <w:r w:rsidRPr="008D1B92">
        <w:rPr>
          <w:rFonts w:hint="cs"/>
          <w:spacing w:val="0"/>
          <w:kern w:val="0"/>
          <w:sz w:val="20"/>
          <w:rtl/>
          <w:lang w:val="en-CA"/>
        </w:rPr>
        <w:t>ً</w:t>
      </w:r>
      <w:r w:rsidRPr="008D1B92">
        <w:rPr>
          <w:spacing w:val="0"/>
          <w:kern w:val="0"/>
          <w:sz w:val="20"/>
          <w:rtl/>
          <w:lang w:val="en-CA"/>
        </w:rPr>
        <w:t xml:space="preserve"> لرسالة رفض </w:t>
      </w:r>
      <w:r w:rsidRPr="008D1B92">
        <w:rPr>
          <w:rFonts w:hint="cs"/>
          <w:spacing w:val="0"/>
          <w:kern w:val="0"/>
          <w:sz w:val="20"/>
          <w:rtl/>
          <w:lang w:val="en-CA"/>
        </w:rPr>
        <w:t>ال</w:t>
      </w:r>
      <w:r w:rsidRPr="008D1B92">
        <w:rPr>
          <w:spacing w:val="0"/>
          <w:kern w:val="0"/>
          <w:sz w:val="20"/>
          <w:rtl/>
          <w:lang w:val="en-CA"/>
        </w:rPr>
        <w:t xml:space="preserve">طلب </w:t>
      </w:r>
      <w:r w:rsidRPr="008D1B92">
        <w:rPr>
          <w:rFonts w:hint="cs"/>
          <w:spacing w:val="0"/>
          <w:kern w:val="0"/>
          <w:sz w:val="20"/>
          <w:rtl/>
          <w:lang w:val="en-CA"/>
        </w:rPr>
        <w:t xml:space="preserve">الأول لوقف تنفيذ الترحيل </w:t>
      </w:r>
      <w:r w:rsidRPr="008D1B92">
        <w:rPr>
          <w:spacing w:val="0"/>
          <w:kern w:val="0"/>
          <w:sz w:val="20"/>
          <w:rtl/>
          <w:lang w:val="en-CA"/>
        </w:rPr>
        <w:t>إداري</w:t>
      </w:r>
      <w:r w:rsidRPr="008D1B92">
        <w:rPr>
          <w:rFonts w:hint="cs"/>
          <w:spacing w:val="0"/>
          <w:kern w:val="0"/>
          <w:sz w:val="20"/>
          <w:rtl/>
          <w:lang w:val="en-CA"/>
        </w:rPr>
        <w:t xml:space="preserve">اً المؤرخ </w:t>
      </w:r>
      <w:r w:rsidRPr="008D1B92">
        <w:rPr>
          <w:spacing w:val="0"/>
          <w:kern w:val="0"/>
          <w:sz w:val="20"/>
          <w:rtl/>
          <w:lang w:val="en-CA"/>
        </w:rPr>
        <w:t>9 شباط</w:t>
      </w:r>
      <w:r w:rsidRPr="008D1B92">
        <w:rPr>
          <w:rFonts w:hint="cs"/>
          <w:spacing w:val="0"/>
          <w:kern w:val="0"/>
          <w:sz w:val="20"/>
          <w:rtl/>
          <w:lang w:val="en-CA"/>
        </w:rPr>
        <w:t>/</w:t>
      </w:r>
      <w:r w:rsidR="00DE469F">
        <w:rPr>
          <w:rFonts w:hint="cs"/>
          <w:spacing w:val="0"/>
          <w:kern w:val="0"/>
          <w:sz w:val="20"/>
          <w:rtl/>
          <w:lang w:val="en-CA"/>
        </w:rPr>
        <w:t xml:space="preserve"> </w:t>
      </w:r>
      <w:r w:rsidRPr="008D1B92">
        <w:rPr>
          <w:rFonts w:hint="cs"/>
          <w:spacing w:val="0"/>
          <w:kern w:val="0"/>
          <w:sz w:val="20"/>
          <w:rtl/>
          <w:lang w:val="en-CA"/>
        </w:rPr>
        <w:t>فبراير</w:t>
      </w:r>
      <w:r w:rsidR="00DE469F">
        <w:rPr>
          <w:rFonts w:hint="cs"/>
          <w:spacing w:val="0"/>
          <w:kern w:val="0"/>
          <w:sz w:val="20"/>
          <w:rtl/>
          <w:lang w:val="en-CA"/>
        </w:rPr>
        <w:t> </w:t>
      </w:r>
      <w:r w:rsidRPr="008D1B92">
        <w:rPr>
          <w:spacing w:val="0"/>
          <w:kern w:val="0"/>
          <w:sz w:val="20"/>
          <w:rtl/>
          <w:lang w:val="en-CA"/>
        </w:rPr>
        <w:t xml:space="preserve">2009 </w:t>
      </w:r>
      <w:r w:rsidRPr="008D1B92">
        <w:rPr>
          <w:rFonts w:hint="cs"/>
          <w:spacing w:val="0"/>
          <w:kern w:val="0"/>
          <w:sz w:val="20"/>
          <w:rtl/>
          <w:lang w:val="en-CA"/>
        </w:rPr>
        <w:t>باستثناء العبارة</w:t>
      </w:r>
      <w:r w:rsidRPr="008D1B92">
        <w:rPr>
          <w:spacing w:val="0"/>
          <w:kern w:val="0"/>
          <w:sz w:val="20"/>
          <w:rtl/>
          <w:lang w:val="en-CA"/>
        </w:rPr>
        <w:t xml:space="preserve"> التالي</w:t>
      </w:r>
      <w:r w:rsidRPr="008D1B92">
        <w:rPr>
          <w:rFonts w:hint="cs"/>
          <w:spacing w:val="0"/>
          <w:kern w:val="0"/>
          <w:sz w:val="20"/>
          <w:rtl/>
          <w:lang w:val="en-CA"/>
        </w:rPr>
        <w:t>ة</w:t>
      </w:r>
      <w:r w:rsidRPr="008D1B92">
        <w:rPr>
          <w:spacing w:val="0"/>
          <w:kern w:val="0"/>
          <w:sz w:val="20"/>
          <w:rtl/>
          <w:lang w:val="en-CA"/>
        </w:rPr>
        <w:t xml:space="preserve">: "يمكن استبدال جهاز تنظيم ضربات القلب </w:t>
      </w:r>
      <w:r w:rsidRPr="008D1B92">
        <w:rPr>
          <w:rFonts w:hint="cs"/>
          <w:spacing w:val="0"/>
          <w:kern w:val="0"/>
          <w:sz w:val="20"/>
          <w:rtl/>
          <w:lang w:val="en-CA"/>
        </w:rPr>
        <w:t xml:space="preserve">للشخص المدعو </w:t>
      </w:r>
      <w:r w:rsidRPr="008D1B92">
        <w:rPr>
          <w:spacing w:val="0"/>
          <w:kern w:val="0"/>
          <w:sz w:val="20"/>
          <w:rtl/>
          <w:lang w:val="en-CA"/>
        </w:rPr>
        <w:t xml:space="preserve">في </w:t>
      </w:r>
      <w:r w:rsidRPr="008D1B92">
        <w:rPr>
          <w:rFonts w:hint="cs"/>
          <w:spacing w:val="0"/>
          <w:kern w:val="0"/>
          <w:sz w:val="20"/>
          <w:rtl/>
          <w:lang w:val="en-CA"/>
        </w:rPr>
        <w:t>ال</w:t>
      </w:r>
      <w:r w:rsidRPr="008D1B92">
        <w:rPr>
          <w:spacing w:val="0"/>
          <w:kern w:val="0"/>
          <w:sz w:val="20"/>
          <w:rtl/>
          <w:lang w:val="en-CA"/>
        </w:rPr>
        <w:t>جمهورية الدومينيك</w:t>
      </w:r>
      <w:r w:rsidRPr="008D1B92">
        <w:rPr>
          <w:rFonts w:hint="cs"/>
          <w:spacing w:val="0"/>
          <w:kern w:val="0"/>
          <w:sz w:val="20"/>
          <w:rtl/>
          <w:lang w:val="en-CA"/>
        </w:rPr>
        <w:t>ية"</w:t>
      </w:r>
      <w:r w:rsidRPr="008D1B92">
        <w:rPr>
          <w:spacing w:val="0"/>
          <w:kern w:val="0"/>
          <w:sz w:val="20"/>
          <w:rtl/>
          <w:lang w:val="en-CA"/>
        </w:rPr>
        <w:t xml:space="preserve">. </w:t>
      </w:r>
      <w:r w:rsidRPr="008D1B92">
        <w:rPr>
          <w:rFonts w:hint="cs"/>
          <w:spacing w:val="0"/>
          <w:kern w:val="0"/>
          <w:sz w:val="20"/>
          <w:rtl/>
          <w:lang w:val="en-CA"/>
        </w:rPr>
        <w:t xml:space="preserve">ويتعجب صاحب الشكوى من أنه </w:t>
      </w:r>
      <w:r w:rsidRPr="008D1B92">
        <w:rPr>
          <w:spacing w:val="0"/>
          <w:kern w:val="0"/>
          <w:sz w:val="20"/>
          <w:rtl/>
          <w:lang w:val="en-CA"/>
        </w:rPr>
        <w:t xml:space="preserve">يمكن </w:t>
      </w:r>
      <w:r w:rsidRPr="008D1B92">
        <w:rPr>
          <w:rFonts w:hint="cs"/>
          <w:spacing w:val="0"/>
          <w:kern w:val="0"/>
          <w:sz w:val="20"/>
          <w:rtl/>
          <w:lang w:val="en-CA"/>
        </w:rPr>
        <w:t>ترحيله</w:t>
      </w:r>
      <w:r w:rsidRPr="008D1B92">
        <w:rPr>
          <w:spacing w:val="0"/>
          <w:kern w:val="0"/>
          <w:sz w:val="20"/>
          <w:rtl/>
          <w:lang w:val="en-CA"/>
        </w:rPr>
        <w:t xml:space="preserve"> إلى بلد ثم </w:t>
      </w:r>
      <w:r w:rsidRPr="008D1B92">
        <w:rPr>
          <w:rFonts w:hint="cs"/>
          <w:spacing w:val="0"/>
          <w:kern w:val="0"/>
          <w:sz w:val="20"/>
          <w:rtl/>
          <w:lang w:val="en-CA"/>
        </w:rPr>
        <w:t xml:space="preserve">السماح </w:t>
      </w:r>
      <w:r w:rsidRPr="008D1B92">
        <w:rPr>
          <w:spacing w:val="0"/>
          <w:kern w:val="0"/>
          <w:sz w:val="20"/>
          <w:rtl/>
          <w:lang w:val="en-CA"/>
        </w:rPr>
        <w:t xml:space="preserve">له بالسفر </w:t>
      </w:r>
      <w:r w:rsidRPr="008D1B92">
        <w:rPr>
          <w:rFonts w:hint="cs"/>
          <w:spacing w:val="0"/>
          <w:kern w:val="0"/>
          <w:sz w:val="20"/>
          <w:rtl/>
          <w:lang w:val="en-CA"/>
        </w:rPr>
        <w:t>إلى</w:t>
      </w:r>
      <w:r w:rsidRPr="008D1B92">
        <w:rPr>
          <w:spacing w:val="0"/>
          <w:kern w:val="0"/>
          <w:sz w:val="20"/>
          <w:rtl/>
          <w:lang w:val="en-CA"/>
        </w:rPr>
        <w:t xml:space="preserve"> بلد ثالث لتلقي العلاج اللازم </w:t>
      </w:r>
      <w:r w:rsidRPr="008D1B92">
        <w:rPr>
          <w:rFonts w:hint="cs"/>
          <w:spacing w:val="0"/>
          <w:kern w:val="0"/>
          <w:sz w:val="20"/>
          <w:rtl/>
          <w:lang w:val="en-CA"/>
        </w:rPr>
        <w:t>لحالة مرضه القلبي</w:t>
      </w:r>
      <w:r w:rsidRPr="008D1B92">
        <w:rPr>
          <w:spacing w:val="0"/>
          <w:kern w:val="0"/>
          <w:sz w:val="20"/>
          <w:rtl/>
          <w:lang w:val="en-CA"/>
        </w:rPr>
        <w:t xml:space="preserve">. وقال </w:t>
      </w:r>
      <w:r w:rsidRPr="008D1B92">
        <w:rPr>
          <w:rFonts w:hint="cs"/>
          <w:spacing w:val="0"/>
          <w:kern w:val="0"/>
          <w:sz w:val="20"/>
          <w:rtl/>
          <w:lang w:val="en-CA"/>
        </w:rPr>
        <w:t>إ</w:t>
      </w:r>
      <w:r w:rsidRPr="008D1B92">
        <w:rPr>
          <w:spacing w:val="0"/>
          <w:kern w:val="0"/>
          <w:sz w:val="20"/>
          <w:rtl/>
          <w:lang w:val="en-CA"/>
        </w:rPr>
        <w:t>ن مثل هذ</w:t>
      </w:r>
      <w:r w:rsidRPr="008D1B92">
        <w:rPr>
          <w:rFonts w:hint="cs"/>
          <w:spacing w:val="0"/>
          <w:kern w:val="0"/>
          <w:sz w:val="20"/>
          <w:rtl/>
          <w:lang w:val="en-CA"/>
        </w:rPr>
        <w:t xml:space="preserve">ه الفرصة غير متاحة له بسبب </w:t>
      </w:r>
      <w:r w:rsidRPr="008D1B92">
        <w:rPr>
          <w:spacing w:val="0"/>
          <w:kern w:val="0"/>
          <w:sz w:val="20"/>
          <w:rtl/>
          <w:lang w:val="en-CA"/>
        </w:rPr>
        <w:t xml:space="preserve">ماضيه الإجرامي. </w:t>
      </w:r>
      <w:r w:rsidRPr="008D1B92">
        <w:rPr>
          <w:rFonts w:hint="cs"/>
          <w:spacing w:val="0"/>
          <w:kern w:val="0"/>
          <w:sz w:val="20"/>
          <w:rtl/>
          <w:lang w:val="en-CA"/>
        </w:rPr>
        <w:t>و</w:t>
      </w:r>
      <w:r w:rsidRPr="008D1B92">
        <w:rPr>
          <w:spacing w:val="0"/>
          <w:kern w:val="0"/>
          <w:sz w:val="20"/>
          <w:rtl/>
          <w:lang w:val="en-CA"/>
        </w:rPr>
        <w:t xml:space="preserve">حتى </w:t>
      </w:r>
      <w:r w:rsidRPr="008D1B92">
        <w:rPr>
          <w:rFonts w:hint="cs"/>
          <w:spacing w:val="0"/>
          <w:kern w:val="0"/>
          <w:sz w:val="20"/>
          <w:rtl/>
          <w:lang w:val="en-CA"/>
        </w:rPr>
        <w:t>إذا استطاع الذهاب</w:t>
      </w:r>
      <w:r w:rsidRPr="008D1B92">
        <w:rPr>
          <w:spacing w:val="0"/>
          <w:kern w:val="0"/>
          <w:sz w:val="20"/>
          <w:rtl/>
          <w:lang w:val="en-CA"/>
        </w:rPr>
        <w:t xml:space="preserve"> إلى </w:t>
      </w:r>
      <w:r w:rsidRPr="008D1B92">
        <w:rPr>
          <w:rFonts w:hint="cs"/>
          <w:spacing w:val="0"/>
          <w:kern w:val="0"/>
          <w:sz w:val="20"/>
          <w:rtl/>
          <w:lang w:val="en-CA"/>
        </w:rPr>
        <w:t>ال</w:t>
      </w:r>
      <w:r w:rsidRPr="008D1B92">
        <w:rPr>
          <w:spacing w:val="0"/>
          <w:kern w:val="0"/>
          <w:sz w:val="20"/>
          <w:rtl/>
          <w:lang w:val="en-CA"/>
        </w:rPr>
        <w:t>جمهورية الدومينيك</w:t>
      </w:r>
      <w:r w:rsidRPr="008D1B92">
        <w:rPr>
          <w:rFonts w:hint="cs"/>
          <w:spacing w:val="0"/>
          <w:kern w:val="0"/>
          <w:sz w:val="20"/>
          <w:rtl/>
          <w:lang w:val="en-CA"/>
        </w:rPr>
        <w:t>ية</w:t>
      </w:r>
      <w:r w:rsidRPr="008D1B92">
        <w:rPr>
          <w:spacing w:val="0"/>
          <w:kern w:val="0"/>
          <w:sz w:val="20"/>
          <w:rtl/>
          <w:lang w:val="en-CA"/>
        </w:rPr>
        <w:t xml:space="preserve"> بعد عودته إلى هايتي، فإن الترحيل من كندا </w:t>
      </w:r>
      <w:r w:rsidRPr="008D1B92">
        <w:rPr>
          <w:rFonts w:hint="cs"/>
          <w:spacing w:val="0"/>
          <w:kern w:val="0"/>
          <w:sz w:val="20"/>
          <w:rtl/>
          <w:lang w:val="en-CA"/>
        </w:rPr>
        <w:t>يتعارض مع</w:t>
      </w:r>
      <w:r w:rsidRPr="008D1B92">
        <w:rPr>
          <w:spacing w:val="0"/>
          <w:kern w:val="0"/>
          <w:sz w:val="20"/>
          <w:rtl/>
          <w:lang w:val="en-CA"/>
        </w:rPr>
        <w:t xml:space="preserve"> التزامات</w:t>
      </w:r>
      <w:r w:rsidRPr="008D1B92">
        <w:rPr>
          <w:rFonts w:hint="cs"/>
          <w:spacing w:val="0"/>
          <w:kern w:val="0"/>
          <w:sz w:val="20"/>
          <w:rtl/>
          <w:lang w:val="en-CA"/>
        </w:rPr>
        <w:t xml:space="preserve"> كند</w:t>
      </w:r>
      <w:r w:rsidRPr="008D1B92">
        <w:rPr>
          <w:spacing w:val="0"/>
          <w:kern w:val="0"/>
          <w:sz w:val="20"/>
          <w:rtl/>
          <w:lang w:val="en-CA"/>
        </w:rPr>
        <w:t xml:space="preserve">ا الدولية </w:t>
      </w:r>
      <w:r w:rsidRPr="008D1B92">
        <w:rPr>
          <w:rFonts w:hint="cs"/>
          <w:spacing w:val="0"/>
          <w:kern w:val="0"/>
          <w:sz w:val="20"/>
          <w:rtl/>
          <w:lang w:val="en-CA"/>
        </w:rPr>
        <w:t>التي تمنعها من</w:t>
      </w:r>
      <w:r w:rsidRPr="008D1B92">
        <w:rPr>
          <w:spacing w:val="0"/>
          <w:kern w:val="0"/>
          <w:sz w:val="20"/>
          <w:rtl/>
          <w:lang w:val="en-CA"/>
        </w:rPr>
        <w:t xml:space="preserve"> </w:t>
      </w:r>
      <w:r w:rsidRPr="008D1B92">
        <w:rPr>
          <w:rFonts w:hint="cs"/>
          <w:spacing w:val="0"/>
          <w:kern w:val="0"/>
          <w:sz w:val="20"/>
          <w:rtl/>
          <w:lang w:val="en-CA"/>
        </w:rPr>
        <w:t>ترحيل</w:t>
      </w:r>
      <w:r w:rsidRPr="008D1B92">
        <w:rPr>
          <w:spacing w:val="0"/>
          <w:kern w:val="0"/>
          <w:sz w:val="20"/>
          <w:rtl/>
          <w:lang w:val="en-CA"/>
        </w:rPr>
        <w:t xml:space="preserve"> شخص </w:t>
      </w:r>
      <w:r w:rsidRPr="008D1B92">
        <w:rPr>
          <w:rFonts w:hint="cs"/>
          <w:spacing w:val="0"/>
          <w:kern w:val="0"/>
          <w:sz w:val="20"/>
          <w:rtl/>
          <w:lang w:val="en-CA"/>
        </w:rPr>
        <w:t xml:space="preserve">ما </w:t>
      </w:r>
      <w:r w:rsidRPr="008D1B92">
        <w:rPr>
          <w:spacing w:val="0"/>
          <w:kern w:val="0"/>
          <w:sz w:val="20"/>
          <w:rtl/>
          <w:lang w:val="en-CA"/>
        </w:rPr>
        <w:t>اعتماد</w:t>
      </w:r>
      <w:r w:rsidRPr="008D1B92">
        <w:rPr>
          <w:rFonts w:hint="cs"/>
          <w:spacing w:val="0"/>
          <w:kern w:val="0"/>
          <w:sz w:val="20"/>
          <w:rtl/>
          <w:lang w:val="en-CA"/>
        </w:rPr>
        <w:t>اً</w:t>
      </w:r>
      <w:r w:rsidRPr="008D1B92">
        <w:rPr>
          <w:spacing w:val="0"/>
          <w:kern w:val="0"/>
          <w:sz w:val="20"/>
          <w:rtl/>
          <w:lang w:val="en-CA"/>
        </w:rPr>
        <w:t xml:space="preserve"> على </w:t>
      </w:r>
      <w:r w:rsidRPr="008D1B92">
        <w:rPr>
          <w:rFonts w:hint="cs"/>
          <w:spacing w:val="0"/>
          <w:kern w:val="0"/>
          <w:sz w:val="20"/>
          <w:rtl/>
          <w:lang w:val="en-CA"/>
        </w:rPr>
        <w:t>افتراض</w:t>
      </w:r>
      <w:r w:rsidRPr="008D1B92">
        <w:rPr>
          <w:spacing w:val="0"/>
          <w:kern w:val="0"/>
          <w:sz w:val="20"/>
          <w:rtl/>
          <w:lang w:val="en-CA"/>
        </w:rPr>
        <w:t xml:space="preserve"> أنه </w:t>
      </w:r>
      <w:r w:rsidRPr="008D1B92">
        <w:rPr>
          <w:rFonts w:hint="cs"/>
          <w:spacing w:val="0"/>
          <w:kern w:val="0"/>
          <w:sz w:val="20"/>
          <w:rtl/>
          <w:lang w:val="en-CA"/>
        </w:rPr>
        <w:t>يستطيع</w:t>
      </w:r>
      <w:r w:rsidRPr="008D1B92">
        <w:rPr>
          <w:spacing w:val="0"/>
          <w:kern w:val="0"/>
          <w:sz w:val="20"/>
          <w:rtl/>
          <w:lang w:val="en-CA"/>
        </w:rPr>
        <w:t xml:space="preserve"> أن يذهب بعد ذلك إلى بلد</w:t>
      </w:r>
      <w:r w:rsidRPr="008D1B92">
        <w:rPr>
          <w:rFonts w:hint="cs"/>
          <w:spacing w:val="0"/>
          <w:kern w:val="0"/>
          <w:sz w:val="20"/>
          <w:rtl/>
          <w:lang w:val="en-CA"/>
        </w:rPr>
        <w:t xml:space="preserve"> ثالث</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 xml:space="preserve">فيما يتعلق بتوافر </w:t>
      </w:r>
      <w:r w:rsidRPr="008D1B92">
        <w:rPr>
          <w:rFonts w:hint="cs"/>
          <w:spacing w:val="0"/>
          <w:kern w:val="0"/>
          <w:sz w:val="20"/>
          <w:rtl/>
          <w:lang w:val="en-CA"/>
        </w:rPr>
        <w:t xml:space="preserve">الرعاية الطبية المناسبة في </w:t>
      </w:r>
      <w:r w:rsidRPr="008D1B92">
        <w:rPr>
          <w:spacing w:val="0"/>
          <w:kern w:val="0"/>
          <w:sz w:val="20"/>
          <w:rtl/>
          <w:lang w:val="en-CA"/>
        </w:rPr>
        <w:t xml:space="preserve">هايتي، يشير </w:t>
      </w:r>
      <w:r w:rsidRPr="008D1B92">
        <w:rPr>
          <w:rFonts w:hint="cs"/>
          <w:spacing w:val="0"/>
          <w:kern w:val="0"/>
          <w:sz w:val="20"/>
          <w:rtl/>
          <w:lang w:val="en-CA"/>
        </w:rPr>
        <w:t>صاحب الشكوى إ</w:t>
      </w:r>
      <w:r w:rsidRPr="008D1B92">
        <w:rPr>
          <w:spacing w:val="0"/>
          <w:kern w:val="0"/>
          <w:sz w:val="20"/>
          <w:rtl/>
          <w:lang w:val="en-CA"/>
        </w:rPr>
        <w:t xml:space="preserve">لى تحليله </w:t>
      </w:r>
      <w:r w:rsidRPr="008D1B92">
        <w:rPr>
          <w:rFonts w:hint="cs"/>
          <w:spacing w:val="0"/>
          <w:kern w:val="0"/>
          <w:sz w:val="20"/>
          <w:rtl/>
          <w:lang w:val="en-CA"/>
        </w:rPr>
        <w:t>الوارد</w:t>
      </w:r>
      <w:r w:rsidRPr="008D1B92">
        <w:rPr>
          <w:spacing w:val="0"/>
          <w:kern w:val="0"/>
          <w:sz w:val="20"/>
          <w:rtl/>
          <w:lang w:val="en-CA"/>
        </w:rPr>
        <w:t xml:space="preserve"> في </w:t>
      </w:r>
      <w:r w:rsidRPr="008D1B92">
        <w:rPr>
          <w:rFonts w:hint="cs"/>
          <w:spacing w:val="0"/>
          <w:kern w:val="0"/>
          <w:sz w:val="20"/>
          <w:rtl/>
          <w:lang w:val="en-CA"/>
        </w:rPr>
        <w:t>الرسالتين المؤرختين</w:t>
      </w:r>
      <w:r w:rsidRPr="008D1B92">
        <w:rPr>
          <w:spacing w:val="0"/>
          <w:kern w:val="0"/>
          <w:sz w:val="20"/>
          <w:rtl/>
          <w:lang w:val="en-CA"/>
        </w:rPr>
        <w:t xml:space="preserve"> 13 و16 </w:t>
      </w:r>
      <w:r w:rsidRPr="008D1B92">
        <w:rPr>
          <w:rFonts w:hint="cs"/>
          <w:spacing w:val="0"/>
          <w:kern w:val="0"/>
          <w:sz w:val="20"/>
          <w:rtl/>
          <w:lang w:val="en-CA"/>
        </w:rPr>
        <w:t>أيلول/سبتمبر</w:t>
      </w:r>
      <w:r w:rsidRPr="008D1B92">
        <w:rPr>
          <w:spacing w:val="0"/>
          <w:kern w:val="0"/>
          <w:sz w:val="20"/>
          <w:rtl/>
          <w:lang w:val="en-CA"/>
        </w:rPr>
        <w:t xml:space="preserve"> 2012 (انظر الفقرة </w:t>
      </w:r>
      <w:r w:rsidRPr="008D1B92">
        <w:rPr>
          <w:rFonts w:hint="cs"/>
          <w:spacing w:val="0"/>
          <w:kern w:val="0"/>
          <w:sz w:val="20"/>
          <w:rtl/>
          <w:lang w:val="en-CA"/>
        </w:rPr>
        <w:t>5-1 أعلاه</w:t>
      </w:r>
      <w:r w:rsidRPr="008D1B92">
        <w:rPr>
          <w:spacing w:val="0"/>
          <w:kern w:val="0"/>
          <w:sz w:val="20"/>
          <w:rtl/>
          <w:lang w:val="en-CA"/>
        </w:rPr>
        <w:t xml:space="preserve">). ويخلص </w:t>
      </w:r>
      <w:r w:rsidRPr="008D1B92">
        <w:rPr>
          <w:rFonts w:hint="cs"/>
          <w:spacing w:val="0"/>
          <w:kern w:val="0"/>
          <w:sz w:val="20"/>
          <w:rtl/>
          <w:lang w:val="en-CA"/>
        </w:rPr>
        <w:t xml:space="preserve">صاحب الشكوى </w:t>
      </w:r>
      <w:r w:rsidRPr="008D1B92">
        <w:rPr>
          <w:spacing w:val="0"/>
          <w:kern w:val="0"/>
          <w:sz w:val="20"/>
          <w:rtl/>
          <w:lang w:val="en-CA"/>
        </w:rPr>
        <w:t xml:space="preserve">إلى أن </w:t>
      </w:r>
      <w:r w:rsidRPr="008D1B92">
        <w:rPr>
          <w:rFonts w:hint="cs"/>
          <w:spacing w:val="0"/>
          <w:kern w:val="0"/>
          <w:sz w:val="20"/>
          <w:rtl/>
          <w:lang w:val="en-CA"/>
        </w:rPr>
        <w:t xml:space="preserve">تحليل المخاطر الذي أجرته </w:t>
      </w:r>
      <w:r w:rsidRPr="008D1B92">
        <w:rPr>
          <w:spacing w:val="0"/>
          <w:kern w:val="0"/>
          <w:sz w:val="20"/>
          <w:rtl/>
          <w:lang w:val="en-CA"/>
        </w:rPr>
        <w:t xml:space="preserve">السلطات الكندية </w:t>
      </w:r>
      <w:r w:rsidRPr="008D1B92">
        <w:rPr>
          <w:rFonts w:hint="cs"/>
          <w:spacing w:val="0"/>
          <w:kern w:val="0"/>
          <w:sz w:val="20"/>
          <w:rtl/>
          <w:lang w:val="en-CA"/>
        </w:rPr>
        <w:t xml:space="preserve">يفتقر إلى النزاهة </w:t>
      </w:r>
      <w:r w:rsidRPr="008D1B92">
        <w:rPr>
          <w:spacing w:val="0"/>
          <w:kern w:val="0"/>
          <w:sz w:val="20"/>
          <w:rtl/>
          <w:lang w:val="en-CA"/>
        </w:rPr>
        <w:t>وأن هناك خطأ</w:t>
      </w:r>
      <w:r w:rsidRPr="008D1B92">
        <w:rPr>
          <w:rFonts w:hint="cs"/>
          <w:spacing w:val="0"/>
          <w:kern w:val="0"/>
          <w:sz w:val="20"/>
          <w:rtl/>
          <w:lang w:val="en-CA"/>
        </w:rPr>
        <w:t>ً</w:t>
      </w:r>
      <w:r w:rsidRPr="008D1B92">
        <w:rPr>
          <w:spacing w:val="0"/>
          <w:kern w:val="0"/>
          <w:sz w:val="20"/>
          <w:rtl/>
          <w:lang w:val="en-CA"/>
        </w:rPr>
        <w:t xml:space="preserve"> واضح</w:t>
      </w:r>
      <w:r w:rsidRPr="008D1B92">
        <w:rPr>
          <w:rFonts w:hint="cs"/>
          <w:spacing w:val="0"/>
          <w:kern w:val="0"/>
          <w:sz w:val="20"/>
          <w:rtl/>
          <w:lang w:val="en-CA"/>
        </w:rPr>
        <w:t>اً</w:t>
      </w:r>
      <w:r w:rsidRPr="008D1B92">
        <w:rPr>
          <w:spacing w:val="0"/>
          <w:kern w:val="0"/>
          <w:sz w:val="20"/>
          <w:rtl/>
          <w:lang w:val="en-CA"/>
        </w:rPr>
        <w:t>.</w:t>
      </w:r>
    </w:p>
    <w:p w:rsidR="008D1B92" w:rsidRPr="008D1B92" w:rsidRDefault="008D1B92" w:rsidP="008D1B92">
      <w:pPr>
        <w:pStyle w:val="H23GA"/>
        <w:jc w:val="lowKashida"/>
        <w:rPr>
          <w:spacing w:val="0"/>
          <w:kern w:val="0"/>
          <w:sz w:val="20"/>
          <w:szCs w:val="20"/>
          <w:rtl/>
        </w:rPr>
      </w:pPr>
      <w:r w:rsidRPr="008D1B92">
        <w:rPr>
          <w:spacing w:val="0"/>
          <w:kern w:val="0"/>
          <w:sz w:val="20"/>
          <w:rtl/>
        </w:rPr>
        <w:tab/>
      </w:r>
      <w:r w:rsidRPr="008D1B92">
        <w:rPr>
          <w:rFonts w:hint="cs"/>
          <w:spacing w:val="0"/>
          <w:kern w:val="0"/>
          <w:sz w:val="20"/>
          <w:rtl/>
        </w:rPr>
        <w:tab/>
      </w:r>
      <w:r w:rsidRPr="008D1B92">
        <w:rPr>
          <w:rFonts w:hint="eastAsia"/>
          <w:spacing w:val="0"/>
          <w:kern w:val="0"/>
          <w:sz w:val="20"/>
          <w:rtl/>
        </w:rPr>
        <w:t>ملاحظات</w:t>
      </w:r>
      <w:r w:rsidRPr="008D1B92">
        <w:rPr>
          <w:spacing w:val="0"/>
          <w:kern w:val="0"/>
          <w:sz w:val="20"/>
          <w:rtl/>
        </w:rPr>
        <w:t xml:space="preserve"> إضافية</w:t>
      </w:r>
      <w:r w:rsidRPr="008D1B92">
        <w:rPr>
          <w:rFonts w:hint="cs"/>
          <w:spacing w:val="0"/>
          <w:kern w:val="0"/>
          <w:sz w:val="20"/>
          <w:rtl/>
        </w:rPr>
        <w:t xml:space="preserve"> مقدمة</w:t>
      </w:r>
      <w:r w:rsidRPr="008D1B92">
        <w:rPr>
          <w:spacing w:val="0"/>
          <w:kern w:val="0"/>
          <w:sz w:val="20"/>
          <w:rtl/>
        </w:rPr>
        <w:t xml:space="preserve"> من </w:t>
      </w:r>
      <w:r w:rsidRPr="008D1B92">
        <w:rPr>
          <w:rFonts w:hint="cs"/>
          <w:spacing w:val="0"/>
          <w:kern w:val="0"/>
          <w:sz w:val="20"/>
          <w:rtl/>
        </w:rPr>
        <w:t>الطرفين</w:t>
      </w:r>
    </w:p>
    <w:p w:rsidR="008D1B92" w:rsidRPr="008D1B92" w:rsidRDefault="008D1B92" w:rsidP="008D1B92">
      <w:pPr>
        <w:pStyle w:val="SingleTxtGA"/>
        <w:jc w:val="lowKashida"/>
        <w:rPr>
          <w:rFonts w:hint="cs"/>
          <w:spacing w:val="0"/>
          <w:kern w:val="0"/>
          <w:sz w:val="20"/>
          <w:szCs w:val="20"/>
          <w:rtl/>
        </w:rPr>
      </w:pPr>
      <w:r w:rsidRPr="008D1B92">
        <w:rPr>
          <w:spacing w:val="0"/>
          <w:kern w:val="0"/>
          <w:sz w:val="20"/>
          <w:rtl/>
          <w:lang w:val="en-CA"/>
        </w:rPr>
        <w:t>6-</w:t>
      </w:r>
      <w:r w:rsidRPr="008D1B92">
        <w:rPr>
          <w:rFonts w:hint="cs"/>
          <w:spacing w:val="0"/>
          <w:kern w:val="0"/>
          <w:sz w:val="20"/>
          <w:rtl/>
          <w:lang w:val="en-CA"/>
        </w:rPr>
        <w:t>1</w:t>
      </w:r>
      <w:r w:rsidRPr="008D1B92">
        <w:rPr>
          <w:spacing w:val="0"/>
          <w:kern w:val="0"/>
          <w:sz w:val="20"/>
          <w:rtl/>
          <w:lang w:val="en-CA"/>
        </w:rPr>
        <w:tab/>
      </w:r>
      <w:r w:rsidRPr="008D1B92">
        <w:rPr>
          <w:rFonts w:hint="cs"/>
          <w:spacing w:val="0"/>
          <w:kern w:val="0"/>
          <w:sz w:val="20"/>
          <w:rtl/>
          <w:lang w:val="en-CA"/>
        </w:rPr>
        <w:t xml:space="preserve">ادعت </w:t>
      </w:r>
      <w:r w:rsidRPr="008D1B92">
        <w:rPr>
          <w:spacing w:val="0"/>
          <w:kern w:val="0"/>
          <w:sz w:val="20"/>
          <w:rtl/>
          <w:lang w:val="en-CA"/>
        </w:rPr>
        <w:t>الدولة الطرف</w:t>
      </w:r>
      <w:r w:rsidRPr="008D1B92">
        <w:rPr>
          <w:rFonts w:hint="cs"/>
          <w:spacing w:val="0"/>
          <w:kern w:val="0"/>
          <w:sz w:val="20"/>
          <w:rtl/>
          <w:lang w:val="en-CA"/>
        </w:rPr>
        <w:t>،</w:t>
      </w:r>
      <w:r w:rsidRPr="008D1B92">
        <w:rPr>
          <w:spacing w:val="0"/>
          <w:kern w:val="0"/>
          <w:sz w:val="20"/>
          <w:rtl/>
          <w:lang w:val="en-CA"/>
        </w:rPr>
        <w:t xml:space="preserve"> في 17 </w:t>
      </w:r>
      <w:r w:rsidRPr="008D1B92">
        <w:rPr>
          <w:rFonts w:hint="cs"/>
          <w:spacing w:val="0"/>
          <w:kern w:val="0"/>
          <w:sz w:val="20"/>
          <w:rtl/>
          <w:lang w:val="en-CA"/>
        </w:rPr>
        <w:t>كانون الأول/</w:t>
      </w:r>
      <w:r w:rsidRPr="008D1B92">
        <w:rPr>
          <w:spacing w:val="0"/>
          <w:kern w:val="0"/>
          <w:sz w:val="20"/>
          <w:rtl/>
          <w:lang w:val="en-CA"/>
        </w:rPr>
        <w:t>ديسمبر 2009، أن</w:t>
      </w:r>
      <w:r w:rsidRPr="008D1B92">
        <w:rPr>
          <w:rFonts w:hint="cs"/>
          <w:spacing w:val="0"/>
          <w:kern w:val="0"/>
          <w:sz w:val="20"/>
          <w:rtl/>
          <w:lang w:val="en-CA"/>
        </w:rPr>
        <w:t>ه</w:t>
      </w:r>
      <w:r w:rsidRPr="008D1B92">
        <w:rPr>
          <w:spacing w:val="0"/>
          <w:kern w:val="0"/>
          <w:sz w:val="20"/>
          <w:rtl/>
          <w:lang w:val="en-CA"/>
        </w:rPr>
        <w:t xml:space="preserve"> </w:t>
      </w:r>
      <w:r w:rsidRPr="008D1B92">
        <w:rPr>
          <w:rFonts w:hint="cs"/>
          <w:spacing w:val="0"/>
          <w:kern w:val="0"/>
          <w:sz w:val="20"/>
          <w:rtl/>
          <w:lang w:val="en-CA"/>
        </w:rPr>
        <w:t>لا يوجد في</w:t>
      </w:r>
      <w:r w:rsidRPr="008D1B92">
        <w:rPr>
          <w:spacing w:val="0"/>
          <w:kern w:val="0"/>
          <w:sz w:val="20"/>
          <w:rtl/>
          <w:lang w:val="en-CA"/>
        </w:rPr>
        <w:t xml:space="preserve"> تعليقات</w:t>
      </w:r>
      <w:r w:rsidRPr="008D1B92">
        <w:rPr>
          <w:rFonts w:hint="cs"/>
          <w:spacing w:val="0"/>
          <w:kern w:val="0"/>
          <w:sz w:val="20"/>
          <w:rtl/>
          <w:lang w:val="en-CA"/>
        </w:rPr>
        <w:t xml:space="preserve"> صاحب الشكوى </w:t>
      </w:r>
      <w:r w:rsidRPr="008D1B92">
        <w:rPr>
          <w:spacing w:val="0"/>
          <w:kern w:val="0"/>
          <w:sz w:val="20"/>
          <w:rtl/>
          <w:lang w:val="en-CA"/>
        </w:rPr>
        <w:t xml:space="preserve">ما يشير </w:t>
      </w:r>
      <w:r w:rsidRPr="008D1B92">
        <w:rPr>
          <w:rFonts w:hint="cs"/>
          <w:spacing w:val="0"/>
          <w:kern w:val="0"/>
          <w:sz w:val="20"/>
          <w:rtl/>
          <w:lang w:val="en-CA"/>
        </w:rPr>
        <w:t xml:space="preserve">إلى أنه حاول </w:t>
      </w:r>
      <w:r w:rsidRPr="008D1B92">
        <w:rPr>
          <w:spacing w:val="0"/>
          <w:kern w:val="0"/>
          <w:sz w:val="20"/>
          <w:rtl/>
          <w:lang w:val="en-CA"/>
        </w:rPr>
        <w:t xml:space="preserve">الاتصال </w:t>
      </w:r>
      <w:r w:rsidRPr="008D1B92">
        <w:rPr>
          <w:rFonts w:hint="cs"/>
          <w:spacing w:val="0"/>
          <w:kern w:val="0"/>
          <w:sz w:val="20"/>
          <w:rtl/>
          <w:lang w:val="en-CA"/>
        </w:rPr>
        <w:t xml:space="preserve">بمستشفى </w:t>
      </w:r>
      <w:r w:rsidRPr="008D1B92">
        <w:rPr>
          <w:spacing w:val="0"/>
          <w:kern w:val="0"/>
          <w:sz w:val="20"/>
          <w:rtl/>
          <w:lang w:val="en-CA"/>
        </w:rPr>
        <w:t xml:space="preserve">القلب المقدس </w:t>
      </w:r>
      <w:r w:rsidRPr="008D1B92">
        <w:rPr>
          <w:rFonts w:hint="cs"/>
          <w:spacing w:val="0"/>
          <w:kern w:val="0"/>
          <w:sz w:val="20"/>
          <w:rtl/>
          <w:lang w:val="en-CA"/>
        </w:rPr>
        <w:t xml:space="preserve">الذي أشارت </w:t>
      </w:r>
      <w:r w:rsidRPr="008D1B92">
        <w:rPr>
          <w:spacing w:val="0"/>
          <w:kern w:val="0"/>
          <w:sz w:val="20"/>
          <w:rtl/>
          <w:lang w:val="en-CA"/>
        </w:rPr>
        <w:t xml:space="preserve">الدولة الطرف </w:t>
      </w:r>
      <w:r w:rsidRPr="008D1B92">
        <w:rPr>
          <w:rFonts w:hint="cs"/>
          <w:spacing w:val="0"/>
          <w:kern w:val="0"/>
          <w:sz w:val="20"/>
          <w:rtl/>
          <w:lang w:val="en-CA"/>
        </w:rPr>
        <w:t>إلى بيانات الاتصال به بعد أن تحققت من أن المتخصصين العاملين فيه مؤهلون ل</w:t>
      </w:r>
      <w:r w:rsidRPr="008D1B92">
        <w:rPr>
          <w:spacing w:val="0"/>
          <w:kern w:val="0"/>
          <w:sz w:val="20"/>
          <w:rtl/>
          <w:lang w:val="en-CA"/>
        </w:rPr>
        <w:t xml:space="preserve">لتحقق من عمل جهاز تنظيم ضربات القلب </w:t>
      </w:r>
      <w:r w:rsidRPr="008D1B92">
        <w:rPr>
          <w:rFonts w:hint="cs"/>
          <w:spacing w:val="0"/>
          <w:kern w:val="0"/>
          <w:sz w:val="20"/>
          <w:rtl/>
          <w:lang w:val="en-CA"/>
        </w:rPr>
        <w:t>الخاص بصاحب الشكوى</w:t>
      </w:r>
      <w:r w:rsidRPr="008D1B92">
        <w:rPr>
          <w:spacing w:val="0"/>
          <w:kern w:val="0"/>
          <w:sz w:val="20"/>
          <w:rtl/>
          <w:lang w:val="en-CA"/>
        </w:rPr>
        <w:t xml:space="preserve"> وتغيير البطارية. وبعد تعليقات </w:t>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 xml:space="preserve">أعادت </w:t>
      </w:r>
      <w:r w:rsidRPr="008D1B92">
        <w:rPr>
          <w:spacing w:val="0"/>
          <w:kern w:val="0"/>
          <w:sz w:val="20"/>
          <w:rtl/>
          <w:lang w:val="en-CA"/>
        </w:rPr>
        <w:t xml:space="preserve">الدولة الطرف </w:t>
      </w:r>
      <w:r w:rsidRPr="008D1B92">
        <w:rPr>
          <w:rFonts w:hint="cs"/>
          <w:spacing w:val="0"/>
          <w:kern w:val="0"/>
          <w:sz w:val="20"/>
          <w:rtl/>
          <w:lang w:val="en-CA"/>
        </w:rPr>
        <w:t xml:space="preserve">الاتصال بالمستشفى الذي </w:t>
      </w:r>
      <w:r w:rsidRPr="008D1B92">
        <w:rPr>
          <w:spacing w:val="0"/>
          <w:kern w:val="0"/>
          <w:sz w:val="20"/>
          <w:rtl/>
          <w:lang w:val="en-CA"/>
        </w:rPr>
        <w:t xml:space="preserve">أكد مرة أخرى أنه يمكن استبدال </w:t>
      </w:r>
      <w:r w:rsidRPr="008D1B92">
        <w:rPr>
          <w:rFonts w:hint="cs"/>
          <w:spacing w:val="0"/>
          <w:kern w:val="0"/>
          <w:sz w:val="20"/>
          <w:rtl/>
          <w:lang w:val="en-CA"/>
        </w:rPr>
        <w:t xml:space="preserve">بطارية </w:t>
      </w:r>
      <w:r w:rsidRPr="008D1B92">
        <w:rPr>
          <w:spacing w:val="0"/>
          <w:kern w:val="0"/>
          <w:sz w:val="20"/>
          <w:rtl/>
          <w:lang w:val="en-CA"/>
        </w:rPr>
        <w:t xml:space="preserve">جهاز مدترونيك </w:t>
      </w:r>
      <w:r w:rsidRPr="008D1B92">
        <w:rPr>
          <w:rFonts w:hint="cs"/>
          <w:spacing w:val="0"/>
          <w:kern w:val="0"/>
          <w:sz w:val="20"/>
          <w:rtl/>
          <w:lang w:val="en-CA"/>
        </w:rPr>
        <w:t>لت</w:t>
      </w:r>
      <w:r w:rsidRPr="008D1B92">
        <w:rPr>
          <w:spacing w:val="0"/>
          <w:kern w:val="0"/>
          <w:sz w:val="20"/>
          <w:rtl/>
          <w:lang w:val="en-CA"/>
        </w:rPr>
        <w:t xml:space="preserve">نظيم ضربات القلب </w:t>
      </w:r>
      <w:r w:rsidRPr="008D1B92">
        <w:rPr>
          <w:rFonts w:hint="cs"/>
          <w:spacing w:val="0"/>
          <w:kern w:val="0"/>
          <w:sz w:val="20"/>
          <w:rtl/>
          <w:lang w:val="en-CA"/>
        </w:rPr>
        <w:t>الخاص بصاحب الشكوى ب</w:t>
      </w:r>
      <w:r w:rsidRPr="008D1B92">
        <w:rPr>
          <w:spacing w:val="0"/>
          <w:kern w:val="0"/>
          <w:sz w:val="20"/>
          <w:rtl/>
          <w:lang w:val="en-CA"/>
        </w:rPr>
        <w:t xml:space="preserve">بطارية </w:t>
      </w:r>
      <w:r w:rsidRPr="008D1B92">
        <w:rPr>
          <w:rFonts w:hint="cs"/>
          <w:spacing w:val="0"/>
          <w:kern w:val="0"/>
          <w:sz w:val="20"/>
          <w:rtl/>
          <w:lang w:val="en-CA"/>
        </w:rPr>
        <w:t>بايوترونيك</w:t>
      </w:r>
      <w:r w:rsidRPr="008D1B92">
        <w:rPr>
          <w:spacing w:val="0"/>
          <w:kern w:val="0"/>
          <w:sz w:val="20"/>
          <w:rtl/>
          <w:lang w:val="en-CA"/>
        </w:rPr>
        <w:t xml:space="preserve"> </w:t>
      </w:r>
      <w:r w:rsidRPr="008D1B92">
        <w:rPr>
          <w:rFonts w:hint="cs"/>
          <w:spacing w:val="0"/>
          <w:kern w:val="0"/>
          <w:sz w:val="20"/>
          <w:rtl/>
          <w:lang w:val="en-CA"/>
        </w:rPr>
        <w:t>وأن أخصائي المستشفى</w:t>
      </w:r>
      <w:r w:rsidRPr="008D1B92">
        <w:rPr>
          <w:spacing w:val="0"/>
          <w:kern w:val="0"/>
          <w:sz w:val="20"/>
          <w:rtl/>
          <w:lang w:val="en-CA"/>
        </w:rPr>
        <w:t xml:space="preserve"> </w:t>
      </w:r>
      <w:r w:rsidRPr="008D1B92">
        <w:rPr>
          <w:rFonts w:hint="cs"/>
          <w:spacing w:val="0"/>
          <w:kern w:val="0"/>
          <w:sz w:val="20"/>
          <w:rtl/>
          <w:lang w:val="en-CA"/>
        </w:rPr>
        <w:t>يمكن أن يقوم ب</w:t>
      </w:r>
      <w:r w:rsidRPr="008D1B92">
        <w:rPr>
          <w:spacing w:val="0"/>
          <w:kern w:val="0"/>
          <w:sz w:val="20"/>
          <w:rtl/>
          <w:lang w:val="en-CA"/>
        </w:rPr>
        <w:t xml:space="preserve">مثل هذه العملية. </w:t>
      </w:r>
      <w:r w:rsidRPr="008D1B92">
        <w:rPr>
          <w:rFonts w:hint="cs"/>
          <w:spacing w:val="0"/>
          <w:kern w:val="0"/>
          <w:sz w:val="20"/>
          <w:rtl/>
          <w:lang w:val="en-CA"/>
        </w:rPr>
        <w:t>و</w:t>
      </w:r>
      <w:r w:rsidRPr="008D1B92">
        <w:rPr>
          <w:spacing w:val="0"/>
          <w:kern w:val="0"/>
          <w:sz w:val="20"/>
          <w:rtl/>
          <w:lang w:val="en-CA"/>
        </w:rPr>
        <w:t xml:space="preserve">إذا لزم الأمر، يمكن </w:t>
      </w:r>
      <w:r w:rsidRPr="008D1B92">
        <w:rPr>
          <w:rFonts w:hint="cs"/>
          <w:spacing w:val="0"/>
          <w:kern w:val="0"/>
          <w:sz w:val="20"/>
          <w:rtl/>
          <w:lang w:val="en-CA"/>
        </w:rPr>
        <w:t>للمستشفى</w:t>
      </w:r>
      <w:r w:rsidRPr="008D1B92">
        <w:rPr>
          <w:spacing w:val="0"/>
          <w:kern w:val="0"/>
          <w:sz w:val="20"/>
          <w:rtl/>
          <w:lang w:val="en-CA"/>
        </w:rPr>
        <w:t xml:space="preserve"> </w:t>
      </w:r>
      <w:r w:rsidRPr="008D1B92">
        <w:rPr>
          <w:rFonts w:hint="cs"/>
          <w:spacing w:val="0"/>
          <w:kern w:val="0"/>
          <w:sz w:val="20"/>
          <w:rtl/>
          <w:lang w:val="en-CA"/>
        </w:rPr>
        <w:t xml:space="preserve">أن يركب </w:t>
      </w:r>
      <w:r w:rsidRPr="008D1B92">
        <w:rPr>
          <w:spacing w:val="0"/>
          <w:kern w:val="0"/>
          <w:sz w:val="20"/>
          <w:rtl/>
          <w:lang w:val="en-CA"/>
        </w:rPr>
        <w:t>أيضا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لصاحب الشكوى جهازاً جديداً لتنظيم ضربات القلب مماثل لجهاز </w:t>
      </w:r>
      <w:r w:rsidRPr="008D1B92">
        <w:rPr>
          <w:spacing w:val="0"/>
          <w:kern w:val="0"/>
          <w:sz w:val="20"/>
          <w:lang w:val="en-CA"/>
        </w:rPr>
        <w:t>KDR 733</w:t>
      </w:r>
      <w:r w:rsidRPr="008D1B92">
        <w:rPr>
          <w:rFonts w:hint="cs"/>
          <w:spacing w:val="0"/>
          <w:kern w:val="0"/>
          <w:sz w:val="20"/>
          <w:rtl/>
          <w:lang w:val="en-CA"/>
        </w:rPr>
        <w:t xml:space="preserve"> من طراز كابا، هو جهاز بايوترونيك من طراز أكسيوس</w:t>
      </w:r>
      <w:r w:rsidRPr="008D1B92">
        <w:rPr>
          <w:spacing w:val="0"/>
          <w:kern w:val="0"/>
          <w:sz w:val="20"/>
          <w:rtl/>
          <w:lang w:val="en-CA"/>
        </w:rPr>
        <w:t xml:space="preserve">. </w:t>
      </w:r>
      <w:r w:rsidRPr="008D1B92">
        <w:rPr>
          <w:rFonts w:hint="cs"/>
          <w:spacing w:val="0"/>
          <w:kern w:val="0"/>
          <w:sz w:val="20"/>
          <w:rtl/>
          <w:lang w:val="en-CA"/>
        </w:rPr>
        <w:t xml:space="preserve">ولذلك، فإن </w:t>
      </w:r>
      <w:r w:rsidRPr="008D1B92">
        <w:rPr>
          <w:spacing w:val="0"/>
          <w:kern w:val="0"/>
          <w:sz w:val="20"/>
          <w:rtl/>
          <w:lang w:val="en-CA"/>
        </w:rPr>
        <w:t xml:space="preserve">ادعاءات </w:t>
      </w:r>
      <w:r w:rsidRPr="008D1B92">
        <w:rPr>
          <w:rFonts w:hint="cs"/>
          <w:spacing w:val="0"/>
          <w:kern w:val="0"/>
          <w:sz w:val="20"/>
          <w:rtl/>
          <w:lang w:val="en-CA"/>
        </w:rPr>
        <w:t xml:space="preserve">صاحب الشكوى </w:t>
      </w:r>
      <w:r w:rsidRPr="008D1B92">
        <w:rPr>
          <w:spacing w:val="0"/>
          <w:kern w:val="0"/>
          <w:sz w:val="20"/>
          <w:rtl/>
          <w:lang w:val="en-CA"/>
        </w:rPr>
        <w:t>لا أساس</w:t>
      </w:r>
      <w:r w:rsidRPr="008D1B92">
        <w:rPr>
          <w:rFonts w:hint="cs"/>
          <w:spacing w:val="0"/>
          <w:kern w:val="0"/>
          <w:sz w:val="20"/>
          <w:rtl/>
          <w:lang w:val="en-CA"/>
        </w:rPr>
        <w:t xml:space="preserve"> لها من الصحة.</w:t>
      </w:r>
    </w:p>
    <w:p w:rsidR="008D1B92" w:rsidRPr="00DE469F" w:rsidRDefault="008D1B92" w:rsidP="008D1B92">
      <w:pPr>
        <w:pStyle w:val="SingleTxtGA"/>
        <w:jc w:val="lowKashida"/>
        <w:rPr>
          <w:rFonts w:hint="cs"/>
          <w:spacing w:val="-2"/>
          <w:kern w:val="0"/>
          <w:sz w:val="20"/>
          <w:szCs w:val="20"/>
          <w:rtl/>
        </w:rPr>
      </w:pPr>
      <w:r w:rsidRPr="008D1B92">
        <w:rPr>
          <w:rFonts w:hint="cs"/>
          <w:spacing w:val="0"/>
          <w:kern w:val="0"/>
          <w:sz w:val="20"/>
          <w:rtl/>
          <w:lang w:val="en-CA"/>
        </w:rPr>
        <w:t>6-2</w:t>
      </w:r>
      <w:r w:rsidRPr="008D1B92">
        <w:rPr>
          <w:rFonts w:hint="cs"/>
          <w:spacing w:val="0"/>
          <w:kern w:val="0"/>
          <w:sz w:val="20"/>
          <w:rtl/>
          <w:lang w:val="en-CA"/>
        </w:rPr>
        <w:tab/>
        <w:t xml:space="preserve">وعلى عكس تأكيدات صاحب الشكوى، فإن </w:t>
      </w:r>
      <w:r w:rsidRPr="008D1B92">
        <w:rPr>
          <w:spacing w:val="0"/>
          <w:kern w:val="0"/>
          <w:sz w:val="20"/>
          <w:rtl/>
          <w:lang w:val="en-CA"/>
        </w:rPr>
        <w:t xml:space="preserve">مصير </w:t>
      </w:r>
      <w:r w:rsidRPr="008D1B92">
        <w:rPr>
          <w:rFonts w:hint="cs"/>
          <w:spacing w:val="0"/>
          <w:kern w:val="0"/>
          <w:sz w:val="20"/>
          <w:rtl/>
          <w:lang w:val="en-CA"/>
        </w:rPr>
        <w:t>أحد ال</w:t>
      </w:r>
      <w:r w:rsidRPr="008D1B92">
        <w:rPr>
          <w:spacing w:val="0"/>
          <w:kern w:val="0"/>
          <w:sz w:val="20"/>
          <w:rtl/>
          <w:lang w:val="en-CA"/>
        </w:rPr>
        <w:t>هايتي</w:t>
      </w:r>
      <w:r w:rsidRPr="008D1B92">
        <w:rPr>
          <w:rFonts w:hint="cs"/>
          <w:spacing w:val="0"/>
          <w:kern w:val="0"/>
          <w:sz w:val="20"/>
          <w:rtl/>
          <w:lang w:val="en-CA"/>
        </w:rPr>
        <w:t>ين المرحلين من الذين أشار إليهم صاحب الشكوى في تعليقاته</w:t>
      </w:r>
      <w:r w:rsidRPr="008D1B92">
        <w:rPr>
          <w:rFonts w:hint="cs"/>
          <w:spacing w:val="0"/>
          <w:kern w:val="0"/>
          <w:sz w:val="20"/>
          <w:szCs w:val="28"/>
          <w:vertAlign w:val="superscript"/>
          <w:rtl/>
          <w:lang w:val="en-CA"/>
        </w:rPr>
        <w:t>(</w:t>
      </w:r>
      <w:r w:rsidRPr="008D1B92">
        <w:rPr>
          <w:rStyle w:val="FootnoteReference"/>
          <w:spacing w:val="0"/>
          <w:sz w:val="20"/>
          <w:rtl/>
          <w:lang w:val="en-CA"/>
        </w:rPr>
        <w:footnoteReference w:id="238"/>
      </w:r>
      <w:r w:rsidRPr="008D1B92">
        <w:rPr>
          <w:rFonts w:hint="cs"/>
          <w:spacing w:val="0"/>
          <w:kern w:val="0"/>
          <w:sz w:val="20"/>
          <w:szCs w:val="28"/>
          <w:vertAlign w:val="superscript"/>
          <w:rtl/>
          <w:lang w:val="en-CA"/>
        </w:rPr>
        <w:t>)</w:t>
      </w:r>
      <w:r w:rsidRPr="008D1B92">
        <w:rPr>
          <w:rFonts w:hint="cs"/>
          <w:spacing w:val="0"/>
          <w:kern w:val="0"/>
          <w:sz w:val="20"/>
          <w:rtl/>
          <w:lang w:val="en-CA"/>
        </w:rPr>
        <w:t xml:space="preserve"> معروف لدى السلطات الهايتية و</w:t>
      </w:r>
      <w:r w:rsidRPr="008D1B92">
        <w:rPr>
          <w:spacing w:val="0"/>
          <w:kern w:val="0"/>
          <w:sz w:val="20"/>
          <w:rtl/>
          <w:lang w:val="en-CA"/>
        </w:rPr>
        <w:t xml:space="preserve">الكندية </w:t>
      </w:r>
      <w:r w:rsidRPr="008D1B92">
        <w:rPr>
          <w:rFonts w:hint="cs"/>
          <w:spacing w:val="0"/>
          <w:kern w:val="0"/>
          <w:sz w:val="20"/>
          <w:rtl/>
          <w:lang w:val="en-CA"/>
        </w:rPr>
        <w:t xml:space="preserve">حيث أفرج عنه بعد احتجازه حسبما لاحظ أفراد من رجال </w:t>
      </w:r>
      <w:r w:rsidRPr="008D1B92">
        <w:rPr>
          <w:spacing w:val="0"/>
          <w:kern w:val="0"/>
          <w:sz w:val="20"/>
          <w:rtl/>
          <w:lang w:val="en-CA"/>
        </w:rPr>
        <w:t xml:space="preserve">شرطة مدينة </w:t>
      </w:r>
      <w:r w:rsidRPr="008D1B92">
        <w:rPr>
          <w:rFonts w:hint="cs"/>
          <w:spacing w:val="0"/>
          <w:kern w:val="0"/>
          <w:sz w:val="20"/>
          <w:rtl/>
          <w:lang w:val="en-CA"/>
        </w:rPr>
        <w:t xml:space="preserve">مونتريال كانوا معارين </w:t>
      </w:r>
      <w:r w:rsidRPr="008D1B92">
        <w:rPr>
          <w:spacing w:val="0"/>
          <w:kern w:val="0"/>
          <w:sz w:val="20"/>
          <w:rtl/>
          <w:lang w:val="en-CA"/>
        </w:rPr>
        <w:t xml:space="preserve">إلى هايتي. </w:t>
      </w:r>
      <w:r w:rsidRPr="008D1B92">
        <w:rPr>
          <w:rFonts w:hint="cs"/>
          <w:spacing w:val="0"/>
          <w:kern w:val="0"/>
          <w:sz w:val="20"/>
          <w:rtl/>
          <w:lang w:val="en-CA"/>
        </w:rPr>
        <w:t>و</w:t>
      </w:r>
      <w:r w:rsidRPr="008D1B92">
        <w:rPr>
          <w:spacing w:val="0"/>
          <w:kern w:val="0"/>
          <w:sz w:val="20"/>
          <w:rtl/>
          <w:lang w:val="en-CA"/>
        </w:rPr>
        <w:t xml:space="preserve">تلاحظ الدولة الطرف كذلك أن </w:t>
      </w:r>
      <w:r w:rsidRPr="008D1B92">
        <w:rPr>
          <w:rFonts w:hint="cs"/>
          <w:spacing w:val="0"/>
          <w:kern w:val="0"/>
          <w:sz w:val="20"/>
          <w:rtl/>
          <w:lang w:val="en-CA"/>
        </w:rPr>
        <w:t xml:space="preserve">هناك إقراراً </w:t>
      </w:r>
      <w:r w:rsidRPr="008D1B92">
        <w:rPr>
          <w:spacing w:val="0"/>
          <w:kern w:val="0"/>
          <w:sz w:val="20"/>
          <w:rtl/>
          <w:lang w:val="en-CA"/>
        </w:rPr>
        <w:t xml:space="preserve">من </w:t>
      </w:r>
      <w:r w:rsidRPr="008D1B92">
        <w:rPr>
          <w:rFonts w:hint="cs"/>
          <w:spacing w:val="0"/>
          <w:kern w:val="0"/>
          <w:sz w:val="20"/>
          <w:rtl/>
          <w:lang w:val="en-CA"/>
        </w:rPr>
        <w:t xml:space="preserve">السكرتير </w:t>
      </w:r>
      <w:r w:rsidRPr="008D1B92">
        <w:rPr>
          <w:spacing w:val="0"/>
          <w:kern w:val="0"/>
          <w:sz w:val="20"/>
          <w:rtl/>
          <w:lang w:val="en-CA"/>
        </w:rPr>
        <w:t>الأول (</w:t>
      </w:r>
      <w:r w:rsidRPr="008D1B92">
        <w:rPr>
          <w:rFonts w:hint="cs"/>
          <w:spacing w:val="0"/>
          <w:kern w:val="0"/>
          <w:sz w:val="20"/>
          <w:rtl/>
          <w:lang w:val="en-CA"/>
        </w:rPr>
        <w:t>المعني ب</w:t>
      </w:r>
      <w:r w:rsidRPr="008D1B92">
        <w:rPr>
          <w:spacing w:val="0"/>
          <w:kern w:val="0"/>
          <w:sz w:val="20"/>
          <w:rtl/>
          <w:lang w:val="en-CA"/>
        </w:rPr>
        <w:t>الهجرة) و</w:t>
      </w:r>
      <w:r w:rsidRPr="008D1B92">
        <w:rPr>
          <w:rFonts w:hint="cs"/>
          <w:spacing w:val="0"/>
          <w:kern w:val="0"/>
          <w:sz w:val="20"/>
          <w:rtl/>
          <w:lang w:val="en-CA"/>
        </w:rPr>
        <w:t xml:space="preserve">الموظف المعني بحركات الهجرة في البعثة الكندية في </w:t>
      </w:r>
      <w:r w:rsidRPr="008D1B92">
        <w:rPr>
          <w:spacing w:val="0"/>
          <w:kern w:val="0"/>
          <w:sz w:val="20"/>
          <w:rtl/>
          <w:lang w:val="en-CA"/>
        </w:rPr>
        <w:t>بورت</w:t>
      </w:r>
      <w:r w:rsidRPr="008D1B92">
        <w:rPr>
          <w:rFonts w:hint="cs"/>
          <w:spacing w:val="0"/>
          <w:kern w:val="0"/>
          <w:sz w:val="20"/>
          <w:rtl/>
          <w:lang w:val="en-CA"/>
        </w:rPr>
        <w:t xml:space="preserve"> </w:t>
      </w:r>
      <w:r w:rsidRPr="008D1B92">
        <w:rPr>
          <w:spacing w:val="0"/>
          <w:kern w:val="0"/>
          <w:sz w:val="20"/>
          <w:rtl/>
          <w:lang w:val="en-CA"/>
        </w:rPr>
        <w:t>أو</w:t>
      </w:r>
      <w:r w:rsidRPr="008D1B92">
        <w:rPr>
          <w:rFonts w:hint="cs"/>
          <w:spacing w:val="0"/>
          <w:kern w:val="0"/>
          <w:sz w:val="20"/>
          <w:rtl/>
          <w:lang w:val="en-CA"/>
        </w:rPr>
        <w:t xml:space="preserve"> </w:t>
      </w:r>
      <w:r w:rsidRPr="008D1B92">
        <w:rPr>
          <w:spacing w:val="0"/>
          <w:kern w:val="0"/>
          <w:sz w:val="20"/>
          <w:rtl/>
          <w:lang w:val="en-CA"/>
        </w:rPr>
        <w:t>بر</w:t>
      </w:r>
      <w:r w:rsidRPr="008D1B92">
        <w:rPr>
          <w:rFonts w:hint="cs"/>
          <w:spacing w:val="0"/>
          <w:kern w:val="0"/>
          <w:sz w:val="20"/>
          <w:rtl/>
          <w:lang w:val="en-CA"/>
        </w:rPr>
        <w:t>ا</w:t>
      </w:r>
      <w:r w:rsidRPr="008D1B92">
        <w:rPr>
          <w:spacing w:val="0"/>
          <w:kern w:val="0"/>
          <w:sz w:val="20"/>
          <w:rtl/>
          <w:lang w:val="en-CA"/>
        </w:rPr>
        <w:t xml:space="preserve">نس </w:t>
      </w:r>
      <w:r w:rsidRPr="008D1B92">
        <w:rPr>
          <w:rFonts w:hint="cs"/>
          <w:spacing w:val="0"/>
          <w:kern w:val="0"/>
          <w:sz w:val="20"/>
          <w:rtl/>
          <w:lang w:val="en-CA"/>
        </w:rPr>
        <w:t>ي</w:t>
      </w:r>
      <w:r w:rsidRPr="008D1B92">
        <w:rPr>
          <w:spacing w:val="0"/>
          <w:kern w:val="0"/>
          <w:sz w:val="20"/>
          <w:rtl/>
          <w:lang w:val="en-CA"/>
        </w:rPr>
        <w:t xml:space="preserve">صف الممارسة </w:t>
      </w:r>
      <w:r w:rsidRPr="008D1B92">
        <w:rPr>
          <w:rFonts w:hint="cs"/>
          <w:spacing w:val="0"/>
          <w:kern w:val="0"/>
          <w:sz w:val="20"/>
          <w:rtl/>
          <w:lang w:val="en-CA"/>
        </w:rPr>
        <w:t>التي تتبعها</w:t>
      </w:r>
      <w:r w:rsidRPr="008D1B92">
        <w:rPr>
          <w:spacing w:val="0"/>
          <w:kern w:val="0"/>
          <w:sz w:val="20"/>
          <w:rtl/>
          <w:lang w:val="en-CA"/>
        </w:rPr>
        <w:t xml:space="preserve"> </w:t>
      </w:r>
      <w:r w:rsidRPr="008D1B92">
        <w:rPr>
          <w:rFonts w:hint="cs"/>
          <w:spacing w:val="0"/>
          <w:kern w:val="0"/>
          <w:sz w:val="20"/>
          <w:rtl/>
          <w:lang w:val="en-CA"/>
        </w:rPr>
        <w:t>ا</w:t>
      </w:r>
      <w:r w:rsidRPr="008D1B92">
        <w:rPr>
          <w:spacing w:val="0"/>
          <w:kern w:val="0"/>
          <w:sz w:val="20"/>
          <w:rtl/>
          <w:lang w:val="en-CA"/>
        </w:rPr>
        <w:t xml:space="preserve">لسلطات الهايتية </w:t>
      </w:r>
      <w:r w:rsidRPr="008D1B92">
        <w:rPr>
          <w:rFonts w:hint="cs"/>
          <w:spacing w:val="0"/>
          <w:kern w:val="0"/>
          <w:sz w:val="20"/>
          <w:rtl/>
          <w:lang w:val="en-CA"/>
        </w:rPr>
        <w:t>حاليا</w:t>
      </w:r>
      <w:r w:rsidR="00B35B26">
        <w:rPr>
          <w:rFonts w:hint="cs"/>
          <w:spacing w:val="0"/>
          <w:kern w:val="0"/>
          <w:sz w:val="20"/>
          <w:rtl/>
          <w:lang w:val="en-CA"/>
        </w:rPr>
        <w:t>ً</w:t>
      </w:r>
      <w:r w:rsidRPr="008D1B92">
        <w:rPr>
          <w:rFonts w:hint="cs"/>
          <w:spacing w:val="0"/>
          <w:kern w:val="0"/>
          <w:sz w:val="20"/>
          <w:rtl/>
          <w:lang w:val="en-CA"/>
        </w:rPr>
        <w:t xml:space="preserve"> </w:t>
      </w:r>
      <w:r w:rsidRPr="008D1B92">
        <w:rPr>
          <w:spacing w:val="0"/>
          <w:kern w:val="0"/>
          <w:sz w:val="20"/>
          <w:rtl/>
          <w:lang w:val="en-CA"/>
        </w:rPr>
        <w:t xml:space="preserve">منذ </w:t>
      </w:r>
      <w:r w:rsidRPr="008D1B92">
        <w:rPr>
          <w:rFonts w:hint="cs"/>
          <w:spacing w:val="0"/>
          <w:kern w:val="0"/>
          <w:sz w:val="20"/>
          <w:rtl/>
          <w:lang w:val="en-CA"/>
        </w:rPr>
        <w:t xml:space="preserve">آب/ </w:t>
      </w:r>
      <w:r w:rsidRPr="008D1B92">
        <w:rPr>
          <w:spacing w:val="0"/>
          <w:kern w:val="0"/>
          <w:sz w:val="20"/>
          <w:rtl/>
          <w:lang w:val="en-CA"/>
        </w:rPr>
        <w:t>أغسطس 2007</w:t>
      </w:r>
      <w:r w:rsidRPr="008D1B92">
        <w:rPr>
          <w:rFonts w:hint="cs"/>
          <w:spacing w:val="0"/>
          <w:kern w:val="0"/>
          <w:sz w:val="20"/>
          <w:rtl/>
          <w:lang w:val="en-CA"/>
        </w:rPr>
        <w:t xml:space="preserve"> </w:t>
      </w:r>
      <w:r w:rsidRPr="008D1B92">
        <w:rPr>
          <w:spacing w:val="0"/>
          <w:kern w:val="0"/>
          <w:sz w:val="20"/>
          <w:rtl/>
          <w:lang w:val="en-CA"/>
        </w:rPr>
        <w:t xml:space="preserve">فيما يتعلق </w:t>
      </w:r>
      <w:r w:rsidRPr="008D1B92">
        <w:rPr>
          <w:rFonts w:hint="cs"/>
          <w:spacing w:val="0"/>
          <w:kern w:val="0"/>
          <w:sz w:val="20"/>
          <w:rtl/>
          <w:lang w:val="en-CA"/>
        </w:rPr>
        <w:t>ب</w:t>
      </w:r>
      <w:r w:rsidRPr="008D1B92">
        <w:rPr>
          <w:spacing w:val="0"/>
          <w:kern w:val="0"/>
          <w:sz w:val="20"/>
          <w:rtl/>
          <w:lang w:val="en-CA"/>
        </w:rPr>
        <w:t xml:space="preserve">مواطني هايتي </w:t>
      </w:r>
      <w:r w:rsidRPr="008D1B92">
        <w:rPr>
          <w:rFonts w:hint="cs"/>
          <w:spacing w:val="0"/>
          <w:kern w:val="0"/>
          <w:sz w:val="20"/>
          <w:rtl/>
          <w:lang w:val="en-CA"/>
        </w:rPr>
        <w:t>المرحلين</w:t>
      </w:r>
      <w:r w:rsidRPr="008D1B92">
        <w:rPr>
          <w:spacing w:val="0"/>
          <w:kern w:val="0"/>
          <w:sz w:val="20"/>
          <w:rtl/>
          <w:lang w:val="en-CA"/>
        </w:rPr>
        <w:t xml:space="preserve"> من كندا بسبب الجريمة. </w:t>
      </w:r>
      <w:r w:rsidRPr="008D1B92">
        <w:rPr>
          <w:rFonts w:hint="cs"/>
          <w:spacing w:val="0"/>
          <w:kern w:val="0"/>
          <w:sz w:val="20"/>
          <w:rtl/>
          <w:lang w:val="en-CA"/>
        </w:rPr>
        <w:t xml:space="preserve">وتتناقض </w:t>
      </w:r>
      <w:r w:rsidRPr="008D1B92">
        <w:rPr>
          <w:spacing w:val="0"/>
          <w:kern w:val="0"/>
          <w:sz w:val="20"/>
          <w:rtl/>
          <w:lang w:val="en-CA"/>
        </w:rPr>
        <w:t xml:space="preserve">هذه </w:t>
      </w:r>
      <w:r w:rsidRPr="008D1B92">
        <w:rPr>
          <w:rFonts w:hint="cs"/>
          <w:spacing w:val="0"/>
          <w:kern w:val="0"/>
          <w:sz w:val="20"/>
          <w:rtl/>
          <w:lang w:val="en-CA"/>
        </w:rPr>
        <w:t>ال</w:t>
      </w:r>
      <w:r w:rsidRPr="008D1B92">
        <w:rPr>
          <w:spacing w:val="0"/>
          <w:kern w:val="0"/>
          <w:sz w:val="20"/>
          <w:rtl/>
          <w:lang w:val="en-CA"/>
        </w:rPr>
        <w:t xml:space="preserve">معلومات </w:t>
      </w:r>
      <w:r w:rsidRPr="008D1B92">
        <w:rPr>
          <w:rFonts w:hint="cs"/>
          <w:spacing w:val="0"/>
          <w:kern w:val="0"/>
          <w:sz w:val="20"/>
          <w:rtl/>
          <w:lang w:val="en-CA"/>
        </w:rPr>
        <w:t>التفصيلية</w:t>
      </w:r>
      <w:r w:rsidRPr="008D1B92">
        <w:rPr>
          <w:spacing w:val="0"/>
          <w:kern w:val="0"/>
          <w:sz w:val="20"/>
          <w:rtl/>
          <w:lang w:val="en-CA"/>
        </w:rPr>
        <w:t xml:space="preserve"> بشكل قاطع </w:t>
      </w:r>
      <w:r w:rsidRPr="008D1B92">
        <w:rPr>
          <w:rFonts w:hint="cs"/>
          <w:spacing w:val="0"/>
          <w:kern w:val="0"/>
          <w:sz w:val="20"/>
          <w:rtl/>
          <w:lang w:val="en-CA"/>
        </w:rPr>
        <w:t xml:space="preserve">مع </w:t>
      </w:r>
      <w:r w:rsidRPr="00DE469F">
        <w:rPr>
          <w:rFonts w:hint="cs"/>
          <w:spacing w:val="-2"/>
          <w:kern w:val="0"/>
          <w:sz w:val="20"/>
          <w:rtl/>
          <w:lang w:val="en-CA"/>
        </w:rPr>
        <w:t>ادعاء صاحب الشكوى</w:t>
      </w:r>
      <w:r w:rsidRPr="00DE469F">
        <w:rPr>
          <w:spacing w:val="-2"/>
          <w:kern w:val="0"/>
          <w:sz w:val="20"/>
          <w:rtl/>
          <w:lang w:val="en-CA"/>
        </w:rPr>
        <w:t xml:space="preserve"> </w:t>
      </w:r>
      <w:r w:rsidRPr="00DE469F">
        <w:rPr>
          <w:rFonts w:hint="cs"/>
          <w:spacing w:val="-2"/>
          <w:kern w:val="0"/>
          <w:sz w:val="20"/>
          <w:rtl/>
          <w:lang w:val="en-CA"/>
        </w:rPr>
        <w:t>الذي يفيد ب</w:t>
      </w:r>
      <w:r w:rsidRPr="00DE469F">
        <w:rPr>
          <w:spacing w:val="-2"/>
          <w:kern w:val="0"/>
          <w:sz w:val="20"/>
          <w:rtl/>
          <w:lang w:val="en-CA"/>
        </w:rPr>
        <w:t xml:space="preserve">أن </w:t>
      </w:r>
      <w:r w:rsidRPr="00DE469F">
        <w:rPr>
          <w:rFonts w:hint="cs"/>
          <w:spacing w:val="-2"/>
          <w:kern w:val="0"/>
          <w:sz w:val="20"/>
          <w:rtl/>
          <w:lang w:val="en-CA"/>
        </w:rPr>
        <w:t xml:space="preserve">الادعاءات الكندية </w:t>
      </w:r>
      <w:r w:rsidRPr="00DE469F">
        <w:rPr>
          <w:spacing w:val="-2"/>
          <w:kern w:val="0"/>
          <w:sz w:val="20"/>
          <w:rtl/>
          <w:lang w:val="en-CA"/>
        </w:rPr>
        <w:t xml:space="preserve">تستند </w:t>
      </w:r>
      <w:r w:rsidRPr="00DE469F">
        <w:rPr>
          <w:rFonts w:hint="cs"/>
          <w:spacing w:val="-2"/>
          <w:kern w:val="0"/>
          <w:sz w:val="20"/>
          <w:rtl/>
          <w:lang w:val="en-CA"/>
        </w:rPr>
        <w:t>إ</w:t>
      </w:r>
      <w:r w:rsidRPr="00DE469F">
        <w:rPr>
          <w:spacing w:val="-2"/>
          <w:kern w:val="0"/>
          <w:sz w:val="20"/>
          <w:rtl/>
          <w:lang w:val="en-CA"/>
        </w:rPr>
        <w:t xml:space="preserve">لى ممارسة </w:t>
      </w:r>
      <w:r w:rsidRPr="00DE469F">
        <w:rPr>
          <w:rFonts w:hint="cs"/>
          <w:spacing w:val="-2"/>
          <w:kern w:val="0"/>
          <w:sz w:val="20"/>
          <w:rtl/>
          <w:lang w:val="en-CA"/>
        </w:rPr>
        <w:t>حديثة جداً ل</w:t>
      </w:r>
      <w:r w:rsidRPr="00DE469F">
        <w:rPr>
          <w:spacing w:val="-2"/>
          <w:kern w:val="0"/>
          <w:sz w:val="20"/>
          <w:rtl/>
          <w:lang w:val="en-CA"/>
        </w:rPr>
        <w:t>لسلطات الهايتية</w:t>
      </w:r>
      <w:r w:rsidRPr="00DE469F">
        <w:rPr>
          <w:rFonts w:hint="cs"/>
          <w:spacing w:val="-2"/>
          <w:kern w:val="0"/>
          <w:sz w:val="20"/>
          <w:rtl/>
          <w:lang w:val="en-CA"/>
        </w:rPr>
        <w:t xml:space="preserve"> </w:t>
      </w:r>
      <w:r w:rsidRPr="00DE469F">
        <w:rPr>
          <w:spacing w:val="-2"/>
          <w:kern w:val="0"/>
          <w:sz w:val="20"/>
          <w:rtl/>
          <w:lang w:val="en-CA"/>
        </w:rPr>
        <w:t xml:space="preserve">لا يمكن تقييمها بشكل صحيح. </w:t>
      </w:r>
      <w:r w:rsidRPr="00DE469F">
        <w:rPr>
          <w:rFonts w:hint="cs"/>
          <w:spacing w:val="-2"/>
          <w:kern w:val="0"/>
          <w:sz w:val="20"/>
          <w:rtl/>
          <w:lang w:val="en-CA"/>
        </w:rPr>
        <w:t>ويؤكد الإقرار أن المرحلين لا يحتجزون</w:t>
      </w:r>
      <w:r w:rsidRPr="00DE469F">
        <w:rPr>
          <w:spacing w:val="-2"/>
          <w:kern w:val="0"/>
          <w:sz w:val="20"/>
          <w:rtl/>
          <w:lang w:val="en-CA"/>
        </w:rPr>
        <w:t xml:space="preserve"> بصفة عامة، </w:t>
      </w:r>
      <w:r w:rsidRPr="00DE469F">
        <w:rPr>
          <w:rFonts w:hint="cs"/>
          <w:spacing w:val="-2"/>
          <w:kern w:val="0"/>
          <w:sz w:val="20"/>
          <w:rtl/>
          <w:lang w:val="en-CA"/>
        </w:rPr>
        <w:t>وفي حالة احتجازهم</w:t>
      </w:r>
      <w:r w:rsidRPr="00DE469F">
        <w:rPr>
          <w:spacing w:val="-2"/>
          <w:kern w:val="0"/>
          <w:sz w:val="20"/>
          <w:rtl/>
          <w:lang w:val="en-CA"/>
        </w:rPr>
        <w:t xml:space="preserve">، </w:t>
      </w:r>
      <w:r w:rsidRPr="00DE469F">
        <w:rPr>
          <w:rFonts w:hint="cs"/>
          <w:spacing w:val="-2"/>
          <w:kern w:val="0"/>
          <w:sz w:val="20"/>
          <w:rtl/>
          <w:lang w:val="en-CA"/>
        </w:rPr>
        <w:t xml:space="preserve">فإن </w:t>
      </w:r>
      <w:r w:rsidRPr="00DE469F">
        <w:rPr>
          <w:spacing w:val="-2"/>
          <w:kern w:val="0"/>
          <w:sz w:val="20"/>
          <w:rtl/>
          <w:lang w:val="en-CA"/>
        </w:rPr>
        <w:t xml:space="preserve">متوسط </w:t>
      </w:r>
      <w:r w:rsidRPr="00DE469F">
        <w:rPr>
          <w:rFonts w:hint="cs"/>
          <w:spacing w:val="-2"/>
          <w:kern w:val="0"/>
          <w:sz w:val="20"/>
          <w:rtl/>
          <w:lang w:val="en-CA"/>
        </w:rPr>
        <w:t>مدة</w:t>
      </w:r>
      <w:r w:rsidRPr="00DE469F">
        <w:rPr>
          <w:spacing w:val="-2"/>
          <w:kern w:val="0"/>
          <w:sz w:val="20"/>
          <w:rtl/>
          <w:lang w:val="en-CA"/>
        </w:rPr>
        <w:t xml:space="preserve"> </w:t>
      </w:r>
      <w:r w:rsidRPr="00DE469F">
        <w:rPr>
          <w:rFonts w:hint="cs"/>
          <w:spacing w:val="-2"/>
          <w:kern w:val="0"/>
          <w:sz w:val="20"/>
          <w:rtl/>
          <w:lang w:val="en-CA"/>
        </w:rPr>
        <w:t>الاحتجاز</w:t>
      </w:r>
      <w:r w:rsidRPr="00DE469F">
        <w:rPr>
          <w:spacing w:val="-2"/>
          <w:kern w:val="0"/>
          <w:sz w:val="20"/>
          <w:rtl/>
          <w:lang w:val="en-CA"/>
        </w:rPr>
        <w:t xml:space="preserve"> </w:t>
      </w:r>
      <w:r w:rsidRPr="00DE469F">
        <w:rPr>
          <w:rFonts w:hint="cs"/>
          <w:spacing w:val="-2"/>
          <w:kern w:val="0"/>
          <w:sz w:val="20"/>
          <w:rtl/>
          <w:lang w:val="en-CA"/>
        </w:rPr>
        <w:t>يبلغ خمسة</w:t>
      </w:r>
      <w:r w:rsidRPr="00DE469F">
        <w:rPr>
          <w:spacing w:val="-2"/>
          <w:kern w:val="0"/>
          <w:sz w:val="20"/>
          <w:rtl/>
          <w:lang w:val="en-CA"/>
        </w:rPr>
        <w:t xml:space="preserve"> </w:t>
      </w:r>
      <w:r w:rsidRPr="00DE469F">
        <w:rPr>
          <w:rFonts w:hint="cs"/>
          <w:spacing w:val="-2"/>
          <w:kern w:val="0"/>
          <w:sz w:val="20"/>
          <w:rtl/>
          <w:lang w:val="en-CA"/>
        </w:rPr>
        <w:t>أيام</w:t>
      </w:r>
      <w:r w:rsidRPr="00DE469F">
        <w:rPr>
          <w:spacing w:val="-2"/>
          <w:kern w:val="0"/>
          <w:sz w:val="20"/>
          <w:rtl/>
          <w:lang w:val="en-CA"/>
        </w:rPr>
        <w:t xml:space="preserve">. </w:t>
      </w:r>
      <w:r w:rsidRPr="00DE469F">
        <w:rPr>
          <w:rFonts w:hint="cs"/>
          <w:spacing w:val="-2"/>
          <w:kern w:val="0"/>
          <w:sz w:val="20"/>
          <w:rtl/>
          <w:lang w:val="en-CA"/>
        </w:rPr>
        <w:t>ويواصل الإقرار أنه</w:t>
      </w:r>
      <w:r w:rsidRPr="00DE469F">
        <w:rPr>
          <w:spacing w:val="-2"/>
          <w:kern w:val="0"/>
          <w:sz w:val="20"/>
          <w:rtl/>
          <w:lang w:val="en-CA"/>
        </w:rPr>
        <w:t xml:space="preserve"> </w:t>
      </w:r>
      <w:r w:rsidRPr="00DE469F">
        <w:rPr>
          <w:rFonts w:hint="cs"/>
          <w:spacing w:val="-2"/>
          <w:kern w:val="0"/>
          <w:sz w:val="20"/>
          <w:rtl/>
          <w:lang w:val="en-CA"/>
        </w:rPr>
        <w:t>لا</w:t>
      </w:r>
      <w:r w:rsidRPr="00DE469F">
        <w:rPr>
          <w:spacing w:val="-2"/>
          <w:kern w:val="0"/>
          <w:sz w:val="20"/>
          <w:rtl/>
          <w:lang w:val="en-CA"/>
        </w:rPr>
        <w:t xml:space="preserve"> </w:t>
      </w:r>
      <w:r w:rsidRPr="00DE469F">
        <w:rPr>
          <w:rFonts w:hint="cs"/>
          <w:spacing w:val="-2"/>
          <w:kern w:val="0"/>
          <w:sz w:val="20"/>
          <w:rtl/>
          <w:lang w:val="en-CA"/>
        </w:rPr>
        <w:t>يوجد</w:t>
      </w:r>
      <w:r w:rsidRPr="00DE469F">
        <w:rPr>
          <w:spacing w:val="-2"/>
          <w:kern w:val="0"/>
          <w:sz w:val="20"/>
          <w:rtl/>
          <w:lang w:val="en-CA"/>
        </w:rPr>
        <w:t xml:space="preserve"> </w:t>
      </w:r>
      <w:r w:rsidRPr="00DE469F">
        <w:rPr>
          <w:rFonts w:hint="cs"/>
          <w:spacing w:val="-2"/>
          <w:kern w:val="0"/>
          <w:sz w:val="20"/>
          <w:rtl/>
          <w:lang w:val="en-CA"/>
        </w:rPr>
        <w:t>أي</w:t>
      </w:r>
      <w:r w:rsidRPr="00DE469F">
        <w:rPr>
          <w:spacing w:val="-2"/>
          <w:kern w:val="0"/>
          <w:sz w:val="20"/>
          <w:rtl/>
          <w:lang w:val="en-CA"/>
        </w:rPr>
        <w:t xml:space="preserve"> </w:t>
      </w:r>
      <w:r w:rsidRPr="00DE469F">
        <w:rPr>
          <w:rFonts w:hint="cs"/>
          <w:spacing w:val="-2"/>
          <w:kern w:val="0"/>
          <w:sz w:val="20"/>
          <w:rtl/>
          <w:lang w:val="en-CA"/>
        </w:rPr>
        <w:t>سبب</w:t>
      </w:r>
      <w:r w:rsidRPr="00DE469F">
        <w:rPr>
          <w:spacing w:val="-2"/>
          <w:kern w:val="0"/>
          <w:sz w:val="20"/>
          <w:rtl/>
          <w:lang w:val="en-CA"/>
        </w:rPr>
        <w:t xml:space="preserve"> </w:t>
      </w:r>
      <w:r w:rsidRPr="00DE469F">
        <w:rPr>
          <w:rFonts w:hint="cs"/>
          <w:spacing w:val="-2"/>
          <w:kern w:val="0"/>
          <w:sz w:val="20"/>
          <w:rtl/>
          <w:lang w:val="en-CA"/>
        </w:rPr>
        <w:t>يدعو إلى الاعتقاد</w:t>
      </w:r>
      <w:r w:rsidRPr="00DE469F">
        <w:rPr>
          <w:spacing w:val="-2"/>
          <w:kern w:val="0"/>
          <w:sz w:val="20"/>
          <w:rtl/>
          <w:lang w:val="en-CA"/>
        </w:rPr>
        <w:t xml:space="preserve"> </w:t>
      </w:r>
      <w:r w:rsidRPr="00DE469F">
        <w:rPr>
          <w:rFonts w:hint="cs"/>
          <w:spacing w:val="-2"/>
          <w:kern w:val="0"/>
          <w:sz w:val="20"/>
          <w:rtl/>
          <w:lang w:val="en-CA"/>
        </w:rPr>
        <w:t>بأن</w:t>
      </w:r>
      <w:r w:rsidRPr="00DE469F">
        <w:rPr>
          <w:spacing w:val="-2"/>
          <w:kern w:val="0"/>
          <w:sz w:val="20"/>
          <w:rtl/>
          <w:lang w:val="en-CA"/>
        </w:rPr>
        <w:t xml:space="preserve"> </w:t>
      </w:r>
      <w:r w:rsidRPr="00DE469F">
        <w:rPr>
          <w:rFonts w:hint="cs"/>
          <w:spacing w:val="-2"/>
          <w:kern w:val="0"/>
          <w:sz w:val="20"/>
          <w:rtl/>
          <w:lang w:val="en-CA"/>
        </w:rPr>
        <w:t>هؤلاء</w:t>
      </w:r>
      <w:r w:rsidRPr="00DE469F">
        <w:rPr>
          <w:spacing w:val="-2"/>
          <w:kern w:val="0"/>
          <w:sz w:val="20"/>
          <w:rtl/>
          <w:lang w:val="en-CA"/>
        </w:rPr>
        <w:t xml:space="preserve"> </w:t>
      </w:r>
      <w:r w:rsidRPr="00DE469F">
        <w:rPr>
          <w:rFonts w:hint="cs"/>
          <w:spacing w:val="-2"/>
          <w:kern w:val="0"/>
          <w:sz w:val="20"/>
          <w:rtl/>
          <w:lang w:val="en-CA"/>
        </w:rPr>
        <w:t>الأشخاص</w:t>
      </w:r>
      <w:r w:rsidRPr="00DE469F">
        <w:rPr>
          <w:spacing w:val="-2"/>
          <w:kern w:val="0"/>
          <w:sz w:val="20"/>
          <w:rtl/>
          <w:lang w:val="en-CA"/>
        </w:rPr>
        <w:t xml:space="preserve"> </w:t>
      </w:r>
      <w:r w:rsidRPr="00DE469F">
        <w:rPr>
          <w:rFonts w:hint="cs"/>
          <w:spacing w:val="-2"/>
          <w:kern w:val="0"/>
          <w:sz w:val="20"/>
          <w:rtl/>
          <w:lang w:val="en-CA"/>
        </w:rPr>
        <w:t>يتعرضون</w:t>
      </w:r>
      <w:r w:rsidRPr="00DE469F">
        <w:rPr>
          <w:spacing w:val="-2"/>
          <w:kern w:val="0"/>
          <w:sz w:val="20"/>
          <w:rtl/>
          <w:lang w:val="en-CA"/>
        </w:rPr>
        <w:t xml:space="preserve"> </w:t>
      </w:r>
      <w:r w:rsidRPr="00DE469F">
        <w:rPr>
          <w:rFonts w:hint="cs"/>
          <w:spacing w:val="-2"/>
          <w:kern w:val="0"/>
          <w:sz w:val="20"/>
          <w:rtl/>
          <w:lang w:val="en-CA"/>
        </w:rPr>
        <w:t>لسوء</w:t>
      </w:r>
      <w:r w:rsidRPr="00DE469F">
        <w:rPr>
          <w:spacing w:val="-2"/>
          <w:kern w:val="0"/>
          <w:sz w:val="20"/>
          <w:rtl/>
          <w:lang w:val="en-CA"/>
        </w:rPr>
        <w:t xml:space="preserve"> </w:t>
      </w:r>
      <w:r w:rsidRPr="00DE469F">
        <w:rPr>
          <w:rFonts w:hint="cs"/>
          <w:spacing w:val="-2"/>
          <w:kern w:val="0"/>
          <w:sz w:val="20"/>
          <w:rtl/>
          <w:lang w:val="en-CA"/>
        </w:rPr>
        <w:t>المعاملة</w:t>
      </w:r>
      <w:r w:rsidRPr="00DE469F">
        <w:rPr>
          <w:spacing w:val="-2"/>
          <w:kern w:val="0"/>
          <w:sz w:val="20"/>
          <w:rtl/>
          <w:lang w:val="en-CA"/>
        </w:rPr>
        <w:t xml:space="preserve"> </w:t>
      </w:r>
      <w:r w:rsidRPr="00DE469F">
        <w:rPr>
          <w:rFonts w:hint="cs"/>
          <w:spacing w:val="-2"/>
          <w:kern w:val="0"/>
          <w:sz w:val="20"/>
          <w:rtl/>
          <w:lang w:val="en-CA"/>
        </w:rPr>
        <w:t>أثناء</w:t>
      </w:r>
      <w:r w:rsidRPr="00DE469F">
        <w:rPr>
          <w:spacing w:val="-2"/>
          <w:kern w:val="0"/>
          <w:sz w:val="20"/>
          <w:rtl/>
          <w:lang w:val="en-CA"/>
        </w:rPr>
        <w:t xml:space="preserve"> </w:t>
      </w:r>
      <w:r w:rsidRPr="00DE469F">
        <w:rPr>
          <w:rFonts w:hint="cs"/>
          <w:spacing w:val="-2"/>
          <w:kern w:val="0"/>
          <w:sz w:val="20"/>
          <w:rtl/>
          <w:lang w:val="en-CA"/>
        </w:rPr>
        <w:t>الاحتجاز أو أنهم يحتجزون بطريقة</w:t>
      </w:r>
      <w:r w:rsidRPr="00DE469F">
        <w:rPr>
          <w:spacing w:val="-2"/>
          <w:kern w:val="0"/>
          <w:sz w:val="20"/>
          <w:rtl/>
          <w:lang w:val="en-CA"/>
        </w:rPr>
        <w:t xml:space="preserve"> </w:t>
      </w:r>
      <w:r w:rsidRPr="00DE469F">
        <w:rPr>
          <w:rFonts w:hint="cs"/>
          <w:spacing w:val="-2"/>
          <w:kern w:val="0"/>
          <w:sz w:val="20"/>
          <w:rtl/>
          <w:lang w:val="en-CA"/>
        </w:rPr>
        <w:t>لا إنسانية</w:t>
      </w:r>
      <w:r w:rsidRPr="00DE469F">
        <w:rPr>
          <w:spacing w:val="-2"/>
          <w:kern w:val="0"/>
          <w:sz w:val="20"/>
          <w:rtl/>
          <w:lang w:val="en-CA"/>
        </w:rPr>
        <w:t xml:space="preserve">. </w:t>
      </w:r>
      <w:r w:rsidRPr="00DE469F">
        <w:rPr>
          <w:rFonts w:hint="cs"/>
          <w:spacing w:val="-2"/>
          <w:kern w:val="0"/>
          <w:sz w:val="20"/>
          <w:rtl/>
          <w:lang w:val="en-CA"/>
        </w:rPr>
        <w:t>وبالتالي، تؤكد</w:t>
      </w:r>
      <w:r w:rsidRPr="00DE469F">
        <w:rPr>
          <w:spacing w:val="-2"/>
          <w:kern w:val="0"/>
          <w:sz w:val="20"/>
          <w:rtl/>
          <w:lang w:val="en-CA"/>
        </w:rPr>
        <w:t xml:space="preserve"> </w:t>
      </w:r>
      <w:r w:rsidRPr="00DE469F">
        <w:rPr>
          <w:rFonts w:hint="cs"/>
          <w:spacing w:val="-2"/>
          <w:kern w:val="0"/>
          <w:sz w:val="20"/>
          <w:rtl/>
          <w:lang w:val="en-CA"/>
        </w:rPr>
        <w:t>الدولة</w:t>
      </w:r>
      <w:r w:rsidRPr="00DE469F">
        <w:rPr>
          <w:spacing w:val="-2"/>
          <w:kern w:val="0"/>
          <w:sz w:val="20"/>
          <w:rtl/>
          <w:lang w:val="en-CA"/>
        </w:rPr>
        <w:t xml:space="preserve"> </w:t>
      </w:r>
      <w:r w:rsidRPr="00DE469F">
        <w:rPr>
          <w:rFonts w:hint="cs"/>
          <w:spacing w:val="-2"/>
          <w:kern w:val="0"/>
          <w:sz w:val="20"/>
          <w:rtl/>
          <w:lang w:val="en-CA"/>
        </w:rPr>
        <w:t>الطرف</w:t>
      </w:r>
      <w:r w:rsidRPr="00DE469F">
        <w:rPr>
          <w:spacing w:val="-2"/>
          <w:kern w:val="0"/>
          <w:sz w:val="20"/>
          <w:rtl/>
          <w:lang w:val="en-CA"/>
        </w:rPr>
        <w:t xml:space="preserve"> أن ادعاءات صاحب الشكوى غير مقبولة، </w:t>
      </w:r>
      <w:r w:rsidRPr="00DE469F">
        <w:rPr>
          <w:rFonts w:hint="cs"/>
          <w:spacing w:val="-2"/>
          <w:kern w:val="0"/>
          <w:sz w:val="20"/>
          <w:rtl/>
          <w:lang w:val="en-CA"/>
        </w:rPr>
        <w:t>أو أ</w:t>
      </w:r>
      <w:r w:rsidRPr="00DE469F">
        <w:rPr>
          <w:spacing w:val="-2"/>
          <w:kern w:val="0"/>
          <w:sz w:val="20"/>
          <w:rtl/>
          <w:lang w:val="en-CA"/>
        </w:rPr>
        <w:t>نها</w:t>
      </w:r>
      <w:r w:rsidRPr="00DE469F">
        <w:rPr>
          <w:rFonts w:hint="cs"/>
          <w:spacing w:val="-2"/>
          <w:kern w:val="0"/>
          <w:sz w:val="20"/>
          <w:rtl/>
          <w:lang w:val="en-CA"/>
        </w:rPr>
        <w:t>، احتياطياً،</w:t>
      </w:r>
      <w:r w:rsidRPr="00DE469F">
        <w:rPr>
          <w:spacing w:val="-2"/>
          <w:kern w:val="0"/>
          <w:sz w:val="20"/>
          <w:rtl/>
          <w:lang w:val="en-CA"/>
        </w:rPr>
        <w:t xml:space="preserve"> لا تشكل انتهاكا</w:t>
      </w:r>
      <w:r w:rsidRPr="00DE469F">
        <w:rPr>
          <w:rFonts w:hint="cs"/>
          <w:spacing w:val="-2"/>
          <w:kern w:val="0"/>
          <w:sz w:val="20"/>
          <w:rtl/>
          <w:lang w:val="en-CA"/>
        </w:rPr>
        <w:t>ً</w:t>
      </w:r>
      <w:r w:rsidRPr="00DE469F">
        <w:rPr>
          <w:spacing w:val="-2"/>
          <w:kern w:val="0"/>
          <w:sz w:val="20"/>
          <w:rtl/>
          <w:lang w:val="en-CA"/>
        </w:rPr>
        <w:t xml:space="preserve"> للمادة 3 من الاتفاقية</w:t>
      </w:r>
      <w:r w:rsidRPr="00DE469F">
        <w:rPr>
          <w:rFonts w:hint="cs"/>
          <w:spacing w:val="-2"/>
          <w:kern w:val="0"/>
          <w:sz w:val="20"/>
          <w:vertAlign w:val="superscript"/>
          <w:rtl/>
          <w:lang w:val="en-CA"/>
        </w:rPr>
        <w:t>(</w:t>
      </w:r>
      <w:r w:rsidRPr="00DE469F">
        <w:rPr>
          <w:rStyle w:val="FootnoteReference"/>
          <w:spacing w:val="-2"/>
          <w:sz w:val="20"/>
          <w:rtl/>
          <w:lang w:val="en-CA"/>
        </w:rPr>
        <w:footnoteReference w:id="239"/>
      </w:r>
      <w:r w:rsidRPr="00DE469F">
        <w:rPr>
          <w:rFonts w:hint="cs"/>
          <w:spacing w:val="-2"/>
          <w:kern w:val="0"/>
          <w:sz w:val="20"/>
          <w:vertAlign w:val="superscript"/>
          <w:rtl/>
          <w:lang w:val="en-CA"/>
        </w:rPr>
        <w:t>)</w:t>
      </w:r>
      <w:r w:rsidRPr="00DE469F">
        <w:rPr>
          <w:spacing w:val="-2"/>
          <w:kern w:val="0"/>
          <w:sz w:val="20"/>
          <w:rtl/>
          <w:lang w:val="en-CA"/>
        </w:rPr>
        <w:t>.</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6-3</w:t>
      </w:r>
      <w:r w:rsidRPr="008D1B92">
        <w:rPr>
          <w:rFonts w:hint="cs"/>
          <w:spacing w:val="0"/>
          <w:kern w:val="0"/>
          <w:sz w:val="20"/>
          <w:rtl/>
          <w:lang w:val="en-CA"/>
        </w:rPr>
        <w:tab/>
        <w:t xml:space="preserve">ويدعى صاحب الشكوى أنه في </w:t>
      </w:r>
      <w:r w:rsidRPr="008D1B92">
        <w:rPr>
          <w:spacing w:val="0"/>
          <w:kern w:val="0"/>
          <w:sz w:val="20"/>
          <w:rtl/>
          <w:lang w:val="en-CA"/>
        </w:rPr>
        <w:t xml:space="preserve">27 </w:t>
      </w:r>
      <w:r w:rsidRPr="008D1B92">
        <w:rPr>
          <w:rFonts w:hint="cs"/>
          <w:spacing w:val="0"/>
          <w:kern w:val="0"/>
          <w:sz w:val="20"/>
          <w:rtl/>
          <w:lang w:val="en-CA"/>
        </w:rPr>
        <w:t>شباط/</w:t>
      </w:r>
      <w:r w:rsidRPr="008D1B92">
        <w:rPr>
          <w:spacing w:val="0"/>
          <w:kern w:val="0"/>
          <w:sz w:val="20"/>
          <w:rtl/>
          <w:lang w:val="en-CA"/>
        </w:rPr>
        <w:t>فبراير 2010</w:t>
      </w:r>
      <w:r w:rsidRPr="008D1B92">
        <w:rPr>
          <w:rFonts w:hint="cs"/>
          <w:spacing w:val="0"/>
          <w:kern w:val="0"/>
          <w:sz w:val="20"/>
          <w:rtl/>
          <w:lang w:val="en-CA"/>
        </w:rPr>
        <w:t xml:space="preserve">، وبعد </w:t>
      </w:r>
      <w:r w:rsidRPr="008D1B92">
        <w:rPr>
          <w:spacing w:val="0"/>
          <w:kern w:val="0"/>
          <w:sz w:val="20"/>
          <w:rtl/>
          <w:lang w:val="en-CA"/>
        </w:rPr>
        <w:t>وقوع الزلزال في هايتي، تضرر 29 مستشفى ومرفق</w:t>
      </w:r>
      <w:r w:rsidRPr="008D1B92">
        <w:rPr>
          <w:rFonts w:hint="cs"/>
          <w:spacing w:val="0"/>
          <w:kern w:val="0"/>
          <w:sz w:val="20"/>
          <w:rtl/>
          <w:lang w:val="en-CA"/>
        </w:rPr>
        <w:t>ا</w:t>
      </w:r>
      <w:r w:rsidR="00BA41EC">
        <w:rPr>
          <w:rFonts w:hint="cs"/>
          <w:spacing w:val="0"/>
          <w:kern w:val="0"/>
          <w:sz w:val="20"/>
          <w:rtl/>
          <w:lang w:val="en-CA"/>
        </w:rPr>
        <w:t>ً</w:t>
      </w:r>
      <w:r w:rsidRPr="008D1B92">
        <w:rPr>
          <w:spacing w:val="0"/>
          <w:kern w:val="0"/>
          <w:sz w:val="20"/>
          <w:rtl/>
          <w:lang w:val="en-CA"/>
        </w:rPr>
        <w:t xml:space="preserve"> صحي</w:t>
      </w:r>
      <w:r w:rsidRPr="008D1B92">
        <w:rPr>
          <w:rFonts w:hint="cs"/>
          <w:spacing w:val="0"/>
          <w:kern w:val="0"/>
          <w:sz w:val="20"/>
          <w:rtl/>
          <w:lang w:val="en-CA"/>
        </w:rPr>
        <w:t>اً</w:t>
      </w:r>
      <w:r w:rsidRPr="008D1B92">
        <w:rPr>
          <w:spacing w:val="0"/>
          <w:kern w:val="0"/>
          <w:sz w:val="20"/>
          <w:rtl/>
          <w:lang w:val="en-CA"/>
        </w:rPr>
        <w:t xml:space="preserve"> </w:t>
      </w:r>
      <w:r w:rsidRPr="008D1B92">
        <w:rPr>
          <w:rFonts w:hint="cs"/>
          <w:spacing w:val="0"/>
          <w:kern w:val="0"/>
          <w:sz w:val="20"/>
          <w:rtl/>
          <w:lang w:val="en-CA"/>
        </w:rPr>
        <w:t xml:space="preserve">آخر </w:t>
      </w:r>
      <w:r w:rsidRPr="008D1B92">
        <w:rPr>
          <w:spacing w:val="0"/>
          <w:kern w:val="0"/>
          <w:sz w:val="20"/>
          <w:rtl/>
          <w:lang w:val="en-CA"/>
        </w:rPr>
        <w:t>أو دمرت جزئيا</w:t>
      </w:r>
      <w:r w:rsidRPr="008D1B92">
        <w:rPr>
          <w:rFonts w:hint="cs"/>
          <w:spacing w:val="0"/>
          <w:kern w:val="0"/>
          <w:sz w:val="20"/>
          <w:rtl/>
          <w:lang w:val="en-CA"/>
        </w:rPr>
        <w:t>ً،</w:t>
      </w:r>
      <w:r w:rsidRPr="008D1B92">
        <w:rPr>
          <w:spacing w:val="0"/>
          <w:kern w:val="0"/>
          <w:sz w:val="20"/>
          <w:rtl/>
          <w:lang w:val="en-CA"/>
        </w:rPr>
        <w:t xml:space="preserve"> وأنه حاول الاتصال </w:t>
      </w:r>
      <w:r w:rsidRPr="008D1B92">
        <w:rPr>
          <w:rFonts w:hint="cs"/>
          <w:spacing w:val="0"/>
          <w:kern w:val="0"/>
          <w:sz w:val="20"/>
          <w:rtl/>
          <w:lang w:val="en-CA"/>
        </w:rPr>
        <w:t>بمستشفى</w:t>
      </w:r>
      <w:r w:rsidRPr="008D1B92">
        <w:rPr>
          <w:spacing w:val="0"/>
          <w:kern w:val="0"/>
          <w:sz w:val="20"/>
          <w:rtl/>
          <w:lang w:val="en-CA"/>
        </w:rPr>
        <w:t xml:space="preserve"> القلب </w:t>
      </w:r>
      <w:r w:rsidRPr="008D1B92">
        <w:rPr>
          <w:rFonts w:hint="cs"/>
          <w:spacing w:val="0"/>
          <w:kern w:val="0"/>
          <w:sz w:val="20"/>
          <w:rtl/>
          <w:lang w:val="en-CA"/>
        </w:rPr>
        <w:t>المقدس</w:t>
      </w:r>
      <w:r w:rsidRPr="008D1B92">
        <w:rPr>
          <w:spacing w:val="0"/>
          <w:kern w:val="0"/>
          <w:sz w:val="20"/>
          <w:rtl/>
          <w:lang w:val="en-CA"/>
        </w:rPr>
        <w:t xml:space="preserve"> في بورت</w:t>
      </w:r>
      <w:r w:rsidRPr="008D1B92">
        <w:rPr>
          <w:rFonts w:hint="cs"/>
          <w:spacing w:val="0"/>
          <w:kern w:val="0"/>
          <w:sz w:val="20"/>
          <w:rtl/>
          <w:lang w:val="en-CA"/>
        </w:rPr>
        <w:t xml:space="preserve"> </w:t>
      </w:r>
      <w:r w:rsidRPr="008D1B92">
        <w:rPr>
          <w:spacing w:val="0"/>
          <w:kern w:val="0"/>
          <w:sz w:val="20"/>
          <w:rtl/>
          <w:lang w:val="en-CA"/>
        </w:rPr>
        <w:t>أو</w:t>
      </w:r>
      <w:r w:rsidRPr="008D1B92">
        <w:rPr>
          <w:rFonts w:hint="cs"/>
          <w:spacing w:val="0"/>
          <w:kern w:val="0"/>
          <w:sz w:val="20"/>
          <w:rtl/>
          <w:lang w:val="en-CA"/>
        </w:rPr>
        <w:t xml:space="preserve"> </w:t>
      </w:r>
      <w:r w:rsidRPr="008D1B92">
        <w:rPr>
          <w:spacing w:val="0"/>
          <w:kern w:val="0"/>
          <w:sz w:val="20"/>
          <w:rtl/>
          <w:lang w:val="en-CA"/>
        </w:rPr>
        <w:t>بر</w:t>
      </w:r>
      <w:r w:rsidRPr="008D1B92">
        <w:rPr>
          <w:rFonts w:hint="cs"/>
          <w:spacing w:val="0"/>
          <w:kern w:val="0"/>
          <w:sz w:val="20"/>
          <w:rtl/>
          <w:lang w:val="en-CA"/>
        </w:rPr>
        <w:t>ا</w:t>
      </w:r>
      <w:r w:rsidRPr="008D1B92">
        <w:rPr>
          <w:spacing w:val="0"/>
          <w:kern w:val="0"/>
          <w:sz w:val="20"/>
          <w:rtl/>
          <w:lang w:val="en-CA"/>
        </w:rPr>
        <w:t>نس دون جدوى، وهو ما يشير إلى دمار على الأقل في جزء من</w:t>
      </w:r>
      <w:r w:rsidRPr="008D1B92">
        <w:rPr>
          <w:rFonts w:hint="cs"/>
          <w:spacing w:val="0"/>
          <w:kern w:val="0"/>
          <w:sz w:val="20"/>
          <w:rtl/>
          <w:lang w:val="en-CA"/>
        </w:rPr>
        <w:t xml:space="preserve"> المرفق</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تسبب الزلزال أيضا</w:t>
      </w:r>
      <w:r w:rsidRPr="008D1B92">
        <w:rPr>
          <w:rFonts w:hint="cs"/>
          <w:spacing w:val="0"/>
          <w:kern w:val="0"/>
          <w:sz w:val="20"/>
          <w:rtl/>
          <w:lang w:val="en-CA"/>
        </w:rPr>
        <w:t>ً</w:t>
      </w:r>
      <w:r w:rsidRPr="008D1B92">
        <w:rPr>
          <w:spacing w:val="0"/>
          <w:kern w:val="0"/>
          <w:sz w:val="20"/>
          <w:rtl/>
          <w:lang w:val="en-CA"/>
        </w:rPr>
        <w:t xml:space="preserve"> في أزمة كبيرة </w:t>
      </w:r>
      <w:r w:rsidRPr="008D1B92">
        <w:rPr>
          <w:rFonts w:hint="cs"/>
          <w:spacing w:val="0"/>
          <w:kern w:val="0"/>
          <w:sz w:val="20"/>
          <w:rtl/>
          <w:lang w:val="en-CA"/>
        </w:rPr>
        <w:t>للنظام</w:t>
      </w:r>
      <w:r w:rsidRPr="008D1B92">
        <w:rPr>
          <w:spacing w:val="0"/>
          <w:kern w:val="0"/>
          <w:sz w:val="20"/>
          <w:rtl/>
          <w:lang w:val="en-CA"/>
        </w:rPr>
        <w:t xml:space="preserve"> القضائي </w:t>
      </w:r>
      <w:r w:rsidRPr="008D1B92">
        <w:rPr>
          <w:rFonts w:hint="cs"/>
          <w:spacing w:val="0"/>
          <w:kern w:val="0"/>
          <w:sz w:val="20"/>
          <w:rtl/>
          <w:lang w:val="en-CA"/>
        </w:rPr>
        <w:t xml:space="preserve">لأن عدداً كبيراً من </w:t>
      </w:r>
      <w:r w:rsidRPr="008D1B92">
        <w:rPr>
          <w:spacing w:val="0"/>
          <w:kern w:val="0"/>
          <w:sz w:val="20"/>
          <w:rtl/>
          <w:lang w:val="en-CA"/>
        </w:rPr>
        <w:t xml:space="preserve">السجناء فر من السجن. وبالإضافة إلى ذلك، </w:t>
      </w:r>
      <w:r w:rsidRPr="008D1B92">
        <w:rPr>
          <w:rFonts w:hint="cs"/>
          <w:spacing w:val="0"/>
          <w:kern w:val="0"/>
          <w:sz w:val="20"/>
          <w:rtl/>
          <w:lang w:val="en-CA"/>
        </w:rPr>
        <w:t>كرر صاحب الشكوى</w:t>
      </w:r>
      <w:r w:rsidRPr="008D1B92">
        <w:rPr>
          <w:spacing w:val="0"/>
          <w:kern w:val="0"/>
          <w:sz w:val="20"/>
          <w:rtl/>
          <w:lang w:val="en-CA"/>
        </w:rPr>
        <w:t xml:space="preserve"> من جديد الحجج التي سبق تقديمها.</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6-4</w:t>
      </w:r>
      <w:r w:rsidRPr="008D1B92">
        <w:rPr>
          <w:rFonts w:hint="cs"/>
          <w:spacing w:val="0"/>
          <w:kern w:val="0"/>
          <w:sz w:val="20"/>
          <w:rtl/>
          <w:lang w:val="en-CA"/>
        </w:rPr>
        <w:tab/>
        <w:t xml:space="preserve">وقدم صاحب الشكوى، في 9 آذار/مارس 2010، نسخة من رسالة من </w:t>
      </w:r>
      <w:r w:rsidRPr="008D1B92">
        <w:rPr>
          <w:spacing w:val="0"/>
          <w:kern w:val="0"/>
          <w:sz w:val="20"/>
          <w:rtl/>
          <w:lang w:val="en-CA"/>
        </w:rPr>
        <w:t xml:space="preserve">طبيب </w:t>
      </w:r>
      <w:r w:rsidRPr="008D1B92">
        <w:rPr>
          <w:rFonts w:hint="cs"/>
          <w:spacing w:val="0"/>
          <w:kern w:val="0"/>
          <w:sz w:val="20"/>
          <w:rtl/>
          <w:lang w:val="en-CA"/>
        </w:rPr>
        <w:t xml:space="preserve">يعمل </w:t>
      </w:r>
      <w:r w:rsidRPr="008D1B92">
        <w:rPr>
          <w:spacing w:val="0"/>
          <w:kern w:val="0"/>
          <w:sz w:val="20"/>
          <w:rtl/>
          <w:lang w:val="en-CA"/>
        </w:rPr>
        <w:t xml:space="preserve">في مستشفى أوتيل ديو </w:t>
      </w:r>
      <w:r w:rsidRPr="008D1B92">
        <w:rPr>
          <w:rFonts w:hint="cs"/>
          <w:spacing w:val="0"/>
          <w:kern w:val="0"/>
          <w:sz w:val="20"/>
          <w:rtl/>
          <w:lang w:val="en-CA"/>
        </w:rPr>
        <w:t>التابعة ل</w:t>
      </w:r>
      <w:r w:rsidRPr="008D1B92">
        <w:rPr>
          <w:spacing w:val="0"/>
          <w:kern w:val="0"/>
          <w:sz w:val="20"/>
          <w:rtl/>
          <w:lang w:val="en-CA"/>
        </w:rPr>
        <w:t xml:space="preserve">جامعة مونتريال </w:t>
      </w:r>
      <w:r w:rsidRPr="008D1B92">
        <w:rPr>
          <w:rFonts w:hint="cs"/>
          <w:spacing w:val="0"/>
          <w:kern w:val="0"/>
          <w:sz w:val="20"/>
          <w:rtl/>
          <w:lang w:val="en-CA"/>
        </w:rPr>
        <w:t>يشير فيها إلى</w:t>
      </w:r>
      <w:r w:rsidRPr="008D1B92">
        <w:rPr>
          <w:spacing w:val="0"/>
          <w:kern w:val="0"/>
          <w:sz w:val="20"/>
          <w:rtl/>
          <w:lang w:val="en-CA"/>
        </w:rPr>
        <w:t xml:space="preserve"> أن الطريقة الوحيدة </w:t>
      </w:r>
      <w:r w:rsidRPr="008D1B92">
        <w:rPr>
          <w:rFonts w:hint="cs"/>
          <w:spacing w:val="0"/>
          <w:kern w:val="0"/>
          <w:sz w:val="20"/>
          <w:rtl/>
          <w:lang w:val="en-CA"/>
        </w:rPr>
        <w:t>لضبط</w:t>
      </w:r>
      <w:r w:rsidRPr="008D1B92">
        <w:rPr>
          <w:spacing w:val="0"/>
          <w:kern w:val="0"/>
          <w:sz w:val="20"/>
          <w:rtl/>
          <w:lang w:val="en-CA"/>
        </w:rPr>
        <w:t xml:space="preserve"> جهاز مدترونيك </w:t>
      </w:r>
      <w:r w:rsidRPr="008D1B92">
        <w:rPr>
          <w:rFonts w:hint="cs"/>
          <w:spacing w:val="0"/>
          <w:kern w:val="0"/>
          <w:sz w:val="20"/>
          <w:rtl/>
          <w:lang w:val="en-CA"/>
        </w:rPr>
        <w:t>ل</w:t>
      </w:r>
      <w:r w:rsidRPr="008D1B92">
        <w:rPr>
          <w:spacing w:val="0"/>
          <w:kern w:val="0"/>
          <w:sz w:val="20"/>
          <w:rtl/>
          <w:lang w:val="en-CA"/>
        </w:rPr>
        <w:t xml:space="preserve">تنظيم ضربات القلب </w:t>
      </w:r>
      <w:r w:rsidRPr="008D1B92">
        <w:rPr>
          <w:rFonts w:hint="cs"/>
          <w:spacing w:val="0"/>
          <w:kern w:val="0"/>
          <w:sz w:val="20"/>
          <w:rtl/>
          <w:lang w:val="en-CA"/>
        </w:rPr>
        <w:t>ب</w:t>
      </w:r>
      <w:r w:rsidRPr="008D1B92">
        <w:rPr>
          <w:spacing w:val="0"/>
          <w:kern w:val="0"/>
          <w:sz w:val="20"/>
          <w:rtl/>
          <w:lang w:val="en-CA"/>
        </w:rPr>
        <w:t xml:space="preserve">دون </w:t>
      </w:r>
      <w:r w:rsidRPr="008D1B92">
        <w:rPr>
          <w:rFonts w:hint="cs"/>
          <w:spacing w:val="0"/>
          <w:kern w:val="0"/>
          <w:sz w:val="20"/>
          <w:rtl/>
          <w:lang w:val="en-CA"/>
        </w:rPr>
        <w:t>أجهزة الضبط من ماركة مدترونيك</w:t>
      </w:r>
      <w:r w:rsidRPr="008D1B92">
        <w:rPr>
          <w:spacing w:val="0"/>
          <w:kern w:val="0"/>
          <w:sz w:val="20"/>
          <w:rtl/>
          <w:lang w:val="en-CA"/>
        </w:rPr>
        <w:t xml:space="preserve"> هو تغيير جهاز تنظيم ضربات القلب </w:t>
      </w:r>
      <w:r w:rsidRPr="008D1B92">
        <w:rPr>
          <w:rFonts w:hint="cs"/>
          <w:spacing w:val="0"/>
          <w:kern w:val="0"/>
          <w:sz w:val="20"/>
          <w:rtl/>
          <w:lang w:val="en-CA"/>
        </w:rPr>
        <w:t>بجهاز جديد من ماركة بايوترونيك</w:t>
      </w:r>
      <w:r w:rsidRPr="008D1B92">
        <w:rPr>
          <w:spacing w:val="0"/>
          <w:kern w:val="0"/>
          <w:sz w:val="20"/>
          <w:rtl/>
          <w:lang w:val="en-CA"/>
        </w:rPr>
        <w:t xml:space="preserve">. ومع ذلك، </w:t>
      </w:r>
      <w:r w:rsidRPr="008D1B92">
        <w:rPr>
          <w:rFonts w:hint="cs"/>
          <w:spacing w:val="0"/>
          <w:kern w:val="0"/>
          <w:sz w:val="20"/>
          <w:rtl/>
          <w:lang w:val="en-CA"/>
        </w:rPr>
        <w:t>ف</w:t>
      </w:r>
      <w:r w:rsidRPr="008D1B92">
        <w:rPr>
          <w:spacing w:val="0"/>
          <w:kern w:val="0"/>
          <w:sz w:val="20"/>
          <w:rtl/>
          <w:lang w:val="en-CA"/>
        </w:rPr>
        <w:t>نظرا</w:t>
      </w:r>
      <w:r w:rsidRPr="008D1B92">
        <w:rPr>
          <w:rFonts w:hint="cs"/>
          <w:spacing w:val="0"/>
          <w:kern w:val="0"/>
          <w:sz w:val="20"/>
          <w:rtl/>
          <w:lang w:val="en-CA"/>
        </w:rPr>
        <w:t>ً</w:t>
      </w:r>
      <w:r w:rsidRPr="008D1B92">
        <w:rPr>
          <w:spacing w:val="0"/>
          <w:kern w:val="0"/>
          <w:sz w:val="20"/>
          <w:rtl/>
          <w:lang w:val="en-CA"/>
        </w:rPr>
        <w:t xml:space="preserve"> للمخاطر المصاحبة </w:t>
      </w:r>
      <w:r w:rsidRPr="008D1B92">
        <w:rPr>
          <w:rFonts w:hint="cs"/>
          <w:spacing w:val="0"/>
          <w:kern w:val="0"/>
          <w:sz w:val="20"/>
          <w:rtl/>
          <w:lang w:val="en-CA"/>
        </w:rPr>
        <w:t>لجميع ال</w:t>
      </w:r>
      <w:r w:rsidRPr="008D1B92">
        <w:rPr>
          <w:spacing w:val="0"/>
          <w:kern w:val="0"/>
          <w:sz w:val="20"/>
          <w:rtl/>
          <w:lang w:val="en-CA"/>
        </w:rPr>
        <w:t>إجراء</w:t>
      </w:r>
      <w:r w:rsidRPr="008D1B92">
        <w:rPr>
          <w:rFonts w:hint="cs"/>
          <w:spacing w:val="0"/>
          <w:kern w:val="0"/>
          <w:sz w:val="20"/>
          <w:rtl/>
          <w:lang w:val="en-CA"/>
        </w:rPr>
        <w:t>ات</w:t>
      </w:r>
      <w:r w:rsidRPr="008D1B92">
        <w:rPr>
          <w:spacing w:val="0"/>
          <w:kern w:val="0"/>
          <w:sz w:val="20"/>
          <w:rtl/>
          <w:lang w:val="en-CA"/>
        </w:rPr>
        <w:t xml:space="preserve"> </w:t>
      </w:r>
      <w:r w:rsidRPr="008D1B92">
        <w:rPr>
          <w:rFonts w:hint="cs"/>
          <w:spacing w:val="0"/>
          <w:kern w:val="0"/>
          <w:sz w:val="20"/>
          <w:rtl/>
          <w:lang w:val="en-CA"/>
        </w:rPr>
        <w:t>ال</w:t>
      </w:r>
      <w:r w:rsidRPr="008D1B92">
        <w:rPr>
          <w:spacing w:val="0"/>
          <w:kern w:val="0"/>
          <w:sz w:val="20"/>
          <w:rtl/>
          <w:lang w:val="en-CA"/>
        </w:rPr>
        <w:t>طبي</w:t>
      </w:r>
      <w:r w:rsidRPr="008D1B92">
        <w:rPr>
          <w:rFonts w:hint="cs"/>
          <w:spacing w:val="0"/>
          <w:kern w:val="0"/>
          <w:sz w:val="20"/>
          <w:rtl/>
          <w:lang w:val="en-CA"/>
        </w:rPr>
        <w:t>ة</w:t>
      </w:r>
      <w:r w:rsidRPr="008D1B92">
        <w:rPr>
          <w:spacing w:val="0"/>
          <w:kern w:val="0"/>
          <w:sz w:val="20"/>
          <w:rtl/>
          <w:lang w:val="en-CA"/>
        </w:rPr>
        <w:t xml:space="preserve">، </w:t>
      </w:r>
      <w:r w:rsidRPr="008D1B92">
        <w:rPr>
          <w:rFonts w:hint="cs"/>
          <w:spacing w:val="0"/>
          <w:kern w:val="0"/>
          <w:sz w:val="20"/>
          <w:rtl/>
          <w:lang w:val="en-CA"/>
        </w:rPr>
        <w:t xml:space="preserve">يحظر </w:t>
      </w:r>
      <w:r w:rsidRPr="008D1B92">
        <w:rPr>
          <w:spacing w:val="0"/>
          <w:kern w:val="0"/>
          <w:sz w:val="20"/>
          <w:rtl/>
          <w:lang w:val="en-CA"/>
        </w:rPr>
        <w:t xml:space="preserve">تغيير جهاز تنظيم ضربات القلب </w:t>
      </w:r>
      <w:r w:rsidRPr="008D1B92">
        <w:rPr>
          <w:rFonts w:hint="cs"/>
          <w:spacing w:val="0"/>
          <w:kern w:val="0"/>
          <w:sz w:val="20"/>
          <w:rtl/>
          <w:lang w:val="en-CA"/>
        </w:rPr>
        <w:t xml:space="preserve">الذي يزيد عمره عن </w:t>
      </w:r>
      <w:r w:rsidRPr="008D1B92">
        <w:rPr>
          <w:spacing w:val="0"/>
          <w:kern w:val="0"/>
          <w:sz w:val="20"/>
          <w:rtl/>
          <w:lang w:val="en-CA"/>
        </w:rPr>
        <w:t xml:space="preserve">ثماني سنوات </w:t>
      </w:r>
      <w:r w:rsidRPr="008D1B92">
        <w:rPr>
          <w:rFonts w:hint="cs"/>
          <w:spacing w:val="0"/>
          <w:kern w:val="0"/>
          <w:sz w:val="20"/>
          <w:rtl/>
          <w:lang w:val="en-CA"/>
        </w:rPr>
        <w:t>إذا كان ال</w:t>
      </w:r>
      <w:r w:rsidRPr="008D1B92">
        <w:rPr>
          <w:spacing w:val="0"/>
          <w:kern w:val="0"/>
          <w:sz w:val="20"/>
          <w:rtl/>
          <w:lang w:val="en-CA"/>
        </w:rPr>
        <w:t xml:space="preserve">غرض </w:t>
      </w:r>
      <w:r w:rsidRPr="008D1B92">
        <w:rPr>
          <w:rFonts w:hint="cs"/>
          <w:spacing w:val="0"/>
          <w:kern w:val="0"/>
          <w:sz w:val="20"/>
          <w:rtl/>
          <w:lang w:val="en-CA"/>
        </w:rPr>
        <w:t>الوحيد هو المتابعة</w:t>
      </w:r>
      <w:r w:rsidRPr="008D1B92">
        <w:rPr>
          <w:spacing w:val="0"/>
          <w:kern w:val="0"/>
          <w:sz w:val="20"/>
          <w:rtl/>
          <w:lang w:val="en-CA"/>
        </w:rPr>
        <w:t>. ولذلك ي</w:t>
      </w:r>
      <w:r w:rsidRPr="008D1B92">
        <w:rPr>
          <w:rFonts w:hint="cs"/>
          <w:spacing w:val="0"/>
          <w:kern w:val="0"/>
          <w:sz w:val="20"/>
          <w:rtl/>
          <w:lang w:val="en-CA"/>
        </w:rPr>
        <w:t>ُ</w:t>
      </w:r>
      <w:r w:rsidRPr="008D1B92">
        <w:rPr>
          <w:spacing w:val="0"/>
          <w:kern w:val="0"/>
          <w:sz w:val="20"/>
          <w:rtl/>
          <w:lang w:val="en-CA"/>
        </w:rPr>
        <w:t>قترح أ</w:t>
      </w:r>
      <w:r w:rsidRPr="008D1B92">
        <w:rPr>
          <w:rFonts w:hint="cs"/>
          <w:spacing w:val="0"/>
          <w:kern w:val="0"/>
          <w:sz w:val="20"/>
          <w:rtl/>
          <w:lang w:val="en-CA"/>
        </w:rPr>
        <w:t>لا</w:t>
      </w:r>
      <w:r w:rsidRPr="008D1B92">
        <w:rPr>
          <w:spacing w:val="0"/>
          <w:kern w:val="0"/>
          <w:sz w:val="20"/>
          <w:rtl/>
          <w:lang w:val="en-CA"/>
        </w:rPr>
        <w:t xml:space="preserve"> </w:t>
      </w:r>
      <w:r w:rsidRPr="008D1B92">
        <w:rPr>
          <w:rFonts w:hint="cs"/>
          <w:spacing w:val="0"/>
          <w:kern w:val="0"/>
          <w:sz w:val="20"/>
          <w:rtl/>
          <w:lang w:val="en-CA"/>
        </w:rPr>
        <w:t>يحصل</w:t>
      </w:r>
      <w:r w:rsidRPr="008D1B92">
        <w:rPr>
          <w:spacing w:val="0"/>
          <w:kern w:val="0"/>
          <w:sz w:val="20"/>
          <w:rtl/>
          <w:lang w:val="en-CA"/>
        </w:rPr>
        <w:t xml:space="preserve"> المريض </w:t>
      </w:r>
      <w:r w:rsidRPr="008D1B92">
        <w:rPr>
          <w:rFonts w:hint="cs"/>
          <w:spacing w:val="0"/>
          <w:kern w:val="0"/>
          <w:sz w:val="20"/>
          <w:rtl/>
          <w:lang w:val="en-CA"/>
        </w:rPr>
        <w:t>على المتابعة إلا في</w:t>
      </w:r>
      <w:r w:rsidRPr="008D1B92">
        <w:rPr>
          <w:spacing w:val="0"/>
          <w:kern w:val="0"/>
          <w:sz w:val="20"/>
          <w:rtl/>
          <w:lang w:val="en-CA"/>
        </w:rPr>
        <w:t xml:space="preserve"> </w:t>
      </w:r>
      <w:r w:rsidRPr="008D1B92">
        <w:rPr>
          <w:rFonts w:hint="cs"/>
          <w:spacing w:val="0"/>
          <w:kern w:val="0"/>
          <w:sz w:val="20"/>
          <w:rtl/>
          <w:lang w:val="en-CA"/>
        </w:rPr>
        <w:t>أ</w:t>
      </w:r>
      <w:r w:rsidRPr="008D1B92">
        <w:rPr>
          <w:spacing w:val="0"/>
          <w:kern w:val="0"/>
          <w:sz w:val="20"/>
          <w:rtl/>
          <w:lang w:val="en-CA"/>
        </w:rPr>
        <w:t>م</w:t>
      </w:r>
      <w:r w:rsidRPr="008D1B92">
        <w:rPr>
          <w:rFonts w:hint="cs"/>
          <w:spacing w:val="0"/>
          <w:kern w:val="0"/>
          <w:sz w:val="20"/>
          <w:rtl/>
          <w:lang w:val="en-CA"/>
        </w:rPr>
        <w:t>ا</w:t>
      </w:r>
      <w:r w:rsidRPr="008D1B92">
        <w:rPr>
          <w:spacing w:val="0"/>
          <w:kern w:val="0"/>
          <w:sz w:val="20"/>
          <w:rtl/>
          <w:lang w:val="en-CA"/>
        </w:rPr>
        <w:t xml:space="preserve">كن </w:t>
      </w:r>
      <w:r w:rsidRPr="008D1B92">
        <w:rPr>
          <w:rFonts w:hint="cs"/>
          <w:spacing w:val="0"/>
          <w:kern w:val="0"/>
          <w:sz w:val="20"/>
          <w:rtl/>
          <w:lang w:val="en-CA"/>
        </w:rPr>
        <w:t xml:space="preserve">يمكن فيها ضبط </w:t>
      </w:r>
      <w:r w:rsidRPr="008D1B92">
        <w:rPr>
          <w:spacing w:val="0"/>
          <w:kern w:val="0"/>
          <w:sz w:val="20"/>
          <w:rtl/>
          <w:lang w:val="en-CA"/>
        </w:rPr>
        <w:t>أجهزة مدترونيك</w:t>
      </w:r>
      <w:r w:rsidRPr="008D1B92">
        <w:rPr>
          <w:rFonts w:hint="cs"/>
          <w:spacing w:val="0"/>
          <w:kern w:val="0"/>
          <w:sz w:val="20"/>
          <w:rtl/>
          <w:lang w:val="en-CA"/>
        </w:rPr>
        <w:t xml:space="preserve"> لتنظيم</w:t>
      </w:r>
      <w:r w:rsidRPr="008D1B92">
        <w:rPr>
          <w:spacing w:val="0"/>
          <w:kern w:val="0"/>
          <w:sz w:val="20"/>
          <w:rtl/>
          <w:lang w:val="en-CA"/>
        </w:rPr>
        <w:t xml:space="preserve"> </w:t>
      </w:r>
      <w:r w:rsidRPr="008D1B92">
        <w:rPr>
          <w:rFonts w:hint="cs"/>
          <w:spacing w:val="0"/>
          <w:kern w:val="0"/>
          <w:sz w:val="20"/>
          <w:rtl/>
          <w:lang w:val="en-CA"/>
        </w:rPr>
        <w:t>ضربات</w:t>
      </w:r>
      <w:r w:rsidRPr="008D1B92">
        <w:rPr>
          <w:spacing w:val="0"/>
          <w:kern w:val="0"/>
          <w:sz w:val="20"/>
          <w:rtl/>
          <w:lang w:val="en-CA"/>
        </w:rPr>
        <w:t xml:space="preserve"> القلب.</w:t>
      </w:r>
    </w:p>
    <w:p w:rsidR="008D1B92" w:rsidRPr="00DE469F" w:rsidRDefault="008D1B92" w:rsidP="00DE469F">
      <w:pPr>
        <w:pStyle w:val="SingleTxtGA"/>
        <w:spacing w:line="360" w:lineRule="exact"/>
        <w:jc w:val="lowKashida"/>
        <w:rPr>
          <w:rFonts w:hint="cs"/>
          <w:spacing w:val="-2"/>
          <w:kern w:val="0"/>
          <w:sz w:val="20"/>
          <w:szCs w:val="20"/>
          <w:rtl/>
        </w:rPr>
      </w:pPr>
      <w:r w:rsidRPr="00DE469F">
        <w:rPr>
          <w:rFonts w:hint="cs"/>
          <w:spacing w:val="-2"/>
          <w:kern w:val="0"/>
          <w:sz w:val="20"/>
          <w:rtl/>
          <w:lang w:val="en-CA"/>
        </w:rPr>
        <w:t>6-5</w:t>
      </w:r>
      <w:r w:rsidRPr="00DE469F">
        <w:rPr>
          <w:rFonts w:hint="cs"/>
          <w:spacing w:val="-2"/>
          <w:kern w:val="0"/>
          <w:sz w:val="20"/>
          <w:rtl/>
          <w:lang w:val="en-CA"/>
        </w:rPr>
        <w:tab/>
        <w:t>و</w:t>
      </w:r>
      <w:r w:rsidRPr="00DE469F">
        <w:rPr>
          <w:spacing w:val="-2"/>
          <w:kern w:val="0"/>
          <w:sz w:val="20"/>
          <w:rtl/>
          <w:lang w:val="en-CA"/>
        </w:rPr>
        <w:t>ردا</w:t>
      </w:r>
      <w:r w:rsidRPr="00DE469F">
        <w:rPr>
          <w:rFonts w:hint="cs"/>
          <w:spacing w:val="-2"/>
          <w:kern w:val="0"/>
          <w:sz w:val="20"/>
          <w:rtl/>
          <w:lang w:val="en-CA"/>
        </w:rPr>
        <w:t>ً</w:t>
      </w:r>
      <w:r w:rsidRPr="00DE469F">
        <w:rPr>
          <w:spacing w:val="-2"/>
          <w:kern w:val="0"/>
          <w:sz w:val="20"/>
          <w:rtl/>
          <w:lang w:val="en-CA"/>
        </w:rPr>
        <w:t xml:space="preserve"> على الادعاءات الأخيرة </w:t>
      </w:r>
      <w:r w:rsidRPr="00DE469F">
        <w:rPr>
          <w:rFonts w:hint="cs"/>
          <w:spacing w:val="-2"/>
          <w:kern w:val="0"/>
          <w:sz w:val="20"/>
          <w:rtl/>
          <w:lang w:val="en-CA"/>
        </w:rPr>
        <w:t>ل</w:t>
      </w:r>
      <w:r w:rsidRPr="00DE469F">
        <w:rPr>
          <w:spacing w:val="-2"/>
          <w:kern w:val="0"/>
          <w:sz w:val="20"/>
          <w:rtl/>
          <w:lang w:val="en-CA"/>
        </w:rPr>
        <w:t xml:space="preserve">صاحب الشكوى، </w:t>
      </w:r>
      <w:r w:rsidRPr="00DE469F">
        <w:rPr>
          <w:rFonts w:hint="cs"/>
          <w:spacing w:val="-2"/>
          <w:kern w:val="0"/>
          <w:sz w:val="20"/>
          <w:rtl/>
          <w:lang w:val="en-CA"/>
        </w:rPr>
        <w:t>قدمت</w:t>
      </w:r>
      <w:r w:rsidRPr="00DE469F">
        <w:rPr>
          <w:spacing w:val="-2"/>
          <w:kern w:val="0"/>
          <w:sz w:val="20"/>
          <w:rtl/>
          <w:lang w:val="en-CA"/>
        </w:rPr>
        <w:t xml:space="preserve"> الدولة الطرف </w:t>
      </w:r>
      <w:r w:rsidRPr="00DE469F">
        <w:rPr>
          <w:rFonts w:hint="cs"/>
          <w:spacing w:val="-2"/>
          <w:kern w:val="0"/>
          <w:sz w:val="20"/>
          <w:rtl/>
          <w:lang w:val="en-CA"/>
        </w:rPr>
        <w:t xml:space="preserve">في </w:t>
      </w:r>
      <w:r w:rsidRPr="00DE469F">
        <w:rPr>
          <w:spacing w:val="-2"/>
          <w:kern w:val="0"/>
          <w:sz w:val="20"/>
          <w:rtl/>
          <w:lang w:val="en-CA"/>
        </w:rPr>
        <w:t xml:space="preserve">16 </w:t>
      </w:r>
      <w:r w:rsidRPr="00DE469F">
        <w:rPr>
          <w:rFonts w:hint="cs"/>
          <w:spacing w:val="-2"/>
          <w:kern w:val="0"/>
          <w:sz w:val="20"/>
          <w:rtl/>
          <w:lang w:val="en-CA"/>
        </w:rPr>
        <w:t xml:space="preserve">آذار/ </w:t>
      </w:r>
      <w:r w:rsidRPr="00DE469F">
        <w:rPr>
          <w:spacing w:val="-2"/>
          <w:kern w:val="0"/>
          <w:sz w:val="20"/>
          <w:rtl/>
          <w:lang w:val="en-CA"/>
        </w:rPr>
        <w:t xml:space="preserve">مارس 2011 </w:t>
      </w:r>
      <w:r w:rsidRPr="00DE469F">
        <w:rPr>
          <w:rFonts w:hint="cs"/>
          <w:spacing w:val="-2"/>
          <w:kern w:val="0"/>
          <w:sz w:val="20"/>
          <w:rtl/>
          <w:lang w:val="en-CA"/>
        </w:rPr>
        <w:t>ال</w:t>
      </w:r>
      <w:r w:rsidRPr="00DE469F">
        <w:rPr>
          <w:spacing w:val="-2"/>
          <w:kern w:val="0"/>
          <w:sz w:val="20"/>
          <w:rtl/>
          <w:lang w:val="en-CA"/>
        </w:rPr>
        <w:t xml:space="preserve">رأي </w:t>
      </w:r>
      <w:r w:rsidRPr="00DE469F">
        <w:rPr>
          <w:rFonts w:hint="cs"/>
          <w:spacing w:val="-2"/>
          <w:kern w:val="0"/>
          <w:sz w:val="20"/>
          <w:rtl/>
          <w:lang w:val="en-CA"/>
        </w:rPr>
        <w:t>ال</w:t>
      </w:r>
      <w:r w:rsidRPr="00DE469F">
        <w:rPr>
          <w:spacing w:val="-2"/>
          <w:kern w:val="0"/>
          <w:sz w:val="20"/>
          <w:rtl/>
          <w:lang w:val="en-CA"/>
        </w:rPr>
        <w:t xml:space="preserve">طبي </w:t>
      </w:r>
      <w:r w:rsidRPr="00DE469F">
        <w:rPr>
          <w:rFonts w:hint="cs"/>
          <w:spacing w:val="-2"/>
          <w:kern w:val="0"/>
          <w:sz w:val="20"/>
          <w:rtl/>
          <w:lang w:val="en-CA"/>
        </w:rPr>
        <w:t>ل</w:t>
      </w:r>
      <w:r w:rsidRPr="00DE469F">
        <w:rPr>
          <w:spacing w:val="-2"/>
          <w:kern w:val="0"/>
          <w:sz w:val="20"/>
          <w:rtl/>
          <w:lang w:val="en-CA"/>
        </w:rPr>
        <w:t xml:space="preserve">طبيب </w:t>
      </w:r>
      <w:r w:rsidRPr="00DE469F">
        <w:rPr>
          <w:rFonts w:hint="cs"/>
          <w:spacing w:val="-2"/>
          <w:kern w:val="0"/>
          <w:sz w:val="20"/>
          <w:rtl/>
          <w:lang w:val="en-CA"/>
        </w:rPr>
        <w:t>معتمد لدى</w:t>
      </w:r>
      <w:r w:rsidRPr="00DE469F">
        <w:rPr>
          <w:spacing w:val="-2"/>
          <w:kern w:val="0"/>
          <w:sz w:val="20"/>
          <w:rtl/>
          <w:lang w:val="en-CA"/>
        </w:rPr>
        <w:t xml:space="preserve"> المفوضية العليا الكندية في ترينيداد وتوباغو </w:t>
      </w:r>
      <w:r w:rsidRPr="00DE469F">
        <w:rPr>
          <w:rFonts w:hint="cs"/>
          <w:spacing w:val="-2"/>
          <w:kern w:val="0"/>
          <w:sz w:val="20"/>
          <w:rtl/>
          <w:lang w:val="en-CA"/>
        </w:rPr>
        <w:t>اتصلت</w:t>
      </w:r>
      <w:r w:rsidRPr="00DE469F">
        <w:rPr>
          <w:spacing w:val="-2"/>
          <w:kern w:val="0"/>
          <w:sz w:val="20"/>
          <w:rtl/>
          <w:lang w:val="en-CA"/>
        </w:rPr>
        <w:t xml:space="preserve"> </w:t>
      </w:r>
      <w:r w:rsidRPr="00DE469F">
        <w:rPr>
          <w:rFonts w:hint="cs"/>
          <w:spacing w:val="-2"/>
          <w:kern w:val="0"/>
          <w:sz w:val="20"/>
          <w:rtl/>
          <w:lang w:val="en-CA"/>
        </w:rPr>
        <w:t>ب</w:t>
      </w:r>
      <w:r w:rsidRPr="00DE469F">
        <w:rPr>
          <w:spacing w:val="-2"/>
          <w:kern w:val="0"/>
          <w:sz w:val="20"/>
          <w:rtl/>
          <w:lang w:val="en-CA"/>
        </w:rPr>
        <w:t xml:space="preserve">مستشفى القلب المقدس </w:t>
      </w:r>
      <w:r w:rsidRPr="00DE469F">
        <w:rPr>
          <w:rFonts w:hint="cs"/>
          <w:spacing w:val="-2"/>
          <w:kern w:val="0"/>
          <w:sz w:val="20"/>
          <w:rtl/>
          <w:lang w:val="en-CA"/>
        </w:rPr>
        <w:t>عدة مرات بشأن صاحب الشكوى</w:t>
      </w:r>
      <w:r w:rsidRPr="00DE469F">
        <w:rPr>
          <w:spacing w:val="-2"/>
          <w:kern w:val="0"/>
          <w:sz w:val="20"/>
          <w:rtl/>
          <w:lang w:val="en-CA"/>
        </w:rPr>
        <w:t xml:space="preserve">. </w:t>
      </w:r>
      <w:r w:rsidRPr="00DE469F">
        <w:rPr>
          <w:rFonts w:hint="cs"/>
          <w:spacing w:val="-2"/>
          <w:kern w:val="0"/>
          <w:sz w:val="20"/>
          <w:rtl/>
          <w:lang w:val="en-CA"/>
        </w:rPr>
        <w:t>وأكد</w:t>
      </w:r>
      <w:r w:rsidRPr="00DE469F">
        <w:rPr>
          <w:spacing w:val="-2"/>
          <w:kern w:val="0"/>
          <w:sz w:val="20"/>
          <w:rtl/>
          <w:lang w:val="en-CA"/>
        </w:rPr>
        <w:t xml:space="preserve"> الطبيب </w:t>
      </w:r>
      <w:r w:rsidRPr="00DE469F">
        <w:rPr>
          <w:rFonts w:hint="cs"/>
          <w:spacing w:val="-2"/>
          <w:kern w:val="0"/>
          <w:sz w:val="20"/>
          <w:rtl/>
          <w:lang w:val="en-CA"/>
        </w:rPr>
        <w:t>في رسالته أ</w:t>
      </w:r>
      <w:r w:rsidRPr="00DE469F">
        <w:rPr>
          <w:spacing w:val="-2"/>
          <w:kern w:val="0"/>
          <w:sz w:val="20"/>
          <w:rtl/>
          <w:lang w:val="en-CA"/>
        </w:rPr>
        <w:t xml:space="preserve">ن المستشفى </w:t>
      </w:r>
      <w:r w:rsidRPr="00DE469F">
        <w:rPr>
          <w:rFonts w:hint="cs"/>
          <w:spacing w:val="-2"/>
          <w:kern w:val="0"/>
          <w:sz w:val="20"/>
          <w:rtl/>
          <w:lang w:val="en-CA"/>
        </w:rPr>
        <w:t xml:space="preserve">بإمكانه ضبط جميع </w:t>
      </w:r>
      <w:r w:rsidRPr="00DE469F">
        <w:rPr>
          <w:spacing w:val="-2"/>
          <w:kern w:val="0"/>
          <w:sz w:val="20"/>
          <w:rtl/>
          <w:lang w:val="en-CA"/>
        </w:rPr>
        <w:t xml:space="preserve">أجهزة مدترونيك </w:t>
      </w:r>
      <w:r w:rsidRPr="00DE469F">
        <w:rPr>
          <w:rFonts w:hint="cs"/>
          <w:spacing w:val="-2"/>
          <w:kern w:val="0"/>
          <w:sz w:val="20"/>
          <w:rtl/>
          <w:lang w:val="en-CA"/>
        </w:rPr>
        <w:t>لتنظيم ضربات</w:t>
      </w:r>
      <w:r w:rsidRPr="00DE469F">
        <w:rPr>
          <w:spacing w:val="-2"/>
          <w:kern w:val="0"/>
          <w:sz w:val="20"/>
          <w:rtl/>
          <w:lang w:val="en-CA"/>
        </w:rPr>
        <w:t xml:space="preserve"> القلب على الرغم من الزلزال الذي وقع في 12 </w:t>
      </w:r>
      <w:r w:rsidRPr="00DE469F">
        <w:rPr>
          <w:rFonts w:hint="cs"/>
          <w:spacing w:val="-2"/>
          <w:kern w:val="0"/>
          <w:sz w:val="20"/>
          <w:rtl/>
          <w:lang w:val="en-CA"/>
        </w:rPr>
        <w:t>كانون الثاني/</w:t>
      </w:r>
      <w:r w:rsidRPr="00DE469F">
        <w:rPr>
          <w:spacing w:val="-2"/>
          <w:kern w:val="0"/>
          <w:sz w:val="20"/>
          <w:rtl/>
          <w:lang w:val="en-CA"/>
        </w:rPr>
        <w:t xml:space="preserve">يناير 2010. </w:t>
      </w:r>
      <w:r w:rsidRPr="00DE469F">
        <w:rPr>
          <w:rFonts w:hint="cs"/>
          <w:spacing w:val="-2"/>
          <w:kern w:val="0"/>
          <w:sz w:val="20"/>
          <w:rtl/>
          <w:lang w:val="en-CA"/>
        </w:rPr>
        <w:t xml:space="preserve">وأضاف </w:t>
      </w:r>
      <w:r w:rsidRPr="00DE469F">
        <w:rPr>
          <w:spacing w:val="-2"/>
          <w:kern w:val="0"/>
          <w:sz w:val="20"/>
          <w:rtl/>
          <w:lang w:val="en-CA"/>
        </w:rPr>
        <w:t xml:space="preserve">الطبيب أنه </w:t>
      </w:r>
      <w:r w:rsidRPr="00DE469F">
        <w:rPr>
          <w:rFonts w:hint="cs"/>
          <w:spacing w:val="-2"/>
          <w:kern w:val="0"/>
          <w:sz w:val="20"/>
          <w:rtl/>
          <w:lang w:val="en-CA"/>
        </w:rPr>
        <w:t>حتى لو</w:t>
      </w:r>
      <w:r w:rsidR="00DE469F" w:rsidRPr="00DE469F">
        <w:rPr>
          <w:rFonts w:hint="eastAsia"/>
          <w:spacing w:val="-2"/>
          <w:kern w:val="0"/>
          <w:sz w:val="20"/>
          <w:rtl/>
          <w:lang w:val="en-CA"/>
        </w:rPr>
        <w:t> </w:t>
      </w:r>
      <w:r w:rsidRPr="00DE469F">
        <w:rPr>
          <w:rFonts w:hint="cs"/>
          <w:spacing w:val="-2"/>
          <w:kern w:val="0"/>
          <w:sz w:val="20"/>
          <w:rtl/>
          <w:lang w:val="en-CA"/>
        </w:rPr>
        <w:t>لم يكن</w:t>
      </w:r>
      <w:r w:rsidRPr="00DE469F">
        <w:rPr>
          <w:spacing w:val="-2"/>
          <w:kern w:val="0"/>
          <w:sz w:val="20"/>
          <w:rtl/>
          <w:lang w:val="en-CA"/>
        </w:rPr>
        <w:t xml:space="preserve"> </w:t>
      </w:r>
      <w:r w:rsidRPr="00DE469F">
        <w:rPr>
          <w:rFonts w:hint="cs"/>
          <w:spacing w:val="-2"/>
          <w:kern w:val="0"/>
          <w:sz w:val="20"/>
          <w:rtl/>
          <w:lang w:val="en-CA"/>
        </w:rPr>
        <w:t xml:space="preserve">لدى المستشفى </w:t>
      </w:r>
      <w:r w:rsidRPr="00DE469F">
        <w:rPr>
          <w:spacing w:val="-2"/>
          <w:kern w:val="0"/>
          <w:sz w:val="20"/>
          <w:rtl/>
          <w:lang w:val="en-CA"/>
        </w:rPr>
        <w:t xml:space="preserve">المعدات اللازمة في </w:t>
      </w:r>
      <w:r w:rsidRPr="00DE469F">
        <w:rPr>
          <w:rFonts w:hint="cs"/>
          <w:spacing w:val="-2"/>
          <w:kern w:val="0"/>
          <w:sz w:val="20"/>
          <w:rtl/>
          <w:lang w:val="en-CA"/>
        </w:rPr>
        <w:t>ال</w:t>
      </w:r>
      <w:r w:rsidRPr="00DE469F">
        <w:rPr>
          <w:spacing w:val="-2"/>
          <w:kern w:val="0"/>
          <w:sz w:val="20"/>
          <w:rtl/>
          <w:lang w:val="en-CA"/>
        </w:rPr>
        <w:t xml:space="preserve">موقع </w:t>
      </w:r>
      <w:r w:rsidRPr="00DE469F">
        <w:rPr>
          <w:rFonts w:hint="cs"/>
          <w:spacing w:val="-2"/>
          <w:kern w:val="0"/>
          <w:sz w:val="20"/>
          <w:rtl/>
          <w:lang w:val="en-CA"/>
        </w:rPr>
        <w:t>لضبط</w:t>
      </w:r>
      <w:r w:rsidRPr="00DE469F">
        <w:rPr>
          <w:spacing w:val="-2"/>
          <w:kern w:val="0"/>
          <w:sz w:val="20"/>
          <w:rtl/>
          <w:lang w:val="en-CA"/>
        </w:rPr>
        <w:t xml:space="preserve"> </w:t>
      </w:r>
      <w:r w:rsidRPr="00DE469F">
        <w:rPr>
          <w:rFonts w:hint="cs"/>
          <w:spacing w:val="-2"/>
          <w:kern w:val="0"/>
          <w:sz w:val="20"/>
          <w:rtl/>
          <w:lang w:val="en-CA"/>
        </w:rPr>
        <w:t xml:space="preserve">طراز معين </w:t>
      </w:r>
      <w:r w:rsidRPr="00DE469F">
        <w:rPr>
          <w:spacing w:val="-2"/>
          <w:kern w:val="0"/>
          <w:sz w:val="20"/>
          <w:rtl/>
          <w:lang w:val="en-CA"/>
        </w:rPr>
        <w:t xml:space="preserve">من </w:t>
      </w:r>
      <w:r w:rsidRPr="00DE469F">
        <w:rPr>
          <w:rFonts w:hint="cs"/>
          <w:spacing w:val="-2"/>
          <w:kern w:val="0"/>
          <w:sz w:val="20"/>
          <w:rtl/>
          <w:lang w:val="en-CA"/>
        </w:rPr>
        <w:t xml:space="preserve">أجهزة </w:t>
      </w:r>
      <w:r w:rsidRPr="00DE469F">
        <w:rPr>
          <w:spacing w:val="-2"/>
          <w:kern w:val="0"/>
          <w:sz w:val="20"/>
          <w:rtl/>
          <w:lang w:val="en-CA"/>
        </w:rPr>
        <w:t xml:space="preserve">مدترونيك </w:t>
      </w:r>
      <w:r w:rsidRPr="00DE469F">
        <w:rPr>
          <w:rFonts w:hint="cs"/>
          <w:spacing w:val="-2"/>
          <w:kern w:val="0"/>
          <w:sz w:val="20"/>
          <w:rtl/>
          <w:lang w:val="en-CA"/>
        </w:rPr>
        <w:t>ل</w:t>
      </w:r>
      <w:r w:rsidRPr="00DE469F">
        <w:rPr>
          <w:spacing w:val="-2"/>
          <w:kern w:val="0"/>
          <w:sz w:val="20"/>
          <w:rtl/>
          <w:lang w:val="en-CA"/>
        </w:rPr>
        <w:t xml:space="preserve">تنظيم ضربات القلب، </w:t>
      </w:r>
      <w:r w:rsidRPr="00DE469F">
        <w:rPr>
          <w:rFonts w:hint="cs"/>
          <w:spacing w:val="-2"/>
          <w:kern w:val="0"/>
          <w:sz w:val="20"/>
          <w:rtl/>
          <w:lang w:val="en-CA"/>
        </w:rPr>
        <w:t xml:space="preserve">فإنه </w:t>
      </w:r>
      <w:r w:rsidRPr="00DE469F">
        <w:rPr>
          <w:spacing w:val="-2"/>
          <w:kern w:val="0"/>
          <w:sz w:val="20"/>
          <w:rtl/>
          <w:lang w:val="en-CA"/>
        </w:rPr>
        <w:t xml:space="preserve">قادر على </w:t>
      </w:r>
      <w:r w:rsidRPr="00DE469F">
        <w:rPr>
          <w:rFonts w:hint="cs"/>
          <w:spacing w:val="-2"/>
          <w:kern w:val="0"/>
          <w:sz w:val="20"/>
          <w:rtl/>
          <w:lang w:val="en-CA"/>
        </w:rPr>
        <w:t>ضبطه</w:t>
      </w:r>
      <w:r w:rsidRPr="00DE469F">
        <w:rPr>
          <w:spacing w:val="-2"/>
          <w:kern w:val="0"/>
          <w:sz w:val="20"/>
          <w:rtl/>
          <w:lang w:val="en-CA"/>
        </w:rPr>
        <w:t xml:space="preserve"> عن بعد، باستخدام هاتف </w:t>
      </w:r>
      <w:r w:rsidRPr="00DE469F">
        <w:rPr>
          <w:rFonts w:hint="cs"/>
          <w:spacing w:val="-2"/>
          <w:kern w:val="0"/>
          <w:sz w:val="20"/>
          <w:rtl/>
          <w:lang w:val="en-CA"/>
        </w:rPr>
        <w:t>متنقل</w:t>
      </w:r>
      <w:r w:rsidRPr="00DE469F">
        <w:rPr>
          <w:spacing w:val="-2"/>
          <w:kern w:val="0"/>
          <w:sz w:val="20"/>
          <w:rtl/>
          <w:lang w:val="en-CA"/>
        </w:rPr>
        <w:t xml:space="preserve"> عادي </w:t>
      </w:r>
      <w:r w:rsidRPr="00DE469F">
        <w:rPr>
          <w:rFonts w:hint="cs"/>
          <w:spacing w:val="-2"/>
          <w:kern w:val="0"/>
          <w:sz w:val="20"/>
          <w:rtl/>
          <w:lang w:val="en-CA"/>
        </w:rPr>
        <w:t>يسمح ب</w:t>
      </w:r>
      <w:r w:rsidRPr="00DE469F">
        <w:rPr>
          <w:spacing w:val="-2"/>
          <w:kern w:val="0"/>
          <w:sz w:val="20"/>
          <w:rtl/>
          <w:lang w:val="en-CA"/>
        </w:rPr>
        <w:t xml:space="preserve">ربط </w:t>
      </w:r>
      <w:r w:rsidRPr="00DE469F">
        <w:rPr>
          <w:rFonts w:hint="cs"/>
          <w:spacing w:val="-2"/>
          <w:kern w:val="0"/>
          <w:sz w:val="20"/>
          <w:rtl/>
          <w:lang w:val="en-CA"/>
        </w:rPr>
        <w:t xml:space="preserve">أي من </w:t>
      </w:r>
      <w:r w:rsidRPr="00DE469F">
        <w:rPr>
          <w:spacing w:val="-2"/>
          <w:kern w:val="0"/>
          <w:sz w:val="20"/>
          <w:rtl/>
          <w:lang w:val="en-CA"/>
        </w:rPr>
        <w:t xml:space="preserve">أجهزة مدترونيك </w:t>
      </w:r>
      <w:r w:rsidRPr="00DE469F">
        <w:rPr>
          <w:rFonts w:hint="cs"/>
          <w:spacing w:val="-2"/>
          <w:kern w:val="0"/>
          <w:sz w:val="20"/>
          <w:rtl/>
          <w:lang w:val="en-CA"/>
        </w:rPr>
        <w:t>ل</w:t>
      </w:r>
      <w:r w:rsidRPr="00DE469F">
        <w:rPr>
          <w:spacing w:val="-2"/>
          <w:kern w:val="0"/>
          <w:sz w:val="20"/>
          <w:rtl/>
          <w:lang w:val="en-CA"/>
        </w:rPr>
        <w:t xml:space="preserve">تنظيم ضربات القلب </w:t>
      </w:r>
      <w:r w:rsidRPr="00DE469F">
        <w:rPr>
          <w:rFonts w:hint="cs"/>
          <w:spacing w:val="-2"/>
          <w:kern w:val="0"/>
          <w:sz w:val="20"/>
          <w:rtl/>
          <w:lang w:val="en-CA"/>
        </w:rPr>
        <w:t xml:space="preserve">بمعدات </w:t>
      </w:r>
      <w:r w:rsidRPr="00DE469F">
        <w:rPr>
          <w:spacing w:val="-2"/>
          <w:kern w:val="0"/>
          <w:sz w:val="20"/>
          <w:rtl/>
          <w:lang w:val="en-CA"/>
        </w:rPr>
        <w:t xml:space="preserve">التشخيص </w:t>
      </w:r>
      <w:r w:rsidRPr="00DE469F">
        <w:rPr>
          <w:rFonts w:hint="cs"/>
          <w:spacing w:val="-2"/>
          <w:kern w:val="0"/>
          <w:sz w:val="20"/>
          <w:rtl/>
          <w:lang w:val="en-CA"/>
        </w:rPr>
        <w:t>المناسبة الموجودة في</w:t>
      </w:r>
      <w:r w:rsidRPr="00DE469F">
        <w:rPr>
          <w:spacing w:val="-2"/>
          <w:kern w:val="0"/>
          <w:sz w:val="20"/>
          <w:rtl/>
          <w:lang w:val="en-CA"/>
        </w:rPr>
        <w:t xml:space="preserve"> موقع آخر.</w:t>
      </w:r>
    </w:p>
    <w:p w:rsidR="008D1B92" w:rsidRPr="008D1B92" w:rsidRDefault="008D1B92" w:rsidP="00DE469F">
      <w:pPr>
        <w:pStyle w:val="SingleTxtGA"/>
        <w:jc w:val="lowKashida"/>
        <w:rPr>
          <w:rFonts w:hint="cs"/>
          <w:spacing w:val="0"/>
          <w:kern w:val="0"/>
          <w:sz w:val="20"/>
          <w:szCs w:val="20"/>
          <w:rtl/>
        </w:rPr>
      </w:pPr>
      <w:r w:rsidRPr="008D1B92">
        <w:rPr>
          <w:rFonts w:hint="cs"/>
          <w:spacing w:val="0"/>
          <w:kern w:val="0"/>
          <w:sz w:val="20"/>
          <w:rtl/>
          <w:lang w:val="en-CA"/>
        </w:rPr>
        <w:t>6-6</w:t>
      </w:r>
      <w:r w:rsidRPr="008D1B92">
        <w:rPr>
          <w:rFonts w:hint="cs"/>
          <w:spacing w:val="0"/>
          <w:kern w:val="0"/>
          <w:sz w:val="20"/>
          <w:rtl/>
          <w:lang w:val="en-CA"/>
        </w:rPr>
        <w:tab/>
      </w:r>
      <w:r w:rsidRPr="008D1B92">
        <w:rPr>
          <w:spacing w:val="0"/>
          <w:kern w:val="0"/>
          <w:sz w:val="20"/>
          <w:rtl/>
          <w:lang w:val="en-CA"/>
        </w:rPr>
        <w:t xml:space="preserve">وتضيف الدولة الطرف أن طلب </w:t>
      </w:r>
      <w:r w:rsidRPr="008D1B92">
        <w:rPr>
          <w:rFonts w:hint="cs"/>
          <w:spacing w:val="0"/>
          <w:kern w:val="0"/>
          <w:sz w:val="20"/>
          <w:rtl/>
          <w:lang w:val="en-CA"/>
        </w:rPr>
        <w:t>إجراء ال</w:t>
      </w:r>
      <w:r w:rsidRPr="008D1B92">
        <w:rPr>
          <w:spacing w:val="0"/>
          <w:kern w:val="0"/>
          <w:sz w:val="20"/>
          <w:rtl/>
          <w:lang w:val="en-CA"/>
        </w:rPr>
        <w:t xml:space="preserve">مراجعة </w:t>
      </w:r>
      <w:r w:rsidRPr="008D1B92">
        <w:rPr>
          <w:rFonts w:hint="cs"/>
          <w:spacing w:val="0"/>
          <w:kern w:val="0"/>
          <w:sz w:val="20"/>
          <w:rtl/>
          <w:lang w:val="en-CA"/>
        </w:rPr>
        <w:t>ال</w:t>
      </w:r>
      <w:r w:rsidRPr="008D1B92">
        <w:rPr>
          <w:spacing w:val="0"/>
          <w:kern w:val="0"/>
          <w:sz w:val="20"/>
          <w:rtl/>
          <w:lang w:val="en-CA"/>
        </w:rPr>
        <w:t xml:space="preserve">قضائية </w:t>
      </w:r>
      <w:r w:rsidRPr="008D1B92">
        <w:rPr>
          <w:rFonts w:hint="cs"/>
          <w:spacing w:val="0"/>
          <w:kern w:val="0"/>
          <w:sz w:val="20"/>
          <w:rtl/>
          <w:lang w:val="en-CA"/>
        </w:rPr>
        <w:t>ل</w:t>
      </w:r>
      <w:r w:rsidRPr="008D1B92">
        <w:rPr>
          <w:spacing w:val="0"/>
          <w:kern w:val="0"/>
          <w:sz w:val="20"/>
          <w:rtl/>
          <w:lang w:val="en-CA"/>
        </w:rPr>
        <w:t xml:space="preserve">لرفض الثاني </w:t>
      </w:r>
      <w:r w:rsidRPr="008D1B92">
        <w:rPr>
          <w:rFonts w:hint="cs"/>
          <w:spacing w:val="0"/>
          <w:kern w:val="0"/>
          <w:sz w:val="20"/>
          <w:rtl/>
          <w:lang w:val="en-CA"/>
        </w:rPr>
        <w:t xml:space="preserve">لوقف تنفيذ الترحيل </w:t>
      </w:r>
      <w:r w:rsidRPr="008D1B92">
        <w:rPr>
          <w:spacing w:val="0"/>
          <w:kern w:val="0"/>
          <w:sz w:val="20"/>
          <w:rtl/>
          <w:lang w:val="en-CA"/>
        </w:rPr>
        <w:t>إداري</w:t>
      </w:r>
      <w:r w:rsidRPr="008D1B92">
        <w:rPr>
          <w:rFonts w:hint="cs"/>
          <w:spacing w:val="0"/>
          <w:kern w:val="0"/>
          <w:sz w:val="20"/>
          <w:rtl/>
          <w:lang w:val="en-CA"/>
        </w:rPr>
        <w:t>اً رُفض في</w:t>
      </w:r>
      <w:r w:rsidRPr="008D1B92">
        <w:rPr>
          <w:spacing w:val="0"/>
          <w:kern w:val="0"/>
          <w:sz w:val="20"/>
          <w:rtl/>
          <w:lang w:val="en-CA"/>
        </w:rPr>
        <w:t xml:space="preserve"> 29 </w:t>
      </w:r>
      <w:r w:rsidRPr="008D1B92">
        <w:rPr>
          <w:rFonts w:hint="cs"/>
          <w:spacing w:val="0"/>
          <w:kern w:val="0"/>
          <w:sz w:val="20"/>
          <w:rtl/>
          <w:lang w:val="en-CA"/>
        </w:rPr>
        <w:t>نيسان/</w:t>
      </w:r>
      <w:r w:rsidRPr="008D1B92">
        <w:rPr>
          <w:spacing w:val="0"/>
          <w:kern w:val="0"/>
          <w:sz w:val="20"/>
          <w:rtl/>
          <w:lang w:val="en-CA"/>
        </w:rPr>
        <w:t xml:space="preserve">أبريل 2010، وبالتالي </w:t>
      </w:r>
      <w:r w:rsidRPr="008D1B92">
        <w:rPr>
          <w:rFonts w:hint="cs"/>
          <w:spacing w:val="0"/>
          <w:kern w:val="0"/>
          <w:sz w:val="20"/>
          <w:rtl/>
          <w:lang w:val="en-CA"/>
        </w:rPr>
        <w:t>فقد استُنفدت</w:t>
      </w:r>
      <w:r w:rsidRPr="008D1B92">
        <w:rPr>
          <w:spacing w:val="0"/>
          <w:kern w:val="0"/>
          <w:sz w:val="20"/>
          <w:rtl/>
          <w:lang w:val="en-CA"/>
        </w:rPr>
        <w:t xml:space="preserve"> جميع سبل الانتصاف المحلية. </w:t>
      </w:r>
      <w:r w:rsidRPr="008D1B92">
        <w:rPr>
          <w:rFonts w:hint="cs"/>
          <w:spacing w:val="0"/>
          <w:kern w:val="0"/>
          <w:sz w:val="20"/>
          <w:rtl/>
          <w:lang w:val="en-CA"/>
        </w:rPr>
        <w:t>و</w:t>
      </w:r>
      <w:r w:rsidRPr="008D1B92">
        <w:rPr>
          <w:spacing w:val="0"/>
          <w:kern w:val="0"/>
          <w:sz w:val="20"/>
          <w:rtl/>
          <w:lang w:val="en-CA"/>
        </w:rPr>
        <w:t xml:space="preserve">بعد </w:t>
      </w:r>
      <w:r w:rsidRPr="008D1B92">
        <w:rPr>
          <w:rFonts w:hint="cs"/>
          <w:spacing w:val="0"/>
          <w:kern w:val="0"/>
          <w:sz w:val="20"/>
          <w:rtl/>
          <w:lang w:val="en-CA"/>
        </w:rPr>
        <w:t>سحب اللجنة</w:t>
      </w:r>
      <w:r w:rsidRPr="008D1B92">
        <w:rPr>
          <w:spacing w:val="0"/>
          <w:kern w:val="0"/>
          <w:sz w:val="20"/>
          <w:rtl/>
          <w:lang w:val="en-CA"/>
        </w:rPr>
        <w:t xml:space="preserve"> </w:t>
      </w:r>
      <w:r w:rsidRPr="008D1B92">
        <w:rPr>
          <w:rFonts w:hint="cs"/>
          <w:spacing w:val="0"/>
          <w:kern w:val="0"/>
          <w:sz w:val="20"/>
          <w:rtl/>
          <w:lang w:val="en-CA"/>
        </w:rPr>
        <w:t>ل</w:t>
      </w:r>
      <w:r w:rsidRPr="008D1B92">
        <w:rPr>
          <w:spacing w:val="0"/>
          <w:kern w:val="0"/>
          <w:sz w:val="20"/>
          <w:rtl/>
          <w:lang w:val="en-CA"/>
        </w:rPr>
        <w:t xml:space="preserve">طلب اتخاذ </w:t>
      </w:r>
      <w:r w:rsidRPr="008D1B92">
        <w:rPr>
          <w:rFonts w:hint="cs"/>
          <w:spacing w:val="0"/>
          <w:kern w:val="0"/>
          <w:sz w:val="20"/>
          <w:rtl/>
          <w:lang w:val="en-CA"/>
        </w:rPr>
        <w:t>ال</w:t>
      </w:r>
      <w:r w:rsidRPr="008D1B92">
        <w:rPr>
          <w:spacing w:val="0"/>
          <w:kern w:val="0"/>
          <w:sz w:val="20"/>
          <w:rtl/>
          <w:lang w:val="en-CA"/>
        </w:rPr>
        <w:t xml:space="preserve">تدابير </w:t>
      </w:r>
      <w:r w:rsidRPr="008D1B92">
        <w:rPr>
          <w:rFonts w:hint="cs"/>
          <w:spacing w:val="0"/>
          <w:kern w:val="0"/>
          <w:sz w:val="20"/>
          <w:rtl/>
          <w:lang w:val="en-CA"/>
        </w:rPr>
        <w:t>ال</w:t>
      </w:r>
      <w:r w:rsidRPr="008D1B92">
        <w:rPr>
          <w:spacing w:val="0"/>
          <w:kern w:val="0"/>
          <w:sz w:val="20"/>
          <w:rtl/>
          <w:lang w:val="en-CA"/>
        </w:rPr>
        <w:t xml:space="preserve">مؤقتة </w:t>
      </w:r>
      <w:r w:rsidRPr="008D1B92">
        <w:rPr>
          <w:rFonts w:hint="cs"/>
          <w:spacing w:val="0"/>
          <w:kern w:val="0"/>
          <w:sz w:val="20"/>
          <w:rtl/>
          <w:lang w:val="en-CA"/>
        </w:rPr>
        <w:t>في 28</w:t>
      </w:r>
      <w:r w:rsidRPr="008D1B92">
        <w:rPr>
          <w:spacing w:val="0"/>
          <w:kern w:val="0"/>
          <w:sz w:val="20"/>
          <w:rtl/>
          <w:lang w:val="en-CA"/>
        </w:rPr>
        <w:t xml:space="preserve"> </w:t>
      </w:r>
      <w:r w:rsidRPr="008D1B92">
        <w:rPr>
          <w:rFonts w:hint="cs"/>
          <w:spacing w:val="0"/>
          <w:kern w:val="0"/>
          <w:sz w:val="20"/>
          <w:rtl/>
          <w:lang w:val="en-CA"/>
        </w:rPr>
        <w:t>كانون الأول/</w:t>
      </w:r>
      <w:r w:rsidRPr="008D1B92">
        <w:rPr>
          <w:spacing w:val="0"/>
          <w:kern w:val="0"/>
          <w:sz w:val="20"/>
          <w:rtl/>
          <w:lang w:val="en-CA"/>
        </w:rPr>
        <w:t xml:space="preserve">ديسمبر 2009، </w:t>
      </w:r>
      <w:r w:rsidRPr="008D1B92">
        <w:rPr>
          <w:rFonts w:hint="cs"/>
          <w:spacing w:val="0"/>
          <w:kern w:val="0"/>
          <w:sz w:val="20"/>
          <w:rtl/>
          <w:lang w:val="en-CA"/>
        </w:rPr>
        <w:t xml:space="preserve">فإنه </w:t>
      </w:r>
      <w:r w:rsidRPr="008D1B92">
        <w:rPr>
          <w:spacing w:val="0"/>
          <w:kern w:val="0"/>
          <w:sz w:val="20"/>
          <w:rtl/>
          <w:lang w:val="en-CA"/>
        </w:rPr>
        <w:t xml:space="preserve">يجوز للدولة الطرف أن </w:t>
      </w:r>
      <w:r w:rsidR="00BA41EC">
        <w:rPr>
          <w:rFonts w:hint="cs"/>
          <w:spacing w:val="0"/>
          <w:kern w:val="0"/>
          <w:sz w:val="20"/>
          <w:rtl/>
          <w:lang w:val="en-CA"/>
        </w:rPr>
        <w:t>ترح</w:t>
      </w:r>
      <w:r w:rsidRPr="008D1B92">
        <w:rPr>
          <w:rFonts w:hint="cs"/>
          <w:spacing w:val="0"/>
          <w:kern w:val="0"/>
          <w:sz w:val="20"/>
          <w:rtl/>
          <w:lang w:val="en-CA"/>
        </w:rPr>
        <w:t>ل صاحب</w:t>
      </w:r>
      <w:r w:rsidRPr="008D1B92">
        <w:rPr>
          <w:spacing w:val="0"/>
          <w:kern w:val="0"/>
          <w:sz w:val="20"/>
          <w:rtl/>
          <w:lang w:val="en-CA"/>
        </w:rPr>
        <w:t xml:space="preserve"> الشكوى إلى هايتي. ومع</w:t>
      </w:r>
      <w:r w:rsidR="00DE469F">
        <w:rPr>
          <w:rFonts w:hint="cs"/>
          <w:spacing w:val="0"/>
          <w:kern w:val="0"/>
          <w:sz w:val="20"/>
          <w:rtl/>
          <w:lang w:val="en-CA"/>
        </w:rPr>
        <w:t> </w:t>
      </w:r>
      <w:r w:rsidRPr="008D1B92">
        <w:rPr>
          <w:spacing w:val="0"/>
          <w:kern w:val="0"/>
          <w:sz w:val="20"/>
          <w:rtl/>
          <w:lang w:val="en-CA"/>
        </w:rPr>
        <w:t xml:space="preserve">ذلك، </w:t>
      </w:r>
      <w:r w:rsidRPr="008D1B92">
        <w:rPr>
          <w:rFonts w:hint="cs"/>
          <w:spacing w:val="0"/>
          <w:kern w:val="0"/>
          <w:sz w:val="20"/>
          <w:rtl/>
          <w:lang w:val="en-CA"/>
        </w:rPr>
        <w:t>أصدرت</w:t>
      </w:r>
      <w:r w:rsidRPr="008D1B92">
        <w:rPr>
          <w:spacing w:val="0"/>
          <w:kern w:val="0"/>
          <w:sz w:val="20"/>
          <w:rtl/>
          <w:lang w:val="en-CA"/>
        </w:rPr>
        <w:t xml:space="preserve"> الدولة الطرف </w:t>
      </w:r>
      <w:r w:rsidRPr="008D1B92">
        <w:rPr>
          <w:rFonts w:hint="cs"/>
          <w:spacing w:val="0"/>
          <w:kern w:val="0"/>
          <w:sz w:val="20"/>
          <w:rtl/>
          <w:lang w:val="en-CA"/>
        </w:rPr>
        <w:t xml:space="preserve">أمراً بوقف تنفيذ الترحيل </w:t>
      </w:r>
      <w:r w:rsidRPr="008D1B92">
        <w:rPr>
          <w:spacing w:val="0"/>
          <w:kern w:val="0"/>
          <w:sz w:val="20"/>
          <w:rtl/>
          <w:lang w:val="en-CA"/>
        </w:rPr>
        <w:t>إداري</w:t>
      </w:r>
      <w:r w:rsidRPr="008D1B92">
        <w:rPr>
          <w:rFonts w:hint="cs"/>
          <w:spacing w:val="0"/>
          <w:kern w:val="0"/>
          <w:sz w:val="20"/>
          <w:rtl/>
          <w:lang w:val="en-CA"/>
        </w:rPr>
        <w:t>اً</w:t>
      </w:r>
      <w:r w:rsidRPr="008D1B92">
        <w:rPr>
          <w:spacing w:val="0"/>
          <w:kern w:val="0"/>
          <w:sz w:val="20"/>
          <w:rtl/>
          <w:lang w:val="en-CA"/>
        </w:rPr>
        <w:t xml:space="preserve"> </w:t>
      </w:r>
      <w:r w:rsidRPr="008D1B92">
        <w:rPr>
          <w:rFonts w:hint="cs"/>
          <w:spacing w:val="0"/>
          <w:kern w:val="0"/>
          <w:sz w:val="20"/>
          <w:rtl/>
          <w:lang w:val="en-CA"/>
        </w:rPr>
        <w:t xml:space="preserve">إلى </w:t>
      </w:r>
      <w:r w:rsidRPr="008D1B92">
        <w:rPr>
          <w:spacing w:val="0"/>
          <w:kern w:val="0"/>
          <w:sz w:val="20"/>
          <w:rtl/>
          <w:lang w:val="en-CA"/>
        </w:rPr>
        <w:t xml:space="preserve">هايتي بعد الزلزال الذي وقع في 12 </w:t>
      </w:r>
      <w:r w:rsidRPr="008D1B92">
        <w:rPr>
          <w:rFonts w:hint="cs"/>
          <w:spacing w:val="0"/>
          <w:kern w:val="0"/>
          <w:sz w:val="20"/>
          <w:rtl/>
          <w:lang w:val="en-CA"/>
        </w:rPr>
        <w:t>كانون الثاني/</w:t>
      </w:r>
      <w:r w:rsidRPr="008D1B92">
        <w:rPr>
          <w:spacing w:val="0"/>
          <w:kern w:val="0"/>
          <w:sz w:val="20"/>
          <w:rtl/>
          <w:lang w:val="en-CA"/>
        </w:rPr>
        <w:t>يناير 2010. و</w:t>
      </w:r>
      <w:r w:rsidRPr="008D1B92">
        <w:rPr>
          <w:rFonts w:hint="cs"/>
          <w:spacing w:val="0"/>
          <w:kern w:val="0"/>
          <w:sz w:val="20"/>
          <w:rtl/>
          <w:lang w:val="en-CA"/>
        </w:rPr>
        <w:t xml:space="preserve">كان هذا </w:t>
      </w:r>
      <w:r w:rsidRPr="008D1B92">
        <w:rPr>
          <w:spacing w:val="0"/>
          <w:kern w:val="0"/>
          <w:sz w:val="20"/>
          <w:rtl/>
          <w:lang w:val="en-CA"/>
        </w:rPr>
        <w:t xml:space="preserve">التدبير </w:t>
      </w:r>
      <w:r w:rsidRPr="008D1B92">
        <w:rPr>
          <w:rFonts w:hint="cs"/>
          <w:spacing w:val="0"/>
          <w:kern w:val="0"/>
          <w:sz w:val="20"/>
          <w:rtl/>
          <w:lang w:val="en-CA"/>
        </w:rPr>
        <w:t xml:space="preserve">بدافع </w:t>
      </w:r>
      <w:r w:rsidRPr="008D1B92">
        <w:rPr>
          <w:spacing w:val="0"/>
          <w:kern w:val="0"/>
          <w:sz w:val="20"/>
          <w:rtl/>
          <w:lang w:val="en-CA"/>
        </w:rPr>
        <w:t>اعتبارات إنسانية و</w:t>
      </w:r>
      <w:r w:rsidRPr="008D1B92">
        <w:rPr>
          <w:rFonts w:hint="cs"/>
          <w:spacing w:val="0"/>
          <w:kern w:val="0"/>
          <w:sz w:val="20"/>
          <w:rtl/>
          <w:lang w:val="en-CA"/>
        </w:rPr>
        <w:t>ان</w:t>
      </w:r>
      <w:r w:rsidRPr="008D1B92">
        <w:rPr>
          <w:spacing w:val="0"/>
          <w:kern w:val="0"/>
          <w:sz w:val="20"/>
          <w:rtl/>
          <w:lang w:val="en-CA"/>
        </w:rPr>
        <w:t xml:space="preserve">طبق على أي شخص </w:t>
      </w:r>
      <w:r w:rsidRPr="008D1B92">
        <w:rPr>
          <w:rFonts w:hint="cs"/>
          <w:spacing w:val="0"/>
          <w:kern w:val="0"/>
          <w:sz w:val="20"/>
          <w:rtl/>
          <w:lang w:val="en-CA"/>
        </w:rPr>
        <w:t>صدر ضده أمر ترحيل</w:t>
      </w:r>
      <w:r w:rsidRPr="008D1B92">
        <w:rPr>
          <w:spacing w:val="0"/>
          <w:kern w:val="0"/>
          <w:sz w:val="20"/>
          <w:rtl/>
          <w:lang w:val="en-CA"/>
        </w:rPr>
        <w:t xml:space="preserve">. </w:t>
      </w:r>
      <w:r w:rsidRPr="008D1B92">
        <w:rPr>
          <w:rFonts w:hint="cs"/>
          <w:spacing w:val="0"/>
          <w:kern w:val="0"/>
          <w:sz w:val="20"/>
          <w:rtl/>
          <w:lang w:val="en-CA"/>
        </w:rPr>
        <w:t>وبالتالي</w:t>
      </w:r>
      <w:r w:rsidRPr="008D1B92">
        <w:rPr>
          <w:spacing w:val="0"/>
          <w:kern w:val="0"/>
          <w:sz w:val="20"/>
          <w:rtl/>
          <w:lang w:val="en-CA"/>
        </w:rPr>
        <w:t>، ع</w:t>
      </w:r>
      <w:r w:rsidRPr="008D1B92">
        <w:rPr>
          <w:rFonts w:hint="cs"/>
          <w:spacing w:val="0"/>
          <w:kern w:val="0"/>
          <w:sz w:val="20"/>
          <w:rtl/>
          <w:lang w:val="en-CA"/>
        </w:rPr>
        <w:t>ُ</w:t>
      </w:r>
      <w:r w:rsidRPr="008D1B92">
        <w:rPr>
          <w:spacing w:val="0"/>
          <w:kern w:val="0"/>
          <w:sz w:val="20"/>
          <w:rtl/>
          <w:lang w:val="en-CA"/>
        </w:rPr>
        <w:t xml:space="preserve">لق ترحيل </w:t>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 xml:space="preserve">ولذلك، </w:t>
      </w:r>
      <w:r w:rsidRPr="008D1B92">
        <w:rPr>
          <w:spacing w:val="0"/>
          <w:kern w:val="0"/>
          <w:sz w:val="20"/>
          <w:rtl/>
          <w:lang w:val="en-CA"/>
        </w:rPr>
        <w:t xml:space="preserve">تكرر الدولة الطرف </w:t>
      </w:r>
      <w:r w:rsidRPr="008D1B92">
        <w:rPr>
          <w:rFonts w:hint="cs"/>
          <w:spacing w:val="0"/>
          <w:kern w:val="0"/>
          <w:sz w:val="20"/>
          <w:rtl/>
          <w:lang w:val="en-CA"/>
        </w:rPr>
        <w:t>مواقفها</w:t>
      </w:r>
      <w:r w:rsidRPr="008D1B92">
        <w:rPr>
          <w:spacing w:val="0"/>
          <w:kern w:val="0"/>
          <w:sz w:val="20"/>
          <w:rtl/>
          <w:lang w:val="en-CA"/>
        </w:rPr>
        <w:t xml:space="preserve"> </w:t>
      </w:r>
      <w:r w:rsidRPr="008D1B92">
        <w:rPr>
          <w:rFonts w:hint="cs"/>
          <w:spacing w:val="0"/>
          <w:kern w:val="0"/>
          <w:sz w:val="20"/>
          <w:rtl/>
          <w:lang w:val="en-CA"/>
        </w:rPr>
        <w:t xml:space="preserve">السابقة </w:t>
      </w:r>
      <w:r w:rsidRPr="008D1B92">
        <w:rPr>
          <w:spacing w:val="0"/>
          <w:kern w:val="0"/>
          <w:sz w:val="20"/>
          <w:rtl/>
          <w:lang w:val="en-CA"/>
        </w:rPr>
        <w:t>بشأن عدم</w:t>
      </w:r>
      <w:r w:rsidRPr="008D1B92">
        <w:rPr>
          <w:rFonts w:hint="cs"/>
          <w:spacing w:val="0"/>
          <w:kern w:val="0"/>
          <w:sz w:val="20"/>
          <w:rtl/>
          <w:lang w:val="en-CA"/>
        </w:rPr>
        <w:t xml:space="preserve"> مقبولية </w:t>
      </w:r>
      <w:r w:rsidRPr="008D1B92">
        <w:rPr>
          <w:spacing w:val="0"/>
          <w:kern w:val="0"/>
          <w:sz w:val="20"/>
          <w:rtl/>
          <w:lang w:val="en-CA"/>
        </w:rPr>
        <w:t>ادعاءات</w:t>
      </w:r>
      <w:r w:rsidRPr="008D1B92">
        <w:rPr>
          <w:rFonts w:hint="cs"/>
          <w:spacing w:val="0"/>
          <w:kern w:val="0"/>
          <w:sz w:val="20"/>
          <w:rtl/>
          <w:lang w:val="en-CA"/>
        </w:rPr>
        <w:t xml:space="preserve"> صاحب الشكوى أو، احتياطياً، بشأن عدم</w:t>
      </w:r>
      <w:r w:rsidRPr="008D1B92">
        <w:rPr>
          <w:spacing w:val="0"/>
          <w:kern w:val="0"/>
          <w:sz w:val="20"/>
          <w:rtl/>
          <w:lang w:val="en-CA"/>
        </w:rPr>
        <w:t xml:space="preserve"> </w:t>
      </w:r>
      <w:r w:rsidRPr="008D1B92">
        <w:rPr>
          <w:rFonts w:hint="cs"/>
          <w:spacing w:val="0"/>
          <w:kern w:val="0"/>
          <w:sz w:val="20"/>
          <w:rtl/>
          <w:lang w:val="en-CA"/>
        </w:rPr>
        <w:t>استنادها إلى أساس سليم</w:t>
      </w:r>
      <w:r w:rsidRPr="008D1B92">
        <w:rPr>
          <w:spacing w:val="0"/>
          <w:kern w:val="0"/>
          <w:sz w:val="20"/>
          <w:rtl/>
          <w:lang w:val="en-CA"/>
        </w:rPr>
        <w:t>.</w:t>
      </w:r>
    </w:p>
    <w:p w:rsidR="008D1B92" w:rsidRPr="008D1B92" w:rsidRDefault="008D1B92" w:rsidP="00DE469F">
      <w:pPr>
        <w:pStyle w:val="SingleTxtGA"/>
        <w:jc w:val="lowKashida"/>
        <w:rPr>
          <w:rFonts w:hint="cs"/>
          <w:spacing w:val="0"/>
          <w:kern w:val="0"/>
          <w:sz w:val="20"/>
          <w:szCs w:val="20"/>
          <w:rtl/>
        </w:rPr>
      </w:pPr>
      <w:r w:rsidRPr="008D1B92">
        <w:rPr>
          <w:rFonts w:hint="cs"/>
          <w:spacing w:val="0"/>
          <w:kern w:val="0"/>
          <w:sz w:val="20"/>
          <w:rtl/>
          <w:lang w:val="en-CA"/>
        </w:rPr>
        <w:t>6-7</w:t>
      </w:r>
      <w:r w:rsidRPr="008D1B92">
        <w:rPr>
          <w:rFonts w:hint="cs"/>
          <w:spacing w:val="0"/>
          <w:kern w:val="0"/>
          <w:sz w:val="20"/>
          <w:rtl/>
          <w:lang w:val="en-CA"/>
        </w:rPr>
        <w:tab/>
      </w:r>
      <w:r w:rsidRPr="008D1B92">
        <w:rPr>
          <w:spacing w:val="0"/>
          <w:kern w:val="0"/>
          <w:sz w:val="20"/>
          <w:rtl/>
          <w:lang w:val="en-CA"/>
        </w:rPr>
        <w:t>وفي 1 تموز</w:t>
      </w:r>
      <w:r w:rsidRPr="008D1B92">
        <w:rPr>
          <w:rFonts w:hint="cs"/>
          <w:spacing w:val="0"/>
          <w:kern w:val="0"/>
          <w:sz w:val="20"/>
          <w:rtl/>
          <w:lang w:val="en-CA"/>
        </w:rPr>
        <w:t>/يوليه</w:t>
      </w:r>
      <w:r w:rsidRPr="008D1B92">
        <w:rPr>
          <w:spacing w:val="0"/>
          <w:kern w:val="0"/>
          <w:sz w:val="20"/>
          <w:rtl/>
          <w:lang w:val="en-CA"/>
        </w:rPr>
        <w:t xml:space="preserve"> 2011، قدم </w:t>
      </w:r>
      <w:r w:rsidRPr="008D1B92">
        <w:rPr>
          <w:rFonts w:hint="cs"/>
          <w:spacing w:val="0"/>
          <w:kern w:val="0"/>
          <w:sz w:val="20"/>
          <w:rtl/>
          <w:lang w:val="en-CA"/>
        </w:rPr>
        <w:t>صاحب الشكوى</w:t>
      </w:r>
      <w:r w:rsidRPr="008D1B92">
        <w:rPr>
          <w:spacing w:val="0"/>
          <w:kern w:val="0"/>
          <w:sz w:val="20"/>
          <w:rtl/>
          <w:lang w:val="en-CA"/>
        </w:rPr>
        <w:t xml:space="preserve"> رسالة جديدة من</w:t>
      </w:r>
      <w:r w:rsidRPr="008D1B92">
        <w:rPr>
          <w:rFonts w:hint="cs"/>
          <w:spacing w:val="0"/>
          <w:kern w:val="0"/>
          <w:sz w:val="20"/>
          <w:rtl/>
          <w:lang w:val="en-CA"/>
        </w:rPr>
        <w:t xml:space="preserve"> </w:t>
      </w:r>
      <w:r w:rsidRPr="008D1B92">
        <w:rPr>
          <w:spacing w:val="0"/>
          <w:kern w:val="0"/>
          <w:sz w:val="20"/>
          <w:rtl/>
          <w:lang w:val="en-CA"/>
        </w:rPr>
        <w:t xml:space="preserve">طبيب </w:t>
      </w:r>
      <w:r w:rsidRPr="008D1B92">
        <w:rPr>
          <w:rFonts w:hint="cs"/>
          <w:spacing w:val="0"/>
          <w:kern w:val="0"/>
          <w:sz w:val="20"/>
          <w:rtl/>
          <w:lang w:val="en-CA"/>
        </w:rPr>
        <w:t>في مستشفى جامعة مونتريال</w:t>
      </w:r>
      <w:r w:rsidRPr="008D1B92">
        <w:rPr>
          <w:spacing w:val="0"/>
          <w:kern w:val="0"/>
          <w:sz w:val="20"/>
          <w:rtl/>
          <w:lang w:val="en-CA"/>
        </w:rPr>
        <w:t xml:space="preserve"> </w:t>
      </w:r>
      <w:r w:rsidRPr="008D1B92">
        <w:rPr>
          <w:rFonts w:hint="cs"/>
          <w:spacing w:val="0"/>
          <w:kern w:val="0"/>
          <w:sz w:val="20"/>
          <w:rtl/>
          <w:lang w:val="en-CA"/>
        </w:rPr>
        <w:t>يشكك في</w:t>
      </w:r>
      <w:r w:rsidRPr="008D1B92">
        <w:rPr>
          <w:spacing w:val="0"/>
          <w:kern w:val="0"/>
          <w:sz w:val="20"/>
          <w:rtl/>
          <w:lang w:val="en-CA"/>
        </w:rPr>
        <w:t xml:space="preserve"> بساطة </w:t>
      </w:r>
      <w:r w:rsidRPr="008D1B92">
        <w:rPr>
          <w:rFonts w:hint="cs"/>
          <w:spacing w:val="0"/>
          <w:kern w:val="0"/>
          <w:sz w:val="20"/>
          <w:rtl/>
          <w:lang w:val="en-CA"/>
        </w:rPr>
        <w:t>متابعة عمل الجهاز عن بعد</w:t>
      </w:r>
      <w:r w:rsidRPr="008D1B92">
        <w:rPr>
          <w:spacing w:val="0"/>
          <w:kern w:val="0"/>
          <w:sz w:val="20"/>
          <w:rtl/>
          <w:lang w:val="en-CA"/>
        </w:rPr>
        <w:t xml:space="preserve">. </w:t>
      </w:r>
      <w:r w:rsidRPr="008D1B92">
        <w:rPr>
          <w:rFonts w:hint="cs"/>
          <w:spacing w:val="0"/>
          <w:kern w:val="0"/>
          <w:sz w:val="20"/>
          <w:rtl/>
          <w:lang w:val="en-CA"/>
        </w:rPr>
        <w:t xml:space="preserve">ويعتبر </w:t>
      </w:r>
      <w:r w:rsidRPr="008D1B92">
        <w:rPr>
          <w:spacing w:val="0"/>
          <w:kern w:val="0"/>
          <w:sz w:val="20"/>
          <w:rtl/>
          <w:lang w:val="en-CA"/>
        </w:rPr>
        <w:t>هذا الجانب التقني مهم</w:t>
      </w:r>
      <w:r w:rsidRPr="008D1B92">
        <w:rPr>
          <w:rFonts w:hint="cs"/>
          <w:spacing w:val="0"/>
          <w:kern w:val="0"/>
          <w:sz w:val="20"/>
          <w:rtl/>
          <w:lang w:val="en-CA"/>
        </w:rPr>
        <w:t>اً</w:t>
      </w:r>
      <w:r w:rsidRPr="008D1B92">
        <w:rPr>
          <w:spacing w:val="0"/>
          <w:kern w:val="0"/>
          <w:sz w:val="20"/>
          <w:rtl/>
          <w:lang w:val="en-CA"/>
        </w:rPr>
        <w:t xml:space="preserve"> </w:t>
      </w:r>
      <w:r w:rsidRPr="008D1B92">
        <w:rPr>
          <w:rFonts w:hint="cs"/>
          <w:spacing w:val="0"/>
          <w:kern w:val="0"/>
          <w:sz w:val="20"/>
          <w:rtl/>
          <w:lang w:val="en-CA"/>
        </w:rPr>
        <w:t>من وجهة نظر صاحب الشكوى</w:t>
      </w:r>
      <w:r w:rsidRPr="008D1B92">
        <w:rPr>
          <w:spacing w:val="0"/>
          <w:kern w:val="0"/>
          <w:sz w:val="20"/>
          <w:rtl/>
          <w:lang w:val="en-CA"/>
        </w:rPr>
        <w:t xml:space="preserve"> بالنظر </w:t>
      </w:r>
      <w:r w:rsidRPr="008D1B92">
        <w:rPr>
          <w:rFonts w:hint="cs"/>
          <w:spacing w:val="0"/>
          <w:kern w:val="0"/>
          <w:sz w:val="20"/>
          <w:rtl/>
          <w:lang w:val="en-CA"/>
        </w:rPr>
        <w:t>إ</w:t>
      </w:r>
      <w:r w:rsidRPr="008D1B92">
        <w:rPr>
          <w:spacing w:val="0"/>
          <w:kern w:val="0"/>
          <w:sz w:val="20"/>
          <w:rtl/>
          <w:lang w:val="en-CA"/>
        </w:rPr>
        <w:t>لى الوضع في هايتي بعد الزلزال.</w:t>
      </w:r>
      <w:r w:rsidRPr="008D1B92">
        <w:rPr>
          <w:rFonts w:hint="cs"/>
          <w:spacing w:val="0"/>
          <w:kern w:val="0"/>
          <w:sz w:val="20"/>
          <w:rtl/>
          <w:lang w:val="en-CA"/>
        </w:rPr>
        <w:t xml:space="preserve"> وفي</w:t>
      </w:r>
      <w:r w:rsidRPr="008D1B92">
        <w:rPr>
          <w:spacing w:val="0"/>
          <w:kern w:val="0"/>
          <w:sz w:val="20"/>
          <w:rtl/>
          <w:lang w:val="en-CA"/>
        </w:rPr>
        <w:t xml:space="preserve"> 6 و18 </w:t>
      </w:r>
      <w:r w:rsidRPr="008D1B92">
        <w:rPr>
          <w:rFonts w:hint="cs"/>
          <w:spacing w:val="0"/>
          <w:kern w:val="0"/>
          <w:sz w:val="20"/>
          <w:rtl/>
          <w:lang w:val="en-CA"/>
        </w:rPr>
        <w:t>آب/</w:t>
      </w:r>
      <w:r w:rsidRPr="008D1B92">
        <w:rPr>
          <w:spacing w:val="0"/>
          <w:kern w:val="0"/>
          <w:sz w:val="20"/>
          <w:rtl/>
          <w:lang w:val="en-CA"/>
        </w:rPr>
        <w:t xml:space="preserve">أغسطس 2011، أبلغ </w:t>
      </w:r>
      <w:r w:rsidRPr="008D1B92">
        <w:rPr>
          <w:rFonts w:hint="cs"/>
          <w:spacing w:val="0"/>
          <w:kern w:val="0"/>
          <w:sz w:val="20"/>
          <w:rtl/>
          <w:lang w:val="en-CA"/>
        </w:rPr>
        <w:t>صاحب الشكوى ال</w:t>
      </w:r>
      <w:r w:rsidRPr="008D1B92">
        <w:rPr>
          <w:spacing w:val="0"/>
          <w:kern w:val="0"/>
          <w:sz w:val="20"/>
          <w:rtl/>
          <w:lang w:val="en-CA"/>
        </w:rPr>
        <w:t xml:space="preserve">لجنة </w:t>
      </w:r>
      <w:r w:rsidRPr="008D1B92">
        <w:rPr>
          <w:rFonts w:hint="cs"/>
          <w:spacing w:val="0"/>
          <w:kern w:val="0"/>
          <w:sz w:val="20"/>
          <w:rtl/>
          <w:lang w:val="en-CA"/>
        </w:rPr>
        <w:t xml:space="preserve">بأن ترحيله تحدد له </w:t>
      </w:r>
      <w:r w:rsidRPr="008D1B92">
        <w:rPr>
          <w:spacing w:val="0"/>
          <w:kern w:val="0"/>
          <w:sz w:val="20"/>
          <w:rtl/>
          <w:lang w:val="en-CA"/>
        </w:rPr>
        <w:t xml:space="preserve">يوم 22 </w:t>
      </w:r>
      <w:r w:rsidRPr="008D1B92">
        <w:rPr>
          <w:rFonts w:hint="cs"/>
          <w:spacing w:val="0"/>
          <w:kern w:val="0"/>
          <w:sz w:val="20"/>
          <w:rtl/>
          <w:lang w:val="en-CA"/>
        </w:rPr>
        <w:t>آب/</w:t>
      </w:r>
      <w:r w:rsidRPr="008D1B92">
        <w:rPr>
          <w:spacing w:val="0"/>
          <w:kern w:val="0"/>
          <w:sz w:val="20"/>
          <w:rtl/>
          <w:lang w:val="en-CA"/>
        </w:rPr>
        <w:t>أغسطس 2011.</w:t>
      </w:r>
    </w:p>
    <w:p w:rsidR="008D1B92" w:rsidRPr="008D1B92" w:rsidRDefault="008D1B92" w:rsidP="00DE469F">
      <w:pPr>
        <w:pStyle w:val="SingleTxtGA"/>
        <w:jc w:val="lowKashida"/>
        <w:rPr>
          <w:rFonts w:hint="cs"/>
          <w:spacing w:val="0"/>
          <w:kern w:val="0"/>
          <w:sz w:val="20"/>
          <w:szCs w:val="20"/>
          <w:rtl/>
        </w:rPr>
      </w:pPr>
      <w:r w:rsidRPr="008D1B92">
        <w:rPr>
          <w:rFonts w:hint="cs"/>
          <w:spacing w:val="0"/>
          <w:kern w:val="0"/>
          <w:sz w:val="20"/>
          <w:rtl/>
          <w:lang w:val="en-CA"/>
        </w:rPr>
        <w:t>6-8</w:t>
      </w:r>
      <w:r w:rsidRPr="008D1B92">
        <w:rPr>
          <w:rFonts w:hint="cs"/>
          <w:spacing w:val="0"/>
          <w:kern w:val="0"/>
          <w:sz w:val="20"/>
          <w:rtl/>
          <w:lang w:val="en-CA"/>
        </w:rPr>
        <w:tab/>
        <w:t>ويدعي صاحب الشكوى</w:t>
      </w:r>
      <w:r w:rsidRPr="008D1B92">
        <w:rPr>
          <w:spacing w:val="0"/>
          <w:kern w:val="0"/>
          <w:sz w:val="20"/>
          <w:rtl/>
          <w:lang w:val="en-CA"/>
        </w:rPr>
        <w:t xml:space="preserve"> أنه </w:t>
      </w:r>
      <w:r w:rsidRPr="008D1B92">
        <w:rPr>
          <w:rFonts w:hint="cs"/>
          <w:spacing w:val="0"/>
          <w:kern w:val="0"/>
          <w:sz w:val="20"/>
          <w:rtl/>
          <w:lang w:val="en-CA"/>
        </w:rPr>
        <w:t xml:space="preserve">احتجز </w:t>
      </w:r>
      <w:r w:rsidRPr="008D1B92">
        <w:rPr>
          <w:spacing w:val="0"/>
          <w:kern w:val="0"/>
          <w:sz w:val="20"/>
          <w:rtl/>
          <w:lang w:val="en-CA"/>
        </w:rPr>
        <w:t xml:space="preserve">بعد وصوله </w:t>
      </w:r>
      <w:r w:rsidRPr="008D1B92">
        <w:rPr>
          <w:rFonts w:hint="cs"/>
          <w:spacing w:val="0"/>
          <w:kern w:val="0"/>
          <w:sz w:val="20"/>
          <w:rtl/>
          <w:lang w:val="en-CA"/>
        </w:rPr>
        <w:t>إ</w:t>
      </w:r>
      <w:r w:rsidRPr="008D1B92">
        <w:rPr>
          <w:spacing w:val="0"/>
          <w:kern w:val="0"/>
          <w:sz w:val="20"/>
          <w:rtl/>
          <w:lang w:val="en-CA"/>
        </w:rPr>
        <w:t>لى هايتي</w:t>
      </w:r>
      <w:r w:rsidRPr="008D1B92">
        <w:rPr>
          <w:rFonts w:hint="cs"/>
          <w:spacing w:val="0"/>
          <w:kern w:val="0"/>
          <w:sz w:val="20"/>
          <w:rtl/>
          <w:lang w:val="en-CA"/>
        </w:rPr>
        <w:t xml:space="preserve"> في 10 تشرين الأول/</w:t>
      </w:r>
      <w:r w:rsidRPr="008D1B92">
        <w:rPr>
          <w:spacing w:val="0"/>
          <w:kern w:val="0"/>
          <w:sz w:val="20"/>
          <w:rtl/>
          <w:lang w:val="en-CA"/>
        </w:rPr>
        <w:t>أكتوبر 2011،</w:t>
      </w:r>
      <w:r w:rsidRPr="008D1B92">
        <w:rPr>
          <w:rFonts w:hint="cs"/>
          <w:spacing w:val="0"/>
          <w:kern w:val="0"/>
          <w:sz w:val="20"/>
          <w:rtl/>
          <w:lang w:val="en-CA"/>
        </w:rPr>
        <w:t xml:space="preserve"> </w:t>
      </w:r>
      <w:r w:rsidRPr="008D1B92">
        <w:rPr>
          <w:spacing w:val="0"/>
          <w:kern w:val="0"/>
          <w:sz w:val="20"/>
          <w:rtl/>
          <w:lang w:val="en-CA"/>
        </w:rPr>
        <w:t xml:space="preserve">ثم أفرج عنه </w:t>
      </w:r>
      <w:r w:rsidRPr="008D1B92">
        <w:rPr>
          <w:rFonts w:hint="cs"/>
          <w:spacing w:val="0"/>
          <w:kern w:val="0"/>
          <w:sz w:val="20"/>
          <w:rtl/>
          <w:lang w:val="en-CA"/>
        </w:rPr>
        <w:t>بفضل</w:t>
      </w:r>
      <w:r w:rsidRPr="008D1B92">
        <w:rPr>
          <w:spacing w:val="0"/>
          <w:kern w:val="0"/>
          <w:sz w:val="20"/>
          <w:rtl/>
          <w:lang w:val="en-CA"/>
        </w:rPr>
        <w:t xml:space="preserve"> تدخل مفتش شرطة </w:t>
      </w:r>
      <w:r w:rsidRPr="008D1B92">
        <w:rPr>
          <w:rFonts w:hint="cs"/>
          <w:spacing w:val="0"/>
          <w:kern w:val="0"/>
          <w:sz w:val="20"/>
          <w:rtl/>
          <w:lang w:val="en-CA"/>
        </w:rPr>
        <w:t>كان يعرفه</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في 23 آب</w:t>
      </w:r>
      <w:r w:rsidRPr="008D1B92">
        <w:rPr>
          <w:rFonts w:hint="cs"/>
          <w:spacing w:val="0"/>
          <w:kern w:val="0"/>
          <w:sz w:val="20"/>
          <w:rtl/>
          <w:lang w:val="en-CA"/>
        </w:rPr>
        <w:t>/أغسطس</w:t>
      </w:r>
      <w:r w:rsidRPr="008D1B92">
        <w:rPr>
          <w:spacing w:val="0"/>
          <w:kern w:val="0"/>
          <w:sz w:val="20"/>
          <w:rtl/>
          <w:lang w:val="en-CA"/>
        </w:rPr>
        <w:t xml:space="preserve"> 2011، ذهب </w:t>
      </w:r>
      <w:r w:rsidRPr="008D1B92">
        <w:rPr>
          <w:rFonts w:hint="cs"/>
          <w:spacing w:val="0"/>
          <w:kern w:val="0"/>
          <w:sz w:val="20"/>
          <w:rtl/>
          <w:lang w:val="en-CA"/>
        </w:rPr>
        <w:t>إ</w:t>
      </w:r>
      <w:r w:rsidRPr="008D1B92">
        <w:rPr>
          <w:spacing w:val="0"/>
          <w:kern w:val="0"/>
          <w:sz w:val="20"/>
          <w:rtl/>
          <w:lang w:val="en-CA"/>
        </w:rPr>
        <w:t xml:space="preserve">لى مستشفى </w:t>
      </w:r>
      <w:r w:rsidRPr="008D1B92">
        <w:rPr>
          <w:rFonts w:hint="cs"/>
          <w:spacing w:val="0"/>
          <w:kern w:val="0"/>
          <w:sz w:val="20"/>
          <w:rtl/>
          <w:lang w:val="en-CA"/>
        </w:rPr>
        <w:t>ال</w:t>
      </w:r>
      <w:r w:rsidRPr="008D1B92">
        <w:rPr>
          <w:spacing w:val="0"/>
          <w:kern w:val="0"/>
          <w:sz w:val="20"/>
          <w:rtl/>
          <w:lang w:val="en-CA"/>
        </w:rPr>
        <w:t xml:space="preserve">قلب </w:t>
      </w:r>
      <w:r w:rsidRPr="008D1B92">
        <w:rPr>
          <w:rFonts w:hint="cs"/>
          <w:spacing w:val="0"/>
          <w:kern w:val="0"/>
          <w:sz w:val="20"/>
          <w:rtl/>
          <w:lang w:val="en-CA"/>
        </w:rPr>
        <w:t>المقدس</w:t>
      </w:r>
      <w:r w:rsidRPr="008D1B92">
        <w:rPr>
          <w:spacing w:val="0"/>
          <w:kern w:val="0"/>
          <w:sz w:val="20"/>
          <w:rtl/>
          <w:lang w:val="en-CA"/>
        </w:rPr>
        <w:t xml:space="preserve"> وحصل على تأكيد </w:t>
      </w:r>
      <w:r w:rsidRPr="008D1B92">
        <w:rPr>
          <w:rFonts w:hint="cs"/>
          <w:spacing w:val="0"/>
          <w:kern w:val="0"/>
          <w:sz w:val="20"/>
          <w:rtl/>
          <w:lang w:val="en-CA"/>
        </w:rPr>
        <w:t xml:space="preserve">يخالف تأكيدات </w:t>
      </w:r>
      <w:r w:rsidRPr="008D1B92">
        <w:rPr>
          <w:spacing w:val="0"/>
          <w:kern w:val="0"/>
          <w:sz w:val="20"/>
          <w:rtl/>
          <w:lang w:val="en-CA"/>
        </w:rPr>
        <w:t>الدولة الطرف</w:t>
      </w:r>
      <w:r w:rsidRPr="008D1B92">
        <w:rPr>
          <w:rFonts w:hint="cs"/>
          <w:spacing w:val="0"/>
          <w:kern w:val="0"/>
          <w:sz w:val="20"/>
          <w:rtl/>
          <w:lang w:val="en-CA"/>
        </w:rPr>
        <w:t xml:space="preserve">، وهو أن أجهزة الضبط من ماركة بايوترونيك لا يمكن استخدامها لضبط </w:t>
      </w:r>
      <w:r w:rsidRPr="008D1B92">
        <w:rPr>
          <w:spacing w:val="0"/>
          <w:kern w:val="0"/>
          <w:sz w:val="20"/>
          <w:rtl/>
          <w:lang w:val="en-CA"/>
        </w:rPr>
        <w:t xml:space="preserve">أجهزة </w:t>
      </w:r>
      <w:r w:rsidRPr="008D1B92">
        <w:rPr>
          <w:rFonts w:hint="cs"/>
          <w:spacing w:val="0"/>
          <w:kern w:val="0"/>
          <w:sz w:val="20"/>
          <w:rtl/>
          <w:lang w:val="en-CA"/>
        </w:rPr>
        <w:t>تنظيم ضربات</w:t>
      </w:r>
      <w:r w:rsidRPr="008D1B92">
        <w:rPr>
          <w:spacing w:val="0"/>
          <w:kern w:val="0"/>
          <w:sz w:val="20"/>
          <w:rtl/>
          <w:lang w:val="en-CA"/>
        </w:rPr>
        <w:t xml:space="preserve"> القلب</w:t>
      </w:r>
      <w:r w:rsidRPr="008D1B92">
        <w:rPr>
          <w:rFonts w:hint="cs"/>
          <w:spacing w:val="0"/>
          <w:kern w:val="0"/>
          <w:sz w:val="20"/>
          <w:rtl/>
          <w:lang w:val="en-CA"/>
        </w:rPr>
        <w:t xml:space="preserve"> من ماركة مدترونيك</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 xml:space="preserve">طلب </w:t>
      </w:r>
      <w:r w:rsidRPr="008D1B92">
        <w:rPr>
          <w:rFonts w:hint="cs"/>
          <w:spacing w:val="0"/>
          <w:kern w:val="0"/>
          <w:sz w:val="20"/>
          <w:rtl/>
          <w:lang w:val="en-CA"/>
        </w:rPr>
        <w:t>صاحب الشكوى</w:t>
      </w:r>
      <w:r w:rsidRPr="008D1B92">
        <w:rPr>
          <w:spacing w:val="0"/>
          <w:kern w:val="0"/>
          <w:sz w:val="20"/>
          <w:rtl/>
          <w:lang w:val="en-CA"/>
        </w:rPr>
        <w:t xml:space="preserve"> شهادة </w:t>
      </w:r>
      <w:r w:rsidRPr="008D1B92">
        <w:rPr>
          <w:rFonts w:hint="cs"/>
          <w:spacing w:val="0"/>
          <w:kern w:val="0"/>
          <w:sz w:val="20"/>
          <w:rtl/>
          <w:lang w:val="en-CA"/>
        </w:rPr>
        <w:t>من</w:t>
      </w:r>
      <w:r w:rsidRPr="008D1B92">
        <w:rPr>
          <w:spacing w:val="0"/>
          <w:kern w:val="0"/>
          <w:sz w:val="20"/>
          <w:rtl/>
          <w:lang w:val="en-CA"/>
        </w:rPr>
        <w:t xml:space="preserve"> </w:t>
      </w:r>
      <w:r w:rsidRPr="008D1B92">
        <w:rPr>
          <w:rFonts w:hint="cs"/>
          <w:spacing w:val="0"/>
          <w:kern w:val="0"/>
          <w:sz w:val="20"/>
          <w:rtl/>
          <w:lang w:val="en-CA"/>
        </w:rPr>
        <w:t>الأخصائي</w:t>
      </w:r>
      <w:r w:rsidRPr="008D1B92">
        <w:rPr>
          <w:spacing w:val="0"/>
          <w:kern w:val="0"/>
          <w:sz w:val="20"/>
          <w:rtl/>
          <w:lang w:val="en-CA"/>
        </w:rPr>
        <w:t xml:space="preserve"> الطبي </w:t>
      </w:r>
      <w:r w:rsidRPr="008D1B92">
        <w:rPr>
          <w:rFonts w:hint="cs"/>
          <w:spacing w:val="0"/>
          <w:kern w:val="0"/>
          <w:sz w:val="20"/>
          <w:rtl/>
          <w:lang w:val="en-CA"/>
        </w:rPr>
        <w:t>تؤكد أ</w:t>
      </w:r>
      <w:r w:rsidRPr="008D1B92">
        <w:rPr>
          <w:spacing w:val="0"/>
          <w:kern w:val="0"/>
          <w:sz w:val="20"/>
          <w:rtl/>
          <w:lang w:val="en-CA"/>
        </w:rPr>
        <w:t xml:space="preserve">نه </w:t>
      </w:r>
      <w:r w:rsidRPr="008D1B92">
        <w:rPr>
          <w:rFonts w:hint="cs"/>
          <w:spacing w:val="0"/>
          <w:kern w:val="0"/>
          <w:sz w:val="20"/>
          <w:rtl/>
          <w:lang w:val="en-CA"/>
        </w:rPr>
        <w:t>لن يستطيع ضبط الجهاز</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لكن رفض</w:t>
      </w:r>
      <w:r w:rsidRPr="008D1B92">
        <w:rPr>
          <w:rFonts w:hint="cs"/>
          <w:spacing w:val="0"/>
          <w:kern w:val="0"/>
          <w:sz w:val="20"/>
          <w:rtl/>
          <w:lang w:val="en-CA"/>
        </w:rPr>
        <w:t xml:space="preserve"> الأخصائي إصدار هذه الشهادة</w:t>
      </w:r>
      <w:r w:rsidRPr="008D1B92">
        <w:rPr>
          <w:spacing w:val="0"/>
          <w:kern w:val="0"/>
          <w:sz w:val="20"/>
          <w:rtl/>
          <w:lang w:val="en-CA"/>
        </w:rPr>
        <w:t xml:space="preserve">. </w:t>
      </w:r>
      <w:r w:rsidRPr="008D1B92">
        <w:rPr>
          <w:rFonts w:hint="cs"/>
          <w:spacing w:val="0"/>
          <w:kern w:val="0"/>
          <w:sz w:val="20"/>
          <w:rtl/>
          <w:lang w:val="en-CA"/>
        </w:rPr>
        <w:t>ويشير</w:t>
      </w:r>
      <w:r w:rsidRPr="008D1B92">
        <w:rPr>
          <w:spacing w:val="0"/>
          <w:kern w:val="0"/>
          <w:sz w:val="20"/>
          <w:rtl/>
          <w:lang w:val="en-CA"/>
        </w:rPr>
        <w:t xml:space="preserve"> </w:t>
      </w:r>
      <w:r w:rsidRPr="008D1B92">
        <w:rPr>
          <w:rFonts w:hint="cs"/>
          <w:spacing w:val="0"/>
          <w:kern w:val="0"/>
          <w:sz w:val="20"/>
          <w:rtl/>
          <w:lang w:val="en-CA"/>
        </w:rPr>
        <w:t xml:space="preserve">صاحب الشكوى إلى أن موعد كشفه الطبي القادم تحدد له يوم </w:t>
      </w:r>
      <w:r w:rsidRPr="008D1B92">
        <w:rPr>
          <w:spacing w:val="0"/>
          <w:kern w:val="0"/>
          <w:sz w:val="20"/>
          <w:rtl/>
          <w:lang w:val="en-CA"/>
        </w:rPr>
        <w:t xml:space="preserve">24 </w:t>
      </w:r>
      <w:r w:rsidRPr="008D1B92">
        <w:rPr>
          <w:rFonts w:hint="cs"/>
          <w:spacing w:val="0"/>
          <w:kern w:val="0"/>
          <w:sz w:val="20"/>
          <w:rtl/>
          <w:lang w:val="en-CA"/>
        </w:rPr>
        <w:t>تشرين الثاني/</w:t>
      </w:r>
      <w:r w:rsidRPr="008D1B92">
        <w:rPr>
          <w:spacing w:val="0"/>
          <w:kern w:val="0"/>
          <w:sz w:val="20"/>
          <w:rtl/>
          <w:lang w:val="en-CA"/>
        </w:rPr>
        <w:t xml:space="preserve">نوفمبر 2011، وأنه </w:t>
      </w:r>
      <w:r w:rsidRPr="008D1B92">
        <w:rPr>
          <w:rFonts w:hint="cs"/>
          <w:spacing w:val="0"/>
          <w:kern w:val="0"/>
          <w:sz w:val="20"/>
          <w:rtl/>
          <w:lang w:val="en-CA"/>
        </w:rPr>
        <w:t>في حالة عدم التوصل إلى</w:t>
      </w:r>
      <w:r w:rsidRPr="008D1B92">
        <w:rPr>
          <w:spacing w:val="0"/>
          <w:kern w:val="0"/>
          <w:sz w:val="20"/>
          <w:rtl/>
          <w:lang w:val="en-CA"/>
        </w:rPr>
        <w:t xml:space="preserve"> حل</w:t>
      </w:r>
      <w:r w:rsidRPr="008D1B92">
        <w:rPr>
          <w:rFonts w:hint="cs"/>
          <w:spacing w:val="0"/>
          <w:kern w:val="0"/>
          <w:sz w:val="20"/>
          <w:rtl/>
          <w:lang w:val="en-CA"/>
        </w:rPr>
        <w:t>، يجب أن يكون بإمكانه العودة إ</w:t>
      </w:r>
      <w:r w:rsidRPr="008D1B92">
        <w:rPr>
          <w:spacing w:val="0"/>
          <w:kern w:val="0"/>
          <w:sz w:val="20"/>
          <w:rtl/>
          <w:lang w:val="en-CA"/>
        </w:rPr>
        <w:t>لى كندا لتلقي العلاج</w:t>
      </w:r>
      <w:r w:rsidRPr="008D1B92">
        <w:rPr>
          <w:rFonts w:hint="cs"/>
          <w:spacing w:val="0"/>
          <w:kern w:val="0"/>
          <w:sz w:val="20"/>
          <w:vertAlign w:val="superscript"/>
          <w:rtl/>
          <w:lang w:val="en-CA"/>
        </w:rPr>
        <w:t>(</w:t>
      </w:r>
      <w:r w:rsidRPr="008D1B92">
        <w:rPr>
          <w:rStyle w:val="FootnoteReference"/>
          <w:spacing w:val="0"/>
          <w:sz w:val="20"/>
          <w:rtl/>
          <w:lang w:val="en-CA"/>
        </w:rPr>
        <w:footnoteReference w:id="240"/>
      </w:r>
      <w:r w:rsidRPr="008D1B92">
        <w:rPr>
          <w:rFonts w:hint="cs"/>
          <w:spacing w:val="0"/>
          <w:kern w:val="0"/>
          <w:sz w:val="20"/>
          <w:vertAlign w:val="superscript"/>
          <w:rtl/>
          <w:lang w:val="en-CA"/>
        </w:rPr>
        <w:t>)</w:t>
      </w:r>
      <w:r w:rsidRPr="008D1B92">
        <w:rPr>
          <w:spacing w:val="0"/>
          <w:kern w:val="0"/>
          <w:sz w:val="20"/>
          <w:rtl/>
          <w:lang w:val="en-CA"/>
        </w:rPr>
        <w:t>.</w:t>
      </w:r>
    </w:p>
    <w:p w:rsidR="008D1B92" w:rsidRPr="008D1B92" w:rsidRDefault="008D1B92" w:rsidP="008D1B92">
      <w:pPr>
        <w:pStyle w:val="H23GA"/>
        <w:jc w:val="lowKashida"/>
        <w:rPr>
          <w:rFonts w:hint="cs"/>
          <w:spacing w:val="0"/>
          <w:kern w:val="0"/>
          <w:sz w:val="20"/>
          <w:szCs w:val="20"/>
          <w:rtl/>
        </w:rPr>
      </w:pPr>
      <w:r w:rsidRPr="008D1B92">
        <w:rPr>
          <w:spacing w:val="0"/>
          <w:kern w:val="0"/>
          <w:sz w:val="20"/>
          <w:rtl/>
        </w:rPr>
        <w:tab/>
      </w:r>
      <w:r w:rsidRPr="008D1B92">
        <w:rPr>
          <w:rFonts w:hint="cs"/>
          <w:spacing w:val="0"/>
          <w:kern w:val="0"/>
          <w:sz w:val="20"/>
          <w:rtl/>
        </w:rPr>
        <w:tab/>
        <w:t>المسائل والإجراءات المعروضة على اللجنة</w:t>
      </w:r>
    </w:p>
    <w:p w:rsidR="008D1B92" w:rsidRPr="008D1B92" w:rsidRDefault="008D1B92" w:rsidP="008D1B92">
      <w:pPr>
        <w:pStyle w:val="H4GA"/>
        <w:jc w:val="lowKashida"/>
        <w:rPr>
          <w:rFonts w:hint="cs"/>
          <w:spacing w:val="0"/>
          <w:kern w:val="0"/>
          <w:sz w:val="20"/>
          <w:rtl/>
          <w:lang w:val="en-CA"/>
        </w:rPr>
      </w:pPr>
      <w:r w:rsidRPr="008D1B92">
        <w:rPr>
          <w:spacing w:val="0"/>
          <w:kern w:val="0"/>
          <w:sz w:val="20"/>
          <w:rtl/>
          <w:lang w:val="en-CA"/>
        </w:rPr>
        <w:tab/>
      </w:r>
      <w:r w:rsidRPr="008D1B92">
        <w:rPr>
          <w:rFonts w:hint="cs"/>
          <w:spacing w:val="0"/>
          <w:kern w:val="0"/>
          <w:sz w:val="20"/>
          <w:rtl/>
          <w:lang w:val="en-CA"/>
        </w:rPr>
        <w:tab/>
        <w:t>النظر في المقبولية</w:t>
      </w:r>
    </w:p>
    <w:p w:rsidR="008D1B92" w:rsidRPr="003A2D39" w:rsidRDefault="008D1B92" w:rsidP="003A2D39">
      <w:pPr>
        <w:pStyle w:val="SingleTxtGA"/>
        <w:jc w:val="lowKashida"/>
        <w:rPr>
          <w:rFonts w:hint="cs"/>
          <w:spacing w:val="-2"/>
          <w:kern w:val="0"/>
          <w:sz w:val="20"/>
          <w:szCs w:val="20"/>
          <w:rtl/>
        </w:rPr>
      </w:pPr>
      <w:r w:rsidRPr="003A2D39">
        <w:rPr>
          <w:rFonts w:hint="cs"/>
          <w:spacing w:val="-2"/>
          <w:kern w:val="0"/>
          <w:sz w:val="20"/>
          <w:rtl/>
          <w:lang w:val="en-CA"/>
        </w:rPr>
        <w:t>7-1</w:t>
      </w:r>
      <w:r w:rsidRPr="003A2D39">
        <w:rPr>
          <w:rFonts w:hint="cs"/>
          <w:spacing w:val="-2"/>
          <w:kern w:val="0"/>
          <w:sz w:val="20"/>
          <w:rtl/>
          <w:lang w:val="en-CA"/>
        </w:rPr>
        <w:tab/>
      </w:r>
      <w:r w:rsidR="003A2D39" w:rsidRPr="003A2D39">
        <w:rPr>
          <w:spacing w:val="-2"/>
          <w:kern w:val="0"/>
          <w:sz w:val="20"/>
          <w:rtl/>
        </w:rPr>
        <w:t xml:space="preserve">قبل النظر في أية ادعاءات ترد في شكوى ما، </w:t>
      </w:r>
      <w:r w:rsidR="003A2D39" w:rsidRPr="003A2D39">
        <w:rPr>
          <w:rFonts w:hint="cs"/>
          <w:spacing w:val="-2"/>
          <w:kern w:val="0"/>
          <w:sz w:val="20"/>
          <w:rtl/>
        </w:rPr>
        <w:t>يتعين</w:t>
      </w:r>
      <w:r w:rsidR="003A2D39" w:rsidRPr="003A2D39">
        <w:rPr>
          <w:spacing w:val="-2"/>
          <w:kern w:val="0"/>
          <w:sz w:val="20"/>
          <w:rtl/>
        </w:rPr>
        <w:t xml:space="preserve"> على لجنة مناهضة التعذيب أن </w:t>
      </w:r>
      <w:r w:rsidR="003A2D39" w:rsidRPr="003A2D39">
        <w:rPr>
          <w:rFonts w:hint="cs"/>
          <w:spacing w:val="-2"/>
          <w:kern w:val="0"/>
          <w:sz w:val="20"/>
          <w:rtl/>
        </w:rPr>
        <w:t>تبت في</w:t>
      </w:r>
      <w:r w:rsidR="003A2D39" w:rsidRPr="003A2D39">
        <w:rPr>
          <w:spacing w:val="-2"/>
          <w:kern w:val="0"/>
          <w:sz w:val="20"/>
          <w:rtl/>
        </w:rPr>
        <w:t>ما إذا كانت الشكوى مقبولة أم لا</w:t>
      </w:r>
      <w:r w:rsidRPr="003A2D39">
        <w:rPr>
          <w:rFonts w:hint="cs"/>
          <w:spacing w:val="-2"/>
          <w:kern w:val="0"/>
          <w:sz w:val="20"/>
          <w:rtl/>
          <w:lang w:val="en-CA"/>
        </w:rPr>
        <w:t xml:space="preserve"> بموجب المادة 22 من الاتفاقية. وقد تحققت اللجنة، حسبما تقتضيه الفقرة</w:t>
      </w:r>
      <w:r w:rsidRPr="003A2D39">
        <w:rPr>
          <w:rFonts w:hint="eastAsia"/>
          <w:spacing w:val="-2"/>
          <w:kern w:val="0"/>
          <w:sz w:val="20"/>
          <w:rtl/>
          <w:lang w:val="en-CA"/>
        </w:rPr>
        <w:t> </w:t>
      </w:r>
      <w:r w:rsidRPr="003A2D39">
        <w:rPr>
          <w:rFonts w:hint="cs"/>
          <w:spacing w:val="-2"/>
          <w:kern w:val="0"/>
          <w:sz w:val="20"/>
          <w:rtl/>
          <w:lang w:val="en-CA"/>
        </w:rPr>
        <w:t>5(أ) من المادة 22 من الاتفاقية، من أن المسألة نفسها لم تُبحث ولا</w:t>
      </w:r>
      <w:r w:rsidR="003A2D39">
        <w:rPr>
          <w:rFonts w:hint="eastAsia"/>
          <w:spacing w:val="-2"/>
          <w:kern w:val="0"/>
          <w:sz w:val="20"/>
          <w:rtl/>
          <w:lang w:val="en-CA"/>
        </w:rPr>
        <w:t> </w:t>
      </w:r>
      <w:r w:rsidRPr="003A2D39">
        <w:rPr>
          <w:rFonts w:hint="cs"/>
          <w:spacing w:val="-2"/>
          <w:kern w:val="0"/>
          <w:sz w:val="20"/>
          <w:rtl/>
          <w:lang w:val="en-CA"/>
        </w:rPr>
        <w:t>يجري بحثها في إطار أي إجراء آخر من إجراءات التحقيق الدولي أو التسوية الدولية.</w:t>
      </w:r>
    </w:p>
    <w:p w:rsidR="008D1B92" w:rsidRPr="008D1B92" w:rsidRDefault="008D1B92" w:rsidP="008D1B92">
      <w:pPr>
        <w:pStyle w:val="SingleTxtGA"/>
        <w:jc w:val="lowKashida"/>
        <w:rPr>
          <w:rFonts w:hint="cs"/>
          <w:spacing w:val="0"/>
          <w:kern w:val="0"/>
          <w:sz w:val="20"/>
          <w:szCs w:val="20"/>
          <w:rtl/>
        </w:rPr>
      </w:pPr>
      <w:r w:rsidRPr="00DE469F">
        <w:rPr>
          <w:rFonts w:hint="cs"/>
          <w:spacing w:val="-2"/>
          <w:kern w:val="0"/>
          <w:sz w:val="20"/>
          <w:rtl/>
          <w:lang w:val="en-CA"/>
        </w:rPr>
        <w:t>7-2</w:t>
      </w:r>
      <w:r w:rsidRPr="00DE469F">
        <w:rPr>
          <w:rFonts w:hint="cs"/>
          <w:spacing w:val="-2"/>
          <w:kern w:val="0"/>
          <w:sz w:val="20"/>
          <w:rtl/>
          <w:lang w:val="en-CA"/>
        </w:rPr>
        <w:tab/>
      </w:r>
      <w:r w:rsidRPr="00DE469F">
        <w:rPr>
          <w:spacing w:val="-2"/>
          <w:kern w:val="0"/>
          <w:sz w:val="20"/>
          <w:rtl/>
          <w:lang w:val="en-CA"/>
        </w:rPr>
        <w:t>وتلاحظ اللجنة كذلك أن سبل الانتصاف المحلية قد استُنفدت بموجب</w:t>
      </w:r>
      <w:r w:rsidRPr="00DE469F">
        <w:rPr>
          <w:rFonts w:hint="cs"/>
          <w:spacing w:val="-2"/>
          <w:kern w:val="0"/>
          <w:sz w:val="20"/>
          <w:rtl/>
          <w:lang w:val="en-CA"/>
        </w:rPr>
        <w:t xml:space="preserve"> </w:t>
      </w:r>
      <w:r w:rsidRPr="00DE469F">
        <w:rPr>
          <w:spacing w:val="-2"/>
          <w:kern w:val="0"/>
          <w:sz w:val="20"/>
          <w:rtl/>
          <w:lang w:val="en-CA"/>
        </w:rPr>
        <w:t xml:space="preserve">الفقرة 5(ب) </w:t>
      </w:r>
      <w:r w:rsidRPr="008D1B92">
        <w:rPr>
          <w:spacing w:val="0"/>
          <w:kern w:val="0"/>
          <w:sz w:val="20"/>
          <w:rtl/>
          <w:lang w:val="en-CA"/>
        </w:rPr>
        <w:t xml:space="preserve">من المادة 22 من الاتفاقية، وأن الدولة الطرف </w:t>
      </w:r>
      <w:r w:rsidRPr="008D1B92">
        <w:rPr>
          <w:rFonts w:hint="cs"/>
          <w:spacing w:val="0"/>
          <w:kern w:val="0"/>
          <w:sz w:val="20"/>
          <w:rtl/>
          <w:lang w:val="en-CA"/>
        </w:rPr>
        <w:t>لم تعترض على ذلك.</w:t>
      </w:r>
    </w:p>
    <w:p w:rsidR="008D1B92" w:rsidRPr="008D1B92" w:rsidRDefault="008D1B92" w:rsidP="008D1B92">
      <w:pPr>
        <w:pStyle w:val="SingleTxtGA"/>
        <w:jc w:val="lowKashida"/>
        <w:rPr>
          <w:rFonts w:hint="cs"/>
          <w:spacing w:val="0"/>
          <w:kern w:val="0"/>
          <w:sz w:val="20"/>
          <w:rtl/>
          <w:lang w:val="en-CA"/>
        </w:rPr>
      </w:pPr>
      <w:r w:rsidRPr="008D1B92">
        <w:rPr>
          <w:rFonts w:hint="cs"/>
          <w:spacing w:val="0"/>
          <w:kern w:val="0"/>
          <w:sz w:val="20"/>
          <w:rtl/>
          <w:lang w:val="en-CA"/>
        </w:rPr>
        <w:t>7-3</w:t>
      </w:r>
      <w:r w:rsidRPr="008D1B92">
        <w:rPr>
          <w:rFonts w:hint="cs"/>
          <w:spacing w:val="0"/>
          <w:kern w:val="0"/>
          <w:sz w:val="20"/>
          <w:rtl/>
          <w:lang w:val="en-CA"/>
        </w:rPr>
        <w:tab/>
        <w:t>و</w:t>
      </w:r>
      <w:r w:rsidRPr="008D1B92">
        <w:rPr>
          <w:spacing w:val="0"/>
          <w:kern w:val="0"/>
          <w:sz w:val="20"/>
          <w:rtl/>
          <w:lang w:val="en-CA"/>
        </w:rPr>
        <w:t xml:space="preserve">فيما يتعلق </w:t>
      </w:r>
      <w:r w:rsidRPr="008D1B92">
        <w:rPr>
          <w:rFonts w:hint="cs"/>
          <w:spacing w:val="0"/>
          <w:kern w:val="0"/>
          <w:sz w:val="20"/>
          <w:rtl/>
          <w:lang w:val="en-CA"/>
        </w:rPr>
        <w:t>بادعاءات</w:t>
      </w:r>
      <w:r w:rsidRPr="008D1B92">
        <w:rPr>
          <w:spacing w:val="0"/>
          <w:kern w:val="0"/>
          <w:sz w:val="20"/>
          <w:rtl/>
          <w:lang w:val="en-CA"/>
        </w:rPr>
        <w:t xml:space="preserve"> الدولة الطرف</w:t>
      </w:r>
      <w:r w:rsidRPr="008D1B92">
        <w:rPr>
          <w:rFonts w:hint="cs"/>
          <w:spacing w:val="0"/>
          <w:kern w:val="0"/>
          <w:sz w:val="20"/>
          <w:rtl/>
          <w:lang w:val="en-CA"/>
        </w:rPr>
        <w:t xml:space="preserve"> التي تفيد بعدم توافق </w:t>
      </w:r>
      <w:r w:rsidRPr="008D1B92">
        <w:rPr>
          <w:spacing w:val="0"/>
          <w:kern w:val="0"/>
          <w:sz w:val="20"/>
          <w:rtl/>
          <w:lang w:val="en-CA"/>
        </w:rPr>
        <w:t xml:space="preserve">ادعاءات </w:t>
      </w:r>
      <w:r w:rsidRPr="008D1B92">
        <w:rPr>
          <w:rFonts w:hint="cs"/>
          <w:spacing w:val="0"/>
          <w:kern w:val="0"/>
          <w:sz w:val="20"/>
          <w:rtl/>
          <w:lang w:val="en-CA"/>
        </w:rPr>
        <w:t>صاحب الشكوى مع</w:t>
      </w:r>
      <w:r w:rsidRPr="008D1B92">
        <w:rPr>
          <w:spacing w:val="0"/>
          <w:kern w:val="0"/>
          <w:sz w:val="20"/>
          <w:rtl/>
          <w:lang w:val="en-CA"/>
        </w:rPr>
        <w:t xml:space="preserve"> المادة 1 و</w:t>
      </w:r>
      <w:r w:rsidRPr="008D1B92">
        <w:rPr>
          <w:rFonts w:hint="cs"/>
          <w:spacing w:val="0"/>
          <w:kern w:val="0"/>
          <w:sz w:val="20"/>
          <w:rtl/>
          <w:lang w:val="en-CA"/>
        </w:rPr>
        <w:t>عدم وجود أسس لها</w:t>
      </w:r>
      <w:r w:rsidRPr="008D1B92">
        <w:rPr>
          <w:spacing w:val="0"/>
          <w:kern w:val="0"/>
          <w:sz w:val="20"/>
          <w:rtl/>
          <w:lang w:val="en-CA"/>
        </w:rPr>
        <w:t xml:space="preserve">، تلاحظ اللجنة أن ادعاء </w:t>
      </w:r>
      <w:r w:rsidRPr="008D1B92">
        <w:rPr>
          <w:rFonts w:hint="cs"/>
          <w:spacing w:val="0"/>
          <w:kern w:val="0"/>
          <w:sz w:val="20"/>
          <w:rtl/>
          <w:lang w:val="en-CA"/>
        </w:rPr>
        <w:t>صاحب الشكوى</w:t>
      </w:r>
      <w:r w:rsidRPr="008D1B92">
        <w:rPr>
          <w:spacing w:val="0"/>
          <w:kern w:val="0"/>
          <w:sz w:val="20"/>
          <w:rtl/>
          <w:lang w:val="en-CA"/>
        </w:rPr>
        <w:t xml:space="preserve"> يستند </w:t>
      </w:r>
      <w:r w:rsidRPr="008D1B92">
        <w:rPr>
          <w:rFonts w:hint="cs"/>
          <w:spacing w:val="0"/>
          <w:kern w:val="0"/>
          <w:sz w:val="20"/>
          <w:rtl/>
          <w:lang w:val="en-CA"/>
        </w:rPr>
        <w:t>إلى</w:t>
      </w:r>
      <w:r w:rsidRPr="008D1B92">
        <w:rPr>
          <w:spacing w:val="0"/>
          <w:kern w:val="0"/>
          <w:sz w:val="20"/>
          <w:rtl/>
          <w:lang w:val="en-CA"/>
        </w:rPr>
        <w:t xml:space="preserve"> خطر التعرض </w:t>
      </w:r>
      <w:r w:rsidRPr="008D1B92">
        <w:rPr>
          <w:rFonts w:hint="cs"/>
          <w:spacing w:val="0"/>
          <w:kern w:val="0"/>
          <w:sz w:val="20"/>
          <w:rtl/>
          <w:lang w:val="en-CA"/>
        </w:rPr>
        <w:t xml:space="preserve">لمعاملة تتعارض مع </w:t>
      </w:r>
      <w:r w:rsidRPr="008D1B92">
        <w:rPr>
          <w:spacing w:val="0"/>
          <w:kern w:val="0"/>
          <w:sz w:val="20"/>
          <w:rtl/>
          <w:lang w:val="en-CA"/>
        </w:rPr>
        <w:t>المادة 1 من الاتفاقية على أساس عد</w:t>
      </w:r>
      <w:r w:rsidRPr="008D1B92">
        <w:rPr>
          <w:rFonts w:hint="cs"/>
          <w:spacing w:val="0"/>
          <w:kern w:val="0"/>
          <w:sz w:val="20"/>
          <w:rtl/>
          <w:lang w:val="en-CA"/>
        </w:rPr>
        <w:t xml:space="preserve">ة </w:t>
      </w:r>
      <w:r w:rsidRPr="008D1B92">
        <w:rPr>
          <w:spacing w:val="0"/>
          <w:kern w:val="0"/>
          <w:sz w:val="20"/>
          <w:rtl/>
          <w:lang w:val="en-CA"/>
        </w:rPr>
        <w:t xml:space="preserve">عوامل مثل </w:t>
      </w:r>
      <w:r w:rsidRPr="008D1B92">
        <w:rPr>
          <w:rFonts w:hint="cs"/>
          <w:spacing w:val="0"/>
          <w:kern w:val="0"/>
          <w:sz w:val="20"/>
          <w:rtl/>
          <w:lang w:val="en-CA"/>
        </w:rPr>
        <w:t>خطر أن يُستهدف من جانب</w:t>
      </w:r>
      <w:r w:rsidRPr="008D1B92">
        <w:rPr>
          <w:spacing w:val="0"/>
          <w:kern w:val="0"/>
          <w:sz w:val="20"/>
          <w:rtl/>
          <w:lang w:val="en-CA"/>
        </w:rPr>
        <w:t xml:space="preserve"> الجماعات الإجرامية، وخطر </w:t>
      </w:r>
      <w:r w:rsidRPr="008D1B92">
        <w:rPr>
          <w:rFonts w:hint="cs"/>
          <w:spacing w:val="0"/>
          <w:kern w:val="0"/>
          <w:sz w:val="20"/>
          <w:rtl/>
          <w:lang w:val="en-CA"/>
        </w:rPr>
        <w:t xml:space="preserve">تعرضه </w:t>
      </w:r>
      <w:r w:rsidRPr="008D1B92">
        <w:rPr>
          <w:spacing w:val="0"/>
          <w:kern w:val="0"/>
          <w:sz w:val="20"/>
          <w:rtl/>
          <w:lang w:val="en-CA"/>
        </w:rPr>
        <w:t>لمعاملة تتعارض مع المادة</w:t>
      </w:r>
      <w:r w:rsidRPr="008D1B92">
        <w:rPr>
          <w:rFonts w:hint="cs"/>
          <w:spacing w:val="0"/>
          <w:kern w:val="0"/>
          <w:sz w:val="20"/>
          <w:rtl/>
          <w:lang w:val="en-CA"/>
        </w:rPr>
        <w:t> </w:t>
      </w:r>
      <w:r w:rsidRPr="008D1B92">
        <w:rPr>
          <w:spacing w:val="0"/>
          <w:kern w:val="0"/>
          <w:sz w:val="20"/>
          <w:rtl/>
          <w:lang w:val="en-CA"/>
        </w:rPr>
        <w:t xml:space="preserve">1 </w:t>
      </w:r>
      <w:r w:rsidRPr="008D1B92">
        <w:rPr>
          <w:rFonts w:hint="cs"/>
          <w:spacing w:val="0"/>
          <w:kern w:val="0"/>
          <w:sz w:val="20"/>
          <w:rtl/>
          <w:lang w:val="en-CA"/>
        </w:rPr>
        <w:t xml:space="preserve">وهو </w:t>
      </w:r>
      <w:r w:rsidRPr="008D1B92">
        <w:rPr>
          <w:spacing w:val="0"/>
          <w:kern w:val="0"/>
          <w:sz w:val="20"/>
          <w:rtl/>
          <w:lang w:val="en-CA"/>
        </w:rPr>
        <w:t xml:space="preserve">رهن </w:t>
      </w:r>
      <w:r w:rsidRPr="008D1B92">
        <w:rPr>
          <w:rFonts w:hint="cs"/>
          <w:spacing w:val="0"/>
          <w:kern w:val="0"/>
          <w:sz w:val="20"/>
          <w:rtl/>
          <w:lang w:val="en-CA"/>
        </w:rPr>
        <w:t>الاحتجاز</w:t>
      </w:r>
      <w:r w:rsidRPr="008D1B92">
        <w:rPr>
          <w:spacing w:val="0"/>
          <w:kern w:val="0"/>
          <w:sz w:val="20"/>
          <w:rtl/>
          <w:lang w:val="en-CA"/>
        </w:rPr>
        <w:t>، وحالته الصح</w:t>
      </w:r>
      <w:r w:rsidRPr="008D1B92">
        <w:rPr>
          <w:rFonts w:hint="cs"/>
          <w:spacing w:val="0"/>
          <w:kern w:val="0"/>
          <w:sz w:val="20"/>
          <w:rtl/>
          <w:lang w:val="en-CA"/>
        </w:rPr>
        <w:t>ي</w:t>
      </w:r>
      <w:r w:rsidRPr="008D1B92">
        <w:rPr>
          <w:spacing w:val="0"/>
          <w:kern w:val="0"/>
          <w:sz w:val="20"/>
          <w:rtl/>
          <w:lang w:val="en-CA"/>
        </w:rPr>
        <w:t>ة</w:t>
      </w:r>
      <w:r w:rsidRPr="008D1B92">
        <w:rPr>
          <w:rFonts w:hint="cs"/>
          <w:spacing w:val="0"/>
          <w:kern w:val="0"/>
          <w:sz w:val="20"/>
          <w:rtl/>
          <w:lang w:val="en-CA"/>
        </w:rPr>
        <w:t xml:space="preserve">، فضلاً عن </w:t>
      </w:r>
      <w:r w:rsidRPr="008D1B92">
        <w:rPr>
          <w:spacing w:val="0"/>
          <w:kern w:val="0"/>
          <w:sz w:val="20"/>
          <w:rtl/>
          <w:lang w:val="en-CA"/>
        </w:rPr>
        <w:t xml:space="preserve">الوضع العام في هايتي. وترى اللجنة </w:t>
      </w:r>
      <w:r w:rsidRPr="008D1B92">
        <w:rPr>
          <w:rFonts w:hint="cs"/>
          <w:spacing w:val="0"/>
          <w:kern w:val="0"/>
          <w:sz w:val="20"/>
          <w:rtl/>
          <w:lang w:val="en-CA"/>
        </w:rPr>
        <w:t xml:space="preserve">أن هذه الادعاءات ترتبط </w:t>
      </w:r>
      <w:r w:rsidRPr="008D1B92">
        <w:rPr>
          <w:spacing w:val="0"/>
          <w:kern w:val="0"/>
          <w:sz w:val="20"/>
          <w:rtl/>
          <w:lang w:val="en-CA"/>
        </w:rPr>
        <w:t>ارتباطا</w:t>
      </w:r>
      <w:r w:rsidRPr="008D1B92">
        <w:rPr>
          <w:rFonts w:hint="cs"/>
          <w:spacing w:val="0"/>
          <w:kern w:val="0"/>
          <w:sz w:val="20"/>
          <w:rtl/>
          <w:lang w:val="en-CA"/>
        </w:rPr>
        <w:t>ً</w:t>
      </w:r>
      <w:r w:rsidRPr="008D1B92">
        <w:rPr>
          <w:spacing w:val="0"/>
          <w:kern w:val="0"/>
          <w:sz w:val="20"/>
          <w:rtl/>
          <w:lang w:val="en-CA"/>
        </w:rPr>
        <w:t xml:space="preserve"> وثيقا</w:t>
      </w:r>
      <w:r w:rsidRPr="008D1B92">
        <w:rPr>
          <w:rFonts w:hint="cs"/>
          <w:spacing w:val="0"/>
          <w:kern w:val="0"/>
          <w:sz w:val="20"/>
          <w:rtl/>
          <w:lang w:val="en-CA"/>
        </w:rPr>
        <w:t>ً بالأسس الموضوعية</w:t>
      </w:r>
      <w:r w:rsidRPr="008D1B92">
        <w:rPr>
          <w:spacing w:val="0"/>
          <w:kern w:val="0"/>
          <w:sz w:val="20"/>
          <w:rtl/>
          <w:lang w:val="en-CA"/>
        </w:rPr>
        <w:t>. ولذلك</w:t>
      </w:r>
      <w:r w:rsidRPr="008D1B92">
        <w:rPr>
          <w:rFonts w:hint="cs"/>
          <w:spacing w:val="0"/>
          <w:kern w:val="0"/>
          <w:sz w:val="20"/>
          <w:rtl/>
          <w:lang w:val="en-CA"/>
        </w:rPr>
        <w:t>،</w:t>
      </w:r>
      <w:r w:rsidRPr="008D1B92">
        <w:rPr>
          <w:spacing w:val="0"/>
          <w:kern w:val="0"/>
          <w:sz w:val="20"/>
          <w:rtl/>
          <w:lang w:val="en-CA"/>
        </w:rPr>
        <w:t xml:space="preserve"> تعلن اللجنة أن الشكوى مقبولة وتشرع</w:t>
      </w:r>
      <w:r w:rsidRPr="008D1B92">
        <w:rPr>
          <w:rFonts w:hint="cs"/>
          <w:spacing w:val="0"/>
          <w:kern w:val="0"/>
          <w:sz w:val="20"/>
          <w:rtl/>
          <w:lang w:val="en-CA"/>
        </w:rPr>
        <w:t xml:space="preserve"> في</w:t>
      </w:r>
      <w:r w:rsidRPr="008D1B92">
        <w:rPr>
          <w:spacing w:val="0"/>
          <w:kern w:val="0"/>
          <w:sz w:val="20"/>
          <w:rtl/>
          <w:lang w:val="en-CA"/>
        </w:rPr>
        <w:t xml:space="preserve"> </w:t>
      </w:r>
      <w:r w:rsidRPr="008D1B92">
        <w:rPr>
          <w:rFonts w:hint="cs"/>
          <w:spacing w:val="0"/>
          <w:kern w:val="0"/>
          <w:sz w:val="20"/>
          <w:rtl/>
          <w:lang w:val="en-CA"/>
        </w:rPr>
        <w:t>النظر في الأسس الموضوعية</w:t>
      </w:r>
      <w:r w:rsidRPr="008D1B92">
        <w:rPr>
          <w:spacing w:val="0"/>
          <w:kern w:val="0"/>
          <w:sz w:val="20"/>
          <w:rtl/>
          <w:lang w:val="en-CA"/>
        </w:rPr>
        <w:t>.</w:t>
      </w:r>
    </w:p>
    <w:p w:rsidR="008D1B92" w:rsidRPr="008D1B92" w:rsidRDefault="008D1B92" w:rsidP="008D1B92">
      <w:pPr>
        <w:pStyle w:val="H4GA"/>
        <w:jc w:val="lowKashida"/>
        <w:rPr>
          <w:rFonts w:hint="cs"/>
          <w:spacing w:val="0"/>
          <w:kern w:val="0"/>
          <w:sz w:val="20"/>
          <w:rtl/>
          <w:lang w:val="en-CA"/>
        </w:rPr>
      </w:pPr>
      <w:r w:rsidRPr="008D1B92">
        <w:rPr>
          <w:spacing w:val="0"/>
          <w:kern w:val="0"/>
          <w:sz w:val="20"/>
          <w:rtl/>
          <w:lang w:val="en-CA"/>
        </w:rPr>
        <w:tab/>
      </w:r>
      <w:r w:rsidRPr="008D1B92">
        <w:rPr>
          <w:rFonts w:hint="cs"/>
          <w:spacing w:val="0"/>
          <w:kern w:val="0"/>
          <w:sz w:val="20"/>
          <w:rtl/>
          <w:lang w:val="en-CA"/>
        </w:rPr>
        <w:tab/>
        <w:t>النظر في الأسس الموضوعية</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8-1</w:t>
      </w:r>
      <w:r w:rsidRPr="008D1B92">
        <w:rPr>
          <w:rFonts w:hint="cs"/>
          <w:spacing w:val="0"/>
          <w:kern w:val="0"/>
          <w:sz w:val="20"/>
          <w:rtl/>
          <w:lang w:val="en-CA"/>
        </w:rPr>
        <w:tab/>
      </w:r>
      <w:r w:rsidRPr="008D1B92">
        <w:rPr>
          <w:spacing w:val="0"/>
          <w:kern w:val="0"/>
          <w:sz w:val="20"/>
          <w:rtl/>
          <w:lang w:val="en-CA"/>
        </w:rPr>
        <w:t xml:space="preserve">نظرت اللجنة في </w:t>
      </w:r>
      <w:r w:rsidRPr="008D1B92">
        <w:rPr>
          <w:rFonts w:hint="cs"/>
          <w:spacing w:val="0"/>
          <w:kern w:val="0"/>
          <w:sz w:val="20"/>
          <w:rtl/>
          <w:lang w:val="en-CA"/>
        </w:rPr>
        <w:t xml:space="preserve">هذا </w:t>
      </w:r>
      <w:r w:rsidRPr="008D1B92">
        <w:rPr>
          <w:spacing w:val="0"/>
          <w:kern w:val="0"/>
          <w:sz w:val="20"/>
          <w:rtl/>
          <w:lang w:val="en-CA"/>
        </w:rPr>
        <w:t xml:space="preserve">البلاغ آخذة في اعتبارها جميع المعلومات التي </w:t>
      </w:r>
      <w:r w:rsidRPr="008D1B92">
        <w:rPr>
          <w:rFonts w:hint="cs"/>
          <w:spacing w:val="0"/>
          <w:kern w:val="0"/>
          <w:sz w:val="20"/>
          <w:rtl/>
          <w:lang w:val="en-CA"/>
        </w:rPr>
        <w:t xml:space="preserve">أتاحها لها </w:t>
      </w:r>
      <w:r w:rsidRPr="008D1B92">
        <w:rPr>
          <w:spacing w:val="0"/>
          <w:kern w:val="0"/>
          <w:sz w:val="20"/>
          <w:rtl/>
          <w:lang w:val="en-CA"/>
        </w:rPr>
        <w:t xml:space="preserve">الطرفان، وفقاً </w:t>
      </w:r>
      <w:r w:rsidRPr="008D1B92">
        <w:rPr>
          <w:rFonts w:hint="cs"/>
          <w:spacing w:val="0"/>
          <w:kern w:val="0"/>
          <w:sz w:val="20"/>
          <w:rtl/>
          <w:lang w:val="en-CA"/>
        </w:rPr>
        <w:t>ل</w:t>
      </w:r>
      <w:r w:rsidRPr="008D1B92">
        <w:rPr>
          <w:spacing w:val="0"/>
          <w:kern w:val="0"/>
          <w:sz w:val="20"/>
          <w:rtl/>
          <w:lang w:val="en-CA"/>
        </w:rPr>
        <w:t>لفقرة 4 من المادة 22 من الاتفاقية</w:t>
      </w:r>
      <w:r w:rsidRPr="008D1B92">
        <w:rPr>
          <w:rFonts w:hint="cs"/>
          <w:spacing w:val="0"/>
          <w:kern w:val="0"/>
          <w:sz w:val="20"/>
          <w:rtl/>
          <w:lang w:val="en-CA"/>
        </w:rPr>
        <w:t>.</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8</w:t>
      </w:r>
      <w:r w:rsidRPr="008D1B92">
        <w:rPr>
          <w:spacing w:val="0"/>
          <w:kern w:val="0"/>
          <w:sz w:val="20"/>
          <w:rtl/>
          <w:lang w:val="en-CA"/>
        </w:rPr>
        <w:t>-2</w:t>
      </w:r>
      <w:r w:rsidRPr="008D1B92">
        <w:rPr>
          <w:spacing w:val="0"/>
          <w:kern w:val="0"/>
          <w:sz w:val="20"/>
          <w:rtl/>
          <w:lang w:val="en-CA"/>
        </w:rPr>
        <w:tab/>
        <w:t xml:space="preserve">وعلى اللجنة أن تقرر ما إذا كان طرد صاحب الشكوى إلى </w:t>
      </w:r>
      <w:r w:rsidRPr="008D1B92">
        <w:rPr>
          <w:rFonts w:hint="cs"/>
          <w:spacing w:val="0"/>
          <w:kern w:val="0"/>
          <w:sz w:val="20"/>
          <w:rtl/>
          <w:lang w:val="en-CA"/>
        </w:rPr>
        <w:t>هايتي</w:t>
      </w:r>
      <w:r w:rsidRPr="008D1B92">
        <w:rPr>
          <w:spacing w:val="0"/>
          <w:kern w:val="0"/>
          <w:sz w:val="20"/>
          <w:rtl/>
          <w:lang w:val="en-CA"/>
        </w:rPr>
        <w:t xml:space="preserve"> يشكل انتهاكاً لالتزام الدولة الطرف بموجب المادة 3 من الاتفاقية التي تنص على عدم جواز طرد أي شخص أو إعادته </w:t>
      </w:r>
      <w:r w:rsidRPr="008D1B92">
        <w:rPr>
          <w:rFonts w:hint="cs"/>
          <w:spacing w:val="0"/>
          <w:kern w:val="0"/>
          <w:sz w:val="20"/>
          <w:rtl/>
          <w:lang w:val="en-CA"/>
        </w:rPr>
        <w:t xml:space="preserve">قسراً </w:t>
      </w:r>
      <w:r w:rsidRPr="008D1B92">
        <w:rPr>
          <w:spacing w:val="0"/>
          <w:kern w:val="0"/>
          <w:sz w:val="20"/>
          <w:rtl/>
          <w:lang w:val="en-CA"/>
        </w:rPr>
        <w:t xml:space="preserve">إلى دولة أخرى إذا توافرت أسباب حقيقية تدعو إلى الاعتقاد بأنه </w:t>
      </w:r>
      <w:r w:rsidRPr="008D1B92">
        <w:rPr>
          <w:rFonts w:hint="cs"/>
          <w:spacing w:val="0"/>
          <w:kern w:val="0"/>
          <w:sz w:val="20"/>
          <w:rtl/>
          <w:lang w:val="en-CA"/>
        </w:rPr>
        <w:t>س</w:t>
      </w:r>
      <w:r w:rsidRPr="008D1B92">
        <w:rPr>
          <w:spacing w:val="0"/>
          <w:kern w:val="0"/>
          <w:sz w:val="20"/>
          <w:rtl/>
          <w:lang w:val="en-CA"/>
        </w:rPr>
        <w:t>يتعرض للتعذيب.</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8-3</w:t>
      </w:r>
      <w:r w:rsidRPr="008D1B92">
        <w:rPr>
          <w:rFonts w:hint="cs"/>
          <w:spacing w:val="0"/>
          <w:kern w:val="0"/>
          <w:sz w:val="20"/>
          <w:rtl/>
          <w:lang w:val="en-CA"/>
        </w:rPr>
        <w:tab/>
        <w:t xml:space="preserve">ودون </w:t>
      </w:r>
      <w:r w:rsidRPr="008D1B92">
        <w:rPr>
          <w:spacing w:val="0"/>
          <w:kern w:val="0"/>
          <w:sz w:val="20"/>
          <w:rtl/>
          <w:lang w:val="en-CA"/>
        </w:rPr>
        <w:t xml:space="preserve">الإخلال </w:t>
      </w:r>
      <w:r w:rsidRPr="008D1B92">
        <w:rPr>
          <w:rFonts w:hint="cs"/>
          <w:spacing w:val="0"/>
          <w:kern w:val="0"/>
          <w:sz w:val="20"/>
          <w:rtl/>
          <w:lang w:val="en-CA"/>
        </w:rPr>
        <w:t>ب</w:t>
      </w:r>
      <w:r w:rsidRPr="008D1B92">
        <w:rPr>
          <w:spacing w:val="0"/>
          <w:kern w:val="0"/>
          <w:sz w:val="20"/>
          <w:rtl/>
          <w:lang w:val="en-CA"/>
        </w:rPr>
        <w:t xml:space="preserve">الاستنتاجات التي يمكن أن </w:t>
      </w:r>
      <w:r w:rsidRPr="008D1B92">
        <w:rPr>
          <w:rFonts w:hint="cs"/>
          <w:spacing w:val="0"/>
          <w:kern w:val="0"/>
          <w:sz w:val="20"/>
          <w:rtl/>
          <w:lang w:val="en-CA"/>
        </w:rPr>
        <w:t>تتوصل إليها اللجنة</w:t>
      </w:r>
      <w:r w:rsidRPr="008D1B92">
        <w:rPr>
          <w:spacing w:val="0"/>
          <w:kern w:val="0"/>
          <w:sz w:val="20"/>
          <w:rtl/>
          <w:lang w:val="en-CA"/>
        </w:rPr>
        <w:t xml:space="preserve"> في هذه الحالة، </w:t>
      </w:r>
      <w:r w:rsidRPr="008D1B92">
        <w:rPr>
          <w:rFonts w:hint="cs"/>
          <w:spacing w:val="0"/>
          <w:kern w:val="0"/>
          <w:sz w:val="20"/>
          <w:rtl/>
          <w:lang w:val="en-CA"/>
        </w:rPr>
        <w:t xml:space="preserve">تلاحظ اللجنة </w:t>
      </w:r>
      <w:r w:rsidRPr="008D1B92">
        <w:rPr>
          <w:spacing w:val="0"/>
          <w:kern w:val="0"/>
          <w:sz w:val="20"/>
          <w:rtl/>
          <w:lang w:val="en-CA"/>
        </w:rPr>
        <w:t xml:space="preserve">المعلومات المقدمة من صاحب </w:t>
      </w:r>
      <w:r w:rsidRPr="008D1B92">
        <w:rPr>
          <w:rFonts w:hint="cs"/>
          <w:spacing w:val="0"/>
          <w:kern w:val="0"/>
          <w:sz w:val="20"/>
          <w:rtl/>
          <w:lang w:val="en-CA"/>
        </w:rPr>
        <w:t>الشكوى التي تفيد بأن الدولة الطرف تطبق وقفاً طوعياً على ترحيل م</w:t>
      </w:r>
      <w:r w:rsidRPr="008D1B92">
        <w:rPr>
          <w:spacing w:val="0"/>
          <w:kern w:val="0"/>
          <w:sz w:val="20"/>
          <w:rtl/>
          <w:lang w:val="en-CA"/>
        </w:rPr>
        <w:t>واطني</w:t>
      </w:r>
      <w:r w:rsidRPr="008D1B92">
        <w:rPr>
          <w:rFonts w:hint="cs"/>
          <w:spacing w:val="0"/>
          <w:kern w:val="0"/>
          <w:sz w:val="20"/>
          <w:rtl/>
          <w:lang w:val="en-CA"/>
        </w:rPr>
        <w:t xml:space="preserve"> </w:t>
      </w:r>
      <w:r w:rsidRPr="008D1B92">
        <w:rPr>
          <w:spacing w:val="0"/>
          <w:kern w:val="0"/>
          <w:sz w:val="20"/>
          <w:rtl/>
          <w:lang w:val="en-CA"/>
        </w:rPr>
        <w:t xml:space="preserve">هايتي </w:t>
      </w:r>
      <w:r w:rsidRPr="008D1B92">
        <w:rPr>
          <w:rFonts w:hint="cs"/>
          <w:spacing w:val="0"/>
          <w:kern w:val="0"/>
          <w:sz w:val="20"/>
          <w:rtl/>
          <w:lang w:val="en-CA"/>
        </w:rPr>
        <w:t xml:space="preserve">إلى بلدهم </w:t>
      </w:r>
      <w:r w:rsidRPr="008D1B92">
        <w:rPr>
          <w:spacing w:val="0"/>
          <w:kern w:val="0"/>
          <w:sz w:val="20"/>
          <w:rtl/>
          <w:lang w:val="en-CA"/>
        </w:rPr>
        <w:t>ولكن</w:t>
      </w:r>
      <w:r w:rsidRPr="008D1B92">
        <w:rPr>
          <w:rFonts w:hint="cs"/>
          <w:spacing w:val="0"/>
          <w:kern w:val="0"/>
          <w:sz w:val="20"/>
          <w:rtl/>
          <w:lang w:val="en-CA"/>
        </w:rPr>
        <w:t>ها</w:t>
      </w:r>
      <w:r w:rsidRPr="008D1B92">
        <w:rPr>
          <w:spacing w:val="0"/>
          <w:kern w:val="0"/>
          <w:sz w:val="20"/>
          <w:rtl/>
          <w:lang w:val="en-CA"/>
        </w:rPr>
        <w:t xml:space="preserve"> </w:t>
      </w:r>
      <w:r w:rsidRPr="008D1B92">
        <w:rPr>
          <w:rFonts w:hint="cs"/>
          <w:spacing w:val="0"/>
          <w:kern w:val="0"/>
          <w:sz w:val="20"/>
          <w:rtl/>
          <w:lang w:val="en-CA"/>
        </w:rPr>
        <w:t xml:space="preserve">تستبعد الأشخاص الذي لديهم تاريخ إجرامي </w:t>
      </w:r>
      <w:r w:rsidRPr="008D1B92">
        <w:rPr>
          <w:spacing w:val="0"/>
          <w:kern w:val="0"/>
          <w:sz w:val="20"/>
          <w:rtl/>
          <w:lang w:val="en-CA"/>
        </w:rPr>
        <w:t xml:space="preserve">مثل </w:t>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 xml:space="preserve">ولم تنكر </w:t>
      </w:r>
      <w:r w:rsidRPr="008D1B92">
        <w:rPr>
          <w:spacing w:val="0"/>
          <w:kern w:val="0"/>
          <w:sz w:val="20"/>
          <w:rtl/>
          <w:lang w:val="en-CA"/>
        </w:rPr>
        <w:t>الدولة الطرف هذه المعلومات. وتشير اللجنة إلى أن</w:t>
      </w:r>
      <w:r w:rsidRPr="008D1B92">
        <w:rPr>
          <w:rFonts w:hint="cs"/>
          <w:spacing w:val="0"/>
          <w:kern w:val="0"/>
          <w:sz w:val="20"/>
          <w:rtl/>
          <w:lang w:val="en-CA"/>
        </w:rPr>
        <w:t>ه</w:t>
      </w:r>
      <w:r w:rsidRPr="008D1B92">
        <w:rPr>
          <w:spacing w:val="0"/>
          <w:kern w:val="0"/>
          <w:sz w:val="20"/>
          <w:rtl/>
          <w:lang w:val="en-CA"/>
        </w:rPr>
        <w:t xml:space="preserve"> وفقا</w:t>
      </w:r>
      <w:r w:rsidRPr="008D1B92">
        <w:rPr>
          <w:rFonts w:hint="cs"/>
          <w:spacing w:val="0"/>
          <w:kern w:val="0"/>
          <w:sz w:val="20"/>
          <w:rtl/>
          <w:lang w:val="en-CA"/>
        </w:rPr>
        <w:t>ً</w:t>
      </w:r>
      <w:r w:rsidRPr="008D1B92">
        <w:rPr>
          <w:spacing w:val="0"/>
          <w:kern w:val="0"/>
          <w:sz w:val="20"/>
          <w:rtl/>
          <w:lang w:val="en-CA"/>
        </w:rPr>
        <w:t xml:space="preserve"> لروح المادة</w:t>
      </w:r>
      <w:r w:rsidRPr="008D1B92">
        <w:rPr>
          <w:rFonts w:hint="cs"/>
          <w:spacing w:val="0"/>
          <w:kern w:val="0"/>
          <w:sz w:val="20"/>
          <w:rtl/>
          <w:lang w:val="en-CA"/>
        </w:rPr>
        <w:t> </w:t>
      </w:r>
      <w:r w:rsidRPr="008D1B92">
        <w:rPr>
          <w:spacing w:val="0"/>
          <w:kern w:val="0"/>
          <w:sz w:val="20"/>
          <w:rtl/>
          <w:lang w:val="en-CA"/>
        </w:rPr>
        <w:t xml:space="preserve">3 من الاتفاقية، </w:t>
      </w:r>
      <w:r w:rsidRPr="008D1B92">
        <w:rPr>
          <w:rFonts w:hint="cs"/>
          <w:spacing w:val="0"/>
          <w:kern w:val="0"/>
          <w:sz w:val="20"/>
          <w:rtl/>
          <w:lang w:val="en-CA"/>
        </w:rPr>
        <w:t xml:space="preserve">فإن الوقف الطوعي لترحيل الأشخاص إلى </w:t>
      </w:r>
      <w:r w:rsidRPr="008D1B92">
        <w:rPr>
          <w:spacing w:val="0"/>
          <w:kern w:val="0"/>
          <w:sz w:val="20"/>
          <w:rtl/>
          <w:lang w:val="en-CA"/>
        </w:rPr>
        <w:t>بلدان تمر بأزمات ينبغي أن يطبق على الجميع دون تمييز</w:t>
      </w:r>
      <w:r w:rsidRPr="008D1B92">
        <w:rPr>
          <w:rFonts w:hint="cs"/>
          <w:spacing w:val="0"/>
          <w:kern w:val="0"/>
          <w:sz w:val="20"/>
          <w:vertAlign w:val="superscript"/>
          <w:rtl/>
          <w:lang w:val="en-CA"/>
        </w:rPr>
        <w:t>(</w:t>
      </w:r>
      <w:r w:rsidRPr="008D1B92">
        <w:rPr>
          <w:rStyle w:val="FootnoteReference"/>
          <w:spacing w:val="0"/>
          <w:sz w:val="20"/>
          <w:rtl/>
          <w:lang w:val="en-CA"/>
        </w:rPr>
        <w:footnoteReference w:id="241"/>
      </w:r>
      <w:r w:rsidRPr="008D1B92">
        <w:rPr>
          <w:rFonts w:hint="cs"/>
          <w:spacing w:val="0"/>
          <w:kern w:val="0"/>
          <w:sz w:val="20"/>
          <w:vertAlign w:val="superscript"/>
          <w:rtl/>
          <w:lang w:val="en-CA"/>
        </w:rPr>
        <w:t>)</w:t>
      </w:r>
      <w:r w:rsidRPr="008D1B92">
        <w:rPr>
          <w:spacing w:val="0"/>
          <w:kern w:val="0"/>
          <w:sz w:val="20"/>
          <w:rtl/>
          <w:lang w:val="en-CA"/>
        </w:rPr>
        <w:t>.</w:t>
      </w:r>
    </w:p>
    <w:p w:rsidR="008D1B92" w:rsidRPr="008D1B92" w:rsidRDefault="008D1B92" w:rsidP="003A2D39">
      <w:pPr>
        <w:pStyle w:val="SingleTxtGA"/>
        <w:jc w:val="lowKashida"/>
        <w:rPr>
          <w:rFonts w:hint="cs"/>
          <w:spacing w:val="0"/>
          <w:kern w:val="0"/>
          <w:sz w:val="20"/>
          <w:szCs w:val="20"/>
          <w:rtl/>
        </w:rPr>
      </w:pPr>
      <w:r w:rsidRPr="008D1B92">
        <w:rPr>
          <w:rFonts w:hint="cs"/>
          <w:spacing w:val="0"/>
          <w:kern w:val="0"/>
          <w:sz w:val="20"/>
          <w:rtl/>
          <w:lang w:val="en-CA"/>
        </w:rPr>
        <w:t>8-4</w:t>
      </w:r>
      <w:r w:rsidRPr="008D1B92">
        <w:rPr>
          <w:rFonts w:hint="cs"/>
          <w:spacing w:val="0"/>
          <w:kern w:val="0"/>
          <w:sz w:val="20"/>
          <w:rtl/>
          <w:lang w:val="en-CA"/>
        </w:rPr>
        <w:tab/>
      </w:r>
      <w:r w:rsidRPr="008D1B92">
        <w:rPr>
          <w:rFonts w:hint="cs"/>
          <w:spacing w:val="0"/>
          <w:kern w:val="0"/>
          <w:sz w:val="20"/>
          <w:rtl/>
          <w:lang w:val="fr-CH"/>
        </w:rPr>
        <w:t xml:space="preserve">وفيما يتعلق بادعاءات صاحب الشكوى بموجب المادة 3، ينبغي أن تراعي اللجنة جميع العناصر، بما في ذلك وجود </w:t>
      </w:r>
      <w:r w:rsidRPr="008D1B92">
        <w:rPr>
          <w:spacing w:val="0"/>
          <w:kern w:val="0"/>
          <w:sz w:val="20"/>
          <w:rtl/>
          <w:lang w:val="fr-CH"/>
        </w:rPr>
        <w:t xml:space="preserve">نمط ثابت من الانتهاكات </w:t>
      </w:r>
      <w:r w:rsidRPr="008D1B92">
        <w:rPr>
          <w:rFonts w:hint="cs"/>
          <w:spacing w:val="0"/>
          <w:kern w:val="0"/>
          <w:sz w:val="20"/>
          <w:rtl/>
          <w:lang w:val="fr-CH"/>
        </w:rPr>
        <w:t>الفادحة</w:t>
      </w:r>
      <w:r w:rsidRPr="008D1B92">
        <w:rPr>
          <w:spacing w:val="0"/>
          <w:kern w:val="0"/>
          <w:sz w:val="20"/>
          <w:rtl/>
          <w:lang w:val="fr-CH"/>
        </w:rPr>
        <w:t xml:space="preserve"> أو الصارخة</w:t>
      </w:r>
      <w:r w:rsidRPr="008D1B92">
        <w:rPr>
          <w:rFonts w:hint="cs"/>
          <w:spacing w:val="0"/>
          <w:kern w:val="0"/>
          <w:sz w:val="20"/>
          <w:rtl/>
          <w:lang w:val="fr-CH"/>
        </w:rPr>
        <w:t xml:space="preserve"> </w:t>
      </w:r>
      <w:r w:rsidRPr="008D1B92">
        <w:rPr>
          <w:spacing w:val="0"/>
          <w:kern w:val="0"/>
          <w:sz w:val="20"/>
          <w:rtl/>
          <w:lang w:val="fr-CH"/>
        </w:rPr>
        <w:t>أو الجماعية</w:t>
      </w:r>
      <w:r w:rsidRPr="008D1B92">
        <w:rPr>
          <w:rFonts w:hint="cs"/>
          <w:spacing w:val="0"/>
          <w:kern w:val="0"/>
          <w:sz w:val="20"/>
          <w:rtl/>
          <w:lang w:val="fr-CH"/>
        </w:rPr>
        <w:t xml:space="preserve"> </w:t>
      </w:r>
      <w:r w:rsidRPr="008D1B92">
        <w:rPr>
          <w:spacing w:val="0"/>
          <w:kern w:val="0"/>
          <w:sz w:val="20"/>
          <w:rtl/>
          <w:lang w:val="fr-CH"/>
        </w:rPr>
        <w:t>لحقوق الإنسان</w:t>
      </w:r>
      <w:r w:rsidRPr="008D1B92">
        <w:rPr>
          <w:rFonts w:hint="cs"/>
          <w:spacing w:val="0"/>
          <w:kern w:val="0"/>
          <w:sz w:val="20"/>
          <w:rtl/>
          <w:lang w:val="fr-CH"/>
        </w:rPr>
        <w:t xml:space="preserve">. بيد أن الغرض هو إثبات ما إذا كان صاحب الشكوى سيواجه شخصياً خطر التعرض للتعذيب في هايتي أم لا. ومن ثم، فإن وجود </w:t>
      </w:r>
      <w:r w:rsidRPr="008D1B92">
        <w:rPr>
          <w:spacing w:val="0"/>
          <w:kern w:val="0"/>
          <w:sz w:val="20"/>
          <w:rtl/>
          <w:lang w:val="fr-CH"/>
        </w:rPr>
        <w:t xml:space="preserve">نمط ثابت من الانتهاكات </w:t>
      </w:r>
      <w:r w:rsidRPr="008D1B92">
        <w:rPr>
          <w:rFonts w:hint="cs"/>
          <w:spacing w:val="0"/>
          <w:kern w:val="0"/>
          <w:sz w:val="20"/>
          <w:rtl/>
          <w:lang w:val="fr-CH"/>
        </w:rPr>
        <w:t>الفادحة</w:t>
      </w:r>
      <w:r w:rsidRPr="008D1B92">
        <w:rPr>
          <w:spacing w:val="0"/>
          <w:kern w:val="0"/>
          <w:sz w:val="20"/>
          <w:rtl/>
          <w:lang w:val="fr-CH"/>
        </w:rPr>
        <w:t xml:space="preserve"> أو الصارخة أو الجماعية</w:t>
      </w:r>
      <w:r w:rsidRPr="008D1B92">
        <w:rPr>
          <w:rFonts w:hint="cs"/>
          <w:spacing w:val="0"/>
          <w:kern w:val="0"/>
          <w:sz w:val="20"/>
          <w:rtl/>
          <w:lang w:val="fr-CH"/>
        </w:rPr>
        <w:t xml:space="preserve"> </w:t>
      </w:r>
      <w:r w:rsidRPr="008D1B92">
        <w:rPr>
          <w:spacing w:val="0"/>
          <w:kern w:val="0"/>
          <w:sz w:val="20"/>
          <w:rtl/>
          <w:lang w:val="fr-CH"/>
        </w:rPr>
        <w:t>لحقوق الإنسان</w:t>
      </w:r>
      <w:r w:rsidRPr="008D1B92">
        <w:rPr>
          <w:rFonts w:hint="cs"/>
          <w:spacing w:val="0"/>
          <w:kern w:val="0"/>
          <w:sz w:val="20"/>
          <w:rtl/>
          <w:lang w:val="fr-CH"/>
        </w:rPr>
        <w:t xml:space="preserve"> في البلد لا يشكل في حد ذاته سبباً كافياً لإثبات أن صاحب الشكوى سيواجه خطر التعرض للتعذيب عند طرده إلى البلد، بل يجب أن تكون هناك أسباب إضافية تثبت أن الشخص المعني سيتعرض للتعذيب شخصياً</w:t>
      </w:r>
      <w:r w:rsidRPr="008D1B92">
        <w:rPr>
          <w:spacing w:val="0"/>
          <w:kern w:val="0"/>
          <w:sz w:val="20"/>
          <w:vertAlign w:val="superscript"/>
          <w:rtl/>
          <w:lang w:val="fr-CH"/>
        </w:rPr>
        <w:t>(</w:t>
      </w:r>
      <w:r w:rsidRPr="008D1B92">
        <w:rPr>
          <w:rStyle w:val="FootnoteReference"/>
          <w:spacing w:val="0"/>
          <w:sz w:val="20"/>
          <w:rtl/>
          <w:lang w:val="fr-CH"/>
        </w:rPr>
        <w:footnoteReference w:id="242"/>
      </w:r>
      <w:r w:rsidRPr="008D1B92">
        <w:rPr>
          <w:spacing w:val="0"/>
          <w:kern w:val="0"/>
          <w:sz w:val="20"/>
          <w:vertAlign w:val="superscript"/>
          <w:rtl/>
          <w:lang w:val="fr-CH"/>
        </w:rPr>
        <w:t>)</w:t>
      </w:r>
      <w:r w:rsidRPr="008D1B92">
        <w:rPr>
          <w:rFonts w:hint="cs"/>
          <w:spacing w:val="0"/>
          <w:kern w:val="0"/>
          <w:sz w:val="20"/>
          <w:rtl/>
          <w:lang w:val="en-CA"/>
        </w:rPr>
        <w:t>. وعند بحث المخاطر، فإن اللجنة تعطي وزناً كبيراً، تطبيقاً للمادة 3 من الاتفاقية، ل</w:t>
      </w:r>
      <w:r w:rsidRPr="008D1B92">
        <w:rPr>
          <w:spacing w:val="0"/>
          <w:kern w:val="0"/>
          <w:sz w:val="20"/>
          <w:rtl/>
          <w:lang w:val="en-CA"/>
        </w:rPr>
        <w:t xml:space="preserve">لاستنتاجات </w:t>
      </w:r>
      <w:r w:rsidRPr="008D1B92">
        <w:rPr>
          <w:rFonts w:hint="cs"/>
          <w:spacing w:val="0"/>
          <w:kern w:val="0"/>
          <w:sz w:val="20"/>
          <w:rtl/>
          <w:lang w:val="en-CA"/>
        </w:rPr>
        <w:t xml:space="preserve">الوقائعية </w:t>
      </w:r>
      <w:r w:rsidRPr="008D1B92">
        <w:rPr>
          <w:spacing w:val="0"/>
          <w:kern w:val="0"/>
          <w:sz w:val="20"/>
          <w:rtl/>
          <w:lang w:val="en-CA"/>
        </w:rPr>
        <w:t xml:space="preserve">التي خلصت إليها </w:t>
      </w:r>
      <w:r w:rsidRPr="008D1B92">
        <w:rPr>
          <w:rFonts w:hint="cs"/>
          <w:spacing w:val="0"/>
          <w:kern w:val="0"/>
          <w:sz w:val="20"/>
          <w:rtl/>
          <w:lang w:val="en-CA"/>
        </w:rPr>
        <w:t>هيئات</w:t>
      </w:r>
      <w:r w:rsidRPr="008D1B92">
        <w:rPr>
          <w:spacing w:val="0"/>
          <w:kern w:val="0"/>
          <w:sz w:val="20"/>
          <w:rtl/>
          <w:lang w:val="en-CA"/>
        </w:rPr>
        <w:t xml:space="preserve"> الدولة الطرف</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 xml:space="preserve">بيد أن اللجنة </w:t>
      </w:r>
      <w:r w:rsidRPr="008D1B92">
        <w:rPr>
          <w:spacing w:val="0"/>
          <w:kern w:val="0"/>
          <w:sz w:val="20"/>
          <w:rtl/>
          <w:lang w:val="en-CA"/>
        </w:rPr>
        <w:t xml:space="preserve">غير ملزمة بتلك </w:t>
      </w:r>
      <w:r w:rsidRPr="008D1B92">
        <w:rPr>
          <w:rFonts w:hint="cs"/>
          <w:spacing w:val="0"/>
          <w:kern w:val="0"/>
          <w:sz w:val="20"/>
          <w:rtl/>
          <w:lang w:val="en-CA"/>
        </w:rPr>
        <w:t xml:space="preserve">الاستنتاجات الوقائعية </w:t>
      </w:r>
      <w:r w:rsidRPr="008D1B92">
        <w:rPr>
          <w:spacing w:val="0"/>
          <w:kern w:val="0"/>
          <w:sz w:val="20"/>
          <w:rtl/>
          <w:lang w:val="en-CA"/>
        </w:rPr>
        <w:t>بل إنها، على العكس، مؤهل</w:t>
      </w:r>
      <w:r w:rsidRPr="008D1B92">
        <w:rPr>
          <w:rFonts w:hint="cs"/>
          <w:spacing w:val="0"/>
          <w:kern w:val="0"/>
          <w:sz w:val="20"/>
          <w:rtl/>
          <w:lang w:val="en-CA"/>
        </w:rPr>
        <w:t>ة</w:t>
      </w:r>
      <w:r w:rsidRPr="008D1B92">
        <w:rPr>
          <w:spacing w:val="0"/>
          <w:kern w:val="0"/>
          <w:sz w:val="20"/>
          <w:rtl/>
          <w:lang w:val="en-CA"/>
        </w:rPr>
        <w:t xml:space="preserve">، بموجب الفقرة 4 من المادة 22 من الاتفاقية، لتقدير الوقائع بحرية </w:t>
      </w:r>
      <w:r w:rsidRPr="008D1B92">
        <w:rPr>
          <w:rFonts w:hint="cs"/>
          <w:spacing w:val="0"/>
          <w:kern w:val="0"/>
          <w:sz w:val="20"/>
          <w:rtl/>
          <w:lang w:val="en-CA"/>
        </w:rPr>
        <w:t>استناداً إلى</w:t>
      </w:r>
      <w:r w:rsidRPr="008D1B92">
        <w:rPr>
          <w:spacing w:val="0"/>
          <w:kern w:val="0"/>
          <w:sz w:val="20"/>
          <w:rtl/>
          <w:lang w:val="en-CA"/>
        </w:rPr>
        <w:t xml:space="preserve"> </w:t>
      </w:r>
      <w:r w:rsidR="003A2D39">
        <w:rPr>
          <w:rFonts w:hint="cs"/>
          <w:spacing w:val="0"/>
          <w:kern w:val="0"/>
          <w:sz w:val="20"/>
          <w:rtl/>
          <w:lang w:val="en-CA"/>
        </w:rPr>
        <w:t xml:space="preserve">مُجمل ملابسات </w:t>
      </w:r>
      <w:r w:rsidRPr="008D1B92">
        <w:rPr>
          <w:spacing w:val="0"/>
          <w:kern w:val="0"/>
          <w:sz w:val="20"/>
          <w:rtl/>
          <w:lang w:val="en-CA"/>
        </w:rPr>
        <w:t>كل قضية.</w:t>
      </w:r>
    </w:p>
    <w:p w:rsidR="008D1B92" w:rsidRPr="008D1B92" w:rsidRDefault="008D1B92" w:rsidP="008D1B92">
      <w:pPr>
        <w:pStyle w:val="SingleTxtGA"/>
        <w:jc w:val="lowKashida"/>
        <w:rPr>
          <w:spacing w:val="0"/>
          <w:kern w:val="0"/>
          <w:sz w:val="20"/>
        </w:rPr>
      </w:pPr>
      <w:r w:rsidRPr="008D1B92">
        <w:rPr>
          <w:rFonts w:hint="cs"/>
          <w:spacing w:val="0"/>
          <w:kern w:val="0"/>
          <w:sz w:val="20"/>
          <w:rtl/>
          <w:lang w:val="en-CA"/>
        </w:rPr>
        <w:t>8-5</w:t>
      </w:r>
      <w:r w:rsidRPr="008D1B92">
        <w:rPr>
          <w:rFonts w:hint="cs"/>
          <w:spacing w:val="0"/>
          <w:kern w:val="0"/>
          <w:sz w:val="20"/>
          <w:rtl/>
          <w:lang w:val="en-CA"/>
        </w:rPr>
        <w:tab/>
      </w:r>
      <w:r w:rsidRPr="008D1B92">
        <w:rPr>
          <w:rFonts w:hint="cs"/>
          <w:spacing w:val="0"/>
          <w:kern w:val="0"/>
          <w:sz w:val="20"/>
          <w:rtl/>
        </w:rPr>
        <w:t xml:space="preserve">وتشير اللجنة إلى تعليقها العام رقم 1 المتعلق بتطبيق المادة 3 من الاتفاقية في سياق المادة 22، والذي أوضحت فيه أنه لا يلزم إثبات أن الخطر القائم محتمل جداً، ولكن يجب أن يكون شخصياً وفعلياً. وفي هذا الصدد، أوضحت اللجنة في قرارات سابقة أن خطر التعذيب ينبغي أن يكون </w:t>
      </w:r>
      <w:r w:rsidRPr="008D1B92">
        <w:rPr>
          <w:spacing w:val="0"/>
          <w:kern w:val="0"/>
          <w:sz w:val="20"/>
          <w:rtl/>
        </w:rPr>
        <w:t>"</w:t>
      </w:r>
      <w:r w:rsidRPr="008D1B92">
        <w:rPr>
          <w:rFonts w:hint="cs"/>
          <w:spacing w:val="0"/>
          <w:kern w:val="0"/>
          <w:sz w:val="20"/>
          <w:rtl/>
        </w:rPr>
        <w:t>متوقعاً وحقيقياً وشخصياً</w:t>
      </w:r>
      <w:r w:rsidRPr="008D1B92">
        <w:rPr>
          <w:spacing w:val="0"/>
          <w:kern w:val="0"/>
          <w:sz w:val="20"/>
          <w:rtl/>
          <w:lang w:val="fr-CH"/>
        </w:rPr>
        <w:t>"</w:t>
      </w:r>
      <w:r w:rsidRPr="008D1B92">
        <w:rPr>
          <w:spacing w:val="0"/>
          <w:kern w:val="0"/>
          <w:sz w:val="20"/>
          <w:vertAlign w:val="superscript"/>
          <w:rtl/>
          <w:lang w:val="fr-CH"/>
        </w:rPr>
        <w:t>(</w:t>
      </w:r>
      <w:r w:rsidRPr="008D1B92">
        <w:rPr>
          <w:rStyle w:val="FootnoteReference"/>
          <w:spacing w:val="0"/>
          <w:sz w:val="20"/>
          <w:rtl/>
          <w:lang w:val="fr-CH"/>
        </w:rPr>
        <w:footnoteReference w:id="243"/>
      </w:r>
      <w:r w:rsidRPr="008D1B92">
        <w:rPr>
          <w:spacing w:val="0"/>
          <w:kern w:val="0"/>
          <w:sz w:val="20"/>
          <w:vertAlign w:val="superscript"/>
          <w:rtl/>
          <w:lang w:val="fr-CH"/>
        </w:rPr>
        <w:t>)</w:t>
      </w:r>
      <w:r w:rsidRPr="008D1B92">
        <w:rPr>
          <w:rFonts w:hint="cs"/>
          <w:spacing w:val="0"/>
          <w:kern w:val="0"/>
          <w:sz w:val="20"/>
          <w:rtl/>
          <w:lang w:val="fr-CH"/>
        </w:rPr>
        <w:t>.</w:t>
      </w:r>
      <w:r w:rsidRPr="008D1B92">
        <w:rPr>
          <w:spacing w:val="0"/>
          <w:kern w:val="0"/>
          <w:sz w:val="20"/>
          <w:rtl/>
        </w:rPr>
        <w:t xml:space="preserve"> </w:t>
      </w:r>
      <w:r w:rsidRPr="008D1B92">
        <w:rPr>
          <w:spacing w:val="0"/>
          <w:kern w:val="0"/>
          <w:sz w:val="20"/>
          <w:rtl/>
          <w:lang w:val="fr-CH"/>
        </w:rPr>
        <w:t xml:space="preserve">وفيما يخص عبء الإثبات، تذكر اللجنة </w:t>
      </w:r>
      <w:r w:rsidRPr="008D1B92">
        <w:rPr>
          <w:rFonts w:hint="cs"/>
          <w:spacing w:val="0"/>
          <w:kern w:val="0"/>
          <w:sz w:val="20"/>
          <w:rtl/>
          <w:lang w:val="fr-CH"/>
        </w:rPr>
        <w:t>ب</w:t>
      </w:r>
      <w:r w:rsidRPr="008D1B92">
        <w:rPr>
          <w:spacing w:val="0"/>
          <w:kern w:val="0"/>
          <w:sz w:val="20"/>
          <w:rtl/>
          <w:lang w:val="fr-CH"/>
        </w:rPr>
        <w:t>أن على صاحب الشكوى عموماً تقديم حجج مقنعة، وأن</w:t>
      </w:r>
      <w:r w:rsidRPr="008D1B92">
        <w:rPr>
          <w:rFonts w:hint="cs"/>
          <w:spacing w:val="0"/>
          <w:kern w:val="0"/>
          <w:sz w:val="20"/>
          <w:rtl/>
          <w:lang w:val="fr-CH"/>
        </w:rPr>
        <w:t>ه</w:t>
      </w:r>
      <w:r w:rsidRPr="008D1B92">
        <w:rPr>
          <w:spacing w:val="0"/>
          <w:kern w:val="0"/>
          <w:sz w:val="20"/>
          <w:rtl/>
          <w:lang w:val="fr-CH"/>
        </w:rPr>
        <w:t xml:space="preserve"> يجب تقييم خطر التعرض للتعذيب بناءً على أدلة لا تقتصر على مجرد افتراضات </w:t>
      </w:r>
      <w:r w:rsidRPr="008D1B92">
        <w:rPr>
          <w:rFonts w:hint="cs"/>
          <w:spacing w:val="0"/>
          <w:kern w:val="0"/>
          <w:sz w:val="20"/>
          <w:rtl/>
          <w:lang w:val="fr-CH"/>
        </w:rPr>
        <w:t>أ</w:t>
      </w:r>
      <w:r w:rsidRPr="008D1B92">
        <w:rPr>
          <w:spacing w:val="0"/>
          <w:kern w:val="0"/>
          <w:sz w:val="20"/>
          <w:rtl/>
          <w:lang w:val="fr-CH"/>
        </w:rPr>
        <w:t>و</w:t>
      </w:r>
      <w:r w:rsidRPr="008D1B92">
        <w:rPr>
          <w:rFonts w:hint="cs"/>
          <w:spacing w:val="0"/>
          <w:kern w:val="0"/>
          <w:sz w:val="20"/>
          <w:rtl/>
          <w:lang w:val="fr-CH"/>
        </w:rPr>
        <w:t xml:space="preserve"> </w:t>
      </w:r>
      <w:r w:rsidRPr="008D1B92">
        <w:rPr>
          <w:spacing w:val="0"/>
          <w:kern w:val="0"/>
          <w:sz w:val="20"/>
          <w:rtl/>
          <w:lang w:val="fr-CH"/>
        </w:rPr>
        <w:t>شكوك.</w:t>
      </w:r>
    </w:p>
    <w:p w:rsidR="008D1B92" w:rsidRPr="008D1B92" w:rsidRDefault="008D1B92" w:rsidP="008D1B92">
      <w:pPr>
        <w:pStyle w:val="SingleTxtGA"/>
        <w:jc w:val="lowKashida"/>
        <w:rPr>
          <w:spacing w:val="0"/>
          <w:kern w:val="0"/>
          <w:sz w:val="20"/>
          <w:szCs w:val="20"/>
          <w:rtl/>
        </w:rPr>
      </w:pPr>
      <w:r w:rsidRPr="008D1B92">
        <w:rPr>
          <w:rFonts w:hint="cs"/>
          <w:spacing w:val="0"/>
          <w:kern w:val="0"/>
          <w:sz w:val="20"/>
          <w:rtl/>
          <w:lang w:val="en-CA"/>
        </w:rPr>
        <w:t>8</w:t>
      </w:r>
      <w:r w:rsidRPr="008D1B92">
        <w:rPr>
          <w:spacing w:val="0"/>
          <w:kern w:val="0"/>
          <w:sz w:val="20"/>
          <w:rtl/>
          <w:lang w:val="en-CA"/>
        </w:rPr>
        <w:t>-6</w:t>
      </w:r>
      <w:r w:rsidRPr="008D1B92">
        <w:rPr>
          <w:spacing w:val="0"/>
          <w:kern w:val="0"/>
          <w:sz w:val="20"/>
          <w:rtl/>
          <w:lang w:val="en-CA"/>
        </w:rPr>
        <w:tab/>
        <w:t xml:space="preserve">وتلاحظ اللجنة أن صاحب الشكوى لم </w:t>
      </w:r>
      <w:r w:rsidRPr="008D1B92">
        <w:rPr>
          <w:rFonts w:hint="cs"/>
          <w:spacing w:val="0"/>
          <w:kern w:val="0"/>
          <w:sz w:val="20"/>
          <w:rtl/>
          <w:lang w:val="en-CA"/>
        </w:rPr>
        <w:t>ي</w:t>
      </w:r>
      <w:r w:rsidRPr="008D1B92">
        <w:rPr>
          <w:spacing w:val="0"/>
          <w:kern w:val="0"/>
          <w:sz w:val="20"/>
          <w:rtl/>
          <w:lang w:val="en-CA"/>
        </w:rPr>
        <w:t xml:space="preserve">قدم أدلة </w:t>
      </w:r>
      <w:r w:rsidRPr="008D1B92">
        <w:rPr>
          <w:rFonts w:hint="cs"/>
          <w:spacing w:val="0"/>
          <w:kern w:val="0"/>
          <w:sz w:val="20"/>
          <w:rtl/>
          <w:lang w:val="en-CA"/>
        </w:rPr>
        <w:t xml:space="preserve">تفيد عن </w:t>
      </w:r>
      <w:r w:rsidRPr="008D1B92">
        <w:rPr>
          <w:spacing w:val="0"/>
          <w:kern w:val="0"/>
          <w:sz w:val="20"/>
          <w:rtl/>
          <w:lang w:val="en-CA"/>
        </w:rPr>
        <w:t xml:space="preserve">وجود </w:t>
      </w:r>
      <w:r w:rsidRPr="008D1B92">
        <w:rPr>
          <w:rFonts w:hint="cs"/>
          <w:spacing w:val="0"/>
          <w:kern w:val="0"/>
          <w:sz w:val="20"/>
          <w:rtl/>
          <w:lang w:val="en-CA"/>
        </w:rPr>
        <w:t xml:space="preserve">خطر تعذيب </w:t>
      </w:r>
      <w:r w:rsidRPr="008D1B92">
        <w:rPr>
          <w:spacing w:val="0"/>
          <w:kern w:val="0"/>
          <w:sz w:val="20"/>
          <w:rtl/>
          <w:lang w:val="en-CA"/>
        </w:rPr>
        <w:t>حقيقي</w:t>
      </w:r>
      <w:r w:rsidRPr="008D1B92">
        <w:rPr>
          <w:rFonts w:hint="cs"/>
          <w:spacing w:val="0"/>
          <w:kern w:val="0"/>
          <w:sz w:val="20"/>
          <w:rtl/>
          <w:lang w:val="en-CA"/>
        </w:rPr>
        <w:t xml:space="preserve"> و</w:t>
      </w:r>
      <w:r w:rsidRPr="008D1B92">
        <w:rPr>
          <w:spacing w:val="0"/>
          <w:kern w:val="0"/>
          <w:sz w:val="20"/>
          <w:rtl/>
          <w:lang w:val="en-CA"/>
        </w:rPr>
        <w:t xml:space="preserve">شخصي </w:t>
      </w:r>
      <w:r w:rsidRPr="008D1B92">
        <w:rPr>
          <w:rFonts w:hint="cs"/>
          <w:spacing w:val="0"/>
          <w:kern w:val="0"/>
          <w:sz w:val="20"/>
          <w:rtl/>
          <w:lang w:val="en-CA"/>
        </w:rPr>
        <w:t xml:space="preserve">ومتوقع بعد </w:t>
      </w:r>
      <w:r w:rsidRPr="008D1B92">
        <w:rPr>
          <w:spacing w:val="0"/>
          <w:kern w:val="0"/>
          <w:sz w:val="20"/>
          <w:rtl/>
          <w:lang w:val="en-CA"/>
        </w:rPr>
        <w:t xml:space="preserve">ترحيله إلى هايتي. </w:t>
      </w:r>
      <w:r w:rsidR="0020182D">
        <w:rPr>
          <w:rFonts w:hint="cs"/>
          <w:spacing w:val="0"/>
          <w:kern w:val="0"/>
          <w:sz w:val="20"/>
          <w:rtl/>
          <w:lang w:val="en-CA"/>
        </w:rPr>
        <w:t>ولقد</w:t>
      </w:r>
      <w:r w:rsidRPr="008D1B92">
        <w:rPr>
          <w:spacing w:val="0"/>
          <w:kern w:val="0"/>
          <w:sz w:val="20"/>
          <w:rtl/>
          <w:lang w:val="en-CA"/>
        </w:rPr>
        <w:t xml:space="preserve"> قدم صاحب الشكوى في الواقع</w:t>
      </w:r>
      <w:r w:rsidRPr="008D1B92">
        <w:rPr>
          <w:rFonts w:hint="cs"/>
          <w:spacing w:val="0"/>
          <w:kern w:val="0"/>
          <w:sz w:val="20"/>
          <w:rtl/>
          <w:lang w:val="en-CA"/>
        </w:rPr>
        <w:t xml:space="preserve"> مجموعة</w:t>
      </w:r>
      <w:r w:rsidRPr="008D1B92">
        <w:rPr>
          <w:spacing w:val="0"/>
          <w:kern w:val="0"/>
          <w:sz w:val="20"/>
          <w:rtl/>
          <w:lang w:val="en-CA"/>
        </w:rPr>
        <w:t xml:space="preserve"> من الادعاءات </w:t>
      </w:r>
      <w:r w:rsidRPr="008D1B92">
        <w:rPr>
          <w:rFonts w:hint="cs"/>
          <w:spacing w:val="0"/>
          <w:kern w:val="0"/>
          <w:sz w:val="20"/>
          <w:rtl/>
          <w:lang w:val="en-CA"/>
        </w:rPr>
        <w:t xml:space="preserve">التي تؤيد وجود </w:t>
      </w:r>
      <w:r w:rsidRPr="008D1B92">
        <w:rPr>
          <w:spacing w:val="0"/>
          <w:kern w:val="0"/>
          <w:sz w:val="20"/>
          <w:rtl/>
          <w:lang w:val="en-CA"/>
        </w:rPr>
        <w:t xml:space="preserve">خطر التعذيب </w:t>
      </w:r>
      <w:r w:rsidRPr="008D1B92">
        <w:rPr>
          <w:rFonts w:hint="cs"/>
          <w:spacing w:val="0"/>
          <w:kern w:val="0"/>
          <w:sz w:val="20"/>
          <w:rtl/>
          <w:lang w:val="en-CA"/>
        </w:rPr>
        <w:t>ولكنه لم يدعمها ب</w:t>
      </w:r>
      <w:r w:rsidRPr="008D1B92">
        <w:rPr>
          <w:spacing w:val="0"/>
          <w:kern w:val="0"/>
          <w:sz w:val="20"/>
          <w:rtl/>
          <w:lang w:val="en-CA"/>
        </w:rPr>
        <w:t xml:space="preserve">أدلة مقنعة سواء </w:t>
      </w:r>
      <w:r w:rsidRPr="008D1B92">
        <w:rPr>
          <w:rFonts w:hint="cs"/>
          <w:spacing w:val="0"/>
          <w:kern w:val="0"/>
          <w:sz w:val="20"/>
          <w:rtl/>
          <w:lang w:val="en-CA"/>
        </w:rPr>
        <w:t>بشأن ادعاءات الاختطاف أو خ</w:t>
      </w:r>
      <w:r w:rsidRPr="008D1B92">
        <w:rPr>
          <w:spacing w:val="0"/>
          <w:kern w:val="0"/>
          <w:sz w:val="20"/>
          <w:rtl/>
          <w:lang w:val="en-CA"/>
        </w:rPr>
        <w:t xml:space="preserve">طر التعرض للتعذيب أو </w:t>
      </w:r>
      <w:r w:rsidRPr="008D1B92">
        <w:rPr>
          <w:rFonts w:hint="cs"/>
          <w:spacing w:val="0"/>
          <w:kern w:val="0"/>
          <w:sz w:val="20"/>
          <w:rtl/>
          <w:lang w:val="en-CA"/>
        </w:rPr>
        <w:t>انتهاك الحق في الحياة أثناء الاحتجاز</w:t>
      </w:r>
      <w:r w:rsidRPr="008D1B92">
        <w:rPr>
          <w:spacing w:val="0"/>
          <w:kern w:val="0"/>
          <w:sz w:val="20"/>
          <w:rtl/>
          <w:lang w:val="en-CA"/>
        </w:rPr>
        <w:t xml:space="preserve">. وبالإضافة إلى ذلك، </w:t>
      </w:r>
      <w:r w:rsidRPr="008D1B92">
        <w:rPr>
          <w:rFonts w:hint="cs"/>
          <w:spacing w:val="0"/>
          <w:kern w:val="0"/>
          <w:sz w:val="20"/>
          <w:rtl/>
          <w:lang w:val="en-CA"/>
        </w:rPr>
        <w:t>خضعت الادعاءات التي قدمها صاحب الشكوى إلى تقييم</w:t>
      </w:r>
      <w:r w:rsidRPr="008D1B92">
        <w:rPr>
          <w:spacing w:val="0"/>
          <w:kern w:val="0"/>
          <w:sz w:val="20"/>
          <w:rtl/>
          <w:lang w:val="en-CA"/>
        </w:rPr>
        <w:t xml:space="preserve"> من جانب سلطات الدولة الطرف أثناء إجراءات اللجوء</w:t>
      </w:r>
      <w:r w:rsidRPr="008D1B92">
        <w:rPr>
          <w:rFonts w:hint="cs"/>
          <w:spacing w:val="0"/>
          <w:kern w:val="0"/>
          <w:sz w:val="20"/>
          <w:rtl/>
          <w:lang w:val="en-CA"/>
        </w:rPr>
        <w:t xml:space="preserve"> وأيضاً أمام </w:t>
      </w:r>
      <w:r w:rsidRPr="008D1B92">
        <w:rPr>
          <w:spacing w:val="0"/>
          <w:kern w:val="0"/>
          <w:sz w:val="20"/>
          <w:rtl/>
          <w:lang w:val="en-CA"/>
        </w:rPr>
        <w:t xml:space="preserve">اللجنة. </w:t>
      </w:r>
      <w:r w:rsidRPr="008D1B92">
        <w:rPr>
          <w:rFonts w:hint="cs"/>
          <w:spacing w:val="0"/>
          <w:kern w:val="0"/>
          <w:sz w:val="20"/>
          <w:rtl/>
          <w:lang w:val="en-CA"/>
        </w:rPr>
        <w:t>و</w:t>
      </w:r>
      <w:r w:rsidRPr="008D1B92">
        <w:rPr>
          <w:spacing w:val="0"/>
          <w:kern w:val="0"/>
          <w:sz w:val="20"/>
          <w:rtl/>
          <w:lang w:val="en-CA"/>
        </w:rPr>
        <w:t xml:space="preserve">فيما يتعلق بصحة </w:t>
      </w:r>
      <w:r w:rsidRPr="008D1B92">
        <w:rPr>
          <w:rFonts w:hint="cs"/>
          <w:spacing w:val="0"/>
          <w:kern w:val="0"/>
          <w:sz w:val="20"/>
          <w:rtl/>
          <w:lang w:val="en-CA"/>
        </w:rPr>
        <w:t>صاحب الشكوى</w:t>
      </w:r>
      <w:r w:rsidRPr="008D1B92">
        <w:rPr>
          <w:spacing w:val="0"/>
          <w:kern w:val="0"/>
          <w:sz w:val="20"/>
          <w:rtl/>
          <w:lang w:val="en-CA"/>
        </w:rPr>
        <w:t>، بحث</w:t>
      </w:r>
      <w:r w:rsidRPr="008D1B92">
        <w:rPr>
          <w:rFonts w:hint="cs"/>
          <w:spacing w:val="0"/>
          <w:kern w:val="0"/>
          <w:sz w:val="20"/>
          <w:rtl/>
          <w:lang w:val="en-CA"/>
        </w:rPr>
        <w:t>ت</w:t>
      </w:r>
      <w:r w:rsidRPr="008D1B92">
        <w:rPr>
          <w:spacing w:val="0"/>
          <w:kern w:val="0"/>
          <w:sz w:val="20"/>
          <w:rtl/>
          <w:lang w:val="en-CA"/>
        </w:rPr>
        <w:t xml:space="preserve"> الدولة الطرف </w:t>
      </w:r>
      <w:r w:rsidRPr="008D1B92">
        <w:rPr>
          <w:rFonts w:hint="cs"/>
          <w:spacing w:val="0"/>
          <w:kern w:val="0"/>
          <w:sz w:val="20"/>
          <w:rtl/>
          <w:lang w:val="en-CA"/>
        </w:rPr>
        <w:t xml:space="preserve">مدى </w:t>
      </w:r>
      <w:r w:rsidRPr="008D1B92">
        <w:rPr>
          <w:spacing w:val="0"/>
          <w:kern w:val="0"/>
          <w:sz w:val="20"/>
          <w:rtl/>
          <w:lang w:val="en-CA"/>
        </w:rPr>
        <w:t xml:space="preserve">توافر العلاج المناسب </w:t>
      </w:r>
      <w:r w:rsidRPr="008D1B92">
        <w:rPr>
          <w:rFonts w:hint="cs"/>
          <w:spacing w:val="0"/>
          <w:kern w:val="0"/>
          <w:sz w:val="20"/>
          <w:rtl/>
          <w:lang w:val="en-CA"/>
        </w:rPr>
        <w:t>لصاحب الشكوى</w:t>
      </w:r>
      <w:r w:rsidRPr="008D1B92">
        <w:rPr>
          <w:spacing w:val="0"/>
          <w:kern w:val="0"/>
          <w:sz w:val="20"/>
          <w:rtl/>
          <w:lang w:val="en-CA"/>
        </w:rPr>
        <w:t xml:space="preserve"> في هايتي. </w:t>
      </w:r>
      <w:r w:rsidRPr="008D1B92">
        <w:rPr>
          <w:rFonts w:hint="cs"/>
          <w:spacing w:val="0"/>
          <w:kern w:val="0"/>
          <w:sz w:val="20"/>
          <w:rtl/>
          <w:lang w:val="en-CA"/>
        </w:rPr>
        <w:t xml:space="preserve">ولا تدخل المسألة في نطاق تطبيق </w:t>
      </w:r>
      <w:r w:rsidRPr="008D1B92">
        <w:rPr>
          <w:spacing w:val="0"/>
          <w:kern w:val="0"/>
          <w:sz w:val="20"/>
          <w:rtl/>
          <w:lang w:val="en-CA"/>
        </w:rPr>
        <w:t>المادة</w:t>
      </w:r>
      <w:r w:rsidRPr="008D1B92">
        <w:rPr>
          <w:rFonts w:hint="cs"/>
          <w:spacing w:val="0"/>
          <w:kern w:val="0"/>
          <w:sz w:val="20"/>
          <w:rtl/>
          <w:lang w:val="en-CA"/>
        </w:rPr>
        <w:t> </w:t>
      </w:r>
      <w:r w:rsidRPr="008D1B92">
        <w:rPr>
          <w:spacing w:val="0"/>
          <w:kern w:val="0"/>
          <w:sz w:val="20"/>
          <w:rtl/>
          <w:lang w:val="en-CA"/>
        </w:rPr>
        <w:t>1، و</w:t>
      </w:r>
      <w:r w:rsidRPr="008D1B92">
        <w:rPr>
          <w:rFonts w:hint="cs"/>
          <w:spacing w:val="0"/>
          <w:kern w:val="0"/>
          <w:sz w:val="20"/>
          <w:rtl/>
          <w:lang w:val="en-CA"/>
        </w:rPr>
        <w:t xml:space="preserve">لا يمكنها، </w:t>
      </w:r>
      <w:r w:rsidRPr="008D1B92">
        <w:rPr>
          <w:spacing w:val="0"/>
          <w:kern w:val="0"/>
          <w:sz w:val="20"/>
          <w:rtl/>
          <w:lang w:val="en-CA"/>
        </w:rPr>
        <w:t xml:space="preserve">فيما يتعلق </w:t>
      </w:r>
      <w:r w:rsidRPr="008D1B92">
        <w:rPr>
          <w:rFonts w:hint="cs"/>
          <w:spacing w:val="0"/>
          <w:kern w:val="0"/>
          <w:sz w:val="20"/>
          <w:rtl/>
          <w:lang w:val="en-CA"/>
        </w:rPr>
        <w:t>بال</w:t>
      </w:r>
      <w:r w:rsidRPr="008D1B92">
        <w:rPr>
          <w:spacing w:val="0"/>
          <w:kern w:val="0"/>
          <w:sz w:val="20"/>
          <w:rtl/>
          <w:lang w:val="en-CA"/>
        </w:rPr>
        <w:t xml:space="preserve">خطر </w:t>
      </w:r>
      <w:r w:rsidRPr="008D1B92">
        <w:rPr>
          <w:rFonts w:hint="cs"/>
          <w:spacing w:val="0"/>
          <w:kern w:val="0"/>
          <w:sz w:val="20"/>
          <w:rtl/>
          <w:lang w:val="en-CA"/>
        </w:rPr>
        <w:t>المرتبط ب</w:t>
      </w:r>
      <w:r w:rsidRPr="008D1B92">
        <w:rPr>
          <w:spacing w:val="0"/>
          <w:kern w:val="0"/>
          <w:sz w:val="20"/>
          <w:rtl/>
          <w:lang w:val="en-CA"/>
        </w:rPr>
        <w:t xml:space="preserve">صحته، </w:t>
      </w:r>
      <w:r w:rsidRPr="008D1B92">
        <w:rPr>
          <w:rFonts w:hint="cs"/>
          <w:spacing w:val="0"/>
          <w:kern w:val="0"/>
          <w:sz w:val="20"/>
          <w:rtl/>
          <w:lang w:val="en-CA"/>
        </w:rPr>
        <w:t>أن ت</w:t>
      </w:r>
      <w:r w:rsidRPr="008D1B92">
        <w:rPr>
          <w:spacing w:val="0"/>
          <w:kern w:val="0"/>
          <w:sz w:val="20"/>
          <w:rtl/>
          <w:lang w:val="en-CA"/>
        </w:rPr>
        <w:t xml:space="preserve">ندرج </w:t>
      </w:r>
      <w:r w:rsidRPr="008D1B92">
        <w:rPr>
          <w:rFonts w:hint="cs"/>
          <w:spacing w:val="0"/>
          <w:kern w:val="0"/>
          <w:sz w:val="20"/>
          <w:rtl/>
          <w:lang w:val="en-CA"/>
        </w:rPr>
        <w:t xml:space="preserve">وحدها </w:t>
      </w:r>
      <w:r w:rsidRPr="008D1B92">
        <w:rPr>
          <w:spacing w:val="0"/>
          <w:kern w:val="0"/>
          <w:sz w:val="20"/>
          <w:rtl/>
          <w:lang w:val="en-CA"/>
        </w:rPr>
        <w:t xml:space="preserve">في </w:t>
      </w:r>
      <w:r w:rsidRPr="008D1B92">
        <w:rPr>
          <w:rFonts w:hint="cs"/>
          <w:spacing w:val="0"/>
          <w:kern w:val="0"/>
          <w:sz w:val="20"/>
          <w:rtl/>
          <w:lang w:val="en-CA"/>
        </w:rPr>
        <w:t xml:space="preserve">إطار </w:t>
      </w:r>
      <w:r w:rsidRPr="008D1B92">
        <w:rPr>
          <w:spacing w:val="0"/>
          <w:kern w:val="0"/>
          <w:sz w:val="20"/>
          <w:rtl/>
          <w:lang w:val="en-CA"/>
        </w:rPr>
        <w:t>المادة 16 من الاتفاقية</w:t>
      </w:r>
      <w:r w:rsidRPr="008D1B92">
        <w:rPr>
          <w:rFonts w:hint="cs"/>
          <w:spacing w:val="0"/>
          <w:kern w:val="0"/>
          <w:sz w:val="20"/>
          <w:vertAlign w:val="superscript"/>
          <w:rtl/>
          <w:lang w:val="en-CA"/>
        </w:rPr>
        <w:t>(</w:t>
      </w:r>
      <w:r w:rsidRPr="008D1B92">
        <w:rPr>
          <w:rStyle w:val="FootnoteReference"/>
          <w:spacing w:val="0"/>
          <w:sz w:val="20"/>
          <w:rtl/>
          <w:lang w:val="en-CA"/>
        </w:rPr>
        <w:footnoteReference w:id="244"/>
      </w:r>
      <w:r w:rsidRPr="008D1B92">
        <w:rPr>
          <w:rFonts w:hint="cs"/>
          <w:spacing w:val="0"/>
          <w:kern w:val="0"/>
          <w:sz w:val="20"/>
          <w:vertAlign w:val="superscript"/>
          <w:rtl/>
          <w:lang w:val="en-CA"/>
        </w:rPr>
        <w:t>)</w:t>
      </w:r>
      <w:r w:rsidRPr="008D1B92">
        <w:rPr>
          <w:spacing w:val="0"/>
          <w:kern w:val="0"/>
          <w:sz w:val="20"/>
          <w:rtl/>
          <w:lang w:val="en-CA"/>
        </w:rPr>
        <w:t>. وتلاحظ اللجنة أيضا</w:t>
      </w:r>
      <w:r w:rsidRPr="008D1B92">
        <w:rPr>
          <w:rFonts w:hint="cs"/>
          <w:spacing w:val="0"/>
          <w:kern w:val="0"/>
          <w:sz w:val="20"/>
          <w:rtl/>
          <w:lang w:val="en-CA"/>
        </w:rPr>
        <w:t>ً</w:t>
      </w:r>
      <w:r w:rsidRPr="008D1B92">
        <w:rPr>
          <w:spacing w:val="0"/>
          <w:kern w:val="0"/>
          <w:sz w:val="20"/>
          <w:rtl/>
          <w:lang w:val="en-CA"/>
        </w:rPr>
        <w:t xml:space="preserve"> أنه منذ عود</w:t>
      </w:r>
      <w:r w:rsidRPr="008D1B92">
        <w:rPr>
          <w:rFonts w:hint="cs"/>
          <w:spacing w:val="0"/>
          <w:kern w:val="0"/>
          <w:sz w:val="20"/>
          <w:rtl/>
          <w:lang w:val="en-CA"/>
        </w:rPr>
        <w:t>ة</w:t>
      </w:r>
      <w:r w:rsidRPr="008D1B92">
        <w:rPr>
          <w:spacing w:val="0"/>
          <w:kern w:val="0"/>
          <w:sz w:val="20"/>
          <w:rtl/>
          <w:lang w:val="en-CA"/>
        </w:rPr>
        <w:t xml:space="preserve"> </w:t>
      </w:r>
      <w:r w:rsidRPr="008D1B92">
        <w:rPr>
          <w:rFonts w:hint="cs"/>
          <w:spacing w:val="0"/>
          <w:kern w:val="0"/>
          <w:sz w:val="20"/>
          <w:rtl/>
          <w:lang w:val="en-CA"/>
        </w:rPr>
        <w:t>صاحب الشكوى</w:t>
      </w:r>
      <w:r w:rsidRPr="008D1B92">
        <w:rPr>
          <w:spacing w:val="0"/>
          <w:kern w:val="0"/>
          <w:sz w:val="20"/>
          <w:rtl/>
          <w:lang w:val="en-CA"/>
        </w:rPr>
        <w:t xml:space="preserve"> </w:t>
      </w:r>
      <w:r w:rsidRPr="008D1B92">
        <w:rPr>
          <w:rFonts w:hint="cs"/>
          <w:spacing w:val="0"/>
          <w:kern w:val="0"/>
          <w:sz w:val="20"/>
          <w:rtl/>
          <w:lang w:val="en-CA"/>
        </w:rPr>
        <w:t>إ</w:t>
      </w:r>
      <w:r w:rsidRPr="008D1B92">
        <w:rPr>
          <w:spacing w:val="0"/>
          <w:kern w:val="0"/>
          <w:sz w:val="20"/>
          <w:rtl/>
          <w:lang w:val="en-CA"/>
        </w:rPr>
        <w:t xml:space="preserve">لى هايتي </w:t>
      </w:r>
      <w:r w:rsidRPr="008D1B92">
        <w:rPr>
          <w:rFonts w:hint="cs"/>
          <w:spacing w:val="0"/>
          <w:kern w:val="0"/>
          <w:sz w:val="20"/>
          <w:rtl/>
          <w:lang w:val="en-CA"/>
        </w:rPr>
        <w:t xml:space="preserve">في </w:t>
      </w:r>
      <w:r w:rsidRPr="008D1B92">
        <w:rPr>
          <w:spacing w:val="0"/>
          <w:kern w:val="0"/>
          <w:sz w:val="20"/>
          <w:rtl/>
          <w:lang w:val="en-CA"/>
        </w:rPr>
        <w:t xml:space="preserve">22 </w:t>
      </w:r>
      <w:r w:rsidRPr="008D1B92">
        <w:rPr>
          <w:rFonts w:hint="cs"/>
          <w:spacing w:val="0"/>
          <w:kern w:val="0"/>
          <w:sz w:val="20"/>
          <w:rtl/>
          <w:lang w:val="en-CA"/>
        </w:rPr>
        <w:t>آب/</w:t>
      </w:r>
      <w:r w:rsidRPr="008D1B92">
        <w:rPr>
          <w:spacing w:val="0"/>
          <w:kern w:val="0"/>
          <w:sz w:val="20"/>
          <w:rtl/>
          <w:lang w:val="en-CA"/>
        </w:rPr>
        <w:t xml:space="preserve">أغسطس 2011، </w:t>
      </w:r>
      <w:r w:rsidRPr="008D1B92">
        <w:rPr>
          <w:rFonts w:hint="cs"/>
          <w:spacing w:val="0"/>
          <w:kern w:val="0"/>
          <w:sz w:val="20"/>
          <w:rtl/>
          <w:lang w:val="en-CA"/>
        </w:rPr>
        <w:t xml:space="preserve">فإنه احتجز </w:t>
      </w:r>
      <w:r w:rsidRPr="008D1B92">
        <w:rPr>
          <w:spacing w:val="0"/>
          <w:kern w:val="0"/>
          <w:sz w:val="20"/>
          <w:rtl/>
          <w:lang w:val="en-CA"/>
        </w:rPr>
        <w:t xml:space="preserve">لفترة وجيزة </w:t>
      </w:r>
      <w:r w:rsidRPr="008D1B92">
        <w:rPr>
          <w:rFonts w:hint="cs"/>
          <w:spacing w:val="0"/>
          <w:kern w:val="0"/>
          <w:sz w:val="20"/>
          <w:rtl/>
          <w:lang w:val="en-CA"/>
        </w:rPr>
        <w:t>ولم يقدم</w:t>
      </w:r>
      <w:r w:rsidRPr="008D1B92">
        <w:rPr>
          <w:spacing w:val="0"/>
          <w:kern w:val="0"/>
          <w:sz w:val="20"/>
          <w:rtl/>
          <w:lang w:val="en-CA"/>
        </w:rPr>
        <w:t xml:space="preserve"> إلى اللجنة</w:t>
      </w:r>
      <w:r w:rsidRPr="008D1B92">
        <w:rPr>
          <w:rFonts w:hint="cs"/>
          <w:spacing w:val="0"/>
          <w:kern w:val="0"/>
          <w:sz w:val="20"/>
          <w:rtl/>
          <w:lang w:val="en-CA"/>
        </w:rPr>
        <w:t xml:space="preserve"> </w:t>
      </w:r>
      <w:r w:rsidRPr="008D1B92">
        <w:rPr>
          <w:spacing w:val="0"/>
          <w:kern w:val="0"/>
          <w:sz w:val="20"/>
          <w:rtl/>
          <w:lang w:val="en-CA"/>
        </w:rPr>
        <w:t xml:space="preserve">ادعاءات </w:t>
      </w:r>
      <w:r w:rsidRPr="008D1B92">
        <w:rPr>
          <w:rFonts w:hint="cs"/>
          <w:spacing w:val="0"/>
          <w:kern w:val="0"/>
          <w:sz w:val="20"/>
          <w:rtl/>
          <w:lang w:val="en-CA"/>
        </w:rPr>
        <w:t>بتعرضه ل</w:t>
      </w:r>
      <w:r w:rsidRPr="008D1B92">
        <w:rPr>
          <w:spacing w:val="0"/>
          <w:kern w:val="0"/>
          <w:sz w:val="20"/>
          <w:rtl/>
          <w:lang w:val="en-CA"/>
        </w:rPr>
        <w:t>لتعذيب أو سوء المعاملة.</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8</w:t>
      </w:r>
      <w:r w:rsidRPr="008D1B92">
        <w:rPr>
          <w:spacing w:val="0"/>
          <w:kern w:val="0"/>
          <w:sz w:val="20"/>
          <w:rtl/>
          <w:lang w:val="en-CA"/>
        </w:rPr>
        <w:t>-7</w:t>
      </w:r>
      <w:r w:rsidRPr="008D1B92">
        <w:rPr>
          <w:spacing w:val="0"/>
          <w:kern w:val="0"/>
          <w:sz w:val="20"/>
          <w:rtl/>
          <w:lang w:val="en-CA"/>
        </w:rPr>
        <w:tab/>
        <w:t xml:space="preserve">وتشير اللجنة في هذا الصدد </w:t>
      </w:r>
      <w:r w:rsidRPr="008D1B92">
        <w:rPr>
          <w:rFonts w:hint="cs"/>
          <w:spacing w:val="0"/>
          <w:kern w:val="0"/>
          <w:sz w:val="20"/>
          <w:rtl/>
          <w:lang w:val="en-CA"/>
        </w:rPr>
        <w:t>إلى أنه</w:t>
      </w:r>
      <w:r w:rsidRPr="008D1B92">
        <w:rPr>
          <w:spacing w:val="0"/>
          <w:kern w:val="0"/>
          <w:sz w:val="20"/>
          <w:rtl/>
          <w:lang w:val="en-CA"/>
        </w:rPr>
        <w:t xml:space="preserve"> وفقا</w:t>
      </w:r>
      <w:r w:rsidRPr="008D1B92">
        <w:rPr>
          <w:rFonts w:hint="cs"/>
          <w:spacing w:val="0"/>
          <w:kern w:val="0"/>
          <w:sz w:val="20"/>
          <w:rtl/>
          <w:lang w:val="en-CA"/>
        </w:rPr>
        <w:t>ً</w:t>
      </w:r>
      <w:r w:rsidRPr="008D1B92">
        <w:rPr>
          <w:spacing w:val="0"/>
          <w:kern w:val="0"/>
          <w:sz w:val="20"/>
          <w:rtl/>
          <w:lang w:val="en-CA"/>
        </w:rPr>
        <w:t xml:space="preserve"> لتعليقها العام بشأن تطبيق المادة 3 من الاتفاقية</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فضلاً عن اجتهاداتها القانونية</w:t>
      </w:r>
      <w:r w:rsidRPr="008D1B92">
        <w:rPr>
          <w:spacing w:val="0"/>
          <w:kern w:val="0"/>
          <w:sz w:val="20"/>
          <w:rtl/>
          <w:lang w:val="en-CA"/>
        </w:rPr>
        <w:t xml:space="preserve">، </w:t>
      </w:r>
      <w:r w:rsidRPr="008D1B92">
        <w:rPr>
          <w:rFonts w:hint="cs"/>
          <w:spacing w:val="0"/>
          <w:kern w:val="0"/>
          <w:sz w:val="20"/>
          <w:rtl/>
          <w:lang w:val="en-CA"/>
        </w:rPr>
        <w:t xml:space="preserve">فإنه </w:t>
      </w:r>
      <w:r w:rsidRPr="008D1B92">
        <w:rPr>
          <w:spacing w:val="0"/>
          <w:kern w:val="0"/>
          <w:sz w:val="20"/>
          <w:rtl/>
          <w:lang w:val="en-CA"/>
        </w:rPr>
        <w:t xml:space="preserve">عند تقييم خطر التعرض للتعذيب </w:t>
      </w:r>
      <w:r w:rsidRPr="008D1B92">
        <w:rPr>
          <w:rFonts w:hint="cs"/>
          <w:spacing w:val="0"/>
          <w:kern w:val="0"/>
          <w:sz w:val="20"/>
          <w:rtl/>
          <w:lang w:val="en-CA"/>
        </w:rPr>
        <w:t xml:space="preserve">في حالة الترحيل إلى </w:t>
      </w:r>
      <w:r w:rsidRPr="008D1B92">
        <w:rPr>
          <w:spacing w:val="0"/>
          <w:kern w:val="0"/>
          <w:sz w:val="20"/>
          <w:rtl/>
          <w:lang w:val="en-CA"/>
        </w:rPr>
        <w:t xml:space="preserve">بلد </w:t>
      </w:r>
      <w:r w:rsidRPr="008D1B92">
        <w:rPr>
          <w:rFonts w:hint="cs"/>
          <w:spacing w:val="0"/>
          <w:kern w:val="0"/>
          <w:sz w:val="20"/>
          <w:rtl/>
          <w:lang w:val="en-CA"/>
        </w:rPr>
        <w:t>ث</w:t>
      </w:r>
      <w:r w:rsidRPr="008D1B92">
        <w:rPr>
          <w:spacing w:val="0"/>
          <w:kern w:val="0"/>
          <w:sz w:val="20"/>
          <w:rtl/>
          <w:lang w:val="en-CA"/>
        </w:rPr>
        <w:t xml:space="preserve">الث، ليس من الضروري بالنسبة للدولة الطرف أن تبين أن </w:t>
      </w:r>
      <w:r w:rsidRPr="008D1B92">
        <w:rPr>
          <w:rFonts w:hint="cs"/>
          <w:spacing w:val="0"/>
          <w:kern w:val="0"/>
          <w:sz w:val="20"/>
          <w:rtl/>
          <w:lang w:val="en-CA"/>
        </w:rPr>
        <w:t>ال</w:t>
      </w:r>
      <w:r w:rsidRPr="008D1B92">
        <w:rPr>
          <w:spacing w:val="0"/>
          <w:kern w:val="0"/>
          <w:sz w:val="20"/>
          <w:rtl/>
          <w:lang w:val="en-CA"/>
        </w:rPr>
        <w:t>خطر "</w:t>
      </w:r>
      <w:r w:rsidRPr="008D1B92">
        <w:rPr>
          <w:rFonts w:hint="cs"/>
          <w:spacing w:val="0"/>
          <w:kern w:val="0"/>
          <w:sz w:val="20"/>
          <w:rtl/>
          <w:lang w:val="en-CA"/>
        </w:rPr>
        <w:t>محتمل</w:t>
      </w:r>
      <w:r w:rsidRPr="008D1B92">
        <w:rPr>
          <w:spacing w:val="0"/>
          <w:kern w:val="0"/>
          <w:sz w:val="20"/>
          <w:rtl/>
          <w:lang w:val="en-CA"/>
        </w:rPr>
        <w:t xml:space="preserve"> جدا</w:t>
      </w:r>
      <w:r w:rsidRPr="008D1B92">
        <w:rPr>
          <w:rFonts w:hint="cs"/>
          <w:spacing w:val="0"/>
          <w:kern w:val="0"/>
          <w:sz w:val="20"/>
          <w:rtl/>
          <w:lang w:val="en-CA"/>
        </w:rPr>
        <w:t>ً</w:t>
      </w:r>
      <w:r w:rsidRPr="008D1B92">
        <w:rPr>
          <w:spacing w:val="0"/>
          <w:kern w:val="0"/>
          <w:sz w:val="20"/>
          <w:rtl/>
          <w:lang w:val="en-CA"/>
        </w:rPr>
        <w:t>"</w:t>
      </w:r>
      <w:r w:rsidRPr="008D1B92">
        <w:rPr>
          <w:rFonts w:hint="cs"/>
          <w:spacing w:val="0"/>
          <w:kern w:val="0"/>
          <w:sz w:val="20"/>
          <w:rtl/>
          <w:lang w:val="en-CA"/>
        </w:rPr>
        <w:t xml:space="preserve">؛ بل يجب أن </w:t>
      </w:r>
      <w:r w:rsidRPr="008D1B92">
        <w:rPr>
          <w:spacing w:val="0"/>
          <w:kern w:val="0"/>
          <w:sz w:val="20"/>
          <w:rtl/>
          <w:lang w:val="en-CA"/>
        </w:rPr>
        <w:t xml:space="preserve">يكون </w:t>
      </w:r>
      <w:r w:rsidRPr="008D1B92">
        <w:rPr>
          <w:rFonts w:hint="cs"/>
          <w:spacing w:val="0"/>
          <w:kern w:val="0"/>
          <w:sz w:val="20"/>
          <w:rtl/>
          <w:lang w:val="en-CA"/>
        </w:rPr>
        <w:t xml:space="preserve">هذا الخطر </w:t>
      </w:r>
      <w:r w:rsidRPr="008D1B92">
        <w:rPr>
          <w:spacing w:val="0"/>
          <w:kern w:val="0"/>
          <w:sz w:val="20"/>
          <w:rtl/>
          <w:lang w:val="en-CA"/>
        </w:rPr>
        <w:t>شخصي</w:t>
      </w:r>
      <w:r w:rsidRPr="008D1B92">
        <w:rPr>
          <w:rFonts w:hint="cs"/>
          <w:spacing w:val="0"/>
          <w:kern w:val="0"/>
          <w:sz w:val="20"/>
          <w:rtl/>
          <w:lang w:val="en-CA"/>
        </w:rPr>
        <w:t>اً</w:t>
      </w:r>
      <w:r w:rsidRPr="008D1B92">
        <w:rPr>
          <w:spacing w:val="0"/>
          <w:kern w:val="0"/>
          <w:sz w:val="20"/>
          <w:rtl/>
          <w:lang w:val="en-CA"/>
        </w:rPr>
        <w:t xml:space="preserve"> و</w:t>
      </w:r>
      <w:r w:rsidRPr="008D1B92">
        <w:rPr>
          <w:rFonts w:hint="cs"/>
          <w:spacing w:val="0"/>
          <w:kern w:val="0"/>
          <w:sz w:val="20"/>
          <w:rtl/>
          <w:lang w:val="en-CA"/>
        </w:rPr>
        <w:t>فعلياً</w:t>
      </w:r>
      <w:r w:rsidRPr="008D1B92">
        <w:rPr>
          <w:spacing w:val="0"/>
          <w:kern w:val="0"/>
          <w:sz w:val="20"/>
          <w:rtl/>
          <w:lang w:val="en-CA"/>
        </w:rPr>
        <w:t xml:space="preserve">. </w:t>
      </w:r>
      <w:r w:rsidRPr="008D1B92">
        <w:rPr>
          <w:rFonts w:hint="cs"/>
          <w:spacing w:val="0"/>
          <w:kern w:val="0"/>
          <w:sz w:val="20"/>
          <w:rtl/>
          <w:lang w:val="en-CA"/>
        </w:rPr>
        <w:t>و</w:t>
      </w:r>
      <w:r w:rsidRPr="008D1B92">
        <w:rPr>
          <w:spacing w:val="0"/>
          <w:kern w:val="0"/>
          <w:sz w:val="20"/>
          <w:rtl/>
          <w:lang w:val="en-CA"/>
        </w:rPr>
        <w:t xml:space="preserve">في هذا الصدد، خلصت اللجنة في قرارات سابقة </w:t>
      </w:r>
      <w:r w:rsidRPr="008D1B92">
        <w:rPr>
          <w:rFonts w:hint="cs"/>
          <w:spacing w:val="0"/>
          <w:kern w:val="0"/>
          <w:sz w:val="20"/>
          <w:rtl/>
          <w:lang w:val="en-CA"/>
        </w:rPr>
        <w:t xml:space="preserve">إلى </w:t>
      </w:r>
      <w:r w:rsidRPr="008D1B92">
        <w:rPr>
          <w:spacing w:val="0"/>
          <w:kern w:val="0"/>
          <w:sz w:val="20"/>
          <w:rtl/>
          <w:lang w:val="en-CA"/>
        </w:rPr>
        <w:t>أن خطر التعذيب يجب أن يكون متوقع</w:t>
      </w:r>
      <w:r w:rsidRPr="008D1B92">
        <w:rPr>
          <w:rFonts w:hint="cs"/>
          <w:spacing w:val="0"/>
          <w:kern w:val="0"/>
          <w:sz w:val="20"/>
          <w:rtl/>
          <w:lang w:val="en-CA"/>
        </w:rPr>
        <w:t>اً</w:t>
      </w:r>
      <w:r w:rsidRPr="008D1B92">
        <w:rPr>
          <w:spacing w:val="0"/>
          <w:kern w:val="0"/>
          <w:sz w:val="20"/>
          <w:rtl/>
          <w:lang w:val="en-CA"/>
        </w:rPr>
        <w:t xml:space="preserve"> وحقيقي</w:t>
      </w:r>
      <w:r w:rsidRPr="008D1B92">
        <w:rPr>
          <w:rFonts w:hint="cs"/>
          <w:spacing w:val="0"/>
          <w:kern w:val="0"/>
          <w:sz w:val="20"/>
          <w:rtl/>
          <w:lang w:val="en-CA"/>
        </w:rPr>
        <w:t>اً</w:t>
      </w:r>
      <w:r w:rsidRPr="008D1B92">
        <w:rPr>
          <w:spacing w:val="0"/>
          <w:kern w:val="0"/>
          <w:sz w:val="20"/>
          <w:rtl/>
          <w:lang w:val="en-CA"/>
        </w:rPr>
        <w:t xml:space="preserve"> وشخصي</w:t>
      </w:r>
      <w:r w:rsidRPr="008D1B92">
        <w:rPr>
          <w:rFonts w:hint="cs"/>
          <w:spacing w:val="0"/>
          <w:kern w:val="0"/>
          <w:sz w:val="20"/>
          <w:rtl/>
          <w:lang w:val="en-CA"/>
        </w:rPr>
        <w:t>اً</w:t>
      </w:r>
      <w:r w:rsidRPr="008D1B92">
        <w:rPr>
          <w:spacing w:val="0"/>
          <w:kern w:val="0"/>
          <w:sz w:val="20"/>
          <w:rtl/>
          <w:lang w:val="en-CA"/>
        </w:rPr>
        <w:t>. و</w:t>
      </w:r>
      <w:r w:rsidRPr="008D1B92">
        <w:rPr>
          <w:rFonts w:hint="cs"/>
          <w:spacing w:val="0"/>
          <w:kern w:val="0"/>
          <w:sz w:val="20"/>
          <w:rtl/>
          <w:lang w:val="en-CA"/>
        </w:rPr>
        <w:t>ت</w:t>
      </w:r>
      <w:r w:rsidRPr="008D1B92">
        <w:rPr>
          <w:spacing w:val="0"/>
          <w:kern w:val="0"/>
          <w:sz w:val="20"/>
          <w:rtl/>
          <w:lang w:val="en-CA"/>
        </w:rPr>
        <w:t>لاحظ</w:t>
      </w:r>
      <w:r w:rsidRPr="008D1B92">
        <w:rPr>
          <w:rFonts w:hint="cs"/>
          <w:spacing w:val="0"/>
          <w:kern w:val="0"/>
          <w:sz w:val="20"/>
          <w:rtl/>
          <w:lang w:val="en-CA"/>
        </w:rPr>
        <w:t xml:space="preserve"> اللجنة</w:t>
      </w:r>
      <w:r w:rsidRPr="008D1B92">
        <w:rPr>
          <w:spacing w:val="0"/>
          <w:kern w:val="0"/>
          <w:sz w:val="20"/>
          <w:rtl/>
          <w:lang w:val="en-CA"/>
        </w:rPr>
        <w:t xml:space="preserve"> </w:t>
      </w:r>
      <w:r w:rsidRPr="008D1B92">
        <w:rPr>
          <w:rFonts w:hint="cs"/>
          <w:spacing w:val="0"/>
          <w:kern w:val="0"/>
          <w:sz w:val="20"/>
          <w:rtl/>
          <w:lang w:val="en-CA"/>
        </w:rPr>
        <w:t>أ</w:t>
      </w:r>
      <w:r w:rsidRPr="008D1B92">
        <w:rPr>
          <w:spacing w:val="0"/>
          <w:kern w:val="0"/>
          <w:sz w:val="20"/>
          <w:rtl/>
          <w:lang w:val="en-CA"/>
        </w:rPr>
        <w:t>يضا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أ</w:t>
      </w:r>
      <w:r w:rsidRPr="008D1B92">
        <w:rPr>
          <w:spacing w:val="0"/>
          <w:kern w:val="0"/>
          <w:sz w:val="20"/>
          <w:rtl/>
          <w:lang w:val="en-CA"/>
        </w:rPr>
        <w:t>نها تعطي وزنا</w:t>
      </w:r>
      <w:r w:rsidRPr="008D1B92">
        <w:rPr>
          <w:rFonts w:hint="cs"/>
          <w:spacing w:val="0"/>
          <w:kern w:val="0"/>
          <w:sz w:val="20"/>
          <w:rtl/>
          <w:lang w:val="en-CA"/>
        </w:rPr>
        <w:t>ً</w:t>
      </w:r>
      <w:r w:rsidRPr="008D1B92">
        <w:rPr>
          <w:spacing w:val="0"/>
          <w:kern w:val="0"/>
          <w:sz w:val="20"/>
          <w:rtl/>
          <w:lang w:val="en-CA"/>
        </w:rPr>
        <w:t xml:space="preserve"> كبيرا</w:t>
      </w:r>
      <w:r w:rsidRPr="008D1B92">
        <w:rPr>
          <w:rFonts w:hint="cs"/>
          <w:spacing w:val="0"/>
          <w:kern w:val="0"/>
          <w:sz w:val="20"/>
          <w:rtl/>
          <w:lang w:val="en-CA"/>
        </w:rPr>
        <w:t>ً،</w:t>
      </w:r>
      <w:r w:rsidRPr="008D1B92">
        <w:rPr>
          <w:spacing w:val="0"/>
          <w:kern w:val="0"/>
          <w:sz w:val="20"/>
          <w:rtl/>
          <w:lang w:val="en-CA"/>
        </w:rPr>
        <w:t xml:space="preserve"> </w:t>
      </w:r>
      <w:r w:rsidRPr="008D1B92">
        <w:rPr>
          <w:rFonts w:hint="cs"/>
          <w:spacing w:val="0"/>
          <w:kern w:val="0"/>
          <w:sz w:val="20"/>
          <w:rtl/>
          <w:lang w:val="en-CA"/>
        </w:rPr>
        <w:t>لدى</w:t>
      </w:r>
      <w:r w:rsidRPr="008D1B92">
        <w:rPr>
          <w:spacing w:val="0"/>
          <w:kern w:val="0"/>
          <w:sz w:val="20"/>
          <w:rtl/>
          <w:lang w:val="en-CA"/>
        </w:rPr>
        <w:t xml:space="preserve"> ممارس</w:t>
      </w:r>
      <w:r w:rsidRPr="008D1B92">
        <w:rPr>
          <w:rFonts w:hint="cs"/>
          <w:spacing w:val="0"/>
          <w:kern w:val="0"/>
          <w:sz w:val="20"/>
          <w:rtl/>
          <w:lang w:val="en-CA"/>
        </w:rPr>
        <w:t xml:space="preserve">ة صلاحياتها </w:t>
      </w:r>
      <w:r w:rsidRPr="008D1B92">
        <w:rPr>
          <w:spacing w:val="0"/>
          <w:kern w:val="0"/>
          <w:sz w:val="20"/>
          <w:rtl/>
          <w:lang w:val="en-CA"/>
        </w:rPr>
        <w:t xml:space="preserve">بموجب المادة 3 من الاتفاقية، إلى </w:t>
      </w:r>
      <w:r w:rsidRPr="008D1B92">
        <w:rPr>
          <w:rFonts w:hint="cs"/>
          <w:spacing w:val="0"/>
          <w:kern w:val="0"/>
          <w:sz w:val="20"/>
          <w:rtl/>
          <w:lang w:val="en-CA"/>
        </w:rPr>
        <w:t>الاستنتاجات الوقائعية لهيئات</w:t>
      </w:r>
      <w:r w:rsidRPr="008D1B92">
        <w:rPr>
          <w:spacing w:val="0"/>
          <w:kern w:val="0"/>
          <w:sz w:val="20"/>
          <w:rtl/>
          <w:lang w:val="en-CA"/>
        </w:rPr>
        <w:t xml:space="preserve"> الدولة الطرف المعنية. ولذلك</w:t>
      </w:r>
      <w:r w:rsidRPr="008D1B92">
        <w:rPr>
          <w:rFonts w:hint="cs"/>
          <w:spacing w:val="0"/>
          <w:kern w:val="0"/>
          <w:sz w:val="20"/>
          <w:rtl/>
          <w:lang w:val="en-CA"/>
        </w:rPr>
        <w:t>،</w:t>
      </w:r>
      <w:r w:rsidRPr="008D1B92">
        <w:rPr>
          <w:spacing w:val="0"/>
          <w:kern w:val="0"/>
          <w:sz w:val="20"/>
          <w:rtl/>
          <w:lang w:val="en-CA"/>
        </w:rPr>
        <w:t xml:space="preserve"> من الضروري تحديد ما إذا كان</w:t>
      </w:r>
      <w:r w:rsidRPr="008D1B92">
        <w:rPr>
          <w:rFonts w:hint="cs"/>
          <w:spacing w:val="0"/>
          <w:kern w:val="0"/>
          <w:sz w:val="20"/>
          <w:rtl/>
          <w:lang w:val="en-CA"/>
        </w:rPr>
        <w:t>ت</w:t>
      </w:r>
      <w:r w:rsidRPr="008D1B92">
        <w:rPr>
          <w:spacing w:val="0"/>
          <w:kern w:val="0"/>
          <w:sz w:val="20"/>
          <w:rtl/>
          <w:lang w:val="en-CA"/>
        </w:rPr>
        <w:t xml:space="preserve"> الدولة الطرف قد </w:t>
      </w:r>
      <w:r w:rsidRPr="008D1B92">
        <w:rPr>
          <w:rFonts w:hint="cs"/>
          <w:spacing w:val="0"/>
          <w:kern w:val="0"/>
          <w:sz w:val="20"/>
          <w:rtl/>
          <w:lang w:val="en-CA"/>
        </w:rPr>
        <w:t>أجرت، عند</w:t>
      </w:r>
      <w:r w:rsidRPr="008D1B92">
        <w:rPr>
          <w:spacing w:val="0"/>
          <w:kern w:val="0"/>
          <w:sz w:val="20"/>
          <w:rtl/>
          <w:lang w:val="en-CA"/>
        </w:rPr>
        <w:t xml:space="preserve"> تقييم المخاطر </w:t>
      </w:r>
      <w:r w:rsidRPr="008D1B92">
        <w:rPr>
          <w:rFonts w:hint="cs"/>
          <w:spacing w:val="0"/>
          <w:kern w:val="0"/>
          <w:sz w:val="20"/>
          <w:rtl/>
          <w:lang w:val="en-CA"/>
        </w:rPr>
        <w:t xml:space="preserve">التي يتعرض لها </w:t>
      </w:r>
      <w:r w:rsidRPr="008D1B92">
        <w:rPr>
          <w:spacing w:val="0"/>
          <w:kern w:val="0"/>
          <w:sz w:val="20"/>
          <w:rtl/>
          <w:lang w:val="en-CA"/>
        </w:rPr>
        <w:t>صاحب الشكوى</w:t>
      </w:r>
      <w:r w:rsidRPr="008D1B92">
        <w:rPr>
          <w:rFonts w:hint="cs"/>
          <w:spacing w:val="0"/>
          <w:kern w:val="0"/>
          <w:sz w:val="20"/>
          <w:rtl/>
          <w:lang w:val="en-CA"/>
        </w:rPr>
        <w:t>،</w:t>
      </w:r>
      <w:r w:rsidRPr="008D1B92">
        <w:rPr>
          <w:spacing w:val="0"/>
          <w:kern w:val="0"/>
          <w:sz w:val="20"/>
          <w:rtl/>
          <w:lang w:val="en-CA"/>
        </w:rPr>
        <w:t xml:space="preserve"> تقييم</w:t>
      </w:r>
      <w:r w:rsidRPr="008D1B92">
        <w:rPr>
          <w:rFonts w:hint="cs"/>
          <w:spacing w:val="0"/>
          <w:kern w:val="0"/>
          <w:sz w:val="20"/>
          <w:rtl/>
          <w:lang w:val="en-CA"/>
        </w:rPr>
        <w:t>اً</w:t>
      </w:r>
      <w:r w:rsidRPr="008D1B92">
        <w:rPr>
          <w:spacing w:val="0"/>
          <w:kern w:val="0"/>
          <w:sz w:val="20"/>
          <w:rtl/>
          <w:lang w:val="en-CA"/>
        </w:rPr>
        <w:t xml:space="preserve"> شامل</w:t>
      </w:r>
      <w:r w:rsidRPr="008D1B92">
        <w:rPr>
          <w:rFonts w:hint="cs"/>
          <w:spacing w:val="0"/>
          <w:kern w:val="0"/>
          <w:sz w:val="20"/>
          <w:rtl/>
          <w:lang w:val="en-CA"/>
        </w:rPr>
        <w:t>اً</w:t>
      </w:r>
      <w:r w:rsidRPr="008D1B92">
        <w:rPr>
          <w:spacing w:val="0"/>
          <w:kern w:val="0"/>
          <w:sz w:val="20"/>
          <w:rtl/>
          <w:lang w:val="en-CA"/>
        </w:rPr>
        <w:t xml:space="preserve"> لادعاءات</w:t>
      </w:r>
      <w:r w:rsidRPr="008D1B92">
        <w:rPr>
          <w:rFonts w:hint="cs"/>
          <w:spacing w:val="0"/>
          <w:kern w:val="0"/>
          <w:sz w:val="20"/>
          <w:rtl/>
          <w:lang w:val="en-CA"/>
        </w:rPr>
        <w:t>ه</w:t>
      </w:r>
      <w:r w:rsidRPr="008D1B92">
        <w:rPr>
          <w:spacing w:val="0"/>
          <w:kern w:val="0"/>
          <w:sz w:val="20"/>
          <w:rtl/>
          <w:lang w:val="en-CA"/>
        </w:rPr>
        <w:t xml:space="preserve"> </w:t>
      </w:r>
      <w:r w:rsidRPr="008D1B92">
        <w:rPr>
          <w:rFonts w:hint="cs"/>
          <w:spacing w:val="0"/>
          <w:kern w:val="0"/>
          <w:sz w:val="20"/>
          <w:rtl/>
          <w:lang w:val="en-CA"/>
        </w:rPr>
        <w:t>ووضعت في الاعتبار</w:t>
      </w:r>
      <w:r w:rsidRPr="008D1B92">
        <w:rPr>
          <w:spacing w:val="0"/>
          <w:kern w:val="0"/>
          <w:sz w:val="20"/>
          <w:rtl/>
          <w:lang w:val="en-CA"/>
        </w:rPr>
        <w:t xml:space="preserve"> جميع </w:t>
      </w:r>
      <w:r w:rsidRPr="008D1B92">
        <w:rPr>
          <w:rFonts w:hint="cs"/>
          <w:spacing w:val="0"/>
          <w:kern w:val="0"/>
          <w:sz w:val="20"/>
          <w:rtl/>
          <w:lang w:val="en-CA"/>
        </w:rPr>
        <w:t>العناصر التي تسمح لها ب</w:t>
      </w:r>
      <w:r w:rsidRPr="008D1B92">
        <w:rPr>
          <w:spacing w:val="0"/>
          <w:kern w:val="0"/>
          <w:sz w:val="20"/>
          <w:rtl/>
          <w:lang w:val="en-CA"/>
        </w:rPr>
        <w:t xml:space="preserve">تقييم المخاطر </w:t>
      </w:r>
      <w:r w:rsidRPr="008D1B92">
        <w:rPr>
          <w:rFonts w:hint="cs"/>
          <w:spacing w:val="0"/>
          <w:kern w:val="0"/>
          <w:sz w:val="20"/>
          <w:rtl/>
          <w:lang w:val="en-CA"/>
        </w:rPr>
        <w:t>التي يتعرض لها</w:t>
      </w:r>
      <w:r w:rsidRPr="008D1B92">
        <w:rPr>
          <w:spacing w:val="0"/>
          <w:kern w:val="0"/>
          <w:sz w:val="20"/>
          <w:rtl/>
          <w:lang w:val="en-CA"/>
        </w:rPr>
        <w:t>. وترى اللجنة أن الدولة الطرف أجرت التقييم في هذه الحالة وفقا</w:t>
      </w:r>
      <w:r w:rsidRPr="008D1B92">
        <w:rPr>
          <w:rFonts w:hint="cs"/>
          <w:spacing w:val="0"/>
          <w:kern w:val="0"/>
          <w:sz w:val="20"/>
          <w:rtl/>
          <w:lang w:val="en-CA"/>
        </w:rPr>
        <w:t>ً</w:t>
      </w:r>
      <w:r w:rsidRPr="008D1B92">
        <w:rPr>
          <w:spacing w:val="0"/>
          <w:kern w:val="0"/>
          <w:sz w:val="20"/>
          <w:rtl/>
          <w:lang w:val="en-CA"/>
        </w:rPr>
        <w:t xml:space="preserve"> لهذه المبادئ</w:t>
      </w:r>
      <w:r w:rsidRPr="008D1B92">
        <w:rPr>
          <w:rFonts w:hint="cs"/>
          <w:spacing w:val="0"/>
          <w:kern w:val="0"/>
          <w:sz w:val="20"/>
          <w:szCs w:val="28"/>
          <w:vertAlign w:val="superscript"/>
          <w:rtl/>
          <w:lang w:val="en-CA"/>
        </w:rPr>
        <w:t>(</w:t>
      </w:r>
      <w:r w:rsidRPr="008D1B92">
        <w:rPr>
          <w:rStyle w:val="FootnoteReference"/>
          <w:spacing w:val="0"/>
          <w:sz w:val="20"/>
          <w:rtl/>
          <w:lang w:val="en-CA"/>
        </w:rPr>
        <w:footnoteReference w:id="245"/>
      </w:r>
      <w:r w:rsidRPr="008D1B92">
        <w:rPr>
          <w:rFonts w:hint="cs"/>
          <w:spacing w:val="0"/>
          <w:kern w:val="0"/>
          <w:sz w:val="20"/>
          <w:szCs w:val="28"/>
          <w:vertAlign w:val="superscript"/>
          <w:rtl/>
          <w:lang w:val="en-CA"/>
        </w:rPr>
        <w:t>)</w:t>
      </w:r>
      <w:r w:rsidRPr="008D1B92">
        <w:rPr>
          <w:rFonts w:hint="cs"/>
          <w:spacing w:val="0"/>
          <w:kern w:val="0"/>
          <w:sz w:val="20"/>
          <w:rtl/>
        </w:rPr>
        <w:t>.</w:t>
      </w:r>
    </w:p>
    <w:p w:rsidR="008D1B92" w:rsidRPr="008D1B92" w:rsidRDefault="008D1B92" w:rsidP="008D1B92">
      <w:pPr>
        <w:pStyle w:val="SingleTxtGA"/>
        <w:jc w:val="lowKashida"/>
        <w:rPr>
          <w:rFonts w:hint="cs"/>
          <w:spacing w:val="0"/>
          <w:kern w:val="0"/>
          <w:sz w:val="20"/>
          <w:szCs w:val="20"/>
          <w:rtl/>
        </w:rPr>
      </w:pPr>
      <w:r w:rsidRPr="008D1B92">
        <w:rPr>
          <w:rFonts w:hint="cs"/>
          <w:spacing w:val="0"/>
          <w:kern w:val="0"/>
          <w:sz w:val="20"/>
          <w:rtl/>
          <w:lang w:val="en-CA"/>
        </w:rPr>
        <w:t>8-8</w:t>
      </w:r>
      <w:r w:rsidRPr="008D1B92">
        <w:rPr>
          <w:rFonts w:hint="cs"/>
          <w:spacing w:val="0"/>
          <w:kern w:val="0"/>
          <w:sz w:val="20"/>
          <w:rtl/>
          <w:lang w:val="en-CA"/>
        </w:rPr>
        <w:tab/>
      </w:r>
      <w:r w:rsidRPr="008D1B92">
        <w:rPr>
          <w:spacing w:val="0"/>
          <w:kern w:val="0"/>
          <w:sz w:val="20"/>
          <w:rtl/>
          <w:lang w:val="en-CA"/>
        </w:rPr>
        <w:t xml:space="preserve">وترى اللجنة أن المعلومات التي قدمت إلى اللجنة لا تثبت أن صاحب الشكوى </w:t>
      </w:r>
      <w:r w:rsidRPr="008D1B92">
        <w:rPr>
          <w:rFonts w:hint="cs"/>
          <w:spacing w:val="0"/>
          <w:kern w:val="0"/>
          <w:sz w:val="20"/>
          <w:rtl/>
          <w:lang w:val="en-CA"/>
        </w:rPr>
        <w:t>يتعرض</w:t>
      </w:r>
      <w:r w:rsidRPr="008D1B92">
        <w:rPr>
          <w:spacing w:val="0"/>
          <w:kern w:val="0"/>
          <w:sz w:val="20"/>
          <w:rtl/>
          <w:lang w:val="en-CA"/>
        </w:rPr>
        <w:t xml:space="preserve"> شخصي</w:t>
      </w:r>
      <w:r w:rsidRPr="008D1B92">
        <w:rPr>
          <w:rFonts w:hint="cs"/>
          <w:spacing w:val="0"/>
          <w:kern w:val="0"/>
          <w:sz w:val="20"/>
          <w:rtl/>
          <w:lang w:val="en-CA"/>
        </w:rPr>
        <w:t>اً</w:t>
      </w:r>
      <w:r w:rsidRPr="008D1B92">
        <w:rPr>
          <w:spacing w:val="0"/>
          <w:kern w:val="0"/>
          <w:sz w:val="20"/>
          <w:rtl/>
          <w:lang w:val="en-CA"/>
        </w:rPr>
        <w:t xml:space="preserve"> </w:t>
      </w:r>
      <w:r w:rsidRPr="008D1B92">
        <w:rPr>
          <w:rFonts w:hint="cs"/>
          <w:spacing w:val="0"/>
          <w:kern w:val="0"/>
          <w:sz w:val="20"/>
          <w:rtl/>
          <w:lang w:val="en-CA"/>
        </w:rPr>
        <w:t xml:space="preserve">لخطر </w:t>
      </w:r>
      <w:r w:rsidRPr="008D1B92">
        <w:rPr>
          <w:spacing w:val="0"/>
          <w:kern w:val="0"/>
          <w:sz w:val="20"/>
          <w:rtl/>
          <w:lang w:val="en-CA"/>
        </w:rPr>
        <w:t xml:space="preserve">متوقع </w:t>
      </w:r>
      <w:r w:rsidRPr="008D1B92">
        <w:rPr>
          <w:rFonts w:hint="cs"/>
          <w:spacing w:val="0"/>
          <w:kern w:val="0"/>
          <w:sz w:val="20"/>
          <w:rtl/>
          <w:lang w:val="en-CA"/>
        </w:rPr>
        <w:t>و</w:t>
      </w:r>
      <w:r w:rsidRPr="008D1B92">
        <w:rPr>
          <w:spacing w:val="0"/>
          <w:kern w:val="0"/>
          <w:sz w:val="20"/>
          <w:rtl/>
          <w:lang w:val="en-CA"/>
        </w:rPr>
        <w:t xml:space="preserve">حقيقي </w:t>
      </w:r>
      <w:r w:rsidRPr="008D1B92">
        <w:rPr>
          <w:rFonts w:hint="cs"/>
          <w:spacing w:val="0"/>
          <w:kern w:val="0"/>
          <w:sz w:val="20"/>
          <w:rtl/>
          <w:lang w:val="en-CA"/>
        </w:rPr>
        <w:t>شخصي با</w:t>
      </w:r>
      <w:r w:rsidRPr="008D1B92">
        <w:rPr>
          <w:spacing w:val="0"/>
          <w:kern w:val="0"/>
          <w:sz w:val="20"/>
          <w:rtl/>
          <w:lang w:val="en-CA"/>
        </w:rPr>
        <w:t xml:space="preserve">لتعذيب </w:t>
      </w:r>
      <w:r w:rsidRPr="008D1B92">
        <w:rPr>
          <w:rFonts w:hint="cs"/>
          <w:spacing w:val="0"/>
          <w:kern w:val="0"/>
          <w:sz w:val="20"/>
          <w:rtl/>
          <w:lang w:val="en-CA"/>
        </w:rPr>
        <w:t>عند</w:t>
      </w:r>
      <w:r w:rsidRPr="008D1B92">
        <w:rPr>
          <w:spacing w:val="0"/>
          <w:kern w:val="0"/>
          <w:sz w:val="20"/>
          <w:rtl/>
          <w:lang w:val="en-CA"/>
        </w:rPr>
        <w:t xml:space="preserve"> عودته إلى </w:t>
      </w:r>
      <w:r w:rsidRPr="008D1B92">
        <w:rPr>
          <w:rFonts w:hint="cs"/>
          <w:spacing w:val="0"/>
          <w:kern w:val="0"/>
          <w:sz w:val="20"/>
          <w:rtl/>
          <w:lang w:val="en-CA"/>
        </w:rPr>
        <w:t>بلده الأصلي</w:t>
      </w:r>
      <w:r w:rsidRPr="008D1B92">
        <w:rPr>
          <w:spacing w:val="0"/>
          <w:kern w:val="0"/>
          <w:sz w:val="20"/>
          <w:rtl/>
          <w:lang w:val="en-CA"/>
        </w:rPr>
        <w:t>.</w:t>
      </w:r>
    </w:p>
    <w:p w:rsidR="008D1B92" w:rsidRDefault="008D1B92" w:rsidP="008D1B92">
      <w:pPr>
        <w:pStyle w:val="SingleTxtGA"/>
        <w:jc w:val="lowKashida"/>
        <w:rPr>
          <w:rFonts w:hint="cs"/>
          <w:spacing w:val="0"/>
          <w:kern w:val="0"/>
          <w:sz w:val="20"/>
          <w:rtl/>
          <w:lang w:bidi="ar-SY"/>
        </w:rPr>
      </w:pPr>
      <w:r w:rsidRPr="008D1B92">
        <w:rPr>
          <w:rFonts w:hint="cs"/>
          <w:spacing w:val="0"/>
          <w:kern w:val="0"/>
          <w:sz w:val="20"/>
          <w:rtl/>
          <w:lang w:val="en-CA"/>
        </w:rPr>
        <w:t>9-</w:t>
      </w:r>
      <w:r w:rsidRPr="008D1B92">
        <w:rPr>
          <w:rFonts w:hint="cs"/>
          <w:spacing w:val="0"/>
          <w:kern w:val="0"/>
          <w:sz w:val="20"/>
          <w:rtl/>
          <w:lang w:val="en-CA"/>
        </w:rPr>
        <w:tab/>
        <w:t>و</w:t>
      </w:r>
      <w:r w:rsidRPr="008D1B92">
        <w:rPr>
          <w:spacing w:val="0"/>
          <w:kern w:val="0"/>
          <w:sz w:val="20"/>
          <w:rtl/>
          <w:lang w:val="en-CA"/>
        </w:rPr>
        <w:t xml:space="preserve">إن لجنة مناهضة التعذيب، إذ </w:t>
      </w:r>
      <w:r w:rsidRPr="008D1B92">
        <w:rPr>
          <w:rFonts w:hint="cs"/>
          <w:spacing w:val="0"/>
          <w:kern w:val="0"/>
          <w:sz w:val="20"/>
          <w:rtl/>
          <w:lang w:val="en-CA"/>
        </w:rPr>
        <w:t>تعمل</w:t>
      </w:r>
      <w:r w:rsidRPr="008D1B92">
        <w:rPr>
          <w:spacing w:val="0"/>
          <w:kern w:val="0"/>
          <w:sz w:val="20"/>
          <w:rtl/>
          <w:lang w:val="en-CA"/>
        </w:rPr>
        <w:t xml:space="preserve"> بموجب الفقرة 7 من المادة 22 من اتفاقية مناهضة التعذيب وغيره من ضروب المعاملة أو العقوبة القاسية أو اللاإنسانية أو المهينة، </w:t>
      </w:r>
      <w:r w:rsidRPr="008D1B92">
        <w:rPr>
          <w:rFonts w:hint="cs"/>
          <w:spacing w:val="0"/>
          <w:kern w:val="0"/>
          <w:sz w:val="20"/>
          <w:rtl/>
          <w:lang w:val="en-CA"/>
        </w:rPr>
        <w:t>تخلص إلى</w:t>
      </w:r>
      <w:r w:rsidRPr="008D1B92">
        <w:rPr>
          <w:spacing w:val="0"/>
          <w:kern w:val="0"/>
          <w:sz w:val="20"/>
          <w:rtl/>
          <w:lang w:val="en-CA"/>
        </w:rPr>
        <w:t xml:space="preserve"> أن </w:t>
      </w:r>
      <w:r w:rsidRPr="008D1B92">
        <w:rPr>
          <w:rFonts w:hint="cs"/>
          <w:spacing w:val="0"/>
          <w:kern w:val="0"/>
          <w:sz w:val="20"/>
          <w:rtl/>
          <w:lang w:val="en-CA"/>
        </w:rPr>
        <w:t xml:space="preserve">ترحيل </w:t>
      </w:r>
      <w:r w:rsidRPr="008D1B92">
        <w:rPr>
          <w:spacing w:val="0"/>
          <w:kern w:val="0"/>
          <w:sz w:val="20"/>
          <w:rtl/>
          <w:lang w:val="en-CA"/>
        </w:rPr>
        <w:t xml:space="preserve">صاحب الشكوى إلى </w:t>
      </w:r>
      <w:r w:rsidRPr="008D1B92">
        <w:rPr>
          <w:rFonts w:hint="cs"/>
          <w:spacing w:val="0"/>
          <w:kern w:val="0"/>
          <w:sz w:val="20"/>
          <w:rtl/>
          <w:lang w:val="en-CA"/>
        </w:rPr>
        <w:t>هايتي</w:t>
      </w:r>
      <w:r w:rsidRPr="008D1B92">
        <w:rPr>
          <w:spacing w:val="0"/>
          <w:kern w:val="0"/>
          <w:sz w:val="20"/>
          <w:rtl/>
          <w:lang w:val="en-CA"/>
        </w:rPr>
        <w:t xml:space="preserve"> لا يشكل انتهاكاً للمادة 3 من الاتفاقية</w:t>
      </w:r>
      <w:r w:rsidRPr="008D1B92">
        <w:rPr>
          <w:rFonts w:hint="cs"/>
          <w:spacing w:val="0"/>
          <w:kern w:val="0"/>
          <w:sz w:val="20"/>
          <w:rtl/>
          <w:lang w:bidi="ar-SY"/>
        </w:rPr>
        <w:t>.</w:t>
      </w:r>
    </w:p>
    <w:p w:rsidR="006B489A" w:rsidRDefault="006B489A" w:rsidP="008D1B92">
      <w:pPr>
        <w:pStyle w:val="SingleTxtGA"/>
        <w:jc w:val="lowKashida"/>
        <w:rPr>
          <w:rFonts w:hint="cs"/>
          <w:spacing w:val="0"/>
          <w:kern w:val="0"/>
          <w:sz w:val="20"/>
          <w:rtl/>
          <w:lang w:bidi="ar-SY"/>
        </w:rPr>
      </w:pPr>
    </w:p>
    <w:p w:rsidR="006B489A" w:rsidRDefault="006B489A" w:rsidP="008D1B92">
      <w:pPr>
        <w:pStyle w:val="SingleTxtGA"/>
        <w:jc w:val="lowKashida"/>
        <w:rPr>
          <w:spacing w:val="0"/>
          <w:kern w:val="0"/>
          <w:sz w:val="20"/>
          <w:rtl/>
          <w:lang w:val="fr-CH" w:bidi="ar-SY"/>
        </w:rPr>
        <w:sectPr w:rsidR="006B489A"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6B489A" w:rsidRPr="006B489A" w:rsidRDefault="006B489A" w:rsidP="00A73ECA">
      <w:pPr>
        <w:pStyle w:val="H1GA"/>
        <w:spacing w:before="120"/>
        <w:jc w:val="lowKashida"/>
        <w:rPr>
          <w:rFonts w:hint="cs"/>
          <w:spacing w:val="0"/>
          <w:kern w:val="0"/>
          <w:sz w:val="20"/>
          <w:szCs w:val="24"/>
          <w:rtl/>
        </w:rPr>
      </w:pPr>
      <w:r w:rsidRPr="006B489A">
        <w:rPr>
          <w:rFonts w:hint="cs"/>
          <w:spacing w:val="0"/>
          <w:kern w:val="0"/>
          <w:sz w:val="20"/>
          <w:rtl/>
          <w:lang w:bidi="ar-SY"/>
        </w:rPr>
        <w:tab/>
      </w:r>
      <w:r w:rsidRPr="006B489A">
        <w:rPr>
          <w:rFonts w:hint="cs"/>
          <w:spacing w:val="0"/>
          <w:kern w:val="0"/>
          <w:sz w:val="20"/>
          <w:rtl/>
          <w:lang w:bidi="ar-SY"/>
        </w:rPr>
        <w:tab/>
        <w:t xml:space="preserve">البلاغ رقم 374/2009: </w:t>
      </w:r>
      <w:r w:rsidRPr="006B489A">
        <w:rPr>
          <w:rFonts w:hint="cs"/>
          <w:i/>
          <w:iCs/>
          <w:spacing w:val="0"/>
          <w:kern w:val="0"/>
          <w:sz w:val="20"/>
          <w:rtl/>
          <w:lang w:bidi="ar-SY"/>
        </w:rPr>
        <w:t>س.</w:t>
      </w:r>
      <w:r w:rsidR="00A73ECA">
        <w:rPr>
          <w:rFonts w:hint="cs"/>
          <w:i/>
          <w:iCs/>
          <w:spacing w:val="0"/>
          <w:kern w:val="0"/>
          <w:sz w:val="20"/>
          <w:rtl/>
          <w:lang w:bidi="ar-SY"/>
        </w:rPr>
        <w:t xml:space="preserve"> </w:t>
      </w:r>
      <w:r w:rsidRPr="006B489A">
        <w:rPr>
          <w:rFonts w:hint="cs"/>
          <w:i/>
          <w:iCs/>
          <w:spacing w:val="0"/>
          <w:kern w:val="0"/>
          <w:sz w:val="20"/>
          <w:rtl/>
          <w:lang w:bidi="ar-SY"/>
        </w:rPr>
        <w:t>م. وآخرون ضد السويد</w:t>
      </w:r>
    </w:p>
    <w:p w:rsidR="006B489A" w:rsidRPr="006B489A" w:rsidRDefault="006B489A" w:rsidP="006B489A">
      <w:pPr>
        <w:pStyle w:val="SingleTxtGA"/>
        <w:tabs>
          <w:tab w:val="clear" w:pos="2608"/>
          <w:tab w:val="clear" w:pos="3289"/>
          <w:tab w:val="clear" w:pos="3969"/>
          <w:tab w:val="clear" w:pos="4649"/>
          <w:tab w:val="clear" w:pos="5330"/>
          <w:tab w:val="left" w:pos="4598"/>
        </w:tabs>
        <w:ind w:left="4280" w:hanging="2381"/>
        <w:jc w:val="lowKashida"/>
        <w:rPr>
          <w:rFonts w:hint="cs"/>
          <w:i/>
          <w:iCs/>
          <w:spacing w:val="0"/>
          <w:kern w:val="0"/>
          <w:sz w:val="20"/>
          <w:rtl/>
          <w:lang w:bidi="ar-SY"/>
        </w:rPr>
      </w:pPr>
      <w:r w:rsidRPr="006B489A">
        <w:rPr>
          <w:rFonts w:hint="cs"/>
          <w:i/>
          <w:iCs/>
          <w:spacing w:val="0"/>
          <w:kern w:val="0"/>
          <w:sz w:val="20"/>
          <w:rtl/>
          <w:lang w:bidi="ar-SY"/>
        </w:rPr>
        <w:t>المقدم من:</w:t>
      </w:r>
      <w:r w:rsidRPr="006B489A">
        <w:rPr>
          <w:rFonts w:hint="cs"/>
          <w:i/>
          <w:iCs/>
          <w:spacing w:val="0"/>
          <w:kern w:val="0"/>
          <w:sz w:val="20"/>
          <w:rtl/>
          <w:lang w:bidi="ar-SY"/>
        </w:rPr>
        <w:tab/>
      </w:r>
      <w:r w:rsidRPr="006B489A">
        <w:rPr>
          <w:spacing w:val="0"/>
          <w:kern w:val="0"/>
          <w:sz w:val="20"/>
          <w:rtl/>
          <w:lang w:bidi="ar-SY"/>
        </w:rPr>
        <w:t>س. م. و</w:t>
      </w:r>
      <w:r w:rsidRPr="006B489A">
        <w:rPr>
          <w:rFonts w:hint="cs"/>
          <w:spacing w:val="0"/>
          <w:kern w:val="0"/>
          <w:sz w:val="20"/>
          <w:rtl/>
          <w:lang w:bidi="ar-SY"/>
        </w:rPr>
        <w:t>ﻫ</w:t>
      </w:r>
      <w:r w:rsidRPr="006B489A">
        <w:rPr>
          <w:spacing w:val="0"/>
          <w:kern w:val="0"/>
          <w:sz w:val="20"/>
          <w:rtl/>
          <w:lang w:bidi="ar-SY"/>
        </w:rPr>
        <w:t>. م. وأ. م. (تمثلهم المحامية سانا فستن)</w:t>
      </w:r>
    </w:p>
    <w:p w:rsidR="006B489A" w:rsidRPr="006B489A" w:rsidRDefault="006B489A" w:rsidP="006B489A">
      <w:pPr>
        <w:pStyle w:val="SingleTxtGA"/>
        <w:tabs>
          <w:tab w:val="clear" w:pos="2608"/>
          <w:tab w:val="clear" w:pos="3289"/>
          <w:tab w:val="clear" w:pos="3969"/>
          <w:tab w:val="clear" w:pos="4649"/>
          <w:tab w:val="clear" w:pos="5330"/>
          <w:tab w:val="left" w:pos="4598"/>
        </w:tabs>
        <w:ind w:left="4280" w:hanging="2381"/>
        <w:jc w:val="lowKashida"/>
        <w:rPr>
          <w:rFonts w:hint="cs"/>
          <w:spacing w:val="0"/>
          <w:kern w:val="0"/>
          <w:sz w:val="20"/>
          <w:rtl/>
          <w:lang w:bidi="ar-SY"/>
        </w:rPr>
      </w:pPr>
      <w:r w:rsidRPr="006B489A">
        <w:rPr>
          <w:rFonts w:hint="cs"/>
          <w:i/>
          <w:iCs/>
          <w:spacing w:val="0"/>
          <w:kern w:val="0"/>
          <w:sz w:val="20"/>
          <w:rtl/>
          <w:lang w:bidi="ar-SY"/>
        </w:rPr>
        <w:t>الشخص المدع</w:t>
      </w:r>
      <w:r>
        <w:rPr>
          <w:rFonts w:hint="cs"/>
          <w:i/>
          <w:iCs/>
          <w:spacing w:val="0"/>
          <w:kern w:val="0"/>
          <w:sz w:val="20"/>
          <w:rtl/>
          <w:lang w:bidi="ar-SY"/>
        </w:rPr>
        <w:t>ى</w:t>
      </w:r>
      <w:r w:rsidRPr="006B489A">
        <w:rPr>
          <w:rFonts w:hint="cs"/>
          <w:i/>
          <w:iCs/>
          <w:spacing w:val="0"/>
          <w:kern w:val="0"/>
          <w:sz w:val="20"/>
          <w:rtl/>
          <w:lang w:bidi="ar-SY"/>
        </w:rPr>
        <w:t xml:space="preserve"> أنه ضحية:</w:t>
      </w:r>
      <w:r w:rsidRPr="006B489A">
        <w:rPr>
          <w:rFonts w:hint="cs"/>
          <w:spacing w:val="0"/>
          <w:kern w:val="0"/>
          <w:sz w:val="20"/>
          <w:rtl/>
          <w:lang w:bidi="ar-SY"/>
        </w:rPr>
        <w:tab/>
        <w:t>أصحاب</w:t>
      </w:r>
      <w:r w:rsidRPr="006B489A">
        <w:rPr>
          <w:spacing w:val="0"/>
          <w:kern w:val="0"/>
          <w:sz w:val="20"/>
          <w:rtl/>
          <w:lang w:bidi="ar-SY"/>
        </w:rPr>
        <w:t xml:space="preserve"> الشكوى</w:t>
      </w:r>
    </w:p>
    <w:p w:rsidR="006B489A" w:rsidRPr="006B489A" w:rsidRDefault="006B489A" w:rsidP="006B489A">
      <w:pPr>
        <w:pStyle w:val="SingleTxtGA"/>
        <w:tabs>
          <w:tab w:val="clear" w:pos="2608"/>
          <w:tab w:val="clear" w:pos="3289"/>
          <w:tab w:val="clear" w:pos="3969"/>
          <w:tab w:val="clear" w:pos="4649"/>
          <w:tab w:val="clear" w:pos="5330"/>
          <w:tab w:val="left" w:pos="4598"/>
        </w:tabs>
        <w:ind w:left="4280" w:hanging="2381"/>
        <w:jc w:val="lowKashida"/>
        <w:rPr>
          <w:rFonts w:hint="cs"/>
          <w:spacing w:val="0"/>
          <w:kern w:val="0"/>
          <w:sz w:val="20"/>
          <w:rtl/>
          <w:lang w:bidi="ar-SY"/>
        </w:rPr>
      </w:pPr>
      <w:r w:rsidRPr="006B489A">
        <w:rPr>
          <w:rFonts w:hint="cs"/>
          <w:i/>
          <w:iCs/>
          <w:spacing w:val="0"/>
          <w:kern w:val="0"/>
          <w:sz w:val="20"/>
          <w:rtl/>
          <w:lang w:bidi="ar-SY"/>
        </w:rPr>
        <w:t>الدولة الطرف:</w:t>
      </w:r>
      <w:r w:rsidRPr="006B489A">
        <w:rPr>
          <w:rFonts w:hint="cs"/>
          <w:spacing w:val="0"/>
          <w:kern w:val="0"/>
          <w:sz w:val="20"/>
          <w:rtl/>
          <w:lang w:bidi="ar-SY"/>
        </w:rPr>
        <w:tab/>
        <w:t>السويد</w:t>
      </w:r>
    </w:p>
    <w:p w:rsidR="006B489A" w:rsidRPr="006B489A" w:rsidRDefault="006B489A" w:rsidP="006B489A">
      <w:pPr>
        <w:pStyle w:val="SingleTxtGA"/>
        <w:tabs>
          <w:tab w:val="clear" w:pos="2608"/>
          <w:tab w:val="clear" w:pos="3289"/>
          <w:tab w:val="clear" w:pos="3969"/>
          <w:tab w:val="clear" w:pos="4649"/>
          <w:tab w:val="clear" w:pos="5330"/>
          <w:tab w:val="left" w:pos="4598"/>
        </w:tabs>
        <w:ind w:left="4280" w:hanging="2381"/>
        <w:jc w:val="lowKashida"/>
        <w:rPr>
          <w:rFonts w:hint="cs"/>
          <w:spacing w:val="-4"/>
          <w:kern w:val="0"/>
          <w:sz w:val="20"/>
          <w:rtl/>
          <w:lang w:bidi="ar-SY"/>
        </w:rPr>
      </w:pPr>
      <w:r w:rsidRPr="006B489A">
        <w:rPr>
          <w:rFonts w:hint="cs"/>
          <w:i/>
          <w:iCs/>
          <w:spacing w:val="-4"/>
          <w:kern w:val="0"/>
          <w:sz w:val="20"/>
          <w:rtl/>
          <w:lang w:bidi="ar-SY"/>
        </w:rPr>
        <w:t>تاريخ تقديم الشكوى:</w:t>
      </w:r>
      <w:r w:rsidRPr="006B489A">
        <w:rPr>
          <w:rFonts w:hint="cs"/>
          <w:spacing w:val="-4"/>
          <w:kern w:val="0"/>
          <w:sz w:val="20"/>
          <w:rtl/>
          <w:lang w:bidi="ar-SY"/>
        </w:rPr>
        <w:tab/>
      </w:r>
      <w:r w:rsidRPr="006B489A">
        <w:rPr>
          <w:spacing w:val="-4"/>
          <w:kern w:val="0"/>
          <w:sz w:val="20"/>
          <w:rtl/>
          <w:lang w:bidi="ar-SY"/>
        </w:rPr>
        <w:t>11 تشرين الثاني/نوفمبر 2008 (تاريخ الرسالة الأولى)</w:t>
      </w:r>
    </w:p>
    <w:p w:rsidR="006B489A" w:rsidRPr="006B489A" w:rsidRDefault="006B489A" w:rsidP="006B489A">
      <w:pPr>
        <w:pStyle w:val="SingleTxtGA"/>
        <w:jc w:val="lowKashida"/>
        <w:rPr>
          <w:rFonts w:hint="cs"/>
          <w:spacing w:val="0"/>
          <w:kern w:val="0"/>
          <w:sz w:val="20"/>
          <w:szCs w:val="20"/>
          <w:rtl/>
        </w:rPr>
      </w:pPr>
      <w:r w:rsidRPr="006B489A">
        <w:rPr>
          <w:rFonts w:hint="cs"/>
          <w:i/>
          <w:iCs/>
          <w:spacing w:val="0"/>
          <w:kern w:val="0"/>
          <w:sz w:val="20"/>
          <w:rtl/>
          <w:lang w:bidi="ar-SY"/>
        </w:rPr>
        <w:tab/>
        <w:t>إن لحنة مناهضة التعذيب</w:t>
      </w:r>
      <w:r w:rsidRPr="006B489A">
        <w:rPr>
          <w:rFonts w:hint="cs"/>
          <w:spacing w:val="0"/>
          <w:kern w:val="0"/>
          <w:sz w:val="20"/>
          <w:rtl/>
          <w:lang w:bidi="ar-SY"/>
        </w:rPr>
        <w:t xml:space="preserve">، المنشأة بموجب المادة 17 من </w:t>
      </w:r>
      <w:r w:rsidRPr="006B489A">
        <w:rPr>
          <w:spacing w:val="0"/>
          <w:kern w:val="0"/>
          <w:sz w:val="20"/>
          <w:rtl/>
          <w:lang w:bidi="ar-SY"/>
        </w:rPr>
        <w:t>اتفاقية مناهضة التعذيب وغيره من ضروب المعاملة أو العقوبة القاسية أو اللاإنسانية أو المهينة</w:t>
      </w:r>
      <w:r w:rsidRPr="006B489A">
        <w:rPr>
          <w:rFonts w:hint="cs"/>
          <w:spacing w:val="0"/>
          <w:kern w:val="0"/>
          <w:sz w:val="20"/>
          <w:rtl/>
          <w:lang w:bidi="ar-SY"/>
        </w:rPr>
        <w:t>،</w:t>
      </w:r>
    </w:p>
    <w:p w:rsidR="006B489A" w:rsidRPr="006B489A" w:rsidRDefault="006B489A" w:rsidP="006B489A">
      <w:pPr>
        <w:pStyle w:val="SingleTxtGA"/>
        <w:jc w:val="lowKashida"/>
        <w:rPr>
          <w:rFonts w:hint="cs"/>
          <w:spacing w:val="0"/>
          <w:kern w:val="0"/>
          <w:sz w:val="20"/>
          <w:szCs w:val="20"/>
          <w:rtl/>
        </w:rPr>
      </w:pPr>
      <w:r w:rsidRPr="006B489A">
        <w:rPr>
          <w:rFonts w:hint="cs"/>
          <w:i/>
          <w:iCs/>
          <w:spacing w:val="0"/>
          <w:kern w:val="0"/>
          <w:sz w:val="20"/>
          <w:rtl/>
          <w:lang w:bidi="ar-SY"/>
        </w:rPr>
        <w:tab/>
        <w:t>وقد اجتمعت</w:t>
      </w:r>
      <w:r w:rsidRPr="006B489A">
        <w:rPr>
          <w:rFonts w:hint="cs"/>
          <w:spacing w:val="0"/>
          <w:kern w:val="0"/>
          <w:sz w:val="20"/>
          <w:rtl/>
          <w:lang w:bidi="ar-SY"/>
        </w:rPr>
        <w:t xml:space="preserve"> في </w:t>
      </w:r>
      <w:r w:rsidRPr="006B489A">
        <w:rPr>
          <w:spacing w:val="0"/>
          <w:kern w:val="0"/>
          <w:sz w:val="20"/>
          <w:rtl/>
          <w:lang w:bidi="ar-SY"/>
        </w:rPr>
        <w:t>21 تشرين الثاني/نوفمبر 2011</w:t>
      </w:r>
      <w:r w:rsidRPr="006B489A">
        <w:rPr>
          <w:rFonts w:hint="cs"/>
          <w:spacing w:val="0"/>
          <w:kern w:val="0"/>
          <w:sz w:val="20"/>
          <w:rtl/>
          <w:lang w:bidi="ar-SY"/>
        </w:rPr>
        <w:t>،</w:t>
      </w:r>
    </w:p>
    <w:p w:rsidR="006B489A" w:rsidRPr="006B489A" w:rsidRDefault="006B489A" w:rsidP="006B489A">
      <w:pPr>
        <w:pStyle w:val="SingleTxtGA"/>
        <w:jc w:val="lowKashida"/>
        <w:rPr>
          <w:rFonts w:hint="cs"/>
          <w:spacing w:val="0"/>
          <w:kern w:val="0"/>
          <w:sz w:val="20"/>
          <w:rtl/>
          <w:lang w:bidi="ar-SY"/>
        </w:rPr>
      </w:pPr>
      <w:r w:rsidRPr="006B489A">
        <w:rPr>
          <w:rFonts w:hint="cs"/>
          <w:i/>
          <w:iCs/>
          <w:spacing w:val="0"/>
          <w:kern w:val="0"/>
          <w:sz w:val="20"/>
          <w:rtl/>
          <w:lang w:bidi="ar-SY"/>
        </w:rPr>
        <w:tab/>
        <w:t>وقد فرغت</w:t>
      </w:r>
      <w:r w:rsidRPr="006B489A">
        <w:rPr>
          <w:rFonts w:hint="cs"/>
          <w:spacing w:val="0"/>
          <w:kern w:val="0"/>
          <w:sz w:val="20"/>
          <w:rtl/>
          <w:lang w:bidi="ar-SY"/>
        </w:rPr>
        <w:t xml:space="preserve"> من النظر في الشكوى</w:t>
      </w:r>
      <w:r w:rsidRPr="006B489A">
        <w:rPr>
          <w:spacing w:val="0"/>
          <w:kern w:val="0"/>
          <w:sz w:val="20"/>
          <w:rtl/>
          <w:lang w:bidi="ar-SY"/>
        </w:rPr>
        <w:t xml:space="preserve"> رقم 374/2009، المقدم</w:t>
      </w:r>
      <w:r w:rsidRPr="006B489A">
        <w:rPr>
          <w:rFonts w:hint="cs"/>
          <w:spacing w:val="0"/>
          <w:kern w:val="0"/>
          <w:sz w:val="20"/>
          <w:rtl/>
          <w:lang w:bidi="ar-SY"/>
        </w:rPr>
        <w:t>ة</w:t>
      </w:r>
      <w:r w:rsidRPr="006B489A">
        <w:rPr>
          <w:spacing w:val="0"/>
          <w:kern w:val="0"/>
          <w:sz w:val="20"/>
          <w:rtl/>
          <w:lang w:bidi="ar-SY"/>
        </w:rPr>
        <w:t xml:space="preserve"> إلى لجنة مناهضة التعذيب من س. م. و</w:t>
      </w:r>
      <w:r w:rsidRPr="006B489A">
        <w:rPr>
          <w:rFonts w:hint="cs"/>
          <w:spacing w:val="0"/>
          <w:kern w:val="0"/>
          <w:sz w:val="20"/>
          <w:rtl/>
          <w:lang w:bidi="ar-SY"/>
        </w:rPr>
        <w:t>ﻫ</w:t>
      </w:r>
      <w:r w:rsidRPr="006B489A">
        <w:rPr>
          <w:spacing w:val="0"/>
          <w:kern w:val="0"/>
          <w:sz w:val="20"/>
          <w:rtl/>
          <w:lang w:bidi="ar-SY"/>
        </w:rPr>
        <w:t>. م. وأ. م. بموجب المادة 22 من اتفاقية</w:t>
      </w:r>
      <w:r w:rsidRPr="006B489A">
        <w:rPr>
          <w:rFonts w:hint="cs"/>
          <w:spacing w:val="0"/>
          <w:kern w:val="0"/>
          <w:sz w:val="20"/>
          <w:rtl/>
          <w:lang w:bidi="ar-SY"/>
        </w:rPr>
        <w:t xml:space="preserve"> </w:t>
      </w:r>
      <w:r w:rsidRPr="006B489A">
        <w:rPr>
          <w:spacing w:val="0"/>
          <w:kern w:val="0"/>
          <w:sz w:val="20"/>
          <w:rtl/>
          <w:lang w:bidi="ar-SY"/>
        </w:rPr>
        <w:t>مناهضة التعذيب وغيره من ضروب المعاملة أو العقوبة القاسية أو اللاإنسانية أو المهينة</w:t>
      </w:r>
      <w:r w:rsidRPr="006B489A">
        <w:rPr>
          <w:rFonts w:hint="cs"/>
          <w:spacing w:val="0"/>
          <w:kern w:val="0"/>
          <w:sz w:val="20"/>
          <w:rtl/>
          <w:lang w:bidi="ar-SY"/>
        </w:rPr>
        <w:t>،</w:t>
      </w:r>
    </w:p>
    <w:p w:rsidR="006B489A" w:rsidRPr="006B489A" w:rsidRDefault="006B489A" w:rsidP="006B489A">
      <w:pPr>
        <w:pStyle w:val="SingleTxtGA"/>
        <w:jc w:val="lowKashida"/>
        <w:rPr>
          <w:rFonts w:hint="cs"/>
          <w:spacing w:val="0"/>
          <w:kern w:val="0"/>
          <w:sz w:val="20"/>
          <w:szCs w:val="20"/>
          <w:rtl/>
        </w:rPr>
      </w:pPr>
      <w:r w:rsidRPr="006B489A">
        <w:rPr>
          <w:rFonts w:hint="cs"/>
          <w:i/>
          <w:iCs/>
          <w:spacing w:val="0"/>
          <w:kern w:val="0"/>
          <w:sz w:val="20"/>
          <w:rtl/>
          <w:lang w:bidi="ar-SY"/>
        </w:rPr>
        <w:tab/>
        <w:t>وقد وضعت في اعتبارها</w:t>
      </w:r>
      <w:r w:rsidRPr="006B489A">
        <w:rPr>
          <w:rFonts w:hint="cs"/>
          <w:spacing w:val="0"/>
          <w:kern w:val="0"/>
          <w:sz w:val="20"/>
          <w:rtl/>
          <w:lang w:bidi="ar-SY"/>
        </w:rPr>
        <w:t xml:space="preserve"> جميع المعلومات التي أتاحها لها أصحاب البلاغ ومحاميتهم والدولة الطرف،</w:t>
      </w:r>
    </w:p>
    <w:p w:rsidR="006B489A" w:rsidRPr="006B489A" w:rsidRDefault="006B489A" w:rsidP="006B489A">
      <w:pPr>
        <w:pStyle w:val="SingleTxtGA"/>
        <w:jc w:val="lowKashida"/>
        <w:rPr>
          <w:rFonts w:hint="cs"/>
          <w:i/>
          <w:iCs/>
          <w:spacing w:val="0"/>
          <w:kern w:val="0"/>
          <w:sz w:val="20"/>
          <w:rtl/>
        </w:rPr>
      </w:pPr>
      <w:r w:rsidRPr="006B489A">
        <w:rPr>
          <w:rFonts w:hint="cs"/>
          <w:i/>
          <w:iCs/>
          <w:spacing w:val="0"/>
          <w:kern w:val="0"/>
          <w:sz w:val="20"/>
          <w:rtl/>
          <w:lang w:bidi="ar-SY"/>
        </w:rPr>
        <w:tab/>
        <w:t xml:space="preserve">تعتمد </w:t>
      </w:r>
      <w:r w:rsidRPr="006B489A">
        <w:rPr>
          <w:rFonts w:hint="cs"/>
          <w:spacing w:val="0"/>
          <w:kern w:val="0"/>
          <w:sz w:val="20"/>
          <w:rtl/>
          <w:lang w:bidi="ar-SY"/>
        </w:rPr>
        <w:t>ما يلي</w:t>
      </w:r>
      <w:r w:rsidRPr="006B489A">
        <w:rPr>
          <w:rFonts w:hint="cs"/>
          <w:spacing w:val="0"/>
          <w:kern w:val="0"/>
          <w:sz w:val="20"/>
          <w:rtl/>
        </w:rPr>
        <w:t>:</w:t>
      </w:r>
    </w:p>
    <w:p w:rsidR="006B489A" w:rsidRPr="006B489A" w:rsidRDefault="006B489A" w:rsidP="006B489A">
      <w:pPr>
        <w:pStyle w:val="H1GA"/>
        <w:jc w:val="lowKashida"/>
        <w:rPr>
          <w:rFonts w:hint="cs"/>
          <w:spacing w:val="0"/>
          <w:kern w:val="0"/>
          <w:sz w:val="20"/>
          <w:rtl/>
        </w:rPr>
      </w:pPr>
      <w:r w:rsidRPr="006B489A">
        <w:rPr>
          <w:rFonts w:hint="cs"/>
          <w:spacing w:val="0"/>
          <w:kern w:val="0"/>
          <w:sz w:val="20"/>
          <w:rtl/>
        </w:rPr>
        <w:tab/>
      </w:r>
      <w:r w:rsidRPr="006B489A">
        <w:rPr>
          <w:rFonts w:hint="cs"/>
          <w:spacing w:val="0"/>
          <w:kern w:val="0"/>
          <w:sz w:val="20"/>
          <w:rtl/>
        </w:rPr>
        <w:tab/>
      </w:r>
      <w:r w:rsidRPr="006B489A">
        <w:rPr>
          <w:spacing w:val="0"/>
          <w:kern w:val="0"/>
          <w:sz w:val="20"/>
          <w:rtl/>
        </w:rPr>
        <w:t>قرار بموجب الفقرة 7 من المادة 22 من اتفاقية مناهضة التعذيب</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1-</w:t>
      </w:r>
      <w:r w:rsidRPr="006B489A">
        <w:rPr>
          <w:spacing w:val="0"/>
          <w:kern w:val="0"/>
          <w:sz w:val="20"/>
          <w:rtl/>
          <w:lang w:val="en-CA"/>
        </w:rPr>
        <w:tab/>
      </w:r>
      <w:r w:rsidRPr="006B489A">
        <w:rPr>
          <w:rFonts w:hint="cs"/>
          <w:spacing w:val="0"/>
          <w:kern w:val="0"/>
          <w:sz w:val="20"/>
          <w:rtl/>
          <w:lang w:val="en-CA"/>
        </w:rPr>
        <w:t>أصحاب</w:t>
      </w:r>
      <w:r w:rsidRPr="006B489A">
        <w:rPr>
          <w:spacing w:val="0"/>
          <w:kern w:val="0"/>
          <w:sz w:val="20"/>
          <w:rtl/>
          <w:lang w:val="en-CA"/>
        </w:rPr>
        <w:t xml:space="preserve"> </w:t>
      </w:r>
      <w:r w:rsidRPr="006B489A">
        <w:rPr>
          <w:rFonts w:hint="cs"/>
          <w:spacing w:val="0"/>
          <w:kern w:val="0"/>
          <w:sz w:val="20"/>
          <w:rtl/>
          <w:lang w:val="en-CA"/>
        </w:rPr>
        <w:t>البلاغ</w:t>
      </w:r>
      <w:r w:rsidRPr="006B489A">
        <w:rPr>
          <w:spacing w:val="0"/>
          <w:kern w:val="0"/>
          <w:sz w:val="20"/>
          <w:rtl/>
          <w:lang w:val="en-CA"/>
        </w:rPr>
        <w:t xml:space="preserve"> المؤرخ 11 تشرين الثاني/نوفمبر 2008 و</w:t>
      </w:r>
      <w:r w:rsidRPr="006B489A">
        <w:rPr>
          <w:rFonts w:hint="cs"/>
          <w:spacing w:val="0"/>
          <w:kern w:val="0"/>
          <w:sz w:val="20"/>
          <w:rtl/>
          <w:lang w:val="en-CA"/>
        </w:rPr>
        <w:t xml:space="preserve">9 </w:t>
      </w:r>
      <w:r w:rsidRPr="006B489A">
        <w:rPr>
          <w:spacing w:val="0"/>
          <w:kern w:val="0"/>
          <w:sz w:val="20"/>
          <w:rtl/>
          <w:lang w:val="en-CA"/>
        </w:rPr>
        <w:t>شباط/فبراير 2009 هم السيد س.</w:t>
      </w:r>
      <w:r w:rsidRPr="006B489A">
        <w:rPr>
          <w:rFonts w:hint="cs"/>
          <w:spacing w:val="0"/>
          <w:kern w:val="0"/>
          <w:sz w:val="20"/>
          <w:rtl/>
          <w:lang w:val="en-CA"/>
        </w:rPr>
        <w:t xml:space="preserve"> </w:t>
      </w:r>
      <w:r w:rsidRPr="006B489A">
        <w:rPr>
          <w:spacing w:val="0"/>
          <w:kern w:val="0"/>
          <w:sz w:val="20"/>
          <w:rtl/>
          <w:lang w:val="en-CA"/>
        </w:rPr>
        <w:t>م</w:t>
      </w:r>
      <w:r w:rsidRPr="006B489A">
        <w:rPr>
          <w:rFonts w:hint="cs"/>
          <w:spacing w:val="0"/>
          <w:kern w:val="0"/>
          <w:sz w:val="20"/>
          <w:rtl/>
          <w:lang w:val="en-CA"/>
        </w:rPr>
        <w:t>.</w:t>
      </w:r>
      <w:r w:rsidRPr="006B489A">
        <w:rPr>
          <w:spacing w:val="0"/>
          <w:kern w:val="0"/>
          <w:sz w:val="20"/>
          <w:rtl/>
          <w:lang w:val="en-CA"/>
        </w:rPr>
        <w:t xml:space="preserve"> (من مواليد عام 1950) والسيدة </w:t>
      </w:r>
      <w:r w:rsidRPr="006B489A">
        <w:rPr>
          <w:rFonts w:hint="cs"/>
          <w:spacing w:val="0"/>
          <w:kern w:val="0"/>
          <w:sz w:val="20"/>
          <w:rtl/>
          <w:lang w:val="en-CA"/>
        </w:rPr>
        <w:t>ﻫ. م.</w:t>
      </w:r>
      <w:r w:rsidRPr="006B489A">
        <w:rPr>
          <w:spacing w:val="0"/>
          <w:kern w:val="0"/>
          <w:sz w:val="20"/>
          <w:rtl/>
          <w:lang w:val="en-CA"/>
        </w:rPr>
        <w:t xml:space="preserve"> (من مواليد عام 1955). ويقدم البلاغ أيضا</w:t>
      </w:r>
      <w:r w:rsidRPr="006B489A">
        <w:rPr>
          <w:rFonts w:hint="cs"/>
          <w:spacing w:val="0"/>
          <w:kern w:val="0"/>
          <w:sz w:val="20"/>
          <w:rtl/>
          <w:lang w:val="en-CA"/>
        </w:rPr>
        <w:t>ً</w:t>
      </w:r>
      <w:r w:rsidRPr="006B489A">
        <w:rPr>
          <w:spacing w:val="0"/>
          <w:kern w:val="0"/>
          <w:sz w:val="20"/>
          <w:rtl/>
          <w:lang w:val="en-CA"/>
        </w:rPr>
        <w:t xml:space="preserve"> باسم ابنتهما أ. م. (من مواليد</w:t>
      </w:r>
      <w:r w:rsidRPr="006B489A">
        <w:rPr>
          <w:rFonts w:hint="cs"/>
          <w:spacing w:val="0"/>
          <w:kern w:val="0"/>
          <w:sz w:val="20"/>
          <w:rtl/>
          <w:lang w:val="en-CA"/>
        </w:rPr>
        <w:t xml:space="preserve"> عام</w:t>
      </w:r>
      <w:r w:rsidRPr="006B489A">
        <w:rPr>
          <w:spacing w:val="0"/>
          <w:kern w:val="0"/>
          <w:sz w:val="20"/>
          <w:rtl/>
          <w:lang w:val="en-CA"/>
        </w:rPr>
        <w:t xml:space="preserve"> 1992). </w:t>
      </w:r>
      <w:r w:rsidRPr="006B489A">
        <w:rPr>
          <w:rFonts w:hint="cs"/>
          <w:spacing w:val="0"/>
          <w:kern w:val="0"/>
          <w:sz w:val="20"/>
          <w:rtl/>
          <w:lang w:val="en-CA"/>
        </w:rPr>
        <w:t>ويدعي أصحاب البلاغ</w:t>
      </w:r>
      <w:r w:rsidRPr="006B489A">
        <w:rPr>
          <w:spacing w:val="0"/>
          <w:kern w:val="0"/>
          <w:sz w:val="20"/>
          <w:rtl/>
          <w:lang w:val="en-CA"/>
        </w:rPr>
        <w:t xml:space="preserve"> أن ترحيلهم</w:t>
      </w:r>
      <w:r w:rsidRPr="006B489A">
        <w:rPr>
          <w:rFonts w:hint="cs"/>
          <w:spacing w:val="0"/>
          <w:kern w:val="0"/>
          <w:sz w:val="20"/>
          <w:rtl/>
          <w:lang w:val="en-CA"/>
        </w:rPr>
        <w:t xml:space="preserve"> إلى أذربيجان</w:t>
      </w:r>
      <w:r w:rsidRPr="006B489A">
        <w:rPr>
          <w:spacing w:val="0"/>
          <w:kern w:val="0"/>
          <w:sz w:val="20"/>
          <w:rtl/>
          <w:lang w:val="en-CA"/>
        </w:rPr>
        <w:t xml:space="preserve"> </w:t>
      </w:r>
      <w:r w:rsidRPr="006B489A">
        <w:rPr>
          <w:rFonts w:hint="cs"/>
          <w:spacing w:val="0"/>
          <w:kern w:val="0"/>
          <w:sz w:val="20"/>
          <w:rtl/>
          <w:lang w:val="en-CA"/>
        </w:rPr>
        <w:t>سيشكل</w:t>
      </w:r>
      <w:r w:rsidRPr="006B489A">
        <w:rPr>
          <w:spacing w:val="0"/>
          <w:kern w:val="0"/>
          <w:sz w:val="20"/>
          <w:rtl/>
          <w:lang w:val="en-CA"/>
        </w:rPr>
        <w:t xml:space="preserve"> انتهاكاً من </w:t>
      </w:r>
      <w:r w:rsidRPr="006B489A">
        <w:rPr>
          <w:rFonts w:hint="cs"/>
          <w:spacing w:val="0"/>
          <w:kern w:val="0"/>
          <w:sz w:val="20"/>
          <w:rtl/>
          <w:lang w:val="en-CA"/>
        </w:rPr>
        <w:t>جانب</w:t>
      </w:r>
      <w:r w:rsidRPr="006B489A">
        <w:rPr>
          <w:spacing w:val="0"/>
          <w:kern w:val="0"/>
          <w:sz w:val="20"/>
          <w:rtl/>
          <w:lang w:val="en-CA"/>
        </w:rPr>
        <w:t xml:space="preserve"> السويد للماد</w:t>
      </w:r>
      <w:r w:rsidRPr="006B489A">
        <w:rPr>
          <w:rFonts w:hint="eastAsia"/>
          <w:spacing w:val="0"/>
          <w:kern w:val="0"/>
          <w:sz w:val="20"/>
          <w:rtl/>
          <w:lang w:val="en-CA"/>
        </w:rPr>
        <w:t>ة</w:t>
      </w:r>
      <w:r w:rsidRPr="006B489A">
        <w:rPr>
          <w:spacing w:val="0"/>
          <w:kern w:val="0"/>
          <w:sz w:val="20"/>
          <w:rtl/>
          <w:lang w:val="en-CA"/>
        </w:rPr>
        <w:t xml:space="preserve"> 3 من الاتفاقية.</w:t>
      </w:r>
      <w:r w:rsidRPr="006B489A">
        <w:rPr>
          <w:rFonts w:hint="cs"/>
          <w:spacing w:val="0"/>
          <w:kern w:val="0"/>
          <w:sz w:val="20"/>
          <w:rtl/>
          <w:lang w:val="en-CA"/>
        </w:rPr>
        <w:t xml:space="preserve"> </w:t>
      </w:r>
      <w:r w:rsidRPr="006B489A">
        <w:rPr>
          <w:rFonts w:hint="eastAsia"/>
          <w:spacing w:val="0"/>
          <w:kern w:val="0"/>
          <w:sz w:val="20"/>
          <w:rtl/>
          <w:lang w:val="en-CA"/>
        </w:rPr>
        <w:t>و</w:t>
      </w:r>
      <w:r w:rsidRPr="006B489A">
        <w:rPr>
          <w:rFonts w:hint="cs"/>
          <w:spacing w:val="0"/>
          <w:kern w:val="0"/>
          <w:sz w:val="20"/>
          <w:rtl/>
          <w:lang w:val="en-CA"/>
        </w:rPr>
        <w:t>ت</w:t>
      </w:r>
      <w:r w:rsidRPr="006B489A">
        <w:rPr>
          <w:rFonts w:hint="eastAsia"/>
          <w:spacing w:val="0"/>
          <w:kern w:val="0"/>
          <w:sz w:val="20"/>
          <w:rtl/>
          <w:lang w:val="en-CA"/>
        </w:rPr>
        <w:t>مثل</w:t>
      </w:r>
      <w:r w:rsidRPr="006B489A">
        <w:rPr>
          <w:spacing w:val="0"/>
          <w:kern w:val="0"/>
          <w:sz w:val="20"/>
          <w:rtl/>
          <w:lang w:val="en-CA"/>
        </w:rPr>
        <w:t xml:space="preserve"> </w:t>
      </w:r>
      <w:r w:rsidRPr="006B489A">
        <w:rPr>
          <w:rFonts w:hint="cs"/>
          <w:spacing w:val="0"/>
          <w:kern w:val="0"/>
          <w:sz w:val="20"/>
          <w:rtl/>
          <w:lang w:val="en-CA"/>
        </w:rPr>
        <w:t>أصحاب</w:t>
      </w:r>
      <w:r w:rsidRPr="006B489A">
        <w:rPr>
          <w:spacing w:val="0"/>
          <w:kern w:val="0"/>
          <w:sz w:val="20"/>
          <w:rtl/>
          <w:lang w:val="en-CA"/>
        </w:rPr>
        <w:t xml:space="preserve"> الشكوى المحامية سانا فستن.</w:t>
      </w:r>
    </w:p>
    <w:p w:rsidR="006B489A" w:rsidRPr="006B489A" w:rsidRDefault="006B489A" w:rsidP="006B489A">
      <w:pPr>
        <w:pStyle w:val="H23GA"/>
        <w:keepNext/>
        <w:ind w:firstLine="28"/>
        <w:jc w:val="lowKashida"/>
        <w:rPr>
          <w:spacing w:val="0"/>
          <w:kern w:val="0"/>
          <w:sz w:val="20"/>
          <w:rtl/>
        </w:rPr>
      </w:pPr>
      <w:r w:rsidRPr="006B489A">
        <w:rPr>
          <w:rFonts w:hint="eastAsia"/>
          <w:spacing w:val="0"/>
          <w:kern w:val="0"/>
          <w:sz w:val="20"/>
          <w:rtl/>
        </w:rPr>
        <w:t>الوقائع</w:t>
      </w:r>
      <w:r w:rsidRPr="006B489A">
        <w:rPr>
          <w:spacing w:val="0"/>
          <w:kern w:val="0"/>
          <w:sz w:val="20"/>
          <w:rtl/>
        </w:rPr>
        <w:t xml:space="preserve"> كما عرضها </w:t>
      </w:r>
      <w:r w:rsidRPr="006B489A">
        <w:rPr>
          <w:rFonts w:hint="cs"/>
          <w:spacing w:val="0"/>
          <w:kern w:val="0"/>
          <w:sz w:val="20"/>
          <w:rtl/>
        </w:rPr>
        <w:t>أصحاب</w:t>
      </w:r>
      <w:r w:rsidRPr="006B489A">
        <w:rPr>
          <w:spacing w:val="0"/>
          <w:kern w:val="0"/>
          <w:sz w:val="20"/>
          <w:rtl/>
        </w:rPr>
        <w:t xml:space="preserve"> الشكوى</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2-1</w:t>
      </w:r>
      <w:r w:rsidRPr="006B489A">
        <w:rPr>
          <w:spacing w:val="0"/>
          <w:kern w:val="0"/>
          <w:sz w:val="20"/>
          <w:rtl/>
          <w:lang w:val="en-CA"/>
        </w:rPr>
        <w:tab/>
      </w:r>
      <w:r w:rsidRPr="006B489A">
        <w:rPr>
          <w:rFonts w:hint="cs"/>
          <w:spacing w:val="0"/>
          <w:kern w:val="0"/>
          <w:sz w:val="20"/>
          <w:rtl/>
          <w:lang w:val="en-CA"/>
        </w:rPr>
        <w:t>ينحدر أصحاب</w:t>
      </w:r>
      <w:r w:rsidRPr="006B489A">
        <w:rPr>
          <w:spacing w:val="0"/>
          <w:kern w:val="0"/>
          <w:sz w:val="20"/>
          <w:rtl/>
          <w:lang w:val="en-CA"/>
        </w:rPr>
        <w:t xml:space="preserve"> الشكوى من إقليم ناغورنو</w:t>
      </w:r>
      <w:r w:rsidRPr="006B489A">
        <w:rPr>
          <w:rFonts w:hint="cs"/>
          <w:spacing w:val="0"/>
          <w:kern w:val="0"/>
          <w:sz w:val="20"/>
          <w:rtl/>
          <w:lang w:val="en-CA"/>
        </w:rPr>
        <w:t xml:space="preserve"> - </w:t>
      </w:r>
      <w:r w:rsidRPr="006B489A">
        <w:rPr>
          <w:spacing w:val="0"/>
          <w:kern w:val="0"/>
          <w:sz w:val="20"/>
          <w:rtl/>
          <w:lang w:val="en-CA"/>
        </w:rPr>
        <w:t>كاراباخ.</w:t>
      </w:r>
      <w:r w:rsidRPr="006B489A">
        <w:rPr>
          <w:rFonts w:hint="cs"/>
          <w:spacing w:val="0"/>
          <w:kern w:val="0"/>
          <w:sz w:val="20"/>
          <w:rtl/>
          <w:lang w:val="en-CA"/>
        </w:rPr>
        <w:t xml:space="preserve"> وأصبحوا في عام 1988 </w:t>
      </w:r>
      <w:r w:rsidRPr="006B489A">
        <w:rPr>
          <w:spacing w:val="0"/>
          <w:kern w:val="0"/>
          <w:sz w:val="20"/>
          <w:rtl/>
          <w:lang w:val="en-CA"/>
        </w:rPr>
        <w:t xml:space="preserve">من الأشخاص المشردين داخلياً </w:t>
      </w:r>
      <w:r w:rsidRPr="006B489A">
        <w:rPr>
          <w:rFonts w:hint="cs"/>
          <w:spacing w:val="0"/>
          <w:kern w:val="0"/>
          <w:sz w:val="20"/>
          <w:rtl/>
          <w:lang w:val="en-CA"/>
        </w:rPr>
        <w:t>وأقاموا</w:t>
      </w:r>
      <w:r w:rsidRPr="006B489A">
        <w:rPr>
          <w:spacing w:val="0"/>
          <w:kern w:val="0"/>
          <w:sz w:val="20"/>
          <w:rtl/>
          <w:lang w:val="en-CA"/>
        </w:rPr>
        <w:t xml:space="preserve"> بالقرب من باكو. </w:t>
      </w:r>
      <w:r w:rsidRPr="006B489A">
        <w:rPr>
          <w:rFonts w:hint="cs"/>
          <w:spacing w:val="0"/>
          <w:kern w:val="0"/>
          <w:sz w:val="20"/>
          <w:rtl/>
          <w:lang w:val="en-CA"/>
        </w:rPr>
        <w:t>و</w:t>
      </w:r>
      <w:r w:rsidRPr="006B489A">
        <w:rPr>
          <w:spacing w:val="0"/>
          <w:kern w:val="0"/>
          <w:sz w:val="20"/>
          <w:rtl/>
          <w:lang w:val="en-CA"/>
        </w:rPr>
        <w:t xml:space="preserve">س. م. </w:t>
      </w:r>
      <w:r w:rsidRPr="006B489A">
        <w:rPr>
          <w:rFonts w:hint="cs"/>
          <w:spacing w:val="0"/>
          <w:kern w:val="0"/>
          <w:sz w:val="20"/>
          <w:rtl/>
          <w:lang w:val="en-CA"/>
        </w:rPr>
        <w:t>أرمني مسيحي</w:t>
      </w:r>
      <w:r w:rsidRPr="006B489A">
        <w:rPr>
          <w:spacing w:val="0"/>
          <w:kern w:val="0"/>
          <w:sz w:val="20"/>
          <w:rtl/>
          <w:lang w:val="en-CA"/>
        </w:rPr>
        <w:t xml:space="preserve"> من ناحية الأم؛ </w:t>
      </w:r>
      <w:r w:rsidRPr="006B489A">
        <w:rPr>
          <w:rFonts w:hint="cs"/>
          <w:spacing w:val="0"/>
          <w:kern w:val="0"/>
          <w:sz w:val="20"/>
          <w:rtl/>
          <w:lang w:val="en-CA"/>
        </w:rPr>
        <w:t>وهو يشبه عامة</w:t>
      </w:r>
      <w:r w:rsidRPr="006B489A">
        <w:rPr>
          <w:spacing w:val="0"/>
          <w:kern w:val="0"/>
          <w:sz w:val="20"/>
          <w:rtl/>
          <w:lang w:val="en-CA"/>
        </w:rPr>
        <w:t xml:space="preserve"> الأرمن ويتحدث </w:t>
      </w:r>
      <w:r w:rsidRPr="006B489A">
        <w:rPr>
          <w:rFonts w:hint="cs"/>
          <w:spacing w:val="0"/>
          <w:kern w:val="0"/>
          <w:sz w:val="20"/>
          <w:rtl/>
          <w:lang w:val="en-CA"/>
        </w:rPr>
        <w:t>بلهجتهم</w:t>
      </w:r>
      <w:r w:rsidRPr="006B489A">
        <w:rPr>
          <w:spacing w:val="0"/>
          <w:kern w:val="0"/>
          <w:sz w:val="20"/>
          <w:rtl/>
          <w:lang w:val="en-CA"/>
        </w:rPr>
        <w:t xml:space="preserve">. وقد أدى ذلك إلى </w:t>
      </w:r>
      <w:r w:rsidRPr="006B489A">
        <w:rPr>
          <w:rFonts w:hint="cs"/>
          <w:spacing w:val="0"/>
          <w:kern w:val="0"/>
          <w:sz w:val="20"/>
          <w:rtl/>
          <w:lang w:val="en-CA"/>
        </w:rPr>
        <w:t>تعرض</w:t>
      </w:r>
      <w:r w:rsidRPr="006B489A">
        <w:rPr>
          <w:spacing w:val="0"/>
          <w:kern w:val="0"/>
          <w:sz w:val="20"/>
          <w:rtl/>
          <w:lang w:val="en-CA"/>
        </w:rPr>
        <w:t xml:space="preserve"> الأسرة بأكملها </w:t>
      </w:r>
      <w:r w:rsidRPr="006B489A">
        <w:rPr>
          <w:rFonts w:hint="cs"/>
          <w:spacing w:val="0"/>
          <w:kern w:val="0"/>
          <w:sz w:val="20"/>
          <w:rtl/>
          <w:lang w:val="en-CA"/>
        </w:rPr>
        <w:t xml:space="preserve">لاضطهاد </w:t>
      </w:r>
      <w:r w:rsidRPr="006B489A">
        <w:rPr>
          <w:spacing w:val="0"/>
          <w:kern w:val="0"/>
          <w:sz w:val="20"/>
          <w:rtl/>
          <w:lang w:val="en-CA"/>
        </w:rPr>
        <w:t xml:space="preserve">بدافع إثني في أذربيجان. ويدعي س. م. </w:t>
      </w:r>
      <w:r w:rsidRPr="006B489A">
        <w:rPr>
          <w:rFonts w:hint="cs"/>
          <w:spacing w:val="0"/>
          <w:kern w:val="0"/>
          <w:sz w:val="20"/>
          <w:rtl/>
          <w:lang w:val="en-CA"/>
        </w:rPr>
        <w:t>أ</w:t>
      </w:r>
      <w:r w:rsidRPr="006B489A">
        <w:rPr>
          <w:spacing w:val="0"/>
          <w:kern w:val="0"/>
          <w:sz w:val="20"/>
          <w:rtl/>
          <w:lang w:val="en-CA"/>
        </w:rPr>
        <w:t xml:space="preserve">ن إحدى </w:t>
      </w:r>
      <w:r w:rsidRPr="006B489A">
        <w:rPr>
          <w:rFonts w:hint="cs"/>
          <w:spacing w:val="0"/>
          <w:kern w:val="0"/>
          <w:sz w:val="20"/>
          <w:rtl/>
          <w:lang w:val="en-CA"/>
        </w:rPr>
        <w:t>شقيقاته</w:t>
      </w:r>
      <w:r w:rsidRPr="006B489A">
        <w:rPr>
          <w:spacing w:val="0"/>
          <w:kern w:val="0"/>
          <w:sz w:val="20"/>
          <w:rtl/>
          <w:lang w:val="en-CA"/>
        </w:rPr>
        <w:t xml:space="preserve"> انتحرت بعد أن تعرضت للاغتصاب أمامه. لذلك</w:t>
      </w:r>
      <w:r w:rsidRPr="006B489A">
        <w:rPr>
          <w:rFonts w:hint="cs"/>
          <w:spacing w:val="0"/>
          <w:kern w:val="0"/>
          <w:sz w:val="20"/>
          <w:rtl/>
          <w:lang w:val="en-CA"/>
        </w:rPr>
        <w:t>،</w:t>
      </w:r>
      <w:r w:rsidRPr="006B489A">
        <w:rPr>
          <w:spacing w:val="0"/>
          <w:kern w:val="0"/>
          <w:sz w:val="20"/>
          <w:rtl/>
          <w:lang w:val="en-CA"/>
        </w:rPr>
        <w:t xml:space="preserve"> </w:t>
      </w:r>
      <w:r w:rsidRPr="006B489A">
        <w:rPr>
          <w:rFonts w:hint="cs"/>
          <w:spacing w:val="0"/>
          <w:kern w:val="0"/>
          <w:sz w:val="20"/>
          <w:rtl/>
          <w:lang w:val="en-CA"/>
        </w:rPr>
        <w:t xml:space="preserve">ومن أجل أن يخفض خطر الاضطهاد، </w:t>
      </w:r>
      <w:r w:rsidRPr="006B489A">
        <w:rPr>
          <w:spacing w:val="0"/>
          <w:kern w:val="0"/>
          <w:sz w:val="20"/>
          <w:rtl/>
          <w:lang w:val="en-CA"/>
        </w:rPr>
        <w:t>قرر أن يترك زوجته وابنته في أذربيجان وأن يبحث عن عمل خارج البلد في موسكو</w:t>
      </w:r>
      <w:r w:rsidRPr="006B489A">
        <w:rPr>
          <w:rFonts w:hint="cs"/>
          <w:spacing w:val="0"/>
          <w:kern w:val="0"/>
          <w:sz w:val="20"/>
          <w:rtl/>
          <w:lang w:val="en-CA"/>
        </w:rPr>
        <w:t>،</w:t>
      </w:r>
      <w:r w:rsidRPr="006B489A">
        <w:rPr>
          <w:spacing w:val="0"/>
          <w:kern w:val="0"/>
          <w:sz w:val="20"/>
          <w:rtl/>
          <w:lang w:val="en-CA"/>
        </w:rPr>
        <w:t xml:space="preserve"> وزيا</w:t>
      </w:r>
      <w:r w:rsidRPr="006B489A">
        <w:rPr>
          <w:rFonts w:hint="cs"/>
          <w:spacing w:val="0"/>
          <w:kern w:val="0"/>
          <w:sz w:val="20"/>
          <w:rtl/>
          <w:lang w:val="en-CA"/>
        </w:rPr>
        <w:t>ر</w:t>
      </w:r>
      <w:r w:rsidRPr="006B489A">
        <w:rPr>
          <w:spacing w:val="0"/>
          <w:kern w:val="0"/>
          <w:sz w:val="20"/>
          <w:rtl/>
          <w:lang w:val="en-CA"/>
        </w:rPr>
        <w:t>تهما من حين إلى آخر</w:t>
      </w:r>
      <w:r w:rsidRPr="006B489A">
        <w:rPr>
          <w:rFonts w:hint="cs"/>
          <w:spacing w:val="0"/>
          <w:kern w:val="0"/>
          <w:sz w:val="20"/>
          <w:rtl/>
          <w:lang w:val="en-CA"/>
        </w:rPr>
        <w:t xml:space="preserve"> فقط</w:t>
      </w:r>
      <w:r w:rsidRPr="006B489A">
        <w:rPr>
          <w:spacing w:val="0"/>
          <w:kern w:val="0"/>
          <w:sz w:val="20"/>
          <w:rtl/>
          <w:lang w:val="en-CA"/>
        </w:rPr>
        <w:t xml:space="preserve">. وعلى الرغم من ذلك، لم </w:t>
      </w:r>
      <w:r w:rsidRPr="006B489A">
        <w:rPr>
          <w:rFonts w:hint="cs"/>
          <w:spacing w:val="0"/>
          <w:kern w:val="0"/>
          <w:sz w:val="20"/>
          <w:rtl/>
          <w:lang w:val="en-CA"/>
        </w:rPr>
        <w:t>ي</w:t>
      </w:r>
      <w:r w:rsidRPr="006B489A">
        <w:rPr>
          <w:spacing w:val="0"/>
          <w:kern w:val="0"/>
          <w:sz w:val="20"/>
          <w:rtl/>
          <w:lang w:val="en-CA"/>
        </w:rPr>
        <w:t xml:space="preserve">توقف </w:t>
      </w:r>
      <w:r w:rsidRPr="006B489A">
        <w:rPr>
          <w:rFonts w:hint="cs"/>
          <w:spacing w:val="0"/>
          <w:kern w:val="0"/>
          <w:sz w:val="20"/>
          <w:rtl/>
          <w:lang w:val="en-CA"/>
        </w:rPr>
        <w:t>الاضطهاد</w:t>
      </w:r>
      <w:r w:rsidRPr="006B489A">
        <w:rPr>
          <w:spacing w:val="0"/>
          <w:kern w:val="0"/>
          <w:sz w:val="20"/>
          <w:rtl/>
          <w:lang w:val="en-CA"/>
        </w:rPr>
        <w:t xml:space="preserve">؛ </w:t>
      </w:r>
      <w:r w:rsidRPr="006B489A">
        <w:rPr>
          <w:rFonts w:hint="cs"/>
          <w:spacing w:val="0"/>
          <w:kern w:val="0"/>
          <w:sz w:val="20"/>
          <w:rtl/>
          <w:lang w:val="en-CA"/>
        </w:rPr>
        <w:t xml:space="preserve">حيث </w:t>
      </w:r>
      <w:r w:rsidRPr="006B489A">
        <w:rPr>
          <w:spacing w:val="0"/>
          <w:kern w:val="0"/>
          <w:sz w:val="20"/>
          <w:rtl/>
          <w:lang w:val="en-CA"/>
        </w:rPr>
        <w:t xml:space="preserve">تعرضت زوجته للضرب </w:t>
      </w:r>
      <w:r w:rsidRPr="006B489A">
        <w:rPr>
          <w:rFonts w:hint="cs"/>
          <w:spacing w:val="0"/>
          <w:kern w:val="0"/>
          <w:sz w:val="20"/>
          <w:rtl/>
          <w:lang w:val="en-CA"/>
        </w:rPr>
        <w:t xml:space="preserve">على أيدي جيرانهما، </w:t>
      </w:r>
      <w:r w:rsidRPr="006B489A">
        <w:rPr>
          <w:spacing w:val="0"/>
          <w:kern w:val="0"/>
          <w:sz w:val="20"/>
          <w:rtl/>
          <w:lang w:val="en-CA"/>
        </w:rPr>
        <w:t xml:space="preserve">مما أدى إلى كسر ساقها؛ </w:t>
      </w:r>
      <w:r w:rsidRPr="006B489A">
        <w:rPr>
          <w:rFonts w:hint="cs"/>
          <w:spacing w:val="0"/>
          <w:kern w:val="0"/>
          <w:sz w:val="20"/>
          <w:rtl/>
          <w:lang w:val="en-CA"/>
        </w:rPr>
        <w:t>ولحقت</w:t>
      </w:r>
      <w:r w:rsidRPr="006B489A">
        <w:rPr>
          <w:spacing w:val="0"/>
          <w:kern w:val="0"/>
          <w:sz w:val="20"/>
          <w:rtl/>
          <w:lang w:val="en-CA"/>
        </w:rPr>
        <w:t xml:space="preserve"> </w:t>
      </w:r>
      <w:r w:rsidRPr="006B489A">
        <w:rPr>
          <w:rFonts w:hint="cs"/>
          <w:spacing w:val="0"/>
          <w:kern w:val="0"/>
          <w:sz w:val="20"/>
          <w:rtl/>
          <w:lang w:val="en-CA"/>
        </w:rPr>
        <w:t>ب</w:t>
      </w:r>
      <w:r w:rsidRPr="006B489A">
        <w:rPr>
          <w:spacing w:val="0"/>
          <w:kern w:val="0"/>
          <w:sz w:val="20"/>
          <w:rtl/>
          <w:lang w:val="en-CA"/>
        </w:rPr>
        <w:t xml:space="preserve">ابنتهما </w:t>
      </w:r>
      <w:r w:rsidRPr="006B489A">
        <w:rPr>
          <w:rFonts w:hint="cs"/>
          <w:spacing w:val="0"/>
          <w:kern w:val="0"/>
          <w:sz w:val="20"/>
          <w:rtl/>
          <w:lang w:val="en-CA"/>
        </w:rPr>
        <w:t>إصابة</w:t>
      </w:r>
      <w:r w:rsidRPr="006B489A">
        <w:rPr>
          <w:spacing w:val="0"/>
          <w:kern w:val="0"/>
          <w:sz w:val="20"/>
          <w:rtl/>
          <w:lang w:val="en-CA"/>
        </w:rPr>
        <w:t xml:space="preserve"> أيضاً.</w:t>
      </w:r>
    </w:p>
    <w:p w:rsidR="006B489A" w:rsidRPr="006B489A" w:rsidRDefault="006B489A" w:rsidP="006B489A">
      <w:pPr>
        <w:pStyle w:val="SingleTxtGA"/>
        <w:jc w:val="lowKashida"/>
        <w:rPr>
          <w:spacing w:val="0"/>
          <w:kern w:val="0"/>
          <w:sz w:val="20"/>
          <w:rtl/>
        </w:rPr>
      </w:pPr>
      <w:r w:rsidRPr="006B489A">
        <w:rPr>
          <w:spacing w:val="0"/>
          <w:kern w:val="0"/>
          <w:sz w:val="20"/>
          <w:rtl/>
        </w:rPr>
        <w:t>2-2</w:t>
      </w:r>
      <w:r w:rsidRPr="006B489A">
        <w:rPr>
          <w:spacing w:val="0"/>
          <w:kern w:val="0"/>
          <w:sz w:val="20"/>
          <w:rtl/>
        </w:rPr>
        <w:tab/>
        <w:t xml:space="preserve">وفي عام 2002، </w:t>
      </w:r>
      <w:r w:rsidRPr="006B489A">
        <w:rPr>
          <w:rFonts w:hint="cs"/>
          <w:spacing w:val="0"/>
          <w:kern w:val="0"/>
          <w:sz w:val="20"/>
          <w:rtl/>
        </w:rPr>
        <w:t xml:space="preserve">طلبت </w:t>
      </w:r>
      <w:r w:rsidRPr="006B489A">
        <w:rPr>
          <w:spacing w:val="0"/>
          <w:kern w:val="0"/>
          <w:sz w:val="20"/>
          <w:rtl/>
        </w:rPr>
        <w:t xml:space="preserve">الأسرة اللجوء </w:t>
      </w:r>
      <w:r w:rsidRPr="006B489A">
        <w:rPr>
          <w:rFonts w:hint="cs"/>
          <w:spacing w:val="0"/>
          <w:kern w:val="0"/>
          <w:sz w:val="20"/>
          <w:rtl/>
        </w:rPr>
        <w:t>إلى</w:t>
      </w:r>
      <w:r w:rsidRPr="006B489A">
        <w:rPr>
          <w:spacing w:val="0"/>
          <w:kern w:val="0"/>
          <w:sz w:val="20"/>
          <w:rtl/>
        </w:rPr>
        <w:t xml:space="preserve"> السويد ورُفض</w:t>
      </w:r>
      <w:r w:rsidRPr="006B489A">
        <w:rPr>
          <w:rFonts w:hint="cs"/>
          <w:spacing w:val="0"/>
          <w:kern w:val="0"/>
          <w:sz w:val="20"/>
          <w:rtl/>
        </w:rPr>
        <w:t xml:space="preserve"> طلبها</w:t>
      </w:r>
      <w:r w:rsidRPr="006B489A">
        <w:rPr>
          <w:spacing w:val="0"/>
          <w:kern w:val="0"/>
          <w:sz w:val="20"/>
          <w:rtl/>
        </w:rPr>
        <w:t>، وتم ترحيل</w:t>
      </w:r>
      <w:r w:rsidRPr="006B489A">
        <w:rPr>
          <w:rFonts w:hint="cs"/>
          <w:spacing w:val="0"/>
          <w:kern w:val="0"/>
          <w:sz w:val="20"/>
          <w:rtl/>
        </w:rPr>
        <w:t xml:space="preserve"> أفراد الأسرة</w:t>
      </w:r>
      <w:r w:rsidRPr="006B489A">
        <w:rPr>
          <w:spacing w:val="0"/>
          <w:kern w:val="0"/>
          <w:sz w:val="20"/>
          <w:rtl/>
        </w:rPr>
        <w:t xml:space="preserve"> إلى أذربيجان في 19 آب/أغسطس 2004. وعند </w:t>
      </w:r>
      <w:r w:rsidRPr="006B489A">
        <w:rPr>
          <w:rFonts w:hint="cs"/>
          <w:spacing w:val="0"/>
          <w:kern w:val="0"/>
          <w:sz w:val="20"/>
          <w:rtl/>
        </w:rPr>
        <w:t>وصولهم</w:t>
      </w:r>
      <w:r w:rsidRPr="006B489A">
        <w:rPr>
          <w:spacing w:val="0"/>
          <w:kern w:val="0"/>
          <w:sz w:val="20"/>
          <w:rtl/>
        </w:rPr>
        <w:t xml:space="preserve">، قدموا وثائق </w:t>
      </w:r>
      <w:r w:rsidRPr="006B489A">
        <w:rPr>
          <w:rFonts w:hint="cs"/>
          <w:spacing w:val="0"/>
          <w:kern w:val="0"/>
          <w:sz w:val="20"/>
          <w:rtl/>
        </w:rPr>
        <w:t>هويتهم</w:t>
      </w:r>
      <w:r w:rsidRPr="006B489A">
        <w:rPr>
          <w:spacing w:val="0"/>
          <w:kern w:val="0"/>
          <w:sz w:val="20"/>
          <w:rtl/>
        </w:rPr>
        <w:t xml:space="preserve"> إلى </w:t>
      </w:r>
      <w:r w:rsidRPr="006B489A">
        <w:rPr>
          <w:rFonts w:hint="cs"/>
          <w:spacing w:val="0"/>
          <w:kern w:val="0"/>
          <w:sz w:val="20"/>
          <w:rtl/>
        </w:rPr>
        <w:t>ال</w:t>
      </w:r>
      <w:r w:rsidRPr="006B489A">
        <w:rPr>
          <w:spacing w:val="0"/>
          <w:kern w:val="0"/>
          <w:sz w:val="20"/>
          <w:rtl/>
        </w:rPr>
        <w:t xml:space="preserve">شرطة </w:t>
      </w:r>
      <w:r w:rsidRPr="006B489A">
        <w:rPr>
          <w:rFonts w:hint="cs"/>
          <w:spacing w:val="0"/>
          <w:kern w:val="0"/>
          <w:sz w:val="20"/>
          <w:rtl/>
        </w:rPr>
        <w:t>ال</w:t>
      </w:r>
      <w:r w:rsidRPr="006B489A">
        <w:rPr>
          <w:spacing w:val="0"/>
          <w:kern w:val="0"/>
          <w:sz w:val="20"/>
          <w:rtl/>
        </w:rPr>
        <w:t>أذربيجان</w:t>
      </w:r>
      <w:r w:rsidRPr="006B489A">
        <w:rPr>
          <w:rFonts w:hint="cs"/>
          <w:spacing w:val="0"/>
          <w:kern w:val="0"/>
          <w:sz w:val="20"/>
          <w:rtl/>
        </w:rPr>
        <w:t>ية</w:t>
      </w:r>
      <w:r w:rsidRPr="006B489A">
        <w:rPr>
          <w:spacing w:val="0"/>
          <w:kern w:val="0"/>
          <w:sz w:val="20"/>
          <w:rtl/>
        </w:rPr>
        <w:t>. غير أنه قبل تسليمهم</w:t>
      </w:r>
      <w:r w:rsidRPr="006B489A">
        <w:rPr>
          <w:rFonts w:hint="cs"/>
          <w:spacing w:val="0"/>
          <w:kern w:val="0"/>
          <w:sz w:val="20"/>
          <w:rtl/>
        </w:rPr>
        <w:t xml:space="preserve"> الوثائق</w:t>
      </w:r>
      <w:r w:rsidRPr="006B489A">
        <w:rPr>
          <w:spacing w:val="0"/>
          <w:kern w:val="0"/>
          <w:sz w:val="20"/>
          <w:rtl/>
        </w:rPr>
        <w:t xml:space="preserve">، </w:t>
      </w:r>
      <w:r w:rsidRPr="006B489A">
        <w:rPr>
          <w:rFonts w:hint="cs"/>
          <w:spacing w:val="0"/>
          <w:kern w:val="0"/>
          <w:sz w:val="20"/>
          <w:rtl/>
        </w:rPr>
        <w:t xml:space="preserve">كانت </w:t>
      </w:r>
      <w:r w:rsidRPr="006B489A">
        <w:rPr>
          <w:spacing w:val="0"/>
          <w:kern w:val="0"/>
          <w:sz w:val="20"/>
          <w:rtl/>
        </w:rPr>
        <w:t xml:space="preserve">الشرطة السويدية </w:t>
      </w:r>
      <w:r w:rsidRPr="006B489A">
        <w:rPr>
          <w:rFonts w:hint="cs"/>
          <w:spacing w:val="0"/>
          <w:kern w:val="0"/>
          <w:sz w:val="20"/>
          <w:rtl/>
        </w:rPr>
        <w:t xml:space="preserve">قد </w:t>
      </w:r>
      <w:r w:rsidRPr="006B489A">
        <w:rPr>
          <w:spacing w:val="0"/>
          <w:kern w:val="0"/>
          <w:sz w:val="20"/>
          <w:rtl/>
        </w:rPr>
        <w:t xml:space="preserve">أعطت زوجته </w:t>
      </w:r>
      <w:r w:rsidRPr="006B489A">
        <w:rPr>
          <w:rFonts w:hint="cs"/>
          <w:spacing w:val="0"/>
          <w:kern w:val="0"/>
          <w:sz w:val="20"/>
          <w:rtl/>
        </w:rPr>
        <w:t>ﻫ.</w:t>
      </w:r>
      <w:r w:rsidRPr="006B489A">
        <w:rPr>
          <w:rFonts w:hint="eastAsia"/>
          <w:spacing w:val="0"/>
          <w:kern w:val="0"/>
          <w:sz w:val="20"/>
          <w:rtl/>
        </w:rPr>
        <w:t> </w:t>
      </w:r>
      <w:r w:rsidRPr="006B489A">
        <w:rPr>
          <w:rFonts w:hint="cs"/>
          <w:spacing w:val="0"/>
          <w:kern w:val="0"/>
          <w:sz w:val="20"/>
          <w:rtl/>
        </w:rPr>
        <w:t>م.</w:t>
      </w:r>
      <w:r w:rsidRPr="006B489A">
        <w:rPr>
          <w:spacing w:val="0"/>
          <w:kern w:val="0"/>
          <w:sz w:val="20"/>
          <w:rtl/>
        </w:rPr>
        <w:t xml:space="preserve"> وثيقتين تشيران إلى أ</w:t>
      </w:r>
      <w:r w:rsidRPr="006B489A">
        <w:rPr>
          <w:rFonts w:hint="eastAsia"/>
          <w:spacing w:val="0"/>
          <w:kern w:val="0"/>
          <w:sz w:val="20"/>
          <w:rtl/>
        </w:rPr>
        <w:t>صل</w:t>
      </w:r>
      <w:r w:rsidRPr="006B489A">
        <w:rPr>
          <w:spacing w:val="0"/>
          <w:kern w:val="0"/>
          <w:sz w:val="20"/>
          <w:rtl/>
        </w:rPr>
        <w:t xml:space="preserve"> س.</w:t>
      </w:r>
      <w:r w:rsidRPr="006B489A">
        <w:rPr>
          <w:rFonts w:hint="cs"/>
          <w:spacing w:val="0"/>
          <w:kern w:val="0"/>
          <w:sz w:val="20"/>
          <w:rtl/>
        </w:rPr>
        <w:t xml:space="preserve"> </w:t>
      </w:r>
      <w:r w:rsidRPr="006B489A">
        <w:rPr>
          <w:spacing w:val="0"/>
          <w:kern w:val="0"/>
          <w:sz w:val="20"/>
          <w:rtl/>
        </w:rPr>
        <w:t>م</w:t>
      </w:r>
      <w:r w:rsidRPr="006B489A">
        <w:rPr>
          <w:rFonts w:hint="cs"/>
          <w:spacing w:val="0"/>
          <w:kern w:val="0"/>
          <w:sz w:val="20"/>
          <w:rtl/>
        </w:rPr>
        <w:t>.</w:t>
      </w:r>
      <w:r w:rsidRPr="006B489A">
        <w:rPr>
          <w:spacing w:val="0"/>
          <w:kern w:val="0"/>
          <w:sz w:val="20"/>
          <w:rtl/>
        </w:rPr>
        <w:t xml:space="preserve"> الأرمني وبالتالي كانتا في حقيبتها.</w:t>
      </w:r>
      <w:r w:rsidRPr="006B489A">
        <w:rPr>
          <w:rFonts w:hint="cs"/>
          <w:spacing w:val="0"/>
          <w:kern w:val="0"/>
          <w:sz w:val="20"/>
          <w:rtl/>
        </w:rPr>
        <w:t xml:space="preserve"> </w:t>
      </w:r>
      <w:r w:rsidRPr="006B489A">
        <w:rPr>
          <w:spacing w:val="0"/>
          <w:kern w:val="0"/>
          <w:sz w:val="20"/>
          <w:rtl/>
        </w:rPr>
        <w:t>وأثناء تفتيش حقائبهم، اكت</w:t>
      </w:r>
      <w:r w:rsidRPr="006B489A">
        <w:rPr>
          <w:rFonts w:hint="cs"/>
          <w:spacing w:val="0"/>
          <w:kern w:val="0"/>
          <w:sz w:val="20"/>
          <w:rtl/>
        </w:rPr>
        <w:t>ُ</w:t>
      </w:r>
      <w:r w:rsidRPr="006B489A">
        <w:rPr>
          <w:spacing w:val="0"/>
          <w:kern w:val="0"/>
          <w:sz w:val="20"/>
          <w:rtl/>
        </w:rPr>
        <w:t xml:space="preserve">شفت الوثيقتان واعتبرتا محاولة لإخفاء معلومات مهمة. </w:t>
      </w:r>
      <w:r w:rsidRPr="006B489A">
        <w:rPr>
          <w:rFonts w:hint="cs"/>
          <w:spacing w:val="0"/>
          <w:kern w:val="0"/>
          <w:sz w:val="20"/>
          <w:rtl/>
        </w:rPr>
        <w:t xml:space="preserve">واستجوب ضباط دائرة </w:t>
      </w:r>
      <w:r w:rsidRPr="006B489A">
        <w:rPr>
          <w:spacing w:val="0"/>
          <w:kern w:val="0"/>
          <w:sz w:val="20"/>
          <w:rtl/>
        </w:rPr>
        <w:t>الأمن الوطني الأسرة استجواب</w:t>
      </w:r>
      <w:r w:rsidRPr="006B489A">
        <w:rPr>
          <w:rFonts w:hint="cs"/>
          <w:spacing w:val="0"/>
          <w:kern w:val="0"/>
          <w:sz w:val="20"/>
          <w:rtl/>
        </w:rPr>
        <w:t>اً</w:t>
      </w:r>
      <w:r w:rsidRPr="006B489A">
        <w:rPr>
          <w:spacing w:val="0"/>
          <w:kern w:val="0"/>
          <w:sz w:val="20"/>
          <w:rtl/>
        </w:rPr>
        <w:t xml:space="preserve"> مكثف</w:t>
      </w:r>
      <w:r w:rsidRPr="006B489A">
        <w:rPr>
          <w:rFonts w:hint="cs"/>
          <w:spacing w:val="0"/>
          <w:kern w:val="0"/>
          <w:sz w:val="20"/>
          <w:rtl/>
        </w:rPr>
        <w:t>اً</w:t>
      </w:r>
      <w:r w:rsidRPr="006B489A">
        <w:rPr>
          <w:spacing w:val="0"/>
          <w:kern w:val="0"/>
          <w:sz w:val="20"/>
          <w:rtl/>
        </w:rPr>
        <w:t xml:space="preserve"> </w:t>
      </w:r>
      <w:r w:rsidRPr="006B489A">
        <w:rPr>
          <w:rFonts w:hint="cs"/>
          <w:spacing w:val="0"/>
          <w:kern w:val="0"/>
          <w:sz w:val="20"/>
          <w:rtl/>
        </w:rPr>
        <w:t>و</w:t>
      </w:r>
      <w:r w:rsidRPr="006B489A">
        <w:rPr>
          <w:spacing w:val="0"/>
          <w:kern w:val="0"/>
          <w:sz w:val="20"/>
          <w:rtl/>
        </w:rPr>
        <w:t>عنيف</w:t>
      </w:r>
      <w:r w:rsidRPr="006B489A">
        <w:rPr>
          <w:rFonts w:hint="cs"/>
          <w:spacing w:val="0"/>
          <w:kern w:val="0"/>
          <w:sz w:val="20"/>
          <w:rtl/>
        </w:rPr>
        <w:t>اً</w:t>
      </w:r>
      <w:r w:rsidRPr="006B489A">
        <w:rPr>
          <w:spacing w:val="0"/>
          <w:kern w:val="0"/>
          <w:sz w:val="20"/>
          <w:rtl/>
        </w:rPr>
        <w:t xml:space="preserve">. واحتجزت الأسرة في المطار لمدة أربعة أيام بدون أي </w:t>
      </w:r>
      <w:r w:rsidRPr="006B489A">
        <w:rPr>
          <w:rFonts w:hint="cs"/>
          <w:spacing w:val="0"/>
          <w:kern w:val="0"/>
          <w:sz w:val="20"/>
          <w:rtl/>
        </w:rPr>
        <w:t>غذاء</w:t>
      </w:r>
      <w:r w:rsidRPr="006B489A">
        <w:rPr>
          <w:spacing w:val="0"/>
          <w:kern w:val="0"/>
          <w:sz w:val="20"/>
          <w:rtl/>
        </w:rPr>
        <w:t xml:space="preserve"> أو </w:t>
      </w:r>
      <w:r w:rsidRPr="006B489A">
        <w:rPr>
          <w:rFonts w:hint="cs"/>
          <w:spacing w:val="0"/>
          <w:kern w:val="0"/>
          <w:sz w:val="20"/>
          <w:rtl/>
        </w:rPr>
        <w:t>مأوى مناسبين</w:t>
      </w:r>
      <w:r w:rsidRPr="006B489A">
        <w:rPr>
          <w:spacing w:val="0"/>
          <w:kern w:val="0"/>
          <w:sz w:val="20"/>
          <w:rtl/>
        </w:rPr>
        <w:t xml:space="preserve">. وكسرت أسنان س. م. </w:t>
      </w:r>
      <w:r w:rsidRPr="006B489A">
        <w:rPr>
          <w:rFonts w:hint="cs"/>
          <w:spacing w:val="0"/>
          <w:kern w:val="0"/>
          <w:sz w:val="20"/>
          <w:rtl/>
        </w:rPr>
        <w:t xml:space="preserve">وأُصيب بالتواء في </w:t>
      </w:r>
      <w:r w:rsidRPr="006B489A">
        <w:rPr>
          <w:spacing w:val="0"/>
          <w:kern w:val="0"/>
          <w:sz w:val="20"/>
          <w:rtl/>
        </w:rPr>
        <w:t xml:space="preserve">ذراعه؛ </w:t>
      </w:r>
      <w:r w:rsidRPr="006B489A">
        <w:rPr>
          <w:rFonts w:hint="cs"/>
          <w:spacing w:val="0"/>
          <w:kern w:val="0"/>
          <w:sz w:val="20"/>
          <w:rtl/>
        </w:rPr>
        <w:t xml:space="preserve">وأُوسع </w:t>
      </w:r>
      <w:r w:rsidRPr="006B489A">
        <w:rPr>
          <w:spacing w:val="0"/>
          <w:kern w:val="0"/>
          <w:sz w:val="20"/>
          <w:rtl/>
        </w:rPr>
        <w:t>أيضاً ركل</w:t>
      </w:r>
      <w:r w:rsidRPr="006B489A">
        <w:rPr>
          <w:rFonts w:hint="cs"/>
          <w:spacing w:val="0"/>
          <w:kern w:val="0"/>
          <w:sz w:val="20"/>
          <w:rtl/>
        </w:rPr>
        <w:t>اً</w:t>
      </w:r>
      <w:r w:rsidRPr="006B489A">
        <w:rPr>
          <w:spacing w:val="0"/>
          <w:kern w:val="0"/>
          <w:sz w:val="20"/>
          <w:rtl/>
        </w:rPr>
        <w:t xml:space="preserve"> </w:t>
      </w:r>
      <w:r w:rsidRPr="006B489A">
        <w:rPr>
          <w:rFonts w:hint="cs"/>
          <w:spacing w:val="0"/>
          <w:kern w:val="0"/>
          <w:sz w:val="20"/>
          <w:rtl/>
        </w:rPr>
        <w:t>وضرباً</w:t>
      </w:r>
      <w:r w:rsidRPr="006B489A">
        <w:rPr>
          <w:spacing w:val="0"/>
          <w:kern w:val="0"/>
          <w:sz w:val="20"/>
          <w:rtl/>
        </w:rPr>
        <w:t xml:space="preserve">. </w:t>
      </w:r>
      <w:r w:rsidRPr="006B489A">
        <w:rPr>
          <w:rFonts w:hint="cs"/>
          <w:spacing w:val="0"/>
          <w:kern w:val="0"/>
          <w:sz w:val="20"/>
          <w:rtl/>
        </w:rPr>
        <w:t>واستجوبت</w:t>
      </w:r>
      <w:r w:rsidRPr="006B489A">
        <w:rPr>
          <w:spacing w:val="0"/>
          <w:kern w:val="0"/>
          <w:sz w:val="20"/>
          <w:rtl/>
        </w:rPr>
        <w:t xml:space="preserve"> </w:t>
      </w:r>
      <w:r w:rsidRPr="006B489A">
        <w:rPr>
          <w:rFonts w:hint="cs"/>
          <w:spacing w:val="0"/>
          <w:kern w:val="0"/>
          <w:sz w:val="20"/>
          <w:rtl/>
        </w:rPr>
        <w:t>ﻫ. م.</w:t>
      </w:r>
      <w:r w:rsidRPr="006B489A">
        <w:rPr>
          <w:spacing w:val="0"/>
          <w:kern w:val="0"/>
          <w:sz w:val="20"/>
          <w:rtl/>
        </w:rPr>
        <w:t xml:space="preserve"> وتعرضت للضرب والاعتداء الجنسي. وقضت الأسرة بعد ذلك عشرة أيام في مستشفى بالقرب من باكو. </w:t>
      </w:r>
      <w:r w:rsidRPr="006B489A">
        <w:rPr>
          <w:rFonts w:hint="cs"/>
          <w:spacing w:val="0"/>
          <w:kern w:val="0"/>
          <w:sz w:val="20"/>
          <w:rtl/>
        </w:rPr>
        <w:t xml:space="preserve">واتضح </w:t>
      </w:r>
      <w:r w:rsidRPr="006B489A">
        <w:rPr>
          <w:spacing w:val="0"/>
          <w:kern w:val="0"/>
          <w:sz w:val="20"/>
          <w:rtl/>
        </w:rPr>
        <w:t xml:space="preserve">أن س. م. يعاني من مشاكل </w:t>
      </w:r>
      <w:r w:rsidRPr="006B489A">
        <w:rPr>
          <w:rFonts w:hint="cs"/>
          <w:spacing w:val="0"/>
          <w:kern w:val="0"/>
          <w:sz w:val="20"/>
          <w:rtl/>
        </w:rPr>
        <w:t>قلبية</w:t>
      </w:r>
      <w:r w:rsidRPr="006B489A">
        <w:rPr>
          <w:spacing w:val="0"/>
          <w:kern w:val="0"/>
          <w:sz w:val="20"/>
          <w:rtl/>
        </w:rPr>
        <w:t xml:space="preserve"> </w:t>
      </w:r>
      <w:r w:rsidRPr="006B489A">
        <w:rPr>
          <w:rFonts w:hint="cs"/>
          <w:spacing w:val="0"/>
          <w:kern w:val="0"/>
          <w:sz w:val="20"/>
          <w:rtl/>
        </w:rPr>
        <w:t>و</w:t>
      </w:r>
      <w:r w:rsidRPr="006B489A">
        <w:rPr>
          <w:spacing w:val="0"/>
          <w:kern w:val="0"/>
          <w:sz w:val="20"/>
          <w:rtl/>
        </w:rPr>
        <w:t>تصلب الشرايين؛ و</w:t>
      </w:r>
      <w:r w:rsidRPr="006B489A">
        <w:rPr>
          <w:rFonts w:hint="cs"/>
          <w:spacing w:val="0"/>
          <w:kern w:val="0"/>
          <w:sz w:val="20"/>
          <w:rtl/>
        </w:rPr>
        <w:t xml:space="preserve">أنه </w:t>
      </w:r>
      <w:r w:rsidRPr="006B489A">
        <w:rPr>
          <w:spacing w:val="0"/>
          <w:kern w:val="0"/>
          <w:sz w:val="20"/>
          <w:rtl/>
        </w:rPr>
        <w:t>كان</w:t>
      </w:r>
      <w:r w:rsidRPr="006B489A">
        <w:rPr>
          <w:rFonts w:hint="cs"/>
          <w:spacing w:val="0"/>
          <w:kern w:val="0"/>
          <w:sz w:val="20"/>
          <w:rtl/>
        </w:rPr>
        <w:t>ت</w:t>
      </w:r>
      <w:r w:rsidRPr="006B489A">
        <w:rPr>
          <w:spacing w:val="0"/>
          <w:kern w:val="0"/>
          <w:sz w:val="20"/>
          <w:rtl/>
        </w:rPr>
        <w:t xml:space="preserve"> </w:t>
      </w:r>
      <w:r w:rsidRPr="006B489A">
        <w:rPr>
          <w:rFonts w:hint="cs"/>
          <w:spacing w:val="0"/>
          <w:kern w:val="0"/>
          <w:sz w:val="20"/>
          <w:rtl/>
        </w:rPr>
        <w:t xml:space="preserve">على </w:t>
      </w:r>
      <w:r w:rsidRPr="006B489A">
        <w:rPr>
          <w:spacing w:val="0"/>
          <w:kern w:val="0"/>
          <w:sz w:val="20"/>
          <w:rtl/>
        </w:rPr>
        <w:t xml:space="preserve">جسد </w:t>
      </w:r>
      <w:r w:rsidRPr="006B489A">
        <w:rPr>
          <w:rFonts w:hint="cs"/>
          <w:spacing w:val="0"/>
          <w:kern w:val="0"/>
          <w:sz w:val="20"/>
          <w:rtl/>
        </w:rPr>
        <w:t>ﻫ. م.</w:t>
      </w:r>
      <w:r w:rsidRPr="006B489A">
        <w:rPr>
          <w:spacing w:val="0"/>
          <w:kern w:val="0"/>
          <w:sz w:val="20"/>
          <w:rtl/>
        </w:rPr>
        <w:t xml:space="preserve"> علاما</w:t>
      </w:r>
      <w:r w:rsidRPr="006B489A">
        <w:rPr>
          <w:rFonts w:hint="eastAsia"/>
          <w:spacing w:val="0"/>
          <w:kern w:val="0"/>
          <w:sz w:val="20"/>
          <w:rtl/>
        </w:rPr>
        <w:t>ت</w:t>
      </w:r>
      <w:r w:rsidRPr="006B489A">
        <w:rPr>
          <w:rFonts w:hint="cs"/>
          <w:spacing w:val="0"/>
          <w:kern w:val="0"/>
          <w:sz w:val="20"/>
          <w:rtl/>
        </w:rPr>
        <w:t xml:space="preserve"> تدل على</w:t>
      </w:r>
      <w:r w:rsidRPr="006B489A">
        <w:rPr>
          <w:spacing w:val="0"/>
          <w:kern w:val="0"/>
          <w:sz w:val="20"/>
          <w:rtl/>
        </w:rPr>
        <w:t xml:space="preserve"> </w:t>
      </w:r>
      <w:r w:rsidRPr="006B489A">
        <w:rPr>
          <w:rFonts w:hint="cs"/>
          <w:spacing w:val="0"/>
          <w:kern w:val="0"/>
          <w:sz w:val="20"/>
          <w:rtl/>
        </w:rPr>
        <w:t>ال</w:t>
      </w:r>
      <w:r w:rsidRPr="006B489A">
        <w:rPr>
          <w:spacing w:val="0"/>
          <w:kern w:val="0"/>
          <w:sz w:val="20"/>
          <w:rtl/>
        </w:rPr>
        <w:t>اعتداء و</w:t>
      </w:r>
      <w:r w:rsidRPr="006B489A">
        <w:rPr>
          <w:rFonts w:hint="cs"/>
          <w:spacing w:val="0"/>
          <w:kern w:val="0"/>
          <w:sz w:val="20"/>
          <w:rtl/>
        </w:rPr>
        <w:t>ال</w:t>
      </w:r>
      <w:r w:rsidRPr="006B489A">
        <w:rPr>
          <w:spacing w:val="0"/>
          <w:kern w:val="0"/>
          <w:sz w:val="20"/>
          <w:rtl/>
        </w:rPr>
        <w:t>ضرب، بما في ذلك إصابة في الجمجمة. وقد ش</w:t>
      </w:r>
      <w:r w:rsidRPr="006B489A">
        <w:rPr>
          <w:rFonts w:hint="cs"/>
          <w:spacing w:val="0"/>
          <w:kern w:val="0"/>
          <w:sz w:val="20"/>
          <w:rtl/>
        </w:rPr>
        <w:t>ا</w:t>
      </w:r>
      <w:r w:rsidRPr="006B489A">
        <w:rPr>
          <w:spacing w:val="0"/>
          <w:kern w:val="0"/>
          <w:sz w:val="20"/>
          <w:rtl/>
        </w:rPr>
        <w:t>هدت ابنتهما بعض العنف الذي تعرضت له أمها</w:t>
      </w:r>
      <w:r w:rsidRPr="006B489A">
        <w:rPr>
          <w:rFonts w:hint="cs"/>
          <w:spacing w:val="0"/>
          <w:kern w:val="0"/>
          <w:sz w:val="20"/>
          <w:rtl/>
        </w:rPr>
        <w:t>،</w:t>
      </w:r>
      <w:r w:rsidRPr="006B489A">
        <w:rPr>
          <w:spacing w:val="0"/>
          <w:kern w:val="0"/>
          <w:sz w:val="20"/>
          <w:rtl/>
        </w:rPr>
        <w:t xml:space="preserve"> وتعاني من اضطرابات نفسية منذ ذلك الحين.</w:t>
      </w:r>
      <w:r w:rsidRPr="006B489A">
        <w:rPr>
          <w:rFonts w:hint="cs"/>
          <w:spacing w:val="0"/>
          <w:kern w:val="0"/>
          <w:sz w:val="20"/>
          <w:rtl/>
        </w:rPr>
        <w:t xml:space="preserve"> </w:t>
      </w:r>
      <w:r w:rsidRPr="006B489A">
        <w:rPr>
          <w:rFonts w:hint="eastAsia"/>
          <w:spacing w:val="0"/>
          <w:kern w:val="0"/>
          <w:sz w:val="20"/>
          <w:rtl/>
        </w:rPr>
        <w:t>وبعد</w:t>
      </w:r>
      <w:r w:rsidRPr="006B489A">
        <w:rPr>
          <w:spacing w:val="0"/>
          <w:kern w:val="0"/>
          <w:sz w:val="20"/>
          <w:rtl/>
        </w:rPr>
        <w:t xml:space="preserve"> إطلاق سرا</w:t>
      </w:r>
      <w:r w:rsidRPr="006B489A">
        <w:rPr>
          <w:rFonts w:hint="cs"/>
          <w:spacing w:val="0"/>
          <w:kern w:val="0"/>
          <w:sz w:val="20"/>
          <w:rtl/>
        </w:rPr>
        <w:t>حهم</w:t>
      </w:r>
      <w:r w:rsidRPr="006B489A">
        <w:rPr>
          <w:spacing w:val="0"/>
          <w:kern w:val="0"/>
          <w:sz w:val="20"/>
          <w:rtl/>
        </w:rPr>
        <w:t>، استدعته</w:t>
      </w:r>
      <w:r w:rsidRPr="006B489A">
        <w:rPr>
          <w:rFonts w:hint="cs"/>
          <w:spacing w:val="0"/>
          <w:kern w:val="0"/>
          <w:sz w:val="20"/>
          <w:rtl/>
        </w:rPr>
        <w:t>م</w:t>
      </w:r>
      <w:r w:rsidRPr="006B489A">
        <w:rPr>
          <w:spacing w:val="0"/>
          <w:kern w:val="0"/>
          <w:sz w:val="20"/>
          <w:rtl/>
        </w:rPr>
        <w:t xml:space="preserve"> </w:t>
      </w:r>
      <w:r w:rsidRPr="006B489A">
        <w:rPr>
          <w:rFonts w:hint="cs"/>
          <w:spacing w:val="0"/>
          <w:kern w:val="0"/>
          <w:sz w:val="20"/>
          <w:rtl/>
        </w:rPr>
        <w:t xml:space="preserve">دائرة </w:t>
      </w:r>
      <w:r w:rsidRPr="006B489A">
        <w:rPr>
          <w:spacing w:val="0"/>
          <w:kern w:val="0"/>
          <w:sz w:val="20"/>
          <w:rtl/>
        </w:rPr>
        <w:t xml:space="preserve">الأمن الوطني </w:t>
      </w:r>
      <w:r w:rsidRPr="006B489A">
        <w:rPr>
          <w:rFonts w:hint="cs"/>
          <w:spacing w:val="0"/>
          <w:kern w:val="0"/>
          <w:sz w:val="20"/>
          <w:rtl/>
        </w:rPr>
        <w:t>عدة مرات</w:t>
      </w:r>
      <w:r w:rsidRPr="006B489A">
        <w:rPr>
          <w:spacing w:val="0"/>
          <w:kern w:val="0"/>
          <w:sz w:val="20"/>
          <w:rtl/>
        </w:rPr>
        <w:t xml:space="preserve"> للمزيد من الاستجواب. ولم تستطع ابنتهما الالتحاق بمدرسة. ولجأ </w:t>
      </w:r>
      <w:r w:rsidRPr="006B489A">
        <w:rPr>
          <w:rFonts w:hint="cs"/>
          <w:spacing w:val="0"/>
          <w:kern w:val="0"/>
          <w:sz w:val="20"/>
          <w:rtl/>
        </w:rPr>
        <w:t xml:space="preserve">أصحاب </w:t>
      </w:r>
      <w:r w:rsidRPr="006B489A">
        <w:rPr>
          <w:spacing w:val="0"/>
          <w:kern w:val="0"/>
          <w:sz w:val="20"/>
          <w:rtl/>
        </w:rPr>
        <w:t xml:space="preserve">الشكوى إلى مؤسسات ومنظمات مختلفة، من بينها سفارة الولايات المتحدة الأمريكية ومفوضية الأمم المتحدة </w:t>
      </w:r>
      <w:r w:rsidRPr="006B489A">
        <w:rPr>
          <w:rFonts w:hint="cs"/>
          <w:spacing w:val="0"/>
          <w:kern w:val="0"/>
          <w:sz w:val="20"/>
          <w:rtl/>
        </w:rPr>
        <w:t xml:space="preserve">السامية </w:t>
      </w:r>
      <w:r w:rsidRPr="006B489A">
        <w:rPr>
          <w:spacing w:val="0"/>
          <w:kern w:val="0"/>
          <w:sz w:val="20"/>
          <w:rtl/>
        </w:rPr>
        <w:t xml:space="preserve">لشؤون اللاجئين وإحدى </w:t>
      </w:r>
      <w:r w:rsidRPr="006B489A">
        <w:rPr>
          <w:rFonts w:hint="cs"/>
          <w:spacing w:val="0"/>
          <w:kern w:val="0"/>
          <w:sz w:val="20"/>
          <w:rtl/>
        </w:rPr>
        <w:t>ال</w:t>
      </w:r>
      <w:r w:rsidRPr="006B489A">
        <w:rPr>
          <w:spacing w:val="0"/>
          <w:kern w:val="0"/>
          <w:sz w:val="20"/>
          <w:rtl/>
        </w:rPr>
        <w:t xml:space="preserve">منظمات </w:t>
      </w:r>
      <w:r w:rsidRPr="006B489A">
        <w:rPr>
          <w:rFonts w:hint="cs"/>
          <w:spacing w:val="0"/>
          <w:kern w:val="0"/>
          <w:sz w:val="20"/>
          <w:rtl/>
        </w:rPr>
        <w:t>النسائية</w:t>
      </w:r>
      <w:r w:rsidRPr="006B489A">
        <w:rPr>
          <w:rFonts w:hint="eastAsia"/>
          <w:spacing w:val="0"/>
          <w:kern w:val="0"/>
          <w:sz w:val="20"/>
          <w:rtl/>
        </w:rPr>
        <w:t>،</w:t>
      </w:r>
      <w:r w:rsidRPr="006B489A">
        <w:rPr>
          <w:spacing w:val="0"/>
          <w:kern w:val="0"/>
          <w:sz w:val="20"/>
          <w:rtl/>
        </w:rPr>
        <w:t xml:space="preserve"> سعياً لإيجاد طريقة للخروج من البلد نظراً لخوفهم على حياتهم.</w:t>
      </w:r>
    </w:p>
    <w:p w:rsidR="006B489A" w:rsidRPr="006B489A" w:rsidRDefault="006B489A" w:rsidP="0020182D">
      <w:pPr>
        <w:pStyle w:val="SingleTxtGA"/>
        <w:jc w:val="lowKashida"/>
        <w:rPr>
          <w:rFonts w:hint="cs"/>
          <w:spacing w:val="0"/>
          <w:kern w:val="0"/>
          <w:sz w:val="20"/>
          <w:szCs w:val="20"/>
          <w:rtl/>
        </w:rPr>
      </w:pPr>
      <w:r w:rsidRPr="006B489A">
        <w:rPr>
          <w:spacing w:val="0"/>
          <w:kern w:val="0"/>
          <w:sz w:val="20"/>
          <w:rtl/>
          <w:lang w:val="en-CA"/>
        </w:rPr>
        <w:t>2-3</w:t>
      </w:r>
      <w:r w:rsidRPr="006B489A">
        <w:rPr>
          <w:spacing w:val="0"/>
          <w:kern w:val="0"/>
          <w:sz w:val="20"/>
          <w:rtl/>
          <w:lang w:val="en-CA"/>
        </w:rPr>
        <w:tab/>
        <w:t>وفي كانون الأول/ديسمبر 2004، عادت الأسرة إلى السويد وقدمت طلب لجوء</w:t>
      </w:r>
      <w:r w:rsidRPr="006B489A">
        <w:rPr>
          <w:rFonts w:hint="cs"/>
          <w:spacing w:val="0"/>
          <w:kern w:val="0"/>
          <w:sz w:val="20"/>
          <w:rtl/>
          <w:lang w:val="en-CA"/>
        </w:rPr>
        <w:t xml:space="preserve"> </w:t>
      </w:r>
      <w:r w:rsidRPr="006B489A">
        <w:rPr>
          <w:spacing w:val="0"/>
          <w:kern w:val="0"/>
          <w:sz w:val="20"/>
          <w:rtl/>
          <w:lang w:val="en-CA"/>
        </w:rPr>
        <w:t>في</w:t>
      </w:r>
      <w:r w:rsidR="0020182D">
        <w:rPr>
          <w:rFonts w:hint="cs"/>
          <w:spacing w:val="0"/>
          <w:kern w:val="0"/>
          <w:sz w:val="20"/>
          <w:rtl/>
          <w:lang w:val="en-CA"/>
        </w:rPr>
        <w:t> </w:t>
      </w:r>
      <w:r w:rsidRPr="006B489A">
        <w:rPr>
          <w:spacing w:val="0"/>
          <w:kern w:val="0"/>
          <w:sz w:val="20"/>
          <w:rtl/>
          <w:lang w:val="en-CA"/>
        </w:rPr>
        <w:t>13 كانون الأول/ديسمبر 2004. وقدمت الأسرة عدة وثائق دعماً لطلب اللجوء، من بينها شهادات طبية ووثيقة تثبت أن والدة س. م. أرمنية</w:t>
      </w:r>
      <w:r w:rsidRPr="006B489A">
        <w:rPr>
          <w:rFonts w:hint="cs"/>
          <w:spacing w:val="0"/>
          <w:kern w:val="0"/>
          <w:sz w:val="20"/>
          <w:rtl/>
          <w:lang w:val="en-CA"/>
        </w:rPr>
        <w:t>،</w:t>
      </w:r>
      <w:r w:rsidRPr="006B489A">
        <w:rPr>
          <w:spacing w:val="0"/>
          <w:kern w:val="0"/>
          <w:sz w:val="20"/>
          <w:rtl/>
          <w:lang w:val="en-CA"/>
        </w:rPr>
        <w:t xml:space="preserve"> ورسالة من إحدى </w:t>
      </w:r>
      <w:r w:rsidRPr="006B489A">
        <w:rPr>
          <w:rFonts w:hint="cs"/>
          <w:spacing w:val="0"/>
          <w:kern w:val="0"/>
          <w:sz w:val="20"/>
          <w:rtl/>
          <w:lang w:val="en-CA"/>
        </w:rPr>
        <w:t>ال</w:t>
      </w:r>
      <w:r w:rsidRPr="006B489A">
        <w:rPr>
          <w:spacing w:val="0"/>
          <w:kern w:val="0"/>
          <w:sz w:val="20"/>
          <w:rtl/>
          <w:lang w:val="en-CA"/>
        </w:rPr>
        <w:t xml:space="preserve">منظمات </w:t>
      </w:r>
      <w:r w:rsidRPr="006B489A">
        <w:rPr>
          <w:rFonts w:hint="cs"/>
          <w:spacing w:val="0"/>
          <w:kern w:val="0"/>
          <w:sz w:val="20"/>
          <w:rtl/>
          <w:lang w:val="en-CA"/>
        </w:rPr>
        <w:t xml:space="preserve">النسائية </w:t>
      </w:r>
      <w:r w:rsidRPr="006B489A">
        <w:rPr>
          <w:spacing w:val="0"/>
          <w:kern w:val="0"/>
          <w:sz w:val="20"/>
          <w:rtl/>
          <w:lang w:val="en-CA"/>
        </w:rPr>
        <w:t>في أذربيجان.</w:t>
      </w:r>
      <w:r w:rsidRPr="006B489A">
        <w:rPr>
          <w:rFonts w:hint="cs"/>
          <w:spacing w:val="0"/>
          <w:kern w:val="0"/>
          <w:sz w:val="20"/>
          <w:rtl/>
          <w:lang w:val="en-CA"/>
        </w:rPr>
        <w:t xml:space="preserve"> </w:t>
      </w:r>
      <w:r w:rsidRPr="006B489A">
        <w:rPr>
          <w:spacing w:val="0"/>
          <w:kern w:val="0"/>
          <w:sz w:val="20"/>
          <w:rtl/>
          <w:lang w:val="en-CA"/>
        </w:rPr>
        <w:t xml:space="preserve">ولم </w:t>
      </w:r>
      <w:r w:rsidRPr="006B489A">
        <w:rPr>
          <w:rFonts w:hint="eastAsia"/>
          <w:spacing w:val="0"/>
          <w:kern w:val="0"/>
          <w:sz w:val="20"/>
          <w:rtl/>
          <w:lang w:val="en-CA"/>
        </w:rPr>
        <w:t>يطلب</w:t>
      </w:r>
      <w:r w:rsidRPr="006B489A">
        <w:rPr>
          <w:spacing w:val="0"/>
          <w:kern w:val="0"/>
          <w:sz w:val="20"/>
          <w:rtl/>
          <w:lang w:val="en-CA"/>
        </w:rPr>
        <w:t xml:space="preserve"> مجلس الهجرة </w:t>
      </w:r>
      <w:r w:rsidRPr="006B489A">
        <w:rPr>
          <w:rFonts w:hint="cs"/>
          <w:spacing w:val="0"/>
          <w:kern w:val="0"/>
          <w:sz w:val="20"/>
          <w:rtl/>
          <w:lang w:val="en-CA"/>
        </w:rPr>
        <w:t xml:space="preserve">إجراء </w:t>
      </w:r>
      <w:r w:rsidRPr="006B489A">
        <w:rPr>
          <w:spacing w:val="0"/>
          <w:kern w:val="0"/>
          <w:sz w:val="20"/>
          <w:rtl/>
          <w:lang w:val="en-CA"/>
        </w:rPr>
        <w:t>أي فحوص طبية. وبدلاً من ذلك</w:t>
      </w:r>
      <w:r w:rsidRPr="006B489A">
        <w:rPr>
          <w:rFonts w:hint="cs"/>
          <w:spacing w:val="0"/>
          <w:kern w:val="0"/>
          <w:sz w:val="20"/>
          <w:rtl/>
          <w:lang w:val="en-CA"/>
        </w:rPr>
        <w:t>،</w:t>
      </w:r>
      <w:r w:rsidRPr="006B489A">
        <w:rPr>
          <w:spacing w:val="0"/>
          <w:kern w:val="0"/>
          <w:sz w:val="20"/>
          <w:rtl/>
          <w:lang w:val="en-CA"/>
        </w:rPr>
        <w:t xml:space="preserve"> </w:t>
      </w:r>
      <w:r w:rsidRPr="006B489A">
        <w:rPr>
          <w:rFonts w:hint="cs"/>
          <w:spacing w:val="0"/>
          <w:kern w:val="0"/>
          <w:sz w:val="20"/>
          <w:rtl/>
          <w:lang w:val="en-CA"/>
        </w:rPr>
        <w:t>أحال</w:t>
      </w:r>
      <w:r w:rsidRPr="006B489A">
        <w:rPr>
          <w:spacing w:val="0"/>
          <w:kern w:val="0"/>
          <w:sz w:val="20"/>
          <w:rtl/>
          <w:lang w:val="en-CA"/>
        </w:rPr>
        <w:t xml:space="preserve"> الفرع السويدي لمنظمة </w:t>
      </w:r>
      <w:r w:rsidRPr="006B489A">
        <w:rPr>
          <w:rFonts w:hint="cs"/>
          <w:spacing w:val="0"/>
          <w:kern w:val="0"/>
          <w:sz w:val="20"/>
          <w:rtl/>
          <w:lang w:val="en-CA"/>
        </w:rPr>
        <w:t>العفو</w:t>
      </w:r>
      <w:r w:rsidRPr="006B489A">
        <w:rPr>
          <w:spacing w:val="0"/>
          <w:kern w:val="0"/>
          <w:sz w:val="20"/>
          <w:rtl/>
          <w:lang w:val="en-CA"/>
        </w:rPr>
        <w:t xml:space="preserve"> الدولية </w:t>
      </w:r>
      <w:r w:rsidRPr="006B489A">
        <w:rPr>
          <w:rFonts w:hint="cs"/>
          <w:spacing w:val="0"/>
          <w:kern w:val="0"/>
          <w:sz w:val="20"/>
          <w:rtl/>
          <w:lang w:val="en-CA"/>
        </w:rPr>
        <w:t xml:space="preserve">أصحاب </w:t>
      </w:r>
      <w:r w:rsidRPr="006B489A">
        <w:rPr>
          <w:spacing w:val="0"/>
          <w:kern w:val="0"/>
          <w:sz w:val="20"/>
          <w:rtl/>
          <w:lang w:val="en-CA"/>
        </w:rPr>
        <w:t xml:space="preserve">الشكوى إلى مركز الأزمات </w:t>
      </w:r>
      <w:r w:rsidRPr="006B489A">
        <w:rPr>
          <w:rFonts w:hint="cs"/>
          <w:spacing w:val="0"/>
          <w:kern w:val="0"/>
          <w:sz w:val="20"/>
          <w:rtl/>
          <w:lang w:val="en-CA"/>
        </w:rPr>
        <w:t>والصدمات</w:t>
      </w:r>
      <w:r w:rsidRPr="006B489A">
        <w:rPr>
          <w:spacing w:val="0"/>
          <w:kern w:val="0"/>
          <w:sz w:val="20"/>
          <w:rtl/>
          <w:lang w:val="en-CA"/>
        </w:rPr>
        <w:t xml:space="preserve"> في مستشفى داندريد في </w:t>
      </w:r>
      <w:r w:rsidRPr="006B489A">
        <w:rPr>
          <w:rFonts w:hint="cs"/>
          <w:spacing w:val="0"/>
          <w:kern w:val="0"/>
          <w:sz w:val="20"/>
          <w:rtl/>
          <w:lang w:val="en-CA"/>
        </w:rPr>
        <w:t>ستكهولم</w:t>
      </w:r>
      <w:r w:rsidRPr="006B489A">
        <w:rPr>
          <w:spacing w:val="0"/>
          <w:kern w:val="0"/>
          <w:sz w:val="20"/>
          <w:rtl/>
          <w:lang w:val="en-CA"/>
        </w:rPr>
        <w:t xml:space="preserve">. وخلص الفحص النفسي إلى أن س. م. سرد </w:t>
      </w:r>
      <w:r w:rsidRPr="006B489A">
        <w:rPr>
          <w:rFonts w:hint="cs"/>
          <w:spacing w:val="0"/>
          <w:kern w:val="0"/>
          <w:sz w:val="20"/>
          <w:rtl/>
          <w:lang w:val="en-CA"/>
        </w:rPr>
        <w:t>أ</w:t>
      </w:r>
      <w:r w:rsidRPr="006B489A">
        <w:rPr>
          <w:spacing w:val="0"/>
          <w:kern w:val="0"/>
          <w:sz w:val="20"/>
          <w:rtl/>
          <w:lang w:val="en-CA"/>
        </w:rPr>
        <w:t xml:space="preserve">حداث </w:t>
      </w:r>
      <w:r w:rsidRPr="006B489A">
        <w:rPr>
          <w:rFonts w:hint="cs"/>
          <w:spacing w:val="0"/>
          <w:kern w:val="0"/>
          <w:sz w:val="20"/>
          <w:rtl/>
          <w:lang w:val="en-CA"/>
        </w:rPr>
        <w:t>اضطهاد</w:t>
      </w:r>
      <w:r w:rsidRPr="006B489A">
        <w:rPr>
          <w:spacing w:val="0"/>
          <w:kern w:val="0"/>
          <w:sz w:val="20"/>
          <w:rtl/>
          <w:lang w:val="en-CA"/>
        </w:rPr>
        <w:t xml:space="preserve"> </w:t>
      </w:r>
      <w:r w:rsidRPr="006B489A">
        <w:rPr>
          <w:rFonts w:hint="cs"/>
          <w:spacing w:val="0"/>
          <w:kern w:val="0"/>
          <w:sz w:val="20"/>
          <w:rtl/>
          <w:lang w:val="en-CA"/>
        </w:rPr>
        <w:t xml:space="preserve">تتوافر فيها </w:t>
      </w:r>
      <w:r w:rsidRPr="006B489A">
        <w:rPr>
          <w:spacing w:val="0"/>
          <w:kern w:val="0"/>
          <w:sz w:val="20"/>
          <w:rtl/>
          <w:lang w:val="en-CA"/>
        </w:rPr>
        <w:t xml:space="preserve">معايير التعذيب؛ </w:t>
      </w:r>
      <w:r w:rsidRPr="006B489A">
        <w:rPr>
          <w:rFonts w:hint="cs"/>
          <w:spacing w:val="0"/>
          <w:kern w:val="0"/>
          <w:sz w:val="20"/>
          <w:rtl/>
          <w:lang w:val="en-CA"/>
        </w:rPr>
        <w:t>ويمكن الجزم ب</w:t>
      </w:r>
      <w:r w:rsidRPr="006B489A">
        <w:rPr>
          <w:spacing w:val="0"/>
          <w:kern w:val="0"/>
          <w:sz w:val="20"/>
          <w:rtl/>
          <w:lang w:val="en-CA"/>
        </w:rPr>
        <w:t>أنه است</w:t>
      </w:r>
      <w:r w:rsidRPr="006B489A">
        <w:rPr>
          <w:rFonts w:hint="cs"/>
          <w:spacing w:val="0"/>
          <w:kern w:val="0"/>
          <w:sz w:val="20"/>
          <w:rtl/>
          <w:lang w:val="en-CA"/>
        </w:rPr>
        <w:t>ُ</w:t>
      </w:r>
      <w:r w:rsidRPr="006B489A">
        <w:rPr>
          <w:spacing w:val="0"/>
          <w:kern w:val="0"/>
          <w:sz w:val="20"/>
          <w:rtl/>
          <w:lang w:val="en-CA"/>
        </w:rPr>
        <w:t xml:space="preserve">جوب تحت التعذيب بالطريقة التي وصفها. </w:t>
      </w:r>
      <w:r w:rsidRPr="006B489A">
        <w:rPr>
          <w:rFonts w:hint="cs"/>
          <w:spacing w:val="0"/>
          <w:kern w:val="0"/>
          <w:sz w:val="20"/>
          <w:rtl/>
          <w:lang w:val="en-CA"/>
        </w:rPr>
        <w:t xml:space="preserve">كما خلص </w:t>
      </w:r>
      <w:r w:rsidRPr="006B489A">
        <w:rPr>
          <w:spacing w:val="0"/>
          <w:kern w:val="0"/>
          <w:sz w:val="20"/>
          <w:rtl/>
          <w:lang w:val="en-CA"/>
        </w:rPr>
        <w:t xml:space="preserve">فحص الطب الشرعي </w:t>
      </w:r>
      <w:r w:rsidRPr="006B489A">
        <w:rPr>
          <w:rFonts w:hint="cs"/>
          <w:spacing w:val="0"/>
          <w:kern w:val="0"/>
          <w:sz w:val="20"/>
          <w:rtl/>
          <w:lang w:val="en-CA"/>
        </w:rPr>
        <w:t xml:space="preserve">إلى </w:t>
      </w:r>
      <w:r w:rsidRPr="006B489A">
        <w:rPr>
          <w:spacing w:val="0"/>
          <w:kern w:val="0"/>
          <w:sz w:val="20"/>
          <w:rtl/>
          <w:lang w:val="en-CA"/>
        </w:rPr>
        <w:t xml:space="preserve">أنه لا يوجد ما يتعارض مع </w:t>
      </w:r>
      <w:r w:rsidRPr="006B489A">
        <w:rPr>
          <w:rFonts w:hint="cs"/>
          <w:spacing w:val="0"/>
          <w:kern w:val="0"/>
          <w:sz w:val="20"/>
          <w:rtl/>
          <w:lang w:val="en-CA"/>
        </w:rPr>
        <w:t>ما يدعيه من</w:t>
      </w:r>
      <w:r w:rsidRPr="006B489A">
        <w:rPr>
          <w:spacing w:val="0"/>
          <w:kern w:val="0"/>
          <w:sz w:val="20"/>
          <w:rtl/>
          <w:lang w:val="en-CA"/>
        </w:rPr>
        <w:t xml:space="preserve"> سوء معاملة. وفيما يتعلق بالسيدة </w:t>
      </w:r>
      <w:r w:rsidRPr="006B489A">
        <w:rPr>
          <w:rFonts w:hint="cs"/>
          <w:spacing w:val="0"/>
          <w:kern w:val="0"/>
          <w:sz w:val="20"/>
          <w:rtl/>
          <w:lang w:val="en-CA"/>
        </w:rPr>
        <w:t>ﻫ. م.</w:t>
      </w:r>
      <w:r w:rsidRPr="006B489A">
        <w:rPr>
          <w:spacing w:val="0"/>
          <w:kern w:val="0"/>
          <w:sz w:val="20"/>
          <w:rtl/>
          <w:lang w:val="en-CA"/>
        </w:rPr>
        <w:t>، خلص رأي الطب النفسي إلى أنه</w:t>
      </w:r>
      <w:r w:rsidRPr="006B489A">
        <w:rPr>
          <w:rFonts w:hint="cs"/>
          <w:spacing w:val="0"/>
          <w:kern w:val="0"/>
          <w:sz w:val="20"/>
          <w:rtl/>
          <w:lang w:val="en-CA"/>
        </w:rPr>
        <w:t>ا</w:t>
      </w:r>
      <w:r w:rsidRPr="006B489A">
        <w:rPr>
          <w:spacing w:val="0"/>
          <w:kern w:val="0"/>
          <w:sz w:val="20"/>
          <w:rtl/>
          <w:lang w:val="en-CA"/>
        </w:rPr>
        <w:t xml:space="preserve"> </w:t>
      </w:r>
      <w:r w:rsidRPr="006B489A">
        <w:rPr>
          <w:rFonts w:hint="cs"/>
          <w:spacing w:val="0"/>
          <w:kern w:val="0"/>
          <w:sz w:val="20"/>
          <w:rtl/>
          <w:lang w:val="en-CA"/>
        </w:rPr>
        <w:t>تفكر في</w:t>
      </w:r>
      <w:r w:rsidRPr="006B489A">
        <w:rPr>
          <w:spacing w:val="0"/>
          <w:kern w:val="0"/>
          <w:sz w:val="20"/>
          <w:rtl/>
          <w:lang w:val="en-CA"/>
        </w:rPr>
        <w:t xml:space="preserve"> الانتحار و</w:t>
      </w:r>
      <w:r w:rsidRPr="006B489A">
        <w:rPr>
          <w:rFonts w:hint="cs"/>
          <w:spacing w:val="0"/>
          <w:kern w:val="0"/>
          <w:sz w:val="20"/>
          <w:rtl/>
          <w:lang w:val="en-CA"/>
        </w:rPr>
        <w:t xml:space="preserve">أن حالتها تتوافر فيها </w:t>
      </w:r>
      <w:r w:rsidRPr="006B489A">
        <w:rPr>
          <w:spacing w:val="0"/>
          <w:kern w:val="0"/>
          <w:sz w:val="20"/>
          <w:rtl/>
          <w:lang w:val="en-CA"/>
        </w:rPr>
        <w:t xml:space="preserve">معايير </w:t>
      </w:r>
      <w:r w:rsidRPr="006B489A">
        <w:rPr>
          <w:rFonts w:hint="cs"/>
          <w:spacing w:val="0"/>
          <w:kern w:val="0"/>
          <w:sz w:val="20"/>
          <w:rtl/>
          <w:lang w:val="en-CA"/>
        </w:rPr>
        <w:t>اضطراب الإجهاد اللاحق للصدمة</w:t>
      </w:r>
      <w:r w:rsidRPr="006B489A">
        <w:rPr>
          <w:spacing w:val="0"/>
          <w:kern w:val="0"/>
          <w:sz w:val="20"/>
          <w:rtl/>
          <w:lang w:val="en-CA"/>
        </w:rPr>
        <w:t>؛ وخل</w:t>
      </w:r>
      <w:r w:rsidRPr="006B489A">
        <w:rPr>
          <w:rFonts w:hint="eastAsia"/>
          <w:spacing w:val="0"/>
          <w:kern w:val="0"/>
          <w:sz w:val="20"/>
          <w:rtl/>
          <w:lang w:val="en-CA"/>
        </w:rPr>
        <w:t>ص</w:t>
      </w:r>
      <w:r w:rsidRPr="006B489A">
        <w:rPr>
          <w:spacing w:val="0"/>
          <w:kern w:val="0"/>
          <w:sz w:val="20"/>
          <w:rtl/>
          <w:lang w:val="en-CA"/>
        </w:rPr>
        <w:t xml:space="preserve"> أيضاً إلى أنها تعرضت بما لا يدعو </w:t>
      </w:r>
      <w:r w:rsidRPr="006B489A">
        <w:rPr>
          <w:rFonts w:hint="cs"/>
          <w:spacing w:val="0"/>
          <w:kern w:val="0"/>
          <w:sz w:val="20"/>
          <w:rtl/>
          <w:lang w:val="en-CA"/>
        </w:rPr>
        <w:t>للجدل</w:t>
      </w:r>
      <w:r w:rsidRPr="006B489A">
        <w:rPr>
          <w:spacing w:val="0"/>
          <w:kern w:val="0"/>
          <w:sz w:val="20"/>
          <w:rtl/>
          <w:lang w:val="en-CA"/>
        </w:rPr>
        <w:t xml:space="preserve"> للأحداث التي وصفتها. ويمكن أن تؤكد نتائج فحص الطب الشرعي أنها خضعت للتعذيب.</w:t>
      </w:r>
    </w:p>
    <w:p w:rsidR="006B489A" w:rsidRPr="006B489A" w:rsidRDefault="006B489A" w:rsidP="006B489A">
      <w:pPr>
        <w:pStyle w:val="SingleTxtGA"/>
        <w:jc w:val="lowKashida"/>
        <w:rPr>
          <w:spacing w:val="0"/>
          <w:kern w:val="0"/>
          <w:sz w:val="20"/>
          <w:szCs w:val="20"/>
          <w:rtl/>
        </w:rPr>
      </w:pPr>
      <w:r w:rsidRPr="006B489A">
        <w:rPr>
          <w:rFonts w:hint="cs"/>
          <w:spacing w:val="0"/>
          <w:kern w:val="0"/>
          <w:sz w:val="20"/>
          <w:rtl/>
          <w:lang w:val="en-CA"/>
        </w:rPr>
        <w:t>2-4</w:t>
      </w:r>
      <w:r w:rsidRPr="006B489A">
        <w:rPr>
          <w:rFonts w:hint="cs"/>
          <w:spacing w:val="0"/>
          <w:kern w:val="0"/>
          <w:sz w:val="20"/>
          <w:rtl/>
          <w:lang w:val="en-CA"/>
        </w:rPr>
        <w:tab/>
        <w:t>وتدعي ﻫ. م. أنها تعرفت أثناء مشاهدة نشرة أخبار أذربيجان في عام 2005، إلى ضابط دائرة الأمن الوطني الذي اعتدى عليها والذي أصبح الآن من كبار المسؤولين في إدارة مراقبة الحدود. وقررت بعد ذلك أن تتحدث علناً عن تعرضها للاعتداء الجنسي من جانب ذلك الضابط وقُدم طلب إضافي بشأن هذه المسألة إلى مجلس الهجرة.</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2-5</w:t>
      </w:r>
      <w:r w:rsidRPr="006B489A">
        <w:rPr>
          <w:spacing w:val="0"/>
          <w:kern w:val="0"/>
          <w:sz w:val="20"/>
          <w:rtl/>
          <w:lang w:val="en-CA"/>
        </w:rPr>
        <w:tab/>
        <w:t xml:space="preserve">وفي 17 آذار/مارس </w:t>
      </w:r>
      <w:r w:rsidRPr="006B489A">
        <w:rPr>
          <w:rFonts w:hint="cs"/>
          <w:spacing w:val="0"/>
          <w:kern w:val="0"/>
          <w:sz w:val="20"/>
          <w:rtl/>
          <w:lang w:val="en-CA"/>
        </w:rPr>
        <w:t xml:space="preserve">2006، </w:t>
      </w:r>
      <w:r w:rsidRPr="006B489A">
        <w:rPr>
          <w:spacing w:val="0"/>
          <w:kern w:val="0"/>
          <w:sz w:val="20"/>
          <w:rtl/>
          <w:lang w:val="en-CA"/>
        </w:rPr>
        <w:t xml:space="preserve">رفض مجلس الهجرة طلب اللجوء الذي قدمه </w:t>
      </w:r>
      <w:r w:rsidRPr="006B489A">
        <w:rPr>
          <w:rFonts w:hint="cs"/>
          <w:spacing w:val="0"/>
          <w:kern w:val="0"/>
          <w:sz w:val="20"/>
          <w:rtl/>
          <w:lang w:val="en-CA"/>
        </w:rPr>
        <w:t>أصحاب</w:t>
      </w:r>
      <w:r w:rsidRPr="006B489A">
        <w:rPr>
          <w:spacing w:val="0"/>
          <w:kern w:val="0"/>
          <w:sz w:val="20"/>
          <w:rtl/>
          <w:lang w:val="en-CA"/>
        </w:rPr>
        <w:t xml:space="preserve"> الشكوى. وفي حين لم يشكك المجلس في </w:t>
      </w:r>
      <w:r w:rsidRPr="006B489A">
        <w:rPr>
          <w:rFonts w:hint="cs"/>
          <w:spacing w:val="0"/>
          <w:kern w:val="0"/>
          <w:sz w:val="20"/>
          <w:rtl/>
          <w:lang w:val="en-CA"/>
        </w:rPr>
        <w:t>أن أصحاب</w:t>
      </w:r>
      <w:r w:rsidRPr="006B489A">
        <w:rPr>
          <w:spacing w:val="0"/>
          <w:kern w:val="0"/>
          <w:sz w:val="20"/>
          <w:rtl/>
          <w:lang w:val="en-CA"/>
        </w:rPr>
        <w:t xml:space="preserve"> الشكوى </w:t>
      </w:r>
      <w:r w:rsidRPr="006B489A">
        <w:rPr>
          <w:rFonts w:hint="cs"/>
          <w:spacing w:val="0"/>
          <w:kern w:val="0"/>
          <w:sz w:val="20"/>
          <w:rtl/>
          <w:lang w:val="en-CA"/>
        </w:rPr>
        <w:t xml:space="preserve">تعرضوا </w:t>
      </w:r>
      <w:r w:rsidRPr="006B489A">
        <w:rPr>
          <w:spacing w:val="0"/>
          <w:kern w:val="0"/>
          <w:sz w:val="20"/>
          <w:rtl/>
          <w:lang w:val="en-CA"/>
        </w:rPr>
        <w:t>للضرب والاعتداء، فقد أشار إلى أن هذه الأحداث لم تقع بالضرورة بعد إنفاذ أمر الترحيل في عام 2004. وخلص مجلس الهجرة</w:t>
      </w:r>
      <w:r w:rsidRPr="006B489A">
        <w:rPr>
          <w:rFonts w:hint="cs"/>
          <w:spacing w:val="0"/>
          <w:kern w:val="0"/>
          <w:sz w:val="20"/>
          <w:rtl/>
          <w:lang w:val="en-CA"/>
        </w:rPr>
        <w:t xml:space="preserve"> إلى</w:t>
      </w:r>
      <w:r w:rsidRPr="006B489A">
        <w:rPr>
          <w:spacing w:val="0"/>
          <w:kern w:val="0"/>
          <w:sz w:val="20"/>
          <w:rtl/>
          <w:lang w:val="en-CA"/>
        </w:rPr>
        <w:t xml:space="preserve"> أن </w:t>
      </w:r>
      <w:r w:rsidRPr="006B489A">
        <w:rPr>
          <w:rFonts w:hint="cs"/>
          <w:spacing w:val="0"/>
          <w:kern w:val="0"/>
          <w:sz w:val="20"/>
          <w:rtl/>
          <w:lang w:val="en-CA"/>
        </w:rPr>
        <w:t xml:space="preserve">مرتكبي هذه الأفعال </w:t>
      </w:r>
      <w:r w:rsidRPr="006B489A">
        <w:rPr>
          <w:spacing w:val="0"/>
          <w:kern w:val="0"/>
          <w:sz w:val="20"/>
          <w:rtl/>
          <w:lang w:val="en-CA"/>
        </w:rPr>
        <w:t xml:space="preserve">لم يتصرفوا باسم السلطات وأن </w:t>
      </w:r>
      <w:r w:rsidRPr="006B489A">
        <w:rPr>
          <w:rFonts w:hint="cs"/>
          <w:spacing w:val="0"/>
          <w:kern w:val="0"/>
          <w:sz w:val="20"/>
          <w:rtl/>
          <w:lang w:val="en-CA"/>
        </w:rPr>
        <w:t xml:space="preserve">أصحاب </w:t>
      </w:r>
      <w:r w:rsidRPr="006B489A">
        <w:rPr>
          <w:spacing w:val="0"/>
          <w:kern w:val="0"/>
          <w:sz w:val="20"/>
          <w:rtl/>
          <w:lang w:val="en-CA"/>
        </w:rPr>
        <w:t xml:space="preserve">الشكوى </w:t>
      </w:r>
      <w:r w:rsidRPr="006B489A">
        <w:rPr>
          <w:rFonts w:hint="cs"/>
          <w:spacing w:val="0"/>
          <w:kern w:val="0"/>
          <w:sz w:val="20"/>
          <w:rtl/>
          <w:lang w:val="en-CA"/>
        </w:rPr>
        <w:t xml:space="preserve">بإمكانهم </w:t>
      </w:r>
      <w:r w:rsidRPr="006B489A">
        <w:rPr>
          <w:spacing w:val="0"/>
          <w:kern w:val="0"/>
          <w:sz w:val="20"/>
          <w:rtl/>
          <w:lang w:val="en-CA"/>
        </w:rPr>
        <w:t xml:space="preserve">العيش في أذربيجان. </w:t>
      </w:r>
    </w:p>
    <w:p w:rsidR="006B489A" w:rsidRPr="006B489A" w:rsidRDefault="006B489A" w:rsidP="006B489A">
      <w:pPr>
        <w:pStyle w:val="SingleTxtGA"/>
        <w:jc w:val="lowKashida"/>
        <w:rPr>
          <w:spacing w:val="-2"/>
          <w:kern w:val="0"/>
          <w:sz w:val="20"/>
          <w:rtl/>
          <w:lang w:val="en-CA"/>
        </w:rPr>
      </w:pPr>
      <w:r w:rsidRPr="006B489A">
        <w:rPr>
          <w:spacing w:val="-2"/>
          <w:kern w:val="0"/>
          <w:sz w:val="20"/>
          <w:rtl/>
          <w:lang w:val="en-CA"/>
        </w:rPr>
        <w:t>2-6</w:t>
      </w:r>
      <w:r w:rsidRPr="006B489A">
        <w:rPr>
          <w:spacing w:val="-2"/>
          <w:kern w:val="0"/>
          <w:sz w:val="20"/>
          <w:rtl/>
          <w:lang w:val="en-CA"/>
        </w:rPr>
        <w:tab/>
        <w:t xml:space="preserve">وطعن </w:t>
      </w:r>
      <w:r w:rsidRPr="006B489A">
        <w:rPr>
          <w:rFonts w:hint="cs"/>
          <w:spacing w:val="-2"/>
          <w:kern w:val="0"/>
          <w:sz w:val="20"/>
          <w:rtl/>
          <w:lang w:val="en-CA"/>
        </w:rPr>
        <w:t>أصحاب</w:t>
      </w:r>
      <w:r w:rsidRPr="006B489A">
        <w:rPr>
          <w:spacing w:val="-2"/>
          <w:kern w:val="0"/>
          <w:sz w:val="20"/>
          <w:rtl/>
          <w:lang w:val="en-CA"/>
        </w:rPr>
        <w:t xml:space="preserve"> الشكوى في قرار مجلس الهجرة أمام محكمة الهجرة. وعقدت جلسة المحكمة في 7 أيار/مايو 2007. وفي وقت لاحق، ق</w:t>
      </w:r>
      <w:r w:rsidRPr="006B489A">
        <w:rPr>
          <w:rFonts w:hint="cs"/>
          <w:spacing w:val="-2"/>
          <w:kern w:val="0"/>
          <w:sz w:val="20"/>
          <w:rtl/>
          <w:lang w:val="en-CA"/>
        </w:rPr>
        <w:t>ُ</w:t>
      </w:r>
      <w:r w:rsidRPr="006B489A">
        <w:rPr>
          <w:spacing w:val="-2"/>
          <w:kern w:val="0"/>
          <w:sz w:val="20"/>
          <w:rtl/>
          <w:lang w:val="en-CA"/>
        </w:rPr>
        <w:t xml:space="preserve">دمت عدة رسائل </w:t>
      </w:r>
      <w:r w:rsidRPr="006B489A">
        <w:rPr>
          <w:rFonts w:hint="cs"/>
          <w:spacing w:val="-2"/>
          <w:kern w:val="0"/>
          <w:sz w:val="20"/>
          <w:rtl/>
          <w:lang w:val="en-CA"/>
        </w:rPr>
        <w:t>خطية</w:t>
      </w:r>
      <w:r w:rsidRPr="006B489A">
        <w:rPr>
          <w:spacing w:val="-2"/>
          <w:kern w:val="0"/>
          <w:sz w:val="20"/>
          <w:rtl/>
          <w:lang w:val="en-CA"/>
        </w:rPr>
        <w:t xml:space="preserve"> إلى المحكمة،</w:t>
      </w:r>
      <w:r>
        <w:rPr>
          <w:rFonts w:hint="cs"/>
          <w:spacing w:val="-2"/>
          <w:kern w:val="0"/>
          <w:sz w:val="20"/>
          <w:rtl/>
          <w:lang w:val="en-CA"/>
        </w:rPr>
        <w:t xml:space="preserve"> </w:t>
      </w:r>
      <w:r w:rsidRPr="006B489A">
        <w:rPr>
          <w:spacing w:val="-2"/>
          <w:kern w:val="0"/>
          <w:sz w:val="20"/>
          <w:rtl/>
          <w:lang w:val="en-CA"/>
        </w:rPr>
        <w:t xml:space="preserve">بما في ذلك رسالة من مفوضية الأمم المتحدة لشؤون </w:t>
      </w:r>
      <w:r w:rsidRPr="006B489A">
        <w:rPr>
          <w:rFonts w:hint="cs"/>
          <w:spacing w:val="-2"/>
          <w:kern w:val="0"/>
          <w:sz w:val="20"/>
          <w:rtl/>
          <w:lang w:val="en-CA"/>
        </w:rPr>
        <w:t>اللاجئين</w:t>
      </w:r>
      <w:r w:rsidRPr="006B489A">
        <w:rPr>
          <w:spacing w:val="-2"/>
          <w:kern w:val="0"/>
          <w:sz w:val="20"/>
          <w:rtl/>
          <w:lang w:val="en-CA"/>
        </w:rPr>
        <w:t xml:space="preserve"> في </w:t>
      </w:r>
      <w:r w:rsidRPr="006B489A">
        <w:rPr>
          <w:rFonts w:hint="cs"/>
          <w:spacing w:val="-2"/>
          <w:kern w:val="0"/>
          <w:sz w:val="20"/>
          <w:rtl/>
          <w:lang w:val="en-CA"/>
        </w:rPr>
        <w:t>ستكهولم</w:t>
      </w:r>
      <w:r w:rsidRPr="006B489A">
        <w:rPr>
          <w:spacing w:val="-2"/>
          <w:kern w:val="0"/>
          <w:sz w:val="20"/>
          <w:rtl/>
          <w:lang w:val="en-CA"/>
        </w:rPr>
        <w:t xml:space="preserve"> تشير إلى أن مبادئها التوجيهية </w:t>
      </w:r>
      <w:r w:rsidRPr="006B489A">
        <w:rPr>
          <w:rFonts w:hint="cs"/>
          <w:spacing w:val="-2"/>
          <w:kern w:val="0"/>
          <w:sz w:val="20"/>
          <w:rtl/>
          <w:lang w:val="en-CA"/>
        </w:rPr>
        <w:t xml:space="preserve">لعام 2003 </w:t>
      </w:r>
      <w:r w:rsidRPr="006B489A">
        <w:rPr>
          <w:spacing w:val="-2"/>
          <w:kern w:val="0"/>
          <w:sz w:val="20"/>
          <w:rtl/>
          <w:lang w:val="en-CA"/>
        </w:rPr>
        <w:t xml:space="preserve">بشأن أذربيجان لا تزال سارية وأن أي شخص أرمني </w:t>
      </w:r>
      <w:r w:rsidRPr="006B489A">
        <w:rPr>
          <w:rFonts w:hint="cs"/>
          <w:spacing w:val="-2"/>
          <w:kern w:val="0"/>
          <w:sz w:val="20"/>
          <w:rtl/>
          <w:lang w:val="en-CA"/>
        </w:rPr>
        <w:t>يعود</w:t>
      </w:r>
      <w:r w:rsidRPr="006B489A">
        <w:rPr>
          <w:spacing w:val="-2"/>
          <w:kern w:val="0"/>
          <w:sz w:val="20"/>
          <w:rtl/>
          <w:lang w:val="en-CA"/>
        </w:rPr>
        <w:t xml:space="preserve"> </w:t>
      </w:r>
      <w:r w:rsidRPr="006B489A">
        <w:rPr>
          <w:rFonts w:hint="cs"/>
          <w:spacing w:val="-2"/>
          <w:kern w:val="0"/>
          <w:sz w:val="20"/>
          <w:rtl/>
          <w:lang w:val="en-CA"/>
        </w:rPr>
        <w:t xml:space="preserve">إلى أذربيجان يواجه </w:t>
      </w:r>
      <w:r w:rsidRPr="006B489A">
        <w:rPr>
          <w:spacing w:val="-2"/>
          <w:kern w:val="0"/>
          <w:sz w:val="20"/>
          <w:rtl/>
          <w:lang w:val="en-CA"/>
        </w:rPr>
        <w:t xml:space="preserve">خطر </w:t>
      </w:r>
      <w:r w:rsidRPr="006B489A">
        <w:rPr>
          <w:rFonts w:hint="cs"/>
          <w:spacing w:val="-2"/>
          <w:kern w:val="0"/>
          <w:sz w:val="20"/>
          <w:rtl/>
          <w:lang w:val="en-CA"/>
        </w:rPr>
        <w:t xml:space="preserve">التعرض </w:t>
      </w:r>
      <w:r w:rsidRPr="006B489A">
        <w:rPr>
          <w:spacing w:val="-2"/>
          <w:kern w:val="0"/>
          <w:sz w:val="20"/>
          <w:rtl/>
          <w:lang w:val="en-CA"/>
        </w:rPr>
        <w:t>لضغ</w:t>
      </w:r>
      <w:r w:rsidRPr="006B489A">
        <w:rPr>
          <w:rFonts w:hint="cs"/>
          <w:spacing w:val="-2"/>
          <w:kern w:val="0"/>
          <w:sz w:val="20"/>
          <w:rtl/>
          <w:lang w:val="en-CA"/>
        </w:rPr>
        <w:t>و</w:t>
      </w:r>
      <w:r w:rsidRPr="006B489A">
        <w:rPr>
          <w:spacing w:val="-2"/>
          <w:kern w:val="0"/>
          <w:sz w:val="20"/>
          <w:rtl/>
          <w:lang w:val="en-CA"/>
        </w:rPr>
        <w:t xml:space="preserve">ط </w:t>
      </w:r>
      <w:r w:rsidRPr="006B489A">
        <w:rPr>
          <w:rFonts w:hint="cs"/>
          <w:spacing w:val="-2"/>
          <w:kern w:val="0"/>
          <w:sz w:val="20"/>
          <w:rtl/>
          <w:lang w:val="en-CA"/>
        </w:rPr>
        <w:t xml:space="preserve">دوائر </w:t>
      </w:r>
      <w:r w:rsidRPr="006B489A">
        <w:rPr>
          <w:spacing w:val="-2"/>
          <w:kern w:val="0"/>
          <w:sz w:val="20"/>
          <w:rtl/>
          <w:lang w:val="en-CA"/>
        </w:rPr>
        <w:t>الأمن</w:t>
      </w:r>
      <w:r w:rsidRPr="006B489A">
        <w:rPr>
          <w:rFonts w:hint="cs"/>
          <w:spacing w:val="-2"/>
          <w:kern w:val="0"/>
          <w:sz w:val="20"/>
          <w:szCs w:val="28"/>
          <w:vertAlign w:val="superscript"/>
          <w:rtl/>
          <w:lang w:val="en-CA"/>
        </w:rPr>
        <w:t>(</w:t>
      </w:r>
      <w:r w:rsidRPr="006B489A">
        <w:rPr>
          <w:spacing w:val="-2"/>
          <w:kern w:val="0"/>
          <w:sz w:val="20"/>
          <w:szCs w:val="28"/>
          <w:vertAlign w:val="superscript"/>
          <w:rtl/>
        </w:rPr>
        <w:footnoteReference w:id="246"/>
      </w:r>
      <w:r w:rsidRPr="006B489A">
        <w:rPr>
          <w:rFonts w:hint="cs"/>
          <w:spacing w:val="-2"/>
          <w:kern w:val="0"/>
          <w:sz w:val="20"/>
          <w:szCs w:val="28"/>
          <w:vertAlign w:val="superscript"/>
          <w:rtl/>
          <w:lang w:val="en-CA"/>
        </w:rPr>
        <w:t>)</w:t>
      </w:r>
      <w:r w:rsidRPr="006B489A">
        <w:rPr>
          <w:rFonts w:hint="cs"/>
          <w:spacing w:val="-2"/>
          <w:kern w:val="0"/>
          <w:sz w:val="20"/>
          <w:rtl/>
          <w:lang w:val="en-CA"/>
        </w:rPr>
        <w:t xml:space="preserve">. </w:t>
      </w:r>
      <w:r w:rsidRPr="006B489A">
        <w:rPr>
          <w:rFonts w:hint="eastAsia"/>
          <w:spacing w:val="-2"/>
          <w:kern w:val="0"/>
          <w:sz w:val="20"/>
          <w:rtl/>
          <w:lang w:val="en-CA"/>
        </w:rPr>
        <w:t>واعترض</w:t>
      </w:r>
      <w:r w:rsidRPr="006B489A">
        <w:rPr>
          <w:spacing w:val="-2"/>
          <w:kern w:val="0"/>
          <w:sz w:val="20"/>
          <w:rtl/>
          <w:lang w:val="en-CA"/>
        </w:rPr>
        <w:t xml:space="preserve"> مجلس الهجرة على الطعن مدعياً أن المبادئ التوجيهية لمفوضية الأمم المتحدة لشؤون </w:t>
      </w:r>
      <w:r w:rsidRPr="006B489A">
        <w:rPr>
          <w:rFonts w:hint="cs"/>
          <w:spacing w:val="-2"/>
          <w:kern w:val="0"/>
          <w:sz w:val="20"/>
          <w:rtl/>
          <w:lang w:val="en-CA"/>
        </w:rPr>
        <w:t>اللاجئين</w:t>
      </w:r>
      <w:r w:rsidRPr="006B489A">
        <w:rPr>
          <w:spacing w:val="-2"/>
          <w:kern w:val="0"/>
          <w:sz w:val="20"/>
          <w:rtl/>
          <w:lang w:val="en-CA"/>
        </w:rPr>
        <w:t xml:space="preserve"> تنطبق على الأرمن والأسر </w:t>
      </w:r>
      <w:r w:rsidRPr="006B489A">
        <w:rPr>
          <w:rFonts w:hint="cs"/>
          <w:spacing w:val="-2"/>
          <w:kern w:val="0"/>
          <w:sz w:val="20"/>
          <w:rtl/>
          <w:lang w:val="en-CA"/>
        </w:rPr>
        <w:t>ذات</w:t>
      </w:r>
      <w:r w:rsidRPr="006B489A">
        <w:rPr>
          <w:spacing w:val="-2"/>
          <w:kern w:val="0"/>
          <w:sz w:val="20"/>
          <w:rtl/>
          <w:lang w:val="en-CA"/>
        </w:rPr>
        <w:t xml:space="preserve"> الأصول المختل</w:t>
      </w:r>
      <w:r w:rsidRPr="006B489A">
        <w:rPr>
          <w:rFonts w:hint="cs"/>
          <w:spacing w:val="-2"/>
          <w:kern w:val="0"/>
          <w:sz w:val="20"/>
          <w:rtl/>
          <w:lang w:val="en-CA"/>
        </w:rPr>
        <w:t>ط</w:t>
      </w:r>
      <w:r w:rsidRPr="006B489A">
        <w:rPr>
          <w:spacing w:val="-2"/>
          <w:kern w:val="0"/>
          <w:sz w:val="20"/>
          <w:rtl/>
          <w:lang w:val="en-CA"/>
        </w:rPr>
        <w:t>ة، في حين لا تنتمي أسرة س. م. إلى هذه الفئة. وق</w:t>
      </w:r>
      <w:r w:rsidRPr="006B489A">
        <w:rPr>
          <w:rFonts w:hint="cs"/>
          <w:spacing w:val="-2"/>
          <w:kern w:val="0"/>
          <w:sz w:val="20"/>
          <w:rtl/>
          <w:lang w:val="en-CA"/>
        </w:rPr>
        <w:t>ُ</w:t>
      </w:r>
      <w:r w:rsidRPr="006B489A">
        <w:rPr>
          <w:spacing w:val="-2"/>
          <w:kern w:val="0"/>
          <w:sz w:val="20"/>
          <w:rtl/>
          <w:lang w:val="en-CA"/>
        </w:rPr>
        <w:t xml:space="preserve">دمت وثيقة أخرى صادرة عن مفوضية الأمم المتحدة لشؤون </w:t>
      </w:r>
      <w:r w:rsidRPr="006B489A">
        <w:rPr>
          <w:rFonts w:hint="cs"/>
          <w:spacing w:val="-2"/>
          <w:kern w:val="0"/>
          <w:sz w:val="20"/>
          <w:rtl/>
          <w:lang w:val="en-CA"/>
        </w:rPr>
        <w:t>اللاجئين</w:t>
      </w:r>
      <w:r w:rsidRPr="006B489A">
        <w:rPr>
          <w:spacing w:val="-2"/>
          <w:kern w:val="0"/>
          <w:sz w:val="20"/>
          <w:rtl/>
          <w:lang w:val="en-CA"/>
        </w:rPr>
        <w:t xml:space="preserve"> </w:t>
      </w:r>
      <w:r w:rsidRPr="006B489A">
        <w:rPr>
          <w:rFonts w:hint="eastAsia"/>
          <w:spacing w:val="-2"/>
          <w:kern w:val="0"/>
          <w:sz w:val="20"/>
          <w:rtl/>
          <w:lang w:val="en-CA"/>
        </w:rPr>
        <w:t>في</w:t>
      </w:r>
      <w:r w:rsidRPr="006B489A">
        <w:rPr>
          <w:spacing w:val="-2"/>
          <w:kern w:val="0"/>
          <w:sz w:val="20"/>
          <w:rtl/>
          <w:lang w:val="en-CA"/>
        </w:rPr>
        <w:t xml:space="preserve"> باكو لأول مرة إلى سلطات الهجرة.</w:t>
      </w:r>
    </w:p>
    <w:p w:rsidR="006B489A" w:rsidRPr="006B489A" w:rsidRDefault="006B489A" w:rsidP="00B35B26">
      <w:pPr>
        <w:pStyle w:val="SingleTxtGA"/>
        <w:jc w:val="lowKashida"/>
        <w:rPr>
          <w:spacing w:val="0"/>
          <w:kern w:val="0"/>
          <w:sz w:val="20"/>
          <w:szCs w:val="20"/>
          <w:rtl/>
        </w:rPr>
      </w:pPr>
      <w:r w:rsidRPr="006B489A">
        <w:rPr>
          <w:spacing w:val="0"/>
          <w:kern w:val="0"/>
          <w:sz w:val="20"/>
          <w:rtl/>
          <w:lang w:val="en-CA"/>
        </w:rPr>
        <w:t>2-7</w:t>
      </w:r>
      <w:r w:rsidRPr="006B489A">
        <w:rPr>
          <w:spacing w:val="0"/>
          <w:kern w:val="0"/>
          <w:sz w:val="20"/>
          <w:rtl/>
          <w:lang w:val="en-CA"/>
        </w:rPr>
        <w:tab/>
        <w:t xml:space="preserve">وفي 7 أيلول/سبتمبر 2007، رفضت محكمة الهجرة طعن </w:t>
      </w:r>
      <w:r w:rsidRPr="006B489A">
        <w:rPr>
          <w:rFonts w:hint="cs"/>
          <w:spacing w:val="0"/>
          <w:kern w:val="0"/>
          <w:sz w:val="20"/>
          <w:rtl/>
          <w:lang w:val="en-CA"/>
        </w:rPr>
        <w:t>أصحاب</w:t>
      </w:r>
      <w:r w:rsidRPr="006B489A">
        <w:rPr>
          <w:spacing w:val="0"/>
          <w:kern w:val="0"/>
          <w:sz w:val="20"/>
          <w:rtl/>
          <w:lang w:val="en-CA"/>
        </w:rPr>
        <w:t xml:space="preserve"> الشكوى على أساس أن الشهادات الطبية لم تكن قاطعة بما فيه الكفاية فيما يتعلق بسوء المعاملة المزعومة، وأن الاع</w:t>
      </w:r>
      <w:r w:rsidRPr="006B489A">
        <w:rPr>
          <w:rFonts w:hint="cs"/>
          <w:spacing w:val="0"/>
          <w:kern w:val="0"/>
          <w:sz w:val="20"/>
          <w:rtl/>
          <w:lang w:val="en-CA"/>
        </w:rPr>
        <w:t xml:space="preserve">تداءات </w:t>
      </w:r>
      <w:r w:rsidRPr="006B489A">
        <w:rPr>
          <w:spacing w:val="0"/>
          <w:kern w:val="0"/>
          <w:sz w:val="20"/>
          <w:rtl/>
          <w:lang w:val="en-CA"/>
        </w:rPr>
        <w:t xml:space="preserve">المزعومة كانت نتيجة تصرف أشخاص وليس </w:t>
      </w:r>
      <w:r w:rsidRPr="006B489A">
        <w:rPr>
          <w:rFonts w:hint="cs"/>
          <w:spacing w:val="0"/>
          <w:kern w:val="0"/>
          <w:sz w:val="20"/>
          <w:rtl/>
          <w:lang w:val="en-CA"/>
        </w:rPr>
        <w:t>تصرف موظفي</w:t>
      </w:r>
      <w:r w:rsidRPr="006B489A">
        <w:rPr>
          <w:spacing w:val="0"/>
          <w:kern w:val="0"/>
          <w:sz w:val="20"/>
          <w:rtl/>
          <w:lang w:val="en-CA"/>
        </w:rPr>
        <w:t xml:space="preserve"> الدولة. وشككت محكمة الهجرة مرة أخرى في الأصو</w:t>
      </w:r>
      <w:r w:rsidRPr="006B489A">
        <w:rPr>
          <w:rFonts w:hint="eastAsia"/>
          <w:spacing w:val="0"/>
          <w:kern w:val="0"/>
          <w:sz w:val="20"/>
          <w:rtl/>
          <w:lang w:val="en-CA"/>
        </w:rPr>
        <w:t>ل</w:t>
      </w:r>
      <w:r w:rsidRPr="006B489A">
        <w:rPr>
          <w:spacing w:val="0"/>
          <w:kern w:val="0"/>
          <w:sz w:val="20"/>
          <w:rtl/>
          <w:lang w:val="en-CA"/>
        </w:rPr>
        <w:t xml:space="preserve"> الإثنية المختلطة للأسرة على أساس أن شهادات ميلاد الأطفال تشير إلى أن </w:t>
      </w:r>
      <w:r w:rsidRPr="006B489A">
        <w:rPr>
          <w:rFonts w:hint="cs"/>
          <w:spacing w:val="0"/>
          <w:kern w:val="0"/>
          <w:sz w:val="20"/>
          <w:rtl/>
          <w:lang w:val="en-CA"/>
        </w:rPr>
        <w:t>الوالدين</w:t>
      </w:r>
      <w:r w:rsidRPr="006B489A">
        <w:rPr>
          <w:spacing w:val="0"/>
          <w:kern w:val="0"/>
          <w:sz w:val="20"/>
          <w:rtl/>
          <w:lang w:val="en-CA"/>
        </w:rPr>
        <w:t xml:space="preserve"> مسجل</w:t>
      </w:r>
      <w:r w:rsidRPr="006B489A">
        <w:rPr>
          <w:rFonts w:hint="cs"/>
          <w:spacing w:val="0"/>
          <w:kern w:val="0"/>
          <w:sz w:val="20"/>
          <w:rtl/>
          <w:lang w:val="en-CA"/>
        </w:rPr>
        <w:t>ا</w:t>
      </w:r>
      <w:r w:rsidRPr="006B489A">
        <w:rPr>
          <w:spacing w:val="0"/>
          <w:kern w:val="0"/>
          <w:sz w:val="20"/>
          <w:rtl/>
          <w:lang w:val="en-CA"/>
        </w:rPr>
        <w:t xml:space="preserve">ن </w:t>
      </w:r>
      <w:r w:rsidRPr="006B489A">
        <w:rPr>
          <w:rFonts w:hint="cs"/>
          <w:spacing w:val="0"/>
          <w:kern w:val="0"/>
          <w:sz w:val="20"/>
          <w:rtl/>
          <w:lang w:val="en-CA"/>
        </w:rPr>
        <w:t>على أنهما من أصل أذربيجاني</w:t>
      </w:r>
      <w:r w:rsidRPr="006B489A">
        <w:rPr>
          <w:spacing w:val="0"/>
          <w:kern w:val="0"/>
          <w:sz w:val="20"/>
          <w:rtl/>
          <w:lang w:val="en-CA"/>
        </w:rPr>
        <w:t>. وبالإضافة إلى ذلك، لاحظت المحكمة أن س.</w:t>
      </w:r>
      <w:r w:rsidRPr="006B489A">
        <w:rPr>
          <w:rFonts w:hint="cs"/>
          <w:spacing w:val="0"/>
          <w:kern w:val="0"/>
          <w:sz w:val="20"/>
          <w:rtl/>
          <w:lang w:val="en-CA"/>
        </w:rPr>
        <w:t> </w:t>
      </w:r>
      <w:r w:rsidRPr="006B489A">
        <w:rPr>
          <w:spacing w:val="0"/>
          <w:kern w:val="0"/>
          <w:sz w:val="20"/>
          <w:rtl/>
          <w:lang w:val="en-CA"/>
        </w:rPr>
        <w:t>م. عمل في مطار باكو من عام 1976 إلى عام</w:t>
      </w:r>
      <w:r w:rsidR="00C03ECB">
        <w:rPr>
          <w:rFonts w:hint="cs"/>
          <w:spacing w:val="0"/>
          <w:kern w:val="0"/>
          <w:sz w:val="20"/>
          <w:rtl/>
          <w:lang w:val="en-CA"/>
        </w:rPr>
        <w:t> </w:t>
      </w:r>
      <w:r w:rsidRPr="006B489A">
        <w:rPr>
          <w:spacing w:val="0"/>
          <w:kern w:val="0"/>
          <w:sz w:val="20"/>
          <w:rtl/>
          <w:lang w:val="en-CA"/>
        </w:rPr>
        <w:t>1996 وأنه حصل على تصريح قيادة في عام 2000، و</w:t>
      </w:r>
      <w:r w:rsidRPr="006B489A">
        <w:rPr>
          <w:rFonts w:hint="cs"/>
          <w:spacing w:val="0"/>
          <w:kern w:val="0"/>
          <w:sz w:val="20"/>
          <w:rtl/>
          <w:lang w:val="en-CA"/>
        </w:rPr>
        <w:t xml:space="preserve">يشير هذان الأمران </w:t>
      </w:r>
      <w:r w:rsidRPr="006B489A">
        <w:rPr>
          <w:spacing w:val="0"/>
          <w:kern w:val="0"/>
          <w:sz w:val="20"/>
          <w:rtl/>
          <w:lang w:val="en-CA"/>
        </w:rPr>
        <w:t>إلى أنه لم</w:t>
      </w:r>
      <w:r w:rsidR="00B35B26">
        <w:rPr>
          <w:rFonts w:hint="cs"/>
          <w:spacing w:val="0"/>
          <w:kern w:val="0"/>
          <w:sz w:val="20"/>
          <w:rtl/>
          <w:lang w:val="en-CA"/>
        </w:rPr>
        <w:t> </w:t>
      </w:r>
      <w:r w:rsidRPr="006B489A">
        <w:rPr>
          <w:spacing w:val="0"/>
          <w:kern w:val="0"/>
          <w:sz w:val="20"/>
          <w:rtl/>
          <w:lang w:val="en-CA"/>
        </w:rPr>
        <w:t>يواجه أي مشاكل مع السلطات بسبب أصول والدته الأرمنية. و</w:t>
      </w:r>
      <w:r w:rsidRPr="006B489A">
        <w:rPr>
          <w:rFonts w:hint="cs"/>
          <w:spacing w:val="0"/>
          <w:kern w:val="0"/>
          <w:sz w:val="20"/>
          <w:rtl/>
          <w:lang w:val="en-CA"/>
        </w:rPr>
        <w:t>علاوة ع</w:t>
      </w:r>
      <w:r w:rsidRPr="006B489A">
        <w:rPr>
          <w:spacing w:val="0"/>
          <w:kern w:val="0"/>
          <w:sz w:val="20"/>
          <w:rtl/>
          <w:lang w:val="en-CA"/>
        </w:rPr>
        <w:t xml:space="preserve">لى ذلك، فقد اتصلت الأسرة بثلاث مدارس مختلفة ووزارة التعليم </w:t>
      </w:r>
      <w:r w:rsidRPr="006B489A">
        <w:rPr>
          <w:rFonts w:hint="cs"/>
          <w:spacing w:val="0"/>
          <w:kern w:val="0"/>
          <w:sz w:val="20"/>
          <w:rtl/>
          <w:lang w:val="en-CA"/>
        </w:rPr>
        <w:t xml:space="preserve">لتسجيل </w:t>
      </w:r>
      <w:r w:rsidRPr="006B489A">
        <w:rPr>
          <w:spacing w:val="0"/>
          <w:kern w:val="0"/>
          <w:sz w:val="20"/>
          <w:rtl/>
          <w:lang w:val="en-CA"/>
        </w:rPr>
        <w:t>ابنتهما بالمدرسة وهو ما يبين عدم وجود اضطهاد من قبل السلطات. وأشارت المحكمة إلى أن الآراء التي قدمتها م</w:t>
      </w:r>
      <w:r w:rsidRPr="006B489A">
        <w:rPr>
          <w:rFonts w:hint="eastAsia"/>
          <w:spacing w:val="0"/>
          <w:kern w:val="0"/>
          <w:sz w:val="20"/>
          <w:rtl/>
          <w:lang w:val="en-CA"/>
        </w:rPr>
        <w:t>فوضية</w:t>
      </w:r>
      <w:r w:rsidRPr="006B489A">
        <w:rPr>
          <w:spacing w:val="0"/>
          <w:kern w:val="0"/>
          <w:sz w:val="20"/>
          <w:rtl/>
          <w:lang w:val="en-CA"/>
        </w:rPr>
        <w:t xml:space="preserve">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ومنظمة العفو الدولية لا تثبت </w:t>
      </w:r>
      <w:r w:rsidRPr="006B489A">
        <w:rPr>
          <w:rFonts w:hint="cs"/>
          <w:spacing w:val="0"/>
          <w:kern w:val="0"/>
          <w:sz w:val="20"/>
          <w:rtl/>
          <w:lang w:val="en-CA"/>
        </w:rPr>
        <w:t xml:space="preserve">وجود </w:t>
      </w:r>
      <w:r w:rsidRPr="006B489A">
        <w:rPr>
          <w:spacing w:val="0"/>
          <w:kern w:val="0"/>
          <w:sz w:val="20"/>
          <w:rtl/>
          <w:lang w:val="en-CA"/>
        </w:rPr>
        <w:t xml:space="preserve">اضطهاد </w:t>
      </w:r>
      <w:r w:rsidRPr="006B489A">
        <w:rPr>
          <w:rFonts w:hint="cs"/>
          <w:spacing w:val="0"/>
          <w:kern w:val="0"/>
          <w:sz w:val="20"/>
          <w:rtl/>
          <w:lang w:val="en-CA"/>
        </w:rPr>
        <w:t xml:space="preserve">تجيزه </w:t>
      </w:r>
      <w:r w:rsidRPr="006B489A">
        <w:rPr>
          <w:spacing w:val="0"/>
          <w:kern w:val="0"/>
          <w:sz w:val="20"/>
          <w:rtl/>
          <w:lang w:val="en-CA"/>
        </w:rPr>
        <w:t xml:space="preserve">الدولة في أذربيجان </w:t>
      </w:r>
      <w:r w:rsidRPr="006B489A">
        <w:rPr>
          <w:rFonts w:hint="cs"/>
          <w:spacing w:val="0"/>
          <w:kern w:val="0"/>
          <w:sz w:val="20"/>
          <w:rtl/>
          <w:lang w:val="en-CA"/>
        </w:rPr>
        <w:t>أ</w:t>
      </w:r>
      <w:r w:rsidRPr="006B489A">
        <w:rPr>
          <w:spacing w:val="0"/>
          <w:kern w:val="0"/>
          <w:sz w:val="20"/>
          <w:rtl/>
          <w:lang w:val="en-CA"/>
        </w:rPr>
        <w:t>و</w:t>
      </w:r>
      <w:r w:rsidRPr="006B489A">
        <w:rPr>
          <w:rFonts w:hint="cs"/>
          <w:spacing w:val="0"/>
          <w:kern w:val="0"/>
          <w:sz w:val="20"/>
          <w:rtl/>
          <w:lang w:val="en-CA"/>
        </w:rPr>
        <w:t xml:space="preserve"> أن </w:t>
      </w:r>
      <w:r w:rsidRPr="006B489A">
        <w:rPr>
          <w:spacing w:val="0"/>
          <w:kern w:val="0"/>
          <w:sz w:val="20"/>
          <w:rtl/>
          <w:lang w:val="en-CA"/>
        </w:rPr>
        <w:t>أسرة س.</w:t>
      </w:r>
      <w:r w:rsidRPr="006B489A">
        <w:rPr>
          <w:rFonts w:hint="cs"/>
          <w:spacing w:val="0"/>
          <w:kern w:val="0"/>
          <w:sz w:val="20"/>
          <w:rtl/>
          <w:lang w:val="en-CA"/>
        </w:rPr>
        <w:t> </w:t>
      </w:r>
      <w:r w:rsidRPr="006B489A">
        <w:rPr>
          <w:spacing w:val="0"/>
          <w:kern w:val="0"/>
          <w:sz w:val="20"/>
          <w:rtl/>
          <w:lang w:val="en-CA"/>
        </w:rPr>
        <w:t xml:space="preserve">م. </w:t>
      </w:r>
      <w:r w:rsidRPr="006B489A">
        <w:rPr>
          <w:rFonts w:hint="cs"/>
          <w:spacing w:val="0"/>
          <w:kern w:val="0"/>
          <w:sz w:val="20"/>
          <w:rtl/>
          <w:lang w:val="en-CA"/>
        </w:rPr>
        <w:t>تعرضت ل</w:t>
      </w:r>
      <w:r w:rsidRPr="006B489A">
        <w:rPr>
          <w:spacing w:val="0"/>
          <w:kern w:val="0"/>
          <w:sz w:val="20"/>
          <w:rtl/>
          <w:lang w:val="en-CA"/>
        </w:rPr>
        <w:t xml:space="preserve">لاضطهاد؛ كما أشارت </w:t>
      </w:r>
      <w:r w:rsidRPr="006B489A">
        <w:rPr>
          <w:rFonts w:hint="cs"/>
          <w:spacing w:val="0"/>
          <w:kern w:val="0"/>
          <w:sz w:val="20"/>
          <w:rtl/>
          <w:lang w:val="en-CA"/>
        </w:rPr>
        <w:t xml:space="preserve">المحكمة </w:t>
      </w:r>
      <w:r w:rsidRPr="006B489A">
        <w:rPr>
          <w:spacing w:val="0"/>
          <w:kern w:val="0"/>
          <w:sz w:val="20"/>
          <w:rtl/>
          <w:lang w:val="en-CA"/>
        </w:rPr>
        <w:t xml:space="preserve">إلى عدد من أوجه عدم الاتساق في شهادات </w:t>
      </w:r>
      <w:r w:rsidRPr="006B489A">
        <w:rPr>
          <w:rFonts w:hint="cs"/>
          <w:spacing w:val="0"/>
          <w:kern w:val="0"/>
          <w:sz w:val="20"/>
          <w:rtl/>
          <w:lang w:val="en-CA"/>
        </w:rPr>
        <w:t xml:space="preserve">أصحاب </w:t>
      </w:r>
      <w:r w:rsidRPr="006B489A">
        <w:rPr>
          <w:spacing w:val="0"/>
          <w:kern w:val="0"/>
          <w:sz w:val="20"/>
          <w:rtl/>
          <w:lang w:val="en-CA"/>
        </w:rPr>
        <w:t xml:space="preserve">الشكوى. غير أن </w:t>
      </w:r>
      <w:r w:rsidRPr="006B489A">
        <w:rPr>
          <w:rFonts w:hint="cs"/>
          <w:spacing w:val="0"/>
          <w:kern w:val="0"/>
          <w:sz w:val="20"/>
          <w:rtl/>
          <w:lang w:val="en-CA"/>
        </w:rPr>
        <w:t xml:space="preserve">أصحاب </w:t>
      </w:r>
      <w:r w:rsidRPr="006B489A">
        <w:rPr>
          <w:spacing w:val="0"/>
          <w:kern w:val="0"/>
          <w:sz w:val="20"/>
          <w:rtl/>
          <w:lang w:val="en-CA"/>
        </w:rPr>
        <w:t>الشكوى يشير</w:t>
      </w:r>
      <w:r w:rsidRPr="006B489A">
        <w:rPr>
          <w:rFonts w:hint="cs"/>
          <w:spacing w:val="0"/>
          <w:kern w:val="0"/>
          <w:sz w:val="20"/>
          <w:rtl/>
          <w:lang w:val="en-CA"/>
        </w:rPr>
        <w:t>ون</w:t>
      </w:r>
      <w:r w:rsidRPr="006B489A">
        <w:rPr>
          <w:spacing w:val="0"/>
          <w:kern w:val="0"/>
          <w:sz w:val="20"/>
          <w:rtl/>
          <w:lang w:val="en-CA"/>
        </w:rPr>
        <w:t xml:space="preserve"> إلى أن قرار محكمة الهجرة</w:t>
      </w:r>
      <w:r w:rsidRPr="006B489A">
        <w:rPr>
          <w:rFonts w:hint="cs"/>
          <w:spacing w:val="0"/>
          <w:kern w:val="0"/>
          <w:sz w:val="20"/>
          <w:rtl/>
          <w:lang w:val="en-CA"/>
        </w:rPr>
        <w:t xml:space="preserve"> </w:t>
      </w:r>
      <w:r w:rsidRPr="006B489A">
        <w:rPr>
          <w:spacing w:val="0"/>
          <w:kern w:val="0"/>
          <w:sz w:val="20"/>
          <w:rtl/>
          <w:lang w:val="en-CA"/>
        </w:rPr>
        <w:t>لم</w:t>
      </w:r>
      <w:r w:rsidRPr="006B489A">
        <w:rPr>
          <w:rFonts w:hint="cs"/>
          <w:spacing w:val="0"/>
          <w:kern w:val="0"/>
          <w:sz w:val="20"/>
          <w:rtl/>
          <w:lang w:val="en-CA"/>
        </w:rPr>
        <w:t> </w:t>
      </w:r>
      <w:r w:rsidRPr="006B489A">
        <w:rPr>
          <w:spacing w:val="0"/>
          <w:kern w:val="0"/>
          <w:sz w:val="20"/>
          <w:rtl/>
          <w:lang w:val="en-CA"/>
        </w:rPr>
        <w:t>يتخذ ب</w:t>
      </w:r>
      <w:r w:rsidRPr="006B489A">
        <w:rPr>
          <w:rFonts w:hint="cs"/>
          <w:spacing w:val="0"/>
          <w:kern w:val="0"/>
          <w:sz w:val="20"/>
          <w:rtl/>
          <w:lang w:val="en-CA"/>
        </w:rPr>
        <w:t>ال</w:t>
      </w:r>
      <w:r w:rsidRPr="006B489A">
        <w:rPr>
          <w:spacing w:val="0"/>
          <w:kern w:val="0"/>
          <w:sz w:val="20"/>
          <w:rtl/>
          <w:lang w:val="en-CA"/>
        </w:rPr>
        <w:t>إجماع</w:t>
      </w:r>
      <w:r w:rsidRPr="006B489A">
        <w:rPr>
          <w:rFonts w:hint="eastAsia"/>
          <w:spacing w:val="0"/>
          <w:kern w:val="0"/>
          <w:sz w:val="20"/>
          <w:rtl/>
          <w:lang w:val="en-CA"/>
        </w:rPr>
        <w:t>؛</w:t>
      </w:r>
      <w:r w:rsidRPr="006B489A">
        <w:rPr>
          <w:spacing w:val="0"/>
          <w:kern w:val="0"/>
          <w:sz w:val="20"/>
          <w:rtl/>
          <w:lang w:val="en-CA"/>
        </w:rPr>
        <w:t xml:space="preserve"> وقد ك</w:t>
      </w:r>
      <w:r w:rsidRPr="006B489A">
        <w:rPr>
          <w:rFonts w:hint="cs"/>
          <w:spacing w:val="0"/>
          <w:kern w:val="0"/>
          <w:sz w:val="20"/>
          <w:rtl/>
          <w:lang w:val="en-CA"/>
        </w:rPr>
        <w:t>ت</w:t>
      </w:r>
      <w:r w:rsidRPr="006B489A">
        <w:rPr>
          <w:spacing w:val="0"/>
          <w:kern w:val="0"/>
          <w:sz w:val="20"/>
          <w:rtl/>
          <w:lang w:val="en-CA"/>
        </w:rPr>
        <w:t xml:space="preserve">ب أحد القضاة رأياً معارضاً </w:t>
      </w:r>
      <w:r w:rsidRPr="006B489A">
        <w:rPr>
          <w:rFonts w:hint="cs"/>
          <w:spacing w:val="0"/>
          <w:kern w:val="0"/>
          <w:sz w:val="20"/>
          <w:rtl/>
          <w:lang w:val="en-CA"/>
        </w:rPr>
        <w:t>لصالحهم</w:t>
      </w:r>
      <w:r w:rsidRPr="006B489A">
        <w:rPr>
          <w:spacing w:val="0"/>
          <w:kern w:val="0"/>
          <w:sz w:val="20"/>
          <w:rtl/>
          <w:lang w:val="en-CA"/>
        </w:rPr>
        <w:t>.</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2-8</w:t>
      </w:r>
      <w:r w:rsidRPr="006B489A">
        <w:rPr>
          <w:spacing w:val="0"/>
          <w:kern w:val="0"/>
          <w:sz w:val="20"/>
          <w:rtl/>
          <w:lang w:val="en-CA"/>
        </w:rPr>
        <w:tab/>
        <w:t xml:space="preserve">وقدم </w:t>
      </w:r>
      <w:r w:rsidRPr="006B489A">
        <w:rPr>
          <w:rFonts w:hint="cs"/>
          <w:spacing w:val="0"/>
          <w:kern w:val="0"/>
          <w:sz w:val="20"/>
          <w:rtl/>
          <w:lang w:val="en-CA"/>
        </w:rPr>
        <w:t>أصحاب</w:t>
      </w:r>
      <w:r w:rsidRPr="006B489A">
        <w:rPr>
          <w:spacing w:val="0"/>
          <w:kern w:val="0"/>
          <w:sz w:val="20"/>
          <w:rtl/>
          <w:lang w:val="en-CA"/>
        </w:rPr>
        <w:t xml:space="preserve"> الشكوى طعناً أمام محكمة الاستئناف </w:t>
      </w:r>
      <w:r w:rsidRPr="006B489A">
        <w:rPr>
          <w:rFonts w:hint="cs"/>
          <w:spacing w:val="0"/>
          <w:kern w:val="0"/>
          <w:sz w:val="20"/>
          <w:rtl/>
          <w:lang w:val="en-CA"/>
        </w:rPr>
        <w:t xml:space="preserve">الخاصة </w:t>
      </w:r>
      <w:r w:rsidRPr="006B489A">
        <w:rPr>
          <w:spacing w:val="0"/>
          <w:kern w:val="0"/>
          <w:sz w:val="20"/>
          <w:rtl/>
          <w:lang w:val="en-CA"/>
        </w:rPr>
        <w:t>بالهجرة مدعي</w:t>
      </w:r>
      <w:r w:rsidRPr="006B489A">
        <w:rPr>
          <w:rFonts w:hint="cs"/>
          <w:spacing w:val="0"/>
          <w:kern w:val="0"/>
          <w:sz w:val="20"/>
          <w:rtl/>
          <w:lang w:val="en-CA"/>
        </w:rPr>
        <w:t>ي</w:t>
      </w:r>
      <w:r w:rsidRPr="006B489A">
        <w:rPr>
          <w:spacing w:val="0"/>
          <w:kern w:val="0"/>
          <w:sz w:val="20"/>
          <w:rtl/>
          <w:lang w:val="en-CA"/>
        </w:rPr>
        <w:t xml:space="preserve">ن أن محكمة </w:t>
      </w:r>
      <w:r w:rsidRPr="006B489A">
        <w:rPr>
          <w:rFonts w:hint="cs"/>
          <w:spacing w:val="0"/>
          <w:kern w:val="0"/>
          <w:sz w:val="20"/>
          <w:rtl/>
          <w:lang w:val="en-CA"/>
        </w:rPr>
        <w:t xml:space="preserve">الهجرة </w:t>
      </w:r>
      <w:r w:rsidRPr="006B489A">
        <w:rPr>
          <w:spacing w:val="0"/>
          <w:kern w:val="0"/>
          <w:sz w:val="20"/>
          <w:rtl/>
          <w:lang w:val="en-CA"/>
        </w:rPr>
        <w:t xml:space="preserve">لم تول الاعتبار الواجب للتقارير الطبية الصادرة عن الخبراء المعنيين بالتعذيب وأنها لم تأخذ في الحسبان معلومات </w:t>
      </w:r>
      <w:r w:rsidRPr="006B489A">
        <w:rPr>
          <w:rFonts w:hint="cs"/>
          <w:spacing w:val="0"/>
          <w:kern w:val="0"/>
          <w:sz w:val="20"/>
          <w:rtl/>
          <w:lang w:val="en-CA"/>
        </w:rPr>
        <w:t xml:space="preserve">الخبراء المقدمة عن البلد </w:t>
      </w:r>
      <w:r w:rsidRPr="006B489A">
        <w:rPr>
          <w:spacing w:val="0"/>
          <w:kern w:val="0"/>
          <w:sz w:val="20"/>
          <w:rtl/>
          <w:lang w:val="en-CA"/>
        </w:rPr>
        <w:t xml:space="preserve">من 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ومنظمة العفو الدولية. وفي 3 كانون الثاني/يناير 2008، لم تمنح محكمة الاستئناف </w:t>
      </w:r>
      <w:r w:rsidRPr="006B489A">
        <w:rPr>
          <w:rFonts w:hint="cs"/>
          <w:spacing w:val="0"/>
          <w:kern w:val="0"/>
          <w:sz w:val="20"/>
          <w:rtl/>
          <w:lang w:val="en-CA"/>
        </w:rPr>
        <w:t>الخاصة ب</w:t>
      </w:r>
      <w:r w:rsidRPr="006B489A">
        <w:rPr>
          <w:spacing w:val="0"/>
          <w:kern w:val="0"/>
          <w:sz w:val="20"/>
          <w:rtl/>
          <w:lang w:val="en-CA"/>
        </w:rPr>
        <w:t xml:space="preserve">الهجرة </w:t>
      </w:r>
      <w:r w:rsidRPr="006B489A">
        <w:rPr>
          <w:rFonts w:hint="cs"/>
          <w:spacing w:val="0"/>
          <w:kern w:val="0"/>
          <w:sz w:val="20"/>
          <w:rtl/>
          <w:lang w:val="en-CA"/>
        </w:rPr>
        <w:t>الإذن بالطعن</w:t>
      </w:r>
      <w:r w:rsidRPr="006B489A">
        <w:rPr>
          <w:spacing w:val="0"/>
          <w:kern w:val="0"/>
          <w:sz w:val="20"/>
          <w:rtl/>
          <w:lang w:val="en-CA"/>
        </w:rPr>
        <w:t xml:space="preserve">. وتقرر ترحيل </w:t>
      </w:r>
      <w:r w:rsidRPr="006B489A">
        <w:rPr>
          <w:rFonts w:hint="cs"/>
          <w:spacing w:val="0"/>
          <w:kern w:val="0"/>
          <w:sz w:val="20"/>
          <w:rtl/>
          <w:lang w:val="en-CA"/>
        </w:rPr>
        <w:t xml:space="preserve">أصحاب </w:t>
      </w:r>
      <w:r w:rsidRPr="006B489A">
        <w:rPr>
          <w:spacing w:val="0"/>
          <w:kern w:val="0"/>
          <w:sz w:val="20"/>
          <w:rtl/>
          <w:lang w:val="en-CA"/>
        </w:rPr>
        <w:t xml:space="preserve">الشكوى في 12 حزيران/يونيه 2008. ومنذ ذلك التاريخ، لجأ </w:t>
      </w:r>
      <w:r w:rsidRPr="006B489A">
        <w:rPr>
          <w:rFonts w:hint="cs"/>
          <w:spacing w:val="0"/>
          <w:kern w:val="0"/>
          <w:sz w:val="20"/>
          <w:rtl/>
          <w:lang w:val="en-CA"/>
        </w:rPr>
        <w:t xml:space="preserve">كل من </w:t>
      </w:r>
      <w:r w:rsidRPr="006B489A">
        <w:rPr>
          <w:spacing w:val="0"/>
          <w:kern w:val="0"/>
          <w:sz w:val="20"/>
          <w:rtl/>
          <w:lang w:val="en-CA"/>
        </w:rPr>
        <w:t xml:space="preserve">س. م. وﻫ. م. إلى الاختباء. ووضعت ابنتهما في دار رعاية </w:t>
      </w:r>
      <w:r w:rsidRPr="006B489A">
        <w:rPr>
          <w:rFonts w:hint="cs"/>
          <w:spacing w:val="0"/>
          <w:kern w:val="0"/>
          <w:sz w:val="20"/>
          <w:rtl/>
          <w:lang w:val="en-CA"/>
        </w:rPr>
        <w:t xml:space="preserve">وهي منتظمة في الدراسة </w:t>
      </w:r>
      <w:r w:rsidRPr="006B489A">
        <w:rPr>
          <w:spacing w:val="0"/>
          <w:kern w:val="0"/>
          <w:sz w:val="20"/>
          <w:rtl/>
          <w:lang w:val="en-CA"/>
        </w:rPr>
        <w:t>في السويد.</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2-9</w:t>
      </w:r>
      <w:r w:rsidRPr="006B489A">
        <w:rPr>
          <w:spacing w:val="0"/>
          <w:kern w:val="0"/>
          <w:sz w:val="20"/>
          <w:rtl/>
          <w:lang w:val="en-CA"/>
        </w:rPr>
        <w:tab/>
        <w:t xml:space="preserve">ويدعي </w:t>
      </w:r>
      <w:r w:rsidRPr="006B489A">
        <w:rPr>
          <w:rFonts w:hint="cs"/>
          <w:spacing w:val="0"/>
          <w:kern w:val="0"/>
          <w:sz w:val="20"/>
          <w:rtl/>
          <w:lang w:val="en-CA"/>
        </w:rPr>
        <w:t>أصحاب</w:t>
      </w:r>
      <w:r w:rsidRPr="006B489A">
        <w:rPr>
          <w:spacing w:val="0"/>
          <w:kern w:val="0"/>
          <w:sz w:val="20"/>
          <w:rtl/>
          <w:lang w:val="en-CA"/>
        </w:rPr>
        <w:t xml:space="preserve"> الشكوى أيضاً أن قضيتهم حظ</w:t>
      </w:r>
      <w:r w:rsidRPr="006B489A">
        <w:rPr>
          <w:rFonts w:hint="cs"/>
          <w:spacing w:val="0"/>
          <w:kern w:val="0"/>
          <w:sz w:val="20"/>
          <w:rtl/>
          <w:lang w:val="en-CA"/>
        </w:rPr>
        <w:t>ي</w:t>
      </w:r>
      <w:r w:rsidRPr="006B489A">
        <w:rPr>
          <w:spacing w:val="0"/>
          <w:kern w:val="0"/>
          <w:sz w:val="20"/>
          <w:rtl/>
          <w:lang w:val="en-CA"/>
        </w:rPr>
        <w:t xml:space="preserve">ت </w:t>
      </w:r>
      <w:r w:rsidRPr="006B489A">
        <w:rPr>
          <w:rFonts w:hint="cs"/>
          <w:spacing w:val="0"/>
          <w:kern w:val="0"/>
          <w:sz w:val="20"/>
          <w:rtl/>
          <w:lang w:val="en-CA"/>
        </w:rPr>
        <w:t xml:space="preserve">بتغطية </w:t>
      </w:r>
      <w:r w:rsidRPr="006B489A">
        <w:rPr>
          <w:spacing w:val="0"/>
          <w:kern w:val="0"/>
          <w:sz w:val="20"/>
          <w:rtl/>
          <w:lang w:val="en-CA"/>
        </w:rPr>
        <w:t xml:space="preserve">إعلامية </w:t>
      </w:r>
      <w:r w:rsidRPr="006B489A">
        <w:rPr>
          <w:rFonts w:hint="cs"/>
          <w:spacing w:val="0"/>
          <w:kern w:val="0"/>
          <w:sz w:val="20"/>
          <w:rtl/>
          <w:lang w:val="en-CA"/>
        </w:rPr>
        <w:t xml:space="preserve">واسعة </w:t>
      </w:r>
      <w:r w:rsidRPr="006B489A">
        <w:rPr>
          <w:spacing w:val="0"/>
          <w:kern w:val="0"/>
          <w:sz w:val="20"/>
          <w:rtl/>
          <w:lang w:val="en-CA"/>
        </w:rPr>
        <w:t>في وسائط الإعلام في السويد.</w:t>
      </w:r>
      <w:r w:rsidRPr="006B489A">
        <w:rPr>
          <w:rFonts w:hint="cs"/>
          <w:spacing w:val="0"/>
          <w:kern w:val="0"/>
          <w:sz w:val="20"/>
          <w:rtl/>
          <w:lang w:val="en-CA"/>
        </w:rPr>
        <w:t xml:space="preserve"> </w:t>
      </w:r>
      <w:r w:rsidRPr="006B489A">
        <w:rPr>
          <w:spacing w:val="0"/>
          <w:kern w:val="0"/>
          <w:sz w:val="20"/>
          <w:rtl/>
          <w:lang w:val="en-CA"/>
        </w:rPr>
        <w:t>ون</w:t>
      </w:r>
      <w:r w:rsidRPr="006B489A">
        <w:rPr>
          <w:rFonts w:hint="cs"/>
          <w:spacing w:val="0"/>
          <w:kern w:val="0"/>
          <w:sz w:val="20"/>
          <w:rtl/>
          <w:lang w:val="en-CA"/>
        </w:rPr>
        <w:t>ُ</w:t>
      </w:r>
      <w:r w:rsidRPr="006B489A">
        <w:rPr>
          <w:spacing w:val="0"/>
          <w:kern w:val="0"/>
          <w:sz w:val="20"/>
          <w:rtl/>
          <w:lang w:val="en-CA"/>
        </w:rPr>
        <w:t>شرت عدة مقالات</w:t>
      </w:r>
      <w:r w:rsidRPr="006B489A">
        <w:rPr>
          <w:rFonts w:hint="cs"/>
          <w:spacing w:val="0"/>
          <w:kern w:val="0"/>
          <w:sz w:val="20"/>
          <w:rtl/>
          <w:lang w:val="en-CA"/>
        </w:rPr>
        <w:t xml:space="preserve"> بشأنها</w:t>
      </w:r>
      <w:r w:rsidRPr="006B489A">
        <w:rPr>
          <w:spacing w:val="0"/>
          <w:kern w:val="0"/>
          <w:sz w:val="20"/>
          <w:rtl/>
          <w:lang w:val="en-CA"/>
        </w:rPr>
        <w:t xml:space="preserve">. وفي تشرين الأول/أكتوبر 2007، نظم زملاء ابنتهما في المدرسة مظاهرة ضد أمر الترحيل. وفي أيار/مايو 2008، كتب </w:t>
      </w:r>
      <w:r w:rsidRPr="006B489A">
        <w:rPr>
          <w:rFonts w:hint="cs"/>
          <w:spacing w:val="0"/>
          <w:kern w:val="0"/>
          <w:sz w:val="20"/>
          <w:rtl/>
          <w:lang w:val="en-CA"/>
        </w:rPr>
        <w:t xml:space="preserve">الأسقف </w:t>
      </w:r>
      <w:r w:rsidRPr="006B489A">
        <w:rPr>
          <w:spacing w:val="0"/>
          <w:kern w:val="0"/>
          <w:sz w:val="20"/>
          <w:rtl/>
          <w:lang w:val="en-CA"/>
        </w:rPr>
        <w:t xml:space="preserve">رسالة مفتوحة إلى المدير العام لمجلس الهجرة. وقد حدثت معظم الضجة الإعلامية </w:t>
      </w:r>
      <w:r w:rsidRPr="006B489A">
        <w:rPr>
          <w:rFonts w:hint="cs"/>
          <w:spacing w:val="0"/>
          <w:kern w:val="0"/>
          <w:sz w:val="20"/>
          <w:rtl/>
          <w:lang w:val="en-CA"/>
        </w:rPr>
        <w:t>حول ال</w:t>
      </w:r>
      <w:r w:rsidRPr="006B489A">
        <w:rPr>
          <w:spacing w:val="0"/>
          <w:kern w:val="0"/>
          <w:sz w:val="20"/>
          <w:rtl/>
          <w:lang w:val="en-CA"/>
        </w:rPr>
        <w:t>أسر</w:t>
      </w:r>
      <w:r w:rsidRPr="006B489A">
        <w:rPr>
          <w:rFonts w:hint="cs"/>
          <w:spacing w:val="0"/>
          <w:kern w:val="0"/>
          <w:sz w:val="20"/>
          <w:rtl/>
          <w:lang w:val="en-CA"/>
        </w:rPr>
        <w:t>ة</w:t>
      </w:r>
      <w:r w:rsidRPr="006B489A">
        <w:rPr>
          <w:spacing w:val="0"/>
          <w:kern w:val="0"/>
          <w:sz w:val="20"/>
          <w:rtl/>
          <w:lang w:val="en-CA"/>
        </w:rPr>
        <w:t xml:space="preserve"> عقب قرار محكمة الهجرة وفي الأسابيع التي سبقت </w:t>
      </w:r>
      <w:r w:rsidRPr="006B489A">
        <w:rPr>
          <w:rFonts w:hint="cs"/>
          <w:spacing w:val="0"/>
          <w:kern w:val="0"/>
          <w:sz w:val="20"/>
          <w:rtl/>
          <w:lang w:val="en-CA"/>
        </w:rPr>
        <w:t>ال</w:t>
      </w:r>
      <w:r w:rsidRPr="006B489A">
        <w:rPr>
          <w:spacing w:val="0"/>
          <w:kern w:val="0"/>
          <w:sz w:val="20"/>
          <w:rtl/>
          <w:lang w:val="en-CA"/>
        </w:rPr>
        <w:t xml:space="preserve">موعد </w:t>
      </w:r>
      <w:r w:rsidRPr="006B489A">
        <w:rPr>
          <w:rFonts w:hint="cs"/>
          <w:spacing w:val="0"/>
          <w:kern w:val="0"/>
          <w:sz w:val="20"/>
          <w:rtl/>
          <w:lang w:val="en-CA"/>
        </w:rPr>
        <w:t>المقرر لترحيل أفراد الأسرة</w:t>
      </w:r>
      <w:r w:rsidRPr="006B489A">
        <w:rPr>
          <w:spacing w:val="0"/>
          <w:kern w:val="0"/>
          <w:sz w:val="20"/>
          <w:rtl/>
          <w:lang w:val="en-CA"/>
        </w:rPr>
        <w:t>. لذلك، فإن</w:t>
      </w:r>
      <w:r w:rsidRPr="006B489A">
        <w:rPr>
          <w:rFonts w:hint="cs"/>
          <w:spacing w:val="0"/>
          <w:kern w:val="0"/>
          <w:sz w:val="20"/>
          <w:rtl/>
          <w:lang w:val="en-CA"/>
        </w:rPr>
        <w:t xml:space="preserve">هم يدعون </w:t>
      </w:r>
      <w:r w:rsidRPr="006B489A">
        <w:rPr>
          <w:spacing w:val="0"/>
          <w:kern w:val="0"/>
          <w:sz w:val="20"/>
          <w:rtl/>
          <w:lang w:val="en-CA"/>
        </w:rPr>
        <w:t>أن الدعاية التي حظ</w:t>
      </w:r>
      <w:r w:rsidRPr="006B489A">
        <w:rPr>
          <w:rFonts w:hint="cs"/>
          <w:spacing w:val="0"/>
          <w:kern w:val="0"/>
          <w:sz w:val="20"/>
          <w:rtl/>
          <w:lang w:val="en-CA"/>
        </w:rPr>
        <w:t>ي</w:t>
      </w:r>
      <w:r w:rsidRPr="006B489A">
        <w:rPr>
          <w:spacing w:val="0"/>
          <w:kern w:val="0"/>
          <w:sz w:val="20"/>
          <w:rtl/>
          <w:lang w:val="en-CA"/>
        </w:rPr>
        <w:t xml:space="preserve">ت بها قضيتهم يمكن أن تزيد من خطر اشتباه السلطات الأذربيجانية </w:t>
      </w:r>
      <w:r w:rsidRPr="006B489A">
        <w:rPr>
          <w:rFonts w:hint="cs"/>
          <w:spacing w:val="0"/>
          <w:kern w:val="0"/>
          <w:sz w:val="20"/>
          <w:rtl/>
          <w:lang w:val="en-CA"/>
        </w:rPr>
        <w:t>في</w:t>
      </w:r>
      <w:r w:rsidRPr="006B489A">
        <w:rPr>
          <w:spacing w:val="0"/>
          <w:kern w:val="0"/>
          <w:sz w:val="20"/>
          <w:rtl/>
          <w:lang w:val="en-CA"/>
        </w:rPr>
        <w:t xml:space="preserve"> أنهم أعداء للنظام. وبالإضافة إلى </w:t>
      </w:r>
      <w:r w:rsidRPr="006B489A">
        <w:rPr>
          <w:rFonts w:hint="eastAsia"/>
          <w:spacing w:val="0"/>
          <w:kern w:val="0"/>
          <w:sz w:val="20"/>
          <w:rtl/>
          <w:lang w:val="en-CA"/>
        </w:rPr>
        <w:t>ذلك،</w:t>
      </w:r>
      <w:r w:rsidRPr="006B489A">
        <w:rPr>
          <w:spacing w:val="0"/>
          <w:kern w:val="0"/>
          <w:sz w:val="20"/>
          <w:rtl/>
          <w:lang w:val="en-CA"/>
        </w:rPr>
        <w:t xml:space="preserve"> </w:t>
      </w:r>
      <w:r w:rsidRPr="006B489A">
        <w:rPr>
          <w:rFonts w:hint="cs"/>
          <w:spacing w:val="0"/>
          <w:kern w:val="0"/>
          <w:sz w:val="20"/>
          <w:rtl/>
          <w:lang w:val="en-CA"/>
        </w:rPr>
        <w:t xml:space="preserve">عندما </w:t>
      </w:r>
      <w:r w:rsidRPr="006B489A">
        <w:rPr>
          <w:spacing w:val="0"/>
          <w:kern w:val="0"/>
          <w:sz w:val="20"/>
          <w:rtl/>
          <w:lang w:val="en-CA"/>
        </w:rPr>
        <w:t>سافر أحد أبنا</w:t>
      </w:r>
      <w:r w:rsidRPr="006B489A">
        <w:rPr>
          <w:rFonts w:hint="cs"/>
          <w:spacing w:val="0"/>
          <w:kern w:val="0"/>
          <w:sz w:val="20"/>
          <w:rtl/>
          <w:lang w:val="en-CA"/>
        </w:rPr>
        <w:t>ء الأسرة</w:t>
      </w:r>
      <w:r w:rsidRPr="006B489A">
        <w:rPr>
          <w:spacing w:val="0"/>
          <w:kern w:val="0"/>
          <w:sz w:val="20"/>
          <w:rtl/>
          <w:lang w:val="en-CA"/>
        </w:rPr>
        <w:t xml:space="preserve"> إلى أذربيجان </w:t>
      </w:r>
      <w:r w:rsidRPr="006B489A">
        <w:rPr>
          <w:rFonts w:hint="cs"/>
          <w:spacing w:val="0"/>
          <w:kern w:val="0"/>
          <w:sz w:val="20"/>
          <w:rtl/>
          <w:lang w:val="en-CA"/>
        </w:rPr>
        <w:t>في عام 2008 لاستخراج</w:t>
      </w:r>
      <w:r w:rsidRPr="006B489A">
        <w:rPr>
          <w:spacing w:val="0"/>
          <w:kern w:val="0"/>
          <w:sz w:val="20"/>
          <w:rtl/>
          <w:lang w:val="en-CA"/>
        </w:rPr>
        <w:t xml:space="preserve"> وثيقة،</w:t>
      </w:r>
      <w:r w:rsidRPr="006B489A">
        <w:rPr>
          <w:rFonts w:hint="cs"/>
          <w:spacing w:val="0"/>
          <w:kern w:val="0"/>
          <w:sz w:val="20"/>
          <w:rtl/>
          <w:lang w:val="en-CA"/>
        </w:rPr>
        <w:t xml:space="preserve"> تم استجوابه </w:t>
      </w:r>
      <w:r w:rsidRPr="006B489A">
        <w:rPr>
          <w:spacing w:val="0"/>
          <w:kern w:val="0"/>
          <w:sz w:val="20"/>
          <w:rtl/>
          <w:lang w:val="en-CA"/>
        </w:rPr>
        <w:t xml:space="preserve">في المطار بدون </w:t>
      </w:r>
      <w:r w:rsidRPr="006B489A">
        <w:rPr>
          <w:rFonts w:hint="cs"/>
          <w:spacing w:val="0"/>
          <w:kern w:val="0"/>
          <w:sz w:val="20"/>
          <w:rtl/>
          <w:lang w:val="en-CA"/>
        </w:rPr>
        <w:t xml:space="preserve">أن يتعرض </w:t>
      </w:r>
      <w:r w:rsidRPr="006B489A">
        <w:rPr>
          <w:spacing w:val="0"/>
          <w:kern w:val="0"/>
          <w:sz w:val="20"/>
          <w:rtl/>
          <w:lang w:val="en-CA"/>
        </w:rPr>
        <w:t xml:space="preserve">لسوء معاملة، </w:t>
      </w:r>
      <w:r w:rsidRPr="006B489A">
        <w:rPr>
          <w:rFonts w:hint="cs"/>
          <w:spacing w:val="0"/>
          <w:kern w:val="0"/>
          <w:sz w:val="20"/>
          <w:rtl/>
          <w:lang w:val="en-CA"/>
        </w:rPr>
        <w:t xml:space="preserve">بشأن </w:t>
      </w:r>
      <w:r w:rsidRPr="006B489A">
        <w:rPr>
          <w:spacing w:val="0"/>
          <w:kern w:val="0"/>
          <w:sz w:val="20"/>
          <w:rtl/>
          <w:lang w:val="en-CA"/>
        </w:rPr>
        <w:t>محل إقامته في السويد والغرض من إقامته، فضلا</w:t>
      </w:r>
      <w:r w:rsidRPr="006B489A">
        <w:rPr>
          <w:rFonts w:hint="cs"/>
          <w:spacing w:val="0"/>
          <w:kern w:val="0"/>
          <w:sz w:val="20"/>
          <w:rtl/>
          <w:lang w:val="en-CA"/>
        </w:rPr>
        <w:t>ً</w:t>
      </w:r>
      <w:r w:rsidRPr="006B489A">
        <w:rPr>
          <w:spacing w:val="0"/>
          <w:kern w:val="0"/>
          <w:sz w:val="20"/>
          <w:rtl/>
          <w:lang w:val="en-CA"/>
        </w:rPr>
        <w:t xml:space="preserve"> عن والديه وأ</w:t>
      </w:r>
      <w:r w:rsidRPr="006B489A">
        <w:rPr>
          <w:rFonts w:hint="cs"/>
          <w:spacing w:val="0"/>
          <w:kern w:val="0"/>
          <w:sz w:val="20"/>
          <w:rtl/>
          <w:lang w:val="en-CA"/>
        </w:rPr>
        <w:t>ُ</w:t>
      </w:r>
      <w:r w:rsidRPr="006B489A">
        <w:rPr>
          <w:spacing w:val="0"/>
          <w:kern w:val="0"/>
          <w:sz w:val="20"/>
          <w:rtl/>
          <w:lang w:val="en-CA"/>
        </w:rPr>
        <w:t xml:space="preserve">بلغ </w:t>
      </w:r>
      <w:r w:rsidRPr="006B489A">
        <w:rPr>
          <w:rFonts w:hint="cs"/>
          <w:spacing w:val="0"/>
          <w:kern w:val="0"/>
          <w:sz w:val="20"/>
          <w:rtl/>
          <w:lang w:val="en-CA"/>
        </w:rPr>
        <w:t>ب</w:t>
      </w:r>
      <w:r w:rsidRPr="006B489A">
        <w:rPr>
          <w:spacing w:val="0"/>
          <w:kern w:val="0"/>
          <w:sz w:val="20"/>
          <w:rtl/>
          <w:lang w:val="en-CA"/>
        </w:rPr>
        <w:t>أن الشرطة "في انتظارهم</w:t>
      </w:r>
      <w:r w:rsidRPr="006B489A">
        <w:rPr>
          <w:rFonts w:hint="cs"/>
          <w:spacing w:val="0"/>
          <w:kern w:val="0"/>
          <w:sz w:val="20"/>
          <w:rtl/>
          <w:lang w:val="en-CA"/>
        </w:rPr>
        <w:t>ا</w:t>
      </w:r>
      <w:r w:rsidRPr="006B489A">
        <w:rPr>
          <w:spacing w:val="0"/>
          <w:kern w:val="0"/>
          <w:sz w:val="20"/>
          <w:rtl/>
          <w:lang w:val="en-CA"/>
        </w:rPr>
        <w:t>".</w:t>
      </w:r>
    </w:p>
    <w:p w:rsidR="006B489A" w:rsidRPr="006B489A" w:rsidRDefault="006B489A" w:rsidP="00C03ECB">
      <w:pPr>
        <w:pStyle w:val="SingleTxtGA"/>
        <w:jc w:val="lowKashida"/>
        <w:rPr>
          <w:spacing w:val="0"/>
          <w:kern w:val="0"/>
          <w:sz w:val="20"/>
          <w:szCs w:val="20"/>
          <w:rtl/>
        </w:rPr>
      </w:pPr>
      <w:r w:rsidRPr="006B489A">
        <w:rPr>
          <w:spacing w:val="0"/>
          <w:kern w:val="0"/>
          <w:sz w:val="20"/>
          <w:rtl/>
          <w:lang w:val="en-CA"/>
        </w:rPr>
        <w:t>2-10</w:t>
      </w:r>
      <w:r w:rsidRPr="006B489A">
        <w:rPr>
          <w:spacing w:val="0"/>
          <w:kern w:val="0"/>
          <w:sz w:val="20"/>
          <w:rtl/>
          <w:lang w:val="en-CA"/>
        </w:rPr>
        <w:tab/>
        <w:t xml:space="preserve">وفي تاريخ غير </w:t>
      </w:r>
      <w:r w:rsidRPr="006B489A">
        <w:rPr>
          <w:rFonts w:hint="cs"/>
          <w:spacing w:val="0"/>
          <w:kern w:val="0"/>
          <w:sz w:val="20"/>
          <w:rtl/>
          <w:lang w:val="en-CA"/>
        </w:rPr>
        <w:t>م</w:t>
      </w:r>
      <w:r w:rsidRPr="006B489A">
        <w:rPr>
          <w:spacing w:val="0"/>
          <w:kern w:val="0"/>
          <w:sz w:val="20"/>
          <w:rtl/>
          <w:lang w:val="en-CA"/>
        </w:rPr>
        <w:t xml:space="preserve">حدد، قدمت محامية </w:t>
      </w:r>
      <w:r w:rsidRPr="006B489A">
        <w:rPr>
          <w:rFonts w:hint="cs"/>
          <w:spacing w:val="0"/>
          <w:kern w:val="0"/>
          <w:sz w:val="20"/>
          <w:rtl/>
          <w:lang w:val="en-CA"/>
        </w:rPr>
        <w:t>أصحاب</w:t>
      </w:r>
      <w:r w:rsidRPr="006B489A">
        <w:rPr>
          <w:spacing w:val="0"/>
          <w:kern w:val="0"/>
          <w:sz w:val="20"/>
          <w:rtl/>
          <w:lang w:val="en-CA"/>
        </w:rPr>
        <w:t xml:space="preserve"> الشكوى إلى مجلس الهجرة طلباً لإعادة النظر في قضيتهم، مدعية ظهور </w:t>
      </w:r>
      <w:r w:rsidRPr="006B489A">
        <w:rPr>
          <w:rFonts w:hint="cs"/>
          <w:spacing w:val="0"/>
          <w:kern w:val="0"/>
          <w:sz w:val="20"/>
          <w:rtl/>
          <w:lang w:val="en-CA"/>
        </w:rPr>
        <w:t>ظروف</w:t>
      </w:r>
      <w:r w:rsidRPr="006B489A">
        <w:rPr>
          <w:spacing w:val="0"/>
          <w:kern w:val="0"/>
          <w:sz w:val="20"/>
          <w:rtl/>
          <w:lang w:val="en-CA"/>
        </w:rPr>
        <w:t xml:space="preserve"> جديدة ت</w:t>
      </w:r>
      <w:r w:rsidRPr="006B489A">
        <w:rPr>
          <w:rFonts w:hint="cs"/>
          <w:spacing w:val="0"/>
          <w:kern w:val="0"/>
          <w:sz w:val="20"/>
          <w:rtl/>
          <w:lang w:val="en-CA"/>
        </w:rPr>
        <w:t>شكل</w:t>
      </w:r>
      <w:r w:rsidRPr="006B489A">
        <w:rPr>
          <w:spacing w:val="0"/>
          <w:kern w:val="0"/>
          <w:sz w:val="20"/>
          <w:rtl/>
          <w:lang w:val="en-CA"/>
        </w:rPr>
        <w:t xml:space="preserve"> عوائق أمام إنفاذ أمر الترحيل، وهي الضجة الإعلامية الكبيرة التي حظ</w:t>
      </w:r>
      <w:r w:rsidRPr="006B489A">
        <w:rPr>
          <w:rFonts w:hint="cs"/>
          <w:spacing w:val="0"/>
          <w:kern w:val="0"/>
          <w:sz w:val="20"/>
          <w:rtl/>
          <w:lang w:val="en-CA"/>
        </w:rPr>
        <w:t>ي</w:t>
      </w:r>
      <w:r w:rsidRPr="006B489A">
        <w:rPr>
          <w:spacing w:val="0"/>
          <w:kern w:val="0"/>
          <w:sz w:val="20"/>
          <w:rtl/>
          <w:lang w:val="en-CA"/>
        </w:rPr>
        <w:t>ت بها قضيتهم في السويد واهتمام السلطات الأذربيجانية بالأس</w:t>
      </w:r>
      <w:r w:rsidRPr="006B489A">
        <w:rPr>
          <w:rFonts w:hint="eastAsia"/>
          <w:spacing w:val="0"/>
          <w:kern w:val="0"/>
          <w:sz w:val="20"/>
          <w:rtl/>
          <w:lang w:val="en-CA"/>
        </w:rPr>
        <w:t>رة،</w:t>
      </w:r>
      <w:r w:rsidRPr="006B489A">
        <w:rPr>
          <w:spacing w:val="0"/>
          <w:kern w:val="0"/>
          <w:sz w:val="20"/>
          <w:rtl/>
          <w:lang w:val="en-CA"/>
        </w:rPr>
        <w:t xml:space="preserve"> حسبما أوضحت ذلك زيارة </w:t>
      </w:r>
      <w:r w:rsidRPr="006B489A">
        <w:rPr>
          <w:rFonts w:hint="cs"/>
          <w:spacing w:val="0"/>
          <w:kern w:val="0"/>
          <w:sz w:val="20"/>
          <w:rtl/>
          <w:lang w:val="en-CA"/>
        </w:rPr>
        <w:t xml:space="preserve">الابن </w:t>
      </w:r>
      <w:r w:rsidRPr="006B489A">
        <w:rPr>
          <w:spacing w:val="0"/>
          <w:kern w:val="0"/>
          <w:sz w:val="20"/>
          <w:rtl/>
          <w:lang w:val="en-CA"/>
        </w:rPr>
        <w:t>إلى أذربيجان. و</w:t>
      </w:r>
      <w:r w:rsidRPr="006B489A">
        <w:rPr>
          <w:rFonts w:hint="cs"/>
          <w:spacing w:val="0"/>
          <w:kern w:val="0"/>
          <w:sz w:val="20"/>
          <w:rtl/>
          <w:lang w:val="en-CA"/>
        </w:rPr>
        <w:t>تم الاحتجاج ب</w:t>
      </w:r>
      <w:r w:rsidRPr="006B489A">
        <w:rPr>
          <w:spacing w:val="0"/>
          <w:kern w:val="0"/>
          <w:sz w:val="20"/>
          <w:rtl/>
          <w:lang w:val="en-CA"/>
        </w:rPr>
        <w:t xml:space="preserve">روابط أ. م. </w:t>
      </w:r>
      <w:r w:rsidRPr="006B489A">
        <w:rPr>
          <w:rFonts w:hint="cs"/>
          <w:spacing w:val="0"/>
          <w:kern w:val="0"/>
          <w:sz w:val="20"/>
          <w:rtl/>
          <w:lang w:val="en-CA"/>
        </w:rPr>
        <w:t xml:space="preserve">الاجتماعية </w:t>
      </w:r>
      <w:r w:rsidRPr="006B489A">
        <w:rPr>
          <w:spacing w:val="0"/>
          <w:kern w:val="0"/>
          <w:sz w:val="20"/>
          <w:rtl/>
          <w:lang w:val="en-CA"/>
        </w:rPr>
        <w:t xml:space="preserve">بالسويد بعد </w:t>
      </w:r>
      <w:r w:rsidRPr="006B489A">
        <w:rPr>
          <w:rFonts w:hint="cs"/>
          <w:spacing w:val="0"/>
          <w:kern w:val="0"/>
          <w:sz w:val="20"/>
          <w:rtl/>
          <w:lang w:val="en-CA"/>
        </w:rPr>
        <w:t xml:space="preserve">أن قضت فيها </w:t>
      </w:r>
      <w:r w:rsidRPr="006B489A">
        <w:rPr>
          <w:spacing w:val="0"/>
          <w:kern w:val="0"/>
          <w:sz w:val="20"/>
          <w:rtl/>
          <w:lang w:val="en-CA"/>
        </w:rPr>
        <w:t>سبع سنوات</w:t>
      </w:r>
      <w:r w:rsidRPr="006B489A">
        <w:rPr>
          <w:rFonts w:hint="cs"/>
          <w:spacing w:val="0"/>
          <w:kern w:val="0"/>
          <w:sz w:val="20"/>
          <w:rtl/>
          <w:lang w:val="en-CA"/>
        </w:rPr>
        <w:t>،</w:t>
      </w:r>
      <w:r w:rsidRPr="006B489A">
        <w:rPr>
          <w:spacing w:val="0"/>
          <w:kern w:val="0"/>
          <w:sz w:val="20"/>
          <w:rtl/>
          <w:lang w:val="en-CA"/>
        </w:rPr>
        <w:t xml:space="preserve"> و</w:t>
      </w:r>
      <w:r w:rsidRPr="006B489A">
        <w:rPr>
          <w:rFonts w:hint="cs"/>
          <w:spacing w:val="0"/>
          <w:kern w:val="0"/>
          <w:sz w:val="20"/>
          <w:rtl/>
          <w:lang w:val="en-CA"/>
        </w:rPr>
        <w:t>ب</w:t>
      </w:r>
      <w:r w:rsidRPr="006B489A">
        <w:rPr>
          <w:spacing w:val="0"/>
          <w:kern w:val="0"/>
          <w:sz w:val="20"/>
          <w:rtl/>
          <w:lang w:val="en-CA"/>
        </w:rPr>
        <w:t xml:space="preserve">تقارير الطب النفسي الجديدة التي تؤكد أن الصحة العقلية </w:t>
      </w:r>
      <w:r w:rsidRPr="006B489A">
        <w:rPr>
          <w:rFonts w:hint="cs"/>
          <w:spacing w:val="0"/>
          <w:kern w:val="0"/>
          <w:sz w:val="20"/>
          <w:rtl/>
          <w:lang w:val="en-CA"/>
        </w:rPr>
        <w:t xml:space="preserve">لأصحاب </w:t>
      </w:r>
      <w:r w:rsidRPr="006B489A">
        <w:rPr>
          <w:spacing w:val="0"/>
          <w:kern w:val="0"/>
          <w:sz w:val="20"/>
          <w:rtl/>
          <w:lang w:val="en-CA"/>
        </w:rPr>
        <w:t>الشكوى لم تتحسن</w:t>
      </w:r>
      <w:r w:rsidRPr="006B489A">
        <w:rPr>
          <w:rFonts w:hint="cs"/>
          <w:spacing w:val="0"/>
          <w:kern w:val="0"/>
          <w:sz w:val="20"/>
          <w:rtl/>
          <w:lang w:val="en-CA"/>
        </w:rPr>
        <w:t>،</w:t>
      </w:r>
      <w:r w:rsidRPr="006B489A">
        <w:rPr>
          <w:spacing w:val="0"/>
          <w:kern w:val="0"/>
          <w:sz w:val="20"/>
          <w:rtl/>
          <w:lang w:val="en-CA"/>
        </w:rPr>
        <w:t xml:space="preserve"> كعوائق إضافية </w:t>
      </w:r>
      <w:r w:rsidRPr="006B489A">
        <w:rPr>
          <w:rFonts w:hint="cs"/>
          <w:spacing w:val="0"/>
          <w:kern w:val="0"/>
          <w:sz w:val="20"/>
          <w:rtl/>
          <w:lang w:val="en-CA"/>
        </w:rPr>
        <w:t xml:space="preserve">تحول دون </w:t>
      </w:r>
      <w:r w:rsidRPr="006B489A">
        <w:rPr>
          <w:spacing w:val="0"/>
          <w:kern w:val="0"/>
          <w:sz w:val="20"/>
          <w:rtl/>
          <w:lang w:val="en-CA"/>
        </w:rPr>
        <w:t xml:space="preserve">إنفاذ أمر الترحيل. وفي 3 تموز/يوليه 2008، رفض مجلس الهجرة طلب إعادة الفحص على أساس أن </w:t>
      </w:r>
      <w:r w:rsidRPr="006B489A">
        <w:rPr>
          <w:rFonts w:hint="cs"/>
          <w:spacing w:val="0"/>
          <w:kern w:val="0"/>
          <w:sz w:val="20"/>
          <w:rtl/>
          <w:lang w:val="en-CA"/>
        </w:rPr>
        <w:t xml:space="preserve">الظروف المحتج بها </w:t>
      </w:r>
      <w:r w:rsidRPr="006B489A">
        <w:rPr>
          <w:spacing w:val="0"/>
          <w:kern w:val="0"/>
          <w:sz w:val="20"/>
          <w:rtl/>
          <w:lang w:val="en-CA"/>
        </w:rPr>
        <w:t xml:space="preserve">لا تمثل إلا تعديلات أو تغييرات </w:t>
      </w:r>
      <w:r w:rsidRPr="006B489A">
        <w:rPr>
          <w:rFonts w:hint="cs"/>
          <w:spacing w:val="0"/>
          <w:kern w:val="0"/>
          <w:sz w:val="20"/>
          <w:rtl/>
          <w:lang w:val="en-CA"/>
        </w:rPr>
        <w:t xml:space="preserve">بسيطة </w:t>
      </w:r>
      <w:r w:rsidRPr="006B489A">
        <w:rPr>
          <w:spacing w:val="0"/>
          <w:kern w:val="0"/>
          <w:sz w:val="20"/>
          <w:rtl/>
          <w:lang w:val="en-CA"/>
        </w:rPr>
        <w:t xml:space="preserve">على طلبات </w:t>
      </w:r>
      <w:r w:rsidRPr="006B489A">
        <w:rPr>
          <w:rFonts w:hint="cs"/>
          <w:spacing w:val="0"/>
          <w:kern w:val="0"/>
          <w:sz w:val="20"/>
          <w:rtl/>
          <w:lang w:val="en-CA"/>
        </w:rPr>
        <w:t xml:space="preserve">اللجوء </w:t>
      </w:r>
      <w:r w:rsidRPr="006B489A">
        <w:rPr>
          <w:spacing w:val="0"/>
          <w:kern w:val="0"/>
          <w:sz w:val="20"/>
          <w:rtl/>
          <w:lang w:val="en-CA"/>
        </w:rPr>
        <w:t>السابقة. وفي</w:t>
      </w:r>
      <w:r w:rsidR="00C03ECB">
        <w:rPr>
          <w:rFonts w:hint="cs"/>
          <w:spacing w:val="0"/>
          <w:kern w:val="0"/>
          <w:sz w:val="20"/>
          <w:rtl/>
          <w:lang w:val="en-CA"/>
        </w:rPr>
        <w:t> </w:t>
      </w:r>
      <w:r w:rsidRPr="006B489A">
        <w:rPr>
          <w:spacing w:val="0"/>
          <w:kern w:val="0"/>
          <w:sz w:val="20"/>
          <w:rtl/>
          <w:lang w:val="en-CA"/>
        </w:rPr>
        <w:t>27 آب/أغسطس 2008، أيدت محكمة الهجرة هذا القرار.</w:t>
      </w:r>
    </w:p>
    <w:p w:rsidR="006B489A" w:rsidRPr="006B489A" w:rsidRDefault="006B489A" w:rsidP="006B489A">
      <w:pPr>
        <w:pStyle w:val="H23GA"/>
        <w:jc w:val="lowKashida"/>
        <w:rPr>
          <w:spacing w:val="0"/>
          <w:kern w:val="0"/>
          <w:sz w:val="20"/>
          <w:szCs w:val="20"/>
          <w:rtl/>
        </w:rPr>
      </w:pPr>
      <w:r w:rsidRPr="006B489A">
        <w:rPr>
          <w:rFonts w:hint="cs"/>
          <w:spacing w:val="0"/>
          <w:kern w:val="0"/>
          <w:sz w:val="20"/>
          <w:rtl/>
        </w:rPr>
        <w:tab/>
      </w:r>
      <w:r w:rsidRPr="006B489A">
        <w:rPr>
          <w:rFonts w:hint="cs"/>
          <w:spacing w:val="0"/>
          <w:kern w:val="0"/>
          <w:sz w:val="20"/>
          <w:rtl/>
        </w:rPr>
        <w:tab/>
      </w:r>
      <w:r w:rsidRPr="006B489A">
        <w:rPr>
          <w:rFonts w:hint="eastAsia"/>
          <w:spacing w:val="0"/>
          <w:kern w:val="0"/>
          <w:sz w:val="20"/>
          <w:rtl/>
        </w:rPr>
        <w:t>الشكوى</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3-1</w:t>
      </w:r>
      <w:r w:rsidRPr="006B489A">
        <w:rPr>
          <w:spacing w:val="0"/>
          <w:kern w:val="0"/>
          <w:sz w:val="20"/>
          <w:rtl/>
          <w:lang w:val="en-CA"/>
        </w:rPr>
        <w:tab/>
        <w:t xml:space="preserve">يدعي </w:t>
      </w:r>
      <w:r w:rsidRPr="006B489A">
        <w:rPr>
          <w:rFonts w:hint="cs"/>
          <w:spacing w:val="0"/>
          <w:kern w:val="0"/>
          <w:sz w:val="20"/>
          <w:rtl/>
          <w:lang w:val="en-CA"/>
        </w:rPr>
        <w:t>أصحاب</w:t>
      </w:r>
      <w:r w:rsidRPr="006B489A">
        <w:rPr>
          <w:spacing w:val="0"/>
          <w:kern w:val="0"/>
          <w:sz w:val="20"/>
          <w:rtl/>
          <w:lang w:val="en-CA"/>
        </w:rPr>
        <w:t xml:space="preserve"> الشكوى أن ترحيلهم القسري إلى أذربيجان </w:t>
      </w:r>
      <w:r w:rsidRPr="006B489A">
        <w:rPr>
          <w:rFonts w:hint="cs"/>
          <w:spacing w:val="0"/>
          <w:kern w:val="0"/>
          <w:sz w:val="20"/>
          <w:rtl/>
          <w:lang w:val="en-CA"/>
        </w:rPr>
        <w:t>سيشكل</w:t>
      </w:r>
      <w:r w:rsidRPr="006B489A">
        <w:rPr>
          <w:spacing w:val="0"/>
          <w:kern w:val="0"/>
          <w:sz w:val="20"/>
          <w:rtl/>
          <w:lang w:val="en-CA"/>
        </w:rPr>
        <w:t xml:space="preserve"> انتهاكاً من </w:t>
      </w:r>
      <w:r w:rsidRPr="006B489A">
        <w:rPr>
          <w:rFonts w:hint="cs"/>
          <w:spacing w:val="0"/>
          <w:kern w:val="0"/>
          <w:sz w:val="20"/>
          <w:rtl/>
          <w:lang w:val="en-CA"/>
        </w:rPr>
        <w:t>جانب</w:t>
      </w:r>
      <w:r w:rsidRPr="006B489A">
        <w:rPr>
          <w:spacing w:val="0"/>
          <w:kern w:val="0"/>
          <w:sz w:val="20"/>
          <w:rtl/>
          <w:lang w:val="en-CA"/>
        </w:rPr>
        <w:t xml:space="preserve"> السويد للمادة 3 من الاتفاقية.</w:t>
      </w:r>
      <w:r w:rsidRPr="006B489A">
        <w:rPr>
          <w:rFonts w:hint="cs"/>
          <w:spacing w:val="0"/>
          <w:kern w:val="0"/>
          <w:sz w:val="20"/>
          <w:rtl/>
          <w:lang w:val="en-CA"/>
        </w:rPr>
        <w:t xml:space="preserve"> </w:t>
      </w:r>
      <w:r w:rsidRPr="006B489A">
        <w:rPr>
          <w:rFonts w:hint="eastAsia"/>
          <w:spacing w:val="0"/>
          <w:kern w:val="0"/>
          <w:sz w:val="20"/>
          <w:rtl/>
          <w:lang w:val="en-CA"/>
        </w:rPr>
        <w:t>ويؤكد</w:t>
      </w:r>
      <w:r w:rsidRPr="006B489A">
        <w:rPr>
          <w:spacing w:val="0"/>
          <w:kern w:val="0"/>
          <w:sz w:val="20"/>
          <w:rtl/>
          <w:lang w:val="en-CA"/>
        </w:rPr>
        <w:t xml:space="preserve"> </w:t>
      </w:r>
      <w:r w:rsidRPr="006B489A">
        <w:rPr>
          <w:rFonts w:hint="cs"/>
          <w:spacing w:val="0"/>
          <w:kern w:val="0"/>
          <w:sz w:val="20"/>
          <w:rtl/>
          <w:lang w:val="en-CA"/>
        </w:rPr>
        <w:t xml:space="preserve">أصحاب </w:t>
      </w:r>
      <w:r w:rsidRPr="006B489A">
        <w:rPr>
          <w:spacing w:val="0"/>
          <w:kern w:val="0"/>
          <w:sz w:val="20"/>
          <w:rtl/>
          <w:lang w:val="en-CA"/>
        </w:rPr>
        <w:t xml:space="preserve">الشكوى بصفة خاصة معاناتهم من التعذيب وسوء المعاملة بعد عودتهم إلى أذربيجان بعد ترحيلهم </w:t>
      </w:r>
      <w:r w:rsidRPr="006B489A">
        <w:rPr>
          <w:rFonts w:hint="cs"/>
          <w:spacing w:val="0"/>
          <w:kern w:val="0"/>
          <w:sz w:val="20"/>
          <w:rtl/>
          <w:lang w:val="en-CA"/>
        </w:rPr>
        <w:t>ال</w:t>
      </w:r>
      <w:r w:rsidRPr="006B489A">
        <w:rPr>
          <w:spacing w:val="0"/>
          <w:kern w:val="0"/>
          <w:sz w:val="20"/>
          <w:rtl/>
          <w:lang w:val="en-CA"/>
        </w:rPr>
        <w:t xml:space="preserve">أول في عام 2004، فضلاً عن الاضطهاد بدافع إثني الذي </w:t>
      </w:r>
      <w:r w:rsidRPr="006B489A">
        <w:rPr>
          <w:rFonts w:hint="cs"/>
          <w:spacing w:val="0"/>
          <w:kern w:val="0"/>
          <w:sz w:val="20"/>
          <w:rtl/>
          <w:lang w:val="en-CA"/>
        </w:rPr>
        <w:t xml:space="preserve">عانوا </w:t>
      </w:r>
      <w:r w:rsidRPr="006B489A">
        <w:rPr>
          <w:spacing w:val="0"/>
          <w:kern w:val="0"/>
          <w:sz w:val="20"/>
          <w:rtl/>
          <w:lang w:val="en-CA"/>
        </w:rPr>
        <w:t>منه قبل ترك البلد في عام 2002</w:t>
      </w:r>
      <w:r w:rsidRPr="006B489A">
        <w:rPr>
          <w:rFonts w:hint="cs"/>
          <w:spacing w:val="0"/>
          <w:kern w:val="0"/>
          <w:sz w:val="20"/>
          <w:rtl/>
          <w:lang w:val="en-CA"/>
        </w:rPr>
        <w:t>.</w:t>
      </w:r>
    </w:p>
    <w:p w:rsidR="006B489A" w:rsidRPr="006B489A" w:rsidRDefault="006B489A" w:rsidP="00B35B26">
      <w:pPr>
        <w:pStyle w:val="SingleTxtGA"/>
        <w:jc w:val="lowKashida"/>
        <w:rPr>
          <w:spacing w:val="0"/>
          <w:kern w:val="0"/>
          <w:sz w:val="20"/>
          <w:szCs w:val="20"/>
          <w:rtl/>
        </w:rPr>
      </w:pPr>
      <w:r w:rsidRPr="006B489A">
        <w:rPr>
          <w:spacing w:val="0"/>
          <w:kern w:val="0"/>
          <w:sz w:val="20"/>
          <w:rtl/>
          <w:lang w:val="en-CA"/>
        </w:rPr>
        <w:t>3-2</w:t>
      </w:r>
      <w:r w:rsidRPr="006B489A">
        <w:rPr>
          <w:spacing w:val="0"/>
          <w:kern w:val="0"/>
          <w:sz w:val="20"/>
          <w:rtl/>
          <w:lang w:val="en-CA"/>
        </w:rPr>
        <w:tab/>
        <w:t xml:space="preserve">كما يدعي </w:t>
      </w:r>
      <w:r w:rsidRPr="006B489A">
        <w:rPr>
          <w:rFonts w:hint="cs"/>
          <w:spacing w:val="0"/>
          <w:kern w:val="0"/>
          <w:sz w:val="20"/>
          <w:rtl/>
          <w:lang w:val="en-CA"/>
        </w:rPr>
        <w:t>أصحاب</w:t>
      </w:r>
      <w:r w:rsidRPr="006B489A">
        <w:rPr>
          <w:spacing w:val="0"/>
          <w:kern w:val="0"/>
          <w:sz w:val="20"/>
          <w:rtl/>
          <w:lang w:val="en-CA"/>
        </w:rPr>
        <w:t xml:space="preserve"> الشكوى أن السلطات السويدية ل</w:t>
      </w:r>
      <w:r w:rsidRPr="006B489A">
        <w:rPr>
          <w:rFonts w:hint="cs"/>
          <w:spacing w:val="0"/>
          <w:kern w:val="0"/>
          <w:sz w:val="20"/>
          <w:rtl/>
          <w:lang w:val="en-CA"/>
        </w:rPr>
        <w:t>م</w:t>
      </w:r>
      <w:r w:rsidRPr="006B489A">
        <w:rPr>
          <w:spacing w:val="0"/>
          <w:kern w:val="0"/>
          <w:sz w:val="20"/>
          <w:rtl/>
          <w:lang w:val="en-CA"/>
        </w:rPr>
        <w:t xml:space="preserve"> تركز إلا على أوجه عدم اتساق بسيطة بدلاً من النظر على النحو الواجب ب</w:t>
      </w:r>
      <w:r w:rsidRPr="006B489A">
        <w:rPr>
          <w:rFonts w:hint="cs"/>
          <w:spacing w:val="0"/>
          <w:kern w:val="0"/>
          <w:sz w:val="20"/>
          <w:rtl/>
          <w:lang w:val="en-CA"/>
        </w:rPr>
        <w:t>ادعائهما التعرض ل</w:t>
      </w:r>
      <w:r w:rsidRPr="006B489A">
        <w:rPr>
          <w:spacing w:val="0"/>
          <w:kern w:val="0"/>
          <w:sz w:val="20"/>
          <w:rtl/>
          <w:lang w:val="en-CA"/>
        </w:rPr>
        <w:t xml:space="preserve">لاضطهاد </w:t>
      </w:r>
      <w:r w:rsidRPr="006B489A">
        <w:rPr>
          <w:rFonts w:hint="cs"/>
          <w:spacing w:val="0"/>
          <w:kern w:val="0"/>
          <w:sz w:val="20"/>
          <w:rtl/>
          <w:lang w:val="en-CA"/>
        </w:rPr>
        <w:t xml:space="preserve">بسبب </w:t>
      </w:r>
      <w:r w:rsidRPr="006B489A">
        <w:rPr>
          <w:spacing w:val="0"/>
          <w:kern w:val="0"/>
          <w:sz w:val="20"/>
          <w:rtl/>
          <w:lang w:val="en-CA"/>
        </w:rPr>
        <w:t>أصلهم المختلط. وحتى إذا كان</w:t>
      </w:r>
      <w:r w:rsidRPr="006B489A">
        <w:rPr>
          <w:rFonts w:hint="cs"/>
          <w:spacing w:val="0"/>
          <w:kern w:val="0"/>
          <w:sz w:val="20"/>
          <w:rtl/>
          <w:lang w:val="en-CA"/>
        </w:rPr>
        <w:t>وا</w:t>
      </w:r>
      <w:r w:rsidRPr="006B489A">
        <w:rPr>
          <w:spacing w:val="0"/>
          <w:kern w:val="0"/>
          <w:sz w:val="20"/>
          <w:rtl/>
          <w:lang w:val="en-CA"/>
        </w:rPr>
        <w:t xml:space="preserve"> قد بالغ</w:t>
      </w:r>
      <w:r w:rsidRPr="006B489A">
        <w:rPr>
          <w:rFonts w:hint="cs"/>
          <w:spacing w:val="0"/>
          <w:kern w:val="0"/>
          <w:sz w:val="20"/>
          <w:rtl/>
          <w:lang w:val="en-CA"/>
        </w:rPr>
        <w:t>وا</w:t>
      </w:r>
      <w:r w:rsidRPr="006B489A">
        <w:rPr>
          <w:spacing w:val="0"/>
          <w:kern w:val="0"/>
          <w:sz w:val="20"/>
          <w:rtl/>
          <w:lang w:val="en-CA"/>
        </w:rPr>
        <w:t xml:space="preserve"> في تقدير الوقت الذي قض</w:t>
      </w:r>
      <w:r w:rsidRPr="006B489A">
        <w:rPr>
          <w:rFonts w:hint="cs"/>
          <w:spacing w:val="0"/>
          <w:kern w:val="0"/>
          <w:sz w:val="20"/>
          <w:rtl/>
          <w:lang w:val="en-CA"/>
        </w:rPr>
        <w:t>وه</w:t>
      </w:r>
      <w:r w:rsidRPr="006B489A">
        <w:rPr>
          <w:spacing w:val="0"/>
          <w:kern w:val="0"/>
          <w:sz w:val="20"/>
          <w:rtl/>
          <w:lang w:val="en-CA"/>
        </w:rPr>
        <w:t xml:space="preserve"> </w:t>
      </w:r>
      <w:r w:rsidRPr="006B489A">
        <w:rPr>
          <w:rFonts w:hint="cs"/>
          <w:spacing w:val="0"/>
          <w:kern w:val="0"/>
          <w:sz w:val="20"/>
          <w:rtl/>
          <w:lang w:val="en-CA"/>
        </w:rPr>
        <w:t xml:space="preserve">في الاحتجاز </w:t>
      </w:r>
      <w:r w:rsidRPr="006B489A">
        <w:rPr>
          <w:spacing w:val="0"/>
          <w:kern w:val="0"/>
          <w:sz w:val="20"/>
          <w:rtl/>
          <w:lang w:val="en-CA"/>
        </w:rPr>
        <w:t>أو لم يتذكر</w:t>
      </w:r>
      <w:r w:rsidRPr="006B489A">
        <w:rPr>
          <w:rFonts w:hint="cs"/>
          <w:spacing w:val="0"/>
          <w:kern w:val="0"/>
          <w:sz w:val="20"/>
          <w:rtl/>
          <w:lang w:val="en-CA"/>
        </w:rPr>
        <w:t>و</w:t>
      </w:r>
      <w:r w:rsidRPr="006B489A">
        <w:rPr>
          <w:spacing w:val="0"/>
          <w:kern w:val="0"/>
          <w:sz w:val="20"/>
          <w:rtl/>
          <w:lang w:val="en-CA"/>
        </w:rPr>
        <w:t>ا تواريخ استدعا</w:t>
      </w:r>
      <w:r w:rsidRPr="006B489A">
        <w:rPr>
          <w:rFonts w:hint="cs"/>
          <w:spacing w:val="0"/>
          <w:kern w:val="0"/>
          <w:sz w:val="20"/>
          <w:rtl/>
          <w:lang w:val="en-CA"/>
        </w:rPr>
        <w:t>ئهم</w:t>
      </w:r>
      <w:r w:rsidRPr="006B489A">
        <w:rPr>
          <w:spacing w:val="0"/>
          <w:kern w:val="0"/>
          <w:sz w:val="20"/>
          <w:rtl/>
          <w:lang w:val="en-CA"/>
        </w:rPr>
        <w:t xml:space="preserve"> </w:t>
      </w:r>
      <w:r w:rsidRPr="006B489A">
        <w:rPr>
          <w:rFonts w:hint="eastAsia"/>
          <w:spacing w:val="0"/>
          <w:kern w:val="0"/>
          <w:sz w:val="20"/>
          <w:rtl/>
          <w:lang w:val="en-CA"/>
        </w:rPr>
        <w:t>من</w:t>
      </w:r>
      <w:r w:rsidRPr="006B489A">
        <w:rPr>
          <w:spacing w:val="0"/>
          <w:kern w:val="0"/>
          <w:sz w:val="20"/>
          <w:rtl/>
          <w:lang w:val="en-CA"/>
        </w:rPr>
        <w:t xml:space="preserve"> قبل </w:t>
      </w:r>
      <w:r w:rsidRPr="006B489A">
        <w:rPr>
          <w:rFonts w:hint="cs"/>
          <w:spacing w:val="0"/>
          <w:kern w:val="0"/>
          <w:sz w:val="20"/>
          <w:rtl/>
          <w:lang w:val="en-CA"/>
        </w:rPr>
        <w:t xml:space="preserve">المخابرات </w:t>
      </w:r>
      <w:r w:rsidRPr="006B489A">
        <w:rPr>
          <w:spacing w:val="0"/>
          <w:kern w:val="0"/>
          <w:sz w:val="20"/>
          <w:rtl/>
          <w:lang w:val="en-CA"/>
        </w:rPr>
        <w:t xml:space="preserve">أو عدم تمكنهم من تفسير كيف </w:t>
      </w:r>
      <w:r w:rsidRPr="006B489A">
        <w:rPr>
          <w:rFonts w:hint="cs"/>
          <w:spacing w:val="0"/>
          <w:kern w:val="0"/>
          <w:sz w:val="20"/>
          <w:rtl/>
          <w:lang w:val="en-CA"/>
        </w:rPr>
        <w:t xml:space="preserve">استطاع </w:t>
      </w:r>
      <w:r w:rsidRPr="006B489A">
        <w:rPr>
          <w:spacing w:val="0"/>
          <w:kern w:val="0"/>
          <w:sz w:val="20"/>
          <w:rtl/>
          <w:lang w:val="en-CA"/>
        </w:rPr>
        <w:t xml:space="preserve">المهربون </w:t>
      </w:r>
      <w:r w:rsidRPr="006B489A">
        <w:rPr>
          <w:rFonts w:hint="cs"/>
          <w:spacing w:val="0"/>
          <w:kern w:val="0"/>
          <w:sz w:val="20"/>
          <w:rtl/>
          <w:lang w:val="en-CA"/>
        </w:rPr>
        <w:t xml:space="preserve">مدهم بجوازات </w:t>
      </w:r>
      <w:r w:rsidRPr="006B489A">
        <w:rPr>
          <w:spacing w:val="0"/>
          <w:kern w:val="0"/>
          <w:sz w:val="20"/>
          <w:rtl/>
          <w:lang w:val="en-CA"/>
        </w:rPr>
        <w:t xml:space="preserve">سفر، فإن هذه العوامل </w:t>
      </w:r>
      <w:r w:rsidRPr="006B489A">
        <w:rPr>
          <w:rFonts w:hint="cs"/>
          <w:spacing w:val="0"/>
          <w:kern w:val="0"/>
          <w:sz w:val="20"/>
          <w:rtl/>
          <w:lang w:val="en-CA"/>
        </w:rPr>
        <w:t xml:space="preserve">لا تكفي لإنكار </w:t>
      </w:r>
      <w:r w:rsidRPr="006B489A">
        <w:rPr>
          <w:spacing w:val="0"/>
          <w:kern w:val="0"/>
          <w:sz w:val="20"/>
          <w:rtl/>
          <w:lang w:val="en-CA"/>
        </w:rPr>
        <w:t xml:space="preserve">التجربة </w:t>
      </w:r>
      <w:r w:rsidRPr="006B489A">
        <w:rPr>
          <w:rFonts w:hint="cs"/>
          <w:spacing w:val="0"/>
          <w:kern w:val="0"/>
          <w:sz w:val="20"/>
          <w:rtl/>
          <w:lang w:val="en-CA"/>
        </w:rPr>
        <w:t>الصادمة</w:t>
      </w:r>
      <w:r w:rsidRPr="006B489A">
        <w:rPr>
          <w:spacing w:val="0"/>
          <w:kern w:val="0"/>
          <w:sz w:val="20"/>
          <w:rtl/>
          <w:lang w:val="en-CA"/>
        </w:rPr>
        <w:t xml:space="preserve"> أو الإصابات التي تعرض</w:t>
      </w:r>
      <w:r w:rsidRPr="006B489A">
        <w:rPr>
          <w:rFonts w:hint="cs"/>
          <w:spacing w:val="0"/>
          <w:kern w:val="0"/>
          <w:sz w:val="20"/>
          <w:rtl/>
          <w:lang w:val="en-CA"/>
        </w:rPr>
        <w:t>و</w:t>
      </w:r>
      <w:r w:rsidRPr="006B489A">
        <w:rPr>
          <w:spacing w:val="0"/>
          <w:kern w:val="0"/>
          <w:sz w:val="20"/>
          <w:rtl/>
          <w:lang w:val="en-CA"/>
        </w:rPr>
        <w:t>ا لها. و</w:t>
      </w:r>
      <w:r w:rsidRPr="006B489A">
        <w:rPr>
          <w:rFonts w:hint="cs"/>
          <w:spacing w:val="0"/>
          <w:kern w:val="0"/>
          <w:sz w:val="20"/>
          <w:rtl/>
          <w:lang w:val="en-CA"/>
        </w:rPr>
        <w:t>ت</w:t>
      </w:r>
      <w:r w:rsidRPr="006B489A">
        <w:rPr>
          <w:spacing w:val="0"/>
          <w:kern w:val="0"/>
          <w:sz w:val="20"/>
          <w:rtl/>
          <w:lang w:val="en-CA"/>
        </w:rPr>
        <w:t>دعم سردهم للوقائع تقارير طبية</w:t>
      </w:r>
      <w:r w:rsidRPr="006B489A">
        <w:rPr>
          <w:rFonts w:hint="cs"/>
          <w:spacing w:val="0"/>
          <w:kern w:val="0"/>
          <w:sz w:val="20"/>
          <w:rtl/>
          <w:lang w:val="en-CA"/>
        </w:rPr>
        <w:t>،</w:t>
      </w:r>
      <w:r w:rsidRPr="006B489A">
        <w:rPr>
          <w:spacing w:val="0"/>
          <w:kern w:val="0"/>
          <w:sz w:val="20"/>
          <w:rtl/>
          <w:lang w:val="en-CA"/>
        </w:rPr>
        <w:t xml:space="preserve"> وهناك خطر حقيقي بتكرار تعرضهم للتعذيب والإهانة بعد عود</w:t>
      </w:r>
      <w:r w:rsidRPr="006B489A">
        <w:rPr>
          <w:rFonts w:hint="eastAsia"/>
          <w:spacing w:val="0"/>
          <w:kern w:val="0"/>
          <w:sz w:val="20"/>
          <w:rtl/>
          <w:lang w:val="en-CA"/>
        </w:rPr>
        <w:t>تهم</w:t>
      </w:r>
      <w:r w:rsidRPr="006B489A">
        <w:rPr>
          <w:spacing w:val="0"/>
          <w:kern w:val="0"/>
          <w:sz w:val="20"/>
          <w:rtl/>
          <w:lang w:val="en-CA"/>
        </w:rPr>
        <w:t xml:space="preserve"> مرة ثانية.</w:t>
      </w:r>
    </w:p>
    <w:p w:rsidR="006B489A" w:rsidRPr="006B489A" w:rsidRDefault="006B489A" w:rsidP="006B489A">
      <w:pPr>
        <w:pStyle w:val="H23GA"/>
        <w:jc w:val="lowKashida"/>
        <w:rPr>
          <w:rFonts w:hint="cs"/>
          <w:spacing w:val="0"/>
          <w:kern w:val="0"/>
          <w:sz w:val="20"/>
          <w:szCs w:val="20"/>
          <w:rtl/>
        </w:rPr>
      </w:pPr>
      <w:r w:rsidRPr="006B489A">
        <w:rPr>
          <w:rFonts w:hint="cs"/>
          <w:spacing w:val="0"/>
          <w:kern w:val="0"/>
          <w:sz w:val="20"/>
          <w:rtl/>
        </w:rPr>
        <w:tab/>
      </w:r>
      <w:r w:rsidRPr="006B489A">
        <w:rPr>
          <w:rFonts w:hint="cs"/>
          <w:spacing w:val="0"/>
          <w:kern w:val="0"/>
          <w:sz w:val="20"/>
          <w:rtl/>
        </w:rPr>
        <w:tab/>
      </w:r>
      <w:r w:rsidRPr="006B489A">
        <w:rPr>
          <w:rFonts w:hint="eastAsia"/>
          <w:spacing w:val="0"/>
          <w:kern w:val="0"/>
          <w:sz w:val="20"/>
          <w:rtl/>
        </w:rPr>
        <w:t>ملاحظات</w:t>
      </w:r>
      <w:r w:rsidRPr="006B489A">
        <w:rPr>
          <w:spacing w:val="0"/>
          <w:kern w:val="0"/>
          <w:sz w:val="20"/>
          <w:rtl/>
        </w:rPr>
        <w:t xml:space="preserve"> الدولة الطرف</w:t>
      </w:r>
      <w:r w:rsidRPr="006B489A">
        <w:rPr>
          <w:rFonts w:hint="cs"/>
          <w:spacing w:val="0"/>
          <w:kern w:val="0"/>
          <w:sz w:val="20"/>
          <w:rtl/>
        </w:rPr>
        <w:t xml:space="preserve"> بشأن المقبولية والأسس الموضوعية</w:t>
      </w:r>
    </w:p>
    <w:p w:rsidR="006B489A" w:rsidRPr="006B489A" w:rsidRDefault="006B489A" w:rsidP="00C03ECB">
      <w:pPr>
        <w:pStyle w:val="SingleTxtGA"/>
        <w:jc w:val="lowKashida"/>
        <w:rPr>
          <w:spacing w:val="0"/>
          <w:kern w:val="0"/>
          <w:sz w:val="20"/>
          <w:rtl/>
          <w:lang w:val="en-CA"/>
        </w:rPr>
      </w:pPr>
      <w:r w:rsidRPr="006B489A">
        <w:rPr>
          <w:rFonts w:hint="cs"/>
          <w:spacing w:val="0"/>
          <w:kern w:val="0"/>
          <w:sz w:val="20"/>
          <w:rtl/>
          <w:lang w:val="en-CA"/>
        </w:rPr>
        <w:t>4-1</w:t>
      </w:r>
      <w:r w:rsidRPr="006B489A">
        <w:rPr>
          <w:rFonts w:hint="cs"/>
          <w:spacing w:val="0"/>
          <w:kern w:val="0"/>
          <w:sz w:val="20"/>
          <w:rtl/>
          <w:lang w:val="en-CA"/>
        </w:rPr>
        <w:tab/>
        <w:t>قدمت الدولة الطرف</w:t>
      </w:r>
      <w:r w:rsidRPr="006B489A">
        <w:rPr>
          <w:spacing w:val="0"/>
          <w:kern w:val="0"/>
          <w:sz w:val="20"/>
          <w:rtl/>
          <w:lang w:val="en-CA"/>
        </w:rPr>
        <w:t xml:space="preserve">، في 11 كانون الأول/ديسمبر 2009، ملاحظاتها بشأن مقبولية </w:t>
      </w:r>
      <w:r w:rsidRPr="006B489A">
        <w:rPr>
          <w:rFonts w:hint="cs"/>
          <w:spacing w:val="0"/>
          <w:kern w:val="0"/>
          <w:sz w:val="20"/>
          <w:rtl/>
          <w:lang w:val="en-CA"/>
        </w:rPr>
        <w:t>الشكوى</w:t>
      </w:r>
      <w:r w:rsidRPr="006B489A">
        <w:rPr>
          <w:spacing w:val="0"/>
          <w:kern w:val="0"/>
          <w:sz w:val="20"/>
          <w:rtl/>
          <w:lang w:val="en-CA"/>
        </w:rPr>
        <w:t xml:space="preserve"> وأسسه</w:t>
      </w:r>
      <w:r w:rsidRPr="006B489A">
        <w:rPr>
          <w:rFonts w:hint="cs"/>
          <w:spacing w:val="0"/>
          <w:kern w:val="0"/>
          <w:sz w:val="20"/>
          <w:rtl/>
          <w:lang w:val="en-CA"/>
        </w:rPr>
        <w:t>ا</w:t>
      </w:r>
      <w:r w:rsidRPr="006B489A">
        <w:rPr>
          <w:spacing w:val="0"/>
          <w:kern w:val="0"/>
          <w:sz w:val="20"/>
          <w:rtl/>
          <w:lang w:val="en-CA"/>
        </w:rPr>
        <w:t xml:space="preserve"> الموضوعية. وتدع</w:t>
      </w:r>
      <w:r w:rsidRPr="006B489A">
        <w:rPr>
          <w:rFonts w:hint="cs"/>
          <w:spacing w:val="0"/>
          <w:kern w:val="0"/>
          <w:sz w:val="20"/>
          <w:rtl/>
          <w:lang w:val="en-CA"/>
        </w:rPr>
        <w:t>ي الدولة</w:t>
      </w:r>
      <w:r w:rsidRPr="006B489A">
        <w:rPr>
          <w:spacing w:val="0"/>
          <w:kern w:val="0"/>
          <w:sz w:val="20"/>
          <w:rtl/>
          <w:lang w:val="en-CA"/>
        </w:rPr>
        <w:t xml:space="preserve"> </w:t>
      </w:r>
      <w:r w:rsidRPr="006B489A">
        <w:rPr>
          <w:rFonts w:hint="cs"/>
          <w:spacing w:val="0"/>
          <w:kern w:val="0"/>
          <w:sz w:val="20"/>
          <w:rtl/>
          <w:lang w:val="en-CA"/>
        </w:rPr>
        <w:t xml:space="preserve">الطرف </w:t>
      </w:r>
      <w:r w:rsidRPr="006B489A">
        <w:rPr>
          <w:spacing w:val="0"/>
          <w:kern w:val="0"/>
          <w:sz w:val="20"/>
          <w:rtl/>
          <w:lang w:val="en-CA"/>
        </w:rPr>
        <w:t>أن س. م. وﻫ. م.</w:t>
      </w:r>
      <w:r w:rsidRPr="006B489A">
        <w:rPr>
          <w:rFonts w:hint="cs"/>
          <w:spacing w:val="0"/>
          <w:kern w:val="0"/>
          <w:sz w:val="20"/>
          <w:rtl/>
          <w:lang w:val="en-CA"/>
        </w:rPr>
        <w:t xml:space="preserve"> </w:t>
      </w:r>
      <w:r w:rsidRPr="006B489A">
        <w:rPr>
          <w:spacing w:val="0"/>
          <w:kern w:val="0"/>
          <w:sz w:val="20"/>
          <w:rtl/>
          <w:lang w:val="en-CA"/>
        </w:rPr>
        <w:t>وابنتهما أ.</w:t>
      </w:r>
      <w:r w:rsidR="00C03ECB">
        <w:rPr>
          <w:rFonts w:hint="cs"/>
          <w:spacing w:val="0"/>
          <w:kern w:val="0"/>
          <w:sz w:val="20"/>
          <w:rtl/>
          <w:lang w:val="en-CA"/>
        </w:rPr>
        <w:t> </w:t>
      </w:r>
      <w:r w:rsidRPr="006B489A">
        <w:rPr>
          <w:spacing w:val="0"/>
          <w:kern w:val="0"/>
          <w:sz w:val="20"/>
          <w:rtl/>
          <w:lang w:val="en-CA"/>
        </w:rPr>
        <w:t>م. وصلوا إلى السويد لأول مرة في 29 آذار/مارس 2002 وطلبوا اللجوء في 2 نيسان/أبريل 2002. وأشاروا إلى أنهم من إقليم ناغورنو</w:t>
      </w:r>
      <w:r w:rsidRPr="006B489A">
        <w:rPr>
          <w:rFonts w:hint="cs"/>
          <w:spacing w:val="0"/>
          <w:kern w:val="0"/>
          <w:sz w:val="20"/>
          <w:rtl/>
          <w:lang w:val="en-CA"/>
        </w:rPr>
        <w:t xml:space="preserve"> - </w:t>
      </w:r>
      <w:r w:rsidRPr="006B489A">
        <w:rPr>
          <w:spacing w:val="0"/>
          <w:kern w:val="0"/>
          <w:sz w:val="20"/>
          <w:rtl/>
          <w:lang w:val="en-CA"/>
        </w:rPr>
        <w:t>كا</w:t>
      </w:r>
      <w:r w:rsidRPr="006B489A">
        <w:rPr>
          <w:rFonts w:hint="cs"/>
          <w:spacing w:val="0"/>
          <w:kern w:val="0"/>
          <w:sz w:val="20"/>
          <w:rtl/>
          <w:lang w:val="en-CA"/>
        </w:rPr>
        <w:t>ر</w:t>
      </w:r>
      <w:r w:rsidRPr="006B489A">
        <w:rPr>
          <w:rFonts w:hint="eastAsia"/>
          <w:spacing w:val="0"/>
          <w:kern w:val="0"/>
          <w:sz w:val="20"/>
          <w:rtl/>
          <w:lang w:val="en-CA"/>
        </w:rPr>
        <w:t>اباخ</w:t>
      </w:r>
      <w:r w:rsidRPr="006B489A">
        <w:rPr>
          <w:spacing w:val="0"/>
          <w:kern w:val="0"/>
          <w:sz w:val="20"/>
          <w:rtl/>
          <w:lang w:val="en-CA"/>
        </w:rPr>
        <w:t xml:space="preserve"> في أذربيجان التي تركوها في عام 1998 وعاشوا منذ ذلك الوقت كأشخاص مشردين داخلياً </w:t>
      </w:r>
      <w:r w:rsidRPr="006B489A">
        <w:rPr>
          <w:rFonts w:hint="cs"/>
          <w:spacing w:val="0"/>
          <w:kern w:val="0"/>
          <w:sz w:val="20"/>
          <w:rtl/>
          <w:lang w:val="en-CA"/>
        </w:rPr>
        <w:t>عقب</w:t>
      </w:r>
      <w:r w:rsidRPr="006B489A">
        <w:rPr>
          <w:spacing w:val="0"/>
          <w:kern w:val="0"/>
          <w:sz w:val="20"/>
          <w:rtl/>
          <w:lang w:val="en-CA"/>
        </w:rPr>
        <w:t xml:space="preserve"> الاضطهاد الذي تعرضوا له </w:t>
      </w:r>
      <w:r w:rsidRPr="006B489A">
        <w:rPr>
          <w:rFonts w:hint="cs"/>
          <w:spacing w:val="0"/>
          <w:kern w:val="0"/>
          <w:sz w:val="20"/>
          <w:rtl/>
          <w:lang w:val="en-CA"/>
        </w:rPr>
        <w:t xml:space="preserve">بسبب </w:t>
      </w:r>
      <w:r w:rsidRPr="006B489A">
        <w:rPr>
          <w:spacing w:val="0"/>
          <w:kern w:val="0"/>
          <w:sz w:val="20"/>
          <w:rtl/>
          <w:lang w:val="en-CA"/>
        </w:rPr>
        <w:t>مظهر س. م.</w:t>
      </w:r>
      <w:r w:rsidRPr="006B489A">
        <w:rPr>
          <w:rFonts w:hint="cs"/>
          <w:spacing w:val="0"/>
          <w:kern w:val="0"/>
          <w:sz w:val="20"/>
          <w:rtl/>
          <w:lang w:val="en-CA"/>
        </w:rPr>
        <w:t xml:space="preserve"> الأرمني</w:t>
      </w:r>
      <w:r w:rsidRPr="006B489A">
        <w:rPr>
          <w:spacing w:val="0"/>
          <w:kern w:val="0"/>
          <w:sz w:val="20"/>
          <w:rtl/>
          <w:lang w:val="en-CA"/>
        </w:rPr>
        <w:t xml:space="preserve"> ولهجته الأرمنية. و</w:t>
      </w:r>
      <w:r w:rsidRPr="006B489A">
        <w:rPr>
          <w:rFonts w:hint="cs"/>
          <w:spacing w:val="0"/>
          <w:kern w:val="0"/>
          <w:sz w:val="20"/>
          <w:rtl/>
          <w:lang w:val="en-CA"/>
        </w:rPr>
        <w:t>بناء عليه،</w:t>
      </w:r>
      <w:r w:rsidRPr="006B489A">
        <w:rPr>
          <w:spacing w:val="0"/>
          <w:kern w:val="0"/>
          <w:sz w:val="20"/>
          <w:rtl/>
          <w:lang w:val="en-CA"/>
        </w:rPr>
        <w:t xml:space="preserve"> تعرض </w:t>
      </w:r>
      <w:r w:rsidRPr="006B489A">
        <w:rPr>
          <w:rFonts w:hint="cs"/>
          <w:spacing w:val="0"/>
          <w:kern w:val="0"/>
          <w:sz w:val="20"/>
          <w:rtl/>
          <w:lang w:val="en-CA"/>
        </w:rPr>
        <w:t xml:space="preserve">س. م. </w:t>
      </w:r>
      <w:r w:rsidRPr="006B489A">
        <w:rPr>
          <w:spacing w:val="0"/>
          <w:kern w:val="0"/>
          <w:sz w:val="20"/>
          <w:rtl/>
          <w:lang w:val="en-CA"/>
        </w:rPr>
        <w:t>للضرب و</w:t>
      </w:r>
      <w:r w:rsidRPr="006B489A">
        <w:rPr>
          <w:rFonts w:hint="cs"/>
          <w:spacing w:val="0"/>
          <w:kern w:val="0"/>
          <w:sz w:val="20"/>
          <w:rtl/>
          <w:lang w:val="en-CA"/>
        </w:rPr>
        <w:t>لل</w:t>
      </w:r>
      <w:r w:rsidRPr="006B489A">
        <w:rPr>
          <w:spacing w:val="0"/>
          <w:kern w:val="0"/>
          <w:sz w:val="20"/>
          <w:rtl/>
          <w:lang w:val="en-CA"/>
        </w:rPr>
        <w:t xml:space="preserve">معاملة </w:t>
      </w:r>
      <w:r w:rsidRPr="006B489A">
        <w:rPr>
          <w:rFonts w:hint="cs"/>
          <w:spacing w:val="0"/>
          <w:kern w:val="0"/>
          <w:sz w:val="20"/>
          <w:rtl/>
          <w:lang w:val="en-CA"/>
        </w:rPr>
        <w:t>ال</w:t>
      </w:r>
      <w:r w:rsidRPr="006B489A">
        <w:rPr>
          <w:spacing w:val="0"/>
          <w:kern w:val="0"/>
          <w:sz w:val="20"/>
          <w:rtl/>
          <w:lang w:val="en-CA"/>
        </w:rPr>
        <w:t xml:space="preserve">مهينة واضطر إلى ترك وظيفته بسبب أصله الإثني المختلط. وتعرضت </w:t>
      </w:r>
      <w:r w:rsidRPr="006B489A">
        <w:rPr>
          <w:rFonts w:hint="cs"/>
          <w:spacing w:val="0"/>
          <w:kern w:val="0"/>
          <w:sz w:val="20"/>
          <w:rtl/>
          <w:lang w:val="en-CA"/>
        </w:rPr>
        <w:t>ﻫ.</w:t>
      </w:r>
      <w:r w:rsidR="00C03ECB">
        <w:rPr>
          <w:rFonts w:hint="eastAsia"/>
          <w:spacing w:val="0"/>
          <w:kern w:val="0"/>
          <w:sz w:val="20"/>
          <w:rtl/>
          <w:lang w:val="en-CA"/>
        </w:rPr>
        <w:t> </w:t>
      </w:r>
      <w:r w:rsidRPr="006B489A">
        <w:rPr>
          <w:rFonts w:hint="cs"/>
          <w:spacing w:val="0"/>
          <w:kern w:val="0"/>
          <w:sz w:val="20"/>
          <w:rtl/>
          <w:lang w:val="en-CA"/>
        </w:rPr>
        <w:t>م.</w:t>
      </w:r>
      <w:r w:rsidRPr="006B489A">
        <w:rPr>
          <w:spacing w:val="0"/>
          <w:kern w:val="0"/>
          <w:sz w:val="20"/>
          <w:rtl/>
          <w:lang w:val="en-CA"/>
        </w:rPr>
        <w:t xml:space="preserve"> للاغتصاب عدة مر</w:t>
      </w:r>
      <w:r w:rsidRPr="006B489A">
        <w:rPr>
          <w:rFonts w:hint="eastAsia"/>
          <w:spacing w:val="0"/>
          <w:kern w:val="0"/>
          <w:sz w:val="20"/>
          <w:rtl/>
          <w:lang w:val="en-CA"/>
        </w:rPr>
        <w:t>ات</w:t>
      </w:r>
      <w:r w:rsidRPr="006B489A">
        <w:rPr>
          <w:spacing w:val="0"/>
          <w:kern w:val="0"/>
          <w:sz w:val="20"/>
          <w:rtl/>
          <w:lang w:val="en-CA"/>
        </w:rPr>
        <w:t xml:space="preserve"> وللضرب </w:t>
      </w:r>
      <w:r w:rsidRPr="006B489A">
        <w:rPr>
          <w:rFonts w:hint="cs"/>
          <w:spacing w:val="0"/>
          <w:kern w:val="0"/>
          <w:sz w:val="20"/>
          <w:rtl/>
          <w:lang w:val="en-CA"/>
        </w:rPr>
        <w:t>في إحدى المناسبات</w:t>
      </w:r>
      <w:r w:rsidRPr="006B489A">
        <w:rPr>
          <w:spacing w:val="0"/>
          <w:kern w:val="0"/>
          <w:sz w:val="20"/>
          <w:rtl/>
          <w:lang w:val="en-CA"/>
        </w:rPr>
        <w:t xml:space="preserve">، أيضاً بسبب أصل </w:t>
      </w:r>
      <w:r w:rsidRPr="006B489A">
        <w:rPr>
          <w:rFonts w:hint="cs"/>
          <w:spacing w:val="0"/>
          <w:kern w:val="0"/>
          <w:sz w:val="20"/>
          <w:rtl/>
          <w:lang w:val="en-CA"/>
        </w:rPr>
        <w:t>ال</w:t>
      </w:r>
      <w:r w:rsidRPr="006B489A">
        <w:rPr>
          <w:spacing w:val="0"/>
          <w:kern w:val="0"/>
          <w:sz w:val="20"/>
          <w:rtl/>
          <w:lang w:val="en-CA"/>
        </w:rPr>
        <w:t>أسر</w:t>
      </w:r>
      <w:r w:rsidRPr="006B489A">
        <w:rPr>
          <w:rFonts w:hint="cs"/>
          <w:spacing w:val="0"/>
          <w:kern w:val="0"/>
          <w:sz w:val="20"/>
          <w:rtl/>
          <w:lang w:val="en-CA"/>
        </w:rPr>
        <w:t>ة</w:t>
      </w:r>
      <w:r w:rsidRPr="006B489A">
        <w:rPr>
          <w:spacing w:val="0"/>
          <w:kern w:val="0"/>
          <w:sz w:val="20"/>
          <w:rtl/>
          <w:lang w:val="en-CA"/>
        </w:rPr>
        <w:t xml:space="preserve"> المختلط.</w:t>
      </w:r>
      <w:r w:rsidRPr="006B489A">
        <w:rPr>
          <w:rFonts w:hint="cs"/>
          <w:spacing w:val="0"/>
          <w:kern w:val="0"/>
          <w:sz w:val="20"/>
          <w:rtl/>
          <w:lang w:val="en-CA"/>
        </w:rPr>
        <w:t xml:space="preserve"> </w:t>
      </w:r>
      <w:r w:rsidRPr="006B489A">
        <w:rPr>
          <w:rFonts w:hint="eastAsia"/>
          <w:spacing w:val="0"/>
          <w:kern w:val="0"/>
          <w:sz w:val="20"/>
          <w:rtl/>
          <w:lang w:val="en-CA"/>
        </w:rPr>
        <w:t>وفي</w:t>
      </w:r>
      <w:r w:rsidRPr="006B489A">
        <w:rPr>
          <w:spacing w:val="0"/>
          <w:kern w:val="0"/>
          <w:sz w:val="20"/>
          <w:rtl/>
          <w:lang w:val="en-CA"/>
        </w:rPr>
        <w:t xml:space="preserve"> إحدى المرات، احتجزت</w:t>
      </w:r>
      <w:r w:rsidRPr="006B489A">
        <w:rPr>
          <w:rFonts w:hint="cs"/>
          <w:spacing w:val="0"/>
          <w:kern w:val="0"/>
          <w:sz w:val="20"/>
          <w:rtl/>
          <w:lang w:val="en-CA"/>
        </w:rPr>
        <w:t xml:space="preserve"> ﻫ. م.</w:t>
      </w:r>
      <w:r w:rsidRPr="006B489A">
        <w:rPr>
          <w:spacing w:val="0"/>
          <w:kern w:val="0"/>
          <w:sz w:val="20"/>
          <w:rtl/>
          <w:lang w:val="en-CA"/>
        </w:rPr>
        <w:t xml:space="preserve"> لمدة ثلاثة أيام بسبب شجار في محل تجاري. </w:t>
      </w:r>
      <w:r w:rsidRPr="006B489A">
        <w:rPr>
          <w:rFonts w:hint="cs"/>
          <w:spacing w:val="0"/>
          <w:kern w:val="0"/>
          <w:sz w:val="20"/>
          <w:rtl/>
          <w:lang w:val="en-CA"/>
        </w:rPr>
        <w:t xml:space="preserve">ويحتج أصحاب </w:t>
      </w:r>
      <w:r w:rsidRPr="006B489A">
        <w:rPr>
          <w:spacing w:val="0"/>
          <w:kern w:val="0"/>
          <w:sz w:val="20"/>
          <w:rtl/>
          <w:lang w:val="en-CA"/>
        </w:rPr>
        <w:t>الشكوى بأن هناك أسباباً إنسانية</w:t>
      </w:r>
      <w:r w:rsidRPr="006B489A">
        <w:rPr>
          <w:rFonts w:hint="cs"/>
          <w:spacing w:val="0"/>
          <w:kern w:val="0"/>
          <w:sz w:val="20"/>
          <w:rtl/>
          <w:lang w:val="en-CA"/>
        </w:rPr>
        <w:t xml:space="preserve"> تدعو إلى </w:t>
      </w:r>
      <w:r w:rsidRPr="006B489A">
        <w:rPr>
          <w:spacing w:val="0"/>
          <w:kern w:val="0"/>
          <w:sz w:val="20"/>
          <w:rtl/>
          <w:lang w:val="en-CA"/>
        </w:rPr>
        <w:t xml:space="preserve">منح ابنتهما </w:t>
      </w:r>
      <w:r w:rsidRPr="006B489A">
        <w:rPr>
          <w:rFonts w:hint="cs"/>
          <w:spacing w:val="0"/>
          <w:kern w:val="0"/>
          <w:sz w:val="20"/>
          <w:rtl/>
          <w:lang w:val="en-CA"/>
        </w:rPr>
        <w:t>تصريح</w:t>
      </w:r>
      <w:r w:rsidRPr="006B489A">
        <w:rPr>
          <w:spacing w:val="0"/>
          <w:kern w:val="0"/>
          <w:sz w:val="20"/>
          <w:rtl/>
          <w:lang w:val="en-CA"/>
        </w:rPr>
        <w:t xml:space="preserve"> إقامة. كما</w:t>
      </w:r>
      <w:r w:rsidR="00C03ECB">
        <w:rPr>
          <w:rFonts w:hint="cs"/>
          <w:spacing w:val="0"/>
          <w:kern w:val="0"/>
          <w:sz w:val="20"/>
          <w:rtl/>
          <w:lang w:val="en-CA"/>
        </w:rPr>
        <w:t> </w:t>
      </w:r>
      <w:r w:rsidRPr="006B489A">
        <w:rPr>
          <w:spacing w:val="0"/>
          <w:kern w:val="0"/>
          <w:sz w:val="20"/>
          <w:rtl/>
          <w:lang w:val="en-CA"/>
        </w:rPr>
        <w:t>أشارا إلى أنهم</w:t>
      </w:r>
      <w:r w:rsidRPr="006B489A">
        <w:rPr>
          <w:rFonts w:hint="cs"/>
          <w:spacing w:val="0"/>
          <w:kern w:val="0"/>
          <w:sz w:val="20"/>
          <w:rtl/>
          <w:lang w:val="en-CA"/>
        </w:rPr>
        <w:t>ا</w:t>
      </w:r>
      <w:r w:rsidRPr="006B489A">
        <w:rPr>
          <w:spacing w:val="0"/>
          <w:kern w:val="0"/>
          <w:sz w:val="20"/>
          <w:rtl/>
          <w:lang w:val="en-CA"/>
        </w:rPr>
        <w:t xml:space="preserve"> لم يمارسا أي نشاط سياسي.</w:t>
      </w:r>
    </w:p>
    <w:p w:rsidR="006B489A" w:rsidRPr="006B489A" w:rsidRDefault="006B489A" w:rsidP="00C03ECB">
      <w:pPr>
        <w:pStyle w:val="SingleTxtGA"/>
        <w:jc w:val="lowKashida"/>
        <w:rPr>
          <w:rFonts w:hint="cs"/>
          <w:spacing w:val="0"/>
          <w:kern w:val="0"/>
          <w:sz w:val="20"/>
          <w:szCs w:val="20"/>
          <w:rtl/>
        </w:rPr>
      </w:pPr>
      <w:r w:rsidRPr="00C03ECB">
        <w:rPr>
          <w:spacing w:val="-2"/>
          <w:kern w:val="0"/>
          <w:sz w:val="20"/>
          <w:rtl/>
          <w:lang w:val="en-CA"/>
        </w:rPr>
        <w:t>4-2</w:t>
      </w:r>
      <w:r w:rsidRPr="00C03ECB">
        <w:rPr>
          <w:spacing w:val="-2"/>
          <w:kern w:val="0"/>
          <w:sz w:val="20"/>
          <w:rtl/>
          <w:lang w:val="en-CA"/>
        </w:rPr>
        <w:tab/>
        <w:t xml:space="preserve">ورفض مجلس الهجرة طلب اللجوء الأول على أساس أن </w:t>
      </w:r>
      <w:r w:rsidRPr="00C03ECB">
        <w:rPr>
          <w:rFonts w:hint="cs"/>
          <w:spacing w:val="-2"/>
          <w:kern w:val="0"/>
          <w:sz w:val="20"/>
          <w:rtl/>
          <w:lang w:val="en-CA"/>
        </w:rPr>
        <w:t>ال</w:t>
      </w:r>
      <w:r w:rsidRPr="00C03ECB">
        <w:rPr>
          <w:spacing w:val="-2"/>
          <w:kern w:val="0"/>
          <w:sz w:val="20"/>
          <w:rtl/>
          <w:lang w:val="en-CA"/>
        </w:rPr>
        <w:t xml:space="preserve">تمييز </w:t>
      </w:r>
      <w:r w:rsidRPr="00C03ECB">
        <w:rPr>
          <w:rFonts w:hint="cs"/>
          <w:spacing w:val="-2"/>
          <w:kern w:val="0"/>
          <w:sz w:val="20"/>
          <w:rtl/>
          <w:lang w:val="en-CA"/>
        </w:rPr>
        <w:t>أو الاضطهاد الذي يتعرض له ا</w:t>
      </w:r>
      <w:r w:rsidRPr="00C03ECB">
        <w:rPr>
          <w:spacing w:val="-2"/>
          <w:kern w:val="0"/>
          <w:sz w:val="20"/>
          <w:rtl/>
          <w:lang w:val="en-CA"/>
        </w:rPr>
        <w:t>لأرم</w:t>
      </w:r>
      <w:r w:rsidRPr="00C03ECB">
        <w:rPr>
          <w:rFonts w:hint="cs"/>
          <w:spacing w:val="-2"/>
          <w:kern w:val="0"/>
          <w:sz w:val="20"/>
          <w:rtl/>
          <w:lang w:val="en-CA"/>
        </w:rPr>
        <w:t>ن</w:t>
      </w:r>
      <w:r w:rsidRPr="00C03ECB">
        <w:rPr>
          <w:spacing w:val="-2"/>
          <w:kern w:val="0"/>
          <w:sz w:val="20"/>
          <w:rtl/>
          <w:lang w:val="en-CA"/>
        </w:rPr>
        <w:t xml:space="preserve"> </w:t>
      </w:r>
      <w:r w:rsidRPr="00C03ECB">
        <w:rPr>
          <w:rFonts w:hint="cs"/>
          <w:spacing w:val="-2"/>
          <w:kern w:val="0"/>
          <w:sz w:val="20"/>
          <w:rtl/>
          <w:lang w:val="en-CA"/>
        </w:rPr>
        <w:t xml:space="preserve">بمعرفة الدولة </w:t>
      </w:r>
      <w:r w:rsidRPr="00C03ECB">
        <w:rPr>
          <w:spacing w:val="-2"/>
          <w:kern w:val="0"/>
          <w:sz w:val="20"/>
          <w:rtl/>
          <w:lang w:val="en-CA"/>
        </w:rPr>
        <w:t xml:space="preserve">لا يحدث في أذربيجان ولا يمكن أن </w:t>
      </w:r>
      <w:r w:rsidRPr="00C03ECB">
        <w:rPr>
          <w:rFonts w:hint="cs"/>
          <w:spacing w:val="-2"/>
          <w:kern w:val="0"/>
          <w:sz w:val="20"/>
          <w:rtl/>
          <w:lang w:val="en-CA"/>
        </w:rPr>
        <w:t>يمثل</w:t>
      </w:r>
      <w:r w:rsidRPr="00C03ECB">
        <w:rPr>
          <w:spacing w:val="-2"/>
          <w:kern w:val="0"/>
          <w:sz w:val="20"/>
          <w:rtl/>
          <w:lang w:val="en-CA"/>
        </w:rPr>
        <w:t xml:space="preserve"> الوضع العام للمواطنين المنتمين </w:t>
      </w:r>
      <w:r w:rsidRPr="00C03ECB">
        <w:rPr>
          <w:rFonts w:hint="cs"/>
          <w:spacing w:val="-2"/>
          <w:kern w:val="0"/>
          <w:sz w:val="20"/>
          <w:rtl/>
          <w:lang w:val="en-CA"/>
        </w:rPr>
        <w:t xml:space="preserve">إلى </w:t>
      </w:r>
      <w:r w:rsidRPr="00C03ECB">
        <w:rPr>
          <w:spacing w:val="-2"/>
          <w:kern w:val="0"/>
          <w:sz w:val="20"/>
          <w:rtl/>
          <w:lang w:val="en-CA"/>
        </w:rPr>
        <w:t>هذه المجموعة الإثنية</w:t>
      </w:r>
      <w:r w:rsidRPr="00C03ECB">
        <w:rPr>
          <w:rFonts w:hint="cs"/>
          <w:spacing w:val="-2"/>
          <w:kern w:val="0"/>
          <w:sz w:val="20"/>
          <w:rtl/>
          <w:lang w:val="en-CA"/>
        </w:rPr>
        <w:t xml:space="preserve"> في حد ذاته</w:t>
      </w:r>
      <w:r w:rsidRPr="00C03ECB">
        <w:rPr>
          <w:spacing w:val="-2"/>
          <w:kern w:val="0"/>
          <w:sz w:val="20"/>
          <w:rtl/>
          <w:lang w:val="en-CA"/>
        </w:rPr>
        <w:t xml:space="preserve"> أساساً للجوء. ووجد المجلس </w:t>
      </w:r>
      <w:r w:rsidRPr="00C03ECB">
        <w:rPr>
          <w:rFonts w:hint="cs"/>
          <w:spacing w:val="-2"/>
          <w:kern w:val="0"/>
          <w:sz w:val="20"/>
          <w:rtl/>
          <w:lang w:val="en-CA"/>
        </w:rPr>
        <w:t xml:space="preserve">عدم تقديم ما يثبت أن أصحاب الشكوى سيتعرضون </w:t>
      </w:r>
      <w:r w:rsidRPr="00C03ECB">
        <w:rPr>
          <w:spacing w:val="-2"/>
          <w:kern w:val="0"/>
          <w:sz w:val="20"/>
          <w:rtl/>
          <w:lang w:val="en-CA"/>
        </w:rPr>
        <w:t>للاضطهاد في ح</w:t>
      </w:r>
      <w:r w:rsidRPr="00C03ECB">
        <w:rPr>
          <w:rFonts w:hint="eastAsia"/>
          <w:spacing w:val="-2"/>
          <w:kern w:val="0"/>
          <w:sz w:val="20"/>
          <w:rtl/>
          <w:lang w:val="en-CA"/>
        </w:rPr>
        <w:t>ال</w:t>
      </w:r>
      <w:r w:rsidRPr="00C03ECB">
        <w:rPr>
          <w:rFonts w:hint="cs"/>
          <w:spacing w:val="-2"/>
          <w:kern w:val="0"/>
          <w:sz w:val="20"/>
          <w:rtl/>
          <w:lang w:val="en-CA"/>
        </w:rPr>
        <w:t>ة</w:t>
      </w:r>
      <w:r w:rsidRPr="00C03ECB">
        <w:rPr>
          <w:spacing w:val="-2"/>
          <w:kern w:val="0"/>
          <w:sz w:val="20"/>
          <w:rtl/>
          <w:lang w:val="en-CA"/>
        </w:rPr>
        <w:t xml:space="preserve"> </w:t>
      </w:r>
      <w:r w:rsidRPr="00C03ECB">
        <w:rPr>
          <w:rFonts w:hint="cs"/>
          <w:spacing w:val="-2"/>
          <w:kern w:val="0"/>
          <w:sz w:val="20"/>
          <w:rtl/>
          <w:lang w:val="en-CA"/>
        </w:rPr>
        <w:t>إعادتهم</w:t>
      </w:r>
      <w:r w:rsidRPr="00C03ECB">
        <w:rPr>
          <w:spacing w:val="-2"/>
          <w:kern w:val="0"/>
          <w:sz w:val="20"/>
          <w:rtl/>
          <w:lang w:val="en-CA"/>
        </w:rPr>
        <w:t xml:space="preserve"> إلى بلدهم الأصلي. ولم تكن المشاكل الصحية التي </w:t>
      </w:r>
      <w:r w:rsidRPr="00C03ECB">
        <w:rPr>
          <w:rFonts w:hint="cs"/>
          <w:spacing w:val="-2"/>
          <w:kern w:val="0"/>
          <w:sz w:val="20"/>
          <w:rtl/>
          <w:lang w:val="en-CA"/>
        </w:rPr>
        <w:t xml:space="preserve">يحتج </w:t>
      </w:r>
      <w:r w:rsidRPr="00C03ECB">
        <w:rPr>
          <w:spacing w:val="-2"/>
          <w:kern w:val="0"/>
          <w:sz w:val="20"/>
          <w:rtl/>
          <w:lang w:val="en-CA"/>
        </w:rPr>
        <w:t xml:space="preserve">بها </w:t>
      </w:r>
      <w:r w:rsidRPr="00C03ECB">
        <w:rPr>
          <w:rFonts w:hint="cs"/>
          <w:spacing w:val="-2"/>
          <w:kern w:val="0"/>
          <w:sz w:val="20"/>
          <w:rtl/>
          <w:lang w:val="en-CA"/>
        </w:rPr>
        <w:t xml:space="preserve">أصحاب </w:t>
      </w:r>
      <w:r w:rsidRPr="00C03ECB">
        <w:rPr>
          <w:spacing w:val="-2"/>
          <w:kern w:val="0"/>
          <w:sz w:val="20"/>
          <w:rtl/>
          <w:lang w:val="en-CA"/>
        </w:rPr>
        <w:t xml:space="preserve">الشكوى بالخطورة التي تستدعي تعليق أمر </w:t>
      </w:r>
      <w:r w:rsidRPr="00C03ECB">
        <w:rPr>
          <w:rFonts w:hint="cs"/>
          <w:spacing w:val="-2"/>
          <w:kern w:val="0"/>
          <w:sz w:val="20"/>
          <w:rtl/>
          <w:lang w:val="en-CA"/>
        </w:rPr>
        <w:t>الطرد</w:t>
      </w:r>
      <w:r w:rsidRPr="00C03ECB">
        <w:rPr>
          <w:spacing w:val="-2"/>
          <w:kern w:val="0"/>
          <w:sz w:val="20"/>
          <w:rtl/>
          <w:lang w:val="en-CA"/>
        </w:rPr>
        <w:t xml:space="preserve"> الصادر ضدهم</w:t>
      </w:r>
      <w:r w:rsidRPr="00C03ECB">
        <w:rPr>
          <w:rFonts w:hint="cs"/>
          <w:spacing w:val="-2"/>
          <w:kern w:val="0"/>
          <w:sz w:val="20"/>
          <w:rtl/>
          <w:lang w:val="en-CA"/>
        </w:rPr>
        <w:t>ا</w:t>
      </w:r>
      <w:r w:rsidRPr="00C03ECB">
        <w:rPr>
          <w:spacing w:val="-2"/>
          <w:kern w:val="0"/>
          <w:sz w:val="20"/>
          <w:rtl/>
          <w:lang w:val="en-CA"/>
        </w:rPr>
        <w:t xml:space="preserve">. ولجأ </w:t>
      </w:r>
      <w:r w:rsidRPr="00C03ECB">
        <w:rPr>
          <w:rFonts w:hint="cs"/>
          <w:spacing w:val="-2"/>
          <w:kern w:val="0"/>
          <w:sz w:val="20"/>
          <w:rtl/>
          <w:lang w:val="en-CA"/>
        </w:rPr>
        <w:t xml:space="preserve">أصحاب </w:t>
      </w:r>
      <w:r w:rsidRPr="00C03ECB">
        <w:rPr>
          <w:spacing w:val="-2"/>
          <w:kern w:val="0"/>
          <w:sz w:val="20"/>
          <w:rtl/>
          <w:lang w:val="en-CA"/>
        </w:rPr>
        <w:t>الشكوى إلى المجلس المعني بطعون الأجانب الذي أيد قرار مجلس الهجرة في آذار/مارس 2004. ونفذ أمر رفض الدخول ف</w:t>
      </w:r>
      <w:r w:rsidRPr="00C03ECB">
        <w:rPr>
          <w:rFonts w:hint="eastAsia"/>
          <w:spacing w:val="-2"/>
          <w:kern w:val="0"/>
          <w:sz w:val="20"/>
          <w:rtl/>
          <w:lang w:val="en-CA"/>
        </w:rPr>
        <w:t>ي</w:t>
      </w:r>
      <w:r w:rsidRPr="00C03ECB">
        <w:rPr>
          <w:spacing w:val="-2"/>
          <w:kern w:val="0"/>
          <w:sz w:val="20"/>
          <w:rtl/>
          <w:lang w:val="en-CA"/>
        </w:rPr>
        <w:t xml:space="preserve"> 19</w:t>
      </w:r>
      <w:r w:rsidRPr="006B489A">
        <w:rPr>
          <w:spacing w:val="0"/>
          <w:kern w:val="0"/>
          <w:sz w:val="20"/>
          <w:rtl/>
          <w:lang w:val="en-CA"/>
        </w:rPr>
        <w:t xml:space="preserve"> آب/أغسطس 2004. وقدم</w:t>
      </w:r>
      <w:r w:rsidR="00C03ECB">
        <w:rPr>
          <w:rFonts w:hint="cs"/>
          <w:spacing w:val="0"/>
          <w:kern w:val="0"/>
          <w:sz w:val="20"/>
          <w:rtl/>
          <w:lang w:val="en-CA"/>
        </w:rPr>
        <w:t> </w:t>
      </w:r>
      <w:r w:rsidRPr="006B489A">
        <w:rPr>
          <w:rFonts w:hint="cs"/>
          <w:spacing w:val="0"/>
          <w:kern w:val="0"/>
          <w:sz w:val="20"/>
          <w:rtl/>
          <w:lang w:val="en-CA"/>
        </w:rPr>
        <w:t xml:space="preserve">أصحاب </w:t>
      </w:r>
      <w:r w:rsidRPr="006B489A">
        <w:rPr>
          <w:spacing w:val="0"/>
          <w:kern w:val="0"/>
          <w:sz w:val="20"/>
          <w:rtl/>
          <w:lang w:val="en-CA"/>
        </w:rPr>
        <w:t xml:space="preserve">الشكوى بعد ذلك طلباً جديداً للحصول على </w:t>
      </w:r>
      <w:r w:rsidRPr="006B489A">
        <w:rPr>
          <w:rFonts w:hint="cs"/>
          <w:spacing w:val="0"/>
          <w:kern w:val="0"/>
          <w:sz w:val="20"/>
          <w:rtl/>
          <w:lang w:val="en-CA"/>
        </w:rPr>
        <w:t xml:space="preserve">تصريح </w:t>
      </w:r>
      <w:r w:rsidRPr="006B489A">
        <w:rPr>
          <w:spacing w:val="0"/>
          <w:kern w:val="0"/>
          <w:sz w:val="20"/>
          <w:rtl/>
          <w:lang w:val="en-CA"/>
        </w:rPr>
        <w:t xml:space="preserve">إقامة رفضه المجلس المعني بطعون الأجانب على أساس </w:t>
      </w:r>
      <w:r w:rsidRPr="006B489A">
        <w:rPr>
          <w:rFonts w:hint="cs"/>
          <w:spacing w:val="0"/>
          <w:kern w:val="0"/>
          <w:sz w:val="20"/>
          <w:rtl/>
          <w:lang w:val="en-CA"/>
        </w:rPr>
        <w:t xml:space="preserve">أن </w:t>
      </w:r>
      <w:r w:rsidRPr="006B489A">
        <w:rPr>
          <w:spacing w:val="0"/>
          <w:kern w:val="0"/>
          <w:sz w:val="20"/>
          <w:rtl/>
          <w:lang w:val="en-CA"/>
        </w:rPr>
        <w:t xml:space="preserve">إنفاذ أمر الطرد </w:t>
      </w:r>
      <w:r w:rsidRPr="006B489A">
        <w:rPr>
          <w:rFonts w:hint="cs"/>
          <w:spacing w:val="0"/>
          <w:kern w:val="0"/>
          <w:sz w:val="20"/>
          <w:rtl/>
          <w:lang w:val="en-CA"/>
        </w:rPr>
        <w:t xml:space="preserve">كان قد نُفِّذ </w:t>
      </w:r>
      <w:r w:rsidRPr="006B489A">
        <w:rPr>
          <w:spacing w:val="0"/>
          <w:kern w:val="0"/>
          <w:sz w:val="20"/>
          <w:rtl/>
          <w:lang w:val="en-CA"/>
        </w:rPr>
        <w:t>بالفعل.</w:t>
      </w:r>
    </w:p>
    <w:p w:rsidR="006B489A" w:rsidRPr="006B489A" w:rsidRDefault="006B489A" w:rsidP="00C03ECB">
      <w:pPr>
        <w:pStyle w:val="SingleTxtGA"/>
        <w:jc w:val="lowKashida"/>
        <w:rPr>
          <w:rFonts w:hint="cs"/>
          <w:spacing w:val="0"/>
          <w:kern w:val="0"/>
          <w:sz w:val="20"/>
          <w:szCs w:val="20"/>
          <w:rtl/>
        </w:rPr>
      </w:pPr>
      <w:r w:rsidRPr="006B489A">
        <w:rPr>
          <w:rFonts w:hint="cs"/>
          <w:spacing w:val="0"/>
          <w:kern w:val="0"/>
          <w:sz w:val="20"/>
          <w:rtl/>
          <w:lang w:val="en-CA"/>
        </w:rPr>
        <w:t>4-3</w:t>
      </w:r>
      <w:r w:rsidRPr="006B489A">
        <w:rPr>
          <w:rFonts w:hint="cs"/>
          <w:spacing w:val="0"/>
          <w:kern w:val="0"/>
          <w:sz w:val="20"/>
          <w:rtl/>
          <w:lang w:val="en-CA"/>
        </w:rPr>
        <w:tab/>
        <w:t xml:space="preserve">وعاد أصحاب الشكوى إلى السويد في 10 كانون الأول/ديسمبر 2004 وقدموا طلباً ثانياً للجوء في 14 كانون الأول/ديسمبر 2004. وبناء على طلب من </w:t>
      </w:r>
      <w:r w:rsidRPr="006B489A">
        <w:rPr>
          <w:spacing w:val="0"/>
          <w:kern w:val="0"/>
          <w:sz w:val="20"/>
          <w:rtl/>
          <w:lang w:val="en-CA"/>
        </w:rPr>
        <w:t>ﻫ.</w:t>
      </w:r>
      <w:r w:rsidRPr="006B489A">
        <w:rPr>
          <w:rFonts w:hint="cs"/>
          <w:spacing w:val="0"/>
          <w:kern w:val="0"/>
          <w:sz w:val="20"/>
          <w:rtl/>
          <w:lang w:val="en-CA"/>
        </w:rPr>
        <w:t xml:space="preserve"> م.، تناولت السلطات السويدية حالتها بصورة منفصلة. غير أن الطلبات التي قدمها أصحاب الشكوى كانت متطابقة إلى حد كبير أو على الأقل متشابهة جداً. وجرت المقابلة الشخصية لأصحاب الشكوى بشأن اللجوء في 20 كانون الثاني/يناير 2005. وادعوا أنه عند وصولهم إلى باكو في عام 2004، سلمتهم الشرطة السويدية إلى السلطات الأذربيجانية وانصرفت. واستُجوبوا وطُلب إليهم تقديم وثائق تحتوي على معلومات عن أصلهم الإثني. وبعد سؤال س. م. عن سبب وصولهم على متن طائرة مستأجرة والغرض من إقامتهم في السويد، تعرض س. م. للضرب. وأصبح أيضاً هدفاً لتعليقات مهينة. كما استُجوبت كل من </w:t>
      </w:r>
      <w:r w:rsidRPr="006B489A">
        <w:rPr>
          <w:spacing w:val="0"/>
          <w:kern w:val="0"/>
          <w:sz w:val="20"/>
          <w:rtl/>
          <w:lang w:val="en-CA"/>
        </w:rPr>
        <w:t>ﻫ.</w:t>
      </w:r>
      <w:r w:rsidRPr="006B489A">
        <w:rPr>
          <w:rFonts w:hint="cs"/>
          <w:spacing w:val="0"/>
          <w:kern w:val="0"/>
          <w:sz w:val="20"/>
          <w:rtl/>
          <w:lang w:val="en-CA"/>
        </w:rPr>
        <w:t xml:space="preserve"> م. وأ. م. وأُجبروا على توقيع وثيقة تشير إلى أنهم سيقيمون في عنوان معين واصطحبتهم الشرطة إلى ذلك المكان. وحدث ذلك بعد الاستجواب في المطار لمدة أربعة أو خمسة أيام. وفي اليوم التالي، تم</w:t>
      </w:r>
      <w:r w:rsidR="00C03ECB">
        <w:rPr>
          <w:rFonts w:hint="eastAsia"/>
          <w:spacing w:val="0"/>
          <w:kern w:val="0"/>
          <w:sz w:val="20"/>
          <w:rtl/>
          <w:lang w:val="en-CA"/>
        </w:rPr>
        <w:t> </w:t>
      </w:r>
      <w:r w:rsidRPr="006B489A">
        <w:rPr>
          <w:rFonts w:hint="cs"/>
          <w:spacing w:val="0"/>
          <w:kern w:val="0"/>
          <w:sz w:val="20"/>
          <w:rtl/>
          <w:lang w:val="en-CA"/>
        </w:rPr>
        <w:t xml:space="preserve">استدعاؤهم إلى مكتب دائرة الأمن في باكو، حيث استُجوبوا وتعرضوا للإيذاء الجسدي. ومثلوا أمام دائرة الأمن خمس أو ست مرات قبل أنه ينتهي الحال بالسيد س. م. في المستشفى. وبعد إقامته في المستشفى، اختبئوا ولم يتصلوا بالسلطات منذ ذلك الحين. ذلك أن أصل س. م. المختلط يجعلهم مستهدفين من السلطات في بلدهم الأصلي. وظلوا على اتصال بمفوضية الأمم المتحدة لشؤون اللاجئين وسفارة الولايات المتحدة، ولكن لم تستطع أي جهة منهما مساعدتهم. وفيما يتعلق بصحتهم، أشار س. م. إلى أنه يعاني من </w:t>
      </w:r>
      <w:r w:rsidRPr="006B489A">
        <w:rPr>
          <w:spacing w:val="0"/>
          <w:kern w:val="0"/>
          <w:sz w:val="20"/>
          <w:rtl/>
          <w:lang w:val="en-CA"/>
        </w:rPr>
        <w:t xml:space="preserve">اضطراب </w:t>
      </w:r>
      <w:r w:rsidRPr="006B489A">
        <w:rPr>
          <w:rFonts w:hint="cs"/>
          <w:spacing w:val="0"/>
          <w:kern w:val="0"/>
          <w:sz w:val="20"/>
          <w:rtl/>
          <w:lang w:val="en-CA"/>
        </w:rPr>
        <w:t>الإجهاد ال</w:t>
      </w:r>
      <w:r w:rsidRPr="006B489A">
        <w:rPr>
          <w:spacing w:val="0"/>
          <w:kern w:val="0"/>
          <w:sz w:val="20"/>
          <w:rtl/>
          <w:lang w:val="en-CA"/>
        </w:rPr>
        <w:t xml:space="preserve">لاحق </w:t>
      </w:r>
      <w:r w:rsidRPr="006B489A">
        <w:rPr>
          <w:rFonts w:hint="cs"/>
          <w:spacing w:val="0"/>
          <w:kern w:val="0"/>
          <w:sz w:val="20"/>
          <w:rtl/>
          <w:lang w:val="en-CA"/>
        </w:rPr>
        <w:t>للصدمة وعدد من الإصابات الجسدية الناتجة عن المعاملة التي تعرض لها بعد عودته إلى أذربيجان. وأشارت ﻫ</w:t>
      </w:r>
      <w:r w:rsidRPr="006B489A">
        <w:rPr>
          <w:spacing w:val="0"/>
          <w:kern w:val="0"/>
          <w:sz w:val="20"/>
          <w:rtl/>
          <w:lang w:val="en-CA"/>
        </w:rPr>
        <w:t>. م.</w:t>
      </w:r>
      <w:r w:rsidRPr="006B489A">
        <w:rPr>
          <w:rFonts w:hint="cs"/>
          <w:spacing w:val="0"/>
          <w:kern w:val="0"/>
          <w:sz w:val="20"/>
          <w:rtl/>
          <w:lang w:val="en-CA"/>
        </w:rPr>
        <w:t xml:space="preserve"> إلى أنها دخلت المستشفى في باكو لمدة 10 أيام نتيجة آلام في الظهر بسبب تعرضها للضرب أثناء استجوابها.</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4-4</w:t>
      </w:r>
      <w:r w:rsidRPr="006B489A">
        <w:rPr>
          <w:spacing w:val="0"/>
          <w:kern w:val="0"/>
          <w:sz w:val="20"/>
          <w:rtl/>
          <w:lang w:val="en-CA"/>
        </w:rPr>
        <w:tab/>
        <w:t xml:space="preserve">وقدم </w:t>
      </w:r>
      <w:r w:rsidRPr="006B489A">
        <w:rPr>
          <w:rFonts w:hint="cs"/>
          <w:spacing w:val="0"/>
          <w:kern w:val="0"/>
          <w:sz w:val="20"/>
          <w:rtl/>
          <w:lang w:val="en-CA"/>
        </w:rPr>
        <w:t>أصحاب</w:t>
      </w:r>
      <w:r w:rsidRPr="006B489A">
        <w:rPr>
          <w:spacing w:val="0"/>
          <w:kern w:val="0"/>
          <w:sz w:val="20"/>
          <w:rtl/>
          <w:lang w:val="en-CA"/>
        </w:rPr>
        <w:t xml:space="preserve"> الشكوى عدداً كبيراً من الوثائق دعماً لطلبهم الثاني، بما في ذلك عدة تقارير طبية. ووفقاً ل</w:t>
      </w:r>
      <w:r w:rsidRPr="006B489A">
        <w:rPr>
          <w:rFonts w:hint="cs"/>
          <w:spacing w:val="0"/>
          <w:kern w:val="0"/>
          <w:sz w:val="20"/>
          <w:rtl/>
          <w:lang w:val="en-CA"/>
        </w:rPr>
        <w:t>هذه ا</w:t>
      </w:r>
      <w:r w:rsidRPr="006B489A">
        <w:rPr>
          <w:spacing w:val="0"/>
          <w:kern w:val="0"/>
          <w:sz w:val="20"/>
          <w:rtl/>
          <w:lang w:val="en-CA"/>
        </w:rPr>
        <w:t xml:space="preserve">لتقارير الطبية، </w:t>
      </w:r>
      <w:r w:rsidRPr="006B489A">
        <w:rPr>
          <w:rFonts w:hint="cs"/>
          <w:spacing w:val="0"/>
          <w:kern w:val="0"/>
          <w:sz w:val="20"/>
          <w:rtl/>
          <w:lang w:val="en-CA"/>
        </w:rPr>
        <w:t>فإن</w:t>
      </w:r>
      <w:r w:rsidRPr="006B489A">
        <w:rPr>
          <w:spacing w:val="0"/>
          <w:kern w:val="0"/>
          <w:sz w:val="20"/>
          <w:rtl/>
          <w:lang w:val="en-CA"/>
        </w:rPr>
        <w:t xml:space="preserve"> س. م. </w:t>
      </w:r>
      <w:r w:rsidRPr="006B489A">
        <w:rPr>
          <w:rFonts w:hint="cs"/>
          <w:spacing w:val="0"/>
          <w:kern w:val="0"/>
          <w:sz w:val="20"/>
          <w:rtl/>
          <w:lang w:val="en-CA"/>
        </w:rPr>
        <w:t xml:space="preserve">يعاني </w:t>
      </w:r>
      <w:r w:rsidRPr="006B489A">
        <w:rPr>
          <w:spacing w:val="0"/>
          <w:kern w:val="0"/>
          <w:sz w:val="20"/>
          <w:rtl/>
          <w:lang w:val="en-CA"/>
        </w:rPr>
        <w:t xml:space="preserve">من مشاكل صحية عقلية. وخلص الطبيب </w:t>
      </w:r>
      <w:r w:rsidRPr="006B489A">
        <w:rPr>
          <w:rFonts w:hint="cs"/>
          <w:spacing w:val="0"/>
          <w:kern w:val="0"/>
          <w:sz w:val="20"/>
          <w:rtl/>
          <w:lang w:val="en-CA"/>
        </w:rPr>
        <w:t xml:space="preserve">إلى </w:t>
      </w:r>
      <w:r w:rsidRPr="006B489A">
        <w:rPr>
          <w:spacing w:val="0"/>
          <w:kern w:val="0"/>
          <w:sz w:val="20"/>
          <w:rtl/>
          <w:lang w:val="en-CA"/>
        </w:rPr>
        <w:t>أنه يمكن</w:t>
      </w:r>
      <w:r w:rsidRPr="006B489A">
        <w:rPr>
          <w:rFonts w:hint="cs"/>
          <w:spacing w:val="0"/>
          <w:kern w:val="0"/>
          <w:sz w:val="20"/>
          <w:rtl/>
          <w:lang w:val="en-CA"/>
        </w:rPr>
        <w:t>،</w:t>
      </w:r>
      <w:r w:rsidRPr="006B489A">
        <w:rPr>
          <w:spacing w:val="0"/>
          <w:kern w:val="0"/>
          <w:sz w:val="20"/>
          <w:rtl/>
          <w:lang w:val="en-CA"/>
        </w:rPr>
        <w:t xml:space="preserve"> على أساس التقييم النفسي وحده</w:t>
      </w:r>
      <w:r w:rsidRPr="006B489A">
        <w:rPr>
          <w:rFonts w:hint="cs"/>
          <w:spacing w:val="0"/>
          <w:kern w:val="0"/>
          <w:sz w:val="20"/>
          <w:rtl/>
          <w:lang w:val="en-CA"/>
        </w:rPr>
        <w:t>،</w:t>
      </w:r>
      <w:r w:rsidRPr="006B489A">
        <w:rPr>
          <w:spacing w:val="0"/>
          <w:kern w:val="0"/>
          <w:sz w:val="20"/>
          <w:rtl/>
          <w:lang w:val="en-CA"/>
        </w:rPr>
        <w:t xml:space="preserve"> تأكيد أن</w:t>
      </w:r>
      <w:r w:rsidRPr="006B489A">
        <w:rPr>
          <w:rFonts w:hint="cs"/>
          <w:spacing w:val="0"/>
          <w:kern w:val="0"/>
          <w:sz w:val="20"/>
          <w:rtl/>
          <w:lang w:val="en-CA"/>
        </w:rPr>
        <w:t xml:space="preserve"> س. م.</w:t>
      </w:r>
      <w:r w:rsidRPr="006B489A">
        <w:rPr>
          <w:spacing w:val="0"/>
          <w:kern w:val="0"/>
          <w:sz w:val="20"/>
          <w:rtl/>
          <w:lang w:val="en-CA"/>
        </w:rPr>
        <w:t xml:space="preserve"> است</w:t>
      </w:r>
      <w:r w:rsidRPr="006B489A">
        <w:rPr>
          <w:rFonts w:hint="cs"/>
          <w:spacing w:val="0"/>
          <w:kern w:val="0"/>
          <w:sz w:val="20"/>
          <w:rtl/>
          <w:lang w:val="en-CA"/>
        </w:rPr>
        <w:t>ُ</w:t>
      </w:r>
      <w:r w:rsidRPr="006B489A">
        <w:rPr>
          <w:spacing w:val="0"/>
          <w:kern w:val="0"/>
          <w:sz w:val="20"/>
          <w:rtl/>
          <w:lang w:val="en-CA"/>
        </w:rPr>
        <w:t>جوب تحت التعذيب بالطريقة التي ذكرها. وأ</w:t>
      </w:r>
      <w:r w:rsidRPr="006B489A">
        <w:rPr>
          <w:rFonts w:hint="eastAsia"/>
          <w:spacing w:val="0"/>
          <w:kern w:val="0"/>
          <w:sz w:val="20"/>
          <w:rtl/>
          <w:lang w:val="en-CA"/>
        </w:rPr>
        <w:t>ضاف</w:t>
      </w:r>
      <w:r w:rsidRPr="006B489A">
        <w:rPr>
          <w:spacing w:val="0"/>
          <w:kern w:val="0"/>
          <w:sz w:val="20"/>
          <w:rtl/>
          <w:lang w:val="en-CA"/>
        </w:rPr>
        <w:t xml:space="preserve"> أن </w:t>
      </w:r>
      <w:r w:rsidRPr="006B489A">
        <w:rPr>
          <w:rFonts w:hint="cs"/>
          <w:spacing w:val="0"/>
          <w:kern w:val="0"/>
          <w:sz w:val="20"/>
          <w:rtl/>
          <w:lang w:val="en-CA"/>
        </w:rPr>
        <w:t xml:space="preserve">آثار الندبات </w:t>
      </w:r>
      <w:r w:rsidRPr="006B489A">
        <w:rPr>
          <w:spacing w:val="0"/>
          <w:kern w:val="0"/>
          <w:sz w:val="20"/>
          <w:rtl/>
          <w:lang w:val="en-CA"/>
        </w:rPr>
        <w:t xml:space="preserve">الصغيرة </w:t>
      </w:r>
      <w:r w:rsidRPr="006B489A">
        <w:rPr>
          <w:rFonts w:hint="cs"/>
          <w:spacing w:val="0"/>
          <w:kern w:val="0"/>
          <w:sz w:val="20"/>
          <w:rtl/>
          <w:lang w:val="en-CA"/>
        </w:rPr>
        <w:t xml:space="preserve">التي أُصيب بها </w:t>
      </w:r>
      <w:r w:rsidRPr="006B489A">
        <w:rPr>
          <w:spacing w:val="0"/>
          <w:kern w:val="0"/>
          <w:sz w:val="20"/>
          <w:rtl/>
          <w:lang w:val="en-CA"/>
        </w:rPr>
        <w:t>س. م. يمكن أن تكون قد حدثت في الأوقات وبالطريقة التي أشار إليها.</w:t>
      </w:r>
      <w:r w:rsidRPr="006B489A">
        <w:rPr>
          <w:rFonts w:hint="cs"/>
          <w:spacing w:val="0"/>
          <w:kern w:val="0"/>
          <w:sz w:val="20"/>
          <w:rtl/>
          <w:lang w:val="en-CA"/>
        </w:rPr>
        <w:t xml:space="preserve"> وليس </w:t>
      </w:r>
      <w:r w:rsidRPr="006B489A">
        <w:rPr>
          <w:spacing w:val="0"/>
          <w:kern w:val="0"/>
          <w:sz w:val="20"/>
          <w:rtl/>
          <w:lang w:val="en-CA"/>
        </w:rPr>
        <w:t xml:space="preserve">هناك ما يشير إلى أن الضرر الكبير الذي تعرضت له </w:t>
      </w:r>
      <w:r w:rsidRPr="006B489A">
        <w:rPr>
          <w:rFonts w:hint="cs"/>
          <w:spacing w:val="0"/>
          <w:kern w:val="0"/>
          <w:sz w:val="20"/>
          <w:rtl/>
          <w:lang w:val="en-CA"/>
        </w:rPr>
        <w:t>أسنانه</w:t>
      </w:r>
      <w:r w:rsidRPr="006B489A">
        <w:rPr>
          <w:spacing w:val="0"/>
          <w:kern w:val="0"/>
          <w:sz w:val="20"/>
          <w:rtl/>
          <w:lang w:val="en-CA"/>
        </w:rPr>
        <w:t xml:space="preserve"> لم يكن نتيجة سوء المعاملة الجسدية التي تعرض لها. وأشار الخبير كذلك إلى أن </w:t>
      </w:r>
      <w:r w:rsidRPr="006B489A">
        <w:rPr>
          <w:rFonts w:hint="cs"/>
          <w:spacing w:val="0"/>
          <w:kern w:val="0"/>
          <w:sz w:val="20"/>
          <w:rtl/>
          <w:lang w:val="en-CA"/>
        </w:rPr>
        <w:t>الندبات</w:t>
      </w:r>
      <w:r w:rsidRPr="006B489A">
        <w:rPr>
          <w:spacing w:val="0"/>
          <w:kern w:val="0"/>
          <w:sz w:val="20"/>
          <w:rtl/>
          <w:lang w:val="en-CA"/>
        </w:rPr>
        <w:t xml:space="preserve"> غير محددة </w:t>
      </w:r>
      <w:r w:rsidRPr="006B489A">
        <w:rPr>
          <w:rFonts w:hint="cs"/>
          <w:spacing w:val="0"/>
          <w:kern w:val="0"/>
          <w:sz w:val="20"/>
          <w:rtl/>
          <w:lang w:val="en-CA"/>
        </w:rPr>
        <w:t>السبب إلى حد ما،</w:t>
      </w:r>
      <w:r w:rsidRPr="006B489A">
        <w:rPr>
          <w:spacing w:val="0"/>
          <w:kern w:val="0"/>
          <w:sz w:val="20"/>
          <w:rtl/>
          <w:lang w:val="en-CA"/>
        </w:rPr>
        <w:t xml:space="preserve"> ولذلك لا يمكن </w:t>
      </w:r>
      <w:r w:rsidRPr="006B489A">
        <w:rPr>
          <w:rFonts w:hint="cs"/>
          <w:spacing w:val="0"/>
          <w:kern w:val="0"/>
          <w:sz w:val="20"/>
          <w:rtl/>
          <w:lang w:val="en-CA"/>
        </w:rPr>
        <w:t xml:space="preserve">الانتهاء </w:t>
      </w:r>
      <w:r w:rsidRPr="006B489A">
        <w:rPr>
          <w:spacing w:val="0"/>
          <w:kern w:val="0"/>
          <w:sz w:val="20"/>
          <w:rtl/>
          <w:lang w:val="en-CA"/>
        </w:rPr>
        <w:t>إلى أن النتائج قاطعة؛ غير أنه خلص إلى أن نتائج التقييم يمكن أن تؤيد أن</w:t>
      </w:r>
      <w:r w:rsidRPr="006B489A">
        <w:rPr>
          <w:rFonts w:hint="cs"/>
          <w:spacing w:val="0"/>
          <w:kern w:val="0"/>
          <w:sz w:val="20"/>
          <w:rtl/>
          <w:lang w:val="en-CA"/>
        </w:rPr>
        <w:t xml:space="preserve"> س. م.</w:t>
      </w:r>
      <w:r w:rsidRPr="006B489A">
        <w:rPr>
          <w:spacing w:val="0"/>
          <w:kern w:val="0"/>
          <w:sz w:val="20"/>
          <w:rtl/>
          <w:lang w:val="en-CA"/>
        </w:rPr>
        <w:t xml:space="preserve"> تعرض </w:t>
      </w:r>
      <w:r w:rsidRPr="006B489A">
        <w:rPr>
          <w:rFonts w:hint="eastAsia"/>
          <w:spacing w:val="0"/>
          <w:kern w:val="0"/>
          <w:sz w:val="20"/>
          <w:rtl/>
          <w:lang w:val="en-CA"/>
        </w:rPr>
        <w:t>للتعذيب</w:t>
      </w:r>
      <w:r w:rsidRPr="006B489A">
        <w:rPr>
          <w:spacing w:val="0"/>
          <w:kern w:val="0"/>
          <w:sz w:val="20"/>
          <w:rtl/>
          <w:lang w:val="en-CA"/>
        </w:rPr>
        <w:t xml:space="preserve"> بالطريقة </w:t>
      </w:r>
      <w:r w:rsidRPr="006B489A">
        <w:rPr>
          <w:rFonts w:hint="cs"/>
          <w:spacing w:val="0"/>
          <w:kern w:val="0"/>
          <w:sz w:val="20"/>
          <w:rtl/>
          <w:lang w:val="en-CA"/>
        </w:rPr>
        <w:t>المزعومة</w:t>
      </w:r>
      <w:r w:rsidRPr="006B489A">
        <w:rPr>
          <w:spacing w:val="0"/>
          <w:kern w:val="0"/>
          <w:sz w:val="20"/>
          <w:rtl/>
          <w:lang w:val="en-CA"/>
        </w:rPr>
        <w:t>.</w:t>
      </w:r>
    </w:p>
    <w:p w:rsidR="006B489A" w:rsidRPr="006B489A" w:rsidRDefault="006B489A" w:rsidP="00C03ECB">
      <w:pPr>
        <w:pStyle w:val="SingleTxtGA"/>
        <w:spacing w:line="374" w:lineRule="exact"/>
        <w:jc w:val="lowKashida"/>
        <w:rPr>
          <w:spacing w:val="0"/>
          <w:kern w:val="0"/>
          <w:sz w:val="20"/>
          <w:szCs w:val="20"/>
          <w:rtl/>
        </w:rPr>
      </w:pPr>
      <w:r w:rsidRPr="006B489A">
        <w:rPr>
          <w:spacing w:val="0"/>
          <w:kern w:val="0"/>
          <w:sz w:val="20"/>
          <w:rtl/>
          <w:lang w:val="en-CA"/>
        </w:rPr>
        <w:t>4-5</w:t>
      </w:r>
      <w:r w:rsidRPr="006B489A">
        <w:rPr>
          <w:spacing w:val="0"/>
          <w:kern w:val="0"/>
          <w:sz w:val="20"/>
          <w:rtl/>
          <w:lang w:val="en-CA"/>
        </w:rPr>
        <w:tab/>
        <w:t xml:space="preserve">ورفض مجلس الهجرة، في 17 آذار/مارس 2006، طلب اللجوء الذي قدمه </w:t>
      </w:r>
      <w:r w:rsidRPr="006B489A">
        <w:rPr>
          <w:rFonts w:hint="cs"/>
          <w:spacing w:val="0"/>
          <w:kern w:val="0"/>
          <w:sz w:val="20"/>
          <w:rtl/>
          <w:lang w:val="en-CA"/>
        </w:rPr>
        <w:t>أصحاب</w:t>
      </w:r>
      <w:r w:rsidRPr="006B489A">
        <w:rPr>
          <w:spacing w:val="0"/>
          <w:kern w:val="0"/>
          <w:sz w:val="20"/>
          <w:rtl/>
          <w:lang w:val="en-CA"/>
        </w:rPr>
        <w:t xml:space="preserve"> الشكوى. ولم يشكك المجلس في أن </w:t>
      </w:r>
      <w:r w:rsidRPr="006B489A">
        <w:rPr>
          <w:rFonts w:hint="cs"/>
          <w:spacing w:val="0"/>
          <w:kern w:val="0"/>
          <w:sz w:val="20"/>
          <w:rtl/>
          <w:lang w:val="en-CA"/>
        </w:rPr>
        <w:t xml:space="preserve">أصحاب </w:t>
      </w:r>
      <w:r w:rsidRPr="006B489A">
        <w:rPr>
          <w:spacing w:val="0"/>
          <w:kern w:val="0"/>
          <w:sz w:val="20"/>
          <w:rtl/>
          <w:lang w:val="en-CA"/>
        </w:rPr>
        <w:t>الشكوى تعرض</w:t>
      </w:r>
      <w:r w:rsidRPr="006B489A">
        <w:rPr>
          <w:rFonts w:hint="cs"/>
          <w:spacing w:val="0"/>
          <w:kern w:val="0"/>
          <w:sz w:val="20"/>
          <w:rtl/>
          <w:lang w:val="en-CA"/>
        </w:rPr>
        <w:t>وا</w:t>
      </w:r>
      <w:r w:rsidRPr="006B489A">
        <w:rPr>
          <w:spacing w:val="0"/>
          <w:kern w:val="0"/>
          <w:sz w:val="20"/>
          <w:rtl/>
          <w:lang w:val="en-CA"/>
        </w:rPr>
        <w:t xml:space="preserve"> للاعتداء </w:t>
      </w:r>
      <w:r w:rsidRPr="006B489A">
        <w:rPr>
          <w:rFonts w:hint="cs"/>
          <w:spacing w:val="0"/>
          <w:kern w:val="0"/>
          <w:sz w:val="20"/>
          <w:rtl/>
          <w:lang w:val="en-CA"/>
        </w:rPr>
        <w:t>والتحرش</w:t>
      </w:r>
      <w:r w:rsidRPr="006B489A">
        <w:rPr>
          <w:spacing w:val="0"/>
          <w:kern w:val="0"/>
          <w:sz w:val="20"/>
          <w:rtl/>
          <w:lang w:val="en-CA"/>
        </w:rPr>
        <w:t xml:space="preserve"> حتى وإن كان ذلك لا يعني أن</w:t>
      </w:r>
      <w:r w:rsidRPr="006B489A">
        <w:rPr>
          <w:rFonts w:hint="cs"/>
          <w:spacing w:val="0"/>
          <w:kern w:val="0"/>
          <w:sz w:val="20"/>
          <w:rtl/>
          <w:lang w:val="en-CA"/>
        </w:rPr>
        <w:t xml:space="preserve"> ما</w:t>
      </w:r>
      <w:r w:rsidRPr="006B489A">
        <w:rPr>
          <w:spacing w:val="0"/>
          <w:kern w:val="0"/>
          <w:sz w:val="20"/>
          <w:rtl/>
          <w:lang w:val="en-CA"/>
        </w:rPr>
        <w:t xml:space="preserve"> حدث</w:t>
      </w:r>
      <w:r w:rsidRPr="006B489A">
        <w:rPr>
          <w:rFonts w:hint="cs"/>
          <w:spacing w:val="0"/>
          <w:kern w:val="0"/>
          <w:sz w:val="20"/>
          <w:rtl/>
          <w:lang w:val="en-CA"/>
        </w:rPr>
        <w:t xml:space="preserve"> وقع</w:t>
      </w:r>
      <w:r w:rsidRPr="006B489A">
        <w:rPr>
          <w:spacing w:val="0"/>
          <w:kern w:val="0"/>
          <w:sz w:val="20"/>
          <w:rtl/>
          <w:lang w:val="en-CA"/>
        </w:rPr>
        <w:t xml:space="preserve"> بعد ترحيلهم إلى أذربيجان في عام 2004. وخلص المجلس إلى أنه ينبغي اعتبار </w:t>
      </w:r>
      <w:r w:rsidRPr="006B489A">
        <w:rPr>
          <w:rFonts w:hint="cs"/>
          <w:spacing w:val="0"/>
          <w:kern w:val="0"/>
          <w:sz w:val="20"/>
          <w:rtl/>
          <w:lang w:val="en-CA"/>
        </w:rPr>
        <w:t>مرتكبي أعمال العنف</w:t>
      </w:r>
      <w:r w:rsidRPr="006B489A">
        <w:rPr>
          <w:spacing w:val="0"/>
          <w:kern w:val="0"/>
          <w:sz w:val="20"/>
          <w:rtl/>
          <w:lang w:val="en-CA"/>
        </w:rPr>
        <w:t xml:space="preserve"> عناصر إجرامية وليس </w:t>
      </w:r>
      <w:r w:rsidRPr="006B489A">
        <w:rPr>
          <w:rFonts w:hint="cs"/>
          <w:spacing w:val="0"/>
          <w:kern w:val="0"/>
          <w:sz w:val="20"/>
          <w:rtl/>
          <w:lang w:val="en-CA"/>
        </w:rPr>
        <w:t>م</w:t>
      </w:r>
      <w:r w:rsidRPr="006B489A">
        <w:rPr>
          <w:spacing w:val="0"/>
          <w:kern w:val="0"/>
          <w:sz w:val="20"/>
          <w:rtl/>
          <w:lang w:val="en-CA"/>
        </w:rPr>
        <w:t>مثلين لسلطات البلد</w:t>
      </w:r>
      <w:r w:rsidRPr="006B489A">
        <w:rPr>
          <w:rFonts w:hint="cs"/>
          <w:spacing w:val="0"/>
          <w:kern w:val="0"/>
          <w:sz w:val="20"/>
          <w:rtl/>
          <w:lang w:val="en-CA"/>
        </w:rPr>
        <w:t>،</w:t>
      </w:r>
      <w:r w:rsidRPr="006B489A">
        <w:rPr>
          <w:spacing w:val="0"/>
          <w:kern w:val="0"/>
          <w:sz w:val="20"/>
          <w:rtl/>
          <w:lang w:val="en-CA"/>
        </w:rPr>
        <w:t xml:space="preserve"> ولذلك فإن القضية ليست قضية اضطهاد </w:t>
      </w:r>
      <w:r w:rsidRPr="006B489A">
        <w:rPr>
          <w:rFonts w:hint="cs"/>
          <w:spacing w:val="0"/>
          <w:kern w:val="0"/>
          <w:sz w:val="20"/>
          <w:rtl/>
          <w:lang w:val="en-CA"/>
        </w:rPr>
        <w:t xml:space="preserve">تجيزه </w:t>
      </w:r>
      <w:r w:rsidRPr="006B489A">
        <w:rPr>
          <w:spacing w:val="0"/>
          <w:kern w:val="0"/>
          <w:sz w:val="20"/>
          <w:rtl/>
          <w:lang w:val="en-CA"/>
        </w:rPr>
        <w:t xml:space="preserve">سلطات الدولة. وبعد إجراء </w:t>
      </w:r>
      <w:r w:rsidRPr="006B489A">
        <w:rPr>
          <w:rFonts w:hint="cs"/>
          <w:spacing w:val="0"/>
          <w:kern w:val="0"/>
          <w:sz w:val="20"/>
          <w:rtl/>
          <w:lang w:val="en-CA"/>
        </w:rPr>
        <w:t xml:space="preserve">تقييم </w:t>
      </w:r>
      <w:r w:rsidRPr="006B489A">
        <w:rPr>
          <w:spacing w:val="0"/>
          <w:kern w:val="0"/>
          <w:sz w:val="20"/>
          <w:rtl/>
          <w:lang w:val="en-CA"/>
        </w:rPr>
        <w:t>شامل لجميع الظروف وجد المكتب، استناداً إلى التقارير المتاحة، أن</w:t>
      </w:r>
      <w:r w:rsidRPr="006B489A">
        <w:rPr>
          <w:rFonts w:hint="cs"/>
          <w:spacing w:val="0"/>
          <w:kern w:val="0"/>
          <w:sz w:val="20"/>
          <w:rtl/>
          <w:lang w:val="en-CA"/>
        </w:rPr>
        <w:t xml:space="preserve"> أصحاب </w:t>
      </w:r>
      <w:r w:rsidRPr="006B489A">
        <w:rPr>
          <w:spacing w:val="0"/>
          <w:kern w:val="0"/>
          <w:sz w:val="20"/>
          <w:rtl/>
          <w:lang w:val="en-CA"/>
        </w:rPr>
        <w:t xml:space="preserve">الشكوى </w:t>
      </w:r>
      <w:r w:rsidRPr="006B489A">
        <w:rPr>
          <w:rFonts w:hint="cs"/>
          <w:spacing w:val="0"/>
          <w:kern w:val="0"/>
          <w:sz w:val="20"/>
          <w:rtl/>
          <w:lang w:val="en-CA"/>
        </w:rPr>
        <w:t xml:space="preserve">يمكنهم </w:t>
      </w:r>
      <w:r w:rsidRPr="006B489A">
        <w:rPr>
          <w:spacing w:val="0"/>
          <w:kern w:val="0"/>
          <w:sz w:val="20"/>
          <w:rtl/>
          <w:lang w:val="en-CA"/>
        </w:rPr>
        <w:t>العيش في أذربيجان. وبالتالي</w:t>
      </w:r>
      <w:r w:rsidRPr="006B489A">
        <w:rPr>
          <w:rFonts w:hint="cs"/>
          <w:spacing w:val="0"/>
          <w:kern w:val="0"/>
          <w:sz w:val="20"/>
          <w:rtl/>
          <w:lang w:val="en-CA"/>
        </w:rPr>
        <w:t>،</w:t>
      </w:r>
      <w:r w:rsidRPr="006B489A">
        <w:rPr>
          <w:spacing w:val="0"/>
          <w:kern w:val="0"/>
          <w:sz w:val="20"/>
          <w:rtl/>
          <w:lang w:val="en-CA"/>
        </w:rPr>
        <w:t xml:space="preserve"> فهم ليس</w:t>
      </w:r>
      <w:r w:rsidRPr="006B489A">
        <w:rPr>
          <w:rFonts w:hint="cs"/>
          <w:spacing w:val="0"/>
          <w:kern w:val="0"/>
          <w:sz w:val="20"/>
          <w:rtl/>
          <w:lang w:val="en-CA"/>
        </w:rPr>
        <w:t>وا</w:t>
      </w:r>
      <w:r w:rsidRPr="006B489A">
        <w:rPr>
          <w:spacing w:val="0"/>
          <w:kern w:val="0"/>
          <w:sz w:val="20"/>
          <w:rtl/>
          <w:lang w:val="en-CA"/>
        </w:rPr>
        <w:t xml:space="preserve"> من </w:t>
      </w:r>
      <w:r w:rsidRPr="006B489A">
        <w:rPr>
          <w:rFonts w:hint="cs"/>
          <w:spacing w:val="0"/>
          <w:kern w:val="0"/>
          <w:sz w:val="20"/>
          <w:rtl/>
          <w:lang w:val="en-CA"/>
        </w:rPr>
        <w:t>اللاجئين</w:t>
      </w:r>
      <w:r w:rsidRPr="006B489A">
        <w:rPr>
          <w:spacing w:val="0"/>
          <w:kern w:val="0"/>
          <w:sz w:val="20"/>
          <w:rtl/>
          <w:lang w:val="en-CA"/>
        </w:rPr>
        <w:t xml:space="preserve"> أو أشخا</w:t>
      </w:r>
      <w:r w:rsidRPr="006B489A">
        <w:rPr>
          <w:rFonts w:hint="eastAsia"/>
          <w:spacing w:val="0"/>
          <w:kern w:val="0"/>
          <w:sz w:val="20"/>
          <w:rtl/>
          <w:lang w:val="en-CA"/>
        </w:rPr>
        <w:t>ص</w:t>
      </w:r>
      <w:r w:rsidRPr="006B489A">
        <w:rPr>
          <w:rFonts w:hint="cs"/>
          <w:spacing w:val="0"/>
          <w:kern w:val="0"/>
          <w:sz w:val="20"/>
          <w:rtl/>
          <w:lang w:val="en-CA"/>
        </w:rPr>
        <w:t>اً</w:t>
      </w:r>
      <w:r w:rsidRPr="006B489A">
        <w:rPr>
          <w:spacing w:val="0"/>
          <w:kern w:val="0"/>
          <w:sz w:val="20"/>
          <w:rtl/>
          <w:lang w:val="en-CA"/>
        </w:rPr>
        <w:t xml:space="preserve"> </w:t>
      </w:r>
      <w:r w:rsidRPr="006B489A">
        <w:rPr>
          <w:rFonts w:hint="cs"/>
          <w:spacing w:val="0"/>
          <w:kern w:val="0"/>
          <w:sz w:val="20"/>
          <w:rtl/>
          <w:lang w:val="en-CA"/>
        </w:rPr>
        <w:t xml:space="preserve">آخرين </w:t>
      </w:r>
      <w:r w:rsidRPr="006B489A">
        <w:rPr>
          <w:spacing w:val="0"/>
          <w:kern w:val="0"/>
          <w:sz w:val="20"/>
          <w:rtl/>
          <w:lang w:val="en-CA"/>
        </w:rPr>
        <w:t xml:space="preserve">بحاجة إلى حماية. وأشار المجلس إلى أنه وفقاً للمعلومات المتاحة </w:t>
      </w:r>
      <w:r w:rsidRPr="006B489A">
        <w:rPr>
          <w:rFonts w:hint="cs"/>
          <w:spacing w:val="0"/>
          <w:kern w:val="0"/>
          <w:sz w:val="20"/>
          <w:rtl/>
          <w:lang w:val="en-CA"/>
        </w:rPr>
        <w:t>له</w:t>
      </w:r>
      <w:r w:rsidRPr="006B489A">
        <w:rPr>
          <w:spacing w:val="0"/>
          <w:kern w:val="0"/>
          <w:sz w:val="20"/>
          <w:rtl/>
          <w:lang w:val="en-CA"/>
        </w:rPr>
        <w:t xml:space="preserve">، فإن الحكومة الأذربيجانية توفر علاجاً مجانياً للأشخاص الذين يعانون من أمراض عقلية ويمكن علاج معظم الأمراض في أذربيجان. </w:t>
      </w:r>
      <w:r w:rsidRPr="006B489A">
        <w:rPr>
          <w:rFonts w:hint="cs"/>
          <w:spacing w:val="0"/>
          <w:kern w:val="0"/>
          <w:sz w:val="20"/>
          <w:rtl/>
          <w:lang w:val="en-CA"/>
        </w:rPr>
        <w:t xml:space="preserve">وخلص </w:t>
      </w:r>
      <w:r w:rsidRPr="006B489A">
        <w:rPr>
          <w:spacing w:val="0"/>
          <w:kern w:val="0"/>
          <w:sz w:val="20"/>
          <w:rtl/>
          <w:lang w:val="en-CA"/>
        </w:rPr>
        <w:t xml:space="preserve">المجلس </w:t>
      </w:r>
      <w:r w:rsidRPr="006B489A">
        <w:rPr>
          <w:rFonts w:hint="cs"/>
          <w:spacing w:val="0"/>
          <w:kern w:val="0"/>
          <w:sz w:val="20"/>
          <w:rtl/>
          <w:lang w:val="en-CA"/>
        </w:rPr>
        <w:t xml:space="preserve">إلى </w:t>
      </w:r>
      <w:r w:rsidRPr="006B489A">
        <w:rPr>
          <w:spacing w:val="0"/>
          <w:kern w:val="0"/>
          <w:sz w:val="20"/>
          <w:rtl/>
          <w:lang w:val="en-CA"/>
        </w:rPr>
        <w:t>أن</w:t>
      </w:r>
      <w:r w:rsidRPr="006B489A">
        <w:rPr>
          <w:rFonts w:hint="cs"/>
          <w:spacing w:val="0"/>
          <w:kern w:val="0"/>
          <w:sz w:val="20"/>
          <w:rtl/>
          <w:lang w:val="en-CA"/>
        </w:rPr>
        <w:t xml:space="preserve">ه لا يمكن اعتبار أن </w:t>
      </w:r>
      <w:r w:rsidRPr="006B489A">
        <w:rPr>
          <w:spacing w:val="0"/>
          <w:kern w:val="0"/>
          <w:sz w:val="20"/>
          <w:rtl/>
          <w:lang w:val="en-CA"/>
        </w:rPr>
        <w:t>س.</w:t>
      </w:r>
      <w:r w:rsidRPr="006B489A">
        <w:rPr>
          <w:rFonts w:hint="cs"/>
          <w:spacing w:val="0"/>
          <w:kern w:val="0"/>
          <w:sz w:val="20"/>
          <w:rtl/>
          <w:lang w:val="en-CA"/>
        </w:rPr>
        <w:t xml:space="preserve"> </w:t>
      </w:r>
      <w:r w:rsidRPr="006B489A">
        <w:rPr>
          <w:spacing w:val="0"/>
          <w:kern w:val="0"/>
          <w:sz w:val="20"/>
          <w:rtl/>
          <w:lang w:val="en-CA"/>
        </w:rPr>
        <w:t>م</w:t>
      </w:r>
      <w:r w:rsidRPr="006B489A">
        <w:rPr>
          <w:rFonts w:hint="cs"/>
          <w:spacing w:val="0"/>
          <w:kern w:val="0"/>
          <w:sz w:val="20"/>
          <w:rtl/>
          <w:lang w:val="en-CA"/>
        </w:rPr>
        <w:t>.</w:t>
      </w:r>
      <w:r w:rsidRPr="006B489A">
        <w:rPr>
          <w:spacing w:val="0"/>
          <w:kern w:val="0"/>
          <w:sz w:val="20"/>
          <w:rtl/>
          <w:lang w:val="en-CA"/>
        </w:rPr>
        <w:t xml:space="preserve"> وأ. م. يعانيان من أمراض أو</w:t>
      </w:r>
      <w:r w:rsidR="00C03ECB">
        <w:rPr>
          <w:rFonts w:hint="cs"/>
          <w:spacing w:val="0"/>
          <w:kern w:val="0"/>
          <w:sz w:val="20"/>
          <w:rtl/>
          <w:lang w:val="en-CA"/>
        </w:rPr>
        <w:t> </w:t>
      </w:r>
      <w:r w:rsidRPr="006B489A">
        <w:rPr>
          <w:spacing w:val="0"/>
          <w:kern w:val="0"/>
          <w:sz w:val="20"/>
          <w:rtl/>
          <w:lang w:val="en-CA"/>
        </w:rPr>
        <w:t>ظ</w:t>
      </w:r>
      <w:r w:rsidRPr="006B489A">
        <w:rPr>
          <w:rFonts w:hint="eastAsia"/>
          <w:spacing w:val="0"/>
          <w:kern w:val="0"/>
          <w:sz w:val="20"/>
          <w:rtl/>
          <w:lang w:val="en-CA"/>
        </w:rPr>
        <w:t>روف</w:t>
      </w:r>
      <w:r w:rsidRPr="006B489A">
        <w:rPr>
          <w:spacing w:val="0"/>
          <w:kern w:val="0"/>
          <w:sz w:val="20"/>
          <w:rtl/>
          <w:lang w:val="en-CA"/>
        </w:rPr>
        <w:t xml:space="preserve"> صحية تهدد </w:t>
      </w:r>
      <w:r w:rsidRPr="006B489A">
        <w:rPr>
          <w:rFonts w:hint="cs"/>
          <w:spacing w:val="0"/>
          <w:kern w:val="0"/>
          <w:sz w:val="20"/>
          <w:rtl/>
          <w:lang w:val="en-CA"/>
        </w:rPr>
        <w:t>حياتهم مما يشكل</w:t>
      </w:r>
      <w:r w:rsidRPr="006B489A">
        <w:rPr>
          <w:spacing w:val="0"/>
          <w:kern w:val="0"/>
          <w:sz w:val="20"/>
          <w:rtl/>
          <w:lang w:val="en-CA"/>
        </w:rPr>
        <w:t xml:space="preserve"> أساساً لمنحه</w:t>
      </w:r>
      <w:r w:rsidRPr="006B489A">
        <w:rPr>
          <w:rFonts w:hint="cs"/>
          <w:spacing w:val="0"/>
          <w:kern w:val="0"/>
          <w:sz w:val="20"/>
          <w:rtl/>
          <w:lang w:val="en-CA"/>
        </w:rPr>
        <w:t>م</w:t>
      </w:r>
      <w:r w:rsidRPr="006B489A">
        <w:rPr>
          <w:spacing w:val="0"/>
          <w:kern w:val="0"/>
          <w:sz w:val="20"/>
          <w:rtl/>
          <w:lang w:val="en-CA"/>
        </w:rPr>
        <w:t xml:space="preserve">ا </w:t>
      </w:r>
      <w:r w:rsidRPr="006B489A">
        <w:rPr>
          <w:rFonts w:hint="cs"/>
          <w:spacing w:val="0"/>
          <w:kern w:val="0"/>
          <w:sz w:val="20"/>
          <w:rtl/>
          <w:lang w:val="en-CA"/>
        </w:rPr>
        <w:t xml:space="preserve">تصريح </w:t>
      </w:r>
      <w:r w:rsidRPr="006B489A">
        <w:rPr>
          <w:spacing w:val="0"/>
          <w:kern w:val="0"/>
          <w:sz w:val="20"/>
          <w:rtl/>
          <w:lang w:val="en-CA"/>
        </w:rPr>
        <w:t xml:space="preserve">إقامة. ورفض طلب </w:t>
      </w:r>
      <w:r w:rsidRPr="006B489A">
        <w:rPr>
          <w:rFonts w:hint="cs"/>
          <w:spacing w:val="0"/>
          <w:kern w:val="0"/>
          <w:sz w:val="20"/>
          <w:rtl/>
          <w:lang w:val="en-CA"/>
        </w:rPr>
        <w:t>ﻫ. م.</w:t>
      </w:r>
      <w:r w:rsidRPr="006B489A">
        <w:rPr>
          <w:spacing w:val="0"/>
          <w:kern w:val="0"/>
          <w:sz w:val="20"/>
          <w:rtl/>
          <w:lang w:val="en-CA"/>
        </w:rPr>
        <w:t xml:space="preserve"> الثاني </w:t>
      </w:r>
      <w:r w:rsidRPr="006B489A">
        <w:rPr>
          <w:rFonts w:hint="cs"/>
          <w:spacing w:val="0"/>
          <w:kern w:val="0"/>
          <w:sz w:val="20"/>
          <w:rtl/>
          <w:lang w:val="en-CA"/>
        </w:rPr>
        <w:t>لنفس الأسباب</w:t>
      </w:r>
      <w:r w:rsidRPr="006B489A">
        <w:rPr>
          <w:spacing w:val="0"/>
          <w:kern w:val="0"/>
          <w:sz w:val="20"/>
          <w:rtl/>
          <w:lang w:val="en-CA"/>
        </w:rPr>
        <w:t xml:space="preserve"> تقريباً.</w:t>
      </w:r>
    </w:p>
    <w:p w:rsidR="006B489A" w:rsidRPr="00C03ECB" w:rsidRDefault="006B489A" w:rsidP="00C03ECB">
      <w:pPr>
        <w:pStyle w:val="SingleTxtGA"/>
        <w:spacing w:line="374" w:lineRule="exact"/>
        <w:jc w:val="lowKashida"/>
        <w:rPr>
          <w:spacing w:val="-2"/>
          <w:kern w:val="0"/>
          <w:sz w:val="20"/>
          <w:szCs w:val="20"/>
          <w:rtl/>
        </w:rPr>
      </w:pPr>
      <w:r w:rsidRPr="00C03ECB">
        <w:rPr>
          <w:spacing w:val="-2"/>
          <w:kern w:val="0"/>
          <w:sz w:val="20"/>
          <w:rtl/>
          <w:lang w:val="en-CA"/>
        </w:rPr>
        <w:t>4-6</w:t>
      </w:r>
      <w:r w:rsidRPr="00C03ECB">
        <w:rPr>
          <w:spacing w:val="-2"/>
          <w:kern w:val="0"/>
          <w:sz w:val="20"/>
          <w:rtl/>
          <w:lang w:val="en-CA"/>
        </w:rPr>
        <w:tab/>
        <w:t xml:space="preserve">وقدم </w:t>
      </w:r>
      <w:r w:rsidRPr="00C03ECB">
        <w:rPr>
          <w:rFonts w:hint="cs"/>
          <w:spacing w:val="-2"/>
          <w:kern w:val="0"/>
          <w:sz w:val="20"/>
          <w:rtl/>
          <w:lang w:val="en-CA"/>
        </w:rPr>
        <w:t xml:space="preserve">أصحاب </w:t>
      </w:r>
      <w:r w:rsidRPr="00C03ECB">
        <w:rPr>
          <w:spacing w:val="-2"/>
          <w:kern w:val="0"/>
          <w:sz w:val="20"/>
          <w:rtl/>
          <w:lang w:val="en-CA"/>
        </w:rPr>
        <w:t>الشكوى طعناً إلى محكمة الهجرة. وادع</w:t>
      </w:r>
      <w:r w:rsidRPr="00C03ECB">
        <w:rPr>
          <w:rFonts w:hint="cs"/>
          <w:spacing w:val="-2"/>
          <w:kern w:val="0"/>
          <w:sz w:val="20"/>
          <w:rtl/>
          <w:lang w:val="en-CA"/>
        </w:rPr>
        <w:t>وا</w:t>
      </w:r>
      <w:r w:rsidRPr="00C03ECB">
        <w:rPr>
          <w:spacing w:val="-2"/>
          <w:kern w:val="0"/>
          <w:sz w:val="20"/>
          <w:rtl/>
          <w:lang w:val="en-CA"/>
        </w:rPr>
        <w:t xml:space="preserve"> أنهم قدم</w:t>
      </w:r>
      <w:r w:rsidRPr="00C03ECB">
        <w:rPr>
          <w:rFonts w:hint="cs"/>
          <w:spacing w:val="-2"/>
          <w:kern w:val="0"/>
          <w:sz w:val="20"/>
          <w:rtl/>
          <w:lang w:val="en-CA"/>
        </w:rPr>
        <w:t>و</w:t>
      </w:r>
      <w:r w:rsidRPr="00C03ECB">
        <w:rPr>
          <w:spacing w:val="-2"/>
          <w:kern w:val="0"/>
          <w:sz w:val="20"/>
          <w:rtl/>
          <w:lang w:val="en-CA"/>
        </w:rPr>
        <w:t>ا سرداً موثوقاً ومتسقاً حول التعذيب الذي تعرض</w:t>
      </w:r>
      <w:r w:rsidRPr="00C03ECB">
        <w:rPr>
          <w:rFonts w:hint="cs"/>
          <w:spacing w:val="-2"/>
          <w:kern w:val="0"/>
          <w:sz w:val="20"/>
          <w:rtl/>
          <w:lang w:val="en-CA"/>
        </w:rPr>
        <w:t>و</w:t>
      </w:r>
      <w:r w:rsidRPr="00C03ECB">
        <w:rPr>
          <w:spacing w:val="-2"/>
          <w:kern w:val="0"/>
          <w:sz w:val="20"/>
          <w:rtl/>
          <w:lang w:val="en-CA"/>
        </w:rPr>
        <w:t xml:space="preserve">ا له وأن مجرد الخوف من العودة القسرية إلى أذربيجان يمكن أن يسبب ضرراً لا يمكن </w:t>
      </w:r>
      <w:r w:rsidRPr="00C03ECB">
        <w:rPr>
          <w:rFonts w:hint="cs"/>
          <w:spacing w:val="-2"/>
          <w:kern w:val="0"/>
          <w:sz w:val="20"/>
          <w:rtl/>
          <w:lang w:val="en-CA"/>
        </w:rPr>
        <w:t>جبره</w:t>
      </w:r>
      <w:r w:rsidRPr="00C03ECB">
        <w:rPr>
          <w:spacing w:val="-2"/>
          <w:kern w:val="0"/>
          <w:sz w:val="20"/>
          <w:rtl/>
          <w:lang w:val="en-CA"/>
        </w:rPr>
        <w:t>. كما أدع</w:t>
      </w:r>
      <w:r w:rsidRPr="00C03ECB">
        <w:rPr>
          <w:rFonts w:hint="cs"/>
          <w:spacing w:val="-2"/>
          <w:kern w:val="0"/>
          <w:sz w:val="20"/>
          <w:rtl/>
          <w:lang w:val="en-CA"/>
        </w:rPr>
        <w:t>و</w:t>
      </w:r>
      <w:r w:rsidRPr="00C03ECB">
        <w:rPr>
          <w:spacing w:val="-2"/>
          <w:kern w:val="0"/>
          <w:sz w:val="20"/>
          <w:rtl/>
          <w:lang w:val="en-CA"/>
        </w:rPr>
        <w:t>ا أن أ. م. بد</w:t>
      </w:r>
      <w:r w:rsidRPr="00C03ECB">
        <w:rPr>
          <w:rFonts w:hint="cs"/>
          <w:spacing w:val="-2"/>
          <w:kern w:val="0"/>
          <w:sz w:val="20"/>
          <w:rtl/>
          <w:lang w:val="en-CA"/>
        </w:rPr>
        <w:t>ت</w:t>
      </w:r>
      <w:r w:rsidRPr="00C03ECB">
        <w:rPr>
          <w:spacing w:val="-2"/>
          <w:kern w:val="0"/>
          <w:sz w:val="20"/>
          <w:rtl/>
          <w:lang w:val="en-CA"/>
        </w:rPr>
        <w:t xml:space="preserve"> عليها علامات خطيرة جداً </w:t>
      </w:r>
      <w:r w:rsidRPr="00C03ECB">
        <w:rPr>
          <w:rFonts w:hint="cs"/>
          <w:spacing w:val="-2"/>
          <w:kern w:val="0"/>
          <w:sz w:val="20"/>
          <w:rtl/>
          <w:lang w:val="en-CA"/>
        </w:rPr>
        <w:t xml:space="preserve">تبين </w:t>
      </w:r>
      <w:r w:rsidRPr="00C03ECB">
        <w:rPr>
          <w:spacing w:val="-2"/>
          <w:kern w:val="0"/>
          <w:sz w:val="20"/>
          <w:rtl/>
          <w:lang w:val="en-CA"/>
        </w:rPr>
        <w:t>تعرضها للضر</w:t>
      </w:r>
      <w:r w:rsidRPr="00C03ECB">
        <w:rPr>
          <w:rFonts w:hint="eastAsia"/>
          <w:spacing w:val="-2"/>
          <w:kern w:val="0"/>
          <w:sz w:val="20"/>
          <w:rtl/>
          <w:lang w:val="en-CA"/>
        </w:rPr>
        <w:t>ر</w:t>
      </w:r>
      <w:r w:rsidRPr="00C03ECB">
        <w:rPr>
          <w:spacing w:val="-2"/>
          <w:kern w:val="0"/>
          <w:sz w:val="20"/>
          <w:rtl/>
          <w:lang w:val="en-CA"/>
        </w:rPr>
        <w:t xml:space="preserve"> وقامت بزيارات متكررة إلى العيادة النفسية للأطفال والمراهقين. وأكدت </w:t>
      </w:r>
      <w:r w:rsidRPr="00C03ECB">
        <w:rPr>
          <w:rFonts w:hint="cs"/>
          <w:spacing w:val="-2"/>
          <w:kern w:val="0"/>
          <w:sz w:val="20"/>
          <w:rtl/>
          <w:lang w:val="en-CA"/>
        </w:rPr>
        <w:t>ﻫ. م.</w:t>
      </w:r>
      <w:r w:rsidRPr="00C03ECB">
        <w:rPr>
          <w:spacing w:val="-2"/>
          <w:kern w:val="0"/>
          <w:sz w:val="20"/>
          <w:rtl/>
          <w:lang w:val="en-CA"/>
        </w:rPr>
        <w:t xml:space="preserve"> أن التقارير الطبية تدعم مزاعمها بتعرضها لإيذاء خطير بعد عودتها إلى بلدها الأصلي.</w:t>
      </w:r>
    </w:p>
    <w:p w:rsidR="006B489A" w:rsidRPr="006B489A" w:rsidRDefault="006B489A" w:rsidP="00C03ECB">
      <w:pPr>
        <w:pStyle w:val="SingleTxtGA"/>
        <w:spacing w:line="374" w:lineRule="exact"/>
        <w:jc w:val="lowKashida"/>
        <w:rPr>
          <w:spacing w:val="0"/>
          <w:kern w:val="0"/>
          <w:sz w:val="20"/>
          <w:szCs w:val="20"/>
          <w:rtl/>
        </w:rPr>
      </w:pPr>
      <w:r w:rsidRPr="006B489A">
        <w:rPr>
          <w:spacing w:val="0"/>
          <w:kern w:val="0"/>
          <w:sz w:val="20"/>
          <w:rtl/>
          <w:lang w:val="en-CA"/>
        </w:rPr>
        <w:t>4-7</w:t>
      </w:r>
      <w:r w:rsidRPr="006B489A">
        <w:rPr>
          <w:spacing w:val="0"/>
          <w:kern w:val="0"/>
          <w:sz w:val="20"/>
          <w:rtl/>
          <w:lang w:val="en-CA"/>
        </w:rPr>
        <w:tab/>
      </w:r>
      <w:r w:rsidRPr="006B489A">
        <w:rPr>
          <w:rFonts w:hint="cs"/>
          <w:spacing w:val="0"/>
          <w:kern w:val="0"/>
          <w:sz w:val="20"/>
          <w:rtl/>
          <w:lang w:val="en-CA"/>
        </w:rPr>
        <w:t>و</w:t>
      </w:r>
      <w:r w:rsidRPr="006B489A">
        <w:rPr>
          <w:spacing w:val="0"/>
          <w:kern w:val="0"/>
          <w:sz w:val="20"/>
          <w:rtl/>
          <w:lang w:val="en-CA"/>
        </w:rPr>
        <w:t xml:space="preserve">قدم </w:t>
      </w:r>
      <w:r w:rsidRPr="006B489A">
        <w:rPr>
          <w:rFonts w:hint="cs"/>
          <w:spacing w:val="0"/>
          <w:kern w:val="0"/>
          <w:sz w:val="20"/>
          <w:rtl/>
          <w:lang w:val="en-CA"/>
        </w:rPr>
        <w:t xml:space="preserve">أصحاب </w:t>
      </w:r>
      <w:r w:rsidRPr="006B489A">
        <w:rPr>
          <w:spacing w:val="0"/>
          <w:kern w:val="0"/>
          <w:sz w:val="20"/>
          <w:rtl/>
          <w:lang w:val="en-CA"/>
        </w:rPr>
        <w:t xml:space="preserve">الشكوى رسالة خطية </w:t>
      </w:r>
      <w:r w:rsidRPr="006B489A">
        <w:rPr>
          <w:rFonts w:hint="cs"/>
          <w:spacing w:val="0"/>
          <w:kern w:val="0"/>
          <w:sz w:val="20"/>
          <w:rtl/>
          <w:lang w:val="en-CA"/>
        </w:rPr>
        <w:t xml:space="preserve">أعدها </w:t>
      </w:r>
      <w:r w:rsidRPr="006B489A">
        <w:rPr>
          <w:spacing w:val="0"/>
          <w:kern w:val="0"/>
          <w:sz w:val="20"/>
          <w:rtl/>
          <w:lang w:val="en-CA"/>
        </w:rPr>
        <w:t xml:space="preserve">ممثل 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w:t>
      </w:r>
      <w:r w:rsidRPr="006B489A">
        <w:rPr>
          <w:rFonts w:hint="cs"/>
          <w:spacing w:val="0"/>
          <w:kern w:val="0"/>
          <w:sz w:val="20"/>
          <w:rtl/>
          <w:lang w:val="en-CA"/>
        </w:rPr>
        <w:t>ت</w:t>
      </w:r>
      <w:r w:rsidRPr="006B489A">
        <w:rPr>
          <w:spacing w:val="0"/>
          <w:kern w:val="0"/>
          <w:sz w:val="20"/>
          <w:rtl/>
          <w:lang w:val="en-CA"/>
        </w:rPr>
        <w:t>شير إلى أن الأر</w:t>
      </w:r>
      <w:r w:rsidRPr="006B489A">
        <w:rPr>
          <w:rFonts w:hint="cs"/>
          <w:spacing w:val="0"/>
          <w:kern w:val="0"/>
          <w:sz w:val="20"/>
          <w:rtl/>
          <w:lang w:val="en-CA"/>
        </w:rPr>
        <w:t>من</w:t>
      </w:r>
      <w:r w:rsidRPr="006B489A">
        <w:rPr>
          <w:spacing w:val="0"/>
          <w:kern w:val="0"/>
          <w:sz w:val="20"/>
          <w:rtl/>
          <w:lang w:val="en-CA"/>
        </w:rPr>
        <w:t xml:space="preserve"> </w:t>
      </w:r>
      <w:r w:rsidRPr="006B489A">
        <w:rPr>
          <w:rFonts w:hint="cs"/>
          <w:spacing w:val="0"/>
          <w:kern w:val="0"/>
          <w:sz w:val="20"/>
          <w:rtl/>
          <w:lang w:val="en-CA"/>
        </w:rPr>
        <w:t xml:space="preserve">من </w:t>
      </w:r>
      <w:r w:rsidRPr="006B489A">
        <w:rPr>
          <w:spacing w:val="0"/>
          <w:kern w:val="0"/>
          <w:sz w:val="20"/>
          <w:rtl/>
          <w:lang w:val="en-CA"/>
        </w:rPr>
        <w:t>أصول إثنية مختلطة</w:t>
      </w:r>
      <w:r w:rsidRPr="006B489A">
        <w:rPr>
          <w:rFonts w:hint="cs"/>
          <w:spacing w:val="0"/>
          <w:kern w:val="0"/>
          <w:sz w:val="20"/>
          <w:rtl/>
          <w:lang w:val="en-CA"/>
        </w:rPr>
        <w:t>،</w:t>
      </w:r>
      <w:r w:rsidRPr="006B489A">
        <w:rPr>
          <w:spacing w:val="0"/>
          <w:kern w:val="0"/>
          <w:sz w:val="20"/>
          <w:rtl/>
          <w:lang w:val="en-CA"/>
        </w:rPr>
        <w:t xml:space="preserve"> الذين يعودون إلى البلد بعد التماسهم اللجوء في الخارج</w:t>
      </w:r>
      <w:r w:rsidRPr="006B489A">
        <w:rPr>
          <w:rFonts w:hint="cs"/>
          <w:spacing w:val="0"/>
          <w:kern w:val="0"/>
          <w:sz w:val="20"/>
          <w:rtl/>
          <w:lang w:val="en-CA"/>
        </w:rPr>
        <w:t>،</w:t>
      </w:r>
      <w:r w:rsidRPr="006B489A">
        <w:rPr>
          <w:spacing w:val="0"/>
          <w:kern w:val="0"/>
          <w:sz w:val="20"/>
          <w:rtl/>
          <w:lang w:val="en-CA"/>
        </w:rPr>
        <w:t xml:space="preserve"> يواجهون خطراً كبيراً في أذربيجان. </w:t>
      </w:r>
      <w:r w:rsidRPr="006B489A">
        <w:rPr>
          <w:rFonts w:hint="cs"/>
          <w:spacing w:val="0"/>
          <w:kern w:val="0"/>
          <w:sz w:val="20"/>
          <w:rtl/>
          <w:lang w:val="en-CA"/>
        </w:rPr>
        <w:t>وتشير</w:t>
      </w:r>
      <w:r w:rsidRPr="006B489A">
        <w:rPr>
          <w:spacing w:val="0"/>
          <w:kern w:val="0"/>
          <w:sz w:val="20"/>
          <w:rtl/>
          <w:lang w:val="en-CA"/>
        </w:rPr>
        <w:t xml:space="preserve"> الرسالة كذلك إلى أن هناك شكوكاً حول قب</w:t>
      </w:r>
      <w:r w:rsidRPr="006B489A">
        <w:rPr>
          <w:rFonts w:hint="eastAsia"/>
          <w:spacing w:val="0"/>
          <w:kern w:val="0"/>
          <w:sz w:val="20"/>
          <w:rtl/>
          <w:lang w:val="en-CA"/>
        </w:rPr>
        <w:t>ول</w:t>
      </w:r>
      <w:r w:rsidRPr="006B489A">
        <w:rPr>
          <w:spacing w:val="0"/>
          <w:kern w:val="0"/>
          <w:sz w:val="20"/>
          <w:rtl/>
          <w:lang w:val="en-CA"/>
        </w:rPr>
        <w:t xml:space="preserve"> أذربيجان لهم مرة أخرى، وفي حالة قبولهم، سيكون هناك خطر كبير بتعرضهم للضغط من قبل </w:t>
      </w:r>
      <w:r w:rsidRPr="006B489A">
        <w:rPr>
          <w:rFonts w:hint="cs"/>
          <w:spacing w:val="0"/>
          <w:kern w:val="0"/>
          <w:sz w:val="20"/>
          <w:rtl/>
          <w:lang w:val="en-CA"/>
        </w:rPr>
        <w:t xml:space="preserve">دوائر </w:t>
      </w:r>
      <w:r w:rsidRPr="006B489A">
        <w:rPr>
          <w:spacing w:val="0"/>
          <w:kern w:val="0"/>
          <w:sz w:val="20"/>
          <w:rtl/>
          <w:lang w:val="en-CA"/>
        </w:rPr>
        <w:t xml:space="preserve">الأمن أو معاملتهم بدون رأفة من قبل </w:t>
      </w:r>
      <w:r w:rsidRPr="006B489A">
        <w:rPr>
          <w:rFonts w:hint="cs"/>
          <w:spacing w:val="0"/>
          <w:kern w:val="0"/>
          <w:sz w:val="20"/>
          <w:rtl/>
          <w:lang w:val="en-CA"/>
        </w:rPr>
        <w:t>غالبية</w:t>
      </w:r>
      <w:r w:rsidRPr="006B489A">
        <w:rPr>
          <w:spacing w:val="0"/>
          <w:kern w:val="0"/>
          <w:sz w:val="20"/>
          <w:rtl/>
          <w:lang w:val="en-CA"/>
        </w:rPr>
        <w:t xml:space="preserve"> السكان. وأشير أيضاً إلى أن </w:t>
      </w:r>
      <w:r w:rsidRPr="006B489A">
        <w:rPr>
          <w:rFonts w:hint="cs"/>
          <w:spacing w:val="0"/>
          <w:kern w:val="0"/>
          <w:sz w:val="20"/>
          <w:rtl/>
          <w:lang w:val="en-CA"/>
        </w:rPr>
        <w:t>غالبية</w:t>
      </w:r>
      <w:r w:rsidRPr="006B489A">
        <w:rPr>
          <w:spacing w:val="0"/>
          <w:kern w:val="0"/>
          <w:sz w:val="20"/>
          <w:rtl/>
          <w:lang w:val="en-CA"/>
        </w:rPr>
        <w:t xml:space="preserve"> الأرم</w:t>
      </w:r>
      <w:r w:rsidRPr="006B489A">
        <w:rPr>
          <w:rFonts w:hint="cs"/>
          <w:spacing w:val="0"/>
          <w:kern w:val="0"/>
          <w:sz w:val="20"/>
          <w:rtl/>
          <w:lang w:val="en-CA"/>
        </w:rPr>
        <w:t>ن</w:t>
      </w:r>
      <w:r w:rsidRPr="006B489A">
        <w:rPr>
          <w:spacing w:val="0"/>
          <w:kern w:val="0"/>
          <w:sz w:val="20"/>
          <w:rtl/>
          <w:lang w:val="en-CA"/>
        </w:rPr>
        <w:t xml:space="preserve"> في أذربيجان يخفون هويتهم. وبالإضافة إلى ذلك، قدم </w:t>
      </w:r>
      <w:r w:rsidRPr="006B489A">
        <w:rPr>
          <w:rFonts w:hint="cs"/>
          <w:spacing w:val="0"/>
          <w:kern w:val="0"/>
          <w:sz w:val="20"/>
          <w:rtl/>
          <w:lang w:val="en-CA"/>
        </w:rPr>
        <w:t xml:space="preserve">أصحاب </w:t>
      </w:r>
      <w:r w:rsidRPr="006B489A">
        <w:rPr>
          <w:spacing w:val="0"/>
          <w:kern w:val="0"/>
          <w:sz w:val="20"/>
          <w:rtl/>
          <w:lang w:val="en-CA"/>
        </w:rPr>
        <w:t xml:space="preserve">الشكوى رسالة خطية من ممثل منظمة العفو الدولية بالسويد تشير ضمن جملة أمور إلى أنه ينبغي </w:t>
      </w:r>
      <w:r w:rsidRPr="006B489A">
        <w:rPr>
          <w:rFonts w:hint="cs"/>
          <w:spacing w:val="0"/>
          <w:kern w:val="0"/>
          <w:sz w:val="20"/>
          <w:rtl/>
          <w:lang w:val="en-CA"/>
        </w:rPr>
        <w:t>النظر إلى</w:t>
      </w:r>
      <w:r w:rsidRPr="006B489A">
        <w:rPr>
          <w:spacing w:val="0"/>
          <w:kern w:val="0"/>
          <w:sz w:val="20"/>
          <w:rtl/>
          <w:lang w:val="en-CA"/>
        </w:rPr>
        <w:t xml:space="preserve"> </w:t>
      </w:r>
      <w:r w:rsidRPr="006B489A">
        <w:rPr>
          <w:rFonts w:hint="cs"/>
          <w:spacing w:val="0"/>
          <w:kern w:val="0"/>
          <w:sz w:val="20"/>
          <w:rtl/>
          <w:lang w:val="en-CA"/>
        </w:rPr>
        <w:t xml:space="preserve">أصحاب </w:t>
      </w:r>
      <w:r w:rsidRPr="006B489A">
        <w:rPr>
          <w:spacing w:val="0"/>
          <w:kern w:val="0"/>
          <w:sz w:val="20"/>
          <w:rtl/>
          <w:lang w:val="en-CA"/>
        </w:rPr>
        <w:t xml:space="preserve">الشكوى </w:t>
      </w:r>
      <w:r w:rsidRPr="006B489A">
        <w:rPr>
          <w:rFonts w:hint="cs"/>
          <w:spacing w:val="0"/>
          <w:kern w:val="0"/>
          <w:sz w:val="20"/>
          <w:rtl/>
          <w:lang w:val="en-CA"/>
        </w:rPr>
        <w:t xml:space="preserve">على أنهم </w:t>
      </w:r>
      <w:r w:rsidRPr="006B489A">
        <w:rPr>
          <w:spacing w:val="0"/>
          <w:kern w:val="0"/>
          <w:sz w:val="20"/>
          <w:rtl/>
          <w:lang w:val="en-CA"/>
        </w:rPr>
        <w:t xml:space="preserve">أشخاص </w:t>
      </w:r>
      <w:r w:rsidRPr="006B489A">
        <w:rPr>
          <w:rFonts w:hint="cs"/>
          <w:spacing w:val="0"/>
          <w:kern w:val="0"/>
          <w:sz w:val="20"/>
          <w:rtl/>
          <w:lang w:val="en-CA"/>
        </w:rPr>
        <w:t xml:space="preserve">يعيشون </w:t>
      </w:r>
      <w:r w:rsidRPr="006B489A">
        <w:rPr>
          <w:spacing w:val="0"/>
          <w:kern w:val="0"/>
          <w:sz w:val="20"/>
          <w:rtl/>
          <w:lang w:val="en-CA"/>
        </w:rPr>
        <w:t xml:space="preserve">في </w:t>
      </w:r>
      <w:r w:rsidRPr="006B489A">
        <w:rPr>
          <w:rFonts w:hint="cs"/>
          <w:spacing w:val="0"/>
          <w:kern w:val="0"/>
          <w:sz w:val="20"/>
          <w:rtl/>
          <w:lang w:val="en-CA"/>
        </w:rPr>
        <w:t xml:space="preserve">إطار </w:t>
      </w:r>
      <w:r w:rsidRPr="006B489A">
        <w:rPr>
          <w:spacing w:val="0"/>
          <w:kern w:val="0"/>
          <w:sz w:val="20"/>
          <w:rtl/>
          <w:lang w:val="en-CA"/>
        </w:rPr>
        <w:t>زواج مختلط. وبالإضافة إلى ذلك، قدمت</w:t>
      </w:r>
      <w:r w:rsidRPr="006B489A">
        <w:rPr>
          <w:rFonts w:hint="cs"/>
          <w:spacing w:val="0"/>
          <w:kern w:val="0"/>
          <w:sz w:val="20"/>
          <w:rtl/>
          <w:lang w:val="en-CA"/>
        </w:rPr>
        <w:t xml:space="preserve"> ﻫ.</w:t>
      </w:r>
      <w:r w:rsidRPr="006B489A">
        <w:rPr>
          <w:rFonts w:hint="eastAsia"/>
          <w:spacing w:val="0"/>
          <w:kern w:val="0"/>
          <w:sz w:val="20"/>
          <w:rtl/>
          <w:lang w:val="en-CA"/>
        </w:rPr>
        <w:t> </w:t>
      </w:r>
      <w:r w:rsidRPr="006B489A">
        <w:rPr>
          <w:rFonts w:hint="cs"/>
          <w:spacing w:val="0"/>
          <w:kern w:val="0"/>
          <w:sz w:val="20"/>
          <w:rtl/>
          <w:lang w:val="en-CA"/>
        </w:rPr>
        <w:t>م.</w:t>
      </w:r>
      <w:r w:rsidRPr="006B489A">
        <w:rPr>
          <w:spacing w:val="0"/>
          <w:kern w:val="0"/>
          <w:sz w:val="20"/>
          <w:rtl/>
          <w:lang w:val="en-CA"/>
        </w:rPr>
        <w:t xml:space="preserve"> وثيقة صادرة عن إحدى المنظمات العاملة على تعزيز حقوق النساء الأذربيجانيات.</w:t>
      </w:r>
    </w:p>
    <w:p w:rsidR="006B489A" w:rsidRPr="006B489A" w:rsidRDefault="006B489A" w:rsidP="00C03ECB">
      <w:pPr>
        <w:pStyle w:val="SingleTxtGA"/>
        <w:spacing w:line="374" w:lineRule="exact"/>
        <w:jc w:val="lowKashida"/>
        <w:rPr>
          <w:spacing w:val="0"/>
          <w:kern w:val="0"/>
          <w:sz w:val="20"/>
          <w:szCs w:val="20"/>
          <w:rtl/>
        </w:rPr>
      </w:pPr>
      <w:r w:rsidRPr="006B489A">
        <w:rPr>
          <w:spacing w:val="0"/>
          <w:kern w:val="0"/>
          <w:sz w:val="20"/>
          <w:rtl/>
          <w:lang w:val="en-CA"/>
        </w:rPr>
        <w:t>4-8</w:t>
      </w:r>
      <w:r w:rsidRPr="006B489A">
        <w:rPr>
          <w:spacing w:val="0"/>
          <w:kern w:val="0"/>
          <w:sz w:val="20"/>
          <w:rtl/>
          <w:lang w:val="en-CA"/>
        </w:rPr>
        <w:tab/>
        <w:t xml:space="preserve">واعترض مجلس الهجرة على منح </w:t>
      </w:r>
      <w:r w:rsidRPr="006B489A">
        <w:rPr>
          <w:rFonts w:hint="cs"/>
          <w:spacing w:val="0"/>
          <w:kern w:val="0"/>
          <w:sz w:val="20"/>
          <w:rtl/>
          <w:lang w:val="en-CA"/>
        </w:rPr>
        <w:t>الإذن ب</w:t>
      </w:r>
      <w:r w:rsidRPr="006B489A">
        <w:rPr>
          <w:spacing w:val="0"/>
          <w:kern w:val="0"/>
          <w:sz w:val="20"/>
          <w:rtl/>
          <w:lang w:val="en-CA"/>
        </w:rPr>
        <w:t xml:space="preserve">الطعن مشيراً إلى أن </w:t>
      </w:r>
      <w:r w:rsidRPr="006B489A">
        <w:rPr>
          <w:rFonts w:hint="cs"/>
          <w:spacing w:val="0"/>
          <w:kern w:val="0"/>
          <w:sz w:val="20"/>
          <w:rtl/>
          <w:lang w:val="en-CA"/>
        </w:rPr>
        <w:t xml:space="preserve">أصحاب </w:t>
      </w:r>
      <w:r w:rsidRPr="006B489A">
        <w:rPr>
          <w:spacing w:val="0"/>
          <w:kern w:val="0"/>
          <w:sz w:val="20"/>
          <w:rtl/>
          <w:lang w:val="en-CA"/>
        </w:rPr>
        <w:t>الشكوى لم</w:t>
      </w:r>
      <w:r w:rsidR="00C03ECB">
        <w:rPr>
          <w:rFonts w:hint="cs"/>
          <w:spacing w:val="0"/>
          <w:kern w:val="0"/>
          <w:sz w:val="20"/>
          <w:rtl/>
          <w:lang w:val="en-CA"/>
        </w:rPr>
        <w:t> </w:t>
      </w:r>
      <w:r w:rsidRPr="006B489A">
        <w:rPr>
          <w:spacing w:val="0"/>
          <w:kern w:val="0"/>
          <w:sz w:val="20"/>
          <w:rtl/>
          <w:lang w:val="en-CA"/>
        </w:rPr>
        <w:t>يقدم</w:t>
      </w:r>
      <w:r w:rsidRPr="006B489A">
        <w:rPr>
          <w:rFonts w:hint="cs"/>
          <w:spacing w:val="0"/>
          <w:kern w:val="0"/>
          <w:sz w:val="20"/>
          <w:rtl/>
          <w:lang w:val="en-CA"/>
        </w:rPr>
        <w:t>و</w:t>
      </w:r>
      <w:r w:rsidRPr="006B489A">
        <w:rPr>
          <w:spacing w:val="0"/>
          <w:kern w:val="0"/>
          <w:sz w:val="20"/>
          <w:rtl/>
          <w:lang w:val="en-CA"/>
        </w:rPr>
        <w:t xml:space="preserve">ا أدلة مقنعة تفيد بأنه ينبغي اعتبارهم لاجئين أو في حاجة إلى حماية ولا يمكن منحهم </w:t>
      </w:r>
      <w:r w:rsidRPr="006B489A">
        <w:rPr>
          <w:rFonts w:hint="cs"/>
          <w:spacing w:val="0"/>
          <w:kern w:val="0"/>
          <w:sz w:val="20"/>
          <w:rtl/>
          <w:lang w:val="en-CA"/>
        </w:rPr>
        <w:t xml:space="preserve">تصريح </w:t>
      </w:r>
      <w:r w:rsidRPr="006B489A">
        <w:rPr>
          <w:spacing w:val="0"/>
          <w:kern w:val="0"/>
          <w:sz w:val="20"/>
          <w:rtl/>
          <w:lang w:val="en-CA"/>
        </w:rPr>
        <w:t xml:space="preserve">إقامة </w:t>
      </w:r>
      <w:r w:rsidRPr="006B489A">
        <w:rPr>
          <w:rFonts w:hint="cs"/>
          <w:spacing w:val="0"/>
          <w:kern w:val="0"/>
          <w:sz w:val="20"/>
          <w:rtl/>
          <w:lang w:val="en-CA"/>
        </w:rPr>
        <w:t>لأي سبب آخر</w:t>
      </w:r>
      <w:r w:rsidRPr="006B489A">
        <w:rPr>
          <w:spacing w:val="0"/>
          <w:kern w:val="0"/>
          <w:sz w:val="20"/>
          <w:rtl/>
          <w:lang w:val="en-CA"/>
        </w:rPr>
        <w:t xml:space="preserve">. ولا يمكن أن يمثل سردهم أساساً لتقييم خطر الاضطهاد أو أي معاملة </w:t>
      </w:r>
      <w:r w:rsidRPr="006B489A">
        <w:rPr>
          <w:rFonts w:hint="eastAsia"/>
          <w:spacing w:val="0"/>
          <w:kern w:val="0"/>
          <w:sz w:val="20"/>
          <w:rtl/>
          <w:lang w:val="en-CA"/>
        </w:rPr>
        <w:t>لا</w:t>
      </w:r>
      <w:r w:rsidRPr="006B489A">
        <w:rPr>
          <w:spacing w:val="0"/>
          <w:kern w:val="0"/>
          <w:sz w:val="20"/>
          <w:rtl/>
          <w:lang w:val="en-CA"/>
        </w:rPr>
        <w:t xml:space="preserve"> إنسانية أو مهينة أخرى، </w:t>
      </w:r>
      <w:r w:rsidRPr="006B489A">
        <w:rPr>
          <w:rFonts w:hint="cs"/>
          <w:spacing w:val="0"/>
          <w:kern w:val="0"/>
          <w:sz w:val="20"/>
          <w:rtl/>
          <w:lang w:val="en-CA"/>
        </w:rPr>
        <w:t>نظراً ل</w:t>
      </w:r>
      <w:r w:rsidRPr="006B489A">
        <w:rPr>
          <w:spacing w:val="0"/>
          <w:kern w:val="0"/>
          <w:sz w:val="20"/>
          <w:rtl/>
          <w:lang w:val="en-CA"/>
        </w:rPr>
        <w:t xml:space="preserve">أن هناك عدداً من أوجه عدم الاتساق التي تضعف </w:t>
      </w:r>
      <w:r w:rsidRPr="006B489A">
        <w:rPr>
          <w:rFonts w:hint="cs"/>
          <w:spacing w:val="0"/>
          <w:kern w:val="0"/>
          <w:sz w:val="20"/>
          <w:rtl/>
          <w:lang w:val="en-CA"/>
        </w:rPr>
        <w:t>م</w:t>
      </w:r>
      <w:r w:rsidRPr="006B489A">
        <w:rPr>
          <w:spacing w:val="0"/>
          <w:kern w:val="0"/>
          <w:sz w:val="20"/>
          <w:rtl/>
          <w:lang w:val="en-CA"/>
        </w:rPr>
        <w:t xml:space="preserve">ن </w:t>
      </w:r>
      <w:r w:rsidRPr="006B489A">
        <w:rPr>
          <w:rFonts w:hint="cs"/>
          <w:spacing w:val="0"/>
          <w:kern w:val="0"/>
          <w:sz w:val="20"/>
          <w:rtl/>
          <w:lang w:val="en-CA"/>
        </w:rPr>
        <w:t xml:space="preserve">المصداقية </w:t>
      </w:r>
      <w:r w:rsidRPr="006B489A">
        <w:rPr>
          <w:spacing w:val="0"/>
          <w:kern w:val="0"/>
          <w:sz w:val="20"/>
          <w:rtl/>
          <w:lang w:val="en-CA"/>
        </w:rPr>
        <w:t>العامة لمزاعمهم. وفيما يتعلق بالمشاكل الصحية المزعومة، رأى المجلس أنه لا</w:t>
      </w:r>
      <w:r w:rsidR="00C03ECB">
        <w:rPr>
          <w:rFonts w:hint="cs"/>
          <w:spacing w:val="0"/>
          <w:kern w:val="0"/>
          <w:sz w:val="20"/>
          <w:rtl/>
          <w:lang w:val="en-CA"/>
        </w:rPr>
        <w:t> </w:t>
      </w:r>
      <w:r w:rsidRPr="006B489A">
        <w:rPr>
          <w:spacing w:val="0"/>
          <w:kern w:val="0"/>
          <w:sz w:val="20"/>
          <w:rtl/>
          <w:lang w:val="en-CA"/>
        </w:rPr>
        <w:t>يوجد ما يشير إلى أنهم لن يستطيع</w:t>
      </w:r>
      <w:r w:rsidRPr="006B489A">
        <w:rPr>
          <w:rFonts w:hint="cs"/>
          <w:spacing w:val="0"/>
          <w:kern w:val="0"/>
          <w:sz w:val="20"/>
          <w:rtl/>
          <w:lang w:val="en-CA"/>
        </w:rPr>
        <w:t>و</w:t>
      </w:r>
      <w:r w:rsidRPr="006B489A">
        <w:rPr>
          <w:spacing w:val="0"/>
          <w:kern w:val="0"/>
          <w:sz w:val="20"/>
          <w:rtl/>
          <w:lang w:val="en-CA"/>
        </w:rPr>
        <w:t>ا الحصول على رعاية طبية مناسبة في أذربيجان.</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4-9</w:t>
      </w:r>
      <w:r w:rsidRPr="006B489A">
        <w:rPr>
          <w:spacing w:val="0"/>
          <w:kern w:val="0"/>
          <w:sz w:val="20"/>
          <w:rtl/>
          <w:lang w:val="en-CA"/>
        </w:rPr>
        <w:tab/>
        <w:t>وفي 7 أيلول/سبتمبر 2007</w:t>
      </w:r>
      <w:r w:rsidRPr="006B489A">
        <w:rPr>
          <w:rFonts w:hint="cs"/>
          <w:spacing w:val="0"/>
          <w:kern w:val="0"/>
          <w:sz w:val="20"/>
          <w:rtl/>
          <w:lang w:val="en-CA"/>
        </w:rPr>
        <w:t>،</w:t>
      </w:r>
      <w:r w:rsidRPr="006B489A">
        <w:rPr>
          <w:spacing w:val="0"/>
          <w:kern w:val="0"/>
          <w:sz w:val="20"/>
          <w:rtl/>
          <w:lang w:val="en-CA"/>
        </w:rPr>
        <w:t xml:space="preserve"> رفضت محكمة الهجرة طعون </w:t>
      </w:r>
      <w:r w:rsidRPr="006B489A">
        <w:rPr>
          <w:rFonts w:hint="cs"/>
          <w:spacing w:val="0"/>
          <w:kern w:val="0"/>
          <w:sz w:val="20"/>
          <w:rtl/>
          <w:lang w:val="en-CA"/>
        </w:rPr>
        <w:t xml:space="preserve">أصحاب </w:t>
      </w:r>
      <w:r w:rsidRPr="006B489A">
        <w:rPr>
          <w:spacing w:val="0"/>
          <w:kern w:val="0"/>
          <w:sz w:val="20"/>
          <w:rtl/>
          <w:lang w:val="en-CA"/>
        </w:rPr>
        <w:t xml:space="preserve">الشكوى مشيرة إلى أن التقارير الطبية والأدلة الخطية الأخرى المقدمة لا </w:t>
      </w:r>
      <w:r w:rsidRPr="006B489A">
        <w:rPr>
          <w:rFonts w:hint="cs"/>
          <w:spacing w:val="0"/>
          <w:kern w:val="0"/>
          <w:sz w:val="20"/>
          <w:rtl/>
          <w:lang w:val="en-CA"/>
        </w:rPr>
        <w:t>ت</w:t>
      </w:r>
      <w:r w:rsidRPr="006B489A">
        <w:rPr>
          <w:spacing w:val="0"/>
          <w:kern w:val="0"/>
          <w:sz w:val="20"/>
          <w:rtl/>
          <w:lang w:val="en-CA"/>
        </w:rPr>
        <w:t xml:space="preserve">دعم </w:t>
      </w:r>
      <w:r w:rsidRPr="006B489A">
        <w:rPr>
          <w:rFonts w:hint="cs"/>
          <w:spacing w:val="0"/>
          <w:kern w:val="0"/>
          <w:sz w:val="20"/>
          <w:rtl/>
          <w:lang w:val="en-CA"/>
        </w:rPr>
        <w:t xml:space="preserve">ادعاءات أصحاب </w:t>
      </w:r>
      <w:r w:rsidRPr="006B489A">
        <w:rPr>
          <w:spacing w:val="0"/>
          <w:kern w:val="0"/>
          <w:sz w:val="20"/>
          <w:rtl/>
          <w:lang w:val="en-CA"/>
        </w:rPr>
        <w:t xml:space="preserve">الشكوى </w:t>
      </w:r>
      <w:r w:rsidRPr="006B489A">
        <w:rPr>
          <w:rFonts w:hint="cs"/>
          <w:spacing w:val="0"/>
          <w:kern w:val="0"/>
          <w:sz w:val="20"/>
          <w:rtl/>
          <w:lang w:val="en-CA"/>
        </w:rPr>
        <w:t>التعرض ل</w:t>
      </w:r>
      <w:r w:rsidRPr="006B489A">
        <w:rPr>
          <w:spacing w:val="0"/>
          <w:kern w:val="0"/>
          <w:sz w:val="20"/>
          <w:rtl/>
          <w:lang w:val="en-CA"/>
        </w:rPr>
        <w:t xml:space="preserve">سوء المعاملة في الأوقات التي </w:t>
      </w:r>
      <w:r w:rsidRPr="006B489A">
        <w:rPr>
          <w:rFonts w:hint="cs"/>
          <w:spacing w:val="0"/>
          <w:kern w:val="0"/>
          <w:sz w:val="20"/>
          <w:rtl/>
          <w:lang w:val="en-CA"/>
        </w:rPr>
        <w:t>زع</w:t>
      </w:r>
      <w:r w:rsidRPr="006B489A">
        <w:rPr>
          <w:spacing w:val="0"/>
          <w:kern w:val="0"/>
          <w:sz w:val="20"/>
          <w:rtl/>
          <w:lang w:val="en-CA"/>
        </w:rPr>
        <w:t>م</w:t>
      </w:r>
      <w:r w:rsidRPr="006B489A">
        <w:rPr>
          <w:rFonts w:hint="cs"/>
          <w:spacing w:val="0"/>
          <w:kern w:val="0"/>
          <w:sz w:val="20"/>
          <w:rtl/>
          <w:lang w:val="en-CA"/>
        </w:rPr>
        <w:t>و</w:t>
      </w:r>
      <w:r w:rsidRPr="006B489A">
        <w:rPr>
          <w:spacing w:val="0"/>
          <w:kern w:val="0"/>
          <w:sz w:val="20"/>
          <w:rtl/>
          <w:lang w:val="en-CA"/>
        </w:rPr>
        <w:t xml:space="preserve">ا فيها </w:t>
      </w:r>
      <w:r w:rsidRPr="006B489A">
        <w:rPr>
          <w:rFonts w:hint="cs"/>
          <w:spacing w:val="0"/>
          <w:kern w:val="0"/>
          <w:sz w:val="20"/>
          <w:rtl/>
          <w:lang w:val="en-CA"/>
        </w:rPr>
        <w:t xml:space="preserve">حدوث </w:t>
      </w:r>
      <w:r w:rsidRPr="006B489A">
        <w:rPr>
          <w:spacing w:val="0"/>
          <w:kern w:val="0"/>
          <w:sz w:val="20"/>
          <w:rtl/>
          <w:lang w:val="en-CA"/>
        </w:rPr>
        <w:t>ذلك. وتشتمل الوثائق التي قدم</w:t>
      </w:r>
      <w:r w:rsidRPr="006B489A">
        <w:rPr>
          <w:rFonts w:hint="cs"/>
          <w:spacing w:val="0"/>
          <w:kern w:val="0"/>
          <w:sz w:val="20"/>
          <w:rtl/>
          <w:lang w:val="en-CA"/>
        </w:rPr>
        <w:t>و</w:t>
      </w:r>
      <w:r w:rsidRPr="006B489A">
        <w:rPr>
          <w:spacing w:val="0"/>
          <w:kern w:val="0"/>
          <w:sz w:val="20"/>
          <w:rtl/>
          <w:lang w:val="en-CA"/>
        </w:rPr>
        <w:t xml:space="preserve">ها على معلومات </w:t>
      </w:r>
      <w:r w:rsidRPr="006B489A">
        <w:rPr>
          <w:rFonts w:hint="cs"/>
          <w:spacing w:val="0"/>
          <w:kern w:val="0"/>
          <w:sz w:val="20"/>
          <w:rtl/>
          <w:lang w:val="en-CA"/>
        </w:rPr>
        <w:t>متناقضة</w:t>
      </w:r>
      <w:r w:rsidRPr="006B489A">
        <w:rPr>
          <w:spacing w:val="0"/>
          <w:kern w:val="0"/>
          <w:sz w:val="20"/>
          <w:rtl/>
          <w:lang w:val="en-CA"/>
        </w:rPr>
        <w:t>. وبالإضافة إل</w:t>
      </w:r>
      <w:r w:rsidRPr="006B489A">
        <w:rPr>
          <w:rFonts w:hint="eastAsia"/>
          <w:spacing w:val="0"/>
          <w:kern w:val="0"/>
          <w:sz w:val="20"/>
          <w:rtl/>
          <w:lang w:val="en-CA"/>
        </w:rPr>
        <w:t>ى</w:t>
      </w:r>
      <w:r w:rsidRPr="006B489A">
        <w:rPr>
          <w:spacing w:val="0"/>
          <w:kern w:val="0"/>
          <w:sz w:val="20"/>
          <w:rtl/>
          <w:lang w:val="en-CA"/>
        </w:rPr>
        <w:t xml:space="preserve"> ذلك، فإن الوثائق الصادرة عن 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ومنظمة العفو الدولية لا تثبت </w:t>
      </w:r>
      <w:r w:rsidRPr="006B489A">
        <w:rPr>
          <w:rFonts w:hint="cs"/>
          <w:spacing w:val="0"/>
          <w:kern w:val="0"/>
          <w:sz w:val="20"/>
          <w:rtl/>
          <w:lang w:val="en-CA"/>
        </w:rPr>
        <w:t xml:space="preserve">أن هناك </w:t>
      </w:r>
      <w:r w:rsidRPr="006B489A">
        <w:rPr>
          <w:spacing w:val="0"/>
          <w:kern w:val="0"/>
          <w:sz w:val="20"/>
          <w:rtl/>
          <w:lang w:val="en-CA"/>
        </w:rPr>
        <w:t>اضطهاد</w:t>
      </w:r>
      <w:r w:rsidRPr="006B489A">
        <w:rPr>
          <w:rFonts w:hint="cs"/>
          <w:spacing w:val="0"/>
          <w:kern w:val="0"/>
          <w:sz w:val="20"/>
          <w:rtl/>
          <w:lang w:val="en-CA"/>
        </w:rPr>
        <w:t>اً</w:t>
      </w:r>
      <w:r w:rsidRPr="006B489A">
        <w:rPr>
          <w:spacing w:val="0"/>
          <w:kern w:val="0"/>
          <w:sz w:val="20"/>
          <w:rtl/>
          <w:lang w:val="en-CA"/>
        </w:rPr>
        <w:t xml:space="preserve"> </w:t>
      </w:r>
      <w:r w:rsidRPr="006B489A">
        <w:rPr>
          <w:rFonts w:hint="cs"/>
          <w:spacing w:val="0"/>
          <w:kern w:val="0"/>
          <w:sz w:val="20"/>
          <w:rtl/>
          <w:lang w:val="en-CA"/>
        </w:rPr>
        <w:t xml:space="preserve">يحدث بمعرفة </w:t>
      </w:r>
      <w:r w:rsidRPr="006B489A">
        <w:rPr>
          <w:spacing w:val="0"/>
          <w:kern w:val="0"/>
          <w:sz w:val="20"/>
          <w:rtl/>
          <w:lang w:val="en-CA"/>
        </w:rPr>
        <w:t xml:space="preserve">الدولة للأشخاص </w:t>
      </w:r>
      <w:r w:rsidRPr="006B489A">
        <w:rPr>
          <w:rFonts w:hint="cs"/>
          <w:spacing w:val="0"/>
          <w:kern w:val="0"/>
          <w:sz w:val="20"/>
          <w:rtl/>
          <w:lang w:val="en-CA"/>
        </w:rPr>
        <w:t xml:space="preserve">من </w:t>
      </w:r>
      <w:r w:rsidRPr="006B489A">
        <w:rPr>
          <w:spacing w:val="0"/>
          <w:kern w:val="0"/>
          <w:sz w:val="20"/>
          <w:rtl/>
          <w:lang w:val="en-CA"/>
        </w:rPr>
        <w:t>أصول إثنية</w:t>
      </w:r>
      <w:r w:rsidRPr="006B489A">
        <w:rPr>
          <w:rFonts w:hint="cs"/>
          <w:spacing w:val="0"/>
          <w:kern w:val="0"/>
          <w:sz w:val="20"/>
          <w:rtl/>
          <w:lang w:val="en-CA"/>
        </w:rPr>
        <w:t xml:space="preserve"> </w:t>
      </w:r>
      <w:r w:rsidRPr="006B489A">
        <w:rPr>
          <w:spacing w:val="0"/>
          <w:kern w:val="0"/>
          <w:sz w:val="20"/>
          <w:rtl/>
          <w:lang w:val="en-CA"/>
        </w:rPr>
        <w:t>أرمن</w:t>
      </w:r>
      <w:r w:rsidRPr="006B489A">
        <w:rPr>
          <w:rFonts w:hint="cs"/>
          <w:spacing w:val="0"/>
          <w:kern w:val="0"/>
          <w:sz w:val="20"/>
          <w:rtl/>
          <w:lang w:val="en-CA"/>
        </w:rPr>
        <w:t>ية</w:t>
      </w:r>
      <w:r w:rsidRPr="006B489A">
        <w:rPr>
          <w:spacing w:val="0"/>
          <w:kern w:val="0"/>
          <w:sz w:val="20"/>
          <w:rtl/>
          <w:lang w:val="en-CA"/>
        </w:rPr>
        <w:t xml:space="preserve"> في أذربيجان. ولذلك</w:t>
      </w:r>
      <w:r w:rsidRPr="006B489A">
        <w:rPr>
          <w:rFonts w:hint="cs"/>
          <w:spacing w:val="0"/>
          <w:kern w:val="0"/>
          <w:sz w:val="20"/>
          <w:rtl/>
          <w:lang w:val="en-CA"/>
        </w:rPr>
        <w:t>،</w:t>
      </w:r>
      <w:r w:rsidRPr="006B489A">
        <w:rPr>
          <w:spacing w:val="0"/>
          <w:kern w:val="0"/>
          <w:sz w:val="20"/>
          <w:rtl/>
          <w:lang w:val="en-CA"/>
        </w:rPr>
        <w:t xml:space="preserve"> خلصت المحكمة </w:t>
      </w:r>
      <w:r w:rsidRPr="006B489A">
        <w:rPr>
          <w:rFonts w:hint="cs"/>
          <w:spacing w:val="0"/>
          <w:kern w:val="0"/>
          <w:sz w:val="20"/>
          <w:rtl/>
          <w:lang w:val="en-CA"/>
        </w:rPr>
        <w:t xml:space="preserve">إلى </w:t>
      </w:r>
      <w:r w:rsidRPr="006B489A">
        <w:rPr>
          <w:spacing w:val="0"/>
          <w:kern w:val="0"/>
          <w:sz w:val="20"/>
          <w:rtl/>
          <w:lang w:val="en-CA"/>
        </w:rPr>
        <w:t xml:space="preserve">أن </w:t>
      </w:r>
      <w:r w:rsidRPr="006B489A">
        <w:rPr>
          <w:rFonts w:hint="cs"/>
          <w:spacing w:val="0"/>
          <w:kern w:val="0"/>
          <w:sz w:val="20"/>
          <w:rtl/>
          <w:lang w:val="en-CA"/>
        </w:rPr>
        <w:t xml:space="preserve">أصحاب </w:t>
      </w:r>
      <w:r w:rsidRPr="006B489A">
        <w:rPr>
          <w:spacing w:val="0"/>
          <w:kern w:val="0"/>
          <w:sz w:val="20"/>
          <w:rtl/>
          <w:lang w:val="en-CA"/>
        </w:rPr>
        <w:t>الشكوى لم يقدم</w:t>
      </w:r>
      <w:r w:rsidRPr="006B489A">
        <w:rPr>
          <w:rFonts w:hint="cs"/>
          <w:spacing w:val="0"/>
          <w:kern w:val="0"/>
          <w:sz w:val="20"/>
          <w:rtl/>
          <w:lang w:val="en-CA"/>
        </w:rPr>
        <w:t>و</w:t>
      </w:r>
      <w:r w:rsidRPr="006B489A">
        <w:rPr>
          <w:spacing w:val="0"/>
          <w:kern w:val="0"/>
          <w:sz w:val="20"/>
          <w:rtl/>
          <w:lang w:val="en-CA"/>
        </w:rPr>
        <w:t xml:space="preserve">ا ما يدعم وجود خطر </w:t>
      </w:r>
      <w:r w:rsidRPr="006B489A">
        <w:rPr>
          <w:rFonts w:hint="cs"/>
          <w:spacing w:val="0"/>
          <w:kern w:val="0"/>
          <w:sz w:val="20"/>
          <w:rtl/>
          <w:lang w:val="en-CA"/>
        </w:rPr>
        <w:t>التعرض ل</w:t>
      </w:r>
      <w:r w:rsidRPr="006B489A">
        <w:rPr>
          <w:spacing w:val="0"/>
          <w:kern w:val="0"/>
          <w:sz w:val="20"/>
          <w:rtl/>
          <w:lang w:val="en-CA"/>
        </w:rPr>
        <w:t>لتعذيب عند عودتهم.</w:t>
      </w:r>
    </w:p>
    <w:p w:rsidR="006B489A" w:rsidRPr="006B489A" w:rsidRDefault="006B489A" w:rsidP="00C03ECB">
      <w:pPr>
        <w:pStyle w:val="SingleTxtGA"/>
        <w:jc w:val="lowKashida"/>
        <w:rPr>
          <w:spacing w:val="0"/>
          <w:kern w:val="0"/>
          <w:sz w:val="20"/>
          <w:szCs w:val="20"/>
          <w:rtl/>
        </w:rPr>
      </w:pPr>
      <w:r w:rsidRPr="006B489A">
        <w:rPr>
          <w:spacing w:val="0"/>
          <w:kern w:val="0"/>
          <w:sz w:val="20"/>
          <w:rtl/>
          <w:lang w:val="en-CA"/>
        </w:rPr>
        <w:t>4-10</w:t>
      </w:r>
      <w:r w:rsidRPr="006B489A">
        <w:rPr>
          <w:spacing w:val="0"/>
          <w:kern w:val="0"/>
          <w:sz w:val="20"/>
          <w:rtl/>
          <w:lang w:val="en-CA"/>
        </w:rPr>
        <w:tab/>
        <w:t xml:space="preserve">وطعن </w:t>
      </w:r>
      <w:r w:rsidRPr="006B489A">
        <w:rPr>
          <w:rFonts w:hint="cs"/>
          <w:spacing w:val="0"/>
          <w:kern w:val="0"/>
          <w:sz w:val="20"/>
          <w:rtl/>
          <w:lang w:val="en-CA"/>
        </w:rPr>
        <w:t xml:space="preserve">أصحاب </w:t>
      </w:r>
      <w:r w:rsidRPr="006B489A">
        <w:rPr>
          <w:spacing w:val="0"/>
          <w:kern w:val="0"/>
          <w:sz w:val="20"/>
          <w:rtl/>
          <w:lang w:val="en-CA"/>
        </w:rPr>
        <w:t xml:space="preserve">الشكوى </w:t>
      </w:r>
      <w:r w:rsidRPr="006B489A">
        <w:rPr>
          <w:rFonts w:hint="cs"/>
          <w:spacing w:val="0"/>
          <w:kern w:val="0"/>
          <w:sz w:val="20"/>
          <w:rtl/>
          <w:lang w:val="en-CA"/>
        </w:rPr>
        <w:t xml:space="preserve">في </w:t>
      </w:r>
      <w:r w:rsidRPr="006B489A">
        <w:rPr>
          <w:spacing w:val="0"/>
          <w:kern w:val="0"/>
          <w:sz w:val="20"/>
          <w:rtl/>
          <w:lang w:val="en-CA"/>
        </w:rPr>
        <w:t>الحكم وأكد</w:t>
      </w:r>
      <w:r w:rsidRPr="006B489A">
        <w:rPr>
          <w:rFonts w:hint="cs"/>
          <w:spacing w:val="0"/>
          <w:kern w:val="0"/>
          <w:sz w:val="20"/>
          <w:rtl/>
          <w:lang w:val="en-CA"/>
        </w:rPr>
        <w:t>و</w:t>
      </w:r>
      <w:r w:rsidRPr="006B489A">
        <w:rPr>
          <w:spacing w:val="0"/>
          <w:kern w:val="0"/>
          <w:sz w:val="20"/>
          <w:rtl/>
          <w:lang w:val="en-CA"/>
        </w:rPr>
        <w:t xml:space="preserve">ا أن محكمة الهجرة أجرت تقييماً خاطئاً للأدلة المقدمة. وفي 21 كانون الأول/ديسمبر 2007، قررت محكمة الاستئناف </w:t>
      </w:r>
      <w:r w:rsidRPr="006B489A">
        <w:rPr>
          <w:rFonts w:hint="cs"/>
          <w:spacing w:val="0"/>
          <w:kern w:val="0"/>
          <w:sz w:val="20"/>
          <w:rtl/>
          <w:lang w:val="en-CA"/>
        </w:rPr>
        <w:t xml:space="preserve">الخاصة </w:t>
      </w:r>
      <w:r w:rsidRPr="006B489A">
        <w:rPr>
          <w:spacing w:val="0"/>
          <w:kern w:val="0"/>
          <w:sz w:val="20"/>
          <w:rtl/>
          <w:lang w:val="en-CA"/>
        </w:rPr>
        <w:t xml:space="preserve">بالهجرة عدم منح </w:t>
      </w:r>
      <w:r w:rsidRPr="006B489A">
        <w:rPr>
          <w:rFonts w:hint="cs"/>
          <w:spacing w:val="0"/>
          <w:kern w:val="0"/>
          <w:sz w:val="20"/>
          <w:rtl/>
          <w:lang w:val="en-CA"/>
        </w:rPr>
        <w:t>الإذن ب</w:t>
      </w:r>
      <w:r w:rsidRPr="006B489A">
        <w:rPr>
          <w:spacing w:val="0"/>
          <w:kern w:val="0"/>
          <w:sz w:val="20"/>
          <w:rtl/>
          <w:lang w:val="en-CA"/>
        </w:rPr>
        <w:t xml:space="preserve">الطعن. وقدم </w:t>
      </w:r>
      <w:r w:rsidRPr="006B489A">
        <w:rPr>
          <w:rFonts w:hint="cs"/>
          <w:spacing w:val="0"/>
          <w:kern w:val="0"/>
          <w:sz w:val="20"/>
          <w:rtl/>
          <w:lang w:val="en-CA"/>
        </w:rPr>
        <w:t xml:space="preserve">أصحاب </w:t>
      </w:r>
      <w:r w:rsidRPr="006B489A">
        <w:rPr>
          <w:spacing w:val="0"/>
          <w:kern w:val="0"/>
          <w:sz w:val="20"/>
          <w:rtl/>
          <w:lang w:val="en-CA"/>
        </w:rPr>
        <w:t xml:space="preserve">الشكوى عندئذ طلبات إلى مجلس الهجرة مدعين ظهور </w:t>
      </w:r>
      <w:r w:rsidRPr="006B489A">
        <w:rPr>
          <w:rFonts w:hint="cs"/>
          <w:spacing w:val="0"/>
          <w:kern w:val="0"/>
          <w:sz w:val="20"/>
          <w:rtl/>
          <w:lang w:val="en-CA"/>
        </w:rPr>
        <w:t>ظروف</w:t>
      </w:r>
      <w:r w:rsidRPr="006B489A">
        <w:rPr>
          <w:spacing w:val="0"/>
          <w:kern w:val="0"/>
          <w:sz w:val="20"/>
          <w:rtl/>
          <w:lang w:val="en-CA"/>
        </w:rPr>
        <w:t xml:space="preserve"> جديدة تمنحهم حق الحصول على </w:t>
      </w:r>
      <w:r w:rsidRPr="006B489A">
        <w:rPr>
          <w:rFonts w:hint="cs"/>
          <w:spacing w:val="0"/>
          <w:kern w:val="0"/>
          <w:sz w:val="20"/>
          <w:rtl/>
          <w:lang w:val="en-CA"/>
        </w:rPr>
        <w:t xml:space="preserve">تصريح </w:t>
      </w:r>
      <w:r w:rsidRPr="006B489A">
        <w:rPr>
          <w:spacing w:val="0"/>
          <w:kern w:val="0"/>
          <w:sz w:val="20"/>
          <w:rtl/>
          <w:lang w:val="en-CA"/>
        </w:rPr>
        <w:t>إقامة أو</w:t>
      </w:r>
      <w:r w:rsidRPr="006B489A">
        <w:rPr>
          <w:rFonts w:hint="cs"/>
          <w:spacing w:val="0"/>
          <w:kern w:val="0"/>
          <w:sz w:val="20"/>
          <w:rtl/>
          <w:lang w:val="en-CA"/>
        </w:rPr>
        <w:t>،</w:t>
      </w:r>
      <w:r w:rsidRPr="006B489A">
        <w:rPr>
          <w:spacing w:val="0"/>
          <w:kern w:val="0"/>
          <w:sz w:val="20"/>
          <w:rtl/>
          <w:lang w:val="en-CA"/>
        </w:rPr>
        <w:t xml:space="preserve"> </w:t>
      </w:r>
      <w:r w:rsidRPr="006B489A">
        <w:rPr>
          <w:rFonts w:hint="cs"/>
          <w:spacing w:val="0"/>
          <w:kern w:val="0"/>
          <w:sz w:val="20"/>
          <w:rtl/>
          <w:lang w:val="en-CA"/>
        </w:rPr>
        <w:t>احتياطياً،</w:t>
      </w:r>
      <w:r w:rsidRPr="006B489A">
        <w:rPr>
          <w:spacing w:val="0"/>
          <w:kern w:val="0"/>
          <w:sz w:val="20"/>
          <w:rtl/>
          <w:lang w:val="en-CA"/>
        </w:rPr>
        <w:t xml:space="preserve"> إعادة فحص قضيتهم.</w:t>
      </w:r>
      <w:r w:rsidRPr="006B489A">
        <w:rPr>
          <w:rFonts w:hint="cs"/>
          <w:spacing w:val="0"/>
          <w:kern w:val="0"/>
          <w:sz w:val="20"/>
          <w:rtl/>
          <w:lang w:val="en-CA"/>
        </w:rPr>
        <w:t xml:space="preserve"> </w:t>
      </w:r>
      <w:r w:rsidRPr="006B489A">
        <w:rPr>
          <w:rFonts w:hint="eastAsia"/>
          <w:spacing w:val="0"/>
          <w:kern w:val="0"/>
          <w:sz w:val="20"/>
          <w:rtl/>
          <w:lang w:val="en-CA"/>
        </w:rPr>
        <w:t>ور</w:t>
      </w:r>
      <w:r w:rsidRPr="006B489A">
        <w:rPr>
          <w:rFonts w:hint="cs"/>
          <w:spacing w:val="0"/>
          <w:kern w:val="0"/>
          <w:sz w:val="20"/>
          <w:rtl/>
          <w:lang w:val="en-CA"/>
        </w:rPr>
        <w:t>ُ</w:t>
      </w:r>
      <w:r w:rsidRPr="006B489A">
        <w:rPr>
          <w:rFonts w:hint="eastAsia"/>
          <w:spacing w:val="0"/>
          <w:kern w:val="0"/>
          <w:sz w:val="20"/>
          <w:rtl/>
          <w:lang w:val="en-CA"/>
        </w:rPr>
        <w:t>فضت</w:t>
      </w:r>
      <w:r w:rsidRPr="006B489A">
        <w:rPr>
          <w:spacing w:val="0"/>
          <w:kern w:val="0"/>
          <w:sz w:val="20"/>
          <w:rtl/>
          <w:lang w:val="en-CA"/>
        </w:rPr>
        <w:t xml:space="preserve"> هذه الطلبات لأن الظروف </w:t>
      </w:r>
      <w:r w:rsidRPr="006B489A">
        <w:rPr>
          <w:rFonts w:hint="cs"/>
          <w:spacing w:val="0"/>
          <w:kern w:val="0"/>
          <w:sz w:val="20"/>
          <w:rtl/>
          <w:lang w:val="en-CA"/>
        </w:rPr>
        <w:t>المحتج</w:t>
      </w:r>
      <w:r w:rsidRPr="006B489A">
        <w:rPr>
          <w:spacing w:val="0"/>
          <w:kern w:val="0"/>
          <w:sz w:val="20"/>
          <w:rtl/>
          <w:lang w:val="en-CA"/>
        </w:rPr>
        <w:t xml:space="preserve"> بها لا تمثل إلا تعديلات أو</w:t>
      </w:r>
      <w:r w:rsidR="00C03ECB">
        <w:rPr>
          <w:rFonts w:hint="cs"/>
          <w:spacing w:val="0"/>
          <w:kern w:val="0"/>
          <w:sz w:val="20"/>
          <w:rtl/>
          <w:lang w:val="en-CA"/>
        </w:rPr>
        <w:t> </w:t>
      </w:r>
      <w:r w:rsidRPr="006B489A">
        <w:rPr>
          <w:spacing w:val="0"/>
          <w:kern w:val="0"/>
          <w:sz w:val="20"/>
          <w:rtl/>
          <w:lang w:val="en-CA"/>
        </w:rPr>
        <w:t xml:space="preserve">تغييرات بسيطة على طلبات </w:t>
      </w:r>
      <w:r w:rsidRPr="006B489A">
        <w:rPr>
          <w:rFonts w:hint="cs"/>
          <w:spacing w:val="0"/>
          <w:kern w:val="0"/>
          <w:sz w:val="20"/>
          <w:rtl/>
          <w:lang w:val="en-CA"/>
        </w:rPr>
        <w:t xml:space="preserve">اللجوء </w:t>
      </w:r>
      <w:r w:rsidRPr="006B489A">
        <w:rPr>
          <w:spacing w:val="0"/>
          <w:kern w:val="0"/>
          <w:sz w:val="20"/>
          <w:rtl/>
          <w:lang w:val="en-CA"/>
        </w:rPr>
        <w:t xml:space="preserve">السابقة التي قدمها </w:t>
      </w:r>
      <w:r w:rsidRPr="006B489A">
        <w:rPr>
          <w:rFonts w:hint="cs"/>
          <w:spacing w:val="0"/>
          <w:kern w:val="0"/>
          <w:sz w:val="20"/>
          <w:rtl/>
          <w:lang w:val="en-CA"/>
        </w:rPr>
        <w:t xml:space="preserve">أصحاب </w:t>
      </w:r>
      <w:r w:rsidRPr="006B489A">
        <w:rPr>
          <w:spacing w:val="0"/>
          <w:kern w:val="0"/>
          <w:sz w:val="20"/>
          <w:rtl/>
          <w:lang w:val="en-CA"/>
        </w:rPr>
        <w:t>الشكوى. وأ</w:t>
      </w:r>
      <w:r w:rsidRPr="006B489A">
        <w:rPr>
          <w:rFonts w:hint="cs"/>
          <w:spacing w:val="0"/>
          <w:kern w:val="0"/>
          <w:sz w:val="20"/>
          <w:rtl/>
          <w:lang w:val="en-CA"/>
        </w:rPr>
        <w:t>ي</w:t>
      </w:r>
      <w:r w:rsidRPr="006B489A">
        <w:rPr>
          <w:spacing w:val="0"/>
          <w:kern w:val="0"/>
          <w:sz w:val="20"/>
          <w:rtl/>
          <w:lang w:val="en-CA"/>
        </w:rPr>
        <w:t>دت محكمة الهجرة قرار مجلس الهجرة.</w:t>
      </w:r>
    </w:p>
    <w:p w:rsidR="006B489A" w:rsidRPr="006B489A" w:rsidRDefault="006B489A" w:rsidP="00C03ECB">
      <w:pPr>
        <w:pStyle w:val="SingleTxtGA"/>
        <w:jc w:val="lowKashida"/>
        <w:rPr>
          <w:spacing w:val="0"/>
          <w:kern w:val="0"/>
          <w:sz w:val="20"/>
          <w:szCs w:val="20"/>
          <w:rtl/>
        </w:rPr>
      </w:pPr>
      <w:r w:rsidRPr="006B489A">
        <w:rPr>
          <w:spacing w:val="0"/>
          <w:kern w:val="0"/>
          <w:sz w:val="20"/>
          <w:rtl/>
          <w:lang w:val="en-CA"/>
        </w:rPr>
        <w:t>4-11</w:t>
      </w:r>
      <w:r w:rsidRPr="006B489A">
        <w:rPr>
          <w:spacing w:val="0"/>
          <w:kern w:val="0"/>
          <w:sz w:val="20"/>
          <w:rtl/>
          <w:lang w:val="en-CA"/>
        </w:rPr>
        <w:tab/>
        <w:t>وفيما يتعلق بمقبولية الشكوى، تدع</w:t>
      </w:r>
      <w:r w:rsidRPr="006B489A">
        <w:rPr>
          <w:rFonts w:hint="cs"/>
          <w:spacing w:val="0"/>
          <w:kern w:val="0"/>
          <w:sz w:val="20"/>
          <w:rtl/>
          <w:lang w:val="en-CA"/>
        </w:rPr>
        <w:t>ي</w:t>
      </w:r>
      <w:r w:rsidRPr="006B489A">
        <w:rPr>
          <w:spacing w:val="0"/>
          <w:kern w:val="0"/>
          <w:sz w:val="20"/>
          <w:rtl/>
          <w:lang w:val="en-CA"/>
        </w:rPr>
        <w:t xml:space="preserve"> الدولة الطرف أنها ليست على علم بأن هذه </w:t>
      </w:r>
      <w:r w:rsidRPr="006B489A">
        <w:rPr>
          <w:rFonts w:hint="cs"/>
          <w:spacing w:val="0"/>
          <w:kern w:val="0"/>
          <w:sz w:val="20"/>
          <w:rtl/>
          <w:lang w:val="en-CA"/>
        </w:rPr>
        <w:t>المسألة ذاتها بُحثت أو يجري بحثها في إطار أي إجراء آخر من إجراءات التحقيق الدولي أو</w:t>
      </w:r>
      <w:r w:rsidR="00C03ECB">
        <w:rPr>
          <w:rFonts w:hint="eastAsia"/>
          <w:spacing w:val="0"/>
          <w:kern w:val="0"/>
          <w:sz w:val="20"/>
          <w:rtl/>
          <w:lang w:val="en-CA"/>
        </w:rPr>
        <w:t> </w:t>
      </w:r>
      <w:r w:rsidRPr="006B489A">
        <w:rPr>
          <w:rFonts w:hint="cs"/>
          <w:spacing w:val="0"/>
          <w:kern w:val="0"/>
          <w:sz w:val="20"/>
          <w:rtl/>
          <w:lang w:val="en-CA"/>
        </w:rPr>
        <w:t>التسوية الدولية</w:t>
      </w:r>
      <w:r w:rsidRPr="006B489A">
        <w:rPr>
          <w:spacing w:val="0"/>
          <w:kern w:val="0"/>
          <w:sz w:val="20"/>
          <w:rtl/>
          <w:lang w:val="en-CA"/>
        </w:rPr>
        <w:t xml:space="preserve"> وتقر أيضاً باستنفا</w:t>
      </w:r>
      <w:r w:rsidRPr="006B489A">
        <w:rPr>
          <w:rFonts w:hint="cs"/>
          <w:spacing w:val="0"/>
          <w:kern w:val="0"/>
          <w:sz w:val="20"/>
          <w:rtl/>
          <w:lang w:val="en-CA"/>
        </w:rPr>
        <w:t>د</w:t>
      </w:r>
      <w:r w:rsidRPr="006B489A">
        <w:rPr>
          <w:spacing w:val="0"/>
          <w:kern w:val="0"/>
          <w:sz w:val="20"/>
          <w:rtl/>
          <w:lang w:val="en-CA"/>
        </w:rPr>
        <w:t xml:space="preserve"> جميع سبل الانتصاف المحلية. غير أن الدولة الطرف تؤكد أن ادعاء </w:t>
      </w:r>
      <w:r w:rsidRPr="006B489A">
        <w:rPr>
          <w:rFonts w:hint="cs"/>
          <w:spacing w:val="0"/>
          <w:kern w:val="0"/>
          <w:sz w:val="20"/>
          <w:rtl/>
          <w:lang w:val="en-CA"/>
        </w:rPr>
        <w:t xml:space="preserve">أصحاب </w:t>
      </w:r>
      <w:r w:rsidRPr="006B489A">
        <w:rPr>
          <w:spacing w:val="0"/>
          <w:kern w:val="0"/>
          <w:sz w:val="20"/>
          <w:rtl/>
          <w:lang w:val="en-CA"/>
        </w:rPr>
        <w:t xml:space="preserve">الشكوى أنهم </w:t>
      </w:r>
      <w:r w:rsidRPr="006B489A">
        <w:rPr>
          <w:rFonts w:hint="cs"/>
          <w:spacing w:val="0"/>
          <w:kern w:val="0"/>
          <w:sz w:val="20"/>
          <w:rtl/>
          <w:lang w:val="en-CA"/>
        </w:rPr>
        <w:t xml:space="preserve">يواجهون </w:t>
      </w:r>
      <w:r w:rsidRPr="006B489A">
        <w:rPr>
          <w:spacing w:val="0"/>
          <w:kern w:val="0"/>
          <w:sz w:val="20"/>
          <w:rtl/>
          <w:lang w:val="en-CA"/>
        </w:rPr>
        <w:t xml:space="preserve">خطر المعاملة </w:t>
      </w:r>
      <w:r w:rsidRPr="006B489A">
        <w:rPr>
          <w:rFonts w:hint="cs"/>
          <w:spacing w:val="0"/>
          <w:kern w:val="0"/>
          <w:sz w:val="20"/>
          <w:rtl/>
          <w:lang w:val="en-CA"/>
        </w:rPr>
        <w:t>بطريقة ت</w:t>
      </w:r>
      <w:r w:rsidRPr="006B489A">
        <w:rPr>
          <w:spacing w:val="0"/>
          <w:kern w:val="0"/>
          <w:sz w:val="20"/>
          <w:rtl/>
          <w:lang w:val="en-CA"/>
        </w:rPr>
        <w:t xml:space="preserve">تعارض مع الاتفاقية لا يرقى إلى مستوى </w:t>
      </w:r>
      <w:r w:rsidRPr="006B489A">
        <w:rPr>
          <w:rFonts w:hint="cs"/>
          <w:spacing w:val="0"/>
          <w:kern w:val="0"/>
          <w:sz w:val="20"/>
          <w:rtl/>
          <w:lang w:val="en-CA"/>
        </w:rPr>
        <w:t xml:space="preserve">الدعم </w:t>
      </w:r>
      <w:r w:rsidRPr="006B489A">
        <w:rPr>
          <w:spacing w:val="0"/>
          <w:kern w:val="0"/>
          <w:sz w:val="20"/>
          <w:rtl/>
          <w:lang w:val="en-CA"/>
        </w:rPr>
        <w:t xml:space="preserve">الأساسي </w:t>
      </w:r>
      <w:r w:rsidRPr="006B489A">
        <w:rPr>
          <w:rFonts w:hint="cs"/>
          <w:spacing w:val="0"/>
          <w:kern w:val="0"/>
          <w:sz w:val="20"/>
          <w:rtl/>
          <w:lang w:val="en-CA"/>
        </w:rPr>
        <w:t xml:space="preserve">بالأدلة </w:t>
      </w:r>
      <w:r w:rsidRPr="006B489A">
        <w:rPr>
          <w:spacing w:val="0"/>
          <w:kern w:val="0"/>
          <w:sz w:val="20"/>
          <w:rtl/>
          <w:lang w:val="en-CA"/>
        </w:rPr>
        <w:t>لأغراض المقبولية</w:t>
      </w:r>
      <w:r w:rsidRPr="006B489A">
        <w:rPr>
          <w:rFonts w:hint="cs"/>
          <w:spacing w:val="0"/>
          <w:kern w:val="0"/>
          <w:sz w:val="20"/>
          <w:rtl/>
          <w:lang w:val="en-CA"/>
        </w:rPr>
        <w:t>،</w:t>
      </w:r>
      <w:r w:rsidRPr="006B489A">
        <w:rPr>
          <w:spacing w:val="0"/>
          <w:kern w:val="0"/>
          <w:sz w:val="20"/>
          <w:rtl/>
          <w:lang w:val="en-CA"/>
        </w:rPr>
        <w:t xml:space="preserve"> ولذلك فهو غير مقبول بموجب الفقرة 2 من المادة 22 من الاتفاقية</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47"/>
      </w:r>
      <w:r w:rsidRPr="006B489A">
        <w:rPr>
          <w:rFonts w:hint="cs"/>
          <w:spacing w:val="0"/>
          <w:kern w:val="0"/>
          <w:sz w:val="20"/>
          <w:szCs w:val="28"/>
          <w:vertAlign w:val="superscript"/>
          <w:rtl/>
          <w:lang w:val="en-CA"/>
        </w:rPr>
        <w:t>)</w:t>
      </w:r>
      <w:r w:rsidRPr="006B489A">
        <w:rPr>
          <w:rFonts w:hint="cs"/>
          <w:spacing w:val="0"/>
          <w:kern w:val="0"/>
          <w:sz w:val="20"/>
          <w:rtl/>
          <w:lang w:val="en-CA"/>
        </w:rPr>
        <w:t>.</w:t>
      </w:r>
    </w:p>
    <w:p w:rsidR="006B489A" w:rsidRPr="006B489A" w:rsidRDefault="006B489A" w:rsidP="00B35B26">
      <w:pPr>
        <w:pStyle w:val="SingleTxtGA"/>
        <w:jc w:val="lowKashida"/>
        <w:rPr>
          <w:spacing w:val="0"/>
          <w:kern w:val="0"/>
          <w:sz w:val="20"/>
          <w:szCs w:val="20"/>
          <w:rtl/>
        </w:rPr>
      </w:pPr>
      <w:r w:rsidRPr="006B489A">
        <w:rPr>
          <w:spacing w:val="0"/>
          <w:kern w:val="0"/>
          <w:sz w:val="20"/>
          <w:rtl/>
          <w:lang w:val="en-CA"/>
        </w:rPr>
        <w:t>4-12</w:t>
      </w:r>
      <w:r w:rsidRPr="006B489A">
        <w:rPr>
          <w:spacing w:val="0"/>
          <w:kern w:val="0"/>
          <w:sz w:val="20"/>
          <w:rtl/>
          <w:lang w:val="en-CA"/>
        </w:rPr>
        <w:tab/>
        <w:t xml:space="preserve">وإذا ما رأت اللجنة أن الشكوى مقبولة، فإن المسألة المعروضة أمامها هي ما إذا كانت الإعادة القسرية </w:t>
      </w:r>
      <w:r w:rsidRPr="006B489A">
        <w:rPr>
          <w:rFonts w:hint="cs"/>
          <w:spacing w:val="0"/>
          <w:kern w:val="0"/>
          <w:sz w:val="20"/>
          <w:rtl/>
          <w:lang w:val="en-CA"/>
        </w:rPr>
        <w:t xml:space="preserve">لأصحاب </w:t>
      </w:r>
      <w:r w:rsidRPr="006B489A">
        <w:rPr>
          <w:spacing w:val="0"/>
          <w:kern w:val="0"/>
          <w:sz w:val="20"/>
          <w:rtl/>
          <w:lang w:val="en-CA"/>
        </w:rPr>
        <w:t xml:space="preserve">الشكوى إلى أذربيجان </w:t>
      </w:r>
      <w:r w:rsidRPr="006B489A">
        <w:rPr>
          <w:rFonts w:hint="cs"/>
          <w:spacing w:val="0"/>
          <w:kern w:val="0"/>
          <w:sz w:val="20"/>
          <w:rtl/>
          <w:lang w:val="en-CA"/>
        </w:rPr>
        <w:t>ت</w:t>
      </w:r>
      <w:r w:rsidRPr="006B489A">
        <w:rPr>
          <w:spacing w:val="0"/>
          <w:kern w:val="0"/>
          <w:sz w:val="20"/>
          <w:rtl/>
          <w:lang w:val="en-CA"/>
        </w:rPr>
        <w:t>نتهك التزام السويد بموجب المادة</w:t>
      </w:r>
      <w:r w:rsidR="00B35B26">
        <w:rPr>
          <w:rFonts w:hint="cs"/>
          <w:spacing w:val="0"/>
          <w:kern w:val="0"/>
          <w:sz w:val="20"/>
          <w:rtl/>
          <w:lang w:val="en-CA"/>
        </w:rPr>
        <w:t> </w:t>
      </w:r>
      <w:r w:rsidRPr="006B489A">
        <w:rPr>
          <w:spacing w:val="0"/>
          <w:kern w:val="0"/>
          <w:sz w:val="20"/>
          <w:rtl/>
          <w:lang w:val="en-CA"/>
        </w:rPr>
        <w:t xml:space="preserve">3 من الاتفاقية </w:t>
      </w:r>
      <w:r w:rsidRPr="006B489A">
        <w:rPr>
          <w:rFonts w:hint="cs"/>
          <w:spacing w:val="0"/>
          <w:kern w:val="0"/>
          <w:sz w:val="20"/>
          <w:rtl/>
          <w:lang w:val="en-CA"/>
        </w:rPr>
        <w:t xml:space="preserve">التي تقضي </w:t>
      </w:r>
      <w:r w:rsidRPr="006B489A">
        <w:rPr>
          <w:spacing w:val="0"/>
          <w:kern w:val="0"/>
          <w:sz w:val="20"/>
          <w:rtl/>
          <w:lang w:val="en-CA"/>
        </w:rPr>
        <w:t>بعدم طرد أي شخص أو إعادته إلى دولة أخرى إذا كان</w:t>
      </w:r>
      <w:r w:rsidRPr="006B489A">
        <w:rPr>
          <w:rFonts w:hint="cs"/>
          <w:spacing w:val="0"/>
          <w:kern w:val="0"/>
          <w:sz w:val="20"/>
          <w:rtl/>
          <w:lang w:val="en-CA"/>
        </w:rPr>
        <w:t>ت هناك</w:t>
      </w:r>
      <w:r w:rsidR="00C03ECB">
        <w:rPr>
          <w:rFonts w:hint="eastAsia"/>
          <w:spacing w:val="0"/>
          <w:kern w:val="0"/>
          <w:sz w:val="20"/>
          <w:rtl/>
          <w:lang w:val="en-CA"/>
        </w:rPr>
        <w:t> </w:t>
      </w:r>
      <w:r w:rsidRPr="006B489A">
        <w:rPr>
          <w:rFonts w:hint="cs"/>
          <w:spacing w:val="0"/>
          <w:kern w:val="0"/>
          <w:sz w:val="20"/>
          <w:rtl/>
          <w:lang w:val="en-CA"/>
        </w:rPr>
        <w:t>أسباب حقيقية تدعو إلى الاعتقاد بأنه سيتعرض لخطر</w:t>
      </w:r>
      <w:r w:rsidRPr="006B489A">
        <w:rPr>
          <w:spacing w:val="0"/>
          <w:kern w:val="0"/>
          <w:sz w:val="20"/>
          <w:rtl/>
          <w:lang w:val="en-CA"/>
        </w:rPr>
        <w:t xml:space="preserve"> </w:t>
      </w:r>
      <w:r w:rsidRPr="006B489A">
        <w:rPr>
          <w:rFonts w:hint="cs"/>
          <w:spacing w:val="0"/>
          <w:kern w:val="0"/>
          <w:sz w:val="20"/>
          <w:rtl/>
          <w:lang w:val="en-CA"/>
        </w:rPr>
        <w:t>ا</w:t>
      </w:r>
      <w:r w:rsidRPr="006B489A">
        <w:rPr>
          <w:spacing w:val="0"/>
          <w:kern w:val="0"/>
          <w:sz w:val="20"/>
          <w:rtl/>
          <w:lang w:val="en-CA"/>
        </w:rPr>
        <w:t>لتعذيب. وتشير الد</w:t>
      </w:r>
      <w:r w:rsidRPr="006B489A">
        <w:rPr>
          <w:rFonts w:hint="eastAsia"/>
          <w:spacing w:val="0"/>
          <w:kern w:val="0"/>
          <w:sz w:val="20"/>
          <w:rtl/>
          <w:lang w:val="en-CA"/>
        </w:rPr>
        <w:t>ولة</w:t>
      </w:r>
      <w:r w:rsidRPr="006B489A">
        <w:rPr>
          <w:spacing w:val="0"/>
          <w:kern w:val="0"/>
          <w:sz w:val="20"/>
          <w:rtl/>
          <w:lang w:val="en-CA"/>
        </w:rPr>
        <w:t xml:space="preserve"> الطرف إلى أنه عند تحديد ما إذا كان</w:t>
      </w:r>
      <w:r w:rsidRPr="006B489A">
        <w:rPr>
          <w:rFonts w:hint="cs"/>
          <w:spacing w:val="0"/>
          <w:kern w:val="0"/>
          <w:sz w:val="20"/>
          <w:rtl/>
          <w:lang w:val="en-CA"/>
        </w:rPr>
        <w:t>ت</w:t>
      </w:r>
      <w:r w:rsidRPr="006B489A">
        <w:rPr>
          <w:spacing w:val="0"/>
          <w:kern w:val="0"/>
          <w:sz w:val="20"/>
          <w:rtl/>
          <w:lang w:val="en-CA"/>
        </w:rPr>
        <w:t xml:space="preserve"> الإعادة القسرية لشخص ما إلى بلد آخر </w:t>
      </w:r>
      <w:r w:rsidRPr="006B489A">
        <w:rPr>
          <w:rFonts w:hint="cs"/>
          <w:spacing w:val="0"/>
          <w:kern w:val="0"/>
          <w:sz w:val="20"/>
          <w:rtl/>
          <w:lang w:val="en-CA"/>
        </w:rPr>
        <w:t>تشكل</w:t>
      </w:r>
      <w:r w:rsidRPr="006B489A">
        <w:rPr>
          <w:spacing w:val="0"/>
          <w:kern w:val="0"/>
          <w:sz w:val="20"/>
          <w:rtl/>
          <w:lang w:val="en-CA"/>
        </w:rPr>
        <w:t xml:space="preserve"> انتهاكاً للفقرة 3 من الاتفاقية، على اللجنة أن تأخذ في الحسبان جميع الاعتبارات ذات الصلة</w:t>
      </w:r>
      <w:r w:rsidRPr="006B489A">
        <w:rPr>
          <w:rFonts w:hint="cs"/>
          <w:spacing w:val="0"/>
          <w:kern w:val="0"/>
          <w:sz w:val="20"/>
          <w:rtl/>
          <w:lang w:val="en-CA"/>
        </w:rPr>
        <w:t>،</w:t>
      </w:r>
      <w:r w:rsidRPr="006B489A">
        <w:rPr>
          <w:spacing w:val="0"/>
          <w:kern w:val="0"/>
          <w:sz w:val="20"/>
          <w:rtl/>
          <w:lang w:val="en-CA"/>
        </w:rPr>
        <w:t xml:space="preserve"> بما في ذلك وجود </w:t>
      </w:r>
      <w:r w:rsidRPr="006B489A">
        <w:rPr>
          <w:rFonts w:hint="cs"/>
          <w:spacing w:val="0"/>
          <w:kern w:val="0"/>
          <w:sz w:val="20"/>
          <w:rtl/>
          <w:lang w:val="en-CA"/>
        </w:rPr>
        <w:t>نمط ثابت من الانتهاكات</w:t>
      </w:r>
      <w:r w:rsidRPr="006B489A">
        <w:rPr>
          <w:spacing w:val="0"/>
          <w:kern w:val="0"/>
          <w:sz w:val="20"/>
          <w:rtl/>
          <w:lang w:val="en-CA"/>
        </w:rPr>
        <w:t xml:space="preserve"> </w:t>
      </w:r>
      <w:r w:rsidRPr="006B489A">
        <w:rPr>
          <w:rFonts w:hint="cs"/>
          <w:spacing w:val="0"/>
          <w:kern w:val="0"/>
          <w:sz w:val="20"/>
          <w:rtl/>
          <w:lang w:val="en-CA"/>
        </w:rPr>
        <w:t xml:space="preserve">الفادحة </w:t>
      </w:r>
      <w:r w:rsidRPr="006B489A">
        <w:rPr>
          <w:spacing w:val="0"/>
          <w:kern w:val="0"/>
          <w:sz w:val="20"/>
          <w:rtl/>
          <w:lang w:val="en-CA"/>
        </w:rPr>
        <w:t xml:space="preserve">أو </w:t>
      </w:r>
      <w:r w:rsidRPr="006B489A">
        <w:rPr>
          <w:rFonts w:hint="cs"/>
          <w:spacing w:val="0"/>
          <w:kern w:val="0"/>
          <w:sz w:val="20"/>
          <w:rtl/>
          <w:lang w:val="en-CA"/>
        </w:rPr>
        <w:t>الصارخة</w:t>
      </w:r>
      <w:r w:rsidRPr="006B489A">
        <w:rPr>
          <w:spacing w:val="0"/>
          <w:kern w:val="0"/>
          <w:sz w:val="20"/>
          <w:rtl/>
          <w:lang w:val="en-CA"/>
        </w:rPr>
        <w:t xml:space="preserve"> أو الجماعية لحقوق الإنسان في هذا الب</w:t>
      </w:r>
      <w:r w:rsidRPr="006B489A">
        <w:rPr>
          <w:rFonts w:hint="eastAsia"/>
          <w:spacing w:val="0"/>
          <w:kern w:val="0"/>
          <w:sz w:val="20"/>
          <w:rtl/>
          <w:lang w:val="en-CA"/>
        </w:rPr>
        <w:t>لد</w:t>
      </w:r>
      <w:r w:rsidRPr="006B489A">
        <w:rPr>
          <w:spacing w:val="0"/>
          <w:kern w:val="0"/>
          <w:sz w:val="20"/>
          <w:rtl/>
          <w:lang w:val="en-CA"/>
        </w:rPr>
        <w:t xml:space="preserve">. غير أنه حسبما شددت اللجنة </w:t>
      </w:r>
      <w:r w:rsidRPr="006B489A">
        <w:rPr>
          <w:rFonts w:hint="cs"/>
          <w:spacing w:val="0"/>
          <w:kern w:val="0"/>
          <w:sz w:val="20"/>
          <w:rtl/>
          <w:lang w:val="en-CA"/>
        </w:rPr>
        <w:t>م</w:t>
      </w:r>
      <w:r w:rsidRPr="006B489A">
        <w:rPr>
          <w:spacing w:val="0"/>
          <w:kern w:val="0"/>
          <w:sz w:val="20"/>
          <w:rtl/>
          <w:lang w:val="en-CA"/>
        </w:rPr>
        <w:t>راراً</w:t>
      </w:r>
      <w:r w:rsidRPr="006B489A">
        <w:rPr>
          <w:rFonts w:hint="cs"/>
          <w:spacing w:val="0"/>
          <w:kern w:val="0"/>
          <w:sz w:val="20"/>
          <w:rtl/>
          <w:lang w:val="en-CA"/>
        </w:rPr>
        <w:t>،</w:t>
      </w:r>
      <w:r w:rsidRPr="006B489A">
        <w:rPr>
          <w:spacing w:val="0"/>
          <w:kern w:val="0"/>
          <w:sz w:val="20"/>
          <w:rtl/>
          <w:lang w:val="en-CA"/>
        </w:rPr>
        <w:t xml:space="preserve"> فإن الهدف من </w:t>
      </w:r>
      <w:r w:rsidRPr="006B489A">
        <w:rPr>
          <w:rFonts w:hint="cs"/>
          <w:spacing w:val="0"/>
          <w:kern w:val="0"/>
          <w:sz w:val="20"/>
          <w:rtl/>
          <w:lang w:val="en-CA"/>
        </w:rPr>
        <w:t>عملية ال</w:t>
      </w:r>
      <w:r w:rsidRPr="006B489A">
        <w:rPr>
          <w:spacing w:val="0"/>
          <w:kern w:val="0"/>
          <w:sz w:val="20"/>
          <w:rtl/>
          <w:lang w:val="en-CA"/>
        </w:rPr>
        <w:t>تحديد هو التأكد مما إذا كان الشخص المعني سيكون شخصيا</w:t>
      </w:r>
      <w:r w:rsidRPr="006B489A">
        <w:rPr>
          <w:rFonts w:hint="cs"/>
          <w:spacing w:val="0"/>
          <w:kern w:val="0"/>
          <w:sz w:val="20"/>
          <w:rtl/>
          <w:lang w:val="en-CA"/>
        </w:rPr>
        <w:t>ً</w:t>
      </w:r>
      <w:r w:rsidRPr="006B489A">
        <w:rPr>
          <w:spacing w:val="0"/>
          <w:kern w:val="0"/>
          <w:sz w:val="20"/>
          <w:rtl/>
          <w:lang w:val="en-CA"/>
        </w:rPr>
        <w:t xml:space="preserve"> عرضة لخطر التعذيب في البلد الذي س</w:t>
      </w:r>
      <w:r w:rsidRPr="006B489A">
        <w:rPr>
          <w:rFonts w:hint="cs"/>
          <w:spacing w:val="0"/>
          <w:kern w:val="0"/>
          <w:sz w:val="20"/>
          <w:rtl/>
          <w:lang w:val="en-CA"/>
        </w:rPr>
        <w:t>ت</w:t>
      </w:r>
      <w:r w:rsidRPr="006B489A">
        <w:rPr>
          <w:spacing w:val="0"/>
          <w:kern w:val="0"/>
          <w:sz w:val="20"/>
          <w:rtl/>
          <w:lang w:val="en-CA"/>
        </w:rPr>
        <w:t xml:space="preserve">تم إعادته إليه. </w:t>
      </w:r>
      <w:r w:rsidRPr="006B489A">
        <w:rPr>
          <w:rFonts w:hint="cs"/>
          <w:spacing w:val="0"/>
          <w:kern w:val="0"/>
          <w:sz w:val="20"/>
          <w:rtl/>
          <w:lang w:val="en-CA"/>
        </w:rPr>
        <w:t>ويعني ذلك أن</w:t>
      </w:r>
      <w:r w:rsidRPr="006B489A">
        <w:rPr>
          <w:spacing w:val="0"/>
          <w:kern w:val="0"/>
          <w:sz w:val="20"/>
          <w:rtl/>
          <w:lang w:val="en-CA"/>
        </w:rPr>
        <w:t xml:space="preserve"> وجود نمط ثابت من الانتهاكات </w:t>
      </w:r>
      <w:r w:rsidRPr="006B489A">
        <w:rPr>
          <w:rFonts w:hint="cs"/>
          <w:spacing w:val="0"/>
          <w:kern w:val="0"/>
          <w:sz w:val="20"/>
          <w:rtl/>
          <w:lang w:val="en-CA"/>
        </w:rPr>
        <w:t xml:space="preserve">الفادحة </w:t>
      </w:r>
      <w:r w:rsidRPr="006B489A">
        <w:rPr>
          <w:spacing w:val="0"/>
          <w:kern w:val="0"/>
          <w:sz w:val="20"/>
          <w:rtl/>
          <w:lang w:val="en-CA"/>
        </w:rPr>
        <w:t xml:space="preserve">أو </w:t>
      </w:r>
      <w:r w:rsidRPr="006B489A">
        <w:rPr>
          <w:rFonts w:hint="cs"/>
          <w:spacing w:val="0"/>
          <w:kern w:val="0"/>
          <w:sz w:val="20"/>
          <w:rtl/>
          <w:lang w:val="en-CA"/>
        </w:rPr>
        <w:t>الصارخة</w:t>
      </w:r>
      <w:r w:rsidRPr="006B489A">
        <w:rPr>
          <w:spacing w:val="0"/>
          <w:kern w:val="0"/>
          <w:sz w:val="20"/>
          <w:rtl/>
          <w:lang w:val="en-CA"/>
        </w:rPr>
        <w:t xml:space="preserve"> أو الجماعية لحقوق الإنسان في بلد ما لا يمثل في حد ذاته أساساً كافياً لتحديد أن شخصاً معيناً سيكون </w:t>
      </w:r>
      <w:r w:rsidRPr="006B489A">
        <w:rPr>
          <w:rFonts w:hint="cs"/>
          <w:spacing w:val="0"/>
          <w:kern w:val="0"/>
          <w:sz w:val="20"/>
          <w:rtl/>
          <w:lang w:val="en-CA"/>
        </w:rPr>
        <w:t xml:space="preserve">معرضاً </w:t>
      </w:r>
      <w:r w:rsidRPr="006B489A">
        <w:rPr>
          <w:spacing w:val="0"/>
          <w:kern w:val="0"/>
          <w:sz w:val="20"/>
          <w:rtl/>
          <w:lang w:val="en-CA"/>
        </w:rPr>
        <w:t xml:space="preserve">لخطر التعذيب </w:t>
      </w:r>
      <w:r w:rsidRPr="006B489A">
        <w:rPr>
          <w:rFonts w:hint="cs"/>
          <w:spacing w:val="0"/>
          <w:kern w:val="0"/>
          <w:sz w:val="20"/>
          <w:rtl/>
          <w:lang w:val="en-CA"/>
        </w:rPr>
        <w:t xml:space="preserve">بعد </w:t>
      </w:r>
      <w:r w:rsidRPr="006B489A">
        <w:rPr>
          <w:spacing w:val="0"/>
          <w:kern w:val="0"/>
          <w:sz w:val="20"/>
          <w:rtl/>
          <w:lang w:val="en-CA"/>
        </w:rPr>
        <w:t xml:space="preserve">عودته إلى هذا البلد. ومن أجل </w:t>
      </w:r>
      <w:r w:rsidRPr="006B489A">
        <w:rPr>
          <w:rFonts w:hint="cs"/>
          <w:spacing w:val="0"/>
          <w:kern w:val="0"/>
          <w:sz w:val="20"/>
          <w:rtl/>
          <w:lang w:val="en-CA"/>
        </w:rPr>
        <w:t>إثبات</w:t>
      </w:r>
      <w:r w:rsidRPr="006B489A">
        <w:rPr>
          <w:spacing w:val="0"/>
          <w:kern w:val="0"/>
          <w:sz w:val="20"/>
          <w:rtl/>
          <w:lang w:val="en-CA"/>
        </w:rPr>
        <w:t xml:space="preserve"> وقوع انتهاك للمادة 3، يجب توافر </w:t>
      </w:r>
      <w:r w:rsidRPr="006B489A">
        <w:rPr>
          <w:rFonts w:hint="cs"/>
          <w:spacing w:val="0"/>
          <w:kern w:val="0"/>
          <w:sz w:val="20"/>
          <w:rtl/>
          <w:lang w:val="en-CA"/>
        </w:rPr>
        <w:t>أسباب</w:t>
      </w:r>
      <w:r w:rsidRPr="006B489A">
        <w:rPr>
          <w:spacing w:val="0"/>
          <w:kern w:val="0"/>
          <w:sz w:val="20"/>
          <w:rtl/>
          <w:lang w:val="en-CA"/>
        </w:rPr>
        <w:t xml:space="preserve"> إضافية تبين أن الشخص المعني </w:t>
      </w:r>
      <w:r w:rsidRPr="006B489A">
        <w:rPr>
          <w:rFonts w:hint="cs"/>
          <w:spacing w:val="0"/>
          <w:kern w:val="0"/>
          <w:sz w:val="20"/>
          <w:rtl/>
          <w:lang w:val="en-CA"/>
        </w:rPr>
        <w:t xml:space="preserve">سيتعرض </w:t>
      </w:r>
      <w:r w:rsidRPr="006B489A">
        <w:rPr>
          <w:spacing w:val="0"/>
          <w:kern w:val="0"/>
          <w:sz w:val="20"/>
          <w:rtl/>
          <w:lang w:val="en-CA"/>
        </w:rPr>
        <w:t xml:space="preserve">شخصياً </w:t>
      </w:r>
      <w:r w:rsidRPr="006B489A">
        <w:rPr>
          <w:rFonts w:hint="cs"/>
          <w:spacing w:val="0"/>
          <w:kern w:val="0"/>
          <w:sz w:val="20"/>
          <w:rtl/>
          <w:lang w:val="en-CA"/>
        </w:rPr>
        <w:t>لل</w:t>
      </w:r>
      <w:r w:rsidRPr="006B489A">
        <w:rPr>
          <w:spacing w:val="0"/>
          <w:kern w:val="0"/>
          <w:sz w:val="20"/>
          <w:rtl/>
          <w:lang w:val="en-CA"/>
        </w:rPr>
        <w:t>خطر</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48"/>
      </w:r>
      <w:r w:rsidRPr="006B489A">
        <w:rPr>
          <w:rFonts w:hint="cs"/>
          <w:spacing w:val="0"/>
          <w:kern w:val="0"/>
          <w:sz w:val="20"/>
          <w:szCs w:val="28"/>
          <w:vertAlign w:val="superscript"/>
          <w:rtl/>
          <w:lang w:val="en-CA"/>
        </w:rPr>
        <w:t>)</w:t>
      </w:r>
      <w:r w:rsidRPr="006B489A">
        <w:rPr>
          <w:rFonts w:hint="cs"/>
          <w:spacing w:val="0"/>
          <w:kern w:val="0"/>
          <w:sz w:val="20"/>
          <w:rtl/>
          <w:lang w:val="en-CA"/>
        </w:rPr>
        <w:t>.</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4-13</w:t>
      </w:r>
      <w:r w:rsidRPr="006B489A">
        <w:rPr>
          <w:spacing w:val="0"/>
          <w:kern w:val="0"/>
          <w:sz w:val="20"/>
          <w:rtl/>
          <w:lang w:val="en-CA"/>
        </w:rPr>
        <w:tab/>
        <w:t xml:space="preserve">وفيما يتعلق بحالة حقوق الإنسان في أذربيجان، تدعي الدولة الطرف أن التعذيب </w:t>
      </w:r>
      <w:r w:rsidRPr="006B489A">
        <w:rPr>
          <w:rFonts w:hint="cs"/>
          <w:spacing w:val="0"/>
          <w:kern w:val="0"/>
          <w:sz w:val="20"/>
          <w:rtl/>
          <w:lang w:val="en-CA"/>
        </w:rPr>
        <w:t>و</w:t>
      </w:r>
      <w:r w:rsidRPr="006B489A">
        <w:rPr>
          <w:spacing w:val="0"/>
          <w:kern w:val="0"/>
          <w:sz w:val="20"/>
          <w:rtl/>
          <w:lang w:val="en-CA"/>
        </w:rPr>
        <w:t xml:space="preserve">الضرب الذي يفضي إلى الموت ووحشية الشرطة والتوقيف التعسفي </w:t>
      </w:r>
      <w:r w:rsidRPr="006B489A">
        <w:rPr>
          <w:rFonts w:hint="cs"/>
          <w:spacing w:val="0"/>
          <w:kern w:val="0"/>
          <w:sz w:val="20"/>
          <w:rtl/>
          <w:lang w:val="en-CA"/>
        </w:rPr>
        <w:t xml:space="preserve">كلها حالات </w:t>
      </w:r>
      <w:r w:rsidRPr="006B489A">
        <w:rPr>
          <w:spacing w:val="0"/>
          <w:kern w:val="0"/>
          <w:sz w:val="20"/>
          <w:rtl/>
          <w:lang w:val="en-CA"/>
        </w:rPr>
        <w:t>شائعة. وللسكان الأرم</w:t>
      </w:r>
      <w:r w:rsidRPr="006B489A">
        <w:rPr>
          <w:rFonts w:hint="cs"/>
          <w:spacing w:val="0"/>
          <w:kern w:val="0"/>
          <w:sz w:val="20"/>
          <w:rtl/>
          <w:lang w:val="en-CA"/>
        </w:rPr>
        <w:t>ن</w:t>
      </w:r>
      <w:r w:rsidRPr="006B489A">
        <w:rPr>
          <w:spacing w:val="0"/>
          <w:kern w:val="0"/>
          <w:sz w:val="20"/>
          <w:rtl/>
          <w:lang w:val="en-CA"/>
        </w:rPr>
        <w:t xml:space="preserve"> في أذربيجان سمعة سيئة </w:t>
      </w:r>
      <w:r w:rsidRPr="006B489A">
        <w:rPr>
          <w:rFonts w:hint="cs"/>
          <w:spacing w:val="0"/>
          <w:kern w:val="0"/>
          <w:sz w:val="20"/>
          <w:rtl/>
          <w:lang w:val="en-CA"/>
        </w:rPr>
        <w:t xml:space="preserve">بين </w:t>
      </w:r>
      <w:r w:rsidRPr="006B489A">
        <w:rPr>
          <w:spacing w:val="0"/>
          <w:kern w:val="0"/>
          <w:sz w:val="20"/>
          <w:rtl/>
          <w:lang w:val="en-CA"/>
        </w:rPr>
        <w:t xml:space="preserve">عامة الجمهور. وعلى الرغم من أن التحرش قد يحدث، فلا يمكن </w:t>
      </w:r>
      <w:r w:rsidRPr="006B489A">
        <w:rPr>
          <w:rFonts w:hint="cs"/>
          <w:spacing w:val="0"/>
          <w:kern w:val="0"/>
          <w:sz w:val="20"/>
          <w:rtl/>
          <w:lang w:val="en-CA"/>
        </w:rPr>
        <w:t>اعتبار</w:t>
      </w:r>
      <w:r w:rsidRPr="006B489A">
        <w:rPr>
          <w:spacing w:val="0"/>
          <w:kern w:val="0"/>
          <w:sz w:val="20"/>
          <w:rtl/>
          <w:lang w:val="en-CA"/>
        </w:rPr>
        <w:t xml:space="preserve"> الأرم</w:t>
      </w:r>
      <w:r w:rsidRPr="006B489A">
        <w:rPr>
          <w:rFonts w:hint="cs"/>
          <w:spacing w:val="0"/>
          <w:kern w:val="0"/>
          <w:sz w:val="20"/>
          <w:rtl/>
          <w:lang w:val="en-CA"/>
        </w:rPr>
        <w:t>ن</w:t>
      </w:r>
      <w:r w:rsidRPr="006B489A">
        <w:rPr>
          <w:spacing w:val="0"/>
          <w:kern w:val="0"/>
          <w:sz w:val="20"/>
          <w:rtl/>
          <w:lang w:val="en-CA"/>
        </w:rPr>
        <w:t xml:space="preserve"> كفئة مستهدفة </w:t>
      </w:r>
      <w:r w:rsidRPr="006B489A">
        <w:rPr>
          <w:rFonts w:hint="cs"/>
          <w:spacing w:val="0"/>
          <w:kern w:val="0"/>
          <w:sz w:val="20"/>
          <w:rtl/>
          <w:lang w:val="en-CA"/>
        </w:rPr>
        <w:t xml:space="preserve">لتمييز يحدث بمعرفة </w:t>
      </w:r>
      <w:r w:rsidRPr="006B489A">
        <w:rPr>
          <w:spacing w:val="0"/>
          <w:kern w:val="0"/>
          <w:sz w:val="20"/>
          <w:rtl/>
          <w:lang w:val="en-CA"/>
        </w:rPr>
        <w:t>الدولة</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49"/>
      </w:r>
      <w:r w:rsidRPr="006B489A">
        <w:rPr>
          <w:rFonts w:hint="cs"/>
          <w:spacing w:val="0"/>
          <w:kern w:val="0"/>
          <w:sz w:val="20"/>
          <w:szCs w:val="28"/>
          <w:vertAlign w:val="superscript"/>
          <w:rtl/>
          <w:lang w:val="en-CA"/>
        </w:rPr>
        <w:t>)</w:t>
      </w:r>
      <w:r w:rsidRPr="006B489A">
        <w:rPr>
          <w:rFonts w:hint="cs"/>
          <w:spacing w:val="0"/>
          <w:kern w:val="0"/>
          <w:sz w:val="20"/>
          <w:rtl/>
          <w:lang w:val="en-CA"/>
        </w:rPr>
        <w:t xml:space="preserve">. </w:t>
      </w:r>
      <w:r w:rsidRPr="006B489A">
        <w:rPr>
          <w:rFonts w:hint="eastAsia"/>
          <w:spacing w:val="0"/>
          <w:kern w:val="0"/>
          <w:sz w:val="20"/>
          <w:rtl/>
          <w:lang w:val="en-CA"/>
        </w:rPr>
        <w:t>و</w:t>
      </w:r>
      <w:r w:rsidRPr="006B489A">
        <w:rPr>
          <w:rFonts w:hint="cs"/>
          <w:spacing w:val="0"/>
          <w:kern w:val="0"/>
          <w:sz w:val="20"/>
          <w:rtl/>
          <w:lang w:val="en-CA"/>
        </w:rPr>
        <w:t xml:space="preserve">قد </w:t>
      </w:r>
      <w:r w:rsidRPr="006B489A">
        <w:rPr>
          <w:rFonts w:hint="eastAsia"/>
          <w:spacing w:val="0"/>
          <w:kern w:val="0"/>
          <w:sz w:val="20"/>
          <w:rtl/>
          <w:lang w:val="en-CA"/>
        </w:rPr>
        <w:t>كان</w:t>
      </w:r>
      <w:r w:rsidRPr="006B489A">
        <w:rPr>
          <w:spacing w:val="0"/>
          <w:kern w:val="0"/>
          <w:sz w:val="20"/>
          <w:rtl/>
          <w:lang w:val="en-CA"/>
        </w:rPr>
        <w:t xml:space="preserve"> التمييز ضد الأشخاص </w:t>
      </w:r>
      <w:r w:rsidRPr="006B489A">
        <w:rPr>
          <w:rFonts w:hint="cs"/>
          <w:spacing w:val="0"/>
          <w:kern w:val="0"/>
          <w:sz w:val="20"/>
          <w:rtl/>
          <w:lang w:val="en-CA"/>
        </w:rPr>
        <w:t xml:space="preserve">من </w:t>
      </w:r>
      <w:r w:rsidRPr="006B489A">
        <w:rPr>
          <w:spacing w:val="0"/>
          <w:kern w:val="0"/>
          <w:sz w:val="20"/>
          <w:rtl/>
          <w:lang w:val="en-CA"/>
        </w:rPr>
        <w:t>أصول إثنية أرمنية مشكلة في عام 2006 وكان المواطنون ال</w:t>
      </w:r>
      <w:r w:rsidRPr="006B489A">
        <w:rPr>
          <w:rFonts w:hint="cs"/>
          <w:spacing w:val="0"/>
          <w:kern w:val="0"/>
          <w:sz w:val="20"/>
          <w:rtl/>
          <w:lang w:val="en-CA"/>
        </w:rPr>
        <w:t>أ</w:t>
      </w:r>
      <w:r w:rsidRPr="006B489A">
        <w:rPr>
          <w:spacing w:val="0"/>
          <w:kern w:val="0"/>
          <w:sz w:val="20"/>
          <w:rtl/>
          <w:lang w:val="en-CA"/>
        </w:rPr>
        <w:t>ذربيجان</w:t>
      </w:r>
      <w:r w:rsidRPr="006B489A">
        <w:rPr>
          <w:rFonts w:hint="cs"/>
          <w:spacing w:val="0"/>
          <w:kern w:val="0"/>
          <w:sz w:val="20"/>
          <w:rtl/>
          <w:lang w:val="en-CA"/>
        </w:rPr>
        <w:t>يون</w:t>
      </w:r>
      <w:r w:rsidRPr="006B489A">
        <w:rPr>
          <w:spacing w:val="0"/>
          <w:kern w:val="0"/>
          <w:sz w:val="20"/>
          <w:rtl/>
          <w:lang w:val="en-CA"/>
        </w:rPr>
        <w:t xml:space="preserve"> </w:t>
      </w:r>
      <w:r w:rsidRPr="006B489A">
        <w:rPr>
          <w:rFonts w:hint="cs"/>
          <w:spacing w:val="0"/>
          <w:kern w:val="0"/>
          <w:sz w:val="20"/>
          <w:rtl/>
          <w:lang w:val="en-CA"/>
        </w:rPr>
        <w:t>من</w:t>
      </w:r>
      <w:r w:rsidRPr="006B489A">
        <w:rPr>
          <w:spacing w:val="0"/>
          <w:kern w:val="0"/>
          <w:sz w:val="20"/>
          <w:rtl/>
          <w:lang w:val="en-CA"/>
        </w:rPr>
        <w:t xml:space="preserve"> أصول إثنية </w:t>
      </w:r>
      <w:r w:rsidRPr="006B489A">
        <w:rPr>
          <w:rFonts w:hint="cs"/>
          <w:spacing w:val="0"/>
          <w:kern w:val="0"/>
          <w:sz w:val="20"/>
          <w:rtl/>
          <w:lang w:val="en-CA"/>
        </w:rPr>
        <w:t xml:space="preserve">أرمنية </w:t>
      </w:r>
      <w:r w:rsidRPr="006B489A">
        <w:rPr>
          <w:spacing w:val="0"/>
          <w:kern w:val="0"/>
          <w:sz w:val="20"/>
          <w:rtl/>
          <w:lang w:val="en-CA"/>
        </w:rPr>
        <w:t xml:space="preserve">يخفون أصلهم الإثني عن طريق تغيير هويتهم الإثنية </w:t>
      </w:r>
      <w:r w:rsidRPr="006B489A">
        <w:rPr>
          <w:rFonts w:hint="cs"/>
          <w:spacing w:val="0"/>
          <w:kern w:val="0"/>
          <w:sz w:val="20"/>
          <w:rtl/>
          <w:lang w:val="en-CA"/>
        </w:rPr>
        <w:t xml:space="preserve">بصورة قانونية في </w:t>
      </w:r>
      <w:r w:rsidRPr="006B489A">
        <w:rPr>
          <w:spacing w:val="0"/>
          <w:kern w:val="0"/>
          <w:sz w:val="20"/>
          <w:rtl/>
          <w:lang w:val="en-CA"/>
        </w:rPr>
        <w:t>جوازات سفرهم</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0"/>
      </w:r>
      <w:r w:rsidRPr="006B489A">
        <w:rPr>
          <w:rFonts w:hint="cs"/>
          <w:spacing w:val="0"/>
          <w:kern w:val="0"/>
          <w:sz w:val="20"/>
          <w:szCs w:val="28"/>
          <w:vertAlign w:val="superscript"/>
          <w:rtl/>
          <w:lang w:val="en-CA"/>
        </w:rPr>
        <w:t>)</w:t>
      </w:r>
      <w:r w:rsidRPr="006B489A">
        <w:rPr>
          <w:rFonts w:hint="cs"/>
          <w:spacing w:val="0"/>
          <w:kern w:val="0"/>
          <w:sz w:val="20"/>
          <w:rtl/>
          <w:lang w:val="en-CA"/>
        </w:rPr>
        <w:t xml:space="preserve">. </w:t>
      </w:r>
      <w:r w:rsidRPr="006B489A">
        <w:rPr>
          <w:rFonts w:hint="eastAsia"/>
          <w:spacing w:val="0"/>
          <w:kern w:val="0"/>
          <w:sz w:val="20"/>
          <w:rtl/>
          <w:lang w:val="en-CA"/>
        </w:rPr>
        <w:t>كما</w:t>
      </w:r>
      <w:r w:rsidRPr="006B489A">
        <w:rPr>
          <w:spacing w:val="0"/>
          <w:kern w:val="0"/>
          <w:sz w:val="20"/>
          <w:rtl/>
          <w:lang w:val="en-CA"/>
        </w:rPr>
        <w:t xml:space="preserve"> كانت هناك شكاوى محددة فيما يتعلق بطريقة معاملة </w:t>
      </w:r>
      <w:r w:rsidRPr="006B489A">
        <w:rPr>
          <w:rFonts w:hint="cs"/>
          <w:spacing w:val="0"/>
          <w:kern w:val="0"/>
          <w:sz w:val="20"/>
          <w:rtl/>
          <w:lang w:val="en-CA"/>
        </w:rPr>
        <w:t>جهات</w:t>
      </w:r>
      <w:r w:rsidRPr="006B489A">
        <w:rPr>
          <w:spacing w:val="0"/>
          <w:kern w:val="0"/>
          <w:sz w:val="20"/>
          <w:rtl/>
          <w:lang w:val="en-CA"/>
        </w:rPr>
        <w:t xml:space="preserve"> إنفاذ القانون للأرم</w:t>
      </w:r>
      <w:r w:rsidRPr="006B489A">
        <w:rPr>
          <w:rFonts w:hint="cs"/>
          <w:spacing w:val="0"/>
          <w:kern w:val="0"/>
          <w:sz w:val="20"/>
          <w:rtl/>
          <w:lang w:val="en-CA"/>
        </w:rPr>
        <w:t>ن</w:t>
      </w:r>
      <w:r w:rsidRPr="006B489A">
        <w:rPr>
          <w:spacing w:val="0"/>
          <w:kern w:val="0"/>
          <w:sz w:val="20"/>
          <w:rtl/>
          <w:lang w:val="en-CA"/>
        </w:rPr>
        <w:t xml:space="preserve">. وأشير إلى أمثلة على التحرش </w:t>
      </w:r>
      <w:r w:rsidRPr="006B489A">
        <w:rPr>
          <w:rFonts w:hint="cs"/>
          <w:spacing w:val="0"/>
          <w:kern w:val="0"/>
          <w:sz w:val="20"/>
          <w:rtl/>
          <w:lang w:val="en-CA"/>
        </w:rPr>
        <w:t>والابتزاز</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1"/>
      </w:r>
      <w:r w:rsidRPr="006B489A">
        <w:rPr>
          <w:rFonts w:hint="cs"/>
          <w:spacing w:val="0"/>
          <w:kern w:val="0"/>
          <w:sz w:val="20"/>
          <w:szCs w:val="28"/>
          <w:vertAlign w:val="superscript"/>
          <w:rtl/>
          <w:lang w:val="en-CA"/>
        </w:rPr>
        <w:t>)</w:t>
      </w:r>
      <w:r w:rsidRPr="006B489A">
        <w:rPr>
          <w:rFonts w:hint="cs"/>
          <w:spacing w:val="0"/>
          <w:kern w:val="0"/>
          <w:sz w:val="20"/>
          <w:rtl/>
          <w:lang w:val="en-CA"/>
        </w:rPr>
        <w:t xml:space="preserve">. </w:t>
      </w:r>
      <w:r w:rsidRPr="006B489A">
        <w:rPr>
          <w:rFonts w:hint="eastAsia"/>
          <w:spacing w:val="0"/>
          <w:kern w:val="0"/>
          <w:sz w:val="20"/>
          <w:rtl/>
          <w:lang w:val="en-CA"/>
        </w:rPr>
        <w:t>ووفقاً</w:t>
      </w:r>
      <w:r w:rsidRPr="006B489A">
        <w:rPr>
          <w:spacing w:val="0"/>
          <w:kern w:val="0"/>
          <w:sz w:val="20"/>
          <w:rtl/>
          <w:lang w:val="en-CA"/>
        </w:rPr>
        <w:t xml:space="preserve"> لتقرير وزارة خارجية الولايات المتحدة، لم تكن هناك على الرغم من ذلك أي حالات تمييز ضد الأرم</w:t>
      </w:r>
      <w:r w:rsidRPr="006B489A">
        <w:rPr>
          <w:rFonts w:hint="cs"/>
          <w:spacing w:val="0"/>
          <w:kern w:val="0"/>
          <w:sz w:val="20"/>
          <w:rtl/>
          <w:lang w:val="en-CA"/>
        </w:rPr>
        <w:t>ن</w:t>
      </w:r>
      <w:r w:rsidRPr="006B489A">
        <w:rPr>
          <w:spacing w:val="0"/>
          <w:kern w:val="0"/>
          <w:sz w:val="20"/>
          <w:rtl/>
          <w:lang w:val="en-CA"/>
        </w:rPr>
        <w:t xml:space="preserve"> في عام 2008.</w:t>
      </w:r>
      <w:r w:rsidRPr="006B489A">
        <w:rPr>
          <w:rFonts w:hint="cs"/>
          <w:spacing w:val="0"/>
          <w:kern w:val="0"/>
          <w:sz w:val="20"/>
          <w:rtl/>
          <w:lang w:val="en-CA"/>
        </w:rPr>
        <w:t xml:space="preserve"> </w:t>
      </w:r>
      <w:r w:rsidRPr="006B489A">
        <w:rPr>
          <w:rFonts w:hint="eastAsia"/>
          <w:spacing w:val="0"/>
          <w:kern w:val="0"/>
          <w:sz w:val="20"/>
          <w:rtl/>
          <w:lang w:val="en-CA"/>
        </w:rPr>
        <w:t>وبالإضافة</w:t>
      </w:r>
      <w:r w:rsidRPr="006B489A">
        <w:rPr>
          <w:spacing w:val="0"/>
          <w:kern w:val="0"/>
          <w:sz w:val="20"/>
          <w:rtl/>
          <w:lang w:val="en-CA"/>
        </w:rPr>
        <w:t xml:space="preserve"> إلى ذلك، وفقاً لمسح أجراه </w:t>
      </w:r>
      <w:r w:rsidRPr="006B489A">
        <w:rPr>
          <w:rFonts w:hint="cs"/>
          <w:spacing w:val="0"/>
          <w:kern w:val="0"/>
          <w:sz w:val="20"/>
          <w:rtl/>
          <w:lang w:val="en-CA"/>
        </w:rPr>
        <w:t xml:space="preserve">في عام 2003 </w:t>
      </w:r>
      <w:r w:rsidRPr="006B489A">
        <w:rPr>
          <w:spacing w:val="0"/>
          <w:kern w:val="0"/>
          <w:sz w:val="20"/>
          <w:rtl/>
          <w:lang w:val="en-CA"/>
        </w:rPr>
        <w:t xml:space="preserve">الشريك المنفذ لمفوضية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w:t>
      </w:r>
      <w:r w:rsidRPr="006B489A">
        <w:rPr>
          <w:rFonts w:hint="cs"/>
          <w:spacing w:val="0"/>
          <w:kern w:val="0"/>
          <w:sz w:val="20"/>
          <w:rtl/>
          <w:lang w:val="en-CA"/>
        </w:rPr>
        <w:t xml:space="preserve">فإنه </w:t>
      </w:r>
      <w:r w:rsidRPr="006B489A">
        <w:rPr>
          <w:spacing w:val="0"/>
          <w:kern w:val="0"/>
          <w:sz w:val="20"/>
          <w:rtl/>
          <w:lang w:val="en-CA"/>
        </w:rPr>
        <w:t xml:space="preserve">في حين أن التمييز ضد الأشخاص </w:t>
      </w:r>
      <w:r w:rsidRPr="006B489A">
        <w:rPr>
          <w:rFonts w:hint="cs"/>
          <w:spacing w:val="0"/>
          <w:kern w:val="0"/>
          <w:sz w:val="20"/>
          <w:rtl/>
          <w:lang w:val="en-CA"/>
        </w:rPr>
        <w:t xml:space="preserve">من </w:t>
      </w:r>
      <w:r w:rsidRPr="006B489A">
        <w:rPr>
          <w:spacing w:val="0"/>
          <w:kern w:val="0"/>
          <w:sz w:val="20"/>
          <w:rtl/>
          <w:lang w:val="en-CA"/>
        </w:rPr>
        <w:t>أص</w:t>
      </w:r>
      <w:r w:rsidRPr="006B489A">
        <w:rPr>
          <w:rFonts w:hint="cs"/>
          <w:spacing w:val="0"/>
          <w:kern w:val="0"/>
          <w:sz w:val="20"/>
          <w:rtl/>
          <w:lang w:val="en-CA"/>
        </w:rPr>
        <w:t>و</w:t>
      </w:r>
      <w:r w:rsidRPr="006B489A">
        <w:rPr>
          <w:spacing w:val="0"/>
          <w:kern w:val="0"/>
          <w:sz w:val="20"/>
          <w:rtl/>
          <w:lang w:val="en-CA"/>
        </w:rPr>
        <w:t>ل إثني</w:t>
      </w:r>
      <w:r w:rsidRPr="006B489A">
        <w:rPr>
          <w:rFonts w:hint="cs"/>
          <w:spacing w:val="0"/>
          <w:kern w:val="0"/>
          <w:sz w:val="20"/>
          <w:rtl/>
          <w:lang w:val="en-CA"/>
        </w:rPr>
        <w:t>ة</w:t>
      </w:r>
      <w:r w:rsidRPr="006B489A">
        <w:rPr>
          <w:spacing w:val="0"/>
          <w:kern w:val="0"/>
          <w:sz w:val="20"/>
          <w:rtl/>
          <w:lang w:val="en-CA"/>
        </w:rPr>
        <w:t xml:space="preserve"> أرمني</w:t>
      </w:r>
      <w:r w:rsidRPr="006B489A">
        <w:rPr>
          <w:rFonts w:hint="cs"/>
          <w:spacing w:val="0"/>
          <w:kern w:val="0"/>
          <w:sz w:val="20"/>
          <w:rtl/>
          <w:lang w:val="en-CA"/>
        </w:rPr>
        <w:t>ة</w:t>
      </w:r>
      <w:r w:rsidRPr="006B489A">
        <w:rPr>
          <w:spacing w:val="0"/>
          <w:kern w:val="0"/>
          <w:sz w:val="20"/>
          <w:rtl/>
          <w:lang w:val="en-CA"/>
        </w:rPr>
        <w:t xml:space="preserve"> ليس سياسة رسمية </w:t>
      </w:r>
      <w:r w:rsidRPr="006B489A">
        <w:rPr>
          <w:rFonts w:hint="cs"/>
          <w:spacing w:val="0"/>
          <w:kern w:val="0"/>
          <w:sz w:val="20"/>
          <w:rtl/>
          <w:lang w:val="en-CA"/>
        </w:rPr>
        <w:t xml:space="preserve">معلنة </w:t>
      </w:r>
      <w:r w:rsidRPr="006B489A">
        <w:rPr>
          <w:spacing w:val="0"/>
          <w:kern w:val="0"/>
          <w:sz w:val="20"/>
          <w:rtl/>
          <w:lang w:val="en-CA"/>
        </w:rPr>
        <w:t>في أذربيجان، من الواضح أن هناك بعض التمييز ضدهم في الحياة اليومية، وتتسامح السلطات بشأنه؛ و</w:t>
      </w:r>
      <w:r w:rsidRPr="006B489A">
        <w:rPr>
          <w:rFonts w:hint="cs"/>
          <w:spacing w:val="0"/>
          <w:kern w:val="0"/>
          <w:sz w:val="20"/>
          <w:rtl/>
          <w:lang w:val="en-CA"/>
        </w:rPr>
        <w:t xml:space="preserve">لا يرقى </w:t>
      </w:r>
      <w:r w:rsidRPr="006B489A">
        <w:rPr>
          <w:spacing w:val="0"/>
          <w:kern w:val="0"/>
          <w:sz w:val="20"/>
          <w:rtl/>
          <w:lang w:val="en-CA"/>
        </w:rPr>
        <w:t>هذا التم</w:t>
      </w:r>
      <w:r w:rsidRPr="006B489A">
        <w:rPr>
          <w:rFonts w:hint="eastAsia"/>
          <w:spacing w:val="0"/>
          <w:kern w:val="0"/>
          <w:sz w:val="20"/>
          <w:rtl/>
          <w:lang w:val="en-CA"/>
        </w:rPr>
        <w:t>ييز</w:t>
      </w:r>
      <w:r w:rsidRPr="006B489A">
        <w:rPr>
          <w:spacing w:val="0"/>
          <w:kern w:val="0"/>
          <w:sz w:val="20"/>
          <w:rtl/>
          <w:lang w:val="en-CA"/>
        </w:rPr>
        <w:t xml:space="preserve"> إلى درجة الاضطهاد </w:t>
      </w:r>
      <w:r w:rsidRPr="006B489A">
        <w:rPr>
          <w:rFonts w:hint="cs"/>
          <w:spacing w:val="0"/>
          <w:kern w:val="0"/>
          <w:sz w:val="20"/>
          <w:rtl/>
          <w:lang w:val="en-CA"/>
        </w:rPr>
        <w:t>في حد ذاته</w:t>
      </w:r>
      <w:r w:rsidRPr="006B489A">
        <w:rPr>
          <w:spacing w:val="0"/>
          <w:kern w:val="0"/>
          <w:sz w:val="20"/>
          <w:rtl/>
          <w:lang w:val="en-CA"/>
        </w:rPr>
        <w:t xml:space="preserve">، ولكن يمكن أن </w:t>
      </w:r>
      <w:r w:rsidRPr="006B489A">
        <w:rPr>
          <w:rFonts w:hint="cs"/>
          <w:spacing w:val="0"/>
          <w:kern w:val="0"/>
          <w:sz w:val="20"/>
          <w:rtl/>
          <w:lang w:val="en-CA"/>
        </w:rPr>
        <w:t>يشكل</w:t>
      </w:r>
      <w:r w:rsidRPr="006B489A">
        <w:rPr>
          <w:spacing w:val="0"/>
          <w:kern w:val="0"/>
          <w:sz w:val="20"/>
          <w:rtl/>
          <w:lang w:val="en-CA"/>
        </w:rPr>
        <w:t xml:space="preserve"> الأثر التراكمي في حالات فردية تمييزاً</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2"/>
      </w:r>
      <w:r w:rsidRPr="006B489A">
        <w:rPr>
          <w:rFonts w:hint="cs"/>
          <w:spacing w:val="0"/>
          <w:kern w:val="0"/>
          <w:sz w:val="20"/>
          <w:szCs w:val="28"/>
          <w:vertAlign w:val="superscript"/>
          <w:rtl/>
          <w:lang w:val="en-CA"/>
        </w:rPr>
        <w:t>)</w:t>
      </w:r>
      <w:r w:rsidRPr="006B489A">
        <w:rPr>
          <w:rFonts w:hint="cs"/>
          <w:spacing w:val="0"/>
          <w:kern w:val="0"/>
          <w:sz w:val="20"/>
          <w:rtl/>
          <w:lang w:val="en-CA"/>
        </w:rPr>
        <w:t xml:space="preserve">. </w:t>
      </w:r>
      <w:r w:rsidRPr="006B489A">
        <w:rPr>
          <w:rFonts w:hint="eastAsia"/>
          <w:spacing w:val="0"/>
          <w:kern w:val="0"/>
          <w:sz w:val="20"/>
          <w:rtl/>
          <w:lang w:val="en-CA"/>
        </w:rPr>
        <w:t>وبالإضافة</w:t>
      </w:r>
      <w:r w:rsidRPr="006B489A">
        <w:rPr>
          <w:spacing w:val="0"/>
          <w:kern w:val="0"/>
          <w:sz w:val="20"/>
          <w:rtl/>
          <w:lang w:val="en-CA"/>
        </w:rPr>
        <w:t xml:space="preserve"> إلى ذلك، تدع</w:t>
      </w:r>
      <w:r w:rsidRPr="006B489A">
        <w:rPr>
          <w:rFonts w:hint="cs"/>
          <w:spacing w:val="0"/>
          <w:kern w:val="0"/>
          <w:sz w:val="20"/>
          <w:rtl/>
          <w:lang w:val="en-CA"/>
        </w:rPr>
        <w:t>ي</w:t>
      </w:r>
      <w:r w:rsidRPr="006B489A">
        <w:rPr>
          <w:spacing w:val="0"/>
          <w:kern w:val="0"/>
          <w:sz w:val="20"/>
          <w:rtl/>
          <w:lang w:val="en-CA"/>
        </w:rPr>
        <w:t xml:space="preserve"> الدولة الطرف أن عدم الإبلاغ عن حالات تمييز خلال عام 2008 يشير إلى تحسن الوضع.</w:t>
      </w:r>
    </w:p>
    <w:p w:rsidR="006B489A" w:rsidRPr="00C03ECB" w:rsidRDefault="006B489A" w:rsidP="00C03ECB">
      <w:pPr>
        <w:pStyle w:val="SingleTxtGA"/>
        <w:jc w:val="lowKashida"/>
        <w:rPr>
          <w:spacing w:val="-2"/>
          <w:kern w:val="0"/>
          <w:sz w:val="20"/>
          <w:szCs w:val="20"/>
          <w:rtl/>
        </w:rPr>
      </w:pPr>
      <w:r w:rsidRPr="006B489A">
        <w:rPr>
          <w:spacing w:val="0"/>
          <w:kern w:val="0"/>
          <w:sz w:val="20"/>
          <w:rtl/>
          <w:lang w:val="en-CA"/>
        </w:rPr>
        <w:t>4-14</w:t>
      </w:r>
      <w:r w:rsidRPr="006B489A">
        <w:rPr>
          <w:spacing w:val="0"/>
          <w:kern w:val="0"/>
          <w:sz w:val="20"/>
          <w:rtl/>
          <w:lang w:val="en-CA"/>
        </w:rPr>
        <w:tab/>
        <w:t xml:space="preserve">وتدعي الدولة الطرف كذلك أن الظروف المشار إليها في التقارير </w:t>
      </w:r>
      <w:r w:rsidRPr="006B489A">
        <w:rPr>
          <w:rFonts w:hint="cs"/>
          <w:spacing w:val="0"/>
          <w:kern w:val="0"/>
          <w:sz w:val="20"/>
          <w:rtl/>
          <w:lang w:val="en-CA"/>
        </w:rPr>
        <w:t>المذكورة</w:t>
      </w:r>
      <w:r w:rsidRPr="006B489A">
        <w:rPr>
          <w:spacing w:val="0"/>
          <w:kern w:val="0"/>
          <w:sz w:val="20"/>
          <w:rtl/>
          <w:lang w:val="en-CA"/>
        </w:rPr>
        <w:t xml:space="preserve"> أعلاه لا</w:t>
      </w:r>
      <w:r w:rsidR="00C03ECB">
        <w:rPr>
          <w:rFonts w:hint="cs"/>
          <w:spacing w:val="0"/>
          <w:kern w:val="0"/>
          <w:sz w:val="20"/>
          <w:rtl/>
          <w:lang w:val="en-CA"/>
        </w:rPr>
        <w:t> </w:t>
      </w:r>
      <w:r w:rsidRPr="006B489A">
        <w:rPr>
          <w:spacing w:val="0"/>
          <w:kern w:val="0"/>
          <w:sz w:val="20"/>
          <w:rtl/>
          <w:lang w:val="en-CA"/>
        </w:rPr>
        <w:t xml:space="preserve">تكفي في حد ذاتها لتأكيد أن الإعادة القسرية </w:t>
      </w:r>
      <w:r w:rsidRPr="006B489A">
        <w:rPr>
          <w:rFonts w:hint="cs"/>
          <w:spacing w:val="0"/>
          <w:kern w:val="0"/>
          <w:sz w:val="20"/>
          <w:rtl/>
          <w:lang w:val="en-CA"/>
        </w:rPr>
        <w:t>لأصحاب</w:t>
      </w:r>
      <w:r w:rsidRPr="006B489A">
        <w:rPr>
          <w:spacing w:val="0"/>
          <w:kern w:val="0"/>
          <w:sz w:val="20"/>
          <w:rtl/>
          <w:lang w:val="en-CA"/>
        </w:rPr>
        <w:t xml:space="preserve"> الشكوى إلى أذربيجان سيترتب عليه انتهاك </w:t>
      </w:r>
      <w:r w:rsidRPr="006B489A">
        <w:rPr>
          <w:rFonts w:hint="cs"/>
          <w:spacing w:val="0"/>
          <w:kern w:val="0"/>
          <w:sz w:val="20"/>
          <w:rtl/>
          <w:lang w:val="en-CA"/>
        </w:rPr>
        <w:t>ل</w:t>
      </w:r>
      <w:r w:rsidRPr="006B489A">
        <w:rPr>
          <w:spacing w:val="0"/>
          <w:kern w:val="0"/>
          <w:sz w:val="20"/>
          <w:rtl/>
          <w:lang w:val="en-CA"/>
        </w:rPr>
        <w:t xml:space="preserve">لمادة 3 من الاتفاقية. ولا ينتهك الترحيل القسري المادة 3 إلا إذا </w:t>
      </w:r>
      <w:r w:rsidRPr="006B489A">
        <w:rPr>
          <w:rFonts w:hint="cs"/>
          <w:spacing w:val="0"/>
          <w:kern w:val="0"/>
          <w:sz w:val="20"/>
          <w:rtl/>
          <w:lang w:val="en-CA"/>
        </w:rPr>
        <w:t xml:space="preserve">أثبت أصحاب </w:t>
      </w:r>
      <w:r w:rsidRPr="006B489A">
        <w:rPr>
          <w:spacing w:val="0"/>
          <w:kern w:val="0"/>
          <w:sz w:val="20"/>
          <w:rtl/>
          <w:lang w:val="en-CA"/>
        </w:rPr>
        <w:t xml:space="preserve">الشكوى أنهم </w:t>
      </w:r>
      <w:r w:rsidRPr="006B489A">
        <w:rPr>
          <w:rFonts w:hint="cs"/>
          <w:spacing w:val="0"/>
          <w:kern w:val="0"/>
          <w:sz w:val="20"/>
          <w:rtl/>
          <w:lang w:val="en-CA"/>
        </w:rPr>
        <w:t>سيكونون</w:t>
      </w:r>
      <w:r w:rsidRPr="006B489A">
        <w:rPr>
          <w:spacing w:val="0"/>
          <w:kern w:val="0"/>
          <w:sz w:val="20"/>
          <w:rtl/>
          <w:lang w:val="en-CA"/>
        </w:rPr>
        <w:t xml:space="preserve"> </w:t>
      </w:r>
      <w:r w:rsidRPr="006B489A">
        <w:rPr>
          <w:rFonts w:hint="cs"/>
          <w:spacing w:val="0"/>
          <w:kern w:val="0"/>
          <w:sz w:val="20"/>
          <w:rtl/>
          <w:lang w:val="en-CA"/>
        </w:rPr>
        <w:t xml:space="preserve">عرضة </w:t>
      </w:r>
      <w:r w:rsidRPr="006B489A">
        <w:rPr>
          <w:spacing w:val="0"/>
          <w:kern w:val="0"/>
          <w:sz w:val="20"/>
          <w:rtl/>
          <w:lang w:val="en-CA"/>
        </w:rPr>
        <w:t xml:space="preserve">لخطر </w:t>
      </w:r>
      <w:r w:rsidRPr="006B489A">
        <w:rPr>
          <w:rFonts w:hint="cs"/>
          <w:spacing w:val="0"/>
          <w:kern w:val="0"/>
          <w:sz w:val="20"/>
          <w:rtl/>
          <w:lang w:val="en-CA"/>
        </w:rPr>
        <w:t>ا</w:t>
      </w:r>
      <w:r w:rsidRPr="006B489A">
        <w:rPr>
          <w:spacing w:val="0"/>
          <w:kern w:val="0"/>
          <w:sz w:val="20"/>
          <w:rtl/>
          <w:lang w:val="en-CA"/>
        </w:rPr>
        <w:t>لتعذيب. ووفقاً للسوابق القضائية للجنة ولأغراض المادة 3، فإن الشخص المعني يجب أن يواجه خطراً متوقعاً وحقيقياً وشخصياً ب</w:t>
      </w:r>
      <w:r w:rsidRPr="006B489A">
        <w:rPr>
          <w:rFonts w:hint="cs"/>
          <w:spacing w:val="0"/>
          <w:kern w:val="0"/>
          <w:sz w:val="20"/>
          <w:rtl/>
          <w:lang w:val="en-CA"/>
        </w:rPr>
        <w:t>التعرض ل</w:t>
      </w:r>
      <w:r w:rsidRPr="006B489A">
        <w:rPr>
          <w:spacing w:val="0"/>
          <w:kern w:val="0"/>
          <w:sz w:val="20"/>
          <w:rtl/>
          <w:lang w:val="en-CA"/>
        </w:rPr>
        <w:t>لتعذيب في البلد الذي سيعاد إليه</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3"/>
      </w:r>
      <w:r w:rsidRPr="006B489A">
        <w:rPr>
          <w:rFonts w:hint="cs"/>
          <w:spacing w:val="0"/>
          <w:kern w:val="0"/>
          <w:sz w:val="20"/>
          <w:szCs w:val="28"/>
          <w:vertAlign w:val="superscript"/>
          <w:rtl/>
          <w:lang w:val="en-CA"/>
        </w:rPr>
        <w:t>)</w:t>
      </w:r>
      <w:r w:rsidRPr="006B489A">
        <w:rPr>
          <w:rFonts w:hint="cs"/>
          <w:spacing w:val="0"/>
          <w:kern w:val="0"/>
          <w:sz w:val="20"/>
          <w:rtl/>
          <w:lang w:val="en-CA"/>
        </w:rPr>
        <w:t xml:space="preserve">. </w:t>
      </w:r>
      <w:r w:rsidRPr="006B489A">
        <w:rPr>
          <w:rFonts w:hint="eastAsia"/>
          <w:spacing w:val="0"/>
          <w:kern w:val="0"/>
          <w:sz w:val="20"/>
          <w:rtl/>
          <w:lang w:val="en-CA"/>
        </w:rPr>
        <w:t>وتشير</w:t>
      </w:r>
      <w:r w:rsidRPr="006B489A">
        <w:rPr>
          <w:spacing w:val="0"/>
          <w:kern w:val="0"/>
          <w:sz w:val="20"/>
          <w:rtl/>
          <w:lang w:val="en-CA"/>
        </w:rPr>
        <w:t xml:space="preserve"> الدولة الطرف إلى التعليق العام رقم 1 للجنة بشأن تنفيذ المادة 3 من الاتفاقية والذي ينص على أنه يتعين على صاحب الشكوى أن يقدم قضية </w:t>
      </w:r>
      <w:r w:rsidRPr="006B489A">
        <w:rPr>
          <w:rFonts w:hint="cs"/>
          <w:spacing w:val="0"/>
          <w:kern w:val="0"/>
          <w:sz w:val="20"/>
          <w:rtl/>
          <w:lang w:val="en-CA"/>
        </w:rPr>
        <w:t>ذات حجية</w:t>
      </w:r>
      <w:r w:rsidRPr="006B489A">
        <w:rPr>
          <w:spacing w:val="0"/>
          <w:kern w:val="0"/>
          <w:sz w:val="20"/>
          <w:rtl/>
          <w:lang w:val="en-CA"/>
        </w:rPr>
        <w:t xml:space="preserve">، أي </w:t>
      </w:r>
      <w:r w:rsidRPr="006B489A">
        <w:rPr>
          <w:rFonts w:hint="cs"/>
          <w:spacing w:val="0"/>
          <w:kern w:val="0"/>
          <w:sz w:val="20"/>
          <w:rtl/>
          <w:lang w:val="en-CA"/>
        </w:rPr>
        <w:t>أن يقوم ب</w:t>
      </w:r>
      <w:r w:rsidRPr="006B489A">
        <w:rPr>
          <w:spacing w:val="0"/>
          <w:kern w:val="0"/>
          <w:sz w:val="20"/>
          <w:rtl/>
          <w:lang w:val="en-CA"/>
        </w:rPr>
        <w:t>جمع الأدلة وتقديمها دعماً لسرده للأحداث</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4"/>
      </w:r>
      <w:r w:rsidRPr="006B489A">
        <w:rPr>
          <w:rFonts w:hint="cs"/>
          <w:spacing w:val="0"/>
          <w:kern w:val="0"/>
          <w:sz w:val="20"/>
          <w:szCs w:val="28"/>
          <w:vertAlign w:val="superscript"/>
          <w:rtl/>
          <w:lang w:val="en-CA"/>
        </w:rPr>
        <w:t>)</w:t>
      </w:r>
      <w:r w:rsidRPr="006B489A">
        <w:rPr>
          <w:rFonts w:hint="cs"/>
          <w:spacing w:val="0"/>
          <w:kern w:val="0"/>
          <w:sz w:val="20"/>
          <w:rtl/>
          <w:lang w:val="en-CA"/>
        </w:rPr>
        <w:t xml:space="preserve">. </w:t>
      </w:r>
      <w:r w:rsidRPr="006B489A">
        <w:rPr>
          <w:rFonts w:hint="eastAsia"/>
          <w:spacing w:val="0"/>
          <w:kern w:val="0"/>
          <w:sz w:val="20"/>
          <w:rtl/>
          <w:lang w:val="en-CA"/>
        </w:rPr>
        <w:t>وفي</w:t>
      </w:r>
      <w:r w:rsidRPr="006B489A">
        <w:rPr>
          <w:spacing w:val="0"/>
          <w:kern w:val="0"/>
          <w:sz w:val="20"/>
          <w:rtl/>
          <w:lang w:val="en-CA"/>
        </w:rPr>
        <w:t xml:space="preserve"> هذا السياق</w:t>
      </w:r>
      <w:r w:rsidRPr="006B489A">
        <w:rPr>
          <w:rFonts w:hint="cs"/>
          <w:spacing w:val="0"/>
          <w:kern w:val="0"/>
          <w:sz w:val="20"/>
          <w:rtl/>
          <w:lang w:val="en-CA"/>
        </w:rPr>
        <w:t>،</w:t>
      </w:r>
      <w:r w:rsidRPr="006B489A">
        <w:rPr>
          <w:spacing w:val="0"/>
          <w:kern w:val="0"/>
          <w:sz w:val="20"/>
          <w:rtl/>
          <w:lang w:val="en-CA"/>
        </w:rPr>
        <w:t xml:space="preserve"> عند النظر في طلب لجوء بموجب قانون الأجانب </w:t>
      </w:r>
      <w:r w:rsidRPr="006B489A">
        <w:rPr>
          <w:rFonts w:hint="cs"/>
          <w:spacing w:val="0"/>
          <w:kern w:val="0"/>
          <w:sz w:val="20"/>
          <w:rtl/>
          <w:lang w:val="en-CA"/>
        </w:rPr>
        <w:t xml:space="preserve">فإن </w:t>
      </w:r>
      <w:r w:rsidRPr="006B489A">
        <w:rPr>
          <w:spacing w:val="0"/>
          <w:kern w:val="0"/>
          <w:sz w:val="20"/>
          <w:rtl/>
          <w:lang w:val="en-CA"/>
        </w:rPr>
        <w:t xml:space="preserve">سلطات الهجرة السويدية </w:t>
      </w:r>
      <w:r w:rsidRPr="00C03ECB">
        <w:rPr>
          <w:spacing w:val="-2"/>
          <w:kern w:val="0"/>
          <w:sz w:val="20"/>
          <w:rtl/>
          <w:lang w:val="en-CA"/>
        </w:rPr>
        <w:t>تطبق اختباراً من نفس نوع</w:t>
      </w:r>
      <w:r w:rsidRPr="00C03ECB">
        <w:rPr>
          <w:rFonts w:hint="cs"/>
          <w:spacing w:val="-2"/>
          <w:kern w:val="0"/>
          <w:sz w:val="20"/>
          <w:rtl/>
          <w:lang w:val="en-CA"/>
        </w:rPr>
        <w:t xml:space="preserve"> الاختبار الذي </w:t>
      </w:r>
      <w:r w:rsidRPr="00C03ECB">
        <w:rPr>
          <w:spacing w:val="-2"/>
          <w:kern w:val="0"/>
          <w:sz w:val="20"/>
          <w:rtl/>
          <w:lang w:val="en-CA"/>
        </w:rPr>
        <w:t xml:space="preserve">تطبقه اللجنة عند بحث شكوى بموجب الاتفاقية. وتعتبر السلطات الوطنية التي تجري المقابلة الشخصية </w:t>
      </w:r>
      <w:r w:rsidRPr="00C03ECB">
        <w:rPr>
          <w:rFonts w:hint="cs"/>
          <w:spacing w:val="-2"/>
          <w:kern w:val="0"/>
          <w:sz w:val="20"/>
          <w:rtl/>
          <w:lang w:val="en-CA"/>
        </w:rPr>
        <w:t>بشأن</w:t>
      </w:r>
      <w:r w:rsidRPr="00C03ECB">
        <w:rPr>
          <w:spacing w:val="-2"/>
          <w:kern w:val="0"/>
          <w:sz w:val="20"/>
          <w:rtl/>
          <w:lang w:val="en-CA"/>
        </w:rPr>
        <w:t xml:space="preserve"> اللجوء في </w:t>
      </w:r>
      <w:r w:rsidRPr="00C03ECB">
        <w:rPr>
          <w:rFonts w:hint="cs"/>
          <w:spacing w:val="-2"/>
          <w:kern w:val="0"/>
          <w:sz w:val="20"/>
          <w:rtl/>
          <w:lang w:val="en-CA"/>
        </w:rPr>
        <w:t>وضع</w:t>
      </w:r>
      <w:r w:rsidRPr="00C03ECB">
        <w:rPr>
          <w:spacing w:val="-2"/>
          <w:kern w:val="0"/>
          <w:sz w:val="20"/>
          <w:rtl/>
          <w:lang w:val="en-CA"/>
        </w:rPr>
        <w:t xml:space="preserve"> جيد جداً </w:t>
      </w:r>
      <w:r w:rsidRPr="00C03ECB">
        <w:rPr>
          <w:rFonts w:hint="cs"/>
          <w:spacing w:val="-2"/>
          <w:kern w:val="0"/>
          <w:sz w:val="20"/>
          <w:rtl/>
          <w:lang w:val="en-CA"/>
        </w:rPr>
        <w:t>يسمح لها ب</w:t>
      </w:r>
      <w:r w:rsidRPr="00C03ECB">
        <w:rPr>
          <w:spacing w:val="-2"/>
          <w:kern w:val="0"/>
          <w:sz w:val="20"/>
          <w:rtl/>
          <w:lang w:val="en-CA"/>
        </w:rPr>
        <w:t xml:space="preserve">تقييم </w:t>
      </w:r>
      <w:r w:rsidRPr="00C03ECB">
        <w:rPr>
          <w:rFonts w:hint="cs"/>
          <w:spacing w:val="-2"/>
          <w:kern w:val="0"/>
          <w:sz w:val="20"/>
          <w:rtl/>
          <w:lang w:val="en-CA"/>
        </w:rPr>
        <w:t>مصداقية</w:t>
      </w:r>
      <w:r w:rsidRPr="00C03ECB">
        <w:rPr>
          <w:spacing w:val="-2"/>
          <w:kern w:val="0"/>
          <w:sz w:val="20"/>
          <w:rtl/>
          <w:lang w:val="en-CA"/>
        </w:rPr>
        <w:t xml:space="preserve"> الادعا</w:t>
      </w:r>
      <w:r w:rsidRPr="00C03ECB">
        <w:rPr>
          <w:rFonts w:hint="eastAsia"/>
          <w:spacing w:val="-2"/>
          <w:kern w:val="0"/>
          <w:sz w:val="20"/>
          <w:rtl/>
          <w:lang w:val="en-CA"/>
        </w:rPr>
        <w:t>ء</w:t>
      </w:r>
      <w:r w:rsidRPr="00C03ECB">
        <w:rPr>
          <w:spacing w:val="-2"/>
          <w:kern w:val="0"/>
          <w:sz w:val="20"/>
          <w:rtl/>
          <w:lang w:val="en-CA"/>
        </w:rPr>
        <w:t xml:space="preserve"> الذي يفيد بأن شخص</w:t>
      </w:r>
      <w:r w:rsidRPr="00C03ECB">
        <w:rPr>
          <w:rFonts w:hint="cs"/>
          <w:spacing w:val="-2"/>
          <w:kern w:val="0"/>
          <w:sz w:val="20"/>
          <w:rtl/>
          <w:lang w:val="en-CA"/>
        </w:rPr>
        <w:t>اً</w:t>
      </w:r>
      <w:r w:rsidRPr="00C03ECB">
        <w:rPr>
          <w:spacing w:val="-2"/>
          <w:kern w:val="0"/>
          <w:sz w:val="20"/>
          <w:rtl/>
          <w:lang w:val="en-CA"/>
        </w:rPr>
        <w:t xml:space="preserve"> ما، في حالة ترحيله، سيتعرض لمعاملة </w:t>
      </w:r>
      <w:r w:rsidRPr="00C03ECB">
        <w:rPr>
          <w:rFonts w:hint="cs"/>
          <w:spacing w:val="-2"/>
          <w:kern w:val="0"/>
          <w:sz w:val="20"/>
          <w:rtl/>
          <w:lang w:val="en-CA"/>
        </w:rPr>
        <w:t>تشكل انتهاكاً لل</w:t>
      </w:r>
      <w:r w:rsidRPr="00C03ECB">
        <w:rPr>
          <w:spacing w:val="-2"/>
          <w:kern w:val="0"/>
          <w:sz w:val="20"/>
          <w:rtl/>
          <w:lang w:val="en-CA"/>
        </w:rPr>
        <w:t xml:space="preserve">مادة 3 من الاتفاقية. وقد عرضت قضية </w:t>
      </w:r>
      <w:r w:rsidRPr="00C03ECB">
        <w:rPr>
          <w:rFonts w:hint="cs"/>
          <w:spacing w:val="-2"/>
          <w:kern w:val="0"/>
          <w:sz w:val="20"/>
          <w:rtl/>
          <w:lang w:val="en-CA"/>
        </w:rPr>
        <w:t xml:space="preserve">أصحاب </w:t>
      </w:r>
      <w:r w:rsidRPr="00C03ECB">
        <w:rPr>
          <w:spacing w:val="-2"/>
          <w:kern w:val="0"/>
          <w:sz w:val="20"/>
          <w:rtl/>
          <w:lang w:val="en-CA"/>
        </w:rPr>
        <w:t xml:space="preserve">الشكوى أمام السلطات والمحاكم السويدية </w:t>
      </w:r>
      <w:r w:rsidRPr="00C03ECB">
        <w:rPr>
          <w:rFonts w:hint="cs"/>
          <w:spacing w:val="-2"/>
          <w:kern w:val="0"/>
          <w:sz w:val="20"/>
          <w:rtl/>
          <w:lang w:val="en-CA"/>
        </w:rPr>
        <w:t xml:space="preserve">عدة </w:t>
      </w:r>
      <w:r w:rsidRPr="00C03ECB">
        <w:rPr>
          <w:spacing w:val="-2"/>
          <w:kern w:val="0"/>
          <w:sz w:val="20"/>
          <w:rtl/>
          <w:lang w:val="en-CA"/>
        </w:rPr>
        <w:t xml:space="preserve">مرات. وأجرى </w:t>
      </w:r>
      <w:r w:rsidRPr="00C03ECB">
        <w:rPr>
          <w:rFonts w:hint="cs"/>
          <w:spacing w:val="-2"/>
          <w:kern w:val="0"/>
          <w:sz w:val="20"/>
          <w:rtl/>
          <w:lang w:val="en-CA"/>
        </w:rPr>
        <w:t xml:space="preserve">كل من </w:t>
      </w:r>
      <w:r w:rsidRPr="00C03ECB">
        <w:rPr>
          <w:spacing w:val="-2"/>
          <w:kern w:val="0"/>
          <w:sz w:val="20"/>
          <w:rtl/>
          <w:lang w:val="en-CA"/>
        </w:rPr>
        <w:t xml:space="preserve">مجلس الهجرة ومحكمة الهجرة عمليات بحث شاملة لطلبات </w:t>
      </w:r>
      <w:r w:rsidRPr="00C03ECB">
        <w:rPr>
          <w:rFonts w:hint="cs"/>
          <w:spacing w:val="-2"/>
          <w:kern w:val="0"/>
          <w:sz w:val="20"/>
          <w:rtl/>
          <w:lang w:val="en-CA"/>
        </w:rPr>
        <w:t>ا</w:t>
      </w:r>
      <w:r w:rsidRPr="00C03ECB">
        <w:rPr>
          <w:spacing w:val="-2"/>
          <w:kern w:val="0"/>
          <w:sz w:val="20"/>
          <w:rtl/>
          <w:lang w:val="en-CA"/>
        </w:rPr>
        <w:t xml:space="preserve">لحصول على </w:t>
      </w:r>
      <w:r w:rsidRPr="00C03ECB">
        <w:rPr>
          <w:rFonts w:hint="cs"/>
          <w:spacing w:val="-2"/>
          <w:kern w:val="0"/>
          <w:sz w:val="20"/>
          <w:rtl/>
          <w:lang w:val="en-CA"/>
        </w:rPr>
        <w:t xml:space="preserve">تصريح </w:t>
      </w:r>
      <w:r w:rsidRPr="00C03ECB">
        <w:rPr>
          <w:spacing w:val="-2"/>
          <w:kern w:val="0"/>
          <w:sz w:val="20"/>
          <w:rtl/>
          <w:lang w:val="en-CA"/>
        </w:rPr>
        <w:t>إقا</w:t>
      </w:r>
      <w:r w:rsidRPr="00C03ECB">
        <w:rPr>
          <w:rFonts w:hint="eastAsia"/>
          <w:spacing w:val="-2"/>
          <w:kern w:val="0"/>
          <w:sz w:val="20"/>
          <w:rtl/>
          <w:lang w:val="en-CA"/>
        </w:rPr>
        <w:t>مة</w:t>
      </w:r>
      <w:r w:rsidRPr="00C03ECB">
        <w:rPr>
          <w:rFonts w:hint="cs"/>
          <w:spacing w:val="-2"/>
          <w:kern w:val="0"/>
          <w:sz w:val="20"/>
          <w:rtl/>
          <w:lang w:val="en-CA"/>
        </w:rPr>
        <w:t>،</w:t>
      </w:r>
      <w:r w:rsidRPr="00C03ECB">
        <w:rPr>
          <w:spacing w:val="-2"/>
          <w:kern w:val="0"/>
          <w:sz w:val="20"/>
          <w:rtl/>
          <w:lang w:val="en-CA"/>
        </w:rPr>
        <w:t xml:space="preserve"> </w:t>
      </w:r>
      <w:r w:rsidRPr="00C03ECB">
        <w:rPr>
          <w:rFonts w:hint="cs"/>
          <w:spacing w:val="-2"/>
          <w:kern w:val="0"/>
          <w:sz w:val="20"/>
          <w:rtl/>
          <w:lang w:val="en-CA"/>
        </w:rPr>
        <w:t xml:space="preserve">التي تقدم بها أصحاب الشكوى، </w:t>
      </w:r>
      <w:r w:rsidRPr="00C03ECB">
        <w:rPr>
          <w:spacing w:val="-2"/>
          <w:kern w:val="0"/>
          <w:sz w:val="20"/>
          <w:rtl/>
          <w:lang w:val="en-CA"/>
        </w:rPr>
        <w:t xml:space="preserve">فضلاً عن طلب إعادة إجراء البحث. ولذلك، يجب إيلاء القدر الواجب من </w:t>
      </w:r>
      <w:r w:rsidRPr="00C03ECB">
        <w:rPr>
          <w:rFonts w:hint="cs"/>
          <w:spacing w:val="-2"/>
          <w:kern w:val="0"/>
          <w:sz w:val="20"/>
          <w:rtl/>
          <w:lang w:val="en-CA"/>
        </w:rPr>
        <w:t>الاعتبار</w:t>
      </w:r>
      <w:r w:rsidRPr="00C03ECB">
        <w:rPr>
          <w:spacing w:val="-2"/>
          <w:kern w:val="0"/>
          <w:sz w:val="20"/>
          <w:rtl/>
          <w:lang w:val="en-CA"/>
        </w:rPr>
        <w:t xml:space="preserve"> لقرارات السلطات السويدية.</w:t>
      </w:r>
    </w:p>
    <w:p w:rsidR="006B489A" w:rsidRPr="00C03ECB" w:rsidRDefault="006B489A" w:rsidP="006B489A">
      <w:pPr>
        <w:pStyle w:val="SingleTxtGA"/>
        <w:jc w:val="lowKashida"/>
        <w:rPr>
          <w:spacing w:val="-2"/>
          <w:kern w:val="0"/>
          <w:sz w:val="20"/>
          <w:szCs w:val="20"/>
          <w:rtl/>
        </w:rPr>
      </w:pPr>
      <w:r w:rsidRPr="006B489A">
        <w:rPr>
          <w:spacing w:val="0"/>
          <w:kern w:val="0"/>
          <w:sz w:val="20"/>
          <w:rtl/>
          <w:lang w:val="en-CA"/>
        </w:rPr>
        <w:t>4-15</w:t>
      </w:r>
      <w:r w:rsidRPr="006B489A">
        <w:rPr>
          <w:spacing w:val="0"/>
          <w:kern w:val="0"/>
          <w:sz w:val="20"/>
          <w:rtl/>
          <w:lang w:val="en-CA"/>
        </w:rPr>
        <w:tab/>
        <w:t xml:space="preserve">وتؤكد الدولة الطرف أن ادعاءات </w:t>
      </w:r>
      <w:r w:rsidRPr="006B489A">
        <w:rPr>
          <w:rFonts w:hint="cs"/>
          <w:spacing w:val="0"/>
          <w:kern w:val="0"/>
          <w:sz w:val="20"/>
          <w:rtl/>
          <w:lang w:val="en-CA"/>
        </w:rPr>
        <w:t>أصحاب</w:t>
      </w:r>
      <w:r w:rsidRPr="006B489A">
        <w:rPr>
          <w:spacing w:val="0"/>
          <w:kern w:val="0"/>
          <w:sz w:val="20"/>
          <w:rtl/>
          <w:lang w:val="en-CA"/>
        </w:rPr>
        <w:t xml:space="preserve"> الشكوى بموجب المادة 3 من الاتفاقية غير مدعومة بالأدلة </w:t>
      </w:r>
      <w:r w:rsidRPr="006B489A">
        <w:rPr>
          <w:rFonts w:hint="cs"/>
          <w:spacing w:val="0"/>
          <w:kern w:val="0"/>
          <w:sz w:val="20"/>
          <w:rtl/>
          <w:lang w:val="en-CA"/>
        </w:rPr>
        <w:t>نظراً لأن المعلومات المقدمة غير متسقة وغامضة</w:t>
      </w:r>
      <w:r w:rsidRPr="006B489A">
        <w:rPr>
          <w:spacing w:val="0"/>
          <w:kern w:val="0"/>
          <w:sz w:val="20"/>
          <w:rtl/>
          <w:lang w:val="en-CA"/>
        </w:rPr>
        <w:t xml:space="preserve"> ومتعارضة إلى حد ما. </w:t>
      </w:r>
      <w:r w:rsidRPr="00C03ECB">
        <w:rPr>
          <w:rFonts w:hint="cs"/>
          <w:spacing w:val="-2"/>
          <w:kern w:val="0"/>
          <w:sz w:val="20"/>
          <w:rtl/>
          <w:lang w:val="en-CA"/>
        </w:rPr>
        <w:t>ف</w:t>
      </w:r>
      <w:r w:rsidRPr="00C03ECB">
        <w:rPr>
          <w:spacing w:val="-2"/>
          <w:kern w:val="0"/>
          <w:sz w:val="20"/>
          <w:rtl/>
          <w:lang w:val="en-CA"/>
        </w:rPr>
        <w:t xml:space="preserve">قد قدمت </w:t>
      </w:r>
      <w:r w:rsidRPr="00C03ECB">
        <w:rPr>
          <w:rFonts w:hint="cs"/>
          <w:spacing w:val="-2"/>
          <w:kern w:val="0"/>
          <w:sz w:val="20"/>
          <w:rtl/>
          <w:lang w:val="en-CA"/>
        </w:rPr>
        <w:t>ﻫ. م.</w:t>
      </w:r>
      <w:r w:rsidRPr="00C03ECB">
        <w:rPr>
          <w:spacing w:val="-2"/>
          <w:kern w:val="0"/>
          <w:sz w:val="20"/>
          <w:rtl/>
          <w:lang w:val="en-CA"/>
        </w:rPr>
        <w:t xml:space="preserve"> وثيقة صادرة عن منظمة تعمل على تعزيز </w:t>
      </w:r>
      <w:r w:rsidRPr="00C03ECB">
        <w:rPr>
          <w:rFonts w:hint="cs"/>
          <w:spacing w:val="-2"/>
          <w:kern w:val="0"/>
          <w:sz w:val="20"/>
          <w:rtl/>
          <w:lang w:val="en-CA"/>
        </w:rPr>
        <w:t xml:space="preserve">حقوق </w:t>
      </w:r>
      <w:r w:rsidRPr="00C03ECB">
        <w:rPr>
          <w:spacing w:val="-2"/>
          <w:kern w:val="0"/>
          <w:sz w:val="20"/>
          <w:rtl/>
          <w:lang w:val="en-CA"/>
        </w:rPr>
        <w:t>النساء الأذربيجانيات</w:t>
      </w:r>
      <w:r w:rsidRPr="00C03ECB">
        <w:rPr>
          <w:rFonts w:hint="cs"/>
          <w:spacing w:val="-2"/>
          <w:kern w:val="0"/>
          <w:sz w:val="20"/>
          <w:rtl/>
          <w:lang w:val="en-CA"/>
        </w:rPr>
        <w:t xml:space="preserve">، يشار فيها </w:t>
      </w:r>
      <w:r w:rsidRPr="00C03ECB">
        <w:rPr>
          <w:spacing w:val="-2"/>
          <w:kern w:val="0"/>
          <w:sz w:val="20"/>
          <w:rtl/>
          <w:lang w:val="en-CA"/>
        </w:rPr>
        <w:t xml:space="preserve">إلى أن س. م. وﻫ. م. </w:t>
      </w:r>
      <w:r w:rsidRPr="00C03ECB">
        <w:rPr>
          <w:rFonts w:hint="cs"/>
          <w:spacing w:val="-2"/>
          <w:kern w:val="0"/>
          <w:sz w:val="20"/>
          <w:rtl/>
          <w:lang w:val="en-CA"/>
        </w:rPr>
        <w:t>كانا م</w:t>
      </w:r>
      <w:r w:rsidRPr="00C03ECB">
        <w:rPr>
          <w:spacing w:val="-2"/>
          <w:kern w:val="0"/>
          <w:sz w:val="20"/>
          <w:rtl/>
          <w:lang w:val="en-CA"/>
        </w:rPr>
        <w:t>نتميان دائماً للمعارضة السيا</w:t>
      </w:r>
      <w:r w:rsidRPr="00C03ECB">
        <w:rPr>
          <w:rFonts w:hint="eastAsia"/>
          <w:spacing w:val="-2"/>
          <w:kern w:val="0"/>
          <w:sz w:val="20"/>
          <w:rtl/>
          <w:lang w:val="en-CA"/>
        </w:rPr>
        <w:t>سية</w:t>
      </w:r>
      <w:r w:rsidRPr="00C03ECB">
        <w:rPr>
          <w:spacing w:val="-2"/>
          <w:kern w:val="0"/>
          <w:sz w:val="20"/>
          <w:rtl/>
          <w:lang w:val="en-CA"/>
        </w:rPr>
        <w:t>. و</w:t>
      </w:r>
      <w:r w:rsidRPr="00C03ECB">
        <w:rPr>
          <w:rFonts w:hint="cs"/>
          <w:spacing w:val="-2"/>
          <w:kern w:val="0"/>
          <w:sz w:val="20"/>
          <w:rtl/>
          <w:lang w:val="en-CA"/>
        </w:rPr>
        <w:t>نفت</w:t>
      </w:r>
      <w:r w:rsidRPr="00C03ECB">
        <w:rPr>
          <w:spacing w:val="-2"/>
          <w:kern w:val="0"/>
          <w:sz w:val="20"/>
          <w:rtl/>
          <w:lang w:val="en-CA"/>
        </w:rPr>
        <w:t xml:space="preserve"> </w:t>
      </w:r>
      <w:r w:rsidRPr="00C03ECB">
        <w:rPr>
          <w:rFonts w:hint="cs"/>
          <w:spacing w:val="-2"/>
          <w:kern w:val="0"/>
          <w:sz w:val="20"/>
          <w:rtl/>
          <w:lang w:val="en-CA"/>
        </w:rPr>
        <w:t>ﻫ. م.</w:t>
      </w:r>
      <w:r w:rsidRPr="00C03ECB">
        <w:rPr>
          <w:spacing w:val="-2"/>
          <w:kern w:val="0"/>
          <w:sz w:val="20"/>
          <w:rtl/>
          <w:lang w:val="en-CA"/>
        </w:rPr>
        <w:t xml:space="preserve"> </w:t>
      </w:r>
      <w:r w:rsidRPr="00C03ECB">
        <w:rPr>
          <w:rFonts w:hint="cs"/>
          <w:spacing w:val="-2"/>
          <w:kern w:val="0"/>
          <w:sz w:val="20"/>
          <w:rtl/>
          <w:lang w:val="en-CA"/>
        </w:rPr>
        <w:t xml:space="preserve">هذه الأقوال أثناء جلسة الاستماع </w:t>
      </w:r>
      <w:r w:rsidRPr="00C03ECB">
        <w:rPr>
          <w:spacing w:val="-2"/>
          <w:kern w:val="0"/>
          <w:sz w:val="20"/>
          <w:rtl/>
          <w:lang w:val="en-CA"/>
        </w:rPr>
        <w:t>الشفوية. وبالتالي</w:t>
      </w:r>
      <w:r w:rsidRPr="00C03ECB">
        <w:rPr>
          <w:rFonts w:hint="cs"/>
          <w:spacing w:val="-2"/>
          <w:kern w:val="0"/>
          <w:sz w:val="20"/>
          <w:rtl/>
          <w:lang w:val="en-CA"/>
        </w:rPr>
        <w:t>،</w:t>
      </w:r>
      <w:r w:rsidRPr="00C03ECB">
        <w:rPr>
          <w:spacing w:val="-2"/>
          <w:kern w:val="0"/>
          <w:sz w:val="20"/>
          <w:rtl/>
          <w:lang w:val="en-CA"/>
        </w:rPr>
        <w:t xml:space="preserve"> تضمنت الوثيقة معلومات لا تتسق مع </w:t>
      </w:r>
      <w:r w:rsidRPr="00C03ECB">
        <w:rPr>
          <w:rFonts w:hint="cs"/>
          <w:spacing w:val="-2"/>
          <w:kern w:val="0"/>
          <w:sz w:val="20"/>
          <w:rtl/>
          <w:lang w:val="en-CA"/>
        </w:rPr>
        <w:t>أقوالها</w:t>
      </w:r>
      <w:r w:rsidRPr="00C03ECB">
        <w:rPr>
          <w:spacing w:val="-2"/>
          <w:kern w:val="0"/>
          <w:sz w:val="20"/>
          <w:rtl/>
          <w:lang w:val="en-CA"/>
        </w:rPr>
        <w:t xml:space="preserve"> الشفوية </w:t>
      </w:r>
      <w:r w:rsidRPr="00C03ECB">
        <w:rPr>
          <w:rFonts w:hint="cs"/>
          <w:spacing w:val="-2"/>
          <w:kern w:val="0"/>
          <w:sz w:val="20"/>
          <w:rtl/>
          <w:lang w:val="en-CA"/>
        </w:rPr>
        <w:t>والمعلومات</w:t>
      </w:r>
      <w:r w:rsidRPr="00C03ECB">
        <w:rPr>
          <w:spacing w:val="-2"/>
          <w:kern w:val="0"/>
          <w:sz w:val="20"/>
          <w:rtl/>
          <w:lang w:val="en-CA"/>
        </w:rPr>
        <w:t xml:space="preserve"> المقدمة في وقت سابق في المداولات</w:t>
      </w:r>
      <w:r w:rsidRPr="00C03ECB">
        <w:rPr>
          <w:rFonts w:hint="cs"/>
          <w:spacing w:val="-2"/>
          <w:kern w:val="0"/>
          <w:sz w:val="20"/>
          <w:rtl/>
          <w:lang w:val="en-CA"/>
        </w:rPr>
        <w:t>،</w:t>
      </w:r>
      <w:r w:rsidRPr="00C03ECB">
        <w:rPr>
          <w:spacing w:val="-2"/>
          <w:kern w:val="0"/>
          <w:sz w:val="20"/>
          <w:rtl/>
          <w:lang w:val="en-CA"/>
        </w:rPr>
        <w:t xml:space="preserve"> ولذلك اعتبرت </w:t>
      </w:r>
      <w:r w:rsidRPr="00C03ECB">
        <w:rPr>
          <w:rFonts w:hint="cs"/>
          <w:spacing w:val="-2"/>
          <w:kern w:val="0"/>
          <w:sz w:val="20"/>
          <w:rtl/>
          <w:lang w:val="en-CA"/>
        </w:rPr>
        <w:t>منخفضة</w:t>
      </w:r>
      <w:r w:rsidRPr="00C03ECB">
        <w:rPr>
          <w:spacing w:val="-2"/>
          <w:kern w:val="0"/>
          <w:sz w:val="20"/>
          <w:rtl/>
          <w:lang w:val="en-CA"/>
        </w:rPr>
        <w:t xml:space="preserve"> القيمة كأدلة. </w:t>
      </w:r>
      <w:r w:rsidRPr="00C03ECB">
        <w:rPr>
          <w:rFonts w:hint="cs"/>
          <w:spacing w:val="-2"/>
          <w:kern w:val="0"/>
          <w:sz w:val="20"/>
          <w:rtl/>
          <w:lang w:val="en-CA"/>
        </w:rPr>
        <w:t xml:space="preserve">أما </w:t>
      </w:r>
      <w:r w:rsidRPr="00C03ECB">
        <w:rPr>
          <w:spacing w:val="-2"/>
          <w:kern w:val="0"/>
          <w:sz w:val="20"/>
          <w:rtl/>
          <w:lang w:val="en-CA"/>
        </w:rPr>
        <w:t xml:space="preserve">الآراء الطبية التي قدمها </w:t>
      </w:r>
      <w:r w:rsidRPr="00C03ECB">
        <w:rPr>
          <w:rFonts w:hint="cs"/>
          <w:spacing w:val="-2"/>
          <w:kern w:val="0"/>
          <w:sz w:val="20"/>
          <w:rtl/>
          <w:lang w:val="en-CA"/>
        </w:rPr>
        <w:t xml:space="preserve">أصحاب </w:t>
      </w:r>
      <w:r w:rsidRPr="00C03ECB">
        <w:rPr>
          <w:spacing w:val="-2"/>
          <w:kern w:val="0"/>
          <w:sz w:val="20"/>
          <w:rtl/>
          <w:lang w:val="en-CA"/>
        </w:rPr>
        <w:t xml:space="preserve">الشكوى (الفقرة 4-4 أعلاه)، فقد </w:t>
      </w:r>
      <w:r w:rsidRPr="00C03ECB">
        <w:rPr>
          <w:rFonts w:hint="cs"/>
          <w:spacing w:val="-2"/>
          <w:kern w:val="0"/>
          <w:sz w:val="20"/>
          <w:rtl/>
          <w:lang w:val="en-CA"/>
        </w:rPr>
        <w:t xml:space="preserve">ارتئي </w:t>
      </w:r>
      <w:r w:rsidRPr="00C03ECB">
        <w:rPr>
          <w:spacing w:val="-2"/>
          <w:kern w:val="0"/>
          <w:sz w:val="20"/>
          <w:rtl/>
          <w:lang w:val="en-CA"/>
        </w:rPr>
        <w:t xml:space="preserve">أنها غير قاطعة. ذلك أن أحد الخبراء الطبيين التقى </w:t>
      </w:r>
      <w:r w:rsidRPr="00C03ECB">
        <w:rPr>
          <w:rFonts w:hint="cs"/>
          <w:spacing w:val="-2"/>
          <w:kern w:val="0"/>
          <w:sz w:val="20"/>
          <w:rtl/>
          <w:lang w:val="en-CA"/>
        </w:rPr>
        <w:t>ﻫ. م.</w:t>
      </w:r>
      <w:r w:rsidRPr="00C03ECB">
        <w:rPr>
          <w:spacing w:val="-2"/>
          <w:kern w:val="0"/>
          <w:sz w:val="20"/>
          <w:rtl/>
          <w:lang w:val="en-CA"/>
        </w:rPr>
        <w:t xml:space="preserve"> مرة واحدة فقط. </w:t>
      </w:r>
      <w:r w:rsidRPr="00C03ECB">
        <w:rPr>
          <w:rFonts w:hint="cs"/>
          <w:spacing w:val="-2"/>
          <w:kern w:val="0"/>
          <w:sz w:val="20"/>
          <w:rtl/>
          <w:lang w:val="en-CA"/>
        </w:rPr>
        <w:t>وتعتبر</w:t>
      </w:r>
      <w:r w:rsidRPr="00C03ECB">
        <w:rPr>
          <w:spacing w:val="-2"/>
          <w:kern w:val="0"/>
          <w:sz w:val="20"/>
          <w:rtl/>
          <w:lang w:val="en-CA"/>
        </w:rPr>
        <w:t xml:space="preserve"> شهادة الطب الشرعي </w:t>
      </w:r>
      <w:r w:rsidRPr="00C03ECB">
        <w:rPr>
          <w:rFonts w:hint="cs"/>
          <w:spacing w:val="-2"/>
          <w:kern w:val="0"/>
          <w:sz w:val="20"/>
          <w:rtl/>
          <w:lang w:val="en-CA"/>
        </w:rPr>
        <w:t>غامضة جداً</w:t>
      </w:r>
      <w:r w:rsidRPr="00C03ECB">
        <w:rPr>
          <w:spacing w:val="-2"/>
          <w:kern w:val="0"/>
          <w:sz w:val="20"/>
          <w:rtl/>
          <w:lang w:val="en-CA"/>
        </w:rPr>
        <w:t xml:space="preserve"> حيث </w:t>
      </w:r>
      <w:r w:rsidRPr="00C03ECB">
        <w:rPr>
          <w:rFonts w:hint="cs"/>
          <w:spacing w:val="-2"/>
          <w:kern w:val="0"/>
          <w:sz w:val="20"/>
          <w:rtl/>
          <w:lang w:val="en-CA"/>
        </w:rPr>
        <w:t>إ</w:t>
      </w:r>
      <w:r w:rsidRPr="00C03ECB">
        <w:rPr>
          <w:spacing w:val="-2"/>
          <w:kern w:val="0"/>
          <w:sz w:val="20"/>
          <w:rtl/>
          <w:lang w:val="en-CA"/>
        </w:rPr>
        <w:t xml:space="preserve">نها لم تشر إلا إلى أنه لا يمكن استبعاد أن س. م. تعرض لإصابات بالطريقة التي وصفها. ولم تشر شهادة أخرى إلا إلى أن </w:t>
      </w:r>
      <w:r w:rsidRPr="00C03ECB">
        <w:rPr>
          <w:rFonts w:hint="cs"/>
          <w:spacing w:val="-2"/>
          <w:kern w:val="0"/>
          <w:sz w:val="20"/>
          <w:rtl/>
          <w:lang w:val="en-CA"/>
        </w:rPr>
        <w:t>ﻫ. م.</w:t>
      </w:r>
      <w:r w:rsidRPr="00C03ECB">
        <w:rPr>
          <w:spacing w:val="-2"/>
          <w:kern w:val="0"/>
          <w:sz w:val="20"/>
          <w:rtl/>
          <w:lang w:val="en-CA"/>
        </w:rPr>
        <w:t xml:space="preserve"> يمكن أن تكون ق</w:t>
      </w:r>
      <w:r w:rsidRPr="00C03ECB">
        <w:rPr>
          <w:rFonts w:hint="eastAsia"/>
          <w:spacing w:val="-2"/>
          <w:kern w:val="0"/>
          <w:sz w:val="20"/>
          <w:rtl/>
          <w:lang w:val="en-CA"/>
        </w:rPr>
        <w:t>د</w:t>
      </w:r>
      <w:r w:rsidRPr="00C03ECB">
        <w:rPr>
          <w:spacing w:val="-2"/>
          <w:kern w:val="0"/>
          <w:sz w:val="20"/>
          <w:rtl/>
          <w:lang w:val="en-CA"/>
        </w:rPr>
        <w:t xml:space="preserve"> تعرضت للتعذيب؛ وهذا البيان </w:t>
      </w:r>
      <w:r w:rsidRPr="00C03ECB">
        <w:rPr>
          <w:rFonts w:hint="cs"/>
          <w:spacing w:val="-2"/>
          <w:kern w:val="0"/>
          <w:sz w:val="20"/>
          <w:rtl/>
          <w:lang w:val="en-CA"/>
        </w:rPr>
        <w:t>غامض</w:t>
      </w:r>
      <w:r w:rsidRPr="00C03ECB">
        <w:rPr>
          <w:spacing w:val="-2"/>
          <w:kern w:val="0"/>
          <w:sz w:val="20"/>
          <w:rtl/>
          <w:lang w:val="en-CA"/>
        </w:rPr>
        <w:t xml:space="preserve"> </w:t>
      </w:r>
      <w:r w:rsidRPr="00C03ECB">
        <w:rPr>
          <w:rFonts w:hint="cs"/>
          <w:spacing w:val="-2"/>
          <w:kern w:val="0"/>
          <w:sz w:val="20"/>
          <w:rtl/>
          <w:lang w:val="en-CA"/>
        </w:rPr>
        <w:t>لدرجة لا ت</w:t>
      </w:r>
      <w:r w:rsidRPr="00C03ECB">
        <w:rPr>
          <w:spacing w:val="-2"/>
          <w:kern w:val="0"/>
          <w:sz w:val="20"/>
          <w:rtl/>
          <w:lang w:val="en-CA"/>
        </w:rPr>
        <w:t>دعم ادعاءات</w:t>
      </w:r>
      <w:r w:rsidRPr="00C03ECB">
        <w:rPr>
          <w:rFonts w:hint="cs"/>
          <w:spacing w:val="-2"/>
          <w:kern w:val="0"/>
          <w:sz w:val="20"/>
          <w:rtl/>
          <w:lang w:val="en-CA"/>
        </w:rPr>
        <w:t>هما</w:t>
      </w:r>
      <w:r w:rsidRPr="00C03ECB">
        <w:rPr>
          <w:spacing w:val="-2"/>
          <w:kern w:val="0"/>
          <w:sz w:val="20"/>
          <w:rtl/>
          <w:lang w:val="en-CA"/>
        </w:rPr>
        <w:t xml:space="preserve"> بشأن سوء المعاملة في الماضي.</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4-16</w:t>
      </w:r>
      <w:r w:rsidRPr="006B489A">
        <w:rPr>
          <w:spacing w:val="0"/>
          <w:kern w:val="0"/>
          <w:sz w:val="20"/>
          <w:rtl/>
          <w:lang w:val="en-CA"/>
        </w:rPr>
        <w:tab/>
        <w:t>وقدم</w:t>
      </w:r>
      <w:r w:rsidRPr="006B489A">
        <w:rPr>
          <w:rFonts w:hint="cs"/>
          <w:spacing w:val="0"/>
          <w:kern w:val="0"/>
          <w:sz w:val="20"/>
          <w:rtl/>
          <w:lang w:val="en-CA"/>
        </w:rPr>
        <w:t>ت</w:t>
      </w:r>
      <w:r w:rsidRPr="006B489A">
        <w:rPr>
          <w:spacing w:val="0"/>
          <w:kern w:val="0"/>
          <w:sz w:val="20"/>
          <w:rtl/>
          <w:lang w:val="en-CA"/>
        </w:rPr>
        <w:t xml:space="preserve"> منظمة العفو الدولية ومفوضية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رسالات خطية إلى محكمة الهجرة دعماً لقضية </w:t>
      </w:r>
      <w:r w:rsidRPr="006B489A">
        <w:rPr>
          <w:rFonts w:hint="cs"/>
          <w:spacing w:val="0"/>
          <w:kern w:val="0"/>
          <w:sz w:val="20"/>
          <w:rtl/>
          <w:lang w:val="en-CA"/>
        </w:rPr>
        <w:t xml:space="preserve">أصحاب </w:t>
      </w:r>
      <w:r w:rsidRPr="006B489A">
        <w:rPr>
          <w:spacing w:val="0"/>
          <w:kern w:val="0"/>
          <w:sz w:val="20"/>
          <w:rtl/>
          <w:lang w:val="en-CA"/>
        </w:rPr>
        <w:t xml:space="preserve">الشكوى. وأشارت منظمة العفو الدولية إلى أنه في حالة الإعادة القسرية </w:t>
      </w:r>
      <w:r w:rsidRPr="006B489A">
        <w:rPr>
          <w:rFonts w:hint="cs"/>
          <w:spacing w:val="0"/>
          <w:kern w:val="0"/>
          <w:sz w:val="20"/>
          <w:rtl/>
          <w:lang w:val="en-CA"/>
        </w:rPr>
        <w:t xml:space="preserve">لأصحاب </w:t>
      </w:r>
      <w:r w:rsidRPr="006B489A">
        <w:rPr>
          <w:spacing w:val="0"/>
          <w:kern w:val="0"/>
          <w:sz w:val="20"/>
          <w:rtl/>
          <w:lang w:val="en-CA"/>
        </w:rPr>
        <w:t>الشكوى إلى أذربيجان فإنهم سيتعرض</w:t>
      </w:r>
      <w:r w:rsidRPr="006B489A">
        <w:rPr>
          <w:rFonts w:hint="cs"/>
          <w:spacing w:val="0"/>
          <w:kern w:val="0"/>
          <w:sz w:val="20"/>
          <w:rtl/>
          <w:lang w:val="en-CA"/>
        </w:rPr>
        <w:t>و</w:t>
      </w:r>
      <w:r w:rsidRPr="006B489A">
        <w:rPr>
          <w:spacing w:val="0"/>
          <w:kern w:val="0"/>
          <w:sz w:val="20"/>
          <w:rtl/>
          <w:lang w:val="en-CA"/>
        </w:rPr>
        <w:t>ن مرة أخرى لخطر الاضطهاد الذي يمثل بطبيعته وم</w:t>
      </w:r>
      <w:r w:rsidRPr="006B489A">
        <w:rPr>
          <w:rFonts w:hint="eastAsia"/>
          <w:spacing w:val="0"/>
          <w:kern w:val="0"/>
          <w:sz w:val="20"/>
          <w:rtl/>
          <w:lang w:val="en-CA"/>
        </w:rPr>
        <w:t>داه</w:t>
      </w:r>
      <w:r w:rsidRPr="006B489A">
        <w:rPr>
          <w:spacing w:val="0"/>
          <w:kern w:val="0"/>
          <w:sz w:val="20"/>
          <w:rtl/>
          <w:lang w:val="en-CA"/>
        </w:rPr>
        <w:t xml:space="preserve"> أساساً للجوء وأنه ينبغي منحهم </w:t>
      </w:r>
      <w:r w:rsidRPr="006B489A">
        <w:rPr>
          <w:rFonts w:hint="cs"/>
          <w:spacing w:val="0"/>
          <w:kern w:val="0"/>
          <w:sz w:val="20"/>
          <w:rtl/>
          <w:lang w:val="en-CA"/>
        </w:rPr>
        <w:t xml:space="preserve">الحماية </w:t>
      </w:r>
      <w:r w:rsidRPr="006B489A">
        <w:rPr>
          <w:spacing w:val="0"/>
          <w:kern w:val="0"/>
          <w:sz w:val="20"/>
          <w:rtl/>
          <w:lang w:val="en-CA"/>
        </w:rPr>
        <w:t xml:space="preserve">في السويد. وأشارت إحدى وثائق 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إلى أن الأرم</w:t>
      </w:r>
      <w:r w:rsidRPr="006B489A">
        <w:rPr>
          <w:rFonts w:hint="cs"/>
          <w:spacing w:val="0"/>
          <w:kern w:val="0"/>
          <w:sz w:val="20"/>
          <w:rtl/>
          <w:lang w:val="en-CA"/>
        </w:rPr>
        <w:t>ن</w:t>
      </w:r>
      <w:r w:rsidRPr="006B489A">
        <w:rPr>
          <w:spacing w:val="0"/>
          <w:kern w:val="0"/>
          <w:sz w:val="20"/>
          <w:rtl/>
          <w:lang w:val="en-CA"/>
        </w:rPr>
        <w:t xml:space="preserve"> </w:t>
      </w:r>
      <w:r w:rsidRPr="006B489A">
        <w:rPr>
          <w:rFonts w:hint="cs"/>
          <w:spacing w:val="0"/>
          <w:kern w:val="0"/>
          <w:sz w:val="20"/>
          <w:rtl/>
          <w:lang w:val="en-CA"/>
        </w:rPr>
        <w:t xml:space="preserve">من </w:t>
      </w:r>
      <w:r w:rsidRPr="006B489A">
        <w:rPr>
          <w:spacing w:val="0"/>
          <w:kern w:val="0"/>
          <w:sz w:val="20"/>
          <w:rtl/>
          <w:lang w:val="en-CA"/>
        </w:rPr>
        <w:t>أصول إثنية مختلطة</w:t>
      </w:r>
      <w:r w:rsidRPr="006B489A">
        <w:rPr>
          <w:rFonts w:hint="cs"/>
          <w:spacing w:val="0"/>
          <w:kern w:val="0"/>
          <w:sz w:val="20"/>
          <w:rtl/>
          <w:lang w:val="en-CA"/>
        </w:rPr>
        <w:t>،</w:t>
      </w:r>
      <w:r w:rsidRPr="006B489A">
        <w:rPr>
          <w:spacing w:val="0"/>
          <w:kern w:val="0"/>
          <w:sz w:val="20"/>
          <w:rtl/>
          <w:lang w:val="en-CA"/>
        </w:rPr>
        <w:t xml:space="preserve"> الذين يعودون بعد التماس اللجوء في الخارج</w:t>
      </w:r>
      <w:r w:rsidRPr="006B489A">
        <w:rPr>
          <w:rFonts w:hint="cs"/>
          <w:spacing w:val="0"/>
          <w:kern w:val="0"/>
          <w:sz w:val="20"/>
          <w:rtl/>
          <w:lang w:val="en-CA"/>
        </w:rPr>
        <w:t>،</w:t>
      </w:r>
      <w:r w:rsidRPr="006B489A">
        <w:rPr>
          <w:spacing w:val="0"/>
          <w:kern w:val="0"/>
          <w:sz w:val="20"/>
          <w:rtl/>
          <w:lang w:val="en-CA"/>
        </w:rPr>
        <w:t xml:space="preserve"> يتعرضون لخطر كبير في أذربيجان.</w:t>
      </w:r>
      <w:r w:rsidRPr="006B489A">
        <w:rPr>
          <w:rFonts w:hint="cs"/>
          <w:spacing w:val="0"/>
          <w:kern w:val="0"/>
          <w:sz w:val="20"/>
          <w:rtl/>
          <w:lang w:val="en-CA"/>
        </w:rPr>
        <w:t xml:space="preserve"> </w:t>
      </w:r>
      <w:r w:rsidRPr="006B489A">
        <w:rPr>
          <w:rFonts w:hint="eastAsia"/>
          <w:spacing w:val="0"/>
          <w:kern w:val="0"/>
          <w:sz w:val="20"/>
          <w:rtl/>
          <w:lang w:val="en-CA"/>
        </w:rPr>
        <w:t>وأشارت</w:t>
      </w:r>
      <w:r w:rsidRPr="006B489A">
        <w:rPr>
          <w:spacing w:val="0"/>
          <w:kern w:val="0"/>
          <w:sz w:val="20"/>
          <w:rtl/>
          <w:lang w:val="en-CA"/>
        </w:rPr>
        <w:t xml:space="preserve"> الوثيقة أيضاً إلى أنه من غير المؤكد ما إذا كانت أذربيجان ستقبلهم مرة أخرى وأنه</w:t>
      </w:r>
      <w:r w:rsidRPr="006B489A">
        <w:rPr>
          <w:rFonts w:hint="cs"/>
          <w:spacing w:val="0"/>
          <w:kern w:val="0"/>
          <w:sz w:val="20"/>
          <w:rtl/>
          <w:lang w:val="en-CA"/>
        </w:rPr>
        <w:t>م</w:t>
      </w:r>
      <w:r w:rsidRPr="006B489A">
        <w:rPr>
          <w:spacing w:val="0"/>
          <w:kern w:val="0"/>
          <w:sz w:val="20"/>
          <w:rtl/>
          <w:lang w:val="en-CA"/>
        </w:rPr>
        <w:t xml:space="preserve"> في حالة قبولهم سيتعرض</w:t>
      </w:r>
      <w:r w:rsidRPr="006B489A">
        <w:rPr>
          <w:rFonts w:hint="cs"/>
          <w:spacing w:val="0"/>
          <w:kern w:val="0"/>
          <w:sz w:val="20"/>
          <w:rtl/>
          <w:lang w:val="en-CA"/>
        </w:rPr>
        <w:t>ون</w:t>
      </w:r>
      <w:r w:rsidRPr="006B489A">
        <w:rPr>
          <w:spacing w:val="0"/>
          <w:kern w:val="0"/>
          <w:sz w:val="20"/>
          <w:rtl/>
          <w:lang w:val="en-CA"/>
        </w:rPr>
        <w:t xml:space="preserve"> لخطر كبير يتمثل في ضغط </w:t>
      </w:r>
      <w:r w:rsidRPr="006B489A">
        <w:rPr>
          <w:rFonts w:hint="cs"/>
          <w:spacing w:val="0"/>
          <w:kern w:val="0"/>
          <w:sz w:val="20"/>
          <w:rtl/>
          <w:lang w:val="en-CA"/>
        </w:rPr>
        <w:t xml:space="preserve">دوائر </w:t>
      </w:r>
      <w:r w:rsidRPr="006B489A">
        <w:rPr>
          <w:spacing w:val="0"/>
          <w:kern w:val="0"/>
          <w:sz w:val="20"/>
          <w:rtl/>
          <w:lang w:val="en-CA"/>
        </w:rPr>
        <w:t>الأمن عليهم أو معاملتهم بدون رأفة من قبل غالبية السكان. وتدعي الدولة الطرف أن الوثائق التي قدمتها مفوضية ال</w:t>
      </w:r>
      <w:r w:rsidRPr="006B489A">
        <w:rPr>
          <w:rFonts w:hint="eastAsia"/>
          <w:spacing w:val="0"/>
          <w:kern w:val="0"/>
          <w:sz w:val="20"/>
          <w:rtl/>
          <w:lang w:val="en-CA"/>
        </w:rPr>
        <w:t>أمم</w:t>
      </w:r>
      <w:r w:rsidRPr="006B489A">
        <w:rPr>
          <w:spacing w:val="0"/>
          <w:kern w:val="0"/>
          <w:sz w:val="20"/>
          <w:rtl/>
          <w:lang w:val="en-CA"/>
        </w:rPr>
        <w:t xml:space="preserve"> المتحدة لشؤون </w:t>
      </w:r>
      <w:r w:rsidRPr="006B489A">
        <w:rPr>
          <w:rFonts w:hint="cs"/>
          <w:spacing w:val="0"/>
          <w:kern w:val="0"/>
          <w:sz w:val="20"/>
          <w:rtl/>
          <w:lang w:val="en-CA"/>
        </w:rPr>
        <w:t>اللاجئين</w:t>
      </w:r>
      <w:r w:rsidRPr="006B489A">
        <w:rPr>
          <w:spacing w:val="0"/>
          <w:kern w:val="0"/>
          <w:sz w:val="20"/>
          <w:rtl/>
          <w:lang w:val="en-CA"/>
        </w:rPr>
        <w:t xml:space="preserve"> ومنظمة العفو الدولية ليست </w:t>
      </w:r>
      <w:r w:rsidRPr="006B489A">
        <w:rPr>
          <w:rFonts w:hint="cs"/>
          <w:spacing w:val="0"/>
          <w:kern w:val="0"/>
          <w:sz w:val="20"/>
          <w:rtl/>
          <w:lang w:val="en-CA"/>
        </w:rPr>
        <w:t>ذات</w:t>
      </w:r>
      <w:r w:rsidRPr="006B489A">
        <w:rPr>
          <w:spacing w:val="0"/>
          <w:kern w:val="0"/>
          <w:sz w:val="20"/>
          <w:rtl/>
          <w:lang w:val="en-CA"/>
        </w:rPr>
        <w:t xml:space="preserve"> صلة </w:t>
      </w:r>
      <w:r w:rsidRPr="006B489A">
        <w:rPr>
          <w:rFonts w:hint="cs"/>
          <w:spacing w:val="0"/>
          <w:kern w:val="0"/>
          <w:sz w:val="20"/>
          <w:rtl/>
          <w:lang w:val="en-CA"/>
        </w:rPr>
        <w:t>ب</w:t>
      </w:r>
      <w:r w:rsidRPr="006B489A">
        <w:rPr>
          <w:spacing w:val="0"/>
          <w:kern w:val="0"/>
          <w:sz w:val="20"/>
          <w:rtl/>
          <w:lang w:val="en-CA"/>
        </w:rPr>
        <w:t xml:space="preserve">قضية </w:t>
      </w:r>
      <w:r w:rsidRPr="006B489A">
        <w:rPr>
          <w:rFonts w:hint="cs"/>
          <w:spacing w:val="0"/>
          <w:kern w:val="0"/>
          <w:sz w:val="20"/>
          <w:rtl/>
          <w:lang w:val="en-CA"/>
        </w:rPr>
        <w:t xml:space="preserve">أصحاب </w:t>
      </w:r>
      <w:r w:rsidRPr="006B489A">
        <w:rPr>
          <w:spacing w:val="0"/>
          <w:kern w:val="0"/>
          <w:sz w:val="20"/>
          <w:rtl/>
          <w:lang w:val="en-CA"/>
        </w:rPr>
        <w:t>الشكوى. ووفقاً لشهادة ميلاد س. م.</w:t>
      </w:r>
      <w:r w:rsidRPr="006B489A">
        <w:rPr>
          <w:rFonts w:hint="cs"/>
          <w:spacing w:val="0"/>
          <w:kern w:val="0"/>
          <w:sz w:val="20"/>
          <w:rtl/>
          <w:lang w:val="en-CA"/>
        </w:rPr>
        <w:t>،</w:t>
      </w:r>
      <w:r w:rsidRPr="006B489A">
        <w:rPr>
          <w:spacing w:val="0"/>
          <w:kern w:val="0"/>
          <w:sz w:val="20"/>
          <w:rtl/>
          <w:lang w:val="en-CA"/>
        </w:rPr>
        <w:t xml:space="preserve"> فإن والده مواطن أذربيجاني ووالدته </w:t>
      </w:r>
      <w:r w:rsidRPr="006B489A">
        <w:rPr>
          <w:rFonts w:hint="cs"/>
          <w:spacing w:val="0"/>
          <w:kern w:val="0"/>
          <w:sz w:val="20"/>
          <w:rtl/>
          <w:lang w:val="en-CA"/>
        </w:rPr>
        <w:t xml:space="preserve">من </w:t>
      </w:r>
      <w:r w:rsidRPr="006B489A">
        <w:rPr>
          <w:spacing w:val="0"/>
          <w:kern w:val="0"/>
          <w:sz w:val="20"/>
          <w:rtl/>
          <w:lang w:val="en-CA"/>
        </w:rPr>
        <w:t xml:space="preserve">أصل </w:t>
      </w:r>
      <w:r w:rsidRPr="006B489A">
        <w:rPr>
          <w:rFonts w:hint="cs"/>
          <w:spacing w:val="0"/>
          <w:kern w:val="0"/>
          <w:sz w:val="20"/>
          <w:rtl/>
          <w:lang w:val="en-CA"/>
        </w:rPr>
        <w:t>أرمني</w:t>
      </w:r>
      <w:r w:rsidRPr="006B489A">
        <w:rPr>
          <w:spacing w:val="0"/>
          <w:kern w:val="0"/>
          <w:sz w:val="20"/>
          <w:rtl/>
          <w:lang w:val="en-CA"/>
        </w:rPr>
        <w:t xml:space="preserve">. ولقبه من الألقاب الاعتيادية لمن هم من أصل أذربيجاني </w:t>
      </w:r>
      <w:r w:rsidRPr="006B489A">
        <w:rPr>
          <w:rFonts w:hint="cs"/>
          <w:spacing w:val="0"/>
          <w:kern w:val="0"/>
          <w:sz w:val="20"/>
          <w:rtl/>
          <w:lang w:val="en-CA"/>
        </w:rPr>
        <w:t xml:space="preserve">وتبين </w:t>
      </w:r>
      <w:r w:rsidRPr="006B489A">
        <w:rPr>
          <w:spacing w:val="0"/>
          <w:kern w:val="0"/>
          <w:sz w:val="20"/>
          <w:rtl/>
          <w:lang w:val="en-CA"/>
        </w:rPr>
        <w:t>شهادات ميلاد أطفالهم</w:t>
      </w:r>
      <w:r w:rsidRPr="006B489A">
        <w:rPr>
          <w:rFonts w:hint="cs"/>
          <w:spacing w:val="0"/>
          <w:kern w:val="0"/>
          <w:sz w:val="20"/>
          <w:rtl/>
          <w:lang w:val="en-CA"/>
        </w:rPr>
        <w:t>ا</w:t>
      </w:r>
      <w:r w:rsidRPr="006B489A">
        <w:rPr>
          <w:spacing w:val="0"/>
          <w:kern w:val="0"/>
          <w:sz w:val="20"/>
          <w:rtl/>
          <w:lang w:val="en-CA"/>
        </w:rPr>
        <w:t xml:space="preserve"> أن </w:t>
      </w:r>
      <w:r w:rsidRPr="006B489A">
        <w:rPr>
          <w:rFonts w:hint="cs"/>
          <w:spacing w:val="0"/>
          <w:kern w:val="0"/>
          <w:sz w:val="20"/>
          <w:rtl/>
          <w:lang w:val="en-CA"/>
        </w:rPr>
        <w:t>أصحاب الشكوى</w:t>
      </w:r>
      <w:r w:rsidRPr="006B489A">
        <w:rPr>
          <w:spacing w:val="0"/>
          <w:kern w:val="0"/>
          <w:sz w:val="20"/>
          <w:rtl/>
          <w:lang w:val="en-CA"/>
        </w:rPr>
        <w:t xml:space="preserve"> من أص</w:t>
      </w:r>
      <w:r w:rsidRPr="006B489A">
        <w:rPr>
          <w:rFonts w:hint="eastAsia"/>
          <w:spacing w:val="0"/>
          <w:kern w:val="0"/>
          <w:sz w:val="20"/>
          <w:rtl/>
          <w:lang w:val="en-CA"/>
        </w:rPr>
        <w:t>ل</w:t>
      </w:r>
      <w:r w:rsidRPr="006B489A">
        <w:rPr>
          <w:spacing w:val="0"/>
          <w:kern w:val="0"/>
          <w:sz w:val="20"/>
          <w:rtl/>
          <w:lang w:val="en-CA"/>
        </w:rPr>
        <w:t xml:space="preserve"> إثني أذربيجاني. واستقبلت الأسرة بوصفها مكونة من مواطنين أذربيجان وقت ترحيلهم من السويد. ووفقاً لمفوضية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فإن </w:t>
      </w:r>
      <w:r w:rsidRPr="006B489A">
        <w:rPr>
          <w:rFonts w:hint="cs"/>
          <w:spacing w:val="0"/>
          <w:kern w:val="0"/>
          <w:sz w:val="20"/>
          <w:rtl/>
          <w:lang w:val="en-CA"/>
        </w:rPr>
        <w:t xml:space="preserve">من المرجح أن </w:t>
      </w:r>
      <w:r w:rsidRPr="006B489A">
        <w:rPr>
          <w:spacing w:val="0"/>
          <w:kern w:val="0"/>
          <w:sz w:val="20"/>
          <w:rtl/>
          <w:lang w:val="en-CA"/>
        </w:rPr>
        <w:t xml:space="preserve">البلد لم يكن ليستقبلهم </w:t>
      </w:r>
      <w:r w:rsidRPr="006B489A">
        <w:rPr>
          <w:rFonts w:hint="cs"/>
          <w:spacing w:val="0"/>
          <w:kern w:val="0"/>
          <w:sz w:val="20"/>
          <w:rtl/>
          <w:lang w:val="en-CA"/>
        </w:rPr>
        <w:t xml:space="preserve">لو </w:t>
      </w:r>
      <w:r w:rsidRPr="006B489A">
        <w:rPr>
          <w:spacing w:val="0"/>
          <w:kern w:val="0"/>
          <w:sz w:val="20"/>
          <w:rtl/>
          <w:lang w:val="en-CA"/>
        </w:rPr>
        <w:t xml:space="preserve">كانوا مسجلين كأشخاص </w:t>
      </w:r>
      <w:r w:rsidRPr="006B489A">
        <w:rPr>
          <w:rFonts w:hint="cs"/>
          <w:spacing w:val="0"/>
          <w:kern w:val="0"/>
          <w:sz w:val="20"/>
          <w:rtl/>
          <w:lang w:val="en-CA"/>
        </w:rPr>
        <w:t xml:space="preserve">من أصل </w:t>
      </w:r>
      <w:r w:rsidRPr="006B489A">
        <w:rPr>
          <w:spacing w:val="0"/>
          <w:kern w:val="0"/>
          <w:sz w:val="20"/>
          <w:rtl/>
          <w:lang w:val="en-CA"/>
        </w:rPr>
        <w:t xml:space="preserve">أرمني أو </w:t>
      </w:r>
      <w:r w:rsidRPr="006B489A">
        <w:rPr>
          <w:rFonts w:hint="cs"/>
          <w:spacing w:val="0"/>
          <w:kern w:val="0"/>
          <w:sz w:val="20"/>
          <w:rtl/>
          <w:lang w:val="en-CA"/>
        </w:rPr>
        <w:t xml:space="preserve">من </w:t>
      </w:r>
      <w:r w:rsidRPr="006B489A">
        <w:rPr>
          <w:spacing w:val="0"/>
          <w:kern w:val="0"/>
          <w:sz w:val="20"/>
          <w:rtl/>
          <w:lang w:val="en-CA"/>
        </w:rPr>
        <w:t>أصل إثني مختلط</w:t>
      </w:r>
      <w:r w:rsidRPr="006B489A">
        <w:rPr>
          <w:rFonts w:hint="cs"/>
          <w:spacing w:val="0"/>
          <w:kern w:val="0"/>
          <w:sz w:val="20"/>
          <w:rtl/>
          <w:lang w:val="en-CA"/>
        </w:rPr>
        <w:t>،</w:t>
      </w:r>
      <w:r w:rsidRPr="006B489A">
        <w:rPr>
          <w:spacing w:val="0"/>
          <w:kern w:val="0"/>
          <w:sz w:val="20"/>
          <w:rtl/>
          <w:lang w:val="en-CA"/>
        </w:rPr>
        <w:t xml:space="preserve"> ولذلك </w:t>
      </w:r>
      <w:r w:rsidRPr="006B489A">
        <w:rPr>
          <w:rFonts w:hint="cs"/>
          <w:spacing w:val="0"/>
          <w:kern w:val="0"/>
          <w:sz w:val="20"/>
          <w:rtl/>
          <w:lang w:val="en-CA"/>
        </w:rPr>
        <w:t>تدعي</w:t>
      </w:r>
      <w:r w:rsidRPr="006B489A">
        <w:rPr>
          <w:spacing w:val="0"/>
          <w:kern w:val="0"/>
          <w:sz w:val="20"/>
          <w:rtl/>
          <w:lang w:val="en-CA"/>
        </w:rPr>
        <w:t xml:space="preserve"> الدولة الطرف أن </w:t>
      </w:r>
      <w:r w:rsidRPr="006B489A">
        <w:rPr>
          <w:rFonts w:hint="eastAsia"/>
          <w:spacing w:val="0"/>
          <w:kern w:val="0"/>
          <w:sz w:val="20"/>
          <w:rtl/>
          <w:lang w:val="en-CA"/>
        </w:rPr>
        <w:t>من</w:t>
      </w:r>
      <w:r w:rsidRPr="006B489A">
        <w:rPr>
          <w:spacing w:val="0"/>
          <w:kern w:val="0"/>
          <w:sz w:val="20"/>
          <w:rtl/>
          <w:lang w:val="en-CA"/>
        </w:rPr>
        <w:t xml:space="preserve"> </w:t>
      </w:r>
      <w:r w:rsidRPr="006B489A">
        <w:rPr>
          <w:rFonts w:hint="cs"/>
          <w:spacing w:val="0"/>
          <w:kern w:val="0"/>
          <w:sz w:val="20"/>
          <w:rtl/>
          <w:lang w:val="en-CA"/>
        </w:rPr>
        <w:t>المشكوك فيه</w:t>
      </w:r>
      <w:r w:rsidRPr="006B489A">
        <w:rPr>
          <w:spacing w:val="0"/>
          <w:kern w:val="0"/>
          <w:sz w:val="20"/>
          <w:rtl/>
          <w:lang w:val="en-CA"/>
        </w:rPr>
        <w:t xml:space="preserve"> أن تعتبر السلطات الأذربيجانية أو أي سلطات أخرى </w:t>
      </w:r>
      <w:r w:rsidRPr="006B489A">
        <w:rPr>
          <w:rFonts w:hint="cs"/>
          <w:spacing w:val="0"/>
          <w:kern w:val="0"/>
          <w:sz w:val="20"/>
          <w:rtl/>
          <w:lang w:val="en-CA"/>
        </w:rPr>
        <w:t xml:space="preserve">أن أصحاب </w:t>
      </w:r>
      <w:r w:rsidRPr="006B489A">
        <w:rPr>
          <w:spacing w:val="0"/>
          <w:kern w:val="0"/>
          <w:sz w:val="20"/>
          <w:rtl/>
          <w:lang w:val="en-CA"/>
        </w:rPr>
        <w:t>الشكوى من أصل إثني أرمني أو مختلط</w:t>
      </w:r>
      <w:r w:rsidRPr="006B489A">
        <w:rPr>
          <w:rFonts w:hint="cs"/>
          <w:spacing w:val="0"/>
          <w:kern w:val="0"/>
          <w:sz w:val="20"/>
          <w:rtl/>
          <w:lang w:val="en-CA"/>
        </w:rPr>
        <w:t xml:space="preserve">. كما </w:t>
      </w:r>
      <w:r w:rsidRPr="006B489A">
        <w:rPr>
          <w:rFonts w:hint="eastAsia"/>
          <w:spacing w:val="0"/>
          <w:kern w:val="0"/>
          <w:sz w:val="20"/>
          <w:rtl/>
          <w:lang w:val="en-CA"/>
        </w:rPr>
        <w:t>تشير</w:t>
      </w:r>
      <w:r w:rsidRPr="006B489A">
        <w:rPr>
          <w:spacing w:val="0"/>
          <w:kern w:val="0"/>
          <w:sz w:val="20"/>
          <w:rtl/>
          <w:lang w:val="en-CA"/>
        </w:rPr>
        <w:t xml:space="preserve"> الدولة الطرف إلى أنه في وقت قريب في عام 2000</w:t>
      </w:r>
      <w:r w:rsidRPr="006B489A">
        <w:rPr>
          <w:rFonts w:hint="cs"/>
          <w:spacing w:val="0"/>
          <w:kern w:val="0"/>
          <w:sz w:val="20"/>
          <w:rtl/>
          <w:lang w:val="en-CA"/>
        </w:rPr>
        <w:t>،</w:t>
      </w:r>
      <w:r w:rsidRPr="006B489A">
        <w:rPr>
          <w:spacing w:val="0"/>
          <w:kern w:val="0"/>
          <w:sz w:val="20"/>
          <w:rtl/>
          <w:lang w:val="en-CA"/>
        </w:rPr>
        <w:t xml:space="preserve"> حصل س. م. على تصريح قيادة جديد وفي عام 2004 حصل </w:t>
      </w:r>
      <w:r w:rsidRPr="006B489A">
        <w:rPr>
          <w:rFonts w:hint="cs"/>
          <w:spacing w:val="0"/>
          <w:kern w:val="0"/>
          <w:sz w:val="20"/>
          <w:rtl/>
          <w:lang w:val="en-CA"/>
        </w:rPr>
        <w:t xml:space="preserve">أصحاب </w:t>
      </w:r>
      <w:r w:rsidRPr="006B489A">
        <w:rPr>
          <w:spacing w:val="0"/>
          <w:kern w:val="0"/>
          <w:sz w:val="20"/>
          <w:rtl/>
          <w:lang w:val="en-CA"/>
        </w:rPr>
        <w:t>الشكوى على جوازات سفر جديدة.</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4-17</w:t>
      </w:r>
      <w:r w:rsidRPr="006B489A">
        <w:rPr>
          <w:spacing w:val="0"/>
          <w:kern w:val="0"/>
          <w:sz w:val="20"/>
          <w:rtl/>
          <w:lang w:val="en-CA"/>
        </w:rPr>
        <w:tab/>
        <w:t xml:space="preserve">وتشير كذلك الدولة الطرف إلى أنه في حالة اعتبار </w:t>
      </w:r>
      <w:r w:rsidRPr="006B489A">
        <w:rPr>
          <w:rFonts w:hint="cs"/>
          <w:spacing w:val="0"/>
          <w:kern w:val="0"/>
          <w:sz w:val="20"/>
          <w:rtl/>
          <w:lang w:val="en-CA"/>
        </w:rPr>
        <w:t xml:space="preserve">أصحاب </w:t>
      </w:r>
      <w:r w:rsidRPr="006B489A">
        <w:rPr>
          <w:spacing w:val="0"/>
          <w:kern w:val="0"/>
          <w:sz w:val="20"/>
          <w:rtl/>
          <w:lang w:val="en-CA"/>
        </w:rPr>
        <w:t>الشكوى من أصل إثني مختلط، فإنهم لم يقدم</w:t>
      </w:r>
      <w:r w:rsidRPr="006B489A">
        <w:rPr>
          <w:rFonts w:hint="cs"/>
          <w:spacing w:val="0"/>
          <w:kern w:val="0"/>
          <w:sz w:val="20"/>
          <w:rtl/>
          <w:lang w:val="en-CA"/>
        </w:rPr>
        <w:t>وا</w:t>
      </w:r>
      <w:r w:rsidRPr="006B489A">
        <w:rPr>
          <w:spacing w:val="0"/>
          <w:kern w:val="0"/>
          <w:sz w:val="20"/>
          <w:rtl/>
          <w:lang w:val="en-CA"/>
        </w:rPr>
        <w:t xml:space="preserve"> ما يدعم أنهم سيتعرض</w:t>
      </w:r>
      <w:r w:rsidRPr="006B489A">
        <w:rPr>
          <w:rFonts w:hint="cs"/>
          <w:spacing w:val="0"/>
          <w:kern w:val="0"/>
          <w:sz w:val="20"/>
          <w:rtl/>
          <w:lang w:val="en-CA"/>
        </w:rPr>
        <w:t>و</w:t>
      </w:r>
      <w:r w:rsidRPr="006B489A">
        <w:rPr>
          <w:spacing w:val="0"/>
          <w:kern w:val="0"/>
          <w:sz w:val="20"/>
          <w:rtl/>
          <w:lang w:val="en-CA"/>
        </w:rPr>
        <w:t xml:space="preserve">ن لخطر سوء المعاملة </w:t>
      </w:r>
      <w:r w:rsidRPr="006B489A">
        <w:rPr>
          <w:rFonts w:hint="cs"/>
          <w:spacing w:val="0"/>
          <w:kern w:val="0"/>
          <w:sz w:val="20"/>
          <w:rtl/>
          <w:lang w:val="en-CA"/>
        </w:rPr>
        <w:t>بما ي</w:t>
      </w:r>
      <w:r w:rsidRPr="006B489A">
        <w:rPr>
          <w:spacing w:val="0"/>
          <w:kern w:val="0"/>
          <w:sz w:val="20"/>
          <w:rtl/>
          <w:lang w:val="en-CA"/>
        </w:rPr>
        <w:t xml:space="preserve">نتهك </w:t>
      </w:r>
      <w:r w:rsidRPr="006B489A">
        <w:rPr>
          <w:rFonts w:hint="cs"/>
          <w:spacing w:val="0"/>
          <w:kern w:val="0"/>
          <w:sz w:val="20"/>
          <w:rtl/>
          <w:lang w:val="en-CA"/>
        </w:rPr>
        <w:t>ا</w:t>
      </w:r>
      <w:r w:rsidRPr="006B489A">
        <w:rPr>
          <w:spacing w:val="0"/>
          <w:kern w:val="0"/>
          <w:sz w:val="20"/>
          <w:rtl/>
          <w:lang w:val="en-CA"/>
        </w:rPr>
        <w:t xml:space="preserve">لمادة 3 من الاتفاقية. </w:t>
      </w:r>
      <w:r w:rsidRPr="006B489A">
        <w:rPr>
          <w:rFonts w:hint="cs"/>
          <w:spacing w:val="0"/>
          <w:kern w:val="0"/>
          <w:sz w:val="20"/>
          <w:rtl/>
          <w:lang w:val="en-CA"/>
        </w:rPr>
        <w:t>وتُسلم</w:t>
      </w:r>
      <w:r w:rsidRPr="006B489A">
        <w:rPr>
          <w:spacing w:val="0"/>
          <w:kern w:val="0"/>
          <w:sz w:val="20"/>
          <w:rtl/>
          <w:lang w:val="en-CA"/>
        </w:rPr>
        <w:t xml:space="preserve"> الدولة الطرف بأن السكان الأرم</w:t>
      </w:r>
      <w:r w:rsidRPr="006B489A">
        <w:rPr>
          <w:rFonts w:hint="cs"/>
          <w:spacing w:val="0"/>
          <w:kern w:val="0"/>
          <w:sz w:val="20"/>
          <w:rtl/>
          <w:lang w:val="en-CA"/>
        </w:rPr>
        <w:t>ن</w:t>
      </w:r>
      <w:r w:rsidRPr="006B489A">
        <w:rPr>
          <w:spacing w:val="0"/>
          <w:kern w:val="0"/>
          <w:sz w:val="20"/>
          <w:rtl/>
          <w:lang w:val="en-CA"/>
        </w:rPr>
        <w:t xml:space="preserve"> </w:t>
      </w:r>
      <w:r w:rsidRPr="006B489A">
        <w:rPr>
          <w:rFonts w:hint="cs"/>
          <w:spacing w:val="0"/>
          <w:kern w:val="0"/>
          <w:sz w:val="20"/>
          <w:rtl/>
          <w:lang w:val="en-CA"/>
        </w:rPr>
        <w:t xml:space="preserve">من </w:t>
      </w:r>
      <w:r w:rsidRPr="006B489A">
        <w:rPr>
          <w:spacing w:val="0"/>
          <w:kern w:val="0"/>
          <w:sz w:val="20"/>
          <w:rtl/>
          <w:lang w:val="en-CA"/>
        </w:rPr>
        <w:t xml:space="preserve">أصل إثني مختلط يواجهون صعوبات في </w:t>
      </w:r>
      <w:r w:rsidRPr="006B489A">
        <w:rPr>
          <w:rFonts w:hint="eastAsia"/>
          <w:spacing w:val="0"/>
          <w:kern w:val="0"/>
          <w:sz w:val="20"/>
          <w:rtl/>
          <w:lang w:val="en-CA"/>
        </w:rPr>
        <w:t>المجتمع</w:t>
      </w:r>
      <w:r w:rsidRPr="006B489A">
        <w:rPr>
          <w:spacing w:val="0"/>
          <w:kern w:val="0"/>
          <w:sz w:val="20"/>
          <w:rtl/>
          <w:lang w:val="en-CA"/>
        </w:rPr>
        <w:t xml:space="preserve"> الأذربيجاني. غير أنه وفقاً لتقرير مفوضية الأمم المتحدة لشؤون </w:t>
      </w:r>
      <w:r w:rsidRPr="006B489A">
        <w:rPr>
          <w:rFonts w:hint="cs"/>
          <w:spacing w:val="0"/>
          <w:kern w:val="0"/>
          <w:sz w:val="20"/>
          <w:rtl/>
          <w:lang w:val="en-CA"/>
        </w:rPr>
        <w:t>اللاجئين</w:t>
      </w:r>
      <w:r w:rsidRPr="006B489A">
        <w:rPr>
          <w:spacing w:val="0"/>
          <w:kern w:val="0"/>
          <w:sz w:val="20"/>
          <w:rtl/>
          <w:lang w:val="en-CA"/>
        </w:rPr>
        <w:t xml:space="preserve"> المعنون "اعتبارات الحماية الدولية </w:t>
      </w:r>
      <w:r w:rsidRPr="006B489A">
        <w:rPr>
          <w:rFonts w:hint="eastAsia"/>
          <w:spacing w:val="0"/>
          <w:kern w:val="0"/>
          <w:sz w:val="20"/>
          <w:rtl/>
          <w:lang w:val="en-CA"/>
        </w:rPr>
        <w:t>فيما</w:t>
      </w:r>
      <w:r w:rsidRPr="006B489A">
        <w:rPr>
          <w:spacing w:val="0"/>
          <w:kern w:val="0"/>
          <w:sz w:val="20"/>
          <w:rtl/>
          <w:lang w:val="en-CA"/>
        </w:rPr>
        <w:t xml:space="preserve"> يتعلق </w:t>
      </w:r>
      <w:r w:rsidRPr="006B489A">
        <w:rPr>
          <w:rFonts w:hint="cs"/>
          <w:spacing w:val="0"/>
          <w:kern w:val="0"/>
          <w:sz w:val="20"/>
          <w:rtl/>
          <w:lang w:val="en-CA"/>
        </w:rPr>
        <w:t>بملتمسي</w:t>
      </w:r>
      <w:r w:rsidRPr="006B489A">
        <w:rPr>
          <w:spacing w:val="0"/>
          <w:kern w:val="0"/>
          <w:sz w:val="20"/>
          <w:rtl/>
          <w:lang w:val="en-CA"/>
        </w:rPr>
        <w:t xml:space="preserve"> اللجوء </w:t>
      </w:r>
      <w:r w:rsidRPr="006B489A">
        <w:rPr>
          <w:rFonts w:hint="cs"/>
          <w:spacing w:val="0"/>
          <w:kern w:val="0"/>
          <w:sz w:val="20"/>
          <w:rtl/>
          <w:lang w:val="en-CA"/>
        </w:rPr>
        <w:t>واللاجئين</w:t>
      </w:r>
      <w:r w:rsidRPr="006B489A">
        <w:rPr>
          <w:spacing w:val="0"/>
          <w:kern w:val="0"/>
          <w:sz w:val="20"/>
          <w:rtl/>
          <w:lang w:val="en-CA"/>
        </w:rPr>
        <w:t xml:space="preserve"> الأذربيجانيين" </w:t>
      </w:r>
      <w:r w:rsidRPr="006B489A">
        <w:rPr>
          <w:rFonts w:hint="cs"/>
          <w:spacing w:val="0"/>
          <w:kern w:val="0"/>
          <w:sz w:val="20"/>
          <w:rtl/>
          <w:lang w:val="en-CA"/>
        </w:rPr>
        <w:t>الصادر في</w:t>
      </w:r>
      <w:r w:rsidRPr="006B489A">
        <w:rPr>
          <w:spacing w:val="0"/>
          <w:kern w:val="0"/>
          <w:sz w:val="20"/>
          <w:rtl/>
          <w:lang w:val="en-CA"/>
        </w:rPr>
        <w:t xml:space="preserve"> أيلول/سبتمبر 2003، </w:t>
      </w:r>
      <w:r w:rsidRPr="006B489A">
        <w:rPr>
          <w:rFonts w:hint="cs"/>
          <w:spacing w:val="0"/>
          <w:kern w:val="0"/>
          <w:sz w:val="20"/>
          <w:rtl/>
          <w:lang w:val="en-CA"/>
        </w:rPr>
        <w:t xml:space="preserve">فإنه </w:t>
      </w:r>
      <w:r w:rsidRPr="006B489A">
        <w:rPr>
          <w:spacing w:val="0"/>
          <w:kern w:val="0"/>
          <w:sz w:val="20"/>
          <w:rtl/>
          <w:lang w:val="en-CA"/>
        </w:rPr>
        <w:t>على الرغم من أن السلطات تتسا</w:t>
      </w:r>
      <w:r w:rsidRPr="006B489A">
        <w:rPr>
          <w:rFonts w:hint="cs"/>
          <w:spacing w:val="0"/>
          <w:kern w:val="0"/>
          <w:sz w:val="20"/>
          <w:rtl/>
          <w:lang w:val="en-CA"/>
        </w:rPr>
        <w:t>مح</w:t>
      </w:r>
      <w:r w:rsidRPr="006B489A">
        <w:rPr>
          <w:spacing w:val="0"/>
          <w:kern w:val="0"/>
          <w:sz w:val="20"/>
          <w:rtl/>
          <w:lang w:val="en-CA"/>
        </w:rPr>
        <w:t xml:space="preserve"> إلى حد ما </w:t>
      </w:r>
      <w:r w:rsidRPr="006B489A">
        <w:rPr>
          <w:rFonts w:hint="cs"/>
          <w:spacing w:val="0"/>
          <w:kern w:val="0"/>
          <w:sz w:val="20"/>
          <w:rtl/>
          <w:lang w:val="en-CA"/>
        </w:rPr>
        <w:t>فيما يتعلق ب</w:t>
      </w:r>
      <w:r w:rsidRPr="006B489A">
        <w:rPr>
          <w:spacing w:val="0"/>
          <w:kern w:val="0"/>
          <w:sz w:val="20"/>
          <w:rtl/>
          <w:lang w:val="en-CA"/>
        </w:rPr>
        <w:t>التمييز ضد الأرم</w:t>
      </w:r>
      <w:r w:rsidRPr="006B489A">
        <w:rPr>
          <w:rFonts w:hint="cs"/>
          <w:spacing w:val="0"/>
          <w:kern w:val="0"/>
          <w:sz w:val="20"/>
          <w:rtl/>
          <w:lang w:val="en-CA"/>
        </w:rPr>
        <w:t>ن</w:t>
      </w:r>
      <w:r w:rsidRPr="006B489A">
        <w:rPr>
          <w:spacing w:val="0"/>
          <w:kern w:val="0"/>
          <w:sz w:val="20"/>
          <w:rtl/>
          <w:lang w:val="en-CA"/>
        </w:rPr>
        <w:t xml:space="preserve">، فإن </w:t>
      </w:r>
      <w:r w:rsidRPr="006B489A">
        <w:rPr>
          <w:rFonts w:hint="cs"/>
          <w:spacing w:val="0"/>
          <w:kern w:val="0"/>
          <w:sz w:val="20"/>
          <w:rtl/>
          <w:lang w:val="en-CA"/>
        </w:rPr>
        <w:t xml:space="preserve">ذلك ليس </w:t>
      </w:r>
      <w:r w:rsidRPr="006B489A">
        <w:rPr>
          <w:spacing w:val="0"/>
          <w:kern w:val="0"/>
          <w:sz w:val="20"/>
          <w:rtl/>
          <w:lang w:val="en-CA"/>
        </w:rPr>
        <w:t xml:space="preserve">سياسة رسمية في البلد ولا يرقى </w:t>
      </w:r>
      <w:r w:rsidRPr="006B489A">
        <w:rPr>
          <w:rFonts w:hint="cs"/>
          <w:spacing w:val="0"/>
          <w:kern w:val="0"/>
          <w:sz w:val="20"/>
          <w:rtl/>
          <w:lang w:val="en-CA"/>
        </w:rPr>
        <w:t>م</w:t>
      </w:r>
      <w:r w:rsidRPr="006B489A">
        <w:rPr>
          <w:spacing w:val="0"/>
          <w:kern w:val="0"/>
          <w:sz w:val="20"/>
          <w:rtl/>
          <w:lang w:val="en-CA"/>
        </w:rPr>
        <w:t>ستوى التمييز إلى الاضطهاد. وتؤ</w:t>
      </w:r>
      <w:r w:rsidRPr="006B489A">
        <w:rPr>
          <w:rFonts w:hint="eastAsia"/>
          <w:spacing w:val="0"/>
          <w:kern w:val="0"/>
          <w:sz w:val="20"/>
          <w:rtl/>
          <w:lang w:val="en-CA"/>
        </w:rPr>
        <w:t>كد</w:t>
      </w:r>
      <w:r w:rsidRPr="006B489A">
        <w:rPr>
          <w:spacing w:val="0"/>
          <w:kern w:val="0"/>
          <w:sz w:val="20"/>
          <w:rtl/>
          <w:lang w:val="en-CA"/>
        </w:rPr>
        <w:t xml:space="preserve"> الدولة الطرف أنه لا يوجد ما يشير إلى أن حالة الأرم</w:t>
      </w:r>
      <w:r w:rsidRPr="006B489A">
        <w:rPr>
          <w:rFonts w:hint="cs"/>
          <w:spacing w:val="0"/>
          <w:kern w:val="0"/>
          <w:sz w:val="20"/>
          <w:rtl/>
          <w:lang w:val="en-CA"/>
        </w:rPr>
        <w:t>ن</w:t>
      </w:r>
      <w:r w:rsidRPr="006B489A">
        <w:rPr>
          <w:spacing w:val="0"/>
          <w:kern w:val="0"/>
          <w:sz w:val="20"/>
          <w:rtl/>
          <w:lang w:val="en-CA"/>
        </w:rPr>
        <w:t xml:space="preserve"> في أذربيجان أسوأ </w:t>
      </w:r>
      <w:r w:rsidRPr="006B489A">
        <w:rPr>
          <w:rFonts w:hint="cs"/>
          <w:spacing w:val="0"/>
          <w:kern w:val="0"/>
          <w:sz w:val="20"/>
          <w:rtl/>
          <w:lang w:val="en-CA"/>
        </w:rPr>
        <w:t>مما كانت عليه في</w:t>
      </w:r>
      <w:r w:rsidRPr="006B489A">
        <w:rPr>
          <w:spacing w:val="0"/>
          <w:kern w:val="0"/>
          <w:sz w:val="20"/>
          <w:rtl/>
          <w:lang w:val="en-CA"/>
        </w:rPr>
        <w:t xml:space="preserve"> عام 2003</w:t>
      </w:r>
      <w:r w:rsidRPr="006B489A">
        <w:rPr>
          <w:rFonts w:hint="cs"/>
          <w:spacing w:val="0"/>
          <w:kern w:val="0"/>
          <w:sz w:val="20"/>
          <w:rtl/>
          <w:lang w:val="en-CA"/>
        </w:rPr>
        <w:t xml:space="preserve">؛ </w:t>
      </w:r>
      <w:r w:rsidRPr="006B489A">
        <w:rPr>
          <w:rFonts w:hint="eastAsia"/>
          <w:spacing w:val="0"/>
          <w:kern w:val="0"/>
          <w:sz w:val="20"/>
          <w:rtl/>
          <w:lang w:val="en-CA"/>
        </w:rPr>
        <w:t>وعلى</w:t>
      </w:r>
      <w:r w:rsidRPr="006B489A">
        <w:rPr>
          <w:spacing w:val="0"/>
          <w:kern w:val="0"/>
          <w:sz w:val="20"/>
          <w:rtl/>
          <w:lang w:val="en-CA"/>
        </w:rPr>
        <w:t xml:space="preserve"> العكس يبدو أن تقارير حديثة تشير إلى تحسن طفيف في هذا الصدد.</w:t>
      </w:r>
    </w:p>
    <w:p w:rsidR="006B489A" w:rsidRPr="006B489A" w:rsidRDefault="006B489A" w:rsidP="00C03ECB">
      <w:pPr>
        <w:pStyle w:val="SingleTxtGA"/>
        <w:jc w:val="lowKashida"/>
        <w:rPr>
          <w:spacing w:val="0"/>
          <w:kern w:val="0"/>
          <w:sz w:val="20"/>
          <w:rtl/>
          <w:lang w:val="en-CA"/>
        </w:rPr>
      </w:pPr>
      <w:r w:rsidRPr="006B489A">
        <w:rPr>
          <w:spacing w:val="0"/>
          <w:kern w:val="0"/>
          <w:sz w:val="20"/>
          <w:rtl/>
          <w:lang w:val="en-CA"/>
        </w:rPr>
        <w:t>4-18</w:t>
      </w:r>
      <w:r w:rsidRPr="006B489A">
        <w:rPr>
          <w:spacing w:val="0"/>
          <w:kern w:val="0"/>
          <w:sz w:val="20"/>
          <w:rtl/>
          <w:lang w:val="en-CA"/>
        </w:rPr>
        <w:tab/>
      </w:r>
      <w:r w:rsidRPr="006B489A">
        <w:rPr>
          <w:rFonts w:hint="cs"/>
          <w:spacing w:val="0"/>
          <w:kern w:val="0"/>
          <w:sz w:val="20"/>
          <w:rtl/>
          <w:lang w:val="en-CA"/>
        </w:rPr>
        <w:t xml:space="preserve">واحتج أصحاب </w:t>
      </w:r>
      <w:r w:rsidRPr="006B489A">
        <w:rPr>
          <w:spacing w:val="0"/>
          <w:kern w:val="0"/>
          <w:sz w:val="20"/>
          <w:rtl/>
          <w:lang w:val="en-CA"/>
        </w:rPr>
        <w:t xml:space="preserve">الشكوى أيضاً بوثيقة صادرة عن مفوضية الأمم المتحدة لحقوق الإنسان في باكو </w:t>
      </w:r>
      <w:r w:rsidRPr="006B489A">
        <w:rPr>
          <w:rFonts w:hint="cs"/>
          <w:spacing w:val="0"/>
          <w:kern w:val="0"/>
          <w:sz w:val="20"/>
          <w:rtl/>
          <w:lang w:val="en-CA"/>
        </w:rPr>
        <w:t xml:space="preserve">تلخص </w:t>
      </w:r>
      <w:r w:rsidRPr="006B489A">
        <w:rPr>
          <w:spacing w:val="0"/>
          <w:kern w:val="0"/>
          <w:sz w:val="20"/>
          <w:rtl/>
          <w:lang w:val="en-CA"/>
        </w:rPr>
        <w:t>الطلب الذي قدمه س. م. في 24 آب/أغسطس 2004 بعد إذا أعيدت الأسرة مرة أخرى إلى أذربيجان. وأشار س. م. إلى أنه احتجز هو وأسرته واستجوبوا لمدة يومين في المطار. وس</w:t>
      </w:r>
      <w:r w:rsidRPr="006B489A">
        <w:rPr>
          <w:rFonts w:hint="cs"/>
          <w:spacing w:val="0"/>
          <w:kern w:val="0"/>
          <w:sz w:val="20"/>
          <w:rtl/>
          <w:lang w:val="en-CA"/>
        </w:rPr>
        <w:t>ُ</w:t>
      </w:r>
      <w:r w:rsidRPr="006B489A">
        <w:rPr>
          <w:spacing w:val="0"/>
          <w:kern w:val="0"/>
          <w:sz w:val="20"/>
          <w:rtl/>
          <w:lang w:val="en-CA"/>
        </w:rPr>
        <w:t>مح لهم بت</w:t>
      </w:r>
      <w:r w:rsidRPr="006B489A">
        <w:rPr>
          <w:rFonts w:hint="eastAsia"/>
          <w:spacing w:val="0"/>
          <w:kern w:val="0"/>
          <w:sz w:val="20"/>
          <w:rtl/>
          <w:lang w:val="en-CA"/>
        </w:rPr>
        <w:t>رك</w:t>
      </w:r>
      <w:r w:rsidRPr="006B489A">
        <w:rPr>
          <w:spacing w:val="0"/>
          <w:kern w:val="0"/>
          <w:sz w:val="20"/>
          <w:rtl/>
          <w:lang w:val="en-CA"/>
        </w:rPr>
        <w:t xml:space="preserve"> المطار </w:t>
      </w:r>
      <w:r w:rsidRPr="006B489A">
        <w:rPr>
          <w:rFonts w:hint="cs"/>
          <w:spacing w:val="0"/>
          <w:kern w:val="0"/>
          <w:sz w:val="20"/>
          <w:rtl/>
          <w:lang w:val="en-CA"/>
        </w:rPr>
        <w:t>نظراً</w:t>
      </w:r>
      <w:r w:rsidRPr="006B489A">
        <w:rPr>
          <w:spacing w:val="0"/>
          <w:kern w:val="0"/>
          <w:sz w:val="20"/>
          <w:rtl/>
          <w:lang w:val="en-CA"/>
        </w:rPr>
        <w:t xml:space="preserve"> </w:t>
      </w:r>
      <w:r w:rsidRPr="006B489A">
        <w:rPr>
          <w:rFonts w:hint="cs"/>
          <w:spacing w:val="0"/>
          <w:kern w:val="0"/>
          <w:sz w:val="20"/>
          <w:rtl/>
          <w:lang w:val="en-CA"/>
        </w:rPr>
        <w:t>ل</w:t>
      </w:r>
      <w:r w:rsidRPr="006B489A">
        <w:rPr>
          <w:spacing w:val="0"/>
          <w:kern w:val="0"/>
          <w:sz w:val="20"/>
          <w:rtl/>
          <w:lang w:val="en-CA"/>
        </w:rPr>
        <w:t xml:space="preserve">تدهور صحته وصحة ابنته. ويدعي </w:t>
      </w:r>
      <w:r w:rsidRPr="006B489A">
        <w:rPr>
          <w:rFonts w:hint="cs"/>
          <w:spacing w:val="0"/>
          <w:kern w:val="0"/>
          <w:sz w:val="20"/>
          <w:rtl/>
          <w:lang w:val="en-CA"/>
        </w:rPr>
        <w:t>كذلك</w:t>
      </w:r>
      <w:r w:rsidRPr="006B489A">
        <w:rPr>
          <w:spacing w:val="0"/>
          <w:kern w:val="0"/>
          <w:sz w:val="20"/>
          <w:rtl/>
          <w:lang w:val="en-CA"/>
        </w:rPr>
        <w:t xml:space="preserve"> أنه ط</w:t>
      </w:r>
      <w:r w:rsidRPr="006B489A">
        <w:rPr>
          <w:rFonts w:hint="cs"/>
          <w:spacing w:val="0"/>
          <w:kern w:val="0"/>
          <w:sz w:val="20"/>
          <w:rtl/>
          <w:lang w:val="en-CA"/>
        </w:rPr>
        <w:t>ُ</w:t>
      </w:r>
      <w:r w:rsidRPr="006B489A">
        <w:rPr>
          <w:spacing w:val="0"/>
          <w:kern w:val="0"/>
          <w:sz w:val="20"/>
          <w:rtl/>
          <w:lang w:val="en-CA"/>
        </w:rPr>
        <w:t>لب إليه الحضور في تاريخ معين هو وزوجته للاستجواب وأنهما استجوبا لمدة ساعة وه</w:t>
      </w:r>
      <w:r w:rsidRPr="006B489A">
        <w:rPr>
          <w:rFonts w:hint="cs"/>
          <w:spacing w:val="0"/>
          <w:kern w:val="0"/>
          <w:sz w:val="20"/>
          <w:rtl/>
          <w:lang w:val="en-CA"/>
        </w:rPr>
        <w:t>ُ</w:t>
      </w:r>
      <w:r w:rsidRPr="006B489A">
        <w:rPr>
          <w:spacing w:val="0"/>
          <w:kern w:val="0"/>
          <w:sz w:val="20"/>
          <w:rtl/>
          <w:lang w:val="en-CA"/>
        </w:rPr>
        <w:t xml:space="preserve">ددا بالسجن. </w:t>
      </w:r>
      <w:r w:rsidRPr="006B489A">
        <w:rPr>
          <w:rFonts w:hint="cs"/>
          <w:spacing w:val="0"/>
          <w:kern w:val="0"/>
          <w:sz w:val="20"/>
          <w:rtl/>
          <w:lang w:val="en-CA"/>
        </w:rPr>
        <w:t>و</w:t>
      </w:r>
      <w:r w:rsidRPr="006B489A">
        <w:rPr>
          <w:spacing w:val="0"/>
          <w:kern w:val="0"/>
          <w:sz w:val="20"/>
          <w:rtl/>
          <w:lang w:val="en-CA"/>
        </w:rPr>
        <w:t xml:space="preserve">أشار س. م. </w:t>
      </w:r>
      <w:r w:rsidRPr="006B489A">
        <w:rPr>
          <w:rFonts w:hint="cs"/>
          <w:spacing w:val="0"/>
          <w:kern w:val="0"/>
          <w:sz w:val="20"/>
          <w:rtl/>
          <w:lang w:val="en-CA"/>
        </w:rPr>
        <w:t xml:space="preserve">أيضاً </w:t>
      </w:r>
      <w:r w:rsidRPr="006B489A">
        <w:rPr>
          <w:spacing w:val="0"/>
          <w:kern w:val="0"/>
          <w:sz w:val="20"/>
          <w:rtl/>
          <w:lang w:val="en-CA"/>
        </w:rPr>
        <w:t xml:space="preserve">إلى أن </w:t>
      </w:r>
      <w:r w:rsidRPr="006B489A">
        <w:rPr>
          <w:rFonts w:hint="cs"/>
          <w:spacing w:val="0"/>
          <w:kern w:val="0"/>
          <w:sz w:val="20"/>
          <w:rtl/>
          <w:lang w:val="en-CA"/>
        </w:rPr>
        <w:t>شقيقه</w:t>
      </w:r>
      <w:r w:rsidRPr="006B489A">
        <w:rPr>
          <w:spacing w:val="0"/>
          <w:kern w:val="0"/>
          <w:sz w:val="20"/>
          <w:rtl/>
          <w:lang w:val="en-CA"/>
        </w:rPr>
        <w:t xml:space="preserve">، الذي يعيش مع أمهم الأرمنية في باكو، لم يواجه صعوبات مماثلة بسبب أصله الإثني. ولا تشير الوثيقة إلى سوء </w:t>
      </w:r>
      <w:r w:rsidRPr="006B489A">
        <w:rPr>
          <w:rFonts w:hint="cs"/>
          <w:spacing w:val="0"/>
          <w:kern w:val="0"/>
          <w:sz w:val="20"/>
          <w:rtl/>
          <w:lang w:val="en-CA"/>
        </w:rPr>
        <w:t>ال</w:t>
      </w:r>
      <w:r w:rsidRPr="006B489A">
        <w:rPr>
          <w:spacing w:val="0"/>
          <w:kern w:val="0"/>
          <w:sz w:val="20"/>
          <w:rtl/>
          <w:lang w:val="en-CA"/>
        </w:rPr>
        <w:t xml:space="preserve">معاملة </w:t>
      </w:r>
      <w:r w:rsidRPr="006B489A">
        <w:rPr>
          <w:rFonts w:hint="cs"/>
          <w:spacing w:val="0"/>
          <w:kern w:val="0"/>
          <w:sz w:val="20"/>
          <w:rtl/>
          <w:lang w:val="en-CA"/>
        </w:rPr>
        <w:t xml:space="preserve">التي </w:t>
      </w:r>
      <w:r w:rsidRPr="006B489A">
        <w:rPr>
          <w:spacing w:val="0"/>
          <w:kern w:val="0"/>
          <w:sz w:val="20"/>
          <w:rtl/>
          <w:lang w:val="en-CA"/>
        </w:rPr>
        <w:t>ادعى س. م.</w:t>
      </w:r>
      <w:r w:rsidRPr="006B489A">
        <w:rPr>
          <w:rFonts w:hint="cs"/>
          <w:spacing w:val="0"/>
          <w:kern w:val="0"/>
          <w:sz w:val="20"/>
          <w:rtl/>
          <w:lang w:val="en-CA"/>
        </w:rPr>
        <w:t xml:space="preserve"> أنه عانى منها</w:t>
      </w:r>
      <w:r w:rsidRPr="006B489A">
        <w:rPr>
          <w:spacing w:val="0"/>
          <w:kern w:val="0"/>
          <w:sz w:val="20"/>
          <w:rtl/>
          <w:lang w:val="en-CA"/>
        </w:rPr>
        <w:t xml:space="preserve"> أثناء الاستجواب في المطار. وبالإضافة إلى ذلك، </w:t>
      </w:r>
      <w:r w:rsidRPr="006B489A">
        <w:rPr>
          <w:rFonts w:hint="cs"/>
          <w:spacing w:val="0"/>
          <w:kern w:val="0"/>
          <w:sz w:val="20"/>
          <w:rtl/>
          <w:lang w:val="en-CA"/>
        </w:rPr>
        <w:t>و</w:t>
      </w:r>
      <w:r w:rsidRPr="006B489A">
        <w:rPr>
          <w:spacing w:val="0"/>
          <w:kern w:val="0"/>
          <w:sz w:val="20"/>
          <w:rtl/>
          <w:lang w:val="en-CA"/>
        </w:rPr>
        <w:t xml:space="preserve">وفقاً للوثيقة </w:t>
      </w:r>
      <w:r w:rsidRPr="006B489A">
        <w:rPr>
          <w:rFonts w:hint="cs"/>
          <w:spacing w:val="0"/>
          <w:kern w:val="0"/>
          <w:sz w:val="20"/>
          <w:rtl/>
          <w:lang w:val="en-CA"/>
        </w:rPr>
        <w:t>المذكورة</w:t>
      </w:r>
      <w:r w:rsidRPr="006B489A">
        <w:rPr>
          <w:spacing w:val="0"/>
          <w:kern w:val="0"/>
          <w:sz w:val="20"/>
          <w:rtl/>
          <w:lang w:val="en-CA"/>
        </w:rPr>
        <w:t xml:space="preserve"> أعلاه، أشار س. م. إلى أن قوات الأمن احتجز</w:t>
      </w:r>
      <w:r w:rsidRPr="006B489A">
        <w:rPr>
          <w:rFonts w:hint="cs"/>
          <w:spacing w:val="0"/>
          <w:kern w:val="0"/>
          <w:sz w:val="20"/>
          <w:rtl/>
          <w:lang w:val="en-CA"/>
        </w:rPr>
        <w:t>ته</w:t>
      </w:r>
      <w:r w:rsidRPr="006B489A">
        <w:rPr>
          <w:spacing w:val="0"/>
          <w:kern w:val="0"/>
          <w:sz w:val="20"/>
          <w:rtl/>
          <w:lang w:val="en-CA"/>
        </w:rPr>
        <w:t xml:space="preserve"> هو وأسرته في المطار لمدة يومين، في حين أنه ادعى أمام السلطات السويدية أن احتج</w:t>
      </w:r>
      <w:r w:rsidRPr="006B489A">
        <w:rPr>
          <w:rFonts w:hint="eastAsia"/>
          <w:spacing w:val="0"/>
          <w:kern w:val="0"/>
          <w:sz w:val="20"/>
          <w:rtl/>
          <w:lang w:val="en-CA"/>
        </w:rPr>
        <w:t>ازه</w:t>
      </w:r>
      <w:r w:rsidRPr="006B489A">
        <w:rPr>
          <w:spacing w:val="0"/>
          <w:kern w:val="0"/>
          <w:sz w:val="20"/>
          <w:rtl/>
          <w:lang w:val="en-CA"/>
        </w:rPr>
        <w:t xml:space="preserve"> استمر لمدة أربعة أو</w:t>
      </w:r>
      <w:r w:rsidR="00C03ECB">
        <w:rPr>
          <w:rFonts w:hint="cs"/>
          <w:spacing w:val="0"/>
          <w:kern w:val="0"/>
          <w:sz w:val="20"/>
          <w:rtl/>
          <w:lang w:val="en-CA"/>
        </w:rPr>
        <w:t> </w:t>
      </w:r>
      <w:r w:rsidRPr="006B489A">
        <w:rPr>
          <w:spacing w:val="0"/>
          <w:kern w:val="0"/>
          <w:sz w:val="20"/>
          <w:rtl/>
          <w:lang w:val="en-CA"/>
        </w:rPr>
        <w:t>خمسة أيام.</w:t>
      </w:r>
      <w:r w:rsidRPr="006B489A">
        <w:rPr>
          <w:rFonts w:hint="cs"/>
          <w:spacing w:val="0"/>
          <w:kern w:val="0"/>
          <w:sz w:val="20"/>
          <w:rtl/>
          <w:lang w:val="en-CA"/>
        </w:rPr>
        <w:t xml:space="preserve"> ومن شأن</w:t>
      </w:r>
      <w:r w:rsidRPr="006B489A">
        <w:rPr>
          <w:spacing w:val="0"/>
          <w:kern w:val="0"/>
          <w:sz w:val="20"/>
          <w:rtl/>
          <w:lang w:val="en-CA"/>
        </w:rPr>
        <w:t xml:space="preserve"> أوجه عدم الاتساق هذه </w:t>
      </w:r>
      <w:r w:rsidRPr="006B489A">
        <w:rPr>
          <w:rFonts w:hint="cs"/>
          <w:spacing w:val="0"/>
          <w:kern w:val="0"/>
          <w:sz w:val="20"/>
          <w:rtl/>
          <w:lang w:val="en-CA"/>
        </w:rPr>
        <w:t xml:space="preserve">أن </w:t>
      </w:r>
      <w:r w:rsidRPr="006B489A">
        <w:rPr>
          <w:spacing w:val="0"/>
          <w:kern w:val="0"/>
          <w:sz w:val="20"/>
          <w:rtl/>
          <w:lang w:val="en-CA"/>
        </w:rPr>
        <w:t xml:space="preserve">تضعف </w:t>
      </w:r>
      <w:r w:rsidRPr="006B489A">
        <w:rPr>
          <w:rFonts w:hint="cs"/>
          <w:spacing w:val="0"/>
          <w:kern w:val="0"/>
          <w:sz w:val="20"/>
          <w:rtl/>
          <w:lang w:val="en-CA"/>
        </w:rPr>
        <w:t xml:space="preserve">المصداقية </w:t>
      </w:r>
      <w:r w:rsidRPr="006B489A">
        <w:rPr>
          <w:spacing w:val="0"/>
          <w:kern w:val="0"/>
          <w:sz w:val="20"/>
          <w:rtl/>
          <w:lang w:val="en-CA"/>
        </w:rPr>
        <w:t xml:space="preserve">العامة </w:t>
      </w:r>
      <w:r w:rsidRPr="006B489A">
        <w:rPr>
          <w:rFonts w:hint="cs"/>
          <w:spacing w:val="0"/>
          <w:kern w:val="0"/>
          <w:sz w:val="20"/>
          <w:rtl/>
          <w:lang w:val="en-CA"/>
        </w:rPr>
        <w:t>لإفادات</w:t>
      </w:r>
      <w:r w:rsidRPr="006B489A">
        <w:rPr>
          <w:spacing w:val="0"/>
          <w:kern w:val="0"/>
          <w:sz w:val="20"/>
          <w:rtl/>
          <w:lang w:val="en-CA"/>
        </w:rPr>
        <w:t xml:space="preserve"> </w:t>
      </w:r>
      <w:r w:rsidRPr="006B489A">
        <w:rPr>
          <w:rFonts w:hint="cs"/>
          <w:spacing w:val="0"/>
          <w:kern w:val="0"/>
          <w:sz w:val="20"/>
          <w:rtl/>
          <w:lang w:val="en-CA"/>
        </w:rPr>
        <w:t xml:space="preserve">أصحاب </w:t>
      </w:r>
      <w:r w:rsidRPr="006B489A">
        <w:rPr>
          <w:spacing w:val="0"/>
          <w:kern w:val="0"/>
          <w:sz w:val="20"/>
          <w:rtl/>
          <w:lang w:val="en-CA"/>
        </w:rPr>
        <w:t xml:space="preserve">الشكوى </w:t>
      </w:r>
      <w:r w:rsidRPr="006B489A">
        <w:rPr>
          <w:rFonts w:hint="cs"/>
          <w:spacing w:val="0"/>
          <w:kern w:val="0"/>
          <w:sz w:val="20"/>
          <w:rtl/>
          <w:lang w:val="en-CA"/>
        </w:rPr>
        <w:t>المتعلقة ب</w:t>
      </w:r>
      <w:r w:rsidRPr="006B489A">
        <w:rPr>
          <w:spacing w:val="0"/>
          <w:kern w:val="0"/>
          <w:sz w:val="20"/>
          <w:rtl/>
          <w:lang w:val="en-CA"/>
        </w:rPr>
        <w:t>تجربتهم بعد ترحيل</w:t>
      </w:r>
      <w:r w:rsidRPr="006B489A">
        <w:rPr>
          <w:rFonts w:hint="cs"/>
          <w:spacing w:val="0"/>
          <w:kern w:val="0"/>
          <w:sz w:val="20"/>
          <w:rtl/>
          <w:lang w:val="en-CA"/>
        </w:rPr>
        <w:t>هم</w:t>
      </w:r>
      <w:r w:rsidRPr="006B489A">
        <w:rPr>
          <w:spacing w:val="0"/>
          <w:kern w:val="0"/>
          <w:sz w:val="20"/>
          <w:rtl/>
          <w:lang w:val="en-CA"/>
        </w:rPr>
        <w:t xml:space="preserve"> إلى أذربيجان. وبالإضافة إلى ذلك، يبدو أن هناك تعارضاً شديداً نظر</w:t>
      </w:r>
      <w:r w:rsidRPr="006B489A">
        <w:rPr>
          <w:rFonts w:hint="cs"/>
          <w:spacing w:val="0"/>
          <w:kern w:val="0"/>
          <w:sz w:val="20"/>
          <w:rtl/>
          <w:lang w:val="en-CA"/>
        </w:rPr>
        <w:t>اً</w:t>
      </w:r>
      <w:r w:rsidRPr="006B489A">
        <w:rPr>
          <w:spacing w:val="0"/>
          <w:kern w:val="0"/>
          <w:sz w:val="20"/>
          <w:rtl/>
          <w:lang w:val="en-CA"/>
        </w:rPr>
        <w:t xml:space="preserve"> لأن </w:t>
      </w:r>
      <w:r w:rsidRPr="006B489A">
        <w:rPr>
          <w:rFonts w:hint="cs"/>
          <w:spacing w:val="0"/>
          <w:kern w:val="0"/>
          <w:sz w:val="20"/>
          <w:rtl/>
          <w:lang w:val="en-CA"/>
        </w:rPr>
        <w:t>شقيق</w:t>
      </w:r>
      <w:r w:rsidRPr="006B489A">
        <w:rPr>
          <w:spacing w:val="0"/>
          <w:kern w:val="0"/>
          <w:sz w:val="20"/>
          <w:rtl/>
          <w:lang w:val="en-CA"/>
        </w:rPr>
        <w:t xml:space="preserve"> س. م. الذي يعيش </w:t>
      </w:r>
      <w:r w:rsidRPr="006B489A">
        <w:rPr>
          <w:rFonts w:hint="cs"/>
          <w:spacing w:val="0"/>
          <w:kern w:val="0"/>
          <w:sz w:val="20"/>
          <w:rtl/>
          <w:lang w:val="en-CA"/>
        </w:rPr>
        <w:t xml:space="preserve">على ما يبدو </w:t>
      </w:r>
      <w:r w:rsidRPr="006B489A">
        <w:rPr>
          <w:spacing w:val="0"/>
          <w:kern w:val="0"/>
          <w:sz w:val="20"/>
          <w:rtl/>
          <w:lang w:val="en-CA"/>
        </w:rPr>
        <w:t>مع أمهما الأرمنية</w:t>
      </w:r>
      <w:r w:rsidRPr="006B489A">
        <w:rPr>
          <w:rFonts w:hint="cs"/>
          <w:spacing w:val="0"/>
          <w:kern w:val="0"/>
          <w:sz w:val="20"/>
          <w:rtl/>
          <w:lang w:val="en-CA"/>
        </w:rPr>
        <w:t>،</w:t>
      </w:r>
      <w:r w:rsidRPr="006B489A">
        <w:rPr>
          <w:spacing w:val="0"/>
          <w:kern w:val="0"/>
          <w:sz w:val="20"/>
          <w:rtl/>
          <w:lang w:val="en-CA"/>
        </w:rPr>
        <w:t xml:space="preserve"> لم يواجه أي صعو</w:t>
      </w:r>
      <w:r w:rsidRPr="006B489A">
        <w:rPr>
          <w:rFonts w:hint="eastAsia"/>
          <w:spacing w:val="0"/>
          <w:kern w:val="0"/>
          <w:sz w:val="20"/>
          <w:rtl/>
          <w:lang w:val="en-CA"/>
        </w:rPr>
        <w:t>بات</w:t>
      </w:r>
      <w:r w:rsidRPr="006B489A">
        <w:rPr>
          <w:spacing w:val="0"/>
          <w:kern w:val="0"/>
          <w:sz w:val="20"/>
          <w:rtl/>
          <w:lang w:val="en-CA"/>
        </w:rPr>
        <w:t xml:space="preserve"> بسبب أصله الإثني.</w:t>
      </w:r>
    </w:p>
    <w:p w:rsidR="006B489A" w:rsidRPr="006B489A" w:rsidRDefault="006B489A" w:rsidP="00C03ECB">
      <w:pPr>
        <w:pStyle w:val="SingleTxtGA"/>
        <w:spacing w:line="374" w:lineRule="exact"/>
        <w:jc w:val="lowKashida"/>
        <w:rPr>
          <w:spacing w:val="0"/>
          <w:kern w:val="0"/>
          <w:sz w:val="20"/>
          <w:szCs w:val="20"/>
          <w:rtl/>
        </w:rPr>
      </w:pPr>
      <w:r w:rsidRPr="006B489A">
        <w:rPr>
          <w:spacing w:val="0"/>
          <w:kern w:val="0"/>
          <w:sz w:val="20"/>
          <w:rtl/>
          <w:lang w:val="en-CA"/>
        </w:rPr>
        <w:t>4-19</w:t>
      </w:r>
      <w:r w:rsidRPr="006B489A">
        <w:rPr>
          <w:spacing w:val="0"/>
          <w:kern w:val="0"/>
          <w:sz w:val="20"/>
          <w:rtl/>
          <w:lang w:val="en-CA"/>
        </w:rPr>
        <w:tab/>
        <w:t xml:space="preserve">وهناك عدم اتساق أيضاً </w:t>
      </w:r>
      <w:r w:rsidRPr="006B489A">
        <w:rPr>
          <w:rFonts w:hint="cs"/>
          <w:spacing w:val="0"/>
          <w:kern w:val="0"/>
          <w:sz w:val="20"/>
          <w:rtl/>
          <w:lang w:val="en-CA"/>
        </w:rPr>
        <w:t xml:space="preserve">في أقوال أصحاب </w:t>
      </w:r>
      <w:r w:rsidRPr="006B489A">
        <w:rPr>
          <w:spacing w:val="0"/>
          <w:kern w:val="0"/>
          <w:sz w:val="20"/>
          <w:rtl/>
          <w:lang w:val="en-CA"/>
        </w:rPr>
        <w:t xml:space="preserve">الشكوى </w:t>
      </w:r>
      <w:r w:rsidRPr="006B489A">
        <w:rPr>
          <w:rFonts w:hint="cs"/>
          <w:spacing w:val="0"/>
          <w:kern w:val="0"/>
          <w:sz w:val="20"/>
          <w:rtl/>
          <w:lang w:val="en-CA"/>
        </w:rPr>
        <w:t>بشأن ما</w:t>
      </w:r>
      <w:r w:rsidRPr="006B489A">
        <w:rPr>
          <w:spacing w:val="0"/>
          <w:kern w:val="0"/>
          <w:sz w:val="20"/>
          <w:rtl/>
          <w:lang w:val="en-CA"/>
        </w:rPr>
        <w:t xml:space="preserve"> حدث بعد إقامة س.</w:t>
      </w:r>
      <w:r w:rsidRPr="006B489A">
        <w:rPr>
          <w:rFonts w:hint="cs"/>
          <w:spacing w:val="0"/>
          <w:kern w:val="0"/>
          <w:sz w:val="20"/>
          <w:rtl/>
          <w:lang w:val="en-CA"/>
        </w:rPr>
        <w:t> </w:t>
      </w:r>
      <w:r w:rsidRPr="006B489A">
        <w:rPr>
          <w:spacing w:val="0"/>
          <w:kern w:val="0"/>
          <w:sz w:val="20"/>
          <w:rtl/>
          <w:lang w:val="en-CA"/>
        </w:rPr>
        <w:t>م. في المستشفى في أيلول/سبتمبر 2004. فقد أشار كل من س. م. و</w:t>
      </w:r>
      <w:r w:rsidRPr="006B489A">
        <w:rPr>
          <w:rFonts w:hint="cs"/>
          <w:spacing w:val="0"/>
          <w:kern w:val="0"/>
          <w:sz w:val="20"/>
          <w:rtl/>
          <w:lang w:val="en-CA"/>
        </w:rPr>
        <w:t>ﻫ. م.</w:t>
      </w:r>
      <w:r w:rsidRPr="006B489A">
        <w:rPr>
          <w:spacing w:val="0"/>
          <w:kern w:val="0"/>
          <w:sz w:val="20"/>
          <w:rtl/>
          <w:lang w:val="en-CA"/>
        </w:rPr>
        <w:t xml:space="preserve"> على حد</w:t>
      </w:r>
      <w:r w:rsidRPr="006B489A">
        <w:rPr>
          <w:rFonts w:hint="cs"/>
          <w:spacing w:val="0"/>
          <w:kern w:val="0"/>
          <w:sz w:val="20"/>
          <w:rtl/>
          <w:lang w:val="en-CA"/>
        </w:rPr>
        <w:t>ة</w:t>
      </w:r>
      <w:r w:rsidRPr="006B489A">
        <w:rPr>
          <w:spacing w:val="0"/>
          <w:kern w:val="0"/>
          <w:sz w:val="20"/>
          <w:rtl/>
          <w:lang w:val="en-CA"/>
        </w:rPr>
        <w:t xml:space="preserve"> خطياً إلى أنه</w:t>
      </w:r>
      <w:r w:rsidRPr="006B489A">
        <w:rPr>
          <w:rFonts w:hint="cs"/>
          <w:spacing w:val="0"/>
          <w:kern w:val="0"/>
          <w:sz w:val="20"/>
          <w:rtl/>
          <w:lang w:val="en-CA"/>
        </w:rPr>
        <w:t>ما</w:t>
      </w:r>
      <w:r w:rsidRPr="006B489A">
        <w:rPr>
          <w:spacing w:val="0"/>
          <w:kern w:val="0"/>
          <w:sz w:val="20"/>
          <w:rtl/>
          <w:lang w:val="en-CA"/>
        </w:rPr>
        <w:t xml:space="preserve"> است</w:t>
      </w:r>
      <w:r w:rsidRPr="006B489A">
        <w:rPr>
          <w:rFonts w:hint="cs"/>
          <w:spacing w:val="0"/>
          <w:kern w:val="0"/>
          <w:sz w:val="20"/>
          <w:rtl/>
          <w:lang w:val="en-CA"/>
        </w:rPr>
        <w:t>ُ</w:t>
      </w:r>
      <w:r w:rsidRPr="006B489A">
        <w:rPr>
          <w:spacing w:val="0"/>
          <w:kern w:val="0"/>
          <w:sz w:val="20"/>
          <w:rtl/>
          <w:lang w:val="en-CA"/>
        </w:rPr>
        <w:t>جوب</w:t>
      </w:r>
      <w:r w:rsidRPr="006B489A">
        <w:rPr>
          <w:rFonts w:hint="cs"/>
          <w:spacing w:val="0"/>
          <w:kern w:val="0"/>
          <w:sz w:val="20"/>
          <w:rtl/>
          <w:lang w:val="en-CA"/>
        </w:rPr>
        <w:t>ا</w:t>
      </w:r>
      <w:r w:rsidRPr="006B489A">
        <w:rPr>
          <w:spacing w:val="0"/>
          <w:kern w:val="0"/>
          <w:sz w:val="20"/>
          <w:rtl/>
          <w:lang w:val="en-CA"/>
        </w:rPr>
        <w:t xml:space="preserve"> قبل تركه</w:t>
      </w:r>
      <w:r w:rsidRPr="006B489A">
        <w:rPr>
          <w:rFonts w:hint="cs"/>
          <w:spacing w:val="0"/>
          <w:kern w:val="0"/>
          <w:sz w:val="20"/>
          <w:rtl/>
          <w:lang w:val="en-CA"/>
        </w:rPr>
        <w:t>ما</w:t>
      </w:r>
      <w:r w:rsidRPr="006B489A">
        <w:rPr>
          <w:spacing w:val="0"/>
          <w:kern w:val="0"/>
          <w:sz w:val="20"/>
          <w:rtl/>
          <w:lang w:val="en-CA"/>
        </w:rPr>
        <w:t xml:space="preserve"> </w:t>
      </w:r>
      <w:r w:rsidRPr="006B489A">
        <w:rPr>
          <w:rFonts w:hint="cs"/>
          <w:spacing w:val="0"/>
          <w:kern w:val="0"/>
          <w:sz w:val="20"/>
          <w:rtl/>
          <w:lang w:val="en-CA"/>
        </w:rPr>
        <w:t>ا</w:t>
      </w:r>
      <w:r w:rsidRPr="006B489A">
        <w:rPr>
          <w:spacing w:val="0"/>
          <w:kern w:val="0"/>
          <w:sz w:val="20"/>
          <w:rtl/>
          <w:lang w:val="en-CA"/>
        </w:rPr>
        <w:t>لبلد بأيام قليلة. ثم أشار كل على حد</w:t>
      </w:r>
      <w:r w:rsidRPr="006B489A">
        <w:rPr>
          <w:rFonts w:hint="cs"/>
          <w:spacing w:val="0"/>
          <w:kern w:val="0"/>
          <w:sz w:val="20"/>
          <w:rtl/>
          <w:lang w:val="en-CA"/>
        </w:rPr>
        <w:t>ة</w:t>
      </w:r>
      <w:r w:rsidRPr="006B489A">
        <w:rPr>
          <w:spacing w:val="0"/>
          <w:kern w:val="0"/>
          <w:sz w:val="20"/>
          <w:rtl/>
          <w:lang w:val="en-CA"/>
        </w:rPr>
        <w:t xml:space="preserve"> إلى أنه</w:t>
      </w:r>
      <w:r w:rsidRPr="006B489A">
        <w:rPr>
          <w:rFonts w:hint="cs"/>
          <w:spacing w:val="0"/>
          <w:kern w:val="0"/>
          <w:sz w:val="20"/>
          <w:rtl/>
          <w:lang w:val="en-CA"/>
        </w:rPr>
        <w:t>ما</w:t>
      </w:r>
      <w:r w:rsidRPr="006B489A">
        <w:rPr>
          <w:spacing w:val="0"/>
          <w:kern w:val="0"/>
          <w:sz w:val="20"/>
          <w:rtl/>
          <w:lang w:val="en-CA"/>
        </w:rPr>
        <w:t xml:space="preserve"> بعد الخروج من المستشفى ذه</w:t>
      </w:r>
      <w:r w:rsidRPr="006B489A">
        <w:rPr>
          <w:rFonts w:hint="eastAsia"/>
          <w:spacing w:val="0"/>
          <w:kern w:val="0"/>
          <w:sz w:val="20"/>
          <w:rtl/>
          <w:lang w:val="en-CA"/>
        </w:rPr>
        <w:t>با</w:t>
      </w:r>
      <w:r w:rsidRPr="006B489A">
        <w:rPr>
          <w:spacing w:val="0"/>
          <w:kern w:val="0"/>
          <w:sz w:val="20"/>
          <w:rtl/>
          <w:lang w:val="en-CA"/>
        </w:rPr>
        <w:t xml:space="preserve"> إلى الاختباء ولم يخضعا للمزيد من الاستجواب. وأثناء جلسة </w:t>
      </w:r>
      <w:r w:rsidRPr="006B489A">
        <w:rPr>
          <w:rFonts w:hint="cs"/>
          <w:spacing w:val="0"/>
          <w:kern w:val="0"/>
          <w:sz w:val="20"/>
          <w:rtl/>
          <w:lang w:val="en-CA"/>
        </w:rPr>
        <w:t xml:space="preserve">الاستماع </w:t>
      </w:r>
      <w:r w:rsidRPr="006B489A">
        <w:rPr>
          <w:spacing w:val="0"/>
          <w:kern w:val="0"/>
          <w:sz w:val="20"/>
          <w:rtl/>
          <w:lang w:val="en-CA"/>
        </w:rPr>
        <w:t>الشفوية غيرا روايتهما ورجعا إلى الن</w:t>
      </w:r>
      <w:r w:rsidRPr="006B489A">
        <w:rPr>
          <w:rFonts w:hint="cs"/>
          <w:spacing w:val="0"/>
          <w:kern w:val="0"/>
          <w:sz w:val="20"/>
          <w:rtl/>
          <w:lang w:val="en-CA"/>
        </w:rPr>
        <w:t>سخة</w:t>
      </w:r>
      <w:r w:rsidRPr="006B489A">
        <w:rPr>
          <w:spacing w:val="0"/>
          <w:kern w:val="0"/>
          <w:sz w:val="20"/>
          <w:rtl/>
          <w:lang w:val="en-CA"/>
        </w:rPr>
        <w:t xml:space="preserve"> الأولى منها وأوضحا أنهما كانا يقصدان </w:t>
      </w:r>
      <w:r w:rsidRPr="006B489A">
        <w:rPr>
          <w:rFonts w:hint="cs"/>
          <w:spacing w:val="0"/>
          <w:kern w:val="0"/>
          <w:sz w:val="20"/>
          <w:rtl/>
          <w:lang w:val="en-CA"/>
        </w:rPr>
        <w:t>ب</w:t>
      </w:r>
      <w:r w:rsidRPr="006B489A">
        <w:rPr>
          <w:spacing w:val="0"/>
          <w:kern w:val="0"/>
          <w:sz w:val="20"/>
          <w:rtl/>
          <w:lang w:val="en-CA"/>
        </w:rPr>
        <w:t xml:space="preserve">كلمة الاختباء أن يختبئا من المجتمع والشرطة المحلية وليس من </w:t>
      </w:r>
      <w:r w:rsidRPr="006B489A">
        <w:rPr>
          <w:rFonts w:hint="cs"/>
          <w:spacing w:val="0"/>
          <w:kern w:val="0"/>
          <w:sz w:val="20"/>
          <w:rtl/>
          <w:lang w:val="en-CA"/>
        </w:rPr>
        <w:t>المخابرات</w:t>
      </w:r>
      <w:r w:rsidRPr="006B489A">
        <w:rPr>
          <w:spacing w:val="0"/>
          <w:kern w:val="0"/>
          <w:sz w:val="20"/>
          <w:rtl/>
          <w:lang w:val="en-CA"/>
        </w:rPr>
        <w:t xml:space="preserve">. لذلك، هناك شكوك </w:t>
      </w:r>
      <w:r w:rsidRPr="006B489A">
        <w:rPr>
          <w:rFonts w:hint="cs"/>
          <w:spacing w:val="0"/>
          <w:kern w:val="0"/>
          <w:sz w:val="20"/>
          <w:rtl/>
          <w:lang w:val="en-CA"/>
        </w:rPr>
        <w:t xml:space="preserve">في </w:t>
      </w:r>
      <w:r w:rsidRPr="006B489A">
        <w:rPr>
          <w:spacing w:val="0"/>
          <w:kern w:val="0"/>
          <w:sz w:val="20"/>
          <w:rtl/>
          <w:lang w:val="en-CA"/>
        </w:rPr>
        <w:t>مصداقية أقوالهما.</w:t>
      </w:r>
    </w:p>
    <w:p w:rsidR="006B489A" w:rsidRPr="00C03ECB" w:rsidRDefault="006B489A" w:rsidP="00C03ECB">
      <w:pPr>
        <w:pStyle w:val="SingleTxtGA"/>
        <w:spacing w:line="374" w:lineRule="exact"/>
        <w:jc w:val="lowKashida"/>
        <w:rPr>
          <w:spacing w:val="-2"/>
          <w:kern w:val="0"/>
          <w:sz w:val="20"/>
          <w:szCs w:val="20"/>
          <w:rtl/>
        </w:rPr>
      </w:pPr>
      <w:r w:rsidRPr="006B489A">
        <w:rPr>
          <w:spacing w:val="0"/>
          <w:kern w:val="0"/>
          <w:sz w:val="20"/>
          <w:rtl/>
          <w:lang w:val="en-CA"/>
        </w:rPr>
        <w:t>4-20</w:t>
      </w:r>
      <w:r w:rsidRPr="006B489A">
        <w:rPr>
          <w:spacing w:val="0"/>
          <w:kern w:val="0"/>
          <w:sz w:val="20"/>
          <w:rtl/>
          <w:lang w:val="en-CA"/>
        </w:rPr>
        <w:tab/>
        <w:t>وادعى س. م. أنه استعمل هو وأسرته جوازات سفر مؤقتة من أجل ترك أذربيجان وزعموا أنهم حصلوا عليها بمساعدة من إحدى المنظمات</w:t>
      </w:r>
      <w:r w:rsidRPr="006B489A">
        <w:rPr>
          <w:rFonts w:hint="cs"/>
          <w:spacing w:val="0"/>
          <w:kern w:val="0"/>
          <w:sz w:val="20"/>
          <w:rtl/>
          <w:lang w:val="en-CA"/>
        </w:rPr>
        <w:t>.</w:t>
      </w:r>
      <w:r w:rsidRPr="006B489A">
        <w:rPr>
          <w:spacing w:val="0"/>
          <w:kern w:val="0"/>
          <w:sz w:val="20"/>
          <w:rtl/>
          <w:lang w:val="en-CA"/>
        </w:rPr>
        <w:t xml:space="preserve"> غير أنه إذا كانت السلطات مهتمة </w:t>
      </w:r>
      <w:r w:rsidRPr="00C03ECB">
        <w:rPr>
          <w:spacing w:val="-2"/>
          <w:kern w:val="0"/>
          <w:sz w:val="20"/>
          <w:rtl/>
          <w:lang w:val="en-CA"/>
        </w:rPr>
        <w:t xml:space="preserve">بأصحاب الشكوى، </w:t>
      </w:r>
      <w:r w:rsidRPr="00C03ECB">
        <w:rPr>
          <w:rFonts w:hint="cs"/>
          <w:spacing w:val="-2"/>
          <w:kern w:val="0"/>
          <w:sz w:val="20"/>
          <w:rtl/>
          <w:lang w:val="en-CA"/>
        </w:rPr>
        <w:t xml:space="preserve">فإنه من المستبعد أن يحصلوا على </w:t>
      </w:r>
      <w:r w:rsidRPr="00C03ECB">
        <w:rPr>
          <w:spacing w:val="-2"/>
          <w:kern w:val="0"/>
          <w:sz w:val="20"/>
          <w:rtl/>
          <w:lang w:val="en-CA"/>
        </w:rPr>
        <w:t>جواز</w:t>
      </w:r>
      <w:r w:rsidRPr="00C03ECB">
        <w:rPr>
          <w:rFonts w:hint="cs"/>
          <w:spacing w:val="-2"/>
          <w:kern w:val="0"/>
          <w:sz w:val="20"/>
          <w:rtl/>
          <w:lang w:val="en-CA"/>
        </w:rPr>
        <w:t>ات</w:t>
      </w:r>
      <w:r w:rsidRPr="00C03ECB">
        <w:rPr>
          <w:spacing w:val="-2"/>
          <w:kern w:val="0"/>
          <w:sz w:val="20"/>
          <w:rtl/>
          <w:lang w:val="en-CA"/>
        </w:rPr>
        <w:t xml:space="preserve"> سفر. وبالإضافة إلى ذلك، </w:t>
      </w:r>
      <w:r w:rsidRPr="00C03ECB">
        <w:rPr>
          <w:rFonts w:hint="cs"/>
          <w:spacing w:val="-2"/>
          <w:kern w:val="0"/>
          <w:sz w:val="20"/>
          <w:rtl/>
          <w:lang w:val="en-CA"/>
        </w:rPr>
        <w:t xml:space="preserve">إذا </w:t>
      </w:r>
      <w:r w:rsidRPr="00C03ECB">
        <w:rPr>
          <w:spacing w:val="-2"/>
          <w:kern w:val="0"/>
          <w:sz w:val="20"/>
          <w:rtl/>
          <w:lang w:val="en-CA"/>
        </w:rPr>
        <w:t>تم</w:t>
      </w:r>
      <w:r w:rsidRPr="00C03ECB">
        <w:rPr>
          <w:rFonts w:hint="cs"/>
          <w:spacing w:val="-2"/>
          <w:kern w:val="0"/>
          <w:sz w:val="20"/>
          <w:rtl/>
          <w:lang w:val="en-CA"/>
        </w:rPr>
        <w:t>ت</w:t>
      </w:r>
      <w:r w:rsidRPr="00C03ECB">
        <w:rPr>
          <w:spacing w:val="-2"/>
          <w:kern w:val="0"/>
          <w:sz w:val="20"/>
          <w:rtl/>
          <w:lang w:val="en-CA"/>
        </w:rPr>
        <w:t xml:space="preserve"> معاملة </w:t>
      </w:r>
      <w:r w:rsidRPr="00C03ECB">
        <w:rPr>
          <w:rFonts w:hint="cs"/>
          <w:spacing w:val="-2"/>
          <w:kern w:val="0"/>
          <w:sz w:val="20"/>
          <w:rtl/>
          <w:lang w:val="en-CA"/>
        </w:rPr>
        <w:t xml:space="preserve">أصحاب </w:t>
      </w:r>
      <w:r w:rsidRPr="00C03ECB">
        <w:rPr>
          <w:spacing w:val="-2"/>
          <w:kern w:val="0"/>
          <w:sz w:val="20"/>
          <w:rtl/>
          <w:lang w:val="en-CA"/>
        </w:rPr>
        <w:t>الشكوى بالطر</w:t>
      </w:r>
      <w:r w:rsidRPr="00C03ECB">
        <w:rPr>
          <w:rFonts w:hint="eastAsia"/>
          <w:spacing w:val="-2"/>
          <w:kern w:val="0"/>
          <w:sz w:val="20"/>
          <w:rtl/>
          <w:lang w:val="en-CA"/>
        </w:rPr>
        <w:t>يقة</w:t>
      </w:r>
      <w:r w:rsidRPr="00C03ECB">
        <w:rPr>
          <w:spacing w:val="-2"/>
          <w:kern w:val="0"/>
          <w:sz w:val="20"/>
          <w:rtl/>
          <w:lang w:val="en-CA"/>
        </w:rPr>
        <w:t xml:space="preserve"> المزعومة، فإن هذه المعلومات كانت ستنقل إلى علم السفارة السويدية إما عن طريق سفارات أخرى أو مؤسسات على اتصال منتظم بالسفارة أو</w:t>
      </w:r>
      <w:r w:rsidR="00C03ECB">
        <w:rPr>
          <w:rFonts w:hint="cs"/>
          <w:spacing w:val="-2"/>
          <w:kern w:val="0"/>
          <w:sz w:val="20"/>
          <w:rtl/>
          <w:lang w:val="en-CA"/>
        </w:rPr>
        <w:t> </w:t>
      </w:r>
      <w:r w:rsidRPr="00C03ECB">
        <w:rPr>
          <w:spacing w:val="-2"/>
          <w:kern w:val="0"/>
          <w:sz w:val="20"/>
          <w:rtl/>
          <w:lang w:val="en-CA"/>
        </w:rPr>
        <w:t xml:space="preserve">منظمات حقوق الإنسان النشطة جداً في أذربيجان. </w:t>
      </w:r>
      <w:r w:rsidRPr="00C03ECB">
        <w:rPr>
          <w:rFonts w:hint="cs"/>
          <w:spacing w:val="-2"/>
          <w:kern w:val="0"/>
          <w:sz w:val="20"/>
          <w:rtl/>
          <w:lang w:val="en-CA"/>
        </w:rPr>
        <w:t xml:space="preserve">لذلك، ترى الدولة الطرف أن من المستبعد أن يكون أصحاب الشكوى قد تعرضوا للانتهاكات المزعومة بعد عودتهم إلى أذربيجان. </w:t>
      </w:r>
      <w:r w:rsidRPr="00C03ECB">
        <w:rPr>
          <w:spacing w:val="-2"/>
          <w:kern w:val="0"/>
          <w:sz w:val="20"/>
          <w:rtl/>
          <w:lang w:val="en-CA"/>
        </w:rPr>
        <w:t xml:space="preserve">ومن شأن عدم وجود معلومات لدى السفارة السويدية </w:t>
      </w:r>
      <w:r w:rsidRPr="00C03ECB">
        <w:rPr>
          <w:rFonts w:hint="cs"/>
          <w:spacing w:val="-2"/>
          <w:kern w:val="0"/>
          <w:sz w:val="20"/>
          <w:rtl/>
          <w:lang w:val="en-CA"/>
        </w:rPr>
        <w:t>عن الأحداث</w:t>
      </w:r>
      <w:r w:rsidRPr="00C03ECB">
        <w:rPr>
          <w:spacing w:val="-2"/>
          <w:kern w:val="0"/>
          <w:sz w:val="20"/>
          <w:rtl/>
          <w:lang w:val="en-CA"/>
        </w:rPr>
        <w:t xml:space="preserve"> </w:t>
      </w:r>
      <w:r w:rsidRPr="00C03ECB">
        <w:rPr>
          <w:rFonts w:hint="cs"/>
          <w:spacing w:val="-2"/>
          <w:kern w:val="0"/>
          <w:sz w:val="20"/>
          <w:rtl/>
          <w:lang w:val="en-CA"/>
        </w:rPr>
        <w:t>وعدم اتساق</w:t>
      </w:r>
      <w:r w:rsidRPr="00C03ECB">
        <w:rPr>
          <w:spacing w:val="-2"/>
          <w:kern w:val="0"/>
          <w:sz w:val="20"/>
          <w:rtl/>
          <w:lang w:val="en-CA"/>
        </w:rPr>
        <w:t xml:space="preserve"> الوثيقة الصادرة </w:t>
      </w:r>
      <w:r w:rsidRPr="00C03ECB">
        <w:rPr>
          <w:rFonts w:hint="eastAsia"/>
          <w:spacing w:val="-2"/>
          <w:kern w:val="0"/>
          <w:sz w:val="20"/>
          <w:rtl/>
          <w:lang w:val="en-CA"/>
        </w:rPr>
        <w:t>عن</w:t>
      </w:r>
      <w:r w:rsidRPr="00C03ECB">
        <w:rPr>
          <w:spacing w:val="-2"/>
          <w:kern w:val="0"/>
          <w:sz w:val="20"/>
          <w:rtl/>
          <w:lang w:val="en-CA"/>
        </w:rPr>
        <w:t xml:space="preserve"> مفوضية الأمم المتحدة لشؤون </w:t>
      </w:r>
      <w:r w:rsidRPr="00C03ECB">
        <w:rPr>
          <w:rFonts w:hint="cs"/>
          <w:spacing w:val="-2"/>
          <w:kern w:val="0"/>
          <w:sz w:val="20"/>
          <w:rtl/>
          <w:lang w:val="en-CA"/>
        </w:rPr>
        <w:t>اللاجئين</w:t>
      </w:r>
      <w:r w:rsidRPr="00C03ECB">
        <w:rPr>
          <w:spacing w:val="-2"/>
          <w:kern w:val="0"/>
          <w:sz w:val="20"/>
          <w:rtl/>
          <w:lang w:val="en-CA"/>
        </w:rPr>
        <w:t xml:space="preserve"> مع ما ذكره </w:t>
      </w:r>
      <w:r w:rsidRPr="00C03ECB">
        <w:rPr>
          <w:rFonts w:hint="cs"/>
          <w:spacing w:val="-2"/>
          <w:kern w:val="0"/>
          <w:sz w:val="20"/>
          <w:rtl/>
          <w:lang w:val="en-CA"/>
        </w:rPr>
        <w:t xml:space="preserve">أصحاب </w:t>
      </w:r>
      <w:r w:rsidRPr="00C03ECB">
        <w:rPr>
          <w:spacing w:val="-2"/>
          <w:kern w:val="0"/>
          <w:sz w:val="20"/>
          <w:rtl/>
          <w:lang w:val="en-CA"/>
        </w:rPr>
        <w:t xml:space="preserve">الشكوى أمام السلطات السويدية </w:t>
      </w:r>
      <w:r w:rsidRPr="00C03ECB">
        <w:rPr>
          <w:rFonts w:hint="cs"/>
          <w:spacing w:val="-2"/>
          <w:kern w:val="0"/>
          <w:sz w:val="20"/>
          <w:rtl/>
          <w:lang w:val="en-CA"/>
        </w:rPr>
        <w:t>إثارة</w:t>
      </w:r>
      <w:r w:rsidRPr="00C03ECB">
        <w:rPr>
          <w:spacing w:val="-2"/>
          <w:kern w:val="0"/>
          <w:sz w:val="20"/>
          <w:rtl/>
          <w:lang w:val="en-CA"/>
        </w:rPr>
        <w:t xml:space="preserve"> الشكوك </w:t>
      </w:r>
      <w:r w:rsidRPr="00C03ECB">
        <w:rPr>
          <w:rFonts w:hint="cs"/>
          <w:spacing w:val="-2"/>
          <w:kern w:val="0"/>
          <w:sz w:val="20"/>
          <w:rtl/>
          <w:lang w:val="en-CA"/>
        </w:rPr>
        <w:t xml:space="preserve">في </w:t>
      </w:r>
      <w:r w:rsidRPr="00C03ECB">
        <w:rPr>
          <w:spacing w:val="-2"/>
          <w:kern w:val="0"/>
          <w:sz w:val="20"/>
          <w:rtl/>
          <w:lang w:val="en-CA"/>
        </w:rPr>
        <w:t xml:space="preserve">مصداقية ادعاء </w:t>
      </w:r>
      <w:r w:rsidRPr="00C03ECB">
        <w:rPr>
          <w:rFonts w:hint="cs"/>
          <w:spacing w:val="-2"/>
          <w:kern w:val="0"/>
          <w:sz w:val="20"/>
          <w:rtl/>
          <w:lang w:val="en-CA"/>
        </w:rPr>
        <w:t>التعرض ل</w:t>
      </w:r>
      <w:r w:rsidRPr="00C03ECB">
        <w:rPr>
          <w:spacing w:val="-2"/>
          <w:kern w:val="0"/>
          <w:sz w:val="20"/>
          <w:rtl/>
          <w:lang w:val="en-CA"/>
        </w:rPr>
        <w:t>سوء المعاملة</w:t>
      </w:r>
      <w:r w:rsidRPr="00C03ECB">
        <w:rPr>
          <w:rFonts w:hint="cs"/>
          <w:spacing w:val="-2"/>
          <w:kern w:val="0"/>
          <w:sz w:val="20"/>
          <w:rtl/>
          <w:lang w:val="en-CA"/>
        </w:rPr>
        <w:t xml:space="preserve"> في الماضي</w:t>
      </w:r>
      <w:r w:rsidRPr="00C03ECB">
        <w:rPr>
          <w:spacing w:val="-2"/>
          <w:kern w:val="0"/>
          <w:sz w:val="20"/>
          <w:rtl/>
          <w:lang w:val="en-CA"/>
        </w:rPr>
        <w:t>.</w:t>
      </w:r>
    </w:p>
    <w:p w:rsidR="006B489A" w:rsidRPr="006B489A" w:rsidRDefault="006B489A" w:rsidP="00C03ECB">
      <w:pPr>
        <w:pStyle w:val="SingleTxtGA"/>
        <w:spacing w:line="374" w:lineRule="exact"/>
        <w:jc w:val="lowKashida"/>
        <w:rPr>
          <w:spacing w:val="0"/>
          <w:kern w:val="0"/>
          <w:sz w:val="20"/>
          <w:rtl/>
          <w:lang w:val="en-CA"/>
        </w:rPr>
      </w:pPr>
      <w:r w:rsidRPr="006B489A">
        <w:rPr>
          <w:spacing w:val="0"/>
          <w:kern w:val="0"/>
          <w:sz w:val="20"/>
          <w:rtl/>
          <w:lang w:val="en-CA"/>
        </w:rPr>
        <w:t>4-21</w:t>
      </w:r>
      <w:r w:rsidRPr="006B489A">
        <w:rPr>
          <w:rFonts w:hint="cs"/>
          <w:spacing w:val="0"/>
          <w:kern w:val="0"/>
          <w:sz w:val="20"/>
          <w:rtl/>
          <w:lang w:val="en-CA"/>
        </w:rPr>
        <w:tab/>
      </w:r>
      <w:r w:rsidRPr="006B489A">
        <w:rPr>
          <w:spacing w:val="0"/>
          <w:kern w:val="0"/>
          <w:sz w:val="20"/>
          <w:rtl/>
          <w:lang w:val="en-CA"/>
        </w:rPr>
        <w:t xml:space="preserve">وتشير الدولة الطرف إلى أنه في حين يعتبر التعذيب </w:t>
      </w:r>
      <w:r w:rsidRPr="006B489A">
        <w:rPr>
          <w:rFonts w:hint="cs"/>
          <w:spacing w:val="0"/>
          <w:kern w:val="0"/>
          <w:sz w:val="20"/>
          <w:rtl/>
          <w:lang w:val="en-CA"/>
        </w:rPr>
        <w:t xml:space="preserve">في الماضي </w:t>
      </w:r>
      <w:r w:rsidRPr="006B489A">
        <w:rPr>
          <w:spacing w:val="0"/>
          <w:kern w:val="0"/>
          <w:sz w:val="20"/>
          <w:rtl/>
          <w:lang w:val="en-CA"/>
        </w:rPr>
        <w:t>أحد العناصر التي ينبغي أخذها في الحسبان عند إجراء التقييم عملا</w:t>
      </w:r>
      <w:r w:rsidRPr="006B489A">
        <w:rPr>
          <w:rFonts w:hint="cs"/>
          <w:spacing w:val="0"/>
          <w:kern w:val="0"/>
          <w:sz w:val="20"/>
          <w:rtl/>
          <w:lang w:val="en-CA"/>
        </w:rPr>
        <w:t>ً</w:t>
      </w:r>
      <w:r w:rsidRPr="006B489A">
        <w:rPr>
          <w:spacing w:val="0"/>
          <w:kern w:val="0"/>
          <w:sz w:val="20"/>
          <w:rtl/>
          <w:lang w:val="en-CA"/>
        </w:rPr>
        <w:t xml:space="preserve"> بالمادة 3، فإن </w:t>
      </w:r>
      <w:r w:rsidRPr="006B489A">
        <w:rPr>
          <w:rFonts w:hint="cs"/>
          <w:spacing w:val="0"/>
          <w:kern w:val="0"/>
          <w:sz w:val="20"/>
          <w:rtl/>
          <w:lang w:val="en-CA"/>
        </w:rPr>
        <w:t>ال</w:t>
      </w:r>
      <w:r w:rsidRPr="006B489A">
        <w:rPr>
          <w:spacing w:val="0"/>
          <w:kern w:val="0"/>
          <w:sz w:val="20"/>
          <w:rtl/>
          <w:lang w:val="en-CA"/>
        </w:rPr>
        <w:t xml:space="preserve">عامل </w:t>
      </w:r>
      <w:r w:rsidRPr="006B489A">
        <w:rPr>
          <w:rFonts w:hint="cs"/>
          <w:spacing w:val="0"/>
          <w:kern w:val="0"/>
          <w:sz w:val="20"/>
          <w:rtl/>
          <w:lang w:val="en-CA"/>
        </w:rPr>
        <w:t xml:space="preserve">الأساسي في </w:t>
      </w:r>
      <w:r w:rsidRPr="006B489A">
        <w:rPr>
          <w:spacing w:val="0"/>
          <w:kern w:val="0"/>
          <w:sz w:val="20"/>
          <w:rtl/>
          <w:lang w:val="en-CA"/>
        </w:rPr>
        <w:t>اتخاذ القرار هو</w:t>
      </w:r>
      <w:r w:rsidR="00C03ECB">
        <w:rPr>
          <w:rFonts w:hint="cs"/>
          <w:spacing w:val="0"/>
          <w:kern w:val="0"/>
          <w:sz w:val="20"/>
          <w:rtl/>
          <w:lang w:val="en-CA"/>
        </w:rPr>
        <w:t xml:space="preserve"> </w:t>
      </w:r>
      <w:r w:rsidRPr="006B489A">
        <w:rPr>
          <w:spacing w:val="0"/>
          <w:kern w:val="0"/>
          <w:sz w:val="20"/>
          <w:rtl/>
          <w:lang w:val="en-CA"/>
        </w:rPr>
        <w:t xml:space="preserve">ما إذا كانت هناك </w:t>
      </w:r>
      <w:r w:rsidRPr="006B489A">
        <w:rPr>
          <w:rFonts w:hint="cs"/>
          <w:spacing w:val="0"/>
          <w:kern w:val="0"/>
          <w:sz w:val="20"/>
          <w:rtl/>
          <w:lang w:val="en-CA"/>
        </w:rPr>
        <w:t>أسباب حقيقة تدعو إلى</w:t>
      </w:r>
      <w:r w:rsidRPr="006B489A">
        <w:rPr>
          <w:spacing w:val="0"/>
          <w:kern w:val="0"/>
          <w:sz w:val="20"/>
          <w:rtl/>
          <w:lang w:val="en-CA"/>
        </w:rPr>
        <w:t xml:space="preserve"> </w:t>
      </w:r>
      <w:r w:rsidRPr="006B489A">
        <w:rPr>
          <w:rFonts w:hint="cs"/>
          <w:spacing w:val="0"/>
          <w:kern w:val="0"/>
          <w:sz w:val="20"/>
          <w:rtl/>
          <w:lang w:val="en-CA"/>
        </w:rPr>
        <w:t>ا</w:t>
      </w:r>
      <w:r w:rsidRPr="006B489A">
        <w:rPr>
          <w:spacing w:val="0"/>
          <w:kern w:val="0"/>
          <w:sz w:val="20"/>
          <w:rtl/>
          <w:lang w:val="en-CA"/>
        </w:rPr>
        <w:t xml:space="preserve">لاعتقاد بأن </w:t>
      </w:r>
      <w:r w:rsidRPr="006B489A">
        <w:rPr>
          <w:rFonts w:hint="cs"/>
          <w:spacing w:val="0"/>
          <w:kern w:val="0"/>
          <w:sz w:val="20"/>
          <w:rtl/>
          <w:lang w:val="en-CA"/>
        </w:rPr>
        <w:t xml:space="preserve">أصحاب </w:t>
      </w:r>
      <w:r w:rsidRPr="006B489A">
        <w:rPr>
          <w:spacing w:val="0"/>
          <w:kern w:val="0"/>
          <w:sz w:val="20"/>
          <w:rtl/>
          <w:lang w:val="en-CA"/>
        </w:rPr>
        <w:t>الشكوى سيتعرض</w:t>
      </w:r>
      <w:r w:rsidRPr="006B489A">
        <w:rPr>
          <w:rFonts w:hint="cs"/>
          <w:spacing w:val="0"/>
          <w:kern w:val="0"/>
          <w:sz w:val="20"/>
          <w:rtl/>
          <w:lang w:val="en-CA"/>
        </w:rPr>
        <w:t>و</w:t>
      </w:r>
      <w:r w:rsidRPr="006B489A">
        <w:rPr>
          <w:spacing w:val="0"/>
          <w:kern w:val="0"/>
          <w:sz w:val="20"/>
          <w:rtl/>
          <w:lang w:val="en-CA"/>
        </w:rPr>
        <w:t xml:space="preserve">ن لأي معاملة </w:t>
      </w:r>
      <w:r w:rsidRPr="006B489A">
        <w:rPr>
          <w:rFonts w:hint="cs"/>
          <w:spacing w:val="0"/>
          <w:kern w:val="0"/>
          <w:sz w:val="20"/>
          <w:rtl/>
          <w:lang w:val="en-CA"/>
        </w:rPr>
        <w:t>ت</w:t>
      </w:r>
      <w:r w:rsidRPr="006B489A">
        <w:rPr>
          <w:spacing w:val="0"/>
          <w:kern w:val="0"/>
          <w:sz w:val="20"/>
          <w:rtl/>
          <w:lang w:val="en-CA"/>
        </w:rPr>
        <w:t>تعار</w:t>
      </w:r>
      <w:r w:rsidRPr="006B489A">
        <w:rPr>
          <w:rFonts w:hint="eastAsia"/>
          <w:spacing w:val="0"/>
          <w:kern w:val="0"/>
          <w:sz w:val="20"/>
          <w:rtl/>
          <w:lang w:val="en-CA"/>
        </w:rPr>
        <w:t>ض</w:t>
      </w:r>
      <w:r w:rsidRPr="006B489A">
        <w:rPr>
          <w:spacing w:val="0"/>
          <w:kern w:val="0"/>
          <w:sz w:val="20"/>
          <w:rtl/>
          <w:lang w:val="en-CA"/>
        </w:rPr>
        <w:t xml:space="preserve"> مع الاتفاقية </w:t>
      </w:r>
      <w:r w:rsidRPr="006B489A">
        <w:rPr>
          <w:rFonts w:hint="cs"/>
          <w:spacing w:val="0"/>
          <w:kern w:val="0"/>
          <w:sz w:val="20"/>
          <w:rtl/>
          <w:lang w:val="en-CA"/>
        </w:rPr>
        <w:t xml:space="preserve">بعد </w:t>
      </w:r>
      <w:r w:rsidRPr="006B489A">
        <w:rPr>
          <w:spacing w:val="0"/>
          <w:kern w:val="0"/>
          <w:sz w:val="20"/>
          <w:rtl/>
          <w:lang w:val="en-CA"/>
        </w:rPr>
        <w:t>عودتهم إلى بلدهم الأصلي</w:t>
      </w:r>
      <w:r w:rsidRPr="006B489A">
        <w:rPr>
          <w:rFonts w:hint="cs"/>
          <w:spacing w:val="0"/>
          <w:kern w:val="0"/>
          <w:sz w:val="20"/>
          <w:rtl/>
          <w:lang w:val="en-CA"/>
        </w:rPr>
        <w:t>.</w:t>
      </w:r>
      <w:r w:rsidRPr="006B489A">
        <w:rPr>
          <w:spacing w:val="0"/>
          <w:kern w:val="0"/>
          <w:sz w:val="20"/>
          <w:rtl/>
          <w:lang w:val="en-CA"/>
        </w:rPr>
        <w:t xml:space="preserve"> وبالنظر إلى أن </w:t>
      </w:r>
      <w:r w:rsidRPr="006B489A">
        <w:rPr>
          <w:rFonts w:hint="cs"/>
          <w:spacing w:val="0"/>
          <w:kern w:val="0"/>
          <w:sz w:val="20"/>
          <w:rtl/>
          <w:lang w:val="en-CA"/>
        </w:rPr>
        <w:t xml:space="preserve">أصحاب </w:t>
      </w:r>
      <w:r w:rsidRPr="006B489A">
        <w:rPr>
          <w:spacing w:val="0"/>
          <w:kern w:val="0"/>
          <w:sz w:val="20"/>
          <w:rtl/>
          <w:lang w:val="en-CA"/>
        </w:rPr>
        <w:t>الشكوى ترك</w:t>
      </w:r>
      <w:r w:rsidRPr="006B489A">
        <w:rPr>
          <w:rFonts w:hint="cs"/>
          <w:spacing w:val="0"/>
          <w:kern w:val="0"/>
          <w:sz w:val="20"/>
          <w:rtl/>
          <w:lang w:val="en-CA"/>
        </w:rPr>
        <w:t>و</w:t>
      </w:r>
      <w:r w:rsidRPr="006B489A">
        <w:rPr>
          <w:spacing w:val="0"/>
          <w:kern w:val="0"/>
          <w:sz w:val="20"/>
          <w:rtl/>
          <w:lang w:val="en-CA"/>
        </w:rPr>
        <w:t xml:space="preserve">ا البلد في كانون الأول/ديسمبر 2004، فلا </w:t>
      </w:r>
      <w:r w:rsidRPr="006B489A">
        <w:rPr>
          <w:rFonts w:hint="cs"/>
          <w:spacing w:val="0"/>
          <w:kern w:val="0"/>
          <w:sz w:val="20"/>
          <w:rtl/>
          <w:lang w:val="en-CA"/>
        </w:rPr>
        <w:t>يوجد ما يشير</w:t>
      </w:r>
      <w:r w:rsidRPr="006B489A">
        <w:rPr>
          <w:spacing w:val="0"/>
          <w:kern w:val="0"/>
          <w:sz w:val="20"/>
          <w:rtl/>
          <w:lang w:val="en-CA"/>
        </w:rPr>
        <w:t xml:space="preserve"> إلى استمرار اهتمام السلطات الأذربيجانية بهم.</w:t>
      </w:r>
    </w:p>
    <w:p w:rsidR="006B489A" w:rsidRPr="006B489A" w:rsidRDefault="006B489A" w:rsidP="00C03ECB">
      <w:pPr>
        <w:pStyle w:val="SingleTxtGA"/>
        <w:spacing w:line="374" w:lineRule="exact"/>
        <w:jc w:val="lowKashida"/>
        <w:rPr>
          <w:spacing w:val="0"/>
          <w:kern w:val="0"/>
          <w:sz w:val="20"/>
          <w:rtl/>
          <w:lang w:val="en-CA"/>
        </w:rPr>
      </w:pPr>
      <w:r w:rsidRPr="006B489A">
        <w:rPr>
          <w:spacing w:val="0"/>
          <w:kern w:val="0"/>
          <w:sz w:val="20"/>
          <w:rtl/>
          <w:lang w:val="en-CA"/>
        </w:rPr>
        <w:t>4-22</w:t>
      </w:r>
      <w:r w:rsidRPr="006B489A">
        <w:rPr>
          <w:spacing w:val="0"/>
          <w:kern w:val="0"/>
          <w:sz w:val="20"/>
          <w:rtl/>
          <w:lang w:val="en-CA"/>
        </w:rPr>
        <w:tab/>
        <w:t xml:space="preserve">وختاماً، تدعي الدولة الطرف أن الأدلة والظروف التي </w:t>
      </w:r>
      <w:r w:rsidRPr="006B489A">
        <w:rPr>
          <w:rFonts w:hint="cs"/>
          <w:spacing w:val="0"/>
          <w:kern w:val="0"/>
          <w:sz w:val="20"/>
          <w:rtl/>
          <w:lang w:val="en-CA"/>
        </w:rPr>
        <w:t xml:space="preserve">يحتج </w:t>
      </w:r>
      <w:r w:rsidRPr="006B489A">
        <w:rPr>
          <w:spacing w:val="0"/>
          <w:kern w:val="0"/>
          <w:sz w:val="20"/>
          <w:rtl/>
          <w:lang w:val="en-CA"/>
        </w:rPr>
        <w:t xml:space="preserve">بها </w:t>
      </w:r>
      <w:r w:rsidRPr="006B489A">
        <w:rPr>
          <w:rFonts w:hint="cs"/>
          <w:spacing w:val="0"/>
          <w:kern w:val="0"/>
          <w:sz w:val="20"/>
          <w:rtl/>
          <w:lang w:val="en-CA"/>
        </w:rPr>
        <w:t xml:space="preserve">أصحاب </w:t>
      </w:r>
      <w:r w:rsidRPr="006B489A">
        <w:rPr>
          <w:spacing w:val="0"/>
          <w:kern w:val="0"/>
          <w:sz w:val="20"/>
          <w:rtl/>
          <w:lang w:val="en-CA"/>
        </w:rPr>
        <w:t xml:space="preserve">الشكوى ليست كافية لتبين أن خطر </w:t>
      </w:r>
      <w:r w:rsidRPr="006B489A">
        <w:rPr>
          <w:rFonts w:hint="cs"/>
          <w:spacing w:val="0"/>
          <w:kern w:val="0"/>
          <w:sz w:val="20"/>
          <w:rtl/>
          <w:lang w:val="en-CA"/>
        </w:rPr>
        <w:t>التعرض ل</w:t>
      </w:r>
      <w:r w:rsidRPr="006B489A">
        <w:rPr>
          <w:spacing w:val="0"/>
          <w:kern w:val="0"/>
          <w:sz w:val="20"/>
          <w:rtl/>
          <w:lang w:val="en-CA"/>
        </w:rPr>
        <w:t xml:space="preserve">لتعذيب المزعوم </w:t>
      </w:r>
      <w:r w:rsidRPr="006B489A">
        <w:rPr>
          <w:rFonts w:hint="cs"/>
          <w:spacing w:val="0"/>
          <w:kern w:val="0"/>
          <w:sz w:val="20"/>
          <w:rtl/>
          <w:lang w:val="en-CA"/>
        </w:rPr>
        <w:t>يستوفي الشروط</w:t>
      </w:r>
      <w:r w:rsidRPr="006B489A">
        <w:rPr>
          <w:spacing w:val="0"/>
          <w:kern w:val="0"/>
          <w:sz w:val="20"/>
          <w:rtl/>
          <w:lang w:val="en-CA"/>
        </w:rPr>
        <w:t xml:space="preserve"> </w:t>
      </w:r>
      <w:r w:rsidRPr="006B489A">
        <w:rPr>
          <w:rFonts w:hint="cs"/>
          <w:spacing w:val="0"/>
          <w:kern w:val="0"/>
          <w:sz w:val="20"/>
          <w:rtl/>
          <w:lang w:val="en-CA"/>
        </w:rPr>
        <w:t>القاضية ب</w:t>
      </w:r>
      <w:r w:rsidRPr="006B489A">
        <w:rPr>
          <w:spacing w:val="0"/>
          <w:kern w:val="0"/>
          <w:sz w:val="20"/>
          <w:rtl/>
          <w:lang w:val="en-CA"/>
        </w:rPr>
        <w:t>أن يكون متوقعاً وحقيقياً وشخصياً. ووفقا</w:t>
      </w:r>
      <w:r w:rsidRPr="006B489A">
        <w:rPr>
          <w:rFonts w:hint="cs"/>
          <w:spacing w:val="0"/>
          <w:kern w:val="0"/>
          <w:sz w:val="20"/>
          <w:rtl/>
          <w:lang w:val="en-CA"/>
        </w:rPr>
        <w:t>ً</w:t>
      </w:r>
      <w:r w:rsidRPr="006B489A">
        <w:rPr>
          <w:spacing w:val="0"/>
          <w:kern w:val="0"/>
          <w:sz w:val="20"/>
          <w:rtl/>
          <w:lang w:val="en-CA"/>
        </w:rPr>
        <w:t xml:space="preserve"> لذلك، فإن إنفاذ أمر الترحيل </w:t>
      </w:r>
      <w:r w:rsidRPr="006B489A">
        <w:rPr>
          <w:rFonts w:hint="cs"/>
          <w:spacing w:val="0"/>
          <w:kern w:val="0"/>
          <w:sz w:val="20"/>
          <w:rtl/>
          <w:lang w:val="en-CA"/>
        </w:rPr>
        <w:t>ليس من شأنه أن</w:t>
      </w:r>
      <w:r w:rsidRPr="006B489A">
        <w:rPr>
          <w:spacing w:val="0"/>
          <w:kern w:val="0"/>
          <w:sz w:val="20"/>
          <w:rtl/>
          <w:lang w:val="en-CA"/>
        </w:rPr>
        <w:t xml:space="preserve"> </w:t>
      </w:r>
      <w:r w:rsidRPr="006B489A">
        <w:rPr>
          <w:rFonts w:hint="cs"/>
          <w:spacing w:val="0"/>
          <w:kern w:val="0"/>
          <w:sz w:val="20"/>
          <w:rtl/>
          <w:lang w:val="en-CA"/>
        </w:rPr>
        <w:t>يشكل</w:t>
      </w:r>
      <w:r w:rsidRPr="006B489A">
        <w:rPr>
          <w:spacing w:val="0"/>
          <w:kern w:val="0"/>
          <w:sz w:val="20"/>
          <w:rtl/>
          <w:lang w:val="en-CA"/>
        </w:rPr>
        <w:t xml:space="preserve"> انتهاكاً للمادة 3 من الاتفاقية. وبالنظر إلى أن ادع</w:t>
      </w:r>
      <w:r w:rsidRPr="006B489A">
        <w:rPr>
          <w:rFonts w:hint="eastAsia"/>
          <w:spacing w:val="0"/>
          <w:kern w:val="0"/>
          <w:sz w:val="20"/>
          <w:rtl/>
          <w:lang w:val="en-CA"/>
        </w:rPr>
        <w:t>اء</w:t>
      </w:r>
      <w:r w:rsidRPr="006B489A">
        <w:rPr>
          <w:spacing w:val="0"/>
          <w:kern w:val="0"/>
          <w:sz w:val="20"/>
          <w:rtl/>
          <w:lang w:val="en-CA"/>
        </w:rPr>
        <w:t xml:space="preserve"> </w:t>
      </w:r>
      <w:r w:rsidRPr="006B489A">
        <w:rPr>
          <w:rFonts w:hint="cs"/>
          <w:spacing w:val="0"/>
          <w:kern w:val="0"/>
          <w:sz w:val="20"/>
          <w:rtl/>
          <w:lang w:val="en-CA"/>
        </w:rPr>
        <w:t xml:space="preserve">أصحاب </w:t>
      </w:r>
      <w:r w:rsidRPr="006B489A">
        <w:rPr>
          <w:spacing w:val="0"/>
          <w:kern w:val="0"/>
          <w:sz w:val="20"/>
          <w:rtl/>
          <w:lang w:val="en-CA"/>
        </w:rPr>
        <w:t xml:space="preserve">الشكوى لا يرقى </w:t>
      </w:r>
      <w:r w:rsidRPr="006B489A">
        <w:rPr>
          <w:rFonts w:hint="cs"/>
          <w:spacing w:val="0"/>
          <w:kern w:val="0"/>
          <w:sz w:val="20"/>
          <w:rtl/>
          <w:lang w:val="en-CA"/>
        </w:rPr>
        <w:t xml:space="preserve">إلى </w:t>
      </w:r>
      <w:r w:rsidRPr="006B489A">
        <w:rPr>
          <w:spacing w:val="0"/>
          <w:kern w:val="0"/>
          <w:sz w:val="20"/>
          <w:rtl/>
          <w:lang w:val="en-CA"/>
        </w:rPr>
        <w:t xml:space="preserve">المستوى الأساسي </w:t>
      </w:r>
      <w:r w:rsidRPr="006B489A">
        <w:rPr>
          <w:rFonts w:hint="cs"/>
          <w:spacing w:val="0"/>
          <w:kern w:val="0"/>
          <w:sz w:val="20"/>
          <w:rtl/>
          <w:lang w:val="en-CA"/>
        </w:rPr>
        <w:t>من ا</w:t>
      </w:r>
      <w:r w:rsidRPr="006B489A">
        <w:rPr>
          <w:spacing w:val="0"/>
          <w:kern w:val="0"/>
          <w:sz w:val="20"/>
          <w:rtl/>
          <w:lang w:val="en-CA"/>
        </w:rPr>
        <w:t xml:space="preserve">لدعم بالأدلة، فإنه ينبغي </w:t>
      </w:r>
      <w:r w:rsidRPr="006B489A">
        <w:rPr>
          <w:rFonts w:hint="cs"/>
          <w:spacing w:val="0"/>
          <w:kern w:val="0"/>
          <w:sz w:val="20"/>
          <w:rtl/>
          <w:lang w:val="en-CA"/>
        </w:rPr>
        <w:t>ال</w:t>
      </w:r>
      <w:r w:rsidRPr="006B489A">
        <w:rPr>
          <w:spacing w:val="0"/>
          <w:kern w:val="0"/>
          <w:sz w:val="20"/>
          <w:rtl/>
          <w:lang w:val="en-CA"/>
        </w:rPr>
        <w:t>إعلا</w:t>
      </w:r>
      <w:r w:rsidRPr="006B489A">
        <w:rPr>
          <w:rFonts w:hint="cs"/>
          <w:spacing w:val="0"/>
          <w:kern w:val="0"/>
          <w:sz w:val="20"/>
          <w:rtl/>
          <w:lang w:val="en-CA"/>
        </w:rPr>
        <w:t>ن</w:t>
      </w:r>
      <w:r w:rsidRPr="006B489A">
        <w:rPr>
          <w:spacing w:val="0"/>
          <w:kern w:val="0"/>
          <w:sz w:val="20"/>
          <w:rtl/>
          <w:lang w:val="en-CA"/>
        </w:rPr>
        <w:t xml:space="preserve"> </w:t>
      </w:r>
      <w:r w:rsidRPr="006B489A">
        <w:rPr>
          <w:rFonts w:hint="cs"/>
          <w:spacing w:val="0"/>
          <w:kern w:val="0"/>
          <w:sz w:val="20"/>
          <w:rtl/>
          <w:lang w:val="en-CA"/>
        </w:rPr>
        <w:t xml:space="preserve">عن </w:t>
      </w:r>
      <w:r w:rsidRPr="006B489A">
        <w:rPr>
          <w:spacing w:val="0"/>
          <w:kern w:val="0"/>
          <w:sz w:val="20"/>
          <w:rtl/>
          <w:lang w:val="en-CA"/>
        </w:rPr>
        <w:t>عدم مقبولي</w:t>
      </w:r>
      <w:r w:rsidRPr="006B489A">
        <w:rPr>
          <w:rFonts w:hint="cs"/>
          <w:spacing w:val="0"/>
          <w:kern w:val="0"/>
          <w:sz w:val="20"/>
          <w:rtl/>
          <w:lang w:val="en-CA"/>
        </w:rPr>
        <w:t>ة البلاغ</w:t>
      </w:r>
      <w:r w:rsidRPr="006B489A">
        <w:rPr>
          <w:spacing w:val="0"/>
          <w:kern w:val="0"/>
          <w:sz w:val="20"/>
          <w:rtl/>
          <w:lang w:val="en-CA"/>
        </w:rPr>
        <w:t xml:space="preserve"> </w:t>
      </w:r>
      <w:r w:rsidRPr="006B489A">
        <w:rPr>
          <w:rFonts w:hint="cs"/>
          <w:spacing w:val="0"/>
          <w:kern w:val="0"/>
          <w:sz w:val="20"/>
          <w:rtl/>
          <w:lang w:val="en-CA"/>
        </w:rPr>
        <w:t>لأنه لا يستند إلى أساس سليم</w:t>
      </w:r>
      <w:r w:rsidRPr="006B489A">
        <w:rPr>
          <w:spacing w:val="0"/>
          <w:kern w:val="0"/>
          <w:sz w:val="20"/>
          <w:rtl/>
          <w:lang w:val="en-CA"/>
        </w:rPr>
        <w:t xml:space="preserve">. وفيما يتعلق بالأسس الموضوعية، فإن الدولة الطرف ترى أن البلاغ لا </w:t>
      </w:r>
      <w:r w:rsidRPr="006B489A">
        <w:rPr>
          <w:rFonts w:hint="cs"/>
          <w:spacing w:val="0"/>
          <w:kern w:val="0"/>
          <w:sz w:val="20"/>
          <w:rtl/>
          <w:lang w:val="en-CA"/>
        </w:rPr>
        <w:t>يكشف عن</w:t>
      </w:r>
      <w:r w:rsidRPr="006B489A">
        <w:rPr>
          <w:spacing w:val="0"/>
          <w:kern w:val="0"/>
          <w:sz w:val="20"/>
          <w:rtl/>
          <w:lang w:val="en-CA"/>
        </w:rPr>
        <w:t xml:space="preserve"> أي انتهاك للاتفاقية.</w:t>
      </w:r>
    </w:p>
    <w:p w:rsidR="006B489A" w:rsidRPr="006B489A" w:rsidRDefault="00A73ECA" w:rsidP="00A73ECA">
      <w:pPr>
        <w:pStyle w:val="H23GA"/>
        <w:rPr>
          <w:kern w:val="0"/>
          <w:rtl/>
        </w:rPr>
      </w:pPr>
      <w:r>
        <w:rPr>
          <w:rFonts w:hint="cs"/>
          <w:kern w:val="0"/>
          <w:rtl/>
        </w:rPr>
        <w:tab/>
      </w:r>
      <w:r>
        <w:rPr>
          <w:rFonts w:hint="cs"/>
          <w:kern w:val="0"/>
          <w:rtl/>
        </w:rPr>
        <w:tab/>
      </w:r>
      <w:r w:rsidR="006B489A" w:rsidRPr="006B489A">
        <w:rPr>
          <w:rFonts w:hint="eastAsia"/>
          <w:kern w:val="0"/>
          <w:rtl/>
        </w:rPr>
        <w:t>تعليقات</w:t>
      </w:r>
      <w:r w:rsidR="006B489A" w:rsidRPr="006B489A">
        <w:rPr>
          <w:kern w:val="0"/>
          <w:rtl/>
        </w:rPr>
        <w:t xml:space="preserve"> </w:t>
      </w:r>
      <w:r w:rsidR="006B489A" w:rsidRPr="006B489A">
        <w:rPr>
          <w:rFonts w:hint="cs"/>
          <w:kern w:val="0"/>
          <w:rtl/>
        </w:rPr>
        <w:t>أصحاب</w:t>
      </w:r>
      <w:r w:rsidR="006B489A" w:rsidRPr="006B489A">
        <w:rPr>
          <w:kern w:val="0"/>
          <w:rtl/>
        </w:rPr>
        <w:t xml:space="preserve"> الشكوى على ملاحظات الدولة الطرف</w:t>
      </w:r>
    </w:p>
    <w:p w:rsidR="006B489A" w:rsidRPr="006B489A" w:rsidRDefault="006B489A" w:rsidP="00EA71E8">
      <w:pPr>
        <w:pStyle w:val="SingleTxtGA"/>
        <w:jc w:val="lowKashida"/>
        <w:rPr>
          <w:rFonts w:hint="cs"/>
          <w:spacing w:val="0"/>
          <w:kern w:val="0"/>
          <w:sz w:val="20"/>
          <w:rtl/>
          <w:lang w:val="en-CA"/>
        </w:rPr>
      </w:pPr>
      <w:r w:rsidRPr="006B489A">
        <w:rPr>
          <w:spacing w:val="0"/>
          <w:kern w:val="0"/>
          <w:sz w:val="20"/>
          <w:rtl/>
          <w:lang w:val="en-CA"/>
        </w:rPr>
        <w:t>5-1</w:t>
      </w:r>
      <w:r w:rsidRPr="006B489A">
        <w:rPr>
          <w:spacing w:val="0"/>
          <w:kern w:val="0"/>
          <w:sz w:val="20"/>
          <w:rtl/>
          <w:lang w:val="en-CA"/>
        </w:rPr>
        <w:tab/>
        <w:t xml:space="preserve">ادعى </w:t>
      </w:r>
      <w:r w:rsidRPr="006B489A">
        <w:rPr>
          <w:rFonts w:hint="cs"/>
          <w:spacing w:val="0"/>
          <w:kern w:val="0"/>
          <w:sz w:val="20"/>
          <w:rtl/>
          <w:lang w:val="en-CA"/>
        </w:rPr>
        <w:t xml:space="preserve">أصحاب </w:t>
      </w:r>
      <w:r w:rsidRPr="006B489A">
        <w:rPr>
          <w:spacing w:val="0"/>
          <w:kern w:val="0"/>
          <w:sz w:val="20"/>
          <w:rtl/>
          <w:lang w:val="en-CA"/>
        </w:rPr>
        <w:t>الشكوى بموجب الرسالة المؤرخة 31 آذار/مارس 2010 أن الأخصائي الذي أجرى الفحوص النفسي</w:t>
      </w:r>
      <w:r w:rsidRPr="006B489A">
        <w:rPr>
          <w:rFonts w:hint="cs"/>
          <w:spacing w:val="0"/>
          <w:kern w:val="0"/>
          <w:sz w:val="20"/>
          <w:rtl/>
          <w:lang w:val="en-CA"/>
        </w:rPr>
        <w:t>ة</w:t>
      </w:r>
      <w:r w:rsidRPr="006B489A">
        <w:rPr>
          <w:spacing w:val="0"/>
          <w:kern w:val="0"/>
          <w:sz w:val="20"/>
          <w:rtl/>
          <w:lang w:val="en-CA"/>
        </w:rPr>
        <w:t xml:space="preserve"> من أبرز خبراء السويد في تشخيص </w:t>
      </w:r>
      <w:r w:rsidRPr="006B489A">
        <w:rPr>
          <w:rFonts w:hint="cs"/>
          <w:spacing w:val="0"/>
          <w:kern w:val="0"/>
          <w:sz w:val="20"/>
          <w:rtl/>
          <w:lang w:val="en-CA"/>
        </w:rPr>
        <w:t>ال</w:t>
      </w:r>
      <w:r w:rsidRPr="006B489A">
        <w:rPr>
          <w:spacing w:val="0"/>
          <w:kern w:val="0"/>
          <w:sz w:val="20"/>
          <w:rtl/>
          <w:lang w:val="en-CA"/>
        </w:rPr>
        <w:t xml:space="preserve">إصابات </w:t>
      </w:r>
      <w:r w:rsidRPr="006B489A">
        <w:rPr>
          <w:rFonts w:hint="cs"/>
          <w:spacing w:val="0"/>
          <w:kern w:val="0"/>
          <w:sz w:val="20"/>
          <w:rtl/>
          <w:lang w:val="en-CA"/>
        </w:rPr>
        <w:t xml:space="preserve">الناتجة عن </w:t>
      </w:r>
      <w:r w:rsidRPr="006B489A">
        <w:rPr>
          <w:spacing w:val="0"/>
          <w:kern w:val="0"/>
          <w:sz w:val="20"/>
          <w:rtl/>
          <w:lang w:val="en-CA"/>
        </w:rPr>
        <w:t>التعذيب و</w:t>
      </w:r>
      <w:r w:rsidRPr="006B489A">
        <w:rPr>
          <w:rFonts w:hint="cs"/>
          <w:spacing w:val="0"/>
          <w:kern w:val="0"/>
          <w:sz w:val="20"/>
          <w:rtl/>
          <w:lang w:val="en-CA"/>
        </w:rPr>
        <w:t>الصدمات</w:t>
      </w:r>
      <w:r w:rsidRPr="006B489A">
        <w:rPr>
          <w:spacing w:val="0"/>
          <w:kern w:val="0"/>
          <w:sz w:val="20"/>
          <w:rtl/>
          <w:lang w:val="en-CA"/>
        </w:rPr>
        <w:t>. وفيما يتعلق برأي الدولة الطرف الذي يفيد بأن الوثائق التي قدمتها منظمة العفو الدولية ومفوضية الأمم المتحد</w:t>
      </w:r>
      <w:r w:rsidRPr="006B489A">
        <w:rPr>
          <w:rFonts w:hint="eastAsia"/>
          <w:spacing w:val="0"/>
          <w:kern w:val="0"/>
          <w:sz w:val="20"/>
          <w:rtl/>
          <w:lang w:val="en-CA"/>
        </w:rPr>
        <w:t>ة</w:t>
      </w:r>
      <w:r w:rsidRPr="006B489A">
        <w:rPr>
          <w:spacing w:val="0"/>
          <w:kern w:val="0"/>
          <w:sz w:val="20"/>
          <w:rtl/>
          <w:lang w:val="en-CA"/>
        </w:rPr>
        <w:t xml:space="preserve"> لشؤون </w:t>
      </w:r>
      <w:r w:rsidRPr="006B489A">
        <w:rPr>
          <w:rFonts w:hint="cs"/>
          <w:spacing w:val="0"/>
          <w:kern w:val="0"/>
          <w:sz w:val="20"/>
          <w:rtl/>
          <w:lang w:val="en-CA"/>
        </w:rPr>
        <w:t>اللاجئين</w:t>
      </w:r>
      <w:r w:rsidRPr="006B489A">
        <w:rPr>
          <w:spacing w:val="0"/>
          <w:kern w:val="0"/>
          <w:sz w:val="20"/>
          <w:rtl/>
          <w:lang w:val="en-CA"/>
        </w:rPr>
        <w:t xml:space="preserve"> لم تثبت حدوث اضطهاد </w:t>
      </w:r>
      <w:r w:rsidRPr="006B489A">
        <w:rPr>
          <w:rFonts w:hint="cs"/>
          <w:spacing w:val="0"/>
          <w:kern w:val="0"/>
          <w:sz w:val="20"/>
          <w:rtl/>
          <w:lang w:val="en-CA"/>
        </w:rPr>
        <w:t>تقره</w:t>
      </w:r>
      <w:r w:rsidRPr="006B489A">
        <w:rPr>
          <w:spacing w:val="0"/>
          <w:kern w:val="0"/>
          <w:sz w:val="20"/>
          <w:rtl/>
          <w:lang w:val="en-CA"/>
        </w:rPr>
        <w:t xml:space="preserve"> الدولة للأشخاص </w:t>
      </w:r>
      <w:r w:rsidRPr="006B489A">
        <w:rPr>
          <w:rFonts w:hint="cs"/>
          <w:spacing w:val="0"/>
          <w:kern w:val="0"/>
          <w:sz w:val="20"/>
          <w:rtl/>
          <w:lang w:val="en-CA"/>
        </w:rPr>
        <w:t xml:space="preserve">من </w:t>
      </w:r>
      <w:r w:rsidRPr="006B489A">
        <w:rPr>
          <w:spacing w:val="0"/>
          <w:kern w:val="0"/>
          <w:sz w:val="20"/>
          <w:rtl/>
          <w:lang w:val="en-CA"/>
        </w:rPr>
        <w:t>أصل أرم</w:t>
      </w:r>
      <w:r w:rsidRPr="006B489A">
        <w:rPr>
          <w:rFonts w:hint="cs"/>
          <w:spacing w:val="0"/>
          <w:kern w:val="0"/>
          <w:sz w:val="20"/>
          <w:rtl/>
          <w:lang w:val="en-CA"/>
        </w:rPr>
        <w:t>ني</w:t>
      </w:r>
      <w:r w:rsidRPr="006B489A">
        <w:rPr>
          <w:spacing w:val="0"/>
          <w:kern w:val="0"/>
          <w:sz w:val="20"/>
          <w:rtl/>
          <w:lang w:val="en-CA"/>
        </w:rPr>
        <w:t xml:space="preserve"> في أذربيجان، فإن المنظمتين تشيران إلى أن </w:t>
      </w:r>
      <w:r w:rsidRPr="006B489A">
        <w:rPr>
          <w:rFonts w:hint="cs"/>
          <w:spacing w:val="0"/>
          <w:kern w:val="0"/>
          <w:sz w:val="20"/>
          <w:rtl/>
          <w:lang w:val="en-CA"/>
        </w:rPr>
        <w:t>ملتمسي</w:t>
      </w:r>
      <w:r w:rsidRPr="006B489A">
        <w:rPr>
          <w:spacing w:val="0"/>
          <w:kern w:val="0"/>
          <w:sz w:val="20"/>
          <w:rtl/>
          <w:lang w:val="en-CA"/>
        </w:rPr>
        <w:t xml:space="preserve"> اللجوء </w:t>
      </w:r>
      <w:r w:rsidRPr="006B489A">
        <w:rPr>
          <w:rFonts w:hint="cs"/>
          <w:spacing w:val="0"/>
          <w:kern w:val="0"/>
          <w:sz w:val="20"/>
          <w:rtl/>
          <w:lang w:val="en-CA"/>
        </w:rPr>
        <w:t xml:space="preserve">من </w:t>
      </w:r>
      <w:r w:rsidRPr="006B489A">
        <w:rPr>
          <w:spacing w:val="0"/>
          <w:kern w:val="0"/>
          <w:sz w:val="20"/>
          <w:rtl/>
          <w:lang w:val="en-CA"/>
        </w:rPr>
        <w:t>أصول أرمنية أو أصول إثنية مختلطة يمكن أن يتعرضوا لخطر كبير ع</w:t>
      </w:r>
      <w:r w:rsidRPr="006B489A">
        <w:rPr>
          <w:rFonts w:hint="cs"/>
          <w:spacing w:val="0"/>
          <w:kern w:val="0"/>
          <w:sz w:val="20"/>
          <w:rtl/>
          <w:lang w:val="en-CA"/>
        </w:rPr>
        <w:t>ند</w:t>
      </w:r>
      <w:r w:rsidRPr="006B489A">
        <w:rPr>
          <w:spacing w:val="0"/>
          <w:kern w:val="0"/>
          <w:sz w:val="20"/>
          <w:rtl/>
          <w:lang w:val="en-CA"/>
        </w:rPr>
        <w:t xml:space="preserve"> وصولهم إلى أذربيجان</w:t>
      </w:r>
      <w:r w:rsidRPr="006B489A">
        <w:rPr>
          <w:rFonts w:hint="cs"/>
          <w:spacing w:val="0"/>
          <w:kern w:val="0"/>
          <w:sz w:val="20"/>
          <w:rtl/>
          <w:lang w:val="en-CA"/>
        </w:rPr>
        <w:t>،</w:t>
      </w:r>
      <w:r w:rsidRPr="006B489A">
        <w:rPr>
          <w:spacing w:val="0"/>
          <w:kern w:val="0"/>
          <w:sz w:val="20"/>
          <w:rtl/>
          <w:lang w:val="en-CA"/>
        </w:rPr>
        <w:t xml:space="preserve"> مثل </w:t>
      </w:r>
      <w:r w:rsidRPr="006B489A">
        <w:rPr>
          <w:rFonts w:hint="cs"/>
          <w:spacing w:val="0"/>
          <w:kern w:val="0"/>
          <w:sz w:val="20"/>
          <w:rtl/>
          <w:lang w:val="en-CA"/>
        </w:rPr>
        <w:t xml:space="preserve">خطر </w:t>
      </w:r>
      <w:r w:rsidRPr="006B489A">
        <w:rPr>
          <w:spacing w:val="0"/>
          <w:kern w:val="0"/>
          <w:sz w:val="20"/>
          <w:rtl/>
          <w:lang w:val="en-CA"/>
        </w:rPr>
        <w:t>التعرض لضغط من قبل قوات الأمن. ولذلك</w:t>
      </w:r>
      <w:r w:rsidRPr="006B489A">
        <w:rPr>
          <w:rFonts w:hint="cs"/>
          <w:spacing w:val="0"/>
          <w:kern w:val="0"/>
          <w:sz w:val="20"/>
          <w:rtl/>
          <w:lang w:val="en-CA"/>
        </w:rPr>
        <w:t>،</w:t>
      </w:r>
      <w:r w:rsidRPr="006B489A">
        <w:rPr>
          <w:spacing w:val="0"/>
          <w:kern w:val="0"/>
          <w:sz w:val="20"/>
          <w:rtl/>
          <w:lang w:val="en-CA"/>
        </w:rPr>
        <w:t xml:space="preserve"> </w:t>
      </w:r>
      <w:r w:rsidRPr="006B489A">
        <w:rPr>
          <w:rFonts w:hint="cs"/>
          <w:spacing w:val="0"/>
          <w:kern w:val="0"/>
          <w:sz w:val="20"/>
          <w:rtl/>
          <w:lang w:val="en-CA"/>
        </w:rPr>
        <w:t xml:space="preserve">ومع مراعاة </w:t>
      </w:r>
      <w:r w:rsidRPr="006B489A">
        <w:rPr>
          <w:spacing w:val="0"/>
          <w:kern w:val="0"/>
          <w:sz w:val="20"/>
          <w:rtl/>
          <w:lang w:val="en-CA"/>
        </w:rPr>
        <w:t>هذه المعلومات و</w:t>
      </w:r>
      <w:r w:rsidRPr="006B489A">
        <w:rPr>
          <w:rFonts w:hint="cs"/>
          <w:spacing w:val="0"/>
          <w:kern w:val="0"/>
          <w:sz w:val="20"/>
          <w:rtl/>
          <w:lang w:val="en-CA"/>
        </w:rPr>
        <w:t>ال</w:t>
      </w:r>
      <w:r w:rsidRPr="006B489A">
        <w:rPr>
          <w:spacing w:val="0"/>
          <w:kern w:val="0"/>
          <w:sz w:val="20"/>
          <w:rtl/>
          <w:lang w:val="en-CA"/>
        </w:rPr>
        <w:t xml:space="preserve">تجارب </w:t>
      </w:r>
      <w:r w:rsidRPr="006B489A">
        <w:rPr>
          <w:rFonts w:hint="cs"/>
          <w:spacing w:val="0"/>
          <w:kern w:val="0"/>
          <w:sz w:val="20"/>
          <w:rtl/>
          <w:lang w:val="en-CA"/>
        </w:rPr>
        <w:t>الصادمة والضغوط التي</w:t>
      </w:r>
      <w:r w:rsidRPr="006B489A">
        <w:rPr>
          <w:spacing w:val="0"/>
          <w:kern w:val="0"/>
          <w:sz w:val="20"/>
          <w:rtl/>
          <w:lang w:val="en-CA"/>
        </w:rPr>
        <w:t xml:space="preserve"> تعرض له</w:t>
      </w:r>
      <w:r w:rsidRPr="006B489A">
        <w:rPr>
          <w:rFonts w:hint="cs"/>
          <w:spacing w:val="0"/>
          <w:kern w:val="0"/>
          <w:sz w:val="20"/>
          <w:rtl/>
          <w:lang w:val="en-CA"/>
        </w:rPr>
        <w:t>ا</w:t>
      </w:r>
      <w:r w:rsidRPr="006B489A">
        <w:rPr>
          <w:spacing w:val="0"/>
          <w:kern w:val="0"/>
          <w:sz w:val="20"/>
          <w:rtl/>
          <w:lang w:val="en-CA"/>
        </w:rPr>
        <w:t xml:space="preserve"> </w:t>
      </w:r>
      <w:r w:rsidRPr="006B489A">
        <w:rPr>
          <w:rFonts w:hint="cs"/>
          <w:spacing w:val="0"/>
          <w:kern w:val="0"/>
          <w:sz w:val="20"/>
          <w:rtl/>
          <w:lang w:val="en-CA"/>
        </w:rPr>
        <w:t xml:space="preserve">أصحاب الشكوى بالفعل </w:t>
      </w:r>
      <w:r w:rsidRPr="006B489A">
        <w:rPr>
          <w:spacing w:val="0"/>
          <w:kern w:val="0"/>
          <w:sz w:val="20"/>
          <w:rtl/>
          <w:lang w:val="en-CA"/>
        </w:rPr>
        <w:t xml:space="preserve">في أذربيجان، فإن عودتهم ستعرضهم لخطر </w:t>
      </w:r>
      <w:r w:rsidRPr="006B489A">
        <w:rPr>
          <w:rFonts w:hint="cs"/>
          <w:spacing w:val="0"/>
          <w:kern w:val="0"/>
          <w:sz w:val="20"/>
          <w:rtl/>
          <w:lang w:val="en-CA"/>
        </w:rPr>
        <w:t xml:space="preserve">معاناة </w:t>
      </w:r>
      <w:r w:rsidRPr="006B489A">
        <w:rPr>
          <w:spacing w:val="0"/>
          <w:kern w:val="0"/>
          <w:sz w:val="20"/>
          <w:rtl/>
          <w:lang w:val="en-CA"/>
        </w:rPr>
        <w:t>كبير</w:t>
      </w:r>
      <w:r w:rsidRPr="006B489A">
        <w:rPr>
          <w:rFonts w:hint="cs"/>
          <w:spacing w:val="0"/>
          <w:kern w:val="0"/>
          <w:sz w:val="20"/>
          <w:rtl/>
          <w:lang w:val="en-CA"/>
        </w:rPr>
        <w:t xml:space="preserve">ة </w:t>
      </w:r>
      <w:r w:rsidRPr="006B489A">
        <w:rPr>
          <w:spacing w:val="0"/>
          <w:kern w:val="0"/>
          <w:sz w:val="20"/>
          <w:rtl/>
          <w:lang w:val="en-CA"/>
        </w:rPr>
        <w:t xml:space="preserve">على أيدي المسؤولين </w:t>
      </w:r>
      <w:r w:rsidRPr="006B489A">
        <w:rPr>
          <w:rFonts w:hint="cs"/>
          <w:spacing w:val="0"/>
          <w:kern w:val="0"/>
          <w:sz w:val="20"/>
          <w:rtl/>
          <w:lang w:val="en-CA"/>
        </w:rPr>
        <w:t xml:space="preserve">الحكوميين </w:t>
      </w:r>
      <w:r w:rsidRPr="006B489A">
        <w:rPr>
          <w:spacing w:val="0"/>
          <w:kern w:val="0"/>
          <w:sz w:val="20"/>
          <w:rtl/>
          <w:lang w:val="en-CA"/>
        </w:rPr>
        <w:t>أو</w:t>
      </w:r>
      <w:r w:rsidR="00EA71E8">
        <w:rPr>
          <w:rFonts w:hint="cs"/>
          <w:spacing w:val="0"/>
          <w:kern w:val="0"/>
          <w:sz w:val="20"/>
          <w:rtl/>
          <w:lang w:val="en-CA"/>
        </w:rPr>
        <w:t> </w:t>
      </w:r>
      <w:r w:rsidRPr="006B489A">
        <w:rPr>
          <w:spacing w:val="0"/>
          <w:kern w:val="0"/>
          <w:sz w:val="20"/>
          <w:rtl/>
          <w:lang w:val="en-CA"/>
        </w:rPr>
        <w:t>غيرهم من الأشخاص العاملين بصفتهم الرسمية.</w:t>
      </w:r>
      <w:r w:rsidRPr="006B489A">
        <w:rPr>
          <w:rFonts w:hint="cs"/>
          <w:spacing w:val="0"/>
          <w:kern w:val="0"/>
          <w:sz w:val="20"/>
          <w:rtl/>
          <w:lang w:val="en-CA"/>
        </w:rPr>
        <w:t xml:space="preserve"> </w:t>
      </w:r>
      <w:r w:rsidRPr="006B489A">
        <w:rPr>
          <w:spacing w:val="0"/>
          <w:kern w:val="0"/>
          <w:sz w:val="20"/>
          <w:rtl/>
          <w:lang w:val="en-CA"/>
        </w:rPr>
        <w:t>ولا ينبغي اعتبار عدم وجود بلاغات جديدة ب</w:t>
      </w:r>
      <w:r w:rsidRPr="006B489A">
        <w:rPr>
          <w:rFonts w:hint="eastAsia"/>
          <w:spacing w:val="0"/>
          <w:kern w:val="0"/>
          <w:sz w:val="20"/>
          <w:rtl/>
          <w:lang w:val="en-CA"/>
        </w:rPr>
        <w:t>شأن</w:t>
      </w:r>
      <w:r w:rsidRPr="006B489A">
        <w:rPr>
          <w:spacing w:val="0"/>
          <w:kern w:val="0"/>
          <w:sz w:val="20"/>
          <w:rtl/>
          <w:lang w:val="en-CA"/>
        </w:rPr>
        <w:t xml:space="preserve"> التعذيب ضد الأرم</w:t>
      </w:r>
      <w:r w:rsidRPr="006B489A">
        <w:rPr>
          <w:rFonts w:hint="cs"/>
          <w:spacing w:val="0"/>
          <w:kern w:val="0"/>
          <w:sz w:val="20"/>
          <w:rtl/>
          <w:lang w:val="en-CA"/>
        </w:rPr>
        <w:t>ن</w:t>
      </w:r>
      <w:r w:rsidRPr="006B489A">
        <w:rPr>
          <w:spacing w:val="0"/>
          <w:kern w:val="0"/>
          <w:sz w:val="20"/>
          <w:rtl/>
          <w:lang w:val="en-CA"/>
        </w:rPr>
        <w:t xml:space="preserve"> </w:t>
      </w:r>
      <w:r w:rsidRPr="006B489A">
        <w:rPr>
          <w:rFonts w:hint="cs"/>
          <w:spacing w:val="0"/>
          <w:kern w:val="0"/>
          <w:sz w:val="20"/>
          <w:rtl/>
          <w:lang w:val="en-CA"/>
        </w:rPr>
        <w:t>خلال</w:t>
      </w:r>
      <w:r w:rsidRPr="006B489A">
        <w:rPr>
          <w:spacing w:val="0"/>
          <w:kern w:val="0"/>
          <w:sz w:val="20"/>
          <w:rtl/>
          <w:lang w:val="en-CA"/>
        </w:rPr>
        <w:t xml:space="preserve"> سنة واحدة </w:t>
      </w:r>
      <w:r w:rsidRPr="006B489A">
        <w:rPr>
          <w:rFonts w:hint="cs"/>
          <w:spacing w:val="0"/>
          <w:kern w:val="0"/>
          <w:sz w:val="20"/>
          <w:rtl/>
          <w:lang w:val="en-CA"/>
        </w:rPr>
        <w:t xml:space="preserve">معينة </w:t>
      </w:r>
      <w:r w:rsidRPr="006B489A">
        <w:rPr>
          <w:spacing w:val="0"/>
          <w:kern w:val="0"/>
          <w:sz w:val="20"/>
          <w:rtl/>
          <w:lang w:val="en-CA"/>
        </w:rPr>
        <w:t>دليل</w:t>
      </w:r>
      <w:r w:rsidRPr="006B489A">
        <w:rPr>
          <w:rFonts w:hint="cs"/>
          <w:spacing w:val="0"/>
          <w:kern w:val="0"/>
          <w:sz w:val="20"/>
          <w:rtl/>
          <w:lang w:val="en-CA"/>
        </w:rPr>
        <w:t>ا</w:t>
      </w:r>
      <w:r w:rsidRPr="006B489A">
        <w:rPr>
          <w:spacing w:val="0"/>
          <w:kern w:val="0"/>
          <w:sz w:val="20"/>
          <w:rtl/>
          <w:lang w:val="en-CA"/>
        </w:rPr>
        <w:t xml:space="preserve"> على توقف مثل هذا التمييز و</w:t>
      </w:r>
      <w:r w:rsidRPr="006B489A">
        <w:rPr>
          <w:rFonts w:hint="cs"/>
          <w:spacing w:val="0"/>
          <w:kern w:val="0"/>
          <w:sz w:val="20"/>
          <w:rtl/>
          <w:lang w:val="en-CA"/>
        </w:rPr>
        <w:t>ب</w:t>
      </w:r>
      <w:r w:rsidRPr="006B489A">
        <w:rPr>
          <w:spacing w:val="0"/>
          <w:kern w:val="0"/>
          <w:sz w:val="20"/>
          <w:rtl/>
          <w:lang w:val="en-CA"/>
        </w:rPr>
        <w:t>خاصة عندما تشير تقارير أخرى مختلفة صادرة في الوقت نفس</w:t>
      </w:r>
      <w:r w:rsidRPr="006B489A">
        <w:rPr>
          <w:rFonts w:hint="cs"/>
          <w:spacing w:val="0"/>
          <w:kern w:val="0"/>
          <w:sz w:val="20"/>
          <w:rtl/>
          <w:lang w:val="en-CA"/>
        </w:rPr>
        <w:t>ه</w:t>
      </w:r>
      <w:r w:rsidRPr="006B489A">
        <w:rPr>
          <w:spacing w:val="0"/>
          <w:kern w:val="0"/>
          <w:sz w:val="20"/>
          <w:rtl/>
          <w:lang w:val="en-CA"/>
        </w:rPr>
        <w:t xml:space="preserve"> إلى أن الأرم</w:t>
      </w:r>
      <w:r w:rsidRPr="006B489A">
        <w:rPr>
          <w:rFonts w:hint="cs"/>
          <w:spacing w:val="0"/>
          <w:kern w:val="0"/>
          <w:sz w:val="20"/>
          <w:rtl/>
          <w:lang w:val="en-CA"/>
        </w:rPr>
        <w:t>ن</w:t>
      </w:r>
      <w:r w:rsidRPr="006B489A">
        <w:rPr>
          <w:spacing w:val="0"/>
          <w:kern w:val="0"/>
          <w:sz w:val="20"/>
          <w:rtl/>
          <w:lang w:val="en-CA"/>
        </w:rPr>
        <w:t xml:space="preserve"> المقيمين في أذربيجان يحاولون إخفاء هويتهم.</w:t>
      </w:r>
    </w:p>
    <w:p w:rsidR="006B489A" w:rsidRPr="006B489A" w:rsidRDefault="006B489A" w:rsidP="006B489A">
      <w:pPr>
        <w:pStyle w:val="SingleTxtGA"/>
        <w:jc w:val="lowKashida"/>
        <w:rPr>
          <w:spacing w:val="0"/>
          <w:kern w:val="0"/>
          <w:sz w:val="20"/>
          <w:szCs w:val="20"/>
          <w:rtl/>
        </w:rPr>
      </w:pPr>
      <w:r w:rsidRPr="006B489A">
        <w:rPr>
          <w:rFonts w:hint="cs"/>
          <w:spacing w:val="0"/>
          <w:kern w:val="0"/>
          <w:sz w:val="20"/>
          <w:rtl/>
          <w:lang w:val="en-CA"/>
        </w:rPr>
        <w:t>5-2</w:t>
      </w:r>
      <w:r w:rsidRPr="006B489A">
        <w:rPr>
          <w:rFonts w:hint="cs"/>
          <w:spacing w:val="0"/>
          <w:kern w:val="0"/>
          <w:sz w:val="20"/>
          <w:rtl/>
          <w:lang w:val="en-CA"/>
        </w:rPr>
        <w:tab/>
        <w:t>ويعترض أصحاب الشكوى أيضاً على ادعاء الدولة الطرف بأن أذربيجان لم تكن لتستقبلهم لو كانوا من أصل أرمني أو من أصول إثنية مختلطة. وفي هذا السياق، فإنهم يشيرون إلى أن الوثائق التي تثبت أصل س. م. الأرمني لم تُسلم بالفعل إلى ضباط مراقبة الحدود ولكنها وجدت في حقائب الأسرة بعد رحيل الشرطة السويدية المصاحبة لهم. وعندما اكتشف ضباط مراقبة الحدود أن س. م. يحاول إخفاء أصوله، زاد العداء تجاههم. كما أضافوا أن أشقاء وشقيقات س. م. واجهوا أنواعا مختلفة من الصعوبات: فقد ترك أحد أشقائه على الأقل البلد وانتحرت إحدى شقيقاته بعد تعرضها للإيذاء. ويحاول الآخرون إخفاء أصلهم الإثني، وفي حالة نجاحهم في ذلك، فهذا لا يعني سلامتهم عند العودة.</w:t>
      </w:r>
    </w:p>
    <w:p w:rsidR="006B489A" w:rsidRPr="006B489A" w:rsidRDefault="006B489A" w:rsidP="006B489A">
      <w:pPr>
        <w:pStyle w:val="H23GA"/>
        <w:jc w:val="lowKashida"/>
        <w:rPr>
          <w:spacing w:val="0"/>
          <w:kern w:val="0"/>
          <w:sz w:val="20"/>
          <w:szCs w:val="20"/>
          <w:rtl/>
        </w:rPr>
      </w:pPr>
      <w:r w:rsidRPr="006B489A">
        <w:rPr>
          <w:rFonts w:hint="cs"/>
          <w:spacing w:val="0"/>
          <w:kern w:val="0"/>
          <w:sz w:val="20"/>
          <w:rtl/>
        </w:rPr>
        <w:tab/>
      </w:r>
      <w:r w:rsidRPr="006B489A">
        <w:rPr>
          <w:rFonts w:hint="cs"/>
          <w:spacing w:val="0"/>
          <w:kern w:val="0"/>
          <w:sz w:val="20"/>
          <w:rtl/>
        </w:rPr>
        <w:tab/>
      </w:r>
      <w:r w:rsidRPr="006B489A">
        <w:rPr>
          <w:rFonts w:hint="eastAsia"/>
          <w:spacing w:val="0"/>
          <w:kern w:val="0"/>
          <w:sz w:val="20"/>
          <w:rtl/>
        </w:rPr>
        <w:t>ملاحظات</w:t>
      </w:r>
      <w:r w:rsidRPr="006B489A">
        <w:rPr>
          <w:spacing w:val="0"/>
          <w:kern w:val="0"/>
          <w:sz w:val="20"/>
          <w:rtl/>
        </w:rPr>
        <w:t xml:space="preserve"> إضافية </w:t>
      </w:r>
      <w:r w:rsidRPr="006B489A">
        <w:rPr>
          <w:rFonts w:hint="cs"/>
          <w:spacing w:val="0"/>
          <w:kern w:val="0"/>
          <w:sz w:val="20"/>
          <w:rtl/>
        </w:rPr>
        <w:t xml:space="preserve">مقدمة </w:t>
      </w:r>
      <w:r w:rsidRPr="006B489A">
        <w:rPr>
          <w:spacing w:val="0"/>
          <w:kern w:val="0"/>
          <w:sz w:val="20"/>
          <w:rtl/>
        </w:rPr>
        <w:t>من الدولة الطرف</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6-</w:t>
      </w:r>
      <w:r w:rsidRPr="006B489A">
        <w:rPr>
          <w:spacing w:val="0"/>
          <w:kern w:val="0"/>
          <w:sz w:val="20"/>
          <w:rtl/>
          <w:lang w:val="en-CA"/>
        </w:rPr>
        <w:tab/>
        <w:t xml:space="preserve">أشارت الدولة الطرف في تقريرها المؤرخ 4 </w:t>
      </w:r>
      <w:r w:rsidRPr="006B489A">
        <w:rPr>
          <w:rFonts w:hint="cs"/>
          <w:spacing w:val="0"/>
          <w:kern w:val="0"/>
          <w:sz w:val="20"/>
          <w:rtl/>
          <w:lang w:val="en-CA"/>
        </w:rPr>
        <w:t>تشرين</w:t>
      </w:r>
      <w:r w:rsidRPr="006B489A">
        <w:rPr>
          <w:spacing w:val="0"/>
          <w:kern w:val="0"/>
          <w:sz w:val="20"/>
          <w:rtl/>
          <w:lang w:val="en-CA"/>
        </w:rPr>
        <w:t xml:space="preserve"> الأول/أكتوبر 2010 إلى أنها شككت في مصداقية </w:t>
      </w:r>
      <w:r w:rsidRPr="006B489A">
        <w:rPr>
          <w:rFonts w:hint="cs"/>
          <w:spacing w:val="0"/>
          <w:kern w:val="0"/>
          <w:sz w:val="20"/>
          <w:rtl/>
          <w:lang w:val="en-CA"/>
        </w:rPr>
        <w:t>رواية</w:t>
      </w:r>
      <w:r w:rsidRPr="006B489A">
        <w:rPr>
          <w:spacing w:val="0"/>
          <w:kern w:val="0"/>
          <w:sz w:val="20"/>
          <w:rtl/>
          <w:lang w:val="en-CA"/>
        </w:rPr>
        <w:t xml:space="preserve"> </w:t>
      </w:r>
      <w:r w:rsidRPr="006B489A">
        <w:rPr>
          <w:rFonts w:hint="cs"/>
          <w:spacing w:val="0"/>
          <w:kern w:val="0"/>
          <w:sz w:val="20"/>
          <w:rtl/>
          <w:lang w:val="en-CA"/>
        </w:rPr>
        <w:t>أصحاب</w:t>
      </w:r>
      <w:r w:rsidRPr="006B489A">
        <w:rPr>
          <w:spacing w:val="0"/>
          <w:kern w:val="0"/>
          <w:sz w:val="20"/>
          <w:rtl/>
          <w:lang w:val="en-CA"/>
        </w:rPr>
        <w:t xml:space="preserve"> الشكوى </w:t>
      </w:r>
      <w:r w:rsidRPr="006B489A">
        <w:rPr>
          <w:rFonts w:hint="cs"/>
          <w:spacing w:val="0"/>
          <w:kern w:val="0"/>
          <w:sz w:val="20"/>
          <w:rtl/>
          <w:lang w:val="en-CA"/>
        </w:rPr>
        <w:t xml:space="preserve">بشأن </w:t>
      </w:r>
      <w:r w:rsidRPr="006B489A">
        <w:rPr>
          <w:spacing w:val="0"/>
          <w:kern w:val="0"/>
          <w:sz w:val="20"/>
          <w:rtl/>
          <w:lang w:val="en-CA"/>
        </w:rPr>
        <w:t xml:space="preserve">تعرضهم لسوء </w:t>
      </w:r>
      <w:r w:rsidRPr="006B489A">
        <w:rPr>
          <w:rFonts w:hint="cs"/>
          <w:spacing w:val="0"/>
          <w:kern w:val="0"/>
          <w:sz w:val="20"/>
          <w:rtl/>
          <w:lang w:val="en-CA"/>
        </w:rPr>
        <w:t>ال</w:t>
      </w:r>
      <w:r w:rsidRPr="006B489A">
        <w:rPr>
          <w:spacing w:val="0"/>
          <w:kern w:val="0"/>
          <w:sz w:val="20"/>
          <w:rtl/>
          <w:lang w:val="en-CA"/>
        </w:rPr>
        <w:t xml:space="preserve">معاملة بعد عودتهم إلى أذربيجان في عام 2004 نتيجة عدم اتساق رواياتهم (انظر ضمن جملة أمور الفقرتين 4-15 و4-18 أعلاه). </w:t>
      </w:r>
      <w:r w:rsidRPr="006B489A">
        <w:rPr>
          <w:rFonts w:hint="cs"/>
          <w:spacing w:val="0"/>
          <w:kern w:val="0"/>
          <w:sz w:val="20"/>
          <w:rtl/>
          <w:lang w:val="en-CA"/>
        </w:rPr>
        <w:t>وأفادت</w:t>
      </w:r>
      <w:r w:rsidRPr="006B489A">
        <w:rPr>
          <w:spacing w:val="0"/>
          <w:kern w:val="0"/>
          <w:sz w:val="20"/>
          <w:rtl/>
          <w:lang w:val="en-CA"/>
        </w:rPr>
        <w:t xml:space="preserve"> أيضاً </w:t>
      </w:r>
      <w:r w:rsidRPr="006B489A">
        <w:rPr>
          <w:rFonts w:hint="cs"/>
          <w:spacing w:val="0"/>
          <w:kern w:val="0"/>
          <w:sz w:val="20"/>
          <w:rtl/>
          <w:lang w:val="en-CA"/>
        </w:rPr>
        <w:t>ب</w:t>
      </w:r>
      <w:r w:rsidRPr="006B489A">
        <w:rPr>
          <w:spacing w:val="0"/>
          <w:kern w:val="0"/>
          <w:sz w:val="20"/>
          <w:rtl/>
          <w:lang w:val="en-CA"/>
        </w:rPr>
        <w:t xml:space="preserve">أن </w:t>
      </w:r>
      <w:r w:rsidRPr="006B489A">
        <w:rPr>
          <w:rFonts w:hint="cs"/>
          <w:spacing w:val="0"/>
          <w:kern w:val="0"/>
          <w:sz w:val="20"/>
          <w:rtl/>
          <w:lang w:val="en-CA"/>
        </w:rPr>
        <w:t xml:space="preserve">أصحاب </w:t>
      </w:r>
      <w:r w:rsidRPr="006B489A">
        <w:rPr>
          <w:rFonts w:hint="eastAsia"/>
          <w:spacing w:val="0"/>
          <w:kern w:val="0"/>
          <w:sz w:val="20"/>
          <w:rtl/>
          <w:lang w:val="en-CA"/>
        </w:rPr>
        <w:t>الشكوى</w:t>
      </w:r>
      <w:r w:rsidRPr="006B489A">
        <w:rPr>
          <w:spacing w:val="0"/>
          <w:kern w:val="0"/>
          <w:sz w:val="20"/>
          <w:rtl/>
          <w:lang w:val="en-CA"/>
        </w:rPr>
        <w:t xml:space="preserve"> سيكون</w:t>
      </w:r>
      <w:r w:rsidRPr="006B489A">
        <w:rPr>
          <w:rFonts w:hint="cs"/>
          <w:spacing w:val="0"/>
          <w:kern w:val="0"/>
          <w:sz w:val="20"/>
          <w:rtl/>
          <w:lang w:val="en-CA"/>
        </w:rPr>
        <w:t>ون</w:t>
      </w:r>
      <w:r w:rsidRPr="006B489A">
        <w:rPr>
          <w:spacing w:val="0"/>
          <w:kern w:val="0"/>
          <w:sz w:val="20"/>
          <w:rtl/>
          <w:lang w:val="en-CA"/>
        </w:rPr>
        <w:t xml:space="preserve"> موضع اهتمام السلطات الأذربيجانية حتى إذا اعت</w:t>
      </w:r>
      <w:r w:rsidRPr="006B489A">
        <w:rPr>
          <w:rFonts w:hint="cs"/>
          <w:spacing w:val="0"/>
          <w:kern w:val="0"/>
          <w:sz w:val="20"/>
          <w:rtl/>
          <w:lang w:val="en-CA"/>
        </w:rPr>
        <w:t>ُ</w:t>
      </w:r>
      <w:r w:rsidRPr="006B489A">
        <w:rPr>
          <w:spacing w:val="0"/>
          <w:kern w:val="0"/>
          <w:sz w:val="20"/>
          <w:rtl/>
          <w:lang w:val="en-CA"/>
        </w:rPr>
        <w:t xml:space="preserve">بر أن </w:t>
      </w:r>
      <w:r w:rsidRPr="006B489A">
        <w:rPr>
          <w:rFonts w:hint="cs"/>
          <w:spacing w:val="0"/>
          <w:kern w:val="0"/>
          <w:sz w:val="20"/>
          <w:rtl/>
          <w:lang w:val="en-CA"/>
        </w:rPr>
        <w:t xml:space="preserve">دوافعهم </w:t>
      </w:r>
      <w:r w:rsidRPr="006B489A">
        <w:rPr>
          <w:spacing w:val="0"/>
          <w:kern w:val="0"/>
          <w:sz w:val="20"/>
          <w:rtl/>
          <w:lang w:val="en-CA"/>
        </w:rPr>
        <w:t xml:space="preserve">المزعومة لترك أذربيجان مدعومة بالأدلة. ولذلك، تكرر الدولة الطرف من جديد ملاحظاتها السابقة وتؤكد أن الأدلة والظروف التي </w:t>
      </w:r>
      <w:r w:rsidRPr="006B489A">
        <w:rPr>
          <w:rFonts w:hint="cs"/>
          <w:spacing w:val="0"/>
          <w:kern w:val="0"/>
          <w:sz w:val="20"/>
          <w:rtl/>
          <w:lang w:val="en-CA"/>
        </w:rPr>
        <w:t>احتج</w:t>
      </w:r>
      <w:r w:rsidRPr="006B489A">
        <w:rPr>
          <w:spacing w:val="0"/>
          <w:kern w:val="0"/>
          <w:sz w:val="20"/>
          <w:rtl/>
          <w:lang w:val="en-CA"/>
        </w:rPr>
        <w:t xml:space="preserve"> بها </w:t>
      </w:r>
      <w:r w:rsidRPr="006B489A">
        <w:rPr>
          <w:rFonts w:hint="cs"/>
          <w:spacing w:val="0"/>
          <w:kern w:val="0"/>
          <w:sz w:val="20"/>
          <w:rtl/>
          <w:lang w:val="en-CA"/>
        </w:rPr>
        <w:t xml:space="preserve">أصحاب </w:t>
      </w:r>
      <w:r w:rsidRPr="006B489A">
        <w:rPr>
          <w:spacing w:val="0"/>
          <w:kern w:val="0"/>
          <w:sz w:val="20"/>
          <w:rtl/>
          <w:lang w:val="en-CA"/>
        </w:rPr>
        <w:t xml:space="preserve">الشكوى غير كافية لتبين أن خطر </w:t>
      </w:r>
      <w:r w:rsidRPr="006B489A">
        <w:rPr>
          <w:rFonts w:hint="cs"/>
          <w:spacing w:val="0"/>
          <w:kern w:val="0"/>
          <w:sz w:val="20"/>
          <w:rtl/>
          <w:lang w:val="en-CA"/>
        </w:rPr>
        <w:t>التعرض ل</w:t>
      </w:r>
      <w:r w:rsidRPr="006B489A">
        <w:rPr>
          <w:spacing w:val="0"/>
          <w:kern w:val="0"/>
          <w:sz w:val="20"/>
          <w:rtl/>
          <w:lang w:val="en-CA"/>
        </w:rPr>
        <w:t>لتعذيب المزع</w:t>
      </w:r>
      <w:r w:rsidRPr="006B489A">
        <w:rPr>
          <w:rFonts w:hint="eastAsia"/>
          <w:spacing w:val="0"/>
          <w:kern w:val="0"/>
          <w:sz w:val="20"/>
          <w:rtl/>
          <w:lang w:val="en-CA"/>
        </w:rPr>
        <w:t>وم</w:t>
      </w:r>
      <w:r w:rsidRPr="006B489A">
        <w:rPr>
          <w:spacing w:val="0"/>
          <w:kern w:val="0"/>
          <w:sz w:val="20"/>
          <w:rtl/>
          <w:lang w:val="en-CA"/>
        </w:rPr>
        <w:t xml:space="preserve"> بعد عودتهم </w:t>
      </w:r>
      <w:r w:rsidRPr="006B489A">
        <w:rPr>
          <w:rFonts w:hint="cs"/>
          <w:spacing w:val="0"/>
          <w:kern w:val="0"/>
          <w:sz w:val="20"/>
          <w:rtl/>
          <w:lang w:val="en-CA"/>
        </w:rPr>
        <w:t>يستوفي الشرط القاضي ب</w:t>
      </w:r>
      <w:r w:rsidRPr="006B489A">
        <w:rPr>
          <w:spacing w:val="0"/>
          <w:kern w:val="0"/>
          <w:sz w:val="20"/>
          <w:rtl/>
          <w:lang w:val="en-CA"/>
        </w:rPr>
        <w:t xml:space="preserve">أن يكون </w:t>
      </w:r>
      <w:r w:rsidRPr="006B489A">
        <w:rPr>
          <w:rFonts w:hint="cs"/>
          <w:spacing w:val="0"/>
          <w:kern w:val="0"/>
          <w:sz w:val="20"/>
          <w:rtl/>
          <w:lang w:val="en-CA"/>
        </w:rPr>
        <w:t xml:space="preserve">الخطر </w:t>
      </w:r>
      <w:r w:rsidRPr="006B489A">
        <w:rPr>
          <w:spacing w:val="0"/>
          <w:kern w:val="0"/>
          <w:sz w:val="20"/>
          <w:rtl/>
          <w:lang w:val="en-CA"/>
        </w:rPr>
        <w:t xml:space="preserve">متوقعاً وحقيقياً وشخصياً، </w:t>
      </w:r>
      <w:r w:rsidRPr="006B489A">
        <w:rPr>
          <w:rFonts w:hint="cs"/>
          <w:spacing w:val="0"/>
          <w:kern w:val="0"/>
          <w:sz w:val="20"/>
          <w:rtl/>
          <w:lang w:val="en-CA"/>
        </w:rPr>
        <w:t>و</w:t>
      </w:r>
      <w:r w:rsidRPr="006B489A">
        <w:rPr>
          <w:spacing w:val="0"/>
          <w:kern w:val="0"/>
          <w:sz w:val="20"/>
          <w:rtl/>
          <w:lang w:val="en-CA"/>
        </w:rPr>
        <w:t xml:space="preserve">أن ترحيلهم إلى أذربيجان لن </w:t>
      </w:r>
      <w:r w:rsidRPr="006B489A">
        <w:rPr>
          <w:rFonts w:hint="cs"/>
          <w:spacing w:val="0"/>
          <w:kern w:val="0"/>
          <w:sz w:val="20"/>
          <w:rtl/>
          <w:lang w:val="en-CA"/>
        </w:rPr>
        <w:t>يشكل</w:t>
      </w:r>
      <w:r w:rsidRPr="006B489A">
        <w:rPr>
          <w:spacing w:val="0"/>
          <w:kern w:val="0"/>
          <w:sz w:val="20"/>
          <w:rtl/>
          <w:lang w:val="en-CA"/>
        </w:rPr>
        <w:t xml:space="preserve"> انتهاكاً للمادة 3 من الاتفاقية.</w:t>
      </w:r>
    </w:p>
    <w:p w:rsidR="006B489A" w:rsidRPr="006B489A" w:rsidRDefault="006B489A" w:rsidP="006B489A">
      <w:pPr>
        <w:pStyle w:val="H23GA"/>
        <w:jc w:val="lowKashida"/>
        <w:rPr>
          <w:spacing w:val="0"/>
          <w:kern w:val="0"/>
          <w:sz w:val="20"/>
          <w:szCs w:val="20"/>
          <w:rtl/>
        </w:rPr>
      </w:pPr>
      <w:r w:rsidRPr="006B489A">
        <w:rPr>
          <w:rFonts w:hint="cs"/>
          <w:spacing w:val="0"/>
          <w:kern w:val="0"/>
          <w:sz w:val="20"/>
          <w:rtl/>
        </w:rPr>
        <w:tab/>
      </w:r>
      <w:r w:rsidRPr="006B489A">
        <w:rPr>
          <w:rFonts w:hint="cs"/>
          <w:spacing w:val="0"/>
          <w:kern w:val="0"/>
          <w:sz w:val="20"/>
          <w:rtl/>
        </w:rPr>
        <w:tab/>
      </w:r>
      <w:r w:rsidRPr="006B489A">
        <w:rPr>
          <w:rFonts w:hint="eastAsia"/>
          <w:spacing w:val="0"/>
          <w:kern w:val="0"/>
          <w:sz w:val="20"/>
          <w:rtl/>
        </w:rPr>
        <w:t>تعليقات</w:t>
      </w:r>
      <w:r w:rsidRPr="006B489A">
        <w:rPr>
          <w:spacing w:val="0"/>
          <w:kern w:val="0"/>
          <w:sz w:val="20"/>
          <w:rtl/>
        </w:rPr>
        <w:t xml:space="preserve"> إضافية </w:t>
      </w:r>
      <w:r w:rsidRPr="006B489A">
        <w:rPr>
          <w:rFonts w:hint="cs"/>
          <w:spacing w:val="0"/>
          <w:kern w:val="0"/>
          <w:sz w:val="20"/>
          <w:rtl/>
        </w:rPr>
        <w:t xml:space="preserve">مقدمة </w:t>
      </w:r>
      <w:r w:rsidRPr="006B489A">
        <w:rPr>
          <w:spacing w:val="0"/>
          <w:kern w:val="0"/>
          <w:sz w:val="20"/>
          <w:rtl/>
        </w:rPr>
        <w:t xml:space="preserve">من </w:t>
      </w:r>
      <w:r w:rsidRPr="006B489A">
        <w:rPr>
          <w:rFonts w:hint="cs"/>
          <w:spacing w:val="0"/>
          <w:kern w:val="0"/>
          <w:sz w:val="20"/>
          <w:rtl/>
        </w:rPr>
        <w:t xml:space="preserve">أصحاب </w:t>
      </w:r>
      <w:r w:rsidRPr="006B489A">
        <w:rPr>
          <w:spacing w:val="0"/>
          <w:kern w:val="0"/>
          <w:sz w:val="20"/>
          <w:rtl/>
        </w:rPr>
        <w:t>الشكوى</w:t>
      </w:r>
    </w:p>
    <w:p w:rsidR="006B489A" w:rsidRPr="006B489A" w:rsidRDefault="006B489A" w:rsidP="006B489A">
      <w:pPr>
        <w:pStyle w:val="SingleTxtGA"/>
        <w:jc w:val="lowKashida"/>
        <w:rPr>
          <w:spacing w:val="0"/>
          <w:kern w:val="0"/>
          <w:sz w:val="20"/>
          <w:szCs w:val="20"/>
          <w:rtl/>
        </w:rPr>
      </w:pPr>
      <w:r w:rsidRPr="006B489A">
        <w:rPr>
          <w:spacing w:val="0"/>
          <w:kern w:val="0"/>
          <w:sz w:val="20"/>
          <w:rtl/>
          <w:lang w:val="en-CA"/>
        </w:rPr>
        <w:t>7-1</w:t>
      </w:r>
      <w:r w:rsidRPr="006B489A">
        <w:rPr>
          <w:spacing w:val="0"/>
          <w:kern w:val="0"/>
          <w:sz w:val="20"/>
          <w:rtl/>
          <w:lang w:val="en-CA"/>
        </w:rPr>
        <w:tab/>
        <w:t xml:space="preserve">أبلغت محامية </w:t>
      </w:r>
      <w:r w:rsidRPr="006B489A">
        <w:rPr>
          <w:rFonts w:hint="cs"/>
          <w:spacing w:val="0"/>
          <w:kern w:val="0"/>
          <w:sz w:val="20"/>
          <w:rtl/>
          <w:lang w:val="en-CA"/>
        </w:rPr>
        <w:t xml:space="preserve">أصحاب </w:t>
      </w:r>
      <w:r w:rsidRPr="006B489A">
        <w:rPr>
          <w:spacing w:val="0"/>
          <w:kern w:val="0"/>
          <w:sz w:val="20"/>
          <w:rtl/>
          <w:lang w:val="en-CA"/>
        </w:rPr>
        <w:t xml:space="preserve">الشكوى في رسالة مؤرخة 26 تشرين الأول/أكتوبر 2010 أن ابنة </w:t>
      </w:r>
      <w:r w:rsidRPr="006B489A">
        <w:rPr>
          <w:rFonts w:hint="cs"/>
          <w:spacing w:val="0"/>
          <w:kern w:val="0"/>
          <w:sz w:val="20"/>
          <w:rtl/>
          <w:lang w:val="en-CA"/>
        </w:rPr>
        <w:t xml:space="preserve">أصحاب </w:t>
      </w:r>
      <w:r w:rsidRPr="006B489A">
        <w:rPr>
          <w:spacing w:val="0"/>
          <w:kern w:val="0"/>
          <w:sz w:val="20"/>
          <w:rtl/>
          <w:lang w:val="en-CA"/>
        </w:rPr>
        <w:t>الشكوى م</w:t>
      </w:r>
      <w:r w:rsidRPr="006B489A">
        <w:rPr>
          <w:rFonts w:hint="cs"/>
          <w:spacing w:val="0"/>
          <w:kern w:val="0"/>
          <w:sz w:val="20"/>
          <w:rtl/>
          <w:lang w:val="en-CA"/>
        </w:rPr>
        <w:t>ُ</w:t>
      </w:r>
      <w:r w:rsidRPr="006B489A">
        <w:rPr>
          <w:spacing w:val="0"/>
          <w:kern w:val="0"/>
          <w:sz w:val="20"/>
          <w:rtl/>
          <w:lang w:val="en-CA"/>
        </w:rPr>
        <w:t xml:space="preserve">نحت </w:t>
      </w:r>
      <w:r w:rsidRPr="006B489A">
        <w:rPr>
          <w:rFonts w:hint="cs"/>
          <w:spacing w:val="0"/>
          <w:kern w:val="0"/>
          <w:sz w:val="20"/>
          <w:rtl/>
          <w:lang w:val="en-CA"/>
        </w:rPr>
        <w:t>الإذن ب</w:t>
      </w:r>
      <w:r w:rsidRPr="006B489A">
        <w:rPr>
          <w:spacing w:val="0"/>
          <w:kern w:val="0"/>
          <w:sz w:val="20"/>
          <w:rtl/>
          <w:lang w:val="en-CA"/>
        </w:rPr>
        <w:t xml:space="preserve">الإقامة في السويد. وتقيم الابنة في دار رعاية مع أخيها وأسرته. واستند القرار إلى العائق القائم </w:t>
      </w:r>
      <w:r w:rsidRPr="006B489A">
        <w:rPr>
          <w:rFonts w:hint="cs"/>
          <w:spacing w:val="0"/>
          <w:kern w:val="0"/>
          <w:sz w:val="20"/>
          <w:rtl/>
          <w:lang w:val="en-CA"/>
        </w:rPr>
        <w:t xml:space="preserve">الذي يعوق </w:t>
      </w:r>
      <w:r w:rsidRPr="006B489A">
        <w:rPr>
          <w:spacing w:val="0"/>
          <w:kern w:val="0"/>
          <w:sz w:val="20"/>
          <w:rtl/>
          <w:lang w:val="en-CA"/>
        </w:rPr>
        <w:t>إنفاذ الطرد، وهو أنه لا يوجد شخص بالغ يمكن أن يتولى ر</w:t>
      </w:r>
      <w:r w:rsidRPr="006B489A">
        <w:rPr>
          <w:rFonts w:hint="eastAsia"/>
          <w:spacing w:val="0"/>
          <w:kern w:val="0"/>
          <w:sz w:val="20"/>
          <w:rtl/>
          <w:lang w:val="en-CA"/>
        </w:rPr>
        <w:t>عايتها</w:t>
      </w:r>
      <w:r w:rsidRPr="006B489A">
        <w:rPr>
          <w:spacing w:val="0"/>
          <w:kern w:val="0"/>
          <w:sz w:val="20"/>
          <w:rtl/>
          <w:lang w:val="en-CA"/>
        </w:rPr>
        <w:t xml:space="preserve"> في أذربيجان نظراً لوفاة أجدادها واختباء والديها (أصحاب البلاغ).</w:t>
      </w:r>
      <w:r w:rsidRPr="006B489A">
        <w:rPr>
          <w:rFonts w:hint="cs"/>
          <w:spacing w:val="0"/>
          <w:kern w:val="0"/>
          <w:sz w:val="20"/>
          <w:rtl/>
          <w:lang w:val="en-CA"/>
        </w:rPr>
        <w:t xml:space="preserve"> </w:t>
      </w:r>
      <w:r w:rsidRPr="006B489A">
        <w:rPr>
          <w:rFonts w:hint="eastAsia"/>
          <w:spacing w:val="0"/>
          <w:kern w:val="0"/>
          <w:sz w:val="20"/>
          <w:rtl/>
          <w:lang w:val="en-CA"/>
        </w:rPr>
        <w:t>والعناصر</w:t>
      </w:r>
      <w:r w:rsidRPr="006B489A">
        <w:rPr>
          <w:spacing w:val="0"/>
          <w:kern w:val="0"/>
          <w:sz w:val="20"/>
          <w:rtl/>
          <w:lang w:val="en-CA"/>
        </w:rPr>
        <w:t xml:space="preserve"> الأخرى التي وضعت في الاعتبار هي حالتها الصحية وتكيفها </w:t>
      </w:r>
      <w:r w:rsidRPr="006B489A">
        <w:rPr>
          <w:rFonts w:hint="cs"/>
          <w:spacing w:val="0"/>
          <w:kern w:val="0"/>
          <w:sz w:val="20"/>
          <w:rtl/>
          <w:lang w:val="en-CA"/>
        </w:rPr>
        <w:t>مع الحياة في</w:t>
      </w:r>
      <w:r w:rsidRPr="006B489A">
        <w:rPr>
          <w:spacing w:val="0"/>
          <w:kern w:val="0"/>
          <w:sz w:val="20"/>
          <w:rtl/>
          <w:lang w:val="en-CA"/>
        </w:rPr>
        <w:t xml:space="preserve"> السويد و</w:t>
      </w:r>
      <w:r w:rsidRPr="006B489A">
        <w:rPr>
          <w:rFonts w:hint="cs"/>
          <w:spacing w:val="0"/>
          <w:kern w:val="0"/>
          <w:sz w:val="20"/>
          <w:rtl/>
          <w:lang w:val="en-CA"/>
        </w:rPr>
        <w:t>ال</w:t>
      </w:r>
      <w:r w:rsidRPr="006B489A">
        <w:rPr>
          <w:spacing w:val="0"/>
          <w:kern w:val="0"/>
          <w:sz w:val="20"/>
          <w:rtl/>
          <w:lang w:val="en-CA"/>
        </w:rPr>
        <w:t xml:space="preserve">تجارب </w:t>
      </w:r>
      <w:r w:rsidRPr="006B489A">
        <w:rPr>
          <w:rFonts w:hint="cs"/>
          <w:spacing w:val="0"/>
          <w:kern w:val="0"/>
          <w:sz w:val="20"/>
          <w:rtl/>
          <w:lang w:val="en-CA"/>
        </w:rPr>
        <w:t>الصادمة التي عانت منها و</w:t>
      </w:r>
      <w:r w:rsidRPr="006B489A">
        <w:rPr>
          <w:spacing w:val="0"/>
          <w:kern w:val="0"/>
          <w:sz w:val="20"/>
          <w:rtl/>
          <w:lang w:val="en-CA"/>
        </w:rPr>
        <w:t>مشاكل</w:t>
      </w:r>
      <w:r w:rsidRPr="006B489A">
        <w:rPr>
          <w:rFonts w:hint="cs"/>
          <w:spacing w:val="0"/>
          <w:kern w:val="0"/>
          <w:sz w:val="20"/>
          <w:rtl/>
          <w:lang w:val="en-CA"/>
        </w:rPr>
        <w:t>ها</w:t>
      </w:r>
      <w:r w:rsidRPr="006B489A">
        <w:rPr>
          <w:spacing w:val="0"/>
          <w:kern w:val="0"/>
          <w:sz w:val="20"/>
          <w:rtl/>
          <w:lang w:val="en-CA"/>
        </w:rPr>
        <w:t xml:space="preserve"> </w:t>
      </w:r>
      <w:r w:rsidRPr="006B489A">
        <w:rPr>
          <w:rFonts w:hint="cs"/>
          <w:spacing w:val="0"/>
          <w:kern w:val="0"/>
          <w:sz w:val="20"/>
          <w:rtl/>
          <w:lang w:val="en-CA"/>
        </w:rPr>
        <w:t>ال</w:t>
      </w:r>
      <w:r w:rsidRPr="006B489A">
        <w:rPr>
          <w:spacing w:val="0"/>
          <w:kern w:val="0"/>
          <w:sz w:val="20"/>
          <w:rtl/>
          <w:lang w:val="en-CA"/>
        </w:rPr>
        <w:t>نفسية</w:t>
      </w:r>
      <w:r w:rsidRPr="006B489A">
        <w:rPr>
          <w:rFonts w:hint="cs"/>
          <w:spacing w:val="0"/>
          <w:kern w:val="0"/>
          <w:sz w:val="20"/>
          <w:rtl/>
          <w:lang w:val="en-CA"/>
        </w:rPr>
        <w:t xml:space="preserve"> السابقة</w:t>
      </w:r>
      <w:r w:rsidRPr="006B489A">
        <w:rPr>
          <w:spacing w:val="0"/>
          <w:kern w:val="0"/>
          <w:sz w:val="20"/>
          <w:rtl/>
          <w:lang w:val="en-CA"/>
        </w:rPr>
        <w:t>.</w:t>
      </w:r>
    </w:p>
    <w:p w:rsidR="006B489A" w:rsidRPr="006B489A" w:rsidRDefault="006B489A" w:rsidP="006B489A">
      <w:pPr>
        <w:pStyle w:val="SingleTxtGA"/>
        <w:jc w:val="lowKashida"/>
        <w:rPr>
          <w:rFonts w:hint="cs"/>
          <w:spacing w:val="0"/>
          <w:kern w:val="0"/>
          <w:sz w:val="20"/>
          <w:rtl/>
          <w:lang w:val="en-CA"/>
        </w:rPr>
      </w:pPr>
      <w:r w:rsidRPr="006B489A">
        <w:rPr>
          <w:spacing w:val="0"/>
          <w:kern w:val="0"/>
          <w:sz w:val="20"/>
          <w:rtl/>
          <w:lang w:val="en-CA"/>
        </w:rPr>
        <w:t>7-2</w:t>
      </w:r>
      <w:r w:rsidRPr="006B489A">
        <w:rPr>
          <w:spacing w:val="0"/>
          <w:kern w:val="0"/>
          <w:sz w:val="20"/>
          <w:rtl/>
          <w:lang w:val="en-CA"/>
        </w:rPr>
        <w:tab/>
        <w:t>وادعت المحامية</w:t>
      </w:r>
      <w:r w:rsidRPr="006B489A">
        <w:rPr>
          <w:rFonts w:hint="cs"/>
          <w:spacing w:val="0"/>
          <w:kern w:val="0"/>
          <w:sz w:val="20"/>
          <w:rtl/>
          <w:lang w:val="en-CA"/>
        </w:rPr>
        <w:t>،</w:t>
      </w:r>
      <w:r w:rsidRPr="006B489A">
        <w:rPr>
          <w:spacing w:val="0"/>
          <w:kern w:val="0"/>
          <w:sz w:val="20"/>
          <w:rtl/>
          <w:lang w:val="en-CA"/>
        </w:rPr>
        <w:t xml:space="preserve"> بموجب الرسالة المؤرخة 22 تشرين الثاني/نوفمبر 2010</w:t>
      </w:r>
      <w:r w:rsidRPr="006B489A">
        <w:rPr>
          <w:rFonts w:hint="cs"/>
          <w:spacing w:val="0"/>
          <w:kern w:val="0"/>
          <w:sz w:val="20"/>
          <w:rtl/>
          <w:lang w:val="en-CA"/>
        </w:rPr>
        <w:t>،</w:t>
      </w:r>
      <w:r w:rsidRPr="006B489A">
        <w:rPr>
          <w:spacing w:val="0"/>
          <w:kern w:val="0"/>
          <w:sz w:val="20"/>
          <w:rtl/>
          <w:lang w:val="en-CA"/>
        </w:rPr>
        <w:t xml:space="preserve"> أن طلب </w:t>
      </w:r>
      <w:r w:rsidRPr="006B489A">
        <w:rPr>
          <w:rFonts w:hint="cs"/>
          <w:spacing w:val="0"/>
          <w:kern w:val="0"/>
          <w:sz w:val="20"/>
          <w:rtl/>
          <w:lang w:val="en-CA"/>
        </w:rPr>
        <w:t xml:space="preserve">أصحاب الشكوى </w:t>
      </w:r>
      <w:r w:rsidRPr="006B489A">
        <w:rPr>
          <w:spacing w:val="0"/>
          <w:kern w:val="0"/>
          <w:sz w:val="20"/>
          <w:rtl/>
          <w:lang w:val="en-CA"/>
        </w:rPr>
        <w:t>لم شمل الأسرة مع ابن</w:t>
      </w:r>
      <w:r w:rsidRPr="006B489A">
        <w:rPr>
          <w:rFonts w:hint="cs"/>
          <w:spacing w:val="0"/>
          <w:kern w:val="0"/>
          <w:sz w:val="20"/>
          <w:rtl/>
          <w:lang w:val="en-CA"/>
        </w:rPr>
        <w:t>تهما</w:t>
      </w:r>
      <w:r w:rsidRPr="006B489A">
        <w:rPr>
          <w:spacing w:val="0"/>
          <w:kern w:val="0"/>
          <w:sz w:val="20"/>
          <w:rtl/>
          <w:lang w:val="en-CA"/>
        </w:rPr>
        <w:t xml:space="preserve"> ر</w:t>
      </w:r>
      <w:r w:rsidRPr="006B489A">
        <w:rPr>
          <w:rFonts w:hint="cs"/>
          <w:spacing w:val="0"/>
          <w:kern w:val="0"/>
          <w:sz w:val="20"/>
          <w:rtl/>
          <w:lang w:val="en-CA"/>
        </w:rPr>
        <w:t>ُ</w:t>
      </w:r>
      <w:r w:rsidRPr="006B489A">
        <w:rPr>
          <w:spacing w:val="0"/>
          <w:kern w:val="0"/>
          <w:sz w:val="20"/>
          <w:rtl/>
          <w:lang w:val="en-CA"/>
        </w:rPr>
        <w:t>فض على أساس اختبائهم</w:t>
      </w:r>
      <w:r w:rsidRPr="006B489A">
        <w:rPr>
          <w:rFonts w:hint="cs"/>
          <w:spacing w:val="0"/>
          <w:kern w:val="0"/>
          <w:sz w:val="20"/>
          <w:rtl/>
          <w:lang w:val="en-CA"/>
        </w:rPr>
        <w:t>ا</w:t>
      </w:r>
      <w:r w:rsidRPr="006B489A">
        <w:rPr>
          <w:spacing w:val="0"/>
          <w:kern w:val="0"/>
          <w:sz w:val="20"/>
          <w:rtl/>
          <w:lang w:val="en-CA"/>
        </w:rPr>
        <w:t xml:space="preserve"> لما يزيد عن سنتين وأن الابنة تستطيع البقاء في دار الرعاية. لذلك، لا يزال أمر الطرد قابلاً للإن</w:t>
      </w:r>
      <w:r w:rsidRPr="006B489A">
        <w:rPr>
          <w:rFonts w:hint="cs"/>
          <w:spacing w:val="0"/>
          <w:kern w:val="0"/>
          <w:sz w:val="20"/>
          <w:rtl/>
          <w:lang w:val="en-CA"/>
        </w:rPr>
        <w:t>ف</w:t>
      </w:r>
      <w:r w:rsidRPr="006B489A">
        <w:rPr>
          <w:spacing w:val="0"/>
          <w:kern w:val="0"/>
          <w:sz w:val="20"/>
          <w:rtl/>
          <w:lang w:val="en-CA"/>
        </w:rPr>
        <w:t>اذ.</w:t>
      </w:r>
    </w:p>
    <w:p w:rsidR="006B489A" w:rsidRPr="006B489A" w:rsidRDefault="006B489A" w:rsidP="006B489A">
      <w:pPr>
        <w:pStyle w:val="H23GA"/>
        <w:jc w:val="lowKashida"/>
        <w:rPr>
          <w:rFonts w:hint="cs"/>
          <w:spacing w:val="0"/>
          <w:kern w:val="0"/>
          <w:sz w:val="20"/>
          <w:szCs w:val="20"/>
          <w:rtl/>
        </w:rPr>
      </w:pPr>
      <w:r w:rsidRPr="006B489A">
        <w:rPr>
          <w:rFonts w:hint="cs"/>
          <w:spacing w:val="0"/>
          <w:kern w:val="0"/>
          <w:sz w:val="20"/>
          <w:rtl/>
        </w:rPr>
        <w:tab/>
      </w:r>
      <w:r w:rsidRPr="006B489A">
        <w:rPr>
          <w:rFonts w:hint="cs"/>
          <w:spacing w:val="0"/>
          <w:kern w:val="0"/>
          <w:sz w:val="20"/>
          <w:rtl/>
        </w:rPr>
        <w:tab/>
        <w:t>المسائل والإجراءات المعروضة على اللجنة</w:t>
      </w:r>
    </w:p>
    <w:p w:rsidR="006B489A" w:rsidRPr="006B489A" w:rsidRDefault="006B489A" w:rsidP="006B489A">
      <w:pPr>
        <w:pStyle w:val="H4GA"/>
        <w:jc w:val="lowKashida"/>
        <w:rPr>
          <w:rFonts w:hint="cs"/>
          <w:spacing w:val="0"/>
          <w:kern w:val="0"/>
          <w:sz w:val="20"/>
          <w:rtl/>
          <w:lang w:val="en-CA"/>
        </w:rPr>
      </w:pPr>
      <w:r w:rsidRPr="006B489A">
        <w:rPr>
          <w:rFonts w:hint="cs"/>
          <w:spacing w:val="0"/>
          <w:kern w:val="0"/>
          <w:sz w:val="20"/>
          <w:rtl/>
          <w:lang w:val="en-CA"/>
        </w:rPr>
        <w:tab/>
      </w:r>
      <w:r w:rsidRPr="006B489A">
        <w:rPr>
          <w:rFonts w:hint="cs"/>
          <w:spacing w:val="0"/>
          <w:kern w:val="0"/>
          <w:sz w:val="20"/>
          <w:rtl/>
          <w:lang w:val="en-CA"/>
        </w:rPr>
        <w:tab/>
        <w:t>النظر في المقبولية</w:t>
      </w:r>
    </w:p>
    <w:p w:rsidR="006B489A" w:rsidRPr="003A2D39" w:rsidRDefault="006B489A" w:rsidP="00B40A8D">
      <w:pPr>
        <w:pStyle w:val="SingleTxtGA"/>
        <w:jc w:val="lowKashida"/>
        <w:rPr>
          <w:rFonts w:hint="cs"/>
          <w:spacing w:val="-2"/>
          <w:kern w:val="0"/>
          <w:sz w:val="20"/>
          <w:szCs w:val="20"/>
          <w:rtl/>
        </w:rPr>
      </w:pPr>
      <w:r w:rsidRPr="003A2D39">
        <w:rPr>
          <w:rFonts w:hint="cs"/>
          <w:spacing w:val="-2"/>
          <w:kern w:val="0"/>
          <w:sz w:val="20"/>
          <w:rtl/>
          <w:lang w:val="en-CA"/>
        </w:rPr>
        <w:t>8-1</w:t>
      </w:r>
      <w:r w:rsidRPr="003A2D39">
        <w:rPr>
          <w:rFonts w:hint="cs"/>
          <w:spacing w:val="-2"/>
          <w:kern w:val="0"/>
          <w:sz w:val="20"/>
          <w:rtl/>
          <w:lang w:val="en-CA"/>
        </w:rPr>
        <w:tab/>
      </w:r>
      <w:r w:rsidR="003A2D39" w:rsidRPr="003A2D39">
        <w:rPr>
          <w:spacing w:val="-2"/>
          <w:kern w:val="0"/>
          <w:sz w:val="20"/>
          <w:rtl/>
        </w:rPr>
        <w:t xml:space="preserve">قبل النظر في أية ادعاءات ترد في شكوى ما، </w:t>
      </w:r>
      <w:r w:rsidR="003A2D39" w:rsidRPr="003A2D39">
        <w:rPr>
          <w:rFonts w:hint="cs"/>
          <w:spacing w:val="-2"/>
          <w:kern w:val="0"/>
          <w:sz w:val="20"/>
          <w:rtl/>
        </w:rPr>
        <w:t>يتعين</w:t>
      </w:r>
      <w:r w:rsidR="003A2D39" w:rsidRPr="003A2D39">
        <w:rPr>
          <w:spacing w:val="-2"/>
          <w:kern w:val="0"/>
          <w:sz w:val="20"/>
          <w:rtl/>
        </w:rPr>
        <w:t xml:space="preserve"> على لجنة مناهضة التعذيب أن </w:t>
      </w:r>
      <w:r w:rsidR="003A2D39" w:rsidRPr="003A2D39">
        <w:rPr>
          <w:rFonts w:hint="cs"/>
          <w:spacing w:val="-2"/>
          <w:kern w:val="0"/>
          <w:sz w:val="20"/>
          <w:rtl/>
        </w:rPr>
        <w:t>تبت في</w:t>
      </w:r>
      <w:r w:rsidR="003A2D39" w:rsidRPr="003A2D39">
        <w:rPr>
          <w:spacing w:val="-2"/>
          <w:kern w:val="0"/>
          <w:sz w:val="20"/>
          <w:rtl/>
        </w:rPr>
        <w:t>ما إذا كانت الشكوى مقبولة أم لا</w:t>
      </w:r>
      <w:r w:rsidRPr="003A2D39">
        <w:rPr>
          <w:rFonts w:hint="cs"/>
          <w:spacing w:val="-2"/>
          <w:kern w:val="0"/>
          <w:sz w:val="20"/>
          <w:rtl/>
          <w:lang w:val="en-CA"/>
        </w:rPr>
        <w:t xml:space="preserve"> بموجب المادة 22 من الاتفاقية. وقد تحققت اللجنة، حسبما تقتضيه الفقرة 5(أ) من المادة 22 من الاتفاقية، من أن المسألة نفسها لم تُبحث ولا</w:t>
      </w:r>
      <w:r w:rsidR="00B40A8D">
        <w:rPr>
          <w:rFonts w:hint="eastAsia"/>
          <w:spacing w:val="-2"/>
          <w:kern w:val="0"/>
          <w:sz w:val="20"/>
          <w:rtl/>
          <w:lang w:val="en-CA"/>
        </w:rPr>
        <w:t> </w:t>
      </w:r>
      <w:r w:rsidRPr="003A2D39">
        <w:rPr>
          <w:rFonts w:hint="cs"/>
          <w:spacing w:val="-2"/>
          <w:kern w:val="0"/>
          <w:sz w:val="20"/>
          <w:rtl/>
          <w:lang w:val="en-CA"/>
        </w:rPr>
        <w:t>يجري بحثها في إطار أي إجراء آخر من إجراءات التحقيق الدولي أو التسوية الدولية.</w:t>
      </w:r>
    </w:p>
    <w:p w:rsidR="006B489A" w:rsidRPr="006B489A" w:rsidRDefault="006B489A" w:rsidP="006B489A">
      <w:pPr>
        <w:pStyle w:val="SingleTxtGA"/>
        <w:jc w:val="lowKashida"/>
        <w:rPr>
          <w:rFonts w:hint="cs"/>
          <w:spacing w:val="0"/>
          <w:kern w:val="0"/>
          <w:sz w:val="20"/>
          <w:szCs w:val="20"/>
          <w:rtl/>
        </w:rPr>
      </w:pPr>
      <w:r w:rsidRPr="006B489A">
        <w:rPr>
          <w:rFonts w:hint="cs"/>
          <w:spacing w:val="0"/>
          <w:kern w:val="0"/>
          <w:sz w:val="20"/>
          <w:rtl/>
          <w:lang w:val="en-CA"/>
        </w:rPr>
        <w:t>8-2</w:t>
      </w:r>
      <w:r w:rsidRPr="006B489A">
        <w:rPr>
          <w:rFonts w:hint="cs"/>
          <w:spacing w:val="0"/>
          <w:kern w:val="0"/>
          <w:sz w:val="20"/>
          <w:rtl/>
          <w:lang w:val="en-CA"/>
        </w:rPr>
        <w:tab/>
        <w:t>ووفقاً للفقرة 5(ب) من المادة 22 من الاتفاقية، لا تنظر اللجنة في أي بلاغ إلا إذا تحققت من أن صاحبه قد استنفد جميع سبل الانتصاف المحلية المتاحة. وتلاحظ اللجنة إقرار الدولة الطرف باستنفاد جميع سبل الانتصاف المحلية ولذلك ترى أن أصحاب الشكوى امتثلوا للفقرة</w:t>
      </w:r>
      <w:r w:rsidRPr="006B489A">
        <w:rPr>
          <w:rFonts w:hint="eastAsia"/>
          <w:spacing w:val="0"/>
          <w:kern w:val="0"/>
          <w:sz w:val="20"/>
          <w:rtl/>
          <w:lang w:val="en-CA"/>
        </w:rPr>
        <w:t> </w:t>
      </w:r>
      <w:r w:rsidRPr="006B489A">
        <w:rPr>
          <w:rFonts w:hint="cs"/>
          <w:spacing w:val="0"/>
          <w:kern w:val="0"/>
          <w:sz w:val="20"/>
          <w:rtl/>
          <w:lang w:val="en-CA"/>
        </w:rPr>
        <w:t>5(ب) من المادة 22 من الاتفاقية.</w:t>
      </w:r>
    </w:p>
    <w:p w:rsidR="006B489A" w:rsidRPr="006B489A" w:rsidRDefault="006B489A" w:rsidP="00EA71E8">
      <w:pPr>
        <w:pStyle w:val="SingleTxtGA"/>
        <w:jc w:val="lowKashida"/>
        <w:rPr>
          <w:rFonts w:hint="cs"/>
          <w:spacing w:val="0"/>
          <w:kern w:val="0"/>
          <w:sz w:val="20"/>
          <w:szCs w:val="20"/>
          <w:rtl/>
        </w:rPr>
      </w:pPr>
      <w:r w:rsidRPr="006B489A">
        <w:rPr>
          <w:rFonts w:hint="cs"/>
          <w:spacing w:val="0"/>
          <w:kern w:val="0"/>
          <w:sz w:val="20"/>
          <w:rtl/>
          <w:lang w:val="en-CA"/>
        </w:rPr>
        <w:t>8-3</w:t>
      </w:r>
      <w:r w:rsidRPr="006B489A">
        <w:rPr>
          <w:rFonts w:hint="cs"/>
          <w:spacing w:val="0"/>
          <w:kern w:val="0"/>
          <w:sz w:val="20"/>
          <w:rtl/>
          <w:lang w:val="en-CA"/>
        </w:rPr>
        <w:tab/>
        <w:t>وتدعي الدولة الطرف أن البلاغ غير مقبول بموجب الفقرة 2 من المادة 22 من الاتفاقية نظراً لأن ادعاء أصحاب الشكوى بأنهم سيتعرضون لخطر التعذيب بعد عودتهم إلى أذربيجان لا يرقى إلى مستوى الدعم بالأدلة المطلوب لأغراض المقبولية. وترى اللجنة أن الادعاءات المعروضة أمامها تثير مسائل موضوعية ينبغي تناولها بناء على أسسها الموضوعية لا</w:t>
      </w:r>
      <w:r w:rsidR="00EA71E8">
        <w:rPr>
          <w:rFonts w:hint="eastAsia"/>
          <w:spacing w:val="0"/>
          <w:kern w:val="0"/>
          <w:sz w:val="20"/>
          <w:rtl/>
          <w:lang w:val="en-CA"/>
        </w:rPr>
        <w:t> </w:t>
      </w:r>
      <w:r w:rsidRPr="006B489A">
        <w:rPr>
          <w:rFonts w:hint="cs"/>
          <w:spacing w:val="0"/>
          <w:kern w:val="0"/>
          <w:sz w:val="20"/>
          <w:rtl/>
          <w:lang w:val="en-CA"/>
        </w:rPr>
        <w:t>بناء على اعتبارات المقبولية وحدها. وبالتالي، قررت اللجنة أن البلاغ مقبول فيما يتعلق بالمادة 3 من الاتفاقية، وتشرع في بحثه من حيث أسسه الموضوعية.</w:t>
      </w:r>
    </w:p>
    <w:p w:rsidR="006B489A" w:rsidRPr="006B489A" w:rsidRDefault="006B489A" w:rsidP="006B489A">
      <w:pPr>
        <w:pStyle w:val="H4GA"/>
        <w:jc w:val="lowKashida"/>
        <w:rPr>
          <w:rFonts w:hint="cs"/>
          <w:spacing w:val="0"/>
          <w:kern w:val="0"/>
          <w:sz w:val="20"/>
          <w:rtl/>
          <w:lang w:val="en-CA"/>
        </w:rPr>
      </w:pPr>
      <w:r w:rsidRPr="006B489A">
        <w:rPr>
          <w:rFonts w:hint="cs"/>
          <w:spacing w:val="0"/>
          <w:kern w:val="0"/>
          <w:sz w:val="20"/>
          <w:rtl/>
          <w:lang w:val="en-CA"/>
        </w:rPr>
        <w:tab/>
      </w:r>
      <w:r w:rsidRPr="006B489A">
        <w:rPr>
          <w:rFonts w:hint="cs"/>
          <w:spacing w:val="0"/>
          <w:kern w:val="0"/>
          <w:sz w:val="20"/>
          <w:rtl/>
          <w:lang w:val="en-CA"/>
        </w:rPr>
        <w:tab/>
        <w:t>النظر في الأسس الموضوعية</w:t>
      </w:r>
    </w:p>
    <w:p w:rsidR="006B489A" w:rsidRPr="006B489A" w:rsidRDefault="006B489A" w:rsidP="006B489A">
      <w:pPr>
        <w:pStyle w:val="SingleTxtGA"/>
        <w:jc w:val="lowKashida"/>
        <w:rPr>
          <w:rFonts w:hint="cs"/>
          <w:spacing w:val="0"/>
          <w:kern w:val="0"/>
          <w:sz w:val="20"/>
          <w:szCs w:val="20"/>
          <w:rtl/>
        </w:rPr>
      </w:pPr>
      <w:r w:rsidRPr="006B489A">
        <w:rPr>
          <w:rFonts w:hint="cs"/>
          <w:spacing w:val="0"/>
          <w:kern w:val="0"/>
          <w:sz w:val="20"/>
          <w:rtl/>
          <w:lang w:val="en-CA"/>
        </w:rPr>
        <w:t>9-1</w:t>
      </w:r>
      <w:r w:rsidRPr="006B489A">
        <w:rPr>
          <w:rFonts w:hint="cs"/>
          <w:spacing w:val="0"/>
          <w:kern w:val="0"/>
          <w:sz w:val="20"/>
          <w:rtl/>
          <w:lang w:val="en-CA"/>
        </w:rPr>
        <w:tab/>
        <w:t>نظرت اللجنة في البلاغ في ضوء جميع المعلومات التي أتاحتها لها الأطراف المعنية، وفقاً للفقرة 4 من المادة 22 من الاتفاقية.</w:t>
      </w:r>
    </w:p>
    <w:p w:rsidR="006B489A" w:rsidRPr="006B489A" w:rsidRDefault="006B489A" w:rsidP="006B489A">
      <w:pPr>
        <w:pStyle w:val="SingleTxtGA"/>
        <w:jc w:val="lowKashida"/>
        <w:rPr>
          <w:rFonts w:hint="cs"/>
          <w:spacing w:val="0"/>
          <w:kern w:val="0"/>
          <w:sz w:val="20"/>
          <w:szCs w:val="20"/>
          <w:rtl/>
        </w:rPr>
      </w:pPr>
      <w:r w:rsidRPr="006B489A">
        <w:rPr>
          <w:spacing w:val="0"/>
          <w:kern w:val="0"/>
          <w:sz w:val="20"/>
          <w:rtl/>
          <w:lang w:val="en-CA"/>
        </w:rPr>
        <w:t>9-2</w:t>
      </w:r>
      <w:r w:rsidRPr="006B489A">
        <w:rPr>
          <w:spacing w:val="0"/>
          <w:kern w:val="0"/>
          <w:sz w:val="20"/>
          <w:rtl/>
          <w:lang w:val="en-CA"/>
        </w:rPr>
        <w:tab/>
        <w:t>وتلاحظ اللجنة أن الدولة الطرف أصدرت تصريح إقام</w:t>
      </w:r>
      <w:r w:rsidRPr="006B489A">
        <w:rPr>
          <w:rFonts w:hint="cs"/>
          <w:spacing w:val="0"/>
          <w:kern w:val="0"/>
          <w:sz w:val="20"/>
          <w:rtl/>
          <w:lang w:val="en-CA"/>
        </w:rPr>
        <w:t>ة</w:t>
      </w:r>
      <w:r w:rsidRPr="006B489A">
        <w:rPr>
          <w:spacing w:val="0"/>
          <w:kern w:val="0"/>
          <w:sz w:val="20"/>
          <w:rtl/>
          <w:lang w:val="en-CA"/>
        </w:rPr>
        <w:t xml:space="preserve"> لابنة أصحاب البلاغ أ.</w:t>
      </w:r>
      <w:r w:rsidRPr="006B489A">
        <w:rPr>
          <w:rFonts w:hint="cs"/>
          <w:spacing w:val="0"/>
          <w:kern w:val="0"/>
          <w:sz w:val="20"/>
          <w:rtl/>
          <w:lang w:val="en-CA"/>
        </w:rPr>
        <w:t> </w:t>
      </w:r>
      <w:r w:rsidRPr="006B489A">
        <w:rPr>
          <w:spacing w:val="0"/>
          <w:kern w:val="0"/>
          <w:sz w:val="20"/>
          <w:rtl/>
          <w:lang w:val="en-CA"/>
        </w:rPr>
        <w:t xml:space="preserve">م. ولذلك، تقرر اللجنة عدم مواصلة </w:t>
      </w:r>
      <w:r w:rsidRPr="006B489A">
        <w:rPr>
          <w:rFonts w:hint="cs"/>
          <w:spacing w:val="0"/>
          <w:kern w:val="0"/>
          <w:sz w:val="20"/>
          <w:rtl/>
          <w:lang w:val="en-CA"/>
        </w:rPr>
        <w:t xml:space="preserve">النظر في </w:t>
      </w:r>
      <w:r w:rsidRPr="006B489A">
        <w:rPr>
          <w:spacing w:val="0"/>
          <w:kern w:val="0"/>
          <w:sz w:val="20"/>
          <w:rtl/>
          <w:lang w:val="en-CA"/>
        </w:rPr>
        <w:t>الجزء من البلاغ المتعلق بالسيدة أ. م.</w:t>
      </w:r>
    </w:p>
    <w:p w:rsidR="006B489A" w:rsidRPr="006B489A" w:rsidRDefault="006B489A" w:rsidP="006B489A">
      <w:pPr>
        <w:pStyle w:val="SingleTxtGA"/>
        <w:jc w:val="lowKashida"/>
        <w:rPr>
          <w:rFonts w:hint="cs"/>
          <w:spacing w:val="0"/>
          <w:kern w:val="0"/>
          <w:sz w:val="20"/>
          <w:szCs w:val="20"/>
          <w:rtl/>
        </w:rPr>
      </w:pPr>
      <w:r w:rsidRPr="006B489A">
        <w:rPr>
          <w:rFonts w:hint="cs"/>
          <w:spacing w:val="0"/>
          <w:kern w:val="0"/>
          <w:sz w:val="20"/>
          <w:rtl/>
          <w:lang w:val="en-CA"/>
        </w:rPr>
        <w:t>9-3</w:t>
      </w:r>
      <w:r w:rsidRPr="006B489A">
        <w:rPr>
          <w:rFonts w:hint="cs"/>
          <w:spacing w:val="0"/>
          <w:kern w:val="0"/>
          <w:sz w:val="20"/>
          <w:rtl/>
          <w:lang w:val="en-CA"/>
        </w:rPr>
        <w:tab/>
        <w:t>وتتمثل المسألة المعروضة على اللجنة فيما إذا كان ترحيل أصحاب الشكوى إلى أذربيجان سيشكل انتهاكاً لالتزام الدولة الطرف بموجب الفقرة 1 من المادة 3 من الاتفاقية التي تنص على أنه لا يجوز طرد أي شخص أو إعادته (</w:t>
      </w:r>
      <w:r w:rsidRPr="006B489A">
        <w:rPr>
          <w:rFonts w:hint="cs"/>
          <w:i/>
          <w:iCs/>
          <w:spacing w:val="0"/>
          <w:kern w:val="0"/>
          <w:sz w:val="20"/>
          <w:rtl/>
          <w:lang w:val="en-CA"/>
        </w:rPr>
        <w:t>رده</w:t>
      </w:r>
      <w:r w:rsidRPr="006B489A">
        <w:rPr>
          <w:rFonts w:hint="cs"/>
          <w:spacing w:val="0"/>
          <w:kern w:val="0"/>
          <w:sz w:val="20"/>
          <w:rtl/>
          <w:lang w:val="en-CA"/>
        </w:rPr>
        <w:t xml:space="preserve">) إلى دولة </w:t>
      </w:r>
      <w:r w:rsidRPr="006B489A">
        <w:rPr>
          <w:spacing w:val="0"/>
          <w:kern w:val="0"/>
          <w:sz w:val="20"/>
          <w:rtl/>
        </w:rPr>
        <w:t xml:space="preserve">إذا توافرت لديها أسباب حقيقية تدعو إلى الاعتقاد بأنه </w:t>
      </w:r>
      <w:r w:rsidRPr="006B489A">
        <w:rPr>
          <w:rFonts w:hint="cs"/>
          <w:spacing w:val="0"/>
          <w:kern w:val="0"/>
          <w:sz w:val="20"/>
          <w:rtl/>
        </w:rPr>
        <w:t>سيتعرض لخطر</w:t>
      </w:r>
      <w:r w:rsidRPr="006B489A">
        <w:rPr>
          <w:spacing w:val="0"/>
          <w:kern w:val="0"/>
          <w:sz w:val="20"/>
          <w:rtl/>
        </w:rPr>
        <w:t xml:space="preserve"> </w:t>
      </w:r>
      <w:r w:rsidRPr="006B489A">
        <w:rPr>
          <w:rFonts w:hint="cs"/>
          <w:spacing w:val="0"/>
          <w:kern w:val="0"/>
          <w:sz w:val="20"/>
          <w:rtl/>
          <w:lang w:val="en-CA"/>
        </w:rPr>
        <w:t>التعذيب.</w:t>
      </w:r>
    </w:p>
    <w:p w:rsidR="006B489A" w:rsidRPr="00EA71E8" w:rsidRDefault="006B489A" w:rsidP="006B489A">
      <w:pPr>
        <w:pStyle w:val="SingleTxtGA"/>
        <w:jc w:val="lowKashida"/>
        <w:rPr>
          <w:rFonts w:hint="cs"/>
          <w:spacing w:val="-2"/>
          <w:kern w:val="0"/>
          <w:sz w:val="20"/>
          <w:szCs w:val="20"/>
          <w:rtl/>
        </w:rPr>
      </w:pPr>
      <w:r w:rsidRPr="006B489A">
        <w:rPr>
          <w:rFonts w:hint="cs"/>
          <w:spacing w:val="0"/>
          <w:kern w:val="0"/>
          <w:sz w:val="20"/>
          <w:rtl/>
          <w:lang w:val="en-CA"/>
        </w:rPr>
        <w:t>9-4</w:t>
      </w:r>
      <w:r w:rsidRPr="006B489A">
        <w:rPr>
          <w:rFonts w:hint="cs"/>
          <w:spacing w:val="0"/>
          <w:kern w:val="0"/>
          <w:sz w:val="20"/>
          <w:rtl/>
          <w:lang w:val="en-CA"/>
        </w:rPr>
        <w:tab/>
        <w:t xml:space="preserve">وعند تقدير ما إذا كانت هناك أسس حقيقية تدعو إلى الاعتقاد بأن أصحاب الشكوى سيتعرضون لخطر التعذيب بعد عودتهم، على اللجنة أن تراعي جميع الاعتبارات </w:t>
      </w:r>
      <w:r w:rsidRPr="00EA71E8">
        <w:rPr>
          <w:rFonts w:hint="cs"/>
          <w:spacing w:val="-2"/>
          <w:kern w:val="0"/>
          <w:sz w:val="20"/>
          <w:rtl/>
          <w:lang w:val="en-CA"/>
        </w:rPr>
        <w:t>ذات الصلة، بما في ذلك وجود نمط ثابت من الانتهاكات الفادحة أو الصارخة أو الجماعية لحقوق الإنسان في أذربيجان (الفقرة 2 من المادة 3). والهدف من مثل هذا التحليل هو تحديد ما إذا كان أصحاب الشكوى سيتعرضون لخطر شخصي حقيقي بالتعذيب في البلد الذي سيُعادون إليه. ويعني ذلك أن</w:t>
      </w:r>
      <w:r w:rsidRPr="00EA71E8">
        <w:rPr>
          <w:spacing w:val="-2"/>
          <w:kern w:val="0"/>
          <w:sz w:val="20"/>
          <w:rtl/>
          <w:lang w:val="en-CA"/>
        </w:rPr>
        <w:t xml:space="preserve"> وجود نمط </w:t>
      </w:r>
      <w:r w:rsidRPr="00EA71E8">
        <w:rPr>
          <w:rFonts w:hint="cs"/>
          <w:spacing w:val="-2"/>
          <w:kern w:val="0"/>
          <w:sz w:val="20"/>
          <w:rtl/>
          <w:lang w:val="en-CA"/>
        </w:rPr>
        <w:t>من ال</w:t>
      </w:r>
      <w:r w:rsidRPr="00EA71E8">
        <w:rPr>
          <w:spacing w:val="-2"/>
          <w:kern w:val="0"/>
          <w:sz w:val="20"/>
          <w:rtl/>
          <w:lang w:val="en-CA"/>
        </w:rPr>
        <w:t xml:space="preserve">انتهاكات </w:t>
      </w:r>
      <w:r w:rsidRPr="00EA71E8">
        <w:rPr>
          <w:rFonts w:hint="cs"/>
          <w:spacing w:val="-2"/>
          <w:kern w:val="0"/>
          <w:sz w:val="20"/>
          <w:rtl/>
          <w:lang w:val="en-CA"/>
        </w:rPr>
        <w:t xml:space="preserve">الفادحة </w:t>
      </w:r>
      <w:r w:rsidRPr="00EA71E8">
        <w:rPr>
          <w:spacing w:val="-2"/>
          <w:kern w:val="0"/>
          <w:sz w:val="20"/>
          <w:rtl/>
          <w:lang w:val="en-CA"/>
        </w:rPr>
        <w:t xml:space="preserve">أو </w:t>
      </w:r>
      <w:r w:rsidRPr="00EA71E8">
        <w:rPr>
          <w:rFonts w:hint="cs"/>
          <w:spacing w:val="-2"/>
          <w:kern w:val="0"/>
          <w:sz w:val="20"/>
          <w:rtl/>
          <w:lang w:val="en-CA"/>
        </w:rPr>
        <w:t>الصارخة</w:t>
      </w:r>
      <w:r w:rsidRPr="00EA71E8">
        <w:rPr>
          <w:spacing w:val="-2"/>
          <w:kern w:val="0"/>
          <w:sz w:val="20"/>
          <w:rtl/>
          <w:lang w:val="en-CA"/>
        </w:rPr>
        <w:t xml:space="preserve"> أو </w:t>
      </w:r>
      <w:r w:rsidRPr="00EA71E8">
        <w:rPr>
          <w:rFonts w:hint="cs"/>
          <w:spacing w:val="-2"/>
          <w:kern w:val="0"/>
          <w:sz w:val="20"/>
          <w:rtl/>
          <w:lang w:val="en-CA"/>
        </w:rPr>
        <w:t>ال</w:t>
      </w:r>
      <w:r w:rsidRPr="00EA71E8">
        <w:rPr>
          <w:spacing w:val="-2"/>
          <w:kern w:val="0"/>
          <w:sz w:val="20"/>
          <w:rtl/>
          <w:lang w:val="en-CA"/>
        </w:rPr>
        <w:t xml:space="preserve">جماعية لحقوق الإنسان في بلد ما لا يمثل في حد ذاته </w:t>
      </w:r>
      <w:r w:rsidRPr="00EA71E8">
        <w:rPr>
          <w:rFonts w:hint="cs"/>
          <w:spacing w:val="-2"/>
          <w:kern w:val="0"/>
          <w:sz w:val="20"/>
          <w:rtl/>
          <w:lang w:val="en-CA"/>
        </w:rPr>
        <w:t>سبباً</w:t>
      </w:r>
      <w:r w:rsidRPr="00EA71E8">
        <w:rPr>
          <w:spacing w:val="-2"/>
          <w:kern w:val="0"/>
          <w:sz w:val="20"/>
          <w:rtl/>
          <w:lang w:val="en-CA"/>
        </w:rPr>
        <w:t xml:space="preserve"> كافياً </w:t>
      </w:r>
      <w:r w:rsidRPr="00EA71E8">
        <w:rPr>
          <w:rFonts w:hint="cs"/>
          <w:spacing w:val="-2"/>
          <w:kern w:val="0"/>
          <w:sz w:val="20"/>
          <w:rtl/>
          <w:lang w:val="en-CA"/>
        </w:rPr>
        <w:t xml:space="preserve">لإثبات </w:t>
      </w:r>
      <w:r w:rsidRPr="00EA71E8">
        <w:rPr>
          <w:spacing w:val="-2"/>
          <w:kern w:val="0"/>
          <w:sz w:val="20"/>
          <w:rtl/>
          <w:lang w:val="en-CA"/>
        </w:rPr>
        <w:t xml:space="preserve">أن شخصاً معيناً سيكون </w:t>
      </w:r>
      <w:r w:rsidRPr="00EA71E8">
        <w:rPr>
          <w:rFonts w:hint="cs"/>
          <w:spacing w:val="-2"/>
          <w:kern w:val="0"/>
          <w:sz w:val="20"/>
          <w:rtl/>
          <w:lang w:val="en-CA"/>
        </w:rPr>
        <w:t xml:space="preserve">معرضاً </w:t>
      </w:r>
      <w:r w:rsidRPr="00EA71E8">
        <w:rPr>
          <w:spacing w:val="-2"/>
          <w:kern w:val="0"/>
          <w:sz w:val="20"/>
          <w:rtl/>
          <w:lang w:val="en-CA"/>
        </w:rPr>
        <w:t>لخطر التعذيب بعد عودته إلى هذا البلد</w:t>
      </w:r>
      <w:r w:rsidRPr="00EA71E8">
        <w:rPr>
          <w:rFonts w:hint="cs"/>
          <w:spacing w:val="-2"/>
          <w:kern w:val="0"/>
          <w:sz w:val="20"/>
          <w:rtl/>
          <w:lang w:val="en-CA"/>
        </w:rPr>
        <w:t>؛</w:t>
      </w:r>
      <w:r w:rsidRPr="00EA71E8">
        <w:rPr>
          <w:spacing w:val="-2"/>
          <w:kern w:val="0"/>
          <w:sz w:val="20"/>
          <w:rtl/>
          <w:lang w:val="en-CA"/>
        </w:rPr>
        <w:t xml:space="preserve"> </w:t>
      </w:r>
      <w:r w:rsidRPr="00EA71E8">
        <w:rPr>
          <w:rFonts w:hint="cs"/>
          <w:spacing w:val="-2"/>
          <w:kern w:val="0"/>
          <w:sz w:val="20"/>
          <w:rtl/>
          <w:lang w:val="en-CA"/>
        </w:rPr>
        <w:t>و</w:t>
      </w:r>
      <w:r w:rsidRPr="00EA71E8">
        <w:rPr>
          <w:spacing w:val="-2"/>
          <w:kern w:val="0"/>
          <w:sz w:val="20"/>
          <w:rtl/>
          <w:lang w:val="en-CA"/>
        </w:rPr>
        <w:t xml:space="preserve">يجب </w:t>
      </w:r>
      <w:r w:rsidRPr="00EA71E8">
        <w:rPr>
          <w:rFonts w:hint="cs"/>
          <w:spacing w:val="-2"/>
          <w:kern w:val="0"/>
          <w:sz w:val="20"/>
          <w:rtl/>
          <w:lang w:val="en-CA"/>
        </w:rPr>
        <w:t>تقديم أسباب</w:t>
      </w:r>
      <w:r w:rsidRPr="00EA71E8">
        <w:rPr>
          <w:spacing w:val="-2"/>
          <w:kern w:val="0"/>
          <w:sz w:val="20"/>
          <w:rtl/>
          <w:lang w:val="en-CA"/>
        </w:rPr>
        <w:t xml:space="preserve"> إضافية </w:t>
      </w:r>
      <w:r w:rsidRPr="00EA71E8">
        <w:rPr>
          <w:rFonts w:hint="cs"/>
          <w:spacing w:val="-2"/>
          <w:kern w:val="0"/>
          <w:sz w:val="20"/>
          <w:rtl/>
          <w:lang w:val="en-CA"/>
        </w:rPr>
        <w:t xml:space="preserve">لبيان </w:t>
      </w:r>
      <w:r w:rsidRPr="00EA71E8">
        <w:rPr>
          <w:spacing w:val="-2"/>
          <w:kern w:val="0"/>
          <w:sz w:val="20"/>
          <w:rtl/>
          <w:lang w:val="en-CA"/>
        </w:rPr>
        <w:t>أن الشخص المعني سيكون شخصياً في خطر</w:t>
      </w:r>
      <w:r w:rsidRPr="00EA71E8">
        <w:rPr>
          <w:rFonts w:hint="cs"/>
          <w:spacing w:val="-2"/>
          <w:kern w:val="0"/>
          <w:sz w:val="20"/>
          <w:rtl/>
          <w:lang w:val="en-CA"/>
        </w:rPr>
        <w:t>. وبالمثل، فإن عدم وجود نمط ثابت من الانتهاكات الصارخة لحقوق الإنسان لا يعني أن الشخص لا يمكن أن يتعرض للتعذيب في ظل ظروفه الخاصة.</w:t>
      </w:r>
    </w:p>
    <w:p w:rsidR="006B489A" w:rsidRPr="006B489A" w:rsidRDefault="006B489A" w:rsidP="003A2D39">
      <w:pPr>
        <w:pStyle w:val="SingleTxtGA"/>
        <w:jc w:val="lowKashida"/>
        <w:rPr>
          <w:rFonts w:hint="cs"/>
          <w:spacing w:val="0"/>
          <w:kern w:val="0"/>
          <w:sz w:val="20"/>
          <w:lang w:val="en-CA"/>
        </w:rPr>
      </w:pPr>
      <w:r w:rsidRPr="006B489A">
        <w:rPr>
          <w:rFonts w:hint="cs"/>
          <w:spacing w:val="0"/>
          <w:kern w:val="0"/>
          <w:sz w:val="20"/>
          <w:rtl/>
          <w:lang w:val="en-CA"/>
        </w:rPr>
        <w:t>9-5</w:t>
      </w:r>
      <w:r w:rsidRPr="006B489A">
        <w:rPr>
          <w:rFonts w:hint="cs"/>
          <w:spacing w:val="0"/>
          <w:kern w:val="0"/>
          <w:sz w:val="20"/>
          <w:rtl/>
          <w:lang w:val="en-CA"/>
        </w:rPr>
        <w:tab/>
        <w:t>وتشير اللجنة إلى تعليقها العام رقم 1 بشأن تنفيذ المادة 3</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5"/>
      </w:r>
      <w:r w:rsidRPr="006B489A">
        <w:rPr>
          <w:rFonts w:hint="cs"/>
          <w:spacing w:val="0"/>
          <w:kern w:val="0"/>
          <w:sz w:val="20"/>
          <w:szCs w:val="28"/>
          <w:vertAlign w:val="superscript"/>
          <w:rtl/>
          <w:lang w:val="en-CA"/>
        </w:rPr>
        <w:t>)</w:t>
      </w:r>
      <w:r w:rsidRPr="006B489A">
        <w:rPr>
          <w:rFonts w:hint="cs"/>
          <w:spacing w:val="0"/>
          <w:kern w:val="0"/>
          <w:sz w:val="20"/>
          <w:rtl/>
          <w:lang w:val="en-CA"/>
        </w:rPr>
        <w:t>، الذي جاء فيه أنه يجب على اللجنة تقدير ما إذا كانت هناك أسباب حقيقية تدعو إلى الاعتقاد بأن صاحب الشكوى سيتعرض لخطر التعذيب في حالة طرده أو إعادته أو ترحيله إلى بلده الأصلي. ولا</w:t>
      </w:r>
      <w:r w:rsidR="00EA71E8">
        <w:rPr>
          <w:rFonts w:hint="eastAsia"/>
          <w:spacing w:val="0"/>
          <w:kern w:val="0"/>
          <w:sz w:val="20"/>
          <w:rtl/>
          <w:lang w:val="en-CA"/>
        </w:rPr>
        <w:t> </w:t>
      </w:r>
      <w:r w:rsidRPr="006B489A">
        <w:rPr>
          <w:rFonts w:hint="cs"/>
          <w:spacing w:val="0"/>
          <w:kern w:val="0"/>
          <w:sz w:val="20"/>
          <w:rtl/>
          <w:lang w:val="en-CA"/>
        </w:rPr>
        <w:t>يجب أن يكون الخطر محتملاً جداً فحسب، ولكن يجب أن يكون الخطر شخصياً وقائماً. وفي هذا الصدد، أكدت اللجنة في قرارات سابقة أن خطر التعرض للتعذيب يجب أن يكون "متوقعاً وحقيقياً وشخصياً."</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6"/>
      </w:r>
      <w:r w:rsidRPr="006B489A">
        <w:rPr>
          <w:rFonts w:hint="cs"/>
          <w:spacing w:val="0"/>
          <w:kern w:val="0"/>
          <w:sz w:val="20"/>
          <w:szCs w:val="28"/>
          <w:vertAlign w:val="superscript"/>
          <w:rtl/>
          <w:lang w:val="en-CA"/>
        </w:rPr>
        <w:t>)</w:t>
      </w:r>
      <w:r w:rsidRPr="006B489A">
        <w:rPr>
          <w:rFonts w:hint="cs"/>
          <w:spacing w:val="0"/>
          <w:kern w:val="0"/>
          <w:sz w:val="20"/>
          <w:rtl/>
          <w:lang w:val="en-CA"/>
        </w:rPr>
        <w:t xml:space="preserve"> وبالإضافة إلى ذلك، عند ممارسة الولاية القضائية للجنة عملاً بالمادة 3 من الاتفاقية، يجب إيلاء قدر كبير من الأهمية لنتائج الوقائع التي توصلت إليها أجهزة الدولة الطرف المعنية. غير أن اللجنة غير ملزمة بالأخذ بهذه النتائج؛ بل إن لديها السلطة اللازمة، بموجب الفقرة 4 من المادة 22 من الاتفاقية، لإجراء تقييم حر للوقائع استناداً إلى </w:t>
      </w:r>
      <w:r w:rsidR="003A2D39">
        <w:rPr>
          <w:rFonts w:hint="cs"/>
          <w:spacing w:val="0"/>
          <w:kern w:val="0"/>
          <w:sz w:val="20"/>
          <w:rtl/>
          <w:lang w:val="en-CA"/>
        </w:rPr>
        <w:t>مُجمل ملابسات</w:t>
      </w:r>
      <w:r w:rsidRPr="006B489A">
        <w:rPr>
          <w:rFonts w:hint="cs"/>
          <w:spacing w:val="0"/>
          <w:kern w:val="0"/>
          <w:sz w:val="20"/>
          <w:rtl/>
          <w:lang w:val="en-CA"/>
        </w:rPr>
        <w:t xml:space="preserve"> كل قضية</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7"/>
      </w:r>
      <w:r w:rsidRPr="006B489A">
        <w:rPr>
          <w:rFonts w:hint="cs"/>
          <w:spacing w:val="0"/>
          <w:kern w:val="0"/>
          <w:sz w:val="20"/>
          <w:szCs w:val="28"/>
          <w:vertAlign w:val="superscript"/>
          <w:rtl/>
          <w:lang w:val="en-CA"/>
        </w:rPr>
        <w:t>)</w:t>
      </w:r>
      <w:r w:rsidRPr="006B489A">
        <w:rPr>
          <w:rFonts w:hint="cs"/>
          <w:spacing w:val="0"/>
          <w:kern w:val="0"/>
          <w:sz w:val="20"/>
          <w:rtl/>
          <w:lang w:val="en-CA"/>
        </w:rPr>
        <w:t>.</w:t>
      </w:r>
    </w:p>
    <w:p w:rsidR="006B489A" w:rsidRPr="006B489A" w:rsidRDefault="006B489A" w:rsidP="00EA71E8">
      <w:pPr>
        <w:pStyle w:val="SingleTxtGA"/>
        <w:jc w:val="lowKashida"/>
        <w:rPr>
          <w:spacing w:val="0"/>
          <w:kern w:val="0"/>
          <w:sz w:val="20"/>
          <w:szCs w:val="20"/>
          <w:rtl/>
        </w:rPr>
      </w:pPr>
      <w:r w:rsidRPr="006B489A">
        <w:rPr>
          <w:spacing w:val="0"/>
          <w:kern w:val="0"/>
          <w:sz w:val="20"/>
          <w:rtl/>
          <w:lang w:val="en-CA"/>
        </w:rPr>
        <w:t>9-6</w:t>
      </w:r>
      <w:r w:rsidRPr="006B489A">
        <w:rPr>
          <w:spacing w:val="0"/>
          <w:kern w:val="0"/>
          <w:sz w:val="20"/>
          <w:rtl/>
          <w:lang w:val="en-CA"/>
        </w:rPr>
        <w:tab/>
        <w:t xml:space="preserve">وتلاحظ اللجنة ادعاء </w:t>
      </w:r>
      <w:r w:rsidRPr="006B489A">
        <w:rPr>
          <w:rFonts w:hint="cs"/>
          <w:spacing w:val="0"/>
          <w:kern w:val="0"/>
          <w:sz w:val="20"/>
          <w:rtl/>
          <w:lang w:val="en-CA"/>
        </w:rPr>
        <w:t xml:space="preserve">أصحاب </w:t>
      </w:r>
      <w:r w:rsidRPr="006B489A">
        <w:rPr>
          <w:spacing w:val="0"/>
          <w:kern w:val="0"/>
          <w:sz w:val="20"/>
          <w:rtl/>
          <w:lang w:val="en-CA"/>
        </w:rPr>
        <w:t>الشكوى الذي يفيد ب</w:t>
      </w:r>
      <w:r w:rsidRPr="006B489A">
        <w:rPr>
          <w:rFonts w:hint="cs"/>
          <w:spacing w:val="0"/>
          <w:kern w:val="0"/>
          <w:sz w:val="20"/>
          <w:rtl/>
          <w:lang w:val="en-CA"/>
        </w:rPr>
        <w:t xml:space="preserve">احتمال </w:t>
      </w:r>
      <w:r w:rsidRPr="006B489A">
        <w:rPr>
          <w:spacing w:val="0"/>
          <w:kern w:val="0"/>
          <w:sz w:val="20"/>
          <w:rtl/>
          <w:lang w:val="en-CA"/>
        </w:rPr>
        <w:t xml:space="preserve">تعرضهم للتعذيب في أذربيجان </w:t>
      </w:r>
      <w:r w:rsidRPr="006B489A">
        <w:rPr>
          <w:rFonts w:hint="cs"/>
          <w:spacing w:val="0"/>
          <w:kern w:val="0"/>
          <w:sz w:val="20"/>
          <w:rtl/>
          <w:lang w:val="en-CA"/>
        </w:rPr>
        <w:t>بسبب</w:t>
      </w:r>
      <w:r w:rsidRPr="006B489A">
        <w:rPr>
          <w:spacing w:val="0"/>
          <w:kern w:val="0"/>
          <w:sz w:val="20"/>
          <w:rtl/>
          <w:lang w:val="en-CA"/>
        </w:rPr>
        <w:t xml:space="preserve"> أصل س. م. المختلط الذي يجعله</w:t>
      </w:r>
      <w:r w:rsidRPr="006B489A">
        <w:rPr>
          <w:rFonts w:hint="cs"/>
          <w:spacing w:val="0"/>
          <w:kern w:val="0"/>
          <w:sz w:val="20"/>
          <w:rtl/>
          <w:lang w:val="en-CA"/>
        </w:rPr>
        <w:t>م</w:t>
      </w:r>
      <w:r w:rsidRPr="006B489A">
        <w:rPr>
          <w:spacing w:val="0"/>
          <w:kern w:val="0"/>
          <w:sz w:val="20"/>
          <w:rtl/>
          <w:lang w:val="en-CA"/>
        </w:rPr>
        <w:t xml:space="preserve"> </w:t>
      </w:r>
      <w:r w:rsidRPr="006B489A">
        <w:rPr>
          <w:rFonts w:hint="cs"/>
          <w:spacing w:val="0"/>
          <w:kern w:val="0"/>
          <w:sz w:val="20"/>
          <w:rtl/>
          <w:lang w:val="en-CA"/>
        </w:rPr>
        <w:t>مستهدفين من ا</w:t>
      </w:r>
      <w:r w:rsidRPr="006B489A">
        <w:rPr>
          <w:spacing w:val="0"/>
          <w:kern w:val="0"/>
          <w:sz w:val="20"/>
          <w:rtl/>
          <w:lang w:val="en-CA"/>
        </w:rPr>
        <w:t>لسلطات في بلده</w:t>
      </w:r>
      <w:r w:rsidRPr="006B489A">
        <w:rPr>
          <w:rFonts w:hint="cs"/>
          <w:spacing w:val="0"/>
          <w:kern w:val="0"/>
          <w:sz w:val="20"/>
          <w:rtl/>
          <w:lang w:val="en-CA"/>
        </w:rPr>
        <w:t>م</w:t>
      </w:r>
      <w:r w:rsidRPr="006B489A">
        <w:rPr>
          <w:spacing w:val="0"/>
          <w:kern w:val="0"/>
          <w:sz w:val="20"/>
          <w:rtl/>
          <w:lang w:val="en-CA"/>
        </w:rPr>
        <w:t xml:space="preserve"> الأصلي. وتشير </w:t>
      </w:r>
      <w:r w:rsidRPr="006B489A">
        <w:rPr>
          <w:rFonts w:hint="cs"/>
          <w:spacing w:val="0"/>
          <w:kern w:val="0"/>
          <w:sz w:val="20"/>
          <w:rtl/>
          <w:lang w:val="en-CA"/>
        </w:rPr>
        <w:t xml:space="preserve">اللجنة </w:t>
      </w:r>
      <w:r w:rsidRPr="006B489A">
        <w:rPr>
          <w:spacing w:val="0"/>
          <w:kern w:val="0"/>
          <w:sz w:val="20"/>
          <w:rtl/>
          <w:lang w:val="en-CA"/>
        </w:rPr>
        <w:t>كذلك إلى ادعائهم الذي يفيد بأن الأسرة بأكملها تتعرض للاضطهاد بدافع إثني بسبب أصل س. م. الأرمني</w:t>
      </w:r>
      <w:r w:rsidRPr="006B489A">
        <w:rPr>
          <w:rFonts w:hint="cs"/>
          <w:spacing w:val="0"/>
          <w:kern w:val="0"/>
          <w:sz w:val="20"/>
          <w:rtl/>
          <w:lang w:val="en-CA"/>
        </w:rPr>
        <w:t xml:space="preserve">. </w:t>
      </w:r>
      <w:r w:rsidRPr="006B489A">
        <w:rPr>
          <w:rFonts w:hint="eastAsia"/>
          <w:spacing w:val="0"/>
          <w:kern w:val="0"/>
          <w:sz w:val="20"/>
          <w:rtl/>
          <w:lang w:val="en-CA"/>
        </w:rPr>
        <w:t>ونتيجة</w:t>
      </w:r>
      <w:r w:rsidRPr="006B489A">
        <w:rPr>
          <w:spacing w:val="0"/>
          <w:kern w:val="0"/>
          <w:sz w:val="20"/>
          <w:rtl/>
          <w:lang w:val="en-CA"/>
        </w:rPr>
        <w:t xml:space="preserve"> لذلك</w:t>
      </w:r>
      <w:r w:rsidRPr="006B489A">
        <w:rPr>
          <w:rFonts w:hint="cs"/>
          <w:spacing w:val="0"/>
          <w:kern w:val="0"/>
          <w:sz w:val="20"/>
          <w:rtl/>
          <w:lang w:val="en-CA"/>
        </w:rPr>
        <w:t>،</w:t>
      </w:r>
      <w:r w:rsidRPr="006B489A">
        <w:rPr>
          <w:spacing w:val="0"/>
          <w:kern w:val="0"/>
          <w:sz w:val="20"/>
          <w:rtl/>
          <w:lang w:val="en-CA"/>
        </w:rPr>
        <w:t xml:space="preserve"> </w:t>
      </w:r>
      <w:r w:rsidRPr="006B489A">
        <w:rPr>
          <w:rFonts w:hint="cs"/>
          <w:spacing w:val="0"/>
          <w:kern w:val="0"/>
          <w:sz w:val="20"/>
          <w:rtl/>
          <w:lang w:val="en-CA"/>
        </w:rPr>
        <w:t xml:space="preserve">أصبحت الأسرة ضحية </w:t>
      </w:r>
      <w:r w:rsidRPr="006B489A">
        <w:rPr>
          <w:spacing w:val="0"/>
          <w:kern w:val="0"/>
          <w:sz w:val="20"/>
          <w:rtl/>
          <w:lang w:val="en-CA"/>
        </w:rPr>
        <w:t xml:space="preserve">للضرب والاضطهاد من قبل الجيران فضلاً عن </w:t>
      </w:r>
      <w:r w:rsidRPr="006B489A">
        <w:rPr>
          <w:rFonts w:hint="cs"/>
          <w:spacing w:val="0"/>
          <w:kern w:val="0"/>
          <w:sz w:val="20"/>
          <w:rtl/>
          <w:lang w:val="en-CA"/>
        </w:rPr>
        <w:t xml:space="preserve">أعوان </w:t>
      </w:r>
      <w:r w:rsidRPr="006B489A">
        <w:rPr>
          <w:spacing w:val="0"/>
          <w:kern w:val="0"/>
          <w:sz w:val="20"/>
          <w:rtl/>
          <w:lang w:val="en-CA"/>
        </w:rPr>
        <w:t>الدولة (الشرطة). وبالإضافة إلى ذلك، فإن</w:t>
      </w:r>
      <w:r w:rsidRPr="006B489A">
        <w:rPr>
          <w:rFonts w:hint="cs"/>
          <w:spacing w:val="0"/>
          <w:kern w:val="0"/>
          <w:sz w:val="20"/>
          <w:rtl/>
          <w:lang w:val="en-CA"/>
        </w:rPr>
        <w:t xml:space="preserve"> أصحاب الشكوى يدعون </w:t>
      </w:r>
      <w:r w:rsidRPr="006B489A">
        <w:rPr>
          <w:spacing w:val="0"/>
          <w:kern w:val="0"/>
          <w:sz w:val="20"/>
          <w:rtl/>
          <w:lang w:val="en-CA"/>
        </w:rPr>
        <w:t xml:space="preserve">احتجازهم </w:t>
      </w:r>
      <w:r w:rsidRPr="006B489A">
        <w:rPr>
          <w:rFonts w:hint="cs"/>
          <w:spacing w:val="0"/>
          <w:kern w:val="0"/>
          <w:sz w:val="20"/>
          <w:rtl/>
          <w:lang w:val="en-CA"/>
        </w:rPr>
        <w:t>و</w:t>
      </w:r>
      <w:r w:rsidRPr="006B489A">
        <w:rPr>
          <w:spacing w:val="0"/>
          <w:kern w:val="0"/>
          <w:sz w:val="20"/>
          <w:rtl/>
          <w:lang w:val="en-CA"/>
        </w:rPr>
        <w:t>استجوابهم وتعرضهم للضرب والاعتداء الجنسي (</w:t>
      </w:r>
      <w:r w:rsidRPr="006B489A">
        <w:rPr>
          <w:rFonts w:hint="cs"/>
          <w:spacing w:val="0"/>
          <w:kern w:val="0"/>
          <w:sz w:val="20"/>
          <w:rtl/>
          <w:lang w:val="en-CA"/>
        </w:rPr>
        <w:t>ﻫ.</w:t>
      </w:r>
      <w:r w:rsidR="00EA71E8">
        <w:rPr>
          <w:rFonts w:hint="eastAsia"/>
          <w:spacing w:val="0"/>
          <w:kern w:val="0"/>
          <w:sz w:val="20"/>
          <w:rtl/>
          <w:lang w:val="en-CA"/>
        </w:rPr>
        <w:t> </w:t>
      </w:r>
      <w:r w:rsidRPr="006B489A">
        <w:rPr>
          <w:rFonts w:hint="cs"/>
          <w:spacing w:val="0"/>
          <w:kern w:val="0"/>
          <w:sz w:val="20"/>
          <w:rtl/>
          <w:lang w:val="en-CA"/>
        </w:rPr>
        <w:t>م.</w:t>
      </w:r>
      <w:r w:rsidRPr="006B489A">
        <w:rPr>
          <w:spacing w:val="0"/>
          <w:kern w:val="0"/>
          <w:sz w:val="20"/>
          <w:rtl/>
          <w:lang w:val="en-CA"/>
        </w:rPr>
        <w:t xml:space="preserve">) </w:t>
      </w:r>
      <w:r w:rsidRPr="006B489A">
        <w:rPr>
          <w:rFonts w:hint="cs"/>
          <w:spacing w:val="0"/>
          <w:kern w:val="0"/>
          <w:sz w:val="20"/>
          <w:rtl/>
          <w:lang w:val="en-CA"/>
        </w:rPr>
        <w:t xml:space="preserve">على أيدي ضباط دائرة </w:t>
      </w:r>
      <w:r w:rsidRPr="006B489A">
        <w:rPr>
          <w:spacing w:val="0"/>
          <w:kern w:val="0"/>
          <w:sz w:val="20"/>
          <w:rtl/>
          <w:lang w:val="en-CA"/>
        </w:rPr>
        <w:t>الأمن الوطني، بما في ذلك في المطار عند عودتهم من السويد ف</w:t>
      </w:r>
      <w:r w:rsidRPr="006B489A">
        <w:rPr>
          <w:rFonts w:hint="eastAsia"/>
          <w:spacing w:val="0"/>
          <w:kern w:val="0"/>
          <w:sz w:val="20"/>
          <w:rtl/>
          <w:lang w:val="en-CA"/>
        </w:rPr>
        <w:t>ي</w:t>
      </w:r>
      <w:r w:rsidRPr="006B489A">
        <w:rPr>
          <w:spacing w:val="0"/>
          <w:kern w:val="0"/>
          <w:sz w:val="20"/>
          <w:rtl/>
          <w:lang w:val="en-CA"/>
        </w:rPr>
        <w:t xml:space="preserve"> آب/أغسطس 2004 وأثناء مواصلة الاستجواب.</w:t>
      </w:r>
    </w:p>
    <w:p w:rsidR="006B489A" w:rsidRPr="006B489A" w:rsidRDefault="006B489A" w:rsidP="006B489A">
      <w:pPr>
        <w:pStyle w:val="SingleTxtGA"/>
        <w:jc w:val="lowKashida"/>
        <w:rPr>
          <w:rFonts w:hint="cs"/>
          <w:spacing w:val="0"/>
          <w:kern w:val="0"/>
          <w:sz w:val="20"/>
          <w:szCs w:val="20"/>
          <w:rtl/>
        </w:rPr>
      </w:pPr>
      <w:r w:rsidRPr="006B489A">
        <w:rPr>
          <w:spacing w:val="0"/>
          <w:kern w:val="0"/>
          <w:sz w:val="20"/>
          <w:rtl/>
          <w:lang w:val="en-CA"/>
        </w:rPr>
        <w:t>9-7</w:t>
      </w:r>
      <w:r w:rsidRPr="006B489A">
        <w:rPr>
          <w:spacing w:val="0"/>
          <w:kern w:val="0"/>
          <w:sz w:val="20"/>
          <w:rtl/>
          <w:lang w:val="en-CA"/>
        </w:rPr>
        <w:tab/>
        <w:t xml:space="preserve">وتلاحظ اللجنة أن ادعاءات </w:t>
      </w:r>
      <w:r w:rsidRPr="006B489A">
        <w:rPr>
          <w:rFonts w:hint="cs"/>
          <w:spacing w:val="0"/>
          <w:kern w:val="0"/>
          <w:sz w:val="20"/>
          <w:rtl/>
          <w:lang w:val="en-CA"/>
        </w:rPr>
        <w:t xml:space="preserve">أصحاب </w:t>
      </w:r>
      <w:r w:rsidRPr="006B489A">
        <w:rPr>
          <w:spacing w:val="0"/>
          <w:kern w:val="0"/>
          <w:sz w:val="20"/>
          <w:rtl/>
          <w:lang w:val="en-CA"/>
        </w:rPr>
        <w:t xml:space="preserve">الشكوى بالتعذيب </w:t>
      </w:r>
      <w:r w:rsidRPr="006B489A">
        <w:rPr>
          <w:rFonts w:hint="cs"/>
          <w:spacing w:val="0"/>
          <w:kern w:val="0"/>
          <w:sz w:val="20"/>
          <w:rtl/>
          <w:lang w:val="en-CA"/>
        </w:rPr>
        <w:t>مدعمة</w:t>
      </w:r>
      <w:r w:rsidRPr="006B489A">
        <w:rPr>
          <w:spacing w:val="0"/>
          <w:kern w:val="0"/>
          <w:sz w:val="20"/>
          <w:rtl/>
          <w:lang w:val="en-CA"/>
        </w:rPr>
        <w:t xml:space="preserve"> بتقارير طبية معترف بها صادرة عن مركز الأزمات و</w:t>
      </w:r>
      <w:r w:rsidRPr="006B489A">
        <w:rPr>
          <w:rFonts w:hint="cs"/>
          <w:spacing w:val="0"/>
          <w:kern w:val="0"/>
          <w:sz w:val="20"/>
          <w:rtl/>
          <w:lang w:val="en-CA"/>
        </w:rPr>
        <w:t xml:space="preserve">الصدمات </w:t>
      </w:r>
      <w:r w:rsidRPr="006B489A">
        <w:rPr>
          <w:spacing w:val="0"/>
          <w:kern w:val="0"/>
          <w:sz w:val="20"/>
          <w:rtl/>
          <w:lang w:val="en-CA"/>
        </w:rPr>
        <w:t xml:space="preserve">في </w:t>
      </w:r>
      <w:r w:rsidRPr="006B489A">
        <w:rPr>
          <w:rFonts w:hint="cs"/>
          <w:spacing w:val="0"/>
          <w:kern w:val="0"/>
          <w:sz w:val="20"/>
          <w:rtl/>
          <w:lang w:val="en-CA"/>
        </w:rPr>
        <w:t>ستوكهلم</w:t>
      </w:r>
      <w:r w:rsidRPr="006B489A">
        <w:rPr>
          <w:spacing w:val="0"/>
          <w:kern w:val="0"/>
          <w:sz w:val="20"/>
          <w:rtl/>
          <w:lang w:val="en-CA"/>
        </w:rPr>
        <w:t xml:space="preserve">. وفي ضوء ما ورد أعلاه ومع </w:t>
      </w:r>
      <w:r w:rsidRPr="006B489A">
        <w:rPr>
          <w:rFonts w:hint="cs"/>
          <w:spacing w:val="0"/>
          <w:kern w:val="0"/>
          <w:sz w:val="20"/>
          <w:rtl/>
          <w:lang w:val="en-CA"/>
        </w:rPr>
        <w:t xml:space="preserve">مراعاة </w:t>
      </w:r>
      <w:r w:rsidRPr="006B489A">
        <w:rPr>
          <w:spacing w:val="0"/>
          <w:kern w:val="0"/>
          <w:sz w:val="20"/>
          <w:rtl/>
          <w:lang w:val="en-CA"/>
        </w:rPr>
        <w:t xml:space="preserve">المعاملة التي تعرض لها </w:t>
      </w:r>
      <w:r w:rsidRPr="006B489A">
        <w:rPr>
          <w:rFonts w:hint="cs"/>
          <w:spacing w:val="0"/>
          <w:kern w:val="0"/>
          <w:sz w:val="20"/>
          <w:rtl/>
          <w:lang w:val="en-CA"/>
        </w:rPr>
        <w:t xml:space="preserve">أصحاب </w:t>
      </w:r>
      <w:r w:rsidRPr="006B489A">
        <w:rPr>
          <w:spacing w:val="0"/>
          <w:kern w:val="0"/>
          <w:sz w:val="20"/>
          <w:rtl/>
          <w:lang w:val="en-CA"/>
        </w:rPr>
        <w:t>الشكوى بعد عودتهم إلى أذربيجان في آب/</w:t>
      </w:r>
      <w:r w:rsidRPr="006B489A">
        <w:rPr>
          <w:rFonts w:hint="cs"/>
          <w:spacing w:val="0"/>
          <w:kern w:val="0"/>
          <w:sz w:val="20"/>
          <w:rtl/>
          <w:lang w:val="en-CA"/>
        </w:rPr>
        <w:t xml:space="preserve"> </w:t>
      </w:r>
      <w:r w:rsidRPr="006B489A">
        <w:rPr>
          <w:spacing w:val="0"/>
          <w:kern w:val="0"/>
          <w:sz w:val="20"/>
          <w:rtl/>
          <w:lang w:val="en-CA"/>
        </w:rPr>
        <w:t>أغسطس 2004 والمعلومات ا</w:t>
      </w:r>
      <w:r w:rsidRPr="006B489A">
        <w:rPr>
          <w:rFonts w:hint="eastAsia"/>
          <w:spacing w:val="0"/>
          <w:kern w:val="0"/>
          <w:sz w:val="20"/>
          <w:rtl/>
          <w:lang w:val="en-CA"/>
        </w:rPr>
        <w:t>لعامة</w:t>
      </w:r>
      <w:r w:rsidRPr="006B489A">
        <w:rPr>
          <w:spacing w:val="0"/>
          <w:kern w:val="0"/>
          <w:sz w:val="20"/>
          <w:rtl/>
          <w:lang w:val="en-CA"/>
        </w:rPr>
        <w:t xml:space="preserve"> المتاحة للجنة التي تفيد بأن السلوك ال</w:t>
      </w:r>
      <w:r w:rsidRPr="006B489A">
        <w:rPr>
          <w:rFonts w:hint="cs"/>
          <w:spacing w:val="0"/>
          <w:kern w:val="0"/>
          <w:sz w:val="20"/>
          <w:rtl/>
          <w:lang w:val="en-CA"/>
        </w:rPr>
        <w:t>عد</w:t>
      </w:r>
      <w:r w:rsidRPr="006B489A">
        <w:rPr>
          <w:spacing w:val="0"/>
          <w:kern w:val="0"/>
          <w:sz w:val="20"/>
          <w:rtl/>
          <w:lang w:val="en-CA"/>
        </w:rPr>
        <w:t xml:space="preserve">ائي من جانب عامة الجمهور تجاه الأشخاص </w:t>
      </w:r>
      <w:r w:rsidRPr="006B489A">
        <w:rPr>
          <w:rFonts w:hint="cs"/>
          <w:spacing w:val="0"/>
          <w:kern w:val="0"/>
          <w:sz w:val="20"/>
          <w:rtl/>
          <w:lang w:val="en-CA"/>
        </w:rPr>
        <w:t xml:space="preserve">من أصول </w:t>
      </w:r>
      <w:r w:rsidRPr="006B489A">
        <w:rPr>
          <w:spacing w:val="0"/>
          <w:kern w:val="0"/>
          <w:sz w:val="20"/>
          <w:rtl/>
          <w:lang w:val="en-CA"/>
        </w:rPr>
        <w:t xml:space="preserve">إثنية أرمنية الذين يعيشون في أذربيجان لا يزال </w:t>
      </w:r>
      <w:r w:rsidRPr="006B489A">
        <w:rPr>
          <w:rFonts w:hint="cs"/>
          <w:spacing w:val="0"/>
          <w:kern w:val="0"/>
          <w:sz w:val="20"/>
          <w:rtl/>
          <w:lang w:val="en-CA"/>
        </w:rPr>
        <w:t>واسع الانتشار</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8"/>
      </w:r>
      <w:r w:rsidRPr="006B489A">
        <w:rPr>
          <w:rFonts w:hint="cs"/>
          <w:spacing w:val="0"/>
          <w:kern w:val="0"/>
          <w:sz w:val="20"/>
          <w:szCs w:val="28"/>
          <w:vertAlign w:val="superscript"/>
          <w:rtl/>
          <w:lang w:val="en-CA"/>
        </w:rPr>
        <w:t>)</w:t>
      </w:r>
      <w:r w:rsidRPr="006B489A">
        <w:rPr>
          <w:spacing w:val="0"/>
          <w:kern w:val="0"/>
          <w:sz w:val="20"/>
          <w:rtl/>
          <w:lang w:val="en-CA"/>
        </w:rPr>
        <w:t>،</w:t>
      </w:r>
      <w:r w:rsidRPr="006B489A">
        <w:rPr>
          <w:rFonts w:hint="cs"/>
          <w:spacing w:val="0"/>
          <w:kern w:val="0"/>
          <w:sz w:val="20"/>
          <w:rtl/>
          <w:lang w:val="en-CA"/>
        </w:rPr>
        <w:t xml:space="preserve"> وبأن </w:t>
      </w:r>
      <w:r w:rsidRPr="006B489A">
        <w:rPr>
          <w:spacing w:val="0"/>
          <w:kern w:val="0"/>
          <w:sz w:val="20"/>
          <w:rtl/>
          <w:lang w:val="en-CA"/>
        </w:rPr>
        <w:t xml:space="preserve">الأشخاص </w:t>
      </w:r>
      <w:r w:rsidRPr="006B489A">
        <w:rPr>
          <w:rFonts w:hint="cs"/>
          <w:spacing w:val="0"/>
          <w:kern w:val="0"/>
          <w:sz w:val="20"/>
          <w:rtl/>
          <w:lang w:val="en-CA"/>
        </w:rPr>
        <w:t xml:space="preserve">من </w:t>
      </w:r>
      <w:r w:rsidRPr="006B489A">
        <w:rPr>
          <w:spacing w:val="0"/>
          <w:kern w:val="0"/>
          <w:sz w:val="20"/>
          <w:rtl/>
          <w:lang w:val="en-CA"/>
        </w:rPr>
        <w:t>أصول إثنية أرمنية يواجهون خطر التمييز ضدهم في حياتهم اليومية</w:t>
      </w:r>
      <w:r w:rsidRPr="006B489A">
        <w:rPr>
          <w:rFonts w:hint="cs"/>
          <w:spacing w:val="0"/>
          <w:kern w:val="0"/>
          <w:sz w:val="20"/>
          <w:szCs w:val="28"/>
          <w:vertAlign w:val="superscript"/>
          <w:rtl/>
          <w:lang w:val="en-CA"/>
        </w:rPr>
        <w:t>(</w:t>
      </w:r>
      <w:r w:rsidRPr="006B489A">
        <w:rPr>
          <w:rStyle w:val="FootnoteReference"/>
          <w:spacing w:val="0"/>
          <w:sz w:val="20"/>
          <w:rtl/>
          <w:lang w:val="en-CA"/>
        </w:rPr>
        <w:footnoteReference w:id="259"/>
      </w:r>
      <w:r w:rsidRPr="006B489A">
        <w:rPr>
          <w:rFonts w:hint="cs"/>
          <w:spacing w:val="0"/>
          <w:kern w:val="0"/>
          <w:sz w:val="20"/>
          <w:szCs w:val="28"/>
          <w:vertAlign w:val="superscript"/>
          <w:rtl/>
          <w:lang w:val="en-CA"/>
        </w:rPr>
        <w:t>)</w:t>
      </w:r>
      <w:r w:rsidRPr="006B489A">
        <w:rPr>
          <w:spacing w:val="0"/>
          <w:kern w:val="0"/>
          <w:sz w:val="20"/>
          <w:rtl/>
          <w:lang w:val="en-CA"/>
        </w:rPr>
        <w:t>،</w:t>
      </w:r>
      <w:r w:rsidRPr="006B489A">
        <w:rPr>
          <w:rFonts w:hint="cs"/>
          <w:spacing w:val="0"/>
          <w:kern w:val="0"/>
          <w:sz w:val="20"/>
          <w:rtl/>
          <w:lang w:val="en-CA"/>
        </w:rPr>
        <w:t xml:space="preserve"> و</w:t>
      </w:r>
      <w:r w:rsidRPr="006B489A">
        <w:rPr>
          <w:spacing w:val="0"/>
          <w:kern w:val="0"/>
          <w:sz w:val="20"/>
          <w:rtl/>
          <w:lang w:val="en-CA"/>
        </w:rPr>
        <w:t xml:space="preserve">يتعرضون </w:t>
      </w:r>
      <w:r w:rsidRPr="006B489A">
        <w:rPr>
          <w:rFonts w:hint="cs"/>
          <w:spacing w:val="0"/>
          <w:kern w:val="0"/>
          <w:sz w:val="20"/>
          <w:rtl/>
          <w:lang w:val="en-CA"/>
        </w:rPr>
        <w:t>للمضايقة،</w:t>
      </w:r>
      <w:r w:rsidRPr="006B489A">
        <w:rPr>
          <w:spacing w:val="0"/>
          <w:kern w:val="0"/>
          <w:sz w:val="20"/>
          <w:rtl/>
          <w:lang w:val="en-CA"/>
        </w:rPr>
        <w:t xml:space="preserve"> ويطلب إليهم صغار المسؤولين رشاوى عند تقديم طلب الحصول على جوازات </w:t>
      </w:r>
      <w:r w:rsidRPr="006B489A">
        <w:rPr>
          <w:rFonts w:hint="cs"/>
          <w:spacing w:val="0"/>
          <w:kern w:val="0"/>
          <w:sz w:val="20"/>
          <w:rtl/>
          <w:lang w:val="en-CA"/>
        </w:rPr>
        <w:t>ال</w:t>
      </w:r>
      <w:r w:rsidRPr="006B489A">
        <w:rPr>
          <w:spacing w:val="0"/>
          <w:kern w:val="0"/>
          <w:sz w:val="20"/>
          <w:rtl/>
          <w:lang w:val="en-CA"/>
        </w:rPr>
        <w:t>سفر</w:t>
      </w:r>
      <w:r w:rsidRPr="006B489A">
        <w:rPr>
          <w:rFonts w:hint="cs"/>
          <w:spacing w:val="0"/>
          <w:kern w:val="0"/>
          <w:sz w:val="20"/>
          <w:rtl/>
          <w:lang w:val="en-CA"/>
        </w:rPr>
        <w:t>،</w:t>
      </w:r>
      <w:r w:rsidRPr="006B489A">
        <w:rPr>
          <w:spacing w:val="0"/>
          <w:kern w:val="0"/>
          <w:sz w:val="20"/>
          <w:rtl/>
          <w:lang w:val="en-CA"/>
        </w:rPr>
        <w:t xml:space="preserve"> ويخفون في كثير من الأحيان هويتهم عن طريق إجراء تغيير قانوني لأصلهم الإثني في جوازات سفرهم، فإن اللجنة ترى أن عودة </w:t>
      </w:r>
      <w:r w:rsidRPr="006B489A">
        <w:rPr>
          <w:rFonts w:hint="cs"/>
          <w:spacing w:val="0"/>
          <w:kern w:val="0"/>
          <w:sz w:val="20"/>
          <w:rtl/>
          <w:lang w:val="en-CA"/>
        </w:rPr>
        <w:t xml:space="preserve">أصحاب </w:t>
      </w:r>
      <w:r w:rsidRPr="006B489A">
        <w:rPr>
          <w:spacing w:val="0"/>
          <w:kern w:val="0"/>
          <w:sz w:val="20"/>
          <w:rtl/>
          <w:lang w:val="en-CA"/>
        </w:rPr>
        <w:t>الشكوى إلى أذربيجان سيعرضهم لخطر متوقع وح</w:t>
      </w:r>
      <w:r w:rsidRPr="006B489A">
        <w:rPr>
          <w:rFonts w:hint="eastAsia"/>
          <w:spacing w:val="0"/>
          <w:kern w:val="0"/>
          <w:sz w:val="20"/>
          <w:rtl/>
          <w:lang w:val="en-CA"/>
        </w:rPr>
        <w:t>قيقي</w:t>
      </w:r>
      <w:r w:rsidRPr="006B489A">
        <w:rPr>
          <w:spacing w:val="0"/>
          <w:kern w:val="0"/>
          <w:sz w:val="20"/>
          <w:rtl/>
          <w:lang w:val="en-CA"/>
        </w:rPr>
        <w:t xml:space="preserve"> وشخصي </w:t>
      </w:r>
      <w:r w:rsidRPr="006B489A">
        <w:rPr>
          <w:rFonts w:hint="cs"/>
          <w:spacing w:val="0"/>
          <w:kern w:val="0"/>
          <w:sz w:val="20"/>
          <w:rtl/>
          <w:lang w:val="en-CA"/>
        </w:rPr>
        <w:t>با</w:t>
      </w:r>
      <w:r w:rsidRPr="006B489A">
        <w:rPr>
          <w:spacing w:val="0"/>
          <w:kern w:val="0"/>
          <w:sz w:val="20"/>
          <w:rtl/>
          <w:lang w:val="en-CA"/>
        </w:rPr>
        <w:t xml:space="preserve">لتعذيب وفقاً لمعنى المادة 3 من الاتفاقية. </w:t>
      </w:r>
      <w:r w:rsidRPr="006B489A">
        <w:rPr>
          <w:rFonts w:hint="cs"/>
          <w:spacing w:val="0"/>
          <w:kern w:val="0"/>
          <w:sz w:val="20"/>
          <w:rtl/>
          <w:lang w:val="en-CA"/>
        </w:rPr>
        <w:t>وبناء على ذلك</w:t>
      </w:r>
      <w:r w:rsidRPr="006B489A">
        <w:rPr>
          <w:spacing w:val="0"/>
          <w:kern w:val="0"/>
          <w:sz w:val="20"/>
          <w:rtl/>
          <w:lang w:val="en-CA"/>
        </w:rPr>
        <w:t xml:space="preserve">، تخلص اللجنة إلى أن ترحيلهم إلى أذربيجان </w:t>
      </w:r>
      <w:r w:rsidRPr="006B489A">
        <w:rPr>
          <w:rFonts w:hint="cs"/>
          <w:spacing w:val="0"/>
          <w:kern w:val="0"/>
          <w:sz w:val="20"/>
          <w:rtl/>
          <w:lang w:val="en-CA"/>
        </w:rPr>
        <w:t>سيشكل</w:t>
      </w:r>
      <w:r w:rsidRPr="006B489A">
        <w:rPr>
          <w:spacing w:val="0"/>
          <w:kern w:val="0"/>
          <w:sz w:val="20"/>
          <w:rtl/>
          <w:lang w:val="en-CA"/>
        </w:rPr>
        <w:t xml:space="preserve"> انتهاكاً للمادة 3 من الاتفاقية.</w:t>
      </w:r>
    </w:p>
    <w:p w:rsidR="006B489A" w:rsidRPr="006B489A" w:rsidRDefault="006B489A" w:rsidP="006B489A">
      <w:pPr>
        <w:pStyle w:val="SingleTxtGA"/>
        <w:jc w:val="lowKashida"/>
        <w:rPr>
          <w:rFonts w:hint="cs"/>
          <w:spacing w:val="0"/>
          <w:kern w:val="0"/>
          <w:sz w:val="20"/>
          <w:szCs w:val="20"/>
          <w:rtl/>
        </w:rPr>
      </w:pPr>
      <w:r w:rsidRPr="006B489A">
        <w:rPr>
          <w:rFonts w:hint="cs"/>
          <w:spacing w:val="0"/>
          <w:kern w:val="0"/>
          <w:sz w:val="20"/>
          <w:rtl/>
          <w:lang w:val="en-CA"/>
        </w:rPr>
        <w:t>10-</w:t>
      </w:r>
      <w:r w:rsidRPr="006B489A">
        <w:rPr>
          <w:rFonts w:hint="cs"/>
          <w:spacing w:val="0"/>
          <w:kern w:val="0"/>
          <w:sz w:val="20"/>
          <w:rtl/>
          <w:lang w:val="en-CA"/>
        </w:rPr>
        <w:tab/>
        <w:t xml:space="preserve">وإن لجنة مناهضة التعذيب، إذ تعمل بموجب الفقرة 7 من المادة 22 من </w:t>
      </w:r>
      <w:r w:rsidRPr="006B489A">
        <w:rPr>
          <w:spacing w:val="0"/>
          <w:kern w:val="0"/>
          <w:sz w:val="20"/>
          <w:rtl/>
          <w:lang w:bidi="ar-SY"/>
        </w:rPr>
        <w:t>اتفاقية مناهضة التعذيب وغيره من ضروب المعاملة أو العقوبة القاسية أو اللاإنسانية أو المهينة</w:t>
      </w:r>
      <w:r w:rsidRPr="006B489A">
        <w:rPr>
          <w:rFonts w:hint="cs"/>
          <w:spacing w:val="0"/>
          <w:kern w:val="0"/>
          <w:sz w:val="20"/>
          <w:rtl/>
          <w:lang w:bidi="ar-SY"/>
        </w:rPr>
        <w:t xml:space="preserve">، أن إعادة </w:t>
      </w:r>
      <w:r w:rsidRPr="006B489A">
        <w:rPr>
          <w:spacing w:val="0"/>
          <w:kern w:val="0"/>
          <w:sz w:val="20"/>
          <w:rtl/>
          <w:lang w:bidi="ar-SY"/>
        </w:rPr>
        <w:t>س. م. و</w:t>
      </w:r>
      <w:r w:rsidRPr="006B489A">
        <w:rPr>
          <w:rFonts w:hint="cs"/>
          <w:spacing w:val="0"/>
          <w:kern w:val="0"/>
          <w:sz w:val="20"/>
          <w:rtl/>
          <w:lang w:bidi="ar-SY"/>
        </w:rPr>
        <w:t>ﻫ</w:t>
      </w:r>
      <w:r w:rsidRPr="006B489A">
        <w:rPr>
          <w:spacing w:val="0"/>
          <w:kern w:val="0"/>
          <w:sz w:val="20"/>
          <w:rtl/>
          <w:lang w:bidi="ar-SY"/>
        </w:rPr>
        <w:t>. م.</w:t>
      </w:r>
      <w:r w:rsidRPr="006B489A">
        <w:rPr>
          <w:rFonts w:hint="cs"/>
          <w:spacing w:val="0"/>
          <w:kern w:val="0"/>
          <w:sz w:val="20"/>
          <w:rtl/>
          <w:lang w:bidi="ar-SY"/>
        </w:rPr>
        <w:t xml:space="preserve"> إلى أذربيجان سيشكل انتهاكاً للمادة 3 من الاتفاقية.</w:t>
      </w:r>
    </w:p>
    <w:p w:rsidR="006B489A" w:rsidRDefault="006B489A" w:rsidP="00EA71E8">
      <w:pPr>
        <w:pStyle w:val="SingleTxtGA"/>
        <w:jc w:val="lowKashida"/>
        <w:rPr>
          <w:rFonts w:hint="cs"/>
          <w:spacing w:val="0"/>
          <w:kern w:val="0"/>
          <w:sz w:val="20"/>
          <w:rtl/>
          <w:lang w:val="fr-CH"/>
        </w:rPr>
      </w:pPr>
      <w:r w:rsidRPr="006B489A">
        <w:rPr>
          <w:rFonts w:hint="cs"/>
          <w:spacing w:val="0"/>
          <w:kern w:val="0"/>
          <w:sz w:val="20"/>
          <w:rtl/>
          <w:lang w:val="en-CA"/>
        </w:rPr>
        <w:t>11-</w:t>
      </w:r>
      <w:r w:rsidRPr="006B489A">
        <w:rPr>
          <w:rFonts w:hint="cs"/>
          <w:spacing w:val="0"/>
          <w:kern w:val="0"/>
          <w:sz w:val="20"/>
          <w:rtl/>
          <w:lang w:val="en-CA"/>
        </w:rPr>
        <w:tab/>
        <w:t>وعملاً بالفقرة 5 من المادة 118 (المادة 112 سابقاً)، من النظام الداخلي للجنة، تود اللجنة أن تبلغها الدولة الطرف، في غضون 90 يوماً، بالخطوات التي اتخذتها استجابة لهذا</w:t>
      </w:r>
      <w:r w:rsidR="00EA71E8">
        <w:rPr>
          <w:rFonts w:hint="eastAsia"/>
          <w:spacing w:val="0"/>
          <w:kern w:val="0"/>
          <w:sz w:val="20"/>
          <w:rtl/>
          <w:lang w:val="en-CA"/>
        </w:rPr>
        <w:t> </w:t>
      </w:r>
      <w:r w:rsidRPr="006B489A">
        <w:rPr>
          <w:rFonts w:hint="cs"/>
          <w:spacing w:val="0"/>
          <w:kern w:val="0"/>
          <w:sz w:val="20"/>
          <w:rtl/>
          <w:lang w:val="en-CA"/>
        </w:rPr>
        <w:t>القرار</w:t>
      </w:r>
      <w:r w:rsidRPr="006B489A">
        <w:rPr>
          <w:rFonts w:hint="cs"/>
          <w:spacing w:val="0"/>
          <w:kern w:val="0"/>
          <w:sz w:val="20"/>
          <w:rtl/>
          <w:lang w:val="fr-CH"/>
        </w:rPr>
        <w:t>.</w:t>
      </w:r>
    </w:p>
    <w:p w:rsidR="000203D9" w:rsidRDefault="000203D9" w:rsidP="00EA71E8">
      <w:pPr>
        <w:pStyle w:val="SingleTxtGA"/>
        <w:jc w:val="lowKashida"/>
        <w:rPr>
          <w:spacing w:val="0"/>
          <w:kern w:val="0"/>
          <w:sz w:val="20"/>
          <w:rtl/>
          <w:lang w:val="fr-CH"/>
        </w:rPr>
        <w:sectPr w:rsidR="000203D9"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0203D9" w:rsidRPr="000203D9" w:rsidRDefault="000203D9" w:rsidP="00A73ECA">
      <w:pPr>
        <w:pStyle w:val="H1GA"/>
        <w:spacing w:before="120"/>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 xml:space="preserve">البلاغ رقم 381/2009: </w:t>
      </w:r>
      <w:r w:rsidRPr="000203D9">
        <w:rPr>
          <w:rFonts w:hint="cs"/>
          <w:i/>
          <w:iCs/>
          <w:spacing w:val="0"/>
          <w:kern w:val="0"/>
          <w:sz w:val="20"/>
          <w:rtl/>
          <w:lang w:val="fr-CH"/>
        </w:rPr>
        <w:t>فرج الله ضد سويسرا</w:t>
      </w:r>
    </w:p>
    <w:p w:rsidR="000203D9" w:rsidRPr="000203D9" w:rsidRDefault="000203D9" w:rsidP="000203D9">
      <w:pPr>
        <w:pStyle w:val="SingleTxtGA"/>
        <w:ind w:left="4649" w:hanging="2721"/>
        <w:jc w:val="lowKashida"/>
        <w:rPr>
          <w:rFonts w:hint="cs"/>
          <w:spacing w:val="0"/>
          <w:kern w:val="0"/>
          <w:sz w:val="20"/>
          <w:rtl/>
          <w:lang w:val="fr-CH"/>
        </w:rPr>
      </w:pPr>
      <w:r w:rsidRPr="000203D9">
        <w:rPr>
          <w:rFonts w:hint="cs"/>
          <w:i/>
          <w:iCs/>
          <w:spacing w:val="0"/>
          <w:kern w:val="0"/>
          <w:sz w:val="20"/>
          <w:rtl/>
          <w:lang w:val="fr-CH"/>
        </w:rPr>
        <w:t>المقدم من:</w:t>
      </w:r>
      <w:r w:rsidRPr="000203D9">
        <w:rPr>
          <w:rFonts w:hint="cs"/>
          <w:i/>
          <w:iCs/>
          <w:spacing w:val="0"/>
          <w:kern w:val="0"/>
          <w:sz w:val="20"/>
          <w:rtl/>
          <w:lang w:val="fr-CH"/>
        </w:rPr>
        <w:tab/>
      </w:r>
      <w:r w:rsidRPr="000203D9">
        <w:rPr>
          <w:rFonts w:hint="cs"/>
          <w:i/>
          <w:iCs/>
          <w:spacing w:val="0"/>
          <w:kern w:val="0"/>
          <w:sz w:val="20"/>
          <w:rtl/>
          <w:lang w:val="fr-CH"/>
        </w:rPr>
        <w:tab/>
      </w:r>
      <w:r w:rsidRPr="000203D9">
        <w:rPr>
          <w:rFonts w:hint="cs"/>
          <w:i/>
          <w:iCs/>
          <w:spacing w:val="0"/>
          <w:kern w:val="0"/>
          <w:sz w:val="20"/>
          <w:rtl/>
          <w:lang w:val="fr-CH"/>
        </w:rPr>
        <w:tab/>
      </w:r>
      <w:r w:rsidRPr="000203D9">
        <w:rPr>
          <w:rFonts w:hint="cs"/>
          <w:spacing w:val="0"/>
          <w:kern w:val="0"/>
          <w:sz w:val="20"/>
          <w:rtl/>
          <w:lang w:val="fr-CH"/>
        </w:rPr>
        <w:t>أبو القاسم فرج الله وآخرون (يمثلهم محام، هو أورس إبنوتير)</w:t>
      </w:r>
    </w:p>
    <w:p w:rsidR="000203D9" w:rsidRPr="000203D9" w:rsidRDefault="000203D9" w:rsidP="000203D9">
      <w:pPr>
        <w:pStyle w:val="SingleTxtGA"/>
        <w:ind w:left="1928"/>
        <w:jc w:val="lowKashida"/>
        <w:rPr>
          <w:rFonts w:hint="cs"/>
          <w:spacing w:val="0"/>
          <w:kern w:val="0"/>
          <w:sz w:val="20"/>
          <w:rtl/>
          <w:lang w:val="fr-CH"/>
        </w:rPr>
      </w:pPr>
      <w:r w:rsidRPr="000203D9">
        <w:rPr>
          <w:rFonts w:hint="cs"/>
          <w:i/>
          <w:iCs/>
          <w:spacing w:val="0"/>
          <w:kern w:val="0"/>
          <w:sz w:val="20"/>
          <w:rtl/>
          <w:lang w:val="fr-CH"/>
        </w:rPr>
        <w:t>الشخص المدعى أنه ضحية:</w:t>
      </w:r>
      <w:r w:rsidRPr="000203D9">
        <w:rPr>
          <w:rFonts w:hint="cs"/>
          <w:i/>
          <w:iCs/>
          <w:spacing w:val="0"/>
          <w:kern w:val="0"/>
          <w:sz w:val="20"/>
          <w:rtl/>
          <w:lang w:val="fr-CH"/>
        </w:rPr>
        <w:tab/>
      </w:r>
      <w:r w:rsidRPr="000203D9">
        <w:rPr>
          <w:rFonts w:hint="cs"/>
          <w:spacing w:val="0"/>
          <w:kern w:val="0"/>
          <w:sz w:val="20"/>
          <w:rtl/>
          <w:lang w:val="fr-CH"/>
        </w:rPr>
        <w:t>أصحاب الشكوى</w:t>
      </w:r>
    </w:p>
    <w:p w:rsidR="000203D9" w:rsidRPr="000203D9" w:rsidRDefault="000203D9" w:rsidP="000203D9">
      <w:pPr>
        <w:pStyle w:val="SingleTxtGA"/>
        <w:ind w:left="1928"/>
        <w:jc w:val="lowKashida"/>
        <w:rPr>
          <w:rFonts w:hint="cs"/>
          <w:spacing w:val="0"/>
          <w:kern w:val="0"/>
          <w:sz w:val="20"/>
          <w:rtl/>
          <w:lang w:val="fr-CH"/>
        </w:rPr>
      </w:pPr>
      <w:r w:rsidRPr="000203D9">
        <w:rPr>
          <w:rFonts w:hint="cs"/>
          <w:i/>
          <w:iCs/>
          <w:spacing w:val="0"/>
          <w:kern w:val="0"/>
          <w:sz w:val="20"/>
          <w:rtl/>
          <w:lang w:val="fr-CH"/>
        </w:rPr>
        <w:t>الدولة الطرف:</w:t>
      </w:r>
      <w:r w:rsidRPr="000203D9">
        <w:rPr>
          <w:rFonts w:hint="cs"/>
          <w:i/>
          <w:iCs/>
          <w:spacing w:val="0"/>
          <w:kern w:val="0"/>
          <w:sz w:val="20"/>
          <w:rtl/>
          <w:lang w:val="fr-CH"/>
        </w:rPr>
        <w:tab/>
      </w:r>
      <w:r w:rsidRPr="000203D9">
        <w:rPr>
          <w:rFonts w:hint="cs"/>
          <w:i/>
          <w:iCs/>
          <w:spacing w:val="0"/>
          <w:kern w:val="0"/>
          <w:sz w:val="20"/>
          <w:rtl/>
          <w:lang w:val="fr-CH"/>
        </w:rPr>
        <w:tab/>
      </w:r>
      <w:r w:rsidRPr="000203D9">
        <w:rPr>
          <w:rFonts w:hint="cs"/>
          <w:i/>
          <w:iCs/>
          <w:spacing w:val="0"/>
          <w:kern w:val="0"/>
          <w:sz w:val="20"/>
          <w:rtl/>
          <w:lang w:val="fr-CH"/>
        </w:rPr>
        <w:tab/>
      </w:r>
      <w:r w:rsidRPr="000203D9">
        <w:rPr>
          <w:rFonts w:hint="cs"/>
          <w:spacing w:val="0"/>
          <w:kern w:val="0"/>
          <w:sz w:val="20"/>
          <w:rtl/>
          <w:lang w:val="fr-CH"/>
        </w:rPr>
        <w:t>سويسرا</w:t>
      </w:r>
    </w:p>
    <w:p w:rsidR="000203D9" w:rsidRPr="000203D9" w:rsidRDefault="000203D9" w:rsidP="000203D9">
      <w:pPr>
        <w:pStyle w:val="SingleTxtGA"/>
        <w:ind w:left="1928"/>
        <w:jc w:val="lowKashida"/>
        <w:rPr>
          <w:rFonts w:hint="cs"/>
          <w:spacing w:val="0"/>
          <w:kern w:val="0"/>
          <w:sz w:val="20"/>
          <w:rtl/>
          <w:lang w:val="fr-CH"/>
        </w:rPr>
      </w:pPr>
      <w:r w:rsidRPr="000203D9">
        <w:rPr>
          <w:rFonts w:hint="cs"/>
          <w:i/>
          <w:iCs/>
          <w:spacing w:val="0"/>
          <w:kern w:val="0"/>
          <w:sz w:val="20"/>
          <w:rtl/>
          <w:lang w:val="fr-CH"/>
        </w:rPr>
        <w:t>تاريخ تقديم الشكوى:</w:t>
      </w:r>
      <w:r w:rsidRPr="000203D9">
        <w:rPr>
          <w:rFonts w:hint="cs"/>
          <w:spacing w:val="0"/>
          <w:kern w:val="0"/>
          <w:sz w:val="20"/>
          <w:rtl/>
          <w:lang w:val="fr-CH"/>
        </w:rPr>
        <w:tab/>
      </w:r>
      <w:r w:rsidRPr="000203D9">
        <w:rPr>
          <w:rFonts w:hint="cs"/>
          <w:spacing w:val="0"/>
          <w:kern w:val="0"/>
          <w:sz w:val="20"/>
          <w:rtl/>
          <w:lang w:val="fr-CH"/>
        </w:rPr>
        <w:tab/>
        <w:t>17 نيسان/أبريل 2009 (تاريخ الرسالة الأولى)</w:t>
      </w:r>
    </w:p>
    <w:p w:rsidR="000203D9" w:rsidRPr="000203D9" w:rsidRDefault="000203D9" w:rsidP="000203D9">
      <w:pPr>
        <w:pStyle w:val="SingleTxtGA"/>
        <w:jc w:val="lowKashida"/>
        <w:rPr>
          <w:rFonts w:hint="cs"/>
          <w:spacing w:val="0"/>
          <w:kern w:val="0"/>
          <w:sz w:val="20"/>
          <w:rtl/>
          <w:lang w:val="fr-CH"/>
        </w:rPr>
      </w:pPr>
      <w:r w:rsidRPr="000203D9">
        <w:rPr>
          <w:rFonts w:hint="cs"/>
          <w:b/>
          <w:bCs/>
          <w:i/>
          <w:iCs/>
          <w:spacing w:val="0"/>
          <w:kern w:val="0"/>
          <w:sz w:val="20"/>
          <w:rtl/>
          <w:lang w:val="fr-CH"/>
        </w:rPr>
        <w:tab/>
      </w:r>
      <w:r w:rsidRPr="000203D9">
        <w:rPr>
          <w:rFonts w:hint="cs"/>
          <w:i/>
          <w:iCs/>
          <w:spacing w:val="0"/>
          <w:kern w:val="0"/>
          <w:sz w:val="20"/>
          <w:rtl/>
          <w:lang w:val="fr-CH"/>
        </w:rPr>
        <w:t xml:space="preserve">إن لجنة مناهضة التعذيب، </w:t>
      </w:r>
      <w:r w:rsidRPr="000203D9">
        <w:rPr>
          <w:rFonts w:hint="cs"/>
          <w:spacing w:val="0"/>
          <w:kern w:val="0"/>
          <w:sz w:val="20"/>
          <w:rtl/>
          <w:lang w:val="fr-CH"/>
        </w:rPr>
        <w:t>المنشأة بموجب المادة 17 من اتفاقية مناهضة التعذيب وغيره من ضروب المعاملة أو العقوبة القاسية أو اللاإنسانية أو المهينة،</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ab/>
      </w:r>
      <w:r w:rsidRPr="000203D9">
        <w:rPr>
          <w:rFonts w:hint="cs"/>
          <w:i/>
          <w:iCs/>
          <w:spacing w:val="0"/>
          <w:kern w:val="0"/>
          <w:sz w:val="20"/>
          <w:rtl/>
          <w:lang w:val="fr-CH"/>
        </w:rPr>
        <w:t xml:space="preserve">وقد اجتمعت </w:t>
      </w:r>
      <w:r w:rsidRPr="000203D9">
        <w:rPr>
          <w:rFonts w:hint="cs"/>
          <w:spacing w:val="0"/>
          <w:kern w:val="0"/>
          <w:sz w:val="20"/>
          <w:rtl/>
          <w:lang w:val="fr-CH"/>
        </w:rPr>
        <w:t>في 21 تشرين الثاني/نوفمبر 2011،</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ab/>
      </w:r>
      <w:r w:rsidRPr="000203D9">
        <w:rPr>
          <w:rFonts w:hint="cs"/>
          <w:i/>
          <w:iCs/>
          <w:spacing w:val="0"/>
          <w:kern w:val="0"/>
          <w:sz w:val="20"/>
          <w:rtl/>
          <w:lang w:val="fr-CH"/>
        </w:rPr>
        <w:t>وقد فرغت من النظر</w:t>
      </w:r>
      <w:r w:rsidRPr="000203D9">
        <w:rPr>
          <w:rFonts w:hint="cs"/>
          <w:spacing w:val="0"/>
          <w:kern w:val="0"/>
          <w:sz w:val="20"/>
          <w:rtl/>
          <w:lang w:val="fr-CH"/>
        </w:rPr>
        <w:t xml:space="preserve"> في الشكوى رقم 381/2009، المقدمة إلى لجنة مناهضة التعذيب باسم السيد أبو القاسم فرج الله وآخرين بموجب المادة 22 من اتفاقية مناهضة التعذيب وغيره من ضروب المعاملة أو العقوبة القاسية أو اللاإنسانية أو المهينة،</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ab/>
      </w:r>
      <w:r w:rsidRPr="000203D9">
        <w:rPr>
          <w:rFonts w:hint="cs"/>
          <w:i/>
          <w:iCs/>
          <w:spacing w:val="0"/>
          <w:kern w:val="0"/>
          <w:sz w:val="20"/>
          <w:rtl/>
          <w:lang w:val="fr-CH"/>
        </w:rPr>
        <w:t xml:space="preserve">وقد وضعت في اعتبارها </w:t>
      </w:r>
      <w:r w:rsidRPr="000203D9">
        <w:rPr>
          <w:rFonts w:hint="cs"/>
          <w:spacing w:val="0"/>
          <w:kern w:val="0"/>
          <w:sz w:val="20"/>
          <w:rtl/>
          <w:lang w:val="fr-CH"/>
        </w:rPr>
        <w:t xml:space="preserve">جميع المعلومات التي أتاحها لها صاحب الشكوى ومحاميه والدولة الطرف، </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ab/>
      </w:r>
      <w:r w:rsidRPr="000203D9">
        <w:rPr>
          <w:rFonts w:hint="cs"/>
          <w:i/>
          <w:iCs/>
          <w:spacing w:val="0"/>
          <w:kern w:val="0"/>
          <w:sz w:val="20"/>
          <w:rtl/>
          <w:lang w:val="fr-CH"/>
        </w:rPr>
        <w:t xml:space="preserve">تعتمد </w:t>
      </w:r>
      <w:r w:rsidRPr="000203D9">
        <w:rPr>
          <w:rFonts w:hint="cs"/>
          <w:spacing w:val="0"/>
          <w:kern w:val="0"/>
          <w:sz w:val="20"/>
          <w:rtl/>
          <w:lang w:val="fr-CH"/>
        </w:rPr>
        <w:t>ما يلي:</w:t>
      </w:r>
    </w:p>
    <w:p w:rsidR="000203D9" w:rsidRPr="000203D9" w:rsidRDefault="000203D9" w:rsidP="000203D9">
      <w:pPr>
        <w:pStyle w:val="H1GA"/>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قرار بموجب الفقرة 7 من المادة 22 من اتفاقية مناهضة التعذيب</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1-1</w:t>
      </w:r>
      <w:r w:rsidRPr="000203D9">
        <w:rPr>
          <w:rFonts w:hint="cs"/>
          <w:spacing w:val="0"/>
          <w:kern w:val="0"/>
          <w:sz w:val="20"/>
          <w:rtl/>
          <w:lang w:val="fr-CH"/>
        </w:rPr>
        <w:tab/>
        <w:t>صاحب الشكوى هو أبو القاسم فرج الله، المولود في 1 تشرين الثاني/</w:t>
      </w:r>
      <w:r w:rsidR="00A73ECA">
        <w:rPr>
          <w:rFonts w:hint="cs"/>
          <w:spacing w:val="0"/>
          <w:kern w:val="0"/>
          <w:sz w:val="20"/>
          <w:rtl/>
          <w:lang w:val="fr-CH"/>
        </w:rPr>
        <w:t xml:space="preserve"> </w:t>
      </w:r>
      <w:r w:rsidRPr="000203D9">
        <w:rPr>
          <w:rFonts w:hint="cs"/>
          <w:spacing w:val="0"/>
          <w:kern w:val="0"/>
          <w:sz w:val="20"/>
          <w:rtl/>
          <w:lang w:val="fr-CH"/>
        </w:rPr>
        <w:t>نوفمبر</w:t>
      </w:r>
      <w:r w:rsidRPr="000203D9">
        <w:rPr>
          <w:rFonts w:hint="eastAsia"/>
          <w:spacing w:val="0"/>
          <w:kern w:val="0"/>
          <w:sz w:val="20"/>
          <w:rtl/>
          <w:lang w:val="fr-CH"/>
        </w:rPr>
        <w:t> </w:t>
      </w:r>
      <w:r w:rsidRPr="000203D9">
        <w:rPr>
          <w:rFonts w:hint="cs"/>
          <w:spacing w:val="0"/>
          <w:kern w:val="0"/>
          <w:sz w:val="20"/>
          <w:rtl/>
          <w:lang w:val="fr-CH"/>
        </w:rPr>
        <w:t>1956، فضلا عن زوجته ميترا بيشان، المولودة في 27 أيلول/سبتمبر 1962، وابنهما أرمين فرج الله، المولود في 6 كانون الأول/ديسمبر 1992</w:t>
      </w:r>
      <w:r w:rsidRPr="000203D9">
        <w:rPr>
          <w:rFonts w:hint="cs"/>
          <w:spacing w:val="0"/>
          <w:kern w:val="0"/>
          <w:sz w:val="20"/>
          <w:vertAlign w:val="superscript"/>
          <w:rtl/>
          <w:lang w:val="fr-CH"/>
        </w:rPr>
        <w:t>(</w:t>
      </w:r>
      <w:r w:rsidRPr="000203D9">
        <w:rPr>
          <w:rStyle w:val="FootnoteReference"/>
          <w:spacing w:val="0"/>
          <w:sz w:val="20"/>
          <w:rtl/>
          <w:lang w:val="fr-CH"/>
        </w:rPr>
        <w:footnoteReference w:id="260"/>
      </w:r>
      <w:r w:rsidRPr="000203D9">
        <w:rPr>
          <w:rFonts w:hint="cs"/>
          <w:spacing w:val="0"/>
          <w:kern w:val="0"/>
          <w:sz w:val="20"/>
          <w:vertAlign w:val="superscript"/>
          <w:rtl/>
          <w:lang w:val="fr-CH"/>
        </w:rPr>
        <w:t>)</w:t>
      </w:r>
      <w:r w:rsidRPr="000203D9">
        <w:rPr>
          <w:rFonts w:hint="cs"/>
          <w:spacing w:val="0"/>
          <w:kern w:val="0"/>
          <w:sz w:val="20"/>
          <w:rtl/>
          <w:lang w:val="fr-CH"/>
        </w:rPr>
        <w:t>. وجميعهم من رعايا جمهورية إيران الإسلامية. ويؤكد صاحب الشكوى أن إعادتهم إلى إيران تشكل انتهاكاً من جانب سويسرا للمادة 3 من الاتفاقية. ويمثله محام، هو أورس إبنوتير.</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1-2</w:t>
      </w:r>
      <w:r w:rsidRPr="000203D9">
        <w:rPr>
          <w:rFonts w:hint="cs"/>
          <w:spacing w:val="0"/>
          <w:kern w:val="0"/>
          <w:sz w:val="20"/>
          <w:rtl/>
          <w:lang w:val="fr-CH"/>
        </w:rPr>
        <w:tab/>
        <w:t>ووفقاً للفقرة 3 من المادة 22 من الاتفاقية، أحالت اللجنة الشكوى إلى الدولة الطرف في 23 نيسان/أبريل 2009، وطلبت إليها في الوقت نفسه، عملاً بالفقرة 1 من المادة 108 من نظامها الداخلي، عدم طرد صاحب الشكوى وأسرته إلى جمهورية إيران الإسلامية ما دامت قضيته قيد النظر.</w:t>
      </w:r>
    </w:p>
    <w:p w:rsidR="000203D9" w:rsidRPr="000203D9" w:rsidRDefault="000203D9" w:rsidP="000203D9">
      <w:pPr>
        <w:pStyle w:val="H23GA"/>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الوقائع كما عرضها صاحب الشكوى</w:t>
      </w:r>
    </w:p>
    <w:p w:rsidR="000203D9" w:rsidRPr="000203D9" w:rsidRDefault="000203D9" w:rsidP="000203D9">
      <w:pPr>
        <w:pStyle w:val="SingleTxtGA"/>
        <w:jc w:val="lowKashida"/>
        <w:rPr>
          <w:rFonts w:hint="cs"/>
          <w:spacing w:val="-2"/>
          <w:kern w:val="0"/>
          <w:sz w:val="20"/>
          <w:rtl/>
          <w:lang w:val="fr-CH"/>
        </w:rPr>
      </w:pPr>
      <w:r w:rsidRPr="000203D9">
        <w:rPr>
          <w:rFonts w:hint="cs"/>
          <w:spacing w:val="-2"/>
          <w:kern w:val="0"/>
          <w:sz w:val="20"/>
          <w:rtl/>
          <w:lang w:val="fr-CH"/>
        </w:rPr>
        <w:t>2-1</w:t>
      </w:r>
      <w:r w:rsidRPr="000203D9">
        <w:rPr>
          <w:rFonts w:hint="cs"/>
          <w:spacing w:val="-2"/>
          <w:kern w:val="0"/>
          <w:sz w:val="20"/>
          <w:rtl/>
          <w:lang w:val="fr-CH"/>
        </w:rPr>
        <w:tab/>
        <w:t>صاحب الشكوى وأفراد أسرته من الرعايا الإيرانيين، ويدّعي أنهم غادروا جمهورية إيران الإسلامية لأسباب سياسية</w:t>
      </w:r>
      <w:r w:rsidRPr="000203D9">
        <w:rPr>
          <w:rFonts w:hint="cs"/>
          <w:spacing w:val="-2"/>
          <w:kern w:val="0"/>
          <w:sz w:val="20"/>
          <w:vertAlign w:val="superscript"/>
          <w:rtl/>
          <w:lang w:val="fr-CH"/>
        </w:rPr>
        <w:t>(</w:t>
      </w:r>
      <w:r w:rsidRPr="000203D9">
        <w:rPr>
          <w:rStyle w:val="FootnoteReference"/>
          <w:spacing w:val="-2"/>
          <w:sz w:val="20"/>
          <w:rtl/>
          <w:lang w:val="fr-CH"/>
        </w:rPr>
        <w:footnoteReference w:id="261"/>
      </w:r>
      <w:r w:rsidRPr="000203D9">
        <w:rPr>
          <w:rFonts w:hint="cs"/>
          <w:spacing w:val="-2"/>
          <w:kern w:val="0"/>
          <w:sz w:val="20"/>
          <w:vertAlign w:val="superscript"/>
          <w:rtl/>
          <w:lang w:val="fr-CH"/>
        </w:rPr>
        <w:t>)</w:t>
      </w:r>
      <w:r w:rsidRPr="000203D9">
        <w:rPr>
          <w:rFonts w:hint="cs"/>
          <w:spacing w:val="-2"/>
          <w:kern w:val="0"/>
          <w:sz w:val="20"/>
          <w:rtl/>
          <w:lang w:val="fr-CH"/>
        </w:rPr>
        <w:t>. وقدم صاحب الشكوى، عند وصوله إلى سويسرا، طلب لجوء في 3 أيلول/سبتمبر 2000، رفضه المكتب الاتحادي للاجئين (الذي يسمّى الآن المكتب الاتحادي للهجرة) في 19 نيسان/أبريل 2002. ورفضت الطعن في هذا القرار اللجنة السويسرية للطعون في مجال اللجوء (أُدمجت حالياً في إطار المحكمة الإدارية الاتحادية) في 15 حزيران/يونيه 2004. وقدمت زوجة صاحب الشكوى، ميترا بيشان، طلباً أولاً للجوء، لها ولابنهما أرمين، في 20 آذار/مارس 2003</w:t>
      </w:r>
      <w:r w:rsidRPr="000203D9">
        <w:rPr>
          <w:rFonts w:hint="cs"/>
          <w:spacing w:val="-2"/>
          <w:kern w:val="0"/>
          <w:sz w:val="20"/>
          <w:vertAlign w:val="superscript"/>
          <w:rtl/>
          <w:lang w:val="fr-CH"/>
        </w:rPr>
        <w:t>(</w:t>
      </w:r>
      <w:r w:rsidRPr="000203D9">
        <w:rPr>
          <w:rStyle w:val="FootnoteReference"/>
          <w:spacing w:val="-2"/>
          <w:sz w:val="20"/>
          <w:rtl/>
          <w:lang w:val="fr-CH"/>
        </w:rPr>
        <w:footnoteReference w:id="262"/>
      </w:r>
      <w:r w:rsidRPr="000203D9">
        <w:rPr>
          <w:rFonts w:hint="cs"/>
          <w:spacing w:val="-2"/>
          <w:kern w:val="0"/>
          <w:sz w:val="20"/>
          <w:vertAlign w:val="superscript"/>
          <w:rtl/>
          <w:lang w:val="fr-CH"/>
        </w:rPr>
        <w:t>)</w:t>
      </w:r>
      <w:r w:rsidRPr="000203D9">
        <w:rPr>
          <w:rFonts w:hint="cs"/>
          <w:spacing w:val="-2"/>
          <w:kern w:val="0"/>
          <w:sz w:val="20"/>
          <w:rtl/>
          <w:lang w:val="fr-CH"/>
        </w:rPr>
        <w:t>. فرفض المكتب الاتحادي للاجئين هذا الطلب في 18 آذار/مارس 2004، وأكدت القرار اللجنة السويسرية للطعون في مجال اللجوء في</w:t>
      </w:r>
      <w:r w:rsidRPr="000203D9">
        <w:rPr>
          <w:rFonts w:hint="eastAsia"/>
          <w:spacing w:val="-2"/>
          <w:kern w:val="0"/>
          <w:sz w:val="20"/>
          <w:rtl/>
          <w:lang w:val="fr-CH"/>
        </w:rPr>
        <w:t> </w:t>
      </w:r>
      <w:r w:rsidRPr="000203D9">
        <w:rPr>
          <w:rFonts w:hint="cs"/>
          <w:spacing w:val="-2"/>
          <w:kern w:val="0"/>
          <w:sz w:val="20"/>
          <w:rtl/>
          <w:lang w:val="fr-CH"/>
        </w:rPr>
        <w:t>15 حزيران/يونيه 2004. وفي 6 نيسان/أبريل 2005، طلب صاحب الشكوى إعادة</w:t>
      </w:r>
      <w:r w:rsidRPr="000203D9">
        <w:rPr>
          <w:rFonts w:hint="eastAsia"/>
          <w:spacing w:val="-2"/>
          <w:kern w:val="0"/>
          <w:sz w:val="20"/>
          <w:rtl/>
          <w:lang w:val="fr-CH"/>
        </w:rPr>
        <w:t> </w:t>
      </w:r>
      <w:r w:rsidRPr="000203D9">
        <w:rPr>
          <w:rFonts w:hint="cs"/>
          <w:spacing w:val="-2"/>
          <w:kern w:val="0"/>
          <w:sz w:val="20"/>
          <w:rtl/>
          <w:lang w:val="fr-CH"/>
        </w:rPr>
        <w:t>النظر في قراري المكتب الاتحادي للاجئين المؤرخين 19 نيسان/أبريل 2002 و18 آذار/مارس 2004. فرفض المكتب الاتحادي للهجرة هذا الطلب في 10 آب/أغسطس</w:t>
      </w:r>
      <w:r w:rsidRPr="000203D9">
        <w:rPr>
          <w:rFonts w:hint="eastAsia"/>
          <w:spacing w:val="-2"/>
          <w:kern w:val="0"/>
          <w:sz w:val="20"/>
          <w:rtl/>
          <w:lang w:val="fr-CH"/>
        </w:rPr>
        <w:t> </w:t>
      </w:r>
      <w:r w:rsidRPr="000203D9">
        <w:rPr>
          <w:rFonts w:hint="cs"/>
          <w:spacing w:val="-2"/>
          <w:kern w:val="0"/>
          <w:sz w:val="20"/>
          <w:rtl/>
          <w:lang w:val="fr-CH"/>
        </w:rPr>
        <w:t>2005.</w:t>
      </w:r>
    </w:p>
    <w:p w:rsidR="000203D9" w:rsidRPr="000203D9" w:rsidRDefault="000203D9" w:rsidP="000203D9">
      <w:pPr>
        <w:pStyle w:val="SingleTxtGA"/>
        <w:jc w:val="lowKashida"/>
        <w:rPr>
          <w:rFonts w:hint="cs"/>
          <w:spacing w:val="-2"/>
          <w:kern w:val="0"/>
          <w:sz w:val="20"/>
          <w:rtl/>
          <w:lang w:val="fr-CH"/>
        </w:rPr>
      </w:pPr>
      <w:r w:rsidRPr="000203D9">
        <w:rPr>
          <w:rFonts w:hint="cs"/>
          <w:spacing w:val="-2"/>
          <w:kern w:val="0"/>
          <w:sz w:val="20"/>
          <w:rtl/>
          <w:lang w:val="fr-CH"/>
        </w:rPr>
        <w:t>2-2</w:t>
      </w:r>
      <w:r w:rsidRPr="000203D9">
        <w:rPr>
          <w:rFonts w:hint="cs"/>
          <w:spacing w:val="-2"/>
          <w:kern w:val="0"/>
          <w:sz w:val="20"/>
          <w:rtl/>
          <w:lang w:val="fr-CH"/>
        </w:rPr>
        <w:tab/>
        <w:t>ويؤكد صاحب الشكوى أنه انضم منذ تشرين الأول/أكتوبر 2005 إلى الرابطة الديمقراطية لشؤون اللاجئين (الرابطة)، وهي منظمة للشتات الإيراني تنقد بشدة، حسب زعمه، النظام الإيراني الحالي، وتقوم بتوعية الرأي العام بحالة حقوق الإنسان المزرية في جمهورية إيران الإسلامية، بما فيها مسألة عقوبة الإعدام والتمييز وقمع أفراد المعارضة والأقليات.</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2-3</w:t>
      </w:r>
      <w:r w:rsidRPr="000203D9">
        <w:rPr>
          <w:rFonts w:hint="cs"/>
          <w:spacing w:val="0"/>
          <w:kern w:val="0"/>
          <w:sz w:val="20"/>
          <w:rtl/>
          <w:lang w:val="fr-CH"/>
        </w:rPr>
        <w:tab/>
        <w:t xml:space="preserve">وفي نيسان/أبريل 2007، انتُخب صاحب الشكوى من جانب اللجنة التنفيذية للرابطة ممثلاً للرابطة على صعيد كانتون أوبفالد. وكتب بصفته هذه مقالات تشجب النظام الإيراني الحالي، ووزع منشورات للمنظمة، وشارك في أحداث نظمتها منظمات غير حكومية وكنائس محلية في الكانتون الذي يقيم فيه، بهدف توجيه انتباه الرأي العام إلى انتهاك جمهورية إيران الإسلامية لحقوق الإنسان. وفي إطار الكانتون، يشارك صاحب الشكوى في اجتماعات قيادة الرابطة، ويسهم في التخطيط لأنشطتها الاستراتيجية. ويعمل بشكل وثيق مع اللجنة التنفيذية ومع مديري الرابطة ونائب مديرها. </w:t>
      </w:r>
    </w:p>
    <w:p w:rsidR="000203D9" w:rsidRPr="000203D9" w:rsidRDefault="000203D9" w:rsidP="000203D9">
      <w:pPr>
        <w:pStyle w:val="SingleTxtGA"/>
        <w:jc w:val="lowKashida"/>
        <w:rPr>
          <w:spacing w:val="0"/>
          <w:kern w:val="0"/>
          <w:sz w:val="20"/>
          <w:lang w:val="fr-CH"/>
        </w:rPr>
      </w:pPr>
      <w:r w:rsidRPr="000203D9">
        <w:rPr>
          <w:rFonts w:hint="cs"/>
          <w:spacing w:val="0"/>
          <w:kern w:val="0"/>
          <w:sz w:val="20"/>
          <w:rtl/>
          <w:lang w:val="fr-CH"/>
        </w:rPr>
        <w:t>2-4</w:t>
      </w:r>
      <w:r w:rsidRPr="000203D9">
        <w:rPr>
          <w:rFonts w:hint="cs"/>
          <w:spacing w:val="0"/>
          <w:kern w:val="0"/>
          <w:sz w:val="20"/>
          <w:rtl/>
          <w:lang w:val="fr-CH"/>
        </w:rPr>
        <w:tab/>
        <w:t>وقدم صاحب الشكوى، من منطلق أنشطته السياسية في سويسرا، طلبَ لجوءٍ جديداً في 24 تموز/يوليه 2006، رفضه المكتب الاتحادي للهجرة في 4 تشرين الأول/أكتوبر</w:t>
      </w:r>
      <w:r w:rsidRPr="000203D9">
        <w:rPr>
          <w:rFonts w:hint="eastAsia"/>
          <w:spacing w:val="0"/>
          <w:kern w:val="0"/>
          <w:sz w:val="20"/>
          <w:rtl/>
          <w:lang w:val="fr-CH"/>
        </w:rPr>
        <w:t> </w:t>
      </w:r>
      <w:r w:rsidRPr="000203D9">
        <w:rPr>
          <w:rFonts w:hint="cs"/>
          <w:spacing w:val="0"/>
          <w:kern w:val="0"/>
          <w:sz w:val="20"/>
          <w:rtl/>
          <w:lang w:val="fr-CH"/>
        </w:rPr>
        <w:t>2007. ورأت المحكمة أن صاحب الشكوى ما كان ليلفت انتباه السلطات الإيرانية، سواء أكان ذلك بصفته السياسية أم بأنشطته. وأقرت المحكمة الإدارية الاتحادية هذا القرار في 19 آذار/مارس 2009. ورأت المحكمة أن أجهزة المخابرات الإيرانية توثق أنشطة الأشخاص الذين يضطلعون بوظائف تتجاوز ما يقوم به أشخاص غير بارزين في المنفى من احتجاجات سياسية، وأن السلطات الإيرانية تدرك أن ملتمسي اللجوء يسعون للتركيز على هذه الأنشطة بهدف الحصول على تصاريح إقامة في البلد المستقبل. ورأت المحكمة أيضا أن صاحب الشكوى غير معروف بما يكفي لجذب انتباه السلطات الإيرانية. ومجرد احتمال التعرف عليه لا ينطوي على خطر التعرض للاضطهاد، وأن المعارضين الذين يشكلون تهديداً حقيقياً للنظام</w:t>
      </w:r>
      <w:r w:rsidR="00B35B26">
        <w:rPr>
          <w:rFonts w:hint="cs"/>
          <w:spacing w:val="0"/>
          <w:kern w:val="0"/>
          <w:sz w:val="20"/>
          <w:rtl/>
          <w:lang w:val="fr-CH"/>
        </w:rPr>
        <w:t xml:space="preserve"> </w:t>
      </w:r>
      <w:r w:rsidRPr="000203D9">
        <w:rPr>
          <w:rFonts w:hint="cs"/>
          <w:spacing w:val="0"/>
          <w:kern w:val="0"/>
          <w:sz w:val="20"/>
          <w:rtl/>
          <w:lang w:val="fr-CH"/>
        </w:rPr>
        <w:t>لشخصهم هم وحدهم الذين يخضعون للمراقبة ويُسجلون في قوائم المطلوبين. ورأت المحكمة أن اتصالات صاحب الشكوى الوثيقة والمنتَظمة بقيادة الرابطة على صعيد الكانتون وعلى الصعيد الوطني تمثل مجرد أنشطة داخلية للمنظمة، ولا تمنح صاحب الشكوى مركزاً أبرز من مركز عضو مشارك عادي. وعليه، رأت المحكمة أن هذه الأنشطة لا تشكل أي خطر عليه من جانب النظام الإيراني. وبالمثل، رأت المحكمة أن منشورات صاحب الشكوى ليس لها تأثير على الذي قد يتعرض له، نظراً إلى أن هناك كتابات مشابهة رائجة تتضمن انتقادات في شكل قوالب نمطية للنظام القائم وتسعى لتشويه سمعته، وتصدر بانتظام</w:t>
      </w:r>
      <w:r>
        <w:rPr>
          <w:rFonts w:hint="eastAsia"/>
          <w:spacing w:val="0"/>
          <w:kern w:val="0"/>
          <w:sz w:val="20"/>
          <w:rtl/>
          <w:lang w:val="fr-CH"/>
        </w:rPr>
        <w:t> </w:t>
      </w:r>
      <w:r w:rsidRPr="000203D9">
        <w:rPr>
          <w:rFonts w:hint="cs"/>
          <w:spacing w:val="0"/>
          <w:kern w:val="0"/>
          <w:sz w:val="20"/>
          <w:rtl/>
          <w:lang w:val="fr-CH"/>
        </w:rPr>
        <w:t>على مختلف مواقع شبكة الإنترنت. وعقب صدور هذا القرار، أصدر المكتب الاتحادي للهجرة قرارا ب</w:t>
      </w:r>
      <w:r w:rsidR="00B35B26">
        <w:rPr>
          <w:rFonts w:hint="cs"/>
          <w:spacing w:val="0"/>
          <w:kern w:val="0"/>
          <w:sz w:val="20"/>
          <w:rtl/>
          <w:lang w:val="fr-CH"/>
        </w:rPr>
        <w:t>م</w:t>
      </w:r>
      <w:r w:rsidRPr="000203D9">
        <w:rPr>
          <w:rFonts w:hint="cs"/>
          <w:spacing w:val="0"/>
          <w:kern w:val="0"/>
          <w:sz w:val="20"/>
          <w:rtl/>
          <w:lang w:val="fr-CH"/>
        </w:rPr>
        <w:t>غادرة صاحب الشكوى وأسرته لسويسرا في موعد أقصاه 21 نيسان/أبريل 2009. ويشكل هذا الإجراء الأخير موضوع الشكوى الحالية التي قدمها صاحبها إلى اللجنة. ويؤكد صاحب الشكوى أن المحكمة رأت خطأً، في قرارها الصادر في</w:t>
      </w:r>
      <w:r>
        <w:rPr>
          <w:rFonts w:hint="eastAsia"/>
          <w:spacing w:val="0"/>
          <w:kern w:val="0"/>
          <w:sz w:val="20"/>
          <w:rtl/>
          <w:lang w:val="fr-CH"/>
        </w:rPr>
        <w:t> </w:t>
      </w:r>
      <w:r w:rsidRPr="000203D9">
        <w:rPr>
          <w:rFonts w:hint="cs"/>
          <w:spacing w:val="0"/>
          <w:kern w:val="0"/>
          <w:sz w:val="20"/>
          <w:rtl/>
          <w:lang w:val="fr-CH"/>
        </w:rPr>
        <w:t>19 آذار/مارس 2009، أن أنشطته بصفته ممثلاً للرابطة على صعيد كانتون أوبفالد، وجميع الأنشطة المتفرعة عنها، لا تعرضه لمواجهة خطر التعرض للاضطهاد في حالة ترحيله إلى جمهورية إيران الإسلامية.</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2-5</w:t>
      </w:r>
      <w:r w:rsidRPr="000203D9">
        <w:rPr>
          <w:rFonts w:hint="cs"/>
          <w:spacing w:val="0"/>
          <w:kern w:val="0"/>
          <w:sz w:val="20"/>
          <w:rtl/>
          <w:lang w:val="fr-CH"/>
        </w:rPr>
        <w:tab/>
        <w:t>ويؤكد صاحب الشكوى أن استنتاجات المحكمة المؤرخة 19 آذار/مارس 2009 تختلف اختلافاً شديداً عن استنتاجاتها السابقة في حالات مماثلة، إذ إنها منحت حق اللجوء لممثلين عن الرابطة على صعيد الكانتونات عندما كانوا يشغلون وظائف قيادية فيها، فاعترفت بذلك بالمخاطر التي يتعرض لها المعارضون المذكورون</w:t>
      </w:r>
      <w:r w:rsidRPr="000203D9">
        <w:rPr>
          <w:rFonts w:hint="cs"/>
          <w:spacing w:val="0"/>
          <w:kern w:val="0"/>
          <w:sz w:val="20"/>
          <w:vertAlign w:val="superscript"/>
          <w:rtl/>
          <w:lang w:val="fr-CH"/>
        </w:rPr>
        <w:t>(</w:t>
      </w:r>
      <w:r w:rsidRPr="000203D9">
        <w:rPr>
          <w:rStyle w:val="FootnoteReference"/>
          <w:spacing w:val="0"/>
          <w:sz w:val="20"/>
          <w:rtl/>
          <w:lang w:val="fr-CH"/>
        </w:rPr>
        <w:footnoteReference w:id="263"/>
      </w:r>
      <w:r w:rsidRPr="000203D9">
        <w:rPr>
          <w:rFonts w:hint="cs"/>
          <w:spacing w:val="0"/>
          <w:kern w:val="0"/>
          <w:sz w:val="20"/>
          <w:vertAlign w:val="superscript"/>
          <w:rtl/>
          <w:lang w:val="fr-CH"/>
        </w:rPr>
        <w:t>)</w:t>
      </w:r>
      <w:r w:rsidRPr="000203D9">
        <w:rPr>
          <w:rFonts w:hint="cs"/>
          <w:spacing w:val="0"/>
          <w:kern w:val="0"/>
          <w:sz w:val="20"/>
          <w:rtl/>
          <w:lang w:val="fr-CH"/>
        </w:rPr>
        <w:t>. ويضيف أن المكتب الاتحادي للهجرة قرر من قبل أن ممثلي الرابطة على صعيد الكانتونات، بغض النظر عن حجم الكانتون، يواجهون خطر التعرض للاضطهاد في حالة العودة إلى جمهورية إيران الإسلامية</w:t>
      </w:r>
      <w:r w:rsidRPr="000203D9">
        <w:rPr>
          <w:rFonts w:hint="cs"/>
          <w:spacing w:val="0"/>
          <w:kern w:val="0"/>
          <w:sz w:val="20"/>
          <w:vertAlign w:val="superscript"/>
          <w:rtl/>
          <w:lang w:val="fr-CH"/>
        </w:rPr>
        <w:t>(</w:t>
      </w:r>
      <w:r w:rsidRPr="00B35B26">
        <w:rPr>
          <w:rStyle w:val="FootnoteReference"/>
          <w:spacing w:val="0"/>
          <w:sz w:val="2"/>
          <w:szCs w:val="2"/>
          <w:rtl/>
          <w:lang w:val="fr-CH"/>
        </w:rPr>
        <w:footnoteReference w:id="264"/>
      </w:r>
      <w:r w:rsidR="00B35B26" w:rsidRPr="00B35B26">
        <w:rPr>
          <w:rFonts w:hint="cs"/>
          <w:spacing w:val="0"/>
          <w:kern w:val="0"/>
          <w:sz w:val="30"/>
          <w:vertAlign w:val="superscript"/>
          <w:rtl/>
          <w:lang w:val="fr-CH"/>
        </w:rPr>
        <w:t>ﻫ</w:t>
      </w:r>
      <w:r w:rsidRPr="000203D9">
        <w:rPr>
          <w:rFonts w:hint="cs"/>
          <w:spacing w:val="0"/>
          <w:kern w:val="0"/>
          <w:sz w:val="20"/>
          <w:vertAlign w:val="superscript"/>
          <w:rtl/>
          <w:lang w:val="fr-CH"/>
        </w:rPr>
        <w:t>)</w:t>
      </w:r>
      <w:r w:rsidRPr="000203D9">
        <w:rPr>
          <w:rFonts w:hint="cs"/>
          <w:spacing w:val="0"/>
          <w:kern w:val="0"/>
          <w:sz w:val="20"/>
          <w:rtl/>
          <w:lang w:val="fr-CH"/>
        </w:rPr>
        <w:t>. وفضلاً عن ذلك، يدعي صاحب الشكوى أن المحكمة رأت صراحة أن وظيفة ممثل الرابطة على صعيد الكانتون تؤدي إلى مواجهة خطر حقيقي بالتعرّض للاضطهاد في حالة الإعادة القسرية، وأن خوفه من التعرض لخطر جوهري إذا عاد إلى إيران خوف مشروع تماماً</w:t>
      </w:r>
      <w:r w:rsidRPr="000203D9">
        <w:rPr>
          <w:rFonts w:hint="cs"/>
          <w:spacing w:val="0"/>
          <w:kern w:val="0"/>
          <w:sz w:val="20"/>
          <w:vertAlign w:val="superscript"/>
          <w:rtl/>
          <w:lang w:val="fr-CH"/>
        </w:rPr>
        <w:t>(</w:t>
      </w:r>
      <w:r w:rsidRPr="000203D9">
        <w:rPr>
          <w:rStyle w:val="FootnoteReference"/>
          <w:spacing w:val="0"/>
          <w:sz w:val="20"/>
          <w:rtl/>
          <w:lang w:val="fr-CH"/>
        </w:rPr>
        <w:footnoteReference w:id="265"/>
      </w:r>
      <w:r w:rsidRPr="000203D9">
        <w:rPr>
          <w:rFonts w:hint="cs"/>
          <w:spacing w:val="0"/>
          <w:kern w:val="0"/>
          <w:sz w:val="20"/>
          <w:vertAlign w:val="superscript"/>
          <w:rtl/>
          <w:lang w:val="fr-CH"/>
        </w:rPr>
        <w:t>)</w:t>
      </w:r>
      <w:r w:rsidRPr="000203D9">
        <w:rPr>
          <w:rFonts w:hint="cs"/>
          <w:spacing w:val="0"/>
          <w:kern w:val="0"/>
          <w:sz w:val="20"/>
          <w:rtl/>
          <w:lang w:val="fr-CH"/>
        </w:rPr>
        <w:t>. وفي حكم تالٍ مؤرخ 19 شباط/فبراير 2009، منحت المحكمة اللجوء لعضو من أعضاء الرابطة لم يكن يشغل وظيفة ممثل عن كانتون، بل كان نشطاً جداً داخل المنظمة عن طريق المشاركة في المظاهرات، وتحرير مقالات ناقدة للنظام الإيراني الحالي ينشرها على شبكة الإنترنت، وتنظيم مظاهرات، والانخراط في تنظيم أنشطة الرابطة. وفي القرار نفسه، رأت المحكمة بالتالي أن صاحب الشكوى يسهل التعرف عليه في الرابطة بسبب الدور الذي يضطلع به، ويعتبر بالتالي أنه يشكل خطراً على السلطات، مما يؤدي إلى مواجهة خطر التعرض للاضطهاد</w:t>
      </w:r>
      <w:r w:rsidRPr="000203D9">
        <w:rPr>
          <w:rFonts w:hint="cs"/>
          <w:spacing w:val="0"/>
          <w:kern w:val="0"/>
          <w:sz w:val="20"/>
          <w:vertAlign w:val="superscript"/>
          <w:rtl/>
          <w:lang w:val="fr-CH"/>
        </w:rPr>
        <w:t>(</w:t>
      </w:r>
      <w:r w:rsidRPr="000203D9">
        <w:rPr>
          <w:rStyle w:val="FootnoteReference"/>
          <w:spacing w:val="0"/>
          <w:sz w:val="20"/>
          <w:rtl/>
          <w:lang w:val="fr-CH"/>
        </w:rPr>
        <w:footnoteReference w:id="266"/>
      </w:r>
      <w:r w:rsidRPr="000203D9">
        <w:rPr>
          <w:rFonts w:hint="cs"/>
          <w:spacing w:val="0"/>
          <w:kern w:val="0"/>
          <w:sz w:val="20"/>
          <w:vertAlign w:val="superscript"/>
          <w:rtl/>
          <w:lang w:val="fr-CH"/>
        </w:rPr>
        <w:t>)</w:t>
      </w:r>
      <w:r w:rsidRPr="000203D9">
        <w:rPr>
          <w:rFonts w:hint="cs"/>
          <w:spacing w:val="0"/>
          <w:kern w:val="0"/>
          <w:sz w:val="20"/>
          <w:rtl/>
          <w:lang w:val="fr-CH"/>
        </w:rPr>
        <w:t>. ويضيف صاحب الشكوى أنه توجد، علاوة على هذه القرارات القضائية، تقارير عديدة موثوقة تؤكد أن السلطات الإيرانية تراقب عن كثب الأنشطة السياسية التي يمارسها الشتات الإيراني وتعد تقارير بشأنها</w:t>
      </w:r>
      <w:r w:rsidRPr="000203D9">
        <w:rPr>
          <w:rFonts w:hint="cs"/>
          <w:spacing w:val="0"/>
          <w:kern w:val="0"/>
          <w:sz w:val="20"/>
          <w:vertAlign w:val="superscript"/>
          <w:rtl/>
          <w:lang w:val="fr-CH"/>
        </w:rPr>
        <w:t>(</w:t>
      </w:r>
      <w:r w:rsidRPr="000203D9">
        <w:rPr>
          <w:rStyle w:val="FootnoteReference"/>
          <w:spacing w:val="0"/>
          <w:sz w:val="20"/>
          <w:rtl/>
          <w:lang w:val="fr-CH"/>
        </w:rPr>
        <w:footnoteReference w:id="267"/>
      </w:r>
      <w:r w:rsidRPr="000203D9">
        <w:rPr>
          <w:rFonts w:hint="cs"/>
          <w:spacing w:val="0"/>
          <w:kern w:val="0"/>
          <w:sz w:val="20"/>
          <w:vertAlign w:val="superscript"/>
          <w:rtl/>
          <w:lang w:val="fr-CH"/>
        </w:rPr>
        <w:t>)</w:t>
      </w:r>
      <w:r w:rsidRPr="000203D9">
        <w:rPr>
          <w:rFonts w:hint="cs"/>
          <w:spacing w:val="0"/>
          <w:kern w:val="0"/>
          <w:sz w:val="20"/>
          <w:rtl/>
          <w:lang w:val="fr-CH"/>
        </w:rPr>
        <w:t>.</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2-6</w:t>
      </w:r>
      <w:r w:rsidRPr="000203D9">
        <w:rPr>
          <w:rFonts w:hint="cs"/>
          <w:spacing w:val="0"/>
          <w:kern w:val="0"/>
          <w:sz w:val="20"/>
          <w:rtl/>
          <w:lang w:val="fr-CH"/>
        </w:rPr>
        <w:tab/>
        <w:t>وفي ضوء التقارير السالفة الذكر والقرارات السابقة التي اتخذتها المحكمة، يعرب صاحب الشكوى عن استغرابه للاستنتاجات التي توصل إليها مختلف الهيئات، من أنه لن يتعرض لخطر إذا عاد إلى جمهورية إيران الإسلامية. ويؤكد مجدداً أنه يمثل الرابطة على صعيد الكانتون، وأنه يشغل بصفته هذه مركزاً مسؤولاً، وأن اسمه وعنوانه منشوران</w:t>
      </w:r>
      <w:r w:rsidRPr="000203D9">
        <w:rPr>
          <w:rFonts w:hint="cs"/>
          <w:spacing w:val="0"/>
          <w:kern w:val="0"/>
          <w:sz w:val="20"/>
          <w:vertAlign w:val="superscript"/>
          <w:rtl/>
          <w:lang w:val="fr-CH"/>
        </w:rPr>
        <w:t>(</w:t>
      </w:r>
      <w:r w:rsidRPr="000203D9">
        <w:rPr>
          <w:rStyle w:val="FootnoteReference"/>
          <w:spacing w:val="0"/>
          <w:sz w:val="20"/>
          <w:rtl/>
          <w:lang w:val="fr-CH"/>
        </w:rPr>
        <w:footnoteReference w:id="268"/>
      </w:r>
      <w:r w:rsidRPr="000203D9">
        <w:rPr>
          <w:rFonts w:hint="cs"/>
          <w:spacing w:val="0"/>
          <w:kern w:val="0"/>
          <w:sz w:val="20"/>
          <w:vertAlign w:val="superscript"/>
          <w:rtl/>
          <w:lang w:val="fr-CH"/>
        </w:rPr>
        <w:t>)</w:t>
      </w:r>
      <w:r w:rsidRPr="000203D9">
        <w:rPr>
          <w:rFonts w:hint="cs"/>
          <w:spacing w:val="0"/>
          <w:kern w:val="0"/>
          <w:sz w:val="20"/>
          <w:rtl/>
          <w:lang w:val="fr-CH"/>
        </w:rPr>
        <w:t>. وهو يخطط للعديد من مظاهرات المنظمة واجتماعاتها وينسقها، وتتجاوز أنشطته مجرد المشاركة في هذه الحركات ونشر المقالات. ويؤكد مجدداً أنه يشارك في التخطيط الاستراتيجي للمنظمة، ويتعاون تعاوناً وثيقاً مع مديرها. ولهذه الأسباب، يؤكد صاحب الشكوى مجدداً أن من المحتمل جداً أن يكون قد جذب انتباه السلطات الإيرانية، وأن تعتبر هذه السلطات أنشطته السياسية لا تسيء إلى سمعة النظام الحالي فحسب - وهو ما يشكل في حد ذاته جريمة في إيران - بل تشكل أيضاً تهديداً للأمن الداخلي للبلد. ويضيف أن المحكمة الإدارية الاتحادية خلصت مؤخراً إلى أن وظائف الممثل عن الرابطة على صعيد الكانتون تؤدي إلى التعرض لخطر حقيقي للاضطهاد في حالة العودة إلى إيران، وأنه ينبغي تطبيق الحجة نفسها عليه.</w:t>
      </w:r>
    </w:p>
    <w:p w:rsidR="000203D9" w:rsidRPr="000203D9" w:rsidRDefault="000203D9" w:rsidP="001E3521">
      <w:pPr>
        <w:pStyle w:val="H23GA"/>
        <w:spacing w:line="374" w:lineRule="exact"/>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الشكوى</w:t>
      </w:r>
    </w:p>
    <w:p w:rsidR="000203D9" w:rsidRPr="000203D9" w:rsidRDefault="000203D9" w:rsidP="001E3521">
      <w:pPr>
        <w:pStyle w:val="SingleTxtGA"/>
        <w:spacing w:line="374" w:lineRule="exact"/>
        <w:jc w:val="lowKashida"/>
        <w:rPr>
          <w:rFonts w:hint="cs"/>
          <w:spacing w:val="0"/>
          <w:kern w:val="0"/>
          <w:sz w:val="20"/>
          <w:rtl/>
          <w:lang w:val="fr-CH"/>
        </w:rPr>
      </w:pPr>
      <w:r w:rsidRPr="000203D9">
        <w:rPr>
          <w:rFonts w:hint="cs"/>
          <w:spacing w:val="0"/>
          <w:kern w:val="0"/>
          <w:sz w:val="20"/>
          <w:rtl/>
          <w:lang w:val="fr-CH"/>
        </w:rPr>
        <w:t>3-</w:t>
      </w:r>
      <w:r w:rsidRPr="000203D9">
        <w:rPr>
          <w:rFonts w:hint="cs"/>
          <w:spacing w:val="0"/>
          <w:kern w:val="0"/>
          <w:sz w:val="20"/>
          <w:rtl/>
          <w:lang w:val="fr-CH"/>
        </w:rPr>
        <w:tab/>
        <w:t>يدّعي صاحب الشكوى أن ترحيله إلى جمهورية إيران الإسلامية، وكذلك زوجته وابنه، سيشكل انتهاكاً للمادة 3 من الاتفاقية، بسبب وجود أسباب حقيقية تدعو إلى الاعتقاد بأنه سيتعرض للتعذيب في حالة إعادته.</w:t>
      </w:r>
    </w:p>
    <w:p w:rsidR="000203D9" w:rsidRPr="000203D9" w:rsidRDefault="000203D9" w:rsidP="001E3521">
      <w:pPr>
        <w:pStyle w:val="H23GA"/>
        <w:spacing w:line="374" w:lineRule="exact"/>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ملاحظات الدولة الطرف بشأن الأسس الموضوعية</w:t>
      </w:r>
    </w:p>
    <w:p w:rsidR="000203D9" w:rsidRPr="000203D9" w:rsidRDefault="000203D9" w:rsidP="001E3521">
      <w:pPr>
        <w:pStyle w:val="SingleTxtGA"/>
        <w:spacing w:line="374" w:lineRule="exact"/>
        <w:jc w:val="lowKashida"/>
        <w:rPr>
          <w:rFonts w:hint="cs"/>
          <w:spacing w:val="0"/>
          <w:kern w:val="0"/>
          <w:sz w:val="20"/>
          <w:rtl/>
          <w:lang w:val="fr-CH"/>
        </w:rPr>
      </w:pPr>
      <w:r w:rsidRPr="000203D9">
        <w:rPr>
          <w:rFonts w:hint="cs"/>
          <w:spacing w:val="0"/>
          <w:kern w:val="0"/>
          <w:sz w:val="20"/>
          <w:rtl/>
          <w:lang w:val="fr-CH"/>
        </w:rPr>
        <w:t>4-1</w:t>
      </w:r>
      <w:r w:rsidRPr="000203D9">
        <w:rPr>
          <w:rFonts w:hint="cs"/>
          <w:spacing w:val="0"/>
          <w:kern w:val="0"/>
          <w:sz w:val="20"/>
          <w:rtl/>
          <w:lang w:val="fr-CH"/>
        </w:rPr>
        <w:tab/>
        <w:t xml:space="preserve">في 22 تشرين الأول/أكتوبر 2009، قدمت الدولة الطرف ملاحظاتها بشأن الأسس الموضوعية للبلاغ. وأكدت أن صاحب الشكوى لم يثبت تعرضه لمواجهة خطر شخصي وفعلي ومتوقع للتعذيب في حالة إعادته إلى جمهورية إيران الإسلامية. </w:t>
      </w:r>
      <w:r w:rsidRPr="000203D9">
        <w:rPr>
          <w:rFonts w:hint="cs"/>
          <w:spacing w:val="0"/>
          <w:kern w:val="0"/>
          <w:sz w:val="20"/>
          <w:rtl/>
          <w:lang/>
        </w:rPr>
        <w:t>وفي حين أن الدولة الطرف تلاحظ حالة حقوق الإنسان الباعثة على القلق في إيران وتشير إلى تعليق اللجنة العام رقم 1</w:t>
      </w:r>
      <w:r w:rsidRPr="000203D9">
        <w:rPr>
          <w:spacing w:val="0"/>
          <w:kern w:val="0"/>
          <w:sz w:val="20"/>
          <w:vertAlign w:val="superscript"/>
          <w:rtl/>
          <w:lang w:val="fr-CH"/>
        </w:rPr>
        <w:t>(</w:t>
      </w:r>
      <w:r w:rsidRPr="000203D9">
        <w:rPr>
          <w:rStyle w:val="FootnoteReference"/>
          <w:spacing w:val="0"/>
          <w:sz w:val="20"/>
          <w:rtl/>
          <w:lang w:val="fr-CH"/>
        </w:rPr>
        <w:footnoteReference w:id="269"/>
      </w:r>
      <w:r w:rsidRPr="000203D9">
        <w:rPr>
          <w:spacing w:val="0"/>
          <w:kern w:val="0"/>
          <w:sz w:val="20"/>
          <w:vertAlign w:val="superscript"/>
          <w:rtl/>
          <w:lang w:val="fr-CH"/>
        </w:rPr>
        <w:t>)</w:t>
      </w:r>
      <w:r w:rsidRPr="000203D9">
        <w:rPr>
          <w:rFonts w:hint="cs"/>
          <w:spacing w:val="0"/>
          <w:kern w:val="0"/>
          <w:sz w:val="20"/>
          <w:rtl/>
          <w:lang w:val="fr-CH"/>
        </w:rPr>
        <w:t>،</w:t>
      </w:r>
      <w:r w:rsidRPr="000203D9">
        <w:rPr>
          <w:rFonts w:hint="cs"/>
          <w:spacing w:val="0"/>
          <w:kern w:val="0"/>
          <w:sz w:val="20"/>
          <w:rtl/>
          <w:lang/>
        </w:rPr>
        <w:t xml:space="preserve"> فإنها تشير إلى أن هذه الحالة ليست في حد ذاتها أساساً كافياً للخلوص إلى أنه سيتعرض لخطر التعذيب إذا أُعِيد.</w:t>
      </w:r>
      <w:r w:rsidRPr="000203D9">
        <w:rPr>
          <w:rFonts w:hint="cs"/>
          <w:spacing w:val="0"/>
          <w:kern w:val="0"/>
          <w:sz w:val="20"/>
          <w:rtl/>
          <w:lang w:val="fr-CH"/>
        </w:rPr>
        <w:t xml:space="preserve"> </w:t>
      </w:r>
      <w:r w:rsidRPr="000203D9">
        <w:rPr>
          <w:rFonts w:hint="cs"/>
          <w:spacing w:val="0"/>
          <w:kern w:val="0"/>
          <w:sz w:val="20"/>
          <w:rtl/>
          <w:lang/>
        </w:rPr>
        <w:t xml:space="preserve">وتقول إن صاحب الشكوى لم يثبت أنه يواجه خطراً متوقعاً وشخصياً وحقيقياً بالتعرض شخصياً للتعذيب إذا أُعِيد إلى </w:t>
      </w:r>
      <w:r w:rsidRPr="000203D9">
        <w:rPr>
          <w:rFonts w:hint="cs"/>
          <w:spacing w:val="0"/>
          <w:kern w:val="0"/>
          <w:sz w:val="20"/>
          <w:rtl/>
          <w:lang w:val="fr-CH"/>
        </w:rPr>
        <w:t>إيران.</w:t>
      </w:r>
    </w:p>
    <w:p w:rsidR="000203D9" w:rsidRPr="000203D9" w:rsidRDefault="000203D9" w:rsidP="001E3521">
      <w:pPr>
        <w:pStyle w:val="SingleTxtGA"/>
        <w:spacing w:line="374" w:lineRule="exact"/>
        <w:jc w:val="lowKashida"/>
        <w:rPr>
          <w:rFonts w:hint="cs"/>
          <w:spacing w:val="0"/>
          <w:kern w:val="0"/>
          <w:sz w:val="20"/>
          <w:rtl/>
          <w:lang w:val="fr-CH"/>
        </w:rPr>
      </w:pPr>
      <w:r w:rsidRPr="000203D9">
        <w:rPr>
          <w:rFonts w:hint="cs"/>
          <w:spacing w:val="0"/>
          <w:kern w:val="0"/>
          <w:sz w:val="20"/>
          <w:rtl/>
          <w:lang w:val="fr-CH"/>
        </w:rPr>
        <w:t>4-2</w:t>
      </w:r>
      <w:r w:rsidRPr="000203D9">
        <w:rPr>
          <w:rFonts w:hint="cs"/>
          <w:spacing w:val="0"/>
          <w:kern w:val="0"/>
          <w:sz w:val="20"/>
          <w:rtl/>
          <w:lang w:val="fr-CH"/>
        </w:rPr>
        <w:tab/>
        <w:t>ووفقاً لما تقوله الدولة الطرف، فإن صاحب الشكوى قد صرّح في إطار الإجراءات القضائية الداخلية بأنه اعتُقل في عام 2003 قرب جامعة طهران، بسبب الاشتباه في مشاركته في الانتفاضة الجامعية لكويي دانيشغاه. بيد أن اعتقاله ليس السبب الذي دفعه إلى مغادرته جمهورية إيران الإسلامية. ومع ذلك، لم يحتج صاحب الشكوى بأنه تعرض للتعذيب، ولم يرتكز البلاغ الذي قدمه إلى اللجنة إلا على إجرائها الثاني لطلب اللجوء، المرتكز حصراً على أنشطته التالية لفراره من إيران.</w:t>
      </w:r>
    </w:p>
    <w:p w:rsidR="000203D9" w:rsidRPr="000203D9" w:rsidRDefault="000203D9" w:rsidP="001E3521">
      <w:pPr>
        <w:pStyle w:val="SingleTxtGA"/>
        <w:spacing w:line="374" w:lineRule="exact"/>
        <w:jc w:val="lowKashida"/>
        <w:rPr>
          <w:rFonts w:hint="cs"/>
          <w:spacing w:val="0"/>
          <w:kern w:val="0"/>
          <w:sz w:val="20"/>
          <w:rtl/>
          <w:lang w:val="fr-CH"/>
        </w:rPr>
      </w:pPr>
      <w:r w:rsidRPr="000203D9">
        <w:rPr>
          <w:rFonts w:hint="cs"/>
          <w:spacing w:val="0"/>
          <w:kern w:val="0"/>
          <w:sz w:val="20"/>
          <w:rtl/>
          <w:lang w:val="fr-CH"/>
        </w:rPr>
        <w:t>4-3</w:t>
      </w:r>
      <w:r w:rsidRPr="000203D9">
        <w:rPr>
          <w:rFonts w:hint="cs"/>
          <w:spacing w:val="0"/>
          <w:kern w:val="0"/>
          <w:sz w:val="20"/>
          <w:rtl/>
          <w:lang w:val="fr-CH"/>
        </w:rPr>
        <w:tab/>
        <w:t>وفيما يتصل بالأنشطة السياسية لصاحب الشكوى في سويسرا، تشير الدولة الطرف إلى أن المحكمة رأت في العديد من القرارات المتعلقة باستبعاد طالبي اللجوء الذين رفضت طلباتهم إلى جمهورية إيران الإسلامية، أن المخابرات الإيرانية قد لا تراقب الأنشطة السياسية المعارضة للنظام في الخارج إلا إذا كانت للأشخاص الذين يضطلعون بها صفة معينة، وكانوا يعملون خارج الإطار المعتاد لحركة المعارضة الجماهيرية، ويشغلون وظائف أو يضطلعون بأنشطة ذات طابع يشكل تهديداً خطيراً وحقيقياً للحكومة المعنية</w:t>
      </w:r>
      <w:r w:rsidRPr="000203D9">
        <w:rPr>
          <w:spacing w:val="0"/>
          <w:kern w:val="0"/>
          <w:sz w:val="20"/>
          <w:vertAlign w:val="superscript"/>
          <w:rtl/>
          <w:lang w:val="fr-CH"/>
        </w:rPr>
        <w:t>(</w:t>
      </w:r>
      <w:r w:rsidRPr="000203D9">
        <w:rPr>
          <w:rStyle w:val="FootnoteReference"/>
          <w:spacing w:val="0"/>
          <w:sz w:val="20"/>
          <w:rtl/>
          <w:lang w:val="fr-CH"/>
        </w:rPr>
        <w:footnoteReference w:id="270"/>
      </w:r>
      <w:r w:rsidRPr="000203D9">
        <w:rPr>
          <w:spacing w:val="0"/>
          <w:kern w:val="0"/>
          <w:sz w:val="20"/>
          <w:vertAlign w:val="superscript"/>
          <w:rtl/>
          <w:lang w:val="fr-CH"/>
        </w:rPr>
        <w:t>)</w:t>
      </w:r>
      <w:r w:rsidRPr="000203D9">
        <w:rPr>
          <w:rFonts w:hint="cs"/>
          <w:spacing w:val="0"/>
          <w:kern w:val="0"/>
          <w:sz w:val="20"/>
          <w:rtl/>
          <w:lang w:val="fr-CH"/>
        </w:rPr>
        <w:t>. وتضيف الدولة الطرف، في معرض إشارتها إلى العديد من مصادر المعلومات، أن الأشخاص الذين يشتبه في تورطهم في ارتكاب جرائم خطيرة أو العاملين داخل جماعات سياسية معينة معرضون أيضاً لخطر إلقاء القبض عليهم.</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4-4</w:t>
      </w:r>
      <w:r w:rsidRPr="000203D9">
        <w:rPr>
          <w:rFonts w:hint="cs"/>
          <w:spacing w:val="0"/>
          <w:kern w:val="0"/>
          <w:sz w:val="20"/>
          <w:rtl/>
          <w:lang w:val="fr-CH"/>
        </w:rPr>
        <w:tab/>
      </w:r>
      <w:r w:rsidRPr="000203D9">
        <w:rPr>
          <w:rFonts w:hint="cs"/>
          <w:spacing w:val="0"/>
          <w:kern w:val="0"/>
          <w:sz w:val="20"/>
          <w:rtl/>
          <w:lang/>
        </w:rPr>
        <w:t>وتقول الدولة الطرف إن تقرير المنظمة السويسرية لمساعدة اللاجئين الذي يستشهد به صاحب الشكوى لا يذكر أن الأشخاص الذين يشغلون مركزاً معيناً داخل الرابطة سيتعرضون لخطر محدّد إذا تقرّرت إعادتهم إلى إيران.</w:t>
      </w:r>
      <w:r w:rsidRPr="000203D9">
        <w:rPr>
          <w:rFonts w:hint="cs"/>
          <w:spacing w:val="0"/>
          <w:kern w:val="0"/>
          <w:sz w:val="20"/>
          <w:rtl/>
          <w:lang w:val="fr-CH"/>
        </w:rPr>
        <w:t xml:space="preserve"> </w:t>
      </w:r>
      <w:r w:rsidRPr="000203D9">
        <w:rPr>
          <w:rFonts w:hint="cs"/>
          <w:spacing w:val="0"/>
          <w:kern w:val="0"/>
          <w:sz w:val="20"/>
          <w:rtl/>
          <w:lang/>
        </w:rPr>
        <w:t>ووفقاً لما ورد في التقرير نفسه، فإن المشاركة، ولو المتكررة، في أعمال تنتقد النظام الإيراني الحالي لا تؤدي كذلك إلى ازدياد خطر التعرض لأعمال انتقامية.</w:t>
      </w:r>
      <w:r w:rsidRPr="000203D9">
        <w:rPr>
          <w:rFonts w:hint="cs"/>
          <w:spacing w:val="0"/>
          <w:kern w:val="0"/>
          <w:sz w:val="20"/>
          <w:rtl/>
          <w:lang w:val="fr-CH"/>
        </w:rPr>
        <w:t xml:space="preserve"> وفي المقابل، فإن ارتكاب أعمال عنف، أو ممارسة وظيفة تنطوي على مسؤولية معينة في صفوف جماعات معارضة محددة يمكن أن تشكل عوامل حاسمة في هذا الشأن</w:t>
      </w:r>
      <w:r w:rsidRPr="000203D9">
        <w:rPr>
          <w:spacing w:val="0"/>
          <w:kern w:val="0"/>
          <w:sz w:val="20"/>
          <w:vertAlign w:val="superscript"/>
          <w:rtl/>
          <w:lang w:val="fr-CH"/>
        </w:rPr>
        <w:t>(</w:t>
      </w:r>
      <w:r w:rsidRPr="000203D9">
        <w:rPr>
          <w:rStyle w:val="FootnoteReference"/>
          <w:spacing w:val="0"/>
          <w:sz w:val="20"/>
          <w:rtl/>
          <w:lang w:val="fr-CH"/>
        </w:rPr>
        <w:footnoteReference w:id="271"/>
      </w:r>
      <w:r w:rsidRPr="000203D9">
        <w:rPr>
          <w:spacing w:val="0"/>
          <w:kern w:val="0"/>
          <w:sz w:val="20"/>
          <w:vertAlign w:val="superscript"/>
          <w:rtl/>
          <w:lang w:val="fr-CH"/>
        </w:rPr>
        <w:t>)</w:t>
      </w:r>
      <w:r w:rsidRPr="000203D9">
        <w:rPr>
          <w:rFonts w:hint="cs"/>
          <w:spacing w:val="0"/>
          <w:kern w:val="0"/>
          <w:sz w:val="20"/>
          <w:rtl/>
          <w:lang w:val="fr-CH"/>
        </w:rPr>
        <w:t>. وفضلاً عن ذلك، لا تشير المنظمة مثلاً إلا إلى منظمات هامة وذائعة الصيت. وتشير الدولة الطرف، من جهة أخرى، إلى وجود عدة منظمات في سويسرا، إلى جانب الرابطة، تسعى لتوفير وظائف معينة لأعضائها، تمكّن من اعتبار أنهم سيتعرضون لمواجهة خطر محدد لسوء المعاملة إذا عادوا إلى بلدهم الأصلي. وليس بوسع السلطات الإيرانية التعرّف على كل شخص ومراقبته، حتى لو كانت على علم بالأنشطة السياسية التي يضطلع بها الرعايا الإيرانيون في المنفى. وهي لا تهتم إلا بالتعرف على الأشخاص الذين تمثل أنشطتهم تهديداً حقيقياً للنظام السياسي في البلد.</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4-5</w:t>
      </w:r>
      <w:r w:rsidRPr="000203D9">
        <w:rPr>
          <w:rFonts w:hint="cs"/>
          <w:spacing w:val="0"/>
          <w:kern w:val="0"/>
          <w:sz w:val="20"/>
          <w:rtl/>
          <w:lang w:val="fr-CH"/>
        </w:rPr>
        <w:tab/>
        <w:t>وتؤكد الدولة الطرف، في معرض إشارتها إلى استنتاجات المكتب الاتحادي للهجرة، أن أنشطة صاحب الشكوى لفائدة الرابطة، ولا سيما وظيفته كمسؤول عن كانتون أوبفالد، ومشاركته المنتَظمة في مظاهرات، وتوزيعه منشورات ومجلات، لا تشكل أساساً كافياً للخشية من معاملته على نحو يتعارض مع الاتفاقية إذا عاد إلى إيران. وليست لصاحب الشكوى وظيفة قيادية هامة وبارزة بما فيه الكفاية يترتب عليها احتمال التعرض لسوء المعاملة إذا عاد. وينطبق ذلك أيضاً على اتصالاته بقيادة المنظمة، ونشر مقالات على شبكة الإنترنت، لا</w:t>
      </w:r>
      <w:r w:rsidRPr="000203D9">
        <w:rPr>
          <w:rFonts w:hint="eastAsia"/>
          <w:spacing w:val="0"/>
          <w:kern w:val="0"/>
          <w:sz w:val="20"/>
          <w:rtl/>
          <w:lang w:val="fr-CH"/>
        </w:rPr>
        <w:t> </w:t>
      </w:r>
      <w:r w:rsidRPr="000203D9">
        <w:rPr>
          <w:rFonts w:hint="cs"/>
          <w:spacing w:val="0"/>
          <w:kern w:val="0"/>
          <w:sz w:val="20"/>
          <w:rtl/>
          <w:lang w:val="fr-CH"/>
        </w:rPr>
        <w:t xml:space="preserve">تتضمن سوى انتقادات للنظام في شكل قوالب نمطية، على نحو ما يُنشر بصورة منتظمة موقَّعاً بأسماء أخرى. وحيث إن مجلة الرابطة شهرية، وأن المنظمة نشطة بصفة خاصة في سويسرا، فإن من المستبعد أن تحظى هذه المجلة بالكثير من الاهتمام خارج حدود سويسرا. وليس ثمة ما يفيد باتخاذ النظام الإيراني أي إجراءات تُذكر ضد صاحب الشكوى بسبب أنشطته في سويسرا. </w:t>
      </w:r>
    </w:p>
    <w:p w:rsidR="000203D9" w:rsidRPr="001E3521"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4-6</w:t>
      </w:r>
      <w:r w:rsidRPr="000203D9">
        <w:rPr>
          <w:rFonts w:hint="cs"/>
          <w:spacing w:val="0"/>
          <w:kern w:val="0"/>
          <w:sz w:val="20"/>
          <w:rtl/>
          <w:lang w:val="fr-CH"/>
        </w:rPr>
        <w:tab/>
        <w:t>وفيما يتعلق بادعاءات صاحب الشكوى المتعلقة بقرارات المحكمة، التي يقول فيها إنها منحت صفة اللاجئ لأشخاص يشغلون وظائف مماثلة، تشير الدولة الطرف إلى أنه ينظر في كل حالة تبعاً لظروفها. وتلاحظ أنه بالرغم من منح اللجوء فعلاً في بعض الحالات لأشخاص نشطين في الرابطة، فإنها لم تفعل ذلك في العديد من القضايا الأخرى التي تتعلق بأشخاص يشغلون وظائف مختلفة في هذه المنظمة</w:t>
      </w:r>
      <w:r w:rsidRPr="000203D9">
        <w:rPr>
          <w:spacing w:val="0"/>
          <w:kern w:val="0"/>
          <w:sz w:val="20"/>
          <w:vertAlign w:val="superscript"/>
          <w:rtl/>
          <w:lang w:val="fr-CH"/>
        </w:rPr>
        <w:t>(</w:t>
      </w:r>
      <w:r w:rsidRPr="000203D9">
        <w:rPr>
          <w:rStyle w:val="FootnoteReference"/>
          <w:spacing w:val="0"/>
          <w:sz w:val="20"/>
          <w:rtl/>
          <w:lang w:val="fr-CH"/>
        </w:rPr>
        <w:footnoteReference w:id="272"/>
      </w:r>
      <w:r w:rsidRPr="000203D9">
        <w:rPr>
          <w:spacing w:val="0"/>
          <w:kern w:val="0"/>
          <w:sz w:val="20"/>
          <w:vertAlign w:val="superscript"/>
          <w:rtl/>
          <w:lang w:val="fr-CH"/>
        </w:rPr>
        <w:t>)</w:t>
      </w:r>
      <w:r w:rsidRPr="000203D9">
        <w:rPr>
          <w:rFonts w:hint="cs"/>
          <w:spacing w:val="0"/>
          <w:kern w:val="0"/>
          <w:sz w:val="20"/>
          <w:rtl/>
          <w:lang w:val="fr-CH"/>
        </w:rPr>
        <w:t xml:space="preserve">. فقد أصدرت المحكمة نحو أربعين قراراً منذ بداية عام 2007، تتعلق بأشخاص يدّعون اضطلاعهم بأنشطة داخل الرابطة. ولم تمنح </w:t>
      </w:r>
      <w:r w:rsidRPr="001E3521">
        <w:rPr>
          <w:rFonts w:hint="cs"/>
          <w:spacing w:val="0"/>
          <w:kern w:val="0"/>
          <w:sz w:val="20"/>
          <w:rtl/>
          <w:lang w:val="fr-CH"/>
        </w:rPr>
        <w:t>المحكمة اللجوء إلا في بعض الحالات، بعد النظر في مجمل الظروف. وحتى عند وجود أنشطة متشابهة داخل الرابطة، قد يتعرض شخصان لمخاطر مختلفة الطابع إذا عادا إلى إيران، نظراً إلى وجود عوامل أخرى لها أثر في احتمال التعرض لاهتمام السلطات المتزايد.</w:t>
      </w:r>
    </w:p>
    <w:p w:rsidR="000203D9" w:rsidRPr="001E3521" w:rsidRDefault="000203D9" w:rsidP="001E3521">
      <w:pPr>
        <w:pStyle w:val="SingleTxtGA"/>
        <w:jc w:val="lowKashida"/>
        <w:rPr>
          <w:rFonts w:hint="cs"/>
          <w:spacing w:val="0"/>
          <w:kern w:val="0"/>
          <w:sz w:val="20"/>
          <w:rtl/>
          <w:lang w:val="fr-CH"/>
        </w:rPr>
      </w:pPr>
      <w:r w:rsidRPr="001E3521">
        <w:rPr>
          <w:rFonts w:hint="cs"/>
          <w:spacing w:val="0"/>
          <w:kern w:val="0"/>
          <w:sz w:val="20"/>
          <w:rtl/>
          <w:lang w:val="fr-CH"/>
        </w:rPr>
        <w:t>4-7</w:t>
      </w:r>
      <w:r w:rsidRPr="001E3521">
        <w:rPr>
          <w:rFonts w:hint="cs"/>
          <w:spacing w:val="0"/>
          <w:kern w:val="0"/>
          <w:sz w:val="20"/>
          <w:rtl/>
          <w:lang w:val="fr-CH"/>
        </w:rPr>
        <w:tab/>
        <w:t>وتؤكد الدولة الطرف أيضاً أن السلطات الإيرانية قادرة على التمييز بين الأنشطة السياسية التي تنم عن قناعة شخصية جدية ويحتمل أن تثير اضطرابات هامة، وبين الأنشطة التي ترمي أساساً إلى منح أصحابها تصاريح إقامة. وفضلاً عن ذلك، فإن الرابطة معروفة في سويسرا بكونها تتبع إجراءً منتظماً الغرض الأساسي منه تزويد أعضائها بأدلة ذاتية للّجوء، وتذهب حتى إلى نصب منصة أسبوعية، بمشاركة نحو اثني عشر شخصاً، وتصوير المشاركين الحاملين للمنشورات بصورة تمكّن من التعرف عليهم، ثم نشر الصور على شبكة الإنترنت. وعندما أكدت المحكمة ممارستها بأن مجرد الانتماء إلى المنظمة لا</w:t>
      </w:r>
      <w:r w:rsidRPr="001E3521">
        <w:rPr>
          <w:rFonts w:hint="eastAsia"/>
          <w:spacing w:val="0"/>
          <w:kern w:val="0"/>
          <w:sz w:val="20"/>
          <w:rtl/>
          <w:lang w:val="fr-CH"/>
        </w:rPr>
        <w:t> </w:t>
      </w:r>
      <w:r w:rsidRPr="001E3521">
        <w:rPr>
          <w:rFonts w:hint="cs"/>
          <w:spacing w:val="0"/>
          <w:kern w:val="0"/>
          <w:sz w:val="20"/>
          <w:rtl/>
          <w:lang w:val="fr-CH"/>
        </w:rPr>
        <w:t>يكفي أن يكون سبباً ذاتياً للجوء بعد الفرار من إيران، أنشأت الرابطة وظائف مختلفة مثل المسؤول عن اللوجستيات، وعن الأمن، وما إلى ذلك من الوظائف. ومنذ ذلك التاريخ، أصبحت جميع القضايا تقريباً التي تشمل أعضاء الرابطة تتعلق بأشخاص يشغلون "وظيفة قيادية" داخل المنظمة. وفي الحالة التي نحن بصددها، لم</w:t>
      </w:r>
      <w:r w:rsidR="001E3521" w:rsidRPr="001E3521">
        <w:rPr>
          <w:rFonts w:hint="eastAsia"/>
          <w:spacing w:val="0"/>
          <w:kern w:val="0"/>
          <w:sz w:val="20"/>
          <w:rtl/>
          <w:lang w:val="fr-CH"/>
        </w:rPr>
        <w:t> </w:t>
      </w:r>
      <w:r w:rsidRPr="001E3521">
        <w:rPr>
          <w:rFonts w:hint="cs"/>
          <w:spacing w:val="0"/>
          <w:kern w:val="0"/>
          <w:sz w:val="20"/>
          <w:rtl/>
          <w:lang w:val="fr-CH"/>
        </w:rPr>
        <w:t>يُثبِت صاحب الشكوى أنه سيتعرض لمواجهة خطر محدد بسبب أنشطته داخل الرابطة.</w:t>
      </w:r>
    </w:p>
    <w:p w:rsidR="000203D9" w:rsidRPr="000203D9" w:rsidRDefault="000203D9" w:rsidP="000203D9">
      <w:pPr>
        <w:pStyle w:val="H23GA"/>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تعليقات صاحب الشكوى على ملاحظات الدولة الطرف المتعلقة بالأسس الموضوعية</w:t>
      </w:r>
    </w:p>
    <w:p w:rsidR="000203D9" w:rsidRPr="000203D9" w:rsidRDefault="000203D9" w:rsidP="001E3521">
      <w:pPr>
        <w:pStyle w:val="SingleTxtGA"/>
        <w:jc w:val="lowKashida"/>
        <w:rPr>
          <w:rFonts w:hint="cs"/>
          <w:spacing w:val="0"/>
          <w:kern w:val="0"/>
          <w:sz w:val="20"/>
          <w:rtl/>
          <w:lang w:val="fr-CH"/>
        </w:rPr>
      </w:pPr>
      <w:r w:rsidRPr="000203D9">
        <w:rPr>
          <w:rFonts w:hint="cs"/>
          <w:spacing w:val="0"/>
          <w:kern w:val="0"/>
          <w:sz w:val="20"/>
          <w:rtl/>
          <w:lang w:val="fr-CH"/>
        </w:rPr>
        <w:t>5-1</w:t>
      </w:r>
      <w:r w:rsidRPr="000203D9">
        <w:rPr>
          <w:rFonts w:hint="cs"/>
          <w:spacing w:val="0"/>
          <w:kern w:val="0"/>
          <w:sz w:val="20"/>
          <w:rtl/>
          <w:lang w:val="fr-CH"/>
        </w:rPr>
        <w:tab/>
        <w:t xml:space="preserve">أكّد صاحب الشكوى، في تعليقاته المؤرخة 13 كانون الثاني/يناير 2010، أن عدم إدراج الرابطة في قائمة أهم منظمات المعارضة الإيرانية يفسَّر بأن هذه القائمة ليست سوى قائمة إيضاحية وبأن الرابطة، عند صدور تقرير </w:t>
      </w:r>
      <w:r w:rsidRPr="000203D9">
        <w:rPr>
          <w:rFonts w:hint="cs"/>
          <w:spacing w:val="0"/>
          <w:kern w:val="0"/>
          <w:sz w:val="20"/>
          <w:rtl/>
          <w:lang/>
        </w:rPr>
        <w:t xml:space="preserve">المنظمة السويسرية لمساعدة اللاجئين </w:t>
      </w:r>
      <w:r w:rsidRPr="000203D9">
        <w:rPr>
          <w:rFonts w:hint="cs"/>
          <w:spacing w:val="0"/>
          <w:kern w:val="0"/>
          <w:sz w:val="20"/>
          <w:rtl/>
          <w:lang w:val="fr-CH"/>
        </w:rPr>
        <w:t>في عام</w:t>
      </w:r>
      <w:r w:rsidR="001E3521">
        <w:rPr>
          <w:rFonts w:hint="eastAsia"/>
          <w:spacing w:val="0"/>
          <w:kern w:val="0"/>
          <w:sz w:val="20"/>
          <w:rtl/>
          <w:lang w:val="fr-CH"/>
        </w:rPr>
        <w:t> </w:t>
      </w:r>
      <w:r w:rsidRPr="000203D9">
        <w:rPr>
          <w:rFonts w:hint="cs"/>
          <w:spacing w:val="0"/>
          <w:kern w:val="0"/>
          <w:sz w:val="20"/>
          <w:rtl/>
          <w:lang w:val="fr-CH"/>
        </w:rPr>
        <w:t xml:space="preserve">2006، لم تكن معروفة بالقدر الذي يجعلها تُذكر ضمن حركات المعارضة الأقدم عهداً. ومع ذلك، فقد اعترفت بها عدة قرارات قضائية في الدولة الطرف. </w:t>
      </w:r>
    </w:p>
    <w:p w:rsidR="000203D9" w:rsidRPr="000203D9" w:rsidRDefault="000203D9" w:rsidP="001E3521">
      <w:pPr>
        <w:pStyle w:val="SingleTxtGA"/>
        <w:jc w:val="lowKashida"/>
        <w:rPr>
          <w:rFonts w:hint="cs"/>
          <w:spacing w:val="0"/>
          <w:kern w:val="0"/>
          <w:sz w:val="20"/>
          <w:rtl/>
          <w:lang w:val="fr-CH"/>
        </w:rPr>
      </w:pPr>
      <w:r w:rsidRPr="001E3521">
        <w:rPr>
          <w:rFonts w:hint="cs"/>
          <w:spacing w:val="-2"/>
          <w:kern w:val="0"/>
          <w:sz w:val="20"/>
          <w:rtl/>
          <w:lang w:val="fr-CH"/>
        </w:rPr>
        <w:t>5-2</w:t>
      </w:r>
      <w:r w:rsidRPr="001E3521">
        <w:rPr>
          <w:rFonts w:hint="cs"/>
          <w:spacing w:val="-2"/>
          <w:kern w:val="0"/>
          <w:sz w:val="20"/>
          <w:rtl/>
          <w:lang w:val="fr-CH"/>
        </w:rPr>
        <w:tab/>
        <w:t xml:space="preserve">ويرفض صاحب الشكوى تلميحات الدولة الطرف بأن دوافعه، على غرار العديد من ملتمسي اللجوء، اقتصادية أكثر منها سياسية، يسعى بها من خلال الانضمام إلى منظمات سياسية إلى الحصول على تصريح إقامة. فهو عضو في الرابطة منذ </w:t>
      </w:r>
      <w:r w:rsidR="001E3521">
        <w:rPr>
          <w:rFonts w:hint="cs"/>
          <w:spacing w:val="-2"/>
          <w:kern w:val="0"/>
          <w:sz w:val="20"/>
          <w:rtl/>
          <w:lang w:val="fr-CH"/>
        </w:rPr>
        <w:t>تشرين الأول/ أكتوبر</w:t>
      </w:r>
      <w:r w:rsidR="001E3521">
        <w:rPr>
          <w:rFonts w:hint="eastAsia"/>
          <w:spacing w:val="-2"/>
          <w:kern w:val="0"/>
          <w:sz w:val="20"/>
          <w:rtl/>
          <w:lang w:val="fr-CH"/>
        </w:rPr>
        <w:t> </w:t>
      </w:r>
      <w:r w:rsidRPr="001E3521">
        <w:rPr>
          <w:rFonts w:hint="cs"/>
          <w:spacing w:val="-2"/>
          <w:kern w:val="0"/>
          <w:sz w:val="20"/>
          <w:rtl/>
          <w:lang w:val="fr-CH"/>
        </w:rPr>
        <w:t>2005، ويشغل وظيفة مسؤول على صعيد الكانتون منذ نيسان/أبريل</w:t>
      </w:r>
      <w:r w:rsidRPr="001E3521">
        <w:rPr>
          <w:rFonts w:hint="eastAsia"/>
          <w:spacing w:val="-2"/>
          <w:kern w:val="0"/>
          <w:sz w:val="20"/>
          <w:rtl/>
          <w:lang w:val="fr-CH"/>
        </w:rPr>
        <w:t> </w:t>
      </w:r>
      <w:r w:rsidRPr="001E3521">
        <w:rPr>
          <w:rFonts w:hint="cs"/>
          <w:spacing w:val="-2"/>
          <w:kern w:val="0"/>
          <w:sz w:val="20"/>
          <w:rtl/>
          <w:lang w:val="fr-CH"/>
        </w:rPr>
        <w:t>2007. وانخراطه الشخصي والمالي أثناء السنوات الأخيرة، الذي يبرهن على</w:t>
      </w:r>
      <w:r w:rsidRPr="000203D9">
        <w:rPr>
          <w:rFonts w:hint="cs"/>
          <w:spacing w:val="0"/>
          <w:kern w:val="0"/>
          <w:sz w:val="20"/>
          <w:rtl/>
          <w:lang w:val="fr-CH"/>
        </w:rPr>
        <w:t xml:space="preserve"> دوافعه السياسية، هو انخراط حقيقي وذو مصداقية. ويوجد في سويسرا حالياً 12 مسؤولاً للرابطة على صعيد الكانتونات. وبما أن المنظمة تضم نحو 200 عضو، فإن مسؤولي الكانتونات يمثلون بالتأكيد وظائف إدارية من أرفع المستويات. </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5-3</w:t>
      </w:r>
      <w:r w:rsidRPr="000203D9">
        <w:rPr>
          <w:rFonts w:hint="cs"/>
          <w:spacing w:val="0"/>
          <w:kern w:val="0"/>
          <w:sz w:val="20"/>
          <w:rtl/>
          <w:lang w:val="fr-CH"/>
        </w:rPr>
        <w:tab/>
        <w:t>ويميز صاحب الشكوى بين مختلف الأحكام الصادرة عن المحكمة التي أشارت إليها الدولة الطرف، مبيناً أن المسألة كانت تتعلق في أربعة من الأحكام المعنية</w:t>
      </w:r>
      <w:r w:rsidRPr="000203D9">
        <w:rPr>
          <w:spacing w:val="0"/>
          <w:kern w:val="0"/>
          <w:sz w:val="20"/>
          <w:vertAlign w:val="superscript"/>
          <w:rtl/>
          <w:lang w:val="fr-CH"/>
        </w:rPr>
        <w:t>(</w:t>
      </w:r>
      <w:r w:rsidRPr="000203D9">
        <w:rPr>
          <w:rStyle w:val="FootnoteReference"/>
          <w:spacing w:val="0"/>
          <w:sz w:val="20"/>
          <w:rtl/>
          <w:lang w:val="fr-CH"/>
        </w:rPr>
        <w:footnoteReference w:id="273"/>
      </w:r>
      <w:r w:rsidRPr="000203D9">
        <w:rPr>
          <w:spacing w:val="0"/>
          <w:kern w:val="0"/>
          <w:sz w:val="20"/>
          <w:vertAlign w:val="superscript"/>
          <w:rtl/>
          <w:lang w:val="fr-CH"/>
        </w:rPr>
        <w:t>)</w:t>
      </w:r>
      <w:r w:rsidRPr="000203D9">
        <w:rPr>
          <w:rFonts w:hint="cs"/>
          <w:spacing w:val="0"/>
          <w:kern w:val="0"/>
          <w:sz w:val="20"/>
          <w:rtl/>
          <w:lang w:val="fr-CH"/>
        </w:rPr>
        <w:t xml:space="preserve"> بمسؤولين عن الأمن في الرابطة، أو بمجرد أعضاء لا يشغلون وظائف إدارية، خلافاً للوضع الحالي لصاحب الشكوى. ويضيف أن المكتب الاتحادي للهجرة قد اعترف بصفة اللاّجئ للعديد من الأشخاص الذين عملوا كمسؤولين للرابطة على صعيد الكانتونات</w:t>
      </w:r>
      <w:r w:rsidRPr="000203D9">
        <w:rPr>
          <w:spacing w:val="0"/>
          <w:kern w:val="0"/>
          <w:sz w:val="20"/>
          <w:vertAlign w:val="superscript"/>
          <w:rtl/>
          <w:lang w:val="fr-CH"/>
        </w:rPr>
        <w:t>(</w:t>
      </w:r>
      <w:r w:rsidRPr="000203D9">
        <w:rPr>
          <w:rStyle w:val="FootnoteReference"/>
          <w:spacing w:val="0"/>
          <w:sz w:val="20"/>
          <w:rtl/>
          <w:lang w:val="fr-CH"/>
        </w:rPr>
        <w:footnoteReference w:id="274"/>
      </w:r>
      <w:r w:rsidRPr="000203D9">
        <w:rPr>
          <w:spacing w:val="0"/>
          <w:kern w:val="0"/>
          <w:sz w:val="20"/>
          <w:vertAlign w:val="superscript"/>
          <w:rtl/>
          <w:lang w:val="fr-CH"/>
        </w:rPr>
        <w:t>)</w:t>
      </w:r>
      <w:r w:rsidRPr="000203D9">
        <w:rPr>
          <w:rFonts w:hint="cs"/>
          <w:spacing w:val="0"/>
          <w:kern w:val="0"/>
          <w:sz w:val="20"/>
          <w:rtl/>
          <w:lang w:val="fr-CH"/>
        </w:rPr>
        <w:t>. وفي الختام، يؤكد صاحب الشكوى، في ضوء الحالة الراهنة لجمهورية إيران الإسلامية التي تشهد انتهاكات جسيمة لحقوق الإنسان</w:t>
      </w:r>
      <w:r w:rsidRPr="000203D9">
        <w:rPr>
          <w:spacing w:val="0"/>
          <w:kern w:val="0"/>
          <w:sz w:val="20"/>
          <w:vertAlign w:val="superscript"/>
          <w:rtl/>
          <w:lang w:val="fr-CH"/>
        </w:rPr>
        <w:t>(</w:t>
      </w:r>
      <w:r w:rsidRPr="000203D9">
        <w:rPr>
          <w:rStyle w:val="FootnoteReference"/>
          <w:spacing w:val="0"/>
          <w:sz w:val="20"/>
          <w:rtl/>
          <w:lang w:val="fr-CH"/>
        </w:rPr>
        <w:footnoteReference w:id="275"/>
      </w:r>
      <w:r w:rsidRPr="000203D9">
        <w:rPr>
          <w:spacing w:val="0"/>
          <w:kern w:val="0"/>
          <w:sz w:val="20"/>
          <w:vertAlign w:val="superscript"/>
          <w:rtl/>
          <w:lang w:val="fr-CH"/>
        </w:rPr>
        <w:t>)</w:t>
      </w:r>
      <w:r w:rsidRPr="000203D9">
        <w:rPr>
          <w:rFonts w:hint="cs"/>
          <w:spacing w:val="0"/>
          <w:kern w:val="0"/>
          <w:sz w:val="20"/>
          <w:rtl/>
          <w:lang w:val="fr-CH"/>
        </w:rPr>
        <w:t xml:space="preserve">، وبالنظر إلى مركزه السياسي ونشاطه المتواصل، أنه سيواجه خطر التعرَّض لمعاملة تنتهك المادة 3 من الاتفاقية إذا أُعيد قسراً إلى إيران. </w:t>
      </w:r>
    </w:p>
    <w:p w:rsidR="000203D9" w:rsidRPr="000203D9" w:rsidRDefault="000203D9" w:rsidP="000203D9">
      <w:pPr>
        <w:pStyle w:val="H23GA"/>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تعليقات إضافية مقدمة من الدولة الطرف</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6-1</w:t>
      </w:r>
      <w:r w:rsidRPr="000203D9">
        <w:rPr>
          <w:rFonts w:hint="cs"/>
          <w:spacing w:val="0"/>
          <w:kern w:val="0"/>
          <w:sz w:val="20"/>
          <w:rtl/>
          <w:lang w:val="fr-CH"/>
        </w:rPr>
        <w:tab/>
        <w:t>في 10 شباط/فبراير 2010، أوضحت الدولة الطرف، في إشارة إلى قرار المحكمة المؤرخ 9 تموز/يوليه 2009 الذي ذكَره صاحب الشكوى في تعليقاته الواردة أعلاه، أن هذا القرار كان يتصل بحالة صاحبة شكوى إيرانية يرافقها طفلاها القاصران وكانت قد اعتنقت الديانة المسيحية قبل مغادرتها إيران. ورأت المحكمة أن مزاعمها التي سبقت مغادرتها لجمهورية إيران الإسلامية لا تتصف بالمصداقية، واعتبرت أنه لا توجد أيضاً مبررات تالية لفرارها يمكن الاستناد إليها لمنحها اللّجوء السياسي. بيد أنّ المحكمة منحت صاحبة الشكوى قبولاً مؤقتاً بالإقامة في سويسرا، على أساس أن عودتها لن تخدم مصلحة طفليها الفضلى، وقد قضيا أطول فترة من تعليمهما في سويسرا.</w:t>
      </w:r>
    </w:p>
    <w:p w:rsidR="000203D9" w:rsidRPr="000203D9" w:rsidRDefault="000203D9" w:rsidP="000203D9">
      <w:pPr>
        <w:pStyle w:val="H23GA"/>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تعليقات إضافية مقدَّمة من صاحب الشكوى</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7-1</w:t>
      </w:r>
      <w:r w:rsidRPr="000203D9">
        <w:rPr>
          <w:rFonts w:hint="cs"/>
          <w:spacing w:val="0"/>
          <w:kern w:val="0"/>
          <w:sz w:val="20"/>
          <w:rtl/>
          <w:lang w:val="fr-CH"/>
        </w:rPr>
        <w:tab/>
        <w:t>في 5 أيار/مايو 2010، أبلغ صاحب الشكوى اللجنة أنّ المكتب الاتحادي للهجرة منح صفة اللاّجئ بتاريخ 27 نيسان/أبريل لابنه أراش فرج الله، المولود في 19 أيلول/سبتمبر</w:t>
      </w:r>
      <w:r w:rsidRPr="000203D9">
        <w:rPr>
          <w:rFonts w:hint="eastAsia"/>
          <w:spacing w:val="0"/>
          <w:kern w:val="0"/>
          <w:sz w:val="20"/>
          <w:rtl/>
          <w:lang w:val="fr-CH"/>
        </w:rPr>
        <w:t> </w:t>
      </w:r>
      <w:r w:rsidRPr="000203D9">
        <w:rPr>
          <w:rFonts w:hint="cs"/>
          <w:spacing w:val="0"/>
          <w:kern w:val="0"/>
          <w:sz w:val="20"/>
          <w:rtl/>
          <w:lang w:val="fr-CH"/>
        </w:rPr>
        <w:t>1983. وكان هذا الأخير قد قدم طلب لجوء بشكل مستقل عن والدَيه. وقدم آخر طلب له في 4 شباط/فبراير 2008، وضمّنه المخاطر الناجمة عن نشاطه السياسي داخل الرابطة. وكان أراش فرج الله يخصص وقتا طويلا لجمع التوقيعات على الالتماسات، وتوزيع مجلة "قانون" الصادرة عن الرابطة، والمشاركة في مشروع إذاعة للرابطة على موجات راديو لورا. وكان في البداية يشغل وظيفة المسؤول التقني عن البرنامج الإذاعي "</w:t>
      </w:r>
      <w:r w:rsidRPr="000203D9">
        <w:rPr>
          <w:i/>
          <w:spacing w:val="0"/>
          <w:kern w:val="0"/>
          <w:sz w:val="20"/>
        </w:rPr>
        <w:t>Stimme des Widerstands</w:t>
      </w:r>
      <w:r w:rsidRPr="000203D9">
        <w:rPr>
          <w:rFonts w:hint="cs"/>
          <w:spacing w:val="0"/>
          <w:kern w:val="0"/>
          <w:sz w:val="20"/>
          <w:rtl/>
          <w:lang w:val="fr-CH"/>
        </w:rPr>
        <w:t>" (</w:t>
      </w:r>
      <w:r w:rsidRPr="000203D9">
        <w:rPr>
          <w:rFonts w:hint="cs"/>
          <w:i/>
          <w:iCs/>
          <w:spacing w:val="0"/>
          <w:kern w:val="0"/>
          <w:sz w:val="20"/>
          <w:rtl/>
          <w:lang w:val="fr-CH"/>
        </w:rPr>
        <w:t>صوت المقاومة</w:t>
      </w:r>
      <w:r w:rsidRPr="000203D9">
        <w:rPr>
          <w:rFonts w:hint="cs"/>
          <w:spacing w:val="0"/>
          <w:kern w:val="0"/>
          <w:sz w:val="20"/>
          <w:rtl/>
          <w:lang w:val="fr-CH"/>
        </w:rPr>
        <w:t>)، وشغل بعد ذلك وظيفة محرِّر البرنامج. ورأى المكتب الاتحادي للهجرة، عند تقييم مجمل الاستنتاجات، أن مركز ابن صاحب الشكوى قد يلفت انتباه السلطات الإيرانية، وأنه قد توجد بالتالي أسباب للاعتقاد بأنه سيتعرض لضرر حقيقي إذا عاد</w:t>
      </w:r>
      <w:r w:rsidRPr="000203D9">
        <w:rPr>
          <w:spacing w:val="0"/>
          <w:kern w:val="0"/>
          <w:sz w:val="20"/>
          <w:vertAlign w:val="superscript"/>
          <w:rtl/>
          <w:lang w:val="fr-CH"/>
        </w:rPr>
        <w:t>(</w:t>
      </w:r>
      <w:r w:rsidRPr="000203D9">
        <w:rPr>
          <w:rStyle w:val="FootnoteReference"/>
          <w:spacing w:val="0"/>
          <w:sz w:val="20"/>
          <w:rtl/>
          <w:lang w:val="fr-CH"/>
        </w:rPr>
        <w:footnoteReference w:id="276"/>
      </w:r>
      <w:r w:rsidRPr="000203D9">
        <w:rPr>
          <w:spacing w:val="0"/>
          <w:kern w:val="0"/>
          <w:sz w:val="20"/>
          <w:vertAlign w:val="superscript"/>
          <w:rtl/>
          <w:lang w:val="fr-CH"/>
        </w:rPr>
        <w:t>)</w:t>
      </w:r>
      <w:r w:rsidRPr="000203D9">
        <w:rPr>
          <w:rFonts w:hint="cs"/>
          <w:spacing w:val="0"/>
          <w:kern w:val="0"/>
          <w:sz w:val="20"/>
          <w:rtl/>
          <w:lang w:val="fr-CH"/>
        </w:rPr>
        <w:t xml:space="preserve">. </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7-2</w:t>
      </w:r>
      <w:r w:rsidRPr="000203D9">
        <w:rPr>
          <w:rFonts w:hint="cs"/>
          <w:spacing w:val="0"/>
          <w:kern w:val="0"/>
          <w:sz w:val="20"/>
          <w:rtl/>
          <w:lang w:val="fr-CH"/>
        </w:rPr>
        <w:tab/>
        <w:t>وفي ظل هذه الظروف، يدّعي صاحب الشكوى أنّ خطر تعرضه لمواجهة التعذيب والمعاملة القاسية أو اللاإنسانية أو المهينة قد زاد، نظراً إلى أنه والد لاجئ معترف به في سويسرا، وأن له نفس صفة المُنشَق.</w:t>
      </w:r>
    </w:p>
    <w:p w:rsidR="000203D9" w:rsidRPr="000203D9" w:rsidRDefault="000203D9" w:rsidP="000203D9">
      <w:pPr>
        <w:pStyle w:val="H23GA"/>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المسائل والإجراءات المعروضة على اللجنة</w:t>
      </w:r>
    </w:p>
    <w:p w:rsidR="000203D9" w:rsidRPr="000203D9" w:rsidRDefault="000203D9" w:rsidP="000203D9">
      <w:pPr>
        <w:pStyle w:val="H4GA"/>
        <w:jc w:val="lowKashida"/>
        <w:rPr>
          <w:rFonts w:hint="cs"/>
          <w:spacing w:val="0"/>
          <w:kern w:val="0"/>
          <w:sz w:val="20"/>
          <w:rtl/>
          <w:lang w:val="fr-CH"/>
        </w:rPr>
      </w:pPr>
      <w:r w:rsidRPr="000203D9">
        <w:rPr>
          <w:rFonts w:hint="cs"/>
          <w:spacing w:val="0"/>
          <w:kern w:val="0"/>
          <w:sz w:val="20"/>
          <w:rtl/>
          <w:lang w:val="fr-CH"/>
        </w:rPr>
        <w:tab/>
      </w:r>
      <w:r w:rsidRPr="000203D9">
        <w:rPr>
          <w:rFonts w:hint="cs"/>
          <w:spacing w:val="0"/>
          <w:kern w:val="0"/>
          <w:sz w:val="20"/>
          <w:rtl/>
          <w:lang w:val="fr-CH"/>
        </w:rPr>
        <w:tab/>
        <w:t>النظر في المقبولية</w:t>
      </w:r>
    </w:p>
    <w:p w:rsidR="000203D9" w:rsidRPr="00B40A8D" w:rsidRDefault="000203D9" w:rsidP="00B40A8D">
      <w:pPr>
        <w:pStyle w:val="SingleTxtGA"/>
        <w:jc w:val="lowKashida"/>
        <w:rPr>
          <w:rFonts w:hint="cs"/>
          <w:b/>
          <w:bCs/>
          <w:spacing w:val="-2"/>
          <w:kern w:val="0"/>
          <w:sz w:val="20"/>
          <w:rtl/>
        </w:rPr>
      </w:pPr>
      <w:r w:rsidRPr="00B40A8D">
        <w:rPr>
          <w:rFonts w:hint="cs"/>
          <w:spacing w:val="-2"/>
          <w:kern w:val="0"/>
          <w:sz w:val="20"/>
          <w:rtl/>
        </w:rPr>
        <w:t>8-1</w:t>
      </w:r>
      <w:r w:rsidRPr="00B40A8D">
        <w:rPr>
          <w:rFonts w:hint="cs"/>
          <w:spacing w:val="-2"/>
          <w:kern w:val="0"/>
          <w:sz w:val="20"/>
          <w:rtl/>
        </w:rPr>
        <w:tab/>
      </w:r>
      <w:r w:rsidR="00B40A8D" w:rsidRPr="00B40A8D">
        <w:rPr>
          <w:spacing w:val="-2"/>
          <w:kern w:val="0"/>
          <w:sz w:val="20"/>
          <w:rtl/>
        </w:rPr>
        <w:t xml:space="preserve">قبل النظر في أية ادعاءات ترد في شكوى ما، </w:t>
      </w:r>
      <w:r w:rsidR="00B40A8D" w:rsidRPr="00B40A8D">
        <w:rPr>
          <w:rFonts w:hint="cs"/>
          <w:spacing w:val="-2"/>
          <w:kern w:val="0"/>
          <w:sz w:val="20"/>
          <w:rtl/>
        </w:rPr>
        <w:t>يتعين</w:t>
      </w:r>
      <w:r w:rsidR="00B40A8D" w:rsidRPr="00B40A8D">
        <w:rPr>
          <w:spacing w:val="-2"/>
          <w:kern w:val="0"/>
          <w:sz w:val="20"/>
          <w:rtl/>
        </w:rPr>
        <w:t xml:space="preserve"> على لجنة مناهضة التعذيب أن </w:t>
      </w:r>
      <w:r w:rsidR="00B40A8D" w:rsidRPr="00B40A8D">
        <w:rPr>
          <w:rFonts w:hint="cs"/>
          <w:spacing w:val="-2"/>
          <w:kern w:val="0"/>
          <w:sz w:val="20"/>
          <w:rtl/>
        </w:rPr>
        <w:t>تبت في</w:t>
      </w:r>
      <w:r w:rsidR="00B40A8D" w:rsidRPr="00B40A8D">
        <w:rPr>
          <w:spacing w:val="-2"/>
          <w:kern w:val="0"/>
          <w:sz w:val="20"/>
          <w:rtl/>
        </w:rPr>
        <w:t>ما إذا كانت الشكوى مقبولة أم لا</w:t>
      </w:r>
      <w:r w:rsidRPr="00B40A8D">
        <w:rPr>
          <w:rFonts w:hint="cs"/>
          <w:spacing w:val="-2"/>
          <w:kern w:val="0"/>
          <w:sz w:val="20"/>
          <w:rtl/>
        </w:rPr>
        <w:t xml:space="preserve"> بموجب المادة 22 من الاتفاقية. وقد تحققت اللجنة، حسبما تقتضيه الفقرة 5(أ) من المادة 22 من الاتفاقية، من أن المسألة نفسها لم تُبحث ولا</w:t>
      </w:r>
      <w:r w:rsidR="00B40A8D">
        <w:rPr>
          <w:rFonts w:hint="eastAsia"/>
          <w:spacing w:val="-2"/>
          <w:kern w:val="0"/>
          <w:sz w:val="20"/>
          <w:rtl/>
        </w:rPr>
        <w:t> </w:t>
      </w:r>
      <w:r w:rsidRPr="00B40A8D">
        <w:rPr>
          <w:rFonts w:hint="cs"/>
          <w:spacing w:val="-2"/>
          <w:kern w:val="0"/>
          <w:sz w:val="20"/>
          <w:rtl/>
        </w:rPr>
        <w:t xml:space="preserve">يجرى بحثها في إطار أي </w:t>
      </w:r>
      <w:r w:rsidRPr="00B40A8D">
        <w:rPr>
          <w:rFonts w:hint="cs"/>
          <w:spacing w:val="-2"/>
          <w:kern w:val="0"/>
          <w:sz w:val="20"/>
          <w:rtl/>
          <w:lang w:val="fr-CH"/>
        </w:rPr>
        <w:t>إجراء</w:t>
      </w:r>
      <w:r w:rsidRPr="00B40A8D">
        <w:rPr>
          <w:rFonts w:hint="cs"/>
          <w:spacing w:val="-2"/>
          <w:kern w:val="0"/>
          <w:sz w:val="20"/>
          <w:rtl/>
        </w:rPr>
        <w:t xml:space="preserve"> آخر من إجراءات التحقيق الدولي أو التسوية الدولية.</w:t>
      </w:r>
    </w:p>
    <w:p w:rsidR="000203D9" w:rsidRPr="000203D9" w:rsidRDefault="000203D9" w:rsidP="000203D9">
      <w:pPr>
        <w:pStyle w:val="SingleTxtGA"/>
        <w:jc w:val="lowKashida"/>
        <w:rPr>
          <w:rFonts w:hint="cs"/>
          <w:spacing w:val="0"/>
          <w:kern w:val="0"/>
          <w:sz w:val="20"/>
          <w:rtl/>
        </w:rPr>
      </w:pPr>
      <w:r w:rsidRPr="000203D9">
        <w:rPr>
          <w:rFonts w:hint="cs"/>
          <w:spacing w:val="0"/>
          <w:kern w:val="0"/>
          <w:sz w:val="20"/>
          <w:rtl/>
        </w:rPr>
        <w:t>8-2</w:t>
      </w:r>
      <w:r w:rsidRPr="000203D9">
        <w:rPr>
          <w:rFonts w:hint="cs"/>
          <w:spacing w:val="0"/>
          <w:kern w:val="0"/>
          <w:sz w:val="20"/>
          <w:rtl/>
        </w:rPr>
        <w:tab/>
        <w:t xml:space="preserve">وإذ تعتبر اللجنة أنه لا وجود لأي عقبة تحول دون قبول الشكوى، تشرع في النظر في أسسها الموضوعية. </w:t>
      </w:r>
    </w:p>
    <w:p w:rsidR="000203D9" w:rsidRPr="000203D9" w:rsidRDefault="000203D9" w:rsidP="000203D9">
      <w:pPr>
        <w:pStyle w:val="H4GA"/>
        <w:jc w:val="lowKashida"/>
        <w:rPr>
          <w:rFonts w:hint="cs"/>
          <w:spacing w:val="0"/>
          <w:kern w:val="0"/>
          <w:sz w:val="20"/>
          <w:rtl/>
        </w:rPr>
      </w:pPr>
      <w:r w:rsidRPr="000203D9">
        <w:rPr>
          <w:rFonts w:hint="cs"/>
          <w:spacing w:val="0"/>
          <w:kern w:val="0"/>
          <w:sz w:val="20"/>
          <w:rtl/>
        </w:rPr>
        <w:tab/>
      </w:r>
      <w:r w:rsidRPr="000203D9">
        <w:rPr>
          <w:rFonts w:hint="cs"/>
          <w:spacing w:val="0"/>
          <w:kern w:val="0"/>
          <w:sz w:val="20"/>
          <w:rtl/>
        </w:rPr>
        <w:tab/>
        <w:t>النظر في الأسس الموضوعية</w:t>
      </w:r>
    </w:p>
    <w:p w:rsidR="000203D9" w:rsidRPr="000203D9" w:rsidRDefault="000203D9" w:rsidP="000203D9">
      <w:pPr>
        <w:pStyle w:val="SingleTxtGA"/>
        <w:jc w:val="lowKashida"/>
        <w:rPr>
          <w:rFonts w:hint="cs"/>
          <w:spacing w:val="0"/>
          <w:kern w:val="0"/>
          <w:sz w:val="20"/>
          <w:rtl/>
        </w:rPr>
      </w:pPr>
      <w:r w:rsidRPr="000203D9">
        <w:rPr>
          <w:rFonts w:hint="cs"/>
          <w:spacing w:val="0"/>
          <w:kern w:val="0"/>
          <w:sz w:val="20"/>
          <w:rtl/>
        </w:rPr>
        <w:t>9-1</w:t>
      </w:r>
      <w:r w:rsidRPr="000203D9">
        <w:rPr>
          <w:rFonts w:hint="cs"/>
          <w:spacing w:val="0"/>
          <w:kern w:val="0"/>
          <w:sz w:val="20"/>
          <w:rtl/>
        </w:rPr>
        <w:tab/>
        <w:t xml:space="preserve">تتمثل المسألة المعروضة على اللجنة في ما إذا كان إبعاد صاحب الشكوى إلى </w:t>
      </w:r>
      <w:r w:rsidRPr="000203D9">
        <w:rPr>
          <w:rFonts w:hint="cs"/>
          <w:spacing w:val="0"/>
          <w:kern w:val="0"/>
          <w:sz w:val="20"/>
          <w:rtl/>
          <w:lang w:bidi="ar-EG"/>
        </w:rPr>
        <w:t xml:space="preserve">جمهورية </w:t>
      </w:r>
      <w:r w:rsidRPr="000203D9">
        <w:rPr>
          <w:rFonts w:hint="cs"/>
          <w:spacing w:val="0"/>
          <w:kern w:val="0"/>
          <w:sz w:val="20"/>
          <w:rtl/>
        </w:rPr>
        <w:t xml:space="preserve">إيران الإسلامية من شأنه أن يشكل انتهاكاً لالتزام الدولة الطرف، بموجب المادة 3 من الاتفاقية، بعدم طرد أو إعادة أي شخص إلى دولة تتوافر فيها أسباب حقيقية تدعو إلى الاعتقاد بأنه سيتعرض لخطر التعذيب. </w:t>
      </w:r>
    </w:p>
    <w:p w:rsidR="000203D9" w:rsidRPr="000203D9" w:rsidRDefault="000203D9" w:rsidP="000203D9">
      <w:pPr>
        <w:pStyle w:val="SingleTxtGA"/>
        <w:jc w:val="lowKashida"/>
        <w:rPr>
          <w:rFonts w:hint="cs"/>
          <w:spacing w:val="0"/>
          <w:kern w:val="0"/>
          <w:sz w:val="20"/>
          <w:rtl/>
          <w:lang w:bidi="ar-EG"/>
        </w:rPr>
      </w:pPr>
      <w:r w:rsidRPr="000203D9">
        <w:rPr>
          <w:rFonts w:hint="cs"/>
          <w:spacing w:val="0"/>
          <w:kern w:val="0"/>
          <w:sz w:val="20"/>
          <w:rtl/>
        </w:rPr>
        <w:t>9-2</w:t>
      </w:r>
      <w:r w:rsidRPr="000203D9">
        <w:rPr>
          <w:rFonts w:hint="cs"/>
          <w:spacing w:val="0"/>
          <w:kern w:val="0"/>
          <w:sz w:val="20"/>
          <w:rtl/>
        </w:rPr>
        <w:tab/>
      </w:r>
      <w:r w:rsidRPr="000203D9">
        <w:rPr>
          <w:rFonts w:hint="cs"/>
          <w:spacing w:val="0"/>
          <w:kern w:val="0"/>
          <w:sz w:val="20"/>
          <w:rtl/>
          <w:lang w:bidi="ar-EG"/>
        </w:rPr>
        <w:t xml:space="preserve">وعند تقييم ما إذا كانت هناك أسباب حقيقية تدعو إلى الاعتقاد بأن صاحب الشكوى سيتعرض لخطر التعذيب إذا أعيد إلى جمهورية </w:t>
      </w:r>
      <w:r w:rsidRPr="000203D9">
        <w:rPr>
          <w:rFonts w:hint="cs"/>
          <w:spacing w:val="0"/>
          <w:kern w:val="0"/>
          <w:sz w:val="20"/>
          <w:rtl/>
        </w:rPr>
        <w:t>إيران الإسلام</w:t>
      </w:r>
      <w:r w:rsidRPr="000203D9">
        <w:rPr>
          <w:rFonts w:hint="cs"/>
          <w:spacing w:val="0"/>
          <w:kern w:val="0"/>
          <w:sz w:val="20"/>
          <w:rtl/>
          <w:lang w:bidi="ar-EG"/>
        </w:rPr>
        <w:t xml:space="preserve">ية، يجب أن تراعي اللجنة جميع الاعتبارات ذات الصلة، بما في ذلك وجود نمط ثابت من الانتهاكات الفادحة أو الصارخة أو الجماعية لحقوق الإنسان في إيران. غير أن الأمر يتعلق بتقرير ما إذا كان صاحب الشكوى يمكن أن يتعرض شخصياً للتعذيب في البلد الذي سيُعاد إليه. </w:t>
      </w:r>
    </w:p>
    <w:p w:rsidR="000203D9" w:rsidRPr="000203D9" w:rsidRDefault="000203D9" w:rsidP="00873F49">
      <w:pPr>
        <w:pStyle w:val="SingleTxtGA"/>
        <w:jc w:val="lowKashida"/>
        <w:rPr>
          <w:rFonts w:hint="cs"/>
          <w:spacing w:val="0"/>
          <w:kern w:val="0"/>
          <w:sz w:val="20"/>
          <w:rtl/>
          <w:lang w:val="fr-CH"/>
        </w:rPr>
      </w:pPr>
      <w:r w:rsidRPr="000203D9">
        <w:rPr>
          <w:rFonts w:hint="cs"/>
          <w:spacing w:val="0"/>
          <w:kern w:val="0"/>
          <w:sz w:val="20"/>
          <w:rtl/>
          <w:lang w:bidi="ar-EG"/>
        </w:rPr>
        <w:t>9-3</w:t>
      </w:r>
      <w:r w:rsidRPr="000203D9">
        <w:rPr>
          <w:rFonts w:hint="cs"/>
          <w:spacing w:val="0"/>
          <w:kern w:val="0"/>
          <w:sz w:val="20"/>
          <w:rtl/>
          <w:lang w:bidi="ar-EG"/>
        </w:rPr>
        <w:tab/>
        <w:t>وتشير اللجنة إلى تعليقها العام بشأن تنفيذ المادة 3 من الاتفاقية الذي يفيد بأنه يجب أن يُقيم خطر التعذيب على أسس تتجاوز مجرد الافتراض أو الشك. وبالرغم من أنه من غير الضروري إثبات أن الخطر المتوقَّع محتمل جداً، تذكّر اللجنة بأن عبء الإثبات يقع عادة على صاحب الشكوى، الذي يجب أن يقدم دعوى يمكن الدفاع عنها تثبت أنه سيتعرض لخطر "مُتوقَّع وحقيقي وشخصي"</w:t>
      </w:r>
      <w:r w:rsidRPr="000203D9">
        <w:rPr>
          <w:spacing w:val="0"/>
          <w:kern w:val="0"/>
          <w:sz w:val="20"/>
          <w:vertAlign w:val="superscript"/>
          <w:rtl/>
          <w:lang w:val="fr-CH"/>
        </w:rPr>
        <w:t>(</w:t>
      </w:r>
      <w:r w:rsidRPr="000203D9">
        <w:rPr>
          <w:rStyle w:val="FootnoteReference"/>
          <w:spacing w:val="0"/>
          <w:sz w:val="20"/>
          <w:rtl/>
          <w:lang w:val="fr-CH"/>
        </w:rPr>
        <w:footnoteReference w:id="277"/>
      </w:r>
      <w:r w:rsidRPr="000203D9">
        <w:rPr>
          <w:spacing w:val="0"/>
          <w:kern w:val="0"/>
          <w:sz w:val="20"/>
          <w:vertAlign w:val="superscript"/>
          <w:rtl/>
          <w:lang w:val="fr-CH"/>
        </w:rPr>
        <w:t>)</w:t>
      </w:r>
      <w:r w:rsidRPr="000203D9">
        <w:rPr>
          <w:rFonts w:hint="cs"/>
          <w:spacing w:val="0"/>
          <w:kern w:val="0"/>
          <w:sz w:val="20"/>
          <w:rtl/>
          <w:lang w:bidi="ar-EG"/>
        </w:rPr>
        <w:t xml:space="preserve">. </w:t>
      </w:r>
      <w:r w:rsidRPr="000203D9">
        <w:rPr>
          <w:rFonts w:hint="cs"/>
          <w:spacing w:val="0"/>
          <w:kern w:val="0"/>
          <w:sz w:val="20"/>
          <w:rtl/>
          <w:lang w:val="fr-CH"/>
        </w:rPr>
        <w:t>وعلاوة على ذلك، تذكر اللجنة في تعليقها العام أنها يجب أيضاً أن تتحقق مما إذا كان صاحب الشكوى قد قام بأنشطة سياسية داخل الدولة المعنية أو</w:t>
      </w:r>
      <w:r w:rsidR="00873F49">
        <w:rPr>
          <w:rFonts w:hint="eastAsia"/>
          <w:spacing w:val="0"/>
          <w:kern w:val="0"/>
          <w:sz w:val="20"/>
          <w:rtl/>
          <w:lang w:val="fr-CH"/>
        </w:rPr>
        <w:t> </w:t>
      </w:r>
      <w:r w:rsidRPr="000203D9">
        <w:rPr>
          <w:rFonts w:hint="cs"/>
          <w:spacing w:val="0"/>
          <w:kern w:val="0"/>
          <w:sz w:val="20"/>
          <w:rtl/>
          <w:lang w:val="fr-CH"/>
        </w:rPr>
        <w:t xml:space="preserve">خارجها، على نحو </w:t>
      </w:r>
      <w:r w:rsidR="001924C3">
        <w:rPr>
          <w:rFonts w:hint="cs"/>
          <w:spacing w:val="0"/>
          <w:kern w:val="0"/>
          <w:sz w:val="20"/>
          <w:rtl/>
          <w:lang w:val="fr-CH"/>
        </w:rPr>
        <w:t>"يعرضه بصورة خاصة" لخطر التعذيب</w:t>
      </w:r>
      <w:r w:rsidRPr="000203D9">
        <w:rPr>
          <w:spacing w:val="0"/>
          <w:kern w:val="0"/>
          <w:sz w:val="20"/>
          <w:vertAlign w:val="superscript"/>
          <w:rtl/>
          <w:lang w:val="fr-CH"/>
        </w:rPr>
        <w:t>(</w:t>
      </w:r>
      <w:r w:rsidRPr="000203D9">
        <w:rPr>
          <w:rStyle w:val="FootnoteReference"/>
          <w:spacing w:val="0"/>
          <w:sz w:val="20"/>
          <w:rtl/>
          <w:lang w:val="fr-CH"/>
        </w:rPr>
        <w:footnoteReference w:id="278"/>
      </w:r>
      <w:r w:rsidRPr="000203D9">
        <w:rPr>
          <w:spacing w:val="0"/>
          <w:kern w:val="0"/>
          <w:sz w:val="20"/>
          <w:vertAlign w:val="superscript"/>
          <w:rtl/>
          <w:lang w:val="fr-CH"/>
        </w:rPr>
        <w:t>)</w:t>
      </w:r>
      <w:r w:rsidR="001924C3" w:rsidRPr="001924C3">
        <w:rPr>
          <w:rFonts w:hint="cs"/>
          <w:spacing w:val="0"/>
          <w:kern w:val="0"/>
          <w:sz w:val="20"/>
          <w:rtl/>
          <w:lang w:val="fr-CH"/>
        </w:rPr>
        <w:t xml:space="preserve">. </w:t>
      </w:r>
      <w:r w:rsidRPr="000203D9">
        <w:rPr>
          <w:rFonts w:hint="cs"/>
          <w:spacing w:val="0"/>
          <w:kern w:val="0"/>
          <w:sz w:val="20"/>
          <w:rtl/>
          <w:lang w:val="fr-CH"/>
        </w:rPr>
        <w:t>ولئن كانت اللجنة تعطي وزناً كبيراً للاستنتاجات التي تخلص إليها أجهزة الدولة الطرف، فإن لها الحق في تقدير وقائع كل قضية بحرية، آخذة ملابساتها في الاعتبار.</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9-4</w:t>
      </w:r>
      <w:r w:rsidRPr="000203D9">
        <w:rPr>
          <w:rFonts w:hint="cs"/>
          <w:spacing w:val="0"/>
          <w:kern w:val="0"/>
          <w:sz w:val="20"/>
          <w:rtl/>
          <w:lang w:val="fr-CH"/>
        </w:rPr>
        <w:tab/>
        <w:t>وإذ تشير اللجنة إلى القرارات السابقة التي اتخذتها مؤخراً</w:t>
      </w:r>
      <w:r w:rsidRPr="000203D9">
        <w:rPr>
          <w:spacing w:val="0"/>
          <w:kern w:val="0"/>
          <w:sz w:val="20"/>
          <w:vertAlign w:val="superscript"/>
          <w:rtl/>
          <w:lang w:val="fr-CH"/>
        </w:rPr>
        <w:t>(</w:t>
      </w:r>
      <w:r w:rsidRPr="000203D9">
        <w:rPr>
          <w:rStyle w:val="FootnoteReference"/>
          <w:spacing w:val="0"/>
          <w:sz w:val="20"/>
          <w:rtl/>
          <w:lang w:val="fr-CH"/>
        </w:rPr>
        <w:footnoteReference w:id="279"/>
      </w:r>
      <w:r w:rsidRPr="000203D9">
        <w:rPr>
          <w:spacing w:val="0"/>
          <w:kern w:val="0"/>
          <w:sz w:val="20"/>
          <w:vertAlign w:val="superscript"/>
          <w:rtl/>
          <w:lang w:val="fr-CH"/>
        </w:rPr>
        <w:t>)</w:t>
      </w:r>
      <w:r w:rsidRPr="000203D9">
        <w:rPr>
          <w:rFonts w:hint="cs"/>
          <w:spacing w:val="0"/>
          <w:kern w:val="0"/>
          <w:sz w:val="20"/>
          <w:rtl/>
          <w:lang w:val="fr-CH"/>
        </w:rPr>
        <w:t>،</w:t>
      </w:r>
      <w:r w:rsidRPr="000203D9">
        <w:rPr>
          <w:spacing w:val="0"/>
          <w:kern w:val="0"/>
          <w:sz w:val="20"/>
          <w:rtl/>
          <w:lang w:val="fr-CH"/>
        </w:rPr>
        <w:t xml:space="preserve"> </w:t>
      </w:r>
      <w:r w:rsidRPr="000203D9">
        <w:rPr>
          <w:rFonts w:hint="cs"/>
          <w:spacing w:val="0"/>
          <w:kern w:val="0"/>
          <w:sz w:val="20"/>
          <w:rtl/>
          <w:lang w:val="fr-CH"/>
        </w:rPr>
        <w:t xml:space="preserve">فإنها تذكِّر بأن </w:t>
      </w:r>
      <w:r w:rsidRPr="000203D9">
        <w:rPr>
          <w:spacing w:val="0"/>
          <w:kern w:val="0"/>
          <w:sz w:val="20"/>
          <w:rtl/>
          <w:lang w:val="fr-CH"/>
        </w:rPr>
        <w:t xml:space="preserve">الوضع الفعلي لحقوق الإنسان في جمهورية إيران الإسلامية </w:t>
      </w:r>
      <w:r w:rsidRPr="000203D9">
        <w:rPr>
          <w:rFonts w:hint="cs"/>
          <w:spacing w:val="0"/>
          <w:kern w:val="0"/>
          <w:sz w:val="20"/>
          <w:rtl/>
          <w:lang w:val="fr-CH"/>
        </w:rPr>
        <w:t xml:space="preserve">ما زال مقلقاً </w:t>
      </w:r>
      <w:r w:rsidRPr="000203D9">
        <w:rPr>
          <w:spacing w:val="0"/>
          <w:kern w:val="0"/>
          <w:sz w:val="20"/>
          <w:rtl/>
          <w:lang w:val="fr-CH"/>
        </w:rPr>
        <w:t xml:space="preserve">للغاية، </w:t>
      </w:r>
      <w:r w:rsidRPr="000203D9">
        <w:rPr>
          <w:rFonts w:hint="cs"/>
          <w:spacing w:val="0"/>
          <w:kern w:val="0"/>
          <w:sz w:val="20"/>
          <w:rtl/>
          <w:lang w:val="fr-CH"/>
        </w:rPr>
        <w:t>وب</w:t>
      </w:r>
      <w:r w:rsidRPr="000203D9">
        <w:rPr>
          <w:spacing w:val="0"/>
          <w:kern w:val="0"/>
          <w:sz w:val="20"/>
          <w:rtl/>
          <w:lang w:val="fr-CH"/>
        </w:rPr>
        <w:t xml:space="preserve">خاصة </w:t>
      </w:r>
      <w:r w:rsidRPr="000203D9">
        <w:rPr>
          <w:rFonts w:hint="cs"/>
          <w:spacing w:val="0"/>
          <w:kern w:val="0"/>
          <w:sz w:val="20"/>
          <w:rtl/>
          <w:lang w:val="fr-CH"/>
        </w:rPr>
        <w:t xml:space="preserve">في أعقاب </w:t>
      </w:r>
      <w:r w:rsidRPr="000203D9">
        <w:rPr>
          <w:spacing w:val="0"/>
          <w:kern w:val="0"/>
          <w:sz w:val="20"/>
          <w:rtl/>
          <w:lang w:val="fr-CH"/>
        </w:rPr>
        <w:t xml:space="preserve">الانتخابات التي </w:t>
      </w:r>
      <w:r w:rsidRPr="000203D9">
        <w:rPr>
          <w:rFonts w:hint="cs"/>
          <w:spacing w:val="0"/>
          <w:kern w:val="0"/>
          <w:sz w:val="20"/>
          <w:rtl/>
          <w:lang w:val="fr-CH"/>
        </w:rPr>
        <w:t>أُجريت في البلد في عام 2009</w:t>
      </w:r>
      <w:r w:rsidRPr="000203D9">
        <w:rPr>
          <w:spacing w:val="0"/>
          <w:kern w:val="0"/>
          <w:sz w:val="20"/>
          <w:rtl/>
          <w:lang w:val="fr-CH"/>
        </w:rPr>
        <w:t>.</w:t>
      </w:r>
      <w:r w:rsidRPr="000203D9">
        <w:rPr>
          <w:rFonts w:hint="cs"/>
          <w:spacing w:val="0"/>
          <w:kern w:val="0"/>
          <w:sz w:val="20"/>
          <w:rtl/>
          <w:lang w:val="fr-CH"/>
        </w:rPr>
        <w:t xml:space="preserve"> وقد اطّلعت </w:t>
      </w:r>
      <w:r w:rsidRPr="000203D9">
        <w:rPr>
          <w:spacing w:val="0"/>
          <w:kern w:val="0"/>
          <w:sz w:val="20"/>
          <w:rtl/>
          <w:lang w:val="fr-CH"/>
        </w:rPr>
        <w:t xml:space="preserve">اللجنة </w:t>
      </w:r>
      <w:r w:rsidRPr="000203D9">
        <w:rPr>
          <w:rFonts w:hint="cs"/>
          <w:spacing w:val="0"/>
          <w:kern w:val="0"/>
          <w:sz w:val="20"/>
          <w:rtl/>
          <w:lang w:val="fr-CH"/>
        </w:rPr>
        <w:t xml:space="preserve">على </w:t>
      </w:r>
      <w:r w:rsidRPr="000203D9">
        <w:rPr>
          <w:spacing w:val="0"/>
          <w:kern w:val="0"/>
          <w:sz w:val="20"/>
          <w:rtl/>
          <w:lang w:val="fr-CH"/>
        </w:rPr>
        <w:t>العديد من التقارير التي ت</w:t>
      </w:r>
      <w:r w:rsidRPr="000203D9">
        <w:rPr>
          <w:rFonts w:hint="cs"/>
          <w:spacing w:val="0"/>
          <w:kern w:val="0"/>
          <w:sz w:val="20"/>
          <w:rtl/>
          <w:lang w:val="fr-CH"/>
        </w:rPr>
        <w:t xml:space="preserve">بيّن تحديداً ممارسات </w:t>
      </w:r>
      <w:r w:rsidRPr="000203D9">
        <w:rPr>
          <w:spacing w:val="0"/>
          <w:kern w:val="0"/>
          <w:sz w:val="20"/>
          <w:rtl/>
          <w:lang w:val="fr-CH"/>
        </w:rPr>
        <w:t>القمع والاعتقال التعسفي</w:t>
      </w:r>
      <w:r w:rsidRPr="000203D9">
        <w:rPr>
          <w:rFonts w:hint="cs"/>
          <w:spacing w:val="0"/>
          <w:kern w:val="0"/>
          <w:sz w:val="20"/>
          <w:rtl/>
          <w:lang w:val="fr-CH"/>
        </w:rPr>
        <w:t xml:space="preserve"> بحق الكثير من </w:t>
      </w:r>
      <w:r w:rsidRPr="000203D9">
        <w:rPr>
          <w:spacing w:val="0"/>
          <w:kern w:val="0"/>
          <w:sz w:val="20"/>
          <w:rtl/>
          <w:lang w:val="fr-CH"/>
        </w:rPr>
        <w:t>الإصلاحيين والطلب</w:t>
      </w:r>
      <w:r w:rsidRPr="000203D9">
        <w:rPr>
          <w:rFonts w:hint="cs"/>
          <w:spacing w:val="0"/>
          <w:kern w:val="0"/>
          <w:sz w:val="20"/>
          <w:rtl/>
          <w:lang w:val="fr-CH"/>
        </w:rPr>
        <w:t>ة</w:t>
      </w:r>
      <w:r w:rsidRPr="000203D9">
        <w:rPr>
          <w:spacing w:val="0"/>
          <w:kern w:val="0"/>
          <w:sz w:val="20"/>
          <w:rtl/>
          <w:lang w:val="fr-CH"/>
        </w:rPr>
        <w:t xml:space="preserve"> والصحافيين والمدافعين عن حقوق الإنسان، </w:t>
      </w:r>
      <w:r w:rsidRPr="000203D9">
        <w:rPr>
          <w:rFonts w:hint="cs"/>
          <w:spacing w:val="0"/>
          <w:kern w:val="0"/>
          <w:sz w:val="20"/>
          <w:rtl/>
          <w:lang w:val="fr-CH"/>
        </w:rPr>
        <w:t xml:space="preserve">الذين منهم من احتجز في مكان مجهول، </w:t>
      </w:r>
      <w:r w:rsidRPr="000203D9">
        <w:rPr>
          <w:spacing w:val="0"/>
          <w:kern w:val="0"/>
          <w:sz w:val="20"/>
          <w:rtl/>
          <w:lang w:val="fr-CH"/>
        </w:rPr>
        <w:t>و</w:t>
      </w:r>
      <w:r w:rsidRPr="000203D9">
        <w:rPr>
          <w:rFonts w:hint="cs"/>
          <w:spacing w:val="0"/>
          <w:kern w:val="0"/>
          <w:sz w:val="20"/>
          <w:rtl/>
          <w:lang w:val="fr-CH"/>
        </w:rPr>
        <w:t xml:space="preserve">منهم من </w:t>
      </w:r>
      <w:r w:rsidRPr="000203D9">
        <w:rPr>
          <w:spacing w:val="0"/>
          <w:kern w:val="0"/>
          <w:sz w:val="20"/>
          <w:rtl/>
          <w:lang w:val="fr-CH"/>
        </w:rPr>
        <w:t>ح</w:t>
      </w:r>
      <w:r w:rsidRPr="000203D9">
        <w:rPr>
          <w:rFonts w:hint="cs"/>
          <w:spacing w:val="0"/>
          <w:kern w:val="0"/>
          <w:sz w:val="20"/>
          <w:rtl/>
          <w:lang w:val="fr-CH"/>
        </w:rPr>
        <w:t>ُ</w:t>
      </w:r>
      <w:r w:rsidRPr="000203D9">
        <w:rPr>
          <w:spacing w:val="0"/>
          <w:kern w:val="0"/>
          <w:sz w:val="20"/>
          <w:rtl/>
          <w:lang w:val="fr-CH"/>
        </w:rPr>
        <w:t>ك</w:t>
      </w:r>
      <w:r w:rsidRPr="000203D9">
        <w:rPr>
          <w:rFonts w:hint="cs"/>
          <w:spacing w:val="0"/>
          <w:kern w:val="0"/>
          <w:sz w:val="20"/>
          <w:rtl/>
          <w:lang w:val="fr-CH"/>
        </w:rPr>
        <w:t>ِ</w:t>
      </w:r>
      <w:r w:rsidRPr="000203D9">
        <w:rPr>
          <w:spacing w:val="0"/>
          <w:kern w:val="0"/>
          <w:sz w:val="20"/>
          <w:rtl/>
          <w:lang w:val="fr-CH"/>
        </w:rPr>
        <w:t>م عليه بالإعدام ون</w:t>
      </w:r>
      <w:r w:rsidRPr="000203D9">
        <w:rPr>
          <w:rFonts w:hint="cs"/>
          <w:spacing w:val="0"/>
          <w:kern w:val="0"/>
          <w:sz w:val="20"/>
          <w:rtl/>
          <w:lang w:val="fr-CH"/>
        </w:rPr>
        <w:t>ُ</w:t>
      </w:r>
      <w:r w:rsidRPr="000203D9">
        <w:rPr>
          <w:spacing w:val="0"/>
          <w:kern w:val="0"/>
          <w:sz w:val="20"/>
          <w:rtl/>
          <w:lang w:val="fr-CH"/>
        </w:rPr>
        <w:t>ف</w:t>
      </w:r>
      <w:r w:rsidRPr="000203D9">
        <w:rPr>
          <w:rFonts w:hint="cs"/>
          <w:spacing w:val="0"/>
          <w:kern w:val="0"/>
          <w:sz w:val="20"/>
          <w:rtl/>
          <w:lang w:val="fr-CH"/>
        </w:rPr>
        <w:t>ِّ</w:t>
      </w:r>
      <w:r w:rsidRPr="000203D9">
        <w:rPr>
          <w:spacing w:val="0"/>
          <w:kern w:val="0"/>
          <w:sz w:val="20"/>
          <w:rtl/>
          <w:lang w:val="fr-CH"/>
        </w:rPr>
        <w:t>ذ</w:t>
      </w:r>
      <w:r w:rsidRPr="000203D9">
        <w:rPr>
          <w:rFonts w:hint="cs"/>
          <w:spacing w:val="0"/>
          <w:kern w:val="0"/>
          <w:sz w:val="20"/>
          <w:rtl/>
          <w:lang w:val="fr-CH"/>
        </w:rPr>
        <w:t xml:space="preserve"> فيه الحكم</w:t>
      </w:r>
      <w:r w:rsidRPr="000203D9">
        <w:rPr>
          <w:spacing w:val="0"/>
          <w:kern w:val="0"/>
          <w:sz w:val="20"/>
          <w:vertAlign w:val="superscript"/>
          <w:rtl/>
          <w:lang w:val="fr-CH"/>
        </w:rPr>
        <w:t>(</w:t>
      </w:r>
      <w:r w:rsidRPr="000203D9">
        <w:rPr>
          <w:rStyle w:val="FootnoteReference"/>
          <w:spacing w:val="0"/>
          <w:sz w:val="20"/>
          <w:rtl/>
          <w:lang w:val="fr-CH"/>
        </w:rPr>
        <w:footnoteReference w:id="280"/>
      </w:r>
      <w:r w:rsidRPr="000203D9">
        <w:rPr>
          <w:spacing w:val="0"/>
          <w:kern w:val="0"/>
          <w:sz w:val="20"/>
          <w:vertAlign w:val="superscript"/>
          <w:rtl/>
          <w:lang w:val="fr-CH"/>
        </w:rPr>
        <w:t>)</w:t>
      </w:r>
      <w:r w:rsidRPr="000203D9">
        <w:rPr>
          <w:rFonts w:hint="cs"/>
          <w:spacing w:val="0"/>
          <w:kern w:val="0"/>
          <w:sz w:val="20"/>
          <w:rtl/>
          <w:lang w:val="fr-CH"/>
        </w:rPr>
        <w:t xml:space="preserve">. وقد اعترفت الدولة الطرف </w:t>
      </w:r>
      <w:r w:rsidRPr="000203D9">
        <w:rPr>
          <w:rFonts w:hint="cs"/>
          <w:spacing w:val="0"/>
          <w:kern w:val="0"/>
          <w:sz w:val="20"/>
          <w:rtl/>
          <w:lang/>
        </w:rPr>
        <w:t>بنفسها بأن حالة حقوق الإنسان في إيران مقلقة جداً من وجوه عديدة</w:t>
      </w:r>
      <w:r w:rsidRPr="000203D9">
        <w:rPr>
          <w:rFonts w:hint="cs"/>
          <w:spacing w:val="0"/>
          <w:kern w:val="0"/>
          <w:sz w:val="20"/>
          <w:szCs w:val="20"/>
          <w:rtl/>
        </w:rPr>
        <w:t xml:space="preserve">. </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9-5</w:t>
      </w:r>
      <w:r w:rsidRPr="000203D9">
        <w:rPr>
          <w:rFonts w:hint="cs"/>
          <w:spacing w:val="0"/>
          <w:kern w:val="0"/>
          <w:sz w:val="20"/>
          <w:rtl/>
          <w:lang w:val="fr-CH"/>
        </w:rPr>
        <w:tab/>
        <w:t>وتلاحظ اللجنة أن صاحب الشكوى وصل إلى سويسرا في عام 2000. وبدأ، منذ عام 2005، ينشط في الرابطة الديمقراطية لشؤون اللاجئين التي يمثلها على صعيد كانتون أوبفالد وكتب مقالات تندد بالنظام الإيراني الحالي، ووزع منشورات صادرة عن المنظمة وشارك في أحداث مختلفة نظمتها منظمات غير حكومية وكنائس محلية في الكانتون الذي يقيم فيه. ويؤكد، بصفته من إداريي المنظمة، أنه يشارك في التخطيط الاستراتيجي لأنشطة المنظمة وأن اسمه وعنوانه قد نشرا في مجلة الرابطة الشهرية. وتلاحظ اللجنة أيضاً أنه تم الاعتراف بابن صاحب الشكوى كلاجئ، على أساس أنشطة مماثلة للأنشطة التي يضطلع بها والده في الرابطة، ولا سيما جمع التوقيعات على الالتماسات، وتوزيع المجلة الشهرية للمنظمة "قانون"، والمشاركة في مشروع برنامج إذاعي. ولم تعترض الدولة الطرف على هذه المعلومات. وبما أن الدولة الطرف خلصت إلى أنه لا يمكن طرد ابن صاحب الشكوى إلى جمهورية إيران الإسلامية بسبب مركزه السياسي، الذي قد يهدد أمنه إذا عاد، تلاحظ اللجنة تمييزاً في المعاملة، لأن السلطات ذاتها مستعدة لطرد والده إلى إيران، علماً بأنه يضطلع بأنشطة مماثلة ويتعرض لمخاطر من نفس الطبيعة.</w:t>
      </w:r>
    </w:p>
    <w:p w:rsidR="000203D9" w:rsidRPr="000203D9" w:rsidRDefault="000203D9" w:rsidP="000203D9">
      <w:pPr>
        <w:pStyle w:val="SingleTxtGA"/>
        <w:jc w:val="lowKashida"/>
        <w:rPr>
          <w:rFonts w:hint="cs"/>
          <w:spacing w:val="0"/>
          <w:kern w:val="0"/>
          <w:sz w:val="20"/>
          <w:rtl/>
          <w:lang w:val="fr-CH"/>
        </w:rPr>
      </w:pPr>
      <w:r w:rsidRPr="000203D9">
        <w:rPr>
          <w:rFonts w:hint="cs"/>
          <w:spacing w:val="0"/>
          <w:kern w:val="0"/>
          <w:sz w:val="20"/>
          <w:rtl/>
          <w:lang w:val="fr-CH"/>
        </w:rPr>
        <w:t>9-6</w:t>
      </w:r>
      <w:r w:rsidRPr="000203D9">
        <w:rPr>
          <w:rFonts w:hint="cs"/>
          <w:spacing w:val="0"/>
          <w:kern w:val="0"/>
          <w:sz w:val="20"/>
          <w:rtl/>
          <w:lang w:val="fr-CH"/>
        </w:rPr>
        <w:tab/>
        <w:t>وفي ضوء مجمل الظروف، بما فيها الحالة العامة لحقوق الإنسان في جمهورية إيران الإسلامية، والوضع الشخصي لصاحب الشكوى الذي يضطلع بأنشطة سياسية معارضة داخل الرابطة والذي اعتُرف بمركز ابنه كلاجئ، ومع مراعاة قراراتها السابقة</w:t>
      </w:r>
      <w:r w:rsidRPr="000203D9">
        <w:rPr>
          <w:spacing w:val="0"/>
          <w:kern w:val="0"/>
          <w:sz w:val="20"/>
          <w:vertAlign w:val="superscript"/>
          <w:rtl/>
          <w:lang w:val="fr-CH"/>
        </w:rPr>
        <w:t>(</w:t>
      </w:r>
      <w:r w:rsidRPr="000203D9">
        <w:rPr>
          <w:rStyle w:val="FootnoteReference"/>
          <w:spacing w:val="0"/>
          <w:sz w:val="20"/>
          <w:rtl/>
          <w:lang w:val="fr-CH"/>
        </w:rPr>
        <w:footnoteReference w:id="281"/>
      </w:r>
      <w:r w:rsidRPr="000203D9">
        <w:rPr>
          <w:spacing w:val="0"/>
          <w:kern w:val="0"/>
          <w:sz w:val="20"/>
          <w:vertAlign w:val="superscript"/>
          <w:rtl/>
          <w:lang w:val="fr-CH"/>
        </w:rPr>
        <w:t>)</w:t>
      </w:r>
      <w:r w:rsidRPr="000203D9">
        <w:rPr>
          <w:rFonts w:hint="cs"/>
          <w:spacing w:val="0"/>
          <w:kern w:val="0"/>
          <w:sz w:val="20"/>
          <w:rtl/>
          <w:lang w:val="fr-CH"/>
        </w:rPr>
        <w:t>،</w:t>
      </w:r>
      <w:r w:rsidRPr="000203D9">
        <w:rPr>
          <w:spacing w:val="0"/>
          <w:kern w:val="0"/>
          <w:sz w:val="20"/>
          <w:rtl/>
          <w:lang w:val="fr-CH"/>
        </w:rPr>
        <w:t xml:space="preserve"> </w:t>
      </w:r>
      <w:r w:rsidRPr="000203D9">
        <w:rPr>
          <w:rFonts w:hint="cs"/>
          <w:spacing w:val="0"/>
          <w:kern w:val="0"/>
          <w:sz w:val="20"/>
          <w:rtl/>
          <w:lang w:val="fr-CH"/>
        </w:rPr>
        <w:t xml:space="preserve">ترى اللجنة أن من المحتمل أن يكون صاحب الشكوى قد لفت انتباه السلطات الإيرانية. وعليه، ترى اللجنة أن هناك أسباباً حقيقية تدعو إلى الاعتقاد بأنه سيتعرض لخطر التعذيب إذا أعيد إلى إيران مع زوجته وابنهما أرمين فرج الله. وتشير اللجنة أيضاً إلى أنه بالنظر إلى أن إيران ليست طرفاً في الاتفاقية، فإن صاحب الشكوى سيحرم من إمكانية التوجه قانونياً إلى اللجنة لتلقي أي شكل من أشكال الحماية في حالة طرده إلى هذا البلد. </w:t>
      </w:r>
    </w:p>
    <w:p w:rsidR="000203D9" w:rsidRPr="00141C90" w:rsidRDefault="000203D9" w:rsidP="000203D9">
      <w:pPr>
        <w:pStyle w:val="SingleTxtGA"/>
        <w:jc w:val="lowKashida"/>
        <w:rPr>
          <w:rFonts w:hint="cs"/>
          <w:spacing w:val="-2"/>
          <w:kern w:val="0"/>
          <w:sz w:val="20"/>
          <w:rtl/>
          <w:lang w:bidi="ar-EG"/>
        </w:rPr>
      </w:pPr>
      <w:r w:rsidRPr="00141C90">
        <w:rPr>
          <w:rFonts w:hint="cs"/>
          <w:spacing w:val="-2"/>
          <w:kern w:val="0"/>
          <w:sz w:val="20"/>
          <w:rtl/>
          <w:lang w:bidi="ar-EG"/>
        </w:rPr>
        <w:t>10-</w:t>
      </w:r>
      <w:r w:rsidRPr="00141C90">
        <w:rPr>
          <w:rFonts w:hint="cs"/>
          <w:spacing w:val="-2"/>
          <w:kern w:val="0"/>
          <w:sz w:val="20"/>
          <w:rtl/>
          <w:lang w:bidi="ar-EG"/>
        </w:rPr>
        <w:tab/>
        <w:t xml:space="preserve">وإن لجنة مناهضة التعذيب، إذ تعمل بموجب الفقرة 7 من المادة 22 من اتفاقية </w:t>
      </w:r>
      <w:r w:rsidRPr="00141C90">
        <w:rPr>
          <w:rFonts w:hint="cs"/>
          <w:spacing w:val="-2"/>
          <w:kern w:val="0"/>
          <w:sz w:val="20"/>
          <w:rtl/>
          <w:lang/>
        </w:rPr>
        <w:t>مناهضة التعذيب وغيره من ضروب المعاملة أو العقوبة القاسية أو اللاإنسانية أو المهينة</w:t>
      </w:r>
      <w:r w:rsidRPr="00141C90">
        <w:rPr>
          <w:rFonts w:hint="cs"/>
          <w:spacing w:val="-2"/>
          <w:kern w:val="0"/>
          <w:sz w:val="20"/>
          <w:rtl/>
          <w:lang w:bidi="ar-EG"/>
        </w:rPr>
        <w:t xml:space="preserve">، أن طرد صاحب الشكوى وأسرته إلى جمهورية </w:t>
      </w:r>
      <w:r w:rsidRPr="00141C90">
        <w:rPr>
          <w:rFonts w:hint="cs"/>
          <w:spacing w:val="-2"/>
          <w:kern w:val="0"/>
          <w:sz w:val="20"/>
          <w:rtl/>
        </w:rPr>
        <w:t>إيران الإسلامية</w:t>
      </w:r>
      <w:r w:rsidRPr="00141C90">
        <w:rPr>
          <w:rFonts w:hint="cs"/>
          <w:spacing w:val="-2"/>
          <w:kern w:val="0"/>
          <w:sz w:val="20"/>
          <w:rtl/>
          <w:lang w:bidi="ar-EG"/>
        </w:rPr>
        <w:t xml:space="preserve"> يشكل انتهاكاً للمادة 3 من الاتفاقية.</w:t>
      </w:r>
    </w:p>
    <w:p w:rsidR="000203D9" w:rsidRDefault="000203D9" w:rsidP="000203D9">
      <w:pPr>
        <w:pStyle w:val="SingleTxtGA"/>
        <w:jc w:val="lowKashida"/>
        <w:rPr>
          <w:rFonts w:hint="cs"/>
          <w:spacing w:val="0"/>
          <w:kern w:val="0"/>
          <w:sz w:val="20"/>
          <w:rtl/>
          <w:lang w:val="fr-CH"/>
        </w:rPr>
      </w:pPr>
      <w:r w:rsidRPr="000203D9">
        <w:rPr>
          <w:rFonts w:hint="cs"/>
          <w:spacing w:val="0"/>
          <w:kern w:val="0"/>
          <w:sz w:val="20"/>
          <w:rtl/>
          <w:lang w:bidi="ar-EG"/>
        </w:rPr>
        <w:t>11-</w:t>
      </w:r>
      <w:r w:rsidRPr="000203D9">
        <w:rPr>
          <w:rFonts w:hint="cs"/>
          <w:spacing w:val="0"/>
          <w:kern w:val="0"/>
          <w:sz w:val="20"/>
          <w:rtl/>
          <w:lang w:bidi="ar-EG"/>
        </w:rPr>
        <w:tab/>
        <w:t xml:space="preserve">وتحث اللجنة الدولة الطرف، عملاً بالفقرة 5 من المادة 112 من نظامها الداخلي، على أن تبلغها، في غضون 90 يوماً من تاريخ إحالة هذا القرار، بالخطوات التي اتخذتها </w:t>
      </w:r>
      <w:r w:rsidRPr="000203D9">
        <w:rPr>
          <w:rFonts w:hint="cs"/>
          <w:spacing w:val="0"/>
          <w:kern w:val="0"/>
          <w:sz w:val="20"/>
          <w:rtl/>
          <w:lang/>
        </w:rPr>
        <w:t>استجابةً لهذا القرار</w:t>
      </w:r>
      <w:r w:rsidRPr="000203D9">
        <w:rPr>
          <w:rFonts w:hint="cs"/>
          <w:spacing w:val="0"/>
          <w:kern w:val="0"/>
          <w:sz w:val="20"/>
          <w:rtl/>
          <w:lang w:bidi="ar-EG"/>
        </w:rPr>
        <w:t>.</w:t>
      </w:r>
    </w:p>
    <w:p w:rsidR="008655A1" w:rsidRDefault="008655A1" w:rsidP="000203D9">
      <w:pPr>
        <w:pStyle w:val="SingleTxtGA"/>
        <w:jc w:val="lowKashida"/>
        <w:rPr>
          <w:spacing w:val="0"/>
          <w:kern w:val="0"/>
          <w:sz w:val="20"/>
          <w:rtl/>
          <w:lang w:val="fr-CH"/>
        </w:rPr>
        <w:sectPr w:rsidR="008655A1"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8655A1" w:rsidRPr="008655A1" w:rsidRDefault="008655A1" w:rsidP="008655A1">
      <w:pPr>
        <w:pStyle w:val="H1GA"/>
        <w:spacing w:before="120"/>
        <w:jc w:val="lowKashida"/>
        <w:rPr>
          <w:rFonts w:hint="cs"/>
          <w:spacing w:val="0"/>
          <w:kern w:val="0"/>
          <w:sz w:val="20"/>
          <w:rtl/>
        </w:rPr>
      </w:pPr>
      <w:r w:rsidRPr="008655A1">
        <w:rPr>
          <w:rFonts w:hint="cs"/>
          <w:spacing w:val="0"/>
          <w:kern w:val="0"/>
          <w:sz w:val="20"/>
          <w:rtl/>
        </w:rPr>
        <w:tab/>
      </w:r>
      <w:r w:rsidRPr="008655A1">
        <w:rPr>
          <w:rFonts w:hint="cs"/>
          <w:spacing w:val="0"/>
          <w:kern w:val="0"/>
          <w:sz w:val="20"/>
          <w:rtl/>
        </w:rPr>
        <w:tab/>
        <w:t xml:space="preserve">البلاغ رقم 382/2009: </w:t>
      </w:r>
      <w:r w:rsidRPr="008655A1">
        <w:rPr>
          <w:rFonts w:hint="cs"/>
          <w:i/>
          <w:iCs/>
          <w:color w:val="000000"/>
          <w:spacing w:val="0"/>
          <w:kern w:val="0"/>
          <w:sz w:val="20"/>
          <w:rtl/>
          <w:lang w:val="fr-CH"/>
        </w:rPr>
        <w:t>م. د. ت.</w:t>
      </w:r>
      <w:r w:rsidRPr="008655A1">
        <w:rPr>
          <w:rFonts w:hint="cs"/>
          <w:i/>
          <w:iCs/>
          <w:spacing w:val="0"/>
          <w:kern w:val="0"/>
          <w:sz w:val="20"/>
          <w:rtl/>
        </w:rPr>
        <w:t xml:space="preserve"> ضد </w:t>
      </w:r>
      <w:r w:rsidRPr="008655A1">
        <w:rPr>
          <w:rFonts w:hint="cs"/>
          <w:i/>
          <w:iCs/>
          <w:spacing w:val="0"/>
          <w:kern w:val="0"/>
          <w:sz w:val="20"/>
          <w:rtl/>
          <w:lang w:val="fr-CH"/>
        </w:rPr>
        <w:t>سويسرا</w:t>
      </w:r>
    </w:p>
    <w:p w:rsidR="008655A1" w:rsidRPr="008655A1" w:rsidRDefault="008655A1" w:rsidP="008655A1">
      <w:pPr>
        <w:pStyle w:val="SingleTxtGA"/>
        <w:tabs>
          <w:tab w:val="clear" w:pos="1928"/>
          <w:tab w:val="clear" w:pos="2608"/>
          <w:tab w:val="clear" w:pos="3289"/>
          <w:tab w:val="clear" w:pos="3969"/>
          <w:tab w:val="clear" w:pos="4649"/>
          <w:tab w:val="left" w:pos="4346"/>
        </w:tabs>
        <w:ind w:left="4514" w:hanging="2561"/>
        <w:jc w:val="lowKashida"/>
        <w:rPr>
          <w:rFonts w:hint="cs"/>
          <w:spacing w:val="0"/>
          <w:kern w:val="0"/>
          <w:sz w:val="20"/>
          <w:rtl/>
          <w:lang w:val="fr-CH"/>
        </w:rPr>
      </w:pPr>
      <w:r w:rsidRPr="008655A1">
        <w:rPr>
          <w:rFonts w:hint="cs"/>
          <w:i/>
          <w:iCs/>
          <w:spacing w:val="0"/>
          <w:kern w:val="0"/>
          <w:sz w:val="20"/>
          <w:rtl/>
          <w:lang w:val="fr-CH"/>
        </w:rPr>
        <w:t>المقدم من</w:t>
      </w:r>
      <w:r w:rsidRPr="008655A1">
        <w:rPr>
          <w:rFonts w:hint="cs"/>
          <w:spacing w:val="0"/>
          <w:kern w:val="0"/>
          <w:sz w:val="20"/>
          <w:rtl/>
          <w:lang w:val="fr-CH"/>
        </w:rPr>
        <w:t>:</w:t>
      </w:r>
      <w:r w:rsidRPr="008655A1">
        <w:rPr>
          <w:rFonts w:hint="cs"/>
          <w:spacing w:val="0"/>
          <w:kern w:val="0"/>
          <w:sz w:val="20"/>
          <w:rtl/>
          <w:lang w:val="fr-CH"/>
        </w:rPr>
        <w:tab/>
      </w:r>
      <w:r w:rsidRPr="008655A1">
        <w:rPr>
          <w:rFonts w:hint="cs"/>
          <w:color w:val="000000"/>
          <w:spacing w:val="0"/>
          <w:kern w:val="0"/>
          <w:sz w:val="20"/>
          <w:rtl/>
          <w:lang w:val="fr-CH"/>
        </w:rPr>
        <w:t>م. د. ت. (لا يمثله</w:t>
      </w:r>
      <w:r w:rsidRPr="008655A1">
        <w:rPr>
          <w:rFonts w:hint="cs"/>
          <w:spacing w:val="0"/>
          <w:kern w:val="0"/>
          <w:sz w:val="20"/>
          <w:rtl/>
        </w:rPr>
        <w:t xml:space="preserve"> محام)</w:t>
      </w:r>
    </w:p>
    <w:p w:rsidR="008655A1" w:rsidRPr="008655A1" w:rsidRDefault="008655A1" w:rsidP="008655A1">
      <w:pPr>
        <w:pStyle w:val="SingleTxtGA"/>
        <w:tabs>
          <w:tab w:val="clear" w:pos="1928"/>
          <w:tab w:val="clear" w:pos="2608"/>
          <w:tab w:val="clear" w:pos="3289"/>
          <w:tab w:val="clear" w:pos="3969"/>
          <w:tab w:val="clear" w:pos="4649"/>
          <w:tab w:val="left" w:pos="4346"/>
        </w:tabs>
        <w:ind w:left="4514" w:hanging="2561"/>
        <w:jc w:val="lowKashida"/>
        <w:rPr>
          <w:rFonts w:hint="cs"/>
          <w:spacing w:val="0"/>
          <w:kern w:val="0"/>
          <w:sz w:val="20"/>
          <w:rtl/>
          <w:lang w:val="fr-CH"/>
        </w:rPr>
      </w:pPr>
      <w:r w:rsidRPr="008655A1">
        <w:rPr>
          <w:rFonts w:hint="cs"/>
          <w:spacing w:val="0"/>
          <w:kern w:val="0"/>
          <w:sz w:val="20"/>
          <w:rtl/>
          <w:lang w:val="fr-CH"/>
        </w:rPr>
        <w:t>الشخص المدعى أنه ضحية:</w:t>
      </w:r>
      <w:r w:rsidRPr="008655A1">
        <w:rPr>
          <w:rFonts w:hint="cs"/>
          <w:spacing w:val="0"/>
          <w:kern w:val="0"/>
          <w:sz w:val="20"/>
          <w:rtl/>
          <w:lang w:val="fr-CH"/>
        </w:rPr>
        <w:tab/>
        <w:t>صاحب الشكوى</w:t>
      </w:r>
    </w:p>
    <w:p w:rsidR="008655A1" w:rsidRPr="008655A1" w:rsidRDefault="008655A1" w:rsidP="008655A1">
      <w:pPr>
        <w:pStyle w:val="SingleTxtGA"/>
        <w:tabs>
          <w:tab w:val="clear" w:pos="1928"/>
          <w:tab w:val="clear" w:pos="2608"/>
          <w:tab w:val="clear" w:pos="3289"/>
          <w:tab w:val="clear" w:pos="3969"/>
          <w:tab w:val="clear" w:pos="4649"/>
          <w:tab w:val="left" w:pos="4346"/>
        </w:tabs>
        <w:ind w:left="4514" w:hanging="2561"/>
        <w:jc w:val="lowKashida"/>
        <w:rPr>
          <w:rFonts w:hint="cs"/>
          <w:spacing w:val="0"/>
          <w:kern w:val="0"/>
          <w:sz w:val="20"/>
          <w:rtl/>
          <w:lang w:val="fr-CH"/>
        </w:rPr>
      </w:pPr>
      <w:r w:rsidRPr="008655A1">
        <w:rPr>
          <w:rFonts w:hint="cs"/>
          <w:i/>
          <w:iCs/>
          <w:spacing w:val="0"/>
          <w:kern w:val="0"/>
          <w:sz w:val="20"/>
          <w:rtl/>
          <w:lang w:val="fr-CH"/>
        </w:rPr>
        <w:t>الدولة الطرف</w:t>
      </w:r>
      <w:r w:rsidRPr="008655A1">
        <w:rPr>
          <w:rFonts w:hint="cs"/>
          <w:spacing w:val="0"/>
          <w:kern w:val="0"/>
          <w:sz w:val="20"/>
          <w:rtl/>
          <w:lang w:val="fr-CH"/>
        </w:rPr>
        <w:t>:</w:t>
      </w:r>
      <w:r w:rsidRPr="008655A1">
        <w:rPr>
          <w:rFonts w:hint="cs"/>
          <w:spacing w:val="0"/>
          <w:kern w:val="0"/>
          <w:sz w:val="20"/>
          <w:rtl/>
          <w:lang w:val="fr-CH"/>
        </w:rPr>
        <w:tab/>
        <w:t>سويسرا</w:t>
      </w:r>
    </w:p>
    <w:p w:rsidR="008655A1" w:rsidRPr="008655A1" w:rsidRDefault="008655A1" w:rsidP="008655A1">
      <w:pPr>
        <w:pStyle w:val="SingleTxtGA"/>
        <w:tabs>
          <w:tab w:val="clear" w:pos="1928"/>
          <w:tab w:val="clear" w:pos="2608"/>
          <w:tab w:val="clear" w:pos="3289"/>
          <w:tab w:val="clear" w:pos="3969"/>
          <w:tab w:val="clear" w:pos="4649"/>
          <w:tab w:val="left" w:pos="4346"/>
        </w:tabs>
        <w:ind w:left="4514" w:hanging="2561"/>
        <w:jc w:val="lowKashida"/>
        <w:rPr>
          <w:rFonts w:hint="cs"/>
          <w:spacing w:val="0"/>
          <w:kern w:val="0"/>
          <w:sz w:val="20"/>
          <w:rtl/>
          <w:lang w:val="fr-CH"/>
        </w:rPr>
      </w:pPr>
      <w:r w:rsidRPr="008655A1">
        <w:rPr>
          <w:i/>
          <w:iCs/>
          <w:spacing w:val="0"/>
          <w:kern w:val="0"/>
          <w:sz w:val="20"/>
          <w:rtl/>
          <w:lang w:val="fr-CH"/>
        </w:rPr>
        <w:t>تاريخ تقديم ال</w:t>
      </w:r>
      <w:r w:rsidRPr="008655A1">
        <w:rPr>
          <w:rFonts w:hint="cs"/>
          <w:i/>
          <w:iCs/>
          <w:spacing w:val="0"/>
          <w:kern w:val="0"/>
          <w:sz w:val="20"/>
          <w:rtl/>
          <w:lang w:val="fr-CH"/>
        </w:rPr>
        <w:t>شكوى</w:t>
      </w:r>
      <w:r w:rsidRPr="008655A1">
        <w:rPr>
          <w:rFonts w:hint="cs"/>
          <w:spacing w:val="0"/>
          <w:kern w:val="0"/>
          <w:sz w:val="20"/>
          <w:rtl/>
          <w:lang w:val="fr-CH"/>
        </w:rPr>
        <w:t>:</w:t>
      </w:r>
      <w:r w:rsidRPr="008655A1">
        <w:rPr>
          <w:rFonts w:hint="cs"/>
          <w:spacing w:val="0"/>
          <w:kern w:val="0"/>
          <w:sz w:val="20"/>
          <w:rtl/>
          <w:lang w:val="fr-CH"/>
        </w:rPr>
        <w:tab/>
        <w:t>11 نيسان/أبريل 2009 (تاريخ الرسالة الأولى)</w:t>
      </w:r>
    </w:p>
    <w:p w:rsidR="008655A1" w:rsidRPr="008655A1" w:rsidRDefault="008655A1" w:rsidP="008655A1">
      <w:pPr>
        <w:pStyle w:val="SingleTxtGA"/>
        <w:jc w:val="lowKashida"/>
        <w:rPr>
          <w:rFonts w:hint="cs"/>
          <w:spacing w:val="0"/>
          <w:kern w:val="0"/>
          <w:sz w:val="20"/>
          <w:rtl/>
        </w:rPr>
      </w:pPr>
      <w:r w:rsidRPr="008655A1">
        <w:rPr>
          <w:rFonts w:hint="cs"/>
          <w:i/>
          <w:iCs/>
          <w:spacing w:val="0"/>
          <w:kern w:val="0"/>
          <w:sz w:val="20"/>
          <w:rtl/>
        </w:rPr>
        <w:tab/>
      </w:r>
      <w:r w:rsidRPr="008655A1">
        <w:rPr>
          <w:i/>
          <w:iCs/>
          <w:spacing w:val="0"/>
          <w:kern w:val="0"/>
          <w:sz w:val="20"/>
          <w:rtl/>
        </w:rPr>
        <w:t>إن لجنة مناهضة التعذيب</w:t>
      </w:r>
      <w:r w:rsidRPr="008655A1">
        <w:rPr>
          <w:spacing w:val="0"/>
          <w:kern w:val="0"/>
          <w:sz w:val="20"/>
          <w:rtl/>
        </w:rPr>
        <w:t>، المنشأة بموجب المادة 17 من اتفاقية مناهضة التعذيب وغيره من ضروب المعاملة أو العقوبة القاسية أو اللاإنسانية أو المهينة،</w:t>
      </w:r>
    </w:p>
    <w:p w:rsidR="008655A1" w:rsidRPr="008655A1" w:rsidRDefault="008655A1" w:rsidP="008655A1">
      <w:pPr>
        <w:pStyle w:val="SingleTxtGA"/>
        <w:jc w:val="lowKashida"/>
        <w:rPr>
          <w:rFonts w:hint="cs"/>
          <w:spacing w:val="0"/>
          <w:kern w:val="0"/>
          <w:sz w:val="20"/>
          <w:rtl/>
        </w:rPr>
      </w:pPr>
      <w:r w:rsidRPr="008655A1">
        <w:rPr>
          <w:rFonts w:hint="cs"/>
          <w:i/>
          <w:iCs/>
          <w:spacing w:val="0"/>
          <w:kern w:val="0"/>
          <w:sz w:val="20"/>
          <w:rtl/>
        </w:rPr>
        <w:tab/>
      </w:r>
      <w:r w:rsidRPr="008655A1">
        <w:rPr>
          <w:i/>
          <w:iCs/>
          <w:spacing w:val="0"/>
          <w:kern w:val="0"/>
          <w:sz w:val="20"/>
          <w:rtl/>
        </w:rPr>
        <w:t>وقد اجتمعت</w:t>
      </w:r>
      <w:r w:rsidRPr="008655A1">
        <w:rPr>
          <w:spacing w:val="0"/>
          <w:kern w:val="0"/>
          <w:sz w:val="20"/>
          <w:rtl/>
        </w:rPr>
        <w:t xml:space="preserve"> في </w:t>
      </w:r>
      <w:r w:rsidRPr="008655A1">
        <w:rPr>
          <w:rFonts w:hint="cs"/>
          <w:spacing w:val="0"/>
          <w:kern w:val="0"/>
          <w:sz w:val="20"/>
          <w:rtl/>
        </w:rPr>
        <w:t>14 أيار/مايو 2012،</w:t>
      </w:r>
    </w:p>
    <w:p w:rsidR="008655A1" w:rsidRPr="008655A1" w:rsidRDefault="008655A1" w:rsidP="008655A1">
      <w:pPr>
        <w:pStyle w:val="SingleTxtGA"/>
        <w:jc w:val="lowKashida"/>
        <w:rPr>
          <w:rFonts w:hint="cs"/>
          <w:spacing w:val="0"/>
          <w:kern w:val="0"/>
          <w:sz w:val="20"/>
          <w:rtl/>
        </w:rPr>
      </w:pPr>
      <w:r w:rsidRPr="008655A1">
        <w:rPr>
          <w:rFonts w:hint="cs"/>
          <w:i/>
          <w:iCs/>
          <w:spacing w:val="0"/>
          <w:kern w:val="0"/>
          <w:sz w:val="20"/>
          <w:rtl/>
        </w:rPr>
        <w:tab/>
      </w:r>
      <w:r w:rsidRPr="008655A1">
        <w:rPr>
          <w:i/>
          <w:iCs/>
          <w:spacing w:val="0"/>
          <w:kern w:val="0"/>
          <w:sz w:val="20"/>
          <w:rtl/>
        </w:rPr>
        <w:t xml:space="preserve">وقد </w:t>
      </w:r>
      <w:r w:rsidRPr="008655A1">
        <w:rPr>
          <w:rFonts w:hint="cs"/>
          <w:i/>
          <w:iCs/>
          <w:spacing w:val="0"/>
          <w:kern w:val="0"/>
          <w:sz w:val="20"/>
          <w:rtl/>
        </w:rPr>
        <w:t>فرغت</w:t>
      </w:r>
      <w:r w:rsidRPr="008655A1">
        <w:rPr>
          <w:rFonts w:hint="cs"/>
          <w:spacing w:val="0"/>
          <w:kern w:val="0"/>
          <w:sz w:val="20"/>
          <w:rtl/>
        </w:rPr>
        <w:t xml:space="preserve"> من ال</w:t>
      </w:r>
      <w:r w:rsidRPr="008655A1">
        <w:rPr>
          <w:spacing w:val="0"/>
          <w:kern w:val="0"/>
          <w:sz w:val="20"/>
          <w:rtl/>
        </w:rPr>
        <w:t>نظر في ال</w:t>
      </w:r>
      <w:r w:rsidRPr="008655A1">
        <w:rPr>
          <w:rFonts w:hint="cs"/>
          <w:spacing w:val="0"/>
          <w:kern w:val="0"/>
          <w:sz w:val="20"/>
          <w:rtl/>
        </w:rPr>
        <w:t>شكوى</w:t>
      </w:r>
      <w:r w:rsidRPr="008655A1">
        <w:rPr>
          <w:spacing w:val="0"/>
          <w:kern w:val="0"/>
          <w:sz w:val="20"/>
          <w:rtl/>
        </w:rPr>
        <w:t xml:space="preserve"> رقم </w:t>
      </w:r>
      <w:r w:rsidRPr="008655A1">
        <w:rPr>
          <w:rFonts w:hint="cs"/>
          <w:spacing w:val="0"/>
          <w:kern w:val="0"/>
          <w:sz w:val="20"/>
          <w:rtl/>
        </w:rPr>
        <w:t>382/2009</w:t>
      </w:r>
      <w:r w:rsidRPr="008655A1">
        <w:rPr>
          <w:spacing w:val="0"/>
          <w:kern w:val="0"/>
          <w:sz w:val="20"/>
          <w:rtl/>
        </w:rPr>
        <w:t>، المقدم</w:t>
      </w:r>
      <w:r w:rsidRPr="008655A1">
        <w:rPr>
          <w:rFonts w:hint="cs"/>
          <w:spacing w:val="0"/>
          <w:kern w:val="0"/>
          <w:sz w:val="20"/>
          <w:rtl/>
        </w:rPr>
        <w:t xml:space="preserve">ة من م. د. ت. </w:t>
      </w:r>
      <w:r w:rsidRPr="008655A1">
        <w:rPr>
          <w:spacing w:val="0"/>
          <w:kern w:val="0"/>
          <w:sz w:val="20"/>
          <w:rtl/>
        </w:rPr>
        <w:t>بموجب المادة 22 من اتفاقية مناهضة التعذيب وغيره من ضروب المعاملة أو العقوبة القاسية أو اللاإنسانية أو المهينة،</w:t>
      </w:r>
    </w:p>
    <w:p w:rsidR="008655A1" w:rsidRPr="008655A1" w:rsidRDefault="008655A1" w:rsidP="008655A1">
      <w:pPr>
        <w:pStyle w:val="SingleTxtGA"/>
        <w:jc w:val="lowKashida"/>
        <w:rPr>
          <w:rFonts w:hint="cs"/>
          <w:spacing w:val="0"/>
          <w:kern w:val="0"/>
          <w:sz w:val="20"/>
          <w:rtl/>
        </w:rPr>
      </w:pPr>
      <w:r w:rsidRPr="008655A1">
        <w:rPr>
          <w:rFonts w:hint="cs"/>
          <w:i/>
          <w:iCs/>
          <w:spacing w:val="0"/>
          <w:kern w:val="0"/>
          <w:sz w:val="20"/>
          <w:rtl/>
        </w:rPr>
        <w:tab/>
      </w:r>
      <w:r w:rsidRPr="008655A1">
        <w:rPr>
          <w:i/>
          <w:iCs/>
          <w:spacing w:val="0"/>
          <w:kern w:val="0"/>
          <w:sz w:val="20"/>
          <w:rtl/>
        </w:rPr>
        <w:t xml:space="preserve">وقد </w:t>
      </w:r>
      <w:r w:rsidRPr="008655A1">
        <w:rPr>
          <w:rFonts w:hint="cs"/>
          <w:i/>
          <w:iCs/>
          <w:spacing w:val="0"/>
          <w:kern w:val="0"/>
          <w:sz w:val="20"/>
          <w:rtl/>
        </w:rPr>
        <w:t xml:space="preserve">وضعت </w:t>
      </w:r>
      <w:r w:rsidRPr="008655A1">
        <w:rPr>
          <w:i/>
          <w:iCs/>
          <w:spacing w:val="0"/>
          <w:kern w:val="0"/>
          <w:sz w:val="20"/>
          <w:rtl/>
        </w:rPr>
        <w:t>في</w:t>
      </w:r>
      <w:r w:rsidRPr="008655A1">
        <w:rPr>
          <w:rFonts w:hint="cs"/>
          <w:i/>
          <w:iCs/>
          <w:spacing w:val="0"/>
          <w:kern w:val="0"/>
          <w:sz w:val="20"/>
          <w:rtl/>
        </w:rPr>
        <w:t xml:space="preserve"> اعتبارها</w:t>
      </w:r>
      <w:r w:rsidRPr="008655A1">
        <w:rPr>
          <w:rFonts w:hint="cs"/>
          <w:spacing w:val="0"/>
          <w:kern w:val="0"/>
          <w:sz w:val="20"/>
          <w:rtl/>
        </w:rPr>
        <w:t xml:space="preserve"> جميع </w:t>
      </w:r>
      <w:r w:rsidRPr="008655A1">
        <w:rPr>
          <w:spacing w:val="0"/>
          <w:kern w:val="0"/>
          <w:sz w:val="20"/>
          <w:rtl/>
        </w:rPr>
        <w:t>المعلومات التي أتاح</w:t>
      </w:r>
      <w:r w:rsidRPr="008655A1">
        <w:rPr>
          <w:rFonts w:hint="cs"/>
          <w:spacing w:val="0"/>
          <w:kern w:val="0"/>
          <w:sz w:val="20"/>
          <w:rtl/>
        </w:rPr>
        <w:t>ها لها صاحب الشكوى و</w:t>
      </w:r>
      <w:r w:rsidRPr="008655A1">
        <w:rPr>
          <w:spacing w:val="0"/>
          <w:kern w:val="0"/>
          <w:sz w:val="20"/>
          <w:rtl/>
        </w:rPr>
        <w:t>الدولة الطرف،</w:t>
      </w:r>
    </w:p>
    <w:p w:rsidR="008655A1" w:rsidRPr="008655A1" w:rsidRDefault="008655A1" w:rsidP="008655A1">
      <w:pPr>
        <w:pStyle w:val="SingleTxtGA"/>
        <w:jc w:val="lowKashida"/>
        <w:rPr>
          <w:rFonts w:hint="cs"/>
          <w:spacing w:val="0"/>
          <w:kern w:val="0"/>
          <w:sz w:val="20"/>
          <w:rtl/>
        </w:rPr>
      </w:pPr>
      <w:r w:rsidRPr="008655A1">
        <w:rPr>
          <w:rFonts w:hint="cs"/>
          <w:i/>
          <w:iCs/>
          <w:spacing w:val="0"/>
          <w:kern w:val="0"/>
          <w:sz w:val="20"/>
          <w:rtl/>
        </w:rPr>
        <w:tab/>
      </w:r>
      <w:r w:rsidRPr="008655A1">
        <w:rPr>
          <w:i/>
          <w:iCs/>
          <w:spacing w:val="0"/>
          <w:kern w:val="0"/>
          <w:sz w:val="20"/>
          <w:rtl/>
        </w:rPr>
        <w:t>تعتمد</w:t>
      </w:r>
      <w:r w:rsidRPr="008655A1">
        <w:rPr>
          <w:rFonts w:hint="cs"/>
          <w:spacing w:val="0"/>
          <w:kern w:val="0"/>
          <w:sz w:val="20"/>
          <w:rtl/>
        </w:rPr>
        <w:t xml:space="preserve"> ما يلي:</w:t>
      </w:r>
    </w:p>
    <w:p w:rsidR="008655A1" w:rsidRPr="008655A1" w:rsidRDefault="008655A1" w:rsidP="008655A1">
      <w:pPr>
        <w:pStyle w:val="H1GA"/>
        <w:jc w:val="lowKashida"/>
        <w:rPr>
          <w:rFonts w:hint="cs"/>
          <w:spacing w:val="0"/>
          <w:kern w:val="0"/>
          <w:sz w:val="20"/>
          <w:rtl/>
        </w:rPr>
      </w:pPr>
      <w:r w:rsidRPr="008655A1">
        <w:rPr>
          <w:rFonts w:hint="cs"/>
          <w:spacing w:val="0"/>
          <w:kern w:val="0"/>
          <w:sz w:val="20"/>
          <w:rtl/>
        </w:rPr>
        <w:tab/>
      </w:r>
      <w:r w:rsidRPr="008655A1">
        <w:rPr>
          <w:rFonts w:hint="cs"/>
          <w:spacing w:val="0"/>
          <w:kern w:val="0"/>
          <w:sz w:val="20"/>
          <w:rtl/>
        </w:rPr>
        <w:tab/>
        <w:t xml:space="preserve">قرار </w:t>
      </w:r>
      <w:r w:rsidRPr="008655A1">
        <w:rPr>
          <w:spacing w:val="0"/>
          <w:kern w:val="0"/>
          <w:sz w:val="20"/>
          <w:rtl/>
        </w:rPr>
        <w:t>بموجب الفقرة 7 من المادة 22 من اتفاقية مناهضة التعذيب</w:t>
      </w:r>
    </w:p>
    <w:p w:rsidR="008655A1" w:rsidRPr="008655A1" w:rsidRDefault="008655A1" w:rsidP="008655A1">
      <w:pPr>
        <w:pStyle w:val="SingleTxtGA"/>
        <w:jc w:val="lowKashida"/>
        <w:rPr>
          <w:spacing w:val="0"/>
          <w:kern w:val="0"/>
          <w:sz w:val="20"/>
          <w:rtl/>
        </w:rPr>
      </w:pPr>
      <w:r w:rsidRPr="008655A1">
        <w:rPr>
          <w:rFonts w:hint="cs"/>
          <w:spacing w:val="0"/>
          <w:kern w:val="0"/>
          <w:sz w:val="20"/>
          <w:rtl/>
        </w:rPr>
        <w:t>1-1</w:t>
      </w:r>
      <w:r w:rsidRPr="008655A1">
        <w:rPr>
          <w:rFonts w:hint="cs"/>
          <w:spacing w:val="0"/>
          <w:kern w:val="0"/>
          <w:sz w:val="20"/>
          <w:rtl/>
        </w:rPr>
        <w:tab/>
      </w:r>
      <w:r w:rsidRPr="008655A1">
        <w:rPr>
          <w:spacing w:val="0"/>
          <w:kern w:val="0"/>
          <w:sz w:val="20"/>
          <w:rtl/>
        </w:rPr>
        <w:t>صاحب الشكوى هو م.</w:t>
      </w:r>
      <w:r w:rsidRPr="008655A1">
        <w:rPr>
          <w:rFonts w:hint="cs"/>
          <w:spacing w:val="0"/>
          <w:kern w:val="0"/>
          <w:sz w:val="20"/>
          <w:rtl/>
        </w:rPr>
        <w:t xml:space="preserve"> </w:t>
      </w:r>
      <w:r w:rsidRPr="008655A1">
        <w:rPr>
          <w:spacing w:val="0"/>
          <w:kern w:val="0"/>
          <w:sz w:val="20"/>
          <w:rtl/>
        </w:rPr>
        <w:t>د.</w:t>
      </w:r>
      <w:r w:rsidRPr="008655A1">
        <w:rPr>
          <w:rFonts w:hint="cs"/>
          <w:spacing w:val="0"/>
          <w:kern w:val="0"/>
          <w:sz w:val="20"/>
          <w:rtl/>
        </w:rPr>
        <w:t xml:space="preserve"> </w:t>
      </w:r>
      <w:r w:rsidRPr="008655A1">
        <w:rPr>
          <w:spacing w:val="0"/>
          <w:kern w:val="0"/>
          <w:sz w:val="20"/>
          <w:rtl/>
        </w:rPr>
        <w:t>ت.، وهو من مواطني جمهورية الكونغو الديمقراطية</w:t>
      </w:r>
      <w:r w:rsidRPr="008655A1">
        <w:rPr>
          <w:rFonts w:hint="cs"/>
          <w:spacing w:val="0"/>
          <w:kern w:val="0"/>
          <w:sz w:val="20"/>
          <w:rtl/>
        </w:rPr>
        <w:t>،</w:t>
      </w:r>
      <w:r w:rsidRPr="008655A1">
        <w:rPr>
          <w:spacing w:val="0"/>
          <w:kern w:val="0"/>
          <w:sz w:val="20"/>
          <w:rtl/>
        </w:rPr>
        <w:t xml:space="preserve"> وُلِد في 29 حزيران/يونيه 1977، و</w:t>
      </w:r>
      <w:r w:rsidRPr="008655A1">
        <w:rPr>
          <w:rFonts w:hint="cs"/>
          <w:spacing w:val="0"/>
          <w:kern w:val="0"/>
          <w:sz w:val="20"/>
          <w:rtl/>
        </w:rPr>
        <w:t>معرض ل</w:t>
      </w:r>
      <w:r w:rsidRPr="008655A1">
        <w:rPr>
          <w:spacing w:val="0"/>
          <w:kern w:val="0"/>
          <w:sz w:val="20"/>
          <w:rtl/>
        </w:rPr>
        <w:t>لترحيل من سويسرا إلى بلده الأصلي. ويدعي أن ترحيله سيشكل إخلالا من جانب سويسرا بأحكام الفقرة 1 من المادة 3 من الاتفاقية. وقد طلب صاحب الشكوى توفير تدابير الحماية الفورية ل</w:t>
      </w:r>
      <w:r w:rsidRPr="008655A1">
        <w:rPr>
          <w:rFonts w:hint="cs"/>
          <w:spacing w:val="0"/>
          <w:kern w:val="0"/>
          <w:sz w:val="20"/>
          <w:rtl/>
        </w:rPr>
        <w:t>وقف</w:t>
      </w:r>
      <w:r w:rsidRPr="008655A1">
        <w:rPr>
          <w:spacing w:val="0"/>
          <w:kern w:val="0"/>
          <w:sz w:val="20"/>
          <w:rtl/>
        </w:rPr>
        <w:t xml:space="preserve"> ترحيله إلى بلده الأصلي. ولا</w:t>
      </w:r>
      <w:r>
        <w:rPr>
          <w:rFonts w:hint="cs"/>
          <w:spacing w:val="0"/>
          <w:kern w:val="0"/>
          <w:sz w:val="20"/>
          <w:rtl/>
        </w:rPr>
        <w:t> </w:t>
      </w:r>
      <w:r w:rsidRPr="008655A1">
        <w:rPr>
          <w:spacing w:val="0"/>
          <w:kern w:val="0"/>
          <w:sz w:val="20"/>
          <w:rtl/>
        </w:rPr>
        <w:t>يمثله محام.</w:t>
      </w:r>
    </w:p>
    <w:p w:rsidR="008655A1" w:rsidRPr="008655A1" w:rsidRDefault="008655A1" w:rsidP="008655A1">
      <w:pPr>
        <w:pStyle w:val="SingleTxtGA"/>
        <w:jc w:val="lowKashida"/>
        <w:rPr>
          <w:rFonts w:hint="cs"/>
          <w:spacing w:val="0"/>
          <w:kern w:val="0"/>
          <w:sz w:val="20"/>
          <w:rtl/>
        </w:rPr>
      </w:pPr>
      <w:r w:rsidRPr="008655A1">
        <w:rPr>
          <w:spacing w:val="0"/>
          <w:kern w:val="0"/>
          <w:sz w:val="20"/>
          <w:rtl/>
        </w:rPr>
        <w:t>1-2</w:t>
      </w:r>
      <w:r w:rsidRPr="008655A1">
        <w:rPr>
          <w:spacing w:val="0"/>
          <w:kern w:val="0"/>
          <w:sz w:val="20"/>
          <w:rtl/>
        </w:rPr>
        <w:tab/>
        <w:t>ووفقا</w:t>
      </w:r>
      <w:r w:rsidRPr="008655A1">
        <w:rPr>
          <w:rFonts w:hint="cs"/>
          <w:spacing w:val="0"/>
          <w:kern w:val="0"/>
          <w:sz w:val="20"/>
          <w:rtl/>
        </w:rPr>
        <w:t>ً</w:t>
      </w:r>
      <w:r w:rsidRPr="008655A1">
        <w:rPr>
          <w:spacing w:val="0"/>
          <w:kern w:val="0"/>
          <w:sz w:val="20"/>
          <w:rtl/>
        </w:rPr>
        <w:t xml:space="preserve"> للفقرة 3 من المادة 22 من الاتفاقية، </w:t>
      </w:r>
      <w:r w:rsidRPr="008655A1">
        <w:rPr>
          <w:rFonts w:hint="cs"/>
          <w:spacing w:val="0"/>
          <w:kern w:val="0"/>
          <w:sz w:val="20"/>
          <w:rtl/>
        </w:rPr>
        <w:t xml:space="preserve">وجهت </w:t>
      </w:r>
      <w:r w:rsidRPr="008655A1">
        <w:rPr>
          <w:spacing w:val="0"/>
          <w:kern w:val="0"/>
          <w:sz w:val="20"/>
          <w:rtl/>
        </w:rPr>
        <w:t xml:space="preserve">اللجنة انتباه الدولة الطرف إلى الشكوى في 29 نيسان/أبريل 2009. وفي الوقت ذاته، طلبت اللجنة </w:t>
      </w:r>
      <w:r w:rsidRPr="008655A1">
        <w:rPr>
          <w:rFonts w:hint="cs"/>
          <w:spacing w:val="0"/>
          <w:kern w:val="0"/>
          <w:sz w:val="20"/>
          <w:rtl/>
        </w:rPr>
        <w:t xml:space="preserve">إلى </w:t>
      </w:r>
      <w:r w:rsidRPr="008655A1">
        <w:rPr>
          <w:spacing w:val="0"/>
          <w:kern w:val="0"/>
          <w:sz w:val="20"/>
          <w:rtl/>
        </w:rPr>
        <w:t>الدولة الطرف، عملاً بالفقرة 1 من المادة 108 من نظامها الداخلي، أل</w:t>
      </w:r>
      <w:r w:rsidRPr="008655A1">
        <w:rPr>
          <w:rFonts w:hint="cs"/>
          <w:spacing w:val="0"/>
          <w:kern w:val="0"/>
          <w:sz w:val="20"/>
          <w:rtl/>
        </w:rPr>
        <w:t>اّ</w:t>
      </w:r>
      <w:r w:rsidRPr="008655A1">
        <w:rPr>
          <w:spacing w:val="0"/>
          <w:kern w:val="0"/>
          <w:sz w:val="20"/>
          <w:rtl/>
        </w:rPr>
        <w:t xml:space="preserve"> ترحِّل صاحب الشكوى إلى جمهورية الكونغو الديمقراطية </w:t>
      </w:r>
      <w:r w:rsidRPr="008655A1">
        <w:rPr>
          <w:rFonts w:hint="cs"/>
          <w:spacing w:val="0"/>
          <w:kern w:val="0"/>
          <w:sz w:val="20"/>
          <w:rtl/>
        </w:rPr>
        <w:t>أثناء</w:t>
      </w:r>
      <w:r w:rsidRPr="008655A1">
        <w:rPr>
          <w:spacing w:val="0"/>
          <w:kern w:val="0"/>
          <w:sz w:val="20"/>
          <w:rtl/>
        </w:rPr>
        <w:t xml:space="preserve"> النظر في بلاغه. وقد وافقت الدولة الطرف على هذا الطلب في 1 أيار/مايو 2009.</w:t>
      </w:r>
    </w:p>
    <w:p w:rsidR="008655A1" w:rsidRPr="008655A1" w:rsidRDefault="008655A1" w:rsidP="008655A1">
      <w:pPr>
        <w:pStyle w:val="H23GA"/>
        <w:keepNext/>
        <w:jc w:val="lowKashida"/>
        <w:rPr>
          <w:rFonts w:hint="cs"/>
          <w:spacing w:val="0"/>
          <w:kern w:val="0"/>
          <w:sz w:val="20"/>
        </w:rPr>
      </w:pPr>
      <w:r w:rsidRPr="008655A1">
        <w:rPr>
          <w:rFonts w:hint="cs"/>
          <w:spacing w:val="0"/>
          <w:kern w:val="0"/>
          <w:sz w:val="20"/>
          <w:rtl/>
        </w:rPr>
        <w:tab/>
      </w:r>
      <w:r w:rsidRPr="008655A1">
        <w:rPr>
          <w:rFonts w:hint="cs"/>
          <w:spacing w:val="0"/>
          <w:kern w:val="0"/>
          <w:sz w:val="20"/>
          <w:rtl/>
        </w:rPr>
        <w:tab/>
      </w:r>
      <w:r w:rsidRPr="008655A1">
        <w:rPr>
          <w:spacing w:val="0"/>
          <w:kern w:val="0"/>
          <w:sz w:val="20"/>
          <w:rtl/>
        </w:rPr>
        <w:t>الوقائ</w:t>
      </w:r>
      <w:r w:rsidRPr="008655A1">
        <w:rPr>
          <w:rFonts w:hint="cs"/>
          <w:spacing w:val="0"/>
          <w:kern w:val="0"/>
          <w:sz w:val="20"/>
          <w:rtl/>
        </w:rPr>
        <w:t>ع كما عرضها صاحب الشكوى</w:t>
      </w:r>
    </w:p>
    <w:p w:rsidR="008655A1" w:rsidRPr="008655A1" w:rsidRDefault="008655A1" w:rsidP="008655A1">
      <w:pPr>
        <w:pStyle w:val="SingleTxtGA"/>
        <w:jc w:val="lowKashida"/>
        <w:rPr>
          <w:spacing w:val="0"/>
          <w:kern w:val="0"/>
          <w:sz w:val="20"/>
          <w:rtl/>
        </w:rPr>
      </w:pPr>
      <w:r w:rsidRPr="008655A1">
        <w:rPr>
          <w:rFonts w:hint="cs"/>
          <w:spacing w:val="0"/>
          <w:kern w:val="0"/>
          <w:sz w:val="20"/>
          <w:rtl/>
        </w:rPr>
        <w:t>2-1</w:t>
      </w:r>
      <w:r w:rsidRPr="008655A1">
        <w:rPr>
          <w:rFonts w:hint="cs"/>
          <w:spacing w:val="0"/>
          <w:kern w:val="0"/>
          <w:sz w:val="20"/>
          <w:rtl/>
        </w:rPr>
        <w:tab/>
      </w:r>
      <w:r w:rsidRPr="008655A1">
        <w:rPr>
          <w:spacing w:val="0"/>
          <w:kern w:val="0"/>
          <w:sz w:val="20"/>
          <w:rtl/>
        </w:rPr>
        <w:t>يدعي صاحب الشكوى في رسالته الأولى المؤرخة 11 نيسان/أبريل 2009 أن ترحيله من سويسرا إلى بلده الأصلي - جمهورية الكونغو الديمقراطية - سيشكل إخلالا</w:t>
      </w:r>
      <w:r w:rsidRPr="008655A1">
        <w:rPr>
          <w:rFonts w:hint="cs"/>
          <w:spacing w:val="0"/>
          <w:kern w:val="0"/>
          <w:sz w:val="20"/>
          <w:rtl/>
        </w:rPr>
        <w:t>ً</w:t>
      </w:r>
      <w:r w:rsidRPr="008655A1">
        <w:rPr>
          <w:spacing w:val="0"/>
          <w:kern w:val="0"/>
          <w:sz w:val="20"/>
          <w:rtl/>
        </w:rPr>
        <w:t xml:space="preserve"> من جانب سويسرا بأحكام الفقرة 1 من المادة 3 من الاتفاقية لأنه سيواجه خطر التعرض للتعذيب </w:t>
      </w:r>
      <w:r w:rsidRPr="008655A1">
        <w:rPr>
          <w:rFonts w:hint="cs"/>
          <w:spacing w:val="0"/>
          <w:kern w:val="0"/>
          <w:sz w:val="20"/>
          <w:rtl/>
        </w:rPr>
        <w:t>إذا</w:t>
      </w:r>
      <w:r w:rsidRPr="008655A1">
        <w:rPr>
          <w:spacing w:val="0"/>
          <w:kern w:val="0"/>
          <w:sz w:val="20"/>
          <w:rtl/>
        </w:rPr>
        <w:t xml:space="preserve"> أُعيد.</w:t>
      </w:r>
    </w:p>
    <w:p w:rsidR="008655A1" w:rsidRPr="008655A1" w:rsidRDefault="008655A1" w:rsidP="008655A1">
      <w:pPr>
        <w:pStyle w:val="SingleTxtGA"/>
        <w:jc w:val="lowKashida"/>
        <w:rPr>
          <w:spacing w:val="0"/>
          <w:kern w:val="0"/>
          <w:sz w:val="20"/>
          <w:rtl/>
        </w:rPr>
      </w:pPr>
      <w:r w:rsidRPr="008655A1">
        <w:rPr>
          <w:spacing w:val="0"/>
          <w:kern w:val="0"/>
          <w:sz w:val="20"/>
          <w:rtl/>
        </w:rPr>
        <w:t>2-2</w:t>
      </w:r>
      <w:r w:rsidRPr="008655A1">
        <w:rPr>
          <w:spacing w:val="0"/>
          <w:kern w:val="0"/>
          <w:sz w:val="20"/>
          <w:rtl/>
        </w:rPr>
        <w:tab/>
        <w:t>انضم صاحب الشكوى إلى حزب المعارضة الرئيسي،</w:t>
      </w:r>
      <w:r w:rsidRPr="008655A1">
        <w:rPr>
          <w:rFonts w:hint="cs"/>
          <w:spacing w:val="0"/>
          <w:kern w:val="0"/>
          <w:sz w:val="20"/>
          <w:rtl/>
        </w:rPr>
        <w:t xml:space="preserve"> </w:t>
      </w:r>
      <w:r w:rsidRPr="008655A1">
        <w:rPr>
          <w:spacing w:val="0"/>
          <w:kern w:val="0"/>
          <w:sz w:val="20"/>
          <w:rtl/>
        </w:rPr>
        <w:t>حركة تحرير الكونغو، في عام</w:t>
      </w:r>
      <w:r w:rsidRPr="008655A1">
        <w:rPr>
          <w:spacing w:val="0"/>
          <w:kern w:val="0"/>
          <w:sz w:val="20"/>
        </w:rPr>
        <w:t> </w:t>
      </w:r>
      <w:r w:rsidRPr="008655A1">
        <w:rPr>
          <w:spacing w:val="0"/>
          <w:kern w:val="0"/>
          <w:sz w:val="20"/>
          <w:rtl/>
        </w:rPr>
        <w:t xml:space="preserve">2005 وأضحى من أعضائه النشطين بعد ذلك بوقت قصير. فقد شارك في العديد من أنشطة الحزب الرامية إلى </w:t>
      </w:r>
      <w:r w:rsidRPr="008655A1">
        <w:rPr>
          <w:rFonts w:hint="cs"/>
          <w:spacing w:val="0"/>
          <w:kern w:val="0"/>
          <w:sz w:val="20"/>
          <w:rtl/>
        </w:rPr>
        <w:t>است</w:t>
      </w:r>
      <w:r w:rsidRPr="008655A1">
        <w:rPr>
          <w:spacing w:val="0"/>
          <w:kern w:val="0"/>
          <w:sz w:val="20"/>
          <w:rtl/>
        </w:rPr>
        <w:t>عادة سيادة القانون في البلد. وكان معروفا</w:t>
      </w:r>
      <w:r w:rsidRPr="008655A1">
        <w:rPr>
          <w:rFonts w:hint="cs"/>
          <w:spacing w:val="0"/>
          <w:kern w:val="0"/>
          <w:sz w:val="20"/>
          <w:rtl/>
        </w:rPr>
        <w:t>ً</w:t>
      </w:r>
      <w:r w:rsidRPr="008655A1">
        <w:rPr>
          <w:spacing w:val="0"/>
          <w:kern w:val="0"/>
          <w:sz w:val="20"/>
          <w:rtl/>
        </w:rPr>
        <w:t xml:space="preserve"> جيدا</w:t>
      </w:r>
      <w:r w:rsidRPr="008655A1">
        <w:rPr>
          <w:rFonts w:hint="cs"/>
          <w:spacing w:val="0"/>
          <w:kern w:val="0"/>
          <w:sz w:val="20"/>
          <w:rtl/>
        </w:rPr>
        <w:t>ً</w:t>
      </w:r>
      <w:r w:rsidRPr="008655A1">
        <w:rPr>
          <w:spacing w:val="0"/>
          <w:kern w:val="0"/>
          <w:sz w:val="20"/>
          <w:rtl/>
        </w:rPr>
        <w:t xml:space="preserve"> في حي</w:t>
      </w:r>
      <w:r w:rsidRPr="008655A1">
        <w:rPr>
          <w:rFonts w:hint="cs"/>
          <w:spacing w:val="0"/>
          <w:kern w:val="0"/>
          <w:sz w:val="20"/>
          <w:rtl/>
        </w:rPr>
        <w:t>ِّ</w:t>
      </w:r>
      <w:r w:rsidRPr="008655A1">
        <w:rPr>
          <w:spacing w:val="0"/>
          <w:kern w:val="0"/>
          <w:sz w:val="20"/>
          <w:rtl/>
        </w:rPr>
        <w:t>ه بنشاطه في الترويج لأنشطة الح</w:t>
      </w:r>
      <w:r w:rsidRPr="008655A1">
        <w:rPr>
          <w:rFonts w:hint="cs"/>
          <w:spacing w:val="0"/>
          <w:kern w:val="0"/>
          <w:sz w:val="20"/>
          <w:rtl/>
        </w:rPr>
        <w:t>زب</w:t>
      </w:r>
      <w:r w:rsidRPr="008655A1">
        <w:rPr>
          <w:spacing w:val="0"/>
          <w:kern w:val="0"/>
          <w:sz w:val="20"/>
          <w:rtl/>
        </w:rPr>
        <w:t>. وخلال حملة الانتخابات الرئاسية في عام 2006، شهدت كينشاسا مصادمات عنيفة للغاية بين أتباع الرئيس المنتهية ولايته، لوران كابيلا، وأ</w:t>
      </w:r>
      <w:r w:rsidRPr="008655A1">
        <w:rPr>
          <w:rFonts w:hint="cs"/>
          <w:spacing w:val="0"/>
          <w:kern w:val="0"/>
          <w:sz w:val="20"/>
          <w:rtl/>
        </w:rPr>
        <w:t>تباع</w:t>
      </w:r>
      <w:r w:rsidRPr="008655A1">
        <w:rPr>
          <w:spacing w:val="0"/>
          <w:kern w:val="0"/>
          <w:sz w:val="20"/>
          <w:rtl/>
        </w:rPr>
        <w:t xml:space="preserve"> منافسه</w:t>
      </w:r>
      <w:r w:rsidRPr="008655A1">
        <w:rPr>
          <w:rFonts w:hint="cs"/>
          <w:spacing w:val="0"/>
          <w:kern w:val="0"/>
          <w:sz w:val="20"/>
          <w:rtl/>
        </w:rPr>
        <w:t xml:space="preserve"> السياسي</w:t>
      </w:r>
      <w:r w:rsidRPr="008655A1">
        <w:rPr>
          <w:spacing w:val="0"/>
          <w:kern w:val="0"/>
          <w:sz w:val="20"/>
          <w:rtl/>
        </w:rPr>
        <w:t xml:space="preserve"> الرئيسي، جون - بيير بيمبا. وأحرز جون</w:t>
      </w:r>
      <w:r w:rsidRPr="008655A1">
        <w:rPr>
          <w:rFonts w:hint="cs"/>
          <w:spacing w:val="0"/>
          <w:kern w:val="0"/>
          <w:sz w:val="20"/>
          <w:rtl/>
        </w:rPr>
        <w:t xml:space="preserve"> </w:t>
      </w:r>
      <w:r w:rsidRPr="008655A1">
        <w:rPr>
          <w:spacing w:val="0"/>
          <w:kern w:val="0"/>
          <w:sz w:val="20"/>
          <w:rtl/>
        </w:rPr>
        <w:t>-</w:t>
      </w:r>
      <w:r w:rsidRPr="008655A1">
        <w:rPr>
          <w:rFonts w:hint="cs"/>
          <w:spacing w:val="0"/>
          <w:kern w:val="0"/>
          <w:sz w:val="20"/>
          <w:rtl/>
        </w:rPr>
        <w:t xml:space="preserve"> </w:t>
      </w:r>
      <w:r w:rsidRPr="008655A1">
        <w:rPr>
          <w:spacing w:val="0"/>
          <w:kern w:val="0"/>
          <w:sz w:val="20"/>
          <w:rtl/>
        </w:rPr>
        <w:t>بيير بيمبا نصرا</w:t>
      </w:r>
      <w:r w:rsidRPr="008655A1">
        <w:rPr>
          <w:rFonts w:hint="cs"/>
          <w:spacing w:val="0"/>
          <w:kern w:val="0"/>
          <w:sz w:val="20"/>
          <w:rtl/>
        </w:rPr>
        <w:t>ً</w:t>
      </w:r>
      <w:r w:rsidRPr="008655A1">
        <w:rPr>
          <w:spacing w:val="0"/>
          <w:kern w:val="0"/>
          <w:sz w:val="20"/>
          <w:rtl/>
        </w:rPr>
        <w:t xml:space="preserve"> انتخابيا</w:t>
      </w:r>
      <w:r w:rsidRPr="008655A1">
        <w:rPr>
          <w:rFonts w:hint="cs"/>
          <w:spacing w:val="0"/>
          <w:kern w:val="0"/>
          <w:sz w:val="20"/>
          <w:rtl/>
        </w:rPr>
        <w:t>ً</w:t>
      </w:r>
      <w:r w:rsidRPr="008655A1">
        <w:rPr>
          <w:spacing w:val="0"/>
          <w:kern w:val="0"/>
          <w:sz w:val="20"/>
          <w:rtl/>
        </w:rPr>
        <w:t xml:space="preserve"> في كينشاسا وكذلك في </w:t>
      </w:r>
      <w:r w:rsidRPr="008655A1">
        <w:rPr>
          <w:rFonts w:hint="cs"/>
          <w:spacing w:val="0"/>
          <w:kern w:val="0"/>
          <w:sz w:val="20"/>
          <w:rtl/>
        </w:rPr>
        <w:t>المقاطعة</w:t>
      </w:r>
      <w:r w:rsidRPr="008655A1">
        <w:rPr>
          <w:spacing w:val="0"/>
          <w:kern w:val="0"/>
          <w:sz w:val="20"/>
          <w:rtl/>
        </w:rPr>
        <w:t xml:space="preserve"> الاستوائية و</w:t>
      </w:r>
      <w:r w:rsidRPr="008655A1">
        <w:rPr>
          <w:rFonts w:hint="cs"/>
          <w:spacing w:val="0"/>
          <w:kern w:val="0"/>
          <w:sz w:val="20"/>
          <w:rtl/>
        </w:rPr>
        <w:t xml:space="preserve">مقاطعة </w:t>
      </w:r>
      <w:r w:rsidRPr="008655A1">
        <w:rPr>
          <w:spacing w:val="0"/>
          <w:kern w:val="0"/>
          <w:sz w:val="20"/>
          <w:rtl/>
        </w:rPr>
        <w:t>الكونغو السفلى. وينتمي صاحب الشكوى في الأصل إلى الكونغو السفلى.</w:t>
      </w:r>
    </w:p>
    <w:p w:rsidR="008655A1" w:rsidRPr="008655A1" w:rsidRDefault="008655A1" w:rsidP="008655A1">
      <w:pPr>
        <w:pStyle w:val="SingleTxtGA"/>
        <w:jc w:val="lowKashida"/>
        <w:rPr>
          <w:spacing w:val="0"/>
          <w:kern w:val="0"/>
          <w:sz w:val="20"/>
          <w:rtl/>
        </w:rPr>
      </w:pPr>
      <w:r w:rsidRPr="008655A1">
        <w:rPr>
          <w:spacing w:val="0"/>
          <w:kern w:val="0"/>
          <w:sz w:val="20"/>
          <w:rtl/>
        </w:rPr>
        <w:t>2-3</w:t>
      </w:r>
      <w:r w:rsidRPr="008655A1">
        <w:rPr>
          <w:spacing w:val="0"/>
          <w:kern w:val="0"/>
          <w:sz w:val="20"/>
          <w:rtl/>
        </w:rPr>
        <w:tab/>
        <w:t>وفي 22 و23 آذار/مارس 2007، نشب في كينشاسا نزاع جديد اعتُبِر فعلا</w:t>
      </w:r>
      <w:r w:rsidRPr="008655A1">
        <w:rPr>
          <w:rFonts w:hint="cs"/>
          <w:spacing w:val="0"/>
          <w:kern w:val="0"/>
          <w:sz w:val="20"/>
          <w:rtl/>
        </w:rPr>
        <w:t>ً</w:t>
      </w:r>
      <w:r w:rsidRPr="008655A1">
        <w:rPr>
          <w:spacing w:val="0"/>
          <w:kern w:val="0"/>
          <w:sz w:val="20"/>
          <w:rtl/>
        </w:rPr>
        <w:t xml:space="preserve"> انتقاميا</w:t>
      </w:r>
      <w:r w:rsidRPr="008655A1">
        <w:rPr>
          <w:rFonts w:hint="cs"/>
          <w:spacing w:val="0"/>
          <w:kern w:val="0"/>
          <w:sz w:val="20"/>
          <w:rtl/>
        </w:rPr>
        <w:t>ً</w:t>
      </w:r>
      <w:r w:rsidRPr="008655A1">
        <w:rPr>
          <w:spacing w:val="0"/>
          <w:kern w:val="0"/>
          <w:sz w:val="20"/>
          <w:rtl/>
        </w:rPr>
        <w:t xml:space="preserve"> </w:t>
      </w:r>
      <w:r w:rsidRPr="008655A1">
        <w:rPr>
          <w:rFonts w:hint="cs"/>
          <w:spacing w:val="0"/>
          <w:kern w:val="0"/>
          <w:sz w:val="20"/>
          <w:rtl/>
        </w:rPr>
        <w:t xml:space="preserve">من </w:t>
      </w:r>
      <w:r w:rsidRPr="008655A1">
        <w:rPr>
          <w:spacing w:val="0"/>
          <w:kern w:val="0"/>
          <w:sz w:val="20"/>
          <w:rtl/>
        </w:rPr>
        <w:t>قوات الأمن التابعة للرئيس المنتخب حديثا</w:t>
      </w:r>
      <w:r w:rsidRPr="008655A1">
        <w:rPr>
          <w:rFonts w:hint="cs"/>
          <w:spacing w:val="0"/>
          <w:kern w:val="0"/>
          <w:sz w:val="20"/>
          <w:rtl/>
        </w:rPr>
        <w:t>ً</w:t>
      </w:r>
      <w:r w:rsidRPr="008655A1">
        <w:rPr>
          <w:spacing w:val="0"/>
          <w:kern w:val="0"/>
          <w:sz w:val="20"/>
          <w:rtl/>
        </w:rPr>
        <w:t xml:space="preserve">، جوزيف كابيلا، </w:t>
      </w:r>
      <w:r w:rsidRPr="008655A1">
        <w:rPr>
          <w:rFonts w:hint="cs"/>
          <w:spacing w:val="0"/>
          <w:kern w:val="0"/>
          <w:sz w:val="20"/>
          <w:rtl/>
        </w:rPr>
        <w:t>ضد</w:t>
      </w:r>
      <w:r w:rsidRPr="008655A1">
        <w:rPr>
          <w:spacing w:val="0"/>
          <w:kern w:val="0"/>
          <w:sz w:val="20"/>
          <w:rtl/>
        </w:rPr>
        <w:t xml:space="preserve"> أتباع جون - بيير بيمبا. ويقول صاحب الشكوى إن الحرس الرئاسي أَوقفه في 22 آذار/مارس 2007 في حي غومبي بكينشاسا بسبب آرائه السياسية - الدينية الحازمة إذ كان من السهل تمييزه كمشارك في المظاهرات بقبعته التي تحمل صورة حركة تحرير الكونغو</w:t>
      </w:r>
      <w:r w:rsidRPr="008655A1">
        <w:rPr>
          <w:rFonts w:hint="cs"/>
          <w:spacing w:val="0"/>
          <w:kern w:val="0"/>
          <w:sz w:val="20"/>
          <w:rtl/>
        </w:rPr>
        <w:t xml:space="preserve"> التي يتزعمها بيمبا</w:t>
      </w:r>
      <w:r w:rsidRPr="008655A1">
        <w:rPr>
          <w:spacing w:val="0"/>
          <w:kern w:val="0"/>
          <w:sz w:val="20"/>
          <w:rtl/>
        </w:rPr>
        <w:t xml:space="preserve">. وتعرَّض للتعذيب، الذي شمل استعمال </w:t>
      </w:r>
      <w:r w:rsidRPr="008655A1">
        <w:rPr>
          <w:rFonts w:hint="cs"/>
          <w:spacing w:val="0"/>
          <w:kern w:val="0"/>
          <w:sz w:val="20"/>
          <w:rtl/>
        </w:rPr>
        <w:t>كعوب</w:t>
      </w:r>
      <w:r w:rsidRPr="008655A1">
        <w:rPr>
          <w:spacing w:val="0"/>
          <w:kern w:val="0"/>
          <w:sz w:val="20"/>
          <w:rtl/>
        </w:rPr>
        <w:t xml:space="preserve"> البنادق والصفع والضرب والشتم والتهديد. وفقد صاحب الشكوى الوعي، حسبما زعم، وتُرِك، حسبما أفاد، ينزف في </w:t>
      </w:r>
      <w:r w:rsidRPr="008655A1">
        <w:rPr>
          <w:rFonts w:hint="cs"/>
          <w:spacing w:val="0"/>
          <w:kern w:val="0"/>
          <w:sz w:val="20"/>
          <w:rtl/>
        </w:rPr>
        <w:t>صندوق رمال</w:t>
      </w:r>
      <w:r w:rsidRPr="008655A1">
        <w:rPr>
          <w:spacing w:val="0"/>
          <w:kern w:val="0"/>
          <w:sz w:val="20"/>
          <w:rtl/>
        </w:rPr>
        <w:t xml:space="preserve"> على </w:t>
      </w:r>
      <w:r w:rsidRPr="008655A1">
        <w:rPr>
          <w:rFonts w:hint="cs"/>
          <w:spacing w:val="0"/>
          <w:kern w:val="0"/>
          <w:sz w:val="20"/>
          <w:rtl/>
        </w:rPr>
        <w:t>ال</w:t>
      </w:r>
      <w:r w:rsidRPr="008655A1">
        <w:rPr>
          <w:spacing w:val="0"/>
          <w:kern w:val="0"/>
          <w:sz w:val="20"/>
          <w:rtl/>
        </w:rPr>
        <w:t>رصيف. وتهشمت اثنتان من أسنانه خلال الحادث حسبما أفاد.</w:t>
      </w:r>
    </w:p>
    <w:p w:rsidR="008655A1" w:rsidRPr="008655A1" w:rsidRDefault="008655A1" w:rsidP="008655A1">
      <w:pPr>
        <w:pStyle w:val="SingleTxtGA"/>
        <w:jc w:val="lowKashida"/>
        <w:rPr>
          <w:spacing w:val="0"/>
          <w:kern w:val="0"/>
          <w:sz w:val="20"/>
          <w:rtl/>
        </w:rPr>
      </w:pPr>
      <w:r w:rsidRPr="008655A1">
        <w:rPr>
          <w:spacing w:val="0"/>
          <w:kern w:val="0"/>
          <w:sz w:val="20"/>
          <w:rtl/>
        </w:rPr>
        <w:t>2-4</w:t>
      </w:r>
      <w:r w:rsidRPr="008655A1">
        <w:rPr>
          <w:spacing w:val="0"/>
          <w:kern w:val="0"/>
          <w:sz w:val="20"/>
          <w:rtl/>
        </w:rPr>
        <w:tab/>
        <w:t>وعقب الحادث، اختبأ صاحب الشكوى في كي</w:t>
      </w:r>
      <w:r w:rsidRPr="008655A1">
        <w:rPr>
          <w:rFonts w:hint="cs"/>
          <w:spacing w:val="0"/>
          <w:kern w:val="0"/>
          <w:sz w:val="20"/>
          <w:rtl/>
        </w:rPr>
        <w:t>م</w:t>
      </w:r>
      <w:r w:rsidRPr="008655A1">
        <w:rPr>
          <w:spacing w:val="0"/>
          <w:kern w:val="0"/>
          <w:sz w:val="20"/>
          <w:rtl/>
        </w:rPr>
        <w:t>بانسيكي، إحدى ضواحي كينشاسا، فرارا</w:t>
      </w:r>
      <w:r w:rsidRPr="008655A1">
        <w:rPr>
          <w:rFonts w:hint="cs"/>
          <w:spacing w:val="0"/>
          <w:kern w:val="0"/>
          <w:sz w:val="20"/>
          <w:rtl/>
        </w:rPr>
        <w:t>ً</w:t>
      </w:r>
      <w:r w:rsidRPr="008655A1">
        <w:rPr>
          <w:spacing w:val="0"/>
          <w:kern w:val="0"/>
          <w:sz w:val="20"/>
          <w:rtl/>
        </w:rPr>
        <w:t xml:space="preserve"> من اضطهاد الشرطة له. وبينما كان مختبئا</w:t>
      </w:r>
      <w:r w:rsidRPr="008655A1">
        <w:rPr>
          <w:rFonts w:hint="cs"/>
          <w:spacing w:val="0"/>
          <w:kern w:val="0"/>
          <w:sz w:val="20"/>
          <w:rtl/>
        </w:rPr>
        <w:t>ً</w:t>
      </w:r>
      <w:r w:rsidRPr="008655A1">
        <w:rPr>
          <w:spacing w:val="0"/>
          <w:kern w:val="0"/>
          <w:sz w:val="20"/>
          <w:rtl/>
        </w:rPr>
        <w:t xml:space="preserve">، علِم أنه يجري البحث عنه وأن وكالة الاستخبارات الوطنية أصدرت </w:t>
      </w:r>
      <w:r w:rsidRPr="008655A1">
        <w:rPr>
          <w:rFonts w:hint="cs"/>
          <w:spacing w:val="0"/>
          <w:kern w:val="0"/>
          <w:sz w:val="20"/>
          <w:rtl/>
        </w:rPr>
        <w:t xml:space="preserve">مذكرة توقيف بشأنه </w:t>
      </w:r>
      <w:r w:rsidRPr="008655A1">
        <w:rPr>
          <w:spacing w:val="0"/>
          <w:kern w:val="0"/>
          <w:sz w:val="20"/>
          <w:rtl/>
        </w:rPr>
        <w:t>في 6 نيسان/أبريل 2007. ونظرا</w:t>
      </w:r>
      <w:r w:rsidRPr="008655A1">
        <w:rPr>
          <w:rFonts w:hint="cs"/>
          <w:spacing w:val="0"/>
          <w:kern w:val="0"/>
          <w:sz w:val="20"/>
          <w:rtl/>
        </w:rPr>
        <w:t>ً</w:t>
      </w:r>
      <w:r w:rsidRPr="008655A1">
        <w:rPr>
          <w:spacing w:val="0"/>
          <w:kern w:val="0"/>
          <w:sz w:val="20"/>
          <w:rtl/>
        </w:rPr>
        <w:t xml:space="preserve"> للتهديدات الموجهة إلى أسرته وأقاربه وخوفا</w:t>
      </w:r>
      <w:r w:rsidRPr="008655A1">
        <w:rPr>
          <w:rFonts w:hint="cs"/>
          <w:spacing w:val="0"/>
          <w:kern w:val="0"/>
          <w:sz w:val="20"/>
          <w:rtl/>
        </w:rPr>
        <w:t>ً</w:t>
      </w:r>
      <w:r w:rsidRPr="008655A1">
        <w:rPr>
          <w:spacing w:val="0"/>
          <w:kern w:val="0"/>
          <w:sz w:val="20"/>
          <w:rtl/>
        </w:rPr>
        <w:t xml:space="preserve"> على حياته وأمنه، ولا سيما بسبب حادث التعذيب الذي تعرض له في 22 آذار/مارس 2007، فقد قرر الهرب من جمهورية الكونغو الديمقراطية.</w:t>
      </w:r>
    </w:p>
    <w:p w:rsidR="008655A1" w:rsidRPr="008655A1" w:rsidRDefault="008655A1" w:rsidP="008655A1">
      <w:pPr>
        <w:pStyle w:val="SingleTxtGA"/>
        <w:jc w:val="lowKashida"/>
        <w:rPr>
          <w:rFonts w:hint="cs"/>
          <w:spacing w:val="0"/>
          <w:kern w:val="0"/>
          <w:sz w:val="20"/>
        </w:rPr>
      </w:pPr>
      <w:r w:rsidRPr="008655A1">
        <w:rPr>
          <w:spacing w:val="0"/>
          <w:kern w:val="0"/>
          <w:sz w:val="20"/>
          <w:rtl/>
        </w:rPr>
        <w:t>2-5</w:t>
      </w:r>
      <w:r w:rsidRPr="008655A1">
        <w:rPr>
          <w:spacing w:val="0"/>
          <w:kern w:val="0"/>
          <w:sz w:val="20"/>
          <w:rtl/>
        </w:rPr>
        <w:tab/>
        <w:t xml:space="preserve">وقدم صاحب الشكوى طلب لجوء لدى وصوله إلى سويسرا في 26 كانون الأول/ديسمبر 2007. ورفض المكتب الاتحادي للهجرة في قراره الصادر في 14 كانون الثاني/يناير 2009 طلب صاحب الشكوى باعتباره غير مدعم بأدلة وأمره بأن يغادر سويسرا قبل 11 آذار/مارس 2009. وطعن صاحب الشكوى في القرار </w:t>
      </w:r>
      <w:r w:rsidRPr="008655A1">
        <w:rPr>
          <w:rFonts w:hint="cs"/>
          <w:spacing w:val="0"/>
          <w:kern w:val="0"/>
          <w:sz w:val="20"/>
          <w:rtl/>
        </w:rPr>
        <w:t>أمام</w:t>
      </w:r>
      <w:r w:rsidRPr="008655A1">
        <w:rPr>
          <w:spacing w:val="0"/>
          <w:kern w:val="0"/>
          <w:sz w:val="20"/>
          <w:rtl/>
        </w:rPr>
        <w:t xml:space="preserve"> المحكمة الإدارية الاتحادية التي رفضت طعنه في 16 آذار/مارس 2009 وأمرت بالتنفيذ الفوري لأمر المكتب الاتحادي للهجرة القاضي بإعادته قسرا</w:t>
      </w:r>
      <w:r w:rsidRPr="008655A1">
        <w:rPr>
          <w:rFonts w:hint="cs"/>
          <w:spacing w:val="0"/>
          <w:kern w:val="0"/>
          <w:sz w:val="20"/>
          <w:rtl/>
        </w:rPr>
        <w:t>ً</w:t>
      </w:r>
      <w:r w:rsidRPr="008655A1">
        <w:rPr>
          <w:spacing w:val="0"/>
          <w:kern w:val="0"/>
          <w:sz w:val="20"/>
          <w:rtl/>
        </w:rPr>
        <w:t>. غير أن المكتب مدد الأجل المحدد له لمغادرة سويسرا حتى 16 نيسان/أبريل</w:t>
      </w:r>
      <w:r w:rsidRPr="008655A1">
        <w:rPr>
          <w:rFonts w:hint="cs"/>
          <w:spacing w:val="0"/>
          <w:kern w:val="0"/>
          <w:sz w:val="20"/>
          <w:rtl/>
        </w:rPr>
        <w:t xml:space="preserve"> 2009</w:t>
      </w:r>
      <w:r w:rsidRPr="008655A1">
        <w:rPr>
          <w:spacing w:val="0"/>
          <w:kern w:val="0"/>
          <w:sz w:val="20"/>
          <w:rtl/>
        </w:rPr>
        <w:t>.</w:t>
      </w:r>
    </w:p>
    <w:p w:rsidR="008655A1" w:rsidRPr="008655A1" w:rsidRDefault="008655A1" w:rsidP="008655A1">
      <w:pPr>
        <w:pStyle w:val="H23GA"/>
        <w:jc w:val="lowKashida"/>
        <w:rPr>
          <w:spacing w:val="0"/>
          <w:kern w:val="0"/>
          <w:sz w:val="20"/>
        </w:rPr>
      </w:pPr>
      <w:r w:rsidRPr="008655A1">
        <w:rPr>
          <w:rFonts w:hint="cs"/>
          <w:spacing w:val="0"/>
          <w:kern w:val="0"/>
          <w:sz w:val="20"/>
          <w:rtl/>
        </w:rPr>
        <w:tab/>
      </w:r>
      <w:r w:rsidRPr="008655A1">
        <w:rPr>
          <w:rFonts w:hint="cs"/>
          <w:spacing w:val="0"/>
          <w:kern w:val="0"/>
          <w:sz w:val="20"/>
          <w:rtl/>
        </w:rPr>
        <w:tab/>
      </w:r>
      <w:r w:rsidRPr="008655A1">
        <w:rPr>
          <w:spacing w:val="0"/>
          <w:kern w:val="0"/>
          <w:sz w:val="20"/>
          <w:rtl/>
        </w:rPr>
        <w:t>الشكوى</w:t>
      </w:r>
    </w:p>
    <w:p w:rsidR="008655A1" w:rsidRPr="008655A1" w:rsidRDefault="008655A1" w:rsidP="008655A1">
      <w:pPr>
        <w:pStyle w:val="SingleTxtGA"/>
        <w:jc w:val="lowKashida"/>
        <w:rPr>
          <w:spacing w:val="0"/>
          <w:kern w:val="0"/>
          <w:sz w:val="20"/>
          <w:rtl/>
        </w:rPr>
      </w:pPr>
      <w:r w:rsidRPr="008655A1">
        <w:rPr>
          <w:rFonts w:hint="cs"/>
          <w:spacing w:val="0"/>
          <w:kern w:val="0"/>
          <w:sz w:val="20"/>
          <w:rtl/>
        </w:rPr>
        <w:t>3-1</w:t>
      </w:r>
      <w:r w:rsidRPr="008655A1">
        <w:rPr>
          <w:rFonts w:hint="cs"/>
          <w:spacing w:val="0"/>
          <w:kern w:val="0"/>
          <w:sz w:val="20"/>
          <w:rtl/>
        </w:rPr>
        <w:tab/>
      </w:r>
      <w:r w:rsidRPr="008655A1">
        <w:rPr>
          <w:spacing w:val="0"/>
          <w:kern w:val="0"/>
          <w:sz w:val="20"/>
          <w:rtl/>
        </w:rPr>
        <w:t>يدعي صاحب الشكوى أن ترحيله من سويسرا إلى جمهورية الكونغو الديمقراطية، التي وقعت اتفاقا</w:t>
      </w:r>
      <w:r w:rsidRPr="008655A1">
        <w:rPr>
          <w:rFonts w:hint="cs"/>
          <w:spacing w:val="0"/>
          <w:kern w:val="0"/>
          <w:sz w:val="20"/>
          <w:rtl/>
        </w:rPr>
        <w:t>ً</w:t>
      </w:r>
      <w:r w:rsidRPr="008655A1">
        <w:rPr>
          <w:spacing w:val="0"/>
          <w:kern w:val="0"/>
          <w:sz w:val="20"/>
          <w:rtl/>
        </w:rPr>
        <w:t xml:space="preserve"> مع سويسرا بشأن </w:t>
      </w:r>
      <w:r w:rsidRPr="008655A1">
        <w:rPr>
          <w:rFonts w:hint="cs"/>
          <w:spacing w:val="0"/>
          <w:kern w:val="0"/>
          <w:sz w:val="20"/>
          <w:rtl/>
        </w:rPr>
        <w:t>إعادة قبول</w:t>
      </w:r>
      <w:r w:rsidRPr="008655A1">
        <w:rPr>
          <w:spacing w:val="0"/>
          <w:kern w:val="0"/>
          <w:sz w:val="20"/>
          <w:rtl/>
        </w:rPr>
        <w:t xml:space="preserve"> طالبي اللجوء الذين تُرفَض طلباتهم، سيشكل انتهاكا</w:t>
      </w:r>
      <w:r w:rsidRPr="008655A1">
        <w:rPr>
          <w:rFonts w:hint="cs"/>
          <w:spacing w:val="0"/>
          <w:kern w:val="0"/>
          <w:sz w:val="20"/>
          <w:rtl/>
        </w:rPr>
        <w:t>ً</w:t>
      </w:r>
      <w:r w:rsidRPr="008655A1">
        <w:rPr>
          <w:spacing w:val="0"/>
          <w:kern w:val="0"/>
          <w:sz w:val="20"/>
          <w:rtl/>
        </w:rPr>
        <w:t xml:space="preserve"> للفقرة 1 من المادة 3 من الاتفاقية لأنه توجد أسباب جوهرية للاعتقاد بأنه سيواجه خطر التعرض للتعذيب </w:t>
      </w:r>
      <w:r w:rsidRPr="008655A1">
        <w:rPr>
          <w:rFonts w:hint="cs"/>
          <w:spacing w:val="0"/>
          <w:kern w:val="0"/>
          <w:sz w:val="20"/>
          <w:rtl/>
        </w:rPr>
        <w:t>إذا</w:t>
      </w:r>
      <w:r w:rsidRPr="008655A1">
        <w:rPr>
          <w:spacing w:val="0"/>
          <w:kern w:val="0"/>
          <w:sz w:val="20"/>
          <w:rtl/>
        </w:rPr>
        <w:t xml:space="preserve"> أعيد.</w:t>
      </w:r>
    </w:p>
    <w:p w:rsidR="008655A1" w:rsidRPr="008655A1" w:rsidRDefault="008655A1" w:rsidP="008655A1">
      <w:pPr>
        <w:pStyle w:val="SingleTxtGA"/>
        <w:jc w:val="lowKashida"/>
        <w:rPr>
          <w:spacing w:val="0"/>
          <w:kern w:val="0"/>
          <w:sz w:val="20"/>
          <w:rtl/>
        </w:rPr>
      </w:pPr>
      <w:r w:rsidRPr="008655A1">
        <w:rPr>
          <w:spacing w:val="0"/>
          <w:kern w:val="0"/>
          <w:sz w:val="20"/>
          <w:rtl/>
        </w:rPr>
        <w:t>3-2</w:t>
      </w:r>
      <w:r w:rsidRPr="008655A1">
        <w:rPr>
          <w:spacing w:val="0"/>
          <w:kern w:val="0"/>
          <w:sz w:val="20"/>
          <w:rtl/>
        </w:rPr>
        <w:tab/>
        <w:t>ويزعم صاحب الشكوى</w:t>
      </w:r>
      <w:r w:rsidRPr="008655A1">
        <w:rPr>
          <w:rFonts w:hint="cs"/>
          <w:spacing w:val="0"/>
          <w:kern w:val="0"/>
          <w:sz w:val="20"/>
          <w:rtl/>
        </w:rPr>
        <w:t>،</w:t>
      </w:r>
      <w:r w:rsidRPr="008655A1">
        <w:rPr>
          <w:spacing w:val="0"/>
          <w:kern w:val="0"/>
          <w:sz w:val="20"/>
          <w:rtl/>
        </w:rPr>
        <w:t xml:space="preserve"> مشيرا بصفة عامة إلى معلومات من منظمات لحقوق الإنسان لم يحددها</w:t>
      </w:r>
      <w:r w:rsidRPr="008655A1">
        <w:rPr>
          <w:rFonts w:hint="cs"/>
          <w:spacing w:val="0"/>
          <w:kern w:val="0"/>
          <w:sz w:val="20"/>
          <w:rtl/>
        </w:rPr>
        <w:t>،</w:t>
      </w:r>
      <w:r w:rsidRPr="008655A1">
        <w:rPr>
          <w:spacing w:val="0"/>
          <w:kern w:val="0"/>
          <w:sz w:val="20"/>
          <w:rtl/>
        </w:rPr>
        <w:t xml:space="preserve"> أن كثيرا</w:t>
      </w:r>
      <w:r w:rsidRPr="008655A1">
        <w:rPr>
          <w:rFonts w:hint="cs"/>
          <w:spacing w:val="0"/>
          <w:kern w:val="0"/>
          <w:sz w:val="20"/>
          <w:rtl/>
        </w:rPr>
        <w:t>ً</w:t>
      </w:r>
      <w:r w:rsidRPr="008655A1">
        <w:rPr>
          <w:spacing w:val="0"/>
          <w:kern w:val="0"/>
          <w:sz w:val="20"/>
          <w:rtl/>
        </w:rPr>
        <w:t xml:space="preserve"> ممن أوقِفوا خلال أحداث يومي 22 و23 آذار/مارس 2007، ومنهم أعضاء حركة تحرير الكونغو وأتباع جون - بيير بيمبا والمنحدرون من </w:t>
      </w:r>
      <w:r w:rsidRPr="008655A1">
        <w:rPr>
          <w:rFonts w:hint="cs"/>
          <w:spacing w:val="0"/>
          <w:kern w:val="0"/>
          <w:sz w:val="20"/>
          <w:rtl/>
        </w:rPr>
        <w:t>المقاطعة</w:t>
      </w:r>
      <w:r w:rsidRPr="008655A1">
        <w:rPr>
          <w:spacing w:val="0"/>
          <w:kern w:val="0"/>
          <w:sz w:val="20"/>
          <w:rtl/>
        </w:rPr>
        <w:t xml:space="preserve"> الاستوائية و</w:t>
      </w:r>
      <w:r w:rsidRPr="008655A1">
        <w:rPr>
          <w:rFonts w:hint="cs"/>
          <w:spacing w:val="0"/>
          <w:kern w:val="0"/>
          <w:sz w:val="20"/>
          <w:rtl/>
        </w:rPr>
        <w:t xml:space="preserve">مقاطعة </w:t>
      </w:r>
      <w:r w:rsidRPr="008655A1">
        <w:rPr>
          <w:spacing w:val="0"/>
          <w:kern w:val="0"/>
          <w:sz w:val="20"/>
          <w:rtl/>
        </w:rPr>
        <w:t xml:space="preserve">الكونغو السفلى، وُضِعوا رهن الاحتجاز </w:t>
      </w:r>
      <w:r w:rsidRPr="008655A1">
        <w:rPr>
          <w:rFonts w:hint="cs"/>
          <w:spacing w:val="0"/>
          <w:kern w:val="0"/>
          <w:sz w:val="20"/>
          <w:rtl/>
        </w:rPr>
        <w:t>في مكان مجهول</w:t>
      </w:r>
      <w:r w:rsidRPr="008655A1">
        <w:rPr>
          <w:spacing w:val="0"/>
          <w:kern w:val="0"/>
          <w:sz w:val="20"/>
          <w:rtl/>
        </w:rPr>
        <w:t xml:space="preserve">. كما يدعي صاحب الشكوى أنه لم يصدر أي عفو </w:t>
      </w:r>
      <w:r w:rsidRPr="008655A1">
        <w:rPr>
          <w:rFonts w:hint="cs"/>
          <w:spacing w:val="0"/>
          <w:kern w:val="0"/>
          <w:sz w:val="20"/>
          <w:rtl/>
        </w:rPr>
        <w:t>عن</w:t>
      </w:r>
      <w:r w:rsidRPr="008655A1">
        <w:rPr>
          <w:spacing w:val="0"/>
          <w:kern w:val="0"/>
          <w:sz w:val="20"/>
          <w:rtl/>
        </w:rPr>
        <w:t xml:space="preserve"> الموقوفين الذين قُتِل أو اختفى كثير منهم.</w:t>
      </w:r>
    </w:p>
    <w:p w:rsidR="008655A1" w:rsidRPr="008655A1" w:rsidRDefault="008655A1" w:rsidP="008655A1">
      <w:pPr>
        <w:pStyle w:val="SingleTxtGA"/>
        <w:jc w:val="lowKashida"/>
        <w:rPr>
          <w:spacing w:val="0"/>
          <w:kern w:val="0"/>
          <w:sz w:val="20"/>
          <w:rtl/>
        </w:rPr>
      </w:pPr>
      <w:r w:rsidRPr="008655A1">
        <w:rPr>
          <w:spacing w:val="0"/>
          <w:kern w:val="0"/>
          <w:sz w:val="20"/>
          <w:rtl/>
        </w:rPr>
        <w:t>3-3</w:t>
      </w:r>
      <w:r w:rsidRPr="008655A1">
        <w:rPr>
          <w:spacing w:val="0"/>
          <w:kern w:val="0"/>
          <w:sz w:val="20"/>
          <w:rtl/>
        </w:rPr>
        <w:tab/>
        <w:t>ويدعي صاحب الشكوى، دون تقديم أي تفاصيل، أن أفراد عائلته لا يزالون يعانون من اضطهاد عناصر الأمن انتقاما</w:t>
      </w:r>
      <w:r w:rsidRPr="008655A1">
        <w:rPr>
          <w:rFonts w:hint="cs"/>
          <w:spacing w:val="0"/>
          <w:kern w:val="0"/>
          <w:sz w:val="20"/>
          <w:rtl/>
        </w:rPr>
        <w:t>ً</w:t>
      </w:r>
      <w:r w:rsidRPr="008655A1">
        <w:rPr>
          <w:spacing w:val="0"/>
          <w:kern w:val="0"/>
          <w:sz w:val="20"/>
          <w:rtl/>
        </w:rPr>
        <w:t xml:space="preserve"> منهم لعدم كشفهم عن مكان وجوده. ولتعزيز الأسباب الجوهرية للاعتقاد بأنه سيواجه خطر التعرض للتعذيب إذا أعيد، </w:t>
      </w:r>
      <w:r w:rsidRPr="008655A1">
        <w:rPr>
          <w:rFonts w:hint="cs"/>
          <w:spacing w:val="0"/>
          <w:kern w:val="0"/>
          <w:sz w:val="20"/>
          <w:rtl/>
        </w:rPr>
        <w:t xml:space="preserve">يوجه صاحب الشكوى </w:t>
      </w:r>
      <w:r w:rsidRPr="008655A1">
        <w:rPr>
          <w:spacing w:val="0"/>
          <w:kern w:val="0"/>
          <w:sz w:val="20"/>
          <w:rtl/>
        </w:rPr>
        <w:t>انتباه اللجنة إلى الشهادة الطبية المتعلقة بعلاج سِنَّيه المكس</w:t>
      </w:r>
      <w:r w:rsidRPr="008655A1">
        <w:rPr>
          <w:rFonts w:hint="cs"/>
          <w:spacing w:val="0"/>
          <w:kern w:val="0"/>
          <w:sz w:val="20"/>
          <w:rtl/>
        </w:rPr>
        <w:t>و</w:t>
      </w:r>
      <w:r w:rsidRPr="008655A1">
        <w:rPr>
          <w:spacing w:val="0"/>
          <w:kern w:val="0"/>
          <w:sz w:val="20"/>
          <w:rtl/>
        </w:rPr>
        <w:t>رتين وإلى مذكرة التوقيف التي أصدرتها بشأنه وكالة الاستخبارات الوطنية لبلده.</w:t>
      </w:r>
    </w:p>
    <w:p w:rsidR="008655A1" w:rsidRPr="008655A1" w:rsidRDefault="008655A1" w:rsidP="008655A1">
      <w:pPr>
        <w:pStyle w:val="H23GA"/>
        <w:jc w:val="lowKashida"/>
        <w:rPr>
          <w:spacing w:val="0"/>
          <w:kern w:val="0"/>
          <w:sz w:val="20"/>
        </w:rPr>
      </w:pPr>
      <w:r w:rsidRPr="008655A1">
        <w:rPr>
          <w:rFonts w:hint="cs"/>
          <w:spacing w:val="0"/>
          <w:kern w:val="0"/>
          <w:sz w:val="20"/>
          <w:rtl/>
        </w:rPr>
        <w:tab/>
      </w:r>
      <w:r w:rsidRPr="008655A1">
        <w:rPr>
          <w:rFonts w:hint="cs"/>
          <w:spacing w:val="0"/>
          <w:kern w:val="0"/>
          <w:sz w:val="20"/>
          <w:rtl/>
        </w:rPr>
        <w:tab/>
      </w:r>
      <w:r w:rsidRPr="008655A1">
        <w:rPr>
          <w:spacing w:val="0"/>
          <w:kern w:val="0"/>
          <w:sz w:val="20"/>
          <w:rtl/>
        </w:rPr>
        <w:t>ملاحظات الدولة الطرف بشأن الأسس الموضوعية</w:t>
      </w:r>
    </w:p>
    <w:p w:rsidR="008655A1" w:rsidRPr="008655A1" w:rsidRDefault="008655A1" w:rsidP="008655A1">
      <w:pPr>
        <w:pStyle w:val="SingleTxtGA"/>
        <w:jc w:val="lowKashida"/>
        <w:rPr>
          <w:spacing w:val="0"/>
          <w:kern w:val="0"/>
          <w:sz w:val="20"/>
          <w:rtl/>
        </w:rPr>
      </w:pPr>
      <w:r w:rsidRPr="008655A1">
        <w:rPr>
          <w:rFonts w:hint="cs"/>
          <w:spacing w:val="0"/>
          <w:kern w:val="0"/>
          <w:sz w:val="20"/>
          <w:rtl/>
        </w:rPr>
        <w:t>4-1</w:t>
      </w:r>
      <w:r w:rsidRPr="008655A1">
        <w:rPr>
          <w:rFonts w:hint="cs"/>
          <w:spacing w:val="0"/>
          <w:kern w:val="0"/>
          <w:sz w:val="20"/>
          <w:rtl/>
        </w:rPr>
        <w:tab/>
        <w:t>ف</w:t>
      </w:r>
      <w:r w:rsidRPr="008655A1">
        <w:rPr>
          <w:spacing w:val="0"/>
          <w:kern w:val="0"/>
          <w:sz w:val="20"/>
          <w:rtl/>
        </w:rPr>
        <w:t>ي 27 تشرين الأول/أكتوبر 2009، قدمت الدولة الطرف ملاحظاتها بشأن الأسس الموضوعية للبلاغ دون أي تعليقات على مقبوليته.</w:t>
      </w:r>
    </w:p>
    <w:p w:rsidR="008655A1" w:rsidRPr="008655A1" w:rsidRDefault="008655A1" w:rsidP="008655A1">
      <w:pPr>
        <w:pStyle w:val="SingleTxtGA"/>
        <w:jc w:val="lowKashida"/>
        <w:rPr>
          <w:spacing w:val="0"/>
          <w:kern w:val="0"/>
          <w:sz w:val="20"/>
          <w:rtl/>
        </w:rPr>
      </w:pPr>
      <w:r w:rsidRPr="008655A1">
        <w:rPr>
          <w:spacing w:val="0"/>
          <w:kern w:val="0"/>
          <w:sz w:val="20"/>
          <w:rtl/>
        </w:rPr>
        <w:t>4-2</w:t>
      </w:r>
      <w:r w:rsidRPr="008655A1">
        <w:rPr>
          <w:spacing w:val="0"/>
          <w:kern w:val="0"/>
          <w:sz w:val="20"/>
          <w:rtl/>
        </w:rPr>
        <w:tab/>
        <w:t>وتذكِّر الدولةُ الطرف بأن صاحب الشكوى ترك جمهورية الكونغو الديمقراطية في</w:t>
      </w:r>
      <w:r w:rsidRPr="008655A1">
        <w:rPr>
          <w:rFonts w:hint="cs"/>
          <w:spacing w:val="0"/>
          <w:kern w:val="0"/>
          <w:sz w:val="20"/>
          <w:rtl/>
        </w:rPr>
        <w:t> </w:t>
      </w:r>
      <w:r w:rsidRPr="008655A1">
        <w:rPr>
          <w:spacing w:val="0"/>
          <w:kern w:val="0"/>
          <w:sz w:val="20"/>
          <w:rtl/>
        </w:rPr>
        <w:t xml:space="preserve">25 كانون الأول/ديسمبر 2007 على متن طائرة </w:t>
      </w:r>
      <w:r w:rsidRPr="008655A1">
        <w:rPr>
          <w:rFonts w:hint="cs"/>
          <w:spacing w:val="0"/>
          <w:kern w:val="0"/>
          <w:sz w:val="20"/>
          <w:rtl/>
        </w:rPr>
        <w:t>متجهة إلى</w:t>
      </w:r>
      <w:r w:rsidRPr="008655A1">
        <w:rPr>
          <w:spacing w:val="0"/>
          <w:kern w:val="0"/>
          <w:sz w:val="20"/>
          <w:rtl/>
        </w:rPr>
        <w:t xml:space="preserve"> روما عبر باريس. ووصل إلى سويسرا بالسيارة. وت</w:t>
      </w:r>
      <w:r w:rsidRPr="008655A1">
        <w:rPr>
          <w:rFonts w:hint="cs"/>
          <w:spacing w:val="0"/>
          <w:kern w:val="0"/>
          <w:sz w:val="20"/>
          <w:rtl/>
        </w:rPr>
        <w:t>دفع</w:t>
      </w:r>
      <w:r w:rsidRPr="008655A1">
        <w:rPr>
          <w:spacing w:val="0"/>
          <w:kern w:val="0"/>
          <w:sz w:val="20"/>
          <w:rtl/>
        </w:rPr>
        <w:t xml:space="preserve"> الدولة الطرف </w:t>
      </w:r>
      <w:r w:rsidRPr="008655A1">
        <w:rPr>
          <w:rFonts w:hint="cs"/>
          <w:spacing w:val="0"/>
          <w:kern w:val="0"/>
          <w:sz w:val="20"/>
          <w:rtl/>
        </w:rPr>
        <w:t>ب</w:t>
      </w:r>
      <w:r w:rsidRPr="008655A1">
        <w:rPr>
          <w:spacing w:val="0"/>
          <w:kern w:val="0"/>
          <w:sz w:val="20"/>
          <w:rtl/>
        </w:rPr>
        <w:t>أن صاحب الشكوى لم يستند في ادعاءاته بمواجهة خطر التعرض للتعذيب إ</w:t>
      </w:r>
      <w:r w:rsidRPr="008655A1">
        <w:rPr>
          <w:rFonts w:hint="cs"/>
          <w:spacing w:val="0"/>
          <w:kern w:val="0"/>
          <w:sz w:val="20"/>
          <w:rtl/>
        </w:rPr>
        <w:t>لاّ</w:t>
      </w:r>
      <w:r w:rsidRPr="008655A1">
        <w:rPr>
          <w:spacing w:val="0"/>
          <w:kern w:val="0"/>
          <w:sz w:val="20"/>
          <w:rtl/>
        </w:rPr>
        <w:t xml:space="preserve"> إلى وجود مذكرة توقيفه وشهادة طبية بشأن علاج أسنانه. وقد تم تناول هاتين الواقعتين على النحو الواجب في قرار المكتب الاتحادي للهجرة الصادر في 14 كانون الثاني/يناير 2009 وقرار المحكمة الإدارية الاتحادية الصادر في 16 آذار/مارس</w:t>
      </w:r>
      <w:r w:rsidRPr="008655A1">
        <w:rPr>
          <w:rFonts w:hint="cs"/>
          <w:spacing w:val="0"/>
          <w:kern w:val="0"/>
          <w:sz w:val="20"/>
          <w:rtl/>
        </w:rPr>
        <w:t xml:space="preserve"> </w:t>
      </w:r>
      <w:r w:rsidRPr="008655A1">
        <w:rPr>
          <w:spacing w:val="0"/>
          <w:kern w:val="0"/>
          <w:sz w:val="20"/>
          <w:rtl/>
        </w:rPr>
        <w:t>2009. وبالإضافة إلى ذلك، تلاحظ الدولة الطرف أن صاحب الشكوى لم</w:t>
      </w:r>
      <w:r w:rsidRPr="008655A1">
        <w:rPr>
          <w:rFonts w:hint="cs"/>
          <w:spacing w:val="0"/>
          <w:kern w:val="0"/>
          <w:sz w:val="20"/>
          <w:rtl/>
        </w:rPr>
        <w:t> </w:t>
      </w:r>
      <w:r w:rsidRPr="008655A1">
        <w:rPr>
          <w:spacing w:val="0"/>
          <w:kern w:val="0"/>
          <w:sz w:val="20"/>
          <w:rtl/>
        </w:rPr>
        <w:t xml:space="preserve">يوضح سبب ما يعتري ادعاءاته من أوجه التضارب والتناقضات التي حددتها السلطات السويسرية المختصة. وبما أن صاحب الشكوى لم يقدم إلى اللجنة سوى الحكمين الواردَين في القرارين، دون </w:t>
      </w:r>
      <w:r w:rsidRPr="008655A1">
        <w:rPr>
          <w:rFonts w:hint="cs"/>
          <w:spacing w:val="0"/>
          <w:kern w:val="0"/>
          <w:sz w:val="20"/>
          <w:rtl/>
        </w:rPr>
        <w:t>استنتاجات</w:t>
      </w:r>
      <w:r w:rsidRPr="008655A1">
        <w:rPr>
          <w:spacing w:val="0"/>
          <w:kern w:val="0"/>
          <w:sz w:val="20"/>
          <w:rtl/>
        </w:rPr>
        <w:t>هما، إلى جانب مذكرة التوقيف، فإن الدولة الطرف ترى أن حججه مضللة.</w:t>
      </w:r>
    </w:p>
    <w:p w:rsidR="008655A1" w:rsidRPr="008655A1" w:rsidRDefault="008655A1" w:rsidP="008655A1">
      <w:pPr>
        <w:pStyle w:val="SingleTxtGA"/>
        <w:jc w:val="lowKashida"/>
        <w:rPr>
          <w:spacing w:val="-2"/>
          <w:kern w:val="0"/>
          <w:sz w:val="20"/>
          <w:rtl/>
        </w:rPr>
      </w:pPr>
      <w:r w:rsidRPr="008655A1">
        <w:rPr>
          <w:spacing w:val="0"/>
          <w:kern w:val="0"/>
          <w:sz w:val="20"/>
          <w:rtl/>
        </w:rPr>
        <w:t>4-3</w:t>
      </w:r>
      <w:r w:rsidRPr="008655A1">
        <w:rPr>
          <w:spacing w:val="0"/>
          <w:kern w:val="0"/>
          <w:sz w:val="20"/>
          <w:rtl/>
        </w:rPr>
        <w:tab/>
        <w:t>وإذ تشير الدولة الطرف إلى اجتهادات اللجنة</w:t>
      </w:r>
      <w:r w:rsidRPr="008655A1">
        <w:rPr>
          <w:rFonts w:hint="cs"/>
          <w:spacing w:val="0"/>
          <w:kern w:val="0"/>
          <w:sz w:val="20"/>
          <w:vertAlign w:val="superscript"/>
          <w:rtl/>
        </w:rPr>
        <w:t>(</w:t>
      </w:r>
      <w:r w:rsidRPr="008655A1">
        <w:rPr>
          <w:rStyle w:val="FootnoteReference"/>
          <w:spacing w:val="0"/>
          <w:sz w:val="20"/>
          <w:szCs w:val="30"/>
          <w:rtl/>
        </w:rPr>
        <w:footnoteReference w:id="282"/>
      </w:r>
      <w:r w:rsidRPr="008655A1">
        <w:rPr>
          <w:rFonts w:hint="cs"/>
          <w:spacing w:val="0"/>
          <w:kern w:val="0"/>
          <w:sz w:val="20"/>
          <w:vertAlign w:val="superscript"/>
          <w:rtl/>
        </w:rPr>
        <w:t>)</w:t>
      </w:r>
      <w:r w:rsidRPr="008655A1">
        <w:rPr>
          <w:spacing w:val="0"/>
          <w:kern w:val="0"/>
          <w:sz w:val="20"/>
          <w:rtl/>
        </w:rPr>
        <w:t xml:space="preserve"> وإلى تعليقها العام رقم 1(1997) </w:t>
      </w:r>
      <w:r w:rsidRPr="008655A1">
        <w:rPr>
          <w:spacing w:val="-2"/>
          <w:kern w:val="0"/>
          <w:sz w:val="20"/>
          <w:rtl/>
        </w:rPr>
        <w:t>بشأن تنفيذ المادة 3 من الاتفاقية في سياق المادة 22</w:t>
      </w:r>
      <w:r w:rsidRPr="008655A1">
        <w:rPr>
          <w:rFonts w:hint="cs"/>
          <w:spacing w:val="-2"/>
          <w:kern w:val="0"/>
          <w:sz w:val="20"/>
          <w:vertAlign w:val="superscript"/>
          <w:rtl/>
        </w:rPr>
        <w:t>(</w:t>
      </w:r>
      <w:r w:rsidRPr="008655A1">
        <w:rPr>
          <w:rStyle w:val="FootnoteReference"/>
          <w:spacing w:val="-2"/>
          <w:sz w:val="20"/>
          <w:szCs w:val="30"/>
          <w:rtl/>
        </w:rPr>
        <w:footnoteReference w:id="283"/>
      </w:r>
      <w:r w:rsidRPr="008655A1">
        <w:rPr>
          <w:rFonts w:hint="cs"/>
          <w:spacing w:val="-2"/>
          <w:kern w:val="0"/>
          <w:sz w:val="20"/>
          <w:vertAlign w:val="superscript"/>
          <w:rtl/>
        </w:rPr>
        <w:t>)</w:t>
      </w:r>
      <w:r w:rsidRPr="008655A1">
        <w:rPr>
          <w:spacing w:val="-2"/>
          <w:kern w:val="0"/>
          <w:sz w:val="20"/>
          <w:rtl/>
        </w:rPr>
        <w:t>، فإنها تؤكد أن صاحب الشكوى لم</w:t>
      </w:r>
      <w:r w:rsidRPr="008655A1">
        <w:rPr>
          <w:rFonts w:hint="cs"/>
          <w:spacing w:val="-2"/>
          <w:kern w:val="0"/>
          <w:sz w:val="20"/>
          <w:rtl/>
        </w:rPr>
        <w:t> </w:t>
      </w:r>
      <w:r w:rsidRPr="008655A1">
        <w:rPr>
          <w:spacing w:val="-2"/>
          <w:kern w:val="0"/>
          <w:sz w:val="20"/>
          <w:rtl/>
        </w:rPr>
        <w:t>يثبِت أنه يواجه خطرا</w:t>
      </w:r>
      <w:r w:rsidRPr="008655A1">
        <w:rPr>
          <w:rFonts w:hint="cs"/>
          <w:spacing w:val="-2"/>
          <w:kern w:val="0"/>
          <w:sz w:val="20"/>
          <w:rtl/>
        </w:rPr>
        <w:t>ً</w:t>
      </w:r>
      <w:r w:rsidRPr="008655A1">
        <w:rPr>
          <w:spacing w:val="-2"/>
          <w:kern w:val="0"/>
          <w:sz w:val="20"/>
          <w:rtl/>
        </w:rPr>
        <w:t xml:space="preserve"> شخصيا</w:t>
      </w:r>
      <w:r w:rsidRPr="008655A1">
        <w:rPr>
          <w:rFonts w:hint="cs"/>
          <w:spacing w:val="-2"/>
          <w:kern w:val="0"/>
          <w:sz w:val="20"/>
          <w:rtl/>
        </w:rPr>
        <w:t>ً</w:t>
      </w:r>
      <w:r w:rsidRPr="008655A1">
        <w:rPr>
          <w:spacing w:val="-2"/>
          <w:kern w:val="0"/>
          <w:sz w:val="20"/>
          <w:rtl/>
        </w:rPr>
        <w:t xml:space="preserve"> وحقيقيا</w:t>
      </w:r>
      <w:r w:rsidRPr="008655A1">
        <w:rPr>
          <w:rFonts w:hint="cs"/>
          <w:spacing w:val="-2"/>
          <w:kern w:val="0"/>
          <w:sz w:val="20"/>
          <w:rtl/>
        </w:rPr>
        <w:t>ً</w:t>
      </w:r>
      <w:r w:rsidRPr="008655A1">
        <w:rPr>
          <w:spacing w:val="-2"/>
          <w:kern w:val="0"/>
          <w:sz w:val="20"/>
          <w:rtl/>
        </w:rPr>
        <w:t xml:space="preserve"> ومتوقعا</w:t>
      </w:r>
      <w:r w:rsidRPr="008655A1">
        <w:rPr>
          <w:rFonts w:hint="cs"/>
          <w:spacing w:val="-2"/>
          <w:kern w:val="0"/>
          <w:sz w:val="20"/>
          <w:rtl/>
        </w:rPr>
        <w:t>ً</w:t>
      </w:r>
      <w:r w:rsidRPr="008655A1">
        <w:rPr>
          <w:spacing w:val="-2"/>
          <w:kern w:val="0"/>
          <w:sz w:val="20"/>
          <w:rtl/>
        </w:rPr>
        <w:t xml:space="preserve"> بالتعرض للتعذيب إذا أعيد إلى جمهورية الكونغو الديمقراطية. وحسبما تقول الدولة الطرف، ينبغي تقييم مدى وجود خطر التعرض للتعذيب في ضوء أدلة </w:t>
      </w:r>
      <w:r w:rsidRPr="008655A1">
        <w:rPr>
          <w:rFonts w:hint="cs"/>
          <w:spacing w:val="-2"/>
          <w:kern w:val="0"/>
          <w:sz w:val="20"/>
          <w:rtl/>
        </w:rPr>
        <w:t xml:space="preserve">تتجاوز </w:t>
      </w:r>
      <w:r w:rsidRPr="008655A1">
        <w:rPr>
          <w:spacing w:val="-2"/>
          <w:kern w:val="0"/>
          <w:sz w:val="20"/>
          <w:rtl/>
        </w:rPr>
        <w:t xml:space="preserve">مجرد </w:t>
      </w:r>
      <w:r w:rsidRPr="008655A1">
        <w:rPr>
          <w:rFonts w:hint="cs"/>
          <w:spacing w:val="-2"/>
          <w:kern w:val="0"/>
          <w:sz w:val="20"/>
          <w:rtl/>
        </w:rPr>
        <w:t>الافتراض</w:t>
      </w:r>
      <w:r w:rsidRPr="008655A1">
        <w:rPr>
          <w:spacing w:val="-2"/>
          <w:kern w:val="0"/>
          <w:sz w:val="20"/>
          <w:rtl/>
        </w:rPr>
        <w:t xml:space="preserve"> أو الشك. وإذ تلاحظ الدولة الطرف حالة حقوق الإنسان في جمهورية الكونغو الديمقراطية، فإنها ت</w:t>
      </w:r>
      <w:r w:rsidRPr="008655A1">
        <w:rPr>
          <w:rFonts w:hint="cs"/>
          <w:spacing w:val="-2"/>
          <w:kern w:val="0"/>
          <w:sz w:val="20"/>
          <w:rtl/>
        </w:rPr>
        <w:t xml:space="preserve">زعم </w:t>
      </w:r>
      <w:r w:rsidRPr="008655A1">
        <w:rPr>
          <w:spacing w:val="-2"/>
          <w:kern w:val="0"/>
          <w:sz w:val="20"/>
          <w:rtl/>
        </w:rPr>
        <w:t>أن هذه الحالة ليست في حد ذاتها سندا</w:t>
      </w:r>
      <w:r w:rsidRPr="008655A1">
        <w:rPr>
          <w:rFonts w:hint="cs"/>
          <w:spacing w:val="-2"/>
          <w:kern w:val="0"/>
          <w:sz w:val="20"/>
          <w:rtl/>
        </w:rPr>
        <w:t>ً</w:t>
      </w:r>
      <w:r w:rsidRPr="008655A1">
        <w:rPr>
          <w:spacing w:val="-2"/>
          <w:kern w:val="0"/>
          <w:sz w:val="20"/>
          <w:rtl/>
        </w:rPr>
        <w:t xml:space="preserve"> كافيا</w:t>
      </w:r>
      <w:r w:rsidRPr="008655A1">
        <w:rPr>
          <w:rFonts w:hint="cs"/>
          <w:spacing w:val="-2"/>
          <w:kern w:val="0"/>
          <w:sz w:val="20"/>
          <w:rtl/>
        </w:rPr>
        <w:t>ً</w:t>
      </w:r>
      <w:r w:rsidRPr="008655A1">
        <w:rPr>
          <w:spacing w:val="-2"/>
          <w:kern w:val="0"/>
          <w:sz w:val="20"/>
          <w:rtl/>
        </w:rPr>
        <w:t xml:space="preserve"> لاستنتاج أن صاحب الشكوى سيواجه خطر التعرض للتعذيب إذا أعيد إلى بلده.</w:t>
      </w:r>
    </w:p>
    <w:p w:rsidR="008655A1" w:rsidRPr="008655A1" w:rsidRDefault="008655A1" w:rsidP="008655A1">
      <w:pPr>
        <w:pStyle w:val="SingleTxtGA"/>
        <w:jc w:val="lowKashida"/>
        <w:rPr>
          <w:spacing w:val="0"/>
          <w:kern w:val="0"/>
          <w:sz w:val="20"/>
          <w:rtl/>
        </w:rPr>
      </w:pPr>
      <w:r w:rsidRPr="008655A1">
        <w:rPr>
          <w:spacing w:val="0"/>
          <w:kern w:val="0"/>
          <w:sz w:val="20"/>
          <w:rtl/>
        </w:rPr>
        <w:t>4-4</w:t>
      </w:r>
      <w:r w:rsidRPr="008655A1">
        <w:rPr>
          <w:spacing w:val="0"/>
          <w:kern w:val="0"/>
          <w:sz w:val="20"/>
          <w:rtl/>
        </w:rPr>
        <w:tab/>
        <w:t xml:space="preserve">وتقول الدولة الطرف، مشيرةً إلى قراري الهيئتين المعنيتين بمسألة اللجوء بشأن قضية صاحب الشكوى، إنه كان يعيش في كينشاسا وليس في الشرق الذي كان أقل المناطق استقرارا في البلد. </w:t>
      </w:r>
      <w:r w:rsidRPr="008655A1">
        <w:rPr>
          <w:rFonts w:hint="cs"/>
          <w:spacing w:val="0"/>
          <w:kern w:val="0"/>
          <w:sz w:val="20"/>
          <w:rtl/>
        </w:rPr>
        <w:t>ووفقاً ل</w:t>
      </w:r>
      <w:r w:rsidRPr="008655A1">
        <w:rPr>
          <w:spacing w:val="0"/>
          <w:kern w:val="0"/>
          <w:sz w:val="20"/>
          <w:rtl/>
        </w:rPr>
        <w:t xml:space="preserve">لدولة الطرف، فقد خفَّت حدة </w:t>
      </w:r>
      <w:r w:rsidRPr="008655A1">
        <w:rPr>
          <w:rFonts w:hint="cs"/>
          <w:spacing w:val="0"/>
          <w:kern w:val="0"/>
          <w:sz w:val="20"/>
          <w:rtl/>
        </w:rPr>
        <w:t xml:space="preserve">توتر </w:t>
      </w:r>
      <w:r w:rsidRPr="008655A1">
        <w:rPr>
          <w:spacing w:val="0"/>
          <w:kern w:val="0"/>
          <w:sz w:val="20"/>
          <w:rtl/>
        </w:rPr>
        <w:t>الوضع السياسي في البلد منذ مغادرة جون</w:t>
      </w:r>
      <w:r w:rsidRPr="008655A1">
        <w:rPr>
          <w:rFonts w:hint="cs"/>
          <w:spacing w:val="0"/>
          <w:kern w:val="0"/>
          <w:sz w:val="20"/>
          <w:rtl/>
        </w:rPr>
        <w:t xml:space="preserve"> </w:t>
      </w:r>
      <w:r w:rsidRPr="008655A1">
        <w:rPr>
          <w:spacing w:val="0"/>
          <w:kern w:val="0"/>
          <w:sz w:val="20"/>
          <w:rtl/>
        </w:rPr>
        <w:t>-</w:t>
      </w:r>
      <w:r w:rsidRPr="008655A1">
        <w:rPr>
          <w:rFonts w:hint="cs"/>
          <w:spacing w:val="0"/>
          <w:kern w:val="0"/>
          <w:sz w:val="20"/>
          <w:rtl/>
        </w:rPr>
        <w:t xml:space="preserve"> </w:t>
      </w:r>
      <w:r w:rsidRPr="008655A1">
        <w:rPr>
          <w:spacing w:val="0"/>
          <w:kern w:val="0"/>
          <w:sz w:val="20"/>
          <w:rtl/>
        </w:rPr>
        <w:t>بيير بيمبا في عام 2007.</w:t>
      </w:r>
    </w:p>
    <w:p w:rsidR="008655A1" w:rsidRPr="008655A1" w:rsidRDefault="008655A1" w:rsidP="008655A1">
      <w:pPr>
        <w:pStyle w:val="SingleTxtGA"/>
        <w:jc w:val="lowKashida"/>
        <w:rPr>
          <w:spacing w:val="0"/>
          <w:kern w:val="0"/>
          <w:sz w:val="20"/>
          <w:rtl/>
        </w:rPr>
      </w:pPr>
      <w:r w:rsidRPr="008655A1">
        <w:rPr>
          <w:spacing w:val="0"/>
          <w:kern w:val="0"/>
          <w:sz w:val="20"/>
          <w:rtl/>
        </w:rPr>
        <w:t>4-5</w:t>
      </w:r>
      <w:r w:rsidRPr="008655A1">
        <w:rPr>
          <w:spacing w:val="0"/>
          <w:kern w:val="0"/>
          <w:sz w:val="20"/>
          <w:rtl/>
        </w:rPr>
        <w:tab/>
        <w:t xml:space="preserve">وبالإضافة إلى ذلك، فإن ادعاءات صاحب </w:t>
      </w:r>
      <w:r w:rsidRPr="008655A1">
        <w:rPr>
          <w:rFonts w:hint="cs"/>
          <w:spacing w:val="0"/>
          <w:kern w:val="0"/>
          <w:sz w:val="20"/>
          <w:rtl/>
        </w:rPr>
        <w:t xml:space="preserve">الشكوى </w:t>
      </w:r>
      <w:r w:rsidRPr="008655A1">
        <w:rPr>
          <w:spacing w:val="0"/>
          <w:kern w:val="0"/>
          <w:sz w:val="20"/>
          <w:rtl/>
        </w:rPr>
        <w:t xml:space="preserve">بخصوص تعرضه المفترض للضرب من قِبل قوات الأمن خلال مظاهرات 22 آذار/مارس 2007 لارتدائه قبعة تحمل صورة حركة تحرير الكونغو </w:t>
      </w:r>
      <w:r w:rsidRPr="008655A1">
        <w:rPr>
          <w:rFonts w:hint="cs"/>
          <w:spacing w:val="0"/>
          <w:kern w:val="0"/>
          <w:sz w:val="20"/>
          <w:rtl/>
        </w:rPr>
        <w:t xml:space="preserve">التي يتزعمها بيمبا </w:t>
      </w:r>
      <w:r w:rsidRPr="008655A1">
        <w:rPr>
          <w:spacing w:val="0"/>
          <w:kern w:val="0"/>
          <w:sz w:val="20"/>
          <w:rtl/>
        </w:rPr>
        <w:t xml:space="preserve">تعوزها المصداقية، ولا سيما بسبب تناقض أقواله وتضاربها. وعلاوة على ذلك، ترى الدولة الطرف أن الشهادة الطبية المتعلقة بعلاج أسنان صاحب </w:t>
      </w:r>
      <w:r w:rsidRPr="008655A1">
        <w:rPr>
          <w:rFonts w:hint="cs"/>
          <w:spacing w:val="0"/>
          <w:kern w:val="0"/>
          <w:sz w:val="20"/>
          <w:rtl/>
        </w:rPr>
        <w:t xml:space="preserve">الشكوى </w:t>
      </w:r>
      <w:r w:rsidRPr="008655A1">
        <w:rPr>
          <w:spacing w:val="0"/>
          <w:kern w:val="0"/>
          <w:sz w:val="20"/>
          <w:rtl/>
        </w:rPr>
        <w:t xml:space="preserve">لا صلة لها بالموضوع إذ </w:t>
      </w:r>
      <w:r>
        <w:rPr>
          <w:rFonts w:hint="cs"/>
          <w:spacing w:val="0"/>
          <w:kern w:val="0"/>
          <w:sz w:val="20"/>
          <w:rtl/>
        </w:rPr>
        <w:t>إ</w:t>
      </w:r>
      <w:r w:rsidRPr="008655A1">
        <w:rPr>
          <w:rFonts w:hint="cs"/>
          <w:spacing w:val="0"/>
          <w:kern w:val="0"/>
          <w:sz w:val="20"/>
          <w:rtl/>
        </w:rPr>
        <w:t xml:space="preserve">نها </w:t>
      </w:r>
      <w:r w:rsidRPr="008655A1">
        <w:rPr>
          <w:spacing w:val="0"/>
          <w:kern w:val="0"/>
          <w:sz w:val="20"/>
          <w:rtl/>
        </w:rPr>
        <w:t xml:space="preserve">لا تحدد مصدر </w:t>
      </w:r>
      <w:r w:rsidRPr="008655A1">
        <w:rPr>
          <w:rFonts w:hint="cs"/>
          <w:spacing w:val="0"/>
          <w:kern w:val="0"/>
          <w:sz w:val="20"/>
          <w:rtl/>
        </w:rPr>
        <w:t>ال</w:t>
      </w:r>
      <w:r w:rsidRPr="008655A1">
        <w:rPr>
          <w:spacing w:val="0"/>
          <w:kern w:val="0"/>
          <w:sz w:val="20"/>
          <w:rtl/>
        </w:rPr>
        <w:t>مش</w:t>
      </w:r>
      <w:r w:rsidRPr="008655A1">
        <w:rPr>
          <w:rFonts w:hint="cs"/>
          <w:spacing w:val="0"/>
          <w:kern w:val="0"/>
          <w:sz w:val="20"/>
          <w:rtl/>
        </w:rPr>
        <w:t>ا</w:t>
      </w:r>
      <w:r w:rsidRPr="008655A1">
        <w:rPr>
          <w:spacing w:val="0"/>
          <w:kern w:val="0"/>
          <w:sz w:val="20"/>
          <w:rtl/>
        </w:rPr>
        <w:t xml:space="preserve">كل </w:t>
      </w:r>
      <w:r w:rsidRPr="008655A1">
        <w:rPr>
          <w:rFonts w:hint="cs"/>
          <w:spacing w:val="0"/>
          <w:kern w:val="0"/>
          <w:sz w:val="20"/>
          <w:rtl/>
        </w:rPr>
        <w:t>المتعلقة ب</w:t>
      </w:r>
      <w:r w:rsidRPr="008655A1">
        <w:rPr>
          <w:spacing w:val="0"/>
          <w:kern w:val="0"/>
          <w:sz w:val="20"/>
          <w:rtl/>
        </w:rPr>
        <w:t>أسنان</w:t>
      </w:r>
      <w:r w:rsidRPr="008655A1">
        <w:rPr>
          <w:rFonts w:hint="cs"/>
          <w:spacing w:val="0"/>
          <w:kern w:val="0"/>
          <w:sz w:val="20"/>
          <w:rtl/>
        </w:rPr>
        <w:t>ه</w:t>
      </w:r>
      <w:r w:rsidRPr="008655A1">
        <w:rPr>
          <w:spacing w:val="0"/>
          <w:kern w:val="0"/>
          <w:sz w:val="20"/>
          <w:rtl/>
        </w:rPr>
        <w:t xml:space="preserve">. والمهم أنها لا تفيد </w:t>
      </w:r>
      <w:r w:rsidRPr="008655A1">
        <w:rPr>
          <w:rFonts w:hint="cs"/>
          <w:spacing w:val="0"/>
          <w:kern w:val="0"/>
          <w:sz w:val="20"/>
          <w:rtl/>
        </w:rPr>
        <w:t>ب</w:t>
      </w:r>
      <w:r w:rsidRPr="008655A1">
        <w:rPr>
          <w:spacing w:val="0"/>
          <w:kern w:val="0"/>
          <w:sz w:val="20"/>
          <w:rtl/>
        </w:rPr>
        <w:t xml:space="preserve">أي </w:t>
      </w:r>
      <w:r w:rsidRPr="008655A1">
        <w:rPr>
          <w:rFonts w:hint="cs"/>
          <w:spacing w:val="0"/>
          <w:kern w:val="0"/>
          <w:sz w:val="20"/>
          <w:rtl/>
        </w:rPr>
        <w:t xml:space="preserve">حال </w:t>
      </w:r>
      <w:r w:rsidRPr="008655A1">
        <w:rPr>
          <w:spacing w:val="0"/>
          <w:kern w:val="0"/>
          <w:sz w:val="20"/>
          <w:rtl/>
        </w:rPr>
        <w:t xml:space="preserve">بأن صاحب </w:t>
      </w:r>
      <w:r w:rsidRPr="008655A1">
        <w:rPr>
          <w:rFonts w:hint="cs"/>
          <w:spacing w:val="0"/>
          <w:kern w:val="0"/>
          <w:sz w:val="20"/>
          <w:rtl/>
        </w:rPr>
        <w:t xml:space="preserve">الشكوى </w:t>
      </w:r>
      <w:r w:rsidRPr="008655A1">
        <w:rPr>
          <w:spacing w:val="0"/>
          <w:kern w:val="0"/>
          <w:sz w:val="20"/>
          <w:rtl/>
        </w:rPr>
        <w:t xml:space="preserve">قد يتعرض للتعذيب إذا أعيد إلى بلده الأصلي. وختاماً، تلاحظ الدولة الطرف أن صاحب </w:t>
      </w:r>
      <w:r w:rsidRPr="008655A1">
        <w:rPr>
          <w:rFonts w:hint="cs"/>
          <w:spacing w:val="0"/>
          <w:kern w:val="0"/>
          <w:sz w:val="20"/>
          <w:rtl/>
        </w:rPr>
        <w:t xml:space="preserve">الشكوى </w:t>
      </w:r>
      <w:r w:rsidRPr="008655A1">
        <w:rPr>
          <w:spacing w:val="0"/>
          <w:kern w:val="0"/>
          <w:sz w:val="20"/>
          <w:rtl/>
        </w:rPr>
        <w:t xml:space="preserve">لم يقدم أي أدلة أخرى لإثبات أنه تعرض </w:t>
      </w:r>
      <w:r w:rsidRPr="008655A1">
        <w:rPr>
          <w:rFonts w:hint="cs"/>
          <w:spacing w:val="0"/>
          <w:kern w:val="0"/>
          <w:sz w:val="20"/>
          <w:rtl/>
        </w:rPr>
        <w:t>لسوء المعاملة</w:t>
      </w:r>
      <w:r w:rsidRPr="008655A1">
        <w:rPr>
          <w:spacing w:val="0"/>
          <w:kern w:val="0"/>
          <w:sz w:val="20"/>
          <w:rtl/>
        </w:rPr>
        <w:t xml:space="preserve"> في الماضي.</w:t>
      </w:r>
    </w:p>
    <w:p w:rsidR="008655A1" w:rsidRPr="008655A1" w:rsidRDefault="008655A1" w:rsidP="008655A1">
      <w:pPr>
        <w:pStyle w:val="SingleTxtGA"/>
        <w:jc w:val="lowKashida"/>
        <w:rPr>
          <w:spacing w:val="0"/>
          <w:kern w:val="0"/>
          <w:sz w:val="20"/>
          <w:rtl/>
        </w:rPr>
      </w:pPr>
      <w:r w:rsidRPr="008655A1">
        <w:rPr>
          <w:spacing w:val="0"/>
          <w:kern w:val="0"/>
          <w:sz w:val="20"/>
          <w:rtl/>
        </w:rPr>
        <w:t>4-6</w:t>
      </w:r>
      <w:r w:rsidRPr="008655A1">
        <w:rPr>
          <w:spacing w:val="0"/>
          <w:kern w:val="0"/>
          <w:sz w:val="20"/>
          <w:rtl/>
        </w:rPr>
        <w:tab/>
        <w:t xml:space="preserve">وعلى حد رأي الدولة الطرف، فإن ادعاءات صاحب </w:t>
      </w:r>
      <w:r w:rsidRPr="008655A1">
        <w:rPr>
          <w:rFonts w:hint="cs"/>
          <w:spacing w:val="0"/>
          <w:kern w:val="0"/>
          <w:sz w:val="20"/>
          <w:rtl/>
        </w:rPr>
        <w:t xml:space="preserve">الشكوى </w:t>
      </w:r>
      <w:r w:rsidRPr="008655A1">
        <w:rPr>
          <w:spacing w:val="0"/>
          <w:kern w:val="0"/>
          <w:sz w:val="20"/>
          <w:rtl/>
        </w:rPr>
        <w:t>بخصوص نشاطه السياسي لا مصداقية لها</w:t>
      </w:r>
      <w:r w:rsidRPr="008655A1">
        <w:rPr>
          <w:rFonts w:hint="cs"/>
          <w:spacing w:val="0"/>
          <w:kern w:val="0"/>
          <w:sz w:val="20"/>
          <w:rtl/>
        </w:rPr>
        <w:t>،</w:t>
      </w:r>
      <w:r w:rsidRPr="008655A1">
        <w:rPr>
          <w:spacing w:val="0"/>
          <w:kern w:val="0"/>
          <w:sz w:val="20"/>
          <w:rtl/>
        </w:rPr>
        <w:t xml:space="preserve"> حيث لم يقدم الدليل على أنه كان </w:t>
      </w:r>
      <w:r w:rsidRPr="008655A1">
        <w:rPr>
          <w:rFonts w:hint="cs"/>
          <w:spacing w:val="0"/>
          <w:kern w:val="0"/>
          <w:sz w:val="20"/>
          <w:rtl/>
        </w:rPr>
        <w:t>ناشطاً على المستوى ال</w:t>
      </w:r>
      <w:r w:rsidRPr="008655A1">
        <w:rPr>
          <w:spacing w:val="0"/>
          <w:kern w:val="0"/>
          <w:sz w:val="20"/>
          <w:rtl/>
        </w:rPr>
        <w:t>سياسي. وعلاوة على ذلك، لم</w:t>
      </w:r>
      <w:r w:rsidRPr="008655A1">
        <w:rPr>
          <w:rFonts w:hint="cs"/>
          <w:spacing w:val="0"/>
          <w:kern w:val="0"/>
          <w:sz w:val="20"/>
          <w:rtl/>
        </w:rPr>
        <w:t> </w:t>
      </w:r>
      <w:r w:rsidRPr="008655A1">
        <w:rPr>
          <w:spacing w:val="0"/>
          <w:kern w:val="0"/>
          <w:sz w:val="20"/>
          <w:rtl/>
        </w:rPr>
        <w:t xml:space="preserve">يقدم صاحب </w:t>
      </w:r>
      <w:r w:rsidRPr="008655A1">
        <w:rPr>
          <w:rFonts w:hint="cs"/>
          <w:spacing w:val="0"/>
          <w:kern w:val="0"/>
          <w:sz w:val="20"/>
          <w:rtl/>
        </w:rPr>
        <w:t xml:space="preserve">الشكوى </w:t>
      </w:r>
      <w:r w:rsidRPr="008655A1">
        <w:rPr>
          <w:spacing w:val="0"/>
          <w:kern w:val="0"/>
          <w:sz w:val="20"/>
          <w:rtl/>
        </w:rPr>
        <w:t>أي تفاصيل عن مشاركته في أنشطة حركة تحرير الكونغو أو انضمامه إليها. وبالإضافة إلى ذلك، فقد أقر بأنه لم يمارس أي أنشطة سياسية منذ وصوله إلى سويسرا.</w:t>
      </w:r>
    </w:p>
    <w:p w:rsidR="008655A1" w:rsidRPr="008655A1" w:rsidRDefault="008655A1" w:rsidP="007C1878">
      <w:pPr>
        <w:pStyle w:val="SingleTxtGA"/>
        <w:jc w:val="lowKashida"/>
        <w:rPr>
          <w:spacing w:val="0"/>
          <w:kern w:val="0"/>
          <w:sz w:val="20"/>
          <w:rtl/>
        </w:rPr>
      </w:pPr>
      <w:r w:rsidRPr="008655A1">
        <w:rPr>
          <w:spacing w:val="0"/>
          <w:kern w:val="0"/>
          <w:sz w:val="20"/>
          <w:rtl/>
        </w:rPr>
        <w:t>4-7</w:t>
      </w:r>
      <w:r w:rsidRPr="008655A1">
        <w:rPr>
          <w:spacing w:val="0"/>
          <w:kern w:val="0"/>
          <w:sz w:val="20"/>
          <w:rtl/>
        </w:rPr>
        <w:tab/>
        <w:t xml:space="preserve">وقد رأى المكتب الاتحادي للهجرة والمحكمة الإدارية الاتحادية معاً أن ادعاءات صاحب </w:t>
      </w:r>
      <w:r w:rsidRPr="008655A1">
        <w:rPr>
          <w:rFonts w:hint="cs"/>
          <w:spacing w:val="0"/>
          <w:kern w:val="0"/>
          <w:sz w:val="20"/>
          <w:rtl/>
        </w:rPr>
        <w:t xml:space="preserve">الشكوى </w:t>
      </w:r>
      <w:r w:rsidRPr="008655A1">
        <w:rPr>
          <w:spacing w:val="0"/>
          <w:kern w:val="0"/>
          <w:sz w:val="20"/>
          <w:rtl/>
        </w:rPr>
        <w:t xml:space="preserve">غير موثوق بها ولا يمكن بالتالي أن تدعم الاستنتاج بأنه قد يتعرض للتعذيب. وعلاوة على ذلك، اعتبرت الهيئتان معاً مذكرة توقيف صاحب </w:t>
      </w:r>
      <w:r w:rsidRPr="008655A1">
        <w:rPr>
          <w:rFonts w:hint="cs"/>
          <w:spacing w:val="0"/>
          <w:kern w:val="0"/>
          <w:sz w:val="20"/>
          <w:rtl/>
        </w:rPr>
        <w:t xml:space="preserve">الشكوى </w:t>
      </w:r>
      <w:r w:rsidRPr="008655A1">
        <w:rPr>
          <w:spacing w:val="0"/>
          <w:kern w:val="0"/>
          <w:sz w:val="20"/>
          <w:rtl/>
        </w:rPr>
        <w:t>مزيفة</w:t>
      </w:r>
      <w:r w:rsidRPr="008655A1">
        <w:rPr>
          <w:rFonts w:hint="cs"/>
          <w:spacing w:val="0"/>
          <w:kern w:val="0"/>
          <w:sz w:val="20"/>
          <w:rtl/>
        </w:rPr>
        <w:t>،</w:t>
      </w:r>
      <w:r w:rsidRPr="008655A1">
        <w:rPr>
          <w:spacing w:val="0"/>
          <w:kern w:val="0"/>
          <w:sz w:val="20"/>
          <w:rtl/>
        </w:rPr>
        <w:t xml:space="preserve"> إذ</w:t>
      </w:r>
      <w:r w:rsidR="007C1878">
        <w:rPr>
          <w:rFonts w:hint="cs"/>
          <w:spacing w:val="0"/>
          <w:kern w:val="0"/>
          <w:sz w:val="20"/>
          <w:rtl/>
        </w:rPr>
        <w:t> </w:t>
      </w:r>
      <w:r w:rsidRPr="008655A1">
        <w:rPr>
          <w:rFonts w:hint="cs"/>
          <w:spacing w:val="0"/>
          <w:kern w:val="0"/>
          <w:sz w:val="20"/>
          <w:rtl/>
        </w:rPr>
        <w:t>إ</w:t>
      </w:r>
      <w:r w:rsidRPr="008655A1">
        <w:rPr>
          <w:spacing w:val="0"/>
          <w:kern w:val="0"/>
          <w:sz w:val="20"/>
          <w:rtl/>
        </w:rPr>
        <w:t>ن بعض أجزاء الوثيقة غير مفهوم وبها أخطاء</w:t>
      </w:r>
      <w:r w:rsidRPr="008655A1">
        <w:rPr>
          <w:rFonts w:hint="cs"/>
          <w:spacing w:val="0"/>
          <w:kern w:val="0"/>
          <w:sz w:val="20"/>
          <w:rtl/>
        </w:rPr>
        <w:t>،</w:t>
      </w:r>
      <w:r w:rsidRPr="008655A1">
        <w:rPr>
          <w:spacing w:val="0"/>
          <w:kern w:val="0"/>
          <w:sz w:val="20"/>
          <w:rtl/>
        </w:rPr>
        <w:t xml:space="preserve"> و</w:t>
      </w:r>
      <w:r w:rsidRPr="008655A1">
        <w:rPr>
          <w:rFonts w:hint="cs"/>
          <w:spacing w:val="0"/>
          <w:kern w:val="0"/>
          <w:sz w:val="20"/>
          <w:rtl/>
        </w:rPr>
        <w:t xml:space="preserve">هناك أجزاء </w:t>
      </w:r>
      <w:r w:rsidRPr="008655A1">
        <w:rPr>
          <w:spacing w:val="0"/>
          <w:kern w:val="0"/>
          <w:sz w:val="20"/>
          <w:rtl/>
        </w:rPr>
        <w:t xml:space="preserve">أخرى مفقودة. وأشارت الدولة الطرف أيضاً إلى أن مذكرة التوقيف استُنسِخت بالألوان، وهذه مسألة غير معتادة، وشددت على أن الحصول على الوثائق المزورة مسألة سهلة </w:t>
      </w:r>
      <w:r w:rsidRPr="008655A1">
        <w:rPr>
          <w:rFonts w:hint="cs"/>
          <w:spacing w:val="0"/>
          <w:kern w:val="0"/>
          <w:sz w:val="20"/>
          <w:rtl/>
        </w:rPr>
        <w:t xml:space="preserve">جداً </w:t>
      </w:r>
      <w:r w:rsidRPr="008655A1">
        <w:rPr>
          <w:spacing w:val="0"/>
          <w:kern w:val="0"/>
          <w:sz w:val="20"/>
          <w:rtl/>
        </w:rPr>
        <w:t>في البلد.</w:t>
      </w:r>
    </w:p>
    <w:p w:rsidR="008655A1" w:rsidRPr="008655A1" w:rsidRDefault="008655A1" w:rsidP="008655A1">
      <w:pPr>
        <w:pStyle w:val="SingleTxtGA"/>
        <w:jc w:val="lowKashida"/>
        <w:rPr>
          <w:spacing w:val="0"/>
          <w:kern w:val="0"/>
          <w:sz w:val="20"/>
          <w:rtl/>
        </w:rPr>
      </w:pPr>
      <w:r w:rsidRPr="008655A1">
        <w:rPr>
          <w:spacing w:val="0"/>
          <w:kern w:val="0"/>
          <w:sz w:val="20"/>
          <w:rtl/>
        </w:rPr>
        <w:t>4-8</w:t>
      </w:r>
      <w:r w:rsidRPr="008655A1">
        <w:rPr>
          <w:spacing w:val="0"/>
          <w:kern w:val="0"/>
          <w:sz w:val="20"/>
          <w:rtl/>
        </w:rPr>
        <w:tab/>
        <w:t xml:space="preserve">وعلى حد رأي المكتب الاتحادي للهجرة والمحكمة الإدارية الاتحادية، فقد </w:t>
      </w:r>
      <w:r w:rsidRPr="008655A1">
        <w:rPr>
          <w:rFonts w:hint="cs"/>
          <w:spacing w:val="0"/>
          <w:kern w:val="0"/>
          <w:sz w:val="20"/>
          <w:rtl/>
        </w:rPr>
        <w:t xml:space="preserve">افتقر </w:t>
      </w:r>
      <w:r w:rsidRPr="008655A1">
        <w:rPr>
          <w:spacing w:val="0"/>
          <w:kern w:val="0"/>
          <w:sz w:val="20"/>
          <w:rtl/>
        </w:rPr>
        <w:t xml:space="preserve">طلب </w:t>
      </w:r>
      <w:r w:rsidRPr="008655A1">
        <w:rPr>
          <w:rFonts w:hint="cs"/>
          <w:spacing w:val="0"/>
          <w:kern w:val="0"/>
          <w:sz w:val="20"/>
          <w:rtl/>
        </w:rPr>
        <w:t>ا</w:t>
      </w:r>
      <w:r w:rsidRPr="008655A1">
        <w:rPr>
          <w:spacing w:val="0"/>
          <w:kern w:val="0"/>
          <w:sz w:val="20"/>
          <w:rtl/>
        </w:rPr>
        <w:t xml:space="preserve">للجوء </w:t>
      </w:r>
      <w:r w:rsidRPr="008655A1">
        <w:rPr>
          <w:rFonts w:hint="cs"/>
          <w:spacing w:val="0"/>
          <w:kern w:val="0"/>
          <w:sz w:val="20"/>
          <w:rtl/>
        </w:rPr>
        <w:t xml:space="preserve">المقدم من صاحب الشكوى إلى الأدلة، واعتُبر الكثير من </w:t>
      </w:r>
      <w:r w:rsidRPr="008655A1">
        <w:rPr>
          <w:spacing w:val="0"/>
          <w:kern w:val="0"/>
          <w:sz w:val="20"/>
          <w:rtl/>
        </w:rPr>
        <w:t xml:space="preserve">الأقوال التي أدلى بها لدعم الطلب </w:t>
      </w:r>
      <w:r w:rsidRPr="008655A1">
        <w:rPr>
          <w:rFonts w:hint="cs"/>
          <w:spacing w:val="0"/>
          <w:kern w:val="0"/>
          <w:sz w:val="20"/>
          <w:rtl/>
        </w:rPr>
        <w:t>متناقضة ومتضاربة</w:t>
      </w:r>
      <w:r w:rsidRPr="008655A1">
        <w:rPr>
          <w:spacing w:val="0"/>
          <w:kern w:val="0"/>
          <w:sz w:val="20"/>
          <w:rtl/>
        </w:rPr>
        <w:t>.</w:t>
      </w:r>
    </w:p>
    <w:p w:rsidR="008655A1" w:rsidRPr="008655A1" w:rsidRDefault="008655A1" w:rsidP="008655A1">
      <w:pPr>
        <w:pStyle w:val="SingleTxtGA"/>
        <w:jc w:val="lowKashida"/>
        <w:rPr>
          <w:spacing w:val="0"/>
          <w:kern w:val="0"/>
          <w:sz w:val="20"/>
          <w:rtl/>
        </w:rPr>
      </w:pPr>
      <w:r w:rsidRPr="008655A1">
        <w:rPr>
          <w:spacing w:val="0"/>
          <w:kern w:val="0"/>
          <w:sz w:val="20"/>
          <w:rtl/>
        </w:rPr>
        <w:t>4-9</w:t>
      </w:r>
      <w:r w:rsidRPr="008655A1">
        <w:rPr>
          <w:spacing w:val="0"/>
          <w:kern w:val="0"/>
          <w:sz w:val="20"/>
          <w:rtl/>
        </w:rPr>
        <w:tab/>
        <w:t xml:space="preserve">كما تقول الدولة الطرف إن رواية صاحب </w:t>
      </w:r>
      <w:r w:rsidRPr="008655A1">
        <w:rPr>
          <w:rFonts w:hint="cs"/>
          <w:spacing w:val="0"/>
          <w:kern w:val="0"/>
          <w:sz w:val="20"/>
          <w:rtl/>
        </w:rPr>
        <w:t xml:space="preserve">الشكوى </w:t>
      </w:r>
      <w:r w:rsidRPr="008655A1">
        <w:rPr>
          <w:spacing w:val="0"/>
          <w:kern w:val="0"/>
          <w:sz w:val="20"/>
          <w:rtl/>
        </w:rPr>
        <w:t xml:space="preserve">للأحداث التي أعقبت حادث تعرضه للضرب لا مصداقية لها. </w:t>
      </w:r>
      <w:r w:rsidRPr="008655A1">
        <w:rPr>
          <w:rFonts w:hint="cs"/>
          <w:spacing w:val="0"/>
          <w:kern w:val="0"/>
          <w:sz w:val="20"/>
          <w:rtl/>
        </w:rPr>
        <w:t>ف</w:t>
      </w:r>
      <w:r w:rsidRPr="008655A1">
        <w:rPr>
          <w:spacing w:val="0"/>
          <w:kern w:val="0"/>
          <w:sz w:val="20"/>
          <w:rtl/>
        </w:rPr>
        <w:t xml:space="preserve">إن ادعاءاته بأن قوات الأمن تركته في </w:t>
      </w:r>
      <w:r w:rsidRPr="008655A1">
        <w:rPr>
          <w:rFonts w:hint="cs"/>
          <w:spacing w:val="0"/>
          <w:kern w:val="0"/>
          <w:sz w:val="20"/>
          <w:rtl/>
        </w:rPr>
        <w:t xml:space="preserve">صندوق رمال </w:t>
      </w:r>
      <w:r w:rsidRPr="008655A1">
        <w:rPr>
          <w:spacing w:val="0"/>
          <w:kern w:val="0"/>
          <w:sz w:val="20"/>
          <w:rtl/>
        </w:rPr>
        <w:t xml:space="preserve">ثم أصدرت لاحقاً، كما أفاد، مذكرة لتوقيفه </w:t>
      </w:r>
      <w:r w:rsidRPr="008655A1">
        <w:rPr>
          <w:rFonts w:hint="cs"/>
          <w:spacing w:val="0"/>
          <w:kern w:val="0"/>
          <w:sz w:val="20"/>
          <w:rtl/>
        </w:rPr>
        <w:t xml:space="preserve">هي ادعاءات </w:t>
      </w:r>
      <w:r w:rsidRPr="008655A1">
        <w:rPr>
          <w:spacing w:val="0"/>
          <w:kern w:val="0"/>
          <w:sz w:val="20"/>
          <w:rtl/>
        </w:rPr>
        <w:t xml:space="preserve">غير معقولة في رأي الدولة الطرف. </w:t>
      </w:r>
      <w:r w:rsidRPr="008655A1">
        <w:rPr>
          <w:rFonts w:hint="cs"/>
          <w:spacing w:val="0"/>
          <w:kern w:val="0"/>
          <w:sz w:val="20"/>
          <w:rtl/>
        </w:rPr>
        <w:t xml:space="preserve">كما لا تعد </w:t>
      </w:r>
      <w:r w:rsidRPr="008655A1">
        <w:rPr>
          <w:spacing w:val="0"/>
          <w:kern w:val="0"/>
          <w:sz w:val="20"/>
          <w:rtl/>
        </w:rPr>
        <w:t xml:space="preserve">ادعاءاته بأنه تعرض للاضطهاد من جانب قوات الأمن ذات مصداقية لأنه بقي يعمل في كينشاسا عدة أشهر عقِب الحادث رغم أنه كان، حسب زعمه، على علم بصدور مذكرة توقيفه في 6 نيسان/أبريل 2007. وعلاوة على ذلك، تلاحظ الدولة الطرف أن صاحب </w:t>
      </w:r>
      <w:r w:rsidRPr="008655A1">
        <w:rPr>
          <w:rFonts w:hint="cs"/>
          <w:spacing w:val="0"/>
          <w:kern w:val="0"/>
          <w:sz w:val="20"/>
          <w:rtl/>
        </w:rPr>
        <w:t xml:space="preserve">الشكوى </w:t>
      </w:r>
      <w:r w:rsidRPr="008655A1">
        <w:rPr>
          <w:spacing w:val="0"/>
          <w:kern w:val="0"/>
          <w:sz w:val="20"/>
          <w:rtl/>
        </w:rPr>
        <w:t>أقر خلال المقابلة التي أجريت معه في 23 كانون الثاني/يناير 2008 بأنه لم</w:t>
      </w:r>
      <w:r w:rsidRPr="008655A1">
        <w:rPr>
          <w:rFonts w:hint="cs"/>
          <w:spacing w:val="0"/>
          <w:kern w:val="0"/>
          <w:sz w:val="20"/>
          <w:rtl/>
        </w:rPr>
        <w:t> </w:t>
      </w:r>
      <w:r w:rsidRPr="008655A1">
        <w:rPr>
          <w:spacing w:val="0"/>
          <w:kern w:val="0"/>
          <w:sz w:val="20"/>
          <w:rtl/>
        </w:rPr>
        <w:t xml:space="preserve">يكن نشطاً </w:t>
      </w:r>
      <w:r w:rsidRPr="008655A1">
        <w:rPr>
          <w:rFonts w:hint="cs"/>
          <w:spacing w:val="0"/>
          <w:kern w:val="0"/>
          <w:sz w:val="20"/>
          <w:rtl/>
        </w:rPr>
        <w:t>في العمل ال</w:t>
      </w:r>
      <w:r w:rsidRPr="008655A1">
        <w:rPr>
          <w:spacing w:val="0"/>
          <w:kern w:val="0"/>
          <w:sz w:val="20"/>
          <w:rtl/>
        </w:rPr>
        <w:t>سياسي باستثناء مشارك</w:t>
      </w:r>
      <w:r w:rsidRPr="008655A1">
        <w:rPr>
          <w:rFonts w:hint="cs"/>
          <w:spacing w:val="0"/>
          <w:kern w:val="0"/>
          <w:sz w:val="20"/>
          <w:rtl/>
        </w:rPr>
        <w:t>ته</w:t>
      </w:r>
      <w:r w:rsidRPr="008655A1">
        <w:rPr>
          <w:spacing w:val="0"/>
          <w:kern w:val="0"/>
          <w:sz w:val="20"/>
          <w:rtl/>
        </w:rPr>
        <w:t xml:space="preserve"> في مظاهرة واحدة جرت في ماتادي في حزيران/يونيه 2006. وغيَّر رأيه لاحقاً بتأكيده أنه كان عضواً مهماً في حركة تحرير الكونغو ومسؤولاً عن برنامج التوعية. ورفضت المحكمة الإدارية الاتحادية طلب الطعن الذي قدمه في 17 شباط/فبراير 2009 وزعم فيه ضمن جملة أمور أنه أساء فهم السؤال خلال المقابلة الأولى التي أجريت معه في 23 كانون الثاني/يناير 2008</w:t>
      </w:r>
      <w:r w:rsidRPr="008655A1">
        <w:rPr>
          <w:rFonts w:hint="cs"/>
          <w:spacing w:val="0"/>
          <w:kern w:val="0"/>
          <w:sz w:val="20"/>
          <w:rtl/>
        </w:rPr>
        <w:t xml:space="preserve">، </w:t>
      </w:r>
      <w:r w:rsidRPr="008655A1">
        <w:rPr>
          <w:spacing w:val="0"/>
          <w:kern w:val="0"/>
          <w:sz w:val="20"/>
          <w:rtl/>
        </w:rPr>
        <w:t xml:space="preserve">باعتباره </w:t>
      </w:r>
      <w:r w:rsidRPr="008655A1">
        <w:rPr>
          <w:rFonts w:hint="cs"/>
          <w:spacing w:val="0"/>
          <w:kern w:val="0"/>
          <w:sz w:val="20"/>
          <w:rtl/>
        </w:rPr>
        <w:t xml:space="preserve">طعناً </w:t>
      </w:r>
      <w:r w:rsidRPr="008655A1">
        <w:rPr>
          <w:spacing w:val="0"/>
          <w:kern w:val="0"/>
          <w:sz w:val="20"/>
          <w:rtl/>
        </w:rPr>
        <w:t xml:space="preserve">غير مدعم بأدلة، وذلك لأن الأسئلة كانت واضحة وبسيطة. كما ينبغي الإشارة إلى أن صاحب </w:t>
      </w:r>
      <w:r w:rsidRPr="008655A1">
        <w:rPr>
          <w:rFonts w:hint="cs"/>
          <w:spacing w:val="0"/>
          <w:kern w:val="0"/>
          <w:sz w:val="20"/>
          <w:rtl/>
        </w:rPr>
        <w:t xml:space="preserve">الشكوى </w:t>
      </w:r>
      <w:r w:rsidRPr="008655A1">
        <w:rPr>
          <w:spacing w:val="0"/>
          <w:kern w:val="0"/>
          <w:sz w:val="20"/>
          <w:rtl/>
        </w:rPr>
        <w:t xml:space="preserve">لم يقدم أي حجج مقنعة أو وثائق إثبات فيما يتعلق بأنشطته السياسية في صفوف حركة تحرير الكونغو. كما لم يبدِ أي معرفة </w:t>
      </w:r>
      <w:r w:rsidRPr="008655A1">
        <w:rPr>
          <w:rFonts w:hint="cs"/>
          <w:spacing w:val="0"/>
          <w:kern w:val="0"/>
          <w:sz w:val="20"/>
          <w:rtl/>
        </w:rPr>
        <w:t>ب</w:t>
      </w:r>
      <w:r w:rsidRPr="008655A1">
        <w:rPr>
          <w:spacing w:val="0"/>
          <w:kern w:val="0"/>
          <w:sz w:val="20"/>
          <w:rtl/>
        </w:rPr>
        <w:t>هيكل الحزب وزعمائه.</w:t>
      </w:r>
    </w:p>
    <w:p w:rsidR="008655A1" w:rsidRPr="007C1878" w:rsidRDefault="008655A1" w:rsidP="008655A1">
      <w:pPr>
        <w:pStyle w:val="SingleTxtGA"/>
        <w:jc w:val="lowKashida"/>
        <w:rPr>
          <w:spacing w:val="-2"/>
          <w:kern w:val="0"/>
          <w:sz w:val="20"/>
          <w:rtl/>
        </w:rPr>
      </w:pPr>
      <w:r w:rsidRPr="007C1878">
        <w:rPr>
          <w:spacing w:val="-2"/>
          <w:kern w:val="0"/>
          <w:sz w:val="20"/>
          <w:rtl/>
        </w:rPr>
        <w:t>4-10</w:t>
      </w:r>
      <w:r w:rsidRPr="007C1878">
        <w:rPr>
          <w:spacing w:val="-2"/>
          <w:kern w:val="0"/>
          <w:sz w:val="20"/>
          <w:rtl/>
        </w:rPr>
        <w:tab/>
        <w:t xml:space="preserve">وحسبما أفادت الدولة الطرف، لم يوضح صاحب </w:t>
      </w:r>
      <w:r w:rsidRPr="007C1878">
        <w:rPr>
          <w:rFonts w:hint="cs"/>
          <w:spacing w:val="-2"/>
          <w:kern w:val="0"/>
          <w:sz w:val="20"/>
          <w:rtl/>
        </w:rPr>
        <w:t xml:space="preserve">الشكوى </w:t>
      </w:r>
      <w:r w:rsidRPr="007C1878">
        <w:rPr>
          <w:spacing w:val="-2"/>
          <w:kern w:val="0"/>
          <w:sz w:val="20"/>
          <w:rtl/>
        </w:rPr>
        <w:t xml:space="preserve">سبب التناقضات العديدة التي تكشفت خلال إجراءات طلب اللجوء سواء أمام السلطات الوطنية أو اللجنة. ولذلك، أيدت الحكومة ما خلص إليه القراران الصادران عن المكتب الاتحادي للهجرة والمحكمة الإدارية الاتحادية من استنتاجات، وذلك بسبب عدم مصداقية ادعاءات صاحب </w:t>
      </w:r>
      <w:r w:rsidRPr="007C1878">
        <w:rPr>
          <w:rFonts w:hint="cs"/>
          <w:spacing w:val="-2"/>
          <w:kern w:val="0"/>
          <w:sz w:val="20"/>
          <w:rtl/>
        </w:rPr>
        <w:t>الشكوى</w:t>
      </w:r>
      <w:r w:rsidRPr="007C1878">
        <w:rPr>
          <w:spacing w:val="-2"/>
          <w:kern w:val="0"/>
          <w:sz w:val="20"/>
          <w:rtl/>
        </w:rPr>
        <w:t>.</w:t>
      </w:r>
    </w:p>
    <w:p w:rsidR="008655A1" w:rsidRPr="008655A1" w:rsidRDefault="008655A1" w:rsidP="008655A1">
      <w:pPr>
        <w:pStyle w:val="SingleTxtGA"/>
        <w:jc w:val="lowKashida"/>
        <w:rPr>
          <w:rFonts w:hint="cs"/>
          <w:spacing w:val="0"/>
          <w:kern w:val="0"/>
          <w:sz w:val="20"/>
        </w:rPr>
      </w:pPr>
      <w:r w:rsidRPr="008655A1">
        <w:rPr>
          <w:spacing w:val="0"/>
          <w:kern w:val="0"/>
          <w:sz w:val="20"/>
          <w:rtl/>
        </w:rPr>
        <w:t>4-11</w:t>
      </w:r>
      <w:r w:rsidRPr="008655A1">
        <w:rPr>
          <w:spacing w:val="0"/>
          <w:kern w:val="0"/>
          <w:sz w:val="20"/>
          <w:rtl/>
        </w:rPr>
        <w:tab/>
        <w:t xml:space="preserve">وتخلص الدولة الطرف إلى أنه </w:t>
      </w:r>
      <w:r w:rsidRPr="008655A1">
        <w:rPr>
          <w:rFonts w:hint="cs"/>
          <w:spacing w:val="0"/>
          <w:kern w:val="0"/>
          <w:sz w:val="20"/>
          <w:rtl/>
        </w:rPr>
        <w:t>ما من شيء يوحي بوجود أسباب حقيقية تدعو إلى ا</w:t>
      </w:r>
      <w:r w:rsidRPr="008655A1">
        <w:rPr>
          <w:spacing w:val="0"/>
          <w:kern w:val="0"/>
          <w:sz w:val="20"/>
          <w:rtl/>
        </w:rPr>
        <w:t xml:space="preserve">لاعتقاد بأن صاحب </w:t>
      </w:r>
      <w:r w:rsidRPr="008655A1">
        <w:rPr>
          <w:rFonts w:hint="cs"/>
          <w:spacing w:val="0"/>
          <w:kern w:val="0"/>
          <w:sz w:val="20"/>
          <w:rtl/>
        </w:rPr>
        <w:t xml:space="preserve">الشكوى </w:t>
      </w:r>
      <w:r w:rsidRPr="008655A1">
        <w:rPr>
          <w:spacing w:val="0"/>
          <w:kern w:val="0"/>
          <w:sz w:val="20"/>
          <w:rtl/>
        </w:rPr>
        <w:t xml:space="preserve">سيتهدده شخصياً وبشكل جدي خطر </w:t>
      </w:r>
      <w:r w:rsidRPr="008655A1">
        <w:rPr>
          <w:rFonts w:hint="cs"/>
          <w:spacing w:val="0"/>
          <w:kern w:val="0"/>
          <w:sz w:val="20"/>
          <w:rtl/>
        </w:rPr>
        <w:t>التعرض ل</w:t>
      </w:r>
      <w:r w:rsidRPr="008655A1">
        <w:rPr>
          <w:spacing w:val="0"/>
          <w:kern w:val="0"/>
          <w:sz w:val="20"/>
          <w:rtl/>
        </w:rPr>
        <w:t>لتعذيب إذا أعيد إلى جمهورية الكونغو الديمقراطية. فلا ادعاءاته ولا الأدلة تبرر بالقدر الكافي الاستنتاج بأنه سيواجه خطراً حقيقياً وملموساً وشخصياً بالتعرض للتعذيب المحظور بموجب المادة 1 من الاتفاقية إذا أعيد إلى بلده. وإذا اعتبرت اللجنة هذا البلاغ مقبولاً، فإنها مدعوة، حسب</w:t>
      </w:r>
      <w:r w:rsidRPr="008655A1">
        <w:rPr>
          <w:rFonts w:hint="cs"/>
          <w:spacing w:val="0"/>
          <w:kern w:val="0"/>
          <w:sz w:val="20"/>
          <w:rtl/>
        </w:rPr>
        <w:t>ما ترى</w:t>
      </w:r>
      <w:r w:rsidRPr="008655A1">
        <w:rPr>
          <w:spacing w:val="0"/>
          <w:kern w:val="0"/>
          <w:sz w:val="20"/>
          <w:rtl/>
        </w:rPr>
        <w:t xml:space="preserve"> الدولة الطرف، إلى أن تخلص إلى أن الوقائع والادعاءات المعروضة عليها لا تشكل انتهاكاً لالتزامات سويسرا بموجب المادة 3 من الاتفاقية.</w:t>
      </w:r>
    </w:p>
    <w:p w:rsidR="008655A1" w:rsidRPr="008655A1" w:rsidRDefault="008655A1" w:rsidP="008655A1">
      <w:pPr>
        <w:pStyle w:val="H23GA"/>
        <w:jc w:val="lowKashida"/>
        <w:rPr>
          <w:spacing w:val="0"/>
          <w:kern w:val="0"/>
          <w:sz w:val="20"/>
        </w:rPr>
      </w:pPr>
      <w:r w:rsidRPr="008655A1">
        <w:rPr>
          <w:rFonts w:hint="cs"/>
          <w:spacing w:val="0"/>
          <w:kern w:val="0"/>
          <w:sz w:val="20"/>
          <w:rtl/>
        </w:rPr>
        <w:tab/>
      </w:r>
      <w:r w:rsidRPr="008655A1">
        <w:rPr>
          <w:rFonts w:hint="cs"/>
          <w:spacing w:val="0"/>
          <w:kern w:val="0"/>
          <w:sz w:val="20"/>
          <w:rtl/>
        </w:rPr>
        <w:tab/>
      </w:r>
      <w:r w:rsidRPr="008655A1">
        <w:rPr>
          <w:spacing w:val="0"/>
          <w:kern w:val="0"/>
          <w:sz w:val="20"/>
          <w:rtl/>
        </w:rPr>
        <w:t>تعليق</w:t>
      </w:r>
      <w:r w:rsidRPr="008655A1">
        <w:rPr>
          <w:rFonts w:hint="cs"/>
          <w:spacing w:val="0"/>
          <w:kern w:val="0"/>
          <w:sz w:val="20"/>
          <w:rtl/>
        </w:rPr>
        <w:t>ات صاحب الشكوى على ملاحظات الدولة الطرف بشأن الأسس الموضوعية</w:t>
      </w:r>
    </w:p>
    <w:p w:rsidR="008655A1" w:rsidRPr="008655A1" w:rsidRDefault="008655A1" w:rsidP="007C1878">
      <w:pPr>
        <w:pStyle w:val="SingleTxtGA"/>
        <w:jc w:val="lowKashida"/>
        <w:rPr>
          <w:spacing w:val="0"/>
          <w:kern w:val="0"/>
          <w:sz w:val="20"/>
          <w:rtl/>
        </w:rPr>
      </w:pPr>
      <w:r w:rsidRPr="008655A1">
        <w:rPr>
          <w:rFonts w:hint="cs"/>
          <w:spacing w:val="0"/>
          <w:kern w:val="0"/>
          <w:sz w:val="20"/>
          <w:rtl/>
        </w:rPr>
        <w:t>5-1</w:t>
      </w:r>
      <w:r w:rsidRPr="008655A1">
        <w:rPr>
          <w:rFonts w:hint="cs"/>
          <w:spacing w:val="0"/>
          <w:kern w:val="0"/>
          <w:sz w:val="20"/>
          <w:rtl/>
        </w:rPr>
        <w:tab/>
      </w:r>
      <w:r w:rsidRPr="008655A1">
        <w:rPr>
          <w:spacing w:val="0"/>
          <w:kern w:val="0"/>
          <w:sz w:val="20"/>
          <w:rtl/>
        </w:rPr>
        <w:t>ذكّر صاحب ال</w:t>
      </w:r>
      <w:r w:rsidRPr="008655A1">
        <w:rPr>
          <w:rFonts w:hint="cs"/>
          <w:spacing w:val="0"/>
          <w:kern w:val="0"/>
          <w:sz w:val="20"/>
          <w:rtl/>
        </w:rPr>
        <w:t>شكوى</w:t>
      </w:r>
      <w:r w:rsidRPr="008655A1">
        <w:rPr>
          <w:spacing w:val="0"/>
          <w:kern w:val="0"/>
          <w:sz w:val="20"/>
          <w:rtl/>
        </w:rPr>
        <w:t xml:space="preserve"> في تعليقاته المؤرخة 28 أيار/مايو 2010 بأن شكواه قائمة على أساس وجود خطر ملموس وشخصي بالتعرض للتعذيب وغيره من ضروب </w:t>
      </w:r>
      <w:r w:rsidRPr="008655A1">
        <w:rPr>
          <w:rFonts w:hint="cs"/>
          <w:spacing w:val="0"/>
          <w:kern w:val="0"/>
          <w:sz w:val="20"/>
          <w:rtl/>
        </w:rPr>
        <w:t xml:space="preserve">سوء المعاملة </w:t>
      </w:r>
      <w:r w:rsidRPr="008655A1">
        <w:rPr>
          <w:spacing w:val="0"/>
          <w:kern w:val="0"/>
          <w:sz w:val="20"/>
          <w:rtl/>
        </w:rPr>
        <w:t>إذا أعيد إلى بلده. ويشير إلى أن جهاز الأمن</w:t>
      </w:r>
      <w:r w:rsidRPr="008655A1">
        <w:rPr>
          <w:rFonts w:hint="cs"/>
          <w:spacing w:val="0"/>
          <w:kern w:val="0"/>
          <w:sz w:val="20"/>
          <w:rtl/>
        </w:rPr>
        <w:t xml:space="preserve"> في</w:t>
      </w:r>
      <w:r w:rsidRPr="008655A1">
        <w:rPr>
          <w:spacing w:val="0"/>
          <w:kern w:val="0"/>
          <w:sz w:val="20"/>
          <w:rtl/>
        </w:rPr>
        <w:t xml:space="preserve"> جمهورية الكونغو الديمقراطية أوقفه وعذبه وأساء معاملته بسبب آرائه السياسية، وهذه الادعاءات مدعمة بمذكرة التوقيف والشهادة الطبية. وفي الوقت ذاته، يعترض على ضرورة تقديم </w:t>
      </w:r>
      <w:r w:rsidRPr="008655A1">
        <w:rPr>
          <w:rFonts w:hint="cs"/>
          <w:spacing w:val="0"/>
          <w:kern w:val="0"/>
          <w:sz w:val="20"/>
          <w:rtl/>
        </w:rPr>
        <w:t xml:space="preserve">عناصر </w:t>
      </w:r>
      <w:r w:rsidRPr="008655A1">
        <w:rPr>
          <w:spacing w:val="0"/>
          <w:kern w:val="0"/>
          <w:sz w:val="20"/>
          <w:rtl/>
        </w:rPr>
        <w:t>جديدة ويشير إلى الادعاءات التي أثارها خلال إجراءات طلب اللجوء. ويؤكد أن غرض بلاغه ليس مراجعة قرارات السلطات السويسرية بل التماس العدل. كما يعارض ادعاءات الدولة الطرف فيما</w:t>
      </w:r>
      <w:r w:rsidRPr="008655A1">
        <w:rPr>
          <w:rFonts w:hint="cs"/>
          <w:spacing w:val="0"/>
          <w:kern w:val="0"/>
          <w:sz w:val="20"/>
          <w:rtl/>
        </w:rPr>
        <w:t> </w:t>
      </w:r>
      <w:r w:rsidRPr="008655A1">
        <w:rPr>
          <w:spacing w:val="0"/>
          <w:kern w:val="0"/>
          <w:sz w:val="20"/>
          <w:rtl/>
        </w:rPr>
        <w:t xml:space="preserve">يتعلق بالتناقضات وأوجه التضارب التي ليست </w:t>
      </w:r>
      <w:r w:rsidRPr="008655A1">
        <w:rPr>
          <w:rFonts w:hint="cs"/>
          <w:spacing w:val="0"/>
          <w:kern w:val="0"/>
          <w:sz w:val="20"/>
          <w:rtl/>
        </w:rPr>
        <w:t xml:space="preserve">جوهرية </w:t>
      </w:r>
      <w:r w:rsidRPr="008655A1">
        <w:rPr>
          <w:spacing w:val="0"/>
          <w:kern w:val="0"/>
          <w:sz w:val="20"/>
          <w:rtl/>
        </w:rPr>
        <w:t xml:space="preserve">حسب رأيه. ويشير إلى الأحداث الصادمة التي عاشها، ومنها تركه لبلده </w:t>
      </w:r>
      <w:r w:rsidRPr="008655A1">
        <w:rPr>
          <w:rFonts w:hint="cs"/>
          <w:spacing w:val="0"/>
          <w:kern w:val="0"/>
          <w:sz w:val="20"/>
          <w:rtl/>
        </w:rPr>
        <w:t xml:space="preserve">واستجوابه </w:t>
      </w:r>
      <w:r w:rsidRPr="008655A1">
        <w:rPr>
          <w:spacing w:val="0"/>
          <w:kern w:val="0"/>
          <w:sz w:val="20"/>
          <w:rtl/>
        </w:rPr>
        <w:t xml:space="preserve">من قبل موظفين مجهولين في بلد أجنبي. ويقول كذلك إنه </w:t>
      </w:r>
      <w:r w:rsidRPr="008655A1">
        <w:rPr>
          <w:rFonts w:hint="cs"/>
          <w:spacing w:val="0"/>
          <w:kern w:val="0"/>
          <w:sz w:val="20"/>
          <w:rtl/>
        </w:rPr>
        <w:t>لم</w:t>
      </w:r>
      <w:r w:rsidR="007C1878">
        <w:rPr>
          <w:rFonts w:hint="eastAsia"/>
          <w:spacing w:val="0"/>
          <w:kern w:val="0"/>
          <w:sz w:val="20"/>
          <w:rtl/>
        </w:rPr>
        <w:t> </w:t>
      </w:r>
      <w:r w:rsidRPr="008655A1">
        <w:rPr>
          <w:rFonts w:hint="cs"/>
          <w:spacing w:val="0"/>
          <w:kern w:val="0"/>
          <w:sz w:val="20"/>
          <w:rtl/>
        </w:rPr>
        <w:t xml:space="preserve">يكن </w:t>
      </w:r>
      <w:r w:rsidRPr="008655A1">
        <w:rPr>
          <w:spacing w:val="0"/>
          <w:kern w:val="0"/>
          <w:sz w:val="20"/>
          <w:rtl/>
        </w:rPr>
        <w:t xml:space="preserve">من السهل تقديم رواية متطابقة للأحداث خلال جلستي الاستماع الأولى والثانية اللتين عقدتهما له السلطات المعنية بشؤون اللجوء. وردّاً على </w:t>
      </w:r>
      <w:r w:rsidRPr="008655A1">
        <w:rPr>
          <w:rFonts w:hint="cs"/>
          <w:spacing w:val="0"/>
          <w:kern w:val="0"/>
          <w:sz w:val="20"/>
          <w:rtl/>
        </w:rPr>
        <w:t xml:space="preserve">اعتبار </w:t>
      </w:r>
      <w:r w:rsidRPr="008655A1">
        <w:rPr>
          <w:spacing w:val="0"/>
          <w:kern w:val="0"/>
          <w:sz w:val="20"/>
          <w:rtl/>
        </w:rPr>
        <w:t xml:space="preserve">الدولة الطرف أن الشهادة الطبية غير موثوق بها، </w:t>
      </w:r>
      <w:r w:rsidRPr="008655A1">
        <w:rPr>
          <w:rFonts w:hint="cs"/>
          <w:spacing w:val="0"/>
          <w:kern w:val="0"/>
          <w:sz w:val="20"/>
          <w:rtl/>
        </w:rPr>
        <w:t xml:space="preserve">فإنه </w:t>
      </w:r>
      <w:r w:rsidRPr="008655A1">
        <w:rPr>
          <w:spacing w:val="0"/>
          <w:kern w:val="0"/>
          <w:sz w:val="20"/>
          <w:rtl/>
        </w:rPr>
        <w:t xml:space="preserve">يقترح على اللجنة أن تتصل بطبيب الأسنان للتحقق من أسباب تلقيه </w:t>
      </w:r>
      <w:r w:rsidRPr="008655A1">
        <w:rPr>
          <w:rFonts w:hint="cs"/>
          <w:spacing w:val="0"/>
          <w:kern w:val="0"/>
          <w:sz w:val="20"/>
          <w:rtl/>
        </w:rPr>
        <w:t>ا</w:t>
      </w:r>
      <w:r w:rsidRPr="008655A1">
        <w:rPr>
          <w:spacing w:val="0"/>
          <w:kern w:val="0"/>
          <w:sz w:val="20"/>
          <w:rtl/>
        </w:rPr>
        <w:t>لعلاج.</w:t>
      </w:r>
    </w:p>
    <w:p w:rsidR="008655A1" w:rsidRPr="007C1878" w:rsidRDefault="008655A1" w:rsidP="008655A1">
      <w:pPr>
        <w:pStyle w:val="SingleTxtGA"/>
        <w:jc w:val="lowKashida"/>
        <w:rPr>
          <w:spacing w:val="-2"/>
          <w:kern w:val="0"/>
          <w:sz w:val="20"/>
          <w:rtl/>
        </w:rPr>
      </w:pPr>
      <w:r w:rsidRPr="007C1878">
        <w:rPr>
          <w:spacing w:val="-2"/>
          <w:kern w:val="0"/>
          <w:sz w:val="20"/>
          <w:rtl/>
        </w:rPr>
        <w:t>5-2</w:t>
      </w:r>
      <w:r w:rsidRPr="007C1878">
        <w:rPr>
          <w:spacing w:val="-2"/>
          <w:kern w:val="0"/>
          <w:sz w:val="20"/>
          <w:rtl/>
        </w:rPr>
        <w:tab/>
        <w:t xml:space="preserve">وبالإضافة إلى ذلك، يعترض صاحب </w:t>
      </w:r>
      <w:r w:rsidRPr="007C1878">
        <w:rPr>
          <w:rFonts w:hint="cs"/>
          <w:spacing w:val="-2"/>
          <w:kern w:val="0"/>
          <w:sz w:val="20"/>
          <w:rtl/>
        </w:rPr>
        <w:t xml:space="preserve">الشكوى </w:t>
      </w:r>
      <w:r w:rsidRPr="007C1878">
        <w:rPr>
          <w:spacing w:val="-2"/>
          <w:kern w:val="0"/>
          <w:sz w:val="20"/>
          <w:rtl/>
        </w:rPr>
        <w:t xml:space="preserve">على </w:t>
      </w:r>
      <w:r w:rsidRPr="007C1878">
        <w:rPr>
          <w:rFonts w:hint="cs"/>
          <w:spacing w:val="-2"/>
          <w:kern w:val="0"/>
          <w:sz w:val="20"/>
          <w:rtl/>
        </w:rPr>
        <w:t xml:space="preserve">اعتبار </w:t>
      </w:r>
      <w:r w:rsidRPr="007C1878">
        <w:rPr>
          <w:spacing w:val="-2"/>
          <w:kern w:val="0"/>
          <w:sz w:val="20"/>
          <w:rtl/>
        </w:rPr>
        <w:t>الدولة الطرف أن مذكرة التوقيف مزورة</w:t>
      </w:r>
      <w:r w:rsidRPr="007C1878">
        <w:rPr>
          <w:rFonts w:hint="cs"/>
          <w:spacing w:val="-2"/>
          <w:kern w:val="0"/>
          <w:sz w:val="20"/>
          <w:rtl/>
        </w:rPr>
        <w:t>،</w:t>
      </w:r>
      <w:r w:rsidRPr="007C1878">
        <w:rPr>
          <w:spacing w:val="-2"/>
          <w:kern w:val="0"/>
          <w:sz w:val="20"/>
          <w:rtl/>
        </w:rPr>
        <w:t xml:space="preserve"> ويعتبر هذه الادعاءات غير صحيحة ومضللة. ورغم أنه يعترف بوجود ممارسة التلاعب بالوثائق الرسمية في جمهورية الكونغو الديمقراطية، فإنه يعارض طعن الدولة الطرف في صحة مذكرة التوقيف. ويرى أن خير وسيلة لتفنيد أي شكوك هي التماس توضيحات إضافية من </w:t>
      </w:r>
      <w:r w:rsidRPr="007C1878">
        <w:rPr>
          <w:rFonts w:hint="cs"/>
          <w:spacing w:val="-2"/>
          <w:kern w:val="0"/>
          <w:sz w:val="20"/>
          <w:rtl/>
        </w:rPr>
        <w:t xml:space="preserve">السلطات </w:t>
      </w:r>
      <w:r w:rsidRPr="007C1878">
        <w:rPr>
          <w:spacing w:val="-2"/>
          <w:kern w:val="0"/>
          <w:sz w:val="20"/>
          <w:rtl/>
        </w:rPr>
        <w:t>الأمن</w:t>
      </w:r>
      <w:r w:rsidRPr="007C1878">
        <w:rPr>
          <w:rFonts w:hint="cs"/>
          <w:spacing w:val="-2"/>
          <w:kern w:val="0"/>
          <w:sz w:val="20"/>
          <w:rtl/>
        </w:rPr>
        <w:t>ية</w:t>
      </w:r>
      <w:r w:rsidRPr="007C1878">
        <w:rPr>
          <w:spacing w:val="-2"/>
          <w:kern w:val="0"/>
          <w:sz w:val="20"/>
          <w:rtl/>
        </w:rPr>
        <w:t xml:space="preserve"> في جمهورية الكونغو الديمقراطية عبر السفارة السويسرية.</w:t>
      </w:r>
    </w:p>
    <w:p w:rsidR="008655A1" w:rsidRPr="007C1878" w:rsidRDefault="008655A1" w:rsidP="008655A1">
      <w:pPr>
        <w:pStyle w:val="SingleTxtGA"/>
        <w:jc w:val="lowKashida"/>
        <w:rPr>
          <w:spacing w:val="-2"/>
          <w:kern w:val="0"/>
          <w:sz w:val="20"/>
          <w:rtl/>
        </w:rPr>
      </w:pPr>
      <w:r w:rsidRPr="007C1878">
        <w:rPr>
          <w:spacing w:val="-2"/>
          <w:kern w:val="0"/>
          <w:sz w:val="20"/>
          <w:rtl/>
        </w:rPr>
        <w:t>5-3</w:t>
      </w:r>
      <w:r w:rsidRPr="007C1878">
        <w:rPr>
          <w:spacing w:val="-2"/>
          <w:kern w:val="0"/>
          <w:sz w:val="20"/>
          <w:rtl/>
        </w:rPr>
        <w:tab/>
        <w:t xml:space="preserve">ويذكِّر صاحب </w:t>
      </w:r>
      <w:r w:rsidRPr="007C1878">
        <w:rPr>
          <w:rFonts w:hint="cs"/>
          <w:spacing w:val="-2"/>
          <w:kern w:val="0"/>
          <w:sz w:val="20"/>
          <w:rtl/>
        </w:rPr>
        <w:t xml:space="preserve">الشكوى </w:t>
      </w:r>
      <w:r w:rsidRPr="007C1878">
        <w:rPr>
          <w:spacing w:val="-2"/>
          <w:kern w:val="0"/>
          <w:sz w:val="20"/>
          <w:rtl/>
        </w:rPr>
        <w:t xml:space="preserve">بأنه كان عضواً </w:t>
      </w:r>
      <w:r w:rsidRPr="007C1878">
        <w:rPr>
          <w:rFonts w:hint="cs"/>
          <w:spacing w:val="-2"/>
          <w:kern w:val="0"/>
          <w:sz w:val="20"/>
          <w:rtl/>
        </w:rPr>
        <w:t>واعياً</w:t>
      </w:r>
      <w:r w:rsidRPr="007C1878">
        <w:rPr>
          <w:spacing w:val="-2"/>
          <w:kern w:val="0"/>
          <w:sz w:val="20"/>
          <w:rtl/>
        </w:rPr>
        <w:t xml:space="preserve"> في حركة تحرير الكونغو</w:t>
      </w:r>
      <w:r w:rsidRPr="007C1878">
        <w:rPr>
          <w:rFonts w:hint="cs"/>
          <w:spacing w:val="-2"/>
          <w:kern w:val="0"/>
          <w:sz w:val="20"/>
          <w:rtl/>
        </w:rPr>
        <w:t>،</w:t>
      </w:r>
      <w:r w:rsidRPr="007C1878">
        <w:rPr>
          <w:spacing w:val="-2"/>
          <w:kern w:val="0"/>
          <w:sz w:val="20"/>
          <w:rtl/>
        </w:rPr>
        <w:t xml:space="preserve"> واضطلع بدور نشط خلال الحملة الانتخابية في عام 2006. وحسبما يقوله صاحب</w:t>
      </w:r>
      <w:r w:rsidRPr="007C1878">
        <w:rPr>
          <w:rFonts w:hint="cs"/>
          <w:spacing w:val="-2"/>
          <w:kern w:val="0"/>
          <w:sz w:val="20"/>
          <w:rtl/>
        </w:rPr>
        <w:t xml:space="preserve"> الشكوى</w:t>
      </w:r>
      <w:r w:rsidRPr="007C1878">
        <w:rPr>
          <w:spacing w:val="-2"/>
          <w:kern w:val="0"/>
          <w:sz w:val="20"/>
          <w:rtl/>
        </w:rPr>
        <w:t xml:space="preserve">، فقد </w:t>
      </w:r>
      <w:r w:rsidRPr="007C1878">
        <w:rPr>
          <w:rFonts w:hint="cs"/>
          <w:spacing w:val="-2"/>
          <w:kern w:val="0"/>
          <w:sz w:val="20"/>
          <w:rtl/>
        </w:rPr>
        <w:t xml:space="preserve">صودرت </w:t>
      </w:r>
      <w:r w:rsidRPr="007C1878">
        <w:rPr>
          <w:spacing w:val="-2"/>
          <w:kern w:val="0"/>
          <w:sz w:val="20"/>
          <w:rtl/>
        </w:rPr>
        <w:t xml:space="preserve">الوثائق التي تثبت انتسابه إلى حركة تحرير الكونغو أثناء توقيفه كما أوضح للسلطات السويسرية في سياق إجراءات طلب اللجوء. وبخصوص هيكل الحركة، </w:t>
      </w:r>
      <w:r w:rsidRPr="007C1878">
        <w:rPr>
          <w:rFonts w:hint="cs"/>
          <w:spacing w:val="-2"/>
          <w:kern w:val="0"/>
          <w:sz w:val="20"/>
          <w:rtl/>
        </w:rPr>
        <w:t xml:space="preserve">يدعي </w:t>
      </w:r>
      <w:r w:rsidRPr="007C1878">
        <w:rPr>
          <w:spacing w:val="-2"/>
          <w:kern w:val="0"/>
          <w:sz w:val="20"/>
          <w:rtl/>
        </w:rPr>
        <w:t xml:space="preserve">صاحب </w:t>
      </w:r>
      <w:r w:rsidRPr="007C1878">
        <w:rPr>
          <w:rFonts w:hint="cs"/>
          <w:spacing w:val="-2"/>
          <w:kern w:val="0"/>
          <w:sz w:val="20"/>
          <w:rtl/>
        </w:rPr>
        <w:t xml:space="preserve">الشكوى </w:t>
      </w:r>
      <w:r w:rsidRPr="007C1878">
        <w:rPr>
          <w:spacing w:val="-2"/>
          <w:kern w:val="0"/>
          <w:sz w:val="20"/>
          <w:rtl/>
        </w:rPr>
        <w:t xml:space="preserve">أنه أجاب على كل الأسئلة على حد علمه </w:t>
      </w:r>
      <w:r w:rsidRPr="007C1878">
        <w:rPr>
          <w:rFonts w:hint="cs"/>
          <w:spacing w:val="-2"/>
          <w:kern w:val="0"/>
          <w:sz w:val="20"/>
          <w:rtl/>
        </w:rPr>
        <w:t xml:space="preserve">ويوجه </w:t>
      </w:r>
      <w:r w:rsidRPr="007C1878">
        <w:rPr>
          <w:spacing w:val="-2"/>
          <w:kern w:val="0"/>
          <w:sz w:val="20"/>
          <w:rtl/>
        </w:rPr>
        <w:t xml:space="preserve">الانتباه إلى سجلات جلسات الاستماع المتعلقة بإجراءات طلب اللجوء. وبخصوص التناقضات التي اكتنفت </w:t>
      </w:r>
      <w:r w:rsidRPr="007C1878">
        <w:rPr>
          <w:rFonts w:hint="cs"/>
          <w:spacing w:val="-2"/>
          <w:kern w:val="0"/>
          <w:sz w:val="20"/>
          <w:rtl/>
        </w:rPr>
        <w:t>ا</w:t>
      </w:r>
      <w:r w:rsidRPr="007C1878">
        <w:rPr>
          <w:spacing w:val="-2"/>
          <w:kern w:val="0"/>
          <w:sz w:val="20"/>
          <w:rtl/>
        </w:rPr>
        <w:t>لأحداث التي أعقبت تعرضه للضرب، يقول إنه استعاد وعيه في كيمبانسيكي دون أن يعرف كيف وصل إلى هناك. وفيما يتعلق ببقية الاستفسارات، يحيل إلى سجلات جلس</w:t>
      </w:r>
      <w:r w:rsidRPr="007C1878">
        <w:rPr>
          <w:rFonts w:hint="cs"/>
          <w:spacing w:val="-2"/>
          <w:kern w:val="0"/>
          <w:sz w:val="20"/>
          <w:rtl/>
        </w:rPr>
        <w:t>ا</w:t>
      </w:r>
      <w:r w:rsidRPr="007C1878">
        <w:rPr>
          <w:spacing w:val="-2"/>
          <w:kern w:val="0"/>
          <w:sz w:val="20"/>
          <w:rtl/>
        </w:rPr>
        <w:t>ت</w:t>
      </w:r>
      <w:r w:rsidRPr="007C1878">
        <w:rPr>
          <w:rFonts w:hint="cs"/>
          <w:spacing w:val="-2"/>
          <w:kern w:val="0"/>
          <w:sz w:val="20"/>
          <w:rtl/>
        </w:rPr>
        <w:t xml:space="preserve"> </w:t>
      </w:r>
      <w:r w:rsidRPr="007C1878">
        <w:rPr>
          <w:spacing w:val="-2"/>
          <w:kern w:val="0"/>
          <w:sz w:val="20"/>
          <w:rtl/>
        </w:rPr>
        <w:t>الاستماع.</w:t>
      </w:r>
    </w:p>
    <w:p w:rsidR="008655A1" w:rsidRPr="008655A1" w:rsidRDefault="008655A1" w:rsidP="008655A1">
      <w:pPr>
        <w:pStyle w:val="SingleTxtGA"/>
        <w:jc w:val="lowKashida"/>
        <w:rPr>
          <w:rFonts w:hint="cs"/>
          <w:spacing w:val="0"/>
          <w:kern w:val="0"/>
          <w:sz w:val="20"/>
        </w:rPr>
      </w:pPr>
      <w:r w:rsidRPr="008655A1">
        <w:rPr>
          <w:spacing w:val="0"/>
          <w:kern w:val="0"/>
          <w:sz w:val="20"/>
          <w:rtl/>
        </w:rPr>
        <w:t>5-4</w:t>
      </w:r>
      <w:r w:rsidRPr="008655A1">
        <w:rPr>
          <w:spacing w:val="0"/>
          <w:kern w:val="0"/>
          <w:sz w:val="20"/>
          <w:rtl/>
        </w:rPr>
        <w:tab/>
        <w:t xml:space="preserve">وختاماً، يزعم صاحب الشكوى أن ما يرد أعلاه من التوضيحات والملابسات المتعلقة بقضيته </w:t>
      </w:r>
      <w:r w:rsidRPr="008655A1">
        <w:rPr>
          <w:rFonts w:hint="cs"/>
          <w:spacing w:val="0"/>
          <w:kern w:val="0"/>
          <w:sz w:val="20"/>
          <w:rtl/>
        </w:rPr>
        <w:t>ي</w:t>
      </w:r>
      <w:r w:rsidRPr="008655A1">
        <w:rPr>
          <w:spacing w:val="0"/>
          <w:kern w:val="0"/>
          <w:sz w:val="20"/>
          <w:rtl/>
        </w:rPr>
        <w:t>قع ضمن نطاق تعليق اللجنة العام رقم 1</w:t>
      </w:r>
      <w:r w:rsidRPr="008655A1">
        <w:rPr>
          <w:rFonts w:hint="cs"/>
          <w:spacing w:val="0"/>
          <w:kern w:val="0"/>
          <w:sz w:val="20"/>
          <w:rtl/>
        </w:rPr>
        <w:t>،</w:t>
      </w:r>
      <w:r w:rsidRPr="008655A1">
        <w:rPr>
          <w:spacing w:val="0"/>
          <w:kern w:val="0"/>
          <w:sz w:val="20"/>
          <w:rtl/>
        </w:rPr>
        <w:t xml:space="preserve"> ويؤكد مجدداً أنه يخشى العودة إلى بلده لأن معظم من أوقِفوا في سياق أحداث يومي 22 و23 آذار/مارس 2007 ظل</w:t>
      </w:r>
      <w:r w:rsidRPr="008655A1">
        <w:rPr>
          <w:rFonts w:hint="cs"/>
          <w:spacing w:val="0"/>
          <w:kern w:val="0"/>
          <w:sz w:val="20"/>
          <w:rtl/>
        </w:rPr>
        <w:t>وا</w:t>
      </w:r>
      <w:r w:rsidRPr="008655A1">
        <w:rPr>
          <w:spacing w:val="0"/>
          <w:kern w:val="0"/>
          <w:sz w:val="20"/>
          <w:rtl/>
        </w:rPr>
        <w:t xml:space="preserve"> رهن الاحتجاز دون إدانة أو محاكمة وفق الأصول المرعية.</w:t>
      </w:r>
    </w:p>
    <w:p w:rsidR="008655A1" w:rsidRPr="008655A1" w:rsidRDefault="008655A1" w:rsidP="008655A1">
      <w:pPr>
        <w:pStyle w:val="H23GA"/>
        <w:jc w:val="lowKashida"/>
        <w:rPr>
          <w:spacing w:val="0"/>
          <w:kern w:val="0"/>
          <w:sz w:val="20"/>
          <w:rtl/>
        </w:rPr>
      </w:pPr>
      <w:r w:rsidRPr="008655A1">
        <w:rPr>
          <w:rFonts w:hint="cs"/>
          <w:spacing w:val="0"/>
          <w:kern w:val="0"/>
          <w:sz w:val="20"/>
          <w:rtl/>
        </w:rPr>
        <w:tab/>
      </w:r>
      <w:r w:rsidRPr="008655A1">
        <w:rPr>
          <w:rFonts w:hint="cs"/>
          <w:spacing w:val="0"/>
          <w:kern w:val="0"/>
          <w:sz w:val="20"/>
          <w:rtl/>
        </w:rPr>
        <w:tab/>
      </w:r>
      <w:r w:rsidRPr="008655A1">
        <w:rPr>
          <w:spacing w:val="0"/>
          <w:kern w:val="0"/>
          <w:sz w:val="20"/>
          <w:rtl/>
        </w:rPr>
        <w:t xml:space="preserve">المسائل </w:t>
      </w:r>
      <w:r w:rsidRPr="008655A1">
        <w:rPr>
          <w:rFonts w:hint="cs"/>
          <w:spacing w:val="0"/>
          <w:kern w:val="0"/>
          <w:sz w:val="20"/>
          <w:rtl/>
        </w:rPr>
        <w:t xml:space="preserve">والإجراءات المعروضة على </w:t>
      </w:r>
      <w:r w:rsidRPr="008655A1">
        <w:rPr>
          <w:spacing w:val="0"/>
          <w:kern w:val="0"/>
          <w:sz w:val="20"/>
          <w:rtl/>
        </w:rPr>
        <w:t>اللجنة</w:t>
      </w:r>
    </w:p>
    <w:p w:rsidR="008655A1" w:rsidRPr="007C1878" w:rsidRDefault="008655A1" w:rsidP="00B40A8D">
      <w:pPr>
        <w:pStyle w:val="SingleTxtGA"/>
        <w:jc w:val="lowKashida"/>
        <w:rPr>
          <w:spacing w:val="-4"/>
          <w:kern w:val="0"/>
          <w:sz w:val="20"/>
          <w:rtl/>
        </w:rPr>
      </w:pPr>
      <w:r w:rsidRPr="007C1878">
        <w:rPr>
          <w:rFonts w:hint="cs"/>
          <w:spacing w:val="-4"/>
          <w:kern w:val="0"/>
          <w:sz w:val="20"/>
          <w:rtl/>
        </w:rPr>
        <w:t>6-</w:t>
      </w:r>
      <w:r w:rsidRPr="007C1878">
        <w:rPr>
          <w:rFonts w:hint="cs"/>
          <w:spacing w:val="-4"/>
          <w:kern w:val="0"/>
          <w:sz w:val="20"/>
          <w:rtl/>
        </w:rPr>
        <w:tab/>
      </w:r>
      <w:r w:rsidR="00B40A8D" w:rsidRPr="00ED6B1C">
        <w:rPr>
          <w:spacing w:val="-2"/>
          <w:kern w:val="0"/>
          <w:sz w:val="20"/>
          <w:rtl/>
        </w:rPr>
        <w:t xml:space="preserve">قبل النظر في أية ادعاءات ترد في شكوى ما، </w:t>
      </w:r>
      <w:r w:rsidR="00B40A8D" w:rsidRPr="00ED6B1C">
        <w:rPr>
          <w:rFonts w:hint="cs"/>
          <w:spacing w:val="-2"/>
          <w:kern w:val="0"/>
          <w:sz w:val="20"/>
          <w:rtl/>
        </w:rPr>
        <w:t>يتعين</w:t>
      </w:r>
      <w:r w:rsidR="00B40A8D" w:rsidRPr="00ED6B1C">
        <w:rPr>
          <w:spacing w:val="-2"/>
          <w:kern w:val="0"/>
          <w:sz w:val="20"/>
          <w:rtl/>
        </w:rPr>
        <w:t xml:space="preserve"> على لجنة مناهضة التعذيب أن </w:t>
      </w:r>
      <w:r w:rsidR="00B40A8D" w:rsidRPr="00ED6B1C">
        <w:rPr>
          <w:rFonts w:hint="cs"/>
          <w:spacing w:val="-2"/>
          <w:kern w:val="0"/>
          <w:sz w:val="20"/>
          <w:rtl/>
        </w:rPr>
        <w:t>تبت في</w:t>
      </w:r>
      <w:r w:rsidR="00B40A8D" w:rsidRPr="00ED6B1C">
        <w:rPr>
          <w:spacing w:val="-2"/>
          <w:kern w:val="0"/>
          <w:sz w:val="20"/>
          <w:rtl/>
        </w:rPr>
        <w:t>ما إذا كانت الشكوى مقبولة أم لا</w:t>
      </w:r>
      <w:r w:rsidRPr="007C1878">
        <w:rPr>
          <w:spacing w:val="-4"/>
          <w:kern w:val="0"/>
          <w:sz w:val="20"/>
          <w:rtl/>
        </w:rPr>
        <w:t xml:space="preserve"> بموجب المادة 22 من الاتفاقية. وقد </w:t>
      </w:r>
      <w:r w:rsidRPr="007C1878">
        <w:rPr>
          <w:rFonts w:hint="cs"/>
          <w:spacing w:val="-4"/>
          <w:kern w:val="0"/>
          <w:sz w:val="20"/>
          <w:rtl/>
        </w:rPr>
        <w:t xml:space="preserve">تحققت </w:t>
      </w:r>
      <w:r w:rsidRPr="007C1878">
        <w:rPr>
          <w:spacing w:val="-4"/>
          <w:kern w:val="0"/>
          <w:sz w:val="20"/>
          <w:rtl/>
        </w:rPr>
        <w:t xml:space="preserve">اللجنـة، </w:t>
      </w:r>
      <w:r w:rsidRPr="007C1878">
        <w:rPr>
          <w:rFonts w:hint="cs"/>
          <w:spacing w:val="-4"/>
          <w:kern w:val="0"/>
          <w:sz w:val="20"/>
          <w:rtl/>
        </w:rPr>
        <w:t>حسب</w:t>
      </w:r>
      <w:r w:rsidRPr="007C1878">
        <w:rPr>
          <w:spacing w:val="-4"/>
          <w:kern w:val="0"/>
          <w:sz w:val="20"/>
          <w:rtl/>
        </w:rPr>
        <w:t>ما تقتضيـه الفقرة 5(أ) من المادة 22 من الاتفاقية، من أن المسألة نفسها لم</w:t>
      </w:r>
      <w:r w:rsidR="007C1878" w:rsidRPr="007C1878">
        <w:rPr>
          <w:rFonts w:hint="cs"/>
          <w:spacing w:val="-4"/>
          <w:kern w:val="0"/>
          <w:sz w:val="20"/>
          <w:rtl/>
        </w:rPr>
        <w:t xml:space="preserve"> </w:t>
      </w:r>
      <w:r w:rsidRPr="007C1878">
        <w:rPr>
          <w:spacing w:val="-4"/>
          <w:kern w:val="0"/>
          <w:sz w:val="20"/>
          <w:rtl/>
        </w:rPr>
        <w:t>تبحث ولا</w:t>
      </w:r>
      <w:r w:rsidR="007C1878">
        <w:rPr>
          <w:rFonts w:hint="eastAsia"/>
          <w:spacing w:val="-4"/>
          <w:kern w:val="0"/>
          <w:sz w:val="20"/>
          <w:rtl/>
        </w:rPr>
        <w:t> </w:t>
      </w:r>
      <w:r w:rsidRPr="007C1878">
        <w:rPr>
          <w:spacing w:val="-4"/>
          <w:kern w:val="0"/>
          <w:sz w:val="20"/>
          <w:rtl/>
        </w:rPr>
        <w:t>يجري بحثها في إطار أي إجراء آخر من إجراءات التحقيق الدولي أو التسوية الدولية. وتلاحظ اللجنة كذلك أن سبل الانتصاف المحلية قد استُنفدت وأن الدولة الطرف</w:t>
      </w:r>
      <w:r w:rsidR="007C1878" w:rsidRPr="007C1878">
        <w:rPr>
          <w:rFonts w:hint="cs"/>
          <w:spacing w:val="-4"/>
          <w:kern w:val="0"/>
          <w:sz w:val="20"/>
          <w:rtl/>
        </w:rPr>
        <w:t> </w:t>
      </w:r>
      <w:r w:rsidRPr="007C1878">
        <w:rPr>
          <w:spacing w:val="-4"/>
          <w:kern w:val="0"/>
          <w:sz w:val="20"/>
          <w:rtl/>
        </w:rPr>
        <w:t>لا</w:t>
      </w:r>
      <w:r w:rsidRPr="007C1878">
        <w:rPr>
          <w:rFonts w:hint="cs"/>
          <w:spacing w:val="-4"/>
          <w:kern w:val="0"/>
          <w:sz w:val="20"/>
          <w:rtl/>
        </w:rPr>
        <w:t> </w:t>
      </w:r>
      <w:r w:rsidRPr="007C1878">
        <w:rPr>
          <w:spacing w:val="-4"/>
          <w:kern w:val="0"/>
          <w:sz w:val="20"/>
          <w:rtl/>
        </w:rPr>
        <w:t xml:space="preserve">تعترض على المقبولية. وعليه، تعتبر اللجنة أن </w:t>
      </w:r>
      <w:r w:rsidRPr="007C1878">
        <w:rPr>
          <w:rFonts w:hint="cs"/>
          <w:spacing w:val="-4"/>
          <w:kern w:val="0"/>
          <w:sz w:val="20"/>
          <w:rtl/>
        </w:rPr>
        <w:t xml:space="preserve">الشكوى </w:t>
      </w:r>
      <w:r w:rsidRPr="007C1878">
        <w:rPr>
          <w:spacing w:val="-4"/>
          <w:kern w:val="0"/>
          <w:sz w:val="20"/>
          <w:rtl/>
        </w:rPr>
        <w:t>مقبول</w:t>
      </w:r>
      <w:r w:rsidRPr="007C1878">
        <w:rPr>
          <w:rFonts w:hint="cs"/>
          <w:spacing w:val="-4"/>
          <w:kern w:val="0"/>
          <w:sz w:val="20"/>
          <w:rtl/>
        </w:rPr>
        <w:t>ة</w:t>
      </w:r>
      <w:r w:rsidRPr="007C1878">
        <w:rPr>
          <w:spacing w:val="-4"/>
          <w:kern w:val="0"/>
          <w:sz w:val="20"/>
          <w:rtl/>
        </w:rPr>
        <w:t xml:space="preserve"> وتشرع في النظر في أسسه</w:t>
      </w:r>
      <w:r w:rsidRPr="007C1878">
        <w:rPr>
          <w:rFonts w:hint="cs"/>
          <w:spacing w:val="-4"/>
          <w:kern w:val="0"/>
          <w:sz w:val="20"/>
          <w:rtl/>
        </w:rPr>
        <w:t>ا</w:t>
      </w:r>
      <w:r w:rsidRPr="007C1878">
        <w:rPr>
          <w:spacing w:val="-4"/>
          <w:kern w:val="0"/>
          <w:sz w:val="20"/>
          <w:rtl/>
        </w:rPr>
        <w:t xml:space="preserve"> الموضوعية.</w:t>
      </w:r>
    </w:p>
    <w:p w:rsidR="008655A1" w:rsidRPr="008655A1" w:rsidRDefault="008655A1" w:rsidP="008655A1">
      <w:pPr>
        <w:pStyle w:val="SingleTxtGA"/>
        <w:jc w:val="lowKashida"/>
        <w:rPr>
          <w:spacing w:val="0"/>
          <w:kern w:val="0"/>
          <w:sz w:val="20"/>
          <w:rtl/>
        </w:rPr>
      </w:pPr>
      <w:r w:rsidRPr="008655A1">
        <w:rPr>
          <w:spacing w:val="0"/>
          <w:kern w:val="0"/>
          <w:sz w:val="20"/>
          <w:rtl/>
        </w:rPr>
        <w:t>7-1</w:t>
      </w:r>
      <w:r w:rsidRPr="008655A1">
        <w:rPr>
          <w:spacing w:val="0"/>
          <w:kern w:val="0"/>
          <w:sz w:val="20"/>
          <w:rtl/>
        </w:rPr>
        <w:tab/>
        <w:t xml:space="preserve">والمسألة المعروضة على اللجنة هي ما إذا كان ترحيل صاحب </w:t>
      </w:r>
      <w:r w:rsidRPr="008655A1">
        <w:rPr>
          <w:rFonts w:hint="cs"/>
          <w:spacing w:val="0"/>
          <w:kern w:val="0"/>
          <w:sz w:val="20"/>
          <w:rtl/>
        </w:rPr>
        <w:t xml:space="preserve">الشكوى </w:t>
      </w:r>
      <w:r w:rsidRPr="008655A1">
        <w:rPr>
          <w:spacing w:val="0"/>
          <w:kern w:val="0"/>
          <w:sz w:val="20"/>
          <w:rtl/>
        </w:rPr>
        <w:t>إلى جمهورية الكونغو الديمقراطية سينتهك التزام الدولة الطرف بموجب المادة 3 من الاتفاقية بعدم طرد أو</w:t>
      </w:r>
      <w:r w:rsidRPr="008655A1">
        <w:rPr>
          <w:rFonts w:hint="cs"/>
          <w:spacing w:val="0"/>
          <w:kern w:val="0"/>
          <w:sz w:val="20"/>
          <w:rtl/>
        </w:rPr>
        <w:t> </w:t>
      </w:r>
      <w:r w:rsidRPr="008655A1">
        <w:rPr>
          <w:spacing w:val="0"/>
          <w:kern w:val="0"/>
          <w:sz w:val="20"/>
          <w:rtl/>
        </w:rPr>
        <w:t xml:space="preserve">إعادة شخص ما إلى دولة أخرى </w:t>
      </w:r>
      <w:r w:rsidRPr="008655A1">
        <w:rPr>
          <w:rFonts w:hint="cs"/>
          <w:spacing w:val="0"/>
          <w:kern w:val="0"/>
          <w:sz w:val="20"/>
          <w:rtl/>
        </w:rPr>
        <w:t xml:space="preserve">إذا توافرت </w:t>
      </w:r>
      <w:r w:rsidRPr="008655A1">
        <w:rPr>
          <w:spacing w:val="0"/>
          <w:kern w:val="0"/>
          <w:sz w:val="20"/>
          <w:rtl/>
        </w:rPr>
        <w:t xml:space="preserve">أسباب حقيقية </w:t>
      </w:r>
      <w:r w:rsidRPr="008655A1">
        <w:rPr>
          <w:rFonts w:hint="cs"/>
          <w:spacing w:val="0"/>
          <w:kern w:val="0"/>
          <w:sz w:val="20"/>
          <w:rtl/>
        </w:rPr>
        <w:t>تدعو إلى ا</w:t>
      </w:r>
      <w:r w:rsidRPr="008655A1">
        <w:rPr>
          <w:spacing w:val="0"/>
          <w:kern w:val="0"/>
          <w:sz w:val="20"/>
          <w:rtl/>
        </w:rPr>
        <w:t xml:space="preserve">لاعتقاد بأنه </w:t>
      </w:r>
      <w:r w:rsidRPr="008655A1">
        <w:rPr>
          <w:rFonts w:hint="cs"/>
          <w:spacing w:val="0"/>
          <w:kern w:val="0"/>
          <w:sz w:val="20"/>
          <w:rtl/>
        </w:rPr>
        <w:t>سيتعرض لخطر ا</w:t>
      </w:r>
      <w:r w:rsidRPr="008655A1">
        <w:rPr>
          <w:spacing w:val="0"/>
          <w:kern w:val="0"/>
          <w:sz w:val="20"/>
          <w:rtl/>
        </w:rPr>
        <w:t>لتعذيب.</w:t>
      </w:r>
    </w:p>
    <w:p w:rsidR="008655A1" w:rsidRPr="008655A1" w:rsidRDefault="008655A1" w:rsidP="007C1878">
      <w:pPr>
        <w:pStyle w:val="SingleTxtGA"/>
        <w:jc w:val="lowKashida"/>
        <w:rPr>
          <w:spacing w:val="0"/>
          <w:kern w:val="0"/>
          <w:sz w:val="20"/>
          <w:rtl/>
        </w:rPr>
      </w:pPr>
      <w:r w:rsidRPr="008655A1">
        <w:rPr>
          <w:spacing w:val="0"/>
          <w:kern w:val="0"/>
          <w:sz w:val="20"/>
          <w:rtl/>
        </w:rPr>
        <w:t>7-2</w:t>
      </w:r>
      <w:r w:rsidRPr="008655A1">
        <w:rPr>
          <w:spacing w:val="0"/>
          <w:kern w:val="0"/>
          <w:sz w:val="20"/>
          <w:rtl/>
        </w:rPr>
        <w:tab/>
        <w:t xml:space="preserve">ولدى تقييم اللجنة </w:t>
      </w:r>
      <w:r w:rsidRPr="008655A1">
        <w:rPr>
          <w:rFonts w:hint="cs"/>
          <w:spacing w:val="0"/>
          <w:kern w:val="0"/>
          <w:sz w:val="20"/>
          <w:rtl/>
        </w:rPr>
        <w:t xml:space="preserve">لمدى وجود </w:t>
      </w:r>
      <w:r w:rsidRPr="008655A1">
        <w:rPr>
          <w:spacing w:val="0"/>
          <w:kern w:val="0"/>
          <w:sz w:val="20"/>
          <w:rtl/>
        </w:rPr>
        <w:t xml:space="preserve">أسباب حقيقية </w:t>
      </w:r>
      <w:r w:rsidRPr="008655A1">
        <w:rPr>
          <w:rFonts w:hint="cs"/>
          <w:spacing w:val="0"/>
          <w:kern w:val="0"/>
          <w:sz w:val="20"/>
          <w:rtl/>
        </w:rPr>
        <w:t>تدعو إلى ا</w:t>
      </w:r>
      <w:r w:rsidRPr="008655A1">
        <w:rPr>
          <w:spacing w:val="0"/>
          <w:kern w:val="0"/>
          <w:sz w:val="20"/>
          <w:rtl/>
        </w:rPr>
        <w:t xml:space="preserve">لاعتقاد بأن صاحب </w:t>
      </w:r>
      <w:r w:rsidRPr="008655A1">
        <w:rPr>
          <w:rFonts w:hint="cs"/>
          <w:spacing w:val="0"/>
          <w:kern w:val="0"/>
          <w:sz w:val="20"/>
          <w:rtl/>
        </w:rPr>
        <w:t>الشكوى سيتعرض لخطر ا</w:t>
      </w:r>
      <w:r w:rsidRPr="008655A1">
        <w:rPr>
          <w:spacing w:val="0"/>
          <w:kern w:val="0"/>
          <w:sz w:val="20"/>
          <w:rtl/>
        </w:rPr>
        <w:t xml:space="preserve">لتعذيب إذا أعيد إلى جمهورية الكونغو الديمقراطية، ينبغي أن </w:t>
      </w:r>
      <w:r w:rsidRPr="008655A1">
        <w:rPr>
          <w:rFonts w:hint="cs"/>
          <w:spacing w:val="0"/>
          <w:kern w:val="0"/>
          <w:sz w:val="20"/>
          <w:rtl/>
        </w:rPr>
        <w:t xml:space="preserve">تراعي </w:t>
      </w:r>
      <w:r w:rsidRPr="008655A1">
        <w:rPr>
          <w:spacing w:val="0"/>
          <w:kern w:val="0"/>
          <w:sz w:val="20"/>
          <w:rtl/>
        </w:rPr>
        <w:t xml:space="preserve">جميع الاعتبارات ذات الصلة، بما في ذلك وجود نمط ثابت من الانتهاكات </w:t>
      </w:r>
      <w:r w:rsidRPr="008655A1">
        <w:rPr>
          <w:rFonts w:hint="cs"/>
          <w:spacing w:val="0"/>
          <w:kern w:val="0"/>
          <w:sz w:val="20"/>
          <w:rtl/>
        </w:rPr>
        <w:t xml:space="preserve">الفادحة </w:t>
      </w:r>
      <w:r w:rsidRPr="008655A1">
        <w:rPr>
          <w:spacing w:val="0"/>
          <w:kern w:val="0"/>
          <w:sz w:val="20"/>
          <w:rtl/>
        </w:rPr>
        <w:t>أو</w:t>
      </w:r>
      <w:r w:rsidR="007C1878">
        <w:rPr>
          <w:rFonts w:hint="cs"/>
          <w:spacing w:val="0"/>
          <w:kern w:val="0"/>
          <w:sz w:val="20"/>
          <w:rtl/>
        </w:rPr>
        <w:t> </w:t>
      </w:r>
      <w:r w:rsidRPr="008655A1">
        <w:rPr>
          <w:spacing w:val="0"/>
          <w:kern w:val="0"/>
          <w:sz w:val="20"/>
          <w:rtl/>
        </w:rPr>
        <w:t xml:space="preserve">الصارخة أو الجماعية لحقوق الإنسان. غير أن </w:t>
      </w:r>
      <w:r w:rsidRPr="008655A1">
        <w:rPr>
          <w:rFonts w:hint="cs"/>
          <w:spacing w:val="0"/>
          <w:kern w:val="0"/>
          <w:sz w:val="20"/>
          <w:rtl/>
        </w:rPr>
        <w:t>ال</w:t>
      </w:r>
      <w:r w:rsidRPr="008655A1">
        <w:rPr>
          <w:spacing w:val="0"/>
          <w:kern w:val="0"/>
          <w:sz w:val="20"/>
          <w:rtl/>
        </w:rPr>
        <w:t xml:space="preserve">هدف </w:t>
      </w:r>
      <w:r w:rsidRPr="008655A1">
        <w:rPr>
          <w:rFonts w:hint="cs"/>
          <w:spacing w:val="0"/>
          <w:kern w:val="0"/>
          <w:sz w:val="20"/>
          <w:rtl/>
        </w:rPr>
        <w:t xml:space="preserve">من </w:t>
      </w:r>
      <w:r w:rsidRPr="008655A1">
        <w:rPr>
          <w:spacing w:val="0"/>
          <w:kern w:val="0"/>
          <w:sz w:val="20"/>
          <w:rtl/>
        </w:rPr>
        <w:t xml:space="preserve">هذا التحليل هو </w:t>
      </w:r>
      <w:r w:rsidRPr="008655A1">
        <w:rPr>
          <w:rFonts w:hint="cs"/>
          <w:spacing w:val="0"/>
          <w:kern w:val="0"/>
          <w:sz w:val="20"/>
          <w:rtl/>
        </w:rPr>
        <w:t xml:space="preserve">تحديد </w:t>
      </w:r>
      <w:r w:rsidRPr="008655A1">
        <w:rPr>
          <w:spacing w:val="0"/>
          <w:kern w:val="0"/>
          <w:sz w:val="20"/>
          <w:rtl/>
        </w:rPr>
        <w:t xml:space="preserve">ما إذا كان صاحب </w:t>
      </w:r>
      <w:r w:rsidRPr="008655A1">
        <w:rPr>
          <w:rFonts w:hint="cs"/>
          <w:spacing w:val="0"/>
          <w:kern w:val="0"/>
          <w:sz w:val="20"/>
          <w:rtl/>
        </w:rPr>
        <w:t xml:space="preserve">الشكوى </w:t>
      </w:r>
      <w:r w:rsidRPr="008655A1">
        <w:rPr>
          <w:spacing w:val="0"/>
          <w:kern w:val="0"/>
          <w:sz w:val="20"/>
          <w:rtl/>
        </w:rPr>
        <w:t>سيواجه شخصياً خطر التعرض للتعذيب في البلد الذي سيُعاد إليه. ولا</w:t>
      </w:r>
      <w:r w:rsidRPr="008655A1">
        <w:rPr>
          <w:rFonts w:hint="cs"/>
          <w:spacing w:val="0"/>
          <w:kern w:val="0"/>
          <w:sz w:val="20"/>
          <w:rtl/>
        </w:rPr>
        <w:t> </w:t>
      </w:r>
      <w:r w:rsidRPr="008655A1">
        <w:rPr>
          <w:spacing w:val="0"/>
          <w:kern w:val="0"/>
          <w:sz w:val="20"/>
          <w:rtl/>
        </w:rPr>
        <w:t xml:space="preserve">يشكل وجود نمط ثابت من الانتهاكات </w:t>
      </w:r>
      <w:r w:rsidRPr="008655A1">
        <w:rPr>
          <w:rFonts w:hint="cs"/>
          <w:spacing w:val="0"/>
          <w:kern w:val="0"/>
          <w:sz w:val="20"/>
          <w:rtl/>
        </w:rPr>
        <w:t xml:space="preserve">الفادحة </w:t>
      </w:r>
      <w:r w:rsidRPr="008655A1">
        <w:rPr>
          <w:spacing w:val="0"/>
          <w:kern w:val="0"/>
          <w:sz w:val="20"/>
          <w:rtl/>
        </w:rPr>
        <w:t xml:space="preserve">أو الصارخة أو الجماعية لحقوق الإنسان في بلد ما في حد ذاته سبباً كافياً للجزم بأن شخصاً معيناً </w:t>
      </w:r>
      <w:r w:rsidRPr="008655A1">
        <w:rPr>
          <w:rFonts w:hint="cs"/>
          <w:spacing w:val="0"/>
          <w:kern w:val="0"/>
          <w:sz w:val="20"/>
          <w:rtl/>
        </w:rPr>
        <w:t xml:space="preserve">سيتعرض </w:t>
      </w:r>
      <w:r w:rsidRPr="008655A1">
        <w:rPr>
          <w:spacing w:val="0"/>
          <w:kern w:val="0"/>
          <w:sz w:val="20"/>
          <w:rtl/>
        </w:rPr>
        <w:t xml:space="preserve">للتعذيب </w:t>
      </w:r>
      <w:r w:rsidRPr="008655A1">
        <w:rPr>
          <w:rFonts w:hint="cs"/>
          <w:spacing w:val="0"/>
          <w:kern w:val="0"/>
          <w:sz w:val="20"/>
          <w:rtl/>
        </w:rPr>
        <w:t xml:space="preserve">عند </w:t>
      </w:r>
      <w:r w:rsidRPr="008655A1">
        <w:rPr>
          <w:spacing w:val="0"/>
          <w:kern w:val="0"/>
          <w:sz w:val="20"/>
          <w:rtl/>
        </w:rPr>
        <w:t xml:space="preserve">عودته إلى ذلك البلد؛ فلا بد من </w:t>
      </w:r>
      <w:r w:rsidRPr="008655A1">
        <w:rPr>
          <w:rFonts w:hint="cs"/>
          <w:spacing w:val="0"/>
          <w:kern w:val="0"/>
          <w:sz w:val="20"/>
          <w:rtl/>
        </w:rPr>
        <w:t xml:space="preserve">تقديم </w:t>
      </w:r>
      <w:r w:rsidRPr="008655A1">
        <w:rPr>
          <w:spacing w:val="0"/>
          <w:kern w:val="0"/>
          <w:sz w:val="20"/>
          <w:rtl/>
        </w:rPr>
        <w:t>أسباب إضافية تبين أن</w:t>
      </w:r>
      <w:r w:rsidRPr="008655A1">
        <w:rPr>
          <w:rFonts w:hint="cs"/>
          <w:spacing w:val="0"/>
          <w:kern w:val="0"/>
          <w:sz w:val="20"/>
          <w:rtl/>
        </w:rPr>
        <w:t xml:space="preserve"> الفرد المعني</w:t>
      </w:r>
      <w:r w:rsidRPr="008655A1">
        <w:rPr>
          <w:spacing w:val="0"/>
          <w:kern w:val="0"/>
          <w:sz w:val="20"/>
          <w:rtl/>
        </w:rPr>
        <w:t xml:space="preserve"> سيتعرض للخطر شخصياً. </w:t>
      </w:r>
      <w:r w:rsidRPr="008655A1">
        <w:rPr>
          <w:rFonts w:hint="cs"/>
          <w:spacing w:val="0"/>
          <w:kern w:val="0"/>
          <w:sz w:val="20"/>
          <w:rtl/>
        </w:rPr>
        <w:t>وفي المقابل</w:t>
      </w:r>
      <w:r w:rsidRPr="008655A1">
        <w:rPr>
          <w:spacing w:val="0"/>
          <w:kern w:val="0"/>
          <w:sz w:val="20"/>
          <w:rtl/>
        </w:rPr>
        <w:t xml:space="preserve">، فإن عدم وجود نمط ثابت من الانتهاكات </w:t>
      </w:r>
      <w:r w:rsidRPr="008655A1">
        <w:rPr>
          <w:rFonts w:hint="cs"/>
          <w:spacing w:val="0"/>
          <w:kern w:val="0"/>
          <w:sz w:val="20"/>
          <w:rtl/>
        </w:rPr>
        <w:t xml:space="preserve">الفادحة </w:t>
      </w:r>
      <w:r w:rsidRPr="008655A1">
        <w:rPr>
          <w:spacing w:val="0"/>
          <w:kern w:val="0"/>
          <w:sz w:val="20"/>
          <w:rtl/>
        </w:rPr>
        <w:t>لحقوق الإنسان لا يعني أن شخصاً ما قد لا يتعرض للتعذيب.</w:t>
      </w:r>
    </w:p>
    <w:p w:rsidR="008655A1" w:rsidRPr="008655A1" w:rsidRDefault="008655A1" w:rsidP="008655A1">
      <w:pPr>
        <w:pStyle w:val="SingleTxtGA"/>
        <w:jc w:val="lowKashida"/>
        <w:rPr>
          <w:spacing w:val="0"/>
          <w:kern w:val="0"/>
          <w:sz w:val="20"/>
          <w:rtl/>
        </w:rPr>
      </w:pPr>
      <w:r w:rsidRPr="008655A1">
        <w:rPr>
          <w:spacing w:val="0"/>
          <w:kern w:val="0"/>
          <w:sz w:val="20"/>
          <w:rtl/>
        </w:rPr>
        <w:t>7-3</w:t>
      </w:r>
      <w:r w:rsidRPr="008655A1">
        <w:rPr>
          <w:spacing w:val="0"/>
          <w:kern w:val="0"/>
          <w:sz w:val="20"/>
          <w:rtl/>
        </w:rPr>
        <w:tab/>
        <w:t xml:space="preserve">وتحيط اللجنة علماً </w:t>
      </w:r>
      <w:r w:rsidRPr="008655A1">
        <w:rPr>
          <w:rFonts w:hint="cs"/>
          <w:spacing w:val="0"/>
          <w:kern w:val="0"/>
          <w:sz w:val="20"/>
          <w:rtl/>
        </w:rPr>
        <w:t xml:space="preserve">بانتشار تدهور </w:t>
      </w:r>
      <w:r w:rsidRPr="008655A1">
        <w:rPr>
          <w:spacing w:val="0"/>
          <w:kern w:val="0"/>
          <w:sz w:val="20"/>
          <w:rtl/>
        </w:rPr>
        <w:t>حالة حقوق الإنسان في جمهورية الكونغو الديمقراطية، بما في ذلك تزايد انتهاكات حقوق الإنسان خلال الانتخابات الرئاسية لعام</w:t>
      </w:r>
      <w:r w:rsidRPr="008655A1">
        <w:rPr>
          <w:rFonts w:hint="cs"/>
          <w:spacing w:val="0"/>
          <w:kern w:val="0"/>
          <w:sz w:val="20"/>
          <w:rtl/>
        </w:rPr>
        <w:t> </w:t>
      </w:r>
      <w:r w:rsidRPr="008655A1">
        <w:rPr>
          <w:spacing w:val="0"/>
          <w:kern w:val="0"/>
          <w:sz w:val="20"/>
          <w:rtl/>
        </w:rPr>
        <w:t xml:space="preserve">2006. وتلاحظ اللجنة أن الدولة الطرف قد أخذت هذا العامل في الاعتبار لدى تقييمها لمدى وجود خطر قد يواجهه صاحب </w:t>
      </w:r>
      <w:r w:rsidRPr="008655A1">
        <w:rPr>
          <w:rFonts w:hint="cs"/>
          <w:spacing w:val="0"/>
          <w:kern w:val="0"/>
          <w:sz w:val="20"/>
          <w:rtl/>
        </w:rPr>
        <w:t xml:space="preserve">الشكوى </w:t>
      </w:r>
      <w:r w:rsidRPr="008655A1">
        <w:rPr>
          <w:spacing w:val="0"/>
          <w:kern w:val="0"/>
          <w:sz w:val="20"/>
          <w:rtl/>
        </w:rPr>
        <w:t>شخصياً إذا أعيد إلى بلده، ويشمل ذلك رأيها بأن الوضع خفت حدته منذ مغادرة جون</w:t>
      </w:r>
      <w:r w:rsidRPr="008655A1">
        <w:rPr>
          <w:rFonts w:hint="cs"/>
          <w:spacing w:val="0"/>
          <w:kern w:val="0"/>
          <w:sz w:val="20"/>
          <w:rtl/>
        </w:rPr>
        <w:t xml:space="preserve"> - </w:t>
      </w:r>
      <w:r w:rsidRPr="008655A1">
        <w:rPr>
          <w:spacing w:val="0"/>
          <w:kern w:val="0"/>
          <w:sz w:val="20"/>
          <w:rtl/>
        </w:rPr>
        <w:t>بيير بيمبا للبلد في عام 2007.</w:t>
      </w:r>
    </w:p>
    <w:p w:rsidR="008655A1" w:rsidRPr="008655A1" w:rsidRDefault="008655A1" w:rsidP="003A2D39">
      <w:pPr>
        <w:pStyle w:val="SingleTxtGA"/>
        <w:jc w:val="lowKashida"/>
        <w:rPr>
          <w:spacing w:val="0"/>
          <w:kern w:val="0"/>
          <w:sz w:val="20"/>
          <w:rtl/>
        </w:rPr>
      </w:pPr>
      <w:r w:rsidRPr="008655A1">
        <w:rPr>
          <w:spacing w:val="0"/>
          <w:kern w:val="0"/>
          <w:sz w:val="20"/>
          <w:rtl/>
        </w:rPr>
        <w:t>7-4</w:t>
      </w:r>
      <w:r w:rsidRPr="008655A1">
        <w:rPr>
          <w:spacing w:val="0"/>
          <w:kern w:val="0"/>
          <w:sz w:val="20"/>
          <w:rtl/>
        </w:rPr>
        <w:tab/>
        <w:t xml:space="preserve">وتذكِّر اللجنة بتعليقها العام رقم 1 بشأن تنفيذ المادة 3، ويرد فيه أن "خطر التعذيب يجب أن </w:t>
      </w:r>
      <w:r w:rsidRPr="008655A1">
        <w:rPr>
          <w:rFonts w:hint="cs"/>
          <w:spacing w:val="0"/>
          <w:kern w:val="0"/>
          <w:sz w:val="20"/>
          <w:rtl/>
        </w:rPr>
        <w:t>يقيّم</w:t>
      </w:r>
      <w:r w:rsidRPr="008655A1">
        <w:rPr>
          <w:spacing w:val="0"/>
          <w:kern w:val="0"/>
          <w:sz w:val="20"/>
          <w:rtl/>
        </w:rPr>
        <w:t xml:space="preserve"> على أسس تتجاوز مجرد الافتراض أو الشك</w:t>
      </w:r>
      <w:r w:rsidRPr="008655A1">
        <w:rPr>
          <w:rFonts w:hint="cs"/>
          <w:spacing w:val="0"/>
          <w:kern w:val="0"/>
          <w:sz w:val="20"/>
          <w:rtl/>
        </w:rPr>
        <w:t>.</w:t>
      </w:r>
      <w:r w:rsidRPr="008655A1">
        <w:rPr>
          <w:spacing w:val="0"/>
          <w:kern w:val="0"/>
          <w:sz w:val="20"/>
          <w:rtl/>
        </w:rPr>
        <w:t xml:space="preserve"> بيد أنه لا يتحتم أن يستوفي هذا الخطر معيار ترجيح احتمال وقوعه"</w:t>
      </w:r>
      <w:r w:rsidRPr="008655A1">
        <w:rPr>
          <w:rFonts w:hint="cs"/>
          <w:spacing w:val="0"/>
          <w:kern w:val="0"/>
          <w:sz w:val="20"/>
          <w:rtl/>
        </w:rPr>
        <w:t>،</w:t>
      </w:r>
      <w:r w:rsidRPr="008655A1">
        <w:rPr>
          <w:spacing w:val="0"/>
          <w:kern w:val="0"/>
          <w:sz w:val="20"/>
          <w:rtl/>
        </w:rPr>
        <w:t xml:space="preserve"> بل ينبغي أن يكون شخصياً </w:t>
      </w:r>
      <w:r w:rsidRPr="008655A1">
        <w:rPr>
          <w:rFonts w:hint="cs"/>
          <w:spacing w:val="0"/>
          <w:kern w:val="0"/>
          <w:sz w:val="20"/>
          <w:rtl/>
        </w:rPr>
        <w:t>وقائماً</w:t>
      </w:r>
      <w:r w:rsidRPr="008655A1">
        <w:rPr>
          <w:rStyle w:val="FootnoteReference"/>
          <w:spacing w:val="0"/>
          <w:sz w:val="20"/>
          <w:rtl/>
        </w:rPr>
        <w:t>(</w:t>
      </w:r>
      <w:r w:rsidRPr="008655A1">
        <w:rPr>
          <w:rStyle w:val="FootnoteReference"/>
          <w:spacing w:val="0"/>
          <w:sz w:val="20"/>
          <w:rtl/>
        </w:rPr>
        <w:footnoteReference w:id="284"/>
      </w:r>
      <w:r w:rsidRPr="008655A1">
        <w:rPr>
          <w:rStyle w:val="FootnoteReference"/>
          <w:spacing w:val="0"/>
          <w:sz w:val="20"/>
          <w:rtl/>
        </w:rPr>
        <w:t>)</w:t>
      </w:r>
      <w:r w:rsidRPr="008655A1">
        <w:rPr>
          <w:spacing w:val="0"/>
          <w:kern w:val="0"/>
          <w:sz w:val="20"/>
          <w:rtl/>
        </w:rPr>
        <w:t>. وفي</w:t>
      </w:r>
      <w:r w:rsidR="007C1878">
        <w:rPr>
          <w:rFonts w:hint="cs"/>
          <w:spacing w:val="0"/>
          <w:kern w:val="0"/>
          <w:sz w:val="20"/>
          <w:rtl/>
        </w:rPr>
        <w:t> </w:t>
      </w:r>
      <w:r w:rsidRPr="008655A1">
        <w:rPr>
          <w:spacing w:val="0"/>
          <w:kern w:val="0"/>
          <w:sz w:val="20"/>
          <w:rtl/>
        </w:rPr>
        <w:t xml:space="preserve">هذا الصدد، رأت اللجنة في قرارات سابقة أن خطر التعرض للتعذيب يجب أن يكون </w:t>
      </w:r>
      <w:r w:rsidRPr="008655A1">
        <w:rPr>
          <w:rFonts w:hint="cs"/>
          <w:spacing w:val="0"/>
          <w:kern w:val="0"/>
          <w:sz w:val="20"/>
          <w:rtl/>
        </w:rPr>
        <w:t>متوقعاً و</w:t>
      </w:r>
      <w:r w:rsidRPr="008655A1">
        <w:rPr>
          <w:spacing w:val="0"/>
          <w:kern w:val="0"/>
          <w:sz w:val="20"/>
          <w:rtl/>
        </w:rPr>
        <w:t>حقيقياً وشخصيا</w:t>
      </w:r>
      <w:r w:rsidRPr="008655A1">
        <w:rPr>
          <w:rFonts w:hint="cs"/>
          <w:spacing w:val="0"/>
          <w:kern w:val="0"/>
          <w:sz w:val="20"/>
          <w:rtl/>
        </w:rPr>
        <w:t>ً</w:t>
      </w:r>
      <w:r w:rsidRPr="008655A1">
        <w:rPr>
          <w:rStyle w:val="FootnoteReference"/>
          <w:spacing w:val="0"/>
          <w:sz w:val="20"/>
          <w:rtl/>
        </w:rPr>
        <w:t>(</w:t>
      </w:r>
      <w:r w:rsidRPr="008655A1">
        <w:rPr>
          <w:rStyle w:val="FootnoteReference"/>
          <w:spacing w:val="0"/>
          <w:sz w:val="20"/>
          <w:rtl/>
        </w:rPr>
        <w:footnoteReference w:id="285"/>
      </w:r>
      <w:r w:rsidRPr="008655A1">
        <w:rPr>
          <w:rStyle w:val="FootnoteReference"/>
          <w:spacing w:val="0"/>
          <w:sz w:val="20"/>
          <w:rtl/>
        </w:rPr>
        <w:t>)</w:t>
      </w:r>
      <w:r w:rsidRPr="008655A1">
        <w:rPr>
          <w:spacing w:val="0"/>
          <w:kern w:val="0"/>
          <w:sz w:val="20"/>
          <w:rtl/>
        </w:rPr>
        <w:t xml:space="preserve">. وتذكِّر اللجنة بأنها، </w:t>
      </w:r>
      <w:r w:rsidRPr="008655A1">
        <w:rPr>
          <w:rFonts w:hint="cs"/>
          <w:spacing w:val="0"/>
          <w:kern w:val="0"/>
          <w:sz w:val="20"/>
          <w:rtl/>
        </w:rPr>
        <w:t xml:space="preserve">وفق أحكام </w:t>
      </w:r>
      <w:r w:rsidRPr="008655A1">
        <w:rPr>
          <w:spacing w:val="0"/>
          <w:kern w:val="0"/>
          <w:sz w:val="20"/>
          <w:rtl/>
        </w:rPr>
        <w:t xml:space="preserve">تعليقها العام رقم 1، تعطي وزناً كبيراً </w:t>
      </w:r>
      <w:r w:rsidRPr="008655A1">
        <w:rPr>
          <w:rFonts w:hint="cs"/>
          <w:spacing w:val="0"/>
          <w:kern w:val="0"/>
          <w:sz w:val="20"/>
          <w:rtl/>
        </w:rPr>
        <w:t xml:space="preserve">لتقرير الوقائع الذي </w:t>
      </w:r>
      <w:r w:rsidRPr="008655A1">
        <w:rPr>
          <w:spacing w:val="0"/>
          <w:kern w:val="0"/>
          <w:sz w:val="20"/>
          <w:rtl/>
        </w:rPr>
        <w:t xml:space="preserve">تقوم به أجهزة الدولة الطرف المعنية، </w:t>
      </w:r>
      <w:r w:rsidRPr="008655A1">
        <w:rPr>
          <w:rFonts w:hint="cs"/>
          <w:spacing w:val="0"/>
          <w:kern w:val="0"/>
          <w:sz w:val="20"/>
          <w:rtl/>
        </w:rPr>
        <w:t>بيد أنها</w:t>
      </w:r>
      <w:r w:rsidRPr="008655A1">
        <w:rPr>
          <w:spacing w:val="0"/>
          <w:kern w:val="0"/>
          <w:sz w:val="20"/>
          <w:rtl/>
        </w:rPr>
        <w:t xml:space="preserve"> لا </w:t>
      </w:r>
      <w:r w:rsidRPr="008655A1">
        <w:rPr>
          <w:rFonts w:hint="cs"/>
          <w:spacing w:val="0"/>
          <w:kern w:val="0"/>
          <w:sz w:val="20"/>
          <w:rtl/>
        </w:rPr>
        <w:t>تتقيد بهذه الاستنتاجات،</w:t>
      </w:r>
      <w:r w:rsidRPr="008655A1">
        <w:rPr>
          <w:spacing w:val="0"/>
          <w:kern w:val="0"/>
          <w:sz w:val="20"/>
          <w:rtl/>
        </w:rPr>
        <w:t xml:space="preserve"> غير أن لها، بدلاً من ذلك، حقاً تنص عليه الفقرة 4 من المادة 22 من الاتفاقية، في التقدير الحر للوقائع </w:t>
      </w:r>
      <w:r w:rsidRPr="008655A1">
        <w:rPr>
          <w:rFonts w:hint="cs"/>
          <w:spacing w:val="0"/>
          <w:kern w:val="0"/>
          <w:sz w:val="20"/>
          <w:rtl/>
        </w:rPr>
        <w:t xml:space="preserve">بالاستناد إلى </w:t>
      </w:r>
      <w:r w:rsidR="003A2D39">
        <w:rPr>
          <w:rFonts w:hint="cs"/>
          <w:spacing w:val="0"/>
          <w:kern w:val="0"/>
          <w:sz w:val="20"/>
          <w:rtl/>
        </w:rPr>
        <w:t>مُجمل ملابسات</w:t>
      </w:r>
      <w:r w:rsidRPr="008655A1">
        <w:rPr>
          <w:spacing w:val="0"/>
          <w:kern w:val="0"/>
          <w:sz w:val="20"/>
          <w:rtl/>
        </w:rPr>
        <w:t xml:space="preserve"> كل قضية</w:t>
      </w:r>
      <w:r w:rsidRPr="008655A1">
        <w:rPr>
          <w:rStyle w:val="FootnoteReference"/>
          <w:spacing w:val="0"/>
          <w:sz w:val="20"/>
          <w:rtl/>
        </w:rPr>
        <w:t>(</w:t>
      </w:r>
      <w:r w:rsidRPr="00B35B26">
        <w:rPr>
          <w:rStyle w:val="FootnoteReference"/>
          <w:spacing w:val="0"/>
          <w:sz w:val="2"/>
          <w:szCs w:val="2"/>
          <w:rtl/>
        </w:rPr>
        <w:footnoteReference w:id="286"/>
      </w:r>
      <w:r w:rsidR="00B35B26" w:rsidRPr="00B35B26">
        <w:rPr>
          <w:rStyle w:val="FootnoteReference"/>
          <w:rFonts w:hint="cs"/>
          <w:spacing w:val="0"/>
          <w:sz w:val="30"/>
          <w:szCs w:val="30"/>
          <w:rtl/>
        </w:rPr>
        <w:t>ﻫ</w:t>
      </w:r>
      <w:r w:rsidRPr="008655A1">
        <w:rPr>
          <w:rStyle w:val="FootnoteReference"/>
          <w:spacing w:val="0"/>
          <w:sz w:val="20"/>
          <w:rtl/>
        </w:rPr>
        <w:t>)</w:t>
      </w:r>
      <w:r w:rsidRPr="008655A1">
        <w:rPr>
          <w:spacing w:val="0"/>
          <w:kern w:val="0"/>
          <w:sz w:val="20"/>
          <w:rtl/>
        </w:rPr>
        <w:t>.</w:t>
      </w:r>
    </w:p>
    <w:p w:rsidR="008655A1" w:rsidRPr="008655A1" w:rsidRDefault="008655A1" w:rsidP="008655A1">
      <w:pPr>
        <w:pStyle w:val="SingleTxtGA"/>
        <w:jc w:val="lowKashida"/>
        <w:rPr>
          <w:spacing w:val="0"/>
          <w:kern w:val="0"/>
          <w:sz w:val="20"/>
          <w:rtl/>
        </w:rPr>
      </w:pPr>
      <w:r w:rsidRPr="008655A1">
        <w:rPr>
          <w:spacing w:val="0"/>
          <w:kern w:val="0"/>
          <w:sz w:val="20"/>
          <w:rtl/>
        </w:rPr>
        <w:t>7-5</w:t>
      </w:r>
      <w:r w:rsidRPr="008655A1">
        <w:rPr>
          <w:spacing w:val="0"/>
          <w:kern w:val="0"/>
          <w:sz w:val="20"/>
          <w:rtl/>
        </w:rPr>
        <w:tab/>
        <w:t xml:space="preserve">يدعي صاحب </w:t>
      </w:r>
      <w:r w:rsidRPr="008655A1">
        <w:rPr>
          <w:rFonts w:hint="cs"/>
          <w:spacing w:val="0"/>
          <w:kern w:val="0"/>
          <w:sz w:val="20"/>
          <w:rtl/>
        </w:rPr>
        <w:t xml:space="preserve">الشكوى </w:t>
      </w:r>
      <w:r w:rsidRPr="008655A1">
        <w:rPr>
          <w:spacing w:val="0"/>
          <w:kern w:val="0"/>
          <w:sz w:val="20"/>
          <w:rtl/>
        </w:rPr>
        <w:t xml:space="preserve">أنه يواجه </w:t>
      </w:r>
      <w:r w:rsidRPr="008655A1">
        <w:rPr>
          <w:rFonts w:hint="cs"/>
          <w:spacing w:val="0"/>
          <w:kern w:val="0"/>
          <w:sz w:val="20"/>
          <w:rtl/>
        </w:rPr>
        <w:t xml:space="preserve">خطراً </w:t>
      </w:r>
      <w:r w:rsidRPr="008655A1">
        <w:rPr>
          <w:spacing w:val="0"/>
          <w:kern w:val="0"/>
          <w:sz w:val="20"/>
          <w:rtl/>
        </w:rPr>
        <w:t xml:space="preserve">شخصياً </w:t>
      </w:r>
      <w:r w:rsidRPr="008655A1">
        <w:rPr>
          <w:rFonts w:hint="cs"/>
          <w:spacing w:val="0"/>
          <w:kern w:val="0"/>
          <w:sz w:val="20"/>
          <w:rtl/>
        </w:rPr>
        <w:t>وقائماً ب</w:t>
      </w:r>
      <w:r w:rsidRPr="008655A1">
        <w:rPr>
          <w:spacing w:val="0"/>
          <w:kern w:val="0"/>
          <w:sz w:val="20"/>
          <w:rtl/>
        </w:rPr>
        <w:t xml:space="preserve">التعرض للتعذيب في جمهورية الكونغو الديمقراطية بسبب </w:t>
      </w:r>
      <w:r w:rsidRPr="008655A1">
        <w:rPr>
          <w:rFonts w:hint="cs"/>
          <w:spacing w:val="0"/>
          <w:kern w:val="0"/>
          <w:sz w:val="20"/>
          <w:rtl/>
        </w:rPr>
        <w:t xml:space="preserve">عضويته في </w:t>
      </w:r>
      <w:r w:rsidRPr="008655A1">
        <w:rPr>
          <w:spacing w:val="0"/>
          <w:kern w:val="0"/>
          <w:sz w:val="20"/>
          <w:rtl/>
        </w:rPr>
        <w:t xml:space="preserve">حركة تحرير الكونغو ومعارضته </w:t>
      </w:r>
      <w:r w:rsidRPr="008655A1">
        <w:rPr>
          <w:rFonts w:hint="cs"/>
          <w:spacing w:val="0"/>
          <w:kern w:val="0"/>
          <w:sz w:val="20"/>
          <w:rtl/>
        </w:rPr>
        <w:t xml:space="preserve">الفاعلة </w:t>
      </w:r>
      <w:r w:rsidRPr="008655A1">
        <w:rPr>
          <w:spacing w:val="0"/>
          <w:kern w:val="0"/>
          <w:sz w:val="20"/>
          <w:rtl/>
        </w:rPr>
        <w:t>لترشيح السيد كابيلا في الانتخابات الرئاسية لعام 2006</w:t>
      </w:r>
      <w:r w:rsidRPr="008655A1">
        <w:rPr>
          <w:rFonts w:hint="cs"/>
          <w:spacing w:val="0"/>
          <w:kern w:val="0"/>
          <w:sz w:val="20"/>
          <w:rtl/>
        </w:rPr>
        <w:t>،</w:t>
      </w:r>
      <w:r w:rsidRPr="008655A1">
        <w:rPr>
          <w:spacing w:val="0"/>
          <w:kern w:val="0"/>
          <w:sz w:val="20"/>
          <w:rtl/>
        </w:rPr>
        <w:t xml:space="preserve"> وأنه تعرض جراء ذلك للتوقيف والضرب من قبِل قوات الأمن التي تبحث عنه منذئذ. وقد أقام صاحب </w:t>
      </w:r>
      <w:r w:rsidRPr="008655A1">
        <w:rPr>
          <w:rFonts w:hint="cs"/>
          <w:spacing w:val="0"/>
          <w:kern w:val="0"/>
          <w:sz w:val="20"/>
          <w:rtl/>
        </w:rPr>
        <w:t xml:space="preserve">الشكوى </w:t>
      </w:r>
      <w:r w:rsidRPr="008655A1">
        <w:rPr>
          <w:spacing w:val="0"/>
          <w:kern w:val="0"/>
          <w:sz w:val="20"/>
          <w:rtl/>
        </w:rPr>
        <w:t xml:space="preserve">ادعاءاته بأنه يواجه خطر التعرض للتعذيب على مذكرة التوقيف التي أفاد بأنها صدرت بشأنه وعلى شهادة طبية لعلاج الأسنان قدمها كدليل على ادعاءاته المتعلقة بإساءة معاملته. ورغم أنه طلب تمديد الأجل المحدد لرده على ملاحظات الدولة الطرف بشأن الأسس الموضوعية متعللاً </w:t>
      </w:r>
      <w:r w:rsidRPr="008655A1">
        <w:rPr>
          <w:rFonts w:hint="cs"/>
          <w:spacing w:val="0"/>
          <w:kern w:val="0"/>
          <w:sz w:val="20"/>
          <w:rtl/>
        </w:rPr>
        <w:t xml:space="preserve">بالحاجة إلى </w:t>
      </w:r>
      <w:r w:rsidRPr="008655A1">
        <w:rPr>
          <w:spacing w:val="0"/>
          <w:kern w:val="0"/>
          <w:sz w:val="20"/>
          <w:rtl/>
        </w:rPr>
        <w:t xml:space="preserve">طلب أدلة إضافية </w:t>
      </w:r>
      <w:r w:rsidRPr="008655A1">
        <w:rPr>
          <w:rFonts w:hint="cs"/>
          <w:spacing w:val="0"/>
          <w:kern w:val="0"/>
          <w:sz w:val="20"/>
          <w:rtl/>
        </w:rPr>
        <w:t xml:space="preserve">من أشخاص هو </w:t>
      </w:r>
      <w:r w:rsidRPr="008655A1">
        <w:rPr>
          <w:spacing w:val="0"/>
          <w:kern w:val="0"/>
          <w:sz w:val="20"/>
          <w:rtl/>
        </w:rPr>
        <w:t xml:space="preserve">على اتصال بهم في جمهورية الكونغو الديمقراطية، فلم يقدم أي وثائق جديدة تساعد في </w:t>
      </w:r>
      <w:r w:rsidRPr="008655A1">
        <w:rPr>
          <w:rFonts w:hint="cs"/>
          <w:spacing w:val="0"/>
          <w:kern w:val="0"/>
          <w:sz w:val="20"/>
          <w:rtl/>
        </w:rPr>
        <w:t xml:space="preserve">إثبات </w:t>
      </w:r>
      <w:r w:rsidRPr="008655A1">
        <w:rPr>
          <w:spacing w:val="0"/>
          <w:kern w:val="0"/>
          <w:sz w:val="20"/>
          <w:rtl/>
        </w:rPr>
        <w:t>ادعاءاته.</w:t>
      </w:r>
    </w:p>
    <w:p w:rsidR="008655A1" w:rsidRPr="008655A1" w:rsidRDefault="008655A1" w:rsidP="008655A1">
      <w:pPr>
        <w:pStyle w:val="SingleTxtGA"/>
        <w:jc w:val="lowKashida"/>
        <w:rPr>
          <w:spacing w:val="0"/>
          <w:kern w:val="0"/>
          <w:sz w:val="20"/>
          <w:rtl/>
        </w:rPr>
      </w:pPr>
      <w:r w:rsidRPr="008655A1">
        <w:rPr>
          <w:spacing w:val="0"/>
          <w:kern w:val="0"/>
          <w:sz w:val="20"/>
          <w:rtl/>
        </w:rPr>
        <w:t>7-6</w:t>
      </w:r>
      <w:r w:rsidRPr="008655A1">
        <w:rPr>
          <w:spacing w:val="0"/>
          <w:kern w:val="0"/>
          <w:sz w:val="20"/>
          <w:rtl/>
        </w:rPr>
        <w:tab/>
        <w:t xml:space="preserve">وتلاحظ اللجنة كذلك أن الدولة الطرف طعنت في صحة مذكرة التوقيف التي قدمها صاحب </w:t>
      </w:r>
      <w:r w:rsidRPr="008655A1">
        <w:rPr>
          <w:rFonts w:hint="cs"/>
          <w:spacing w:val="0"/>
          <w:kern w:val="0"/>
          <w:sz w:val="20"/>
          <w:rtl/>
        </w:rPr>
        <w:t xml:space="preserve">الشكوى </w:t>
      </w:r>
      <w:r w:rsidRPr="008655A1">
        <w:rPr>
          <w:spacing w:val="0"/>
          <w:kern w:val="0"/>
          <w:sz w:val="20"/>
          <w:rtl/>
        </w:rPr>
        <w:t xml:space="preserve">والتي تعتبرها مزورة. كما شككت الدولة الطرف في </w:t>
      </w:r>
      <w:r w:rsidRPr="008655A1">
        <w:rPr>
          <w:rFonts w:hint="cs"/>
          <w:spacing w:val="0"/>
          <w:kern w:val="0"/>
          <w:sz w:val="20"/>
          <w:rtl/>
        </w:rPr>
        <w:t xml:space="preserve">مدى </w:t>
      </w:r>
      <w:r w:rsidRPr="008655A1">
        <w:rPr>
          <w:spacing w:val="0"/>
          <w:kern w:val="0"/>
          <w:sz w:val="20"/>
          <w:rtl/>
        </w:rPr>
        <w:t xml:space="preserve">صلة الشهادة الطبية لعلاج الأسنان التي </w:t>
      </w:r>
      <w:r w:rsidRPr="008655A1">
        <w:rPr>
          <w:rFonts w:hint="cs"/>
          <w:spacing w:val="0"/>
          <w:kern w:val="0"/>
          <w:sz w:val="20"/>
          <w:rtl/>
        </w:rPr>
        <w:t xml:space="preserve">قدمها </w:t>
      </w:r>
      <w:r w:rsidRPr="008655A1">
        <w:rPr>
          <w:spacing w:val="0"/>
          <w:kern w:val="0"/>
          <w:sz w:val="20"/>
          <w:rtl/>
        </w:rPr>
        <w:t xml:space="preserve">صاحب </w:t>
      </w:r>
      <w:r w:rsidRPr="008655A1">
        <w:rPr>
          <w:rFonts w:hint="cs"/>
          <w:spacing w:val="0"/>
          <w:kern w:val="0"/>
          <w:sz w:val="20"/>
          <w:rtl/>
        </w:rPr>
        <w:t xml:space="preserve">الشكوى </w:t>
      </w:r>
      <w:r w:rsidRPr="008655A1">
        <w:rPr>
          <w:spacing w:val="0"/>
          <w:kern w:val="0"/>
          <w:sz w:val="20"/>
          <w:rtl/>
        </w:rPr>
        <w:t xml:space="preserve">بالقضية. وأكد صاحب </w:t>
      </w:r>
      <w:r w:rsidRPr="008655A1">
        <w:rPr>
          <w:rFonts w:hint="cs"/>
          <w:spacing w:val="0"/>
          <w:kern w:val="0"/>
          <w:sz w:val="20"/>
          <w:rtl/>
        </w:rPr>
        <w:t xml:space="preserve">الشكوى </w:t>
      </w:r>
      <w:r w:rsidRPr="008655A1">
        <w:rPr>
          <w:spacing w:val="0"/>
          <w:kern w:val="0"/>
          <w:sz w:val="20"/>
          <w:rtl/>
        </w:rPr>
        <w:t xml:space="preserve">أمام اللجنة أن مذكرة التوقيف والشهادة الطبية سليمتان ولهما صلة بالقضية. ولكنه لم يقدم أدلة كافية على صحة مذكرة التوقيف، كما لم يوضح لماذا لا تبيِّن الشهادة الطبية سبب كسر أسنانه. وفي هذا الصدد، تلاحظ اللجنة أن صاحب </w:t>
      </w:r>
      <w:r w:rsidRPr="008655A1">
        <w:rPr>
          <w:rFonts w:hint="cs"/>
          <w:spacing w:val="0"/>
          <w:kern w:val="0"/>
          <w:sz w:val="20"/>
          <w:rtl/>
        </w:rPr>
        <w:t>الشكوى</w:t>
      </w:r>
      <w:r w:rsidRPr="008655A1">
        <w:rPr>
          <w:spacing w:val="0"/>
          <w:kern w:val="0"/>
          <w:sz w:val="20"/>
          <w:rtl/>
        </w:rPr>
        <w:t xml:space="preserve">، حسبما يرد في التقرير المتعلق بجلسة الاستماع التي عقدها له المكتب الاتحادي للهجرة، ذكر أن الحصول على نسخة من مذكرة التوقيف كلفه كثيراً من المال، </w:t>
      </w:r>
      <w:r w:rsidRPr="008655A1">
        <w:rPr>
          <w:rFonts w:hint="cs"/>
          <w:spacing w:val="0"/>
          <w:kern w:val="0"/>
          <w:sz w:val="20"/>
          <w:rtl/>
        </w:rPr>
        <w:t>م</w:t>
      </w:r>
      <w:r w:rsidRPr="008655A1">
        <w:rPr>
          <w:spacing w:val="0"/>
          <w:kern w:val="0"/>
          <w:sz w:val="20"/>
          <w:rtl/>
        </w:rPr>
        <w:t xml:space="preserve">ما دعا الدولة الطرف إلى استنتاج أن الوثيقة زُوِّرت مقابل رشوة. ولم يقدم صاحب </w:t>
      </w:r>
      <w:r w:rsidRPr="008655A1">
        <w:rPr>
          <w:rFonts w:hint="cs"/>
          <w:spacing w:val="0"/>
          <w:kern w:val="0"/>
          <w:sz w:val="20"/>
          <w:rtl/>
        </w:rPr>
        <w:t xml:space="preserve">الشكوى </w:t>
      </w:r>
      <w:r w:rsidRPr="008655A1">
        <w:rPr>
          <w:spacing w:val="0"/>
          <w:kern w:val="0"/>
          <w:sz w:val="20"/>
          <w:rtl/>
        </w:rPr>
        <w:t>حجة مقنعة من شأنها أن تجعل اللجنة تشكك في استنتاجات الدولة الطرف بهذا الخصوص.</w:t>
      </w:r>
    </w:p>
    <w:p w:rsidR="008655A1" w:rsidRPr="008655A1" w:rsidRDefault="008655A1" w:rsidP="008655A1">
      <w:pPr>
        <w:pStyle w:val="SingleTxtGA"/>
        <w:jc w:val="lowKashida"/>
        <w:rPr>
          <w:spacing w:val="0"/>
          <w:kern w:val="0"/>
          <w:sz w:val="20"/>
          <w:rtl/>
        </w:rPr>
      </w:pPr>
      <w:r w:rsidRPr="008655A1">
        <w:rPr>
          <w:spacing w:val="0"/>
          <w:kern w:val="0"/>
          <w:sz w:val="20"/>
          <w:rtl/>
        </w:rPr>
        <w:t>7-7</w:t>
      </w:r>
      <w:r w:rsidRPr="008655A1">
        <w:rPr>
          <w:spacing w:val="0"/>
          <w:kern w:val="0"/>
          <w:sz w:val="20"/>
          <w:rtl/>
        </w:rPr>
        <w:tab/>
        <w:t xml:space="preserve">وفيما يتعلق بخطر التعذيب الذي يدعي صاحب </w:t>
      </w:r>
      <w:r w:rsidRPr="008655A1">
        <w:rPr>
          <w:rFonts w:hint="cs"/>
          <w:spacing w:val="0"/>
          <w:kern w:val="0"/>
          <w:sz w:val="20"/>
          <w:rtl/>
        </w:rPr>
        <w:t xml:space="preserve">الشكوى </w:t>
      </w:r>
      <w:r w:rsidRPr="008655A1">
        <w:rPr>
          <w:spacing w:val="0"/>
          <w:kern w:val="0"/>
          <w:sz w:val="20"/>
          <w:rtl/>
        </w:rPr>
        <w:t xml:space="preserve">أنه يواجهه لأنه كان عضواً </w:t>
      </w:r>
      <w:r w:rsidRPr="008655A1">
        <w:rPr>
          <w:rFonts w:hint="cs"/>
          <w:spacing w:val="0"/>
          <w:kern w:val="0"/>
          <w:sz w:val="20"/>
          <w:rtl/>
        </w:rPr>
        <w:t xml:space="preserve">واعياً </w:t>
      </w:r>
      <w:r w:rsidRPr="008655A1">
        <w:rPr>
          <w:spacing w:val="0"/>
          <w:kern w:val="0"/>
          <w:sz w:val="20"/>
          <w:rtl/>
        </w:rPr>
        <w:t xml:space="preserve">في حركة تحرير الكونغو واضطلع بدور نشط خلال حملة الانتخابات الرئاسية لعام 2006، تلاحظ اللجنة طعن الدولة الطرف في صحة ادعاءاته ومصداقيتها. كما تلاحظ قول صاحب </w:t>
      </w:r>
      <w:r w:rsidRPr="008655A1">
        <w:rPr>
          <w:rFonts w:hint="cs"/>
          <w:spacing w:val="0"/>
          <w:kern w:val="0"/>
          <w:sz w:val="20"/>
          <w:rtl/>
        </w:rPr>
        <w:t xml:space="preserve">الشكوى </w:t>
      </w:r>
      <w:r w:rsidRPr="008655A1">
        <w:rPr>
          <w:spacing w:val="0"/>
          <w:kern w:val="0"/>
          <w:sz w:val="20"/>
          <w:rtl/>
        </w:rPr>
        <w:t>بأن قوات الأمن</w:t>
      </w:r>
      <w:r w:rsidRPr="008655A1">
        <w:rPr>
          <w:rFonts w:hint="cs"/>
          <w:spacing w:val="0"/>
          <w:kern w:val="0"/>
          <w:sz w:val="20"/>
          <w:rtl/>
        </w:rPr>
        <w:t xml:space="preserve"> صادرت</w:t>
      </w:r>
      <w:r w:rsidRPr="008655A1">
        <w:rPr>
          <w:spacing w:val="0"/>
          <w:kern w:val="0"/>
          <w:sz w:val="20"/>
          <w:rtl/>
        </w:rPr>
        <w:t xml:space="preserve"> الوثائق التي تثبت انتسابه إلى حركة تحرير الكونغو أثناء توقيفه. وتلاحظ اللجنة عدم قدرة صاحب </w:t>
      </w:r>
      <w:r w:rsidRPr="008655A1">
        <w:rPr>
          <w:rFonts w:hint="cs"/>
          <w:spacing w:val="0"/>
          <w:kern w:val="0"/>
          <w:sz w:val="20"/>
          <w:rtl/>
        </w:rPr>
        <w:t xml:space="preserve">الشكوى </w:t>
      </w:r>
      <w:r w:rsidRPr="008655A1">
        <w:rPr>
          <w:spacing w:val="0"/>
          <w:kern w:val="0"/>
          <w:sz w:val="20"/>
          <w:rtl/>
        </w:rPr>
        <w:t>على تقديم تفاصيل إضافية عن هيكل الحركة وهيئتها الإدارية. وتلاحظ كذلك أن</w:t>
      </w:r>
      <w:r w:rsidRPr="008655A1">
        <w:rPr>
          <w:rFonts w:hint="cs"/>
          <w:spacing w:val="0"/>
          <w:kern w:val="0"/>
          <w:sz w:val="20"/>
          <w:rtl/>
        </w:rPr>
        <w:t>ه</w:t>
      </w:r>
      <w:r w:rsidRPr="008655A1">
        <w:rPr>
          <w:spacing w:val="0"/>
          <w:kern w:val="0"/>
          <w:sz w:val="20"/>
          <w:rtl/>
        </w:rPr>
        <w:t xml:space="preserve"> لم يشارك في الأنشطة السياسية التي تنظمها الحركة في سويسرا. ولم يقدم أي توضيح لأسباب عدم مشاركته في أنشطة الحركة بعد مغادر</w:t>
      </w:r>
      <w:r w:rsidRPr="008655A1">
        <w:rPr>
          <w:rFonts w:hint="cs"/>
          <w:spacing w:val="0"/>
          <w:kern w:val="0"/>
          <w:sz w:val="20"/>
          <w:rtl/>
        </w:rPr>
        <w:t>ته</w:t>
      </w:r>
      <w:r w:rsidRPr="008655A1">
        <w:rPr>
          <w:spacing w:val="0"/>
          <w:kern w:val="0"/>
          <w:sz w:val="20"/>
          <w:rtl/>
        </w:rPr>
        <w:t xml:space="preserve"> </w:t>
      </w:r>
      <w:r w:rsidRPr="008655A1">
        <w:rPr>
          <w:rFonts w:hint="cs"/>
          <w:spacing w:val="0"/>
          <w:kern w:val="0"/>
          <w:sz w:val="20"/>
          <w:rtl/>
        </w:rPr>
        <w:t>ال</w:t>
      </w:r>
      <w:r w:rsidRPr="008655A1">
        <w:rPr>
          <w:spacing w:val="0"/>
          <w:kern w:val="0"/>
          <w:sz w:val="20"/>
          <w:rtl/>
        </w:rPr>
        <w:t xml:space="preserve">بلد. وتخلص اللجنة إلى أن صاحب </w:t>
      </w:r>
      <w:r w:rsidRPr="008655A1">
        <w:rPr>
          <w:rFonts w:hint="cs"/>
          <w:spacing w:val="0"/>
          <w:kern w:val="0"/>
          <w:sz w:val="20"/>
          <w:rtl/>
        </w:rPr>
        <w:t xml:space="preserve">الشكوى </w:t>
      </w:r>
      <w:r w:rsidRPr="008655A1">
        <w:rPr>
          <w:spacing w:val="0"/>
          <w:kern w:val="0"/>
          <w:sz w:val="20"/>
          <w:rtl/>
        </w:rPr>
        <w:t>لم يقدم الدليل على أنه كان يشارك في الأنشطة السياسية إلى حد يدل بشكل مقنع على أن هذه المسألة قد تعرِّضه لخطر محدد إذا أعيد إلى جمهورية الكونغو الديمقراطية.</w:t>
      </w:r>
    </w:p>
    <w:p w:rsidR="008655A1" w:rsidRPr="008655A1" w:rsidRDefault="008655A1" w:rsidP="008655A1">
      <w:pPr>
        <w:pStyle w:val="SingleTxtGA"/>
        <w:jc w:val="lowKashida"/>
        <w:rPr>
          <w:spacing w:val="0"/>
          <w:kern w:val="0"/>
          <w:sz w:val="20"/>
          <w:rtl/>
        </w:rPr>
      </w:pPr>
      <w:r w:rsidRPr="008655A1">
        <w:rPr>
          <w:spacing w:val="0"/>
          <w:kern w:val="0"/>
          <w:sz w:val="20"/>
          <w:rtl/>
        </w:rPr>
        <w:t>7-8</w:t>
      </w:r>
      <w:r w:rsidRPr="008655A1">
        <w:rPr>
          <w:spacing w:val="0"/>
          <w:kern w:val="0"/>
          <w:sz w:val="20"/>
          <w:rtl/>
        </w:rPr>
        <w:tab/>
        <w:t xml:space="preserve">وبالنظر إلى كل المعلومات المتاحة للجنة، فإنها ترى أن المواد المعروضة عليها لا تظهِر أن صاحب </w:t>
      </w:r>
      <w:r w:rsidRPr="008655A1">
        <w:rPr>
          <w:rFonts w:hint="cs"/>
          <w:spacing w:val="0"/>
          <w:kern w:val="0"/>
          <w:sz w:val="20"/>
          <w:rtl/>
        </w:rPr>
        <w:t xml:space="preserve">الشكوى </w:t>
      </w:r>
      <w:r w:rsidRPr="008655A1">
        <w:rPr>
          <w:spacing w:val="0"/>
          <w:kern w:val="0"/>
          <w:sz w:val="20"/>
          <w:rtl/>
        </w:rPr>
        <w:t xml:space="preserve">الذي قد يكون اضطلع بدور </w:t>
      </w:r>
      <w:r w:rsidRPr="008655A1">
        <w:rPr>
          <w:rFonts w:hint="cs"/>
          <w:spacing w:val="0"/>
          <w:kern w:val="0"/>
          <w:sz w:val="20"/>
          <w:rtl/>
        </w:rPr>
        <w:t xml:space="preserve">فاعل </w:t>
      </w:r>
      <w:r w:rsidRPr="008655A1">
        <w:rPr>
          <w:spacing w:val="0"/>
          <w:kern w:val="0"/>
          <w:sz w:val="20"/>
          <w:rtl/>
        </w:rPr>
        <w:t>في سياق الانتخابات الرئاسية لعام</w:t>
      </w:r>
      <w:r w:rsidRPr="008655A1">
        <w:rPr>
          <w:rFonts w:hint="cs"/>
          <w:spacing w:val="0"/>
          <w:kern w:val="0"/>
          <w:sz w:val="20"/>
          <w:rtl/>
        </w:rPr>
        <w:t> </w:t>
      </w:r>
      <w:r w:rsidRPr="008655A1">
        <w:rPr>
          <w:spacing w:val="0"/>
          <w:kern w:val="0"/>
          <w:sz w:val="20"/>
          <w:rtl/>
        </w:rPr>
        <w:t xml:space="preserve">2006 لا يزال شخصاً مطلوباً أو أنه قد يتعرض للتعذيب أو </w:t>
      </w:r>
      <w:r w:rsidRPr="008655A1">
        <w:rPr>
          <w:rFonts w:hint="cs"/>
          <w:spacing w:val="0"/>
          <w:kern w:val="0"/>
          <w:sz w:val="20"/>
          <w:rtl/>
        </w:rPr>
        <w:t xml:space="preserve">سوء </w:t>
      </w:r>
      <w:r w:rsidRPr="008655A1">
        <w:rPr>
          <w:spacing w:val="0"/>
          <w:kern w:val="0"/>
          <w:sz w:val="20"/>
          <w:rtl/>
        </w:rPr>
        <w:t xml:space="preserve">المعاملة. وبالتالي، يتعذر على اللجنة استنتاج أن عودة صاحب </w:t>
      </w:r>
      <w:r w:rsidRPr="008655A1">
        <w:rPr>
          <w:rFonts w:hint="cs"/>
          <w:spacing w:val="0"/>
          <w:kern w:val="0"/>
          <w:sz w:val="20"/>
          <w:rtl/>
        </w:rPr>
        <w:t xml:space="preserve">الشكوى </w:t>
      </w:r>
      <w:r w:rsidRPr="008655A1">
        <w:rPr>
          <w:spacing w:val="0"/>
          <w:kern w:val="0"/>
          <w:sz w:val="20"/>
          <w:rtl/>
        </w:rPr>
        <w:t xml:space="preserve">إلى جمهورية الكونغو الديمقراطية ستعرِّضه شخصياً وبشكل حقيقي ومحدد لخطر التعذيب في نطاق ما تعنيه المادة 3 من الاتفاقية. وينتاب اللجنةَ قلق </w:t>
      </w:r>
      <w:r w:rsidRPr="008655A1">
        <w:rPr>
          <w:rFonts w:hint="cs"/>
          <w:spacing w:val="0"/>
          <w:kern w:val="0"/>
          <w:sz w:val="20"/>
          <w:rtl/>
        </w:rPr>
        <w:t>إزاء</w:t>
      </w:r>
      <w:r w:rsidRPr="008655A1">
        <w:rPr>
          <w:spacing w:val="0"/>
          <w:kern w:val="0"/>
          <w:sz w:val="20"/>
          <w:rtl/>
        </w:rPr>
        <w:t xml:space="preserve"> التقارير العديدة التي ترد عن انتهاكات حقوق الإنسان في جمهورية الكونغو الديمقراطية، بما في ذلك ممارسة التعذيب، ولكنها تذكِّر بأن الشخص المعني ينبغي، لأغراض المادة 3 من الاتفاقية، أن يواجه خطراً متوقعاً وحقيقياً وشخصياً بأن يتعرض للتعذيب في البلد الذي سيعاد إليه. وفي ضوء ما سلف، ترى اللجنة أن وجود خطر من هذا القبيل لم يثبت بالأدلة.</w:t>
      </w:r>
    </w:p>
    <w:p w:rsidR="008655A1" w:rsidRPr="008655A1" w:rsidRDefault="008655A1" w:rsidP="007C1878">
      <w:pPr>
        <w:pStyle w:val="SingleTxtGA"/>
        <w:jc w:val="lowKashida"/>
        <w:rPr>
          <w:rFonts w:hint="cs"/>
          <w:spacing w:val="0"/>
          <w:kern w:val="0"/>
          <w:sz w:val="20"/>
          <w:rtl/>
        </w:rPr>
      </w:pPr>
      <w:r w:rsidRPr="008655A1">
        <w:rPr>
          <w:rFonts w:hint="cs"/>
          <w:spacing w:val="0"/>
          <w:kern w:val="0"/>
          <w:sz w:val="20"/>
          <w:rtl/>
        </w:rPr>
        <w:t>7-9-</w:t>
      </w:r>
      <w:r w:rsidRPr="008655A1">
        <w:rPr>
          <w:rFonts w:hint="cs"/>
          <w:spacing w:val="0"/>
          <w:kern w:val="0"/>
          <w:sz w:val="20"/>
          <w:rtl/>
        </w:rPr>
        <w:tab/>
        <w:t xml:space="preserve">وإن </w:t>
      </w:r>
      <w:r w:rsidRPr="008655A1">
        <w:rPr>
          <w:spacing w:val="0"/>
          <w:kern w:val="0"/>
          <w:sz w:val="20"/>
          <w:rtl/>
        </w:rPr>
        <w:t xml:space="preserve">لجنة مناهضة التعذيب، </w:t>
      </w:r>
      <w:r w:rsidRPr="008655A1">
        <w:rPr>
          <w:rFonts w:hint="cs"/>
          <w:spacing w:val="0"/>
          <w:kern w:val="0"/>
          <w:sz w:val="20"/>
          <w:rtl/>
        </w:rPr>
        <w:t xml:space="preserve">إذ تعمل </w:t>
      </w:r>
      <w:r w:rsidRPr="008655A1">
        <w:rPr>
          <w:spacing w:val="0"/>
          <w:kern w:val="0"/>
          <w:sz w:val="20"/>
          <w:rtl/>
        </w:rPr>
        <w:t>ب</w:t>
      </w:r>
      <w:r w:rsidRPr="008655A1">
        <w:rPr>
          <w:rFonts w:hint="cs"/>
          <w:spacing w:val="0"/>
          <w:kern w:val="0"/>
          <w:sz w:val="20"/>
          <w:rtl/>
        </w:rPr>
        <w:t xml:space="preserve">موجب </w:t>
      </w:r>
      <w:r w:rsidRPr="008655A1">
        <w:rPr>
          <w:spacing w:val="0"/>
          <w:kern w:val="0"/>
          <w:sz w:val="20"/>
          <w:rtl/>
        </w:rPr>
        <w:t xml:space="preserve">الفقرة 7 من المادة 22 من اتفاقية مناهضة التعذيب وغيره من ضروب المعاملة أو العقوبة القاسية أو اللاإنسانية أو المهينة، </w:t>
      </w:r>
      <w:r w:rsidRPr="008655A1">
        <w:rPr>
          <w:rFonts w:hint="cs"/>
          <w:spacing w:val="0"/>
          <w:kern w:val="0"/>
          <w:sz w:val="20"/>
          <w:rtl/>
        </w:rPr>
        <w:t>ترى</w:t>
      </w:r>
      <w:r w:rsidR="007C1878">
        <w:rPr>
          <w:rFonts w:hint="eastAsia"/>
          <w:spacing w:val="0"/>
          <w:kern w:val="0"/>
          <w:sz w:val="20"/>
          <w:rtl/>
        </w:rPr>
        <w:t> </w:t>
      </w:r>
      <w:r w:rsidRPr="008655A1">
        <w:rPr>
          <w:spacing w:val="0"/>
          <w:kern w:val="0"/>
          <w:sz w:val="20"/>
          <w:rtl/>
        </w:rPr>
        <w:t xml:space="preserve">أن إعادة صاحب </w:t>
      </w:r>
      <w:r w:rsidRPr="008655A1">
        <w:rPr>
          <w:rFonts w:hint="cs"/>
          <w:spacing w:val="0"/>
          <w:kern w:val="0"/>
          <w:sz w:val="20"/>
          <w:rtl/>
        </w:rPr>
        <w:t xml:space="preserve">الشكوى </w:t>
      </w:r>
      <w:r w:rsidRPr="008655A1">
        <w:rPr>
          <w:spacing w:val="0"/>
          <w:kern w:val="0"/>
          <w:sz w:val="20"/>
          <w:rtl/>
        </w:rPr>
        <w:t xml:space="preserve">إلى </w:t>
      </w:r>
      <w:r w:rsidRPr="008655A1">
        <w:rPr>
          <w:rFonts w:hint="cs"/>
          <w:spacing w:val="0"/>
          <w:kern w:val="0"/>
          <w:sz w:val="20"/>
          <w:rtl/>
        </w:rPr>
        <w:t>جمهورية الكونغو الديمقراطية</w:t>
      </w:r>
      <w:r w:rsidRPr="008655A1">
        <w:rPr>
          <w:spacing w:val="0"/>
          <w:kern w:val="0"/>
          <w:sz w:val="20"/>
          <w:rtl/>
        </w:rPr>
        <w:t xml:space="preserve"> </w:t>
      </w:r>
      <w:r w:rsidRPr="008655A1">
        <w:rPr>
          <w:rFonts w:hint="cs"/>
          <w:spacing w:val="0"/>
          <w:kern w:val="0"/>
          <w:sz w:val="20"/>
          <w:rtl/>
        </w:rPr>
        <w:t xml:space="preserve">لن تشكل </w:t>
      </w:r>
      <w:r w:rsidRPr="008655A1">
        <w:rPr>
          <w:spacing w:val="0"/>
          <w:kern w:val="0"/>
          <w:sz w:val="20"/>
          <w:rtl/>
        </w:rPr>
        <w:t>انتهاك</w:t>
      </w:r>
      <w:r w:rsidRPr="008655A1">
        <w:rPr>
          <w:rFonts w:hint="cs"/>
          <w:spacing w:val="0"/>
          <w:kern w:val="0"/>
          <w:sz w:val="20"/>
          <w:rtl/>
        </w:rPr>
        <w:t xml:space="preserve">اً </w:t>
      </w:r>
      <w:r w:rsidRPr="008655A1">
        <w:rPr>
          <w:spacing w:val="0"/>
          <w:kern w:val="0"/>
          <w:sz w:val="20"/>
          <w:rtl/>
        </w:rPr>
        <w:t>للمادة 3 من الاتفاقية.</w:t>
      </w:r>
    </w:p>
    <w:p w:rsidR="008655A1" w:rsidRPr="008655A1" w:rsidRDefault="008655A1" w:rsidP="008655A1">
      <w:pPr>
        <w:pStyle w:val="SingleTxtGA"/>
        <w:jc w:val="lowKashida"/>
        <w:rPr>
          <w:spacing w:val="0"/>
          <w:kern w:val="0"/>
          <w:sz w:val="20"/>
          <w:rtl/>
        </w:rPr>
        <w:sectPr w:rsidR="008655A1" w:rsidRPr="008655A1" w:rsidSect="008655A1">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8655A1" w:rsidRPr="008655A1" w:rsidRDefault="008655A1" w:rsidP="007C1878">
      <w:pPr>
        <w:pStyle w:val="H1GA"/>
        <w:spacing w:before="120"/>
        <w:jc w:val="lowKashida"/>
        <w:rPr>
          <w:rFonts w:hint="cs"/>
          <w:spacing w:val="0"/>
          <w:kern w:val="0"/>
          <w:sz w:val="20"/>
          <w:rtl/>
        </w:rPr>
      </w:pPr>
      <w:r w:rsidRPr="008655A1">
        <w:rPr>
          <w:spacing w:val="0"/>
          <w:kern w:val="0"/>
          <w:sz w:val="20"/>
          <w:rtl/>
        </w:rPr>
        <w:tab/>
      </w:r>
      <w:r w:rsidRPr="008655A1">
        <w:rPr>
          <w:rFonts w:hint="cs"/>
          <w:spacing w:val="0"/>
          <w:kern w:val="0"/>
          <w:sz w:val="20"/>
          <w:rtl/>
        </w:rPr>
        <w:tab/>
        <w:t xml:space="preserve">البلاغ رقم 391/2009: </w:t>
      </w:r>
      <w:r w:rsidRPr="008655A1">
        <w:rPr>
          <w:rFonts w:hint="cs"/>
          <w:i/>
          <w:iCs/>
          <w:spacing w:val="0"/>
          <w:kern w:val="0"/>
          <w:sz w:val="20"/>
          <w:rtl/>
        </w:rPr>
        <w:t>م. أ. م. ع. وآخرون ضد السويد</w:t>
      </w:r>
    </w:p>
    <w:p w:rsidR="008655A1" w:rsidRPr="008655A1" w:rsidRDefault="008655A1" w:rsidP="008655A1">
      <w:pPr>
        <w:pStyle w:val="SingleTxtGA"/>
        <w:tabs>
          <w:tab w:val="clear" w:pos="1928"/>
        </w:tabs>
        <w:ind w:left="4598" w:hanging="2670"/>
        <w:jc w:val="lowKashida"/>
        <w:rPr>
          <w:spacing w:val="0"/>
          <w:kern w:val="0"/>
          <w:sz w:val="20"/>
          <w:rtl/>
        </w:rPr>
      </w:pPr>
      <w:r w:rsidRPr="008655A1">
        <w:rPr>
          <w:rFonts w:hint="cs"/>
          <w:i/>
          <w:iCs/>
          <w:spacing w:val="0"/>
          <w:kern w:val="0"/>
          <w:sz w:val="20"/>
          <w:rtl/>
        </w:rPr>
        <w:t>المقدم من</w:t>
      </w:r>
      <w:r w:rsidRPr="008655A1">
        <w:rPr>
          <w:rFonts w:hint="cs"/>
          <w:spacing w:val="0"/>
          <w:kern w:val="0"/>
          <w:sz w:val="20"/>
          <w:rtl/>
        </w:rPr>
        <w:t>:</w:t>
      </w:r>
      <w:r w:rsidRPr="008655A1">
        <w:rPr>
          <w:spacing w:val="0"/>
          <w:kern w:val="0"/>
          <w:sz w:val="20"/>
          <w:rtl/>
        </w:rPr>
        <w:tab/>
      </w:r>
      <w:r w:rsidRPr="008655A1">
        <w:rPr>
          <w:rFonts w:hint="cs"/>
          <w:spacing w:val="0"/>
          <w:kern w:val="0"/>
          <w:sz w:val="20"/>
          <w:rtl/>
        </w:rPr>
        <w:tab/>
      </w:r>
      <w:r w:rsidRPr="008655A1">
        <w:rPr>
          <w:spacing w:val="0"/>
          <w:kern w:val="0"/>
          <w:sz w:val="20"/>
          <w:rtl/>
        </w:rPr>
        <w:tab/>
      </w:r>
      <w:r w:rsidRPr="008655A1">
        <w:rPr>
          <w:rFonts w:hint="cs"/>
          <w:spacing w:val="0"/>
          <w:kern w:val="0"/>
          <w:sz w:val="20"/>
          <w:rtl/>
        </w:rPr>
        <w:t>م. أ. م. ع. وآخرون (يمثلهم محام، هو بير أندرسون)</w:t>
      </w:r>
    </w:p>
    <w:p w:rsidR="008655A1" w:rsidRPr="008655A1" w:rsidRDefault="008655A1" w:rsidP="008655A1">
      <w:pPr>
        <w:pStyle w:val="SingleTxtGA"/>
        <w:tabs>
          <w:tab w:val="clear" w:pos="1928"/>
        </w:tabs>
        <w:ind w:left="4598" w:hanging="2670"/>
        <w:jc w:val="lowKashida"/>
        <w:rPr>
          <w:spacing w:val="0"/>
          <w:kern w:val="0"/>
          <w:sz w:val="20"/>
          <w:rtl/>
        </w:rPr>
      </w:pPr>
      <w:r w:rsidRPr="008655A1">
        <w:rPr>
          <w:rFonts w:hint="cs"/>
          <w:i/>
          <w:iCs/>
          <w:spacing w:val="0"/>
          <w:kern w:val="0"/>
          <w:sz w:val="20"/>
          <w:rtl/>
        </w:rPr>
        <w:t>الشخص المدعى أن</w:t>
      </w:r>
      <w:r w:rsidR="00B35B26">
        <w:rPr>
          <w:rFonts w:hint="cs"/>
          <w:i/>
          <w:iCs/>
          <w:spacing w:val="0"/>
          <w:kern w:val="0"/>
          <w:sz w:val="20"/>
          <w:rtl/>
        </w:rPr>
        <w:t>ه</w:t>
      </w:r>
      <w:r w:rsidRPr="008655A1">
        <w:rPr>
          <w:rFonts w:hint="cs"/>
          <w:i/>
          <w:iCs/>
          <w:spacing w:val="0"/>
          <w:kern w:val="0"/>
          <w:sz w:val="20"/>
          <w:rtl/>
        </w:rPr>
        <w:t xml:space="preserve"> ضحية</w:t>
      </w:r>
      <w:r w:rsidRPr="008655A1">
        <w:rPr>
          <w:rFonts w:hint="cs"/>
          <w:spacing w:val="0"/>
          <w:kern w:val="0"/>
          <w:sz w:val="20"/>
          <w:rtl/>
        </w:rPr>
        <w:t>:</w:t>
      </w:r>
      <w:r w:rsidRPr="008655A1">
        <w:rPr>
          <w:spacing w:val="0"/>
          <w:kern w:val="0"/>
          <w:sz w:val="20"/>
          <w:rtl/>
        </w:rPr>
        <w:tab/>
      </w:r>
      <w:r w:rsidRPr="008655A1">
        <w:rPr>
          <w:rFonts w:hint="cs"/>
          <w:spacing w:val="0"/>
          <w:kern w:val="0"/>
          <w:sz w:val="20"/>
          <w:rtl/>
        </w:rPr>
        <w:t>أصحاب الشكوى</w:t>
      </w:r>
    </w:p>
    <w:p w:rsidR="008655A1" w:rsidRPr="008655A1" w:rsidRDefault="008655A1" w:rsidP="008655A1">
      <w:pPr>
        <w:pStyle w:val="SingleTxtGA"/>
        <w:tabs>
          <w:tab w:val="clear" w:pos="1928"/>
        </w:tabs>
        <w:ind w:left="4598" w:hanging="2670"/>
        <w:jc w:val="lowKashida"/>
        <w:rPr>
          <w:spacing w:val="0"/>
          <w:kern w:val="0"/>
          <w:sz w:val="20"/>
        </w:rPr>
      </w:pPr>
      <w:r w:rsidRPr="008655A1">
        <w:rPr>
          <w:rFonts w:hint="cs"/>
          <w:i/>
          <w:iCs/>
          <w:spacing w:val="0"/>
          <w:kern w:val="0"/>
          <w:sz w:val="20"/>
          <w:rtl/>
        </w:rPr>
        <w:t>الدولة الطرف</w:t>
      </w:r>
      <w:r w:rsidRPr="008655A1">
        <w:rPr>
          <w:rFonts w:hint="cs"/>
          <w:spacing w:val="0"/>
          <w:kern w:val="0"/>
          <w:sz w:val="20"/>
          <w:rtl/>
        </w:rPr>
        <w:t>:</w:t>
      </w:r>
      <w:r w:rsidRPr="008655A1">
        <w:rPr>
          <w:spacing w:val="0"/>
          <w:kern w:val="0"/>
          <w:sz w:val="20"/>
          <w:rtl/>
        </w:rPr>
        <w:tab/>
      </w:r>
      <w:r w:rsidRPr="008655A1">
        <w:rPr>
          <w:rFonts w:hint="cs"/>
          <w:spacing w:val="0"/>
          <w:kern w:val="0"/>
          <w:sz w:val="20"/>
          <w:rtl/>
        </w:rPr>
        <w:tab/>
      </w:r>
      <w:r w:rsidRPr="008655A1">
        <w:rPr>
          <w:spacing w:val="0"/>
          <w:kern w:val="0"/>
          <w:sz w:val="20"/>
          <w:rtl/>
        </w:rPr>
        <w:tab/>
      </w:r>
      <w:r w:rsidRPr="008655A1">
        <w:rPr>
          <w:rFonts w:hint="cs"/>
          <w:spacing w:val="0"/>
          <w:kern w:val="0"/>
          <w:sz w:val="20"/>
          <w:rtl/>
        </w:rPr>
        <w:t>السويد</w:t>
      </w:r>
    </w:p>
    <w:p w:rsidR="008655A1" w:rsidRPr="008655A1" w:rsidRDefault="008655A1" w:rsidP="008655A1">
      <w:pPr>
        <w:pStyle w:val="SingleTxtGA"/>
        <w:tabs>
          <w:tab w:val="clear" w:pos="1928"/>
        </w:tabs>
        <w:ind w:left="4598" w:hanging="2670"/>
        <w:jc w:val="lowKashida"/>
        <w:rPr>
          <w:spacing w:val="0"/>
          <w:kern w:val="0"/>
          <w:sz w:val="20"/>
          <w:rtl/>
        </w:rPr>
      </w:pPr>
      <w:r w:rsidRPr="008655A1">
        <w:rPr>
          <w:rFonts w:hint="cs"/>
          <w:i/>
          <w:iCs/>
          <w:spacing w:val="0"/>
          <w:kern w:val="0"/>
          <w:sz w:val="20"/>
          <w:rtl/>
        </w:rPr>
        <w:t>تاريخ تقديم الشكوى</w:t>
      </w:r>
      <w:r w:rsidRPr="008655A1">
        <w:rPr>
          <w:rFonts w:hint="cs"/>
          <w:spacing w:val="0"/>
          <w:kern w:val="0"/>
          <w:sz w:val="20"/>
          <w:rtl/>
        </w:rPr>
        <w:t>:</w:t>
      </w:r>
      <w:r w:rsidRPr="008655A1">
        <w:rPr>
          <w:spacing w:val="0"/>
          <w:kern w:val="0"/>
          <w:sz w:val="20"/>
          <w:rtl/>
        </w:rPr>
        <w:tab/>
      </w:r>
      <w:r w:rsidRPr="008655A1">
        <w:rPr>
          <w:rFonts w:hint="cs"/>
          <w:spacing w:val="0"/>
          <w:kern w:val="0"/>
          <w:sz w:val="20"/>
          <w:rtl/>
        </w:rPr>
        <w:tab/>
        <w:t>7 تموز/يوليه 2009 (تاريخ الرسالة الأولى)</w:t>
      </w:r>
    </w:p>
    <w:p w:rsidR="008655A1" w:rsidRPr="008655A1" w:rsidRDefault="008655A1" w:rsidP="008655A1">
      <w:pPr>
        <w:pStyle w:val="SingleTxtGA"/>
        <w:jc w:val="lowKashida"/>
        <w:rPr>
          <w:spacing w:val="0"/>
          <w:kern w:val="0"/>
          <w:sz w:val="20"/>
          <w:rtl/>
        </w:rPr>
      </w:pPr>
      <w:r w:rsidRPr="008655A1">
        <w:rPr>
          <w:rFonts w:hint="cs"/>
          <w:i/>
          <w:iCs/>
          <w:spacing w:val="0"/>
          <w:kern w:val="0"/>
          <w:sz w:val="20"/>
          <w:rtl/>
        </w:rPr>
        <w:tab/>
      </w:r>
      <w:r w:rsidRPr="008655A1">
        <w:rPr>
          <w:i/>
          <w:iCs/>
          <w:spacing w:val="0"/>
          <w:kern w:val="0"/>
          <w:sz w:val="20"/>
          <w:rtl/>
        </w:rPr>
        <w:t>إن لجنة مناهضة التعذيب</w:t>
      </w:r>
      <w:r w:rsidRPr="008655A1">
        <w:rPr>
          <w:spacing w:val="0"/>
          <w:kern w:val="0"/>
          <w:sz w:val="20"/>
          <w:rtl/>
        </w:rPr>
        <w:t xml:space="preserve"> المنشأة بموجب المادة 17 من اتفاقية مناهضة التعذيب وغيره من ضروب المعاملة أو العقوبة القاسية أو اللاإنسانية أو المهينة،</w:t>
      </w:r>
    </w:p>
    <w:p w:rsidR="008655A1" w:rsidRPr="008655A1" w:rsidRDefault="008655A1" w:rsidP="008655A1">
      <w:pPr>
        <w:pStyle w:val="SingleTxtGA"/>
        <w:jc w:val="lowKashida"/>
        <w:rPr>
          <w:spacing w:val="0"/>
          <w:kern w:val="0"/>
          <w:sz w:val="20"/>
        </w:rPr>
      </w:pPr>
      <w:r w:rsidRPr="008655A1">
        <w:rPr>
          <w:rFonts w:hint="cs"/>
          <w:i/>
          <w:iCs/>
          <w:spacing w:val="0"/>
          <w:kern w:val="0"/>
          <w:sz w:val="20"/>
          <w:rtl/>
        </w:rPr>
        <w:tab/>
      </w:r>
      <w:r w:rsidRPr="008655A1">
        <w:rPr>
          <w:i/>
          <w:iCs/>
          <w:spacing w:val="0"/>
          <w:kern w:val="0"/>
          <w:sz w:val="20"/>
          <w:rtl/>
        </w:rPr>
        <w:t>وقد اجتمعت</w:t>
      </w:r>
      <w:r w:rsidRPr="008655A1">
        <w:rPr>
          <w:spacing w:val="0"/>
          <w:kern w:val="0"/>
          <w:sz w:val="20"/>
          <w:rtl/>
        </w:rPr>
        <w:t xml:space="preserve"> في </w:t>
      </w:r>
      <w:r w:rsidRPr="008655A1">
        <w:rPr>
          <w:rFonts w:hint="cs"/>
          <w:spacing w:val="0"/>
          <w:kern w:val="0"/>
          <w:sz w:val="20"/>
          <w:rtl/>
        </w:rPr>
        <w:t>23</w:t>
      </w:r>
      <w:r w:rsidRPr="008655A1">
        <w:rPr>
          <w:spacing w:val="0"/>
          <w:kern w:val="0"/>
          <w:sz w:val="20"/>
          <w:rtl/>
        </w:rPr>
        <w:t xml:space="preserve"> </w:t>
      </w:r>
      <w:r w:rsidRPr="008655A1">
        <w:rPr>
          <w:rFonts w:hint="cs"/>
          <w:spacing w:val="0"/>
          <w:kern w:val="0"/>
          <w:sz w:val="20"/>
          <w:rtl/>
        </w:rPr>
        <w:t>أيار</w:t>
      </w:r>
      <w:r w:rsidRPr="008655A1">
        <w:rPr>
          <w:spacing w:val="0"/>
          <w:kern w:val="0"/>
          <w:sz w:val="20"/>
          <w:rtl/>
        </w:rPr>
        <w:t>/</w:t>
      </w:r>
      <w:r w:rsidRPr="008655A1">
        <w:rPr>
          <w:rFonts w:hint="cs"/>
          <w:spacing w:val="0"/>
          <w:kern w:val="0"/>
          <w:sz w:val="20"/>
          <w:rtl/>
        </w:rPr>
        <w:t>مايو 2012</w:t>
      </w:r>
      <w:r w:rsidRPr="008655A1">
        <w:rPr>
          <w:spacing w:val="0"/>
          <w:kern w:val="0"/>
          <w:sz w:val="20"/>
          <w:rtl/>
        </w:rPr>
        <w:t xml:space="preserve">، </w:t>
      </w:r>
    </w:p>
    <w:p w:rsidR="008655A1" w:rsidRPr="008655A1" w:rsidRDefault="008655A1" w:rsidP="008655A1">
      <w:pPr>
        <w:pStyle w:val="SingleTxtGA"/>
        <w:jc w:val="lowKashida"/>
        <w:rPr>
          <w:spacing w:val="0"/>
          <w:kern w:val="0"/>
          <w:sz w:val="20"/>
        </w:rPr>
      </w:pPr>
      <w:r w:rsidRPr="008655A1">
        <w:rPr>
          <w:rFonts w:hint="cs"/>
          <w:i/>
          <w:iCs/>
          <w:spacing w:val="0"/>
          <w:kern w:val="0"/>
          <w:sz w:val="20"/>
          <w:rtl/>
        </w:rPr>
        <w:tab/>
      </w:r>
      <w:r w:rsidRPr="008655A1">
        <w:rPr>
          <w:i/>
          <w:iCs/>
          <w:spacing w:val="0"/>
          <w:kern w:val="0"/>
          <w:sz w:val="20"/>
          <w:rtl/>
        </w:rPr>
        <w:t>وقد اختتمت</w:t>
      </w:r>
      <w:r w:rsidRPr="008655A1">
        <w:rPr>
          <w:spacing w:val="0"/>
          <w:kern w:val="0"/>
          <w:sz w:val="20"/>
          <w:rtl/>
        </w:rPr>
        <w:t xml:space="preserve"> نظرها في البلاغ رقم </w:t>
      </w:r>
      <w:r w:rsidRPr="008655A1">
        <w:rPr>
          <w:rFonts w:hint="cs"/>
          <w:spacing w:val="0"/>
          <w:kern w:val="0"/>
          <w:sz w:val="20"/>
          <w:rtl/>
        </w:rPr>
        <w:t>391</w:t>
      </w:r>
      <w:r w:rsidRPr="008655A1">
        <w:rPr>
          <w:spacing w:val="0"/>
          <w:kern w:val="0"/>
          <w:sz w:val="20"/>
          <w:rtl/>
        </w:rPr>
        <w:t>/</w:t>
      </w:r>
      <w:r w:rsidRPr="008655A1">
        <w:rPr>
          <w:rFonts w:hint="cs"/>
          <w:spacing w:val="0"/>
          <w:kern w:val="0"/>
          <w:sz w:val="20"/>
          <w:rtl/>
        </w:rPr>
        <w:t>2009</w:t>
      </w:r>
      <w:r w:rsidRPr="008655A1">
        <w:rPr>
          <w:spacing w:val="0"/>
          <w:kern w:val="0"/>
          <w:sz w:val="20"/>
          <w:rtl/>
        </w:rPr>
        <w:t xml:space="preserve">، المقدم إلى لجنة مناهضة التعذيب </w:t>
      </w:r>
      <w:r w:rsidRPr="008655A1">
        <w:rPr>
          <w:rFonts w:hint="cs"/>
          <w:spacing w:val="0"/>
          <w:kern w:val="0"/>
          <w:sz w:val="20"/>
          <w:rtl/>
        </w:rPr>
        <w:t xml:space="preserve">من السيد بير أندرسون </w:t>
      </w:r>
      <w:r w:rsidRPr="008655A1">
        <w:rPr>
          <w:spacing w:val="0"/>
          <w:kern w:val="0"/>
          <w:sz w:val="20"/>
          <w:rtl/>
        </w:rPr>
        <w:t xml:space="preserve">نيابة عن </w:t>
      </w:r>
      <w:r w:rsidRPr="008655A1">
        <w:rPr>
          <w:rFonts w:hint="cs"/>
          <w:spacing w:val="0"/>
          <w:kern w:val="0"/>
          <w:sz w:val="20"/>
          <w:rtl/>
        </w:rPr>
        <w:t>م. أ. م. ع. وآخرين</w:t>
      </w:r>
      <w:r w:rsidRPr="008655A1">
        <w:rPr>
          <w:spacing w:val="0"/>
          <w:kern w:val="0"/>
          <w:sz w:val="20"/>
          <w:rtl/>
        </w:rPr>
        <w:t xml:space="preserve"> بموجب المادة 22 من اتفاقية مناهضة التعذيب وغيره من ضروب المعاملة أو العقوبة القاسية أو اللاإنسانية أو المهينة،</w:t>
      </w:r>
    </w:p>
    <w:p w:rsidR="008655A1" w:rsidRPr="008655A1" w:rsidRDefault="008655A1" w:rsidP="008655A1">
      <w:pPr>
        <w:pStyle w:val="SingleTxtGA"/>
        <w:jc w:val="lowKashida"/>
        <w:rPr>
          <w:rFonts w:hint="cs"/>
          <w:spacing w:val="0"/>
          <w:kern w:val="0"/>
          <w:sz w:val="20"/>
          <w:rtl/>
        </w:rPr>
      </w:pPr>
      <w:r w:rsidRPr="008655A1">
        <w:rPr>
          <w:rFonts w:hint="cs"/>
          <w:i/>
          <w:iCs/>
          <w:spacing w:val="0"/>
          <w:kern w:val="0"/>
          <w:sz w:val="20"/>
          <w:rtl/>
        </w:rPr>
        <w:tab/>
      </w:r>
      <w:r w:rsidRPr="008655A1">
        <w:rPr>
          <w:i/>
          <w:iCs/>
          <w:spacing w:val="0"/>
          <w:kern w:val="0"/>
          <w:sz w:val="20"/>
          <w:rtl/>
        </w:rPr>
        <w:t xml:space="preserve">وقد </w:t>
      </w:r>
      <w:r w:rsidRPr="008655A1">
        <w:rPr>
          <w:rFonts w:hint="cs"/>
          <w:i/>
          <w:iCs/>
          <w:spacing w:val="0"/>
          <w:kern w:val="0"/>
          <w:sz w:val="20"/>
          <w:rtl/>
        </w:rPr>
        <w:t>وضعت</w:t>
      </w:r>
      <w:r w:rsidRPr="008655A1">
        <w:rPr>
          <w:i/>
          <w:iCs/>
          <w:spacing w:val="0"/>
          <w:kern w:val="0"/>
          <w:sz w:val="20"/>
          <w:rtl/>
        </w:rPr>
        <w:t xml:space="preserve"> في </w:t>
      </w:r>
      <w:r w:rsidRPr="008655A1">
        <w:rPr>
          <w:rFonts w:hint="cs"/>
          <w:i/>
          <w:iCs/>
          <w:spacing w:val="0"/>
          <w:kern w:val="0"/>
          <w:sz w:val="20"/>
          <w:rtl/>
        </w:rPr>
        <w:t xml:space="preserve">اعتبارها </w:t>
      </w:r>
      <w:r w:rsidRPr="008655A1">
        <w:rPr>
          <w:spacing w:val="0"/>
          <w:kern w:val="0"/>
          <w:sz w:val="20"/>
          <w:rtl/>
        </w:rPr>
        <w:t xml:space="preserve">جميع المعلومات التي أتاحها لها </w:t>
      </w:r>
      <w:r w:rsidRPr="008655A1">
        <w:rPr>
          <w:rFonts w:hint="cs"/>
          <w:spacing w:val="0"/>
          <w:kern w:val="0"/>
          <w:sz w:val="20"/>
          <w:rtl/>
        </w:rPr>
        <w:t>أصحاب</w:t>
      </w:r>
      <w:r w:rsidRPr="008655A1">
        <w:rPr>
          <w:spacing w:val="0"/>
          <w:kern w:val="0"/>
          <w:sz w:val="20"/>
          <w:rtl/>
        </w:rPr>
        <w:t xml:space="preserve"> </w:t>
      </w:r>
      <w:r w:rsidRPr="008655A1">
        <w:rPr>
          <w:rFonts w:hint="cs"/>
          <w:spacing w:val="0"/>
          <w:kern w:val="0"/>
          <w:sz w:val="20"/>
          <w:rtl/>
        </w:rPr>
        <w:t>الشكوى</w:t>
      </w:r>
      <w:r w:rsidRPr="008655A1">
        <w:rPr>
          <w:spacing w:val="0"/>
          <w:kern w:val="0"/>
          <w:sz w:val="20"/>
          <w:rtl/>
        </w:rPr>
        <w:t xml:space="preserve"> ومحاميه</w:t>
      </w:r>
      <w:r w:rsidRPr="008655A1">
        <w:rPr>
          <w:rFonts w:hint="cs"/>
          <w:spacing w:val="0"/>
          <w:kern w:val="0"/>
          <w:sz w:val="20"/>
          <w:rtl/>
        </w:rPr>
        <w:t>م</w:t>
      </w:r>
      <w:r w:rsidRPr="008655A1">
        <w:rPr>
          <w:spacing w:val="0"/>
          <w:kern w:val="0"/>
          <w:sz w:val="20"/>
          <w:rtl/>
        </w:rPr>
        <w:t xml:space="preserve"> والدولة الطرف،</w:t>
      </w:r>
    </w:p>
    <w:p w:rsidR="008655A1" w:rsidRPr="008655A1" w:rsidRDefault="008655A1" w:rsidP="008655A1">
      <w:pPr>
        <w:pStyle w:val="SingleTxtGA"/>
        <w:jc w:val="lowKashida"/>
        <w:rPr>
          <w:rFonts w:hint="cs"/>
          <w:spacing w:val="0"/>
          <w:kern w:val="0"/>
          <w:sz w:val="20"/>
          <w:rtl/>
        </w:rPr>
      </w:pPr>
      <w:r w:rsidRPr="008655A1">
        <w:rPr>
          <w:rFonts w:hint="cs"/>
          <w:i/>
          <w:iCs/>
          <w:spacing w:val="0"/>
          <w:kern w:val="0"/>
          <w:sz w:val="20"/>
          <w:rtl/>
        </w:rPr>
        <w:tab/>
      </w:r>
      <w:r w:rsidRPr="008655A1">
        <w:rPr>
          <w:i/>
          <w:iCs/>
          <w:spacing w:val="0"/>
          <w:kern w:val="0"/>
          <w:sz w:val="20"/>
          <w:rtl/>
        </w:rPr>
        <w:t>تعتمد</w:t>
      </w:r>
      <w:r w:rsidRPr="008655A1">
        <w:rPr>
          <w:spacing w:val="0"/>
          <w:kern w:val="0"/>
          <w:sz w:val="20"/>
          <w:rtl/>
        </w:rPr>
        <w:t xml:space="preserve"> </w:t>
      </w:r>
      <w:r w:rsidRPr="008655A1">
        <w:rPr>
          <w:rFonts w:hint="cs"/>
          <w:spacing w:val="0"/>
          <w:kern w:val="0"/>
          <w:sz w:val="20"/>
          <w:rtl/>
        </w:rPr>
        <w:t>ما يلي:</w:t>
      </w:r>
    </w:p>
    <w:p w:rsidR="008655A1" w:rsidRPr="008655A1" w:rsidRDefault="008655A1" w:rsidP="008655A1">
      <w:pPr>
        <w:pStyle w:val="H1GA"/>
        <w:jc w:val="lowKashida"/>
        <w:rPr>
          <w:spacing w:val="0"/>
          <w:kern w:val="0"/>
          <w:sz w:val="20"/>
          <w:rtl/>
        </w:rPr>
      </w:pPr>
      <w:r w:rsidRPr="008655A1">
        <w:rPr>
          <w:spacing w:val="0"/>
          <w:kern w:val="0"/>
          <w:sz w:val="20"/>
          <w:rtl/>
        </w:rPr>
        <w:tab/>
      </w:r>
      <w:r w:rsidRPr="008655A1">
        <w:rPr>
          <w:rFonts w:hint="cs"/>
          <w:spacing w:val="0"/>
          <w:kern w:val="0"/>
          <w:sz w:val="20"/>
          <w:rtl/>
        </w:rPr>
        <w:tab/>
        <w:t xml:space="preserve">قرار </w:t>
      </w:r>
      <w:r w:rsidRPr="008655A1">
        <w:rPr>
          <w:spacing w:val="0"/>
          <w:kern w:val="0"/>
          <w:sz w:val="20"/>
          <w:rtl/>
        </w:rPr>
        <w:t>بموجب الفقرة 7 من المادة 22 من اتفاقية مناهضة التعذيب</w:t>
      </w:r>
    </w:p>
    <w:p w:rsidR="008655A1" w:rsidRPr="007C1878" w:rsidRDefault="008655A1" w:rsidP="007C1878">
      <w:pPr>
        <w:pStyle w:val="SingleTxtGA"/>
        <w:jc w:val="lowKashida"/>
        <w:rPr>
          <w:spacing w:val="-2"/>
          <w:kern w:val="0"/>
          <w:sz w:val="20"/>
          <w:rtl/>
        </w:rPr>
      </w:pPr>
      <w:r w:rsidRPr="007C1878">
        <w:rPr>
          <w:spacing w:val="-2"/>
          <w:kern w:val="0"/>
          <w:sz w:val="20"/>
          <w:rtl/>
        </w:rPr>
        <w:t>1-1</w:t>
      </w:r>
      <w:r w:rsidRPr="007C1878">
        <w:rPr>
          <w:rFonts w:hint="cs"/>
          <w:spacing w:val="-2"/>
          <w:kern w:val="0"/>
          <w:sz w:val="20"/>
          <w:rtl/>
        </w:rPr>
        <w:tab/>
      </w:r>
      <w:r w:rsidRPr="007C1878">
        <w:rPr>
          <w:spacing w:val="-2"/>
          <w:kern w:val="0"/>
          <w:sz w:val="20"/>
          <w:rtl/>
        </w:rPr>
        <w:t xml:space="preserve">أصحاب </w:t>
      </w:r>
      <w:r w:rsidRPr="007C1878">
        <w:rPr>
          <w:rFonts w:hint="cs"/>
          <w:spacing w:val="-2"/>
          <w:kern w:val="0"/>
          <w:sz w:val="20"/>
          <w:rtl/>
        </w:rPr>
        <w:t>الشكوى</w:t>
      </w:r>
      <w:r w:rsidRPr="007C1878">
        <w:rPr>
          <w:spacing w:val="-2"/>
          <w:kern w:val="0"/>
          <w:sz w:val="20"/>
          <w:rtl/>
        </w:rPr>
        <w:t xml:space="preserve"> هم م.</w:t>
      </w:r>
      <w:r w:rsidRPr="007C1878">
        <w:rPr>
          <w:rFonts w:hint="cs"/>
          <w:spacing w:val="-2"/>
          <w:kern w:val="0"/>
          <w:sz w:val="20"/>
          <w:rtl/>
        </w:rPr>
        <w:t xml:space="preserve"> </w:t>
      </w:r>
      <w:r w:rsidRPr="007C1878">
        <w:rPr>
          <w:spacing w:val="-2"/>
          <w:kern w:val="0"/>
          <w:sz w:val="20"/>
          <w:rtl/>
        </w:rPr>
        <w:t>أ.</w:t>
      </w:r>
      <w:r w:rsidRPr="007C1878">
        <w:rPr>
          <w:rFonts w:hint="cs"/>
          <w:spacing w:val="-2"/>
          <w:kern w:val="0"/>
          <w:sz w:val="20"/>
          <w:rtl/>
        </w:rPr>
        <w:t xml:space="preserve"> </w:t>
      </w:r>
      <w:r w:rsidRPr="007C1878">
        <w:rPr>
          <w:spacing w:val="-2"/>
          <w:kern w:val="0"/>
          <w:sz w:val="20"/>
          <w:rtl/>
        </w:rPr>
        <w:t>م.</w:t>
      </w:r>
      <w:r w:rsidRPr="007C1878">
        <w:rPr>
          <w:rFonts w:hint="cs"/>
          <w:spacing w:val="-2"/>
          <w:kern w:val="0"/>
          <w:sz w:val="20"/>
          <w:rtl/>
        </w:rPr>
        <w:t xml:space="preserve"> ع</w:t>
      </w:r>
      <w:r w:rsidRPr="007C1878">
        <w:rPr>
          <w:spacing w:val="-2"/>
          <w:kern w:val="0"/>
          <w:sz w:val="20"/>
          <w:rtl/>
        </w:rPr>
        <w:t>. (من مواليد 25 حزيران/يونيه 1956)، وزوجته س.</w:t>
      </w:r>
      <w:r w:rsidRPr="007C1878">
        <w:rPr>
          <w:rFonts w:hint="cs"/>
          <w:spacing w:val="-2"/>
          <w:kern w:val="0"/>
          <w:sz w:val="20"/>
          <w:rtl/>
        </w:rPr>
        <w:t xml:space="preserve"> </w:t>
      </w:r>
      <w:r w:rsidRPr="007C1878">
        <w:rPr>
          <w:spacing w:val="-2"/>
          <w:kern w:val="0"/>
          <w:sz w:val="20"/>
          <w:rtl/>
        </w:rPr>
        <w:t>س.</w:t>
      </w:r>
      <w:r w:rsidRPr="007C1878">
        <w:rPr>
          <w:rFonts w:hint="cs"/>
          <w:spacing w:val="-2"/>
          <w:kern w:val="0"/>
          <w:sz w:val="20"/>
          <w:rtl/>
        </w:rPr>
        <w:t xml:space="preserve"> </w:t>
      </w:r>
      <w:r w:rsidRPr="007C1878">
        <w:rPr>
          <w:spacing w:val="-2"/>
          <w:kern w:val="0"/>
          <w:sz w:val="20"/>
          <w:rtl/>
        </w:rPr>
        <w:t>ي. (من مواليد 14 نيسان/أبريل 1960)، وأبناؤهما الستة، ن.</w:t>
      </w:r>
      <w:r w:rsidRPr="007C1878">
        <w:rPr>
          <w:rFonts w:hint="cs"/>
          <w:spacing w:val="-2"/>
          <w:kern w:val="0"/>
          <w:sz w:val="20"/>
          <w:rtl/>
        </w:rPr>
        <w:t xml:space="preserve"> </w:t>
      </w:r>
      <w:r w:rsidRPr="007C1878">
        <w:rPr>
          <w:spacing w:val="-2"/>
          <w:kern w:val="0"/>
          <w:sz w:val="20"/>
          <w:rtl/>
        </w:rPr>
        <w:t>م.</w:t>
      </w:r>
      <w:r w:rsidRPr="007C1878">
        <w:rPr>
          <w:rFonts w:hint="cs"/>
          <w:spacing w:val="-2"/>
          <w:kern w:val="0"/>
          <w:sz w:val="20"/>
          <w:rtl/>
        </w:rPr>
        <w:t xml:space="preserve"> </w:t>
      </w:r>
      <w:r w:rsidRPr="007C1878">
        <w:rPr>
          <w:spacing w:val="-2"/>
          <w:kern w:val="0"/>
          <w:sz w:val="20"/>
          <w:rtl/>
        </w:rPr>
        <w:t>أ.</w:t>
      </w:r>
      <w:r w:rsidRPr="007C1878">
        <w:rPr>
          <w:rFonts w:hint="cs"/>
          <w:spacing w:val="-2"/>
          <w:kern w:val="0"/>
          <w:sz w:val="20"/>
          <w:rtl/>
        </w:rPr>
        <w:t xml:space="preserve"> </w:t>
      </w:r>
      <w:r w:rsidRPr="007C1878">
        <w:rPr>
          <w:spacing w:val="-2"/>
          <w:kern w:val="0"/>
          <w:sz w:val="20"/>
          <w:rtl/>
        </w:rPr>
        <w:t>م.</w:t>
      </w:r>
      <w:r w:rsidRPr="007C1878">
        <w:rPr>
          <w:rFonts w:hint="cs"/>
          <w:spacing w:val="-2"/>
          <w:kern w:val="0"/>
          <w:sz w:val="20"/>
          <w:rtl/>
        </w:rPr>
        <w:t xml:space="preserve"> ع</w:t>
      </w:r>
      <w:r w:rsidRPr="007C1878">
        <w:rPr>
          <w:spacing w:val="-2"/>
          <w:kern w:val="0"/>
          <w:sz w:val="20"/>
          <w:rtl/>
        </w:rPr>
        <w:t>.</w:t>
      </w:r>
      <w:r w:rsidRPr="008655A1">
        <w:rPr>
          <w:spacing w:val="0"/>
          <w:kern w:val="0"/>
          <w:sz w:val="20"/>
          <w:rtl/>
        </w:rPr>
        <w:t xml:space="preserve"> (15 تشرين الأول/أكتوبر 1984)، أ</w:t>
      </w:r>
      <w:r w:rsidRPr="008655A1">
        <w:rPr>
          <w:rFonts w:hint="cs"/>
          <w:spacing w:val="0"/>
          <w:kern w:val="0"/>
          <w:sz w:val="20"/>
          <w:rtl/>
        </w:rPr>
        <w:t>د</w:t>
      </w:r>
      <w:r w:rsidRPr="008655A1">
        <w:rPr>
          <w:spacing w:val="0"/>
          <w:kern w:val="0"/>
          <w:sz w:val="20"/>
          <w:rtl/>
        </w:rPr>
        <w:t>.</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(من مواليد 23 آب/أغسطس 1987)،</w:t>
      </w:r>
      <w:r w:rsidR="007C1878">
        <w:rPr>
          <w:rFonts w:hint="cs"/>
          <w:spacing w:val="0"/>
          <w:kern w:val="0"/>
          <w:sz w:val="20"/>
          <w:rtl/>
        </w:rPr>
        <w:t xml:space="preserve"> </w:t>
      </w:r>
      <w:r w:rsidRPr="007C1878">
        <w:rPr>
          <w:rFonts w:hint="cs"/>
          <w:spacing w:val="-2"/>
          <w:kern w:val="0"/>
          <w:sz w:val="20"/>
          <w:rtl/>
        </w:rPr>
        <w:t>ش</w:t>
      </w:r>
      <w:r w:rsidRPr="007C1878">
        <w:rPr>
          <w:spacing w:val="-2"/>
          <w:kern w:val="0"/>
          <w:sz w:val="20"/>
          <w:rtl/>
        </w:rPr>
        <w:t>.</w:t>
      </w:r>
      <w:r w:rsidRPr="007C1878">
        <w:rPr>
          <w:rFonts w:hint="cs"/>
          <w:spacing w:val="-2"/>
          <w:kern w:val="0"/>
          <w:sz w:val="20"/>
          <w:rtl/>
        </w:rPr>
        <w:t xml:space="preserve"> </w:t>
      </w:r>
      <w:r w:rsidRPr="007C1878">
        <w:rPr>
          <w:spacing w:val="-2"/>
          <w:kern w:val="0"/>
          <w:sz w:val="20"/>
          <w:rtl/>
        </w:rPr>
        <w:t>م.</w:t>
      </w:r>
      <w:r w:rsidRPr="007C1878">
        <w:rPr>
          <w:rFonts w:hint="cs"/>
          <w:spacing w:val="-2"/>
          <w:kern w:val="0"/>
          <w:sz w:val="20"/>
          <w:rtl/>
        </w:rPr>
        <w:t xml:space="preserve"> </w:t>
      </w:r>
      <w:r w:rsidRPr="007C1878">
        <w:rPr>
          <w:spacing w:val="-2"/>
          <w:kern w:val="0"/>
          <w:sz w:val="20"/>
          <w:rtl/>
        </w:rPr>
        <w:t>أ.</w:t>
      </w:r>
      <w:r w:rsidRPr="007C1878">
        <w:rPr>
          <w:rFonts w:hint="cs"/>
          <w:spacing w:val="-2"/>
          <w:kern w:val="0"/>
          <w:sz w:val="20"/>
          <w:rtl/>
        </w:rPr>
        <w:t xml:space="preserve"> </w:t>
      </w:r>
      <w:r w:rsidRPr="007C1878">
        <w:rPr>
          <w:spacing w:val="-2"/>
          <w:kern w:val="0"/>
          <w:sz w:val="20"/>
          <w:rtl/>
        </w:rPr>
        <w:t>م.</w:t>
      </w:r>
      <w:r w:rsidRPr="007C1878">
        <w:rPr>
          <w:rFonts w:hint="cs"/>
          <w:spacing w:val="-2"/>
          <w:kern w:val="0"/>
          <w:sz w:val="20"/>
          <w:rtl/>
        </w:rPr>
        <w:t xml:space="preserve"> ع</w:t>
      </w:r>
      <w:r w:rsidRPr="007C1878">
        <w:rPr>
          <w:spacing w:val="-2"/>
          <w:kern w:val="0"/>
          <w:sz w:val="20"/>
          <w:rtl/>
        </w:rPr>
        <w:t xml:space="preserve">. (من مواليد 16 شباط/فبراير 1990)، </w:t>
      </w:r>
      <w:r w:rsidRPr="007C1878">
        <w:rPr>
          <w:rFonts w:hint="cs"/>
          <w:spacing w:val="-2"/>
          <w:kern w:val="0"/>
          <w:sz w:val="20"/>
          <w:rtl/>
        </w:rPr>
        <w:t>خ</w:t>
      </w:r>
      <w:r w:rsidRPr="007C1878">
        <w:rPr>
          <w:spacing w:val="-2"/>
          <w:kern w:val="0"/>
          <w:sz w:val="20"/>
          <w:rtl/>
        </w:rPr>
        <w:t>.</w:t>
      </w:r>
      <w:r w:rsidRPr="007C1878">
        <w:rPr>
          <w:rFonts w:hint="cs"/>
          <w:spacing w:val="-2"/>
          <w:kern w:val="0"/>
          <w:sz w:val="20"/>
          <w:rtl/>
        </w:rPr>
        <w:t xml:space="preserve"> </w:t>
      </w:r>
      <w:r w:rsidRPr="007C1878">
        <w:rPr>
          <w:spacing w:val="-2"/>
          <w:kern w:val="0"/>
          <w:sz w:val="20"/>
          <w:rtl/>
        </w:rPr>
        <w:t>م.</w:t>
      </w:r>
      <w:r w:rsidRPr="007C1878">
        <w:rPr>
          <w:rFonts w:hint="cs"/>
          <w:spacing w:val="-2"/>
          <w:kern w:val="0"/>
          <w:sz w:val="20"/>
          <w:rtl/>
        </w:rPr>
        <w:t xml:space="preserve"> </w:t>
      </w:r>
      <w:r w:rsidRPr="007C1878">
        <w:rPr>
          <w:spacing w:val="-2"/>
          <w:kern w:val="0"/>
          <w:sz w:val="20"/>
          <w:rtl/>
        </w:rPr>
        <w:t>أ.</w:t>
      </w:r>
      <w:r w:rsidRPr="007C1878">
        <w:rPr>
          <w:rFonts w:hint="cs"/>
          <w:spacing w:val="-2"/>
          <w:kern w:val="0"/>
          <w:sz w:val="20"/>
          <w:rtl/>
        </w:rPr>
        <w:t xml:space="preserve"> </w:t>
      </w:r>
      <w:r w:rsidRPr="007C1878">
        <w:rPr>
          <w:spacing w:val="-2"/>
          <w:kern w:val="0"/>
          <w:sz w:val="20"/>
          <w:rtl/>
        </w:rPr>
        <w:t>م.</w:t>
      </w:r>
      <w:r w:rsidRPr="007C1878">
        <w:rPr>
          <w:rFonts w:hint="cs"/>
          <w:spacing w:val="-2"/>
          <w:kern w:val="0"/>
          <w:sz w:val="20"/>
          <w:rtl/>
        </w:rPr>
        <w:t xml:space="preserve"> ع.</w:t>
      </w:r>
      <w:r w:rsidRPr="007C1878">
        <w:rPr>
          <w:spacing w:val="-2"/>
          <w:kern w:val="0"/>
          <w:sz w:val="20"/>
          <w:rtl/>
        </w:rPr>
        <w:t xml:space="preserve"> (من مواليد 7 </w:t>
      </w:r>
      <w:r w:rsidRPr="007C1878">
        <w:rPr>
          <w:spacing w:val="-4"/>
          <w:kern w:val="0"/>
          <w:sz w:val="20"/>
          <w:rtl/>
        </w:rPr>
        <w:t>شباط/فبراير 1993)،</w:t>
      </w:r>
      <w:r w:rsidRPr="007C1878">
        <w:rPr>
          <w:rFonts w:hint="cs"/>
          <w:spacing w:val="-4"/>
          <w:kern w:val="0"/>
          <w:sz w:val="20"/>
          <w:rtl/>
        </w:rPr>
        <w:t xml:space="preserve"> ي</w:t>
      </w:r>
      <w:r w:rsidRPr="007C1878">
        <w:rPr>
          <w:spacing w:val="-4"/>
          <w:kern w:val="0"/>
          <w:sz w:val="20"/>
          <w:rtl/>
        </w:rPr>
        <w:t>.</w:t>
      </w:r>
      <w:r w:rsidRPr="007C1878">
        <w:rPr>
          <w:rFonts w:hint="cs"/>
          <w:spacing w:val="-4"/>
          <w:kern w:val="0"/>
          <w:sz w:val="20"/>
          <w:rtl/>
        </w:rPr>
        <w:t xml:space="preserve"> </w:t>
      </w:r>
      <w:r w:rsidRPr="007C1878">
        <w:rPr>
          <w:spacing w:val="-4"/>
          <w:kern w:val="0"/>
          <w:sz w:val="20"/>
          <w:rtl/>
        </w:rPr>
        <w:t>م.</w:t>
      </w:r>
      <w:r w:rsidRPr="007C1878">
        <w:rPr>
          <w:rFonts w:hint="cs"/>
          <w:spacing w:val="-4"/>
          <w:kern w:val="0"/>
          <w:sz w:val="20"/>
          <w:rtl/>
        </w:rPr>
        <w:t xml:space="preserve"> </w:t>
      </w:r>
      <w:r w:rsidRPr="007C1878">
        <w:rPr>
          <w:spacing w:val="-4"/>
          <w:kern w:val="0"/>
          <w:sz w:val="20"/>
          <w:rtl/>
        </w:rPr>
        <w:t>أ.</w:t>
      </w:r>
      <w:r w:rsidRPr="007C1878">
        <w:rPr>
          <w:rFonts w:hint="cs"/>
          <w:spacing w:val="-4"/>
          <w:kern w:val="0"/>
          <w:sz w:val="20"/>
          <w:rtl/>
        </w:rPr>
        <w:t xml:space="preserve"> </w:t>
      </w:r>
      <w:r w:rsidRPr="007C1878">
        <w:rPr>
          <w:spacing w:val="-4"/>
          <w:kern w:val="0"/>
          <w:sz w:val="20"/>
          <w:rtl/>
        </w:rPr>
        <w:t>م.</w:t>
      </w:r>
      <w:r w:rsidRPr="007C1878">
        <w:rPr>
          <w:rFonts w:hint="cs"/>
          <w:spacing w:val="-4"/>
          <w:kern w:val="0"/>
          <w:sz w:val="20"/>
          <w:rtl/>
        </w:rPr>
        <w:t xml:space="preserve"> ع</w:t>
      </w:r>
      <w:r w:rsidRPr="007C1878">
        <w:rPr>
          <w:spacing w:val="-4"/>
          <w:kern w:val="0"/>
          <w:sz w:val="20"/>
          <w:rtl/>
        </w:rPr>
        <w:t>. (من مواليد 6 حزيران/يونيه 1994) و</w:t>
      </w:r>
      <w:r w:rsidRPr="007C1878">
        <w:rPr>
          <w:rFonts w:hint="cs"/>
          <w:spacing w:val="-4"/>
          <w:kern w:val="0"/>
          <w:sz w:val="20"/>
          <w:rtl/>
        </w:rPr>
        <w:t>ع</w:t>
      </w:r>
      <w:r w:rsidRPr="007C1878">
        <w:rPr>
          <w:spacing w:val="-4"/>
          <w:kern w:val="0"/>
          <w:sz w:val="20"/>
          <w:rtl/>
        </w:rPr>
        <w:t>.</w:t>
      </w:r>
      <w:r w:rsidRPr="007C1878">
        <w:rPr>
          <w:rFonts w:hint="cs"/>
          <w:spacing w:val="-4"/>
          <w:kern w:val="0"/>
          <w:sz w:val="20"/>
          <w:rtl/>
        </w:rPr>
        <w:t xml:space="preserve"> </w:t>
      </w:r>
      <w:r w:rsidRPr="007C1878">
        <w:rPr>
          <w:spacing w:val="-4"/>
          <w:kern w:val="0"/>
          <w:sz w:val="20"/>
          <w:rtl/>
        </w:rPr>
        <w:t>م.</w:t>
      </w:r>
      <w:r w:rsidRPr="007C1878">
        <w:rPr>
          <w:rFonts w:hint="cs"/>
          <w:spacing w:val="-4"/>
          <w:kern w:val="0"/>
          <w:sz w:val="20"/>
          <w:rtl/>
        </w:rPr>
        <w:t xml:space="preserve"> </w:t>
      </w:r>
      <w:r w:rsidRPr="007C1878">
        <w:rPr>
          <w:spacing w:val="-4"/>
          <w:kern w:val="0"/>
          <w:sz w:val="20"/>
          <w:rtl/>
        </w:rPr>
        <w:t>أ.</w:t>
      </w:r>
      <w:r w:rsidRPr="007C1878">
        <w:rPr>
          <w:rFonts w:hint="cs"/>
          <w:spacing w:val="-4"/>
          <w:kern w:val="0"/>
          <w:sz w:val="20"/>
          <w:rtl/>
        </w:rPr>
        <w:t xml:space="preserve"> </w:t>
      </w:r>
      <w:r w:rsidRPr="007C1878">
        <w:rPr>
          <w:spacing w:val="-4"/>
          <w:kern w:val="0"/>
          <w:sz w:val="20"/>
          <w:rtl/>
        </w:rPr>
        <w:t>م.</w:t>
      </w:r>
      <w:r w:rsidRPr="007C1878">
        <w:rPr>
          <w:rFonts w:hint="cs"/>
          <w:spacing w:val="-4"/>
          <w:kern w:val="0"/>
          <w:sz w:val="20"/>
          <w:rtl/>
        </w:rPr>
        <w:t xml:space="preserve"> ع</w:t>
      </w:r>
      <w:r w:rsidRPr="007C1878">
        <w:rPr>
          <w:spacing w:val="-4"/>
          <w:kern w:val="0"/>
          <w:sz w:val="20"/>
          <w:rtl/>
        </w:rPr>
        <w:t xml:space="preserve">. </w:t>
      </w:r>
      <w:r w:rsidRPr="007C1878">
        <w:rPr>
          <w:spacing w:val="-2"/>
          <w:kern w:val="0"/>
          <w:sz w:val="20"/>
          <w:rtl/>
        </w:rPr>
        <w:t>(من مواليد 14 تموز/يوليه 1995). وتحمل العائلة أيضا</w:t>
      </w:r>
      <w:r w:rsidRPr="007C1878">
        <w:rPr>
          <w:rFonts w:hint="cs"/>
          <w:spacing w:val="-2"/>
          <w:kern w:val="0"/>
          <w:sz w:val="20"/>
          <w:rtl/>
        </w:rPr>
        <w:t>ً</w:t>
      </w:r>
      <w:r w:rsidRPr="007C1878">
        <w:rPr>
          <w:spacing w:val="-2"/>
          <w:kern w:val="0"/>
          <w:sz w:val="20"/>
          <w:rtl/>
        </w:rPr>
        <w:t xml:space="preserve"> </w:t>
      </w:r>
      <w:r w:rsidRPr="007C1878">
        <w:rPr>
          <w:rFonts w:hint="cs"/>
          <w:spacing w:val="-2"/>
          <w:kern w:val="0"/>
          <w:sz w:val="20"/>
          <w:rtl/>
        </w:rPr>
        <w:t>لقب</w:t>
      </w:r>
      <w:r w:rsidRPr="007C1878">
        <w:rPr>
          <w:spacing w:val="-2"/>
          <w:kern w:val="0"/>
          <w:sz w:val="20"/>
          <w:rtl/>
        </w:rPr>
        <w:t xml:space="preserve"> </w:t>
      </w:r>
      <w:r w:rsidRPr="007C1878">
        <w:rPr>
          <w:rFonts w:hint="cs"/>
          <w:spacing w:val="-2"/>
          <w:kern w:val="0"/>
          <w:sz w:val="20"/>
          <w:rtl/>
        </w:rPr>
        <w:t>ا</w:t>
      </w:r>
      <w:r w:rsidRPr="007C1878">
        <w:rPr>
          <w:spacing w:val="-2"/>
          <w:kern w:val="0"/>
          <w:sz w:val="20"/>
          <w:rtl/>
        </w:rPr>
        <w:t>.</w:t>
      </w:r>
      <w:r w:rsidRPr="007C1878">
        <w:rPr>
          <w:rFonts w:hint="cs"/>
          <w:spacing w:val="-2"/>
          <w:kern w:val="0"/>
          <w:sz w:val="20"/>
          <w:rtl/>
        </w:rPr>
        <w:t xml:space="preserve"> </w:t>
      </w:r>
      <w:r w:rsidRPr="007C1878">
        <w:rPr>
          <w:spacing w:val="-2"/>
          <w:kern w:val="0"/>
          <w:sz w:val="20"/>
          <w:rtl/>
        </w:rPr>
        <w:t>ب. في بعض الوثائق المقدمة إلى مجلس الهجرة السويدي ومحكمة شؤ</w:t>
      </w:r>
      <w:r w:rsidRPr="007C1878">
        <w:rPr>
          <w:rFonts w:hint="cs"/>
          <w:spacing w:val="-2"/>
          <w:kern w:val="0"/>
          <w:sz w:val="20"/>
          <w:rtl/>
        </w:rPr>
        <w:t>و</w:t>
      </w:r>
      <w:r w:rsidRPr="007C1878">
        <w:rPr>
          <w:spacing w:val="-2"/>
          <w:kern w:val="0"/>
          <w:sz w:val="20"/>
          <w:rtl/>
        </w:rPr>
        <w:t xml:space="preserve">ن الهجرة. وأصحاب </w:t>
      </w:r>
      <w:r w:rsidRPr="007C1878">
        <w:rPr>
          <w:rFonts w:hint="cs"/>
          <w:spacing w:val="-2"/>
          <w:kern w:val="0"/>
          <w:sz w:val="20"/>
          <w:rtl/>
        </w:rPr>
        <w:t>الشكوى</w:t>
      </w:r>
      <w:r w:rsidRPr="007C1878">
        <w:rPr>
          <w:spacing w:val="-2"/>
          <w:kern w:val="0"/>
          <w:sz w:val="20"/>
          <w:rtl/>
        </w:rPr>
        <w:t xml:space="preserve"> جميعهم من الجنسية المصرية ويقيمون حاليا</w:t>
      </w:r>
      <w:r w:rsidRPr="007C1878">
        <w:rPr>
          <w:rFonts w:hint="cs"/>
          <w:spacing w:val="-2"/>
          <w:kern w:val="0"/>
          <w:sz w:val="20"/>
          <w:rtl/>
        </w:rPr>
        <w:t>ً</w:t>
      </w:r>
      <w:r w:rsidRPr="007C1878">
        <w:rPr>
          <w:spacing w:val="-2"/>
          <w:kern w:val="0"/>
          <w:sz w:val="20"/>
          <w:rtl/>
        </w:rPr>
        <w:t xml:space="preserve"> في السويد. وهم يدعون أن إنفاذ الأوامر الصادرة بترحيلهم إلى مصر</w:t>
      </w:r>
      <w:r w:rsidRPr="007C1878">
        <w:rPr>
          <w:spacing w:val="-2"/>
          <w:kern w:val="0"/>
          <w:sz w:val="20"/>
          <w:vertAlign w:val="superscript"/>
          <w:rtl/>
        </w:rPr>
        <w:t>(</w:t>
      </w:r>
      <w:r w:rsidRPr="007C1878">
        <w:rPr>
          <w:rStyle w:val="FootnoteReference"/>
          <w:spacing w:val="-2"/>
          <w:sz w:val="20"/>
          <w:rtl/>
        </w:rPr>
        <w:footnoteReference w:id="287"/>
      </w:r>
      <w:r w:rsidRPr="007C1878">
        <w:rPr>
          <w:spacing w:val="-2"/>
          <w:kern w:val="0"/>
          <w:sz w:val="20"/>
          <w:vertAlign w:val="superscript"/>
          <w:rtl/>
        </w:rPr>
        <w:t>)</w:t>
      </w:r>
      <w:r w:rsidRPr="007C1878">
        <w:rPr>
          <w:spacing w:val="-2"/>
          <w:kern w:val="0"/>
          <w:sz w:val="20"/>
          <w:rtl/>
        </w:rPr>
        <w:t xml:space="preserve"> ينطوي على انتهاك للمادتين 3 و16 من اتفاقية مناهضة التعذيب وغيره من ضروب المعاملة أو</w:t>
      </w:r>
      <w:r w:rsidR="007C1878">
        <w:rPr>
          <w:rFonts w:hint="cs"/>
          <w:spacing w:val="-2"/>
          <w:kern w:val="0"/>
          <w:sz w:val="20"/>
          <w:rtl/>
        </w:rPr>
        <w:t> </w:t>
      </w:r>
      <w:r w:rsidRPr="007C1878">
        <w:rPr>
          <w:spacing w:val="-2"/>
          <w:kern w:val="0"/>
          <w:sz w:val="20"/>
          <w:rtl/>
        </w:rPr>
        <w:t xml:space="preserve">العقوبة القاسية أو اللاإنسانية أو المهينة. ويمثل أصحاب </w:t>
      </w:r>
      <w:r w:rsidRPr="007C1878">
        <w:rPr>
          <w:rFonts w:hint="cs"/>
          <w:spacing w:val="-2"/>
          <w:kern w:val="0"/>
          <w:sz w:val="20"/>
          <w:rtl/>
        </w:rPr>
        <w:t>الشكوى</w:t>
      </w:r>
      <w:r w:rsidRPr="007C1878">
        <w:rPr>
          <w:spacing w:val="-2"/>
          <w:kern w:val="0"/>
          <w:sz w:val="20"/>
          <w:rtl/>
        </w:rPr>
        <w:t xml:space="preserve"> المحامي بير أندرسون.</w:t>
      </w:r>
    </w:p>
    <w:p w:rsidR="008655A1" w:rsidRPr="008655A1" w:rsidRDefault="008655A1" w:rsidP="008655A1">
      <w:pPr>
        <w:pStyle w:val="SingleTxtGA"/>
        <w:jc w:val="lowKashida"/>
        <w:rPr>
          <w:spacing w:val="0"/>
          <w:kern w:val="0"/>
          <w:sz w:val="20"/>
          <w:rtl/>
        </w:rPr>
      </w:pPr>
      <w:r w:rsidRPr="008655A1">
        <w:rPr>
          <w:spacing w:val="0"/>
          <w:kern w:val="0"/>
          <w:sz w:val="20"/>
          <w:rtl/>
        </w:rPr>
        <w:t>1-2</w:t>
      </w:r>
      <w:r w:rsidRPr="008655A1">
        <w:rPr>
          <w:rFonts w:hint="cs"/>
          <w:spacing w:val="0"/>
          <w:kern w:val="0"/>
          <w:sz w:val="20"/>
          <w:rtl/>
        </w:rPr>
        <w:tab/>
      </w:r>
      <w:r w:rsidRPr="008655A1">
        <w:rPr>
          <w:spacing w:val="0"/>
          <w:kern w:val="0"/>
          <w:sz w:val="20"/>
          <w:rtl/>
        </w:rPr>
        <w:t>وقد طلبت اللجنة بموجب المادة 114 من نظامها الداخلي، إلى الدولة الطرف،</w:t>
      </w:r>
      <w:r w:rsidRPr="008655A1">
        <w:rPr>
          <w:rFonts w:hint="cs"/>
          <w:spacing w:val="0"/>
          <w:kern w:val="0"/>
          <w:sz w:val="20"/>
          <w:rtl/>
        </w:rPr>
        <w:t xml:space="preserve">    </w:t>
      </w:r>
      <w:r w:rsidRPr="008655A1">
        <w:rPr>
          <w:spacing w:val="0"/>
          <w:kern w:val="0"/>
          <w:sz w:val="20"/>
          <w:rtl/>
        </w:rPr>
        <w:t xml:space="preserve"> في 8 تموز/يوليه 2009، الامتناع عن ترحيل أصحاب </w:t>
      </w:r>
      <w:r w:rsidRPr="008655A1">
        <w:rPr>
          <w:rFonts w:hint="cs"/>
          <w:spacing w:val="0"/>
          <w:kern w:val="0"/>
          <w:sz w:val="20"/>
          <w:rtl/>
        </w:rPr>
        <w:t xml:space="preserve">الشكوى </w:t>
      </w:r>
      <w:r w:rsidRPr="008655A1">
        <w:rPr>
          <w:spacing w:val="0"/>
          <w:kern w:val="0"/>
          <w:sz w:val="20"/>
          <w:rtl/>
        </w:rPr>
        <w:t xml:space="preserve">إلى مصر أثناء قيام اللجنة بالنظر في بلاغهم. وفي 10 كانون الأول/ديسمبر 2009، أبلغت الدولة الطرف اللجنةَ بأن مجلس الهجرة قد قرر في 8 تموز/يوليه 2009، وقف إنفاذ قرار طرد أصحاب </w:t>
      </w:r>
      <w:r w:rsidRPr="008655A1">
        <w:rPr>
          <w:rFonts w:hint="cs"/>
          <w:spacing w:val="0"/>
          <w:kern w:val="0"/>
          <w:sz w:val="20"/>
          <w:rtl/>
        </w:rPr>
        <w:t xml:space="preserve">الشكوى </w:t>
      </w:r>
      <w:r w:rsidRPr="008655A1">
        <w:rPr>
          <w:spacing w:val="0"/>
          <w:kern w:val="0"/>
          <w:sz w:val="20"/>
          <w:rtl/>
        </w:rPr>
        <w:t xml:space="preserve">إلى مصر حتى إشعار آخر. </w:t>
      </w:r>
    </w:p>
    <w:p w:rsidR="008655A1" w:rsidRPr="008655A1" w:rsidRDefault="008655A1" w:rsidP="008655A1">
      <w:pPr>
        <w:pStyle w:val="H23GA"/>
        <w:jc w:val="lowKashida"/>
        <w:rPr>
          <w:spacing w:val="0"/>
          <w:kern w:val="0"/>
          <w:sz w:val="20"/>
          <w:rtl/>
        </w:rPr>
      </w:pPr>
      <w:r w:rsidRPr="008655A1">
        <w:rPr>
          <w:rFonts w:hint="cs"/>
          <w:spacing w:val="0"/>
          <w:kern w:val="0"/>
          <w:sz w:val="20"/>
          <w:rtl/>
        </w:rPr>
        <w:tab/>
      </w:r>
      <w:r w:rsidRPr="008655A1">
        <w:rPr>
          <w:spacing w:val="0"/>
          <w:kern w:val="0"/>
          <w:sz w:val="20"/>
          <w:rtl/>
        </w:rPr>
        <w:tab/>
        <w:t>بيان الوقائع</w:t>
      </w:r>
    </w:p>
    <w:p w:rsidR="008655A1" w:rsidRPr="008655A1" w:rsidRDefault="008655A1" w:rsidP="008655A1">
      <w:pPr>
        <w:pStyle w:val="H4GA"/>
        <w:jc w:val="lowKashida"/>
        <w:rPr>
          <w:spacing w:val="0"/>
          <w:kern w:val="0"/>
          <w:sz w:val="20"/>
          <w:rtl/>
        </w:rPr>
      </w:pPr>
      <w:r w:rsidRPr="008655A1">
        <w:rPr>
          <w:rFonts w:hint="cs"/>
          <w:spacing w:val="0"/>
          <w:kern w:val="0"/>
          <w:sz w:val="20"/>
          <w:rtl/>
        </w:rPr>
        <w:tab/>
      </w:r>
      <w:r w:rsidRPr="008655A1">
        <w:rPr>
          <w:spacing w:val="0"/>
          <w:kern w:val="0"/>
          <w:sz w:val="20"/>
          <w:rtl/>
        </w:rPr>
        <w:tab/>
        <w:t>قضية 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(صاحب الشكوى الأول)</w:t>
      </w:r>
    </w:p>
    <w:p w:rsidR="008655A1" w:rsidRPr="008655A1" w:rsidRDefault="008655A1" w:rsidP="008655A1">
      <w:pPr>
        <w:pStyle w:val="SingleTxtGA"/>
        <w:jc w:val="lowKashida"/>
        <w:rPr>
          <w:rFonts w:hint="cs"/>
          <w:spacing w:val="0"/>
          <w:kern w:val="0"/>
          <w:sz w:val="20"/>
          <w:rtl/>
        </w:rPr>
      </w:pPr>
      <w:r w:rsidRPr="008655A1">
        <w:rPr>
          <w:spacing w:val="0"/>
          <w:kern w:val="0"/>
          <w:sz w:val="20"/>
          <w:rtl/>
        </w:rPr>
        <w:t>2-1</w:t>
      </w:r>
      <w:r w:rsidRPr="008655A1">
        <w:rPr>
          <w:rFonts w:hint="cs"/>
          <w:spacing w:val="0"/>
          <w:kern w:val="0"/>
          <w:sz w:val="20"/>
          <w:rtl/>
        </w:rPr>
        <w:tab/>
      </w:r>
      <w:r w:rsidRPr="008655A1">
        <w:rPr>
          <w:spacing w:val="0"/>
          <w:kern w:val="0"/>
          <w:sz w:val="20"/>
          <w:rtl/>
        </w:rPr>
        <w:t>يدعي صاحب الشكوى الأول أن جده حظيَ بلقب أمير من ملك مصر آنذاك، وأن أبناءه ورثوا هذا اللقب لكن الرئيس جمال عبد الناصر قام بإلغائه رسميا</w:t>
      </w:r>
      <w:r w:rsidRPr="008655A1">
        <w:rPr>
          <w:rFonts w:hint="cs"/>
          <w:spacing w:val="0"/>
          <w:kern w:val="0"/>
          <w:sz w:val="20"/>
          <w:rtl/>
        </w:rPr>
        <w:t>ً</w:t>
      </w:r>
      <w:r w:rsidRPr="008655A1">
        <w:rPr>
          <w:spacing w:val="0"/>
          <w:kern w:val="0"/>
          <w:sz w:val="20"/>
          <w:rtl/>
        </w:rPr>
        <w:t xml:space="preserve">. وقال صاحب الشكوى الأول إنه </w:t>
      </w:r>
      <w:r w:rsidRPr="008655A1">
        <w:rPr>
          <w:rFonts w:hint="cs"/>
          <w:spacing w:val="0"/>
          <w:kern w:val="0"/>
          <w:sz w:val="20"/>
          <w:rtl/>
        </w:rPr>
        <w:t>تعلم</w:t>
      </w:r>
      <w:r w:rsidRPr="008655A1">
        <w:rPr>
          <w:spacing w:val="0"/>
          <w:kern w:val="0"/>
          <w:sz w:val="20"/>
          <w:rtl/>
        </w:rPr>
        <w:t xml:space="preserve"> الهندسة </w:t>
      </w:r>
      <w:r w:rsidRPr="008655A1">
        <w:rPr>
          <w:rFonts w:hint="cs"/>
          <w:spacing w:val="0"/>
          <w:kern w:val="0"/>
          <w:sz w:val="20"/>
          <w:rtl/>
        </w:rPr>
        <w:t xml:space="preserve">في </w:t>
      </w:r>
      <w:r w:rsidRPr="008655A1">
        <w:rPr>
          <w:spacing w:val="0"/>
          <w:kern w:val="0"/>
          <w:sz w:val="20"/>
          <w:rtl/>
        </w:rPr>
        <w:t xml:space="preserve">جامعة القاهرة. وكان أفراد أسرته من أشد المناصرين للرئيس عبد الناصر. وقد </w:t>
      </w:r>
      <w:r w:rsidRPr="008655A1">
        <w:rPr>
          <w:rFonts w:hint="cs"/>
          <w:spacing w:val="0"/>
          <w:kern w:val="0"/>
          <w:sz w:val="20"/>
          <w:rtl/>
        </w:rPr>
        <w:t>تربى على</w:t>
      </w:r>
      <w:r w:rsidRPr="008655A1">
        <w:rPr>
          <w:spacing w:val="0"/>
          <w:kern w:val="0"/>
          <w:sz w:val="20"/>
          <w:rtl/>
        </w:rPr>
        <w:t xml:space="preserve"> القومية والوحدة العربية. وصنع صاحب الشكوى الأول لنفسه اسما</w:t>
      </w:r>
      <w:r w:rsidRPr="008655A1">
        <w:rPr>
          <w:rFonts w:hint="cs"/>
          <w:spacing w:val="0"/>
          <w:kern w:val="0"/>
          <w:sz w:val="20"/>
          <w:rtl/>
        </w:rPr>
        <w:t>ً</w:t>
      </w:r>
      <w:r w:rsidRPr="008655A1">
        <w:rPr>
          <w:spacing w:val="0"/>
          <w:kern w:val="0"/>
          <w:sz w:val="20"/>
          <w:rtl/>
        </w:rPr>
        <w:t xml:space="preserve"> في العالم العربي من خلال كتاباته، </w:t>
      </w:r>
      <w:r w:rsidRPr="008655A1">
        <w:rPr>
          <w:rFonts w:hint="cs"/>
          <w:spacing w:val="0"/>
          <w:kern w:val="0"/>
          <w:sz w:val="20"/>
          <w:rtl/>
        </w:rPr>
        <w:t>و</w:t>
      </w:r>
      <w:r w:rsidRPr="008655A1">
        <w:rPr>
          <w:spacing w:val="0"/>
          <w:kern w:val="0"/>
          <w:sz w:val="20"/>
          <w:rtl/>
        </w:rPr>
        <w:t xml:space="preserve">لا سيما أشعاره ذات الطابع السياسي والنقدي. وشغل أفراد أسرته </w:t>
      </w:r>
      <w:r w:rsidRPr="008655A1">
        <w:rPr>
          <w:rFonts w:hint="cs"/>
          <w:spacing w:val="0"/>
          <w:kern w:val="0"/>
          <w:sz w:val="20"/>
          <w:rtl/>
        </w:rPr>
        <w:t xml:space="preserve">الكبيرة </w:t>
      </w:r>
      <w:r w:rsidRPr="008655A1">
        <w:rPr>
          <w:spacing w:val="0"/>
          <w:kern w:val="0"/>
          <w:sz w:val="20"/>
          <w:rtl/>
        </w:rPr>
        <w:t xml:space="preserve">مناصب رفيعة في حكومات الرئيسين عبد الناصر </w:t>
      </w:r>
      <w:r w:rsidRPr="008655A1">
        <w:rPr>
          <w:rFonts w:hint="cs"/>
          <w:spacing w:val="0"/>
          <w:kern w:val="0"/>
          <w:sz w:val="20"/>
          <w:rtl/>
        </w:rPr>
        <w:t xml:space="preserve">  </w:t>
      </w:r>
      <w:r w:rsidRPr="008655A1">
        <w:rPr>
          <w:spacing w:val="0"/>
          <w:kern w:val="0"/>
          <w:sz w:val="20"/>
          <w:rtl/>
        </w:rPr>
        <w:t>ومحمد أنور السادات. وفي مطلع الثمانينيات، كان صاحب الشكوى الأول عنصرا</w:t>
      </w:r>
      <w:r w:rsidRPr="008655A1">
        <w:rPr>
          <w:rFonts w:hint="cs"/>
          <w:spacing w:val="0"/>
          <w:kern w:val="0"/>
          <w:sz w:val="20"/>
          <w:rtl/>
        </w:rPr>
        <w:t>ً</w:t>
      </w:r>
      <w:r w:rsidRPr="008655A1">
        <w:rPr>
          <w:spacing w:val="0"/>
          <w:kern w:val="0"/>
          <w:sz w:val="20"/>
          <w:rtl/>
        </w:rPr>
        <w:t xml:space="preserve"> نشطا</w:t>
      </w:r>
      <w:r w:rsidRPr="008655A1">
        <w:rPr>
          <w:rFonts w:hint="cs"/>
          <w:spacing w:val="0"/>
          <w:kern w:val="0"/>
          <w:sz w:val="20"/>
          <w:rtl/>
        </w:rPr>
        <w:t>ً</w:t>
      </w:r>
      <w:r w:rsidRPr="008655A1">
        <w:rPr>
          <w:spacing w:val="0"/>
          <w:kern w:val="0"/>
          <w:sz w:val="20"/>
          <w:rtl/>
        </w:rPr>
        <w:t xml:space="preserve"> </w:t>
      </w:r>
      <w:r w:rsidRPr="008655A1">
        <w:rPr>
          <w:rFonts w:hint="cs"/>
          <w:spacing w:val="0"/>
          <w:kern w:val="0"/>
          <w:sz w:val="20"/>
          <w:rtl/>
        </w:rPr>
        <w:t xml:space="preserve">جداً </w:t>
      </w:r>
      <w:r w:rsidRPr="008655A1">
        <w:rPr>
          <w:spacing w:val="0"/>
          <w:kern w:val="0"/>
          <w:sz w:val="20"/>
          <w:rtl/>
        </w:rPr>
        <w:t>في اتحاد الطلبة، فتولى رئاسته فترة من الزمن</w:t>
      </w:r>
      <w:r w:rsidRPr="008655A1">
        <w:rPr>
          <w:rFonts w:hint="cs"/>
          <w:spacing w:val="0"/>
          <w:kern w:val="0"/>
          <w:sz w:val="20"/>
          <w:rtl/>
        </w:rPr>
        <w:t>.</w:t>
      </w:r>
      <w:r w:rsidRPr="008655A1">
        <w:rPr>
          <w:spacing w:val="0"/>
          <w:kern w:val="0"/>
          <w:sz w:val="20"/>
          <w:rtl/>
        </w:rPr>
        <w:t xml:space="preserve"> وشارك في مظاهرات وخطب في اجتماعات. وبذلك، استرعى انتباه الشرطة، فاستُدعيَ واستجوِب لكنه كان يشعر بالأمان. إذ كان يعتبر نفسه مناضلا</w:t>
      </w:r>
      <w:r w:rsidRPr="008655A1">
        <w:rPr>
          <w:rFonts w:hint="cs"/>
          <w:spacing w:val="0"/>
          <w:kern w:val="0"/>
          <w:sz w:val="20"/>
          <w:rtl/>
        </w:rPr>
        <w:t>ً</w:t>
      </w:r>
      <w:r w:rsidRPr="008655A1">
        <w:rPr>
          <w:spacing w:val="0"/>
          <w:kern w:val="0"/>
          <w:sz w:val="20"/>
          <w:rtl/>
        </w:rPr>
        <w:t xml:space="preserve"> من أجل الارتقاء بمصر لكنه لم يكن منخرطا</w:t>
      </w:r>
      <w:r w:rsidRPr="008655A1">
        <w:rPr>
          <w:rFonts w:hint="cs"/>
          <w:spacing w:val="0"/>
          <w:kern w:val="0"/>
          <w:sz w:val="20"/>
          <w:rtl/>
        </w:rPr>
        <w:t>ً</w:t>
      </w:r>
      <w:r w:rsidRPr="008655A1">
        <w:rPr>
          <w:spacing w:val="0"/>
          <w:kern w:val="0"/>
          <w:sz w:val="20"/>
          <w:rtl/>
        </w:rPr>
        <w:t xml:space="preserve"> في الأحزاب السياسية. وقد</w:t>
      </w:r>
      <w:r w:rsidRPr="008655A1">
        <w:rPr>
          <w:rFonts w:hint="cs"/>
          <w:spacing w:val="0"/>
          <w:kern w:val="0"/>
          <w:sz w:val="20"/>
          <w:rtl/>
        </w:rPr>
        <w:t xml:space="preserve"> </w:t>
      </w:r>
      <w:r w:rsidRPr="008655A1">
        <w:rPr>
          <w:spacing w:val="0"/>
          <w:kern w:val="0"/>
          <w:sz w:val="20"/>
          <w:rtl/>
        </w:rPr>
        <w:t>شعر وهو المؤيد المخلص للرئيس عبد الناصر، أن الرئيس السادات حاد في سياساته عن</w:t>
      </w:r>
      <w:r w:rsidRPr="008655A1">
        <w:rPr>
          <w:rFonts w:hint="cs"/>
          <w:spacing w:val="0"/>
          <w:kern w:val="0"/>
          <w:sz w:val="20"/>
          <w:rtl/>
        </w:rPr>
        <w:t xml:space="preserve"> </w:t>
      </w:r>
      <w:r w:rsidRPr="008655A1">
        <w:rPr>
          <w:spacing w:val="0"/>
          <w:kern w:val="0"/>
          <w:sz w:val="20"/>
          <w:rtl/>
        </w:rPr>
        <w:t>المُثل الناصرية.</w:t>
      </w:r>
    </w:p>
    <w:p w:rsidR="008655A1" w:rsidRPr="008655A1" w:rsidRDefault="008655A1" w:rsidP="008655A1">
      <w:pPr>
        <w:pStyle w:val="SingleTxtGA"/>
        <w:jc w:val="lowKashida"/>
        <w:rPr>
          <w:rFonts w:hint="cs"/>
          <w:spacing w:val="0"/>
          <w:kern w:val="0"/>
          <w:sz w:val="20"/>
          <w:rtl/>
        </w:rPr>
      </w:pPr>
      <w:r w:rsidRPr="008655A1">
        <w:rPr>
          <w:spacing w:val="0"/>
          <w:kern w:val="0"/>
          <w:sz w:val="20"/>
          <w:rtl/>
        </w:rPr>
        <w:t>2-2</w:t>
      </w:r>
      <w:r w:rsidRPr="008655A1">
        <w:rPr>
          <w:rFonts w:hint="cs"/>
          <w:spacing w:val="0"/>
          <w:kern w:val="0"/>
          <w:sz w:val="20"/>
          <w:rtl/>
        </w:rPr>
        <w:tab/>
      </w:r>
      <w:r w:rsidRPr="008655A1">
        <w:rPr>
          <w:spacing w:val="0"/>
          <w:kern w:val="0"/>
          <w:sz w:val="20"/>
          <w:rtl/>
        </w:rPr>
        <w:t xml:space="preserve">وفي 6 تشرين الأول/أكتوبر 1981، اغتيل الرئيس السادات على يد ابن عم صاحب الشكوى خالد </w:t>
      </w:r>
      <w:r w:rsidRPr="008655A1">
        <w:rPr>
          <w:rFonts w:hint="cs"/>
          <w:spacing w:val="0"/>
          <w:kern w:val="0"/>
          <w:sz w:val="20"/>
          <w:rtl/>
        </w:rPr>
        <w:t>ال</w:t>
      </w:r>
      <w:r w:rsidRPr="008655A1">
        <w:rPr>
          <w:spacing w:val="0"/>
          <w:kern w:val="0"/>
          <w:sz w:val="20"/>
          <w:rtl/>
        </w:rPr>
        <w:t>إسلامبولي، حسبما قيل، فانقلب حال صاحب الشكوى الأول وأسرته رأسا</w:t>
      </w:r>
      <w:r w:rsidRPr="008655A1">
        <w:rPr>
          <w:rFonts w:hint="cs"/>
          <w:spacing w:val="0"/>
          <w:kern w:val="0"/>
          <w:sz w:val="20"/>
          <w:rtl/>
        </w:rPr>
        <w:t>ً</w:t>
      </w:r>
      <w:r w:rsidRPr="008655A1">
        <w:rPr>
          <w:spacing w:val="0"/>
          <w:kern w:val="0"/>
          <w:sz w:val="20"/>
          <w:rtl/>
        </w:rPr>
        <w:t xml:space="preserve"> على عقب. وفر أقرباؤه ممن كانوا يشغلون مناصب حكومية رفيعة من مصر وتعرض من بقي منهم للاضطهاد على يد </w:t>
      </w:r>
      <w:r w:rsidRPr="008655A1">
        <w:rPr>
          <w:rFonts w:hint="cs"/>
          <w:spacing w:val="0"/>
          <w:kern w:val="0"/>
          <w:sz w:val="20"/>
          <w:rtl/>
        </w:rPr>
        <w:t xml:space="preserve">مباحث </w:t>
      </w:r>
      <w:r w:rsidRPr="008655A1">
        <w:rPr>
          <w:spacing w:val="0"/>
          <w:kern w:val="0"/>
          <w:sz w:val="20"/>
          <w:rtl/>
        </w:rPr>
        <w:t>أمن</w:t>
      </w:r>
      <w:r w:rsidRPr="008655A1">
        <w:rPr>
          <w:rFonts w:hint="cs"/>
          <w:spacing w:val="0"/>
          <w:kern w:val="0"/>
          <w:sz w:val="20"/>
          <w:rtl/>
        </w:rPr>
        <w:t xml:space="preserve"> الدولة</w:t>
      </w:r>
      <w:r w:rsidRPr="008655A1">
        <w:rPr>
          <w:spacing w:val="0"/>
          <w:kern w:val="0"/>
          <w:sz w:val="20"/>
          <w:rtl/>
        </w:rPr>
        <w:t>. وفي 12 تشرين الأول/</w:t>
      </w:r>
      <w:r w:rsidRPr="008655A1">
        <w:rPr>
          <w:rFonts w:hint="cs"/>
          <w:spacing w:val="0"/>
          <w:kern w:val="0"/>
          <w:sz w:val="20"/>
          <w:rtl/>
        </w:rPr>
        <w:t xml:space="preserve">  </w:t>
      </w:r>
      <w:r w:rsidRPr="008655A1">
        <w:rPr>
          <w:spacing w:val="0"/>
          <w:kern w:val="0"/>
          <w:sz w:val="20"/>
          <w:rtl/>
        </w:rPr>
        <w:t xml:space="preserve">أكتوبر 1981، اعتقلت </w:t>
      </w:r>
      <w:r w:rsidRPr="008655A1">
        <w:rPr>
          <w:rFonts w:hint="cs"/>
          <w:spacing w:val="0"/>
          <w:kern w:val="0"/>
          <w:sz w:val="20"/>
          <w:rtl/>
        </w:rPr>
        <w:t xml:space="preserve">مباحث أمن الدولة </w:t>
      </w:r>
      <w:r w:rsidRPr="008655A1">
        <w:rPr>
          <w:spacing w:val="0"/>
          <w:kern w:val="0"/>
          <w:sz w:val="20"/>
          <w:rtl/>
        </w:rPr>
        <w:t xml:space="preserve">صاحب الشكوى الأول أثناء زيارة عمته، والدة خالد </w:t>
      </w:r>
      <w:r w:rsidRPr="008655A1">
        <w:rPr>
          <w:rFonts w:hint="cs"/>
          <w:spacing w:val="0"/>
          <w:kern w:val="0"/>
          <w:sz w:val="20"/>
          <w:rtl/>
        </w:rPr>
        <w:t>ال</w:t>
      </w:r>
      <w:r w:rsidRPr="008655A1">
        <w:rPr>
          <w:spacing w:val="0"/>
          <w:kern w:val="0"/>
          <w:sz w:val="20"/>
          <w:rtl/>
        </w:rPr>
        <w:t>إسلامبولي، لمواساتها. واحتُ</w:t>
      </w:r>
      <w:r w:rsidRPr="008655A1">
        <w:rPr>
          <w:rFonts w:hint="cs"/>
          <w:spacing w:val="0"/>
          <w:kern w:val="0"/>
          <w:sz w:val="20"/>
          <w:rtl/>
        </w:rPr>
        <w:t>ج</w:t>
      </w:r>
      <w:r w:rsidRPr="008655A1">
        <w:rPr>
          <w:spacing w:val="0"/>
          <w:kern w:val="0"/>
          <w:sz w:val="20"/>
          <w:rtl/>
        </w:rPr>
        <w:t xml:space="preserve">ز لمدة خمسة أيام تعرض خلالها للضرب المبرح والتعذيب. واستُجوِب صاحب الشكوى الأول بشأن خالد </w:t>
      </w:r>
      <w:r w:rsidRPr="008655A1">
        <w:rPr>
          <w:rFonts w:hint="cs"/>
          <w:spacing w:val="0"/>
          <w:kern w:val="0"/>
          <w:sz w:val="20"/>
          <w:rtl/>
        </w:rPr>
        <w:t>ال</w:t>
      </w:r>
      <w:r w:rsidRPr="008655A1">
        <w:rPr>
          <w:spacing w:val="0"/>
          <w:kern w:val="0"/>
          <w:sz w:val="20"/>
          <w:rtl/>
        </w:rPr>
        <w:t xml:space="preserve">إسلامبولي وما لديه من معلومات عن اغتيال الرئيس السادات والمجموعة الإرهابية التي يُعتقد أن خالد </w:t>
      </w:r>
      <w:r w:rsidRPr="008655A1">
        <w:rPr>
          <w:rFonts w:hint="cs"/>
          <w:spacing w:val="0"/>
          <w:kern w:val="0"/>
          <w:sz w:val="20"/>
          <w:rtl/>
        </w:rPr>
        <w:t>ال</w:t>
      </w:r>
      <w:r w:rsidRPr="008655A1">
        <w:rPr>
          <w:spacing w:val="0"/>
          <w:kern w:val="0"/>
          <w:sz w:val="20"/>
          <w:rtl/>
        </w:rPr>
        <w:t>إسلامبولي ينتمي إليها.</w:t>
      </w:r>
    </w:p>
    <w:p w:rsidR="008655A1" w:rsidRPr="008655A1" w:rsidRDefault="008655A1" w:rsidP="008655A1">
      <w:pPr>
        <w:pStyle w:val="SingleTxtGA"/>
        <w:jc w:val="lowKashida"/>
        <w:rPr>
          <w:spacing w:val="0"/>
          <w:kern w:val="0"/>
          <w:sz w:val="20"/>
          <w:rtl/>
        </w:rPr>
      </w:pPr>
      <w:r w:rsidRPr="008655A1">
        <w:rPr>
          <w:spacing w:val="0"/>
          <w:kern w:val="0"/>
          <w:sz w:val="20"/>
          <w:rtl/>
        </w:rPr>
        <w:t>2-3</w:t>
      </w:r>
      <w:r w:rsidRPr="008655A1">
        <w:rPr>
          <w:rFonts w:hint="cs"/>
          <w:spacing w:val="0"/>
          <w:kern w:val="0"/>
          <w:sz w:val="20"/>
          <w:rtl/>
        </w:rPr>
        <w:tab/>
      </w:r>
      <w:r w:rsidRPr="008655A1">
        <w:rPr>
          <w:spacing w:val="0"/>
          <w:kern w:val="0"/>
          <w:sz w:val="20"/>
          <w:rtl/>
        </w:rPr>
        <w:t xml:space="preserve">وبعد مرور بضعة أشهر على اغتيال الرئيس السادات، نظم صاحب الشكوى الأول مظاهرة طلابية للمطالبة بتحسين الخدمات الصحية، وإجراء إصلاحات اجتماعية، وتغيير السياسة الخارجية المتبعة تجاه إسرائيل باعتبارها عامل انقسام في العالم العربي من وجهة نظر الطلاب. ورغم سلمية المظاهرة استعملت الشرطة الغاز المسيل للدموع والهراوات والرصاص المطاطي لتفريق المتظاهرين. </w:t>
      </w:r>
      <w:r w:rsidRPr="008655A1">
        <w:rPr>
          <w:rFonts w:hint="cs"/>
          <w:spacing w:val="0"/>
          <w:kern w:val="0"/>
          <w:sz w:val="20"/>
          <w:rtl/>
        </w:rPr>
        <w:t>وألقي القبض على</w:t>
      </w:r>
      <w:r w:rsidRPr="008655A1">
        <w:rPr>
          <w:spacing w:val="0"/>
          <w:kern w:val="0"/>
          <w:sz w:val="20"/>
          <w:rtl/>
        </w:rPr>
        <w:t xml:space="preserve"> صاحب الشكوى الأول ثم احتُجز لمدة 45 يوما</w:t>
      </w:r>
      <w:r w:rsidRPr="008655A1">
        <w:rPr>
          <w:rFonts w:hint="cs"/>
          <w:spacing w:val="0"/>
          <w:kern w:val="0"/>
          <w:sz w:val="20"/>
          <w:rtl/>
        </w:rPr>
        <w:t>ً</w:t>
      </w:r>
      <w:r w:rsidRPr="008655A1">
        <w:rPr>
          <w:spacing w:val="0"/>
          <w:kern w:val="0"/>
          <w:sz w:val="20"/>
          <w:rtl/>
        </w:rPr>
        <w:t xml:space="preserve"> تعرض خلالها لشتى ضروب التعذيب بما في ذلك تعليقه من اليدين بحبل مشدود في السقف وإجباره على الوقوف لمدة 14 ساعة يوميا</w:t>
      </w:r>
      <w:r w:rsidRPr="008655A1">
        <w:rPr>
          <w:rFonts w:hint="cs"/>
          <w:spacing w:val="0"/>
          <w:kern w:val="0"/>
          <w:sz w:val="20"/>
          <w:rtl/>
        </w:rPr>
        <w:t>ً</w:t>
      </w:r>
      <w:r w:rsidRPr="008655A1">
        <w:rPr>
          <w:spacing w:val="0"/>
          <w:kern w:val="0"/>
          <w:sz w:val="20"/>
          <w:rtl/>
        </w:rPr>
        <w:t xml:space="preserve"> وتعرضه للاعتداء الجنسي وغيره من أنواع الاعتداء الجسدي والإهانات اللفظية. وكان على حد زعمه، يخضع لفحص طبي منتظم لتحديد مدى قدرته على تحمل المزيد من التعذيب. ويدعي صاحب الشكوى الأول أن معذبيه كانوا دائما</w:t>
      </w:r>
      <w:r w:rsidRPr="008655A1">
        <w:rPr>
          <w:rFonts w:hint="cs"/>
          <w:spacing w:val="0"/>
          <w:kern w:val="0"/>
          <w:sz w:val="20"/>
          <w:rtl/>
        </w:rPr>
        <w:t>ً</w:t>
      </w:r>
      <w:r w:rsidRPr="008655A1">
        <w:rPr>
          <w:spacing w:val="0"/>
          <w:kern w:val="0"/>
          <w:sz w:val="20"/>
          <w:rtl/>
        </w:rPr>
        <w:t xml:space="preserve"> يمعنون في تعذيبه إلى أن يفقد قدرته على التحمل تماما</w:t>
      </w:r>
      <w:r w:rsidRPr="008655A1">
        <w:rPr>
          <w:rFonts w:hint="cs"/>
          <w:spacing w:val="0"/>
          <w:kern w:val="0"/>
          <w:sz w:val="20"/>
          <w:rtl/>
        </w:rPr>
        <w:t>ً</w:t>
      </w:r>
      <w:r w:rsidRPr="008655A1">
        <w:rPr>
          <w:spacing w:val="0"/>
          <w:kern w:val="0"/>
          <w:sz w:val="20"/>
          <w:rtl/>
        </w:rPr>
        <w:t>. فكانوا على</w:t>
      </w:r>
      <w:r w:rsidRPr="008655A1">
        <w:rPr>
          <w:rFonts w:hint="cs"/>
          <w:spacing w:val="0"/>
          <w:kern w:val="0"/>
          <w:sz w:val="20"/>
          <w:rtl/>
        </w:rPr>
        <w:t xml:space="preserve">   </w:t>
      </w:r>
      <w:r w:rsidRPr="008655A1">
        <w:rPr>
          <w:spacing w:val="0"/>
          <w:kern w:val="0"/>
          <w:sz w:val="20"/>
          <w:rtl/>
        </w:rPr>
        <w:t xml:space="preserve"> سبيل المثال، يقومون بوخز يده ليسيل الدم في </w:t>
      </w:r>
      <w:r w:rsidRPr="008655A1">
        <w:rPr>
          <w:rFonts w:hint="cs"/>
          <w:spacing w:val="0"/>
          <w:kern w:val="0"/>
          <w:sz w:val="20"/>
          <w:rtl/>
        </w:rPr>
        <w:t>وعاء</w:t>
      </w:r>
      <w:r w:rsidRPr="008655A1">
        <w:rPr>
          <w:spacing w:val="0"/>
          <w:kern w:val="0"/>
          <w:sz w:val="20"/>
          <w:rtl/>
        </w:rPr>
        <w:t xml:space="preserve"> ويناولونها لكلب ليلعقها. غير أن أشد</w:t>
      </w:r>
      <w:r w:rsidRPr="008655A1">
        <w:rPr>
          <w:rFonts w:hint="cs"/>
          <w:spacing w:val="0"/>
          <w:kern w:val="0"/>
          <w:sz w:val="20"/>
          <w:rtl/>
        </w:rPr>
        <w:t xml:space="preserve">        </w:t>
      </w:r>
      <w:r w:rsidRPr="008655A1">
        <w:rPr>
          <w:spacing w:val="0"/>
          <w:kern w:val="0"/>
          <w:sz w:val="20"/>
          <w:rtl/>
        </w:rPr>
        <w:t xml:space="preserve"> ما تعرض له على يد معذبيه هو إيلاجهم </w:t>
      </w:r>
      <w:r w:rsidRPr="008655A1">
        <w:rPr>
          <w:rFonts w:hint="cs"/>
          <w:spacing w:val="0"/>
          <w:kern w:val="0"/>
          <w:sz w:val="20"/>
          <w:rtl/>
        </w:rPr>
        <w:t>زجاجات</w:t>
      </w:r>
      <w:r w:rsidRPr="008655A1">
        <w:rPr>
          <w:spacing w:val="0"/>
          <w:kern w:val="0"/>
          <w:sz w:val="20"/>
          <w:rtl/>
        </w:rPr>
        <w:t xml:space="preserve"> وعصي وأجسام معدنية في شرجه، وشده من الخصيتين وشعر العانة. </w:t>
      </w:r>
      <w:r w:rsidRPr="008655A1">
        <w:rPr>
          <w:rFonts w:hint="cs"/>
          <w:spacing w:val="0"/>
          <w:kern w:val="0"/>
          <w:sz w:val="20"/>
          <w:rtl/>
        </w:rPr>
        <w:t>وسئل</w:t>
      </w:r>
      <w:r w:rsidRPr="008655A1">
        <w:rPr>
          <w:spacing w:val="0"/>
          <w:kern w:val="0"/>
          <w:sz w:val="20"/>
          <w:rtl/>
        </w:rPr>
        <w:t xml:space="preserve"> مرارا</w:t>
      </w:r>
      <w:r w:rsidRPr="008655A1">
        <w:rPr>
          <w:rFonts w:hint="cs"/>
          <w:spacing w:val="0"/>
          <w:kern w:val="0"/>
          <w:sz w:val="20"/>
          <w:rtl/>
        </w:rPr>
        <w:t>ً</w:t>
      </w:r>
      <w:r w:rsidRPr="008655A1">
        <w:rPr>
          <w:spacing w:val="0"/>
          <w:kern w:val="0"/>
          <w:sz w:val="20"/>
          <w:rtl/>
        </w:rPr>
        <w:t xml:space="preserve"> </w:t>
      </w:r>
      <w:r w:rsidRPr="008655A1">
        <w:rPr>
          <w:rFonts w:hint="cs"/>
          <w:spacing w:val="0"/>
          <w:kern w:val="0"/>
          <w:sz w:val="20"/>
          <w:rtl/>
        </w:rPr>
        <w:t xml:space="preserve">عن </w:t>
      </w:r>
      <w:r w:rsidRPr="008655A1">
        <w:rPr>
          <w:spacing w:val="0"/>
          <w:kern w:val="0"/>
          <w:sz w:val="20"/>
          <w:rtl/>
        </w:rPr>
        <w:t xml:space="preserve">خالد </w:t>
      </w:r>
      <w:r w:rsidRPr="008655A1">
        <w:rPr>
          <w:rFonts w:hint="cs"/>
          <w:spacing w:val="0"/>
          <w:kern w:val="0"/>
          <w:sz w:val="20"/>
          <w:rtl/>
        </w:rPr>
        <w:t>ال</w:t>
      </w:r>
      <w:r w:rsidRPr="008655A1">
        <w:rPr>
          <w:spacing w:val="0"/>
          <w:kern w:val="0"/>
          <w:sz w:val="20"/>
          <w:rtl/>
        </w:rPr>
        <w:t>إسلامبولي وجماعة "الإخوان المسلمون". وكانت الشرطة تريد معرفة ما إذا كان ينتمي إلى التيار الإسلامي وتطرح عليه الأسئلة ذاتها مرة تلو الأخرى. وعندما أطلق سراح صاحب الشكوى الأول في نهاية المطاف، مُنع من الحديث عما جرى له إلى أحد، وط</w:t>
      </w:r>
      <w:r w:rsidRPr="008655A1">
        <w:rPr>
          <w:rFonts w:hint="cs"/>
          <w:spacing w:val="0"/>
          <w:kern w:val="0"/>
          <w:sz w:val="20"/>
          <w:rtl/>
        </w:rPr>
        <w:t>ُ</w:t>
      </w:r>
      <w:r w:rsidRPr="008655A1">
        <w:rPr>
          <w:spacing w:val="0"/>
          <w:kern w:val="0"/>
          <w:sz w:val="20"/>
          <w:rtl/>
        </w:rPr>
        <w:t xml:space="preserve">لب منه وقف أنشطته السياسية. ويقول صاحب الشكوى الأول إن الكوابيس ما زالت تنتابه بشأن ما عاناه من تعذيب رغم مرور 20 سنة على ذلك. </w:t>
      </w:r>
    </w:p>
    <w:p w:rsidR="008655A1" w:rsidRPr="008655A1" w:rsidRDefault="008655A1" w:rsidP="008655A1">
      <w:pPr>
        <w:pStyle w:val="SingleTxtGA"/>
        <w:jc w:val="lowKashida"/>
        <w:rPr>
          <w:spacing w:val="0"/>
          <w:kern w:val="0"/>
          <w:sz w:val="20"/>
          <w:rtl/>
        </w:rPr>
      </w:pPr>
      <w:r w:rsidRPr="008655A1">
        <w:rPr>
          <w:spacing w:val="0"/>
          <w:kern w:val="0"/>
          <w:sz w:val="20"/>
          <w:rtl/>
        </w:rPr>
        <w:t>2-4</w:t>
      </w:r>
      <w:r w:rsidRPr="008655A1">
        <w:rPr>
          <w:rFonts w:hint="cs"/>
          <w:spacing w:val="0"/>
          <w:kern w:val="0"/>
          <w:sz w:val="20"/>
          <w:rtl/>
        </w:rPr>
        <w:tab/>
      </w:r>
      <w:r w:rsidRPr="008655A1">
        <w:rPr>
          <w:spacing w:val="0"/>
          <w:kern w:val="0"/>
          <w:sz w:val="20"/>
          <w:rtl/>
        </w:rPr>
        <w:t xml:space="preserve">وبعد مرور 45 يوما قضاها صاحب الشكوى الأول في الاحتجاز عاد إلى الجامعة لإكمال دراسته. وأوقف أنشطته السياسية وخرج من اتحاد الطلبة. </w:t>
      </w:r>
      <w:r w:rsidRPr="008655A1">
        <w:rPr>
          <w:rFonts w:hint="cs"/>
          <w:spacing w:val="0"/>
          <w:kern w:val="0"/>
          <w:sz w:val="20"/>
          <w:rtl/>
        </w:rPr>
        <w:t>وكان ممنوعا</w:t>
      </w:r>
      <w:r w:rsidRPr="008655A1">
        <w:rPr>
          <w:spacing w:val="0"/>
          <w:kern w:val="0"/>
          <w:sz w:val="20"/>
          <w:rtl/>
        </w:rPr>
        <w:t xml:space="preserve"> من السفر حتى داخل البلد </w:t>
      </w:r>
      <w:r w:rsidRPr="008655A1">
        <w:rPr>
          <w:rFonts w:hint="cs"/>
          <w:spacing w:val="0"/>
          <w:kern w:val="0"/>
          <w:sz w:val="20"/>
          <w:rtl/>
        </w:rPr>
        <w:t xml:space="preserve">وكان عليه </w:t>
      </w:r>
      <w:r w:rsidRPr="008655A1">
        <w:rPr>
          <w:spacing w:val="0"/>
          <w:kern w:val="0"/>
          <w:sz w:val="20"/>
          <w:rtl/>
        </w:rPr>
        <w:t>المثول أمام الشرطة بصورة دورية. وفي نهاية عام 1982، وجب على صاحب الشكوى الأول تأدية الخدمة العسكرية الإلزامية. ويدعي أن أبناء الفئة الاجتماعية التي ينتمي إليها يُمنحون عادة، رتبا</w:t>
      </w:r>
      <w:r w:rsidRPr="008655A1">
        <w:rPr>
          <w:rFonts w:hint="cs"/>
          <w:spacing w:val="0"/>
          <w:kern w:val="0"/>
          <w:sz w:val="20"/>
          <w:rtl/>
        </w:rPr>
        <w:t>ً</w:t>
      </w:r>
      <w:r w:rsidRPr="008655A1">
        <w:rPr>
          <w:spacing w:val="0"/>
          <w:kern w:val="0"/>
          <w:sz w:val="20"/>
          <w:rtl/>
        </w:rPr>
        <w:t xml:space="preserve"> عسكرية عالية في حين أُجبر هو على تنظيف المراحيض لمدة 14 شهرا</w:t>
      </w:r>
      <w:r w:rsidRPr="008655A1">
        <w:rPr>
          <w:rFonts w:hint="cs"/>
          <w:spacing w:val="0"/>
          <w:kern w:val="0"/>
          <w:sz w:val="20"/>
          <w:rtl/>
        </w:rPr>
        <w:t>ً</w:t>
      </w:r>
      <w:r w:rsidRPr="008655A1">
        <w:rPr>
          <w:spacing w:val="0"/>
          <w:kern w:val="0"/>
          <w:sz w:val="20"/>
          <w:rtl/>
        </w:rPr>
        <w:t xml:space="preserve"> والنوم كل ليلة في زنزانة انفرادية مغلقة. وخلال فترة تأديته للخدمة العسكرية الإلزامية فر والداه إلى المملكة العربية السعودية. </w:t>
      </w:r>
    </w:p>
    <w:p w:rsidR="008655A1" w:rsidRPr="008655A1" w:rsidRDefault="008655A1" w:rsidP="008655A1">
      <w:pPr>
        <w:pStyle w:val="SingleTxtGA"/>
        <w:jc w:val="lowKashida"/>
        <w:rPr>
          <w:spacing w:val="0"/>
          <w:kern w:val="0"/>
          <w:sz w:val="20"/>
          <w:rtl/>
        </w:rPr>
      </w:pPr>
      <w:r w:rsidRPr="008655A1">
        <w:rPr>
          <w:spacing w:val="0"/>
          <w:kern w:val="0"/>
          <w:sz w:val="20"/>
          <w:rtl/>
        </w:rPr>
        <w:t>2-5</w:t>
      </w:r>
      <w:r w:rsidRPr="008655A1">
        <w:rPr>
          <w:rFonts w:hint="cs"/>
          <w:spacing w:val="0"/>
          <w:kern w:val="0"/>
          <w:sz w:val="20"/>
          <w:rtl/>
        </w:rPr>
        <w:tab/>
      </w:r>
      <w:r w:rsidRPr="008655A1">
        <w:rPr>
          <w:spacing w:val="0"/>
          <w:kern w:val="0"/>
          <w:sz w:val="20"/>
          <w:rtl/>
        </w:rPr>
        <w:t xml:space="preserve">وبعد </w:t>
      </w:r>
      <w:r w:rsidRPr="008655A1">
        <w:rPr>
          <w:rFonts w:hint="cs"/>
          <w:spacing w:val="0"/>
          <w:kern w:val="0"/>
          <w:sz w:val="20"/>
          <w:rtl/>
        </w:rPr>
        <w:t xml:space="preserve">انتهاء </w:t>
      </w:r>
      <w:r w:rsidRPr="008655A1">
        <w:rPr>
          <w:spacing w:val="0"/>
          <w:kern w:val="0"/>
          <w:sz w:val="20"/>
          <w:rtl/>
        </w:rPr>
        <w:t>الخدمة العسكرية، تزوج صاحب الشكوى الأول واستقر في العريش بالقرب من سيناء. وفي عام 1984، جرى استجوابه وتعذيبه مرة أخرى بعد مرور شهرين على ولادة ابنته البكر.</w:t>
      </w:r>
    </w:p>
    <w:p w:rsidR="008655A1" w:rsidRPr="008655A1" w:rsidRDefault="008655A1" w:rsidP="008655A1">
      <w:pPr>
        <w:pStyle w:val="SingleTxtGA"/>
        <w:jc w:val="lowKashida"/>
        <w:rPr>
          <w:spacing w:val="0"/>
          <w:kern w:val="0"/>
          <w:sz w:val="20"/>
          <w:rtl/>
        </w:rPr>
      </w:pPr>
      <w:r w:rsidRPr="008655A1">
        <w:rPr>
          <w:spacing w:val="0"/>
          <w:kern w:val="0"/>
          <w:sz w:val="20"/>
          <w:rtl/>
        </w:rPr>
        <w:t>2-6</w:t>
      </w:r>
      <w:r w:rsidRPr="008655A1">
        <w:rPr>
          <w:rFonts w:hint="cs"/>
          <w:spacing w:val="0"/>
          <w:kern w:val="0"/>
          <w:sz w:val="20"/>
          <w:rtl/>
        </w:rPr>
        <w:tab/>
      </w:r>
      <w:r w:rsidRPr="008655A1">
        <w:rPr>
          <w:spacing w:val="0"/>
          <w:kern w:val="0"/>
          <w:sz w:val="20"/>
          <w:rtl/>
        </w:rPr>
        <w:t>وفي كانون الثاني/يناير 1987، نقل صاحب الشكوى الأول بسيارته أحد المسافرين مجانا</w:t>
      </w:r>
      <w:r w:rsidRPr="008655A1">
        <w:rPr>
          <w:rFonts w:hint="cs"/>
          <w:spacing w:val="0"/>
          <w:kern w:val="0"/>
          <w:sz w:val="20"/>
          <w:rtl/>
        </w:rPr>
        <w:t>ً</w:t>
      </w:r>
      <w:r w:rsidRPr="008655A1">
        <w:rPr>
          <w:spacing w:val="0"/>
          <w:kern w:val="0"/>
          <w:sz w:val="20"/>
          <w:rtl/>
        </w:rPr>
        <w:t xml:space="preserve"> إلى الحدود مع إسرائيل وبعيد ذلك قامت الشرطة باعتقاله. وأخبره ضباط الشرطة أنهم كانوا على علم بموقفه المعارض من الحكومة. وفي هذه المرة، احتجز صاحب الشكوى الأول لمدة أربعة </w:t>
      </w:r>
      <w:r w:rsidRPr="008655A1">
        <w:rPr>
          <w:rFonts w:hint="cs"/>
          <w:spacing w:val="0"/>
          <w:kern w:val="0"/>
          <w:sz w:val="20"/>
          <w:rtl/>
        </w:rPr>
        <w:t xml:space="preserve">أشهر </w:t>
      </w:r>
      <w:r w:rsidRPr="008655A1">
        <w:rPr>
          <w:spacing w:val="0"/>
          <w:kern w:val="0"/>
          <w:sz w:val="20"/>
          <w:rtl/>
        </w:rPr>
        <w:t xml:space="preserve">دون أن توجه إليه أية تهم بصورة رسمية. وأثناء فترة احتجازه، تعرض للتعذيب والاستجواب بشأن خالد </w:t>
      </w:r>
      <w:r w:rsidRPr="008655A1">
        <w:rPr>
          <w:rFonts w:hint="cs"/>
          <w:spacing w:val="0"/>
          <w:kern w:val="0"/>
          <w:sz w:val="20"/>
          <w:rtl/>
        </w:rPr>
        <w:t>ال</w:t>
      </w:r>
      <w:r w:rsidRPr="008655A1">
        <w:rPr>
          <w:spacing w:val="0"/>
          <w:kern w:val="0"/>
          <w:sz w:val="20"/>
          <w:rtl/>
        </w:rPr>
        <w:t xml:space="preserve">إسلامبولي وجماعة "الإخوان المسلمون". </w:t>
      </w:r>
    </w:p>
    <w:p w:rsidR="008655A1" w:rsidRPr="008655A1" w:rsidRDefault="008655A1" w:rsidP="008655A1">
      <w:pPr>
        <w:pStyle w:val="SingleTxtGA"/>
        <w:jc w:val="lowKashida"/>
        <w:rPr>
          <w:rFonts w:hint="cs"/>
          <w:spacing w:val="0"/>
          <w:kern w:val="0"/>
          <w:sz w:val="20"/>
          <w:rtl/>
        </w:rPr>
      </w:pPr>
      <w:r w:rsidRPr="008655A1">
        <w:rPr>
          <w:spacing w:val="0"/>
          <w:kern w:val="0"/>
          <w:sz w:val="20"/>
          <w:rtl/>
        </w:rPr>
        <w:t>2-7</w:t>
      </w:r>
      <w:r w:rsidRPr="008655A1">
        <w:rPr>
          <w:rFonts w:hint="cs"/>
          <w:spacing w:val="0"/>
          <w:kern w:val="0"/>
          <w:sz w:val="20"/>
          <w:rtl/>
        </w:rPr>
        <w:tab/>
      </w:r>
      <w:r w:rsidRPr="008655A1">
        <w:rPr>
          <w:spacing w:val="0"/>
          <w:kern w:val="0"/>
          <w:sz w:val="20"/>
          <w:rtl/>
        </w:rPr>
        <w:t>ويدعي صاحب الشكوى الأول أنه تعرض للاعتقال</w:t>
      </w:r>
      <w:r w:rsidRPr="008655A1">
        <w:rPr>
          <w:rFonts w:hint="cs"/>
          <w:spacing w:val="0"/>
          <w:kern w:val="0"/>
          <w:sz w:val="20"/>
          <w:rtl/>
        </w:rPr>
        <w:t xml:space="preserve"> والتعذيب</w:t>
      </w:r>
      <w:r w:rsidRPr="008655A1">
        <w:rPr>
          <w:spacing w:val="0"/>
          <w:kern w:val="0"/>
          <w:sz w:val="20"/>
          <w:rtl/>
        </w:rPr>
        <w:t xml:space="preserve"> ست مرات في المجموع قبل أن يلوذ بالفرار إلى المملكة العربية السعودية في عام 1987. وعندما فطنت الشرطة في مصر إلى هروبه إلى المملكة، جرى استجواب زوجته وتدمير </w:t>
      </w:r>
      <w:r w:rsidRPr="008655A1">
        <w:rPr>
          <w:rFonts w:hint="cs"/>
          <w:spacing w:val="0"/>
          <w:kern w:val="0"/>
          <w:sz w:val="20"/>
          <w:rtl/>
        </w:rPr>
        <w:t>منزله</w:t>
      </w:r>
      <w:r w:rsidRPr="008655A1">
        <w:rPr>
          <w:spacing w:val="0"/>
          <w:kern w:val="0"/>
          <w:sz w:val="20"/>
          <w:rtl/>
        </w:rPr>
        <w:t>. وقام صاحب الشكوى الأول بوضع الترتيبات اللازمة لتلتحق به زوجته وأبناؤه في السعودية بعد مرور 15 شهرا</w:t>
      </w:r>
      <w:r w:rsidRPr="008655A1">
        <w:rPr>
          <w:rFonts w:hint="cs"/>
          <w:spacing w:val="0"/>
          <w:kern w:val="0"/>
          <w:sz w:val="20"/>
          <w:rtl/>
        </w:rPr>
        <w:t>ً</w:t>
      </w:r>
      <w:r w:rsidRPr="008655A1">
        <w:rPr>
          <w:spacing w:val="0"/>
          <w:kern w:val="0"/>
          <w:sz w:val="20"/>
          <w:rtl/>
        </w:rPr>
        <w:t xml:space="preserve"> على الحادثة. وفي غضون ذلك، عاد والداه إلى مصر بعد أن طعنا في السن</w:t>
      </w:r>
      <w:r w:rsidRPr="008655A1">
        <w:rPr>
          <w:rFonts w:hint="cs"/>
          <w:spacing w:val="0"/>
          <w:kern w:val="0"/>
          <w:sz w:val="20"/>
          <w:rtl/>
        </w:rPr>
        <w:t xml:space="preserve"> لئلا يموتا في الخارج</w:t>
      </w:r>
      <w:r w:rsidRPr="008655A1">
        <w:rPr>
          <w:spacing w:val="0"/>
          <w:kern w:val="0"/>
          <w:sz w:val="20"/>
          <w:rtl/>
        </w:rPr>
        <w:t xml:space="preserve">. ويدعي صاحب الشكوى الأول أن والده اعتقل واستُجوب. وهو لا يعلم ما جرى له بالضبط </w:t>
      </w:r>
      <w:r w:rsidRPr="008655A1">
        <w:rPr>
          <w:rFonts w:hint="cs"/>
          <w:spacing w:val="0"/>
          <w:kern w:val="0"/>
          <w:sz w:val="20"/>
          <w:rtl/>
        </w:rPr>
        <w:t xml:space="preserve">لكن </w:t>
      </w:r>
      <w:r w:rsidRPr="008655A1">
        <w:rPr>
          <w:spacing w:val="0"/>
          <w:kern w:val="0"/>
          <w:sz w:val="20"/>
          <w:rtl/>
        </w:rPr>
        <w:t>"</w:t>
      </w:r>
      <w:r w:rsidRPr="008655A1">
        <w:rPr>
          <w:rFonts w:hint="cs"/>
          <w:spacing w:val="0"/>
          <w:kern w:val="0"/>
          <w:sz w:val="20"/>
          <w:rtl/>
        </w:rPr>
        <w:t xml:space="preserve">الأمر </w:t>
      </w:r>
      <w:r w:rsidRPr="008655A1">
        <w:rPr>
          <w:spacing w:val="0"/>
          <w:kern w:val="0"/>
          <w:sz w:val="20"/>
          <w:rtl/>
        </w:rPr>
        <w:t xml:space="preserve">انتهى به </w:t>
      </w:r>
      <w:r w:rsidRPr="008655A1">
        <w:rPr>
          <w:rFonts w:hint="cs"/>
          <w:spacing w:val="0"/>
          <w:kern w:val="0"/>
          <w:sz w:val="20"/>
          <w:rtl/>
        </w:rPr>
        <w:t xml:space="preserve">إلى </w:t>
      </w:r>
      <w:r w:rsidRPr="008655A1">
        <w:rPr>
          <w:spacing w:val="0"/>
          <w:kern w:val="0"/>
          <w:sz w:val="20"/>
          <w:rtl/>
        </w:rPr>
        <w:t xml:space="preserve">المستشفى </w:t>
      </w:r>
      <w:r w:rsidRPr="008655A1">
        <w:rPr>
          <w:rFonts w:hint="cs"/>
          <w:spacing w:val="0"/>
          <w:kern w:val="0"/>
          <w:sz w:val="20"/>
          <w:rtl/>
        </w:rPr>
        <w:t>مصاباً بجروح بالغة</w:t>
      </w:r>
      <w:r w:rsidRPr="008655A1">
        <w:rPr>
          <w:spacing w:val="0"/>
          <w:kern w:val="0"/>
          <w:sz w:val="20"/>
          <w:rtl/>
        </w:rPr>
        <w:t xml:space="preserve">". ولا يستبعد صاحب الشكوى الأول أن يكون والده قد تعرض للتعذيب. </w:t>
      </w:r>
    </w:p>
    <w:p w:rsidR="008655A1" w:rsidRPr="008655A1" w:rsidRDefault="008655A1" w:rsidP="007C1878">
      <w:pPr>
        <w:pStyle w:val="SingleTxtGA"/>
        <w:spacing w:line="374" w:lineRule="exact"/>
        <w:jc w:val="lowKashida"/>
        <w:rPr>
          <w:rFonts w:hint="cs"/>
          <w:spacing w:val="0"/>
          <w:kern w:val="0"/>
          <w:sz w:val="20"/>
          <w:rtl/>
        </w:rPr>
      </w:pPr>
      <w:r w:rsidRPr="008655A1">
        <w:rPr>
          <w:spacing w:val="0"/>
          <w:kern w:val="0"/>
          <w:sz w:val="20"/>
          <w:rtl/>
        </w:rPr>
        <w:t>2-8</w:t>
      </w:r>
      <w:r w:rsidRPr="008655A1">
        <w:rPr>
          <w:rFonts w:hint="cs"/>
          <w:spacing w:val="0"/>
          <w:kern w:val="0"/>
          <w:sz w:val="20"/>
          <w:rtl/>
        </w:rPr>
        <w:tab/>
      </w:r>
      <w:r w:rsidRPr="008655A1">
        <w:rPr>
          <w:spacing w:val="0"/>
          <w:kern w:val="0"/>
          <w:sz w:val="20"/>
          <w:rtl/>
        </w:rPr>
        <w:t xml:space="preserve">ومكث صاحب الشكوى الأول وزوجته وأبناؤه في السعودية حتى عام 1997. وأفاد بأنه أنشأ أثناء عمله في المملكة منظمة للدفاع عن حقوق العمال الوافدين، الأمر الذي جلب له فيما يبدو، مشاكل مع السلطات السعودية. وكان </w:t>
      </w:r>
      <w:r w:rsidRPr="008655A1">
        <w:rPr>
          <w:rFonts w:hint="cs"/>
          <w:spacing w:val="0"/>
          <w:kern w:val="0"/>
          <w:sz w:val="20"/>
          <w:rtl/>
        </w:rPr>
        <w:t xml:space="preserve">هذا أحد </w:t>
      </w:r>
      <w:r w:rsidRPr="008655A1">
        <w:rPr>
          <w:spacing w:val="0"/>
          <w:kern w:val="0"/>
          <w:sz w:val="20"/>
          <w:rtl/>
        </w:rPr>
        <w:t>الأسباب وراء عدم تجديد عقده في السعودية وترحيل أسرته. وأُجبر صاحب الشكوى الأول على مغادرة البلد في عام 1997. فانتقل في بداية الأمر إلى الإمارات العربية المتحدة ثم إلى عُمان في حزيران/يونيه 1999، حيث عاش مع أسرته حتى عام 2007. وأثناء فترة عمله في عُمان أنشأ صاحب الشكوى الأول موقعا</w:t>
      </w:r>
      <w:r w:rsidRPr="008655A1">
        <w:rPr>
          <w:rFonts w:hint="cs"/>
          <w:spacing w:val="0"/>
          <w:kern w:val="0"/>
          <w:sz w:val="20"/>
          <w:rtl/>
        </w:rPr>
        <w:t>ً</w:t>
      </w:r>
      <w:r w:rsidRPr="008655A1">
        <w:rPr>
          <w:spacing w:val="0"/>
          <w:kern w:val="0"/>
          <w:sz w:val="20"/>
          <w:rtl/>
        </w:rPr>
        <w:t xml:space="preserve"> </w:t>
      </w:r>
      <w:r w:rsidRPr="008655A1">
        <w:rPr>
          <w:rFonts w:hint="cs"/>
          <w:spacing w:val="0"/>
          <w:kern w:val="0"/>
          <w:sz w:val="20"/>
          <w:rtl/>
        </w:rPr>
        <w:t xml:space="preserve">شبكياً </w:t>
      </w:r>
      <w:r w:rsidRPr="008655A1">
        <w:rPr>
          <w:spacing w:val="0"/>
          <w:kern w:val="0"/>
          <w:sz w:val="20"/>
          <w:rtl/>
        </w:rPr>
        <w:t xml:space="preserve">يتضمن معلومات عن "الشخصيات المرموقة" في البلد. وعندما </w:t>
      </w:r>
      <w:r w:rsidRPr="008655A1">
        <w:rPr>
          <w:rFonts w:hint="cs"/>
          <w:spacing w:val="0"/>
          <w:kern w:val="0"/>
          <w:sz w:val="20"/>
          <w:rtl/>
        </w:rPr>
        <w:t xml:space="preserve">نُشر </w:t>
      </w:r>
      <w:r w:rsidRPr="008655A1">
        <w:rPr>
          <w:spacing w:val="0"/>
          <w:kern w:val="0"/>
          <w:sz w:val="20"/>
          <w:rtl/>
        </w:rPr>
        <w:t xml:space="preserve">الموقع على شبكة الإنترنت، اعتقلته شرطة </w:t>
      </w:r>
      <w:r w:rsidRPr="008655A1">
        <w:rPr>
          <w:rFonts w:hint="cs"/>
          <w:spacing w:val="0"/>
          <w:kern w:val="0"/>
          <w:sz w:val="20"/>
          <w:rtl/>
        </w:rPr>
        <w:t>عمان السلطانية</w:t>
      </w:r>
      <w:r w:rsidRPr="008655A1">
        <w:rPr>
          <w:spacing w:val="0"/>
          <w:kern w:val="0"/>
          <w:sz w:val="20"/>
          <w:rtl/>
        </w:rPr>
        <w:t xml:space="preserve"> وصادرت الحواسيب والوثائق وحظرت الموقع. وزعم صاحب الشكوى الأول أن شرطة الأمن هددته وقالت له إن "الشخصية المرموقة" الوحيدة في البلد هي السلطان. </w:t>
      </w:r>
      <w:r w:rsidRPr="008655A1">
        <w:rPr>
          <w:rFonts w:hint="cs"/>
          <w:spacing w:val="0"/>
          <w:kern w:val="0"/>
          <w:sz w:val="20"/>
          <w:rtl/>
        </w:rPr>
        <w:t>ووضعته</w:t>
      </w:r>
      <w:r w:rsidRPr="008655A1">
        <w:rPr>
          <w:spacing w:val="0"/>
          <w:kern w:val="0"/>
          <w:sz w:val="20"/>
          <w:rtl/>
        </w:rPr>
        <w:t xml:space="preserve"> الشرطة </w:t>
      </w:r>
      <w:r w:rsidRPr="008655A1">
        <w:rPr>
          <w:rFonts w:hint="cs"/>
          <w:spacing w:val="0"/>
          <w:kern w:val="0"/>
          <w:sz w:val="20"/>
          <w:rtl/>
        </w:rPr>
        <w:t xml:space="preserve">تحت </w:t>
      </w:r>
      <w:r w:rsidRPr="008655A1">
        <w:rPr>
          <w:spacing w:val="0"/>
          <w:kern w:val="0"/>
          <w:sz w:val="20"/>
          <w:rtl/>
        </w:rPr>
        <w:t>المراقبة ولم يُجدَّد له عقد العمل مما يعني ضمنا</w:t>
      </w:r>
      <w:r w:rsidRPr="008655A1">
        <w:rPr>
          <w:rFonts w:hint="cs"/>
          <w:spacing w:val="0"/>
          <w:kern w:val="0"/>
          <w:sz w:val="20"/>
          <w:rtl/>
        </w:rPr>
        <w:t>ً</w:t>
      </w:r>
      <w:r w:rsidRPr="008655A1">
        <w:rPr>
          <w:spacing w:val="0"/>
          <w:kern w:val="0"/>
          <w:sz w:val="20"/>
          <w:rtl/>
        </w:rPr>
        <w:t xml:space="preserve"> ترحيله من البلد. واستدعته الشرطة لاستجوابه فانتابه خوف شديد وفر من عمان مع أسرته بدل</w:t>
      </w:r>
      <w:r w:rsidRPr="008655A1">
        <w:rPr>
          <w:rFonts w:hint="cs"/>
          <w:spacing w:val="0"/>
          <w:kern w:val="0"/>
          <w:sz w:val="20"/>
          <w:rtl/>
        </w:rPr>
        <w:t>اً من</w:t>
      </w:r>
      <w:r w:rsidRPr="008655A1">
        <w:rPr>
          <w:spacing w:val="0"/>
          <w:kern w:val="0"/>
          <w:sz w:val="20"/>
          <w:rtl/>
        </w:rPr>
        <w:t xml:space="preserve"> المثول أمامها. </w:t>
      </w:r>
    </w:p>
    <w:p w:rsidR="008655A1" w:rsidRPr="008655A1" w:rsidRDefault="008655A1" w:rsidP="007C1878">
      <w:pPr>
        <w:pStyle w:val="H4GA"/>
        <w:spacing w:line="374" w:lineRule="exact"/>
        <w:jc w:val="lowKashida"/>
        <w:rPr>
          <w:spacing w:val="0"/>
          <w:kern w:val="0"/>
          <w:sz w:val="20"/>
          <w:rtl/>
        </w:rPr>
      </w:pPr>
      <w:r w:rsidRPr="008655A1">
        <w:rPr>
          <w:rFonts w:hint="cs"/>
          <w:spacing w:val="0"/>
          <w:kern w:val="0"/>
          <w:sz w:val="20"/>
          <w:rtl/>
        </w:rPr>
        <w:tab/>
      </w:r>
      <w:r w:rsidRPr="008655A1">
        <w:rPr>
          <w:spacing w:val="0"/>
          <w:kern w:val="0"/>
          <w:sz w:val="20"/>
          <w:rtl/>
        </w:rPr>
        <w:tab/>
        <w:t>قضية ن.</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(صاحبة الشكوى الثانية)</w:t>
      </w:r>
    </w:p>
    <w:p w:rsidR="008655A1" w:rsidRPr="007C1878" w:rsidRDefault="008655A1" w:rsidP="007C1878">
      <w:pPr>
        <w:pStyle w:val="SingleTxtGA"/>
        <w:spacing w:line="374" w:lineRule="exact"/>
        <w:jc w:val="lowKashida"/>
        <w:rPr>
          <w:rFonts w:hint="cs"/>
          <w:spacing w:val="-2"/>
          <w:kern w:val="0"/>
          <w:sz w:val="20"/>
          <w:rtl/>
        </w:rPr>
      </w:pPr>
      <w:r w:rsidRPr="008655A1">
        <w:rPr>
          <w:spacing w:val="0"/>
          <w:kern w:val="0"/>
          <w:sz w:val="20"/>
          <w:rtl/>
        </w:rPr>
        <w:t>2-9</w:t>
      </w:r>
      <w:r w:rsidRPr="008655A1">
        <w:rPr>
          <w:rFonts w:hint="cs"/>
          <w:spacing w:val="0"/>
          <w:kern w:val="0"/>
          <w:sz w:val="20"/>
          <w:rtl/>
        </w:rPr>
        <w:tab/>
      </w:r>
      <w:r w:rsidRPr="008655A1">
        <w:rPr>
          <w:spacing w:val="0"/>
          <w:kern w:val="0"/>
          <w:sz w:val="20"/>
          <w:rtl/>
        </w:rPr>
        <w:t>ولدت الابنة البكر للأسرة، ن.</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xml:space="preserve">.، في القاهرة وانتقلت إلى السعودية مع والدتها في عام 1988. وتلقت تعليمها على مر السنين في كل من السعودية ومصر وعمان. وعادت إلى مصر في عام 2002، لدخول الجامعة إذ لم يتسن لها الالتحاق بها في عمان. وتابعت دراستها الجامعية حتى صيف عام 2006. وخلال الفترة الدراسية تنقلت صاحبة الشكوى الثانية عدة مرات بين مصر وعُمان؛ وكانت </w:t>
      </w:r>
      <w:r w:rsidRPr="008655A1">
        <w:rPr>
          <w:rFonts w:hint="cs"/>
          <w:spacing w:val="0"/>
          <w:kern w:val="0"/>
          <w:sz w:val="20"/>
          <w:rtl/>
        </w:rPr>
        <w:t xml:space="preserve">كلما دخلت </w:t>
      </w:r>
      <w:r w:rsidRPr="008655A1">
        <w:rPr>
          <w:spacing w:val="0"/>
          <w:kern w:val="0"/>
          <w:sz w:val="20"/>
          <w:rtl/>
        </w:rPr>
        <w:t xml:space="preserve">مصر </w:t>
      </w:r>
      <w:r w:rsidRPr="008655A1">
        <w:rPr>
          <w:rFonts w:hint="cs"/>
          <w:spacing w:val="0"/>
          <w:kern w:val="0"/>
          <w:sz w:val="20"/>
          <w:rtl/>
        </w:rPr>
        <w:t>اقتيدت</w:t>
      </w:r>
      <w:r w:rsidRPr="008655A1">
        <w:rPr>
          <w:spacing w:val="0"/>
          <w:kern w:val="0"/>
          <w:sz w:val="20"/>
          <w:rtl/>
        </w:rPr>
        <w:t xml:space="preserve"> إلى غرفة استجواب خاصة، وتُسأل عن والدها والأسباب التي دعته إلى مغادرة البلد إلى السعودية وعن </w:t>
      </w:r>
      <w:r w:rsidRPr="007C1878">
        <w:rPr>
          <w:spacing w:val="-2"/>
          <w:kern w:val="0"/>
          <w:sz w:val="20"/>
          <w:rtl/>
        </w:rPr>
        <w:t>علاقاته في مصر. وكان المحققون يعاملونها دائما</w:t>
      </w:r>
      <w:r w:rsidRPr="007C1878">
        <w:rPr>
          <w:rFonts w:hint="cs"/>
          <w:spacing w:val="-2"/>
          <w:kern w:val="0"/>
          <w:sz w:val="20"/>
          <w:rtl/>
        </w:rPr>
        <w:t>ً</w:t>
      </w:r>
      <w:r w:rsidRPr="007C1878">
        <w:rPr>
          <w:spacing w:val="-2"/>
          <w:kern w:val="0"/>
          <w:sz w:val="20"/>
          <w:rtl/>
        </w:rPr>
        <w:t xml:space="preserve"> بطريقة مهينة فيتلفظون بعبارات بذيئة فيها إهانة لها ولأسرتها. وبثوا في نفسها الخوف على حياتها وسلامتها. وقد استدعتها قوات الأمن ثلاث مرات لاستجوابها. وفي المرة الثالثة، تولى أحد </w:t>
      </w:r>
      <w:r w:rsidRPr="007C1878">
        <w:rPr>
          <w:rFonts w:hint="cs"/>
          <w:spacing w:val="-2"/>
          <w:kern w:val="0"/>
          <w:sz w:val="20"/>
          <w:rtl/>
        </w:rPr>
        <w:t>أفراد مباحث أمن الدولة</w:t>
      </w:r>
      <w:r w:rsidRPr="007C1878">
        <w:rPr>
          <w:spacing w:val="-2"/>
          <w:kern w:val="0"/>
          <w:sz w:val="20"/>
          <w:rtl/>
        </w:rPr>
        <w:t xml:space="preserve"> استجواب صاحبة الشكوى الثانية مرة أخرى، في ربيع عام 2006، بشأن والدها، فأخذ الضابط بطاقة هويتها، وأغلق الباب وأطبق بقبضتيه على صدرها وسوءتها وقام بحركات فاجرة فيها امتهان لها ولحرمة جسدها. فانتابها الذعر وحاولت عدم </w:t>
      </w:r>
      <w:r w:rsidRPr="007C1878">
        <w:rPr>
          <w:rFonts w:hint="cs"/>
          <w:spacing w:val="-2"/>
          <w:kern w:val="0"/>
          <w:sz w:val="20"/>
          <w:rtl/>
        </w:rPr>
        <w:t>إغضابه</w:t>
      </w:r>
      <w:r w:rsidRPr="007C1878">
        <w:rPr>
          <w:spacing w:val="-2"/>
          <w:kern w:val="0"/>
          <w:sz w:val="20"/>
          <w:rtl/>
        </w:rPr>
        <w:t>. وواصل تحرشه لمدة لا تقل عن ساعة. وبعد ذلك، أخرجها من الغرفة ورمى ببطاقة هويتها وهددها بعقد "</w:t>
      </w:r>
      <w:r w:rsidRPr="007C1878">
        <w:rPr>
          <w:rFonts w:hint="cs"/>
          <w:spacing w:val="-2"/>
          <w:kern w:val="0"/>
          <w:sz w:val="20"/>
          <w:rtl/>
        </w:rPr>
        <w:t>اتصالات</w:t>
      </w:r>
      <w:r w:rsidRPr="007C1878">
        <w:rPr>
          <w:spacing w:val="-2"/>
          <w:kern w:val="0"/>
          <w:sz w:val="20"/>
          <w:rtl/>
        </w:rPr>
        <w:t xml:space="preserve"> كثيرة" </w:t>
      </w:r>
      <w:r w:rsidRPr="007C1878">
        <w:rPr>
          <w:rFonts w:hint="cs"/>
          <w:spacing w:val="-2"/>
          <w:kern w:val="0"/>
          <w:sz w:val="20"/>
          <w:rtl/>
        </w:rPr>
        <w:t xml:space="preserve">معها </w:t>
      </w:r>
      <w:r w:rsidRPr="007C1878">
        <w:rPr>
          <w:spacing w:val="-2"/>
          <w:kern w:val="0"/>
          <w:sz w:val="20"/>
          <w:rtl/>
        </w:rPr>
        <w:t xml:space="preserve">في المستقبل. </w:t>
      </w:r>
      <w:r w:rsidRPr="007C1878">
        <w:rPr>
          <w:rFonts w:hint="cs"/>
          <w:spacing w:val="-2"/>
          <w:kern w:val="0"/>
          <w:sz w:val="20"/>
          <w:rtl/>
        </w:rPr>
        <w:t>ف</w:t>
      </w:r>
      <w:r w:rsidRPr="007C1878">
        <w:rPr>
          <w:spacing w:val="-2"/>
          <w:kern w:val="0"/>
          <w:sz w:val="20"/>
          <w:rtl/>
        </w:rPr>
        <w:t xml:space="preserve">أصيبت صاحبة الشكوى الثانية بالذعر وغادرت مصر برفقة شقيقتها الصغرى لتلتحق بأهلها في عُمان. وهناك أقامت في منزل والديها إلى أن سافرت الأسرة إلى السويد. </w:t>
      </w:r>
    </w:p>
    <w:p w:rsidR="008655A1" w:rsidRPr="008655A1" w:rsidRDefault="008655A1" w:rsidP="008655A1">
      <w:pPr>
        <w:pStyle w:val="H4GA"/>
        <w:jc w:val="lowKashida"/>
        <w:rPr>
          <w:spacing w:val="0"/>
          <w:kern w:val="0"/>
          <w:sz w:val="20"/>
          <w:rtl/>
        </w:rPr>
      </w:pPr>
      <w:r w:rsidRPr="008655A1">
        <w:rPr>
          <w:rFonts w:hint="cs"/>
          <w:spacing w:val="0"/>
          <w:kern w:val="0"/>
          <w:sz w:val="20"/>
          <w:rtl/>
        </w:rPr>
        <w:tab/>
      </w:r>
      <w:r w:rsidRPr="008655A1">
        <w:rPr>
          <w:spacing w:val="0"/>
          <w:kern w:val="0"/>
          <w:sz w:val="20"/>
          <w:rtl/>
        </w:rPr>
        <w:tab/>
        <w:t>قضية أ</w:t>
      </w:r>
      <w:r w:rsidRPr="008655A1">
        <w:rPr>
          <w:rFonts w:hint="cs"/>
          <w:spacing w:val="0"/>
          <w:kern w:val="0"/>
          <w:sz w:val="20"/>
          <w:rtl/>
        </w:rPr>
        <w:t>د</w:t>
      </w:r>
      <w:r w:rsidRPr="008655A1">
        <w:rPr>
          <w:spacing w:val="0"/>
          <w:kern w:val="0"/>
          <w:sz w:val="20"/>
          <w:rtl/>
        </w:rPr>
        <w:t>.</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(صاحب الشكوى الثالث)</w:t>
      </w:r>
    </w:p>
    <w:p w:rsidR="008655A1" w:rsidRPr="008655A1" w:rsidRDefault="008655A1" w:rsidP="0020182D">
      <w:pPr>
        <w:pStyle w:val="SingleTxtGA"/>
        <w:jc w:val="lowKashida"/>
        <w:rPr>
          <w:spacing w:val="0"/>
          <w:kern w:val="0"/>
          <w:sz w:val="20"/>
          <w:rtl/>
        </w:rPr>
      </w:pPr>
      <w:r w:rsidRPr="008655A1">
        <w:rPr>
          <w:spacing w:val="0"/>
          <w:kern w:val="0"/>
          <w:sz w:val="20"/>
          <w:rtl/>
        </w:rPr>
        <w:t>2-10</w:t>
      </w:r>
      <w:r w:rsidRPr="008655A1">
        <w:rPr>
          <w:rFonts w:hint="cs"/>
          <w:spacing w:val="0"/>
          <w:kern w:val="0"/>
          <w:sz w:val="20"/>
          <w:rtl/>
        </w:rPr>
        <w:tab/>
      </w:r>
      <w:r w:rsidRPr="008655A1">
        <w:rPr>
          <w:spacing w:val="0"/>
          <w:kern w:val="0"/>
          <w:sz w:val="20"/>
          <w:rtl/>
        </w:rPr>
        <w:t>ولد الابن الثاني للأسرة، أ</w:t>
      </w:r>
      <w:r w:rsidRPr="008655A1">
        <w:rPr>
          <w:rFonts w:hint="cs"/>
          <w:spacing w:val="0"/>
          <w:kern w:val="0"/>
          <w:sz w:val="20"/>
          <w:rtl/>
        </w:rPr>
        <w:t>د</w:t>
      </w:r>
      <w:r w:rsidRPr="008655A1">
        <w:rPr>
          <w:spacing w:val="0"/>
          <w:kern w:val="0"/>
          <w:sz w:val="20"/>
          <w:rtl/>
        </w:rPr>
        <w:t>.</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في القاهرة وسافر إلى</w:t>
      </w:r>
      <w:r w:rsidRPr="008655A1">
        <w:rPr>
          <w:rFonts w:hint="cs"/>
          <w:spacing w:val="0"/>
          <w:kern w:val="0"/>
          <w:sz w:val="20"/>
          <w:rtl/>
        </w:rPr>
        <w:t xml:space="preserve"> المملكة العربية</w:t>
      </w:r>
      <w:r w:rsidRPr="008655A1">
        <w:rPr>
          <w:spacing w:val="0"/>
          <w:kern w:val="0"/>
          <w:sz w:val="20"/>
          <w:rtl/>
        </w:rPr>
        <w:t xml:space="preserve"> السعودية مع والدته في عام 1988. وتلقى تعليمه على مر السنين، في كل من السعودية ومصر وعُمان. وعاد صاحب الشكوى الثالث إلى مصر في عام 2004 للالتحاق بالجامعة إذ</w:t>
      </w:r>
      <w:r w:rsidR="0020182D">
        <w:rPr>
          <w:rFonts w:hint="cs"/>
          <w:spacing w:val="0"/>
          <w:kern w:val="0"/>
          <w:sz w:val="20"/>
          <w:rtl/>
        </w:rPr>
        <w:t> </w:t>
      </w:r>
      <w:r w:rsidRPr="008655A1">
        <w:rPr>
          <w:spacing w:val="0"/>
          <w:kern w:val="0"/>
          <w:sz w:val="20"/>
          <w:rtl/>
        </w:rPr>
        <w:t xml:space="preserve">لم يتسن له ذلك في عُمان. ولدى وصوله </w:t>
      </w:r>
      <w:r w:rsidRPr="008655A1">
        <w:rPr>
          <w:rFonts w:hint="cs"/>
          <w:spacing w:val="0"/>
          <w:kern w:val="0"/>
          <w:sz w:val="20"/>
          <w:rtl/>
        </w:rPr>
        <w:t xml:space="preserve">أُلقي القبض عليه </w:t>
      </w:r>
      <w:r w:rsidRPr="008655A1">
        <w:rPr>
          <w:spacing w:val="0"/>
          <w:kern w:val="0"/>
          <w:sz w:val="20"/>
          <w:rtl/>
        </w:rPr>
        <w:t>عند نقطة مراقبة الجوازات في المطار، وجرى استجوابه بشأن أنشطة والده ومكان وجوده وتم أخذ بعض الأغراض الشخصية من حقيبته. وطلبت منه شرطة الحدود إبلاغها كلما قام بتغيير عنوانه. و</w:t>
      </w:r>
      <w:r w:rsidRPr="008655A1">
        <w:rPr>
          <w:rFonts w:hint="cs"/>
          <w:spacing w:val="0"/>
          <w:kern w:val="0"/>
          <w:sz w:val="20"/>
          <w:rtl/>
        </w:rPr>
        <w:t xml:space="preserve">قد </w:t>
      </w:r>
      <w:r w:rsidRPr="008655A1">
        <w:rPr>
          <w:spacing w:val="0"/>
          <w:kern w:val="0"/>
          <w:sz w:val="20"/>
          <w:rtl/>
        </w:rPr>
        <w:t>وصل صاحب الشكوى الثالث إلى المطار في الصباح ولم يُخلَ سبيله إلا في المساء. وزعم أن شرطة الحدود أبلغته لدى إخلاء سبيله، بأن لقاءاتهم به ستكثر من الآن فصاعدا</w:t>
      </w:r>
      <w:r w:rsidRPr="008655A1">
        <w:rPr>
          <w:rFonts w:hint="cs"/>
          <w:spacing w:val="0"/>
          <w:kern w:val="0"/>
          <w:sz w:val="20"/>
          <w:rtl/>
        </w:rPr>
        <w:t>ً</w:t>
      </w:r>
      <w:r w:rsidRPr="008655A1">
        <w:rPr>
          <w:spacing w:val="0"/>
          <w:kern w:val="0"/>
          <w:sz w:val="20"/>
          <w:rtl/>
        </w:rPr>
        <w:t>، وطلبت منه أن يخبر والده بذلك. وبعد مرور حوالي شهرين، اتخذ هذا الأخير لنفسه مسكنا</w:t>
      </w:r>
      <w:r w:rsidRPr="008655A1">
        <w:rPr>
          <w:rFonts w:hint="cs"/>
          <w:spacing w:val="0"/>
          <w:kern w:val="0"/>
          <w:sz w:val="20"/>
          <w:rtl/>
        </w:rPr>
        <w:t>ً</w:t>
      </w:r>
      <w:r w:rsidRPr="008655A1">
        <w:rPr>
          <w:spacing w:val="0"/>
          <w:kern w:val="0"/>
          <w:sz w:val="20"/>
          <w:rtl/>
        </w:rPr>
        <w:t xml:space="preserve"> خاصا</w:t>
      </w:r>
      <w:r w:rsidRPr="008655A1">
        <w:rPr>
          <w:rFonts w:hint="cs"/>
          <w:spacing w:val="0"/>
          <w:kern w:val="0"/>
          <w:sz w:val="20"/>
          <w:rtl/>
        </w:rPr>
        <w:t>ً</w:t>
      </w:r>
      <w:r w:rsidRPr="008655A1">
        <w:rPr>
          <w:spacing w:val="0"/>
          <w:kern w:val="0"/>
          <w:sz w:val="20"/>
          <w:rtl/>
        </w:rPr>
        <w:t xml:space="preserve"> وأبلغ الشرطة بعنوانه بناء على طلبها. وبعد بضعة أيام استدعته الشرطة. وهناك تم تكبيله ووضع كيس على رأسه واقتيد إلى مكان آخر. وبعد يوم ونصف شُرع في استجوابه بشأن والده. وصاح مستجوبوه في وجهه بكلام بذيء وشتموه وأهانوه. وبعد استجوابه لبضع ساعات أخلي سبيله في الشارع الذي يقطن فيه.</w:t>
      </w:r>
    </w:p>
    <w:p w:rsidR="008655A1" w:rsidRPr="008655A1" w:rsidRDefault="008655A1" w:rsidP="008655A1">
      <w:pPr>
        <w:pStyle w:val="SingleTxtGA"/>
        <w:jc w:val="lowKashida"/>
        <w:rPr>
          <w:rFonts w:hint="cs"/>
          <w:spacing w:val="0"/>
          <w:kern w:val="0"/>
          <w:sz w:val="20"/>
          <w:rtl/>
        </w:rPr>
      </w:pPr>
      <w:r w:rsidRPr="008655A1">
        <w:rPr>
          <w:spacing w:val="0"/>
          <w:kern w:val="0"/>
          <w:sz w:val="20"/>
          <w:rtl/>
        </w:rPr>
        <w:t>2-11</w:t>
      </w:r>
      <w:r w:rsidRPr="008655A1">
        <w:rPr>
          <w:rFonts w:hint="cs"/>
          <w:spacing w:val="0"/>
          <w:kern w:val="0"/>
          <w:sz w:val="20"/>
          <w:rtl/>
        </w:rPr>
        <w:tab/>
      </w:r>
      <w:r w:rsidRPr="008655A1">
        <w:rPr>
          <w:spacing w:val="0"/>
          <w:kern w:val="0"/>
          <w:sz w:val="20"/>
          <w:rtl/>
        </w:rPr>
        <w:t xml:space="preserve">واعتُقل صاحب الشكوى الثالث خلال عامه الدراسي الأول لاستجوابه خمس أو ست مرات. وفي إحدى هذه المرات، وضع في زنزانة مظلمة لمدة يومين ثم أفرج عنه دون استجوابه. وبعد عامه الدراسي الأول عاد صاحب الشكوى الثالث إلى أسرته في عمان لقضاء عطلة الصيف. وبعد عودته إلى مصر بفترة قصيرة استُدعيَ للتحقيق. وبعد ذلك، احتُجز لمدة أسبوع واستُجوب بشأن والده طيلة الوقت. ومن جملة ما سُئل عنه صاحب الشكوى الثالث ما إذا كان قد سمع عن </w:t>
      </w:r>
      <w:r w:rsidRPr="008655A1">
        <w:rPr>
          <w:rFonts w:hint="cs"/>
          <w:spacing w:val="0"/>
          <w:kern w:val="0"/>
          <w:sz w:val="20"/>
          <w:rtl/>
        </w:rPr>
        <w:t>مباحث أمن الدولة</w:t>
      </w:r>
      <w:r w:rsidRPr="008655A1">
        <w:rPr>
          <w:spacing w:val="0"/>
          <w:kern w:val="0"/>
          <w:sz w:val="20"/>
          <w:rtl/>
        </w:rPr>
        <w:t>. وأثناء احتجازه تعرض</w:t>
      </w:r>
      <w:r w:rsidRPr="008655A1">
        <w:rPr>
          <w:rFonts w:hint="cs"/>
          <w:spacing w:val="0"/>
          <w:kern w:val="0"/>
          <w:sz w:val="20"/>
          <w:rtl/>
        </w:rPr>
        <w:t xml:space="preserve">  </w:t>
      </w:r>
      <w:r w:rsidRPr="008655A1">
        <w:rPr>
          <w:spacing w:val="0"/>
          <w:kern w:val="0"/>
          <w:sz w:val="20"/>
          <w:rtl/>
        </w:rPr>
        <w:t xml:space="preserve"> للتعذيب الجسدي والنفسي بما في ذلك الاغتصاب. وبعد الإفراج عنه طلب منه عدم إخبار أحد بما جرى. وبعد مدة تتراوح بين أربعة وخمسة أيام، قبض عليه مرة أخرى وتعرض للاغتصاب والتعذيب بشكل متكرر، وأخلي سبيله أيضا</w:t>
      </w:r>
      <w:r w:rsidRPr="008655A1">
        <w:rPr>
          <w:rFonts w:hint="cs"/>
          <w:spacing w:val="0"/>
          <w:kern w:val="0"/>
          <w:sz w:val="20"/>
          <w:rtl/>
        </w:rPr>
        <w:t>ً</w:t>
      </w:r>
      <w:r w:rsidRPr="008655A1">
        <w:rPr>
          <w:spacing w:val="0"/>
          <w:kern w:val="0"/>
          <w:sz w:val="20"/>
          <w:rtl/>
        </w:rPr>
        <w:t xml:space="preserve"> بعد مدة تتراوح بين أربعة وخمسة أيام. وفي نيسان/أبريل 2006، حاول صاحب الشكوى الثالث استكمال الامتحان النهائي لكنه </w:t>
      </w:r>
      <w:r w:rsidRPr="008655A1">
        <w:rPr>
          <w:rFonts w:hint="cs"/>
          <w:spacing w:val="0"/>
          <w:kern w:val="0"/>
          <w:sz w:val="20"/>
          <w:rtl/>
        </w:rPr>
        <w:t>اضطر إلى التخلي</w:t>
      </w:r>
      <w:r w:rsidRPr="008655A1">
        <w:rPr>
          <w:spacing w:val="0"/>
          <w:kern w:val="0"/>
          <w:sz w:val="20"/>
          <w:rtl/>
        </w:rPr>
        <w:t xml:space="preserve"> عن ذلك بسبب إصابته </w:t>
      </w:r>
      <w:r w:rsidRPr="008655A1">
        <w:rPr>
          <w:rFonts w:hint="cs"/>
          <w:spacing w:val="0"/>
          <w:kern w:val="0"/>
          <w:sz w:val="20"/>
          <w:rtl/>
        </w:rPr>
        <w:t>بإجهاد</w:t>
      </w:r>
      <w:r w:rsidRPr="008655A1">
        <w:rPr>
          <w:spacing w:val="0"/>
          <w:kern w:val="0"/>
          <w:sz w:val="20"/>
          <w:rtl/>
        </w:rPr>
        <w:t xml:space="preserve"> شديد </w:t>
      </w:r>
      <w:r w:rsidRPr="008655A1">
        <w:rPr>
          <w:rFonts w:hint="cs"/>
          <w:spacing w:val="0"/>
          <w:kern w:val="0"/>
          <w:sz w:val="20"/>
          <w:rtl/>
        </w:rPr>
        <w:t xml:space="preserve">لاحق </w:t>
      </w:r>
      <w:r w:rsidRPr="008655A1">
        <w:rPr>
          <w:spacing w:val="0"/>
          <w:kern w:val="0"/>
          <w:sz w:val="20"/>
          <w:rtl/>
        </w:rPr>
        <w:t>للصدمة. وكان يريد المغادرة لكنه لم يتمكن من ذلك ل</w:t>
      </w:r>
      <w:r w:rsidRPr="008655A1">
        <w:rPr>
          <w:rFonts w:hint="cs"/>
          <w:spacing w:val="0"/>
          <w:kern w:val="0"/>
          <w:sz w:val="20"/>
          <w:rtl/>
        </w:rPr>
        <w:t>أ</w:t>
      </w:r>
      <w:r w:rsidRPr="008655A1">
        <w:rPr>
          <w:spacing w:val="0"/>
          <w:kern w:val="0"/>
          <w:sz w:val="20"/>
          <w:rtl/>
        </w:rPr>
        <w:t xml:space="preserve">نه لم يحصل على </w:t>
      </w:r>
      <w:r w:rsidRPr="008655A1">
        <w:rPr>
          <w:rFonts w:hint="cs"/>
          <w:spacing w:val="0"/>
          <w:kern w:val="0"/>
          <w:sz w:val="20"/>
          <w:rtl/>
        </w:rPr>
        <w:t xml:space="preserve">تصريح </w:t>
      </w:r>
      <w:r w:rsidR="0020182D">
        <w:rPr>
          <w:spacing w:val="0"/>
          <w:kern w:val="0"/>
          <w:sz w:val="20"/>
          <w:rtl/>
        </w:rPr>
        <w:t>بالسفر.</w:t>
      </w:r>
    </w:p>
    <w:p w:rsidR="008655A1" w:rsidRPr="007C1878" w:rsidRDefault="008655A1" w:rsidP="007C1878">
      <w:pPr>
        <w:pStyle w:val="SingleTxtGA"/>
        <w:spacing w:line="374" w:lineRule="exact"/>
        <w:jc w:val="lowKashida"/>
        <w:rPr>
          <w:spacing w:val="0"/>
          <w:kern w:val="0"/>
          <w:sz w:val="20"/>
          <w:rtl/>
        </w:rPr>
      </w:pPr>
      <w:r w:rsidRPr="007C1878">
        <w:rPr>
          <w:spacing w:val="-2"/>
          <w:kern w:val="0"/>
          <w:sz w:val="20"/>
          <w:rtl/>
        </w:rPr>
        <w:t>2-12</w:t>
      </w:r>
      <w:r w:rsidRPr="007C1878">
        <w:rPr>
          <w:rFonts w:hint="cs"/>
          <w:spacing w:val="-2"/>
          <w:kern w:val="0"/>
          <w:sz w:val="20"/>
          <w:rtl/>
        </w:rPr>
        <w:tab/>
      </w:r>
      <w:r w:rsidRPr="007C1878">
        <w:rPr>
          <w:spacing w:val="-2"/>
          <w:kern w:val="0"/>
          <w:sz w:val="20"/>
          <w:rtl/>
        </w:rPr>
        <w:t>وفي وقت ما اتصل صاحب الشكوى الثالث بقريب له يعمل محاميا</w:t>
      </w:r>
      <w:r w:rsidRPr="007C1878">
        <w:rPr>
          <w:rFonts w:hint="cs"/>
          <w:spacing w:val="-2"/>
          <w:kern w:val="0"/>
          <w:sz w:val="20"/>
          <w:rtl/>
        </w:rPr>
        <w:t>ً</w:t>
      </w:r>
      <w:r w:rsidRPr="007C1878">
        <w:rPr>
          <w:spacing w:val="-2"/>
          <w:kern w:val="0"/>
          <w:sz w:val="20"/>
          <w:rtl/>
        </w:rPr>
        <w:t>. وعلم أنه لا بد من الحصول على شهادة طبية فذهب إلى مستشفى حكومي بعد حوالي شهر من تعرضه للاغتصاب في آخر مرة. وأخبره الطبيب أن إثبات حدوث الاغتصاب أمرٌ ممكن لكن مرور وقت طويل لا يسمح بالتعرف على هوية الجاني لأن المهلة الزمنية التي تسمح باستخدام السائل المنوي في تحديد الهوية هي أسبوعان. ولا يستطيع المستشفى الشروع في التحقيق</w:t>
      </w:r>
      <w:r w:rsidR="007C1878">
        <w:rPr>
          <w:rFonts w:hint="cs"/>
          <w:spacing w:val="-2"/>
          <w:kern w:val="0"/>
          <w:sz w:val="20"/>
          <w:rtl/>
        </w:rPr>
        <w:t xml:space="preserve"> </w:t>
      </w:r>
      <w:r w:rsidRPr="007C1878">
        <w:rPr>
          <w:spacing w:val="-2"/>
          <w:kern w:val="0"/>
          <w:sz w:val="20"/>
          <w:rtl/>
        </w:rPr>
        <w:t>إلا بناء على أمر من الشرطة مما يعني أنه ينبغي أن يقوم صاحب الشكوى الثالث بإبلاغ</w:t>
      </w:r>
      <w:r w:rsidRPr="008655A1">
        <w:rPr>
          <w:spacing w:val="0"/>
          <w:kern w:val="0"/>
          <w:sz w:val="20"/>
          <w:rtl/>
        </w:rPr>
        <w:t xml:space="preserve"> </w:t>
      </w:r>
      <w:r w:rsidRPr="007C1878">
        <w:rPr>
          <w:spacing w:val="-2"/>
          <w:kern w:val="0"/>
          <w:sz w:val="20"/>
          <w:rtl/>
        </w:rPr>
        <w:t>الشرطة عن الحادثة أولا</w:t>
      </w:r>
      <w:r w:rsidRPr="007C1878">
        <w:rPr>
          <w:rFonts w:hint="cs"/>
          <w:spacing w:val="-2"/>
          <w:kern w:val="0"/>
          <w:sz w:val="20"/>
          <w:rtl/>
        </w:rPr>
        <w:t>ً</w:t>
      </w:r>
      <w:r w:rsidRPr="007C1878">
        <w:rPr>
          <w:spacing w:val="-2"/>
          <w:kern w:val="0"/>
          <w:sz w:val="20"/>
          <w:rtl/>
        </w:rPr>
        <w:t>، وهو ما لم يجرؤ على فعله خشية منها. وعوضا</w:t>
      </w:r>
      <w:r w:rsidRPr="007C1878">
        <w:rPr>
          <w:rFonts w:hint="cs"/>
          <w:spacing w:val="-2"/>
          <w:kern w:val="0"/>
          <w:sz w:val="20"/>
          <w:rtl/>
        </w:rPr>
        <w:t>ً</w:t>
      </w:r>
      <w:r w:rsidRPr="007C1878">
        <w:rPr>
          <w:spacing w:val="-2"/>
          <w:kern w:val="0"/>
          <w:sz w:val="20"/>
          <w:rtl/>
        </w:rPr>
        <w:t xml:space="preserve"> عن ذلك، لجأ إلى مستشفى خاص أبدى استعداده لإجراء التحقيق. وبعد ذلك نصح أحد المحامين صاحب الشكوى الثالث بإغلاق ملف التحقيق لأن المضي فيه يشكل خطرا</w:t>
      </w:r>
      <w:r w:rsidRPr="007C1878">
        <w:rPr>
          <w:rFonts w:hint="cs"/>
          <w:spacing w:val="-2"/>
          <w:kern w:val="0"/>
          <w:sz w:val="20"/>
          <w:rtl/>
        </w:rPr>
        <w:t>ً</w:t>
      </w:r>
      <w:r w:rsidRPr="007C1878">
        <w:rPr>
          <w:spacing w:val="-2"/>
          <w:kern w:val="0"/>
          <w:sz w:val="20"/>
          <w:rtl/>
        </w:rPr>
        <w:t xml:space="preserve"> كبيرا</w:t>
      </w:r>
      <w:r w:rsidRPr="007C1878">
        <w:rPr>
          <w:rFonts w:hint="cs"/>
          <w:spacing w:val="-2"/>
          <w:kern w:val="0"/>
          <w:sz w:val="20"/>
          <w:rtl/>
        </w:rPr>
        <w:t>ً</w:t>
      </w:r>
      <w:r w:rsidRPr="007C1878">
        <w:rPr>
          <w:spacing w:val="-2"/>
          <w:kern w:val="0"/>
          <w:sz w:val="20"/>
          <w:rtl/>
        </w:rPr>
        <w:t xml:space="preserve"> عليه. وعمل بتلك النصيحة واستعان بطبيب نفساني ظل يتردد عليه بانتظام. وفي غضون ذلك، ظلت الشرطة تقبض عليه مرة في الأسبوع وتحتجزه لمدة ساعتين إلى ثلاث ساعات كل مرة. وكانت توجه إليه نفس الأسئلة السابقة. </w:t>
      </w:r>
      <w:r w:rsidRPr="007C1878">
        <w:rPr>
          <w:spacing w:val="0"/>
          <w:kern w:val="0"/>
          <w:sz w:val="20"/>
          <w:rtl/>
        </w:rPr>
        <w:t>ولم</w:t>
      </w:r>
      <w:r w:rsidR="007C1878" w:rsidRPr="007C1878">
        <w:rPr>
          <w:rFonts w:hint="cs"/>
          <w:spacing w:val="0"/>
          <w:kern w:val="0"/>
          <w:sz w:val="20"/>
          <w:rtl/>
        </w:rPr>
        <w:t> </w:t>
      </w:r>
      <w:r w:rsidRPr="007C1878">
        <w:rPr>
          <w:spacing w:val="0"/>
          <w:kern w:val="0"/>
          <w:sz w:val="20"/>
          <w:rtl/>
        </w:rPr>
        <w:t xml:space="preserve">يتعرض للاغتصاب لكنه تعرض للاعتداء والشتم والإهانة. وتمكن صاحب الشكوى الثالث من الحصول على </w:t>
      </w:r>
      <w:r w:rsidRPr="007C1878">
        <w:rPr>
          <w:rFonts w:hint="cs"/>
          <w:spacing w:val="0"/>
          <w:kern w:val="0"/>
          <w:sz w:val="20"/>
          <w:rtl/>
        </w:rPr>
        <w:t>تصريح</w:t>
      </w:r>
      <w:r w:rsidRPr="007C1878">
        <w:rPr>
          <w:spacing w:val="0"/>
          <w:kern w:val="0"/>
          <w:sz w:val="20"/>
          <w:rtl/>
        </w:rPr>
        <w:t xml:space="preserve"> سفر عن طريق الرشوة وغادر مصر إلى عُمان في</w:t>
      </w:r>
      <w:r w:rsidRPr="007C1878">
        <w:rPr>
          <w:rFonts w:hint="cs"/>
          <w:spacing w:val="0"/>
          <w:kern w:val="0"/>
          <w:sz w:val="20"/>
          <w:rtl/>
        </w:rPr>
        <w:t> </w:t>
      </w:r>
      <w:r w:rsidRPr="007C1878">
        <w:rPr>
          <w:spacing w:val="0"/>
          <w:kern w:val="0"/>
          <w:sz w:val="20"/>
          <w:rtl/>
        </w:rPr>
        <w:t xml:space="preserve">13 أيار/مايو 2006. ولم يستطع إخبار أسرته عما تعرض له من تعذيب في مصر. </w:t>
      </w:r>
    </w:p>
    <w:p w:rsidR="008655A1" w:rsidRPr="008655A1" w:rsidRDefault="008655A1" w:rsidP="007C1878">
      <w:pPr>
        <w:pStyle w:val="H4GA"/>
        <w:spacing w:line="374" w:lineRule="exact"/>
        <w:jc w:val="lowKashida"/>
        <w:rPr>
          <w:spacing w:val="0"/>
          <w:kern w:val="0"/>
          <w:sz w:val="20"/>
          <w:rtl/>
        </w:rPr>
      </w:pPr>
      <w:r w:rsidRPr="008655A1">
        <w:rPr>
          <w:rFonts w:hint="cs"/>
          <w:spacing w:val="0"/>
          <w:kern w:val="0"/>
          <w:sz w:val="20"/>
          <w:rtl/>
        </w:rPr>
        <w:tab/>
      </w:r>
      <w:r w:rsidRPr="008655A1">
        <w:rPr>
          <w:spacing w:val="0"/>
          <w:kern w:val="0"/>
          <w:sz w:val="20"/>
          <w:rtl/>
        </w:rPr>
        <w:tab/>
        <w:t>إجراءات منح اللجوء في السويد</w:t>
      </w:r>
    </w:p>
    <w:p w:rsidR="008655A1" w:rsidRPr="008655A1" w:rsidRDefault="008655A1" w:rsidP="007C1878">
      <w:pPr>
        <w:pStyle w:val="SingleTxtGA"/>
        <w:spacing w:line="376" w:lineRule="exact"/>
        <w:jc w:val="lowKashida"/>
        <w:rPr>
          <w:rFonts w:hint="cs"/>
          <w:spacing w:val="0"/>
          <w:kern w:val="0"/>
          <w:sz w:val="20"/>
          <w:rtl/>
        </w:rPr>
      </w:pPr>
      <w:r w:rsidRPr="008655A1">
        <w:rPr>
          <w:spacing w:val="0"/>
          <w:kern w:val="0"/>
          <w:sz w:val="20"/>
          <w:rtl/>
        </w:rPr>
        <w:t>2-13</w:t>
      </w:r>
      <w:r w:rsidRPr="008655A1">
        <w:rPr>
          <w:rFonts w:hint="cs"/>
          <w:spacing w:val="0"/>
          <w:kern w:val="0"/>
          <w:sz w:val="20"/>
          <w:rtl/>
        </w:rPr>
        <w:tab/>
      </w:r>
      <w:r w:rsidRPr="008655A1">
        <w:rPr>
          <w:spacing w:val="0"/>
          <w:kern w:val="0"/>
          <w:sz w:val="20"/>
          <w:rtl/>
        </w:rPr>
        <w:t>سافر صاحب الشكوى الأول وأسرته بالسيارة من عمان إلى قطر ومن هناك سافروا جوا</w:t>
      </w:r>
      <w:r w:rsidRPr="008655A1">
        <w:rPr>
          <w:rFonts w:hint="cs"/>
          <w:spacing w:val="0"/>
          <w:kern w:val="0"/>
          <w:sz w:val="20"/>
          <w:rtl/>
        </w:rPr>
        <w:t>ً</w:t>
      </w:r>
      <w:r w:rsidRPr="008655A1">
        <w:rPr>
          <w:spacing w:val="0"/>
          <w:kern w:val="0"/>
          <w:sz w:val="20"/>
          <w:rtl/>
        </w:rPr>
        <w:t xml:space="preserve"> إلى بلد </w:t>
      </w:r>
      <w:r w:rsidRPr="008655A1">
        <w:rPr>
          <w:rFonts w:hint="cs"/>
          <w:spacing w:val="0"/>
          <w:kern w:val="0"/>
          <w:sz w:val="20"/>
          <w:rtl/>
        </w:rPr>
        <w:t>لم يُكشف عنه</w:t>
      </w:r>
      <w:r w:rsidRPr="008655A1">
        <w:rPr>
          <w:spacing w:val="0"/>
          <w:kern w:val="0"/>
          <w:sz w:val="20"/>
          <w:rtl/>
        </w:rPr>
        <w:t xml:space="preserve"> ودخلوا السويد براًّ في 13 أيلول/سبتمبر 2007. وفي اليوم نفسه، قدمت الأسرة طلب اللجوء إلى الوحدة المعنية بالنظر في طلبات اللجوء التابعة لمجلس الهجرة في </w:t>
      </w:r>
      <w:r w:rsidRPr="008655A1">
        <w:rPr>
          <w:rFonts w:hint="cs"/>
          <w:spacing w:val="0"/>
          <w:kern w:val="0"/>
          <w:sz w:val="20"/>
          <w:rtl/>
        </w:rPr>
        <w:t>يافلا</w:t>
      </w:r>
      <w:r w:rsidRPr="008655A1">
        <w:rPr>
          <w:spacing w:val="0"/>
          <w:kern w:val="0"/>
          <w:sz w:val="20"/>
          <w:rtl/>
        </w:rPr>
        <w:t>. وشملت طلباتهم الح</w:t>
      </w:r>
      <w:r w:rsidR="0020182D">
        <w:rPr>
          <w:spacing w:val="0"/>
          <w:kern w:val="0"/>
          <w:sz w:val="20"/>
          <w:rtl/>
        </w:rPr>
        <w:t>صول على تصاريح الإقامة والعمل.</w:t>
      </w:r>
    </w:p>
    <w:p w:rsidR="008655A1" w:rsidRPr="008655A1" w:rsidRDefault="008655A1" w:rsidP="007C1878">
      <w:pPr>
        <w:pStyle w:val="SingleTxtGA"/>
        <w:spacing w:line="376" w:lineRule="exact"/>
        <w:jc w:val="lowKashida"/>
        <w:rPr>
          <w:rFonts w:hint="cs"/>
          <w:spacing w:val="0"/>
          <w:kern w:val="0"/>
          <w:sz w:val="20"/>
          <w:rtl/>
        </w:rPr>
      </w:pPr>
      <w:r w:rsidRPr="008655A1">
        <w:rPr>
          <w:spacing w:val="0"/>
          <w:kern w:val="0"/>
          <w:sz w:val="20"/>
          <w:rtl/>
        </w:rPr>
        <w:t>2-14</w:t>
      </w:r>
      <w:r w:rsidRPr="008655A1">
        <w:rPr>
          <w:rFonts w:hint="cs"/>
          <w:spacing w:val="0"/>
          <w:kern w:val="0"/>
          <w:sz w:val="20"/>
          <w:rtl/>
        </w:rPr>
        <w:tab/>
      </w:r>
      <w:r w:rsidRPr="008655A1">
        <w:rPr>
          <w:spacing w:val="0"/>
          <w:kern w:val="0"/>
          <w:sz w:val="20"/>
          <w:rtl/>
        </w:rPr>
        <w:t xml:space="preserve">وفي 14 أيلول/سبتمبر 2007، أجرى مجلس الهجرة مقابلات </w:t>
      </w:r>
      <w:r w:rsidRPr="008655A1">
        <w:rPr>
          <w:rFonts w:hint="cs"/>
          <w:spacing w:val="0"/>
          <w:kern w:val="0"/>
          <w:sz w:val="20"/>
          <w:rtl/>
        </w:rPr>
        <w:t xml:space="preserve">قصيرة </w:t>
      </w:r>
      <w:r w:rsidRPr="008655A1">
        <w:rPr>
          <w:spacing w:val="0"/>
          <w:kern w:val="0"/>
          <w:sz w:val="20"/>
          <w:rtl/>
        </w:rPr>
        <w:t>مع أصحاب الشكوى بشأن الطلبات. وأثناء إجراء مقابلة تقديم الطلب لدى مجلس الهجرة روى صاحب الشكوى الأول قصته على النحو الذي ورد تلخيصه في الفقرتين 2-1 و2-8 أعلاه. وذكر صاحب الشكوى الثالث أنه كان طالبا</w:t>
      </w:r>
      <w:r w:rsidRPr="008655A1">
        <w:rPr>
          <w:rFonts w:hint="cs"/>
          <w:spacing w:val="0"/>
          <w:kern w:val="0"/>
          <w:sz w:val="20"/>
          <w:rtl/>
        </w:rPr>
        <w:t>ً</w:t>
      </w:r>
      <w:r w:rsidRPr="008655A1">
        <w:rPr>
          <w:spacing w:val="0"/>
          <w:kern w:val="0"/>
          <w:sz w:val="20"/>
          <w:rtl/>
        </w:rPr>
        <w:t xml:space="preserve"> في الجامعة بمصر عندما طلب منه والده في اتصال هاتفي حجز تذكرة سفر على وجه السرعة. وأوضح له الأب أن الأسرة مضطرة لمغادرة عُمان في أقرب وقت ممكن. وذكر صاحب الشكوى الثالث كذلك أن والده كان يواجه مشاكل في مصر وكان يتعذر عليه العودة إلى ذلك البلد. وأضاف قائلا</w:t>
      </w:r>
      <w:r w:rsidRPr="008655A1">
        <w:rPr>
          <w:rFonts w:hint="cs"/>
          <w:spacing w:val="0"/>
          <w:kern w:val="0"/>
          <w:sz w:val="20"/>
          <w:rtl/>
        </w:rPr>
        <w:t>ً</w:t>
      </w:r>
      <w:r w:rsidRPr="008655A1">
        <w:rPr>
          <w:spacing w:val="0"/>
          <w:kern w:val="0"/>
          <w:sz w:val="20"/>
          <w:rtl/>
        </w:rPr>
        <w:t xml:space="preserve"> إنه كان بدوره مطلوبا</w:t>
      </w:r>
      <w:r w:rsidRPr="008655A1">
        <w:rPr>
          <w:rFonts w:hint="cs"/>
          <w:spacing w:val="0"/>
          <w:kern w:val="0"/>
          <w:sz w:val="20"/>
          <w:rtl/>
        </w:rPr>
        <w:t>ً</w:t>
      </w:r>
      <w:r w:rsidRPr="008655A1">
        <w:rPr>
          <w:spacing w:val="0"/>
          <w:kern w:val="0"/>
          <w:sz w:val="20"/>
          <w:rtl/>
        </w:rPr>
        <w:t xml:space="preserve"> في مصر بسبب والده. وكان كلما ذهب إلى مصر </w:t>
      </w:r>
      <w:r w:rsidRPr="008655A1">
        <w:rPr>
          <w:rFonts w:hint="cs"/>
          <w:spacing w:val="0"/>
          <w:kern w:val="0"/>
          <w:sz w:val="20"/>
          <w:rtl/>
        </w:rPr>
        <w:t xml:space="preserve">أُلقي القبض عليه </w:t>
      </w:r>
      <w:r w:rsidRPr="008655A1">
        <w:rPr>
          <w:spacing w:val="0"/>
          <w:kern w:val="0"/>
          <w:sz w:val="20"/>
          <w:rtl/>
        </w:rPr>
        <w:t>في المطار واقتيد إلى غرفة التحقيق واست</w:t>
      </w:r>
      <w:r w:rsidRPr="008655A1">
        <w:rPr>
          <w:rFonts w:hint="cs"/>
          <w:spacing w:val="0"/>
          <w:kern w:val="0"/>
          <w:sz w:val="20"/>
          <w:rtl/>
        </w:rPr>
        <w:t>ُ</w:t>
      </w:r>
      <w:r w:rsidRPr="008655A1">
        <w:rPr>
          <w:spacing w:val="0"/>
          <w:kern w:val="0"/>
          <w:sz w:val="20"/>
          <w:rtl/>
        </w:rPr>
        <w:t xml:space="preserve">جوب بشأن والده. وكان يُعتدى عليه أثناء جلسات الاستجواب ويخلى سبيله ويسمح له بدخول البلد. وعندما سأله مجلس الهجرة </w:t>
      </w:r>
      <w:r w:rsidRPr="008655A1">
        <w:rPr>
          <w:rFonts w:hint="cs"/>
          <w:spacing w:val="0"/>
          <w:kern w:val="0"/>
          <w:sz w:val="20"/>
          <w:rtl/>
        </w:rPr>
        <w:t xml:space="preserve">عن </w:t>
      </w:r>
      <w:r w:rsidRPr="008655A1">
        <w:rPr>
          <w:spacing w:val="0"/>
          <w:kern w:val="0"/>
          <w:sz w:val="20"/>
          <w:rtl/>
        </w:rPr>
        <w:t xml:space="preserve">المشاكل التي يواجهها والده في مصر رد بالقول إن والده تعرض للاعتقال عدة مرات لأنه كان من أنصار حقوق الإنسان الذين دافعوا عن الناس وتجرأوا على الوقوف في وجه الحكومة وأصحاب السلطة. وذكرت صاحبة الشكوى الثانية أثناء مقابلة تقديم الطلب لدى مجلس الهجرة، أن الأسباب التي دعتها إلى طلب اللجوء ترتبط </w:t>
      </w:r>
      <w:r w:rsidR="0020182D">
        <w:rPr>
          <w:spacing w:val="0"/>
          <w:kern w:val="0"/>
          <w:sz w:val="20"/>
          <w:rtl/>
        </w:rPr>
        <w:t>بالأسباب التي تقدم بها والدها.</w:t>
      </w:r>
    </w:p>
    <w:p w:rsidR="008655A1" w:rsidRPr="008655A1" w:rsidRDefault="008655A1" w:rsidP="007C1878">
      <w:pPr>
        <w:pStyle w:val="SingleTxtGA"/>
        <w:spacing w:line="376" w:lineRule="exact"/>
        <w:jc w:val="lowKashida"/>
        <w:rPr>
          <w:rFonts w:hint="cs"/>
          <w:spacing w:val="0"/>
          <w:kern w:val="0"/>
          <w:sz w:val="20"/>
          <w:rtl/>
        </w:rPr>
      </w:pPr>
      <w:r w:rsidRPr="008655A1">
        <w:rPr>
          <w:spacing w:val="0"/>
          <w:kern w:val="0"/>
          <w:sz w:val="20"/>
          <w:rtl/>
        </w:rPr>
        <w:t>2-15</w:t>
      </w:r>
      <w:r w:rsidRPr="008655A1">
        <w:rPr>
          <w:rFonts w:hint="cs"/>
          <w:spacing w:val="0"/>
          <w:kern w:val="0"/>
          <w:sz w:val="20"/>
          <w:rtl/>
        </w:rPr>
        <w:tab/>
      </w:r>
      <w:r w:rsidRPr="008655A1">
        <w:rPr>
          <w:spacing w:val="0"/>
          <w:kern w:val="0"/>
          <w:sz w:val="20"/>
          <w:rtl/>
        </w:rPr>
        <w:t>وفي 28 تشرين الأول/أكتوبر 2007، عيَّن مجلس الهجرة بير أندرسون محاميا</w:t>
      </w:r>
      <w:r w:rsidRPr="008655A1">
        <w:rPr>
          <w:rFonts w:hint="cs"/>
          <w:spacing w:val="0"/>
          <w:kern w:val="0"/>
          <w:sz w:val="20"/>
          <w:rtl/>
        </w:rPr>
        <w:t>ً</w:t>
      </w:r>
      <w:r w:rsidRPr="008655A1">
        <w:rPr>
          <w:spacing w:val="0"/>
          <w:kern w:val="0"/>
          <w:sz w:val="20"/>
          <w:rtl/>
        </w:rPr>
        <w:t xml:space="preserve"> لتقديم المساعدة القضائية لجميع أفراد الأسرة. وفي 26 كانون الأول/ديسمبر 2007، قدم المحامي التماسات تضمنت إفادات وطلبا</w:t>
      </w:r>
      <w:r w:rsidRPr="008655A1">
        <w:rPr>
          <w:rFonts w:hint="cs"/>
          <w:spacing w:val="0"/>
          <w:kern w:val="0"/>
          <w:sz w:val="20"/>
          <w:rtl/>
        </w:rPr>
        <w:t>ً</w:t>
      </w:r>
      <w:r w:rsidRPr="008655A1">
        <w:rPr>
          <w:spacing w:val="0"/>
          <w:kern w:val="0"/>
          <w:sz w:val="20"/>
          <w:rtl/>
        </w:rPr>
        <w:t xml:space="preserve"> لمنح جميع أفراد الأسرة مركز اللاجئ بالإضافة إلى وثائق السفر. وفي 3 حزيران/يونيه 2008، استدعى مجلس الهجرة سبعة من أفراد الأسرة (جميعهم ما عدا الأصغر، </w:t>
      </w:r>
      <w:r w:rsidRPr="008655A1">
        <w:rPr>
          <w:rFonts w:hint="cs"/>
          <w:spacing w:val="0"/>
          <w:kern w:val="0"/>
          <w:sz w:val="20"/>
          <w:rtl/>
        </w:rPr>
        <w:t>عم</w:t>
      </w:r>
      <w:r w:rsidRPr="008655A1">
        <w:rPr>
          <w:spacing w:val="0"/>
          <w:kern w:val="0"/>
          <w:sz w:val="20"/>
          <w:rtl/>
        </w:rPr>
        <w:t>.</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xml:space="preserve">.) لإجراء مقابلات جديدة بشأن الطلب مع كل واحد على حدة. وحضر محامي الأسرة ومترجم </w:t>
      </w:r>
      <w:r w:rsidRPr="008655A1">
        <w:rPr>
          <w:rFonts w:hint="cs"/>
          <w:spacing w:val="0"/>
          <w:kern w:val="0"/>
          <w:sz w:val="20"/>
          <w:rtl/>
        </w:rPr>
        <w:t xml:space="preserve">شفوي </w:t>
      </w:r>
      <w:r w:rsidRPr="008655A1">
        <w:rPr>
          <w:spacing w:val="0"/>
          <w:kern w:val="0"/>
          <w:sz w:val="20"/>
          <w:rtl/>
        </w:rPr>
        <w:t>لمساعدتها.</w:t>
      </w:r>
    </w:p>
    <w:p w:rsidR="008655A1" w:rsidRPr="008655A1" w:rsidRDefault="008655A1" w:rsidP="008655A1">
      <w:pPr>
        <w:pStyle w:val="SingleTxtGA"/>
        <w:jc w:val="lowKashida"/>
        <w:rPr>
          <w:rFonts w:hint="cs"/>
          <w:spacing w:val="0"/>
          <w:kern w:val="0"/>
          <w:sz w:val="20"/>
          <w:rtl/>
        </w:rPr>
      </w:pPr>
      <w:r w:rsidRPr="008655A1">
        <w:rPr>
          <w:spacing w:val="0"/>
          <w:kern w:val="0"/>
          <w:sz w:val="20"/>
          <w:rtl/>
        </w:rPr>
        <w:t>2-16</w:t>
      </w:r>
      <w:r w:rsidRPr="008655A1">
        <w:rPr>
          <w:rFonts w:hint="cs"/>
          <w:spacing w:val="0"/>
          <w:kern w:val="0"/>
          <w:sz w:val="20"/>
          <w:rtl/>
        </w:rPr>
        <w:tab/>
      </w:r>
      <w:r w:rsidRPr="008655A1">
        <w:rPr>
          <w:spacing w:val="0"/>
          <w:kern w:val="0"/>
          <w:sz w:val="20"/>
          <w:rtl/>
        </w:rPr>
        <w:t xml:space="preserve">وفي 24 تموز/يوليه 2008، رفض مجلس الهجرة طلبات أصحاب الشكوى للحصول على تصريح الإقامة ومركز اللاجئ ووثائق السفر وقرر ترحيلهم إلى مصر. </w:t>
      </w:r>
      <w:r w:rsidRPr="008655A1">
        <w:rPr>
          <w:rFonts w:hint="cs"/>
          <w:spacing w:val="0"/>
          <w:kern w:val="0"/>
          <w:sz w:val="20"/>
          <w:rtl/>
        </w:rPr>
        <w:t xml:space="preserve">     </w:t>
      </w:r>
      <w:r w:rsidRPr="008655A1">
        <w:rPr>
          <w:spacing w:val="0"/>
          <w:kern w:val="0"/>
          <w:sz w:val="20"/>
          <w:rtl/>
        </w:rPr>
        <w:t>وفيما يتعلق بصاحب الشكوى الثالث، أقر مجلس الهجرة بتعرضه للتعذيب لكنه أعرب عن اعتقاده بأنه لم يُعذَّب بسبب والده. وأشار أيضا</w:t>
      </w:r>
      <w:r w:rsidRPr="008655A1">
        <w:rPr>
          <w:rFonts w:hint="cs"/>
          <w:spacing w:val="0"/>
          <w:kern w:val="0"/>
          <w:sz w:val="20"/>
          <w:rtl/>
        </w:rPr>
        <w:t>ً</w:t>
      </w:r>
      <w:r w:rsidRPr="008655A1">
        <w:rPr>
          <w:spacing w:val="0"/>
          <w:kern w:val="0"/>
          <w:sz w:val="20"/>
          <w:rtl/>
        </w:rPr>
        <w:t xml:space="preserve"> إلى أن دخوله مرارا</w:t>
      </w:r>
      <w:r w:rsidRPr="008655A1">
        <w:rPr>
          <w:rFonts w:hint="cs"/>
          <w:spacing w:val="0"/>
          <w:kern w:val="0"/>
          <w:sz w:val="20"/>
          <w:rtl/>
        </w:rPr>
        <w:t>ً</w:t>
      </w:r>
      <w:r w:rsidRPr="008655A1">
        <w:rPr>
          <w:spacing w:val="0"/>
          <w:kern w:val="0"/>
          <w:sz w:val="20"/>
          <w:rtl/>
        </w:rPr>
        <w:t xml:space="preserve"> إلى مصر وخروجه منها في الفترة من 2004 إلى 2007، يدل على أن السلطات لا تأبه </w:t>
      </w:r>
      <w:r w:rsidRPr="008655A1">
        <w:rPr>
          <w:rFonts w:hint="cs"/>
          <w:spacing w:val="0"/>
          <w:kern w:val="0"/>
          <w:sz w:val="20"/>
          <w:rtl/>
        </w:rPr>
        <w:t>ب</w:t>
      </w:r>
      <w:r w:rsidRPr="008655A1">
        <w:rPr>
          <w:spacing w:val="0"/>
          <w:kern w:val="0"/>
          <w:sz w:val="20"/>
          <w:rtl/>
        </w:rPr>
        <w:t>ه كثيرا</w:t>
      </w:r>
      <w:r w:rsidRPr="008655A1">
        <w:rPr>
          <w:rFonts w:hint="cs"/>
          <w:spacing w:val="0"/>
          <w:kern w:val="0"/>
          <w:sz w:val="20"/>
          <w:rtl/>
        </w:rPr>
        <w:t>ً</w:t>
      </w:r>
      <w:r w:rsidRPr="008655A1">
        <w:rPr>
          <w:spacing w:val="0"/>
          <w:kern w:val="0"/>
          <w:sz w:val="20"/>
          <w:rtl/>
        </w:rPr>
        <w:t>. ولاحظ كذلك أن صاحب الشكوى الثالث لم يستنفد سبل الانتصاف المحلية المتاحة في مص</w:t>
      </w:r>
      <w:r w:rsidR="004E2B08">
        <w:rPr>
          <w:spacing w:val="0"/>
          <w:kern w:val="0"/>
          <w:sz w:val="20"/>
          <w:rtl/>
        </w:rPr>
        <w:t>ر فيما يتعلق بالتعذيب المزعوم.</w:t>
      </w:r>
    </w:p>
    <w:p w:rsidR="008655A1" w:rsidRPr="007C1878" w:rsidRDefault="008655A1" w:rsidP="008655A1">
      <w:pPr>
        <w:pStyle w:val="SingleTxtGA"/>
        <w:jc w:val="lowKashida"/>
        <w:rPr>
          <w:rFonts w:hint="cs"/>
          <w:spacing w:val="-4"/>
          <w:kern w:val="0"/>
          <w:sz w:val="20"/>
          <w:rtl/>
        </w:rPr>
      </w:pPr>
      <w:r w:rsidRPr="007C1878">
        <w:rPr>
          <w:spacing w:val="-4"/>
          <w:kern w:val="0"/>
          <w:sz w:val="20"/>
          <w:rtl/>
        </w:rPr>
        <w:t>2-17</w:t>
      </w:r>
      <w:r w:rsidRPr="007C1878">
        <w:rPr>
          <w:rFonts w:hint="cs"/>
          <w:spacing w:val="-4"/>
          <w:kern w:val="0"/>
          <w:sz w:val="20"/>
          <w:rtl/>
        </w:rPr>
        <w:tab/>
      </w:r>
      <w:r w:rsidRPr="007C1878">
        <w:rPr>
          <w:spacing w:val="-4"/>
          <w:kern w:val="0"/>
          <w:sz w:val="20"/>
          <w:rtl/>
        </w:rPr>
        <w:t xml:space="preserve">وفي 29 تموز/يوليه 2008، حصل محامي المساعدة القضائية بير أندرسون، على </w:t>
      </w:r>
      <w:r w:rsidRPr="007C1878">
        <w:rPr>
          <w:rFonts w:hint="cs"/>
          <w:spacing w:val="-4"/>
          <w:kern w:val="0"/>
          <w:sz w:val="20"/>
          <w:rtl/>
        </w:rPr>
        <w:t xml:space="preserve">توكيل </w:t>
      </w:r>
      <w:r w:rsidRPr="007C1878">
        <w:rPr>
          <w:spacing w:val="-4"/>
          <w:kern w:val="0"/>
          <w:sz w:val="20"/>
          <w:rtl/>
        </w:rPr>
        <w:t>رسمي من أصحاب الشكوى الأول والثانية والثالث، ومن س.</w:t>
      </w:r>
      <w:r w:rsidRPr="007C1878">
        <w:rPr>
          <w:rFonts w:hint="cs"/>
          <w:spacing w:val="-4"/>
          <w:kern w:val="0"/>
          <w:sz w:val="20"/>
          <w:rtl/>
        </w:rPr>
        <w:t xml:space="preserve"> </w:t>
      </w:r>
      <w:r w:rsidRPr="007C1878">
        <w:rPr>
          <w:spacing w:val="-4"/>
          <w:kern w:val="0"/>
          <w:sz w:val="20"/>
          <w:rtl/>
        </w:rPr>
        <w:t>س.</w:t>
      </w:r>
      <w:r w:rsidRPr="007C1878">
        <w:rPr>
          <w:rFonts w:hint="cs"/>
          <w:spacing w:val="-4"/>
          <w:kern w:val="0"/>
          <w:sz w:val="20"/>
          <w:rtl/>
        </w:rPr>
        <w:t xml:space="preserve"> </w:t>
      </w:r>
      <w:r w:rsidRPr="007C1878">
        <w:rPr>
          <w:spacing w:val="-4"/>
          <w:kern w:val="0"/>
          <w:sz w:val="20"/>
          <w:rtl/>
        </w:rPr>
        <w:t>ي. و</w:t>
      </w:r>
      <w:r w:rsidRPr="007C1878">
        <w:rPr>
          <w:rFonts w:hint="cs"/>
          <w:spacing w:val="-4"/>
          <w:kern w:val="0"/>
          <w:sz w:val="20"/>
          <w:rtl/>
        </w:rPr>
        <w:t>ش</w:t>
      </w:r>
      <w:r w:rsidRPr="007C1878">
        <w:rPr>
          <w:spacing w:val="-4"/>
          <w:kern w:val="0"/>
          <w:sz w:val="20"/>
          <w:rtl/>
        </w:rPr>
        <w:t>.</w:t>
      </w:r>
      <w:r w:rsidRPr="007C1878">
        <w:rPr>
          <w:rFonts w:hint="cs"/>
          <w:spacing w:val="-4"/>
          <w:kern w:val="0"/>
          <w:sz w:val="20"/>
          <w:rtl/>
        </w:rPr>
        <w:t xml:space="preserve"> </w:t>
      </w:r>
      <w:r w:rsidRPr="007C1878">
        <w:rPr>
          <w:spacing w:val="-4"/>
          <w:kern w:val="0"/>
          <w:sz w:val="20"/>
          <w:rtl/>
        </w:rPr>
        <w:t>م.</w:t>
      </w:r>
      <w:r w:rsidRPr="007C1878">
        <w:rPr>
          <w:rFonts w:hint="cs"/>
          <w:spacing w:val="-4"/>
          <w:kern w:val="0"/>
          <w:sz w:val="20"/>
          <w:rtl/>
        </w:rPr>
        <w:t xml:space="preserve"> </w:t>
      </w:r>
      <w:r w:rsidRPr="007C1878">
        <w:rPr>
          <w:spacing w:val="-4"/>
          <w:kern w:val="0"/>
          <w:sz w:val="20"/>
          <w:rtl/>
        </w:rPr>
        <w:t>أ.</w:t>
      </w:r>
      <w:r w:rsidRPr="007C1878">
        <w:rPr>
          <w:rFonts w:hint="cs"/>
          <w:spacing w:val="-4"/>
          <w:kern w:val="0"/>
          <w:sz w:val="20"/>
          <w:rtl/>
        </w:rPr>
        <w:t xml:space="preserve"> </w:t>
      </w:r>
      <w:r w:rsidRPr="007C1878">
        <w:rPr>
          <w:spacing w:val="-4"/>
          <w:kern w:val="0"/>
          <w:sz w:val="20"/>
          <w:rtl/>
        </w:rPr>
        <w:t>م.</w:t>
      </w:r>
      <w:r w:rsidRPr="007C1878">
        <w:rPr>
          <w:rFonts w:hint="cs"/>
          <w:spacing w:val="-4"/>
          <w:kern w:val="0"/>
          <w:sz w:val="20"/>
          <w:rtl/>
        </w:rPr>
        <w:t xml:space="preserve"> ع</w:t>
      </w:r>
      <w:r w:rsidRPr="007C1878">
        <w:rPr>
          <w:spacing w:val="-4"/>
          <w:kern w:val="0"/>
          <w:sz w:val="20"/>
          <w:rtl/>
        </w:rPr>
        <w:t>. (صاحب</w:t>
      </w:r>
      <w:r w:rsidRPr="007C1878">
        <w:rPr>
          <w:rFonts w:hint="cs"/>
          <w:spacing w:val="-4"/>
          <w:kern w:val="0"/>
          <w:sz w:val="20"/>
          <w:rtl/>
        </w:rPr>
        <w:t>ة</w:t>
      </w:r>
      <w:r w:rsidRPr="007C1878">
        <w:rPr>
          <w:spacing w:val="-4"/>
          <w:kern w:val="0"/>
          <w:sz w:val="20"/>
          <w:rtl/>
        </w:rPr>
        <w:t xml:space="preserve"> الشكوى الرابع</w:t>
      </w:r>
      <w:r w:rsidRPr="007C1878">
        <w:rPr>
          <w:rFonts w:hint="cs"/>
          <w:spacing w:val="-4"/>
          <w:kern w:val="0"/>
          <w:sz w:val="20"/>
          <w:rtl/>
        </w:rPr>
        <w:t>ة</w:t>
      </w:r>
      <w:r w:rsidRPr="007C1878">
        <w:rPr>
          <w:spacing w:val="-4"/>
          <w:kern w:val="0"/>
          <w:sz w:val="20"/>
          <w:rtl/>
        </w:rPr>
        <w:t>). وبعد ذلك التاريخ، أصبح أيضا</w:t>
      </w:r>
      <w:r w:rsidRPr="007C1878">
        <w:rPr>
          <w:rFonts w:hint="cs"/>
          <w:spacing w:val="-4"/>
          <w:kern w:val="0"/>
          <w:sz w:val="20"/>
          <w:rtl/>
        </w:rPr>
        <w:t>ً</w:t>
      </w:r>
      <w:r w:rsidRPr="007C1878">
        <w:rPr>
          <w:spacing w:val="-4"/>
          <w:kern w:val="0"/>
          <w:sz w:val="20"/>
          <w:rtl/>
        </w:rPr>
        <w:t xml:space="preserve">، هو </w:t>
      </w:r>
      <w:r w:rsidR="007C1878">
        <w:rPr>
          <w:spacing w:val="-4"/>
          <w:kern w:val="0"/>
          <w:sz w:val="20"/>
          <w:rtl/>
        </w:rPr>
        <w:t>الممثل القانوني لأفراد الأسرة.</w:t>
      </w:r>
    </w:p>
    <w:p w:rsidR="008655A1" w:rsidRPr="008655A1" w:rsidRDefault="008655A1" w:rsidP="008655A1">
      <w:pPr>
        <w:pStyle w:val="SingleTxtGA"/>
        <w:jc w:val="lowKashida"/>
        <w:rPr>
          <w:rFonts w:hint="cs"/>
          <w:spacing w:val="0"/>
          <w:kern w:val="0"/>
          <w:sz w:val="20"/>
          <w:rtl/>
        </w:rPr>
      </w:pPr>
      <w:r w:rsidRPr="007C1878">
        <w:rPr>
          <w:spacing w:val="-2"/>
          <w:kern w:val="0"/>
          <w:sz w:val="20"/>
          <w:rtl/>
        </w:rPr>
        <w:t>2-18</w:t>
      </w:r>
      <w:r w:rsidRPr="007C1878">
        <w:rPr>
          <w:rFonts w:hint="cs"/>
          <w:spacing w:val="-2"/>
          <w:kern w:val="0"/>
          <w:sz w:val="20"/>
          <w:rtl/>
        </w:rPr>
        <w:tab/>
      </w:r>
      <w:r w:rsidRPr="007C1878">
        <w:rPr>
          <w:spacing w:val="-2"/>
          <w:kern w:val="0"/>
          <w:sz w:val="20"/>
          <w:rtl/>
        </w:rPr>
        <w:t xml:space="preserve">وفي 6 آب/أغسطس 2008، جرى الطعن في قرار مجلس الهجرة </w:t>
      </w:r>
      <w:r w:rsidRPr="007C1878">
        <w:rPr>
          <w:rFonts w:hint="cs"/>
          <w:spacing w:val="-2"/>
          <w:kern w:val="0"/>
          <w:sz w:val="20"/>
          <w:rtl/>
        </w:rPr>
        <w:t>أمام</w:t>
      </w:r>
      <w:r w:rsidRPr="007C1878">
        <w:rPr>
          <w:spacing w:val="-2"/>
          <w:kern w:val="0"/>
          <w:sz w:val="20"/>
          <w:rtl/>
        </w:rPr>
        <w:t xml:space="preserve"> محكمة شؤون الهجرة. وشفع المحامي الطعن بالتماس في 11 تشرين الثاني/نوفمبر 2008، طلب فيه عقد جلسة استماع. وفي طلب آخر مؤرخ 8 كانون الأول/ديسمبر 2008، </w:t>
      </w:r>
      <w:r w:rsidRPr="007C1878">
        <w:rPr>
          <w:rFonts w:hint="cs"/>
          <w:spacing w:val="-2"/>
          <w:kern w:val="0"/>
          <w:sz w:val="20"/>
          <w:rtl/>
        </w:rPr>
        <w:t xml:space="preserve">تحدث </w:t>
      </w:r>
      <w:r w:rsidRPr="007C1878">
        <w:rPr>
          <w:spacing w:val="-2"/>
          <w:kern w:val="0"/>
          <w:sz w:val="20"/>
          <w:rtl/>
        </w:rPr>
        <w:t xml:space="preserve">المحامي </w:t>
      </w:r>
      <w:r w:rsidRPr="007C1878">
        <w:rPr>
          <w:rFonts w:hint="cs"/>
          <w:spacing w:val="-2"/>
          <w:kern w:val="0"/>
          <w:sz w:val="20"/>
          <w:rtl/>
        </w:rPr>
        <w:t xml:space="preserve">عمن </w:t>
      </w:r>
      <w:r w:rsidRPr="007C1878">
        <w:rPr>
          <w:spacing w:val="-2"/>
          <w:kern w:val="0"/>
          <w:sz w:val="20"/>
          <w:rtl/>
        </w:rPr>
        <w:t xml:space="preserve">سيخضع للاستجواب في جلسة الاستماع والأسئلة التي سيجيب عليها. فأشار، على سبيل المثال، إلى استجواب صاحب الشكوى الأول بشأن ما حدث عندما اعتقلته </w:t>
      </w:r>
      <w:r w:rsidRPr="007C1878">
        <w:rPr>
          <w:rFonts w:hint="cs"/>
          <w:spacing w:val="-2"/>
          <w:kern w:val="0"/>
          <w:sz w:val="20"/>
          <w:rtl/>
        </w:rPr>
        <w:t xml:space="preserve">مباحث أمن الدولة </w:t>
      </w:r>
      <w:r w:rsidRPr="007C1878">
        <w:rPr>
          <w:spacing w:val="-2"/>
          <w:kern w:val="0"/>
          <w:sz w:val="20"/>
          <w:rtl/>
        </w:rPr>
        <w:t xml:space="preserve">في مصر والأسئلة التي وُجهت إليه أثناء التعذيب وما إذا كان يعتقد أن </w:t>
      </w:r>
      <w:r w:rsidRPr="007C1878">
        <w:rPr>
          <w:rFonts w:hint="cs"/>
          <w:spacing w:val="-2"/>
          <w:kern w:val="0"/>
          <w:sz w:val="20"/>
          <w:rtl/>
        </w:rPr>
        <w:t xml:space="preserve">المباحث </w:t>
      </w:r>
      <w:r w:rsidRPr="007C1878">
        <w:rPr>
          <w:spacing w:val="-2"/>
          <w:kern w:val="0"/>
          <w:sz w:val="20"/>
          <w:rtl/>
        </w:rPr>
        <w:t xml:space="preserve">في مصر لا تزال تكترث لأمره. وبالإضافة إلى ذلك، أشار إلى سؤاله عن أسرته وتقديم شجرة العائلة وشرحها عبر الموقع الإلكتروني </w:t>
      </w:r>
      <w:r w:rsidRPr="007C1878">
        <w:rPr>
          <w:rFonts w:cs="Times New Roman"/>
          <w:spacing w:val="-2"/>
          <w:kern w:val="0"/>
          <w:sz w:val="20"/>
          <w:szCs w:val="20"/>
        </w:rPr>
        <w:t>geni.com</w:t>
      </w:r>
      <w:r w:rsidRPr="007C1878">
        <w:rPr>
          <w:spacing w:val="-2"/>
          <w:kern w:val="0"/>
          <w:sz w:val="20"/>
          <w:rtl/>
        </w:rPr>
        <w:t xml:space="preserve"> ومراسلاته على موقع فيسبوك للتواصل الاجتماعي. وقبل انعقاد جلسة الاستماع، أصدر مجلس الهجرة في 12 كانون الثاني/يناير 2009، رأيا</w:t>
      </w:r>
      <w:r w:rsidRPr="007C1878">
        <w:rPr>
          <w:rFonts w:hint="cs"/>
          <w:spacing w:val="-2"/>
          <w:kern w:val="0"/>
          <w:sz w:val="20"/>
          <w:rtl/>
        </w:rPr>
        <w:t>ً</w:t>
      </w:r>
      <w:r w:rsidRPr="007C1878">
        <w:rPr>
          <w:spacing w:val="-2"/>
          <w:kern w:val="0"/>
          <w:sz w:val="20"/>
          <w:rtl/>
        </w:rPr>
        <w:t xml:space="preserve"> ذهب فيه، ضمن جملة أمور، إلى احتمال عدم قبول الأدلة التي ذكرتها الأسرة</w:t>
      </w:r>
      <w:r w:rsidRPr="008655A1">
        <w:rPr>
          <w:spacing w:val="0"/>
          <w:kern w:val="0"/>
          <w:sz w:val="20"/>
          <w:rtl/>
        </w:rPr>
        <w:t xml:space="preserve"> أمام محكمة شؤون الهجرة باعتبارها </w:t>
      </w:r>
      <w:r w:rsidRPr="008655A1">
        <w:rPr>
          <w:rFonts w:hint="cs"/>
          <w:spacing w:val="0"/>
          <w:kern w:val="0"/>
          <w:sz w:val="20"/>
          <w:rtl/>
        </w:rPr>
        <w:t>عديمة الأثر</w:t>
      </w:r>
      <w:r w:rsidRPr="008655A1">
        <w:rPr>
          <w:spacing w:val="0"/>
          <w:kern w:val="0"/>
          <w:sz w:val="20"/>
          <w:rtl/>
        </w:rPr>
        <w:t xml:space="preserve">. ودفع بأن القيمة </w:t>
      </w:r>
      <w:r w:rsidRPr="008655A1">
        <w:rPr>
          <w:rFonts w:hint="cs"/>
          <w:spacing w:val="0"/>
          <w:kern w:val="0"/>
          <w:sz w:val="20"/>
          <w:rtl/>
        </w:rPr>
        <w:t xml:space="preserve">الثبوتية </w:t>
      </w:r>
      <w:r w:rsidRPr="008655A1">
        <w:rPr>
          <w:spacing w:val="0"/>
          <w:kern w:val="0"/>
          <w:sz w:val="20"/>
          <w:rtl/>
        </w:rPr>
        <w:t xml:space="preserve">للصفحات المستقاة من موقع فيسبوك والموقع الإلكتروني </w:t>
      </w:r>
      <w:r w:rsidRPr="008655A1">
        <w:rPr>
          <w:rFonts w:cs="Times New Roman"/>
          <w:spacing w:val="0"/>
          <w:kern w:val="0"/>
          <w:sz w:val="20"/>
          <w:szCs w:val="20"/>
        </w:rPr>
        <w:t>geni.com</w:t>
      </w:r>
      <w:r w:rsidRPr="008655A1">
        <w:rPr>
          <w:spacing w:val="0"/>
          <w:kern w:val="0"/>
          <w:sz w:val="20"/>
          <w:rtl/>
        </w:rPr>
        <w:t xml:space="preserve"> لا تزيد ولا تقل عن قيمة المعلومات التي يقدمها الشخص المعني بشكل مباشر. وأبدى المجلس استعداده للإقرار بأن هناك هيئات في الشرطة المصرية ترتكب انتهاكات وقال إن المشهد العام يوحي باحتمال وجود حالات تعذيب في مصر. غير أنه أشار إلى أن هذه المعلومات لا تغير شيئا</w:t>
      </w:r>
      <w:r w:rsidRPr="008655A1">
        <w:rPr>
          <w:rFonts w:hint="cs"/>
          <w:spacing w:val="0"/>
          <w:kern w:val="0"/>
          <w:sz w:val="20"/>
          <w:rtl/>
        </w:rPr>
        <w:t>ً</w:t>
      </w:r>
      <w:r w:rsidRPr="008655A1">
        <w:rPr>
          <w:spacing w:val="0"/>
          <w:kern w:val="0"/>
          <w:sz w:val="20"/>
          <w:rtl/>
        </w:rPr>
        <w:t xml:space="preserve"> في تقييمه للمخاطر الفردية التي يمكن أن يواجهها أصحاب الشكوى في حال عودتهم. </w:t>
      </w:r>
    </w:p>
    <w:p w:rsidR="008655A1" w:rsidRPr="008655A1" w:rsidRDefault="008655A1" w:rsidP="008655A1">
      <w:pPr>
        <w:pStyle w:val="SingleTxtGA"/>
        <w:jc w:val="lowKashida"/>
        <w:rPr>
          <w:rFonts w:hint="cs"/>
          <w:spacing w:val="0"/>
          <w:kern w:val="0"/>
          <w:sz w:val="20"/>
          <w:rtl/>
        </w:rPr>
      </w:pPr>
      <w:r w:rsidRPr="007C1878">
        <w:rPr>
          <w:spacing w:val="-4"/>
          <w:kern w:val="0"/>
          <w:sz w:val="20"/>
          <w:rtl/>
        </w:rPr>
        <w:t>2-19</w:t>
      </w:r>
      <w:r w:rsidRPr="007C1878">
        <w:rPr>
          <w:rFonts w:hint="cs"/>
          <w:spacing w:val="-4"/>
          <w:kern w:val="0"/>
          <w:sz w:val="20"/>
          <w:rtl/>
        </w:rPr>
        <w:tab/>
      </w:r>
      <w:r w:rsidRPr="007C1878">
        <w:rPr>
          <w:spacing w:val="-4"/>
          <w:kern w:val="0"/>
          <w:sz w:val="20"/>
          <w:rtl/>
        </w:rPr>
        <w:t xml:space="preserve">وانعقدت جلسة الاستماع في محكمة شؤون الهجرة في 27 كانون الثاني/يناير 2009. </w:t>
      </w:r>
      <w:r w:rsidRPr="007C1878">
        <w:rPr>
          <w:spacing w:val="0"/>
          <w:kern w:val="0"/>
          <w:sz w:val="20"/>
          <w:rtl/>
        </w:rPr>
        <w:t>وحضر صاحب الشكوى الأول والثانية والثالث والرابع</w:t>
      </w:r>
      <w:r w:rsidRPr="007C1878">
        <w:rPr>
          <w:rFonts w:hint="cs"/>
          <w:spacing w:val="0"/>
          <w:kern w:val="0"/>
          <w:sz w:val="20"/>
          <w:rtl/>
        </w:rPr>
        <w:t>ة</w:t>
      </w:r>
      <w:r w:rsidRPr="007C1878">
        <w:rPr>
          <w:spacing w:val="0"/>
          <w:kern w:val="0"/>
          <w:sz w:val="20"/>
          <w:rtl/>
        </w:rPr>
        <w:t xml:space="preserve"> بالإضافة إلى المحامي الذي يمثلهم.</w:t>
      </w:r>
      <w:r w:rsidRPr="008655A1">
        <w:rPr>
          <w:spacing w:val="0"/>
          <w:kern w:val="0"/>
          <w:sz w:val="20"/>
          <w:rtl/>
        </w:rPr>
        <w:t xml:space="preserve"> ولاحظت المحكمة أن أفراد الأسرة أشاروا إلى أنهم يحافظون على سرية بعض المعلومات </w:t>
      </w:r>
      <w:r w:rsidRPr="008655A1">
        <w:rPr>
          <w:rFonts w:hint="cs"/>
          <w:spacing w:val="0"/>
          <w:kern w:val="0"/>
          <w:sz w:val="20"/>
          <w:rtl/>
        </w:rPr>
        <w:t xml:space="preserve">    </w:t>
      </w:r>
      <w:r w:rsidRPr="008655A1">
        <w:rPr>
          <w:spacing w:val="0"/>
          <w:kern w:val="0"/>
          <w:sz w:val="20"/>
          <w:rtl/>
        </w:rPr>
        <w:t>فيما بينهم فجرى الاستماع إليهم كل على حدة. وقدم المحامي نسخة من شهادة طبية تتعلق بصاحب</w:t>
      </w:r>
      <w:r w:rsidRPr="008655A1">
        <w:rPr>
          <w:rFonts w:hint="cs"/>
          <w:spacing w:val="0"/>
          <w:kern w:val="0"/>
          <w:sz w:val="20"/>
          <w:rtl/>
        </w:rPr>
        <w:t>ة</w:t>
      </w:r>
      <w:r w:rsidRPr="008655A1">
        <w:rPr>
          <w:spacing w:val="0"/>
          <w:kern w:val="0"/>
          <w:sz w:val="20"/>
          <w:rtl/>
        </w:rPr>
        <w:t xml:space="preserve"> الشكوى الرابع</w:t>
      </w:r>
      <w:r w:rsidRPr="008655A1">
        <w:rPr>
          <w:rFonts w:hint="cs"/>
          <w:spacing w:val="0"/>
          <w:kern w:val="0"/>
          <w:sz w:val="20"/>
          <w:rtl/>
        </w:rPr>
        <w:t>ة</w:t>
      </w:r>
      <w:r w:rsidRPr="008655A1">
        <w:rPr>
          <w:spacing w:val="0"/>
          <w:kern w:val="0"/>
          <w:sz w:val="20"/>
          <w:rtl/>
        </w:rPr>
        <w:t xml:space="preserve">، صادرة عن عيادة طب الأطفال والمراهقين في </w:t>
      </w:r>
      <w:r w:rsidRPr="008655A1">
        <w:rPr>
          <w:rFonts w:hint="cs"/>
          <w:spacing w:val="0"/>
          <w:kern w:val="0"/>
          <w:sz w:val="20"/>
          <w:rtl/>
        </w:rPr>
        <w:t>شيليفتيو</w:t>
      </w:r>
      <w:r w:rsidRPr="008655A1">
        <w:rPr>
          <w:spacing w:val="0"/>
          <w:kern w:val="0"/>
          <w:sz w:val="20"/>
          <w:rtl/>
        </w:rPr>
        <w:t xml:space="preserve">، </w:t>
      </w:r>
      <w:r w:rsidRPr="008655A1">
        <w:rPr>
          <w:rFonts w:hint="cs"/>
          <w:spacing w:val="0"/>
          <w:kern w:val="0"/>
          <w:sz w:val="20"/>
          <w:rtl/>
        </w:rPr>
        <w:t xml:space="preserve">    </w:t>
      </w:r>
      <w:r w:rsidRPr="008655A1">
        <w:rPr>
          <w:spacing w:val="0"/>
          <w:kern w:val="0"/>
          <w:sz w:val="20"/>
          <w:rtl/>
        </w:rPr>
        <w:t>ومؤرخة 18 كانون الأول/ديسمبر 2008. وجاء في الشهادة أن صاحب</w:t>
      </w:r>
      <w:r w:rsidRPr="008655A1">
        <w:rPr>
          <w:rFonts w:hint="cs"/>
          <w:spacing w:val="0"/>
          <w:kern w:val="0"/>
          <w:sz w:val="20"/>
          <w:rtl/>
        </w:rPr>
        <w:t>ة</w:t>
      </w:r>
      <w:r w:rsidRPr="008655A1">
        <w:rPr>
          <w:spacing w:val="0"/>
          <w:kern w:val="0"/>
          <w:sz w:val="20"/>
          <w:rtl/>
        </w:rPr>
        <w:t xml:space="preserve"> الشكوى الرابع</w:t>
      </w:r>
      <w:r w:rsidRPr="008655A1">
        <w:rPr>
          <w:rFonts w:hint="cs"/>
          <w:spacing w:val="0"/>
          <w:kern w:val="0"/>
          <w:sz w:val="20"/>
          <w:rtl/>
        </w:rPr>
        <w:t>ة</w:t>
      </w:r>
      <w:r w:rsidRPr="008655A1">
        <w:rPr>
          <w:spacing w:val="0"/>
          <w:kern w:val="0"/>
          <w:sz w:val="20"/>
          <w:rtl/>
        </w:rPr>
        <w:t xml:space="preserve"> </w:t>
      </w:r>
      <w:r w:rsidRPr="007C1878">
        <w:rPr>
          <w:rFonts w:hint="cs"/>
          <w:spacing w:val="-2"/>
          <w:kern w:val="0"/>
          <w:sz w:val="20"/>
          <w:rtl/>
        </w:rPr>
        <w:t>تُعالج</w:t>
      </w:r>
      <w:r w:rsidRPr="007C1878">
        <w:rPr>
          <w:spacing w:val="-2"/>
          <w:kern w:val="0"/>
          <w:sz w:val="20"/>
          <w:rtl/>
        </w:rPr>
        <w:t xml:space="preserve"> من فرط الدرقية و</w:t>
      </w:r>
      <w:r w:rsidRPr="007C1878">
        <w:rPr>
          <w:rFonts w:hint="cs"/>
          <w:spacing w:val="-2"/>
          <w:kern w:val="0"/>
          <w:sz w:val="20"/>
          <w:rtl/>
        </w:rPr>
        <w:t>ت</w:t>
      </w:r>
      <w:r w:rsidRPr="007C1878">
        <w:rPr>
          <w:spacing w:val="-2"/>
          <w:kern w:val="0"/>
          <w:sz w:val="20"/>
          <w:rtl/>
        </w:rPr>
        <w:t xml:space="preserve">حتاج إلى إجراء عملية جراحية. </w:t>
      </w:r>
      <w:r w:rsidRPr="007C1878">
        <w:rPr>
          <w:rFonts w:hint="cs"/>
          <w:spacing w:val="-2"/>
          <w:kern w:val="0"/>
          <w:sz w:val="20"/>
          <w:rtl/>
        </w:rPr>
        <w:t>وقدم</w:t>
      </w:r>
      <w:r w:rsidRPr="007C1878">
        <w:rPr>
          <w:spacing w:val="-2"/>
          <w:kern w:val="0"/>
          <w:sz w:val="20"/>
          <w:rtl/>
        </w:rPr>
        <w:t xml:space="preserve"> المحامي أيضا</w:t>
      </w:r>
      <w:r w:rsidRPr="007C1878">
        <w:rPr>
          <w:rFonts w:hint="cs"/>
          <w:spacing w:val="-2"/>
          <w:kern w:val="0"/>
          <w:sz w:val="20"/>
          <w:rtl/>
        </w:rPr>
        <w:t>ً</w:t>
      </w:r>
      <w:r w:rsidRPr="007C1878">
        <w:rPr>
          <w:spacing w:val="-2"/>
          <w:kern w:val="0"/>
          <w:sz w:val="20"/>
          <w:rtl/>
        </w:rPr>
        <w:t xml:space="preserve"> شهادة تتعلق بصاحب الشكوى الثالث، مؤرخة 7 تشرين الثاني/نوفمبر 2008، وصادرة عن طبيب نفساني يعمل في مركز الصليب الأحمر لمعالجة ضحايا الحرب والتعذيب. وتشير الشهادة إلى أن صاحب الشكوى الثالث كان يتردد على المعالج النفسي منذ 18 تشرين الأول/أكتوبر 2007. وشرح صاحب الشكوى الثالث تفاصيل الاعتداء الذي تعرض له على يد </w:t>
      </w:r>
      <w:r w:rsidRPr="007C1878">
        <w:rPr>
          <w:rFonts w:hint="cs"/>
          <w:spacing w:val="-2"/>
          <w:kern w:val="0"/>
          <w:sz w:val="20"/>
          <w:rtl/>
        </w:rPr>
        <w:t>مباحث</w:t>
      </w:r>
      <w:r w:rsidRPr="008655A1">
        <w:rPr>
          <w:rFonts w:hint="cs"/>
          <w:spacing w:val="0"/>
          <w:kern w:val="0"/>
          <w:sz w:val="20"/>
          <w:rtl/>
        </w:rPr>
        <w:t xml:space="preserve"> أمن الدولة </w:t>
      </w:r>
      <w:r w:rsidRPr="008655A1">
        <w:rPr>
          <w:spacing w:val="0"/>
          <w:kern w:val="0"/>
          <w:sz w:val="20"/>
          <w:rtl/>
        </w:rPr>
        <w:t>المصرية أثناء فترة دراسته بجامعة القاهرة بين عامي 2004 و2007. وتتضمن الشهادة في المجمل، شرح صاحب الشكوى الثالث للاعتداء وإفادة بأنه اتصل بمحام مصري لالتماس الجبر. وأشارت الشهادة أيضا</w:t>
      </w:r>
      <w:r w:rsidRPr="008655A1">
        <w:rPr>
          <w:rFonts w:hint="cs"/>
          <w:spacing w:val="0"/>
          <w:kern w:val="0"/>
          <w:sz w:val="20"/>
          <w:rtl/>
        </w:rPr>
        <w:t>ً</w:t>
      </w:r>
      <w:r w:rsidRPr="008655A1">
        <w:rPr>
          <w:spacing w:val="0"/>
          <w:kern w:val="0"/>
          <w:sz w:val="20"/>
          <w:rtl/>
        </w:rPr>
        <w:t xml:space="preserve"> إلى ضرورة خضوع صاحب الشكوى الثالث للعلاج الن</w:t>
      </w:r>
      <w:r w:rsidR="0020182D">
        <w:rPr>
          <w:spacing w:val="0"/>
          <w:kern w:val="0"/>
          <w:sz w:val="20"/>
          <w:rtl/>
        </w:rPr>
        <w:t>فسي لكي يتمكن من متابعة حياته.</w:t>
      </w:r>
    </w:p>
    <w:p w:rsidR="008655A1" w:rsidRPr="008655A1" w:rsidRDefault="008655A1" w:rsidP="008655A1">
      <w:pPr>
        <w:pStyle w:val="SingleTxtGA"/>
        <w:jc w:val="lowKashida"/>
        <w:rPr>
          <w:rFonts w:hint="cs"/>
          <w:spacing w:val="0"/>
          <w:kern w:val="0"/>
          <w:sz w:val="20"/>
          <w:rtl/>
        </w:rPr>
      </w:pPr>
      <w:r w:rsidRPr="008655A1">
        <w:rPr>
          <w:spacing w:val="0"/>
          <w:kern w:val="0"/>
          <w:sz w:val="20"/>
          <w:rtl/>
        </w:rPr>
        <w:t>2-20</w:t>
      </w:r>
      <w:r w:rsidRPr="008655A1">
        <w:rPr>
          <w:rFonts w:hint="cs"/>
          <w:spacing w:val="0"/>
          <w:kern w:val="0"/>
          <w:sz w:val="20"/>
          <w:rtl/>
        </w:rPr>
        <w:tab/>
      </w:r>
      <w:r w:rsidRPr="008655A1">
        <w:rPr>
          <w:spacing w:val="0"/>
          <w:kern w:val="0"/>
          <w:sz w:val="20"/>
          <w:rtl/>
        </w:rPr>
        <w:t>وفي 17 شباط/فبراير 2009، رفضت محكمة شؤون الهجرة في أربعة أحكام الطعنَ الذي قدمه أصحاب الشكوى. وأقرت المحكمة باحتمال تعرض صاحب الشكوى الأول للتعذيب على يد السلطات لكنها رأت أن الأحداث مر عليها زمن طويل واستبعدت أن تكون السلطات مهتمة بأمر الأسرة حتى الآن. وأشارت كذلك إلى أنها لا تستطيع إثبات هوية أفراد الأسرة في ظل عدم وجود جوازات سفرهم التي أفادوا بأنهم تركوها للمهرِّب لدى وصولهم إلى السويد. ودفعت أيضا</w:t>
      </w:r>
      <w:r w:rsidRPr="008655A1">
        <w:rPr>
          <w:rFonts w:hint="cs"/>
          <w:spacing w:val="0"/>
          <w:kern w:val="0"/>
          <w:sz w:val="20"/>
          <w:rtl/>
        </w:rPr>
        <w:t>ً</w:t>
      </w:r>
      <w:r w:rsidRPr="008655A1">
        <w:rPr>
          <w:spacing w:val="0"/>
          <w:kern w:val="0"/>
          <w:sz w:val="20"/>
          <w:rtl/>
        </w:rPr>
        <w:t xml:space="preserve"> بأن تقديمهم لطلب الحصول على جوازات سفر من السفارة المصرية في عُمان دونما مشاكل يؤكد بدوره أن السلطات لا تلقي بالا</w:t>
      </w:r>
      <w:r w:rsidRPr="008655A1">
        <w:rPr>
          <w:rFonts w:hint="cs"/>
          <w:spacing w:val="0"/>
          <w:kern w:val="0"/>
          <w:sz w:val="20"/>
          <w:rtl/>
        </w:rPr>
        <w:t>ً</w:t>
      </w:r>
      <w:r w:rsidRPr="008655A1">
        <w:rPr>
          <w:spacing w:val="0"/>
          <w:kern w:val="0"/>
          <w:sz w:val="20"/>
          <w:rtl/>
        </w:rPr>
        <w:t xml:space="preserve"> للأسرة. وفيما يتعلق بصاحبة الشكوى الثانية، أشارت محكمة شؤون الهجرة</w:t>
      </w:r>
      <w:r w:rsidRPr="008655A1">
        <w:rPr>
          <w:rFonts w:hint="cs"/>
          <w:spacing w:val="0"/>
          <w:kern w:val="0"/>
          <w:sz w:val="20"/>
          <w:rtl/>
        </w:rPr>
        <w:t>،</w:t>
      </w:r>
      <w:r w:rsidRPr="008655A1">
        <w:rPr>
          <w:spacing w:val="0"/>
          <w:kern w:val="0"/>
          <w:sz w:val="20"/>
          <w:rtl/>
        </w:rPr>
        <w:t xml:space="preserve"> في جملة أمور، إلى أنها</w:t>
      </w:r>
      <w:r w:rsidRPr="008655A1">
        <w:rPr>
          <w:rFonts w:hint="cs"/>
          <w:spacing w:val="0"/>
          <w:kern w:val="0"/>
          <w:sz w:val="20"/>
          <w:rtl/>
        </w:rPr>
        <w:t xml:space="preserve">   </w:t>
      </w:r>
      <w:r w:rsidRPr="008655A1">
        <w:rPr>
          <w:spacing w:val="0"/>
          <w:kern w:val="0"/>
          <w:sz w:val="20"/>
          <w:rtl/>
        </w:rPr>
        <w:t xml:space="preserve"> لم تتمكن من إثبات صحة روايتها من خلال الوثائق أو غيرها من الأدلة مع أن المعلومات التي أدلت بها جاءت متماسكة ولم </w:t>
      </w:r>
      <w:r w:rsidRPr="008655A1">
        <w:rPr>
          <w:rFonts w:hint="cs"/>
          <w:spacing w:val="0"/>
          <w:kern w:val="0"/>
          <w:sz w:val="20"/>
          <w:rtl/>
        </w:rPr>
        <w:t xml:space="preserve">تتناقض </w:t>
      </w:r>
      <w:r w:rsidR="0020182D">
        <w:rPr>
          <w:spacing w:val="0"/>
          <w:kern w:val="0"/>
          <w:sz w:val="20"/>
          <w:rtl/>
        </w:rPr>
        <w:t>مع الوقائع المعروفة.</w:t>
      </w:r>
    </w:p>
    <w:p w:rsidR="008655A1" w:rsidRPr="008655A1" w:rsidRDefault="008655A1" w:rsidP="008655A1">
      <w:pPr>
        <w:pStyle w:val="SingleTxtGA"/>
        <w:jc w:val="lowKashida"/>
        <w:rPr>
          <w:spacing w:val="0"/>
          <w:kern w:val="0"/>
          <w:sz w:val="20"/>
          <w:rtl/>
        </w:rPr>
      </w:pPr>
      <w:r w:rsidRPr="008655A1">
        <w:rPr>
          <w:spacing w:val="0"/>
          <w:kern w:val="0"/>
          <w:sz w:val="20"/>
          <w:rtl/>
        </w:rPr>
        <w:t>2-21</w:t>
      </w:r>
      <w:r w:rsidRPr="008655A1">
        <w:rPr>
          <w:rFonts w:hint="cs"/>
          <w:spacing w:val="0"/>
          <w:kern w:val="0"/>
          <w:sz w:val="20"/>
          <w:rtl/>
        </w:rPr>
        <w:tab/>
      </w:r>
      <w:r w:rsidRPr="008655A1">
        <w:rPr>
          <w:spacing w:val="0"/>
          <w:kern w:val="0"/>
          <w:sz w:val="20"/>
          <w:rtl/>
        </w:rPr>
        <w:t>وقدم أصحاب الشكوى طعنا</w:t>
      </w:r>
      <w:r w:rsidRPr="008655A1">
        <w:rPr>
          <w:rFonts w:hint="cs"/>
          <w:spacing w:val="0"/>
          <w:kern w:val="0"/>
          <w:sz w:val="20"/>
          <w:rtl/>
        </w:rPr>
        <w:t>ً</w:t>
      </w:r>
      <w:r w:rsidRPr="008655A1">
        <w:rPr>
          <w:spacing w:val="0"/>
          <w:kern w:val="0"/>
          <w:sz w:val="20"/>
          <w:rtl/>
        </w:rPr>
        <w:t xml:space="preserve"> في الأحكام الصادرة </w:t>
      </w:r>
      <w:r w:rsidRPr="008655A1">
        <w:rPr>
          <w:rFonts w:hint="cs"/>
          <w:spacing w:val="0"/>
          <w:kern w:val="0"/>
          <w:sz w:val="20"/>
          <w:rtl/>
        </w:rPr>
        <w:t xml:space="preserve">أمام </w:t>
      </w:r>
      <w:r w:rsidRPr="008655A1">
        <w:rPr>
          <w:spacing w:val="0"/>
          <w:kern w:val="0"/>
          <w:sz w:val="20"/>
          <w:rtl/>
        </w:rPr>
        <w:t>محكمة الاستئناف الخاصة بالهجرة. وفي 8 آذار/مارس 2009، قدم محاميهم تعليلا</w:t>
      </w:r>
      <w:r w:rsidRPr="008655A1">
        <w:rPr>
          <w:rFonts w:hint="cs"/>
          <w:spacing w:val="0"/>
          <w:kern w:val="0"/>
          <w:sz w:val="20"/>
          <w:rtl/>
        </w:rPr>
        <w:t>ً</w:t>
      </w:r>
      <w:r w:rsidRPr="008655A1">
        <w:rPr>
          <w:spacing w:val="0"/>
          <w:kern w:val="0"/>
          <w:sz w:val="20"/>
          <w:rtl/>
        </w:rPr>
        <w:t xml:space="preserve"> مفصلا</w:t>
      </w:r>
      <w:r w:rsidRPr="008655A1">
        <w:rPr>
          <w:rFonts w:hint="cs"/>
          <w:spacing w:val="0"/>
          <w:kern w:val="0"/>
          <w:sz w:val="20"/>
          <w:rtl/>
        </w:rPr>
        <w:t>ً</w:t>
      </w:r>
      <w:r w:rsidRPr="008655A1">
        <w:rPr>
          <w:spacing w:val="0"/>
          <w:kern w:val="0"/>
          <w:sz w:val="20"/>
          <w:rtl/>
        </w:rPr>
        <w:t xml:space="preserve"> للأسباب التي تدعو محكمة الاستئناف الخاصة بالهجرة إلى قبول الطعن. ودفع، في جملة أمور، بأن صاحبي الشكوى الأول والثالث تعرضا</w:t>
      </w:r>
      <w:r w:rsidRPr="008655A1">
        <w:rPr>
          <w:rFonts w:hint="cs"/>
          <w:spacing w:val="0"/>
          <w:kern w:val="0"/>
          <w:sz w:val="20"/>
          <w:rtl/>
        </w:rPr>
        <w:t>ً</w:t>
      </w:r>
      <w:r w:rsidRPr="008655A1">
        <w:rPr>
          <w:spacing w:val="0"/>
          <w:kern w:val="0"/>
          <w:sz w:val="20"/>
          <w:rtl/>
        </w:rPr>
        <w:t xml:space="preserve"> لتعذيب شديد وإساءة بالغة. وقال إن محكمة شؤون الأسرة لم تفسر على نحو صائب القواعد القانونية عندما ذهبت في تقديرها إلى أن المخاطر المحدقة بصاحب الشكوى الأول قد انتفت بما أنه مر زمن طويل على حدوث الإساءة. وأشار المحامي إلى أن هذا التقدير لا تؤيده المعلومات المتعلقة بمصر وطلب من محكمة الاستئناف الخاصة بالهجرة تقديم توجيهات بشأن الوقائع المطلوب توافرها لتنتفي </w:t>
      </w:r>
      <w:r w:rsidRPr="008655A1">
        <w:rPr>
          <w:rFonts w:hint="cs"/>
          <w:spacing w:val="0"/>
          <w:kern w:val="0"/>
          <w:sz w:val="20"/>
          <w:rtl/>
        </w:rPr>
        <w:t>التهديدات السابقة</w:t>
      </w:r>
      <w:r w:rsidRPr="008655A1">
        <w:rPr>
          <w:spacing w:val="0"/>
          <w:kern w:val="0"/>
          <w:sz w:val="20"/>
          <w:rtl/>
        </w:rPr>
        <w:t>. وادعى أصحاب الشكوى أن الظروف في مصر لم تتغير منذ 20 عاما</w:t>
      </w:r>
      <w:r w:rsidRPr="008655A1">
        <w:rPr>
          <w:rFonts w:hint="cs"/>
          <w:spacing w:val="0"/>
          <w:kern w:val="0"/>
          <w:sz w:val="20"/>
          <w:rtl/>
        </w:rPr>
        <w:t>ً</w:t>
      </w:r>
      <w:r w:rsidRPr="008655A1">
        <w:rPr>
          <w:spacing w:val="0"/>
          <w:kern w:val="0"/>
          <w:sz w:val="20"/>
          <w:rtl/>
        </w:rPr>
        <w:t xml:space="preserve">؛ فحالة الطوارئ المعلنة منذ الثمانينيات لا تزال قائمة. </w:t>
      </w:r>
    </w:p>
    <w:p w:rsidR="008655A1" w:rsidRPr="008655A1" w:rsidRDefault="008655A1" w:rsidP="0020182D">
      <w:pPr>
        <w:pStyle w:val="SingleTxtGA"/>
        <w:jc w:val="lowKashida"/>
        <w:rPr>
          <w:rFonts w:hint="cs"/>
          <w:spacing w:val="0"/>
          <w:kern w:val="0"/>
          <w:sz w:val="20"/>
          <w:rtl/>
        </w:rPr>
      </w:pPr>
      <w:r w:rsidRPr="008655A1">
        <w:rPr>
          <w:spacing w:val="0"/>
          <w:kern w:val="0"/>
          <w:sz w:val="20"/>
          <w:rtl/>
        </w:rPr>
        <w:t>2-22</w:t>
      </w:r>
      <w:r w:rsidRPr="008655A1">
        <w:rPr>
          <w:rFonts w:hint="cs"/>
          <w:spacing w:val="0"/>
          <w:kern w:val="0"/>
          <w:sz w:val="20"/>
          <w:rtl/>
        </w:rPr>
        <w:tab/>
      </w:r>
      <w:r w:rsidRPr="008655A1">
        <w:rPr>
          <w:spacing w:val="0"/>
          <w:kern w:val="0"/>
          <w:sz w:val="20"/>
          <w:rtl/>
        </w:rPr>
        <w:t>ودفع المحامي أيضا</w:t>
      </w:r>
      <w:r w:rsidRPr="008655A1">
        <w:rPr>
          <w:rFonts w:hint="cs"/>
          <w:spacing w:val="0"/>
          <w:kern w:val="0"/>
          <w:sz w:val="20"/>
          <w:rtl/>
        </w:rPr>
        <w:t>ً</w:t>
      </w:r>
      <w:r w:rsidRPr="008655A1">
        <w:rPr>
          <w:spacing w:val="0"/>
          <w:kern w:val="0"/>
          <w:sz w:val="20"/>
          <w:rtl/>
        </w:rPr>
        <w:t xml:space="preserve"> بأن ما شهدته الثمانينيات من أحداث لا يزال يحكم سلوك السلطات المصرية تجاه الأشخاص الذين اشتُبه في ارتباطهم بالإسلاميين. وقد اتُهم صاحب الشكوى الأول بارتباطه بهذه الجماعة مما عرضه للتعذيب وسوء المعاملة. وذلك بسبب صلاته الوثيقة بابني عمه، خالد </w:t>
      </w:r>
      <w:r w:rsidRPr="008655A1">
        <w:rPr>
          <w:rFonts w:hint="cs"/>
          <w:spacing w:val="0"/>
          <w:kern w:val="0"/>
          <w:sz w:val="20"/>
          <w:rtl/>
        </w:rPr>
        <w:t>ال</w:t>
      </w:r>
      <w:r w:rsidRPr="008655A1">
        <w:rPr>
          <w:spacing w:val="0"/>
          <w:kern w:val="0"/>
          <w:sz w:val="20"/>
          <w:rtl/>
        </w:rPr>
        <w:t xml:space="preserve">إسلامبولي، الذي قيل إنه اغتال الرئيس السادات، ومحمد </w:t>
      </w:r>
      <w:r w:rsidRPr="008655A1">
        <w:rPr>
          <w:rFonts w:hint="cs"/>
          <w:spacing w:val="0"/>
          <w:kern w:val="0"/>
          <w:sz w:val="20"/>
          <w:rtl/>
        </w:rPr>
        <w:t>ال</w:t>
      </w:r>
      <w:r w:rsidRPr="008655A1">
        <w:rPr>
          <w:spacing w:val="0"/>
          <w:kern w:val="0"/>
          <w:sz w:val="20"/>
          <w:rtl/>
        </w:rPr>
        <w:t>إسلامبولي، الذي فر من مصر وأصبح وجها</w:t>
      </w:r>
      <w:r w:rsidRPr="008655A1">
        <w:rPr>
          <w:rFonts w:hint="cs"/>
          <w:spacing w:val="0"/>
          <w:kern w:val="0"/>
          <w:sz w:val="20"/>
          <w:rtl/>
        </w:rPr>
        <w:t>ً</w:t>
      </w:r>
      <w:r w:rsidRPr="008655A1">
        <w:rPr>
          <w:spacing w:val="0"/>
          <w:kern w:val="0"/>
          <w:sz w:val="20"/>
          <w:rtl/>
        </w:rPr>
        <w:t xml:space="preserve"> معروفا</w:t>
      </w:r>
      <w:r w:rsidRPr="008655A1">
        <w:rPr>
          <w:rFonts w:hint="cs"/>
          <w:spacing w:val="0"/>
          <w:kern w:val="0"/>
          <w:sz w:val="20"/>
          <w:rtl/>
        </w:rPr>
        <w:t>ً</w:t>
      </w:r>
      <w:r w:rsidRPr="008655A1">
        <w:rPr>
          <w:spacing w:val="0"/>
          <w:kern w:val="0"/>
          <w:sz w:val="20"/>
          <w:rtl/>
        </w:rPr>
        <w:t xml:space="preserve"> في تنظيم القاعدة. وقال إن صاحب الشكوى الأول من أسرة نبيلة كانت تنتمي إلى النخبة الحاكمة في عهد كل من عبد الناصر والسادات، وهو ما يعزز الافتراض بأن </w:t>
      </w:r>
      <w:r w:rsidRPr="008655A1">
        <w:rPr>
          <w:rFonts w:hint="cs"/>
          <w:spacing w:val="0"/>
          <w:kern w:val="0"/>
          <w:sz w:val="20"/>
          <w:rtl/>
        </w:rPr>
        <w:t>مباحث أمن الدولة</w:t>
      </w:r>
      <w:r w:rsidRPr="008655A1">
        <w:rPr>
          <w:spacing w:val="0"/>
          <w:kern w:val="0"/>
          <w:sz w:val="20"/>
          <w:rtl/>
        </w:rPr>
        <w:t xml:space="preserve"> تهتم </w:t>
      </w:r>
      <w:r w:rsidRPr="008655A1">
        <w:rPr>
          <w:rFonts w:hint="cs"/>
          <w:spacing w:val="0"/>
          <w:kern w:val="0"/>
          <w:sz w:val="20"/>
          <w:rtl/>
        </w:rPr>
        <w:t>ب</w:t>
      </w:r>
      <w:r w:rsidRPr="008655A1">
        <w:rPr>
          <w:spacing w:val="0"/>
          <w:kern w:val="0"/>
          <w:sz w:val="20"/>
          <w:rtl/>
        </w:rPr>
        <w:t xml:space="preserve">أمره. وعلاوة على ذلك، أسقطت محكمة شؤون الهجرة من اعتبارها أن صاحب الشكوى الأول فر من مصر </w:t>
      </w:r>
      <w:r w:rsidRPr="008655A1">
        <w:rPr>
          <w:rFonts w:hint="cs"/>
          <w:spacing w:val="0"/>
          <w:kern w:val="0"/>
          <w:sz w:val="20"/>
          <w:rtl/>
        </w:rPr>
        <w:t xml:space="preserve">في </w:t>
      </w:r>
      <w:r w:rsidRPr="008655A1">
        <w:rPr>
          <w:spacing w:val="0"/>
          <w:kern w:val="0"/>
          <w:sz w:val="20"/>
          <w:rtl/>
        </w:rPr>
        <w:t>عام</w:t>
      </w:r>
      <w:r w:rsidR="0020182D">
        <w:rPr>
          <w:rFonts w:hint="cs"/>
          <w:spacing w:val="0"/>
          <w:kern w:val="0"/>
          <w:sz w:val="20"/>
          <w:rtl/>
        </w:rPr>
        <w:t> </w:t>
      </w:r>
      <w:r w:rsidRPr="008655A1">
        <w:rPr>
          <w:spacing w:val="0"/>
          <w:kern w:val="0"/>
          <w:sz w:val="20"/>
          <w:rtl/>
        </w:rPr>
        <w:t>1987 رغم أن</w:t>
      </w:r>
      <w:r w:rsidRPr="008655A1">
        <w:rPr>
          <w:rFonts w:hint="cs"/>
          <w:spacing w:val="0"/>
          <w:kern w:val="0"/>
          <w:sz w:val="20"/>
          <w:rtl/>
        </w:rPr>
        <w:t>ه كان مطالباً بالمثول أمام</w:t>
      </w:r>
      <w:r w:rsidRPr="008655A1">
        <w:rPr>
          <w:spacing w:val="0"/>
          <w:kern w:val="0"/>
          <w:sz w:val="20"/>
          <w:rtl/>
        </w:rPr>
        <w:t xml:space="preserve"> الشرطة ورغم منعه من السفر. ولذلك، فمن المحتمل أن تثير عودته اهتمام السلطات به من جديد. وأضاف المحامي قائلا</w:t>
      </w:r>
      <w:r w:rsidRPr="008655A1">
        <w:rPr>
          <w:rFonts w:hint="cs"/>
          <w:spacing w:val="0"/>
          <w:kern w:val="0"/>
          <w:sz w:val="20"/>
          <w:rtl/>
        </w:rPr>
        <w:t>ً</w:t>
      </w:r>
      <w:r w:rsidRPr="008655A1">
        <w:rPr>
          <w:spacing w:val="0"/>
          <w:kern w:val="0"/>
          <w:sz w:val="20"/>
          <w:rtl/>
        </w:rPr>
        <w:t xml:space="preserve"> إنه من اللافت </w:t>
      </w:r>
      <w:r w:rsidRPr="008655A1">
        <w:rPr>
          <w:rFonts w:hint="cs"/>
          <w:spacing w:val="0"/>
          <w:kern w:val="0"/>
          <w:sz w:val="20"/>
          <w:rtl/>
        </w:rPr>
        <w:t xml:space="preserve">للنظر </w:t>
      </w:r>
      <w:r w:rsidRPr="008655A1">
        <w:rPr>
          <w:spacing w:val="0"/>
          <w:kern w:val="0"/>
          <w:sz w:val="20"/>
          <w:rtl/>
        </w:rPr>
        <w:t>في الواقع، أن تخلص محكمة شؤون الهجرة إلى أن صاحب الشكوى الثالث لم يقم الدليل على ترجيح تعرضه لسوء المعاملة بسبب أنشطة والده. ودفع بأنه كان ينبغي تفسير الشك لمصلحة صاحب الشكوى الثالث بما أن المعلومة الوحيدة التي عرفت هي أنه تعرض للاعتقال والتعذيب بسبب والده. وبالإضافة إلى ذلك، دعا المحامي محكمة الاستئناف الخاصة بالهجرة إلى تقييم الوضع السائد في مصر فيما يتعلق بخطر التعرض للتعذيب والمعاملة اللاإنسانية. وأشار المحامي إلى سريان قوانين الطوارئ في مصر</w:t>
      </w:r>
      <w:r w:rsidRPr="008655A1">
        <w:rPr>
          <w:rFonts w:hint="cs"/>
          <w:spacing w:val="0"/>
          <w:kern w:val="0"/>
          <w:sz w:val="20"/>
          <w:rtl/>
        </w:rPr>
        <w:t>،</w:t>
      </w:r>
      <w:r w:rsidRPr="008655A1">
        <w:rPr>
          <w:spacing w:val="0"/>
          <w:kern w:val="0"/>
          <w:sz w:val="20"/>
          <w:rtl/>
        </w:rPr>
        <w:t xml:space="preserve"> الأمر الذي يسمح باللج</w:t>
      </w:r>
      <w:r w:rsidR="0020182D">
        <w:rPr>
          <w:spacing w:val="0"/>
          <w:kern w:val="0"/>
          <w:sz w:val="20"/>
          <w:rtl/>
        </w:rPr>
        <w:t>وء إلى التعذيب في بعض الحالات.</w:t>
      </w:r>
    </w:p>
    <w:p w:rsidR="008655A1" w:rsidRPr="008655A1" w:rsidRDefault="008655A1" w:rsidP="0020182D">
      <w:pPr>
        <w:pStyle w:val="SingleTxtGA"/>
        <w:jc w:val="lowKashida"/>
        <w:rPr>
          <w:rFonts w:hint="cs"/>
          <w:spacing w:val="0"/>
          <w:kern w:val="0"/>
          <w:sz w:val="20"/>
          <w:rtl/>
        </w:rPr>
      </w:pPr>
      <w:r w:rsidRPr="008655A1">
        <w:rPr>
          <w:spacing w:val="0"/>
          <w:kern w:val="0"/>
          <w:sz w:val="20"/>
          <w:rtl/>
        </w:rPr>
        <w:t>2-23</w:t>
      </w:r>
      <w:r w:rsidRPr="008655A1">
        <w:rPr>
          <w:rFonts w:hint="cs"/>
          <w:spacing w:val="0"/>
          <w:kern w:val="0"/>
          <w:sz w:val="20"/>
          <w:rtl/>
        </w:rPr>
        <w:tab/>
      </w:r>
      <w:r w:rsidRPr="008655A1">
        <w:rPr>
          <w:spacing w:val="0"/>
          <w:kern w:val="0"/>
          <w:sz w:val="20"/>
          <w:rtl/>
        </w:rPr>
        <w:t xml:space="preserve">وفي 20 أيار/مايو 2009، أصدرت محكمة الاستئناف الخاصة بالهجرة أربعة قرارات تقضي بعدم قبول الطعن. وخلصت المحكمة إلى أنه </w:t>
      </w:r>
      <w:r w:rsidRPr="008655A1">
        <w:rPr>
          <w:rFonts w:hint="cs"/>
          <w:spacing w:val="0"/>
          <w:kern w:val="0"/>
          <w:sz w:val="20"/>
          <w:rtl/>
        </w:rPr>
        <w:t>لم يستجد</w:t>
      </w:r>
      <w:r w:rsidRPr="008655A1">
        <w:rPr>
          <w:spacing w:val="0"/>
          <w:kern w:val="0"/>
          <w:sz w:val="20"/>
          <w:rtl/>
        </w:rPr>
        <w:t xml:space="preserve"> في </w:t>
      </w:r>
      <w:r w:rsidRPr="008655A1">
        <w:rPr>
          <w:rFonts w:hint="cs"/>
          <w:spacing w:val="0"/>
          <w:kern w:val="0"/>
          <w:sz w:val="20"/>
          <w:rtl/>
        </w:rPr>
        <w:t xml:space="preserve">ملابسات </w:t>
      </w:r>
      <w:r w:rsidRPr="008655A1">
        <w:rPr>
          <w:spacing w:val="0"/>
          <w:kern w:val="0"/>
          <w:sz w:val="20"/>
          <w:rtl/>
        </w:rPr>
        <w:t>القضية</w:t>
      </w:r>
      <w:r w:rsidRPr="008655A1">
        <w:rPr>
          <w:rFonts w:hint="cs"/>
          <w:spacing w:val="0"/>
          <w:kern w:val="0"/>
          <w:sz w:val="20"/>
          <w:rtl/>
        </w:rPr>
        <w:t xml:space="preserve"> </w:t>
      </w:r>
      <w:r w:rsidRPr="008655A1">
        <w:rPr>
          <w:spacing w:val="0"/>
          <w:kern w:val="0"/>
          <w:sz w:val="20"/>
          <w:rtl/>
        </w:rPr>
        <w:t>ما</w:t>
      </w:r>
      <w:r w:rsidR="0020182D">
        <w:rPr>
          <w:rFonts w:hint="cs"/>
          <w:spacing w:val="0"/>
          <w:kern w:val="0"/>
          <w:sz w:val="20"/>
          <w:rtl/>
        </w:rPr>
        <w:t> </w:t>
      </w:r>
      <w:r w:rsidRPr="008655A1">
        <w:rPr>
          <w:spacing w:val="0"/>
          <w:kern w:val="0"/>
          <w:sz w:val="20"/>
          <w:rtl/>
        </w:rPr>
        <w:t>يشكل أساسا</w:t>
      </w:r>
      <w:r w:rsidRPr="008655A1">
        <w:rPr>
          <w:rFonts w:hint="cs"/>
          <w:spacing w:val="0"/>
          <w:kern w:val="0"/>
          <w:sz w:val="20"/>
          <w:rtl/>
        </w:rPr>
        <w:t>ً</w:t>
      </w:r>
      <w:r w:rsidRPr="008655A1">
        <w:rPr>
          <w:spacing w:val="0"/>
          <w:kern w:val="0"/>
          <w:sz w:val="20"/>
          <w:rtl/>
        </w:rPr>
        <w:t xml:space="preserve"> لقبول الطعن</w:t>
      </w:r>
      <w:r w:rsidRPr="008655A1">
        <w:rPr>
          <w:spacing w:val="0"/>
          <w:kern w:val="0"/>
          <w:sz w:val="20"/>
          <w:szCs w:val="28"/>
          <w:vertAlign w:val="superscript"/>
          <w:rtl/>
        </w:rPr>
        <w:t>(</w:t>
      </w:r>
      <w:r w:rsidRPr="008655A1">
        <w:rPr>
          <w:rStyle w:val="FootnoteReference"/>
          <w:spacing w:val="0"/>
          <w:sz w:val="20"/>
          <w:rtl/>
        </w:rPr>
        <w:footnoteReference w:id="288"/>
      </w:r>
      <w:r w:rsidRPr="008655A1">
        <w:rPr>
          <w:spacing w:val="0"/>
          <w:kern w:val="0"/>
          <w:sz w:val="20"/>
          <w:szCs w:val="28"/>
          <w:vertAlign w:val="superscript"/>
          <w:rtl/>
        </w:rPr>
        <w:t>)</w:t>
      </w:r>
      <w:r w:rsidRPr="008655A1">
        <w:rPr>
          <w:rFonts w:hint="cs"/>
          <w:spacing w:val="0"/>
          <w:kern w:val="0"/>
          <w:sz w:val="20"/>
          <w:rtl/>
        </w:rPr>
        <w:t>.</w:t>
      </w:r>
      <w:r w:rsidRPr="008655A1">
        <w:rPr>
          <w:spacing w:val="0"/>
          <w:kern w:val="0"/>
          <w:sz w:val="20"/>
          <w:rtl/>
        </w:rPr>
        <w:t xml:space="preserve"> </w:t>
      </w:r>
    </w:p>
    <w:p w:rsidR="008655A1" w:rsidRPr="008655A1" w:rsidRDefault="008655A1" w:rsidP="004930E5">
      <w:pPr>
        <w:pStyle w:val="SingleTxtGA"/>
        <w:jc w:val="lowKashida"/>
        <w:rPr>
          <w:rFonts w:hint="cs"/>
          <w:spacing w:val="0"/>
          <w:kern w:val="0"/>
          <w:sz w:val="20"/>
          <w:rtl/>
        </w:rPr>
      </w:pPr>
      <w:r w:rsidRPr="008655A1">
        <w:rPr>
          <w:spacing w:val="0"/>
          <w:kern w:val="0"/>
          <w:sz w:val="20"/>
          <w:rtl/>
        </w:rPr>
        <w:t>2-24</w:t>
      </w:r>
      <w:r w:rsidRPr="008655A1">
        <w:rPr>
          <w:rFonts w:hint="cs"/>
          <w:spacing w:val="0"/>
          <w:kern w:val="0"/>
          <w:sz w:val="20"/>
          <w:rtl/>
        </w:rPr>
        <w:tab/>
      </w:r>
      <w:r w:rsidRPr="008655A1">
        <w:rPr>
          <w:spacing w:val="0"/>
          <w:kern w:val="0"/>
          <w:sz w:val="20"/>
          <w:rtl/>
        </w:rPr>
        <w:t>وفي 11 حزيران/يونيه 2009، قدم أصحاب الشكوى طلبا</w:t>
      </w:r>
      <w:r w:rsidRPr="008655A1">
        <w:rPr>
          <w:rFonts w:hint="cs"/>
          <w:spacing w:val="0"/>
          <w:kern w:val="0"/>
          <w:sz w:val="20"/>
          <w:rtl/>
        </w:rPr>
        <w:t>ً</w:t>
      </w:r>
      <w:r w:rsidRPr="008655A1">
        <w:rPr>
          <w:spacing w:val="0"/>
          <w:kern w:val="0"/>
          <w:sz w:val="20"/>
          <w:rtl/>
        </w:rPr>
        <w:t xml:space="preserve"> إلى مجلس الهجرة لدراسة </w:t>
      </w:r>
      <w:r w:rsidR="004930E5">
        <w:rPr>
          <w:rFonts w:hint="cs"/>
          <w:spacing w:val="0"/>
          <w:kern w:val="0"/>
          <w:sz w:val="20"/>
          <w:rtl/>
        </w:rPr>
        <w:t>عوائق</w:t>
      </w:r>
      <w:r w:rsidRPr="008655A1">
        <w:rPr>
          <w:spacing w:val="0"/>
          <w:kern w:val="0"/>
          <w:sz w:val="20"/>
          <w:rtl/>
        </w:rPr>
        <w:t xml:space="preserve"> </w:t>
      </w:r>
      <w:r w:rsidRPr="008655A1">
        <w:rPr>
          <w:rFonts w:hint="cs"/>
          <w:spacing w:val="0"/>
          <w:kern w:val="0"/>
          <w:sz w:val="20"/>
          <w:rtl/>
        </w:rPr>
        <w:t xml:space="preserve">تحول دون </w:t>
      </w:r>
      <w:r w:rsidRPr="008655A1">
        <w:rPr>
          <w:spacing w:val="0"/>
          <w:kern w:val="0"/>
          <w:sz w:val="20"/>
          <w:rtl/>
        </w:rPr>
        <w:t>إنفاذ أوامر الطرد وطلبوا في جملة أمور، الحصول على تصاريح الإقامة ومركز اللاجئ ووثائق السفر. كما طُلب من مجلس الهجرة إيقاف إنفاذ أوامر الطرد وتعيين محام للأسرة يلم بتقنيات الإنترنت. ومن بين الأسباب التي تعلل بها أصحاب الشكوى لطلب إجراء الدراسة وإيقاف الإنفاذ، ادعاء انتماء صاحب الشكوى الأول إلى جماعة من المثقفين الذين يعتقدون أن الرئيس حسني مبارك وزمرته هم من دبر</w:t>
      </w:r>
      <w:r w:rsidRPr="008655A1">
        <w:rPr>
          <w:rFonts w:hint="cs"/>
          <w:spacing w:val="0"/>
          <w:kern w:val="0"/>
          <w:sz w:val="20"/>
          <w:rtl/>
        </w:rPr>
        <w:t>وا</w:t>
      </w:r>
      <w:r w:rsidRPr="008655A1">
        <w:rPr>
          <w:spacing w:val="0"/>
          <w:kern w:val="0"/>
          <w:sz w:val="20"/>
          <w:rtl/>
        </w:rPr>
        <w:t xml:space="preserve"> مؤامرة اغتيال الرئيس السادات. إذ يعتقد أنه لم يثبت أن ابن عمه خالد </w:t>
      </w:r>
      <w:r w:rsidRPr="008655A1">
        <w:rPr>
          <w:rFonts w:hint="cs"/>
          <w:spacing w:val="0"/>
          <w:kern w:val="0"/>
          <w:sz w:val="20"/>
          <w:rtl/>
        </w:rPr>
        <w:t>ال</w:t>
      </w:r>
      <w:r w:rsidRPr="008655A1">
        <w:rPr>
          <w:spacing w:val="0"/>
          <w:kern w:val="0"/>
          <w:sz w:val="20"/>
          <w:rtl/>
        </w:rPr>
        <w:t xml:space="preserve">إسلامبولي هو القاتل. وقد قام صاحب الشكوى الأول منذ قدومه إلى السويد بحملة من أجل أن تضطلع منظمة الأمم المتحدة بالتحقيق في اغتيال الرئيس السادات وتبرئة ابن عمه. وأنشأ صاحب الشكوى الأول عدة مدونات نشر عليها معلومات غير متاحة لغيره تتعلق بعملية الاغتيال. واطلع على عناوين المتصفحين في بروتوكول الإنترنت فوجد أن معظمهم من مصر. وهناك مجموعة من عناوين بروتوكول الإنترنت قد تعود للسلطات المصرية. ويرجح صاحب الشكوى الأول أنها تعود لمباحث أمن الدولة التي تبحث عن المنشقين عبر شبكة الإنترنت كما هو معروف. وبما أن هذه المعلومات تعود إلى صاحب الشكوى الأول، فمن المرجح أن </w:t>
      </w:r>
      <w:r w:rsidRPr="008655A1">
        <w:rPr>
          <w:rFonts w:hint="cs"/>
          <w:spacing w:val="0"/>
          <w:kern w:val="0"/>
          <w:sz w:val="20"/>
          <w:rtl/>
        </w:rPr>
        <w:t xml:space="preserve">مباحث أمن الدولة </w:t>
      </w:r>
      <w:r w:rsidRPr="008655A1">
        <w:rPr>
          <w:spacing w:val="0"/>
          <w:kern w:val="0"/>
          <w:sz w:val="20"/>
          <w:rtl/>
        </w:rPr>
        <w:t>تعلم أنه هو من نشرها على شبكة الإنترنت. ولذلك، فإنه يواجه بنشر هذه المعلومات خطرا</w:t>
      </w:r>
      <w:r w:rsidRPr="008655A1">
        <w:rPr>
          <w:rFonts w:hint="cs"/>
          <w:spacing w:val="0"/>
          <w:kern w:val="0"/>
          <w:sz w:val="20"/>
          <w:rtl/>
        </w:rPr>
        <w:t>ً</w:t>
      </w:r>
      <w:r w:rsidRPr="008655A1">
        <w:rPr>
          <w:spacing w:val="0"/>
          <w:kern w:val="0"/>
          <w:sz w:val="20"/>
          <w:rtl/>
        </w:rPr>
        <w:t xml:space="preserve"> كبيرا</w:t>
      </w:r>
      <w:r w:rsidRPr="008655A1">
        <w:rPr>
          <w:rFonts w:hint="cs"/>
          <w:spacing w:val="0"/>
          <w:kern w:val="0"/>
          <w:sz w:val="20"/>
          <w:rtl/>
        </w:rPr>
        <w:t>ً</w:t>
      </w:r>
      <w:r w:rsidRPr="008655A1">
        <w:rPr>
          <w:spacing w:val="0"/>
          <w:kern w:val="0"/>
          <w:sz w:val="20"/>
          <w:rtl/>
        </w:rPr>
        <w:t xml:space="preserve"> قد يعرضه </w:t>
      </w:r>
      <w:r w:rsidRPr="008655A1">
        <w:rPr>
          <w:rFonts w:hint="cs"/>
          <w:spacing w:val="0"/>
          <w:kern w:val="0"/>
          <w:sz w:val="20"/>
          <w:rtl/>
        </w:rPr>
        <w:t xml:space="preserve">للملاحقة </w:t>
      </w:r>
      <w:r w:rsidRPr="008655A1">
        <w:rPr>
          <w:spacing w:val="0"/>
          <w:kern w:val="0"/>
          <w:sz w:val="20"/>
          <w:rtl/>
        </w:rPr>
        <w:t>ولعقوبة قاسية لا تتناسب مع فعله، ربما تكون عقوبة الإعدام. وقال إنه لم</w:t>
      </w:r>
      <w:r w:rsidRPr="008655A1">
        <w:rPr>
          <w:rFonts w:hint="cs"/>
          <w:spacing w:val="0"/>
          <w:kern w:val="0"/>
          <w:sz w:val="20"/>
          <w:rtl/>
        </w:rPr>
        <w:t> </w:t>
      </w:r>
      <w:r w:rsidRPr="008655A1">
        <w:rPr>
          <w:spacing w:val="0"/>
          <w:kern w:val="0"/>
          <w:sz w:val="20"/>
          <w:rtl/>
        </w:rPr>
        <w:t>يكن بإمكانه الإدلاء بهذه الواقعة في وقت سابق لأ</w:t>
      </w:r>
      <w:r w:rsidR="0020182D">
        <w:rPr>
          <w:spacing w:val="0"/>
          <w:kern w:val="0"/>
          <w:sz w:val="20"/>
          <w:rtl/>
        </w:rPr>
        <w:t>ن ذلك لم يحدث إلا في عام 2009.</w:t>
      </w:r>
    </w:p>
    <w:p w:rsidR="008655A1" w:rsidRPr="008655A1" w:rsidRDefault="008655A1" w:rsidP="008655A1">
      <w:pPr>
        <w:pStyle w:val="SingleTxtGA"/>
        <w:jc w:val="lowKashida"/>
        <w:rPr>
          <w:rFonts w:hint="cs"/>
          <w:spacing w:val="0"/>
          <w:kern w:val="0"/>
          <w:sz w:val="20"/>
          <w:rtl/>
        </w:rPr>
      </w:pPr>
      <w:r w:rsidRPr="008655A1">
        <w:rPr>
          <w:spacing w:val="0"/>
          <w:kern w:val="0"/>
          <w:sz w:val="20"/>
          <w:rtl/>
        </w:rPr>
        <w:t>2-25</w:t>
      </w:r>
      <w:r w:rsidRPr="008655A1">
        <w:rPr>
          <w:rFonts w:hint="cs"/>
          <w:spacing w:val="0"/>
          <w:kern w:val="0"/>
          <w:sz w:val="20"/>
          <w:rtl/>
        </w:rPr>
        <w:tab/>
      </w:r>
      <w:r w:rsidRPr="008655A1">
        <w:rPr>
          <w:spacing w:val="0"/>
          <w:kern w:val="0"/>
          <w:sz w:val="20"/>
          <w:rtl/>
        </w:rPr>
        <w:t xml:space="preserve">وفي 23 حزيران/يونيه 2009، رفض مجلس الهجرة طلبات إيقاف الإنفاذ وتعيين محامي المساعدة القضائية. وفي 3 تموز/يوليه 2009، قرر مجلس الهجرة عدم إصدار تصاريح الإقامة بموجب </w:t>
      </w:r>
      <w:r w:rsidRPr="008655A1">
        <w:rPr>
          <w:rFonts w:hint="cs"/>
          <w:spacing w:val="0"/>
          <w:kern w:val="0"/>
          <w:sz w:val="20"/>
          <w:rtl/>
        </w:rPr>
        <w:t xml:space="preserve">المادة </w:t>
      </w:r>
      <w:r w:rsidRPr="008655A1">
        <w:rPr>
          <w:spacing w:val="0"/>
          <w:kern w:val="0"/>
          <w:sz w:val="20"/>
          <w:rtl/>
        </w:rPr>
        <w:t xml:space="preserve">18 من الفصل 12 من قانون الأجانب السويدي (القانون) وعدم إعادة استعراض المسألة المتعلقة بتصاريح الإقامة بموجب </w:t>
      </w:r>
      <w:r w:rsidRPr="008655A1">
        <w:rPr>
          <w:rFonts w:hint="cs"/>
          <w:spacing w:val="0"/>
          <w:kern w:val="0"/>
          <w:sz w:val="20"/>
          <w:rtl/>
        </w:rPr>
        <w:t xml:space="preserve">المادة </w:t>
      </w:r>
      <w:r w:rsidRPr="008655A1">
        <w:rPr>
          <w:spacing w:val="0"/>
          <w:kern w:val="0"/>
          <w:sz w:val="20"/>
          <w:rtl/>
        </w:rPr>
        <w:t>19 من الفصل 12 من القانون</w:t>
      </w:r>
      <w:r w:rsidRPr="008655A1">
        <w:rPr>
          <w:spacing w:val="0"/>
          <w:kern w:val="0"/>
          <w:sz w:val="20"/>
          <w:szCs w:val="28"/>
          <w:vertAlign w:val="superscript"/>
          <w:rtl/>
        </w:rPr>
        <w:t>(</w:t>
      </w:r>
      <w:r w:rsidRPr="008655A1">
        <w:rPr>
          <w:rStyle w:val="FootnoteReference"/>
          <w:spacing w:val="0"/>
          <w:sz w:val="20"/>
          <w:rtl/>
        </w:rPr>
        <w:footnoteReference w:id="289"/>
      </w:r>
      <w:r w:rsidRPr="008655A1">
        <w:rPr>
          <w:spacing w:val="0"/>
          <w:kern w:val="0"/>
          <w:sz w:val="20"/>
          <w:szCs w:val="28"/>
          <w:vertAlign w:val="superscript"/>
          <w:rtl/>
        </w:rPr>
        <w:t>)</w:t>
      </w:r>
      <w:r w:rsidRPr="008655A1">
        <w:rPr>
          <w:rFonts w:hint="cs"/>
          <w:spacing w:val="0"/>
          <w:kern w:val="0"/>
          <w:sz w:val="20"/>
          <w:rtl/>
        </w:rPr>
        <w:t>.</w:t>
      </w:r>
      <w:r w:rsidRPr="008655A1">
        <w:rPr>
          <w:spacing w:val="0"/>
          <w:kern w:val="0"/>
          <w:sz w:val="20"/>
          <w:rtl/>
        </w:rPr>
        <w:t xml:space="preserve"> ورأى المجلس أن ممارسة الشخص لنشاط سياسي في البلد الذي فر إليه ضد نظام بلده الأصلي لا يمكن أن يشكل أساسا</w:t>
      </w:r>
      <w:r w:rsidRPr="008655A1">
        <w:rPr>
          <w:rFonts w:hint="cs"/>
          <w:spacing w:val="0"/>
          <w:kern w:val="0"/>
          <w:sz w:val="20"/>
          <w:rtl/>
        </w:rPr>
        <w:t>ً</w:t>
      </w:r>
      <w:r w:rsidRPr="008655A1">
        <w:rPr>
          <w:spacing w:val="0"/>
          <w:kern w:val="0"/>
          <w:sz w:val="20"/>
          <w:rtl/>
        </w:rPr>
        <w:t xml:space="preserve"> لطلب اللجوء إلا إذا ثبت، في كل حالة على حدة، وجود احتمال لتعرضه، جراء هذا النشاط، للاضطهاد والمضايقة على يد سلطات بلده الأصلي عند العودة. وقد قضت السوابق القضائية بأنه إذا تبين أن الإجراءات التي اتخذها ملتمس اللجوء في السويد لا تتوخى سوى التأثير </w:t>
      </w:r>
      <w:r w:rsidRPr="008655A1">
        <w:rPr>
          <w:rFonts w:hint="cs"/>
          <w:spacing w:val="0"/>
          <w:kern w:val="0"/>
          <w:sz w:val="20"/>
          <w:rtl/>
        </w:rPr>
        <w:t>في صالح</w:t>
      </w:r>
      <w:r w:rsidRPr="008655A1">
        <w:rPr>
          <w:spacing w:val="0"/>
          <w:kern w:val="0"/>
          <w:sz w:val="20"/>
          <w:rtl/>
        </w:rPr>
        <w:t xml:space="preserve"> حقه في البقاء في السويد، فإن هذه الإجراءات </w:t>
      </w:r>
      <w:r w:rsidRPr="008655A1">
        <w:rPr>
          <w:rFonts w:hint="cs"/>
          <w:spacing w:val="0"/>
          <w:kern w:val="0"/>
          <w:sz w:val="20"/>
          <w:rtl/>
        </w:rPr>
        <w:t xml:space="preserve">وحدها </w:t>
      </w:r>
      <w:r w:rsidRPr="008655A1">
        <w:rPr>
          <w:spacing w:val="0"/>
          <w:kern w:val="0"/>
          <w:sz w:val="20"/>
          <w:rtl/>
        </w:rPr>
        <w:t xml:space="preserve">لا تستحق إيلاءها أهمية حاسمة في تقييم الحاجة إلى الحماية. وقال علاوة على ذلك، إن الشخص الذي ينخرط في نشاط سياسي في البلد الذي فر إليه قبل حل مسألة تصريح الإقامة بصورة نهائية لا ينظر إلى المخاطر التي يواجهها لدى عودته إلى بلده الأصلي على أنها مخاطر شديدة. </w:t>
      </w:r>
    </w:p>
    <w:p w:rsidR="008655A1" w:rsidRPr="008655A1" w:rsidRDefault="008655A1" w:rsidP="004930E5">
      <w:pPr>
        <w:pStyle w:val="SingleTxtGA"/>
        <w:jc w:val="lowKashida"/>
        <w:rPr>
          <w:rFonts w:hint="cs"/>
          <w:spacing w:val="0"/>
          <w:kern w:val="0"/>
          <w:sz w:val="20"/>
          <w:rtl/>
        </w:rPr>
      </w:pPr>
      <w:r w:rsidRPr="008655A1">
        <w:rPr>
          <w:spacing w:val="0"/>
          <w:kern w:val="0"/>
          <w:sz w:val="20"/>
          <w:rtl/>
        </w:rPr>
        <w:t>2-26</w:t>
      </w:r>
      <w:r w:rsidRPr="008655A1">
        <w:rPr>
          <w:rFonts w:hint="cs"/>
          <w:spacing w:val="0"/>
          <w:kern w:val="0"/>
          <w:sz w:val="20"/>
          <w:rtl/>
        </w:rPr>
        <w:tab/>
      </w:r>
      <w:r w:rsidRPr="008655A1">
        <w:rPr>
          <w:spacing w:val="0"/>
          <w:kern w:val="0"/>
          <w:sz w:val="20"/>
          <w:rtl/>
        </w:rPr>
        <w:t>وقال مجلس الهجرة فضلا</w:t>
      </w:r>
      <w:r w:rsidRPr="008655A1">
        <w:rPr>
          <w:rFonts w:hint="cs"/>
          <w:spacing w:val="0"/>
          <w:kern w:val="0"/>
          <w:sz w:val="20"/>
          <w:rtl/>
        </w:rPr>
        <w:t>ً</w:t>
      </w:r>
      <w:r w:rsidRPr="008655A1">
        <w:rPr>
          <w:spacing w:val="0"/>
          <w:kern w:val="0"/>
          <w:sz w:val="20"/>
          <w:rtl/>
        </w:rPr>
        <w:t xml:space="preserve"> عن ذلك إن وجود قناعة لدى صاحب الشكوى الأول بأن مباحث أمن الدولة المصرية هي </w:t>
      </w:r>
      <w:r w:rsidRPr="008655A1">
        <w:rPr>
          <w:rFonts w:hint="cs"/>
          <w:spacing w:val="0"/>
          <w:kern w:val="0"/>
          <w:sz w:val="20"/>
          <w:rtl/>
        </w:rPr>
        <w:t>التي</w:t>
      </w:r>
      <w:r w:rsidRPr="008655A1">
        <w:rPr>
          <w:spacing w:val="0"/>
          <w:kern w:val="0"/>
          <w:sz w:val="20"/>
          <w:rtl/>
        </w:rPr>
        <w:t xml:space="preserve"> كان</w:t>
      </w:r>
      <w:r w:rsidRPr="008655A1">
        <w:rPr>
          <w:rFonts w:hint="cs"/>
          <w:spacing w:val="0"/>
          <w:kern w:val="0"/>
          <w:sz w:val="20"/>
          <w:rtl/>
        </w:rPr>
        <w:t>ت</w:t>
      </w:r>
      <w:r w:rsidRPr="008655A1">
        <w:rPr>
          <w:spacing w:val="0"/>
          <w:kern w:val="0"/>
          <w:sz w:val="20"/>
          <w:rtl/>
        </w:rPr>
        <w:t xml:space="preserve"> </w:t>
      </w:r>
      <w:r w:rsidRPr="008655A1">
        <w:rPr>
          <w:rFonts w:hint="cs"/>
          <w:spacing w:val="0"/>
          <w:kern w:val="0"/>
          <w:sz w:val="20"/>
          <w:rtl/>
        </w:rPr>
        <w:t>ت</w:t>
      </w:r>
      <w:r w:rsidRPr="008655A1">
        <w:rPr>
          <w:spacing w:val="0"/>
          <w:kern w:val="0"/>
          <w:sz w:val="20"/>
          <w:rtl/>
        </w:rPr>
        <w:t xml:space="preserve">تصفح موقعه الإلكتروني يمثل معلومة جديدة لم ترد الإشارة إليها من قبل. بيد أن المجلس خلص إلى أنه لم تظهر أسباب جديدة تشكل </w:t>
      </w:r>
      <w:r w:rsidR="004930E5">
        <w:rPr>
          <w:rFonts w:hint="cs"/>
          <w:spacing w:val="0"/>
          <w:kern w:val="0"/>
          <w:sz w:val="20"/>
          <w:rtl/>
        </w:rPr>
        <w:t>عوائق</w:t>
      </w:r>
      <w:r w:rsidRPr="008655A1">
        <w:rPr>
          <w:spacing w:val="0"/>
          <w:kern w:val="0"/>
          <w:sz w:val="20"/>
          <w:rtl/>
        </w:rPr>
        <w:t xml:space="preserve"> تحول دون الإنفاذ بموجب المادة 18 من الفصل 12 من القانون. ورأى، بالإضافة إلى ذلك، أن </w:t>
      </w:r>
      <w:r w:rsidRPr="008655A1">
        <w:rPr>
          <w:rFonts w:hint="cs"/>
          <w:spacing w:val="0"/>
          <w:kern w:val="0"/>
          <w:sz w:val="20"/>
          <w:rtl/>
        </w:rPr>
        <w:t xml:space="preserve">الوقائع </w:t>
      </w:r>
      <w:r w:rsidRPr="008655A1">
        <w:rPr>
          <w:spacing w:val="0"/>
          <w:kern w:val="0"/>
          <w:sz w:val="20"/>
          <w:rtl/>
        </w:rPr>
        <w:t>الجديدة لا يمكن اعتبارها عائقا</w:t>
      </w:r>
      <w:r w:rsidRPr="008655A1">
        <w:rPr>
          <w:rFonts w:hint="cs"/>
          <w:spacing w:val="0"/>
          <w:kern w:val="0"/>
          <w:sz w:val="20"/>
          <w:rtl/>
        </w:rPr>
        <w:t>ً</w:t>
      </w:r>
      <w:r w:rsidRPr="008655A1">
        <w:rPr>
          <w:spacing w:val="0"/>
          <w:kern w:val="0"/>
          <w:sz w:val="20"/>
          <w:rtl/>
        </w:rPr>
        <w:t xml:space="preserve"> للإنفاذ وفقا</w:t>
      </w:r>
      <w:r w:rsidRPr="008655A1">
        <w:rPr>
          <w:rFonts w:hint="cs"/>
          <w:spacing w:val="0"/>
          <w:kern w:val="0"/>
          <w:sz w:val="20"/>
          <w:rtl/>
        </w:rPr>
        <w:t>ً</w:t>
      </w:r>
      <w:r w:rsidRPr="008655A1">
        <w:rPr>
          <w:spacing w:val="0"/>
          <w:kern w:val="0"/>
          <w:sz w:val="20"/>
          <w:rtl/>
        </w:rPr>
        <w:t xml:space="preserve"> لما ورد في </w:t>
      </w:r>
      <w:r w:rsidRPr="008655A1">
        <w:rPr>
          <w:rFonts w:hint="cs"/>
          <w:spacing w:val="0"/>
          <w:kern w:val="0"/>
          <w:sz w:val="20"/>
          <w:rtl/>
        </w:rPr>
        <w:t xml:space="preserve">المواد </w:t>
      </w:r>
      <w:r w:rsidRPr="008655A1">
        <w:rPr>
          <w:spacing w:val="0"/>
          <w:kern w:val="0"/>
          <w:sz w:val="20"/>
          <w:rtl/>
        </w:rPr>
        <w:t>1-3 من الفصل 12 من القانون فيما يتعلق بالأسرة. وعليه، رأى المجلس أنه لا توجد أسباب تدعو إلى النظر في مسألة تصاريح الإقامة بموجب الم</w:t>
      </w:r>
      <w:r w:rsidR="0020182D">
        <w:rPr>
          <w:spacing w:val="0"/>
          <w:kern w:val="0"/>
          <w:sz w:val="20"/>
          <w:rtl/>
        </w:rPr>
        <w:t>ادة 19 من الفصل 12 من القانون.</w:t>
      </w:r>
    </w:p>
    <w:p w:rsidR="008655A1" w:rsidRPr="008655A1" w:rsidRDefault="008655A1" w:rsidP="008655A1">
      <w:pPr>
        <w:pStyle w:val="SingleTxtGA"/>
        <w:jc w:val="lowKashida"/>
        <w:rPr>
          <w:spacing w:val="0"/>
          <w:kern w:val="0"/>
          <w:sz w:val="20"/>
          <w:rtl/>
        </w:rPr>
      </w:pPr>
      <w:r w:rsidRPr="008655A1">
        <w:rPr>
          <w:spacing w:val="0"/>
          <w:kern w:val="0"/>
          <w:sz w:val="20"/>
          <w:rtl/>
        </w:rPr>
        <w:t>2-27</w:t>
      </w:r>
      <w:r w:rsidRPr="008655A1">
        <w:rPr>
          <w:rFonts w:hint="cs"/>
          <w:spacing w:val="0"/>
          <w:kern w:val="0"/>
          <w:sz w:val="20"/>
          <w:rtl/>
        </w:rPr>
        <w:tab/>
      </w:r>
      <w:r w:rsidRPr="008655A1">
        <w:rPr>
          <w:spacing w:val="0"/>
          <w:kern w:val="0"/>
          <w:sz w:val="20"/>
          <w:rtl/>
        </w:rPr>
        <w:t>وفي 3 تشرين الثاني/نوفمبر 2009، طلب أصحاب الشكوى من مجلس الهجرة مراجعة القرار والتمسوا الحصول على تصاريح الإقامة ومركز اللاجئ ووثائق السفر. وتضمنت أسباب المراجعة ما يعيشه الأطفال بصورة خاصة، وبقية أفراد الأسرة، من ظروف قاسية للغاية. وأشارت الأسرة في الطلب الذي قدمته لمجلس الهجرة إلى أنها رفعت طلبا</w:t>
      </w:r>
      <w:r w:rsidRPr="008655A1">
        <w:rPr>
          <w:rFonts w:hint="cs"/>
          <w:spacing w:val="0"/>
          <w:kern w:val="0"/>
          <w:sz w:val="20"/>
          <w:rtl/>
        </w:rPr>
        <w:t>ً</w:t>
      </w:r>
      <w:r w:rsidRPr="008655A1">
        <w:rPr>
          <w:spacing w:val="0"/>
          <w:kern w:val="0"/>
          <w:sz w:val="20"/>
          <w:rtl/>
        </w:rPr>
        <w:t xml:space="preserve"> إلى لجنة مناهضة التعذيب لاستعراض أوامر الطرد وأن اللجنة وافقت على استعراض البلاغ. وأضاف أصحاب الشكوى أنه يمكن سحب البلاغ المقدم إلى اللجنة في حال حصلت الأسرة على تصريح الإقامة. وفي 4 تشرين الثاني/نوفمبر 2009، رأى مجلس الهجرة أنه لا يوجد أي سبب يدعو إلى تغيير القرار الذي صدر سابقا</w:t>
      </w:r>
      <w:r w:rsidRPr="008655A1">
        <w:rPr>
          <w:rFonts w:hint="cs"/>
          <w:spacing w:val="0"/>
          <w:kern w:val="0"/>
          <w:sz w:val="20"/>
          <w:rtl/>
        </w:rPr>
        <w:t>ً</w:t>
      </w:r>
      <w:r w:rsidRPr="008655A1">
        <w:rPr>
          <w:spacing w:val="0"/>
          <w:kern w:val="0"/>
          <w:sz w:val="20"/>
          <w:rtl/>
        </w:rPr>
        <w:t xml:space="preserve">. </w:t>
      </w:r>
    </w:p>
    <w:p w:rsidR="008655A1" w:rsidRPr="008655A1" w:rsidRDefault="008655A1" w:rsidP="008655A1">
      <w:pPr>
        <w:pStyle w:val="H23GA"/>
        <w:jc w:val="lowKashida"/>
        <w:rPr>
          <w:spacing w:val="0"/>
          <w:kern w:val="0"/>
          <w:sz w:val="20"/>
          <w:rtl/>
        </w:rPr>
      </w:pPr>
      <w:r w:rsidRPr="008655A1">
        <w:rPr>
          <w:rFonts w:hint="cs"/>
          <w:spacing w:val="0"/>
          <w:kern w:val="0"/>
          <w:sz w:val="20"/>
          <w:rtl/>
        </w:rPr>
        <w:tab/>
      </w:r>
      <w:r w:rsidRPr="008655A1">
        <w:rPr>
          <w:spacing w:val="0"/>
          <w:kern w:val="0"/>
          <w:sz w:val="20"/>
          <w:rtl/>
        </w:rPr>
        <w:tab/>
        <w:t>الشكوى</w:t>
      </w:r>
    </w:p>
    <w:p w:rsidR="008655A1" w:rsidRPr="007C1878" w:rsidRDefault="008655A1" w:rsidP="00ED6B1C">
      <w:pPr>
        <w:pStyle w:val="SingleTxtGA"/>
        <w:spacing w:line="360" w:lineRule="exact"/>
        <w:jc w:val="lowKashida"/>
        <w:rPr>
          <w:rFonts w:hint="cs"/>
          <w:spacing w:val="0"/>
          <w:kern w:val="0"/>
          <w:sz w:val="20"/>
          <w:rtl/>
        </w:rPr>
      </w:pPr>
      <w:r w:rsidRPr="007C1878">
        <w:rPr>
          <w:spacing w:val="0"/>
          <w:kern w:val="0"/>
          <w:sz w:val="20"/>
          <w:rtl/>
        </w:rPr>
        <w:t>3-1</w:t>
      </w:r>
      <w:r w:rsidRPr="007C1878">
        <w:rPr>
          <w:rFonts w:hint="cs"/>
          <w:spacing w:val="0"/>
          <w:kern w:val="0"/>
          <w:sz w:val="20"/>
          <w:rtl/>
        </w:rPr>
        <w:tab/>
      </w:r>
      <w:r w:rsidRPr="007C1878">
        <w:rPr>
          <w:spacing w:val="0"/>
          <w:kern w:val="0"/>
          <w:sz w:val="20"/>
          <w:rtl/>
        </w:rPr>
        <w:t xml:space="preserve">يدعي أصحاب الشكوى أنهم ما زالوا موضع اهتمام مباحث أمن الدولة لأن ابن عم صاحب الشكوى الأول، خالد </w:t>
      </w:r>
      <w:r w:rsidRPr="007C1878">
        <w:rPr>
          <w:rFonts w:hint="cs"/>
          <w:spacing w:val="0"/>
          <w:kern w:val="0"/>
          <w:sz w:val="20"/>
          <w:rtl/>
        </w:rPr>
        <w:t>ال</w:t>
      </w:r>
      <w:r w:rsidRPr="007C1878">
        <w:rPr>
          <w:spacing w:val="0"/>
          <w:kern w:val="0"/>
          <w:sz w:val="20"/>
          <w:rtl/>
        </w:rPr>
        <w:t>إسلامبولي اغتال الرئيس السادات، كما قيل، وأن جماعة "الإخوان المسلمون" المتهمة بهذا الاغتيال تسمى الآن جماعة الجهاد الإسلامي ال</w:t>
      </w:r>
      <w:r w:rsidRPr="007C1878">
        <w:rPr>
          <w:rFonts w:hint="cs"/>
          <w:spacing w:val="0"/>
          <w:kern w:val="0"/>
          <w:sz w:val="20"/>
          <w:rtl/>
        </w:rPr>
        <w:t>م</w:t>
      </w:r>
      <w:r w:rsidRPr="007C1878">
        <w:rPr>
          <w:spacing w:val="0"/>
          <w:kern w:val="0"/>
          <w:sz w:val="20"/>
          <w:rtl/>
        </w:rPr>
        <w:t xml:space="preserve">صرية وتربطها صلات بتنظيم القاعدة، وبسبب الاشتباه في انتماء محمد </w:t>
      </w:r>
      <w:r w:rsidRPr="007C1878">
        <w:rPr>
          <w:rFonts w:hint="cs"/>
          <w:spacing w:val="0"/>
          <w:kern w:val="0"/>
          <w:sz w:val="20"/>
          <w:rtl/>
        </w:rPr>
        <w:t>الإ</w:t>
      </w:r>
      <w:r w:rsidRPr="007C1878">
        <w:rPr>
          <w:spacing w:val="0"/>
          <w:kern w:val="0"/>
          <w:sz w:val="20"/>
          <w:rtl/>
        </w:rPr>
        <w:t>سلامبولي، ابن العم الثاني</w:t>
      </w:r>
      <w:r w:rsidR="00ED6B1C">
        <w:rPr>
          <w:rFonts w:hint="cs"/>
          <w:spacing w:val="0"/>
          <w:kern w:val="0"/>
          <w:sz w:val="20"/>
          <w:rtl/>
        </w:rPr>
        <w:t> </w:t>
      </w:r>
      <w:r w:rsidRPr="007C1878">
        <w:rPr>
          <w:spacing w:val="0"/>
          <w:kern w:val="0"/>
          <w:sz w:val="20"/>
          <w:rtl/>
        </w:rPr>
        <w:t>لصاحب الشكوى الأول، إلى هذه الجماعة والاشتباه في محاولته اغتيال الرئيس مبارك في</w:t>
      </w:r>
      <w:r w:rsidR="007C1878" w:rsidRPr="007C1878">
        <w:rPr>
          <w:rFonts w:hint="cs"/>
          <w:spacing w:val="0"/>
          <w:kern w:val="0"/>
          <w:sz w:val="20"/>
          <w:rtl/>
        </w:rPr>
        <w:t xml:space="preserve"> </w:t>
      </w:r>
      <w:r w:rsidRPr="007C1878">
        <w:rPr>
          <w:spacing w:val="0"/>
          <w:kern w:val="0"/>
          <w:sz w:val="20"/>
          <w:rtl/>
        </w:rPr>
        <w:t>عام</w:t>
      </w:r>
      <w:r w:rsidRPr="007C1878">
        <w:rPr>
          <w:rFonts w:hint="cs"/>
          <w:spacing w:val="0"/>
          <w:kern w:val="0"/>
          <w:sz w:val="20"/>
          <w:rtl/>
        </w:rPr>
        <w:t> </w:t>
      </w:r>
      <w:r w:rsidRPr="007C1878">
        <w:rPr>
          <w:spacing w:val="0"/>
          <w:kern w:val="0"/>
          <w:sz w:val="20"/>
          <w:rtl/>
        </w:rPr>
        <w:t xml:space="preserve">1995. ويؤكد أصحاب الشكوى أن </w:t>
      </w:r>
      <w:r w:rsidRPr="007C1878">
        <w:rPr>
          <w:rFonts w:hint="cs"/>
          <w:spacing w:val="0"/>
          <w:kern w:val="0"/>
          <w:sz w:val="20"/>
          <w:rtl/>
        </w:rPr>
        <w:t xml:space="preserve">الرابطة الأسرية </w:t>
      </w:r>
      <w:r w:rsidRPr="007C1878">
        <w:rPr>
          <w:spacing w:val="0"/>
          <w:kern w:val="0"/>
          <w:sz w:val="20"/>
          <w:rtl/>
        </w:rPr>
        <w:t>التي أشير إليها، وكون صاحب الشكوى الأول معروفا</w:t>
      </w:r>
      <w:r w:rsidRPr="007C1878">
        <w:rPr>
          <w:rFonts w:hint="cs"/>
          <w:spacing w:val="0"/>
          <w:kern w:val="0"/>
          <w:sz w:val="20"/>
          <w:rtl/>
        </w:rPr>
        <w:t>ً</w:t>
      </w:r>
      <w:r w:rsidRPr="007C1878">
        <w:rPr>
          <w:spacing w:val="0"/>
          <w:kern w:val="0"/>
          <w:sz w:val="20"/>
          <w:rtl/>
        </w:rPr>
        <w:t xml:space="preserve"> </w:t>
      </w:r>
      <w:r w:rsidRPr="007C1878">
        <w:rPr>
          <w:rFonts w:hint="cs"/>
          <w:spacing w:val="0"/>
          <w:kern w:val="0"/>
          <w:sz w:val="20"/>
          <w:rtl/>
        </w:rPr>
        <w:t>بأنه</w:t>
      </w:r>
      <w:r w:rsidRPr="007C1878">
        <w:rPr>
          <w:spacing w:val="0"/>
          <w:kern w:val="0"/>
          <w:sz w:val="20"/>
          <w:rtl/>
        </w:rPr>
        <w:t xml:space="preserve"> "ناصري" معارض للسلطات المصرية وبأنه أحد أبناء أسرة </w:t>
      </w:r>
      <w:r w:rsidRPr="007C1878">
        <w:rPr>
          <w:rFonts w:hint="cs"/>
          <w:spacing w:val="0"/>
          <w:kern w:val="0"/>
          <w:sz w:val="20"/>
          <w:rtl/>
        </w:rPr>
        <w:t>متنفذة</w:t>
      </w:r>
      <w:r w:rsidRPr="007C1878">
        <w:rPr>
          <w:spacing w:val="0"/>
          <w:kern w:val="0"/>
          <w:sz w:val="20"/>
          <w:rtl/>
        </w:rPr>
        <w:t>، يعرضهم شخصيا</w:t>
      </w:r>
      <w:r w:rsidRPr="007C1878">
        <w:rPr>
          <w:rFonts w:hint="cs"/>
          <w:spacing w:val="0"/>
          <w:kern w:val="0"/>
          <w:sz w:val="20"/>
          <w:rtl/>
        </w:rPr>
        <w:t>ً</w:t>
      </w:r>
      <w:r w:rsidRPr="007C1878">
        <w:rPr>
          <w:spacing w:val="0"/>
          <w:kern w:val="0"/>
          <w:sz w:val="20"/>
          <w:rtl/>
        </w:rPr>
        <w:t xml:space="preserve"> لخطر التعذيب في حال أُجبروا على العودة إلى مصر. ودفعوا، بناء على ذلك، بأن إنفاذ أوامر طردهم إلى بلدهم الأصلي فيه انتهاك للمادتين 3 و16</w:t>
      </w:r>
      <w:r w:rsidR="007C1878" w:rsidRPr="007C1878">
        <w:rPr>
          <w:rFonts w:hint="cs"/>
          <w:spacing w:val="0"/>
          <w:kern w:val="0"/>
          <w:sz w:val="20"/>
          <w:rtl/>
        </w:rPr>
        <w:t xml:space="preserve"> </w:t>
      </w:r>
      <w:r w:rsidRPr="007C1878">
        <w:rPr>
          <w:spacing w:val="0"/>
          <w:kern w:val="0"/>
          <w:sz w:val="20"/>
          <w:rtl/>
        </w:rPr>
        <w:t>من</w:t>
      </w:r>
      <w:r w:rsidR="00ED6B1C">
        <w:rPr>
          <w:rFonts w:hint="cs"/>
          <w:spacing w:val="0"/>
          <w:kern w:val="0"/>
          <w:sz w:val="20"/>
          <w:rtl/>
        </w:rPr>
        <w:t> </w:t>
      </w:r>
      <w:r w:rsidR="00ED6B1C">
        <w:rPr>
          <w:spacing w:val="0"/>
          <w:kern w:val="0"/>
          <w:sz w:val="20"/>
          <w:rtl/>
        </w:rPr>
        <w:t>الاتفاقية.</w:t>
      </w:r>
    </w:p>
    <w:p w:rsidR="008655A1" w:rsidRPr="007C1878" w:rsidRDefault="008655A1" w:rsidP="008655A1">
      <w:pPr>
        <w:pStyle w:val="SingleTxtGA"/>
        <w:jc w:val="lowKashida"/>
        <w:rPr>
          <w:rFonts w:hint="cs"/>
          <w:spacing w:val="0"/>
          <w:kern w:val="0"/>
          <w:sz w:val="20"/>
          <w:rtl/>
        </w:rPr>
      </w:pPr>
      <w:r w:rsidRPr="007C1878">
        <w:rPr>
          <w:spacing w:val="0"/>
          <w:kern w:val="0"/>
          <w:sz w:val="20"/>
          <w:rtl/>
        </w:rPr>
        <w:t>3-2</w:t>
      </w:r>
      <w:r w:rsidRPr="007C1878">
        <w:rPr>
          <w:rFonts w:hint="cs"/>
          <w:spacing w:val="0"/>
          <w:kern w:val="0"/>
          <w:sz w:val="20"/>
          <w:rtl/>
        </w:rPr>
        <w:tab/>
      </w:r>
      <w:r w:rsidRPr="007C1878">
        <w:rPr>
          <w:spacing w:val="0"/>
          <w:kern w:val="0"/>
          <w:sz w:val="20"/>
          <w:rtl/>
        </w:rPr>
        <w:t xml:space="preserve">كما يقول أصحاب الشكوى </w:t>
      </w:r>
      <w:r w:rsidRPr="007C1878">
        <w:rPr>
          <w:rFonts w:hint="cs"/>
          <w:spacing w:val="0"/>
          <w:kern w:val="0"/>
          <w:sz w:val="20"/>
          <w:rtl/>
        </w:rPr>
        <w:t>إ</w:t>
      </w:r>
      <w:r w:rsidRPr="007C1878">
        <w:rPr>
          <w:spacing w:val="0"/>
          <w:kern w:val="0"/>
          <w:sz w:val="20"/>
          <w:rtl/>
        </w:rPr>
        <w:t>نه يجب معاملتهم كأسرة، بمعنى أنه إذا كانت هناك أسباب كافية لحصول صاحب الشكوى الأول على اللجوء، فينبغي أن يحصل أبناؤه أيضا</w:t>
      </w:r>
      <w:r w:rsidRPr="007C1878">
        <w:rPr>
          <w:rFonts w:hint="cs"/>
          <w:spacing w:val="0"/>
          <w:kern w:val="0"/>
          <w:sz w:val="20"/>
          <w:rtl/>
        </w:rPr>
        <w:t>ً</w:t>
      </w:r>
      <w:r w:rsidRPr="007C1878">
        <w:rPr>
          <w:spacing w:val="0"/>
          <w:kern w:val="0"/>
          <w:sz w:val="20"/>
          <w:rtl/>
        </w:rPr>
        <w:t xml:space="preserve"> على اللجوء. ويؤكد صاحبا الشكوى الأول والثالث بوجه خاص، أن لديهما خوفا</w:t>
      </w:r>
      <w:r w:rsidRPr="007C1878">
        <w:rPr>
          <w:rFonts w:hint="cs"/>
          <w:spacing w:val="0"/>
          <w:kern w:val="0"/>
          <w:sz w:val="20"/>
          <w:rtl/>
        </w:rPr>
        <w:t>ً</w:t>
      </w:r>
      <w:r w:rsidRPr="007C1878">
        <w:rPr>
          <w:spacing w:val="0"/>
          <w:kern w:val="0"/>
          <w:sz w:val="20"/>
          <w:rtl/>
        </w:rPr>
        <w:t xml:space="preserve"> مبررا</w:t>
      </w:r>
      <w:r w:rsidRPr="007C1878">
        <w:rPr>
          <w:rFonts w:hint="cs"/>
          <w:spacing w:val="0"/>
          <w:kern w:val="0"/>
          <w:sz w:val="20"/>
          <w:rtl/>
        </w:rPr>
        <w:t>ً</w:t>
      </w:r>
      <w:r w:rsidRPr="007C1878">
        <w:rPr>
          <w:spacing w:val="0"/>
          <w:kern w:val="0"/>
          <w:sz w:val="20"/>
          <w:rtl/>
        </w:rPr>
        <w:t xml:space="preserve"> من التعرض للاضطهاد ولانتهاكات خطيرة بسبب النشاط السياسي لصاحب الشكوى الأول في السابق وعلاقة أسرتهما بالقاتل المزعوم للرئيس السادات. ويضيفان أنهما لا يتمتعان بأي حماية في مصر وأنهما يخشيان التعرض للقتل أو التعذيب أو</w:t>
      </w:r>
      <w:r w:rsidRPr="007C1878">
        <w:rPr>
          <w:rFonts w:hint="cs"/>
          <w:spacing w:val="0"/>
          <w:kern w:val="0"/>
          <w:sz w:val="20"/>
          <w:rtl/>
        </w:rPr>
        <w:t xml:space="preserve"> </w:t>
      </w:r>
      <w:r w:rsidRPr="007C1878">
        <w:rPr>
          <w:spacing w:val="0"/>
          <w:kern w:val="0"/>
          <w:sz w:val="20"/>
          <w:rtl/>
        </w:rPr>
        <w:t xml:space="preserve">الاغتصاب أو لمعاملة </w:t>
      </w:r>
      <w:r w:rsidR="007C1878" w:rsidRPr="007C1878">
        <w:rPr>
          <w:spacing w:val="0"/>
          <w:kern w:val="0"/>
          <w:sz w:val="20"/>
          <w:rtl/>
        </w:rPr>
        <w:t>أو عقوبة غير إنسانية أو مهينة.</w:t>
      </w:r>
    </w:p>
    <w:p w:rsidR="008655A1" w:rsidRPr="008655A1" w:rsidRDefault="008655A1" w:rsidP="008655A1">
      <w:pPr>
        <w:pStyle w:val="H23GA"/>
        <w:jc w:val="lowKashida"/>
        <w:rPr>
          <w:spacing w:val="0"/>
          <w:kern w:val="0"/>
          <w:sz w:val="20"/>
          <w:rtl/>
        </w:rPr>
      </w:pPr>
      <w:r w:rsidRPr="008655A1">
        <w:rPr>
          <w:rFonts w:hint="cs"/>
          <w:spacing w:val="0"/>
          <w:kern w:val="0"/>
          <w:sz w:val="20"/>
          <w:rtl/>
        </w:rPr>
        <w:tab/>
      </w:r>
      <w:r w:rsidRPr="008655A1">
        <w:rPr>
          <w:spacing w:val="0"/>
          <w:kern w:val="0"/>
          <w:sz w:val="20"/>
          <w:rtl/>
        </w:rPr>
        <w:tab/>
        <w:t>ملاحظات الدولة الطرف بشأن المقبولية والأسس الموضوعية</w:t>
      </w:r>
    </w:p>
    <w:p w:rsidR="008655A1" w:rsidRPr="008655A1" w:rsidRDefault="008655A1" w:rsidP="0020182D">
      <w:pPr>
        <w:pStyle w:val="SingleTxtGA"/>
        <w:jc w:val="lowKashida"/>
        <w:rPr>
          <w:rFonts w:hint="cs"/>
          <w:spacing w:val="0"/>
          <w:kern w:val="0"/>
          <w:sz w:val="20"/>
          <w:rtl/>
        </w:rPr>
      </w:pPr>
      <w:r w:rsidRPr="008655A1">
        <w:rPr>
          <w:spacing w:val="0"/>
          <w:kern w:val="0"/>
          <w:sz w:val="20"/>
          <w:rtl/>
        </w:rPr>
        <w:t>4-1</w:t>
      </w:r>
      <w:r w:rsidRPr="008655A1">
        <w:rPr>
          <w:rFonts w:hint="cs"/>
          <w:spacing w:val="0"/>
          <w:kern w:val="0"/>
          <w:sz w:val="20"/>
          <w:rtl/>
        </w:rPr>
        <w:tab/>
        <w:t>قدمت</w:t>
      </w:r>
      <w:r w:rsidRPr="008655A1">
        <w:rPr>
          <w:spacing w:val="0"/>
          <w:kern w:val="0"/>
          <w:sz w:val="20"/>
          <w:rtl/>
        </w:rPr>
        <w:t xml:space="preserve"> الدولة الطرف في مذكرة شفوية مؤرخة 24 شباط/فبراير 2010، ملاحظاتها بشأن المقبولية والأسس الموضوعية. وفيما يتعلق بالمقبولية تشير إلى عدم علمها بأن هذه القضية قد جرى بحثها أو يجري بحثها بموجب أي إجراء آخر من إجراءات التحقيق أو</w:t>
      </w:r>
      <w:r w:rsidR="0020182D">
        <w:rPr>
          <w:rFonts w:hint="cs"/>
          <w:spacing w:val="0"/>
          <w:kern w:val="0"/>
          <w:sz w:val="20"/>
          <w:rtl/>
        </w:rPr>
        <w:t> </w:t>
      </w:r>
      <w:r w:rsidRPr="008655A1">
        <w:rPr>
          <w:spacing w:val="0"/>
          <w:kern w:val="0"/>
          <w:sz w:val="20"/>
          <w:rtl/>
        </w:rPr>
        <w:t>التسوية الدولية. وبالإشارة إلى الفقرة 5(ب) من المادة 22 من الاتفاقية، تقر الدولة الطرف بأن جميع سبل الانتصاف المتا</w:t>
      </w:r>
      <w:r w:rsidR="007C1878">
        <w:rPr>
          <w:spacing w:val="0"/>
          <w:kern w:val="0"/>
          <w:sz w:val="20"/>
          <w:rtl/>
        </w:rPr>
        <w:t>حة قد استُنفذت في هذا البلاغ.</w:t>
      </w:r>
    </w:p>
    <w:p w:rsidR="008655A1" w:rsidRPr="008655A1" w:rsidRDefault="008655A1" w:rsidP="0020182D">
      <w:pPr>
        <w:pStyle w:val="SingleTxtGA"/>
        <w:jc w:val="lowKashida"/>
        <w:rPr>
          <w:spacing w:val="0"/>
          <w:kern w:val="0"/>
          <w:sz w:val="20"/>
          <w:rtl/>
        </w:rPr>
      </w:pPr>
      <w:r w:rsidRPr="008655A1">
        <w:rPr>
          <w:spacing w:val="0"/>
          <w:kern w:val="0"/>
          <w:sz w:val="20"/>
          <w:rtl/>
        </w:rPr>
        <w:t>4-2</w:t>
      </w:r>
      <w:r w:rsidRPr="008655A1">
        <w:rPr>
          <w:rFonts w:hint="cs"/>
          <w:spacing w:val="0"/>
          <w:kern w:val="0"/>
          <w:sz w:val="20"/>
          <w:rtl/>
        </w:rPr>
        <w:tab/>
      </w:r>
      <w:r w:rsidRPr="008655A1">
        <w:rPr>
          <w:spacing w:val="0"/>
          <w:kern w:val="0"/>
          <w:sz w:val="20"/>
          <w:rtl/>
        </w:rPr>
        <w:t>وتشير الدولة الطرف إلى أنه في حال اعتبرت اللجنة البلاغ مقبولا</w:t>
      </w:r>
      <w:r w:rsidRPr="008655A1">
        <w:rPr>
          <w:rFonts w:hint="cs"/>
          <w:spacing w:val="0"/>
          <w:kern w:val="0"/>
          <w:sz w:val="20"/>
          <w:rtl/>
        </w:rPr>
        <w:t>ً</w:t>
      </w:r>
      <w:r w:rsidRPr="008655A1">
        <w:rPr>
          <w:spacing w:val="0"/>
          <w:kern w:val="0"/>
          <w:sz w:val="20"/>
          <w:rtl/>
        </w:rPr>
        <w:t xml:space="preserve"> فإن مسألة الأسس الموضوعية المعروضة عليها تتعلق بما إذا كان طرد أصحاب الشكوى ينطوي على انتهاك لالتزام السويد بموجب المادة 3 من الاتفاقية بعدم ترحيل أو إعادة شخص إلى بلد آخر يُوجد فيه </w:t>
      </w:r>
      <w:r w:rsidRPr="008655A1">
        <w:rPr>
          <w:rFonts w:hint="cs"/>
          <w:spacing w:val="0"/>
          <w:kern w:val="0"/>
          <w:sz w:val="20"/>
          <w:rtl/>
        </w:rPr>
        <w:t>سبب حقيقي</w:t>
      </w:r>
      <w:r w:rsidRPr="008655A1">
        <w:rPr>
          <w:spacing w:val="0"/>
          <w:kern w:val="0"/>
          <w:sz w:val="20"/>
          <w:vertAlign w:val="superscript"/>
          <w:rtl/>
        </w:rPr>
        <w:t>(</w:t>
      </w:r>
      <w:r w:rsidRPr="008655A1">
        <w:rPr>
          <w:rStyle w:val="FootnoteReference"/>
          <w:spacing w:val="0"/>
          <w:sz w:val="20"/>
          <w:rtl/>
        </w:rPr>
        <w:footnoteReference w:id="290"/>
      </w:r>
      <w:r w:rsidRPr="008655A1">
        <w:rPr>
          <w:spacing w:val="0"/>
          <w:kern w:val="0"/>
          <w:sz w:val="20"/>
          <w:vertAlign w:val="superscript"/>
          <w:rtl/>
        </w:rPr>
        <w:t>)</w:t>
      </w:r>
      <w:r w:rsidRPr="008655A1">
        <w:rPr>
          <w:spacing w:val="0"/>
          <w:kern w:val="0"/>
          <w:sz w:val="20"/>
          <w:rtl/>
        </w:rPr>
        <w:t xml:space="preserve"> </w:t>
      </w:r>
      <w:r w:rsidRPr="008655A1">
        <w:rPr>
          <w:rFonts w:hint="cs"/>
          <w:spacing w:val="0"/>
          <w:kern w:val="0"/>
          <w:sz w:val="20"/>
          <w:rtl/>
        </w:rPr>
        <w:t>يدعو إ</w:t>
      </w:r>
      <w:r w:rsidRPr="008655A1">
        <w:rPr>
          <w:spacing w:val="0"/>
          <w:kern w:val="0"/>
          <w:sz w:val="20"/>
          <w:rtl/>
        </w:rPr>
        <w:t xml:space="preserve">لى الاعتقاد بأنه </w:t>
      </w:r>
      <w:r w:rsidRPr="008655A1">
        <w:rPr>
          <w:rFonts w:hint="cs"/>
          <w:spacing w:val="0"/>
          <w:kern w:val="0"/>
          <w:sz w:val="20"/>
          <w:rtl/>
        </w:rPr>
        <w:t>سيتعرض ل</w:t>
      </w:r>
      <w:r w:rsidRPr="008655A1">
        <w:rPr>
          <w:spacing w:val="0"/>
          <w:kern w:val="0"/>
          <w:sz w:val="20"/>
          <w:rtl/>
        </w:rPr>
        <w:t>خطر التعذيب. وتشير الدولة الطرف بهذا الخصوص، إلى الاجتهاد القانوني للجنة</w:t>
      </w:r>
      <w:r w:rsidRPr="008655A1">
        <w:rPr>
          <w:spacing w:val="0"/>
          <w:kern w:val="0"/>
          <w:sz w:val="20"/>
          <w:vertAlign w:val="superscript"/>
          <w:rtl/>
        </w:rPr>
        <w:t>(</w:t>
      </w:r>
      <w:r w:rsidRPr="00B35B26">
        <w:rPr>
          <w:rStyle w:val="FootnoteReference"/>
          <w:spacing w:val="0"/>
          <w:sz w:val="2"/>
          <w:szCs w:val="2"/>
          <w:rtl/>
        </w:rPr>
        <w:footnoteReference w:id="291"/>
      </w:r>
      <w:r w:rsidR="00B35B26" w:rsidRPr="00B35B26">
        <w:rPr>
          <w:rFonts w:hint="cs"/>
          <w:spacing w:val="0"/>
          <w:kern w:val="0"/>
          <w:sz w:val="30"/>
          <w:vertAlign w:val="superscript"/>
          <w:rtl/>
        </w:rPr>
        <w:t>ﻫ</w:t>
      </w:r>
      <w:r w:rsidRPr="008655A1">
        <w:rPr>
          <w:spacing w:val="0"/>
          <w:kern w:val="0"/>
          <w:sz w:val="20"/>
          <w:vertAlign w:val="superscript"/>
          <w:rtl/>
        </w:rPr>
        <w:t>)</w:t>
      </w:r>
      <w:r w:rsidRPr="008655A1">
        <w:rPr>
          <w:spacing w:val="0"/>
          <w:kern w:val="0"/>
          <w:sz w:val="20"/>
          <w:rtl/>
        </w:rPr>
        <w:t>، الذي يقضي بأن الهدف من تحديد ما</w:t>
      </w:r>
      <w:r w:rsidR="0020182D">
        <w:rPr>
          <w:rFonts w:hint="cs"/>
          <w:spacing w:val="0"/>
          <w:kern w:val="0"/>
          <w:sz w:val="20"/>
          <w:rtl/>
        </w:rPr>
        <w:t> </w:t>
      </w:r>
      <w:r w:rsidRPr="008655A1">
        <w:rPr>
          <w:spacing w:val="0"/>
          <w:kern w:val="0"/>
          <w:sz w:val="20"/>
          <w:rtl/>
        </w:rPr>
        <w:t>إذا كانت إعادة شخص ما قسرا</w:t>
      </w:r>
      <w:r w:rsidRPr="008655A1">
        <w:rPr>
          <w:rFonts w:hint="cs"/>
          <w:spacing w:val="0"/>
          <w:kern w:val="0"/>
          <w:sz w:val="20"/>
          <w:rtl/>
        </w:rPr>
        <w:t>ً</w:t>
      </w:r>
      <w:r w:rsidRPr="008655A1">
        <w:rPr>
          <w:spacing w:val="0"/>
          <w:kern w:val="0"/>
          <w:sz w:val="20"/>
          <w:rtl/>
        </w:rPr>
        <w:t xml:space="preserve"> إلى بلد آخر يشكل انتهاكا</w:t>
      </w:r>
      <w:r w:rsidRPr="008655A1">
        <w:rPr>
          <w:rFonts w:hint="cs"/>
          <w:spacing w:val="0"/>
          <w:kern w:val="0"/>
          <w:sz w:val="20"/>
          <w:rtl/>
        </w:rPr>
        <w:t>ً</w:t>
      </w:r>
      <w:r w:rsidRPr="008655A1">
        <w:rPr>
          <w:spacing w:val="0"/>
          <w:kern w:val="0"/>
          <w:sz w:val="20"/>
          <w:rtl/>
        </w:rPr>
        <w:t xml:space="preserve"> للمادة 3 من الاتفاقية هو إثبات ما إذا كان الفرد المعني سيواجه شخصياً خطر</w:t>
      </w:r>
      <w:r w:rsidRPr="008655A1">
        <w:rPr>
          <w:spacing w:val="0"/>
          <w:kern w:val="0"/>
          <w:sz w:val="20"/>
          <w:vertAlign w:val="superscript"/>
          <w:rtl/>
        </w:rPr>
        <w:t>(</w:t>
      </w:r>
      <w:r w:rsidRPr="008655A1">
        <w:rPr>
          <w:rStyle w:val="FootnoteReference"/>
          <w:spacing w:val="0"/>
          <w:sz w:val="20"/>
          <w:rtl/>
        </w:rPr>
        <w:footnoteReference w:id="292"/>
      </w:r>
      <w:r w:rsidRPr="008655A1">
        <w:rPr>
          <w:spacing w:val="0"/>
          <w:kern w:val="0"/>
          <w:sz w:val="20"/>
          <w:vertAlign w:val="superscript"/>
          <w:rtl/>
        </w:rPr>
        <w:t>)</w:t>
      </w:r>
      <w:r w:rsidRPr="008655A1">
        <w:rPr>
          <w:spacing w:val="0"/>
          <w:kern w:val="0"/>
          <w:sz w:val="20"/>
          <w:rtl/>
        </w:rPr>
        <w:t xml:space="preserve"> التعرض للتعذيب في البلد الذي </w:t>
      </w:r>
      <w:r w:rsidRPr="008655A1">
        <w:rPr>
          <w:rFonts w:hint="cs"/>
          <w:spacing w:val="0"/>
          <w:kern w:val="0"/>
          <w:sz w:val="20"/>
          <w:rtl/>
        </w:rPr>
        <w:t>سيعاد</w:t>
      </w:r>
      <w:r w:rsidRPr="008655A1">
        <w:rPr>
          <w:spacing w:val="0"/>
          <w:kern w:val="0"/>
          <w:sz w:val="20"/>
          <w:rtl/>
        </w:rPr>
        <w:t xml:space="preserve"> إليه. وعليه، فإن وجود نمط ثابت من الانتهاكات الفادحة أو الصارخة أو الجماعية لحقوق الإنسان في بلد ما لا يشكل في حد ذاته سبباً كافياً للخلوص إلى أن شخصاً بعينه سيواجه خطر التعرض للتعذيب عند عودته إلى ذلك البلد. فإثبات وجود انتهاك للمادة 3 يحتاج إلى تو</w:t>
      </w:r>
      <w:r w:rsidRPr="008655A1">
        <w:rPr>
          <w:rFonts w:hint="cs"/>
          <w:spacing w:val="0"/>
          <w:kern w:val="0"/>
          <w:sz w:val="20"/>
          <w:rtl/>
        </w:rPr>
        <w:t>ا</w:t>
      </w:r>
      <w:r w:rsidRPr="008655A1">
        <w:rPr>
          <w:spacing w:val="0"/>
          <w:kern w:val="0"/>
          <w:sz w:val="20"/>
          <w:rtl/>
        </w:rPr>
        <w:t xml:space="preserve">فر أسباب إضافية تبيّن أن الفرد المعني سيتعرض لهذا الخطر شخصياً. </w:t>
      </w:r>
    </w:p>
    <w:p w:rsidR="008655A1" w:rsidRPr="008655A1" w:rsidRDefault="008655A1" w:rsidP="00ED6B1C">
      <w:pPr>
        <w:pStyle w:val="SingleTxtGA"/>
        <w:jc w:val="lowKashida"/>
        <w:rPr>
          <w:rFonts w:hint="cs"/>
          <w:spacing w:val="0"/>
          <w:kern w:val="0"/>
          <w:sz w:val="20"/>
          <w:rtl/>
        </w:rPr>
      </w:pPr>
      <w:r w:rsidRPr="008655A1">
        <w:rPr>
          <w:spacing w:val="0"/>
          <w:kern w:val="0"/>
          <w:sz w:val="20"/>
          <w:rtl/>
        </w:rPr>
        <w:t>4-3</w:t>
      </w:r>
      <w:r w:rsidRPr="008655A1">
        <w:rPr>
          <w:rFonts w:hint="cs"/>
          <w:spacing w:val="0"/>
          <w:kern w:val="0"/>
          <w:sz w:val="20"/>
          <w:rtl/>
        </w:rPr>
        <w:tab/>
      </w:r>
      <w:r w:rsidRPr="008655A1">
        <w:rPr>
          <w:spacing w:val="0"/>
          <w:kern w:val="0"/>
          <w:sz w:val="20"/>
          <w:rtl/>
        </w:rPr>
        <w:t>وفيما يتعلق ب</w:t>
      </w:r>
      <w:r w:rsidRPr="008655A1">
        <w:rPr>
          <w:rFonts w:hint="cs"/>
          <w:spacing w:val="0"/>
          <w:kern w:val="0"/>
          <w:sz w:val="20"/>
          <w:rtl/>
        </w:rPr>
        <w:t>ال</w:t>
      </w:r>
      <w:r w:rsidRPr="008655A1">
        <w:rPr>
          <w:spacing w:val="0"/>
          <w:kern w:val="0"/>
          <w:sz w:val="20"/>
          <w:rtl/>
        </w:rPr>
        <w:t xml:space="preserve">حالة </w:t>
      </w:r>
      <w:r w:rsidRPr="008655A1">
        <w:rPr>
          <w:rFonts w:hint="cs"/>
          <w:spacing w:val="0"/>
          <w:kern w:val="0"/>
          <w:sz w:val="20"/>
          <w:rtl/>
        </w:rPr>
        <w:t>العامة ل</w:t>
      </w:r>
      <w:r w:rsidRPr="008655A1">
        <w:rPr>
          <w:spacing w:val="0"/>
          <w:kern w:val="0"/>
          <w:sz w:val="20"/>
          <w:rtl/>
        </w:rPr>
        <w:t xml:space="preserve">حقوق الإنسان، </w:t>
      </w:r>
      <w:r w:rsidRPr="008655A1">
        <w:rPr>
          <w:rFonts w:hint="cs"/>
          <w:spacing w:val="0"/>
          <w:kern w:val="0"/>
          <w:sz w:val="20"/>
          <w:rtl/>
        </w:rPr>
        <w:t xml:space="preserve">تدفع </w:t>
      </w:r>
      <w:r w:rsidRPr="008655A1">
        <w:rPr>
          <w:spacing w:val="0"/>
          <w:kern w:val="0"/>
          <w:sz w:val="20"/>
          <w:rtl/>
        </w:rPr>
        <w:t xml:space="preserve">الدولة الطرف </w:t>
      </w:r>
      <w:r w:rsidRPr="008655A1">
        <w:rPr>
          <w:rFonts w:hint="cs"/>
          <w:spacing w:val="0"/>
          <w:kern w:val="0"/>
          <w:sz w:val="20"/>
          <w:rtl/>
        </w:rPr>
        <w:t>بأ</w:t>
      </w:r>
      <w:r w:rsidRPr="008655A1">
        <w:rPr>
          <w:spacing w:val="0"/>
          <w:kern w:val="0"/>
          <w:sz w:val="20"/>
          <w:rtl/>
        </w:rPr>
        <w:t xml:space="preserve">ن مصر وقعت/صدقت على جميع معاهدات الأمم المتحدة الرئيسية لحقوق الإنسان، بما في ذلك الاتفاقية. لكنها لم توقع أو تصدق على البروتوكول الاختياري </w:t>
      </w:r>
      <w:r w:rsidRPr="008655A1">
        <w:rPr>
          <w:rFonts w:hint="cs"/>
          <w:spacing w:val="0"/>
          <w:kern w:val="0"/>
          <w:sz w:val="20"/>
          <w:rtl/>
        </w:rPr>
        <w:t>للاتفاقية</w:t>
      </w:r>
      <w:r w:rsidRPr="008655A1">
        <w:rPr>
          <w:spacing w:val="0"/>
          <w:kern w:val="0"/>
          <w:sz w:val="20"/>
          <w:rtl/>
        </w:rPr>
        <w:t>. و</w:t>
      </w:r>
      <w:r w:rsidRPr="008655A1">
        <w:rPr>
          <w:rFonts w:hint="cs"/>
          <w:spacing w:val="0"/>
          <w:kern w:val="0"/>
          <w:sz w:val="20"/>
          <w:rtl/>
        </w:rPr>
        <w:t xml:space="preserve">قد ظل </w:t>
      </w:r>
      <w:r w:rsidRPr="008655A1">
        <w:rPr>
          <w:spacing w:val="0"/>
          <w:kern w:val="0"/>
          <w:sz w:val="20"/>
          <w:rtl/>
        </w:rPr>
        <w:t>المقرر الخاص المعني بمسألة التعذيب وغيره من ضروب المعاملة أو العقوبة القاسية أو اللاإنسانية أو</w:t>
      </w:r>
      <w:r w:rsidR="00ED6B1C">
        <w:rPr>
          <w:rFonts w:hint="cs"/>
          <w:spacing w:val="0"/>
          <w:kern w:val="0"/>
          <w:sz w:val="20"/>
          <w:rtl/>
        </w:rPr>
        <w:t> </w:t>
      </w:r>
      <w:r w:rsidRPr="008655A1">
        <w:rPr>
          <w:spacing w:val="0"/>
          <w:kern w:val="0"/>
          <w:sz w:val="20"/>
          <w:rtl/>
        </w:rPr>
        <w:t xml:space="preserve">المهينة منذ عام 1996 </w:t>
      </w:r>
      <w:r w:rsidRPr="008655A1">
        <w:rPr>
          <w:rFonts w:hint="cs"/>
          <w:spacing w:val="0"/>
          <w:kern w:val="0"/>
          <w:sz w:val="20"/>
          <w:rtl/>
        </w:rPr>
        <w:t>يطلب ال</w:t>
      </w:r>
      <w:r w:rsidRPr="008655A1">
        <w:rPr>
          <w:spacing w:val="0"/>
          <w:kern w:val="0"/>
          <w:sz w:val="20"/>
          <w:rtl/>
        </w:rPr>
        <w:t xml:space="preserve">إذن بالزيارة دون أن يفلح في الحصول عليه. وتأسس مجلس وطني لحقوق الإنسان برئاسة بطرس بطرس غالي. وتضيف الدولة الطرف </w:t>
      </w:r>
      <w:r w:rsidRPr="008655A1">
        <w:rPr>
          <w:rFonts w:hint="cs"/>
          <w:spacing w:val="0"/>
          <w:kern w:val="0"/>
          <w:sz w:val="20"/>
          <w:rtl/>
        </w:rPr>
        <w:t xml:space="preserve">أنه </w:t>
      </w:r>
      <w:r w:rsidRPr="008655A1">
        <w:rPr>
          <w:spacing w:val="0"/>
          <w:kern w:val="0"/>
          <w:sz w:val="20"/>
          <w:rtl/>
        </w:rPr>
        <w:t xml:space="preserve">لا يزال هناك الكثير مما يتعين فعله فيما يتعلق بمعاملة الموقوفين والمحتجزين وممارسة التعذيب في </w:t>
      </w:r>
      <w:r w:rsidRPr="008655A1">
        <w:rPr>
          <w:rFonts w:hint="cs"/>
          <w:spacing w:val="0"/>
          <w:kern w:val="0"/>
          <w:sz w:val="20"/>
          <w:rtl/>
        </w:rPr>
        <w:t xml:space="preserve">مخافر </w:t>
      </w:r>
      <w:r w:rsidRPr="008655A1">
        <w:rPr>
          <w:spacing w:val="0"/>
          <w:kern w:val="0"/>
          <w:sz w:val="20"/>
          <w:rtl/>
        </w:rPr>
        <w:t xml:space="preserve">الشرطة </w:t>
      </w:r>
      <w:r w:rsidRPr="008655A1">
        <w:rPr>
          <w:rFonts w:hint="cs"/>
          <w:spacing w:val="0"/>
          <w:kern w:val="0"/>
          <w:sz w:val="20"/>
          <w:rtl/>
        </w:rPr>
        <w:t>و</w:t>
      </w:r>
      <w:r w:rsidRPr="008655A1">
        <w:rPr>
          <w:spacing w:val="0"/>
          <w:kern w:val="0"/>
          <w:sz w:val="20"/>
          <w:rtl/>
        </w:rPr>
        <w:t xml:space="preserve">لا سيما في </w:t>
      </w:r>
      <w:r w:rsidRPr="008655A1">
        <w:rPr>
          <w:rFonts w:hint="cs"/>
          <w:spacing w:val="0"/>
          <w:kern w:val="0"/>
          <w:sz w:val="20"/>
          <w:rtl/>
        </w:rPr>
        <w:t>ال</w:t>
      </w:r>
      <w:r w:rsidRPr="008655A1">
        <w:rPr>
          <w:spacing w:val="0"/>
          <w:kern w:val="0"/>
          <w:sz w:val="20"/>
          <w:rtl/>
        </w:rPr>
        <w:t xml:space="preserve">حالات </w:t>
      </w:r>
      <w:r w:rsidRPr="008655A1">
        <w:rPr>
          <w:rFonts w:hint="cs"/>
          <w:spacing w:val="0"/>
          <w:kern w:val="0"/>
          <w:sz w:val="20"/>
          <w:rtl/>
        </w:rPr>
        <w:t xml:space="preserve">المتعلقة بالاعتقال </w:t>
      </w:r>
      <w:r w:rsidRPr="008655A1">
        <w:rPr>
          <w:spacing w:val="0"/>
          <w:kern w:val="0"/>
          <w:sz w:val="20"/>
          <w:rtl/>
        </w:rPr>
        <w:t>السياسي، وتشير إلى عدد من التقارير التي تقيم الحالة العامة لحقوق الإنسان في مصر</w:t>
      </w:r>
      <w:r w:rsidRPr="008655A1">
        <w:rPr>
          <w:spacing w:val="0"/>
          <w:kern w:val="0"/>
          <w:sz w:val="20"/>
          <w:vertAlign w:val="superscript"/>
          <w:rtl/>
        </w:rPr>
        <w:t>(</w:t>
      </w:r>
      <w:r w:rsidRPr="008655A1">
        <w:rPr>
          <w:rStyle w:val="FootnoteReference"/>
          <w:spacing w:val="0"/>
          <w:sz w:val="20"/>
          <w:rtl/>
        </w:rPr>
        <w:footnoteReference w:id="293"/>
      </w:r>
      <w:r w:rsidRPr="008655A1">
        <w:rPr>
          <w:spacing w:val="0"/>
          <w:kern w:val="0"/>
          <w:sz w:val="20"/>
          <w:vertAlign w:val="superscript"/>
          <w:rtl/>
        </w:rPr>
        <w:t>)</w:t>
      </w:r>
      <w:r w:rsidRPr="008655A1">
        <w:rPr>
          <w:spacing w:val="0"/>
          <w:kern w:val="0"/>
          <w:sz w:val="20"/>
          <w:rtl/>
        </w:rPr>
        <w:t xml:space="preserve">. </w:t>
      </w:r>
    </w:p>
    <w:p w:rsidR="008655A1" w:rsidRPr="008655A1" w:rsidRDefault="008655A1" w:rsidP="008655A1">
      <w:pPr>
        <w:pStyle w:val="SingleTxtGA"/>
        <w:jc w:val="lowKashida"/>
        <w:rPr>
          <w:rFonts w:hint="cs"/>
          <w:spacing w:val="0"/>
          <w:kern w:val="0"/>
          <w:sz w:val="20"/>
          <w:rtl/>
        </w:rPr>
      </w:pPr>
      <w:r w:rsidRPr="008655A1">
        <w:rPr>
          <w:spacing w:val="0"/>
          <w:kern w:val="0"/>
          <w:sz w:val="20"/>
          <w:rtl/>
        </w:rPr>
        <w:t>4-4</w:t>
      </w:r>
      <w:r w:rsidRPr="008655A1">
        <w:rPr>
          <w:rFonts w:hint="cs"/>
          <w:spacing w:val="0"/>
          <w:kern w:val="0"/>
          <w:sz w:val="20"/>
          <w:rtl/>
        </w:rPr>
        <w:tab/>
      </w:r>
      <w:r w:rsidRPr="008655A1">
        <w:rPr>
          <w:spacing w:val="0"/>
          <w:kern w:val="0"/>
          <w:sz w:val="20"/>
          <w:rtl/>
        </w:rPr>
        <w:t xml:space="preserve">وتقول الدولة الطرف إنها لا تريد التقليل من شأن الهواجس التي ربما تكون مشروعة إزاء حالة حقوق الإنسان في مصر، غير أن الظروف المشار إليها في التقارير الآنفة الذكر ليست كافية في حد ذاتها لإثبات </w:t>
      </w:r>
      <w:r w:rsidRPr="008655A1">
        <w:rPr>
          <w:rFonts w:hint="cs"/>
          <w:spacing w:val="0"/>
          <w:kern w:val="0"/>
          <w:sz w:val="20"/>
          <w:rtl/>
        </w:rPr>
        <w:t xml:space="preserve">أن </w:t>
      </w:r>
      <w:r w:rsidRPr="008655A1">
        <w:rPr>
          <w:spacing w:val="0"/>
          <w:kern w:val="0"/>
          <w:sz w:val="20"/>
          <w:rtl/>
        </w:rPr>
        <w:t>إعادة أصحاب الشكوى إلى مصر قسرا</w:t>
      </w:r>
      <w:r w:rsidRPr="008655A1">
        <w:rPr>
          <w:rFonts w:hint="cs"/>
          <w:spacing w:val="0"/>
          <w:kern w:val="0"/>
          <w:sz w:val="20"/>
          <w:rtl/>
        </w:rPr>
        <w:t xml:space="preserve">ً تنطوي على انتهاك للمادة </w:t>
      </w:r>
      <w:r w:rsidRPr="008655A1">
        <w:rPr>
          <w:spacing w:val="0"/>
          <w:kern w:val="0"/>
          <w:sz w:val="20"/>
          <w:rtl/>
        </w:rPr>
        <w:t>3 من الاتفاقية. ومن هذا المنطلق، ترى الدولة الطرف أنه لا يمكن القول إن الوضع السائد في مصر يستدعي بشكل عام حماية طالبي اللجوء من مصر. ولذلك، ينبغي أن تحدد اللجنة ما يواجهه أصحاب الشكوى شخصيا</w:t>
      </w:r>
      <w:r w:rsidRPr="008655A1">
        <w:rPr>
          <w:rFonts w:hint="cs"/>
          <w:spacing w:val="0"/>
          <w:kern w:val="0"/>
          <w:sz w:val="20"/>
          <w:rtl/>
        </w:rPr>
        <w:t>ً</w:t>
      </w:r>
      <w:r w:rsidRPr="008655A1">
        <w:rPr>
          <w:spacing w:val="0"/>
          <w:kern w:val="0"/>
          <w:sz w:val="20"/>
          <w:rtl/>
        </w:rPr>
        <w:t xml:space="preserve"> من خطر التعرض للتعذيب بعد إبعادهم إلى مصر، بحسب ما ورد في المادة 1 من الاتفاقية. </w:t>
      </w:r>
    </w:p>
    <w:p w:rsidR="008655A1" w:rsidRPr="008655A1" w:rsidRDefault="008655A1" w:rsidP="00ED6B1C">
      <w:pPr>
        <w:pStyle w:val="SingleTxtGA"/>
        <w:jc w:val="lowKashida"/>
        <w:rPr>
          <w:rFonts w:hint="cs"/>
          <w:spacing w:val="0"/>
          <w:kern w:val="0"/>
          <w:sz w:val="20"/>
          <w:rtl/>
        </w:rPr>
      </w:pPr>
      <w:r w:rsidRPr="008655A1">
        <w:rPr>
          <w:spacing w:val="0"/>
          <w:kern w:val="0"/>
          <w:sz w:val="20"/>
          <w:rtl/>
        </w:rPr>
        <w:t>4-5</w:t>
      </w:r>
      <w:r w:rsidRPr="008655A1">
        <w:rPr>
          <w:rFonts w:hint="cs"/>
          <w:spacing w:val="0"/>
          <w:kern w:val="0"/>
          <w:sz w:val="20"/>
          <w:rtl/>
        </w:rPr>
        <w:tab/>
      </w:r>
      <w:r w:rsidRPr="008655A1">
        <w:rPr>
          <w:spacing w:val="0"/>
          <w:kern w:val="0"/>
          <w:sz w:val="20"/>
          <w:rtl/>
        </w:rPr>
        <w:t>وتفيد الدولة الطرف بأن السلطات والمحاكم المعنية بقضايا الهجرة في السويد تطبق، في تقييمها لاحتمال التعرض للتعذيب لدى النظر في طلب اللجوء بموجب قانون الأجانب، نفس الاختبار الذي تطبقه اللجنة عند النظر في شكوى لاحقة بموجب الاتفاقية. وتضيف الدولة الطرف أنه يجب أن يوضع في الاعتبار أن السلطة الوطنية التي تجري المقابلات المتعلقة باللجوء هي خير من يمكنه تقييم المعلومات المقدمة من ملتمس اللجوء وتقييم مدى مصداقية ادعاءاته. وقد أجرى مجلس الهجرة، في هذه القضية، عددا</w:t>
      </w:r>
      <w:r w:rsidRPr="008655A1">
        <w:rPr>
          <w:rFonts w:hint="cs"/>
          <w:spacing w:val="0"/>
          <w:kern w:val="0"/>
          <w:sz w:val="20"/>
          <w:rtl/>
        </w:rPr>
        <w:t>ً</w:t>
      </w:r>
      <w:r w:rsidRPr="008655A1">
        <w:rPr>
          <w:spacing w:val="0"/>
          <w:kern w:val="0"/>
          <w:sz w:val="20"/>
          <w:rtl/>
        </w:rPr>
        <w:t xml:space="preserve"> من المقابلات مع أصحاب الشكوى وعُقدت أيضا</w:t>
      </w:r>
      <w:r w:rsidRPr="008655A1">
        <w:rPr>
          <w:rFonts w:hint="cs"/>
          <w:spacing w:val="0"/>
          <w:kern w:val="0"/>
          <w:sz w:val="20"/>
          <w:rtl/>
        </w:rPr>
        <w:t>ً</w:t>
      </w:r>
      <w:r w:rsidRPr="008655A1">
        <w:rPr>
          <w:spacing w:val="0"/>
          <w:kern w:val="0"/>
          <w:sz w:val="20"/>
          <w:rtl/>
        </w:rPr>
        <w:t xml:space="preserve"> جلسة استماع شفوية في محكمة شؤون الهجرة. وتدفع الدولة الطرف في ضوء ما تقدم، بأن القاعدة العامة تقضي بإعطاء آراء سلطات الهجرة السويدية وزنا</w:t>
      </w:r>
      <w:r w:rsidRPr="008655A1">
        <w:rPr>
          <w:rFonts w:hint="cs"/>
          <w:spacing w:val="0"/>
          <w:kern w:val="0"/>
          <w:sz w:val="20"/>
          <w:rtl/>
        </w:rPr>
        <w:t>ً</w:t>
      </w:r>
      <w:r w:rsidRPr="008655A1">
        <w:rPr>
          <w:spacing w:val="0"/>
          <w:kern w:val="0"/>
          <w:sz w:val="20"/>
          <w:rtl/>
        </w:rPr>
        <w:t xml:space="preserve"> كبيرا</w:t>
      </w:r>
      <w:r w:rsidRPr="008655A1">
        <w:rPr>
          <w:rFonts w:hint="cs"/>
          <w:spacing w:val="0"/>
          <w:kern w:val="0"/>
          <w:sz w:val="20"/>
          <w:rtl/>
        </w:rPr>
        <w:t>ً</w:t>
      </w:r>
      <w:r w:rsidRPr="008655A1">
        <w:rPr>
          <w:spacing w:val="0"/>
          <w:kern w:val="0"/>
          <w:sz w:val="20"/>
          <w:rtl/>
        </w:rPr>
        <w:t xml:space="preserve">. </w:t>
      </w:r>
    </w:p>
    <w:p w:rsidR="008655A1" w:rsidRPr="008655A1" w:rsidRDefault="008655A1" w:rsidP="00ED6B1C">
      <w:pPr>
        <w:pStyle w:val="SingleTxtGA"/>
        <w:jc w:val="lowKashida"/>
        <w:rPr>
          <w:rFonts w:hint="cs"/>
          <w:spacing w:val="0"/>
          <w:kern w:val="0"/>
          <w:sz w:val="20"/>
          <w:rtl/>
        </w:rPr>
      </w:pPr>
      <w:r w:rsidRPr="008655A1">
        <w:rPr>
          <w:spacing w:val="0"/>
          <w:kern w:val="0"/>
          <w:sz w:val="20"/>
          <w:rtl/>
        </w:rPr>
        <w:t>4-6</w:t>
      </w:r>
      <w:r w:rsidRPr="008655A1">
        <w:rPr>
          <w:rFonts w:hint="cs"/>
          <w:spacing w:val="0"/>
          <w:kern w:val="0"/>
          <w:sz w:val="20"/>
          <w:rtl/>
        </w:rPr>
        <w:tab/>
      </w:r>
      <w:r w:rsidRPr="008655A1">
        <w:rPr>
          <w:spacing w:val="0"/>
          <w:kern w:val="0"/>
          <w:sz w:val="20"/>
          <w:rtl/>
        </w:rPr>
        <w:t>وتشير الدولة الطرف إلى أن إفادات أصحاب الشكوى في هذه القضية، قد حظيت عموما</w:t>
      </w:r>
      <w:r w:rsidRPr="008655A1">
        <w:rPr>
          <w:rFonts w:hint="cs"/>
          <w:spacing w:val="0"/>
          <w:kern w:val="0"/>
          <w:sz w:val="20"/>
          <w:rtl/>
        </w:rPr>
        <w:t>ً</w:t>
      </w:r>
      <w:r w:rsidRPr="008655A1">
        <w:rPr>
          <w:spacing w:val="0"/>
          <w:kern w:val="0"/>
          <w:sz w:val="20"/>
          <w:rtl/>
        </w:rPr>
        <w:t xml:space="preserve"> بالقبول من كل من مجلس الهجرة ومحكمة الهجرة، وبالتالي، فإنه ليس هناك ما يدعو إلى إجراء تقييم مختلف في هذا الشأن. ولذلك، ينبغي اتخاذ إفادات أصحاب الشكوى أنفسهم كنقطة انطلاق في تقييم ما إذا كان أصحاب الشكوى يواجهون شخصيا</w:t>
      </w:r>
      <w:r w:rsidRPr="008655A1">
        <w:rPr>
          <w:rFonts w:hint="cs"/>
          <w:spacing w:val="0"/>
          <w:kern w:val="0"/>
          <w:sz w:val="20"/>
          <w:rtl/>
        </w:rPr>
        <w:t>ً</w:t>
      </w:r>
      <w:r w:rsidRPr="008655A1">
        <w:rPr>
          <w:spacing w:val="0"/>
          <w:kern w:val="0"/>
          <w:sz w:val="20"/>
          <w:rtl/>
        </w:rPr>
        <w:t xml:space="preserve"> خطر التعرض للتعذيب وما إذا كان طردهم إلى بلدهم الأصلي حاليا</w:t>
      </w:r>
      <w:r w:rsidRPr="008655A1">
        <w:rPr>
          <w:rFonts w:hint="cs"/>
          <w:spacing w:val="0"/>
          <w:kern w:val="0"/>
          <w:sz w:val="20"/>
          <w:rtl/>
        </w:rPr>
        <w:t>ً</w:t>
      </w:r>
      <w:r w:rsidRPr="008655A1">
        <w:rPr>
          <w:spacing w:val="0"/>
          <w:kern w:val="0"/>
          <w:sz w:val="20"/>
          <w:rtl/>
        </w:rPr>
        <w:t xml:space="preserve"> يشكل انتهاكا</w:t>
      </w:r>
      <w:r w:rsidRPr="008655A1">
        <w:rPr>
          <w:rFonts w:hint="cs"/>
          <w:spacing w:val="0"/>
          <w:kern w:val="0"/>
          <w:sz w:val="20"/>
          <w:rtl/>
        </w:rPr>
        <w:t>ً</w:t>
      </w:r>
      <w:r w:rsidRPr="008655A1">
        <w:rPr>
          <w:spacing w:val="0"/>
          <w:kern w:val="0"/>
          <w:sz w:val="20"/>
          <w:rtl/>
        </w:rPr>
        <w:t xml:space="preserve"> للمادة 3 من الاتفاقية. وفي هذا الصدد، تؤكد الدولة الطرف أنه لا توجد أسباب تدعو إلى التشكيك في تعرض صاحب الشكوى الأول في هذا البلاغ للمعاملة التي وصفها لسلطات الهجرة السويدية وللجنة، أو في </w:t>
      </w:r>
      <w:r w:rsidRPr="008655A1">
        <w:rPr>
          <w:rFonts w:hint="cs"/>
          <w:spacing w:val="0"/>
          <w:kern w:val="0"/>
          <w:sz w:val="20"/>
          <w:rtl/>
        </w:rPr>
        <w:t>رابطته الأسرية</w:t>
      </w:r>
      <w:r w:rsidRPr="008655A1">
        <w:rPr>
          <w:spacing w:val="0"/>
          <w:kern w:val="0"/>
          <w:sz w:val="20"/>
          <w:rtl/>
        </w:rPr>
        <w:t xml:space="preserve"> بالشخص الذي أدين بجريمة قتل الرئيس السادات. وفي ضوء ذلك، لا يبدو أن من المستبعد استمرار اهتمام السلطات المصرية به رغم مرور زمن طويل على وقوع هذه الأحداث. وبالإضافة إلى ذلك، ينبغي أن يراعى في هذا السياق أيضا</w:t>
      </w:r>
      <w:r w:rsidRPr="008655A1">
        <w:rPr>
          <w:rFonts w:hint="cs"/>
          <w:spacing w:val="0"/>
          <w:kern w:val="0"/>
          <w:sz w:val="20"/>
          <w:rtl/>
        </w:rPr>
        <w:t>ً</w:t>
      </w:r>
      <w:r w:rsidRPr="008655A1">
        <w:rPr>
          <w:spacing w:val="0"/>
          <w:kern w:val="0"/>
          <w:sz w:val="20"/>
          <w:rtl/>
        </w:rPr>
        <w:t>، نشاطاته على شبكة الإنترنت في السويد وتشكيكه في</w:t>
      </w:r>
      <w:r w:rsidRPr="008655A1">
        <w:rPr>
          <w:rFonts w:hint="cs"/>
          <w:spacing w:val="0"/>
          <w:kern w:val="0"/>
          <w:sz w:val="20"/>
          <w:rtl/>
        </w:rPr>
        <w:t>ما إذا كان</w:t>
      </w:r>
      <w:r w:rsidRPr="008655A1">
        <w:rPr>
          <w:spacing w:val="0"/>
          <w:kern w:val="0"/>
          <w:sz w:val="20"/>
          <w:rtl/>
        </w:rPr>
        <w:t xml:space="preserve"> قتلة </w:t>
      </w:r>
      <w:r w:rsidRPr="008655A1">
        <w:rPr>
          <w:rFonts w:hint="cs"/>
          <w:spacing w:val="0"/>
          <w:kern w:val="0"/>
          <w:sz w:val="20"/>
          <w:rtl/>
        </w:rPr>
        <w:t>ا</w:t>
      </w:r>
      <w:r w:rsidRPr="008655A1">
        <w:rPr>
          <w:spacing w:val="0"/>
          <w:kern w:val="0"/>
          <w:sz w:val="20"/>
          <w:rtl/>
        </w:rPr>
        <w:t xml:space="preserve">لرئيس السادات </w:t>
      </w:r>
      <w:r w:rsidRPr="008655A1">
        <w:rPr>
          <w:rFonts w:hint="cs"/>
          <w:spacing w:val="0"/>
          <w:kern w:val="0"/>
          <w:sz w:val="20"/>
          <w:rtl/>
        </w:rPr>
        <w:t>الحقيقيون قد أُدينوا وعوقبوا</w:t>
      </w:r>
      <w:r w:rsidR="0020182D">
        <w:rPr>
          <w:spacing w:val="0"/>
          <w:kern w:val="0"/>
          <w:sz w:val="20"/>
          <w:rtl/>
        </w:rPr>
        <w:t>.</w:t>
      </w:r>
    </w:p>
    <w:p w:rsidR="008655A1" w:rsidRPr="008655A1" w:rsidRDefault="008655A1" w:rsidP="00ED6B1C">
      <w:pPr>
        <w:pStyle w:val="SingleTxtGA"/>
        <w:jc w:val="lowKashida"/>
        <w:rPr>
          <w:rFonts w:hint="cs"/>
          <w:spacing w:val="0"/>
          <w:kern w:val="0"/>
          <w:sz w:val="20"/>
          <w:rtl/>
        </w:rPr>
      </w:pPr>
      <w:r w:rsidRPr="008655A1">
        <w:rPr>
          <w:spacing w:val="0"/>
          <w:kern w:val="0"/>
          <w:sz w:val="20"/>
          <w:rtl/>
        </w:rPr>
        <w:t>4-7</w:t>
      </w:r>
      <w:r w:rsidRPr="008655A1">
        <w:rPr>
          <w:rFonts w:hint="cs"/>
          <w:spacing w:val="0"/>
          <w:kern w:val="0"/>
          <w:sz w:val="20"/>
          <w:rtl/>
        </w:rPr>
        <w:tab/>
      </w:r>
      <w:r w:rsidRPr="008655A1">
        <w:rPr>
          <w:spacing w:val="0"/>
          <w:kern w:val="0"/>
          <w:sz w:val="20"/>
          <w:rtl/>
        </w:rPr>
        <w:t>وعليه، ترى الدولة الطرف أنه لا يمكن استبعاد أن يكون باقي أفراد الأسرة موضع اهتمام السلطات المصرية أيضا</w:t>
      </w:r>
      <w:r w:rsidRPr="008655A1">
        <w:rPr>
          <w:rFonts w:hint="cs"/>
          <w:spacing w:val="0"/>
          <w:kern w:val="0"/>
          <w:sz w:val="20"/>
          <w:rtl/>
        </w:rPr>
        <w:t>ً</w:t>
      </w:r>
      <w:r w:rsidRPr="008655A1">
        <w:rPr>
          <w:spacing w:val="0"/>
          <w:kern w:val="0"/>
          <w:sz w:val="20"/>
          <w:rtl/>
        </w:rPr>
        <w:t>. وتشير إلى أن مباحث أمن الدولة المصرية عاملت صاحبة الشكوى الثانية معاملة فظة وغير لائقة على حد زعمها. وبالإضافة إلى ذلك، أفاد صاحب الشكوى الثالث بأنه تعرض مرارا</w:t>
      </w:r>
      <w:r w:rsidRPr="008655A1">
        <w:rPr>
          <w:rFonts w:hint="cs"/>
          <w:spacing w:val="0"/>
          <w:kern w:val="0"/>
          <w:sz w:val="20"/>
          <w:rtl/>
        </w:rPr>
        <w:t>ً</w:t>
      </w:r>
      <w:r w:rsidRPr="008655A1">
        <w:rPr>
          <w:spacing w:val="0"/>
          <w:kern w:val="0"/>
          <w:sz w:val="20"/>
          <w:rtl/>
        </w:rPr>
        <w:t xml:space="preserve"> للاغتصاب من قبل ضباط الشرطة أثناء الاحتجاز لدى السلطات المصرية. وقد أوضح أسباب عدم تمكنه من تقديم أي شهادة طبية تثبت تعرضه لعمليات الاغتصاب تلك. كما أوضح أسباب عدم تجرؤه على إبلاغ السلطات المصرية بهذه </w:t>
      </w:r>
      <w:r w:rsidRPr="008655A1">
        <w:rPr>
          <w:rFonts w:hint="cs"/>
          <w:spacing w:val="0"/>
          <w:kern w:val="0"/>
          <w:sz w:val="20"/>
          <w:rtl/>
        </w:rPr>
        <w:t>الأحداث</w:t>
      </w:r>
      <w:r w:rsidRPr="008655A1">
        <w:rPr>
          <w:spacing w:val="0"/>
          <w:kern w:val="0"/>
          <w:sz w:val="20"/>
          <w:rtl/>
        </w:rPr>
        <w:t>. وتشير الدولة الطرف إلى أن احتمال تعرضه لمعاملة مماثلة في حال عودته إلى مصر لا يمكن أن يُستبعد تماما</w:t>
      </w:r>
      <w:r w:rsidRPr="008655A1">
        <w:rPr>
          <w:rFonts w:hint="cs"/>
          <w:spacing w:val="0"/>
          <w:kern w:val="0"/>
          <w:sz w:val="20"/>
          <w:rtl/>
        </w:rPr>
        <w:t>ً</w:t>
      </w:r>
      <w:r w:rsidRPr="008655A1">
        <w:rPr>
          <w:spacing w:val="0"/>
          <w:kern w:val="0"/>
          <w:sz w:val="20"/>
          <w:rtl/>
        </w:rPr>
        <w:t xml:space="preserve">. </w:t>
      </w:r>
    </w:p>
    <w:p w:rsidR="008655A1" w:rsidRPr="008655A1" w:rsidRDefault="008655A1" w:rsidP="00ED6B1C">
      <w:pPr>
        <w:pStyle w:val="SingleTxtGA"/>
        <w:jc w:val="lowKashida"/>
        <w:rPr>
          <w:spacing w:val="0"/>
          <w:kern w:val="0"/>
          <w:sz w:val="20"/>
          <w:rtl/>
        </w:rPr>
      </w:pPr>
      <w:r w:rsidRPr="008655A1">
        <w:rPr>
          <w:spacing w:val="0"/>
          <w:kern w:val="0"/>
          <w:sz w:val="20"/>
          <w:rtl/>
        </w:rPr>
        <w:t>4-8</w:t>
      </w:r>
      <w:r w:rsidRPr="008655A1">
        <w:rPr>
          <w:rFonts w:hint="cs"/>
          <w:spacing w:val="0"/>
          <w:kern w:val="0"/>
          <w:sz w:val="20"/>
          <w:rtl/>
        </w:rPr>
        <w:tab/>
      </w:r>
      <w:r w:rsidRPr="008655A1">
        <w:rPr>
          <w:spacing w:val="0"/>
          <w:kern w:val="0"/>
          <w:sz w:val="20"/>
          <w:rtl/>
        </w:rPr>
        <w:t>وتخلص الدولة الطرف</w:t>
      </w:r>
      <w:r w:rsidRPr="008655A1">
        <w:rPr>
          <w:rFonts w:hint="cs"/>
          <w:spacing w:val="0"/>
          <w:kern w:val="0"/>
          <w:sz w:val="20"/>
          <w:rtl/>
        </w:rPr>
        <w:t>،</w:t>
      </w:r>
      <w:r w:rsidRPr="008655A1">
        <w:rPr>
          <w:spacing w:val="0"/>
          <w:kern w:val="0"/>
          <w:sz w:val="20"/>
          <w:rtl/>
        </w:rPr>
        <w:t xml:space="preserve"> في ضوء الخلفية التي قدمها صاحب الشكوى الأول وطبيعة ادعاءات باقي أصحاب الشكوى، إلى أنه</w:t>
      </w:r>
      <w:r w:rsidRPr="008655A1">
        <w:rPr>
          <w:rFonts w:hint="cs"/>
          <w:spacing w:val="0"/>
          <w:kern w:val="0"/>
          <w:sz w:val="20"/>
          <w:rtl/>
        </w:rPr>
        <w:t>ا</w:t>
      </w:r>
      <w:r w:rsidRPr="008655A1">
        <w:rPr>
          <w:spacing w:val="0"/>
          <w:kern w:val="0"/>
          <w:sz w:val="20"/>
          <w:rtl/>
        </w:rPr>
        <w:t xml:space="preserve"> تترك للجنة أمر تقدير ما إذا كان إنفاذ أوامر الطرد يشكل انتهاكا</w:t>
      </w:r>
      <w:r w:rsidRPr="008655A1">
        <w:rPr>
          <w:rFonts w:hint="cs"/>
          <w:spacing w:val="0"/>
          <w:kern w:val="0"/>
          <w:sz w:val="20"/>
          <w:rtl/>
        </w:rPr>
        <w:t>ً</w:t>
      </w:r>
      <w:r w:rsidRPr="008655A1">
        <w:rPr>
          <w:spacing w:val="0"/>
          <w:kern w:val="0"/>
          <w:sz w:val="20"/>
          <w:rtl/>
        </w:rPr>
        <w:t xml:space="preserve"> للمادتين 3 و16 من الاتفاقية. </w:t>
      </w:r>
    </w:p>
    <w:p w:rsidR="008655A1" w:rsidRPr="008655A1" w:rsidRDefault="008655A1" w:rsidP="00ED6B1C">
      <w:pPr>
        <w:pStyle w:val="H23GA"/>
        <w:spacing w:line="370" w:lineRule="exact"/>
        <w:jc w:val="lowKashida"/>
        <w:rPr>
          <w:rFonts w:hint="cs"/>
          <w:spacing w:val="0"/>
          <w:kern w:val="0"/>
          <w:sz w:val="20"/>
          <w:rtl/>
        </w:rPr>
      </w:pPr>
      <w:r w:rsidRPr="008655A1">
        <w:rPr>
          <w:rFonts w:hint="cs"/>
          <w:spacing w:val="0"/>
          <w:kern w:val="0"/>
          <w:sz w:val="20"/>
          <w:rtl/>
        </w:rPr>
        <w:tab/>
      </w:r>
      <w:r w:rsidRPr="008655A1">
        <w:rPr>
          <w:spacing w:val="0"/>
          <w:kern w:val="0"/>
          <w:sz w:val="20"/>
          <w:rtl/>
        </w:rPr>
        <w:tab/>
        <w:t>تعليقات أصحاب الشكوى على ملاحظات الدولة الطرف</w:t>
      </w:r>
    </w:p>
    <w:p w:rsidR="008655A1" w:rsidRPr="00ED6B1C" w:rsidRDefault="008655A1" w:rsidP="00ED6B1C">
      <w:pPr>
        <w:pStyle w:val="SingleTxtGA"/>
        <w:spacing w:line="370" w:lineRule="exact"/>
        <w:jc w:val="lowKashida"/>
        <w:rPr>
          <w:rFonts w:hint="cs"/>
          <w:spacing w:val="0"/>
          <w:kern w:val="0"/>
          <w:sz w:val="20"/>
          <w:rtl/>
        </w:rPr>
      </w:pPr>
      <w:r w:rsidRPr="00ED6B1C">
        <w:rPr>
          <w:spacing w:val="0"/>
          <w:kern w:val="0"/>
          <w:sz w:val="20"/>
          <w:rtl/>
        </w:rPr>
        <w:t>5-</w:t>
      </w:r>
      <w:r w:rsidRPr="00ED6B1C">
        <w:rPr>
          <w:rFonts w:hint="cs"/>
          <w:spacing w:val="0"/>
          <w:kern w:val="0"/>
          <w:sz w:val="20"/>
          <w:rtl/>
        </w:rPr>
        <w:tab/>
      </w:r>
      <w:r w:rsidRPr="00ED6B1C">
        <w:rPr>
          <w:spacing w:val="0"/>
          <w:kern w:val="0"/>
          <w:sz w:val="20"/>
          <w:rtl/>
        </w:rPr>
        <w:t>في 17 حزيران/يونيه 2010، قال أصحاب الشكوى إنهم، استنادا</w:t>
      </w:r>
      <w:r w:rsidRPr="00ED6B1C">
        <w:rPr>
          <w:rFonts w:hint="cs"/>
          <w:spacing w:val="0"/>
          <w:kern w:val="0"/>
          <w:sz w:val="20"/>
          <w:rtl/>
        </w:rPr>
        <w:t>ً</w:t>
      </w:r>
      <w:r w:rsidRPr="00ED6B1C">
        <w:rPr>
          <w:spacing w:val="0"/>
          <w:kern w:val="0"/>
          <w:sz w:val="20"/>
          <w:rtl/>
        </w:rPr>
        <w:t xml:space="preserve"> إلى الملاحظات المتعلقة بالمقبولية والأسس الموضوعية، يؤكدون بارتياح أن الدولة الطرف قد فهمت قضيتهم فهما</w:t>
      </w:r>
      <w:r w:rsidRPr="00ED6B1C">
        <w:rPr>
          <w:rFonts w:hint="cs"/>
          <w:spacing w:val="0"/>
          <w:kern w:val="0"/>
          <w:sz w:val="20"/>
          <w:rtl/>
        </w:rPr>
        <w:t>ً</w:t>
      </w:r>
      <w:r w:rsidRPr="00ED6B1C">
        <w:rPr>
          <w:spacing w:val="0"/>
          <w:kern w:val="0"/>
          <w:sz w:val="20"/>
          <w:rtl/>
        </w:rPr>
        <w:t xml:space="preserve"> صحيحا</w:t>
      </w:r>
      <w:r w:rsidRPr="00ED6B1C">
        <w:rPr>
          <w:rFonts w:hint="cs"/>
          <w:spacing w:val="0"/>
          <w:kern w:val="0"/>
          <w:sz w:val="20"/>
          <w:rtl/>
        </w:rPr>
        <w:t>ً</w:t>
      </w:r>
      <w:r w:rsidRPr="00ED6B1C">
        <w:rPr>
          <w:spacing w:val="0"/>
          <w:kern w:val="0"/>
          <w:sz w:val="20"/>
          <w:rtl/>
        </w:rPr>
        <w:t xml:space="preserve">. وتخلص الدولة الطرف بوجه خاص، إلى أنه لا يبدو من المستبعد أن يكون أصحاب الشكوى موضع اهتمام </w:t>
      </w:r>
      <w:r w:rsidRPr="00ED6B1C">
        <w:rPr>
          <w:rFonts w:hint="cs"/>
          <w:spacing w:val="0"/>
          <w:kern w:val="0"/>
          <w:sz w:val="20"/>
          <w:rtl/>
        </w:rPr>
        <w:t>ل</w:t>
      </w:r>
      <w:r w:rsidRPr="00ED6B1C">
        <w:rPr>
          <w:spacing w:val="0"/>
          <w:kern w:val="0"/>
          <w:sz w:val="20"/>
          <w:rtl/>
        </w:rPr>
        <w:t>لسلطات المصرية وأن احتمال تعرض صاحب الشكوى الثالث للتعذيب أو لمعاملة مماثلة إذا عاد إلى مصر أمر لا يمكن استبعاده تماما</w:t>
      </w:r>
      <w:r w:rsidRPr="00ED6B1C">
        <w:rPr>
          <w:rFonts w:hint="cs"/>
          <w:spacing w:val="0"/>
          <w:kern w:val="0"/>
          <w:sz w:val="20"/>
          <w:rtl/>
        </w:rPr>
        <w:t>ً</w:t>
      </w:r>
      <w:r w:rsidRPr="00ED6B1C">
        <w:rPr>
          <w:spacing w:val="0"/>
          <w:kern w:val="0"/>
          <w:sz w:val="20"/>
          <w:rtl/>
        </w:rPr>
        <w:t>. وعليه، فإن أصحاب الشكوى لا يريدون أن يضيفوا أي شيء على ملاحظات الدولة الطرف باستثناء تقديم عدد من التقارير الحديثة التي تدعم ادعاءاتهم وتثبت أن الوضع في مصر ينطوي على خطر بالنسبة للأشخاص الذين يعتقد أنهم يرتبطون بجماعة "الإخوان المسلمون"</w:t>
      </w:r>
      <w:r w:rsidRPr="00ED6B1C">
        <w:rPr>
          <w:spacing w:val="0"/>
          <w:kern w:val="0"/>
          <w:sz w:val="20"/>
          <w:vertAlign w:val="superscript"/>
          <w:rtl/>
        </w:rPr>
        <w:t>(</w:t>
      </w:r>
      <w:r w:rsidRPr="00ED6B1C">
        <w:rPr>
          <w:rStyle w:val="FootnoteReference"/>
          <w:spacing w:val="0"/>
          <w:sz w:val="20"/>
          <w:rtl/>
        </w:rPr>
        <w:footnoteReference w:id="294"/>
      </w:r>
      <w:r w:rsidRPr="00ED6B1C">
        <w:rPr>
          <w:spacing w:val="0"/>
          <w:kern w:val="0"/>
          <w:sz w:val="20"/>
          <w:vertAlign w:val="superscript"/>
          <w:rtl/>
        </w:rPr>
        <w:t>)</w:t>
      </w:r>
      <w:r w:rsidRPr="00ED6B1C">
        <w:rPr>
          <w:rFonts w:hint="cs"/>
          <w:spacing w:val="0"/>
          <w:kern w:val="0"/>
          <w:sz w:val="20"/>
          <w:rtl/>
        </w:rPr>
        <w:t>.</w:t>
      </w:r>
      <w:r w:rsidRPr="00ED6B1C">
        <w:rPr>
          <w:spacing w:val="0"/>
          <w:kern w:val="0"/>
          <w:sz w:val="20"/>
          <w:rtl/>
        </w:rPr>
        <w:t xml:space="preserve"> ويخلص أصحاب الشكوى إلى أن الدولة الطرف تؤيد قضيتهم وأنه من الواضح </w:t>
      </w:r>
      <w:r w:rsidR="0020182D">
        <w:rPr>
          <w:spacing w:val="0"/>
          <w:kern w:val="0"/>
          <w:sz w:val="20"/>
          <w:rtl/>
        </w:rPr>
        <w:t>حدوث انتهاك للاتفاقية في حقهم.</w:t>
      </w:r>
    </w:p>
    <w:p w:rsidR="008655A1" w:rsidRPr="008655A1" w:rsidRDefault="008655A1" w:rsidP="00ED6B1C">
      <w:pPr>
        <w:pStyle w:val="H23GA"/>
        <w:spacing w:line="370" w:lineRule="exact"/>
        <w:jc w:val="lowKashida"/>
        <w:rPr>
          <w:spacing w:val="0"/>
          <w:kern w:val="0"/>
          <w:sz w:val="20"/>
          <w:rtl/>
        </w:rPr>
      </w:pPr>
      <w:r w:rsidRPr="008655A1">
        <w:rPr>
          <w:spacing w:val="0"/>
          <w:kern w:val="0"/>
          <w:sz w:val="20"/>
          <w:rtl/>
        </w:rPr>
        <w:tab/>
      </w:r>
      <w:r w:rsidRPr="008655A1">
        <w:rPr>
          <w:rFonts w:hint="cs"/>
          <w:spacing w:val="0"/>
          <w:kern w:val="0"/>
          <w:sz w:val="20"/>
          <w:rtl/>
        </w:rPr>
        <w:tab/>
        <w:t>ال</w:t>
      </w:r>
      <w:r w:rsidRPr="008655A1">
        <w:rPr>
          <w:spacing w:val="0"/>
          <w:kern w:val="0"/>
          <w:sz w:val="20"/>
          <w:rtl/>
        </w:rPr>
        <w:t xml:space="preserve">رسالة </w:t>
      </w:r>
      <w:r w:rsidRPr="008655A1">
        <w:rPr>
          <w:rFonts w:hint="cs"/>
          <w:spacing w:val="0"/>
          <w:kern w:val="0"/>
          <w:sz w:val="20"/>
          <w:rtl/>
        </w:rPr>
        <w:t>ال</w:t>
      </w:r>
      <w:r w:rsidRPr="008655A1">
        <w:rPr>
          <w:spacing w:val="0"/>
          <w:kern w:val="0"/>
          <w:sz w:val="20"/>
          <w:rtl/>
        </w:rPr>
        <w:t xml:space="preserve">إضافية </w:t>
      </w:r>
      <w:r w:rsidRPr="008655A1">
        <w:rPr>
          <w:rFonts w:hint="cs"/>
          <w:spacing w:val="0"/>
          <w:kern w:val="0"/>
          <w:sz w:val="20"/>
          <w:rtl/>
        </w:rPr>
        <w:t xml:space="preserve">المقدمة من </w:t>
      </w:r>
      <w:r w:rsidRPr="008655A1">
        <w:rPr>
          <w:spacing w:val="0"/>
          <w:kern w:val="0"/>
          <w:sz w:val="20"/>
          <w:rtl/>
        </w:rPr>
        <w:t>أصحاب الشكوى</w:t>
      </w:r>
    </w:p>
    <w:p w:rsidR="008655A1" w:rsidRPr="00ED6B1C" w:rsidRDefault="008655A1" w:rsidP="00ED6B1C">
      <w:pPr>
        <w:pStyle w:val="SingleTxtGA"/>
        <w:spacing w:line="370" w:lineRule="exact"/>
        <w:jc w:val="lowKashida"/>
        <w:rPr>
          <w:spacing w:val="-2"/>
          <w:kern w:val="0"/>
          <w:sz w:val="20"/>
          <w:rtl/>
        </w:rPr>
      </w:pPr>
      <w:r w:rsidRPr="00ED6B1C">
        <w:rPr>
          <w:spacing w:val="-2"/>
          <w:kern w:val="0"/>
          <w:sz w:val="20"/>
          <w:rtl/>
        </w:rPr>
        <w:t>6-1</w:t>
      </w:r>
      <w:r w:rsidRPr="00ED6B1C">
        <w:rPr>
          <w:rFonts w:hint="cs"/>
          <w:spacing w:val="-2"/>
          <w:kern w:val="0"/>
          <w:sz w:val="20"/>
          <w:rtl/>
        </w:rPr>
        <w:tab/>
      </w:r>
      <w:r w:rsidRPr="00ED6B1C">
        <w:rPr>
          <w:spacing w:val="-2"/>
          <w:kern w:val="0"/>
          <w:sz w:val="20"/>
          <w:rtl/>
        </w:rPr>
        <w:t>في رسالة إضافية مؤرخة 26 تشرين الأول/أكتوبر 2011، يدعي أصحاب الشكوى أن الوضع في مصر لا يزال يشكل خطرا</w:t>
      </w:r>
      <w:r w:rsidRPr="00ED6B1C">
        <w:rPr>
          <w:rFonts w:hint="cs"/>
          <w:spacing w:val="-2"/>
          <w:kern w:val="0"/>
          <w:sz w:val="20"/>
          <w:rtl/>
        </w:rPr>
        <w:t>ً</w:t>
      </w:r>
      <w:r w:rsidRPr="00ED6B1C">
        <w:rPr>
          <w:spacing w:val="-2"/>
          <w:kern w:val="0"/>
          <w:sz w:val="20"/>
          <w:rtl/>
        </w:rPr>
        <w:t xml:space="preserve"> شديدا</w:t>
      </w:r>
      <w:r w:rsidRPr="00ED6B1C">
        <w:rPr>
          <w:rFonts w:hint="cs"/>
          <w:spacing w:val="-2"/>
          <w:kern w:val="0"/>
          <w:sz w:val="20"/>
          <w:rtl/>
        </w:rPr>
        <w:t>ً</w:t>
      </w:r>
      <w:r w:rsidRPr="00ED6B1C">
        <w:rPr>
          <w:spacing w:val="-2"/>
          <w:kern w:val="0"/>
          <w:sz w:val="20"/>
          <w:rtl/>
        </w:rPr>
        <w:t xml:space="preserve"> عليهم رغم حدوث تغييرات سياسية. فرغم </w:t>
      </w:r>
      <w:r w:rsidRPr="00ED6B1C">
        <w:rPr>
          <w:rFonts w:hint="cs"/>
          <w:spacing w:val="-2"/>
          <w:kern w:val="0"/>
          <w:sz w:val="20"/>
          <w:rtl/>
        </w:rPr>
        <w:t xml:space="preserve">إجبار </w:t>
      </w:r>
      <w:r w:rsidRPr="00ED6B1C">
        <w:rPr>
          <w:spacing w:val="-2"/>
          <w:kern w:val="0"/>
          <w:sz w:val="20"/>
          <w:rtl/>
        </w:rPr>
        <w:t xml:space="preserve">الرئيس مبارك وحكومته على التخلي عن السلطة، لا تزال السلطة العسكرية ومباحث أمن الدولة على ما كانت عليه قبل الثورة. وبما أن الشرطة العسكرية </w:t>
      </w:r>
      <w:r w:rsidRPr="00ED6B1C">
        <w:rPr>
          <w:rFonts w:hint="cs"/>
          <w:spacing w:val="-2"/>
          <w:kern w:val="0"/>
          <w:sz w:val="20"/>
          <w:rtl/>
        </w:rPr>
        <w:t xml:space="preserve">تقوم </w:t>
      </w:r>
      <w:r w:rsidRPr="00ED6B1C">
        <w:rPr>
          <w:spacing w:val="-2"/>
          <w:kern w:val="0"/>
          <w:sz w:val="20"/>
          <w:rtl/>
        </w:rPr>
        <w:t xml:space="preserve">باستجواب أصحاب الشكوى وتعذيبهم، فمن غير المستبعد أن يتعرضوا لمعاملة مماثلة إذا عادوا إلى مصر. ويضيفون أن السلطات المصرية تعتبر أن صاحب الشكوى الأول </w:t>
      </w:r>
      <w:r w:rsidRPr="00ED6B1C">
        <w:rPr>
          <w:rFonts w:hint="cs"/>
          <w:spacing w:val="-2"/>
          <w:kern w:val="0"/>
          <w:sz w:val="20"/>
          <w:rtl/>
        </w:rPr>
        <w:t xml:space="preserve">على صلة </w:t>
      </w:r>
      <w:r w:rsidRPr="00ED6B1C">
        <w:rPr>
          <w:spacing w:val="-2"/>
          <w:kern w:val="0"/>
          <w:sz w:val="20"/>
          <w:rtl/>
        </w:rPr>
        <w:t xml:space="preserve">بالجماعات الإسلامية الإرهابية. ولذلك فقد يكون هو وأسرته محط اهتمام السلطات المصرية حتى الآن. </w:t>
      </w:r>
    </w:p>
    <w:p w:rsidR="008655A1" w:rsidRPr="008655A1" w:rsidRDefault="008655A1" w:rsidP="00ED6B1C">
      <w:pPr>
        <w:pStyle w:val="SingleTxtGA"/>
        <w:spacing w:line="370" w:lineRule="exact"/>
        <w:jc w:val="lowKashida"/>
        <w:rPr>
          <w:rFonts w:hint="cs"/>
          <w:spacing w:val="0"/>
          <w:kern w:val="0"/>
          <w:sz w:val="20"/>
          <w:rtl/>
        </w:rPr>
      </w:pPr>
      <w:r w:rsidRPr="008655A1">
        <w:rPr>
          <w:spacing w:val="0"/>
          <w:kern w:val="0"/>
          <w:sz w:val="20"/>
          <w:rtl/>
        </w:rPr>
        <w:t>6-2</w:t>
      </w:r>
      <w:r w:rsidRPr="008655A1">
        <w:rPr>
          <w:rFonts w:hint="cs"/>
          <w:spacing w:val="0"/>
          <w:kern w:val="0"/>
          <w:sz w:val="20"/>
          <w:rtl/>
        </w:rPr>
        <w:tab/>
      </w:r>
      <w:r w:rsidRPr="008655A1">
        <w:rPr>
          <w:spacing w:val="0"/>
          <w:kern w:val="0"/>
          <w:sz w:val="20"/>
          <w:rtl/>
        </w:rPr>
        <w:t xml:space="preserve">ويُذَكِّر أصحاب الشكوى بأن صاحب الشكوى الأول هو من المدونين الناشطين وقام بانتقاد النظام العسكري في مصر. وقد نبه المجلس الأعلى للقوات المسلحة المؤسسات الإخبارية إلى أن انتقاد العسكر في الصحف يشكل مخالفة للقانون. وحكمت محكمة عسكرية على المدون مايكل نبيل بالسجن ثلاث سنوات بتهمة سب وقذف القوات المسلحة. وانتقد آخرون المجلس الأعلى في تقارير صحفية تفيد بقيام الأطباء بإجراء"اختبارات العذرية" للنساء المحتجزات في السجون العسكرية. وقد </w:t>
      </w:r>
      <w:r w:rsidRPr="008655A1">
        <w:rPr>
          <w:rFonts w:hint="cs"/>
          <w:spacing w:val="0"/>
          <w:kern w:val="0"/>
          <w:sz w:val="20"/>
          <w:rtl/>
        </w:rPr>
        <w:t>اشتبكت</w:t>
      </w:r>
      <w:r w:rsidRPr="008655A1">
        <w:rPr>
          <w:spacing w:val="0"/>
          <w:kern w:val="0"/>
          <w:sz w:val="20"/>
          <w:rtl/>
        </w:rPr>
        <w:t xml:space="preserve"> الشرطة العسكرية في </w:t>
      </w:r>
      <w:r w:rsidRPr="008655A1">
        <w:rPr>
          <w:rFonts w:hint="cs"/>
          <w:spacing w:val="0"/>
          <w:kern w:val="0"/>
          <w:sz w:val="20"/>
          <w:rtl/>
        </w:rPr>
        <w:t xml:space="preserve">إحدى المناسبات </w:t>
      </w:r>
      <w:r w:rsidRPr="008655A1">
        <w:rPr>
          <w:spacing w:val="0"/>
          <w:kern w:val="0"/>
          <w:sz w:val="20"/>
          <w:rtl/>
        </w:rPr>
        <w:t>مع المحتجين مما أدى إلى سقوط قتيل في 8 نيسان/أبريل 2011 واعتقال المئات</w:t>
      </w:r>
      <w:r w:rsidRPr="008655A1">
        <w:rPr>
          <w:spacing w:val="0"/>
          <w:kern w:val="0"/>
          <w:sz w:val="20"/>
          <w:vertAlign w:val="superscript"/>
          <w:rtl/>
        </w:rPr>
        <w:t>(</w:t>
      </w:r>
      <w:r w:rsidRPr="008655A1">
        <w:rPr>
          <w:rStyle w:val="FootnoteReference"/>
          <w:spacing w:val="0"/>
          <w:sz w:val="20"/>
          <w:rtl/>
        </w:rPr>
        <w:footnoteReference w:id="295"/>
      </w:r>
      <w:r w:rsidRPr="008655A1">
        <w:rPr>
          <w:spacing w:val="0"/>
          <w:kern w:val="0"/>
          <w:sz w:val="20"/>
          <w:vertAlign w:val="superscript"/>
          <w:rtl/>
        </w:rPr>
        <w:t>)</w:t>
      </w:r>
      <w:r w:rsidRPr="008655A1">
        <w:rPr>
          <w:rFonts w:hint="cs"/>
          <w:spacing w:val="0"/>
          <w:kern w:val="0"/>
          <w:sz w:val="20"/>
          <w:rtl/>
        </w:rPr>
        <w:t>.</w:t>
      </w:r>
      <w:r w:rsidRPr="008655A1">
        <w:rPr>
          <w:spacing w:val="0"/>
          <w:kern w:val="0"/>
          <w:sz w:val="20"/>
          <w:rtl/>
        </w:rPr>
        <w:t xml:space="preserve"> وعليه، يدفع أصحاب الشكوى بأن تعرض صاحب الشكوى الأول لمعاملة مماثلة في حال عودته </w:t>
      </w:r>
      <w:r w:rsidR="00ED6B1C">
        <w:rPr>
          <w:spacing w:val="0"/>
          <w:kern w:val="0"/>
          <w:sz w:val="20"/>
          <w:rtl/>
        </w:rPr>
        <w:t>إلى مصر أمرٌ لا يمكن استبعاده.</w:t>
      </w:r>
    </w:p>
    <w:p w:rsidR="008655A1" w:rsidRPr="008655A1" w:rsidRDefault="008655A1" w:rsidP="00ED6B1C">
      <w:pPr>
        <w:pStyle w:val="SingleTxtGA"/>
        <w:spacing w:line="370" w:lineRule="exact"/>
        <w:jc w:val="lowKashida"/>
        <w:rPr>
          <w:rFonts w:hint="cs"/>
          <w:spacing w:val="0"/>
          <w:kern w:val="0"/>
          <w:sz w:val="20"/>
          <w:rtl/>
        </w:rPr>
      </w:pPr>
      <w:r w:rsidRPr="008655A1">
        <w:rPr>
          <w:spacing w:val="0"/>
          <w:kern w:val="0"/>
          <w:sz w:val="20"/>
          <w:rtl/>
        </w:rPr>
        <w:t>6-3</w:t>
      </w:r>
      <w:r w:rsidRPr="008655A1">
        <w:rPr>
          <w:rFonts w:hint="cs"/>
          <w:spacing w:val="0"/>
          <w:kern w:val="0"/>
          <w:sz w:val="20"/>
          <w:rtl/>
        </w:rPr>
        <w:tab/>
      </w:r>
      <w:r w:rsidRPr="008655A1">
        <w:rPr>
          <w:spacing w:val="0"/>
          <w:kern w:val="0"/>
          <w:sz w:val="20"/>
          <w:rtl/>
        </w:rPr>
        <w:t xml:space="preserve">وفي الختام، شدد أصحاب الشكوى على أن ابن عم صاحب الشكوى الأول خالد </w:t>
      </w:r>
      <w:r w:rsidRPr="008655A1">
        <w:rPr>
          <w:rFonts w:hint="cs"/>
          <w:spacing w:val="0"/>
          <w:kern w:val="0"/>
          <w:sz w:val="20"/>
          <w:rtl/>
        </w:rPr>
        <w:t>ال</w:t>
      </w:r>
      <w:r w:rsidRPr="008655A1">
        <w:rPr>
          <w:spacing w:val="0"/>
          <w:kern w:val="0"/>
          <w:sz w:val="20"/>
          <w:rtl/>
        </w:rPr>
        <w:t>إسلامبولي، قد أدين بقتل الرئيس السادات في عام 1982، وأن هذه الحقيقة وحدها كفيلة بجعل صاحب الشكوى الأول مشتبها</w:t>
      </w:r>
      <w:r w:rsidRPr="008655A1">
        <w:rPr>
          <w:rFonts w:hint="cs"/>
          <w:spacing w:val="0"/>
          <w:kern w:val="0"/>
          <w:sz w:val="20"/>
          <w:rtl/>
        </w:rPr>
        <w:t>ً</w:t>
      </w:r>
      <w:r w:rsidRPr="008655A1">
        <w:rPr>
          <w:spacing w:val="0"/>
          <w:kern w:val="0"/>
          <w:sz w:val="20"/>
          <w:rtl/>
        </w:rPr>
        <w:t xml:space="preserve"> فيه طيلة حياته ومعروفا</w:t>
      </w:r>
      <w:r w:rsidRPr="008655A1">
        <w:rPr>
          <w:rFonts w:hint="cs"/>
          <w:spacing w:val="0"/>
          <w:kern w:val="0"/>
          <w:sz w:val="20"/>
          <w:rtl/>
        </w:rPr>
        <w:t>ً</w:t>
      </w:r>
      <w:r w:rsidRPr="008655A1">
        <w:rPr>
          <w:spacing w:val="0"/>
          <w:kern w:val="0"/>
          <w:sz w:val="20"/>
          <w:rtl/>
        </w:rPr>
        <w:t xml:space="preserve"> لدى الجيش ومباحث أمن الدولة. </w:t>
      </w:r>
      <w:r w:rsidRPr="008655A1">
        <w:rPr>
          <w:rFonts w:hint="cs"/>
          <w:spacing w:val="0"/>
          <w:kern w:val="0"/>
          <w:sz w:val="20"/>
          <w:rtl/>
        </w:rPr>
        <w:t>ولذا، فسيكون محط اهتمام هاتين المؤسستين متى دخل مصر.</w:t>
      </w:r>
    </w:p>
    <w:p w:rsidR="008655A1" w:rsidRPr="008655A1" w:rsidRDefault="008655A1" w:rsidP="00ED6B1C">
      <w:pPr>
        <w:pStyle w:val="H23GA"/>
        <w:spacing w:line="370" w:lineRule="exact"/>
        <w:jc w:val="lowKashida"/>
        <w:rPr>
          <w:spacing w:val="0"/>
          <w:kern w:val="0"/>
          <w:sz w:val="20"/>
          <w:rtl/>
        </w:rPr>
      </w:pPr>
      <w:r w:rsidRPr="008655A1">
        <w:rPr>
          <w:spacing w:val="0"/>
          <w:kern w:val="0"/>
          <w:sz w:val="20"/>
          <w:rtl/>
        </w:rPr>
        <w:tab/>
      </w:r>
      <w:r w:rsidRPr="008655A1">
        <w:rPr>
          <w:rFonts w:hint="cs"/>
          <w:spacing w:val="0"/>
          <w:kern w:val="0"/>
          <w:sz w:val="20"/>
          <w:rtl/>
        </w:rPr>
        <w:tab/>
        <w:t>ال</w:t>
      </w:r>
      <w:r w:rsidRPr="008655A1">
        <w:rPr>
          <w:spacing w:val="0"/>
          <w:kern w:val="0"/>
          <w:sz w:val="20"/>
          <w:rtl/>
        </w:rPr>
        <w:t xml:space="preserve">رسالة </w:t>
      </w:r>
      <w:r w:rsidRPr="008655A1">
        <w:rPr>
          <w:rFonts w:hint="cs"/>
          <w:spacing w:val="0"/>
          <w:kern w:val="0"/>
          <w:sz w:val="20"/>
          <w:rtl/>
        </w:rPr>
        <w:t>الإضافية</w:t>
      </w:r>
      <w:r w:rsidRPr="008655A1">
        <w:rPr>
          <w:spacing w:val="0"/>
          <w:kern w:val="0"/>
          <w:sz w:val="20"/>
          <w:rtl/>
        </w:rPr>
        <w:t xml:space="preserve"> </w:t>
      </w:r>
      <w:r w:rsidRPr="008655A1">
        <w:rPr>
          <w:rFonts w:hint="cs"/>
          <w:spacing w:val="0"/>
          <w:kern w:val="0"/>
          <w:sz w:val="20"/>
          <w:rtl/>
        </w:rPr>
        <w:t xml:space="preserve">المقدمة من </w:t>
      </w:r>
      <w:r w:rsidRPr="008655A1">
        <w:rPr>
          <w:spacing w:val="0"/>
          <w:kern w:val="0"/>
          <w:sz w:val="20"/>
          <w:rtl/>
        </w:rPr>
        <w:t>الدولة الطرف</w:t>
      </w:r>
    </w:p>
    <w:p w:rsidR="008655A1" w:rsidRPr="00ED6B1C" w:rsidRDefault="008655A1" w:rsidP="00ED6B1C">
      <w:pPr>
        <w:pStyle w:val="SingleTxtGA"/>
        <w:spacing w:line="370" w:lineRule="exact"/>
        <w:jc w:val="lowKashida"/>
        <w:rPr>
          <w:rFonts w:hint="cs"/>
          <w:spacing w:val="-2"/>
          <w:kern w:val="0"/>
          <w:sz w:val="20"/>
          <w:rtl/>
        </w:rPr>
      </w:pPr>
      <w:r w:rsidRPr="00ED6B1C">
        <w:rPr>
          <w:spacing w:val="-2"/>
          <w:kern w:val="0"/>
          <w:sz w:val="20"/>
          <w:rtl/>
        </w:rPr>
        <w:t>7-1</w:t>
      </w:r>
      <w:r w:rsidRPr="00ED6B1C">
        <w:rPr>
          <w:rFonts w:hint="cs"/>
          <w:spacing w:val="-2"/>
          <w:kern w:val="0"/>
          <w:sz w:val="20"/>
          <w:rtl/>
        </w:rPr>
        <w:tab/>
      </w:r>
      <w:r w:rsidRPr="00ED6B1C">
        <w:rPr>
          <w:spacing w:val="-2"/>
          <w:kern w:val="0"/>
          <w:sz w:val="20"/>
          <w:rtl/>
        </w:rPr>
        <w:t xml:space="preserve">في رسالة </w:t>
      </w:r>
      <w:r w:rsidRPr="00ED6B1C">
        <w:rPr>
          <w:rFonts w:hint="cs"/>
          <w:spacing w:val="-2"/>
          <w:kern w:val="0"/>
          <w:sz w:val="20"/>
          <w:rtl/>
        </w:rPr>
        <w:t>إضافية</w:t>
      </w:r>
      <w:r w:rsidRPr="00ED6B1C">
        <w:rPr>
          <w:spacing w:val="-2"/>
          <w:kern w:val="0"/>
          <w:sz w:val="20"/>
          <w:rtl/>
        </w:rPr>
        <w:t xml:space="preserve"> مؤرخة 3 كانون الثاني/يناير 2012، تشير الدولة الطرف، </w:t>
      </w:r>
      <w:r w:rsidRPr="00ED6B1C">
        <w:rPr>
          <w:rFonts w:hint="cs"/>
          <w:spacing w:val="-2"/>
          <w:kern w:val="0"/>
          <w:sz w:val="20"/>
          <w:rtl/>
        </w:rPr>
        <w:t xml:space="preserve">كما فعل </w:t>
      </w:r>
      <w:r w:rsidRPr="00ED6B1C">
        <w:rPr>
          <w:spacing w:val="-2"/>
          <w:kern w:val="0"/>
          <w:sz w:val="20"/>
          <w:rtl/>
        </w:rPr>
        <w:t xml:space="preserve">أصحاب الشكوى، إلى </w:t>
      </w:r>
      <w:r w:rsidRPr="00ED6B1C">
        <w:rPr>
          <w:rFonts w:hint="cs"/>
          <w:spacing w:val="-2"/>
          <w:kern w:val="0"/>
          <w:sz w:val="20"/>
          <w:rtl/>
        </w:rPr>
        <w:t>حدوث ت</w:t>
      </w:r>
      <w:r w:rsidRPr="00ED6B1C">
        <w:rPr>
          <w:spacing w:val="-2"/>
          <w:kern w:val="0"/>
          <w:sz w:val="20"/>
          <w:rtl/>
        </w:rPr>
        <w:t xml:space="preserve">طورات كبيرة </w:t>
      </w:r>
      <w:r w:rsidRPr="00ED6B1C">
        <w:rPr>
          <w:rFonts w:hint="cs"/>
          <w:spacing w:val="-2"/>
          <w:kern w:val="0"/>
          <w:sz w:val="20"/>
          <w:rtl/>
        </w:rPr>
        <w:t xml:space="preserve">في مصر </w:t>
      </w:r>
      <w:r w:rsidRPr="00ED6B1C">
        <w:rPr>
          <w:spacing w:val="-2"/>
          <w:kern w:val="0"/>
          <w:sz w:val="20"/>
          <w:rtl/>
        </w:rPr>
        <w:t xml:space="preserve">خلال عام 2011. </w:t>
      </w:r>
      <w:r w:rsidRPr="00ED6B1C">
        <w:rPr>
          <w:rFonts w:hint="cs"/>
          <w:spacing w:val="-2"/>
          <w:kern w:val="0"/>
          <w:sz w:val="20"/>
          <w:rtl/>
        </w:rPr>
        <w:t>لكنها قالت إنه</w:t>
      </w:r>
      <w:r w:rsidRPr="00ED6B1C">
        <w:rPr>
          <w:spacing w:val="-2"/>
          <w:kern w:val="0"/>
          <w:sz w:val="20"/>
          <w:rtl/>
        </w:rPr>
        <w:t xml:space="preserve"> لا</w:t>
      </w:r>
      <w:r w:rsidR="00ED6B1C">
        <w:rPr>
          <w:rFonts w:hint="cs"/>
          <w:spacing w:val="-2"/>
          <w:kern w:val="0"/>
          <w:sz w:val="20"/>
          <w:rtl/>
        </w:rPr>
        <w:t> </w:t>
      </w:r>
      <w:r w:rsidRPr="00ED6B1C">
        <w:rPr>
          <w:spacing w:val="-2"/>
          <w:kern w:val="0"/>
          <w:sz w:val="20"/>
          <w:rtl/>
        </w:rPr>
        <w:t>يمكنها أن تعتبر أن الوضع العام في مصر يستدعي تغيير</w:t>
      </w:r>
      <w:r w:rsidRPr="00ED6B1C">
        <w:rPr>
          <w:rFonts w:hint="cs"/>
          <w:spacing w:val="-2"/>
          <w:kern w:val="0"/>
          <w:sz w:val="20"/>
          <w:rtl/>
        </w:rPr>
        <w:t>اً في</w:t>
      </w:r>
      <w:r w:rsidRPr="00ED6B1C">
        <w:rPr>
          <w:spacing w:val="-2"/>
          <w:kern w:val="0"/>
          <w:sz w:val="20"/>
          <w:rtl/>
        </w:rPr>
        <w:t xml:space="preserve"> الموقف </w:t>
      </w:r>
      <w:r w:rsidRPr="00ED6B1C">
        <w:rPr>
          <w:rFonts w:hint="cs"/>
          <w:spacing w:val="-2"/>
          <w:kern w:val="0"/>
          <w:sz w:val="20"/>
          <w:rtl/>
        </w:rPr>
        <w:t xml:space="preserve">إزاء </w:t>
      </w:r>
      <w:r w:rsidRPr="00ED6B1C">
        <w:rPr>
          <w:spacing w:val="-2"/>
          <w:kern w:val="0"/>
          <w:sz w:val="20"/>
          <w:rtl/>
        </w:rPr>
        <w:t>هذه القضية</w:t>
      </w:r>
      <w:r w:rsidR="00ED6B1C" w:rsidRPr="00ED6B1C">
        <w:rPr>
          <w:spacing w:val="-2"/>
          <w:kern w:val="0"/>
          <w:sz w:val="20"/>
          <w:rtl/>
        </w:rPr>
        <w:t>.</w:t>
      </w:r>
    </w:p>
    <w:p w:rsidR="008655A1" w:rsidRPr="00ED6B1C" w:rsidRDefault="008655A1" w:rsidP="004930E5">
      <w:pPr>
        <w:pStyle w:val="SingleTxtGA"/>
        <w:spacing w:line="370" w:lineRule="exact"/>
        <w:jc w:val="lowKashida"/>
        <w:rPr>
          <w:rFonts w:hint="cs"/>
          <w:spacing w:val="-2"/>
          <w:kern w:val="0"/>
          <w:sz w:val="20"/>
          <w:rtl/>
        </w:rPr>
      </w:pPr>
      <w:r w:rsidRPr="00ED6B1C">
        <w:rPr>
          <w:spacing w:val="-2"/>
          <w:kern w:val="0"/>
          <w:sz w:val="20"/>
          <w:rtl/>
        </w:rPr>
        <w:t>7-2</w:t>
      </w:r>
      <w:r w:rsidRPr="00ED6B1C">
        <w:rPr>
          <w:rFonts w:hint="cs"/>
          <w:spacing w:val="-2"/>
          <w:kern w:val="0"/>
          <w:sz w:val="20"/>
          <w:rtl/>
        </w:rPr>
        <w:tab/>
      </w:r>
      <w:r w:rsidRPr="00ED6B1C">
        <w:rPr>
          <w:spacing w:val="-2"/>
          <w:kern w:val="0"/>
          <w:sz w:val="20"/>
          <w:rtl/>
        </w:rPr>
        <w:t>وتضيف الدولة الطرف أن مجلس الهجرة قرر، في 13 أيلول/سبتمبر 2011، رد طلب مقدم من أصحاب الشكوى لإعادة النظر في قضيتهم عملا</w:t>
      </w:r>
      <w:r w:rsidRPr="00ED6B1C">
        <w:rPr>
          <w:rFonts w:hint="cs"/>
          <w:spacing w:val="-2"/>
          <w:kern w:val="0"/>
          <w:sz w:val="20"/>
          <w:rtl/>
        </w:rPr>
        <w:t>ً</w:t>
      </w:r>
      <w:r w:rsidRPr="00ED6B1C">
        <w:rPr>
          <w:spacing w:val="-2"/>
          <w:kern w:val="0"/>
          <w:sz w:val="20"/>
          <w:rtl/>
        </w:rPr>
        <w:t xml:space="preserve"> بالمادتين 18 و19 من الفصل 12 من قانون الأجانب السويدي (القانون)</w:t>
      </w:r>
      <w:r w:rsidRPr="00ED6B1C">
        <w:rPr>
          <w:spacing w:val="-2"/>
          <w:kern w:val="0"/>
          <w:sz w:val="20"/>
          <w:vertAlign w:val="superscript"/>
          <w:rtl/>
        </w:rPr>
        <w:t>(</w:t>
      </w:r>
      <w:r w:rsidRPr="00ED6B1C">
        <w:rPr>
          <w:rStyle w:val="FootnoteReference"/>
          <w:spacing w:val="-2"/>
          <w:sz w:val="20"/>
          <w:rtl/>
        </w:rPr>
        <w:footnoteReference w:id="296"/>
      </w:r>
      <w:r w:rsidRPr="00ED6B1C">
        <w:rPr>
          <w:spacing w:val="-2"/>
          <w:kern w:val="0"/>
          <w:sz w:val="20"/>
          <w:vertAlign w:val="superscript"/>
          <w:rtl/>
        </w:rPr>
        <w:t>)</w:t>
      </w:r>
      <w:r w:rsidRPr="00ED6B1C">
        <w:rPr>
          <w:spacing w:val="-2"/>
          <w:kern w:val="0"/>
          <w:sz w:val="20"/>
          <w:rtl/>
        </w:rPr>
        <w:t xml:space="preserve">. ودفع أصحاب الشكوى بوجود </w:t>
      </w:r>
      <w:r w:rsidR="004930E5">
        <w:rPr>
          <w:rFonts w:hint="cs"/>
          <w:spacing w:val="-2"/>
          <w:kern w:val="0"/>
          <w:sz w:val="20"/>
          <w:rtl/>
        </w:rPr>
        <w:t>عوائق</w:t>
      </w:r>
      <w:r w:rsidRPr="00ED6B1C">
        <w:rPr>
          <w:spacing w:val="-2"/>
          <w:kern w:val="0"/>
          <w:sz w:val="20"/>
          <w:rtl/>
        </w:rPr>
        <w:t xml:space="preserve"> تحول دون إنفاذ الأوامر الصادرة بطردهم في ضوء جملة أمورٍ منها حدوث تدهور كبير في الوضع السائد في مصر. لكن المجلس رأى أن الوضع العام في حد ذاته لا يحول دون إنفاذ أوامر الطرد. كما لا</w:t>
      </w:r>
      <w:r w:rsidR="004930E5">
        <w:rPr>
          <w:rFonts w:hint="cs"/>
          <w:spacing w:val="-2"/>
          <w:kern w:val="0"/>
          <w:sz w:val="20"/>
          <w:rtl/>
        </w:rPr>
        <w:t> </w:t>
      </w:r>
      <w:r w:rsidRPr="00ED6B1C">
        <w:rPr>
          <w:spacing w:val="-2"/>
          <w:kern w:val="0"/>
          <w:sz w:val="20"/>
          <w:rtl/>
        </w:rPr>
        <w:t xml:space="preserve">ينشأ عنه إجراء تغيير كبير فيما سبق صدوره من تقييمات فردية بشأن إمكانية عودة أصحاب الشكوى إلى مصر. وعليه، </w:t>
      </w:r>
      <w:r w:rsidRPr="00ED6B1C">
        <w:rPr>
          <w:rFonts w:hint="cs"/>
          <w:spacing w:val="-2"/>
          <w:kern w:val="0"/>
          <w:sz w:val="20"/>
          <w:rtl/>
        </w:rPr>
        <w:t xml:space="preserve">تكون </w:t>
      </w:r>
      <w:r w:rsidRPr="00ED6B1C">
        <w:rPr>
          <w:spacing w:val="-2"/>
          <w:kern w:val="0"/>
          <w:sz w:val="20"/>
          <w:rtl/>
        </w:rPr>
        <w:t xml:space="preserve">شروط الموافقة على إعادة النظر في قضيتهم </w:t>
      </w:r>
      <w:r w:rsidRPr="00ED6B1C">
        <w:rPr>
          <w:rFonts w:hint="cs"/>
          <w:spacing w:val="-2"/>
          <w:kern w:val="0"/>
          <w:sz w:val="20"/>
          <w:rtl/>
        </w:rPr>
        <w:t>غير مستوفاة</w:t>
      </w:r>
      <w:r w:rsidRPr="00ED6B1C">
        <w:rPr>
          <w:spacing w:val="-2"/>
          <w:kern w:val="0"/>
          <w:sz w:val="20"/>
          <w:rtl/>
        </w:rPr>
        <w:t xml:space="preserve"> في ظل عدم توافر "ظروف جديدة" بالمعنى المقصود في القانون. وفي 7 تشرين الثاني/نوفمبر 2011، رفضت محكمة شؤون الهجرة الطعن الذي قدمه أصحاب الشكوى </w:t>
      </w:r>
      <w:r w:rsidRPr="00ED6B1C">
        <w:rPr>
          <w:rFonts w:hint="cs"/>
          <w:spacing w:val="-2"/>
          <w:kern w:val="0"/>
          <w:sz w:val="20"/>
          <w:rtl/>
        </w:rPr>
        <w:t>في</w:t>
      </w:r>
      <w:r w:rsidRPr="00ED6B1C">
        <w:rPr>
          <w:spacing w:val="-2"/>
          <w:kern w:val="0"/>
          <w:sz w:val="20"/>
          <w:rtl/>
        </w:rPr>
        <w:t xml:space="preserve"> قرار مجلس الهجرة، واستندت في ذلك </w:t>
      </w:r>
      <w:r w:rsidRPr="00ED6B1C">
        <w:rPr>
          <w:rFonts w:hint="cs"/>
          <w:spacing w:val="-2"/>
          <w:kern w:val="0"/>
          <w:sz w:val="20"/>
          <w:rtl/>
        </w:rPr>
        <w:t xml:space="preserve">أساساً </w:t>
      </w:r>
      <w:r w:rsidRPr="00ED6B1C">
        <w:rPr>
          <w:spacing w:val="-2"/>
          <w:kern w:val="0"/>
          <w:sz w:val="20"/>
          <w:rtl/>
        </w:rPr>
        <w:t>إلى التعليل ا</w:t>
      </w:r>
      <w:r w:rsidR="00ED6B1C" w:rsidRPr="00ED6B1C">
        <w:rPr>
          <w:spacing w:val="-2"/>
          <w:kern w:val="0"/>
          <w:sz w:val="20"/>
          <w:rtl/>
        </w:rPr>
        <w:t>لمنطقي الذي قدمه المجلس.</w:t>
      </w:r>
    </w:p>
    <w:p w:rsidR="008655A1" w:rsidRPr="008655A1" w:rsidRDefault="008655A1" w:rsidP="004930E5">
      <w:pPr>
        <w:pStyle w:val="SingleTxtGA"/>
        <w:spacing w:line="370" w:lineRule="exact"/>
        <w:jc w:val="lowKashida"/>
        <w:rPr>
          <w:rFonts w:hint="cs"/>
          <w:spacing w:val="0"/>
          <w:kern w:val="0"/>
          <w:sz w:val="20"/>
          <w:rtl/>
        </w:rPr>
      </w:pPr>
      <w:r w:rsidRPr="008655A1">
        <w:rPr>
          <w:spacing w:val="0"/>
          <w:kern w:val="0"/>
          <w:sz w:val="20"/>
          <w:rtl/>
        </w:rPr>
        <w:t>7-3</w:t>
      </w:r>
      <w:r w:rsidRPr="008655A1">
        <w:rPr>
          <w:rFonts w:hint="cs"/>
          <w:spacing w:val="0"/>
          <w:kern w:val="0"/>
          <w:sz w:val="20"/>
          <w:rtl/>
        </w:rPr>
        <w:tab/>
      </w:r>
      <w:r w:rsidRPr="008655A1">
        <w:rPr>
          <w:spacing w:val="0"/>
          <w:kern w:val="0"/>
          <w:sz w:val="20"/>
          <w:rtl/>
        </w:rPr>
        <w:t xml:space="preserve">وفي </w:t>
      </w:r>
      <w:r w:rsidRPr="008655A1">
        <w:rPr>
          <w:rFonts w:hint="cs"/>
          <w:spacing w:val="0"/>
          <w:kern w:val="0"/>
          <w:sz w:val="20"/>
          <w:rtl/>
        </w:rPr>
        <w:t>النهاية</w:t>
      </w:r>
      <w:r w:rsidRPr="008655A1">
        <w:rPr>
          <w:spacing w:val="0"/>
          <w:kern w:val="0"/>
          <w:sz w:val="20"/>
          <w:rtl/>
        </w:rPr>
        <w:t>، تشير الدولة الطرف إلى أن هناك قضية منفصلة معروضة على مجلس الهجرة منذ 14 أيلول</w:t>
      </w:r>
      <w:r w:rsidRPr="008655A1">
        <w:rPr>
          <w:rFonts w:hint="cs"/>
          <w:spacing w:val="0"/>
          <w:kern w:val="0"/>
          <w:sz w:val="20"/>
          <w:rtl/>
        </w:rPr>
        <w:t>/</w:t>
      </w:r>
      <w:r w:rsidRPr="008655A1">
        <w:rPr>
          <w:spacing w:val="0"/>
          <w:kern w:val="0"/>
          <w:sz w:val="20"/>
          <w:rtl/>
        </w:rPr>
        <w:t xml:space="preserve">سبتمبر 2011، بشأن </w:t>
      </w:r>
      <w:r w:rsidRPr="008655A1">
        <w:rPr>
          <w:rFonts w:hint="cs"/>
          <w:spacing w:val="0"/>
          <w:kern w:val="0"/>
          <w:sz w:val="20"/>
          <w:rtl/>
        </w:rPr>
        <w:t>ال</w:t>
      </w:r>
      <w:r w:rsidR="004930E5">
        <w:rPr>
          <w:rFonts w:hint="cs"/>
          <w:spacing w:val="0"/>
          <w:kern w:val="0"/>
          <w:sz w:val="20"/>
          <w:rtl/>
        </w:rPr>
        <w:t>عوائق</w:t>
      </w:r>
      <w:r w:rsidRPr="008655A1">
        <w:rPr>
          <w:spacing w:val="0"/>
          <w:kern w:val="0"/>
          <w:sz w:val="20"/>
          <w:rtl/>
        </w:rPr>
        <w:t xml:space="preserve"> </w:t>
      </w:r>
      <w:r w:rsidRPr="008655A1">
        <w:rPr>
          <w:rFonts w:hint="cs"/>
          <w:spacing w:val="0"/>
          <w:kern w:val="0"/>
          <w:sz w:val="20"/>
          <w:rtl/>
        </w:rPr>
        <w:t xml:space="preserve">التي تحول دون </w:t>
      </w:r>
      <w:r w:rsidRPr="008655A1">
        <w:rPr>
          <w:spacing w:val="0"/>
          <w:kern w:val="0"/>
          <w:sz w:val="20"/>
          <w:rtl/>
        </w:rPr>
        <w:t xml:space="preserve">إنفاذ الأمر الصادر بطرد </w:t>
      </w:r>
      <w:r w:rsidRPr="008655A1">
        <w:rPr>
          <w:rFonts w:hint="cs"/>
          <w:spacing w:val="0"/>
          <w:kern w:val="0"/>
          <w:sz w:val="20"/>
          <w:rtl/>
        </w:rPr>
        <w:t>ي</w:t>
      </w:r>
      <w:r w:rsidRPr="008655A1">
        <w:rPr>
          <w:spacing w:val="0"/>
          <w:kern w:val="0"/>
          <w:sz w:val="20"/>
          <w:rtl/>
        </w:rPr>
        <w:t>.</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w:t>
      </w:r>
    </w:p>
    <w:p w:rsidR="008655A1" w:rsidRPr="008655A1" w:rsidRDefault="008655A1" w:rsidP="008655A1">
      <w:pPr>
        <w:pStyle w:val="H23GA"/>
        <w:jc w:val="lowKashida"/>
        <w:rPr>
          <w:spacing w:val="0"/>
          <w:kern w:val="0"/>
          <w:sz w:val="20"/>
          <w:rtl/>
        </w:rPr>
      </w:pPr>
      <w:r w:rsidRPr="008655A1">
        <w:rPr>
          <w:rFonts w:hint="cs"/>
          <w:spacing w:val="0"/>
          <w:kern w:val="0"/>
          <w:sz w:val="20"/>
          <w:rtl/>
        </w:rPr>
        <w:tab/>
      </w:r>
      <w:r w:rsidRPr="008655A1">
        <w:rPr>
          <w:spacing w:val="0"/>
          <w:kern w:val="0"/>
          <w:sz w:val="20"/>
          <w:rtl/>
        </w:rPr>
        <w:tab/>
        <w:t>المسائل والإجراءات المعروضة على اللجنة</w:t>
      </w:r>
    </w:p>
    <w:p w:rsidR="008655A1" w:rsidRPr="008655A1" w:rsidRDefault="008655A1" w:rsidP="008655A1">
      <w:pPr>
        <w:pStyle w:val="H4GA"/>
        <w:jc w:val="lowKashida"/>
        <w:rPr>
          <w:spacing w:val="0"/>
          <w:kern w:val="0"/>
          <w:sz w:val="20"/>
          <w:rtl/>
        </w:rPr>
      </w:pPr>
      <w:r w:rsidRPr="008655A1">
        <w:rPr>
          <w:rFonts w:hint="cs"/>
          <w:spacing w:val="0"/>
          <w:kern w:val="0"/>
          <w:sz w:val="20"/>
          <w:rtl/>
        </w:rPr>
        <w:tab/>
      </w:r>
      <w:r w:rsidRPr="008655A1">
        <w:rPr>
          <w:spacing w:val="0"/>
          <w:kern w:val="0"/>
          <w:sz w:val="20"/>
          <w:rtl/>
        </w:rPr>
        <w:tab/>
        <w:t>النظر في المقبولية</w:t>
      </w:r>
    </w:p>
    <w:p w:rsidR="008655A1" w:rsidRPr="00ED6B1C" w:rsidRDefault="008655A1" w:rsidP="00B40A8D">
      <w:pPr>
        <w:pStyle w:val="SingleTxtGA"/>
        <w:jc w:val="lowKashida"/>
        <w:rPr>
          <w:spacing w:val="-2"/>
          <w:kern w:val="0"/>
          <w:sz w:val="20"/>
          <w:rtl/>
        </w:rPr>
      </w:pPr>
      <w:r w:rsidRPr="00ED6B1C">
        <w:rPr>
          <w:spacing w:val="-2"/>
          <w:kern w:val="0"/>
          <w:sz w:val="20"/>
          <w:rtl/>
        </w:rPr>
        <w:t>8-1</w:t>
      </w:r>
      <w:r w:rsidRPr="00ED6B1C">
        <w:rPr>
          <w:rFonts w:hint="cs"/>
          <w:spacing w:val="-2"/>
          <w:kern w:val="0"/>
          <w:sz w:val="20"/>
          <w:rtl/>
        </w:rPr>
        <w:tab/>
      </w:r>
      <w:r w:rsidR="00B40A8D" w:rsidRPr="00ED6B1C">
        <w:rPr>
          <w:spacing w:val="-2"/>
          <w:kern w:val="0"/>
          <w:sz w:val="20"/>
          <w:rtl/>
        </w:rPr>
        <w:t xml:space="preserve">قبل النظر في أية ادعاءات ترد في شكوى ما، </w:t>
      </w:r>
      <w:r w:rsidR="00B40A8D" w:rsidRPr="00ED6B1C">
        <w:rPr>
          <w:rFonts w:hint="cs"/>
          <w:spacing w:val="-2"/>
          <w:kern w:val="0"/>
          <w:sz w:val="20"/>
          <w:rtl/>
        </w:rPr>
        <w:t>يتعين</w:t>
      </w:r>
      <w:r w:rsidR="00B40A8D" w:rsidRPr="00ED6B1C">
        <w:rPr>
          <w:spacing w:val="-2"/>
          <w:kern w:val="0"/>
          <w:sz w:val="20"/>
          <w:rtl/>
        </w:rPr>
        <w:t xml:space="preserve"> على لجنة مناهضة التعذيب أن </w:t>
      </w:r>
      <w:r w:rsidR="00B40A8D" w:rsidRPr="00ED6B1C">
        <w:rPr>
          <w:rFonts w:hint="cs"/>
          <w:spacing w:val="-2"/>
          <w:kern w:val="0"/>
          <w:sz w:val="20"/>
          <w:rtl/>
        </w:rPr>
        <w:t>تبت في</w:t>
      </w:r>
      <w:r w:rsidR="00B40A8D" w:rsidRPr="00ED6B1C">
        <w:rPr>
          <w:spacing w:val="-2"/>
          <w:kern w:val="0"/>
          <w:sz w:val="20"/>
          <w:rtl/>
        </w:rPr>
        <w:t>ما إذا كانت الشكوى مقبولة أم لا</w:t>
      </w:r>
      <w:r w:rsidRPr="00ED6B1C">
        <w:rPr>
          <w:spacing w:val="-2"/>
          <w:kern w:val="0"/>
          <w:sz w:val="20"/>
          <w:rtl/>
        </w:rPr>
        <w:t xml:space="preserve"> بموجب المادة 22 من الاتفاقية. وقد </w:t>
      </w:r>
      <w:r w:rsidRPr="00ED6B1C">
        <w:rPr>
          <w:rFonts w:hint="cs"/>
          <w:spacing w:val="-2"/>
          <w:kern w:val="0"/>
          <w:sz w:val="20"/>
          <w:rtl/>
        </w:rPr>
        <w:t>تحققت</w:t>
      </w:r>
      <w:r w:rsidRPr="00ED6B1C">
        <w:rPr>
          <w:spacing w:val="-2"/>
          <w:kern w:val="0"/>
          <w:sz w:val="20"/>
          <w:rtl/>
        </w:rPr>
        <w:t xml:space="preserve"> اللجنة، </w:t>
      </w:r>
      <w:r w:rsidRPr="00ED6B1C">
        <w:rPr>
          <w:rFonts w:hint="cs"/>
          <w:spacing w:val="-2"/>
          <w:kern w:val="0"/>
          <w:sz w:val="20"/>
          <w:rtl/>
        </w:rPr>
        <w:t>حسب</w:t>
      </w:r>
      <w:r w:rsidRPr="00ED6B1C">
        <w:rPr>
          <w:spacing w:val="-2"/>
          <w:kern w:val="0"/>
          <w:sz w:val="20"/>
          <w:rtl/>
        </w:rPr>
        <w:t xml:space="preserve">ما تقتضيه الفقرة 5(أ) من المادة 22 من الاتفاقية، من أن المسألة </w:t>
      </w:r>
      <w:r w:rsidRPr="00ED6B1C">
        <w:rPr>
          <w:rFonts w:hint="cs"/>
          <w:spacing w:val="-2"/>
          <w:kern w:val="0"/>
          <w:sz w:val="20"/>
          <w:rtl/>
        </w:rPr>
        <w:t xml:space="preserve">نفسها </w:t>
      </w:r>
      <w:r w:rsidRPr="00ED6B1C">
        <w:rPr>
          <w:spacing w:val="-2"/>
          <w:kern w:val="0"/>
          <w:sz w:val="20"/>
          <w:rtl/>
        </w:rPr>
        <w:t>لم تبحث ولا</w:t>
      </w:r>
      <w:r w:rsidR="00ED6B1C">
        <w:rPr>
          <w:rFonts w:hint="cs"/>
          <w:spacing w:val="-2"/>
          <w:kern w:val="0"/>
          <w:sz w:val="20"/>
          <w:rtl/>
        </w:rPr>
        <w:t> </w:t>
      </w:r>
      <w:r w:rsidRPr="00ED6B1C">
        <w:rPr>
          <w:spacing w:val="-2"/>
          <w:kern w:val="0"/>
          <w:sz w:val="20"/>
          <w:rtl/>
        </w:rPr>
        <w:t>يجري بحثها في إطار أي إجراء آخر من إجراءات التحقيق الدولي أو التسوية الدولية.</w:t>
      </w:r>
    </w:p>
    <w:p w:rsidR="008655A1" w:rsidRPr="008655A1" w:rsidRDefault="008655A1" w:rsidP="008655A1">
      <w:pPr>
        <w:pStyle w:val="SingleTxtGA"/>
        <w:jc w:val="lowKashida"/>
        <w:rPr>
          <w:rFonts w:hint="cs"/>
          <w:spacing w:val="0"/>
          <w:kern w:val="0"/>
          <w:sz w:val="20"/>
          <w:rtl/>
        </w:rPr>
      </w:pPr>
      <w:r w:rsidRPr="008655A1">
        <w:rPr>
          <w:spacing w:val="0"/>
          <w:kern w:val="0"/>
          <w:sz w:val="20"/>
          <w:rtl/>
        </w:rPr>
        <w:t>8-2</w:t>
      </w:r>
      <w:r w:rsidRPr="008655A1">
        <w:rPr>
          <w:rFonts w:hint="cs"/>
          <w:spacing w:val="0"/>
          <w:kern w:val="0"/>
          <w:sz w:val="20"/>
          <w:rtl/>
        </w:rPr>
        <w:tab/>
      </w:r>
      <w:r w:rsidRPr="008655A1">
        <w:rPr>
          <w:spacing w:val="0"/>
          <w:kern w:val="0"/>
          <w:sz w:val="20"/>
          <w:rtl/>
        </w:rPr>
        <w:t>وتُذَكِّر اللجنة بأنها وفقا</w:t>
      </w:r>
      <w:r w:rsidRPr="008655A1">
        <w:rPr>
          <w:rFonts w:hint="cs"/>
          <w:spacing w:val="0"/>
          <w:kern w:val="0"/>
          <w:sz w:val="20"/>
          <w:rtl/>
        </w:rPr>
        <w:t>ً</w:t>
      </w:r>
      <w:r w:rsidRPr="008655A1">
        <w:rPr>
          <w:spacing w:val="0"/>
          <w:kern w:val="0"/>
          <w:sz w:val="20"/>
          <w:rtl/>
        </w:rPr>
        <w:t xml:space="preserve"> للفقرة 5(أ) من المادة 22 من الاتفاقية، لا تنظر في أية بلاغات يتقدم بها أي فرد ما لم تتحقق من استنفاده لجميع سبل الانتصاف المحلية المتاحة. وتشير اللجنة إلى أن الدولة الطرف في الحالة قيد النظر، أقرت بأن أصحاب الشكوى استنفدوا جميع</w:t>
      </w:r>
      <w:r w:rsidR="0020182D">
        <w:rPr>
          <w:spacing w:val="0"/>
          <w:kern w:val="0"/>
          <w:sz w:val="20"/>
          <w:rtl/>
        </w:rPr>
        <w:t xml:space="preserve"> سبل الانتصاف المحلية المتاحة.</w:t>
      </w:r>
    </w:p>
    <w:p w:rsidR="008655A1" w:rsidRPr="008655A1" w:rsidRDefault="008655A1" w:rsidP="008655A1">
      <w:pPr>
        <w:pStyle w:val="SingleTxtGA"/>
        <w:jc w:val="lowKashida"/>
        <w:rPr>
          <w:spacing w:val="0"/>
          <w:kern w:val="0"/>
          <w:sz w:val="20"/>
          <w:rtl/>
        </w:rPr>
      </w:pPr>
      <w:r w:rsidRPr="008655A1">
        <w:rPr>
          <w:spacing w:val="0"/>
          <w:kern w:val="0"/>
          <w:sz w:val="20"/>
          <w:rtl/>
        </w:rPr>
        <w:t>8-3</w:t>
      </w:r>
      <w:r w:rsidRPr="008655A1">
        <w:rPr>
          <w:rFonts w:hint="cs"/>
          <w:spacing w:val="0"/>
          <w:kern w:val="0"/>
          <w:sz w:val="20"/>
          <w:rtl/>
        </w:rPr>
        <w:tab/>
      </w:r>
      <w:r w:rsidRPr="008655A1">
        <w:rPr>
          <w:spacing w:val="0"/>
          <w:kern w:val="0"/>
          <w:sz w:val="20"/>
          <w:rtl/>
        </w:rPr>
        <w:t xml:space="preserve">وتلاحظ اللجنة أن أصحاب الشكوى قد تذرعوا بانتهاك حقوقهم المكفولة بموجب المادة 16 من الاتفاقية دون أن يقدموا مع ذلك، أي حجج أو </w:t>
      </w:r>
      <w:r w:rsidRPr="008655A1">
        <w:rPr>
          <w:rFonts w:hint="cs"/>
          <w:spacing w:val="0"/>
          <w:kern w:val="0"/>
          <w:sz w:val="20"/>
          <w:rtl/>
        </w:rPr>
        <w:t xml:space="preserve">أدلة </w:t>
      </w:r>
      <w:r w:rsidRPr="008655A1">
        <w:rPr>
          <w:spacing w:val="0"/>
          <w:kern w:val="0"/>
          <w:sz w:val="20"/>
          <w:rtl/>
        </w:rPr>
        <w:t>تدعم هذا الادعاء. وتخلص بناء على ذلك إلى أن هذا الادعاء لم يدعم بالأدلة المطلوبة لأغراض المقبولية. وبالتالي، فإن هذا الجزء من البلاغ غير مقبول.</w:t>
      </w:r>
    </w:p>
    <w:p w:rsidR="008655A1" w:rsidRPr="008655A1" w:rsidRDefault="008655A1" w:rsidP="008655A1">
      <w:pPr>
        <w:pStyle w:val="SingleTxtGA"/>
        <w:jc w:val="lowKashida"/>
        <w:rPr>
          <w:rFonts w:hint="cs"/>
          <w:spacing w:val="0"/>
          <w:kern w:val="0"/>
          <w:sz w:val="20"/>
          <w:rtl/>
        </w:rPr>
      </w:pPr>
      <w:r w:rsidRPr="008655A1">
        <w:rPr>
          <w:spacing w:val="0"/>
          <w:kern w:val="0"/>
          <w:sz w:val="20"/>
          <w:rtl/>
        </w:rPr>
        <w:t>8-4</w:t>
      </w:r>
      <w:r w:rsidRPr="008655A1">
        <w:rPr>
          <w:rFonts w:hint="cs"/>
          <w:spacing w:val="0"/>
          <w:kern w:val="0"/>
          <w:sz w:val="20"/>
          <w:rtl/>
        </w:rPr>
        <w:tab/>
        <w:t>وبناء عليه</w:t>
      </w:r>
      <w:r w:rsidRPr="008655A1">
        <w:rPr>
          <w:spacing w:val="0"/>
          <w:kern w:val="0"/>
          <w:sz w:val="20"/>
          <w:rtl/>
        </w:rPr>
        <w:t>، تخلص اللجنة إلى عدم وجود عوائق أخرى أمام المقبولية وتعتبر البلاغ مقبولا</w:t>
      </w:r>
      <w:r w:rsidRPr="008655A1">
        <w:rPr>
          <w:rFonts w:hint="cs"/>
          <w:spacing w:val="0"/>
          <w:kern w:val="0"/>
          <w:sz w:val="20"/>
          <w:rtl/>
        </w:rPr>
        <w:t>ً</w:t>
      </w:r>
      <w:r w:rsidRPr="008655A1">
        <w:rPr>
          <w:spacing w:val="0"/>
          <w:kern w:val="0"/>
          <w:sz w:val="20"/>
          <w:rtl/>
        </w:rPr>
        <w:t>. وبالنظر إلى أن كلا</w:t>
      </w:r>
      <w:r w:rsidRPr="008655A1">
        <w:rPr>
          <w:rFonts w:hint="cs"/>
          <w:spacing w:val="0"/>
          <w:kern w:val="0"/>
          <w:sz w:val="20"/>
          <w:rtl/>
        </w:rPr>
        <w:t>ً</w:t>
      </w:r>
      <w:r w:rsidRPr="008655A1">
        <w:rPr>
          <w:spacing w:val="0"/>
          <w:kern w:val="0"/>
          <w:sz w:val="20"/>
          <w:rtl/>
        </w:rPr>
        <w:t xml:space="preserve"> من الدولة </w:t>
      </w:r>
      <w:r w:rsidRPr="008655A1">
        <w:rPr>
          <w:rFonts w:hint="cs"/>
          <w:spacing w:val="0"/>
          <w:kern w:val="0"/>
          <w:sz w:val="20"/>
          <w:rtl/>
        </w:rPr>
        <w:t xml:space="preserve">الطرف </w:t>
      </w:r>
      <w:r w:rsidRPr="008655A1">
        <w:rPr>
          <w:spacing w:val="0"/>
          <w:kern w:val="0"/>
          <w:sz w:val="20"/>
          <w:rtl/>
        </w:rPr>
        <w:t xml:space="preserve">وأصحاب الشكوى قدم ملاحظات بشأن الأسس الموضوعية للبلاغ، تشرع اللجنة </w:t>
      </w:r>
      <w:r w:rsidRPr="008655A1">
        <w:rPr>
          <w:rFonts w:hint="cs"/>
          <w:spacing w:val="0"/>
          <w:kern w:val="0"/>
          <w:sz w:val="20"/>
          <w:rtl/>
        </w:rPr>
        <w:t xml:space="preserve">مباشرة </w:t>
      </w:r>
      <w:r w:rsidR="0020182D">
        <w:rPr>
          <w:spacing w:val="0"/>
          <w:kern w:val="0"/>
          <w:sz w:val="20"/>
          <w:rtl/>
        </w:rPr>
        <w:t>في بحث الأسس الموضوعية.</w:t>
      </w:r>
    </w:p>
    <w:p w:rsidR="008655A1" w:rsidRPr="008655A1" w:rsidRDefault="008655A1" w:rsidP="008655A1">
      <w:pPr>
        <w:pStyle w:val="H4GA"/>
        <w:jc w:val="lowKashida"/>
        <w:rPr>
          <w:spacing w:val="0"/>
          <w:kern w:val="0"/>
          <w:sz w:val="20"/>
          <w:rtl/>
        </w:rPr>
      </w:pPr>
      <w:r w:rsidRPr="008655A1">
        <w:rPr>
          <w:rFonts w:hint="cs"/>
          <w:spacing w:val="0"/>
          <w:kern w:val="0"/>
          <w:sz w:val="20"/>
          <w:rtl/>
        </w:rPr>
        <w:tab/>
      </w:r>
      <w:r w:rsidRPr="008655A1">
        <w:rPr>
          <w:spacing w:val="0"/>
          <w:kern w:val="0"/>
          <w:sz w:val="20"/>
          <w:rtl/>
        </w:rPr>
        <w:tab/>
        <w:t>النظر في الأسس الموضوعية</w:t>
      </w:r>
    </w:p>
    <w:p w:rsidR="008655A1" w:rsidRPr="008655A1" w:rsidRDefault="008655A1" w:rsidP="008655A1">
      <w:pPr>
        <w:pStyle w:val="SingleTxtGA"/>
        <w:jc w:val="lowKashida"/>
        <w:rPr>
          <w:spacing w:val="0"/>
          <w:kern w:val="0"/>
          <w:sz w:val="20"/>
          <w:rtl/>
        </w:rPr>
      </w:pPr>
      <w:r w:rsidRPr="008655A1">
        <w:rPr>
          <w:spacing w:val="0"/>
          <w:kern w:val="0"/>
          <w:sz w:val="20"/>
          <w:rtl/>
        </w:rPr>
        <w:t>9-1</w:t>
      </w:r>
      <w:r w:rsidRPr="008655A1">
        <w:rPr>
          <w:rFonts w:hint="cs"/>
          <w:spacing w:val="0"/>
          <w:kern w:val="0"/>
          <w:sz w:val="20"/>
          <w:rtl/>
        </w:rPr>
        <w:tab/>
      </w:r>
      <w:r w:rsidRPr="008655A1">
        <w:rPr>
          <w:spacing w:val="0"/>
          <w:kern w:val="0"/>
          <w:sz w:val="20"/>
          <w:rtl/>
        </w:rPr>
        <w:t>وفقا</w:t>
      </w:r>
      <w:r w:rsidRPr="008655A1">
        <w:rPr>
          <w:rFonts w:hint="cs"/>
          <w:spacing w:val="0"/>
          <w:kern w:val="0"/>
          <w:sz w:val="20"/>
          <w:rtl/>
        </w:rPr>
        <w:t>ً</w:t>
      </w:r>
      <w:r w:rsidRPr="008655A1">
        <w:rPr>
          <w:spacing w:val="0"/>
          <w:kern w:val="0"/>
          <w:sz w:val="20"/>
          <w:rtl/>
        </w:rPr>
        <w:t xml:space="preserve"> للفقرة 4 من المادة 22 من الاتفاقية</w:t>
      </w:r>
      <w:r w:rsidRPr="008655A1">
        <w:rPr>
          <w:rFonts w:hint="cs"/>
          <w:spacing w:val="0"/>
          <w:kern w:val="0"/>
          <w:sz w:val="20"/>
          <w:rtl/>
        </w:rPr>
        <w:t>،</w:t>
      </w:r>
      <w:r w:rsidRPr="008655A1">
        <w:rPr>
          <w:spacing w:val="0"/>
          <w:kern w:val="0"/>
          <w:sz w:val="20"/>
          <w:rtl/>
        </w:rPr>
        <w:t xml:space="preserve"> نظرت اللجنة في هذا البلاغ في ضوء جميع المعلومات </w:t>
      </w:r>
      <w:r w:rsidRPr="008655A1">
        <w:rPr>
          <w:rFonts w:hint="cs"/>
          <w:spacing w:val="0"/>
          <w:kern w:val="0"/>
          <w:sz w:val="20"/>
          <w:rtl/>
        </w:rPr>
        <w:t xml:space="preserve">التي أتاحتها </w:t>
      </w:r>
      <w:r w:rsidRPr="008655A1">
        <w:rPr>
          <w:spacing w:val="0"/>
          <w:kern w:val="0"/>
          <w:sz w:val="20"/>
          <w:rtl/>
        </w:rPr>
        <w:t>لها الأطراف المعنية.</w:t>
      </w:r>
    </w:p>
    <w:p w:rsidR="008655A1" w:rsidRPr="008655A1" w:rsidRDefault="008655A1" w:rsidP="00ED6B1C">
      <w:pPr>
        <w:pStyle w:val="SingleTxtGA"/>
        <w:jc w:val="lowKashida"/>
        <w:rPr>
          <w:spacing w:val="0"/>
          <w:kern w:val="0"/>
          <w:sz w:val="20"/>
          <w:rtl/>
        </w:rPr>
      </w:pPr>
      <w:r w:rsidRPr="008655A1">
        <w:rPr>
          <w:spacing w:val="0"/>
          <w:kern w:val="0"/>
          <w:sz w:val="20"/>
          <w:rtl/>
        </w:rPr>
        <w:t>9-2</w:t>
      </w:r>
      <w:r w:rsidRPr="008655A1">
        <w:rPr>
          <w:rFonts w:hint="cs"/>
          <w:spacing w:val="0"/>
          <w:kern w:val="0"/>
          <w:sz w:val="20"/>
          <w:rtl/>
        </w:rPr>
        <w:tab/>
      </w:r>
      <w:r w:rsidRPr="008655A1">
        <w:rPr>
          <w:spacing w:val="0"/>
          <w:kern w:val="0"/>
          <w:sz w:val="20"/>
          <w:rtl/>
        </w:rPr>
        <w:t>وتتمثل المسألة المعروضة على اللجنة فيما إذا كان طرد أصحاب الشكوى إلى مصر يمثل انتهاكا</w:t>
      </w:r>
      <w:r w:rsidRPr="008655A1">
        <w:rPr>
          <w:rFonts w:hint="cs"/>
          <w:spacing w:val="0"/>
          <w:kern w:val="0"/>
          <w:sz w:val="20"/>
          <w:rtl/>
        </w:rPr>
        <w:t>ً</w:t>
      </w:r>
      <w:r w:rsidRPr="008655A1">
        <w:rPr>
          <w:spacing w:val="0"/>
          <w:kern w:val="0"/>
          <w:sz w:val="20"/>
          <w:rtl/>
        </w:rPr>
        <w:t xml:space="preserve"> لالتزام الدولة الطرف بموجب المادة 3 من الاتفاقية بعدم </w:t>
      </w:r>
      <w:r w:rsidRPr="008655A1">
        <w:rPr>
          <w:rFonts w:hint="cs"/>
          <w:spacing w:val="0"/>
          <w:kern w:val="0"/>
          <w:sz w:val="20"/>
          <w:rtl/>
        </w:rPr>
        <w:t xml:space="preserve">طرد أي </w:t>
      </w:r>
      <w:r w:rsidRPr="008655A1">
        <w:rPr>
          <w:spacing w:val="0"/>
          <w:kern w:val="0"/>
          <w:sz w:val="20"/>
          <w:rtl/>
        </w:rPr>
        <w:t>شخص أو</w:t>
      </w:r>
      <w:r w:rsidR="00ED6B1C">
        <w:rPr>
          <w:rFonts w:hint="cs"/>
          <w:spacing w:val="0"/>
          <w:kern w:val="0"/>
          <w:sz w:val="20"/>
          <w:rtl/>
        </w:rPr>
        <w:t> </w:t>
      </w:r>
      <w:r w:rsidRPr="008655A1">
        <w:rPr>
          <w:spacing w:val="0"/>
          <w:kern w:val="0"/>
          <w:sz w:val="20"/>
          <w:rtl/>
        </w:rPr>
        <w:t>إعاد</w:t>
      </w:r>
      <w:r w:rsidRPr="008655A1">
        <w:rPr>
          <w:rFonts w:hint="cs"/>
          <w:spacing w:val="0"/>
          <w:kern w:val="0"/>
          <w:sz w:val="20"/>
          <w:rtl/>
        </w:rPr>
        <w:t>ته (رده)</w:t>
      </w:r>
      <w:r w:rsidRPr="008655A1">
        <w:rPr>
          <w:spacing w:val="0"/>
          <w:kern w:val="0"/>
          <w:sz w:val="20"/>
          <w:rtl/>
        </w:rPr>
        <w:t xml:space="preserve"> إلى دولة أخرى </w:t>
      </w:r>
      <w:r w:rsidRPr="008655A1">
        <w:rPr>
          <w:rFonts w:hint="cs"/>
          <w:spacing w:val="0"/>
          <w:kern w:val="0"/>
          <w:sz w:val="20"/>
          <w:rtl/>
        </w:rPr>
        <w:t xml:space="preserve">إذا توافرت لديها </w:t>
      </w:r>
      <w:r w:rsidRPr="008655A1">
        <w:rPr>
          <w:spacing w:val="0"/>
          <w:kern w:val="0"/>
          <w:sz w:val="20"/>
          <w:rtl/>
        </w:rPr>
        <w:t xml:space="preserve">أسباب </w:t>
      </w:r>
      <w:r w:rsidRPr="008655A1">
        <w:rPr>
          <w:rFonts w:hint="cs"/>
          <w:spacing w:val="0"/>
          <w:kern w:val="0"/>
          <w:sz w:val="20"/>
          <w:rtl/>
        </w:rPr>
        <w:t>حقيقية ت</w:t>
      </w:r>
      <w:r w:rsidRPr="008655A1">
        <w:rPr>
          <w:spacing w:val="0"/>
          <w:kern w:val="0"/>
          <w:sz w:val="20"/>
          <w:rtl/>
        </w:rPr>
        <w:t xml:space="preserve">دعو إلى الاعتقاد بأنه سيتعرض لخطر التعذيب. </w:t>
      </w:r>
    </w:p>
    <w:p w:rsidR="008655A1" w:rsidRPr="008655A1" w:rsidRDefault="008655A1" w:rsidP="008655A1">
      <w:pPr>
        <w:pStyle w:val="SingleTxtGA"/>
        <w:jc w:val="lowKashida"/>
        <w:rPr>
          <w:spacing w:val="0"/>
          <w:kern w:val="0"/>
          <w:sz w:val="20"/>
          <w:rtl/>
        </w:rPr>
      </w:pPr>
      <w:r w:rsidRPr="008655A1">
        <w:rPr>
          <w:spacing w:val="0"/>
          <w:kern w:val="0"/>
          <w:sz w:val="20"/>
          <w:rtl/>
        </w:rPr>
        <w:t>9-3</w:t>
      </w:r>
      <w:r w:rsidRPr="008655A1">
        <w:rPr>
          <w:rFonts w:hint="cs"/>
          <w:spacing w:val="0"/>
          <w:kern w:val="0"/>
          <w:sz w:val="20"/>
          <w:rtl/>
        </w:rPr>
        <w:tab/>
      </w:r>
      <w:r w:rsidRPr="008655A1">
        <w:rPr>
          <w:spacing w:val="0"/>
          <w:kern w:val="0"/>
          <w:sz w:val="20"/>
          <w:rtl/>
        </w:rPr>
        <w:t>وتلاحظ اللجنة ما ذكره أصحاب الشكوى عن ضرورة معاملتهم كأسرة، بمعنى أنه إذا كانت هناك أسباب كافية لمنح صاحب الشكوى الأول اللجوء، فينبغي أن يحصل عليه أفراد أسرته أيضا</w:t>
      </w:r>
      <w:r w:rsidRPr="008655A1">
        <w:rPr>
          <w:rFonts w:hint="cs"/>
          <w:spacing w:val="0"/>
          <w:kern w:val="0"/>
          <w:sz w:val="20"/>
          <w:rtl/>
        </w:rPr>
        <w:t>ً</w:t>
      </w:r>
      <w:r w:rsidRPr="008655A1">
        <w:rPr>
          <w:spacing w:val="0"/>
          <w:kern w:val="0"/>
          <w:sz w:val="20"/>
          <w:rtl/>
        </w:rPr>
        <w:t>، وتقرر أن تنظر أولا</w:t>
      </w:r>
      <w:r w:rsidRPr="008655A1">
        <w:rPr>
          <w:rFonts w:hint="cs"/>
          <w:spacing w:val="0"/>
          <w:kern w:val="0"/>
          <w:sz w:val="20"/>
          <w:rtl/>
        </w:rPr>
        <w:t>ً</w:t>
      </w:r>
      <w:r w:rsidRPr="008655A1">
        <w:rPr>
          <w:spacing w:val="0"/>
          <w:kern w:val="0"/>
          <w:sz w:val="20"/>
          <w:rtl/>
        </w:rPr>
        <w:t>، في الادعاء بأنه يواجه شخصيا</w:t>
      </w:r>
      <w:r w:rsidRPr="008655A1">
        <w:rPr>
          <w:rFonts w:hint="cs"/>
          <w:spacing w:val="0"/>
          <w:kern w:val="0"/>
          <w:sz w:val="20"/>
          <w:rtl/>
        </w:rPr>
        <w:t>ً</w:t>
      </w:r>
      <w:r w:rsidRPr="008655A1">
        <w:rPr>
          <w:spacing w:val="0"/>
          <w:kern w:val="0"/>
          <w:sz w:val="20"/>
          <w:rtl/>
        </w:rPr>
        <w:t xml:space="preserve"> خطر التعرض للتعذيب إذا أعيد قسرا</w:t>
      </w:r>
      <w:r w:rsidRPr="008655A1">
        <w:rPr>
          <w:rFonts w:hint="cs"/>
          <w:spacing w:val="0"/>
          <w:kern w:val="0"/>
          <w:sz w:val="20"/>
          <w:rtl/>
        </w:rPr>
        <w:t>ً</w:t>
      </w:r>
      <w:r w:rsidRPr="008655A1">
        <w:rPr>
          <w:spacing w:val="0"/>
          <w:kern w:val="0"/>
          <w:sz w:val="20"/>
          <w:rtl/>
        </w:rPr>
        <w:t xml:space="preserve"> إلى مصر بسبب نشاطه السياسي في الماضي وعلاقة القربى التي تربطه بقاتل الرئيس السادات. و</w:t>
      </w:r>
      <w:r w:rsidRPr="008655A1">
        <w:rPr>
          <w:rFonts w:hint="cs"/>
          <w:spacing w:val="0"/>
          <w:kern w:val="0"/>
          <w:sz w:val="20"/>
          <w:rtl/>
        </w:rPr>
        <w:t xml:space="preserve">تحقيقاً </w:t>
      </w:r>
      <w:r w:rsidRPr="008655A1">
        <w:rPr>
          <w:spacing w:val="0"/>
          <w:kern w:val="0"/>
          <w:sz w:val="20"/>
          <w:rtl/>
        </w:rPr>
        <w:t xml:space="preserve">لهذه الغاية، يتعين على اللجنة </w:t>
      </w:r>
      <w:r w:rsidRPr="008655A1">
        <w:rPr>
          <w:rFonts w:hint="cs"/>
          <w:spacing w:val="0"/>
          <w:kern w:val="0"/>
          <w:sz w:val="20"/>
          <w:rtl/>
        </w:rPr>
        <w:t>أن تقدر ما إذا كانت هناك</w:t>
      </w:r>
      <w:r w:rsidRPr="008655A1">
        <w:rPr>
          <w:spacing w:val="0"/>
          <w:kern w:val="0"/>
          <w:sz w:val="20"/>
          <w:rtl/>
        </w:rPr>
        <w:t xml:space="preserve"> أسباب </w:t>
      </w:r>
      <w:r w:rsidRPr="008655A1">
        <w:rPr>
          <w:rFonts w:hint="cs"/>
          <w:spacing w:val="0"/>
          <w:kern w:val="0"/>
          <w:sz w:val="20"/>
          <w:rtl/>
        </w:rPr>
        <w:t xml:space="preserve">حقيقية </w:t>
      </w:r>
      <w:r w:rsidRPr="008655A1">
        <w:rPr>
          <w:spacing w:val="0"/>
          <w:kern w:val="0"/>
          <w:sz w:val="20"/>
          <w:rtl/>
        </w:rPr>
        <w:t xml:space="preserve">تدعو </w:t>
      </w:r>
      <w:r w:rsidRPr="008655A1">
        <w:rPr>
          <w:rFonts w:hint="cs"/>
          <w:spacing w:val="0"/>
          <w:kern w:val="0"/>
          <w:sz w:val="20"/>
          <w:rtl/>
        </w:rPr>
        <w:t>إلى ا</w:t>
      </w:r>
      <w:r w:rsidRPr="008655A1">
        <w:rPr>
          <w:spacing w:val="0"/>
          <w:kern w:val="0"/>
          <w:sz w:val="20"/>
          <w:rtl/>
        </w:rPr>
        <w:t>لاعتقاد بأنه سيكون شخصياً معرضا</w:t>
      </w:r>
      <w:r w:rsidRPr="008655A1">
        <w:rPr>
          <w:rFonts w:hint="cs"/>
          <w:spacing w:val="0"/>
          <w:kern w:val="0"/>
          <w:sz w:val="20"/>
          <w:rtl/>
        </w:rPr>
        <w:t>ً</w:t>
      </w:r>
      <w:r w:rsidRPr="008655A1">
        <w:rPr>
          <w:spacing w:val="0"/>
          <w:kern w:val="0"/>
          <w:sz w:val="20"/>
          <w:rtl/>
        </w:rPr>
        <w:t xml:space="preserve"> لخطر التعذيب لدى عودته إلى بلده الأصلي. وفي معرض تقييم هذا الخطر، يجب </w:t>
      </w:r>
      <w:r w:rsidRPr="008655A1">
        <w:rPr>
          <w:rFonts w:hint="cs"/>
          <w:spacing w:val="0"/>
          <w:kern w:val="0"/>
          <w:sz w:val="20"/>
          <w:rtl/>
        </w:rPr>
        <w:t>أن تراعي</w:t>
      </w:r>
      <w:r w:rsidRPr="008655A1">
        <w:rPr>
          <w:spacing w:val="0"/>
          <w:kern w:val="0"/>
          <w:sz w:val="20"/>
          <w:rtl/>
        </w:rPr>
        <w:t xml:space="preserve"> اللجنة جميع الاعتبارات ذات الصلة، عملاً بالفقرة 2 من المادة 3 من الاتفاقية، بما في ذلك وجود نمط ثابت من الانتهاكات </w:t>
      </w:r>
      <w:r w:rsidRPr="008655A1">
        <w:rPr>
          <w:rFonts w:hint="cs"/>
          <w:spacing w:val="0"/>
          <w:kern w:val="0"/>
          <w:sz w:val="20"/>
          <w:rtl/>
        </w:rPr>
        <w:t>الفادحة</w:t>
      </w:r>
      <w:r w:rsidRPr="008655A1">
        <w:rPr>
          <w:spacing w:val="0"/>
          <w:kern w:val="0"/>
          <w:sz w:val="20"/>
          <w:rtl/>
        </w:rPr>
        <w:t xml:space="preserve"> أو الصارخة أو الجماعية لحقوق الإنسان. بيد أن اللجنة تُذكّر بأن الهدف من هذا التحديد هو إثبات ما إذا كان الفرد المعني سيواجه شخصياً خطر</w:t>
      </w:r>
      <w:r w:rsidRPr="008655A1">
        <w:rPr>
          <w:rFonts w:hint="cs"/>
          <w:spacing w:val="0"/>
          <w:kern w:val="0"/>
          <w:sz w:val="20"/>
          <w:rtl/>
        </w:rPr>
        <w:t>اً متوقعاً وحقيقياً</w:t>
      </w:r>
      <w:r w:rsidRPr="008655A1">
        <w:rPr>
          <w:spacing w:val="0"/>
          <w:kern w:val="0"/>
          <w:sz w:val="20"/>
          <w:rtl/>
        </w:rPr>
        <w:t xml:space="preserve"> </w:t>
      </w:r>
      <w:r w:rsidRPr="008655A1">
        <w:rPr>
          <w:rFonts w:hint="cs"/>
          <w:spacing w:val="0"/>
          <w:kern w:val="0"/>
          <w:sz w:val="20"/>
          <w:rtl/>
        </w:rPr>
        <w:t>ب</w:t>
      </w:r>
      <w:r w:rsidRPr="008655A1">
        <w:rPr>
          <w:spacing w:val="0"/>
          <w:kern w:val="0"/>
          <w:sz w:val="20"/>
          <w:rtl/>
        </w:rPr>
        <w:t>التعرض للتعذيب في البلد الذي سيع</w:t>
      </w:r>
      <w:r w:rsidRPr="008655A1">
        <w:rPr>
          <w:rFonts w:hint="cs"/>
          <w:spacing w:val="0"/>
          <w:kern w:val="0"/>
          <w:sz w:val="20"/>
          <w:rtl/>
        </w:rPr>
        <w:t>ا</w:t>
      </w:r>
      <w:r w:rsidRPr="008655A1">
        <w:rPr>
          <w:spacing w:val="0"/>
          <w:kern w:val="0"/>
          <w:sz w:val="20"/>
          <w:rtl/>
        </w:rPr>
        <w:t xml:space="preserve">د إليه. </w:t>
      </w:r>
      <w:r w:rsidRPr="008655A1">
        <w:rPr>
          <w:rFonts w:hint="cs"/>
          <w:spacing w:val="0"/>
          <w:kern w:val="0"/>
          <w:sz w:val="20"/>
          <w:rtl/>
        </w:rPr>
        <w:t xml:space="preserve">ويستتبع ذلك أن </w:t>
      </w:r>
      <w:r w:rsidRPr="008655A1">
        <w:rPr>
          <w:spacing w:val="0"/>
          <w:kern w:val="0"/>
          <w:sz w:val="20"/>
          <w:rtl/>
        </w:rPr>
        <w:t xml:space="preserve">وجود نمط ثابت من الانتهاكات الفادحة أو الصارخة أو الجماعية لحقوق الإنسان في بلد ما لا يشكل في حد ذاته سبباً كافياً لاستنتاج أن شخصاً بعينه </w:t>
      </w:r>
      <w:r w:rsidRPr="008655A1">
        <w:rPr>
          <w:rFonts w:hint="cs"/>
          <w:spacing w:val="0"/>
          <w:kern w:val="0"/>
          <w:sz w:val="20"/>
          <w:rtl/>
        </w:rPr>
        <w:t>سيتعرض ل</w:t>
      </w:r>
      <w:r w:rsidRPr="008655A1">
        <w:rPr>
          <w:spacing w:val="0"/>
          <w:kern w:val="0"/>
          <w:sz w:val="20"/>
          <w:rtl/>
        </w:rPr>
        <w:t xml:space="preserve">خطر </w:t>
      </w:r>
      <w:r w:rsidRPr="008655A1">
        <w:rPr>
          <w:rFonts w:hint="cs"/>
          <w:spacing w:val="0"/>
          <w:kern w:val="0"/>
          <w:sz w:val="20"/>
          <w:rtl/>
        </w:rPr>
        <w:t>ا</w:t>
      </w:r>
      <w:r w:rsidRPr="008655A1">
        <w:rPr>
          <w:spacing w:val="0"/>
          <w:kern w:val="0"/>
          <w:sz w:val="20"/>
          <w:rtl/>
        </w:rPr>
        <w:t xml:space="preserve">لتعذيب عند عودته إلى </w:t>
      </w:r>
      <w:r w:rsidRPr="008655A1">
        <w:rPr>
          <w:rFonts w:hint="cs"/>
          <w:spacing w:val="0"/>
          <w:kern w:val="0"/>
          <w:sz w:val="20"/>
          <w:rtl/>
        </w:rPr>
        <w:t xml:space="preserve">هذا </w:t>
      </w:r>
      <w:r w:rsidRPr="008655A1">
        <w:rPr>
          <w:spacing w:val="0"/>
          <w:kern w:val="0"/>
          <w:sz w:val="20"/>
          <w:rtl/>
        </w:rPr>
        <w:t xml:space="preserve">البلد؛ </w:t>
      </w:r>
      <w:r w:rsidRPr="008655A1">
        <w:rPr>
          <w:rFonts w:hint="cs"/>
          <w:spacing w:val="0"/>
          <w:kern w:val="0"/>
          <w:sz w:val="20"/>
          <w:rtl/>
        </w:rPr>
        <w:t xml:space="preserve">ويجب أن تكون هناك </w:t>
      </w:r>
      <w:r w:rsidRPr="008655A1">
        <w:rPr>
          <w:spacing w:val="0"/>
          <w:kern w:val="0"/>
          <w:sz w:val="20"/>
          <w:rtl/>
        </w:rPr>
        <w:t xml:space="preserve">أسباب </w:t>
      </w:r>
      <w:r w:rsidRPr="008655A1">
        <w:rPr>
          <w:rFonts w:hint="cs"/>
          <w:spacing w:val="0"/>
          <w:kern w:val="0"/>
          <w:sz w:val="20"/>
          <w:rtl/>
        </w:rPr>
        <w:t xml:space="preserve">إضافية </w:t>
      </w:r>
      <w:r w:rsidRPr="008655A1">
        <w:rPr>
          <w:spacing w:val="0"/>
          <w:kern w:val="0"/>
          <w:sz w:val="20"/>
          <w:rtl/>
        </w:rPr>
        <w:t xml:space="preserve">تبين أن الفرد المعني </w:t>
      </w:r>
      <w:r w:rsidRPr="008655A1">
        <w:rPr>
          <w:rFonts w:hint="cs"/>
          <w:spacing w:val="0"/>
          <w:kern w:val="0"/>
          <w:sz w:val="20"/>
          <w:rtl/>
        </w:rPr>
        <w:t xml:space="preserve">سيواجه شخصياً </w:t>
      </w:r>
      <w:r w:rsidRPr="008655A1">
        <w:rPr>
          <w:spacing w:val="0"/>
          <w:kern w:val="0"/>
          <w:sz w:val="20"/>
          <w:rtl/>
        </w:rPr>
        <w:t xml:space="preserve">هذا الخطر. </w:t>
      </w:r>
      <w:r w:rsidRPr="008655A1">
        <w:rPr>
          <w:rFonts w:hint="cs"/>
          <w:spacing w:val="0"/>
          <w:kern w:val="0"/>
          <w:sz w:val="20"/>
          <w:rtl/>
        </w:rPr>
        <w:t>وفي المقابل</w:t>
      </w:r>
      <w:r w:rsidRPr="008655A1">
        <w:rPr>
          <w:spacing w:val="0"/>
          <w:kern w:val="0"/>
          <w:sz w:val="20"/>
          <w:rtl/>
        </w:rPr>
        <w:t xml:space="preserve">، </w:t>
      </w:r>
      <w:r w:rsidRPr="008655A1">
        <w:rPr>
          <w:rFonts w:hint="cs"/>
          <w:spacing w:val="0"/>
          <w:kern w:val="0"/>
          <w:sz w:val="20"/>
          <w:rtl/>
        </w:rPr>
        <w:t xml:space="preserve">فإن </w:t>
      </w:r>
      <w:r w:rsidRPr="008655A1">
        <w:rPr>
          <w:spacing w:val="0"/>
          <w:kern w:val="0"/>
          <w:sz w:val="20"/>
          <w:rtl/>
        </w:rPr>
        <w:t xml:space="preserve">عدم وجود نمط ثابت من الانتهاكات الفادحة لحقوق الإنسان لا يعني أن الشخص </w:t>
      </w:r>
      <w:r w:rsidRPr="008655A1">
        <w:rPr>
          <w:rFonts w:hint="cs"/>
          <w:spacing w:val="0"/>
          <w:kern w:val="0"/>
          <w:sz w:val="20"/>
          <w:rtl/>
        </w:rPr>
        <w:t xml:space="preserve">لن يتعرض </w:t>
      </w:r>
      <w:r w:rsidRPr="008655A1">
        <w:rPr>
          <w:spacing w:val="0"/>
          <w:kern w:val="0"/>
          <w:sz w:val="20"/>
          <w:rtl/>
        </w:rPr>
        <w:t xml:space="preserve">للتعذيب في ظل الظروف المحددة الخاصة به. </w:t>
      </w:r>
    </w:p>
    <w:p w:rsidR="008655A1" w:rsidRPr="008655A1" w:rsidRDefault="008655A1" w:rsidP="00ED6B1C">
      <w:pPr>
        <w:pStyle w:val="SingleTxtGA"/>
        <w:jc w:val="lowKashida"/>
        <w:rPr>
          <w:spacing w:val="0"/>
          <w:kern w:val="0"/>
          <w:sz w:val="20"/>
          <w:rtl/>
        </w:rPr>
      </w:pPr>
      <w:r w:rsidRPr="008655A1">
        <w:rPr>
          <w:spacing w:val="0"/>
          <w:kern w:val="0"/>
          <w:sz w:val="20"/>
          <w:rtl/>
        </w:rPr>
        <w:t>9-4</w:t>
      </w:r>
      <w:r w:rsidRPr="008655A1">
        <w:rPr>
          <w:rFonts w:hint="cs"/>
          <w:spacing w:val="0"/>
          <w:kern w:val="0"/>
          <w:sz w:val="20"/>
          <w:rtl/>
        </w:rPr>
        <w:tab/>
      </w:r>
      <w:r w:rsidRPr="008655A1">
        <w:rPr>
          <w:spacing w:val="0"/>
          <w:kern w:val="0"/>
          <w:sz w:val="20"/>
          <w:rtl/>
        </w:rPr>
        <w:t>وتشير اللجنة إلى تعليقها العام رقم 1(1996) المتعلق بالمادة 3، الذي يقضي بأن يُقيَّم خطر التعرض للتعذيب استنادا</w:t>
      </w:r>
      <w:r w:rsidRPr="008655A1">
        <w:rPr>
          <w:rFonts w:hint="cs"/>
          <w:spacing w:val="0"/>
          <w:kern w:val="0"/>
          <w:sz w:val="20"/>
          <w:rtl/>
        </w:rPr>
        <w:t>ً</w:t>
      </w:r>
      <w:r w:rsidRPr="008655A1">
        <w:rPr>
          <w:spacing w:val="0"/>
          <w:kern w:val="0"/>
          <w:sz w:val="20"/>
          <w:rtl/>
        </w:rPr>
        <w:t xml:space="preserve"> إلى أسس تتجاوز مجرد الافتراض أو الشك. </w:t>
      </w:r>
      <w:r w:rsidRPr="008655A1">
        <w:rPr>
          <w:rFonts w:hint="cs"/>
          <w:spacing w:val="0"/>
          <w:kern w:val="0"/>
          <w:sz w:val="20"/>
          <w:rtl/>
        </w:rPr>
        <w:t>وبينما</w:t>
      </w:r>
      <w:r w:rsidRPr="008655A1">
        <w:rPr>
          <w:spacing w:val="0"/>
          <w:kern w:val="0"/>
          <w:sz w:val="20"/>
          <w:rtl/>
        </w:rPr>
        <w:t xml:space="preserve"> لا</w:t>
      </w:r>
      <w:r w:rsidR="00ED6B1C">
        <w:rPr>
          <w:rFonts w:hint="cs"/>
          <w:spacing w:val="0"/>
          <w:kern w:val="0"/>
          <w:sz w:val="20"/>
          <w:rtl/>
        </w:rPr>
        <w:t> </w:t>
      </w:r>
      <w:r w:rsidRPr="008655A1">
        <w:rPr>
          <w:spacing w:val="0"/>
          <w:kern w:val="0"/>
          <w:sz w:val="20"/>
          <w:rtl/>
        </w:rPr>
        <w:t>يتحتم</w:t>
      </w:r>
      <w:r w:rsidR="00ED6B1C">
        <w:rPr>
          <w:rFonts w:hint="cs"/>
          <w:spacing w:val="0"/>
          <w:kern w:val="0"/>
          <w:sz w:val="20"/>
          <w:rtl/>
        </w:rPr>
        <w:t xml:space="preserve"> </w:t>
      </w:r>
      <w:r w:rsidRPr="008655A1">
        <w:rPr>
          <w:spacing w:val="0"/>
          <w:kern w:val="0"/>
          <w:sz w:val="20"/>
          <w:rtl/>
        </w:rPr>
        <w:t xml:space="preserve">أن </w:t>
      </w:r>
      <w:r w:rsidRPr="008655A1">
        <w:rPr>
          <w:rFonts w:hint="cs"/>
          <w:spacing w:val="0"/>
          <w:kern w:val="0"/>
          <w:sz w:val="20"/>
          <w:rtl/>
        </w:rPr>
        <w:t>ي</w:t>
      </w:r>
      <w:r w:rsidRPr="008655A1">
        <w:rPr>
          <w:spacing w:val="0"/>
          <w:kern w:val="0"/>
          <w:sz w:val="20"/>
          <w:rtl/>
        </w:rPr>
        <w:t xml:space="preserve">كون هذا الخطر </w:t>
      </w:r>
      <w:r w:rsidRPr="008655A1">
        <w:rPr>
          <w:rFonts w:hint="cs"/>
          <w:spacing w:val="0"/>
          <w:kern w:val="0"/>
          <w:sz w:val="20"/>
          <w:rtl/>
        </w:rPr>
        <w:t>موافقاً لاختبار مدى احتمال وقوعه</w:t>
      </w:r>
      <w:r w:rsidRPr="008655A1">
        <w:rPr>
          <w:spacing w:val="0"/>
          <w:kern w:val="0"/>
          <w:sz w:val="20"/>
          <w:vertAlign w:val="superscript"/>
          <w:rtl/>
        </w:rPr>
        <w:t>(</w:t>
      </w:r>
      <w:r w:rsidRPr="008655A1">
        <w:rPr>
          <w:rStyle w:val="FootnoteReference"/>
          <w:spacing w:val="0"/>
          <w:sz w:val="20"/>
          <w:rtl/>
        </w:rPr>
        <w:footnoteReference w:id="297"/>
      </w:r>
      <w:r w:rsidRPr="008655A1">
        <w:rPr>
          <w:spacing w:val="0"/>
          <w:kern w:val="0"/>
          <w:sz w:val="20"/>
          <w:vertAlign w:val="superscript"/>
          <w:rtl/>
        </w:rPr>
        <w:t>)</w:t>
      </w:r>
      <w:r w:rsidRPr="008655A1">
        <w:rPr>
          <w:rFonts w:hint="cs"/>
          <w:spacing w:val="0"/>
          <w:kern w:val="0"/>
          <w:sz w:val="20"/>
          <w:rtl/>
        </w:rPr>
        <w:t>،</w:t>
      </w:r>
      <w:r w:rsidRPr="008655A1">
        <w:rPr>
          <w:spacing w:val="0"/>
          <w:kern w:val="0"/>
          <w:sz w:val="20"/>
          <w:rtl/>
        </w:rPr>
        <w:t xml:space="preserve"> تذكِّر اللجنة بأن عبء الإثبات يقع عموما، على صاحب الشكوى الذي يتعين عليه تقديم حجج يمكن الدفاع عنها تثبت أنه يواجه خطراً "متوقعاً وحقيقياً وشخصياً"</w:t>
      </w:r>
      <w:r w:rsidRPr="008655A1">
        <w:rPr>
          <w:spacing w:val="0"/>
          <w:kern w:val="0"/>
          <w:sz w:val="20"/>
          <w:vertAlign w:val="superscript"/>
          <w:rtl/>
        </w:rPr>
        <w:t>(</w:t>
      </w:r>
      <w:r w:rsidRPr="008655A1">
        <w:rPr>
          <w:rStyle w:val="FootnoteReference"/>
          <w:spacing w:val="0"/>
          <w:sz w:val="20"/>
          <w:rtl/>
        </w:rPr>
        <w:footnoteReference w:id="298"/>
      </w:r>
      <w:r w:rsidRPr="008655A1">
        <w:rPr>
          <w:spacing w:val="0"/>
          <w:kern w:val="0"/>
          <w:sz w:val="20"/>
          <w:vertAlign w:val="superscript"/>
          <w:rtl/>
        </w:rPr>
        <w:t>)</w:t>
      </w:r>
      <w:r w:rsidRPr="008655A1">
        <w:rPr>
          <w:rFonts w:hint="cs"/>
          <w:spacing w:val="0"/>
          <w:kern w:val="0"/>
          <w:sz w:val="20"/>
          <w:rtl/>
        </w:rPr>
        <w:t xml:space="preserve">. </w:t>
      </w:r>
      <w:r w:rsidRPr="008655A1">
        <w:rPr>
          <w:spacing w:val="0"/>
          <w:kern w:val="0"/>
          <w:sz w:val="20"/>
          <w:rtl/>
        </w:rPr>
        <w:t>وتشير اللجنة علاوة على ذلك، إلى أنها، وفقا</w:t>
      </w:r>
      <w:r w:rsidRPr="008655A1">
        <w:rPr>
          <w:rFonts w:hint="cs"/>
          <w:spacing w:val="0"/>
          <w:kern w:val="0"/>
          <w:sz w:val="20"/>
          <w:rtl/>
        </w:rPr>
        <w:t>ً</w:t>
      </w:r>
      <w:r w:rsidRPr="008655A1">
        <w:rPr>
          <w:spacing w:val="0"/>
          <w:kern w:val="0"/>
          <w:sz w:val="20"/>
          <w:rtl/>
        </w:rPr>
        <w:t xml:space="preserve"> لتعليقها العام رقم 1، </w:t>
      </w:r>
      <w:r w:rsidRPr="008655A1">
        <w:rPr>
          <w:rFonts w:hint="cs"/>
          <w:spacing w:val="0"/>
          <w:kern w:val="0"/>
          <w:sz w:val="20"/>
          <w:rtl/>
        </w:rPr>
        <w:t>تقيم</w:t>
      </w:r>
      <w:r w:rsidRPr="008655A1">
        <w:rPr>
          <w:spacing w:val="0"/>
          <w:kern w:val="0"/>
          <w:sz w:val="20"/>
          <w:rtl/>
        </w:rPr>
        <w:t xml:space="preserve"> "وزناً كبيراً </w:t>
      </w:r>
      <w:r w:rsidRPr="008655A1">
        <w:rPr>
          <w:rFonts w:hint="cs"/>
          <w:spacing w:val="0"/>
          <w:kern w:val="0"/>
          <w:sz w:val="20"/>
          <w:rtl/>
        </w:rPr>
        <w:t xml:space="preserve">للاستنتاجات </w:t>
      </w:r>
      <w:r w:rsidRPr="008655A1">
        <w:rPr>
          <w:spacing w:val="0"/>
          <w:kern w:val="0"/>
          <w:sz w:val="20"/>
          <w:rtl/>
        </w:rPr>
        <w:t xml:space="preserve">الوقائعية التي </w:t>
      </w:r>
      <w:r w:rsidRPr="008655A1">
        <w:rPr>
          <w:rFonts w:hint="cs"/>
          <w:spacing w:val="0"/>
          <w:kern w:val="0"/>
          <w:sz w:val="20"/>
          <w:rtl/>
        </w:rPr>
        <w:t xml:space="preserve">توصلت إليها </w:t>
      </w:r>
      <w:r w:rsidRPr="008655A1">
        <w:rPr>
          <w:spacing w:val="0"/>
          <w:kern w:val="0"/>
          <w:sz w:val="20"/>
          <w:rtl/>
        </w:rPr>
        <w:t>أجهزة الدولة الطرف المعنية</w:t>
      </w:r>
      <w:r w:rsidRPr="008655A1">
        <w:rPr>
          <w:spacing w:val="0"/>
          <w:kern w:val="0"/>
          <w:sz w:val="20"/>
          <w:vertAlign w:val="superscript"/>
          <w:rtl/>
        </w:rPr>
        <w:t>(</w:t>
      </w:r>
      <w:r w:rsidRPr="008655A1">
        <w:rPr>
          <w:rStyle w:val="FootnoteReference"/>
          <w:spacing w:val="0"/>
          <w:sz w:val="20"/>
          <w:rtl/>
        </w:rPr>
        <w:footnoteReference w:id="299"/>
      </w:r>
      <w:r w:rsidRPr="008655A1">
        <w:rPr>
          <w:spacing w:val="0"/>
          <w:kern w:val="0"/>
          <w:sz w:val="20"/>
          <w:vertAlign w:val="superscript"/>
          <w:rtl/>
        </w:rPr>
        <w:t>)</w:t>
      </w:r>
      <w:r w:rsidRPr="008655A1">
        <w:rPr>
          <w:spacing w:val="0"/>
          <w:kern w:val="0"/>
          <w:sz w:val="20"/>
          <w:rtl/>
        </w:rPr>
        <w:t xml:space="preserve"> لكنها في الوقت نفسه، غير ملزمة بالتقيد بهذه </w:t>
      </w:r>
      <w:r w:rsidRPr="008655A1">
        <w:rPr>
          <w:rFonts w:hint="cs"/>
          <w:spacing w:val="0"/>
          <w:kern w:val="0"/>
          <w:sz w:val="20"/>
          <w:rtl/>
        </w:rPr>
        <w:t>الاستنتاجات</w:t>
      </w:r>
      <w:r w:rsidRPr="008655A1">
        <w:rPr>
          <w:spacing w:val="0"/>
          <w:kern w:val="0"/>
          <w:sz w:val="20"/>
          <w:rtl/>
        </w:rPr>
        <w:t xml:space="preserve">، بل </w:t>
      </w:r>
      <w:r w:rsidRPr="008655A1">
        <w:rPr>
          <w:rFonts w:hint="cs"/>
          <w:spacing w:val="0"/>
          <w:kern w:val="0"/>
          <w:sz w:val="20"/>
          <w:rtl/>
        </w:rPr>
        <w:t>إنها</w:t>
      </w:r>
      <w:r w:rsidRPr="008655A1">
        <w:rPr>
          <w:spacing w:val="0"/>
          <w:kern w:val="0"/>
          <w:sz w:val="20"/>
          <w:rtl/>
        </w:rPr>
        <w:t xml:space="preserve"> تتمتع، بموجب الفقرة 4 من المادة 22 من الاتفاقية، بصلاحية تقدير الوقائع بحرية في ضوء مجموعة الظروف الكاملة المحيطة بكل قضية". </w:t>
      </w:r>
    </w:p>
    <w:p w:rsidR="008655A1" w:rsidRPr="008655A1" w:rsidRDefault="008655A1" w:rsidP="008655A1">
      <w:pPr>
        <w:pStyle w:val="SingleTxtGA"/>
        <w:jc w:val="lowKashida"/>
        <w:rPr>
          <w:spacing w:val="0"/>
          <w:kern w:val="0"/>
          <w:sz w:val="20"/>
          <w:rtl/>
        </w:rPr>
      </w:pPr>
      <w:r w:rsidRPr="008655A1">
        <w:rPr>
          <w:spacing w:val="0"/>
          <w:kern w:val="0"/>
          <w:sz w:val="20"/>
          <w:rtl/>
        </w:rPr>
        <w:t>9-5</w:t>
      </w:r>
      <w:r w:rsidRPr="008655A1">
        <w:rPr>
          <w:rFonts w:hint="cs"/>
          <w:spacing w:val="0"/>
          <w:kern w:val="0"/>
          <w:sz w:val="20"/>
          <w:rtl/>
        </w:rPr>
        <w:tab/>
      </w:r>
      <w:r w:rsidRPr="008655A1">
        <w:rPr>
          <w:spacing w:val="0"/>
          <w:kern w:val="0"/>
          <w:sz w:val="20"/>
          <w:rtl/>
        </w:rPr>
        <w:t>وتلاحظ اللجنة في هذه القضية أن الدولة الطرف أقرت بأن الوضع في مصر ما</w:t>
      </w:r>
      <w:r w:rsidRPr="008655A1">
        <w:rPr>
          <w:rFonts w:hint="cs"/>
          <w:spacing w:val="0"/>
          <w:kern w:val="0"/>
          <w:sz w:val="20"/>
          <w:rtl/>
        </w:rPr>
        <w:t> </w:t>
      </w:r>
      <w:r w:rsidRPr="008655A1">
        <w:rPr>
          <w:spacing w:val="0"/>
          <w:kern w:val="0"/>
          <w:sz w:val="20"/>
          <w:rtl/>
        </w:rPr>
        <w:t xml:space="preserve">زال يتطلب بذل المزيد من الجهود فيما يخص معاملة الموقوفين والمحتجزين وممارسة التعذيب في مخافر الشرطة، ووضعت ذلك في اعتبارها. ومع ذلك، وبينما لم تقلل الدولة الطرف من شأن </w:t>
      </w:r>
      <w:r w:rsidRPr="008655A1">
        <w:rPr>
          <w:rFonts w:hint="cs"/>
          <w:spacing w:val="0"/>
          <w:kern w:val="0"/>
          <w:sz w:val="20"/>
          <w:rtl/>
        </w:rPr>
        <w:t>دواعي القلق</w:t>
      </w:r>
      <w:r w:rsidRPr="008655A1">
        <w:rPr>
          <w:spacing w:val="0"/>
          <w:kern w:val="0"/>
          <w:sz w:val="20"/>
          <w:rtl/>
        </w:rPr>
        <w:t xml:space="preserve"> التي قد يكون الإعراب عنها مشروعا فيما يتعلق بحالة حقوق الإنسان في مصر، </w:t>
      </w:r>
      <w:r w:rsidRPr="008655A1">
        <w:rPr>
          <w:rFonts w:hint="cs"/>
          <w:spacing w:val="0"/>
          <w:kern w:val="0"/>
          <w:sz w:val="20"/>
          <w:rtl/>
        </w:rPr>
        <w:t xml:space="preserve">فقد </w:t>
      </w:r>
      <w:r w:rsidRPr="008655A1">
        <w:rPr>
          <w:spacing w:val="0"/>
          <w:kern w:val="0"/>
          <w:sz w:val="20"/>
          <w:rtl/>
        </w:rPr>
        <w:t>دفعت بأنه لا يمكن القول إن طبيعة الوضع الذي كان سائدا</w:t>
      </w:r>
      <w:r w:rsidRPr="008655A1">
        <w:rPr>
          <w:rFonts w:hint="cs"/>
          <w:spacing w:val="0"/>
          <w:kern w:val="0"/>
          <w:sz w:val="20"/>
          <w:rtl/>
        </w:rPr>
        <w:t>ً</w:t>
      </w:r>
      <w:r w:rsidRPr="008655A1">
        <w:rPr>
          <w:spacing w:val="0"/>
          <w:kern w:val="0"/>
          <w:sz w:val="20"/>
          <w:rtl/>
        </w:rPr>
        <w:t xml:space="preserve"> في مصر عندما كانت السلطات الوطنية تنظر في قضية صاحب الشكوى الأول كانت تستدعي عموما</w:t>
      </w:r>
      <w:r w:rsidRPr="008655A1">
        <w:rPr>
          <w:rFonts w:hint="cs"/>
          <w:spacing w:val="0"/>
          <w:kern w:val="0"/>
          <w:sz w:val="20"/>
          <w:rtl/>
        </w:rPr>
        <w:t>ً</w:t>
      </w:r>
      <w:r w:rsidRPr="008655A1">
        <w:rPr>
          <w:spacing w:val="0"/>
          <w:kern w:val="0"/>
          <w:sz w:val="20"/>
          <w:rtl/>
        </w:rPr>
        <w:t xml:space="preserve"> حماية ملتمسي اللجوء من مصر. </w:t>
      </w:r>
    </w:p>
    <w:p w:rsidR="008655A1" w:rsidRPr="008655A1" w:rsidRDefault="008655A1" w:rsidP="008655A1">
      <w:pPr>
        <w:pStyle w:val="SingleTxtGA"/>
        <w:jc w:val="lowKashida"/>
        <w:rPr>
          <w:spacing w:val="0"/>
          <w:kern w:val="0"/>
          <w:sz w:val="20"/>
          <w:rtl/>
        </w:rPr>
      </w:pPr>
      <w:r w:rsidRPr="008655A1">
        <w:rPr>
          <w:spacing w:val="0"/>
          <w:kern w:val="0"/>
          <w:sz w:val="20"/>
          <w:rtl/>
        </w:rPr>
        <w:t>9-6</w:t>
      </w:r>
      <w:r w:rsidRPr="008655A1">
        <w:rPr>
          <w:rFonts w:hint="cs"/>
          <w:spacing w:val="0"/>
          <w:kern w:val="0"/>
          <w:sz w:val="20"/>
          <w:rtl/>
        </w:rPr>
        <w:tab/>
      </w:r>
      <w:r w:rsidRPr="008655A1">
        <w:rPr>
          <w:spacing w:val="0"/>
          <w:kern w:val="0"/>
          <w:sz w:val="20"/>
          <w:rtl/>
        </w:rPr>
        <w:t xml:space="preserve">وفيما يتعلق بموقف الدولة الطرف بشأن تقييم خطر التعرض للتعذيب الذي </w:t>
      </w:r>
      <w:r w:rsidRPr="008655A1">
        <w:rPr>
          <w:rFonts w:hint="cs"/>
          <w:spacing w:val="0"/>
          <w:kern w:val="0"/>
          <w:sz w:val="20"/>
          <w:rtl/>
        </w:rPr>
        <w:t xml:space="preserve">سيتعرض له </w:t>
      </w:r>
      <w:r w:rsidRPr="008655A1">
        <w:rPr>
          <w:spacing w:val="0"/>
          <w:kern w:val="0"/>
          <w:sz w:val="20"/>
          <w:rtl/>
        </w:rPr>
        <w:t>صاحب الشكوى الأول، تشير اللجنة إلى أن الدولة الطرف أقرت بأنه لا يبدو مستبعدا أن يكون مثار اهتمام السلطات المصرية حتى الآن، بسبب صلة القرابة التي تربطه بالشخص المدان بجريمة قتل الرئيس السادات على الرغم من مرور زمن طويل على الأحداث. وعلاوة على ذلك، ينبغي أن تراعى في هذا السياق أيضا</w:t>
      </w:r>
      <w:r w:rsidRPr="008655A1">
        <w:rPr>
          <w:rFonts w:hint="cs"/>
          <w:spacing w:val="0"/>
          <w:kern w:val="0"/>
          <w:sz w:val="20"/>
          <w:rtl/>
        </w:rPr>
        <w:t>ً</w:t>
      </w:r>
      <w:r w:rsidRPr="008655A1">
        <w:rPr>
          <w:spacing w:val="0"/>
          <w:kern w:val="0"/>
          <w:sz w:val="20"/>
          <w:rtl/>
        </w:rPr>
        <w:t>، نشاطاته على الإنترنت في السويد، وتشكيكه في</w:t>
      </w:r>
      <w:r w:rsidRPr="008655A1">
        <w:rPr>
          <w:rFonts w:hint="cs"/>
          <w:spacing w:val="0"/>
          <w:kern w:val="0"/>
          <w:sz w:val="20"/>
          <w:rtl/>
        </w:rPr>
        <w:t xml:space="preserve">ما إذا كان </w:t>
      </w:r>
      <w:r w:rsidRPr="008655A1">
        <w:rPr>
          <w:spacing w:val="0"/>
          <w:kern w:val="0"/>
          <w:sz w:val="20"/>
          <w:rtl/>
        </w:rPr>
        <w:t xml:space="preserve">قتلة الرئيس السادات </w:t>
      </w:r>
      <w:r w:rsidRPr="008655A1">
        <w:rPr>
          <w:rFonts w:hint="cs"/>
          <w:spacing w:val="0"/>
          <w:kern w:val="0"/>
          <w:sz w:val="20"/>
          <w:rtl/>
        </w:rPr>
        <w:t>الحقيقيون قد أدينوا وعوقبوا</w:t>
      </w:r>
      <w:r w:rsidRPr="008655A1">
        <w:rPr>
          <w:spacing w:val="0"/>
          <w:kern w:val="0"/>
          <w:sz w:val="20"/>
          <w:rtl/>
        </w:rPr>
        <w:t>. وأخيرا</w:t>
      </w:r>
      <w:r w:rsidRPr="008655A1">
        <w:rPr>
          <w:rFonts w:hint="cs"/>
          <w:spacing w:val="0"/>
          <w:kern w:val="0"/>
          <w:sz w:val="20"/>
          <w:rtl/>
        </w:rPr>
        <w:t>ً</w:t>
      </w:r>
      <w:r w:rsidRPr="008655A1">
        <w:rPr>
          <w:spacing w:val="0"/>
          <w:kern w:val="0"/>
          <w:sz w:val="20"/>
          <w:rtl/>
        </w:rPr>
        <w:t xml:space="preserve">، أقرت الدولة الطرف بأن اهتمام السلطات المصرية </w:t>
      </w:r>
      <w:r w:rsidRPr="008655A1">
        <w:rPr>
          <w:rFonts w:hint="cs"/>
          <w:spacing w:val="0"/>
          <w:kern w:val="0"/>
          <w:sz w:val="20"/>
          <w:rtl/>
        </w:rPr>
        <w:t>ب</w:t>
      </w:r>
      <w:r w:rsidRPr="008655A1">
        <w:rPr>
          <w:spacing w:val="0"/>
          <w:kern w:val="0"/>
          <w:sz w:val="20"/>
          <w:rtl/>
        </w:rPr>
        <w:t>باقي أفراد الأسرة أمر لا يمكن استبعاده أيضا</w:t>
      </w:r>
      <w:r w:rsidRPr="008655A1">
        <w:rPr>
          <w:rFonts w:hint="cs"/>
          <w:spacing w:val="0"/>
          <w:kern w:val="0"/>
          <w:sz w:val="20"/>
          <w:rtl/>
        </w:rPr>
        <w:t>ً</w:t>
      </w:r>
      <w:r w:rsidRPr="008655A1">
        <w:rPr>
          <w:spacing w:val="0"/>
          <w:kern w:val="0"/>
          <w:sz w:val="20"/>
          <w:rtl/>
        </w:rPr>
        <w:t>. وأشارت بوجه خاص، إلى أن صاحبة الشكوى الثانية تعرضت على حد زعمها، لمعاملة فظة من قبل مباحث أمن الدولة المصرية، وأن صاحب الشكوى الثالث زعم أن ضباطا</w:t>
      </w:r>
      <w:r w:rsidRPr="008655A1">
        <w:rPr>
          <w:rFonts w:hint="cs"/>
          <w:spacing w:val="0"/>
          <w:kern w:val="0"/>
          <w:sz w:val="20"/>
          <w:rtl/>
        </w:rPr>
        <w:t>ً</w:t>
      </w:r>
      <w:r w:rsidRPr="008655A1">
        <w:rPr>
          <w:spacing w:val="0"/>
          <w:kern w:val="0"/>
          <w:sz w:val="20"/>
          <w:rtl/>
        </w:rPr>
        <w:t xml:space="preserve"> من الشرطة قاموا باغتصابه مرارا</w:t>
      </w:r>
      <w:r w:rsidRPr="008655A1">
        <w:rPr>
          <w:rFonts w:hint="cs"/>
          <w:spacing w:val="0"/>
          <w:kern w:val="0"/>
          <w:sz w:val="20"/>
          <w:rtl/>
        </w:rPr>
        <w:t>ً</w:t>
      </w:r>
      <w:r w:rsidRPr="008655A1">
        <w:rPr>
          <w:spacing w:val="0"/>
          <w:kern w:val="0"/>
          <w:sz w:val="20"/>
          <w:rtl/>
        </w:rPr>
        <w:t xml:space="preserve"> أثناء احتجازه في مصر. وعليه، فإن احتمال تعرضه لمعاملة مماثلة إذا عاد إلى مصر لا يمكن استبعاده تماما</w:t>
      </w:r>
      <w:r w:rsidRPr="008655A1">
        <w:rPr>
          <w:rFonts w:hint="cs"/>
          <w:spacing w:val="0"/>
          <w:kern w:val="0"/>
          <w:sz w:val="20"/>
          <w:rtl/>
        </w:rPr>
        <w:t>ً</w:t>
      </w:r>
      <w:r w:rsidRPr="008655A1">
        <w:rPr>
          <w:spacing w:val="0"/>
          <w:kern w:val="0"/>
          <w:sz w:val="20"/>
          <w:rtl/>
        </w:rPr>
        <w:t>.</w:t>
      </w:r>
    </w:p>
    <w:p w:rsidR="008655A1" w:rsidRPr="008655A1" w:rsidRDefault="008655A1" w:rsidP="008655A1">
      <w:pPr>
        <w:pStyle w:val="SingleTxtGA"/>
        <w:jc w:val="lowKashida"/>
        <w:rPr>
          <w:spacing w:val="0"/>
          <w:kern w:val="0"/>
          <w:sz w:val="20"/>
          <w:rtl/>
        </w:rPr>
      </w:pPr>
      <w:r w:rsidRPr="008655A1">
        <w:rPr>
          <w:spacing w:val="0"/>
          <w:kern w:val="0"/>
          <w:sz w:val="20"/>
          <w:rtl/>
        </w:rPr>
        <w:t>9-7</w:t>
      </w:r>
      <w:r w:rsidRPr="008655A1">
        <w:rPr>
          <w:rFonts w:hint="cs"/>
          <w:spacing w:val="0"/>
          <w:kern w:val="0"/>
          <w:sz w:val="20"/>
          <w:rtl/>
        </w:rPr>
        <w:tab/>
      </w:r>
      <w:r w:rsidRPr="008655A1">
        <w:rPr>
          <w:spacing w:val="0"/>
          <w:kern w:val="0"/>
          <w:sz w:val="20"/>
          <w:rtl/>
        </w:rPr>
        <w:t>وتقر اللجنة بأن الدولة الطرف، بالنظر إلى ماضي صاحب الشكوى الأول وطبيعة ادعاءات أصحاب الشكوى الآخرين، تترك للجنة تقدير ما إذا كان تنفيذ أوامر طردهم يمثل انتهاكا</w:t>
      </w:r>
      <w:r w:rsidRPr="008655A1">
        <w:rPr>
          <w:rFonts w:hint="cs"/>
          <w:spacing w:val="0"/>
          <w:kern w:val="0"/>
          <w:sz w:val="20"/>
          <w:rtl/>
        </w:rPr>
        <w:t>ً</w:t>
      </w:r>
      <w:r w:rsidRPr="008655A1">
        <w:rPr>
          <w:spacing w:val="0"/>
          <w:kern w:val="0"/>
          <w:sz w:val="20"/>
          <w:rtl/>
        </w:rPr>
        <w:t xml:space="preserve"> للاتفاقية. وفي ضوء إقرار الدولة الطرف بوجود احتمال لأن يثير أصحاب الشكوى الأول والثاني والثالث اهتمام السلطات المصرية، إلى جانب ماضي صاحب الشكوى الأول وطبيعة ادعاءاته، تخلص اللجنة إلى أن أصحاب الشكوى الأول والثاني والثالث أثبتوا أنهم </w:t>
      </w:r>
      <w:r w:rsidRPr="008655A1">
        <w:rPr>
          <w:rFonts w:hint="cs"/>
          <w:spacing w:val="0"/>
          <w:kern w:val="0"/>
          <w:sz w:val="20"/>
          <w:rtl/>
        </w:rPr>
        <w:t>كانوا س</w:t>
      </w:r>
      <w:r w:rsidRPr="008655A1">
        <w:rPr>
          <w:spacing w:val="0"/>
          <w:kern w:val="0"/>
          <w:sz w:val="20"/>
          <w:rtl/>
        </w:rPr>
        <w:t>يواجهون خطرا</w:t>
      </w:r>
      <w:r w:rsidRPr="008655A1">
        <w:rPr>
          <w:rFonts w:hint="cs"/>
          <w:spacing w:val="0"/>
          <w:kern w:val="0"/>
          <w:sz w:val="20"/>
          <w:rtl/>
        </w:rPr>
        <w:t>ً</w:t>
      </w:r>
      <w:r w:rsidRPr="008655A1">
        <w:rPr>
          <w:spacing w:val="0"/>
          <w:kern w:val="0"/>
          <w:sz w:val="20"/>
          <w:rtl/>
        </w:rPr>
        <w:t xml:space="preserve"> متوقعا</w:t>
      </w:r>
      <w:r w:rsidRPr="008655A1">
        <w:rPr>
          <w:rFonts w:hint="cs"/>
          <w:spacing w:val="0"/>
          <w:kern w:val="0"/>
          <w:sz w:val="20"/>
          <w:rtl/>
        </w:rPr>
        <w:t>ً</w:t>
      </w:r>
      <w:r w:rsidRPr="008655A1">
        <w:rPr>
          <w:spacing w:val="0"/>
          <w:kern w:val="0"/>
          <w:sz w:val="20"/>
          <w:rtl/>
        </w:rPr>
        <w:t xml:space="preserve"> وحقيقيا</w:t>
      </w:r>
      <w:r w:rsidRPr="008655A1">
        <w:rPr>
          <w:rFonts w:hint="cs"/>
          <w:spacing w:val="0"/>
          <w:kern w:val="0"/>
          <w:sz w:val="20"/>
          <w:rtl/>
        </w:rPr>
        <w:t>ً</w:t>
      </w:r>
      <w:r w:rsidRPr="008655A1">
        <w:rPr>
          <w:spacing w:val="0"/>
          <w:kern w:val="0"/>
          <w:sz w:val="20"/>
          <w:rtl/>
        </w:rPr>
        <w:t xml:space="preserve"> وشخصيا</w:t>
      </w:r>
      <w:r w:rsidRPr="008655A1">
        <w:rPr>
          <w:rFonts w:hint="cs"/>
          <w:spacing w:val="0"/>
          <w:kern w:val="0"/>
          <w:sz w:val="20"/>
          <w:rtl/>
        </w:rPr>
        <w:t>ً</w:t>
      </w:r>
      <w:r w:rsidRPr="008655A1">
        <w:rPr>
          <w:spacing w:val="0"/>
          <w:kern w:val="0"/>
          <w:sz w:val="20"/>
          <w:rtl/>
        </w:rPr>
        <w:t xml:space="preserve"> </w:t>
      </w:r>
      <w:r w:rsidRPr="008655A1">
        <w:rPr>
          <w:rFonts w:hint="cs"/>
          <w:spacing w:val="0"/>
          <w:kern w:val="0"/>
          <w:sz w:val="20"/>
          <w:rtl/>
        </w:rPr>
        <w:t>بال</w:t>
      </w:r>
      <w:r w:rsidRPr="008655A1">
        <w:rPr>
          <w:spacing w:val="0"/>
          <w:kern w:val="0"/>
          <w:sz w:val="20"/>
          <w:rtl/>
        </w:rPr>
        <w:t xml:space="preserve">تعرض للتعذيب إذا </w:t>
      </w:r>
      <w:r w:rsidRPr="008655A1">
        <w:rPr>
          <w:rFonts w:hint="cs"/>
          <w:spacing w:val="0"/>
          <w:kern w:val="0"/>
          <w:sz w:val="20"/>
          <w:rtl/>
        </w:rPr>
        <w:t xml:space="preserve">ما </w:t>
      </w:r>
      <w:r w:rsidRPr="008655A1">
        <w:rPr>
          <w:spacing w:val="0"/>
          <w:kern w:val="0"/>
          <w:sz w:val="20"/>
          <w:rtl/>
        </w:rPr>
        <w:t xml:space="preserve">أعيدوا إلى مصر وقت تقديم البلاغ. </w:t>
      </w:r>
    </w:p>
    <w:p w:rsidR="008655A1" w:rsidRPr="008655A1" w:rsidRDefault="008655A1" w:rsidP="008655A1">
      <w:pPr>
        <w:pStyle w:val="SingleTxtGA"/>
        <w:jc w:val="lowKashida"/>
        <w:rPr>
          <w:spacing w:val="0"/>
          <w:kern w:val="0"/>
          <w:sz w:val="20"/>
          <w:rtl/>
        </w:rPr>
      </w:pPr>
      <w:r w:rsidRPr="008655A1">
        <w:rPr>
          <w:spacing w:val="0"/>
          <w:kern w:val="0"/>
          <w:sz w:val="20"/>
          <w:rtl/>
        </w:rPr>
        <w:t>9-8</w:t>
      </w:r>
      <w:r w:rsidRPr="008655A1">
        <w:rPr>
          <w:rFonts w:hint="cs"/>
          <w:spacing w:val="0"/>
          <w:kern w:val="0"/>
          <w:sz w:val="20"/>
          <w:rtl/>
        </w:rPr>
        <w:tab/>
      </w:r>
      <w:r w:rsidRPr="008655A1">
        <w:rPr>
          <w:spacing w:val="0"/>
          <w:kern w:val="0"/>
          <w:sz w:val="20"/>
          <w:rtl/>
        </w:rPr>
        <w:t>وتلاحظ اللجنة كذلك، أن الدولة الطرف أقرت، في رسالتها الإضافية المؤرخة 3 كانون الثاني/يناير 2012، بأنه على الرغم من حدوث تطورات كبيرة في مصر خلال</w:t>
      </w:r>
      <w:r w:rsidRPr="008655A1">
        <w:rPr>
          <w:rFonts w:hint="cs"/>
          <w:spacing w:val="0"/>
          <w:kern w:val="0"/>
          <w:sz w:val="20"/>
          <w:rtl/>
        </w:rPr>
        <w:t xml:space="preserve">     </w:t>
      </w:r>
      <w:r w:rsidRPr="008655A1">
        <w:rPr>
          <w:spacing w:val="0"/>
          <w:kern w:val="0"/>
          <w:sz w:val="20"/>
          <w:rtl/>
        </w:rPr>
        <w:t xml:space="preserve"> عام 2011، فإن هذه التطورات لا تستدعي تغيير موقفها، فيما يتعلق بهذه القضية. وعليه، تخلص اللجنة </w:t>
      </w:r>
      <w:r w:rsidRPr="008655A1">
        <w:rPr>
          <w:rFonts w:hint="cs"/>
          <w:spacing w:val="0"/>
          <w:kern w:val="0"/>
          <w:sz w:val="20"/>
          <w:rtl/>
        </w:rPr>
        <w:t>إلى</w:t>
      </w:r>
      <w:r w:rsidRPr="008655A1">
        <w:rPr>
          <w:spacing w:val="0"/>
          <w:kern w:val="0"/>
          <w:sz w:val="20"/>
          <w:rtl/>
        </w:rPr>
        <w:t xml:space="preserve"> أن أصحاب الشكوى الأول والثاني والثالث أثبتوا وجود خطر متوقع وحقيقي وشخصي </w:t>
      </w:r>
      <w:r w:rsidRPr="008655A1">
        <w:rPr>
          <w:rFonts w:hint="cs"/>
          <w:spacing w:val="0"/>
          <w:kern w:val="0"/>
          <w:sz w:val="20"/>
          <w:rtl/>
        </w:rPr>
        <w:t>بال</w:t>
      </w:r>
      <w:r w:rsidRPr="008655A1">
        <w:rPr>
          <w:spacing w:val="0"/>
          <w:kern w:val="0"/>
          <w:sz w:val="20"/>
          <w:rtl/>
        </w:rPr>
        <w:t xml:space="preserve">تعرض للتعذيب إذا </w:t>
      </w:r>
      <w:r w:rsidRPr="008655A1">
        <w:rPr>
          <w:rFonts w:hint="cs"/>
          <w:spacing w:val="0"/>
          <w:kern w:val="0"/>
          <w:sz w:val="20"/>
          <w:rtl/>
        </w:rPr>
        <w:t xml:space="preserve">ما </w:t>
      </w:r>
      <w:r w:rsidRPr="008655A1">
        <w:rPr>
          <w:spacing w:val="0"/>
          <w:kern w:val="0"/>
          <w:sz w:val="20"/>
          <w:rtl/>
        </w:rPr>
        <w:t xml:space="preserve">أعيدوا </w:t>
      </w:r>
      <w:r w:rsidRPr="008655A1">
        <w:rPr>
          <w:rFonts w:hint="cs"/>
          <w:spacing w:val="0"/>
          <w:kern w:val="0"/>
          <w:sz w:val="20"/>
          <w:rtl/>
        </w:rPr>
        <w:t xml:space="preserve">الآن </w:t>
      </w:r>
      <w:r w:rsidRPr="008655A1">
        <w:rPr>
          <w:spacing w:val="0"/>
          <w:kern w:val="0"/>
          <w:sz w:val="20"/>
          <w:rtl/>
        </w:rPr>
        <w:t>إلى مصر.</w:t>
      </w:r>
    </w:p>
    <w:p w:rsidR="008655A1" w:rsidRPr="008655A1" w:rsidRDefault="008655A1" w:rsidP="008655A1">
      <w:pPr>
        <w:pStyle w:val="SingleTxtGA"/>
        <w:jc w:val="lowKashida"/>
        <w:rPr>
          <w:spacing w:val="0"/>
          <w:kern w:val="0"/>
          <w:sz w:val="20"/>
          <w:rtl/>
        </w:rPr>
      </w:pPr>
      <w:r w:rsidRPr="008655A1">
        <w:rPr>
          <w:spacing w:val="0"/>
          <w:kern w:val="0"/>
          <w:sz w:val="20"/>
          <w:rtl/>
        </w:rPr>
        <w:t>10-</w:t>
      </w:r>
      <w:r w:rsidRPr="008655A1">
        <w:rPr>
          <w:rFonts w:hint="cs"/>
          <w:spacing w:val="0"/>
          <w:kern w:val="0"/>
          <w:sz w:val="20"/>
          <w:rtl/>
        </w:rPr>
        <w:tab/>
        <w:t>وإن</w:t>
      </w:r>
      <w:r w:rsidRPr="008655A1">
        <w:rPr>
          <w:spacing w:val="0"/>
          <w:kern w:val="0"/>
          <w:sz w:val="20"/>
          <w:rtl/>
        </w:rPr>
        <w:t xml:space="preserve"> لجنة مناهضة التعذيب</w:t>
      </w:r>
      <w:r w:rsidRPr="008655A1">
        <w:rPr>
          <w:rFonts w:hint="cs"/>
          <w:spacing w:val="0"/>
          <w:kern w:val="0"/>
          <w:sz w:val="20"/>
          <w:rtl/>
        </w:rPr>
        <w:t>، إذ تعمل بموجب</w:t>
      </w:r>
      <w:r w:rsidRPr="008655A1">
        <w:rPr>
          <w:spacing w:val="0"/>
          <w:kern w:val="0"/>
          <w:sz w:val="20"/>
          <w:rtl/>
        </w:rPr>
        <w:t xml:space="preserve"> الفقرة 7 من المادة 22 من اتفاقية مناهضة التعذيب وغيره من ضروب المعاملة أو العقوبة القاسية أو اللاإنسانية أو المهينة، تخلص إلى أن إنفاذ قرار ترحيل 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ون.</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وأ</w:t>
      </w:r>
      <w:r w:rsidRPr="008655A1">
        <w:rPr>
          <w:rFonts w:hint="cs"/>
          <w:spacing w:val="0"/>
          <w:kern w:val="0"/>
          <w:sz w:val="20"/>
          <w:rtl/>
        </w:rPr>
        <w:t>د</w:t>
      </w:r>
      <w:r w:rsidRPr="008655A1">
        <w:rPr>
          <w:spacing w:val="0"/>
          <w:kern w:val="0"/>
          <w:sz w:val="20"/>
          <w:rtl/>
        </w:rPr>
        <w:t>.</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xml:space="preserve"> إلى بلدهم الأصلي يشكل انتهاكاً للمادة 3 من الاتفاقية.</w:t>
      </w:r>
    </w:p>
    <w:p w:rsidR="008655A1" w:rsidRPr="008655A1" w:rsidRDefault="008655A1" w:rsidP="008655A1">
      <w:pPr>
        <w:pStyle w:val="SingleTxtGA"/>
        <w:jc w:val="lowKashida"/>
        <w:rPr>
          <w:spacing w:val="0"/>
          <w:kern w:val="0"/>
          <w:sz w:val="20"/>
          <w:rtl/>
        </w:rPr>
      </w:pPr>
      <w:r w:rsidRPr="008655A1">
        <w:rPr>
          <w:spacing w:val="0"/>
          <w:kern w:val="0"/>
          <w:sz w:val="20"/>
          <w:rtl/>
        </w:rPr>
        <w:t>11-</w:t>
      </w:r>
      <w:r w:rsidRPr="008655A1">
        <w:rPr>
          <w:rFonts w:hint="cs"/>
          <w:spacing w:val="0"/>
          <w:kern w:val="0"/>
          <w:sz w:val="20"/>
          <w:rtl/>
        </w:rPr>
        <w:tab/>
      </w:r>
      <w:r w:rsidRPr="008655A1">
        <w:rPr>
          <w:spacing w:val="0"/>
          <w:kern w:val="0"/>
          <w:sz w:val="20"/>
          <w:rtl/>
        </w:rPr>
        <w:t>وبما أن قضايا زوجة م.</w:t>
      </w:r>
      <w:r w:rsidRPr="008655A1">
        <w:rPr>
          <w:rFonts w:hint="cs"/>
          <w:spacing w:val="0"/>
          <w:kern w:val="0"/>
          <w:sz w:val="20"/>
          <w:rtl/>
        </w:rPr>
        <w:t xml:space="preserve"> </w:t>
      </w:r>
      <w:r w:rsidRPr="008655A1">
        <w:rPr>
          <w:spacing w:val="0"/>
          <w:kern w:val="0"/>
          <w:sz w:val="20"/>
          <w:rtl/>
        </w:rPr>
        <w:t>أ.</w:t>
      </w:r>
      <w:r w:rsidRPr="008655A1">
        <w:rPr>
          <w:rFonts w:hint="cs"/>
          <w:spacing w:val="0"/>
          <w:kern w:val="0"/>
          <w:sz w:val="20"/>
          <w:rtl/>
        </w:rPr>
        <w:t xml:space="preserve"> </w:t>
      </w:r>
      <w:r w:rsidRPr="008655A1">
        <w:rPr>
          <w:spacing w:val="0"/>
          <w:kern w:val="0"/>
          <w:sz w:val="20"/>
          <w:rtl/>
        </w:rPr>
        <w:t>م.</w:t>
      </w:r>
      <w:r w:rsidRPr="008655A1">
        <w:rPr>
          <w:rFonts w:hint="cs"/>
          <w:spacing w:val="0"/>
          <w:kern w:val="0"/>
          <w:sz w:val="20"/>
          <w:rtl/>
        </w:rPr>
        <w:t xml:space="preserve"> ع</w:t>
      </w:r>
      <w:r w:rsidRPr="008655A1">
        <w:rPr>
          <w:spacing w:val="0"/>
          <w:kern w:val="0"/>
          <w:sz w:val="20"/>
          <w:rtl/>
        </w:rPr>
        <w:t xml:space="preserve">. وأبنائهما الأربعة، الذين كانوا </w:t>
      </w:r>
      <w:r w:rsidRPr="008655A1">
        <w:rPr>
          <w:rFonts w:hint="cs"/>
          <w:spacing w:val="0"/>
          <w:kern w:val="0"/>
          <w:sz w:val="20"/>
          <w:rtl/>
        </w:rPr>
        <w:t xml:space="preserve">دون </w:t>
      </w:r>
      <w:r w:rsidRPr="008655A1">
        <w:rPr>
          <w:spacing w:val="0"/>
          <w:kern w:val="0"/>
          <w:sz w:val="20"/>
          <w:rtl/>
        </w:rPr>
        <w:t xml:space="preserve">السن </w:t>
      </w:r>
      <w:r w:rsidRPr="008655A1">
        <w:rPr>
          <w:rFonts w:hint="cs"/>
          <w:spacing w:val="0"/>
          <w:kern w:val="0"/>
          <w:sz w:val="20"/>
          <w:rtl/>
        </w:rPr>
        <w:t xml:space="preserve">القانونية </w:t>
      </w:r>
      <w:r w:rsidRPr="008655A1">
        <w:rPr>
          <w:spacing w:val="0"/>
          <w:kern w:val="0"/>
          <w:sz w:val="20"/>
          <w:rtl/>
        </w:rPr>
        <w:t>عندما قدمت الأسرة طلب اللجوء في السويد، ترتبط بقضيته، فإن اللجنة لا ترى ضرورة للنظر في كل قضية من هذه القضايا على حدة.</w:t>
      </w:r>
    </w:p>
    <w:p w:rsidR="00250FA4" w:rsidRPr="008655A1" w:rsidRDefault="008655A1" w:rsidP="008655A1">
      <w:pPr>
        <w:pStyle w:val="SingleTxtGA"/>
        <w:jc w:val="lowKashida"/>
        <w:rPr>
          <w:rFonts w:hint="cs"/>
          <w:spacing w:val="0"/>
          <w:kern w:val="0"/>
          <w:sz w:val="20"/>
          <w:rtl/>
          <w:lang w:val="fr-CH"/>
        </w:rPr>
      </w:pPr>
      <w:r w:rsidRPr="008655A1">
        <w:rPr>
          <w:spacing w:val="0"/>
          <w:kern w:val="0"/>
          <w:sz w:val="20"/>
          <w:rtl/>
        </w:rPr>
        <w:t>12-</w:t>
      </w:r>
      <w:r w:rsidRPr="008655A1">
        <w:rPr>
          <w:rFonts w:hint="cs"/>
          <w:spacing w:val="0"/>
          <w:kern w:val="0"/>
          <w:sz w:val="20"/>
          <w:rtl/>
        </w:rPr>
        <w:tab/>
      </w:r>
      <w:r w:rsidRPr="008655A1">
        <w:rPr>
          <w:spacing w:val="0"/>
          <w:kern w:val="0"/>
          <w:sz w:val="20"/>
          <w:rtl/>
        </w:rPr>
        <w:t xml:space="preserve">وعملاً بالفقرة 5 من المادة 118 من النظام الداخلي للجنة </w:t>
      </w:r>
      <w:r w:rsidRPr="008655A1">
        <w:rPr>
          <w:rFonts w:hint="cs"/>
          <w:spacing w:val="0"/>
          <w:kern w:val="0"/>
          <w:sz w:val="20"/>
          <w:rtl/>
        </w:rPr>
        <w:t xml:space="preserve">تدعو </w:t>
      </w:r>
      <w:r w:rsidRPr="008655A1">
        <w:rPr>
          <w:spacing w:val="0"/>
          <w:kern w:val="0"/>
          <w:sz w:val="20"/>
          <w:rtl/>
        </w:rPr>
        <w:t>اللجنة الدولة الطرف على أن تبلغها، في غضون 90 يوماً من تاريخ إحالة هذا القرار، بالخطوات التي اتخذتها استجابة للملاحظات الآنفة الذكر.</w:t>
      </w:r>
    </w:p>
    <w:p w:rsidR="00523D40" w:rsidRDefault="00523D40" w:rsidP="00EA71E8">
      <w:pPr>
        <w:pStyle w:val="SingleTxtGA"/>
        <w:rPr>
          <w:rtl/>
          <w:lang w:val="fr-CH"/>
        </w:rPr>
        <w:sectPr w:rsidR="00523D40"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523D40" w:rsidRPr="00523D40" w:rsidRDefault="00523D40" w:rsidP="00523D40">
      <w:pPr>
        <w:pStyle w:val="H1GA"/>
        <w:spacing w:before="120"/>
        <w:jc w:val="lowKashida"/>
        <w:rPr>
          <w:rFonts w:hint="cs"/>
          <w:spacing w:val="0"/>
          <w:kern w:val="0"/>
          <w:sz w:val="20"/>
          <w:rtl/>
        </w:rPr>
      </w:pPr>
      <w:r w:rsidRPr="00523D40">
        <w:rPr>
          <w:rFonts w:hint="cs"/>
          <w:spacing w:val="0"/>
          <w:kern w:val="0"/>
          <w:sz w:val="20"/>
          <w:rtl/>
        </w:rPr>
        <w:tab/>
      </w:r>
      <w:r w:rsidRPr="00523D40">
        <w:rPr>
          <w:rFonts w:hint="cs"/>
          <w:spacing w:val="0"/>
          <w:kern w:val="0"/>
          <w:sz w:val="20"/>
          <w:rtl/>
        </w:rPr>
        <w:tab/>
        <w:t xml:space="preserve">البلاغ رقم 393/2009: </w:t>
      </w:r>
      <w:r w:rsidRPr="00523D40">
        <w:rPr>
          <w:rFonts w:hint="cs"/>
          <w:i/>
          <w:iCs/>
          <w:spacing w:val="0"/>
          <w:kern w:val="0"/>
          <w:sz w:val="20"/>
          <w:rtl/>
        </w:rPr>
        <w:t>إ. ت. ضد سويسرا</w:t>
      </w:r>
    </w:p>
    <w:p w:rsidR="00523D40" w:rsidRPr="00523D40" w:rsidRDefault="00523D40" w:rsidP="00523D40">
      <w:pPr>
        <w:pStyle w:val="SingleTxtGA"/>
        <w:tabs>
          <w:tab w:val="clear" w:pos="1928"/>
          <w:tab w:val="left" w:pos="1883"/>
        </w:tabs>
        <w:ind w:left="1911"/>
        <w:jc w:val="lowKashida"/>
        <w:rPr>
          <w:rFonts w:hint="cs"/>
          <w:spacing w:val="0"/>
          <w:kern w:val="0"/>
          <w:sz w:val="20"/>
          <w:rtl/>
        </w:rPr>
      </w:pPr>
      <w:r w:rsidRPr="00523D40">
        <w:rPr>
          <w:i/>
          <w:iCs/>
          <w:spacing w:val="0"/>
          <w:kern w:val="0"/>
          <w:sz w:val="20"/>
          <w:rtl/>
        </w:rPr>
        <w:t>المقدم من:</w:t>
      </w:r>
      <w:r w:rsidRPr="00523D40">
        <w:rPr>
          <w:i/>
          <w:iCs/>
          <w:spacing w:val="0"/>
          <w:kern w:val="0"/>
          <w:sz w:val="20"/>
          <w:rtl/>
        </w:rPr>
        <w:tab/>
      </w:r>
      <w:r w:rsidRPr="00523D40">
        <w:rPr>
          <w:i/>
          <w:iCs/>
          <w:spacing w:val="0"/>
          <w:kern w:val="0"/>
          <w:sz w:val="20"/>
          <w:rtl/>
        </w:rPr>
        <w:tab/>
      </w:r>
      <w:r w:rsidRPr="00523D40">
        <w:rPr>
          <w:rFonts w:hint="cs"/>
          <w:i/>
          <w:iCs/>
          <w:spacing w:val="0"/>
          <w:kern w:val="0"/>
          <w:sz w:val="20"/>
          <w:rtl/>
        </w:rPr>
        <w:tab/>
      </w:r>
      <w:r w:rsidRPr="00523D40">
        <w:rPr>
          <w:rFonts w:hint="cs"/>
          <w:spacing w:val="0"/>
          <w:kern w:val="0"/>
          <w:sz w:val="20"/>
          <w:rtl/>
        </w:rPr>
        <w:t xml:space="preserve">إ. ت. </w:t>
      </w:r>
      <w:r w:rsidRPr="00523D40">
        <w:rPr>
          <w:spacing w:val="0"/>
          <w:kern w:val="0"/>
          <w:sz w:val="20"/>
          <w:rtl/>
        </w:rPr>
        <w:t>(يمثله</w:t>
      </w:r>
      <w:r w:rsidRPr="00523D40">
        <w:rPr>
          <w:rFonts w:hint="cs"/>
          <w:spacing w:val="0"/>
          <w:kern w:val="0"/>
          <w:sz w:val="20"/>
          <w:rtl/>
        </w:rPr>
        <w:t>ا</w:t>
      </w:r>
      <w:r w:rsidRPr="00523D40">
        <w:rPr>
          <w:spacing w:val="0"/>
          <w:kern w:val="0"/>
          <w:sz w:val="20"/>
          <w:rtl/>
        </w:rPr>
        <w:t xml:space="preserve"> </w:t>
      </w:r>
      <w:r w:rsidRPr="00523D40">
        <w:rPr>
          <w:rFonts w:hint="cs"/>
          <w:spacing w:val="0"/>
          <w:kern w:val="0"/>
          <w:sz w:val="20"/>
          <w:rtl/>
        </w:rPr>
        <w:t>المحامي، طارق حسن</w:t>
      </w:r>
      <w:r w:rsidRPr="00523D40">
        <w:rPr>
          <w:spacing w:val="0"/>
          <w:kern w:val="0"/>
          <w:sz w:val="20"/>
          <w:rtl/>
        </w:rPr>
        <w:t>)</w:t>
      </w:r>
    </w:p>
    <w:p w:rsidR="00523D40" w:rsidRPr="00523D40" w:rsidRDefault="00523D40" w:rsidP="00523D40">
      <w:pPr>
        <w:pStyle w:val="SingleTxtGA"/>
        <w:tabs>
          <w:tab w:val="clear" w:pos="1928"/>
          <w:tab w:val="left" w:pos="1883"/>
        </w:tabs>
        <w:ind w:left="1911"/>
        <w:jc w:val="lowKashida"/>
        <w:rPr>
          <w:rFonts w:hint="cs"/>
          <w:spacing w:val="0"/>
          <w:kern w:val="0"/>
          <w:sz w:val="20"/>
          <w:rtl/>
        </w:rPr>
      </w:pPr>
      <w:r w:rsidRPr="00523D40">
        <w:rPr>
          <w:i/>
          <w:iCs/>
          <w:spacing w:val="0"/>
          <w:kern w:val="0"/>
          <w:sz w:val="20"/>
          <w:rtl/>
        </w:rPr>
        <w:t>الشخص المدعى أنه ضحية</w:t>
      </w:r>
      <w:r w:rsidRPr="00523D40">
        <w:rPr>
          <w:rFonts w:hint="cs"/>
          <w:spacing w:val="0"/>
          <w:kern w:val="0"/>
          <w:sz w:val="20"/>
          <w:rtl/>
        </w:rPr>
        <w:t>:</w:t>
      </w:r>
      <w:r w:rsidRPr="00523D40">
        <w:rPr>
          <w:rFonts w:hint="cs"/>
          <w:spacing w:val="0"/>
          <w:kern w:val="0"/>
          <w:sz w:val="20"/>
          <w:rtl/>
        </w:rPr>
        <w:tab/>
      </w:r>
      <w:r w:rsidRPr="00523D40">
        <w:rPr>
          <w:spacing w:val="0"/>
          <w:kern w:val="0"/>
          <w:sz w:val="20"/>
          <w:rtl/>
        </w:rPr>
        <w:t>صاحب</w:t>
      </w:r>
      <w:r w:rsidRPr="00523D40">
        <w:rPr>
          <w:rFonts w:hint="cs"/>
          <w:spacing w:val="0"/>
          <w:kern w:val="0"/>
          <w:sz w:val="20"/>
          <w:rtl/>
        </w:rPr>
        <w:t>ة</w:t>
      </w:r>
      <w:r w:rsidRPr="00523D40">
        <w:rPr>
          <w:spacing w:val="0"/>
          <w:kern w:val="0"/>
          <w:sz w:val="20"/>
          <w:rtl/>
        </w:rPr>
        <w:t xml:space="preserve"> </w:t>
      </w:r>
      <w:r w:rsidRPr="00523D40">
        <w:rPr>
          <w:rFonts w:hint="cs"/>
          <w:spacing w:val="0"/>
          <w:kern w:val="0"/>
          <w:sz w:val="20"/>
          <w:rtl/>
        </w:rPr>
        <w:t>الشكوى</w:t>
      </w:r>
    </w:p>
    <w:p w:rsidR="00523D40" w:rsidRPr="00523D40" w:rsidRDefault="00523D40" w:rsidP="00523D40">
      <w:pPr>
        <w:pStyle w:val="SingleTxtGA"/>
        <w:tabs>
          <w:tab w:val="clear" w:pos="1928"/>
          <w:tab w:val="left" w:pos="1883"/>
        </w:tabs>
        <w:ind w:left="1911"/>
        <w:jc w:val="lowKashida"/>
        <w:rPr>
          <w:rFonts w:hint="cs"/>
          <w:spacing w:val="0"/>
          <w:kern w:val="0"/>
          <w:sz w:val="20"/>
          <w:rtl/>
        </w:rPr>
      </w:pPr>
      <w:r w:rsidRPr="00523D40">
        <w:rPr>
          <w:rFonts w:hint="cs"/>
          <w:i/>
          <w:iCs/>
          <w:spacing w:val="0"/>
          <w:kern w:val="0"/>
          <w:sz w:val="20"/>
          <w:rtl/>
        </w:rPr>
        <w:t>الدولة الطرف</w:t>
      </w:r>
      <w:r w:rsidRPr="00523D40">
        <w:rPr>
          <w:rFonts w:hint="cs"/>
          <w:spacing w:val="0"/>
          <w:kern w:val="0"/>
          <w:sz w:val="20"/>
          <w:rtl/>
        </w:rPr>
        <w:t>:</w:t>
      </w:r>
      <w:r w:rsidRPr="00523D40">
        <w:rPr>
          <w:rFonts w:hint="cs"/>
          <w:spacing w:val="0"/>
          <w:kern w:val="0"/>
          <w:sz w:val="20"/>
          <w:rtl/>
        </w:rPr>
        <w:tab/>
      </w:r>
      <w:r w:rsidRPr="00523D40">
        <w:rPr>
          <w:rFonts w:hint="cs"/>
          <w:spacing w:val="0"/>
          <w:kern w:val="0"/>
          <w:sz w:val="20"/>
          <w:rtl/>
        </w:rPr>
        <w:tab/>
      </w:r>
      <w:r w:rsidRPr="00523D40">
        <w:rPr>
          <w:rFonts w:hint="cs"/>
          <w:spacing w:val="0"/>
          <w:kern w:val="0"/>
          <w:sz w:val="20"/>
          <w:rtl/>
        </w:rPr>
        <w:tab/>
        <w:t>سويسرا</w:t>
      </w:r>
    </w:p>
    <w:p w:rsidR="00523D40" w:rsidRPr="00523D40" w:rsidRDefault="00523D40" w:rsidP="00523D40">
      <w:pPr>
        <w:pStyle w:val="SingleTxtGA"/>
        <w:tabs>
          <w:tab w:val="clear" w:pos="1928"/>
          <w:tab w:val="left" w:pos="1883"/>
        </w:tabs>
        <w:ind w:left="1911"/>
        <w:jc w:val="lowKashida"/>
        <w:rPr>
          <w:rFonts w:hint="cs"/>
          <w:i/>
          <w:iCs/>
          <w:spacing w:val="0"/>
          <w:kern w:val="0"/>
          <w:sz w:val="20"/>
          <w:rtl/>
        </w:rPr>
      </w:pPr>
      <w:r w:rsidRPr="00523D40">
        <w:rPr>
          <w:i/>
          <w:iCs/>
          <w:spacing w:val="0"/>
          <w:kern w:val="0"/>
          <w:sz w:val="20"/>
          <w:rtl/>
        </w:rPr>
        <w:t>تاريخ تقديم البلاغ</w:t>
      </w:r>
      <w:r w:rsidRPr="00523D40">
        <w:rPr>
          <w:rFonts w:hint="cs"/>
          <w:i/>
          <w:iCs/>
          <w:spacing w:val="0"/>
          <w:kern w:val="0"/>
          <w:sz w:val="20"/>
          <w:rtl/>
        </w:rPr>
        <w:t>:</w:t>
      </w:r>
      <w:r w:rsidRPr="00523D40">
        <w:rPr>
          <w:rFonts w:hint="cs"/>
          <w:i/>
          <w:iCs/>
          <w:spacing w:val="0"/>
          <w:kern w:val="0"/>
          <w:sz w:val="20"/>
          <w:rtl/>
        </w:rPr>
        <w:tab/>
      </w:r>
      <w:r w:rsidRPr="00523D40">
        <w:rPr>
          <w:rFonts w:hint="cs"/>
          <w:i/>
          <w:iCs/>
          <w:spacing w:val="0"/>
          <w:kern w:val="0"/>
          <w:sz w:val="20"/>
          <w:rtl/>
        </w:rPr>
        <w:tab/>
      </w:r>
      <w:r w:rsidRPr="00523D40">
        <w:rPr>
          <w:rFonts w:hint="cs"/>
          <w:spacing w:val="0"/>
          <w:kern w:val="0"/>
          <w:sz w:val="20"/>
          <w:rtl/>
        </w:rPr>
        <w:t>27 تموز/يوليه 2009</w:t>
      </w:r>
      <w:r w:rsidRPr="00523D40">
        <w:rPr>
          <w:rFonts w:hint="cs"/>
          <w:i/>
          <w:iCs/>
          <w:spacing w:val="0"/>
          <w:kern w:val="0"/>
          <w:sz w:val="20"/>
          <w:rtl/>
        </w:rPr>
        <w:t xml:space="preserve"> </w:t>
      </w:r>
      <w:r w:rsidRPr="00523D40">
        <w:rPr>
          <w:spacing w:val="0"/>
          <w:kern w:val="0"/>
          <w:sz w:val="20"/>
          <w:rtl/>
        </w:rPr>
        <w:t>(تاريخ الرسالة الأولى)</w:t>
      </w:r>
    </w:p>
    <w:p w:rsidR="00523D40" w:rsidRPr="00523D40" w:rsidRDefault="00523D40" w:rsidP="00523D40">
      <w:pPr>
        <w:pStyle w:val="SingleTxtGA"/>
        <w:jc w:val="lowKashida"/>
        <w:rPr>
          <w:rFonts w:hint="cs"/>
          <w:spacing w:val="0"/>
          <w:kern w:val="0"/>
          <w:sz w:val="20"/>
          <w:rtl/>
        </w:rPr>
      </w:pPr>
      <w:r w:rsidRPr="00523D40">
        <w:rPr>
          <w:rFonts w:hint="cs"/>
          <w:i/>
          <w:iCs/>
          <w:spacing w:val="0"/>
          <w:kern w:val="0"/>
          <w:sz w:val="20"/>
          <w:rtl/>
        </w:rPr>
        <w:tab/>
        <w:t>إن لجنة مناهضة التعذيب</w:t>
      </w:r>
      <w:r w:rsidRPr="00523D40">
        <w:rPr>
          <w:rFonts w:hint="cs"/>
          <w:spacing w:val="0"/>
          <w:kern w:val="0"/>
          <w:sz w:val="20"/>
          <w:rtl/>
        </w:rPr>
        <w:t>، المنشأة بموجب المادة 17 من اتفاقية مناهضة التعذيب وغيره من ضروب المعاملة أو العقوبة القاسية أو اللاإنسانية أو المهينة،</w:t>
      </w:r>
    </w:p>
    <w:p w:rsidR="00523D40" w:rsidRPr="00523D40" w:rsidRDefault="00523D40" w:rsidP="00523D40">
      <w:pPr>
        <w:pStyle w:val="SingleTxtGA"/>
        <w:jc w:val="lowKashida"/>
        <w:rPr>
          <w:rFonts w:hint="cs"/>
          <w:spacing w:val="0"/>
          <w:kern w:val="0"/>
          <w:sz w:val="20"/>
          <w:rtl/>
        </w:rPr>
      </w:pPr>
      <w:r w:rsidRPr="00523D40">
        <w:rPr>
          <w:rFonts w:hint="cs"/>
          <w:i/>
          <w:iCs/>
          <w:spacing w:val="0"/>
          <w:kern w:val="0"/>
          <w:sz w:val="20"/>
          <w:rtl/>
        </w:rPr>
        <w:tab/>
        <w:t>وقد اجتمعت</w:t>
      </w:r>
      <w:r w:rsidRPr="00523D40">
        <w:rPr>
          <w:rFonts w:hint="cs"/>
          <w:spacing w:val="0"/>
          <w:kern w:val="0"/>
          <w:sz w:val="20"/>
          <w:rtl/>
        </w:rPr>
        <w:t xml:space="preserve"> في 23 أيار/مايو 2012،</w:t>
      </w:r>
    </w:p>
    <w:p w:rsidR="00523D40" w:rsidRPr="00523D40" w:rsidRDefault="00523D40" w:rsidP="00523D40">
      <w:pPr>
        <w:pStyle w:val="SingleTxtGA"/>
        <w:jc w:val="lowKashida"/>
        <w:rPr>
          <w:rFonts w:hint="cs"/>
          <w:spacing w:val="0"/>
          <w:kern w:val="0"/>
          <w:sz w:val="20"/>
          <w:rtl/>
        </w:rPr>
      </w:pPr>
      <w:r w:rsidRPr="00523D40">
        <w:rPr>
          <w:rFonts w:hint="cs"/>
          <w:i/>
          <w:iCs/>
          <w:spacing w:val="0"/>
          <w:kern w:val="0"/>
          <w:sz w:val="20"/>
          <w:rtl/>
        </w:rPr>
        <w:tab/>
        <w:t xml:space="preserve">وقد فرغت </w:t>
      </w:r>
      <w:r w:rsidRPr="00523D40">
        <w:rPr>
          <w:rFonts w:hint="cs"/>
          <w:spacing w:val="0"/>
          <w:kern w:val="0"/>
          <w:sz w:val="20"/>
          <w:rtl/>
        </w:rPr>
        <w:t>من النظر في البلاغ رقم 393/2009، الذي قدمه إلى لجنة مناهضة التعذيب السيد طارق حسن باسم إ. ت. بموجب المادة 22 من اتفاقية مناهضة التعذيب وغيره من ضروب المعاملة أو العقوبة القاسية أو اللاإنسانية أو المهينة،</w:t>
      </w:r>
    </w:p>
    <w:p w:rsidR="00523D40" w:rsidRPr="00523D40" w:rsidRDefault="00523D40" w:rsidP="00523D40">
      <w:pPr>
        <w:pStyle w:val="SingleTxtGA"/>
        <w:jc w:val="lowKashida"/>
        <w:rPr>
          <w:rFonts w:hint="cs"/>
          <w:spacing w:val="0"/>
          <w:kern w:val="0"/>
          <w:sz w:val="20"/>
          <w:rtl/>
        </w:rPr>
      </w:pPr>
      <w:r w:rsidRPr="00523D40">
        <w:rPr>
          <w:rFonts w:hint="cs"/>
          <w:i/>
          <w:iCs/>
          <w:spacing w:val="0"/>
          <w:kern w:val="0"/>
          <w:sz w:val="20"/>
          <w:rtl/>
        </w:rPr>
        <w:tab/>
        <w:t xml:space="preserve">وقد وضعت في اعتبارها </w:t>
      </w:r>
      <w:r w:rsidRPr="00523D40">
        <w:rPr>
          <w:rFonts w:hint="cs"/>
          <w:spacing w:val="0"/>
          <w:kern w:val="0"/>
          <w:sz w:val="20"/>
          <w:rtl/>
        </w:rPr>
        <w:t>جميع المعلومات التي أتاحتها لها صاحبة الشكوى، ومحاميها والدولة الطرف،</w:t>
      </w:r>
    </w:p>
    <w:p w:rsidR="00523D40" w:rsidRPr="00523D40" w:rsidRDefault="00523D40" w:rsidP="00523D40">
      <w:pPr>
        <w:pStyle w:val="SingleTxtGA"/>
        <w:ind w:left="720"/>
        <w:jc w:val="lowKashida"/>
        <w:rPr>
          <w:rFonts w:hint="cs"/>
          <w:spacing w:val="0"/>
          <w:kern w:val="0"/>
          <w:sz w:val="20"/>
          <w:szCs w:val="32"/>
          <w:rtl/>
        </w:rPr>
      </w:pPr>
      <w:r w:rsidRPr="00523D40">
        <w:rPr>
          <w:rFonts w:hint="cs"/>
          <w:spacing w:val="0"/>
          <w:kern w:val="0"/>
          <w:sz w:val="20"/>
          <w:rtl/>
        </w:rPr>
        <w:tab/>
      </w:r>
      <w:r w:rsidRPr="00523D40">
        <w:rPr>
          <w:rFonts w:hint="cs"/>
          <w:i/>
          <w:iCs/>
          <w:spacing w:val="0"/>
          <w:kern w:val="0"/>
          <w:sz w:val="20"/>
          <w:rtl/>
        </w:rPr>
        <w:t xml:space="preserve">تعتمد </w:t>
      </w:r>
      <w:r w:rsidRPr="00523D40">
        <w:rPr>
          <w:rFonts w:hint="cs"/>
          <w:spacing w:val="0"/>
          <w:kern w:val="0"/>
          <w:sz w:val="20"/>
          <w:rtl/>
        </w:rPr>
        <w:t>ما يلي:</w:t>
      </w:r>
    </w:p>
    <w:p w:rsidR="00523D40" w:rsidRPr="00523D40" w:rsidRDefault="00523D40" w:rsidP="00523D40">
      <w:pPr>
        <w:pStyle w:val="H1GA"/>
        <w:jc w:val="lowKashida"/>
        <w:rPr>
          <w:rFonts w:hint="cs"/>
          <w:spacing w:val="0"/>
          <w:kern w:val="0"/>
          <w:sz w:val="20"/>
          <w:rtl/>
        </w:rPr>
      </w:pPr>
      <w:r w:rsidRPr="00523D40">
        <w:rPr>
          <w:rFonts w:hint="cs"/>
          <w:spacing w:val="0"/>
          <w:kern w:val="0"/>
          <w:sz w:val="20"/>
          <w:rtl/>
        </w:rPr>
        <w:tab/>
      </w:r>
      <w:r w:rsidRPr="00523D40">
        <w:rPr>
          <w:rFonts w:hint="cs"/>
          <w:spacing w:val="0"/>
          <w:kern w:val="0"/>
          <w:sz w:val="20"/>
          <w:rtl/>
        </w:rPr>
        <w:tab/>
        <w:t xml:space="preserve">قرار بموجب الفقرة 7 من المادة 22 من اتفاقية مناهضة التعذيب </w:t>
      </w:r>
    </w:p>
    <w:p w:rsidR="00523D40" w:rsidRPr="00523D40" w:rsidRDefault="00523D40" w:rsidP="00523D40">
      <w:pPr>
        <w:pStyle w:val="SingleTxtGA"/>
        <w:jc w:val="lowKashida"/>
        <w:rPr>
          <w:rFonts w:hint="cs"/>
          <w:spacing w:val="0"/>
          <w:kern w:val="0"/>
          <w:sz w:val="20"/>
          <w:rtl/>
        </w:rPr>
      </w:pPr>
      <w:r w:rsidRPr="00523D40">
        <w:rPr>
          <w:rFonts w:hint="cs"/>
          <w:spacing w:val="0"/>
          <w:kern w:val="0"/>
          <w:sz w:val="20"/>
          <w:rtl/>
        </w:rPr>
        <w:t>1-1</w:t>
      </w:r>
      <w:r w:rsidRPr="00523D40">
        <w:rPr>
          <w:rFonts w:hint="cs"/>
          <w:spacing w:val="0"/>
          <w:kern w:val="0"/>
          <w:sz w:val="20"/>
          <w:rtl/>
        </w:rPr>
        <w:tab/>
        <w:t xml:space="preserve">صاحبة الشكوى المؤرخة 27 تموز/يوليه 2009 هي إ. ت، وهي مواطنة إثيوبية من مواليد 30 أب/أغسطس 1963. وتدعي أن ترحيلها إلى إثيوبيا سيشكل انتهاكاً من قبل سويسرا للمادة 3 من اتفاقية مناهضة التعذيب وغيره من ضروب المعاملة أو العقوبة القاسية أو اللاإنسانية أو المهينة. ويمثل صاحبة الشكوى المحامي طارق حسن. </w:t>
      </w:r>
    </w:p>
    <w:p w:rsidR="00523D40" w:rsidRPr="00523D40" w:rsidRDefault="00523D40" w:rsidP="00523D40">
      <w:pPr>
        <w:pStyle w:val="SingleTxtGA"/>
        <w:jc w:val="lowKashida"/>
        <w:rPr>
          <w:rFonts w:hint="cs"/>
          <w:spacing w:val="0"/>
          <w:kern w:val="0"/>
          <w:sz w:val="20"/>
          <w:rtl/>
          <w:lang/>
        </w:rPr>
      </w:pPr>
      <w:r w:rsidRPr="00523D40">
        <w:rPr>
          <w:rFonts w:hint="cs"/>
          <w:spacing w:val="0"/>
          <w:kern w:val="0"/>
          <w:sz w:val="20"/>
          <w:rtl/>
        </w:rPr>
        <w:t>1-2</w:t>
      </w:r>
      <w:r w:rsidRPr="00523D40">
        <w:rPr>
          <w:rFonts w:hint="cs"/>
          <w:spacing w:val="0"/>
          <w:kern w:val="0"/>
          <w:sz w:val="20"/>
          <w:rtl/>
        </w:rPr>
        <w:tab/>
        <w:t xml:space="preserve">وفي 31 تموز/يوليه 2009، </w:t>
      </w:r>
      <w:r w:rsidRPr="00523D40">
        <w:rPr>
          <w:rFonts w:hint="cs"/>
          <w:spacing w:val="0"/>
          <w:kern w:val="0"/>
          <w:sz w:val="20"/>
          <w:rtl/>
          <w:lang/>
        </w:rPr>
        <w:t>طلبت اللجنة بموجب المادة 114 (المادة 108 سابقاً) من نظامها الداخلي (</w:t>
      </w:r>
      <w:r w:rsidRPr="00523D40">
        <w:rPr>
          <w:rFonts w:hint="cs"/>
          <w:spacing w:val="0"/>
          <w:kern w:val="0"/>
          <w:sz w:val="20"/>
          <w:lang/>
        </w:rPr>
        <w:t>CAT/C/3/Rev.5</w:t>
      </w:r>
      <w:r w:rsidRPr="00523D40">
        <w:rPr>
          <w:rFonts w:hint="cs"/>
          <w:spacing w:val="0"/>
          <w:kern w:val="0"/>
          <w:sz w:val="20"/>
          <w:rtl/>
          <w:lang/>
        </w:rPr>
        <w:t xml:space="preserve">)، إلى الدولة الطرف عدم ترحيل صاحبة الشكوى إلى إثيوبيا في أثناء نظر اللجنة في بلاغها. وفي 3 آب/أغسطس 2009، أكدت الدولة الطرف امتثالها لطلب اللجنة اتخاذ التدابير المؤقتة. </w:t>
      </w:r>
    </w:p>
    <w:p w:rsidR="00523D40" w:rsidRPr="00523D40" w:rsidRDefault="00523D40" w:rsidP="00523D40">
      <w:pPr>
        <w:pStyle w:val="H23GA"/>
        <w:jc w:val="lowKashida"/>
        <w:rPr>
          <w:rFonts w:hint="cs"/>
          <w:spacing w:val="0"/>
          <w:kern w:val="0"/>
          <w:sz w:val="20"/>
          <w:rtl/>
        </w:rPr>
      </w:pPr>
      <w:r w:rsidRPr="00523D40">
        <w:rPr>
          <w:rFonts w:hint="cs"/>
          <w:spacing w:val="0"/>
          <w:kern w:val="0"/>
          <w:sz w:val="20"/>
          <w:rtl/>
          <w:lang w:val="fr-CH"/>
        </w:rPr>
        <w:tab/>
      </w:r>
      <w:r w:rsidRPr="00523D40">
        <w:rPr>
          <w:rFonts w:hint="cs"/>
          <w:spacing w:val="0"/>
          <w:kern w:val="0"/>
          <w:sz w:val="20"/>
          <w:rtl/>
          <w:lang w:val="fr-CH"/>
        </w:rPr>
        <w:tab/>
        <w:t xml:space="preserve">الوقائع كما عرضتها صاحبة </w:t>
      </w:r>
      <w:r w:rsidRPr="00523D40">
        <w:rPr>
          <w:rFonts w:hint="cs"/>
          <w:spacing w:val="0"/>
          <w:kern w:val="0"/>
          <w:sz w:val="20"/>
          <w:rtl/>
        </w:rPr>
        <w:t xml:space="preserve">الشكوى </w:t>
      </w:r>
    </w:p>
    <w:p w:rsidR="00523D40" w:rsidRPr="00523D40" w:rsidRDefault="00523D40" w:rsidP="00523D40">
      <w:pPr>
        <w:pStyle w:val="SingleTxtGA"/>
        <w:jc w:val="lowKashida"/>
        <w:rPr>
          <w:rFonts w:hint="cs"/>
          <w:spacing w:val="0"/>
          <w:kern w:val="0"/>
          <w:sz w:val="20"/>
          <w:rtl/>
        </w:rPr>
      </w:pPr>
      <w:r w:rsidRPr="00523D40">
        <w:rPr>
          <w:rFonts w:hint="cs"/>
          <w:spacing w:val="0"/>
          <w:kern w:val="0"/>
          <w:sz w:val="20"/>
          <w:rtl/>
        </w:rPr>
        <w:t>2-1</w:t>
      </w:r>
      <w:r w:rsidRPr="00523D40">
        <w:rPr>
          <w:rFonts w:hint="cs"/>
          <w:spacing w:val="0"/>
          <w:kern w:val="0"/>
          <w:sz w:val="20"/>
          <w:rtl/>
        </w:rPr>
        <w:tab/>
        <w:t>تنتمي صاحبة الشكوى إلى أقلية الأماهرة العرقية التي يعيش معظم أفرادها في المرتفعات</w:t>
      </w:r>
      <w:r w:rsidRPr="00523D40">
        <w:rPr>
          <w:rFonts w:hint="eastAsia"/>
          <w:spacing w:val="0"/>
          <w:kern w:val="0"/>
          <w:sz w:val="20"/>
          <w:rtl/>
        </w:rPr>
        <w:t> </w:t>
      </w:r>
      <w:r w:rsidRPr="00523D40">
        <w:rPr>
          <w:rFonts w:hint="cs"/>
          <w:spacing w:val="0"/>
          <w:kern w:val="0"/>
          <w:sz w:val="20"/>
          <w:rtl/>
        </w:rPr>
        <w:t>الإثيوبية الوسطى. وقد غادرت وطنها لأسباب سياسية ووصلت إلى سويسرا في</w:t>
      </w:r>
      <w:r>
        <w:rPr>
          <w:rFonts w:hint="eastAsia"/>
          <w:spacing w:val="0"/>
          <w:kern w:val="0"/>
          <w:sz w:val="20"/>
          <w:rtl/>
        </w:rPr>
        <w:t> </w:t>
      </w:r>
      <w:r w:rsidRPr="00523D40">
        <w:rPr>
          <w:rFonts w:hint="cs"/>
          <w:spacing w:val="0"/>
          <w:kern w:val="0"/>
          <w:sz w:val="20"/>
          <w:rtl/>
        </w:rPr>
        <w:t xml:space="preserve">31 تموز/يوليه 2003 حيث قدمت طلب لجوء. </w:t>
      </w:r>
    </w:p>
    <w:p w:rsidR="00523D40" w:rsidRPr="00523D40" w:rsidRDefault="00523D40" w:rsidP="00523D40">
      <w:pPr>
        <w:pStyle w:val="SingleTxtGA"/>
        <w:spacing w:line="374" w:lineRule="exact"/>
        <w:jc w:val="lowKashida"/>
        <w:rPr>
          <w:rFonts w:hint="cs"/>
          <w:spacing w:val="0"/>
          <w:kern w:val="0"/>
          <w:sz w:val="20"/>
          <w:rtl/>
        </w:rPr>
      </w:pPr>
      <w:r w:rsidRPr="00523D40">
        <w:rPr>
          <w:rFonts w:hint="cs"/>
          <w:spacing w:val="0"/>
          <w:kern w:val="0"/>
          <w:sz w:val="20"/>
          <w:rtl/>
        </w:rPr>
        <w:t>2-2</w:t>
      </w:r>
      <w:r w:rsidRPr="00523D40">
        <w:rPr>
          <w:rFonts w:hint="cs"/>
          <w:spacing w:val="0"/>
          <w:kern w:val="0"/>
          <w:sz w:val="20"/>
          <w:rtl/>
        </w:rPr>
        <w:tab/>
        <w:t xml:space="preserve">وفي 14 حزيران/يونيه 2005، </w:t>
      </w:r>
      <w:r w:rsidRPr="00523D40">
        <w:rPr>
          <w:rFonts w:hint="cs"/>
          <w:spacing w:val="0"/>
          <w:kern w:val="0"/>
          <w:sz w:val="20"/>
          <w:rtl/>
          <w:lang w:val="fr-CH"/>
        </w:rPr>
        <w:t xml:space="preserve">رفض المكتب الاتحادي للهجرة </w:t>
      </w:r>
      <w:r w:rsidRPr="00523D40">
        <w:rPr>
          <w:rFonts w:hint="cs"/>
          <w:spacing w:val="0"/>
          <w:kern w:val="0"/>
          <w:sz w:val="20"/>
          <w:rtl/>
        </w:rPr>
        <w:t xml:space="preserve">طلب لجوئها وأمر بمغادرتها سويسرا. وفي 9 آب/أغسطس 2007، رفضت </w:t>
      </w:r>
      <w:r w:rsidRPr="00523D40">
        <w:rPr>
          <w:rFonts w:hint="cs"/>
          <w:spacing w:val="0"/>
          <w:kern w:val="0"/>
          <w:sz w:val="20"/>
          <w:rtl/>
          <w:lang w:val="fr-CH"/>
        </w:rPr>
        <w:t>المحكمة الإدارية الاتحادية استئنافها على</w:t>
      </w:r>
      <w:r w:rsidRPr="00523D40">
        <w:rPr>
          <w:rFonts w:hint="cs"/>
          <w:spacing w:val="0"/>
          <w:kern w:val="0"/>
          <w:sz w:val="20"/>
          <w:rtl/>
        </w:rPr>
        <w:t xml:space="preserve"> </w:t>
      </w:r>
      <w:r w:rsidRPr="00523D40">
        <w:rPr>
          <w:rFonts w:hint="cs"/>
          <w:spacing w:val="0"/>
          <w:kern w:val="0"/>
          <w:sz w:val="20"/>
          <w:rtl/>
          <w:lang w:val="fr-CH"/>
        </w:rPr>
        <w:t xml:space="preserve">أساس أنه لم يثبت أن نشاطها السياسي في سويسرا قد أظهرها إلى حد يلفت انتباه السلطات الإثيوبية. </w:t>
      </w:r>
    </w:p>
    <w:p w:rsidR="00523D40" w:rsidRPr="00523D40" w:rsidRDefault="00523D40" w:rsidP="00523D40">
      <w:pPr>
        <w:pStyle w:val="SingleTxtGA"/>
        <w:spacing w:line="374" w:lineRule="exact"/>
        <w:jc w:val="lowKashida"/>
        <w:rPr>
          <w:rFonts w:hint="cs"/>
          <w:spacing w:val="0"/>
          <w:kern w:val="0"/>
          <w:sz w:val="20"/>
          <w:rtl/>
        </w:rPr>
      </w:pPr>
      <w:r w:rsidRPr="00523D40">
        <w:rPr>
          <w:rFonts w:hint="cs"/>
          <w:spacing w:val="0"/>
          <w:kern w:val="0"/>
          <w:sz w:val="20"/>
          <w:rtl/>
        </w:rPr>
        <w:t>2-3</w:t>
      </w:r>
      <w:r w:rsidRPr="00523D40">
        <w:rPr>
          <w:rFonts w:hint="cs"/>
          <w:spacing w:val="0"/>
          <w:kern w:val="0"/>
          <w:sz w:val="20"/>
          <w:rtl/>
        </w:rPr>
        <w:tab/>
        <w:t xml:space="preserve">وفي أثناء إقامة صاحبة الشكوى في سويسرا، واصلت عملها السياسي في إطار الشتات الإثيوبي. وأصبحت عضواً نشطاً في التنظيم السياسي لمعارضة </w:t>
      </w:r>
      <w:r w:rsidRPr="00523D40">
        <w:rPr>
          <w:rFonts w:hint="cs"/>
          <w:spacing w:val="0"/>
          <w:kern w:val="0"/>
          <w:sz w:val="20"/>
          <w:rtl/>
          <w:lang w:val="fr-CH"/>
        </w:rPr>
        <w:t>الشتات المعروف باسم حزب التحالف من أجل الوحدة والديمقراطية "</w:t>
      </w:r>
      <w:r w:rsidRPr="00523D40">
        <w:rPr>
          <w:spacing w:val="0"/>
          <w:kern w:val="0"/>
          <w:sz w:val="20"/>
        </w:rPr>
        <w:t>KINIJIT</w:t>
      </w:r>
      <w:r w:rsidRPr="00523D40">
        <w:rPr>
          <w:rFonts w:hint="cs"/>
          <w:spacing w:val="0"/>
          <w:kern w:val="0"/>
          <w:sz w:val="20"/>
          <w:rtl/>
          <w:lang w:val="fr-CH"/>
        </w:rPr>
        <w:t>" (حزب التحالف) في سويسرا،</w:t>
      </w:r>
      <w:r w:rsidRPr="00523D40">
        <w:rPr>
          <w:rFonts w:hint="cs"/>
          <w:spacing w:val="0"/>
          <w:kern w:val="0"/>
          <w:sz w:val="20"/>
          <w:rtl/>
        </w:rPr>
        <w:t xml:space="preserve"> وقد شاركت في العديد من المظاهرات والتجمعات</w:t>
      </w:r>
      <w:r w:rsidRPr="00523D40">
        <w:rPr>
          <w:rFonts w:hint="cs"/>
          <w:spacing w:val="0"/>
          <w:kern w:val="0"/>
          <w:sz w:val="20"/>
          <w:rtl/>
          <w:lang w:val="fr-CH"/>
        </w:rPr>
        <w:t xml:space="preserve"> </w:t>
      </w:r>
      <w:r w:rsidRPr="00523D40">
        <w:rPr>
          <w:rFonts w:hint="cs"/>
          <w:spacing w:val="0"/>
          <w:kern w:val="0"/>
          <w:sz w:val="20"/>
          <w:rtl/>
        </w:rPr>
        <w:t xml:space="preserve">السياسية. وتشير صاحبة الشكوى، إلى أن حزب التحالف هو واحد من أهم حركات المعارضة الإثيوبية. وفي إثيوبيا، يواجه الحزب القمع السياسي الذي تمارسه الحكومة بانتظام ولا يزال أعضاؤه يتعرضون للاضطهاد. وتضرب صاحبة الشكوى مثلاً بقضية بيرتوكان ميديكسا، وهي رئيسة الحزب التي ألقى القبض عليها في 28 كانون الأول/ديسمبر 2008 وأدينت بتهمة محاولة </w:t>
      </w:r>
      <w:r w:rsidRPr="00523D40">
        <w:rPr>
          <w:rFonts w:hint="cs"/>
          <w:spacing w:val="0"/>
          <w:kern w:val="0"/>
          <w:sz w:val="20"/>
          <w:rtl/>
          <w:lang/>
        </w:rPr>
        <w:t xml:space="preserve">قلب النظام الدستوري فحكم عليها بالسجن المؤبد. وكانت السيدة </w:t>
      </w:r>
      <w:r w:rsidRPr="00523D40">
        <w:rPr>
          <w:rFonts w:hint="cs"/>
          <w:spacing w:val="0"/>
          <w:kern w:val="0"/>
          <w:sz w:val="20"/>
          <w:rtl/>
        </w:rPr>
        <w:t>ميديكسا،</w:t>
      </w:r>
      <w:r w:rsidRPr="00523D40">
        <w:rPr>
          <w:rFonts w:hint="cs"/>
          <w:spacing w:val="0"/>
          <w:kern w:val="0"/>
          <w:sz w:val="20"/>
          <w:rtl/>
          <w:lang/>
        </w:rPr>
        <w:t xml:space="preserve"> قبل إلقاء القبض عليها بشهر تقريباً، قد قامت </w:t>
      </w:r>
      <w:r w:rsidRPr="00523D40">
        <w:rPr>
          <w:rFonts w:hint="cs"/>
          <w:spacing w:val="0"/>
          <w:kern w:val="0"/>
          <w:sz w:val="20"/>
          <w:rtl/>
        </w:rPr>
        <w:t xml:space="preserve">بزيارة الفرع السويسري لحزب التحالف في جنيف وقابلتها صاحبة الشكوى شخصياً آنذاك وساعدتها على تنظيم اجتماعاتها. </w:t>
      </w:r>
    </w:p>
    <w:p w:rsidR="00523D40" w:rsidRPr="00523D40" w:rsidRDefault="00523D40" w:rsidP="00523D40">
      <w:pPr>
        <w:pStyle w:val="SingleTxtGA"/>
        <w:spacing w:line="374" w:lineRule="exact"/>
        <w:jc w:val="lowKashida"/>
        <w:rPr>
          <w:rFonts w:hint="cs"/>
          <w:spacing w:val="0"/>
          <w:kern w:val="0"/>
          <w:sz w:val="20"/>
          <w:rtl/>
        </w:rPr>
      </w:pPr>
      <w:r w:rsidRPr="00523D40">
        <w:rPr>
          <w:rFonts w:hint="cs"/>
          <w:spacing w:val="0"/>
          <w:kern w:val="0"/>
          <w:sz w:val="20"/>
          <w:rtl/>
        </w:rPr>
        <w:t>2-4</w:t>
      </w:r>
      <w:r w:rsidRPr="00523D40">
        <w:rPr>
          <w:rFonts w:hint="cs"/>
          <w:spacing w:val="0"/>
          <w:kern w:val="0"/>
          <w:sz w:val="20"/>
          <w:rtl/>
        </w:rPr>
        <w:tab/>
        <w:t>وظلت صاحبة الشكوى لسنوات عديدة، تساعد في تنظيم تجمعات للحركة السياسية التي تنتمي إليها في سويسرا. وقد ظهرت صور عديدة لها</w:t>
      </w:r>
      <w:r w:rsidRPr="00523D40">
        <w:rPr>
          <w:rFonts w:hint="cs"/>
          <w:spacing w:val="0"/>
          <w:kern w:val="0"/>
          <w:sz w:val="20"/>
          <w:rtl/>
          <w:lang/>
        </w:rPr>
        <w:t xml:space="preserve"> في وسائط الإعلام</w:t>
      </w:r>
      <w:r w:rsidRPr="00523D40">
        <w:rPr>
          <w:rFonts w:hint="cs"/>
          <w:spacing w:val="0"/>
          <w:kern w:val="0"/>
          <w:sz w:val="20"/>
          <w:rtl/>
        </w:rPr>
        <w:t xml:space="preserve"> ضمن الحشود المشاركة في المظاهرات. وانضمت صاحبة الشكوى، إلى جانب نشاطها مع حزب التحالف، إلى جمعية الإثيوبيين في سويسرا</w:t>
      </w:r>
      <w:r w:rsidRPr="00523D40">
        <w:rPr>
          <w:rFonts w:hint="cs"/>
          <w:spacing w:val="0"/>
          <w:kern w:val="0"/>
          <w:sz w:val="20"/>
          <w:rtl/>
          <w:lang w:val="fr-CH"/>
        </w:rPr>
        <w:t>.</w:t>
      </w:r>
      <w:r w:rsidRPr="00523D40">
        <w:rPr>
          <w:rFonts w:hint="cs"/>
          <w:spacing w:val="0"/>
          <w:kern w:val="0"/>
          <w:sz w:val="20"/>
          <w:rtl/>
        </w:rPr>
        <w:t xml:space="preserve"> </w:t>
      </w:r>
      <w:r w:rsidRPr="00523D40">
        <w:rPr>
          <w:rFonts w:hint="cs"/>
          <w:spacing w:val="0"/>
          <w:kern w:val="0"/>
          <w:sz w:val="20"/>
          <w:rtl/>
          <w:lang w:val="fr-CH"/>
        </w:rPr>
        <w:t>وهي جماعة هامة ومنتدى للشتات الإثيوبي، تنظم مناسبات ثقافية وسياسية. وصاحبة الشكوى عضو في اللجنة التنفيذية منذ 2004. وكان لها كذلك حضور في برنامج إذاعي إثيوبي بثته محطة إذاعية محلية سويسرية حيث كانت تتحدث باللغة الأمهرية مع مواطنيها.</w:t>
      </w:r>
    </w:p>
    <w:p w:rsidR="00523D40" w:rsidRPr="00523D40" w:rsidRDefault="00523D40" w:rsidP="00523D40">
      <w:pPr>
        <w:pStyle w:val="SingleTxtGA"/>
        <w:spacing w:line="374" w:lineRule="exact"/>
        <w:jc w:val="lowKashida"/>
        <w:rPr>
          <w:rFonts w:hint="cs"/>
          <w:spacing w:val="0"/>
          <w:kern w:val="0"/>
          <w:sz w:val="20"/>
          <w:rtl/>
          <w:lang w:val="fr-CH"/>
        </w:rPr>
      </w:pPr>
      <w:r w:rsidRPr="00523D40">
        <w:rPr>
          <w:rFonts w:hint="cs"/>
          <w:spacing w:val="0"/>
          <w:kern w:val="0"/>
          <w:sz w:val="20"/>
          <w:rtl/>
          <w:lang w:val="fr-CH"/>
        </w:rPr>
        <w:t>2-5</w:t>
      </w:r>
      <w:r w:rsidRPr="00523D40">
        <w:rPr>
          <w:rFonts w:hint="cs"/>
          <w:spacing w:val="0"/>
          <w:kern w:val="0"/>
          <w:sz w:val="20"/>
          <w:rtl/>
          <w:lang w:val="fr-CH"/>
        </w:rPr>
        <w:tab/>
        <w:t xml:space="preserve">وفي 5 تشرين الأول/أكتوبر 2007 </w:t>
      </w:r>
      <w:r w:rsidRPr="00523D40">
        <w:rPr>
          <w:rFonts w:hint="cs"/>
          <w:spacing w:val="0"/>
          <w:kern w:val="0"/>
          <w:sz w:val="20"/>
          <w:rtl/>
        </w:rPr>
        <w:t>قدمت</w:t>
      </w:r>
      <w:r w:rsidRPr="00523D40">
        <w:rPr>
          <w:rFonts w:hint="cs"/>
          <w:spacing w:val="0"/>
          <w:kern w:val="0"/>
          <w:sz w:val="20"/>
          <w:rtl/>
          <w:lang w:val="fr-CH"/>
        </w:rPr>
        <w:t xml:space="preserve"> صاحبة ال</w:t>
      </w:r>
      <w:r w:rsidRPr="00523D40">
        <w:rPr>
          <w:rFonts w:hint="cs"/>
          <w:spacing w:val="0"/>
          <w:kern w:val="0"/>
          <w:sz w:val="20"/>
          <w:rtl/>
        </w:rPr>
        <w:t>شكوى طلب لجوء</w:t>
      </w:r>
      <w:r w:rsidRPr="00523D40">
        <w:rPr>
          <w:rFonts w:hint="cs"/>
          <w:spacing w:val="0"/>
          <w:kern w:val="0"/>
          <w:sz w:val="20"/>
          <w:rtl/>
          <w:lang w:val="fr-CH"/>
        </w:rPr>
        <w:t xml:space="preserve"> ثانياً استناداً إلى أنشطتها السياسية الأخيرة في سويسرا. وأحال المكتب الاتحادي للهجرة طلبها إلى المحكمة الإدارية الاتحادية التي اعتبرته طلب إعادة نظر. ورفضت المحكمة طلبها في 12 حزيران/يونيه 2009 </w:t>
      </w:r>
      <w:r w:rsidRPr="00523D40">
        <w:rPr>
          <w:rFonts w:hint="cs"/>
          <w:spacing w:val="0"/>
          <w:kern w:val="0"/>
          <w:sz w:val="20"/>
          <w:rtl/>
          <w:lang/>
        </w:rPr>
        <w:t xml:space="preserve">لعدم توافر أدلة كافية تثبت </w:t>
      </w:r>
      <w:r w:rsidRPr="00523D40">
        <w:rPr>
          <w:rFonts w:hint="cs"/>
          <w:spacing w:val="0"/>
          <w:kern w:val="0"/>
          <w:sz w:val="20"/>
          <w:rtl/>
          <w:lang w:val="fr-CH"/>
        </w:rPr>
        <w:t>تعرض صاحبة الشكوى</w:t>
      </w:r>
      <w:r w:rsidRPr="00523D40">
        <w:rPr>
          <w:rFonts w:hint="cs"/>
          <w:spacing w:val="0"/>
          <w:kern w:val="0"/>
          <w:sz w:val="20"/>
          <w:rtl/>
        </w:rPr>
        <w:t xml:space="preserve"> </w:t>
      </w:r>
      <w:r w:rsidRPr="00523D40">
        <w:rPr>
          <w:rFonts w:hint="cs"/>
          <w:spacing w:val="0"/>
          <w:kern w:val="0"/>
          <w:sz w:val="20"/>
          <w:rtl/>
          <w:lang/>
        </w:rPr>
        <w:t>لخطر حقيقي في حال عودتها إلى إثيوبيا، وأصدرت أمراً</w:t>
      </w:r>
      <w:r w:rsidRPr="00523D40">
        <w:rPr>
          <w:rFonts w:hint="cs"/>
          <w:spacing w:val="0"/>
          <w:kern w:val="0"/>
          <w:sz w:val="20"/>
          <w:rtl/>
          <w:lang w:val="fr-CH"/>
        </w:rPr>
        <w:t xml:space="preserve"> </w:t>
      </w:r>
      <w:r w:rsidRPr="00523D40">
        <w:rPr>
          <w:rFonts w:hint="cs"/>
          <w:spacing w:val="0"/>
          <w:kern w:val="0"/>
          <w:sz w:val="20"/>
          <w:rtl/>
          <w:lang/>
        </w:rPr>
        <w:t xml:space="preserve">بتـرحيلها. </w:t>
      </w:r>
    </w:p>
    <w:p w:rsidR="00523D40" w:rsidRPr="00523D40" w:rsidRDefault="00523D40" w:rsidP="00523D40">
      <w:pPr>
        <w:pStyle w:val="H23GA"/>
        <w:spacing w:line="374" w:lineRule="exact"/>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الشكوى</w:t>
      </w:r>
    </w:p>
    <w:p w:rsidR="00523D40" w:rsidRPr="00523D40" w:rsidRDefault="00523D40" w:rsidP="00523D40">
      <w:pPr>
        <w:pStyle w:val="SingleTxtGA"/>
        <w:spacing w:line="374" w:lineRule="exact"/>
        <w:jc w:val="lowKashida"/>
        <w:rPr>
          <w:rFonts w:hint="cs"/>
          <w:spacing w:val="0"/>
          <w:kern w:val="0"/>
          <w:sz w:val="20"/>
          <w:rtl/>
          <w:lang w:val="fr-CH"/>
        </w:rPr>
      </w:pPr>
      <w:r w:rsidRPr="00523D40">
        <w:rPr>
          <w:rFonts w:hint="cs"/>
          <w:spacing w:val="0"/>
          <w:kern w:val="0"/>
          <w:sz w:val="20"/>
          <w:rtl/>
          <w:lang w:val="fr-CH"/>
        </w:rPr>
        <w:t>3-1</w:t>
      </w:r>
      <w:r w:rsidRPr="00523D40">
        <w:rPr>
          <w:rFonts w:hint="cs"/>
          <w:spacing w:val="0"/>
          <w:kern w:val="0"/>
          <w:sz w:val="20"/>
          <w:rtl/>
          <w:lang w:val="fr-CH"/>
        </w:rPr>
        <w:tab/>
        <w:t xml:space="preserve">تدعي </w:t>
      </w:r>
      <w:r w:rsidRPr="00523D40">
        <w:rPr>
          <w:rFonts w:hint="cs"/>
          <w:spacing w:val="0"/>
          <w:kern w:val="0"/>
          <w:sz w:val="20"/>
          <w:rtl/>
          <w:lang w:val="fr-CH"/>
        </w:rPr>
        <w:t xml:space="preserve">صاحبة </w:t>
      </w:r>
      <w:r w:rsidRPr="00523D40">
        <w:rPr>
          <w:rFonts w:hint="cs"/>
          <w:spacing w:val="0"/>
          <w:kern w:val="0"/>
          <w:sz w:val="20"/>
          <w:rtl/>
          <w:lang w:val="fr-CH"/>
        </w:rPr>
        <w:t xml:space="preserve">الشكوى أن </w:t>
      </w:r>
      <w:r w:rsidRPr="00523D40">
        <w:rPr>
          <w:rFonts w:hint="cs"/>
          <w:spacing w:val="0"/>
          <w:kern w:val="0"/>
          <w:sz w:val="20"/>
          <w:rtl/>
          <w:lang w:val="fr-CH"/>
        </w:rPr>
        <w:t xml:space="preserve">ترحيلها قسراً من سويسرا إلى إثيوبيا يشكل انتهاكاً للمادة 3 من الاتفاقية لأنها قد تتعرض للتوقيف والتعذيب نتيجة لأنشطتها السياسية في سويسرا. وتشدد صاحبة الشكوى على أن المحكمة الإدارية الاتحادية، لدى نظرها في </w:t>
      </w:r>
      <w:r w:rsidRPr="00523D40">
        <w:rPr>
          <w:rFonts w:hint="cs"/>
          <w:spacing w:val="0"/>
          <w:kern w:val="0"/>
          <w:sz w:val="20"/>
          <w:rtl/>
          <w:lang/>
        </w:rPr>
        <w:t xml:space="preserve">الأسس الموضوعية </w:t>
      </w:r>
      <w:r w:rsidRPr="00523D40">
        <w:rPr>
          <w:rFonts w:hint="cs"/>
          <w:spacing w:val="0"/>
          <w:kern w:val="0"/>
          <w:sz w:val="20"/>
          <w:rtl/>
          <w:lang w:val="fr-CH"/>
        </w:rPr>
        <w:t>لطلبات اللجوء السابقة المقدمة من الإثيوبيين النشطين في</w:t>
      </w:r>
      <w:r w:rsidRPr="00523D40">
        <w:rPr>
          <w:rFonts w:hint="cs"/>
          <w:spacing w:val="0"/>
          <w:kern w:val="0"/>
          <w:sz w:val="20"/>
          <w:rtl/>
          <w:lang w:val="es-ES"/>
        </w:rPr>
        <w:t xml:space="preserve"> حزب التحالف، أقرت بأن سلطات الأمن الإثيوبية تراقب أنشطة الإثيوبيين في المنفى وتسجلها في قاعدة بيانات إلكترونية. وتضيف </w:t>
      </w:r>
      <w:r w:rsidRPr="00523D40">
        <w:rPr>
          <w:rFonts w:hint="cs"/>
          <w:spacing w:val="0"/>
          <w:kern w:val="0"/>
          <w:sz w:val="20"/>
          <w:rtl/>
          <w:lang w:val="fr-CH"/>
        </w:rPr>
        <w:t>صاحبة الشكوى</w:t>
      </w:r>
      <w:r w:rsidRPr="00523D40">
        <w:rPr>
          <w:rFonts w:hint="cs"/>
          <w:spacing w:val="0"/>
          <w:kern w:val="0"/>
          <w:sz w:val="20"/>
          <w:rtl/>
          <w:lang w:val="es-ES"/>
        </w:rPr>
        <w:t xml:space="preserve"> أنه في قضية مماثلة، أقرت المحكمة </w:t>
      </w:r>
      <w:r w:rsidRPr="00523D40">
        <w:rPr>
          <w:rFonts w:hint="cs"/>
          <w:spacing w:val="0"/>
          <w:kern w:val="0"/>
          <w:sz w:val="20"/>
          <w:rtl/>
          <w:lang w:val="fr-CH"/>
        </w:rPr>
        <w:t>الاتحادية</w:t>
      </w:r>
      <w:r w:rsidRPr="00523D40">
        <w:rPr>
          <w:rFonts w:hint="cs"/>
          <w:spacing w:val="0"/>
          <w:kern w:val="0"/>
          <w:sz w:val="20"/>
          <w:rtl/>
          <w:lang w:val="es-ES"/>
        </w:rPr>
        <w:t xml:space="preserve"> بأن هناك احتمالاً كبيراً في أن تتعرف السلطات الإثيوبية</w:t>
      </w:r>
      <w:r w:rsidRPr="00523D40">
        <w:rPr>
          <w:spacing w:val="0"/>
          <w:kern w:val="0"/>
          <w:sz w:val="20"/>
          <w:vertAlign w:val="superscript"/>
          <w:rtl/>
          <w:lang w:val="es-ES"/>
        </w:rPr>
        <w:t>(</w:t>
      </w:r>
      <w:r w:rsidRPr="00523D40">
        <w:rPr>
          <w:rStyle w:val="FootnoteReference"/>
          <w:spacing w:val="0"/>
          <w:sz w:val="20"/>
          <w:rtl/>
          <w:lang w:val="es-ES"/>
        </w:rPr>
        <w:footnoteReference w:id="300"/>
      </w:r>
      <w:r w:rsidRPr="00523D40">
        <w:rPr>
          <w:spacing w:val="0"/>
          <w:kern w:val="0"/>
          <w:sz w:val="20"/>
          <w:vertAlign w:val="superscript"/>
          <w:rtl/>
          <w:lang w:val="es-ES"/>
        </w:rPr>
        <w:t>)</w:t>
      </w:r>
      <w:r w:rsidRPr="00523D40">
        <w:rPr>
          <w:rFonts w:hint="cs"/>
          <w:spacing w:val="0"/>
          <w:kern w:val="0"/>
          <w:sz w:val="20"/>
          <w:rtl/>
          <w:lang w:val="fr-CH"/>
        </w:rPr>
        <w:t xml:space="preserve"> على </w:t>
      </w:r>
      <w:r w:rsidRPr="00523D40">
        <w:rPr>
          <w:rFonts w:hint="cs"/>
          <w:spacing w:val="0"/>
          <w:kern w:val="0"/>
          <w:sz w:val="20"/>
          <w:rtl/>
          <w:lang w:val="es-ES"/>
        </w:rPr>
        <w:t xml:space="preserve">هوية الإثيوبيين المقيمين بالخارج الذين ينشطون في حزب </w:t>
      </w:r>
      <w:r w:rsidRPr="00523D40">
        <w:rPr>
          <w:rFonts w:hint="cs"/>
          <w:spacing w:val="0"/>
          <w:kern w:val="0"/>
          <w:sz w:val="20"/>
          <w:rtl/>
          <w:lang w:val="fr-CH"/>
        </w:rPr>
        <w:t>التحالف أو يتعاطفون معه فحسب.</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3-2</w:t>
      </w:r>
      <w:r w:rsidRPr="00523D40">
        <w:rPr>
          <w:rFonts w:hint="cs"/>
          <w:spacing w:val="0"/>
          <w:kern w:val="0"/>
          <w:sz w:val="20"/>
          <w:rtl/>
          <w:lang w:val="fr-CH"/>
        </w:rPr>
        <w:tab/>
        <w:t xml:space="preserve">وتؤكد صاحبة الشكوى أن أنشطتها تتعدى بكثير أنشطة أي متعاطف سلبي. وبالفعل، فإنها لا تكتفي بالمشاركة في المناسبات السياسية فحسب، بل تنشر مقالات انتقادية على شبكة الإنترنت، وقد أصبحت صوتاً مسموعاً في أوساط الشتات الإثيوبي. ولها اتصالات مع زعماء المعارضة المهمين كما يشير إلى ذلك اجتماعها مع السيدة ميديكسا. وتدعي أن هذا الحضور يجعلها تحظى باهتمام كبير ويجعل منها هدفاً لقوات الأمن الإثيوبية. </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3-3</w:t>
      </w:r>
      <w:r w:rsidRPr="00523D40">
        <w:rPr>
          <w:rFonts w:hint="cs"/>
          <w:spacing w:val="0"/>
          <w:kern w:val="0"/>
          <w:sz w:val="20"/>
          <w:rtl/>
          <w:lang w:val="fr-CH"/>
        </w:rPr>
        <w:tab/>
        <w:t xml:space="preserve">وتؤكد صاحبة الشكوى أن المحكمة الإدارية السويسرية لم تبحث بالتفصيل ما إذا كان نشاطها السياسي سيؤدي إلى تعرضها للتعذيب في حالة إعادتها قسراً إلى إثيوبيا. وتؤكد أيضاً أن إثيوبيا معروفة بانتهاكات حقوق الإنسان التي ترتكبها بحق زعماء المعارضة، وأن هناك تقارير موثوقاً بها تؤكد أن السلطات الإثيوبية تراقب أنشطة الإثيوبيين </w:t>
      </w:r>
      <w:r w:rsidRPr="00523D40">
        <w:rPr>
          <w:rFonts w:hint="cs"/>
          <w:spacing w:val="0"/>
          <w:kern w:val="0"/>
          <w:sz w:val="20"/>
          <w:rtl/>
          <w:lang w:val="es-ES"/>
        </w:rPr>
        <w:t>في الشتات</w:t>
      </w:r>
      <w:r w:rsidRPr="00523D40">
        <w:rPr>
          <w:spacing w:val="0"/>
          <w:kern w:val="0"/>
          <w:sz w:val="20"/>
          <w:vertAlign w:val="superscript"/>
          <w:rtl/>
          <w:lang w:val="es-ES"/>
        </w:rPr>
        <w:t>(</w:t>
      </w:r>
      <w:r w:rsidRPr="00523D40">
        <w:rPr>
          <w:rStyle w:val="FootnoteReference"/>
          <w:spacing w:val="0"/>
          <w:sz w:val="20"/>
          <w:rtl/>
          <w:lang w:val="es-ES"/>
        </w:rPr>
        <w:footnoteReference w:id="301"/>
      </w:r>
      <w:r w:rsidRPr="00523D40">
        <w:rPr>
          <w:spacing w:val="0"/>
          <w:kern w:val="0"/>
          <w:sz w:val="20"/>
          <w:vertAlign w:val="superscript"/>
          <w:rtl/>
          <w:lang w:val="es-ES"/>
        </w:rPr>
        <w:t>)</w:t>
      </w:r>
      <w:r w:rsidRPr="00523D40">
        <w:rPr>
          <w:rFonts w:hint="cs"/>
          <w:spacing w:val="0"/>
          <w:kern w:val="0"/>
          <w:sz w:val="20"/>
          <w:rtl/>
          <w:lang w:val="fr-CH"/>
        </w:rPr>
        <w:t xml:space="preserve">. وبهذا، تدعي صاحبة الشكوى أنها ستكون معرضة لخطر حقيقي بالتوقيف والتعذيب إذا    ما أعيدت إلى إثيوبيا. </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3-4</w:t>
      </w:r>
      <w:r w:rsidRPr="00523D40">
        <w:rPr>
          <w:rFonts w:hint="cs"/>
          <w:spacing w:val="0"/>
          <w:kern w:val="0"/>
          <w:sz w:val="20"/>
          <w:rtl/>
          <w:lang w:val="fr-CH"/>
        </w:rPr>
        <w:tab/>
        <w:t>ووفقاً لمنظمات حقوق الإنسان، فقد كثفت الحكومة الإثيوبية جهودها لقمع التنظيم السياسي المعارض</w:t>
      </w:r>
      <w:r w:rsidRPr="00523D40">
        <w:rPr>
          <w:spacing w:val="0"/>
          <w:kern w:val="0"/>
          <w:sz w:val="20"/>
          <w:vertAlign w:val="superscript"/>
          <w:rtl/>
          <w:lang w:val="es-ES"/>
        </w:rPr>
        <w:t>(</w:t>
      </w:r>
      <w:r w:rsidRPr="00523D40">
        <w:rPr>
          <w:rStyle w:val="FootnoteReference"/>
          <w:spacing w:val="0"/>
          <w:sz w:val="20"/>
          <w:rtl/>
          <w:lang w:val="es-ES"/>
        </w:rPr>
        <w:footnoteReference w:id="302"/>
      </w:r>
      <w:r w:rsidRPr="00523D40">
        <w:rPr>
          <w:spacing w:val="0"/>
          <w:kern w:val="0"/>
          <w:sz w:val="20"/>
          <w:vertAlign w:val="superscript"/>
          <w:rtl/>
          <w:lang w:val="es-ES"/>
        </w:rPr>
        <w:t>)</w:t>
      </w:r>
      <w:r w:rsidRPr="00523D40">
        <w:rPr>
          <w:rFonts w:hint="cs"/>
          <w:spacing w:val="0"/>
          <w:kern w:val="0"/>
          <w:sz w:val="20"/>
          <w:rtl/>
          <w:lang w:val="fr-CH"/>
        </w:rPr>
        <w:t xml:space="preserve">. ويناقش البرلمان الإثيوبي حالياً مشروع إعلان جديد لمكافحة الإرهاب بهدف قمع جميع أوجه المعارضة في البلد وهو مشروع يعتبر الأنشطة السياسية، بما فيها المظاهرات السلمية، أعمالا إرهابية. وتقول صاحبة الشكوى إن مشروع القانون سيجيز كذلك </w:t>
      </w:r>
      <w:r w:rsidRPr="00523D40">
        <w:rPr>
          <w:rFonts w:hint="cs"/>
          <w:spacing w:val="0"/>
          <w:kern w:val="0"/>
          <w:sz w:val="20"/>
          <w:rtl/>
          <w:lang/>
        </w:rPr>
        <w:t>عقوبة السجن لمدة طويلة</w:t>
      </w:r>
      <w:r w:rsidRPr="00523D40">
        <w:rPr>
          <w:rFonts w:hint="cs"/>
          <w:spacing w:val="0"/>
          <w:kern w:val="0"/>
          <w:sz w:val="20"/>
          <w:rtl/>
          <w:lang w:val="fr-CH"/>
        </w:rPr>
        <w:t xml:space="preserve"> وعقوبة الإعدام على جرائم مثل إلحاق الضرر بالممتلكات أو تعطيل أي خدمة من الخدمات العامة لغرض خدمة قضية سياسية أو دينية أو </w:t>
      </w:r>
      <w:r>
        <w:rPr>
          <w:rFonts w:hint="cs"/>
          <w:spacing w:val="0"/>
          <w:kern w:val="0"/>
          <w:sz w:val="20"/>
          <w:rtl/>
          <w:lang w:val="fr-CH"/>
        </w:rPr>
        <w:t>إ</w:t>
      </w:r>
      <w:r w:rsidRPr="00523D40">
        <w:rPr>
          <w:rFonts w:hint="cs"/>
          <w:spacing w:val="0"/>
          <w:kern w:val="0"/>
          <w:sz w:val="20"/>
          <w:rtl/>
          <w:lang w:val="fr-CH"/>
        </w:rPr>
        <w:t>يديولوجي</w:t>
      </w:r>
      <w:r w:rsidRPr="00523D40">
        <w:rPr>
          <w:rFonts w:hint="eastAsia"/>
          <w:spacing w:val="0"/>
          <w:kern w:val="0"/>
          <w:sz w:val="20"/>
          <w:rtl/>
          <w:lang w:val="fr-CH"/>
        </w:rPr>
        <w:t>ة</w:t>
      </w:r>
      <w:r w:rsidRPr="00523D40">
        <w:rPr>
          <w:rFonts w:hint="cs"/>
          <w:spacing w:val="0"/>
          <w:kern w:val="0"/>
          <w:sz w:val="20"/>
          <w:rtl/>
          <w:lang w:val="fr-CH"/>
        </w:rPr>
        <w:t>. وتفيد أيضاً بأنه يكفي أن يهدد شخص ما بارتكاب جريمة من هذا القبيل لمحاكمته على أنه</w:t>
      </w:r>
      <w:r w:rsidRPr="00523D40">
        <w:rPr>
          <w:rFonts w:hint="eastAsia"/>
          <w:spacing w:val="0"/>
          <w:kern w:val="0"/>
          <w:sz w:val="20"/>
          <w:rtl/>
          <w:lang w:val="fr-CH"/>
        </w:rPr>
        <w:t> </w:t>
      </w:r>
      <w:r w:rsidRPr="00523D40">
        <w:rPr>
          <w:rFonts w:hint="cs"/>
          <w:spacing w:val="0"/>
          <w:kern w:val="0"/>
          <w:sz w:val="20"/>
          <w:rtl/>
          <w:lang w:val="fr-CH"/>
        </w:rPr>
        <w:t xml:space="preserve">إرهابي. وتحتج صاحبة الشكوى بأنها تخشى أن تتعرض للاضطهاد بسبب خلفيتها السياسية ودورها </w:t>
      </w:r>
      <w:r w:rsidRPr="00523D40">
        <w:rPr>
          <w:rFonts w:hint="cs"/>
          <w:spacing w:val="0"/>
          <w:kern w:val="0"/>
          <w:sz w:val="20"/>
          <w:rtl/>
          <w:lang w:val="es-ES"/>
        </w:rPr>
        <w:t>البارز في حزب الائتلاف وتدعي أنها ستكون معرضة لخطر التعذيب إذا عادت إلى إثيوبيا.</w:t>
      </w:r>
    </w:p>
    <w:p w:rsidR="00523D40" w:rsidRPr="00523D40" w:rsidRDefault="00523D40" w:rsidP="00523D40">
      <w:pPr>
        <w:pStyle w:val="H23GA"/>
        <w:jc w:val="lowKashida"/>
        <w:rPr>
          <w:rFonts w:hint="cs"/>
          <w:spacing w:val="0"/>
          <w:kern w:val="0"/>
          <w:sz w:val="20"/>
          <w:rtl/>
          <w:lang w:val="es-ES"/>
        </w:rPr>
      </w:pPr>
      <w:r w:rsidRPr="00523D40">
        <w:rPr>
          <w:rFonts w:hint="cs"/>
          <w:spacing w:val="0"/>
          <w:kern w:val="0"/>
          <w:sz w:val="20"/>
          <w:rtl/>
          <w:lang/>
        </w:rPr>
        <w:tab/>
      </w:r>
      <w:r w:rsidRPr="00523D40">
        <w:rPr>
          <w:rFonts w:hint="cs"/>
          <w:spacing w:val="0"/>
          <w:kern w:val="0"/>
          <w:sz w:val="20"/>
          <w:rtl/>
          <w:lang/>
        </w:rPr>
        <w:tab/>
        <w:t xml:space="preserve">ملاحظات الدولة الطرف بشأن المقبولية </w:t>
      </w:r>
      <w:r w:rsidRPr="00523D40">
        <w:rPr>
          <w:rFonts w:hint="cs"/>
          <w:spacing w:val="0"/>
          <w:kern w:val="0"/>
          <w:sz w:val="20"/>
          <w:rtl/>
          <w:lang w:val="es-ES"/>
        </w:rPr>
        <w:t>والأسس الموضوعية</w:t>
      </w:r>
    </w:p>
    <w:p w:rsidR="00523D40" w:rsidRPr="00523D40" w:rsidRDefault="00523D40" w:rsidP="00523D40">
      <w:pPr>
        <w:pStyle w:val="SingleTxtGA"/>
        <w:jc w:val="lowKashida"/>
        <w:rPr>
          <w:rFonts w:hint="cs"/>
          <w:spacing w:val="0"/>
          <w:kern w:val="0"/>
          <w:sz w:val="20"/>
          <w:rtl/>
          <w:lang/>
        </w:rPr>
      </w:pPr>
      <w:r w:rsidRPr="00523D40">
        <w:rPr>
          <w:rFonts w:hint="cs"/>
          <w:spacing w:val="0"/>
          <w:kern w:val="0"/>
          <w:sz w:val="20"/>
          <w:rtl/>
          <w:lang w:val="es-ES"/>
        </w:rPr>
        <w:t>4-1</w:t>
      </w:r>
      <w:r w:rsidRPr="00523D40">
        <w:rPr>
          <w:rFonts w:hint="cs"/>
          <w:spacing w:val="0"/>
          <w:kern w:val="0"/>
          <w:sz w:val="20"/>
          <w:rtl/>
          <w:lang w:val="es-ES"/>
        </w:rPr>
        <w:tab/>
        <w:t>في 27 كانون الثاني/يناير 2010،</w:t>
      </w:r>
      <w:r w:rsidRPr="00523D40">
        <w:rPr>
          <w:rFonts w:hint="cs"/>
          <w:spacing w:val="0"/>
          <w:kern w:val="0"/>
          <w:sz w:val="20"/>
          <w:rtl/>
          <w:lang/>
        </w:rPr>
        <w:t xml:space="preserve"> قدمت الدولة الطرف ملاحظاتها بشأن المقبولية والأسس الموضوعية. وتفيد الدولة الطرف بأنه، وفقاً للمادة 3 من الاتفاقية، يحظر على الدول الأطراف أن تطرد شخصاً أو تعيده أو تسلمه إلى دولة أخرى إذا توافرت لديها أسباب حقيقية تدعو إلى الاعتقاد بأنه سيتعرض فيها للتعذيب. ولكي تبت السلطات المختصة في وجود هذه الأسباب، يجب عليها مراعاة جميع الاعتبارات ذات الصلة بما في ذلك، عند الاقتضاء، وجود نمط ثابت من الانتهاكات الفادحة أو الصارخة أو الجماعية لحقوق الإنسان</w:t>
      </w:r>
      <w:r w:rsidRPr="00523D40">
        <w:rPr>
          <w:spacing w:val="0"/>
          <w:kern w:val="0"/>
          <w:sz w:val="20"/>
          <w:vertAlign w:val="superscript"/>
          <w:rtl/>
          <w:lang w:val="es-ES"/>
        </w:rPr>
        <w:t>(</w:t>
      </w:r>
      <w:r w:rsidRPr="00523D40">
        <w:rPr>
          <w:rStyle w:val="FootnoteReference"/>
          <w:spacing w:val="0"/>
          <w:sz w:val="20"/>
          <w:rtl/>
          <w:lang w:val="es-ES"/>
        </w:rPr>
        <w:footnoteReference w:id="303"/>
      </w:r>
      <w:r w:rsidRPr="00523D40">
        <w:rPr>
          <w:spacing w:val="0"/>
          <w:kern w:val="0"/>
          <w:sz w:val="20"/>
          <w:vertAlign w:val="superscript"/>
          <w:rtl/>
          <w:lang w:val="es-ES"/>
        </w:rPr>
        <w:t>)</w:t>
      </w:r>
      <w:r w:rsidRPr="00523D40">
        <w:rPr>
          <w:rFonts w:hint="cs"/>
          <w:spacing w:val="0"/>
          <w:kern w:val="0"/>
          <w:sz w:val="20"/>
          <w:rtl/>
          <w:lang/>
        </w:rPr>
        <w:t>. بيد أن وجود انتهاكات فادحة أو صارخة أو جماعية لحقوق الإنسان لا يكفي في حد ذاته كأساس لاستنتاج احتمال تعرض فرد ما للتعذيب بعد عودته إلى بلده الأصلي، بل يجب أن تتوافر أسباب إضافية كي يكون احتمال التعرض للتعذيب، وفقاً للمعنى المقصود من المادة 3، "متوقعا وحقيقيا وشخصيا".</w:t>
      </w:r>
    </w:p>
    <w:p w:rsidR="00523D40" w:rsidRPr="00523D40" w:rsidRDefault="00523D40" w:rsidP="00523D40">
      <w:pPr>
        <w:pStyle w:val="SingleTxtGA"/>
        <w:jc w:val="lowKashida"/>
        <w:rPr>
          <w:rFonts w:hint="cs"/>
          <w:spacing w:val="-2"/>
          <w:kern w:val="0"/>
          <w:sz w:val="20"/>
          <w:rtl/>
        </w:rPr>
      </w:pPr>
      <w:r w:rsidRPr="00523D40">
        <w:rPr>
          <w:rFonts w:hint="cs"/>
          <w:spacing w:val="0"/>
          <w:kern w:val="0"/>
          <w:sz w:val="20"/>
          <w:rtl/>
          <w:lang/>
        </w:rPr>
        <w:t>4-2</w:t>
      </w:r>
      <w:r w:rsidRPr="00523D40">
        <w:rPr>
          <w:rFonts w:hint="cs"/>
          <w:spacing w:val="0"/>
          <w:kern w:val="0"/>
          <w:sz w:val="20"/>
          <w:rtl/>
          <w:lang/>
        </w:rPr>
        <w:tab/>
        <w:t>وبخصوص الحالة العامة لحقوق الإنسان في إثيوبيا، تدفع الدولة الطرف ب</w:t>
      </w:r>
      <w:r w:rsidRPr="00523D40">
        <w:rPr>
          <w:rFonts w:hint="cs"/>
          <w:spacing w:val="0"/>
          <w:kern w:val="0"/>
          <w:sz w:val="20"/>
          <w:rtl/>
          <w:lang w:val="fr-CH"/>
        </w:rPr>
        <w:t xml:space="preserve">أن الانتخابات التي أجريت في أيار/مايو 2005 وآب/أغسطس 2005 في إثيوبيا، عززت تمثيل أحزاب المعارضة في البرلمان. </w:t>
      </w:r>
      <w:r w:rsidRPr="00523D40">
        <w:rPr>
          <w:rFonts w:hint="cs"/>
          <w:spacing w:val="0"/>
          <w:kern w:val="0"/>
          <w:sz w:val="20"/>
          <w:rtl/>
          <w:lang/>
        </w:rPr>
        <w:t>وتقر بأنه على الرغم من اعتراف الدستور الإثيوبي بحقوق الإنسان صراحة، توجد حالات عديدة للتوقيف والاحتجاز التعسفيين وبخاصة توقيف واحتجاز أعضاء أحزاب المعارضة، كما تقر بعدم وجود جهاز قضائي مستقل. غير أن مجرد العضوية في حزب سياسي معارض، أو تأييده، لا يؤدي في حد ذاته إلى خطر التعرض للاضطهاد. والأمر يختلف بالنسبة لشخص يشغل مركزاً بارزاً في حزب من أحزاب المعارضة</w:t>
      </w:r>
      <w:r w:rsidRPr="00523D40">
        <w:rPr>
          <w:spacing w:val="0"/>
          <w:kern w:val="0"/>
          <w:sz w:val="20"/>
          <w:vertAlign w:val="superscript"/>
          <w:rtl/>
          <w:lang w:val="es-ES"/>
        </w:rPr>
        <w:t>(</w:t>
      </w:r>
      <w:r w:rsidRPr="00523D40">
        <w:rPr>
          <w:rStyle w:val="FootnoteReference"/>
          <w:spacing w:val="0"/>
          <w:sz w:val="2"/>
          <w:szCs w:val="2"/>
          <w:rtl/>
          <w:lang w:val="es-ES"/>
        </w:rPr>
        <w:footnoteReference w:id="304"/>
      </w:r>
      <w:r w:rsidRPr="00523D40">
        <w:rPr>
          <w:rFonts w:hint="cs"/>
          <w:spacing w:val="0"/>
          <w:kern w:val="0"/>
          <w:sz w:val="30"/>
          <w:vertAlign w:val="superscript"/>
          <w:rtl/>
          <w:lang w:val="es-ES"/>
        </w:rPr>
        <w:t>ﻫ</w:t>
      </w:r>
      <w:r w:rsidRPr="00523D40">
        <w:rPr>
          <w:spacing w:val="0"/>
          <w:kern w:val="0"/>
          <w:sz w:val="20"/>
          <w:vertAlign w:val="superscript"/>
          <w:rtl/>
          <w:lang w:val="es-ES"/>
        </w:rPr>
        <w:t>)</w:t>
      </w:r>
      <w:r w:rsidRPr="00523D40">
        <w:rPr>
          <w:rFonts w:hint="cs"/>
          <w:spacing w:val="0"/>
          <w:kern w:val="0"/>
          <w:sz w:val="20"/>
          <w:rtl/>
          <w:lang/>
        </w:rPr>
        <w:t xml:space="preserve">. وفي ضوء المعلومات المذكورة أعلاه، اعتمدت سلطات اللجوء السويسرية المختصة نهجاً متبايناً لتحديد خطر التعرض للاضطهاد. ويعد الأشخاص </w:t>
      </w:r>
      <w:r w:rsidRPr="00523D40">
        <w:rPr>
          <w:rFonts w:hint="cs"/>
          <w:spacing w:val="0"/>
          <w:kern w:val="0"/>
          <w:sz w:val="20"/>
          <w:rtl/>
          <w:lang w:val="es-ES"/>
        </w:rPr>
        <w:t>الذين تشتبه السلطات الإثيوبية</w:t>
      </w:r>
      <w:r w:rsidRPr="00523D40">
        <w:rPr>
          <w:rFonts w:hint="cs"/>
          <w:spacing w:val="0"/>
          <w:kern w:val="0"/>
          <w:sz w:val="20"/>
          <w:rtl/>
          <w:lang/>
        </w:rPr>
        <w:t xml:space="preserve"> في انتمائهم إلى </w:t>
      </w:r>
      <w:r w:rsidRPr="00523D40">
        <w:rPr>
          <w:rFonts w:hint="cs"/>
          <w:spacing w:val="0"/>
          <w:kern w:val="0"/>
          <w:sz w:val="20"/>
          <w:rtl/>
          <w:lang w:val="fr-CH"/>
        </w:rPr>
        <w:t xml:space="preserve">جبهة تحرير الأورومو أو جبهة تحرير الأوغادين الوطنية </w:t>
      </w:r>
      <w:r w:rsidRPr="00523D40">
        <w:rPr>
          <w:rFonts w:hint="cs"/>
          <w:spacing w:val="-2"/>
          <w:kern w:val="0"/>
          <w:sz w:val="20"/>
          <w:rtl/>
          <w:lang w:val="es-ES"/>
        </w:rPr>
        <w:t>عرضة لخطر الاضطهاد. و</w:t>
      </w:r>
      <w:r w:rsidRPr="00523D40">
        <w:rPr>
          <w:rFonts w:hint="cs"/>
          <w:spacing w:val="-2"/>
          <w:kern w:val="0"/>
          <w:sz w:val="20"/>
          <w:rtl/>
        </w:rPr>
        <w:t xml:space="preserve">بالنسبة </w:t>
      </w:r>
      <w:r w:rsidRPr="00523D40">
        <w:rPr>
          <w:rFonts w:hint="cs"/>
          <w:spacing w:val="-2"/>
          <w:kern w:val="0"/>
          <w:sz w:val="20"/>
          <w:rtl/>
          <w:lang/>
        </w:rPr>
        <w:t>للأشخاص المنتمين إلى</w:t>
      </w:r>
      <w:r w:rsidRPr="00523D40">
        <w:rPr>
          <w:rFonts w:hint="cs"/>
          <w:spacing w:val="-2"/>
          <w:kern w:val="0"/>
          <w:sz w:val="20"/>
          <w:rtl/>
          <w:lang w:val="es-ES"/>
        </w:rPr>
        <w:t xml:space="preserve"> جماعات معارضة أخرى </w:t>
      </w:r>
      <w:r w:rsidRPr="00523D40">
        <w:rPr>
          <w:rFonts w:hint="cs"/>
          <w:spacing w:val="-2"/>
          <w:kern w:val="0"/>
          <w:sz w:val="20"/>
          <w:rtl/>
          <w:lang w:val="fr-CH"/>
        </w:rPr>
        <w:t xml:space="preserve">مثل التحالف من أجل الوحدة والديمقراطية، يقيّم خطر التعرض للاضطهاد </w:t>
      </w:r>
      <w:r w:rsidRPr="00523D40">
        <w:rPr>
          <w:rFonts w:hint="cs"/>
          <w:spacing w:val="-2"/>
          <w:kern w:val="0"/>
          <w:sz w:val="20"/>
          <w:rtl/>
          <w:lang/>
        </w:rPr>
        <w:t>على أساس كل حالة على حدة</w:t>
      </w:r>
      <w:r w:rsidRPr="00523D40">
        <w:rPr>
          <w:rFonts w:hint="cs"/>
          <w:spacing w:val="-2"/>
          <w:kern w:val="0"/>
          <w:sz w:val="20"/>
          <w:rtl/>
          <w:lang w:val="es-ES"/>
        </w:rPr>
        <w:t xml:space="preserve"> </w:t>
      </w:r>
      <w:r w:rsidRPr="00523D40">
        <w:rPr>
          <w:rFonts w:hint="cs"/>
          <w:spacing w:val="-2"/>
          <w:kern w:val="0"/>
          <w:sz w:val="20"/>
          <w:rtl/>
          <w:lang/>
        </w:rPr>
        <w:t xml:space="preserve">وفقاً للمعايير المبينة أعلاه. </w:t>
      </w:r>
      <w:r w:rsidRPr="00523D40">
        <w:rPr>
          <w:rFonts w:hint="cs"/>
          <w:spacing w:val="-2"/>
          <w:kern w:val="0"/>
          <w:sz w:val="20"/>
          <w:rtl/>
          <w:lang w:val="fr-CH"/>
        </w:rPr>
        <w:t>وفيما يتعلق بمراقبة الأنشطة السياسية</w:t>
      </w:r>
      <w:r w:rsidRPr="00523D40">
        <w:rPr>
          <w:rFonts w:hint="cs"/>
          <w:spacing w:val="-2"/>
          <w:kern w:val="0"/>
          <w:sz w:val="20"/>
          <w:rtl/>
          <w:lang/>
        </w:rPr>
        <w:t xml:space="preserve"> للإثيوبيين في المنفى، تدفع الدولة الطرف بأنه وفقاً للمعلومات المتاحة لديها، فإن </w:t>
      </w:r>
      <w:r w:rsidRPr="00523D40">
        <w:rPr>
          <w:rFonts w:hint="cs"/>
          <w:spacing w:val="-2"/>
          <w:kern w:val="0"/>
          <w:sz w:val="20"/>
          <w:rtl/>
          <w:lang w:val="fr-CH"/>
        </w:rPr>
        <w:t>البعثات الدبلوماسية والقنصلية الإثيوبية لا تملك موارد الموظفين ولا</w:t>
      </w:r>
      <w:r w:rsidRPr="00523D40">
        <w:rPr>
          <w:rFonts w:hint="cs"/>
          <w:spacing w:val="-2"/>
          <w:kern w:val="0"/>
          <w:sz w:val="20"/>
          <w:rtl/>
          <w:lang/>
        </w:rPr>
        <w:t xml:space="preserve"> الموارد الهيكلية </w:t>
      </w:r>
      <w:r w:rsidRPr="00523D40">
        <w:rPr>
          <w:rFonts w:hint="cs"/>
          <w:spacing w:val="-2"/>
          <w:kern w:val="0"/>
          <w:sz w:val="20"/>
          <w:rtl/>
          <w:lang w:val="fr-CH"/>
        </w:rPr>
        <w:t xml:space="preserve">التي تمكنها من المراقبة المنهجية للأنشطة السياسية التي يمارسها أفراد المعارضة في سويسرا. ومع ذلك، فإن أفراد المعارضة </w:t>
      </w:r>
      <w:r w:rsidRPr="00523D40">
        <w:rPr>
          <w:rFonts w:hint="cs"/>
          <w:spacing w:val="-2"/>
          <w:kern w:val="0"/>
          <w:sz w:val="20"/>
          <w:rtl/>
          <w:lang w:val="es-ES"/>
        </w:rPr>
        <w:t xml:space="preserve">النشطين و/أو </w:t>
      </w:r>
      <w:r w:rsidRPr="00523D40">
        <w:rPr>
          <w:rFonts w:hint="cs"/>
          <w:spacing w:val="-2"/>
          <w:kern w:val="0"/>
          <w:sz w:val="20"/>
          <w:rtl/>
          <w:lang w:val="fr-CH"/>
        </w:rPr>
        <w:t>البارزين</w:t>
      </w:r>
      <w:r w:rsidRPr="00523D40">
        <w:rPr>
          <w:rFonts w:hint="cs"/>
          <w:spacing w:val="-2"/>
          <w:kern w:val="0"/>
          <w:sz w:val="20"/>
          <w:rtl/>
          <w:lang w:val="es-ES"/>
        </w:rPr>
        <w:t xml:space="preserve"> وكذلك النشطين في المنظمات التي تقوم بحملات تدعو إلى استخدام العنف معرضون لخطر </w:t>
      </w:r>
      <w:r w:rsidRPr="00523D40">
        <w:rPr>
          <w:rFonts w:hint="cs"/>
          <w:spacing w:val="-2"/>
          <w:kern w:val="0"/>
          <w:sz w:val="20"/>
          <w:rtl/>
          <w:lang w:val="fr-CH"/>
        </w:rPr>
        <w:t>تحديد هوياتهم وتسجيلهم،</w:t>
      </w:r>
      <w:r w:rsidRPr="00523D40">
        <w:rPr>
          <w:rFonts w:hint="cs"/>
          <w:spacing w:val="-2"/>
          <w:kern w:val="0"/>
          <w:sz w:val="20"/>
          <w:rtl/>
          <w:lang w:val="es-ES"/>
        </w:rPr>
        <w:t xml:space="preserve"> وبالتالي اضطهادهم في حالة عودتهم إلى إثيوبيا. </w:t>
      </w:r>
    </w:p>
    <w:p w:rsidR="00523D40" w:rsidRPr="00523D40" w:rsidRDefault="00523D40" w:rsidP="00523D40">
      <w:pPr>
        <w:pStyle w:val="SingleTxtGA"/>
        <w:jc w:val="lowKashida"/>
        <w:rPr>
          <w:rFonts w:hint="cs"/>
          <w:spacing w:val="0"/>
          <w:kern w:val="0"/>
          <w:sz w:val="20"/>
          <w:rtl/>
          <w:lang w:val="es-ES"/>
        </w:rPr>
      </w:pPr>
      <w:r w:rsidRPr="00523D40">
        <w:rPr>
          <w:rFonts w:hint="cs"/>
          <w:spacing w:val="0"/>
          <w:kern w:val="0"/>
          <w:sz w:val="20"/>
          <w:rtl/>
          <w:lang w:val="es-ES"/>
        </w:rPr>
        <w:t>4-3</w:t>
      </w:r>
      <w:r w:rsidRPr="00523D40">
        <w:rPr>
          <w:rFonts w:hint="cs"/>
          <w:spacing w:val="0"/>
          <w:kern w:val="0"/>
          <w:sz w:val="20"/>
          <w:rtl/>
          <w:lang w:val="es-ES"/>
        </w:rPr>
        <w:tab/>
        <w:t xml:space="preserve">وتوضح الدولة الطرف أن صاحبة الشكوى لم تدع </w:t>
      </w:r>
      <w:r w:rsidRPr="00523D40">
        <w:rPr>
          <w:rFonts w:hint="cs"/>
          <w:spacing w:val="0"/>
          <w:kern w:val="0"/>
          <w:sz w:val="20"/>
          <w:rtl/>
          <w:lang/>
        </w:rPr>
        <w:t>أنها تعرضت للتعذيب أو</w:t>
      </w:r>
      <w:r>
        <w:rPr>
          <w:rFonts w:hint="eastAsia"/>
          <w:spacing w:val="0"/>
          <w:kern w:val="0"/>
          <w:sz w:val="20"/>
          <w:rtl/>
          <w:lang/>
        </w:rPr>
        <w:t> </w:t>
      </w:r>
      <w:r w:rsidRPr="00523D40">
        <w:rPr>
          <w:rFonts w:hint="cs"/>
          <w:spacing w:val="0"/>
          <w:kern w:val="0"/>
          <w:sz w:val="20"/>
          <w:rtl/>
          <w:lang/>
        </w:rPr>
        <w:t xml:space="preserve">التوقيف أو الاحتجاز من قبل السلطات الإثيوبية. ولذا، تذكر </w:t>
      </w:r>
      <w:r w:rsidRPr="00523D40">
        <w:rPr>
          <w:rFonts w:hint="cs"/>
          <w:spacing w:val="0"/>
          <w:kern w:val="0"/>
          <w:sz w:val="20"/>
          <w:rtl/>
          <w:lang w:val="es-ES"/>
        </w:rPr>
        <w:t xml:space="preserve">الدولة الطرف باستنتاجات </w:t>
      </w:r>
      <w:r w:rsidRPr="00523D40">
        <w:rPr>
          <w:rFonts w:hint="cs"/>
          <w:spacing w:val="0"/>
          <w:kern w:val="0"/>
          <w:sz w:val="20"/>
          <w:rtl/>
          <w:lang w:val="fr-CH"/>
        </w:rPr>
        <w:t xml:space="preserve">المكتب الاتحادي للهجرة </w:t>
      </w:r>
      <w:r w:rsidRPr="00523D40">
        <w:rPr>
          <w:rFonts w:hint="cs"/>
          <w:spacing w:val="0"/>
          <w:kern w:val="0"/>
          <w:sz w:val="20"/>
          <w:rtl/>
          <w:lang w:val="es-ES"/>
        </w:rPr>
        <w:t xml:space="preserve">في 22 آذار/مارس 2007، واستنتاجات المحكمة الإدارية الاتحادية في 9 آب/أغسطس 2007 التي قضت بأن ادعاءات صاحبة الشكوى المتعلقة بتوقيفها في إثيوبيا تفتقر إلى المصداقية. وتوضح أيضاً أن صاحبة الشكوى التي تدعي أنها كانت تتعرض للاضطهاد بسبب أنشطتها السياسية في إثيوبيا قد غادرت البلد بتأشيرة </w:t>
      </w:r>
      <w:r w:rsidRPr="00523D40">
        <w:rPr>
          <w:rFonts w:hint="cs"/>
          <w:spacing w:val="0"/>
          <w:kern w:val="0"/>
          <w:sz w:val="20"/>
          <w:rtl/>
          <w:lang/>
        </w:rPr>
        <w:t>خروج</w:t>
      </w:r>
      <w:r w:rsidRPr="00523D40">
        <w:rPr>
          <w:rFonts w:hint="cs"/>
          <w:spacing w:val="0"/>
          <w:kern w:val="0"/>
          <w:sz w:val="20"/>
          <w:rtl/>
          <w:lang w:val="es-ES"/>
        </w:rPr>
        <w:t xml:space="preserve"> صالحة.</w:t>
      </w:r>
    </w:p>
    <w:p w:rsidR="00523D40" w:rsidRPr="00523D40" w:rsidRDefault="00523D40" w:rsidP="00523D40">
      <w:pPr>
        <w:pStyle w:val="SingleTxtGA"/>
        <w:spacing w:line="370" w:lineRule="exact"/>
        <w:jc w:val="lowKashida"/>
        <w:rPr>
          <w:rFonts w:hint="cs"/>
          <w:spacing w:val="0"/>
          <w:kern w:val="0"/>
          <w:sz w:val="20"/>
          <w:rtl/>
          <w:lang w:val="fr-CH"/>
        </w:rPr>
      </w:pPr>
      <w:r w:rsidRPr="00523D40">
        <w:rPr>
          <w:rFonts w:hint="cs"/>
          <w:spacing w:val="0"/>
          <w:kern w:val="0"/>
          <w:sz w:val="20"/>
          <w:rtl/>
          <w:lang w:val="fr-CH"/>
        </w:rPr>
        <w:t>4-4</w:t>
      </w:r>
      <w:r w:rsidRPr="00523D40">
        <w:rPr>
          <w:rFonts w:hint="cs"/>
          <w:spacing w:val="0"/>
          <w:kern w:val="0"/>
          <w:sz w:val="20"/>
          <w:rtl/>
          <w:lang w:val="fr-CH"/>
        </w:rPr>
        <w:tab/>
        <w:t>وفيما يتعلق بأنشطة صاحبة الشكوى السياسية في وطنها، تلخص الدولة الطرف استنتاجات السلطات المحلية التي بحثت قضية صاحبة الشكوى بالتفصيل وخلصت إلى أن ادعاءها بخصوص ممارستها لأنشطة سياسية يفتقر إلى المصداقية. وقدمت صاحبة الشكوى، دعماً لادعائها أمام السلطات المحلية، ثلاثة استدعاءات ووثيقة من الشرطة الاتحادية اعتُبرت جميعها غير سليمة من حيث التوقيعات والطوابع والسلطات المفترض أنها المسؤولة عن إصدارها. وعلاوة على ذلك، ناقضت صاحبة الشكوى نفسها بشأن مسائل هامة في الإجراءات المحلية.</w:t>
      </w:r>
    </w:p>
    <w:p w:rsidR="00523D40" w:rsidRPr="00523D40" w:rsidRDefault="00523D40" w:rsidP="00523D40">
      <w:pPr>
        <w:pStyle w:val="SingleTxtGA"/>
        <w:spacing w:line="370" w:lineRule="exact"/>
        <w:jc w:val="lowKashida"/>
        <w:rPr>
          <w:rFonts w:hint="cs"/>
          <w:spacing w:val="-2"/>
          <w:kern w:val="0"/>
          <w:sz w:val="20"/>
          <w:rtl/>
          <w:lang w:val="fr-CH"/>
        </w:rPr>
      </w:pPr>
      <w:r w:rsidRPr="00523D40">
        <w:rPr>
          <w:rFonts w:hint="cs"/>
          <w:spacing w:val="0"/>
          <w:kern w:val="0"/>
          <w:sz w:val="20"/>
          <w:rtl/>
          <w:lang w:val="fr-CH"/>
        </w:rPr>
        <w:t>4-5</w:t>
      </w:r>
      <w:r w:rsidRPr="00523D40">
        <w:rPr>
          <w:rFonts w:hint="cs"/>
          <w:spacing w:val="0"/>
          <w:kern w:val="0"/>
          <w:sz w:val="20"/>
          <w:rtl/>
          <w:lang w:val="fr-CH"/>
        </w:rPr>
        <w:tab/>
        <w:t xml:space="preserve">وتوضح الدولة الطرف أن صاحبة الشكوى تدعي أنها تنتمي إلى جمعية الإثيوبيين في سويسرا وأنها كانت تتولى تنظيم عدد من الأنشطة السياسية، بما فيها المظاهرات، بصفتها عضواً في اللجنة التنفيذية. وتحتج الدولة الطرف بأن جمعية الإثيوبيين في سويسرا منظمة محايدة سياسياً، وفقاً للسجل التجاري، وبأن صاحبة الشكوى غير مسجلة كعضو في اللجنة التنفيذية. وتوضح الدولة الطرف أيضاً أن صاحبة الشكوى قد قدمت رسالة تأكيد من رئيس مجلس فروع دعم حزب التحالف في أوروبا وأفريقيا وأستراليا، وصورة تظهر فيها مع بيرتوكان ميديكسا. وتحتج الدولة الطرف بأنه بحسب ما ورد في تلك الرسالة، اقتصر نشاط صاحبة الشكوى على الإعداد لزيارة وفد من الحزب إلى سويسرا. وتذكر أنه ليس من بين الوثائق التي قدمتها صاحبة الشكوى ما يثبت أن مشاركتها السياسية تتجاوز الخروج في مظاهرات، وهو نشاط يمارسه غالبية الإثيوبيين النشطين سياسياً في سويسرا. وتضيف الدولة الطرف أن السلطات الإثيوبية تركز اهتمامها، في ظل مواردها المحدودة، على الأشخاص الذين تتجاوز أنشطتهم "السلوك الاعتيادي" أو الذين يشغلون وظيفة معينة أو يمارسون نشاطاً معيناً بحيث يمكن أن يشكلوا خطراً على النظام القائم. وقضية بيرتوكان ميديكسا مثال على ذلك. غير أن صاحبة الشكوى لم تكن تملك هذه الصفات السياسية عند وصولها إلى سويسرا، وترى الدولة الطرف أنه من المعقول استبعاد اكتسابها هذه الصفات لاحقاً. وتؤكد الدولة الطرف أن الوثائق التي قدمتها صاحبة الشكوى لا تثبت قيامها بأي نشاط في سويسرا من شأنه أن يثير انتباه السلطات الإثيوبية. وتدعي صاحبة الشكوى أنها شاركت في أربع مظاهرات في الفترة ما بين عامي 2005 و2006 وأربعة تجمعات عقدها حزب التحالف في </w:t>
      </w:r>
      <w:r w:rsidRPr="00523D40">
        <w:rPr>
          <w:rFonts w:hint="cs"/>
          <w:spacing w:val="-2"/>
          <w:kern w:val="0"/>
          <w:sz w:val="20"/>
          <w:rtl/>
          <w:lang w:val="fr-CH"/>
        </w:rPr>
        <w:t>الفترة ما بين عامي 2007 و2008. وكون صاحبة الشكوى قد تم التعرف عليها في صور أو شرائط فيديو للمشاركين في المظاهرات لا يكفي لإثبات تعرضها لخطر الاضطهاد إذا عادت. وتؤكد الدولة الطرف أن مظاهرات سياسية عديدة تنظَّم في سويسرا وأن الصور وتسجيلات الفيديو، التي يظهر فيها أحياناً المئات من الأشخاص، تتاح للعموم عن طريق وسائط الإعلام ذات الصلة وأنه من المستبعد أن تكون السلطات الإثيوبية قادرة على تحديد هوية كل شخص، أو حتى أن تكون على علم بانتماء صاحبة الشكوى إلى المنظمة المذكورة أعلاه.</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4-6</w:t>
      </w:r>
      <w:r w:rsidRPr="00523D40">
        <w:rPr>
          <w:rFonts w:hint="cs"/>
          <w:spacing w:val="0"/>
          <w:kern w:val="0"/>
          <w:sz w:val="20"/>
          <w:rtl/>
          <w:lang w:val="fr-CH"/>
        </w:rPr>
        <w:tab/>
        <w:t>وتحتج الدولة الطرف كذلك بأن ادعاء صاحبة الشكوى بأنها تحدثت باللغة الأمهرية في محطة إذاعة محلية سويسرية لمخاطبة مواطنيها لا يغير تقييم القضية الوارد أعلاه، وبخاصة لأن محطة الإذاعة قد نفت ادعاء صاحبة الشكوى وذكرت أن نشاطها اقتصر على إرسال مقالين إلى المحرر المسؤول.</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4-7</w:t>
      </w:r>
      <w:r w:rsidRPr="00523D40">
        <w:rPr>
          <w:rFonts w:hint="cs"/>
          <w:spacing w:val="0"/>
          <w:kern w:val="0"/>
          <w:sz w:val="20"/>
          <w:rtl/>
          <w:lang w:val="fr-CH"/>
        </w:rPr>
        <w:tab/>
        <w:t>وتقول الدولة الطرف إنه لا يوجد دليل يثبت أن السلطات الإثيوبية قد أقامت دعوى جنائية ضد صاحبة الشكوى، أو أنها قد اتخذت تدابير أخرى ضدها. وعليه، فإن سلطات الهجرة في الدولة الطرف لم تعتبر أن ادعاء صاحبة الشكوى بأن تولّيها وظيفة في الشتات الإثيوبي في سويسرا من شأنه أن يثير انتباه السلطات الإثيوبية ادعاءً مقنعاً. وبعبارة أخرى، لم تثبت صاحبة الشكوى أنها ستتعرض لخطر سوء المعاملة بسبب أنشطتها السياسية في سويسرا إذا عادت إلى إثيوبيا.</w:t>
      </w:r>
    </w:p>
    <w:p w:rsidR="00523D40" w:rsidRPr="00523D40" w:rsidRDefault="00523D40" w:rsidP="00523D40">
      <w:pPr>
        <w:pStyle w:val="SingleTxtGA"/>
        <w:jc w:val="lowKashida"/>
        <w:rPr>
          <w:rFonts w:hint="cs"/>
          <w:spacing w:val="-2"/>
          <w:kern w:val="0"/>
          <w:sz w:val="20"/>
          <w:rtl/>
          <w:lang w:val="fr-CH"/>
        </w:rPr>
      </w:pPr>
      <w:r w:rsidRPr="00523D40">
        <w:rPr>
          <w:rFonts w:hint="cs"/>
          <w:spacing w:val="-2"/>
          <w:kern w:val="0"/>
          <w:sz w:val="20"/>
          <w:rtl/>
          <w:lang w:val="fr-CH"/>
        </w:rPr>
        <w:t>4-8</w:t>
      </w:r>
      <w:r w:rsidRPr="00523D40">
        <w:rPr>
          <w:rFonts w:hint="cs"/>
          <w:spacing w:val="-2"/>
          <w:kern w:val="0"/>
          <w:sz w:val="20"/>
          <w:rtl/>
          <w:lang w:val="fr-CH"/>
        </w:rPr>
        <w:tab/>
        <w:t>وفي ضوء ما سبق، تدفع الدولة الطرف بأنه لا يوجد ما يشير إلى وجود أسباب حقيقية تدعو إلى الخوف من أن تؤدي عودة صاحبة الشكوى إلى إثيوبيا إلى تعرضها لخطر تعذيب متوقع وحقيقي وشخصي، وتدعو لجنة مناهضة التعذيب إلى استنتاج أن إعادة صاحبة الشكوى إلى إثيوبيا لن يشكل انتهاكاً لالتزامات سويسرا الدولية بموجب المادة 3 من الاتفاقية.</w:t>
      </w:r>
    </w:p>
    <w:p w:rsidR="00523D40" w:rsidRPr="00523D40" w:rsidRDefault="00523D40" w:rsidP="00523D40">
      <w:pPr>
        <w:pStyle w:val="H23GA"/>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تعليقات صاحبة الشكوى على ملاحظات الدولة الطرف</w:t>
      </w:r>
    </w:p>
    <w:p w:rsidR="00523D40" w:rsidRPr="00523D40" w:rsidRDefault="00523D40" w:rsidP="00523D40">
      <w:pPr>
        <w:pStyle w:val="SingleTxtGA"/>
        <w:jc w:val="lowKashida"/>
        <w:rPr>
          <w:rFonts w:hint="cs"/>
          <w:spacing w:val="0"/>
          <w:kern w:val="0"/>
          <w:sz w:val="20"/>
          <w:rtl/>
          <w:lang w:val="fr-CH"/>
        </w:rPr>
      </w:pPr>
      <w:r w:rsidRPr="00523D40">
        <w:rPr>
          <w:rFonts w:hint="cs"/>
          <w:spacing w:val="-2"/>
          <w:kern w:val="0"/>
          <w:sz w:val="20"/>
          <w:rtl/>
          <w:lang w:val="fr-CH"/>
        </w:rPr>
        <w:t>5-</w:t>
      </w:r>
      <w:r w:rsidRPr="00523D40">
        <w:rPr>
          <w:rFonts w:hint="cs"/>
          <w:spacing w:val="-2"/>
          <w:kern w:val="0"/>
          <w:sz w:val="20"/>
          <w:rtl/>
          <w:lang w:val="fr-CH"/>
        </w:rPr>
        <w:tab/>
        <w:t>في 26 آذار/مارس 2010، كررت صاحبة الشكوى ادعاءها الأول وأكدت أنها ما</w:t>
      </w:r>
      <w:r>
        <w:rPr>
          <w:rFonts w:hint="eastAsia"/>
          <w:spacing w:val="-2"/>
          <w:kern w:val="0"/>
          <w:sz w:val="20"/>
          <w:rtl/>
          <w:lang w:val="fr-CH"/>
        </w:rPr>
        <w:t> </w:t>
      </w:r>
      <w:r w:rsidRPr="00523D40">
        <w:rPr>
          <w:rFonts w:hint="cs"/>
          <w:spacing w:val="-2"/>
          <w:kern w:val="0"/>
          <w:sz w:val="20"/>
          <w:rtl/>
          <w:lang w:val="fr-CH"/>
        </w:rPr>
        <w:t>زالت تشارك في العمل السياسي وأنها قد شاركت في العديد من أنشطة حزب التحالف. وأشارت بصفة خاصة إلى أنها شاركت في اجتماع لحركة العدالة والحرية والديمقراطية (حركة العدالة) "</w:t>
      </w:r>
      <w:r w:rsidRPr="00523D40">
        <w:rPr>
          <w:spacing w:val="-2"/>
          <w:kern w:val="0"/>
          <w:sz w:val="20"/>
        </w:rPr>
        <w:t>GINBOT 7</w:t>
      </w:r>
      <w:r w:rsidRPr="00523D40">
        <w:rPr>
          <w:rFonts w:hint="cs"/>
          <w:spacing w:val="-2"/>
          <w:kern w:val="0"/>
          <w:sz w:val="20"/>
          <w:rtl/>
        </w:rPr>
        <w:t>" ويمكن مشاهدتها في الصور الفوتوغرافية مع بيرهانو نيغا مؤسس الحركة الشهير. ونشرت كذلك مقالاً في منتدى "</w:t>
      </w:r>
      <w:r w:rsidRPr="00523D40">
        <w:rPr>
          <w:spacing w:val="-2"/>
          <w:kern w:val="0"/>
          <w:sz w:val="20"/>
          <w:lang w:val="fr-CH"/>
        </w:rPr>
        <w:t>WARKA</w:t>
      </w:r>
      <w:r w:rsidRPr="00523D40">
        <w:rPr>
          <w:rFonts w:hint="cs"/>
          <w:spacing w:val="-2"/>
          <w:kern w:val="0"/>
          <w:sz w:val="20"/>
          <w:rtl/>
          <w:lang w:val="fr-CH"/>
        </w:rPr>
        <w:t>" تنتقد فيه التشريع</w:t>
      </w:r>
      <w:r w:rsidRPr="00523D40">
        <w:rPr>
          <w:rFonts w:hint="cs"/>
          <w:spacing w:val="0"/>
          <w:kern w:val="0"/>
          <w:sz w:val="20"/>
          <w:rtl/>
          <w:lang w:val="fr-CH"/>
        </w:rPr>
        <w:t xml:space="preserve"> الجديد لمكافحة الإرهاب. وكررت صاحبة الشكوى أنها عضو نشط للغاية في الحركة المنشقة للإثيوبيين في سويسرا وأنها قابلت بيرتوكان ميديكسا قبل توقيفها. ونظمت اجتماعات عديدة وشاركت في عدد كبير من المظاهرات، كما نشرت عدة مقالات على الإنترنت تعرض فيها وجهات نظرها السياسية. وتلاحظ صاحبة الشكوى، استناداً إلى تقييم منظمة مرصد حقوق الإنسان غير الحكومية، أن السلطات الإثيوبية قد زادت مراقبتها للمعارضين السياسيين، بما في ذلك على شبكة الإنترنت</w:t>
      </w:r>
      <w:r w:rsidRPr="00523D40">
        <w:rPr>
          <w:spacing w:val="0"/>
          <w:kern w:val="0"/>
          <w:sz w:val="20"/>
          <w:vertAlign w:val="superscript"/>
          <w:rtl/>
          <w:lang w:val="fr-CH"/>
        </w:rPr>
        <w:t>(</w:t>
      </w:r>
      <w:r w:rsidRPr="00523D40">
        <w:rPr>
          <w:rStyle w:val="FootnoteReference"/>
          <w:spacing w:val="0"/>
          <w:sz w:val="20"/>
          <w:rtl/>
          <w:lang w:val="fr-CH"/>
        </w:rPr>
        <w:footnoteReference w:id="305"/>
      </w:r>
      <w:r w:rsidRPr="00523D40">
        <w:rPr>
          <w:spacing w:val="0"/>
          <w:kern w:val="0"/>
          <w:sz w:val="20"/>
          <w:vertAlign w:val="superscript"/>
          <w:rtl/>
          <w:lang w:val="fr-CH"/>
        </w:rPr>
        <w:t>)</w:t>
      </w:r>
      <w:r w:rsidRPr="00523D40">
        <w:rPr>
          <w:rFonts w:hint="cs"/>
          <w:spacing w:val="0"/>
          <w:kern w:val="0"/>
          <w:sz w:val="20"/>
          <w:rtl/>
          <w:lang w:val="fr-CH"/>
        </w:rPr>
        <w:t>. ولذلك فهي تصر على أنها ستواجه خطر تعذيب وشيكاً وحقيقياً وشخصياً إذا جرى ترحيلها إلى إثيوبيا.</w:t>
      </w:r>
    </w:p>
    <w:p w:rsidR="00523D40" w:rsidRPr="00523D40" w:rsidRDefault="00523D40" w:rsidP="00523D40">
      <w:pPr>
        <w:pStyle w:val="H23GA"/>
        <w:keepNext/>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المسائل والإجراءات المعروضة على اللجنة</w:t>
      </w:r>
    </w:p>
    <w:p w:rsidR="00523D40" w:rsidRPr="00523D40" w:rsidRDefault="00523D40" w:rsidP="00523D40">
      <w:pPr>
        <w:pStyle w:val="H4GA"/>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النظر في المقبولية</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6-1</w:t>
      </w:r>
      <w:r w:rsidRPr="00523D40">
        <w:rPr>
          <w:rFonts w:hint="cs"/>
          <w:spacing w:val="0"/>
          <w:kern w:val="0"/>
          <w:sz w:val="20"/>
          <w:rtl/>
          <w:lang w:val="fr-CH"/>
        </w:rPr>
        <w:tab/>
        <w:t>قبل النظر في أي ادعاءات ترد في بلاغ، يتعين على اللجنة أن تبت فيما إذا كان البلاغ مقبولاً أم لا بموجب المادة 22 من الاتفاقية. وقد تحققت اللجنة، حسبما تقضيه الفقرة</w:t>
      </w:r>
      <w:r>
        <w:rPr>
          <w:rFonts w:hint="eastAsia"/>
          <w:spacing w:val="0"/>
          <w:kern w:val="0"/>
          <w:sz w:val="20"/>
          <w:rtl/>
          <w:lang w:val="fr-CH"/>
        </w:rPr>
        <w:t> </w:t>
      </w:r>
      <w:r w:rsidRPr="00523D40">
        <w:rPr>
          <w:rFonts w:hint="cs"/>
          <w:spacing w:val="0"/>
          <w:kern w:val="0"/>
          <w:sz w:val="20"/>
          <w:rtl/>
          <w:lang w:val="fr-CH"/>
        </w:rPr>
        <w:t>5(أ) من المادة 22 من الاتفاقية، من أن المسألة نفسها لم تبحث ولا يجري بحثها في إطار أي إجراء آخر من إجراءات التحقيق الدولي أو التسوية الدولية.</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6-2</w:t>
      </w:r>
      <w:r w:rsidRPr="00523D40">
        <w:rPr>
          <w:rFonts w:hint="cs"/>
          <w:spacing w:val="0"/>
          <w:kern w:val="0"/>
          <w:sz w:val="20"/>
          <w:rtl/>
          <w:lang w:val="fr-CH"/>
        </w:rPr>
        <w:tab/>
        <w:t>وتذكر اللجنة بأنها، بمقتضى الفقرة 5(ب) من المادة 22 من الاتفاقية، لا تنظر في أي بلاغ مقدم من فرد من الأفراد ما لم تتحقق من أن ذلك الفرد قد استنفد جميع سبل الانتصاف المحلية المتاحة. وتلاحظ اللجنة في هذه القضية، أن الدولة الطرف تعترف بأن صاحبة الشكوى قد استنفدت جميع سبل الانتصاف المحلية المتاحة. وبما أن اللجنة لا تجد أي عراقيل أخرى أمام المقبولية، فهي تعلن أن البلاغ مقبول.</w:t>
      </w:r>
    </w:p>
    <w:p w:rsidR="00523D40" w:rsidRPr="00523D40" w:rsidRDefault="00523D40" w:rsidP="00523D40">
      <w:pPr>
        <w:pStyle w:val="H4GA"/>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النظر في الأسس الموضوعية</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7-1</w:t>
      </w:r>
      <w:r w:rsidRPr="00523D40">
        <w:rPr>
          <w:rFonts w:hint="cs"/>
          <w:spacing w:val="0"/>
          <w:kern w:val="0"/>
          <w:sz w:val="20"/>
          <w:rtl/>
          <w:lang w:val="fr-CH"/>
        </w:rPr>
        <w:tab/>
        <w:t>وفقاً للفقرة 4 من المادة 22 من الاتفاقية، نظرت اللجنة في هذا البلاغ في ضوء جميع المعلومات التي أتاحتها لها الأطراف المعنية.</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7-2</w:t>
      </w:r>
      <w:r w:rsidRPr="00523D40">
        <w:rPr>
          <w:rFonts w:hint="cs"/>
          <w:spacing w:val="0"/>
          <w:kern w:val="0"/>
          <w:sz w:val="20"/>
          <w:rtl/>
          <w:lang w:val="fr-CH"/>
        </w:rPr>
        <w:tab/>
        <w:t xml:space="preserve">وتتعلق المسألة المعروضة على اللجنة بتحديد ما إذا كان إبعاد صاحبة الشكوى إلى إثيوبيا سيشكل انتهاكاً لالتزام الدولة الطرف بموجب المادة 3 من الاتفاقية بأن تمتنع عن طرد أي شخص أو إعادته </w:t>
      </w:r>
      <w:r w:rsidRPr="00523D40">
        <w:rPr>
          <w:rFonts w:hint="cs"/>
          <w:i/>
          <w:iCs/>
          <w:spacing w:val="0"/>
          <w:kern w:val="0"/>
          <w:sz w:val="20"/>
          <w:rtl/>
          <w:lang w:val="fr-CH"/>
        </w:rPr>
        <w:t>(رده)</w:t>
      </w:r>
      <w:r w:rsidRPr="00523D40">
        <w:rPr>
          <w:rFonts w:hint="cs"/>
          <w:spacing w:val="0"/>
          <w:kern w:val="0"/>
          <w:sz w:val="20"/>
          <w:rtl/>
          <w:lang w:val="fr-CH"/>
        </w:rPr>
        <w:t xml:space="preserve"> إلى بلد آخر إذا توافرت لديها أسباب حقيقية تدعو إلى الاعتقاد بأنه سيتعرض لخطر التعذيب في ذلك البلد</w:t>
      </w:r>
      <w:r>
        <w:rPr>
          <w:rFonts w:hint="cs"/>
          <w:spacing w:val="0"/>
          <w:kern w:val="0"/>
          <w:sz w:val="20"/>
          <w:rtl/>
          <w:lang w:val="fr-CH"/>
        </w:rPr>
        <w:t xml:space="preserve">. ويتعين على اللجنة أن تقيّم </w:t>
      </w:r>
      <w:r w:rsidRPr="00523D40">
        <w:rPr>
          <w:rFonts w:hint="cs"/>
          <w:spacing w:val="0"/>
          <w:kern w:val="0"/>
          <w:sz w:val="20"/>
          <w:rtl/>
          <w:lang w:val="fr-CH"/>
        </w:rPr>
        <w:t>ما إذا كانت هناك أسباب حقيقية تدعو إلى الاعتقاد بأن صاحبة الشكوى ستتعرض شخصياً لخطر التعذيب عند عودتها إلى إثيوبيا. ويتعين على اللجنة، عند تقييمها لهذا الخطر، أن تراعي جميع الاعتبارات ذات الصلة، وفقاً للفقرة 2 من المادة 3 من الاتفاقية، بما في ذلك وجود نمط ثابت من الانتهاكات الفادحة أو الصارخة أو الجماعية لحقوق الإنسان. ومع ذلك، تذكر اللجنة بأن الهدف من هذا الأمر هو تحديد ما إذا كان الفرد المعني سيواجه شخصياً خطراً متوقعاً وحقيقياً بالتعرض للتعذيب في البلد الذي سيعود إليه.</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7-3</w:t>
      </w:r>
      <w:r w:rsidRPr="00523D40">
        <w:rPr>
          <w:rFonts w:hint="cs"/>
          <w:spacing w:val="0"/>
          <w:kern w:val="0"/>
          <w:sz w:val="20"/>
          <w:rtl/>
          <w:lang w:val="fr-CH"/>
        </w:rPr>
        <w:tab/>
        <w:t>وتذكّر اللجنة بتعلقها العام رقم 1(1996)</w:t>
      </w:r>
      <w:r w:rsidRPr="00523D40">
        <w:rPr>
          <w:spacing w:val="0"/>
          <w:kern w:val="0"/>
          <w:sz w:val="20"/>
          <w:vertAlign w:val="superscript"/>
          <w:rtl/>
          <w:lang w:val="fr-CH"/>
        </w:rPr>
        <w:t>(</w:t>
      </w:r>
      <w:r w:rsidRPr="00523D40">
        <w:rPr>
          <w:rStyle w:val="FootnoteReference"/>
          <w:spacing w:val="0"/>
          <w:sz w:val="20"/>
          <w:rtl/>
          <w:lang w:val="fr-CH"/>
        </w:rPr>
        <w:footnoteReference w:id="306"/>
      </w:r>
      <w:r w:rsidRPr="00523D40">
        <w:rPr>
          <w:spacing w:val="0"/>
          <w:kern w:val="0"/>
          <w:sz w:val="20"/>
          <w:vertAlign w:val="superscript"/>
          <w:rtl/>
          <w:lang w:val="fr-CH"/>
        </w:rPr>
        <w:t>)</w:t>
      </w:r>
      <w:r w:rsidRPr="00523D40">
        <w:rPr>
          <w:rFonts w:hint="cs"/>
          <w:spacing w:val="0"/>
          <w:kern w:val="0"/>
          <w:sz w:val="20"/>
          <w:rtl/>
          <w:lang w:val="fr-CH"/>
        </w:rPr>
        <w:t xml:space="preserve"> بشأن تطبيق المادة 3 من الاتفاقية الذي ورد فيه أن "خطر التعذيب يجب أن يقيم على أسس تتجاوز مجرد الافتراض أو الشك. ومع ذلك، ليس من الضروري إثبات أن هذا الخطر مرجح وقوعه بشدة" (الفقرة 6)، ولكن ينبغي أن يكون شخصياً وقائماً. وفي هذا الصدد، خلصت اللجنة في قرارات سابقة إلى أن خطر التعذيب يجب أن يكون متوقعاً وحقيقياً وشخصياً</w:t>
      </w:r>
      <w:r w:rsidRPr="00523D40">
        <w:rPr>
          <w:spacing w:val="0"/>
          <w:kern w:val="0"/>
          <w:sz w:val="20"/>
          <w:vertAlign w:val="superscript"/>
          <w:rtl/>
          <w:lang w:val="fr-CH"/>
        </w:rPr>
        <w:t>(</w:t>
      </w:r>
      <w:r w:rsidRPr="00523D40">
        <w:rPr>
          <w:rStyle w:val="FootnoteReference"/>
          <w:spacing w:val="0"/>
          <w:sz w:val="20"/>
          <w:rtl/>
          <w:lang w:val="fr-CH"/>
        </w:rPr>
        <w:footnoteReference w:id="307"/>
      </w:r>
      <w:r w:rsidRPr="00523D40">
        <w:rPr>
          <w:spacing w:val="0"/>
          <w:kern w:val="0"/>
          <w:sz w:val="20"/>
          <w:vertAlign w:val="superscript"/>
          <w:rtl/>
          <w:lang w:val="fr-CH"/>
        </w:rPr>
        <w:t>)</w:t>
      </w:r>
      <w:r w:rsidRPr="00523D40">
        <w:rPr>
          <w:rFonts w:hint="cs"/>
          <w:spacing w:val="0"/>
          <w:kern w:val="0"/>
          <w:sz w:val="20"/>
          <w:rtl/>
          <w:lang w:val="fr-CH"/>
        </w:rPr>
        <w:t>. وتذكّر اللجنة بأنها، وفقاً لأحكام تعليقها العام رقم 1، تولي أهمية كبيرة لتقرير الوقائع الذي تجريه أجهزة الدولة الطرف المعنية، لكنها في الوقت نفسه لا تتقيد به بل تملك، بمقتضى الفقرة 4 من المادة 22 من الاتفاقية، سلطة تقييم الوقائع بحرية، استناداً إلى مجمل ملابسات كل قضية.</w:t>
      </w:r>
    </w:p>
    <w:p w:rsidR="00523D40" w:rsidRPr="00523D40" w:rsidRDefault="00523D40" w:rsidP="00523D40">
      <w:pPr>
        <w:pStyle w:val="SingleTxtGA"/>
        <w:spacing w:line="370" w:lineRule="exact"/>
        <w:jc w:val="lowKashida"/>
        <w:rPr>
          <w:rFonts w:hint="cs"/>
          <w:spacing w:val="0"/>
          <w:kern w:val="0"/>
          <w:sz w:val="20"/>
          <w:rtl/>
          <w:lang w:val="fr-CH"/>
        </w:rPr>
      </w:pPr>
      <w:r w:rsidRPr="00523D40">
        <w:rPr>
          <w:rFonts w:hint="cs"/>
          <w:spacing w:val="0"/>
          <w:kern w:val="0"/>
          <w:sz w:val="20"/>
          <w:rtl/>
          <w:lang w:val="fr-CH"/>
        </w:rPr>
        <w:t>7-4</w:t>
      </w:r>
      <w:r w:rsidRPr="00523D40">
        <w:rPr>
          <w:rFonts w:hint="cs"/>
          <w:spacing w:val="0"/>
          <w:kern w:val="0"/>
          <w:sz w:val="20"/>
          <w:rtl/>
          <w:lang w:val="fr-CH"/>
        </w:rPr>
        <w:tab/>
        <w:t>وتحيط اللجنة علماً بما عرضته صاحبة الشكوى بشأن مشاركتها في أنشطة حزب التحالف في سويسرا وفي جمعية الإثيوبيين في سويسرا. وتحيط اللجنة علماً أيضاً بادعاء صاحبة الشكوى أنها ساعدت في تنظيم اجتماعات لشخصية سياسية إثيوبية معارضة شهيرة في أثناء زيارتها لسويسرا، وبأنه كان لديها حضور على شبكة الإنترنت وأثناء المظاهرات وفي محطة الإذاعة المحلية. كما تلاحظ اللجنة أن صاحبة الشكوى لم تدع أنها أوقفت أو تعرضت لسوء المعاملة من السلطات الإثيوبية، كما لم تدع أنه تم توجيه أي تهم إليها بموجب قانون مكافحة الإرهاب أو أي قانون وطني آخر. وتحيط اللجنة علماً أيضاً بادعاء صاحبة الشكوى بأن السلطات الإثيوبية تستعمل وسائل تكنولوجية متطورة لمراقبة المنشقين الإثيوبيين في الخارج، لكنها تلاحظ أن صاحبة الشكوى لم تُدل بأي تفاصيل في هذا الصدد ولم تقدم أي دليل لدعم ادعائها. وترى اللجنة أن صاحبة الشكوى لم تقدم أدلة كافية بشأن ممارستها لأي نشاط سياسي من شأنه أن يثير انتباه السلطات الإثيوبية، كما لم تقدم أي دليل ملموس لتبرهن على أن السلطات في وطنها تفتش عنها أو أنها ستواجه شخصياً خطر التعرض للتعذيب إذا ما عادت إلى إثيوبيا.</w:t>
      </w:r>
    </w:p>
    <w:p w:rsidR="00523D40" w:rsidRPr="00523D40" w:rsidRDefault="00523D40" w:rsidP="00523D40">
      <w:pPr>
        <w:pStyle w:val="SingleTxtGA"/>
        <w:spacing w:line="370" w:lineRule="exact"/>
        <w:jc w:val="lowKashida"/>
        <w:rPr>
          <w:rFonts w:hint="cs"/>
          <w:spacing w:val="0"/>
          <w:kern w:val="0"/>
          <w:sz w:val="20"/>
          <w:rtl/>
          <w:lang w:val="fr-CH"/>
        </w:rPr>
      </w:pPr>
      <w:r w:rsidRPr="00523D40">
        <w:rPr>
          <w:rFonts w:hint="cs"/>
          <w:spacing w:val="0"/>
          <w:kern w:val="0"/>
          <w:sz w:val="20"/>
          <w:rtl/>
          <w:lang w:val="fr-CH"/>
        </w:rPr>
        <w:t>7-5</w:t>
      </w:r>
      <w:r w:rsidRPr="00523D40">
        <w:rPr>
          <w:rFonts w:hint="cs"/>
          <w:spacing w:val="0"/>
          <w:kern w:val="0"/>
          <w:sz w:val="20"/>
          <w:rtl/>
          <w:lang w:val="fr-CH"/>
        </w:rPr>
        <w:tab/>
        <w:t>وعليه، تخلص اللجنة إلى أن المعلومات التي قدمتها صاحبة الشكوى، بما في ذلك أنشطتها السياسية غير الواضحة في إثيوبيا وأنشطتها السياسية القليلة الأهمية في سويسرا، غير كافية لإثبات ادعائها بأنها ستواجه شخصياً خطر التعرض للتعذيب إذا ما عادت إلى إثيوبيا. ويساور اللجنة قلق إزاء ما وردها من تقارير عديدة عن انتهاكات حقوق الإنسان بما في ذلك اللجوء إلى التعذيب في إثيوبيا</w:t>
      </w:r>
      <w:r w:rsidRPr="00523D40">
        <w:rPr>
          <w:spacing w:val="0"/>
          <w:kern w:val="0"/>
          <w:sz w:val="20"/>
          <w:vertAlign w:val="superscript"/>
          <w:rtl/>
          <w:lang w:val="fr-CH"/>
        </w:rPr>
        <w:t>(</w:t>
      </w:r>
      <w:r w:rsidRPr="00523D40">
        <w:rPr>
          <w:rStyle w:val="FootnoteReference"/>
          <w:spacing w:val="0"/>
          <w:sz w:val="20"/>
          <w:rtl/>
          <w:lang w:val="fr-CH"/>
        </w:rPr>
        <w:footnoteReference w:id="308"/>
      </w:r>
      <w:r w:rsidRPr="00523D40">
        <w:rPr>
          <w:spacing w:val="0"/>
          <w:kern w:val="0"/>
          <w:sz w:val="20"/>
          <w:vertAlign w:val="superscript"/>
          <w:rtl/>
          <w:lang w:val="fr-CH"/>
        </w:rPr>
        <w:t>)</w:t>
      </w:r>
      <w:r w:rsidRPr="00523D40">
        <w:rPr>
          <w:rFonts w:hint="cs"/>
          <w:spacing w:val="0"/>
          <w:kern w:val="0"/>
          <w:sz w:val="20"/>
          <w:rtl/>
          <w:lang w:val="fr-CH"/>
        </w:rPr>
        <w:t>، ولكنها تذكّر بأنه، لأغراض المادة 3 من الاتفاقية، يجب أن يواجه الفرد المعني خطراً متوقعاً وحقيقياً وشخصياً بالتعرض للتعذيب في البلد الذي يعاد إليه. وفي ضوء ما تقدَّم تخلص اللجنة إلى أنه لم يثبت وجود هذا الخطر.</w:t>
      </w:r>
    </w:p>
    <w:p w:rsidR="00523D40" w:rsidRPr="00523D40" w:rsidRDefault="00523D40" w:rsidP="00523D40">
      <w:pPr>
        <w:pStyle w:val="SingleTxtGA"/>
        <w:spacing w:line="370" w:lineRule="exact"/>
        <w:jc w:val="lowKashida"/>
        <w:rPr>
          <w:rFonts w:hint="cs"/>
          <w:spacing w:val="0"/>
          <w:kern w:val="0"/>
          <w:sz w:val="20"/>
          <w:rtl/>
          <w:lang w:val="fr-CH"/>
        </w:rPr>
      </w:pPr>
      <w:r w:rsidRPr="00523D40">
        <w:rPr>
          <w:rFonts w:hint="cs"/>
          <w:spacing w:val="0"/>
          <w:kern w:val="0"/>
          <w:sz w:val="20"/>
          <w:rtl/>
          <w:lang w:val="fr-CH"/>
        </w:rPr>
        <w:t>8-</w:t>
      </w:r>
      <w:r w:rsidRPr="00523D40">
        <w:rPr>
          <w:rFonts w:hint="cs"/>
          <w:spacing w:val="0"/>
          <w:kern w:val="0"/>
          <w:sz w:val="20"/>
          <w:rtl/>
          <w:lang w:val="fr-CH"/>
        </w:rPr>
        <w:tab/>
        <w:t>وفي ضوء ما تقدم، فإن لجنة مناهضة التعذيب، إذ تعمل بموجب الفقرة 7 من المادة</w:t>
      </w:r>
      <w:r>
        <w:rPr>
          <w:rFonts w:hint="eastAsia"/>
          <w:spacing w:val="0"/>
          <w:kern w:val="0"/>
          <w:sz w:val="20"/>
          <w:rtl/>
          <w:lang w:val="fr-CH"/>
        </w:rPr>
        <w:t> </w:t>
      </w:r>
      <w:r w:rsidRPr="00523D40">
        <w:rPr>
          <w:rFonts w:hint="cs"/>
          <w:spacing w:val="0"/>
          <w:kern w:val="0"/>
          <w:sz w:val="20"/>
          <w:rtl/>
          <w:lang w:val="fr-CH"/>
        </w:rPr>
        <w:t>22 من اتفاقية مناهضة التعذيب وغيره من ضروب المعاملة أو العقوبة القاسية أو</w:t>
      </w:r>
      <w:r>
        <w:rPr>
          <w:rFonts w:hint="eastAsia"/>
          <w:spacing w:val="0"/>
          <w:kern w:val="0"/>
          <w:sz w:val="20"/>
          <w:rtl/>
          <w:lang w:val="fr-CH"/>
        </w:rPr>
        <w:t> </w:t>
      </w:r>
      <w:r w:rsidRPr="00523D40">
        <w:rPr>
          <w:rFonts w:hint="cs"/>
          <w:spacing w:val="0"/>
          <w:kern w:val="0"/>
          <w:sz w:val="20"/>
          <w:rtl/>
          <w:lang w:val="fr-CH"/>
        </w:rPr>
        <w:t>اللاإنسانية أو المهينة، تخلص إلى أن قرار الدولة الطرف بإعادة صاحبة الشكوى إلى إثيوبيا لا يشكل انتهاكاً للمادة 3 من الاتفاقية.</w:t>
      </w:r>
    </w:p>
    <w:p w:rsidR="00523D40" w:rsidRPr="00523D40" w:rsidRDefault="00523D40" w:rsidP="00523D40">
      <w:pPr>
        <w:pStyle w:val="SingleTxtGA"/>
        <w:spacing w:line="370" w:lineRule="exact"/>
        <w:jc w:val="lowKashida"/>
        <w:rPr>
          <w:spacing w:val="0"/>
          <w:kern w:val="0"/>
          <w:sz w:val="20"/>
          <w:rtl/>
        </w:rPr>
        <w:sectPr w:rsidR="00523D40" w:rsidRPr="00523D40" w:rsidSect="00523D40">
          <w:headerReference w:type="first" r:id="rId28"/>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523D40" w:rsidRPr="00523D40" w:rsidRDefault="00523D40" w:rsidP="00523D40">
      <w:pPr>
        <w:pStyle w:val="H1GA"/>
        <w:spacing w:before="120"/>
        <w:jc w:val="lowKashida"/>
        <w:rPr>
          <w:rFonts w:hint="cs"/>
          <w:spacing w:val="0"/>
          <w:kern w:val="0"/>
          <w:sz w:val="20"/>
          <w:rtl/>
        </w:rPr>
      </w:pPr>
      <w:r w:rsidRPr="00523D40">
        <w:rPr>
          <w:rFonts w:hint="cs"/>
          <w:spacing w:val="0"/>
          <w:kern w:val="0"/>
          <w:sz w:val="20"/>
          <w:rtl/>
        </w:rPr>
        <w:tab/>
      </w:r>
      <w:r w:rsidRPr="00523D40">
        <w:rPr>
          <w:rFonts w:hint="cs"/>
          <w:spacing w:val="0"/>
          <w:kern w:val="0"/>
          <w:sz w:val="20"/>
          <w:rtl/>
        </w:rPr>
        <w:tab/>
        <w:t xml:space="preserve">البلاغ رقم 396/2009: </w:t>
      </w:r>
      <w:r w:rsidRPr="00523D40">
        <w:rPr>
          <w:rFonts w:hint="cs"/>
          <w:i/>
          <w:iCs/>
          <w:spacing w:val="0"/>
          <w:kern w:val="0"/>
          <w:sz w:val="20"/>
          <w:rtl/>
        </w:rPr>
        <w:t>غبادجافي ضد سويسرا</w:t>
      </w:r>
    </w:p>
    <w:p w:rsidR="00523D40" w:rsidRPr="00523D40" w:rsidRDefault="00523D40" w:rsidP="00523D40">
      <w:pPr>
        <w:pStyle w:val="SingleTxtGA"/>
        <w:tabs>
          <w:tab w:val="left" w:pos="4458"/>
        </w:tabs>
        <w:ind w:left="3974" w:hanging="2727"/>
        <w:jc w:val="lowKashida"/>
        <w:rPr>
          <w:spacing w:val="0"/>
          <w:kern w:val="0"/>
          <w:sz w:val="20"/>
          <w:rtl/>
        </w:rPr>
      </w:pPr>
      <w:r w:rsidRPr="00523D40">
        <w:rPr>
          <w:rFonts w:hint="cs"/>
          <w:i/>
          <w:iCs/>
          <w:spacing w:val="0"/>
          <w:kern w:val="0"/>
          <w:sz w:val="20"/>
          <w:rtl/>
        </w:rPr>
        <w:tab/>
      </w:r>
      <w:r w:rsidRPr="00523D40">
        <w:rPr>
          <w:i/>
          <w:iCs/>
          <w:spacing w:val="0"/>
          <w:kern w:val="0"/>
          <w:sz w:val="20"/>
          <w:rtl/>
        </w:rPr>
        <w:t>المقدم من:</w:t>
      </w:r>
      <w:r w:rsidRPr="00523D40">
        <w:rPr>
          <w:i/>
          <w:iCs/>
          <w:spacing w:val="0"/>
          <w:kern w:val="0"/>
          <w:sz w:val="20"/>
          <w:rtl/>
        </w:rPr>
        <w:tab/>
      </w:r>
      <w:r w:rsidRPr="00523D40">
        <w:rPr>
          <w:i/>
          <w:iCs/>
          <w:spacing w:val="0"/>
          <w:kern w:val="0"/>
          <w:sz w:val="20"/>
          <w:rtl/>
        </w:rPr>
        <w:tab/>
      </w:r>
      <w:r w:rsidRPr="00523D40">
        <w:rPr>
          <w:rFonts w:hint="cs"/>
          <w:i/>
          <w:iCs/>
          <w:spacing w:val="0"/>
          <w:kern w:val="0"/>
          <w:sz w:val="20"/>
          <w:rtl/>
        </w:rPr>
        <w:tab/>
      </w:r>
      <w:r w:rsidRPr="00523D40">
        <w:rPr>
          <w:rFonts w:hint="cs"/>
          <w:spacing w:val="0"/>
          <w:kern w:val="0"/>
          <w:sz w:val="20"/>
          <w:rtl/>
        </w:rPr>
        <w:tab/>
        <w:t>كومباي برايس ماغلوار غبادجافي</w:t>
      </w:r>
    </w:p>
    <w:p w:rsidR="00523D40" w:rsidRPr="00523D40" w:rsidRDefault="00523D40" w:rsidP="00523D40">
      <w:pPr>
        <w:pStyle w:val="SingleTxtGA"/>
        <w:tabs>
          <w:tab w:val="left" w:pos="4458"/>
        </w:tabs>
        <w:ind w:left="3974" w:hanging="2727"/>
        <w:jc w:val="lowKashida"/>
        <w:rPr>
          <w:i/>
          <w:iCs/>
          <w:spacing w:val="0"/>
          <w:kern w:val="0"/>
          <w:sz w:val="20"/>
          <w:rtl/>
        </w:rPr>
      </w:pPr>
      <w:r w:rsidRPr="00523D40">
        <w:rPr>
          <w:rFonts w:hint="cs"/>
          <w:i/>
          <w:iCs/>
          <w:spacing w:val="0"/>
          <w:kern w:val="0"/>
          <w:sz w:val="20"/>
          <w:rtl/>
        </w:rPr>
        <w:tab/>
      </w:r>
      <w:r w:rsidRPr="00523D40">
        <w:rPr>
          <w:i/>
          <w:iCs/>
          <w:spacing w:val="0"/>
          <w:kern w:val="0"/>
          <w:sz w:val="20"/>
          <w:rtl/>
        </w:rPr>
        <w:t>الشخص المدعى أنه ضحية:</w:t>
      </w:r>
      <w:r w:rsidRPr="00523D40">
        <w:rPr>
          <w:i/>
          <w:iCs/>
          <w:spacing w:val="0"/>
          <w:kern w:val="0"/>
          <w:sz w:val="20"/>
          <w:rtl/>
        </w:rPr>
        <w:tab/>
      </w:r>
      <w:r w:rsidRPr="00523D40">
        <w:rPr>
          <w:spacing w:val="0"/>
          <w:kern w:val="0"/>
          <w:sz w:val="20"/>
          <w:rtl/>
        </w:rPr>
        <w:t>صاحب</w:t>
      </w:r>
      <w:r w:rsidRPr="00523D40">
        <w:rPr>
          <w:rFonts w:hint="cs"/>
          <w:spacing w:val="0"/>
          <w:kern w:val="0"/>
          <w:sz w:val="20"/>
          <w:rtl/>
        </w:rPr>
        <w:t xml:space="preserve"> الشكوى</w:t>
      </w:r>
    </w:p>
    <w:p w:rsidR="00523D40" w:rsidRPr="00523D40" w:rsidRDefault="00523D40" w:rsidP="00523D40">
      <w:pPr>
        <w:pStyle w:val="SingleTxtGA"/>
        <w:tabs>
          <w:tab w:val="left" w:pos="4458"/>
        </w:tabs>
        <w:ind w:left="3974" w:hanging="2727"/>
        <w:jc w:val="lowKashida"/>
        <w:rPr>
          <w:i/>
          <w:iCs/>
          <w:spacing w:val="0"/>
          <w:kern w:val="0"/>
          <w:sz w:val="20"/>
          <w:rtl/>
        </w:rPr>
      </w:pPr>
      <w:r w:rsidRPr="00523D40">
        <w:rPr>
          <w:rFonts w:hint="cs"/>
          <w:i/>
          <w:iCs/>
          <w:spacing w:val="0"/>
          <w:kern w:val="0"/>
          <w:sz w:val="20"/>
          <w:rtl/>
        </w:rPr>
        <w:tab/>
      </w:r>
      <w:r w:rsidRPr="00523D40">
        <w:rPr>
          <w:i/>
          <w:iCs/>
          <w:spacing w:val="0"/>
          <w:kern w:val="0"/>
          <w:sz w:val="20"/>
          <w:rtl/>
        </w:rPr>
        <w:t>الدولة الطرف:</w:t>
      </w:r>
      <w:r w:rsidRPr="00523D40">
        <w:rPr>
          <w:i/>
          <w:iCs/>
          <w:spacing w:val="0"/>
          <w:kern w:val="0"/>
          <w:sz w:val="20"/>
          <w:rtl/>
        </w:rPr>
        <w:tab/>
      </w:r>
      <w:r w:rsidRPr="00523D40">
        <w:rPr>
          <w:i/>
          <w:iCs/>
          <w:spacing w:val="0"/>
          <w:kern w:val="0"/>
          <w:sz w:val="20"/>
          <w:rtl/>
        </w:rPr>
        <w:tab/>
      </w:r>
      <w:r w:rsidRPr="00523D40">
        <w:rPr>
          <w:rFonts w:hint="cs"/>
          <w:i/>
          <w:iCs/>
          <w:spacing w:val="0"/>
          <w:kern w:val="0"/>
          <w:sz w:val="20"/>
          <w:rtl/>
        </w:rPr>
        <w:tab/>
      </w:r>
      <w:r w:rsidRPr="00523D40">
        <w:rPr>
          <w:rFonts w:hint="cs"/>
          <w:spacing w:val="0"/>
          <w:kern w:val="0"/>
          <w:sz w:val="20"/>
          <w:rtl/>
        </w:rPr>
        <w:tab/>
      </w:r>
      <w:r w:rsidRPr="00523D40">
        <w:rPr>
          <w:spacing w:val="0"/>
          <w:kern w:val="0"/>
          <w:sz w:val="20"/>
          <w:rtl/>
        </w:rPr>
        <w:t>سويسرا</w:t>
      </w:r>
    </w:p>
    <w:p w:rsidR="00523D40" w:rsidRPr="00523D40" w:rsidRDefault="00523D40" w:rsidP="00523D40">
      <w:pPr>
        <w:pStyle w:val="SingleTxtGA"/>
        <w:tabs>
          <w:tab w:val="left" w:pos="4458"/>
        </w:tabs>
        <w:ind w:left="3974" w:hanging="2727"/>
        <w:jc w:val="lowKashida"/>
        <w:rPr>
          <w:rFonts w:hint="cs"/>
          <w:i/>
          <w:iCs/>
          <w:spacing w:val="0"/>
          <w:kern w:val="0"/>
          <w:sz w:val="20"/>
          <w:rtl/>
        </w:rPr>
      </w:pPr>
      <w:r w:rsidRPr="00523D40">
        <w:rPr>
          <w:rFonts w:hint="cs"/>
          <w:i/>
          <w:iCs/>
          <w:spacing w:val="0"/>
          <w:kern w:val="0"/>
          <w:sz w:val="20"/>
          <w:rtl/>
        </w:rPr>
        <w:tab/>
      </w:r>
      <w:r w:rsidRPr="00523D40">
        <w:rPr>
          <w:i/>
          <w:iCs/>
          <w:spacing w:val="0"/>
          <w:kern w:val="0"/>
          <w:sz w:val="20"/>
          <w:rtl/>
        </w:rPr>
        <w:t>تاريخ تقديم ال</w:t>
      </w:r>
      <w:r w:rsidRPr="00523D40">
        <w:rPr>
          <w:rFonts w:hint="cs"/>
          <w:i/>
          <w:iCs/>
          <w:spacing w:val="0"/>
          <w:kern w:val="0"/>
          <w:sz w:val="20"/>
          <w:rtl/>
        </w:rPr>
        <w:t>شكوى</w:t>
      </w:r>
      <w:r w:rsidRPr="00523D40">
        <w:rPr>
          <w:i/>
          <w:iCs/>
          <w:spacing w:val="0"/>
          <w:kern w:val="0"/>
          <w:sz w:val="20"/>
          <w:rtl/>
        </w:rPr>
        <w:t>:</w:t>
      </w:r>
      <w:r w:rsidRPr="00523D40">
        <w:rPr>
          <w:rFonts w:hint="cs"/>
          <w:i/>
          <w:iCs/>
          <w:spacing w:val="0"/>
          <w:kern w:val="0"/>
          <w:sz w:val="20"/>
          <w:rtl/>
        </w:rPr>
        <w:tab/>
      </w:r>
      <w:r w:rsidRPr="00523D40">
        <w:rPr>
          <w:i/>
          <w:iCs/>
          <w:spacing w:val="0"/>
          <w:kern w:val="0"/>
          <w:sz w:val="20"/>
          <w:rtl/>
        </w:rPr>
        <w:tab/>
      </w:r>
      <w:r w:rsidRPr="00523D40">
        <w:rPr>
          <w:i/>
          <w:iCs/>
          <w:spacing w:val="0"/>
          <w:kern w:val="0"/>
          <w:sz w:val="20"/>
          <w:rtl/>
        </w:rPr>
        <w:tab/>
      </w:r>
      <w:r w:rsidRPr="00523D40">
        <w:rPr>
          <w:rFonts w:hint="cs"/>
          <w:spacing w:val="0"/>
          <w:kern w:val="0"/>
          <w:sz w:val="20"/>
          <w:rtl/>
        </w:rPr>
        <w:t>18 آب/أغسطس 2009 (تاريخ الرسالة الأولى)</w:t>
      </w:r>
    </w:p>
    <w:p w:rsidR="00523D40" w:rsidRPr="00523D40" w:rsidRDefault="00523D40" w:rsidP="00523D40">
      <w:pPr>
        <w:pStyle w:val="SingleTxtGA"/>
        <w:jc w:val="lowKashida"/>
        <w:rPr>
          <w:rFonts w:hint="cs"/>
          <w:spacing w:val="0"/>
          <w:kern w:val="0"/>
          <w:sz w:val="20"/>
          <w:rtl/>
        </w:rPr>
      </w:pPr>
      <w:r w:rsidRPr="00523D40">
        <w:rPr>
          <w:rFonts w:hint="cs"/>
          <w:i/>
          <w:iCs/>
          <w:spacing w:val="0"/>
          <w:kern w:val="0"/>
          <w:sz w:val="20"/>
          <w:rtl/>
        </w:rPr>
        <w:tab/>
        <w:t>إن لجنة مناهضة التعذيب</w:t>
      </w:r>
      <w:r w:rsidRPr="00523D40">
        <w:rPr>
          <w:rFonts w:hint="cs"/>
          <w:spacing w:val="0"/>
          <w:kern w:val="0"/>
          <w:sz w:val="20"/>
          <w:rtl/>
        </w:rPr>
        <w:t>، المنشأة بموجب المادة 17 من اتفاقية مناهضة التعذيب وغيره من ضروب المعاملة أو العقوبة القاسية أو اللاإنسانية أو المهينة،</w:t>
      </w:r>
    </w:p>
    <w:p w:rsidR="00523D40" w:rsidRPr="00523D40" w:rsidRDefault="00523D40" w:rsidP="00523D40">
      <w:pPr>
        <w:pStyle w:val="SingleTxtGA"/>
        <w:jc w:val="lowKashida"/>
        <w:rPr>
          <w:rFonts w:hint="cs"/>
          <w:spacing w:val="0"/>
          <w:kern w:val="0"/>
          <w:sz w:val="20"/>
          <w:rtl/>
        </w:rPr>
      </w:pPr>
      <w:r w:rsidRPr="00523D40">
        <w:rPr>
          <w:rFonts w:hint="cs"/>
          <w:i/>
          <w:iCs/>
          <w:spacing w:val="0"/>
          <w:kern w:val="0"/>
          <w:sz w:val="20"/>
          <w:rtl/>
        </w:rPr>
        <w:tab/>
        <w:t>وقد اجتمعت</w:t>
      </w:r>
      <w:r w:rsidRPr="00523D40">
        <w:rPr>
          <w:rFonts w:hint="cs"/>
          <w:spacing w:val="0"/>
          <w:kern w:val="0"/>
          <w:sz w:val="20"/>
          <w:rtl/>
        </w:rPr>
        <w:t xml:space="preserve"> في 1 حزيران/يونيه 2012،</w:t>
      </w:r>
    </w:p>
    <w:p w:rsidR="00523D40" w:rsidRPr="00523D40" w:rsidRDefault="00523D40" w:rsidP="00523D40">
      <w:pPr>
        <w:pStyle w:val="SingleTxtGA"/>
        <w:jc w:val="lowKashida"/>
        <w:rPr>
          <w:rFonts w:hint="cs"/>
          <w:spacing w:val="0"/>
          <w:kern w:val="0"/>
          <w:sz w:val="20"/>
          <w:rtl/>
        </w:rPr>
      </w:pPr>
      <w:r w:rsidRPr="00523D40">
        <w:rPr>
          <w:rFonts w:hint="cs"/>
          <w:i/>
          <w:iCs/>
          <w:spacing w:val="0"/>
          <w:kern w:val="0"/>
          <w:sz w:val="20"/>
          <w:rtl/>
        </w:rPr>
        <w:tab/>
        <w:t xml:space="preserve">وقد فرغت </w:t>
      </w:r>
      <w:r w:rsidRPr="00523D40">
        <w:rPr>
          <w:rFonts w:hint="cs"/>
          <w:spacing w:val="0"/>
          <w:kern w:val="0"/>
          <w:sz w:val="20"/>
          <w:rtl/>
        </w:rPr>
        <w:t>من النظر في البلاغ رقم 396/2009، الذي قدمه كومباي برايس ماغلوار غبادجافي إلى لجنة مناهضة التعذيب بموجب المادة 22 من اتفاقية مناهضة التعذيب وغيره من ضروب المعاملة أو العقوبة القاسية أو اللاإنسانية أو المهينة،</w:t>
      </w:r>
    </w:p>
    <w:p w:rsidR="00523D40" w:rsidRPr="00F040E7" w:rsidRDefault="00523D40" w:rsidP="00523D40">
      <w:pPr>
        <w:pStyle w:val="SingleTxtGA"/>
        <w:jc w:val="lowKashida"/>
        <w:rPr>
          <w:rFonts w:hint="cs"/>
          <w:spacing w:val="-4"/>
          <w:kern w:val="0"/>
          <w:sz w:val="20"/>
          <w:rtl/>
        </w:rPr>
      </w:pPr>
      <w:r w:rsidRPr="00F040E7">
        <w:rPr>
          <w:rFonts w:hint="cs"/>
          <w:i/>
          <w:iCs/>
          <w:spacing w:val="-4"/>
          <w:kern w:val="0"/>
          <w:sz w:val="20"/>
          <w:rtl/>
        </w:rPr>
        <w:tab/>
        <w:t xml:space="preserve">وقد أخذت في اعتبارها </w:t>
      </w:r>
      <w:r w:rsidRPr="00F040E7">
        <w:rPr>
          <w:rFonts w:hint="cs"/>
          <w:spacing w:val="-4"/>
          <w:kern w:val="0"/>
          <w:sz w:val="20"/>
          <w:rtl/>
        </w:rPr>
        <w:t>جميع المعلومات التي أتاحها صاحب الشكوى والدولة الطرف،</w:t>
      </w:r>
    </w:p>
    <w:p w:rsidR="00523D40" w:rsidRPr="00523D40" w:rsidRDefault="00523D40" w:rsidP="00523D40">
      <w:pPr>
        <w:pStyle w:val="SingleTxtGA"/>
        <w:jc w:val="lowKashida"/>
        <w:rPr>
          <w:rFonts w:hint="cs"/>
          <w:spacing w:val="0"/>
          <w:kern w:val="0"/>
          <w:sz w:val="20"/>
          <w:rtl/>
        </w:rPr>
      </w:pPr>
      <w:r w:rsidRPr="00523D40">
        <w:rPr>
          <w:rFonts w:hint="cs"/>
          <w:spacing w:val="0"/>
          <w:kern w:val="0"/>
          <w:sz w:val="20"/>
          <w:rtl/>
        </w:rPr>
        <w:tab/>
      </w:r>
      <w:r w:rsidRPr="00523D40">
        <w:rPr>
          <w:rFonts w:hint="cs"/>
          <w:i/>
          <w:iCs/>
          <w:spacing w:val="0"/>
          <w:kern w:val="0"/>
          <w:sz w:val="20"/>
          <w:rtl/>
        </w:rPr>
        <w:t xml:space="preserve">تعتمد </w:t>
      </w:r>
      <w:r w:rsidRPr="00523D40">
        <w:rPr>
          <w:rFonts w:hint="cs"/>
          <w:spacing w:val="0"/>
          <w:kern w:val="0"/>
          <w:sz w:val="20"/>
          <w:rtl/>
        </w:rPr>
        <w:t>ما يلي:</w:t>
      </w:r>
    </w:p>
    <w:p w:rsidR="00523D40" w:rsidRPr="00523D40" w:rsidRDefault="00523D40" w:rsidP="00523D40">
      <w:pPr>
        <w:pStyle w:val="H1GA"/>
        <w:jc w:val="lowKashida"/>
        <w:rPr>
          <w:rFonts w:hint="cs"/>
          <w:spacing w:val="0"/>
          <w:kern w:val="0"/>
          <w:sz w:val="20"/>
          <w:rtl/>
        </w:rPr>
      </w:pPr>
      <w:r w:rsidRPr="00523D40">
        <w:rPr>
          <w:rFonts w:hint="cs"/>
          <w:spacing w:val="0"/>
          <w:kern w:val="0"/>
          <w:sz w:val="20"/>
          <w:rtl/>
        </w:rPr>
        <w:tab/>
      </w:r>
      <w:r w:rsidRPr="00523D40">
        <w:rPr>
          <w:rFonts w:hint="cs"/>
          <w:spacing w:val="0"/>
          <w:kern w:val="0"/>
          <w:sz w:val="20"/>
          <w:rtl/>
        </w:rPr>
        <w:tab/>
        <w:t xml:space="preserve">قرار بموجب الفقرة 7 من المادة 22 من اتفاقية مناهضة التعذيب </w:t>
      </w:r>
    </w:p>
    <w:p w:rsidR="00523D40" w:rsidRPr="00523D40" w:rsidRDefault="00523D40" w:rsidP="00523D40">
      <w:pPr>
        <w:pStyle w:val="SingleTxtGA"/>
        <w:jc w:val="lowKashida"/>
        <w:rPr>
          <w:rFonts w:hint="cs"/>
          <w:spacing w:val="0"/>
          <w:kern w:val="0"/>
          <w:sz w:val="20"/>
          <w:rtl/>
          <w:lang w:val="fr-CH"/>
        </w:rPr>
      </w:pPr>
      <w:r w:rsidRPr="00523D40">
        <w:rPr>
          <w:rFonts w:hint="cs"/>
          <w:spacing w:val="-2"/>
          <w:kern w:val="0"/>
          <w:sz w:val="20"/>
          <w:rtl/>
          <w:lang w:val="fr-CH"/>
        </w:rPr>
        <w:t>1-1</w:t>
      </w:r>
      <w:r w:rsidRPr="00523D40">
        <w:rPr>
          <w:rFonts w:hint="cs"/>
          <w:spacing w:val="-2"/>
          <w:kern w:val="0"/>
          <w:sz w:val="20"/>
          <w:rtl/>
          <w:lang w:val="fr-CH"/>
        </w:rPr>
        <w:tab/>
        <w:t xml:space="preserve">صاحب الشكوى </w:t>
      </w:r>
      <w:r w:rsidRPr="00523D40">
        <w:rPr>
          <w:rFonts w:hint="cs"/>
          <w:spacing w:val="-2"/>
          <w:kern w:val="0"/>
          <w:sz w:val="20"/>
          <w:rtl/>
        </w:rPr>
        <w:t>هو كومباي برايس ماغلوار غبادجافي</w:t>
      </w:r>
      <w:r w:rsidRPr="00523D40">
        <w:rPr>
          <w:rFonts w:hint="cs"/>
          <w:spacing w:val="-2"/>
          <w:kern w:val="0"/>
          <w:sz w:val="20"/>
          <w:rtl/>
          <w:lang w:val="fr-CH"/>
        </w:rPr>
        <w:t>، من رعايا توغو، ومن مواليد عام 1969. ويدعي أن ترحيله إلى توغو سيشكل انتهاكاً من جانب سويسرا للمادة 3 من اتفاقية مناهضة التعذيب وغيره من ضروب المعاملة أو العقوبة القاسية أو اللاإنسانية أو</w:t>
      </w:r>
      <w:r w:rsidRPr="00523D40">
        <w:rPr>
          <w:rFonts w:hint="cs"/>
          <w:spacing w:val="0"/>
          <w:kern w:val="0"/>
          <w:sz w:val="20"/>
          <w:rtl/>
          <w:lang w:val="fr-CH"/>
        </w:rPr>
        <w:t xml:space="preserve"> المهينة. ويمثله المحامي غيدو إهرلر.</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1-2</w:t>
      </w:r>
      <w:r w:rsidRPr="00523D40">
        <w:rPr>
          <w:rFonts w:hint="cs"/>
          <w:spacing w:val="0"/>
          <w:kern w:val="0"/>
          <w:sz w:val="20"/>
          <w:rtl/>
          <w:lang w:val="fr-CH"/>
        </w:rPr>
        <w:tab/>
        <w:t>وبموجب الفقرة 1 من المادة 108 من النظام الداخلي، طلبت اللجنة إلى الدولة الطرف عدم المضي في ترحيل صاحب الشكوى إلى توغو ما دامت شكواه قيد نظر اللجنة.</w:t>
      </w:r>
    </w:p>
    <w:p w:rsidR="00523D40" w:rsidRPr="00523D40" w:rsidRDefault="00523D40" w:rsidP="00523D40">
      <w:pPr>
        <w:pStyle w:val="H23GA"/>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 xml:space="preserve">الوقائع كما </w:t>
      </w:r>
      <w:r w:rsidRPr="00523D40">
        <w:rPr>
          <w:rFonts w:hint="cs"/>
          <w:spacing w:val="0"/>
          <w:kern w:val="0"/>
          <w:sz w:val="20"/>
          <w:rtl/>
        </w:rPr>
        <w:t>عرضها</w:t>
      </w:r>
      <w:r w:rsidRPr="00523D40">
        <w:rPr>
          <w:rFonts w:hint="cs"/>
          <w:spacing w:val="0"/>
          <w:kern w:val="0"/>
          <w:sz w:val="20"/>
          <w:rtl/>
          <w:lang w:val="fr-CH"/>
        </w:rPr>
        <w:t xml:space="preserve"> صاحب الشكوى</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2-1</w:t>
      </w:r>
      <w:r w:rsidRPr="00523D40">
        <w:rPr>
          <w:rFonts w:hint="cs"/>
          <w:spacing w:val="0"/>
          <w:kern w:val="0"/>
          <w:sz w:val="20"/>
          <w:rtl/>
          <w:lang w:val="fr-CH"/>
        </w:rPr>
        <w:tab/>
        <w:t xml:space="preserve">في عام 1994، التحق صاحب الشكوى بحزب </w:t>
      </w:r>
      <w:r w:rsidRPr="00523D40">
        <w:rPr>
          <w:spacing w:val="0"/>
          <w:kern w:val="0"/>
          <w:sz w:val="20"/>
          <w:rtl/>
        </w:rPr>
        <w:t>اتحاد القوى من أجل التغيير</w:t>
      </w:r>
      <w:r w:rsidRPr="00523D40">
        <w:rPr>
          <w:rFonts w:hint="cs"/>
          <w:spacing w:val="0"/>
          <w:kern w:val="0"/>
          <w:sz w:val="20"/>
          <w:rtl/>
          <w:lang w:val="fr-CH"/>
        </w:rPr>
        <w:t xml:space="preserve"> بصفته عضواً نشطاً بدائرة الأمن التابعة للحزب</w:t>
      </w:r>
      <w:r w:rsidRPr="00523D40">
        <w:rPr>
          <w:rFonts w:hint="cs"/>
          <w:spacing w:val="0"/>
          <w:kern w:val="0"/>
          <w:sz w:val="20"/>
          <w:rtl/>
        </w:rPr>
        <w:t>.</w:t>
      </w:r>
      <w:r w:rsidRPr="00523D40">
        <w:rPr>
          <w:rFonts w:hint="cs"/>
          <w:spacing w:val="0"/>
          <w:kern w:val="0"/>
          <w:sz w:val="20"/>
          <w:rtl/>
          <w:lang w:val="fr-CH"/>
        </w:rPr>
        <w:t xml:space="preserve"> وكان دوره هو حماية أعضاء الحزب، وتوزيع المنشورات، وإصدار البيانات. وفي عام 1999، ألقت سلطات توغو القبض عليه لتقديمه معلومات إلى أصدقاء كانوا في ألمانيا عن الوضع السياسي في توغو. وعند استجوابه في مركز الشرطة، تعرض للضرب إلى أن فقد وعيه تقريباً. ونقل بعد ذلك إلى مسكنه في بيكبوتا (أحد</w:t>
      </w:r>
      <w:r>
        <w:rPr>
          <w:rFonts w:hint="eastAsia"/>
          <w:spacing w:val="0"/>
          <w:kern w:val="0"/>
          <w:sz w:val="20"/>
          <w:rtl/>
          <w:lang w:val="fr-CH"/>
        </w:rPr>
        <w:t> </w:t>
      </w:r>
      <w:r w:rsidRPr="00523D40">
        <w:rPr>
          <w:rFonts w:hint="cs"/>
          <w:spacing w:val="0"/>
          <w:kern w:val="0"/>
          <w:sz w:val="20"/>
          <w:rtl/>
          <w:lang w:val="fr-CH"/>
        </w:rPr>
        <w:t>الأحياء السكنية في لومي) حيث قامت الشرطة بتفتيش المسكن. وعثر أفراد من الشرطة أثناء التفتيش على وثائق تخص الحزب فعادوا بصاحب الشكوى إلى مركز الشرطة حيث قيدوه بالسلاسل واعتدوا عليه بالضرب وتركوه حين ظنوا أنه قد مات. ووضع بعد ذلك في زنزانة مع شخصين آخرين لمدة أسبوع. وخلال هذه الفترة، كان النزلاء يجبرون على المشي على الركبتين على تربة خشنة. ونقل بعد ذلك إلى سجن أديدوغومي حيث استمرت المعاملة السيئة. وأثناء التمارين الرياضية، كان السجناء الذين تبدو عليهم علامات التعب ويسقطون على الأرض يتعرضون للضرب. وكانت توضع أكياس من الرمل على ظهره ويجبر على أداء تمارين الضغط. وبعد شهرين من هذه المعاملة، ظهر في بوله</w:t>
      </w:r>
      <w:r w:rsidRPr="00523D40" w:rsidDel="00703999">
        <w:rPr>
          <w:rFonts w:hint="cs"/>
          <w:spacing w:val="0"/>
          <w:kern w:val="0"/>
          <w:sz w:val="20"/>
          <w:rtl/>
          <w:lang w:val="fr-CH"/>
        </w:rPr>
        <w:t xml:space="preserve"> </w:t>
      </w:r>
      <w:r w:rsidRPr="00523D40">
        <w:rPr>
          <w:rFonts w:hint="cs"/>
          <w:spacing w:val="0"/>
          <w:kern w:val="0"/>
          <w:sz w:val="20"/>
          <w:rtl/>
          <w:lang w:val="fr-CH"/>
        </w:rPr>
        <w:t>دم، وبلغت درجة إعيائه حداً أدى إلى إطلاق سراحه.</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2-2</w:t>
      </w:r>
      <w:r w:rsidRPr="00523D40">
        <w:rPr>
          <w:rFonts w:hint="cs"/>
          <w:spacing w:val="0"/>
          <w:kern w:val="0"/>
          <w:sz w:val="20"/>
          <w:rtl/>
          <w:lang w:val="fr-CH"/>
        </w:rPr>
        <w:tab/>
        <w:t>وفي 18 تموز/يوليه 1999، أجريت محادثات بين المعارضة (حزب اتحاد القوى من أجل التغيير) والحزب الحاكم، واتُّفق على أن يتولي صاحب الشكوى حراسة السيد غيلكرست أولمبيو، رئيس حزب اتحاد القوى من أجل التغيير، في أثناء رحلته من الحدود مع غانا إلى العاصمة، ولكن قررت وزارة الداخلية عشية المحادثات أن تقوم القوات التوغولية بتأمين سلامته. واعترض المسؤولون عن الأمن في حزب الاتحاد ومعظمهم من المناصرين للحزب مثل صاحب الشكوى على قرار وزارة الداخلية ووقعت اشتباكات بين الطرفين. ونظراً لتهديده بالسجن، قرر الهروب إلى غانا. وفي عام 2002، عاد إلى توغو بعد أن التقى بالوزير ﻫ. و. أولمبيو الذي أعطاه بطاقة تعريف تحمل توقيعه وتصريحاً لتأمين سلامته.</w:t>
      </w:r>
    </w:p>
    <w:p w:rsidR="00523D40" w:rsidRPr="00523D40" w:rsidRDefault="00523D40" w:rsidP="00523D40">
      <w:pPr>
        <w:pStyle w:val="SingleTxtGA"/>
        <w:jc w:val="lowKashida"/>
        <w:rPr>
          <w:rFonts w:hint="cs"/>
          <w:spacing w:val="-2"/>
          <w:kern w:val="0"/>
          <w:sz w:val="20"/>
          <w:rtl/>
          <w:lang w:val="fr-CH"/>
        </w:rPr>
      </w:pPr>
      <w:r w:rsidRPr="00523D40">
        <w:rPr>
          <w:rFonts w:hint="cs"/>
          <w:spacing w:val="-2"/>
          <w:kern w:val="0"/>
          <w:sz w:val="20"/>
          <w:rtl/>
          <w:lang w:val="fr-CH"/>
        </w:rPr>
        <w:t>2-3</w:t>
      </w:r>
      <w:r w:rsidRPr="00523D40">
        <w:rPr>
          <w:rFonts w:hint="cs"/>
          <w:spacing w:val="-2"/>
          <w:kern w:val="0"/>
          <w:sz w:val="20"/>
          <w:rtl/>
          <w:lang w:val="fr-CH"/>
        </w:rPr>
        <w:tab/>
        <w:t>وأثناء الانتخابات التي جرت في عام 2003، أبلغ صاحب الشكوى عن شخص أقدم على التصويت مرتين لمرشح حزب تجمع الشعب التوغولي في أحد مكاتب التصويت. وأدى ذلك إلى اشتباك فقد خلاله حافظة نقوده التي كانت بها بطاقة التعريف وتصريح تأمين السلامة اللذين أعطاهما له السيد ﻫ. و. أولمبيو ووثائق أخرى مثل بطاقة هويته. وهدد بعد ذلك أعضاء في حزب تجمع الشعب التوغولي زوجته بقتله. وقرر بالتالي مغادرة البلد مرة أخرى واللجوء إلى بنن. وعاد إلى توغو في كانون الثاني/يناير 2004. وفي 16 نيسان/أبريل</w:t>
      </w:r>
      <w:r w:rsidRPr="00523D40">
        <w:rPr>
          <w:rFonts w:hint="eastAsia"/>
          <w:spacing w:val="-2"/>
          <w:kern w:val="0"/>
          <w:sz w:val="20"/>
          <w:rtl/>
          <w:lang w:val="fr-CH"/>
        </w:rPr>
        <w:t> </w:t>
      </w:r>
      <w:r w:rsidRPr="00523D40">
        <w:rPr>
          <w:rFonts w:hint="cs"/>
          <w:spacing w:val="-2"/>
          <w:kern w:val="0"/>
          <w:sz w:val="20"/>
          <w:rtl/>
          <w:lang w:val="fr-CH"/>
        </w:rPr>
        <w:t>2005، في لقاء عام</w:t>
      </w:r>
      <w:r>
        <w:rPr>
          <w:rFonts w:hint="eastAsia"/>
          <w:spacing w:val="-2"/>
          <w:kern w:val="0"/>
          <w:sz w:val="20"/>
          <w:rtl/>
          <w:lang w:val="fr-CH"/>
        </w:rPr>
        <w:t> </w:t>
      </w:r>
      <w:r w:rsidRPr="00523D40">
        <w:rPr>
          <w:rFonts w:hint="cs"/>
          <w:spacing w:val="-2"/>
          <w:kern w:val="0"/>
          <w:sz w:val="20"/>
          <w:rtl/>
          <w:lang w:val="fr-CH"/>
        </w:rPr>
        <w:t>نظمه حزب اتحاد القوى من أجل التغيير في أتيكومي، أطلقت قوات حفظ النظام النار على</w:t>
      </w:r>
      <w:r>
        <w:rPr>
          <w:rFonts w:hint="eastAsia"/>
          <w:spacing w:val="-2"/>
          <w:kern w:val="0"/>
          <w:sz w:val="20"/>
          <w:rtl/>
          <w:lang w:val="fr-CH"/>
        </w:rPr>
        <w:t> </w:t>
      </w:r>
      <w:r w:rsidRPr="00523D40">
        <w:rPr>
          <w:rFonts w:hint="cs"/>
          <w:spacing w:val="-2"/>
          <w:kern w:val="0"/>
          <w:sz w:val="20"/>
          <w:rtl/>
          <w:lang w:val="fr-CH"/>
        </w:rPr>
        <w:t>الجمهور. وتوجهت في المساء إلى منزله للقبض عليه ولكنه لم يكن بالمنزل. وفي 28 آذار/مارس 2006، استوقفته قوات الشرطة هو وأخته على الطريق بين لومي وأغويغان ونقلته قوات الشرطة إلى مكتب رئيس الشرطة بمعسكر زيبي حيث تم الاعتداء عليه بالضرب واحتجازه. وسأله رئيس الشرطة أثناء الاستجواب عن طبيعة العلاقة بينه وبين السيد ﻫ. و. أولمبيو المشتبه في أنه المحرض على الاعتداء على مقر الشرطة في 26 شباط/فبراير 2006. وتعرض أثناء الاحتجاز للضرب والتهديد بالقتل. وفي 19 نيسان/أبريل 2006، تمكن من الهروب من السجن بعد قيام صهره برشوة أحد الحراس. وذهب إلى غانا ولكن، خوفاً من قيام أجهزة المخابرات التوغولية العاملة في غانا باحتجازه، هرب عن طريق الجو بهوية مزورة إلى إيطاليا. وتوجه بعد ذلك إلى سويسرا حيث وصل إليها في 30 نيسان/أبريل 2006.</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2-4</w:t>
      </w:r>
      <w:r w:rsidRPr="00523D40">
        <w:rPr>
          <w:rFonts w:hint="cs"/>
          <w:spacing w:val="0"/>
          <w:kern w:val="0"/>
          <w:sz w:val="20"/>
          <w:rtl/>
          <w:lang w:val="fr-CH"/>
        </w:rPr>
        <w:tab/>
        <w:t>وفي 7 تشرين الثاني/نوفمبر 2006، اضطرت زوجة صاحب الشكوى وأولاده إلى الهروب إلى بنن بسبب استمرار تعرضهم للاضطهاد.</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2-5</w:t>
      </w:r>
      <w:r w:rsidRPr="00523D40">
        <w:rPr>
          <w:rFonts w:hint="cs"/>
          <w:spacing w:val="0"/>
          <w:kern w:val="0"/>
          <w:sz w:val="20"/>
          <w:rtl/>
          <w:lang w:val="fr-CH"/>
        </w:rPr>
        <w:tab/>
        <w:t>وفي 8 أيلول/سبتمبر 2006، رفض المكتب الاتحادي للهجرة طلب اللجوء المقدم من صاحب الشكوى لعدم مصداقية البيانات الواردة به ومضي مدة طويلة على التهديدات (1999-2002) لا يمكن الاستناد إليها لإثبات وجود مخاوف حقيقية من التعرض للاضطهاد. واعترض المكتب الاتحادي للهجرة من ناحية أخرى على القول بأن السيد ﻫ. و. أولمبيو كان وزيراً في أي وقت من الأوقات وعلى وقوع اعتداء على مقر الشرطة في 26 شباط/فبراير 2006. وطعن صاحب الشكوى في هذا القرار في 11 تشرين الأول/أكتوبر 2006 وقدم على وجه الخصوص وثيقة تثبت أن السيد ﻫ</w:t>
      </w:r>
      <w:r w:rsidRPr="00523D40">
        <w:rPr>
          <w:spacing w:val="0"/>
          <w:kern w:val="0"/>
          <w:sz w:val="20"/>
          <w:rtl/>
          <w:lang w:val="fr-CH"/>
        </w:rPr>
        <w:t>. و. أولمبيو</w:t>
      </w:r>
      <w:r w:rsidRPr="00523D40">
        <w:rPr>
          <w:rFonts w:hint="cs"/>
          <w:spacing w:val="0"/>
          <w:kern w:val="0"/>
          <w:sz w:val="20"/>
          <w:rtl/>
          <w:lang w:val="fr-CH"/>
        </w:rPr>
        <w:t xml:space="preserve"> كان عضواً في الحكومة حتى آب/أغسطس 2003، كما قدم مقالاً صحفياً بشأن الاعتداء الذي وقع على مقر الشرطة في 26 شباط/فبراير 2006. وقدم صاحب الشكوى علاوة على ذلك وثائق مختلفة صادرة عن حزب اتحاد القوى من أجل التغيير تدل على نشاطه في الحزب. وفي إفادة محررة في 9 تشرين الثاني/نوفمبر 2006، لم ينكر المكتب الاتحادي للهجرة أن صاحب الشكوى كان عضواً نشطاً في حزب اتحاد القوى من أجل التغيير ووقوع اعتداء على مقر الشرطة في 26 شباط/فبراير 2006 ولكنه رأى أن ادعاءات صاحب الشكوى المتعلقة بملاحقة السلطات التوغولية لا مصداقية لها. </w:t>
      </w:r>
    </w:p>
    <w:p w:rsidR="00523D40" w:rsidRPr="00523D40" w:rsidRDefault="00523D40" w:rsidP="00F040E7">
      <w:pPr>
        <w:pStyle w:val="SingleTxtGA"/>
        <w:jc w:val="lowKashida"/>
        <w:rPr>
          <w:rFonts w:hint="cs"/>
          <w:spacing w:val="0"/>
          <w:kern w:val="0"/>
          <w:sz w:val="20"/>
          <w:rtl/>
          <w:lang w:val="fr-CH"/>
        </w:rPr>
      </w:pPr>
      <w:r w:rsidRPr="00F040E7">
        <w:rPr>
          <w:rFonts w:hint="cs"/>
          <w:spacing w:val="-2"/>
          <w:kern w:val="0"/>
          <w:sz w:val="20"/>
          <w:rtl/>
          <w:lang w:val="fr-CH"/>
        </w:rPr>
        <w:t>2-6</w:t>
      </w:r>
      <w:r w:rsidRPr="00F040E7">
        <w:rPr>
          <w:rFonts w:hint="cs"/>
          <w:spacing w:val="-2"/>
          <w:kern w:val="0"/>
          <w:sz w:val="20"/>
          <w:rtl/>
          <w:lang w:val="fr-CH"/>
        </w:rPr>
        <w:tab/>
        <w:t>ودعماً للطعن المقدم إلى المحكمة الإدارية الاتحادية، قدم صاحب الشكوى تقريراً طبياً يشهد بالصدمة التي لحقت به نتيجة للتعذيب الذي تعرض له والعلاج النفسي الذي يتلقاه منذ ذلك الحين. وقدم أيضاً وثيقة تشهد بالمحنة التي تعرضت لها زوجته نتيجة لحالتها وحالة زوجها في بنن وتفيد بأنها حاولت الانتحار في 5 شباط/فبراير 2008. وفي 1 نيسان/أبريل 2009، رفضت المحكمة الإدارية الاتحادية الطعن المقدم من صاحب الشكوى على أساس أن</w:t>
      </w:r>
      <w:r w:rsidRPr="00523D40">
        <w:rPr>
          <w:rFonts w:hint="cs"/>
          <w:spacing w:val="0"/>
          <w:kern w:val="0"/>
          <w:sz w:val="20"/>
          <w:rtl/>
          <w:lang w:val="fr-CH"/>
        </w:rPr>
        <w:t xml:space="preserve"> الحالة في توغو قد تحسنت منذ مغادرته لها وأن خشيته من انتهاك المادة 3 من الاتفاقية لا مبرر لها. ورأت المحكمة أن العلاج الطبي اللازم لصاحب الشكوى متوافر في توغو ولكن لم تتحقق من البيانات المقدمة من صاحب الشكوى مثل ا</w:t>
      </w:r>
      <w:r w:rsidR="00F040E7">
        <w:rPr>
          <w:rFonts w:hint="cs"/>
          <w:spacing w:val="0"/>
          <w:kern w:val="0"/>
          <w:sz w:val="20"/>
          <w:rtl/>
          <w:lang w:val="fr-CH"/>
        </w:rPr>
        <w:t xml:space="preserve">لتقارير الطبية التي </w:t>
      </w:r>
      <w:r w:rsidRPr="00523D40">
        <w:rPr>
          <w:rFonts w:hint="cs"/>
          <w:spacing w:val="0"/>
          <w:kern w:val="0"/>
          <w:sz w:val="20"/>
          <w:rtl/>
          <w:lang w:val="fr-CH"/>
        </w:rPr>
        <w:t>تثبت إصابته باضطراب الإجهاد اللاحق للصدمة وسوء حالته الصحية ومشاركته النشطة بصفته نائباً لرئيس حزب اتحاد القوى من أجل التغيير في أرغوفيا، سويسرا. وفي 30 نيسان/أبريل 2009، انتحرت زوجة صاحب الشكوى نتيجة للقرار الصادر من المحكمة الإدارية الاتحادية برفض الطعن.</w:t>
      </w:r>
    </w:p>
    <w:p w:rsidR="00523D40" w:rsidRPr="00523D40" w:rsidRDefault="00523D40" w:rsidP="00523D40">
      <w:pPr>
        <w:pStyle w:val="SingleTxtGA"/>
        <w:jc w:val="lowKashida"/>
        <w:rPr>
          <w:rFonts w:hint="cs"/>
          <w:spacing w:val="0"/>
          <w:kern w:val="0"/>
          <w:sz w:val="20"/>
          <w:rtl/>
          <w:lang w:val="fr-CH"/>
        </w:rPr>
      </w:pPr>
      <w:r w:rsidRPr="00F040E7">
        <w:rPr>
          <w:rFonts w:hint="cs"/>
          <w:spacing w:val="-2"/>
          <w:kern w:val="0"/>
          <w:sz w:val="20"/>
          <w:rtl/>
          <w:lang w:val="fr-CH"/>
        </w:rPr>
        <w:t>2-7</w:t>
      </w:r>
      <w:r w:rsidRPr="00F040E7">
        <w:rPr>
          <w:rFonts w:hint="cs"/>
          <w:spacing w:val="-2"/>
          <w:kern w:val="0"/>
          <w:sz w:val="20"/>
          <w:rtl/>
          <w:lang w:val="fr-CH"/>
        </w:rPr>
        <w:tab/>
        <w:t>وفي 19 أيار/مايو 2009، رفض المكتب الاتحادي للهجرة طلب إعادة النظر الذي قدمه صاحب الشكوى. وفي 3 حزيران/يونيه 2009، طعن صاحب الشكوى في هذا القرار أمام المحكمة الإدارية الاتحادية وأعلن دعماً لهذا الطلب أنه نقل بصورة عاجلة إلى قسم الأمراض النفسية بمستشفى كانتون سولير في 29 أيار/مايو 2009 بسبب محاولته الانتحار لخوفه من ترحيله إلى توغو وتعرضه للتعذيب حتى الموت. وأعلن أنه طلب تقريراً طبياً وأن</w:t>
      </w:r>
      <w:r w:rsidRPr="00523D40">
        <w:rPr>
          <w:rFonts w:hint="cs"/>
          <w:spacing w:val="0"/>
          <w:kern w:val="0"/>
          <w:sz w:val="20"/>
          <w:rtl/>
          <w:lang w:val="fr-CH"/>
        </w:rPr>
        <w:t xml:space="preserve"> </w:t>
      </w:r>
      <w:r w:rsidRPr="00F040E7">
        <w:rPr>
          <w:rFonts w:hint="cs"/>
          <w:spacing w:val="-2"/>
          <w:kern w:val="0"/>
          <w:sz w:val="20"/>
          <w:rtl/>
          <w:lang w:val="fr-CH"/>
        </w:rPr>
        <w:t>التقرير الطبي سيقدم مباشرة إلى السلطات القضائية</w:t>
      </w:r>
      <w:r w:rsidRPr="00F040E7">
        <w:rPr>
          <w:spacing w:val="-2"/>
          <w:kern w:val="0"/>
          <w:sz w:val="20"/>
          <w:vertAlign w:val="superscript"/>
          <w:rtl/>
          <w:lang w:val="fr-CH"/>
        </w:rPr>
        <w:t>(</w:t>
      </w:r>
      <w:r w:rsidRPr="00F040E7">
        <w:rPr>
          <w:rStyle w:val="FootnoteReference"/>
          <w:spacing w:val="-2"/>
          <w:sz w:val="20"/>
          <w:rtl/>
          <w:lang w:val="fr-CH"/>
        </w:rPr>
        <w:footnoteReference w:id="309"/>
      </w:r>
      <w:r w:rsidRPr="00F040E7">
        <w:rPr>
          <w:spacing w:val="-2"/>
          <w:kern w:val="0"/>
          <w:sz w:val="20"/>
          <w:vertAlign w:val="superscript"/>
          <w:rtl/>
          <w:lang w:val="fr-CH"/>
        </w:rPr>
        <w:t>)</w:t>
      </w:r>
      <w:r w:rsidRPr="00F040E7">
        <w:rPr>
          <w:rFonts w:hint="cs"/>
          <w:spacing w:val="-2"/>
          <w:kern w:val="0"/>
          <w:sz w:val="20"/>
          <w:rtl/>
          <w:lang w:val="fr-CH"/>
        </w:rPr>
        <w:t xml:space="preserve">. وفي إطار هذا الطعن، طلب صاحب الشكوى إلى المحكمة الإدارية الاتحادية أن تأمر بإجراء تحقيق متعمق وفعال. وقدم صاحب الشكوى أيضاً تقريراً من </w:t>
      </w:r>
      <w:r w:rsidRPr="00F040E7">
        <w:rPr>
          <w:rFonts w:hint="cs"/>
          <w:spacing w:val="-2"/>
          <w:kern w:val="0"/>
          <w:sz w:val="20"/>
          <w:rtl/>
          <w:lang/>
        </w:rPr>
        <w:t>المنظمة السويسرية لمساعدة اللاجئين</w:t>
      </w:r>
      <w:r w:rsidRPr="00F040E7">
        <w:rPr>
          <w:rFonts w:hint="cs"/>
          <w:spacing w:val="-2"/>
          <w:kern w:val="0"/>
          <w:sz w:val="20"/>
          <w:rtl/>
          <w:lang w:val="fr-CH"/>
        </w:rPr>
        <w:t xml:space="preserve"> بتاريخ 18 أيار/مايو 2009بشأن الوضع السياسي في توغو. وفي 10 حزيران/يونيه 2009 قررت المحكمة</w:t>
      </w:r>
      <w:r w:rsidRPr="00523D40">
        <w:rPr>
          <w:rFonts w:hint="cs"/>
          <w:spacing w:val="0"/>
          <w:kern w:val="0"/>
          <w:sz w:val="20"/>
          <w:rtl/>
          <w:lang w:val="fr-CH"/>
        </w:rPr>
        <w:t xml:space="preserve"> الإدارية الاتحادية أن طعنه ليس مدعوماً بأدلة كافية. ونظراً لافتقاره إلى الموارد اللازمة لدفع نفقات الدعوى مقدماً، فقد شُطبت القضية.</w:t>
      </w:r>
    </w:p>
    <w:p w:rsidR="00523D40" w:rsidRPr="00523D40" w:rsidRDefault="00523D40" w:rsidP="00523D40">
      <w:pPr>
        <w:pStyle w:val="H23GA"/>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الشكوى</w:t>
      </w:r>
    </w:p>
    <w:p w:rsidR="00523D40" w:rsidRPr="00F040E7" w:rsidRDefault="00523D40" w:rsidP="00523D40">
      <w:pPr>
        <w:pStyle w:val="SingleTxtGA"/>
        <w:jc w:val="lowKashida"/>
        <w:rPr>
          <w:rFonts w:hint="cs"/>
          <w:spacing w:val="-2"/>
          <w:kern w:val="0"/>
          <w:sz w:val="20"/>
          <w:rtl/>
          <w:lang w:val="fr-CH"/>
        </w:rPr>
      </w:pPr>
      <w:r w:rsidRPr="00523D40">
        <w:rPr>
          <w:rFonts w:hint="cs"/>
          <w:spacing w:val="0"/>
          <w:kern w:val="0"/>
          <w:sz w:val="20"/>
          <w:rtl/>
          <w:lang w:val="fr-CH"/>
        </w:rPr>
        <w:t>3-1</w:t>
      </w:r>
      <w:r w:rsidRPr="00523D40">
        <w:rPr>
          <w:rFonts w:hint="cs"/>
          <w:spacing w:val="0"/>
          <w:kern w:val="0"/>
          <w:sz w:val="20"/>
          <w:rtl/>
          <w:lang w:val="fr-CH"/>
        </w:rPr>
        <w:tab/>
        <w:t xml:space="preserve">يشير صاحب الشكوى إلى عدم اعتراض سلطات الدولة الطرف على تعرضه للتعذيب في عام 1999، وعلى أنه كان عضواً نشطاً بدائرة الأمن التابعة لحزب </w:t>
      </w:r>
      <w:r w:rsidRPr="00523D40">
        <w:rPr>
          <w:spacing w:val="0"/>
          <w:kern w:val="0"/>
          <w:sz w:val="20"/>
          <w:rtl/>
        </w:rPr>
        <w:t>اتحاد القوى من أجل التغيير</w:t>
      </w:r>
      <w:r w:rsidRPr="00523D40">
        <w:rPr>
          <w:rFonts w:hint="cs"/>
          <w:spacing w:val="0"/>
          <w:kern w:val="0"/>
          <w:sz w:val="20"/>
          <w:rtl/>
          <w:lang w:val="fr-CH"/>
        </w:rPr>
        <w:t>، وعلى هروبه إلى غانا وبنن. ويشير أيضاً إلى التقارير الطبية التي تؤكد أنه مصاب بصدمة خطيرة منذ عدة سنوات. ويشير صاحب الشكوى إلى التقارير المقدمة من منظمات مثل منظمة العفو الدولية، ومفوضية الأمم المتحدة لشؤون اللاجئين، و</w:t>
      </w:r>
      <w:r w:rsidRPr="00523D40">
        <w:rPr>
          <w:rFonts w:hint="cs"/>
          <w:spacing w:val="0"/>
          <w:kern w:val="0"/>
          <w:sz w:val="20"/>
          <w:rtl/>
          <w:lang/>
        </w:rPr>
        <w:t xml:space="preserve">المنظمة السويسرية لمساعدة اللاجئين </w:t>
      </w:r>
      <w:r w:rsidRPr="00523D40">
        <w:rPr>
          <w:rFonts w:hint="cs"/>
          <w:spacing w:val="0"/>
          <w:kern w:val="0"/>
          <w:sz w:val="20"/>
          <w:rtl/>
          <w:lang w:val="fr-CH"/>
        </w:rPr>
        <w:t xml:space="preserve">التي تفيد بأن من المتوقع أن يتعرض للتعذيب في حالة عودته إلى </w:t>
      </w:r>
      <w:r w:rsidRPr="00F040E7">
        <w:rPr>
          <w:rFonts w:hint="cs"/>
          <w:spacing w:val="-2"/>
          <w:kern w:val="0"/>
          <w:sz w:val="20"/>
          <w:rtl/>
          <w:lang w:val="fr-CH"/>
        </w:rPr>
        <w:t xml:space="preserve">توغو. وعلى الرغم من تحسن الوضع في توغو بدخول بعض أعضاء حزب </w:t>
      </w:r>
      <w:r w:rsidRPr="00F040E7">
        <w:rPr>
          <w:spacing w:val="-2"/>
          <w:kern w:val="0"/>
          <w:sz w:val="20"/>
          <w:rtl/>
        </w:rPr>
        <w:t>اتحاد القوى من أجل التغيير</w:t>
      </w:r>
      <w:r w:rsidRPr="00F040E7">
        <w:rPr>
          <w:rFonts w:hint="cs"/>
          <w:spacing w:val="-2"/>
          <w:kern w:val="0"/>
          <w:sz w:val="20"/>
          <w:rtl/>
          <w:lang w:val="fr-CH"/>
        </w:rPr>
        <w:t xml:space="preserve"> إلى البرلمان، فإن حالة أعضاء الحزب الذين ليسوا أعضاء في البرلمان، أي الأعضاء في الحزب فحسب، لا تزال خطيرة، ولا يزالون يتعرضون للاحتجاز في أماكن مجهولة والتهديد والتعذيب</w:t>
      </w:r>
      <w:r w:rsidRPr="00F040E7">
        <w:rPr>
          <w:spacing w:val="-2"/>
          <w:kern w:val="0"/>
          <w:sz w:val="20"/>
          <w:vertAlign w:val="superscript"/>
          <w:rtl/>
          <w:lang w:val="fr-CH"/>
        </w:rPr>
        <w:t>(</w:t>
      </w:r>
      <w:r w:rsidRPr="00F040E7">
        <w:rPr>
          <w:rStyle w:val="FootnoteReference"/>
          <w:spacing w:val="-2"/>
          <w:sz w:val="20"/>
          <w:rtl/>
          <w:lang w:val="fr-CH"/>
        </w:rPr>
        <w:footnoteReference w:id="310"/>
      </w:r>
      <w:r w:rsidRPr="00F040E7">
        <w:rPr>
          <w:spacing w:val="-2"/>
          <w:kern w:val="0"/>
          <w:sz w:val="20"/>
          <w:vertAlign w:val="superscript"/>
          <w:rtl/>
          <w:lang w:val="fr-CH"/>
        </w:rPr>
        <w:t>)</w:t>
      </w:r>
      <w:r w:rsidRPr="00F040E7">
        <w:rPr>
          <w:rFonts w:hint="cs"/>
          <w:spacing w:val="-2"/>
          <w:kern w:val="0"/>
          <w:sz w:val="20"/>
          <w:rtl/>
          <w:lang w:val="fr-CH"/>
        </w:rPr>
        <w:t xml:space="preserve">. وقد فرّق الجيش في 27 نيسان/أبريل 2009 مظاهرة سلمية لحزب </w:t>
      </w:r>
      <w:r w:rsidRPr="00F040E7">
        <w:rPr>
          <w:spacing w:val="-2"/>
          <w:kern w:val="0"/>
          <w:sz w:val="20"/>
          <w:rtl/>
        </w:rPr>
        <w:t>اتحاد القوى من أجل التغيير</w:t>
      </w:r>
      <w:r w:rsidRPr="00F040E7">
        <w:rPr>
          <w:rFonts w:hint="cs"/>
          <w:spacing w:val="-2"/>
          <w:kern w:val="0"/>
          <w:sz w:val="20"/>
          <w:rtl/>
        </w:rPr>
        <w:t xml:space="preserve">. ويشير صاحب الشكوى كذلك إلى الرأي الذي أعربت عنه </w:t>
      </w:r>
      <w:r w:rsidRPr="00F040E7">
        <w:rPr>
          <w:rFonts w:hint="cs"/>
          <w:spacing w:val="-2"/>
          <w:kern w:val="0"/>
          <w:sz w:val="20"/>
          <w:rtl/>
          <w:lang w:val="fr-CH"/>
        </w:rPr>
        <w:t>المحكمة الإدارية في براونشفايغ والمحكمة الإدارية العليا في نيدرساخن (ألمانيا) في 25 شباط/فبراير 2009 و22 حزيران/يونيه 2009</w:t>
      </w:r>
      <w:r w:rsidRPr="00F040E7">
        <w:rPr>
          <w:spacing w:val="-2"/>
          <w:kern w:val="0"/>
          <w:sz w:val="20"/>
          <w:vertAlign w:val="superscript"/>
          <w:rtl/>
          <w:lang w:val="fr-CH"/>
        </w:rPr>
        <w:t>(</w:t>
      </w:r>
      <w:r w:rsidRPr="00F040E7">
        <w:rPr>
          <w:rStyle w:val="FootnoteReference"/>
          <w:spacing w:val="-2"/>
          <w:sz w:val="20"/>
          <w:rtl/>
          <w:lang w:val="fr-CH"/>
        </w:rPr>
        <w:footnoteReference w:id="311"/>
      </w:r>
      <w:r w:rsidRPr="00F040E7">
        <w:rPr>
          <w:spacing w:val="-2"/>
          <w:kern w:val="0"/>
          <w:sz w:val="20"/>
          <w:vertAlign w:val="superscript"/>
          <w:rtl/>
          <w:lang w:val="fr-CH"/>
        </w:rPr>
        <w:t>)</w:t>
      </w:r>
      <w:r w:rsidRPr="00F040E7">
        <w:rPr>
          <w:rFonts w:hint="cs"/>
          <w:spacing w:val="-2"/>
          <w:kern w:val="0"/>
          <w:sz w:val="20"/>
          <w:rtl/>
          <w:lang w:val="fr-CH"/>
        </w:rPr>
        <w:t xml:space="preserve"> على التوالي الذي مفاده أنه لا يجوز ترحيل أحد إلى توغو لعدم إمكانية استبعاد ملاحقته مرة أخرى أو تعرضه للتعذيب. وترى هاتان المحكمتان أنه ينبغي مراقبة عملية التحول الديمقراطي على مدى أطول لإمكان للقول بأنه لم يعد من المحتمل أن يتعرض الأشخاص الذين يتم ترحيلهم إلى توغو للملاحقة والتعذيب. </w:t>
      </w:r>
    </w:p>
    <w:p w:rsidR="00523D40" w:rsidRPr="00523D40" w:rsidRDefault="00523D40" w:rsidP="00F040E7">
      <w:pPr>
        <w:pStyle w:val="SingleTxtGA"/>
        <w:jc w:val="lowKashida"/>
        <w:rPr>
          <w:rFonts w:hint="cs"/>
          <w:spacing w:val="0"/>
          <w:kern w:val="0"/>
          <w:sz w:val="20"/>
          <w:rtl/>
          <w:lang w:val="fr-CH"/>
        </w:rPr>
      </w:pPr>
      <w:r w:rsidRPr="00523D40">
        <w:rPr>
          <w:rFonts w:hint="cs"/>
          <w:spacing w:val="0"/>
          <w:kern w:val="0"/>
          <w:sz w:val="20"/>
          <w:rtl/>
          <w:lang w:val="fr-CH"/>
        </w:rPr>
        <w:t>3-2</w:t>
      </w:r>
      <w:r w:rsidRPr="00523D40">
        <w:rPr>
          <w:rFonts w:hint="cs"/>
          <w:spacing w:val="0"/>
          <w:kern w:val="0"/>
          <w:sz w:val="20"/>
          <w:rtl/>
          <w:lang w:val="fr-CH"/>
        </w:rPr>
        <w:tab/>
        <w:t>ويضيف صاحب الشكوى أن مبدأ عدم الرد يستدعي عند ادعاء أحد الأشخاص جدياً أنه ضحية لمعاملة غير إنسانية، وفقاً للسوابق القضائية للمحكمة الأوروبية لحقوق الإنسان، إجراء تحقيق رسمي متعمق وفعال في هذا الادعاء</w:t>
      </w:r>
      <w:r w:rsidRPr="00523D40">
        <w:rPr>
          <w:spacing w:val="0"/>
          <w:kern w:val="0"/>
          <w:sz w:val="20"/>
          <w:vertAlign w:val="superscript"/>
          <w:rtl/>
          <w:lang w:val="fr-CH"/>
        </w:rPr>
        <w:t>(</w:t>
      </w:r>
      <w:r w:rsidRPr="00523D40">
        <w:rPr>
          <w:rStyle w:val="FootnoteReference"/>
          <w:spacing w:val="0"/>
          <w:sz w:val="20"/>
          <w:rtl/>
          <w:lang w:val="fr-CH"/>
        </w:rPr>
        <w:footnoteReference w:id="312"/>
      </w:r>
      <w:r w:rsidRPr="00523D40">
        <w:rPr>
          <w:spacing w:val="0"/>
          <w:kern w:val="0"/>
          <w:sz w:val="20"/>
          <w:vertAlign w:val="superscript"/>
          <w:rtl/>
          <w:lang w:val="fr-CH"/>
        </w:rPr>
        <w:t>)</w:t>
      </w:r>
      <w:r w:rsidRPr="00523D40">
        <w:rPr>
          <w:rFonts w:hint="cs"/>
          <w:spacing w:val="0"/>
          <w:kern w:val="0"/>
          <w:sz w:val="20"/>
          <w:rtl/>
          <w:lang w:val="fr-CH"/>
        </w:rPr>
        <w:t>. وفي الموضوع قيد البحث، لم</w:t>
      </w:r>
      <w:r w:rsidR="00F040E7">
        <w:rPr>
          <w:rFonts w:hint="eastAsia"/>
          <w:spacing w:val="0"/>
          <w:kern w:val="0"/>
          <w:sz w:val="20"/>
          <w:rtl/>
          <w:lang w:val="fr-CH"/>
        </w:rPr>
        <w:t> </w:t>
      </w:r>
      <w:r w:rsidRPr="00523D40">
        <w:rPr>
          <w:rFonts w:hint="cs"/>
          <w:spacing w:val="0"/>
          <w:kern w:val="0"/>
          <w:sz w:val="20"/>
          <w:rtl/>
          <w:lang w:val="fr-CH"/>
        </w:rPr>
        <w:t xml:space="preserve">يقم المكتب الاتحادي للهجرة أو المحكمة الإدارية الاتحادية بأي تحقيق متعمق وفعال. واعتمد المكتب الاتحادي للهجرة على تقرير منظمة العفو الدولية وتقرير </w:t>
      </w:r>
      <w:r w:rsidRPr="00523D40">
        <w:rPr>
          <w:rFonts w:hint="cs"/>
          <w:spacing w:val="0"/>
          <w:kern w:val="0"/>
          <w:sz w:val="20"/>
          <w:rtl/>
          <w:lang/>
        </w:rPr>
        <w:t xml:space="preserve">المنظمة السويسرية </w:t>
      </w:r>
      <w:r w:rsidRPr="00F040E7">
        <w:rPr>
          <w:rFonts w:hint="cs"/>
          <w:spacing w:val="-2"/>
          <w:kern w:val="0"/>
          <w:sz w:val="20"/>
          <w:rtl/>
          <w:lang/>
        </w:rPr>
        <w:t>لمساعدة اللاجئين</w:t>
      </w:r>
      <w:r w:rsidRPr="00F040E7">
        <w:rPr>
          <w:rFonts w:hint="cs"/>
          <w:spacing w:val="-2"/>
          <w:kern w:val="0"/>
          <w:sz w:val="20"/>
          <w:rtl/>
          <w:lang w:val="fr-CH"/>
        </w:rPr>
        <w:t xml:space="preserve"> لعام 2008 للقول بعدم وجود خطورة في حين أن صاحب الشكوى قدم تقريراً لاحقاً للمنظمة</w:t>
      </w:r>
      <w:r w:rsidRPr="00F040E7">
        <w:rPr>
          <w:rFonts w:hint="cs"/>
          <w:spacing w:val="-2"/>
          <w:kern w:val="0"/>
          <w:sz w:val="20"/>
          <w:rtl/>
          <w:lang/>
        </w:rPr>
        <w:t xml:space="preserve"> السويسرية لمساعدة اللاجئين بتاريخ 18 أيار/مايو 2009</w:t>
      </w:r>
      <w:r w:rsidRPr="00F040E7">
        <w:rPr>
          <w:rFonts w:hint="cs"/>
          <w:spacing w:val="-2"/>
          <w:kern w:val="0"/>
          <w:sz w:val="20"/>
          <w:rtl/>
          <w:lang w:val="fr-CH"/>
        </w:rPr>
        <w:t xml:space="preserve"> يؤكد أن الأشخاص الذين يتفق وضعهم مع وضع صاحب الشكوى يتعرضون لخطر التعذيب. وتكون الدولة الطرف قد انتهكت بذلك روح المادة 3 من الاتفاقية والغرض منها. كذلك، اكتفت المحكمة الإدارية الاتحادية بتأييد قرار المكتب الاتحادي ولم تنظر في الوثائق التكميلية التي أرفقت بملف الدعوى. وأخيراً، يدل قرار المكتب الاتحادي للهجرة المؤرخ 19 أيار/مايو 2009 الذي رفض الطلب المقدم لإعادة النظر في قرار المكتب، كما يدل الحكم الصادر من</w:t>
      </w:r>
      <w:r w:rsidRPr="00523D40">
        <w:rPr>
          <w:rFonts w:hint="cs"/>
          <w:spacing w:val="0"/>
          <w:kern w:val="0"/>
          <w:sz w:val="20"/>
          <w:rtl/>
          <w:lang w:val="fr-CH"/>
        </w:rPr>
        <w:t xml:space="preserve"> المحكمة الإدارية الاتحادية في 10 حزيران/يونيه 2009 الذي يؤيد هذا القرار، على عدم التحقيق في الموضوع لأن التقارير الطبية تؤكد التعرض للتعذيب ولم تعتبرهما هاتان الهيئتان أدلة كافية لإعادة النظر في طلب اللجوء.</w:t>
      </w:r>
    </w:p>
    <w:p w:rsidR="00523D40" w:rsidRPr="00523D40" w:rsidRDefault="00523D40" w:rsidP="00523D40">
      <w:pPr>
        <w:pStyle w:val="H23GA"/>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ملاحظات الدولة الطرف بشأن الأسس الموضوعية</w:t>
      </w:r>
    </w:p>
    <w:p w:rsidR="00523D40" w:rsidRPr="00523D40" w:rsidRDefault="00523D40" w:rsidP="00523D40">
      <w:pPr>
        <w:pStyle w:val="SingleTxtGA"/>
        <w:jc w:val="lowKashida"/>
        <w:rPr>
          <w:spacing w:val="0"/>
          <w:kern w:val="0"/>
          <w:sz w:val="20"/>
          <w:rtl/>
          <w:lang w:val="fr-CH"/>
        </w:rPr>
      </w:pPr>
      <w:r w:rsidRPr="00523D40">
        <w:rPr>
          <w:rFonts w:hint="cs"/>
          <w:spacing w:val="0"/>
          <w:kern w:val="0"/>
          <w:sz w:val="20"/>
          <w:rtl/>
          <w:lang w:val="fr-CH"/>
        </w:rPr>
        <w:t>4-1</w:t>
      </w:r>
      <w:r w:rsidRPr="00523D40">
        <w:rPr>
          <w:rFonts w:hint="cs"/>
          <w:spacing w:val="0"/>
          <w:kern w:val="0"/>
          <w:sz w:val="20"/>
          <w:rtl/>
          <w:lang w:val="fr-CH"/>
        </w:rPr>
        <w:tab/>
        <w:t xml:space="preserve">في 17 شباط/فبراير 2009، </w:t>
      </w:r>
      <w:r w:rsidRPr="00523D40">
        <w:rPr>
          <w:spacing w:val="0"/>
          <w:kern w:val="0"/>
          <w:sz w:val="20"/>
          <w:rtl/>
          <w:lang w:val="fr-CH"/>
        </w:rPr>
        <w:t>قدمت الدولة الطرف ملاحظاتها بشأن الأسس الموضوعية لل</w:t>
      </w:r>
      <w:r w:rsidRPr="00523D40">
        <w:rPr>
          <w:rFonts w:hint="cs"/>
          <w:spacing w:val="0"/>
          <w:kern w:val="0"/>
          <w:sz w:val="20"/>
          <w:rtl/>
          <w:lang w:val="fr-CH"/>
        </w:rPr>
        <w:t>شكوى</w:t>
      </w:r>
      <w:r w:rsidRPr="00523D40">
        <w:rPr>
          <w:spacing w:val="0"/>
          <w:kern w:val="0"/>
          <w:sz w:val="20"/>
          <w:rtl/>
          <w:lang w:val="fr-CH"/>
        </w:rPr>
        <w:t>. و</w:t>
      </w:r>
      <w:r w:rsidRPr="00523D40">
        <w:rPr>
          <w:rFonts w:hint="cs"/>
          <w:spacing w:val="0"/>
          <w:kern w:val="0"/>
          <w:sz w:val="20"/>
          <w:rtl/>
          <w:lang w:val="fr-CH"/>
        </w:rPr>
        <w:t>تفيد الدولة الطرف بأن صاحب الشكوى ل</w:t>
      </w:r>
      <w:r w:rsidRPr="00523D40">
        <w:rPr>
          <w:spacing w:val="0"/>
          <w:kern w:val="0"/>
          <w:sz w:val="20"/>
          <w:rtl/>
          <w:lang w:val="fr-CH"/>
        </w:rPr>
        <w:t>م يقدم أدلة جديدة إلى اللجنة. وعلى العكس من ذلك، ي</w:t>
      </w:r>
      <w:r w:rsidRPr="00523D40">
        <w:rPr>
          <w:rFonts w:hint="cs"/>
          <w:spacing w:val="0"/>
          <w:kern w:val="0"/>
          <w:sz w:val="20"/>
          <w:rtl/>
          <w:lang w:val="fr-CH"/>
        </w:rPr>
        <w:t>عترض</w:t>
      </w:r>
      <w:r w:rsidRPr="00523D40">
        <w:rPr>
          <w:spacing w:val="0"/>
          <w:kern w:val="0"/>
          <w:sz w:val="20"/>
          <w:rtl/>
          <w:lang w:val="fr-CH"/>
        </w:rPr>
        <w:t xml:space="preserve"> </w:t>
      </w:r>
      <w:r w:rsidRPr="00523D40">
        <w:rPr>
          <w:rFonts w:hint="cs"/>
          <w:spacing w:val="0"/>
          <w:kern w:val="0"/>
          <w:sz w:val="20"/>
          <w:rtl/>
          <w:lang w:val="fr-CH"/>
        </w:rPr>
        <w:t>صاحب الشكوى على</w:t>
      </w:r>
      <w:r w:rsidRPr="00523D40">
        <w:rPr>
          <w:spacing w:val="0"/>
          <w:kern w:val="0"/>
          <w:sz w:val="20"/>
          <w:rtl/>
          <w:lang w:val="fr-CH"/>
        </w:rPr>
        <w:t xml:space="preserve"> تقييم السلطات المحلية للوقائع ثم يصف، بشكل عام، حالة حقوق الإنسان في توغو ويستند في نهاية المطاف إلى تقييمه الخاص للوقائع </w:t>
      </w:r>
      <w:r w:rsidRPr="00523D40">
        <w:rPr>
          <w:rFonts w:hint="cs"/>
          <w:spacing w:val="0"/>
          <w:kern w:val="0"/>
          <w:sz w:val="20"/>
          <w:rtl/>
          <w:lang w:val="fr-CH"/>
        </w:rPr>
        <w:t>مدعياً</w:t>
      </w:r>
      <w:r w:rsidRPr="00523D40">
        <w:rPr>
          <w:spacing w:val="0"/>
          <w:kern w:val="0"/>
          <w:sz w:val="20"/>
          <w:rtl/>
          <w:lang w:val="fr-CH"/>
        </w:rPr>
        <w:t xml:space="preserve"> أنه إزاء خطر شخصي وحقيقي ومؤكد بأن يتعرض </w:t>
      </w:r>
      <w:r w:rsidRPr="00523D40">
        <w:rPr>
          <w:rFonts w:hint="cs"/>
          <w:spacing w:val="0"/>
          <w:kern w:val="0"/>
          <w:sz w:val="20"/>
          <w:rtl/>
          <w:lang w:val="fr-CH"/>
        </w:rPr>
        <w:t>لخطر ا</w:t>
      </w:r>
      <w:r w:rsidRPr="00523D40">
        <w:rPr>
          <w:spacing w:val="0"/>
          <w:kern w:val="0"/>
          <w:sz w:val="20"/>
          <w:rtl/>
          <w:lang w:val="fr-CH"/>
        </w:rPr>
        <w:t>لتعذيب في حالة إعادته إلى توغو.</w:t>
      </w:r>
    </w:p>
    <w:p w:rsidR="00523D40" w:rsidRPr="00523D40" w:rsidRDefault="00523D40" w:rsidP="00F040E7">
      <w:pPr>
        <w:pStyle w:val="SingleTxtGA"/>
        <w:jc w:val="lowKashida"/>
        <w:rPr>
          <w:rFonts w:hint="cs"/>
          <w:spacing w:val="0"/>
          <w:kern w:val="0"/>
          <w:sz w:val="20"/>
          <w:rtl/>
          <w:lang w:val="fr-CH"/>
        </w:rPr>
      </w:pPr>
      <w:r w:rsidRPr="00523D40">
        <w:rPr>
          <w:rFonts w:hint="cs"/>
          <w:spacing w:val="0"/>
          <w:kern w:val="0"/>
          <w:sz w:val="20"/>
          <w:rtl/>
          <w:lang w:val="fr-CH"/>
        </w:rPr>
        <w:t>4-2</w:t>
      </w:r>
      <w:r w:rsidRPr="00523D40">
        <w:rPr>
          <w:rFonts w:hint="cs"/>
          <w:spacing w:val="0"/>
          <w:kern w:val="0"/>
          <w:sz w:val="20"/>
          <w:rtl/>
          <w:lang w:val="fr-CH"/>
        </w:rPr>
        <w:tab/>
      </w:r>
      <w:r w:rsidRPr="00523D40">
        <w:rPr>
          <w:spacing w:val="0"/>
          <w:kern w:val="0"/>
          <w:sz w:val="20"/>
          <w:rtl/>
          <w:lang w:val="fr-CH"/>
        </w:rPr>
        <w:t>وإذ ت</w:t>
      </w:r>
      <w:r w:rsidRPr="00523D40">
        <w:rPr>
          <w:rFonts w:hint="cs"/>
          <w:spacing w:val="0"/>
          <w:kern w:val="0"/>
          <w:sz w:val="20"/>
          <w:rtl/>
          <w:lang w:val="fr-CH"/>
        </w:rPr>
        <w:t>شير</w:t>
      </w:r>
      <w:r w:rsidRPr="00523D40">
        <w:rPr>
          <w:spacing w:val="0"/>
          <w:kern w:val="0"/>
          <w:sz w:val="20"/>
          <w:rtl/>
          <w:lang w:val="fr-CH"/>
        </w:rPr>
        <w:t xml:space="preserve"> الدولة الطرف </w:t>
      </w:r>
      <w:r w:rsidRPr="00523D40">
        <w:rPr>
          <w:rFonts w:hint="cs"/>
          <w:spacing w:val="0"/>
          <w:kern w:val="0"/>
          <w:sz w:val="20"/>
          <w:rtl/>
          <w:lang w:val="fr-CH"/>
        </w:rPr>
        <w:t xml:space="preserve">إلى </w:t>
      </w:r>
      <w:r w:rsidRPr="00523D40">
        <w:rPr>
          <w:spacing w:val="0"/>
          <w:kern w:val="0"/>
          <w:sz w:val="20"/>
          <w:rtl/>
          <w:lang w:val="fr-CH"/>
        </w:rPr>
        <w:t xml:space="preserve">أحكام المادة 3 من الاتفاقية، </w:t>
      </w:r>
      <w:r w:rsidRPr="00523D40">
        <w:rPr>
          <w:rFonts w:hint="cs"/>
          <w:spacing w:val="0"/>
          <w:kern w:val="0"/>
          <w:sz w:val="20"/>
          <w:rtl/>
          <w:lang w:val="fr-CH"/>
        </w:rPr>
        <w:t xml:space="preserve">فإنها </w:t>
      </w:r>
      <w:r w:rsidRPr="00523D40">
        <w:rPr>
          <w:spacing w:val="0"/>
          <w:kern w:val="0"/>
          <w:sz w:val="20"/>
          <w:rtl/>
          <w:lang w:val="fr-CH"/>
        </w:rPr>
        <w:t>ت</w:t>
      </w:r>
      <w:r w:rsidRPr="00523D40">
        <w:rPr>
          <w:rFonts w:hint="cs"/>
          <w:spacing w:val="0"/>
          <w:kern w:val="0"/>
          <w:sz w:val="20"/>
          <w:rtl/>
          <w:lang w:val="fr-CH"/>
        </w:rPr>
        <w:t>ؤكد المعايير التي وضعتها اللجنة في</w:t>
      </w:r>
      <w:r w:rsidRPr="00523D40">
        <w:rPr>
          <w:spacing w:val="0"/>
          <w:kern w:val="0"/>
          <w:sz w:val="20"/>
          <w:rtl/>
          <w:lang w:val="fr-CH"/>
        </w:rPr>
        <w:t xml:space="preserve"> تعليقها العام رقم 1</w:t>
      </w:r>
      <w:r w:rsidRPr="00523D40">
        <w:rPr>
          <w:rFonts w:hint="cs"/>
          <w:spacing w:val="0"/>
          <w:kern w:val="0"/>
          <w:sz w:val="20"/>
          <w:rtl/>
          <w:lang w:val="fr-CH"/>
        </w:rPr>
        <w:t>(1996) بشأن تطبيق المادة 3 في سياق المادة 22</w:t>
      </w:r>
      <w:r w:rsidRPr="00523D40">
        <w:rPr>
          <w:spacing w:val="0"/>
          <w:kern w:val="0"/>
          <w:sz w:val="20"/>
          <w:vertAlign w:val="superscript"/>
          <w:rtl/>
          <w:lang w:val="fr-CH"/>
        </w:rPr>
        <w:t>(</w:t>
      </w:r>
      <w:r w:rsidRPr="00F040E7">
        <w:rPr>
          <w:rStyle w:val="FootnoteReference"/>
          <w:spacing w:val="0"/>
          <w:sz w:val="2"/>
          <w:szCs w:val="2"/>
          <w:rtl/>
          <w:lang w:val="fr-CH"/>
        </w:rPr>
        <w:footnoteReference w:id="313"/>
      </w:r>
      <w:r w:rsidR="00F040E7" w:rsidRPr="00F040E7">
        <w:rPr>
          <w:rFonts w:hint="cs"/>
          <w:spacing w:val="0"/>
          <w:kern w:val="0"/>
          <w:sz w:val="30"/>
          <w:vertAlign w:val="superscript"/>
          <w:rtl/>
          <w:lang w:val="fr-CH"/>
        </w:rPr>
        <w:t>ﻫ</w:t>
      </w:r>
      <w:r w:rsidRPr="00523D40">
        <w:rPr>
          <w:spacing w:val="0"/>
          <w:kern w:val="0"/>
          <w:sz w:val="20"/>
          <w:vertAlign w:val="superscript"/>
          <w:rtl/>
          <w:lang w:val="fr-CH"/>
        </w:rPr>
        <w:t>)</w:t>
      </w:r>
      <w:r w:rsidRPr="00523D40">
        <w:rPr>
          <w:rFonts w:hint="cs"/>
          <w:spacing w:val="0"/>
          <w:kern w:val="0"/>
          <w:sz w:val="20"/>
          <w:rtl/>
          <w:lang w:val="fr-CH"/>
        </w:rPr>
        <w:t xml:space="preserve">، ولا سيما إلى </w:t>
      </w:r>
      <w:r w:rsidRPr="00523D40">
        <w:rPr>
          <w:spacing w:val="0"/>
          <w:kern w:val="0"/>
          <w:sz w:val="20"/>
          <w:rtl/>
          <w:lang w:val="fr-CH"/>
        </w:rPr>
        <w:t xml:space="preserve">الفقرة الفرعية 6 والفقرات التالية </w:t>
      </w:r>
      <w:r w:rsidRPr="00523D40">
        <w:rPr>
          <w:rFonts w:hint="cs"/>
          <w:spacing w:val="0"/>
          <w:kern w:val="0"/>
          <w:sz w:val="20"/>
          <w:rtl/>
          <w:lang w:val="fr-CH"/>
        </w:rPr>
        <w:t xml:space="preserve">التي تنص </w:t>
      </w:r>
      <w:r w:rsidRPr="00523D40">
        <w:rPr>
          <w:spacing w:val="0"/>
          <w:kern w:val="0"/>
          <w:sz w:val="20"/>
          <w:rtl/>
          <w:lang w:val="fr-CH"/>
        </w:rPr>
        <w:t>على أنه ينبغي لصاحب ال</w:t>
      </w:r>
      <w:r w:rsidRPr="00523D40">
        <w:rPr>
          <w:rFonts w:hint="cs"/>
          <w:spacing w:val="0"/>
          <w:kern w:val="0"/>
          <w:sz w:val="20"/>
          <w:rtl/>
          <w:lang w:val="fr-CH"/>
        </w:rPr>
        <w:t>شكوى</w:t>
      </w:r>
      <w:r w:rsidRPr="00523D40">
        <w:rPr>
          <w:spacing w:val="0"/>
          <w:kern w:val="0"/>
          <w:sz w:val="20"/>
          <w:rtl/>
          <w:lang w:val="fr-CH"/>
        </w:rPr>
        <w:t xml:space="preserve"> أن يثبت أنه </w:t>
      </w:r>
      <w:r w:rsidRPr="00523D40">
        <w:rPr>
          <w:rFonts w:hint="cs"/>
          <w:spacing w:val="0"/>
          <w:kern w:val="0"/>
          <w:sz w:val="20"/>
          <w:rtl/>
          <w:lang w:val="fr-CH"/>
        </w:rPr>
        <w:t xml:space="preserve">يواجه </w:t>
      </w:r>
      <w:r w:rsidRPr="00523D40">
        <w:rPr>
          <w:spacing w:val="0"/>
          <w:kern w:val="0"/>
          <w:sz w:val="20"/>
          <w:rtl/>
          <w:lang w:val="fr-CH"/>
        </w:rPr>
        <w:t>خطر</w:t>
      </w:r>
      <w:r w:rsidRPr="00523D40">
        <w:rPr>
          <w:rFonts w:hint="cs"/>
          <w:spacing w:val="0"/>
          <w:kern w:val="0"/>
          <w:sz w:val="20"/>
          <w:rtl/>
          <w:lang w:val="fr-CH"/>
        </w:rPr>
        <w:t>ا</w:t>
      </w:r>
      <w:r w:rsidR="00090555">
        <w:rPr>
          <w:rFonts w:hint="cs"/>
          <w:spacing w:val="0"/>
          <w:kern w:val="0"/>
          <w:sz w:val="20"/>
          <w:rtl/>
          <w:lang w:val="fr-CH"/>
        </w:rPr>
        <w:t>ً</w:t>
      </w:r>
      <w:r w:rsidRPr="00523D40">
        <w:rPr>
          <w:spacing w:val="0"/>
          <w:kern w:val="0"/>
          <w:sz w:val="20"/>
          <w:rtl/>
          <w:lang w:val="fr-CH"/>
        </w:rPr>
        <w:t xml:space="preserve"> شخصي</w:t>
      </w:r>
      <w:r w:rsidRPr="00523D40">
        <w:rPr>
          <w:rFonts w:hint="cs"/>
          <w:spacing w:val="0"/>
          <w:kern w:val="0"/>
          <w:sz w:val="20"/>
          <w:rtl/>
          <w:lang w:val="fr-CH"/>
        </w:rPr>
        <w:t>ا</w:t>
      </w:r>
      <w:r w:rsidR="00090555">
        <w:rPr>
          <w:rFonts w:hint="cs"/>
          <w:spacing w:val="0"/>
          <w:kern w:val="0"/>
          <w:sz w:val="20"/>
          <w:rtl/>
          <w:lang w:val="fr-CH"/>
        </w:rPr>
        <w:t>ً</w:t>
      </w:r>
      <w:r w:rsidRPr="00523D40">
        <w:rPr>
          <w:spacing w:val="0"/>
          <w:kern w:val="0"/>
          <w:sz w:val="20"/>
          <w:rtl/>
          <w:lang w:val="fr-CH"/>
        </w:rPr>
        <w:t xml:space="preserve"> </w:t>
      </w:r>
      <w:r w:rsidRPr="00523D40">
        <w:rPr>
          <w:rFonts w:hint="cs"/>
          <w:spacing w:val="0"/>
          <w:kern w:val="0"/>
          <w:sz w:val="20"/>
          <w:rtl/>
          <w:lang w:val="fr-CH"/>
        </w:rPr>
        <w:t>وقائما</w:t>
      </w:r>
      <w:r w:rsidR="00090555">
        <w:rPr>
          <w:rFonts w:hint="cs"/>
          <w:spacing w:val="0"/>
          <w:kern w:val="0"/>
          <w:sz w:val="20"/>
          <w:rtl/>
          <w:lang w:val="fr-CH"/>
        </w:rPr>
        <w:t>ً</w:t>
      </w:r>
      <w:r w:rsidRPr="00523D40">
        <w:rPr>
          <w:rFonts w:hint="cs"/>
          <w:spacing w:val="0"/>
          <w:kern w:val="0"/>
          <w:sz w:val="20"/>
          <w:rtl/>
          <w:lang w:val="fr-CH"/>
        </w:rPr>
        <w:t xml:space="preserve"> وحقيقيا</w:t>
      </w:r>
      <w:r w:rsidR="00090555">
        <w:rPr>
          <w:rFonts w:hint="cs"/>
          <w:spacing w:val="0"/>
          <w:kern w:val="0"/>
          <w:sz w:val="20"/>
          <w:rtl/>
          <w:lang w:val="fr-CH"/>
        </w:rPr>
        <w:t>ً</w:t>
      </w:r>
      <w:r w:rsidRPr="00523D40">
        <w:rPr>
          <w:rFonts w:hint="cs"/>
          <w:spacing w:val="0"/>
          <w:kern w:val="0"/>
          <w:sz w:val="20"/>
          <w:rtl/>
          <w:lang w:val="fr-CH"/>
        </w:rPr>
        <w:t xml:space="preserve"> بالتعرض ل</w:t>
      </w:r>
      <w:r w:rsidRPr="00523D40">
        <w:rPr>
          <w:spacing w:val="0"/>
          <w:kern w:val="0"/>
          <w:sz w:val="20"/>
          <w:rtl/>
          <w:lang w:val="fr-CH"/>
        </w:rPr>
        <w:t>لتعذيب في حالة ترحيله إلى بلده</w:t>
      </w:r>
      <w:r w:rsidR="00F040E7">
        <w:rPr>
          <w:rFonts w:hint="cs"/>
          <w:spacing w:val="0"/>
          <w:kern w:val="0"/>
          <w:sz w:val="20"/>
          <w:rtl/>
          <w:lang w:val="fr-CH"/>
        </w:rPr>
        <w:t> </w:t>
      </w:r>
      <w:r w:rsidRPr="00523D40">
        <w:rPr>
          <w:spacing w:val="0"/>
          <w:kern w:val="0"/>
          <w:sz w:val="20"/>
          <w:rtl/>
          <w:lang w:val="fr-CH"/>
        </w:rPr>
        <w:t xml:space="preserve">الأصلي. </w:t>
      </w:r>
    </w:p>
    <w:p w:rsidR="00523D40" w:rsidRPr="00523D40" w:rsidRDefault="00523D40" w:rsidP="00F040E7">
      <w:pPr>
        <w:pStyle w:val="SingleTxtGA"/>
        <w:jc w:val="lowKashida"/>
        <w:rPr>
          <w:rFonts w:hint="cs"/>
          <w:spacing w:val="0"/>
          <w:kern w:val="0"/>
          <w:sz w:val="20"/>
          <w:lang w:val="fr-CH"/>
        </w:rPr>
      </w:pPr>
      <w:r w:rsidRPr="00523D40">
        <w:rPr>
          <w:rFonts w:hint="cs"/>
          <w:spacing w:val="0"/>
          <w:kern w:val="0"/>
          <w:sz w:val="20"/>
          <w:rtl/>
          <w:lang w:val="fr-CH"/>
        </w:rPr>
        <w:t>4-3</w:t>
      </w:r>
      <w:r w:rsidRPr="00523D40">
        <w:rPr>
          <w:rFonts w:hint="cs"/>
          <w:spacing w:val="0"/>
          <w:kern w:val="0"/>
          <w:sz w:val="20"/>
          <w:rtl/>
          <w:lang w:val="fr-CH"/>
        </w:rPr>
        <w:tab/>
      </w:r>
      <w:r w:rsidRPr="00523D40">
        <w:rPr>
          <w:spacing w:val="0"/>
          <w:kern w:val="0"/>
          <w:sz w:val="20"/>
          <w:rtl/>
          <w:lang w:val="fr-CH"/>
        </w:rPr>
        <w:t>و</w:t>
      </w:r>
      <w:r w:rsidRPr="00523D40">
        <w:rPr>
          <w:rFonts w:hint="cs"/>
          <w:spacing w:val="0"/>
          <w:kern w:val="0"/>
          <w:sz w:val="20"/>
          <w:rtl/>
          <w:lang w:val="fr-CH"/>
        </w:rPr>
        <w:t>وفقاً ل</w:t>
      </w:r>
      <w:r w:rsidRPr="00523D40">
        <w:rPr>
          <w:spacing w:val="0"/>
          <w:kern w:val="0"/>
          <w:sz w:val="20"/>
          <w:rtl/>
          <w:lang w:val="fr-CH"/>
        </w:rPr>
        <w:t>لدولة الطرف، تحسن الوضع كثيرا</w:t>
      </w:r>
      <w:r w:rsidRPr="00523D40">
        <w:rPr>
          <w:rFonts w:hint="cs"/>
          <w:spacing w:val="0"/>
          <w:kern w:val="0"/>
          <w:sz w:val="20"/>
          <w:rtl/>
          <w:lang w:val="fr-CH"/>
        </w:rPr>
        <w:t>ً</w:t>
      </w:r>
      <w:r w:rsidRPr="00523D40">
        <w:rPr>
          <w:spacing w:val="0"/>
          <w:kern w:val="0"/>
          <w:sz w:val="20"/>
          <w:rtl/>
          <w:lang w:val="fr-CH"/>
        </w:rPr>
        <w:t xml:space="preserve"> في توغو منذ أن غادرها صاحب ال</w:t>
      </w:r>
      <w:r w:rsidRPr="00523D40">
        <w:rPr>
          <w:rFonts w:hint="cs"/>
          <w:spacing w:val="0"/>
          <w:kern w:val="0"/>
          <w:sz w:val="20"/>
          <w:rtl/>
          <w:lang w:val="fr-CH"/>
        </w:rPr>
        <w:t>شكوى</w:t>
      </w:r>
      <w:r w:rsidRPr="00523D40">
        <w:rPr>
          <w:spacing w:val="0"/>
          <w:kern w:val="0"/>
          <w:sz w:val="20"/>
          <w:rtl/>
          <w:lang w:val="fr-CH"/>
        </w:rPr>
        <w:t>. ففي آب/أغسطس 2006، و</w:t>
      </w:r>
      <w:r w:rsidRPr="00523D40">
        <w:rPr>
          <w:rFonts w:hint="cs"/>
          <w:spacing w:val="0"/>
          <w:kern w:val="0"/>
          <w:sz w:val="20"/>
          <w:rtl/>
          <w:lang w:val="fr-CH"/>
        </w:rPr>
        <w:t>قّع</w:t>
      </w:r>
      <w:r w:rsidRPr="00523D40">
        <w:rPr>
          <w:spacing w:val="0"/>
          <w:kern w:val="0"/>
          <w:sz w:val="20"/>
          <w:rtl/>
          <w:lang w:val="fr-CH"/>
        </w:rPr>
        <w:t>ت أحزاب المعارضة الرئيسية الخمسة اتفاقا</w:t>
      </w:r>
      <w:r w:rsidRPr="00523D40">
        <w:rPr>
          <w:rFonts w:hint="cs"/>
          <w:spacing w:val="0"/>
          <w:kern w:val="0"/>
          <w:sz w:val="20"/>
          <w:rtl/>
          <w:lang w:val="fr-CH"/>
        </w:rPr>
        <w:t>ً</w:t>
      </w:r>
      <w:r w:rsidRPr="00523D40">
        <w:rPr>
          <w:spacing w:val="0"/>
          <w:kern w:val="0"/>
          <w:sz w:val="20"/>
          <w:rtl/>
          <w:lang w:val="fr-CH"/>
        </w:rPr>
        <w:t xml:space="preserve"> سياسيا</w:t>
      </w:r>
      <w:r w:rsidRPr="00523D40">
        <w:rPr>
          <w:rFonts w:hint="cs"/>
          <w:spacing w:val="0"/>
          <w:kern w:val="0"/>
          <w:sz w:val="20"/>
          <w:rtl/>
          <w:lang w:val="fr-CH"/>
        </w:rPr>
        <w:t>ً</w:t>
      </w:r>
      <w:r w:rsidRPr="00523D40">
        <w:rPr>
          <w:spacing w:val="0"/>
          <w:kern w:val="0"/>
          <w:sz w:val="20"/>
          <w:rtl/>
          <w:lang w:val="fr-CH"/>
        </w:rPr>
        <w:t xml:space="preserve"> شاملا</w:t>
      </w:r>
      <w:r w:rsidRPr="00523D40">
        <w:rPr>
          <w:rFonts w:hint="cs"/>
          <w:spacing w:val="0"/>
          <w:kern w:val="0"/>
          <w:sz w:val="20"/>
          <w:rtl/>
          <w:lang w:val="fr-CH"/>
        </w:rPr>
        <w:t>ً</w:t>
      </w:r>
      <w:r w:rsidRPr="00523D40">
        <w:rPr>
          <w:spacing w:val="0"/>
          <w:kern w:val="0"/>
          <w:sz w:val="20"/>
          <w:rtl/>
          <w:lang w:val="fr-CH"/>
        </w:rPr>
        <w:t xml:space="preserve"> مع حزب تجمُّع الشعب التوغولي</w:t>
      </w:r>
      <w:r w:rsidRPr="00523D40">
        <w:rPr>
          <w:rFonts w:hint="cs"/>
          <w:spacing w:val="0"/>
          <w:kern w:val="0"/>
          <w:sz w:val="20"/>
          <w:rtl/>
          <w:lang w:val="fr-CH"/>
        </w:rPr>
        <w:t xml:space="preserve"> (الحزب الحاكم) ي</w:t>
      </w:r>
      <w:r w:rsidRPr="00523D40">
        <w:rPr>
          <w:spacing w:val="0"/>
          <w:kern w:val="0"/>
          <w:sz w:val="20"/>
          <w:rtl/>
          <w:lang w:val="fr-CH"/>
        </w:rPr>
        <w:t>نص على تشكيل حكومة وحدة وطنية. و</w:t>
      </w:r>
      <w:r w:rsidRPr="00523D40">
        <w:rPr>
          <w:rFonts w:hint="cs"/>
          <w:spacing w:val="0"/>
          <w:kern w:val="0"/>
          <w:sz w:val="20"/>
          <w:rtl/>
          <w:lang w:val="fr-CH"/>
        </w:rPr>
        <w:t>أدت</w:t>
      </w:r>
      <w:r w:rsidRPr="00523D40">
        <w:rPr>
          <w:spacing w:val="0"/>
          <w:kern w:val="0"/>
          <w:sz w:val="20"/>
          <w:rtl/>
          <w:lang w:val="fr-CH"/>
        </w:rPr>
        <w:t xml:space="preserve"> هذه المساعي إلى تعيين معارِض تاريخي في منصب رئيس الوزراء</w:t>
      </w:r>
      <w:r w:rsidRPr="00523D40">
        <w:rPr>
          <w:rFonts w:hint="cs"/>
          <w:spacing w:val="0"/>
          <w:kern w:val="0"/>
          <w:sz w:val="20"/>
          <w:rtl/>
          <w:lang w:val="fr-CH"/>
        </w:rPr>
        <w:t xml:space="preserve">، </w:t>
      </w:r>
      <w:r w:rsidRPr="00523D40">
        <w:rPr>
          <w:spacing w:val="0"/>
          <w:kern w:val="0"/>
          <w:sz w:val="20"/>
          <w:rtl/>
          <w:lang w:val="fr-CH"/>
        </w:rPr>
        <w:t xml:space="preserve">وتشكيل حكومة </w:t>
      </w:r>
      <w:r w:rsidRPr="00523D40">
        <w:rPr>
          <w:rFonts w:hint="cs"/>
          <w:spacing w:val="0"/>
          <w:kern w:val="0"/>
          <w:sz w:val="20"/>
          <w:rtl/>
          <w:lang w:val="fr-CH"/>
        </w:rPr>
        <w:t xml:space="preserve">تضم </w:t>
      </w:r>
      <w:r w:rsidRPr="00523D40">
        <w:rPr>
          <w:spacing w:val="0"/>
          <w:kern w:val="0"/>
          <w:sz w:val="20"/>
          <w:rtl/>
          <w:lang w:val="fr-CH"/>
        </w:rPr>
        <w:t>أحزاب المعارضة</w:t>
      </w:r>
      <w:r w:rsidRPr="00523D40">
        <w:rPr>
          <w:rFonts w:hint="cs"/>
          <w:spacing w:val="0"/>
          <w:kern w:val="0"/>
          <w:sz w:val="20"/>
          <w:rtl/>
          <w:lang w:val="fr-CH"/>
        </w:rPr>
        <w:t xml:space="preserve">، </w:t>
      </w:r>
      <w:r w:rsidRPr="00523D40">
        <w:rPr>
          <w:spacing w:val="0"/>
          <w:kern w:val="0"/>
          <w:sz w:val="20"/>
          <w:rtl/>
          <w:lang w:val="fr-CH"/>
        </w:rPr>
        <w:t>وإنشاء اللجنة الوطنية المستقلة للانتخابات التي مُثِّل فيها اتحاد القوى من أجل التغيير</w:t>
      </w:r>
      <w:r w:rsidRPr="00523D40">
        <w:rPr>
          <w:rFonts w:hint="cs"/>
          <w:spacing w:val="0"/>
          <w:kern w:val="0"/>
          <w:sz w:val="20"/>
          <w:rtl/>
          <w:lang w:val="fr-CH"/>
        </w:rPr>
        <w:t>،</w:t>
      </w:r>
      <w:r w:rsidRPr="00523D40">
        <w:rPr>
          <w:spacing w:val="0"/>
          <w:kern w:val="0"/>
          <w:sz w:val="20"/>
          <w:rtl/>
          <w:lang w:val="fr-CH"/>
        </w:rPr>
        <w:t xml:space="preserve"> وإن بقي في المعارضة. وتضيف الدولة الطرف أنه تم في نيسان/</w:t>
      </w:r>
      <w:r w:rsidR="00F040E7">
        <w:rPr>
          <w:rFonts w:hint="cs"/>
          <w:spacing w:val="0"/>
          <w:kern w:val="0"/>
          <w:sz w:val="20"/>
          <w:rtl/>
          <w:lang w:val="fr-CH"/>
        </w:rPr>
        <w:t xml:space="preserve"> </w:t>
      </w:r>
      <w:r w:rsidRPr="00523D40">
        <w:rPr>
          <w:spacing w:val="0"/>
          <w:kern w:val="0"/>
          <w:sz w:val="20"/>
          <w:rtl/>
          <w:lang w:val="fr-CH"/>
        </w:rPr>
        <w:t>أبريل</w:t>
      </w:r>
      <w:r w:rsidR="00F040E7">
        <w:rPr>
          <w:rFonts w:hint="cs"/>
          <w:spacing w:val="0"/>
          <w:kern w:val="0"/>
          <w:sz w:val="20"/>
          <w:rtl/>
          <w:lang w:val="fr-CH"/>
        </w:rPr>
        <w:t> </w:t>
      </w:r>
      <w:r w:rsidRPr="00523D40">
        <w:rPr>
          <w:spacing w:val="0"/>
          <w:kern w:val="0"/>
          <w:sz w:val="20"/>
          <w:rtl/>
          <w:lang w:val="fr-CH"/>
        </w:rPr>
        <w:t>2006 إبرام اتفاق ثلاثي الأطراف بين توغو وغانا وبنن برعاية مفوضية الأمم المتحدة لشؤون اللاجئين. وتعهدت الحكومة التوغولية في ذلك الاتفاق باتخاذ جميع التدابير</w:t>
      </w:r>
      <w:r w:rsidRPr="00523D40">
        <w:rPr>
          <w:rFonts w:hint="cs"/>
          <w:spacing w:val="0"/>
          <w:kern w:val="0"/>
          <w:sz w:val="20"/>
          <w:rtl/>
          <w:lang w:val="fr-CH"/>
        </w:rPr>
        <w:t xml:space="preserve"> اللازمة</w:t>
      </w:r>
      <w:r w:rsidRPr="00523D40">
        <w:rPr>
          <w:spacing w:val="0"/>
          <w:kern w:val="0"/>
          <w:sz w:val="20"/>
          <w:rtl/>
          <w:lang w:val="fr-CH"/>
        </w:rPr>
        <w:t xml:space="preserve"> لضمان عودة كريمة وآمنة للاجئين. وفي حزيران/يونيه 2008، عاد جزء ممن فروا من توغو </w:t>
      </w:r>
      <w:r w:rsidRPr="00523D40">
        <w:rPr>
          <w:rFonts w:hint="cs"/>
          <w:spacing w:val="0"/>
          <w:kern w:val="0"/>
          <w:sz w:val="20"/>
          <w:rtl/>
          <w:lang w:val="fr-CH"/>
        </w:rPr>
        <w:t xml:space="preserve">في فترة </w:t>
      </w:r>
      <w:r w:rsidRPr="00523D40">
        <w:rPr>
          <w:spacing w:val="0"/>
          <w:kern w:val="0"/>
          <w:sz w:val="20"/>
          <w:rtl/>
          <w:lang w:val="fr-CH"/>
        </w:rPr>
        <w:t xml:space="preserve">انتخابات الرئاسة إلى وطنهم </w:t>
      </w:r>
      <w:r w:rsidRPr="00523D40">
        <w:rPr>
          <w:rFonts w:hint="cs"/>
          <w:spacing w:val="0"/>
          <w:kern w:val="0"/>
          <w:sz w:val="20"/>
          <w:rtl/>
          <w:lang w:val="fr-CH"/>
        </w:rPr>
        <w:t>ولم ترد تقارير بشأن تعرضهم للا</w:t>
      </w:r>
      <w:r w:rsidRPr="00523D40">
        <w:rPr>
          <w:spacing w:val="0"/>
          <w:kern w:val="0"/>
          <w:sz w:val="20"/>
          <w:rtl/>
          <w:lang w:val="fr-CH"/>
        </w:rPr>
        <w:t>ضطهاد.</w:t>
      </w:r>
      <w:r w:rsidRPr="00523D40">
        <w:rPr>
          <w:rFonts w:hint="cs"/>
          <w:spacing w:val="0"/>
          <w:kern w:val="0"/>
          <w:sz w:val="20"/>
          <w:rtl/>
          <w:lang w:val="fr-CH"/>
        </w:rPr>
        <w:t xml:space="preserve"> ويشمل هذا بالتحديد السيد غيلكريست أولمبيو، رئيس اتحاد القوى من أجل التغيير، الذي عاد إلى توغو بعد ثماني سنوات في المنفي. </w:t>
      </w:r>
    </w:p>
    <w:p w:rsidR="00523D40" w:rsidRPr="00523D40" w:rsidRDefault="00523D40" w:rsidP="00523D40">
      <w:pPr>
        <w:pStyle w:val="SingleTxtGA"/>
        <w:jc w:val="lowKashida"/>
        <w:rPr>
          <w:rFonts w:hint="cs"/>
          <w:spacing w:val="0"/>
          <w:kern w:val="0"/>
          <w:sz w:val="20"/>
          <w:lang w:val="fr-CH"/>
        </w:rPr>
      </w:pPr>
      <w:r w:rsidRPr="00523D40">
        <w:rPr>
          <w:rFonts w:hint="cs"/>
          <w:spacing w:val="0"/>
          <w:kern w:val="0"/>
          <w:sz w:val="20"/>
          <w:rtl/>
          <w:lang w:val="fr-CH"/>
        </w:rPr>
        <w:t>4-4</w:t>
      </w:r>
      <w:r w:rsidRPr="00523D40">
        <w:rPr>
          <w:rFonts w:hint="cs"/>
          <w:spacing w:val="0"/>
          <w:kern w:val="0"/>
          <w:sz w:val="20"/>
          <w:rtl/>
          <w:lang w:val="fr-CH"/>
        </w:rPr>
        <w:tab/>
      </w:r>
      <w:r w:rsidRPr="00523D40">
        <w:rPr>
          <w:spacing w:val="0"/>
          <w:kern w:val="0"/>
          <w:sz w:val="20"/>
          <w:rtl/>
          <w:lang w:val="fr-CH"/>
        </w:rPr>
        <w:t>وتضيف الدولة الطرف أن</w:t>
      </w:r>
      <w:r w:rsidRPr="00523D40">
        <w:rPr>
          <w:rFonts w:hint="cs"/>
          <w:spacing w:val="0"/>
          <w:kern w:val="0"/>
          <w:sz w:val="20"/>
          <w:rtl/>
          <w:lang w:val="fr-CH"/>
        </w:rPr>
        <w:t xml:space="preserve"> </w:t>
      </w:r>
      <w:r w:rsidRPr="00523D40">
        <w:rPr>
          <w:spacing w:val="0"/>
          <w:kern w:val="0"/>
          <w:sz w:val="20"/>
          <w:rtl/>
          <w:lang w:val="fr-CH"/>
        </w:rPr>
        <w:t xml:space="preserve">انتخابات تشريعية </w:t>
      </w:r>
      <w:r w:rsidRPr="00523D40">
        <w:rPr>
          <w:rFonts w:hint="cs"/>
          <w:spacing w:val="0"/>
          <w:kern w:val="0"/>
          <w:sz w:val="20"/>
          <w:rtl/>
          <w:lang w:val="fr-CH"/>
        </w:rPr>
        <w:t xml:space="preserve">أجريت </w:t>
      </w:r>
      <w:r w:rsidRPr="00523D40">
        <w:rPr>
          <w:spacing w:val="0"/>
          <w:kern w:val="0"/>
          <w:sz w:val="20"/>
          <w:rtl/>
          <w:lang w:val="fr-CH"/>
        </w:rPr>
        <w:t>في 14 تشرين الأول/</w:t>
      </w:r>
      <w:r w:rsidRPr="00523D40">
        <w:rPr>
          <w:rFonts w:hint="cs"/>
          <w:spacing w:val="0"/>
          <w:kern w:val="0"/>
          <w:sz w:val="20"/>
          <w:rtl/>
          <w:lang w:val="fr-CH"/>
        </w:rPr>
        <w:t xml:space="preserve"> </w:t>
      </w:r>
      <w:r w:rsidRPr="00523D40">
        <w:rPr>
          <w:spacing w:val="0"/>
          <w:kern w:val="0"/>
          <w:sz w:val="20"/>
          <w:rtl/>
          <w:lang w:val="fr-CH"/>
        </w:rPr>
        <w:t>أكتوبر</w:t>
      </w:r>
      <w:r w:rsidRPr="00523D40">
        <w:rPr>
          <w:rFonts w:hint="cs"/>
          <w:spacing w:val="0"/>
          <w:kern w:val="0"/>
          <w:sz w:val="20"/>
          <w:rtl/>
          <w:lang w:val="fr-CH"/>
        </w:rPr>
        <w:t> </w:t>
      </w:r>
      <w:r w:rsidRPr="00523D40">
        <w:rPr>
          <w:spacing w:val="0"/>
          <w:kern w:val="0"/>
          <w:sz w:val="20"/>
          <w:rtl/>
          <w:lang w:val="fr-CH"/>
        </w:rPr>
        <w:t>2007 وأن الاقتراع، حسبما أوردته عدة مصادر مستقلة، جرى بشكل مرضٍ إجمالا</w:t>
      </w:r>
      <w:r w:rsidRPr="00523D40">
        <w:rPr>
          <w:rFonts w:hint="cs"/>
          <w:spacing w:val="0"/>
          <w:kern w:val="0"/>
          <w:sz w:val="20"/>
          <w:rtl/>
          <w:lang w:val="fr-CH"/>
        </w:rPr>
        <w:t>ً</w:t>
      </w:r>
      <w:r w:rsidRPr="00523D40">
        <w:rPr>
          <w:spacing w:val="0"/>
          <w:kern w:val="0"/>
          <w:sz w:val="20"/>
          <w:rtl/>
          <w:lang w:val="fr-CH"/>
        </w:rPr>
        <w:t>. وترى الدولة الطرف أن هذا التطور وتحسُّن حالة حقوق الإنسان في البلد جعلا المفوض الأوروبي لشؤون التنمية والمساعدة الإنسانية يقد</w:t>
      </w:r>
      <w:r w:rsidRPr="00523D40">
        <w:rPr>
          <w:rFonts w:hint="cs"/>
          <w:spacing w:val="0"/>
          <w:kern w:val="0"/>
          <w:sz w:val="20"/>
          <w:rtl/>
          <w:lang w:val="fr-CH"/>
        </w:rPr>
        <w:t>ّ</w:t>
      </w:r>
      <w:r w:rsidRPr="00523D40">
        <w:rPr>
          <w:spacing w:val="0"/>
          <w:kern w:val="0"/>
          <w:sz w:val="20"/>
          <w:rtl/>
          <w:lang w:val="fr-CH"/>
        </w:rPr>
        <w:t>ر أن الشروط مستوفاة لاستئناف التعاون على نحو كامل وشامل بين الاتحاد الأوروبي وتوغو</w:t>
      </w:r>
      <w:r w:rsidRPr="00523D40">
        <w:rPr>
          <w:rFonts w:hint="cs"/>
          <w:spacing w:val="0"/>
          <w:kern w:val="0"/>
          <w:sz w:val="20"/>
          <w:rtl/>
          <w:lang w:val="fr-CH"/>
        </w:rPr>
        <w:t>.</w:t>
      </w:r>
    </w:p>
    <w:p w:rsidR="00523D40" w:rsidRPr="00523D40" w:rsidRDefault="00523D40" w:rsidP="00F040E7">
      <w:pPr>
        <w:pStyle w:val="SingleTxtGA"/>
        <w:jc w:val="lowKashida"/>
        <w:rPr>
          <w:rFonts w:hint="cs"/>
          <w:spacing w:val="0"/>
          <w:kern w:val="0"/>
          <w:sz w:val="20"/>
          <w:rtl/>
          <w:lang w:val="fr-CH"/>
        </w:rPr>
      </w:pPr>
      <w:r w:rsidRPr="00523D40">
        <w:rPr>
          <w:rFonts w:hint="cs"/>
          <w:spacing w:val="0"/>
          <w:kern w:val="0"/>
          <w:sz w:val="20"/>
          <w:rtl/>
          <w:lang w:val="fr-CH"/>
        </w:rPr>
        <w:t>4-5</w:t>
      </w:r>
      <w:r w:rsidRPr="00523D40">
        <w:rPr>
          <w:rFonts w:hint="cs"/>
          <w:spacing w:val="0"/>
          <w:kern w:val="0"/>
          <w:sz w:val="20"/>
          <w:rtl/>
          <w:lang w:val="fr-CH"/>
        </w:rPr>
        <w:tab/>
        <w:t>وليس في تحسن حالة حقوق الإنسان في توغو شيء يصب في صالح قضية صاحب الشكوى. وحتى مع</w:t>
      </w:r>
      <w:r w:rsidRPr="00523D40">
        <w:rPr>
          <w:spacing w:val="0"/>
          <w:kern w:val="0"/>
          <w:sz w:val="20"/>
          <w:rtl/>
          <w:lang w:val="fr-CH"/>
        </w:rPr>
        <w:t xml:space="preserve"> افتراض أن شهادة صاحب ال</w:t>
      </w:r>
      <w:r w:rsidRPr="00523D40">
        <w:rPr>
          <w:rFonts w:hint="cs"/>
          <w:spacing w:val="0"/>
          <w:kern w:val="0"/>
          <w:sz w:val="20"/>
          <w:rtl/>
          <w:lang w:val="fr-CH"/>
        </w:rPr>
        <w:t>شكوى</w:t>
      </w:r>
      <w:r w:rsidRPr="00523D40">
        <w:rPr>
          <w:spacing w:val="0"/>
          <w:kern w:val="0"/>
          <w:sz w:val="20"/>
          <w:rtl/>
          <w:lang w:val="fr-CH"/>
        </w:rPr>
        <w:t xml:space="preserve"> ذات مصداقية، </w:t>
      </w:r>
      <w:r w:rsidRPr="00523D40">
        <w:rPr>
          <w:rFonts w:hint="cs"/>
          <w:spacing w:val="0"/>
          <w:kern w:val="0"/>
          <w:sz w:val="20"/>
          <w:rtl/>
          <w:lang w:val="fr-CH"/>
        </w:rPr>
        <w:t>فإن مجرد القبض عليه واحتجازه في عام 1999، ومباشرته أنشطة سياسية في اتحاد القوى من أجل التغيير، لا</w:t>
      </w:r>
      <w:r w:rsidR="00F040E7">
        <w:rPr>
          <w:rFonts w:hint="eastAsia"/>
          <w:spacing w:val="0"/>
          <w:kern w:val="0"/>
          <w:sz w:val="20"/>
          <w:rtl/>
          <w:lang w:val="fr-CH"/>
        </w:rPr>
        <w:t> </w:t>
      </w:r>
      <w:r w:rsidRPr="00523D40">
        <w:rPr>
          <w:rFonts w:hint="cs"/>
          <w:spacing w:val="0"/>
          <w:kern w:val="0"/>
          <w:sz w:val="20"/>
          <w:rtl/>
          <w:lang w:val="fr-CH"/>
        </w:rPr>
        <w:t xml:space="preserve">يشكل اليوم سبباً جدياً </w:t>
      </w:r>
      <w:r w:rsidRPr="00523D40">
        <w:rPr>
          <w:spacing w:val="0"/>
          <w:kern w:val="0"/>
          <w:sz w:val="20"/>
          <w:rtl/>
          <w:lang w:val="fr-CH"/>
        </w:rPr>
        <w:t>للاعتقاد بأنه قد يتعرض للتعذيب في حالة عودته إلى توغو.</w:t>
      </w:r>
      <w:r w:rsidRPr="00523D40">
        <w:rPr>
          <w:rFonts w:hint="cs"/>
          <w:spacing w:val="0"/>
          <w:kern w:val="0"/>
          <w:sz w:val="20"/>
          <w:rtl/>
          <w:lang w:val="fr-CH"/>
        </w:rPr>
        <w:t xml:space="preserve"> وللتوصل إلى هذا الاستنتاج، استندت المحكمة الإدارية الاتحادية في حكمها الصادر في 1 نيسان/أبريل 2009 إلى مصادر مختلفة مستقلة. ويمكن في الواقع تفسير الوصف المختلف للأوضاع في توغو في الحكمين الصادرين من المحكمة الإدارية في براونشفايغ (ألمانيا) والمحكمة الإدارية العليا في نيدرساخن (ألمانيا)</w:t>
      </w:r>
      <w:r w:rsidRPr="00523D40">
        <w:rPr>
          <w:spacing w:val="0"/>
          <w:kern w:val="0"/>
          <w:sz w:val="20"/>
          <w:vertAlign w:val="superscript"/>
          <w:rtl/>
          <w:lang w:val="fr-CH"/>
        </w:rPr>
        <w:t>(</w:t>
      </w:r>
      <w:r w:rsidRPr="00523D40">
        <w:rPr>
          <w:rStyle w:val="FootnoteReference"/>
          <w:spacing w:val="0"/>
          <w:sz w:val="20"/>
          <w:rtl/>
          <w:lang w:val="fr-CH"/>
        </w:rPr>
        <w:footnoteReference w:id="314"/>
      </w:r>
      <w:r w:rsidRPr="00523D40">
        <w:rPr>
          <w:spacing w:val="0"/>
          <w:kern w:val="0"/>
          <w:sz w:val="20"/>
          <w:vertAlign w:val="superscript"/>
          <w:rtl/>
          <w:lang w:val="fr-CH"/>
        </w:rPr>
        <w:t>)</w:t>
      </w:r>
      <w:r w:rsidRPr="00523D40">
        <w:rPr>
          <w:rFonts w:hint="cs"/>
          <w:spacing w:val="0"/>
          <w:kern w:val="0"/>
          <w:sz w:val="20"/>
          <w:rtl/>
          <w:lang w:val="fr-CH"/>
        </w:rPr>
        <w:t>، رغم اعترافهما بالتقدم المحرز، بأنهما استندا إلى معايير القانون الداخلي الألماني فيما يتعلق بوضع اللاجئين وليس إلى مقتضيات المادة 3 من الاتفاقية.</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4-6</w:t>
      </w:r>
      <w:r w:rsidRPr="00523D40">
        <w:rPr>
          <w:rFonts w:hint="cs"/>
          <w:spacing w:val="0"/>
          <w:kern w:val="0"/>
          <w:sz w:val="20"/>
          <w:rtl/>
          <w:lang w:val="fr-CH"/>
        </w:rPr>
        <w:tab/>
      </w:r>
      <w:r w:rsidRPr="00523D40">
        <w:rPr>
          <w:spacing w:val="0"/>
          <w:kern w:val="0"/>
          <w:sz w:val="20"/>
          <w:rtl/>
          <w:lang w:val="fr-CH"/>
        </w:rPr>
        <w:t xml:space="preserve">ويدعي </w:t>
      </w:r>
      <w:r w:rsidRPr="00523D40">
        <w:rPr>
          <w:rFonts w:hint="cs"/>
          <w:spacing w:val="0"/>
          <w:kern w:val="0"/>
          <w:sz w:val="20"/>
          <w:rtl/>
          <w:lang w:val="fr-CH"/>
        </w:rPr>
        <w:t xml:space="preserve">صاحب الشكوى </w:t>
      </w:r>
      <w:r w:rsidRPr="00523D40">
        <w:rPr>
          <w:spacing w:val="0"/>
          <w:kern w:val="0"/>
          <w:sz w:val="20"/>
          <w:rtl/>
          <w:lang w:val="fr-CH"/>
        </w:rPr>
        <w:t xml:space="preserve">أنه تعرض للتعذيب في عام 1999 بعد إلقاء القبض عليه. </w:t>
      </w:r>
      <w:r w:rsidRPr="00523D40">
        <w:rPr>
          <w:rFonts w:hint="cs"/>
          <w:spacing w:val="0"/>
          <w:kern w:val="0"/>
          <w:sz w:val="20"/>
          <w:rtl/>
          <w:lang w:val="fr-CH"/>
        </w:rPr>
        <w:t xml:space="preserve">وليس هناك ما يدعو إلى الرد على هذا الادعاء، كما ذكر المكتب الاتحادي للهجرة في قراره الصادر في </w:t>
      </w:r>
      <w:r w:rsidRPr="00523D40">
        <w:rPr>
          <w:spacing w:val="0"/>
          <w:kern w:val="0"/>
          <w:sz w:val="20"/>
          <w:rtl/>
          <w:lang w:val="fr-CH"/>
        </w:rPr>
        <w:t>8</w:t>
      </w:r>
      <w:r w:rsidRPr="00523D40">
        <w:rPr>
          <w:rFonts w:hint="cs"/>
          <w:spacing w:val="0"/>
          <w:kern w:val="0"/>
          <w:sz w:val="20"/>
          <w:rtl/>
          <w:lang w:val="fr-CH"/>
        </w:rPr>
        <w:t xml:space="preserve"> أيلول/</w:t>
      </w:r>
      <w:r w:rsidRPr="00523D40">
        <w:rPr>
          <w:spacing w:val="0"/>
          <w:kern w:val="0"/>
          <w:sz w:val="20"/>
          <w:rtl/>
          <w:lang w:val="fr-CH"/>
        </w:rPr>
        <w:t xml:space="preserve">سبتمبر 2006، </w:t>
      </w:r>
      <w:r w:rsidRPr="00523D40">
        <w:rPr>
          <w:rFonts w:hint="cs"/>
          <w:spacing w:val="0"/>
          <w:kern w:val="0"/>
          <w:sz w:val="20"/>
          <w:rtl/>
          <w:lang w:val="fr-CH"/>
        </w:rPr>
        <w:t xml:space="preserve">لعدم وجود </w:t>
      </w:r>
      <w:r w:rsidRPr="00523D40">
        <w:rPr>
          <w:spacing w:val="0"/>
          <w:kern w:val="0"/>
          <w:sz w:val="20"/>
          <w:rtl/>
          <w:lang w:val="fr-CH"/>
        </w:rPr>
        <w:t>علاقة سببية</w:t>
      </w:r>
      <w:r w:rsidRPr="00523D40">
        <w:rPr>
          <w:rFonts w:hint="cs"/>
          <w:spacing w:val="0"/>
          <w:kern w:val="0"/>
          <w:sz w:val="20"/>
          <w:rtl/>
          <w:lang w:val="fr-CH"/>
        </w:rPr>
        <w:t xml:space="preserve">، </w:t>
      </w:r>
      <w:r w:rsidRPr="00523D40">
        <w:rPr>
          <w:spacing w:val="0"/>
          <w:kern w:val="0"/>
          <w:sz w:val="20"/>
          <w:rtl/>
          <w:lang w:val="fr-CH"/>
        </w:rPr>
        <w:t xml:space="preserve">على أية حال، بين أعمال التعذيب المزعومة ورحيل </w:t>
      </w:r>
      <w:r w:rsidRPr="00523D40">
        <w:rPr>
          <w:rFonts w:hint="cs"/>
          <w:spacing w:val="0"/>
          <w:kern w:val="0"/>
          <w:sz w:val="20"/>
          <w:rtl/>
          <w:lang w:val="fr-CH"/>
        </w:rPr>
        <w:t xml:space="preserve">صاحب الشكوى </w:t>
      </w:r>
      <w:r w:rsidRPr="00523D40">
        <w:rPr>
          <w:spacing w:val="0"/>
          <w:kern w:val="0"/>
          <w:sz w:val="20"/>
          <w:rtl/>
          <w:lang w:val="fr-CH"/>
        </w:rPr>
        <w:t xml:space="preserve">إلى سويسرا. </w:t>
      </w:r>
      <w:r w:rsidRPr="00523D40">
        <w:rPr>
          <w:rFonts w:hint="cs"/>
          <w:spacing w:val="0"/>
          <w:kern w:val="0"/>
          <w:sz w:val="20"/>
          <w:rtl/>
          <w:lang w:val="fr-CH"/>
        </w:rPr>
        <w:t xml:space="preserve">ويضاف إلى ذلك أن </w:t>
      </w:r>
      <w:r w:rsidRPr="00523D40">
        <w:rPr>
          <w:spacing w:val="0"/>
          <w:kern w:val="0"/>
          <w:sz w:val="20"/>
          <w:rtl/>
          <w:lang w:val="fr-CH"/>
        </w:rPr>
        <w:t xml:space="preserve">الشهادات والتقارير الطبية المقدمة من </w:t>
      </w:r>
      <w:r w:rsidRPr="00523D40">
        <w:rPr>
          <w:rFonts w:hint="cs"/>
          <w:spacing w:val="0"/>
          <w:kern w:val="0"/>
          <w:sz w:val="20"/>
          <w:rtl/>
          <w:lang w:val="fr-CH"/>
        </w:rPr>
        <w:t xml:space="preserve">صاحب الشكوى، والمحررة بعد </w:t>
      </w:r>
      <w:r w:rsidRPr="00523D40">
        <w:rPr>
          <w:spacing w:val="0"/>
          <w:kern w:val="0"/>
          <w:sz w:val="20"/>
          <w:rtl/>
          <w:lang w:val="fr-CH"/>
        </w:rPr>
        <w:t xml:space="preserve">ثماني سنوات </w:t>
      </w:r>
      <w:r w:rsidRPr="00523D40">
        <w:rPr>
          <w:rFonts w:hint="cs"/>
          <w:spacing w:val="0"/>
          <w:kern w:val="0"/>
          <w:sz w:val="20"/>
          <w:rtl/>
          <w:lang w:val="fr-CH"/>
        </w:rPr>
        <w:t xml:space="preserve">على الأقل، لا تثبت حالة </w:t>
      </w:r>
      <w:r w:rsidRPr="00523D40">
        <w:rPr>
          <w:spacing w:val="0"/>
          <w:kern w:val="0"/>
          <w:sz w:val="20"/>
          <w:rtl/>
          <w:lang w:val="fr-CH"/>
        </w:rPr>
        <w:t>التعذيب ال</w:t>
      </w:r>
      <w:r w:rsidRPr="00523D40">
        <w:rPr>
          <w:rFonts w:hint="cs"/>
          <w:spacing w:val="0"/>
          <w:kern w:val="0"/>
          <w:sz w:val="20"/>
          <w:rtl/>
          <w:lang w:val="fr-CH"/>
        </w:rPr>
        <w:t xml:space="preserve">ذي وقع لصاحب الشكوى، ولكن </w:t>
      </w:r>
      <w:r w:rsidRPr="00523D40">
        <w:rPr>
          <w:spacing w:val="0"/>
          <w:kern w:val="0"/>
          <w:sz w:val="20"/>
          <w:rtl/>
          <w:lang w:val="fr-CH"/>
        </w:rPr>
        <w:t>ت</w:t>
      </w:r>
      <w:r w:rsidRPr="00523D40">
        <w:rPr>
          <w:rFonts w:hint="cs"/>
          <w:spacing w:val="0"/>
          <w:kern w:val="0"/>
          <w:sz w:val="20"/>
          <w:rtl/>
          <w:lang w:val="fr-CH"/>
        </w:rPr>
        <w:t>عتمد بوضوح إلى رواية صاحب الشكوى.</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4-7</w:t>
      </w:r>
      <w:r w:rsidRPr="00523D40">
        <w:rPr>
          <w:rFonts w:hint="cs"/>
          <w:spacing w:val="0"/>
          <w:kern w:val="0"/>
          <w:sz w:val="20"/>
          <w:rtl/>
          <w:lang w:val="fr-CH"/>
        </w:rPr>
        <w:tab/>
        <w:t>ويشير التقرير الجديد المقدم من المنظمة السويسرية لمساعدة اللاجئين إلى أن الأعضاء غير المعترف بهم لحزب اتحاد القوى من أجل التغيير يتعرضون إلى حد ما لخطر القبض عليهم أو التهديد أو التعذيب. بيد أن صاحب الشكوى كان يتمتع، وفقاً للبيانات المقدمة في طلب اللجوء، ب</w:t>
      </w:r>
      <w:r w:rsidRPr="00523D40">
        <w:rPr>
          <w:spacing w:val="0"/>
          <w:kern w:val="0"/>
          <w:sz w:val="20"/>
          <w:rtl/>
          <w:lang w:val="fr-CH"/>
        </w:rPr>
        <w:t xml:space="preserve">حماية أسرة </w:t>
      </w:r>
      <w:r w:rsidRPr="00523D40">
        <w:rPr>
          <w:rFonts w:hint="cs"/>
          <w:spacing w:val="0"/>
          <w:kern w:val="0"/>
          <w:sz w:val="20"/>
          <w:rtl/>
          <w:lang w:val="fr-CH"/>
        </w:rPr>
        <w:t xml:space="preserve">السيد ﻫ. و. </w:t>
      </w:r>
      <w:r w:rsidRPr="00523D40">
        <w:rPr>
          <w:spacing w:val="0"/>
          <w:kern w:val="0"/>
          <w:sz w:val="20"/>
          <w:rtl/>
          <w:lang w:val="fr-CH"/>
        </w:rPr>
        <w:t>أولمبيو</w:t>
      </w:r>
      <w:r w:rsidRPr="00523D40">
        <w:rPr>
          <w:rFonts w:hint="cs"/>
          <w:spacing w:val="0"/>
          <w:kern w:val="0"/>
          <w:sz w:val="20"/>
          <w:rtl/>
          <w:lang w:val="fr-CH"/>
        </w:rPr>
        <w:t xml:space="preserve">، </w:t>
      </w:r>
      <w:r w:rsidRPr="00523D40">
        <w:rPr>
          <w:spacing w:val="0"/>
          <w:kern w:val="0"/>
          <w:sz w:val="20"/>
          <w:rtl/>
          <w:lang w:val="fr-CH"/>
        </w:rPr>
        <w:t xml:space="preserve">ولذلك </w:t>
      </w:r>
      <w:r w:rsidRPr="00523D40">
        <w:rPr>
          <w:rFonts w:hint="cs"/>
          <w:spacing w:val="0"/>
          <w:kern w:val="0"/>
          <w:sz w:val="20"/>
          <w:rtl/>
          <w:lang w:val="fr-CH"/>
        </w:rPr>
        <w:t xml:space="preserve">لا </w:t>
      </w:r>
      <w:r w:rsidRPr="00523D40">
        <w:rPr>
          <w:spacing w:val="0"/>
          <w:kern w:val="0"/>
          <w:sz w:val="20"/>
          <w:rtl/>
          <w:lang w:val="fr-CH"/>
        </w:rPr>
        <w:t>يمكن اعتبار</w:t>
      </w:r>
      <w:r w:rsidRPr="00523D40">
        <w:rPr>
          <w:rFonts w:hint="cs"/>
          <w:spacing w:val="0"/>
          <w:kern w:val="0"/>
          <w:sz w:val="20"/>
          <w:rtl/>
          <w:lang w:val="fr-CH"/>
        </w:rPr>
        <w:t>ه</w:t>
      </w:r>
      <w:r w:rsidRPr="00523D40">
        <w:rPr>
          <w:spacing w:val="0"/>
          <w:kern w:val="0"/>
          <w:sz w:val="20"/>
          <w:rtl/>
          <w:lang w:val="fr-CH"/>
        </w:rPr>
        <w:t xml:space="preserve"> </w:t>
      </w:r>
      <w:r w:rsidRPr="00523D40">
        <w:rPr>
          <w:rFonts w:hint="cs"/>
          <w:spacing w:val="0"/>
          <w:kern w:val="0"/>
          <w:sz w:val="20"/>
          <w:rtl/>
          <w:lang w:val="fr-CH"/>
        </w:rPr>
        <w:t xml:space="preserve">عضواً غير عادي في حزب اتحاد القوى من أجل التغيير. أما عن </w:t>
      </w:r>
      <w:r w:rsidRPr="00523D40">
        <w:rPr>
          <w:spacing w:val="0"/>
          <w:kern w:val="0"/>
          <w:sz w:val="20"/>
          <w:rtl/>
          <w:lang w:val="fr-CH"/>
        </w:rPr>
        <w:t xml:space="preserve">أنشطة </w:t>
      </w:r>
      <w:r w:rsidRPr="00523D40">
        <w:rPr>
          <w:rFonts w:hint="cs"/>
          <w:spacing w:val="0"/>
          <w:kern w:val="0"/>
          <w:sz w:val="20"/>
          <w:rtl/>
          <w:lang w:val="fr-CH"/>
        </w:rPr>
        <w:t xml:space="preserve">صاحب الشكوى </w:t>
      </w:r>
      <w:r w:rsidRPr="00523D40">
        <w:rPr>
          <w:spacing w:val="0"/>
          <w:kern w:val="0"/>
          <w:sz w:val="20"/>
          <w:rtl/>
          <w:lang w:val="fr-CH"/>
        </w:rPr>
        <w:t xml:space="preserve">خارج بلده الأصلي، </w:t>
      </w:r>
      <w:r w:rsidRPr="00523D40">
        <w:rPr>
          <w:rFonts w:hint="cs"/>
          <w:spacing w:val="0"/>
          <w:kern w:val="0"/>
          <w:sz w:val="20"/>
          <w:rtl/>
          <w:lang w:val="fr-CH"/>
        </w:rPr>
        <w:t xml:space="preserve">فإنه يدعي أنه </w:t>
      </w:r>
      <w:r w:rsidRPr="00523D40">
        <w:rPr>
          <w:spacing w:val="0"/>
          <w:kern w:val="0"/>
          <w:sz w:val="20"/>
          <w:rtl/>
          <w:lang w:val="fr-CH"/>
        </w:rPr>
        <w:t xml:space="preserve">شارك في مظاهرات </w:t>
      </w:r>
      <w:r w:rsidRPr="00523D40">
        <w:rPr>
          <w:rFonts w:hint="cs"/>
          <w:spacing w:val="0"/>
          <w:kern w:val="0"/>
          <w:sz w:val="20"/>
          <w:rtl/>
          <w:lang w:val="fr-CH"/>
        </w:rPr>
        <w:t xml:space="preserve">حزب اتحاد القوى من أجل التغيير </w:t>
      </w:r>
      <w:r w:rsidRPr="00523D40">
        <w:rPr>
          <w:spacing w:val="0"/>
          <w:kern w:val="0"/>
          <w:sz w:val="20"/>
          <w:rtl/>
          <w:lang w:val="fr-CH"/>
        </w:rPr>
        <w:t>في سويسرا وشارك في كتابة مقال عن أنشط</w:t>
      </w:r>
      <w:r w:rsidRPr="00523D40">
        <w:rPr>
          <w:rFonts w:hint="cs"/>
          <w:spacing w:val="0"/>
          <w:kern w:val="0"/>
          <w:sz w:val="20"/>
          <w:rtl/>
          <w:lang w:val="fr-CH"/>
        </w:rPr>
        <w:t>ة الحزب.</w:t>
      </w:r>
      <w:r w:rsidRPr="00523D40">
        <w:rPr>
          <w:spacing w:val="0"/>
          <w:kern w:val="0"/>
          <w:sz w:val="20"/>
          <w:rtl/>
          <w:lang w:val="fr-CH"/>
        </w:rPr>
        <w:t xml:space="preserve"> </w:t>
      </w:r>
      <w:r w:rsidRPr="00523D40">
        <w:rPr>
          <w:rFonts w:hint="cs"/>
          <w:spacing w:val="0"/>
          <w:kern w:val="0"/>
          <w:sz w:val="20"/>
          <w:rtl/>
          <w:lang w:val="fr-CH"/>
        </w:rPr>
        <w:t xml:space="preserve">ولا تخرج هذه الأنشطة في الواقع عن الأنشطة التي يقوم بها </w:t>
      </w:r>
      <w:r w:rsidRPr="00523D40">
        <w:rPr>
          <w:spacing w:val="0"/>
          <w:kern w:val="0"/>
          <w:sz w:val="20"/>
          <w:rtl/>
          <w:lang w:val="fr-CH"/>
        </w:rPr>
        <w:t xml:space="preserve">معظم </w:t>
      </w:r>
      <w:r w:rsidRPr="00523D40">
        <w:rPr>
          <w:rFonts w:hint="cs"/>
          <w:spacing w:val="0"/>
          <w:kern w:val="0"/>
          <w:sz w:val="20"/>
          <w:rtl/>
          <w:lang w:val="fr-CH"/>
        </w:rPr>
        <w:t>التوغوليين الذين يباشرون أنشطة سياسية في سويسرا. و</w:t>
      </w:r>
      <w:r w:rsidRPr="00523D40">
        <w:rPr>
          <w:spacing w:val="0"/>
          <w:kern w:val="0"/>
          <w:sz w:val="20"/>
          <w:rtl/>
          <w:lang w:val="fr-CH"/>
        </w:rPr>
        <w:t>في ضوء التطورات السياس</w:t>
      </w:r>
      <w:r w:rsidRPr="00523D40">
        <w:rPr>
          <w:rFonts w:hint="cs"/>
          <w:spacing w:val="0"/>
          <w:kern w:val="0"/>
          <w:sz w:val="20"/>
          <w:rtl/>
          <w:lang w:val="fr-CH"/>
        </w:rPr>
        <w:t xml:space="preserve">ية </w:t>
      </w:r>
      <w:r w:rsidRPr="00523D40">
        <w:rPr>
          <w:spacing w:val="0"/>
          <w:kern w:val="0"/>
          <w:sz w:val="20"/>
          <w:rtl/>
          <w:lang w:val="fr-CH"/>
        </w:rPr>
        <w:t>التي لوحظت في البلد (انظر الفقر</w:t>
      </w:r>
      <w:r w:rsidRPr="00523D40">
        <w:rPr>
          <w:rFonts w:hint="cs"/>
          <w:spacing w:val="0"/>
          <w:kern w:val="0"/>
          <w:sz w:val="20"/>
          <w:rtl/>
          <w:lang w:val="fr-CH"/>
        </w:rPr>
        <w:t>تين 4-3 و</w:t>
      </w:r>
      <w:r w:rsidRPr="00523D40">
        <w:rPr>
          <w:spacing w:val="0"/>
          <w:kern w:val="0"/>
          <w:sz w:val="20"/>
          <w:rtl/>
          <w:lang w:val="fr-CH"/>
        </w:rPr>
        <w:t>4-4</w:t>
      </w:r>
      <w:r w:rsidRPr="00523D40">
        <w:rPr>
          <w:rFonts w:hint="cs"/>
          <w:spacing w:val="0"/>
          <w:kern w:val="0"/>
          <w:sz w:val="20"/>
          <w:rtl/>
          <w:lang w:val="fr-CH"/>
        </w:rPr>
        <w:t xml:space="preserve"> أعلاه</w:t>
      </w:r>
      <w:r w:rsidRPr="00523D40">
        <w:rPr>
          <w:spacing w:val="0"/>
          <w:kern w:val="0"/>
          <w:sz w:val="20"/>
          <w:rtl/>
          <w:lang w:val="fr-CH"/>
        </w:rPr>
        <w:t>)</w:t>
      </w:r>
      <w:r w:rsidRPr="00523D40">
        <w:rPr>
          <w:rFonts w:hint="cs"/>
          <w:spacing w:val="0"/>
          <w:kern w:val="0"/>
          <w:sz w:val="20"/>
          <w:rtl/>
          <w:lang w:val="fr-CH"/>
        </w:rPr>
        <w:t xml:space="preserve">، وادعاء صاحب الشكوى </w:t>
      </w:r>
      <w:r w:rsidRPr="00523D40">
        <w:rPr>
          <w:spacing w:val="0"/>
          <w:kern w:val="0"/>
          <w:sz w:val="20"/>
          <w:rtl/>
          <w:lang w:val="fr-CH"/>
        </w:rPr>
        <w:t>أنه عضو</w:t>
      </w:r>
      <w:r w:rsidRPr="00523D40">
        <w:rPr>
          <w:rFonts w:hint="cs"/>
          <w:spacing w:val="0"/>
          <w:kern w:val="0"/>
          <w:sz w:val="20"/>
          <w:rtl/>
          <w:lang w:val="fr-CH"/>
        </w:rPr>
        <w:t xml:space="preserve"> معروف في</w:t>
      </w:r>
      <w:r w:rsidRPr="00523D40">
        <w:rPr>
          <w:spacing w:val="0"/>
          <w:kern w:val="0"/>
          <w:sz w:val="20"/>
          <w:rtl/>
          <w:lang w:val="fr-CH"/>
        </w:rPr>
        <w:t xml:space="preserve"> </w:t>
      </w:r>
      <w:r w:rsidRPr="00523D40">
        <w:rPr>
          <w:rFonts w:hint="cs"/>
          <w:spacing w:val="0"/>
          <w:kern w:val="0"/>
          <w:sz w:val="20"/>
          <w:rtl/>
          <w:lang w:val="fr-CH"/>
        </w:rPr>
        <w:t>حزب اتحاد القوى من أجل التغيير</w:t>
      </w:r>
      <w:r w:rsidRPr="00523D40">
        <w:rPr>
          <w:spacing w:val="0"/>
          <w:kern w:val="0"/>
          <w:sz w:val="20"/>
          <w:rtl/>
          <w:lang w:val="fr-CH"/>
        </w:rPr>
        <w:t xml:space="preserve">، لا يمكن أن </w:t>
      </w:r>
      <w:r w:rsidRPr="00523D40">
        <w:rPr>
          <w:rFonts w:hint="cs"/>
          <w:spacing w:val="0"/>
          <w:kern w:val="0"/>
          <w:sz w:val="20"/>
          <w:rtl/>
          <w:lang w:val="fr-CH"/>
        </w:rPr>
        <w:t>تشكل الأنشطة السياسية لصاحب الشكوى في سويسرا خطراً بالتعرض ل</w:t>
      </w:r>
      <w:r w:rsidRPr="00523D40">
        <w:rPr>
          <w:spacing w:val="0"/>
          <w:kern w:val="0"/>
          <w:sz w:val="20"/>
          <w:rtl/>
          <w:lang w:val="fr-CH"/>
        </w:rPr>
        <w:t>لتعذيب</w:t>
      </w:r>
      <w:r w:rsidRPr="00523D40">
        <w:rPr>
          <w:rFonts w:hint="cs"/>
          <w:spacing w:val="0"/>
          <w:kern w:val="0"/>
          <w:sz w:val="20"/>
          <w:rtl/>
          <w:lang w:val="fr-CH"/>
        </w:rPr>
        <w:t>، ولا سيما أن هناك</w:t>
      </w:r>
      <w:r w:rsidRPr="00523D40">
        <w:rPr>
          <w:spacing w:val="0"/>
          <w:kern w:val="0"/>
          <w:sz w:val="20"/>
          <w:rtl/>
          <w:lang w:val="fr-CH"/>
        </w:rPr>
        <w:t xml:space="preserve"> العديد من ال</w:t>
      </w:r>
      <w:r w:rsidRPr="00523D40">
        <w:rPr>
          <w:rFonts w:hint="cs"/>
          <w:spacing w:val="0"/>
          <w:kern w:val="0"/>
          <w:sz w:val="20"/>
          <w:rtl/>
          <w:lang w:val="fr-CH"/>
        </w:rPr>
        <w:t>مظاهرات السياسية في سويسرا</w:t>
      </w:r>
      <w:r w:rsidRPr="00523D40">
        <w:rPr>
          <w:spacing w:val="0"/>
          <w:kern w:val="0"/>
          <w:sz w:val="20"/>
          <w:rtl/>
          <w:lang w:val="fr-CH"/>
        </w:rPr>
        <w:t xml:space="preserve">، </w:t>
      </w:r>
      <w:r w:rsidRPr="00523D40">
        <w:rPr>
          <w:rFonts w:hint="cs"/>
          <w:spacing w:val="0"/>
          <w:kern w:val="0"/>
          <w:sz w:val="20"/>
          <w:rtl/>
          <w:lang w:val="fr-CH"/>
        </w:rPr>
        <w:t>و</w:t>
      </w:r>
      <w:r w:rsidRPr="00523D40">
        <w:rPr>
          <w:spacing w:val="0"/>
          <w:kern w:val="0"/>
          <w:sz w:val="20"/>
          <w:rtl/>
          <w:lang w:val="fr-CH"/>
        </w:rPr>
        <w:t xml:space="preserve">أن العديد من </w:t>
      </w:r>
      <w:r w:rsidRPr="00523D40">
        <w:rPr>
          <w:rFonts w:hint="cs"/>
          <w:spacing w:val="0"/>
          <w:kern w:val="0"/>
          <w:sz w:val="20"/>
          <w:rtl/>
          <w:lang w:val="fr-CH"/>
        </w:rPr>
        <w:t>التوغوليين يشاركون أيضاً في هذه المظاهرات، وأن عددهم وفقاً لل</w:t>
      </w:r>
      <w:r w:rsidRPr="00523D40">
        <w:rPr>
          <w:spacing w:val="0"/>
          <w:kern w:val="0"/>
          <w:sz w:val="20"/>
          <w:rtl/>
          <w:lang w:val="fr-CH"/>
        </w:rPr>
        <w:t xml:space="preserve">صور أو تسجيلات </w:t>
      </w:r>
      <w:r w:rsidRPr="00523D40">
        <w:rPr>
          <w:rFonts w:hint="cs"/>
          <w:spacing w:val="0"/>
          <w:kern w:val="0"/>
          <w:sz w:val="20"/>
          <w:rtl/>
          <w:lang w:val="fr-CH"/>
        </w:rPr>
        <w:t>ال</w:t>
      </w:r>
      <w:r w:rsidRPr="00523D40">
        <w:rPr>
          <w:spacing w:val="0"/>
          <w:kern w:val="0"/>
          <w:sz w:val="20"/>
          <w:rtl/>
          <w:lang w:val="fr-CH"/>
        </w:rPr>
        <w:t>فيديو</w:t>
      </w:r>
      <w:r w:rsidRPr="00523D40">
        <w:rPr>
          <w:rFonts w:hint="cs"/>
          <w:spacing w:val="0"/>
          <w:kern w:val="0"/>
          <w:sz w:val="20"/>
          <w:rtl/>
          <w:lang w:val="fr-CH"/>
        </w:rPr>
        <w:t xml:space="preserve"> يكون كبيراً غالباً، وأنه يتاح لمئات الأشخاص أحياناً الاتصال با</w:t>
      </w:r>
      <w:r w:rsidRPr="00523D40">
        <w:rPr>
          <w:spacing w:val="0"/>
          <w:kern w:val="0"/>
          <w:sz w:val="20"/>
          <w:rtl/>
          <w:lang w:val="fr-CH"/>
        </w:rPr>
        <w:t xml:space="preserve">لجمهور </w:t>
      </w:r>
      <w:r w:rsidRPr="00523D40">
        <w:rPr>
          <w:rFonts w:hint="cs"/>
          <w:spacing w:val="0"/>
          <w:kern w:val="0"/>
          <w:sz w:val="20"/>
          <w:rtl/>
          <w:lang w:val="fr-CH"/>
        </w:rPr>
        <w:t>عن طريق و</w:t>
      </w:r>
      <w:r w:rsidRPr="00523D40">
        <w:rPr>
          <w:spacing w:val="0"/>
          <w:kern w:val="0"/>
          <w:sz w:val="20"/>
          <w:rtl/>
          <w:lang w:val="fr-CH"/>
        </w:rPr>
        <w:t>سائل الإعلام ذات الصلة.</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4-8</w:t>
      </w:r>
      <w:r w:rsidRPr="00523D40">
        <w:rPr>
          <w:rFonts w:hint="cs"/>
          <w:spacing w:val="0"/>
          <w:kern w:val="0"/>
          <w:sz w:val="20"/>
          <w:rtl/>
          <w:lang w:val="fr-CH"/>
        </w:rPr>
        <w:tab/>
        <w:t xml:space="preserve"> وقد رأي المكتب الاتحادي للهجرة في قراره الصادر في </w:t>
      </w:r>
      <w:r w:rsidRPr="00523D40">
        <w:rPr>
          <w:spacing w:val="0"/>
          <w:kern w:val="0"/>
          <w:sz w:val="20"/>
          <w:rtl/>
          <w:lang w:val="fr-CH"/>
        </w:rPr>
        <w:t xml:space="preserve">8 </w:t>
      </w:r>
      <w:r w:rsidRPr="00523D40">
        <w:rPr>
          <w:rFonts w:hint="cs"/>
          <w:spacing w:val="0"/>
          <w:kern w:val="0"/>
          <w:sz w:val="20"/>
          <w:rtl/>
          <w:lang w:val="fr-CH"/>
        </w:rPr>
        <w:t>أيلول/</w:t>
      </w:r>
      <w:r w:rsidRPr="00523D40">
        <w:rPr>
          <w:spacing w:val="0"/>
          <w:kern w:val="0"/>
          <w:sz w:val="20"/>
          <w:rtl/>
          <w:lang w:val="fr-CH"/>
        </w:rPr>
        <w:t>سبتمبر 2006</w:t>
      </w:r>
      <w:r w:rsidRPr="00523D40">
        <w:rPr>
          <w:rFonts w:hint="cs"/>
          <w:spacing w:val="0"/>
          <w:kern w:val="0"/>
          <w:sz w:val="20"/>
          <w:rtl/>
          <w:lang w:val="fr-CH"/>
        </w:rPr>
        <w:t xml:space="preserve"> أن رواية صاحب الشكوى تفتقر بوضوح إلى الوجاهة. فقد أكد المكتب أن </w:t>
      </w:r>
      <w:r w:rsidRPr="00523D40">
        <w:rPr>
          <w:spacing w:val="0"/>
          <w:kern w:val="0"/>
          <w:sz w:val="20"/>
          <w:rtl/>
          <w:lang w:val="fr-CH"/>
        </w:rPr>
        <w:t>ادعاءات</w:t>
      </w:r>
      <w:r w:rsidRPr="00523D40">
        <w:rPr>
          <w:rFonts w:hint="cs"/>
          <w:spacing w:val="0"/>
          <w:kern w:val="0"/>
          <w:sz w:val="20"/>
          <w:rtl/>
          <w:lang w:val="fr-CH"/>
        </w:rPr>
        <w:t>ه</w:t>
      </w:r>
      <w:r w:rsidRPr="00523D40">
        <w:rPr>
          <w:spacing w:val="0"/>
          <w:kern w:val="0"/>
          <w:sz w:val="20"/>
          <w:rtl/>
          <w:lang w:val="fr-CH"/>
        </w:rPr>
        <w:t xml:space="preserve"> </w:t>
      </w:r>
      <w:r w:rsidRPr="00523D40">
        <w:rPr>
          <w:rFonts w:hint="cs"/>
          <w:spacing w:val="0"/>
          <w:kern w:val="0"/>
          <w:sz w:val="20"/>
          <w:rtl/>
          <w:lang w:val="fr-CH"/>
        </w:rPr>
        <w:t>ت</w:t>
      </w:r>
      <w:r w:rsidRPr="00523D40">
        <w:rPr>
          <w:spacing w:val="0"/>
          <w:kern w:val="0"/>
          <w:sz w:val="20"/>
          <w:rtl/>
          <w:lang w:val="fr-CH"/>
        </w:rPr>
        <w:t xml:space="preserve">تعارض مع </w:t>
      </w:r>
      <w:r w:rsidRPr="00523D40">
        <w:rPr>
          <w:rFonts w:hint="cs"/>
          <w:spacing w:val="0"/>
          <w:kern w:val="0"/>
          <w:sz w:val="20"/>
          <w:rtl/>
          <w:lang w:val="fr-CH"/>
        </w:rPr>
        <w:t>الواقع العام ومخالفة ل</w:t>
      </w:r>
      <w:r w:rsidRPr="00523D40">
        <w:rPr>
          <w:spacing w:val="0"/>
          <w:kern w:val="0"/>
          <w:sz w:val="20"/>
          <w:rtl/>
          <w:lang w:val="fr-CH"/>
        </w:rPr>
        <w:t xml:space="preserve">لمنطق. وينطبق </w:t>
      </w:r>
      <w:r w:rsidRPr="00523D40">
        <w:rPr>
          <w:rFonts w:hint="cs"/>
          <w:spacing w:val="0"/>
          <w:kern w:val="0"/>
          <w:sz w:val="20"/>
          <w:rtl/>
          <w:lang w:val="fr-CH"/>
        </w:rPr>
        <w:t xml:space="preserve">هذا بوجه خاص على القبض عليه </w:t>
      </w:r>
      <w:r w:rsidRPr="00523D40">
        <w:rPr>
          <w:spacing w:val="0"/>
          <w:kern w:val="0"/>
          <w:sz w:val="20"/>
          <w:rtl/>
          <w:lang w:val="fr-CH"/>
        </w:rPr>
        <w:t xml:space="preserve">في 28 </w:t>
      </w:r>
      <w:r w:rsidRPr="00F040E7">
        <w:rPr>
          <w:rFonts w:hint="cs"/>
          <w:spacing w:val="-2"/>
          <w:kern w:val="0"/>
          <w:sz w:val="20"/>
          <w:rtl/>
          <w:lang w:val="fr-CH"/>
        </w:rPr>
        <w:t>آذار/</w:t>
      </w:r>
      <w:r w:rsidRPr="00F040E7">
        <w:rPr>
          <w:spacing w:val="-2"/>
          <w:kern w:val="0"/>
          <w:sz w:val="20"/>
          <w:rtl/>
          <w:lang w:val="fr-CH"/>
        </w:rPr>
        <w:t xml:space="preserve">مارس 2006. </w:t>
      </w:r>
      <w:r w:rsidRPr="00F040E7">
        <w:rPr>
          <w:rFonts w:hint="cs"/>
          <w:spacing w:val="-2"/>
          <w:kern w:val="0"/>
          <w:sz w:val="20"/>
          <w:rtl/>
          <w:lang w:val="fr-CH"/>
        </w:rPr>
        <w:t xml:space="preserve">فقد كان مختبئاً عندئذ في </w:t>
      </w:r>
      <w:r w:rsidRPr="00F040E7">
        <w:rPr>
          <w:spacing w:val="-2"/>
          <w:kern w:val="0"/>
          <w:sz w:val="20"/>
          <w:rtl/>
          <w:lang w:val="fr-CH"/>
        </w:rPr>
        <w:t>أ</w:t>
      </w:r>
      <w:r w:rsidRPr="00F040E7">
        <w:rPr>
          <w:rFonts w:hint="cs"/>
          <w:spacing w:val="-2"/>
          <w:kern w:val="0"/>
          <w:sz w:val="20"/>
          <w:rtl/>
          <w:lang w:val="fr-CH"/>
        </w:rPr>
        <w:t>غويغان،</w:t>
      </w:r>
      <w:r w:rsidRPr="00F040E7">
        <w:rPr>
          <w:spacing w:val="-2"/>
          <w:kern w:val="0"/>
          <w:sz w:val="20"/>
          <w:rtl/>
          <w:lang w:val="fr-CH"/>
        </w:rPr>
        <w:t xml:space="preserve"> </w:t>
      </w:r>
      <w:r w:rsidRPr="00F040E7">
        <w:rPr>
          <w:rFonts w:hint="cs"/>
          <w:spacing w:val="-2"/>
          <w:kern w:val="0"/>
          <w:sz w:val="20"/>
          <w:rtl/>
          <w:lang w:val="fr-CH"/>
        </w:rPr>
        <w:t xml:space="preserve">وكانت </w:t>
      </w:r>
      <w:r w:rsidRPr="00F040E7">
        <w:rPr>
          <w:spacing w:val="-2"/>
          <w:kern w:val="0"/>
          <w:sz w:val="20"/>
          <w:rtl/>
          <w:lang w:val="fr-CH"/>
        </w:rPr>
        <w:t xml:space="preserve">قوات الأمن والشباب </w:t>
      </w:r>
      <w:r w:rsidRPr="00F040E7">
        <w:rPr>
          <w:rFonts w:hint="cs"/>
          <w:spacing w:val="-2"/>
          <w:kern w:val="0"/>
          <w:sz w:val="20"/>
          <w:rtl/>
          <w:lang w:val="fr-CH"/>
        </w:rPr>
        <w:t xml:space="preserve">من </w:t>
      </w:r>
      <w:r w:rsidRPr="00F040E7">
        <w:rPr>
          <w:spacing w:val="-2"/>
          <w:kern w:val="0"/>
          <w:sz w:val="20"/>
          <w:rtl/>
          <w:lang w:val="fr-CH"/>
        </w:rPr>
        <w:t xml:space="preserve">أعضاء حزب </w:t>
      </w:r>
      <w:r w:rsidRPr="00F040E7">
        <w:rPr>
          <w:rFonts w:hint="cs"/>
          <w:spacing w:val="-2"/>
          <w:kern w:val="0"/>
          <w:sz w:val="20"/>
          <w:rtl/>
          <w:lang w:val="fr-CH"/>
        </w:rPr>
        <w:t>التجمع يبحثون عنه،</w:t>
      </w:r>
      <w:r w:rsidRPr="00F040E7">
        <w:rPr>
          <w:spacing w:val="-2"/>
          <w:kern w:val="0"/>
          <w:sz w:val="20"/>
          <w:rtl/>
          <w:lang w:val="fr-CH"/>
        </w:rPr>
        <w:t xml:space="preserve"> و</w:t>
      </w:r>
      <w:r w:rsidRPr="00F040E7">
        <w:rPr>
          <w:rFonts w:hint="cs"/>
          <w:spacing w:val="-2"/>
          <w:kern w:val="0"/>
          <w:sz w:val="20"/>
          <w:rtl/>
          <w:lang w:val="fr-CH"/>
        </w:rPr>
        <w:t xml:space="preserve">كان </w:t>
      </w:r>
      <w:r w:rsidRPr="00F040E7">
        <w:rPr>
          <w:spacing w:val="-2"/>
          <w:kern w:val="0"/>
          <w:sz w:val="20"/>
          <w:rtl/>
          <w:lang w:val="fr-CH"/>
        </w:rPr>
        <w:t>يخشى</w:t>
      </w:r>
      <w:r w:rsidRPr="00F040E7">
        <w:rPr>
          <w:rFonts w:hint="cs"/>
          <w:spacing w:val="-2"/>
          <w:kern w:val="0"/>
          <w:sz w:val="20"/>
          <w:rtl/>
          <w:lang w:val="fr-CH"/>
        </w:rPr>
        <w:t>،</w:t>
      </w:r>
      <w:r w:rsidRPr="00F040E7">
        <w:rPr>
          <w:spacing w:val="-2"/>
          <w:kern w:val="0"/>
          <w:sz w:val="20"/>
          <w:rtl/>
          <w:lang w:val="fr-CH"/>
        </w:rPr>
        <w:t xml:space="preserve"> </w:t>
      </w:r>
      <w:r w:rsidRPr="00F040E7">
        <w:rPr>
          <w:rFonts w:hint="cs"/>
          <w:spacing w:val="-2"/>
          <w:kern w:val="0"/>
          <w:sz w:val="20"/>
          <w:rtl/>
          <w:lang w:val="fr-CH"/>
        </w:rPr>
        <w:t xml:space="preserve">حسب أقواله، </w:t>
      </w:r>
      <w:r w:rsidRPr="00F040E7">
        <w:rPr>
          <w:spacing w:val="-2"/>
          <w:kern w:val="0"/>
          <w:sz w:val="20"/>
          <w:rtl/>
          <w:lang w:val="fr-CH"/>
        </w:rPr>
        <w:t xml:space="preserve">على حياته. وعلى الرغم من هذه المخاوف، </w:t>
      </w:r>
      <w:r w:rsidRPr="00F040E7">
        <w:rPr>
          <w:rFonts w:hint="cs"/>
          <w:spacing w:val="-2"/>
          <w:kern w:val="0"/>
          <w:sz w:val="20"/>
          <w:rtl/>
          <w:lang w:val="fr-CH"/>
        </w:rPr>
        <w:t>كان ي</w:t>
      </w:r>
      <w:r w:rsidRPr="00F040E7">
        <w:rPr>
          <w:spacing w:val="-2"/>
          <w:kern w:val="0"/>
          <w:sz w:val="20"/>
          <w:rtl/>
          <w:lang w:val="fr-CH"/>
        </w:rPr>
        <w:t xml:space="preserve">ذهب بانتظام إلى لومي لزيارة زوجته. </w:t>
      </w:r>
      <w:r w:rsidRPr="00F040E7">
        <w:rPr>
          <w:rFonts w:hint="cs"/>
          <w:spacing w:val="-2"/>
          <w:kern w:val="0"/>
          <w:sz w:val="20"/>
          <w:rtl/>
          <w:lang w:val="fr-CH"/>
        </w:rPr>
        <w:t xml:space="preserve">وقد تعرف عليه الشرطي الذي استوقف سيارته فوراً </w:t>
      </w:r>
      <w:r w:rsidRPr="00F040E7">
        <w:rPr>
          <w:spacing w:val="-2"/>
          <w:kern w:val="0"/>
          <w:sz w:val="20"/>
          <w:rtl/>
          <w:lang w:val="fr-CH"/>
        </w:rPr>
        <w:t>وألق</w:t>
      </w:r>
      <w:r w:rsidRPr="00F040E7">
        <w:rPr>
          <w:rFonts w:hint="cs"/>
          <w:spacing w:val="-2"/>
          <w:kern w:val="0"/>
          <w:sz w:val="20"/>
          <w:rtl/>
          <w:lang w:val="fr-CH"/>
        </w:rPr>
        <w:t>ى عليه القبض</w:t>
      </w:r>
      <w:r w:rsidRPr="00F040E7">
        <w:rPr>
          <w:spacing w:val="-2"/>
          <w:kern w:val="0"/>
          <w:sz w:val="20"/>
          <w:rtl/>
          <w:lang w:val="fr-CH"/>
        </w:rPr>
        <w:t xml:space="preserve">. </w:t>
      </w:r>
      <w:r w:rsidRPr="00F040E7">
        <w:rPr>
          <w:rFonts w:hint="cs"/>
          <w:spacing w:val="-2"/>
          <w:kern w:val="0"/>
          <w:sz w:val="20"/>
          <w:rtl/>
          <w:lang w:val="fr-CH"/>
        </w:rPr>
        <w:t xml:space="preserve">ويتصل هذا القبض، وفقاً لصاحب الشكوى، بفقدان حافظة نقوده التي كان بها التصريح الذي حصل عليه من السيد ﻫ. و. </w:t>
      </w:r>
      <w:r w:rsidRPr="00F040E7">
        <w:rPr>
          <w:spacing w:val="-2"/>
          <w:kern w:val="0"/>
          <w:sz w:val="20"/>
          <w:rtl/>
          <w:lang w:val="fr-CH"/>
        </w:rPr>
        <w:t>أولمبيو</w:t>
      </w:r>
      <w:r w:rsidRPr="00F040E7">
        <w:rPr>
          <w:rFonts w:hint="cs"/>
          <w:spacing w:val="-2"/>
          <w:kern w:val="0"/>
          <w:sz w:val="20"/>
          <w:rtl/>
          <w:lang w:val="fr-CH"/>
        </w:rPr>
        <w:t xml:space="preserve"> في عام 2003. و</w:t>
      </w:r>
      <w:r w:rsidRPr="00F040E7">
        <w:rPr>
          <w:spacing w:val="-2"/>
          <w:kern w:val="0"/>
          <w:sz w:val="20"/>
          <w:rtl/>
          <w:lang w:val="fr-CH"/>
        </w:rPr>
        <w:t xml:space="preserve">كما لاحظ </w:t>
      </w:r>
      <w:r w:rsidRPr="00F040E7">
        <w:rPr>
          <w:rFonts w:hint="cs"/>
          <w:spacing w:val="-2"/>
          <w:kern w:val="0"/>
          <w:sz w:val="20"/>
          <w:rtl/>
          <w:lang w:val="fr-CH"/>
        </w:rPr>
        <w:t>المكتب الاتحادي للهجرة، من الغريب بع</w:t>
      </w:r>
      <w:r w:rsidRPr="00F040E7">
        <w:rPr>
          <w:spacing w:val="-2"/>
          <w:kern w:val="0"/>
          <w:sz w:val="20"/>
          <w:rtl/>
          <w:lang w:val="fr-CH"/>
        </w:rPr>
        <w:t xml:space="preserve">د عدة سنوات </w:t>
      </w:r>
      <w:r w:rsidRPr="00F040E7">
        <w:rPr>
          <w:rFonts w:hint="cs"/>
          <w:spacing w:val="-2"/>
          <w:kern w:val="0"/>
          <w:sz w:val="20"/>
          <w:rtl/>
          <w:lang w:val="fr-CH"/>
        </w:rPr>
        <w:t xml:space="preserve">من </w:t>
      </w:r>
      <w:r w:rsidRPr="00F040E7">
        <w:rPr>
          <w:spacing w:val="-2"/>
          <w:kern w:val="0"/>
          <w:sz w:val="20"/>
          <w:rtl/>
          <w:lang w:val="fr-CH"/>
        </w:rPr>
        <w:t>البحث</w:t>
      </w:r>
      <w:r w:rsidRPr="00523D40">
        <w:rPr>
          <w:spacing w:val="0"/>
          <w:kern w:val="0"/>
          <w:sz w:val="20"/>
          <w:rtl/>
          <w:lang w:val="fr-CH"/>
        </w:rPr>
        <w:t xml:space="preserve"> </w:t>
      </w:r>
      <w:r w:rsidRPr="00523D40">
        <w:rPr>
          <w:rFonts w:hint="cs"/>
          <w:spacing w:val="0"/>
          <w:kern w:val="0"/>
          <w:sz w:val="20"/>
          <w:rtl/>
          <w:lang w:val="fr-CH"/>
        </w:rPr>
        <w:t xml:space="preserve">المكثف عن صاحب الشكوى أن يتعرف عليه الشرطي على الفور. ومما يثير الشك قي رواية صاحب الشكوى أيضاً الظروف التي أحاطت </w:t>
      </w:r>
      <w:r w:rsidRPr="00523D40">
        <w:rPr>
          <w:spacing w:val="0"/>
          <w:kern w:val="0"/>
          <w:sz w:val="20"/>
          <w:rtl/>
          <w:lang w:val="fr-CH"/>
        </w:rPr>
        <w:t xml:space="preserve">بالإفراج عنه في نيسان/أبريل 2006. </w:t>
      </w:r>
      <w:r w:rsidRPr="00523D40">
        <w:rPr>
          <w:rFonts w:hint="cs"/>
          <w:spacing w:val="0"/>
          <w:kern w:val="0"/>
          <w:sz w:val="20"/>
          <w:rtl/>
          <w:lang w:val="fr-CH"/>
        </w:rPr>
        <w:t xml:space="preserve">إذ يدعي صاحب الشكوى الذي ظلت الشرطة تبحث عنه لسنوات عديدة واشتبهت في اشتراكه في الاعتداء على مركز الشرطة في لومي في </w:t>
      </w:r>
      <w:r w:rsidRPr="00523D40">
        <w:rPr>
          <w:spacing w:val="0"/>
          <w:kern w:val="0"/>
          <w:sz w:val="20"/>
          <w:rtl/>
          <w:lang w:val="fr-CH"/>
        </w:rPr>
        <w:t xml:space="preserve">26 </w:t>
      </w:r>
      <w:r w:rsidRPr="00523D40">
        <w:rPr>
          <w:rFonts w:hint="cs"/>
          <w:spacing w:val="0"/>
          <w:kern w:val="0"/>
          <w:sz w:val="20"/>
          <w:rtl/>
          <w:lang w:val="fr-CH"/>
        </w:rPr>
        <w:t>شباط/</w:t>
      </w:r>
      <w:r w:rsidRPr="00523D40">
        <w:rPr>
          <w:spacing w:val="0"/>
          <w:kern w:val="0"/>
          <w:sz w:val="20"/>
          <w:rtl/>
          <w:lang w:val="fr-CH"/>
        </w:rPr>
        <w:t>فبراير 2006</w:t>
      </w:r>
      <w:r w:rsidRPr="00523D40">
        <w:rPr>
          <w:rFonts w:hint="cs"/>
          <w:spacing w:val="0"/>
          <w:kern w:val="0"/>
          <w:sz w:val="20"/>
          <w:rtl/>
          <w:lang w:val="fr-CH"/>
        </w:rPr>
        <w:t xml:space="preserve"> أنه تمكن من الهرب بعد قيام صهره بدفع رشوة لأحد الحراس. بيد أن </w:t>
      </w:r>
      <w:r w:rsidRPr="00523D40">
        <w:rPr>
          <w:spacing w:val="0"/>
          <w:kern w:val="0"/>
          <w:sz w:val="20"/>
          <w:rtl/>
          <w:lang w:val="fr-CH"/>
        </w:rPr>
        <w:t xml:space="preserve">مرتكبي هذا </w:t>
      </w:r>
      <w:r w:rsidRPr="00523D40">
        <w:rPr>
          <w:rFonts w:hint="cs"/>
          <w:spacing w:val="0"/>
          <w:kern w:val="0"/>
          <w:sz w:val="20"/>
          <w:rtl/>
          <w:lang w:val="fr-CH"/>
        </w:rPr>
        <w:t xml:space="preserve">الاعتداء ألقي عليهم القبض وتمت محاكمتهم في </w:t>
      </w:r>
      <w:r w:rsidRPr="00523D40">
        <w:rPr>
          <w:spacing w:val="0"/>
          <w:kern w:val="0"/>
          <w:sz w:val="20"/>
          <w:rtl/>
          <w:lang w:val="fr-CH"/>
        </w:rPr>
        <w:t xml:space="preserve">19 </w:t>
      </w:r>
      <w:r w:rsidRPr="00523D40">
        <w:rPr>
          <w:rFonts w:hint="cs"/>
          <w:spacing w:val="0"/>
          <w:kern w:val="0"/>
          <w:sz w:val="20"/>
          <w:rtl/>
          <w:lang w:val="fr-CH"/>
        </w:rPr>
        <w:t>أيار/</w:t>
      </w:r>
      <w:r w:rsidRPr="00523D40">
        <w:rPr>
          <w:spacing w:val="0"/>
          <w:kern w:val="0"/>
          <w:sz w:val="20"/>
          <w:rtl/>
          <w:lang w:val="fr-CH"/>
        </w:rPr>
        <w:t>مايو 2006. ولذلك، ل</w:t>
      </w:r>
      <w:r w:rsidRPr="00523D40">
        <w:rPr>
          <w:rFonts w:hint="cs"/>
          <w:spacing w:val="0"/>
          <w:kern w:val="0"/>
          <w:sz w:val="20"/>
          <w:rtl/>
          <w:lang w:val="fr-CH"/>
        </w:rPr>
        <w:t xml:space="preserve">يس هناك ما يبرر المخاوف التي </w:t>
      </w:r>
      <w:r w:rsidRPr="00523D40">
        <w:rPr>
          <w:spacing w:val="0"/>
          <w:kern w:val="0"/>
          <w:sz w:val="20"/>
          <w:rtl/>
          <w:lang w:val="fr-CH"/>
        </w:rPr>
        <w:t xml:space="preserve">أعرب عنها </w:t>
      </w:r>
      <w:r w:rsidRPr="00523D40">
        <w:rPr>
          <w:rFonts w:hint="cs"/>
          <w:spacing w:val="0"/>
          <w:kern w:val="0"/>
          <w:sz w:val="20"/>
          <w:rtl/>
          <w:lang w:val="fr-CH"/>
        </w:rPr>
        <w:t>صاحب الشكوى.</w:t>
      </w:r>
    </w:p>
    <w:p w:rsidR="00523D40" w:rsidRPr="00523D40" w:rsidRDefault="00523D40" w:rsidP="00F040E7">
      <w:pPr>
        <w:pStyle w:val="SingleTxtGA"/>
        <w:jc w:val="lowKashida"/>
        <w:rPr>
          <w:rFonts w:hint="cs"/>
          <w:spacing w:val="0"/>
          <w:kern w:val="0"/>
          <w:sz w:val="20"/>
          <w:rtl/>
          <w:lang w:val="fr-CH"/>
        </w:rPr>
      </w:pPr>
      <w:r w:rsidRPr="00523D40">
        <w:rPr>
          <w:rFonts w:hint="cs"/>
          <w:spacing w:val="0"/>
          <w:kern w:val="0"/>
          <w:sz w:val="20"/>
          <w:rtl/>
          <w:lang w:val="fr-CH"/>
        </w:rPr>
        <w:t>4-9</w:t>
      </w:r>
      <w:r w:rsidRPr="00523D40">
        <w:rPr>
          <w:rFonts w:hint="cs"/>
          <w:spacing w:val="0"/>
          <w:kern w:val="0"/>
          <w:sz w:val="20"/>
          <w:rtl/>
        </w:rPr>
        <w:tab/>
      </w:r>
      <w:r w:rsidRPr="00523D40">
        <w:rPr>
          <w:spacing w:val="0"/>
          <w:kern w:val="0"/>
          <w:sz w:val="20"/>
          <w:rtl/>
          <w:lang w:val="fr-CH"/>
        </w:rPr>
        <w:t>و</w:t>
      </w:r>
      <w:r w:rsidRPr="00523D40">
        <w:rPr>
          <w:rFonts w:hint="cs"/>
          <w:spacing w:val="0"/>
          <w:kern w:val="0"/>
          <w:sz w:val="20"/>
          <w:rtl/>
          <w:lang w:val="fr-CH"/>
        </w:rPr>
        <w:t>علاوة على ذلك</w:t>
      </w:r>
      <w:r w:rsidRPr="00523D40">
        <w:rPr>
          <w:spacing w:val="0"/>
          <w:kern w:val="0"/>
          <w:sz w:val="20"/>
          <w:rtl/>
          <w:lang w:val="fr-CH"/>
        </w:rPr>
        <w:t xml:space="preserve">، أدلى </w:t>
      </w:r>
      <w:r w:rsidRPr="00523D40">
        <w:rPr>
          <w:rFonts w:hint="cs"/>
          <w:spacing w:val="0"/>
          <w:kern w:val="0"/>
          <w:sz w:val="20"/>
          <w:rtl/>
          <w:lang w:val="fr-CH"/>
        </w:rPr>
        <w:t>صاحب الشكوى ب</w:t>
      </w:r>
      <w:r w:rsidRPr="00523D40">
        <w:rPr>
          <w:spacing w:val="0"/>
          <w:kern w:val="0"/>
          <w:sz w:val="20"/>
          <w:rtl/>
          <w:lang w:val="fr-CH"/>
        </w:rPr>
        <w:t xml:space="preserve">بيانات متناقضة حول نقاط أساسية حيث قال </w:t>
      </w:r>
      <w:r w:rsidRPr="00523D40">
        <w:rPr>
          <w:rFonts w:hint="cs"/>
          <w:spacing w:val="0"/>
          <w:kern w:val="0"/>
          <w:sz w:val="20"/>
          <w:rtl/>
          <w:lang w:val="fr-CH"/>
        </w:rPr>
        <w:t>في مركز التسجيل إنه عاش ف</w:t>
      </w:r>
      <w:r w:rsidRPr="00523D40">
        <w:rPr>
          <w:spacing w:val="0"/>
          <w:kern w:val="0"/>
          <w:sz w:val="20"/>
          <w:rtl/>
          <w:lang w:val="fr-CH"/>
        </w:rPr>
        <w:t xml:space="preserve">ي بنن بين عامي 1999 و2002 </w:t>
      </w:r>
      <w:r w:rsidRPr="00523D40">
        <w:rPr>
          <w:rFonts w:hint="cs"/>
          <w:spacing w:val="0"/>
          <w:kern w:val="0"/>
          <w:sz w:val="20"/>
          <w:rtl/>
          <w:lang w:val="fr-CH"/>
        </w:rPr>
        <w:t>و</w:t>
      </w:r>
      <w:r w:rsidRPr="00523D40">
        <w:rPr>
          <w:spacing w:val="0"/>
          <w:kern w:val="0"/>
          <w:sz w:val="20"/>
          <w:rtl/>
          <w:lang w:val="fr-CH"/>
        </w:rPr>
        <w:t xml:space="preserve">في </w:t>
      </w:r>
      <w:r w:rsidRPr="00523D40">
        <w:rPr>
          <w:rFonts w:hint="cs"/>
          <w:spacing w:val="0"/>
          <w:kern w:val="0"/>
          <w:sz w:val="20"/>
          <w:rtl/>
          <w:lang w:val="fr-CH"/>
        </w:rPr>
        <w:t>أغ</w:t>
      </w:r>
      <w:r w:rsidRPr="00523D40">
        <w:rPr>
          <w:spacing w:val="0"/>
          <w:kern w:val="0"/>
          <w:sz w:val="20"/>
          <w:rtl/>
          <w:lang w:val="fr-CH"/>
        </w:rPr>
        <w:t>وي</w:t>
      </w:r>
      <w:r w:rsidRPr="00523D40">
        <w:rPr>
          <w:rFonts w:hint="cs"/>
          <w:spacing w:val="0"/>
          <w:kern w:val="0"/>
          <w:sz w:val="20"/>
          <w:rtl/>
          <w:lang w:val="fr-CH"/>
        </w:rPr>
        <w:t>غ</w:t>
      </w:r>
      <w:r w:rsidRPr="00523D40">
        <w:rPr>
          <w:spacing w:val="0"/>
          <w:kern w:val="0"/>
          <w:sz w:val="20"/>
          <w:rtl/>
          <w:lang w:val="fr-CH"/>
        </w:rPr>
        <w:t xml:space="preserve">ان من 1 </w:t>
      </w:r>
      <w:r w:rsidRPr="00523D40">
        <w:rPr>
          <w:rFonts w:hint="cs"/>
          <w:spacing w:val="0"/>
          <w:kern w:val="0"/>
          <w:sz w:val="20"/>
          <w:rtl/>
          <w:lang w:val="fr-CH"/>
        </w:rPr>
        <w:t>نيسان/</w:t>
      </w:r>
      <w:r w:rsidRPr="00523D40">
        <w:rPr>
          <w:spacing w:val="0"/>
          <w:kern w:val="0"/>
          <w:sz w:val="20"/>
          <w:rtl/>
          <w:lang w:val="fr-CH"/>
        </w:rPr>
        <w:t xml:space="preserve">أبريل 2004 حتى رحيله. </w:t>
      </w:r>
      <w:r w:rsidRPr="00523D40">
        <w:rPr>
          <w:rFonts w:hint="cs"/>
          <w:spacing w:val="0"/>
          <w:kern w:val="0"/>
          <w:sz w:val="20"/>
          <w:rtl/>
          <w:lang w:val="fr-CH"/>
        </w:rPr>
        <w:t>وقال أيضاً إنه حصل ف</w:t>
      </w:r>
      <w:r w:rsidRPr="00523D40">
        <w:rPr>
          <w:spacing w:val="0"/>
          <w:kern w:val="0"/>
          <w:sz w:val="20"/>
          <w:rtl/>
          <w:lang w:val="fr-CH"/>
        </w:rPr>
        <w:t>ي عام 2002</w:t>
      </w:r>
      <w:r w:rsidRPr="00523D40">
        <w:rPr>
          <w:rFonts w:hint="cs"/>
          <w:spacing w:val="0"/>
          <w:kern w:val="0"/>
          <w:sz w:val="20"/>
          <w:rtl/>
          <w:lang w:val="fr-CH"/>
        </w:rPr>
        <w:t xml:space="preserve"> على بطاقة تعريف تحمل توقيع </w:t>
      </w:r>
      <w:r w:rsidRPr="00523D40">
        <w:rPr>
          <w:spacing w:val="0"/>
          <w:kern w:val="0"/>
          <w:sz w:val="20"/>
          <w:rtl/>
          <w:lang w:val="fr-CH"/>
        </w:rPr>
        <w:t xml:space="preserve">السيد </w:t>
      </w:r>
      <w:r w:rsidRPr="00523D40">
        <w:rPr>
          <w:rFonts w:hint="cs"/>
          <w:spacing w:val="0"/>
          <w:kern w:val="0"/>
          <w:sz w:val="20"/>
          <w:rtl/>
          <w:lang w:val="fr-CH"/>
        </w:rPr>
        <w:t xml:space="preserve">ﻫ. و. </w:t>
      </w:r>
      <w:r w:rsidRPr="00523D40">
        <w:rPr>
          <w:spacing w:val="0"/>
          <w:kern w:val="0"/>
          <w:sz w:val="20"/>
          <w:rtl/>
          <w:lang w:val="fr-CH"/>
        </w:rPr>
        <w:t xml:space="preserve">أولمبيو </w:t>
      </w:r>
      <w:r w:rsidRPr="00523D40">
        <w:rPr>
          <w:rFonts w:hint="cs"/>
          <w:spacing w:val="0"/>
          <w:kern w:val="0"/>
          <w:sz w:val="20"/>
          <w:rtl/>
          <w:lang w:val="fr-CH"/>
        </w:rPr>
        <w:t xml:space="preserve">ولكنها فقدت منه في عام 2003. بيد أنه قال </w:t>
      </w:r>
      <w:r w:rsidRPr="00523D40">
        <w:rPr>
          <w:spacing w:val="0"/>
          <w:kern w:val="0"/>
          <w:sz w:val="20"/>
          <w:rtl/>
          <w:lang w:val="fr-CH"/>
        </w:rPr>
        <w:t>أمام سلط</w:t>
      </w:r>
      <w:r w:rsidRPr="00523D40">
        <w:rPr>
          <w:rFonts w:hint="cs"/>
          <w:spacing w:val="0"/>
          <w:kern w:val="0"/>
          <w:sz w:val="20"/>
          <w:rtl/>
          <w:lang w:val="fr-CH"/>
        </w:rPr>
        <w:t>ات</w:t>
      </w:r>
      <w:r w:rsidRPr="00523D40">
        <w:rPr>
          <w:spacing w:val="0"/>
          <w:kern w:val="0"/>
          <w:sz w:val="20"/>
          <w:rtl/>
          <w:lang w:val="fr-CH"/>
        </w:rPr>
        <w:t xml:space="preserve"> الكانتون</w:t>
      </w:r>
      <w:r w:rsidRPr="00523D40">
        <w:rPr>
          <w:rFonts w:hint="cs"/>
          <w:spacing w:val="0"/>
          <w:kern w:val="0"/>
          <w:sz w:val="20"/>
          <w:rtl/>
          <w:lang w:val="fr-CH"/>
        </w:rPr>
        <w:t xml:space="preserve"> إنه كان يعيش في لومي منذ بلوغه سن ست سنوات</w:t>
      </w:r>
      <w:r w:rsidRPr="00523D40">
        <w:rPr>
          <w:spacing w:val="0"/>
          <w:kern w:val="0"/>
          <w:sz w:val="20"/>
          <w:rtl/>
          <w:lang w:val="fr-CH"/>
        </w:rPr>
        <w:t xml:space="preserve">، </w:t>
      </w:r>
      <w:r w:rsidRPr="00523D40">
        <w:rPr>
          <w:rFonts w:hint="cs"/>
          <w:spacing w:val="0"/>
          <w:kern w:val="0"/>
          <w:sz w:val="20"/>
          <w:rtl/>
          <w:lang w:val="fr-CH"/>
        </w:rPr>
        <w:t xml:space="preserve">وإنه كان يذهب </w:t>
      </w:r>
      <w:r w:rsidRPr="00523D40">
        <w:rPr>
          <w:spacing w:val="0"/>
          <w:kern w:val="0"/>
          <w:sz w:val="20"/>
          <w:rtl/>
          <w:lang w:val="fr-CH"/>
        </w:rPr>
        <w:t>أحياناً إلى أ</w:t>
      </w:r>
      <w:r w:rsidRPr="00523D40">
        <w:rPr>
          <w:rFonts w:hint="cs"/>
          <w:spacing w:val="0"/>
          <w:kern w:val="0"/>
          <w:sz w:val="20"/>
          <w:rtl/>
          <w:lang w:val="fr-CH"/>
        </w:rPr>
        <w:t>غ</w:t>
      </w:r>
      <w:r w:rsidRPr="00523D40">
        <w:rPr>
          <w:spacing w:val="0"/>
          <w:kern w:val="0"/>
          <w:sz w:val="20"/>
          <w:rtl/>
          <w:lang w:val="fr-CH"/>
        </w:rPr>
        <w:t>وي</w:t>
      </w:r>
      <w:r w:rsidRPr="00523D40">
        <w:rPr>
          <w:rFonts w:hint="cs"/>
          <w:spacing w:val="0"/>
          <w:kern w:val="0"/>
          <w:sz w:val="20"/>
          <w:rtl/>
          <w:lang w:val="fr-CH"/>
        </w:rPr>
        <w:t>غ</w:t>
      </w:r>
      <w:r w:rsidRPr="00523D40">
        <w:rPr>
          <w:spacing w:val="0"/>
          <w:kern w:val="0"/>
          <w:sz w:val="20"/>
          <w:rtl/>
          <w:lang w:val="fr-CH"/>
        </w:rPr>
        <w:t>ان</w:t>
      </w:r>
      <w:r w:rsidRPr="00523D40">
        <w:rPr>
          <w:rFonts w:hint="cs"/>
          <w:spacing w:val="0"/>
          <w:kern w:val="0"/>
          <w:sz w:val="20"/>
          <w:rtl/>
          <w:lang w:val="fr-CH"/>
        </w:rPr>
        <w:t>، وإنه هرب مرة أخرى إلى</w:t>
      </w:r>
      <w:r w:rsidRPr="00523D40">
        <w:rPr>
          <w:spacing w:val="0"/>
          <w:kern w:val="0"/>
          <w:sz w:val="20"/>
          <w:rtl/>
          <w:lang w:val="fr-CH"/>
        </w:rPr>
        <w:t xml:space="preserve"> بنن بعد عودته في عام 2002 </w:t>
      </w:r>
      <w:r w:rsidRPr="00523D40">
        <w:rPr>
          <w:rFonts w:hint="cs"/>
          <w:spacing w:val="0"/>
          <w:kern w:val="0"/>
          <w:sz w:val="20"/>
          <w:rtl/>
          <w:lang w:val="fr-CH"/>
        </w:rPr>
        <w:t xml:space="preserve">وأمضى </w:t>
      </w:r>
      <w:r w:rsidRPr="00523D40">
        <w:rPr>
          <w:spacing w:val="0"/>
          <w:kern w:val="0"/>
          <w:sz w:val="20"/>
          <w:rtl/>
          <w:lang w:val="fr-CH"/>
        </w:rPr>
        <w:t>ستة أشهر</w:t>
      </w:r>
      <w:r w:rsidRPr="00523D40">
        <w:rPr>
          <w:rFonts w:hint="cs"/>
          <w:spacing w:val="0"/>
          <w:kern w:val="0"/>
          <w:sz w:val="20"/>
          <w:rtl/>
          <w:lang w:val="fr-CH"/>
        </w:rPr>
        <w:t xml:space="preserve"> بها</w:t>
      </w:r>
      <w:r w:rsidRPr="00523D40">
        <w:rPr>
          <w:spacing w:val="0"/>
          <w:kern w:val="0"/>
          <w:sz w:val="20"/>
          <w:rtl/>
          <w:lang w:val="fr-CH"/>
        </w:rPr>
        <w:t xml:space="preserve">. وقال </w:t>
      </w:r>
      <w:r w:rsidRPr="00523D40">
        <w:rPr>
          <w:rFonts w:hint="cs"/>
          <w:spacing w:val="0"/>
          <w:kern w:val="0"/>
          <w:sz w:val="20"/>
          <w:rtl/>
          <w:lang w:val="fr-CH"/>
        </w:rPr>
        <w:t xml:space="preserve">أيضا </w:t>
      </w:r>
      <w:r w:rsidRPr="00523D40">
        <w:rPr>
          <w:spacing w:val="0"/>
          <w:kern w:val="0"/>
          <w:sz w:val="20"/>
          <w:rtl/>
          <w:lang w:val="fr-CH"/>
        </w:rPr>
        <w:t xml:space="preserve">في البداية </w:t>
      </w:r>
      <w:r w:rsidRPr="00523D40">
        <w:rPr>
          <w:rFonts w:hint="cs"/>
          <w:spacing w:val="0"/>
          <w:kern w:val="0"/>
          <w:sz w:val="20"/>
          <w:rtl/>
          <w:lang w:val="fr-CH"/>
        </w:rPr>
        <w:t>إ</w:t>
      </w:r>
      <w:r w:rsidRPr="00523D40">
        <w:rPr>
          <w:spacing w:val="0"/>
          <w:kern w:val="0"/>
          <w:sz w:val="20"/>
          <w:rtl/>
          <w:lang w:val="fr-CH"/>
        </w:rPr>
        <w:t xml:space="preserve">ن السيد </w:t>
      </w:r>
      <w:r w:rsidRPr="00523D40">
        <w:rPr>
          <w:rFonts w:hint="cs"/>
          <w:spacing w:val="0"/>
          <w:kern w:val="0"/>
          <w:sz w:val="20"/>
          <w:rtl/>
          <w:lang w:val="fr-CH"/>
        </w:rPr>
        <w:t xml:space="preserve">ﻫ. و. </w:t>
      </w:r>
      <w:r w:rsidRPr="00523D40">
        <w:rPr>
          <w:spacing w:val="0"/>
          <w:kern w:val="0"/>
          <w:sz w:val="20"/>
          <w:rtl/>
          <w:lang w:val="fr-CH"/>
        </w:rPr>
        <w:t xml:space="preserve">أولمبيو </w:t>
      </w:r>
      <w:r w:rsidRPr="00523D40">
        <w:rPr>
          <w:rFonts w:hint="cs"/>
          <w:spacing w:val="0"/>
          <w:kern w:val="0"/>
          <w:sz w:val="20"/>
          <w:rtl/>
          <w:lang w:val="fr-CH"/>
        </w:rPr>
        <w:t>منحه تصريحاً ثم قال بعد ذلك إنه فقد حافظة نقوده التي كانت تحتوي على التصريح والبطاقة المشار إليها أ</w:t>
      </w:r>
      <w:r w:rsidRPr="00523D40">
        <w:rPr>
          <w:spacing w:val="0"/>
          <w:kern w:val="0"/>
          <w:sz w:val="20"/>
          <w:rtl/>
          <w:lang w:val="fr-CH"/>
        </w:rPr>
        <w:t>علاه.</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4-10</w:t>
      </w:r>
      <w:r w:rsidRPr="00523D40">
        <w:rPr>
          <w:rFonts w:hint="cs"/>
          <w:spacing w:val="0"/>
          <w:kern w:val="0"/>
          <w:sz w:val="20"/>
          <w:rtl/>
          <w:lang w:val="fr-CH"/>
        </w:rPr>
        <w:tab/>
        <w:t>و</w:t>
      </w:r>
      <w:r w:rsidRPr="00523D40">
        <w:rPr>
          <w:spacing w:val="0"/>
          <w:kern w:val="0"/>
          <w:sz w:val="20"/>
          <w:rtl/>
          <w:lang w:val="fr-CH"/>
        </w:rPr>
        <w:t xml:space="preserve">فيما يتعلق بالأحداث المحيطة </w:t>
      </w:r>
      <w:r w:rsidRPr="00523D40">
        <w:rPr>
          <w:rFonts w:hint="cs"/>
          <w:spacing w:val="0"/>
          <w:kern w:val="0"/>
          <w:sz w:val="20"/>
          <w:rtl/>
          <w:lang w:val="fr-CH"/>
        </w:rPr>
        <w:t>ب</w:t>
      </w:r>
      <w:r w:rsidRPr="00523D40">
        <w:rPr>
          <w:spacing w:val="0"/>
          <w:kern w:val="0"/>
          <w:sz w:val="20"/>
          <w:rtl/>
          <w:lang w:val="fr-CH"/>
        </w:rPr>
        <w:t xml:space="preserve">الانتخابات </w:t>
      </w:r>
      <w:r w:rsidRPr="00523D40">
        <w:rPr>
          <w:rFonts w:hint="cs"/>
          <w:spacing w:val="0"/>
          <w:kern w:val="0"/>
          <w:sz w:val="20"/>
          <w:rtl/>
          <w:lang w:val="fr-CH"/>
        </w:rPr>
        <w:t xml:space="preserve">التي جرت </w:t>
      </w:r>
      <w:r w:rsidRPr="00523D40">
        <w:rPr>
          <w:spacing w:val="0"/>
          <w:kern w:val="0"/>
          <w:sz w:val="20"/>
          <w:rtl/>
          <w:lang w:val="fr-CH"/>
        </w:rPr>
        <w:t>في عام 2003 والاجتماع</w:t>
      </w:r>
      <w:r w:rsidRPr="00523D40">
        <w:rPr>
          <w:rFonts w:hint="cs"/>
          <w:spacing w:val="0"/>
          <w:kern w:val="0"/>
          <w:sz w:val="20"/>
          <w:rtl/>
          <w:lang w:val="fr-CH"/>
        </w:rPr>
        <w:t xml:space="preserve"> الذي نظمه حزب اتحاد القوى من أجل التغيير في </w:t>
      </w:r>
      <w:r w:rsidRPr="00523D40">
        <w:rPr>
          <w:spacing w:val="0"/>
          <w:kern w:val="0"/>
          <w:sz w:val="20"/>
          <w:rtl/>
          <w:lang w:val="fr-CH"/>
        </w:rPr>
        <w:t xml:space="preserve">16 </w:t>
      </w:r>
      <w:r w:rsidRPr="00523D40">
        <w:rPr>
          <w:rFonts w:hint="cs"/>
          <w:spacing w:val="0"/>
          <w:kern w:val="0"/>
          <w:sz w:val="20"/>
          <w:rtl/>
          <w:lang w:val="fr-CH"/>
        </w:rPr>
        <w:t>نيسان/</w:t>
      </w:r>
      <w:r w:rsidRPr="00523D40">
        <w:rPr>
          <w:spacing w:val="0"/>
          <w:kern w:val="0"/>
          <w:sz w:val="20"/>
          <w:rtl/>
          <w:lang w:val="fr-CH"/>
        </w:rPr>
        <w:t>أبريل 2005، تلاحظ الدولة الطرف أن</w:t>
      </w:r>
      <w:r w:rsidRPr="00523D40">
        <w:rPr>
          <w:rFonts w:hint="cs"/>
          <w:spacing w:val="0"/>
          <w:kern w:val="0"/>
          <w:sz w:val="20"/>
          <w:rtl/>
          <w:lang w:val="fr-CH"/>
        </w:rPr>
        <w:t xml:space="preserve"> ه</w:t>
      </w:r>
      <w:r w:rsidRPr="00523D40">
        <w:rPr>
          <w:spacing w:val="0"/>
          <w:kern w:val="0"/>
          <w:sz w:val="20"/>
          <w:rtl/>
          <w:lang w:val="fr-CH"/>
        </w:rPr>
        <w:t>ذه العناصر</w:t>
      </w:r>
      <w:r w:rsidRPr="00523D40">
        <w:rPr>
          <w:rFonts w:hint="cs"/>
          <w:spacing w:val="0"/>
          <w:kern w:val="0"/>
          <w:sz w:val="20"/>
          <w:rtl/>
          <w:lang w:val="fr-CH"/>
        </w:rPr>
        <w:t>،</w:t>
      </w:r>
      <w:r w:rsidRPr="00523D40">
        <w:rPr>
          <w:spacing w:val="0"/>
          <w:kern w:val="0"/>
          <w:sz w:val="20"/>
          <w:rtl/>
          <w:lang w:val="fr-CH"/>
        </w:rPr>
        <w:t xml:space="preserve"> </w:t>
      </w:r>
      <w:r w:rsidRPr="00523D40">
        <w:rPr>
          <w:rFonts w:hint="cs"/>
          <w:spacing w:val="0"/>
          <w:kern w:val="0"/>
          <w:sz w:val="20"/>
          <w:rtl/>
          <w:lang w:val="fr-CH"/>
        </w:rPr>
        <w:t>ال</w:t>
      </w:r>
      <w:r w:rsidRPr="00523D40">
        <w:rPr>
          <w:spacing w:val="0"/>
          <w:kern w:val="0"/>
          <w:sz w:val="20"/>
          <w:rtl/>
          <w:lang w:val="fr-CH"/>
        </w:rPr>
        <w:t>حاسم</w:t>
      </w:r>
      <w:r w:rsidRPr="00523D40">
        <w:rPr>
          <w:rFonts w:hint="cs"/>
          <w:spacing w:val="0"/>
          <w:kern w:val="0"/>
          <w:sz w:val="20"/>
          <w:rtl/>
          <w:lang w:val="fr-CH"/>
        </w:rPr>
        <w:t>ة</w:t>
      </w:r>
      <w:r w:rsidRPr="00523D40">
        <w:rPr>
          <w:spacing w:val="0"/>
          <w:kern w:val="0"/>
          <w:sz w:val="20"/>
          <w:rtl/>
          <w:lang w:val="fr-CH"/>
        </w:rPr>
        <w:t xml:space="preserve"> </w:t>
      </w:r>
      <w:r w:rsidRPr="00523D40">
        <w:rPr>
          <w:rFonts w:hint="cs"/>
          <w:spacing w:val="0"/>
          <w:kern w:val="0"/>
          <w:sz w:val="20"/>
          <w:rtl/>
          <w:lang w:val="fr-CH"/>
        </w:rPr>
        <w:t xml:space="preserve">بوضوح بالنسبة لصاحب الشكوى، لم تقدم إلا </w:t>
      </w:r>
      <w:r w:rsidRPr="00523D40">
        <w:rPr>
          <w:spacing w:val="0"/>
          <w:kern w:val="0"/>
          <w:sz w:val="20"/>
          <w:rtl/>
          <w:lang w:val="fr-CH"/>
        </w:rPr>
        <w:t xml:space="preserve">في مرحلة </w:t>
      </w:r>
      <w:r w:rsidRPr="00523D40">
        <w:rPr>
          <w:rFonts w:hint="cs"/>
          <w:spacing w:val="0"/>
          <w:kern w:val="0"/>
          <w:sz w:val="20"/>
          <w:rtl/>
          <w:lang w:val="fr-CH"/>
        </w:rPr>
        <w:t xml:space="preserve">لاحقة </w:t>
      </w:r>
      <w:r w:rsidRPr="00523D40">
        <w:rPr>
          <w:spacing w:val="0"/>
          <w:kern w:val="0"/>
          <w:sz w:val="20"/>
          <w:rtl/>
          <w:lang w:val="fr-CH"/>
        </w:rPr>
        <w:t xml:space="preserve">من الإجراءات. </w:t>
      </w:r>
      <w:r w:rsidRPr="00523D40">
        <w:rPr>
          <w:rFonts w:hint="cs"/>
          <w:spacing w:val="0"/>
          <w:kern w:val="0"/>
          <w:sz w:val="20"/>
          <w:rtl/>
          <w:lang w:val="fr-CH"/>
        </w:rPr>
        <w:t xml:space="preserve">ولا يمكن تفسير </w:t>
      </w:r>
      <w:r w:rsidRPr="00523D40">
        <w:rPr>
          <w:spacing w:val="0"/>
          <w:kern w:val="0"/>
          <w:sz w:val="20"/>
          <w:rtl/>
          <w:lang w:val="fr-CH"/>
        </w:rPr>
        <w:t xml:space="preserve">أوجه التضارب والتناقض </w:t>
      </w:r>
      <w:r w:rsidRPr="00523D40">
        <w:rPr>
          <w:rFonts w:hint="cs"/>
          <w:spacing w:val="0"/>
          <w:kern w:val="0"/>
          <w:sz w:val="20"/>
          <w:rtl/>
          <w:lang w:val="fr-CH"/>
        </w:rPr>
        <w:t>هذه بوجه معقول بالحالة التي يوجد فيها ال</w:t>
      </w:r>
      <w:r w:rsidRPr="00523D40">
        <w:rPr>
          <w:spacing w:val="0"/>
          <w:kern w:val="0"/>
          <w:sz w:val="20"/>
          <w:rtl/>
          <w:lang w:val="fr-CH"/>
        </w:rPr>
        <w:t xml:space="preserve">شخص </w:t>
      </w:r>
      <w:r w:rsidRPr="00523D40">
        <w:rPr>
          <w:rFonts w:hint="cs"/>
          <w:spacing w:val="0"/>
          <w:kern w:val="0"/>
          <w:sz w:val="20"/>
          <w:rtl/>
          <w:lang w:val="fr-CH"/>
        </w:rPr>
        <w:t>المطارد</w:t>
      </w:r>
      <w:r w:rsidRPr="00523D40">
        <w:rPr>
          <w:spacing w:val="0"/>
          <w:kern w:val="0"/>
          <w:sz w:val="20"/>
          <w:rtl/>
          <w:lang w:val="fr-CH"/>
        </w:rPr>
        <w:t xml:space="preserve">. </w:t>
      </w:r>
      <w:r w:rsidRPr="00523D40">
        <w:rPr>
          <w:rFonts w:hint="cs"/>
          <w:spacing w:val="0"/>
          <w:kern w:val="0"/>
          <w:sz w:val="20"/>
          <w:rtl/>
          <w:lang w:val="fr-CH"/>
        </w:rPr>
        <w:t>وهى تتعلق أيضاً ب</w:t>
      </w:r>
      <w:r w:rsidRPr="00523D40">
        <w:rPr>
          <w:spacing w:val="0"/>
          <w:kern w:val="0"/>
          <w:sz w:val="20"/>
          <w:rtl/>
          <w:lang w:val="fr-CH"/>
        </w:rPr>
        <w:t xml:space="preserve">نقاط أساسية </w:t>
      </w:r>
      <w:r w:rsidRPr="00523D40">
        <w:rPr>
          <w:rFonts w:hint="cs"/>
          <w:spacing w:val="0"/>
          <w:kern w:val="0"/>
          <w:sz w:val="20"/>
          <w:rtl/>
          <w:lang w:val="fr-CH"/>
        </w:rPr>
        <w:t xml:space="preserve">لم يوضحها صاحب الشكوى بطريقة </w:t>
      </w:r>
      <w:r w:rsidRPr="00523D40">
        <w:rPr>
          <w:spacing w:val="0"/>
          <w:kern w:val="0"/>
          <w:sz w:val="20"/>
          <w:rtl/>
          <w:lang w:val="fr-CH"/>
        </w:rPr>
        <w:t>معقول</w:t>
      </w:r>
      <w:r w:rsidRPr="00523D40">
        <w:rPr>
          <w:rFonts w:hint="cs"/>
          <w:spacing w:val="0"/>
          <w:kern w:val="0"/>
          <w:sz w:val="20"/>
          <w:rtl/>
          <w:lang w:val="fr-CH"/>
        </w:rPr>
        <w:t>ة</w:t>
      </w:r>
      <w:r w:rsidRPr="00523D40">
        <w:rPr>
          <w:spacing w:val="0"/>
          <w:kern w:val="0"/>
          <w:sz w:val="20"/>
          <w:rtl/>
          <w:lang w:val="fr-CH"/>
        </w:rPr>
        <w:t xml:space="preserve">. </w:t>
      </w:r>
      <w:r w:rsidRPr="00523D40">
        <w:rPr>
          <w:rFonts w:hint="cs"/>
          <w:spacing w:val="0"/>
          <w:kern w:val="0"/>
          <w:sz w:val="20"/>
          <w:rtl/>
          <w:lang w:val="fr-CH"/>
        </w:rPr>
        <w:t xml:space="preserve">فليست هناك </w:t>
      </w:r>
      <w:r w:rsidRPr="00523D40">
        <w:rPr>
          <w:spacing w:val="0"/>
          <w:kern w:val="0"/>
          <w:sz w:val="20"/>
          <w:rtl/>
          <w:lang w:val="fr-CH"/>
        </w:rPr>
        <w:t xml:space="preserve">أسباب </w:t>
      </w:r>
      <w:r w:rsidRPr="00523D40">
        <w:rPr>
          <w:rFonts w:hint="cs"/>
          <w:spacing w:val="0"/>
          <w:kern w:val="0"/>
          <w:sz w:val="20"/>
          <w:rtl/>
          <w:lang w:val="fr-CH"/>
        </w:rPr>
        <w:t>حقيق</w:t>
      </w:r>
      <w:r w:rsidR="006748CB">
        <w:rPr>
          <w:rFonts w:hint="cs"/>
          <w:spacing w:val="0"/>
          <w:kern w:val="0"/>
          <w:sz w:val="20"/>
          <w:rtl/>
          <w:lang w:val="fr-CH"/>
        </w:rPr>
        <w:t>ي</w:t>
      </w:r>
      <w:r w:rsidRPr="00523D40">
        <w:rPr>
          <w:rFonts w:hint="cs"/>
          <w:spacing w:val="0"/>
          <w:kern w:val="0"/>
          <w:sz w:val="20"/>
          <w:rtl/>
          <w:lang w:val="fr-CH"/>
        </w:rPr>
        <w:t>ة تدعو إلى ا</w:t>
      </w:r>
      <w:r w:rsidRPr="00523D40">
        <w:rPr>
          <w:spacing w:val="0"/>
          <w:kern w:val="0"/>
          <w:sz w:val="20"/>
          <w:rtl/>
          <w:lang w:val="fr-CH"/>
        </w:rPr>
        <w:t xml:space="preserve">لاعتقاد بأن </w:t>
      </w:r>
      <w:r w:rsidRPr="00523D40">
        <w:rPr>
          <w:rFonts w:hint="cs"/>
          <w:spacing w:val="0"/>
          <w:kern w:val="0"/>
          <w:sz w:val="20"/>
          <w:rtl/>
          <w:lang w:val="fr-CH"/>
        </w:rPr>
        <w:t xml:space="preserve">صاحب الشكوى سيكون في </w:t>
      </w:r>
      <w:r w:rsidRPr="00523D40">
        <w:rPr>
          <w:spacing w:val="0"/>
          <w:kern w:val="0"/>
          <w:sz w:val="20"/>
          <w:rtl/>
          <w:lang w:val="fr-CH"/>
        </w:rPr>
        <w:t xml:space="preserve">خطر التعرض للتعذيب </w:t>
      </w:r>
      <w:r w:rsidRPr="00523D40">
        <w:rPr>
          <w:rFonts w:hint="cs"/>
          <w:spacing w:val="0"/>
          <w:kern w:val="0"/>
          <w:sz w:val="20"/>
          <w:rtl/>
          <w:lang w:val="fr-CH"/>
        </w:rPr>
        <w:t xml:space="preserve">في حالة </w:t>
      </w:r>
      <w:r w:rsidRPr="00523D40">
        <w:rPr>
          <w:spacing w:val="0"/>
          <w:kern w:val="0"/>
          <w:sz w:val="20"/>
          <w:rtl/>
          <w:lang w:val="fr-CH"/>
        </w:rPr>
        <w:t>عودته إلى توغو.</w:t>
      </w:r>
    </w:p>
    <w:p w:rsidR="00523D40" w:rsidRPr="00523D40" w:rsidRDefault="00523D40" w:rsidP="00523D40">
      <w:pPr>
        <w:pStyle w:val="H23GA"/>
        <w:keepNext/>
        <w:keepLines/>
        <w:jc w:val="lowKashida"/>
        <w:rPr>
          <w:rFonts w:hint="cs"/>
          <w:spacing w:val="0"/>
          <w:kern w:val="0"/>
          <w:sz w:val="20"/>
          <w:rtl/>
          <w:lang w:val="fr-CH"/>
        </w:rPr>
      </w:pPr>
      <w:r w:rsidRPr="00523D40">
        <w:rPr>
          <w:rFonts w:hint="cs"/>
          <w:spacing w:val="0"/>
          <w:kern w:val="0"/>
          <w:sz w:val="20"/>
          <w:rtl/>
          <w:lang w:val="fr-CH"/>
        </w:rPr>
        <w:tab/>
      </w:r>
      <w:r w:rsidRPr="00523D40">
        <w:rPr>
          <w:rFonts w:hint="cs"/>
          <w:spacing w:val="0"/>
          <w:kern w:val="0"/>
          <w:sz w:val="20"/>
          <w:rtl/>
          <w:lang w:val="fr-CH"/>
        </w:rPr>
        <w:tab/>
        <w:t>تعليقات صاحب الشكوى على ملاحظات الدولة الطرف</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5-1</w:t>
      </w:r>
      <w:r w:rsidRPr="00523D40">
        <w:rPr>
          <w:rFonts w:hint="cs"/>
          <w:spacing w:val="0"/>
          <w:kern w:val="0"/>
          <w:sz w:val="20"/>
          <w:rtl/>
          <w:lang w:val="fr-CH"/>
        </w:rPr>
        <w:tab/>
        <w:t>في 14 حزيران/</w:t>
      </w:r>
      <w:r w:rsidRPr="00523D40">
        <w:rPr>
          <w:spacing w:val="0"/>
          <w:kern w:val="0"/>
          <w:sz w:val="20"/>
          <w:rtl/>
          <w:lang w:val="fr-CH"/>
        </w:rPr>
        <w:t>يوني</w:t>
      </w:r>
      <w:r w:rsidRPr="00523D40">
        <w:rPr>
          <w:rFonts w:hint="cs"/>
          <w:spacing w:val="0"/>
          <w:kern w:val="0"/>
          <w:sz w:val="20"/>
          <w:rtl/>
          <w:lang w:val="fr-CH"/>
        </w:rPr>
        <w:t>ه</w:t>
      </w:r>
      <w:r w:rsidRPr="00523D40">
        <w:rPr>
          <w:spacing w:val="0"/>
          <w:kern w:val="0"/>
          <w:sz w:val="20"/>
          <w:rtl/>
          <w:lang w:val="fr-CH"/>
        </w:rPr>
        <w:t xml:space="preserve"> 2010، </w:t>
      </w:r>
      <w:r w:rsidRPr="00523D40">
        <w:rPr>
          <w:rFonts w:hint="cs"/>
          <w:spacing w:val="0"/>
          <w:kern w:val="0"/>
          <w:sz w:val="20"/>
          <w:rtl/>
          <w:lang w:val="fr-CH"/>
        </w:rPr>
        <w:t>أكد</w:t>
      </w:r>
      <w:r w:rsidRPr="00523D40">
        <w:rPr>
          <w:spacing w:val="0"/>
          <w:kern w:val="0"/>
          <w:sz w:val="20"/>
          <w:rtl/>
          <w:lang w:val="fr-CH"/>
        </w:rPr>
        <w:t xml:space="preserve"> صاحب </w:t>
      </w:r>
      <w:r w:rsidRPr="00523D40">
        <w:rPr>
          <w:rFonts w:hint="cs"/>
          <w:spacing w:val="0"/>
          <w:kern w:val="0"/>
          <w:sz w:val="20"/>
          <w:rtl/>
          <w:lang w:val="fr-CH"/>
        </w:rPr>
        <w:t xml:space="preserve">الشكوى </w:t>
      </w:r>
      <w:r w:rsidRPr="00523D40">
        <w:rPr>
          <w:spacing w:val="0"/>
          <w:kern w:val="0"/>
          <w:sz w:val="20"/>
          <w:rtl/>
          <w:lang w:val="fr-CH"/>
        </w:rPr>
        <w:t xml:space="preserve">أن القمع </w:t>
      </w:r>
      <w:r w:rsidRPr="00523D40">
        <w:rPr>
          <w:rFonts w:hint="cs"/>
          <w:spacing w:val="0"/>
          <w:kern w:val="0"/>
          <w:sz w:val="20"/>
          <w:rtl/>
          <w:lang w:val="fr-CH"/>
        </w:rPr>
        <w:t xml:space="preserve">الذي يمارس </w:t>
      </w:r>
      <w:r w:rsidRPr="00523D40">
        <w:rPr>
          <w:spacing w:val="0"/>
          <w:kern w:val="0"/>
          <w:sz w:val="20"/>
          <w:rtl/>
          <w:lang w:val="fr-CH"/>
        </w:rPr>
        <w:t>ضد</w:t>
      </w:r>
      <w:r w:rsidRPr="00523D40">
        <w:rPr>
          <w:rFonts w:hint="cs"/>
          <w:spacing w:val="0"/>
          <w:kern w:val="0"/>
          <w:sz w:val="20"/>
          <w:rtl/>
          <w:lang w:val="fr-CH"/>
        </w:rPr>
        <w:t xml:space="preserve"> الأ</w:t>
      </w:r>
      <w:r w:rsidRPr="00523D40">
        <w:rPr>
          <w:spacing w:val="0"/>
          <w:kern w:val="0"/>
          <w:sz w:val="20"/>
          <w:rtl/>
          <w:lang w:val="fr-CH"/>
        </w:rPr>
        <w:t xml:space="preserve">عضاء </w:t>
      </w:r>
      <w:r w:rsidRPr="00523D40">
        <w:rPr>
          <w:rFonts w:hint="cs"/>
          <w:spacing w:val="0"/>
          <w:kern w:val="0"/>
          <w:sz w:val="20"/>
          <w:rtl/>
          <w:lang w:val="fr-CH"/>
        </w:rPr>
        <w:t xml:space="preserve">في حزب اتحاد القوى من أجل التغيير لا يزال مستمراً. فوفقاً لمنظمة العفو الدولية، تم في عشية </w:t>
      </w:r>
      <w:r w:rsidRPr="00523D40">
        <w:rPr>
          <w:spacing w:val="0"/>
          <w:kern w:val="0"/>
          <w:sz w:val="20"/>
          <w:rtl/>
          <w:lang w:val="fr-CH"/>
        </w:rPr>
        <w:t xml:space="preserve">انتخابات الرئاسة </w:t>
      </w:r>
      <w:r w:rsidRPr="00523D40">
        <w:rPr>
          <w:rFonts w:hint="cs"/>
          <w:spacing w:val="0"/>
          <w:kern w:val="0"/>
          <w:sz w:val="20"/>
          <w:rtl/>
          <w:lang w:val="fr-CH"/>
        </w:rPr>
        <w:t xml:space="preserve">التي أجريت </w:t>
      </w:r>
      <w:r w:rsidRPr="00523D40">
        <w:rPr>
          <w:spacing w:val="0"/>
          <w:kern w:val="0"/>
          <w:sz w:val="20"/>
          <w:rtl/>
          <w:lang w:val="fr-CH"/>
        </w:rPr>
        <w:t xml:space="preserve">في 4 </w:t>
      </w:r>
      <w:r w:rsidRPr="00523D40">
        <w:rPr>
          <w:rFonts w:hint="cs"/>
          <w:spacing w:val="0"/>
          <w:kern w:val="0"/>
          <w:sz w:val="20"/>
          <w:rtl/>
          <w:lang w:val="fr-CH"/>
        </w:rPr>
        <w:t>آذار/</w:t>
      </w:r>
      <w:r w:rsidRPr="00523D40">
        <w:rPr>
          <w:spacing w:val="0"/>
          <w:kern w:val="0"/>
          <w:sz w:val="20"/>
          <w:rtl/>
          <w:lang w:val="fr-CH"/>
        </w:rPr>
        <w:t>مارس</w:t>
      </w:r>
      <w:r w:rsidRPr="00523D40">
        <w:rPr>
          <w:rFonts w:hint="cs"/>
          <w:spacing w:val="0"/>
          <w:kern w:val="0"/>
          <w:sz w:val="20"/>
          <w:rtl/>
          <w:lang w:val="fr-CH"/>
        </w:rPr>
        <w:t xml:space="preserve"> </w:t>
      </w:r>
      <w:r w:rsidRPr="00523D40">
        <w:rPr>
          <w:spacing w:val="0"/>
          <w:kern w:val="0"/>
          <w:sz w:val="20"/>
          <w:rtl/>
          <w:lang w:val="fr-CH"/>
        </w:rPr>
        <w:t>2010 القبض على عضوين من حزب المعارضة و</w:t>
      </w:r>
      <w:r w:rsidRPr="00523D40">
        <w:rPr>
          <w:rFonts w:hint="cs"/>
          <w:spacing w:val="0"/>
          <w:kern w:val="0"/>
          <w:sz w:val="20"/>
          <w:rtl/>
          <w:lang w:val="fr-CH"/>
        </w:rPr>
        <w:t xml:space="preserve">اثني عشر </w:t>
      </w:r>
      <w:r w:rsidRPr="00523D40">
        <w:rPr>
          <w:spacing w:val="0"/>
          <w:kern w:val="0"/>
          <w:sz w:val="20"/>
          <w:rtl/>
          <w:lang w:val="fr-CH"/>
        </w:rPr>
        <w:t xml:space="preserve">من الناشطين </w:t>
      </w:r>
      <w:r w:rsidRPr="00523D40">
        <w:rPr>
          <w:rFonts w:hint="cs"/>
          <w:spacing w:val="0"/>
          <w:kern w:val="0"/>
          <w:sz w:val="20"/>
          <w:rtl/>
          <w:lang w:val="fr-CH"/>
        </w:rPr>
        <w:t>الآخرين بتهمة تعريض أمن الدولة للخطر</w:t>
      </w:r>
      <w:r w:rsidRPr="00523D40">
        <w:rPr>
          <w:spacing w:val="0"/>
          <w:kern w:val="0"/>
          <w:sz w:val="20"/>
          <w:rtl/>
          <w:lang w:val="fr-CH"/>
        </w:rPr>
        <w:t xml:space="preserve">. </w:t>
      </w:r>
      <w:r w:rsidRPr="00523D40">
        <w:rPr>
          <w:rFonts w:hint="cs"/>
          <w:spacing w:val="0"/>
          <w:kern w:val="0"/>
          <w:sz w:val="20"/>
          <w:rtl/>
          <w:lang w:val="fr-CH"/>
        </w:rPr>
        <w:t xml:space="preserve">وفي </w:t>
      </w:r>
      <w:r w:rsidRPr="00523D40">
        <w:rPr>
          <w:spacing w:val="0"/>
          <w:kern w:val="0"/>
          <w:sz w:val="20"/>
          <w:rtl/>
          <w:lang w:val="fr-CH"/>
        </w:rPr>
        <w:t xml:space="preserve">8 </w:t>
      </w:r>
      <w:r w:rsidRPr="00523D40">
        <w:rPr>
          <w:rFonts w:hint="cs"/>
          <w:spacing w:val="0"/>
          <w:kern w:val="0"/>
          <w:sz w:val="20"/>
          <w:rtl/>
          <w:lang w:val="fr-CH"/>
        </w:rPr>
        <w:t>آذار/</w:t>
      </w:r>
      <w:r w:rsidRPr="00523D40">
        <w:rPr>
          <w:spacing w:val="0"/>
          <w:kern w:val="0"/>
          <w:sz w:val="20"/>
          <w:rtl/>
          <w:lang w:val="fr-CH"/>
        </w:rPr>
        <w:t xml:space="preserve">مارس 2010، </w:t>
      </w:r>
      <w:r w:rsidRPr="00523D40">
        <w:rPr>
          <w:rFonts w:hint="cs"/>
          <w:spacing w:val="0"/>
          <w:kern w:val="0"/>
          <w:sz w:val="20"/>
          <w:rtl/>
          <w:lang w:val="fr-CH"/>
        </w:rPr>
        <w:t xml:space="preserve">منعت </w:t>
      </w:r>
      <w:r w:rsidRPr="00523D40">
        <w:rPr>
          <w:spacing w:val="0"/>
          <w:kern w:val="0"/>
          <w:sz w:val="20"/>
          <w:rtl/>
          <w:lang w:val="fr-CH"/>
        </w:rPr>
        <w:t xml:space="preserve">الحكومة </w:t>
      </w:r>
      <w:r w:rsidRPr="00523D40">
        <w:rPr>
          <w:rFonts w:hint="cs"/>
          <w:spacing w:val="0"/>
          <w:kern w:val="0"/>
          <w:sz w:val="20"/>
          <w:rtl/>
          <w:lang w:val="fr-CH"/>
        </w:rPr>
        <w:t>المظاهرات في أيام العمل</w:t>
      </w:r>
      <w:r w:rsidRPr="00523D40">
        <w:rPr>
          <w:spacing w:val="0"/>
          <w:kern w:val="0"/>
          <w:sz w:val="20"/>
          <w:rtl/>
          <w:lang w:val="fr-CH"/>
        </w:rPr>
        <w:t xml:space="preserve">. </w:t>
      </w:r>
      <w:r w:rsidRPr="00523D40">
        <w:rPr>
          <w:rFonts w:hint="cs"/>
          <w:spacing w:val="0"/>
          <w:kern w:val="0"/>
          <w:sz w:val="20"/>
          <w:rtl/>
          <w:lang w:val="fr-CH"/>
        </w:rPr>
        <w:t xml:space="preserve">وفي </w:t>
      </w:r>
      <w:r w:rsidRPr="00523D40">
        <w:rPr>
          <w:spacing w:val="0"/>
          <w:kern w:val="0"/>
          <w:sz w:val="20"/>
          <w:rtl/>
          <w:lang w:val="fr-CH"/>
        </w:rPr>
        <w:t xml:space="preserve">9 </w:t>
      </w:r>
      <w:r w:rsidRPr="00523D40">
        <w:rPr>
          <w:rFonts w:hint="cs"/>
          <w:spacing w:val="0"/>
          <w:kern w:val="0"/>
          <w:sz w:val="20"/>
          <w:rtl/>
          <w:lang w:val="fr-CH"/>
        </w:rPr>
        <w:t>آذار/مارس</w:t>
      </w:r>
      <w:r w:rsidRPr="00523D40">
        <w:rPr>
          <w:spacing w:val="0"/>
          <w:kern w:val="0"/>
          <w:sz w:val="20"/>
          <w:rtl/>
          <w:lang w:val="fr-CH"/>
        </w:rPr>
        <w:t xml:space="preserve"> 2010، </w:t>
      </w:r>
      <w:r w:rsidRPr="00523D40">
        <w:rPr>
          <w:rFonts w:hint="cs"/>
          <w:spacing w:val="0"/>
          <w:kern w:val="0"/>
          <w:sz w:val="20"/>
          <w:rtl/>
          <w:lang w:val="fr-CH"/>
        </w:rPr>
        <w:t xml:space="preserve">أثناء </w:t>
      </w:r>
      <w:r w:rsidRPr="00523D40">
        <w:rPr>
          <w:spacing w:val="0"/>
          <w:kern w:val="0"/>
          <w:sz w:val="20"/>
          <w:rtl/>
          <w:lang w:val="fr-CH"/>
        </w:rPr>
        <w:t>مسيرة احتجاج</w:t>
      </w:r>
      <w:r w:rsidRPr="00523D40">
        <w:rPr>
          <w:rFonts w:hint="cs"/>
          <w:spacing w:val="0"/>
          <w:kern w:val="0"/>
          <w:sz w:val="20"/>
          <w:rtl/>
          <w:lang w:val="fr-CH"/>
        </w:rPr>
        <w:t>ية</w:t>
      </w:r>
      <w:r w:rsidRPr="00523D40">
        <w:rPr>
          <w:spacing w:val="0"/>
          <w:kern w:val="0"/>
          <w:sz w:val="20"/>
          <w:rtl/>
          <w:lang w:val="fr-CH"/>
        </w:rPr>
        <w:t xml:space="preserve"> ضد المخالفات الانتخابية، ألقي القبض </w:t>
      </w:r>
      <w:r w:rsidRPr="00523D40">
        <w:rPr>
          <w:rFonts w:hint="cs"/>
          <w:spacing w:val="0"/>
          <w:kern w:val="0"/>
          <w:sz w:val="20"/>
          <w:rtl/>
          <w:lang w:val="fr-CH"/>
        </w:rPr>
        <w:t xml:space="preserve">على بعض </w:t>
      </w:r>
      <w:r w:rsidRPr="00523D40">
        <w:rPr>
          <w:spacing w:val="0"/>
          <w:kern w:val="0"/>
          <w:sz w:val="20"/>
          <w:rtl/>
          <w:lang w:val="fr-CH"/>
        </w:rPr>
        <w:t xml:space="preserve">الأعضاء في </w:t>
      </w:r>
      <w:r w:rsidRPr="00523D40">
        <w:rPr>
          <w:rFonts w:hint="cs"/>
          <w:spacing w:val="0"/>
          <w:kern w:val="0"/>
          <w:sz w:val="20"/>
          <w:rtl/>
          <w:lang w:val="fr-CH"/>
        </w:rPr>
        <w:t>حزب اتحاد القوى من أجل التغيير</w:t>
      </w:r>
      <w:r w:rsidRPr="00523D40">
        <w:rPr>
          <w:spacing w:val="0"/>
          <w:kern w:val="0"/>
          <w:sz w:val="20"/>
          <w:rtl/>
          <w:lang w:val="fr-CH"/>
        </w:rPr>
        <w:t>.</w:t>
      </w:r>
      <w:r w:rsidRPr="00523D40">
        <w:rPr>
          <w:rFonts w:hint="cs"/>
          <w:spacing w:val="0"/>
          <w:kern w:val="0"/>
          <w:sz w:val="20"/>
          <w:rtl/>
          <w:lang w:val="fr-CH"/>
        </w:rPr>
        <w:t xml:space="preserve"> وتم الاعتداء على أحد مقرات الحزب وسرقت بعض الأ</w:t>
      </w:r>
      <w:r w:rsidRPr="00523D40">
        <w:rPr>
          <w:spacing w:val="0"/>
          <w:kern w:val="0"/>
          <w:sz w:val="20"/>
          <w:rtl/>
          <w:lang w:val="fr-CH"/>
        </w:rPr>
        <w:t xml:space="preserve">دلة </w:t>
      </w:r>
      <w:r w:rsidRPr="00523D40">
        <w:rPr>
          <w:rFonts w:hint="cs"/>
          <w:spacing w:val="0"/>
          <w:kern w:val="0"/>
          <w:sz w:val="20"/>
          <w:rtl/>
          <w:lang w:val="fr-CH"/>
        </w:rPr>
        <w:t>ال</w:t>
      </w:r>
      <w:r w:rsidRPr="00523D40">
        <w:rPr>
          <w:spacing w:val="0"/>
          <w:kern w:val="0"/>
          <w:sz w:val="20"/>
          <w:rtl/>
          <w:lang w:val="fr-CH"/>
        </w:rPr>
        <w:t xml:space="preserve">مادية </w:t>
      </w:r>
      <w:r w:rsidRPr="00523D40">
        <w:rPr>
          <w:rFonts w:hint="cs"/>
          <w:spacing w:val="0"/>
          <w:kern w:val="0"/>
          <w:sz w:val="20"/>
          <w:rtl/>
          <w:lang w:val="fr-CH"/>
        </w:rPr>
        <w:t>على</w:t>
      </w:r>
      <w:r w:rsidRPr="00523D40">
        <w:rPr>
          <w:spacing w:val="0"/>
          <w:kern w:val="0"/>
          <w:sz w:val="20"/>
          <w:rtl/>
          <w:lang w:val="fr-CH"/>
        </w:rPr>
        <w:t xml:space="preserve"> الاحتيال</w:t>
      </w:r>
      <w:r w:rsidRPr="00523D40">
        <w:rPr>
          <w:rFonts w:hint="cs"/>
          <w:spacing w:val="0"/>
          <w:kern w:val="0"/>
          <w:sz w:val="20"/>
          <w:rtl/>
          <w:lang w:val="fr-CH"/>
        </w:rPr>
        <w:t xml:space="preserve">. </w:t>
      </w:r>
      <w:r w:rsidRPr="00523D40">
        <w:rPr>
          <w:spacing w:val="0"/>
          <w:kern w:val="0"/>
          <w:sz w:val="20"/>
          <w:rtl/>
          <w:lang w:val="fr-CH"/>
        </w:rPr>
        <w:t>وفي أعقاب انتخابات الرئاس</w:t>
      </w:r>
      <w:r w:rsidRPr="00523D40">
        <w:rPr>
          <w:rFonts w:hint="cs"/>
          <w:spacing w:val="0"/>
          <w:kern w:val="0"/>
          <w:sz w:val="20"/>
          <w:rtl/>
          <w:lang w:val="fr-CH"/>
        </w:rPr>
        <w:t xml:space="preserve">ة، </w:t>
      </w:r>
      <w:r w:rsidRPr="00523D40">
        <w:rPr>
          <w:spacing w:val="0"/>
          <w:kern w:val="0"/>
          <w:sz w:val="20"/>
          <w:rtl/>
          <w:lang w:val="fr-CH"/>
        </w:rPr>
        <w:t>استمر</w:t>
      </w:r>
      <w:r w:rsidRPr="00523D40">
        <w:rPr>
          <w:rFonts w:hint="cs"/>
          <w:spacing w:val="0"/>
          <w:kern w:val="0"/>
          <w:sz w:val="20"/>
          <w:rtl/>
          <w:lang w:val="fr-CH"/>
        </w:rPr>
        <w:t xml:space="preserve"> قمع </w:t>
      </w:r>
      <w:r w:rsidRPr="00523D40">
        <w:rPr>
          <w:spacing w:val="0"/>
          <w:kern w:val="0"/>
          <w:sz w:val="20"/>
          <w:rtl/>
          <w:lang w:val="fr-CH"/>
        </w:rPr>
        <w:t xml:space="preserve">المظاهرات </w:t>
      </w:r>
      <w:r w:rsidRPr="00523D40">
        <w:rPr>
          <w:rFonts w:hint="cs"/>
          <w:spacing w:val="0"/>
          <w:kern w:val="0"/>
          <w:sz w:val="20"/>
          <w:rtl/>
          <w:lang w:val="fr-CH"/>
        </w:rPr>
        <w:t>بعنف. وفي 14 نيسان/</w:t>
      </w:r>
      <w:r w:rsidRPr="00523D40">
        <w:rPr>
          <w:spacing w:val="0"/>
          <w:kern w:val="0"/>
          <w:sz w:val="20"/>
          <w:rtl/>
          <w:lang w:val="fr-CH"/>
        </w:rPr>
        <w:t xml:space="preserve"> أبريل 2010، </w:t>
      </w:r>
      <w:r w:rsidRPr="00523D40">
        <w:rPr>
          <w:rFonts w:hint="cs"/>
          <w:spacing w:val="0"/>
          <w:kern w:val="0"/>
          <w:sz w:val="20"/>
          <w:rtl/>
          <w:lang w:val="fr-CH"/>
        </w:rPr>
        <w:t xml:space="preserve">ألقي القبض على نحو </w:t>
      </w:r>
      <w:r w:rsidRPr="00523D40">
        <w:rPr>
          <w:spacing w:val="0"/>
          <w:kern w:val="0"/>
          <w:sz w:val="20"/>
          <w:rtl/>
          <w:lang w:val="fr-CH"/>
        </w:rPr>
        <w:t>70 شخصا</w:t>
      </w:r>
      <w:r w:rsidRPr="00523D40">
        <w:rPr>
          <w:rFonts w:hint="cs"/>
          <w:spacing w:val="0"/>
          <w:kern w:val="0"/>
          <w:sz w:val="20"/>
          <w:rtl/>
          <w:lang w:val="fr-CH"/>
        </w:rPr>
        <w:t xml:space="preserve">ً، من بينهم </w:t>
      </w:r>
      <w:r w:rsidRPr="00523D40">
        <w:rPr>
          <w:spacing w:val="0"/>
          <w:kern w:val="0"/>
          <w:sz w:val="20"/>
          <w:rtl/>
          <w:lang w:val="fr-CH"/>
        </w:rPr>
        <w:t>ممثلون ل</w:t>
      </w:r>
      <w:r w:rsidRPr="00523D40">
        <w:rPr>
          <w:rFonts w:hint="cs"/>
          <w:spacing w:val="0"/>
          <w:kern w:val="0"/>
          <w:sz w:val="20"/>
          <w:rtl/>
          <w:lang w:val="fr-CH"/>
        </w:rPr>
        <w:t>حزب اتحاد القوى من أجل التغيير</w:t>
      </w:r>
      <w:r w:rsidRPr="00523D40">
        <w:rPr>
          <w:spacing w:val="0"/>
          <w:kern w:val="0"/>
          <w:sz w:val="20"/>
          <w:rtl/>
          <w:lang w:val="fr-CH"/>
        </w:rPr>
        <w:t xml:space="preserve">. </w:t>
      </w:r>
      <w:r w:rsidRPr="00523D40">
        <w:rPr>
          <w:rFonts w:hint="cs"/>
          <w:spacing w:val="0"/>
          <w:kern w:val="0"/>
          <w:sz w:val="20"/>
          <w:rtl/>
          <w:lang w:val="fr-CH"/>
        </w:rPr>
        <w:t xml:space="preserve">وأدان </w:t>
      </w:r>
      <w:r w:rsidRPr="00523D40">
        <w:rPr>
          <w:spacing w:val="0"/>
          <w:kern w:val="0"/>
          <w:sz w:val="20"/>
          <w:rtl/>
          <w:lang w:val="fr-CH"/>
        </w:rPr>
        <w:t xml:space="preserve">الاتحاد الدولي لرابطات حقوق الإنسان </w:t>
      </w:r>
      <w:r w:rsidRPr="00523D40">
        <w:rPr>
          <w:rFonts w:hint="cs"/>
          <w:spacing w:val="0"/>
          <w:kern w:val="0"/>
          <w:sz w:val="20"/>
          <w:rtl/>
          <w:lang w:val="fr-CH"/>
        </w:rPr>
        <w:t xml:space="preserve">القبض على </w:t>
      </w:r>
      <w:r w:rsidRPr="00523D40">
        <w:rPr>
          <w:spacing w:val="0"/>
          <w:kern w:val="0"/>
          <w:sz w:val="20"/>
          <w:rtl/>
          <w:lang w:val="fr-CH"/>
        </w:rPr>
        <w:t>الناشطين السياسيين ودع</w:t>
      </w:r>
      <w:r w:rsidRPr="00523D40">
        <w:rPr>
          <w:rFonts w:hint="cs"/>
          <w:spacing w:val="0"/>
          <w:kern w:val="0"/>
          <w:sz w:val="20"/>
          <w:rtl/>
          <w:lang w:val="fr-CH"/>
        </w:rPr>
        <w:t>ا</w:t>
      </w:r>
      <w:r w:rsidRPr="00523D40">
        <w:rPr>
          <w:spacing w:val="0"/>
          <w:kern w:val="0"/>
          <w:sz w:val="20"/>
          <w:rtl/>
          <w:lang w:val="fr-CH"/>
        </w:rPr>
        <w:t xml:space="preserve"> إلى احترام الحقوق المدنية والسياسية في توغو في فترة ما بعد الانتخابات. واحتج </w:t>
      </w:r>
      <w:r w:rsidRPr="00523D40">
        <w:rPr>
          <w:rFonts w:hint="cs"/>
          <w:spacing w:val="0"/>
          <w:kern w:val="0"/>
          <w:sz w:val="20"/>
          <w:rtl/>
          <w:lang w:val="fr-CH"/>
        </w:rPr>
        <w:t>صاحب الشكوى في</w:t>
      </w:r>
      <w:r w:rsidRPr="00523D40">
        <w:rPr>
          <w:spacing w:val="0"/>
          <w:kern w:val="0"/>
          <w:sz w:val="20"/>
          <w:rtl/>
          <w:lang w:val="fr-CH"/>
        </w:rPr>
        <w:t xml:space="preserve"> 10 </w:t>
      </w:r>
      <w:r w:rsidRPr="00523D40">
        <w:rPr>
          <w:rFonts w:hint="cs"/>
          <w:spacing w:val="0"/>
          <w:kern w:val="0"/>
          <w:sz w:val="20"/>
          <w:rtl/>
          <w:lang w:val="fr-CH"/>
        </w:rPr>
        <w:t xml:space="preserve">نيسان/أبريل 2010 شخصياً أمام مقر </w:t>
      </w:r>
      <w:r w:rsidRPr="00523D40">
        <w:rPr>
          <w:spacing w:val="0"/>
          <w:kern w:val="0"/>
          <w:sz w:val="20"/>
          <w:rtl/>
          <w:lang w:val="fr-CH"/>
        </w:rPr>
        <w:t xml:space="preserve">الأمم المتحدة </w:t>
      </w:r>
      <w:r w:rsidRPr="00523D40">
        <w:rPr>
          <w:rFonts w:hint="cs"/>
          <w:spacing w:val="0"/>
          <w:kern w:val="0"/>
          <w:sz w:val="20"/>
          <w:rtl/>
          <w:lang w:val="fr-CH"/>
        </w:rPr>
        <w:t>على</w:t>
      </w:r>
      <w:r w:rsidRPr="00523D40">
        <w:rPr>
          <w:spacing w:val="0"/>
          <w:kern w:val="0"/>
          <w:sz w:val="20"/>
          <w:rtl/>
          <w:lang w:val="fr-CH"/>
        </w:rPr>
        <w:t xml:space="preserve"> المخالفات </w:t>
      </w:r>
      <w:r w:rsidRPr="00523D40">
        <w:rPr>
          <w:rFonts w:hint="cs"/>
          <w:spacing w:val="0"/>
          <w:kern w:val="0"/>
          <w:sz w:val="20"/>
          <w:rtl/>
          <w:lang w:val="fr-CH"/>
        </w:rPr>
        <w:t xml:space="preserve">التي وقعت </w:t>
      </w:r>
      <w:r w:rsidRPr="00523D40">
        <w:rPr>
          <w:spacing w:val="0"/>
          <w:kern w:val="0"/>
          <w:sz w:val="20"/>
          <w:rtl/>
          <w:lang w:val="fr-CH"/>
        </w:rPr>
        <w:t xml:space="preserve">في انتخابات الرئاسة وأعمال العنف التي </w:t>
      </w:r>
      <w:r w:rsidRPr="00523D40">
        <w:rPr>
          <w:rFonts w:hint="cs"/>
          <w:spacing w:val="0"/>
          <w:kern w:val="0"/>
          <w:sz w:val="20"/>
          <w:rtl/>
          <w:lang w:val="fr-CH"/>
        </w:rPr>
        <w:t>أعقبت</w:t>
      </w:r>
      <w:r w:rsidRPr="00523D40">
        <w:rPr>
          <w:spacing w:val="0"/>
          <w:kern w:val="0"/>
          <w:sz w:val="20"/>
          <w:rtl/>
          <w:lang w:val="fr-CH"/>
        </w:rPr>
        <w:t xml:space="preserve"> ذلك. </w:t>
      </w:r>
      <w:r w:rsidRPr="00523D40">
        <w:rPr>
          <w:rFonts w:hint="cs"/>
          <w:spacing w:val="0"/>
          <w:kern w:val="0"/>
          <w:sz w:val="20"/>
          <w:rtl/>
          <w:lang w:val="fr-CH"/>
        </w:rPr>
        <w:t xml:space="preserve">وسبق أن اتهم صاحب الشكوى الشرطة، في مقال صحفي بجريدة </w:t>
      </w:r>
      <w:r w:rsidRPr="00523D40">
        <w:rPr>
          <w:spacing w:val="0"/>
          <w:kern w:val="0"/>
          <w:sz w:val="20"/>
          <w:lang w:val="fr-CH"/>
        </w:rPr>
        <w:t>"Le triangle des enjeux"</w:t>
      </w:r>
      <w:r w:rsidRPr="00523D40">
        <w:rPr>
          <w:rFonts w:hint="cs"/>
          <w:spacing w:val="0"/>
          <w:kern w:val="0"/>
          <w:sz w:val="20"/>
          <w:rtl/>
          <w:lang w:val="fr-CH"/>
        </w:rPr>
        <w:t xml:space="preserve"> في 29 نيسان/أبريل 2009، بتقديم أدلة ملفقة للقبض على شقيق الرئيس كباتشا غناسينغبي</w:t>
      </w:r>
      <w:r w:rsidRPr="00523D40">
        <w:rPr>
          <w:spacing w:val="0"/>
          <w:kern w:val="0"/>
          <w:sz w:val="20"/>
          <w:rtl/>
          <w:lang w:val="fr-CH"/>
        </w:rPr>
        <w:t>.</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5-2</w:t>
      </w:r>
      <w:r w:rsidRPr="00523D40">
        <w:rPr>
          <w:rFonts w:hint="cs"/>
          <w:spacing w:val="0"/>
          <w:kern w:val="0"/>
          <w:sz w:val="20"/>
          <w:rtl/>
          <w:lang w:val="fr-CH"/>
        </w:rPr>
        <w:tab/>
        <w:t>و</w:t>
      </w:r>
      <w:r w:rsidRPr="00523D40">
        <w:rPr>
          <w:spacing w:val="0"/>
          <w:kern w:val="0"/>
          <w:sz w:val="20"/>
          <w:rtl/>
          <w:lang w:val="fr-CH"/>
        </w:rPr>
        <w:t>خلافا</w:t>
      </w:r>
      <w:r w:rsidRPr="00523D40">
        <w:rPr>
          <w:rFonts w:hint="cs"/>
          <w:spacing w:val="0"/>
          <w:kern w:val="0"/>
          <w:sz w:val="20"/>
          <w:rtl/>
          <w:lang w:val="fr-CH"/>
        </w:rPr>
        <w:t>ً</w:t>
      </w:r>
      <w:r w:rsidRPr="00523D40">
        <w:rPr>
          <w:spacing w:val="0"/>
          <w:kern w:val="0"/>
          <w:sz w:val="20"/>
          <w:rtl/>
          <w:lang w:val="fr-CH"/>
        </w:rPr>
        <w:t xml:space="preserve"> لتأكيدات الدولة الطرف، لم يتحسن الوضع السياسي</w:t>
      </w:r>
      <w:r w:rsidRPr="00523D40">
        <w:rPr>
          <w:rFonts w:hint="cs"/>
          <w:spacing w:val="0"/>
          <w:kern w:val="0"/>
          <w:sz w:val="20"/>
          <w:rtl/>
          <w:lang w:val="fr-CH"/>
        </w:rPr>
        <w:t xml:space="preserve"> في توغو،</w:t>
      </w:r>
      <w:r w:rsidRPr="00523D40">
        <w:rPr>
          <w:spacing w:val="0"/>
          <w:kern w:val="0"/>
          <w:sz w:val="20"/>
          <w:rtl/>
          <w:lang w:val="fr-CH"/>
        </w:rPr>
        <w:t xml:space="preserve"> وزاد القمع الممارس ضد أعضاء </w:t>
      </w:r>
      <w:r w:rsidRPr="00523D40">
        <w:rPr>
          <w:rFonts w:hint="cs"/>
          <w:spacing w:val="0"/>
          <w:kern w:val="0"/>
          <w:sz w:val="20"/>
          <w:rtl/>
          <w:lang w:val="fr-CH"/>
        </w:rPr>
        <w:t>حزب اتحاد القوى من أجل التغيير فيما يتصل ب</w:t>
      </w:r>
      <w:r w:rsidRPr="00523D40">
        <w:rPr>
          <w:spacing w:val="0"/>
          <w:kern w:val="0"/>
          <w:sz w:val="20"/>
          <w:rtl/>
          <w:lang w:val="fr-CH"/>
        </w:rPr>
        <w:t xml:space="preserve">انتخابات الرئاسة </w:t>
      </w:r>
      <w:r w:rsidRPr="00523D40">
        <w:rPr>
          <w:rFonts w:hint="cs"/>
          <w:spacing w:val="0"/>
          <w:kern w:val="0"/>
          <w:sz w:val="20"/>
          <w:rtl/>
          <w:lang w:val="fr-CH"/>
        </w:rPr>
        <w:t xml:space="preserve">التي جرت في </w:t>
      </w:r>
      <w:r w:rsidRPr="00523D40">
        <w:rPr>
          <w:spacing w:val="0"/>
          <w:kern w:val="0"/>
          <w:sz w:val="20"/>
          <w:rtl/>
          <w:lang w:val="fr-CH"/>
        </w:rPr>
        <w:t xml:space="preserve">3 </w:t>
      </w:r>
      <w:r w:rsidRPr="00523D40">
        <w:rPr>
          <w:rFonts w:hint="cs"/>
          <w:spacing w:val="0"/>
          <w:kern w:val="0"/>
          <w:sz w:val="20"/>
          <w:rtl/>
          <w:lang w:val="fr-CH"/>
        </w:rPr>
        <w:t>آذار/</w:t>
      </w:r>
      <w:r w:rsidRPr="00523D40">
        <w:rPr>
          <w:spacing w:val="0"/>
          <w:kern w:val="0"/>
          <w:sz w:val="20"/>
          <w:rtl/>
          <w:lang w:val="fr-CH"/>
        </w:rPr>
        <w:t xml:space="preserve">مارس 2010. وبالإضافة إلى ذلك، </w:t>
      </w:r>
      <w:r w:rsidRPr="00523D40">
        <w:rPr>
          <w:rFonts w:hint="cs"/>
          <w:spacing w:val="0"/>
          <w:kern w:val="0"/>
          <w:sz w:val="20"/>
          <w:rtl/>
          <w:lang w:val="fr-CH"/>
        </w:rPr>
        <w:t xml:space="preserve">أعلن صاحب الشكوى صراحة في المقال الذي نشره بجريدة </w:t>
      </w:r>
      <w:r w:rsidRPr="00523D40">
        <w:rPr>
          <w:spacing w:val="0"/>
          <w:kern w:val="0"/>
          <w:sz w:val="20"/>
          <w:lang w:val="fr-CH"/>
        </w:rPr>
        <w:t>"Le triangle des enjeux"</w:t>
      </w:r>
      <w:r w:rsidRPr="00523D40">
        <w:rPr>
          <w:rFonts w:hint="cs"/>
          <w:spacing w:val="0"/>
          <w:kern w:val="0"/>
          <w:sz w:val="20"/>
          <w:rtl/>
          <w:lang w:val="fr-CH"/>
        </w:rPr>
        <w:t xml:space="preserve"> في 29 نيسان/أبريل 2009 عن موقفه المعارض للحكومة الحالية في توغو. وقد تؤدي هذه الأنشطة إلى خطر التعرض للتعذيب في حالة عودته إلى بلده.</w:t>
      </w:r>
    </w:p>
    <w:p w:rsidR="00523D40" w:rsidRPr="00523D40" w:rsidRDefault="00523D40" w:rsidP="00F040E7">
      <w:pPr>
        <w:pStyle w:val="SingleTxtGA"/>
        <w:jc w:val="lowKashida"/>
        <w:rPr>
          <w:rFonts w:hint="cs"/>
          <w:spacing w:val="0"/>
          <w:kern w:val="0"/>
          <w:sz w:val="20"/>
          <w:rtl/>
          <w:lang w:val="fr-CH"/>
        </w:rPr>
      </w:pPr>
      <w:r w:rsidRPr="00523D40">
        <w:rPr>
          <w:rFonts w:hint="cs"/>
          <w:spacing w:val="0"/>
          <w:kern w:val="0"/>
          <w:sz w:val="20"/>
          <w:rtl/>
          <w:lang w:val="fr-CH"/>
        </w:rPr>
        <w:t>5-3</w:t>
      </w:r>
      <w:r w:rsidRPr="00523D40">
        <w:rPr>
          <w:rFonts w:hint="cs"/>
          <w:spacing w:val="0"/>
          <w:kern w:val="0"/>
          <w:sz w:val="20"/>
          <w:rtl/>
          <w:lang w:val="fr-CH"/>
        </w:rPr>
        <w:tab/>
        <w:t>و</w:t>
      </w:r>
      <w:r w:rsidRPr="00523D40">
        <w:rPr>
          <w:spacing w:val="0"/>
          <w:kern w:val="0"/>
          <w:sz w:val="20"/>
          <w:rtl/>
          <w:lang w:val="fr-CH"/>
        </w:rPr>
        <w:t>فيما يتعلق بالتناقض</w:t>
      </w:r>
      <w:r w:rsidRPr="00523D40">
        <w:rPr>
          <w:rFonts w:hint="cs"/>
          <w:spacing w:val="0"/>
          <w:kern w:val="0"/>
          <w:sz w:val="20"/>
          <w:rtl/>
          <w:lang w:val="fr-CH"/>
        </w:rPr>
        <w:t>ات</w:t>
      </w:r>
      <w:r w:rsidRPr="00523D40">
        <w:rPr>
          <w:spacing w:val="0"/>
          <w:kern w:val="0"/>
          <w:sz w:val="20"/>
          <w:rtl/>
          <w:lang w:val="fr-CH"/>
        </w:rPr>
        <w:t xml:space="preserve"> </w:t>
      </w:r>
      <w:r w:rsidRPr="00523D40">
        <w:rPr>
          <w:rFonts w:hint="cs"/>
          <w:spacing w:val="0"/>
          <w:kern w:val="0"/>
          <w:sz w:val="20"/>
          <w:rtl/>
          <w:lang w:val="fr-CH"/>
        </w:rPr>
        <w:t xml:space="preserve">الذي </w:t>
      </w:r>
      <w:r w:rsidRPr="00523D40">
        <w:rPr>
          <w:spacing w:val="0"/>
          <w:kern w:val="0"/>
          <w:sz w:val="20"/>
          <w:rtl/>
          <w:lang w:val="fr-CH"/>
        </w:rPr>
        <w:t>تدع</w:t>
      </w:r>
      <w:r w:rsidRPr="00523D40">
        <w:rPr>
          <w:rFonts w:hint="cs"/>
          <w:spacing w:val="0"/>
          <w:kern w:val="0"/>
          <w:sz w:val="20"/>
          <w:rtl/>
          <w:lang w:val="fr-CH"/>
        </w:rPr>
        <w:t>يها</w:t>
      </w:r>
      <w:r w:rsidRPr="00523D40">
        <w:rPr>
          <w:spacing w:val="0"/>
          <w:kern w:val="0"/>
          <w:sz w:val="20"/>
          <w:rtl/>
          <w:lang w:val="fr-CH"/>
        </w:rPr>
        <w:t xml:space="preserve"> الدولة الطرف، </w:t>
      </w:r>
      <w:r w:rsidRPr="00523D40">
        <w:rPr>
          <w:rFonts w:hint="cs"/>
          <w:spacing w:val="0"/>
          <w:kern w:val="0"/>
          <w:sz w:val="20"/>
          <w:rtl/>
          <w:lang w:val="fr-CH"/>
        </w:rPr>
        <w:t>ينفي</w:t>
      </w:r>
      <w:r w:rsidRPr="00523D40">
        <w:rPr>
          <w:spacing w:val="0"/>
          <w:kern w:val="0"/>
          <w:sz w:val="20"/>
          <w:rtl/>
          <w:lang w:val="fr-CH"/>
        </w:rPr>
        <w:t xml:space="preserve"> </w:t>
      </w:r>
      <w:r w:rsidRPr="00523D40">
        <w:rPr>
          <w:rFonts w:hint="cs"/>
          <w:spacing w:val="0"/>
          <w:kern w:val="0"/>
          <w:sz w:val="20"/>
          <w:rtl/>
          <w:lang w:val="fr-CH"/>
        </w:rPr>
        <w:t>صاحب الشكوى الادعاء بأنه ذهب إلى لومي للا</w:t>
      </w:r>
      <w:r w:rsidRPr="00523D40">
        <w:rPr>
          <w:spacing w:val="0"/>
          <w:kern w:val="0"/>
          <w:sz w:val="20"/>
          <w:rtl/>
          <w:lang w:val="fr-CH"/>
        </w:rPr>
        <w:t>خ</w:t>
      </w:r>
      <w:r w:rsidRPr="00523D40">
        <w:rPr>
          <w:rFonts w:hint="cs"/>
          <w:spacing w:val="0"/>
          <w:kern w:val="0"/>
          <w:sz w:val="20"/>
          <w:rtl/>
          <w:lang w:val="fr-CH"/>
        </w:rPr>
        <w:t>ت</w:t>
      </w:r>
      <w:r w:rsidRPr="00523D40">
        <w:rPr>
          <w:spacing w:val="0"/>
          <w:kern w:val="0"/>
          <w:sz w:val="20"/>
          <w:rtl/>
          <w:lang w:val="fr-CH"/>
        </w:rPr>
        <w:t>فاء</w:t>
      </w:r>
      <w:r w:rsidRPr="00523D40">
        <w:rPr>
          <w:rFonts w:hint="cs"/>
          <w:spacing w:val="0"/>
          <w:kern w:val="0"/>
          <w:sz w:val="20"/>
          <w:rtl/>
          <w:lang w:val="fr-CH"/>
        </w:rPr>
        <w:t xml:space="preserve"> ويفيد بأن زوجته كانت تعيش في هذه الفترة ب</w:t>
      </w:r>
      <w:r w:rsidRPr="00523D40">
        <w:rPr>
          <w:spacing w:val="0"/>
          <w:kern w:val="0"/>
          <w:sz w:val="20"/>
          <w:rtl/>
          <w:lang w:val="fr-CH"/>
        </w:rPr>
        <w:t>قرية ديفي</w:t>
      </w:r>
      <w:r w:rsidRPr="00523D40">
        <w:rPr>
          <w:rFonts w:hint="cs"/>
          <w:spacing w:val="0"/>
          <w:kern w:val="0"/>
          <w:sz w:val="20"/>
          <w:rtl/>
          <w:lang w:val="fr-CH"/>
        </w:rPr>
        <w:t>غ</w:t>
      </w:r>
      <w:r w:rsidRPr="00523D40">
        <w:rPr>
          <w:spacing w:val="0"/>
          <w:kern w:val="0"/>
          <w:sz w:val="20"/>
          <w:rtl/>
          <w:lang w:val="fr-CH"/>
        </w:rPr>
        <w:t xml:space="preserve">و في ضواحي لومي. </w:t>
      </w:r>
      <w:r w:rsidRPr="00523D40">
        <w:rPr>
          <w:rFonts w:hint="cs"/>
          <w:spacing w:val="0"/>
          <w:kern w:val="0"/>
          <w:sz w:val="20"/>
          <w:rtl/>
          <w:lang w:val="fr-CH"/>
        </w:rPr>
        <w:t>ومن ناحية أخرى، و</w:t>
      </w:r>
      <w:r w:rsidRPr="00523D40">
        <w:rPr>
          <w:spacing w:val="0"/>
          <w:kern w:val="0"/>
          <w:sz w:val="20"/>
          <w:rtl/>
          <w:lang w:val="fr-CH"/>
        </w:rPr>
        <w:t xml:space="preserve">على الرغم من أن من المستغرب أن </w:t>
      </w:r>
      <w:r w:rsidRPr="00523D40">
        <w:rPr>
          <w:rFonts w:hint="cs"/>
          <w:spacing w:val="0"/>
          <w:kern w:val="0"/>
          <w:sz w:val="20"/>
          <w:rtl/>
          <w:lang w:val="fr-CH"/>
        </w:rPr>
        <w:t xml:space="preserve">يتعرف عليه أحد أفراد الشرطة في </w:t>
      </w:r>
      <w:r w:rsidRPr="00523D40">
        <w:rPr>
          <w:spacing w:val="0"/>
          <w:kern w:val="0"/>
          <w:sz w:val="20"/>
          <w:rtl/>
          <w:lang w:val="fr-CH"/>
        </w:rPr>
        <w:t xml:space="preserve">28 </w:t>
      </w:r>
      <w:r w:rsidRPr="00523D40">
        <w:rPr>
          <w:rFonts w:hint="cs"/>
          <w:spacing w:val="0"/>
          <w:kern w:val="0"/>
          <w:sz w:val="20"/>
          <w:rtl/>
          <w:lang w:val="fr-CH"/>
        </w:rPr>
        <w:t>آذار/</w:t>
      </w:r>
      <w:r w:rsidRPr="00523D40">
        <w:rPr>
          <w:spacing w:val="0"/>
          <w:kern w:val="0"/>
          <w:sz w:val="20"/>
          <w:rtl/>
          <w:lang w:val="fr-CH"/>
        </w:rPr>
        <w:t xml:space="preserve">مارس 2006 </w:t>
      </w:r>
      <w:r w:rsidRPr="00523D40">
        <w:rPr>
          <w:rFonts w:hint="cs"/>
          <w:spacing w:val="0"/>
          <w:kern w:val="0"/>
          <w:sz w:val="20"/>
          <w:rtl/>
          <w:lang w:val="fr-CH"/>
        </w:rPr>
        <w:t xml:space="preserve">بعد مضي عدة </w:t>
      </w:r>
      <w:r w:rsidRPr="00523D40">
        <w:rPr>
          <w:spacing w:val="0"/>
          <w:kern w:val="0"/>
          <w:sz w:val="20"/>
          <w:rtl/>
          <w:lang w:val="fr-CH"/>
        </w:rPr>
        <w:t>سن</w:t>
      </w:r>
      <w:r w:rsidRPr="00523D40">
        <w:rPr>
          <w:rFonts w:hint="cs"/>
          <w:spacing w:val="0"/>
          <w:kern w:val="0"/>
          <w:sz w:val="20"/>
          <w:rtl/>
          <w:lang w:val="fr-CH"/>
        </w:rPr>
        <w:t>وات على الوقائع</w:t>
      </w:r>
      <w:r w:rsidRPr="00523D40">
        <w:rPr>
          <w:spacing w:val="0"/>
          <w:kern w:val="0"/>
          <w:sz w:val="20"/>
          <w:rtl/>
          <w:lang w:val="fr-CH"/>
        </w:rPr>
        <w:t xml:space="preserve">، </w:t>
      </w:r>
      <w:r w:rsidRPr="00523D40">
        <w:rPr>
          <w:rFonts w:hint="cs"/>
          <w:spacing w:val="0"/>
          <w:kern w:val="0"/>
          <w:sz w:val="20"/>
          <w:rtl/>
          <w:lang w:val="fr-CH"/>
        </w:rPr>
        <w:t>فإن ذلك لا ينفي أن هذه حقيقة واقعة. و</w:t>
      </w:r>
      <w:r w:rsidRPr="00523D40">
        <w:rPr>
          <w:spacing w:val="0"/>
          <w:kern w:val="0"/>
          <w:sz w:val="20"/>
          <w:rtl/>
          <w:lang w:val="fr-CH"/>
        </w:rPr>
        <w:t>فيما يتعلق با</w:t>
      </w:r>
      <w:r w:rsidRPr="00523D40">
        <w:rPr>
          <w:rFonts w:hint="cs"/>
          <w:spacing w:val="0"/>
          <w:kern w:val="0"/>
          <w:sz w:val="20"/>
          <w:rtl/>
          <w:lang w:val="fr-CH"/>
        </w:rPr>
        <w:t xml:space="preserve">لاعتداء </w:t>
      </w:r>
      <w:r w:rsidRPr="00523D40">
        <w:rPr>
          <w:spacing w:val="0"/>
          <w:kern w:val="0"/>
          <w:sz w:val="20"/>
          <w:rtl/>
          <w:lang w:val="fr-CH"/>
        </w:rPr>
        <w:t xml:space="preserve">على </w:t>
      </w:r>
      <w:r w:rsidRPr="00523D40">
        <w:rPr>
          <w:rFonts w:hint="cs"/>
          <w:spacing w:val="0"/>
          <w:kern w:val="0"/>
          <w:sz w:val="20"/>
          <w:rtl/>
          <w:lang w:val="fr-CH"/>
        </w:rPr>
        <w:t xml:space="preserve">مركز </w:t>
      </w:r>
      <w:r w:rsidRPr="00523D40">
        <w:rPr>
          <w:spacing w:val="0"/>
          <w:kern w:val="0"/>
          <w:sz w:val="20"/>
          <w:rtl/>
          <w:lang w:val="fr-CH"/>
        </w:rPr>
        <w:t xml:space="preserve">الشرطة في لومي في 26 </w:t>
      </w:r>
      <w:r w:rsidRPr="00523D40">
        <w:rPr>
          <w:rFonts w:hint="cs"/>
          <w:spacing w:val="0"/>
          <w:kern w:val="0"/>
          <w:sz w:val="20"/>
          <w:rtl/>
          <w:lang w:val="fr-CH"/>
        </w:rPr>
        <w:t>شباط/</w:t>
      </w:r>
      <w:r w:rsidRPr="00523D40">
        <w:rPr>
          <w:spacing w:val="0"/>
          <w:kern w:val="0"/>
          <w:sz w:val="20"/>
          <w:rtl/>
          <w:lang w:val="fr-CH"/>
        </w:rPr>
        <w:t xml:space="preserve">فبراير 2006، </w:t>
      </w:r>
      <w:r w:rsidRPr="00523D40">
        <w:rPr>
          <w:rFonts w:hint="cs"/>
          <w:spacing w:val="0"/>
          <w:kern w:val="0"/>
          <w:sz w:val="20"/>
          <w:rtl/>
          <w:lang w:val="fr-CH"/>
        </w:rPr>
        <w:t>نفى المكتب الاتحادي للهجرة هذه الواقعة في بداية الأمر ثم لم يعد إلى هذه الحجة مرة أخرى قبل صدور قراره في 9 تشرين الثاني/نوفمبر 2006 مما يدل على أنه أقر بصحتها. ويدل القبض على شخصين من المشاركين في الاعتداء ومحاكمتهما على أنه لو تم القبض على صاحب الشكوى أيضاً لكان مصيره هو نفس مصير هذين الشخصين. كذلك،</w:t>
      </w:r>
      <w:r w:rsidRPr="00523D40">
        <w:rPr>
          <w:spacing w:val="0"/>
          <w:kern w:val="0"/>
          <w:sz w:val="20"/>
          <w:rtl/>
          <w:lang w:val="fr-CH"/>
        </w:rPr>
        <w:t xml:space="preserve"> </w:t>
      </w:r>
      <w:r w:rsidRPr="00523D40">
        <w:rPr>
          <w:rFonts w:hint="cs"/>
          <w:spacing w:val="0"/>
          <w:kern w:val="0"/>
          <w:sz w:val="20"/>
          <w:rtl/>
          <w:lang w:val="fr-CH"/>
        </w:rPr>
        <w:t xml:space="preserve">ليس </w:t>
      </w:r>
      <w:r w:rsidRPr="00523D40">
        <w:rPr>
          <w:spacing w:val="0"/>
          <w:kern w:val="0"/>
          <w:sz w:val="20"/>
          <w:rtl/>
          <w:lang w:val="fr-CH"/>
        </w:rPr>
        <w:t xml:space="preserve">هناك تناقض فيما يتعلق بمكان إقامة </w:t>
      </w:r>
      <w:r w:rsidRPr="00523D40">
        <w:rPr>
          <w:rFonts w:hint="cs"/>
          <w:spacing w:val="0"/>
          <w:kern w:val="0"/>
          <w:sz w:val="20"/>
          <w:rtl/>
          <w:lang w:val="fr-CH"/>
        </w:rPr>
        <w:t xml:space="preserve">صاحب الشكوى </w:t>
      </w:r>
      <w:r w:rsidRPr="00523D40">
        <w:rPr>
          <w:spacing w:val="0"/>
          <w:kern w:val="0"/>
          <w:sz w:val="20"/>
          <w:rtl/>
          <w:lang w:val="fr-CH"/>
        </w:rPr>
        <w:t>في توغو</w:t>
      </w:r>
      <w:r w:rsidRPr="00523D40">
        <w:rPr>
          <w:rFonts w:hint="cs"/>
          <w:spacing w:val="0"/>
          <w:kern w:val="0"/>
          <w:sz w:val="20"/>
          <w:rtl/>
          <w:lang w:val="fr-CH"/>
        </w:rPr>
        <w:t xml:space="preserve">. فقد </w:t>
      </w:r>
      <w:r w:rsidRPr="00523D40">
        <w:rPr>
          <w:spacing w:val="0"/>
          <w:kern w:val="0"/>
          <w:sz w:val="20"/>
          <w:rtl/>
          <w:lang w:val="fr-CH"/>
        </w:rPr>
        <w:t xml:space="preserve">اعترف </w:t>
      </w:r>
      <w:r w:rsidRPr="00523D40">
        <w:rPr>
          <w:rFonts w:hint="cs"/>
          <w:spacing w:val="0"/>
          <w:kern w:val="0"/>
          <w:sz w:val="20"/>
          <w:rtl/>
          <w:lang w:val="fr-CH"/>
        </w:rPr>
        <w:t xml:space="preserve">المكتب الاتحادي للهجرة في قراره الصادر في </w:t>
      </w:r>
      <w:r w:rsidRPr="00523D40">
        <w:rPr>
          <w:spacing w:val="0"/>
          <w:kern w:val="0"/>
          <w:sz w:val="20"/>
          <w:rtl/>
          <w:lang w:val="fr-CH"/>
        </w:rPr>
        <w:t xml:space="preserve">8 أيلول/سبتمبر 2010 </w:t>
      </w:r>
      <w:r w:rsidRPr="00523D40">
        <w:rPr>
          <w:rFonts w:hint="cs"/>
          <w:spacing w:val="0"/>
          <w:kern w:val="0"/>
          <w:sz w:val="20"/>
          <w:rtl/>
          <w:lang w:val="fr-CH"/>
        </w:rPr>
        <w:t>ب</w:t>
      </w:r>
      <w:r w:rsidRPr="00523D40">
        <w:rPr>
          <w:spacing w:val="0"/>
          <w:kern w:val="0"/>
          <w:sz w:val="20"/>
          <w:rtl/>
          <w:lang w:val="fr-CH"/>
        </w:rPr>
        <w:t xml:space="preserve">أنه كانت </w:t>
      </w:r>
      <w:r w:rsidRPr="00523D40">
        <w:rPr>
          <w:rFonts w:hint="cs"/>
          <w:spacing w:val="0"/>
          <w:kern w:val="0"/>
          <w:sz w:val="20"/>
          <w:rtl/>
          <w:lang w:val="fr-CH"/>
        </w:rPr>
        <w:t xml:space="preserve">مختفياً </w:t>
      </w:r>
      <w:r w:rsidRPr="00523D40">
        <w:rPr>
          <w:spacing w:val="0"/>
          <w:kern w:val="0"/>
          <w:sz w:val="20"/>
          <w:rtl/>
          <w:lang w:val="fr-CH"/>
        </w:rPr>
        <w:t>في أ</w:t>
      </w:r>
      <w:r w:rsidRPr="00523D40">
        <w:rPr>
          <w:rFonts w:hint="cs"/>
          <w:spacing w:val="0"/>
          <w:kern w:val="0"/>
          <w:sz w:val="20"/>
          <w:rtl/>
          <w:lang w:val="fr-CH"/>
        </w:rPr>
        <w:t>غ</w:t>
      </w:r>
      <w:r w:rsidRPr="00523D40">
        <w:rPr>
          <w:spacing w:val="0"/>
          <w:kern w:val="0"/>
          <w:sz w:val="20"/>
          <w:rtl/>
          <w:lang w:val="fr-CH"/>
        </w:rPr>
        <w:t>و</w:t>
      </w:r>
      <w:r w:rsidRPr="00523D40">
        <w:rPr>
          <w:rFonts w:hint="cs"/>
          <w:spacing w:val="0"/>
          <w:kern w:val="0"/>
          <w:sz w:val="20"/>
          <w:rtl/>
          <w:lang w:val="fr-CH"/>
        </w:rPr>
        <w:t>يغ</w:t>
      </w:r>
      <w:r w:rsidRPr="00523D40">
        <w:rPr>
          <w:spacing w:val="0"/>
          <w:kern w:val="0"/>
          <w:sz w:val="20"/>
          <w:rtl/>
          <w:lang w:val="fr-CH"/>
        </w:rPr>
        <w:t>ان. و</w:t>
      </w:r>
      <w:r w:rsidRPr="00523D40">
        <w:rPr>
          <w:rFonts w:hint="cs"/>
          <w:spacing w:val="0"/>
          <w:kern w:val="0"/>
          <w:sz w:val="20"/>
          <w:rtl/>
          <w:lang w:val="fr-CH"/>
        </w:rPr>
        <w:t xml:space="preserve">كان السؤال في </w:t>
      </w:r>
      <w:r w:rsidRPr="00523D40">
        <w:rPr>
          <w:spacing w:val="0"/>
          <w:kern w:val="0"/>
          <w:sz w:val="20"/>
          <w:rtl/>
          <w:lang w:val="fr-CH"/>
        </w:rPr>
        <w:t>مركز التسجيل</w:t>
      </w:r>
      <w:r w:rsidRPr="00523D40">
        <w:rPr>
          <w:rFonts w:hint="cs"/>
          <w:spacing w:val="0"/>
          <w:kern w:val="0"/>
          <w:sz w:val="20"/>
          <w:rtl/>
          <w:lang w:val="fr-CH"/>
        </w:rPr>
        <w:t xml:space="preserve"> عن مكان إقامته الأخير، ومن هنا جاء التناقض مع مكان إقامته </w:t>
      </w:r>
      <w:r w:rsidRPr="00523D40">
        <w:rPr>
          <w:spacing w:val="0"/>
          <w:kern w:val="0"/>
          <w:sz w:val="20"/>
          <w:rtl/>
          <w:lang w:val="fr-CH"/>
        </w:rPr>
        <w:t xml:space="preserve">الرسمي </w:t>
      </w:r>
      <w:r w:rsidRPr="00523D40">
        <w:rPr>
          <w:rFonts w:hint="cs"/>
          <w:spacing w:val="0"/>
          <w:kern w:val="0"/>
          <w:sz w:val="20"/>
          <w:rtl/>
          <w:lang w:val="fr-CH"/>
        </w:rPr>
        <w:t>الذي يقع في</w:t>
      </w:r>
      <w:r w:rsidRPr="00523D40">
        <w:rPr>
          <w:spacing w:val="0"/>
          <w:kern w:val="0"/>
          <w:sz w:val="20"/>
          <w:rtl/>
          <w:lang w:val="fr-CH"/>
        </w:rPr>
        <w:t xml:space="preserve"> لومي</w:t>
      </w:r>
      <w:r w:rsidRPr="00523D40">
        <w:rPr>
          <w:rFonts w:hint="cs"/>
          <w:spacing w:val="0"/>
          <w:kern w:val="0"/>
          <w:sz w:val="20"/>
          <w:rtl/>
          <w:lang w:val="fr-CH"/>
        </w:rPr>
        <w:t>.</w:t>
      </w:r>
    </w:p>
    <w:p w:rsidR="00523D40" w:rsidRPr="00523D40" w:rsidRDefault="00F040E7" w:rsidP="00523D40">
      <w:pPr>
        <w:pStyle w:val="SingleTxtGA"/>
        <w:jc w:val="lowKashida"/>
        <w:rPr>
          <w:rFonts w:hint="cs"/>
          <w:spacing w:val="0"/>
          <w:kern w:val="0"/>
          <w:sz w:val="20"/>
          <w:rtl/>
          <w:lang w:val="fr-CH"/>
        </w:rPr>
      </w:pPr>
      <w:r>
        <w:rPr>
          <w:rFonts w:hint="cs"/>
          <w:spacing w:val="0"/>
          <w:kern w:val="0"/>
          <w:sz w:val="20"/>
          <w:rtl/>
          <w:lang w:val="fr-CH"/>
        </w:rPr>
        <w:t>5-4</w:t>
      </w:r>
      <w:r w:rsidR="00523D40" w:rsidRPr="00523D40">
        <w:rPr>
          <w:rFonts w:hint="cs"/>
          <w:spacing w:val="0"/>
          <w:kern w:val="0"/>
          <w:sz w:val="20"/>
          <w:rtl/>
          <w:lang w:val="fr-CH"/>
        </w:rPr>
        <w:tab/>
        <w:t>و</w:t>
      </w:r>
      <w:r w:rsidR="00523D40" w:rsidRPr="00523D40">
        <w:rPr>
          <w:spacing w:val="0"/>
          <w:kern w:val="0"/>
          <w:sz w:val="20"/>
          <w:rtl/>
          <w:lang w:val="fr-CH"/>
        </w:rPr>
        <w:t>ي</w:t>
      </w:r>
      <w:r w:rsidR="00523D40" w:rsidRPr="00523D40">
        <w:rPr>
          <w:rFonts w:hint="cs"/>
          <w:spacing w:val="0"/>
          <w:kern w:val="0"/>
          <w:sz w:val="20"/>
          <w:rtl/>
          <w:lang w:val="fr-CH"/>
        </w:rPr>
        <w:t>نفي</w:t>
      </w:r>
      <w:r w:rsidR="00523D40" w:rsidRPr="00523D40">
        <w:rPr>
          <w:spacing w:val="0"/>
          <w:kern w:val="0"/>
          <w:sz w:val="20"/>
          <w:rtl/>
          <w:lang w:val="fr-CH"/>
        </w:rPr>
        <w:t xml:space="preserve"> </w:t>
      </w:r>
      <w:r w:rsidR="00523D40" w:rsidRPr="00523D40">
        <w:rPr>
          <w:rFonts w:hint="cs"/>
          <w:spacing w:val="0"/>
          <w:kern w:val="0"/>
          <w:sz w:val="20"/>
          <w:rtl/>
          <w:lang w:val="fr-CH"/>
        </w:rPr>
        <w:t>صاحب الشكوى الادعاء بأنه لم ي</w:t>
      </w:r>
      <w:r w:rsidR="00523D40" w:rsidRPr="00523D40">
        <w:rPr>
          <w:spacing w:val="0"/>
          <w:kern w:val="0"/>
          <w:sz w:val="20"/>
          <w:rtl/>
          <w:lang w:val="fr-CH"/>
        </w:rPr>
        <w:t>ذكر المشاكل التي واجهته في عام 2003 إ</w:t>
      </w:r>
      <w:r w:rsidR="00523D40" w:rsidRPr="00523D40">
        <w:rPr>
          <w:rFonts w:hint="cs"/>
          <w:spacing w:val="0"/>
          <w:kern w:val="0"/>
          <w:sz w:val="20"/>
          <w:rtl/>
          <w:lang w:val="fr-CH"/>
        </w:rPr>
        <w:t>لا</w:t>
      </w:r>
      <w:r w:rsidR="00523D40" w:rsidRPr="00523D40">
        <w:rPr>
          <w:spacing w:val="0"/>
          <w:kern w:val="0"/>
          <w:sz w:val="20"/>
          <w:rtl/>
          <w:lang w:val="fr-CH"/>
        </w:rPr>
        <w:t xml:space="preserve"> </w:t>
      </w:r>
      <w:r w:rsidR="00523D40" w:rsidRPr="00523D40">
        <w:rPr>
          <w:rFonts w:hint="cs"/>
          <w:spacing w:val="0"/>
          <w:kern w:val="0"/>
          <w:sz w:val="20"/>
          <w:rtl/>
          <w:lang w:val="fr-CH"/>
        </w:rPr>
        <w:t xml:space="preserve">في </w:t>
      </w:r>
      <w:r w:rsidR="00523D40" w:rsidRPr="00523D40">
        <w:rPr>
          <w:spacing w:val="0"/>
          <w:kern w:val="0"/>
          <w:sz w:val="20"/>
          <w:rtl/>
          <w:lang w:val="fr-CH"/>
        </w:rPr>
        <w:t xml:space="preserve">مرحلة لاحقة من الإجراءات </w:t>
      </w:r>
      <w:r w:rsidR="00523D40" w:rsidRPr="00523D40">
        <w:rPr>
          <w:rFonts w:hint="cs"/>
          <w:spacing w:val="0"/>
          <w:kern w:val="0"/>
          <w:sz w:val="20"/>
          <w:rtl/>
          <w:lang w:val="fr-CH"/>
        </w:rPr>
        <w:t xml:space="preserve">إذ أشار إلى الإبلاغ عن الشخص الذي أراد </w:t>
      </w:r>
      <w:r w:rsidR="00523D40" w:rsidRPr="00523D40">
        <w:rPr>
          <w:spacing w:val="0"/>
          <w:kern w:val="0"/>
          <w:sz w:val="20"/>
          <w:rtl/>
          <w:lang w:val="fr-CH"/>
        </w:rPr>
        <w:t xml:space="preserve">التصويت مرتين في عام 2003 </w:t>
      </w:r>
      <w:r w:rsidR="00523D40" w:rsidRPr="00523D40">
        <w:rPr>
          <w:rFonts w:hint="cs"/>
          <w:spacing w:val="0"/>
          <w:kern w:val="0"/>
          <w:sz w:val="20"/>
          <w:rtl/>
          <w:lang w:val="fr-CH"/>
        </w:rPr>
        <w:t xml:space="preserve">في الاستجواب الأول الذي تم في مركز التسجيل. وأشار عندئذ أيضاً إلى </w:t>
      </w:r>
      <w:r w:rsidR="00523D40" w:rsidRPr="00523D40">
        <w:rPr>
          <w:spacing w:val="0"/>
          <w:kern w:val="0"/>
          <w:sz w:val="20"/>
          <w:rtl/>
          <w:lang w:val="fr-CH"/>
        </w:rPr>
        <w:t xml:space="preserve">الأحداث التي أحاطت </w:t>
      </w:r>
      <w:r w:rsidR="00523D40" w:rsidRPr="00523D40">
        <w:rPr>
          <w:rFonts w:hint="cs"/>
          <w:spacing w:val="0"/>
          <w:kern w:val="0"/>
          <w:sz w:val="20"/>
          <w:rtl/>
          <w:lang w:val="fr-CH"/>
        </w:rPr>
        <w:t xml:space="preserve">بالاجتماع الذي عقد في </w:t>
      </w:r>
      <w:r w:rsidR="00523D40" w:rsidRPr="00523D40">
        <w:rPr>
          <w:spacing w:val="0"/>
          <w:kern w:val="0"/>
          <w:sz w:val="20"/>
          <w:rtl/>
          <w:lang w:val="fr-CH"/>
        </w:rPr>
        <w:t xml:space="preserve">16 </w:t>
      </w:r>
      <w:r w:rsidR="00523D40" w:rsidRPr="00523D40">
        <w:rPr>
          <w:rFonts w:hint="cs"/>
          <w:spacing w:val="0"/>
          <w:kern w:val="0"/>
          <w:sz w:val="20"/>
          <w:rtl/>
          <w:lang w:val="fr-CH"/>
        </w:rPr>
        <w:t>نيسان/</w:t>
      </w:r>
      <w:r w:rsidR="00523D40" w:rsidRPr="00523D40">
        <w:rPr>
          <w:spacing w:val="0"/>
          <w:kern w:val="0"/>
          <w:sz w:val="20"/>
          <w:rtl/>
          <w:lang w:val="fr-CH"/>
        </w:rPr>
        <w:t>أبريل 2005.</w:t>
      </w:r>
      <w:r w:rsidR="00523D40" w:rsidRPr="00523D40">
        <w:rPr>
          <w:rFonts w:hint="cs"/>
          <w:spacing w:val="0"/>
          <w:kern w:val="0"/>
          <w:sz w:val="20"/>
          <w:rtl/>
          <w:lang w:val="fr-CH"/>
        </w:rPr>
        <w:t xml:space="preserve"> </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5-5</w:t>
      </w:r>
      <w:r w:rsidRPr="00523D40">
        <w:rPr>
          <w:rFonts w:hint="cs"/>
          <w:spacing w:val="0"/>
          <w:kern w:val="0"/>
          <w:sz w:val="20"/>
          <w:rtl/>
        </w:rPr>
        <w:tab/>
      </w:r>
      <w:r w:rsidRPr="00523D40">
        <w:rPr>
          <w:spacing w:val="0"/>
          <w:kern w:val="0"/>
          <w:sz w:val="20"/>
          <w:rtl/>
          <w:lang w:val="fr-CH"/>
        </w:rPr>
        <w:t>و</w:t>
      </w:r>
      <w:r w:rsidRPr="00523D40">
        <w:rPr>
          <w:rFonts w:hint="cs"/>
          <w:spacing w:val="0"/>
          <w:kern w:val="0"/>
          <w:sz w:val="20"/>
          <w:rtl/>
          <w:lang w:val="fr-CH"/>
        </w:rPr>
        <w:t xml:space="preserve">يخلص صاحب الشكوى إلى </w:t>
      </w:r>
      <w:r w:rsidRPr="00523D40">
        <w:rPr>
          <w:spacing w:val="0"/>
          <w:kern w:val="0"/>
          <w:sz w:val="20"/>
          <w:rtl/>
          <w:lang w:val="fr-CH"/>
        </w:rPr>
        <w:t xml:space="preserve">أن </w:t>
      </w:r>
      <w:r w:rsidRPr="00523D40">
        <w:rPr>
          <w:rFonts w:hint="cs"/>
          <w:spacing w:val="0"/>
          <w:kern w:val="0"/>
          <w:sz w:val="20"/>
          <w:rtl/>
          <w:lang w:val="fr-CH"/>
        </w:rPr>
        <w:t>البيانات وا</w:t>
      </w:r>
      <w:r w:rsidRPr="00523D40">
        <w:rPr>
          <w:spacing w:val="0"/>
          <w:kern w:val="0"/>
          <w:sz w:val="20"/>
          <w:rtl/>
          <w:lang w:val="fr-CH"/>
        </w:rPr>
        <w:t xml:space="preserve">لأدلة المقدمة </w:t>
      </w:r>
      <w:r w:rsidRPr="00523D40">
        <w:rPr>
          <w:rFonts w:hint="cs"/>
          <w:spacing w:val="0"/>
          <w:kern w:val="0"/>
          <w:sz w:val="20"/>
          <w:rtl/>
          <w:lang w:val="fr-CH"/>
        </w:rPr>
        <w:t>تفيد ب</w:t>
      </w:r>
      <w:r w:rsidRPr="00523D40">
        <w:rPr>
          <w:spacing w:val="0"/>
          <w:kern w:val="0"/>
          <w:sz w:val="20"/>
          <w:rtl/>
          <w:lang w:val="fr-CH"/>
        </w:rPr>
        <w:t xml:space="preserve">أنه </w:t>
      </w:r>
      <w:r w:rsidRPr="00523D40">
        <w:rPr>
          <w:rFonts w:hint="cs"/>
          <w:spacing w:val="0"/>
          <w:kern w:val="0"/>
          <w:sz w:val="20"/>
          <w:rtl/>
          <w:lang w:val="fr-CH"/>
        </w:rPr>
        <w:t xml:space="preserve">سيتعرض </w:t>
      </w:r>
      <w:r w:rsidRPr="00523D40">
        <w:rPr>
          <w:spacing w:val="0"/>
          <w:kern w:val="0"/>
          <w:sz w:val="20"/>
          <w:rtl/>
          <w:lang w:val="fr-CH"/>
        </w:rPr>
        <w:t>في حالة عودته إلى توغو لمعاملة تتنافى مع المادة 3 من الاتفاقية.</w:t>
      </w:r>
    </w:p>
    <w:p w:rsidR="00523D40" w:rsidRPr="00523D40" w:rsidRDefault="00523D40" w:rsidP="00523D40">
      <w:pPr>
        <w:pStyle w:val="H23GA"/>
        <w:jc w:val="lowKashida"/>
        <w:rPr>
          <w:rFonts w:hint="cs"/>
          <w:spacing w:val="0"/>
          <w:kern w:val="0"/>
          <w:sz w:val="20"/>
          <w:rtl/>
        </w:rPr>
      </w:pPr>
      <w:r w:rsidRPr="00523D40">
        <w:rPr>
          <w:rFonts w:hint="cs"/>
          <w:spacing w:val="0"/>
          <w:kern w:val="0"/>
          <w:sz w:val="20"/>
          <w:rtl/>
          <w:lang w:val="fr-CH"/>
        </w:rPr>
        <w:tab/>
      </w:r>
      <w:r w:rsidRPr="00523D40">
        <w:rPr>
          <w:rFonts w:hint="cs"/>
          <w:spacing w:val="0"/>
          <w:kern w:val="0"/>
          <w:sz w:val="20"/>
          <w:rtl/>
          <w:lang w:val="fr-CH"/>
        </w:rPr>
        <w:tab/>
        <w:t xml:space="preserve">المسائل والإجراءات المعروضة على </w:t>
      </w:r>
      <w:r w:rsidRPr="00523D40">
        <w:rPr>
          <w:rFonts w:hint="cs"/>
          <w:spacing w:val="0"/>
          <w:kern w:val="0"/>
          <w:sz w:val="20"/>
          <w:rtl/>
        </w:rPr>
        <w:t>اللجنة</w:t>
      </w:r>
    </w:p>
    <w:p w:rsidR="00523D40" w:rsidRPr="00523D40" w:rsidRDefault="00523D40" w:rsidP="00523D40">
      <w:pPr>
        <w:pStyle w:val="H4GA"/>
        <w:jc w:val="lowKashida"/>
        <w:rPr>
          <w:rFonts w:hint="cs"/>
          <w:spacing w:val="0"/>
          <w:kern w:val="0"/>
          <w:sz w:val="20"/>
          <w:rtl/>
        </w:rPr>
      </w:pPr>
      <w:r w:rsidRPr="00523D40">
        <w:rPr>
          <w:rFonts w:hint="cs"/>
          <w:spacing w:val="0"/>
          <w:kern w:val="0"/>
          <w:sz w:val="20"/>
          <w:rtl/>
        </w:rPr>
        <w:tab/>
      </w:r>
      <w:r w:rsidRPr="00523D40">
        <w:rPr>
          <w:rFonts w:hint="cs"/>
          <w:spacing w:val="0"/>
          <w:kern w:val="0"/>
          <w:sz w:val="20"/>
          <w:rtl/>
        </w:rPr>
        <w:tab/>
        <w:t>النظر في المقبولية</w:t>
      </w:r>
    </w:p>
    <w:p w:rsidR="00523D40" w:rsidRPr="00523D40" w:rsidRDefault="00523D40" w:rsidP="00523D40">
      <w:pPr>
        <w:pStyle w:val="SingleTxtGA"/>
        <w:jc w:val="lowKashida"/>
        <w:rPr>
          <w:rFonts w:hint="cs"/>
          <w:spacing w:val="0"/>
          <w:kern w:val="0"/>
          <w:sz w:val="20"/>
          <w:szCs w:val="20"/>
          <w:rtl/>
        </w:rPr>
      </w:pPr>
      <w:r w:rsidRPr="00523D40">
        <w:rPr>
          <w:rFonts w:hint="cs"/>
          <w:spacing w:val="0"/>
          <w:kern w:val="0"/>
          <w:sz w:val="20"/>
          <w:rtl/>
        </w:rPr>
        <w:t>6-1</w:t>
      </w:r>
      <w:r w:rsidRPr="00523D40">
        <w:rPr>
          <w:rFonts w:hint="cs"/>
          <w:spacing w:val="0"/>
          <w:kern w:val="0"/>
          <w:sz w:val="20"/>
          <w:rtl/>
        </w:rPr>
        <w:tab/>
        <w:t>قبل النظر في أي ادعاء يرد في بلاغ ما، يتعين على لجنـة مناهضـة التعذيـب، أن تبت فيما إذا كان البلاغ مقبولاً أم لا بموجب المادة 22 من الاتفاقية. وقد تحققت اللجنـة، حسبما تقتضيـه الفقرة 5(أ) من المادة 22 من الاتفاقية، من أن المسألة نفسها لم تبحث ولا</w:t>
      </w:r>
      <w:r w:rsidRPr="00523D40">
        <w:rPr>
          <w:rFonts w:hint="eastAsia"/>
          <w:spacing w:val="0"/>
          <w:kern w:val="0"/>
          <w:sz w:val="20"/>
          <w:rtl/>
        </w:rPr>
        <w:t> </w:t>
      </w:r>
      <w:r w:rsidRPr="00523D40">
        <w:rPr>
          <w:rFonts w:hint="cs"/>
          <w:spacing w:val="0"/>
          <w:kern w:val="0"/>
          <w:sz w:val="20"/>
          <w:rtl/>
        </w:rPr>
        <w:t>جرى بحثها في إطار أي إجراء آخر من إجراءات التحقيق الدولي أو التسوية الدولية.</w:t>
      </w:r>
      <w:r w:rsidRPr="00523D40">
        <w:rPr>
          <w:rFonts w:hint="cs"/>
          <w:spacing w:val="0"/>
          <w:kern w:val="0"/>
          <w:sz w:val="20"/>
          <w:rtl/>
          <w:lang w:val="fr-CH"/>
        </w:rPr>
        <w:t xml:space="preserve"> </w:t>
      </w:r>
    </w:p>
    <w:p w:rsidR="00523D40" w:rsidRPr="00523D40" w:rsidRDefault="00523D40" w:rsidP="00F040E7">
      <w:pPr>
        <w:pStyle w:val="SingleTxtGA"/>
        <w:jc w:val="lowKashida"/>
        <w:rPr>
          <w:rFonts w:hint="cs"/>
          <w:spacing w:val="0"/>
          <w:kern w:val="0"/>
          <w:sz w:val="20"/>
          <w:szCs w:val="20"/>
          <w:rtl/>
        </w:rPr>
      </w:pPr>
      <w:r w:rsidRPr="00F040E7">
        <w:rPr>
          <w:rFonts w:hint="cs"/>
          <w:spacing w:val="-4"/>
          <w:kern w:val="0"/>
          <w:sz w:val="20"/>
          <w:rtl/>
          <w:lang w:val="fr-CH"/>
        </w:rPr>
        <w:t>6-2</w:t>
      </w:r>
      <w:r w:rsidRPr="00F040E7">
        <w:rPr>
          <w:rFonts w:hint="cs"/>
          <w:spacing w:val="-4"/>
          <w:kern w:val="0"/>
          <w:sz w:val="20"/>
          <w:rtl/>
          <w:lang w:val="fr-CH"/>
        </w:rPr>
        <w:tab/>
        <w:t xml:space="preserve">وتلاحظ اللجنة كذلك أن سبل الانتصاف المحلية قد استُنفدت بموجب </w:t>
      </w:r>
      <w:r w:rsidRPr="00F040E7">
        <w:rPr>
          <w:spacing w:val="-4"/>
          <w:kern w:val="0"/>
          <w:sz w:val="20"/>
          <w:rtl/>
          <w:lang w:val="fr-CH"/>
        </w:rPr>
        <w:t xml:space="preserve">الفقرة 5(ب) من المادة 22 من الاتفاقية، </w:t>
      </w:r>
      <w:r w:rsidRPr="00F040E7">
        <w:rPr>
          <w:rFonts w:hint="cs"/>
          <w:spacing w:val="-4"/>
          <w:kern w:val="0"/>
          <w:sz w:val="20"/>
          <w:rtl/>
          <w:lang w:val="fr-CH"/>
        </w:rPr>
        <w:t>وأن الدولة الطرف لم تعترض على ذلك. وعليه،</w:t>
      </w:r>
      <w:r w:rsidRPr="00F040E7">
        <w:rPr>
          <w:rFonts w:hint="cs"/>
          <w:spacing w:val="-4"/>
          <w:kern w:val="0"/>
          <w:sz w:val="20"/>
          <w:rtl/>
        </w:rPr>
        <w:t xml:space="preserve"> خلصت</w:t>
      </w:r>
      <w:r w:rsidRPr="00523D40">
        <w:rPr>
          <w:rFonts w:hint="cs"/>
          <w:spacing w:val="0"/>
          <w:kern w:val="0"/>
          <w:sz w:val="20"/>
          <w:rtl/>
        </w:rPr>
        <w:t xml:space="preserve"> اللجنة إلى مقبولية البلاغ وشرعت في النظر في أسسه الموضوعية.</w:t>
      </w:r>
    </w:p>
    <w:p w:rsidR="00523D40" w:rsidRPr="00523D40" w:rsidRDefault="00523D40" w:rsidP="00523D40">
      <w:pPr>
        <w:pStyle w:val="H4GA"/>
        <w:jc w:val="lowKashida"/>
        <w:rPr>
          <w:rFonts w:hint="cs"/>
          <w:spacing w:val="0"/>
          <w:kern w:val="0"/>
          <w:sz w:val="20"/>
          <w:rtl/>
          <w:lang w:val="fr-CH"/>
        </w:rPr>
      </w:pPr>
      <w:r w:rsidRPr="00523D40">
        <w:rPr>
          <w:rFonts w:hint="cs"/>
          <w:spacing w:val="0"/>
          <w:kern w:val="0"/>
          <w:sz w:val="20"/>
          <w:rtl/>
        </w:rPr>
        <w:tab/>
      </w:r>
      <w:r w:rsidRPr="00523D40">
        <w:rPr>
          <w:rFonts w:hint="cs"/>
          <w:spacing w:val="0"/>
          <w:kern w:val="0"/>
          <w:sz w:val="20"/>
          <w:rtl/>
        </w:rPr>
        <w:tab/>
        <w:t>النظر في الأسس الموضوعية</w:t>
      </w:r>
    </w:p>
    <w:p w:rsidR="00523D40" w:rsidRPr="00523D40" w:rsidRDefault="00523D40" w:rsidP="00523D40">
      <w:pPr>
        <w:pStyle w:val="SingleTxtGA"/>
        <w:jc w:val="lowKashida"/>
        <w:rPr>
          <w:rFonts w:hint="cs"/>
          <w:spacing w:val="0"/>
          <w:kern w:val="0"/>
          <w:sz w:val="20"/>
          <w:szCs w:val="20"/>
          <w:rtl/>
        </w:rPr>
      </w:pPr>
      <w:r w:rsidRPr="00523D40">
        <w:rPr>
          <w:rFonts w:hint="cs"/>
          <w:spacing w:val="0"/>
          <w:kern w:val="0"/>
          <w:sz w:val="20"/>
          <w:rtl/>
          <w:lang w:val="fr-CH"/>
        </w:rPr>
        <w:t>7-1</w:t>
      </w:r>
      <w:r w:rsidRPr="00523D40">
        <w:rPr>
          <w:rFonts w:hint="cs"/>
          <w:spacing w:val="0"/>
          <w:kern w:val="0"/>
          <w:sz w:val="20"/>
          <w:rtl/>
          <w:lang w:val="fr-CH"/>
        </w:rPr>
        <w:tab/>
      </w:r>
      <w:r w:rsidRPr="00523D40">
        <w:rPr>
          <w:spacing w:val="0"/>
          <w:kern w:val="0"/>
          <w:sz w:val="20"/>
          <w:rtl/>
          <w:lang w:val="fr-CH"/>
        </w:rPr>
        <w:t>نظرت اللجنة في ال</w:t>
      </w:r>
      <w:r w:rsidRPr="00523D40">
        <w:rPr>
          <w:rFonts w:hint="cs"/>
          <w:spacing w:val="0"/>
          <w:kern w:val="0"/>
          <w:sz w:val="20"/>
          <w:rtl/>
          <w:lang w:val="fr-CH"/>
        </w:rPr>
        <w:t>شكوى</w:t>
      </w:r>
      <w:r w:rsidRPr="00523D40">
        <w:rPr>
          <w:spacing w:val="0"/>
          <w:kern w:val="0"/>
          <w:sz w:val="20"/>
          <w:rtl/>
          <w:lang w:val="fr-CH"/>
        </w:rPr>
        <w:t xml:space="preserve"> </w:t>
      </w:r>
      <w:r w:rsidRPr="00523D40">
        <w:rPr>
          <w:rFonts w:hint="cs"/>
          <w:spacing w:val="0"/>
          <w:kern w:val="0"/>
          <w:sz w:val="20"/>
          <w:rtl/>
          <w:lang w:val="fr-CH"/>
        </w:rPr>
        <w:t>في ضوء</w:t>
      </w:r>
      <w:r w:rsidRPr="00523D40">
        <w:rPr>
          <w:spacing w:val="0"/>
          <w:kern w:val="0"/>
          <w:sz w:val="20"/>
          <w:rtl/>
          <w:lang w:val="fr-CH"/>
        </w:rPr>
        <w:t xml:space="preserve"> جميع المعلومات التي </w:t>
      </w:r>
      <w:r w:rsidRPr="00523D40">
        <w:rPr>
          <w:rFonts w:hint="cs"/>
          <w:spacing w:val="0"/>
          <w:kern w:val="0"/>
          <w:sz w:val="20"/>
          <w:rtl/>
          <w:lang w:val="fr-CH"/>
        </w:rPr>
        <w:t xml:space="preserve">أتاحها لها </w:t>
      </w:r>
      <w:r w:rsidRPr="00523D40">
        <w:rPr>
          <w:spacing w:val="0"/>
          <w:kern w:val="0"/>
          <w:sz w:val="20"/>
          <w:rtl/>
          <w:lang w:val="fr-CH"/>
        </w:rPr>
        <w:t xml:space="preserve">الطرفان، وفقاً </w:t>
      </w:r>
      <w:r w:rsidRPr="00523D40">
        <w:rPr>
          <w:rFonts w:hint="cs"/>
          <w:spacing w:val="0"/>
          <w:kern w:val="0"/>
          <w:sz w:val="20"/>
          <w:rtl/>
          <w:lang w:val="fr-CH"/>
        </w:rPr>
        <w:t>ل</w:t>
      </w:r>
      <w:r w:rsidRPr="00523D40">
        <w:rPr>
          <w:spacing w:val="0"/>
          <w:kern w:val="0"/>
          <w:sz w:val="20"/>
          <w:rtl/>
          <w:lang w:val="fr-CH"/>
        </w:rPr>
        <w:t>لفقرة 4 من المادة 22 من الاتفاقية</w:t>
      </w:r>
      <w:r w:rsidRPr="00523D40">
        <w:rPr>
          <w:rFonts w:hint="cs"/>
          <w:spacing w:val="0"/>
          <w:kern w:val="0"/>
          <w:sz w:val="20"/>
          <w:rtl/>
          <w:lang w:val="fr-CH"/>
        </w:rPr>
        <w:t>.</w:t>
      </w:r>
    </w:p>
    <w:p w:rsidR="00523D40" w:rsidRPr="00523D40" w:rsidRDefault="00523D40" w:rsidP="00523D40">
      <w:pPr>
        <w:pStyle w:val="SingleTxtGA"/>
        <w:jc w:val="lowKashida"/>
        <w:rPr>
          <w:rFonts w:hint="cs"/>
          <w:spacing w:val="0"/>
          <w:kern w:val="0"/>
          <w:sz w:val="20"/>
          <w:szCs w:val="20"/>
          <w:rtl/>
        </w:rPr>
      </w:pPr>
      <w:r w:rsidRPr="00523D40">
        <w:rPr>
          <w:rFonts w:hint="cs"/>
          <w:spacing w:val="0"/>
          <w:kern w:val="0"/>
          <w:sz w:val="20"/>
          <w:rtl/>
        </w:rPr>
        <w:t>7</w:t>
      </w:r>
      <w:r w:rsidRPr="00523D40">
        <w:rPr>
          <w:rFonts w:hint="cs"/>
          <w:spacing w:val="0"/>
          <w:kern w:val="0"/>
          <w:sz w:val="20"/>
          <w:rtl/>
          <w:lang w:val="fr-CH"/>
        </w:rPr>
        <w:t>-</w:t>
      </w:r>
      <w:r w:rsidRPr="00523D40">
        <w:rPr>
          <w:rFonts w:hint="cs"/>
          <w:spacing w:val="0"/>
          <w:kern w:val="0"/>
          <w:sz w:val="20"/>
          <w:rtl/>
        </w:rPr>
        <w:t>2</w:t>
      </w:r>
      <w:r w:rsidRPr="00523D40">
        <w:rPr>
          <w:rFonts w:hint="cs"/>
          <w:spacing w:val="0"/>
          <w:kern w:val="0"/>
          <w:sz w:val="20"/>
          <w:rtl/>
        </w:rPr>
        <w:tab/>
        <w:t xml:space="preserve">وتتمثل المسألة المعروضة على </w:t>
      </w:r>
      <w:r w:rsidRPr="00523D40">
        <w:rPr>
          <w:rFonts w:hint="cs"/>
          <w:spacing w:val="0"/>
          <w:kern w:val="0"/>
          <w:sz w:val="20"/>
          <w:rtl/>
          <w:lang w:val="fr-CH"/>
        </w:rPr>
        <w:t>اللجنة فيما إذا كان طرد صاحب الشكوى إلى توغو يشكل انتهاكاً لالتزام الدولة الطرف بموجب المادة 3 من الاتفاقية التي تقضي بعدم طرد أي شخص أو إعادته إلى دولة أخرى إذا توافرت أسباب حقيقية تدعو إلى الاعتقاد بأنه سيتعرض لخطر التعذيب.</w:t>
      </w:r>
    </w:p>
    <w:p w:rsidR="00523D40" w:rsidRPr="00523D40" w:rsidRDefault="00523D40" w:rsidP="00523D40">
      <w:pPr>
        <w:pStyle w:val="SingleTxtGA"/>
        <w:jc w:val="lowKashida"/>
        <w:rPr>
          <w:rFonts w:hint="cs"/>
          <w:spacing w:val="0"/>
          <w:kern w:val="0"/>
          <w:sz w:val="20"/>
          <w:szCs w:val="20"/>
          <w:rtl/>
        </w:rPr>
      </w:pPr>
      <w:r w:rsidRPr="00523D40">
        <w:rPr>
          <w:rFonts w:hint="cs"/>
          <w:spacing w:val="0"/>
          <w:kern w:val="0"/>
          <w:sz w:val="20"/>
          <w:rtl/>
        </w:rPr>
        <w:t>7</w:t>
      </w:r>
      <w:r w:rsidRPr="00523D40">
        <w:rPr>
          <w:rFonts w:hint="cs"/>
          <w:spacing w:val="0"/>
          <w:kern w:val="0"/>
          <w:sz w:val="20"/>
          <w:rtl/>
          <w:lang w:val="fr-CH"/>
        </w:rPr>
        <w:t>-</w:t>
      </w:r>
      <w:r w:rsidRPr="00523D40">
        <w:rPr>
          <w:rFonts w:hint="cs"/>
          <w:spacing w:val="0"/>
          <w:kern w:val="0"/>
          <w:sz w:val="20"/>
          <w:rtl/>
        </w:rPr>
        <w:t>3</w:t>
      </w:r>
      <w:r w:rsidRPr="00523D40">
        <w:rPr>
          <w:rFonts w:hint="cs"/>
          <w:spacing w:val="0"/>
          <w:kern w:val="0"/>
          <w:sz w:val="20"/>
          <w:rtl/>
        </w:rPr>
        <w:tab/>
      </w:r>
      <w:r w:rsidRPr="00523D40">
        <w:rPr>
          <w:rFonts w:hint="cs"/>
          <w:spacing w:val="0"/>
          <w:kern w:val="0"/>
          <w:sz w:val="20"/>
          <w:rtl/>
          <w:lang w:val="fr-CH"/>
        </w:rPr>
        <w:t xml:space="preserve">وفيما يتعلق بادعاءات صاحب الشكوى بموجب المادة 3، ينبغي أن تراعي اللجنة جميع العناصر، بما في ذلك وجود </w:t>
      </w:r>
      <w:r w:rsidRPr="00523D40">
        <w:rPr>
          <w:spacing w:val="0"/>
          <w:kern w:val="0"/>
          <w:sz w:val="20"/>
          <w:rtl/>
          <w:lang w:val="fr-CH"/>
        </w:rPr>
        <w:t xml:space="preserve">نمط ثابت من الانتهاكات </w:t>
      </w:r>
      <w:r w:rsidRPr="00523D40">
        <w:rPr>
          <w:rFonts w:hint="cs"/>
          <w:spacing w:val="0"/>
          <w:kern w:val="0"/>
          <w:sz w:val="20"/>
          <w:rtl/>
          <w:lang w:val="fr-CH"/>
        </w:rPr>
        <w:t xml:space="preserve">الفادحة </w:t>
      </w:r>
      <w:r w:rsidRPr="00523D40">
        <w:rPr>
          <w:spacing w:val="0"/>
          <w:kern w:val="0"/>
          <w:sz w:val="20"/>
          <w:rtl/>
          <w:lang w:val="fr-CH"/>
        </w:rPr>
        <w:t>أو الصارخة أو الجماعية</w:t>
      </w:r>
      <w:r w:rsidRPr="00523D40">
        <w:rPr>
          <w:rFonts w:hint="cs"/>
          <w:spacing w:val="0"/>
          <w:kern w:val="0"/>
          <w:sz w:val="20"/>
          <w:rtl/>
          <w:lang w:val="fr-CH"/>
        </w:rPr>
        <w:t xml:space="preserve"> </w:t>
      </w:r>
      <w:r w:rsidRPr="00523D40">
        <w:rPr>
          <w:spacing w:val="0"/>
          <w:kern w:val="0"/>
          <w:sz w:val="20"/>
          <w:rtl/>
          <w:lang w:val="fr-CH"/>
        </w:rPr>
        <w:t>لحقوق الإنسان</w:t>
      </w:r>
      <w:r w:rsidRPr="00523D40">
        <w:rPr>
          <w:rFonts w:hint="cs"/>
          <w:spacing w:val="0"/>
          <w:kern w:val="0"/>
          <w:sz w:val="20"/>
          <w:rtl/>
          <w:lang w:val="fr-CH"/>
        </w:rPr>
        <w:t xml:space="preserve">. بيد أن الهدف من هذا التحليل هو بيان ما إذا كان صاحب الشكوى سيواجه شخصياً خطر التعرض للتعذيب في توغو أم لا. ومن ثم، فإن وجود </w:t>
      </w:r>
      <w:r w:rsidRPr="00523D40">
        <w:rPr>
          <w:spacing w:val="0"/>
          <w:kern w:val="0"/>
          <w:sz w:val="20"/>
          <w:rtl/>
          <w:lang w:val="fr-CH"/>
        </w:rPr>
        <w:t xml:space="preserve">نمط ثابت من الانتهاكات </w:t>
      </w:r>
      <w:r w:rsidRPr="00523D40">
        <w:rPr>
          <w:rFonts w:hint="cs"/>
          <w:spacing w:val="0"/>
          <w:kern w:val="0"/>
          <w:sz w:val="20"/>
          <w:rtl/>
          <w:lang w:val="fr-CH"/>
        </w:rPr>
        <w:t xml:space="preserve">الفادحة </w:t>
      </w:r>
      <w:r w:rsidRPr="00523D40">
        <w:rPr>
          <w:spacing w:val="0"/>
          <w:kern w:val="0"/>
          <w:sz w:val="20"/>
          <w:rtl/>
          <w:lang w:val="fr-CH"/>
        </w:rPr>
        <w:t>أو الصارخة أو الجماعية</w:t>
      </w:r>
      <w:r w:rsidRPr="00523D40">
        <w:rPr>
          <w:rFonts w:hint="cs"/>
          <w:spacing w:val="0"/>
          <w:kern w:val="0"/>
          <w:sz w:val="20"/>
          <w:rtl/>
          <w:lang w:val="fr-CH"/>
        </w:rPr>
        <w:t xml:space="preserve"> </w:t>
      </w:r>
      <w:r w:rsidRPr="00523D40">
        <w:rPr>
          <w:spacing w:val="0"/>
          <w:kern w:val="0"/>
          <w:sz w:val="20"/>
          <w:rtl/>
          <w:lang w:val="fr-CH"/>
        </w:rPr>
        <w:t>لحقوق الإنسان</w:t>
      </w:r>
      <w:r w:rsidRPr="00523D40">
        <w:rPr>
          <w:rFonts w:hint="cs"/>
          <w:spacing w:val="0"/>
          <w:kern w:val="0"/>
          <w:sz w:val="20"/>
          <w:rtl/>
          <w:lang w:val="fr-CH"/>
        </w:rPr>
        <w:t xml:space="preserve"> في البلد لا يشكل في حد ذاته سبباً كافياً لإثبات أن صاحب الشكوى سيواجه خطر التعرض للتعذيب عند طرده إلى البلد المعني، بل يجب أن تكون هناك أسباب إضافية تبين أن الشخص المعني سيتعرض شخصياً لخطر التعذيب</w:t>
      </w:r>
      <w:r w:rsidRPr="00523D40">
        <w:rPr>
          <w:spacing w:val="0"/>
          <w:kern w:val="0"/>
          <w:sz w:val="20"/>
          <w:vertAlign w:val="superscript"/>
          <w:rtl/>
          <w:lang w:val="fr-CH"/>
        </w:rPr>
        <w:t>(</w:t>
      </w:r>
      <w:r w:rsidRPr="00523D40">
        <w:rPr>
          <w:rStyle w:val="FootnoteReference"/>
          <w:spacing w:val="0"/>
          <w:sz w:val="20"/>
          <w:rtl/>
          <w:lang w:val="fr-CH"/>
        </w:rPr>
        <w:footnoteReference w:id="315"/>
      </w:r>
      <w:r w:rsidRPr="00523D40">
        <w:rPr>
          <w:spacing w:val="0"/>
          <w:kern w:val="0"/>
          <w:sz w:val="20"/>
          <w:vertAlign w:val="superscript"/>
          <w:rtl/>
          <w:lang w:val="fr-CH"/>
        </w:rPr>
        <w:t>)</w:t>
      </w:r>
      <w:r w:rsidRPr="00523D40">
        <w:rPr>
          <w:rFonts w:hint="cs"/>
          <w:spacing w:val="0"/>
          <w:kern w:val="0"/>
          <w:sz w:val="20"/>
          <w:rtl/>
          <w:lang w:val="fr-CH"/>
        </w:rPr>
        <w:t>.</w:t>
      </w:r>
    </w:p>
    <w:p w:rsidR="00523D40" w:rsidRPr="00523D40" w:rsidRDefault="00523D40" w:rsidP="00523D40">
      <w:pPr>
        <w:pStyle w:val="SingleTxtGA"/>
        <w:jc w:val="lowKashida"/>
        <w:rPr>
          <w:rFonts w:hint="cs"/>
          <w:spacing w:val="0"/>
          <w:kern w:val="0"/>
          <w:sz w:val="20"/>
          <w:szCs w:val="20"/>
          <w:rtl/>
        </w:rPr>
      </w:pPr>
      <w:r w:rsidRPr="00523D40">
        <w:rPr>
          <w:rFonts w:hint="cs"/>
          <w:spacing w:val="0"/>
          <w:kern w:val="0"/>
          <w:sz w:val="20"/>
          <w:rtl/>
        </w:rPr>
        <w:t>7</w:t>
      </w:r>
      <w:r w:rsidRPr="00523D40">
        <w:rPr>
          <w:rFonts w:hint="cs"/>
          <w:spacing w:val="0"/>
          <w:kern w:val="0"/>
          <w:sz w:val="20"/>
          <w:rtl/>
          <w:lang w:val="fr-CH"/>
        </w:rPr>
        <w:t>-</w:t>
      </w:r>
      <w:r w:rsidRPr="00523D40">
        <w:rPr>
          <w:rFonts w:hint="cs"/>
          <w:spacing w:val="0"/>
          <w:kern w:val="0"/>
          <w:sz w:val="20"/>
          <w:rtl/>
        </w:rPr>
        <w:t>4</w:t>
      </w:r>
      <w:r w:rsidRPr="00523D40">
        <w:rPr>
          <w:rFonts w:hint="cs"/>
          <w:spacing w:val="0"/>
          <w:kern w:val="0"/>
          <w:sz w:val="20"/>
          <w:rtl/>
        </w:rPr>
        <w:tab/>
        <w:t xml:space="preserve">وتشير اللجنة إلى تعليقها العام رقم 1 الذي رأت فيه أنه لا يجب أن خطر التعرض للتعذيب محتملاً جداً، ولكن يجب أن يكون شخصياً وقائماً. وفي هذا الصدد، أوضحت اللجنة في قرارات سابقة أن خطر التعذيب ينبغي أن يكون </w:t>
      </w:r>
      <w:r w:rsidRPr="00523D40">
        <w:rPr>
          <w:spacing w:val="0"/>
          <w:kern w:val="0"/>
          <w:sz w:val="20"/>
          <w:rtl/>
        </w:rPr>
        <w:t>"</w:t>
      </w:r>
      <w:r w:rsidRPr="00523D40">
        <w:rPr>
          <w:rFonts w:hint="cs"/>
          <w:spacing w:val="0"/>
          <w:kern w:val="0"/>
          <w:sz w:val="20"/>
          <w:rtl/>
        </w:rPr>
        <w:t>متوقعاً وحقيقياً وشخصياً</w:t>
      </w:r>
      <w:r w:rsidRPr="00523D40">
        <w:rPr>
          <w:spacing w:val="0"/>
          <w:kern w:val="0"/>
          <w:sz w:val="20"/>
          <w:rtl/>
          <w:lang w:val="fr-CH"/>
        </w:rPr>
        <w:t>"</w:t>
      </w:r>
      <w:r w:rsidRPr="00523D40">
        <w:rPr>
          <w:spacing w:val="0"/>
          <w:kern w:val="0"/>
          <w:sz w:val="20"/>
          <w:vertAlign w:val="superscript"/>
          <w:rtl/>
          <w:lang w:val="fr-CH"/>
        </w:rPr>
        <w:t>(</w:t>
      </w:r>
      <w:r w:rsidRPr="00523D40">
        <w:rPr>
          <w:rStyle w:val="FootnoteReference"/>
          <w:spacing w:val="0"/>
          <w:sz w:val="20"/>
          <w:rtl/>
          <w:lang w:val="fr-CH"/>
        </w:rPr>
        <w:footnoteReference w:id="316"/>
      </w:r>
      <w:r w:rsidRPr="00523D40">
        <w:rPr>
          <w:spacing w:val="0"/>
          <w:kern w:val="0"/>
          <w:sz w:val="20"/>
          <w:vertAlign w:val="superscript"/>
          <w:rtl/>
          <w:lang w:val="fr-CH"/>
        </w:rPr>
        <w:t>)</w:t>
      </w:r>
      <w:r w:rsidRPr="00523D40">
        <w:rPr>
          <w:rFonts w:hint="cs"/>
          <w:spacing w:val="0"/>
          <w:kern w:val="0"/>
          <w:sz w:val="20"/>
          <w:rtl/>
          <w:lang w:val="fr-CH"/>
        </w:rPr>
        <w:t>.</w:t>
      </w:r>
      <w:r w:rsidRPr="00523D40">
        <w:rPr>
          <w:spacing w:val="0"/>
          <w:kern w:val="0"/>
          <w:sz w:val="20"/>
          <w:rtl/>
        </w:rPr>
        <w:t xml:space="preserve"> </w:t>
      </w:r>
      <w:r w:rsidRPr="00523D40">
        <w:rPr>
          <w:spacing w:val="0"/>
          <w:kern w:val="0"/>
          <w:sz w:val="20"/>
          <w:rtl/>
          <w:lang w:val="fr-CH"/>
        </w:rPr>
        <w:t>وفيما يخص عبء الإثبات، تذك</w:t>
      </w:r>
      <w:r w:rsidRPr="00523D40">
        <w:rPr>
          <w:rFonts w:hint="cs"/>
          <w:spacing w:val="0"/>
          <w:kern w:val="0"/>
          <w:sz w:val="20"/>
          <w:rtl/>
          <w:lang w:val="fr-CH"/>
        </w:rPr>
        <w:t>ّ</w:t>
      </w:r>
      <w:r w:rsidRPr="00523D40">
        <w:rPr>
          <w:spacing w:val="0"/>
          <w:kern w:val="0"/>
          <w:sz w:val="20"/>
          <w:rtl/>
          <w:lang w:val="fr-CH"/>
        </w:rPr>
        <w:t xml:space="preserve">ر اللجنة </w:t>
      </w:r>
      <w:r w:rsidRPr="00523D40">
        <w:rPr>
          <w:rFonts w:hint="cs"/>
          <w:spacing w:val="0"/>
          <w:kern w:val="0"/>
          <w:sz w:val="20"/>
          <w:rtl/>
          <w:lang w:val="fr-CH"/>
        </w:rPr>
        <w:t>ب</w:t>
      </w:r>
      <w:r w:rsidRPr="00523D40">
        <w:rPr>
          <w:spacing w:val="0"/>
          <w:kern w:val="0"/>
          <w:sz w:val="20"/>
          <w:rtl/>
          <w:lang w:val="fr-CH"/>
        </w:rPr>
        <w:t>أن على صاحب ال</w:t>
      </w:r>
      <w:r w:rsidRPr="00523D40">
        <w:rPr>
          <w:rFonts w:hint="cs"/>
          <w:spacing w:val="0"/>
          <w:kern w:val="0"/>
          <w:sz w:val="20"/>
          <w:rtl/>
          <w:lang w:val="fr-CH"/>
        </w:rPr>
        <w:t>شكوى</w:t>
      </w:r>
      <w:r w:rsidRPr="00523D40">
        <w:rPr>
          <w:spacing w:val="0"/>
          <w:kern w:val="0"/>
          <w:sz w:val="20"/>
          <w:rtl/>
          <w:lang w:val="fr-CH"/>
        </w:rPr>
        <w:t xml:space="preserve"> </w:t>
      </w:r>
      <w:r w:rsidRPr="00523D40">
        <w:rPr>
          <w:rFonts w:hint="cs"/>
          <w:spacing w:val="0"/>
          <w:kern w:val="0"/>
          <w:sz w:val="20"/>
          <w:rtl/>
          <w:lang w:val="fr-CH"/>
        </w:rPr>
        <w:t>عادةً</w:t>
      </w:r>
      <w:r w:rsidRPr="00523D40">
        <w:rPr>
          <w:spacing w:val="0"/>
          <w:kern w:val="0"/>
          <w:sz w:val="20"/>
          <w:rtl/>
          <w:lang w:val="fr-CH"/>
        </w:rPr>
        <w:t xml:space="preserve"> </w:t>
      </w:r>
      <w:r w:rsidRPr="00523D40">
        <w:rPr>
          <w:rFonts w:hint="cs"/>
          <w:spacing w:val="0"/>
          <w:kern w:val="0"/>
          <w:sz w:val="20"/>
          <w:rtl/>
          <w:lang w:val="fr-CH"/>
        </w:rPr>
        <w:t>أن ي</w:t>
      </w:r>
      <w:r w:rsidR="00001F13">
        <w:rPr>
          <w:spacing w:val="0"/>
          <w:kern w:val="0"/>
          <w:sz w:val="20"/>
          <w:rtl/>
          <w:lang w:val="fr-CH"/>
        </w:rPr>
        <w:t>قد</w:t>
      </w:r>
      <w:r w:rsidRPr="00523D40">
        <w:rPr>
          <w:spacing w:val="0"/>
          <w:kern w:val="0"/>
          <w:sz w:val="20"/>
          <w:rtl/>
          <w:lang w:val="fr-CH"/>
        </w:rPr>
        <w:t>م حجج</w:t>
      </w:r>
      <w:r w:rsidRPr="00523D40">
        <w:rPr>
          <w:rFonts w:hint="cs"/>
          <w:spacing w:val="0"/>
          <w:kern w:val="0"/>
          <w:sz w:val="20"/>
          <w:rtl/>
          <w:lang w:val="fr-CH"/>
        </w:rPr>
        <w:t>ا</w:t>
      </w:r>
      <w:r w:rsidR="00001F13">
        <w:rPr>
          <w:rFonts w:hint="cs"/>
          <w:spacing w:val="0"/>
          <w:kern w:val="0"/>
          <w:sz w:val="20"/>
          <w:rtl/>
          <w:lang w:val="fr-CH"/>
        </w:rPr>
        <w:t>ً</w:t>
      </w:r>
      <w:r w:rsidRPr="00523D40">
        <w:rPr>
          <w:spacing w:val="0"/>
          <w:kern w:val="0"/>
          <w:sz w:val="20"/>
          <w:rtl/>
          <w:lang w:val="fr-CH"/>
        </w:rPr>
        <w:t xml:space="preserve"> مقنعة، وأن</w:t>
      </w:r>
      <w:r w:rsidRPr="00523D40">
        <w:rPr>
          <w:rFonts w:hint="cs"/>
          <w:spacing w:val="0"/>
          <w:kern w:val="0"/>
          <w:sz w:val="20"/>
          <w:rtl/>
          <w:lang w:val="fr-CH"/>
        </w:rPr>
        <w:t>ه</w:t>
      </w:r>
      <w:r w:rsidRPr="00523D40">
        <w:rPr>
          <w:spacing w:val="0"/>
          <w:kern w:val="0"/>
          <w:sz w:val="20"/>
          <w:rtl/>
          <w:lang w:val="fr-CH"/>
        </w:rPr>
        <w:t xml:space="preserve"> يجب </w:t>
      </w:r>
      <w:r w:rsidRPr="00523D40">
        <w:rPr>
          <w:rFonts w:hint="cs"/>
          <w:spacing w:val="0"/>
          <w:kern w:val="0"/>
          <w:sz w:val="20"/>
          <w:rtl/>
          <w:lang w:val="fr-CH"/>
        </w:rPr>
        <w:t>أن يقدَّر خطر ال</w:t>
      </w:r>
      <w:r w:rsidRPr="00523D40">
        <w:rPr>
          <w:spacing w:val="0"/>
          <w:kern w:val="0"/>
          <w:sz w:val="20"/>
          <w:rtl/>
          <w:lang w:val="fr-CH"/>
        </w:rPr>
        <w:t xml:space="preserve">تعذيب على </w:t>
      </w:r>
      <w:r w:rsidRPr="00523D40">
        <w:rPr>
          <w:rFonts w:hint="cs"/>
          <w:spacing w:val="0"/>
          <w:kern w:val="0"/>
          <w:sz w:val="20"/>
          <w:rtl/>
          <w:lang w:val="fr-CH"/>
        </w:rPr>
        <w:t>أسس تتجاوز</w:t>
      </w:r>
      <w:r w:rsidRPr="00523D40">
        <w:rPr>
          <w:spacing w:val="0"/>
          <w:kern w:val="0"/>
          <w:sz w:val="20"/>
          <w:rtl/>
          <w:lang w:val="fr-CH"/>
        </w:rPr>
        <w:t xml:space="preserve"> مجرد </w:t>
      </w:r>
      <w:r w:rsidRPr="00523D40">
        <w:rPr>
          <w:rFonts w:hint="cs"/>
          <w:spacing w:val="0"/>
          <w:kern w:val="0"/>
          <w:sz w:val="20"/>
          <w:rtl/>
          <w:lang w:val="fr-CH"/>
        </w:rPr>
        <w:t>ال</w:t>
      </w:r>
      <w:r w:rsidRPr="00523D40">
        <w:rPr>
          <w:spacing w:val="0"/>
          <w:kern w:val="0"/>
          <w:sz w:val="20"/>
          <w:rtl/>
          <w:lang w:val="fr-CH"/>
        </w:rPr>
        <w:t xml:space="preserve">افتراض </w:t>
      </w:r>
      <w:r w:rsidRPr="00523D40">
        <w:rPr>
          <w:rFonts w:hint="cs"/>
          <w:spacing w:val="0"/>
          <w:kern w:val="0"/>
          <w:sz w:val="20"/>
          <w:rtl/>
          <w:lang w:val="fr-CH"/>
        </w:rPr>
        <w:t>أ</w:t>
      </w:r>
      <w:r w:rsidRPr="00523D40">
        <w:rPr>
          <w:spacing w:val="0"/>
          <w:kern w:val="0"/>
          <w:sz w:val="20"/>
          <w:rtl/>
          <w:lang w:val="fr-CH"/>
        </w:rPr>
        <w:t>و</w:t>
      </w:r>
      <w:r w:rsidRPr="00523D40">
        <w:rPr>
          <w:rFonts w:hint="cs"/>
          <w:spacing w:val="0"/>
          <w:kern w:val="0"/>
          <w:sz w:val="20"/>
          <w:rtl/>
          <w:lang w:val="fr-CH"/>
        </w:rPr>
        <w:t xml:space="preserve"> ال</w:t>
      </w:r>
      <w:r w:rsidRPr="00523D40">
        <w:rPr>
          <w:spacing w:val="0"/>
          <w:kern w:val="0"/>
          <w:sz w:val="20"/>
          <w:rtl/>
          <w:lang w:val="fr-CH"/>
        </w:rPr>
        <w:t>شك.</w:t>
      </w:r>
    </w:p>
    <w:p w:rsidR="00523D40" w:rsidRPr="00523D40" w:rsidRDefault="00523D40" w:rsidP="00F040E7">
      <w:pPr>
        <w:pStyle w:val="SingleTxtGA"/>
        <w:jc w:val="lowKashida"/>
        <w:rPr>
          <w:rFonts w:hint="cs"/>
          <w:spacing w:val="0"/>
          <w:kern w:val="0"/>
          <w:sz w:val="20"/>
          <w:rtl/>
        </w:rPr>
      </w:pPr>
      <w:r w:rsidRPr="00523D40">
        <w:rPr>
          <w:rFonts w:hint="cs"/>
          <w:spacing w:val="0"/>
          <w:kern w:val="0"/>
          <w:sz w:val="20"/>
          <w:rtl/>
        </w:rPr>
        <w:t>7-5</w:t>
      </w:r>
      <w:r w:rsidRPr="00523D40">
        <w:rPr>
          <w:rFonts w:hint="cs"/>
          <w:spacing w:val="0"/>
          <w:kern w:val="0"/>
          <w:sz w:val="20"/>
          <w:rtl/>
        </w:rPr>
        <w:tab/>
      </w:r>
      <w:r w:rsidRPr="00523D40">
        <w:rPr>
          <w:spacing w:val="0"/>
          <w:kern w:val="0"/>
          <w:sz w:val="20"/>
          <w:rtl/>
        </w:rPr>
        <w:t xml:space="preserve">وفي </w:t>
      </w:r>
      <w:r w:rsidRPr="00523D40">
        <w:rPr>
          <w:rFonts w:hint="cs"/>
          <w:spacing w:val="0"/>
          <w:kern w:val="0"/>
          <w:sz w:val="20"/>
          <w:rtl/>
        </w:rPr>
        <w:t xml:space="preserve">معرض </w:t>
      </w:r>
      <w:r w:rsidRPr="00523D40">
        <w:rPr>
          <w:spacing w:val="0"/>
          <w:kern w:val="0"/>
          <w:sz w:val="20"/>
          <w:rtl/>
        </w:rPr>
        <w:t xml:space="preserve">تقييم </w:t>
      </w:r>
      <w:r w:rsidRPr="00523D40">
        <w:rPr>
          <w:rFonts w:hint="cs"/>
          <w:spacing w:val="0"/>
          <w:kern w:val="0"/>
          <w:sz w:val="20"/>
          <w:rtl/>
        </w:rPr>
        <w:t>خطر التعرض ل</w:t>
      </w:r>
      <w:r w:rsidRPr="00523D40">
        <w:rPr>
          <w:spacing w:val="0"/>
          <w:kern w:val="0"/>
          <w:sz w:val="20"/>
          <w:rtl/>
        </w:rPr>
        <w:t xml:space="preserve">لتعذيب في </w:t>
      </w:r>
      <w:r w:rsidRPr="00523D40">
        <w:rPr>
          <w:rFonts w:hint="cs"/>
          <w:spacing w:val="0"/>
          <w:kern w:val="0"/>
          <w:sz w:val="20"/>
          <w:rtl/>
        </w:rPr>
        <w:t>الشكوى قيد البحث</w:t>
      </w:r>
      <w:r w:rsidRPr="00523D40">
        <w:rPr>
          <w:spacing w:val="0"/>
          <w:kern w:val="0"/>
          <w:sz w:val="20"/>
          <w:rtl/>
        </w:rPr>
        <w:t xml:space="preserve">، تلاحظ اللجنة </w:t>
      </w:r>
      <w:r w:rsidRPr="00523D40">
        <w:rPr>
          <w:rFonts w:hint="cs"/>
          <w:spacing w:val="0"/>
          <w:kern w:val="0"/>
          <w:sz w:val="20"/>
          <w:rtl/>
        </w:rPr>
        <w:t xml:space="preserve">احتجاج صاحب الشكوى بأنه من الأعضاء النشطين في حزب اتحاد القوى من أجل التغيير؛ وأن دوره كان </w:t>
      </w:r>
      <w:r w:rsidRPr="00523D40">
        <w:rPr>
          <w:spacing w:val="0"/>
          <w:kern w:val="0"/>
          <w:sz w:val="20"/>
          <w:rtl/>
        </w:rPr>
        <w:t>حماية أعضاء الحزب</w:t>
      </w:r>
      <w:r w:rsidRPr="00523D40">
        <w:rPr>
          <w:rFonts w:hint="cs"/>
          <w:spacing w:val="0"/>
          <w:kern w:val="0"/>
          <w:sz w:val="20"/>
          <w:rtl/>
        </w:rPr>
        <w:t>،</w:t>
      </w:r>
      <w:r w:rsidRPr="00523D40">
        <w:rPr>
          <w:spacing w:val="0"/>
          <w:kern w:val="0"/>
          <w:sz w:val="20"/>
          <w:rtl/>
        </w:rPr>
        <w:t xml:space="preserve"> وتوزيع </w:t>
      </w:r>
      <w:r w:rsidRPr="00523D40">
        <w:rPr>
          <w:rFonts w:hint="cs"/>
          <w:spacing w:val="0"/>
          <w:kern w:val="0"/>
          <w:sz w:val="20"/>
          <w:rtl/>
        </w:rPr>
        <w:t>ال</w:t>
      </w:r>
      <w:r w:rsidRPr="00523D40">
        <w:rPr>
          <w:spacing w:val="0"/>
          <w:kern w:val="0"/>
          <w:sz w:val="20"/>
          <w:rtl/>
        </w:rPr>
        <w:t>منشورات</w:t>
      </w:r>
      <w:r w:rsidRPr="00523D40">
        <w:rPr>
          <w:rFonts w:hint="cs"/>
          <w:spacing w:val="0"/>
          <w:kern w:val="0"/>
          <w:sz w:val="20"/>
          <w:rtl/>
        </w:rPr>
        <w:t>،</w:t>
      </w:r>
      <w:r w:rsidRPr="00523D40">
        <w:rPr>
          <w:spacing w:val="0"/>
          <w:kern w:val="0"/>
          <w:sz w:val="20"/>
          <w:rtl/>
        </w:rPr>
        <w:t xml:space="preserve"> و</w:t>
      </w:r>
      <w:r w:rsidRPr="00523D40">
        <w:rPr>
          <w:rFonts w:hint="cs"/>
          <w:spacing w:val="0"/>
          <w:kern w:val="0"/>
          <w:sz w:val="20"/>
          <w:rtl/>
        </w:rPr>
        <w:t>إصدار ال</w:t>
      </w:r>
      <w:r w:rsidRPr="00523D40">
        <w:rPr>
          <w:spacing w:val="0"/>
          <w:kern w:val="0"/>
          <w:sz w:val="20"/>
          <w:rtl/>
        </w:rPr>
        <w:t>بيانات؛ و</w:t>
      </w:r>
      <w:r w:rsidRPr="00523D40">
        <w:rPr>
          <w:rFonts w:hint="cs"/>
          <w:spacing w:val="0"/>
          <w:kern w:val="0"/>
          <w:sz w:val="20"/>
          <w:rtl/>
        </w:rPr>
        <w:t xml:space="preserve">أنه ألقي عليه القبض في المرة الأولى في عام 1999 </w:t>
      </w:r>
      <w:r w:rsidRPr="00523D40">
        <w:rPr>
          <w:rFonts w:hint="cs"/>
          <w:spacing w:val="0"/>
          <w:kern w:val="0"/>
          <w:sz w:val="20"/>
          <w:rtl/>
          <w:lang w:val="fr-CH"/>
        </w:rPr>
        <w:t xml:space="preserve">لتقديمه معلومات إلى أصدقاء كانوا في ألمانيا عن الوضع السياسي في توغو؛ وأنه تعرض للتعذيب والاحتجاز في ظروف لا إنسانية لمدة شهرين ثم </w:t>
      </w:r>
      <w:r w:rsidRPr="00F040E7">
        <w:rPr>
          <w:rFonts w:hint="cs"/>
          <w:spacing w:val="-2"/>
          <w:kern w:val="0"/>
          <w:sz w:val="20"/>
          <w:rtl/>
          <w:lang w:val="fr-CH"/>
        </w:rPr>
        <w:t xml:space="preserve">أطلق سراحه؛ وأنه في أعقاب </w:t>
      </w:r>
      <w:r w:rsidRPr="00F040E7">
        <w:rPr>
          <w:spacing w:val="-2"/>
          <w:kern w:val="0"/>
          <w:sz w:val="20"/>
          <w:rtl/>
        </w:rPr>
        <w:t xml:space="preserve">الاشتباكات التي وقعت في 18 </w:t>
      </w:r>
      <w:r w:rsidRPr="00F040E7">
        <w:rPr>
          <w:rFonts w:hint="cs"/>
          <w:spacing w:val="-2"/>
          <w:kern w:val="0"/>
          <w:sz w:val="20"/>
          <w:rtl/>
        </w:rPr>
        <w:t xml:space="preserve">تموز/يوليه </w:t>
      </w:r>
      <w:r w:rsidRPr="00F040E7">
        <w:rPr>
          <w:spacing w:val="-2"/>
          <w:kern w:val="0"/>
          <w:sz w:val="20"/>
          <w:rtl/>
        </w:rPr>
        <w:t xml:space="preserve">1999 هرب إلى غانا </w:t>
      </w:r>
      <w:r w:rsidRPr="00F040E7">
        <w:rPr>
          <w:rFonts w:hint="cs"/>
          <w:spacing w:val="-2"/>
          <w:kern w:val="0"/>
          <w:sz w:val="20"/>
          <w:rtl/>
        </w:rPr>
        <w:t xml:space="preserve">لعدم </w:t>
      </w:r>
      <w:r w:rsidRPr="00F040E7">
        <w:rPr>
          <w:spacing w:val="-2"/>
          <w:kern w:val="0"/>
          <w:sz w:val="20"/>
          <w:rtl/>
        </w:rPr>
        <w:t xml:space="preserve">القبض عليه؛ </w:t>
      </w:r>
      <w:r w:rsidRPr="00F040E7">
        <w:rPr>
          <w:rFonts w:hint="cs"/>
          <w:spacing w:val="-2"/>
          <w:kern w:val="0"/>
          <w:sz w:val="20"/>
          <w:rtl/>
        </w:rPr>
        <w:t>و</w:t>
      </w:r>
      <w:r w:rsidRPr="00F040E7">
        <w:rPr>
          <w:spacing w:val="-2"/>
          <w:kern w:val="0"/>
          <w:sz w:val="20"/>
          <w:rtl/>
        </w:rPr>
        <w:t xml:space="preserve">أنه عاد إلى توغو في عام 2002 </w:t>
      </w:r>
      <w:r w:rsidRPr="00F040E7">
        <w:rPr>
          <w:rFonts w:hint="cs"/>
          <w:spacing w:val="-2"/>
          <w:kern w:val="0"/>
          <w:sz w:val="20"/>
          <w:rtl/>
          <w:lang w:val="fr-CH"/>
        </w:rPr>
        <w:t xml:space="preserve">بعد لقائه بالوزير ﻫ. و. أولمبيو وحصوله منه على بطاقة تعريف تحمل توقيعه وتأميناً لسلامته. </w:t>
      </w:r>
      <w:r w:rsidRPr="00F040E7">
        <w:rPr>
          <w:spacing w:val="-2"/>
          <w:kern w:val="0"/>
          <w:sz w:val="20"/>
          <w:rtl/>
        </w:rPr>
        <w:t xml:space="preserve">وتلاحظ اللجنة ادعاء </w:t>
      </w:r>
      <w:r w:rsidRPr="00F040E7">
        <w:rPr>
          <w:rFonts w:hint="cs"/>
          <w:spacing w:val="-2"/>
          <w:kern w:val="0"/>
          <w:sz w:val="20"/>
          <w:rtl/>
        </w:rPr>
        <w:t xml:space="preserve">صاحب الشكوى أنه أبلغ أثناء </w:t>
      </w:r>
      <w:r w:rsidRPr="00F040E7">
        <w:rPr>
          <w:spacing w:val="-2"/>
          <w:kern w:val="0"/>
          <w:sz w:val="20"/>
          <w:rtl/>
        </w:rPr>
        <w:t>انتخابات الرئاسة</w:t>
      </w:r>
      <w:r w:rsidRPr="00F040E7">
        <w:rPr>
          <w:rFonts w:hint="cs"/>
          <w:spacing w:val="-2"/>
          <w:kern w:val="0"/>
          <w:sz w:val="20"/>
          <w:rtl/>
        </w:rPr>
        <w:t xml:space="preserve"> التي جرت في عام </w:t>
      </w:r>
      <w:r w:rsidRPr="00F040E7">
        <w:rPr>
          <w:spacing w:val="-2"/>
          <w:kern w:val="0"/>
          <w:sz w:val="20"/>
          <w:rtl/>
        </w:rPr>
        <w:t>2003</w:t>
      </w:r>
      <w:r w:rsidRPr="00F040E7">
        <w:rPr>
          <w:rFonts w:hint="cs"/>
          <w:spacing w:val="-2"/>
          <w:kern w:val="0"/>
          <w:sz w:val="20"/>
          <w:rtl/>
        </w:rPr>
        <w:t xml:space="preserve"> عن ممارسات احتيالية في أثناء ال</w:t>
      </w:r>
      <w:r w:rsidRPr="00F040E7">
        <w:rPr>
          <w:spacing w:val="-2"/>
          <w:kern w:val="0"/>
          <w:sz w:val="20"/>
          <w:rtl/>
        </w:rPr>
        <w:t xml:space="preserve">تصويت؛ </w:t>
      </w:r>
      <w:r w:rsidRPr="00F040E7">
        <w:rPr>
          <w:rFonts w:hint="cs"/>
          <w:spacing w:val="-2"/>
          <w:kern w:val="0"/>
          <w:sz w:val="20"/>
          <w:rtl/>
        </w:rPr>
        <w:t xml:space="preserve">وأنه هرب بعد </w:t>
      </w:r>
      <w:r w:rsidRPr="00F040E7">
        <w:rPr>
          <w:spacing w:val="-2"/>
          <w:kern w:val="0"/>
          <w:sz w:val="20"/>
          <w:rtl/>
        </w:rPr>
        <w:t>تهديد</w:t>
      </w:r>
      <w:r w:rsidRPr="00F040E7">
        <w:rPr>
          <w:rFonts w:hint="cs"/>
          <w:spacing w:val="-2"/>
          <w:kern w:val="0"/>
          <w:sz w:val="20"/>
          <w:rtl/>
        </w:rPr>
        <w:t xml:space="preserve">ه بالقتل </w:t>
      </w:r>
      <w:r w:rsidRPr="00F040E7">
        <w:rPr>
          <w:spacing w:val="-2"/>
          <w:kern w:val="0"/>
          <w:sz w:val="20"/>
          <w:rtl/>
        </w:rPr>
        <w:t xml:space="preserve">إلى بنن؛ </w:t>
      </w:r>
      <w:r w:rsidRPr="00F040E7">
        <w:rPr>
          <w:rFonts w:hint="cs"/>
          <w:spacing w:val="-2"/>
          <w:kern w:val="0"/>
          <w:sz w:val="20"/>
          <w:rtl/>
        </w:rPr>
        <w:t>و</w:t>
      </w:r>
      <w:r w:rsidRPr="00F040E7">
        <w:rPr>
          <w:spacing w:val="-2"/>
          <w:kern w:val="0"/>
          <w:sz w:val="20"/>
          <w:rtl/>
        </w:rPr>
        <w:t>أنه عاد إلى توغو في كانون الثاني/</w:t>
      </w:r>
      <w:r w:rsidR="00F040E7">
        <w:rPr>
          <w:rFonts w:hint="cs"/>
          <w:spacing w:val="-2"/>
          <w:kern w:val="0"/>
          <w:sz w:val="20"/>
          <w:rtl/>
        </w:rPr>
        <w:t xml:space="preserve"> </w:t>
      </w:r>
      <w:r w:rsidRPr="00F040E7">
        <w:rPr>
          <w:spacing w:val="-2"/>
          <w:kern w:val="0"/>
          <w:sz w:val="20"/>
          <w:rtl/>
        </w:rPr>
        <w:t>يناير</w:t>
      </w:r>
      <w:r w:rsidR="00F040E7">
        <w:rPr>
          <w:rFonts w:hint="cs"/>
          <w:spacing w:val="-2"/>
          <w:kern w:val="0"/>
          <w:sz w:val="20"/>
          <w:rtl/>
        </w:rPr>
        <w:t> </w:t>
      </w:r>
      <w:r w:rsidRPr="00F040E7">
        <w:rPr>
          <w:spacing w:val="-2"/>
          <w:kern w:val="0"/>
          <w:sz w:val="20"/>
          <w:rtl/>
        </w:rPr>
        <w:t xml:space="preserve">2004؛ </w:t>
      </w:r>
      <w:r w:rsidRPr="00F040E7">
        <w:rPr>
          <w:rFonts w:hint="cs"/>
          <w:spacing w:val="-2"/>
          <w:kern w:val="0"/>
          <w:sz w:val="20"/>
          <w:rtl/>
        </w:rPr>
        <w:t xml:space="preserve">وأن الشرطة ألقت عليه القبض في </w:t>
      </w:r>
      <w:r w:rsidRPr="00F040E7">
        <w:rPr>
          <w:spacing w:val="-2"/>
          <w:kern w:val="0"/>
          <w:sz w:val="20"/>
          <w:rtl/>
        </w:rPr>
        <w:t xml:space="preserve">28 </w:t>
      </w:r>
      <w:r w:rsidRPr="00F040E7">
        <w:rPr>
          <w:rFonts w:hint="cs"/>
          <w:spacing w:val="-2"/>
          <w:kern w:val="0"/>
          <w:sz w:val="20"/>
          <w:rtl/>
        </w:rPr>
        <w:t xml:space="preserve">آذار/مارس </w:t>
      </w:r>
      <w:r w:rsidRPr="00F040E7">
        <w:rPr>
          <w:spacing w:val="-2"/>
          <w:kern w:val="0"/>
          <w:sz w:val="20"/>
          <w:rtl/>
        </w:rPr>
        <w:t>2006</w:t>
      </w:r>
      <w:r w:rsidRPr="00F040E7">
        <w:rPr>
          <w:rFonts w:hint="cs"/>
          <w:spacing w:val="-2"/>
          <w:kern w:val="0"/>
          <w:sz w:val="20"/>
          <w:rtl/>
        </w:rPr>
        <w:t xml:space="preserve"> ونقلته إلى </w:t>
      </w:r>
      <w:r w:rsidRPr="00F040E7">
        <w:rPr>
          <w:spacing w:val="-2"/>
          <w:kern w:val="0"/>
          <w:sz w:val="20"/>
          <w:rtl/>
        </w:rPr>
        <w:t>معسكر زيب</w:t>
      </w:r>
      <w:r w:rsidRPr="00F040E7">
        <w:rPr>
          <w:rFonts w:hint="cs"/>
          <w:spacing w:val="-2"/>
          <w:kern w:val="0"/>
          <w:sz w:val="20"/>
          <w:rtl/>
        </w:rPr>
        <w:t>ي</w:t>
      </w:r>
      <w:r w:rsidRPr="00F040E7">
        <w:rPr>
          <w:spacing w:val="-2"/>
          <w:kern w:val="0"/>
          <w:sz w:val="20"/>
          <w:rtl/>
        </w:rPr>
        <w:t xml:space="preserve"> حيث تعرض للضرب و</w:t>
      </w:r>
      <w:r w:rsidRPr="00F040E7">
        <w:rPr>
          <w:rFonts w:hint="cs"/>
          <w:spacing w:val="-2"/>
          <w:kern w:val="0"/>
          <w:sz w:val="20"/>
          <w:rtl/>
        </w:rPr>
        <w:t xml:space="preserve">التهديد بالقتل لاتهامه بالاشتراك في الاعتداء الذي وقع </w:t>
      </w:r>
      <w:r w:rsidRPr="00F040E7">
        <w:rPr>
          <w:spacing w:val="-2"/>
          <w:kern w:val="0"/>
          <w:sz w:val="20"/>
          <w:rtl/>
        </w:rPr>
        <w:t xml:space="preserve">على </w:t>
      </w:r>
      <w:r w:rsidRPr="00F040E7">
        <w:rPr>
          <w:rFonts w:hint="cs"/>
          <w:spacing w:val="-2"/>
          <w:kern w:val="0"/>
          <w:sz w:val="20"/>
          <w:rtl/>
        </w:rPr>
        <w:t>مركز الشرطة في ل</w:t>
      </w:r>
      <w:r w:rsidRPr="00F040E7">
        <w:rPr>
          <w:spacing w:val="-2"/>
          <w:kern w:val="0"/>
          <w:sz w:val="20"/>
          <w:rtl/>
        </w:rPr>
        <w:t xml:space="preserve">ومي في 26 </w:t>
      </w:r>
      <w:r w:rsidRPr="00F040E7">
        <w:rPr>
          <w:rFonts w:hint="cs"/>
          <w:spacing w:val="-2"/>
          <w:kern w:val="0"/>
          <w:sz w:val="20"/>
          <w:rtl/>
        </w:rPr>
        <w:t>شباط/</w:t>
      </w:r>
      <w:r w:rsidRPr="00F040E7">
        <w:rPr>
          <w:spacing w:val="-2"/>
          <w:kern w:val="0"/>
          <w:sz w:val="20"/>
          <w:rtl/>
        </w:rPr>
        <w:t xml:space="preserve">فبراير 2006؛ </w:t>
      </w:r>
      <w:r w:rsidRPr="00F040E7">
        <w:rPr>
          <w:rFonts w:hint="cs"/>
          <w:spacing w:val="-2"/>
          <w:kern w:val="0"/>
          <w:sz w:val="20"/>
          <w:rtl/>
        </w:rPr>
        <w:t>و</w:t>
      </w:r>
      <w:r w:rsidRPr="00F040E7">
        <w:rPr>
          <w:spacing w:val="-2"/>
          <w:kern w:val="0"/>
          <w:sz w:val="20"/>
          <w:rtl/>
        </w:rPr>
        <w:t>أن</w:t>
      </w:r>
      <w:r w:rsidRPr="00F040E7">
        <w:rPr>
          <w:rFonts w:hint="cs"/>
          <w:spacing w:val="-2"/>
          <w:kern w:val="0"/>
          <w:sz w:val="20"/>
          <w:rtl/>
        </w:rPr>
        <w:t xml:space="preserve">ه تمكن في </w:t>
      </w:r>
      <w:r w:rsidRPr="00F040E7">
        <w:rPr>
          <w:spacing w:val="-2"/>
          <w:kern w:val="0"/>
          <w:sz w:val="20"/>
          <w:rtl/>
        </w:rPr>
        <w:t>19</w:t>
      </w:r>
      <w:r w:rsidRPr="00F040E7">
        <w:rPr>
          <w:rFonts w:hint="cs"/>
          <w:spacing w:val="-2"/>
          <w:kern w:val="0"/>
          <w:sz w:val="20"/>
          <w:rtl/>
        </w:rPr>
        <w:t xml:space="preserve"> نيسان/</w:t>
      </w:r>
      <w:r w:rsidRPr="00F040E7">
        <w:rPr>
          <w:spacing w:val="-2"/>
          <w:kern w:val="0"/>
          <w:sz w:val="20"/>
          <w:rtl/>
        </w:rPr>
        <w:t xml:space="preserve">أبريل 2006 </w:t>
      </w:r>
      <w:r w:rsidRPr="00F040E7">
        <w:rPr>
          <w:rFonts w:hint="cs"/>
          <w:spacing w:val="-2"/>
          <w:kern w:val="0"/>
          <w:sz w:val="20"/>
          <w:rtl/>
          <w:lang w:val="fr-CH"/>
        </w:rPr>
        <w:t>من الهروب من السجن بعد قيام صهره برشوة أحد الحراس؛ وأنه هرب بعد ذلك إلى</w:t>
      </w:r>
      <w:r w:rsidRPr="00523D40">
        <w:rPr>
          <w:rFonts w:hint="cs"/>
          <w:spacing w:val="0"/>
          <w:kern w:val="0"/>
          <w:sz w:val="20"/>
          <w:rtl/>
          <w:lang w:val="fr-CH"/>
        </w:rPr>
        <w:t xml:space="preserve"> غانا وتوجه إلى سويسرا عن طريق إيطاليا. وتلاحظ اللجنة احتجاج صاحب الشكوى بأن الحالة لم</w:t>
      </w:r>
      <w:r w:rsidR="00F040E7">
        <w:rPr>
          <w:rFonts w:hint="eastAsia"/>
          <w:spacing w:val="0"/>
          <w:kern w:val="0"/>
          <w:sz w:val="20"/>
          <w:rtl/>
          <w:lang w:val="fr-CH"/>
        </w:rPr>
        <w:t> </w:t>
      </w:r>
      <w:r w:rsidRPr="00523D40">
        <w:rPr>
          <w:rFonts w:hint="cs"/>
          <w:spacing w:val="0"/>
          <w:kern w:val="0"/>
          <w:sz w:val="20"/>
          <w:rtl/>
          <w:lang w:val="fr-CH"/>
        </w:rPr>
        <w:t xml:space="preserve">تتحسن في توغو فيما يتعلق بأعضاء حزب اتحاد القوى من أجل التغيير العاديين وأنهم يتعرضون لخطر التعذيب والسجن، على نحو ما أكده تقرير </w:t>
      </w:r>
      <w:r w:rsidRPr="00523D40">
        <w:rPr>
          <w:rFonts w:hint="cs"/>
          <w:spacing w:val="0"/>
          <w:kern w:val="0"/>
          <w:sz w:val="20"/>
          <w:rtl/>
          <w:lang/>
        </w:rPr>
        <w:t xml:space="preserve">المنظمة السويسرية لمساعدة اللاجئين المؤرخ 18 أيار/مايو 2009؛ </w:t>
      </w:r>
      <w:r w:rsidRPr="00523D40">
        <w:rPr>
          <w:rFonts w:hint="cs"/>
          <w:spacing w:val="0"/>
          <w:kern w:val="0"/>
          <w:sz w:val="20"/>
          <w:rtl/>
          <w:lang w:val="fr-CH"/>
        </w:rPr>
        <w:t xml:space="preserve">وأن هذا التقرير يؤكد أيضاً </w:t>
      </w:r>
      <w:r w:rsidRPr="00523D40">
        <w:rPr>
          <w:rFonts w:hint="cs"/>
          <w:spacing w:val="0"/>
          <w:kern w:val="0"/>
          <w:sz w:val="20"/>
          <w:rtl/>
        </w:rPr>
        <w:t>أن الذين هربوا من توغو إلى بنن أو غانا يخضعون للمراقبة بمزيد من الارتياب</w:t>
      </w:r>
      <w:r w:rsidRPr="00523D40">
        <w:rPr>
          <w:spacing w:val="0"/>
          <w:kern w:val="0"/>
          <w:sz w:val="20"/>
          <w:rtl/>
        </w:rPr>
        <w:t>.</w:t>
      </w:r>
      <w:r w:rsidRPr="00523D40">
        <w:rPr>
          <w:rFonts w:hint="cs"/>
          <w:spacing w:val="0"/>
          <w:kern w:val="0"/>
          <w:sz w:val="20"/>
          <w:rtl/>
          <w:lang w:val="fr-CH"/>
        </w:rPr>
        <w:t xml:space="preserve"> وأخيراً، تلاحظ اللجنة الادعاء بأن السلطات السويسرية </w:t>
      </w:r>
      <w:r w:rsidRPr="00523D40">
        <w:rPr>
          <w:spacing w:val="0"/>
          <w:kern w:val="0"/>
          <w:sz w:val="20"/>
          <w:rtl/>
        </w:rPr>
        <w:t>لم تف بالتزامها بإجراء تحقيق رسمي</w:t>
      </w:r>
      <w:r w:rsidRPr="00523D40">
        <w:rPr>
          <w:rFonts w:hint="cs"/>
          <w:spacing w:val="0"/>
          <w:kern w:val="0"/>
          <w:sz w:val="20"/>
          <w:rtl/>
        </w:rPr>
        <w:t>، دقيق وفعال، عندما يعلن أحد الأشخاص بطريقة ذات مصداقية أنه كان ضح</w:t>
      </w:r>
      <w:r w:rsidRPr="00523D40">
        <w:rPr>
          <w:spacing w:val="0"/>
          <w:kern w:val="0"/>
          <w:sz w:val="20"/>
          <w:rtl/>
        </w:rPr>
        <w:t xml:space="preserve">ية لمعاملة تتنافى مع المادة 1 من الاتفاقية </w:t>
      </w:r>
      <w:r w:rsidRPr="00523D40">
        <w:rPr>
          <w:rFonts w:hint="cs"/>
          <w:spacing w:val="0"/>
          <w:kern w:val="0"/>
          <w:sz w:val="20"/>
          <w:rtl/>
        </w:rPr>
        <w:t xml:space="preserve">على النحو الذي تبين من </w:t>
      </w:r>
      <w:r w:rsidRPr="00523D40">
        <w:rPr>
          <w:spacing w:val="0"/>
          <w:kern w:val="0"/>
          <w:sz w:val="20"/>
          <w:rtl/>
        </w:rPr>
        <w:t>التقارير الطبية</w:t>
      </w:r>
      <w:r w:rsidRPr="00523D40">
        <w:rPr>
          <w:rFonts w:hint="cs"/>
          <w:spacing w:val="0"/>
          <w:kern w:val="0"/>
          <w:sz w:val="20"/>
          <w:rtl/>
        </w:rPr>
        <w:t xml:space="preserve"> المقدمة ولا سيما تقرير قسم الأمراض النفسية في سولير المؤرخ 29</w:t>
      </w:r>
      <w:r w:rsidRPr="00523D40">
        <w:rPr>
          <w:spacing w:val="0"/>
          <w:kern w:val="0"/>
          <w:sz w:val="20"/>
          <w:rtl/>
        </w:rPr>
        <w:t xml:space="preserve"> </w:t>
      </w:r>
      <w:r w:rsidRPr="00523D40">
        <w:rPr>
          <w:rFonts w:hint="cs"/>
          <w:spacing w:val="0"/>
          <w:kern w:val="0"/>
          <w:sz w:val="20"/>
          <w:rtl/>
        </w:rPr>
        <w:t>أيار/</w:t>
      </w:r>
      <w:r w:rsidRPr="00523D40">
        <w:rPr>
          <w:spacing w:val="0"/>
          <w:kern w:val="0"/>
          <w:sz w:val="20"/>
          <w:rtl/>
        </w:rPr>
        <w:t>مايو 2009</w:t>
      </w:r>
      <w:r w:rsidRPr="00523D40">
        <w:rPr>
          <w:rFonts w:hint="cs"/>
          <w:spacing w:val="0"/>
          <w:kern w:val="0"/>
          <w:sz w:val="20"/>
          <w:rtl/>
        </w:rPr>
        <w:t>.</w:t>
      </w:r>
    </w:p>
    <w:p w:rsidR="00523D40" w:rsidRPr="00F040E7" w:rsidRDefault="00523D40" w:rsidP="00A4030E">
      <w:pPr>
        <w:pStyle w:val="SingleTxtGA"/>
        <w:jc w:val="lowKashida"/>
        <w:rPr>
          <w:rFonts w:hint="cs"/>
          <w:spacing w:val="-2"/>
          <w:kern w:val="0"/>
          <w:sz w:val="20"/>
          <w:rtl/>
        </w:rPr>
      </w:pPr>
      <w:r w:rsidRPr="00F040E7">
        <w:rPr>
          <w:rFonts w:hint="cs"/>
          <w:spacing w:val="-2"/>
          <w:kern w:val="0"/>
          <w:sz w:val="20"/>
          <w:rtl/>
        </w:rPr>
        <w:t>7-6</w:t>
      </w:r>
      <w:r w:rsidRPr="00F040E7">
        <w:rPr>
          <w:rFonts w:hint="cs"/>
          <w:spacing w:val="-2"/>
          <w:kern w:val="0"/>
          <w:sz w:val="20"/>
          <w:rtl/>
        </w:rPr>
        <w:tab/>
      </w:r>
      <w:r w:rsidRPr="00F040E7">
        <w:rPr>
          <w:spacing w:val="-2"/>
          <w:kern w:val="0"/>
          <w:sz w:val="20"/>
          <w:rtl/>
        </w:rPr>
        <w:t xml:space="preserve">وتلاحظ اللجنة </w:t>
      </w:r>
      <w:r w:rsidRPr="00F040E7">
        <w:rPr>
          <w:rFonts w:hint="cs"/>
          <w:spacing w:val="-2"/>
          <w:kern w:val="0"/>
          <w:sz w:val="20"/>
          <w:rtl/>
        </w:rPr>
        <w:t xml:space="preserve">احتجاج الدولة الطرف بأن صاحب الشكوى لم يقدم </w:t>
      </w:r>
      <w:r w:rsidRPr="00F040E7">
        <w:rPr>
          <w:spacing w:val="-2"/>
          <w:kern w:val="0"/>
          <w:sz w:val="20"/>
          <w:rtl/>
        </w:rPr>
        <w:t xml:space="preserve">عناصر جديدة للجنة </w:t>
      </w:r>
      <w:r w:rsidRPr="00F040E7">
        <w:rPr>
          <w:rFonts w:hint="cs"/>
          <w:spacing w:val="-2"/>
          <w:kern w:val="0"/>
          <w:sz w:val="20"/>
          <w:rtl/>
        </w:rPr>
        <w:t xml:space="preserve">وأنه اكتفى بالاعتراض على تقييم </w:t>
      </w:r>
      <w:r w:rsidRPr="00F040E7">
        <w:rPr>
          <w:spacing w:val="-2"/>
          <w:kern w:val="0"/>
          <w:sz w:val="20"/>
          <w:rtl/>
        </w:rPr>
        <w:t>الوقائع ال</w:t>
      </w:r>
      <w:r w:rsidRPr="00F040E7">
        <w:rPr>
          <w:rFonts w:hint="cs"/>
          <w:spacing w:val="-2"/>
          <w:kern w:val="0"/>
          <w:sz w:val="20"/>
          <w:rtl/>
        </w:rPr>
        <w:t xml:space="preserve">ذي قامت به </w:t>
      </w:r>
      <w:r w:rsidRPr="00F040E7">
        <w:rPr>
          <w:spacing w:val="-2"/>
          <w:kern w:val="0"/>
          <w:sz w:val="20"/>
          <w:rtl/>
        </w:rPr>
        <w:t xml:space="preserve">السلطات الداخلية. وتلاحظ اللجنة </w:t>
      </w:r>
      <w:r w:rsidRPr="00F040E7">
        <w:rPr>
          <w:rFonts w:hint="cs"/>
          <w:spacing w:val="-2"/>
          <w:kern w:val="0"/>
          <w:sz w:val="20"/>
          <w:rtl/>
        </w:rPr>
        <w:t xml:space="preserve">احتجاج </w:t>
      </w:r>
      <w:r w:rsidRPr="00F040E7">
        <w:rPr>
          <w:spacing w:val="-2"/>
          <w:kern w:val="0"/>
          <w:sz w:val="20"/>
          <w:rtl/>
        </w:rPr>
        <w:t xml:space="preserve">الدولة الطرف </w:t>
      </w:r>
      <w:r w:rsidRPr="00F040E7">
        <w:rPr>
          <w:rFonts w:hint="cs"/>
          <w:spacing w:val="-2"/>
          <w:kern w:val="0"/>
          <w:sz w:val="20"/>
          <w:rtl/>
        </w:rPr>
        <w:t xml:space="preserve">أيضاً بأن الحالة قد </w:t>
      </w:r>
      <w:r w:rsidRPr="00F040E7">
        <w:rPr>
          <w:spacing w:val="-2"/>
          <w:kern w:val="0"/>
          <w:sz w:val="20"/>
          <w:rtl/>
        </w:rPr>
        <w:t>تحسنت كثيرا</w:t>
      </w:r>
      <w:r w:rsidRPr="00F040E7">
        <w:rPr>
          <w:rFonts w:hint="cs"/>
          <w:spacing w:val="-2"/>
          <w:kern w:val="0"/>
          <w:sz w:val="20"/>
          <w:rtl/>
          <w:lang w:val="fr-CH"/>
        </w:rPr>
        <w:t>ً</w:t>
      </w:r>
      <w:r w:rsidRPr="00F040E7">
        <w:rPr>
          <w:spacing w:val="-2"/>
          <w:kern w:val="0"/>
          <w:sz w:val="20"/>
          <w:rtl/>
        </w:rPr>
        <w:t xml:space="preserve"> </w:t>
      </w:r>
      <w:r w:rsidRPr="00F040E7">
        <w:rPr>
          <w:rFonts w:hint="cs"/>
          <w:spacing w:val="-2"/>
          <w:kern w:val="0"/>
          <w:sz w:val="20"/>
          <w:rtl/>
        </w:rPr>
        <w:t xml:space="preserve">في توغو منذ أن غادر صاحب الشكوى البلد؛ وأن حزب اتحاد القوى من أجل التغيير، على الرغم من كونه من أحزاب المعارضة، له ممثلين </w:t>
      </w:r>
      <w:r w:rsidRPr="00F040E7">
        <w:rPr>
          <w:spacing w:val="-2"/>
          <w:kern w:val="0"/>
          <w:sz w:val="20"/>
          <w:rtl/>
        </w:rPr>
        <w:t xml:space="preserve">في البرلمان؛ </w:t>
      </w:r>
      <w:r w:rsidRPr="00F040E7">
        <w:rPr>
          <w:rFonts w:hint="cs"/>
          <w:spacing w:val="-2"/>
          <w:kern w:val="0"/>
          <w:sz w:val="20"/>
          <w:rtl/>
        </w:rPr>
        <w:t xml:space="preserve">وأن </w:t>
      </w:r>
      <w:r w:rsidRPr="00F040E7">
        <w:rPr>
          <w:spacing w:val="-2"/>
          <w:kern w:val="0"/>
          <w:sz w:val="20"/>
          <w:rtl/>
        </w:rPr>
        <w:t>بعض الذين هربوا من توغو عادوا إلى وطنهم دون</w:t>
      </w:r>
      <w:r w:rsidRPr="00F040E7">
        <w:rPr>
          <w:rFonts w:hint="cs"/>
          <w:spacing w:val="-2"/>
          <w:kern w:val="0"/>
          <w:sz w:val="20"/>
          <w:rtl/>
        </w:rPr>
        <w:t xml:space="preserve"> الإبلاغ عن تعرضهم ل</w:t>
      </w:r>
      <w:r w:rsidRPr="00F040E7">
        <w:rPr>
          <w:spacing w:val="-2"/>
          <w:kern w:val="0"/>
          <w:sz w:val="20"/>
          <w:rtl/>
        </w:rPr>
        <w:t>لاضطهاد</w:t>
      </w:r>
      <w:r w:rsidRPr="00F040E7">
        <w:rPr>
          <w:rFonts w:hint="cs"/>
          <w:spacing w:val="-2"/>
          <w:kern w:val="0"/>
          <w:sz w:val="20"/>
          <w:rtl/>
        </w:rPr>
        <w:t xml:space="preserve">. </w:t>
      </w:r>
      <w:r w:rsidRPr="00F040E7">
        <w:rPr>
          <w:spacing w:val="-2"/>
          <w:kern w:val="0"/>
          <w:sz w:val="20"/>
          <w:rtl/>
          <w:lang w:val="fr-CH"/>
        </w:rPr>
        <w:t xml:space="preserve">وتلاحظ اللجنة </w:t>
      </w:r>
      <w:r w:rsidRPr="00F040E7">
        <w:rPr>
          <w:rFonts w:hint="cs"/>
          <w:spacing w:val="-2"/>
          <w:kern w:val="0"/>
          <w:sz w:val="20"/>
          <w:rtl/>
          <w:lang w:val="fr-CH"/>
        </w:rPr>
        <w:t>ا</w:t>
      </w:r>
      <w:r w:rsidRPr="00F040E7">
        <w:rPr>
          <w:spacing w:val="-2"/>
          <w:kern w:val="0"/>
          <w:sz w:val="20"/>
          <w:rtl/>
          <w:lang w:val="fr-CH"/>
        </w:rPr>
        <w:t>ح</w:t>
      </w:r>
      <w:r w:rsidRPr="00F040E7">
        <w:rPr>
          <w:rFonts w:hint="cs"/>
          <w:spacing w:val="-2"/>
          <w:kern w:val="0"/>
          <w:sz w:val="20"/>
          <w:rtl/>
          <w:lang w:val="fr-CH"/>
        </w:rPr>
        <w:t>تجاج</w:t>
      </w:r>
      <w:r w:rsidRPr="00F040E7">
        <w:rPr>
          <w:spacing w:val="-2"/>
          <w:kern w:val="0"/>
          <w:sz w:val="20"/>
          <w:rtl/>
          <w:lang w:val="fr-CH"/>
        </w:rPr>
        <w:t xml:space="preserve"> الدولة الطرف </w:t>
      </w:r>
      <w:r w:rsidRPr="00F040E7">
        <w:rPr>
          <w:rFonts w:hint="cs"/>
          <w:spacing w:val="-2"/>
          <w:kern w:val="0"/>
          <w:sz w:val="20"/>
          <w:rtl/>
          <w:lang w:val="fr-CH"/>
        </w:rPr>
        <w:t>ب</w:t>
      </w:r>
      <w:r w:rsidRPr="00F040E7">
        <w:rPr>
          <w:spacing w:val="-2"/>
          <w:kern w:val="0"/>
          <w:sz w:val="20"/>
          <w:rtl/>
          <w:lang w:val="fr-CH"/>
        </w:rPr>
        <w:t xml:space="preserve">أنه </w:t>
      </w:r>
      <w:r w:rsidRPr="00F040E7">
        <w:rPr>
          <w:rFonts w:hint="cs"/>
          <w:spacing w:val="-2"/>
          <w:kern w:val="0"/>
          <w:sz w:val="20"/>
          <w:rtl/>
          <w:lang w:val="fr-CH"/>
        </w:rPr>
        <w:t>حتى لو</w:t>
      </w:r>
      <w:r w:rsidR="00F040E7" w:rsidRPr="00F040E7">
        <w:rPr>
          <w:rFonts w:hint="eastAsia"/>
          <w:spacing w:val="-2"/>
          <w:kern w:val="0"/>
          <w:sz w:val="20"/>
          <w:rtl/>
          <w:lang w:val="fr-CH"/>
        </w:rPr>
        <w:t> </w:t>
      </w:r>
      <w:r w:rsidRPr="00F040E7">
        <w:rPr>
          <w:rFonts w:hint="cs"/>
          <w:spacing w:val="-2"/>
          <w:kern w:val="0"/>
          <w:sz w:val="20"/>
          <w:rtl/>
          <w:lang w:val="fr-CH"/>
        </w:rPr>
        <w:t>افتُرض</w:t>
      </w:r>
      <w:r w:rsidRPr="00F040E7">
        <w:rPr>
          <w:spacing w:val="-2"/>
          <w:kern w:val="0"/>
          <w:sz w:val="20"/>
          <w:rtl/>
          <w:lang w:val="fr-CH"/>
        </w:rPr>
        <w:t xml:space="preserve"> أن شهادة صاحب ال</w:t>
      </w:r>
      <w:r w:rsidRPr="00F040E7">
        <w:rPr>
          <w:rFonts w:hint="cs"/>
          <w:spacing w:val="-2"/>
          <w:kern w:val="0"/>
          <w:sz w:val="20"/>
          <w:rtl/>
          <w:lang w:val="fr-CH"/>
        </w:rPr>
        <w:t>شكوى</w:t>
      </w:r>
      <w:r w:rsidRPr="00F040E7">
        <w:rPr>
          <w:spacing w:val="-2"/>
          <w:kern w:val="0"/>
          <w:sz w:val="20"/>
          <w:rtl/>
          <w:lang w:val="fr-CH"/>
        </w:rPr>
        <w:t xml:space="preserve"> ذات مصداقية، </w:t>
      </w:r>
      <w:r w:rsidRPr="00F040E7">
        <w:rPr>
          <w:rFonts w:hint="cs"/>
          <w:spacing w:val="-2"/>
          <w:kern w:val="0"/>
          <w:sz w:val="20"/>
          <w:rtl/>
          <w:lang w:val="fr-CH"/>
        </w:rPr>
        <w:t xml:space="preserve">فإن ذلك </w:t>
      </w:r>
      <w:r w:rsidRPr="00F040E7">
        <w:rPr>
          <w:spacing w:val="-2"/>
          <w:kern w:val="0"/>
          <w:sz w:val="20"/>
          <w:rtl/>
          <w:lang w:val="fr-CH"/>
        </w:rPr>
        <w:t>لا يعني أن</w:t>
      </w:r>
      <w:r w:rsidRPr="00F040E7">
        <w:rPr>
          <w:rFonts w:hint="cs"/>
          <w:spacing w:val="-2"/>
          <w:kern w:val="0"/>
          <w:sz w:val="20"/>
          <w:rtl/>
          <w:lang w:val="fr-CH"/>
        </w:rPr>
        <w:t>ها</w:t>
      </w:r>
      <w:r w:rsidRPr="00F040E7">
        <w:rPr>
          <w:spacing w:val="-2"/>
          <w:kern w:val="0"/>
          <w:sz w:val="20"/>
          <w:rtl/>
          <w:lang w:val="fr-CH"/>
        </w:rPr>
        <w:t xml:space="preserve"> تكفي كسبب معقول للاعتقاد بأنه </w:t>
      </w:r>
      <w:r w:rsidRPr="00F040E7">
        <w:rPr>
          <w:rFonts w:hint="cs"/>
          <w:spacing w:val="-2"/>
          <w:kern w:val="0"/>
          <w:sz w:val="20"/>
          <w:rtl/>
          <w:lang w:val="fr-CH"/>
        </w:rPr>
        <w:t>س</w:t>
      </w:r>
      <w:r w:rsidRPr="00F040E7">
        <w:rPr>
          <w:spacing w:val="-2"/>
          <w:kern w:val="0"/>
          <w:sz w:val="20"/>
          <w:rtl/>
          <w:lang w:val="fr-CH"/>
        </w:rPr>
        <w:t>يتعرض للتعذيب في حالة عودته إلى توغو</w:t>
      </w:r>
      <w:r w:rsidRPr="00F040E7">
        <w:rPr>
          <w:rFonts w:hint="cs"/>
          <w:spacing w:val="-2"/>
          <w:kern w:val="0"/>
          <w:sz w:val="20"/>
          <w:rtl/>
          <w:lang w:val="fr-CH"/>
        </w:rPr>
        <w:t xml:space="preserve">؛ </w:t>
      </w:r>
      <w:r w:rsidRPr="00F040E7">
        <w:rPr>
          <w:rFonts w:hint="cs"/>
          <w:spacing w:val="-2"/>
          <w:kern w:val="0"/>
          <w:sz w:val="20"/>
          <w:rtl/>
        </w:rPr>
        <w:t>و</w:t>
      </w:r>
      <w:r w:rsidRPr="00F040E7">
        <w:rPr>
          <w:spacing w:val="-2"/>
          <w:kern w:val="0"/>
          <w:sz w:val="20"/>
          <w:rtl/>
        </w:rPr>
        <w:t>أن</w:t>
      </w:r>
      <w:r w:rsidRPr="00F040E7">
        <w:rPr>
          <w:rFonts w:hint="cs"/>
          <w:spacing w:val="-2"/>
          <w:kern w:val="0"/>
          <w:sz w:val="20"/>
          <w:rtl/>
        </w:rPr>
        <w:t xml:space="preserve">ه </w:t>
      </w:r>
      <w:r w:rsidRPr="00F040E7">
        <w:rPr>
          <w:spacing w:val="-2"/>
          <w:kern w:val="0"/>
          <w:sz w:val="20"/>
          <w:rtl/>
        </w:rPr>
        <w:t>ليس</w:t>
      </w:r>
      <w:r w:rsidRPr="00F040E7">
        <w:rPr>
          <w:rFonts w:hint="cs"/>
          <w:spacing w:val="-2"/>
          <w:kern w:val="0"/>
          <w:sz w:val="20"/>
          <w:rtl/>
        </w:rPr>
        <w:t>ت</w:t>
      </w:r>
      <w:r w:rsidRPr="00F040E7">
        <w:rPr>
          <w:spacing w:val="-2"/>
          <w:kern w:val="0"/>
          <w:sz w:val="20"/>
          <w:rtl/>
        </w:rPr>
        <w:t xml:space="preserve"> </w:t>
      </w:r>
      <w:r w:rsidRPr="00F040E7">
        <w:rPr>
          <w:rFonts w:hint="cs"/>
          <w:spacing w:val="-2"/>
          <w:kern w:val="0"/>
          <w:sz w:val="20"/>
          <w:rtl/>
        </w:rPr>
        <w:t xml:space="preserve">هناك </w:t>
      </w:r>
      <w:r w:rsidRPr="00F040E7">
        <w:rPr>
          <w:spacing w:val="-2"/>
          <w:kern w:val="0"/>
          <w:sz w:val="20"/>
          <w:rtl/>
        </w:rPr>
        <w:t xml:space="preserve">علاقة سببية بين إلقاء القبض على </w:t>
      </w:r>
      <w:r w:rsidRPr="00F040E7">
        <w:rPr>
          <w:rFonts w:hint="cs"/>
          <w:spacing w:val="-2"/>
          <w:kern w:val="0"/>
          <w:sz w:val="20"/>
          <w:rtl/>
        </w:rPr>
        <w:t>صاحب الشكوى</w:t>
      </w:r>
      <w:r w:rsidRPr="00F040E7">
        <w:rPr>
          <w:spacing w:val="-2"/>
          <w:kern w:val="0"/>
          <w:sz w:val="20"/>
          <w:rtl/>
        </w:rPr>
        <w:t xml:space="preserve"> في عام 1999 ورحيله من توغو إلى سويسرا؛ </w:t>
      </w:r>
      <w:r w:rsidRPr="00F040E7">
        <w:rPr>
          <w:rFonts w:hint="cs"/>
          <w:spacing w:val="-2"/>
          <w:kern w:val="0"/>
          <w:sz w:val="20"/>
          <w:rtl/>
        </w:rPr>
        <w:t>و</w:t>
      </w:r>
      <w:r w:rsidRPr="00F040E7">
        <w:rPr>
          <w:spacing w:val="-2"/>
          <w:kern w:val="0"/>
          <w:sz w:val="20"/>
          <w:rtl/>
        </w:rPr>
        <w:t xml:space="preserve">أن التقارير الطبية </w:t>
      </w:r>
      <w:r w:rsidRPr="00F040E7">
        <w:rPr>
          <w:rFonts w:hint="cs"/>
          <w:spacing w:val="-2"/>
          <w:kern w:val="0"/>
          <w:sz w:val="20"/>
          <w:rtl/>
        </w:rPr>
        <w:t xml:space="preserve">التي حررت بعد مضي </w:t>
      </w:r>
      <w:r w:rsidRPr="00F040E7">
        <w:rPr>
          <w:spacing w:val="-2"/>
          <w:kern w:val="0"/>
          <w:sz w:val="20"/>
          <w:rtl/>
        </w:rPr>
        <w:t xml:space="preserve">ثماني سنوات </w:t>
      </w:r>
      <w:r w:rsidRPr="00F040E7">
        <w:rPr>
          <w:rFonts w:hint="cs"/>
          <w:spacing w:val="-2"/>
          <w:kern w:val="0"/>
          <w:sz w:val="20"/>
          <w:rtl/>
        </w:rPr>
        <w:t xml:space="preserve">على </w:t>
      </w:r>
      <w:r w:rsidRPr="00F040E7">
        <w:rPr>
          <w:spacing w:val="-2"/>
          <w:kern w:val="0"/>
          <w:sz w:val="20"/>
          <w:rtl/>
        </w:rPr>
        <w:t xml:space="preserve">الوقائع المزعومة </w:t>
      </w:r>
      <w:r w:rsidRPr="00F040E7">
        <w:rPr>
          <w:rFonts w:hint="cs"/>
          <w:spacing w:val="-2"/>
          <w:kern w:val="0"/>
          <w:sz w:val="20"/>
          <w:rtl/>
        </w:rPr>
        <w:t>لا تثبت الحالة فيما يتعلق با</w:t>
      </w:r>
      <w:r w:rsidRPr="00F040E7">
        <w:rPr>
          <w:spacing w:val="-2"/>
          <w:kern w:val="0"/>
          <w:sz w:val="20"/>
          <w:rtl/>
        </w:rPr>
        <w:t xml:space="preserve">لتعذيب ولكن </w:t>
      </w:r>
      <w:r w:rsidRPr="00F040E7">
        <w:rPr>
          <w:rFonts w:hint="cs"/>
          <w:spacing w:val="-2"/>
          <w:kern w:val="0"/>
          <w:sz w:val="20"/>
          <w:rtl/>
        </w:rPr>
        <w:t xml:space="preserve">تعتمد بوضوح </w:t>
      </w:r>
      <w:r w:rsidRPr="00F040E7">
        <w:rPr>
          <w:spacing w:val="-2"/>
          <w:kern w:val="0"/>
          <w:sz w:val="20"/>
          <w:rtl/>
        </w:rPr>
        <w:t xml:space="preserve">على </w:t>
      </w:r>
      <w:r w:rsidRPr="00F040E7">
        <w:rPr>
          <w:rFonts w:hint="cs"/>
          <w:spacing w:val="-2"/>
          <w:kern w:val="0"/>
          <w:sz w:val="20"/>
          <w:rtl/>
        </w:rPr>
        <w:t>رواية صا</w:t>
      </w:r>
      <w:r w:rsidRPr="00F040E7">
        <w:rPr>
          <w:spacing w:val="-2"/>
          <w:kern w:val="0"/>
          <w:sz w:val="20"/>
          <w:rtl/>
        </w:rPr>
        <w:t xml:space="preserve">حب </w:t>
      </w:r>
      <w:r w:rsidRPr="00F040E7">
        <w:rPr>
          <w:rFonts w:hint="cs"/>
          <w:spacing w:val="-2"/>
          <w:kern w:val="0"/>
          <w:sz w:val="20"/>
          <w:rtl/>
        </w:rPr>
        <w:t>الشكوى</w:t>
      </w:r>
      <w:r w:rsidRPr="00F040E7">
        <w:rPr>
          <w:spacing w:val="-2"/>
          <w:kern w:val="0"/>
          <w:sz w:val="20"/>
          <w:rtl/>
        </w:rPr>
        <w:t xml:space="preserve">؛ </w:t>
      </w:r>
      <w:r w:rsidRPr="00F040E7">
        <w:rPr>
          <w:rFonts w:hint="cs"/>
          <w:spacing w:val="-2"/>
          <w:kern w:val="0"/>
          <w:sz w:val="20"/>
          <w:rtl/>
        </w:rPr>
        <w:t xml:space="preserve">وأن تقرير </w:t>
      </w:r>
      <w:r w:rsidRPr="00F040E7">
        <w:rPr>
          <w:rFonts w:hint="cs"/>
          <w:spacing w:val="-2"/>
          <w:kern w:val="0"/>
          <w:sz w:val="20"/>
          <w:rtl/>
          <w:lang/>
        </w:rPr>
        <w:t xml:space="preserve">المنظمة السويسرية لمساعدة اللاجئين </w:t>
      </w:r>
      <w:r w:rsidRPr="00F040E7">
        <w:rPr>
          <w:rFonts w:hint="cs"/>
          <w:spacing w:val="-2"/>
          <w:kern w:val="0"/>
          <w:sz w:val="20"/>
          <w:rtl/>
        </w:rPr>
        <w:t xml:space="preserve">الذي يؤكد خطر التعرض للتعذيب فيما يتعلق بأعضاء حزب اتحاد القوى من أجل التغيير يشير إلى الأعضاء </w:t>
      </w:r>
      <w:r w:rsidRPr="00F040E7">
        <w:rPr>
          <w:spacing w:val="-2"/>
          <w:kern w:val="0"/>
          <w:sz w:val="20"/>
          <w:rtl/>
        </w:rPr>
        <w:t>غير ال</w:t>
      </w:r>
      <w:r w:rsidRPr="00F040E7">
        <w:rPr>
          <w:rFonts w:hint="cs"/>
          <w:spacing w:val="-2"/>
          <w:kern w:val="0"/>
          <w:sz w:val="20"/>
          <w:rtl/>
        </w:rPr>
        <w:t xml:space="preserve">معترف بهم للحزب في حين أن صاحب الشكوى جزء لا يتجزأ من الحزب </w:t>
      </w:r>
      <w:r w:rsidRPr="00F040E7">
        <w:rPr>
          <w:spacing w:val="-2"/>
          <w:kern w:val="0"/>
          <w:sz w:val="20"/>
          <w:rtl/>
        </w:rPr>
        <w:t xml:space="preserve">واستفاد </w:t>
      </w:r>
      <w:r w:rsidRPr="00F040E7">
        <w:rPr>
          <w:rFonts w:hint="cs"/>
          <w:spacing w:val="-2"/>
          <w:kern w:val="0"/>
          <w:sz w:val="20"/>
          <w:rtl/>
        </w:rPr>
        <w:t>أيضاً ب</w:t>
      </w:r>
      <w:r w:rsidRPr="00F040E7">
        <w:rPr>
          <w:spacing w:val="-2"/>
          <w:kern w:val="0"/>
          <w:sz w:val="20"/>
          <w:rtl/>
        </w:rPr>
        <w:t>حماية السيد</w:t>
      </w:r>
      <w:r w:rsidRPr="00F040E7">
        <w:rPr>
          <w:rFonts w:hint="cs"/>
          <w:spacing w:val="-2"/>
          <w:kern w:val="0"/>
          <w:sz w:val="20"/>
          <w:rtl/>
          <w:lang w:val="fr-CH"/>
        </w:rPr>
        <w:t xml:space="preserve"> ﻫ. و. أولمبيو</w:t>
      </w:r>
      <w:r w:rsidRPr="00F040E7">
        <w:rPr>
          <w:spacing w:val="-2"/>
          <w:kern w:val="0"/>
          <w:sz w:val="20"/>
          <w:rtl/>
        </w:rPr>
        <w:t>؛ و</w:t>
      </w:r>
      <w:r w:rsidRPr="00F040E7">
        <w:rPr>
          <w:rFonts w:hint="cs"/>
          <w:spacing w:val="-2"/>
          <w:kern w:val="0"/>
          <w:sz w:val="20"/>
          <w:rtl/>
        </w:rPr>
        <w:t xml:space="preserve">أنه </w:t>
      </w:r>
      <w:r w:rsidRPr="00F040E7">
        <w:rPr>
          <w:spacing w:val="-2"/>
          <w:kern w:val="0"/>
          <w:sz w:val="20"/>
          <w:rtl/>
        </w:rPr>
        <w:t xml:space="preserve">لا يمكن </w:t>
      </w:r>
      <w:r w:rsidRPr="00F040E7">
        <w:rPr>
          <w:rFonts w:hint="cs"/>
          <w:spacing w:val="-2"/>
          <w:kern w:val="0"/>
          <w:sz w:val="20"/>
          <w:rtl/>
        </w:rPr>
        <w:t xml:space="preserve">بالتالي </w:t>
      </w:r>
      <w:r w:rsidRPr="00F040E7">
        <w:rPr>
          <w:spacing w:val="-2"/>
          <w:kern w:val="0"/>
          <w:sz w:val="20"/>
          <w:rtl/>
        </w:rPr>
        <w:t xml:space="preserve">اعتبار </w:t>
      </w:r>
      <w:r w:rsidRPr="00F040E7">
        <w:rPr>
          <w:rFonts w:hint="cs"/>
          <w:spacing w:val="-2"/>
          <w:kern w:val="0"/>
          <w:sz w:val="20"/>
          <w:rtl/>
        </w:rPr>
        <w:t xml:space="preserve">صاحب الشكوى من </w:t>
      </w:r>
      <w:r w:rsidRPr="00F040E7">
        <w:rPr>
          <w:spacing w:val="-2"/>
          <w:kern w:val="0"/>
          <w:sz w:val="20"/>
          <w:rtl/>
        </w:rPr>
        <w:t>أعضاء</w:t>
      </w:r>
      <w:r w:rsidRPr="00F040E7">
        <w:rPr>
          <w:rFonts w:hint="cs"/>
          <w:spacing w:val="-2"/>
          <w:kern w:val="0"/>
          <w:sz w:val="20"/>
          <w:rtl/>
        </w:rPr>
        <w:t xml:space="preserve"> حزب اتحاد القوى من أجل التغيير</w:t>
      </w:r>
      <w:r w:rsidRPr="00F040E7">
        <w:rPr>
          <w:spacing w:val="-2"/>
          <w:kern w:val="0"/>
          <w:sz w:val="20"/>
          <w:rtl/>
        </w:rPr>
        <w:t xml:space="preserve"> العاديين.</w:t>
      </w:r>
      <w:r w:rsidRPr="00523D40">
        <w:rPr>
          <w:rFonts w:hint="cs"/>
          <w:spacing w:val="0"/>
          <w:kern w:val="0"/>
          <w:sz w:val="20"/>
          <w:rtl/>
        </w:rPr>
        <w:t xml:space="preserve"> </w:t>
      </w:r>
      <w:r w:rsidRPr="00F040E7">
        <w:rPr>
          <w:spacing w:val="-2"/>
          <w:kern w:val="0"/>
          <w:sz w:val="20"/>
          <w:rtl/>
        </w:rPr>
        <w:t xml:space="preserve">وتلاحظ اللجنة أن الدولة الطرف </w:t>
      </w:r>
      <w:r w:rsidRPr="00F040E7">
        <w:rPr>
          <w:rFonts w:hint="cs"/>
          <w:spacing w:val="-2"/>
          <w:kern w:val="0"/>
          <w:sz w:val="20"/>
          <w:rtl/>
        </w:rPr>
        <w:t xml:space="preserve">تشكك في </w:t>
      </w:r>
      <w:r w:rsidRPr="00F040E7">
        <w:rPr>
          <w:spacing w:val="-2"/>
          <w:kern w:val="0"/>
          <w:sz w:val="20"/>
          <w:rtl/>
        </w:rPr>
        <w:t xml:space="preserve">مصداقية </w:t>
      </w:r>
      <w:r w:rsidRPr="00F040E7">
        <w:rPr>
          <w:rFonts w:hint="cs"/>
          <w:spacing w:val="-2"/>
          <w:kern w:val="0"/>
          <w:sz w:val="20"/>
          <w:rtl/>
        </w:rPr>
        <w:t>صاحب الشكوى، وتفيد بأنه قدم معلومات متعارضة ومتناقضة، ولا</w:t>
      </w:r>
      <w:r w:rsidR="00A4030E">
        <w:rPr>
          <w:rFonts w:hint="cs"/>
          <w:spacing w:val="-2"/>
          <w:kern w:val="0"/>
          <w:sz w:val="20"/>
          <w:rtl/>
        </w:rPr>
        <w:t xml:space="preserve"> </w:t>
      </w:r>
      <w:r w:rsidRPr="00F040E7">
        <w:rPr>
          <w:rFonts w:hint="cs"/>
          <w:spacing w:val="-2"/>
          <w:kern w:val="0"/>
          <w:sz w:val="20"/>
          <w:rtl/>
        </w:rPr>
        <w:t>سيما فيما</w:t>
      </w:r>
      <w:r w:rsidR="00A4030E">
        <w:rPr>
          <w:rFonts w:hint="eastAsia"/>
          <w:spacing w:val="-2"/>
          <w:kern w:val="0"/>
          <w:sz w:val="20"/>
          <w:rtl/>
        </w:rPr>
        <w:t> </w:t>
      </w:r>
      <w:r w:rsidRPr="00F040E7">
        <w:rPr>
          <w:rFonts w:hint="cs"/>
          <w:spacing w:val="-2"/>
          <w:kern w:val="0"/>
          <w:sz w:val="20"/>
          <w:rtl/>
        </w:rPr>
        <w:t>يتعلق ب</w:t>
      </w:r>
      <w:r w:rsidRPr="00F040E7">
        <w:rPr>
          <w:spacing w:val="-2"/>
          <w:kern w:val="0"/>
          <w:sz w:val="20"/>
          <w:rtl/>
        </w:rPr>
        <w:t xml:space="preserve">مكان </w:t>
      </w:r>
      <w:r w:rsidRPr="00F040E7">
        <w:rPr>
          <w:rFonts w:hint="cs"/>
          <w:spacing w:val="-2"/>
          <w:kern w:val="0"/>
          <w:sz w:val="20"/>
          <w:rtl/>
        </w:rPr>
        <w:t>إقامته،</w:t>
      </w:r>
      <w:r w:rsidRPr="00F040E7">
        <w:rPr>
          <w:spacing w:val="-2"/>
          <w:kern w:val="0"/>
          <w:sz w:val="20"/>
          <w:rtl/>
        </w:rPr>
        <w:t xml:space="preserve"> </w:t>
      </w:r>
      <w:r w:rsidRPr="00F040E7">
        <w:rPr>
          <w:rFonts w:hint="cs"/>
          <w:spacing w:val="-2"/>
          <w:kern w:val="0"/>
          <w:sz w:val="20"/>
          <w:rtl/>
        </w:rPr>
        <w:t xml:space="preserve">والقبض عليه </w:t>
      </w:r>
      <w:r w:rsidRPr="00F040E7">
        <w:rPr>
          <w:spacing w:val="-2"/>
          <w:kern w:val="0"/>
          <w:sz w:val="20"/>
          <w:rtl/>
        </w:rPr>
        <w:t xml:space="preserve">في 28 </w:t>
      </w:r>
      <w:r w:rsidRPr="00F040E7">
        <w:rPr>
          <w:rFonts w:hint="cs"/>
          <w:spacing w:val="-2"/>
          <w:kern w:val="0"/>
          <w:sz w:val="20"/>
          <w:rtl/>
        </w:rPr>
        <w:t>آذار/</w:t>
      </w:r>
      <w:r w:rsidRPr="00F040E7">
        <w:rPr>
          <w:spacing w:val="-2"/>
          <w:kern w:val="0"/>
          <w:sz w:val="20"/>
          <w:rtl/>
        </w:rPr>
        <w:t>مارس 2006</w:t>
      </w:r>
      <w:r w:rsidRPr="00F040E7">
        <w:rPr>
          <w:rFonts w:hint="cs"/>
          <w:spacing w:val="-2"/>
          <w:kern w:val="0"/>
          <w:sz w:val="20"/>
          <w:rtl/>
        </w:rPr>
        <w:t>،</w:t>
      </w:r>
      <w:r w:rsidRPr="00F040E7">
        <w:rPr>
          <w:spacing w:val="-2"/>
          <w:kern w:val="0"/>
          <w:sz w:val="20"/>
          <w:rtl/>
        </w:rPr>
        <w:t xml:space="preserve"> و</w:t>
      </w:r>
      <w:r w:rsidRPr="00F040E7">
        <w:rPr>
          <w:rFonts w:hint="cs"/>
          <w:spacing w:val="-2"/>
          <w:kern w:val="0"/>
          <w:sz w:val="20"/>
          <w:rtl/>
        </w:rPr>
        <w:t xml:space="preserve">هروبه من معسكر </w:t>
      </w:r>
      <w:r w:rsidRPr="00F040E7">
        <w:rPr>
          <w:spacing w:val="-2"/>
          <w:kern w:val="0"/>
          <w:sz w:val="20"/>
          <w:rtl/>
        </w:rPr>
        <w:t>زيب</w:t>
      </w:r>
      <w:r w:rsidRPr="00F040E7">
        <w:rPr>
          <w:rFonts w:hint="cs"/>
          <w:spacing w:val="-2"/>
          <w:kern w:val="0"/>
          <w:sz w:val="20"/>
          <w:rtl/>
        </w:rPr>
        <w:t>ي</w:t>
      </w:r>
      <w:r w:rsidRPr="00F040E7">
        <w:rPr>
          <w:spacing w:val="-2"/>
          <w:kern w:val="0"/>
          <w:sz w:val="20"/>
          <w:rtl/>
        </w:rPr>
        <w:t>. وأخيراً،</w:t>
      </w:r>
      <w:r w:rsidRPr="00F040E7">
        <w:rPr>
          <w:rFonts w:hint="cs"/>
          <w:spacing w:val="-2"/>
          <w:kern w:val="0"/>
          <w:sz w:val="20"/>
          <w:rtl/>
        </w:rPr>
        <w:t xml:space="preserve"> تلاحظ</w:t>
      </w:r>
      <w:r w:rsidRPr="00F040E7">
        <w:rPr>
          <w:spacing w:val="-2"/>
          <w:kern w:val="0"/>
          <w:sz w:val="20"/>
          <w:rtl/>
        </w:rPr>
        <w:t xml:space="preserve"> اللجنة </w:t>
      </w:r>
      <w:r w:rsidRPr="00F040E7">
        <w:rPr>
          <w:rFonts w:hint="cs"/>
          <w:spacing w:val="-2"/>
          <w:kern w:val="0"/>
          <w:sz w:val="20"/>
          <w:rtl/>
        </w:rPr>
        <w:t>أن ا</w:t>
      </w:r>
      <w:r w:rsidRPr="00F040E7">
        <w:rPr>
          <w:spacing w:val="-2"/>
          <w:kern w:val="0"/>
          <w:sz w:val="20"/>
          <w:rtl/>
        </w:rPr>
        <w:t xml:space="preserve">لأنشطة السياسية </w:t>
      </w:r>
      <w:r w:rsidRPr="00F040E7">
        <w:rPr>
          <w:rFonts w:hint="cs"/>
          <w:spacing w:val="-2"/>
          <w:kern w:val="0"/>
          <w:sz w:val="20"/>
          <w:rtl/>
        </w:rPr>
        <w:t xml:space="preserve">التي يقوم بها صاحب الشكوى </w:t>
      </w:r>
      <w:r w:rsidRPr="00F040E7">
        <w:rPr>
          <w:spacing w:val="-2"/>
          <w:kern w:val="0"/>
          <w:sz w:val="20"/>
          <w:rtl/>
        </w:rPr>
        <w:t>في سويسرا</w:t>
      </w:r>
      <w:r w:rsidRPr="00F040E7">
        <w:rPr>
          <w:rFonts w:hint="cs"/>
          <w:spacing w:val="-2"/>
          <w:kern w:val="0"/>
          <w:sz w:val="20"/>
          <w:rtl/>
        </w:rPr>
        <w:t xml:space="preserve"> هي وفقا</w:t>
      </w:r>
      <w:r w:rsidRPr="00F040E7">
        <w:rPr>
          <w:rFonts w:hint="cs"/>
          <w:spacing w:val="-2"/>
          <w:kern w:val="0"/>
          <w:sz w:val="20"/>
          <w:rtl/>
          <w:lang w:val="fr-CH"/>
        </w:rPr>
        <w:t>ً</w:t>
      </w:r>
      <w:r w:rsidRPr="00F040E7">
        <w:rPr>
          <w:rFonts w:hint="cs"/>
          <w:spacing w:val="-2"/>
          <w:kern w:val="0"/>
          <w:sz w:val="20"/>
          <w:rtl/>
        </w:rPr>
        <w:t xml:space="preserve"> للدولة الطرف</w:t>
      </w:r>
      <w:r w:rsidRPr="00F040E7">
        <w:rPr>
          <w:spacing w:val="-2"/>
          <w:kern w:val="0"/>
          <w:sz w:val="20"/>
          <w:rtl/>
        </w:rPr>
        <w:t xml:space="preserve"> </w:t>
      </w:r>
      <w:r w:rsidRPr="00F040E7">
        <w:rPr>
          <w:rFonts w:hint="cs"/>
          <w:spacing w:val="-2"/>
          <w:kern w:val="0"/>
          <w:sz w:val="20"/>
          <w:rtl/>
        </w:rPr>
        <w:t xml:space="preserve">أنشطة مشتركة يقوم بها </w:t>
      </w:r>
      <w:r w:rsidRPr="00F040E7">
        <w:rPr>
          <w:spacing w:val="-2"/>
          <w:kern w:val="0"/>
          <w:sz w:val="20"/>
          <w:rtl/>
        </w:rPr>
        <w:t>عدد كبير من مواطني توغو في سويسرا، وأنها لا</w:t>
      </w:r>
      <w:r w:rsidR="00F040E7">
        <w:rPr>
          <w:rFonts w:hint="cs"/>
          <w:spacing w:val="-2"/>
          <w:kern w:val="0"/>
          <w:sz w:val="20"/>
          <w:rtl/>
        </w:rPr>
        <w:t> </w:t>
      </w:r>
      <w:r w:rsidRPr="00F040E7">
        <w:rPr>
          <w:spacing w:val="-2"/>
          <w:kern w:val="0"/>
          <w:sz w:val="20"/>
          <w:rtl/>
        </w:rPr>
        <w:t>تشكل خطر</w:t>
      </w:r>
      <w:r w:rsidRPr="00F040E7">
        <w:rPr>
          <w:rFonts w:hint="cs"/>
          <w:spacing w:val="-2"/>
          <w:kern w:val="0"/>
          <w:sz w:val="20"/>
          <w:rtl/>
        </w:rPr>
        <w:t>ا</w:t>
      </w:r>
      <w:r w:rsidRPr="00F040E7">
        <w:rPr>
          <w:rFonts w:hint="cs"/>
          <w:spacing w:val="-2"/>
          <w:kern w:val="0"/>
          <w:sz w:val="20"/>
          <w:rtl/>
          <w:lang w:val="fr-CH"/>
        </w:rPr>
        <w:t>ً</w:t>
      </w:r>
      <w:r w:rsidRPr="00F040E7">
        <w:rPr>
          <w:spacing w:val="-2"/>
          <w:kern w:val="0"/>
          <w:sz w:val="20"/>
          <w:rtl/>
        </w:rPr>
        <w:t xml:space="preserve"> إضافي</w:t>
      </w:r>
      <w:r w:rsidRPr="00F040E7">
        <w:rPr>
          <w:rFonts w:hint="cs"/>
          <w:spacing w:val="-2"/>
          <w:kern w:val="0"/>
          <w:sz w:val="20"/>
          <w:rtl/>
        </w:rPr>
        <w:t>ا</w:t>
      </w:r>
      <w:r w:rsidRPr="00F040E7">
        <w:rPr>
          <w:rFonts w:hint="cs"/>
          <w:spacing w:val="-2"/>
          <w:kern w:val="0"/>
          <w:sz w:val="20"/>
          <w:rtl/>
          <w:lang w:val="fr-CH"/>
        </w:rPr>
        <w:t>ً</w:t>
      </w:r>
      <w:r w:rsidRPr="00F040E7">
        <w:rPr>
          <w:spacing w:val="-2"/>
          <w:kern w:val="0"/>
          <w:sz w:val="20"/>
          <w:rtl/>
        </w:rPr>
        <w:t xml:space="preserve"> </w:t>
      </w:r>
      <w:r w:rsidRPr="00F040E7">
        <w:rPr>
          <w:rFonts w:hint="cs"/>
          <w:spacing w:val="-2"/>
          <w:kern w:val="0"/>
          <w:sz w:val="20"/>
          <w:rtl/>
        </w:rPr>
        <w:t xml:space="preserve">بالنسبة </w:t>
      </w:r>
      <w:r w:rsidRPr="00F040E7">
        <w:rPr>
          <w:spacing w:val="-2"/>
          <w:kern w:val="0"/>
          <w:sz w:val="20"/>
          <w:rtl/>
        </w:rPr>
        <w:t>ل</w:t>
      </w:r>
      <w:r w:rsidRPr="00F040E7">
        <w:rPr>
          <w:rFonts w:hint="cs"/>
          <w:spacing w:val="-2"/>
          <w:kern w:val="0"/>
          <w:sz w:val="20"/>
          <w:rtl/>
        </w:rPr>
        <w:t xml:space="preserve">ه في حالة إعادته. </w:t>
      </w:r>
    </w:p>
    <w:p w:rsidR="00523D40" w:rsidRPr="00523D40" w:rsidRDefault="00523D40" w:rsidP="00523D40">
      <w:pPr>
        <w:pStyle w:val="SingleTxtGA"/>
        <w:jc w:val="lowKashida"/>
        <w:rPr>
          <w:rFonts w:hint="cs"/>
          <w:spacing w:val="0"/>
          <w:kern w:val="0"/>
          <w:sz w:val="20"/>
          <w:rtl/>
        </w:rPr>
      </w:pPr>
      <w:r w:rsidRPr="00523D40">
        <w:rPr>
          <w:rFonts w:hint="cs"/>
          <w:spacing w:val="0"/>
          <w:kern w:val="0"/>
          <w:sz w:val="20"/>
          <w:rtl/>
        </w:rPr>
        <w:t>7-7</w:t>
      </w:r>
      <w:r w:rsidRPr="00523D40">
        <w:rPr>
          <w:rFonts w:hint="cs"/>
          <w:spacing w:val="0"/>
          <w:kern w:val="0"/>
          <w:sz w:val="20"/>
          <w:rtl/>
        </w:rPr>
        <w:tab/>
      </w:r>
      <w:r w:rsidRPr="00523D40">
        <w:rPr>
          <w:spacing w:val="0"/>
          <w:kern w:val="0"/>
          <w:sz w:val="20"/>
          <w:rtl/>
          <w:lang w:val="fr-CH"/>
        </w:rPr>
        <w:t xml:space="preserve">وترى اللجنة، وقد أخذت في الاعتبار الحجج التي قدمها الطرفان، أن صاحب </w:t>
      </w:r>
      <w:r w:rsidRPr="00523D40">
        <w:rPr>
          <w:rFonts w:hint="cs"/>
          <w:spacing w:val="0"/>
          <w:kern w:val="0"/>
          <w:sz w:val="20"/>
          <w:rtl/>
          <w:lang w:val="fr-CH"/>
        </w:rPr>
        <w:t xml:space="preserve">الشكوى </w:t>
      </w:r>
      <w:r w:rsidRPr="00523D40">
        <w:rPr>
          <w:spacing w:val="0"/>
          <w:kern w:val="0"/>
          <w:sz w:val="20"/>
          <w:rtl/>
        </w:rPr>
        <w:t xml:space="preserve">قدم أدلة كافية </w:t>
      </w:r>
      <w:r w:rsidRPr="00523D40">
        <w:rPr>
          <w:rFonts w:hint="cs"/>
          <w:spacing w:val="0"/>
          <w:kern w:val="0"/>
          <w:sz w:val="20"/>
          <w:rtl/>
        </w:rPr>
        <w:t xml:space="preserve">على احتمال تعرضه </w:t>
      </w:r>
      <w:r w:rsidRPr="00523D40">
        <w:rPr>
          <w:spacing w:val="0"/>
          <w:kern w:val="0"/>
          <w:sz w:val="20"/>
          <w:rtl/>
        </w:rPr>
        <w:t>لمعاملة تتنافى مع المادة 1</w:t>
      </w:r>
      <w:r w:rsidRPr="00523D40">
        <w:rPr>
          <w:rFonts w:hint="cs"/>
          <w:spacing w:val="0"/>
          <w:kern w:val="0"/>
          <w:sz w:val="20"/>
          <w:rtl/>
        </w:rPr>
        <w:t xml:space="preserve"> </w:t>
      </w:r>
      <w:r w:rsidRPr="00523D40">
        <w:rPr>
          <w:spacing w:val="0"/>
          <w:kern w:val="0"/>
          <w:sz w:val="20"/>
          <w:rtl/>
        </w:rPr>
        <w:t xml:space="preserve">من الاتفاقية </w:t>
      </w:r>
      <w:r w:rsidRPr="00523D40">
        <w:rPr>
          <w:rFonts w:hint="cs"/>
          <w:spacing w:val="0"/>
          <w:kern w:val="0"/>
          <w:sz w:val="20"/>
          <w:rtl/>
        </w:rPr>
        <w:t xml:space="preserve">في حالة إعادته إلى </w:t>
      </w:r>
      <w:r w:rsidRPr="00523D40">
        <w:rPr>
          <w:spacing w:val="0"/>
          <w:kern w:val="0"/>
          <w:sz w:val="20"/>
          <w:rtl/>
        </w:rPr>
        <w:t xml:space="preserve">توغو. </w:t>
      </w:r>
      <w:r w:rsidRPr="00523D40">
        <w:rPr>
          <w:rFonts w:hint="cs"/>
          <w:spacing w:val="0"/>
          <w:kern w:val="0"/>
          <w:sz w:val="20"/>
          <w:rtl/>
        </w:rPr>
        <w:t>و</w:t>
      </w:r>
      <w:r w:rsidRPr="00523D40">
        <w:rPr>
          <w:spacing w:val="0"/>
          <w:kern w:val="0"/>
          <w:sz w:val="20"/>
          <w:rtl/>
        </w:rPr>
        <w:t xml:space="preserve">للوصول إلى هذا استنتاج، </w:t>
      </w:r>
      <w:r w:rsidRPr="00523D40">
        <w:rPr>
          <w:rFonts w:hint="cs"/>
          <w:spacing w:val="0"/>
          <w:kern w:val="0"/>
          <w:sz w:val="20"/>
          <w:rtl/>
        </w:rPr>
        <w:t>ت</w:t>
      </w:r>
      <w:r w:rsidRPr="00523D40">
        <w:rPr>
          <w:spacing w:val="0"/>
          <w:kern w:val="0"/>
          <w:sz w:val="20"/>
          <w:rtl/>
        </w:rPr>
        <w:t xml:space="preserve">ستند اللجنة أولاً </w:t>
      </w:r>
      <w:r w:rsidRPr="00523D40">
        <w:rPr>
          <w:rFonts w:hint="cs"/>
          <w:spacing w:val="0"/>
          <w:kern w:val="0"/>
          <w:sz w:val="20"/>
          <w:rtl/>
        </w:rPr>
        <w:t xml:space="preserve">إلى إدعاء صاحب الشكوى، الذي يؤيده تقرير </w:t>
      </w:r>
      <w:r w:rsidRPr="00523D40">
        <w:rPr>
          <w:rFonts w:hint="cs"/>
          <w:spacing w:val="0"/>
          <w:kern w:val="0"/>
          <w:sz w:val="20"/>
          <w:rtl/>
          <w:lang/>
        </w:rPr>
        <w:t xml:space="preserve">المنظمة السويسرية لمساعدة اللاجئين </w:t>
      </w:r>
      <w:r w:rsidRPr="00523D40">
        <w:rPr>
          <w:spacing w:val="0"/>
          <w:kern w:val="0"/>
          <w:sz w:val="20"/>
          <w:rtl/>
        </w:rPr>
        <w:t>ال</w:t>
      </w:r>
      <w:r w:rsidRPr="00523D40">
        <w:rPr>
          <w:rFonts w:hint="cs"/>
          <w:spacing w:val="0"/>
          <w:kern w:val="0"/>
          <w:sz w:val="20"/>
          <w:rtl/>
        </w:rPr>
        <w:t xml:space="preserve">مؤرخ </w:t>
      </w:r>
      <w:r w:rsidRPr="00523D40">
        <w:rPr>
          <w:spacing w:val="0"/>
          <w:kern w:val="0"/>
          <w:sz w:val="20"/>
          <w:rtl/>
        </w:rPr>
        <w:t xml:space="preserve">18 </w:t>
      </w:r>
      <w:r w:rsidRPr="00523D40">
        <w:rPr>
          <w:rFonts w:hint="cs"/>
          <w:spacing w:val="0"/>
          <w:kern w:val="0"/>
          <w:sz w:val="20"/>
          <w:rtl/>
        </w:rPr>
        <w:t>أيار/</w:t>
      </w:r>
      <w:r w:rsidRPr="00523D40">
        <w:rPr>
          <w:spacing w:val="0"/>
          <w:kern w:val="0"/>
          <w:sz w:val="20"/>
          <w:rtl/>
        </w:rPr>
        <w:t>مايو 2009</w:t>
      </w:r>
      <w:r w:rsidRPr="00523D40">
        <w:rPr>
          <w:rFonts w:hint="cs"/>
          <w:spacing w:val="0"/>
          <w:kern w:val="0"/>
          <w:sz w:val="20"/>
          <w:rtl/>
        </w:rPr>
        <w:t>، ب</w:t>
      </w:r>
      <w:r w:rsidRPr="00523D40">
        <w:rPr>
          <w:spacing w:val="0"/>
          <w:kern w:val="0"/>
          <w:sz w:val="20"/>
          <w:rtl/>
        </w:rPr>
        <w:t xml:space="preserve">أن </w:t>
      </w:r>
      <w:r w:rsidRPr="00523D40">
        <w:rPr>
          <w:rFonts w:hint="cs"/>
          <w:spacing w:val="0"/>
          <w:kern w:val="0"/>
          <w:sz w:val="20"/>
          <w:rtl/>
        </w:rPr>
        <w:t>المعارضين التابعين لاتحاد القوى من أجل التغيير الذين يمارسون أي نشاط سياسي يتعرضون لأعمال انتقامية من جانب الحكومة، وأن الذين هربوا من توغو إلى بنن أو غانا يخضعون للمراقبة بمزيد من الارتياب</w:t>
      </w:r>
      <w:r w:rsidRPr="00523D40">
        <w:rPr>
          <w:spacing w:val="0"/>
          <w:kern w:val="0"/>
          <w:sz w:val="20"/>
          <w:rtl/>
        </w:rPr>
        <w:t xml:space="preserve">. ولذلك، </w:t>
      </w:r>
      <w:r w:rsidRPr="00523D40">
        <w:rPr>
          <w:rFonts w:hint="cs"/>
          <w:spacing w:val="0"/>
          <w:kern w:val="0"/>
          <w:sz w:val="20"/>
          <w:rtl/>
        </w:rPr>
        <w:t>يظل التعرض لخطر التعذيب قائما</w:t>
      </w:r>
      <w:r w:rsidRPr="00523D40">
        <w:rPr>
          <w:rFonts w:hint="cs"/>
          <w:spacing w:val="0"/>
          <w:kern w:val="0"/>
          <w:sz w:val="20"/>
          <w:rtl/>
          <w:lang w:val="fr-CH"/>
        </w:rPr>
        <w:t>ً</w:t>
      </w:r>
      <w:r w:rsidRPr="00523D40">
        <w:rPr>
          <w:rFonts w:hint="cs"/>
          <w:spacing w:val="0"/>
          <w:kern w:val="0"/>
          <w:sz w:val="20"/>
          <w:rtl/>
        </w:rPr>
        <w:t>، سواء كان صاحب الشكوى من الشخصيات البارزة في اتحاد القوى من أجل التغيير أو كان من المعارضين العاديين، إذ لا يزال اتحاد القوى من أجل التغيير الح</w:t>
      </w:r>
      <w:r w:rsidRPr="00523D40">
        <w:rPr>
          <w:spacing w:val="0"/>
          <w:kern w:val="0"/>
          <w:sz w:val="20"/>
          <w:rtl/>
        </w:rPr>
        <w:t xml:space="preserve">زب المعارض الرئيسي </w:t>
      </w:r>
      <w:r w:rsidRPr="00523D40">
        <w:rPr>
          <w:rFonts w:hint="cs"/>
          <w:spacing w:val="0"/>
          <w:kern w:val="0"/>
          <w:sz w:val="20"/>
          <w:rtl/>
        </w:rPr>
        <w:t>ل</w:t>
      </w:r>
      <w:r w:rsidRPr="00523D40">
        <w:rPr>
          <w:spacing w:val="0"/>
          <w:kern w:val="0"/>
          <w:sz w:val="20"/>
          <w:rtl/>
        </w:rPr>
        <w:t>لسلطة في توغو</w:t>
      </w:r>
      <w:r w:rsidRPr="00523D40">
        <w:rPr>
          <w:rFonts w:hint="cs"/>
          <w:spacing w:val="0"/>
          <w:kern w:val="0"/>
          <w:sz w:val="20"/>
          <w:rtl/>
        </w:rPr>
        <w:t xml:space="preserve">. ولم تنكر </w:t>
      </w:r>
      <w:r w:rsidRPr="00523D40">
        <w:rPr>
          <w:spacing w:val="0"/>
          <w:kern w:val="0"/>
          <w:sz w:val="20"/>
          <w:rtl/>
        </w:rPr>
        <w:t xml:space="preserve">السلطات السويسرية </w:t>
      </w:r>
      <w:r w:rsidRPr="00523D40">
        <w:rPr>
          <w:rFonts w:hint="cs"/>
          <w:spacing w:val="0"/>
          <w:kern w:val="0"/>
          <w:sz w:val="20"/>
          <w:rtl/>
        </w:rPr>
        <w:t>في الواقع أن صاحب الشكوى من الأعضاء ال</w:t>
      </w:r>
      <w:r w:rsidRPr="00523D40">
        <w:rPr>
          <w:spacing w:val="0"/>
          <w:kern w:val="0"/>
          <w:sz w:val="20"/>
          <w:rtl/>
        </w:rPr>
        <w:t>نشط</w:t>
      </w:r>
      <w:r w:rsidRPr="00523D40">
        <w:rPr>
          <w:rFonts w:hint="cs"/>
          <w:spacing w:val="0"/>
          <w:kern w:val="0"/>
          <w:sz w:val="20"/>
          <w:rtl/>
        </w:rPr>
        <w:t xml:space="preserve">ين لاتحاد القوى من أجل التغيير </w:t>
      </w:r>
      <w:r w:rsidRPr="00523D40">
        <w:rPr>
          <w:spacing w:val="0"/>
          <w:kern w:val="0"/>
          <w:sz w:val="20"/>
          <w:rtl/>
        </w:rPr>
        <w:t>في توغو وسويسرا. بيد</w:t>
      </w:r>
      <w:r w:rsidRPr="00523D40">
        <w:rPr>
          <w:rFonts w:hint="cs"/>
          <w:spacing w:val="0"/>
          <w:kern w:val="0"/>
          <w:sz w:val="20"/>
          <w:rtl/>
        </w:rPr>
        <w:t xml:space="preserve"> أن</w:t>
      </w:r>
      <w:r w:rsidRPr="00523D40">
        <w:rPr>
          <w:spacing w:val="0"/>
          <w:kern w:val="0"/>
          <w:sz w:val="20"/>
          <w:rtl/>
        </w:rPr>
        <w:t xml:space="preserve"> الانتهاكات الجسيمة لحقوق الإنسان التي </w:t>
      </w:r>
      <w:r w:rsidRPr="00523D40">
        <w:rPr>
          <w:rFonts w:hint="cs"/>
          <w:spacing w:val="0"/>
          <w:kern w:val="0"/>
          <w:sz w:val="20"/>
          <w:rtl/>
        </w:rPr>
        <w:t>وقعت</w:t>
      </w:r>
      <w:r w:rsidRPr="00523D40">
        <w:rPr>
          <w:spacing w:val="0"/>
          <w:kern w:val="0"/>
          <w:sz w:val="20"/>
          <w:rtl/>
        </w:rPr>
        <w:t xml:space="preserve"> </w:t>
      </w:r>
      <w:r w:rsidRPr="00523D40">
        <w:rPr>
          <w:rFonts w:hint="cs"/>
          <w:spacing w:val="0"/>
          <w:kern w:val="0"/>
          <w:sz w:val="20"/>
          <w:rtl/>
        </w:rPr>
        <w:t>أثناء</w:t>
      </w:r>
      <w:r w:rsidRPr="00523D40">
        <w:rPr>
          <w:spacing w:val="0"/>
          <w:kern w:val="0"/>
          <w:sz w:val="20"/>
          <w:rtl/>
        </w:rPr>
        <w:t xml:space="preserve"> انتخابات الرئاسة </w:t>
      </w:r>
      <w:r w:rsidRPr="00523D40">
        <w:rPr>
          <w:rFonts w:hint="cs"/>
          <w:spacing w:val="0"/>
          <w:kern w:val="0"/>
          <w:sz w:val="20"/>
          <w:rtl/>
        </w:rPr>
        <w:t xml:space="preserve">التي جرت </w:t>
      </w:r>
      <w:r w:rsidRPr="00523D40">
        <w:rPr>
          <w:spacing w:val="0"/>
          <w:kern w:val="0"/>
          <w:sz w:val="20"/>
          <w:rtl/>
        </w:rPr>
        <w:t xml:space="preserve">في 24 </w:t>
      </w:r>
      <w:r w:rsidRPr="00523D40">
        <w:rPr>
          <w:rFonts w:hint="cs"/>
          <w:spacing w:val="0"/>
          <w:kern w:val="0"/>
          <w:sz w:val="20"/>
          <w:rtl/>
        </w:rPr>
        <w:t>نيسان/</w:t>
      </w:r>
      <w:r w:rsidRPr="00523D40">
        <w:rPr>
          <w:spacing w:val="0"/>
          <w:kern w:val="0"/>
          <w:sz w:val="20"/>
          <w:rtl/>
        </w:rPr>
        <w:t xml:space="preserve">أبريل 2005 </w:t>
      </w:r>
      <w:r w:rsidRPr="00523D40">
        <w:rPr>
          <w:rFonts w:hint="cs"/>
          <w:spacing w:val="0"/>
          <w:kern w:val="0"/>
          <w:sz w:val="20"/>
          <w:rtl/>
        </w:rPr>
        <w:t xml:space="preserve">وبعدها لم </w:t>
      </w:r>
      <w:r w:rsidRPr="00523D40">
        <w:rPr>
          <w:spacing w:val="0"/>
          <w:kern w:val="0"/>
          <w:sz w:val="20"/>
          <w:rtl/>
        </w:rPr>
        <w:t xml:space="preserve">تخضع </w:t>
      </w:r>
      <w:r w:rsidRPr="00523D40">
        <w:rPr>
          <w:rFonts w:hint="cs"/>
          <w:spacing w:val="0"/>
          <w:kern w:val="0"/>
          <w:sz w:val="20"/>
          <w:rtl/>
        </w:rPr>
        <w:t xml:space="preserve">بعدُ </w:t>
      </w:r>
      <w:r w:rsidRPr="00523D40">
        <w:rPr>
          <w:spacing w:val="0"/>
          <w:kern w:val="0"/>
          <w:sz w:val="20"/>
          <w:rtl/>
        </w:rPr>
        <w:t xml:space="preserve">للتحقيق القضائي، </w:t>
      </w:r>
      <w:r w:rsidRPr="00523D40">
        <w:rPr>
          <w:rFonts w:hint="cs"/>
          <w:spacing w:val="0"/>
          <w:kern w:val="0"/>
          <w:sz w:val="20"/>
          <w:rtl/>
        </w:rPr>
        <w:t xml:space="preserve">وهذا يهيئ بالتالي </w:t>
      </w:r>
      <w:r w:rsidRPr="00523D40">
        <w:rPr>
          <w:spacing w:val="0"/>
          <w:kern w:val="0"/>
          <w:sz w:val="20"/>
          <w:rtl/>
        </w:rPr>
        <w:t>مناخ</w:t>
      </w:r>
      <w:r w:rsidRPr="00523D40">
        <w:rPr>
          <w:rFonts w:hint="cs"/>
          <w:spacing w:val="0"/>
          <w:kern w:val="0"/>
          <w:sz w:val="20"/>
          <w:rtl/>
        </w:rPr>
        <w:t>ا</w:t>
      </w:r>
      <w:r w:rsidRPr="00523D40">
        <w:rPr>
          <w:spacing w:val="0"/>
          <w:kern w:val="0"/>
          <w:sz w:val="20"/>
          <w:rtl/>
        </w:rPr>
        <w:t xml:space="preserve"> </w:t>
      </w:r>
      <w:r w:rsidRPr="00523D40">
        <w:rPr>
          <w:rFonts w:hint="cs"/>
          <w:spacing w:val="0"/>
          <w:kern w:val="0"/>
          <w:sz w:val="20"/>
          <w:rtl/>
        </w:rPr>
        <w:t>ملائما ل</w:t>
      </w:r>
      <w:r w:rsidRPr="00523D40">
        <w:rPr>
          <w:spacing w:val="0"/>
          <w:kern w:val="0"/>
          <w:sz w:val="20"/>
          <w:rtl/>
        </w:rPr>
        <w:t>لإفلات من العقاب و</w:t>
      </w:r>
      <w:r w:rsidRPr="00523D40">
        <w:rPr>
          <w:rFonts w:hint="cs"/>
          <w:spacing w:val="0"/>
          <w:kern w:val="0"/>
          <w:sz w:val="20"/>
          <w:rtl/>
        </w:rPr>
        <w:t xml:space="preserve">أرضية مواتية </w:t>
      </w:r>
      <w:r w:rsidRPr="00523D40">
        <w:rPr>
          <w:spacing w:val="0"/>
          <w:kern w:val="0"/>
          <w:sz w:val="20"/>
          <w:rtl/>
        </w:rPr>
        <w:t>لتكرار مثل هذه الانتهاكات</w:t>
      </w:r>
      <w:r w:rsidRPr="00523D40">
        <w:rPr>
          <w:spacing w:val="0"/>
          <w:kern w:val="0"/>
          <w:sz w:val="20"/>
          <w:vertAlign w:val="superscript"/>
          <w:rtl/>
        </w:rPr>
        <w:t>(</w:t>
      </w:r>
      <w:r w:rsidRPr="00523D40">
        <w:rPr>
          <w:rStyle w:val="FootnoteReference"/>
          <w:spacing w:val="0"/>
          <w:sz w:val="20"/>
          <w:rtl/>
        </w:rPr>
        <w:footnoteReference w:id="317"/>
      </w:r>
      <w:r w:rsidRPr="00523D40">
        <w:rPr>
          <w:spacing w:val="0"/>
          <w:kern w:val="0"/>
          <w:sz w:val="20"/>
          <w:vertAlign w:val="superscript"/>
          <w:rtl/>
        </w:rPr>
        <w:t>)</w:t>
      </w:r>
      <w:r w:rsidRPr="00523D40">
        <w:rPr>
          <w:spacing w:val="0"/>
          <w:kern w:val="0"/>
          <w:sz w:val="20"/>
          <w:rtl/>
        </w:rPr>
        <w:t xml:space="preserve">. </w:t>
      </w:r>
      <w:r w:rsidRPr="00523D40">
        <w:rPr>
          <w:rFonts w:hint="cs"/>
          <w:spacing w:val="0"/>
          <w:kern w:val="0"/>
          <w:sz w:val="20"/>
          <w:rtl/>
        </w:rPr>
        <w:t>و</w:t>
      </w:r>
      <w:r w:rsidRPr="00523D40">
        <w:rPr>
          <w:spacing w:val="0"/>
          <w:kern w:val="0"/>
          <w:sz w:val="20"/>
          <w:rtl/>
        </w:rPr>
        <w:t xml:space="preserve">تلاحظ اللجنة </w:t>
      </w:r>
      <w:r w:rsidRPr="00523D40">
        <w:rPr>
          <w:rFonts w:hint="cs"/>
          <w:spacing w:val="0"/>
          <w:kern w:val="0"/>
          <w:sz w:val="20"/>
          <w:rtl/>
        </w:rPr>
        <w:t xml:space="preserve">علاوة على ذلك </w:t>
      </w:r>
      <w:r w:rsidRPr="00523D40">
        <w:rPr>
          <w:spacing w:val="0"/>
          <w:kern w:val="0"/>
          <w:sz w:val="20"/>
          <w:rtl/>
        </w:rPr>
        <w:t>أن</w:t>
      </w:r>
      <w:r w:rsidRPr="00523D40">
        <w:rPr>
          <w:rFonts w:hint="cs"/>
          <w:spacing w:val="0"/>
          <w:kern w:val="0"/>
          <w:sz w:val="20"/>
          <w:rtl/>
        </w:rPr>
        <w:t>ه،</w:t>
      </w:r>
      <w:r w:rsidRPr="00523D40">
        <w:rPr>
          <w:spacing w:val="0"/>
          <w:kern w:val="0"/>
          <w:sz w:val="20"/>
          <w:rtl/>
        </w:rPr>
        <w:t xml:space="preserve"> </w:t>
      </w:r>
      <w:r w:rsidRPr="00523D40">
        <w:rPr>
          <w:rFonts w:hint="cs"/>
          <w:spacing w:val="0"/>
          <w:kern w:val="0"/>
          <w:sz w:val="20"/>
          <w:rtl/>
        </w:rPr>
        <w:t xml:space="preserve">على الرغم من </w:t>
      </w:r>
      <w:r w:rsidRPr="00523D40">
        <w:rPr>
          <w:spacing w:val="0"/>
          <w:kern w:val="0"/>
          <w:sz w:val="20"/>
          <w:rtl/>
        </w:rPr>
        <w:t>توصياتها</w:t>
      </w:r>
      <w:r w:rsidRPr="00523D40">
        <w:rPr>
          <w:rFonts w:hint="cs"/>
          <w:spacing w:val="0"/>
          <w:kern w:val="0"/>
          <w:sz w:val="20"/>
          <w:rtl/>
        </w:rPr>
        <w:t>،</w:t>
      </w:r>
      <w:r w:rsidRPr="00523D40">
        <w:rPr>
          <w:spacing w:val="0"/>
          <w:kern w:val="0"/>
          <w:sz w:val="20"/>
          <w:rtl/>
        </w:rPr>
        <w:t xml:space="preserve"> </w:t>
      </w:r>
      <w:r w:rsidRPr="00523D40">
        <w:rPr>
          <w:rFonts w:hint="cs"/>
          <w:spacing w:val="0"/>
          <w:kern w:val="0"/>
          <w:sz w:val="20"/>
          <w:rtl/>
        </w:rPr>
        <w:t>لم تعتمد توغو بعدُ، حكما</w:t>
      </w:r>
      <w:r w:rsidRPr="00523D40">
        <w:rPr>
          <w:rFonts w:hint="cs"/>
          <w:spacing w:val="0"/>
          <w:kern w:val="0"/>
          <w:sz w:val="20"/>
          <w:rtl/>
          <w:lang w:val="fr-CH"/>
        </w:rPr>
        <w:t>ً</w:t>
      </w:r>
      <w:r w:rsidRPr="00523D40">
        <w:rPr>
          <w:rFonts w:hint="cs"/>
          <w:spacing w:val="0"/>
          <w:kern w:val="0"/>
          <w:sz w:val="20"/>
          <w:rtl/>
        </w:rPr>
        <w:t xml:space="preserve"> </w:t>
      </w:r>
      <w:r w:rsidRPr="00523D40">
        <w:rPr>
          <w:spacing w:val="0"/>
          <w:kern w:val="0"/>
          <w:sz w:val="20"/>
          <w:rtl/>
        </w:rPr>
        <w:t>جنائي</w:t>
      </w:r>
      <w:r w:rsidRPr="00523D40">
        <w:rPr>
          <w:rFonts w:hint="cs"/>
          <w:spacing w:val="0"/>
          <w:kern w:val="0"/>
          <w:sz w:val="20"/>
          <w:rtl/>
        </w:rPr>
        <w:t>ا</w:t>
      </w:r>
      <w:r w:rsidRPr="00523D40">
        <w:rPr>
          <w:rFonts w:hint="cs"/>
          <w:spacing w:val="0"/>
          <w:kern w:val="0"/>
          <w:sz w:val="20"/>
          <w:rtl/>
          <w:lang w:val="fr-CH"/>
        </w:rPr>
        <w:t>ً</w:t>
      </w:r>
      <w:r w:rsidRPr="00523D40">
        <w:rPr>
          <w:rFonts w:hint="cs"/>
          <w:spacing w:val="0"/>
          <w:kern w:val="0"/>
          <w:sz w:val="20"/>
          <w:rtl/>
        </w:rPr>
        <w:t xml:space="preserve"> لتعريف التعذيب وتجريمه صراحة، وهذا يشجع بالتالي على </w:t>
      </w:r>
      <w:r w:rsidRPr="00523D40">
        <w:rPr>
          <w:spacing w:val="0"/>
          <w:kern w:val="0"/>
          <w:sz w:val="20"/>
          <w:rtl/>
        </w:rPr>
        <w:t>الإفلات من العقاب فيما يتعلق بمثل هذه الممارسات</w:t>
      </w:r>
      <w:r w:rsidRPr="00523D40">
        <w:rPr>
          <w:spacing w:val="0"/>
          <w:kern w:val="0"/>
          <w:sz w:val="20"/>
          <w:vertAlign w:val="superscript"/>
          <w:rtl/>
        </w:rPr>
        <w:t>(</w:t>
      </w:r>
      <w:r w:rsidRPr="00523D40">
        <w:rPr>
          <w:rStyle w:val="FootnoteReference"/>
          <w:spacing w:val="0"/>
          <w:sz w:val="20"/>
          <w:rtl/>
        </w:rPr>
        <w:footnoteReference w:id="318"/>
      </w:r>
      <w:r w:rsidRPr="00523D40">
        <w:rPr>
          <w:spacing w:val="0"/>
          <w:kern w:val="0"/>
          <w:sz w:val="20"/>
          <w:vertAlign w:val="superscript"/>
          <w:rtl/>
        </w:rPr>
        <w:t>)</w:t>
      </w:r>
      <w:r w:rsidRPr="00523D40">
        <w:rPr>
          <w:spacing w:val="0"/>
          <w:kern w:val="0"/>
          <w:sz w:val="20"/>
          <w:rtl/>
        </w:rPr>
        <w:t>.</w:t>
      </w:r>
    </w:p>
    <w:p w:rsidR="00523D40" w:rsidRPr="00523D40" w:rsidRDefault="00523D40" w:rsidP="00F040E7">
      <w:pPr>
        <w:pStyle w:val="SingleTxtGA"/>
        <w:jc w:val="lowKashida"/>
        <w:rPr>
          <w:rFonts w:hint="cs"/>
          <w:spacing w:val="0"/>
          <w:kern w:val="0"/>
          <w:sz w:val="20"/>
          <w:rtl/>
        </w:rPr>
      </w:pPr>
      <w:r w:rsidRPr="00523D40">
        <w:rPr>
          <w:rFonts w:hint="cs"/>
          <w:spacing w:val="0"/>
          <w:kern w:val="0"/>
          <w:sz w:val="20"/>
          <w:rtl/>
        </w:rPr>
        <w:t>7-8</w:t>
      </w:r>
      <w:r w:rsidRPr="00523D40">
        <w:rPr>
          <w:rFonts w:hint="cs"/>
          <w:spacing w:val="0"/>
          <w:kern w:val="0"/>
          <w:sz w:val="20"/>
          <w:rtl/>
        </w:rPr>
        <w:tab/>
        <w:t xml:space="preserve">وفيما يتعلق </w:t>
      </w:r>
      <w:r w:rsidRPr="00523D40">
        <w:rPr>
          <w:spacing w:val="0"/>
          <w:kern w:val="0"/>
          <w:sz w:val="20"/>
          <w:rtl/>
        </w:rPr>
        <w:t xml:space="preserve">بالشهادات والتقارير الطبية المقدمة لدعم </w:t>
      </w:r>
      <w:r w:rsidRPr="00523D40">
        <w:rPr>
          <w:rFonts w:hint="cs"/>
          <w:spacing w:val="0"/>
          <w:kern w:val="0"/>
          <w:sz w:val="20"/>
          <w:rtl/>
        </w:rPr>
        <w:t xml:space="preserve">طلب اللجوء المقدم من صاحب الشكوى، تؤكد الشهادات الطبية الثلاث المؤرخة </w:t>
      </w:r>
      <w:r w:rsidRPr="00523D40">
        <w:rPr>
          <w:spacing w:val="0"/>
          <w:kern w:val="0"/>
          <w:sz w:val="20"/>
          <w:rtl/>
        </w:rPr>
        <w:t xml:space="preserve">25 </w:t>
      </w:r>
      <w:r w:rsidRPr="00523D40">
        <w:rPr>
          <w:rFonts w:hint="cs"/>
          <w:spacing w:val="0"/>
          <w:kern w:val="0"/>
          <w:sz w:val="20"/>
          <w:rtl/>
        </w:rPr>
        <w:t>تموز/</w:t>
      </w:r>
      <w:r w:rsidRPr="00523D40">
        <w:rPr>
          <w:spacing w:val="0"/>
          <w:kern w:val="0"/>
          <w:sz w:val="20"/>
          <w:rtl/>
        </w:rPr>
        <w:t>يوليه 2007</w:t>
      </w:r>
      <w:r w:rsidRPr="00523D40">
        <w:rPr>
          <w:rFonts w:hint="cs"/>
          <w:spacing w:val="0"/>
          <w:kern w:val="0"/>
          <w:sz w:val="20"/>
          <w:rtl/>
        </w:rPr>
        <w:t>، و</w:t>
      </w:r>
      <w:r w:rsidRPr="00523D40">
        <w:rPr>
          <w:spacing w:val="0"/>
          <w:kern w:val="0"/>
          <w:sz w:val="20"/>
          <w:rtl/>
        </w:rPr>
        <w:t>7 آذار/مارس 2008</w:t>
      </w:r>
      <w:r w:rsidRPr="00523D40">
        <w:rPr>
          <w:rFonts w:hint="cs"/>
          <w:spacing w:val="0"/>
          <w:kern w:val="0"/>
          <w:sz w:val="20"/>
          <w:rtl/>
        </w:rPr>
        <w:t>، و</w:t>
      </w:r>
      <w:r w:rsidRPr="00523D40">
        <w:rPr>
          <w:spacing w:val="0"/>
          <w:kern w:val="0"/>
          <w:sz w:val="20"/>
          <w:rtl/>
        </w:rPr>
        <w:t xml:space="preserve">29 نيسان/أبريل 2009 اعتلال </w:t>
      </w:r>
      <w:r w:rsidRPr="00523D40">
        <w:rPr>
          <w:rFonts w:hint="cs"/>
          <w:spacing w:val="0"/>
          <w:kern w:val="0"/>
          <w:sz w:val="20"/>
          <w:rtl/>
        </w:rPr>
        <w:t>ال</w:t>
      </w:r>
      <w:r w:rsidRPr="00523D40">
        <w:rPr>
          <w:spacing w:val="0"/>
          <w:kern w:val="0"/>
          <w:sz w:val="20"/>
          <w:rtl/>
        </w:rPr>
        <w:t xml:space="preserve">صحة </w:t>
      </w:r>
      <w:r w:rsidRPr="00523D40">
        <w:rPr>
          <w:rFonts w:hint="cs"/>
          <w:spacing w:val="0"/>
          <w:kern w:val="0"/>
          <w:sz w:val="20"/>
          <w:rtl/>
        </w:rPr>
        <w:t>النفسية</w:t>
      </w:r>
      <w:r w:rsidRPr="00523D40">
        <w:rPr>
          <w:spacing w:val="0"/>
          <w:kern w:val="0"/>
          <w:sz w:val="20"/>
          <w:rtl/>
        </w:rPr>
        <w:t xml:space="preserve"> </w:t>
      </w:r>
      <w:r w:rsidRPr="00523D40">
        <w:rPr>
          <w:rFonts w:hint="cs"/>
          <w:spacing w:val="0"/>
          <w:kern w:val="0"/>
          <w:sz w:val="20"/>
          <w:rtl/>
        </w:rPr>
        <w:t>لصاحب الشكوى نتيجة للتجارب التي تعرض لها في</w:t>
      </w:r>
      <w:r w:rsidRPr="00523D40">
        <w:rPr>
          <w:spacing w:val="0"/>
          <w:kern w:val="0"/>
          <w:sz w:val="20"/>
          <w:rtl/>
        </w:rPr>
        <w:t xml:space="preserve"> الماضي. </w:t>
      </w:r>
      <w:r w:rsidRPr="00523D40">
        <w:rPr>
          <w:rFonts w:hint="cs"/>
          <w:spacing w:val="0"/>
          <w:kern w:val="0"/>
          <w:sz w:val="20"/>
          <w:rtl/>
        </w:rPr>
        <w:t xml:space="preserve">وفيما يتعلق بالتقرير الطبي لقسم الأمراض النفسية بمستشفى سولير المؤرخ </w:t>
      </w:r>
      <w:r w:rsidRPr="00523D40">
        <w:rPr>
          <w:spacing w:val="0"/>
          <w:kern w:val="0"/>
          <w:sz w:val="20"/>
          <w:rtl/>
        </w:rPr>
        <w:t xml:space="preserve">18 </w:t>
      </w:r>
      <w:r w:rsidRPr="00523D40">
        <w:rPr>
          <w:rFonts w:hint="cs"/>
          <w:spacing w:val="0"/>
          <w:kern w:val="0"/>
          <w:sz w:val="20"/>
          <w:rtl/>
        </w:rPr>
        <w:t>أيار/</w:t>
      </w:r>
      <w:r w:rsidRPr="00523D40">
        <w:rPr>
          <w:spacing w:val="0"/>
          <w:kern w:val="0"/>
          <w:sz w:val="20"/>
          <w:rtl/>
        </w:rPr>
        <w:t xml:space="preserve">مايو 2009، </w:t>
      </w:r>
      <w:r w:rsidRPr="00523D40">
        <w:rPr>
          <w:rFonts w:hint="cs"/>
          <w:spacing w:val="0"/>
          <w:kern w:val="0"/>
          <w:sz w:val="20"/>
          <w:rtl/>
        </w:rPr>
        <w:t xml:space="preserve">تلاحظ </w:t>
      </w:r>
      <w:r w:rsidRPr="00523D40">
        <w:rPr>
          <w:spacing w:val="0"/>
          <w:kern w:val="0"/>
          <w:sz w:val="20"/>
          <w:rtl/>
        </w:rPr>
        <w:t xml:space="preserve">اللجنة </w:t>
      </w:r>
      <w:r w:rsidRPr="00523D40">
        <w:rPr>
          <w:rFonts w:hint="cs"/>
          <w:spacing w:val="0"/>
          <w:kern w:val="0"/>
          <w:sz w:val="20"/>
          <w:rtl/>
        </w:rPr>
        <w:t xml:space="preserve">أنه يشير إلى </w:t>
      </w:r>
      <w:r w:rsidRPr="00523D40">
        <w:rPr>
          <w:spacing w:val="0"/>
          <w:kern w:val="0"/>
          <w:sz w:val="20"/>
          <w:rtl/>
        </w:rPr>
        <w:t>الإرهاب</w:t>
      </w:r>
      <w:r w:rsidRPr="00523D40">
        <w:rPr>
          <w:rFonts w:hint="cs"/>
          <w:spacing w:val="0"/>
          <w:kern w:val="0"/>
          <w:sz w:val="20"/>
          <w:rtl/>
        </w:rPr>
        <w:t xml:space="preserve"> </w:t>
      </w:r>
      <w:r w:rsidRPr="00523D40">
        <w:rPr>
          <w:spacing w:val="0"/>
          <w:kern w:val="0"/>
          <w:sz w:val="20"/>
          <w:rtl/>
        </w:rPr>
        <w:t>أو</w:t>
      </w:r>
      <w:r w:rsidR="00F040E7">
        <w:rPr>
          <w:rFonts w:hint="cs"/>
          <w:spacing w:val="0"/>
          <w:kern w:val="0"/>
          <w:sz w:val="20"/>
          <w:rtl/>
        </w:rPr>
        <w:t> </w:t>
      </w:r>
      <w:r w:rsidRPr="00523D40">
        <w:rPr>
          <w:spacing w:val="0"/>
          <w:kern w:val="0"/>
          <w:sz w:val="20"/>
          <w:rtl/>
        </w:rPr>
        <w:t xml:space="preserve">التعذيب </w:t>
      </w:r>
      <w:r w:rsidRPr="00523D40">
        <w:rPr>
          <w:rFonts w:hint="cs"/>
          <w:spacing w:val="0"/>
          <w:kern w:val="0"/>
          <w:sz w:val="20"/>
          <w:rtl/>
        </w:rPr>
        <w:t xml:space="preserve">كأسباب </w:t>
      </w:r>
      <w:r w:rsidRPr="00523D40">
        <w:rPr>
          <w:spacing w:val="0"/>
          <w:kern w:val="0"/>
          <w:sz w:val="20"/>
          <w:rtl/>
        </w:rPr>
        <w:t>محتملة</w:t>
      </w:r>
      <w:r w:rsidRPr="00523D40">
        <w:rPr>
          <w:rFonts w:hint="cs"/>
          <w:spacing w:val="0"/>
          <w:kern w:val="0"/>
          <w:sz w:val="20"/>
          <w:rtl/>
        </w:rPr>
        <w:t xml:space="preserve"> لاضطراب الإجهاد اللاحق للصدمة المشار إليه في تشخيص حالة صاحب</w:t>
      </w:r>
      <w:r w:rsidRPr="00523D40">
        <w:rPr>
          <w:spacing w:val="0"/>
          <w:kern w:val="0"/>
          <w:sz w:val="20"/>
          <w:rtl/>
        </w:rPr>
        <w:t xml:space="preserve"> ال</w:t>
      </w:r>
      <w:r w:rsidRPr="00523D40">
        <w:rPr>
          <w:rFonts w:hint="cs"/>
          <w:spacing w:val="0"/>
          <w:kern w:val="0"/>
          <w:sz w:val="20"/>
          <w:rtl/>
        </w:rPr>
        <w:t xml:space="preserve">شكوى. </w:t>
      </w:r>
      <w:r w:rsidRPr="00523D40">
        <w:rPr>
          <w:spacing w:val="0"/>
          <w:kern w:val="0"/>
          <w:sz w:val="20"/>
          <w:rtl/>
        </w:rPr>
        <w:t>وترى اللجنة أن</w:t>
      </w:r>
      <w:r w:rsidRPr="00523D40">
        <w:rPr>
          <w:rFonts w:hint="cs"/>
          <w:spacing w:val="0"/>
          <w:kern w:val="0"/>
          <w:sz w:val="20"/>
          <w:rtl/>
        </w:rPr>
        <w:t xml:space="preserve"> هذه العناصر كان ينبغي أن تحظى باهتمام خاص من جانب الدولة الطرف وأنها </w:t>
      </w:r>
      <w:r w:rsidRPr="00523D40">
        <w:rPr>
          <w:spacing w:val="0"/>
          <w:kern w:val="0"/>
          <w:sz w:val="20"/>
          <w:rtl/>
        </w:rPr>
        <w:t>تشكل أساسا</w:t>
      </w:r>
      <w:r w:rsidRPr="00523D40">
        <w:rPr>
          <w:rFonts w:hint="cs"/>
          <w:spacing w:val="0"/>
          <w:kern w:val="0"/>
          <w:sz w:val="20"/>
          <w:rtl/>
          <w:lang w:val="fr-CH"/>
        </w:rPr>
        <w:t>ً</w:t>
      </w:r>
      <w:r w:rsidRPr="00523D40">
        <w:rPr>
          <w:spacing w:val="0"/>
          <w:kern w:val="0"/>
          <w:sz w:val="20"/>
          <w:rtl/>
        </w:rPr>
        <w:t xml:space="preserve"> كافياً </w:t>
      </w:r>
      <w:r w:rsidRPr="00523D40">
        <w:rPr>
          <w:rFonts w:hint="cs"/>
          <w:spacing w:val="0"/>
          <w:kern w:val="0"/>
          <w:sz w:val="20"/>
          <w:rtl/>
        </w:rPr>
        <w:t>لإ</w:t>
      </w:r>
      <w:r w:rsidRPr="00523D40">
        <w:rPr>
          <w:spacing w:val="0"/>
          <w:kern w:val="0"/>
          <w:sz w:val="20"/>
          <w:rtl/>
        </w:rPr>
        <w:t xml:space="preserve">جراء تحقيق </w:t>
      </w:r>
      <w:r w:rsidRPr="00523D40">
        <w:rPr>
          <w:rFonts w:hint="cs"/>
          <w:spacing w:val="0"/>
          <w:kern w:val="0"/>
          <w:sz w:val="20"/>
          <w:rtl/>
        </w:rPr>
        <w:t>أكثر عمقا</w:t>
      </w:r>
      <w:r w:rsidRPr="00523D40">
        <w:rPr>
          <w:rFonts w:hint="cs"/>
          <w:spacing w:val="0"/>
          <w:kern w:val="0"/>
          <w:sz w:val="20"/>
          <w:rtl/>
          <w:lang w:val="fr-CH"/>
        </w:rPr>
        <w:t>ً</w:t>
      </w:r>
      <w:r w:rsidRPr="00523D40">
        <w:rPr>
          <w:rFonts w:hint="cs"/>
          <w:spacing w:val="0"/>
          <w:kern w:val="0"/>
          <w:sz w:val="20"/>
          <w:rtl/>
        </w:rPr>
        <w:t xml:space="preserve"> ل</w:t>
      </w:r>
      <w:r w:rsidRPr="00523D40">
        <w:rPr>
          <w:spacing w:val="0"/>
          <w:kern w:val="0"/>
          <w:sz w:val="20"/>
          <w:rtl/>
        </w:rPr>
        <w:t xml:space="preserve">لمخاطر المزعومة. </w:t>
      </w:r>
      <w:r w:rsidRPr="00523D40">
        <w:rPr>
          <w:rFonts w:hint="cs"/>
          <w:spacing w:val="0"/>
          <w:kern w:val="0"/>
          <w:sz w:val="20"/>
          <w:rtl/>
        </w:rPr>
        <w:t xml:space="preserve">بيد أن </w:t>
      </w:r>
      <w:r w:rsidRPr="00523D40">
        <w:rPr>
          <w:spacing w:val="0"/>
          <w:kern w:val="0"/>
          <w:sz w:val="20"/>
          <w:rtl/>
        </w:rPr>
        <w:t xml:space="preserve">المحكمة الإدارية الاتحادية </w:t>
      </w:r>
      <w:r w:rsidRPr="00523D40">
        <w:rPr>
          <w:rFonts w:hint="cs"/>
          <w:spacing w:val="0"/>
          <w:kern w:val="0"/>
          <w:sz w:val="20"/>
          <w:rtl/>
        </w:rPr>
        <w:t>اكتفت برفض هذه العناصر بدعوى أنها لا تسوغ ال</w:t>
      </w:r>
      <w:r w:rsidRPr="00523D40">
        <w:rPr>
          <w:spacing w:val="0"/>
          <w:kern w:val="0"/>
          <w:sz w:val="20"/>
          <w:rtl/>
        </w:rPr>
        <w:t>تشك</w:t>
      </w:r>
      <w:r w:rsidRPr="00523D40">
        <w:rPr>
          <w:rFonts w:hint="cs"/>
          <w:spacing w:val="0"/>
          <w:kern w:val="0"/>
          <w:sz w:val="20"/>
          <w:rtl/>
        </w:rPr>
        <w:t>ي</w:t>
      </w:r>
      <w:r w:rsidRPr="00523D40">
        <w:rPr>
          <w:spacing w:val="0"/>
          <w:kern w:val="0"/>
          <w:sz w:val="20"/>
          <w:rtl/>
        </w:rPr>
        <w:t>ك في التقييم ال</w:t>
      </w:r>
      <w:r w:rsidRPr="00523D40">
        <w:rPr>
          <w:rFonts w:hint="cs"/>
          <w:spacing w:val="0"/>
          <w:kern w:val="0"/>
          <w:sz w:val="20"/>
          <w:rtl/>
        </w:rPr>
        <w:t xml:space="preserve">مشار إليه </w:t>
      </w:r>
      <w:r w:rsidRPr="00523D40">
        <w:rPr>
          <w:spacing w:val="0"/>
          <w:kern w:val="0"/>
          <w:sz w:val="20"/>
          <w:rtl/>
        </w:rPr>
        <w:t xml:space="preserve">في القرارات السابقة. </w:t>
      </w:r>
      <w:r w:rsidRPr="00523D40">
        <w:rPr>
          <w:rFonts w:hint="cs"/>
          <w:spacing w:val="0"/>
          <w:kern w:val="0"/>
          <w:sz w:val="20"/>
          <w:rtl/>
        </w:rPr>
        <w:t>وترى اللجنة أن التصرف على هذا النحو د</w:t>
      </w:r>
      <w:r w:rsidRPr="00523D40">
        <w:rPr>
          <w:spacing w:val="0"/>
          <w:kern w:val="0"/>
          <w:sz w:val="20"/>
          <w:rtl/>
        </w:rPr>
        <w:t xml:space="preserve">ون النظر </w:t>
      </w:r>
      <w:r w:rsidRPr="00523D40">
        <w:rPr>
          <w:rFonts w:hint="cs"/>
          <w:spacing w:val="0"/>
          <w:kern w:val="0"/>
          <w:sz w:val="20"/>
          <w:rtl/>
        </w:rPr>
        <w:t>في</w:t>
      </w:r>
      <w:r w:rsidRPr="00523D40">
        <w:rPr>
          <w:spacing w:val="0"/>
          <w:kern w:val="0"/>
          <w:sz w:val="20"/>
          <w:rtl/>
        </w:rPr>
        <w:t xml:space="preserve"> هذه العناصر، </w:t>
      </w:r>
      <w:r w:rsidRPr="00523D40">
        <w:rPr>
          <w:rFonts w:hint="cs"/>
          <w:spacing w:val="0"/>
          <w:kern w:val="0"/>
          <w:sz w:val="20"/>
          <w:rtl/>
        </w:rPr>
        <w:t xml:space="preserve">حتى لو كانت قد قُدمت </w:t>
      </w:r>
      <w:r w:rsidRPr="00523D40">
        <w:rPr>
          <w:spacing w:val="0"/>
          <w:kern w:val="0"/>
          <w:sz w:val="20"/>
          <w:rtl/>
        </w:rPr>
        <w:t xml:space="preserve">في مرحلة لاحقة من الإجراءات، </w:t>
      </w:r>
      <w:r w:rsidRPr="00523D40">
        <w:rPr>
          <w:rFonts w:hint="cs"/>
          <w:spacing w:val="0"/>
          <w:kern w:val="0"/>
          <w:sz w:val="20"/>
          <w:rtl/>
        </w:rPr>
        <w:t>يشكل إخلالا</w:t>
      </w:r>
      <w:r w:rsidRPr="00523D40">
        <w:rPr>
          <w:rFonts w:hint="cs"/>
          <w:spacing w:val="0"/>
          <w:kern w:val="0"/>
          <w:sz w:val="20"/>
          <w:rtl/>
          <w:lang w:val="fr-CH"/>
        </w:rPr>
        <w:t>ً</w:t>
      </w:r>
      <w:r w:rsidRPr="00523D40">
        <w:rPr>
          <w:rFonts w:hint="cs"/>
          <w:spacing w:val="0"/>
          <w:kern w:val="0"/>
          <w:sz w:val="20"/>
          <w:rtl/>
        </w:rPr>
        <w:t xml:space="preserve"> من جانب </w:t>
      </w:r>
      <w:r w:rsidRPr="00523D40">
        <w:rPr>
          <w:spacing w:val="0"/>
          <w:kern w:val="0"/>
          <w:sz w:val="20"/>
          <w:rtl/>
        </w:rPr>
        <w:t xml:space="preserve">سلطات الدولة الطرف </w:t>
      </w:r>
      <w:r w:rsidRPr="00523D40">
        <w:rPr>
          <w:rFonts w:hint="cs"/>
          <w:spacing w:val="0"/>
          <w:kern w:val="0"/>
          <w:sz w:val="20"/>
          <w:rtl/>
        </w:rPr>
        <w:t>بالتزامها بالتأكد من عدم تعرض صاحب الشكوى ل</w:t>
      </w:r>
      <w:r w:rsidRPr="00523D40">
        <w:rPr>
          <w:spacing w:val="0"/>
          <w:kern w:val="0"/>
          <w:sz w:val="20"/>
          <w:rtl/>
        </w:rPr>
        <w:t xml:space="preserve">خطر التعذيب </w:t>
      </w:r>
      <w:r w:rsidRPr="00523D40">
        <w:rPr>
          <w:rFonts w:hint="cs"/>
          <w:spacing w:val="0"/>
          <w:kern w:val="0"/>
          <w:sz w:val="20"/>
          <w:rtl/>
        </w:rPr>
        <w:t xml:space="preserve">في حالة إعادته </w:t>
      </w:r>
      <w:r w:rsidRPr="00523D40">
        <w:rPr>
          <w:spacing w:val="0"/>
          <w:kern w:val="0"/>
          <w:sz w:val="20"/>
          <w:rtl/>
        </w:rPr>
        <w:t>إلى توغو</w:t>
      </w:r>
      <w:r w:rsidRPr="00523D40">
        <w:rPr>
          <w:rFonts w:hint="cs"/>
          <w:spacing w:val="0"/>
          <w:kern w:val="0"/>
          <w:sz w:val="20"/>
          <w:rtl/>
        </w:rPr>
        <w:t>.</w:t>
      </w:r>
    </w:p>
    <w:p w:rsidR="00523D40" w:rsidRPr="00523D40" w:rsidRDefault="00523D40" w:rsidP="00523D40">
      <w:pPr>
        <w:pStyle w:val="SingleTxtGA"/>
        <w:jc w:val="lowKashida"/>
        <w:rPr>
          <w:rFonts w:hint="cs"/>
          <w:spacing w:val="0"/>
          <w:kern w:val="0"/>
          <w:sz w:val="20"/>
          <w:rtl/>
        </w:rPr>
      </w:pPr>
      <w:r w:rsidRPr="00523D40">
        <w:rPr>
          <w:rFonts w:hint="cs"/>
          <w:spacing w:val="0"/>
          <w:kern w:val="0"/>
          <w:sz w:val="20"/>
          <w:rtl/>
        </w:rPr>
        <w:t>7-9</w:t>
      </w:r>
      <w:r w:rsidRPr="00523D40">
        <w:rPr>
          <w:rFonts w:hint="cs"/>
          <w:spacing w:val="0"/>
          <w:kern w:val="0"/>
          <w:sz w:val="20"/>
          <w:rtl/>
        </w:rPr>
        <w:tab/>
      </w:r>
      <w:r w:rsidRPr="00523D40">
        <w:rPr>
          <w:rFonts w:hint="cs"/>
          <w:spacing w:val="0"/>
          <w:kern w:val="0"/>
          <w:sz w:val="20"/>
          <w:rtl/>
          <w:lang w:val="fr-CH"/>
        </w:rPr>
        <w:t>واستناداً</w:t>
      </w:r>
      <w:r w:rsidRPr="00523D40">
        <w:rPr>
          <w:spacing w:val="0"/>
          <w:kern w:val="0"/>
          <w:sz w:val="20"/>
          <w:rtl/>
          <w:lang w:val="fr-CH"/>
        </w:rPr>
        <w:t xml:space="preserve"> إلى </w:t>
      </w:r>
      <w:r w:rsidRPr="00523D40">
        <w:rPr>
          <w:rFonts w:hint="cs"/>
          <w:spacing w:val="0"/>
          <w:kern w:val="0"/>
          <w:sz w:val="20"/>
          <w:rtl/>
          <w:lang w:val="fr-CH"/>
        </w:rPr>
        <w:t xml:space="preserve">مجمل </w:t>
      </w:r>
      <w:r w:rsidRPr="00523D40">
        <w:rPr>
          <w:spacing w:val="0"/>
          <w:kern w:val="0"/>
          <w:sz w:val="20"/>
          <w:rtl/>
          <w:lang w:val="fr-CH"/>
        </w:rPr>
        <w:t xml:space="preserve">المعلومات التي أحيلت إلى اللجنة، </w:t>
      </w:r>
      <w:r w:rsidRPr="00523D40">
        <w:rPr>
          <w:rFonts w:hint="cs"/>
          <w:spacing w:val="0"/>
          <w:kern w:val="0"/>
          <w:sz w:val="20"/>
          <w:rtl/>
          <w:lang w:val="fr-CH"/>
        </w:rPr>
        <w:t xml:space="preserve">وفي ظل عدم قيام الدولة الطرف بإجراء تحقيق متعمق لإثبات العكس، </w:t>
      </w:r>
      <w:r w:rsidRPr="00523D40">
        <w:rPr>
          <w:spacing w:val="0"/>
          <w:kern w:val="0"/>
          <w:sz w:val="20"/>
          <w:rtl/>
          <w:lang w:val="fr-CH"/>
        </w:rPr>
        <w:t xml:space="preserve">ترى </w:t>
      </w:r>
      <w:r w:rsidRPr="00523D40">
        <w:rPr>
          <w:rFonts w:hint="cs"/>
          <w:spacing w:val="0"/>
          <w:kern w:val="0"/>
          <w:sz w:val="20"/>
          <w:rtl/>
          <w:lang w:val="fr-CH"/>
        </w:rPr>
        <w:t xml:space="preserve">اللجنة </w:t>
      </w:r>
      <w:r w:rsidRPr="00523D40">
        <w:rPr>
          <w:spacing w:val="0"/>
          <w:kern w:val="0"/>
          <w:sz w:val="20"/>
          <w:rtl/>
          <w:lang w:val="fr-CH"/>
        </w:rPr>
        <w:t>أن صاحب ال</w:t>
      </w:r>
      <w:r w:rsidRPr="00523D40">
        <w:rPr>
          <w:rFonts w:hint="cs"/>
          <w:spacing w:val="0"/>
          <w:kern w:val="0"/>
          <w:sz w:val="20"/>
          <w:rtl/>
          <w:lang w:val="fr-CH"/>
        </w:rPr>
        <w:t>شكوى</w:t>
      </w:r>
      <w:r w:rsidRPr="00523D40">
        <w:rPr>
          <w:spacing w:val="0"/>
          <w:kern w:val="0"/>
          <w:sz w:val="20"/>
          <w:rtl/>
          <w:lang w:val="fr-CH"/>
        </w:rPr>
        <w:t xml:space="preserve"> قدم ما يكفي من الأدلة لإثبات أنه يواجه شخصيا</w:t>
      </w:r>
      <w:r w:rsidRPr="00523D40">
        <w:rPr>
          <w:rFonts w:hint="cs"/>
          <w:spacing w:val="0"/>
          <w:kern w:val="0"/>
          <w:sz w:val="20"/>
          <w:rtl/>
          <w:lang w:val="fr-CH"/>
        </w:rPr>
        <w:t>ً</w:t>
      </w:r>
      <w:r w:rsidRPr="00523D40">
        <w:rPr>
          <w:spacing w:val="0"/>
          <w:kern w:val="0"/>
          <w:sz w:val="20"/>
          <w:rtl/>
          <w:lang w:val="fr-CH"/>
        </w:rPr>
        <w:t xml:space="preserve"> </w:t>
      </w:r>
      <w:r w:rsidRPr="00523D40">
        <w:rPr>
          <w:rFonts w:hint="cs"/>
          <w:spacing w:val="0"/>
          <w:kern w:val="0"/>
          <w:sz w:val="20"/>
          <w:rtl/>
          <w:lang w:val="fr-CH"/>
        </w:rPr>
        <w:t xml:space="preserve">خطراً </w:t>
      </w:r>
      <w:r w:rsidRPr="00523D40">
        <w:rPr>
          <w:spacing w:val="0"/>
          <w:kern w:val="0"/>
          <w:sz w:val="20"/>
          <w:rtl/>
          <w:lang w:val="fr-CH"/>
        </w:rPr>
        <w:t>حقيقيا</w:t>
      </w:r>
      <w:r w:rsidRPr="00523D40">
        <w:rPr>
          <w:rFonts w:hint="cs"/>
          <w:spacing w:val="0"/>
          <w:kern w:val="0"/>
          <w:sz w:val="20"/>
          <w:rtl/>
          <w:lang w:val="fr-CH"/>
        </w:rPr>
        <w:t>ً</w:t>
      </w:r>
      <w:r w:rsidRPr="00523D40">
        <w:rPr>
          <w:spacing w:val="0"/>
          <w:kern w:val="0"/>
          <w:sz w:val="20"/>
          <w:rtl/>
          <w:lang w:val="fr-CH"/>
        </w:rPr>
        <w:t xml:space="preserve"> </w:t>
      </w:r>
      <w:r w:rsidRPr="00523D40">
        <w:rPr>
          <w:rFonts w:hint="cs"/>
          <w:spacing w:val="0"/>
          <w:kern w:val="0"/>
          <w:sz w:val="20"/>
          <w:rtl/>
          <w:lang w:val="fr-CH"/>
        </w:rPr>
        <w:t>وقائما</w:t>
      </w:r>
      <w:r w:rsidR="00D4210F">
        <w:rPr>
          <w:rFonts w:hint="cs"/>
          <w:spacing w:val="0"/>
          <w:kern w:val="0"/>
          <w:sz w:val="20"/>
          <w:rtl/>
          <w:lang w:val="fr-CH"/>
        </w:rPr>
        <w:t>ً</w:t>
      </w:r>
      <w:r w:rsidRPr="00523D40">
        <w:rPr>
          <w:rFonts w:hint="cs"/>
          <w:spacing w:val="0"/>
          <w:kern w:val="0"/>
          <w:sz w:val="20"/>
          <w:rtl/>
          <w:lang w:val="fr-CH"/>
        </w:rPr>
        <w:t xml:space="preserve"> وشخصيا</w:t>
      </w:r>
      <w:r w:rsidR="00D4210F">
        <w:rPr>
          <w:rFonts w:hint="cs"/>
          <w:spacing w:val="0"/>
          <w:kern w:val="0"/>
          <w:sz w:val="20"/>
          <w:rtl/>
          <w:lang w:val="fr-CH"/>
        </w:rPr>
        <w:t>ً</w:t>
      </w:r>
      <w:r w:rsidRPr="00523D40">
        <w:rPr>
          <w:rFonts w:hint="cs"/>
          <w:spacing w:val="0"/>
          <w:kern w:val="0"/>
          <w:sz w:val="20"/>
          <w:rtl/>
          <w:lang w:val="fr-CH"/>
        </w:rPr>
        <w:t xml:space="preserve"> بال</w:t>
      </w:r>
      <w:r w:rsidRPr="00523D40">
        <w:rPr>
          <w:spacing w:val="0"/>
          <w:kern w:val="0"/>
          <w:sz w:val="20"/>
          <w:rtl/>
          <w:lang w:val="fr-CH"/>
        </w:rPr>
        <w:t xml:space="preserve">تعرض </w:t>
      </w:r>
      <w:r w:rsidRPr="00523D40">
        <w:rPr>
          <w:rFonts w:hint="cs"/>
          <w:spacing w:val="0"/>
          <w:kern w:val="0"/>
          <w:sz w:val="20"/>
          <w:rtl/>
          <w:lang w:val="fr-CH"/>
        </w:rPr>
        <w:t>ل</w:t>
      </w:r>
      <w:r w:rsidRPr="00523D40">
        <w:rPr>
          <w:spacing w:val="0"/>
          <w:kern w:val="0"/>
          <w:sz w:val="20"/>
          <w:rtl/>
          <w:lang w:val="fr-CH"/>
        </w:rPr>
        <w:t xml:space="preserve">لتعذيب </w:t>
      </w:r>
      <w:r w:rsidRPr="00523D40">
        <w:rPr>
          <w:rFonts w:hint="cs"/>
          <w:spacing w:val="0"/>
          <w:kern w:val="0"/>
          <w:sz w:val="20"/>
          <w:rtl/>
          <w:lang w:val="fr-CH"/>
        </w:rPr>
        <w:t>في حالة ترحيله</w:t>
      </w:r>
      <w:r w:rsidRPr="00523D40">
        <w:rPr>
          <w:spacing w:val="0"/>
          <w:kern w:val="0"/>
          <w:sz w:val="20"/>
          <w:rtl/>
          <w:lang w:val="fr-CH"/>
        </w:rPr>
        <w:t xml:space="preserve"> إلى </w:t>
      </w:r>
      <w:r w:rsidRPr="00523D40">
        <w:rPr>
          <w:rFonts w:hint="cs"/>
          <w:spacing w:val="0"/>
          <w:kern w:val="0"/>
          <w:sz w:val="20"/>
          <w:rtl/>
          <w:lang w:val="fr-CH"/>
        </w:rPr>
        <w:t>توغو</w:t>
      </w:r>
      <w:r w:rsidRPr="00523D40">
        <w:rPr>
          <w:spacing w:val="0"/>
          <w:kern w:val="0"/>
          <w:sz w:val="20"/>
          <w:rtl/>
          <w:lang w:val="fr-CH"/>
        </w:rPr>
        <w:t>.</w:t>
      </w:r>
    </w:p>
    <w:p w:rsidR="00523D40" w:rsidRPr="00523D40" w:rsidRDefault="00523D40" w:rsidP="00523D40">
      <w:pPr>
        <w:pStyle w:val="SingleTxtGA"/>
        <w:jc w:val="lowKashida"/>
        <w:rPr>
          <w:rFonts w:hint="cs"/>
          <w:spacing w:val="0"/>
          <w:kern w:val="0"/>
          <w:sz w:val="20"/>
          <w:rtl/>
        </w:rPr>
      </w:pPr>
      <w:r w:rsidRPr="00523D40">
        <w:rPr>
          <w:rFonts w:hint="cs"/>
          <w:spacing w:val="0"/>
          <w:kern w:val="0"/>
          <w:sz w:val="20"/>
          <w:rtl/>
        </w:rPr>
        <w:t>8-</w:t>
      </w:r>
      <w:r w:rsidRPr="00523D40">
        <w:rPr>
          <w:rFonts w:hint="cs"/>
          <w:spacing w:val="0"/>
          <w:kern w:val="0"/>
          <w:sz w:val="20"/>
          <w:rtl/>
        </w:rPr>
        <w:tab/>
        <w:t>وإن لجنة مناهضة التعذيب، إذ تعمل بموجب الفقرة 7 من المادة 22 من اتفاقية مناهضة التعذيب وغيره من ضروب المعاملة أو العقوبة القاسية أو اللاإنسانية أو المهينة، ترى أن ترحيل صاحب الشكوى إلى توغو سيشكل انتهاكاً للمادة 3 من الاتفاقية.</w:t>
      </w:r>
    </w:p>
    <w:p w:rsidR="00523D40" w:rsidRDefault="00523D40" w:rsidP="00523D40">
      <w:pPr>
        <w:pStyle w:val="SingleTxtGA"/>
        <w:jc w:val="lowKashida"/>
        <w:rPr>
          <w:rFonts w:hint="cs"/>
          <w:spacing w:val="0"/>
          <w:kern w:val="0"/>
          <w:sz w:val="20"/>
          <w:rtl/>
        </w:rPr>
      </w:pPr>
      <w:r w:rsidRPr="00523D40">
        <w:rPr>
          <w:rFonts w:hint="cs"/>
          <w:spacing w:val="0"/>
          <w:kern w:val="0"/>
          <w:sz w:val="20"/>
          <w:rtl/>
        </w:rPr>
        <w:t>9-</w:t>
      </w:r>
      <w:r w:rsidRPr="00523D40">
        <w:rPr>
          <w:rFonts w:hint="cs"/>
          <w:spacing w:val="0"/>
          <w:kern w:val="0"/>
          <w:sz w:val="20"/>
          <w:rtl/>
        </w:rPr>
        <w:tab/>
      </w:r>
      <w:r w:rsidRPr="00523D40">
        <w:rPr>
          <w:spacing w:val="0"/>
          <w:kern w:val="0"/>
          <w:sz w:val="20"/>
          <w:rtl/>
        </w:rPr>
        <w:t>و</w:t>
      </w:r>
      <w:r w:rsidRPr="00523D40">
        <w:rPr>
          <w:rFonts w:hint="cs"/>
          <w:spacing w:val="0"/>
          <w:kern w:val="0"/>
          <w:sz w:val="20"/>
          <w:rtl/>
        </w:rPr>
        <w:t xml:space="preserve">تدعو </w:t>
      </w:r>
      <w:r w:rsidRPr="00523D40">
        <w:rPr>
          <w:spacing w:val="0"/>
          <w:kern w:val="0"/>
          <w:sz w:val="20"/>
          <w:rtl/>
        </w:rPr>
        <w:t xml:space="preserve">اللجنة الدولة الطرف، </w:t>
      </w:r>
      <w:r w:rsidRPr="00523D40">
        <w:rPr>
          <w:rFonts w:hint="cs"/>
          <w:spacing w:val="0"/>
          <w:kern w:val="0"/>
          <w:sz w:val="20"/>
          <w:rtl/>
        </w:rPr>
        <w:t>عملا</w:t>
      </w:r>
      <w:r w:rsidRPr="00523D40">
        <w:rPr>
          <w:rFonts w:hint="cs"/>
          <w:spacing w:val="0"/>
          <w:kern w:val="0"/>
          <w:sz w:val="20"/>
          <w:rtl/>
          <w:lang w:val="fr-CH"/>
        </w:rPr>
        <w:t>ً</w:t>
      </w:r>
      <w:r w:rsidRPr="00523D40">
        <w:rPr>
          <w:rFonts w:hint="cs"/>
          <w:spacing w:val="0"/>
          <w:kern w:val="0"/>
          <w:sz w:val="20"/>
          <w:rtl/>
        </w:rPr>
        <w:t xml:space="preserve"> بال</w:t>
      </w:r>
      <w:r w:rsidRPr="00523D40">
        <w:rPr>
          <w:spacing w:val="0"/>
          <w:kern w:val="0"/>
          <w:sz w:val="20"/>
          <w:rtl/>
        </w:rPr>
        <w:t>فقرة 5 من المادة 11</w:t>
      </w:r>
      <w:r w:rsidRPr="00523D40">
        <w:rPr>
          <w:rFonts w:hint="cs"/>
          <w:spacing w:val="0"/>
          <w:kern w:val="0"/>
          <w:sz w:val="20"/>
          <w:rtl/>
        </w:rPr>
        <w:t>2</w:t>
      </w:r>
      <w:r w:rsidRPr="00523D40">
        <w:rPr>
          <w:spacing w:val="0"/>
          <w:kern w:val="0"/>
          <w:sz w:val="20"/>
          <w:rtl/>
        </w:rPr>
        <w:t xml:space="preserve"> من نظامها الداخلي</w:t>
      </w:r>
      <w:r w:rsidRPr="00523D40">
        <w:rPr>
          <w:rFonts w:hint="cs"/>
          <w:spacing w:val="0"/>
          <w:kern w:val="0"/>
          <w:sz w:val="20"/>
          <w:rtl/>
        </w:rPr>
        <w:t>،</w:t>
      </w:r>
      <w:r w:rsidRPr="00523D40">
        <w:rPr>
          <w:spacing w:val="0"/>
          <w:kern w:val="0"/>
          <w:sz w:val="20"/>
          <w:rtl/>
        </w:rPr>
        <w:t xml:space="preserve"> </w:t>
      </w:r>
      <w:r w:rsidRPr="00523D40">
        <w:rPr>
          <w:rFonts w:hint="cs"/>
          <w:spacing w:val="0"/>
          <w:kern w:val="0"/>
          <w:sz w:val="20"/>
          <w:rtl/>
        </w:rPr>
        <w:t>إلى إبلاغها</w:t>
      </w:r>
      <w:r w:rsidRPr="00523D40">
        <w:rPr>
          <w:spacing w:val="0"/>
          <w:kern w:val="0"/>
          <w:sz w:val="20"/>
          <w:rtl/>
        </w:rPr>
        <w:t>، في غضون 90 يوماً، بالخطوات التي اتخذتها</w:t>
      </w:r>
      <w:r w:rsidRPr="00523D40">
        <w:rPr>
          <w:rFonts w:hint="cs"/>
          <w:spacing w:val="0"/>
          <w:kern w:val="0"/>
          <w:sz w:val="20"/>
          <w:rtl/>
        </w:rPr>
        <w:t xml:space="preserve"> الدولة الطرف</w:t>
      </w:r>
      <w:r w:rsidRPr="00523D40">
        <w:rPr>
          <w:spacing w:val="0"/>
          <w:kern w:val="0"/>
          <w:sz w:val="20"/>
          <w:rtl/>
        </w:rPr>
        <w:t xml:space="preserve"> </w:t>
      </w:r>
      <w:r w:rsidRPr="00523D40">
        <w:rPr>
          <w:rFonts w:hint="cs"/>
          <w:spacing w:val="0"/>
          <w:kern w:val="0"/>
          <w:sz w:val="20"/>
          <w:rtl/>
        </w:rPr>
        <w:t>است</w:t>
      </w:r>
      <w:r w:rsidRPr="00523D40">
        <w:rPr>
          <w:spacing w:val="0"/>
          <w:kern w:val="0"/>
          <w:sz w:val="20"/>
          <w:rtl/>
        </w:rPr>
        <w:t>جابة لهذا القرار.</w:t>
      </w:r>
    </w:p>
    <w:p w:rsidR="00F040E7" w:rsidRPr="00523D40" w:rsidRDefault="00F040E7" w:rsidP="00523D40">
      <w:pPr>
        <w:pStyle w:val="SingleTxtGA"/>
        <w:jc w:val="lowKashida"/>
        <w:rPr>
          <w:rFonts w:hint="cs"/>
          <w:spacing w:val="0"/>
          <w:kern w:val="0"/>
          <w:sz w:val="20"/>
          <w:rtl/>
        </w:rPr>
      </w:pPr>
    </w:p>
    <w:p w:rsidR="00523D40" w:rsidRPr="00523D40" w:rsidRDefault="00523D40" w:rsidP="00523D40">
      <w:pPr>
        <w:pStyle w:val="SingleTxtGA"/>
        <w:jc w:val="lowKashida"/>
        <w:rPr>
          <w:rFonts w:hint="cs"/>
          <w:spacing w:val="0"/>
          <w:kern w:val="0"/>
          <w:sz w:val="20"/>
          <w:rtl/>
        </w:rPr>
        <w:sectPr w:rsidR="00523D40" w:rsidRPr="00523D40" w:rsidSect="00523D4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523D40" w:rsidRPr="00523D40" w:rsidRDefault="00523D40" w:rsidP="00F040E7">
      <w:pPr>
        <w:pStyle w:val="H1GA"/>
        <w:spacing w:before="120"/>
        <w:jc w:val="lowKashida"/>
        <w:rPr>
          <w:rFonts w:hint="cs"/>
          <w:spacing w:val="0"/>
          <w:kern w:val="0"/>
          <w:sz w:val="20"/>
          <w:szCs w:val="24"/>
          <w:rtl/>
        </w:rPr>
      </w:pPr>
      <w:r w:rsidRPr="00523D40">
        <w:rPr>
          <w:rFonts w:hint="cs"/>
          <w:spacing w:val="0"/>
          <w:kern w:val="0"/>
          <w:sz w:val="20"/>
          <w:rtl/>
          <w:lang w:bidi="ar-SY"/>
        </w:rPr>
        <w:tab/>
      </w:r>
      <w:r w:rsidRPr="00523D40">
        <w:rPr>
          <w:rFonts w:hint="cs"/>
          <w:spacing w:val="0"/>
          <w:kern w:val="0"/>
          <w:sz w:val="20"/>
          <w:rtl/>
          <w:lang w:bidi="ar-SY"/>
        </w:rPr>
        <w:tab/>
        <w:t xml:space="preserve">البلاغ رقم 413/2010: </w:t>
      </w:r>
      <w:r w:rsidRPr="00523D40">
        <w:rPr>
          <w:rFonts w:hint="cs"/>
          <w:i/>
          <w:iCs/>
          <w:color w:val="000000"/>
          <w:spacing w:val="0"/>
          <w:kern w:val="0"/>
          <w:sz w:val="20"/>
          <w:rtl/>
          <w:lang w:bidi="ar-SY"/>
        </w:rPr>
        <w:t xml:space="preserve">أ. </w:t>
      </w:r>
      <w:r w:rsidRPr="00523D40">
        <w:rPr>
          <w:i/>
          <w:iCs/>
          <w:color w:val="000000"/>
          <w:spacing w:val="0"/>
          <w:kern w:val="0"/>
          <w:sz w:val="20"/>
          <w:rtl/>
          <w:lang w:bidi="ar-SY"/>
        </w:rPr>
        <w:t>أ. م.</w:t>
      </w:r>
      <w:r w:rsidRPr="00523D40">
        <w:rPr>
          <w:rFonts w:hint="cs"/>
          <w:i/>
          <w:iCs/>
          <w:color w:val="000000"/>
          <w:spacing w:val="0"/>
          <w:kern w:val="0"/>
          <w:sz w:val="20"/>
          <w:rtl/>
          <w:lang w:bidi="ar-SY"/>
        </w:rPr>
        <w:t xml:space="preserve"> ضد السويد</w:t>
      </w:r>
    </w:p>
    <w:p w:rsidR="00523D40" w:rsidRPr="00523D40" w:rsidRDefault="00523D40" w:rsidP="00523D40">
      <w:pPr>
        <w:pStyle w:val="SingleTxtGA"/>
        <w:tabs>
          <w:tab w:val="clear" w:pos="2608"/>
          <w:tab w:val="clear" w:pos="3289"/>
          <w:tab w:val="clear" w:pos="3969"/>
          <w:tab w:val="clear" w:pos="4649"/>
          <w:tab w:val="clear" w:pos="5330"/>
          <w:tab w:val="left" w:pos="4598"/>
        </w:tabs>
        <w:ind w:left="4598" w:hanging="2700"/>
        <w:jc w:val="lowKashida"/>
        <w:rPr>
          <w:rFonts w:hint="cs"/>
          <w:i/>
          <w:iCs/>
          <w:color w:val="000000"/>
          <w:spacing w:val="0"/>
          <w:kern w:val="0"/>
          <w:sz w:val="20"/>
          <w:rtl/>
          <w:lang w:bidi="ar-SY"/>
        </w:rPr>
      </w:pPr>
      <w:r w:rsidRPr="00523D40">
        <w:rPr>
          <w:rFonts w:hint="cs"/>
          <w:i/>
          <w:iCs/>
          <w:color w:val="000000"/>
          <w:spacing w:val="0"/>
          <w:kern w:val="0"/>
          <w:sz w:val="20"/>
          <w:rtl/>
          <w:lang w:bidi="ar-SY"/>
        </w:rPr>
        <w:t>المقدم من:</w:t>
      </w:r>
      <w:r w:rsidRPr="00523D40">
        <w:rPr>
          <w:rFonts w:hint="cs"/>
          <w:i/>
          <w:iCs/>
          <w:color w:val="000000"/>
          <w:spacing w:val="0"/>
          <w:kern w:val="0"/>
          <w:sz w:val="20"/>
          <w:rtl/>
          <w:lang w:bidi="ar-SY"/>
        </w:rPr>
        <w:tab/>
      </w:r>
      <w:r w:rsidRPr="00523D40">
        <w:rPr>
          <w:rFonts w:hint="cs"/>
          <w:color w:val="000000"/>
          <w:spacing w:val="0"/>
          <w:kern w:val="0"/>
          <w:sz w:val="20"/>
          <w:rtl/>
          <w:lang w:bidi="ar-SY"/>
        </w:rPr>
        <w:t xml:space="preserve">أ. </w:t>
      </w:r>
      <w:r w:rsidRPr="00523D40">
        <w:rPr>
          <w:color w:val="000000"/>
          <w:spacing w:val="0"/>
          <w:kern w:val="0"/>
          <w:sz w:val="20"/>
          <w:rtl/>
          <w:lang w:bidi="ar-SY"/>
        </w:rPr>
        <w:t>أ. م. (</w:t>
      </w:r>
      <w:r w:rsidRPr="00523D40">
        <w:rPr>
          <w:rFonts w:hint="cs"/>
          <w:color w:val="000000"/>
          <w:spacing w:val="0"/>
          <w:kern w:val="0"/>
          <w:sz w:val="20"/>
          <w:rtl/>
          <w:lang w:bidi="ar-SY"/>
        </w:rPr>
        <w:t>ي</w:t>
      </w:r>
      <w:r w:rsidRPr="00523D40">
        <w:rPr>
          <w:color w:val="000000"/>
          <w:spacing w:val="0"/>
          <w:kern w:val="0"/>
          <w:sz w:val="20"/>
          <w:rtl/>
          <w:lang w:bidi="ar-SY"/>
        </w:rPr>
        <w:t>مثله</w:t>
      </w:r>
      <w:r w:rsidRPr="00523D40">
        <w:rPr>
          <w:rFonts w:hint="cs"/>
          <w:color w:val="000000"/>
          <w:spacing w:val="0"/>
          <w:kern w:val="0"/>
          <w:sz w:val="20"/>
          <w:rtl/>
          <w:lang w:bidi="ar-SY"/>
        </w:rPr>
        <w:t>ا</w:t>
      </w:r>
      <w:r w:rsidRPr="00523D40">
        <w:rPr>
          <w:color w:val="000000"/>
          <w:spacing w:val="0"/>
          <w:kern w:val="0"/>
          <w:sz w:val="20"/>
          <w:rtl/>
          <w:lang w:bidi="ar-SY"/>
        </w:rPr>
        <w:t xml:space="preserve"> المحامي </w:t>
      </w:r>
      <w:r w:rsidRPr="00523D40">
        <w:rPr>
          <w:rFonts w:hint="cs"/>
          <w:color w:val="000000"/>
          <w:spacing w:val="0"/>
          <w:kern w:val="0"/>
          <w:sz w:val="20"/>
          <w:rtl/>
          <w:lang w:bidi="ar-SY"/>
        </w:rPr>
        <w:t>إ. ب.</w:t>
      </w:r>
      <w:r w:rsidRPr="00523D40">
        <w:rPr>
          <w:color w:val="000000"/>
          <w:spacing w:val="0"/>
          <w:kern w:val="0"/>
          <w:sz w:val="20"/>
          <w:rtl/>
          <w:lang w:bidi="ar-SY"/>
        </w:rPr>
        <w:t>)</w:t>
      </w:r>
    </w:p>
    <w:p w:rsidR="00523D40" w:rsidRPr="00523D40" w:rsidRDefault="00523D40" w:rsidP="00523D40">
      <w:pPr>
        <w:pStyle w:val="SingleTxtGA"/>
        <w:tabs>
          <w:tab w:val="clear" w:pos="2608"/>
          <w:tab w:val="clear" w:pos="3289"/>
          <w:tab w:val="clear" w:pos="3969"/>
          <w:tab w:val="clear" w:pos="4649"/>
          <w:tab w:val="clear" w:pos="5330"/>
          <w:tab w:val="left" w:pos="4598"/>
        </w:tabs>
        <w:ind w:left="4598" w:hanging="2700"/>
        <w:jc w:val="lowKashida"/>
        <w:rPr>
          <w:rFonts w:hint="cs"/>
          <w:color w:val="000000"/>
          <w:spacing w:val="0"/>
          <w:kern w:val="0"/>
          <w:sz w:val="20"/>
          <w:rtl/>
          <w:lang w:bidi="ar-SY"/>
        </w:rPr>
      </w:pPr>
      <w:r w:rsidRPr="00523D40">
        <w:rPr>
          <w:rFonts w:hint="cs"/>
          <w:i/>
          <w:iCs/>
          <w:color w:val="000000"/>
          <w:spacing w:val="0"/>
          <w:kern w:val="0"/>
          <w:sz w:val="20"/>
          <w:rtl/>
          <w:lang w:bidi="ar-SY"/>
        </w:rPr>
        <w:t>الشخص المدعى أنه ضحية:</w:t>
      </w:r>
      <w:r w:rsidRPr="00523D40">
        <w:rPr>
          <w:rFonts w:hint="cs"/>
          <w:color w:val="000000"/>
          <w:spacing w:val="0"/>
          <w:kern w:val="0"/>
          <w:sz w:val="20"/>
          <w:rtl/>
          <w:lang w:bidi="ar-SY"/>
        </w:rPr>
        <w:tab/>
        <w:t>صاحبة</w:t>
      </w:r>
      <w:r w:rsidRPr="00523D40">
        <w:rPr>
          <w:color w:val="000000"/>
          <w:spacing w:val="0"/>
          <w:kern w:val="0"/>
          <w:sz w:val="20"/>
          <w:rtl/>
          <w:lang w:bidi="ar-SY"/>
        </w:rPr>
        <w:t xml:space="preserve"> الشكوى</w:t>
      </w:r>
    </w:p>
    <w:p w:rsidR="00523D40" w:rsidRPr="00523D40" w:rsidRDefault="00523D40" w:rsidP="00523D40">
      <w:pPr>
        <w:pStyle w:val="SingleTxtGA"/>
        <w:tabs>
          <w:tab w:val="clear" w:pos="2608"/>
          <w:tab w:val="clear" w:pos="3289"/>
          <w:tab w:val="clear" w:pos="3969"/>
          <w:tab w:val="clear" w:pos="4649"/>
          <w:tab w:val="clear" w:pos="5330"/>
          <w:tab w:val="left" w:pos="4598"/>
        </w:tabs>
        <w:ind w:left="4598" w:hanging="2700"/>
        <w:jc w:val="lowKashida"/>
        <w:rPr>
          <w:rFonts w:hint="cs"/>
          <w:color w:val="000000"/>
          <w:spacing w:val="0"/>
          <w:kern w:val="0"/>
          <w:sz w:val="20"/>
          <w:rtl/>
          <w:lang w:bidi="ar-SY"/>
        </w:rPr>
      </w:pPr>
      <w:r w:rsidRPr="00523D40">
        <w:rPr>
          <w:rFonts w:hint="cs"/>
          <w:i/>
          <w:iCs/>
          <w:color w:val="000000"/>
          <w:spacing w:val="0"/>
          <w:kern w:val="0"/>
          <w:sz w:val="20"/>
          <w:rtl/>
          <w:lang w:bidi="ar-SY"/>
        </w:rPr>
        <w:t>الدولة الطرف:</w:t>
      </w:r>
      <w:r w:rsidRPr="00523D40">
        <w:rPr>
          <w:rFonts w:hint="cs"/>
          <w:color w:val="000000"/>
          <w:spacing w:val="0"/>
          <w:kern w:val="0"/>
          <w:sz w:val="20"/>
          <w:rtl/>
          <w:lang w:bidi="ar-SY"/>
        </w:rPr>
        <w:tab/>
        <w:t>السويد</w:t>
      </w:r>
    </w:p>
    <w:p w:rsidR="00523D40" w:rsidRPr="00523D40" w:rsidRDefault="00523D40" w:rsidP="00523D40">
      <w:pPr>
        <w:pStyle w:val="SingleTxtGA"/>
        <w:tabs>
          <w:tab w:val="clear" w:pos="2608"/>
          <w:tab w:val="clear" w:pos="3289"/>
          <w:tab w:val="clear" w:pos="3969"/>
          <w:tab w:val="clear" w:pos="4649"/>
          <w:tab w:val="clear" w:pos="5330"/>
          <w:tab w:val="left" w:pos="4598"/>
        </w:tabs>
        <w:ind w:left="4598" w:hanging="2700"/>
        <w:jc w:val="lowKashida"/>
        <w:rPr>
          <w:rFonts w:hint="cs"/>
          <w:color w:val="000000"/>
          <w:spacing w:val="0"/>
          <w:kern w:val="0"/>
          <w:sz w:val="20"/>
          <w:rtl/>
        </w:rPr>
      </w:pPr>
      <w:r w:rsidRPr="00523D40">
        <w:rPr>
          <w:rFonts w:hint="cs"/>
          <w:i/>
          <w:iCs/>
          <w:color w:val="000000"/>
          <w:spacing w:val="0"/>
          <w:kern w:val="0"/>
          <w:sz w:val="20"/>
          <w:rtl/>
          <w:lang w:bidi="ar-SY"/>
        </w:rPr>
        <w:t>تاريخ تقديم الشكوى:</w:t>
      </w:r>
      <w:r w:rsidRPr="00523D40">
        <w:rPr>
          <w:rFonts w:hint="cs"/>
          <w:color w:val="000000"/>
          <w:spacing w:val="0"/>
          <w:kern w:val="0"/>
          <w:sz w:val="20"/>
          <w:rtl/>
          <w:lang w:bidi="ar-SY"/>
        </w:rPr>
        <w:tab/>
      </w:r>
      <w:r w:rsidRPr="00523D40">
        <w:rPr>
          <w:rFonts w:hint="cs"/>
          <w:color w:val="000000"/>
          <w:spacing w:val="0"/>
          <w:kern w:val="0"/>
          <w:sz w:val="20"/>
          <w:rtl/>
        </w:rPr>
        <w:t>19</w:t>
      </w:r>
      <w:r w:rsidRPr="00523D40">
        <w:rPr>
          <w:color w:val="000000"/>
          <w:spacing w:val="0"/>
          <w:kern w:val="0"/>
          <w:sz w:val="20"/>
          <w:rtl/>
        </w:rPr>
        <w:t xml:space="preserve"> </w:t>
      </w:r>
      <w:r w:rsidRPr="00523D40">
        <w:rPr>
          <w:rFonts w:hint="cs"/>
          <w:color w:val="000000"/>
          <w:spacing w:val="0"/>
          <w:kern w:val="0"/>
          <w:sz w:val="20"/>
          <w:rtl/>
        </w:rPr>
        <w:t>شباط/فبراير</w:t>
      </w:r>
      <w:r w:rsidRPr="00523D40">
        <w:rPr>
          <w:color w:val="000000"/>
          <w:spacing w:val="0"/>
          <w:kern w:val="0"/>
          <w:sz w:val="20"/>
          <w:rtl/>
        </w:rPr>
        <w:t xml:space="preserve"> 20</w:t>
      </w:r>
      <w:r w:rsidRPr="00523D40">
        <w:rPr>
          <w:rFonts w:hint="cs"/>
          <w:color w:val="000000"/>
          <w:spacing w:val="0"/>
          <w:kern w:val="0"/>
          <w:sz w:val="20"/>
          <w:rtl/>
        </w:rPr>
        <w:t>10</w:t>
      </w:r>
      <w:r w:rsidRPr="00523D40">
        <w:rPr>
          <w:color w:val="000000"/>
          <w:spacing w:val="0"/>
          <w:kern w:val="0"/>
          <w:sz w:val="20"/>
          <w:rtl/>
        </w:rPr>
        <w:t xml:space="preserve"> (تاريخ الرسالة الأولى)</w:t>
      </w:r>
    </w:p>
    <w:p w:rsidR="00523D40" w:rsidRPr="00523D40" w:rsidRDefault="00523D40" w:rsidP="00523D40">
      <w:pPr>
        <w:pStyle w:val="SingleTxtGA"/>
        <w:jc w:val="lowKashida"/>
        <w:rPr>
          <w:rFonts w:hint="cs"/>
          <w:color w:val="000000"/>
          <w:spacing w:val="0"/>
          <w:kern w:val="0"/>
          <w:sz w:val="20"/>
          <w:szCs w:val="20"/>
          <w:rtl/>
        </w:rPr>
      </w:pPr>
      <w:r w:rsidRPr="00523D40">
        <w:rPr>
          <w:rFonts w:hint="cs"/>
          <w:i/>
          <w:iCs/>
          <w:color w:val="000000"/>
          <w:spacing w:val="0"/>
          <w:kern w:val="0"/>
          <w:sz w:val="20"/>
          <w:rtl/>
          <w:lang w:bidi="ar-SY"/>
        </w:rPr>
        <w:tab/>
        <w:t>إن لحنة مناهضة التعذيب</w:t>
      </w:r>
      <w:r w:rsidRPr="00523D40">
        <w:rPr>
          <w:rFonts w:hint="cs"/>
          <w:color w:val="000000"/>
          <w:spacing w:val="0"/>
          <w:kern w:val="0"/>
          <w:sz w:val="20"/>
          <w:rtl/>
          <w:lang w:bidi="ar-SY"/>
        </w:rPr>
        <w:t xml:space="preserve">، المنشأة بموجب المادة 17 من </w:t>
      </w:r>
      <w:r w:rsidRPr="00523D40">
        <w:rPr>
          <w:color w:val="000000"/>
          <w:spacing w:val="0"/>
          <w:kern w:val="0"/>
          <w:sz w:val="20"/>
          <w:rtl/>
          <w:lang w:bidi="ar-SY"/>
        </w:rPr>
        <w:t>اتفاقية مناهضة التعذيب وغيره من ضروب المعاملة أو العقوبة القاسية أو اللاإنسانية أو المهينة</w:t>
      </w:r>
      <w:r w:rsidRPr="00523D40">
        <w:rPr>
          <w:rFonts w:hint="cs"/>
          <w:color w:val="000000"/>
          <w:spacing w:val="0"/>
          <w:kern w:val="0"/>
          <w:sz w:val="20"/>
          <w:rtl/>
          <w:lang w:bidi="ar-SY"/>
        </w:rPr>
        <w:t>،</w:t>
      </w:r>
    </w:p>
    <w:p w:rsidR="00523D40" w:rsidRPr="00523D40" w:rsidRDefault="00523D40" w:rsidP="00523D40">
      <w:pPr>
        <w:pStyle w:val="SingleTxtGA"/>
        <w:jc w:val="lowKashida"/>
        <w:rPr>
          <w:rFonts w:hint="cs"/>
          <w:color w:val="000000"/>
          <w:spacing w:val="0"/>
          <w:kern w:val="0"/>
          <w:sz w:val="20"/>
          <w:szCs w:val="20"/>
          <w:rtl/>
        </w:rPr>
      </w:pPr>
      <w:r w:rsidRPr="00523D40">
        <w:rPr>
          <w:rFonts w:hint="cs"/>
          <w:i/>
          <w:iCs/>
          <w:color w:val="000000"/>
          <w:spacing w:val="0"/>
          <w:kern w:val="0"/>
          <w:sz w:val="20"/>
          <w:rtl/>
          <w:lang w:bidi="ar-SY"/>
        </w:rPr>
        <w:tab/>
        <w:t>وقد اجتمعت</w:t>
      </w:r>
      <w:r w:rsidRPr="00523D40">
        <w:rPr>
          <w:rFonts w:hint="cs"/>
          <w:color w:val="000000"/>
          <w:spacing w:val="0"/>
          <w:kern w:val="0"/>
          <w:sz w:val="20"/>
          <w:rtl/>
          <w:lang w:bidi="ar-SY"/>
        </w:rPr>
        <w:t xml:space="preserve"> في </w:t>
      </w:r>
      <w:r w:rsidRPr="00523D40">
        <w:rPr>
          <w:rFonts w:hint="cs"/>
          <w:color w:val="000000"/>
          <w:spacing w:val="0"/>
          <w:kern w:val="0"/>
          <w:sz w:val="20"/>
          <w:rtl/>
        </w:rPr>
        <w:t>23 أيار/مايو 2012</w:t>
      </w:r>
      <w:r w:rsidRPr="00523D40">
        <w:rPr>
          <w:rFonts w:hint="cs"/>
          <w:color w:val="000000"/>
          <w:spacing w:val="0"/>
          <w:kern w:val="0"/>
          <w:sz w:val="20"/>
          <w:rtl/>
          <w:lang w:bidi="ar-SY"/>
        </w:rPr>
        <w:t>،</w:t>
      </w:r>
    </w:p>
    <w:p w:rsidR="00523D40" w:rsidRPr="00523D40" w:rsidRDefault="00523D40" w:rsidP="00523D40">
      <w:pPr>
        <w:pStyle w:val="SingleTxtGA"/>
        <w:jc w:val="lowKashida"/>
        <w:rPr>
          <w:rFonts w:hint="cs"/>
          <w:color w:val="000000"/>
          <w:spacing w:val="0"/>
          <w:kern w:val="0"/>
          <w:sz w:val="20"/>
          <w:rtl/>
          <w:lang w:bidi="ar-SY"/>
        </w:rPr>
      </w:pPr>
      <w:r w:rsidRPr="00523D40">
        <w:rPr>
          <w:rFonts w:hint="cs"/>
          <w:i/>
          <w:iCs/>
          <w:color w:val="000000"/>
          <w:spacing w:val="0"/>
          <w:kern w:val="0"/>
          <w:sz w:val="20"/>
          <w:rtl/>
          <w:lang w:bidi="ar-SY"/>
        </w:rPr>
        <w:tab/>
        <w:t>وقد فرغت</w:t>
      </w:r>
      <w:r w:rsidRPr="00523D40">
        <w:rPr>
          <w:rFonts w:hint="cs"/>
          <w:color w:val="000000"/>
          <w:spacing w:val="0"/>
          <w:kern w:val="0"/>
          <w:sz w:val="20"/>
          <w:rtl/>
          <w:lang w:bidi="ar-SY"/>
        </w:rPr>
        <w:t xml:space="preserve"> من النظر في الشكوى</w:t>
      </w:r>
      <w:r w:rsidRPr="00523D40">
        <w:rPr>
          <w:color w:val="000000"/>
          <w:spacing w:val="0"/>
          <w:kern w:val="0"/>
          <w:sz w:val="20"/>
          <w:rtl/>
          <w:lang w:bidi="ar-SY"/>
        </w:rPr>
        <w:t xml:space="preserve"> رقم </w:t>
      </w:r>
      <w:r w:rsidRPr="00523D40">
        <w:rPr>
          <w:rFonts w:hint="cs"/>
          <w:color w:val="000000"/>
          <w:spacing w:val="0"/>
          <w:kern w:val="0"/>
          <w:sz w:val="20"/>
          <w:rtl/>
          <w:lang w:bidi="ar-SY"/>
        </w:rPr>
        <w:t>413</w:t>
      </w:r>
      <w:r w:rsidRPr="00523D40">
        <w:rPr>
          <w:color w:val="000000"/>
          <w:spacing w:val="0"/>
          <w:kern w:val="0"/>
          <w:sz w:val="20"/>
          <w:rtl/>
          <w:lang w:bidi="ar-SY"/>
        </w:rPr>
        <w:t>/20</w:t>
      </w:r>
      <w:r w:rsidRPr="00523D40">
        <w:rPr>
          <w:rFonts w:hint="cs"/>
          <w:color w:val="000000"/>
          <w:spacing w:val="0"/>
          <w:kern w:val="0"/>
          <w:sz w:val="20"/>
          <w:rtl/>
          <w:lang w:bidi="ar-SY"/>
        </w:rPr>
        <w:t>10</w:t>
      </w:r>
      <w:r w:rsidRPr="00523D40">
        <w:rPr>
          <w:color w:val="000000"/>
          <w:spacing w:val="0"/>
          <w:kern w:val="0"/>
          <w:sz w:val="20"/>
          <w:rtl/>
          <w:lang w:bidi="ar-SY"/>
        </w:rPr>
        <w:t>، المقدم</w:t>
      </w:r>
      <w:r w:rsidRPr="00523D40">
        <w:rPr>
          <w:rFonts w:hint="cs"/>
          <w:color w:val="000000"/>
          <w:spacing w:val="0"/>
          <w:kern w:val="0"/>
          <w:sz w:val="20"/>
          <w:rtl/>
          <w:lang w:bidi="ar-SY"/>
        </w:rPr>
        <w:t>ة</w:t>
      </w:r>
      <w:r w:rsidRPr="00523D40">
        <w:rPr>
          <w:color w:val="000000"/>
          <w:spacing w:val="0"/>
          <w:kern w:val="0"/>
          <w:sz w:val="20"/>
          <w:rtl/>
          <w:lang w:bidi="ar-SY"/>
        </w:rPr>
        <w:t xml:space="preserve"> إلى لجنة مناهضة التعذيب من </w:t>
      </w:r>
      <w:r w:rsidRPr="00523D40">
        <w:rPr>
          <w:rFonts w:hint="cs"/>
          <w:color w:val="000000"/>
          <w:spacing w:val="0"/>
          <w:kern w:val="0"/>
          <w:sz w:val="20"/>
          <w:rtl/>
          <w:lang w:bidi="ar-SY"/>
        </w:rPr>
        <w:t xml:space="preserve">أ. </w:t>
      </w:r>
      <w:r w:rsidRPr="00523D40">
        <w:rPr>
          <w:color w:val="000000"/>
          <w:spacing w:val="0"/>
          <w:kern w:val="0"/>
          <w:sz w:val="20"/>
          <w:rtl/>
          <w:lang w:bidi="ar-SY"/>
        </w:rPr>
        <w:t>أ. م. بموجب المادة 22 من اتفاقية</w:t>
      </w:r>
      <w:r w:rsidRPr="00523D40">
        <w:rPr>
          <w:rFonts w:hint="cs"/>
          <w:color w:val="000000"/>
          <w:spacing w:val="0"/>
          <w:kern w:val="0"/>
          <w:sz w:val="20"/>
          <w:rtl/>
          <w:lang w:bidi="ar-SY"/>
        </w:rPr>
        <w:t xml:space="preserve"> </w:t>
      </w:r>
      <w:r w:rsidRPr="00523D40">
        <w:rPr>
          <w:color w:val="000000"/>
          <w:spacing w:val="0"/>
          <w:kern w:val="0"/>
          <w:sz w:val="20"/>
          <w:rtl/>
          <w:lang w:bidi="ar-SY"/>
        </w:rPr>
        <w:t>مناهضة التعذيب وغيره من ضروب المعاملة أو العقوبة القاسية أو اللاإنسانية أو المهينة</w:t>
      </w:r>
      <w:r w:rsidRPr="00523D40">
        <w:rPr>
          <w:rFonts w:hint="cs"/>
          <w:color w:val="000000"/>
          <w:spacing w:val="0"/>
          <w:kern w:val="0"/>
          <w:sz w:val="20"/>
          <w:rtl/>
          <w:lang w:bidi="ar-SY"/>
        </w:rPr>
        <w:t>،</w:t>
      </w:r>
    </w:p>
    <w:p w:rsidR="00523D40" w:rsidRPr="00523D40" w:rsidRDefault="00523D40" w:rsidP="00523D40">
      <w:pPr>
        <w:pStyle w:val="SingleTxtGA"/>
        <w:jc w:val="lowKashida"/>
        <w:rPr>
          <w:rFonts w:hint="cs"/>
          <w:color w:val="000000"/>
          <w:spacing w:val="0"/>
          <w:kern w:val="0"/>
          <w:sz w:val="20"/>
          <w:szCs w:val="20"/>
          <w:rtl/>
        </w:rPr>
      </w:pPr>
      <w:r w:rsidRPr="00523D40">
        <w:rPr>
          <w:rFonts w:hint="cs"/>
          <w:i/>
          <w:iCs/>
          <w:color w:val="000000"/>
          <w:spacing w:val="0"/>
          <w:kern w:val="0"/>
          <w:sz w:val="20"/>
          <w:rtl/>
          <w:lang w:bidi="ar-SY"/>
        </w:rPr>
        <w:tab/>
        <w:t>وقد وضعت في اعتبارها</w:t>
      </w:r>
      <w:r w:rsidRPr="00523D40">
        <w:rPr>
          <w:rFonts w:hint="cs"/>
          <w:color w:val="000000"/>
          <w:spacing w:val="0"/>
          <w:kern w:val="0"/>
          <w:sz w:val="20"/>
          <w:rtl/>
          <w:lang w:bidi="ar-SY"/>
        </w:rPr>
        <w:t xml:space="preserve"> جميع المعلومات التي أتاحتها لها صاحبة الشكوى ومحاميها والدولة الطرف،</w:t>
      </w:r>
    </w:p>
    <w:p w:rsidR="00523D40" w:rsidRPr="00523D40" w:rsidRDefault="00523D40" w:rsidP="00523D40">
      <w:pPr>
        <w:pStyle w:val="SingleTxtGA"/>
        <w:jc w:val="lowKashida"/>
        <w:rPr>
          <w:rFonts w:hint="cs"/>
          <w:i/>
          <w:iCs/>
          <w:color w:val="000000"/>
          <w:spacing w:val="0"/>
          <w:kern w:val="0"/>
          <w:sz w:val="20"/>
          <w:rtl/>
        </w:rPr>
      </w:pPr>
      <w:r w:rsidRPr="00523D40">
        <w:rPr>
          <w:rFonts w:hint="cs"/>
          <w:i/>
          <w:iCs/>
          <w:color w:val="000000"/>
          <w:spacing w:val="0"/>
          <w:kern w:val="0"/>
          <w:sz w:val="20"/>
          <w:rtl/>
          <w:lang w:bidi="ar-SY"/>
        </w:rPr>
        <w:tab/>
        <w:t xml:space="preserve">تعتمد </w:t>
      </w:r>
      <w:r w:rsidRPr="00523D40">
        <w:rPr>
          <w:rFonts w:hint="cs"/>
          <w:color w:val="000000"/>
          <w:spacing w:val="0"/>
          <w:kern w:val="0"/>
          <w:sz w:val="20"/>
          <w:rtl/>
          <w:lang w:bidi="ar-SY"/>
        </w:rPr>
        <w:t>ما يلي</w:t>
      </w:r>
      <w:r w:rsidRPr="00523D40">
        <w:rPr>
          <w:rFonts w:hint="cs"/>
          <w:color w:val="000000"/>
          <w:spacing w:val="0"/>
          <w:kern w:val="0"/>
          <w:sz w:val="20"/>
          <w:rtl/>
        </w:rPr>
        <w:t>:</w:t>
      </w:r>
    </w:p>
    <w:p w:rsidR="00523D40" w:rsidRPr="00523D40" w:rsidRDefault="00523D40" w:rsidP="00523D40">
      <w:pPr>
        <w:pStyle w:val="H1GA"/>
        <w:jc w:val="lowKashida"/>
        <w:rPr>
          <w:rFonts w:hint="cs"/>
          <w:spacing w:val="0"/>
          <w:kern w:val="0"/>
          <w:sz w:val="20"/>
          <w:rtl/>
        </w:rPr>
      </w:pPr>
      <w:r w:rsidRPr="00523D40">
        <w:rPr>
          <w:rFonts w:hint="cs"/>
          <w:spacing w:val="0"/>
          <w:kern w:val="0"/>
          <w:sz w:val="20"/>
          <w:rtl/>
        </w:rPr>
        <w:tab/>
      </w:r>
      <w:r w:rsidRPr="00523D40">
        <w:rPr>
          <w:rFonts w:hint="cs"/>
          <w:spacing w:val="0"/>
          <w:kern w:val="0"/>
          <w:sz w:val="20"/>
          <w:rtl/>
        </w:rPr>
        <w:tab/>
      </w:r>
      <w:r w:rsidRPr="00523D40">
        <w:rPr>
          <w:spacing w:val="0"/>
          <w:kern w:val="0"/>
          <w:sz w:val="20"/>
          <w:rtl/>
        </w:rPr>
        <w:t>قرار بموجب الفقرة 7 من المادة 22 من اتفاقية مناهضة التعذيب</w:t>
      </w:r>
    </w:p>
    <w:p w:rsidR="00523D40" w:rsidRPr="00523D40" w:rsidRDefault="00523D40" w:rsidP="00523D40">
      <w:pPr>
        <w:pStyle w:val="SingleTxtGA"/>
        <w:jc w:val="lowKashida"/>
        <w:rPr>
          <w:rFonts w:hint="cs"/>
          <w:color w:val="000000"/>
          <w:spacing w:val="0"/>
          <w:kern w:val="0"/>
          <w:sz w:val="20"/>
          <w:rtl/>
          <w:lang w:val="en-CA"/>
        </w:rPr>
      </w:pPr>
      <w:r w:rsidRPr="00523D40">
        <w:rPr>
          <w:rFonts w:hint="cs"/>
          <w:color w:val="000000"/>
          <w:spacing w:val="0"/>
          <w:kern w:val="0"/>
          <w:sz w:val="20"/>
          <w:rtl/>
          <w:lang w:bidi="ar-MA"/>
        </w:rPr>
        <w:t>1-1</w:t>
      </w:r>
      <w:r w:rsidRPr="00523D40">
        <w:rPr>
          <w:rFonts w:hint="cs"/>
          <w:color w:val="000000"/>
          <w:spacing w:val="0"/>
          <w:kern w:val="0"/>
          <w:sz w:val="20"/>
          <w:rtl/>
          <w:lang w:bidi="ar-MA"/>
        </w:rPr>
        <w:tab/>
        <w:t xml:space="preserve">صاحبة الشكوى هي السيدة أ. أ. م، وهي مواطنة </w:t>
      </w:r>
      <w:r w:rsidRPr="00523D40">
        <w:rPr>
          <w:rFonts w:hint="cs"/>
          <w:color w:val="000000"/>
          <w:spacing w:val="0"/>
          <w:kern w:val="0"/>
          <w:sz w:val="20"/>
          <w:rtl/>
          <w:lang w:val="en-CA"/>
        </w:rPr>
        <w:t>بوروندية ولدت في 3 كانون الأول/ديسمبر 1982 في قرية مبويي بمقاطعة مورامفيا في بوروندي، وتقيم حالياً في السويد. وهي تدعي أن تنفيذ الأمر القاضي بطردها إلى بوروندي</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19"/>
      </w:r>
      <w:r w:rsidRPr="00523D40">
        <w:rPr>
          <w:rFonts w:hint="cs"/>
          <w:color w:val="000000"/>
          <w:spacing w:val="0"/>
          <w:kern w:val="0"/>
          <w:sz w:val="20"/>
          <w:szCs w:val="28"/>
          <w:vertAlign w:val="superscript"/>
          <w:rtl/>
          <w:lang w:val="en-CA"/>
        </w:rPr>
        <w:t>)</w:t>
      </w:r>
      <w:r w:rsidRPr="00523D40">
        <w:rPr>
          <w:rFonts w:hint="cs"/>
          <w:color w:val="000000"/>
          <w:spacing w:val="0"/>
          <w:kern w:val="0"/>
          <w:sz w:val="20"/>
          <w:rtl/>
          <w:lang w:val="en-CA"/>
        </w:rPr>
        <w:t xml:space="preserve"> ينتهك المادة 3 من اتفاقية مناهضة التعذيب وغيره من ضروب المعاملة أو العقوبة القاسية أو اللاإنسانية أو المهينة (الاتفاقية). ويمثل صاحبة الشكوى محام، هو إ. ب.. </w:t>
      </w:r>
    </w:p>
    <w:p w:rsidR="00523D40" w:rsidRPr="00523D40" w:rsidRDefault="00523D40" w:rsidP="00523D40">
      <w:pPr>
        <w:pStyle w:val="SingleTxtGA"/>
        <w:jc w:val="lowKashida"/>
        <w:rPr>
          <w:rFonts w:hint="cs"/>
          <w:color w:val="000000"/>
          <w:spacing w:val="0"/>
          <w:kern w:val="0"/>
          <w:sz w:val="20"/>
          <w:rtl/>
          <w:lang w:val="en-CA"/>
        </w:rPr>
      </w:pPr>
      <w:r w:rsidRPr="00523D40">
        <w:rPr>
          <w:rFonts w:hint="cs"/>
          <w:color w:val="000000"/>
          <w:spacing w:val="0"/>
          <w:kern w:val="0"/>
          <w:sz w:val="20"/>
          <w:rtl/>
          <w:lang w:bidi="ar-MA"/>
        </w:rPr>
        <w:t>1-2</w:t>
      </w:r>
      <w:r w:rsidRPr="00523D40">
        <w:rPr>
          <w:rFonts w:hint="cs"/>
          <w:color w:val="000000"/>
          <w:spacing w:val="0"/>
          <w:kern w:val="0"/>
          <w:sz w:val="20"/>
          <w:rtl/>
          <w:lang w:bidi="ar-MA"/>
        </w:rPr>
        <w:tab/>
      </w:r>
      <w:r w:rsidRPr="00523D40">
        <w:rPr>
          <w:rFonts w:hint="cs"/>
          <w:color w:val="000000"/>
          <w:spacing w:val="0"/>
          <w:kern w:val="0"/>
          <w:sz w:val="20"/>
          <w:rtl/>
        </w:rPr>
        <w:t>و</w:t>
      </w:r>
      <w:r w:rsidRPr="00523D40">
        <w:rPr>
          <w:rFonts w:hint="cs"/>
          <w:color w:val="000000"/>
          <w:spacing w:val="0"/>
          <w:kern w:val="0"/>
          <w:sz w:val="20"/>
          <w:rtl/>
          <w:lang w:val="en-CA"/>
        </w:rPr>
        <w:t>في 2 آذار/مارس 2010،</w:t>
      </w:r>
      <w:r w:rsidRPr="00523D40">
        <w:rPr>
          <w:rFonts w:hint="cs"/>
          <w:color w:val="000000"/>
          <w:spacing w:val="0"/>
          <w:kern w:val="0"/>
          <w:sz w:val="20"/>
          <w:rtl/>
        </w:rPr>
        <w:t xml:space="preserve"> </w:t>
      </w:r>
      <w:r w:rsidRPr="00523D40">
        <w:rPr>
          <w:rFonts w:hint="cs"/>
          <w:color w:val="000000"/>
          <w:spacing w:val="0"/>
          <w:kern w:val="0"/>
          <w:sz w:val="20"/>
          <w:rtl/>
          <w:lang w:bidi="ar-MA"/>
        </w:rPr>
        <w:t xml:space="preserve">طلبت اللجنة </w:t>
      </w:r>
      <w:r w:rsidRPr="00523D40">
        <w:rPr>
          <w:rFonts w:hint="cs"/>
          <w:color w:val="000000"/>
          <w:spacing w:val="0"/>
          <w:kern w:val="0"/>
          <w:sz w:val="20"/>
          <w:rtl/>
          <w:lang w:val="en-CA"/>
        </w:rPr>
        <w:t>إلى الدولة الطرف</w:t>
      </w:r>
      <w:r w:rsidRPr="00523D40">
        <w:rPr>
          <w:rFonts w:hint="cs"/>
          <w:color w:val="000000"/>
          <w:spacing w:val="0"/>
          <w:kern w:val="0"/>
          <w:sz w:val="20"/>
          <w:rtl/>
          <w:lang w:bidi="ar-MA"/>
        </w:rPr>
        <w:t xml:space="preserve">، بموجب المادة 114 (المادة 108 سابقاً) من </w:t>
      </w:r>
      <w:r w:rsidRPr="00523D40">
        <w:rPr>
          <w:rFonts w:hint="cs"/>
          <w:color w:val="000000"/>
          <w:spacing w:val="0"/>
          <w:kern w:val="0"/>
          <w:sz w:val="20"/>
          <w:rtl/>
          <w:lang w:val="en-CA"/>
        </w:rPr>
        <w:t>نظامها الداخلي (</w:t>
      </w:r>
      <w:r w:rsidRPr="00523D40">
        <w:rPr>
          <w:color w:val="000000"/>
          <w:spacing w:val="0"/>
          <w:kern w:val="0"/>
          <w:sz w:val="20"/>
        </w:rPr>
        <w:t>CAT/C/3/Rev.5</w:t>
      </w:r>
      <w:r w:rsidRPr="00523D40">
        <w:rPr>
          <w:rFonts w:hint="cs"/>
          <w:color w:val="000000"/>
          <w:spacing w:val="0"/>
          <w:kern w:val="0"/>
          <w:sz w:val="20"/>
          <w:rtl/>
          <w:lang w:val="en-CA"/>
        </w:rPr>
        <w:t>)، عدم طرد صاحبة الشكوى إلى بوروندي ريثما تنظر اللجنة في بلاغها.</w:t>
      </w:r>
    </w:p>
    <w:p w:rsidR="00523D40" w:rsidRPr="00523D40" w:rsidRDefault="00A85948" w:rsidP="00A85948">
      <w:pPr>
        <w:pStyle w:val="H23GA"/>
        <w:keepNext/>
        <w:rPr>
          <w:rFonts w:hint="cs"/>
          <w:kern w:val="0"/>
          <w:rtl/>
        </w:rPr>
      </w:pPr>
      <w:r>
        <w:rPr>
          <w:rFonts w:hint="cs"/>
          <w:kern w:val="0"/>
          <w:rtl/>
        </w:rPr>
        <w:tab/>
      </w:r>
      <w:r>
        <w:rPr>
          <w:rFonts w:hint="cs"/>
          <w:kern w:val="0"/>
          <w:rtl/>
        </w:rPr>
        <w:tab/>
      </w:r>
      <w:r w:rsidR="00523D40" w:rsidRPr="00523D40">
        <w:rPr>
          <w:rFonts w:hint="cs"/>
          <w:kern w:val="0"/>
          <w:rtl/>
        </w:rPr>
        <w:t xml:space="preserve">بيان </w:t>
      </w:r>
      <w:r w:rsidR="00523D40" w:rsidRPr="00523D40">
        <w:rPr>
          <w:rFonts w:hint="eastAsia"/>
          <w:kern w:val="0"/>
          <w:rtl/>
        </w:rPr>
        <w:t>الوقائع</w:t>
      </w:r>
    </w:p>
    <w:p w:rsidR="00523D40" w:rsidRPr="00523D40" w:rsidRDefault="00523D40" w:rsidP="00A85948">
      <w:pPr>
        <w:pStyle w:val="SingleTxtGA"/>
        <w:spacing w:line="370" w:lineRule="exact"/>
        <w:jc w:val="lowKashida"/>
        <w:rPr>
          <w:rFonts w:hint="cs"/>
          <w:color w:val="000000"/>
          <w:spacing w:val="0"/>
          <w:kern w:val="0"/>
          <w:sz w:val="20"/>
          <w:szCs w:val="20"/>
          <w:rtl/>
        </w:rPr>
      </w:pPr>
      <w:r w:rsidRPr="00523D40">
        <w:rPr>
          <w:color w:val="000000"/>
          <w:spacing w:val="0"/>
          <w:kern w:val="0"/>
          <w:sz w:val="20"/>
          <w:rtl/>
          <w:lang w:val="en-CA"/>
        </w:rPr>
        <w:t>2-1</w:t>
      </w:r>
      <w:r w:rsidRPr="00523D40">
        <w:rPr>
          <w:color w:val="000000"/>
          <w:spacing w:val="0"/>
          <w:kern w:val="0"/>
          <w:sz w:val="20"/>
          <w:rtl/>
          <w:lang w:val="en-CA"/>
        </w:rPr>
        <w:tab/>
      </w:r>
      <w:r w:rsidRPr="00523D40">
        <w:rPr>
          <w:rFonts w:hint="cs"/>
          <w:color w:val="000000"/>
          <w:spacing w:val="0"/>
          <w:kern w:val="0"/>
          <w:sz w:val="20"/>
          <w:rtl/>
          <w:lang w:val="en-CA"/>
        </w:rPr>
        <w:t>تنحدر صاحبة الشكوى من عائلة تنتمي إلى عرقية التوتسي. وقد قُتل والداها، إي.</w:t>
      </w:r>
      <w:r w:rsidR="00A85948">
        <w:rPr>
          <w:rFonts w:hint="eastAsia"/>
          <w:color w:val="000000"/>
          <w:spacing w:val="0"/>
          <w:kern w:val="0"/>
          <w:sz w:val="20"/>
          <w:rtl/>
          <w:lang w:val="en-CA"/>
        </w:rPr>
        <w:t> </w:t>
      </w:r>
      <w:r w:rsidRPr="00523D40">
        <w:rPr>
          <w:rFonts w:hint="cs"/>
          <w:color w:val="000000"/>
          <w:spacing w:val="0"/>
          <w:kern w:val="0"/>
          <w:sz w:val="20"/>
          <w:rtl/>
          <w:lang w:val="en-CA"/>
        </w:rPr>
        <w:t xml:space="preserve">ن. وسي. ب. في عام 1993 على يد أفراد ميليشيا الهوتو في قرية مبويي. وأصبح أخوها الأكبر ج. ف.ن.، </w:t>
      </w:r>
      <w:r w:rsidRPr="00523D40">
        <w:rPr>
          <w:color w:val="000000"/>
          <w:spacing w:val="0"/>
          <w:kern w:val="0"/>
          <w:sz w:val="20"/>
          <w:rtl/>
          <w:lang w:val="en-CA"/>
        </w:rPr>
        <w:t>وهو شقيقها الوحيد، فيما بعد عضواً نشطاً في م</w:t>
      </w:r>
      <w:r w:rsidRPr="00523D40">
        <w:rPr>
          <w:rFonts w:hint="cs"/>
          <w:color w:val="000000"/>
          <w:spacing w:val="0"/>
          <w:kern w:val="0"/>
          <w:sz w:val="20"/>
          <w:rtl/>
          <w:lang w:val="en-CA"/>
        </w:rPr>
        <w:t>ي</w:t>
      </w:r>
      <w:r w:rsidRPr="00523D40">
        <w:rPr>
          <w:color w:val="000000"/>
          <w:spacing w:val="0"/>
          <w:kern w:val="0"/>
          <w:sz w:val="20"/>
          <w:rtl/>
          <w:lang w:val="en-CA"/>
        </w:rPr>
        <w:t>ليشيا التوتسي المعروفة باسم "</w:t>
      </w:r>
      <w:r w:rsidRPr="00523D40">
        <w:rPr>
          <w:color w:val="000000"/>
          <w:spacing w:val="0"/>
          <w:kern w:val="0"/>
          <w:sz w:val="20"/>
        </w:rPr>
        <w:t>Sans Échec</w:t>
      </w:r>
      <w:r w:rsidRPr="00523D40">
        <w:rPr>
          <w:color w:val="000000"/>
          <w:spacing w:val="0"/>
          <w:kern w:val="0"/>
          <w:sz w:val="20"/>
          <w:rtl/>
          <w:lang w:val="en-CA"/>
        </w:rPr>
        <w:t xml:space="preserve">". </w:t>
      </w:r>
      <w:r w:rsidRPr="00523D40">
        <w:rPr>
          <w:rFonts w:hint="cs"/>
          <w:color w:val="000000"/>
          <w:spacing w:val="0"/>
          <w:kern w:val="0"/>
          <w:sz w:val="20"/>
          <w:rtl/>
        </w:rPr>
        <w:t>وشارك في عمليات النهب و</w:t>
      </w:r>
      <w:r w:rsidRPr="00523D40">
        <w:rPr>
          <w:color w:val="000000"/>
          <w:spacing w:val="0"/>
          <w:kern w:val="0"/>
          <w:sz w:val="20"/>
          <w:rtl/>
        </w:rPr>
        <w:t>ال</w:t>
      </w:r>
      <w:r w:rsidRPr="00523D40">
        <w:rPr>
          <w:rFonts w:hint="cs"/>
          <w:color w:val="000000"/>
          <w:spacing w:val="0"/>
          <w:kern w:val="0"/>
          <w:sz w:val="20"/>
          <w:rtl/>
        </w:rPr>
        <w:t xml:space="preserve">هجمات </w:t>
      </w:r>
      <w:r w:rsidRPr="00523D40">
        <w:rPr>
          <w:color w:val="000000"/>
          <w:spacing w:val="0"/>
          <w:kern w:val="0"/>
          <w:sz w:val="20"/>
          <w:rtl/>
        </w:rPr>
        <w:t>المسلحة ضد الهوتو.</w:t>
      </w:r>
      <w:r w:rsidRPr="00523D40">
        <w:rPr>
          <w:rFonts w:hint="cs"/>
          <w:color w:val="000000"/>
          <w:spacing w:val="0"/>
          <w:kern w:val="0"/>
          <w:sz w:val="20"/>
          <w:rtl/>
        </w:rPr>
        <w:t xml:space="preserve"> ولما</w:t>
      </w:r>
      <w:r w:rsidR="00A85948">
        <w:rPr>
          <w:rFonts w:hint="eastAsia"/>
          <w:color w:val="000000"/>
          <w:spacing w:val="0"/>
          <w:kern w:val="0"/>
          <w:sz w:val="20"/>
          <w:rtl/>
        </w:rPr>
        <w:t> </w:t>
      </w:r>
      <w:r w:rsidRPr="00523D40">
        <w:rPr>
          <w:rFonts w:hint="cs"/>
          <w:color w:val="000000"/>
          <w:spacing w:val="0"/>
          <w:kern w:val="0"/>
          <w:sz w:val="20"/>
          <w:rtl/>
        </w:rPr>
        <w:t xml:space="preserve">كان  أخوها يحظى بمكانة عالية داخل تلك الميليشيا وكان صيته ذائعاً، فقد تلقى تهديدات بالقتل. </w:t>
      </w:r>
      <w:r w:rsidRPr="00523D40">
        <w:rPr>
          <w:color w:val="000000"/>
          <w:spacing w:val="0"/>
          <w:kern w:val="0"/>
          <w:sz w:val="20"/>
          <w:rtl/>
        </w:rPr>
        <w:t xml:space="preserve">وفي 3 </w:t>
      </w:r>
      <w:r w:rsidRPr="00523D40">
        <w:rPr>
          <w:rFonts w:hint="cs"/>
          <w:color w:val="000000"/>
          <w:spacing w:val="0"/>
          <w:kern w:val="0"/>
          <w:sz w:val="20"/>
          <w:rtl/>
        </w:rPr>
        <w:t>أيلول/</w:t>
      </w:r>
      <w:r w:rsidRPr="00523D40">
        <w:rPr>
          <w:color w:val="000000"/>
          <w:spacing w:val="0"/>
          <w:kern w:val="0"/>
          <w:sz w:val="20"/>
          <w:rtl/>
        </w:rPr>
        <w:t>سبتمبر 2006، ق</w:t>
      </w:r>
      <w:r w:rsidRPr="00523D40">
        <w:rPr>
          <w:rFonts w:hint="cs"/>
          <w:color w:val="000000"/>
          <w:spacing w:val="0"/>
          <w:kern w:val="0"/>
          <w:sz w:val="20"/>
          <w:rtl/>
        </w:rPr>
        <w:t>ُ</w:t>
      </w:r>
      <w:r w:rsidRPr="00523D40">
        <w:rPr>
          <w:color w:val="000000"/>
          <w:spacing w:val="0"/>
          <w:kern w:val="0"/>
          <w:sz w:val="20"/>
          <w:rtl/>
        </w:rPr>
        <w:t>تل شقيق صاحب</w:t>
      </w:r>
      <w:r w:rsidRPr="00523D40">
        <w:rPr>
          <w:rFonts w:hint="cs"/>
          <w:color w:val="000000"/>
          <w:spacing w:val="0"/>
          <w:kern w:val="0"/>
          <w:sz w:val="20"/>
          <w:rtl/>
        </w:rPr>
        <w:t>ة</w:t>
      </w:r>
      <w:r w:rsidRPr="00523D40">
        <w:rPr>
          <w:color w:val="000000"/>
          <w:spacing w:val="0"/>
          <w:kern w:val="0"/>
          <w:sz w:val="20"/>
          <w:rtl/>
        </w:rPr>
        <w:t xml:space="preserve"> الشكوى في منزله </w:t>
      </w:r>
      <w:r w:rsidRPr="00523D40">
        <w:rPr>
          <w:rFonts w:hint="cs"/>
          <w:color w:val="000000"/>
          <w:spacing w:val="0"/>
          <w:kern w:val="0"/>
          <w:sz w:val="20"/>
          <w:rtl/>
        </w:rPr>
        <w:t>على يد</w:t>
      </w:r>
      <w:r w:rsidRPr="00523D40">
        <w:rPr>
          <w:color w:val="000000"/>
          <w:spacing w:val="0"/>
          <w:kern w:val="0"/>
          <w:sz w:val="20"/>
          <w:rtl/>
        </w:rPr>
        <w:t xml:space="preserve"> جنود من الجيش الوطن</w:t>
      </w:r>
      <w:r w:rsidRPr="00523D40">
        <w:rPr>
          <w:rFonts w:hint="cs"/>
          <w:color w:val="000000"/>
          <w:spacing w:val="0"/>
          <w:kern w:val="0"/>
          <w:sz w:val="20"/>
          <w:rtl/>
        </w:rPr>
        <w:t>ي ينتمون إلى عرقية الهوتو</w:t>
      </w:r>
      <w:r w:rsidRPr="00523D40">
        <w:rPr>
          <w:color w:val="000000"/>
          <w:spacing w:val="0"/>
          <w:kern w:val="0"/>
          <w:sz w:val="20"/>
          <w:rtl/>
        </w:rPr>
        <w:t xml:space="preserve">. </w:t>
      </w:r>
      <w:r w:rsidRPr="00523D40">
        <w:rPr>
          <w:rFonts w:hint="cs"/>
          <w:color w:val="000000"/>
          <w:spacing w:val="0"/>
          <w:kern w:val="0"/>
          <w:sz w:val="20"/>
          <w:rtl/>
        </w:rPr>
        <w:t xml:space="preserve">وكانت صاحبة الشكوى، </w:t>
      </w:r>
      <w:r w:rsidRPr="00523D40">
        <w:rPr>
          <w:color w:val="000000"/>
          <w:spacing w:val="0"/>
          <w:kern w:val="0"/>
          <w:sz w:val="20"/>
          <w:rtl/>
        </w:rPr>
        <w:t xml:space="preserve">في تلك اللحظة </w:t>
      </w:r>
      <w:r w:rsidRPr="00523D40">
        <w:rPr>
          <w:rFonts w:hint="cs"/>
          <w:color w:val="000000"/>
          <w:spacing w:val="0"/>
          <w:kern w:val="0"/>
          <w:sz w:val="20"/>
          <w:rtl/>
        </w:rPr>
        <w:t>بالذات</w:t>
      </w:r>
      <w:r w:rsidRPr="00523D40">
        <w:rPr>
          <w:color w:val="000000"/>
          <w:spacing w:val="0"/>
          <w:kern w:val="0"/>
          <w:sz w:val="20"/>
          <w:rtl/>
        </w:rPr>
        <w:t xml:space="preserve">، </w:t>
      </w:r>
      <w:r w:rsidRPr="00523D40">
        <w:rPr>
          <w:rFonts w:hint="cs"/>
          <w:color w:val="000000"/>
          <w:spacing w:val="0"/>
          <w:kern w:val="0"/>
          <w:sz w:val="20"/>
          <w:rtl/>
        </w:rPr>
        <w:t xml:space="preserve">خارج </w:t>
      </w:r>
      <w:r w:rsidRPr="00523D40">
        <w:rPr>
          <w:color w:val="000000"/>
          <w:spacing w:val="0"/>
          <w:kern w:val="0"/>
          <w:sz w:val="20"/>
          <w:rtl/>
        </w:rPr>
        <w:t xml:space="preserve">المنزل </w:t>
      </w:r>
      <w:r w:rsidRPr="00523D40">
        <w:rPr>
          <w:rFonts w:hint="cs"/>
          <w:color w:val="000000"/>
          <w:spacing w:val="0"/>
          <w:kern w:val="0"/>
          <w:sz w:val="20"/>
          <w:rtl/>
        </w:rPr>
        <w:t xml:space="preserve">وكانت تسمع </w:t>
      </w:r>
      <w:r w:rsidRPr="00523D40">
        <w:rPr>
          <w:color w:val="000000"/>
          <w:spacing w:val="0"/>
          <w:kern w:val="0"/>
          <w:sz w:val="20"/>
          <w:rtl/>
        </w:rPr>
        <w:t xml:space="preserve">شقيقها </w:t>
      </w:r>
      <w:r w:rsidRPr="00523D40">
        <w:rPr>
          <w:rFonts w:hint="cs"/>
          <w:color w:val="000000"/>
          <w:spacing w:val="0"/>
          <w:kern w:val="0"/>
          <w:sz w:val="20"/>
          <w:rtl/>
        </w:rPr>
        <w:t>وهو يتعرض لسوء المعاملة</w:t>
      </w:r>
      <w:r w:rsidRPr="00523D40">
        <w:rPr>
          <w:color w:val="000000"/>
          <w:spacing w:val="0"/>
          <w:kern w:val="0"/>
          <w:sz w:val="20"/>
          <w:rtl/>
        </w:rPr>
        <w:t xml:space="preserve"> داخل المنزل والجنود </w:t>
      </w:r>
      <w:r w:rsidRPr="00523D40">
        <w:rPr>
          <w:rFonts w:hint="cs"/>
          <w:color w:val="000000"/>
          <w:spacing w:val="0"/>
          <w:kern w:val="0"/>
          <w:sz w:val="20"/>
          <w:rtl/>
        </w:rPr>
        <w:t>يسألونه</w:t>
      </w:r>
      <w:r w:rsidRPr="00523D40">
        <w:rPr>
          <w:color w:val="000000"/>
          <w:spacing w:val="0"/>
          <w:kern w:val="0"/>
          <w:sz w:val="20"/>
          <w:rtl/>
        </w:rPr>
        <w:t xml:space="preserve"> عن مكان وجود</w:t>
      </w:r>
      <w:r w:rsidRPr="00523D40">
        <w:rPr>
          <w:rFonts w:hint="cs"/>
          <w:color w:val="000000"/>
          <w:spacing w:val="0"/>
          <w:kern w:val="0"/>
          <w:sz w:val="20"/>
          <w:rtl/>
        </w:rPr>
        <w:t>ها</w:t>
      </w:r>
      <w:r w:rsidRPr="00523D40">
        <w:rPr>
          <w:color w:val="000000"/>
          <w:spacing w:val="0"/>
          <w:kern w:val="0"/>
          <w:sz w:val="20"/>
          <w:rtl/>
        </w:rPr>
        <w:t xml:space="preserve">، </w:t>
      </w:r>
      <w:r w:rsidRPr="00523D40">
        <w:rPr>
          <w:rFonts w:hint="cs"/>
          <w:color w:val="000000"/>
          <w:spacing w:val="0"/>
          <w:kern w:val="0"/>
          <w:sz w:val="20"/>
          <w:rtl/>
        </w:rPr>
        <w:t>وهو ما فسرته على أنه</w:t>
      </w:r>
      <w:r w:rsidRPr="00523D40">
        <w:rPr>
          <w:color w:val="000000"/>
          <w:spacing w:val="0"/>
          <w:kern w:val="0"/>
          <w:sz w:val="20"/>
          <w:rtl/>
        </w:rPr>
        <w:t xml:space="preserve"> تهديد </w:t>
      </w:r>
      <w:r w:rsidRPr="00523D40">
        <w:rPr>
          <w:rFonts w:hint="cs"/>
          <w:color w:val="000000"/>
          <w:spacing w:val="0"/>
          <w:kern w:val="0"/>
          <w:sz w:val="20"/>
          <w:rtl/>
        </w:rPr>
        <w:t>بقتلها.</w:t>
      </w:r>
    </w:p>
    <w:p w:rsidR="00523D40" w:rsidRPr="00523D40" w:rsidRDefault="00523D40" w:rsidP="00A85948">
      <w:pPr>
        <w:pStyle w:val="SingleTxtGA"/>
        <w:spacing w:line="370" w:lineRule="exact"/>
        <w:jc w:val="lowKashida"/>
        <w:rPr>
          <w:rFonts w:hint="cs"/>
          <w:color w:val="000000"/>
          <w:spacing w:val="0"/>
          <w:kern w:val="0"/>
          <w:sz w:val="20"/>
          <w:rtl/>
        </w:rPr>
      </w:pPr>
      <w:r w:rsidRPr="00523D40">
        <w:rPr>
          <w:color w:val="000000"/>
          <w:spacing w:val="0"/>
          <w:kern w:val="0"/>
          <w:sz w:val="20"/>
          <w:rtl/>
        </w:rPr>
        <w:t>2-2</w:t>
      </w:r>
      <w:r w:rsidRPr="00523D40">
        <w:rPr>
          <w:color w:val="000000"/>
          <w:spacing w:val="0"/>
          <w:kern w:val="0"/>
          <w:sz w:val="20"/>
          <w:rtl/>
        </w:rPr>
        <w:tab/>
      </w:r>
      <w:r w:rsidRPr="00523D40">
        <w:rPr>
          <w:rFonts w:hint="cs"/>
          <w:color w:val="000000"/>
          <w:spacing w:val="0"/>
          <w:kern w:val="0"/>
          <w:sz w:val="20"/>
          <w:rtl/>
        </w:rPr>
        <w:t xml:space="preserve">وخرجت </w:t>
      </w:r>
      <w:r w:rsidRPr="00523D40">
        <w:rPr>
          <w:color w:val="000000"/>
          <w:spacing w:val="0"/>
          <w:kern w:val="0"/>
          <w:sz w:val="20"/>
          <w:rtl/>
        </w:rPr>
        <w:t xml:space="preserve">صاحبة الشكوى </w:t>
      </w:r>
      <w:r w:rsidRPr="00523D40">
        <w:rPr>
          <w:rFonts w:hint="cs"/>
          <w:color w:val="000000"/>
          <w:spacing w:val="0"/>
          <w:kern w:val="0"/>
          <w:sz w:val="20"/>
          <w:rtl/>
        </w:rPr>
        <w:t>من المنزل</w:t>
      </w:r>
      <w:r w:rsidRPr="00523D40">
        <w:rPr>
          <w:color w:val="000000"/>
          <w:spacing w:val="0"/>
          <w:kern w:val="0"/>
          <w:sz w:val="20"/>
          <w:rtl/>
        </w:rPr>
        <w:t xml:space="preserve"> </w:t>
      </w:r>
      <w:r w:rsidRPr="00523D40">
        <w:rPr>
          <w:rFonts w:hint="cs"/>
          <w:color w:val="000000"/>
          <w:spacing w:val="0"/>
          <w:kern w:val="0"/>
          <w:sz w:val="20"/>
          <w:rtl/>
        </w:rPr>
        <w:t>مهرولة</w:t>
      </w:r>
      <w:r w:rsidRPr="00523D40">
        <w:rPr>
          <w:color w:val="000000"/>
          <w:spacing w:val="0"/>
          <w:kern w:val="0"/>
          <w:sz w:val="20"/>
          <w:rtl/>
        </w:rPr>
        <w:t xml:space="preserve"> </w:t>
      </w:r>
      <w:r w:rsidRPr="00523D40">
        <w:rPr>
          <w:rFonts w:hint="cs"/>
          <w:color w:val="000000"/>
          <w:spacing w:val="0"/>
          <w:kern w:val="0"/>
          <w:sz w:val="20"/>
          <w:rtl/>
        </w:rPr>
        <w:t xml:space="preserve">إلى </w:t>
      </w:r>
      <w:r w:rsidRPr="00523D40">
        <w:rPr>
          <w:color w:val="000000"/>
          <w:spacing w:val="0"/>
          <w:kern w:val="0"/>
          <w:sz w:val="20"/>
          <w:rtl/>
        </w:rPr>
        <w:t>أحد ال</w:t>
      </w:r>
      <w:r w:rsidRPr="00523D40">
        <w:rPr>
          <w:rFonts w:hint="cs"/>
          <w:color w:val="000000"/>
          <w:spacing w:val="0"/>
          <w:kern w:val="0"/>
          <w:sz w:val="20"/>
          <w:rtl/>
        </w:rPr>
        <w:t>أصدقاء، وكان على مسيرة</w:t>
      </w:r>
      <w:r w:rsidR="00A85948">
        <w:rPr>
          <w:rFonts w:hint="eastAsia"/>
          <w:color w:val="000000"/>
          <w:spacing w:val="0"/>
          <w:kern w:val="0"/>
          <w:sz w:val="20"/>
          <w:rtl/>
        </w:rPr>
        <w:t> </w:t>
      </w:r>
      <w:r w:rsidRPr="00523D40">
        <w:rPr>
          <w:rFonts w:hint="cs"/>
          <w:color w:val="000000"/>
          <w:spacing w:val="0"/>
          <w:kern w:val="0"/>
          <w:sz w:val="20"/>
          <w:rtl/>
        </w:rPr>
        <w:t>10 دقائق من بيتها</w:t>
      </w:r>
      <w:r w:rsidRPr="00523D40">
        <w:rPr>
          <w:color w:val="000000"/>
          <w:spacing w:val="0"/>
          <w:kern w:val="0"/>
          <w:sz w:val="20"/>
          <w:rtl/>
        </w:rPr>
        <w:t xml:space="preserve">. </w:t>
      </w:r>
      <w:r w:rsidRPr="00523D40">
        <w:rPr>
          <w:rFonts w:hint="cs"/>
          <w:color w:val="000000"/>
          <w:spacing w:val="0"/>
          <w:kern w:val="0"/>
          <w:sz w:val="20"/>
          <w:rtl/>
        </w:rPr>
        <w:t>وتوجه</w:t>
      </w:r>
      <w:r w:rsidRPr="00523D40">
        <w:rPr>
          <w:color w:val="000000"/>
          <w:spacing w:val="0"/>
          <w:kern w:val="0"/>
          <w:sz w:val="20"/>
          <w:rtl/>
        </w:rPr>
        <w:t xml:space="preserve"> </w:t>
      </w:r>
      <w:r w:rsidRPr="00523D40">
        <w:rPr>
          <w:rFonts w:hint="cs"/>
          <w:color w:val="000000"/>
          <w:spacing w:val="0"/>
          <w:kern w:val="0"/>
          <w:sz w:val="20"/>
          <w:rtl/>
        </w:rPr>
        <w:t xml:space="preserve">هذا الصديق، </w:t>
      </w:r>
      <w:r w:rsidRPr="00523D40">
        <w:rPr>
          <w:color w:val="000000"/>
          <w:spacing w:val="0"/>
          <w:kern w:val="0"/>
          <w:sz w:val="20"/>
          <w:rtl/>
        </w:rPr>
        <w:t>في اليوم التالي</w:t>
      </w:r>
      <w:r w:rsidRPr="00523D40">
        <w:rPr>
          <w:rFonts w:hint="cs"/>
          <w:color w:val="000000"/>
          <w:spacing w:val="0"/>
          <w:kern w:val="0"/>
          <w:sz w:val="20"/>
          <w:rtl/>
        </w:rPr>
        <w:t>، إلى منزلها فعثر على أخيها مقتولاً بعد تعرضه لتعذيب وحشي</w:t>
      </w:r>
      <w:r w:rsidRPr="00523D40">
        <w:rPr>
          <w:color w:val="000000"/>
          <w:spacing w:val="0"/>
          <w:kern w:val="0"/>
          <w:sz w:val="20"/>
          <w:rtl/>
        </w:rPr>
        <w:t xml:space="preserve">. </w:t>
      </w:r>
      <w:r w:rsidRPr="00523D40">
        <w:rPr>
          <w:rFonts w:hint="cs"/>
          <w:color w:val="000000"/>
          <w:spacing w:val="0"/>
          <w:kern w:val="0"/>
          <w:sz w:val="20"/>
          <w:rtl/>
        </w:rPr>
        <w:t xml:space="preserve">والتقت صاحبة الشكوى، </w:t>
      </w:r>
      <w:r w:rsidRPr="00523D40">
        <w:rPr>
          <w:color w:val="000000"/>
          <w:spacing w:val="0"/>
          <w:kern w:val="0"/>
          <w:sz w:val="20"/>
          <w:rtl/>
        </w:rPr>
        <w:t xml:space="preserve">بعد بضعة أيام، </w:t>
      </w:r>
      <w:r w:rsidRPr="00523D40">
        <w:rPr>
          <w:rFonts w:hint="cs"/>
          <w:color w:val="000000"/>
          <w:spacing w:val="0"/>
          <w:kern w:val="0"/>
          <w:sz w:val="20"/>
          <w:rtl/>
        </w:rPr>
        <w:t>ب</w:t>
      </w:r>
      <w:r w:rsidRPr="00523D40">
        <w:rPr>
          <w:color w:val="000000"/>
          <w:spacing w:val="0"/>
          <w:kern w:val="0"/>
          <w:sz w:val="20"/>
          <w:rtl/>
        </w:rPr>
        <w:t>خادمتها السابقة</w:t>
      </w:r>
      <w:r w:rsidRPr="00523D40">
        <w:rPr>
          <w:rFonts w:hint="cs"/>
          <w:color w:val="000000"/>
          <w:spacing w:val="0"/>
          <w:kern w:val="0"/>
          <w:sz w:val="20"/>
          <w:rtl/>
        </w:rPr>
        <w:t xml:space="preserve"> فأخبرتها</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 xml:space="preserve">أن </w:t>
      </w:r>
      <w:r w:rsidRPr="00523D40">
        <w:rPr>
          <w:rFonts w:hint="cs"/>
          <w:color w:val="000000"/>
          <w:spacing w:val="0"/>
          <w:kern w:val="0"/>
          <w:sz w:val="20"/>
          <w:rtl/>
          <w:lang w:val="en-CA"/>
        </w:rPr>
        <w:t xml:space="preserve">ميليشيات </w:t>
      </w:r>
      <w:r w:rsidRPr="00523D40">
        <w:rPr>
          <w:color w:val="000000"/>
          <w:spacing w:val="0"/>
          <w:kern w:val="0"/>
          <w:sz w:val="20"/>
          <w:rtl/>
        </w:rPr>
        <w:t xml:space="preserve">الهوتو </w:t>
      </w:r>
      <w:r w:rsidRPr="00523D40">
        <w:rPr>
          <w:rFonts w:hint="cs"/>
          <w:color w:val="000000"/>
          <w:spacing w:val="0"/>
          <w:kern w:val="0"/>
          <w:sz w:val="20"/>
          <w:rtl/>
        </w:rPr>
        <w:t>تفتش عنها</w:t>
      </w:r>
      <w:r w:rsidRPr="00523D40">
        <w:rPr>
          <w:color w:val="000000"/>
          <w:spacing w:val="0"/>
          <w:kern w:val="0"/>
          <w:sz w:val="20"/>
          <w:rtl/>
        </w:rPr>
        <w:t xml:space="preserve">. </w:t>
      </w:r>
      <w:r w:rsidRPr="00523D40">
        <w:rPr>
          <w:rFonts w:hint="cs"/>
          <w:color w:val="000000"/>
          <w:spacing w:val="0"/>
          <w:kern w:val="0"/>
          <w:sz w:val="20"/>
          <w:rtl/>
        </w:rPr>
        <w:t xml:space="preserve">فبقيت </w:t>
      </w:r>
      <w:r w:rsidRPr="00523D40">
        <w:rPr>
          <w:color w:val="000000"/>
          <w:spacing w:val="0"/>
          <w:kern w:val="0"/>
          <w:sz w:val="20"/>
          <w:rtl/>
        </w:rPr>
        <w:t>في منزل صديق</w:t>
      </w:r>
      <w:r w:rsidRPr="00523D40">
        <w:rPr>
          <w:rFonts w:hint="cs"/>
          <w:color w:val="000000"/>
          <w:spacing w:val="0"/>
          <w:kern w:val="0"/>
          <w:sz w:val="20"/>
          <w:rtl/>
        </w:rPr>
        <w:t xml:space="preserve">ها </w:t>
      </w:r>
      <w:r w:rsidRPr="00523D40">
        <w:rPr>
          <w:color w:val="000000"/>
          <w:spacing w:val="0"/>
          <w:kern w:val="0"/>
          <w:sz w:val="20"/>
          <w:rtl/>
        </w:rPr>
        <w:t xml:space="preserve">لمدة شهرين. </w:t>
      </w:r>
      <w:r w:rsidRPr="00523D40">
        <w:rPr>
          <w:rFonts w:hint="cs"/>
          <w:color w:val="000000"/>
          <w:spacing w:val="0"/>
          <w:kern w:val="0"/>
          <w:sz w:val="20"/>
          <w:rtl/>
        </w:rPr>
        <w:t>وأفادت بأن</w:t>
      </w:r>
      <w:r w:rsidRPr="00523D40">
        <w:rPr>
          <w:color w:val="000000"/>
          <w:spacing w:val="0"/>
          <w:kern w:val="0"/>
          <w:sz w:val="20"/>
          <w:rtl/>
        </w:rPr>
        <w:t xml:space="preserve"> السلطات </w:t>
      </w:r>
      <w:r w:rsidRPr="00523D40">
        <w:rPr>
          <w:rFonts w:hint="cs"/>
          <w:color w:val="000000"/>
          <w:spacing w:val="0"/>
          <w:kern w:val="0"/>
          <w:sz w:val="20"/>
          <w:rtl/>
        </w:rPr>
        <w:t>لم تكن</w:t>
      </w:r>
      <w:r w:rsidRPr="00523D40">
        <w:rPr>
          <w:color w:val="000000"/>
          <w:spacing w:val="0"/>
          <w:kern w:val="0"/>
          <w:sz w:val="20"/>
          <w:rtl/>
        </w:rPr>
        <w:t xml:space="preserve"> قادرة على توفير الحماية</w:t>
      </w:r>
      <w:r w:rsidRPr="00523D40">
        <w:rPr>
          <w:rFonts w:hint="cs"/>
          <w:color w:val="000000"/>
          <w:spacing w:val="0"/>
          <w:kern w:val="0"/>
          <w:sz w:val="20"/>
          <w:rtl/>
        </w:rPr>
        <w:t xml:space="preserve"> لها</w:t>
      </w:r>
      <w:r w:rsidRPr="00523D40">
        <w:rPr>
          <w:color w:val="000000"/>
          <w:spacing w:val="0"/>
          <w:kern w:val="0"/>
          <w:sz w:val="20"/>
          <w:rtl/>
        </w:rPr>
        <w:t xml:space="preserve"> </w:t>
      </w:r>
      <w:r w:rsidRPr="00523D40">
        <w:rPr>
          <w:rFonts w:hint="cs"/>
          <w:color w:val="000000"/>
          <w:spacing w:val="0"/>
          <w:kern w:val="0"/>
          <w:sz w:val="20"/>
          <w:rtl/>
        </w:rPr>
        <w:t>كما أنها لم تتمكن من الحصول على الحماية في أي</w:t>
      </w:r>
      <w:r w:rsidRPr="00523D40">
        <w:rPr>
          <w:color w:val="000000"/>
          <w:spacing w:val="0"/>
          <w:kern w:val="0"/>
          <w:sz w:val="20"/>
          <w:rtl/>
        </w:rPr>
        <w:t xml:space="preserve"> </w:t>
      </w:r>
      <w:r w:rsidRPr="00523D40">
        <w:rPr>
          <w:rFonts w:hint="cs"/>
          <w:color w:val="000000"/>
          <w:spacing w:val="0"/>
          <w:kern w:val="0"/>
          <w:sz w:val="20"/>
          <w:rtl/>
        </w:rPr>
        <w:t>مكان</w:t>
      </w:r>
      <w:r w:rsidRPr="00523D40">
        <w:rPr>
          <w:color w:val="000000"/>
          <w:spacing w:val="0"/>
          <w:kern w:val="0"/>
          <w:sz w:val="20"/>
          <w:rtl/>
        </w:rPr>
        <w:t xml:space="preserve"> آخر من البلد. </w:t>
      </w:r>
      <w:r w:rsidRPr="00523D40">
        <w:rPr>
          <w:rFonts w:hint="cs"/>
          <w:color w:val="000000"/>
          <w:spacing w:val="0"/>
          <w:kern w:val="0"/>
          <w:sz w:val="20"/>
          <w:rtl/>
        </w:rPr>
        <w:t>ولم يكن لها أي قريب واحد أو شبكة اجتماعية في بوروندي</w:t>
      </w:r>
      <w:r w:rsidRPr="00523D40">
        <w:rPr>
          <w:color w:val="000000"/>
          <w:spacing w:val="0"/>
          <w:kern w:val="0"/>
          <w:sz w:val="20"/>
          <w:rtl/>
        </w:rPr>
        <w:t>. و</w:t>
      </w:r>
      <w:r w:rsidRPr="00523D40">
        <w:rPr>
          <w:rFonts w:hint="cs"/>
          <w:color w:val="000000"/>
          <w:spacing w:val="0"/>
          <w:kern w:val="0"/>
          <w:sz w:val="20"/>
          <w:rtl/>
        </w:rPr>
        <w:t>من ثم</w:t>
      </w:r>
      <w:r w:rsidRPr="00523D40">
        <w:rPr>
          <w:color w:val="000000"/>
          <w:spacing w:val="0"/>
          <w:kern w:val="0"/>
          <w:sz w:val="20"/>
          <w:rtl/>
        </w:rPr>
        <w:t xml:space="preserve">، </w:t>
      </w:r>
      <w:r w:rsidRPr="00523D40">
        <w:rPr>
          <w:rFonts w:hint="cs"/>
          <w:color w:val="000000"/>
          <w:spacing w:val="0"/>
          <w:kern w:val="0"/>
          <w:sz w:val="20"/>
          <w:rtl/>
        </w:rPr>
        <w:t>فقد فرت من</w:t>
      </w:r>
      <w:r w:rsidRPr="00523D40">
        <w:rPr>
          <w:color w:val="000000"/>
          <w:spacing w:val="0"/>
          <w:kern w:val="0"/>
          <w:sz w:val="20"/>
          <w:rtl/>
        </w:rPr>
        <w:t xml:space="preserve"> بوروندي في 28 </w:t>
      </w:r>
      <w:r w:rsidRPr="00523D40">
        <w:rPr>
          <w:rFonts w:hint="cs"/>
          <w:color w:val="000000"/>
          <w:spacing w:val="0"/>
          <w:kern w:val="0"/>
          <w:sz w:val="20"/>
          <w:rtl/>
        </w:rPr>
        <w:t>تشرين الثاني/</w:t>
      </w:r>
      <w:r w:rsidRPr="00523D40">
        <w:rPr>
          <w:color w:val="000000"/>
          <w:spacing w:val="0"/>
          <w:kern w:val="0"/>
          <w:sz w:val="20"/>
          <w:rtl/>
        </w:rPr>
        <w:t>نوفمبر 2006، وساعد</w:t>
      </w:r>
      <w:r w:rsidRPr="00523D40">
        <w:rPr>
          <w:rFonts w:hint="cs"/>
          <w:color w:val="000000"/>
          <w:spacing w:val="0"/>
          <w:kern w:val="0"/>
          <w:sz w:val="20"/>
          <w:rtl/>
        </w:rPr>
        <w:t>ها في ذلك مهربون وأحد الأصدقاء، أعدوا لها ترتيبات السفر.</w:t>
      </w:r>
    </w:p>
    <w:p w:rsidR="00523D40" w:rsidRPr="00523D40" w:rsidRDefault="00523D40" w:rsidP="00A85948">
      <w:pPr>
        <w:pStyle w:val="SingleTxtGA"/>
        <w:spacing w:line="370" w:lineRule="exact"/>
        <w:jc w:val="lowKashida"/>
        <w:rPr>
          <w:rFonts w:hint="cs"/>
          <w:color w:val="000000"/>
          <w:spacing w:val="0"/>
          <w:kern w:val="0"/>
          <w:sz w:val="20"/>
          <w:rtl/>
        </w:rPr>
      </w:pPr>
      <w:r w:rsidRPr="00523D40">
        <w:rPr>
          <w:color w:val="000000"/>
          <w:spacing w:val="0"/>
          <w:kern w:val="0"/>
          <w:sz w:val="20"/>
          <w:rtl/>
          <w:lang w:val="en-CA"/>
        </w:rPr>
        <w:t>2-3</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وصل</w:t>
      </w:r>
      <w:r w:rsidRPr="00523D40">
        <w:rPr>
          <w:rFonts w:hint="cs"/>
          <w:color w:val="000000"/>
          <w:spacing w:val="0"/>
          <w:kern w:val="0"/>
          <w:sz w:val="20"/>
          <w:rtl/>
        </w:rPr>
        <w:t>ت</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إلى</w:t>
      </w:r>
      <w:r w:rsidRPr="00523D40">
        <w:rPr>
          <w:color w:val="000000"/>
          <w:spacing w:val="0"/>
          <w:kern w:val="0"/>
          <w:sz w:val="20"/>
          <w:rtl/>
        </w:rPr>
        <w:t xml:space="preserve"> السويد في 29 </w:t>
      </w:r>
      <w:r w:rsidRPr="00523D40">
        <w:rPr>
          <w:rFonts w:hint="cs"/>
          <w:color w:val="000000"/>
          <w:spacing w:val="0"/>
          <w:kern w:val="0"/>
          <w:sz w:val="20"/>
          <w:rtl/>
        </w:rPr>
        <w:t>تشرين الثاني/</w:t>
      </w:r>
      <w:r w:rsidRPr="00523D40">
        <w:rPr>
          <w:color w:val="000000"/>
          <w:spacing w:val="0"/>
          <w:kern w:val="0"/>
          <w:sz w:val="20"/>
          <w:rtl/>
        </w:rPr>
        <w:t>نوفمبر 2006</w:t>
      </w:r>
      <w:r w:rsidRPr="00523D40">
        <w:rPr>
          <w:rFonts w:hint="cs"/>
          <w:color w:val="000000"/>
          <w:spacing w:val="0"/>
          <w:kern w:val="0"/>
          <w:sz w:val="20"/>
          <w:rtl/>
        </w:rPr>
        <w:t>، وقدمت طلباً لالتماس</w:t>
      </w:r>
      <w:r w:rsidRPr="00523D40">
        <w:rPr>
          <w:color w:val="000000"/>
          <w:spacing w:val="0"/>
          <w:kern w:val="0"/>
          <w:sz w:val="20"/>
          <w:rtl/>
        </w:rPr>
        <w:t xml:space="preserve"> اللجوء</w:t>
      </w:r>
      <w:r w:rsidRPr="00523D40">
        <w:rPr>
          <w:rFonts w:hint="cs"/>
          <w:color w:val="000000"/>
          <w:spacing w:val="0"/>
          <w:kern w:val="0"/>
          <w:sz w:val="20"/>
          <w:rtl/>
        </w:rPr>
        <w:t xml:space="preserve"> في</w:t>
      </w:r>
      <w:r w:rsidRPr="00523D40">
        <w:rPr>
          <w:color w:val="000000"/>
          <w:spacing w:val="0"/>
          <w:kern w:val="0"/>
          <w:sz w:val="20"/>
          <w:rtl/>
        </w:rPr>
        <w:t xml:space="preserve"> اليوم التالي. </w:t>
      </w:r>
      <w:r w:rsidRPr="00523D40">
        <w:rPr>
          <w:rFonts w:hint="cs"/>
          <w:color w:val="000000"/>
          <w:spacing w:val="0"/>
          <w:kern w:val="0"/>
          <w:sz w:val="20"/>
          <w:rtl/>
        </w:rPr>
        <w:t>ولدى إيداعها لهذا الطلب</w:t>
      </w:r>
      <w:r w:rsidRPr="00523D40">
        <w:rPr>
          <w:color w:val="000000"/>
          <w:spacing w:val="0"/>
          <w:kern w:val="0"/>
          <w:sz w:val="20"/>
          <w:rtl/>
        </w:rPr>
        <w:t xml:space="preserve">، قدمت بطاقة </w:t>
      </w:r>
      <w:r w:rsidRPr="00523D40">
        <w:rPr>
          <w:rFonts w:hint="cs"/>
          <w:color w:val="000000"/>
          <w:spacing w:val="0"/>
          <w:kern w:val="0"/>
          <w:sz w:val="20"/>
          <w:rtl/>
        </w:rPr>
        <w:t>هوية</w:t>
      </w:r>
      <w:r w:rsidRPr="00523D40">
        <w:rPr>
          <w:color w:val="000000"/>
          <w:spacing w:val="0"/>
          <w:kern w:val="0"/>
          <w:sz w:val="20"/>
          <w:rtl/>
        </w:rPr>
        <w:t xml:space="preserve"> بوروندية </w:t>
      </w:r>
      <w:r w:rsidRPr="00523D40">
        <w:rPr>
          <w:rFonts w:hint="cs"/>
          <w:color w:val="000000"/>
          <w:spacing w:val="0"/>
          <w:kern w:val="0"/>
          <w:sz w:val="20"/>
          <w:rtl/>
        </w:rPr>
        <w:t>إلى</w:t>
      </w:r>
      <w:r w:rsidRPr="00523D40">
        <w:rPr>
          <w:color w:val="000000"/>
          <w:spacing w:val="0"/>
          <w:kern w:val="0"/>
          <w:sz w:val="20"/>
          <w:rtl/>
        </w:rPr>
        <w:t xml:space="preserve"> مجلس الهجرة. وفي 23 </w:t>
      </w:r>
      <w:r w:rsidRPr="00523D40">
        <w:rPr>
          <w:rFonts w:hint="cs"/>
          <w:color w:val="000000"/>
          <w:spacing w:val="0"/>
          <w:kern w:val="0"/>
          <w:sz w:val="20"/>
          <w:rtl/>
        </w:rPr>
        <w:t>تشرين الثاني/</w:t>
      </w:r>
      <w:r w:rsidRPr="00523D40">
        <w:rPr>
          <w:color w:val="000000"/>
          <w:spacing w:val="0"/>
          <w:kern w:val="0"/>
          <w:sz w:val="20"/>
          <w:rtl/>
        </w:rPr>
        <w:t xml:space="preserve">نوفمبر 2007، عقد مجلس الهجرة مقابلة مع </w:t>
      </w:r>
      <w:r w:rsidRPr="00523D40">
        <w:rPr>
          <w:rFonts w:hint="cs"/>
          <w:color w:val="000000"/>
          <w:spacing w:val="0"/>
          <w:kern w:val="0"/>
          <w:sz w:val="20"/>
          <w:rtl/>
        </w:rPr>
        <w:t>صاحبة</w:t>
      </w:r>
      <w:r w:rsidRPr="00523D40">
        <w:rPr>
          <w:color w:val="000000"/>
          <w:spacing w:val="0"/>
          <w:kern w:val="0"/>
          <w:sz w:val="20"/>
          <w:rtl/>
        </w:rPr>
        <w:t xml:space="preserve"> الشكوى في حضور محامي </w:t>
      </w:r>
      <w:r w:rsidRPr="00523D40">
        <w:rPr>
          <w:rFonts w:hint="cs"/>
          <w:color w:val="000000"/>
          <w:spacing w:val="0"/>
          <w:kern w:val="0"/>
          <w:sz w:val="20"/>
          <w:rtl/>
        </w:rPr>
        <w:t>المساعدة القضائية المعين لها</w:t>
      </w:r>
      <w:r w:rsidRPr="00523D40">
        <w:rPr>
          <w:color w:val="000000"/>
          <w:spacing w:val="0"/>
          <w:kern w:val="0"/>
          <w:sz w:val="20"/>
          <w:rtl/>
        </w:rPr>
        <w:t>. و</w:t>
      </w:r>
      <w:r w:rsidRPr="00523D40">
        <w:rPr>
          <w:rFonts w:hint="cs"/>
          <w:color w:val="000000"/>
          <w:spacing w:val="0"/>
          <w:kern w:val="0"/>
          <w:sz w:val="20"/>
          <w:rtl/>
        </w:rPr>
        <w:t>أدلت</w:t>
      </w:r>
      <w:r w:rsidRPr="00523D40">
        <w:rPr>
          <w:color w:val="000000"/>
          <w:spacing w:val="0"/>
          <w:kern w:val="0"/>
          <w:sz w:val="20"/>
          <w:rtl/>
        </w:rPr>
        <w:t xml:space="preserve"> </w:t>
      </w:r>
      <w:r w:rsidRPr="00523D40">
        <w:rPr>
          <w:rFonts w:hint="cs"/>
          <w:color w:val="000000"/>
          <w:spacing w:val="0"/>
          <w:kern w:val="0"/>
          <w:sz w:val="20"/>
          <w:rtl/>
        </w:rPr>
        <w:t>صاحبة</w:t>
      </w:r>
      <w:r w:rsidRPr="00523D40">
        <w:rPr>
          <w:color w:val="000000"/>
          <w:spacing w:val="0"/>
          <w:kern w:val="0"/>
          <w:sz w:val="20"/>
          <w:rtl/>
        </w:rPr>
        <w:t xml:space="preserve"> الشكوى</w:t>
      </w:r>
      <w:r w:rsidRPr="00523D40">
        <w:rPr>
          <w:rFonts w:hint="cs"/>
          <w:color w:val="000000"/>
          <w:spacing w:val="0"/>
          <w:kern w:val="0"/>
          <w:sz w:val="20"/>
          <w:rtl/>
        </w:rPr>
        <w:t xml:space="preserve"> بإفادات منها أنها لم تحز البتة</w:t>
      </w:r>
      <w:r w:rsidRPr="00523D40">
        <w:rPr>
          <w:color w:val="000000"/>
          <w:spacing w:val="0"/>
          <w:kern w:val="0"/>
          <w:sz w:val="20"/>
          <w:rtl/>
        </w:rPr>
        <w:t xml:space="preserve"> </w:t>
      </w:r>
      <w:r w:rsidRPr="00523D40">
        <w:rPr>
          <w:rFonts w:hint="cs"/>
          <w:color w:val="000000"/>
          <w:spacing w:val="0"/>
          <w:kern w:val="0"/>
          <w:sz w:val="20"/>
          <w:rtl/>
        </w:rPr>
        <w:t xml:space="preserve">أبداً على </w:t>
      </w:r>
      <w:r w:rsidRPr="00523D40">
        <w:rPr>
          <w:color w:val="000000"/>
          <w:spacing w:val="0"/>
          <w:kern w:val="0"/>
          <w:sz w:val="20"/>
          <w:rtl/>
        </w:rPr>
        <w:t xml:space="preserve">جواز سفر </w:t>
      </w:r>
      <w:r w:rsidRPr="00523D40">
        <w:rPr>
          <w:rFonts w:hint="cs"/>
          <w:color w:val="000000"/>
          <w:spacing w:val="0"/>
          <w:kern w:val="0"/>
          <w:sz w:val="20"/>
          <w:rtl/>
        </w:rPr>
        <w:t>ولم تسافر إلى</w:t>
      </w:r>
      <w:r w:rsidRPr="00523D40">
        <w:rPr>
          <w:color w:val="000000"/>
          <w:spacing w:val="0"/>
          <w:kern w:val="0"/>
          <w:sz w:val="20"/>
          <w:rtl/>
        </w:rPr>
        <w:t xml:space="preserve"> الخارج. وذكرت أيضا</w:t>
      </w:r>
      <w:r w:rsidRPr="00523D40">
        <w:rPr>
          <w:rFonts w:hint="cs"/>
          <w:color w:val="000000"/>
          <w:spacing w:val="0"/>
          <w:kern w:val="0"/>
          <w:sz w:val="20"/>
          <w:rtl/>
        </w:rPr>
        <w:t>ً</w:t>
      </w:r>
      <w:r w:rsidRPr="00523D40">
        <w:rPr>
          <w:color w:val="000000"/>
          <w:spacing w:val="0"/>
          <w:kern w:val="0"/>
          <w:sz w:val="20"/>
          <w:rtl/>
        </w:rPr>
        <w:t xml:space="preserve"> أنها لم </w:t>
      </w:r>
      <w:r w:rsidRPr="00523D40">
        <w:rPr>
          <w:rFonts w:hint="cs"/>
          <w:color w:val="000000"/>
          <w:spacing w:val="0"/>
          <w:kern w:val="0"/>
          <w:sz w:val="20"/>
          <w:rtl/>
        </w:rPr>
        <w:t>تنتم قطّ</w:t>
      </w:r>
      <w:r w:rsidRPr="00523D40">
        <w:rPr>
          <w:color w:val="000000"/>
          <w:spacing w:val="0"/>
          <w:kern w:val="0"/>
          <w:sz w:val="20"/>
          <w:rtl/>
        </w:rPr>
        <w:t xml:space="preserve"> إلى</w:t>
      </w:r>
      <w:r w:rsidRPr="00523D40">
        <w:rPr>
          <w:rFonts w:hint="cs"/>
          <w:color w:val="000000"/>
          <w:spacing w:val="0"/>
          <w:kern w:val="0"/>
          <w:sz w:val="20"/>
          <w:rtl/>
        </w:rPr>
        <w:t xml:space="preserve"> أي</w:t>
      </w:r>
      <w:r w:rsidRPr="00523D40">
        <w:rPr>
          <w:color w:val="000000"/>
          <w:spacing w:val="0"/>
          <w:kern w:val="0"/>
          <w:sz w:val="20"/>
          <w:rtl/>
        </w:rPr>
        <w:t xml:space="preserve"> حزب أو منظمة، ولم </w:t>
      </w:r>
      <w:r w:rsidRPr="00523D40">
        <w:rPr>
          <w:rFonts w:hint="cs"/>
          <w:color w:val="000000"/>
          <w:spacing w:val="0"/>
          <w:kern w:val="0"/>
          <w:sz w:val="20"/>
          <w:rtl/>
        </w:rPr>
        <w:t>ت</w:t>
      </w:r>
      <w:r w:rsidRPr="00523D40">
        <w:rPr>
          <w:color w:val="000000"/>
          <w:spacing w:val="0"/>
          <w:kern w:val="0"/>
          <w:sz w:val="20"/>
          <w:rtl/>
        </w:rPr>
        <w:t>تعرض لتهديدات أو مضايقات</w:t>
      </w:r>
      <w:r w:rsidRPr="00523D40">
        <w:rPr>
          <w:rFonts w:hint="cs"/>
          <w:color w:val="000000"/>
          <w:spacing w:val="0"/>
          <w:kern w:val="0"/>
          <w:sz w:val="20"/>
          <w:rtl/>
        </w:rPr>
        <w:t xml:space="preserve"> عدا </w:t>
      </w:r>
      <w:r w:rsidRPr="00523D40">
        <w:rPr>
          <w:color w:val="000000"/>
          <w:spacing w:val="0"/>
          <w:kern w:val="0"/>
          <w:sz w:val="20"/>
          <w:rtl/>
        </w:rPr>
        <w:t>الأحداث التي وقعت عند قتل شقيقها</w:t>
      </w:r>
      <w:r w:rsidRPr="00523D40">
        <w:rPr>
          <w:rFonts w:hint="cs"/>
          <w:color w:val="000000"/>
          <w:spacing w:val="0"/>
          <w:kern w:val="0"/>
          <w:sz w:val="20"/>
          <w:rtl/>
        </w:rPr>
        <w:t>.</w:t>
      </w:r>
    </w:p>
    <w:p w:rsidR="00523D40" w:rsidRPr="00523D40" w:rsidRDefault="00523D40" w:rsidP="00A85948">
      <w:pPr>
        <w:pStyle w:val="SingleTxtGA"/>
        <w:spacing w:line="370" w:lineRule="exact"/>
        <w:jc w:val="lowKashida"/>
        <w:rPr>
          <w:rFonts w:hint="cs"/>
          <w:color w:val="000000"/>
          <w:spacing w:val="0"/>
          <w:kern w:val="0"/>
          <w:sz w:val="20"/>
          <w:rtl/>
        </w:rPr>
      </w:pPr>
      <w:r w:rsidRPr="00523D40">
        <w:rPr>
          <w:color w:val="000000"/>
          <w:spacing w:val="0"/>
          <w:kern w:val="0"/>
          <w:sz w:val="20"/>
          <w:rtl/>
          <w:lang w:val="en-CA"/>
        </w:rPr>
        <w:t>2-4</w:t>
      </w:r>
      <w:r w:rsidRPr="00523D40">
        <w:rPr>
          <w:color w:val="000000"/>
          <w:spacing w:val="0"/>
          <w:kern w:val="0"/>
          <w:sz w:val="20"/>
          <w:rtl/>
          <w:lang w:val="en-CA"/>
        </w:rPr>
        <w:tab/>
      </w:r>
      <w:r w:rsidRPr="00523D40">
        <w:rPr>
          <w:rFonts w:hint="cs"/>
          <w:color w:val="000000"/>
          <w:spacing w:val="0"/>
          <w:kern w:val="0"/>
          <w:sz w:val="20"/>
          <w:rtl/>
        </w:rPr>
        <w:t>و</w:t>
      </w:r>
      <w:r w:rsidRPr="00523D40">
        <w:rPr>
          <w:color w:val="000000"/>
          <w:spacing w:val="0"/>
          <w:kern w:val="0"/>
          <w:sz w:val="20"/>
          <w:rtl/>
        </w:rPr>
        <w:t>في</w:t>
      </w:r>
      <w:r w:rsidRPr="00523D40">
        <w:rPr>
          <w:rFonts w:hint="cs"/>
          <w:color w:val="000000"/>
          <w:spacing w:val="0"/>
          <w:kern w:val="0"/>
          <w:sz w:val="20"/>
          <w:rtl/>
        </w:rPr>
        <w:t xml:space="preserve"> شباط/</w:t>
      </w:r>
      <w:r w:rsidRPr="00523D40">
        <w:rPr>
          <w:color w:val="000000"/>
          <w:spacing w:val="0"/>
          <w:kern w:val="0"/>
          <w:sz w:val="20"/>
          <w:rtl/>
        </w:rPr>
        <w:t xml:space="preserve">فبراير 2008، علم مجلس الهجرة </w:t>
      </w:r>
      <w:r w:rsidRPr="00523D40">
        <w:rPr>
          <w:rFonts w:hint="cs"/>
          <w:color w:val="000000"/>
          <w:spacing w:val="0"/>
          <w:kern w:val="0"/>
          <w:sz w:val="20"/>
          <w:rtl/>
        </w:rPr>
        <w:t>أن سيدة تكاد تتطابق بياناتها مع بيانات صاحبة الشكوى قدمت طلباً ل</w:t>
      </w:r>
      <w:r w:rsidRPr="00523D40">
        <w:rPr>
          <w:color w:val="000000"/>
          <w:spacing w:val="0"/>
          <w:kern w:val="0"/>
          <w:sz w:val="20"/>
          <w:rtl/>
        </w:rPr>
        <w:t>لحصول على تأشيرة إلى السفارة السويدية في الجزائر العاصمة</w:t>
      </w:r>
      <w:r w:rsidRPr="00523D40">
        <w:rPr>
          <w:rFonts w:hint="cs"/>
          <w:color w:val="000000"/>
          <w:spacing w:val="0"/>
          <w:kern w:val="0"/>
          <w:sz w:val="20"/>
          <w:rtl/>
        </w:rPr>
        <w:t xml:space="preserve"> في عام 2006.</w:t>
      </w:r>
      <w:r w:rsidRPr="00523D40">
        <w:rPr>
          <w:color w:val="000000"/>
          <w:spacing w:val="0"/>
          <w:kern w:val="0"/>
          <w:sz w:val="20"/>
          <w:rtl/>
        </w:rPr>
        <w:t xml:space="preserve"> و</w:t>
      </w:r>
      <w:r w:rsidRPr="00523D40">
        <w:rPr>
          <w:rFonts w:hint="cs"/>
          <w:color w:val="000000"/>
          <w:spacing w:val="0"/>
          <w:kern w:val="0"/>
          <w:sz w:val="20"/>
          <w:rtl/>
        </w:rPr>
        <w:t xml:space="preserve">طلب </w:t>
      </w:r>
      <w:r w:rsidRPr="00523D40">
        <w:rPr>
          <w:color w:val="000000"/>
          <w:spacing w:val="0"/>
          <w:kern w:val="0"/>
          <w:sz w:val="20"/>
          <w:rtl/>
        </w:rPr>
        <w:t>مجلس الهجرة</w:t>
      </w:r>
      <w:r w:rsidRPr="00523D40">
        <w:rPr>
          <w:rFonts w:hint="cs"/>
          <w:color w:val="000000"/>
          <w:spacing w:val="0"/>
          <w:kern w:val="0"/>
          <w:sz w:val="20"/>
          <w:rtl/>
        </w:rPr>
        <w:t xml:space="preserve"> إلى السفارة السويدية في الجزائر موافاته</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 xml:space="preserve">جميع الوثائق </w:t>
      </w:r>
      <w:r w:rsidRPr="00523D40">
        <w:rPr>
          <w:rFonts w:hint="cs"/>
          <w:color w:val="000000"/>
          <w:spacing w:val="0"/>
          <w:kern w:val="0"/>
          <w:sz w:val="20"/>
          <w:rtl/>
        </w:rPr>
        <w:t>المتعلقة بهذا الطلب</w:t>
      </w:r>
      <w:r w:rsidRPr="00523D40">
        <w:rPr>
          <w:color w:val="000000"/>
          <w:spacing w:val="0"/>
          <w:kern w:val="0"/>
          <w:sz w:val="20"/>
          <w:rtl/>
        </w:rPr>
        <w:t xml:space="preserve">. </w:t>
      </w:r>
      <w:r w:rsidRPr="00523D40">
        <w:rPr>
          <w:rFonts w:hint="cs"/>
          <w:color w:val="000000"/>
          <w:spacing w:val="0"/>
          <w:kern w:val="0"/>
          <w:sz w:val="20"/>
          <w:rtl/>
        </w:rPr>
        <w:t>وقد قدم هذا</w:t>
      </w:r>
      <w:r w:rsidRPr="00523D40">
        <w:rPr>
          <w:color w:val="000000"/>
          <w:spacing w:val="0"/>
          <w:kern w:val="0"/>
          <w:sz w:val="20"/>
          <w:rtl/>
        </w:rPr>
        <w:t xml:space="preserve"> الطلب </w:t>
      </w:r>
      <w:r w:rsidRPr="00523D40">
        <w:rPr>
          <w:rFonts w:hint="cs"/>
          <w:color w:val="000000"/>
          <w:spacing w:val="0"/>
          <w:kern w:val="0"/>
          <w:sz w:val="20"/>
          <w:rtl/>
        </w:rPr>
        <w:t>ووقعته سيدة تدعى أ. أ. يو.،</w:t>
      </w:r>
      <w:r w:rsidRPr="00523D40">
        <w:rPr>
          <w:color w:val="000000"/>
          <w:spacing w:val="0"/>
          <w:kern w:val="0"/>
          <w:sz w:val="20"/>
          <w:rtl/>
        </w:rPr>
        <w:t xml:space="preserve"> </w:t>
      </w:r>
      <w:r w:rsidRPr="00523D40">
        <w:rPr>
          <w:rFonts w:hint="cs"/>
          <w:color w:val="000000"/>
          <w:spacing w:val="0"/>
          <w:kern w:val="0"/>
          <w:sz w:val="20"/>
          <w:rtl/>
        </w:rPr>
        <w:t>وهي من مواليد</w:t>
      </w:r>
      <w:r w:rsidRPr="00523D40">
        <w:rPr>
          <w:color w:val="000000"/>
          <w:spacing w:val="0"/>
          <w:kern w:val="0"/>
          <w:sz w:val="20"/>
          <w:rtl/>
        </w:rPr>
        <w:t xml:space="preserve"> 3 </w:t>
      </w:r>
      <w:r w:rsidRPr="00523D40">
        <w:rPr>
          <w:rFonts w:hint="cs"/>
          <w:color w:val="000000"/>
          <w:spacing w:val="0"/>
          <w:kern w:val="0"/>
          <w:sz w:val="20"/>
          <w:rtl/>
        </w:rPr>
        <w:t>كانون الأول/</w:t>
      </w:r>
      <w:r w:rsidRPr="00523D40">
        <w:rPr>
          <w:color w:val="000000"/>
          <w:spacing w:val="0"/>
          <w:kern w:val="0"/>
          <w:sz w:val="20"/>
          <w:rtl/>
        </w:rPr>
        <w:t xml:space="preserve">ديسمبر 1982 في بوجمبورا </w:t>
      </w:r>
      <w:r w:rsidRPr="00523D40">
        <w:rPr>
          <w:rFonts w:hint="cs"/>
          <w:color w:val="000000"/>
          <w:spacing w:val="0"/>
          <w:kern w:val="0"/>
          <w:sz w:val="20"/>
          <w:rtl/>
        </w:rPr>
        <w:t>ب</w:t>
      </w:r>
      <w:r w:rsidRPr="00523D40">
        <w:rPr>
          <w:color w:val="000000"/>
          <w:spacing w:val="0"/>
          <w:kern w:val="0"/>
          <w:sz w:val="20"/>
          <w:rtl/>
        </w:rPr>
        <w:t>بوروند</w:t>
      </w:r>
      <w:r w:rsidRPr="00523D40">
        <w:rPr>
          <w:rFonts w:hint="cs"/>
          <w:color w:val="000000"/>
          <w:spacing w:val="0"/>
          <w:kern w:val="0"/>
          <w:sz w:val="20"/>
          <w:rtl/>
        </w:rPr>
        <w:t>ي.</w:t>
      </w:r>
      <w:r w:rsidRPr="00523D40">
        <w:rPr>
          <w:color w:val="000000"/>
          <w:spacing w:val="0"/>
          <w:kern w:val="0"/>
          <w:sz w:val="20"/>
          <w:rtl/>
        </w:rPr>
        <w:t xml:space="preserve"> </w:t>
      </w:r>
      <w:r w:rsidRPr="00523D40">
        <w:rPr>
          <w:rFonts w:hint="cs"/>
          <w:color w:val="000000"/>
          <w:spacing w:val="0"/>
          <w:kern w:val="0"/>
          <w:sz w:val="20"/>
          <w:rtl/>
        </w:rPr>
        <w:t>ووُقّع على</w:t>
      </w:r>
      <w:r w:rsidRPr="00523D40">
        <w:rPr>
          <w:color w:val="000000"/>
          <w:spacing w:val="0"/>
          <w:kern w:val="0"/>
          <w:sz w:val="20"/>
          <w:rtl/>
        </w:rPr>
        <w:t xml:space="preserve"> الطلب في 16 </w:t>
      </w:r>
      <w:r w:rsidRPr="00523D40">
        <w:rPr>
          <w:rFonts w:hint="cs"/>
          <w:color w:val="000000"/>
          <w:spacing w:val="0"/>
          <w:kern w:val="0"/>
          <w:sz w:val="20"/>
          <w:rtl/>
        </w:rPr>
        <w:t>تموز/   يوليه</w:t>
      </w:r>
      <w:r w:rsidRPr="00523D40">
        <w:rPr>
          <w:color w:val="000000"/>
          <w:spacing w:val="0"/>
          <w:kern w:val="0"/>
          <w:sz w:val="20"/>
          <w:rtl/>
        </w:rPr>
        <w:t xml:space="preserve"> 2006 في الجزائر العاصمة</w:t>
      </w:r>
      <w:r w:rsidRPr="00523D40">
        <w:rPr>
          <w:rFonts w:hint="cs"/>
          <w:color w:val="000000"/>
          <w:spacing w:val="0"/>
          <w:kern w:val="0"/>
          <w:sz w:val="20"/>
          <w:rtl/>
        </w:rPr>
        <w:t>،</w:t>
      </w:r>
      <w:r w:rsidRPr="00523D40">
        <w:rPr>
          <w:color w:val="000000"/>
          <w:spacing w:val="0"/>
          <w:kern w:val="0"/>
          <w:sz w:val="20"/>
          <w:rtl/>
        </w:rPr>
        <w:t xml:space="preserve"> و</w:t>
      </w:r>
      <w:r w:rsidRPr="00523D40">
        <w:rPr>
          <w:rFonts w:hint="cs"/>
          <w:color w:val="000000"/>
          <w:spacing w:val="0"/>
          <w:kern w:val="0"/>
          <w:sz w:val="20"/>
          <w:rtl/>
        </w:rPr>
        <w:t xml:space="preserve">ذكرت </w:t>
      </w:r>
      <w:r w:rsidRPr="00523D40">
        <w:rPr>
          <w:color w:val="000000"/>
          <w:spacing w:val="0"/>
          <w:kern w:val="0"/>
          <w:sz w:val="20"/>
          <w:rtl/>
        </w:rPr>
        <w:t>مقدم</w:t>
      </w:r>
      <w:r w:rsidRPr="00523D40">
        <w:rPr>
          <w:rFonts w:hint="cs"/>
          <w:color w:val="000000"/>
          <w:spacing w:val="0"/>
          <w:kern w:val="0"/>
          <w:sz w:val="20"/>
          <w:rtl/>
        </w:rPr>
        <w:t>ة</w:t>
      </w:r>
      <w:r w:rsidRPr="00523D40">
        <w:rPr>
          <w:color w:val="000000"/>
          <w:spacing w:val="0"/>
          <w:kern w:val="0"/>
          <w:sz w:val="20"/>
          <w:rtl/>
        </w:rPr>
        <w:t xml:space="preserve"> الطلب </w:t>
      </w:r>
      <w:r w:rsidRPr="00523D40">
        <w:rPr>
          <w:rFonts w:hint="cs"/>
          <w:color w:val="000000"/>
          <w:spacing w:val="0"/>
          <w:kern w:val="0"/>
          <w:sz w:val="20"/>
          <w:rtl/>
        </w:rPr>
        <w:t>أن الغرض من</w:t>
      </w:r>
      <w:r w:rsidRPr="00523D40">
        <w:rPr>
          <w:color w:val="000000"/>
          <w:spacing w:val="0"/>
          <w:kern w:val="0"/>
          <w:sz w:val="20"/>
          <w:rtl/>
        </w:rPr>
        <w:t xml:space="preserve"> </w:t>
      </w:r>
      <w:r w:rsidRPr="00523D40">
        <w:rPr>
          <w:rFonts w:hint="cs"/>
          <w:color w:val="000000"/>
          <w:spacing w:val="0"/>
          <w:kern w:val="0"/>
          <w:sz w:val="20"/>
          <w:rtl/>
        </w:rPr>
        <w:t>ذهابها إلى</w:t>
      </w:r>
      <w:r w:rsidRPr="00523D40">
        <w:rPr>
          <w:color w:val="000000"/>
          <w:spacing w:val="0"/>
          <w:kern w:val="0"/>
          <w:sz w:val="20"/>
          <w:rtl/>
        </w:rPr>
        <w:t xml:space="preserve"> السويد </w:t>
      </w:r>
      <w:r w:rsidRPr="00523D40">
        <w:rPr>
          <w:rFonts w:hint="cs"/>
          <w:color w:val="000000"/>
          <w:spacing w:val="0"/>
          <w:kern w:val="0"/>
          <w:sz w:val="20"/>
          <w:rtl/>
        </w:rPr>
        <w:t>هو</w:t>
      </w:r>
      <w:r w:rsidRPr="00523D40">
        <w:rPr>
          <w:color w:val="000000"/>
          <w:spacing w:val="0"/>
          <w:kern w:val="0"/>
          <w:sz w:val="20"/>
          <w:rtl/>
        </w:rPr>
        <w:t xml:space="preserve"> زيارة أحد الأصدقاء، واستكشاف إمكانية </w:t>
      </w:r>
      <w:r w:rsidRPr="00523D40">
        <w:rPr>
          <w:rFonts w:hint="cs"/>
          <w:color w:val="000000"/>
          <w:spacing w:val="0"/>
          <w:kern w:val="0"/>
          <w:sz w:val="20"/>
          <w:rtl/>
        </w:rPr>
        <w:t>مواصلة الدراسة</w:t>
      </w:r>
      <w:r w:rsidRPr="00523D40">
        <w:rPr>
          <w:color w:val="000000"/>
          <w:spacing w:val="0"/>
          <w:kern w:val="0"/>
          <w:sz w:val="20"/>
          <w:rtl/>
        </w:rPr>
        <w:t xml:space="preserve">. </w:t>
      </w:r>
      <w:r w:rsidRPr="00523D40">
        <w:rPr>
          <w:rFonts w:hint="cs"/>
          <w:color w:val="000000"/>
          <w:spacing w:val="0"/>
          <w:kern w:val="0"/>
          <w:sz w:val="20"/>
          <w:rtl/>
        </w:rPr>
        <w:t>وأفادت كل من</w:t>
      </w:r>
      <w:r w:rsidRPr="00523D40">
        <w:rPr>
          <w:color w:val="000000"/>
          <w:spacing w:val="0"/>
          <w:kern w:val="0"/>
          <w:sz w:val="20"/>
          <w:rtl/>
        </w:rPr>
        <w:t xml:space="preserve"> مقدم</w:t>
      </w:r>
      <w:r w:rsidRPr="00523D40">
        <w:rPr>
          <w:rFonts w:hint="cs"/>
          <w:color w:val="000000"/>
          <w:spacing w:val="0"/>
          <w:kern w:val="0"/>
          <w:sz w:val="20"/>
          <w:rtl/>
        </w:rPr>
        <w:t>ة</w:t>
      </w:r>
      <w:r w:rsidRPr="00523D40">
        <w:rPr>
          <w:color w:val="000000"/>
          <w:spacing w:val="0"/>
          <w:kern w:val="0"/>
          <w:sz w:val="20"/>
          <w:rtl/>
        </w:rPr>
        <w:t xml:space="preserve"> الطلب والصديق، الذي </w:t>
      </w:r>
      <w:r w:rsidRPr="00523D40">
        <w:rPr>
          <w:rFonts w:hint="cs"/>
          <w:color w:val="000000"/>
          <w:spacing w:val="0"/>
          <w:kern w:val="0"/>
          <w:sz w:val="20"/>
          <w:rtl/>
        </w:rPr>
        <w:t>يمثل</w:t>
      </w:r>
      <w:r w:rsidRPr="00523D40">
        <w:rPr>
          <w:color w:val="000000"/>
          <w:spacing w:val="0"/>
          <w:kern w:val="0"/>
          <w:sz w:val="20"/>
          <w:rtl/>
        </w:rPr>
        <w:t xml:space="preserve"> أيضا</w:t>
      </w:r>
      <w:r w:rsidRPr="00523D40">
        <w:rPr>
          <w:rFonts w:hint="cs"/>
          <w:color w:val="000000"/>
          <w:spacing w:val="0"/>
          <w:kern w:val="0"/>
          <w:sz w:val="20"/>
          <w:rtl/>
        </w:rPr>
        <w:t>ً</w:t>
      </w:r>
      <w:r w:rsidRPr="00523D40">
        <w:rPr>
          <w:color w:val="000000"/>
          <w:spacing w:val="0"/>
          <w:kern w:val="0"/>
          <w:sz w:val="20"/>
          <w:rtl/>
        </w:rPr>
        <w:t xml:space="preserve"> الشخص </w:t>
      </w:r>
      <w:r w:rsidRPr="00523D40">
        <w:rPr>
          <w:rFonts w:hint="cs"/>
          <w:color w:val="000000"/>
          <w:spacing w:val="0"/>
          <w:kern w:val="0"/>
          <w:sz w:val="20"/>
          <w:rtl/>
        </w:rPr>
        <w:t>المذكور</w:t>
      </w:r>
      <w:r w:rsidRPr="00523D40">
        <w:rPr>
          <w:color w:val="000000"/>
          <w:spacing w:val="0"/>
          <w:kern w:val="0"/>
          <w:sz w:val="20"/>
          <w:rtl/>
        </w:rPr>
        <w:t xml:space="preserve"> في ال</w:t>
      </w:r>
      <w:r w:rsidRPr="00523D40">
        <w:rPr>
          <w:rFonts w:hint="cs"/>
          <w:color w:val="000000"/>
          <w:spacing w:val="0"/>
          <w:kern w:val="0"/>
          <w:sz w:val="20"/>
          <w:rtl/>
        </w:rPr>
        <w:t>طلب الذي يمكن الرجوع إليه بشأنها</w:t>
      </w:r>
      <w:r w:rsidRPr="00523D40">
        <w:rPr>
          <w:color w:val="000000"/>
          <w:spacing w:val="0"/>
          <w:kern w:val="0"/>
          <w:sz w:val="20"/>
          <w:rtl/>
        </w:rPr>
        <w:t xml:space="preserve">، </w:t>
      </w:r>
      <w:r w:rsidRPr="00523D40">
        <w:rPr>
          <w:rFonts w:hint="cs"/>
          <w:color w:val="000000"/>
          <w:spacing w:val="0"/>
          <w:kern w:val="0"/>
          <w:sz w:val="20"/>
          <w:rtl/>
        </w:rPr>
        <w:t>بأنهما تعرفا على بعضهما البعض</w:t>
      </w:r>
      <w:r w:rsidRPr="00523D40">
        <w:rPr>
          <w:color w:val="000000"/>
          <w:spacing w:val="0"/>
          <w:kern w:val="0"/>
          <w:sz w:val="20"/>
          <w:rtl/>
        </w:rPr>
        <w:t xml:space="preserve"> في النيجر في الفترة 2002-2003</w:t>
      </w:r>
      <w:r w:rsidRPr="00523D40">
        <w:rPr>
          <w:rFonts w:hint="cs"/>
          <w:color w:val="000000"/>
          <w:spacing w:val="0"/>
          <w:kern w:val="0"/>
          <w:sz w:val="20"/>
          <w:rtl/>
        </w:rPr>
        <w:t xml:space="preserve">، وهي الفترة التي كانت </w:t>
      </w:r>
      <w:r w:rsidRPr="00523D40">
        <w:rPr>
          <w:color w:val="000000"/>
          <w:spacing w:val="0"/>
          <w:kern w:val="0"/>
          <w:sz w:val="20"/>
          <w:rtl/>
        </w:rPr>
        <w:t>مقدم</w:t>
      </w:r>
      <w:r w:rsidRPr="00523D40">
        <w:rPr>
          <w:rFonts w:hint="cs"/>
          <w:color w:val="000000"/>
          <w:spacing w:val="0"/>
          <w:kern w:val="0"/>
          <w:sz w:val="20"/>
          <w:rtl/>
        </w:rPr>
        <w:t>ة</w:t>
      </w:r>
      <w:r w:rsidRPr="00523D40">
        <w:rPr>
          <w:color w:val="000000"/>
          <w:spacing w:val="0"/>
          <w:kern w:val="0"/>
          <w:sz w:val="20"/>
          <w:rtl/>
        </w:rPr>
        <w:t xml:space="preserve"> الطلب</w:t>
      </w:r>
      <w:r w:rsidRPr="00523D40">
        <w:rPr>
          <w:rFonts w:hint="cs"/>
          <w:color w:val="000000"/>
          <w:spacing w:val="0"/>
          <w:kern w:val="0"/>
          <w:sz w:val="20"/>
          <w:rtl/>
        </w:rPr>
        <w:t xml:space="preserve"> تعمل فيها في هذا البلد</w:t>
      </w:r>
      <w:r w:rsidRPr="00523D40">
        <w:rPr>
          <w:color w:val="000000"/>
          <w:spacing w:val="0"/>
          <w:kern w:val="0"/>
          <w:sz w:val="20"/>
          <w:rtl/>
        </w:rPr>
        <w:t xml:space="preserve">. </w:t>
      </w:r>
      <w:r w:rsidRPr="00523D40">
        <w:rPr>
          <w:rFonts w:hint="cs"/>
          <w:color w:val="000000"/>
          <w:spacing w:val="0"/>
          <w:kern w:val="0"/>
          <w:sz w:val="20"/>
          <w:rtl/>
        </w:rPr>
        <w:t>وأفاد الصديق أيضاً</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أن مقدم</w:t>
      </w:r>
      <w:r w:rsidRPr="00523D40">
        <w:rPr>
          <w:rFonts w:hint="cs"/>
          <w:color w:val="000000"/>
          <w:spacing w:val="0"/>
          <w:kern w:val="0"/>
          <w:sz w:val="20"/>
          <w:rtl/>
        </w:rPr>
        <w:t>ة</w:t>
      </w:r>
      <w:r w:rsidRPr="00523D40">
        <w:rPr>
          <w:color w:val="000000"/>
          <w:spacing w:val="0"/>
          <w:kern w:val="0"/>
          <w:sz w:val="20"/>
          <w:rtl/>
        </w:rPr>
        <w:t xml:space="preserve"> الطلب </w:t>
      </w:r>
      <w:r w:rsidRPr="00523D40">
        <w:rPr>
          <w:rFonts w:hint="cs"/>
          <w:color w:val="000000"/>
          <w:spacing w:val="0"/>
          <w:kern w:val="0"/>
          <w:sz w:val="20"/>
          <w:rtl/>
        </w:rPr>
        <w:t>ت</w:t>
      </w:r>
      <w:r w:rsidRPr="00523D40">
        <w:rPr>
          <w:color w:val="000000"/>
          <w:spacing w:val="0"/>
          <w:kern w:val="0"/>
          <w:sz w:val="20"/>
          <w:rtl/>
        </w:rPr>
        <w:t xml:space="preserve">عتزم </w:t>
      </w:r>
      <w:r w:rsidRPr="00523D40">
        <w:rPr>
          <w:rFonts w:hint="cs"/>
          <w:color w:val="000000"/>
          <w:spacing w:val="0"/>
          <w:kern w:val="0"/>
          <w:sz w:val="20"/>
          <w:rtl/>
        </w:rPr>
        <w:t>الذهاب</w:t>
      </w:r>
      <w:r w:rsidRPr="00523D40">
        <w:rPr>
          <w:color w:val="000000"/>
          <w:spacing w:val="0"/>
          <w:kern w:val="0"/>
          <w:sz w:val="20"/>
          <w:rtl/>
        </w:rPr>
        <w:t xml:space="preserve"> </w:t>
      </w:r>
      <w:r w:rsidRPr="00523D40">
        <w:rPr>
          <w:rFonts w:hint="cs"/>
          <w:color w:val="000000"/>
          <w:spacing w:val="0"/>
          <w:kern w:val="0"/>
          <w:sz w:val="20"/>
          <w:rtl/>
        </w:rPr>
        <w:t>إلى</w:t>
      </w:r>
      <w:r w:rsidRPr="00523D40">
        <w:rPr>
          <w:color w:val="000000"/>
          <w:spacing w:val="0"/>
          <w:kern w:val="0"/>
          <w:sz w:val="20"/>
          <w:rtl/>
        </w:rPr>
        <w:t xml:space="preserve"> النيجر بعد زيارة السويد. </w:t>
      </w:r>
      <w:r w:rsidRPr="00523D40">
        <w:rPr>
          <w:rFonts w:hint="cs"/>
          <w:color w:val="000000"/>
          <w:spacing w:val="0"/>
          <w:kern w:val="0"/>
          <w:sz w:val="20"/>
          <w:rtl/>
        </w:rPr>
        <w:t>و</w:t>
      </w:r>
      <w:r w:rsidRPr="00523D40">
        <w:rPr>
          <w:color w:val="000000"/>
          <w:spacing w:val="0"/>
          <w:kern w:val="0"/>
          <w:sz w:val="20"/>
          <w:rtl/>
        </w:rPr>
        <w:t>ذكر</w:t>
      </w:r>
      <w:r w:rsidRPr="00523D40">
        <w:rPr>
          <w:rFonts w:hint="cs"/>
          <w:color w:val="000000"/>
          <w:spacing w:val="0"/>
          <w:kern w:val="0"/>
          <w:sz w:val="20"/>
          <w:rtl/>
        </w:rPr>
        <w:t>ت مقدمة الطلب أيضاً أنها</w:t>
      </w:r>
      <w:r w:rsidRPr="00523D40">
        <w:rPr>
          <w:color w:val="000000"/>
          <w:spacing w:val="0"/>
          <w:kern w:val="0"/>
          <w:sz w:val="20"/>
          <w:rtl/>
        </w:rPr>
        <w:t xml:space="preserve"> كانت طالبة </w:t>
      </w:r>
      <w:r w:rsidRPr="00523D40">
        <w:rPr>
          <w:rFonts w:hint="cs"/>
          <w:color w:val="000000"/>
          <w:spacing w:val="0"/>
          <w:kern w:val="0"/>
          <w:sz w:val="20"/>
          <w:rtl/>
        </w:rPr>
        <w:t>في جامعة الجزائر</w:t>
      </w:r>
      <w:r w:rsidRPr="00523D40">
        <w:rPr>
          <w:color w:val="000000"/>
          <w:spacing w:val="0"/>
          <w:kern w:val="0"/>
          <w:sz w:val="20"/>
          <w:rtl/>
        </w:rPr>
        <w:t xml:space="preserve">، وهو ما أكده صديقها، </w:t>
      </w:r>
      <w:r w:rsidRPr="00523D40">
        <w:rPr>
          <w:rFonts w:hint="cs"/>
          <w:color w:val="000000"/>
          <w:spacing w:val="0"/>
          <w:kern w:val="0"/>
          <w:sz w:val="20"/>
          <w:rtl/>
        </w:rPr>
        <w:t>وقدمت عنوان إقامتها</w:t>
      </w:r>
      <w:r w:rsidRPr="00523D40">
        <w:rPr>
          <w:color w:val="000000"/>
          <w:spacing w:val="0"/>
          <w:kern w:val="0"/>
          <w:sz w:val="20"/>
          <w:rtl/>
        </w:rPr>
        <w:t xml:space="preserve"> في الجزائر العاصمة. وذكرت أيضا</w:t>
      </w:r>
      <w:r w:rsidRPr="00523D40">
        <w:rPr>
          <w:rFonts w:hint="cs"/>
          <w:color w:val="000000"/>
          <w:spacing w:val="0"/>
          <w:kern w:val="0"/>
          <w:sz w:val="20"/>
          <w:rtl/>
        </w:rPr>
        <w:t>ً</w:t>
      </w:r>
      <w:r w:rsidRPr="00523D40">
        <w:rPr>
          <w:color w:val="000000"/>
          <w:spacing w:val="0"/>
          <w:kern w:val="0"/>
          <w:sz w:val="20"/>
          <w:rtl/>
        </w:rPr>
        <w:t xml:space="preserve"> أنها </w:t>
      </w:r>
      <w:r w:rsidRPr="00523D40">
        <w:rPr>
          <w:rFonts w:hint="cs"/>
          <w:color w:val="000000"/>
          <w:spacing w:val="0"/>
          <w:kern w:val="0"/>
          <w:sz w:val="20"/>
          <w:rtl/>
        </w:rPr>
        <w:t>تمتلك</w:t>
      </w:r>
      <w:r w:rsidRPr="00523D40">
        <w:rPr>
          <w:color w:val="000000"/>
          <w:spacing w:val="0"/>
          <w:kern w:val="0"/>
          <w:sz w:val="20"/>
          <w:rtl/>
        </w:rPr>
        <w:t xml:space="preserve"> تأمين</w:t>
      </w:r>
      <w:r w:rsidRPr="00523D40">
        <w:rPr>
          <w:rFonts w:hint="cs"/>
          <w:color w:val="000000"/>
          <w:spacing w:val="0"/>
          <w:kern w:val="0"/>
          <w:sz w:val="20"/>
          <w:rtl/>
        </w:rPr>
        <w:t>اً على</w:t>
      </w:r>
      <w:r w:rsidRPr="00523D40">
        <w:rPr>
          <w:color w:val="000000"/>
          <w:spacing w:val="0"/>
          <w:kern w:val="0"/>
          <w:sz w:val="20"/>
          <w:rtl/>
        </w:rPr>
        <w:t xml:space="preserve"> السفر </w:t>
      </w:r>
      <w:r w:rsidRPr="00523D40">
        <w:rPr>
          <w:rFonts w:hint="cs"/>
          <w:color w:val="000000"/>
          <w:spacing w:val="0"/>
          <w:kern w:val="0"/>
          <w:sz w:val="20"/>
          <w:rtl/>
        </w:rPr>
        <w:t>وتأميناً صحياً في الجزائر</w:t>
      </w:r>
      <w:r w:rsidRPr="00523D40">
        <w:rPr>
          <w:color w:val="000000"/>
          <w:spacing w:val="0"/>
          <w:kern w:val="0"/>
          <w:sz w:val="20"/>
          <w:rtl/>
        </w:rPr>
        <w:t xml:space="preserve"> </w:t>
      </w:r>
      <w:r w:rsidRPr="00523D40">
        <w:rPr>
          <w:rFonts w:hint="cs"/>
          <w:color w:val="000000"/>
          <w:spacing w:val="0"/>
          <w:kern w:val="0"/>
          <w:sz w:val="20"/>
          <w:rtl/>
        </w:rPr>
        <w:t>لأغراض السفر يغطيان الرحلة</w:t>
      </w:r>
      <w:r w:rsidRPr="00523D40">
        <w:rPr>
          <w:color w:val="000000"/>
          <w:spacing w:val="0"/>
          <w:kern w:val="0"/>
          <w:sz w:val="20"/>
          <w:rtl/>
        </w:rPr>
        <w:t xml:space="preserve">. </w:t>
      </w:r>
      <w:r w:rsidRPr="00523D40">
        <w:rPr>
          <w:rFonts w:hint="cs"/>
          <w:color w:val="000000"/>
          <w:spacing w:val="0"/>
          <w:kern w:val="0"/>
          <w:sz w:val="20"/>
          <w:rtl/>
        </w:rPr>
        <w:t xml:space="preserve">وكانت مقدمة الطلب تنفق على نفسها </w:t>
      </w:r>
      <w:r w:rsidRPr="00523D40">
        <w:rPr>
          <w:color w:val="000000"/>
          <w:spacing w:val="0"/>
          <w:kern w:val="0"/>
          <w:sz w:val="20"/>
          <w:rtl/>
        </w:rPr>
        <w:t xml:space="preserve">من خلال </w:t>
      </w:r>
      <w:r w:rsidRPr="00523D40">
        <w:rPr>
          <w:rFonts w:hint="cs"/>
          <w:color w:val="000000"/>
          <w:spacing w:val="0"/>
          <w:kern w:val="0"/>
          <w:sz w:val="20"/>
          <w:rtl/>
        </w:rPr>
        <w:t xml:space="preserve">البدلات الدراسية </w:t>
      </w:r>
      <w:r w:rsidRPr="00523D40">
        <w:rPr>
          <w:color w:val="000000"/>
          <w:spacing w:val="0"/>
          <w:kern w:val="0"/>
          <w:sz w:val="20"/>
          <w:rtl/>
        </w:rPr>
        <w:t xml:space="preserve">والدعم الاقتصادي </w:t>
      </w:r>
      <w:r w:rsidRPr="00523D40">
        <w:rPr>
          <w:rFonts w:hint="cs"/>
          <w:color w:val="000000"/>
          <w:spacing w:val="0"/>
          <w:kern w:val="0"/>
          <w:sz w:val="20"/>
          <w:rtl/>
        </w:rPr>
        <w:t>الذي تحصل عليه من أسرتها.</w:t>
      </w:r>
    </w:p>
    <w:p w:rsidR="00523D40" w:rsidRPr="00523D40" w:rsidRDefault="00523D40" w:rsidP="00523D40">
      <w:pPr>
        <w:pStyle w:val="SingleTxtGA"/>
        <w:jc w:val="lowKashida"/>
        <w:rPr>
          <w:rFonts w:hint="cs"/>
          <w:b/>
          <w:bCs/>
          <w:color w:val="000000"/>
          <w:spacing w:val="0"/>
          <w:kern w:val="0"/>
          <w:sz w:val="20"/>
          <w:rtl/>
        </w:rPr>
      </w:pPr>
      <w:r w:rsidRPr="00523D40">
        <w:rPr>
          <w:color w:val="000000"/>
          <w:spacing w:val="0"/>
          <w:kern w:val="0"/>
          <w:sz w:val="20"/>
          <w:rtl/>
          <w:lang w:val="en-CA"/>
        </w:rPr>
        <w:t>2-5</w:t>
      </w:r>
      <w:r w:rsidRPr="00523D40">
        <w:rPr>
          <w:color w:val="000000"/>
          <w:spacing w:val="0"/>
          <w:kern w:val="0"/>
          <w:sz w:val="20"/>
          <w:rtl/>
          <w:lang w:val="en-CA"/>
        </w:rPr>
        <w:tab/>
      </w:r>
      <w:r w:rsidRPr="00523D40">
        <w:rPr>
          <w:rFonts w:hint="cs"/>
          <w:color w:val="000000"/>
          <w:spacing w:val="0"/>
          <w:kern w:val="0"/>
          <w:sz w:val="20"/>
          <w:rtl/>
        </w:rPr>
        <w:t>وتحت الفرع المخصص في الطلب للبيانات الشخصية المتعلقة بالوالدين والإخوة/الأخوات، ذكرت مقدمة</w:t>
      </w:r>
      <w:r w:rsidRPr="00523D40">
        <w:rPr>
          <w:color w:val="000000"/>
          <w:spacing w:val="0"/>
          <w:kern w:val="0"/>
          <w:sz w:val="20"/>
          <w:rtl/>
        </w:rPr>
        <w:t xml:space="preserve"> الطلب أن اسم والدها </w:t>
      </w:r>
      <w:r w:rsidRPr="00523D40">
        <w:rPr>
          <w:rFonts w:hint="cs"/>
          <w:color w:val="000000"/>
          <w:spacing w:val="0"/>
          <w:kern w:val="0"/>
          <w:sz w:val="20"/>
          <w:rtl/>
        </w:rPr>
        <w:t>هو إ. ب. واسم أمها هو ب. ن.، وأنهما يعيشاً معاً بمنطقة روهيرو في بوجمبورا.</w:t>
      </w:r>
      <w:r w:rsidRPr="00523D40">
        <w:rPr>
          <w:color w:val="000000"/>
          <w:spacing w:val="0"/>
          <w:kern w:val="0"/>
          <w:sz w:val="20"/>
          <w:rtl/>
        </w:rPr>
        <w:t xml:space="preserve"> </w:t>
      </w:r>
      <w:r w:rsidRPr="00523D40">
        <w:rPr>
          <w:rFonts w:hint="cs"/>
          <w:color w:val="000000"/>
          <w:spacing w:val="0"/>
          <w:kern w:val="0"/>
          <w:sz w:val="20"/>
          <w:rtl/>
        </w:rPr>
        <w:t>وأفادت مقدمة الطلب</w:t>
      </w:r>
      <w:r w:rsidRPr="00523D40">
        <w:rPr>
          <w:color w:val="000000"/>
          <w:spacing w:val="0"/>
          <w:kern w:val="0"/>
          <w:sz w:val="20"/>
          <w:rtl/>
        </w:rPr>
        <w:t xml:space="preserve"> </w:t>
      </w:r>
      <w:r w:rsidRPr="00523D40">
        <w:rPr>
          <w:rFonts w:hint="cs"/>
          <w:color w:val="000000"/>
          <w:spacing w:val="0"/>
          <w:kern w:val="0"/>
          <w:sz w:val="20"/>
          <w:rtl/>
        </w:rPr>
        <w:t>كذلك بأن لها أختين وأخ أصغر. وذكرت علاوة على ذلك أن معها جواز سفر وطنياً وأنه قد سبق لها زيارة</w:t>
      </w:r>
      <w:r w:rsidRPr="00523D40">
        <w:rPr>
          <w:color w:val="000000"/>
          <w:spacing w:val="0"/>
          <w:kern w:val="0"/>
          <w:sz w:val="20"/>
          <w:rtl/>
        </w:rPr>
        <w:t xml:space="preserve"> فرنسا</w:t>
      </w:r>
      <w:r w:rsidRPr="00523D40">
        <w:rPr>
          <w:rFonts w:hint="cs"/>
          <w:color w:val="000000"/>
          <w:spacing w:val="0"/>
          <w:kern w:val="0"/>
          <w:sz w:val="20"/>
          <w:rtl/>
        </w:rPr>
        <w:t xml:space="preserve"> ثلاث مرات في الفترة ما</w:t>
      </w:r>
      <w:r w:rsidRPr="00523D40">
        <w:rPr>
          <w:color w:val="000000"/>
          <w:spacing w:val="0"/>
          <w:kern w:val="0"/>
          <w:sz w:val="20"/>
          <w:rtl/>
        </w:rPr>
        <w:t xml:space="preserve"> بين </w:t>
      </w:r>
      <w:r w:rsidRPr="00523D40">
        <w:rPr>
          <w:rFonts w:hint="cs"/>
          <w:color w:val="000000"/>
          <w:spacing w:val="0"/>
          <w:kern w:val="0"/>
          <w:sz w:val="20"/>
          <w:rtl/>
        </w:rPr>
        <w:t>تموز/يوليه</w:t>
      </w:r>
      <w:r w:rsidRPr="00523D40">
        <w:rPr>
          <w:color w:val="000000"/>
          <w:spacing w:val="0"/>
          <w:kern w:val="0"/>
          <w:sz w:val="20"/>
          <w:rtl/>
        </w:rPr>
        <w:t xml:space="preserve"> 2003 و</w:t>
      </w:r>
      <w:r w:rsidRPr="00523D40">
        <w:rPr>
          <w:rFonts w:hint="cs"/>
          <w:color w:val="000000"/>
          <w:spacing w:val="0"/>
          <w:kern w:val="0"/>
          <w:sz w:val="20"/>
          <w:rtl/>
        </w:rPr>
        <w:t>تشرين الأول/</w:t>
      </w:r>
      <w:r w:rsidRPr="00523D40">
        <w:rPr>
          <w:color w:val="000000"/>
          <w:spacing w:val="0"/>
          <w:kern w:val="0"/>
          <w:sz w:val="20"/>
          <w:rtl/>
        </w:rPr>
        <w:t xml:space="preserve">أكتوبر </w:t>
      </w:r>
      <w:r w:rsidRPr="00523D40">
        <w:rPr>
          <w:rFonts w:hint="cs"/>
          <w:color w:val="000000"/>
          <w:spacing w:val="0"/>
          <w:kern w:val="0"/>
          <w:sz w:val="20"/>
          <w:rtl/>
        </w:rPr>
        <w:t xml:space="preserve">2005. </w:t>
      </w:r>
      <w:r w:rsidRPr="00523D40">
        <w:rPr>
          <w:color w:val="000000"/>
          <w:spacing w:val="0"/>
          <w:kern w:val="0"/>
          <w:sz w:val="20"/>
          <w:rtl/>
        </w:rPr>
        <w:t xml:space="preserve">وقد </w:t>
      </w:r>
      <w:r w:rsidRPr="00523D40">
        <w:rPr>
          <w:rFonts w:hint="cs"/>
          <w:color w:val="000000"/>
          <w:spacing w:val="0"/>
          <w:kern w:val="0"/>
          <w:sz w:val="20"/>
          <w:rtl/>
        </w:rPr>
        <w:t>أكدت</w:t>
      </w:r>
      <w:r w:rsidRPr="00523D40">
        <w:rPr>
          <w:color w:val="000000"/>
          <w:spacing w:val="0"/>
          <w:kern w:val="0"/>
          <w:sz w:val="20"/>
          <w:rtl/>
        </w:rPr>
        <w:t xml:space="preserve"> هذه المعلومات الواردة في استمارة الطلب </w:t>
      </w:r>
      <w:r w:rsidRPr="00523D40">
        <w:rPr>
          <w:rFonts w:hint="cs"/>
          <w:color w:val="000000"/>
          <w:spacing w:val="0"/>
          <w:kern w:val="0"/>
          <w:sz w:val="20"/>
          <w:rtl/>
        </w:rPr>
        <w:t>ال</w:t>
      </w:r>
      <w:r w:rsidRPr="00523D40">
        <w:rPr>
          <w:color w:val="000000"/>
          <w:spacing w:val="0"/>
          <w:kern w:val="0"/>
          <w:sz w:val="20"/>
          <w:rtl/>
        </w:rPr>
        <w:t xml:space="preserve">نسخ </w:t>
      </w:r>
      <w:r w:rsidRPr="00523D40">
        <w:rPr>
          <w:rFonts w:hint="cs"/>
          <w:color w:val="000000"/>
          <w:spacing w:val="0"/>
          <w:kern w:val="0"/>
          <w:sz w:val="20"/>
          <w:rtl/>
        </w:rPr>
        <w:t xml:space="preserve">المرفقة </w:t>
      </w:r>
      <w:r w:rsidRPr="00523D40">
        <w:rPr>
          <w:color w:val="000000"/>
          <w:spacing w:val="0"/>
          <w:kern w:val="0"/>
          <w:sz w:val="20"/>
          <w:rtl/>
        </w:rPr>
        <w:t xml:space="preserve">من جواز السفر </w:t>
      </w:r>
      <w:r w:rsidRPr="00523D40">
        <w:rPr>
          <w:rFonts w:hint="cs"/>
          <w:color w:val="000000"/>
          <w:spacing w:val="0"/>
          <w:kern w:val="0"/>
          <w:sz w:val="20"/>
          <w:rtl/>
        </w:rPr>
        <w:t>ال</w:t>
      </w:r>
      <w:r w:rsidRPr="00523D40">
        <w:rPr>
          <w:color w:val="000000"/>
          <w:spacing w:val="0"/>
          <w:kern w:val="0"/>
          <w:sz w:val="20"/>
          <w:rtl/>
        </w:rPr>
        <w:t xml:space="preserve">بوروندي، </w:t>
      </w:r>
      <w:r w:rsidRPr="00523D40">
        <w:rPr>
          <w:rFonts w:hint="cs"/>
          <w:color w:val="000000"/>
          <w:spacing w:val="0"/>
          <w:kern w:val="0"/>
          <w:sz w:val="20"/>
          <w:rtl/>
        </w:rPr>
        <w:t>وهو الوثيقة التي جرى تجديدها</w:t>
      </w:r>
      <w:r w:rsidRPr="00523D40">
        <w:rPr>
          <w:color w:val="000000"/>
          <w:spacing w:val="0"/>
          <w:kern w:val="0"/>
          <w:sz w:val="20"/>
          <w:rtl/>
        </w:rPr>
        <w:t xml:space="preserve"> في السفارة البوروندية </w:t>
      </w:r>
      <w:r w:rsidRPr="00523D40">
        <w:rPr>
          <w:rFonts w:hint="cs"/>
          <w:color w:val="000000"/>
          <w:spacing w:val="0"/>
          <w:kern w:val="0"/>
          <w:sz w:val="20"/>
          <w:rtl/>
        </w:rPr>
        <w:t>ب</w:t>
      </w:r>
      <w:r w:rsidRPr="00523D40">
        <w:rPr>
          <w:color w:val="000000"/>
          <w:spacing w:val="0"/>
          <w:kern w:val="0"/>
          <w:sz w:val="20"/>
          <w:rtl/>
        </w:rPr>
        <w:t xml:space="preserve">باريس في 20 </w:t>
      </w:r>
      <w:r w:rsidRPr="00523D40">
        <w:rPr>
          <w:rFonts w:hint="cs"/>
          <w:color w:val="000000"/>
          <w:spacing w:val="0"/>
          <w:kern w:val="0"/>
          <w:sz w:val="20"/>
          <w:rtl/>
        </w:rPr>
        <w:t>آب/</w:t>
      </w:r>
      <w:r w:rsidRPr="00523D40">
        <w:rPr>
          <w:color w:val="000000"/>
          <w:spacing w:val="0"/>
          <w:kern w:val="0"/>
          <w:sz w:val="20"/>
          <w:rtl/>
        </w:rPr>
        <w:t>أغسطس 2004</w:t>
      </w:r>
      <w:r w:rsidRPr="00523D40">
        <w:rPr>
          <w:rFonts w:hint="cs"/>
          <w:color w:val="000000"/>
          <w:spacing w:val="0"/>
          <w:kern w:val="0"/>
          <w:sz w:val="20"/>
          <w:rtl/>
        </w:rPr>
        <w:t xml:space="preserve">. ورفض </w:t>
      </w:r>
      <w:r w:rsidRPr="00523D40">
        <w:rPr>
          <w:color w:val="000000"/>
          <w:spacing w:val="0"/>
          <w:kern w:val="0"/>
          <w:sz w:val="20"/>
          <w:rtl/>
        </w:rPr>
        <w:t xml:space="preserve">مجلس الهجرة طلب الحصول على </w:t>
      </w:r>
      <w:r w:rsidRPr="00523D40">
        <w:rPr>
          <w:rFonts w:hint="cs"/>
          <w:color w:val="000000"/>
          <w:spacing w:val="0"/>
          <w:kern w:val="0"/>
          <w:sz w:val="20"/>
          <w:rtl/>
        </w:rPr>
        <w:t>ال</w:t>
      </w:r>
      <w:r w:rsidRPr="00523D40">
        <w:rPr>
          <w:color w:val="000000"/>
          <w:spacing w:val="0"/>
          <w:kern w:val="0"/>
          <w:sz w:val="20"/>
          <w:rtl/>
        </w:rPr>
        <w:t xml:space="preserve">تأشيرة في 7 </w:t>
      </w:r>
      <w:r w:rsidRPr="00523D40">
        <w:rPr>
          <w:rFonts w:hint="cs"/>
          <w:color w:val="000000"/>
          <w:spacing w:val="0"/>
          <w:kern w:val="0"/>
          <w:sz w:val="20"/>
          <w:rtl/>
        </w:rPr>
        <w:t>آب/</w:t>
      </w:r>
      <w:r w:rsidRPr="00523D40">
        <w:rPr>
          <w:color w:val="000000"/>
          <w:spacing w:val="0"/>
          <w:kern w:val="0"/>
          <w:sz w:val="20"/>
          <w:rtl/>
        </w:rPr>
        <w:t>أغسطس</w:t>
      </w:r>
      <w:r w:rsidRPr="00523D40">
        <w:rPr>
          <w:rFonts w:hint="cs"/>
          <w:color w:val="000000"/>
          <w:spacing w:val="0"/>
          <w:kern w:val="0"/>
          <w:sz w:val="20"/>
          <w:rtl/>
        </w:rPr>
        <w:t xml:space="preserve"> </w:t>
      </w:r>
      <w:r w:rsidRPr="00523D40">
        <w:rPr>
          <w:color w:val="000000"/>
          <w:spacing w:val="0"/>
          <w:kern w:val="0"/>
          <w:sz w:val="20"/>
          <w:rtl/>
        </w:rPr>
        <w:t>2006</w:t>
      </w:r>
      <w:r w:rsidRPr="00523D40">
        <w:rPr>
          <w:rFonts w:hint="cs"/>
          <w:color w:val="000000"/>
          <w:spacing w:val="0"/>
          <w:kern w:val="0"/>
          <w:sz w:val="20"/>
          <w:rtl/>
        </w:rPr>
        <w:t>.</w:t>
      </w:r>
    </w:p>
    <w:p w:rsidR="00523D40" w:rsidRPr="00523D40" w:rsidRDefault="00523D40" w:rsidP="00523D40">
      <w:pPr>
        <w:pStyle w:val="SingleTxtGA"/>
        <w:jc w:val="lowKashida"/>
        <w:rPr>
          <w:rFonts w:hint="cs"/>
          <w:color w:val="000000"/>
          <w:spacing w:val="0"/>
          <w:kern w:val="0"/>
          <w:sz w:val="20"/>
          <w:rtl/>
          <w:lang w:val="en-CA"/>
        </w:rPr>
      </w:pPr>
      <w:r w:rsidRPr="00523D40">
        <w:rPr>
          <w:color w:val="000000"/>
          <w:spacing w:val="0"/>
          <w:kern w:val="0"/>
          <w:sz w:val="20"/>
          <w:rtl/>
          <w:lang w:val="en-CA"/>
        </w:rPr>
        <w:t>2-6</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بعد</w:t>
      </w:r>
      <w:r w:rsidRPr="00523D40">
        <w:rPr>
          <w:rFonts w:hint="cs"/>
          <w:color w:val="000000"/>
          <w:spacing w:val="0"/>
          <w:kern w:val="0"/>
          <w:sz w:val="20"/>
          <w:rtl/>
        </w:rPr>
        <w:t xml:space="preserve"> وصول</w:t>
      </w:r>
      <w:r w:rsidRPr="00523D40">
        <w:rPr>
          <w:color w:val="000000"/>
          <w:spacing w:val="0"/>
          <w:kern w:val="0"/>
          <w:sz w:val="20"/>
          <w:rtl/>
        </w:rPr>
        <w:t xml:space="preserve"> الوثائق المطلوبة </w:t>
      </w:r>
      <w:r w:rsidRPr="00523D40">
        <w:rPr>
          <w:rFonts w:hint="cs"/>
          <w:color w:val="000000"/>
          <w:spacing w:val="0"/>
          <w:kern w:val="0"/>
          <w:sz w:val="20"/>
          <w:rtl/>
        </w:rPr>
        <w:t>والمتعلقة</w:t>
      </w:r>
      <w:r w:rsidRPr="00523D40">
        <w:rPr>
          <w:color w:val="000000"/>
          <w:spacing w:val="0"/>
          <w:kern w:val="0"/>
          <w:sz w:val="20"/>
          <w:rtl/>
        </w:rPr>
        <w:t xml:space="preserve"> </w:t>
      </w:r>
      <w:r w:rsidRPr="00523D40">
        <w:rPr>
          <w:rFonts w:hint="cs"/>
          <w:color w:val="000000"/>
          <w:spacing w:val="0"/>
          <w:kern w:val="0"/>
          <w:sz w:val="20"/>
          <w:rtl/>
        </w:rPr>
        <w:t>بطلب الحصول</w:t>
      </w:r>
      <w:r w:rsidRPr="00523D40">
        <w:rPr>
          <w:color w:val="000000"/>
          <w:spacing w:val="0"/>
          <w:kern w:val="0"/>
          <w:sz w:val="20"/>
          <w:rtl/>
        </w:rPr>
        <w:t xml:space="preserve"> على </w:t>
      </w:r>
      <w:r w:rsidRPr="00523D40">
        <w:rPr>
          <w:rFonts w:hint="cs"/>
          <w:color w:val="000000"/>
          <w:spacing w:val="0"/>
          <w:kern w:val="0"/>
          <w:sz w:val="20"/>
          <w:rtl/>
        </w:rPr>
        <w:t>ال</w:t>
      </w:r>
      <w:r w:rsidRPr="00523D40">
        <w:rPr>
          <w:color w:val="000000"/>
          <w:spacing w:val="0"/>
          <w:kern w:val="0"/>
          <w:sz w:val="20"/>
          <w:rtl/>
        </w:rPr>
        <w:t xml:space="preserve">تأشيرة إلى مجلس الهجرة في السويد، </w:t>
      </w:r>
      <w:r w:rsidRPr="00523D40">
        <w:rPr>
          <w:rFonts w:hint="cs"/>
          <w:color w:val="000000"/>
          <w:spacing w:val="0"/>
          <w:kern w:val="0"/>
          <w:sz w:val="20"/>
          <w:rtl/>
        </w:rPr>
        <w:t>الذي كان حينها يدرس طلب اللجوء الذي قدمته صاحبة الشكوى</w:t>
      </w:r>
      <w:r w:rsidRPr="00523D40">
        <w:rPr>
          <w:color w:val="000000"/>
          <w:spacing w:val="0"/>
          <w:kern w:val="0"/>
          <w:sz w:val="20"/>
          <w:rtl/>
        </w:rPr>
        <w:t xml:space="preserve">، </w:t>
      </w:r>
      <w:r w:rsidRPr="00523D40">
        <w:rPr>
          <w:rFonts w:hint="cs"/>
          <w:color w:val="000000"/>
          <w:spacing w:val="0"/>
          <w:kern w:val="0"/>
          <w:sz w:val="20"/>
          <w:rtl/>
        </w:rPr>
        <w:t>حقق المجلس في</w:t>
      </w:r>
      <w:r w:rsidRPr="00523D40">
        <w:rPr>
          <w:color w:val="000000"/>
          <w:spacing w:val="0"/>
          <w:kern w:val="0"/>
          <w:sz w:val="20"/>
          <w:rtl/>
        </w:rPr>
        <w:t>ما إذا كان الشخص</w:t>
      </w:r>
      <w:r w:rsidRPr="00523D40">
        <w:rPr>
          <w:rFonts w:hint="cs"/>
          <w:color w:val="000000"/>
          <w:spacing w:val="0"/>
          <w:kern w:val="0"/>
          <w:sz w:val="20"/>
          <w:rtl/>
        </w:rPr>
        <w:t xml:space="preserve"> الذي يظهر</w:t>
      </w:r>
      <w:r w:rsidRPr="00523D40">
        <w:rPr>
          <w:color w:val="000000"/>
          <w:spacing w:val="0"/>
          <w:kern w:val="0"/>
          <w:sz w:val="20"/>
          <w:rtl/>
        </w:rPr>
        <w:t xml:space="preserve"> في الصورة المرفقة بطلب </w:t>
      </w:r>
      <w:r w:rsidRPr="00523D40">
        <w:rPr>
          <w:rFonts w:hint="cs"/>
          <w:color w:val="000000"/>
          <w:spacing w:val="0"/>
          <w:kern w:val="0"/>
          <w:sz w:val="20"/>
          <w:rtl/>
        </w:rPr>
        <w:t>ا</w:t>
      </w:r>
      <w:r w:rsidRPr="00523D40">
        <w:rPr>
          <w:color w:val="000000"/>
          <w:spacing w:val="0"/>
          <w:kern w:val="0"/>
          <w:sz w:val="20"/>
          <w:rtl/>
        </w:rPr>
        <w:t xml:space="preserve">لحصول على </w:t>
      </w:r>
      <w:r w:rsidRPr="00523D40">
        <w:rPr>
          <w:rFonts w:hint="cs"/>
          <w:color w:val="000000"/>
          <w:spacing w:val="0"/>
          <w:kern w:val="0"/>
          <w:sz w:val="20"/>
          <w:rtl/>
        </w:rPr>
        <w:t>ال</w:t>
      </w:r>
      <w:r w:rsidRPr="00523D40">
        <w:rPr>
          <w:color w:val="000000"/>
          <w:spacing w:val="0"/>
          <w:kern w:val="0"/>
          <w:sz w:val="20"/>
          <w:rtl/>
        </w:rPr>
        <w:t xml:space="preserve">تأشيرة </w:t>
      </w:r>
      <w:r w:rsidRPr="00523D40">
        <w:rPr>
          <w:rFonts w:hint="cs"/>
          <w:color w:val="000000"/>
          <w:spacing w:val="0"/>
          <w:kern w:val="0"/>
          <w:sz w:val="20"/>
          <w:rtl/>
        </w:rPr>
        <w:t>هو نفس الشخص الذي طلب اللجوء</w:t>
      </w:r>
      <w:r w:rsidRPr="00523D40">
        <w:rPr>
          <w:color w:val="000000"/>
          <w:spacing w:val="0"/>
          <w:kern w:val="0"/>
          <w:sz w:val="20"/>
          <w:rtl/>
        </w:rPr>
        <w:t xml:space="preserve"> في السويد، أي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 xml:space="preserve">وأفاد </w:t>
      </w:r>
      <w:r w:rsidRPr="00523D40">
        <w:rPr>
          <w:color w:val="000000"/>
          <w:spacing w:val="0"/>
          <w:kern w:val="0"/>
          <w:sz w:val="20"/>
          <w:rtl/>
        </w:rPr>
        <w:t>التقرير</w:t>
      </w:r>
      <w:r w:rsidRPr="00523D40">
        <w:rPr>
          <w:rFonts w:hint="cs"/>
          <w:color w:val="000000"/>
          <w:spacing w:val="0"/>
          <w:kern w:val="0"/>
          <w:sz w:val="20"/>
          <w:rtl/>
        </w:rPr>
        <w:t xml:space="preserve"> الذي أصدره ووقعه</w:t>
      </w:r>
      <w:r w:rsidRPr="00523D40">
        <w:rPr>
          <w:color w:val="000000"/>
          <w:spacing w:val="0"/>
          <w:kern w:val="0"/>
          <w:sz w:val="20"/>
          <w:rtl/>
        </w:rPr>
        <w:t xml:space="preserve"> في 3 </w:t>
      </w:r>
      <w:r w:rsidRPr="00523D40">
        <w:rPr>
          <w:rFonts w:hint="cs"/>
          <w:color w:val="000000"/>
          <w:spacing w:val="0"/>
          <w:kern w:val="0"/>
          <w:sz w:val="20"/>
          <w:rtl/>
        </w:rPr>
        <w:t>آذار/</w:t>
      </w:r>
      <w:r w:rsidRPr="00523D40">
        <w:rPr>
          <w:color w:val="000000"/>
          <w:spacing w:val="0"/>
          <w:kern w:val="0"/>
          <w:sz w:val="20"/>
          <w:rtl/>
        </w:rPr>
        <w:t xml:space="preserve">مارس 2008 خبير </w:t>
      </w:r>
      <w:r w:rsidRPr="00523D40">
        <w:rPr>
          <w:rFonts w:hint="cs"/>
          <w:color w:val="000000"/>
          <w:spacing w:val="0"/>
          <w:kern w:val="0"/>
          <w:sz w:val="20"/>
          <w:rtl/>
        </w:rPr>
        <w:t>تابع</w:t>
      </w:r>
      <w:r w:rsidRPr="00523D40">
        <w:rPr>
          <w:color w:val="000000"/>
          <w:spacing w:val="0"/>
          <w:kern w:val="0"/>
          <w:sz w:val="20"/>
          <w:rtl/>
        </w:rPr>
        <w:t xml:space="preserve"> </w:t>
      </w:r>
      <w:r w:rsidRPr="00523D40">
        <w:rPr>
          <w:rFonts w:hint="cs"/>
          <w:color w:val="000000"/>
          <w:spacing w:val="0"/>
          <w:kern w:val="0"/>
          <w:sz w:val="20"/>
          <w:rtl/>
        </w:rPr>
        <w:t>لل</w:t>
      </w:r>
      <w:r w:rsidRPr="00523D40">
        <w:rPr>
          <w:color w:val="000000"/>
          <w:spacing w:val="0"/>
          <w:kern w:val="0"/>
          <w:sz w:val="20"/>
          <w:rtl/>
        </w:rPr>
        <w:t xml:space="preserve">إدارة </w:t>
      </w:r>
      <w:r w:rsidRPr="00523D40">
        <w:rPr>
          <w:rFonts w:hint="cs"/>
          <w:color w:val="000000"/>
          <w:spacing w:val="0"/>
          <w:kern w:val="0"/>
          <w:sz w:val="20"/>
          <w:rtl/>
        </w:rPr>
        <w:t>المعنية بتحديد الهوية</w:t>
      </w:r>
      <w:r w:rsidRPr="00523D40">
        <w:rPr>
          <w:color w:val="000000"/>
          <w:spacing w:val="0"/>
          <w:kern w:val="0"/>
          <w:sz w:val="20"/>
          <w:rtl/>
        </w:rPr>
        <w:t xml:space="preserve">، أن نتيجة المقارنة </w:t>
      </w:r>
      <w:r w:rsidRPr="00523D40">
        <w:rPr>
          <w:rFonts w:hint="cs"/>
          <w:color w:val="000000"/>
          <w:spacing w:val="0"/>
          <w:kern w:val="0"/>
          <w:sz w:val="20"/>
          <w:rtl/>
        </w:rPr>
        <w:t>بين الصورتين</w:t>
      </w:r>
      <w:r w:rsidRPr="00523D40">
        <w:rPr>
          <w:color w:val="000000"/>
          <w:spacing w:val="0"/>
          <w:kern w:val="0"/>
          <w:sz w:val="20"/>
          <w:rtl/>
        </w:rPr>
        <w:t xml:space="preserve"> </w:t>
      </w:r>
      <w:r w:rsidRPr="00523D40">
        <w:rPr>
          <w:rFonts w:hint="cs"/>
          <w:color w:val="000000"/>
          <w:spacing w:val="0"/>
          <w:kern w:val="0"/>
          <w:sz w:val="20"/>
          <w:rtl/>
        </w:rPr>
        <w:t xml:space="preserve">تدل دلالة قوية على </w:t>
      </w:r>
      <w:r w:rsidRPr="00523D40">
        <w:rPr>
          <w:color w:val="000000"/>
          <w:spacing w:val="0"/>
          <w:kern w:val="0"/>
          <w:sz w:val="20"/>
          <w:rtl/>
        </w:rPr>
        <w:t>أنه</w:t>
      </w:r>
      <w:r w:rsidRPr="00523D40">
        <w:rPr>
          <w:rFonts w:hint="cs"/>
          <w:color w:val="000000"/>
          <w:spacing w:val="0"/>
          <w:kern w:val="0"/>
          <w:sz w:val="20"/>
          <w:rtl/>
        </w:rPr>
        <w:t>ما</w:t>
      </w:r>
      <w:r w:rsidRPr="00523D40">
        <w:rPr>
          <w:color w:val="000000"/>
          <w:spacing w:val="0"/>
          <w:kern w:val="0"/>
          <w:sz w:val="20"/>
          <w:rtl/>
        </w:rPr>
        <w:t xml:space="preserve"> تمثل</w:t>
      </w:r>
      <w:r w:rsidRPr="00523D40">
        <w:rPr>
          <w:rFonts w:hint="cs"/>
          <w:color w:val="000000"/>
          <w:spacing w:val="0"/>
          <w:kern w:val="0"/>
          <w:sz w:val="20"/>
          <w:rtl/>
        </w:rPr>
        <w:t>ان</w:t>
      </w:r>
      <w:r w:rsidRPr="00523D40">
        <w:rPr>
          <w:color w:val="000000"/>
          <w:spacing w:val="0"/>
          <w:kern w:val="0"/>
          <w:sz w:val="20"/>
          <w:rtl/>
        </w:rPr>
        <w:t xml:space="preserve"> الشخص نفس</w:t>
      </w:r>
      <w:r w:rsidRPr="00523D40">
        <w:rPr>
          <w:rFonts w:hint="cs"/>
          <w:color w:val="000000"/>
          <w:spacing w:val="0"/>
          <w:kern w:val="0"/>
          <w:sz w:val="20"/>
          <w:rtl/>
        </w:rPr>
        <w:t>ه.</w:t>
      </w:r>
    </w:p>
    <w:p w:rsidR="00523D40" w:rsidRPr="00523D40" w:rsidRDefault="00523D40" w:rsidP="00523D40">
      <w:pPr>
        <w:pStyle w:val="SingleTxtGA"/>
        <w:jc w:val="lowKashida"/>
        <w:rPr>
          <w:rFonts w:hint="cs"/>
          <w:b/>
          <w:bCs/>
          <w:color w:val="000000"/>
          <w:spacing w:val="0"/>
          <w:kern w:val="0"/>
          <w:sz w:val="20"/>
          <w:rtl/>
        </w:rPr>
      </w:pPr>
      <w:r w:rsidRPr="00523D40">
        <w:rPr>
          <w:color w:val="000000"/>
          <w:spacing w:val="0"/>
          <w:kern w:val="0"/>
          <w:sz w:val="20"/>
          <w:rtl/>
          <w:lang w:val="en-CA"/>
        </w:rPr>
        <w:t>2-7</w:t>
      </w:r>
      <w:r w:rsidRPr="00523D40">
        <w:rPr>
          <w:color w:val="000000"/>
          <w:spacing w:val="0"/>
          <w:kern w:val="0"/>
          <w:sz w:val="20"/>
          <w:rtl/>
          <w:lang w:val="en-CA"/>
        </w:rPr>
        <w:tab/>
      </w:r>
      <w:r w:rsidRPr="00523D40">
        <w:rPr>
          <w:rFonts w:hint="cs"/>
          <w:color w:val="000000"/>
          <w:spacing w:val="0"/>
          <w:kern w:val="0"/>
          <w:sz w:val="20"/>
          <w:rtl/>
        </w:rPr>
        <w:t>و</w:t>
      </w:r>
      <w:r w:rsidRPr="00523D40">
        <w:rPr>
          <w:color w:val="000000"/>
          <w:spacing w:val="0"/>
          <w:kern w:val="0"/>
          <w:sz w:val="20"/>
          <w:rtl/>
        </w:rPr>
        <w:t>في 6 حزيران</w:t>
      </w:r>
      <w:r w:rsidRPr="00523D40">
        <w:rPr>
          <w:rFonts w:hint="cs"/>
          <w:color w:val="000000"/>
          <w:spacing w:val="0"/>
          <w:kern w:val="0"/>
          <w:sz w:val="20"/>
          <w:rtl/>
        </w:rPr>
        <w:t>/يونيه</w:t>
      </w:r>
      <w:r w:rsidRPr="00523D40">
        <w:rPr>
          <w:color w:val="000000"/>
          <w:spacing w:val="0"/>
          <w:kern w:val="0"/>
          <w:sz w:val="20"/>
          <w:rtl/>
        </w:rPr>
        <w:t xml:space="preserve"> 2008، عقد</w:t>
      </w:r>
      <w:r w:rsidRPr="00523D40">
        <w:rPr>
          <w:rFonts w:hint="cs"/>
          <w:color w:val="000000"/>
          <w:spacing w:val="0"/>
          <w:kern w:val="0"/>
          <w:sz w:val="20"/>
          <w:rtl/>
        </w:rPr>
        <w:t xml:space="preserve"> مجلس الهجرة</w:t>
      </w:r>
      <w:r w:rsidRPr="00523D40">
        <w:rPr>
          <w:color w:val="000000"/>
          <w:spacing w:val="0"/>
          <w:kern w:val="0"/>
          <w:sz w:val="20"/>
          <w:rtl/>
        </w:rPr>
        <w:t xml:space="preserve"> </w:t>
      </w:r>
      <w:r w:rsidRPr="00523D40">
        <w:rPr>
          <w:rFonts w:hint="cs"/>
          <w:color w:val="000000"/>
          <w:spacing w:val="0"/>
          <w:kern w:val="0"/>
          <w:sz w:val="20"/>
          <w:rtl/>
        </w:rPr>
        <w:t>مقابلة أخرى</w:t>
      </w:r>
      <w:r w:rsidRPr="00523D40">
        <w:rPr>
          <w:color w:val="000000"/>
          <w:spacing w:val="0"/>
          <w:kern w:val="0"/>
          <w:sz w:val="20"/>
          <w:rtl/>
        </w:rPr>
        <w:t xml:space="preserve"> مع صاحب</w:t>
      </w:r>
      <w:r w:rsidRPr="00523D40">
        <w:rPr>
          <w:rFonts w:hint="cs"/>
          <w:color w:val="000000"/>
          <w:spacing w:val="0"/>
          <w:kern w:val="0"/>
          <w:sz w:val="20"/>
          <w:rtl/>
        </w:rPr>
        <w:t>ة</w:t>
      </w:r>
      <w:r w:rsidRPr="00523D40">
        <w:rPr>
          <w:color w:val="000000"/>
          <w:spacing w:val="0"/>
          <w:kern w:val="0"/>
          <w:sz w:val="20"/>
          <w:rtl/>
        </w:rPr>
        <w:t xml:space="preserve"> الشكوى</w:t>
      </w:r>
      <w:r w:rsidRPr="00523D40">
        <w:rPr>
          <w:rFonts w:hint="cs"/>
          <w:color w:val="000000"/>
          <w:spacing w:val="0"/>
          <w:kern w:val="0"/>
          <w:sz w:val="20"/>
          <w:rtl/>
        </w:rPr>
        <w:t>، مستنداً</w:t>
      </w:r>
      <w:r w:rsidRPr="00523D40">
        <w:rPr>
          <w:color w:val="000000"/>
          <w:spacing w:val="0"/>
          <w:kern w:val="0"/>
          <w:sz w:val="20"/>
          <w:rtl/>
        </w:rPr>
        <w:t xml:space="preserve"> إلى المعلومات الواردة في </w:t>
      </w:r>
      <w:r w:rsidRPr="00523D40">
        <w:rPr>
          <w:rFonts w:hint="cs"/>
          <w:color w:val="000000"/>
          <w:spacing w:val="0"/>
          <w:kern w:val="0"/>
          <w:sz w:val="20"/>
          <w:rtl/>
        </w:rPr>
        <w:t>الوثيقة المكتشفة والمتعلقة بطلب الحصول</w:t>
      </w:r>
      <w:r w:rsidRPr="00523D40">
        <w:rPr>
          <w:color w:val="000000"/>
          <w:spacing w:val="0"/>
          <w:kern w:val="0"/>
          <w:sz w:val="20"/>
          <w:rtl/>
        </w:rPr>
        <w:t xml:space="preserve"> على تأشيرة</w:t>
      </w:r>
      <w:r w:rsidRPr="00523D40">
        <w:rPr>
          <w:rFonts w:hint="cs"/>
          <w:color w:val="000000"/>
          <w:spacing w:val="0"/>
          <w:kern w:val="0"/>
          <w:sz w:val="20"/>
          <w:rtl/>
        </w:rPr>
        <w:t xml:space="preserve">. </w:t>
      </w:r>
      <w:r w:rsidRPr="00523D40">
        <w:rPr>
          <w:color w:val="000000"/>
          <w:spacing w:val="0"/>
          <w:kern w:val="0"/>
          <w:sz w:val="20"/>
          <w:rtl/>
        </w:rPr>
        <w:t xml:space="preserve">وخلال المقابلة، </w:t>
      </w:r>
      <w:r w:rsidRPr="00523D40">
        <w:rPr>
          <w:rFonts w:hint="cs"/>
          <w:color w:val="000000"/>
          <w:spacing w:val="0"/>
          <w:kern w:val="0"/>
          <w:sz w:val="20"/>
          <w:rtl/>
        </w:rPr>
        <w:t>أفادت</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بأنها لم تغادر قطّ</w:t>
      </w:r>
      <w:r w:rsidRPr="00523D40">
        <w:rPr>
          <w:color w:val="000000"/>
          <w:spacing w:val="0"/>
          <w:kern w:val="0"/>
          <w:sz w:val="20"/>
          <w:rtl/>
        </w:rPr>
        <w:t xml:space="preserve"> بوروندي. </w:t>
      </w:r>
      <w:r w:rsidRPr="00523D40">
        <w:rPr>
          <w:rFonts w:hint="cs"/>
          <w:color w:val="000000"/>
          <w:spacing w:val="0"/>
          <w:kern w:val="0"/>
          <w:sz w:val="20"/>
          <w:rtl/>
        </w:rPr>
        <w:t xml:space="preserve">وذكرت أنها سلّمت </w:t>
      </w:r>
      <w:r w:rsidRPr="00523D40">
        <w:rPr>
          <w:color w:val="000000"/>
          <w:spacing w:val="0"/>
          <w:kern w:val="0"/>
          <w:sz w:val="20"/>
          <w:rtl/>
        </w:rPr>
        <w:t>جواز سفرها لصديق من الكونغو</w:t>
      </w:r>
      <w:r w:rsidRPr="00523D40">
        <w:rPr>
          <w:rFonts w:hint="cs"/>
          <w:color w:val="000000"/>
          <w:spacing w:val="0"/>
          <w:kern w:val="0"/>
          <w:sz w:val="20"/>
          <w:rtl/>
        </w:rPr>
        <w:t xml:space="preserve"> يدرس</w:t>
      </w:r>
      <w:r w:rsidRPr="00523D40">
        <w:rPr>
          <w:color w:val="000000"/>
          <w:spacing w:val="0"/>
          <w:kern w:val="0"/>
          <w:sz w:val="20"/>
          <w:rtl/>
        </w:rPr>
        <w:t xml:space="preserve"> في الجزائر</w:t>
      </w:r>
      <w:r w:rsidRPr="00523D40">
        <w:rPr>
          <w:rFonts w:hint="cs"/>
          <w:color w:val="000000"/>
          <w:spacing w:val="0"/>
          <w:kern w:val="0"/>
          <w:sz w:val="20"/>
          <w:rtl/>
        </w:rPr>
        <w:t xml:space="preserve">، وكانت قد </w:t>
      </w:r>
      <w:r w:rsidRPr="00523D40">
        <w:rPr>
          <w:color w:val="000000"/>
          <w:spacing w:val="0"/>
          <w:kern w:val="0"/>
          <w:sz w:val="20"/>
          <w:rtl/>
        </w:rPr>
        <w:t>التقت</w:t>
      </w:r>
      <w:r w:rsidRPr="00523D40">
        <w:rPr>
          <w:rFonts w:hint="cs"/>
          <w:color w:val="000000"/>
          <w:spacing w:val="0"/>
          <w:kern w:val="0"/>
          <w:sz w:val="20"/>
          <w:rtl/>
        </w:rPr>
        <w:t xml:space="preserve"> بها</w:t>
      </w:r>
      <w:r w:rsidRPr="00523D40">
        <w:rPr>
          <w:color w:val="000000"/>
          <w:spacing w:val="0"/>
          <w:kern w:val="0"/>
          <w:sz w:val="20"/>
          <w:rtl/>
        </w:rPr>
        <w:t xml:space="preserve"> في بوروندي. </w:t>
      </w:r>
      <w:r w:rsidRPr="00523D40">
        <w:rPr>
          <w:rFonts w:hint="cs"/>
          <w:color w:val="000000"/>
          <w:spacing w:val="0"/>
          <w:kern w:val="0"/>
          <w:sz w:val="20"/>
          <w:rtl/>
        </w:rPr>
        <w:t xml:space="preserve">وقد </w:t>
      </w:r>
      <w:r w:rsidRPr="00523D40">
        <w:rPr>
          <w:color w:val="000000"/>
          <w:spacing w:val="0"/>
          <w:kern w:val="0"/>
          <w:sz w:val="20"/>
          <w:rtl/>
        </w:rPr>
        <w:t>استخدم هذا الصديق</w:t>
      </w:r>
      <w:r w:rsidRPr="00523D40">
        <w:rPr>
          <w:rFonts w:hint="cs"/>
          <w:color w:val="000000"/>
          <w:spacing w:val="0"/>
          <w:kern w:val="0"/>
          <w:sz w:val="20"/>
          <w:rtl/>
        </w:rPr>
        <w:t>، على نحو ما،</w:t>
      </w:r>
      <w:r w:rsidRPr="00523D40">
        <w:rPr>
          <w:color w:val="000000"/>
          <w:spacing w:val="0"/>
          <w:kern w:val="0"/>
          <w:sz w:val="20"/>
          <w:rtl/>
        </w:rPr>
        <w:t xml:space="preserve"> جواز السفر</w:t>
      </w:r>
      <w:r w:rsidRPr="00523D40">
        <w:rPr>
          <w:rFonts w:hint="cs"/>
          <w:color w:val="000000"/>
          <w:spacing w:val="0"/>
          <w:kern w:val="0"/>
          <w:sz w:val="20"/>
          <w:rtl/>
        </w:rPr>
        <w:t>،</w:t>
      </w:r>
      <w:r w:rsidRPr="00523D40">
        <w:rPr>
          <w:color w:val="000000"/>
          <w:spacing w:val="0"/>
          <w:kern w:val="0"/>
          <w:sz w:val="20"/>
          <w:rtl/>
        </w:rPr>
        <w:t xml:space="preserve"> و</w:t>
      </w:r>
      <w:r w:rsidRPr="00523D40">
        <w:rPr>
          <w:rFonts w:hint="cs"/>
          <w:color w:val="000000"/>
          <w:spacing w:val="0"/>
          <w:kern w:val="0"/>
          <w:sz w:val="20"/>
          <w:rtl/>
        </w:rPr>
        <w:t xml:space="preserve">قُدّم </w:t>
      </w:r>
      <w:r w:rsidRPr="00523D40">
        <w:rPr>
          <w:color w:val="000000"/>
          <w:spacing w:val="0"/>
          <w:kern w:val="0"/>
          <w:sz w:val="20"/>
          <w:rtl/>
        </w:rPr>
        <w:t xml:space="preserve">طلب </w:t>
      </w:r>
      <w:r w:rsidRPr="00523D40">
        <w:rPr>
          <w:rFonts w:hint="cs"/>
          <w:color w:val="000000"/>
          <w:spacing w:val="0"/>
          <w:kern w:val="0"/>
          <w:sz w:val="20"/>
          <w:rtl/>
        </w:rPr>
        <w:t>ا</w:t>
      </w:r>
      <w:r w:rsidRPr="00523D40">
        <w:rPr>
          <w:color w:val="000000"/>
          <w:spacing w:val="0"/>
          <w:kern w:val="0"/>
          <w:sz w:val="20"/>
          <w:rtl/>
        </w:rPr>
        <w:t xml:space="preserve">لحصول على </w:t>
      </w:r>
      <w:r w:rsidRPr="00523D40">
        <w:rPr>
          <w:rFonts w:hint="cs"/>
          <w:color w:val="000000"/>
          <w:spacing w:val="0"/>
          <w:kern w:val="0"/>
          <w:sz w:val="20"/>
          <w:rtl/>
        </w:rPr>
        <w:t>ال</w:t>
      </w:r>
      <w:r w:rsidRPr="00523D40">
        <w:rPr>
          <w:color w:val="000000"/>
          <w:spacing w:val="0"/>
          <w:kern w:val="0"/>
          <w:sz w:val="20"/>
          <w:rtl/>
        </w:rPr>
        <w:t xml:space="preserve">تأشيرة دون </w:t>
      </w:r>
      <w:r w:rsidRPr="00523D40">
        <w:rPr>
          <w:rFonts w:hint="cs"/>
          <w:color w:val="000000"/>
          <w:spacing w:val="0"/>
          <w:kern w:val="0"/>
          <w:sz w:val="20"/>
          <w:rtl/>
        </w:rPr>
        <w:t>مشاركتها في ذلك أو علمها به.</w:t>
      </w:r>
      <w:r w:rsidRPr="00523D40">
        <w:rPr>
          <w:color w:val="000000"/>
          <w:spacing w:val="0"/>
          <w:kern w:val="0"/>
          <w:sz w:val="20"/>
          <w:rtl/>
        </w:rPr>
        <w:t xml:space="preserve"> </w:t>
      </w:r>
      <w:r w:rsidRPr="00523D40">
        <w:rPr>
          <w:rFonts w:hint="cs"/>
          <w:color w:val="000000"/>
          <w:spacing w:val="0"/>
          <w:kern w:val="0"/>
          <w:sz w:val="20"/>
          <w:rtl/>
        </w:rPr>
        <w:t xml:space="preserve">وذكرت صاحبة </w:t>
      </w:r>
      <w:r w:rsidRPr="00523D40">
        <w:rPr>
          <w:color w:val="000000"/>
          <w:spacing w:val="0"/>
          <w:kern w:val="0"/>
          <w:sz w:val="20"/>
          <w:rtl/>
        </w:rPr>
        <w:t xml:space="preserve">الشكوى </w:t>
      </w:r>
      <w:r w:rsidRPr="00523D40">
        <w:rPr>
          <w:rFonts w:hint="cs"/>
          <w:color w:val="000000"/>
          <w:spacing w:val="0"/>
          <w:kern w:val="0"/>
          <w:sz w:val="20"/>
          <w:rtl/>
        </w:rPr>
        <w:t>أنها لا تعرف الشخص</w:t>
      </w:r>
      <w:r w:rsidRPr="00523D40">
        <w:rPr>
          <w:color w:val="000000"/>
          <w:spacing w:val="0"/>
          <w:kern w:val="0"/>
          <w:sz w:val="20"/>
          <w:rtl/>
        </w:rPr>
        <w:t xml:space="preserve"> الذي </w:t>
      </w:r>
      <w:r w:rsidRPr="00523D40">
        <w:rPr>
          <w:rFonts w:hint="cs"/>
          <w:color w:val="000000"/>
          <w:spacing w:val="0"/>
          <w:kern w:val="0"/>
          <w:sz w:val="20"/>
          <w:rtl/>
        </w:rPr>
        <w:t>قدم طلب الحصول</w:t>
      </w:r>
      <w:r w:rsidRPr="00523D40">
        <w:rPr>
          <w:color w:val="000000"/>
          <w:spacing w:val="0"/>
          <w:kern w:val="0"/>
          <w:sz w:val="20"/>
          <w:rtl/>
        </w:rPr>
        <w:t xml:space="preserve"> على </w:t>
      </w:r>
      <w:r w:rsidRPr="00523D40">
        <w:rPr>
          <w:rFonts w:hint="cs"/>
          <w:color w:val="000000"/>
          <w:spacing w:val="0"/>
          <w:kern w:val="0"/>
          <w:sz w:val="20"/>
          <w:rtl/>
        </w:rPr>
        <w:t>ال</w:t>
      </w:r>
      <w:r w:rsidRPr="00523D40">
        <w:rPr>
          <w:color w:val="000000"/>
          <w:spacing w:val="0"/>
          <w:kern w:val="0"/>
          <w:sz w:val="20"/>
          <w:rtl/>
        </w:rPr>
        <w:t xml:space="preserve">تأشيرة إلى السويد. </w:t>
      </w:r>
      <w:r w:rsidRPr="00523D40">
        <w:rPr>
          <w:rFonts w:hint="cs"/>
          <w:color w:val="000000"/>
          <w:spacing w:val="0"/>
          <w:kern w:val="0"/>
          <w:sz w:val="20"/>
          <w:rtl/>
        </w:rPr>
        <w:t>وأكدت أن</w:t>
      </w:r>
      <w:r w:rsidRPr="00523D40">
        <w:rPr>
          <w:color w:val="000000"/>
          <w:spacing w:val="0"/>
          <w:kern w:val="0"/>
          <w:sz w:val="20"/>
          <w:rtl/>
        </w:rPr>
        <w:t xml:space="preserve"> اسمها الصحيح هو </w:t>
      </w:r>
      <w:r w:rsidRPr="00523D40">
        <w:rPr>
          <w:rFonts w:hint="cs"/>
          <w:color w:val="000000"/>
          <w:spacing w:val="0"/>
          <w:kern w:val="0"/>
          <w:sz w:val="20"/>
          <w:rtl/>
        </w:rPr>
        <w:t>أ. أ. م.</w:t>
      </w:r>
      <w:r w:rsidRPr="00523D40">
        <w:rPr>
          <w:color w:val="000000"/>
          <w:spacing w:val="0"/>
          <w:kern w:val="0"/>
          <w:sz w:val="20"/>
          <w:rtl/>
        </w:rPr>
        <w:t xml:space="preserve"> وأن </w:t>
      </w:r>
      <w:r w:rsidRPr="00523D40">
        <w:rPr>
          <w:rFonts w:hint="cs"/>
          <w:color w:val="000000"/>
          <w:spacing w:val="0"/>
          <w:kern w:val="0"/>
          <w:sz w:val="20"/>
          <w:rtl/>
        </w:rPr>
        <w:t>ال</w:t>
      </w:r>
      <w:r w:rsidRPr="00523D40">
        <w:rPr>
          <w:color w:val="000000"/>
          <w:spacing w:val="0"/>
          <w:kern w:val="0"/>
          <w:sz w:val="20"/>
          <w:rtl/>
        </w:rPr>
        <w:t>اسم الحقيقي الوحيد</w:t>
      </w:r>
      <w:r w:rsidRPr="00523D40">
        <w:rPr>
          <w:rFonts w:hint="cs"/>
          <w:color w:val="000000"/>
          <w:spacing w:val="0"/>
          <w:kern w:val="0"/>
          <w:sz w:val="20"/>
          <w:rtl/>
        </w:rPr>
        <w:t xml:space="preserve"> الوارد</w:t>
      </w:r>
      <w:r w:rsidRPr="00523D40">
        <w:rPr>
          <w:color w:val="000000"/>
          <w:spacing w:val="0"/>
          <w:kern w:val="0"/>
          <w:sz w:val="20"/>
          <w:rtl/>
        </w:rPr>
        <w:t xml:space="preserve"> في جواز سفرها </w:t>
      </w:r>
      <w:r w:rsidRPr="00523D40">
        <w:rPr>
          <w:rFonts w:hint="cs"/>
          <w:color w:val="000000"/>
          <w:spacing w:val="0"/>
          <w:kern w:val="0"/>
          <w:sz w:val="20"/>
          <w:rtl/>
        </w:rPr>
        <w:t>هو</w:t>
      </w:r>
      <w:r w:rsidRPr="00523D40">
        <w:rPr>
          <w:color w:val="000000"/>
          <w:spacing w:val="0"/>
          <w:kern w:val="0"/>
          <w:sz w:val="20"/>
          <w:rtl/>
        </w:rPr>
        <w:t xml:space="preserve"> اسمها الأول. </w:t>
      </w:r>
      <w:r w:rsidRPr="00523D40">
        <w:rPr>
          <w:rFonts w:hint="cs"/>
          <w:color w:val="000000"/>
          <w:spacing w:val="0"/>
          <w:kern w:val="0"/>
          <w:sz w:val="20"/>
          <w:rtl/>
        </w:rPr>
        <w:t>وحينما سأل</w:t>
      </w:r>
      <w:r w:rsidRPr="00523D40">
        <w:rPr>
          <w:color w:val="000000"/>
          <w:spacing w:val="0"/>
          <w:kern w:val="0"/>
          <w:sz w:val="20"/>
          <w:rtl/>
        </w:rPr>
        <w:t xml:space="preserve"> المجلس </w:t>
      </w:r>
      <w:r w:rsidRPr="00523D40">
        <w:rPr>
          <w:rFonts w:hint="cs"/>
          <w:color w:val="000000"/>
          <w:spacing w:val="0"/>
          <w:kern w:val="0"/>
          <w:sz w:val="20"/>
          <w:rtl/>
        </w:rPr>
        <w:t xml:space="preserve">صاحبة الشكوى </w:t>
      </w:r>
      <w:r w:rsidRPr="00523D40">
        <w:rPr>
          <w:color w:val="000000"/>
          <w:spacing w:val="0"/>
          <w:kern w:val="0"/>
          <w:sz w:val="20"/>
          <w:rtl/>
        </w:rPr>
        <w:t xml:space="preserve">عما إذا كان ذلك يعني أن </w:t>
      </w:r>
      <w:r w:rsidRPr="00523D40">
        <w:rPr>
          <w:rFonts w:hint="cs"/>
          <w:color w:val="000000"/>
          <w:spacing w:val="0"/>
          <w:kern w:val="0"/>
          <w:sz w:val="20"/>
          <w:rtl/>
        </w:rPr>
        <w:t>جواز السفر هذا مزيف، نفت ذلك غير أنها ذكرت أن</w:t>
      </w:r>
      <w:r w:rsidRPr="00523D40">
        <w:rPr>
          <w:color w:val="000000"/>
          <w:spacing w:val="0"/>
          <w:kern w:val="0"/>
          <w:sz w:val="20"/>
          <w:rtl/>
        </w:rPr>
        <w:t xml:space="preserve"> شخصا</w:t>
      </w:r>
      <w:r w:rsidRPr="00523D40">
        <w:rPr>
          <w:rFonts w:hint="cs"/>
          <w:color w:val="000000"/>
          <w:spacing w:val="0"/>
          <w:kern w:val="0"/>
          <w:sz w:val="20"/>
          <w:rtl/>
        </w:rPr>
        <w:t>ً</w:t>
      </w:r>
      <w:r w:rsidRPr="00523D40">
        <w:rPr>
          <w:color w:val="000000"/>
          <w:spacing w:val="0"/>
          <w:kern w:val="0"/>
          <w:sz w:val="20"/>
          <w:rtl/>
        </w:rPr>
        <w:t xml:space="preserve"> آخر، </w:t>
      </w:r>
      <w:r w:rsidRPr="00523D40">
        <w:rPr>
          <w:rFonts w:hint="cs"/>
          <w:color w:val="000000"/>
          <w:spacing w:val="0"/>
          <w:kern w:val="0"/>
          <w:sz w:val="20"/>
          <w:rtl/>
        </w:rPr>
        <w:t xml:space="preserve">يدعى </w:t>
      </w:r>
      <w:r w:rsidRPr="00523D40">
        <w:rPr>
          <w:color w:val="000000"/>
          <w:spacing w:val="0"/>
          <w:kern w:val="0"/>
          <w:sz w:val="20"/>
          <w:rtl/>
        </w:rPr>
        <w:t xml:space="preserve">جون، </w:t>
      </w:r>
      <w:r w:rsidRPr="00523D40">
        <w:rPr>
          <w:rFonts w:hint="cs"/>
          <w:color w:val="000000"/>
          <w:spacing w:val="0"/>
          <w:kern w:val="0"/>
          <w:sz w:val="20"/>
          <w:rtl/>
        </w:rPr>
        <w:t xml:space="preserve">كان </w:t>
      </w:r>
      <w:r w:rsidRPr="00523D40">
        <w:rPr>
          <w:color w:val="000000"/>
          <w:spacing w:val="0"/>
          <w:kern w:val="0"/>
          <w:sz w:val="20"/>
          <w:rtl/>
        </w:rPr>
        <w:t xml:space="preserve">قد ساعدها </w:t>
      </w:r>
      <w:r w:rsidRPr="00523D40">
        <w:rPr>
          <w:rFonts w:hint="cs"/>
          <w:color w:val="000000"/>
          <w:spacing w:val="0"/>
          <w:kern w:val="0"/>
          <w:sz w:val="20"/>
          <w:rtl/>
        </w:rPr>
        <w:t>في تقديم</w:t>
      </w:r>
      <w:r w:rsidRPr="00523D40">
        <w:rPr>
          <w:color w:val="000000"/>
          <w:spacing w:val="0"/>
          <w:kern w:val="0"/>
          <w:sz w:val="20"/>
          <w:rtl/>
        </w:rPr>
        <w:t xml:space="preserve"> </w:t>
      </w:r>
      <w:r w:rsidRPr="00523D40">
        <w:rPr>
          <w:rFonts w:hint="cs"/>
          <w:color w:val="000000"/>
          <w:spacing w:val="0"/>
          <w:kern w:val="0"/>
          <w:sz w:val="20"/>
          <w:rtl/>
        </w:rPr>
        <w:t>طلب ال</w:t>
      </w:r>
      <w:r w:rsidRPr="00523D40">
        <w:rPr>
          <w:color w:val="000000"/>
          <w:spacing w:val="0"/>
          <w:kern w:val="0"/>
          <w:sz w:val="20"/>
          <w:rtl/>
        </w:rPr>
        <w:t xml:space="preserve">حصول على جواز </w:t>
      </w:r>
      <w:r w:rsidRPr="00523D40">
        <w:rPr>
          <w:rFonts w:hint="cs"/>
          <w:color w:val="000000"/>
          <w:spacing w:val="0"/>
          <w:kern w:val="0"/>
          <w:sz w:val="20"/>
          <w:rtl/>
        </w:rPr>
        <w:t>ال</w:t>
      </w:r>
      <w:r w:rsidRPr="00523D40">
        <w:rPr>
          <w:color w:val="000000"/>
          <w:spacing w:val="0"/>
          <w:kern w:val="0"/>
          <w:sz w:val="20"/>
          <w:rtl/>
        </w:rPr>
        <w:t xml:space="preserve">سفر. </w:t>
      </w:r>
      <w:r w:rsidRPr="00523D40">
        <w:rPr>
          <w:rFonts w:hint="cs"/>
          <w:color w:val="000000"/>
          <w:spacing w:val="0"/>
          <w:kern w:val="0"/>
          <w:sz w:val="20"/>
          <w:rtl/>
        </w:rPr>
        <w:t xml:space="preserve">وكان </w:t>
      </w:r>
      <w:r w:rsidRPr="00523D40">
        <w:rPr>
          <w:color w:val="000000"/>
          <w:spacing w:val="0"/>
          <w:kern w:val="0"/>
          <w:sz w:val="20"/>
          <w:rtl/>
        </w:rPr>
        <w:t xml:space="preserve">الدافع </w:t>
      </w:r>
      <w:r w:rsidRPr="00523D40">
        <w:rPr>
          <w:rFonts w:hint="cs"/>
          <w:color w:val="000000"/>
          <w:spacing w:val="0"/>
          <w:kern w:val="0"/>
          <w:sz w:val="20"/>
          <w:rtl/>
        </w:rPr>
        <w:t>وراء تقديمها</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 xml:space="preserve">طلب </w:t>
      </w:r>
      <w:r w:rsidRPr="00523D40">
        <w:rPr>
          <w:rFonts w:hint="cs"/>
          <w:color w:val="000000"/>
          <w:spacing w:val="0"/>
          <w:kern w:val="0"/>
          <w:sz w:val="20"/>
          <w:rtl/>
        </w:rPr>
        <w:t>ا</w:t>
      </w:r>
      <w:r w:rsidRPr="00523D40">
        <w:rPr>
          <w:color w:val="000000"/>
          <w:spacing w:val="0"/>
          <w:kern w:val="0"/>
          <w:sz w:val="20"/>
          <w:rtl/>
        </w:rPr>
        <w:t xml:space="preserve">لحصول على جواز </w:t>
      </w:r>
      <w:r w:rsidRPr="00523D40">
        <w:rPr>
          <w:rFonts w:hint="cs"/>
          <w:color w:val="000000"/>
          <w:spacing w:val="0"/>
          <w:kern w:val="0"/>
          <w:sz w:val="20"/>
          <w:rtl/>
        </w:rPr>
        <w:t>ال</w:t>
      </w:r>
      <w:r w:rsidRPr="00523D40">
        <w:rPr>
          <w:color w:val="000000"/>
          <w:spacing w:val="0"/>
          <w:kern w:val="0"/>
          <w:sz w:val="20"/>
          <w:rtl/>
        </w:rPr>
        <w:t xml:space="preserve">سفر هو مساعدة صديقها </w:t>
      </w:r>
      <w:r w:rsidRPr="00523D40">
        <w:rPr>
          <w:rFonts w:hint="cs"/>
          <w:color w:val="000000"/>
          <w:spacing w:val="0"/>
          <w:kern w:val="0"/>
          <w:sz w:val="20"/>
          <w:rtl/>
        </w:rPr>
        <w:t>الكونغولي</w:t>
      </w:r>
      <w:r w:rsidRPr="00523D40">
        <w:rPr>
          <w:color w:val="000000"/>
          <w:spacing w:val="0"/>
          <w:kern w:val="0"/>
          <w:sz w:val="20"/>
          <w:rtl/>
        </w:rPr>
        <w:t xml:space="preserve">. </w:t>
      </w:r>
      <w:r w:rsidRPr="00523D40">
        <w:rPr>
          <w:rFonts w:hint="cs"/>
          <w:color w:val="000000"/>
          <w:spacing w:val="0"/>
          <w:kern w:val="0"/>
          <w:sz w:val="20"/>
          <w:rtl/>
        </w:rPr>
        <w:t xml:space="preserve">وحينما سألها مجلس الهجرة </w:t>
      </w:r>
      <w:r w:rsidRPr="00523D40">
        <w:rPr>
          <w:color w:val="000000"/>
          <w:spacing w:val="0"/>
          <w:kern w:val="0"/>
          <w:sz w:val="20"/>
          <w:rtl/>
        </w:rPr>
        <w:t xml:space="preserve">عما إذا </w:t>
      </w:r>
      <w:r w:rsidRPr="00523D40">
        <w:rPr>
          <w:rFonts w:hint="cs"/>
          <w:color w:val="000000"/>
          <w:spacing w:val="0"/>
          <w:kern w:val="0"/>
          <w:sz w:val="20"/>
          <w:rtl/>
        </w:rPr>
        <w:t>كان بإمكانها</w:t>
      </w:r>
      <w:r w:rsidRPr="00523D40">
        <w:rPr>
          <w:color w:val="000000"/>
          <w:spacing w:val="0"/>
          <w:kern w:val="0"/>
          <w:sz w:val="20"/>
          <w:rtl/>
        </w:rPr>
        <w:t xml:space="preserve"> </w:t>
      </w:r>
      <w:r w:rsidRPr="00523D40">
        <w:rPr>
          <w:rFonts w:hint="cs"/>
          <w:color w:val="000000"/>
          <w:spacing w:val="0"/>
          <w:kern w:val="0"/>
          <w:sz w:val="20"/>
          <w:rtl/>
        </w:rPr>
        <w:t xml:space="preserve">تفسير سبب وجود صورتها على الطلب المقدم </w:t>
      </w:r>
      <w:r w:rsidRPr="00523D40">
        <w:rPr>
          <w:color w:val="000000"/>
          <w:spacing w:val="0"/>
          <w:kern w:val="0"/>
          <w:sz w:val="20"/>
          <w:rtl/>
        </w:rPr>
        <w:t xml:space="preserve">للحصول على تأشيرة إلى السويد، </w:t>
      </w:r>
      <w:r w:rsidRPr="00523D40">
        <w:rPr>
          <w:rFonts w:hint="cs"/>
          <w:color w:val="000000"/>
          <w:spacing w:val="0"/>
          <w:kern w:val="0"/>
          <w:sz w:val="20"/>
          <w:rtl/>
        </w:rPr>
        <w:t>ذكرت</w:t>
      </w:r>
      <w:r w:rsidRPr="00523D40">
        <w:rPr>
          <w:color w:val="000000"/>
          <w:spacing w:val="0"/>
          <w:kern w:val="0"/>
          <w:sz w:val="20"/>
          <w:rtl/>
        </w:rPr>
        <w:t xml:space="preserve"> أن </w:t>
      </w:r>
      <w:r w:rsidRPr="00523D40">
        <w:rPr>
          <w:rFonts w:hint="cs"/>
          <w:color w:val="000000"/>
          <w:spacing w:val="0"/>
          <w:kern w:val="0"/>
          <w:sz w:val="20"/>
          <w:rtl/>
        </w:rPr>
        <w:t>هذه الصورة تتطابق مع تلك الموجودة على</w:t>
      </w:r>
      <w:r w:rsidRPr="00523D40">
        <w:rPr>
          <w:color w:val="000000"/>
          <w:spacing w:val="0"/>
          <w:kern w:val="0"/>
          <w:sz w:val="20"/>
          <w:rtl/>
        </w:rPr>
        <w:t xml:space="preserve"> جواز سفرها</w:t>
      </w:r>
      <w:r w:rsidRPr="00523D40">
        <w:rPr>
          <w:rFonts w:hint="cs"/>
          <w:color w:val="000000"/>
          <w:spacing w:val="0"/>
          <w:kern w:val="0"/>
          <w:sz w:val="20"/>
          <w:rtl/>
        </w:rPr>
        <w:t>.</w:t>
      </w:r>
      <w:r w:rsidRPr="00523D40">
        <w:rPr>
          <w:color w:val="000000"/>
          <w:spacing w:val="0"/>
          <w:kern w:val="0"/>
          <w:sz w:val="20"/>
          <w:rtl/>
        </w:rPr>
        <w:t xml:space="preserve"> و</w:t>
      </w:r>
      <w:r w:rsidRPr="00523D40">
        <w:rPr>
          <w:rFonts w:hint="cs"/>
          <w:color w:val="000000"/>
          <w:spacing w:val="0"/>
          <w:kern w:val="0"/>
          <w:sz w:val="20"/>
          <w:rtl/>
        </w:rPr>
        <w:t>لمّا</w:t>
      </w:r>
      <w:r w:rsidRPr="00523D40">
        <w:rPr>
          <w:color w:val="000000"/>
          <w:spacing w:val="0"/>
          <w:kern w:val="0"/>
          <w:sz w:val="20"/>
          <w:rtl/>
        </w:rPr>
        <w:t xml:space="preserve"> أكد</w:t>
      </w:r>
      <w:r w:rsidRPr="00523D40">
        <w:rPr>
          <w:rFonts w:hint="cs"/>
          <w:color w:val="000000"/>
          <w:spacing w:val="0"/>
          <w:kern w:val="0"/>
          <w:sz w:val="20"/>
          <w:rtl/>
        </w:rPr>
        <w:t xml:space="preserve"> لها</w:t>
      </w:r>
      <w:r w:rsidRPr="00523D40">
        <w:rPr>
          <w:color w:val="000000"/>
          <w:spacing w:val="0"/>
          <w:kern w:val="0"/>
          <w:sz w:val="20"/>
          <w:rtl/>
        </w:rPr>
        <w:t xml:space="preserve"> مجلس الهجرة أن </w:t>
      </w:r>
      <w:r w:rsidRPr="00523D40">
        <w:rPr>
          <w:rFonts w:hint="cs"/>
          <w:color w:val="000000"/>
          <w:spacing w:val="0"/>
          <w:kern w:val="0"/>
          <w:sz w:val="20"/>
          <w:rtl/>
        </w:rPr>
        <w:t>الأمر ليس</w:t>
      </w:r>
      <w:r w:rsidRPr="00523D40">
        <w:rPr>
          <w:color w:val="000000"/>
          <w:spacing w:val="0"/>
          <w:kern w:val="0"/>
          <w:sz w:val="20"/>
          <w:rtl/>
        </w:rPr>
        <w:t xml:space="preserve"> كذلك، أ</w:t>
      </w:r>
      <w:r w:rsidRPr="00523D40">
        <w:rPr>
          <w:rFonts w:hint="cs"/>
          <w:color w:val="000000"/>
          <w:spacing w:val="0"/>
          <w:kern w:val="0"/>
          <w:sz w:val="20"/>
          <w:rtl/>
        </w:rPr>
        <w:t>فادت حينها</w:t>
      </w:r>
      <w:r w:rsidRPr="00523D40">
        <w:rPr>
          <w:color w:val="000000"/>
          <w:spacing w:val="0"/>
          <w:kern w:val="0"/>
          <w:sz w:val="20"/>
          <w:rtl/>
        </w:rPr>
        <w:t xml:space="preserve"> أن</w:t>
      </w:r>
      <w:r w:rsidRPr="00523D40">
        <w:rPr>
          <w:rFonts w:hint="cs"/>
          <w:color w:val="000000"/>
          <w:spacing w:val="0"/>
          <w:kern w:val="0"/>
          <w:sz w:val="20"/>
          <w:rtl/>
        </w:rPr>
        <w:t>ه من الجائز أن يكون</w:t>
      </w:r>
      <w:r w:rsidRPr="00523D40">
        <w:rPr>
          <w:color w:val="000000"/>
          <w:spacing w:val="0"/>
          <w:kern w:val="0"/>
          <w:sz w:val="20"/>
          <w:rtl/>
        </w:rPr>
        <w:t xml:space="preserve"> صديقها قد استخدم صورة أخرى </w:t>
      </w:r>
      <w:r w:rsidRPr="00523D40">
        <w:rPr>
          <w:rFonts w:hint="cs"/>
          <w:color w:val="000000"/>
          <w:spacing w:val="0"/>
          <w:kern w:val="0"/>
          <w:sz w:val="20"/>
          <w:rtl/>
        </w:rPr>
        <w:t>دون علم منها.</w:t>
      </w:r>
    </w:p>
    <w:p w:rsidR="00523D40" w:rsidRPr="00A85948" w:rsidRDefault="00523D40" w:rsidP="00A85948">
      <w:pPr>
        <w:pStyle w:val="SingleTxtGA"/>
        <w:jc w:val="lowKashida"/>
        <w:rPr>
          <w:rFonts w:hint="cs"/>
          <w:color w:val="000000"/>
          <w:spacing w:val="-4"/>
          <w:kern w:val="0"/>
          <w:sz w:val="20"/>
          <w:szCs w:val="20"/>
          <w:rtl/>
        </w:rPr>
      </w:pPr>
      <w:r w:rsidRPr="00A85948">
        <w:rPr>
          <w:color w:val="000000"/>
          <w:spacing w:val="-2"/>
          <w:kern w:val="0"/>
          <w:sz w:val="20"/>
          <w:rtl/>
          <w:lang w:val="en-CA"/>
        </w:rPr>
        <w:t>2-8</w:t>
      </w:r>
      <w:r w:rsidRPr="00A85948">
        <w:rPr>
          <w:color w:val="000000"/>
          <w:spacing w:val="-2"/>
          <w:kern w:val="0"/>
          <w:sz w:val="20"/>
          <w:rtl/>
          <w:lang w:val="en-CA"/>
        </w:rPr>
        <w:tab/>
      </w:r>
      <w:r w:rsidRPr="00A85948">
        <w:rPr>
          <w:rFonts w:hint="cs"/>
          <w:color w:val="000000"/>
          <w:spacing w:val="-2"/>
          <w:kern w:val="0"/>
          <w:sz w:val="20"/>
          <w:rtl/>
          <w:lang w:val="en-CA"/>
        </w:rPr>
        <w:t>و</w:t>
      </w:r>
      <w:r w:rsidRPr="00A85948">
        <w:rPr>
          <w:color w:val="000000"/>
          <w:spacing w:val="-2"/>
          <w:kern w:val="0"/>
          <w:sz w:val="20"/>
          <w:rtl/>
        </w:rPr>
        <w:t xml:space="preserve">في 23 </w:t>
      </w:r>
      <w:r w:rsidRPr="00A85948">
        <w:rPr>
          <w:rFonts w:hint="cs"/>
          <w:color w:val="000000"/>
          <w:spacing w:val="-2"/>
          <w:kern w:val="0"/>
          <w:sz w:val="20"/>
          <w:rtl/>
        </w:rPr>
        <w:t>آب/</w:t>
      </w:r>
      <w:r w:rsidRPr="00A85948">
        <w:rPr>
          <w:color w:val="000000"/>
          <w:spacing w:val="-2"/>
          <w:kern w:val="0"/>
          <w:sz w:val="20"/>
          <w:rtl/>
        </w:rPr>
        <w:t>أغسطس 2008، رفض مجلس الهجرة طلب اللجوء</w:t>
      </w:r>
      <w:r w:rsidRPr="00A85948">
        <w:rPr>
          <w:rFonts w:hint="cs"/>
          <w:color w:val="000000"/>
          <w:spacing w:val="-2"/>
          <w:kern w:val="0"/>
          <w:sz w:val="20"/>
          <w:rtl/>
        </w:rPr>
        <w:t xml:space="preserve"> الذي قدمته صاحبة</w:t>
      </w:r>
      <w:r w:rsidRPr="00A85948">
        <w:rPr>
          <w:color w:val="000000"/>
          <w:spacing w:val="-2"/>
          <w:kern w:val="0"/>
          <w:sz w:val="20"/>
          <w:rtl/>
        </w:rPr>
        <w:t xml:space="preserve"> الشكوى، </w:t>
      </w:r>
      <w:r w:rsidRPr="00A85948">
        <w:rPr>
          <w:rFonts w:hint="cs"/>
          <w:color w:val="000000"/>
          <w:spacing w:val="-2"/>
          <w:kern w:val="0"/>
          <w:sz w:val="20"/>
          <w:rtl/>
        </w:rPr>
        <w:t>وأفاد بأنه بالاستناد</w:t>
      </w:r>
      <w:r w:rsidRPr="00A85948">
        <w:rPr>
          <w:color w:val="000000"/>
          <w:spacing w:val="-2"/>
          <w:kern w:val="0"/>
          <w:sz w:val="20"/>
          <w:rtl/>
        </w:rPr>
        <w:t xml:space="preserve"> إلى المعلومات المكتوبة </w:t>
      </w:r>
      <w:r w:rsidRPr="00A85948">
        <w:rPr>
          <w:rFonts w:hint="cs"/>
          <w:color w:val="000000"/>
          <w:spacing w:val="-2"/>
          <w:kern w:val="0"/>
          <w:sz w:val="20"/>
          <w:rtl/>
        </w:rPr>
        <w:t xml:space="preserve">التي وردت </w:t>
      </w:r>
      <w:r w:rsidRPr="00A85948">
        <w:rPr>
          <w:color w:val="000000"/>
          <w:spacing w:val="-2"/>
          <w:kern w:val="0"/>
          <w:sz w:val="20"/>
          <w:rtl/>
        </w:rPr>
        <w:t xml:space="preserve">في </w:t>
      </w:r>
      <w:r w:rsidRPr="00A85948">
        <w:rPr>
          <w:rFonts w:hint="cs"/>
          <w:color w:val="000000"/>
          <w:spacing w:val="-2"/>
          <w:kern w:val="0"/>
          <w:sz w:val="20"/>
          <w:rtl/>
        </w:rPr>
        <w:t>ال</w:t>
      </w:r>
      <w:r w:rsidRPr="00A85948">
        <w:rPr>
          <w:color w:val="000000"/>
          <w:spacing w:val="-2"/>
          <w:kern w:val="0"/>
          <w:sz w:val="20"/>
          <w:rtl/>
        </w:rPr>
        <w:t xml:space="preserve">ملف وتقرير </w:t>
      </w:r>
      <w:r w:rsidRPr="00A85948">
        <w:rPr>
          <w:rFonts w:hint="cs"/>
          <w:color w:val="000000"/>
          <w:spacing w:val="-2"/>
          <w:kern w:val="0"/>
          <w:sz w:val="20"/>
          <w:rtl/>
        </w:rPr>
        <w:t>الخبير التابع لإدارة المجلس المعنية بتحديد الهوية</w:t>
      </w:r>
      <w:r w:rsidRPr="00A85948">
        <w:rPr>
          <w:color w:val="000000"/>
          <w:spacing w:val="-2"/>
          <w:kern w:val="0"/>
          <w:sz w:val="20"/>
          <w:rtl/>
        </w:rPr>
        <w:t xml:space="preserve">، </w:t>
      </w:r>
      <w:r w:rsidRPr="00A85948">
        <w:rPr>
          <w:rFonts w:hint="cs"/>
          <w:color w:val="000000"/>
          <w:spacing w:val="-2"/>
          <w:kern w:val="0"/>
          <w:sz w:val="20"/>
          <w:rtl/>
        </w:rPr>
        <w:t>فإن صاحبة الشكوى هي</w:t>
      </w:r>
      <w:r w:rsidRPr="00A85948">
        <w:rPr>
          <w:color w:val="000000"/>
          <w:spacing w:val="-2"/>
          <w:kern w:val="0"/>
          <w:sz w:val="20"/>
          <w:rtl/>
        </w:rPr>
        <w:t xml:space="preserve"> الشخص الذي </w:t>
      </w:r>
      <w:r w:rsidRPr="00A85948">
        <w:rPr>
          <w:rFonts w:hint="cs"/>
          <w:color w:val="000000"/>
          <w:spacing w:val="-2"/>
          <w:kern w:val="0"/>
          <w:sz w:val="20"/>
          <w:rtl/>
        </w:rPr>
        <w:t>قدم طلب الحصول</w:t>
      </w:r>
      <w:r w:rsidRPr="00A85948">
        <w:rPr>
          <w:color w:val="000000"/>
          <w:spacing w:val="-2"/>
          <w:kern w:val="0"/>
          <w:sz w:val="20"/>
          <w:rtl/>
        </w:rPr>
        <w:t xml:space="preserve"> على تأشيرة سويدية في الجزائر العاصمة. وذكر المجلس </w:t>
      </w:r>
      <w:r w:rsidRPr="00A85948">
        <w:rPr>
          <w:rFonts w:hint="cs"/>
          <w:color w:val="000000"/>
          <w:spacing w:val="-2"/>
          <w:kern w:val="0"/>
          <w:sz w:val="20"/>
          <w:rtl/>
        </w:rPr>
        <w:t>كذلك</w:t>
      </w:r>
      <w:r w:rsidRPr="00A85948">
        <w:rPr>
          <w:color w:val="000000"/>
          <w:spacing w:val="-2"/>
          <w:kern w:val="0"/>
          <w:sz w:val="20"/>
          <w:rtl/>
        </w:rPr>
        <w:t xml:space="preserve"> أن صاحب</w:t>
      </w:r>
      <w:r w:rsidRPr="00A85948">
        <w:rPr>
          <w:rFonts w:hint="cs"/>
          <w:color w:val="000000"/>
          <w:spacing w:val="-2"/>
          <w:kern w:val="0"/>
          <w:sz w:val="20"/>
          <w:rtl/>
        </w:rPr>
        <w:t>ة</w:t>
      </w:r>
      <w:r w:rsidRPr="00A85948">
        <w:rPr>
          <w:color w:val="000000"/>
          <w:spacing w:val="-2"/>
          <w:kern w:val="0"/>
          <w:sz w:val="20"/>
          <w:rtl/>
        </w:rPr>
        <w:t xml:space="preserve"> الشكوى لم</w:t>
      </w:r>
      <w:r w:rsidR="00A85948">
        <w:rPr>
          <w:rFonts w:hint="cs"/>
          <w:color w:val="000000"/>
          <w:spacing w:val="-2"/>
          <w:kern w:val="0"/>
          <w:sz w:val="20"/>
          <w:rtl/>
        </w:rPr>
        <w:t> </w:t>
      </w:r>
      <w:r w:rsidRPr="00A85948">
        <w:rPr>
          <w:color w:val="000000"/>
          <w:spacing w:val="-2"/>
          <w:kern w:val="0"/>
          <w:sz w:val="20"/>
          <w:rtl/>
        </w:rPr>
        <w:t xml:space="preserve">تكن قادرة على تقديم تفسير </w:t>
      </w:r>
      <w:r w:rsidRPr="00A85948">
        <w:rPr>
          <w:rFonts w:hint="cs"/>
          <w:color w:val="000000"/>
          <w:spacing w:val="-2"/>
          <w:kern w:val="0"/>
          <w:sz w:val="20"/>
          <w:rtl/>
        </w:rPr>
        <w:t xml:space="preserve">موثوق ومتسق يبيّن أسباب تقديم طلب يتضمن جواز سفرها وصورتها وتاريخ ميلادها واسمها الأول من أجل الحصول على تأشيرة في الجزائر. </w:t>
      </w:r>
      <w:r w:rsidRPr="00A85948">
        <w:rPr>
          <w:color w:val="000000"/>
          <w:spacing w:val="-2"/>
          <w:kern w:val="0"/>
          <w:sz w:val="20"/>
          <w:rtl/>
        </w:rPr>
        <w:t>ولاحظ المجلس أيضا</w:t>
      </w:r>
      <w:r w:rsidRPr="00A85948">
        <w:rPr>
          <w:rFonts w:hint="cs"/>
          <w:color w:val="000000"/>
          <w:spacing w:val="-2"/>
          <w:kern w:val="0"/>
          <w:sz w:val="20"/>
          <w:rtl/>
        </w:rPr>
        <w:t>ً</w:t>
      </w:r>
      <w:r w:rsidRPr="00A85948">
        <w:rPr>
          <w:color w:val="000000"/>
          <w:spacing w:val="-2"/>
          <w:kern w:val="0"/>
          <w:sz w:val="20"/>
          <w:rtl/>
        </w:rPr>
        <w:t xml:space="preserve"> أنه حتى </w:t>
      </w:r>
      <w:r w:rsidRPr="00A85948">
        <w:rPr>
          <w:rFonts w:hint="cs"/>
          <w:color w:val="000000"/>
          <w:spacing w:val="-2"/>
          <w:kern w:val="0"/>
          <w:sz w:val="20"/>
          <w:rtl/>
        </w:rPr>
        <w:t>مع افتراض أن صاحبة</w:t>
      </w:r>
      <w:r w:rsidRPr="00A85948">
        <w:rPr>
          <w:color w:val="000000"/>
          <w:spacing w:val="-2"/>
          <w:kern w:val="0"/>
          <w:sz w:val="20"/>
          <w:rtl/>
        </w:rPr>
        <w:t xml:space="preserve"> الشكوى</w:t>
      </w:r>
      <w:r w:rsidRPr="00A85948">
        <w:rPr>
          <w:rFonts w:hint="cs"/>
          <w:color w:val="000000"/>
          <w:spacing w:val="-2"/>
          <w:kern w:val="0"/>
          <w:sz w:val="20"/>
          <w:rtl/>
        </w:rPr>
        <w:t xml:space="preserve"> كانت</w:t>
      </w:r>
      <w:r w:rsidRPr="00A85948">
        <w:rPr>
          <w:color w:val="000000"/>
          <w:spacing w:val="-2"/>
          <w:kern w:val="0"/>
          <w:sz w:val="20"/>
          <w:rtl/>
        </w:rPr>
        <w:t xml:space="preserve"> في الجزائر في </w:t>
      </w:r>
      <w:r w:rsidRPr="00A85948">
        <w:rPr>
          <w:rFonts w:hint="cs"/>
          <w:color w:val="000000"/>
          <w:spacing w:val="-2"/>
          <w:kern w:val="0"/>
          <w:sz w:val="20"/>
          <w:rtl/>
        </w:rPr>
        <w:t xml:space="preserve">تموز/يوليه </w:t>
      </w:r>
      <w:r w:rsidRPr="00A85948">
        <w:rPr>
          <w:color w:val="000000"/>
          <w:spacing w:val="-2"/>
          <w:kern w:val="0"/>
          <w:sz w:val="20"/>
          <w:rtl/>
        </w:rPr>
        <w:t xml:space="preserve">2006 </w:t>
      </w:r>
      <w:r w:rsidRPr="00A85948">
        <w:rPr>
          <w:rFonts w:hint="cs"/>
          <w:color w:val="000000"/>
          <w:spacing w:val="-2"/>
          <w:kern w:val="0"/>
          <w:sz w:val="20"/>
          <w:rtl/>
        </w:rPr>
        <w:t>ل</w:t>
      </w:r>
      <w:r w:rsidRPr="00A85948">
        <w:rPr>
          <w:color w:val="000000"/>
          <w:spacing w:val="-2"/>
          <w:kern w:val="0"/>
          <w:sz w:val="20"/>
          <w:rtl/>
        </w:rPr>
        <w:t xml:space="preserve">تقديم طلب </w:t>
      </w:r>
      <w:r w:rsidRPr="00A85948">
        <w:rPr>
          <w:rFonts w:hint="cs"/>
          <w:color w:val="000000"/>
          <w:spacing w:val="-2"/>
          <w:kern w:val="0"/>
          <w:sz w:val="20"/>
          <w:rtl/>
        </w:rPr>
        <w:t>ا</w:t>
      </w:r>
      <w:r w:rsidRPr="00A85948">
        <w:rPr>
          <w:color w:val="000000"/>
          <w:spacing w:val="-2"/>
          <w:kern w:val="0"/>
          <w:sz w:val="20"/>
          <w:rtl/>
        </w:rPr>
        <w:t xml:space="preserve">لحصول على تأشيرة، </w:t>
      </w:r>
      <w:r w:rsidRPr="00A85948">
        <w:rPr>
          <w:rFonts w:hint="cs"/>
          <w:color w:val="000000"/>
          <w:spacing w:val="-2"/>
          <w:kern w:val="0"/>
          <w:sz w:val="20"/>
          <w:rtl/>
        </w:rPr>
        <w:t xml:space="preserve">فإن </w:t>
      </w:r>
      <w:r w:rsidRPr="00A85948">
        <w:rPr>
          <w:color w:val="000000"/>
          <w:spacing w:val="-2"/>
          <w:kern w:val="0"/>
          <w:sz w:val="20"/>
          <w:rtl/>
        </w:rPr>
        <w:t xml:space="preserve">هذا لا يستبعد </w:t>
      </w:r>
      <w:r w:rsidRPr="00A85948">
        <w:rPr>
          <w:rFonts w:hint="cs"/>
          <w:color w:val="000000"/>
          <w:spacing w:val="-2"/>
          <w:kern w:val="0"/>
          <w:sz w:val="20"/>
          <w:rtl/>
        </w:rPr>
        <w:t xml:space="preserve">إمكانية وجودها </w:t>
      </w:r>
      <w:r w:rsidRPr="00A85948">
        <w:rPr>
          <w:color w:val="000000"/>
          <w:spacing w:val="-2"/>
          <w:kern w:val="0"/>
          <w:sz w:val="20"/>
          <w:rtl/>
        </w:rPr>
        <w:t xml:space="preserve">في بوروندي في وقت </w:t>
      </w:r>
      <w:r w:rsidRPr="00A85948">
        <w:rPr>
          <w:rFonts w:hint="cs"/>
          <w:color w:val="000000"/>
          <w:spacing w:val="-2"/>
          <w:kern w:val="0"/>
          <w:sz w:val="20"/>
          <w:rtl/>
        </w:rPr>
        <w:t>مقتل أخيها</w:t>
      </w:r>
      <w:r w:rsidRPr="00A85948">
        <w:rPr>
          <w:color w:val="000000"/>
          <w:spacing w:val="-2"/>
          <w:kern w:val="0"/>
          <w:sz w:val="20"/>
          <w:rtl/>
        </w:rPr>
        <w:t xml:space="preserve">. ورأى المجلس أن </w:t>
      </w:r>
      <w:r w:rsidRPr="00A85948">
        <w:rPr>
          <w:rFonts w:hint="cs"/>
          <w:color w:val="000000"/>
          <w:spacing w:val="-2"/>
          <w:kern w:val="0"/>
          <w:sz w:val="20"/>
          <w:rtl/>
        </w:rPr>
        <w:t>في حالة الأخذ بهذا الافتراض،</w:t>
      </w:r>
      <w:r w:rsidRPr="00A85948">
        <w:rPr>
          <w:color w:val="000000"/>
          <w:spacing w:val="-2"/>
          <w:kern w:val="0"/>
          <w:sz w:val="20"/>
          <w:rtl/>
        </w:rPr>
        <w:t xml:space="preserve"> </w:t>
      </w:r>
      <w:r w:rsidRPr="00A85948">
        <w:rPr>
          <w:rFonts w:hint="cs"/>
          <w:color w:val="000000"/>
          <w:spacing w:val="-2"/>
          <w:kern w:val="0"/>
          <w:sz w:val="20"/>
          <w:rtl/>
        </w:rPr>
        <w:t>فإن صاحبة الشكوى لم تقدم أي</w:t>
      </w:r>
      <w:r w:rsidRPr="00A85948">
        <w:rPr>
          <w:color w:val="000000"/>
          <w:spacing w:val="-2"/>
          <w:kern w:val="0"/>
          <w:sz w:val="20"/>
          <w:rtl/>
        </w:rPr>
        <w:t xml:space="preserve"> تفسير معقول </w:t>
      </w:r>
      <w:r w:rsidRPr="00A85948">
        <w:rPr>
          <w:rFonts w:hint="cs"/>
          <w:color w:val="000000"/>
          <w:spacing w:val="-2"/>
          <w:kern w:val="0"/>
          <w:sz w:val="20"/>
          <w:rtl/>
        </w:rPr>
        <w:t xml:space="preserve">عن عدم إبلاغ المجلس بتقديمها طلباً للحصول </w:t>
      </w:r>
      <w:r w:rsidRPr="00A85948">
        <w:rPr>
          <w:color w:val="000000"/>
          <w:spacing w:val="-2"/>
          <w:kern w:val="0"/>
          <w:sz w:val="20"/>
          <w:rtl/>
        </w:rPr>
        <w:t xml:space="preserve">على تأشيرة سويدية </w:t>
      </w:r>
      <w:r w:rsidRPr="00A85948">
        <w:rPr>
          <w:rFonts w:hint="cs"/>
          <w:color w:val="000000"/>
          <w:spacing w:val="-2"/>
          <w:kern w:val="0"/>
          <w:sz w:val="20"/>
          <w:rtl/>
        </w:rPr>
        <w:t xml:space="preserve">وعن إقامتها السابقة في الخارج. </w:t>
      </w:r>
      <w:r w:rsidRPr="00A85948">
        <w:rPr>
          <w:color w:val="000000"/>
          <w:spacing w:val="-2"/>
          <w:kern w:val="0"/>
          <w:sz w:val="20"/>
          <w:rtl/>
        </w:rPr>
        <w:t xml:space="preserve">ولذلك </w:t>
      </w:r>
      <w:r w:rsidRPr="00A85948">
        <w:rPr>
          <w:rFonts w:hint="cs"/>
          <w:color w:val="000000"/>
          <w:spacing w:val="-2"/>
          <w:kern w:val="0"/>
          <w:sz w:val="20"/>
          <w:rtl/>
        </w:rPr>
        <w:t>فقد شكك المجلس في الادعاءات التي قدمتها صاحبة الشكوى.</w:t>
      </w:r>
      <w:r w:rsidRPr="00A85948">
        <w:rPr>
          <w:color w:val="000000"/>
          <w:spacing w:val="-2"/>
          <w:kern w:val="0"/>
          <w:sz w:val="20"/>
          <w:rtl/>
        </w:rPr>
        <w:t xml:space="preserve"> </w:t>
      </w:r>
      <w:r w:rsidRPr="00A85948">
        <w:rPr>
          <w:rFonts w:hint="cs"/>
          <w:color w:val="000000"/>
          <w:spacing w:val="-2"/>
          <w:kern w:val="0"/>
          <w:sz w:val="20"/>
          <w:rtl/>
        </w:rPr>
        <w:t>وخلص إلى أنها لم تستطع إثبات</w:t>
      </w:r>
      <w:r w:rsidRPr="00A85948">
        <w:rPr>
          <w:color w:val="000000"/>
          <w:spacing w:val="-2"/>
          <w:kern w:val="0"/>
          <w:sz w:val="20"/>
          <w:rtl/>
        </w:rPr>
        <w:t xml:space="preserve"> هويتها وبلد</w:t>
      </w:r>
      <w:r w:rsidRPr="00A85948">
        <w:rPr>
          <w:rFonts w:hint="cs"/>
          <w:color w:val="000000"/>
          <w:spacing w:val="-2"/>
          <w:kern w:val="0"/>
          <w:sz w:val="20"/>
          <w:rtl/>
        </w:rPr>
        <w:t xml:space="preserve">ها الأصلي </w:t>
      </w:r>
      <w:r w:rsidRPr="00A85948">
        <w:rPr>
          <w:color w:val="000000"/>
          <w:spacing w:val="-2"/>
          <w:kern w:val="0"/>
          <w:sz w:val="20"/>
          <w:rtl/>
        </w:rPr>
        <w:t>و</w:t>
      </w:r>
      <w:r w:rsidRPr="00A85948">
        <w:rPr>
          <w:rFonts w:hint="cs"/>
          <w:color w:val="000000"/>
          <w:spacing w:val="-2"/>
          <w:kern w:val="0"/>
          <w:sz w:val="20"/>
          <w:rtl/>
        </w:rPr>
        <w:t>جنسيتها</w:t>
      </w:r>
      <w:r w:rsidRPr="00A85948">
        <w:rPr>
          <w:color w:val="000000"/>
          <w:spacing w:val="-2"/>
          <w:kern w:val="0"/>
          <w:sz w:val="20"/>
          <w:rtl/>
        </w:rPr>
        <w:t xml:space="preserve">، </w:t>
      </w:r>
      <w:r w:rsidRPr="00A85948">
        <w:rPr>
          <w:rFonts w:hint="cs"/>
          <w:color w:val="000000"/>
          <w:spacing w:val="-2"/>
          <w:kern w:val="0"/>
          <w:sz w:val="20"/>
          <w:rtl/>
        </w:rPr>
        <w:t>غير أنه</w:t>
      </w:r>
      <w:r w:rsidRPr="00A85948">
        <w:rPr>
          <w:color w:val="000000"/>
          <w:spacing w:val="-2"/>
          <w:kern w:val="0"/>
          <w:sz w:val="20"/>
          <w:rtl/>
        </w:rPr>
        <w:t xml:space="preserve"> قرر أن </w:t>
      </w:r>
      <w:r w:rsidRPr="00A85948">
        <w:rPr>
          <w:rFonts w:hint="cs"/>
          <w:color w:val="000000"/>
          <w:spacing w:val="-2"/>
          <w:kern w:val="0"/>
          <w:sz w:val="20"/>
          <w:rtl/>
        </w:rPr>
        <w:t xml:space="preserve">يفصل في </w:t>
      </w:r>
      <w:r w:rsidRPr="00A85948">
        <w:rPr>
          <w:rFonts w:hint="cs"/>
          <w:color w:val="000000"/>
          <w:spacing w:val="-4"/>
          <w:kern w:val="0"/>
          <w:sz w:val="20"/>
          <w:rtl/>
        </w:rPr>
        <w:t xml:space="preserve">هذه المسألة </w:t>
      </w:r>
      <w:r w:rsidRPr="00A85948">
        <w:rPr>
          <w:color w:val="000000"/>
          <w:spacing w:val="-4"/>
          <w:kern w:val="0"/>
          <w:sz w:val="20"/>
          <w:rtl/>
        </w:rPr>
        <w:t>و</w:t>
      </w:r>
      <w:r w:rsidRPr="00A85948">
        <w:rPr>
          <w:rFonts w:hint="cs"/>
          <w:color w:val="000000"/>
          <w:spacing w:val="-4"/>
          <w:kern w:val="0"/>
          <w:sz w:val="20"/>
          <w:rtl/>
        </w:rPr>
        <w:t xml:space="preserve">في </w:t>
      </w:r>
      <w:r w:rsidRPr="00A85948">
        <w:rPr>
          <w:color w:val="000000"/>
          <w:spacing w:val="-4"/>
          <w:kern w:val="0"/>
          <w:sz w:val="20"/>
          <w:rtl/>
        </w:rPr>
        <w:t xml:space="preserve">طلب اللجوء </w:t>
      </w:r>
      <w:r w:rsidRPr="00A85948">
        <w:rPr>
          <w:rFonts w:hint="cs"/>
          <w:color w:val="000000"/>
          <w:spacing w:val="-4"/>
          <w:kern w:val="0"/>
          <w:sz w:val="20"/>
          <w:rtl/>
        </w:rPr>
        <w:t>على أنهما يتعلقان ب</w:t>
      </w:r>
      <w:r w:rsidRPr="00A85948">
        <w:rPr>
          <w:color w:val="000000"/>
          <w:spacing w:val="-4"/>
          <w:kern w:val="0"/>
          <w:sz w:val="20"/>
          <w:rtl/>
        </w:rPr>
        <w:t xml:space="preserve">بوروندي. وبصرف النظر عن عدم </w:t>
      </w:r>
      <w:r w:rsidRPr="00A85948">
        <w:rPr>
          <w:rFonts w:hint="cs"/>
          <w:color w:val="000000"/>
          <w:spacing w:val="-4"/>
          <w:kern w:val="0"/>
          <w:sz w:val="20"/>
          <w:rtl/>
        </w:rPr>
        <w:t>موثوقية</w:t>
      </w:r>
      <w:r w:rsidRPr="00A85948">
        <w:rPr>
          <w:color w:val="000000"/>
          <w:spacing w:val="-4"/>
          <w:kern w:val="0"/>
          <w:sz w:val="20"/>
          <w:rtl/>
        </w:rPr>
        <w:t xml:space="preserve"> التفاصيل التي </w:t>
      </w:r>
      <w:r w:rsidRPr="00A85948">
        <w:rPr>
          <w:rFonts w:hint="cs"/>
          <w:color w:val="000000"/>
          <w:spacing w:val="-4"/>
          <w:kern w:val="0"/>
          <w:sz w:val="20"/>
          <w:rtl/>
        </w:rPr>
        <w:t>عرضتها</w:t>
      </w:r>
      <w:r w:rsidRPr="00A85948">
        <w:rPr>
          <w:color w:val="000000"/>
          <w:spacing w:val="-4"/>
          <w:kern w:val="0"/>
          <w:sz w:val="20"/>
          <w:rtl/>
        </w:rPr>
        <w:t xml:space="preserve"> صاحب</w:t>
      </w:r>
      <w:r w:rsidRPr="00A85948">
        <w:rPr>
          <w:rFonts w:hint="cs"/>
          <w:color w:val="000000"/>
          <w:spacing w:val="-4"/>
          <w:kern w:val="0"/>
          <w:sz w:val="20"/>
          <w:rtl/>
        </w:rPr>
        <w:t>ة</w:t>
      </w:r>
      <w:r w:rsidRPr="00A85948">
        <w:rPr>
          <w:color w:val="000000"/>
          <w:spacing w:val="-4"/>
          <w:kern w:val="0"/>
          <w:sz w:val="20"/>
          <w:rtl/>
        </w:rPr>
        <w:t xml:space="preserve"> الشكوى، </w:t>
      </w:r>
      <w:r w:rsidRPr="00A85948">
        <w:rPr>
          <w:rFonts w:hint="cs"/>
          <w:color w:val="000000"/>
          <w:spacing w:val="-4"/>
          <w:kern w:val="0"/>
          <w:sz w:val="20"/>
          <w:rtl/>
        </w:rPr>
        <w:t>فقد رأى</w:t>
      </w:r>
      <w:r w:rsidRPr="00A85948">
        <w:rPr>
          <w:color w:val="000000"/>
          <w:spacing w:val="-4"/>
          <w:kern w:val="0"/>
          <w:sz w:val="20"/>
          <w:rtl/>
        </w:rPr>
        <w:t xml:space="preserve"> المجلس أن</w:t>
      </w:r>
      <w:r w:rsidRPr="00A85948">
        <w:rPr>
          <w:rFonts w:hint="cs"/>
          <w:color w:val="000000"/>
          <w:spacing w:val="-4"/>
          <w:kern w:val="0"/>
          <w:sz w:val="20"/>
          <w:rtl/>
        </w:rPr>
        <w:t xml:space="preserve"> ادعاءاتها لا تكفي لإثبات تعرضها لخطر الاضطهاد</w:t>
      </w:r>
      <w:r w:rsidRPr="00A85948">
        <w:rPr>
          <w:color w:val="000000"/>
          <w:spacing w:val="-4"/>
          <w:kern w:val="0"/>
          <w:sz w:val="20"/>
          <w:rtl/>
        </w:rPr>
        <w:t xml:space="preserve"> </w:t>
      </w:r>
      <w:r w:rsidRPr="00A85948">
        <w:rPr>
          <w:rFonts w:hint="cs"/>
          <w:color w:val="000000"/>
          <w:spacing w:val="-4"/>
          <w:kern w:val="0"/>
          <w:sz w:val="20"/>
          <w:rtl/>
        </w:rPr>
        <w:t xml:space="preserve">أو </w:t>
      </w:r>
      <w:r w:rsidRPr="00A85948">
        <w:rPr>
          <w:color w:val="000000"/>
          <w:spacing w:val="-4"/>
          <w:kern w:val="0"/>
          <w:sz w:val="20"/>
          <w:rtl/>
        </w:rPr>
        <w:t>سوء المعاملة أو العقاب</w:t>
      </w:r>
      <w:r w:rsidRPr="00A85948">
        <w:rPr>
          <w:rFonts w:hint="cs"/>
          <w:color w:val="000000"/>
          <w:spacing w:val="-4"/>
          <w:kern w:val="0"/>
          <w:sz w:val="20"/>
          <w:rtl/>
        </w:rPr>
        <w:t xml:space="preserve"> بالنظر إلى أنها لم تتعرض </w:t>
      </w:r>
      <w:r w:rsidRPr="00A85948">
        <w:rPr>
          <w:color w:val="000000"/>
          <w:spacing w:val="-4"/>
          <w:kern w:val="0"/>
          <w:sz w:val="20"/>
          <w:rtl/>
        </w:rPr>
        <w:t xml:space="preserve">لمثل هذه </w:t>
      </w:r>
      <w:r w:rsidRPr="00A85948">
        <w:rPr>
          <w:rFonts w:hint="cs"/>
          <w:color w:val="000000"/>
          <w:spacing w:val="-4"/>
          <w:kern w:val="0"/>
          <w:sz w:val="20"/>
          <w:rtl/>
        </w:rPr>
        <w:t>الاعتداءات</w:t>
      </w:r>
      <w:r w:rsidRPr="00A85948">
        <w:rPr>
          <w:color w:val="000000"/>
          <w:spacing w:val="-4"/>
          <w:kern w:val="0"/>
          <w:sz w:val="20"/>
          <w:rtl/>
        </w:rPr>
        <w:t xml:space="preserve"> </w:t>
      </w:r>
      <w:r w:rsidRPr="00A85948">
        <w:rPr>
          <w:rFonts w:hint="cs"/>
          <w:color w:val="000000"/>
          <w:spacing w:val="-4"/>
          <w:kern w:val="0"/>
          <w:sz w:val="20"/>
          <w:rtl/>
        </w:rPr>
        <w:t>حينما كانت في</w:t>
      </w:r>
      <w:r w:rsidRPr="00A85948">
        <w:rPr>
          <w:color w:val="000000"/>
          <w:spacing w:val="-4"/>
          <w:kern w:val="0"/>
          <w:sz w:val="20"/>
          <w:rtl/>
        </w:rPr>
        <w:t xml:space="preserve"> بوروندي. </w:t>
      </w:r>
      <w:r w:rsidRPr="00A85948">
        <w:rPr>
          <w:rFonts w:hint="cs"/>
          <w:color w:val="000000"/>
          <w:spacing w:val="-4"/>
          <w:kern w:val="0"/>
          <w:sz w:val="20"/>
          <w:rtl/>
        </w:rPr>
        <w:t xml:space="preserve">ولقد بلغها عن طريق غير مباشر أن المليشيا تفتش عنها، ولكنها بقيت في البلد </w:t>
      </w:r>
      <w:r w:rsidRPr="00A85948">
        <w:rPr>
          <w:color w:val="000000"/>
          <w:spacing w:val="-4"/>
          <w:kern w:val="0"/>
          <w:sz w:val="20"/>
          <w:rtl/>
        </w:rPr>
        <w:t>لفترة طويلة نسبيا</w:t>
      </w:r>
      <w:r w:rsidRPr="00A85948">
        <w:rPr>
          <w:rFonts w:hint="cs"/>
          <w:color w:val="000000"/>
          <w:spacing w:val="-4"/>
          <w:kern w:val="0"/>
          <w:sz w:val="20"/>
          <w:rtl/>
        </w:rPr>
        <w:t>ً</w:t>
      </w:r>
      <w:r w:rsidRPr="00A85948">
        <w:rPr>
          <w:color w:val="000000"/>
          <w:spacing w:val="-4"/>
          <w:kern w:val="0"/>
          <w:sz w:val="20"/>
          <w:rtl/>
        </w:rPr>
        <w:t xml:space="preserve"> بعد </w:t>
      </w:r>
      <w:r w:rsidRPr="00A85948">
        <w:rPr>
          <w:rFonts w:hint="cs"/>
          <w:color w:val="000000"/>
          <w:spacing w:val="-4"/>
          <w:kern w:val="0"/>
          <w:sz w:val="20"/>
          <w:rtl/>
        </w:rPr>
        <w:t>مقتل شقيقها</w:t>
      </w:r>
      <w:r w:rsidRPr="00A85948">
        <w:rPr>
          <w:color w:val="000000"/>
          <w:spacing w:val="-4"/>
          <w:kern w:val="0"/>
          <w:sz w:val="20"/>
          <w:rtl/>
        </w:rPr>
        <w:t xml:space="preserve"> دون </w:t>
      </w:r>
      <w:r w:rsidRPr="00A85948">
        <w:rPr>
          <w:rFonts w:hint="cs"/>
          <w:color w:val="000000"/>
          <w:spacing w:val="-4"/>
          <w:kern w:val="0"/>
          <w:sz w:val="20"/>
          <w:rtl/>
        </w:rPr>
        <w:t>أن تتعرض للتهديد أو</w:t>
      </w:r>
      <w:r w:rsidRPr="00A85948">
        <w:rPr>
          <w:color w:val="000000"/>
          <w:spacing w:val="-4"/>
          <w:kern w:val="0"/>
          <w:sz w:val="20"/>
          <w:rtl/>
        </w:rPr>
        <w:t xml:space="preserve"> </w:t>
      </w:r>
      <w:r w:rsidRPr="00A85948">
        <w:rPr>
          <w:rFonts w:hint="cs"/>
          <w:color w:val="000000"/>
          <w:spacing w:val="-4"/>
          <w:kern w:val="0"/>
          <w:sz w:val="20"/>
          <w:rtl/>
        </w:rPr>
        <w:t>لمضايقات أخرى.</w:t>
      </w:r>
    </w:p>
    <w:p w:rsidR="00523D40" w:rsidRPr="00523D40" w:rsidRDefault="00523D40" w:rsidP="00523D40">
      <w:pPr>
        <w:pStyle w:val="SingleTxtGA"/>
        <w:jc w:val="lowKashida"/>
        <w:rPr>
          <w:rFonts w:hint="cs"/>
          <w:color w:val="000000"/>
          <w:spacing w:val="0"/>
          <w:kern w:val="0"/>
          <w:sz w:val="20"/>
          <w:szCs w:val="20"/>
          <w:rtl/>
        </w:rPr>
      </w:pPr>
      <w:r w:rsidRPr="00523D40">
        <w:rPr>
          <w:color w:val="000000"/>
          <w:spacing w:val="0"/>
          <w:kern w:val="0"/>
          <w:sz w:val="20"/>
          <w:rtl/>
          <w:lang w:val="en-CA"/>
        </w:rPr>
        <w:t>2-9</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في 13 تشرين الأول</w:t>
      </w:r>
      <w:r w:rsidRPr="00523D40">
        <w:rPr>
          <w:rFonts w:hint="cs"/>
          <w:color w:val="000000"/>
          <w:spacing w:val="0"/>
          <w:kern w:val="0"/>
          <w:sz w:val="20"/>
          <w:rtl/>
        </w:rPr>
        <w:t>/أكتوبر</w:t>
      </w:r>
      <w:r w:rsidRPr="00523D40">
        <w:rPr>
          <w:color w:val="000000"/>
          <w:spacing w:val="0"/>
          <w:kern w:val="0"/>
          <w:sz w:val="20"/>
          <w:rtl/>
        </w:rPr>
        <w:t xml:space="preserve"> و14 </w:t>
      </w:r>
      <w:r w:rsidRPr="00523D40">
        <w:rPr>
          <w:rFonts w:hint="cs"/>
          <w:color w:val="000000"/>
          <w:spacing w:val="0"/>
          <w:kern w:val="0"/>
          <w:sz w:val="20"/>
          <w:rtl/>
        </w:rPr>
        <w:t>تشرين الثاني/</w:t>
      </w:r>
      <w:r w:rsidRPr="00523D40">
        <w:rPr>
          <w:color w:val="000000"/>
          <w:spacing w:val="0"/>
          <w:kern w:val="0"/>
          <w:sz w:val="20"/>
          <w:rtl/>
        </w:rPr>
        <w:t xml:space="preserve">نوفمبر 2008، </w:t>
      </w:r>
      <w:r w:rsidRPr="00523D40">
        <w:rPr>
          <w:rFonts w:hint="cs"/>
          <w:color w:val="000000"/>
          <w:spacing w:val="0"/>
          <w:kern w:val="0"/>
          <w:sz w:val="20"/>
          <w:rtl/>
        </w:rPr>
        <w:t>طعنت صاحبة</w:t>
      </w:r>
      <w:r w:rsidRPr="00523D40">
        <w:rPr>
          <w:color w:val="000000"/>
          <w:spacing w:val="0"/>
          <w:kern w:val="0"/>
          <w:sz w:val="20"/>
          <w:rtl/>
        </w:rPr>
        <w:t xml:space="preserve"> الشكوى </w:t>
      </w:r>
      <w:r w:rsidRPr="00523D40">
        <w:rPr>
          <w:rFonts w:hint="cs"/>
          <w:color w:val="000000"/>
          <w:spacing w:val="0"/>
          <w:kern w:val="0"/>
          <w:sz w:val="20"/>
          <w:rtl/>
        </w:rPr>
        <w:t>في</w:t>
      </w:r>
      <w:r w:rsidRPr="00523D40">
        <w:rPr>
          <w:color w:val="000000"/>
          <w:spacing w:val="0"/>
          <w:kern w:val="0"/>
          <w:sz w:val="20"/>
          <w:rtl/>
        </w:rPr>
        <w:t xml:space="preserve"> </w:t>
      </w:r>
      <w:r w:rsidRPr="00523D40">
        <w:rPr>
          <w:rFonts w:hint="cs"/>
          <w:color w:val="000000"/>
          <w:spacing w:val="0"/>
          <w:kern w:val="0"/>
          <w:sz w:val="20"/>
          <w:rtl/>
        </w:rPr>
        <w:t>قرار</w:t>
      </w:r>
      <w:r w:rsidRPr="00523D40">
        <w:rPr>
          <w:color w:val="000000"/>
          <w:spacing w:val="0"/>
          <w:kern w:val="0"/>
          <w:sz w:val="20"/>
          <w:rtl/>
        </w:rPr>
        <w:t xml:space="preserve"> مجلس الهجرة</w:t>
      </w:r>
      <w:r w:rsidRPr="00523D40">
        <w:rPr>
          <w:rFonts w:hint="cs"/>
          <w:color w:val="000000"/>
          <w:spacing w:val="0"/>
          <w:kern w:val="0"/>
          <w:sz w:val="20"/>
          <w:rtl/>
        </w:rPr>
        <w:t xml:space="preserve"> أمام محكمة الهجرة</w:t>
      </w:r>
      <w:r w:rsidRPr="00523D40">
        <w:rPr>
          <w:color w:val="000000"/>
          <w:spacing w:val="0"/>
          <w:kern w:val="0"/>
          <w:sz w:val="20"/>
          <w:rtl/>
        </w:rPr>
        <w:t xml:space="preserve">، </w:t>
      </w:r>
      <w:r w:rsidRPr="00523D40">
        <w:rPr>
          <w:rFonts w:hint="cs"/>
          <w:color w:val="000000"/>
          <w:spacing w:val="0"/>
          <w:kern w:val="0"/>
          <w:sz w:val="20"/>
          <w:rtl/>
        </w:rPr>
        <w:t xml:space="preserve">مدعيةً أنه ينبغي لهذه الأخيرة أن تمنحها </w:t>
      </w:r>
      <w:r w:rsidRPr="00523D40">
        <w:rPr>
          <w:color w:val="000000"/>
          <w:spacing w:val="0"/>
          <w:kern w:val="0"/>
          <w:sz w:val="20"/>
          <w:rtl/>
        </w:rPr>
        <w:t xml:space="preserve">تصريح إقامة </w:t>
      </w:r>
      <w:r w:rsidRPr="00523D40">
        <w:rPr>
          <w:rFonts w:hint="cs"/>
          <w:color w:val="000000"/>
          <w:spacing w:val="0"/>
          <w:kern w:val="0"/>
          <w:sz w:val="20"/>
          <w:rtl/>
        </w:rPr>
        <w:t>ومركز</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 xml:space="preserve">لاجئ </w:t>
      </w:r>
      <w:r w:rsidRPr="00523D40">
        <w:rPr>
          <w:rFonts w:hint="cs"/>
          <w:color w:val="000000"/>
          <w:spacing w:val="0"/>
          <w:kern w:val="0"/>
          <w:sz w:val="20"/>
          <w:rtl/>
        </w:rPr>
        <w:t>و</w:t>
      </w:r>
      <w:r w:rsidRPr="00523D40">
        <w:rPr>
          <w:color w:val="000000"/>
          <w:spacing w:val="0"/>
          <w:kern w:val="0"/>
          <w:sz w:val="20"/>
          <w:rtl/>
        </w:rPr>
        <w:t>وثيقة سفر</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وأضافت أنها قدمت تفسيراً متسقاً وموثوقاً</w:t>
      </w:r>
      <w:r w:rsidRPr="00523D40">
        <w:rPr>
          <w:color w:val="000000"/>
          <w:spacing w:val="0"/>
          <w:kern w:val="0"/>
          <w:sz w:val="20"/>
          <w:rtl/>
        </w:rPr>
        <w:t xml:space="preserve"> </w:t>
      </w:r>
      <w:r w:rsidRPr="00523D40">
        <w:rPr>
          <w:rFonts w:hint="cs"/>
          <w:color w:val="000000"/>
          <w:spacing w:val="0"/>
          <w:kern w:val="0"/>
          <w:sz w:val="20"/>
          <w:rtl/>
        </w:rPr>
        <w:t>لأسباب تقديم طلب</w:t>
      </w:r>
      <w:r w:rsidRPr="00523D40">
        <w:rPr>
          <w:color w:val="000000"/>
          <w:spacing w:val="0"/>
          <w:kern w:val="0"/>
          <w:sz w:val="20"/>
          <w:rtl/>
        </w:rPr>
        <w:t xml:space="preserve"> </w:t>
      </w:r>
      <w:r w:rsidRPr="00523D40">
        <w:rPr>
          <w:rFonts w:hint="cs"/>
          <w:color w:val="000000"/>
          <w:spacing w:val="0"/>
          <w:kern w:val="0"/>
          <w:sz w:val="20"/>
          <w:rtl/>
        </w:rPr>
        <w:t>ا</w:t>
      </w:r>
      <w:r w:rsidRPr="00523D40">
        <w:rPr>
          <w:color w:val="000000"/>
          <w:spacing w:val="0"/>
          <w:kern w:val="0"/>
          <w:sz w:val="20"/>
          <w:rtl/>
        </w:rPr>
        <w:t xml:space="preserve">لحصول على تأشيرة في الجزائر. وأشار </w:t>
      </w:r>
      <w:r w:rsidRPr="00523D40">
        <w:rPr>
          <w:rFonts w:hint="cs"/>
          <w:color w:val="000000"/>
          <w:spacing w:val="0"/>
          <w:kern w:val="0"/>
          <w:sz w:val="20"/>
          <w:rtl/>
        </w:rPr>
        <w:t>المحامي المكلف بتقديم المساعدة القضائية لصاحبة الشكوى</w:t>
      </w:r>
      <w:r w:rsidRPr="00523D40">
        <w:rPr>
          <w:color w:val="000000"/>
          <w:spacing w:val="0"/>
          <w:kern w:val="0"/>
          <w:sz w:val="20"/>
          <w:rtl/>
        </w:rPr>
        <w:t xml:space="preserve"> إلى </w:t>
      </w:r>
      <w:r w:rsidRPr="00523D40">
        <w:rPr>
          <w:rFonts w:hint="cs"/>
          <w:color w:val="000000"/>
          <w:spacing w:val="0"/>
          <w:kern w:val="0"/>
          <w:sz w:val="20"/>
          <w:rtl/>
        </w:rPr>
        <w:t>ضرورة ألاّ تحجب</w:t>
      </w:r>
      <w:r w:rsidRPr="00523D40">
        <w:rPr>
          <w:color w:val="000000"/>
          <w:spacing w:val="0"/>
          <w:kern w:val="0"/>
          <w:sz w:val="20"/>
          <w:rtl/>
        </w:rPr>
        <w:t xml:space="preserve"> هذه المسألة </w:t>
      </w:r>
      <w:r w:rsidRPr="00523D40">
        <w:rPr>
          <w:rFonts w:hint="cs"/>
          <w:color w:val="000000"/>
          <w:spacing w:val="0"/>
          <w:kern w:val="0"/>
          <w:sz w:val="20"/>
          <w:rtl/>
        </w:rPr>
        <w:t>المبررات التي دفعت</w:t>
      </w:r>
      <w:r w:rsidRPr="00523D40">
        <w:rPr>
          <w:color w:val="000000"/>
          <w:spacing w:val="0"/>
          <w:kern w:val="0"/>
          <w:sz w:val="20"/>
          <w:rtl/>
        </w:rPr>
        <w:t xml:space="preserve"> موكل</w:t>
      </w:r>
      <w:r w:rsidRPr="00523D40">
        <w:rPr>
          <w:rFonts w:hint="cs"/>
          <w:color w:val="000000"/>
          <w:spacing w:val="0"/>
          <w:kern w:val="0"/>
          <w:sz w:val="20"/>
          <w:rtl/>
        </w:rPr>
        <w:t>ت</w:t>
      </w:r>
      <w:r w:rsidRPr="00523D40">
        <w:rPr>
          <w:color w:val="000000"/>
          <w:spacing w:val="0"/>
          <w:kern w:val="0"/>
          <w:sz w:val="20"/>
          <w:rtl/>
        </w:rPr>
        <w:t xml:space="preserve">ه </w:t>
      </w:r>
      <w:r w:rsidRPr="00523D40">
        <w:rPr>
          <w:rFonts w:hint="cs"/>
          <w:color w:val="000000"/>
          <w:spacing w:val="0"/>
          <w:kern w:val="0"/>
          <w:sz w:val="20"/>
          <w:rtl/>
        </w:rPr>
        <w:t xml:space="preserve">إلى </w:t>
      </w:r>
      <w:r w:rsidRPr="00523D40">
        <w:rPr>
          <w:color w:val="000000"/>
          <w:spacing w:val="0"/>
          <w:kern w:val="0"/>
          <w:sz w:val="20"/>
          <w:rtl/>
        </w:rPr>
        <w:t xml:space="preserve">طلب اللجوء. </w:t>
      </w:r>
      <w:r w:rsidRPr="00523D40">
        <w:rPr>
          <w:rFonts w:hint="cs"/>
          <w:color w:val="000000"/>
          <w:spacing w:val="0"/>
          <w:kern w:val="0"/>
          <w:sz w:val="20"/>
          <w:rtl/>
        </w:rPr>
        <w:t>وبالنظر إلى أن</w:t>
      </w:r>
      <w:r w:rsidRPr="00523D40">
        <w:rPr>
          <w:color w:val="000000"/>
          <w:spacing w:val="0"/>
          <w:kern w:val="0"/>
          <w:sz w:val="20"/>
          <w:rtl/>
        </w:rPr>
        <w:t xml:space="preserve"> مجلس الهجرة ل</w:t>
      </w:r>
      <w:r w:rsidRPr="00523D40">
        <w:rPr>
          <w:rFonts w:hint="cs"/>
          <w:color w:val="000000"/>
          <w:spacing w:val="0"/>
          <w:kern w:val="0"/>
          <w:sz w:val="20"/>
          <w:rtl/>
        </w:rPr>
        <w:t xml:space="preserve">م </w:t>
      </w:r>
      <w:r w:rsidRPr="00523D40">
        <w:rPr>
          <w:color w:val="000000"/>
          <w:spacing w:val="0"/>
          <w:kern w:val="0"/>
          <w:sz w:val="20"/>
          <w:rtl/>
        </w:rPr>
        <w:t xml:space="preserve">يشكك في حقيقة </w:t>
      </w:r>
      <w:r w:rsidRPr="00523D40">
        <w:rPr>
          <w:rFonts w:hint="cs"/>
          <w:color w:val="000000"/>
          <w:spacing w:val="0"/>
          <w:kern w:val="0"/>
          <w:sz w:val="20"/>
          <w:rtl/>
        </w:rPr>
        <w:t>تعرض شقيقها للقتل</w:t>
      </w:r>
      <w:r w:rsidRPr="00523D40">
        <w:rPr>
          <w:color w:val="000000"/>
          <w:spacing w:val="0"/>
          <w:kern w:val="0"/>
          <w:sz w:val="20"/>
          <w:rtl/>
        </w:rPr>
        <w:t xml:space="preserve">، </w:t>
      </w:r>
      <w:r w:rsidRPr="00523D40">
        <w:rPr>
          <w:rFonts w:hint="cs"/>
          <w:color w:val="000000"/>
          <w:spacing w:val="0"/>
          <w:kern w:val="0"/>
          <w:sz w:val="20"/>
          <w:rtl/>
        </w:rPr>
        <w:t xml:space="preserve">فإنه </w:t>
      </w:r>
      <w:r w:rsidRPr="00523D40">
        <w:rPr>
          <w:color w:val="000000"/>
          <w:spacing w:val="0"/>
          <w:kern w:val="0"/>
          <w:sz w:val="20"/>
          <w:rtl/>
        </w:rPr>
        <w:t>ينبغي أ</w:t>
      </w:r>
      <w:r w:rsidRPr="00523D40">
        <w:rPr>
          <w:rFonts w:hint="cs"/>
          <w:color w:val="000000"/>
          <w:spacing w:val="0"/>
          <w:kern w:val="0"/>
          <w:sz w:val="20"/>
          <w:rtl/>
        </w:rPr>
        <w:t xml:space="preserve">خذ </w:t>
      </w:r>
      <w:r w:rsidRPr="00523D40">
        <w:rPr>
          <w:color w:val="000000"/>
          <w:spacing w:val="0"/>
          <w:kern w:val="0"/>
          <w:sz w:val="20"/>
          <w:rtl/>
        </w:rPr>
        <w:t xml:space="preserve">التهديدات الموجهة </w:t>
      </w:r>
      <w:r w:rsidRPr="00523D40">
        <w:rPr>
          <w:rFonts w:hint="cs"/>
          <w:color w:val="000000"/>
          <w:spacing w:val="0"/>
          <w:kern w:val="0"/>
          <w:sz w:val="20"/>
          <w:rtl/>
        </w:rPr>
        <w:t>ضد صاحبة</w:t>
      </w:r>
      <w:r w:rsidRPr="00523D40">
        <w:rPr>
          <w:color w:val="000000"/>
          <w:spacing w:val="0"/>
          <w:kern w:val="0"/>
          <w:sz w:val="20"/>
          <w:rtl/>
        </w:rPr>
        <w:t xml:space="preserve"> الشكوى نفسها على محمل الج</w:t>
      </w:r>
      <w:r w:rsidRPr="00523D40">
        <w:rPr>
          <w:rFonts w:hint="cs"/>
          <w:color w:val="000000"/>
          <w:spacing w:val="0"/>
          <w:kern w:val="0"/>
          <w:sz w:val="20"/>
          <w:rtl/>
        </w:rPr>
        <w:t>د. ورأى</w:t>
      </w:r>
      <w:r w:rsidRPr="00523D40">
        <w:rPr>
          <w:color w:val="000000"/>
          <w:spacing w:val="0"/>
          <w:kern w:val="0"/>
          <w:sz w:val="20"/>
          <w:rtl/>
        </w:rPr>
        <w:t xml:space="preserve"> محامي المساعدة </w:t>
      </w:r>
      <w:r w:rsidRPr="00523D40">
        <w:rPr>
          <w:rFonts w:hint="cs"/>
          <w:color w:val="000000"/>
          <w:spacing w:val="0"/>
          <w:kern w:val="0"/>
          <w:sz w:val="20"/>
          <w:rtl/>
        </w:rPr>
        <w:t xml:space="preserve">القضائية </w:t>
      </w:r>
      <w:r w:rsidRPr="00523D40">
        <w:rPr>
          <w:color w:val="000000"/>
          <w:spacing w:val="0"/>
          <w:kern w:val="0"/>
          <w:sz w:val="20"/>
          <w:rtl/>
        </w:rPr>
        <w:t>أن موكل</w:t>
      </w:r>
      <w:r w:rsidRPr="00523D40">
        <w:rPr>
          <w:rFonts w:hint="cs"/>
          <w:color w:val="000000"/>
          <w:spacing w:val="0"/>
          <w:kern w:val="0"/>
          <w:sz w:val="20"/>
          <w:rtl/>
        </w:rPr>
        <w:t>ت</w:t>
      </w:r>
      <w:r w:rsidRPr="00523D40">
        <w:rPr>
          <w:color w:val="000000"/>
          <w:spacing w:val="0"/>
          <w:kern w:val="0"/>
          <w:sz w:val="20"/>
          <w:rtl/>
        </w:rPr>
        <w:t xml:space="preserve">ه </w:t>
      </w:r>
      <w:r w:rsidRPr="00523D40">
        <w:rPr>
          <w:rFonts w:hint="cs"/>
          <w:color w:val="000000"/>
          <w:spacing w:val="0"/>
          <w:kern w:val="0"/>
          <w:sz w:val="20"/>
          <w:rtl/>
        </w:rPr>
        <w:t>م</w:t>
      </w:r>
      <w:r w:rsidRPr="00523D40">
        <w:rPr>
          <w:color w:val="000000"/>
          <w:spacing w:val="0"/>
          <w:kern w:val="0"/>
          <w:sz w:val="20"/>
          <w:rtl/>
        </w:rPr>
        <w:t xml:space="preserve">عرضة </w:t>
      </w:r>
      <w:r w:rsidRPr="00523D40">
        <w:rPr>
          <w:rFonts w:hint="cs"/>
          <w:color w:val="000000"/>
          <w:spacing w:val="0"/>
          <w:kern w:val="0"/>
          <w:sz w:val="20"/>
          <w:rtl/>
        </w:rPr>
        <w:t>لسوء المعاملة</w:t>
      </w:r>
      <w:r w:rsidRPr="00523D40">
        <w:rPr>
          <w:color w:val="000000"/>
          <w:spacing w:val="0"/>
          <w:kern w:val="0"/>
          <w:sz w:val="20"/>
          <w:rtl/>
        </w:rPr>
        <w:t xml:space="preserve"> والاضطهاد بسبب </w:t>
      </w:r>
      <w:r w:rsidRPr="00523D40">
        <w:rPr>
          <w:rFonts w:hint="cs"/>
          <w:color w:val="000000"/>
          <w:spacing w:val="0"/>
          <w:kern w:val="0"/>
          <w:sz w:val="20"/>
          <w:rtl/>
        </w:rPr>
        <w:t>المكانة العالية التي كان يحظى بها شقيقها في الميليشيا المعروفة باس</w:t>
      </w:r>
      <w:r w:rsidR="00A85948">
        <w:rPr>
          <w:rFonts w:hint="cs"/>
          <w:color w:val="000000"/>
          <w:spacing w:val="0"/>
          <w:kern w:val="0"/>
          <w:sz w:val="20"/>
          <w:rtl/>
        </w:rPr>
        <w:t>ـ</w:t>
      </w:r>
      <w:r w:rsidRPr="00523D40">
        <w:rPr>
          <w:rFonts w:hint="cs"/>
          <w:color w:val="000000"/>
          <w:spacing w:val="0"/>
          <w:kern w:val="0"/>
          <w:sz w:val="20"/>
          <w:rtl/>
        </w:rPr>
        <w:t>م "</w:t>
      </w:r>
      <w:r w:rsidRPr="00523D40">
        <w:rPr>
          <w:color w:val="000000"/>
          <w:spacing w:val="0"/>
          <w:kern w:val="0"/>
          <w:sz w:val="20"/>
        </w:rPr>
        <w:t>Sans Échec</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وقد كانت</w:t>
      </w:r>
      <w:r w:rsidRPr="00523D40">
        <w:rPr>
          <w:color w:val="000000"/>
          <w:spacing w:val="0"/>
          <w:kern w:val="0"/>
          <w:sz w:val="20"/>
          <w:rtl/>
        </w:rPr>
        <w:t xml:space="preserve"> التهديدات الموجهة </w:t>
      </w:r>
      <w:r w:rsidRPr="00523D40">
        <w:rPr>
          <w:rFonts w:hint="cs"/>
          <w:color w:val="000000"/>
          <w:spacing w:val="0"/>
          <w:kern w:val="0"/>
          <w:sz w:val="20"/>
          <w:rtl/>
        </w:rPr>
        <w:t>إليه تستهدف أيضاً صاحبة</w:t>
      </w:r>
      <w:r w:rsidRPr="00523D40">
        <w:rPr>
          <w:color w:val="000000"/>
          <w:spacing w:val="0"/>
          <w:kern w:val="0"/>
          <w:sz w:val="20"/>
          <w:rtl/>
        </w:rPr>
        <w:t xml:space="preserve"> الشكو</w:t>
      </w:r>
      <w:r w:rsidRPr="00523D40">
        <w:rPr>
          <w:rFonts w:hint="cs"/>
          <w:color w:val="000000"/>
          <w:spacing w:val="0"/>
          <w:kern w:val="0"/>
          <w:sz w:val="20"/>
          <w:rtl/>
        </w:rPr>
        <w:t>ى.</w:t>
      </w:r>
    </w:p>
    <w:p w:rsidR="00523D40" w:rsidRPr="00523D40" w:rsidRDefault="00523D40" w:rsidP="00A85948">
      <w:pPr>
        <w:pStyle w:val="SingleTxtGA"/>
        <w:spacing w:line="370" w:lineRule="exact"/>
        <w:jc w:val="lowKashida"/>
        <w:rPr>
          <w:color w:val="000000"/>
          <w:spacing w:val="0"/>
          <w:kern w:val="0"/>
          <w:sz w:val="20"/>
          <w:rtl/>
          <w:lang w:val="en-CA"/>
        </w:rPr>
      </w:pPr>
      <w:r w:rsidRPr="00523D40">
        <w:rPr>
          <w:color w:val="000000"/>
          <w:spacing w:val="0"/>
          <w:kern w:val="0"/>
          <w:sz w:val="20"/>
          <w:rtl/>
          <w:lang w:val="en-CA"/>
        </w:rPr>
        <w:t>2-10</w:t>
      </w:r>
      <w:r w:rsidRPr="00523D40">
        <w:rPr>
          <w:color w:val="000000"/>
          <w:spacing w:val="0"/>
          <w:kern w:val="0"/>
          <w:sz w:val="20"/>
          <w:rtl/>
          <w:lang w:val="en-CA"/>
        </w:rPr>
        <w:tab/>
      </w:r>
      <w:r w:rsidRPr="00523D40">
        <w:rPr>
          <w:rFonts w:hint="cs"/>
          <w:color w:val="000000"/>
          <w:spacing w:val="0"/>
          <w:kern w:val="0"/>
          <w:sz w:val="20"/>
          <w:rtl/>
        </w:rPr>
        <w:t>وأتيحت لمجلس</w:t>
      </w:r>
      <w:r w:rsidRPr="00523D40">
        <w:rPr>
          <w:color w:val="000000"/>
          <w:spacing w:val="0"/>
          <w:kern w:val="0"/>
          <w:sz w:val="20"/>
          <w:rtl/>
        </w:rPr>
        <w:t xml:space="preserve"> الهجرة إمكانية </w:t>
      </w:r>
      <w:r w:rsidRPr="00523D40">
        <w:rPr>
          <w:rFonts w:hint="cs"/>
          <w:color w:val="000000"/>
          <w:spacing w:val="0"/>
          <w:kern w:val="0"/>
          <w:sz w:val="20"/>
          <w:rtl/>
        </w:rPr>
        <w:t>تقديم ملاحظات</w:t>
      </w:r>
      <w:r w:rsidRPr="00523D40">
        <w:rPr>
          <w:color w:val="000000"/>
          <w:spacing w:val="0"/>
          <w:kern w:val="0"/>
          <w:sz w:val="20"/>
          <w:rtl/>
        </w:rPr>
        <w:t xml:space="preserve"> على </w:t>
      </w:r>
      <w:r w:rsidRPr="00523D40">
        <w:rPr>
          <w:rFonts w:hint="cs"/>
          <w:color w:val="000000"/>
          <w:spacing w:val="0"/>
          <w:kern w:val="0"/>
          <w:sz w:val="20"/>
          <w:rtl/>
        </w:rPr>
        <w:t>الطعن الذي قدمته صاحبة</w:t>
      </w:r>
      <w:r w:rsidRPr="00523D40">
        <w:rPr>
          <w:color w:val="000000"/>
          <w:spacing w:val="0"/>
          <w:kern w:val="0"/>
          <w:sz w:val="20"/>
          <w:rtl/>
        </w:rPr>
        <w:t xml:space="preserve"> الشكوى. و</w:t>
      </w:r>
      <w:r w:rsidRPr="00523D40">
        <w:rPr>
          <w:rFonts w:hint="cs"/>
          <w:color w:val="000000"/>
          <w:spacing w:val="0"/>
          <w:kern w:val="0"/>
          <w:sz w:val="20"/>
          <w:rtl/>
        </w:rPr>
        <w:t>أفاد</w:t>
      </w:r>
      <w:r w:rsidRPr="00523D40">
        <w:rPr>
          <w:color w:val="000000"/>
          <w:spacing w:val="0"/>
          <w:kern w:val="0"/>
          <w:sz w:val="20"/>
          <w:rtl/>
        </w:rPr>
        <w:t xml:space="preserve"> المجلس </w:t>
      </w:r>
      <w:r w:rsidRPr="00523D40">
        <w:rPr>
          <w:rFonts w:hint="cs"/>
          <w:color w:val="000000"/>
          <w:spacing w:val="0"/>
          <w:kern w:val="0"/>
          <w:sz w:val="20"/>
          <w:rtl/>
        </w:rPr>
        <w:t>بأ</w:t>
      </w:r>
      <w:r w:rsidRPr="00523D40">
        <w:rPr>
          <w:color w:val="000000"/>
          <w:spacing w:val="0"/>
          <w:kern w:val="0"/>
          <w:sz w:val="20"/>
          <w:rtl/>
        </w:rPr>
        <w:t xml:space="preserve">ن </w:t>
      </w:r>
      <w:r w:rsidRPr="00523D40">
        <w:rPr>
          <w:rFonts w:hint="cs"/>
          <w:color w:val="000000"/>
          <w:spacing w:val="0"/>
          <w:kern w:val="0"/>
          <w:sz w:val="20"/>
          <w:rtl/>
        </w:rPr>
        <w:t>ال</w:t>
      </w:r>
      <w:r w:rsidRPr="00523D40">
        <w:rPr>
          <w:color w:val="000000"/>
          <w:spacing w:val="0"/>
          <w:kern w:val="0"/>
          <w:sz w:val="20"/>
          <w:rtl/>
        </w:rPr>
        <w:t xml:space="preserve">تفسيرات </w:t>
      </w:r>
      <w:r w:rsidRPr="00523D40">
        <w:rPr>
          <w:rFonts w:hint="cs"/>
          <w:color w:val="000000"/>
          <w:spacing w:val="0"/>
          <w:kern w:val="0"/>
          <w:sz w:val="20"/>
          <w:rtl/>
        </w:rPr>
        <w:t xml:space="preserve">التي قدمتها </w:t>
      </w:r>
      <w:r w:rsidRPr="00523D40">
        <w:rPr>
          <w:color w:val="000000"/>
          <w:spacing w:val="0"/>
          <w:kern w:val="0"/>
          <w:sz w:val="20"/>
          <w:rtl/>
        </w:rPr>
        <w:t>صاحب</w:t>
      </w:r>
      <w:r w:rsidRPr="00523D40">
        <w:rPr>
          <w:rFonts w:hint="cs"/>
          <w:color w:val="000000"/>
          <w:spacing w:val="0"/>
          <w:kern w:val="0"/>
          <w:sz w:val="20"/>
          <w:rtl/>
        </w:rPr>
        <w:t>ة</w:t>
      </w:r>
      <w:r w:rsidRPr="00523D40">
        <w:rPr>
          <w:color w:val="000000"/>
          <w:spacing w:val="0"/>
          <w:kern w:val="0"/>
          <w:sz w:val="20"/>
          <w:rtl/>
        </w:rPr>
        <w:t xml:space="preserve"> الشكوى فيما يتعلق </w:t>
      </w:r>
      <w:r w:rsidRPr="00523D40">
        <w:rPr>
          <w:rFonts w:hint="cs"/>
          <w:color w:val="000000"/>
          <w:spacing w:val="0"/>
          <w:kern w:val="0"/>
          <w:sz w:val="20"/>
          <w:rtl/>
        </w:rPr>
        <w:t>ب</w:t>
      </w:r>
      <w:r w:rsidRPr="00523D40">
        <w:rPr>
          <w:color w:val="000000"/>
          <w:spacing w:val="0"/>
          <w:kern w:val="0"/>
          <w:sz w:val="20"/>
          <w:rtl/>
        </w:rPr>
        <w:t xml:space="preserve">مغادرتها بوروندي </w:t>
      </w:r>
      <w:r w:rsidRPr="00523D40">
        <w:rPr>
          <w:rFonts w:hint="cs"/>
          <w:color w:val="000000"/>
          <w:spacing w:val="0"/>
          <w:kern w:val="0"/>
          <w:sz w:val="20"/>
          <w:rtl/>
        </w:rPr>
        <w:t>هي تفسيرات غير موثوقة</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 xml:space="preserve">علاوة على ذلك، </w:t>
      </w:r>
      <w:r w:rsidRPr="00523D40">
        <w:rPr>
          <w:rFonts w:hint="cs"/>
          <w:color w:val="000000"/>
          <w:spacing w:val="0"/>
          <w:kern w:val="0"/>
          <w:sz w:val="20"/>
          <w:rtl/>
        </w:rPr>
        <w:t>رأى</w:t>
      </w:r>
      <w:r w:rsidRPr="00523D40">
        <w:rPr>
          <w:color w:val="000000"/>
          <w:spacing w:val="0"/>
          <w:kern w:val="0"/>
          <w:sz w:val="20"/>
          <w:rtl/>
        </w:rPr>
        <w:t xml:space="preserve"> المجلس أن عدم </w:t>
      </w:r>
      <w:r w:rsidRPr="00523D40">
        <w:rPr>
          <w:rFonts w:hint="cs"/>
          <w:color w:val="000000"/>
          <w:spacing w:val="0"/>
          <w:kern w:val="0"/>
          <w:sz w:val="20"/>
          <w:rtl/>
        </w:rPr>
        <w:t>موثوقية</w:t>
      </w:r>
      <w:r w:rsidRPr="00523D40">
        <w:rPr>
          <w:color w:val="000000"/>
          <w:spacing w:val="0"/>
          <w:kern w:val="0"/>
          <w:sz w:val="20"/>
          <w:rtl/>
        </w:rPr>
        <w:t xml:space="preserve"> المعلومات </w:t>
      </w:r>
      <w:r w:rsidRPr="00523D40">
        <w:rPr>
          <w:rFonts w:hint="cs"/>
          <w:color w:val="000000"/>
          <w:spacing w:val="0"/>
          <w:kern w:val="0"/>
          <w:sz w:val="20"/>
          <w:rtl/>
        </w:rPr>
        <w:t>التي قدمتها</w:t>
      </w:r>
      <w:r w:rsidRPr="00523D40">
        <w:rPr>
          <w:color w:val="000000"/>
          <w:spacing w:val="0"/>
          <w:kern w:val="0"/>
          <w:sz w:val="20"/>
          <w:rtl/>
        </w:rPr>
        <w:t xml:space="preserve"> فيما يتعلق </w:t>
      </w:r>
      <w:r w:rsidRPr="00523D40">
        <w:rPr>
          <w:rFonts w:hint="cs"/>
          <w:color w:val="000000"/>
          <w:spacing w:val="0"/>
          <w:kern w:val="0"/>
          <w:sz w:val="20"/>
          <w:rtl/>
        </w:rPr>
        <w:t>بطلب الحصول على ال</w:t>
      </w:r>
      <w:r w:rsidRPr="00523D40">
        <w:rPr>
          <w:color w:val="000000"/>
          <w:spacing w:val="0"/>
          <w:kern w:val="0"/>
          <w:sz w:val="20"/>
          <w:rtl/>
        </w:rPr>
        <w:t xml:space="preserve">تأشيرة </w:t>
      </w:r>
      <w:r w:rsidRPr="00523D40">
        <w:rPr>
          <w:rFonts w:hint="cs"/>
          <w:color w:val="000000"/>
          <w:spacing w:val="0"/>
          <w:kern w:val="0"/>
          <w:sz w:val="20"/>
          <w:rtl/>
        </w:rPr>
        <w:t>ال</w:t>
      </w:r>
      <w:r w:rsidRPr="00523D40">
        <w:rPr>
          <w:color w:val="000000"/>
          <w:spacing w:val="0"/>
          <w:kern w:val="0"/>
          <w:sz w:val="20"/>
          <w:rtl/>
        </w:rPr>
        <w:t>سويدية</w:t>
      </w:r>
      <w:r w:rsidRPr="00523D40">
        <w:rPr>
          <w:rFonts w:hint="cs"/>
          <w:color w:val="000000"/>
          <w:spacing w:val="0"/>
          <w:kern w:val="0"/>
          <w:sz w:val="20"/>
          <w:rtl/>
        </w:rPr>
        <w:t xml:space="preserve"> يقلل من مصداقية</w:t>
      </w:r>
      <w:r w:rsidRPr="00523D40">
        <w:rPr>
          <w:color w:val="000000"/>
          <w:spacing w:val="0"/>
          <w:kern w:val="0"/>
          <w:sz w:val="20"/>
          <w:rtl/>
        </w:rPr>
        <w:t xml:space="preserve"> </w:t>
      </w:r>
      <w:r w:rsidRPr="00523D40">
        <w:rPr>
          <w:rFonts w:hint="cs"/>
          <w:color w:val="000000"/>
          <w:spacing w:val="0"/>
          <w:kern w:val="0"/>
          <w:sz w:val="20"/>
          <w:rtl/>
        </w:rPr>
        <w:t xml:space="preserve">الإفادات </w:t>
      </w:r>
      <w:r w:rsidRPr="00523D40">
        <w:rPr>
          <w:color w:val="000000"/>
          <w:spacing w:val="0"/>
          <w:kern w:val="0"/>
          <w:sz w:val="20"/>
          <w:rtl/>
        </w:rPr>
        <w:t xml:space="preserve">الأخرى التي </w:t>
      </w:r>
      <w:r w:rsidRPr="00523D40">
        <w:rPr>
          <w:rFonts w:hint="cs"/>
          <w:color w:val="000000"/>
          <w:spacing w:val="0"/>
          <w:kern w:val="0"/>
          <w:sz w:val="20"/>
          <w:rtl/>
        </w:rPr>
        <w:t>قدمتها. ومن ثم، فإنه</w:t>
      </w:r>
      <w:r w:rsidRPr="00523D40">
        <w:rPr>
          <w:color w:val="000000"/>
          <w:spacing w:val="0"/>
          <w:kern w:val="0"/>
          <w:sz w:val="20"/>
          <w:rtl/>
        </w:rPr>
        <w:t xml:space="preserve"> لا يمكن </w:t>
      </w:r>
      <w:r w:rsidRPr="00523D40">
        <w:rPr>
          <w:rFonts w:hint="cs"/>
          <w:color w:val="000000"/>
          <w:spacing w:val="0"/>
          <w:kern w:val="0"/>
          <w:sz w:val="20"/>
          <w:rtl/>
        </w:rPr>
        <w:t>اعتبار</w:t>
      </w:r>
      <w:r w:rsidRPr="00523D40">
        <w:rPr>
          <w:color w:val="000000"/>
          <w:spacing w:val="0"/>
          <w:kern w:val="0"/>
          <w:sz w:val="20"/>
          <w:rtl/>
        </w:rPr>
        <w:t xml:space="preserve"> </w:t>
      </w:r>
      <w:r w:rsidRPr="00523D40">
        <w:rPr>
          <w:rFonts w:hint="cs"/>
          <w:color w:val="000000"/>
          <w:spacing w:val="0"/>
          <w:kern w:val="0"/>
          <w:sz w:val="20"/>
          <w:rtl/>
        </w:rPr>
        <w:t xml:space="preserve">إفادات </w:t>
      </w:r>
      <w:r w:rsidRPr="00523D40">
        <w:rPr>
          <w:color w:val="000000"/>
          <w:spacing w:val="0"/>
          <w:kern w:val="0"/>
          <w:sz w:val="20"/>
          <w:rtl/>
        </w:rPr>
        <w:t>صاحب</w:t>
      </w:r>
      <w:r w:rsidRPr="00523D40">
        <w:rPr>
          <w:rFonts w:hint="cs"/>
          <w:color w:val="000000"/>
          <w:spacing w:val="0"/>
          <w:kern w:val="0"/>
          <w:sz w:val="20"/>
          <w:rtl/>
        </w:rPr>
        <w:t>ة</w:t>
      </w:r>
      <w:r w:rsidRPr="00523D40">
        <w:rPr>
          <w:color w:val="000000"/>
          <w:spacing w:val="0"/>
          <w:kern w:val="0"/>
          <w:sz w:val="20"/>
          <w:rtl/>
        </w:rPr>
        <w:t xml:space="preserve"> الشكوى أدلة كافية لمنح الحماية لها</w:t>
      </w:r>
      <w:r w:rsidRPr="00523D40">
        <w:rPr>
          <w:rFonts w:hint="cs"/>
          <w:color w:val="000000"/>
          <w:spacing w:val="0"/>
          <w:kern w:val="0"/>
          <w:sz w:val="20"/>
          <w:rtl/>
        </w:rPr>
        <w:t>.</w:t>
      </w:r>
      <w:r w:rsidRPr="00523D40">
        <w:rPr>
          <w:color w:val="000000"/>
          <w:spacing w:val="0"/>
          <w:kern w:val="0"/>
          <w:sz w:val="20"/>
          <w:rtl/>
          <w:lang w:val="en-CA"/>
        </w:rPr>
        <w:t xml:space="preserve"> </w:t>
      </w:r>
    </w:p>
    <w:p w:rsidR="00523D40" w:rsidRPr="00523D40" w:rsidRDefault="00523D40" w:rsidP="00A85948">
      <w:pPr>
        <w:pStyle w:val="SingleTxtGA"/>
        <w:spacing w:line="370" w:lineRule="exact"/>
        <w:jc w:val="lowKashida"/>
        <w:rPr>
          <w:rFonts w:hint="cs"/>
          <w:b/>
          <w:bCs/>
          <w:color w:val="000000"/>
          <w:spacing w:val="0"/>
          <w:kern w:val="0"/>
          <w:sz w:val="20"/>
          <w:rtl/>
        </w:rPr>
      </w:pPr>
      <w:r w:rsidRPr="00523D40">
        <w:rPr>
          <w:color w:val="000000"/>
          <w:spacing w:val="0"/>
          <w:kern w:val="0"/>
          <w:sz w:val="20"/>
          <w:rtl/>
          <w:lang w:val="en-CA"/>
        </w:rPr>
        <w:t>2-11</w:t>
      </w:r>
      <w:r w:rsidRPr="00523D40">
        <w:rPr>
          <w:color w:val="000000"/>
          <w:spacing w:val="0"/>
          <w:kern w:val="0"/>
          <w:sz w:val="20"/>
          <w:rtl/>
          <w:lang w:val="en-CA"/>
        </w:rPr>
        <w:tab/>
      </w:r>
      <w:r w:rsidRPr="00523D40">
        <w:rPr>
          <w:color w:val="000000"/>
          <w:spacing w:val="0"/>
          <w:kern w:val="0"/>
          <w:sz w:val="20"/>
          <w:rtl/>
        </w:rPr>
        <w:t xml:space="preserve">وفي 19 </w:t>
      </w:r>
      <w:r w:rsidRPr="00523D40">
        <w:rPr>
          <w:rFonts w:hint="cs"/>
          <w:color w:val="000000"/>
          <w:spacing w:val="0"/>
          <w:kern w:val="0"/>
          <w:sz w:val="20"/>
          <w:rtl/>
        </w:rPr>
        <w:t>أيار/</w:t>
      </w:r>
      <w:r w:rsidRPr="00523D40">
        <w:rPr>
          <w:color w:val="000000"/>
          <w:spacing w:val="0"/>
          <w:kern w:val="0"/>
          <w:sz w:val="20"/>
          <w:rtl/>
        </w:rPr>
        <w:t xml:space="preserve">مايو 2009، </w:t>
      </w:r>
      <w:r w:rsidRPr="00523D40">
        <w:rPr>
          <w:rFonts w:hint="cs"/>
          <w:color w:val="000000"/>
          <w:spacing w:val="0"/>
          <w:kern w:val="0"/>
          <w:sz w:val="20"/>
          <w:rtl/>
        </w:rPr>
        <w:t>رفضت محكمة الهجرة</w:t>
      </w:r>
      <w:r w:rsidRPr="00523D40">
        <w:rPr>
          <w:color w:val="000000"/>
          <w:spacing w:val="0"/>
          <w:kern w:val="0"/>
          <w:sz w:val="20"/>
          <w:rtl/>
        </w:rPr>
        <w:t xml:space="preserve"> </w:t>
      </w:r>
      <w:r w:rsidRPr="00523D40">
        <w:rPr>
          <w:rFonts w:hint="cs"/>
          <w:color w:val="000000"/>
          <w:spacing w:val="0"/>
          <w:kern w:val="0"/>
          <w:sz w:val="20"/>
          <w:rtl/>
        </w:rPr>
        <w:t>الطعن الذي قدمته صاحبة</w:t>
      </w:r>
      <w:r w:rsidRPr="00523D40">
        <w:rPr>
          <w:color w:val="000000"/>
          <w:spacing w:val="0"/>
          <w:kern w:val="0"/>
          <w:sz w:val="20"/>
          <w:rtl/>
        </w:rPr>
        <w:t xml:space="preserve"> الشكوى. </w:t>
      </w:r>
      <w:r w:rsidRPr="00523D40">
        <w:rPr>
          <w:rFonts w:hint="cs"/>
          <w:color w:val="000000"/>
          <w:spacing w:val="0"/>
          <w:kern w:val="0"/>
          <w:sz w:val="20"/>
          <w:rtl/>
        </w:rPr>
        <w:t>وأفادت هذه المحكمة</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 xml:space="preserve">أن </w:t>
      </w:r>
      <w:r w:rsidRPr="00523D40">
        <w:rPr>
          <w:rFonts w:hint="cs"/>
          <w:color w:val="000000"/>
          <w:spacing w:val="0"/>
          <w:kern w:val="0"/>
          <w:sz w:val="20"/>
          <w:rtl/>
        </w:rPr>
        <w:t xml:space="preserve">صاحبة الشكوى لم تستطع إثبات هويتها ولم تأت     بما يعزز الاحتمال الذي يشير إلى أنها من بوروندي. وذكرت المحكمة أنه حتى في حالة افتراض أنها </w:t>
      </w:r>
      <w:r w:rsidRPr="00523D40">
        <w:rPr>
          <w:color w:val="000000"/>
          <w:spacing w:val="0"/>
          <w:kern w:val="0"/>
          <w:sz w:val="20"/>
          <w:rtl/>
        </w:rPr>
        <w:t xml:space="preserve">من بوروندي، </w:t>
      </w:r>
      <w:r w:rsidRPr="00523D40">
        <w:rPr>
          <w:rFonts w:hint="cs"/>
          <w:color w:val="000000"/>
          <w:spacing w:val="0"/>
          <w:kern w:val="0"/>
          <w:sz w:val="20"/>
          <w:rtl/>
        </w:rPr>
        <w:t>فإن</w:t>
      </w:r>
      <w:r w:rsidRPr="00523D40">
        <w:rPr>
          <w:color w:val="000000"/>
          <w:spacing w:val="0"/>
          <w:kern w:val="0"/>
          <w:sz w:val="20"/>
          <w:rtl/>
        </w:rPr>
        <w:t xml:space="preserve"> </w:t>
      </w:r>
      <w:r w:rsidRPr="00523D40">
        <w:rPr>
          <w:rFonts w:hint="cs"/>
          <w:color w:val="000000"/>
          <w:spacing w:val="0"/>
          <w:kern w:val="0"/>
          <w:sz w:val="20"/>
          <w:rtl/>
        </w:rPr>
        <w:t>الوضع العام</w:t>
      </w:r>
      <w:r w:rsidRPr="00523D40">
        <w:rPr>
          <w:color w:val="000000"/>
          <w:spacing w:val="0"/>
          <w:kern w:val="0"/>
          <w:sz w:val="20"/>
          <w:rtl/>
        </w:rPr>
        <w:t xml:space="preserve"> في هذا البلد </w:t>
      </w:r>
      <w:r w:rsidRPr="00523D40">
        <w:rPr>
          <w:rFonts w:hint="cs"/>
          <w:color w:val="000000"/>
          <w:spacing w:val="0"/>
          <w:kern w:val="0"/>
          <w:sz w:val="20"/>
          <w:rtl/>
        </w:rPr>
        <w:t>لا يشكل سبباً</w:t>
      </w:r>
      <w:r w:rsidRPr="00523D40">
        <w:rPr>
          <w:color w:val="000000"/>
          <w:spacing w:val="0"/>
          <w:kern w:val="0"/>
          <w:sz w:val="20"/>
          <w:rtl/>
        </w:rPr>
        <w:t xml:space="preserve"> </w:t>
      </w:r>
      <w:r w:rsidRPr="00523D40">
        <w:rPr>
          <w:rFonts w:hint="cs"/>
          <w:color w:val="000000"/>
          <w:spacing w:val="0"/>
          <w:kern w:val="0"/>
          <w:sz w:val="20"/>
          <w:rtl/>
        </w:rPr>
        <w:t>يدعو إلى طلب اللجوء</w:t>
      </w:r>
      <w:r w:rsidRPr="00523D40">
        <w:rPr>
          <w:color w:val="000000"/>
          <w:spacing w:val="0"/>
          <w:kern w:val="0"/>
          <w:sz w:val="20"/>
          <w:rtl/>
        </w:rPr>
        <w:t xml:space="preserve"> أو الحماي</w:t>
      </w:r>
      <w:r w:rsidRPr="00523D40">
        <w:rPr>
          <w:rFonts w:hint="cs"/>
          <w:color w:val="000000"/>
          <w:spacing w:val="0"/>
          <w:kern w:val="0"/>
          <w:sz w:val="20"/>
          <w:rtl/>
        </w:rPr>
        <w:t>ة.</w:t>
      </w:r>
      <w:r w:rsidRPr="00523D40">
        <w:rPr>
          <w:color w:val="000000"/>
          <w:spacing w:val="0"/>
          <w:kern w:val="0"/>
          <w:sz w:val="20"/>
          <w:rtl/>
        </w:rPr>
        <w:t xml:space="preserve"> </w:t>
      </w:r>
      <w:r w:rsidRPr="00523D40">
        <w:rPr>
          <w:rFonts w:hint="cs"/>
          <w:color w:val="000000"/>
          <w:spacing w:val="0"/>
          <w:kern w:val="0"/>
          <w:sz w:val="20"/>
          <w:rtl/>
        </w:rPr>
        <w:t>ورأت أن التفسير الذي قدمته</w:t>
      </w:r>
      <w:r w:rsidRPr="00523D40">
        <w:rPr>
          <w:color w:val="000000"/>
          <w:spacing w:val="0"/>
          <w:kern w:val="0"/>
          <w:sz w:val="20"/>
          <w:rtl/>
        </w:rPr>
        <w:t xml:space="preserve"> </w:t>
      </w:r>
      <w:r w:rsidRPr="00523D40">
        <w:rPr>
          <w:rFonts w:hint="cs"/>
          <w:color w:val="000000"/>
          <w:spacing w:val="0"/>
          <w:kern w:val="0"/>
          <w:sz w:val="20"/>
          <w:rtl/>
        </w:rPr>
        <w:t>عن الكيفية التي قُدّم بها طلب الحصول على تأشيرة باسمها في الجزائر يعدّ تفسيراً مقبولاً.</w:t>
      </w:r>
      <w:r w:rsidRPr="00523D40">
        <w:rPr>
          <w:color w:val="000000"/>
          <w:spacing w:val="0"/>
          <w:kern w:val="0"/>
          <w:sz w:val="20"/>
          <w:rtl/>
        </w:rPr>
        <w:t xml:space="preserve"> ومع ذلك، ف</w:t>
      </w:r>
      <w:r w:rsidRPr="00523D40">
        <w:rPr>
          <w:rFonts w:hint="cs"/>
          <w:color w:val="000000"/>
          <w:spacing w:val="0"/>
          <w:kern w:val="0"/>
          <w:sz w:val="20"/>
          <w:rtl/>
        </w:rPr>
        <w:t>قد رأت محكمة الهجرة أن صاحبة</w:t>
      </w:r>
      <w:r w:rsidRPr="00523D40">
        <w:rPr>
          <w:color w:val="000000"/>
          <w:spacing w:val="0"/>
          <w:kern w:val="0"/>
          <w:sz w:val="20"/>
          <w:rtl/>
        </w:rPr>
        <w:t xml:space="preserve"> الشكوى لم </w:t>
      </w:r>
      <w:r w:rsidRPr="00523D40">
        <w:rPr>
          <w:rFonts w:hint="cs"/>
          <w:color w:val="000000"/>
          <w:spacing w:val="0"/>
          <w:kern w:val="0"/>
          <w:sz w:val="20"/>
          <w:rtl/>
        </w:rPr>
        <w:t>تثبت الادعاء الذي تقول فيه إنها ستتعرض لخطر</w:t>
      </w:r>
      <w:r w:rsidRPr="00523D40">
        <w:rPr>
          <w:color w:val="000000"/>
          <w:spacing w:val="0"/>
          <w:kern w:val="0"/>
          <w:sz w:val="20"/>
          <w:rtl/>
        </w:rPr>
        <w:t xml:space="preserve"> الاضطهاد </w:t>
      </w:r>
      <w:r w:rsidRPr="00523D40">
        <w:rPr>
          <w:rFonts w:hint="cs"/>
          <w:color w:val="000000"/>
          <w:spacing w:val="0"/>
          <w:kern w:val="0"/>
          <w:sz w:val="20"/>
          <w:rtl/>
        </w:rPr>
        <w:t>و</w:t>
      </w:r>
      <w:r w:rsidRPr="00523D40">
        <w:rPr>
          <w:color w:val="000000"/>
          <w:spacing w:val="0"/>
          <w:kern w:val="0"/>
          <w:sz w:val="20"/>
          <w:rtl/>
        </w:rPr>
        <w:t>سوء المعاملة أو</w:t>
      </w:r>
      <w:r w:rsidR="00A85948">
        <w:rPr>
          <w:rFonts w:hint="cs"/>
          <w:color w:val="000000"/>
          <w:spacing w:val="0"/>
          <w:kern w:val="0"/>
          <w:sz w:val="20"/>
          <w:rtl/>
        </w:rPr>
        <w:t> </w:t>
      </w:r>
      <w:r w:rsidRPr="00523D40">
        <w:rPr>
          <w:color w:val="000000"/>
          <w:spacing w:val="0"/>
          <w:kern w:val="0"/>
          <w:sz w:val="20"/>
          <w:rtl/>
        </w:rPr>
        <w:t>العق</w:t>
      </w:r>
      <w:r w:rsidRPr="00523D40">
        <w:rPr>
          <w:rFonts w:hint="cs"/>
          <w:color w:val="000000"/>
          <w:spacing w:val="0"/>
          <w:kern w:val="0"/>
          <w:sz w:val="20"/>
          <w:rtl/>
        </w:rPr>
        <w:t>اب</w:t>
      </w:r>
      <w:r w:rsidRPr="00523D40">
        <w:rPr>
          <w:color w:val="000000"/>
          <w:spacing w:val="0"/>
          <w:kern w:val="0"/>
          <w:sz w:val="20"/>
          <w:rtl/>
        </w:rPr>
        <w:t xml:space="preserve"> إذا عادت إلى بوروندي. </w:t>
      </w:r>
      <w:r w:rsidRPr="00523D40">
        <w:rPr>
          <w:rFonts w:hint="cs"/>
          <w:color w:val="000000"/>
          <w:spacing w:val="0"/>
          <w:kern w:val="0"/>
          <w:sz w:val="20"/>
          <w:rtl/>
        </w:rPr>
        <w:t xml:space="preserve">ولاحظت محكمة </w:t>
      </w:r>
      <w:r w:rsidRPr="00523D40">
        <w:rPr>
          <w:color w:val="000000"/>
          <w:spacing w:val="0"/>
          <w:kern w:val="0"/>
          <w:sz w:val="20"/>
          <w:rtl/>
        </w:rPr>
        <w:t>الهجرة</w:t>
      </w:r>
      <w:r w:rsidRPr="00523D40">
        <w:rPr>
          <w:rFonts w:hint="cs"/>
          <w:color w:val="000000"/>
          <w:spacing w:val="0"/>
          <w:kern w:val="0"/>
          <w:sz w:val="20"/>
          <w:rtl/>
        </w:rPr>
        <w:t xml:space="preserve"> على وجه التحديد، وهي تنظر في هذا الطعن،</w:t>
      </w:r>
      <w:r w:rsidRPr="00523D40">
        <w:rPr>
          <w:color w:val="000000"/>
          <w:spacing w:val="0"/>
          <w:kern w:val="0"/>
          <w:sz w:val="20"/>
          <w:rtl/>
        </w:rPr>
        <w:t xml:space="preserve"> </w:t>
      </w:r>
      <w:r w:rsidRPr="00523D40">
        <w:rPr>
          <w:rFonts w:hint="cs"/>
          <w:color w:val="000000"/>
          <w:spacing w:val="0"/>
          <w:kern w:val="0"/>
          <w:sz w:val="20"/>
          <w:rtl/>
        </w:rPr>
        <w:t>أن صاحبة الشكوى لم تكن</w:t>
      </w:r>
      <w:r w:rsidRPr="00523D40">
        <w:rPr>
          <w:color w:val="000000"/>
          <w:spacing w:val="0"/>
          <w:kern w:val="0"/>
          <w:sz w:val="20"/>
          <w:rtl/>
        </w:rPr>
        <w:t xml:space="preserve"> </w:t>
      </w:r>
      <w:r w:rsidRPr="00523D40">
        <w:rPr>
          <w:rFonts w:hint="cs"/>
          <w:color w:val="000000"/>
          <w:spacing w:val="0"/>
          <w:kern w:val="0"/>
          <w:sz w:val="20"/>
          <w:rtl/>
        </w:rPr>
        <w:t>لها أية صلة بميليشيا التوتسي</w:t>
      </w:r>
      <w:r w:rsidRPr="00523D40">
        <w:rPr>
          <w:color w:val="000000"/>
          <w:spacing w:val="0"/>
          <w:kern w:val="0"/>
          <w:sz w:val="20"/>
          <w:rtl/>
        </w:rPr>
        <w:t xml:space="preserve"> التي </w:t>
      </w:r>
      <w:r w:rsidRPr="00523D40">
        <w:rPr>
          <w:rFonts w:hint="cs"/>
          <w:color w:val="000000"/>
          <w:spacing w:val="0"/>
          <w:kern w:val="0"/>
          <w:sz w:val="20"/>
          <w:rtl/>
        </w:rPr>
        <w:t>انضم إليها شقيقها،</w:t>
      </w:r>
      <w:r w:rsidRPr="00523D40">
        <w:rPr>
          <w:color w:val="000000"/>
          <w:spacing w:val="0"/>
          <w:kern w:val="0"/>
          <w:sz w:val="20"/>
          <w:rtl/>
        </w:rPr>
        <w:t xml:space="preserve"> ولم تكن طرفا</w:t>
      </w:r>
      <w:r w:rsidRPr="00523D40">
        <w:rPr>
          <w:rFonts w:hint="cs"/>
          <w:color w:val="000000"/>
          <w:spacing w:val="0"/>
          <w:kern w:val="0"/>
          <w:sz w:val="20"/>
          <w:rtl/>
        </w:rPr>
        <w:t>ً</w:t>
      </w:r>
      <w:r w:rsidRPr="00523D40">
        <w:rPr>
          <w:color w:val="000000"/>
          <w:spacing w:val="0"/>
          <w:kern w:val="0"/>
          <w:sz w:val="20"/>
          <w:rtl/>
        </w:rPr>
        <w:t xml:space="preserve"> في </w:t>
      </w:r>
      <w:r w:rsidRPr="00523D40">
        <w:rPr>
          <w:rFonts w:hint="cs"/>
          <w:color w:val="000000"/>
          <w:spacing w:val="0"/>
          <w:kern w:val="0"/>
          <w:sz w:val="20"/>
          <w:rtl/>
        </w:rPr>
        <w:t>ال</w:t>
      </w:r>
      <w:r w:rsidRPr="00523D40">
        <w:rPr>
          <w:color w:val="000000"/>
          <w:spacing w:val="0"/>
          <w:kern w:val="0"/>
          <w:sz w:val="20"/>
          <w:rtl/>
        </w:rPr>
        <w:t xml:space="preserve">أنشطة </w:t>
      </w:r>
      <w:r w:rsidRPr="00523D40">
        <w:rPr>
          <w:rFonts w:hint="cs"/>
          <w:color w:val="000000"/>
          <w:spacing w:val="0"/>
          <w:kern w:val="0"/>
          <w:sz w:val="20"/>
          <w:rtl/>
        </w:rPr>
        <w:t>التي كان يقوم بها شقيقها. ولاحظت محكمة الهجرة</w:t>
      </w:r>
      <w:r w:rsidRPr="00523D40">
        <w:rPr>
          <w:color w:val="000000"/>
          <w:spacing w:val="0"/>
          <w:kern w:val="0"/>
          <w:sz w:val="20"/>
          <w:rtl/>
        </w:rPr>
        <w:t xml:space="preserve"> كذلك أن الحدث الذي </w:t>
      </w:r>
      <w:r w:rsidRPr="00523D40">
        <w:rPr>
          <w:rFonts w:hint="cs"/>
          <w:color w:val="000000"/>
          <w:spacing w:val="0"/>
          <w:kern w:val="0"/>
          <w:sz w:val="20"/>
          <w:rtl/>
        </w:rPr>
        <w:t>ت</w:t>
      </w:r>
      <w:r w:rsidRPr="00523D40">
        <w:rPr>
          <w:color w:val="000000"/>
          <w:spacing w:val="0"/>
          <w:kern w:val="0"/>
          <w:sz w:val="20"/>
          <w:rtl/>
        </w:rPr>
        <w:t xml:space="preserve">دعى </w:t>
      </w:r>
      <w:r w:rsidRPr="00523D40">
        <w:rPr>
          <w:rFonts w:hint="cs"/>
          <w:color w:val="000000"/>
          <w:spacing w:val="0"/>
          <w:kern w:val="0"/>
          <w:sz w:val="20"/>
          <w:rtl/>
        </w:rPr>
        <w:t>صاحبة</w:t>
      </w:r>
      <w:r w:rsidRPr="00523D40">
        <w:rPr>
          <w:color w:val="000000"/>
          <w:spacing w:val="0"/>
          <w:kern w:val="0"/>
          <w:sz w:val="20"/>
          <w:rtl/>
        </w:rPr>
        <w:t xml:space="preserve"> الشكوى</w:t>
      </w:r>
      <w:r w:rsidRPr="00523D40">
        <w:rPr>
          <w:rFonts w:hint="cs"/>
          <w:color w:val="000000"/>
          <w:spacing w:val="0"/>
          <w:kern w:val="0"/>
          <w:sz w:val="20"/>
          <w:rtl/>
        </w:rPr>
        <w:t xml:space="preserve"> أنه كان</w:t>
      </w:r>
      <w:r w:rsidRPr="00523D40">
        <w:rPr>
          <w:color w:val="000000"/>
          <w:spacing w:val="0"/>
          <w:kern w:val="0"/>
          <w:sz w:val="20"/>
          <w:rtl/>
        </w:rPr>
        <w:t xml:space="preserve"> السبب المباشر </w:t>
      </w:r>
      <w:r w:rsidRPr="00523D40">
        <w:rPr>
          <w:rFonts w:hint="cs"/>
          <w:color w:val="000000"/>
          <w:spacing w:val="0"/>
          <w:kern w:val="0"/>
          <w:sz w:val="20"/>
          <w:rtl/>
        </w:rPr>
        <w:t>لفرارها</w:t>
      </w:r>
      <w:r w:rsidRPr="00523D40">
        <w:rPr>
          <w:color w:val="000000"/>
          <w:spacing w:val="0"/>
          <w:kern w:val="0"/>
          <w:sz w:val="20"/>
          <w:rtl/>
        </w:rPr>
        <w:t xml:space="preserve"> من بوروندي </w:t>
      </w:r>
      <w:r w:rsidRPr="00523D40">
        <w:rPr>
          <w:rFonts w:hint="cs"/>
          <w:color w:val="000000"/>
          <w:spacing w:val="0"/>
          <w:kern w:val="0"/>
          <w:sz w:val="20"/>
          <w:rtl/>
        </w:rPr>
        <w:t>قد وقع</w:t>
      </w:r>
      <w:r w:rsidRPr="00523D40">
        <w:rPr>
          <w:color w:val="000000"/>
          <w:spacing w:val="0"/>
          <w:kern w:val="0"/>
          <w:sz w:val="20"/>
          <w:rtl/>
        </w:rPr>
        <w:t xml:space="preserve"> </w:t>
      </w:r>
      <w:r w:rsidRPr="00523D40">
        <w:rPr>
          <w:rFonts w:hint="cs"/>
          <w:color w:val="000000"/>
          <w:spacing w:val="0"/>
          <w:kern w:val="0"/>
          <w:sz w:val="20"/>
          <w:rtl/>
        </w:rPr>
        <w:t>منذ</w:t>
      </w:r>
      <w:r w:rsidRPr="00523D40">
        <w:rPr>
          <w:color w:val="000000"/>
          <w:spacing w:val="0"/>
          <w:kern w:val="0"/>
          <w:sz w:val="20"/>
          <w:rtl/>
        </w:rPr>
        <w:t xml:space="preserve"> ثلاث سنوات تقريبا</w:t>
      </w:r>
      <w:r w:rsidRPr="00523D40">
        <w:rPr>
          <w:rFonts w:hint="cs"/>
          <w:color w:val="000000"/>
          <w:spacing w:val="0"/>
          <w:kern w:val="0"/>
          <w:sz w:val="20"/>
          <w:rtl/>
        </w:rPr>
        <w:t>ً</w:t>
      </w:r>
      <w:r w:rsidRPr="00523D40">
        <w:rPr>
          <w:color w:val="000000"/>
          <w:spacing w:val="0"/>
          <w:kern w:val="0"/>
          <w:sz w:val="20"/>
          <w:rtl/>
        </w:rPr>
        <w:t>، و</w:t>
      </w:r>
      <w:r w:rsidRPr="00523D40">
        <w:rPr>
          <w:rFonts w:hint="cs"/>
          <w:color w:val="000000"/>
          <w:spacing w:val="0"/>
          <w:kern w:val="0"/>
          <w:sz w:val="20"/>
          <w:rtl/>
        </w:rPr>
        <w:t>رأت أنه يعود إلى</w:t>
      </w:r>
      <w:r w:rsidRPr="00523D40">
        <w:rPr>
          <w:color w:val="000000"/>
          <w:spacing w:val="0"/>
          <w:kern w:val="0"/>
          <w:sz w:val="20"/>
          <w:rtl/>
        </w:rPr>
        <w:t xml:space="preserve"> </w:t>
      </w:r>
      <w:r w:rsidRPr="00523D40">
        <w:rPr>
          <w:rFonts w:hint="cs"/>
          <w:color w:val="000000"/>
          <w:spacing w:val="0"/>
          <w:kern w:val="0"/>
          <w:sz w:val="20"/>
          <w:rtl/>
        </w:rPr>
        <w:t>فترة</w:t>
      </w:r>
      <w:r w:rsidRPr="00523D40">
        <w:rPr>
          <w:color w:val="000000"/>
          <w:spacing w:val="0"/>
          <w:kern w:val="0"/>
          <w:sz w:val="20"/>
          <w:rtl/>
        </w:rPr>
        <w:t xml:space="preserve"> طويلة نسبيا</w:t>
      </w:r>
      <w:r w:rsidRPr="00523D40">
        <w:rPr>
          <w:rFonts w:hint="cs"/>
          <w:color w:val="000000"/>
          <w:spacing w:val="0"/>
          <w:kern w:val="0"/>
          <w:sz w:val="20"/>
          <w:rtl/>
        </w:rPr>
        <w:t>ً.</w:t>
      </w:r>
    </w:p>
    <w:p w:rsidR="00523D40" w:rsidRPr="00523D40" w:rsidRDefault="00523D40" w:rsidP="00A85948">
      <w:pPr>
        <w:pStyle w:val="SingleTxtGA"/>
        <w:spacing w:line="370" w:lineRule="exact"/>
        <w:jc w:val="lowKashida"/>
        <w:rPr>
          <w:rFonts w:hint="cs"/>
          <w:b/>
          <w:bCs/>
          <w:color w:val="000000"/>
          <w:spacing w:val="0"/>
          <w:kern w:val="0"/>
          <w:sz w:val="20"/>
          <w:rtl/>
        </w:rPr>
      </w:pPr>
      <w:r w:rsidRPr="00523D40">
        <w:rPr>
          <w:color w:val="000000"/>
          <w:spacing w:val="0"/>
          <w:kern w:val="0"/>
          <w:sz w:val="20"/>
          <w:rtl/>
          <w:lang w:val="en-CA"/>
        </w:rPr>
        <w:t>2-12</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 xml:space="preserve">في 8 </w:t>
      </w:r>
      <w:r w:rsidRPr="00523D40">
        <w:rPr>
          <w:rFonts w:hint="cs"/>
          <w:color w:val="000000"/>
          <w:spacing w:val="0"/>
          <w:kern w:val="0"/>
          <w:sz w:val="20"/>
          <w:rtl/>
        </w:rPr>
        <w:t>حزيران/يونيه</w:t>
      </w:r>
      <w:r w:rsidRPr="00523D40">
        <w:rPr>
          <w:color w:val="000000"/>
          <w:spacing w:val="0"/>
          <w:kern w:val="0"/>
          <w:sz w:val="20"/>
          <w:rtl/>
        </w:rPr>
        <w:t xml:space="preserve"> 2009، </w:t>
      </w:r>
      <w:r w:rsidRPr="00523D40">
        <w:rPr>
          <w:rFonts w:hint="cs"/>
          <w:color w:val="000000"/>
          <w:spacing w:val="0"/>
          <w:kern w:val="0"/>
          <w:sz w:val="20"/>
          <w:rtl/>
        </w:rPr>
        <w:t>طعنت صاحبة الشكوى في الحكم الذي أصدرته محكمة الهجرة، وفي</w:t>
      </w:r>
      <w:r w:rsidRPr="00523D40">
        <w:rPr>
          <w:color w:val="000000"/>
          <w:spacing w:val="0"/>
          <w:kern w:val="0"/>
          <w:sz w:val="20"/>
          <w:rtl/>
        </w:rPr>
        <w:t xml:space="preserve"> 27 تموز</w:t>
      </w:r>
      <w:r w:rsidRPr="00523D40">
        <w:rPr>
          <w:rFonts w:hint="cs"/>
          <w:color w:val="000000"/>
          <w:spacing w:val="0"/>
          <w:kern w:val="0"/>
          <w:sz w:val="20"/>
          <w:rtl/>
        </w:rPr>
        <w:t>/يوليه</w:t>
      </w:r>
      <w:r w:rsidRPr="00523D40">
        <w:rPr>
          <w:color w:val="000000"/>
          <w:spacing w:val="0"/>
          <w:kern w:val="0"/>
          <w:sz w:val="20"/>
          <w:rtl/>
        </w:rPr>
        <w:t xml:space="preserve"> 2009، </w:t>
      </w:r>
      <w:r w:rsidRPr="00523D40">
        <w:rPr>
          <w:rFonts w:hint="cs"/>
          <w:color w:val="000000"/>
          <w:spacing w:val="0"/>
          <w:kern w:val="0"/>
          <w:sz w:val="20"/>
          <w:rtl/>
        </w:rPr>
        <w:t>رفضت</w:t>
      </w:r>
      <w:r w:rsidRPr="00523D40">
        <w:rPr>
          <w:color w:val="000000"/>
          <w:spacing w:val="0"/>
          <w:kern w:val="0"/>
          <w:sz w:val="20"/>
          <w:rtl/>
        </w:rPr>
        <w:t xml:space="preserve"> محكمة الاستئناف </w:t>
      </w:r>
      <w:r w:rsidRPr="00523D40">
        <w:rPr>
          <w:rFonts w:hint="cs"/>
          <w:color w:val="000000"/>
          <w:spacing w:val="0"/>
          <w:kern w:val="0"/>
          <w:sz w:val="20"/>
          <w:rtl/>
        </w:rPr>
        <w:t>الخاصة</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 xml:space="preserve">الهجرة </w:t>
      </w:r>
      <w:r w:rsidRPr="00523D40">
        <w:rPr>
          <w:rFonts w:hint="cs"/>
          <w:color w:val="000000"/>
          <w:spacing w:val="0"/>
          <w:kern w:val="0"/>
          <w:sz w:val="20"/>
          <w:rtl/>
        </w:rPr>
        <w:t>ال</w:t>
      </w:r>
      <w:r w:rsidRPr="00523D40">
        <w:rPr>
          <w:color w:val="000000"/>
          <w:spacing w:val="0"/>
          <w:kern w:val="0"/>
          <w:sz w:val="20"/>
          <w:rtl/>
        </w:rPr>
        <w:t xml:space="preserve">إذن </w:t>
      </w:r>
      <w:r w:rsidRPr="00523D40">
        <w:rPr>
          <w:rFonts w:hint="cs"/>
          <w:color w:val="000000"/>
          <w:spacing w:val="0"/>
          <w:kern w:val="0"/>
          <w:sz w:val="20"/>
          <w:rtl/>
        </w:rPr>
        <w:t>بالطعن في</w:t>
      </w:r>
      <w:r w:rsidRPr="00523D40">
        <w:rPr>
          <w:color w:val="000000"/>
          <w:spacing w:val="0"/>
          <w:kern w:val="0"/>
          <w:sz w:val="20"/>
          <w:rtl/>
        </w:rPr>
        <w:t xml:space="preserve"> الحكم الصادر عن محكمة الهجرة. </w:t>
      </w:r>
      <w:r w:rsidRPr="00523D40">
        <w:rPr>
          <w:rFonts w:hint="cs"/>
          <w:color w:val="000000"/>
          <w:spacing w:val="0"/>
          <w:kern w:val="0"/>
          <w:sz w:val="20"/>
          <w:rtl/>
        </w:rPr>
        <w:t>ومن ثم، فقد أصبح القرار القاضي</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طرد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نهائياً.</w:t>
      </w:r>
    </w:p>
    <w:p w:rsidR="00523D40" w:rsidRPr="00523D40" w:rsidRDefault="00523D40" w:rsidP="00A85948">
      <w:pPr>
        <w:pStyle w:val="SingleTxtGA"/>
        <w:spacing w:line="370" w:lineRule="exact"/>
        <w:jc w:val="lowKashida"/>
        <w:rPr>
          <w:rFonts w:hint="cs"/>
          <w:color w:val="000000"/>
          <w:spacing w:val="0"/>
          <w:kern w:val="0"/>
          <w:sz w:val="20"/>
          <w:rtl/>
        </w:rPr>
      </w:pPr>
      <w:r w:rsidRPr="00523D40">
        <w:rPr>
          <w:color w:val="000000"/>
          <w:spacing w:val="0"/>
          <w:kern w:val="0"/>
          <w:sz w:val="20"/>
          <w:rtl/>
          <w:lang w:val="en-CA"/>
        </w:rPr>
        <w:t>2-13</w:t>
      </w:r>
      <w:r w:rsidRPr="00523D40">
        <w:rPr>
          <w:color w:val="000000"/>
          <w:spacing w:val="0"/>
          <w:kern w:val="0"/>
          <w:sz w:val="20"/>
          <w:rtl/>
          <w:lang w:val="en-CA"/>
        </w:rPr>
        <w:tab/>
      </w:r>
      <w:r w:rsidRPr="00523D40">
        <w:rPr>
          <w:rFonts w:hint="cs"/>
          <w:color w:val="000000"/>
          <w:spacing w:val="0"/>
          <w:kern w:val="0"/>
          <w:sz w:val="20"/>
          <w:rtl/>
        </w:rPr>
        <w:t>و</w:t>
      </w:r>
      <w:r w:rsidRPr="00523D40">
        <w:rPr>
          <w:color w:val="000000"/>
          <w:spacing w:val="0"/>
          <w:kern w:val="0"/>
          <w:sz w:val="20"/>
          <w:rtl/>
        </w:rPr>
        <w:t xml:space="preserve">في 7 </w:t>
      </w:r>
      <w:r w:rsidRPr="00523D40">
        <w:rPr>
          <w:rFonts w:hint="cs"/>
          <w:color w:val="000000"/>
          <w:spacing w:val="0"/>
          <w:kern w:val="0"/>
          <w:sz w:val="20"/>
          <w:rtl/>
        </w:rPr>
        <w:t>أيلول/</w:t>
      </w:r>
      <w:r w:rsidRPr="00523D40">
        <w:rPr>
          <w:color w:val="000000"/>
          <w:spacing w:val="0"/>
          <w:kern w:val="0"/>
          <w:sz w:val="20"/>
          <w:rtl/>
        </w:rPr>
        <w:t xml:space="preserve">سبتمبر 2009، </w:t>
      </w:r>
      <w:r w:rsidRPr="00523D40">
        <w:rPr>
          <w:rFonts w:hint="cs"/>
          <w:color w:val="000000"/>
          <w:spacing w:val="0"/>
          <w:kern w:val="0"/>
          <w:sz w:val="20"/>
          <w:rtl/>
        </w:rPr>
        <w:t>سُجلّت</w:t>
      </w:r>
      <w:r w:rsidRPr="00523D40">
        <w:rPr>
          <w:color w:val="000000"/>
          <w:spacing w:val="0"/>
          <w:kern w:val="0"/>
          <w:sz w:val="20"/>
          <w:rtl/>
        </w:rPr>
        <w:t xml:space="preserve"> رسالة من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لدى</w:t>
      </w:r>
      <w:r w:rsidRPr="00523D40">
        <w:rPr>
          <w:color w:val="000000"/>
          <w:spacing w:val="0"/>
          <w:kern w:val="0"/>
          <w:sz w:val="20"/>
          <w:rtl/>
        </w:rPr>
        <w:t xml:space="preserve"> مجلس الهجرة. </w:t>
      </w:r>
      <w:r w:rsidRPr="00523D40">
        <w:rPr>
          <w:rFonts w:hint="cs"/>
          <w:color w:val="000000"/>
          <w:spacing w:val="0"/>
          <w:kern w:val="0"/>
          <w:sz w:val="20"/>
          <w:rtl/>
        </w:rPr>
        <w:t>وأكدت صاحبة الشكوى في هذه الرسالة أنها قدمت</w:t>
      </w:r>
      <w:r w:rsidRPr="00523D40">
        <w:rPr>
          <w:color w:val="000000"/>
          <w:spacing w:val="0"/>
          <w:kern w:val="0"/>
          <w:sz w:val="20"/>
          <w:rtl/>
        </w:rPr>
        <w:t xml:space="preserve"> </w:t>
      </w:r>
      <w:r w:rsidRPr="00523D40">
        <w:rPr>
          <w:rFonts w:hint="cs"/>
          <w:color w:val="000000"/>
          <w:spacing w:val="0"/>
          <w:kern w:val="0"/>
          <w:sz w:val="20"/>
          <w:rtl/>
        </w:rPr>
        <w:t>في حزيران/يونيه</w:t>
      </w:r>
      <w:r w:rsidRPr="00523D40">
        <w:rPr>
          <w:color w:val="000000"/>
          <w:spacing w:val="0"/>
          <w:kern w:val="0"/>
          <w:sz w:val="20"/>
          <w:rtl/>
        </w:rPr>
        <w:t xml:space="preserve"> 2009 </w:t>
      </w:r>
      <w:r w:rsidRPr="00523D40">
        <w:rPr>
          <w:rFonts w:hint="cs"/>
          <w:color w:val="000000"/>
          <w:spacing w:val="0"/>
          <w:kern w:val="0"/>
          <w:sz w:val="20"/>
          <w:rtl/>
        </w:rPr>
        <w:t xml:space="preserve">وثائق </w:t>
      </w:r>
      <w:r w:rsidRPr="00523D40">
        <w:rPr>
          <w:color w:val="000000"/>
          <w:spacing w:val="0"/>
          <w:kern w:val="0"/>
          <w:sz w:val="20"/>
          <w:rtl/>
        </w:rPr>
        <w:t>إلى محاميها</w:t>
      </w:r>
      <w:r w:rsidRPr="00523D40">
        <w:rPr>
          <w:rFonts w:hint="cs"/>
          <w:color w:val="000000"/>
          <w:spacing w:val="0"/>
          <w:kern w:val="0"/>
          <w:sz w:val="20"/>
          <w:rtl/>
        </w:rPr>
        <w:t xml:space="preserve"> المكلف بتقديم</w:t>
      </w:r>
      <w:r w:rsidRPr="00523D40">
        <w:rPr>
          <w:color w:val="000000"/>
          <w:spacing w:val="0"/>
          <w:kern w:val="0"/>
          <w:sz w:val="20"/>
          <w:rtl/>
        </w:rPr>
        <w:t xml:space="preserve"> المساعدة </w:t>
      </w:r>
      <w:r w:rsidRPr="00523D40">
        <w:rPr>
          <w:rFonts w:hint="cs"/>
          <w:color w:val="000000"/>
          <w:spacing w:val="0"/>
          <w:kern w:val="0"/>
          <w:sz w:val="20"/>
          <w:rtl/>
        </w:rPr>
        <w:t>القضائية</w:t>
      </w:r>
      <w:r w:rsidRPr="00523D40">
        <w:rPr>
          <w:color w:val="000000"/>
          <w:spacing w:val="0"/>
          <w:kern w:val="0"/>
          <w:sz w:val="20"/>
          <w:rtl/>
        </w:rPr>
        <w:t xml:space="preserve">، </w:t>
      </w:r>
      <w:r w:rsidRPr="00523D40">
        <w:rPr>
          <w:rFonts w:hint="cs"/>
          <w:color w:val="000000"/>
          <w:spacing w:val="0"/>
          <w:kern w:val="0"/>
          <w:sz w:val="20"/>
          <w:rtl/>
        </w:rPr>
        <w:t>وادعت</w:t>
      </w:r>
      <w:r w:rsidRPr="00523D40">
        <w:rPr>
          <w:color w:val="000000"/>
          <w:spacing w:val="0"/>
          <w:kern w:val="0"/>
          <w:sz w:val="20"/>
          <w:rtl/>
        </w:rPr>
        <w:t xml:space="preserve">، في جملة أمور، </w:t>
      </w:r>
      <w:r w:rsidRPr="00523D40">
        <w:rPr>
          <w:rFonts w:hint="cs"/>
          <w:color w:val="000000"/>
          <w:spacing w:val="0"/>
          <w:kern w:val="0"/>
          <w:sz w:val="20"/>
          <w:rtl/>
        </w:rPr>
        <w:t xml:space="preserve">صدور </w:t>
      </w:r>
      <w:r w:rsidRPr="00523D40">
        <w:rPr>
          <w:color w:val="000000"/>
          <w:spacing w:val="0"/>
          <w:kern w:val="0"/>
          <w:sz w:val="20"/>
          <w:rtl/>
        </w:rPr>
        <w:t xml:space="preserve">حكم عليها في بوروندي </w:t>
      </w:r>
      <w:r w:rsidRPr="00523D40">
        <w:rPr>
          <w:rFonts w:hint="cs"/>
          <w:color w:val="000000"/>
          <w:spacing w:val="0"/>
          <w:kern w:val="0"/>
          <w:sz w:val="20"/>
          <w:rtl/>
        </w:rPr>
        <w:t>بالسجن لمدة 20 سنة.</w:t>
      </w:r>
      <w:r w:rsidRPr="00523D40">
        <w:rPr>
          <w:color w:val="000000"/>
          <w:spacing w:val="0"/>
          <w:kern w:val="0"/>
          <w:sz w:val="20"/>
          <w:rtl/>
        </w:rPr>
        <w:t xml:space="preserve"> </w:t>
      </w:r>
      <w:r w:rsidRPr="00523D40">
        <w:rPr>
          <w:rFonts w:hint="cs"/>
          <w:color w:val="000000"/>
          <w:spacing w:val="0"/>
          <w:kern w:val="0"/>
          <w:sz w:val="20"/>
          <w:rtl/>
        </w:rPr>
        <w:t>وأرفقت صاحبة الشكوى نسخاً من</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استدعاء</w:t>
      </w:r>
      <w:r w:rsidRPr="00523D40">
        <w:rPr>
          <w:rFonts w:hint="cs"/>
          <w:color w:val="000000"/>
          <w:spacing w:val="0"/>
          <w:kern w:val="0"/>
          <w:sz w:val="20"/>
          <w:rtl/>
        </w:rPr>
        <w:t xml:space="preserve"> الذي أرسلته</w:t>
      </w:r>
      <w:r w:rsidRPr="00523D40">
        <w:rPr>
          <w:color w:val="000000"/>
          <w:spacing w:val="0"/>
          <w:kern w:val="0"/>
          <w:sz w:val="20"/>
          <w:rtl/>
        </w:rPr>
        <w:t xml:space="preserve"> الشرطة في بوروندي بتاريخ 8 </w:t>
      </w:r>
      <w:r w:rsidRPr="00523D40">
        <w:rPr>
          <w:rFonts w:hint="cs"/>
          <w:color w:val="000000"/>
          <w:spacing w:val="0"/>
          <w:kern w:val="0"/>
          <w:sz w:val="20"/>
          <w:rtl/>
        </w:rPr>
        <w:t>تشرين الأول/</w:t>
      </w:r>
      <w:r w:rsidRPr="00523D40">
        <w:rPr>
          <w:color w:val="000000"/>
          <w:spacing w:val="0"/>
          <w:kern w:val="0"/>
          <w:sz w:val="20"/>
          <w:rtl/>
        </w:rPr>
        <w:t>أكتوبر 2007</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0"/>
      </w:r>
      <w:r w:rsidRPr="00523D40">
        <w:rPr>
          <w:rFonts w:hint="cs"/>
          <w:color w:val="000000"/>
          <w:spacing w:val="0"/>
          <w:kern w:val="0"/>
          <w:sz w:val="20"/>
          <w:szCs w:val="28"/>
          <w:vertAlign w:val="superscript"/>
          <w:rtl/>
          <w:lang w:val="en-CA"/>
        </w:rPr>
        <w:t>)</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مذكرة توقي</w:t>
      </w:r>
      <w:r w:rsidRPr="00523D40">
        <w:rPr>
          <w:rFonts w:hint="cs"/>
          <w:color w:val="000000"/>
          <w:spacing w:val="0"/>
          <w:kern w:val="0"/>
          <w:sz w:val="20"/>
          <w:rtl/>
        </w:rPr>
        <w:t>ف صدرت في حقها</w:t>
      </w:r>
      <w:r w:rsidRPr="00523D40">
        <w:rPr>
          <w:color w:val="000000"/>
          <w:spacing w:val="0"/>
          <w:kern w:val="0"/>
          <w:sz w:val="20"/>
          <w:rtl/>
        </w:rPr>
        <w:t xml:space="preserve"> بتاريخ 19 </w:t>
      </w:r>
      <w:r w:rsidRPr="00523D40">
        <w:rPr>
          <w:rFonts w:hint="cs"/>
          <w:color w:val="000000"/>
          <w:spacing w:val="0"/>
          <w:kern w:val="0"/>
          <w:sz w:val="20"/>
          <w:rtl/>
        </w:rPr>
        <w:t>تشرين الثاني/</w:t>
      </w:r>
      <w:r w:rsidRPr="00523D40">
        <w:rPr>
          <w:color w:val="000000"/>
          <w:spacing w:val="0"/>
          <w:kern w:val="0"/>
          <w:sz w:val="20"/>
          <w:rtl/>
        </w:rPr>
        <w:t>نوفمبر 2007</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1"/>
      </w:r>
      <w:r w:rsidRPr="00523D40">
        <w:rPr>
          <w:rFonts w:hint="cs"/>
          <w:color w:val="000000"/>
          <w:spacing w:val="0"/>
          <w:kern w:val="0"/>
          <w:sz w:val="20"/>
          <w:szCs w:val="28"/>
          <w:vertAlign w:val="superscript"/>
          <w:rtl/>
          <w:lang w:val="en-CA"/>
        </w:rPr>
        <w:t>)</w:t>
      </w:r>
      <w:r w:rsidRPr="00523D40">
        <w:rPr>
          <w:rFonts w:hint="cs"/>
          <w:color w:val="000000"/>
          <w:spacing w:val="0"/>
          <w:kern w:val="0"/>
          <w:sz w:val="20"/>
          <w:rtl/>
        </w:rPr>
        <w:t>،</w:t>
      </w:r>
      <w:r w:rsidRPr="00523D40">
        <w:rPr>
          <w:color w:val="000000"/>
          <w:spacing w:val="0"/>
          <w:kern w:val="0"/>
          <w:sz w:val="20"/>
          <w:rtl/>
        </w:rPr>
        <w:t xml:space="preserve"> وحكم</w:t>
      </w:r>
      <w:r w:rsidRPr="00523D40">
        <w:rPr>
          <w:rFonts w:hint="cs"/>
          <w:color w:val="000000"/>
          <w:spacing w:val="0"/>
          <w:kern w:val="0"/>
          <w:sz w:val="20"/>
          <w:rtl/>
        </w:rPr>
        <w:t>اً صدر</w:t>
      </w:r>
      <w:r w:rsidRPr="00523D40">
        <w:rPr>
          <w:color w:val="000000"/>
          <w:spacing w:val="0"/>
          <w:kern w:val="0"/>
          <w:sz w:val="20"/>
          <w:rtl/>
        </w:rPr>
        <w:t xml:space="preserve"> بتاريخ 16 </w:t>
      </w:r>
      <w:r w:rsidRPr="00523D40">
        <w:rPr>
          <w:rFonts w:hint="cs"/>
          <w:color w:val="000000"/>
          <w:spacing w:val="0"/>
          <w:kern w:val="0"/>
          <w:sz w:val="20"/>
          <w:rtl/>
        </w:rPr>
        <w:t>كانون الأول/</w:t>
      </w:r>
      <w:r w:rsidRPr="00523D40">
        <w:rPr>
          <w:color w:val="000000"/>
          <w:spacing w:val="0"/>
          <w:kern w:val="0"/>
          <w:sz w:val="20"/>
          <w:rtl/>
        </w:rPr>
        <w:t>ديسمبر 200</w:t>
      </w:r>
      <w:r w:rsidRPr="00523D40">
        <w:rPr>
          <w:rFonts w:hint="cs"/>
          <w:color w:val="000000"/>
          <w:spacing w:val="0"/>
          <w:kern w:val="0"/>
          <w:sz w:val="20"/>
          <w:rtl/>
        </w:rPr>
        <w:t>8 ويقضي بسجنها لمدة 20 عاماً</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2"/>
      </w:r>
      <w:r w:rsidRPr="00523D40">
        <w:rPr>
          <w:rFonts w:hint="cs"/>
          <w:color w:val="000000"/>
          <w:spacing w:val="0"/>
          <w:kern w:val="0"/>
          <w:sz w:val="20"/>
          <w:szCs w:val="28"/>
          <w:vertAlign w:val="superscript"/>
          <w:rtl/>
          <w:lang w:val="en-CA"/>
        </w:rPr>
        <w:t>)</w:t>
      </w:r>
      <w:r w:rsidRPr="00523D40">
        <w:rPr>
          <w:rFonts w:hint="cs"/>
          <w:color w:val="000000"/>
          <w:spacing w:val="0"/>
          <w:kern w:val="0"/>
          <w:sz w:val="20"/>
          <w:rtl/>
        </w:rPr>
        <w:t>.</w:t>
      </w:r>
    </w:p>
    <w:p w:rsidR="00523D40" w:rsidRPr="00523D40" w:rsidRDefault="00523D40" w:rsidP="00523D40">
      <w:pPr>
        <w:pStyle w:val="SingleTxtGA"/>
        <w:jc w:val="lowKashida"/>
        <w:rPr>
          <w:rFonts w:hint="cs"/>
          <w:b/>
          <w:bCs/>
          <w:color w:val="000000"/>
          <w:spacing w:val="0"/>
          <w:kern w:val="0"/>
          <w:sz w:val="20"/>
          <w:rtl/>
        </w:rPr>
      </w:pPr>
      <w:r w:rsidRPr="00523D40">
        <w:rPr>
          <w:color w:val="000000"/>
          <w:spacing w:val="0"/>
          <w:kern w:val="0"/>
          <w:sz w:val="20"/>
          <w:rtl/>
          <w:lang w:val="en-CA"/>
        </w:rPr>
        <w:t>2-14</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في ضوء المعلومات المقدمة في رسالة</w:t>
      </w:r>
      <w:r w:rsidRPr="00523D40">
        <w:rPr>
          <w:rFonts w:hint="cs"/>
          <w:color w:val="000000"/>
          <w:spacing w:val="0"/>
          <w:kern w:val="0"/>
          <w:sz w:val="20"/>
          <w:rtl/>
        </w:rPr>
        <w:t xml:space="preserve"> صاحبة</w:t>
      </w:r>
      <w:r w:rsidRPr="00523D40">
        <w:rPr>
          <w:color w:val="000000"/>
          <w:spacing w:val="0"/>
          <w:kern w:val="0"/>
          <w:sz w:val="20"/>
          <w:rtl/>
        </w:rPr>
        <w:t xml:space="preserve"> الشكوى و</w:t>
      </w:r>
      <w:r w:rsidRPr="00523D40">
        <w:rPr>
          <w:rFonts w:hint="cs"/>
          <w:color w:val="000000"/>
          <w:spacing w:val="0"/>
          <w:kern w:val="0"/>
          <w:sz w:val="20"/>
          <w:rtl/>
        </w:rPr>
        <w:t xml:space="preserve">في </w:t>
      </w:r>
      <w:r w:rsidRPr="00523D40">
        <w:rPr>
          <w:color w:val="000000"/>
          <w:spacing w:val="0"/>
          <w:kern w:val="0"/>
          <w:sz w:val="20"/>
          <w:rtl/>
        </w:rPr>
        <w:t>النسخ المرفقة</w:t>
      </w:r>
      <w:r w:rsidRPr="00523D40">
        <w:rPr>
          <w:rFonts w:hint="cs"/>
          <w:color w:val="000000"/>
          <w:spacing w:val="0"/>
          <w:kern w:val="0"/>
          <w:sz w:val="20"/>
          <w:rtl/>
        </w:rPr>
        <w:t xml:space="preserve"> بها</w:t>
      </w:r>
      <w:r w:rsidRPr="00523D40">
        <w:rPr>
          <w:color w:val="000000"/>
          <w:spacing w:val="0"/>
          <w:kern w:val="0"/>
          <w:sz w:val="20"/>
          <w:rtl/>
        </w:rPr>
        <w:t xml:space="preserve">، قرر مجلس الهجرة، في 24 </w:t>
      </w:r>
      <w:r w:rsidRPr="00523D40">
        <w:rPr>
          <w:rFonts w:hint="cs"/>
          <w:color w:val="000000"/>
          <w:spacing w:val="0"/>
          <w:kern w:val="0"/>
          <w:sz w:val="20"/>
          <w:rtl/>
        </w:rPr>
        <w:t>أيلول/</w:t>
      </w:r>
      <w:r w:rsidRPr="00523D40">
        <w:rPr>
          <w:color w:val="000000"/>
          <w:spacing w:val="0"/>
          <w:kern w:val="0"/>
          <w:sz w:val="20"/>
          <w:rtl/>
        </w:rPr>
        <w:t>سبتمبر 2009، عدم منح</w:t>
      </w:r>
      <w:r w:rsidRPr="00523D40">
        <w:rPr>
          <w:rFonts w:hint="cs"/>
          <w:color w:val="000000"/>
          <w:spacing w:val="0"/>
          <w:kern w:val="0"/>
          <w:sz w:val="20"/>
          <w:rtl/>
        </w:rPr>
        <w:t xml:space="preserve">ها </w:t>
      </w:r>
      <w:r w:rsidRPr="00523D40">
        <w:rPr>
          <w:color w:val="000000"/>
          <w:spacing w:val="0"/>
          <w:kern w:val="0"/>
          <w:sz w:val="20"/>
          <w:rtl/>
        </w:rPr>
        <w:t xml:space="preserve">تصريح إقامة </w:t>
      </w:r>
      <w:r w:rsidRPr="00523D40">
        <w:rPr>
          <w:rFonts w:hint="cs"/>
          <w:color w:val="000000"/>
          <w:spacing w:val="0"/>
          <w:kern w:val="0"/>
          <w:sz w:val="20"/>
          <w:rtl/>
        </w:rPr>
        <w:t>بموجب المادة 18 من الفصل 12 من قانون الأجانب لسنة 2005</w:t>
      </w:r>
      <w:r w:rsidRPr="00523D40">
        <w:rPr>
          <w:color w:val="000000"/>
          <w:spacing w:val="0"/>
          <w:kern w:val="0"/>
          <w:sz w:val="20"/>
          <w:rtl/>
        </w:rPr>
        <w:t xml:space="preserve">، أو إعادة دراسة المسألة في إطار </w:t>
      </w:r>
      <w:r w:rsidRPr="00523D40">
        <w:rPr>
          <w:rFonts w:hint="cs"/>
          <w:color w:val="000000"/>
          <w:spacing w:val="0"/>
          <w:kern w:val="0"/>
          <w:sz w:val="20"/>
          <w:rtl/>
        </w:rPr>
        <w:t xml:space="preserve">المادة 19 من </w:t>
      </w:r>
      <w:r w:rsidRPr="00523D40">
        <w:rPr>
          <w:color w:val="000000"/>
          <w:spacing w:val="0"/>
          <w:kern w:val="0"/>
          <w:sz w:val="20"/>
          <w:rtl/>
        </w:rPr>
        <w:t>الفصل 1</w:t>
      </w:r>
      <w:r w:rsidRPr="00523D40">
        <w:rPr>
          <w:rFonts w:hint="cs"/>
          <w:color w:val="000000"/>
          <w:spacing w:val="0"/>
          <w:kern w:val="0"/>
          <w:sz w:val="20"/>
          <w:rtl/>
        </w:rPr>
        <w:t>2</w:t>
      </w:r>
      <w:r w:rsidRPr="00523D40">
        <w:rPr>
          <w:rFonts w:hint="cs"/>
          <w:color w:val="000000"/>
          <w:spacing w:val="0"/>
          <w:kern w:val="0"/>
          <w:sz w:val="20"/>
          <w:szCs w:val="28"/>
          <w:vertAlign w:val="superscript"/>
          <w:rtl/>
          <w:lang w:val="en-CA"/>
        </w:rPr>
        <w:t>(</w:t>
      </w:r>
      <w:r w:rsidRPr="00A85948">
        <w:rPr>
          <w:color w:val="000000"/>
          <w:spacing w:val="0"/>
          <w:kern w:val="0"/>
          <w:sz w:val="2"/>
          <w:szCs w:val="2"/>
          <w:vertAlign w:val="superscript"/>
          <w:rtl/>
        </w:rPr>
        <w:footnoteReference w:id="323"/>
      </w:r>
      <w:r w:rsidR="00A85948" w:rsidRPr="00A85948">
        <w:rPr>
          <w:rFonts w:hint="cs"/>
          <w:color w:val="000000"/>
          <w:spacing w:val="0"/>
          <w:kern w:val="0"/>
          <w:sz w:val="30"/>
          <w:vertAlign w:val="superscript"/>
          <w:rtl/>
          <w:lang w:val="en-CA"/>
        </w:rPr>
        <w:t>ﻫ</w:t>
      </w:r>
      <w:r w:rsidRPr="00523D40">
        <w:rPr>
          <w:rFonts w:hint="cs"/>
          <w:color w:val="000000"/>
          <w:spacing w:val="0"/>
          <w:kern w:val="0"/>
          <w:sz w:val="20"/>
          <w:szCs w:val="28"/>
          <w:vertAlign w:val="superscript"/>
          <w:rtl/>
          <w:lang w:val="en-CA"/>
        </w:rPr>
        <w:t>)</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ولاحظ مجلس الهجرة</w:t>
      </w:r>
      <w:r w:rsidRPr="00523D40">
        <w:rPr>
          <w:color w:val="000000"/>
          <w:spacing w:val="0"/>
          <w:kern w:val="0"/>
          <w:sz w:val="20"/>
          <w:rtl/>
        </w:rPr>
        <w:t xml:space="preserve">، في جملة أمور، أن الوثائق المرفقة كانت </w:t>
      </w:r>
      <w:r w:rsidRPr="00523D40">
        <w:rPr>
          <w:rFonts w:hint="cs"/>
          <w:color w:val="000000"/>
          <w:spacing w:val="0"/>
          <w:kern w:val="0"/>
          <w:sz w:val="20"/>
          <w:rtl/>
        </w:rPr>
        <w:t>صوراً، ومن ثم فقيمتها كدليل منخفضة.</w:t>
      </w:r>
    </w:p>
    <w:p w:rsidR="00523D40" w:rsidRPr="00A85948" w:rsidRDefault="00523D40" w:rsidP="00523D40">
      <w:pPr>
        <w:pStyle w:val="SingleTxtGA"/>
        <w:jc w:val="lowKashida"/>
        <w:rPr>
          <w:rFonts w:hint="cs"/>
          <w:color w:val="000000"/>
          <w:spacing w:val="-2"/>
          <w:kern w:val="0"/>
          <w:sz w:val="20"/>
          <w:rtl/>
        </w:rPr>
      </w:pPr>
      <w:r w:rsidRPr="00523D40">
        <w:rPr>
          <w:color w:val="000000"/>
          <w:spacing w:val="0"/>
          <w:kern w:val="0"/>
          <w:sz w:val="20"/>
          <w:rtl/>
          <w:lang w:val="en-CA"/>
        </w:rPr>
        <w:t>2-15</w:t>
      </w:r>
      <w:r w:rsidRPr="00523D40">
        <w:rPr>
          <w:color w:val="000000"/>
          <w:spacing w:val="0"/>
          <w:kern w:val="0"/>
          <w:sz w:val="20"/>
          <w:rtl/>
          <w:lang w:val="en-CA"/>
        </w:rPr>
        <w:tab/>
      </w:r>
      <w:r w:rsidRPr="00523D40">
        <w:rPr>
          <w:color w:val="000000"/>
          <w:spacing w:val="0"/>
          <w:kern w:val="0"/>
          <w:sz w:val="20"/>
          <w:rtl/>
        </w:rPr>
        <w:t>و</w:t>
      </w:r>
      <w:r w:rsidRPr="00523D40">
        <w:rPr>
          <w:rFonts w:hint="cs"/>
          <w:color w:val="000000"/>
          <w:spacing w:val="0"/>
          <w:kern w:val="0"/>
          <w:sz w:val="20"/>
          <w:rtl/>
        </w:rPr>
        <w:t xml:space="preserve">طعنت صاحبة الشكوى في </w:t>
      </w:r>
      <w:r w:rsidRPr="00523D40">
        <w:rPr>
          <w:color w:val="000000"/>
          <w:spacing w:val="0"/>
          <w:kern w:val="0"/>
          <w:sz w:val="20"/>
          <w:rtl/>
        </w:rPr>
        <w:t xml:space="preserve">قرار مجلس الهجرة </w:t>
      </w:r>
      <w:r w:rsidRPr="00523D40">
        <w:rPr>
          <w:rFonts w:hint="cs"/>
          <w:color w:val="000000"/>
          <w:spacing w:val="0"/>
          <w:kern w:val="0"/>
          <w:sz w:val="20"/>
          <w:rtl/>
        </w:rPr>
        <w:t>أمام محكمة ال</w:t>
      </w:r>
      <w:r w:rsidRPr="00523D40">
        <w:rPr>
          <w:color w:val="000000"/>
          <w:spacing w:val="0"/>
          <w:kern w:val="0"/>
          <w:sz w:val="20"/>
          <w:rtl/>
        </w:rPr>
        <w:t>هجرة.</w:t>
      </w:r>
      <w:r w:rsidRPr="00523D40">
        <w:rPr>
          <w:rFonts w:hint="cs"/>
          <w:color w:val="000000"/>
          <w:spacing w:val="0"/>
          <w:kern w:val="0"/>
          <w:sz w:val="20"/>
          <w:rtl/>
        </w:rPr>
        <w:t xml:space="preserve"> وطرحت عليها هذه المحكمة أسئلة تتعلق بالوثائق المقدمة، فذكرت صاحبة الشكوى خطياً أن أحد معارفها، وهو شخص يعمل سكرتيراً في إحدى المحاكم في بوروندي، كان قد أعلمها في شهر آذار/مارس أو نيسان/أبريل 2009 عن إرسال إخطار إليها، وأنه قد جرى البحث عنها </w:t>
      </w:r>
      <w:r w:rsidRPr="00A85948">
        <w:rPr>
          <w:rFonts w:hint="cs"/>
          <w:color w:val="000000"/>
          <w:spacing w:val="-2"/>
          <w:kern w:val="0"/>
          <w:sz w:val="20"/>
          <w:rtl/>
        </w:rPr>
        <w:t xml:space="preserve">وصدر حكم بإدانتها بسبب مساعدتها لشقيقها في ارتكاب أعمال قتل ونهب للممتلكات. وقد </w:t>
      </w:r>
      <w:r w:rsidRPr="00A85948">
        <w:rPr>
          <w:color w:val="000000"/>
          <w:spacing w:val="-2"/>
          <w:kern w:val="0"/>
          <w:sz w:val="20"/>
          <w:rtl/>
        </w:rPr>
        <w:t>صدمت صاحب</w:t>
      </w:r>
      <w:r w:rsidRPr="00A85948">
        <w:rPr>
          <w:rFonts w:hint="cs"/>
          <w:color w:val="000000"/>
          <w:spacing w:val="-2"/>
          <w:kern w:val="0"/>
          <w:sz w:val="20"/>
          <w:rtl/>
        </w:rPr>
        <w:t>ة</w:t>
      </w:r>
      <w:r w:rsidRPr="00A85948">
        <w:rPr>
          <w:color w:val="000000"/>
          <w:spacing w:val="-2"/>
          <w:kern w:val="0"/>
          <w:sz w:val="20"/>
          <w:rtl/>
        </w:rPr>
        <w:t xml:space="preserve"> الشكوى لسماع هذا</w:t>
      </w:r>
      <w:r w:rsidRPr="00A85948">
        <w:rPr>
          <w:rFonts w:hint="cs"/>
          <w:color w:val="000000"/>
          <w:spacing w:val="-2"/>
          <w:kern w:val="0"/>
          <w:sz w:val="20"/>
          <w:rtl/>
        </w:rPr>
        <w:t xml:space="preserve"> الخبر،</w:t>
      </w:r>
      <w:r w:rsidRPr="00A85948">
        <w:rPr>
          <w:color w:val="000000"/>
          <w:spacing w:val="-2"/>
          <w:kern w:val="0"/>
          <w:sz w:val="20"/>
          <w:rtl/>
        </w:rPr>
        <w:t xml:space="preserve"> </w:t>
      </w:r>
      <w:r w:rsidRPr="00A85948">
        <w:rPr>
          <w:rFonts w:hint="cs"/>
          <w:color w:val="000000"/>
          <w:spacing w:val="-2"/>
          <w:kern w:val="0"/>
          <w:sz w:val="20"/>
          <w:rtl/>
        </w:rPr>
        <w:t>ولكنها رأت أنها إذا أخبرت محاميها أو السلطات السويدية بالأمر فسيُطلب منها إثباته.</w:t>
      </w:r>
      <w:r w:rsidRPr="00A85948">
        <w:rPr>
          <w:color w:val="000000"/>
          <w:spacing w:val="-2"/>
          <w:kern w:val="0"/>
          <w:sz w:val="20"/>
          <w:rtl/>
        </w:rPr>
        <w:t xml:space="preserve"> </w:t>
      </w:r>
      <w:r w:rsidRPr="00A85948">
        <w:rPr>
          <w:rFonts w:hint="cs"/>
          <w:color w:val="000000"/>
          <w:spacing w:val="-2"/>
          <w:kern w:val="0"/>
          <w:sz w:val="20"/>
          <w:rtl/>
        </w:rPr>
        <w:t>ومن ثم، فقد طلبت</w:t>
      </w:r>
      <w:r w:rsidRPr="00A85948">
        <w:rPr>
          <w:color w:val="000000"/>
          <w:spacing w:val="-2"/>
          <w:kern w:val="0"/>
          <w:sz w:val="20"/>
          <w:rtl/>
        </w:rPr>
        <w:t xml:space="preserve"> </w:t>
      </w:r>
      <w:r w:rsidRPr="00A85948">
        <w:rPr>
          <w:rFonts w:hint="cs"/>
          <w:color w:val="000000"/>
          <w:spacing w:val="-2"/>
          <w:kern w:val="0"/>
          <w:sz w:val="20"/>
          <w:rtl/>
        </w:rPr>
        <w:t xml:space="preserve">إلى هذا الشخص المقيم </w:t>
      </w:r>
      <w:r w:rsidRPr="00A85948">
        <w:rPr>
          <w:color w:val="000000"/>
          <w:spacing w:val="-2"/>
          <w:kern w:val="0"/>
          <w:sz w:val="20"/>
          <w:rtl/>
        </w:rPr>
        <w:t xml:space="preserve">في بوروندي </w:t>
      </w:r>
      <w:r w:rsidRPr="00A85948">
        <w:rPr>
          <w:rFonts w:hint="cs"/>
          <w:color w:val="000000"/>
          <w:spacing w:val="-2"/>
          <w:kern w:val="0"/>
          <w:sz w:val="20"/>
          <w:rtl/>
        </w:rPr>
        <w:t>أن يرسل إليها</w:t>
      </w:r>
      <w:r w:rsidRPr="00A85948">
        <w:rPr>
          <w:color w:val="000000"/>
          <w:spacing w:val="-2"/>
          <w:kern w:val="0"/>
          <w:sz w:val="20"/>
          <w:rtl/>
        </w:rPr>
        <w:t xml:space="preserve"> </w:t>
      </w:r>
      <w:r w:rsidRPr="00A85948">
        <w:rPr>
          <w:rFonts w:hint="cs"/>
          <w:color w:val="000000"/>
          <w:spacing w:val="-2"/>
          <w:kern w:val="0"/>
          <w:sz w:val="20"/>
          <w:rtl/>
        </w:rPr>
        <w:t>ال</w:t>
      </w:r>
      <w:r w:rsidRPr="00A85948">
        <w:rPr>
          <w:color w:val="000000"/>
          <w:spacing w:val="-2"/>
          <w:kern w:val="0"/>
          <w:sz w:val="20"/>
          <w:rtl/>
        </w:rPr>
        <w:t xml:space="preserve">وثائق </w:t>
      </w:r>
      <w:r w:rsidRPr="00A85948">
        <w:rPr>
          <w:rFonts w:hint="cs"/>
          <w:color w:val="000000"/>
          <w:spacing w:val="-2"/>
          <w:kern w:val="0"/>
          <w:sz w:val="20"/>
          <w:rtl/>
        </w:rPr>
        <w:t>التي يتضمنها</w:t>
      </w:r>
      <w:r w:rsidRPr="00A85948">
        <w:rPr>
          <w:color w:val="000000"/>
          <w:spacing w:val="-2"/>
          <w:kern w:val="0"/>
          <w:sz w:val="20"/>
          <w:rtl/>
        </w:rPr>
        <w:t xml:space="preserve"> ملف المحكمة في بوروندي. </w:t>
      </w:r>
      <w:r w:rsidRPr="00A85948">
        <w:rPr>
          <w:rFonts w:hint="cs"/>
          <w:color w:val="000000"/>
          <w:spacing w:val="-2"/>
          <w:kern w:val="0"/>
          <w:sz w:val="20"/>
          <w:rtl/>
        </w:rPr>
        <w:t xml:space="preserve">وقد وصلت هذه الوثائق إلى صاحبة الشكوى </w:t>
      </w:r>
      <w:r w:rsidRPr="00A85948">
        <w:rPr>
          <w:color w:val="000000"/>
          <w:spacing w:val="-2"/>
          <w:kern w:val="0"/>
          <w:sz w:val="20"/>
          <w:rtl/>
        </w:rPr>
        <w:t xml:space="preserve">في بداية </w:t>
      </w:r>
      <w:r w:rsidRPr="00A85948">
        <w:rPr>
          <w:rFonts w:hint="cs"/>
          <w:color w:val="000000"/>
          <w:spacing w:val="-2"/>
          <w:kern w:val="0"/>
          <w:sz w:val="20"/>
          <w:rtl/>
        </w:rPr>
        <w:t>حزيران/يونيه</w:t>
      </w:r>
      <w:r w:rsidRPr="00A85948">
        <w:rPr>
          <w:color w:val="000000"/>
          <w:spacing w:val="-2"/>
          <w:kern w:val="0"/>
          <w:sz w:val="20"/>
          <w:rtl/>
        </w:rPr>
        <w:t xml:space="preserve"> 2009، </w:t>
      </w:r>
      <w:r w:rsidRPr="00A85948">
        <w:rPr>
          <w:rFonts w:hint="cs"/>
          <w:color w:val="000000"/>
          <w:spacing w:val="-2"/>
          <w:kern w:val="0"/>
          <w:sz w:val="20"/>
          <w:rtl/>
        </w:rPr>
        <w:t>فسلمت</w:t>
      </w:r>
      <w:r w:rsidRPr="00A85948">
        <w:rPr>
          <w:color w:val="000000"/>
          <w:spacing w:val="-2"/>
          <w:kern w:val="0"/>
          <w:sz w:val="20"/>
          <w:rtl/>
        </w:rPr>
        <w:t xml:space="preserve"> على الفور </w:t>
      </w:r>
      <w:r w:rsidRPr="00A85948">
        <w:rPr>
          <w:rFonts w:hint="cs"/>
          <w:color w:val="000000"/>
          <w:spacing w:val="-2"/>
          <w:kern w:val="0"/>
          <w:sz w:val="20"/>
          <w:rtl/>
        </w:rPr>
        <w:t>نسخاً</w:t>
      </w:r>
      <w:r w:rsidRPr="00A85948">
        <w:rPr>
          <w:color w:val="000000"/>
          <w:spacing w:val="-2"/>
          <w:kern w:val="0"/>
          <w:sz w:val="20"/>
          <w:rtl/>
        </w:rPr>
        <w:t xml:space="preserve"> منها لمحامي المساعدة </w:t>
      </w:r>
      <w:r w:rsidRPr="00A85948">
        <w:rPr>
          <w:rFonts w:hint="cs"/>
          <w:color w:val="000000"/>
          <w:spacing w:val="-2"/>
          <w:kern w:val="0"/>
          <w:sz w:val="20"/>
          <w:rtl/>
        </w:rPr>
        <w:t xml:space="preserve">القضائية المكلف بقضيتها، غير أنه لم يقدمها إلى مجلس الهجرة أو إلى لمحاكم. </w:t>
      </w:r>
    </w:p>
    <w:p w:rsidR="00523D40" w:rsidRPr="00523D40" w:rsidRDefault="00523D40" w:rsidP="00523D40">
      <w:pPr>
        <w:pStyle w:val="SingleTxtGA"/>
        <w:jc w:val="lowKashida"/>
        <w:rPr>
          <w:rFonts w:hint="cs"/>
          <w:b/>
          <w:bCs/>
          <w:color w:val="000000"/>
          <w:spacing w:val="0"/>
          <w:kern w:val="0"/>
          <w:sz w:val="20"/>
          <w:rtl/>
        </w:rPr>
      </w:pPr>
      <w:r w:rsidRPr="00523D40">
        <w:rPr>
          <w:color w:val="000000"/>
          <w:spacing w:val="0"/>
          <w:kern w:val="0"/>
          <w:sz w:val="20"/>
          <w:rtl/>
          <w:lang w:val="en-CA"/>
        </w:rPr>
        <w:t>2-16</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 xml:space="preserve">في 16 </w:t>
      </w:r>
      <w:r w:rsidRPr="00523D40">
        <w:rPr>
          <w:rFonts w:hint="cs"/>
          <w:color w:val="000000"/>
          <w:spacing w:val="0"/>
          <w:kern w:val="0"/>
          <w:sz w:val="20"/>
          <w:rtl/>
        </w:rPr>
        <w:t>تشرين الثاني/</w:t>
      </w:r>
      <w:r w:rsidRPr="00523D40">
        <w:rPr>
          <w:color w:val="000000"/>
          <w:spacing w:val="0"/>
          <w:kern w:val="0"/>
          <w:sz w:val="20"/>
          <w:rtl/>
        </w:rPr>
        <w:t xml:space="preserve">نوفمبر 2009، رفضت </w:t>
      </w:r>
      <w:r w:rsidRPr="00523D40">
        <w:rPr>
          <w:rFonts w:hint="cs"/>
          <w:color w:val="000000"/>
          <w:spacing w:val="0"/>
          <w:kern w:val="0"/>
          <w:sz w:val="20"/>
          <w:rtl/>
        </w:rPr>
        <w:t>محكمة</w:t>
      </w:r>
      <w:r w:rsidRPr="00523D40">
        <w:rPr>
          <w:color w:val="000000"/>
          <w:spacing w:val="0"/>
          <w:kern w:val="0"/>
          <w:sz w:val="20"/>
          <w:rtl/>
        </w:rPr>
        <w:t xml:space="preserve"> الهجرة </w:t>
      </w:r>
      <w:r w:rsidRPr="00523D40">
        <w:rPr>
          <w:rFonts w:hint="cs"/>
          <w:color w:val="000000"/>
          <w:spacing w:val="0"/>
          <w:kern w:val="0"/>
          <w:sz w:val="20"/>
          <w:rtl/>
        </w:rPr>
        <w:t>الطعن الذي رفعته صاحبة</w:t>
      </w:r>
      <w:r w:rsidRPr="00523D40">
        <w:rPr>
          <w:color w:val="000000"/>
          <w:spacing w:val="0"/>
          <w:kern w:val="0"/>
          <w:sz w:val="20"/>
          <w:rtl/>
        </w:rPr>
        <w:t xml:space="preserve"> الشكوى</w:t>
      </w:r>
      <w:r w:rsidRPr="00523D40">
        <w:rPr>
          <w:rFonts w:hint="cs"/>
          <w:color w:val="000000"/>
          <w:spacing w:val="0"/>
          <w:kern w:val="0"/>
          <w:sz w:val="20"/>
          <w:rtl/>
        </w:rPr>
        <w:t>.</w:t>
      </w:r>
      <w:r w:rsidRPr="00523D40">
        <w:rPr>
          <w:color w:val="000000"/>
          <w:spacing w:val="0"/>
          <w:kern w:val="0"/>
          <w:sz w:val="20"/>
          <w:rtl/>
        </w:rPr>
        <w:t xml:space="preserve"> ورأت أن المعلومات التي</w:t>
      </w:r>
      <w:r w:rsidRPr="00523D40">
        <w:rPr>
          <w:rFonts w:hint="cs"/>
          <w:color w:val="000000"/>
          <w:spacing w:val="0"/>
          <w:kern w:val="0"/>
          <w:sz w:val="20"/>
          <w:rtl/>
        </w:rPr>
        <w:t xml:space="preserve"> تفيد بصدور حكم بالسجن في حق صاحبة الشكوى وببحث الشرطة عنها تشكل ظروفاً جديدة</w:t>
      </w:r>
      <w:r w:rsidRPr="00523D40">
        <w:rPr>
          <w:color w:val="000000"/>
          <w:spacing w:val="0"/>
          <w:kern w:val="0"/>
          <w:sz w:val="20"/>
          <w:rtl/>
        </w:rPr>
        <w:t xml:space="preserve"> وفقا</w:t>
      </w:r>
      <w:r w:rsidRPr="00523D40">
        <w:rPr>
          <w:rFonts w:hint="cs"/>
          <w:color w:val="000000"/>
          <w:spacing w:val="0"/>
          <w:kern w:val="0"/>
          <w:sz w:val="20"/>
          <w:rtl/>
        </w:rPr>
        <w:t>ً</w:t>
      </w:r>
      <w:r w:rsidRPr="00523D40">
        <w:rPr>
          <w:color w:val="000000"/>
          <w:spacing w:val="0"/>
          <w:kern w:val="0"/>
          <w:sz w:val="20"/>
          <w:rtl/>
        </w:rPr>
        <w:t xml:space="preserve"> لقانون الأجانب، </w:t>
      </w:r>
      <w:r w:rsidRPr="00523D40">
        <w:rPr>
          <w:rFonts w:hint="cs"/>
          <w:color w:val="000000"/>
          <w:spacing w:val="0"/>
          <w:kern w:val="0"/>
          <w:sz w:val="20"/>
          <w:rtl/>
        </w:rPr>
        <w:t xml:space="preserve">ولم تجر، بناءً على ذلك، دراسة هذه الظروف من قبلُ. غير أنه بالنظر إلى عدم وجود أدلة إضافية داعمة، </w:t>
      </w:r>
      <w:r w:rsidRPr="00A85948">
        <w:rPr>
          <w:rFonts w:hint="cs"/>
          <w:color w:val="000000"/>
          <w:spacing w:val="-2"/>
          <w:kern w:val="0"/>
          <w:sz w:val="20"/>
          <w:rtl/>
        </w:rPr>
        <w:t>فقد اعتبرت أن إفادة صاحبة الشكوى التي أكدت فيها تلقيها لهذه المعلومات</w:t>
      </w:r>
      <w:r w:rsidR="00A85948" w:rsidRPr="00A85948">
        <w:rPr>
          <w:rFonts w:hint="cs"/>
          <w:color w:val="000000"/>
          <w:spacing w:val="-2"/>
          <w:kern w:val="0"/>
          <w:sz w:val="20"/>
          <w:rtl/>
        </w:rPr>
        <w:t xml:space="preserve"> من أحد معارفها </w:t>
      </w:r>
      <w:r w:rsidRPr="00A85948">
        <w:rPr>
          <w:rFonts w:hint="cs"/>
          <w:color w:val="000000"/>
          <w:spacing w:val="-2"/>
          <w:kern w:val="0"/>
          <w:sz w:val="20"/>
          <w:rtl/>
        </w:rPr>
        <w:t>لا تتضمن أدلة كافية</w:t>
      </w:r>
      <w:r w:rsidRPr="00A85948">
        <w:rPr>
          <w:color w:val="000000"/>
          <w:spacing w:val="-2"/>
          <w:kern w:val="0"/>
          <w:sz w:val="20"/>
          <w:rtl/>
        </w:rPr>
        <w:t xml:space="preserve"> لاستنتاج أن الظروف الجديدة تشكل عوائق دائمة لإنفاذ </w:t>
      </w:r>
      <w:r w:rsidRPr="00A85948">
        <w:rPr>
          <w:rFonts w:hint="cs"/>
          <w:color w:val="000000"/>
          <w:spacing w:val="-2"/>
          <w:kern w:val="0"/>
          <w:sz w:val="20"/>
          <w:rtl/>
        </w:rPr>
        <w:t>ال</w:t>
      </w:r>
      <w:r w:rsidRPr="00A85948">
        <w:rPr>
          <w:color w:val="000000"/>
          <w:spacing w:val="-2"/>
          <w:kern w:val="0"/>
          <w:sz w:val="20"/>
          <w:rtl/>
        </w:rPr>
        <w:t xml:space="preserve">أمر </w:t>
      </w:r>
      <w:r w:rsidRPr="00A85948">
        <w:rPr>
          <w:rFonts w:hint="cs"/>
          <w:color w:val="000000"/>
          <w:spacing w:val="-2"/>
          <w:kern w:val="0"/>
          <w:sz w:val="20"/>
          <w:rtl/>
        </w:rPr>
        <w:t>الذي يقضي بطردها</w:t>
      </w:r>
      <w:r w:rsidRPr="00A85948">
        <w:rPr>
          <w:color w:val="000000"/>
          <w:spacing w:val="-2"/>
          <w:kern w:val="0"/>
          <w:sz w:val="20"/>
          <w:rtl/>
        </w:rPr>
        <w:t xml:space="preserve"> بموجب</w:t>
      </w:r>
      <w:r w:rsidRPr="00A85948">
        <w:rPr>
          <w:rFonts w:hint="cs"/>
          <w:color w:val="000000"/>
          <w:spacing w:val="-2"/>
          <w:kern w:val="0"/>
          <w:sz w:val="20"/>
          <w:rtl/>
        </w:rPr>
        <w:t xml:space="preserve"> المادة 19 من</w:t>
      </w:r>
      <w:r w:rsidRPr="00A85948">
        <w:rPr>
          <w:color w:val="000000"/>
          <w:spacing w:val="-2"/>
          <w:kern w:val="0"/>
          <w:sz w:val="20"/>
          <w:rtl/>
        </w:rPr>
        <w:t xml:space="preserve"> الفصل 12 من قانون الأجانب. </w:t>
      </w:r>
      <w:r w:rsidRPr="00A85948">
        <w:rPr>
          <w:rFonts w:hint="cs"/>
          <w:color w:val="000000"/>
          <w:spacing w:val="-2"/>
          <w:kern w:val="0"/>
          <w:sz w:val="20"/>
          <w:rtl/>
        </w:rPr>
        <w:t>و</w:t>
      </w:r>
      <w:r w:rsidRPr="00A85948">
        <w:rPr>
          <w:color w:val="000000"/>
          <w:spacing w:val="-2"/>
          <w:kern w:val="0"/>
          <w:sz w:val="20"/>
          <w:rtl/>
        </w:rPr>
        <w:t>الوثائق التي ق</w:t>
      </w:r>
      <w:r w:rsidRPr="00A85948">
        <w:rPr>
          <w:rFonts w:hint="cs"/>
          <w:color w:val="000000"/>
          <w:spacing w:val="-2"/>
          <w:kern w:val="0"/>
          <w:sz w:val="20"/>
          <w:rtl/>
        </w:rPr>
        <w:t>ُ</w:t>
      </w:r>
      <w:r w:rsidRPr="00A85948">
        <w:rPr>
          <w:color w:val="000000"/>
          <w:spacing w:val="-2"/>
          <w:kern w:val="0"/>
          <w:sz w:val="20"/>
          <w:rtl/>
        </w:rPr>
        <w:t>د</w:t>
      </w:r>
      <w:r w:rsidRPr="00A85948">
        <w:rPr>
          <w:rFonts w:hint="cs"/>
          <w:color w:val="000000"/>
          <w:spacing w:val="-2"/>
          <w:kern w:val="0"/>
          <w:sz w:val="20"/>
          <w:rtl/>
        </w:rPr>
        <w:t>ّ</w:t>
      </w:r>
      <w:r w:rsidRPr="00A85948">
        <w:rPr>
          <w:color w:val="000000"/>
          <w:spacing w:val="-2"/>
          <w:kern w:val="0"/>
          <w:sz w:val="20"/>
          <w:rtl/>
        </w:rPr>
        <w:t xml:space="preserve">مت </w:t>
      </w:r>
      <w:r w:rsidRPr="00A85948">
        <w:rPr>
          <w:rFonts w:hint="cs"/>
          <w:color w:val="000000"/>
          <w:spacing w:val="-2"/>
          <w:kern w:val="0"/>
          <w:sz w:val="20"/>
          <w:rtl/>
        </w:rPr>
        <w:t>أصولها</w:t>
      </w:r>
      <w:r w:rsidRPr="00A85948">
        <w:rPr>
          <w:color w:val="000000"/>
          <w:spacing w:val="-2"/>
          <w:kern w:val="0"/>
          <w:sz w:val="20"/>
          <w:rtl/>
        </w:rPr>
        <w:t xml:space="preserve"> إلى </w:t>
      </w:r>
      <w:r w:rsidRPr="00A85948">
        <w:rPr>
          <w:rFonts w:hint="cs"/>
          <w:color w:val="000000"/>
          <w:spacing w:val="-2"/>
          <w:kern w:val="0"/>
          <w:sz w:val="20"/>
          <w:rtl/>
        </w:rPr>
        <w:t>م</w:t>
      </w:r>
      <w:r w:rsidRPr="00A85948">
        <w:rPr>
          <w:color w:val="000000"/>
          <w:spacing w:val="-2"/>
          <w:kern w:val="0"/>
          <w:sz w:val="20"/>
          <w:rtl/>
        </w:rPr>
        <w:t xml:space="preserve">حكمة </w:t>
      </w:r>
      <w:r w:rsidRPr="00A85948">
        <w:rPr>
          <w:rFonts w:hint="cs"/>
          <w:color w:val="000000"/>
          <w:spacing w:val="-2"/>
          <w:kern w:val="0"/>
          <w:sz w:val="20"/>
          <w:rtl/>
        </w:rPr>
        <w:t>ال</w:t>
      </w:r>
      <w:r w:rsidRPr="00A85948">
        <w:rPr>
          <w:color w:val="000000"/>
          <w:spacing w:val="-2"/>
          <w:kern w:val="0"/>
          <w:sz w:val="20"/>
          <w:rtl/>
        </w:rPr>
        <w:t>هجرة</w:t>
      </w:r>
      <w:r w:rsidRPr="00A85948">
        <w:rPr>
          <w:rFonts w:hint="cs"/>
          <w:color w:val="000000"/>
          <w:spacing w:val="-2"/>
          <w:kern w:val="0"/>
          <w:sz w:val="20"/>
          <w:rtl/>
        </w:rPr>
        <w:t xml:space="preserve"> من نوعية</w:t>
      </w:r>
      <w:r w:rsidRPr="00A85948">
        <w:rPr>
          <w:color w:val="000000"/>
          <w:spacing w:val="-2"/>
          <w:kern w:val="0"/>
          <w:sz w:val="20"/>
          <w:rtl/>
        </w:rPr>
        <w:t xml:space="preserve"> </w:t>
      </w:r>
      <w:r w:rsidRPr="00A85948">
        <w:rPr>
          <w:rFonts w:hint="cs"/>
          <w:color w:val="000000"/>
          <w:spacing w:val="-2"/>
          <w:kern w:val="0"/>
          <w:sz w:val="20"/>
          <w:rtl/>
        </w:rPr>
        <w:t>مثيرة لل</w:t>
      </w:r>
      <w:r w:rsidRPr="00A85948">
        <w:rPr>
          <w:color w:val="000000"/>
          <w:spacing w:val="-2"/>
          <w:kern w:val="0"/>
          <w:sz w:val="20"/>
          <w:rtl/>
        </w:rPr>
        <w:t>شكوك،</w:t>
      </w:r>
      <w:r w:rsidRPr="00A85948">
        <w:rPr>
          <w:rFonts w:hint="cs"/>
          <w:color w:val="000000"/>
          <w:spacing w:val="-2"/>
          <w:kern w:val="0"/>
          <w:sz w:val="20"/>
          <w:rtl/>
        </w:rPr>
        <w:t xml:space="preserve"> ومن ثم، فقيمتها كدليل منخفضة. و</w:t>
      </w:r>
      <w:r w:rsidRPr="00A85948">
        <w:rPr>
          <w:color w:val="000000"/>
          <w:spacing w:val="-2"/>
          <w:kern w:val="0"/>
          <w:sz w:val="20"/>
          <w:rtl/>
        </w:rPr>
        <w:t>بغض النظر عن هذ</w:t>
      </w:r>
      <w:r w:rsidRPr="00A85948">
        <w:rPr>
          <w:rFonts w:hint="cs"/>
          <w:color w:val="000000"/>
          <w:spacing w:val="-2"/>
          <w:kern w:val="0"/>
          <w:sz w:val="20"/>
          <w:rtl/>
        </w:rPr>
        <w:t>ه المسألة</w:t>
      </w:r>
      <w:r w:rsidRPr="00A85948">
        <w:rPr>
          <w:color w:val="000000"/>
          <w:spacing w:val="-2"/>
          <w:kern w:val="0"/>
          <w:sz w:val="20"/>
          <w:rtl/>
        </w:rPr>
        <w:t xml:space="preserve">، </w:t>
      </w:r>
      <w:r w:rsidRPr="00A85948">
        <w:rPr>
          <w:rFonts w:hint="cs"/>
          <w:color w:val="000000"/>
          <w:spacing w:val="-2"/>
          <w:kern w:val="0"/>
          <w:sz w:val="20"/>
          <w:rtl/>
        </w:rPr>
        <w:t xml:space="preserve">فقد </w:t>
      </w:r>
      <w:r w:rsidRPr="00A85948">
        <w:rPr>
          <w:color w:val="000000"/>
          <w:spacing w:val="-2"/>
          <w:kern w:val="0"/>
          <w:sz w:val="20"/>
          <w:rtl/>
        </w:rPr>
        <w:t>خلصت محكمة الهجرة إلى أن صاحب</w:t>
      </w:r>
      <w:r w:rsidRPr="00A85948">
        <w:rPr>
          <w:rFonts w:hint="cs"/>
          <w:color w:val="000000"/>
          <w:spacing w:val="-2"/>
          <w:kern w:val="0"/>
          <w:sz w:val="20"/>
          <w:rtl/>
        </w:rPr>
        <w:t>ة</w:t>
      </w:r>
      <w:r w:rsidRPr="00A85948">
        <w:rPr>
          <w:color w:val="000000"/>
          <w:spacing w:val="-2"/>
          <w:kern w:val="0"/>
          <w:sz w:val="20"/>
          <w:rtl/>
        </w:rPr>
        <w:t xml:space="preserve"> الشكوى كان</w:t>
      </w:r>
      <w:r w:rsidRPr="00A85948">
        <w:rPr>
          <w:rFonts w:hint="cs"/>
          <w:color w:val="000000"/>
          <w:spacing w:val="-2"/>
          <w:kern w:val="0"/>
          <w:sz w:val="20"/>
          <w:rtl/>
        </w:rPr>
        <w:t>ت</w:t>
      </w:r>
      <w:r w:rsidRPr="00A85948">
        <w:rPr>
          <w:color w:val="000000"/>
          <w:spacing w:val="-2"/>
          <w:kern w:val="0"/>
          <w:sz w:val="20"/>
          <w:rtl/>
        </w:rPr>
        <w:t xml:space="preserve"> على علم</w:t>
      </w:r>
      <w:r w:rsidRPr="00A85948">
        <w:rPr>
          <w:rFonts w:hint="cs"/>
          <w:color w:val="000000"/>
          <w:spacing w:val="-2"/>
          <w:kern w:val="0"/>
          <w:sz w:val="20"/>
          <w:rtl/>
        </w:rPr>
        <w:t xml:space="preserve"> بأن</w:t>
      </w:r>
      <w:r w:rsidRPr="00A85948">
        <w:rPr>
          <w:color w:val="000000"/>
          <w:spacing w:val="-2"/>
          <w:kern w:val="0"/>
          <w:sz w:val="20"/>
          <w:rtl/>
        </w:rPr>
        <w:t xml:space="preserve"> الوثائق </w:t>
      </w:r>
      <w:r w:rsidRPr="00A85948">
        <w:rPr>
          <w:rFonts w:hint="cs"/>
          <w:color w:val="000000"/>
          <w:spacing w:val="-2"/>
          <w:kern w:val="0"/>
          <w:sz w:val="20"/>
          <w:rtl/>
        </w:rPr>
        <w:t>سوف ترسل إليها</w:t>
      </w:r>
      <w:r w:rsidRPr="00A85948">
        <w:rPr>
          <w:color w:val="000000"/>
          <w:spacing w:val="-2"/>
          <w:kern w:val="0"/>
          <w:sz w:val="20"/>
          <w:rtl/>
        </w:rPr>
        <w:t xml:space="preserve"> </w:t>
      </w:r>
      <w:r w:rsidRPr="00A85948">
        <w:rPr>
          <w:rFonts w:hint="cs"/>
          <w:color w:val="000000"/>
          <w:spacing w:val="-2"/>
          <w:kern w:val="0"/>
          <w:sz w:val="20"/>
          <w:rtl/>
        </w:rPr>
        <w:t>مع نهاية شهر نيسان/</w:t>
      </w:r>
      <w:r w:rsidRPr="00A85948">
        <w:rPr>
          <w:color w:val="000000"/>
          <w:spacing w:val="-2"/>
          <w:kern w:val="0"/>
          <w:sz w:val="20"/>
          <w:rtl/>
        </w:rPr>
        <w:t xml:space="preserve">أبريل أو </w:t>
      </w:r>
      <w:r w:rsidRPr="00A85948">
        <w:rPr>
          <w:rFonts w:hint="cs"/>
          <w:color w:val="000000"/>
          <w:spacing w:val="-2"/>
          <w:kern w:val="0"/>
          <w:sz w:val="20"/>
          <w:rtl/>
        </w:rPr>
        <w:t>مطلع شهر أيار/مايو</w:t>
      </w:r>
      <w:r w:rsidRPr="00A85948">
        <w:rPr>
          <w:color w:val="000000"/>
          <w:spacing w:val="-2"/>
          <w:kern w:val="0"/>
          <w:sz w:val="20"/>
          <w:rtl/>
        </w:rPr>
        <w:t xml:space="preserve"> 2009، أي قبل </w:t>
      </w:r>
      <w:r w:rsidRPr="00A85948">
        <w:rPr>
          <w:rFonts w:hint="cs"/>
          <w:color w:val="000000"/>
          <w:spacing w:val="-2"/>
          <w:kern w:val="0"/>
          <w:sz w:val="20"/>
          <w:rtl/>
        </w:rPr>
        <w:t xml:space="preserve">صدور </w:t>
      </w:r>
      <w:r w:rsidRPr="00A85948">
        <w:rPr>
          <w:color w:val="000000"/>
          <w:spacing w:val="-2"/>
          <w:kern w:val="0"/>
          <w:sz w:val="20"/>
          <w:rtl/>
        </w:rPr>
        <w:t xml:space="preserve">حكم </w:t>
      </w:r>
      <w:r w:rsidRPr="00A85948">
        <w:rPr>
          <w:rFonts w:hint="cs"/>
          <w:color w:val="000000"/>
          <w:spacing w:val="-2"/>
          <w:kern w:val="0"/>
          <w:sz w:val="20"/>
          <w:rtl/>
        </w:rPr>
        <w:t>مح</w:t>
      </w:r>
      <w:r w:rsidRPr="00A85948">
        <w:rPr>
          <w:color w:val="000000"/>
          <w:spacing w:val="-2"/>
          <w:kern w:val="0"/>
          <w:sz w:val="20"/>
          <w:rtl/>
        </w:rPr>
        <w:t xml:space="preserve">كمة الهجرة </w:t>
      </w:r>
      <w:r w:rsidRPr="00A85948">
        <w:rPr>
          <w:rFonts w:hint="cs"/>
          <w:color w:val="000000"/>
          <w:spacing w:val="-2"/>
          <w:kern w:val="0"/>
          <w:sz w:val="20"/>
          <w:rtl/>
        </w:rPr>
        <w:t xml:space="preserve">بتاريخ </w:t>
      </w:r>
      <w:r w:rsidRPr="00A85948">
        <w:rPr>
          <w:color w:val="000000"/>
          <w:spacing w:val="-2"/>
          <w:kern w:val="0"/>
          <w:sz w:val="20"/>
          <w:rtl/>
        </w:rPr>
        <w:t xml:space="preserve">19 </w:t>
      </w:r>
      <w:r w:rsidRPr="00A85948">
        <w:rPr>
          <w:rFonts w:hint="cs"/>
          <w:color w:val="000000"/>
          <w:spacing w:val="-2"/>
          <w:kern w:val="0"/>
          <w:sz w:val="20"/>
          <w:rtl/>
        </w:rPr>
        <w:t>أيار/</w:t>
      </w:r>
      <w:r w:rsidRPr="00A85948">
        <w:rPr>
          <w:color w:val="000000"/>
          <w:spacing w:val="-2"/>
          <w:kern w:val="0"/>
          <w:sz w:val="20"/>
          <w:rtl/>
        </w:rPr>
        <w:t xml:space="preserve">مايو 2009 فيما يتعلق </w:t>
      </w:r>
      <w:r w:rsidRPr="00A85948">
        <w:rPr>
          <w:rFonts w:hint="cs"/>
          <w:color w:val="000000"/>
          <w:spacing w:val="-2"/>
          <w:kern w:val="0"/>
          <w:sz w:val="20"/>
          <w:rtl/>
        </w:rPr>
        <w:t>بالطلب الذي قدمته للحصول</w:t>
      </w:r>
      <w:r w:rsidRPr="00A85948">
        <w:rPr>
          <w:color w:val="000000"/>
          <w:spacing w:val="-2"/>
          <w:kern w:val="0"/>
          <w:sz w:val="20"/>
          <w:rtl/>
        </w:rPr>
        <w:t xml:space="preserve"> على تصريح الإقامة</w:t>
      </w:r>
      <w:r w:rsidRPr="00A85948">
        <w:rPr>
          <w:rFonts w:hint="cs"/>
          <w:color w:val="000000"/>
          <w:spacing w:val="-2"/>
          <w:kern w:val="0"/>
          <w:sz w:val="20"/>
          <w:rtl/>
        </w:rPr>
        <w:t>. وكانت صاحبة الشكوى، قبل هذا</w:t>
      </w:r>
      <w:r w:rsidRPr="00523D40">
        <w:rPr>
          <w:rFonts w:hint="cs"/>
          <w:color w:val="000000"/>
          <w:spacing w:val="0"/>
          <w:kern w:val="0"/>
          <w:sz w:val="20"/>
          <w:rtl/>
        </w:rPr>
        <w:t xml:space="preserve"> التاريخ، على علم بخبر إدانتها وبحث الشرطة عنها في بوروندي. ومن ثم، فقد كان بإمكانها تقديم هذه المعلومات أثناء سير</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 xml:space="preserve">إجراءات </w:t>
      </w:r>
      <w:r w:rsidRPr="00523D40">
        <w:rPr>
          <w:rFonts w:hint="cs"/>
          <w:color w:val="000000"/>
          <w:spacing w:val="0"/>
          <w:kern w:val="0"/>
          <w:sz w:val="20"/>
          <w:rtl/>
        </w:rPr>
        <w:t>المتعلقة بأول طلب تقدمت به لالتماس اللجوء، غير أنها قررت عدم فعل ذلك.</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 xml:space="preserve">لا </w:t>
      </w:r>
      <w:r w:rsidRPr="00523D40">
        <w:rPr>
          <w:rFonts w:hint="cs"/>
          <w:color w:val="000000"/>
          <w:spacing w:val="0"/>
          <w:kern w:val="0"/>
          <w:sz w:val="20"/>
          <w:rtl/>
        </w:rPr>
        <w:t>ترى محكمة الهجرة في</w:t>
      </w:r>
      <w:r w:rsidRPr="00523D40">
        <w:rPr>
          <w:color w:val="000000"/>
          <w:spacing w:val="0"/>
          <w:kern w:val="0"/>
          <w:sz w:val="20"/>
          <w:rtl/>
        </w:rPr>
        <w:t xml:space="preserve"> السبب الذي قدم</w:t>
      </w:r>
      <w:r w:rsidRPr="00523D40">
        <w:rPr>
          <w:rFonts w:hint="cs"/>
          <w:color w:val="000000"/>
          <w:spacing w:val="0"/>
          <w:kern w:val="0"/>
          <w:sz w:val="20"/>
          <w:rtl/>
        </w:rPr>
        <w:t>ت</w:t>
      </w:r>
      <w:r w:rsidRPr="00523D40">
        <w:rPr>
          <w:color w:val="000000"/>
          <w:spacing w:val="0"/>
          <w:kern w:val="0"/>
          <w:sz w:val="20"/>
          <w:rtl/>
        </w:rPr>
        <w:t>ه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 xml:space="preserve">أي أنه كان سيطلب منها تقديم أدلة على أقوالها، </w:t>
      </w:r>
      <w:r w:rsidRPr="00523D40">
        <w:rPr>
          <w:color w:val="000000"/>
          <w:spacing w:val="0"/>
          <w:kern w:val="0"/>
          <w:sz w:val="20"/>
          <w:rtl/>
        </w:rPr>
        <w:t>عذر</w:t>
      </w:r>
      <w:r w:rsidRPr="00523D40">
        <w:rPr>
          <w:rFonts w:hint="cs"/>
          <w:color w:val="000000"/>
          <w:spacing w:val="0"/>
          <w:kern w:val="0"/>
          <w:sz w:val="20"/>
          <w:rtl/>
        </w:rPr>
        <w:t>اً وجيهاً بموجب المادة 19 من</w:t>
      </w:r>
      <w:r w:rsidRPr="00523D40">
        <w:rPr>
          <w:color w:val="000000"/>
          <w:spacing w:val="0"/>
          <w:kern w:val="0"/>
          <w:sz w:val="20"/>
          <w:rtl/>
        </w:rPr>
        <w:t xml:space="preserve"> الفصل 12 من قانون الأجانب</w:t>
      </w:r>
      <w:r w:rsidRPr="00523D40">
        <w:rPr>
          <w:rFonts w:hint="cs"/>
          <w:color w:val="000000"/>
          <w:spacing w:val="0"/>
          <w:kern w:val="0"/>
          <w:sz w:val="20"/>
          <w:rtl/>
        </w:rPr>
        <w:t>،</w:t>
      </w:r>
      <w:r w:rsidRPr="00523D40">
        <w:rPr>
          <w:color w:val="000000"/>
          <w:spacing w:val="0"/>
          <w:kern w:val="0"/>
          <w:sz w:val="20"/>
          <w:rtl/>
        </w:rPr>
        <w:t xml:space="preserve"> لعدم </w:t>
      </w:r>
      <w:r w:rsidRPr="00523D40">
        <w:rPr>
          <w:rFonts w:hint="cs"/>
          <w:color w:val="000000"/>
          <w:spacing w:val="0"/>
          <w:kern w:val="0"/>
          <w:sz w:val="20"/>
          <w:rtl/>
        </w:rPr>
        <w:t>عرض</w:t>
      </w:r>
      <w:r w:rsidRPr="00523D40">
        <w:rPr>
          <w:color w:val="000000"/>
          <w:spacing w:val="0"/>
          <w:kern w:val="0"/>
          <w:sz w:val="20"/>
          <w:rtl/>
        </w:rPr>
        <w:t xml:space="preserve"> هذه الظروف الجديدة في وقت </w:t>
      </w:r>
      <w:r w:rsidRPr="00523D40">
        <w:rPr>
          <w:rFonts w:hint="cs"/>
          <w:color w:val="000000"/>
          <w:spacing w:val="0"/>
          <w:kern w:val="0"/>
          <w:sz w:val="20"/>
          <w:rtl/>
        </w:rPr>
        <w:t>مبكر.</w:t>
      </w:r>
    </w:p>
    <w:p w:rsidR="00523D40" w:rsidRPr="00523D40" w:rsidRDefault="00523D40" w:rsidP="00523D40">
      <w:pPr>
        <w:pStyle w:val="SingleTxtGA"/>
        <w:jc w:val="lowKashida"/>
        <w:rPr>
          <w:rFonts w:hint="cs"/>
          <w:color w:val="000000"/>
          <w:spacing w:val="0"/>
          <w:kern w:val="0"/>
          <w:sz w:val="20"/>
          <w:szCs w:val="20"/>
          <w:rtl/>
        </w:rPr>
      </w:pPr>
      <w:r w:rsidRPr="00523D40">
        <w:rPr>
          <w:color w:val="000000"/>
          <w:spacing w:val="0"/>
          <w:kern w:val="0"/>
          <w:sz w:val="20"/>
          <w:rtl/>
          <w:lang w:val="en-CA"/>
        </w:rPr>
        <w:t>2-17</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 xml:space="preserve">في 9 </w:t>
      </w:r>
      <w:r w:rsidRPr="00523D40">
        <w:rPr>
          <w:rFonts w:hint="cs"/>
          <w:color w:val="000000"/>
          <w:spacing w:val="0"/>
          <w:kern w:val="0"/>
          <w:sz w:val="20"/>
          <w:rtl/>
        </w:rPr>
        <w:t>كانون الأول/</w:t>
      </w:r>
      <w:r w:rsidRPr="00523D40">
        <w:rPr>
          <w:color w:val="000000"/>
          <w:spacing w:val="0"/>
          <w:kern w:val="0"/>
          <w:sz w:val="20"/>
          <w:rtl/>
        </w:rPr>
        <w:t xml:space="preserve">ديسمبر 2009، </w:t>
      </w:r>
      <w:r w:rsidRPr="00523D40">
        <w:rPr>
          <w:rFonts w:hint="cs"/>
          <w:color w:val="000000"/>
          <w:spacing w:val="0"/>
          <w:kern w:val="0"/>
          <w:sz w:val="20"/>
          <w:rtl/>
          <w:lang w:val="en-CA"/>
        </w:rPr>
        <w:t>رفضت</w:t>
      </w:r>
      <w:r w:rsidRPr="00523D40">
        <w:rPr>
          <w:color w:val="000000"/>
          <w:spacing w:val="0"/>
          <w:kern w:val="0"/>
          <w:sz w:val="20"/>
          <w:rtl/>
          <w:lang w:val="en-CA"/>
        </w:rPr>
        <w:t xml:space="preserve"> محكمة الاستئناف </w:t>
      </w:r>
      <w:r w:rsidRPr="00523D40">
        <w:rPr>
          <w:rFonts w:hint="cs"/>
          <w:color w:val="000000"/>
          <w:spacing w:val="0"/>
          <w:kern w:val="0"/>
          <w:sz w:val="20"/>
          <w:rtl/>
          <w:lang w:val="en-CA"/>
        </w:rPr>
        <w:t xml:space="preserve">الخاصة </w:t>
      </w:r>
      <w:r w:rsidRPr="00523D40">
        <w:rPr>
          <w:color w:val="000000"/>
          <w:spacing w:val="0"/>
          <w:kern w:val="0"/>
          <w:sz w:val="20"/>
          <w:rtl/>
          <w:lang w:val="en-CA"/>
        </w:rPr>
        <w:t xml:space="preserve">بالهجرة منح </w:t>
      </w:r>
      <w:r w:rsidRPr="00523D40">
        <w:rPr>
          <w:rFonts w:hint="cs"/>
          <w:color w:val="000000"/>
          <w:spacing w:val="0"/>
          <w:kern w:val="0"/>
          <w:sz w:val="20"/>
          <w:rtl/>
          <w:lang w:val="en-CA"/>
        </w:rPr>
        <w:t>الإذن ب</w:t>
      </w:r>
      <w:r w:rsidRPr="00523D40">
        <w:rPr>
          <w:color w:val="000000"/>
          <w:spacing w:val="0"/>
          <w:kern w:val="0"/>
          <w:sz w:val="20"/>
          <w:rtl/>
          <w:lang w:val="en-CA"/>
        </w:rPr>
        <w:t>الطعن</w:t>
      </w:r>
      <w:r w:rsidRPr="00523D40">
        <w:rPr>
          <w:color w:val="000000"/>
          <w:spacing w:val="0"/>
          <w:kern w:val="0"/>
          <w:sz w:val="20"/>
          <w:rtl/>
        </w:rPr>
        <w:t xml:space="preserve"> </w:t>
      </w:r>
      <w:r w:rsidRPr="00523D40">
        <w:rPr>
          <w:rFonts w:hint="cs"/>
          <w:color w:val="000000"/>
          <w:spacing w:val="0"/>
          <w:kern w:val="0"/>
          <w:sz w:val="20"/>
          <w:rtl/>
        </w:rPr>
        <w:t>في</w:t>
      </w:r>
      <w:r w:rsidRPr="00523D40">
        <w:rPr>
          <w:color w:val="000000"/>
          <w:spacing w:val="0"/>
          <w:kern w:val="0"/>
          <w:sz w:val="20"/>
          <w:rtl/>
        </w:rPr>
        <w:t xml:space="preserve"> الحكم الصادر عن محكمة الهجرة</w:t>
      </w:r>
      <w:r w:rsidRPr="00523D40">
        <w:rPr>
          <w:rFonts w:hint="cs"/>
          <w:color w:val="000000"/>
          <w:spacing w:val="0"/>
          <w:kern w:val="0"/>
          <w:sz w:val="20"/>
          <w:rtl/>
        </w:rPr>
        <w:t>. و</w:t>
      </w:r>
      <w:r w:rsidRPr="00523D40">
        <w:rPr>
          <w:color w:val="000000"/>
          <w:spacing w:val="0"/>
          <w:kern w:val="0"/>
          <w:sz w:val="20"/>
          <w:rtl/>
        </w:rPr>
        <w:t>هذا القرار</w:t>
      </w:r>
      <w:r w:rsidRPr="00523D40">
        <w:rPr>
          <w:rFonts w:hint="cs"/>
          <w:color w:val="000000"/>
          <w:spacing w:val="0"/>
          <w:kern w:val="0"/>
          <w:sz w:val="20"/>
          <w:rtl/>
        </w:rPr>
        <w:t xml:space="preserve"> </w:t>
      </w:r>
      <w:r w:rsidRPr="00523D40">
        <w:rPr>
          <w:color w:val="000000"/>
          <w:spacing w:val="0"/>
          <w:kern w:val="0"/>
          <w:sz w:val="20"/>
          <w:rtl/>
        </w:rPr>
        <w:t xml:space="preserve">غير قابل </w:t>
      </w:r>
      <w:r w:rsidRPr="00523D40">
        <w:rPr>
          <w:rFonts w:hint="cs"/>
          <w:color w:val="000000"/>
          <w:spacing w:val="0"/>
          <w:kern w:val="0"/>
          <w:sz w:val="20"/>
          <w:rtl/>
        </w:rPr>
        <w:t>للطعن.</w:t>
      </w:r>
    </w:p>
    <w:p w:rsidR="00523D40" w:rsidRPr="00523D40" w:rsidRDefault="00523D40" w:rsidP="00523D40">
      <w:pPr>
        <w:pStyle w:val="H23GA"/>
        <w:jc w:val="lowKashida"/>
        <w:rPr>
          <w:color w:val="000000"/>
          <w:spacing w:val="0"/>
          <w:kern w:val="0"/>
          <w:sz w:val="20"/>
          <w:szCs w:val="20"/>
          <w:rtl/>
        </w:rPr>
      </w:pPr>
      <w:r w:rsidRPr="00523D40">
        <w:rPr>
          <w:rFonts w:hint="cs"/>
          <w:color w:val="000000"/>
          <w:spacing w:val="0"/>
          <w:kern w:val="0"/>
          <w:sz w:val="20"/>
          <w:rtl/>
        </w:rPr>
        <w:tab/>
      </w:r>
      <w:r w:rsidRPr="00523D40">
        <w:rPr>
          <w:rFonts w:hint="cs"/>
          <w:color w:val="000000"/>
          <w:spacing w:val="0"/>
          <w:kern w:val="0"/>
          <w:sz w:val="20"/>
          <w:rtl/>
        </w:rPr>
        <w:tab/>
      </w:r>
      <w:r w:rsidRPr="00523D40">
        <w:rPr>
          <w:rFonts w:hint="eastAsia"/>
          <w:color w:val="000000"/>
          <w:spacing w:val="0"/>
          <w:kern w:val="0"/>
          <w:sz w:val="20"/>
          <w:rtl/>
        </w:rPr>
        <w:t>الشكوى</w:t>
      </w:r>
    </w:p>
    <w:p w:rsidR="00523D40" w:rsidRPr="00523D40" w:rsidRDefault="00523D40" w:rsidP="00A85948">
      <w:pPr>
        <w:pStyle w:val="SingleTxtGA"/>
        <w:jc w:val="lowKashida"/>
        <w:rPr>
          <w:color w:val="000000"/>
          <w:spacing w:val="0"/>
          <w:kern w:val="0"/>
          <w:sz w:val="20"/>
          <w:rtl/>
        </w:rPr>
      </w:pPr>
      <w:r w:rsidRPr="00523D40">
        <w:rPr>
          <w:color w:val="000000"/>
          <w:spacing w:val="0"/>
          <w:kern w:val="0"/>
          <w:sz w:val="20"/>
          <w:rtl/>
          <w:lang w:val="en-CA"/>
        </w:rPr>
        <w:t>3-1</w:t>
      </w:r>
      <w:r w:rsidRPr="00523D40">
        <w:rPr>
          <w:color w:val="000000"/>
          <w:spacing w:val="0"/>
          <w:kern w:val="0"/>
          <w:sz w:val="20"/>
          <w:rtl/>
          <w:lang w:val="en-CA"/>
        </w:rPr>
        <w:tab/>
      </w:r>
      <w:r w:rsidRPr="00523D40">
        <w:rPr>
          <w:rFonts w:hint="cs"/>
          <w:color w:val="000000"/>
          <w:spacing w:val="0"/>
          <w:kern w:val="0"/>
          <w:sz w:val="20"/>
          <w:rtl/>
        </w:rPr>
        <w:t>تدعي صاحبة</w:t>
      </w:r>
      <w:r w:rsidRPr="00523D40">
        <w:rPr>
          <w:color w:val="000000"/>
          <w:spacing w:val="0"/>
          <w:kern w:val="0"/>
          <w:sz w:val="20"/>
          <w:rtl/>
        </w:rPr>
        <w:t xml:space="preserve"> الشكوى </w:t>
      </w:r>
      <w:r w:rsidRPr="00523D40">
        <w:rPr>
          <w:rFonts w:hint="cs"/>
          <w:color w:val="000000"/>
          <w:spacing w:val="0"/>
          <w:kern w:val="0"/>
          <w:sz w:val="20"/>
          <w:rtl/>
          <w:lang/>
        </w:rPr>
        <w:t>وجود نمط ثابت من الانتهاكات الفادحة أو الصارخة أو</w:t>
      </w:r>
      <w:r w:rsidR="00A85948">
        <w:rPr>
          <w:rFonts w:hint="eastAsia"/>
          <w:color w:val="000000"/>
          <w:spacing w:val="0"/>
          <w:kern w:val="0"/>
          <w:sz w:val="20"/>
          <w:rtl/>
          <w:lang/>
        </w:rPr>
        <w:t> </w:t>
      </w:r>
      <w:r w:rsidRPr="00523D40">
        <w:rPr>
          <w:rFonts w:hint="cs"/>
          <w:color w:val="000000"/>
          <w:spacing w:val="0"/>
          <w:kern w:val="0"/>
          <w:sz w:val="20"/>
          <w:rtl/>
          <w:lang/>
        </w:rPr>
        <w:t xml:space="preserve">الجماعية لحقوق الإنسان </w:t>
      </w:r>
      <w:r w:rsidRPr="00523D40">
        <w:rPr>
          <w:color w:val="000000"/>
          <w:spacing w:val="0"/>
          <w:kern w:val="0"/>
          <w:sz w:val="20"/>
          <w:rtl/>
        </w:rPr>
        <w:t>في بوروندي. وتشير إلى التقرير السادس للأمين العام عن مكتب الأمم المتحدة المتكامل في بوروند</w:t>
      </w:r>
      <w:r w:rsidRPr="00523D40">
        <w:rPr>
          <w:rFonts w:hint="cs"/>
          <w:color w:val="000000"/>
          <w:spacing w:val="0"/>
          <w:kern w:val="0"/>
          <w:sz w:val="20"/>
          <w:rtl/>
        </w:rPr>
        <w:t>ي (</w:t>
      </w:r>
      <w:r w:rsidRPr="00523D40">
        <w:rPr>
          <w:color w:val="000000"/>
          <w:spacing w:val="0"/>
          <w:kern w:val="0"/>
          <w:sz w:val="20"/>
        </w:rPr>
        <w:t>S/2009/611</w:t>
      </w:r>
      <w:r w:rsidRPr="00523D40">
        <w:rPr>
          <w:rFonts w:hint="cs"/>
          <w:color w:val="000000"/>
          <w:spacing w:val="0"/>
          <w:kern w:val="0"/>
          <w:sz w:val="20"/>
          <w:rtl/>
        </w:rPr>
        <w:t>)،</w:t>
      </w:r>
      <w:r w:rsidRPr="00523D40">
        <w:rPr>
          <w:color w:val="000000"/>
          <w:spacing w:val="0"/>
          <w:kern w:val="0"/>
          <w:sz w:val="20"/>
          <w:rtl/>
        </w:rPr>
        <w:t xml:space="preserve"> و</w:t>
      </w:r>
      <w:r w:rsidRPr="00523D40">
        <w:rPr>
          <w:rFonts w:hint="cs"/>
          <w:color w:val="000000"/>
          <w:spacing w:val="0"/>
          <w:kern w:val="0"/>
          <w:sz w:val="20"/>
          <w:rtl/>
        </w:rPr>
        <w:t xml:space="preserve">إلى </w:t>
      </w:r>
      <w:r w:rsidRPr="00523D40">
        <w:rPr>
          <w:color w:val="000000"/>
          <w:spacing w:val="0"/>
          <w:kern w:val="0"/>
          <w:sz w:val="20"/>
          <w:rtl/>
        </w:rPr>
        <w:t xml:space="preserve">تقرير عام 2009 </w:t>
      </w:r>
      <w:r w:rsidRPr="00523D40">
        <w:rPr>
          <w:rFonts w:hint="cs"/>
          <w:color w:val="000000"/>
          <w:spacing w:val="0"/>
          <w:kern w:val="0"/>
          <w:sz w:val="20"/>
          <w:rtl/>
        </w:rPr>
        <w:t>الصادر عن</w:t>
      </w:r>
      <w:r w:rsidRPr="00523D40">
        <w:rPr>
          <w:color w:val="000000"/>
          <w:spacing w:val="0"/>
          <w:kern w:val="0"/>
          <w:sz w:val="20"/>
          <w:rtl/>
        </w:rPr>
        <w:t xml:space="preserve"> منظمة العفو الدولية</w:t>
      </w:r>
      <w:r w:rsidRPr="00523D40">
        <w:rPr>
          <w:rFonts w:hint="cs"/>
          <w:color w:val="000000"/>
          <w:spacing w:val="0"/>
          <w:kern w:val="0"/>
          <w:sz w:val="20"/>
          <w:rtl/>
        </w:rPr>
        <w:t>،</w:t>
      </w:r>
      <w:r w:rsidRPr="00523D40">
        <w:rPr>
          <w:color w:val="000000"/>
          <w:spacing w:val="0"/>
          <w:kern w:val="0"/>
          <w:sz w:val="20"/>
          <w:rtl/>
        </w:rPr>
        <w:t xml:space="preserve"> الولايات المتحدة الأمريكية</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فيما يتعلق بال</w:t>
      </w:r>
      <w:r w:rsidRPr="00523D40">
        <w:rPr>
          <w:color w:val="000000"/>
          <w:spacing w:val="0"/>
          <w:kern w:val="0"/>
          <w:sz w:val="20"/>
          <w:rtl/>
        </w:rPr>
        <w:t>سجل</w:t>
      </w:r>
      <w:r w:rsidRPr="00523D40">
        <w:rPr>
          <w:rFonts w:hint="cs"/>
          <w:color w:val="000000"/>
          <w:spacing w:val="0"/>
          <w:kern w:val="0"/>
          <w:sz w:val="20"/>
          <w:rtl/>
        </w:rPr>
        <w:t xml:space="preserve"> السيئ</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حقوق الإنسان في بوروندي، بما في ذلك استخدام التعذيب ضد الم</w:t>
      </w:r>
      <w:r w:rsidRPr="00523D40">
        <w:rPr>
          <w:rFonts w:hint="cs"/>
          <w:color w:val="000000"/>
          <w:spacing w:val="0"/>
          <w:kern w:val="0"/>
          <w:sz w:val="20"/>
          <w:rtl/>
        </w:rPr>
        <w:t>حتجزين</w:t>
      </w:r>
      <w:r w:rsidRPr="00523D40">
        <w:rPr>
          <w:color w:val="000000"/>
          <w:spacing w:val="0"/>
          <w:kern w:val="0"/>
          <w:sz w:val="20"/>
          <w:rtl/>
        </w:rPr>
        <w:t xml:space="preserve"> في السج</w:t>
      </w:r>
      <w:r w:rsidRPr="00523D40">
        <w:rPr>
          <w:rFonts w:hint="cs"/>
          <w:color w:val="000000"/>
          <w:spacing w:val="0"/>
          <w:kern w:val="0"/>
          <w:sz w:val="20"/>
          <w:rtl/>
        </w:rPr>
        <w:t>و</w:t>
      </w:r>
      <w:r w:rsidRPr="00523D40">
        <w:rPr>
          <w:color w:val="000000"/>
          <w:spacing w:val="0"/>
          <w:kern w:val="0"/>
          <w:sz w:val="20"/>
          <w:rtl/>
        </w:rPr>
        <w:t xml:space="preserve">ن، </w:t>
      </w:r>
      <w:r w:rsidRPr="00523D40">
        <w:rPr>
          <w:rFonts w:hint="cs"/>
          <w:color w:val="000000"/>
          <w:spacing w:val="0"/>
          <w:kern w:val="0"/>
          <w:sz w:val="20"/>
          <w:rtl/>
        </w:rPr>
        <w:t>وأعمال القتل غير المشروعة</w:t>
      </w:r>
      <w:r w:rsidRPr="00523D40">
        <w:rPr>
          <w:color w:val="000000"/>
          <w:spacing w:val="0"/>
          <w:kern w:val="0"/>
          <w:sz w:val="20"/>
          <w:rtl/>
        </w:rPr>
        <w:t xml:space="preserve"> على أيدي قوات الأمن، و</w:t>
      </w:r>
      <w:r w:rsidRPr="00523D40">
        <w:rPr>
          <w:rFonts w:hint="cs"/>
          <w:color w:val="000000"/>
          <w:spacing w:val="0"/>
          <w:kern w:val="0"/>
          <w:sz w:val="20"/>
          <w:rtl/>
        </w:rPr>
        <w:t xml:space="preserve">انتشار </w:t>
      </w:r>
      <w:r w:rsidRPr="00523D40">
        <w:rPr>
          <w:color w:val="000000"/>
          <w:spacing w:val="0"/>
          <w:kern w:val="0"/>
          <w:sz w:val="20"/>
          <w:rtl/>
        </w:rPr>
        <w:t xml:space="preserve">الاغتصاب والعنف الجنسي على نطاق واسع، والإفلات من العقاب. وفي ضوء ما سبق، </w:t>
      </w:r>
      <w:r w:rsidRPr="00523D40">
        <w:rPr>
          <w:rFonts w:hint="cs"/>
          <w:color w:val="000000"/>
          <w:spacing w:val="0"/>
          <w:kern w:val="0"/>
          <w:sz w:val="20"/>
          <w:rtl/>
        </w:rPr>
        <w:t>أكدت صاحبة</w:t>
      </w:r>
      <w:r w:rsidRPr="00523D40">
        <w:rPr>
          <w:color w:val="000000"/>
          <w:spacing w:val="0"/>
          <w:kern w:val="0"/>
          <w:sz w:val="20"/>
          <w:rtl/>
        </w:rPr>
        <w:t xml:space="preserve"> الشكوى أنه </w:t>
      </w:r>
      <w:r w:rsidRPr="00523D40">
        <w:rPr>
          <w:rFonts w:hint="cs"/>
          <w:color w:val="000000"/>
          <w:spacing w:val="0"/>
          <w:kern w:val="0"/>
          <w:sz w:val="20"/>
          <w:rtl/>
        </w:rPr>
        <w:t>بالنظر</w:t>
      </w:r>
      <w:r w:rsidRPr="00523D40">
        <w:rPr>
          <w:color w:val="000000"/>
          <w:spacing w:val="0"/>
          <w:kern w:val="0"/>
          <w:sz w:val="20"/>
          <w:rtl/>
        </w:rPr>
        <w:t xml:space="preserve"> </w:t>
      </w:r>
      <w:r w:rsidRPr="00523D40">
        <w:rPr>
          <w:rFonts w:hint="cs"/>
          <w:color w:val="000000"/>
          <w:spacing w:val="0"/>
          <w:kern w:val="0"/>
          <w:sz w:val="20"/>
          <w:rtl/>
        </w:rPr>
        <w:t xml:space="preserve">إلى اتهامها بالاشتراك في </w:t>
      </w:r>
      <w:r w:rsidRPr="00523D40">
        <w:rPr>
          <w:color w:val="000000"/>
          <w:spacing w:val="0"/>
          <w:kern w:val="0"/>
          <w:sz w:val="20"/>
          <w:rtl/>
        </w:rPr>
        <w:t>أنشطة شقيق</w:t>
      </w:r>
      <w:r w:rsidRPr="00523D40">
        <w:rPr>
          <w:rFonts w:hint="cs"/>
          <w:color w:val="000000"/>
          <w:spacing w:val="0"/>
          <w:kern w:val="0"/>
          <w:sz w:val="20"/>
          <w:rtl/>
        </w:rPr>
        <w:t>ها</w:t>
      </w:r>
      <w:r w:rsidRPr="00523D40">
        <w:rPr>
          <w:color w:val="000000"/>
          <w:spacing w:val="0"/>
          <w:kern w:val="0"/>
          <w:sz w:val="20"/>
          <w:rtl/>
        </w:rPr>
        <w:t xml:space="preserve"> المتوفى و</w:t>
      </w:r>
      <w:r w:rsidRPr="00523D40">
        <w:rPr>
          <w:rFonts w:hint="cs"/>
          <w:color w:val="000000"/>
          <w:spacing w:val="0"/>
          <w:kern w:val="0"/>
          <w:sz w:val="20"/>
          <w:rtl/>
        </w:rPr>
        <w:t>توقع سجنها بتهمة المساعدة في ارتكاب أعمال القتل والسرقة، فإن طردها</w:t>
      </w:r>
      <w:r w:rsidRPr="00523D40">
        <w:rPr>
          <w:color w:val="000000"/>
          <w:spacing w:val="0"/>
          <w:kern w:val="0"/>
          <w:sz w:val="20"/>
          <w:rtl/>
        </w:rPr>
        <w:t xml:space="preserve"> من السويد إلى بوروندي سوف </w:t>
      </w:r>
      <w:r w:rsidRPr="00523D40">
        <w:rPr>
          <w:rFonts w:hint="cs"/>
          <w:color w:val="000000"/>
          <w:spacing w:val="0"/>
          <w:kern w:val="0"/>
          <w:sz w:val="20"/>
          <w:rtl/>
        </w:rPr>
        <w:t>يعرضها</w:t>
      </w:r>
      <w:r w:rsidRPr="00523D40">
        <w:rPr>
          <w:color w:val="000000"/>
          <w:spacing w:val="0"/>
          <w:kern w:val="0"/>
          <w:sz w:val="20"/>
          <w:rtl/>
        </w:rPr>
        <w:t xml:space="preserve"> لظروف السجن</w:t>
      </w:r>
      <w:r w:rsidRPr="00523D40">
        <w:rPr>
          <w:rFonts w:hint="cs"/>
          <w:color w:val="000000"/>
          <w:spacing w:val="0"/>
          <w:kern w:val="0"/>
          <w:sz w:val="20"/>
          <w:rtl/>
        </w:rPr>
        <w:t xml:space="preserve"> القاسية</w:t>
      </w:r>
      <w:r w:rsidRPr="00523D40">
        <w:rPr>
          <w:color w:val="000000"/>
          <w:spacing w:val="0"/>
          <w:kern w:val="0"/>
          <w:sz w:val="20"/>
          <w:rtl/>
        </w:rPr>
        <w:t xml:space="preserve"> </w:t>
      </w:r>
      <w:r w:rsidRPr="00523D40">
        <w:rPr>
          <w:rFonts w:hint="cs"/>
          <w:color w:val="000000"/>
          <w:spacing w:val="0"/>
          <w:kern w:val="0"/>
          <w:sz w:val="20"/>
          <w:rtl/>
        </w:rPr>
        <w:t>التي تشكل خطراً على حياتها</w:t>
      </w:r>
      <w:r w:rsidRPr="00523D40">
        <w:rPr>
          <w:color w:val="000000"/>
          <w:spacing w:val="0"/>
          <w:kern w:val="0"/>
          <w:sz w:val="20"/>
          <w:rtl/>
        </w:rPr>
        <w:t xml:space="preserve"> و</w:t>
      </w:r>
      <w:r w:rsidRPr="00523D40">
        <w:rPr>
          <w:rFonts w:hint="cs"/>
          <w:color w:val="000000"/>
          <w:spacing w:val="0"/>
          <w:kern w:val="0"/>
          <w:sz w:val="20"/>
          <w:rtl/>
        </w:rPr>
        <w:t>لل</w:t>
      </w:r>
      <w:r w:rsidRPr="00523D40">
        <w:rPr>
          <w:color w:val="000000"/>
          <w:spacing w:val="0"/>
          <w:kern w:val="0"/>
          <w:sz w:val="20"/>
          <w:rtl/>
        </w:rPr>
        <w:t xml:space="preserve">تعذيب وغيره من أشكال </w:t>
      </w:r>
      <w:r w:rsidRPr="00523D40">
        <w:rPr>
          <w:rFonts w:hint="cs"/>
          <w:color w:val="000000"/>
          <w:spacing w:val="0"/>
          <w:kern w:val="0"/>
          <w:sz w:val="20"/>
          <w:rtl/>
        </w:rPr>
        <w:t xml:space="preserve">سوء </w:t>
      </w:r>
      <w:r w:rsidRPr="00523D40">
        <w:rPr>
          <w:color w:val="000000"/>
          <w:spacing w:val="0"/>
          <w:kern w:val="0"/>
          <w:sz w:val="20"/>
          <w:rtl/>
        </w:rPr>
        <w:t>المعاملة، م</w:t>
      </w:r>
      <w:r w:rsidRPr="00523D40">
        <w:rPr>
          <w:rFonts w:hint="cs"/>
          <w:color w:val="000000"/>
          <w:spacing w:val="0"/>
          <w:kern w:val="0"/>
          <w:sz w:val="20"/>
          <w:rtl/>
        </w:rPr>
        <w:t xml:space="preserve">ن قبيل </w:t>
      </w:r>
      <w:r w:rsidRPr="00523D40">
        <w:rPr>
          <w:color w:val="000000"/>
          <w:spacing w:val="0"/>
          <w:kern w:val="0"/>
          <w:sz w:val="20"/>
          <w:rtl/>
        </w:rPr>
        <w:t>الاغتصاب والعنف الجنسي. و</w:t>
      </w:r>
      <w:r w:rsidRPr="00523D40">
        <w:rPr>
          <w:rFonts w:hint="cs"/>
          <w:color w:val="000000"/>
          <w:spacing w:val="0"/>
          <w:kern w:val="0"/>
          <w:sz w:val="20"/>
          <w:rtl/>
        </w:rPr>
        <w:t xml:space="preserve">من ثم، فهي </w:t>
      </w:r>
      <w:r w:rsidRPr="00523D40">
        <w:rPr>
          <w:color w:val="000000"/>
          <w:spacing w:val="0"/>
          <w:kern w:val="0"/>
          <w:sz w:val="20"/>
          <w:rtl/>
        </w:rPr>
        <w:t>تدعي</w:t>
      </w:r>
      <w:r w:rsidRPr="00523D40">
        <w:rPr>
          <w:rFonts w:hint="cs"/>
          <w:color w:val="000000"/>
          <w:spacing w:val="0"/>
          <w:kern w:val="0"/>
          <w:sz w:val="20"/>
          <w:rtl/>
        </w:rPr>
        <w:t xml:space="preserve"> أن إعادتها قسراً إلى بوروندي ستشكل انتهاكاً من جانب السويد لحقوقها بموجب المادة 3 من الاتفاقية. </w:t>
      </w:r>
    </w:p>
    <w:p w:rsidR="00523D40" w:rsidRPr="00523D40" w:rsidRDefault="00523D40" w:rsidP="00523D40">
      <w:pPr>
        <w:pStyle w:val="SingleTxtGA"/>
        <w:jc w:val="lowKashida"/>
        <w:rPr>
          <w:rFonts w:hint="cs"/>
          <w:color w:val="000000"/>
          <w:spacing w:val="0"/>
          <w:kern w:val="0"/>
          <w:sz w:val="20"/>
          <w:szCs w:val="20"/>
          <w:rtl/>
        </w:rPr>
      </w:pPr>
      <w:r w:rsidRPr="00523D40">
        <w:rPr>
          <w:color w:val="000000"/>
          <w:spacing w:val="0"/>
          <w:kern w:val="0"/>
          <w:sz w:val="20"/>
          <w:rtl/>
          <w:lang w:val="en-CA"/>
        </w:rPr>
        <w:t>3-2</w:t>
      </w:r>
      <w:r w:rsidRPr="00523D40">
        <w:rPr>
          <w:color w:val="000000"/>
          <w:spacing w:val="0"/>
          <w:kern w:val="0"/>
          <w:sz w:val="20"/>
          <w:rtl/>
          <w:lang w:val="en-CA"/>
        </w:rPr>
        <w:tab/>
      </w:r>
      <w:r w:rsidRPr="00523D40">
        <w:rPr>
          <w:color w:val="000000"/>
          <w:spacing w:val="0"/>
          <w:kern w:val="0"/>
          <w:sz w:val="20"/>
          <w:rtl/>
        </w:rPr>
        <w:t>و</w:t>
      </w:r>
      <w:r w:rsidRPr="00523D40">
        <w:rPr>
          <w:rFonts w:hint="cs"/>
          <w:color w:val="000000"/>
          <w:spacing w:val="0"/>
          <w:kern w:val="0"/>
          <w:sz w:val="20"/>
          <w:rtl/>
        </w:rPr>
        <w:t>تشير</w:t>
      </w:r>
      <w:r w:rsidRPr="00523D40">
        <w:rPr>
          <w:color w:val="000000"/>
          <w:spacing w:val="0"/>
          <w:kern w:val="0"/>
          <w:sz w:val="20"/>
          <w:rtl/>
        </w:rPr>
        <w:t xml:space="preserve"> </w:t>
      </w:r>
      <w:r w:rsidRPr="00523D40">
        <w:rPr>
          <w:rFonts w:hint="cs"/>
          <w:color w:val="000000"/>
          <w:spacing w:val="0"/>
          <w:kern w:val="0"/>
          <w:sz w:val="20"/>
          <w:rtl/>
        </w:rPr>
        <w:t>صاحبة</w:t>
      </w:r>
      <w:r w:rsidRPr="00523D40">
        <w:rPr>
          <w:color w:val="000000"/>
          <w:spacing w:val="0"/>
          <w:kern w:val="0"/>
          <w:sz w:val="20"/>
          <w:rtl/>
        </w:rPr>
        <w:t xml:space="preserve"> الشكوى</w:t>
      </w:r>
      <w:r w:rsidRPr="00523D40">
        <w:rPr>
          <w:rFonts w:hint="cs"/>
          <w:color w:val="000000"/>
          <w:spacing w:val="0"/>
          <w:kern w:val="0"/>
          <w:sz w:val="20"/>
          <w:rtl/>
        </w:rPr>
        <w:t xml:space="preserve"> إلى</w:t>
      </w:r>
      <w:r w:rsidRPr="00523D40">
        <w:rPr>
          <w:color w:val="000000"/>
          <w:spacing w:val="0"/>
          <w:kern w:val="0"/>
          <w:sz w:val="20"/>
          <w:rtl/>
        </w:rPr>
        <w:t xml:space="preserve"> أنها </w:t>
      </w:r>
      <w:r w:rsidRPr="00523D40">
        <w:rPr>
          <w:rFonts w:hint="cs"/>
          <w:color w:val="000000"/>
          <w:spacing w:val="0"/>
          <w:kern w:val="0"/>
          <w:sz w:val="20"/>
          <w:rtl/>
        </w:rPr>
        <w:t>ستواجه شخصياً</w:t>
      </w:r>
      <w:r w:rsidRPr="00523D40">
        <w:rPr>
          <w:color w:val="000000"/>
          <w:spacing w:val="0"/>
          <w:kern w:val="0"/>
          <w:sz w:val="20"/>
          <w:rtl/>
        </w:rPr>
        <w:t xml:space="preserve"> خطر التعرض للتعذيب لدى عودتها إلى بلدها الأصلي. </w:t>
      </w:r>
      <w:r w:rsidRPr="00523D40">
        <w:rPr>
          <w:rFonts w:hint="cs"/>
          <w:color w:val="000000"/>
          <w:spacing w:val="0"/>
          <w:kern w:val="0"/>
          <w:sz w:val="20"/>
          <w:rtl/>
        </w:rPr>
        <w:t xml:space="preserve">وتذكر أن أحد أفراد أسرتها الأقربين قد قُتل بالفعل، وهي تخشى أن تواجه المصير نفسه في حالة طردها إلى بوروندي، وترى أنها ستكون أمام خطر واضح يعرضها </w:t>
      </w:r>
      <w:r w:rsidRPr="00523D40">
        <w:rPr>
          <w:color w:val="000000"/>
          <w:spacing w:val="0"/>
          <w:kern w:val="0"/>
          <w:sz w:val="20"/>
          <w:rtl/>
        </w:rPr>
        <w:t xml:space="preserve">لسوء المعاملة والتعذيب والاغتصاب </w:t>
      </w:r>
      <w:r w:rsidRPr="00523D40">
        <w:rPr>
          <w:rFonts w:hint="cs"/>
          <w:color w:val="000000"/>
          <w:spacing w:val="0"/>
          <w:kern w:val="0"/>
          <w:sz w:val="20"/>
          <w:rtl/>
        </w:rPr>
        <w:t>داخل السجن.</w:t>
      </w:r>
      <w:r w:rsidRPr="00523D40">
        <w:rPr>
          <w:color w:val="000000"/>
          <w:spacing w:val="0"/>
          <w:kern w:val="0"/>
          <w:sz w:val="20"/>
          <w:rtl/>
        </w:rPr>
        <w:t xml:space="preserve"> وفي هذا الصدد، </w:t>
      </w:r>
      <w:r w:rsidRPr="00523D40">
        <w:rPr>
          <w:rFonts w:hint="cs"/>
          <w:color w:val="000000"/>
          <w:spacing w:val="0"/>
          <w:kern w:val="0"/>
          <w:sz w:val="20"/>
          <w:rtl/>
        </w:rPr>
        <w:t>تؤكد صاحبة</w:t>
      </w:r>
      <w:r w:rsidRPr="00523D40">
        <w:rPr>
          <w:color w:val="000000"/>
          <w:spacing w:val="0"/>
          <w:kern w:val="0"/>
          <w:sz w:val="20"/>
          <w:rtl/>
        </w:rPr>
        <w:t xml:space="preserve"> الشكوى </w:t>
      </w:r>
      <w:r w:rsidRPr="00523D40">
        <w:rPr>
          <w:rFonts w:hint="cs"/>
          <w:color w:val="000000"/>
          <w:spacing w:val="0"/>
          <w:kern w:val="0"/>
          <w:sz w:val="20"/>
          <w:rtl/>
        </w:rPr>
        <w:t>براءتها وعدم ارتكابها للأعمال التي أدينت بسببها. وترى أن خلفية</w:t>
      </w:r>
      <w:r w:rsidRPr="00523D40">
        <w:rPr>
          <w:color w:val="000000"/>
          <w:spacing w:val="0"/>
          <w:kern w:val="0"/>
          <w:sz w:val="20"/>
          <w:rtl/>
        </w:rPr>
        <w:t xml:space="preserve"> إدانتها </w:t>
      </w:r>
      <w:r w:rsidRPr="00523D40">
        <w:rPr>
          <w:rFonts w:hint="cs"/>
          <w:color w:val="000000"/>
          <w:spacing w:val="0"/>
          <w:kern w:val="0"/>
          <w:sz w:val="20"/>
          <w:rtl/>
        </w:rPr>
        <w:t>تعود إلى</w:t>
      </w:r>
      <w:r w:rsidRPr="00523D40">
        <w:rPr>
          <w:color w:val="000000"/>
          <w:spacing w:val="0"/>
          <w:kern w:val="0"/>
          <w:sz w:val="20"/>
          <w:rtl/>
        </w:rPr>
        <w:t xml:space="preserve"> التناقضات العرقية</w:t>
      </w:r>
      <w:r w:rsidRPr="00523D40">
        <w:rPr>
          <w:rFonts w:hint="cs"/>
          <w:color w:val="000000"/>
          <w:spacing w:val="0"/>
          <w:kern w:val="0"/>
          <w:sz w:val="20"/>
          <w:rtl/>
        </w:rPr>
        <w:t xml:space="preserve"> السائدة</w:t>
      </w:r>
      <w:r w:rsidRPr="00523D40">
        <w:rPr>
          <w:color w:val="000000"/>
          <w:spacing w:val="0"/>
          <w:kern w:val="0"/>
          <w:sz w:val="20"/>
          <w:rtl/>
        </w:rPr>
        <w:t xml:space="preserve"> في بوروندي و</w:t>
      </w:r>
      <w:r w:rsidRPr="00523D40">
        <w:rPr>
          <w:rFonts w:hint="cs"/>
          <w:color w:val="000000"/>
          <w:spacing w:val="0"/>
          <w:kern w:val="0"/>
          <w:sz w:val="20"/>
          <w:rtl/>
        </w:rPr>
        <w:t xml:space="preserve">إلى </w:t>
      </w:r>
      <w:r w:rsidRPr="00523D40">
        <w:rPr>
          <w:color w:val="000000"/>
          <w:spacing w:val="0"/>
          <w:kern w:val="0"/>
          <w:sz w:val="20"/>
          <w:rtl/>
        </w:rPr>
        <w:t xml:space="preserve">مشاركة </w:t>
      </w:r>
      <w:r w:rsidRPr="00523D40">
        <w:rPr>
          <w:rFonts w:hint="cs"/>
          <w:color w:val="000000"/>
          <w:spacing w:val="0"/>
          <w:kern w:val="0"/>
          <w:sz w:val="20"/>
          <w:rtl/>
        </w:rPr>
        <w:t>شقيقها في ميليشيا "</w:t>
      </w:r>
      <w:r w:rsidRPr="00523D40">
        <w:rPr>
          <w:color w:val="000000"/>
          <w:spacing w:val="0"/>
          <w:kern w:val="0"/>
          <w:sz w:val="20"/>
        </w:rPr>
        <w:t xml:space="preserve"> Sans Échec</w:t>
      </w:r>
      <w:r w:rsidRPr="00523D40">
        <w:rPr>
          <w:rFonts w:hint="cs"/>
          <w:color w:val="000000"/>
          <w:spacing w:val="0"/>
          <w:kern w:val="0"/>
          <w:sz w:val="20"/>
          <w:rtl/>
        </w:rPr>
        <w:t>".</w:t>
      </w:r>
    </w:p>
    <w:p w:rsidR="00523D40" w:rsidRPr="00523D40" w:rsidRDefault="00523D40" w:rsidP="00523D40">
      <w:pPr>
        <w:pStyle w:val="H23GA"/>
        <w:jc w:val="lowKashida"/>
        <w:rPr>
          <w:color w:val="000000"/>
          <w:spacing w:val="0"/>
          <w:kern w:val="0"/>
          <w:sz w:val="20"/>
          <w:szCs w:val="20"/>
          <w:rtl/>
        </w:rPr>
      </w:pPr>
      <w:r w:rsidRPr="00523D40">
        <w:rPr>
          <w:color w:val="000000"/>
          <w:spacing w:val="0"/>
          <w:kern w:val="0"/>
          <w:sz w:val="20"/>
          <w:rtl/>
        </w:rPr>
        <w:tab/>
      </w:r>
      <w:r w:rsidRPr="00523D40">
        <w:rPr>
          <w:color w:val="000000"/>
          <w:spacing w:val="0"/>
          <w:kern w:val="0"/>
          <w:sz w:val="20"/>
          <w:rtl/>
        </w:rPr>
        <w:tab/>
        <w:t>ملاحظات الدولة الطرف بشأن المقبولية والأسس الموضوعية</w:t>
      </w:r>
    </w:p>
    <w:p w:rsidR="00523D40" w:rsidRPr="00523D40" w:rsidRDefault="00523D40" w:rsidP="00A85948">
      <w:pPr>
        <w:pStyle w:val="SingleTxtGA"/>
        <w:jc w:val="lowKashida"/>
        <w:rPr>
          <w:rFonts w:hint="cs"/>
          <w:color w:val="000000"/>
          <w:spacing w:val="0"/>
          <w:kern w:val="0"/>
          <w:sz w:val="20"/>
          <w:rtl/>
          <w:lang w:val="en-CA"/>
        </w:rPr>
      </w:pPr>
      <w:r w:rsidRPr="00523D40">
        <w:rPr>
          <w:color w:val="000000"/>
          <w:spacing w:val="0"/>
          <w:kern w:val="0"/>
          <w:sz w:val="20"/>
          <w:rtl/>
          <w:lang w:val="en-CA"/>
        </w:rPr>
        <w:t>4-1</w:t>
      </w:r>
      <w:r w:rsidRPr="00523D40">
        <w:rPr>
          <w:color w:val="000000"/>
          <w:spacing w:val="0"/>
          <w:kern w:val="0"/>
          <w:sz w:val="20"/>
          <w:rtl/>
          <w:lang w:val="en-CA"/>
        </w:rPr>
        <w:tab/>
        <w:t>قدمت الدولة الطرف، في</w:t>
      </w:r>
      <w:r w:rsidRPr="00523D40">
        <w:rPr>
          <w:rFonts w:hint="cs"/>
          <w:color w:val="000000"/>
          <w:spacing w:val="0"/>
          <w:kern w:val="0"/>
          <w:sz w:val="20"/>
          <w:rtl/>
          <w:lang w:val="en-CA"/>
        </w:rPr>
        <w:t xml:space="preserve"> مذكرة شفوية مؤرخة</w:t>
      </w:r>
      <w:r w:rsidRPr="00523D40">
        <w:rPr>
          <w:color w:val="000000"/>
          <w:spacing w:val="0"/>
          <w:kern w:val="0"/>
          <w:sz w:val="20"/>
          <w:rtl/>
          <w:lang w:val="en-CA"/>
        </w:rPr>
        <w:t xml:space="preserve"> </w:t>
      </w:r>
      <w:r w:rsidRPr="00523D40">
        <w:rPr>
          <w:rFonts w:hint="cs"/>
          <w:color w:val="000000"/>
          <w:spacing w:val="0"/>
          <w:kern w:val="0"/>
          <w:sz w:val="20"/>
          <w:rtl/>
          <w:lang w:val="en-CA"/>
        </w:rPr>
        <w:t>2 أيلول/سبتمبر</w:t>
      </w:r>
      <w:r w:rsidRPr="00523D40">
        <w:rPr>
          <w:color w:val="000000"/>
          <w:spacing w:val="0"/>
          <w:kern w:val="0"/>
          <w:sz w:val="20"/>
          <w:rtl/>
          <w:lang w:val="en-CA"/>
        </w:rPr>
        <w:t xml:space="preserve"> 20</w:t>
      </w:r>
      <w:r w:rsidRPr="00523D40">
        <w:rPr>
          <w:rFonts w:hint="cs"/>
          <w:color w:val="000000"/>
          <w:spacing w:val="0"/>
          <w:kern w:val="0"/>
          <w:sz w:val="20"/>
          <w:rtl/>
          <w:lang w:val="en-CA"/>
        </w:rPr>
        <w:t>10</w:t>
      </w:r>
      <w:r w:rsidRPr="00523D40">
        <w:rPr>
          <w:color w:val="000000"/>
          <w:spacing w:val="0"/>
          <w:kern w:val="0"/>
          <w:sz w:val="20"/>
          <w:rtl/>
          <w:lang w:val="en-CA"/>
        </w:rPr>
        <w:t xml:space="preserve">، ملاحظاتها بشأن </w:t>
      </w:r>
      <w:r w:rsidRPr="00523D40">
        <w:rPr>
          <w:rFonts w:hint="cs"/>
          <w:color w:val="000000"/>
          <w:spacing w:val="0"/>
          <w:kern w:val="0"/>
          <w:sz w:val="20"/>
          <w:rtl/>
          <w:lang w:val="en-CA"/>
        </w:rPr>
        <w:t>المقبولية</w:t>
      </w:r>
      <w:r w:rsidRPr="00523D40">
        <w:rPr>
          <w:color w:val="000000"/>
          <w:spacing w:val="0"/>
          <w:kern w:val="0"/>
          <w:sz w:val="20"/>
          <w:rtl/>
          <w:lang w:val="en-CA"/>
        </w:rPr>
        <w:t xml:space="preserve"> و</w:t>
      </w:r>
      <w:r w:rsidRPr="00523D40">
        <w:rPr>
          <w:rFonts w:hint="cs"/>
          <w:color w:val="000000"/>
          <w:spacing w:val="0"/>
          <w:kern w:val="0"/>
          <w:sz w:val="20"/>
          <w:rtl/>
          <w:lang w:val="en-CA"/>
        </w:rPr>
        <w:t xml:space="preserve">الأسس </w:t>
      </w:r>
      <w:r w:rsidRPr="00523D40">
        <w:rPr>
          <w:color w:val="000000"/>
          <w:spacing w:val="0"/>
          <w:kern w:val="0"/>
          <w:sz w:val="20"/>
          <w:rtl/>
          <w:lang w:val="en-CA"/>
        </w:rPr>
        <w:t>الموضوعية</w:t>
      </w:r>
      <w:r w:rsidRPr="00523D40">
        <w:rPr>
          <w:rFonts w:hint="cs"/>
          <w:b/>
          <w:bCs/>
          <w:color w:val="000000"/>
          <w:spacing w:val="0"/>
          <w:kern w:val="0"/>
          <w:sz w:val="20"/>
          <w:rtl/>
        </w:rPr>
        <w:t xml:space="preserve">. </w:t>
      </w:r>
      <w:r w:rsidRPr="00523D40">
        <w:rPr>
          <w:color w:val="000000"/>
          <w:spacing w:val="0"/>
          <w:kern w:val="0"/>
          <w:sz w:val="20"/>
          <w:rtl/>
          <w:lang w:val="en-CA"/>
        </w:rPr>
        <w:t>وفيما يتعلق ب</w:t>
      </w:r>
      <w:r w:rsidRPr="00523D40">
        <w:rPr>
          <w:rFonts w:hint="cs"/>
          <w:color w:val="000000"/>
          <w:spacing w:val="0"/>
          <w:kern w:val="0"/>
          <w:sz w:val="20"/>
          <w:rtl/>
          <w:lang w:val="en-CA"/>
        </w:rPr>
        <w:t>ال</w:t>
      </w:r>
      <w:r w:rsidRPr="00523D40">
        <w:rPr>
          <w:color w:val="000000"/>
          <w:spacing w:val="0"/>
          <w:kern w:val="0"/>
          <w:sz w:val="20"/>
          <w:rtl/>
          <w:lang w:val="en-CA"/>
        </w:rPr>
        <w:t xml:space="preserve">مقبولية، </w:t>
      </w:r>
      <w:r w:rsidRPr="00523D40">
        <w:rPr>
          <w:rFonts w:hint="cs"/>
          <w:color w:val="000000"/>
          <w:spacing w:val="0"/>
          <w:kern w:val="0"/>
          <w:sz w:val="20"/>
          <w:rtl/>
          <w:lang w:val="en-CA"/>
        </w:rPr>
        <w:t xml:space="preserve">تذكر </w:t>
      </w:r>
      <w:r w:rsidRPr="00523D40">
        <w:rPr>
          <w:color w:val="000000"/>
          <w:spacing w:val="0"/>
          <w:kern w:val="0"/>
          <w:sz w:val="20"/>
          <w:rtl/>
          <w:lang w:val="en-CA"/>
        </w:rPr>
        <w:t xml:space="preserve">الدولة الطرف </w:t>
      </w:r>
      <w:r w:rsidRPr="00523D40">
        <w:rPr>
          <w:rFonts w:hint="cs"/>
          <w:color w:val="000000"/>
          <w:spacing w:val="0"/>
          <w:kern w:val="0"/>
          <w:sz w:val="20"/>
          <w:rtl/>
          <w:lang w:val="en-CA"/>
        </w:rPr>
        <w:t>أ</w:t>
      </w:r>
      <w:r w:rsidRPr="00523D40">
        <w:rPr>
          <w:color w:val="000000"/>
          <w:spacing w:val="0"/>
          <w:kern w:val="0"/>
          <w:sz w:val="20"/>
          <w:rtl/>
          <w:lang w:val="en-CA"/>
        </w:rPr>
        <w:t xml:space="preserve">نها ليست على علم بأن هذه </w:t>
      </w:r>
      <w:r w:rsidRPr="00523D40">
        <w:rPr>
          <w:rFonts w:hint="cs"/>
          <w:color w:val="000000"/>
          <w:spacing w:val="0"/>
          <w:kern w:val="0"/>
          <w:sz w:val="20"/>
          <w:rtl/>
          <w:lang w:val="en-CA"/>
        </w:rPr>
        <w:t>المسألة بالذات قد بُحثت أو يجري بحثها في إطار أي إجراء آخر من إجراءات التحقيق الدولي أو التسوية الدولية</w:t>
      </w:r>
      <w:r w:rsidRPr="00523D40">
        <w:rPr>
          <w:color w:val="000000"/>
          <w:spacing w:val="0"/>
          <w:kern w:val="0"/>
          <w:sz w:val="20"/>
          <w:rtl/>
          <w:lang w:val="en-CA"/>
        </w:rPr>
        <w:t xml:space="preserve"> و</w:t>
      </w:r>
      <w:r w:rsidRPr="00523D40">
        <w:rPr>
          <w:rFonts w:hint="cs"/>
          <w:color w:val="000000"/>
          <w:spacing w:val="0"/>
          <w:kern w:val="0"/>
          <w:sz w:val="20"/>
          <w:rtl/>
          <w:lang w:val="en-CA"/>
        </w:rPr>
        <w:t xml:space="preserve">بالإشارة إلى الفقرة 5(ب) من المادة 2 من الاتفاقية، </w:t>
      </w:r>
      <w:r w:rsidRPr="00523D40">
        <w:rPr>
          <w:color w:val="000000"/>
          <w:spacing w:val="0"/>
          <w:kern w:val="0"/>
          <w:sz w:val="20"/>
          <w:rtl/>
          <w:lang w:val="en-CA"/>
        </w:rPr>
        <w:t xml:space="preserve">تقر </w:t>
      </w:r>
      <w:r w:rsidRPr="00523D40">
        <w:rPr>
          <w:rFonts w:hint="cs"/>
          <w:color w:val="000000"/>
          <w:spacing w:val="0"/>
          <w:kern w:val="0"/>
          <w:sz w:val="20"/>
          <w:rtl/>
          <w:lang w:val="en-CA"/>
        </w:rPr>
        <w:t>الدولة الطرف</w:t>
      </w:r>
      <w:r w:rsidRPr="00523D40">
        <w:rPr>
          <w:color w:val="000000"/>
          <w:spacing w:val="0"/>
          <w:kern w:val="0"/>
          <w:sz w:val="20"/>
          <w:rtl/>
          <w:lang w:val="en-CA"/>
        </w:rPr>
        <w:t xml:space="preserve"> باستنفا</w:t>
      </w:r>
      <w:r w:rsidRPr="00523D40">
        <w:rPr>
          <w:rFonts w:hint="cs"/>
          <w:color w:val="000000"/>
          <w:spacing w:val="0"/>
          <w:kern w:val="0"/>
          <w:sz w:val="20"/>
          <w:rtl/>
          <w:lang w:val="en-CA"/>
        </w:rPr>
        <w:t>د</w:t>
      </w:r>
      <w:r w:rsidRPr="00523D40">
        <w:rPr>
          <w:color w:val="000000"/>
          <w:spacing w:val="0"/>
          <w:kern w:val="0"/>
          <w:sz w:val="20"/>
          <w:rtl/>
          <w:lang w:val="en-CA"/>
        </w:rPr>
        <w:t xml:space="preserve"> جميع سبل الانتصاف المحلية</w:t>
      </w:r>
      <w:r w:rsidRPr="00523D40">
        <w:rPr>
          <w:rFonts w:hint="cs"/>
          <w:color w:val="000000"/>
          <w:spacing w:val="0"/>
          <w:kern w:val="0"/>
          <w:sz w:val="20"/>
          <w:rtl/>
          <w:lang w:val="en-CA"/>
        </w:rPr>
        <w:t xml:space="preserve"> المتاحة بالنسبة إلى هذا</w:t>
      </w:r>
      <w:r w:rsidR="00A85948">
        <w:rPr>
          <w:rFonts w:hint="eastAsia"/>
          <w:color w:val="000000"/>
          <w:spacing w:val="0"/>
          <w:kern w:val="0"/>
          <w:sz w:val="20"/>
          <w:rtl/>
          <w:lang w:val="en-CA"/>
        </w:rPr>
        <w:t> </w:t>
      </w:r>
      <w:r w:rsidRPr="00523D40">
        <w:rPr>
          <w:rFonts w:hint="cs"/>
          <w:color w:val="000000"/>
          <w:spacing w:val="0"/>
          <w:kern w:val="0"/>
          <w:sz w:val="20"/>
          <w:rtl/>
          <w:lang w:val="en-CA"/>
        </w:rPr>
        <w:t>البلاغ.</w:t>
      </w:r>
    </w:p>
    <w:p w:rsidR="00523D40" w:rsidRPr="00A85948" w:rsidRDefault="00523D40" w:rsidP="00A85948">
      <w:pPr>
        <w:pStyle w:val="SingleTxtGA"/>
        <w:jc w:val="lowKashida"/>
        <w:rPr>
          <w:rFonts w:hint="cs"/>
          <w:color w:val="000000"/>
          <w:spacing w:val="0"/>
          <w:kern w:val="0"/>
          <w:sz w:val="20"/>
          <w:szCs w:val="20"/>
          <w:rtl/>
        </w:rPr>
      </w:pPr>
      <w:r w:rsidRPr="00A85948">
        <w:rPr>
          <w:color w:val="000000"/>
          <w:spacing w:val="-4"/>
          <w:kern w:val="0"/>
          <w:sz w:val="20"/>
          <w:rtl/>
          <w:lang w:val="en-CA"/>
        </w:rPr>
        <w:t>4-2</w:t>
      </w:r>
      <w:r w:rsidRPr="00A85948">
        <w:rPr>
          <w:color w:val="000000"/>
          <w:spacing w:val="-4"/>
          <w:kern w:val="0"/>
          <w:sz w:val="20"/>
          <w:rtl/>
          <w:lang w:val="en-CA"/>
        </w:rPr>
        <w:tab/>
      </w:r>
      <w:r w:rsidRPr="00A85948">
        <w:rPr>
          <w:rFonts w:hint="cs"/>
          <w:color w:val="000000"/>
          <w:spacing w:val="-4"/>
          <w:kern w:val="0"/>
          <w:sz w:val="20"/>
          <w:rtl/>
        </w:rPr>
        <w:t>وبصرف</w:t>
      </w:r>
      <w:r w:rsidRPr="00A85948">
        <w:rPr>
          <w:color w:val="000000"/>
          <w:spacing w:val="-4"/>
          <w:kern w:val="0"/>
          <w:sz w:val="20"/>
          <w:rtl/>
        </w:rPr>
        <w:t xml:space="preserve"> النظر عن </w:t>
      </w:r>
      <w:r w:rsidRPr="00A85948">
        <w:rPr>
          <w:rFonts w:hint="cs"/>
          <w:color w:val="000000"/>
          <w:spacing w:val="-4"/>
          <w:kern w:val="0"/>
          <w:sz w:val="20"/>
          <w:rtl/>
        </w:rPr>
        <w:t>ال</w:t>
      </w:r>
      <w:r w:rsidRPr="00A85948">
        <w:rPr>
          <w:color w:val="000000"/>
          <w:spacing w:val="-4"/>
          <w:kern w:val="0"/>
          <w:sz w:val="20"/>
          <w:rtl/>
        </w:rPr>
        <w:t>نتائج</w:t>
      </w:r>
      <w:r w:rsidRPr="00A85948">
        <w:rPr>
          <w:rFonts w:hint="cs"/>
          <w:color w:val="000000"/>
          <w:spacing w:val="-4"/>
          <w:kern w:val="0"/>
          <w:sz w:val="20"/>
          <w:rtl/>
        </w:rPr>
        <w:t xml:space="preserve"> المستخلصة من</w:t>
      </w:r>
      <w:r w:rsidRPr="00A85948">
        <w:rPr>
          <w:color w:val="000000"/>
          <w:spacing w:val="-4"/>
          <w:kern w:val="0"/>
          <w:sz w:val="20"/>
          <w:rtl/>
        </w:rPr>
        <w:t xml:space="preserve"> </w:t>
      </w:r>
      <w:r w:rsidRPr="00A85948">
        <w:rPr>
          <w:rFonts w:hint="cs"/>
          <w:color w:val="000000"/>
          <w:spacing w:val="-4"/>
          <w:kern w:val="0"/>
          <w:sz w:val="20"/>
          <w:rtl/>
        </w:rPr>
        <w:t>نظر اللجنة في المسائل</w:t>
      </w:r>
      <w:r w:rsidRPr="00A85948">
        <w:rPr>
          <w:color w:val="000000"/>
          <w:spacing w:val="-4"/>
          <w:kern w:val="0"/>
          <w:sz w:val="20"/>
          <w:rtl/>
        </w:rPr>
        <w:t xml:space="preserve"> المتعلقة </w:t>
      </w:r>
      <w:r w:rsidRPr="00A85948">
        <w:rPr>
          <w:rFonts w:hint="cs"/>
          <w:color w:val="000000"/>
          <w:spacing w:val="-4"/>
          <w:kern w:val="0"/>
          <w:sz w:val="20"/>
          <w:rtl/>
        </w:rPr>
        <w:t>بالفقرتين</w:t>
      </w:r>
      <w:r w:rsidR="00A85948" w:rsidRPr="00A85948">
        <w:rPr>
          <w:rFonts w:hint="eastAsia"/>
          <w:color w:val="000000"/>
          <w:spacing w:val="-4"/>
          <w:kern w:val="0"/>
          <w:sz w:val="20"/>
          <w:rtl/>
        </w:rPr>
        <w:t> </w:t>
      </w:r>
      <w:r w:rsidRPr="00A85948">
        <w:rPr>
          <w:rFonts w:hint="cs"/>
          <w:color w:val="000000"/>
          <w:spacing w:val="-4"/>
          <w:kern w:val="0"/>
          <w:sz w:val="20"/>
          <w:rtl/>
        </w:rPr>
        <w:t xml:space="preserve">5(أ) </w:t>
      </w:r>
      <w:r w:rsidRPr="00A85948">
        <w:rPr>
          <w:rFonts w:hint="cs"/>
          <w:color w:val="000000"/>
          <w:spacing w:val="0"/>
          <w:kern w:val="0"/>
          <w:sz w:val="20"/>
          <w:rtl/>
        </w:rPr>
        <w:t>و(ب) من المادة 22 من الاتفاقية، فإن</w:t>
      </w:r>
      <w:r w:rsidRPr="00A85948">
        <w:rPr>
          <w:color w:val="000000"/>
          <w:spacing w:val="0"/>
          <w:kern w:val="0"/>
          <w:sz w:val="20"/>
          <w:rtl/>
        </w:rPr>
        <w:t xml:space="preserve"> الدولة الطرف </w:t>
      </w:r>
      <w:r w:rsidRPr="00A85948">
        <w:rPr>
          <w:rFonts w:hint="cs"/>
          <w:color w:val="000000"/>
          <w:spacing w:val="0"/>
          <w:kern w:val="0"/>
          <w:sz w:val="20"/>
          <w:rtl/>
        </w:rPr>
        <w:t xml:space="preserve">ترى أن تأكيد صاحبة </w:t>
      </w:r>
      <w:r w:rsidRPr="00A85948">
        <w:rPr>
          <w:color w:val="000000"/>
          <w:spacing w:val="0"/>
          <w:kern w:val="0"/>
          <w:sz w:val="20"/>
          <w:rtl/>
        </w:rPr>
        <w:t>الشكوى</w:t>
      </w:r>
      <w:r w:rsidRPr="00A85948">
        <w:rPr>
          <w:rFonts w:hint="cs"/>
          <w:color w:val="000000"/>
          <w:spacing w:val="0"/>
          <w:kern w:val="0"/>
          <w:sz w:val="20"/>
          <w:rtl/>
          <w:lang/>
        </w:rPr>
        <w:t xml:space="preserve"> أنها ستتعرض ل</w:t>
      </w:r>
      <w:r w:rsidRPr="00A85948">
        <w:rPr>
          <w:color w:val="000000"/>
          <w:spacing w:val="0"/>
          <w:kern w:val="0"/>
          <w:sz w:val="20"/>
          <w:rtl/>
          <w:lang w:val="en-CA"/>
        </w:rPr>
        <w:t xml:space="preserve">خطر المعاملة </w:t>
      </w:r>
      <w:r w:rsidRPr="00A85948">
        <w:rPr>
          <w:rFonts w:hint="cs"/>
          <w:color w:val="000000"/>
          <w:spacing w:val="0"/>
          <w:kern w:val="0"/>
          <w:sz w:val="20"/>
          <w:rtl/>
          <w:lang w:val="en-CA"/>
        </w:rPr>
        <w:t xml:space="preserve">بطريقة تبلغ حد انتهاك </w:t>
      </w:r>
      <w:r w:rsidRPr="00A85948">
        <w:rPr>
          <w:color w:val="000000"/>
          <w:spacing w:val="0"/>
          <w:kern w:val="0"/>
          <w:sz w:val="20"/>
          <w:rtl/>
          <w:lang w:val="en-CA"/>
        </w:rPr>
        <w:t xml:space="preserve">الاتفاقية لا يرقى إلى مستوى </w:t>
      </w:r>
      <w:r w:rsidRPr="00A85948">
        <w:rPr>
          <w:rFonts w:hint="cs"/>
          <w:color w:val="000000"/>
          <w:spacing w:val="0"/>
          <w:kern w:val="0"/>
          <w:sz w:val="20"/>
          <w:rtl/>
          <w:lang w:val="en-CA"/>
        </w:rPr>
        <w:t xml:space="preserve">الدعم </w:t>
      </w:r>
      <w:r w:rsidRPr="00A85948">
        <w:rPr>
          <w:color w:val="000000"/>
          <w:spacing w:val="0"/>
          <w:kern w:val="0"/>
          <w:sz w:val="20"/>
          <w:rtl/>
          <w:lang w:val="en-CA"/>
        </w:rPr>
        <w:t xml:space="preserve">الأساسي </w:t>
      </w:r>
      <w:r w:rsidRPr="00A85948">
        <w:rPr>
          <w:rFonts w:hint="cs"/>
          <w:color w:val="000000"/>
          <w:spacing w:val="0"/>
          <w:kern w:val="0"/>
          <w:sz w:val="20"/>
          <w:rtl/>
          <w:lang w:val="en-CA"/>
        </w:rPr>
        <w:t xml:space="preserve">بالأدلة </w:t>
      </w:r>
      <w:r w:rsidRPr="00A85948">
        <w:rPr>
          <w:color w:val="000000"/>
          <w:spacing w:val="0"/>
          <w:kern w:val="0"/>
          <w:sz w:val="20"/>
          <w:rtl/>
          <w:lang w:val="en-CA"/>
        </w:rPr>
        <w:t>لأغراض المقبولية</w:t>
      </w:r>
      <w:r w:rsidRPr="00A85948">
        <w:rPr>
          <w:rFonts w:hint="cs"/>
          <w:color w:val="000000"/>
          <w:spacing w:val="0"/>
          <w:kern w:val="0"/>
          <w:sz w:val="20"/>
          <w:rtl/>
          <w:lang w:val="en-CA"/>
        </w:rPr>
        <w:t>.</w:t>
      </w:r>
      <w:r w:rsidRPr="00A85948">
        <w:rPr>
          <w:rFonts w:hint="cs"/>
          <w:color w:val="000000"/>
          <w:spacing w:val="0"/>
          <w:kern w:val="0"/>
          <w:sz w:val="20"/>
          <w:rtl/>
          <w:lang/>
        </w:rPr>
        <w:t xml:space="preserve"> </w:t>
      </w:r>
      <w:r w:rsidRPr="00A85948">
        <w:rPr>
          <w:rFonts w:hint="cs"/>
          <w:color w:val="000000"/>
          <w:spacing w:val="0"/>
          <w:kern w:val="0"/>
          <w:sz w:val="20"/>
          <w:rtl/>
        </w:rPr>
        <w:t>وترى أنه من الواضح أن البلاغ لا يستند إلى أي أساس، ومن ثم فهو غير مقبول بموجب الفقرة 2 من المادة 22 من الات</w:t>
      </w:r>
      <w:r w:rsidR="00A85948" w:rsidRPr="00A85948">
        <w:rPr>
          <w:rFonts w:hint="cs"/>
          <w:color w:val="000000"/>
          <w:spacing w:val="0"/>
          <w:kern w:val="0"/>
          <w:sz w:val="20"/>
          <w:rtl/>
        </w:rPr>
        <w:t>فاقية، والفقرة الفرعية</w:t>
      </w:r>
      <w:r w:rsidR="00A85948" w:rsidRPr="00A85948">
        <w:rPr>
          <w:rFonts w:hint="eastAsia"/>
          <w:color w:val="000000"/>
          <w:spacing w:val="0"/>
          <w:kern w:val="0"/>
          <w:sz w:val="20"/>
          <w:rtl/>
        </w:rPr>
        <w:t> </w:t>
      </w:r>
      <w:r w:rsidR="00A85948" w:rsidRPr="00A85948">
        <w:rPr>
          <w:rFonts w:hint="cs"/>
          <w:color w:val="000000"/>
          <w:spacing w:val="0"/>
          <w:kern w:val="0"/>
          <w:sz w:val="20"/>
          <w:rtl/>
        </w:rPr>
        <w:t xml:space="preserve">(ب) من </w:t>
      </w:r>
      <w:r w:rsidRPr="00A85948">
        <w:rPr>
          <w:rFonts w:hint="cs"/>
          <w:color w:val="000000"/>
          <w:spacing w:val="0"/>
          <w:kern w:val="0"/>
          <w:sz w:val="20"/>
          <w:rtl/>
        </w:rPr>
        <w:t>المادة</w:t>
      </w:r>
      <w:r w:rsidR="00A85948">
        <w:rPr>
          <w:rFonts w:hint="eastAsia"/>
          <w:color w:val="000000"/>
          <w:spacing w:val="0"/>
          <w:kern w:val="0"/>
          <w:sz w:val="20"/>
          <w:rtl/>
        </w:rPr>
        <w:t> </w:t>
      </w:r>
      <w:r w:rsidRPr="00A85948">
        <w:rPr>
          <w:rFonts w:hint="cs"/>
          <w:color w:val="000000"/>
          <w:spacing w:val="0"/>
          <w:kern w:val="0"/>
          <w:sz w:val="20"/>
          <w:rtl/>
        </w:rPr>
        <w:t xml:space="preserve">113 (الفقرة الفرعية (ب) من المادة 107 سابقاً) </w:t>
      </w:r>
      <w:r w:rsidRPr="00A85948">
        <w:rPr>
          <w:color w:val="000000"/>
          <w:spacing w:val="0"/>
          <w:kern w:val="0"/>
          <w:sz w:val="20"/>
          <w:rtl/>
        </w:rPr>
        <w:t>من النظام الداخلي للجنة</w:t>
      </w:r>
      <w:r w:rsidRPr="00A85948">
        <w:rPr>
          <w:rFonts w:hint="cs"/>
          <w:color w:val="000000"/>
          <w:spacing w:val="0"/>
          <w:kern w:val="0"/>
          <w:sz w:val="20"/>
          <w:rtl/>
        </w:rPr>
        <w:t>.</w:t>
      </w:r>
    </w:p>
    <w:p w:rsidR="00523D40" w:rsidRPr="00523D40" w:rsidRDefault="00523D40" w:rsidP="00523D40">
      <w:pPr>
        <w:pStyle w:val="SingleTxtGA"/>
        <w:jc w:val="lowKashida"/>
        <w:rPr>
          <w:rFonts w:hint="cs"/>
          <w:color w:val="000000"/>
          <w:spacing w:val="0"/>
          <w:kern w:val="0"/>
          <w:sz w:val="20"/>
          <w:rtl/>
          <w:lang w:val="en-CA"/>
        </w:rPr>
      </w:pPr>
      <w:r w:rsidRPr="00523D40">
        <w:rPr>
          <w:color w:val="000000"/>
          <w:spacing w:val="0"/>
          <w:kern w:val="0"/>
          <w:sz w:val="20"/>
          <w:rtl/>
          <w:lang w:val="en-CA"/>
        </w:rPr>
        <w:t>4-3</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ترى الدولة الطرف</w:t>
      </w:r>
      <w:r w:rsidRPr="00523D40">
        <w:rPr>
          <w:rFonts w:hint="cs"/>
          <w:color w:val="000000"/>
          <w:spacing w:val="0"/>
          <w:kern w:val="0"/>
          <w:sz w:val="20"/>
          <w:rtl/>
        </w:rPr>
        <w:t xml:space="preserve"> أنه في حالة ما </w:t>
      </w:r>
      <w:r w:rsidRPr="00523D40">
        <w:rPr>
          <w:color w:val="000000"/>
          <w:spacing w:val="0"/>
          <w:kern w:val="0"/>
          <w:sz w:val="20"/>
          <w:rtl/>
          <w:lang w:val="en-CA"/>
        </w:rPr>
        <w:t xml:space="preserve">إذا </w:t>
      </w:r>
      <w:r w:rsidRPr="00523D40">
        <w:rPr>
          <w:rFonts w:hint="cs"/>
          <w:color w:val="000000"/>
          <w:spacing w:val="0"/>
          <w:kern w:val="0"/>
          <w:sz w:val="20"/>
          <w:rtl/>
          <w:lang w:val="en-CA"/>
        </w:rPr>
        <w:t>خلصت</w:t>
      </w:r>
      <w:r w:rsidRPr="00523D40">
        <w:rPr>
          <w:color w:val="000000"/>
          <w:spacing w:val="0"/>
          <w:kern w:val="0"/>
          <w:sz w:val="20"/>
          <w:rtl/>
          <w:lang w:val="en-CA"/>
        </w:rPr>
        <w:t xml:space="preserve"> اللجنة</w:t>
      </w:r>
      <w:r w:rsidRPr="00523D40">
        <w:rPr>
          <w:rFonts w:hint="cs"/>
          <w:color w:val="000000"/>
          <w:spacing w:val="0"/>
          <w:kern w:val="0"/>
          <w:sz w:val="20"/>
          <w:rtl/>
          <w:lang w:val="en-CA"/>
        </w:rPr>
        <w:t xml:space="preserve"> إلى</w:t>
      </w:r>
      <w:r w:rsidRPr="00523D40">
        <w:rPr>
          <w:color w:val="000000"/>
          <w:spacing w:val="0"/>
          <w:kern w:val="0"/>
          <w:sz w:val="20"/>
          <w:rtl/>
          <w:lang w:val="en-CA"/>
        </w:rPr>
        <w:t xml:space="preserve"> أن الشكوى مقبولة، فإن المسألة المعروضة أمامها</w:t>
      </w:r>
      <w:r w:rsidRPr="00523D40">
        <w:rPr>
          <w:color w:val="000000"/>
          <w:spacing w:val="0"/>
          <w:kern w:val="0"/>
          <w:sz w:val="20"/>
          <w:rtl/>
        </w:rPr>
        <w:t xml:space="preserve"> بشأن الأسس الموضوعية</w:t>
      </w:r>
      <w:r w:rsidRPr="00523D40">
        <w:rPr>
          <w:color w:val="000000"/>
          <w:spacing w:val="0"/>
          <w:kern w:val="0"/>
          <w:sz w:val="20"/>
          <w:rtl/>
          <w:lang w:val="en-CA"/>
        </w:rPr>
        <w:t xml:space="preserve"> </w:t>
      </w:r>
      <w:r w:rsidRPr="00523D40">
        <w:rPr>
          <w:rFonts w:hint="cs"/>
          <w:color w:val="000000"/>
          <w:spacing w:val="0"/>
          <w:kern w:val="0"/>
          <w:sz w:val="20"/>
          <w:rtl/>
          <w:lang w:val="en-CA"/>
        </w:rPr>
        <w:t>تتمثل</w:t>
      </w:r>
      <w:r w:rsidRPr="00523D40">
        <w:rPr>
          <w:color w:val="000000"/>
          <w:spacing w:val="0"/>
          <w:kern w:val="0"/>
          <w:sz w:val="20"/>
          <w:rtl/>
          <w:lang w:val="en-CA"/>
        </w:rPr>
        <w:t xml:space="preserve"> </w:t>
      </w:r>
      <w:r w:rsidRPr="00523D40">
        <w:rPr>
          <w:rFonts w:hint="cs"/>
          <w:color w:val="000000"/>
          <w:spacing w:val="0"/>
          <w:kern w:val="0"/>
          <w:sz w:val="20"/>
          <w:rtl/>
          <w:lang w:val="en-CA"/>
        </w:rPr>
        <w:t>في</w:t>
      </w:r>
      <w:r w:rsidRPr="00523D40">
        <w:rPr>
          <w:color w:val="000000"/>
          <w:spacing w:val="0"/>
          <w:kern w:val="0"/>
          <w:sz w:val="20"/>
          <w:rtl/>
          <w:lang w:val="en-CA"/>
        </w:rPr>
        <w:t xml:space="preserve">ما إذا كان </w:t>
      </w:r>
      <w:r w:rsidRPr="00523D40">
        <w:rPr>
          <w:rFonts w:hint="cs"/>
          <w:color w:val="000000"/>
          <w:spacing w:val="0"/>
          <w:kern w:val="0"/>
          <w:sz w:val="20"/>
          <w:rtl/>
          <w:lang w:val="en-CA"/>
        </w:rPr>
        <w:t>طرد صاحبة الشكوى</w:t>
      </w:r>
      <w:r w:rsidRPr="00523D40">
        <w:rPr>
          <w:color w:val="000000"/>
          <w:spacing w:val="0"/>
          <w:kern w:val="0"/>
          <w:sz w:val="20"/>
          <w:rtl/>
          <w:lang w:val="en-CA"/>
        </w:rPr>
        <w:t xml:space="preserve"> </w:t>
      </w:r>
      <w:r w:rsidRPr="00523D40">
        <w:rPr>
          <w:rFonts w:hint="cs"/>
          <w:color w:val="000000"/>
          <w:spacing w:val="0"/>
          <w:kern w:val="0"/>
          <w:sz w:val="20"/>
          <w:rtl/>
          <w:lang w:val="en-CA"/>
        </w:rPr>
        <w:t>ي</w:t>
      </w:r>
      <w:r w:rsidRPr="00523D40">
        <w:rPr>
          <w:color w:val="000000"/>
          <w:spacing w:val="0"/>
          <w:kern w:val="0"/>
          <w:sz w:val="20"/>
          <w:rtl/>
          <w:lang w:val="en-CA"/>
        </w:rPr>
        <w:t xml:space="preserve">نتهك التزام السويد بموجب المادة 3 من الاتفاقية </w:t>
      </w:r>
      <w:r w:rsidRPr="00523D40">
        <w:rPr>
          <w:rFonts w:hint="cs"/>
          <w:color w:val="000000"/>
          <w:spacing w:val="0"/>
          <w:kern w:val="0"/>
          <w:sz w:val="20"/>
          <w:rtl/>
          <w:lang w:val="en-CA"/>
        </w:rPr>
        <w:t xml:space="preserve">التي تقضي </w:t>
      </w:r>
      <w:r w:rsidRPr="00523D40">
        <w:rPr>
          <w:color w:val="000000"/>
          <w:spacing w:val="0"/>
          <w:kern w:val="0"/>
          <w:sz w:val="20"/>
          <w:rtl/>
          <w:lang w:val="en-CA"/>
        </w:rPr>
        <w:t>بعدم طرد أي شخص أو إعادته إلى دولة أخرى إذا كان</w:t>
      </w:r>
      <w:r w:rsidRPr="00523D40">
        <w:rPr>
          <w:rFonts w:hint="cs"/>
          <w:color w:val="000000"/>
          <w:spacing w:val="0"/>
          <w:kern w:val="0"/>
          <w:sz w:val="20"/>
          <w:rtl/>
          <w:lang w:val="en-CA"/>
        </w:rPr>
        <w:t xml:space="preserve">ت هناك </w:t>
      </w:r>
      <w:r w:rsidRPr="00523D40">
        <w:rPr>
          <w:rFonts w:hint="cs"/>
          <w:i/>
          <w:iCs/>
          <w:color w:val="000000"/>
          <w:spacing w:val="0"/>
          <w:kern w:val="0"/>
          <w:sz w:val="20"/>
          <w:rtl/>
          <w:lang w:val="en-CA"/>
        </w:rPr>
        <w:t>أسباب حقيقية</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4"/>
      </w:r>
      <w:r w:rsidRPr="00523D40">
        <w:rPr>
          <w:rFonts w:hint="cs"/>
          <w:color w:val="000000"/>
          <w:spacing w:val="0"/>
          <w:kern w:val="0"/>
          <w:sz w:val="20"/>
          <w:szCs w:val="28"/>
          <w:vertAlign w:val="superscript"/>
          <w:rtl/>
          <w:lang w:val="en-CA"/>
        </w:rPr>
        <w:t>)</w:t>
      </w:r>
      <w:r w:rsidRPr="00523D40">
        <w:rPr>
          <w:color w:val="000000"/>
          <w:spacing w:val="0"/>
          <w:kern w:val="0"/>
          <w:sz w:val="20"/>
          <w:rtl/>
        </w:rPr>
        <w:t xml:space="preserve"> </w:t>
      </w:r>
      <w:r w:rsidRPr="00523D40">
        <w:rPr>
          <w:rFonts w:hint="cs"/>
          <w:color w:val="000000"/>
          <w:spacing w:val="0"/>
          <w:kern w:val="0"/>
          <w:sz w:val="20"/>
          <w:rtl/>
          <w:lang w:val="en-CA"/>
        </w:rPr>
        <w:t>تدعو إلى الاعتقاد بأنه سيواجه خطر</w:t>
      </w:r>
      <w:r w:rsidRPr="00523D40">
        <w:rPr>
          <w:color w:val="000000"/>
          <w:spacing w:val="0"/>
          <w:kern w:val="0"/>
          <w:sz w:val="20"/>
          <w:rtl/>
          <w:lang w:val="en-CA"/>
        </w:rPr>
        <w:t xml:space="preserve"> التعرض للتعذيب. و</w:t>
      </w:r>
      <w:r w:rsidRPr="00523D40">
        <w:rPr>
          <w:rFonts w:hint="cs"/>
          <w:color w:val="000000"/>
          <w:spacing w:val="0"/>
          <w:kern w:val="0"/>
          <w:sz w:val="20"/>
          <w:rtl/>
          <w:lang w:val="en-CA"/>
        </w:rPr>
        <w:t xml:space="preserve">في هذا الصدد، </w:t>
      </w:r>
      <w:r w:rsidRPr="00523D40">
        <w:rPr>
          <w:color w:val="000000"/>
          <w:spacing w:val="0"/>
          <w:kern w:val="0"/>
          <w:sz w:val="20"/>
          <w:rtl/>
          <w:lang w:val="en-CA"/>
        </w:rPr>
        <w:t>تشير الد</w:t>
      </w:r>
      <w:r w:rsidRPr="00523D40">
        <w:rPr>
          <w:rFonts w:hint="eastAsia"/>
          <w:color w:val="000000"/>
          <w:spacing w:val="0"/>
          <w:kern w:val="0"/>
          <w:sz w:val="20"/>
          <w:rtl/>
          <w:lang w:val="en-CA"/>
        </w:rPr>
        <w:t>ولة</w:t>
      </w:r>
      <w:r w:rsidRPr="00523D40">
        <w:rPr>
          <w:color w:val="000000"/>
          <w:spacing w:val="0"/>
          <w:kern w:val="0"/>
          <w:sz w:val="20"/>
          <w:rtl/>
          <w:lang w:val="en-CA"/>
        </w:rPr>
        <w:t xml:space="preserve"> الطرف إلى</w:t>
      </w:r>
      <w:r w:rsidRPr="00523D40">
        <w:rPr>
          <w:rFonts w:hint="cs"/>
          <w:color w:val="000000"/>
          <w:spacing w:val="0"/>
          <w:kern w:val="0"/>
          <w:sz w:val="20"/>
          <w:rtl/>
          <w:lang w:val="en-CA"/>
        </w:rPr>
        <w:t xml:space="preserve"> اجتهاد اللجنة</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5"/>
      </w:r>
      <w:r w:rsidRPr="00523D40">
        <w:rPr>
          <w:rFonts w:hint="cs"/>
          <w:color w:val="000000"/>
          <w:spacing w:val="0"/>
          <w:kern w:val="0"/>
          <w:sz w:val="20"/>
          <w:szCs w:val="28"/>
          <w:vertAlign w:val="superscript"/>
          <w:rtl/>
          <w:lang w:val="en-CA"/>
        </w:rPr>
        <w:t>)</w:t>
      </w:r>
      <w:r w:rsidRPr="00523D40">
        <w:rPr>
          <w:color w:val="000000"/>
          <w:spacing w:val="0"/>
          <w:kern w:val="0"/>
          <w:sz w:val="20"/>
          <w:rtl/>
        </w:rPr>
        <w:t xml:space="preserve"> </w:t>
      </w:r>
      <w:r w:rsidRPr="00523D40">
        <w:rPr>
          <w:rFonts w:hint="cs"/>
          <w:color w:val="000000"/>
          <w:spacing w:val="0"/>
          <w:kern w:val="0"/>
          <w:sz w:val="20"/>
          <w:rtl/>
          <w:lang w:val="en-CA"/>
        </w:rPr>
        <w:t>الذي رأت فيه</w:t>
      </w:r>
      <w:r w:rsidRPr="00523D40">
        <w:rPr>
          <w:color w:val="000000"/>
          <w:spacing w:val="0"/>
          <w:kern w:val="0"/>
          <w:sz w:val="20"/>
          <w:rtl/>
          <w:lang w:val="en-CA"/>
        </w:rPr>
        <w:t xml:space="preserve"> أن</w:t>
      </w:r>
      <w:r w:rsidRPr="00523D40">
        <w:rPr>
          <w:rFonts w:hint="cs"/>
          <w:color w:val="000000"/>
          <w:spacing w:val="0"/>
          <w:kern w:val="0"/>
          <w:sz w:val="20"/>
          <w:rtl/>
          <w:lang w:val="en-CA"/>
        </w:rPr>
        <w:t xml:space="preserve"> الغرض من تحديد</w:t>
      </w:r>
      <w:r w:rsidRPr="00523D40">
        <w:rPr>
          <w:color w:val="000000"/>
          <w:spacing w:val="0"/>
          <w:kern w:val="0"/>
          <w:sz w:val="20"/>
          <w:rtl/>
          <w:lang w:val="en-CA"/>
        </w:rPr>
        <w:t xml:space="preserve"> ما إذا كان</w:t>
      </w:r>
      <w:r w:rsidRPr="00523D40">
        <w:rPr>
          <w:rFonts w:hint="cs"/>
          <w:color w:val="000000"/>
          <w:spacing w:val="0"/>
          <w:kern w:val="0"/>
          <w:sz w:val="20"/>
          <w:rtl/>
          <w:lang w:val="en-CA"/>
        </w:rPr>
        <w:t>ت</w:t>
      </w:r>
      <w:r w:rsidRPr="00523D40">
        <w:rPr>
          <w:color w:val="000000"/>
          <w:spacing w:val="0"/>
          <w:kern w:val="0"/>
          <w:sz w:val="20"/>
          <w:rtl/>
          <w:lang w:val="en-CA"/>
        </w:rPr>
        <w:t xml:space="preserve"> الإعادة القسرية لشخص ما إلى بلد آخر </w:t>
      </w:r>
      <w:r w:rsidRPr="00523D40">
        <w:rPr>
          <w:rFonts w:hint="cs"/>
          <w:color w:val="000000"/>
          <w:spacing w:val="0"/>
          <w:kern w:val="0"/>
          <w:sz w:val="20"/>
          <w:rtl/>
          <w:lang w:val="en-CA"/>
        </w:rPr>
        <w:t>تشكل</w:t>
      </w:r>
      <w:r w:rsidRPr="00523D40">
        <w:rPr>
          <w:color w:val="000000"/>
          <w:spacing w:val="0"/>
          <w:kern w:val="0"/>
          <w:sz w:val="20"/>
          <w:rtl/>
          <w:lang w:val="en-CA"/>
        </w:rPr>
        <w:t xml:space="preserve"> انتهاكاً للفقرة 3 من الاتفاقية</w:t>
      </w:r>
      <w:r w:rsidRPr="00523D40">
        <w:rPr>
          <w:rFonts w:hint="cs"/>
          <w:color w:val="000000"/>
          <w:spacing w:val="0"/>
          <w:kern w:val="0"/>
          <w:sz w:val="20"/>
          <w:rtl/>
          <w:lang w:val="en-CA"/>
        </w:rPr>
        <w:t xml:space="preserve"> يتمثل في تقرير ما إذا كان الفرد المعني سيتعرض </w:t>
      </w:r>
      <w:r w:rsidRPr="00523D40">
        <w:rPr>
          <w:rFonts w:hint="cs"/>
          <w:i/>
          <w:iCs/>
          <w:color w:val="000000"/>
          <w:spacing w:val="0"/>
          <w:kern w:val="0"/>
          <w:sz w:val="20"/>
          <w:rtl/>
          <w:lang w:val="en-CA"/>
        </w:rPr>
        <w:t>شخصياً لخطر</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6"/>
      </w:r>
      <w:r w:rsidRPr="00523D40">
        <w:rPr>
          <w:rFonts w:hint="cs"/>
          <w:color w:val="000000"/>
          <w:spacing w:val="0"/>
          <w:kern w:val="0"/>
          <w:sz w:val="20"/>
          <w:szCs w:val="28"/>
          <w:vertAlign w:val="superscript"/>
          <w:rtl/>
          <w:lang w:val="en-CA"/>
        </w:rPr>
        <w:t>)</w:t>
      </w:r>
      <w:r w:rsidRPr="00523D40">
        <w:rPr>
          <w:rFonts w:hint="cs"/>
          <w:i/>
          <w:iCs/>
          <w:color w:val="000000"/>
          <w:spacing w:val="0"/>
          <w:kern w:val="0"/>
          <w:sz w:val="20"/>
          <w:rtl/>
          <w:lang w:val="en-CA"/>
        </w:rPr>
        <w:t xml:space="preserve"> </w:t>
      </w:r>
      <w:r w:rsidRPr="00523D40">
        <w:rPr>
          <w:rFonts w:hint="cs"/>
          <w:color w:val="000000"/>
          <w:spacing w:val="0"/>
          <w:kern w:val="0"/>
          <w:sz w:val="20"/>
          <w:rtl/>
          <w:lang w:val="en-CA"/>
        </w:rPr>
        <w:t>التعذيب عقب إعادته إلى ذلك البلد. ويستتبع ذلك أن</w:t>
      </w:r>
      <w:r w:rsidRPr="00523D40">
        <w:rPr>
          <w:color w:val="000000"/>
          <w:spacing w:val="0"/>
          <w:kern w:val="0"/>
          <w:sz w:val="20"/>
          <w:rtl/>
          <w:lang w:val="en-CA"/>
        </w:rPr>
        <w:t xml:space="preserve"> وجود نمط ثابت من الانتهاكات </w:t>
      </w:r>
      <w:r w:rsidRPr="00523D40">
        <w:rPr>
          <w:rFonts w:hint="cs"/>
          <w:color w:val="000000"/>
          <w:spacing w:val="0"/>
          <w:kern w:val="0"/>
          <w:sz w:val="20"/>
          <w:rtl/>
          <w:lang w:val="en-CA"/>
        </w:rPr>
        <w:t xml:space="preserve">الفادحة </w:t>
      </w:r>
      <w:r w:rsidRPr="00523D40">
        <w:rPr>
          <w:color w:val="000000"/>
          <w:spacing w:val="0"/>
          <w:kern w:val="0"/>
          <w:sz w:val="20"/>
          <w:rtl/>
          <w:lang w:val="en-CA"/>
        </w:rPr>
        <w:t xml:space="preserve">أو </w:t>
      </w:r>
      <w:r w:rsidRPr="00523D40">
        <w:rPr>
          <w:rFonts w:hint="cs"/>
          <w:color w:val="000000"/>
          <w:spacing w:val="0"/>
          <w:kern w:val="0"/>
          <w:sz w:val="20"/>
          <w:rtl/>
          <w:lang w:val="en-CA"/>
        </w:rPr>
        <w:t>الصارخة</w:t>
      </w:r>
      <w:r w:rsidRPr="00523D40">
        <w:rPr>
          <w:color w:val="000000"/>
          <w:spacing w:val="0"/>
          <w:kern w:val="0"/>
          <w:sz w:val="20"/>
          <w:rtl/>
          <w:lang w:val="en-CA"/>
        </w:rPr>
        <w:t xml:space="preserve"> أو الجماعية لحقوق الإنسان في بلد ما لا </w:t>
      </w:r>
      <w:r w:rsidRPr="00523D40">
        <w:rPr>
          <w:rFonts w:hint="cs"/>
          <w:color w:val="000000"/>
          <w:spacing w:val="0"/>
          <w:kern w:val="0"/>
          <w:sz w:val="20"/>
          <w:rtl/>
          <w:lang w:val="en-CA"/>
        </w:rPr>
        <w:t xml:space="preserve">يشكل </w:t>
      </w:r>
      <w:r w:rsidRPr="00523D40">
        <w:rPr>
          <w:color w:val="000000"/>
          <w:spacing w:val="0"/>
          <w:kern w:val="0"/>
          <w:sz w:val="20"/>
          <w:rtl/>
          <w:lang w:val="en-CA"/>
        </w:rPr>
        <w:t xml:space="preserve">في حد ذاته </w:t>
      </w:r>
      <w:r w:rsidRPr="00523D40">
        <w:rPr>
          <w:rFonts w:hint="cs"/>
          <w:color w:val="000000"/>
          <w:spacing w:val="0"/>
          <w:kern w:val="0"/>
          <w:sz w:val="20"/>
          <w:rtl/>
          <w:lang w:val="en-CA"/>
        </w:rPr>
        <w:t xml:space="preserve">سبباً </w:t>
      </w:r>
      <w:r w:rsidRPr="00523D40">
        <w:rPr>
          <w:color w:val="000000"/>
          <w:spacing w:val="0"/>
          <w:kern w:val="0"/>
          <w:sz w:val="20"/>
          <w:rtl/>
          <w:lang w:val="en-CA"/>
        </w:rPr>
        <w:t xml:space="preserve">كافياً لتحديد أن شخصاً معيناً </w:t>
      </w:r>
      <w:r w:rsidRPr="00523D40">
        <w:rPr>
          <w:rFonts w:hint="cs"/>
          <w:color w:val="000000"/>
          <w:spacing w:val="0"/>
          <w:kern w:val="0"/>
          <w:sz w:val="20"/>
          <w:rtl/>
          <w:lang w:val="en-CA"/>
        </w:rPr>
        <w:t xml:space="preserve">سيتعرض </w:t>
      </w:r>
      <w:r w:rsidRPr="00523D40">
        <w:rPr>
          <w:color w:val="000000"/>
          <w:spacing w:val="0"/>
          <w:kern w:val="0"/>
          <w:sz w:val="20"/>
          <w:rtl/>
          <w:lang w:val="en-CA"/>
        </w:rPr>
        <w:t>لخطر التعذيب عقب عودته إلى هذا البلد.</w:t>
      </w:r>
      <w:r w:rsidRPr="00523D40">
        <w:rPr>
          <w:b/>
          <w:bCs/>
          <w:color w:val="000000"/>
          <w:spacing w:val="0"/>
          <w:kern w:val="0"/>
          <w:sz w:val="20"/>
          <w:rtl/>
        </w:rPr>
        <w:t xml:space="preserve"> </w:t>
      </w:r>
      <w:r w:rsidRPr="00523D40">
        <w:rPr>
          <w:color w:val="000000"/>
          <w:spacing w:val="0"/>
          <w:kern w:val="0"/>
          <w:sz w:val="20"/>
          <w:rtl/>
        </w:rPr>
        <w:t xml:space="preserve">وعلاوة على ذلك، </w:t>
      </w:r>
      <w:r w:rsidRPr="00523D40">
        <w:rPr>
          <w:rFonts w:hint="cs"/>
          <w:color w:val="000000"/>
          <w:spacing w:val="0"/>
          <w:kern w:val="0"/>
          <w:sz w:val="20"/>
          <w:rtl/>
        </w:rPr>
        <w:t xml:space="preserve">ترى </w:t>
      </w:r>
      <w:r w:rsidRPr="00523D40">
        <w:rPr>
          <w:color w:val="000000"/>
          <w:spacing w:val="0"/>
          <w:kern w:val="0"/>
          <w:sz w:val="20"/>
          <w:rtl/>
        </w:rPr>
        <w:t>الدولة الطرف</w:t>
      </w:r>
      <w:r w:rsidRPr="00523D40">
        <w:rPr>
          <w:rFonts w:hint="cs"/>
          <w:color w:val="000000"/>
          <w:spacing w:val="0"/>
          <w:kern w:val="0"/>
          <w:sz w:val="20"/>
          <w:rtl/>
        </w:rPr>
        <w:t xml:space="preserve"> أن التزامها بالامتناع </w:t>
      </w:r>
      <w:r w:rsidRPr="00523D40">
        <w:rPr>
          <w:color w:val="000000"/>
          <w:spacing w:val="0"/>
          <w:kern w:val="0"/>
          <w:sz w:val="20"/>
          <w:rtl/>
        </w:rPr>
        <w:t>عن الإعادة القسرية لشخص</w:t>
      </w:r>
      <w:r w:rsidRPr="00523D40">
        <w:rPr>
          <w:rFonts w:hint="cs"/>
          <w:color w:val="000000"/>
          <w:spacing w:val="0"/>
          <w:kern w:val="0"/>
          <w:sz w:val="20"/>
          <w:rtl/>
        </w:rPr>
        <w:t xml:space="preserve"> ما</w:t>
      </w:r>
      <w:r w:rsidRPr="00523D40">
        <w:rPr>
          <w:color w:val="000000"/>
          <w:spacing w:val="0"/>
          <w:kern w:val="0"/>
          <w:sz w:val="20"/>
          <w:rtl/>
        </w:rPr>
        <w:t xml:space="preserve"> إلى دولة أخرى</w:t>
      </w:r>
      <w:r w:rsidRPr="00523D40">
        <w:rPr>
          <w:rFonts w:hint="cs"/>
          <w:color w:val="000000"/>
          <w:spacing w:val="0"/>
          <w:kern w:val="0"/>
          <w:sz w:val="20"/>
          <w:rtl/>
        </w:rPr>
        <w:t xml:space="preserve">، حيث توجد </w:t>
      </w:r>
      <w:r w:rsidRPr="00523D40">
        <w:rPr>
          <w:color w:val="000000"/>
          <w:spacing w:val="0"/>
          <w:kern w:val="0"/>
          <w:sz w:val="20"/>
          <w:rtl/>
        </w:rPr>
        <w:t xml:space="preserve">أسباب حقيقية تدعو إلى الاعتقاد بأن هذا الشخص </w:t>
      </w:r>
      <w:r w:rsidRPr="00523D40">
        <w:rPr>
          <w:rFonts w:hint="cs"/>
          <w:color w:val="000000"/>
          <w:spacing w:val="0"/>
          <w:kern w:val="0"/>
          <w:sz w:val="20"/>
          <w:rtl/>
        </w:rPr>
        <w:t>سيواجه</w:t>
      </w:r>
      <w:r w:rsidRPr="00523D40">
        <w:rPr>
          <w:color w:val="000000"/>
          <w:spacing w:val="0"/>
          <w:kern w:val="0"/>
          <w:sz w:val="20"/>
          <w:rtl/>
        </w:rPr>
        <w:t xml:space="preserve"> خطر التعرض للتعذيب</w:t>
      </w:r>
      <w:r w:rsidRPr="00523D40">
        <w:rPr>
          <w:rFonts w:hint="cs"/>
          <w:color w:val="000000"/>
          <w:spacing w:val="0"/>
          <w:kern w:val="0"/>
          <w:sz w:val="20"/>
          <w:rtl/>
        </w:rPr>
        <w:t xml:space="preserve">، </w:t>
      </w:r>
      <w:r w:rsidRPr="00523D40">
        <w:rPr>
          <w:color w:val="000000"/>
          <w:spacing w:val="0"/>
          <w:kern w:val="0"/>
          <w:sz w:val="20"/>
          <w:rtl/>
        </w:rPr>
        <w:t xml:space="preserve">يرتبط </w:t>
      </w:r>
      <w:r w:rsidRPr="00523D40">
        <w:rPr>
          <w:rFonts w:hint="cs"/>
          <w:color w:val="000000"/>
          <w:spacing w:val="0"/>
          <w:kern w:val="0"/>
          <w:sz w:val="20"/>
          <w:rtl/>
        </w:rPr>
        <w:t>بشكل مباشر بتعريف</w:t>
      </w:r>
      <w:r w:rsidRPr="00523D40">
        <w:rPr>
          <w:color w:val="000000"/>
          <w:spacing w:val="0"/>
          <w:kern w:val="0"/>
          <w:sz w:val="20"/>
          <w:rtl/>
        </w:rPr>
        <w:t xml:space="preserve"> التعذيب على النحو المبين في المادة 1 من الاتفاقية</w:t>
      </w:r>
      <w:r w:rsidRPr="00523D40">
        <w:rPr>
          <w:b/>
          <w:bCs/>
          <w:color w:val="000000"/>
          <w:spacing w:val="0"/>
          <w:kern w:val="0"/>
          <w:sz w:val="20"/>
          <w:rtl/>
        </w:rPr>
        <w:t xml:space="preserve">. </w:t>
      </w:r>
      <w:r w:rsidRPr="00523D40">
        <w:rPr>
          <w:color w:val="000000"/>
          <w:spacing w:val="0"/>
          <w:kern w:val="0"/>
          <w:sz w:val="20"/>
          <w:rtl/>
        </w:rPr>
        <w:t>ويستنتج من اجتهاد اللجنة</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7"/>
      </w:r>
      <w:r w:rsidRPr="00523D40">
        <w:rPr>
          <w:rFonts w:hint="cs"/>
          <w:color w:val="000000"/>
          <w:spacing w:val="0"/>
          <w:kern w:val="0"/>
          <w:sz w:val="20"/>
          <w:szCs w:val="28"/>
          <w:vertAlign w:val="superscript"/>
          <w:rtl/>
          <w:lang w:val="en-CA"/>
        </w:rPr>
        <w:t>)</w:t>
      </w:r>
      <w:r w:rsidRPr="00523D40">
        <w:rPr>
          <w:color w:val="000000"/>
          <w:spacing w:val="0"/>
          <w:kern w:val="0"/>
          <w:sz w:val="20"/>
          <w:rtl/>
        </w:rPr>
        <w:t xml:space="preserve"> أن مسألة ما إذا كان</w:t>
      </w:r>
      <w:r w:rsidRPr="00523D40">
        <w:rPr>
          <w:rFonts w:hint="cs"/>
          <w:color w:val="000000"/>
          <w:spacing w:val="0"/>
          <w:kern w:val="0"/>
          <w:sz w:val="20"/>
          <w:rtl/>
        </w:rPr>
        <w:t>ت</w:t>
      </w:r>
      <w:r w:rsidRPr="00523D40">
        <w:rPr>
          <w:color w:val="000000"/>
          <w:spacing w:val="0"/>
          <w:kern w:val="0"/>
          <w:sz w:val="20"/>
          <w:rtl/>
        </w:rPr>
        <w:t xml:space="preserve"> الدولة الطرف </w:t>
      </w:r>
      <w:r w:rsidRPr="00523D40">
        <w:rPr>
          <w:rFonts w:hint="cs"/>
          <w:color w:val="000000"/>
          <w:spacing w:val="0"/>
          <w:kern w:val="0"/>
          <w:sz w:val="20"/>
          <w:rtl/>
        </w:rPr>
        <w:t>ملتزمة</w:t>
      </w:r>
      <w:r w:rsidRPr="00523D40">
        <w:rPr>
          <w:color w:val="000000"/>
          <w:spacing w:val="0"/>
          <w:kern w:val="0"/>
          <w:sz w:val="20"/>
          <w:rtl/>
        </w:rPr>
        <w:t xml:space="preserve"> </w:t>
      </w:r>
      <w:r w:rsidRPr="00523D40">
        <w:rPr>
          <w:rFonts w:hint="cs"/>
          <w:color w:val="000000"/>
          <w:spacing w:val="0"/>
          <w:kern w:val="0"/>
          <w:sz w:val="20"/>
          <w:rtl/>
        </w:rPr>
        <w:t xml:space="preserve">بالامتناع </w:t>
      </w:r>
      <w:r w:rsidRPr="00523D40">
        <w:rPr>
          <w:color w:val="000000"/>
          <w:spacing w:val="0"/>
          <w:kern w:val="0"/>
          <w:sz w:val="20"/>
          <w:rtl/>
        </w:rPr>
        <w:t xml:space="preserve">عن طرد شخص </w:t>
      </w:r>
      <w:r w:rsidRPr="00523D40">
        <w:rPr>
          <w:rFonts w:hint="cs"/>
          <w:color w:val="000000"/>
          <w:spacing w:val="0"/>
          <w:kern w:val="0"/>
          <w:sz w:val="20"/>
          <w:rtl/>
        </w:rPr>
        <w:t>يمكن أن يتعرض لخطر</w:t>
      </w:r>
      <w:r w:rsidRPr="00523D40">
        <w:rPr>
          <w:color w:val="000000"/>
          <w:spacing w:val="0"/>
          <w:kern w:val="0"/>
          <w:sz w:val="20"/>
          <w:rtl/>
        </w:rPr>
        <w:t xml:space="preserve"> </w:t>
      </w:r>
      <w:r w:rsidRPr="00523D40">
        <w:rPr>
          <w:rFonts w:hint="cs"/>
          <w:color w:val="000000"/>
          <w:spacing w:val="0"/>
          <w:kern w:val="0"/>
          <w:sz w:val="20"/>
          <w:rtl/>
        </w:rPr>
        <w:t>ا</w:t>
      </w:r>
      <w:r w:rsidRPr="00523D40">
        <w:rPr>
          <w:color w:val="000000"/>
          <w:spacing w:val="0"/>
          <w:kern w:val="0"/>
          <w:sz w:val="20"/>
          <w:rtl/>
        </w:rPr>
        <w:t>ل</w:t>
      </w:r>
      <w:r w:rsidRPr="00523D40">
        <w:rPr>
          <w:rFonts w:hint="cs"/>
          <w:color w:val="000000"/>
          <w:spacing w:val="0"/>
          <w:kern w:val="0"/>
          <w:sz w:val="20"/>
          <w:rtl/>
        </w:rPr>
        <w:t>ت</w:t>
      </w:r>
      <w:r w:rsidRPr="00523D40">
        <w:rPr>
          <w:color w:val="000000"/>
          <w:spacing w:val="0"/>
          <w:kern w:val="0"/>
          <w:sz w:val="20"/>
          <w:rtl/>
        </w:rPr>
        <w:t xml:space="preserve">ألم أو العذاب </w:t>
      </w:r>
      <w:r w:rsidRPr="00523D40">
        <w:rPr>
          <w:rFonts w:hint="cs"/>
          <w:color w:val="000000"/>
          <w:spacing w:val="0"/>
          <w:kern w:val="0"/>
          <w:sz w:val="20"/>
          <w:rtl/>
        </w:rPr>
        <w:t>الذي يلحقه به</w:t>
      </w:r>
      <w:r w:rsidRPr="00523D40">
        <w:rPr>
          <w:color w:val="000000"/>
          <w:spacing w:val="0"/>
          <w:kern w:val="0"/>
          <w:sz w:val="20"/>
          <w:rtl/>
        </w:rPr>
        <w:t xml:space="preserve"> كيان غير حكومي، دون موافقة الحكومة أو قبول</w:t>
      </w:r>
      <w:r w:rsidRPr="00523D40">
        <w:rPr>
          <w:rFonts w:hint="cs"/>
          <w:color w:val="000000"/>
          <w:spacing w:val="0"/>
          <w:kern w:val="0"/>
          <w:sz w:val="20"/>
          <w:rtl/>
        </w:rPr>
        <w:t>ها،</w:t>
      </w:r>
      <w:r w:rsidRPr="00523D40">
        <w:rPr>
          <w:color w:val="000000"/>
          <w:spacing w:val="0"/>
          <w:kern w:val="0"/>
          <w:sz w:val="20"/>
          <w:rtl/>
        </w:rPr>
        <w:t xml:space="preserve"> </w:t>
      </w:r>
      <w:r w:rsidRPr="00523D40">
        <w:rPr>
          <w:rFonts w:hint="cs"/>
          <w:color w:val="000000"/>
          <w:spacing w:val="0"/>
          <w:kern w:val="0"/>
          <w:sz w:val="20"/>
          <w:rtl/>
        </w:rPr>
        <w:t>ت</w:t>
      </w:r>
      <w:r w:rsidRPr="00523D40">
        <w:rPr>
          <w:color w:val="000000"/>
          <w:spacing w:val="0"/>
          <w:kern w:val="0"/>
          <w:sz w:val="20"/>
          <w:rtl/>
        </w:rPr>
        <w:t>قع خارج نطاق المادة 3 من الاتفاقي</w:t>
      </w:r>
      <w:r w:rsidRPr="00523D40">
        <w:rPr>
          <w:rFonts w:hint="cs"/>
          <w:color w:val="000000"/>
          <w:spacing w:val="0"/>
          <w:kern w:val="0"/>
          <w:sz w:val="20"/>
          <w:rtl/>
        </w:rPr>
        <w:t>ة.</w:t>
      </w:r>
    </w:p>
    <w:p w:rsidR="00523D40" w:rsidRPr="00523D40" w:rsidRDefault="00523D40" w:rsidP="00A85948">
      <w:pPr>
        <w:pStyle w:val="SingleTxtGA"/>
        <w:jc w:val="lowKashida"/>
        <w:rPr>
          <w:rFonts w:hint="cs"/>
          <w:color w:val="000000"/>
          <w:spacing w:val="0"/>
          <w:kern w:val="0"/>
          <w:sz w:val="20"/>
          <w:szCs w:val="20"/>
          <w:rtl/>
        </w:rPr>
      </w:pPr>
      <w:r w:rsidRPr="00523D40">
        <w:rPr>
          <w:color w:val="000000"/>
          <w:spacing w:val="0"/>
          <w:kern w:val="0"/>
          <w:sz w:val="20"/>
          <w:rtl/>
          <w:lang w:val="en-CA"/>
        </w:rPr>
        <w:t>4-4</w:t>
      </w:r>
      <w:r w:rsidRPr="00523D40">
        <w:rPr>
          <w:color w:val="000000"/>
          <w:spacing w:val="0"/>
          <w:kern w:val="0"/>
          <w:sz w:val="20"/>
          <w:rtl/>
          <w:lang w:val="en-CA"/>
        </w:rPr>
        <w:tab/>
      </w:r>
      <w:r w:rsidRPr="00523D40">
        <w:rPr>
          <w:rFonts w:hint="cs"/>
          <w:color w:val="000000"/>
          <w:spacing w:val="0"/>
          <w:kern w:val="0"/>
          <w:sz w:val="20"/>
          <w:rtl/>
        </w:rPr>
        <w:t>وفيما يتعلق</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 xml:space="preserve">الحالة العامة لحقوق الإنسان في بوروندي، فإن الدولة الطرف </w:t>
      </w:r>
      <w:r w:rsidRPr="00523D40">
        <w:rPr>
          <w:rFonts w:hint="cs"/>
          <w:color w:val="000000"/>
          <w:spacing w:val="0"/>
          <w:kern w:val="0"/>
          <w:sz w:val="20"/>
          <w:rtl/>
        </w:rPr>
        <w:t>ترى أنه</w:t>
      </w:r>
      <w:r w:rsidRPr="00523D40">
        <w:rPr>
          <w:color w:val="000000"/>
          <w:spacing w:val="0"/>
          <w:kern w:val="0"/>
          <w:sz w:val="20"/>
          <w:rtl/>
        </w:rPr>
        <w:t xml:space="preserve"> </w:t>
      </w:r>
      <w:r w:rsidRPr="00523D40">
        <w:rPr>
          <w:rFonts w:hint="cs"/>
          <w:color w:val="000000"/>
          <w:spacing w:val="0"/>
          <w:kern w:val="0"/>
          <w:sz w:val="20"/>
          <w:rtl/>
        </w:rPr>
        <w:t>من الجائز حتى الآن</w:t>
      </w:r>
      <w:r w:rsidRPr="00523D40">
        <w:rPr>
          <w:color w:val="000000"/>
          <w:spacing w:val="0"/>
          <w:kern w:val="0"/>
          <w:sz w:val="20"/>
          <w:rtl/>
        </w:rPr>
        <w:t xml:space="preserve"> وصفها بأنها </w:t>
      </w:r>
      <w:r w:rsidRPr="00523D40">
        <w:rPr>
          <w:rFonts w:hint="cs"/>
          <w:color w:val="000000"/>
          <w:spacing w:val="0"/>
          <w:kern w:val="0"/>
          <w:sz w:val="20"/>
          <w:rtl/>
        </w:rPr>
        <w:t>بعيدة كل البعد عن الاستقرار</w:t>
      </w:r>
      <w:r w:rsidRPr="00523D40">
        <w:rPr>
          <w:color w:val="000000"/>
          <w:spacing w:val="0"/>
          <w:kern w:val="0"/>
          <w:sz w:val="20"/>
          <w:rtl/>
        </w:rPr>
        <w:t xml:space="preserve"> بعد الحرب الأهلية الطويلة</w:t>
      </w:r>
      <w:r w:rsidRPr="00523D40">
        <w:rPr>
          <w:rFonts w:hint="cs"/>
          <w:color w:val="000000"/>
          <w:spacing w:val="0"/>
          <w:kern w:val="0"/>
          <w:sz w:val="20"/>
          <w:rtl/>
        </w:rPr>
        <w:t xml:space="preserve"> التي دارت</w:t>
      </w:r>
      <w:r w:rsidRPr="00523D40">
        <w:rPr>
          <w:color w:val="000000"/>
          <w:spacing w:val="0"/>
          <w:kern w:val="0"/>
          <w:sz w:val="20"/>
          <w:rtl/>
        </w:rPr>
        <w:t xml:space="preserve"> بين الحكومة التي ي</w:t>
      </w:r>
      <w:r w:rsidRPr="00523D40">
        <w:rPr>
          <w:rFonts w:hint="cs"/>
          <w:color w:val="000000"/>
          <w:spacing w:val="0"/>
          <w:kern w:val="0"/>
          <w:sz w:val="20"/>
          <w:rtl/>
        </w:rPr>
        <w:t>هيمن</w:t>
      </w:r>
      <w:r w:rsidRPr="00523D40">
        <w:rPr>
          <w:color w:val="000000"/>
          <w:spacing w:val="0"/>
          <w:kern w:val="0"/>
          <w:sz w:val="20"/>
          <w:rtl/>
        </w:rPr>
        <w:t xml:space="preserve"> عليها التوتسي والجيش</w:t>
      </w:r>
      <w:r w:rsidRPr="00523D40">
        <w:rPr>
          <w:rFonts w:hint="cs"/>
          <w:color w:val="000000"/>
          <w:spacing w:val="0"/>
          <w:kern w:val="0"/>
          <w:sz w:val="20"/>
          <w:rtl/>
        </w:rPr>
        <w:t xml:space="preserve"> التابع لها</w:t>
      </w:r>
      <w:r w:rsidRPr="00523D40">
        <w:rPr>
          <w:color w:val="000000"/>
          <w:spacing w:val="0"/>
          <w:kern w:val="0"/>
          <w:sz w:val="20"/>
          <w:rtl/>
        </w:rPr>
        <w:t xml:space="preserve"> والجماعات المتمردة التي </w:t>
      </w:r>
      <w:r w:rsidRPr="00523D40">
        <w:rPr>
          <w:rFonts w:hint="cs"/>
          <w:color w:val="000000"/>
          <w:spacing w:val="0"/>
          <w:kern w:val="0"/>
          <w:sz w:val="20"/>
          <w:rtl/>
        </w:rPr>
        <w:t xml:space="preserve">يهيمن </w:t>
      </w:r>
      <w:r w:rsidRPr="00523D40">
        <w:rPr>
          <w:color w:val="000000"/>
          <w:spacing w:val="0"/>
          <w:kern w:val="0"/>
          <w:sz w:val="20"/>
          <w:rtl/>
        </w:rPr>
        <w:t xml:space="preserve">عليها الهوتو. </w:t>
      </w:r>
      <w:r w:rsidRPr="00523D40">
        <w:rPr>
          <w:rFonts w:hint="cs"/>
          <w:color w:val="000000"/>
          <w:spacing w:val="0"/>
          <w:kern w:val="0"/>
          <w:sz w:val="20"/>
          <w:rtl/>
        </w:rPr>
        <w:t>ونتيجة لهذه الحرب، فقد الكثير من المدنيين أرواحهم، ويتحمل طرفا النزاع على حد سواء</w:t>
      </w:r>
      <w:r w:rsidRPr="00523D40">
        <w:rPr>
          <w:color w:val="000000"/>
          <w:spacing w:val="0"/>
          <w:kern w:val="0"/>
          <w:sz w:val="20"/>
          <w:rtl/>
        </w:rPr>
        <w:t xml:space="preserve"> </w:t>
      </w:r>
      <w:r w:rsidRPr="00523D40">
        <w:rPr>
          <w:rFonts w:hint="cs"/>
          <w:color w:val="000000"/>
          <w:spacing w:val="0"/>
          <w:kern w:val="0"/>
          <w:sz w:val="20"/>
          <w:rtl/>
        </w:rPr>
        <w:t>مسؤولية</w:t>
      </w:r>
      <w:r w:rsidRPr="00523D40">
        <w:rPr>
          <w:color w:val="000000"/>
          <w:spacing w:val="0"/>
          <w:kern w:val="0"/>
          <w:sz w:val="20"/>
          <w:rtl/>
        </w:rPr>
        <w:t xml:space="preserve"> الانتهاكات </w:t>
      </w:r>
      <w:r w:rsidRPr="00523D40">
        <w:rPr>
          <w:rFonts w:hint="cs"/>
          <w:color w:val="000000"/>
          <w:spacing w:val="0"/>
          <w:kern w:val="0"/>
          <w:sz w:val="20"/>
          <w:rtl/>
        </w:rPr>
        <w:t xml:space="preserve">الجسيمة </w:t>
      </w:r>
      <w:r w:rsidRPr="00523D40">
        <w:rPr>
          <w:color w:val="000000"/>
          <w:spacing w:val="0"/>
          <w:kern w:val="0"/>
          <w:sz w:val="20"/>
          <w:rtl/>
        </w:rPr>
        <w:t>لحقوق الإنسان للسكان المدنيي</w:t>
      </w:r>
      <w:r w:rsidRPr="00523D40">
        <w:rPr>
          <w:rFonts w:hint="cs"/>
          <w:color w:val="000000"/>
          <w:spacing w:val="0"/>
          <w:kern w:val="0"/>
          <w:sz w:val="20"/>
          <w:rtl/>
        </w:rPr>
        <w:t>ن.</w:t>
      </w:r>
      <w:r w:rsidRPr="00523D40">
        <w:rPr>
          <w:color w:val="000000"/>
          <w:spacing w:val="0"/>
          <w:kern w:val="0"/>
          <w:sz w:val="20"/>
          <w:rtl/>
        </w:rPr>
        <w:t xml:space="preserve"> و</w:t>
      </w:r>
      <w:r w:rsidRPr="00523D40">
        <w:rPr>
          <w:rFonts w:hint="cs"/>
          <w:color w:val="000000"/>
          <w:spacing w:val="0"/>
          <w:kern w:val="0"/>
          <w:sz w:val="20"/>
          <w:rtl/>
        </w:rPr>
        <w:t>لا</w:t>
      </w:r>
      <w:r w:rsidR="00A85948">
        <w:rPr>
          <w:rFonts w:hint="eastAsia"/>
          <w:color w:val="000000"/>
          <w:spacing w:val="0"/>
          <w:kern w:val="0"/>
          <w:sz w:val="20"/>
          <w:rtl/>
        </w:rPr>
        <w:t> </w:t>
      </w:r>
      <w:r w:rsidRPr="00523D40">
        <w:rPr>
          <w:rFonts w:hint="cs"/>
          <w:color w:val="000000"/>
          <w:spacing w:val="0"/>
          <w:kern w:val="0"/>
          <w:sz w:val="20"/>
          <w:rtl/>
        </w:rPr>
        <w:t xml:space="preserve">يزال </w:t>
      </w:r>
      <w:r w:rsidRPr="00523D40">
        <w:rPr>
          <w:color w:val="000000"/>
          <w:spacing w:val="0"/>
          <w:kern w:val="0"/>
          <w:sz w:val="20"/>
          <w:rtl/>
        </w:rPr>
        <w:t xml:space="preserve">سجل </w:t>
      </w:r>
      <w:r w:rsidRPr="00523D40">
        <w:rPr>
          <w:rFonts w:hint="cs"/>
          <w:color w:val="000000"/>
          <w:spacing w:val="0"/>
          <w:kern w:val="0"/>
          <w:sz w:val="20"/>
          <w:rtl/>
        </w:rPr>
        <w:t xml:space="preserve">حكومة بوروندي في مجال </w:t>
      </w:r>
      <w:r w:rsidRPr="00523D40">
        <w:rPr>
          <w:color w:val="000000"/>
          <w:spacing w:val="0"/>
          <w:kern w:val="0"/>
          <w:sz w:val="20"/>
          <w:rtl/>
        </w:rPr>
        <w:t xml:space="preserve">حقوق الإنسان للحكومة بوروندي </w:t>
      </w:r>
      <w:r w:rsidRPr="00523D40">
        <w:rPr>
          <w:rFonts w:hint="cs"/>
          <w:color w:val="000000"/>
          <w:spacing w:val="0"/>
          <w:kern w:val="0"/>
          <w:sz w:val="20"/>
          <w:rtl/>
        </w:rPr>
        <w:t>سجلاً هزيلاً</w:t>
      </w:r>
      <w:r w:rsidRPr="00523D40">
        <w:rPr>
          <w:color w:val="000000"/>
          <w:spacing w:val="0"/>
          <w:kern w:val="0"/>
          <w:sz w:val="20"/>
          <w:rtl/>
        </w:rPr>
        <w:t xml:space="preserve">. </w:t>
      </w:r>
      <w:r w:rsidRPr="00523D40">
        <w:rPr>
          <w:rFonts w:hint="cs"/>
          <w:color w:val="000000"/>
          <w:spacing w:val="0"/>
          <w:kern w:val="0"/>
          <w:sz w:val="20"/>
          <w:rtl/>
        </w:rPr>
        <w:t xml:space="preserve">ويمثل </w:t>
      </w:r>
      <w:r w:rsidRPr="00523D40">
        <w:rPr>
          <w:color w:val="000000"/>
          <w:spacing w:val="0"/>
          <w:kern w:val="0"/>
          <w:sz w:val="20"/>
          <w:rtl/>
        </w:rPr>
        <w:t>أ</w:t>
      </w:r>
      <w:r w:rsidRPr="00523D40">
        <w:rPr>
          <w:rFonts w:hint="cs"/>
          <w:color w:val="000000"/>
          <w:spacing w:val="0"/>
          <w:kern w:val="0"/>
          <w:sz w:val="20"/>
          <w:rtl/>
        </w:rPr>
        <w:t xml:space="preserve">فراد </w:t>
      </w:r>
      <w:r w:rsidRPr="00523D40">
        <w:rPr>
          <w:color w:val="000000"/>
          <w:spacing w:val="0"/>
          <w:kern w:val="0"/>
          <w:sz w:val="20"/>
          <w:rtl/>
        </w:rPr>
        <w:t>الجيش (قوات الدفاع الوطن</w:t>
      </w:r>
      <w:r w:rsidRPr="00523D40">
        <w:rPr>
          <w:rFonts w:hint="cs"/>
          <w:color w:val="000000"/>
          <w:spacing w:val="0"/>
          <w:kern w:val="0"/>
          <w:sz w:val="20"/>
          <w:rtl/>
        </w:rPr>
        <w:t>ي)،</w:t>
      </w:r>
      <w:r w:rsidRPr="00523D40">
        <w:rPr>
          <w:color w:val="000000"/>
          <w:spacing w:val="0"/>
          <w:kern w:val="0"/>
          <w:sz w:val="20"/>
          <w:rtl/>
        </w:rPr>
        <w:t xml:space="preserve"> والشرطة</w:t>
      </w:r>
      <w:r w:rsidRPr="00523D40">
        <w:rPr>
          <w:rFonts w:hint="cs"/>
          <w:color w:val="000000"/>
          <w:spacing w:val="0"/>
          <w:kern w:val="0"/>
          <w:sz w:val="20"/>
          <w:rtl/>
        </w:rPr>
        <w:t xml:space="preserve"> ودائرة الاستخبارات الوطنية الجهات المسؤولة </w:t>
      </w:r>
      <w:r w:rsidRPr="00523D40">
        <w:rPr>
          <w:color w:val="000000"/>
          <w:spacing w:val="0"/>
          <w:kern w:val="0"/>
          <w:sz w:val="20"/>
          <w:rtl/>
        </w:rPr>
        <w:t>عن تعذيب وقتل وضرب المدنيين والمحتجزين، بم</w:t>
      </w:r>
      <w:r w:rsidRPr="00523D40">
        <w:rPr>
          <w:rFonts w:hint="cs"/>
          <w:color w:val="000000"/>
          <w:spacing w:val="0"/>
          <w:kern w:val="0"/>
          <w:sz w:val="20"/>
          <w:rtl/>
        </w:rPr>
        <w:t>ن فيهم</w:t>
      </w:r>
      <w:r w:rsidRPr="00523D40">
        <w:rPr>
          <w:color w:val="000000"/>
          <w:spacing w:val="0"/>
          <w:kern w:val="0"/>
          <w:sz w:val="20"/>
          <w:rtl/>
        </w:rPr>
        <w:t xml:space="preserve"> </w:t>
      </w:r>
      <w:r w:rsidRPr="00523D40">
        <w:rPr>
          <w:rFonts w:hint="cs"/>
          <w:color w:val="000000"/>
          <w:spacing w:val="0"/>
          <w:kern w:val="0"/>
          <w:sz w:val="20"/>
          <w:rtl/>
        </w:rPr>
        <w:t>المناصرون المشتبه</w:t>
      </w:r>
      <w:r w:rsidRPr="00523D40">
        <w:rPr>
          <w:color w:val="000000"/>
          <w:spacing w:val="0"/>
          <w:kern w:val="0"/>
          <w:sz w:val="20"/>
          <w:rtl/>
        </w:rPr>
        <w:t xml:space="preserve"> في</w:t>
      </w:r>
      <w:r w:rsidRPr="00523D40">
        <w:rPr>
          <w:rFonts w:hint="cs"/>
          <w:color w:val="000000"/>
          <w:spacing w:val="0"/>
          <w:kern w:val="0"/>
          <w:sz w:val="20"/>
          <w:rtl/>
        </w:rPr>
        <w:t xml:space="preserve"> تأييدهم</w:t>
      </w:r>
      <w:r w:rsidRPr="00523D40">
        <w:rPr>
          <w:color w:val="000000"/>
          <w:spacing w:val="0"/>
          <w:kern w:val="0"/>
          <w:sz w:val="20"/>
          <w:rtl/>
        </w:rPr>
        <w:t xml:space="preserve"> </w:t>
      </w:r>
      <w:r w:rsidRPr="00523D40">
        <w:rPr>
          <w:rFonts w:hint="cs"/>
          <w:color w:val="000000"/>
          <w:spacing w:val="0"/>
          <w:kern w:val="0"/>
          <w:sz w:val="20"/>
          <w:rtl/>
        </w:rPr>
        <w:t>لقوات التحرير الوطنية</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8"/>
      </w:r>
      <w:r w:rsidRPr="00523D40">
        <w:rPr>
          <w:rFonts w:hint="cs"/>
          <w:color w:val="000000"/>
          <w:spacing w:val="0"/>
          <w:kern w:val="0"/>
          <w:sz w:val="20"/>
          <w:szCs w:val="28"/>
          <w:vertAlign w:val="superscript"/>
          <w:rtl/>
          <w:lang w:val="en-CA"/>
        </w:rPr>
        <w:t>)</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 xml:space="preserve">ولا تزال قوات </w:t>
      </w:r>
      <w:r w:rsidRPr="00523D40">
        <w:rPr>
          <w:color w:val="000000"/>
          <w:spacing w:val="0"/>
          <w:kern w:val="0"/>
          <w:sz w:val="20"/>
          <w:rtl/>
        </w:rPr>
        <w:t xml:space="preserve">الأمن </w:t>
      </w:r>
      <w:r w:rsidRPr="00523D40">
        <w:rPr>
          <w:rFonts w:hint="cs"/>
          <w:color w:val="000000"/>
          <w:spacing w:val="0"/>
          <w:kern w:val="0"/>
          <w:sz w:val="20"/>
          <w:rtl/>
        </w:rPr>
        <w:t>تتحرش ب</w:t>
      </w:r>
      <w:r w:rsidRPr="00523D40">
        <w:rPr>
          <w:color w:val="000000"/>
          <w:spacing w:val="0"/>
          <w:kern w:val="0"/>
          <w:sz w:val="20"/>
          <w:rtl/>
        </w:rPr>
        <w:t xml:space="preserve">أعضاء المعارضة. وعلى الرغم من وقف إطلاق النار المتفق عليه في </w:t>
      </w:r>
      <w:r w:rsidRPr="00523D40">
        <w:rPr>
          <w:rFonts w:hint="cs"/>
          <w:color w:val="000000"/>
          <w:spacing w:val="0"/>
          <w:kern w:val="0"/>
          <w:sz w:val="20"/>
          <w:rtl/>
        </w:rPr>
        <w:t>أيار/</w:t>
      </w:r>
      <w:r w:rsidRPr="00523D40">
        <w:rPr>
          <w:color w:val="000000"/>
          <w:spacing w:val="0"/>
          <w:kern w:val="0"/>
          <w:sz w:val="20"/>
          <w:rtl/>
        </w:rPr>
        <w:t xml:space="preserve">مايو 2008، </w:t>
      </w:r>
      <w:r w:rsidRPr="00523D40">
        <w:rPr>
          <w:rFonts w:hint="cs"/>
          <w:color w:val="000000"/>
          <w:spacing w:val="0"/>
          <w:kern w:val="0"/>
          <w:sz w:val="20"/>
          <w:rtl/>
        </w:rPr>
        <w:t>فقد واصلت</w:t>
      </w:r>
      <w:r w:rsidRPr="00523D40">
        <w:rPr>
          <w:color w:val="000000"/>
          <w:spacing w:val="0"/>
          <w:kern w:val="0"/>
          <w:sz w:val="20"/>
          <w:rtl/>
        </w:rPr>
        <w:t xml:space="preserve"> قوات التحرير الوطنية</w:t>
      </w:r>
      <w:r w:rsidRPr="00523D40">
        <w:rPr>
          <w:rFonts w:hint="cs"/>
          <w:color w:val="000000"/>
          <w:spacing w:val="0"/>
          <w:kern w:val="0"/>
          <w:sz w:val="20"/>
          <w:rtl/>
        </w:rPr>
        <w:t xml:space="preserve"> اعتداءاتها </w:t>
      </w:r>
      <w:r w:rsidRPr="00523D40">
        <w:rPr>
          <w:color w:val="000000"/>
          <w:spacing w:val="0"/>
          <w:kern w:val="0"/>
          <w:sz w:val="20"/>
          <w:rtl/>
        </w:rPr>
        <w:t xml:space="preserve">ضد المدنيين </w:t>
      </w:r>
      <w:r w:rsidRPr="00523D40">
        <w:rPr>
          <w:rFonts w:hint="cs"/>
          <w:color w:val="000000"/>
          <w:spacing w:val="0"/>
          <w:kern w:val="0"/>
          <w:sz w:val="20"/>
          <w:rtl/>
        </w:rPr>
        <w:t>وكانت</w:t>
      </w:r>
      <w:r w:rsidRPr="00523D40">
        <w:rPr>
          <w:color w:val="000000"/>
          <w:spacing w:val="0"/>
          <w:kern w:val="0"/>
          <w:sz w:val="20"/>
          <w:rtl/>
        </w:rPr>
        <w:t xml:space="preserve"> معاقل قوات التحرير الوطنية التقليدية، بما في ذلك </w:t>
      </w:r>
      <w:r w:rsidRPr="00523D40">
        <w:rPr>
          <w:rFonts w:hint="cs"/>
          <w:color w:val="000000"/>
          <w:spacing w:val="0"/>
          <w:kern w:val="0"/>
          <w:sz w:val="20"/>
          <w:rtl/>
        </w:rPr>
        <w:t xml:space="preserve">مناطق </w:t>
      </w:r>
      <w:r w:rsidRPr="00523D40">
        <w:rPr>
          <w:color w:val="000000"/>
          <w:spacing w:val="0"/>
          <w:kern w:val="0"/>
          <w:sz w:val="20"/>
          <w:rtl/>
        </w:rPr>
        <w:t>بوجمبورا الريفية</w:t>
      </w:r>
      <w:r w:rsidRPr="00523D40">
        <w:rPr>
          <w:rFonts w:hint="cs"/>
          <w:color w:val="000000"/>
          <w:spacing w:val="0"/>
          <w:kern w:val="0"/>
          <w:sz w:val="20"/>
          <w:rtl/>
        </w:rPr>
        <w:t>، المسرح الرئيسي لهذه الاعتداءات</w:t>
      </w:r>
      <w:r w:rsidRPr="00523D40">
        <w:rPr>
          <w:color w:val="000000"/>
          <w:spacing w:val="0"/>
          <w:kern w:val="0"/>
          <w:sz w:val="20"/>
          <w:rtl/>
        </w:rPr>
        <w:t xml:space="preserve">. </w:t>
      </w:r>
      <w:r w:rsidRPr="00523D40">
        <w:rPr>
          <w:rFonts w:hint="cs"/>
          <w:color w:val="000000"/>
          <w:spacing w:val="0"/>
          <w:kern w:val="0"/>
          <w:sz w:val="20"/>
          <w:rtl/>
        </w:rPr>
        <w:t>ولئن كانت</w:t>
      </w:r>
      <w:r w:rsidRPr="00523D40">
        <w:rPr>
          <w:color w:val="000000"/>
          <w:spacing w:val="0"/>
          <w:kern w:val="0"/>
          <w:sz w:val="20"/>
          <w:rtl/>
        </w:rPr>
        <w:t xml:space="preserve"> السلطات المدنية </w:t>
      </w:r>
      <w:r w:rsidRPr="00523D40">
        <w:rPr>
          <w:rFonts w:hint="cs"/>
          <w:color w:val="000000"/>
          <w:spacing w:val="0"/>
          <w:kern w:val="0"/>
          <w:sz w:val="20"/>
          <w:rtl/>
        </w:rPr>
        <w:t xml:space="preserve">تستطيع </w:t>
      </w:r>
      <w:r w:rsidRPr="00523D40">
        <w:rPr>
          <w:color w:val="000000"/>
          <w:spacing w:val="0"/>
          <w:kern w:val="0"/>
          <w:sz w:val="20"/>
          <w:rtl/>
        </w:rPr>
        <w:t>بشكل عام</w:t>
      </w:r>
      <w:r w:rsidRPr="00523D40">
        <w:rPr>
          <w:rFonts w:hint="cs"/>
          <w:color w:val="000000"/>
          <w:spacing w:val="0"/>
          <w:kern w:val="0"/>
          <w:sz w:val="20"/>
          <w:rtl/>
        </w:rPr>
        <w:t xml:space="preserve"> أن تتحكم بفعالية</w:t>
      </w:r>
      <w:r w:rsidRPr="00523D40">
        <w:rPr>
          <w:color w:val="000000"/>
          <w:spacing w:val="0"/>
          <w:kern w:val="0"/>
          <w:sz w:val="20"/>
          <w:rtl/>
        </w:rPr>
        <w:t xml:space="preserve"> </w:t>
      </w:r>
      <w:r w:rsidRPr="00523D40">
        <w:rPr>
          <w:rFonts w:hint="cs"/>
          <w:color w:val="000000"/>
          <w:spacing w:val="0"/>
          <w:kern w:val="0"/>
          <w:sz w:val="20"/>
          <w:rtl/>
        </w:rPr>
        <w:t>في</w:t>
      </w:r>
      <w:r w:rsidRPr="00523D40">
        <w:rPr>
          <w:color w:val="000000"/>
          <w:spacing w:val="0"/>
          <w:kern w:val="0"/>
          <w:sz w:val="20"/>
          <w:rtl/>
        </w:rPr>
        <w:t xml:space="preserve"> قوات الأمن، </w:t>
      </w:r>
      <w:r w:rsidRPr="00523D40">
        <w:rPr>
          <w:rFonts w:hint="cs"/>
          <w:color w:val="000000"/>
          <w:spacing w:val="0"/>
          <w:kern w:val="0"/>
          <w:sz w:val="20"/>
          <w:rtl/>
        </w:rPr>
        <w:t>فإن هناك</w:t>
      </w:r>
      <w:r w:rsidRPr="00523D40">
        <w:rPr>
          <w:color w:val="000000"/>
          <w:spacing w:val="0"/>
          <w:kern w:val="0"/>
          <w:sz w:val="20"/>
          <w:rtl/>
        </w:rPr>
        <w:t xml:space="preserve"> حالات </w:t>
      </w:r>
      <w:r w:rsidRPr="00523D40">
        <w:rPr>
          <w:rFonts w:hint="cs"/>
          <w:color w:val="000000"/>
          <w:spacing w:val="0"/>
          <w:kern w:val="0"/>
          <w:sz w:val="20"/>
          <w:rtl/>
        </w:rPr>
        <w:t xml:space="preserve">تصرفت فيها </w:t>
      </w:r>
      <w:r w:rsidRPr="00523D40">
        <w:rPr>
          <w:color w:val="000000"/>
          <w:spacing w:val="0"/>
          <w:kern w:val="0"/>
          <w:sz w:val="20"/>
          <w:rtl/>
        </w:rPr>
        <w:t xml:space="preserve">عناصر من قوات الأمن بشكل مستقل. </w:t>
      </w:r>
      <w:r w:rsidRPr="00523D40">
        <w:rPr>
          <w:rFonts w:hint="cs"/>
          <w:color w:val="000000"/>
          <w:spacing w:val="0"/>
          <w:kern w:val="0"/>
          <w:sz w:val="20"/>
          <w:rtl/>
        </w:rPr>
        <w:t>و</w:t>
      </w:r>
      <w:r w:rsidRPr="00523D40">
        <w:rPr>
          <w:color w:val="000000"/>
          <w:spacing w:val="0"/>
          <w:kern w:val="0"/>
          <w:sz w:val="20"/>
          <w:rtl/>
        </w:rPr>
        <w:t>على الرغم من أن قوات الأمن الحكومية، و</w:t>
      </w:r>
      <w:r w:rsidRPr="00523D40">
        <w:rPr>
          <w:rFonts w:hint="cs"/>
          <w:color w:val="000000"/>
          <w:spacing w:val="0"/>
          <w:kern w:val="0"/>
          <w:sz w:val="20"/>
          <w:rtl/>
        </w:rPr>
        <w:t>ب</w:t>
      </w:r>
      <w:r w:rsidRPr="00523D40">
        <w:rPr>
          <w:color w:val="000000"/>
          <w:spacing w:val="0"/>
          <w:kern w:val="0"/>
          <w:sz w:val="20"/>
          <w:rtl/>
        </w:rPr>
        <w:t xml:space="preserve">خاصة قوات الدفاع الوطني، </w:t>
      </w:r>
      <w:r w:rsidRPr="00523D40">
        <w:rPr>
          <w:rFonts w:hint="cs"/>
          <w:color w:val="000000"/>
          <w:spacing w:val="0"/>
          <w:kern w:val="0"/>
          <w:sz w:val="20"/>
          <w:rtl/>
        </w:rPr>
        <w:t xml:space="preserve">قد </w:t>
      </w:r>
      <w:r w:rsidRPr="00523D40">
        <w:rPr>
          <w:color w:val="000000"/>
          <w:spacing w:val="0"/>
          <w:kern w:val="0"/>
          <w:sz w:val="20"/>
          <w:rtl/>
        </w:rPr>
        <w:t>اتخذت بعض ال</w:t>
      </w:r>
      <w:r w:rsidRPr="00523D40">
        <w:rPr>
          <w:rFonts w:hint="cs"/>
          <w:color w:val="000000"/>
          <w:spacing w:val="0"/>
          <w:kern w:val="0"/>
          <w:sz w:val="20"/>
          <w:rtl/>
        </w:rPr>
        <w:t>تدابير</w:t>
      </w:r>
      <w:r w:rsidRPr="00523D40">
        <w:rPr>
          <w:color w:val="000000"/>
          <w:spacing w:val="0"/>
          <w:kern w:val="0"/>
          <w:sz w:val="20"/>
          <w:rtl/>
        </w:rPr>
        <w:t xml:space="preserve"> </w:t>
      </w:r>
      <w:r w:rsidRPr="00523D40">
        <w:rPr>
          <w:rFonts w:hint="cs"/>
          <w:color w:val="000000"/>
          <w:spacing w:val="0"/>
          <w:kern w:val="0"/>
          <w:sz w:val="20"/>
          <w:rtl/>
        </w:rPr>
        <w:t xml:space="preserve">لملاحقة </w:t>
      </w:r>
      <w:r w:rsidRPr="00523D40">
        <w:rPr>
          <w:color w:val="000000"/>
          <w:spacing w:val="0"/>
          <w:kern w:val="0"/>
          <w:sz w:val="20"/>
          <w:rtl/>
        </w:rPr>
        <w:t xml:space="preserve">مرتكبي انتهاكات حقوق الإنسان، فإن معظم الأفراد </w:t>
      </w:r>
      <w:r w:rsidRPr="00523D40">
        <w:rPr>
          <w:rFonts w:hint="cs"/>
          <w:color w:val="000000"/>
          <w:spacing w:val="0"/>
          <w:kern w:val="0"/>
          <w:sz w:val="20"/>
          <w:rtl/>
        </w:rPr>
        <w:t>يتصرفون وهم في مأمن</w:t>
      </w:r>
      <w:r w:rsidRPr="00523D40">
        <w:rPr>
          <w:color w:val="000000"/>
          <w:spacing w:val="0"/>
          <w:kern w:val="0"/>
          <w:sz w:val="20"/>
          <w:rtl/>
        </w:rPr>
        <w:t xml:space="preserve"> من العقا</w:t>
      </w:r>
      <w:r w:rsidRPr="00523D40">
        <w:rPr>
          <w:rFonts w:hint="cs"/>
          <w:color w:val="000000"/>
          <w:spacing w:val="0"/>
          <w:kern w:val="0"/>
          <w:sz w:val="20"/>
          <w:rtl/>
        </w:rPr>
        <w:t>ب</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29"/>
      </w:r>
      <w:r w:rsidRPr="00523D40">
        <w:rPr>
          <w:rFonts w:hint="cs"/>
          <w:color w:val="000000"/>
          <w:spacing w:val="0"/>
          <w:kern w:val="0"/>
          <w:sz w:val="20"/>
          <w:szCs w:val="28"/>
          <w:vertAlign w:val="superscript"/>
          <w:rtl/>
          <w:lang w:val="en-CA"/>
        </w:rPr>
        <w:t>)</w:t>
      </w:r>
      <w:r w:rsidRPr="00523D40">
        <w:rPr>
          <w:rFonts w:hint="cs"/>
          <w:color w:val="000000"/>
          <w:spacing w:val="0"/>
          <w:kern w:val="0"/>
          <w:sz w:val="20"/>
          <w:rtl/>
        </w:rPr>
        <w:t>.</w:t>
      </w:r>
    </w:p>
    <w:p w:rsidR="00523D40" w:rsidRPr="00523D40" w:rsidRDefault="00523D40" w:rsidP="00523D40">
      <w:pPr>
        <w:pStyle w:val="SingleTxtGA"/>
        <w:jc w:val="lowKashida"/>
        <w:rPr>
          <w:color w:val="000000"/>
          <w:spacing w:val="0"/>
          <w:kern w:val="0"/>
          <w:sz w:val="20"/>
          <w:szCs w:val="20"/>
          <w:rtl/>
        </w:rPr>
      </w:pPr>
      <w:r w:rsidRPr="00523D40">
        <w:rPr>
          <w:color w:val="000000"/>
          <w:spacing w:val="0"/>
          <w:kern w:val="0"/>
          <w:sz w:val="20"/>
          <w:rtl/>
          <w:lang w:val="en-CA"/>
        </w:rPr>
        <w:t>4-5</w:t>
      </w:r>
      <w:r w:rsidRPr="00523D40">
        <w:rPr>
          <w:color w:val="000000"/>
          <w:spacing w:val="0"/>
          <w:kern w:val="0"/>
          <w:sz w:val="20"/>
          <w:rtl/>
          <w:lang w:val="en-CA"/>
        </w:rPr>
        <w:tab/>
      </w:r>
      <w:r w:rsidRPr="00523D40">
        <w:rPr>
          <w:color w:val="000000"/>
          <w:spacing w:val="0"/>
          <w:kern w:val="0"/>
          <w:sz w:val="20"/>
          <w:rtl/>
        </w:rPr>
        <w:t>وتضيف الدولة الطرف أن</w:t>
      </w:r>
      <w:r w:rsidRPr="00523D40">
        <w:rPr>
          <w:rFonts w:hint="cs"/>
          <w:color w:val="000000"/>
          <w:spacing w:val="0"/>
          <w:kern w:val="0"/>
          <w:sz w:val="20"/>
          <w:rtl/>
        </w:rPr>
        <w:t xml:space="preserve"> الدستور الجديد أصبح نافذاً</w:t>
      </w:r>
      <w:r w:rsidRPr="00523D40">
        <w:rPr>
          <w:color w:val="000000"/>
          <w:spacing w:val="0"/>
          <w:kern w:val="0"/>
          <w:sz w:val="20"/>
          <w:rtl/>
        </w:rPr>
        <w:t xml:space="preserve"> </w:t>
      </w:r>
      <w:r w:rsidRPr="00523D40">
        <w:rPr>
          <w:rFonts w:hint="cs"/>
          <w:color w:val="000000"/>
          <w:spacing w:val="0"/>
          <w:kern w:val="0"/>
          <w:sz w:val="20"/>
          <w:rtl/>
        </w:rPr>
        <w:t>اعتباراً من</w:t>
      </w:r>
      <w:r w:rsidRPr="00523D40">
        <w:rPr>
          <w:color w:val="000000"/>
          <w:spacing w:val="0"/>
          <w:kern w:val="0"/>
          <w:sz w:val="20"/>
          <w:rtl/>
        </w:rPr>
        <w:t xml:space="preserve"> عام 2005، </w:t>
      </w:r>
      <w:r w:rsidRPr="00523D40">
        <w:rPr>
          <w:rFonts w:hint="cs"/>
          <w:color w:val="000000"/>
          <w:spacing w:val="0"/>
          <w:kern w:val="0"/>
          <w:sz w:val="20"/>
          <w:rtl/>
        </w:rPr>
        <w:t>وهو ي</w:t>
      </w:r>
      <w:r w:rsidRPr="00523D40">
        <w:rPr>
          <w:color w:val="000000"/>
          <w:spacing w:val="0"/>
          <w:kern w:val="0"/>
          <w:sz w:val="20"/>
          <w:rtl/>
        </w:rPr>
        <w:t xml:space="preserve">ضع </w:t>
      </w:r>
      <w:r w:rsidRPr="00523D40">
        <w:rPr>
          <w:rFonts w:hint="cs"/>
          <w:color w:val="000000"/>
          <w:spacing w:val="0"/>
          <w:kern w:val="0"/>
          <w:sz w:val="20"/>
          <w:rtl/>
        </w:rPr>
        <w:t>ال</w:t>
      </w:r>
      <w:r w:rsidRPr="00523D40">
        <w:rPr>
          <w:color w:val="000000"/>
          <w:spacing w:val="0"/>
          <w:kern w:val="0"/>
          <w:sz w:val="20"/>
          <w:rtl/>
        </w:rPr>
        <w:t xml:space="preserve">شروط التي سوف </w:t>
      </w:r>
      <w:r w:rsidRPr="00523D40">
        <w:rPr>
          <w:rFonts w:hint="cs"/>
          <w:color w:val="000000"/>
          <w:spacing w:val="0"/>
          <w:kern w:val="0"/>
          <w:sz w:val="20"/>
          <w:rtl/>
        </w:rPr>
        <w:t>ت</w:t>
      </w:r>
      <w:r w:rsidRPr="00523D40">
        <w:rPr>
          <w:color w:val="000000"/>
          <w:spacing w:val="0"/>
          <w:kern w:val="0"/>
          <w:sz w:val="20"/>
          <w:rtl/>
        </w:rPr>
        <w:t>تقاسم</w:t>
      </w:r>
      <w:r w:rsidRPr="00523D40">
        <w:rPr>
          <w:rFonts w:hint="cs"/>
          <w:color w:val="000000"/>
          <w:spacing w:val="0"/>
          <w:kern w:val="0"/>
          <w:sz w:val="20"/>
          <w:rtl/>
        </w:rPr>
        <w:t xml:space="preserve"> بها</w:t>
      </w:r>
      <w:r w:rsidRPr="00523D40">
        <w:rPr>
          <w:color w:val="000000"/>
          <w:spacing w:val="0"/>
          <w:kern w:val="0"/>
          <w:sz w:val="20"/>
          <w:rtl/>
        </w:rPr>
        <w:t xml:space="preserve"> المجموعت</w:t>
      </w:r>
      <w:r w:rsidRPr="00523D40">
        <w:rPr>
          <w:rFonts w:hint="cs"/>
          <w:color w:val="000000"/>
          <w:spacing w:val="0"/>
          <w:kern w:val="0"/>
          <w:sz w:val="20"/>
          <w:rtl/>
        </w:rPr>
        <w:t>ا</w:t>
      </w:r>
      <w:r w:rsidRPr="00523D40">
        <w:rPr>
          <w:color w:val="000000"/>
          <w:spacing w:val="0"/>
          <w:kern w:val="0"/>
          <w:sz w:val="20"/>
          <w:rtl/>
        </w:rPr>
        <w:t>ن العرقيت</w:t>
      </w:r>
      <w:r w:rsidRPr="00523D40">
        <w:rPr>
          <w:rFonts w:hint="cs"/>
          <w:color w:val="000000"/>
          <w:spacing w:val="0"/>
          <w:kern w:val="0"/>
          <w:sz w:val="20"/>
          <w:rtl/>
        </w:rPr>
        <w:t>ا</w:t>
      </w:r>
      <w:r w:rsidRPr="00523D40">
        <w:rPr>
          <w:color w:val="000000"/>
          <w:spacing w:val="0"/>
          <w:kern w:val="0"/>
          <w:sz w:val="20"/>
          <w:rtl/>
        </w:rPr>
        <w:t>ن السلطة</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ويعترف</w:t>
      </w:r>
      <w:r w:rsidRPr="00523D40">
        <w:rPr>
          <w:color w:val="000000"/>
          <w:spacing w:val="0"/>
          <w:kern w:val="0"/>
          <w:sz w:val="20"/>
          <w:rtl/>
        </w:rPr>
        <w:t xml:space="preserve"> بحقوق الإنسان الأساسية لجميع البورونديي</w:t>
      </w:r>
      <w:r w:rsidRPr="00523D40">
        <w:rPr>
          <w:rFonts w:hint="cs"/>
          <w:color w:val="000000"/>
          <w:spacing w:val="0"/>
          <w:kern w:val="0"/>
          <w:sz w:val="20"/>
          <w:rtl/>
        </w:rPr>
        <w:t>ن.</w:t>
      </w:r>
      <w:r w:rsidRPr="00523D40">
        <w:rPr>
          <w:color w:val="000000"/>
          <w:spacing w:val="0"/>
          <w:kern w:val="0"/>
          <w:sz w:val="20"/>
          <w:rtl/>
        </w:rPr>
        <w:t xml:space="preserve"> ويكفل</w:t>
      </w:r>
      <w:r w:rsidRPr="00523D40">
        <w:rPr>
          <w:rFonts w:hint="cs"/>
          <w:color w:val="000000"/>
          <w:spacing w:val="0"/>
          <w:kern w:val="0"/>
          <w:sz w:val="20"/>
          <w:rtl/>
        </w:rPr>
        <w:t xml:space="preserve"> هذا</w:t>
      </w:r>
      <w:r w:rsidRPr="00523D40">
        <w:rPr>
          <w:color w:val="000000"/>
          <w:spacing w:val="0"/>
          <w:kern w:val="0"/>
          <w:sz w:val="20"/>
          <w:rtl/>
        </w:rPr>
        <w:t xml:space="preserve"> الدستور</w:t>
      </w:r>
      <w:r w:rsidRPr="00523D40">
        <w:rPr>
          <w:rFonts w:hint="cs"/>
          <w:color w:val="000000"/>
          <w:spacing w:val="0"/>
          <w:kern w:val="0"/>
          <w:sz w:val="20"/>
          <w:rtl/>
        </w:rPr>
        <w:t xml:space="preserve"> إقامة</w:t>
      </w:r>
      <w:r w:rsidRPr="00523D40">
        <w:rPr>
          <w:color w:val="000000"/>
          <w:spacing w:val="0"/>
          <w:kern w:val="0"/>
          <w:sz w:val="20"/>
          <w:rtl/>
        </w:rPr>
        <w:t xml:space="preserve"> نظام</w:t>
      </w:r>
      <w:r w:rsidRPr="00523D40">
        <w:rPr>
          <w:rFonts w:hint="cs"/>
          <w:color w:val="000000"/>
          <w:spacing w:val="0"/>
          <w:kern w:val="0"/>
          <w:sz w:val="20"/>
          <w:rtl/>
        </w:rPr>
        <w:t xml:space="preserve"> يستند إلى</w:t>
      </w:r>
      <w:r w:rsidRPr="00523D40">
        <w:rPr>
          <w:color w:val="000000"/>
          <w:spacing w:val="0"/>
          <w:kern w:val="0"/>
          <w:sz w:val="20"/>
          <w:rtl/>
        </w:rPr>
        <w:t xml:space="preserve"> التعددية الحزبية و</w:t>
      </w:r>
      <w:r w:rsidRPr="00523D40">
        <w:rPr>
          <w:rFonts w:hint="cs"/>
          <w:color w:val="000000"/>
          <w:spacing w:val="0"/>
          <w:kern w:val="0"/>
          <w:sz w:val="20"/>
          <w:rtl/>
        </w:rPr>
        <w:t xml:space="preserve">يضمن </w:t>
      </w:r>
      <w:r w:rsidRPr="00523D40">
        <w:rPr>
          <w:color w:val="000000"/>
          <w:spacing w:val="0"/>
          <w:kern w:val="0"/>
          <w:sz w:val="20"/>
          <w:rtl/>
        </w:rPr>
        <w:t>حرية التعبير والصحافة</w:t>
      </w:r>
      <w:r w:rsidRPr="00523D40">
        <w:rPr>
          <w:rFonts w:hint="cs"/>
          <w:color w:val="000000"/>
          <w:spacing w:val="0"/>
          <w:kern w:val="0"/>
          <w:sz w:val="20"/>
          <w:rtl/>
        </w:rPr>
        <w:t xml:space="preserve">. وأجريت </w:t>
      </w:r>
      <w:r w:rsidRPr="00523D40">
        <w:rPr>
          <w:color w:val="000000"/>
          <w:spacing w:val="0"/>
          <w:kern w:val="0"/>
          <w:sz w:val="20"/>
          <w:rtl/>
        </w:rPr>
        <w:t>أيضا</w:t>
      </w:r>
      <w:r w:rsidRPr="00523D40">
        <w:rPr>
          <w:rFonts w:hint="cs"/>
          <w:color w:val="000000"/>
          <w:spacing w:val="0"/>
          <w:kern w:val="0"/>
          <w:sz w:val="20"/>
          <w:rtl/>
        </w:rPr>
        <w:t>ً</w:t>
      </w:r>
      <w:r w:rsidRPr="00523D40">
        <w:rPr>
          <w:color w:val="000000"/>
          <w:spacing w:val="0"/>
          <w:kern w:val="0"/>
          <w:sz w:val="20"/>
          <w:rtl/>
        </w:rPr>
        <w:t xml:space="preserve"> في عام 2005 انتخابات عامة </w:t>
      </w:r>
      <w:r w:rsidRPr="00523D40">
        <w:rPr>
          <w:rFonts w:hint="cs"/>
          <w:color w:val="000000"/>
          <w:spacing w:val="0"/>
          <w:kern w:val="0"/>
          <w:sz w:val="20"/>
          <w:rtl/>
        </w:rPr>
        <w:t>أصبح فيها المجلس الوطني للدفاع عن الديمقراطية - قوات الدفاع عن الديمقراطية هو</w:t>
      </w:r>
      <w:r w:rsidRPr="00523D40">
        <w:rPr>
          <w:color w:val="000000"/>
          <w:spacing w:val="0"/>
          <w:kern w:val="0"/>
          <w:sz w:val="20"/>
          <w:rtl/>
        </w:rPr>
        <w:t xml:space="preserve"> الحزب الحاكم</w:t>
      </w:r>
      <w:r w:rsidRPr="00523D40">
        <w:rPr>
          <w:rFonts w:hint="cs"/>
          <w:color w:val="000000"/>
          <w:spacing w:val="0"/>
          <w:kern w:val="0"/>
          <w:sz w:val="20"/>
          <w:rtl/>
        </w:rPr>
        <w:t xml:space="preserve"> في البلد. و</w:t>
      </w:r>
      <w:r w:rsidRPr="00523D40">
        <w:rPr>
          <w:color w:val="000000"/>
          <w:spacing w:val="0"/>
          <w:kern w:val="0"/>
          <w:sz w:val="20"/>
          <w:rtl/>
        </w:rPr>
        <w:t>في</w:t>
      </w:r>
      <w:r w:rsidRPr="00523D40">
        <w:rPr>
          <w:rFonts w:hint="cs"/>
          <w:color w:val="000000"/>
          <w:spacing w:val="0"/>
          <w:kern w:val="0"/>
          <w:sz w:val="20"/>
          <w:rtl/>
        </w:rPr>
        <w:t xml:space="preserve"> نيسان/</w:t>
      </w:r>
      <w:r w:rsidRPr="00523D40">
        <w:rPr>
          <w:color w:val="000000"/>
          <w:spacing w:val="0"/>
          <w:kern w:val="0"/>
          <w:sz w:val="20"/>
          <w:rtl/>
        </w:rPr>
        <w:t>أبريل 2009، تحولت</w:t>
      </w:r>
      <w:r w:rsidRPr="00523D40">
        <w:rPr>
          <w:rFonts w:hint="cs"/>
          <w:color w:val="000000"/>
          <w:spacing w:val="0"/>
          <w:kern w:val="0"/>
          <w:sz w:val="20"/>
          <w:rtl/>
        </w:rPr>
        <w:t xml:space="preserve"> حركة</w:t>
      </w:r>
      <w:r w:rsidRPr="00523D40">
        <w:rPr>
          <w:color w:val="000000"/>
          <w:spacing w:val="0"/>
          <w:kern w:val="0"/>
          <w:sz w:val="20"/>
          <w:rtl/>
        </w:rPr>
        <w:t xml:space="preserve"> قوات التحرير الوطنية </w:t>
      </w:r>
      <w:r w:rsidRPr="00523D40">
        <w:rPr>
          <w:rFonts w:hint="cs"/>
          <w:color w:val="000000"/>
          <w:spacing w:val="0"/>
          <w:kern w:val="0"/>
          <w:sz w:val="20"/>
          <w:rtl/>
        </w:rPr>
        <w:t xml:space="preserve">بصورة رسمية إلى </w:t>
      </w:r>
      <w:r w:rsidRPr="00523D40">
        <w:rPr>
          <w:color w:val="000000"/>
          <w:spacing w:val="0"/>
          <w:kern w:val="0"/>
          <w:sz w:val="20"/>
          <w:rtl/>
        </w:rPr>
        <w:t>حزب سياسي</w:t>
      </w:r>
      <w:r w:rsidRPr="00523D40">
        <w:rPr>
          <w:color w:val="000000"/>
          <w:spacing w:val="0"/>
          <w:kern w:val="0"/>
          <w:sz w:val="20"/>
          <w:rtl/>
          <w:lang w:val="en-CA"/>
        </w:rPr>
        <w:t>.</w:t>
      </w:r>
      <w:r w:rsidRPr="00523D40">
        <w:rPr>
          <w:rFonts w:hint="cs"/>
          <w:color w:val="000000"/>
          <w:spacing w:val="0"/>
          <w:kern w:val="0"/>
          <w:sz w:val="20"/>
          <w:rtl/>
        </w:rPr>
        <w:t xml:space="preserve"> وبعد نزع سلاح حركة قوات التحرير الوطنية واعتمادها كحزب سياسي، يجري التعامل الآن مع أية أعمال عنف ترتكبها باعتبارها جرائم، وقد تراجع عدد </w:t>
      </w:r>
      <w:r w:rsidRPr="00523D40">
        <w:rPr>
          <w:rFonts w:hint="cs"/>
          <w:color w:val="000000"/>
          <w:spacing w:val="0"/>
          <w:kern w:val="0"/>
          <w:sz w:val="20"/>
          <w:rtl/>
          <w:lang/>
        </w:rPr>
        <w:t xml:space="preserve">الانتهاكات </w:t>
      </w:r>
      <w:r w:rsidRPr="00523D40">
        <w:rPr>
          <w:rFonts w:hint="cs"/>
          <w:color w:val="000000"/>
          <w:spacing w:val="0"/>
          <w:kern w:val="0"/>
          <w:sz w:val="20"/>
          <w:rtl/>
        </w:rPr>
        <w:t>المنسوبة إليها</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30"/>
      </w:r>
      <w:r w:rsidRPr="00523D40">
        <w:rPr>
          <w:rFonts w:hint="cs"/>
          <w:color w:val="000000"/>
          <w:spacing w:val="0"/>
          <w:kern w:val="0"/>
          <w:sz w:val="20"/>
          <w:szCs w:val="28"/>
          <w:vertAlign w:val="superscript"/>
          <w:rtl/>
          <w:lang w:val="en-CA"/>
        </w:rPr>
        <w:t>)</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 xml:space="preserve">ولا يزال </w:t>
      </w:r>
      <w:r w:rsidRPr="00523D40">
        <w:rPr>
          <w:color w:val="000000"/>
          <w:spacing w:val="0"/>
          <w:kern w:val="0"/>
          <w:sz w:val="20"/>
          <w:rtl/>
        </w:rPr>
        <w:t>الإفلات من العقاب سائدا و</w:t>
      </w:r>
      <w:r w:rsidRPr="00523D40">
        <w:rPr>
          <w:rFonts w:hint="cs"/>
          <w:color w:val="000000"/>
          <w:spacing w:val="0"/>
          <w:kern w:val="0"/>
          <w:sz w:val="20"/>
          <w:rtl/>
        </w:rPr>
        <w:t xml:space="preserve">هناك "نزوع إلى طلب </w:t>
      </w:r>
      <w:r w:rsidRPr="00523D40">
        <w:rPr>
          <w:color w:val="000000"/>
          <w:spacing w:val="0"/>
          <w:kern w:val="0"/>
          <w:sz w:val="20"/>
          <w:rtl/>
        </w:rPr>
        <w:t>العدالة</w:t>
      </w:r>
      <w:r w:rsidRPr="00523D40">
        <w:rPr>
          <w:rFonts w:hint="cs"/>
          <w:color w:val="000000"/>
          <w:spacing w:val="0"/>
          <w:kern w:val="0"/>
          <w:sz w:val="20"/>
          <w:rtl/>
        </w:rPr>
        <w:t xml:space="preserve"> في الشوارع"</w:t>
      </w:r>
      <w:r w:rsidRPr="00523D40">
        <w:rPr>
          <w:color w:val="000000"/>
          <w:spacing w:val="0"/>
          <w:kern w:val="0"/>
          <w:sz w:val="20"/>
          <w:rtl/>
        </w:rPr>
        <w:t xml:space="preserve"> </w:t>
      </w:r>
      <w:r w:rsidRPr="00523D40">
        <w:rPr>
          <w:rFonts w:hint="cs"/>
          <w:color w:val="000000"/>
          <w:spacing w:val="0"/>
          <w:kern w:val="0"/>
          <w:sz w:val="20"/>
          <w:rtl/>
        </w:rPr>
        <w:t>إذا لم يتسن تحقيقها</w:t>
      </w:r>
      <w:r w:rsidRPr="00523D40">
        <w:rPr>
          <w:color w:val="000000"/>
          <w:spacing w:val="0"/>
          <w:kern w:val="0"/>
          <w:sz w:val="20"/>
          <w:rtl/>
        </w:rPr>
        <w:t xml:space="preserve"> في المحاكم</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31"/>
      </w:r>
      <w:r w:rsidRPr="00523D40">
        <w:rPr>
          <w:rFonts w:hint="cs"/>
          <w:color w:val="000000"/>
          <w:spacing w:val="0"/>
          <w:kern w:val="0"/>
          <w:sz w:val="20"/>
          <w:szCs w:val="28"/>
          <w:vertAlign w:val="superscript"/>
          <w:rtl/>
          <w:lang w:val="en-CA"/>
        </w:rPr>
        <w:t>)</w:t>
      </w:r>
      <w:r w:rsidRPr="00523D40">
        <w:rPr>
          <w:rFonts w:hint="cs"/>
          <w:color w:val="000000"/>
          <w:spacing w:val="0"/>
          <w:kern w:val="0"/>
          <w:sz w:val="20"/>
          <w:rtl/>
        </w:rPr>
        <w:t xml:space="preserve">. </w:t>
      </w:r>
      <w:r w:rsidRPr="00523D40">
        <w:rPr>
          <w:color w:val="000000"/>
          <w:spacing w:val="0"/>
          <w:kern w:val="0"/>
          <w:sz w:val="20"/>
          <w:rtl/>
        </w:rPr>
        <w:t>وت</w:t>
      </w:r>
      <w:r w:rsidRPr="00523D40">
        <w:rPr>
          <w:rFonts w:hint="cs"/>
          <w:color w:val="000000"/>
          <w:spacing w:val="0"/>
          <w:kern w:val="0"/>
          <w:sz w:val="20"/>
          <w:rtl/>
        </w:rPr>
        <w:t xml:space="preserve">رى </w:t>
      </w:r>
      <w:r w:rsidRPr="00523D40">
        <w:rPr>
          <w:color w:val="000000"/>
          <w:spacing w:val="0"/>
          <w:kern w:val="0"/>
          <w:sz w:val="20"/>
          <w:rtl/>
        </w:rPr>
        <w:t xml:space="preserve">الدولة الطرف أن التقييم </w:t>
      </w:r>
      <w:r w:rsidRPr="00523D40">
        <w:rPr>
          <w:rFonts w:hint="cs"/>
          <w:color w:val="000000"/>
          <w:spacing w:val="0"/>
          <w:kern w:val="0"/>
          <w:sz w:val="20"/>
          <w:rtl/>
        </w:rPr>
        <w:t xml:space="preserve">المذكور يجسد </w:t>
      </w:r>
      <w:r w:rsidRPr="00523D40">
        <w:rPr>
          <w:color w:val="000000"/>
          <w:spacing w:val="0"/>
          <w:kern w:val="0"/>
          <w:sz w:val="20"/>
          <w:rtl/>
        </w:rPr>
        <w:t>الحالة في بوروندي</w:t>
      </w:r>
      <w:r w:rsidRPr="00523D40">
        <w:rPr>
          <w:rFonts w:hint="cs"/>
          <w:color w:val="000000"/>
          <w:spacing w:val="0"/>
          <w:kern w:val="0"/>
          <w:sz w:val="20"/>
          <w:rtl/>
        </w:rPr>
        <w:t xml:space="preserve"> كما وصفتها </w:t>
      </w:r>
      <w:r w:rsidRPr="00523D40">
        <w:rPr>
          <w:color w:val="000000"/>
          <w:spacing w:val="0"/>
          <w:kern w:val="0"/>
          <w:sz w:val="20"/>
          <w:rtl/>
        </w:rPr>
        <w:t xml:space="preserve">التقارير </w:t>
      </w:r>
      <w:r w:rsidRPr="00523D40">
        <w:rPr>
          <w:rFonts w:hint="cs"/>
          <w:color w:val="000000"/>
          <w:spacing w:val="0"/>
          <w:kern w:val="0"/>
          <w:sz w:val="20"/>
          <w:rtl/>
        </w:rPr>
        <w:t>التي أشارت إليها</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أمام اللجنة (انظر الفقرة</w:t>
      </w:r>
      <w:r w:rsidRPr="00523D40">
        <w:rPr>
          <w:rFonts w:hint="cs"/>
          <w:color w:val="000000"/>
          <w:spacing w:val="0"/>
          <w:kern w:val="0"/>
          <w:sz w:val="20"/>
          <w:rtl/>
        </w:rPr>
        <w:t xml:space="preserve"> 3-1</w:t>
      </w:r>
      <w:r w:rsidRPr="00523D40">
        <w:rPr>
          <w:color w:val="000000"/>
          <w:spacing w:val="0"/>
          <w:kern w:val="0"/>
          <w:sz w:val="20"/>
          <w:rtl/>
        </w:rPr>
        <w:t xml:space="preserve"> أعلاه</w:t>
      </w:r>
      <w:r w:rsidRPr="00523D40">
        <w:rPr>
          <w:rFonts w:hint="cs"/>
          <w:color w:val="000000"/>
          <w:spacing w:val="0"/>
          <w:kern w:val="0"/>
          <w:sz w:val="20"/>
          <w:rtl/>
        </w:rPr>
        <w:t>).</w:t>
      </w:r>
    </w:p>
    <w:p w:rsidR="00523D40" w:rsidRPr="00523D40" w:rsidRDefault="00523D40" w:rsidP="00523D40">
      <w:pPr>
        <w:pStyle w:val="SingleTxtGA"/>
        <w:jc w:val="lowKashida"/>
        <w:rPr>
          <w:color w:val="000000"/>
          <w:spacing w:val="0"/>
          <w:kern w:val="0"/>
          <w:sz w:val="20"/>
          <w:szCs w:val="20"/>
          <w:rtl/>
        </w:rPr>
      </w:pPr>
      <w:r w:rsidRPr="00523D40">
        <w:rPr>
          <w:color w:val="000000"/>
          <w:spacing w:val="0"/>
          <w:kern w:val="0"/>
          <w:sz w:val="20"/>
          <w:rtl/>
          <w:lang w:val="en-CA"/>
        </w:rPr>
        <w:t>4-6</w:t>
      </w:r>
      <w:r w:rsidRPr="00523D40">
        <w:rPr>
          <w:color w:val="000000"/>
          <w:spacing w:val="0"/>
          <w:kern w:val="0"/>
          <w:sz w:val="20"/>
          <w:rtl/>
          <w:lang w:val="en-CA"/>
        </w:rPr>
        <w:tab/>
      </w:r>
      <w:r w:rsidRPr="00523D40">
        <w:rPr>
          <w:rFonts w:hint="cs"/>
          <w:color w:val="000000"/>
          <w:spacing w:val="0"/>
          <w:kern w:val="0"/>
          <w:sz w:val="20"/>
          <w:rtl/>
        </w:rPr>
        <w:t>وتؤكد</w:t>
      </w:r>
      <w:r w:rsidRPr="00523D40">
        <w:rPr>
          <w:color w:val="000000"/>
          <w:spacing w:val="0"/>
          <w:kern w:val="0"/>
          <w:sz w:val="20"/>
          <w:rtl/>
        </w:rPr>
        <w:t xml:space="preserve"> الدولة الطرف أنها لا ترغب في التقليل من</w:t>
      </w:r>
      <w:r w:rsidRPr="00523D40">
        <w:rPr>
          <w:rFonts w:hint="cs"/>
          <w:color w:val="000000"/>
          <w:spacing w:val="0"/>
          <w:kern w:val="0"/>
          <w:sz w:val="20"/>
          <w:rtl/>
        </w:rPr>
        <w:t xml:space="preserve"> شأن </w:t>
      </w:r>
      <w:r w:rsidRPr="00523D40">
        <w:rPr>
          <w:color w:val="000000"/>
          <w:spacing w:val="0"/>
          <w:kern w:val="0"/>
          <w:sz w:val="20"/>
          <w:rtl/>
        </w:rPr>
        <w:t>ال</w:t>
      </w:r>
      <w:r w:rsidRPr="00523D40">
        <w:rPr>
          <w:rFonts w:hint="cs"/>
          <w:color w:val="000000"/>
          <w:spacing w:val="0"/>
          <w:kern w:val="0"/>
          <w:sz w:val="20"/>
          <w:rtl/>
        </w:rPr>
        <w:t>شواغل</w:t>
      </w:r>
      <w:r w:rsidRPr="00523D40">
        <w:rPr>
          <w:color w:val="000000"/>
          <w:spacing w:val="0"/>
          <w:kern w:val="0"/>
          <w:sz w:val="20"/>
          <w:rtl/>
        </w:rPr>
        <w:t xml:space="preserve"> التي</w:t>
      </w:r>
      <w:r w:rsidRPr="00523D40">
        <w:rPr>
          <w:rFonts w:hint="cs"/>
          <w:color w:val="000000"/>
          <w:spacing w:val="0"/>
          <w:kern w:val="0"/>
          <w:sz w:val="20"/>
          <w:rtl/>
        </w:rPr>
        <w:t xml:space="preserve"> قد</w:t>
      </w:r>
      <w:r w:rsidRPr="00523D40">
        <w:rPr>
          <w:color w:val="000000"/>
          <w:spacing w:val="0"/>
          <w:kern w:val="0"/>
          <w:sz w:val="20"/>
          <w:rtl/>
        </w:rPr>
        <w:t xml:space="preserve"> </w:t>
      </w:r>
      <w:r w:rsidRPr="00523D40">
        <w:rPr>
          <w:rFonts w:hint="cs"/>
          <w:color w:val="000000"/>
          <w:spacing w:val="0"/>
          <w:kern w:val="0"/>
          <w:sz w:val="20"/>
          <w:rtl/>
        </w:rPr>
        <w:t>يجوز الإعراب عنها</w:t>
      </w:r>
      <w:r w:rsidRPr="00523D40">
        <w:rPr>
          <w:color w:val="000000"/>
          <w:spacing w:val="0"/>
          <w:kern w:val="0"/>
          <w:sz w:val="20"/>
          <w:rtl/>
        </w:rPr>
        <w:t xml:space="preserve"> فيما يتعلق بالحالة الراهنة لحقوق الإنسان في بوروندي، </w:t>
      </w:r>
      <w:r w:rsidRPr="00523D40">
        <w:rPr>
          <w:rFonts w:hint="cs"/>
          <w:color w:val="000000"/>
          <w:spacing w:val="0"/>
          <w:kern w:val="0"/>
          <w:sz w:val="20"/>
          <w:rtl/>
        </w:rPr>
        <w:t>إلاّ أنها ترى أنه ليس هناك</w:t>
      </w:r>
      <w:r w:rsidRPr="00523D40">
        <w:rPr>
          <w:color w:val="000000"/>
          <w:spacing w:val="0"/>
          <w:kern w:val="0"/>
          <w:sz w:val="20"/>
          <w:rtl/>
        </w:rPr>
        <w:t xml:space="preserve"> شك في أن</w:t>
      </w:r>
      <w:r w:rsidRPr="00523D40">
        <w:rPr>
          <w:color w:val="000000"/>
          <w:spacing w:val="0"/>
          <w:kern w:val="0"/>
          <w:sz w:val="20"/>
          <w:rtl/>
          <w:lang w:val="en-CA"/>
        </w:rPr>
        <w:t xml:space="preserve"> الظروف المشار إليها في التقارير </w:t>
      </w:r>
      <w:r w:rsidRPr="00523D40">
        <w:rPr>
          <w:rFonts w:hint="cs"/>
          <w:color w:val="000000"/>
          <w:spacing w:val="0"/>
          <w:kern w:val="0"/>
          <w:sz w:val="20"/>
          <w:rtl/>
          <w:lang w:val="en-CA"/>
        </w:rPr>
        <w:t>المذكورة</w:t>
      </w:r>
      <w:r w:rsidRPr="00523D40">
        <w:rPr>
          <w:color w:val="000000"/>
          <w:spacing w:val="0"/>
          <w:kern w:val="0"/>
          <w:sz w:val="20"/>
          <w:rtl/>
          <w:lang w:val="en-CA"/>
        </w:rPr>
        <w:t xml:space="preserve"> أعلاه لا تكفي في حد ذاتها لتأكيد أن الإعادة القسرية </w:t>
      </w:r>
      <w:r w:rsidRPr="00523D40">
        <w:rPr>
          <w:rFonts w:hint="cs"/>
          <w:color w:val="000000"/>
          <w:spacing w:val="0"/>
          <w:kern w:val="0"/>
          <w:sz w:val="20"/>
          <w:rtl/>
          <w:lang w:val="en-CA"/>
        </w:rPr>
        <w:t>لصاحبة</w:t>
      </w:r>
      <w:r w:rsidRPr="00523D40">
        <w:rPr>
          <w:color w:val="000000"/>
          <w:spacing w:val="0"/>
          <w:kern w:val="0"/>
          <w:sz w:val="20"/>
          <w:rtl/>
          <w:lang w:val="en-CA"/>
        </w:rPr>
        <w:t xml:space="preserve"> الشكوى إلى </w:t>
      </w:r>
      <w:r w:rsidRPr="00523D40">
        <w:rPr>
          <w:rFonts w:hint="cs"/>
          <w:color w:val="000000"/>
          <w:spacing w:val="0"/>
          <w:kern w:val="0"/>
          <w:sz w:val="20"/>
          <w:rtl/>
          <w:lang w:val="en-CA"/>
        </w:rPr>
        <w:t>بوروندي</w:t>
      </w:r>
      <w:r w:rsidRPr="00523D40">
        <w:rPr>
          <w:color w:val="000000"/>
          <w:spacing w:val="0"/>
          <w:kern w:val="0"/>
          <w:sz w:val="20"/>
          <w:rtl/>
          <w:lang w:val="en-CA"/>
        </w:rPr>
        <w:t xml:space="preserve"> سيترتب عليه</w:t>
      </w:r>
      <w:r w:rsidRPr="00523D40">
        <w:rPr>
          <w:rFonts w:hint="cs"/>
          <w:color w:val="000000"/>
          <w:spacing w:val="0"/>
          <w:kern w:val="0"/>
          <w:sz w:val="20"/>
          <w:rtl/>
          <w:lang w:val="en-CA"/>
        </w:rPr>
        <w:t>ا</w:t>
      </w:r>
      <w:r w:rsidRPr="00523D40">
        <w:rPr>
          <w:color w:val="000000"/>
          <w:spacing w:val="0"/>
          <w:kern w:val="0"/>
          <w:sz w:val="20"/>
          <w:rtl/>
          <w:lang w:val="en-CA"/>
        </w:rPr>
        <w:t xml:space="preserve"> انتهاك </w:t>
      </w:r>
      <w:r w:rsidRPr="00523D40">
        <w:rPr>
          <w:rFonts w:hint="cs"/>
          <w:color w:val="000000"/>
          <w:spacing w:val="0"/>
          <w:kern w:val="0"/>
          <w:sz w:val="20"/>
          <w:rtl/>
          <w:lang w:val="en-CA"/>
        </w:rPr>
        <w:t>ل</w:t>
      </w:r>
      <w:r w:rsidRPr="00523D40">
        <w:rPr>
          <w:color w:val="000000"/>
          <w:spacing w:val="0"/>
          <w:kern w:val="0"/>
          <w:sz w:val="20"/>
          <w:rtl/>
          <w:lang w:val="en-CA"/>
        </w:rPr>
        <w:t xml:space="preserve">لمادة 3 من الاتفاقية. </w:t>
      </w:r>
      <w:r w:rsidRPr="00523D40">
        <w:rPr>
          <w:rFonts w:hint="cs"/>
          <w:color w:val="000000"/>
          <w:spacing w:val="0"/>
          <w:kern w:val="0"/>
          <w:sz w:val="20"/>
          <w:rtl/>
        </w:rPr>
        <w:t xml:space="preserve">ومن ثم، فإنه </w:t>
      </w:r>
      <w:r w:rsidRPr="00523D40">
        <w:rPr>
          <w:color w:val="000000"/>
          <w:spacing w:val="0"/>
          <w:kern w:val="0"/>
          <w:sz w:val="20"/>
          <w:rtl/>
        </w:rPr>
        <w:t>ينبغي</w:t>
      </w:r>
      <w:r w:rsidRPr="00523D40">
        <w:rPr>
          <w:rFonts w:hint="cs"/>
          <w:color w:val="000000"/>
          <w:spacing w:val="0"/>
          <w:kern w:val="0"/>
          <w:sz w:val="20"/>
          <w:rtl/>
        </w:rPr>
        <w:t xml:space="preserve"> للجنة</w:t>
      </w:r>
      <w:r w:rsidRPr="00523D40">
        <w:rPr>
          <w:color w:val="000000"/>
          <w:spacing w:val="0"/>
          <w:kern w:val="0"/>
          <w:sz w:val="20"/>
          <w:rtl/>
        </w:rPr>
        <w:t xml:space="preserve"> </w:t>
      </w:r>
      <w:r w:rsidRPr="00523D40">
        <w:rPr>
          <w:rFonts w:hint="cs"/>
          <w:color w:val="000000"/>
          <w:spacing w:val="0"/>
          <w:kern w:val="0"/>
          <w:sz w:val="20"/>
          <w:rtl/>
        </w:rPr>
        <w:t>تقييم خطر تعرض صاحبة الشكوى للتعذيب</w:t>
      </w:r>
      <w:r w:rsidRPr="00523D40">
        <w:rPr>
          <w:color w:val="000000"/>
          <w:spacing w:val="0"/>
          <w:kern w:val="0"/>
          <w:sz w:val="20"/>
          <w:rtl/>
        </w:rPr>
        <w:t xml:space="preserve">، على النحو المحدد في المادة 1 من الاتفاقية، بعد </w:t>
      </w:r>
      <w:r w:rsidRPr="00523D40">
        <w:rPr>
          <w:rFonts w:hint="cs"/>
          <w:color w:val="000000"/>
          <w:spacing w:val="0"/>
          <w:kern w:val="0"/>
          <w:sz w:val="20"/>
          <w:rtl/>
        </w:rPr>
        <w:t>إعادتها إلى بوروندي</w:t>
      </w:r>
      <w:r w:rsidRPr="00523D40">
        <w:rPr>
          <w:color w:val="000000"/>
          <w:spacing w:val="0"/>
          <w:kern w:val="0"/>
          <w:sz w:val="20"/>
          <w:rtl/>
          <w:lang w:val="en-CA"/>
        </w:rPr>
        <w:t>.</w:t>
      </w:r>
    </w:p>
    <w:p w:rsidR="00523D40" w:rsidRPr="00523D40" w:rsidRDefault="00523D40" w:rsidP="00523D40">
      <w:pPr>
        <w:pStyle w:val="SingleTxtGA"/>
        <w:jc w:val="lowKashida"/>
        <w:rPr>
          <w:color w:val="000000"/>
          <w:spacing w:val="0"/>
          <w:kern w:val="0"/>
          <w:sz w:val="20"/>
          <w:szCs w:val="20"/>
          <w:rtl/>
        </w:rPr>
      </w:pPr>
      <w:r w:rsidRPr="00523D40">
        <w:rPr>
          <w:color w:val="000000"/>
          <w:spacing w:val="0"/>
          <w:kern w:val="0"/>
          <w:sz w:val="20"/>
          <w:rtl/>
          <w:lang w:val="en-CA"/>
        </w:rPr>
        <w:t>4-7</w:t>
      </w:r>
      <w:r w:rsidRPr="00523D40">
        <w:rPr>
          <w:color w:val="000000"/>
          <w:spacing w:val="0"/>
          <w:kern w:val="0"/>
          <w:sz w:val="20"/>
          <w:rtl/>
          <w:lang w:val="en-CA"/>
        </w:rPr>
        <w:tab/>
      </w:r>
      <w:r w:rsidRPr="00523D40">
        <w:rPr>
          <w:rFonts w:hint="cs"/>
          <w:color w:val="000000"/>
          <w:spacing w:val="0"/>
          <w:kern w:val="0"/>
          <w:sz w:val="20"/>
          <w:rtl/>
          <w:lang w:val="en-CA"/>
        </w:rPr>
        <w:t>و</w:t>
      </w:r>
      <w:r w:rsidRPr="00523D40">
        <w:rPr>
          <w:color w:val="000000"/>
          <w:spacing w:val="0"/>
          <w:kern w:val="0"/>
          <w:sz w:val="20"/>
          <w:rtl/>
        </w:rPr>
        <w:t>ترى الدولة الطرف أن</w:t>
      </w:r>
      <w:r w:rsidRPr="00523D40">
        <w:rPr>
          <w:color w:val="000000"/>
          <w:spacing w:val="0"/>
          <w:kern w:val="0"/>
          <w:sz w:val="20"/>
          <w:rtl/>
          <w:lang w:val="en-CA"/>
        </w:rPr>
        <w:t xml:space="preserve"> </w:t>
      </w:r>
      <w:r w:rsidRPr="00523D40">
        <w:rPr>
          <w:rFonts w:hint="cs"/>
          <w:color w:val="000000"/>
          <w:spacing w:val="0"/>
          <w:kern w:val="0"/>
          <w:sz w:val="20"/>
          <w:rtl/>
          <w:lang w:val="en-CA"/>
        </w:rPr>
        <w:t>السلطات والمحاكم</w:t>
      </w:r>
      <w:r w:rsidRPr="00523D40">
        <w:rPr>
          <w:color w:val="000000"/>
          <w:spacing w:val="0"/>
          <w:kern w:val="0"/>
          <w:sz w:val="20"/>
          <w:rtl/>
          <w:lang w:val="en-CA"/>
        </w:rPr>
        <w:t xml:space="preserve"> السويدية</w:t>
      </w:r>
      <w:r w:rsidRPr="00523D40">
        <w:rPr>
          <w:rFonts w:hint="cs"/>
          <w:color w:val="000000"/>
          <w:spacing w:val="0"/>
          <w:kern w:val="0"/>
          <w:sz w:val="20"/>
          <w:rtl/>
          <w:lang w:val="en-CA"/>
        </w:rPr>
        <w:t xml:space="preserve"> المعنية بالهجرة</w:t>
      </w:r>
      <w:r w:rsidRPr="00523D40">
        <w:rPr>
          <w:color w:val="000000"/>
          <w:spacing w:val="0"/>
          <w:kern w:val="0"/>
          <w:sz w:val="20"/>
          <w:rtl/>
          <w:lang w:val="en-CA"/>
        </w:rPr>
        <w:t xml:space="preserve"> تطبق</w:t>
      </w:r>
      <w:r w:rsidRPr="00523D40">
        <w:rPr>
          <w:rFonts w:hint="cs"/>
          <w:color w:val="000000"/>
          <w:spacing w:val="0"/>
          <w:kern w:val="0"/>
          <w:sz w:val="20"/>
          <w:rtl/>
          <w:lang w:val="en-CA"/>
        </w:rPr>
        <w:t xml:space="preserve"> في تقييمها لخطر التعرض للتعذيب أثناء نظرها في طلب التماس اللجوء بموجب قانون الأجانب</w:t>
      </w:r>
      <w:r w:rsidRPr="00523D40">
        <w:rPr>
          <w:color w:val="000000"/>
          <w:spacing w:val="0"/>
          <w:kern w:val="0"/>
          <w:sz w:val="20"/>
          <w:rtl/>
          <w:lang w:val="en-CA"/>
        </w:rPr>
        <w:t xml:space="preserve"> اختباراً </w:t>
      </w:r>
      <w:r w:rsidRPr="00523D40">
        <w:rPr>
          <w:rFonts w:hint="cs"/>
          <w:color w:val="000000"/>
          <w:spacing w:val="0"/>
          <w:kern w:val="0"/>
          <w:sz w:val="20"/>
          <w:rtl/>
          <w:lang w:val="en-CA"/>
        </w:rPr>
        <w:t xml:space="preserve">مماثلاً للاختبار الذي </w:t>
      </w:r>
      <w:r w:rsidRPr="00523D40">
        <w:rPr>
          <w:color w:val="000000"/>
          <w:spacing w:val="0"/>
          <w:kern w:val="0"/>
          <w:sz w:val="20"/>
          <w:rtl/>
          <w:lang w:val="en-CA"/>
        </w:rPr>
        <w:t xml:space="preserve">تطبقه اللجنة </w:t>
      </w:r>
      <w:r w:rsidRPr="00523D40">
        <w:rPr>
          <w:rFonts w:hint="cs"/>
          <w:color w:val="000000"/>
          <w:spacing w:val="0"/>
          <w:kern w:val="0"/>
          <w:sz w:val="20"/>
          <w:rtl/>
          <w:lang w:val="en-CA"/>
        </w:rPr>
        <w:t>لدى</w:t>
      </w:r>
      <w:r w:rsidRPr="00523D40">
        <w:rPr>
          <w:color w:val="000000"/>
          <w:spacing w:val="0"/>
          <w:kern w:val="0"/>
          <w:sz w:val="20"/>
          <w:rtl/>
          <w:lang w:val="en-CA"/>
        </w:rPr>
        <w:t xml:space="preserve"> بحث </w:t>
      </w:r>
      <w:r w:rsidRPr="00523D40">
        <w:rPr>
          <w:rFonts w:hint="cs"/>
          <w:color w:val="000000"/>
          <w:spacing w:val="0"/>
          <w:kern w:val="0"/>
          <w:sz w:val="20"/>
          <w:rtl/>
          <w:lang w:val="en-CA"/>
        </w:rPr>
        <w:t>بلاغ</w:t>
      </w:r>
      <w:r w:rsidRPr="00523D40">
        <w:rPr>
          <w:color w:val="000000"/>
          <w:spacing w:val="0"/>
          <w:kern w:val="0"/>
          <w:sz w:val="20"/>
          <w:rtl/>
          <w:lang w:val="en-CA"/>
        </w:rPr>
        <w:t xml:space="preserve"> </w:t>
      </w:r>
      <w:r w:rsidRPr="00523D40">
        <w:rPr>
          <w:rFonts w:hint="cs"/>
          <w:color w:val="000000"/>
          <w:spacing w:val="0"/>
          <w:kern w:val="0"/>
          <w:sz w:val="20"/>
          <w:rtl/>
          <w:lang w:val="en-CA"/>
        </w:rPr>
        <w:t xml:space="preserve">لاحق </w:t>
      </w:r>
      <w:r w:rsidRPr="00523D40">
        <w:rPr>
          <w:color w:val="000000"/>
          <w:spacing w:val="0"/>
          <w:kern w:val="0"/>
          <w:sz w:val="20"/>
          <w:rtl/>
          <w:lang w:val="en-CA"/>
        </w:rPr>
        <w:t>بموجب الاتفاقية</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32"/>
      </w:r>
      <w:r w:rsidRPr="00523D40">
        <w:rPr>
          <w:rFonts w:hint="cs"/>
          <w:color w:val="000000"/>
          <w:spacing w:val="0"/>
          <w:kern w:val="0"/>
          <w:sz w:val="20"/>
          <w:szCs w:val="28"/>
          <w:vertAlign w:val="superscript"/>
          <w:rtl/>
          <w:lang w:val="en-CA"/>
        </w:rPr>
        <w:t>)</w:t>
      </w:r>
      <w:r w:rsidRPr="00523D40">
        <w:rPr>
          <w:color w:val="000000"/>
          <w:spacing w:val="0"/>
          <w:kern w:val="0"/>
          <w:sz w:val="20"/>
          <w:rtl/>
          <w:lang w:val="en-CA"/>
        </w:rPr>
        <w:t>.</w:t>
      </w:r>
      <w:r w:rsidRPr="00523D40">
        <w:rPr>
          <w:rFonts w:hint="cs"/>
          <w:color w:val="000000"/>
          <w:spacing w:val="0"/>
          <w:kern w:val="0"/>
          <w:sz w:val="20"/>
          <w:rtl/>
          <w:lang w:val="en-CA"/>
        </w:rPr>
        <w:t xml:space="preserve"> </w:t>
      </w:r>
      <w:r w:rsidRPr="00523D40">
        <w:rPr>
          <w:color w:val="000000"/>
          <w:spacing w:val="0"/>
          <w:kern w:val="0"/>
          <w:sz w:val="20"/>
          <w:rtl/>
        </w:rPr>
        <w:t xml:space="preserve">وتضيف الدولة الطرف </w:t>
      </w:r>
      <w:r w:rsidRPr="00523D40">
        <w:rPr>
          <w:rFonts w:hint="cs"/>
          <w:color w:val="000000"/>
          <w:spacing w:val="0"/>
          <w:kern w:val="0"/>
          <w:sz w:val="20"/>
          <w:rtl/>
        </w:rPr>
        <w:t>أن من الضروري إدراك</w:t>
      </w:r>
      <w:r w:rsidRPr="00523D40">
        <w:rPr>
          <w:color w:val="000000"/>
          <w:spacing w:val="0"/>
          <w:kern w:val="0"/>
          <w:sz w:val="20"/>
          <w:rtl/>
        </w:rPr>
        <w:t xml:space="preserve"> أن السلطات الوطنية </w:t>
      </w:r>
      <w:r w:rsidRPr="00523D40">
        <w:rPr>
          <w:rFonts w:hint="cs"/>
          <w:color w:val="000000"/>
          <w:spacing w:val="0"/>
          <w:kern w:val="0"/>
          <w:sz w:val="20"/>
          <w:rtl/>
        </w:rPr>
        <w:t>مؤهلة تأهيلاً</w:t>
      </w:r>
      <w:r w:rsidRPr="00523D40">
        <w:rPr>
          <w:color w:val="000000"/>
          <w:spacing w:val="0"/>
          <w:kern w:val="0"/>
          <w:sz w:val="20"/>
          <w:rtl/>
        </w:rPr>
        <w:t xml:space="preserve"> ج</w:t>
      </w:r>
      <w:r w:rsidRPr="00523D40">
        <w:rPr>
          <w:rFonts w:hint="cs"/>
          <w:color w:val="000000"/>
          <w:spacing w:val="0"/>
          <w:kern w:val="0"/>
          <w:sz w:val="20"/>
          <w:rtl/>
        </w:rPr>
        <w:t>ي</w:t>
      </w:r>
      <w:r w:rsidRPr="00523D40">
        <w:rPr>
          <w:color w:val="000000"/>
          <w:spacing w:val="0"/>
          <w:kern w:val="0"/>
          <w:sz w:val="20"/>
          <w:rtl/>
        </w:rPr>
        <w:t>دا</w:t>
      </w:r>
      <w:r w:rsidRPr="00523D40">
        <w:rPr>
          <w:rFonts w:hint="cs"/>
          <w:color w:val="000000"/>
          <w:spacing w:val="0"/>
          <w:kern w:val="0"/>
          <w:sz w:val="20"/>
          <w:rtl/>
        </w:rPr>
        <w:t>ً</w:t>
      </w:r>
      <w:r w:rsidRPr="00523D40">
        <w:rPr>
          <w:color w:val="000000"/>
          <w:spacing w:val="0"/>
          <w:kern w:val="0"/>
          <w:sz w:val="20"/>
          <w:rtl/>
        </w:rPr>
        <w:t xml:space="preserve"> لتقييم المعلومات </w:t>
      </w:r>
      <w:r w:rsidRPr="00523D40">
        <w:rPr>
          <w:rFonts w:hint="cs"/>
          <w:color w:val="000000"/>
          <w:spacing w:val="0"/>
          <w:kern w:val="0"/>
          <w:sz w:val="20"/>
          <w:rtl/>
        </w:rPr>
        <w:t>التي يقدمها ملتمس اللجوء وكذلك إفاداته وادعاءاته</w:t>
      </w:r>
      <w:r w:rsidRPr="00523D40">
        <w:rPr>
          <w:color w:val="000000"/>
          <w:spacing w:val="0"/>
          <w:kern w:val="0"/>
          <w:sz w:val="20"/>
          <w:rtl/>
        </w:rPr>
        <w:t xml:space="preserve"> </w:t>
      </w:r>
      <w:r w:rsidRPr="00523D40">
        <w:rPr>
          <w:rFonts w:hint="cs"/>
          <w:color w:val="000000"/>
          <w:spacing w:val="0"/>
          <w:kern w:val="0"/>
          <w:sz w:val="20"/>
          <w:rtl/>
        </w:rPr>
        <w:t>نظراً لما يتاح لها من فرص</w:t>
      </w:r>
      <w:r w:rsidRPr="00523D40">
        <w:rPr>
          <w:color w:val="000000"/>
          <w:spacing w:val="0"/>
          <w:kern w:val="0"/>
          <w:sz w:val="20"/>
          <w:rtl/>
        </w:rPr>
        <w:t xml:space="preserve"> الاتصال المباشر </w:t>
      </w:r>
      <w:r w:rsidRPr="00523D40">
        <w:rPr>
          <w:rFonts w:hint="cs"/>
          <w:color w:val="000000"/>
          <w:spacing w:val="0"/>
          <w:kern w:val="0"/>
          <w:sz w:val="20"/>
          <w:rtl/>
        </w:rPr>
        <w:t>بملتمس اللجوء المعني بالأمر.</w:t>
      </w:r>
      <w:r w:rsidRPr="00523D40">
        <w:rPr>
          <w:color w:val="000000"/>
          <w:spacing w:val="0"/>
          <w:kern w:val="0"/>
          <w:sz w:val="20"/>
          <w:rtl/>
        </w:rPr>
        <w:t xml:space="preserve"> وفي ضوء ما سبق، ت</w:t>
      </w:r>
      <w:r w:rsidRPr="00523D40">
        <w:rPr>
          <w:rFonts w:hint="cs"/>
          <w:color w:val="000000"/>
          <w:spacing w:val="0"/>
          <w:kern w:val="0"/>
          <w:sz w:val="20"/>
          <w:rtl/>
        </w:rPr>
        <w:t>رى</w:t>
      </w:r>
      <w:r w:rsidRPr="00523D40">
        <w:rPr>
          <w:color w:val="000000"/>
          <w:spacing w:val="0"/>
          <w:kern w:val="0"/>
          <w:sz w:val="20"/>
          <w:rtl/>
        </w:rPr>
        <w:t xml:space="preserve"> الدولة</w:t>
      </w:r>
      <w:r w:rsidRPr="00523D40">
        <w:rPr>
          <w:rFonts w:hint="cs"/>
          <w:color w:val="000000"/>
          <w:spacing w:val="0"/>
          <w:kern w:val="0"/>
          <w:sz w:val="20"/>
          <w:rtl/>
        </w:rPr>
        <w:t xml:space="preserve"> أن من الضروري إيلاء أهمية</w:t>
      </w:r>
      <w:r w:rsidRPr="00523D40">
        <w:rPr>
          <w:color w:val="000000"/>
          <w:spacing w:val="0"/>
          <w:kern w:val="0"/>
          <w:sz w:val="20"/>
          <w:rtl/>
        </w:rPr>
        <w:t xml:space="preserve"> </w:t>
      </w:r>
      <w:r w:rsidRPr="00523D40">
        <w:rPr>
          <w:rFonts w:hint="cs"/>
          <w:color w:val="000000"/>
          <w:spacing w:val="0"/>
          <w:kern w:val="0"/>
          <w:sz w:val="20"/>
          <w:rtl/>
        </w:rPr>
        <w:t>كبيرة للتقييم</w:t>
      </w:r>
      <w:r w:rsidRPr="00523D40">
        <w:rPr>
          <w:color w:val="000000"/>
          <w:spacing w:val="0"/>
          <w:kern w:val="0"/>
          <w:sz w:val="20"/>
          <w:rtl/>
        </w:rPr>
        <w:t xml:space="preserve"> الذي </w:t>
      </w:r>
      <w:r w:rsidRPr="00523D40">
        <w:rPr>
          <w:rFonts w:hint="cs"/>
          <w:color w:val="000000"/>
          <w:spacing w:val="0"/>
          <w:kern w:val="0"/>
          <w:sz w:val="20"/>
          <w:rtl/>
        </w:rPr>
        <w:t>أجرته</w:t>
      </w:r>
      <w:r w:rsidRPr="00523D40">
        <w:rPr>
          <w:color w:val="000000"/>
          <w:spacing w:val="0"/>
          <w:kern w:val="0"/>
          <w:sz w:val="20"/>
          <w:rtl/>
        </w:rPr>
        <w:t xml:space="preserve"> سلطات الهجرة السويدية</w:t>
      </w:r>
      <w:r w:rsidRPr="00523D40">
        <w:rPr>
          <w:rFonts w:hint="cs"/>
          <w:color w:val="000000"/>
          <w:spacing w:val="0"/>
          <w:kern w:val="0"/>
          <w:sz w:val="20"/>
          <w:rtl/>
        </w:rPr>
        <w:t>.</w:t>
      </w:r>
    </w:p>
    <w:p w:rsidR="00523D40" w:rsidRPr="00A85948" w:rsidRDefault="00523D40" w:rsidP="00523D40">
      <w:pPr>
        <w:pStyle w:val="SingleTxtGA"/>
        <w:jc w:val="lowKashida"/>
        <w:rPr>
          <w:color w:val="000000"/>
          <w:spacing w:val="-2"/>
          <w:kern w:val="0"/>
          <w:sz w:val="20"/>
          <w:szCs w:val="20"/>
          <w:rtl/>
        </w:rPr>
      </w:pPr>
      <w:r w:rsidRPr="00523D40">
        <w:rPr>
          <w:color w:val="000000"/>
          <w:spacing w:val="0"/>
          <w:kern w:val="0"/>
          <w:sz w:val="20"/>
          <w:rtl/>
          <w:lang w:val="en-CA"/>
        </w:rPr>
        <w:t>4-8</w:t>
      </w:r>
      <w:r w:rsidRPr="00523D40">
        <w:rPr>
          <w:color w:val="000000"/>
          <w:spacing w:val="0"/>
          <w:kern w:val="0"/>
          <w:sz w:val="20"/>
          <w:rtl/>
          <w:lang w:val="en-CA"/>
        </w:rPr>
        <w:tab/>
      </w:r>
      <w:r w:rsidRPr="00523D40">
        <w:rPr>
          <w:rFonts w:hint="cs"/>
          <w:color w:val="000000"/>
          <w:spacing w:val="0"/>
          <w:kern w:val="0"/>
          <w:sz w:val="20"/>
          <w:rtl/>
        </w:rPr>
        <w:t>وفيما يتعلق ب</w:t>
      </w:r>
      <w:r w:rsidRPr="00523D40">
        <w:rPr>
          <w:color w:val="000000"/>
          <w:spacing w:val="0"/>
          <w:kern w:val="0"/>
          <w:sz w:val="20"/>
          <w:rtl/>
        </w:rPr>
        <w:t xml:space="preserve">تقييم </w:t>
      </w:r>
      <w:r w:rsidRPr="00523D40">
        <w:rPr>
          <w:rFonts w:hint="cs"/>
          <w:color w:val="000000"/>
          <w:spacing w:val="0"/>
          <w:kern w:val="0"/>
          <w:sz w:val="20"/>
          <w:rtl/>
        </w:rPr>
        <w:t>مصداقية إفادات صاحبة</w:t>
      </w:r>
      <w:r w:rsidRPr="00523D40">
        <w:rPr>
          <w:color w:val="000000"/>
          <w:spacing w:val="0"/>
          <w:kern w:val="0"/>
          <w:sz w:val="20"/>
          <w:rtl/>
        </w:rPr>
        <w:t xml:space="preserve"> الشكوى، فإن الدولة الطرف </w:t>
      </w:r>
      <w:r w:rsidRPr="00523D40">
        <w:rPr>
          <w:rFonts w:hint="cs"/>
          <w:color w:val="000000"/>
          <w:spacing w:val="0"/>
          <w:kern w:val="0"/>
          <w:sz w:val="20"/>
          <w:rtl/>
        </w:rPr>
        <w:t>تستند</w:t>
      </w:r>
      <w:r w:rsidRPr="00523D40">
        <w:rPr>
          <w:color w:val="000000"/>
          <w:spacing w:val="0"/>
          <w:kern w:val="0"/>
          <w:sz w:val="20"/>
          <w:rtl/>
        </w:rPr>
        <w:t xml:space="preserve"> أساسا</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إلى</w:t>
      </w:r>
      <w:r w:rsidRPr="00523D40">
        <w:rPr>
          <w:color w:val="000000"/>
          <w:spacing w:val="0"/>
          <w:kern w:val="0"/>
          <w:sz w:val="20"/>
          <w:rtl/>
        </w:rPr>
        <w:t xml:space="preserve"> </w:t>
      </w:r>
      <w:r w:rsidRPr="00523D40">
        <w:rPr>
          <w:rFonts w:hint="cs"/>
          <w:color w:val="000000"/>
          <w:spacing w:val="0"/>
          <w:kern w:val="0"/>
          <w:sz w:val="20"/>
          <w:rtl/>
        </w:rPr>
        <w:t>المنطق</w:t>
      </w:r>
      <w:r w:rsidRPr="00523D40">
        <w:rPr>
          <w:color w:val="000000"/>
          <w:spacing w:val="0"/>
          <w:kern w:val="0"/>
          <w:sz w:val="20"/>
          <w:rtl/>
        </w:rPr>
        <w:t xml:space="preserve"> </w:t>
      </w:r>
      <w:r w:rsidRPr="00523D40">
        <w:rPr>
          <w:rFonts w:hint="cs"/>
          <w:color w:val="000000"/>
          <w:spacing w:val="0"/>
          <w:kern w:val="0"/>
          <w:sz w:val="20"/>
          <w:rtl/>
        </w:rPr>
        <w:t xml:space="preserve">المذكور </w:t>
      </w:r>
      <w:r w:rsidRPr="00523D40">
        <w:rPr>
          <w:color w:val="000000"/>
          <w:spacing w:val="0"/>
          <w:kern w:val="0"/>
          <w:sz w:val="20"/>
          <w:rtl/>
        </w:rPr>
        <w:t>في قرار مجلس الهجرة</w:t>
      </w:r>
      <w:r w:rsidRPr="00523D40">
        <w:rPr>
          <w:rFonts w:hint="cs"/>
          <w:color w:val="000000"/>
          <w:spacing w:val="0"/>
          <w:kern w:val="0"/>
          <w:sz w:val="20"/>
          <w:rtl/>
        </w:rPr>
        <w:t xml:space="preserve"> الذي أجرى</w:t>
      </w:r>
      <w:r w:rsidRPr="00523D40">
        <w:rPr>
          <w:color w:val="000000"/>
          <w:spacing w:val="0"/>
          <w:kern w:val="0"/>
          <w:sz w:val="20"/>
          <w:rtl/>
        </w:rPr>
        <w:t xml:space="preserve"> مقابلتين </w:t>
      </w:r>
      <w:r w:rsidRPr="00523D40">
        <w:rPr>
          <w:rFonts w:hint="cs"/>
          <w:color w:val="000000"/>
          <w:spacing w:val="0"/>
          <w:kern w:val="0"/>
          <w:sz w:val="20"/>
          <w:rtl/>
        </w:rPr>
        <w:t>ولقاءً مباشراً</w:t>
      </w:r>
      <w:r w:rsidRPr="00523D40">
        <w:rPr>
          <w:color w:val="000000"/>
          <w:spacing w:val="0"/>
          <w:kern w:val="0"/>
          <w:sz w:val="20"/>
          <w:rtl/>
        </w:rPr>
        <w:t xml:space="preserve"> مع </w:t>
      </w:r>
      <w:r w:rsidRPr="00523D40">
        <w:rPr>
          <w:rFonts w:hint="cs"/>
          <w:color w:val="000000"/>
          <w:spacing w:val="0"/>
          <w:kern w:val="0"/>
          <w:sz w:val="20"/>
          <w:rtl/>
        </w:rPr>
        <w:t>صاحبة</w:t>
      </w:r>
      <w:r w:rsidRPr="00523D40">
        <w:rPr>
          <w:color w:val="000000"/>
          <w:spacing w:val="0"/>
          <w:kern w:val="0"/>
          <w:sz w:val="20"/>
          <w:rtl/>
        </w:rPr>
        <w:t xml:space="preserve"> الشكوى</w:t>
      </w:r>
      <w:r w:rsidRPr="00523D40">
        <w:rPr>
          <w:color w:val="000000"/>
          <w:spacing w:val="0"/>
          <w:kern w:val="0"/>
          <w:sz w:val="20"/>
          <w:rtl/>
          <w:lang w:val="en-CA"/>
        </w:rPr>
        <w:t>.</w:t>
      </w:r>
      <w:r w:rsidRPr="00523D40">
        <w:rPr>
          <w:color w:val="000000"/>
          <w:spacing w:val="0"/>
          <w:kern w:val="0"/>
          <w:sz w:val="20"/>
          <w:rtl/>
        </w:rPr>
        <w:t xml:space="preserve"> وبالإضافة إلى ذلك، </w:t>
      </w:r>
      <w:r w:rsidRPr="00523D40">
        <w:rPr>
          <w:rFonts w:hint="cs"/>
          <w:color w:val="000000"/>
          <w:spacing w:val="0"/>
          <w:kern w:val="0"/>
          <w:sz w:val="20"/>
          <w:rtl/>
        </w:rPr>
        <w:t>ترى</w:t>
      </w:r>
      <w:r w:rsidRPr="00523D40">
        <w:rPr>
          <w:color w:val="000000"/>
          <w:spacing w:val="0"/>
          <w:kern w:val="0"/>
          <w:sz w:val="20"/>
          <w:rtl/>
        </w:rPr>
        <w:t xml:space="preserve"> الدولة الطرف أن من المناسب </w:t>
      </w:r>
      <w:r w:rsidRPr="00523D40">
        <w:rPr>
          <w:rFonts w:hint="cs"/>
          <w:color w:val="000000"/>
          <w:spacing w:val="0"/>
          <w:kern w:val="0"/>
          <w:sz w:val="20"/>
          <w:rtl/>
        </w:rPr>
        <w:t>التأكيد على وجود</w:t>
      </w:r>
      <w:r w:rsidRPr="00523D40">
        <w:rPr>
          <w:color w:val="000000"/>
          <w:spacing w:val="0"/>
          <w:kern w:val="0"/>
          <w:sz w:val="20"/>
          <w:rtl/>
        </w:rPr>
        <w:t xml:space="preserve"> </w:t>
      </w:r>
      <w:r w:rsidRPr="00523D40">
        <w:rPr>
          <w:rFonts w:hint="cs"/>
          <w:color w:val="000000"/>
          <w:spacing w:val="0"/>
          <w:kern w:val="0"/>
          <w:sz w:val="20"/>
          <w:rtl/>
        </w:rPr>
        <w:t>ثغرات</w:t>
      </w:r>
      <w:r w:rsidRPr="00523D40">
        <w:rPr>
          <w:color w:val="000000"/>
          <w:spacing w:val="0"/>
          <w:kern w:val="0"/>
          <w:sz w:val="20"/>
          <w:rtl/>
        </w:rPr>
        <w:t xml:space="preserve"> </w:t>
      </w:r>
      <w:r w:rsidRPr="00523D40">
        <w:rPr>
          <w:rFonts w:hint="cs"/>
          <w:color w:val="000000"/>
          <w:spacing w:val="0"/>
          <w:kern w:val="0"/>
          <w:sz w:val="20"/>
          <w:rtl/>
        </w:rPr>
        <w:t>كبيرة</w:t>
      </w:r>
      <w:r w:rsidRPr="00523D40">
        <w:rPr>
          <w:color w:val="000000"/>
          <w:spacing w:val="0"/>
          <w:kern w:val="0"/>
          <w:sz w:val="20"/>
          <w:rtl/>
        </w:rPr>
        <w:t xml:space="preserve"> في </w:t>
      </w:r>
      <w:r w:rsidRPr="00523D40">
        <w:rPr>
          <w:rFonts w:hint="cs"/>
          <w:color w:val="000000"/>
          <w:spacing w:val="0"/>
          <w:kern w:val="0"/>
          <w:sz w:val="20"/>
          <w:rtl/>
        </w:rPr>
        <w:t>مصداقية التفاصيل</w:t>
      </w:r>
      <w:r w:rsidRPr="00523D40">
        <w:rPr>
          <w:color w:val="000000"/>
          <w:spacing w:val="0"/>
          <w:kern w:val="0"/>
          <w:sz w:val="20"/>
          <w:rtl/>
        </w:rPr>
        <w:t xml:space="preserve"> </w:t>
      </w:r>
      <w:r w:rsidRPr="00523D40">
        <w:rPr>
          <w:rFonts w:hint="cs"/>
          <w:color w:val="000000"/>
          <w:spacing w:val="0"/>
          <w:kern w:val="0"/>
          <w:sz w:val="20"/>
          <w:rtl/>
        </w:rPr>
        <w:t>التي قدمتها</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إلى سلطات الهجرة و</w:t>
      </w:r>
      <w:r w:rsidRPr="00523D40">
        <w:rPr>
          <w:rFonts w:hint="cs"/>
          <w:color w:val="000000"/>
          <w:spacing w:val="0"/>
          <w:kern w:val="0"/>
          <w:sz w:val="20"/>
          <w:rtl/>
        </w:rPr>
        <w:t xml:space="preserve">إلى </w:t>
      </w:r>
      <w:r w:rsidRPr="00523D40">
        <w:rPr>
          <w:color w:val="000000"/>
          <w:spacing w:val="0"/>
          <w:kern w:val="0"/>
          <w:sz w:val="20"/>
          <w:rtl/>
        </w:rPr>
        <w:t>اللجنة. و</w:t>
      </w:r>
      <w:r w:rsidRPr="00523D40">
        <w:rPr>
          <w:rFonts w:hint="cs"/>
          <w:color w:val="000000"/>
          <w:spacing w:val="0"/>
          <w:kern w:val="0"/>
          <w:sz w:val="20"/>
          <w:rtl/>
        </w:rPr>
        <w:t xml:space="preserve">قد تمسك </w:t>
      </w:r>
      <w:r w:rsidRPr="00523D40">
        <w:rPr>
          <w:color w:val="000000"/>
          <w:spacing w:val="0"/>
          <w:kern w:val="0"/>
          <w:sz w:val="20"/>
          <w:rtl/>
        </w:rPr>
        <w:t xml:space="preserve">مجلس الهجرة طوال الإجراءات </w:t>
      </w:r>
      <w:r w:rsidRPr="00523D40">
        <w:rPr>
          <w:rFonts w:hint="cs"/>
          <w:color w:val="000000"/>
          <w:spacing w:val="0"/>
          <w:kern w:val="0"/>
          <w:sz w:val="20"/>
          <w:rtl/>
        </w:rPr>
        <w:t>المتعلقة ب</w:t>
      </w:r>
      <w:r w:rsidRPr="00523D40">
        <w:rPr>
          <w:color w:val="000000"/>
          <w:spacing w:val="0"/>
          <w:kern w:val="0"/>
          <w:sz w:val="20"/>
          <w:rtl/>
        </w:rPr>
        <w:t xml:space="preserve">هذه القضية </w:t>
      </w:r>
      <w:r w:rsidRPr="00523D40">
        <w:rPr>
          <w:rFonts w:hint="cs"/>
          <w:color w:val="000000"/>
          <w:spacing w:val="0"/>
          <w:kern w:val="0"/>
          <w:sz w:val="20"/>
          <w:rtl/>
        </w:rPr>
        <w:t>ب</w:t>
      </w:r>
      <w:r w:rsidRPr="00523D40">
        <w:rPr>
          <w:color w:val="000000"/>
          <w:spacing w:val="0"/>
          <w:kern w:val="0"/>
          <w:sz w:val="20"/>
          <w:rtl/>
        </w:rPr>
        <w:t>أن صاحب</w:t>
      </w:r>
      <w:r w:rsidRPr="00523D40">
        <w:rPr>
          <w:rFonts w:hint="cs"/>
          <w:color w:val="000000"/>
          <w:spacing w:val="0"/>
          <w:kern w:val="0"/>
          <w:sz w:val="20"/>
          <w:rtl/>
        </w:rPr>
        <w:t>ة</w:t>
      </w:r>
      <w:r w:rsidRPr="00523D40">
        <w:rPr>
          <w:color w:val="000000"/>
          <w:spacing w:val="0"/>
          <w:kern w:val="0"/>
          <w:sz w:val="20"/>
          <w:rtl/>
        </w:rPr>
        <w:t xml:space="preserve"> الشكوى </w:t>
      </w:r>
      <w:r w:rsidRPr="00A85948">
        <w:rPr>
          <w:rFonts w:hint="cs"/>
          <w:color w:val="000000"/>
          <w:spacing w:val="-2"/>
          <w:kern w:val="0"/>
          <w:sz w:val="20"/>
          <w:rtl/>
        </w:rPr>
        <w:t>هي نفس</w:t>
      </w:r>
      <w:r w:rsidRPr="00A85948">
        <w:rPr>
          <w:color w:val="000000"/>
          <w:spacing w:val="-2"/>
          <w:kern w:val="0"/>
          <w:sz w:val="20"/>
          <w:rtl/>
        </w:rPr>
        <w:t xml:space="preserve"> الشخص الذي قد</w:t>
      </w:r>
      <w:r w:rsidRPr="00A85948">
        <w:rPr>
          <w:rFonts w:hint="cs"/>
          <w:color w:val="000000"/>
          <w:spacing w:val="-2"/>
          <w:kern w:val="0"/>
          <w:sz w:val="20"/>
          <w:rtl/>
        </w:rPr>
        <w:t>ّ</w:t>
      </w:r>
      <w:r w:rsidRPr="00A85948">
        <w:rPr>
          <w:color w:val="000000"/>
          <w:spacing w:val="-2"/>
          <w:kern w:val="0"/>
          <w:sz w:val="20"/>
          <w:rtl/>
        </w:rPr>
        <w:t xml:space="preserve">م طلب </w:t>
      </w:r>
      <w:r w:rsidRPr="00A85948">
        <w:rPr>
          <w:rFonts w:hint="cs"/>
          <w:color w:val="000000"/>
          <w:spacing w:val="-2"/>
          <w:kern w:val="0"/>
          <w:sz w:val="20"/>
          <w:rtl/>
        </w:rPr>
        <w:t>ال</w:t>
      </w:r>
      <w:r w:rsidRPr="00A85948">
        <w:rPr>
          <w:color w:val="000000"/>
          <w:spacing w:val="-2"/>
          <w:kern w:val="0"/>
          <w:sz w:val="20"/>
          <w:rtl/>
        </w:rPr>
        <w:t xml:space="preserve">حصول على تأشيرة </w:t>
      </w:r>
      <w:r w:rsidRPr="00A85948">
        <w:rPr>
          <w:rFonts w:hint="cs"/>
          <w:color w:val="000000"/>
          <w:spacing w:val="-2"/>
          <w:kern w:val="0"/>
          <w:sz w:val="20"/>
          <w:rtl/>
        </w:rPr>
        <w:t>في</w:t>
      </w:r>
      <w:r w:rsidRPr="00A85948">
        <w:rPr>
          <w:color w:val="000000"/>
          <w:spacing w:val="-2"/>
          <w:kern w:val="0"/>
          <w:sz w:val="20"/>
          <w:rtl/>
        </w:rPr>
        <w:t xml:space="preserve"> السفارة السويدية </w:t>
      </w:r>
      <w:r w:rsidRPr="00A85948">
        <w:rPr>
          <w:rFonts w:hint="cs"/>
          <w:color w:val="000000"/>
          <w:spacing w:val="-2"/>
          <w:kern w:val="0"/>
          <w:sz w:val="20"/>
          <w:rtl/>
        </w:rPr>
        <w:t>ب</w:t>
      </w:r>
      <w:r w:rsidRPr="00A85948">
        <w:rPr>
          <w:color w:val="000000"/>
          <w:spacing w:val="-2"/>
          <w:kern w:val="0"/>
          <w:sz w:val="20"/>
          <w:rtl/>
        </w:rPr>
        <w:t>الجزائر العاصمة في</w:t>
      </w:r>
      <w:r w:rsidR="00A85948" w:rsidRPr="00A85948">
        <w:rPr>
          <w:rFonts w:hint="cs"/>
          <w:color w:val="000000"/>
          <w:spacing w:val="-2"/>
          <w:kern w:val="0"/>
          <w:sz w:val="20"/>
          <w:rtl/>
        </w:rPr>
        <w:t xml:space="preserve"> </w:t>
      </w:r>
      <w:r w:rsidRPr="00A85948">
        <w:rPr>
          <w:color w:val="000000"/>
          <w:spacing w:val="-2"/>
          <w:kern w:val="0"/>
          <w:sz w:val="20"/>
          <w:rtl/>
        </w:rPr>
        <w:t>عام 2006،</w:t>
      </w:r>
      <w:r w:rsidRPr="00A85948">
        <w:rPr>
          <w:rFonts w:hint="cs"/>
          <w:color w:val="000000"/>
          <w:spacing w:val="-2"/>
          <w:kern w:val="0"/>
          <w:sz w:val="20"/>
          <w:rtl/>
        </w:rPr>
        <w:t xml:space="preserve"> وهو ما أعرب</w:t>
      </w:r>
      <w:r w:rsidRPr="00A85948">
        <w:rPr>
          <w:color w:val="000000"/>
          <w:spacing w:val="-2"/>
          <w:kern w:val="0"/>
          <w:sz w:val="20"/>
          <w:rtl/>
        </w:rPr>
        <w:t xml:space="preserve"> عنه سواء في قراره</w:t>
      </w:r>
      <w:r w:rsidRPr="00A85948">
        <w:rPr>
          <w:rFonts w:hint="cs"/>
          <w:color w:val="000000"/>
          <w:spacing w:val="-2"/>
          <w:kern w:val="0"/>
          <w:sz w:val="20"/>
          <w:rtl/>
        </w:rPr>
        <w:t xml:space="preserve"> القاضي</w:t>
      </w:r>
      <w:r w:rsidRPr="00A85948">
        <w:rPr>
          <w:color w:val="000000"/>
          <w:spacing w:val="-2"/>
          <w:kern w:val="0"/>
          <w:sz w:val="20"/>
          <w:rtl/>
        </w:rPr>
        <w:t xml:space="preserve"> برفض طلب</w:t>
      </w:r>
      <w:r w:rsidRPr="00A85948">
        <w:rPr>
          <w:rFonts w:hint="cs"/>
          <w:color w:val="000000"/>
          <w:spacing w:val="-2"/>
          <w:kern w:val="0"/>
          <w:sz w:val="20"/>
          <w:rtl/>
        </w:rPr>
        <w:t xml:space="preserve"> اللجوء الذي قدمته</w:t>
      </w:r>
      <w:r w:rsidRPr="00A85948">
        <w:rPr>
          <w:color w:val="000000"/>
          <w:spacing w:val="-2"/>
          <w:kern w:val="0"/>
          <w:sz w:val="20"/>
          <w:rtl/>
        </w:rPr>
        <w:t xml:space="preserve"> </w:t>
      </w:r>
      <w:r w:rsidRPr="00A85948">
        <w:rPr>
          <w:rFonts w:hint="cs"/>
          <w:color w:val="000000"/>
          <w:spacing w:val="-2"/>
          <w:kern w:val="0"/>
          <w:sz w:val="20"/>
          <w:rtl/>
        </w:rPr>
        <w:t>صاحبة</w:t>
      </w:r>
      <w:r w:rsidRPr="00A85948">
        <w:rPr>
          <w:color w:val="000000"/>
          <w:spacing w:val="-2"/>
          <w:kern w:val="0"/>
          <w:sz w:val="20"/>
          <w:rtl/>
        </w:rPr>
        <w:t xml:space="preserve"> الشكوى </w:t>
      </w:r>
      <w:r w:rsidRPr="00A85948">
        <w:rPr>
          <w:rFonts w:hint="cs"/>
          <w:color w:val="000000"/>
          <w:spacing w:val="-2"/>
          <w:kern w:val="0"/>
          <w:sz w:val="20"/>
          <w:rtl/>
        </w:rPr>
        <w:t>أو في الملاحظات التي عرضها على</w:t>
      </w:r>
      <w:r w:rsidRPr="00A85948">
        <w:rPr>
          <w:color w:val="000000"/>
          <w:spacing w:val="-2"/>
          <w:kern w:val="0"/>
          <w:sz w:val="20"/>
          <w:rtl/>
        </w:rPr>
        <w:t xml:space="preserve"> </w:t>
      </w:r>
      <w:r w:rsidRPr="00A85948">
        <w:rPr>
          <w:rFonts w:hint="cs"/>
          <w:color w:val="000000"/>
          <w:spacing w:val="-2"/>
          <w:kern w:val="0"/>
          <w:sz w:val="20"/>
          <w:rtl/>
        </w:rPr>
        <w:t>محكمة الهجرة</w:t>
      </w:r>
      <w:r w:rsidRPr="00A85948">
        <w:rPr>
          <w:color w:val="000000"/>
          <w:spacing w:val="-2"/>
          <w:kern w:val="0"/>
          <w:sz w:val="20"/>
          <w:rtl/>
        </w:rPr>
        <w:t xml:space="preserve"> بعد</w:t>
      </w:r>
      <w:r w:rsidRPr="00A85948">
        <w:rPr>
          <w:rFonts w:hint="cs"/>
          <w:color w:val="000000"/>
          <w:spacing w:val="-2"/>
          <w:kern w:val="0"/>
          <w:sz w:val="20"/>
          <w:rtl/>
        </w:rPr>
        <w:t xml:space="preserve"> طعن صاحبة</w:t>
      </w:r>
      <w:r w:rsidRPr="00A85948">
        <w:rPr>
          <w:color w:val="000000"/>
          <w:spacing w:val="-2"/>
          <w:kern w:val="0"/>
          <w:sz w:val="20"/>
          <w:rtl/>
        </w:rPr>
        <w:t xml:space="preserve"> الشكوى </w:t>
      </w:r>
      <w:r w:rsidRPr="00A85948">
        <w:rPr>
          <w:rFonts w:hint="cs"/>
          <w:color w:val="000000"/>
          <w:spacing w:val="-2"/>
          <w:kern w:val="0"/>
          <w:sz w:val="20"/>
          <w:rtl/>
        </w:rPr>
        <w:t>في</w:t>
      </w:r>
      <w:r w:rsidRPr="00A85948">
        <w:rPr>
          <w:color w:val="000000"/>
          <w:spacing w:val="-2"/>
          <w:kern w:val="0"/>
          <w:sz w:val="20"/>
          <w:rtl/>
        </w:rPr>
        <w:t xml:space="preserve"> قرار المجلس. </w:t>
      </w:r>
      <w:r w:rsidRPr="00A85948">
        <w:rPr>
          <w:rFonts w:hint="cs"/>
          <w:color w:val="000000"/>
          <w:spacing w:val="-2"/>
          <w:kern w:val="0"/>
          <w:sz w:val="20"/>
          <w:rtl/>
        </w:rPr>
        <w:t>وتتفق ا</w:t>
      </w:r>
      <w:r w:rsidRPr="00A85948">
        <w:rPr>
          <w:color w:val="000000"/>
          <w:spacing w:val="-2"/>
          <w:kern w:val="0"/>
          <w:sz w:val="20"/>
          <w:rtl/>
        </w:rPr>
        <w:t>لدولة الطرف تماما</w:t>
      </w:r>
      <w:r w:rsidRPr="00A85948">
        <w:rPr>
          <w:rFonts w:hint="cs"/>
          <w:color w:val="000000"/>
          <w:spacing w:val="-2"/>
          <w:kern w:val="0"/>
          <w:sz w:val="20"/>
          <w:rtl/>
        </w:rPr>
        <w:t>ً</w:t>
      </w:r>
      <w:r w:rsidRPr="00A85948">
        <w:rPr>
          <w:color w:val="000000"/>
          <w:spacing w:val="-2"/>
          <w:kern w:val="0"/>
          <w:sz w:val="20"/>
          <w:rtl/>
        </w:rPr>
        <w:t xml:space="preserve"> مع هذا الاستنتاج. </w:t>
      </w:r>
      <w:r w:rsidRPr="00A85948">
        <w:rPr>
          <w:rFonts w:hint="cs"/>
          <w:color w:val="000000"/>
          <w:spacing w:val="-2"/>
          <w:kern w:val="0"/>
          <w:sz w:val="20"/>
          <w:rtl/>
        </w:rPr>
        <w:t>وهي ترى أن التفسير الذي أدلت به صاحبة</w:t>
      </w:r>
      <w:r w:rsidRPr="00A85948">
        <w:rPr>
          <w:color w:val="000000"/>
          <w:spacing w:val="-2"/>
          <w:kern w:val="0"/>
          <w:sz w:val="20"/>
          <w:rtl/>
        </w:rPr>
        <w:t xml:space="preserve"> الشكوى </w:t>
      </w:r>
      <w:r w:rsidRPr="00A85948">
        <w:rPr>
          <w:rFonts w:hint="cs"/>
          <w:color w:val="000000"/>
          <w:spacing w:val="-2"/>
          <w:kern w:val="0"/>
          <w:sz w:val="20"/>
          <w:rtl/>
        </w:rPr>
        <w:t>بخصوص الطريقة التي</w:t>
      </w:r>
      <w:r w:rsidRPr="00A85948">
        <w:rPr>
          <w:color w:val="000000"/>
          <w:spacing w:val="-2"/>
          <w:kern w:val="0"/>
          <w:sz w:val="20"/>
          <w:rtl/>
        </w:rPr>
        <w:t xml:space="preserve"> ق</w:t>
      </w:r>
      <w:r w:rsidRPr="00A85948">
        <w:rPr>
          <w:rFonts w:hint="cs"/>
          <w:color w:val="000000"/>
          <w:spacing w:val="-2"/>
          <w:kern w:val="0"/>
          <w:sz w:val="20"/>
          <w:rtl/>
        </w:rPr>
        <w:t>ُ</w:t>
      </w:r>
      <w:r w:rsidRPr="00A85948">
        <w:rPr>
          <w:color w:val="000000"/>
          <w:spacing w:val="-2"/>
          <w:kern w:val="0"/>
          <w:sz w:val="20"/>
          <w:rtl/>
        </w:rPr>
        <w:t>د</w:t>
      </w:r>
      <w:r w:rsidRPr="00A85948">
        <w:rPr>
          <w:rFonts w:hint="cs"/>
          <w:color w:val="000000"/>
          <w:spacing w:val="-2"/>
          <w:kern w:val="0"/>
          <w:sz w:val="20"/>
          <w:rtl/>
        </w:rPr>
        <w:t>ّ</w:t>
      </w:r>
      <w:r w:rsidRPr="00A85948">
        <w:rPr>
          <w:color w:val="000000"/>
          <w:spacing w:val="-2"/>
          <w:kern w:val="0"/>
          <w:sz w:val="20"/>
          <w:rtl/>
        </w:rPr>
        <w:t xml:space="preserve">م </w:t>
      </w:r>
      <w:r w:rsidRPr="00A85948">
        <w:rPr>
          <w:rFonts w:hint="cs"/>
          <w:color w:val="000000"/>
          <w:spacing w:val="-2"/>
          <w:kern w:val="0"/>
          <w:sz w:val="20"/>
          <w:rtl/>
        </w:rPr>
        <w:t>بها طلب الحصول</w:t>
      </w:r>
      <w:r w:rsidRPr="00A85948">
        <w:rPr>
          <w:color w:val="000000"/>
          <w:spacing w:val="-2"/>
          <w:kern w:val="0"/>
          <w:sz w:val="20"/>
          <w:rtl/>
        </w:rPr>
        <w:t xml:space="preserve"> على تأشيرة سويدية</w:t>
      </w:r>
      <w:r w:rsidRPr="00A85948">
        <w:rPr>
          <w:rFonts w:hint="cs"/>
          <w:color w:val="000000"/>
          <w:spacing w:val="-2"/>
          <w:kern w:val="0"/>
          <w:sz w:val="20"/>
          <w:rtl/>
        </w:rPr>
        <w:t xml:space="preserve"> باسمها</w:t>
      </w:r>
      <w:r w:rsidRPr="00A85948">
        <w:rPr>
          <w:color w:val="000000"/>
          <w:spacing w:val="-2"/>
          <w:kern w:val="0"/>
          <w:sz w:val="20"/>
          <w:rtl/>
        </w:rPr>
        <w:t xml:space="preserve"> في الجزائر في عام 2006 </w:t>
      </w:r>
      <w:r w:rsidRPr="00A85948">
        <w:rPr>
          <w:rFonts w:hint="cs"/>
          <w:color w:val="000000"/>
          <w:spacing w:val="-2"/>
          <w:kern w:val="0"/>
          <w:sz w:val="20"/>
          <w:rtl/>
        </w:rPr>
        <w:t>هو تفسير غير موثوق وفضفاض وغير متسق.</w:t>
      </w:r>
      <w:r w:rsidRPr="00A85948">
        <w:rPr>
          <w:color w:val="000000"/>
          <w:spacing w:val="-2"/>
          <w:kern w:val="0"/>
          <w:sz w:val="20"/>
          <w:rtl/>
        </w:rPr>
        <w:t xml:space="preserve"> </w:t>
      </w:r>
    </w:p>
    <w:p w:rsidR="00523D40" w:rsidRPr="00523D40" w:rsidRDefault="00523D40" w:rsidP="00A85948">
      <w:pPr>
        <w:pStyle w:val="SingleTxtGA"/>
        <w:jc w:val="lowKashida"/>
        <w:rPr>
          <w:rFonts w:hint="cs"/>
          <w:color w:val="000000"/>
          <w:spacing w:val="0"/>
          <w:kern w:val="0"/>
          <w:sz w:val="20"/>
          <w:rtl/>
        </w:rPr>
      </w:pPr>
      <w:r w:rsidRPr="00523D40">
        <w:rPr>
          <w:color w:val="000000"/>
          <w:spacing w:val="0"/>
          <w:kern w:val="0"/>
          <w:sz w:val="20"/>
          <w:rtl/>
          <w:lang w:val="en-CA"/>
        </w:rPr>
        <w:t>4-9</w:t>
      </w:r>
      <w:r w:rsidRPr="00523D40">
        <w:rPr>
          <w:color w:val="000000"/>
          <w:spacing w:val="0"/>
          <w:kern w:val="0"/>
          <w:sz w:val="20"/>
          <w:rtl/>
          <w:lang w:val="en-CA"/>
        </w:rPr>
        <w:tab/>
      </w:r>
      <w:r w:rsidRPr="00523D40">
        <w:rPr>
          <w:rFonts w:hint="cs"/>
          <w:color w:val="000000"/>
          <w:spacing w:val="0"/>
          <w:kern w:val="0"/>
          <w:sz w:val="20"/>
          <w:rtl/>
        </w:rPr>
        <w:t>وتدفع</w:t>
      </w:r>
      <w:r w:rsidRPr="00523D40">
        <w:rPr>
          <w:color w:val="000000"/>
          <w:spacing w:val="0"/>
          <w:kern w:val="0"/>
          <w:sz w:val="20"/>
          <w:rtl/>
        </w:rPr>
        <w:t xml:space="preserve"> الدولة الطرف </w:t>
      </w:r>
      <w:r w:rsidRPr="00523D40">
        <w:rPr>
          <w:rFonts w:hint="cs"/>
          <w:color w:val="000000"/>
          <w:spacing w:val="0"/>
          <w:kern w:val="0"/>
          <w:sz w:val="20"/>
          <w:rtl/>
        </w:rPr>
        <w:t>ب</w:t>
      </w:r>
      <w:r w:rsidRPr="00523D40">
        <w:rPr>
          <w:color w:val="000000"/>
          <w:spacing w:val="0"/>
          <w:kern w:val="0"/>
          <w:sz w:val="20"/>
          <w:rtl/>
        </w:rPr>
        <w:t>أن</w:t>
      </w:r>
      <w:r w:rsidRPr="00523D40">
        <w:rPr>
          <w:rFonts w:hint="cs"/>
          <w:color w:val="000000"/>
          <w:spacing w:val="0"/>
          <w:kern w:val="0"/>
          <w:sz w:val="20"/>
          <w:rtl/>
        </w:rPr>
        <w:t xml:space="preserve"> من الضروري ألاّ يكون قد مضى على الصورة التي ترفق</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طلب التأشيرة أكثر من ستة أشهر</w:t>
      </w:r>
      <w:r w:rsidRPr="00523D40">
        <w:rPr>
          <w:rFonts w:hint="cs"/>
          <w:color w:val="000000"/>
          <w:spacing w:val="0"/>
          <w:kern w:val="0"/>
          <w:sz w:val="20"/>
          <w:rtl/>
        </w:rPr>
        <w:t>. و</w:t>
      </w:r>
      <w:r w:rsidRPr="00523D40">
        <w:rPr>
          <w:color w:val="000000"/>
          <w:spacing w:val="0"/>
          <w:kern w:val="0"/>
          <w:sz w:val="20"/>
          <w:rtl/>
        </w:rPr>
        <w:t xml:space="preserve">يجب أن </w:t>
      </w:r>
      <w:r w:rsidRPr="00523D40">
        <w:rPr>
          <w:rFonts w:hint="cs"/>
          <w:color w:val="000000"/>
          <w:spacing w:val="0"/>
          <w:kern w:val="0"/>
          <w:sz w:val="20"/>
          <w:rtl/>
        </w:rPr>
        <w:t xml:space="preserve">يملأ </w:t>
      </w:r>
      <w:r w:rsidRPr="00523D40">
        <w:rPr>
          <w:color w:val="000000"/>
          <w:spacing w:val="0"/>
          <w:kern w:val="0"/>
          <w:sz w:val="20"/>
          <w:rtl/>
        </w:rPr>
        <w:t xml:space="preserve">صاحب الطلب </w:t>
      </w:r>
      <w:r w:rsidRPr="00523D40">
        <w:rPr>
          <w:rFonts w:hint="cs"/>
          <w:color w:val="000000"/>
          <w:spacing w:val="0"/>
          <w:kern w:val="0"/>
          <w:sz w:val="20"/>
          <w:rtl/>
        </w:rPr>
        <w:t xml:space="preserve">ويوقع </w:t>
      </w:r>
      <w:r w:rsidRPr="00523D40">
        <w:rPr>
          <w:color w:val="000000"/>
          <w:spacing w:val="0"/>
          <w:kern w:val="0"/>
          <w:sz w:val="20"/>
          <w:rtl/>
        </w:rPr>
        <w:t>شخصيا</w:t>
      </w:r>
      <w:r w:rsidRPr="00523D40">
        <w:rPr>
          <w:rFonts w:hint="cs"/>
          <w:color w:val="000000"/>
          <w:spacing w:val="0"/>
          <w:kern w:val="0"/>
          <w:sz w:val="20"/>
          <w:rtl/>
        </w:rPr>
        <w:t xml:space="preserve">ً </w:t>
      </w:r>
      <w:r w:rsidRPr="00523D40">
        <w:rPr>
          <w:color w:val="000000"/>
          <w:spacing w:val="0"/>
          <w:kern w:val="0"/>
          <w:sz w:val="20"/>
          <w:rtl/>
        </w:rPr>
        <w:t>طلب التأشير</w:t>
      </w:r>
      <w:r w:rsidRPr="00523D40">
        <w:rPr>
          <w:rFonts w:hint="cs"/>
          <w:color w:val="000000"/>
          <w:spacing w:val="0"/>
          <w:kern w:val="0"/>
          <w:sz w:val="20"/>
          <w:rtl/>
        </w:rPr>
        <w:t xml:space="preserve">ة، وينبغي أن تكون </w:t>
      </w:r>
      <w:r w:rsidRPr="00523D40">
        <w:rPr>
          <w:color w:val="000000"/>
          <w:spacing w:val="0"/>
          <w:kern w:val="0"/>
          <w:sz w:val="20"/>
          <w:rtl/>
        </w:rPr>
        <w:t xml:space="preserve">الوثائق التي </w:t>
      </w:r>
      <w:r w:rsidRPr="00523D40">
        <w:rPr>
          <w:rFonts w:hint="cs"/>
          <w:color w:val="000000"/>
          <w:spacing w:val="0"/>
          <w:kern w:val="0"/>
          <w:sz w:val="20"/>
          <w:rtl/>
        </w:rPr>
        <w:t>ترفق</w:t>
      </w:r>
      <w:r w:rsidRPr="00523D40">
        <w:rPr>
          <w:color w:val="000000"/>
          <w:spacing w:val="0"/>
          <w:kern w:val="0"/>
          <w:sz w:val="20"/>
          <w:rtl/>
        </w:rPr>
        <w:t xml:space="preserve"> بالطلب </w:t>
      </w:r>
      <w:r w:rsidRPr="00523D40">
        <w:rPr>
          <w:rFonts w:hint="cs"/>
          <w:color w:val="000000"/>
          <w:spacing w:val="0"/>
          <w:kern w:val="0"/>
          <w:sz w:val="20"/>
          <w:rtl/>
        </w:rPr>
        <w:t xml:space="preserve">أصلية. وترى الدولة الطرف أن </w:t>
      </w:r>
      <w:r w:rsidRPr="00523D40">
        <w:rPr>
          <w:color w:val="000000"/>
          <w:spacing w:val="0"/>
          <w:kern w:val="0"/>
          <w:sz w:val="20"/>
          <w:rtl/>
        </w:rPr>
        <w:t>هذه الحقائق</w:t>
      </w:r>
      <w:r w:rsidRPr="00523D40">
        <w:rPr>
          <w:rFonts w:hint="cs"/>
          <w:color w:val="000000"/>
          <w:spacing w:val="0"/>
          <w:kern w:val="0"/>
          <w:sz w:val="20"/>
          <w:rtl/>
        </w:rPr>
        <w:t xml:space="preserve"> </w:t>
      </w:r>
      <w:r w:rsidRPr="00523D40">
        <w:rPr>
          <w:color w:val="000000"/>
          <w:spacing w:val="0"/>
          <w:kern w:val="0"/>
          <w:sz w:val="20"/>
          <w:rtl/>
        </w:rPr>
        <w:t>تثير شكوكا</w:t>
      </w:r>
      <w:r w:rsidRPr="00523D40">
        <w:rPr>
          <w:rFonts w:hint="cs"/>
          <w:color w:val="000000"/>
          <w:spacing w:val="0"/>
          <w:kern w:val="0"/>
          <w:sz w:val="20"/>
          <w:rtl/>
        </w:rPr>
        <w:t>ً</w:t>
      </w:r>
      <w:r w:rsidRPr="00523D40">
        <w:rPr>
          <w:color w:val="000000"/>
          <w:spacing w:val="0"/>
          <w:kern w:val="0"/>
          <w:sz w:val="20"/>
          <w:rtl/>
        </w:rPr>
        <w:t xml:space="preserve"> أخرى </w:t>
      </w:r>
      <w:r w:rsidRPr="00523D40">
        <w:rPr>
          <w:rFonts w:hint="cs"/>
          <w:color w:val="000000"/>
          <w:spacing w:val="0"/>
          <w:kern w:val="0"/>
          <w:sz w:val="20"/>
          <w:rtl/>
        </w:rPr>
        <w:t xml:space="preserve">فيما يتعلق بالتفسير الذي أفادت فيه مقدمة الشكوى بأنها </w:t>
      </w:r>
      <w:r w:rsidRPr="00523D40">
        <w:rPr>
          <w:color w:val="000000"/>
          <w:spacing w:val="0"/>
          <w:kern w:val="0"/>
          <w:sz w:val="20"/>
          <w:rtl/>
        </w:rPr>
        <w:t>لم</w:t>
      </w:r>
      <w:r w:rsidR="00A85948">
        <w:rPr>
          <w:rFonts w:hint="cs"/>
          <w:color w:val="000000"/>
          <w:spacing w:val="0"/>
          <w:kern w:val="0"/>
          <w:sz w:val="20"/>
          <w:rtl/>
        </w:rPr>
        <w:t> </w:t>
      </w:r>
      <w:r w:rsidRPr="00523D40">
        <w:rPr>
          <w:color w:val="000000"/>
          <w:spacing w:val="0"/>
          <w:kern w:val="0"/>
          <w:sz w:val="20"/>
          <w:rtl/>
        </w:rPr>
        <w:t xml:space="preserve">تشارك في تقديم </w:t>
      </w:r>
      <w:r w:rsidRPr="00523D40">
        <w:rPr>
          <w:rFonts w:hint="cs"/>
          <w:color w:val="000000"/>
          <w:spacing w:val="0"/>
          <w:kern w:val="0"/>
          <w:sz w:val="20"/>
          <w:rtl/>
        </w:rPr>
        <w:t>طلب التأشيرة إلى</w:t>
      </w:r>
      <w:r w:rsidRPr="00523D40">
        <w:rPr>
          <w:color w:val="000000"/>
          <w:spacing w:val="0"/>
          <w:kern w:val="0"/>
          <w:sz w:val="20"/>
          <w:rtl/>
        </w:rPr>
        <w:t xml:space="preserve"> </w:t>
      </w:r>
      <w:r w:rsidRPr="00523D40">
        <w:rPr>
          <w:rFonts w:hint="cs"/>
          <w:color w:val="000000"/>
          <w:spacing w:val="0"/>
          <w:kern w:val="0"/>
          <w:sz w:val="20"/>
          <w:rtl/>
        </w:rPr>
        <w:t>ا</w:t>
      </w:r>
      <w:r w:rsidRPr="00523D40">
        <w:rPr>
          <w:color w:val="000000"/>
          <w:spacing w:val="0"/>
          <w:kern w:val="0"/>
          <w:sz w:val="20"/>
          <w:rtl/>
        </w:rPr>
        <w:t xml:space="preserve">لسفارة السويدية في الجزائر العاصمة. وعلاوة على ذلك، </w:t>
      </w:r>
      <w:r w:rsidRPr="00523D40">
        <w:rPr>
          <w:rFonts w:hint="cs"/>
          <w:color w:val="000000"/>
          <w:spacing w:val="0"/>
          <w:kern w:val="0"/>
          <w:sz w:val="20"/>
          <w:rtl/>
        </w:rPr>
        <w:t>فقد كانت تقول، إلى اليوم الذي ووجهت فيه ب</w:t>
      </w:r>
      <w:r w:rsidRPr="00523D40">
        <w:rPr>
          <w:color w:val="000000"/>
          <w:spacing w:val="0"/>
          <w:kern w:val="0"/>
          <w:sz w:val="20"/>
          <w:rtl/>
        </w:rPr>
        <w:t xml:space="preserve">تفاصيل طلب التأشيرة، </w:t>
      </w:r>
      <w:r w:rsidRPr="00523D40">
        <w:rPr>
          <w:rFonts w:hint="cs"/>
          <w:color w:val="000000"/>
          <w:spacing w:val="0"/>
          <w:kern w:val="0"/>
          <w:sz w:val="20"/>
          <w:rtl/>
        </w:rPr>
        <w:t>إنها لم تمتلك جواز سفر على الإطلاق.</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خلال المقابلة</w:t>
      </w:r>
      <w:r w:rsidRPr="00523D40">
        <w:rPr>
          <w:rFonts w:hint="cs"/>
          <w:color w:val="000000"/>
          <w:spacing w:val="0"/>
          <w:kern w:val="0"/>
          <w:sz w:val="20"/>
          <w:rtl/>
        </w:rPr>
        <w:t xml:space="preserve"> التي أجريت معها</w:t>
      </w:r>
      <w:r w:rsidRPr="00523D40">
        <w:rPr>
          <w:color w:val="000000"/>
          <w:spacing w:val="0"/>
          <w:kern w:val="0"/>
          <w:sz w:val="20"/>
          <w:rtl/>
        </w:rPr>
        <w:t>،</w:t>
      </w:r>
      <w:r w:rsidRPr="00523D40">
        <w:rPr>
          <w:rFonts w:hint="cs"/>
          <w:color w:val="000000"/>
          <w:spacing w:val="0"/>
          <w:kern w:val="0"/>
          <w:sz w:val="20"/>
          <w:rtl/>
        </w:rPr>
        <w:t xml:space="preserve"> أشارت مع ذلك، حينما ووجهت بمسألة طلب التأشيرة، إلى أنها كانت تحمل جواز سفر وذكرت أنه جواز غير مزيف. وترى</w:t>
      </w:r>
      <w:r w:rsidRPr="00523D40">
        <w:rPr>
          <w:color w:val="000000"/>
          <w:spacing w:val="0"/>
          <w:kern w:val="0"/>
          <w:sz w:val="20"/>
          <w:rtl/>
        </w:rPr>
        <w:t xml:space="preserve"> الدولة الطرف </w:t>
      </w:r>
      <w:r w:rsidRPr="00523D40">
        <w:rPr>
          <w:rFonts w:hint="cs"/>
          <w:color w:val="000000"/>
          <w:spacing w:val="0"/>
          <w:kern w:val="0"/>
          <w:sz w:val="20"/>
          <w:rtl/>
        </w:rPr>
        <w:t>أن إفادة صاحبة</w:t>
      </w:r>
      <w:r w:rsidRPr="00523D40">
        <w:rPr>
          <w:color w:val="000000"/>
          <w:spacing w:val="0"/>
          <w:kern w:val="0"/>
          <w:sz w:val="20"/>
          <w:rtl/>
        </w:rPr>
        <w:t xml:space="preserve"> الشكوى </w:t>
      </w:r>
      <w:r w:rsidRPr="00523D40">
        <w:rPr>
          <w:rFonts w:hint="cs"/>
          <w:color w:val="000000"/>
          <w:spacing w:val="0"/>
          <w:kern w:val="0"/>
          <w:sz w:val="20"/>
          <w:rtl/>
        </w:rPr>
        <w:t>ب</w:t>
      </w:r>
      <w:r w:rsidRPr="00523D40">
        <w:rPr>
          <w:color w:val="000000"/>
          <w:spacing w:val="0"/>
          <w:kern w:val="0"/>
          <w:sz w:val="20"/>
          <w:rtl/>
        </w:rPr>
        <w:t xml:space="preserve">أن </w:t>
      </w:r>
      <w:r w:rsidRPr="00523D40">
        <w:rPr>
          <w:rFonts w:hint="cs"/>
          <w:color w:val="000000"/>
          <w:spacing w:val="0"/>
          <w:kern w:val="0"/>
          <w:sz w:val="20"/>
          <w:rtl/>
        </w:rPr>
        <w:t>ال</w:t>
      </w:r>
      <w:r w:rsidRPr="00523D40">
        <w:rPr>
          <w:color w:val="000000"/>
          <w:spacing w:val="0"/>
          <w:kern w:val="0"/>
          <w:sz w:val="20"/>
          <w:rtl/>
        </w:rPr>
        <w:t xml:space="preserve">اسم </w:t>
      </w:r>
      <w:r w:rsidRPr="00523D40">
        <w:rPr>
          <w:rFonts w:hint="cs"/>
          <w:color w:val="000000"/>
          <w:spacing w:val="0"/>
          <w:kern w:val="0"/>
          <w:sz w:val="20"/>
          <w:rtl/>
        </w:rPr>
        <w:t>الحقيقي</w:t>
      </w:r>
      <w:r w:rsidRPr="00523D40">
        <w:rPr>
          <w:color w:val="000000"/>
          <w:spacing w:val="0"/>
          <w:kern w:val="0"/>
          <w:sz w:val="20"/>
          <w:rtl/>
        </w:rPr>
        <w:t xml:space="preserve"> الوحيد في جواز السفر هو اسمها الأول </w:t>
      </w:r>
      <w:r w:rsidRPr="00523D40">
        <w:rPr>
          <w:rFonts w:hint="cs"/>
          <w:color w:val="000000"/>
          <w:spacing w:val="0"/>
          <w:kern w:val="0"/>
          <w:sz w:val="20"/>
          <w:rtl/>
        </w:rPr>
        <w:t>إفادة غير موثوقة، وكذلك الأمر بالنسبة إلى التفسير الذي أفادت فيه بأن شخصاً آخر يدعى جون قد ساعدها في تقديم طلب الحصول على جواز السفر،</w:t>
      </w:r>
      <w:r w:rsidRPr="00523D40">
        <w:rPr>
          <w:color w:val="000000"/>
          <w:spacing w:val="0"/>
          <w:kern w:val="0"/>
          <w:sz w:val="20"/>
          <w:rtl/>
        </w:rPr>
        <w:t xml:space="preserve"> </w:t>
      </w:r>
      <w:r w:rsidRPr="00523D40">
        <w:rPr>
          <w:rFonts w:hint="cs"/>
          <w:color w:val="000000"/>
          <w:spacing w:val="0"/>
          <w:kern w:val="0"/>
          <w:sz w:val="20"/>
          <w:rtl/>
        </w:rPr>
        <w:t>وأنها فعلت ذلك من أجل مساعدة صديقها.</w:t>
      </w:r>
      <w:r w:rsidRPr="00523D40">
        <w:rPr>
          <w:color w:val="000000"/>
          <w:spacing w:val="0"/>
          <w:kern w:val="0"/>
          <w:sz w:val="20"/>
          <w:rtl/>
        </w:rPr>
        <w:t xml:space="preserve"> وبالإضافة إلى </w:t>
      </w:r>
      <w:r w:rsidRPr="00523D40">
        <w:rPr>
          <w:rFonts w:hint="cs"/>
          <w:color w:val="000000"/>
          <w:spacing w:val="0"/>
          <w:kern w:val="0"/>
          <w:sz w:val="20"/>
          <w:rtl/>
        </w:rPr>
        <w:t>عدم مصداقية ال</w:t>
      </w:r>
      <w:r w:rsidRPr="00523D40">
        <w:rPr>
          <w:color w:val="000000"/>
          <w:spacing w:val="0"/>
          <w:kern w:val="0"/>
          <w:sz w:val="20"/>
          <w:rtl/>
        </w:rPr>
        <w:t>تفسيرات</w:t>
      </w:r>
      <w:r w:rsidRPr="00523D40">
        <w:rPr>
          <w:rFonts w:hint="cs"/>
          <w:color w:val="000000"/>
          <w:spacing w:val="0"/>
          <w:kern w:val="0"/>
          <w:sz w:val="20"/>
          <w:rtl/>
        </w:rPr>
        <w:t xml:space="preserve"> التي قدمتها</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بشأن </w:t>
      </w:r>
      <w:r w:rsidRPr="00523D40">
        <w:rPr>
          <w:rFonts w:hint="cs"/>
          <w:color w:val="000000"/>
          <w:spacing w:val="0"/>
          <w:kern w:val="0"/>
          <w:sz w:val="20"/>
          <w:rtl/>
        </w:rPr>
        <w:t xml:space="preserve">طلب الحصول </w:t>
      </w:r>
      <w:r w:rsidRPr="00523D40">
        <w:rPr>
          <w:color w:val="000000"/>
          <w:spacing w:val="0"/>
          <w:kern w:val="0"/>
          <w:sz w:val="20"/>
          <w:rtl/>
        </w:rPr>
        <w:t>على تأشيرة وجواز سفرها</w:t>
      </w:r>
      <w:r w:rsidRPr="00523D40">
        <w:rPr>
          <w:rFonts w:hint="cs"/>
          <w:color w:val="000000"/>
          <w:spacing w:val="0"/>
          <w:kern w:val="0"/>
          <w:sz w:val="20"/>
          <w:rtl/>
        </w:rPr>
        <w:t xml:space="preserve">، فقد بيّن خبير تابع للمجلس ومختص في تحديد الهوية </w:t>
      </w:r>
      <w:r w:rsidRPr="00523D40">
        <w:rPr>
          <w:color w:val="000000"/>
          <w:spacing w:val="0"/>
          <w:kern w:val="0"/>
          <w:sz w:val="20"/>
          <w:rtl/>
        </w:rPr>
        <w:t xml:space="preserve">أن المقارنة بين صورة </w:t>
      </w:r>
      <w:r w:rsidRPr="00523D40">
        <w:rPr>
          <w:rFonts w:hint="cs"/>
          <w:color w:val="000000"/>
          <w:spacing w:val="0"/>
          <w:kern w:val="0"/>
          <w:sz w:val="20"/>
          <w:rtl/>
        </w:rPr>
        <w:t>صاحبة</w:t>
      </w:r>
      <w:r w:rsidRPr="00523D40">
        <w:rPr>
          <w:color w:val="000000"/>
          <w:spacing w:val="0"/>
          <w:kern w:val="0"/>
          <w:sz w:val="20"/>
          <w:rtl/>
        </w:rPr>
        <w:t xml:space="preserve"> الشكوى </w:t>
      </w:r>
      <w:r w:rsidRPr="00523D40">
        <w:rPr>
          <w:rFonts w:hint="cs"/>
          <w:color w:val="000000"/>
          <w:spacing w:val="0"/>
          <w:kern w:val="0"/>
          <w:sz w:val="20"/>
          <w:rtl/>
        </w:rPr>
        <w:t xml:space="preserve">التي أُخذت وقت تقديمها لطلب اللجوء </w:t>
      </w:r>
      <w:r w:rsidRPr="00523D40">
        <w:rPr>
          <w:color w:val="000000"/>
          <w:spacing w:val="0"/>
          <w:kern w:val="0"/>
          <w:sz w:val="20"/>
          <w:rtl/>
        </w:rPr>
        <w:t xml:space="preserve">والصورة المرفقة بطلب </w:t>
      </w:r>
      <w:r w:rsidRPr="00523D40">
        <w:rPr>
          <w:rFonts w:hint="cs"/>
          <w:color w:val="000000"/>
          <w:spacing w:val="0"/>
          <w:kern w:val="0"/>
          <w:sz w:val="20"/>
          <w:rtl/>
        </w:rPr>
        <w:t>ا</w:t>
      </w:r>
      <w:r w:rsidRPr="00523D40">
        <w:rPr>
          <w:color w:val="000000"/>
          <w:spacing w:val="0"/>
          <w:kern w:val="0"/>
          <w:sz w:val="20"/>
          <w:rtl/>
        </w:rPr>
        <w:t xml:space="preserve">لحصول على </w:t>
      </w:r>
      <w:r w:rsidRPr="00523D40">
        <w:rPr>
          <w:rFonts w:hint="cs"/>
          <w:color w:val="000000"/>
          <w:spacing w:val="0"/>
          <w:kern w:val="0"/>
          <w:sz w:val="20"/>
          <w:rtl/>
        </w:rPr>
        <w:t>ال</w:t>
      </w:r>
      <w:r w:rsidRPr="00523D40">
        <w:rPr>
          <w:color w:val="000000"/>
          <w:spacing w:val="0"/>
          <w:kern w:val="0"/>
          <w:sz w:val="20"/>
          <w:rtl/>
        </w:rPr>
        <w:t xml:space="preserve">تأشيرة </w:t>
      </w:r>
      <w:r w:rsidRPr="00523D40">
        <w:rPr>
          <w:rFonts w:hint="cs"/>
          <w:color w:val="000000"/>
          <w:spacing w:val="0"/>
          <w:kern w:val="0"/>
          <w:sz w:val="20"/>
          <w:rtl/>
        </w:rPr>
        <w:t xml:space="preserve">السويدية </w:t>
      </w:r>
      <w:r w:rsidRPr="00523D40">
        <w:rPr>
          <w:color w:val="000000"/>
          <w:spacing w:val="0"/>
          <w:kern w:val="0"/>
          <w:sz w:val="20"/>
          <w:rtl/>
        </w:rPr>
        <w:t xml:space="preserve">في الجزائر العاصمة </w:t>
      </w:r>
      <w:r w:rsidRPr="00523D40">
        <w:rPr>
          <w:rFonts w:hint="cs"/>
          <w:color w:val="000000"/>
          <w:spacing w:val="0"/>
          <w:kern w:val="0"/>
          <w:sz w:val="20"/>
          <w:rtl/>
        </w:rPr>
        <w:t>تدل على أنهما تعودان لشخص واحد.</w:t>
      </w:r>
      <w:r w:rsidRPr="00523D40">
        <w:rPr>
          <w:color w:val="000000"/>
          <w:spacing w:val="0"/>
          <w:kern w:val="0"/>
          <w:sz w:val="20"/>
          <w:rtl/>
        </w:rPr>
        <w:t xml:space="preserve"> </w:t>
      </w:r>
    </w:p>
    <w:p w:rsidR="00523D40" w:rsidRPr="00523D40" w:rsidRDefault="00523D40" w:rsidP="00523D40">
      <w:pPr>
        <w:pStyle w:val="SingleTxtGA"/>
        <w:jc w:val="lowKashida"/>
        <w:rPr>
          <w:rFonts w:hint="cs"/>
          <w:color w:val="000000"/>
          <w:spacing w:val="0"/>
          <w:kern w:val="0"/>
          <w:sz w:val="20"/>
          <w:rtl/>
        </w:rPr>
      </w:pPr>
      <w:r w:rsidRPr="00523D40">
        <w:rPr>
          <w:color w:val="000000"/>
          <w:spacing w:val="0"/>
          <w:kern w:val="0"/>
          <w:sz w:val="20"/>
          <w:rtl/>
          <w:lang w:val="en-CA"/>
        </w:rPr>
        <w:t>4-10</w:t>
      </w:r>
      <w:r w:rsidRPr="00523D40">
        <w:rPr>
          <w:color w:val="000000"/>
          <w:spacing w:val="0"/>
          <w:kern w:val="0"/>
          <w:sz w:val="20"/>
          <w:rtl/>
          <w:lang w:val="en-CA"/>
        </w:rPr>
        <w:tab/>
      </w:r>
      <w:r w:rsidRPr="00523D40">
        <w:rPr>
          <w:rFonts w:hint="cs"/>
          <w:color w:val="000000"/>
          <w:spacing w:val="0"/>
          <w:kern w:val="0"/>
          <w:sz w:val="20"/>
          <w:rtl/>
        </w:rPr>
        <w:t>وحيث إن</w:t>
      </w:r>
      <w:r w:rsidRPr="00523D40">
        <w:rPr>
          <w:color w:val="000000"/>
          <w:spacing w:val="0"/>
          <w:kern w:val="0"/>
          <w:sz w:val="20"/>
          <w:rtl/>
        </w:rPr>
        <w:t xml:space="preserve"> الدولة الطرف</w:t>
      </w:r>
      <w:r w:rsidRPr="00523D40">
        <w:rPr>
          <w:rFonts w:hint="cs"/>
          <w:color w:val="000000"/>
          <w:spacing w:val="0"/>
          <w:kern w:val="0"/>
          <w:sz w:val="20"/>
          <w:rtl/>
        </w:rPr>
        <w:t xml:space="preserve"> ترى</w:t>
      </w:r>
      <w:r w:rsidRPr="00523D40">
        <w:rPr>
          <w:color w:val="000000"/>
          <w:spacing w:val="0"/>
          <w:kern w:val="0"/>
          <w:sz w:val="20"/>
          <w:rtl/>
        </w:rPr>
        <w:t>، مثل</w:t>
      </w:r>
      <w:r w:rsidRPr="00523D40">
        <w:rPr>
          <w:rFonts w:hint="cs"/>
          <w:color w:val="000000"/>
          <w:spacing w:val="0"/>
          <w:kern w:val="0"/>
          <w:sz w:val="20"/>
          <w:rtl/>
        </w:rPr>
        <w:t>ها في ذلك مثل</w:t>
      </w:r>
      <w:r w:rsidRPr="00523D40">
        <w:rPr>
          <w:color w:val="000000"/>
          <w:spacing w:val="0"/>
          <w:kern w:val="0"/>
          <w:sz w:val="20"/>
          <w:rtl/>
        </w:rPr>
        <w:t xml:space="preserve"> مجلس الهجرة، </w:t>
      </w:r>
      <w:r w:rsidRPr="00523D40">
        <w:rPr>
          <w:rFonts w:hint="cs"/>
          <w:color w:val="000000"/>
          <w:spacing w:val="0"/>
          <w:kern w:val="0"/>
          <w:sz w:val="20"/>
          <w:rtl/>
        </w:rPr>
        <w:t>أن من</w:t>
      </w:r>
      <w:r w:rsidRPr="00523D40">
        <w:rPr>
          <w:color w:val="000000"/>
          <w:spacing w:val="0"/>
          <w:kern w:val="0"/>
          <w:sz w:val="20"/>
          <w:rtl/>
        </w:rPr>
        <w:t xml:space="preserve"> الواضح أن </w:t>
      </w:r>
      <w:r w:rsidRPr="00523D40">
        <w:rPr>
          <w:rFonts w:hint="cs"/>
          <w:color w:val="000000"/>
          <w:spacing w:val="0"/>
          <w:kern w:val="0"/>
          <w:sz w:val="20"/>
          <w:rtl/>
        </w:rPr>
        <w:t xml:space="preserve">صاحبة </w:t>
      </w:r>
      <w:r w:rsidRPr="00523D40">
        <w:rPr>
          <w:color w:val="000000"/>
          <w:spacing w:val="0"/>
          <w:kern w:val="0"/>
          <w:sz w:val="20"/>
          <w:rtl/>
        </w:rPr>
        <w:t>الشكوى ه</w:t>
      </w:r>
      <w:r w:rsidRPr="00523D40">
        <w:rPr>
          <w:rFonts w:hint="cs"/>
          <w:color w:val="000000"/>
          <w:spacing w:val="0"/>
          <w:kern w:val="0"/>
          <w:sz w:val="20"/>
          <w:rtl/>
        </w:rPr>
        <w:t>ي</w:t>
      </w:r>
      <w:r w:rsidRPr="00523D40">
        <w:rPr>
          <w:color w:val="000000"/>
          <w:spacing w:val="0"/>
          <w:kern w:val="0"/>
          <w:sz w:val="20"/>
          <w:rtl/>
        </w:rPr>
        <w:t xml:space="preserve"> نفس الشخص الذي </w:t>
      </w:r>
      <w:r w:rsidRPr="00523D40">
        <w:rPr>
          <w:rFonts w:hint="cs"/>
          <w:color w:val="000000"/>
          <w:spacing w:val="0"/>
          <w:kern w:val="0"/>
          <w:sz w:val="20"/>
          <w:rtl/>
        </w:rPr>
        <w:t>قدم طلب</w:t>
      </w:r>
      <w:r w:rsidRPr="00523D40">
        <w:rPr>
          <w:color w:val="000000"/>
          <w:spacing w:val="0"/>
          <w:kern w:val="0"/>
          <w:sz w:val="20"/>
          <w:rtl/>
        </w:rPr>
        <w:t xml:space="preserve"> </w:t>
      </w:r>
      <w:r w:rsidRPr="00523D40">
        <w:rPr>
          <w:rFonts w:hint="cs"/>
          <w:color w:val="000000"/>
          <w:spacing w:val="0"/>
          <w:kern w:val="0"/>
          <w:sz w:val="20"/>
          <w:rtl/>
        </w:rPr>
        <w:t xml:space="preserve">الحصول </w:t>
      </w:r>
      <w:r w:rsidRPr="00523D40">
        <w:rPr>
          <w:color w:val="000000"/>
          <w:spacing w:val="0"/>
          <w:kern w:val="0"/>
          <w:sz w:val="20"/>
          <w:rtl/>
        </w:rPr>
        <w:t xml:space="preserve">على تأشيرة سويدية في الجزائر العاصمة، </w:t>
      </w:r>
      <w:r w:rsidRPr="00523D40">
        <w:rPr>
          <w:rFonts w:hint="cs"/>
          <w:color w:val="000000"/>
          <w:spacing w:val="0"/>
          <w:kern w:val="0"/>
          <w:sz w:val="20"/>
          <w:rtl/>
        </w:rPr>
        <w:t>فإن ذلك يعني أن صاحبة الشكوى هي التي تولت ملء</w:t>
      </w:r>
      <w:r w:rsidRPr="00523D40">
        <w:rPr>
          <w:color w:val="000000"/>
          <w:spacing w:val="0"/>
          <w:kern w:val="0"/>
          <w:sz w:val="20"/>
          <w:rtl/>
        </w:rPr>
        <w:t xml:space="preserve"> طلب التأشيرة</w:t>
      </w:r>
      <w:r w:rsidRPr="00523D40">
        <w:rPr>
          <w:rFonts w:hint="cs"/>
          <w:color w:val="000000"/>
          <w:spacing w:val="0"/>
          <w:kern w:val="0"/>
          <w:sz w:val="20"/>
          <w:rtl/>
        </w:rPr>
        <w:t>، ومن ثم</w:t>
      </w:r>
      <w:r w:rsidRPr="00523D40">
        <w:rPr>
          <w:color w:val="000000"/>
          <w:spacing w:val="0"/>
          <w:kern w:val="0"/>
          <w:sz w:val="20"/>
          <w:rtl/>
        </w:rPr>
        <w:t xml:space="preserve">، </w:t>
      </w:r>
      <w:r w:rsidRPr="00523D40">
        <w:rPr>
          <w:rFonts w:hint="cs"/>
          <w:color w:val="000000"/>
          <w:spacing w:val="0"/>
          <w:kern w:val="0"/>
          <w:sz w:val="20"/>
          <w:rtl/>
        </w:rPr>
        <w:t xml:space="preserve">فقد كان من الضروري أخذ ذلك في الاعتبار </w:t>
      </w:r>
      <w:r w:rsidRPr="00523D40">
        <w:rPr>
          <w:color w:val="000000"/>
          <w:spacing w:val="0"/>
          <w:kern w:val="0"/>
          <w:sz w:val="20"/>
          <w:rtl/>
        </w:rPr>
        <w:t xml:space="preserve">أثناء </w:t>
      </w:r>
      <w:r w:rsidRPr="00523D40">
        <w:rPr>
          <w:rFonts w:hint="cs"/>
          <w:color w:val="000000"/>
          <w:spacing w:val="0"/>
          <w:kern w:val="0"/>
          <w:sz w:val="20"/>
          <w:rtl/>
        </w:rPr>
        <w:t>دراسة الطلب الذي قدمته لالتماس</w:t>
      </w:r>
      <w:r w:rsidRPr="00523D40">
        <w:rPr>
          <w:color w:val="000000"/>
          <w:spacing w:val="0"/>
          <w:kern w:val="0"/>
          <w:sz w:val="20"/>
          <w:rtl/>
        </w:rPr>
        <w:t xml:space="preserve"> اللجوء</w:t>
      </w:r>
      <w:r w:rsidRPr="00523D40">
        <w:rPr>
          <w:color w:val="000000"/>
          <w:spacing w:val="0"/>
          <w:kern w:val="0"/>
          <w:sz w:val="20"/>
          <w:rtl/>
          <w:lang w:val="en-CA"/>
        </w:rPr>
        <w:t>.</w:t>
      </w:r>
      <w:r w:rsidRPr="00523D40">
        <w:rPr>
          <w:color w:val="000000"/>
          <w:spacing w:val="0"/>
          <w:kern w:val="0"/>
          <w:sz w:val="20"/>
          <w:rtl/>
        </w:rPr>
        <w:t xml:space="preserve"> وفي هذا الصدد، تؤكد الدولة الطرف أن الإفادات التي </w:t>
      </w:r>
      <w:r w:rsidRPr="00523D40">
        <w:rPr>
          <w:rFonts w:hint="cs"/>
          <w:color w:val="000000"/>
          <w:spacing w:val="0"/>
          <w:kern w:val="0"/>
          <w:sz w:val="20"/>
          <w:rtl/>
        </w:rPr>
        <w:t>قدمتها</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في </w:t>
      </w:r>
      <w:r w:rsidRPr="00523D40">
        <w:rPr>
          <w:rFonts w:hint="cs"/>
          <w:color w:val="000000"/>
          <w:spacing w:val="0"/>
          <w:kern w:val="0"/>
          <w:sz w:val="20"/>
          <w:rtl/>
        </w:rPr>
        <w:t>الطلب الذي قدمته</w:t>
      </w:r>
      <w:r w:rsidRPr="00523D40">
        <w:rPr>
          <w:color w:val="000000"/>
          <w:spacing w:val="0"/>
          <w:kern w:val="0"/>
          <w:sz w:val="20"/>
          <w:rtl/>
        </w:rPr>
        <w:t xml:space="preserve"> للحصول على تأشيرة سويدية و</w:t>
      </w:r>
      <w:r w:rsidRPr="00523D40">
        <w:rPr>
          <w:rFonts w:hint="cs"/>
          <w:color w:val="000000"/>
          <w:spacing w:val="0"/>
          <w:kern w:val="0"/>
          <w:sz w:val="20"/>
          <w:rtl/>
        </w:rPr>
        <w:t xml:space="preserve">في </w:t>
      </w:r>
      <w:r w:rsidRPr="00523D40">
        <w:rPr>
          <w:color w:val="000000"/>
          <w:spacing w:val="0"/>
          <w:kern w:val="0"/>
          <w:sz w:val="20"/>
          <w:rtl/>
        </w:rPr>
        <w:t>طلب</w:t>
      </w:r>
      <w:r w:rsidRPr="00523D40">
        <w:rPr>
          <w:rFonts w:hint="cs"/>
          <w:color w:val="000000"/>
          <w:spacing w:val="0"/>
          <w:kern w:val="0"/>
          <w:sz w:val="20"/>
          <w:rtl/>
        </w:rPr>
        <w:t xml:space="preserve"> الحصول على</w:t>
      </w:r>
      <w:r w:rsidRPr="00523D40">
        <w:rPr>
          <w:color w:val="000000"/>
          <w:spacing w:val="0"/>
          <w:kern w:val="0"/>
          <w:sz w:val="20"/>
          <w:rtl/>
        </w:rPr>
        <w:t xml:space="preserve"> </w:t>
      </w:r>
      <w:r w:rsidRPr="00523D40">
        <w:rPr>
          <w:rFonts w:hint="cs"/>
          <w:color w:val="000000"/>
          <w:spacing w:val="0"/>
          <w:kern w:val="0"/>
          <w:sz w:val="20"/>
          <w:rtl/>
        </w:rPr>
        <w:t>ا</w:t>
      </w:r>
      <w:r w:rsidRPr="00523D40">
        <w:rPr>
          <w:color w:val="000000"/>
          <w:spacing w:val="0"/>
          <w:kern w:val="0"/>
          <w:sz w:val="20"/>
          <w:rtl/>
        </w:rPr>
        <w:t>لحماية</w:t>
      </w:r>
      <w:r w:rsidRPr="00523D40">
        <w:rPr>
          <w:rFonts w:hint="cs"/>
          <w:color w:val="000000"/>
          <w:spacing w:val="0"/>
          <w:kern w:val="0"/>
          <w:sz w:val="20"/>
          <w:rtl/>
        </w:rPr>
        <w:t xml:space="preserve"> هي إفادات</w:t>
      </w:r>
      <w:r w:rsidRPr="00523D40">
        <w:rPr>
          <w:color w:val="000000"/>
          <w:spacing w:val="0"/>
          <w:kern w:val="0"/>
          <w:sz w:val="20"/>
          <w:rtl/>
        </w:rPr>
        <w:t xml:space="preserve"> متناقضة </w:t>
      </w:r>
      <w:r w:rsidRPr="00523D40">
        <w:rPr>
          <w:rFonts w:hint="cs"/>
          <w:color w:val="000000"/>
          <w:spacing w:val="0"/>
          <w:kern w:val="0"/>
          <w:sz w:val="20"/>
          <w:rtl/>
        </w:rPr>
        <w:t xml:space="preserve">للسببين </w:t>
      </w:r>
      <w:r w:rsidRPr="00523D40">
        <w:rPr>
          <w:color w:val="000000"/>
          <w:spacing w:val="0"/>
          <w:kern w:val="0"/>
          <w:sz w:val="20"/>
          <w:rtl/>
        </w:rPr>
        <w:t>التالي</w:t>
      </w:r>
      <w:r w:rsidRPr="00523D40">
        <w:rPr>
          <w:rFonts w:hint="cs"/>
          <w:color w:val="000000"/>
          <w:spacing w:val="0"/>
          <w:kern w:val="0"/>
          <w:sz w:val="20"/>
          <w:rtl/>
        </w:rPr>
        <w:t xml:space="preserve">ين: </w:t>
      </w:r>
    </w:p>
    <w:p w:rsidR="00523D40" w:rsidRPr="00523D40" w:rsidRDefault="00523D40" w:rsidP="00A85948">
      <w:pPr>
        <w:pStyle w:val="SingleTxtGA"/>
        <w:jc w:val="lowKashida"/>
        <w:rPr>
          <w:b/>
          <w:bCs/>
          <w:color w:val="000000"/>
          <w:spacing w:val="0"/>
          <w:kern w:val="0"/>
          <w:sz w:val="20"/>
          <w:rtl/>
        </w:rPr>
      </w:pPr>
      <w:r w:rsidRPr="00523D40">
        <w:rPr>
          <w:rFonts w:cs="Arial" w:hint="cs"/>
          <w:b/>
          <w:bCs/>
          <w:color w:val="000000"/>
          <w:spacing w:val="0"/>
          <w:kern w:val="0"/>
          <w:sz w:val="20"/>
          <w:rtl/>
        </w:rPr>
        <w:tab/>
      </w:r>
      <w:r w:rsidRPr="00523D40">
        <w:rPr>
          <w:color w:val="000000"/>
          <w:spacing w:val="0"/>
          <w:kern w:val="0"/>
          <w:sz w:val="20"/>
          <w:rtl/>
        </w:rPr>
        <w:t>(أ)</w:t>
      </w:r>
      <w:r w:rsidRPr="00523D40">
        <w:rPr>
          <w:b/>
          <w:bCs/>
          <w:color w:val="000000"/>
          <w:spacing w:val="0"/>
          <w:kern w:val="0"/>
          <w:sz w:val="20"/>
          <w:rtl/>
        </w:rPr>
        <w:tab/>
      </w:r>
      <w:r w:rsidRPr="00523D40">
        <w:rPr>
          <w:color w:val="000000"/>
          <w:spacing w:val="0"/>
          <w:kern w:val="0"/>
          <w:sz w:val="20"/>
          <w:rtl/>
        </w:rPr>
        <w:t>وفقا</w:t>
      </w:r>
      <w:r w:rsidRPr="00523D40">
        <w:rPr>
          <w:rFonts w:hint="cs"/>
          <w:color w:val="000000"/>
          <w:spacing w:val="0"/>
          <w:kern w:val="0"/>
          <w:sz w:val="20"/>
          <w:rtl/>
        </w:rPr>
        <w:t>ً</w:t>
      </w:r>
      <w:r w:rsidRPr="00523D40">
        <w:rPr>
          <w:color w:val="000000"/>
          <w:spacing w:val="0"/>
          <w:kern w:val="0"/>
          <w:sz w:val="20"/>
          <w:rtl/>
        </w:rPr>
        <w:t xml:space="preserve"> لطلب الحصول على </w:t>
      </w:r>
      <w:r w:rsidRPr="00523D40">
        <w:rPr>
          <w:rFonts w:hint="cs"/>
          <w:color w:val="000000"/>
          <w:spacing w:val="0"/>
          <w:kern w:val="0"/>
          <w:sz w:val="20"/>
          <w:rtl/>
        </w:rPr>
        <w:t>ال</w:t>
      </w:r>
      <w:r w:rsidRPr="00523D40">
        <w:rPr>
          <w:color w:val="000000"/>
          <w:spacing w:val="0"/>
          <w:kern w:val="0"/>
          <w:sz w:val="20"/>
          <w:rtl/>
        </w:rPr>
        <w:t xml:space="preserve">تأشيرة السويدية، </w:t>
      </w:r>
      <w:r w:rsidRPr="00523D40">
        <w:rPr>
          <w:rFonts w:hint="cs"/>
          <w:color w:val="000000"/>
          <w:spacing w:val="0"/>
          <w:kern w:val="0"/>
          <w:sz w:val="20"/>
          <w:rtl/>
        </w:rPr>
        <w:t>يعيش والدا</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معا</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 xml:space="preserve">بمنطقة </w:t>
      </w:r>
      <w:r w:rsidRPr="00523D40">
        <w:rPr>
          <w:color w:val="000000"/>
          <w:spacing w:val="0"/>
          <w:kern w:val="0"/>
          <w:sz w:val="20"/>
          <w:rtl/>
        </w:rPr>
        <w:t>روهيرو</w:t>
      </w:r>
      <w:r w:rsidRPr="00523D40">
        <w:rPr>
          <w:rFonts w:hint="cs"/>
          <w:color w:val="000000"/>
          <w:spacing w:val="0"/>
          <w:kern w:val="0"/>
          <w:sz w:val="20"/>
          <w:rtl/>
        </w:rPr>
        <w:t xml:space="preserve"> في</w:t>
      </w:r>
      <w:r w:rsidRPr="00523D40">
        <w:rPr>
          <w:color w:val="000000"/>
          <w:spacing w:val="0"/>
          <w:kern w:val="0"/>
          <w:sz w:val="20"/>
          <w:rtl/>
        </w:rPr>
        <w:t xml:space="preserve"> بوجمبورا</w:t>
      </w:r>
      <w:r w:rsidRPr="00523D40">
        <w:rPr>
          <w:rFonts w:hint="cs"/>
          <w:color w:val="000000"/>
          <w:spacing w:val="0"/>
          <w:kern w:val="0"/>
          <w:sz w:val="20"/>
          <w:rtl/>
        </w:rPr>
        <w:t>،</w:t>
      </w:r>
      <w:r w:rsidRPr="00523D40">
        <w:rPr>
          <w:color w:val="000000"/>
          <w:spacing w:val="0"/>
          <w:kern w:val="0"/>
          <w:sz w:val="20"/>
          <w:rtl/>
        </w:rPr>
        <w:t xml:space="preserve"> ولها أخت</w:t>
      </w:r>
      <w:r w:rsidRPr="00523D40">
        <w:rPr>
          <w:rFonts w:hint="cs"/>
          <w:color w:val="000000"/>
          <w:spacing w:val="0"/>
          <w:kern w:val="0"/>
          <w:sz w:val="20"/>
          <w:rtl/>
        </w:rPr>
        <w:t>ا</w:t>
      </w:r>
      <w:r w:rsidRPr="00523D40">
        <w:rPr>
          <w:color w:val="000000"/>
          <w:spacing w:val="0"/>
          <w:kern w:val="0"/>
          <w:sz w:val="20"/>
          <w:rtl/>
        </w:rPr>
        <w:t>ن وشقيق واحد. و</w:t>
      </w:r>
      <w:r w:rsidRPr="00523D40">
        <w:rPr>
          <w:rFonts w:hint="cs"/>
          <w:color w:val="000000"/>
          <w:spacing w:val="0"/>
          <w:kern w:val="0"/>
          <w:sz w:val="20"/>
          <w:rtl/>
        </w:rPr>
        <w:t>أُفيد بأن</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 xml:space="preserve">شقيق </w:t>
      </w:r>
      <w:r w:rsidRPr="00523D40">
        <w:rPr>
          <w:rFonts w:hint="cs"/>
          <w:color w:val="000000"/>
          <w:spacing w:val="0"/>
          <w:kern w:val="0"/>
          <w:sz w:val="20"/>
          <w:rtl/>
        </w:rPr>
        <w:t xml:space="preserve">قد </w:t>
      </w:r>
      <w:r w:rsidRPr="00523D40">
        <w:rPr>
          <w:color w:val="000000"/>
          <w:spacing w:val="0"/>
          <w:kern w:val="0"/>
          <w:sz w:val="20"/>
          <w:rtl/>
        </w:rPr>
        <w:t>ولد في عام</w:t>
      </w:r>
      <w:r w:rsidR="00A85948">
        <w:rPr>
          <w:rFonts w:hint="cs"/>
          <w:color w:val="000000"/>
          <w:spacing w:val="0"/>
          <w:kern w:val="0"/>
          <w:sz w:val="20"/>
          <w:rtl/>
        </w:rPr>
        <w:t> </w:t>
      </w:r>
      <w:r w:rsidRPr="00523D40">
        <w:rPr>
          <w:color w:val="000000"/>
          <w:spacing w:val="0"/>
          <w:kern w:val="0"/>
          <w:sz w:val="20"/>
          <w:rtl/>
        </w:rPr>
        <w:t>199</w:t>
      </w:r>
      <w:r w:rsidRPr="00523D40">
        <w:rPr>
          <w:rFonts w:hint="cs"/>
          <w:color w:val="000000"/>
          <w:spacing w:val="0"/>
          <w:kern w:val="0"/>
          <w:sz w:val="20"/>
          <w:rtl/>
        </w:rPr>
        <w:t>0.</w:t>
      </w:r>
      <w:r w:rsidRPr="00523D40">
        <w:rPr>
          <w:color w:val="000000"/>
          <w:spacing w:val="0"/>
          <w:kern w:val="0"/>
          <w:sz w:val="20"/>
          <w:rtl/>
        </w:rPr>
        <w:t xml:space="preserve"> </w:t>
      </w:r>
      <w:r w:rsidRPr="00523D40">
        <w:rPr>
          <w:rFonts w:hint="cs"/>
          <w:color w:val="000000"/>
          <w:spacing w:val="0"/>
          <w:kern w:val="0"/>
          <w:sz w:val="20"/>
          <w:rtl/>
        </w:rPr>
        <w:t xml:space="preserve">وتصرح صاحبة الشكوى </w:t>
      </w:r>
      <w:r w:rsidRPr="00523D40">
        <w:rPr>
          <w:color w:val="000000"/>
          <w:spacing w:val="0"/>
          <w:kern w:val="0"/>
          <w:sz w:val="20"/>
          <w:rtl/>
        </w:rPr>
        <w:t xml:space="preserve">في طلب اللجوء </w:t>
      </w:r>
      <w:r w:rsidRPr="00523D40">
        <w:rPr>
          <w:rFonts w:hint="cs"/>
          <w:color w:val="000000"/>
          <w:spacing w:val="0"/>
          <w:kern w:val="0"/>
          <w:sz w:val="20"/>
          <w:rtl/>
        </w:rPr>
        <w:t xml:space="preserve">بأن والديها قُتلا </w:t>
      </w:r>
      <w:r w:rsidRPr="00523D40">
        <w:rPr>
          <w:color w:val="000000"/>
          <w:spacing w:val="0"/>
          <w:kern w:val="0"/>
          <w:sz w:val="20"/>
          <w:rtl/>
        </w:rPr>
        <w:t xml:space="preserve">في عام 1996. </w:t>
      </w:r>
      <w:r w:rsidRPr="00523D40">
        <w:rPr>
          <w:rFonts w:hint="cs"/>
          <w:color w:val="000000"/>
          <w:spacing w:val="0"/>
          <w:kern w:val="0"/>
          <w:sz w:val="20"/>
          <w:rtl/>
        </w:rPr>
        <w:t>وذكرت كذلك، وفقاً لطلب التماس اللجوء، أن شقيقها ولد</w:t>
      </w:r>
      <w:r w:rsidRPr="00523D40">
        <w:rPr>
          <w:color w:val="000000"/>
          <w:spacing w:val="0"/>
          <w:kern w:val="0"/>
          <w:sz w:val="20"/>
          <w:rtl/>
        </w:rPr>
        <w:t xml:space="preserve"> في عام 1975</w:t>
      </w:r>
      <w:r w:rsidRPr="00523D40">
        <w:rPr>
          <w:rFonts w:hint="cs"/>
          <w:color w:val="000000"/>
          <w:spacing w:val="0"/>
          <w:kern w:val="0"/>
          <w:sz w:val="20"/>
          <w:rtl/>
        </w:rPr>
        <w:t xml:space="preserve">، ومن ثم، فقد </w:t>
      </w:r>
      <w:r w:rsidRPr="00523D40">
        <w:rPr>
          <w:color w:val="000000"/>
          <w:spacing w:val="0"/>
          <w:kern w:val="0"/>
          <w:sz w:val="20"/>
          <w:rtl/>
        </w:rPr>
        <w:t xml:space="preserve">كان </w:t>
      </w:r>
      <w:r w:rsidRPr="00523D40">
        <w:rPr>
          <w:rFonts w:hint="cs"/>
          <w:color w:val="000000"/>
          <w:spacing w:val="0"/>
          <w:kern w:val="0"/>
          <w:sz w:val="20"/>
          <w:rtl/>
        </w:rPr>
        <w:t>عمره حينما قُتل</w:t>
      </w:r>
      <w:r w:rsidRPr="00523D40">
        <w:rPr>
          <w:color w:val="000000"/>
          <w:spacing w:val="0"/>
          <w:kern w:val="0"/>
          <w:sz w:val="20"/>
          <w:rtl/>
        </w:rPr>
        <w:t xml:space="preserve"> 31 سنة</w:t>
      </w:r>
      <w:r w:rsidRPr="00523D40">
        <w:rPr>
          <w:rFonts w:hint="cs"/>
          <w:color w:val="000000"/>
          <w:spacing w:val="0"/>
          <w:kern w:val="0"/>
          <w:sz w:val="20"/>
          <w:rtl/>
        </w:rPr>
        <w:t xml:space="preserve">. </w:t>
      </w:r>
      <w:r w:rsidRPr="00523D40">
        <w:rPr>
          <w:color w:val="000000"/>
          <w:spacing w:val="0"/>
          <w:kern w:val="0"/>
          <w:sz w:val="20"/>
          <w:rtl/>
        </w:rPr>
        <w:t xml:space="preserve">كما </w:t>
      </w:r>
      <w:r w:rsidRPr="00523D40">
        <w:rPr>
          <w:rFonts w:hint="cs"/>
          <w:color w:val="000000"/>
          <w:spacing w:val="0"/>
          <w:kern w:val="0"/>
          <w:sz w:val="20"/>
          <w:rtl/>
        </w:rPr>
        <w:t xml:space="preserve">أن </w:t>
      </w:r>
      <w:r w:rsidRPr="00523D40">
        <w:rPr>
          <w:color w:val="000000"/>
          <w:spacing w:val="0"/>
          <w:kern w:val="0"/>
          <w:sz w:val="20"/>
          <w:rtl/>
        </w:rPr>
        <w:t xml:space="preserve">طلب اللجوء </w:t>
      </w:r>
      <w:r w:rsidRPr="00523D40">
        <w:rPr>
          <w:rFonts w:hint="cs"/>
          <w:color w:val="000000"/>
          <w:spacing w:val="0"/>
          <w:kern w:val="0"/>
          <w:sz w:val="20"/>
          <w:rtl/>
        </w:rPr>
        <w:t>لا يتضمن أية</w:t>
      </w:r>
      <w:r w:rsidRPr="00523D40">
        <w:rPr>
          <w:color w:val="000000"/>
          <w:spacing w:val="0"/>
          <w:kern w:val="0"/>
          <w:sz w:val="20"/>
          <w:rtl/>
        </w:rPr>
        <w:t xml:space="preserve"> معلومات تفيد </w:t>
      </w:r>
      <w:r w:rsidRPr="00523D40">
        <w:rPr>
          <w:rFonts w:hint="cs"/>
          <w:color w:val="000000"/>
          <w:spacing w:val="0"/>
          <w:kern w:val="0"/>
          <w:sz w:val="20"/>
          <w:rtl/>
        </w:rPr>
        <w:t>ب</w:t>
      </w:r>
      <w:r w:rsidRPr="00523D40">
        <w:rPr>
          <w:color w:val="000000"/>
          <w:spacing w:val="0"/>
          <w:kern w:val="0"/>
          <w:sz w:val="20"/>
          <w:rtl/>
        </w:rPr>
        <w:t xml:space="preserve">أن </w:t>
      </w:r>
      <w:r w:rsidRPr="00523D40">
        <w:rPr>
          <w:rFonts w:hint="cs"/>
          <w:color w:val="000000"/>
          <w:spacing w:val="0"/>
          <w:kern w:val="0"/>
          <w:sz w:val="20"/>
          <w:rtl/>
        </w:rPr>
        <w:t>لصاحبة الشكوى أختين؛</w:t>
      </w:r>
    </w:p>
    <w:p w:rsidR="00523D40" w:rsidRPr="00523D40" w:rsidRDefault="00523D40" w:rsidP="00A85948">
      <w:pPr>
        <w:pStyle w:val="SingleTxtGA"/>
        <w:jc w:val="lowKashida"/>
        <w:rPr>
          <w:color w:val="000000"/>
          <w:spacing w:val="0"/>
          <w:kern w:val="0"/>
          <w:sz w:val="20"/>
          <w:rtl/>
        </w:rPr>
      </w:pPr>
      <w:r w:rsidRPr="00523D40">
        <w:rPr>
          <w:color w:val="000000"/>
          <w:spacing w:val="0"/>
          <w:kern w:val="0"/>
          <w:sz w:val="20"/>
          <w:rtl/>
        </w:rPr>
        <w:tab/>
        <w:t>(</w:t>
      </w:r>
      <w:r w:rsidRPr="00523D40">
        <w:rPr>
          <w:rFonts w:hint="cs"/>
          <w:color w:val="000000"/>
          <w:spacing w:val="0"/>
          <w:kern w:val="0"/>
          <w:sz w:val="20"/>
          <w:rtl/>
        </w:rPr>
        <w:t>ب</w:t>
      </w:r>
      <w:r w:rsidRPr="00523D40">
        <w:rPr>
          <w:color w:val="000000"/>
          <w:spacing w:val="0"/>
          <w:kern w:val="0"/>
          <w:sz w:val="20"/>
          <w:rtl/>
        </w:rPr>
        <w:t>)</w:t>
      </w:r>
      <w:r w:rsidRPr="00523D40">
        <w:rPr>
          <w:b/>
          <w:bCs/>
          <w:color w:val="000000"/>
          <w:spacing w:val="0"/>
          <w:kern w:val="0"/>
          <w:sz w:val="20"/>
          <w:rtl/>
        </w:rPr>
        <w:tab/>
      </w:r>
      <w:r w:rsidRPr="00523D40">
        <w:rPr>
          <w:rFonts w:hint="cs"/>
          <w:color w:val="000000"/>
          <w:spacing w:val="0"/>
          <w:kern w:val="0"/>
          <w:sz w:val="20"/>
          <w:rtl/>
        </w:rPr>
        <w:t xml:space="preserve">تبيّن </w:t>
      </w:r>
      <w:r w:rsidRPr="00523D40">
        <w:rPr>
          <w:color w:val="000000"/>
          <w:spacing w:val="0"/>
          <w:kern w:val="0"/>
          <w:sz w:val="20"/>
          <w:rtl/>
        </w:rPr>
        <w:t xml:space="preserve">المعلومات الواردة في طلب </w:t>
      </w:r>
      <w:r w:rsidRPr="00523D40">
        <w:rPr>
          <w:rFonts w:hint="cs"/>
          <w:color w:val="000000"/>
          <w:spacing w:val="0"/>
          <w:kern w:val="0"/>
          <w:sz w:val="20"/>
          <w:rtl/>
        </w:rPr>
        <w:t>ا</w:t>
      </w:r>
      <w:r w:rsidRPr="00523D40">
        <w:rPr>
          <w:color w:val="000000"/>
          <w:spacing w:val="0"/>
          <w:kern w:val="0"/>
          <w:sz w:val="20"/>
          <w:rtl/>
        </w:rPr>
        <w:t xml:space="preserve">لحصول على </w:t>
      </w:r>
      <w:r w:rsidRPr="00523D40">
        <w:rPr>
          <w:rFonts w:hint="cs"/>
          <w:color w:val="000000"/>
          <w:spacing w:val="0"/>
          <w:kern w:val="0"/>
          <w:sz w:val="20"/>
          <w:rtl/>
        </w:rPr>
        <w:t>ال</w:t>
      </w:r>
      <w:r w:rsidRPr="00523D40">
        <w:rPr>
          <w:color w:val="000000"/>
          <w:spacing w:val="0"/>
          <w:kern w:val="0"/>
          <w:sz w:val="20"/>
          <w:rtl/>
        </w:rPr>
        <w:t xml:space="preserve">تأشيرة </w:t>
      </w:r>
      <w:r w:rsidRPr="00523D40">
        <w:rPr>
          <w:rFonts w:hint="cs"/>
          <w:color w:val="000000"/>
          <w:spacing w:val="0"/>
          <w:kern w:val="0"/>
          <w:sz w:val="20"/>
          <w:rtl/>
        </w:rPr>
        <w:t>ال</w:t>
      </w:r>
      <w:r w:rsidRPr="00523D40">
        <w:rPr>
          <w:color w:val="000000"/>
          <w:spacing w:val="0"/>
          <w:kern w:val="0"/>
          <w:sz w:val="20"/>
          <w:rtl/>
        </w:rPr>
        <w:t xml:space="preserve">سويدية </w:t>
      </w:r>
      <w:r w:rsidRPr="00523D40">
        <w:rPr>
          <w:rFonts w:hint="cs"/>
          <w:color w:val="000000"/>
          <w:spacing w:val="0"/>
          <w:kern w:val="0"/>
          <w:sz w:val="20"/>
          <w:rtl/>
        </w:rPr>
        <w:t xml:space="preserve">أن صاحبة </w:t>
      </w:r>
      <w:r w:rsidRPr="00523D40">
        <w:rPr>
          <w:color w:val="000000"/>
          <w:spacing w:val="0"/>
          <w:kern w:val="0"/>
          <w:sz w:val="20"/>
          <w:rtl/>
        </w:rPr>
        <w:t>الشكوى كان</w:t>
      </w:r>
      <w:r w:rsidRPr="00523D40">
        <w:rPr>
          <w:rFonts w:hint="cs"/>
          <w:color w:val="000000"/>
          <w:spacing w:val="0"/>
          <w:kern w:val="0"/>
          <w:sz w:val="20"/>
          <w:rtl/>
        </w:rPr>
        <w:t>ت</w:t>
      </w:r>
      <w:r w:rsidRPr="00523D40">
        <w:rPr>
          <w:color w:val="000000"/>
          <w:spacing w:val="0"/>
          <w:kern w:val="0"/>
          <w:sz w:val="20"/>
          <w:rtl/>
        </w:rPr>
        <w:t xml:space="preserve"> </w:t>
      </w:r>
      <w:r w:rsidRPr="00523D40">
        <w:rPr>
          <w:rFonts w:hint="cs"/>
          <w:color w:val="000000"/>
          <w:spacing w:val="0"/>
          <w:kern w:val="0"/>
          <w:sz w:val="20"/>
          <w:rtl/>
        </w:rPr>
        <w:t>ت</w:t>
      </w:r>
      <w:r w:rsidRPr="00523D40">
        <w:rPr>
          <w:color w:val="000000"/>
          <w:spacing w:val="0"/>
          <w:kern w:val="0"/>
          <w:sz w:val="20"/>
          <w:rtl/>
        </w:rPr>
        <w:t>عمل في النيجر في الفترة 2002-200</w:t>
      </w:r>
      <w:r w:rsidRPr="00523D40">
        <w:rPr>
          <w:rFonts w:hint="cs"/>
          <w:color w:val="000000"/>
          <w:spacing w:val="0"/>
          <w:kern w:val="0"/>
          <w:sz w:val="20"/>
          <w:rtl/>
        </w:rPr>
        <w:t>3. وتبيّن هذه</w:t>
      </w:r>
      <w:r w:rsidRPr="00523D40">
        <w:rPr>
          <w:color w:val="000000"/>
          <w:spacing w:val="0"/>
          <w:kern w:val="0"/>
          <w:sz w:val="20"/>
          <w:rtl/>
        </w:rPr>
        <w:t xml:space="preserve"> المعلومات أيضا</w:t>
      </w:r>
      <w:r w:rsidRPr="00523D40">
        <w:rPr>
          <w:rFonts w:hint="cs"/>
          <w:color w:val="000000"/>
          <w:spacing w:val="0"/>
          <w:kern w:val="0"/>
          <w:sz w:val="20"/>
          <w:rtl/>
        </w:rPr>
        <w:t>ً</w:t>
      </w:r>
      <w:r w:rsidRPr="00523D40">
        <w:rPr>
          <w:color w:val="000000"/>
          <w:spacing w:val="0"/>
          <w:kern w:val="0"/>
          <w:sz w:val="20"/>
          <w:rtl/>
        </w:rPr>
        <w:t xml:space="preserve"> أن</w:t>
      </w:r>
      <w:r w:rsidRPr="00523D40">
        <w:rPr>
          <w:rFonts w:hint="cs"/>
          <w:color w:val="000000"/>
          <w:spacing w:val="0"/>
          <w:kern w:val="0"/>
          <w:sz w:val="20"/>
          <w:rtl/>
        </w:rPr>
        <w:t>ها</w:t>
      </w:r>
      <w:r w:rsidRPr="00523D40">
        <w:rPr>
          <w:color w:val="000000"/>
          <w:spacing w:val="0"/>
          <w:kern w:val="0"/>
          <w:sz w:val="20"/>
          <w:rtl/>
        </w:rPr>
        <w:t xml:space="preserve"> غادرت الجزائر</w:t>
      </w:r>
      <w:r w:rsidRPr="00523D40">
        <w:rPr>
          <w:rFonts w:hint="cs"/>
          <w:color w:val="000000"/>
          <w:spacing w:val="0"/>
          <w:kern w:val="0"/>
          <w:sz w:val="20"/>
          <w:rtl/>
        </w:rPr>
        <w:t xml:space="preserve"> إلى</w:t>
      </w:r>
      <w:r w:rsidRPr="00523D40">
        <w:rPr>
          <w:color w:val="000000"/>
          <w:spacing w:val="0"/>
          <w:kern w:val="0"/>
          <w:sz w:val="20"/>
          <w:rtl/>
        </w:rPr>
        <w:t xml:space="preserve"> فرنسا و</w:t>
      </w:r>
      <w:r w:rsidRPr="00523D40">
        <w:rPr>
          <w:rFonts w:hint="cs"/>
          <w:color w:val="000000"/>
          <w:spacing w:val="0"/>
          <w:kern w:val="0"/>
          <w:sz w:val="20"/>
          <w:rtl/>
        </w:rPr>
        <w:t>أنها عادت إلى</w:t>
      </w:r>
      <w:r w:rsidRPr="00523D40">
        <w:rPr>
          <w:color w:val="000000"/>
          <w:spacing w:val="0"/>
          <w:kern w:val="0"/>
          <w:sz w:val="20"/>
          <w:rtl/>
        </w:rPr>
        <w:t xml:space="preserve"> الجزائر ثلاث مرات </w:t>
      </w:r>
      <w:r w:rsidRPr="00523D40">
        <w:rPr>
          <w:rFonts w:hint="cs"/>
          <w:color w:val="000000"/>
          <w:spacing w:val="0"/>
          <w:kern w:val="0"/>
          <w:sz w:val="20"/>
          <w:rtl/>
        </w:rPr>
        <w:t xml:space="preserve">في الفترة ما </w:t>
      </w:r>
      <w:r w:rsidRPr="00523D40">
        <w:rPr>
          <w:color w:val="000000"/>
          <w:spacing w:val="0"/>
          <w:kern w:val="0"/>
          <w:sz w:val="20"/>
          <w:rtl/>
        </w:rPr>
        <w:t xml:space="preserve">بين </w:t>
      </w:r>
      <w:r w:rsidRPr="00523D40">
        <w:rPr>
          <w:rFonts w:hint="cs"/>
          <w:color w:val="000000"/>
          <w:spacing w:val="0"/>
          <w:kern w:val="0"/>
          <w:sz w:val="20"/>
          <w:rtl/>
        </w:rPr>
        <w:t>شهري تموز/يوليه</w:t>
      </w:r>
      <w:r w:rsidRPr="00523D40">
        <w:rPr>
          <w:color w:val="000000"/>
          <w:spacing w:val="0"/>
          <w:kern w:val="0"/>
          <w:sz w:val="20"/>
          <w:rtl/>
        </w:rPr>
        <w:t xml:space="preserve"> 2003 </w:t>
      </w:r>
      <w:r w:rsidRPr="00523D40">
        <w:rPr>
          <w:rFonts w:hint="cs"/>
          <w:color w:val="000000"/>
          <w:spacing w:val="0"/>
          <w:kern w:val="0"/>
          <w:sz w:val="20"/>
          <w:rtl/>
        </w:rPr>
        <w:t>وتشرين الأول/أكتوبر</w:t>
      </w:r>
      <w:r w:rsidRPr="00523D40">
        <w:rPr>
          <w:color w:val="000000"/>
          <w:spacing w:val="0"/>
          <w:kern w:val="0"/>
          <w:sz w:val="20"/>
          <w:rtl/>
        </w:rPr>
        <w:t xml:space="preserve"> 2005</w:t>
      </w:r>
      <w:r w:rsidRPr="00523D40">
        <w:rPr>
          <w:rFonts w:hint="cs"/>
          <w:color w:val="000000"/>
          <w:spacing w:val="0"/>
          <w:kern w:val="0"/>
          <w:sz w:val="20"/>
          <w:rtl/>
        </w:rPr>
        <w:t>.</w:t>
      </w:r>
      <w:r w:rsidRPr="00523D40">
        <w:rPr>
          <w:color w:val="000000"/>
          <w:spacing w:val="0"/>
          <w:kern w:val="0"/>
          <w:sz w:val="20"/>
          <w:rtl/>
        </w:rPr>
        <w:t xml:space="preserve"> وخلال زيارته</w:t>
      </w:r>
      <w:r w:rsidRPr="00523D40">
        <w:rPr>
          <w:rFonts w:hint="cs"/>
          <w:color w:val="000000"/>
          <w:spacing w:val="0"/>
          <w:kern w:val="0"/>
          <w:sz w:val="20"/>
          <w:rtl/>
        </w:rPr>
        <w:t>ا</w:t>
      </w:r>
      <w:r w:rsidRPr="00523D40">
        <w:rPr>
          <w:color w:val="000000"/>
          <w:spacing w:val="0"/>
          <w:kern w:val="0"/>
          <w:sz w:val="20"/>
          <w:rtl/>
        </w:rPr>
        <w:t xml:space="preserve"> لفرنسا في </w:t>
      </w:r>
      <w:r w:rsidRPr="00523D40">
        <w:rPr>
          <w:rFonts w:hint="cs"/>
          <w:color w:val="000000"/>
          <w:spacing w:val="0"/>
          <w:kern w:val="0"/>
          <w:sz w:val="20"/>
          <w:rtl/>
        </w:rPr>
        <w:t>تموز/</w:t>
      </w:r>
      <w:r w:rsidR="00A85948">
        <w:rPr>
          <w:rFonts w:hint="cs"/>
          <w:color w:val="000000"/>
          <w:spacing w:val="0"/>
          <w:kern w:val="0"/>
          <w:sz w:val="20"/>
          <w:rtl/>
        </w:rPr>
        <w:t xml:space="preserve"> </w:t>
      </w:r>
      <w:r w:rsidRPr="00523D40">
        <w:rPr>
          <w:rFonts w:hint="cs"/>
          <w:color w:val="000000"/>
          <w:spacing w:val="0"/>
          <w:kern w:val="0"/>
          <w:sz w:val="20"/>
          <w:rtl/>
        </w:rPr>
        <w:t>يوليه</w:t>
      </w:r>
      <w:r w:rsidR="00A85948">
        <w:rPr>
          <w:rFonts w:hint="cs"/>
          <w:color w:val="000000"/>
          <w:spacing w:val="0"/>
          <w:kern w:val="0"/>
          <w:sz w:val="20"/>
          <w:rtl/>
        </w:rPr>
        <w:t> </w:t>
      </w:r>
      <w:r w:rsidRPr="00523D40">
        <w:rPr>
          <w:color w:val="000000"/>
          <w:spacing w:val="0"/>
          <w:kern w:val="0"/>
          <w:sz w:val="20"/>
          <w:rtl/>
        </w:rPr>
        <w:t>2004، جددت</w:t>
      </w:r>
      <w:r w:rsidRPr="00523D40">
        <w:rPr>
          <w:rFonts w:hint="cs"/>
          <w:color w:val="000000"/>
          <w:spacing w:val="0"/>
          <w:kern w:val="0"/>
          <w:sz w:val="20"/>
          <w:rtl/>
        </w:rPr>
        <w:t xml:space="preserve"> صاحبة</w:t>
      </w:r>
      <w:r w:rsidRPr="00523D40">
        <w:rPr>
          <w:color w:val="000000"/>
          <w:spacing w:val="0"/>
          <w:kern w:val="0"/>
          <w:sz w:val="20"/>
          <w:rtl/>
        </w:rPr>
        <w:t xml:space="preserve"> الشكوى جواز سفرها في السفارة البوروندية في باري</w:t>
      </w:r>
      <w:r w:rsidRPr="00523D40">
        <w:rPr>
          <w:rFonts w:hint="cs"/>
          <w:color w:val="000000"/>
          <w:spacing w:val="0"/>
          <w:kern w:val="0"/>
          <w:sz w:val="20"/>
          <w:rtl/>
        </w:rPr>
        <w:t>س.</w:t>
      </w:r>
    </w:p>
    <w:p w:rsidR="00523D40" w:rsidRPr="00523D40" w:rsidRDefault="00523D40" w:rsidP="00A85948">
      <w:pPr>
        <w:pStyle w:val="SingleTxtGA"/>
        <w:jc w:val="lowKashida"/>
        <w:rPr>
          <w:color w:val="000000"/>
          <w:spacing w:val="0"/>
          <w:kern w:val="0"/>
          <w:sz w:val="20"/>
          <w:rtl/>
        </w:rPr>
      </w:pPr>
      <w:r w:rsidRPr="00523D40">
        <w:rPr>
          <w:color w:val="000000"/>
          <w:spacing w:val="0"/>
          <w:kern w:val="0"/>
          <w:sz w:val="20"/>
          <w:rtl/>
          <w:lang w:val="en-CA"/>
        </w:rPr>
        <w:t>4-11</w:t>
      </w:r>
      <w:r w:rsidRPr="00523D40">
        <w:rPr>
          <w:color w:val="000000"/>
          <w:spacing w:val="0"/>
          <w:kern w:val="0"/>
          <w:sz w:val="20"/>
          <w:rtl/>
          <w:lang w:val="en-CA"/>
        </w:rPr>
        <w:tab/>
      </w:r>
      <w:r w:rsidRPr="00523D40">
        <w:rPr>
          <w:color w:val="000000"/>
          <w:spacing w:val="0"/>
          <w:kern w:val="0"/>
          <w:sz w:val="20"/>
          <w:rtl/>
        </w:rPr>
        <w:t>وت</w:t>
      </w:r>
      <w:r w:rsidRPr="00523D40">
        <w:rPr>
          <w:rFonts w:hint="cs"/>
          <w:color w:val="000000"/>
          <w:spacing w:val="0"/>
          <w:kern w:val="0"/>
          <w:sz w:val="20"/>
          <w:rtl/>
        </w:rPr>
        <w:t>رى</w:t>
      </w:r>
      <w:r w:rsidRPr="00523D40">
        <w:rPr>
          <w:color w:val="000000"/>
          <w:spacing w:val="0"/>
          <w:kern w:val="0"/>
          <w:sz w:val="20"/>
          <w:rtl/>
        </w:rPr>
        <w:t xml:space="preserve"> الدولة الطرف أن</w:t>
      </w:r>
      <w:r w:rsidRPr="00523D40">
        <w:rPr>
          <w:rFonts w:hint="cs"/>
          <w:color w:val="000000"/>
          <w:spacing w:val="0"/>
          <w:kern w:val="0"/>
          <w:sz w:val="20"/>
          <w:rtl/>
        </w:rPr>
        <w:t>ه</w:t>
      </w:r>
      <w:r w:rsidRPr="00523D40">
        <w:rPr>
          <w:color w:val="000000"/>
          <w:spacing w:val="0"/>
          <w:kern w:val="0"/>
          <w:sz w:val="20"/>
          <w:rtl/>
        </w:rPr>
        <w:t xml:space="preserve"> على الرغم من أن ال</w:t>
      </w:r>
      <w:r w:rsidRPr="00523D40">
        <w:rPr>
          <w:rFonts w:hint="cs"/>
          <w:color w:val="000000"/>
          <w:spacing w:val="0"/>
          <w:kern w:val="0"/>
          <w:sz w:val="20"/>
          <w:rtl/>
        </w:rPr>
        <w:t>معلومات</w:t>
      </w:r>
      <w:r w:rsidRPr="00523D40">
        <w:rPr>
          <w:color w:val="000000"/>
          <w:spacing w:val="0"/>
          <w:kern w:val="0"/>
          <w:sz w:val="20"/>
          <w:rtl/>
        </w:rPr>
        <w:t xml:space="preserve"> المتعلقة </w:t>
      </w:r>
      <w:r w:rsidRPr="00523D40">
        <w:rPr>
          <w:rFonts w:hint="cs"/>
          <w:color w:val="000000"/>
          <w:spacing w:val="0"/>
          <w:kern w:val="0"/>
          <w:sz w:val="20"/>
          <w:rtl/>
        </w:rPr>
        <w:t>بحالات الدخول</w:t>
      </w:r>
      <w:r w:rsidRPr="00523D40">
        <w:rPr>
          <w:color w:val="000000"/>
          <w:spacing w:val="0"/>
          <w:kern w:val="0"/>
          <w:sz w:val="20"/>
          <w:rtl/>
        </w:rPr>
        <w:t xml:space="preserve"> إلى الجزائر وفرنسا</w:t>
      </w:r>
      <w:r w:rsidRPr="00523D40">
        <w:rPr>
          <w:rFonts w:hint="cs"/>
          <w:color w:val="000000"/>
          <w:spacing w:val="0"/>
          <w:kern w:val="0"/>
          <w:sz w:val="20"/>
          <w:rtl/>
        </w:rPr>
        <w:t xml:space="preserve"> والخروج</w:t>
      </w:r>
      <w:r w:rsidRPr="00523D40">
        <w:rPr>
          <w:color w:val="000000"/>
          <w:spacing w:val="0"/>
          <w:kern w:val="0"/>
          <w:sz w:val="20"/>
          <w:rtl/>
        </w:rPr>
        <w:t xml:space="preserve"> </w:t>
      </w:r>
      <w:r w:rsidRPr="00523D40">
        <w:rPr>
          <w:rFonts w:hint="cs"/>
          <w:color w:val="000000"/>
          <w:spacing w:val="0"/>
          <w:kern w:val="0"/>
          <w:sz w:val="20"/>
          <w:rtl/>
        </w:rPr>
        <w:t>منهما لا تثبت</w:t>
      </w:r>
      <w:r w:rsidRPr="00523D40">
        <w:rPr>
          <w:color w:val="000000"/>
          <w:spacing w:val="0"/>
          <w:kern w:val="0"/>
          <w:sz w:val="20"/>
          <w:rtl/>
        </w:rPr>
        <w:t xml:space="preserve"> في حد ذاتها أن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كانت تعيش</w:t>
      </w:r>
      <w:r w:rsidRPr="00523D40">
        <w:rPr>
          <w:color w:val="000000"/>
          <w:spacing w:val="0"/>
          <w:kern w:val="0"/>
          <w:sz w:val="20"/>
          <w:rtl/>
        </w:rPr>
        <w:t xml:space="preserve"> في الجزائر خلال </w:t>
      </w:r>
      <w:r w:rsidRPr="00523D40">
        <w:rPr>
          <w:rFonts w:hint="cs"/>
          <w:color w:val="000000"/>
          <w:spacing w:val="0"/>
          <w:kern w:val="0"/>
          <w:sz w:val="20"/>
          <w:rtl/>
        </w:rPr>
        <w:t>الأعوام 2003 و2004 و2005، فإنها تبين</w:t>
      </w:r>
      <w:r w:rsidRPr="00523D40">
        <w:rPr>
          <w:color w:val="000000"/>
          <w:spacing w:val="0"/>
          <w:kern w:val="0"/>
          <w:sz w:val="20"/>
          <w:rtl/>
        </w:rPr>
        <w:t xml:space="preserve"> </w:t>
      </w:r>
      <w:r w:rsidRPr="00523D40">
        <w:rPr>
          <w:rFonts w:hint="cs"/>
          <w:color w:val="000000"/>
          <w:spacing w:val="0"/>
          <w:kern w:val="0"/>
          <w:sz w:val="20"/>
          <w:rtl/>
        </w:rPr>
        <w:t xml:space="preserve">على الأقل </w:t>
      </w:r>
      <w:r w:rsidRPr="00523D40">
        <w:rPr>
          <w:color w:val="000000"/>
          <w:spacing w:val="0"/>
          <w:kern w:val="0"/>
          <w:sz w:val="20"/>
          <w:rtl/>
        </w:rPr>
        <w:t xml:space="preserve">أنها كانت </w:t>
      </w:r>
      <w:r w:rsidRPr="00523D40">
        <w:rPr>
          <w:rFonts w:hint="cs"/>
          <w:color w:val="000000"/>
          <w:spacing w:val="0"/>
          <w:kern w:val="0"/>
          <w:sz w:val="20"/>
          <w:rtl/>
        </w:rPr>
        <w:t>تتنقل</w:t>
      </w:r>
      <w:r w:rsidRPr="00523D40">
        <w:rPr>
          <w:color w:val="000000"/>
          <w:spacing w:val="0"/>
          <w:kern w:val="0"/>
          <w:sz w:val="20"/>
          <w:rtl/>
        </w:rPr>
        <w:t xml:space="preserve"> بين الجزائر وفرنسا خلال هذه الفترة</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وفضلاً عن</w:t>
      </w:r>
      <w:r w:rsidRPr="00523D40">
        <w:rPr>
          <w:color w:val="000000"/>
          <w:spacing w:val="0"/>
          <w:kern w:val="0"/>
          <w:sz w:val="20"/>
          <w:rtl/>
        </w:rPr>
        <w:t xml:space="preserve"> ذلك، </w:t>
      </w:r>
      <w:r w:rsidRPr="00523D40">
        <w:rPr>
          <w:rFonts w:hint="cs"/>
          <w:color w:val="000000"/>
          <w:spacing w:val="0"/>
          <w:kern w:val="0"/>
          <w:sz w:val="20"/>
          <w:rtl/>
        </w:rPr>
        <w:t>فهي</w:t>
      </w:r>
      <w:r w:rsidRPr="00523D40">
        <w:rPr>
          <w:color w:val="000000"/>
          <w:spacing w:val="0"/>
          <w:kern w:val="0"/>
          <w:sz w:val="20"/>
          <w:rtl/>
        </w:rPr>
        <w:t xml:space="preserve"> لم تتردد في الاتصال بالسفارة البوروندية في باريس. وعلاوة على ذلك، </w:t>
      </w:r>
      <w:r w:rsidRPr="00523D40">
        <w:rPr>
          <w:rFonts w:hint="cs"/>
          <w:color w:val="000000"/>
          <w:spacing w:val="0"/>
          <w:kern w:val="0"/>
          <w:sz w:val="20"/>
          <w:rtl/>
        </w:rPr>
        <w:t>ف</w:t>
      </w:r>
      <w:r w:rsidRPr="00523D40">
        <w:rPr>
          <w:color w:val="000000"/>
          <w:spacing w:val="0"/>
          <w:kern w:val="0"/>
          <w:sz w:val="20"/>
          <w:rtl/>
        </w:rPr>
        <w:t>هذه المعلومات</w:t>
      </w:r>
      <w:r w:rsidRPr="00523D40">
        <w:rPr>
          <w:rFonts w:hint="cs"/>
          <w:color w:val="000000"/>
          <w:spacing w:val="0"/>
          <w:kern w:val="0"/>
          <w:sz w:val="20"/>
          <w:rtl/>
        </w:rPr>
        <w:t xml:space="preserve"> تبيّن أيضاً</w:t>
      </w:r>
      <w:r w:rsidRPr="00523D40">
        <w:rPr>
          <w:color w:val="000000"/>
          <w:spacing w:val="0"/>
          <w:kern w:val="0"/>
          <w:sz w:val="20"/>
          <w:rtl/>
        </w:rPr>
        <w:t xml:space="preserve"> </w:t>
      </w:r>
      <w:r w:rsidRPr="00523D40">
        <w:rPr>
          <w:rFonts w:hint="cs"/>
          <w:color w:val="000000"/>
          <w:spacing w:val="0"/>
          <w:kern w:val="0"/>
          <w:sz w:val="20"/>
          <w:rtl/>
        </w:rPr>
        <w:t xml:space="preserve">إلى جانب </w:t>
      </w:r>
      <w:r w:rsidRPr="00523D40">
        <w:rPr>
          <w:color w:val="000000"/>
          <w:spacing w:val="0"/>
          <w:kern w:val="0"/>
          <w:sz w:val="20"/>
          <w:rtl/>
        </w:rPr>
        <w:t>التفاصيل التي</w:t>
      </w:r>
      <w:r w:rsidRPr="00523D40">
        <w:rPr>
          <w:rFonts w:hint="cs"/>
          <w:color w:val="000000"/>
          <w:spacing w:val="0"/>
          <w:kern w:val="0"/>
          <w:sz w:val="20"/>
          <w:rtl/>
        </w:rPr>
        <w:t xml:space="preserve"> أفادت بأنها</w:t>
      </w:r>
      <w:r w:rsidRPr="00523D40">
        <w:rPr>
          <w:color w:val="000000"/>
          <w:spacing w:val="0"/>
          <w:kern w:val="0"/>
          <w:sz w:val="20"/>
          <w:rtl/>
        </w:rPr>
        <w:t xml:space="preserve"> عملت في النيجر في الفترة 2002-2003، </w:t>
      </w:r>
      <w:r w:rsidRPr="00523D40">
        <w:rPr>
          <w:rFonts w:hint="cs"/>
          <w:color w:val="000000"/>
          <w:spacing w:val="0"/>
          <w:kern w:val="0"/>
          <w:sz w:val="20"/>
          <w:rtl/>
        </w:rPr>
        <w:t xml:space="preserve">وهو ما يعنى بالتالي أنها عاشت هناك، </w:t>
      </w:r>
      <w:r w:rsidRPr="00523D40">
        <w:rPr>
          <w:color w:val="000000"/>
          <w:spacing w:val="0"/>
          <w:kern w:val="0"/>
          <w:sz w:val="20"/>
          <w:rtl/>
        </w:rPr>
        <w:t>أنه</w:t>
      </w:r>
      <w:r w:rsidRPr="00523D40">
        <w:rPr>
          <w:rFonts w:hint="cs"/>
          <w:color w:val="000000"/>
          <w:spacing w:val="0"/>
          <w:kern w:val="0"/>
          <w:sz w:val="20"/>
          <w:rtl/>
        </w:rPr>
        <w:t>ا</w:t>
      </w:r>
      <w:r w:rsidRPr="00523D40">
        <w:rPr>
          <w:color w:val="000000"/>
          <w:spacing w:val="0"/>
          <w:kern w:val="0"/>
          <w:sz w:val="20"/>
          <w:rtl/>
        </w:rPr>
        <w:t xml:space="preserve"> </w:t>
      </w:r>
      <w:r w:rsidRPr="00523D40">
        <w:rPr>
          <w:rFonts w:hint="cs"/>
          <w:color w:val="000000"/>
          <w:spacing w:val="0"/>
          <w:kern w:val="0"/>
          <w:sz w:val="20"/>
          <w:rtl/>
        </w:rPr>
        <w:t>لم تتعرض لأية مشاكل</w:t>
      </w:r>
      <w:r w:rsidRPr="00523D40">
        <w:rPr>
          <w:color w:val="000000"/>
          <w:spacing w:val="0"/>
          <w:kern w:val="0"/>
          <w:sz w:val="20"/>
          <w:rtl/>
        </w:rPr>
        <w:t xml:space="preserve"> </w:t>
      </w:r>
      <w:r w:rsidRPr="00523D40">
        <w:rPr>
          <w:rFonts w:hint="cs"/>
          <w:color w:val="000000"/>
          <w:spacing w:val="0"/>
          <w:kern w:val="0"/>
          <w:sz w:val="20"/>
          <w:rtl/>
        </w:rPr>
        <w:t>لدى مغادرتها</w:t>
      </w:r>
      <w:r w:rsidRPr="00523D40">
        <w:rPr>
          <w:color w:val="000000"/>
          <w:spacing w:val="0"/>
          <w:kern w:val="0"/>
          <w:sz w:val="20"/>
          <w:rtl/>
        </w:rPr>
        <w:t xml:space="preserve"> بوروندي خلال </w:t>
      </w:r>
      <w:r w:rsidRPr="00523D40">
        <w:rPr>
          <w:rFonts w:hint="cs"/>
          <w:color w:val="000000"/>
          <w:spacing w:val="0"/>
          <w:kern w:val="0"/>
          <w:sz w:val="20"/>
          <w:rtl/>
        </w:rPr>
        <w:t>هذه الفترة</w:t>
      </w:r>
      <w:r w:rsidRPr="00523D40">
        <w:rPr>
          <w:color w:val="000000"/>
          <w:spacing w:val="0"/>
          <w:kern w:val="0"/>
          <w:sz w:val="20"/>
          <w:rtl/>
        </w:rPr>
        <w:t xml:space="preserve">. </w:t>
      </w:r>
      <w:r w:rsidRPr="00523D40">
        <w:rPr>
          <w:rFonts w:hint="cs"/>
          <w:color w:val="000000"/>
          <w:spacing w:val="0"/>
          <w:kern w:val="0"/>
          <w:sz w:val="20"/>
          <w:rtl/>
        </w:rPr>
        <w:t>وحيث إن صاحبة الشكوى قد صرحت في الطلب الذي قدمته للحصول على التأشيرة بأنها طالبة في جامعة الجزائر، وأوردت عنوان محل إقامتها في هذه المدينة، فمن الواجب افتراض أنها</w:t>
      </w:r>
      <w:r w:rsidRPr="00523D40">
        <w:rPr>
          <w:color w:val="000000"/>
          <w:spacing w:val="0"/>
          <w:kern w:val="0"/>
          <w:sz w:val="20"/>
          <w:rtl/>
        </w:rPr>
        <w:t xml:space="preserve"> </w:t>
      </w:r>
      <w:r w:rsidRPr="00523D40">
        <w:rPr>
          <w:rFonts w:hint="cs"/>
          <w:color w:val="000000"/>
          <w:spacing w:val="0"/>
          <w:kern w:val="0"/>
          <w:sz w:val="20"/>
          <w:rtl/>
        </w:rPr>
        <w:t>عاشت</w:t>
      </w:r>
      <w:r w:rsidRPr="00523D40">
        <w:rPr>
          <w:color w:val="000000"/>
          <w:spacing w:val="0"/>
          <w:kern w:val="0"/>
          <w:sz w:val="20"/>
          <w:rtl/>
        </w:rPr>
        <w:t xml:space="preserve"> في الجزائر العاصمة </w:t>
      </w:r>
      <w:r w:rsidRPr="00523D40">
        <w:rPr>
          <w:rFonts w:hint="cs"/>
          <w:color w:val="000000"/>
          <w:spacing w:val="0"/>
          <w:kern w:val="0"/>
          <w:sz w:val="20"/>
          <w:rtl/>
        </w:rPr>
        <w:t>على الأقل</w:t>
      </w:r>
      <w:r w:rsidRPr="00523D40">
        <w:rPr>
          <w:color w:val="000000"/>
          <w:spacing w:val="0"/>
          <w:kern w:val="0"/>
          <w:sz w:val="20"/>
          <w:rtl/>
        </w:rPr>
        <w:t xml:space="preserve"> خلال </w:t>
      </w:r>
      <w:r w:rsidRPr="00523D40">
        <w:rPr>
          <w:rFonts w:hint="cs"/>
          <w:color w:val="000000"/>
          <w:spacing w:val="0"/>
          <w:kern w:val="0"/>
          <w:sz w:val="20"/>
          <w:rtl/>
        </w:rPr>
        <w:t xml:space="preserve">فترات </w:t>
      </w:r>
      <w:r w:rsidRPr="00523D40">
        <w:rPr>
          <w:color w:val="000000"/>
          <w:spacing w:val="0"/>
          <w:kern w:val="0"/>
          <w:sz w:val="20"/>
          <w:rtl/>
        </w:rPr>
        <w:t>من عام 2006. وفي ضوء هذه الظروف، تخلص الدولة الطرف</w:t>
      </w:r>
      <w:r w:rsidRPr="00523D40">
        <w:rPr>
          <w:rFonts w:hint="cs"/>
          <w:color w:val="000000"/>
          <w:spacing w:val="0"/>
          <w:kern w:val="0"/>
          <w:sz w:val="20"/>
          <w:rtl/>
        </w:rPr>
        <w:t xml:space="preserve"> إلى</w:t>
      </w:r>
      <w:r w:rsidRPr="00523D40">
        <w:rPr>
          <w:color w:val="000000"/>
          <w:spacing w:val="0"/>
          <w:kern w:val="0"/>
          <w:sz w:val="20"/>
          <w:rtl/>
        </w:rPr>
        <w:t xml:space="preserve"> أن من الواضح أن </w:t>
      </w:r>
      <w:r w:rsidRPr="00523D40">
        <w:rPr>
          <w:rFonts w:hint="cs"/>
          <w:color w:val="000000"/>
          <w:spacing w:val="0"/>
          <w:kern w:val="0"/>
          <w:sz w:val="20"/>
          <w:rtl/>
        </w:rPr>
        <w:t xml:space="preserve">صاحبة </w:t>
      </w:r>
      <w:r w:rsidRPr="00523D40">
        <w:rPr>
          <w:color w:val="000000"/>
          <w:spacing w:val="0"/>
          <w:kern w:val="0"/>
          <w:sz w:val="20"/>
          <w:rtl/>
        </w:rPr>
        <w:t xml:space="preserve">الشكوى </w:t>
      </w:r>
      <w:r w:rsidRPr="00523D40">
        <w:rPr>
          <w:rFonts w:hint="cs"/>
          <w:color w:val="000000"/>
          <w:spacing w:val="0"/>
          <w:kern w:val="0"/>
          <w:sz w:val="20"/>
          <w:rtl/>
        </w:rPr>
        <w:t>قد سافرت إلى</w:t>
      </w:r>
      <w:r w:rsidRPr="00523D40">
        <w:rPr>
          <w:color w:val="000000"/>
          <w:spacing w:val="0"/>
          <w:kern w:val="0"/>
          <w:sz w:val="20"/>
          <w:rtl/>
        </w:rPr>
        <w:t xml:space="preserve"> الخارج عدة مرات قبل وصوله</w:t>
      </w:r>
      <w:r w:rsidRPr="00523D40">
        <w:rPr>
          <w:rFonts w:hint="cs"/>
          <w:color w:val="000000"/>
          <w:spacing w:val="0"/>
          <w:kern w:val="0"/>
          <w:sz w:val="20"/>
          <w:rtl/>
        </w:rPr>
        <w:t>ا</w:t>
      </w:r>
      <w:r w:rsidRPr="00523D40">
        <w:rPr>
          <w:color w:val="000000"/>
          <w:spacing w:val="0"/>
          <w:kern w:val="0"/>
          <w:sz w:val="20"/>
          <w:rtl/>
        </w:rPr>
        <w:t xml:space="preserve"> إلى السويد في أواخر عام 2006 لطلب</w:t>
      </w:r>
      <w:r w:rsidRPr="00523D40">
        <w:rPr>
          <w:rFonts w:hint="cs"/>
          <w:color w:val="000000"/>
          <w:spacing w:val="0"/>
          <w:kern w:val="0"/>
          <w:sz w:val="20"/>
          <w:rtl/>
        </w:rPr>
        <w:t xml:space="preserve"> الحصول على</w:t>
      </w:r>
      <w:r w:rsidRPr="00523D40">
        <w:rPr>
          <w:color w:val="000000"/>
          <w:spacing w:val="0"/>
          <w:kern w:val="0"/>
          <w:sz w:val="20"/>
          <w:rtl/>
        </w:rPr>
        <w:t xml:space="preserve"> الحماية، على عكس ما</w:t>
      </w:r>
      <w:r w:rsidR="00A85948">
        <w:rPr>
          <w:rFonts w:hint="cs"/>
          <w:color w:val="000000"/>
          <w:spacing w:val="0"/>
          <w:kern w:val="0"/>
          <w:sz w:val="20"/>
          <w:rtl/>
        </w:rPr>
        <w:t> </w:t>
      </w:r>
      <w:r w:rsidRPr="00523D40">
        <w:rPr>
          <w:rFonts w:hint="cs"/>
          <w:color w:val="000000"/>
          <w:spacing w:val="0"/>
          <w:kern w:val="0"/>
          <w:sz w:val="20"/>
          <w:rtl/>
        </w:rPr>
        <w:t>أوردته في الطلب الذي قدمته لالتماس</w:t>
      </w:r>
      <w:r w:rsidRPr="00523D40">
        <w:rPr>
          <w:color w:val="000000"/>
          <w:spacing w:val="0"/>
          <w:kern w:val="0"/>
          <w:sz w:val="20"/>
          <w:rtl/>
        </w:rPr>
        <w:t xml:space="preserve"> اللجوء</w:t>
      </w:r>
      <w:r w:rsidRPr="00523D40">
        <w:rPr>
          <w:rFonts w:hint="cs"/>
          <w:color w:val="000000"/>
          <w:spacing w:val="0"/>
          <w:kern w:val="0"/>
          <w:sz w:val="20"/>
          <w:rtl/>
        </w:rPr>
        <w:t>.</w:t>
      </w:r>
    </w:p>
    <w:p w:rsidR="00523D40" w:rsidRPr="00523D40" w:rsidRDefault="00523D40" w:rsidP="00523D40">
      <w:pPr>
        <w:pStyle w:val="SingleTxtGA"/>
        <w:jc w:val="lowKashida"/>
        <w:rPr>
          <w:color w:val="000000"/>
          <w:spacing w:val="0"/>
          <w:kern w:val="0"/>
          <w:sz w:val="20"/>
          <w:rtl/>
        </w:rPr>
      </w:pPr>
      <w:r w:rsidRPr="00523D40">
        <w:rPr>
          <w:color w:val="000000"/>
          <w:spacing w:val="0"/>
          <w:kern w:val="0"/>
          <w:sz w:val="20"/>
          <w:rtl/>
          <w:lang w:val="en-CA"/>
        </w:rPr>
        <w:t>4-12</w:t>
      </w:r>
      <w:r w:rsidRPr="00523D40">
        <w:rPr>
          <w:color w:val="000000"/>
          <w:spacing w:val="0"/>
          <w:kern w:val="0"/>
          <w:sz w:val="20"/>
          <w:rtl/>
          <w:lang w:val="en-CA"/>
        </w:rPr>
        <w:tab/>
      </w:r>
      <w:r w:rsidRPr="00523D40">
        <w:rPr>
          <w:color w:val="000000"/>
          <w:spacing w:val="0"/>
          <w:kern w:val="0"/>
          <w:sz w:val="20"/>
          <w:rtl/>
        </w:rPr>
        <w:t>وت</w:t>
      </w:r>
      <w:r w:rsidRPr="00523D40">
        <w:rPr>
          <w:rFonts w:hint="cs"/>
          <w:color w:val="000000"/>
          <w:spacing w:val="0"/>
          <w:kern w:val="0"/>
          <w:sz w:val="20"/>
          <w:rtl/>
        </w:rPr>
        <w:t>رى</w:t>
      </w:r>
      <w:r w:rsidRPr="00523D40">
        <w:rPr>
          <w:color w:val="000000"/>
          <w:spacing w:val="0"/>
          <w:kern w:val="0"/>
          <w:sz w:val="20"/>
          <w:rtl/>
        </w:rPr>
        <w:t xml:space="preserve"> الدولة الطرف أيضا</w:t>
      </w:r>
      <w:r w:rsidRPr="00523D40">
        <w:rPr>
          <w:rFonts w:hint="cs"/>
          <w:color w:val="000000"/>
          <w:spacing w:val="0"/>
          <w:kern w:val="0"/>
          <w:sz w:val="20"/>
          <w:rtl/>
        </w:rPr>
        <w:t>ً</w:t>
      </w:r>
      <w:r w:rsidRPr="00523D40">
        <w:rPr>
          <w:color w:val="000000"/>
          <w:spacing w:val="0"/>
          <w:kern w:val="0"/>
          <w:sz w:val="20"/>
          <w:rtl/>
        </w:rPr>
        <w:t xml:space="preserve"> أن التفاصيل </w:t>
      </w:r>
      <w:r w:rsidRPr="00523D40">
        <w:rPr>
          <w:rFonts w:hint="cs"/>
          <w:color w:val="000000"/>
          <w:spacing w:val="0"/>
          <w:kern w:val="0"/>
          <w:sz w:val="20"/>
          <w:rtl/>
        </w:rPr>
        <w:t>الواردة في إفادات صاحبة</w:t>
      </w:r>
      <w:r w:rsidRPr="00523D40">
        <w:rPr>
          <w:color w:val="000000"/>
          <w:spacing w:val="0"/>
          <w:kern w:val="0"/>
          <w:sz w:val="20"/>
          <w:rtl/>
        </w:rPr>
        <w:t xml:space="preserve"> الشكوى في طلب اللجوء هي </w:t>
      </w:r>
      <w:r w:rsidRPr="00523D40">
        <w:rPr>
          <w:rFonts w:hint="cs"/>
          <w:color w:val="000000"/>
          <w:spacing w:val="0"/>
          <w:kern w:val="0"/>
          <w:sz w:val="20"/>
          <w:rtl/>
        </w:rPr>
        <w:t xml:space="preserve">إفادات </w:t>
      </w:r>
      <w:r w:rsidRPr="00523D40">
        <w:rPr>
          <w:color w:val="000000"/>
          <w:spacing w:val="0"/>
          <w:kern w:val="0"/>
          <w:sz w:val="20"/>
          <w:rtl/>
        </w:rPr>
        <w:t xml:space="preserve">متناقضة في حد ذاتها. </w:t>
      </w:r>
      <w:r w:rsidRPr="00523D40">
        <w:rPr>
          <w:rFonts w:hint="cs"/>
          <w:color w:val="000000"/>
          <w:spacing w:val="0"/>
          <w:kern w:val="0"/>
          <w:sz w:val="20"/>
          <w:rtl/>
        </w:rPr>
        <w:t>ولا توجد مصداقية ل</w:t>
      </w:r>
      <w:r w:rsidRPr="00523D40">
        <w:rPr>
          <w:color w:val="000000"/>
          <w:spacing w:val="0"/>
          <w:kern w:val="0"/>
          <w:sz w:val="20"/>
          <w:rtl/>
        </w:rPr>
        <w:t xml:space="preserve">لمعلومات </w:t>
      </w:r>
      <w:r w:rsidRPr="00523D40">
        <w:rPr>
          <w:rFonts w:hint="cs"/>
          <w:color w:val="000000"/>
          <w:spacing w:val="0"/>
          <w:kern w:val="0"/>
          <w:sz w:val="20"/>
          <w:rtl/>
        </w:rPr>
        <w:t xml:space="preserve">التي أدلت بها صاحبة </w:t>
      </w:r>
      <w:r w:rsidRPr="00523D40">
        <w:rPr>
          <w:color w:val="000000"/>
          <w:spacing w:val="0"/>
          <w:kern w:val="0"/>
          <w:sz w:val="20"/>
          <w:rtl/>
        </w:rPr>
        <w:t>الشكوى</w:t>
      </w:r>
      <w:r w:rsidRPr="00523D40">
        <w:rPr>
          <w:rFonts w:hint="cs"/>
          <w:color w:val="000000"/>
          <w:spacing w:val="0"/>
          <w:kern w:val="0"/>
          <w:sz w:val="20"/>
          <w:rtl/>
        </w:rPr>
        <w:t xml:space="preserve"> وأكدت فيها</w:t>
      </w:r>
      <w:r w:rsidRPr="00523D40">
        <w:rPr>
          <w:color w:val="000000"/>
          <w:spacing w:val="0"/>
          <w:kern w:val="0"/>
          <w:sz w:val="20"/>
          <w:rtl/>
        </w:rPr>
        <w:t xml:space="preserve"> أنها كانت قريبة بما فيه الكفاية</w:t>
      </w:r>
      <w:r w:rsidRPr="00523D40">
        <w:rPr>
          <w:rFonts w:hint="cs"/>
          <w:color w:val="000000"/>
          <w:spacing w:val="0"/>
          <w:kern w:val="0"/>
          <w:sz w:val="20"/>
          <w:rtl/>
        </w:rPr>
        <w:t xml:space="preserve"> من منزلها</w:t>
      </w:r>
      <w:r w:rsidRPr="00523D40">
        <w:rPr>
          <w:color w:val="000000"/>
          <w:spacing w:val="0"/>
          <w:kern w:val="0"/>
          <w:sz w:val="20"/>
          <w:rtl/>
        </w:rPr>
        <w:t xml:space="preserve"> لسماع </w:t>
      </w:r>
      <w:r w:rsidRPr="00523D40">
        <w:rPr>
          <w:rFonts w:hint="cs"/>
          <w:color w:val="000000"/>
          <w:spacing w:val="0"/>
          <w:kern w:val="0"/>
          <w:sz w:val="20"/>
          <w:rtl/>
        </w:rPr>
        <w:t xml:space="preserve">أفراد </w:t>
      </w:r>
      <w:r w:rsidRPr="00523D40">
        <w:rPr>
          <w:color w:val="000000"/>
          <w:spacing w:val="0"/>
          <w:kern w:val="0"/>
          <w:sz w:val="20"/>
          <w:rtl/>
        </w:rPr>
        <w:t xml:space="preserve">ميليشيا الهوتو </w:t>
      </w:r>
      <w:r w:rsidRPr="00523D40">
        <w:rPr>
          <w:rFonts w:hint="cs"/>
          <w:color w:val="000000"/>
          <w:spacing w:val="0"/>
          <w:kern w:val="0"/>
          <w:sz w:val="20"/>
          <w:rtl/>
        </w:rPr>
        <w:t>وهم يسألون</w:t>
      </w:r>
      <w:r w:rsidRPr="00523D40">
        <w:rPr>
          <w:color w:val="000000"/>
          <w:spacing w:val="0"/>
          <w:kern w:val="0"/>
          <w:sz w:val="20"/>
          <w:rtl/>
        </w:rPr>
        <w:t xml:space="preserve"> شقيقها عنها، </w:t>
      </w:r>
      <w:r w:rsidRPr="00523D40">
        <w:rPr>
          <w:rFonts w:hint="cs"/>
          <w:color w:val="000000"/>
          <w:spacing w:val="0"/>
          <w:kern w:val="0"/>
          <w:sz w:val="20"/>
          <w:rtl/>
        </w:rPr>
        <w:t>وحدوث ذلك، على حد زعمها، قبل لحظات من قتله،</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 xml:space="preserve">دون أن </w:t>
      </w:r>
      <w:r w:rsidRPr="00523D40">
        <w:rPr>
          <w:rFonts w:hint="cs"/>
          <w:color w:val="000000"/>
          <w:spacing w:val="0"/>
          <w:kern w:val="0"/>
          <w:sz w:val="20"/>
          <w:rtl/>
        </w:rPr>
        <w:t>يراها</w:t>
      </w:r>
      <w:r w:rsidRPr="00523D40">
        <w:rPr>
          <w:color w:val="000000"/>
          <w:spacing w:val="0"/>
          <w:kern w:val="0"/>
          <w:sz w:val="20"/>
          <w:rtl/>
        </w:rPr>
        <w:t xml:space="preserve"> الجنود</w:t>
      </w:r>
      <w:r w:rsidRPr="00523D40">
        <w:rPr>
          <w:rFonts w:hint="cs"/>
          <w:color w:val="000000"/>
          <w:spacing w:val="0"/>
          <w:kern w:val="0"/>
          <w:sz w:val="20"/>
          <w:rtl/>
        </w:rPr>
        <w:t xml:space="preserve">. </w:t>
      </w:r>
      <w:r w:rsidRPr="00523D40">
        <w:rPr>
          <w:color w:val="000000"/>
          <w:spacing w:val="0"/>
          <w:kern w:val="0"/>
          <w:sz w:val="20"/>
          <w:rtl/>
        </w:rPr>
        <w:t>وت</w:t>
      </w:r>
      <w:r w:rsidRPr="00523D40">
        <w:rPr>
          <w:rFonts w:hint="cs"/>
          <w:color w:val="000000"/>
          <w:spacing w:val="0"/>
          <w:kern w:val="0"/>
          <w:sz w:val="20"/>
          <w:rtl/>
        </w:rPr>
        <w:t>عتبر</w:t>
      </w:r>
      <w:r w:rsidRPr="00523D40">
        <w:rPr>
          <w:color w:val="000000"/>
          <w:spacing w:val="0"/>
          <w:kern w:val="0"/>
          <w:sz w:val="20"/>
          <w:rtl/>
        </w:rPr>
        <w:t xml:space="preserve"> الدولة الطرف أيضا</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معلومات</w:t>
      </w:r>
      <w:r w:rsidRPr="00523D40">
        <w:rPr>
          <w:rFonts w:hint="cs"/>
          <w:color w:val="000000"/>
          <w:spacing w:val="0"/>
          <w:kern w:val="0"/>
          <w:sz w:val="20"/>
          <w:rtl/>
        </w:rPr>
        <w:t xml:space="preserve"> التي قدمتها صاحبة</w:t>
      </w:r>
      <w:r w:rsidRPr="00523D40">
        <w:rPr>
          <w:color w:val="000000"/>
          <w:spacing w:val="0"/>
          <w:kern w:val="0"/>
          <w:sz w:val="20"/>
          <w:rtl/>
        </w:rPr>
        <w:t xml:space="preserve"> الشكوى عن </w:t>
      </w:r>
      <w:r w:rsidRPr="00523D40">
        <w:rPr>
          <w:rFonts w:hint="cs"/>
          <w:color w:val="000000"/>
          <w:spacing w:val="0"/>
          <w:kern w:val="0"/>
          <w:sz w:val="20"/>
          <w:rtl/>
        </w:rPr>
        <w:t>الكيفية التي</w:t>
      </w:r>
      <w:r w:rsidRPr="00523D40">
        <w:rPr>
          <w:color w:val="000000"/>
          <w:spacing w:val="0"/>
          <w:kern w:val="0"/>
          <w:sz w:val="20"/>
          <w:rtl/>
        </w:rPr>
        <w:t xml:space="preserve"> تمكنت</w:t>
      </w:r>
      <w:r w:rsidRPr="00523D40">
        <w:rPr>
          <w:rFonts w:hint="cs"/>
          <w:color w:val="000000"/>
          <w:spacing w:val="0"/>
          <w:kern w:val="0"/>
          <w:sz w:val="20"/>
          <w:rtl/>
        </w:rPr>
        <w:t xml:space="preserve"> بها في ذلك الحين</w:t>
      </w:r>
      <w:r w:rsidRPr="00523D40">
        <w:rPr>
          <w:color w:val="000000"/>
          <w:spacing w:val="0"/>
          <w:kern w:val="0"/>
          <w:sz w:val="20"/>
          <w:rtl/>
        </w:rPr>
        <w:t xml:space="preserve"> من الهرب </w:t>
      </w:r>
      <w:r w:rsidRPr="00523D40">
        <w:rPr>
          <w:rFonts w:hint="cs"/>
          <w:color w:val="000000"/>
          <w:spacing w:val="0"/>
          <w:kern w:val="0"/>
          <w:sz w:val="20"/>
          <w:rtl/>
        </w:rPr>
        <w:t xml:space="preserve">بعيداً عن منزلها </w:t>
      </w:r>
      <w:r w:rsidRPr="00523D40">
        <w:rPr>
          <w:color w:val="000000"/>
          <w:spacing w:val="0"/>
          <w:kern w:val="0"/>
          <w:sz w:val="20"/>
          <w:rtl/>
        </w:rPr>
        <w:t>و</w:t>
      </w:r>
      <w:r w:rsidRPr="00523D40">
        <w:rPr>
          <w:rFonts w:hint="cs"/>
          <w:color w:val="000000"/>
          <w:spacing w:val="0"/>
          <w:kern w:val="0"/>
          <w:sz w:val="20"/>
          <w:rtl/>
        </w:rPr>
        <w:t>بقائها لمدة شهرين مع صديق</w:t>
      </w:r>
      <w:r w:rsidRPr="00523D40">
        <w:rPr>
          <w:color w:val="000000"/>
          <w:spacing w:val="0"/>
          <w:kern w:val="0"/>
          <w:sz w:val="20"/>
          <w:rtl/>
        </w:rPr>
        <w:t xml:space="preserve"> </w:t>
      </w:r>
      <w:r w:rsidRPr="00523D40">
        <w:rPr>
          <w:rFonts w:hint="cs"/>
          <w:color w:val="000000"/>
          <w:spacing w:val="0"/>
          <w:kern w:val="0"/>
          <w:sz w:val="20"/>
          <w:rtl/>
        </w:rPr>
        <w:t xml:space="preserve">يقيم على </w:t>
      </w:r>
      <w:r w:rsidRPr="00523D40">
        <w:rPr>
          <w:color w:val="000000"/>
          <w:spacing w:val="0"/>
          <w:kern w:val="0"/>
          <w:sz w:val="20"/>
          <w:rtl/>
        </w:rPr>
        <w:t>بعد مسافة قصيرة</w:t>
      </w:r>
      <w:r w:rsidRPr="00523D40">
        <w:rPr>
          <w:rFonts w:hint="cs"/>
          <w:color w:val="000000"/>
          <w:spacing w:val="0"/>
          <w:kern w:val="0"/>
          <w:sz w:val="20"/>
          <w:rtl/>
        </w:rPr>
        <w:t xml:space="preserve"> من هذا المنزل</w:t>
      </w:r>
      <w:r w:rsidRPr="00523D40">
        <w:rPr>
          <w:color w:val="000000"/>
          <w:spacing w:val="0"/>
          <w:kern w:val="0"/>
          <w:sz w:val="20"/>
          <w:rtl/>
        </w:rPr>
        <w:t xml:space="preserve"> دون أن </w:t>
      </w:r>
      <w:r w:rsidRPr="00523D40">
        <w:rPr>
          <w:rFonts w:hint="cs"/>
          <w:color w:val="000000"/>
          <w:spacing w:val="0"/>
          <w:kern w:val="0"/>
          <w:sz w:val="20"/>
          <w:rtl/>
        </w:rPr>
        <w:t xml:space="preserve">يُفتش عنها أو يعثر عليها في هذا المكان هي معلومات عديمة المصداقية. </w:t>
      </w:r>
      <w:r w:rsidRPr="00523D40">
        <w:rPr>
          <w:color w:val="000000"/>
          <w:spacing w:val="0"/>
          <w:kern w:val="0"/>
          <w:sz w:val="20"/>
          <w:rtl/>
        </w:rPr>
        <w:t>و</w:t>
      </w:r>
      <w:r w:rsidRPr="00523D40">
        <w:rPr>
          <w:rFonts w:hint="cs"/>
          <w:color w:val="000000"/>
          <w:spacing w:val="0"/>
          <w:kern w:val="0"/>
          <w:sz w:val="20"/>
          <w:rtl/>
        </w:rPr>
        <w:t xml:space="preserve">ترى الدولة الطرف أن </w:t>
      </w:r>
      <w:r w:rsidRPr="00523D40">
        <w:rPr>
          <w:color w:val="000000"/>
          <w:spacing w:val="0"/>
          <w:kern w:val="0"/>
          <w:sz w:val="20"/>
          <w:rtl/>
        </w:rPr>
        <w:t xml:space="preserve">من الواضح </w:t>
      </w:r>
      <w:r w:rsidRPr="00523D40">
        <w:rPr>
          <w:rFonts w:hint="cs"/>
          <w:color w:val="000000"/>
          <w:spacing w:val="0"/>
          <w:kern w:val="0"/>
          <w:sz w:val="20"/>
          <w:rtl/>
        </w:rPr>
        <w:t>أيضاً أن صاحبة</w:t>
      </w:r>
      <w:r w:rsidRPr="00523D40">
        <w:rPr>
          <w:color w:val="000000"/>
          <w:spacing w:val="0"/>
          <w:kern w:val="0"/>
          <w:sz w:val="20"/>
          <w:rtl/>
        </w:rPr>
        <w:t xml:space="preserve"> الشكوى </w:t>
      </w:r>
      <w:r w:rsidRPr="00523D40">
        <w:rPr>
          <w:rFonts w:hint="cs"/>
          <w:color w:val="000000"/>
          <w:spacing w:val="0"/>
          <w:kern w:val="0"/>
          <w:sz w:val="20"/>
          <w:rtl/>
        </w:rPr>
        <w:t>كانت كاذبة حينما أكدت عدم حيازتها</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 xml:space="preserve">جواز سفر، </w:t>
      </w:r>
      <w:r w:rsidRPr="00523D40">
        <w:rPr>
          <w:rFonts w:hint="cs"/>
          <w:color w:val="000000"/>
          <w:spacing w:val="0"/>
          <w:kern w:val="0"/>
          <w:sz w:val="20"/>
          <w:rtl/>
        </w:rPr>
        <w:t>وهو ما</w:t>
      </w:r>
      <w:r w:rsidRPr="00523D40">
        <w:rPr>
          <w:color w:val="000000"/>
          <w:spacing w:val="0"/>
          <w:kern w:val="0"/>
          <w:sz w:val="20"/>
          <w:rtl/>
        </w:rPr>
        <w:t xml:space="preserve"> كشفت</w:t>
      </w:r>
      <w:r w:rsidRPr="00523D40">
        <w:rPr>
          <w:rFonts w:hint="cs"/>
          <w:color w:val="000000"/>
          <w:spacing w:val="0"/>
          <w:kern w:val="0"/>
          <w:sz w:val="20"/>
          <w:rtl/>
        </w:rPr>
        <w:t xml:space="preserve"> عنه</w:t>
      </w:r>
      <w:r w:rsidRPr="00523D40">
        <w:rPr>
          <w:color w:val="000000"/>
          <w:spacing w:val="0"/>
          <w:kern w:val="0"/>
          <w:sz w:val="20"/>
          <w:rtl/>
        </w:rPr>
        <w:t xml:space="preserve"> </w:t>
      </w:r>
      <w:r w:rsidRPr="00523D40">
        <w:rPr>
          <w:rFonts w:hint="cs"/>
          <w:color w:val="000000"/>
          <w:spacing w:val="0"/>
          <w:kern w:val="0"/>
          <w:sz w:val="20"/>
          <w:rtl/>
        </w:rPr>
        <w:t>حينما</w:t>
      </w:r>
      <w:r w:rsidRPr="00523D40">
        <w:rPr>
          <w:color w:val="000000"/>
          <w:spacing w:val="0"/>
          <w:kern w:val="0"/>
          <w:sz w:val="20"/>
          <w:rtl/>
        </w:rPr>
        <w:t xml:space="preserve"> </w:t>
      </w:r>
      <w:r w:rsidRPr="00523D40">
        <w:rPr>
          <w:rFonts w:hint="cs"/>
          <w:color w:val="000000"/>
          <w:spacing w:val="0"/>
          <w:kern w:val="0"/>
          <w:sz w:val="20"/>
          <w:rtl/>
        </w:rPr>
        <w:t>ووجهت</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 xml:space="preserve">المعلومات </w:t>
      </w:r>
      <w:r w:rsidRPr="00523D40">
        <w:rPr>
          <w:rFonts w:hint="cs"/>
          <w:color w:val="000000"/>
          <w:spacing w:val="0"/>
          <w:kern w:val="0"/>
          <w:sz w:val="20"/>
          <w:rtl/>
        </w:rPr>
        <w:t>المتعلقة</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طلب</w:t>
      </w:r>
      <w:r w:rsidRPr="00523D40">
        <w:rPr>
          <w:rFonts w:hint="cs"/>
          <w:color w:val="000000"/>
          <w:spacing w:val="0"/>
          <w:kern w:val="0"/>
          <w:sz w:val="20"/>
          <w:rtl/>
        </w:rPr>
        <w:t xml:space="preserve"> الحصول على</w:t>
      </w:r>
      <w:r w:rsidRPr="00523D40">
        <w:rPr>
          <w:color w:val="000000"/>
          <w:spacing w:val="0"/>
          <w:kern w:val="0"/>
          <w:sz w:val="20"/>
          <w:rtl/>
        </w:rPr>
        <w:t xml:space="preserve"> التأشيرة</w:t>
      </w:r>
      <w:r w:rsidRPr="00523D40">
        <w:rPr>
          <w:color w:val="000000"/>
          <w:spacing w:val="0"/>
          <w:kern w:val="0"/>
          <w:sz w:val="20"/>
        </w:rPr>
        <w:t>.</w:t>
      </w:r>
    </w:p>
    <w:p w:rsidR="00523D40" w:rsidRPr="00A85948" w:rsidRDefault="00523D40" w:rsidP="00523D40">
      <w:pPr>
        <w:pStyle w:val="SingleTxtGA"/>
        <w:jc w:val="lowKashida"/>
        <w:rPr>
          <w:rFonts w:hint="cs"/>
          <w:color w:val="000000"/>
          <w:spacing w:val="-4"/>
          <w:kern w:val="0"/>
          <w:sz w:val="20"/>
          <w:szCs w:val="20"/>
          <w:rtl/>
        </w:rPr>
      </w:pPr>
      <w:r w:rsidRPr="00A85948">
        <w:rPr>
          <w:color w:val="000000"/>
          <w:spacing w:val="-2"/>
          <w:kern w:val="0"/>
          <w:sz w:val="20"/>
          <w:rtl/>
          <w:lang w:val="en-CA"/>
        </w:rPr>
        <w:t>4-13</w:t>
      </w:r>
      <w:r w:rsidRPr="00A85948">
        <w:rPr>
          <w:color w:val="000000"/>
          <w:spacing w:val="-2"/>
          <w:kern w:val="0"/>
          <w:sz w:val="20"/>
          <w:rtl/>
          <w:lang w:val="en-CA"/>
        </w:rPr>
        <w:tab/>
      </w:r>
      <w:r w:rsidRPr="00A85948">
        <w:rPr>
          <w:rFonts w:hint="cs"/>
          <w:color w:val="000000"/>
          <w:spacing w:val="-2"/>
          <w:kern w:val="0"/>
          <w:sz w:val="20"/>
          <w:rtl/>
          <w:lang w:val="en-CA"/>
        </w:rPr>
        <w:t>و</w:t>
      </w:r>
      <w:r w:rsidRPr="00A85948">
        <w:rPr>
          <w:color w:val="000000"/>
          <w:spacing w:val="-2"/>
          <w:kern w:val="0"/>
          <w:sz w:val="20"/>
          <w:rtl/>
        </w:rPr>
        <w:t xml:space="preserve">في ضوء ما </w:t>
      </w:r>
      <w:r w:rsidRPr="00A85948">
        <w:rPr>
          <w:rFonts w:hint="cs"/>
          <w:color w:val="000000"/>
          <w:spacing w:val="-2"/>
          <w:kern w:val="0"/>
          <w:sz w:val="20"/>
          <w:rtl/>
        </w:rPr>
        <w:t>تقدم، وبسبب عدم</w:t>
      </w:r>
      <w:r w:rsidRPr="00A85948">
        <w:rPr>
          <w:color w:val="000000"/>
          <w:spacing w:val="-2"/>
          <w:kern w:val="0"/>
          <w:sz w:val="20"/>
          <w:rtl/>
        </w:rPr>
        <w:t xml:space="preserve"> </w:t>
      </w:r>
      <w:r w:rsidRPr="00A85948">
        <w:rPr>
          <w:rFonts w:hint="cs"/>
          <w:color w:val="000000"/>
          <w:spacing w:val="-2"/>
          <w:kern w:val="0"/>
          <w:sz w:val="20"/>
          <w:rtl/>
        </w:rPr>
        <w:t>كفاية الوصف الذي قدمته</w:t>
      </w:r>
      <w:r w:rsidRPr="00A85948">
        <w:rPr>
          <w:color w:val="000000"/>
          <w:spacing w:val="-2"/>
          <w:kern w:val="0"/>
          <w:sz w:val="20"/>
          <w:rtl/>
        </w:rPr>
        <w:t xml:space="preserve"> صاحب</w:t>
      </w:r>
      <w:r w:rsidRPr="00A85948">
        <w:rPr>
          <w:rFonts w:hint="cs"/>
          <w:color w:val="000000"/>
          <w:spacing w:val="-2"/>
          <w:kern w:val="0"/>
          <w:sz w:val="20"/>
          <w:rtl/>
        </w:rPr>
        <w:t>ة</w:t>
      </w:r>
      <w:r w:rsidRPr="00A85948">
        <w:rPr>
          <w:color w:val="000000"/>
          <w:spacing w:val="-2"/>
          <w:kern w:val="0"/>
          <w:sz w:val="20"/>
          <w:rtl/>
        </w:rPr>
        <w:t xml:space="preserve"> الشكوى </w:t>
      </w:r>
      <w:r w:rsidRPr="00A85948">
        <w:rPr>
          <w:rFonts w:hint="cs"/>
          <w:color w:val="000000"/>
          <w:spacing w:val="-2"/>
          <w:kern w:val="0"/>
          <w:sz w:val="20"/>
          <w:rtl/>
        </w:rPr>
        <w:t>عن</w:t>
      </w:r>
      <w:r w:rsidRPr="00A85948">
        <w:rPr>
          <w:color w:val="000000"/>
          <w:spacing w:val="-2"/>
          <w:kern w:val="0"/>
          <w:sz w:val="20"/>
          <w:rtl/>
        </w:rPr>
        <w:t xml:space="preserve"> </w:t>
      </w:r>
      <w:r w:rsidRPr="00A85948">
        <w:rPr>
          <w:rFonts w:hint="cs"/>
          <w:color w:val="000000"/>
          <w:spacing w:val="-2"/>
          <w:kern w:val="0"/>
          <w:sz w:val="20"/>
          <w:rtl/>
        </w:rPr>
        <w:t>الاستعدادات التي اتخذتها</w:t>
      </w:r>
      <w:r w:rsidRPr="00A85948">
        <w:rPr>
          <w:color w:val="000000"/>
          <w:spacing w:val="-2"/>
          <w:kern w:val="0"/>
          <w:sz w:val="20"/>
          <w:rtl/>
        </w:rPr>
        <w:t xml:space="preserve"> </w:t>
      </w:r>
      <w:r w:rsidRPr="00A85948">
        <w:rPr>
          <w:rFonts w:hint="cs"/>
          <w:color w:val="000000"/>
          <w:spacing w:val="-2"/>
          <w:kern w:val="0"/>
          <w:sz w:val="20"/>
          <w:rtl/>
        </w:rPr>
        <w:t>لمغادرة بوروندي</w:t>
      </w:r>
      <w:r w:rsidRPr="00A85948">
        <w:rPr>
          <w:color w:val="000000"/>
          <w:spacing w:val="-2"/>
          <w:kern w:val="0"/>
          <w:sz w:val="20"/>
          <w:rtl/>
        </w:rPr>
        <w:t>، تخلص الدولة الطرف</w:t>
      </w:r>
      <w:r w:rsidRPr="00A85948">
        <w:rPr>
          <w:rFonts w:hint="cs"/>
          <w:color w:val="000000"/>
          <w:spacing w:val="-2"/>
          <w:kern w:val="0"/>
          <w:sz w:val="20"/>
          <w:rtl/>
        </w:rPr>
        <w:t xml:space="preserve"> إلى</w:t>
      </w:r>
      <w:r w:rsidRPr="00A85948">
        <w:rPr>
          <w:color w:val="000000"/>
          <w:spacing w:val="-2"/>
          <w:kern w:val="0"/>
          <w:sz w:val="20"/>
          <w:rtl/>
        </w:rPr>
        <w:t xml:space="preserve"> أن </w:t>
      </w:r>
      <w:r w:rsidRPr="00A85948">
        <w:rPr>
          <w:rFonts w:hint="cs"/>
          <w:color w:val="000000"/>
          <w:spacing w:val="-2"/>
          <w:kern w:val="0"/>
          <w:sz w:val="20"/>
          <w:rtl/>
        </w:rPr>
        <w:t>مصداقية الإفادات</w:t>
      </w:r>
      <w:r w:rsidRPr="00523D40">
        <w:rPr>
          <w:color w:val="000000"/>
          <w:spacing w:val="0"/>
          <w:kern w:val="0"/>
          <w:sz w:val="20"/>
          <w:rtl/>
        </w:rPr>
        <w:t xml:space="preserve"> </w:t>
      </w:r>
      <w:r w:rsidRPr="00A85948">
        <w:rPr>
          <w:rFonts w:hint="cs"/>
          <w:color w:val="000000"/>
          <w:spacing w:val="-2"/>
          <w:kern w:val="0"/>
          <w:sz w:val="20"/>
          <w:rtl/>
        </w:rPr>
        <w:t>والادعاءات التي قدمتها صاحبة الشكوى في قضية</w:t>
      </w:r>
      <w:r w:rsidRPr="00A85948">
        <w:rPr>
          <w:color w:val="000000"/>
          <w:spacing w:val="-2"/>
          <w:kern w:val="0"/>
          <w:sz w:val="20"/>
          <w:rtl/>
        </w:rPr>
        <w:t xml:space="preserve"> اللجوء </w:t>
      </w:r>
      <w:r w:rsidRPr="00A85948">
        <w:rPr>
          <w:rFonts w:hint="cs"/>
          <w:color w:val="000000"/>
          <w:spacing w:val="-2"/>
          <w:kern w:val="0"/>
          <w:sz w:val="20"/>
          <w:rtl/>
        </w:rPr>
        <w:t>المرفوعة أمام</w:t>
      </w:r>
      <w:r w:rsidRPr="00A85948">
        <w:rPr>
          <w:color w:val="000000"/>
          <w:spacing w:val="-2"/>
          <w:kern w:val="0"/>
          <w:sz w:val="20"/>
          <w:rtl/>
        </w:rPr>
        <w:t xml:space="preserve"> سلطات الهجرة السويدية </w:t>
      </w:r>
      <w:r w:rsidRPr="00A85948">
        <w:rPr>
          <w:rFonts w:hint="cs"/>
          <w:color w:val="000000"/>
          <w:spacing w:val="-2"/>
          <w:kern w:val="0"/>
          <w:sz w:val="20"/>
          <w:rtl/>
        </w:rPr>
        <w:t>وأمام</w:t>
      </w:r>
      <w:r w:rsidRPr="00A85948">
        <w:rPr>
          <w:color w:val="000000"/>
          <w:spacing w:val="-2"/>
          <w:kern w:val="0"/>
          <w:sz w:val="20"/>
          <w:rtl/>
        </w:rPr>
        <w:t xml:space="preserve"> اللجنة ضعيفة </w:t>
      </w:r>
      <w:r w:rsidRPr="00A85948">
        <w:rPr>
          <w:rFonts w:hint="cs"/>
          <w:color w:val="000000"/>
          <w:spacing w:val="-2"/>
          <w:kern w:val="0"/>
          <w:sz w:val="20"/>
          <w:rtl/>
        </w:rPr>
        <w:t xml:space="preserve">للغاية. </w:t>
      </w:r>
      <w:r w:rsidRPr="00A85948">
        <w:rPr>
          <w:color w:val="000000"/>
          <w:spacing w:val="-2"/>
          <w:kern w:val="0"/>
          <w:sz w:val="20"/>
          <w:rtl/>
        </w:rPr>
        <w:t>وبناء</w:t>
      </w:r>
      <w:r w:rsidRPr="00A85948">
        <w:rPr>
          <w:rFonts w:hint="cs"/>
          <w:color w:val="000000"/>
          <w:spacing w:val="-2"/>
          <w:kern w:val="0"/>
          <w:sz w:val="20"/>
          <w:rtl/>
        </w:rPr>
        <w:t>ً</w:t>
      </w:r>
      <w:r w:rsidRPr="00A85948">
        <w:rPr>
          <w:color w:val="000000"/>
          <w:spacing w:val="-2"/>
          <w:kern w:val="0"/>
          <w:sz w:val="20"/>
          <w:rtl/>
        </w:rPr>
        <w:t xml:space="preserve"> عل</w:t>
      </w:r>
      <w:r w:rsidRPr="00A85948">
        <w:rPr>
          <w:rFonts w:hint="cs"/>
          <w:color w:val="000000"/>
          <w:spacing w:val="-2"/>
          <w:kern w:val="0"/>
          <w:sz w:val="20"/>
          <w:rtl/>
        </w:rPr>
        <w:t>ى ذلك</w:t>
      </w:r>
      <w:r w:rsidRPr="00A85948">
        <w:rPr>
          <w:color w:val="000000"/>
          <w:spacing w:val="-2"/>
          <w:kern w:val="0"/>
          <w:sz w:val="20"/>
          <w:rtl/>
        </w:rPr>
        <w:t xml:space="preserve">، ترى الدولة الطرف أنه لا يمكن أن </w:t>
      </w:r>
      <w:r w:rsidRPr="00A85948">
        <w:rPr>
          <w:rFonts w:hint="cs"/>
          <w:color w:val="000000"/>
          <w:spacing w:val="-2"/>
          <w:kern w:val="0"/>
          <w:sz w:val="20"/>
          <w:rtl/>
        </w:rPr>
        <w:t>يكون</w:t>
      </w:r>
      <w:r w:rsidRPr="00A85948">
        <w:rPr>
          <w:color w:val="000000"/>
          <w:spacing w:val="-2"/>
          <w:kern w:val="0"/>
          <w:sz w:val="20"/>
          <w:rtl/>
        </w:rPr>
        <w:t xml:space="preserve"> "</w:t>
      </w:r>
      <w:r w:rsidRPr="00A85948">
        <w:rPr>
          <w:rFonts w:hint="cs"/>
          <w:color w:val="000000"/>
          <w:spacing w:val="-2"/>
          <w:kern w:val="0"/>
          <w:sz w:val="20"/>
          <w:rtl/>
        </w:rPr>
        <w:t>الشك لصالحها</w:t>
      </w:r>
      <w:r w:rsidRPr="00A85948">
        <w:rPr>
          <w:color w:val="000000"/>
          <w:spacing w:val="-2"/>
          <w:kern w:val="0"/>
          <w:sz w:val="20"/>
          <w:rtl/>
        </w:rPr>
        <w:t>" في هذا البلا</w:t>
      </w:r>
      <w:r w:rsidRPr="00A85948">
        <w:rPr>
          <w:rFonts w:hint="cs"/>
          <w:color w:val="000000"/>
          <w:spacing w:val="-2"/>
          <w:kern w:val="0"/>
          <w:sz w:val="20"/>
          <w:rtl/>
        </w:rPr>
        <w:t>غ.</w:t>
      </w:r>
      <w:r w:rsidRPr="00A85948">
        <w:rPr>
          <w:color w:val="000000"/>
          <w:spacing w:val="-2"/>
          <w:kern w:val="0"/>
          <w:sz w:val="20"/>
          <w:rtl/>
        </w:rPr>
        <w:t xml:space="preserve"> وتخلص الدولة الطرف كذلك</w:t>
      </w:r>
      <w:r w:rsidRPr="00A85948">
        <w:rPr>
          <w:rFonts w:hint="cs"/>
          <w:color w:val="000000"/>
          <w:spacing w:val="-2"/>
          <w:kern w:val="0"/>
          <w:sz w:val="20"/>
          <w:rtl/>
        </w:rPr>
        <w:t xml:space="preserve"> إلى أنه، بالنظر إلى</w:t>
      </w:r>
      <w:r w:rsidRPr="00A85948">
        <w:rPr>
          <w:color w:val="000000"/>
          <w:spacing w:val="-2"/>
          <w:kern w:val="0"/>
          <w:sz w:val="20"/>
          <w:rtl/>
        </w:rPr>
        <w:t xml:space="preserve"> </w:t>
      </w:r>
      <w:r w:rsidRPr="00A85948">
        <w:rPr>
          <w:rFonts w:hint="cs"/>
          <w:color w:val="000000"/>
          <w:spacing w:val="-4"/>
          <w:kern w:val="0"/>
          <w:sz w:val="20"/>
          <w:rtl/>
        </w:rPr>
        <w:t>ضعف مصداقية طلب اللجوء الذي قدمته</w:t>
      </w:r>
      <w:r w:rsidRPr="00A85948">
        <w:rPr>
          <w:color w:val="000000"/>
          <w:spacing w:val="-4"/>
          <w:kern w:val="0"/>
          <w:sz w:val="20"/>
          <w:rtl/>
        </w:rPr>
        <w:t xml:space="preserve"> </w:t>
      </w:r>
      <w:r w:rsidRPr="00A85948">
        <w:rPr>
          <w:rFonts w:hint="cs"/>
          <w:color w:val="000000"/>
          <w:spacing w:val="-4"/>
          <w:kern w:val="0"/>
          <w:sz w:val="20"/>
          <w:rtl/>
        </w:rPr>
        <w:t>صاحبة الشكوى</w:t>
      </w:r>
      <w:r w:rsidRPr="00A85948">
        <w:rPr>
          <w:color w:val="000000"/>
          <w:spacing w:val="-4"/>
          <w:kern w:val="0"/>
          <w:sz w:val="20"/>
          <w:rtl/>
        </w:rPr>
        <w:t xml:space="preserve">، </w:t>
      </w:r>
      <w:r w:rsidRPr="00A85948">
        <w:rPr>
          <w:rFonts w:hint="cs"/>
          <w:color w:val="000000"/>
          <w:spacing w:val="-4"/>
          <w:kern w:val="0"/>
          <w:sz w:val="20"/>
          <w:rtl/>
        </w:rPr>
        <w:t>فلا توجد أية</w:t>
      </w:r>
      <w:r w:rsidRPr="00A85948">
        <w:rPr>
          <w:color w:val="000000"/>
          <w:spacing w:val="-4"/>
          <w:kern w:val="0"/>
          <w:sz w:val="20"/>
          <w:rtl/>
        </w:rPr>
        <w:t xml:space="preserve"> معلومات أو أدلة</w:t>
      </w:r>
      <w:r w:rsidRPr="00A85948">
        <w:rPr>
          <w:rFonts w:hint="cs"/>
          <w:color w:val="000000"/>
          <w:spacing w:val="-4"/>
          <w:kern w:val="0"/>
          <w:sz w:val="20"/>
          <w:rtl/>
        </w:rPr>
        <w:t xml:space="preserve"> أخرى</w:t>
      </w:r>
      <w:r w:rsidRPr="00A85948">
        <w:rPr>
          <w:color w:val="000000"/>
          <w:spacing w:val="-4"/>
          <w:kern w:val="0"/>
          <w:sz w:val="20"/>
          <w:rtl/>
        </w:rPr>
        <w:t xml:space="preserve"> لدعم </w:t>
      </w:r>
      <w:r w:rsidRPr="00A85948">
        <w:rPr>
          <w:rFonts w:hint="cs"/>
          <w:color w:val="000000"/>
          <w:spacing w:val="-4"/>
          <w:kern w:val="0"/>
          <w:sz w:val="20"/>
          <w:rtl/>
        </w:rPr>
        <w:t>إفادتها</w:t>
      </w:r>
      <w:r w:rsidRPr="00A85948">
        <w:rPr>
          <w:color w:val="000000"/>
          <w:spacing w:val="-4"/>
          <w:kern w:val="0"/>
          <w:sz w:val="20"/>
          <w:rtl/>
        </w:rPr>
        <w:t xml:space="preserve"> </w:t>
      </w:r>
      <w:r w:rsidRPr="00A85948">
        <w:rPr>
          <w:rFonts w:hint="cs"/>
          <w:color w:val="000000"/>
          <w:spacing w:val="-4"/>
          <w:kern w:val="0"/>
          <w:sz w:val="20"/>
          <w:rtl/>
        </w:rPr>
        <w:t>ب</w:t>
      </w:r>
      <w:r w:rsidRPr="00A85948">
        <w:rPr>
          <w:color w:val="000000"/>
          <w:spacing w:val="-4"/>
          <w:kern w:val="0"/>
          <w:sz w:val="20"/>
          <w:rtl/>
        </w:rPr>
        <w:t xml:space="preserve">أنها </w:t>
      </w:r>
      <w:r w:rsidRPr="00A85948">
        <w:rPr>
          <w:rFonts w:hint="cs"/>
          <w:color w:val="000000"/>
          <w:spacing w:val="-4"/>
          <w:kern w:val="0"/>
          <w:sz w:val="20"/>
          <w:rtl/>
        </w:rPr>
        <w:t>س</w:t>
      </w:r>
      <w:r w:rsidRPr="00A85948">
        <w:rPr>
          <w:color w:val="000000"/>
          <w:spacing w:val="-4"/>
          <w:kern w:val="0"/>
          <w:sz w:val="20"/>
          <w:rtl/>
        </w:rPr>
        <w:t xml:space="preserve">تواجه خطر التعرض لسوء المعاملة والاغتصاب </w:t>
      </w:r>
      <w:r w:rsidRPr="00A85948">
        <w:rPr>
          <w:rFonts w:hint="cs"/>
          <w:color w:val="000000"/>
          <w:spacing w:val="-4"/>
          <w:kern w:val="0"/>
          <w:sz w:val="20"/>
          <w:rtl/>
        </w:rPr>
        <w:t>على يد</w:t>
      </w:r>
      <w:r w:rsidRPr="00A85948">
        <w:rPr>
          <w:color w:val="000000"/>
          <w:spacing w:val="-4"/>
          <w:kern w:val="0"/>
          <w:sz w:val="20"/>
          <w:rtl/>
        </w:rPr>
        <w:t xml:space="preserve"> ميليشيا الهوتو في بوروندي بسبب الأنشطة </w:t>
      </w:r>
      <w:r w:rsidRPr="00A85948">
        <w:rPr>
          <w:rFonts w:hint="cs"/>
          <w:color w:val="000000"/>
          <w:spacing w:val="-4"/>
          <w:kern w:val="0"/>
          <w:sz w:val="20"/>
          <w:rtl/>
        </w:rPr>
        <w:t>المزعومة التي كان ينفذها شقيقها مع ميليشيا "</w:t>
      </w:r>
      <w:r w:rsidRPr="00A85948">
        <w:rPr>
          <w:color w:val="000000"/>
          <w:spacing w:val="-4"/>
          <w:kern w:val="0"/>
          <w:sz w:val="20"/>
          <w:szCs w:val="20"/>
        </w:rPr>
        <w:t>Sans Échec</w:t>
      </w:r>
      <w:r w:rsidRPr="00A85948">
        <w:rPr>
          <w:rFonts w:hint="cs"/>
          <w:color w:val="000000"/>
          <w:spacing w:val="-4"/>
          <w:kern w:val="0"/>
          <w:sz w:val="20"/>
          <w:rtl/>
        </w:rPr>
        <w:t>".</w:t>
      </w:r>
    </w:p>
    <w:p w:rsidR="00523D40" w:rsidRPr="00523D40" w:rsidRDefault="00523D40" w:rsidP="00A85948">
      <w:pPr>
        <w:pStyle w:val="SingleTxtGA"/>
        <w:jc w:val="lowKashida"/>
        <w:rPr>
          <w:color w:val="000000"/>
          <w:spacing w:val="0"/>
          <w:kern w:val="0"/>
          <w:sz w:val="20"/>
          <w:szCs w:val="20"/>
          <w:rtl/>
        </w:rPr>
      </w:pPr>
      <w:r w:rsidRPr="00523D40">
        <w:rPr>
          <w:color w:val="000000"/>
          <w:spacing w:val="0"/>
          <w:kern w:val="0"/>
          <w:sz w:val="20"/>
          <w:rtl/>
          <w:lang w:val="en-CA"/>
        </w:rPr>
        <w:t>4-14</w:t>
      </w:r>
      <w:r w:rsidRPr="00523D40">
        <w:rPr>
          <w:color w:val="000000"/>
          <w:spacing w:val="0"/>
          <w:kern w:val="0"/>
          <w:sz w:val="20"/>
          <w:rtl/>
          <w:lang w:val="en-CA"/>
        </w:rPr>
        <w:tab/>
      </w:r>
      <w:r w:rsidRPr="00523D40">
        <w:rPr>
          <w:rFonts w:hint="cs"/>
          <w:color w:val="000000"/>
          <w:spacing w:val="0"/>
          <w:kern w:val="0"/>
          <w:sz w:val="20"/>
          <w:rtl/>
        </w:rPr>
        <w:t>وتبعاً لذلك، تحتج</w:t>
      </w:r>
      <w:r w:rsidRPr="00523D40">
        <w:rPr>
          <w:color w:val="000000"/>
          <w:spacing w:val="0"/>
          <w:kern w:val="0"/>
          <w:sz w:val="20"/>
          <w:rtl/>
        </w:rPr>
        <w:t xml:space="preserve"> الدولة الطرف كذلك</w:t>
      </w:r>
      <w:r w:rsidRPr="00523D40">
        <w:rPr>
          <w:rFonts w:hint="cs"/>
          <w:color w:val="000000"/>
          <w:spacing w:val="0"/>
          <w:kern w:val="0"/>
          <w:sz w:val="20"/>
          <w:rtl/>
        </w:rPr>
        <w:t xml:space="preserve"> بأن إفادة صاحبة الشكوى التي تؤكد فيها صدور حكم بالسجن في حقها وإخطارها بذلك والبحث عنها في بوروندي إفادة غير صادقة.</w:t>
      </w:r>
      <w:r w:rsidRPr="00523D40">
        <w:rPr>
          <w:color w:val="000000"/>
          <w:spacing w:val="0"/>
          <w:kern w:val="0"/>
          <w:sz w:val="20"/>
          <w:rtl/>
        </w:rPr>
        <w:t xml:space="preserve"> وتضيف</w:t>
      </w:r>
      <w:r w:rsidRPr="00523D40">
        <w:rPr>
          <w:rFonts w:hint="cs"/>
          <w:color w:val="000000"/>
          <w:spacing w:val="0"/>
          <w:kern w:val="0"/>
          <w:sz w:val="20"/>
          <w:rtl/>
        </w:rPr>
        <w:t xml:space="preserve"> الدولة الطرف</w:t>
      </w:r>
      <w:r w:rsidRPr="00523D40">
        <w:rPr>
          <w:color w:val="000000"/>
          <w:spacing w:val="0"/>
          <w:kern w:val="0"/>
          <w:sz w:val="20"/>
          <w:rtl/>
        </w:rPr>
        <w:t xml:space="preserve"> أن </w:t>
      </w:r>
      <w:r w:rsidRPr="00523D40">
        <w:rPr>
          <w:rFonts w:hint="cs"/>
          <w:color w:val="000000"/>
          <w:spacing w:val="0"/>
          <w:kern w:val="0"/>
          <w:sz w:val="20"/>
          <w:rtl/>
        </w:rPr>
        <w:t>التفسير الذي قدمته صاحبة الشكوى عن كيفيه حصولها على الوثائق التي تؤكد إخطارها والبحث عنها وإدانتها في بوروندي يتسم إلى حد بعيد بعدم الاتساق</w:t>
      </w:r>
      <w:r w:rsidRPr="00523D40">
        <w:rPr>
          <w:color w:val="000000"/>
          <w:spacing w:val="0"/>
          <w:kern w:val="0"/>
          <w:sz w:val="20"/>
          <w:rtl/>
        </w:rPr>
        <w:t xml:space="preserve"> و</w:t>
      </w:r>
      <w:r w:rsidRPr="00523D40">
        <w:rPr>
          <w:rFonts w:hint="cs"/>
          <w:color w:val="000000"/>
          <w:spacing w:val="0"/>
          <w:kern w:val="0"/>
          <w:sz w:val="20"/>
          <w:rtl/>
        </w:rPr>
        <w:t>يصعب استيعابه</w:t>
      </w:r>
      <w:r w:rsidRPr="00523D40">
        <w:rPr>
          <w:color w:val="000000"/>
          <w:spacing w:val="0"/>
          <w:kern w:val="0"/>
          <w:sz w:val="20"/>
          <w:rtl/>
        </w:rPr>
        <w:t xml:space="preserve">، على الرغم من أن </w:t>
      </w:r>
      <w:r w:rsidRPr="00523D40">
        <w:rPr>
          <w:rFonts w:hint="cs"/>
          <w:color w:val="000000"/>
          <w:spacing w:val="0"/>
          <w:kern w:val="0"/>
          <w:sz w:val="20"/>
          <w:rtl/>
        </w:rPr>
        <w:t>صاحبة الشكوى قد قدمته خطياً</w:t>
      </w:r>
      <w:r w:rsidRPr="00523D40">
        <w:rPr>
          <w:color w:val="000000"/>
          <w:spacing w:val="0"/>
          <w:kern w:val="0"/>
          <w:sz w:val="20"/>
          <w:rtl/>
        </w:rPr>
        <w:t xml:space="preserve"> إلى محكمة الهجر</w:t>
      </w:r>
      <w:r w:rsidRPr="00523D40">
        <w:rPr>
          <w:rFonts w:hint="cs"/>
          <w:color w:val="000000"/>
          <w:spacing w:val="0"/>
          <w:kern w:val="0"/>
          <w:sz w:val="20"/>
          <w:rtl/>
        </w:rPr>
        <w:t xml:space="preserve">ة. </w:t>
      </w:r>
      <w:r w:rsidRPr="00523D40">
        <w:rPr>
          <w:color w:val="000000"/>
          <w:spacing w:val="0"/>
          <w:kern w:val="0"/>
          <w:sz w:val="20"/>
          <w:rtl/>
        </w:rPr>
        <w:t>وعلاوة على ذلك، ت</w:t>
      </w:r>
      <w:r w:rsidRPr="00523D40">
        <w:rPr>
          <w:rFonts w:hint="cs"/>
          <w:color w:val="000000"/>
          <w:spacing w:val="0"/>
          <w:kern w:val="0"/>
          <w:sz w:val="20"/>
          <w:rtl/>
        </w:rPr>
        <w:t>تفق</w:t>
      </w:r>
      <w:r w:rsidRPr="00523D40">
        <w:rPr>
          <w:color w:val="000000"/>
          <w:spacing w:val="0"/>
          <w:kern w:val="0"/>
          <w:sz w:val="20"/>
          <w:rtl/>
        </w:rPr>
        <w:t xml:space="preserve"> الدولة الطرف مع الاستنتاج</w:t>
      </w:r>
      <w:r w:rsidRPr="00523D40">
        <w:rPr>
          <w:rFonts w:hint="cs"/>
          <w:color w:val="000000"/>
          <w:spacing w:val="0"/>
          <w:kern w:val="0"/>
          <w:sz w:val="20"/>
          <w:rtl/>
        </w:rPr>
        <w:t xml:space="preserve"> القائل</w:t>
      </w:r>
      <w:r w:rsidRPr="00523D40">
        <w:rPr>
          <w:color w:val="000000"/>
          <w:spacing w:val="0"/>
          <w:kern w:val="0"/>
          <w:sz w:val="20"/>
          <w:rtl/>
        </w:rPr>
        <w:t xml:space="preserve"> بأن مجلس الهجرة </w:t>
      </w:r>
      <w:r w:rsidRPr="00523D40">
        <w:rPr>
          <w:rFonts w:hint="cs"/>
          <w:color w:val="000000"/>
          <w:spacing w:val="0"/>
          <w:kern w:val="0"/>
          <w:sz w:val="20"/>
          <w:rtl/>
        </w:rPr>
        <w:t xml:space="preserve">قد خلص بعد الانتهاء من دراسة الوثائق المتعلقة بالإدانة والإخطار وأمر البحث إلى أنها من </w:t>
      </w:r>
      <w:r w:rsidRPr="00523D40">
        <w:rPr>
          <w:color w:val="000000"/>
          <w:spacing w:val="0"/>
          <w:kern w:val="0"/>
          <w:sz w:val="20"/>
          <w:rtl/>
        </w:rPr>
        <w:t xml:space="preserve">نوعية </w:t>
      </w:r>
      <w:r w:rsidRPr="00523D40">
        <w:rPr>
          <w:rFonts w:hint="cs"/>
          <w:color w:val="000000"/>
          <w:spacing w:val="0"/>
          <w:kern w:val="0"/>
          <w:sz w:val="20"/>
          <w:rtl/>
        </w:rPr>
        <w:t>مثيرة لل</w:t>
      </w:r>
      <w:r w:rsidRPr="00523D40">
        <w:rPr>
          <w:color w:val="000000"/>
          <w:spacing w:val="0"/>
          <w:kern w:val="0"/>
          <w:sz w:val="20"/>
          <w:rtl/>
        </w:rPr>
        <w:t>شكوك، و</w:t>
      </w:r>
      <w:r w:rsidRPr="00523D40">
        <w:rPr>
          <w:rFonts w:hint="cs"/>
          <w:color w:val="000000"/>
          <w:spacing w:val="0"/>
          <w:kern w:val="0"/>
          <w:sz w:val="20"/>
          <w:rtl/>
        </w:rPr>
        <w:t>من ثم</w:t>
      </w:r>
      <w:r w:rsidRPr="00523D40">
        <w:rPr>
          <w:color w:val="000000"/>
          <w:spacing w:val="0"/>
          <w:kern w:val="0"/>
          <w:sz w:val="20"/>
          <w:rtl/>
        </w:rPr>
        <w:t xml:space="preserve">، </w:t>
      </w:r>
      <w:r w:rsidRPr="00523D40">
        <w:rPr>
          <w:rFonts w:hint="cs"/>
          <w:color w:val="000000"/>
          <w:spacing w:val="0"/>
          <w:kern w:val="0"/>
          <w:sz w:val="20"/>
          <w:rtl/>
        </w:rPr>
        <w:t>فقيمتها كدليل منخفضة</w:t>
      </w:r>
      <w:r w:rsidRPr="00523D40">
        <w:rPr>
          <w:color w:val="000000"/>
          <w:spacing w:val="0"/>
          <w:kern w:val="0"/>
          <w:sz w:val="20"/>
          <w:rtl/>
        </w:rPr>
        <w:t xml:space="preserve">. وفيما يتعلق </w:t>
      </w:r>
      <w:r w:rsidRPr="00523D40">
        <w:rPr>
          <w:rFonts w:hint="cs"/>
          <w:color w:val="000000"/>
          <w:spacing w:val="0"/>
          <w:kern w:val="0"/>
          <w:sz w:val="20"/>
          <w:rtl/>
        </w:rPr>
        <w:t>بإفادة صاحبة</w:t>
      </w:r>
      <w:r w:rsidRPr="00523D40">
        <w:rPr>
          <w:color w:val="000000"/>
          <w:spacing w:val="0"/>
          <w:kern w:val="0"/>
          <w:sz w:val="20"/>
          <w:rtl/>
        </w:rPr>
        <w:t xml:space="preserve"> الشكوى بأن محامي المساعدة </w:t>
      </w:r>
      <w:r w:rsidRPr="00523D40">
        <w:rPr>
          <w:rFonts w:hint="cs"/>
          <w:color w:val="000000"/>
          <w:spacing w:val="0"/>
          <w:kern w:val="0"/>
          <w:sz w:val="20"/>
          <w:rtl/>
        </w:rPr>
        <w:t>القضائية</w:t>
      </w:r>
      <w:r w:rsidRPr="00523D40">
        <w:rPr>
          <w:color w:val="000000"/>
          <w:spacing w:val="0"/>
          <w:kern w:val="0"/>
          <w:sz w:val="20"/>
          <w:rtl/>
        </w:rPr>
        <w:t xml:space="preserve"> </w:t>
      </w:r>
      <w:r w:rsidRPr="00523D40">
        <w:rPr>
          <w:rFonts w:hint="cs"/>
          <w:color w:val="000000"/>
          <w:spacing w:val="0"/>
          <w:kern w:val="0"/>
          <w:sz w:val="20"/>
          <w:rtl/>
        </w:rPr>
        <w:t>أهمل في</w:t>
      </w:r>
      <w:r w:rsidRPr="00523D40">
        <w:rPr>
          <w:color w:val="000000"/>
          <w:spacing w:val="0"/>
          <w:kern w:val="0"/>
          <w:sz w:val="20"/>
          <w:rtl/>
        </w:rPr>
        <w:t xml:space="preserve"> إ</w:t>
      </w:r>
      <w:r w:rsidRPr="00523D40">
        <w:rPr>
          <w:rFonts w:hint="cs"/>
          <w:color w:val="000000"/>
          <w:spacing w:val="0"/>
          <w:kern w:val="0"/>
          <w:sz w:val="20"/>
          <w:rtl/>
        </w:rPr>
        <w:t>رسال</w:t>
      </w:r>
      <w:r w:rsidRPr="00523D40">
        <w:rPr>
          <w:color w:val="000000"/>
          <w:spacing w:val="0"/>
          <w:kern w:val="0"/>
          <w:sz w:val="20"/>
          <w:rtl/>
        </w:rPr>
        <w:t xml:space="preserve"> الوثائق المعنية إلى سلطات الهجرة، </w:t>
      </w:r>
      <w:r w:rsidRPr="00523D40">
        <w:rPr>
          <w:rFonts w:hint="cs"/>
          <w:color w:val="000000"/>
          <w:spacing w:val="0"/>
          <w:kern w:val="0"/>
          <w:sz w:val="20"/>
          <w:rtl/>
        </w:rPr>
        <w:t>ترى</w:t>
      </w:r>
      <w:r w:rsidRPr="00523D40">
        <w:rPr>
          <w:color w:val="000000"/>
          <w:spacing w:val="0"/>
          <w:kern w:val="0"/>
          <w:sz w:val="20"/>
          <w:rtl/>
        </w:rPr>
        <w:t xml:space="preserve"> الدولة الطرف أن</w:t>
      </w:r>
      <w:r w:rsidRPr="00523D40">
        <w:rPr>
          <w:rFonts w:hint="cs"/>
          <w:color w:val="000000"/>
          <w:spacing w:val="0"/>
          <w:kern w:val="0"/>
          <w:sz w:val="20"/>
          <w:rtl/>
        </w:rPr>
        <w:t>ه ينبغي إثبات أي إفادة من هذا النوع بالأدلة وسيكون من الأفضل تأكيدها أو</w:t>
      </w:r>
      <w:r w:rsidR="00A85948">
        <w:rPr>
          <w:rFonts w:hint="eastAsia"/>
          <w:color w:val="000000"/>
          <w:spacing w:val="0"/>
          <w:kern w:val="0"/>
          <w:sz w:val="20"/>
          <w:rtl/>
        </w:rPr>
        <w:t> </w:t>
      </w:r>
      <w:r w:rsidRPr="00523D40">
        <w:rPr>
          <w:rFonts w:hint="cs"/>
          <w:color w:val="000000"/>
          <w:spacing w:val="0"/>
          <w:kern w:val="0"/>
          <w:sz w:val="20"/>
          <w:rtl/>
        </w:rPr>
        <w:t xml:space="preserve">تفنيدها، أو على الأقل إبلاغ المحامي بها. </w:t>
      </w:r>
      <w:r w:rsidRPr="00523D40">
        <w:rPr>
          <w:color w:val="000000"/>
          <w:spacing w:val="0"/>
          <w:kern w:val="0"/>
          <w:sz w:val="20"/>
          <w:rtl/>
        </w:rPr>
        <w:t>وتلاحظ</w:t>
      </w:r>
      <w:r w:rsidRPr="00523D40">
        <w:rPr>
          <w:rFonts w:hint="cs"/>
          <w:color w:val="000000"/>
          <w:spacing w:val="0"/>
          <w:kern w:val="0"/>
          <w:sz w:val="20"/>
          <w:rtl/>
        </w:rPr>
        <w:t xml:space="preserve"> الدولة الطرف أن صاحبة الشكوى لم تقدم أية معلومات من هذا النوع.</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 xml:space="preserve">بالنظر إلى </w:t>
      </w:r>
      <w:r w:rsidRPr="00523D40">
        <w:rPr>
          <w:rFonts w:hint="cs"/>
          <w:color w:val="000000"/>
          <w:spacing w:val="0"/>
          <w:kern w:val="0"/>
          <w:sz w:val="20"/>
          <w:rtl/>
        </w:rPr>
        <w:t xml:space="preserve">وجود عدة إفادات قدمتها صاحبة الشكوى واعتبرتها الدولة الطرف أقوالاً غير موثوقة، فإن هذه الرؤية تسري على المصداقية العامة لصاحبة الشكوى. ومن ثم، </w:t>
      </w:r>
      <w:r w:rsidRPr="00523D40">
        <w:rPr>
          <w:color w:val="000000"/>
          <w:spacing w:val="0"/>
          <w:kern w:val="0"/>
          <w:sz w:val="20"/>
          <w:rtl/>
        </w:rPr>
        <w:t xml:space="preserve">فإن الدولة الطرف لا </w:t>
      </w:r>
      <w:r w:rsidRPr="00523D40">
        <w:rPr>
          <w:rFonts w:hint="cs"/>
          <w:color w:val="000000"/>
          <w:spacing w:val="0"/>
          <w:kern w:val="0"/>
          <w:sz w:val="20"/>
          <w:rtl/>
        </w:rPr>
        <w:t>ترى في إفادة صاحبة الشكوى بشأن محاميها إفادة صادقة.</w:t>
      </w:r>
      <w:r w:rsidRPr="00523D40">
        <w:rPr>
          <w:rFonts w:hint="cs"/>
          <w:b/>
          <w:bCs/>
          <w:color w:val="000000"/>
          <w:spacing w:val="0"/>
          <w:kern w:val="0"/>
          <w:sz w:val="20"/>
          <w:rtl/>
        </w:rPr>
        <w:t xml:space="preserve"> </w:t>
      </w:r>
    </w:p>
    <w:p w:rsidR="00523D40" w:rsidRPr="00523D40" w:rsidRDefault="00523D40" w:rsidP="00523D40">
      <w:pPr>
        <w:pStyle w:val="SingleTxtGA"/>
        <w:jc w:val="lowKashida"/>
        <w:rPr>
          <w:color w:val="000000"/>
          <w:spacing w:val="0"/>
          <w:kern w:val="0"/>
          <w:sz w:val="20"/>
          <w:szCs w:val="20"/>
          <w:rtl/>
        </w:rPr>
      </w:pPr>
      <w:r w:rsidRPr="00523D40">
        <w:rPr>
          <w:color w:val="000000"/>
          <w:spacing w:val="0"/>
          <w:kern w:val="0"/>
          <w:sz w:val="20"/>
          <w:rtl/>
          <w:lang w:val="en-CA"/>
        </w:rPr>
        <w:t>4-15</w:t>
      </w:r>
      <w:r w:rsidRPr="00523D40">
        <w:rPr>
          <w:color w:val="000000"/>
          <w:spacing w:val="0"/>
          <w:kern w:val="0"/>
          <w:sz w:val="20"/>
          <w:rtl/>
          <w:lang w:val="en-CA"/>
        </w:rPr>
        <w:tab/>
      </w:r>
      <w:r w:rsidRPr="00523D40">
        <w:rPr>
          <w:color w:val="000000"/>
          <w:spacing w:val="0"/>
          <w:kern w:val="0"/>
          <w:sz w:val="20"/>
          <w:rtl/>
        </w:rPr>
        <w:t>وت</w:t>
      </w:r>
      <w:r w:rsidRPr="00523D40">
        <w:rPr>
          <w:rFonts w:hint="cs"/>
          <w:color w:val="000000"/>
          <w:spacing w:val="0"/>
          <w:kern w:val="0"/>
          <w:sz w:val="20"/>
          <w:rtl/>
        </w:rPr>
        <w:t xml:space="preserve">ؤكد </w:t>
      </w:r>
      <w:r w:rsidRPr="00523D40">
        <w:rPr>
          <w:color w:val="000000"/>
          <w:spacing w:val="0"/>
          <w:kern w:val="0"/>
          <w:sz w:val="20"/>
          <w:rtl/>
        </w:rPr>
        <w:t>الدولة الطرف أن</w:t>
      </w:r>
      <w:r w:rsidRPr="00523D40">
        <w:rPr>
          <w:rFonts w:hint="cs"/>
          <w:color w:val="000000"/>
          <w:spacing w:val="0"/>
          <w:kern w:val="0"/>
          <w:sz w:val="20"/>
          <w:rtl/>
        </w:rPr>
        <w:t xml:space="preserve"> صاحبة الشكوى لم تقدم أية إفادات أو معلومات أخرى تبيّن أنها ستتعرض لخطر سوء </w:t>
      </w:r>
      <w:r w:rsidRPr="00523D40">
        <w:rPr>
          <w:color w:val="000000"/>
          <w:spacing w:val="0"/>
          <w:kern w:val="0"/>
          <w:sz w:val="20"/>
          <w:rtl/>
        </w:rPr>
        <w:t>المعاملة أو الاغتصاب إذا عاد</w:t>
      </w:r>
      <w:r w:rsidRPr="00523D40">
        <w:rPr>
          <w:rFonts w:hint="cs"/>
          <w:color w:val="000000"/>
          <w:spacing w:val="0"/>
          <w:kern w:val="0"/>
          <w:sz w:val="20"/>
          <w:rtl/>
        </w:rPr>
        <w:t>ت</w:t>
      </w:r>
      <w:r w:rsidRPr="00523D40">
        <w:rPr>
          <w:color w:val="000000"/>
          <w:spacing w:val="0"/>
          <w:kern w:val="0"/>
          <w:sz w:val="20"/>
          <w:rtl/>
        </w:rPr>
        <w:t xml:space="preserve"> إلى بوروندي. </w:t>
      </w:r>
      <w:r w:rsidRPr="00523D40">
        <w:rPr>
          <w:rFonts w:hint="cs"/>
          <w:color w:val="000000"/>
          <w:spacing w:val="0"/>
          <w:kern w:val="0"/>
          <w:sz w:val="20"/>
          <w:rtl/>
        </w:rPr>
        <w:t>وتتناقض الإفادة التي قدمتها في</w:t>
      </w:r>
      <w:r w:rsidRPr="00523D40">
        <w:rPr>
          <w:color w:val="000000"/>
          <w:spacing w:val="0"/>
          <w:kern w:val="0"/>
          <w:sz w:val="20"/>
          <w:rtl/>
        </w:rPr>
        <w:t xml:space="preserve"> طلب اللجوء </w:t>
      </w:r>
      <w:r w:rsidRPr="00523D40">
        <w:rPr>
          <w:rFonts w:hint="cs"/>
          <w:color w:val="000000"/>
          <w:spacing w:val="0"/>
          <w:kern w:val="0"/>
          <w:sz w:val="20"/>
          <w:rtl/>
        </w:rPr>
        <w:t>بعدم امتلاكها</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 xml:space="preserve">شبكة اجتماعية في بوروندي </w:t>
      </w:r>
      <w:r w:rsidRPr="00523D40">
        <w:rPr>
          <w:rFonts w:hint="cs"/>
          <w:color w:val="000000"/>
          <w:spacing w:val="0"/>
          <w:kern w:val="0"/>
          <w:sz w:val="20"/>
          <w:rtl/>
        </w:rPr>
        <w:t>مع الإفادات التي قدمتها</w:t>
      </w:r>
      <w:r w:rsidRPr="00523D40">
        <w:rPr>
          <w:color w:val="000000"/>
          <w:spacing w:val="0"/>
          <w:kern w:val="0"/>
          <w:sz w:val="20"/>
          <w:rtl/>
        </w:rPr>
        <w:t xml:space="preserve"> </w:t>
      </w:r>
      <w:r w:rsidRPr="00523D40">
        <w:rPr>
          <w:rFonts w:hint="cs"/>
          <w:color w:val="000000"/>
          <w:spacing w:val="0"/>
          <w:kern w:val="0"/>
          <w:sz w:val="20"/>
          <w:rtl/>
        </w:rPr>
        <w:t>بشأن أسرتها</w:t>
      </w:r>
      <w:r w:rsidRPr="00523D40">
        <w:rPr>
          <w:color w:val="000000"/>
          <w:spacing w:val="0"/>
          <w:kern w:val="0"/>
          <w:sz w:val="20"/>
          <w:rtl/>
        </w:rPr>
        <w:t xml:space="preserve"> </w:t>
      </w:r>
      <w:r w:rsidRPr="00523D40">
        <w:rPr>
          <w:rFonts w:hint="cs"/>
          <w:color w:val="000000"/>
          <w:spacing w:val="0"/>
          <w:kern w:val="0"/>
          <w:sz w:val="20"/>
          <w:rtl/>
        </w:rPr>
        <w:t>في الطلب الذي قدمته للحصول على</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تأشيرة السويدية</w:t>
      </w:r>
      <w:r w:rsidRPr="00523D40">
        <w:rPr>
          <w:color w:val="000000"/>
          <w:spacing w:val="0"/>
          <w:kern w:val="0"/>
          <w:sz w:val="20"/>
          <w:rtl/>
          <w:lang w:val="en-CA"/>
        </w:rPr>
        <w:t>.</w:t>
      </w:r>
      <w:r w:rsidRPr="00523D40">
        <w:rPr>
          <w:color w:val="000000"/>
          <w:spacing w:val="0"/>
          <w:kern w:val="0"/>
          <w:sz w:val="20"/>
          <w:rtl/>
        </w:rPr>
        <w:t xml:space="preserve"> </w:t>
      </w:r>
      <w:r w:rsidRPr="00523D40">
        <w:rPr>
          <w:rFonts w:hint="cs"/>
          <w:color w:val="000000"/>
          <w:spacing w:val="0"/>
          <w:kern w:val="0"/>
          <w:sz w:val="20"/>
          <w:rtl/>
        </w:rPr>
        <w:t>فحسب هذه الإفادات</w:t>
      </w:r>
      <w:r w:rsidRPr="00523D40">
        <w:rPr>
          <w:color w:val="000000"/>
          <w:spacing w:val="0"/>
          <w:kern w:val="0"/>
          <w:sz w:val="20"/>
          <w:rtl/>
        </w:rPr>
        <w:t>،</w:t>
      </w:r>
      <w:r w:rsidRPr="00523D40">
        <w:rPr>
          <w:rFonts w:hint="cs"/>
          <w:color w:val="000000"/>
          <w:spacing w:val="0"/>
          <w:kern w:val="0"/>
          <w:sz w:val="20"/>
          <w:rtl/>
        </w:rPr>
        <w:t xml:space="preserve"> فإن</w:t>
      </w:r>
      <w:r w:rsidRPr="00523D40">
        <w:rPr>
          <w:color w:val="000000"/>
          <w:spacing w:val="0"/>
          <w:kern w:val="0"/>
          <w:sz w:val="20"/>
          <w:rtl/>
        </w:rPr>
        <w:t xml:space="preserve"> والديها و</w:t>
      </w:r>
      <w:r w:rsidRPr="00523D40">
        <w:rPr>
          <w:rFonts w:hint="cs"/>
          <w:color w:val="000000"/>
          <w:spacing w:val="0"/>
          <w:kern w:val="0"/>
          <w:sz w:val="20"/>
          <w:rtl/>
        </w:rPr>
        <w:t>شقيقتها</w:t>
      </w:r>
      <w:r w:rsidRPr="00523D40">
        <w:rPr>
          <w:color w:val="000000"/>
          <w:spacing w:val="0"/>
          <w:kern w:val="0"/>
          <w:sz w:val="20"/>
          <w:rtl/>
        </w:rPr>
        <w:t xml:space="preserve"> الكبرى </w:t>
      </w:r>
      <w:r w:rsidRPr="00523D40">
        <w:rPr>
          <w:rFonts w:hint="cs"/>
          <w:color w:val="000000"/>
          <w:spacing w:val="0"/>
          <w:kern w:val="0"/>
          <w:sz w:val="20"/>
          <w:rtl/>
        </w:rPr>
        <w:t>و</w:t>
      </w:r>
      <w:r w:rsidRPr="00523D40">
        <w:rPr>
          <w:color w:val="000000"/>
          <w:spacing w:val="0"/>
          <w:kern w:val="0"/>
          <w:sz w:val="20"/>
          <w:rtl/>
        </w:rPr>
        <w:t>شقيقتها الصغرى وشقيقها</w:t>
      </w:r>
      <w:r w:rsidRPr="00523D40">
        <w:rPr>
          <w:rFonts w:hint="cs"/>
          <w:color w:val="000000"/>
          <w:spacing w:val="0"/>
          <w:kern w:val="0"/>
          <w:sz w:val="20"/>
          <w:rtl/>
        </w:rPr>
        <w:t xml:space="preserve"> الأصغر</w:t>
      </w:r>
      <w:r w:rsidRPr="00523D40">
        <w:rPr>
          <w:color w:val="000000"/>
          <w:spacing w:val="0"/>
          <w:kern w:val="0"/>
          <w:sz w:val="20"/>
          <w:rtl/>
        </w:rPr>
        <w:t xml:space="preserve"> يعيش</w:t>
      </w:r>
      <w:r w:rsidRPr="00523D40">
        <w:rPr>
          <w:rFonts w:hint="cs"/>
          <w:color w:val="000000"/>
          <w:spacing w:val="0"/>
          <w:kern w:val="0"/>
          <w:sz w:val="20"/>
          <w:rtl/>
        </w:rPr>
        <w:t>ون</w:t>
      </w:r>
      <w:r w:rsidRPr="00523D40">
        <w:rPr>
          <w:color w:val="000000"/>
          <w:spacing w:val="0"/>
          <w:kern w:val="0"/>
          <w:sz w:val="20"/>
          <w:rtl/>
        </w:rPr>
        <w:t xml:space="preserve"> في بوروندي. وعلاوة على ذلك، </w:t>
      </w:r>
      <w:r w:rsidRPr="00523D40">
        <w:rPr>
          <w:rFonts w:hint="cs"/>
          <w:color w:val="000000"/>
          <w:spacing w:val="0"/>
          <w:kern w:val="0"/>
          <w:sz w:val="20"/>
          <w:rtl/>
        </w:rPr>
        <w:t>فمن الواضح أن صاحبة الشكوى تمتلك شبكة اجتماعية، وفقاً لما أفادت به بشأن أماكن وجودها في بوروندي قبل أن تغادر هذا البلد.</w:t>
      </w:r>
      <w:r w:rsidRPr="00523D40">
        <w:rPr>
          <w:color w:val="000000"/>
          <w:spacing w:val="0"/>
          <w:kern w:val="0"/>
          <w:sz w:val="20"/>
          <w:rtl/>
        </w:rPr>
        <w:t xml:space="preserve"> وتخلص الدولة الطرف</w:t>
      </w:r>
      <w:r w:rsidRPr="00523D40">
        <w:rPr>
          <w:rFonts w:hint="cs"/>
          <w:color w:val="000000"/>
          <w:spacing w:val="0"/>
          <w:kern w:val="0"/>
          <w:sz w:val="20"/>
          <w:rtl/>
        </w:rPr>
        <w:t xml:space="preserve"> إلى</w:t>
      </w:r>
      <w:r w:rsidRPr="00523D40">
        <w:rPr>
          <w:color w:val="000000"/>
          <w:spacing w:val="0"/>
          <w:kern w:val="0"/>
          <w:sz w:val="20"/>
          <w:rtl/>
        </w:rPr>
        <w:t xml:space="preserve"> أن الظروف</w:t>
      </w:r>
      <w:r w:rsidRPr="00523D40">
        <w:rPr>
          <w:color w:val="000000"/>
          <w:spacing w:val="0"/>
          <w:kern w:val="0"/>
          <w:sz w:val="20"/>
          <w:rtl/>
          <w:lang w:val="en-CA"/>
        </w:rPr>
        <w:t xml:space="preserve"> التي تذرع</w:t>
      </w:r>
      <w:r w:rsidRPr="00523D40">
        <w:rPr>
          <w:rFonts w:hint="cs"/>
          <w:color w:val="000000"/>
          <w:spacing w:val="0"/>
          <w:kern w:val="0"/>
          <w:sz w:val="20"/>
          <w:rtl/>
          <w:lang w:val="en-CA"/>
        </w:rPr>
        <w:t>ت</w:t>
      </w:r>
      <w:r w:rsidRPr="00523D40">
        <w:rPr>
          <w:color w:val="000000"/>
          <w:spacing w:val="0"/>
          <w:kern w:val="0"/>
          <w:sz w:val="20"/>
          <w:rtl/>
          <w:lang w:val="en-CA"/>
        </w:rPr>
        <w:t xml:space="preserve"> بها </w:t>
      </w:r>
      <w:r w:rsidRPr="00523D40">
        <w:rPr>
          <w:rFonts w:hint="cs"/>
          <w:color w:val="000000"/>
          <w:spacing w:val="0"/>
          <w:kern w:val="0"/>
          <w:sz w:val="20"/>
          <w:rtl/>
          <w:lang w:val="en-CA"/>
        </w:rPr>
        <w:t xml:space="preserve">صاحبة </w:t>
      </w:r>
      <w:r w:rsidRPr="00523D40">
        <w:rPr>
          <w:color w:val="000000"/>
          <w:spacing w:val="0"/>
          <w:kern w:val="0"/>
          <w:sz w:val="20"/>
          <w:rtl/>
          <w:lang w:val="en-CA"/>
        </w:rPr>
        <w:t>الشكوى ليست كافية لتبي</w:t>
      </w:r>
      <w:r w:rsidRPr="00523D40">
        <w:rPr>
          <w:rFonts w:hint="cs"/>
          <w:color w:val="000000"/>
          <w:spacing w:val="0"/>
          <w:kern w:val="0"/>
          <w:sz w:val="20"/>
          <w:rtl/>
          <w:lang w:val="en-CA"/>
        </w:rPr>
        <w:t>ّ</w:t>
      </w:r>
      <w:r w:rsidRPr="00523D40">
        <w:rPr>
          <w:color w:val="000000"/>
          <w:spacing w:val="0"/>
          <w:kern w:val="0"/>
          <w:sz w:val="20"/>
          <w:rtl/>
          <w:lang w:val="en-CA"/>
        </w:rPr>
        <w:t xml:space="preserve">ن أن خطر </w:t>
      </w:r>
      <w:r w:rsidRPr="00523D40">
        <w:rPr>
          <w:rFonts w:hint="cs"/>
          <w:color w:val="000000"/>
          <w:spacing w:val="0"/>
          <w:kern w:val="0"/>
          <w:sz w:val="20"/>
          <w:rtl/>
          <w:lang w:val="en-CA"/>
        </w:rPr>
        <w:t>التعرض ل</w:t>
      </w:r>
      <w:r w:rsidRPr="00523D40">
        <w:rPr>
          <w:color w:val="000000"/>
          <w:spacing w:val="0"/>
          <w:kern w:val="0"/>
          <w:sz w:val="20"/>
          <w:rtl/>
          <w:lang w:val="en-CA"/>
        </w:rPr>
        <w:t xml:space="preserve">لتعذيب المزعوم </w:t>
      </w:r>
      <w:r w:rsidRPr="00523D40">
        <w:rPr>
          <w:rFonts w:hint="cs"/>
          <w:color w:val="000000"/>
          <w:spacing w:val="0"/>
          <w:kern w:val="0"/>
          <w:sz w:val="20"/>
          <w:rtl/>
          <w:lang w:val="en-CA"/>
        </w:rPr>
        <w:t>يستوفي الشروط المتمثلة في</w:t>
      </w:r>
      <w:r w:rsidRPr="00523D40">
        <w:rPr>
          <w:color w:val="000000"/>
          <w:spacing w:val="0"/>
          <w:kern w:val="0"/>
          <w:sz w:val="20"/>
          <w:rtl/>
          <w:lang w:val="en-CA"/>
        </w:rPr>
        <w:t xml:space="preserve"> أن يكون متوقعاً وحقيقياً وشخصياً.</w:t>
      </w:r>
      <w:r w:rsidRPr="00523D40">
        <w:rPr>
          <w:rFonts w:hint="cs"/>
          <w:color w:val="000000"/>
          <w:spacing w:val="0"/>
          <w:kern w:val="0"/>
          <w:sz w:val="20"/>
          <w:rtl/>
          <w:lang w:val="en-CA"/>
        </w:rPr>
        <w:t xml:space="preserve"> ومن ثم، فإن صاحبة الشكوى</w:t>
      </w:r>
      <w:r w:rsidRPr="00523D40">
        <w:rPr>
          <w:color w:val="000000"/>
          <w:spacing w:val="0"/>
          <w:kern w:val="0"/>
          <w:sz w:val="20"/>
          <w:rtl/>
          <w:lang w:val="en-CA"/>
        </w:rPr>
        <w:t xml:space="preserve"> </w:t>
      </w:r>
      <w:r w:rsidRPr="00523D40">
        <w:rPr>
          <w:rFonts w:hint="cs"/>
          <w:color w:val="000000"/>
          <w:spacing w:val="0"/>
          <w:kern w:val="0"/>
          <w:sz w:val="20"/>
          <w:rtl/>
        </w:rPr>
        <w:t>لم تقدم أسباباً حقيقية تدعو إلى الاعتقاد بأنها</w:t>
      </w:r>
      <w:r w:rsidRPr="00523D40">
        <w:rPr>
          <w:rFonts w:hint="cs"/>
          <w:color w:val="000000"/>
          <w:spacing w:val="0"/>
          <w:kern w:val="0"/>
          <w:sz w:val="20"/>
          <w:rtl/>
          <w:lang/>
        </w:rPr>
        <w:t xml:space="preserve"> ستواجه خطراً حقيقياً وشخصياً بالتعرض لمعاملة تتنافى مع المادة 3 من الاتفاقية إذا رُحّلت إلى بوروندي.</w:t>
      </w:r>
    </w:p>
    <w:p w:rsidR="00523D40" w:rsidRPr="00A85948" w:rsidRDefault="00523D40" w:rsidP="00A85948">
      <w:pPr>
        <w:pStyle w:val="SingleTxtGA"/>
        <w:jc w:val="lowKashida"/>
        <w:rPr>
          <w:color w:val="000000"/>
          <w:spacing w:val="-2"/>
          <w:kern w:val="0"/>
          <w:sz w:val="20"/>
          <w:szCs w:val="20"/>
          <w:rtl/>
        </w:rPr>
      </w:pPr>
      <w:r w:rsidRPr="00A85948">
        <w:rPr>
          <w:color w:val="000000"/>
          <w:spacing w:val="-2"/>
          <w:kern w:val="0"/>
          <w:sz w:val="20"/>
          <w:rtl/>
          <w:lang w:val="en-CA"/>
        </w:rPr>
        <w:t>4-16</w:t>
      </w:r>
      <w:r w:rsidRPr="00A85948">
        <w:rPr>
          <w:color w:val="000000"/>
          <w:spacing w:val="-2"/>
          <w:kern w:val="0"/>
          <w:sz w:val="20"/>
          <w:rtl/>
          <w:lang w:val="en-CA"/>
        </w:rPr>
        <w:tab/>
      </w:r>
      <w:r w:rsidRPr="00A85948">
        <w:rPr>
          <w:color w:val="000000"/>
          <w:spacing w:val="-2"/>
          <w:kern w:val="0"/>
          <w:sz w:val="20"/>
          <w:rtl/>
        </w:rPr>
        <w:t>وأخيرا</w:t>
      </w:r>
      <w:r w:rsidRPr="00A85948">
        <w:rPr>
          <w:rFonts w:hint="cs"/>
          <w:color w:val="000000"/>
          <w:spacing w:val="-2"/>
          <w:kern w:val="0"/>
          <w:sz w:val="20"/>
          <w:rtl/>
        </w:rPr>
        <w:t>ً</w:t>
      </w:r>
      <w:r w:rsidRPr="00A85948">
        <w:rPr>
          <w:color w:val="000000"/>
          <w:spacing w:val="-2"/>
          <w:kern w:val="0"/>
          <w:sz w:val="20"/>
          <w:rtl/>
        </w:rPr>
        <w:t xml:space="preserve">، </w:t>
      </w:r>
      <w:r w:rsidRPr="00A85948">
        <w:rPr>
          <w:rFonts w:hint="cs"/>
          <w:color w:val="000000"/>
          <w:spacing w:val="-2"/>
          <w:kern w:val="0"/>
          <w:sz w:val="20"/>
          <w:rtl/>
        </w:rPr>
        <w:t>تدفع الدولة الطرف بأنه وفقاً للمادة 22 من الفصل 12 من قانون الأجانب، فإن قرار الطرد يسقط بعد مضي أربع سنوات من صيرورته نهائياً وغير قابل للطعن. وفي هذا البلاغ، أصبح القرار القاضي بطرد صاحبة الشكوى نهائياً وغير قابل للطعن في 27 تموز/</w:t>
      </w:r>
      <w:r w:rsidR="00A85948">
        <w:rPr>
          <w:rFonts w:hint="cs"/>
          <w:color w:val="000000"/>
          <w:spacing w:val="-2"/>
          <w:kern w:val="0"/>
          <w:sz w:val="20"/>
          <w:rtl/>
        </w:rPr>
        <w:t xml:space="preserve"> </w:t>
      </w:r>
      <w:r w:rsidRPr="00A85948">
        <w:rPr>
          <w:rFonts w:hint="cs"/>
          <w:color w:val="000000"/>
          <w:spacing w:val="-2"/>
          <w:kern w:val="0"/>
          <w:sz w:val="20"/>
          <w:rtl/>
        </w:rPr>
        <w:t>يوليه</w:t>
      </w:r>
      <w:r w:rsidR="00A85948">
        <w:rPr>
          <w:rFonts w:hint="eastAsia"/>
          <w:color w:val="000000"/>
          <w:spacing w:val="-2"/>
          <w:kern w:val="0"/>
          <w:sz w:val="20"/>
          <w:rtl/>
        </w:rPr>
        <w:t> </w:t>
      </w:r>
      <w:r w:rsidRPr="00A85948">
        <w:rPr>
          <w:rFonts w:hint="cs"/>
          <w:color w:val="000000"/>
          <w:spacing w:val="-2"/>
          <w:kern w:val="0"/>
          <w:sz w:val="20"/>
          <w:rtl/>
        </w:rPr>
        <w:t xml:space="preserve">2009، وهو التاريخ الذي رفضت فيه </w:t>
      </w:r>
      <w:r w:rsidRPr="00A85948">
        <w:rPr>
          <w:color w:val="000000"/>
          <w:spacing w:val="-2"/>
          <w:kern w:val="0"/>
          <w:sz w:val="20"/>
          <w:rtl/>
          <w:lang w:val="en-CA"/>
        </w:rPr>
        <w:t xml:space="preserve">محكمة الاستئناف </w:t>
      </w:r>
      <w:r w:rsidRPr="00A85948">
        <w:rPr>
          <w:rFonts w:hint="cs"/>
          <w:color w:val="000000"/>
          <w:spacing w:val="-2"/>
          <w:kern w:val="0"/>
          <w:sz w:val="20"/>
          <w:rtl/>
          <w:lang w:val="en-CA"/>
        </w:rPr>
        <w:t xml:space="preserve">الخاصة </w:t>
      </w:r>
      <w:r w:rsidRPr="00A85948">
        <w:rPr>
          <w:color w:val="000000"/>
          <w:spacing w:val="-2"/>
          <w:kern w:val="0"/>
          <w:sz w:val="20"/>
          <w:rtl/>
          <w:lang w:val="en-CA"/>
        </w:rPr>
        <w:t>بالهجرة</w:t>
      </w:r>
      <w:r w:rsidRPr="00A85948">
        <w:rPr>
          <w:rFonts w:hint="cs"/>
          <w:color w:val="000000"/>
          <w:spacing w:val="-2"/>
          <w:kern w:val="0"/>
          <w:sz w:val="20"/>
          <w:rtl/>
          <w:lang w:val="en-CA"/>
        </w:rPr>
        <w:t xml:space="preserve"> الإذن بالطعن.</w:t>
      </w:r>
      <w:r w:rsidRPr="00A85948">
        <w:rPr>
          <w:rFonts w:hint="cs"/>
          <w:color w:val="000000"/>
          <w:spacing w:val="-2"/>
          <w:kern w:val="0"/>
          <w:sz w:val="20"/>
          <w:rtl/>
        </w:rPr>
        <w:t xml:space="preserve"> ومن ثم، فسيصبح قرار الطرد المذكور لاغياً بالتقادم في 27 تموز/يوليه 2013.</w:t>
      </w:r>
      <w:r w:rsidRPr="00A85948">
        <w:rPr>
          <w:b/>
          <w:bCs/>
          <w:color w:val="000000"/>
          <w:spacing w:val="-2"/>
          <w:kern w:val="0"/>
          <w:sz w:val="20"/>
          <w:rtl/>
        </w:rPr>
        <w:t xml:space="preserve"> </w:t>
      </w:r>
    </w:p>
    <w:p w:rsidR="00523D40" w:rsidRPr="00523D40" w:rsidRDefault="00523D40" w:rsidP="00523D40">
      <w:pPr>
        <w:pStyle w:val="H23GA"/>
        <w:keepNext/>
        <w:ind w:firstLine="28"/>
        <w:jc w:val="lowKashida"/>
        <w:rPr>
          <w:color w:val="000000"/>
          <w:spacing w:val="0"/>
          <w:kern w:val="0"/>
          <w:sz w:val="20"/>
          <w:rtl/>
        </w:rPr>
      </w:pPr>
      <w:r w:rsidRPr="00523D40">
        <w:rPr>
          <w:color w:val="000000"/>
          <w:spacing w:val="0"/>
          <w:kern w:val="0"/>
          <w:sz w:val="20"/>
          <w:rtl/>
        </w:rPr>
        <w:t xml:space="preserve">تعليقات </w:t>
      </w:r>
      <w:r w:rsidRPr="00523D40">
        <w:rPr>
          <w:rFonts w:hint="cs"/>
          <w:color w:val="000000"/>
          <w:spacing w:val="0"/>
          <w:kern w:val="0"/>
          <w:sz w:val="20"/>
          <w:rtl/>
        </w:rPr>
        <w:t>صاحبة الشكوى</w:t>
      </w:r>
      <w:r w:rsidRPr="00523D40">
        <w:rPr>
          <w:color w:val="000000"/>
          <w:spacing w:val="0"/>
          <w:kern w:val="0"/>
          <w:sz w:val="20"/>
          <w:rtl/>
        </w:rPr>
        <w:t xml:space="preserve"> على ملاحظات الدولة الطرف</w:t>
      </w:r>
    </w:p>
    <w:p w:rsidR="00523D40" w:rsidRPr="00523D40" w:rsidRDefault="00523D40" w:rsidP="00A85948">
      <w:pPr>
        <w:pStyle w:val="SingleTxtGA"/>
        <w:jc w:val="lowKashida"/>
        <w:rPr>
          <w:color w:val="000000"/>
          <w:spacing w:val="0"/>
          <w:kern w:val="0"/>
          <w:sz w:val="20"/>
          <w:rtl/>
          <w:lang w:val="en-CA"/>
        </w:rPr>
      </w:pPr>
      <w:r w:rsidRPr="00523D40">
        <w:rPr>
          <w:color w:val="000000"/>
          <w:spacing w:val="0"/>
          <w:kern w:val="0"/>
          <w:sz w:val="20"/>
          <w:rtl/>
          <w:lang w:val="en-CA"/>
        </w:rPr>
        <w:t>5-1</w:t>
      </w:r>
      <w:r w:rsidRPr="00523D40">
        <w:rPr>
          <w:color w:val="000000"/>
          <w:spacing w:val="0"/>
          <w:kern w:val="0"/>
          <w:sz w:val="20"/>
          <w:rtl/>
          <w:lang w:val="en-CA"/>
        </w:rPr>
        <w:tab/>
      </w:r>
      <w:r w:rsidRPr="00523D40">
        <w:rPr>
          <w:color w:val="000000"/>
          <w:spacing w:val="0"/>
          <w:kern w:val="0"/>
          <w:sz w:val="20"/>
          <w:rtl/>
        </w:rPr>
        <w:t xml:space="preserve">في 15 </w:t>
      </w:r>
      <w:r w:rsidRPr="00523D40">
        <w:rPr>
          <w:rFonts w:hint="cs"/>
          <w:color w:val="000000"/>
          <w:spacing w:val="0"/>
          <w:kern w:val="0"/>
          <w:sz w:val="20"/>
          <w:rtl/>
        </w:rPr>
        <w:t>كانون الأول/</w:t>
      </w:r>
      <w:r w:rsidRPr="00523D40">
        <w:rPr>
          <w:color w:val="000000"/>
          <w:spacing w:val="0"/>
          <w:kern w:val="0"/>
          <w:sz w:val="20"/>
          <w:rtl/>
        </w:rPr>
        <w:t xml:space="preserve">ديسمبر 2010، </w:t>
      </w:r>
      <w:r w:rsidRPr="00523D40">
        <w:rPr>
          <w:rFonts w:hint="cs"/>
          <w:color w:val="000000"/>
          <w:spacing w:val="0"/>
          <w:kern w:val="0"/>
          <w:sz w:val="20"/>
          <w:rtl/>
        </w:rPr>
        <w:t>أكدت</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w:t>
      </w:r>
      <w:r w:rsidRPr="00523D40">
        <w:rPr>
          <w:rFonts w:hint="cs"/>
          <w:color w:val="000000"/>
          <w:spacing w:val="0"/>
          <w:kern w:val="0"/>
          <w:sz w:val="20"/>
          <w:rtl/>
        </w:rPr>
        <w:t xml:space="preserve"> من جديد</w:t>
      </w:r>
      <w:r w:rsidRPr="00523D40">
        <w:rPr>
          <w:color w:val="000000"/>
          <w:spacing w:val="0"/>
          <w:kern w:val="0"/>
          <w:sz w:val="20"/>
          <w:rtl/>
        </w:rPr>
        <w:t xml:space="preserve"> إفاداتها الأولية </w:t>
      </w:r>
      <w:r w:rsidRPr="00523D40">
        <w:rPr>
          <w:rFonts w:hint="cs"/>
          <w:color w:val="000000"/>
          <w:spacing w:val="0"/>
          <w:kern w:val="0"/>
          <w:sz w:val="20"/>
          <w:rtl/>
        </w:rPr>
        <w:t>بشأن هويتها</w:t>
      </w:r>
      <w:r w:rsidRPr="00523D40">
        <w:rPr>
          <w:color w:val="000000"/>
          <w:spacing w:val="0"/>
          <w:kern w:val="0"/>
          <w:sz w:val="20"/>
          <w:rtl/>
        </w:rPr>
        <w:t xml:space="preserve"> وبلد</w:t>
      </w:r>
      <w:r w:rsidRPr="00523D40">
        <w:rPr>
          <w:rFonts w:hint="cs"/>
          <w:color w:val="000000"/>
          <w:spacing w:val="0"/>
          <w:kern w:val="0"/>
          <w:sz w:val="20"/>
          <w:rtl/>
        </w:rPr>
        <w:t xml:space="preserve">ها الأصلي </w:t>
      </w:r>
      <w:r w:rsidRPr="00523D40">
        <w:rPr>
          <w:color w:val="000000"/>
          <w:spacing w:val="0"/>
          <w:kern w:val="0"/>
          <w:sz w:val="20"/>
          <w:rtl/>
        </w:rPr>
        <w:t xml:space="preserve">والأحداث التي أدت إلى رحيلها من بوروندي. </w:t>
      </w:r>
      <w:r w:rsidRPr="00523D40">
        <w:rPr>
          <w:rFonts w:hint="cs"/>
          <w:color w:val="000000"/>
          <w:spacing w:val="0"/>
          <w:kern w:val="0"/>
          <w:sz w:val="20"/>
          <w:rtl/>
        </w:rPr>
        <w:t>وبالنسبة إلى التعقيدات المتعلقة</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جواز السفر وطلب التأشيرة المزعوم</w:t>
      </w:r>
      <w:r w:rsidRPr="00523D40">
        <w:rPr>
          <w:rFonts w:hint="cs"/>
          <w:color w:val="000000"/>
          <w:spacing w:val="0"/>
          <w:kern w:val="0"/>
          <w:sz w:val="20"/>
          <w:rtl/>
        </w:rPr>
        <w:t>ين</w:t>
      </w:r>
      <w:r w:rsidRPr="00523D40">
        <w:rPr>
          <w:color w:val="000000"/>
          <w:spacing w:val="0"/>
          <w:kern w:val="0"/>
          <w:sz w:val="20"/>
          <w:rtl/>
        </w:rPr>
        <w:t xml:space="preserve">، </w:t>
      </w:r>
      <w:r w:rsidRPr="00523D40">
        <w:rPr>
          <w:rFonts w:hint="cs"/>
          <w:color w:val="000000"/>
          <w:spacing w:val="0"/>
          <w:kern w:val="0"/>
          <w:sz w:val="20"/>
          <w:rtl/>
        </w:rPr>
        <w:t>ذكرت صاحبة الشكوى</w:t>
      </w:r>
      <w:r w:rsidRPr="00523D40">
        <w:rPr>
          <w:color w:val="000000"/>
          <w:spacing w:val="0"/>
          <w:kern w:val="0"/>
          <w:sz w:val="20"/>
          <w:rtl/>
        </w:rPr>
        <w:t xml:space="preserve"> </w:t>
      </w:r>
      <w:r w:rsidRPr="00523D40">
        <w:rPr>
          <w:rFonts w:hint="cs"/>
          <w:color w:val="000000"/>
          <w:spacing w:val="0"/>
          <w:kern w:val="0"/>
          <w:sz w:val="20"/>
          <w:rtl/>
        </w:rPr>
        <w:t>أنها كانت قد</w:t>
      </w:r>
      <w:r w:rsidRPr="00523D40">
        <w:rPr>
          <w:color w:val="000000"/>
          <w:spacing w:val="0"/>
          <w:kern w:val="0"/>
          <w:sz w:val="20"/>
          <w:rtl/>
        </w:rPr>
        <w:t xml:space="preserve"> </w:t>
      </w:r>
      <w:r w:rsidRPr="00523D40">
        <w:rPr>
          <w:rFonts w:hint="cs"/>
          <w:color w:val="000000"/>
          <w:spacing w:val="0"/>
          <w:kern w:val="0"/>
          <w:sz w:val="20"/>
          <w:rtl/>
        </w:rPr>
        <w:t>تعلقت</w:t>
      </w:r>
      <w:r w:rsidRPr="00523D40">
        <w:rPr>
          <w:color w:val="000000"/>
          <w:spacing w:val="0"/>
          <w:kern w:val="0"/>
          <w:sz w:val="20"/>
          <w:rtl/>
        </w:rPr>
        <w:t xml:space="preserve"> </w:t>
      </w:r>
      <w:r w:rsidRPr="00523D40">
        <w:rPr>
          <w:rFonts w:hint="cs"/>
          <w:color w:val="000000"/>
          <w:spacing w:val="0"/>
          <w:kern w:val="0"/>
          <w:sz w:val="20"/>
          <w:rtl/>
        </w:rPr>
        <w:t>برجل</w:t>
      </w:r>
      <w:r w:rsidRPr="00523D40">
        <w:rPr>
          <w:color w:val="000000"/>
          <w:spacing w:val="0"/>
          <w:kern w:val="0"/>
          <w:sz w:val="20"/>
          <w:rtl/>
        </w:rPr>
        <w:t xml:space="preserve"> التقت به في بوروندي. </w:t>
      </w:r>
      <w:r w:rsidRPr="00523D40">
        <w:rPr>
          <w:rFonts w:hint="cs"/>
          <w:color w:val="000000"/>
          <w:spacing w:val="0"/>
          <w:kern w:val="0"/>
          <w:sz w:val="20"/>
          <w:rtl/>
        </w:rPr>
        <w:t>وحينما</w:t>
      </w:r>
      <w:r w:rsidRPr="00523D40">
        <w:rPr>
          <w:color w:val="000000"/>
          <w:spacing w:val="0"/>
          <w:kern w:val="0"/>
          <w:sz w:val="20"/>
          <w:rtl/>
        </w:rPr>
        <w:t xml:space="preserve"> طلب منها</w:t>
      </w:r>
      <w:r w:rsidRPr="00523D40">
        <w:rPr>
          <w:rFonts w:hint="cs"/>
          <w:color w:val="000000"/>
          <w:spacing w:val="0"/>
          <w:kern w:val="0"/>
          <w:sz w:val="20"/>
          <w:rtl/>
        </w:rPr>
        <w:t xml:space="preserve"> هذا الشخص</w:t>
      </w:r>
      <w:r w:rsidRPr="00523D40">
        <w:rPr>
          <w:color w:val="000000"/>
          <w:spacing w:val="0"/>
          <w:kern w:val="0"/>
          <w:sz w:val="20"/>
          <w:rtl/>
        </w:rPr>
        <w:t xml:space="preserve"> أن </w:t>
      </w:r>
      <w:r w:rsidRPr="00523D40">
        <w:rPr>
          <w:rFonts w:hint="cs"/>
          <w:color w:val="000000"/>
          <w:spacing w:val="0"/>
          <w:kern w:val="0"/>
          <w:sz w:val="20"/>
          <w:rtl/>
        </w:rPr>
        <w:t>تسلمه</w:t>
      </w:r>
      <w:r w:rsidRPr="00523D40">
        <w:rPr>
          <w:color w:val="000000"/>
          <w:spacing w:val="0"/>
          <w:kern w:val="0"/>
          <w:sz w:val="20"/>
          <w:rtl/>
        </w:rPr>
        <w:t xml:space="preserve"> جواز سفرها </w:t>
      </w:r>
      <w:r w:rsidRPr="00523D40">
        <w:rPr>
          <w:rFonts w:hint="cs"/>
          <w:color w:val="000000"/>
          <w:spacing w:val="0"/>
          <w:kern w:val="0"/>
          <w:sz w:val="20"/>
          <w:rtl/>
        </w:rPr>
        <w:t>وصورها استجابت لطلبه</w:t>
      </w:r>
      <w:r w:rsidRPr="00523D40">
        <w:rPr>
          <w:color w:val="000000"/>
          <w:spacing w:val="0"/>
          <w:kern w:val="0"/>
          <w:sz w:val="20"/>
          <w:rtl/>
        </w:rPr>
        <w:t xml:space="preserve">. </w:t>
      </w:r>
      <w:r w:rsidRPr="00523D40">
        <w:rPr>
          <w:rFonts w:hint="cs"/>
          <w:color w:val="000000"/>
          <w:spacing w:val="0"/>
          <w:kern w:val="0"/>
          <w:sz w:val="20"/>
          <w:rtl/>
        </w:rPr>
        <w:t xml:space="preserve">وأكدت </w:t>
      </w:r>
      <w:r w:rsidRPr="00523D40">
        <w:rPr>
          <w:color w:val="000000"/>
          <w:spacing w:val="0"/>
          <w:kern w:val="0"/>
          <w:sz w:val="20"/>
          <w:rtl/>
        </w:rPr>
        <w:t>صاحب</w:t>
      </w:r>
      <w:r w:rsidRPr="00523D40">
        <w:rPr>
          <w:rFonts w:hint="cs"/>
          <w:color w:val="000000"/>
          <w:spacing w:val="0"/>
          <w:kern w:val="0"/>
          <w:sz w:val="20"/>
          <w:rtl/>
        </w:rPr>
        <w:t>ة</w:t>
      </w:r>
      <w:r w:rsidRPr="00523D40">
        <w:rPr>
          <w:color w:val="000000"/>
          <w:spacing w:val="0"/>
          <w:kern w:val="0"/>
          <w:sz w:val="20"/>
          <w:rtl/>
        </w:rPr>
        <w:t xml:space="preserve"> الشكوى</w:t>
      </w:r>
      <w:r w:rsidRPr="00523D40">
        <w:rPr>
          <w:rFonts w:hint="cs"/>
          <w:color w:val="000000"/>
          <w:spacing w:val="0"/>
          <w:kern w:val="0"/>
          <w:sz w:val="20"/>
          <w:rtl/>
        </w:rPr>
        <w:t xml:space="preserve"> أنها</w:t>
      </w:r>
      <w:r w:rsidRPr="00523D40">
        <w:rPr>
          <w:color w:val="000000"/>
          <w:spacing w:val="0"/>
          <w:kern w:val="0"/>
          <w:sz w:val="20"/>
          <w:rtl/>
        </w:rPr>
        <w:t xml:space="preserve"> </w:t>
      </w:r>
      <w:r w:rsidRPr="00523D40">
        <w:rPr>
          <w:rFonts w:hint="cs"/>
          <w:color w:val="000000"/>
          <w:spacing w:val="0"/>
          <w:kern w:val="0"/>
          <w:sz w:val="20"/>
          <w:rtl/>
        </w:rPr>
        <w:t xml:space="preserve"> </w:t>
      </w:r>
      <w:r w:rsidRPr="00523D40">
        <w:rPr>
          <w:color w:val="000000"/>
          <w:spacing w:val="0"/>
          <w:kern w:val="0"/>
          <w:sz w:val="20"/>
          <w:rtl/>
        </w:rPr>
        <w:t xml:space="preserve">لم تقدم </w:t>
      </w:r>
      <w:r w:rsidRPr="00523D40">
        <w:rPr>
          <w:rFonts w:hint="cs"/>
          <w:color w:val="000000"/>
          <w:spacing w:val="0"/>
          <w:kern w:val="0"/>
          <w:sz w:val="20"/>
          <w:rtl/>
        </w:rPr>
        <w:t>قطّ طلباً</w:t>
      </w:r>
      <w:r w:rsidRPr="00523D40">
        <w:rPr>
          <w:color w:val="000000"/>
          <w:spacing w:val="0"/>
          <w:kern w:val="0"/>
          <w:sz w:val="20"/>
          <w:rtl/>
        </w:rPr>
        <w:t xml:space="preserve"> للحصول على تأشيرة</w:t>
      </w:r>
      <w:r w:rsidRPr="00523D40">
        <w:rPr>
          <w:rFonts w:hint="cs"/>
          <w:color w:val="000000"/>
          <w:spacing w:val="0"/>
          <w:kern w:val="0"/>
          <w:sz w:val="20"/>
          <w:rtl/>
        </w:rPr>
        <w:t>،</w:t>
      </w:r>
      <w:r w:rsidRPr="00523D40">
        <w:rPr>
          <w:color w:val="000000"/>
          <w:spacing w:val="0"/>
          <w:kern w:val="0"/>
          <w:sz w:val="20"/>
          <w:rtl/>
        </w:rPr>
        <w:t xml:space="preserve"> ولم </w:t>
      </w:r>
      <w:r w:rsidRPr="00523D40">
        <w:rPr>
          <w:rFonts w:hint="cs"/>
          <w:color w:val="000000"/>
          <w:spacing w:val="0"/>
          <w:kern w:val="0"/>
          <w:sz w:val="20"/>
          <w:rtl/>
        </w:rPr>
        <w:t>تزر</w:t>
      </w:r>
      <w:r w:rsidRPr="00523D40">
        <w:rPr>
          <w:color w:val="000000"/>
          <w:spacing w:val="0"/>
          <w:kern w:val="0"/>
          <w:sz w:val="20"/>
          <w:rtl/>
        </w:rPr>
        <w:t xml:space="preserve"> الجزائر أو فرنسا أو أي مكان آخر كما</w:t>
      </w:r>
      <w:r w:rsidR="00A85948">
        <w:rPr>
          <w:rFonts w:hint="cs"/>
          <w:color w:val="000000"/>
          <w:spacing w:val="0"/>
          <w:kern w:val="0"/>
          <w:sz w:val="20"/>
          <w:rtl/>
        </w:rPr>
        <w:t> </w:t>
      </w:r>
      <w:r w:rsidRPr="00523D40">
        <w:rPr>
          <w:color w:val="000000"/>
          <w:spacing w:val="0"/>
          <w:kern w:val="0"/>
          <w:sz w:val="20"/>
          <w:rtl/>
        </w:rPr>
        <w:t>ادعى مجلس الهجرة وغيره</w:t>
      </w:r>
      <w:r w:rsidRPr="00523D40">
        <w:rPr>
          <w:rFonts w:hint="cs"/>
          <w:color w:val="000000"/>
          <w:spacing w:val="0"/>
          <w:kern w:val="0"/>
          <w:sz w:val="20"/>
          <w:rtl/>
        </w:rPr>
        <w:t xml:space="preserve"> من الهيئات. وأضافت أنها</w:t>
      </w:r>
      <w:r w:rsidRPr="00523D40">
        <w:rPr>
          <w:color w:val="000000"/>
          <w:spacing w:val="0"/>
          <w:kern w:val="0"/>
          <w:sz w:val="20"/>
          <w:rtl/>
        </w:rPr>
        <w:t xml:space="preserve"> لم تتعرض للاضطهاد</w:t>
      </w:r>
      <w:r w:rsidRPr="00523D40">
        <w:rPr>
          <w:rFonts w:hint="cs"/>
          <w:color w:val="000000"/>
          <w:spacing w:val="0"/>
          <w:kern w:val="0"/>
          <w:sz w:val="20"/>
          <w:rtl/>
        </w:rPr>
        <w:t xml:space="preserve"> أو </w:t>
      </w:r>
      <w:r w:rsidRPr="00523D40">
        <w:rPr>
          <w:color w:val="000000"/>
          <w:spacing w:val="0"/>
          <w:kern w:val="0"/>
          <w:sz w:val="20"/>
          <w:rtl/>
        </w:rPr>
        <w:t>سوء المعاملة أو العق</w:t>
      </w:r>
      <w:r w:rsidRPr="00523D40">
        <w:rPr>
          <w:rFonts w:hint="cs"/>
          <w:color w:val="000000"/>
          <w:spacing w:val="0"/>
          <w:kern w:val="0"/>
          <w:sz w:val="20"/>
          <w:rtl/>
        </w:rPr>
        <w:t>اب خلال مدة بقائها في بوروندي</w:t>
      </w:r>
      <w:r w:rsidRPr="00523D40">
        <w:rPr>
          <w:color w:val="000000"/>
          <w:spacing w:val="0"/>
          <w:kern w:val="0"/>
          <w:sz w:val="20"/>
          <w:rtl/>
        </w:rPr>
        <w:t xml:space="preserve"> بعد مقتل </w:t>
      </w:r>
      <w:r w:rsidRPr="00523D40">
        <w:rPr>
          <w:rFonts w:hint="cs"/>
          <w:color w:val="000000"/>
          <w:spacing w:val="0"/>
          <w:kern w:val="0"/>
          <w:sz w:val="20"/>
          <w:rtl/>
        </w:rPr>
        <w:t>شقيقها</w:t>
      </w:r>
      <w:r w:rsidRPr="00523D40">
        <w:rPr>
          <w:color w:val="000000"/>
          <w:spacing w:val="0"/>
          <w:kern w:val="0"/>
          <w:sz w:val="20"/>
          <w:rtl/>
        </w:rPr>
        <w:t xml:space="preserve">، لأنها </w:t>
      </w:r>
      <w:r w:rsidRPr="00523D40">
        <w:rPr>
          <w:rFonts w:hint="cs"/>
          <w:color w:val="000000"/>
          <w:spacing w:val="0"/>
          <w:kern w:val="0"/>
          <w:sz w:val="20"/>
          <w:rtl/>
        </w:rPr>
        <w:t>كانت متخفية عن الأنظار</w:t>
      </w:r>
      <w:r w:rsidRPr="00523D40">
        <w:rPr>
          <w:color w:val="000000"/>
          <w:spacing w:val="0"/>
          <w:kern w:val="0"/>
          <w:sz w:val="20"/>
          <w:rtl/>
        </w:rPr>
        <w:t xml:space="preserve">. </w:t>
      </w:r>
      <w:r w:rsidRPr="00523D40">
        <w:rPr>
          <w:rFonts w:hint="cs"/>
          <w:color w:val="000000"/>
          <w:spacing w:val="0"/>
          <w:kern w:val="0"/>
          <w:sz w:val="20"/>
          <w:rtl/>
        </w:rPr>
        <w:t xml:space="preserve">وقد غادرت </w:t>
      </w:r>
      <w:r w:rsidRPr="00523D40">
        <w:rPr>
          <w:color w:val="000000"/>
          <w:spacing w:val="0"/>
          <w:kern w:val="0"/>
          <w:sz w:val="20"/>
          <w:rtl/>
        </w:rPr>
        <w:t xml:space="preserve">بوروندي بمساعدة </w:t>
      </w:r>
      <w:r w:rsidRPr="00523D40">
        <w:rPr>
          <w:rFonts w:hint="cs"/>
          <w:color w:val="000000"/>
          <w:spacing w:val="0"/>
          <w:kern w:val="0"/>
          <w:sz w:val="20"/>
          <w:rtl/>
        </w:rPr>
        <w:t>مهربين</w:t>
      </w:r>
      <w:r w:rsidRPr="00523D40">
        <w:rPr>
          <w:color w:val="000000"/>
          <w:spacing w:val="0"/>
          <w:kern w:val="0"/>
          <w:sz w:val="20"/>
          <w:rtl/>
        </w:rPr>
        <w:t xml:space="preserve">، </w:t>
      </w:r>
      <w:r w:rsidRPr="00523D40">
        <w:rPr>
          <w:rFonts w:hint="cs"/>
          <w:color w:val="000000"/>
          <w:spacing w:val="0"/>
          <w:kern w:val="0"/>
          <w:sz w:val="20"/>
          <w:rtl/>
        </w:rPr>
        <w:t>ولهذا السبب فهي لا تمتلك أية</w:t>
      </w:r>
      <w:r w:rsidRPr="00523D40">
        <w:rPr>
          <w:color w:val="000000"/>
          <w:spacing w:val="0"/>
          <w:kern w:val="0"/>
          <w:sz w:val="20"/>
          <w:rtl/>
        </w:rPr>
        <w:t xml:space="preserve"> معلومات عن جواز السفر الذي </w:t>
      </w:r>
      <w:r w:rsidRPr="00523D40">
        <w:rPr>
          <w:rFonts w:hint="cs"/>
          <w:color w:val="000000"/>
          <w:spacing w:val="0"/>
          <w:kern w:val="0"/>
          <w:sz w:val="20"/>
          <w:rtl/>
        </w:rPr>
        <w:t>استخدمته للسفر</w:t>
      </w:r>
      <w:r w:rsidRPr="00523D40">
        <w:rPr>
          <w:color w:val="000000"/>
          <w:spacing w:val="0"/>
          <w:kern w:val="0"/>
          <w:sz w:val="20"/>
          <w:rtl/>
        </w:rPr>
        <w:t xml:space="preserve"> إلى السويد</w:t>
      </w:r>
      <w:r w:rsidRPr="00523D40">
        <w:rPr>
          <w:rFonts w:hint="cs"/>
          <w:color w:val="000000"/>
          <w:spacing w:val="0"/>
          <w:kern w:val="0"/>
          <w:sz w:val="20"/>
          <w:rtl/>
        </w:rPr>
        <w:t>.</w:t>
      </w:r>
      <w:r w:rsidRPr="00523D40">
        <w:rPr>
          <w:color w:val="000000"/>
          <w:spacing w:val="0"/>
          <w:kern w:val="0"/>
          <w:sz w:val="20"/>
          <w:rtl/>
        </w:rPr>
        <w:t xml:space="preserve"> و</w:t>
      </w:r>
      <w:r w:rsidRPr="00523D40">
        <w:rPr>
          <w:rFonts w:hint="cs"/>
          <w:color w:val="000000"/>
          <w:spacing w:val="0"/>
          <w:kern w:val="0"/>
          <w:sz w:val="20"/>
          <w:rtl/>
        </w:rPr>
        <w:t xml:space="preserve">أكدت أن </w:t>
      </w:r>
      <w:r w:rsidRPr="00523D40">
        <w:rPr>
          <w:color w:val="000000"/>
          <w:spacing w:val="0"/>
          <w:kern w:val="0"/>
          <w:sz w:val="20"/>
          <w:rtl/>
        </w:rPr>
        <w:t xml:space="preserve">الشيء الوحيد الذي </w:t>
      </w:r>
      <w:r w:rsidRPr="00523D40">
        <w:rPr>
          <w:rFonts w:hint="cs"/>
          <w:color w:val="000000"/>
          <w:spacing w:val="0"/>
          <w:kern w:val="0"/>
          <w:sz w:val="20"/>
          <w:rtl/>
        </w:rPr>
        <w:t>كانت حريصة عليه هو مغادرة</w:t>
      </w:r>
      <w:r w:rsidRPr="00523D40">
        <w:rPr>
          <w:color w:val="000000"/>
          <w:spacing w:val="0"/>
          <w:kern w:val="0"/>
          <w:sz w:val="20"/>
          <w:rtl/>
        </w:rPr>
        <w:t xml:space="preserve"> بلدها الأصلي </w:t>
      </w:r>
      <w:r w:rsidRPr="00523D40">
        <w:rPr>
          <w:rFonts w:hint="cs"/>
          <w:color w:val="000000"/>
          <w:spacing w:val="0"/>
          <w:kern w:val="0"/>
          <w:sz w:val="20"/>
          <w:rtl/>
        </w:rPr>
        <w:t>والوصول إلى</w:t>
      </w:r>
      <w:r w:rsidRPr="00523D40">
        <w:rPr>
          <w:color w:val="000000"/>
          <w:spacing w:val="0"/>
          <w:kern w:val="0"/>
          <w:sz w:val="20"/>
          <w:rtl/>
        </w:rPr>
        <w:t xml:space="preserve"> مكان آم</w:t>
      </w:r>
      <w:r w:rsidRPr="00523D40">
        <w:rPr>
          <w:rFonts w:hint="cs"/>
          <w:color w:val="000000"/>
          <w:spacing w:val="0"/>
          <w:kern w:val="0"/>
          <w:sz w:val="20"/>
          <w:rtl/>
        </w:rPr>
        <w:t>ن.</w:t>
      </w:r>
      <w:r w:rsidRPr="00523D40">
        <w:rPr>
          <w:color w:val="000000"/>
          <w:spacing w:val="0"/>
          <w:kern w:val="0"/>
          <w:sz w:val="20"/>
          <w:rtl/>
          <w:lang w:val="en-CA"/>
        </w:rPr>
        <w:t xml:space="preserve"> </w:t>
      </w:r>
    </w:p>
    <w:p w:rsidR="00523D40" w:rsidRPr="00523D40" w:rsidRDefault="00523D40" w:rsidP="00A85948">
      <w:pPr>
        <w:pStyle w:val="SingleTxtGA"/>
        <w:jc w:val="lowKashida"/>
        <w:rPr>
          <w:rFonts w:hint="cs"/>
          <w:b/>
          <w:bCs/>
          <w:color w:val="000000"/>
          <w:spacing w:val="0"/>
          <w:kern w:val="0"/>
          <w:sz w:val="20"/>
          <w:rtl/>
        </w:rPr>
      </w:pPr>
      <w:r w:rsidRPr="00523D40">
        <w:rPr>
          <w:color w:val="000000"/>
          <w:spacing w:val="0"/>
          <w:kern w:val="0"/>
          <w:sz w:val="20"/>
          <w:rtl/>
          <w:lang w:val="en-CA"/>
        </w:rPr>
        <w:t>5-2</w:t>
      </w:r>
      <w:r w:rsidRPr="00523D40">
        <w:rPr>
          <w:color w:val="000000"/>
          <w:spacing w:val="0"/>
          <w:kern w:val="0"/>
          <w:sz w:val="20"/>
          <w:rtl/>
          <w:lang w:val="en-CA"/>
        </w:rPr>
        <w:tab/>
      </w:r>
      <w:r w:rsidRPr="00523D40">
        <w:rPr>
          <w:color w:val="000000"/>
          <w:spacing w:val="0"/>
          <w:kern w:val="0"/>
          <w:sz w:val="20"/>
          <w:rtl/>
        </w:rPr>
        <w:t xml:space="preserve">وفيما يتعلق بالأسس الموضوعية، </w:t>
      </w:r>
      <w:r w:rsidRPr="00523D40">
        <w:rPr>
          <w:rFonts w:hint="cs"/>
          <w:color w:val="000000"/>
          <w:spacing w:val="0"/>
          <w:kern w:val="0"/>
          <w:sz w:val="20"/>
          <w:rtl/>
        </w:rPr>
        <w:t>ترى صاحبة</w:t>
      </w:r>
      <w:r w:rsidRPr="00523D40">
        <w:rPr>
          <w:color w:val="000000"/>
          <w:spacing w:val="0"/>
          <w:kern w:val="0"/>
          <w:sz w:val="20"/>
          <w:rtl/>
        </w:rPr>
        <w:t xml:space="preserve"> الشكوى </w:t>
      </w:r>
      <w:r w:rsidRPr="00523D40">
        <w:rPr>
          <w:rFonts w:hint="cs"/>
          <w:color w:val="000000"/>
          <w:spacing w:val="0"/>
          <w:kern w:val="0"/>
          <w:sz w:val="20"/>
          <w:rtl/>
        </w:rPr>
        <w:t>أنها</w:t>
      </w:r>
      <w:r w:rsidRPr="00523D40">
        <w:rPr>
          <w:color w:val="000000"/>
          <w:spacing w:val="0"/>
          <w:kern w:val="0"/>
          <w:sz w:val="20"/>
          <w:rtl/>
        </w:rPr>
        <w:t xml:space="preserve"> قدمت</w:t>
      </w:r>
      <w:r w:rsidRPr="00523D40">
        <w:rPr>
          <w:rFonts w:hint="cs"/>
          <w:color w:val="000000"/>
          <w:spacing w:val="0"/>
          <w:kern w:val="0"/>
          <w:sz w:val="20"/>
          <w:rtl/>
        </w:rPr>
        <w:t xml:space="preserve"> معلومات وتفاصيل مسهبة </w:t>
      </w:r>
      <w:r w:rsidRPr="00523D40">
        <w:rPr>
          <w:color w:val="000000"/>
          <w:spacing w:val="0"/>
          <w:kern w:val="0"/>
          <w:sz w:val="20"/>
          <w:rtl/>
        </w:rPr>
        <w:t>لإثبات ادعاءاتها، وينبغي أن يتحول عبء الإثبات عنها إلى الدولة الطرف</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33"/>
      </w:r>
      <w:r w:rsidRPr="00523D40">
        <w:rPr>
          <w:rFonts w:hint="cs"/>
          <w:color w:val="000000"/>
          <w:spacing w:val="0"/>
          <w:kern w:val="0"/>
          <w:sz w:val="20"/>
          <w:szCs w:val="28"/>
          <w:vertAlign w:val="superscript"/>
          <w:rtl/>
          <w:lang w:val="en-CA"/>
        </w:rPr>
        <w:t>)</w:t>
      </w:r>
      <w:r w:rsidRPr="00523D40">
        <w:rPr>
          <w:color w:val="000000"/>
          <w:spacing w:val="0"/>
          <w:kern w:val="0"/>
          <w:sz w:val="20"/>
          <w:rtl/>
        </w:rPr>
        <w:t xml:space="preserve">. </w:t>
      </w:r>
      <w:r w:rsidRPr="00523D40">
        <w:rPr>
          <w:rFonts w:hint="cs"/>
          <w:color w:val="000000"/>
          <w:spacing w:val="0"/>
          <w:kern w:val="0"/>
          <w:sz w:val="20"/>
          <w:rtl/>
        </w:rPr>
        <w:t>وترى صاحبة</w:t>
      </w:r>
      <w:r w:rsidRPr="00523D40">
        <w:rPr>
          <w:color w:val="000000"/>
          <w:spacing w:val="0"/>
          <w:kern w:val="0"/>
          <w:sz w:val="20"/>
          <w:rtl/>
        </w:rPr>
        <w:t xml:space="preserve"> الشكوى أن</w:t>
      </w:r>
      <w:r w:rsidRPr="00523D40">
        <w:rPr>
          <w:rFonts w:hint="cs"/>
          <w:color w:val="000000"/>
          <w:spacing w:val="0"/>
          <w:kern w:val="0"/>
          <w:sz w:val="20"/>
          <w:rtl/>
        </w:rPr>
        <w:t>ها ستسجن لدى عودتها إلى بوروندي، وهو ما سيؤدي إلى تعرضها للتعذيب</w:t>
      </w:r>
      <w:r w:rsidRPr="00523D40">
        <w:rPr>
          <w:color w:val="000000"/>
          <w:spacing w:val="0"/>
          <w:kern w:val="0"/>
          <w:sz w:val="20"/>
          <w:rtl/>
        </w:rPr>
        <w:t xml:space="preserve"> </w:t>
      </w:r>
      <w:r w:rsidRPr="00523D40">
        <w:rPr>
          <w:rFonts w:hint="cs"/>
          <w:color w:val="000000"/>
          <w:spacing w:val="0"/>
          <w:kern w:val="0"/>
          <w:sz w:val="20"/>
          <w:rtl/>
        </w:rPr>
        <w:t>بال</w:t>
      </w:r>
      <w:r w:rsidRPr="00523D40">
        <w:rPr>
          <w:color w:val="000000"/>
          <w:spacing w:val="0"/>
          <w:kern w:val="0"/>
          <w:sz w:val="20"/>
          <w:rtl/>
        </w:rPr>
        <w:t>معنى</w:t>
      </w:r>
      <w:r w:rsidRPr="00523D40">
        <w:rPr>
          <w:rFonts w:hint="cs"/>
          <w:color w:val="000000"/>
          <w:spacing w:val="0"/>
          <w:kern w:val="0"/>
          <w:sz w:val="20"/>
          <w:rtl/>
        </w:rPr>
        <w:t xml:space="preserve"> المحدد</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هذا المصطلح في المادة 1 من الاتفاقية</w:t>
      </w:r>
      <w:r w:rsidRPr="00523D40">
        <w:rPr>
          <w:color w:val="000000"/>
          <w:spacing w:val="0"/>
          <w:kern w:val="0"/>
          <w:sz w:val="20"/>
          <w:rtl/>
          <w:lang w:val="en-CA"/>
        </w:rPr>
        <w:t>.</w:t>
      </w:r>
      <w:r w:rsidRPr="00523D40">
        <w:rPr>
          <w:color w:val="000000"/>
          <w:spacing w:val="0"/>
          <w:kern w:val="0"/>
          <w:sz w:val="20"/>
          <w:rtl/>
        </w:rPr>
        <w:t xml:space="preserve"> </w:t>
      </w:r>
      <w:r w:rsidRPr="00523D40">
        <w:rPr>
          <w:rFonts w:hint="cs"/>
          <w:color w:val="000000"/>
          <w:spacing w:val="0"/>
          <w:kern w:val="0"/>
          <w:sz w:val="20"/>
          <w:rtl/>
        </w:rPr>
        <w:t>وتؤكد صاحبة الشكوى من جديد</w:t>
      </w:r>
      <w:r w:rsidRPr="00523D40">
        <w:rPr>
          <w:color w:val="000000"/>
          <w:spacing w:val="0"/>
          <w:kern w:val="0"/>
          <w:sz w:val="20"/>
          <w:rtl/>
        </w:rPr>
        <w:t>، استنادا</w:t>
      </w:r>
      <w:r w:rsidRPr="00523D40">
        <w:rPr>
          <w:rFonts w:hint="cs"/>
          <w:color w:val="000000"/>
          <w:spacing w:val="0"/>
          <w:kern w:val="0"/>
          <w:sz w:val="20"/>
          <w:rtl/>
        </w:rPr>
        <w:t>ً</w:t>
      </w:r>
      <w:r w:rsidRPr="00523D40">
        <w:rPr>
          <w:color w:val="000000"/>
          <w:spacing w:val="0"/>
          <w:kern w:val="0"/>
          <w:sz w:val="20"/>
          <w:rtl/>
        </w:rPr>
        <w:t xml:space="preserve"> إلى الوضع الراهن في بوروندي، </w:t>
      </w:r>
      <w:r w:rsidRPr="00523D40">
        <w:rPr>
          <w:rFonts w:hint="cs"/>
          <w:color w:val="000000"/>
          <w:spacing w:val="0"/>
          <w:kern w:val="0"/>
          <w:sz w:val="20"/>
          <w:rtl/>
        </w:rPr>
        <w:t>بالإضافة إلى</w:t>
      </w:r>
      <w:r w:rsidRPr="00523D40">
        <w:rPr>
          <w:color w:val="000000"/>
          <w:spacing w:val="0"/>
          <w:kern w:val="0"/>
          <w:sz w:val="20"/>
          <w:rtl/>
        </w:rPr>
        <w:t xml:space="preserve"> </w:t>
      </w:r>
      <w:r w:rsidRPr="00523D40">
        <w:rPr>
          <w:rFonts w:hint="cs"/>
          <w:color w:val="000000"/>
          <w:spacing w:val="0"/>
          <w:kern w:val="0"/>
          <w:sz w:val="20"/>
          <w:rtl/>
        </w:rPr>
        <w:t>الأسباب التي دفعتها إلى طلب الحصول</w:t>
      </w:r>
      <w:r w:rsidRPr="00523D40">
        <w:rPr>
          <w:color w:val="000000"/>
          <w:spacing w:val="0"/>
          <w:kern w:val="0"/>
          <w:sz w:val="20"/>
          <w:rtl/>
        </w:rPr>
        <w:t xml:space="preserve"> على اللجوء والحماية</w:t>
      </w:r>
      <w:r w:rsidRPr="00523D40">
        <w:rPr>
          <w:rFonts w:hint="cs"/>
          <w:color w:val="000000"/>
          <w:spacing w:val="0"/>
          <w:kern w:val="0"/>
          <w:sz w:val="20"/>
          <w:rtl/>
        </w:rPr>
        <w:t xml:space="preserve">، حسبما قدمتها </w:t>
      </w:r>
      <w:r w:rsidRPr="00523D40">
        <w:rPr>
          <w:color w:val="000000"/>
          <w:spacing w:val="0"/>
          <w:kern w:val="0"/>
          <w:sz w:val="20"/>
          <w:rtl/>
        </w:rPr>
        <w:t>لسلطات</w:t>
      </w:r>
      <w:r w:rsidRPr="00523D40">
        <w:rPr>
          <w:rFonts w:hint="cs"/>
          <w:color w:val="000000"/>
          <w:spacing w:val="0"/>
          <w:kern w:val="0"/>
          <w:sz w:val="20"/>
          <w:rtl/>
        </w:rPr>
        <w:t xml:space="preserve"> الهجرة</w:t>
      </w:r>
      <w:r w:rsidRPr="00523D40">
        <w:rPr>
          <w:color w:val="000000"/>
          <w:spacing w:val="0"/>
          <w:kern w:val="0"/>
          <w:sz w:val="20"/>
          <w:rtl/>
        </w:rPr>
        <w:t xml:space="preserve"> السويدية </w:t>
      </w:r>
      <w:r w:rsidRPr="00523D40">
        <w:rPr>
          <w:rFonts w:hint="cs"/>
          <w:color w:val="000000"/>
          <w:spacing w:val="0"/>
          <w:kern w:val="0"/>
          <w:sz w:val="20"/>
          <w:rtl/>
        </w:rPr>
        <w:t>وحسبما وردت في البلاغ المقدم</w:t>
      </w:r>
      <w:r w:rsidRPr="00523D40">
        <w:rPr>
          <w:color w:val="000000"/>
          <w:spacing w:val="0"/>
          <w:kern w:val="0"/>
          <w:sz w:val="20"/>
          <w:rtl/>
        </w:rPr>
        <w:t xml:space="preserve"> إلى اللجنة، </w:t>
      </w:r>
      <w:r w:rsidRPr="00523D40">
        <w:rPr>
          <w:rFonts w:hint="cs"/>
          <w:color w:val="000000"/>
          <w:spacing w:val="0"/>
          <w:kern w:val="0"/>
          <w:sz w:val="20"/>
          <w:rtl/>
        </w:rPr>
        <w:t xml:space="preserve">أن </w:t>
      </w:r>
      <w:r w:rsidRPr="00523D40">
        <w:rPr>
          <w:color w:val="000000"/>
          <w:spacing w:val="0"/>
          <w:kern w:val="0"/>
          <w:sz w:val="20"/>
          <w:rtl/>
        </w:rPr>
        <w:t xml:space="preserve">طردها إلى بوروندي </w:t>
      </w:r>
      <w:r w:rsidRPr="00523D40">
        <w:rPr>
          <w:rFonts w:hint="cs"/>
          <w:color w:val="000000"/>
          <w:spacing w:val="0"/>
          <w:kern w:val="0"/>
          <w:sz w:val="20"/>
          <w:rtl/>
        </w:rPr>
        <w:t>سيشكل</w:t>
      </w:r>
      <w:r w:rsidRPr="00523D40">
        <w:rPr>
          <w:color w:val="000000"/>
          <w:spacing w:val="0"/>
          <w:kern w:val="0"/>
          <w:sz w:val="20"/>
          <w:rtl/>
        </w:rPr>
        <w:t xml:space="preserve"> انتهاكا</w:t>
      </w:r>
      <w:r w:rsidRPr="00523D40">
        <w:rPr>
          <w:rFonts w:hint="cs"/>
          <w:color w:val="000000"/>
          <w:spacing w:val="0"/>
          <w:kern w:val="0"/>
          <w:sz w:val="20"/>
          <w:rtl/>
        </w:rPr>
        <w:t>ً</w:t>
      </w:r>
      <w:r w:rsidRPr="00523D40">
        <w:rPr>
          <w:color w:val="000000"/>
          <w:spacing w:val="0"/>
          <w:kern w:val="0"/>
          <w:sz w:val="20"/>
          <w:rtl/>
        </w:rPr>
        <w:t xml:space="preserve"> للمادة</w:t>
      </w:r>
      <w:r w:rsidR="00A85948">
        <w:rPr>
          <w:rFonts w:hint="cs"/>
          <w:color w:val="000000"/>
          <w:spacing w:val="0"/>
          <w:kern w:val="0"/>
          <w:sz w:val="20"/>
          <w:rtl/>
        </w:rPr>
        <w:t> </w:t>
      </w:r>
      <w:r w:rsidRPr="00523D40">
        <w:rPr>
          <w:color w:val="000000"/>
          <w:spacing w:val="0"/>
          <w:kern w:val="0"/>
          <w:sz w:val="20"/>
          <w:rtl/>
        </w:rPr>
        <w:t>3 من الاتفاقي</w:t>
      </w:r>
      <w:r w:rsidRPr="00523D40">
        <w:rPr>
          <w:rFonts w:hint="cs"/>
          <w:color w:val="000000"/>
          <w:spacing w:val="0"/>
          <w:kern w:val="0"/>
          <w:sz w:val="20"/>
          <w:rtl/>
        </w:rPr>
        <w:t>ة.</w:t>
      </w:r>
    </w:p>
    <w:p w:rsidR="00523D40" w:rsidRPr="00523D40" w:rsidRDefault="00523D40" w:rsidP="00523D40">
      <w:pPr>
        <w:pStyle w:val="SingleTxtGA"/>
        <w:jc w:val="lowKashida"/>
        <w:rPr>
          <w:rFonts w:hint="cs"/>
          <w:color w:val="000000"/>
          <w:spacing w:val="0"/>
          <w:kern w:val="0"/>
          <w:sz w:val="20"/>
          <w:rtl/>
        </w:rPr>
      </w:pPr>
      <w:r w:rsidRPr="00523D40">
        <w:rPr>
          <w:color w:val="000000"/>
          <w:spacing w:val="0"/>
          <w:kern w:val="0"/>
          <w:sz w:val="20"/>
          <w:rtl/>
          <w:lang w:val="en-CA"/>
        </w:rPr>
        <w:t>5-3</w:t>
      </w:r>
      <w:r w:rsidRPr="00523D40">
        <w:rPr>
          <w:color w:val="000000"/>
          <w:spacing w:val="0"/>
          <w:kern w:val="0"/>
          <w:sz w:val="20"/>
          <w:rtl/>
          <w:lang w:val="en-CA"/>
        </w:rPr>
        <w:tab/>
      </w:r>
      <w:r w:rsidRPr="00523D40">
        <w:rPr>
          <w:rFonts w:hint="cs"/>
          <w:color w:val="000000"/>
          <w:spacing w:val="0"/>
          <w:kern w:val="0"/>
          <w:sz w:val="20"/>
          <w:rtl/>
          <w:lang w:val="en-CA"/>
        </w:rPr>
        <w:t xml:space="preserve">وتعترض صاحبة الشكوى على بيان </w:t>
      </w:r>
      <w:r w:rsidRPr="00523D40">
        <w:rPr>
          <w:rFonts w:hint="cs"/>
          <w:spacing w:val="0"/>
          <w:kern w:val="0"/>
          <w:sz w:val="20"/>
          <w:rtl/>
        </w:rPr>
        <w:t xml:space="preserve">الدولة الطرف الذي أكدت فيه أنها تطبق </w:t>
      </w:r>
      <w:r w:rsidRPr="00523D40">
        <w:rPr>
          <w:rFonts w:hint="cs"/>
          <w:spacing w:val="0"/>
          <w:kern w:val="0"/>
          <w:sz w:val="20"/>
          <w:rtl/>
          <w:lang/>
        </w:rPr>
        <w:t xml:space="preserve">عند النظر في طلب التماس اللجوء بموجب قانون الأجانب الاختبار نفسه الذي تطبقه اللجنة لدى </w:t>
      </w:r>
      <w:r w:rsidRPr="00523D40">
        <w:rPr>
          <w:color w:val="000000"/>
          <w:spacing w:val="0"/>
          <w:kern w:val="0"/>
          <w:sz w:val="20"/>
          <w:rtl/>
          <w:lang w:val="en-CA"/>
        </w:rPr>
        <w:t xml:space="preserve">بحث </w:t>
      </w:r>
      <w:r w:rsidRPr="00523D40">
        <w:rPr>
          <w:rFonts w:hint="cs"/>
          <w:color w:val="000000"/>
          <w:spacing w:val="0"/>
          <w:kern w:val="0"/>
          <w:sz w:val="20"/>
          <w:rtl/>
          <w:lang w:val="en-CA"/>
        </w:rPr>
        <w:t>بلاغ</w:t>
      </w:r>
      <w:r w:rsidRPr="00523D40">
        <w:rPr>
          <w:color w:val="000000"/>
          <w:spacing w:val="0"/>
          <w:kern w:val="0"/>
          <w:sz w:val="20"/>
          <w:rtl/>
          <w:lang w:val="en-CA"/>
        </w:rPr>
        <w:t xml:space="preserve"> </w:t>
      </w:r>
      <w:r w:rsidRPr="00523D40">
        <w:rPr>
          <w:rFonts w:hint="cs"/>
          <w:color w:val="000000"/>
          <w:spacing w:val="0"/>
          <w:kern w:val="0"/>
          <w:sz w:val="20"/>
          <w:rtl/>
          <w:lang w:val="en-CA"/>
        </w:rPr>
        <w:t xml:space="preserve">لاحق </w:t>
      </w:r>
      <w:r w:rsidRPr="00523D40">
        <w:rPr>
          <w:color w:val="000000"/>
          <w:spacing w:val="0"/>
          <w:kern w:val="0"/>
          <w:sz w:val="20"/>
          <w:rtl/>
          <w:lang w:val="en-CA"/>
        </w:rPr>
        <w:t>بموجب الاتفاقية</w:t>
      </w:r>
      <w:r w:rsidRPr="00523D40">
        <w:rPr>
          <w:rFonts w:hint="cs"/>
          <w:spacing w:val="0"/>
          <w:kern w:val="0"/>
          <w:sz w:val="20"/>
          <w:rtl/>
          <w:lang/>
        </w:rPr>
        <w:t>. وهي ترى أنه يتعين على سلطات الهجرة السويدية، لدى نظرها في طلب التماس اللجوء بموجب القانون المذكور، أن تبدأ بدراسة ما إذا كان مقدم الطلب لاجئاً (بموجب الاتفاقية الخاصة بوضع اللاجئين (اتفاقية اللاجئين))</w:t>
      </w:r>
      <w:r w:rsidRPr="00523D40">
        <w:rPr>
          <w:color w:val="000000"/>
          <w:spacing w:val="0"/>
          <w:kern w:val="0"/>
          <w:sz w:val="20"/>
          <w:rtl/>
        </w:rPr>
        <w:t xml:space="preserve">، </w:t>
      </w:r>
      <w:r w:rsidRPr="00523D40">
        <w:rPr>
          <w:rFonts w:hint="cs"/>
          <w:color w:val="000000"/>
          <w:spacing w:val="0"/>
          <w:kern w:val="0"/>
          <w:sz w:val="20"/>
          <w:rtl/>
        </w:rPr>
        <w:t xml:space="preserve">وتضطلع </w:t>
      </w:r>
      <w:r w:rsidRPr="00523D40">
        <w:rPr>
          <w:color w:val="000000"/>
          <w:spacing w:val="0"/>
          <w:kern w:val="0"/>
          <w:sz w:val="20"/>
          <w:rtl/>
        </w:rPr>
        <w:t xml:space="preserve">بعد ذلك </w:t>
      </w:r>
      <w:r w:rsidRPr="00523D40">
        <w:rPr>
          <w:rFonts w:hint="cs"/>
          <w:color w:val="000000"/>
          <w:spacing w:val="0"/>
          <w:kern w:val="0"/>
          <w:sz w:val="20"/>
          <w:rtl/>
        </w:rPr>
        <w:t>ببحث</w:t>
      </w:r>
      <w:r w:rsidRPr="00523D40">
        <w:rPr>
          <w:color w:val="000000"/>
          <w:spacing w:val="0"/>
          <w:kern w:val="0"/>
          <w:sz w:val="20"/>
          <w:rtl/>
        </w:rPr>
        <w:t xml:space="preserve"> ما إذا كان </w:t>
      </w:r>
      <w:r w:rsidRPr="00523D40">
        <w:rPr>
          <w:rFonts w:hint="cs"/>
          <w:color w:val="000000"/>
          <w:spacing w:val="0"/>
          <w:kern w:val="0"/>
          <w:sz w:val="20"/>
          <w:rtl/>
        </w:rPr>
        <w:t>ب</w:t>
      </w:r>
      <w:r w:rsidRPr="00523D40">
        <w:rPr>
          <w:color w:val="000000"/>
          <w:spacing w:val="0"/>
          <w:kern w:val="0"/>
          <w:sz w:val="20"/>
          <w:rtl/>
        </w:rPr>
        <w:t xml:space="preserve">حاجة إلى الحماية الواجبة </w:t>
      </w:r>
      <w:r w:rsidRPr="00523D40">
        <w:rPr>
          <w:rFonts w:hint="cs"/>
          <w:color w:val="000000"/>
          <w:spacing w:val="0"/>
          <w:kern w:val="0"/>
          <w:sz w:val="20"/>
          <w:rtl/>
        </w:rPr>
        <w:t xml:space="preserve">بسبب </w:t>
      </w:r>
      <w:r w:rsidRPr="00523D40">
        <w:rPr>
          <w:color w:val="000000"/>
          <w:spacing w:val="0"/>
          <w:kern w:val="0"/>
          <w:sz w:val="20"/>
          <w:rtl/>
        </w:rPr>
        <w:t>ظروف أخرى أو</w:t>
      </w:r>
      <w:r w:rsidRPr="00523D40">
        <w:rPr>
          <w:rFonts w:hint="cs"/>
          <w:color w:val="000000"/>
          <w:spacing w:val="0"/>
          <w:kern w:val="0"/>
          <w:sz w:val="20"/>
          <w:rtl/>
        </w:rPr>
        <w:t xml:space="preserve"> ما</w:t>
      </w:r>
      <w:r w:rsidRPr="00523D40">
        <w:rPr>
          <w:color w:val="000000"/>
          <w:spacing w:val="0"/>
          <w:kern w:val="0"/>
          <w:sz w:val="20"/>
          <w:rtl/>
        </w:rPr>
        <w:t xml:space="preserve"> إذا كان</w:t>
      </w:r>
      <w:r w:rsidRPr="00523D40">
        <w:rPr>
          <w:rFonts w:hint="cs"/>
          <w:color w:val="000000"/>
          <w:spacing w:val="0"/>
          <w:kern w:val="0"/>
          <w:sz w:val="20"/>
          <w:rtl/>
        </w:rPr>
        <w:t>ت</w:t>
      </w:r>
      <w:r w:rsidRPr="00523D40">
        <w:rPr>
          <w:color w:val="000000"/>
          <w:spacing w:val="0"/>
          <w:kern w:val="0"/>
          <w:sz w:val="20"/>
          <w:rtl/>
        </w:rPr>
        <w:t xml:space="preserve"> هناك </w:t>
      </w:r>
      <w:r w:rsidRPr="00523D40">
        <w:rPr>
          <w:rFonts w:hint="cs"/>
          <w:color w:val="000000"/>
          <w:spacing w:val="0"/>
          <w:kern w:val="0"/>
          <w:sz w:val="20"/>
          <w:rtl/>
        </w:rPr>
        <w:t>أسباب تكشف عن ظروف بالغة القسوة</w:t>
      </w:r>
      <w:r w:rsidRPr="00523D40">
        <w:rPr>
          <w:color w:val="000000"/>
          <w:spacing w:val="0"/>
          <w:kern w:val="0"/>
          <w:sz w:val="20"/>
          <w:rtl/>
        </w:rPr>
        <w:t xml:space="preserve"> </w:t>
      </w:r>
      <w:r w:rsidRPr="00523D40">
        <w:rPr>
          <w:rFonts w:hint="cs"/>
          <w:color w:val="000000"/>
          <w:spacing w:val="0"/>
          <w:kern w:val="0"/>
          <w:sz w:val="20"/>
          <w:rtl/>
        </w:rPr>
        <w:t xml:space="preserve">تستدعي </w:t>
      </w:r>
      <w:r w:rsidRPr="00523D40">
        <w:rPr>
          <w:color w:val="000000"/>
          <w:spacing w:val="0"/>
          <w:kern w:val="0"/>
          <w:sz w:val="20"/>
          <w:rtl/>
        </w:rPr>
        <w:t xml:space="preserve">منح مقدم الطلب تصريح إقامة </w:t>
      </w:r>
      <w:r w:rsidRPr="00523D40">
        <w:rPr>
          <w:rFonts w:hint="cs"/>
          <w:color w:val="000000"/>
          <w:spacing w:val="0"/>
          <w:kern w:val="0"/>
          <w:sz w:val="20"/>
          <w:rtl/>
        </w:rPr>
        <w:t>استناداً إلى</w:t>
      </w:r>
      <w:r w:rsidRPr="00523D40">
        <w:rPr>
          <w:color w:val="000000"/>
          <w:spacing w:val="0"/>
          <w:kern w:val="0"/>
          <w:sz w:val="20"/>
          <w:rtl/>
        </w:rPr>
        <w:t xml:space="preserve"> </w:t>
      </w:r>
      <w:r w:rsidRPr="00523D40">
        <w:rPr>
          <w:rFonts w:hint="cs"/>
          <w:color w:val="000000"/>
          <w:spacing w:val="0"/>
          <w:kern w:val="0"/>
          <w:sz w:val="20"/>
          <w:rtl/>
        </w:rPr>
        <w:t>أحد هذه الأسباب</w:t>
      </w:r>
      <w:r w:rsidRPr="00523D40">
        <w:rPr>
          <w:color w:val="000000"/>
          <w:spacing w:val="0"/>
          <w:kern w:val="0"/>
          <w:sz w:val="20"/>
          <w:rtl/>
        </w:rPr>
        <w:t xml:space="preserve">. </w:t>
      </w:r>
      <w:r w:rsidRPr="00523D40">
        <w:rPr>
          <w:rFonts w:hint="cs"/>
          <w:color w:val="000000"/>
          <w:spacing w:val="0"/>
          <w:kern w:val="0"/>
          <w:sz w:val="20"/>
          <w:rtl/>
        </w:rPr>
        <w:t>ومن ثم، فإن صاحبة</w:t>
      </w:r>
      <w:r w:rsidRPr="00523D40">
        <w:rPr>
          <w:color w:val="000000"/>
          <w:spacing w:val="0"/>
          <w:kern w:val="0"/>
          <w:sz w:val="20"/>
          <w:rtl/>
        </w:rPr>
        <w:t xml:space="preserve"> الشكوى</w:t>
      </w:r>
      <w:r w:rsidRPr="00523D40">
        <w:rPr>
          <w:rFonts w:hint="cs"/>
          <w:color w:val="000000"/>
          <w:spacing w:val="0"/>
          <w:kern w:val="0"/>
          <w:sz w:val="20"/>
          <w:rtl/>
        </w:rPr>
        <w:t xml:space="preserve"> ترى </w:t>
      </w:r>
      <w:r w:rsidRPr="00523D40">
        <w:rPr>
          <w:color w:val="000000"/>
          <w:spacing w:val="0"/>
          <w:kern w:val="0"/>
          <w:sz w:val="20"/>
          <w:rtl/>
        </w:rPr>
        <w:t>أن</w:t>
      </w:r>
      <w:r w:rsidRPr="00523D40">
        <w:rPr>
          <w:rFonts w:hint="cs"/>
          <w:color w:val="000000"/>
          <w:spacing w:val="0"/>
          <w:kern w:val="0"/>
          <w:sz w:val="20"/>
          <w:rtl/>
        </w:rPr>
        <w:t xml:space="preserve"> تقييم</w:t>
      </w:r>
      <w:r w:rsidRPr="00523D40">
        <w:rPr>
          <w:color w:val="000000"/>
          <w:spacing w:val="0"/>
          <w:kern w:val="0"/>
          <w:sz w:val="20"/>
          <w:rtl/>
        </w:rPr>
        <w:t xml:space="preserve"> السلطا</w:t>
      </w:r>
      <w:r w:rsidRPr="00523D40">
        <w:rPr>
          <w:rFonts w:hint="cs"/>
          <w:color w:val="000000"/>
          <w:spacing w:val="0"/>
          <w:kern w:val="0"/>
          <w:sz w:val="20"/>
          <w:rtl/>
        </w:rPr>
        <w:t>ت</w:t>
      </w:r>
      <w:r w:rsidRPr="00523D40">
        <w:rPr>
          <w:color w:val="000000"/>
          <w:spacing w:val="0"/>
          <w:kern w:val="0"/>
          <w:sz w:val="20"/>
          <w:rtl/>
        </w:rPr>
        <w:t xml:space="preserve"> </w:t>
      </w:r>
      <w:r w:rsidRPr="00523D40">
        <w:rPr>
          <w:rFonts w:hint="cs"/>
          <w:color w:val="000000"/>
          <w:spacing w:val="0"/>
          <w:kern w:val="0"/>
          <w:sz w:val="20"/>
          <w:rtl/>
        </w:rPr>
        <w:t xml:space="preserve">يتعلق بتحديد وضع اللاجئ وفقاً </w:t>
      </w:r>
      <w:r w:rsidRPr="00523D40">
        <w:rPr>
          <w:color w:val="000000"/>
          <w:spacing w:val="0"/>
          <w:kern w:val="0"/>
          <w:sz w:val="20"/>
          <w:rtl/>
        </w:rPr>
        <w:t xml:space="preserve">لاتفاقية اللاجئين وليس </w:t>
      </w:r>
      <w:r w:rsidRPr="00523D40">
        <w:rPr>
          <w:rFonts w:hint="cs"/>
          <w:color w:val="000000"/>
          <w:spacing w:val="0"/>
          <w:kern w:val="0"/>
          <w:sz w:val="20"/>
          <w:rtl/>
        </w:rPr>
        <w:t>وفقاً ل</w:t>
      </w:r>
      <w:r w:rsidRPr="00523D40">
        <w:rPr>
          <w:color w:val="000000"/>
          <w:spacing w:val="0"/>
          <w:kern w:val="0"/>
          <w:sz w:val="20"/>
          <w:rtl/>
        </w:rPr>
        <w:t>اتفاقية مناهضة التعذيب وغيره من ضروب المعاملة أو العقوبة القاسية أو اللاإنسانية أو المهين</w:t>
      </w:r>
      <w:r w:rsidRPr="00523D40">
        <w:rPr>
          <w:rFonts w:hint="cs"/>
          <w:color w:val="000000"/>
          <w:spacing w:val="0"/>
          <w:kern w:val="0"/>
          <w:sz w:val="20"/>
          <w:rtl/>
        </w:rPr>
        <w:t>ة.</w:t>
      </w:r>
    </w:p>
    <w:p w:rsidR="00523D40" w:rsidRPr="00A85948" w:rsidRDefault="00523D40" w:rsidP="00523D40">
      <w:pPr>
        <w:pStyle w:val="SingleTxtGA"/>
        <w:jc w:val="lowKashida"/>
        <w:rPr>
          <w:rFonts w:hint="cs"/>
          <w:color w:val="000000"/>
          <w:spacing w:val="-2"/>
          <w:kern w:val="0"/>
          <w:sz w:val="20"/>
          <w:szCs w:val="20"/>
          <w:rtl/>
        </w:rPr>
      </w:pPr>
      <w:r w:rsidRPr="00523D40">
        <w:rPr>
          <w:color w:val="000000"/>
          <w:spacing w:val="0"/>
          <w:kern w:val="0"/>
          <w:sz w:val="20"/>
          <w:rtl/>
          <w:lang w:val="en-CA"/>
        </w:rPr>
        <w:t>5-4</w:t>
      </w:r>
      <w:r w:rsidRPr="00523D40">
        <w:rPr>
          <w:color w:val="000000"/>
          <w:spacing w:val="0"/>
          <w:kern w:val="0"/>
          <w:sz w:val="20"/>
          <w:rtl/>
          <w:lang w:val="en-CA"/>
        </w:rPr>
        <w:tab/>
      </w:r>
      <w:r w:rsidRPr="00523D40">
        <w:rPr>
          <w:color w:val="000000"/>
          <w:spacing w:val="0"/>
          <w:kern w:val="0"/>
          <w:sz w:val="20"/>
          <w:rtl/>
        </w:rPr>
        <w:t>وذكر</w:t>
      </w:r>
      <w:r w:rsidRPr="00523D40">
        <w:rPr>
          <w:rFonts w:hint="cs"/>
          <w:color w:val="000000"/>
          <w:spacing w:val="0"/>
          <w:kern w:val="0"/>
          <w:sz w:val="20"/>
          <w:rtl/>
        </w:rPr>
        <w:t>ت</w:t>
      </w:r>
      <w:r w:rsidRPr="00523D40">
        <w:rPr>
          <w:color w:val="000000"/>
          <w:spacing w:val="0"/>
          <w:kern w:val="0"/>
          <w:sz w:val="20"/>
          <w:rtl/>
        </w:rPr>
        <w:t xml:space="preserve"> </w:t>
      </w:r>
      <w:r w:rsidRPr="00523D40">
        <w:rPr>
          <w:rFonts w:hint="cs"/>
          <w:color w:val="000000"/>
          <w:spacing w:val="0"/>
          <w:kern w:val="0"/>
          <w:sz w:val="20"/>
          <w:rtl/>
        </w:rPr>
        <w:t>صاحبة</w:t>
      </w:r>
      <w:r w:rsidRPr="00523D40">
        <w:rPr>
          <w:color w:val="000000"/>
          <w:spacing w:val="0"/>
          <w:kern w:val="0"/>
          <w:sz w:val="20"/>
          <w:rtl/>
        </w:rPr>
        <w:t xml:space="preserve"> الشكوى أن اتفاقية اللاجئين </w:t>
      </w:r>
      <w:r w:rsidRPr="00523D40">
        <w:rPr>
          <w:rFonts w:hint="cs"/>
          <w:color w:val="000000"/>
          <w:spacing w:val="0"/>
          <w:kern w:val="0"/>
          <w:sz w:val="20"/>
          <w:rtl/>
        </w:rPr>
        <w:t xml:space="preserve">تتميز بكونها </w:t>
      </w:r>
      <w:r w:rsidRPr="00523D40">
        <w:rPr>
          <w:color w:val="000000"/>
          <w:spacing w:val="0"/>
          <w:kern w:val="0"/>
          <w:sz w:val="20"/>
          <w:rtl/>
        </w:rPr>
        <w:t>أوسع</w:t>
      </w:r>
      <w:r w:rsidRPr="00523D40">
        <w:rPr>
          <w:rFonts w:hint="cs"/>
          <w:color w:val="000000"/>
          <w:spacing w:val="0"/>
          <w:kern w:val="0"/>
          <w:sz w:val="20"/>
          <w:rtl/>
        </w:rPr>
        <w:t xml:space="preserve"> نطاقاً</w:t>
      </w:r>
      <w:r w:rsidRPr="00523D40">
        <w:rPr>
          <w:color w:val="000000"/>
          <w:spacing w:val="0"/>
          <w:kern w:val="0"/>
          <w:sz w:val="20"/>
          <w:rtl/>
        </w:rPr>
        <w:t xml:space="preserve"> من المادة 3 من اتفاقية مناهضة التعذيب وأضيق </w:t>
      </w:r>
      <w:r w:rsidRPr="00523D40">
        <w:rPr>
          <w:rFonts w:hint="cs"/>
          <w:color w:val="000000"/>
          <w:spacing w:val="0"/>
          <w:kern w:val="0"/>
          <w:sz w:val="20"/>
          <w:rtl/>
        </w:rPr>
        <w:t xml:space="preserve">منها في الوقت نفسه. فهي أوسع نطاقاً لأن </w:t>
      </w:r>
      <w:r w:rsidRPr="00523D40">
        <w:rPr>
          <w:color w:val="000000"/>
          <w:spacing w:val="0"/>
          <w:kern w:val="0"/>
          <w:sz w:val="20"/>
          <w:rtl/>
        </w:rPr>
        <w:t>"</w:t>
      </w:r>
      <w:r w:rsidRPr="00523D40">
        <w:rPr>
          <w:rFonts w:hint="cs"/>
          <w:color w:val="000000"/>
          <w:spacing w:val="0"/>
          <w:kern w:val="0"/>
          <w:sz w:val="20"/>
          <w:rtl/>
        </w:rPr>
        <w:t>ال</w:t>
      </w:r>
      <w:r w:rsidRPr="00523D40">
        <w:rPr>
          <w:color w:val="000000"/>
          <w:spacing w:val="0"/>
          <w:kern w:val="0"/>
          <w:sz w:val="20"/>
          <w:rtl/>
        </w:rPr>
        <w:t>لاجئ"</w:t>
      </w:r>
      <w:r w:rsidRPr="00523D40">
        <w:rPr>
          <w:rFonts w:hint="cs"/>
          <w:color w:val="000000"/>
          <w:spacing w:val="0"/>
          <w:kern w:val="0"/>
          <w:sz w:val="20"/>
          <w:rtl/>
        </w:rPr>
        <w:t>، أي</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شخص</w:t>
      </w:r>
      <w:r w:rsidRPr="00523D40">
        <w:rPr>
          <w:rFonts w:hint="cs"/>
          <w:color w:val="000000"/>
          <w:spacing w:val="0"/>
          <w:kern w:val="0"/>
          <w:sz w:val="20"/>
          <w:rtl/>
        </w:rPr>
        <w:t xml:space="preserve"> الذي له</w:t>
      </w:r>
      <w:r w:rsidRPr="00523D40">
        <w:rPr>
          <w:color w:val="000000"/>
          <w:spacing w:val="0"/>
          <w:kern w:val="0"/>
          <w:sz w:val="20"/>
          <w:rtl/>
        </w:rPr>
        <w:t xml:space="preserve"> الحق في عدم </w:t>
      </w:r>
      <w:r w:rsidRPr="00523D40">
        <w:rPr>
          <w:rFonts w:hint="cs"/>
          <w:color w:val="000000"/>
          <w:spacing w:val="0"/>
          <w:kern w:val="0"/>
          <w:sz w:val="20"/>
          <w:rtl/>
        </w:rPr>
        <w:t xml:space="preserve">الرد </w:t>
      </w:r>
      <w:r w:rsidRPr="00523D40">
        <w:rPr>
          <w:color w:val="000000"/>
          <w:spacing w:val="0"/>
          <w:kern w:val="0"/>
          <w:sz w:val="20"/>
          <w:rtl/>
        </w:rPr>
        <w:t xml:space="preserve">بموجب المادة 33 من تلك الاتفاقية، هو </w:t>
      </w:r>
      <w:r w:rsidRPr="00523D40">
        <w:rPr>
          <w:rFonts w:hint="cs"/>
          <w:color w:val="000000"/>
          <w:spacing w:val="0"/>
          <w:kern w:val="0"/>
          <w:sz w:val="20"/>
          <w:rtl/>
        </w:rPr>
        <w:t>شخص</w:t>
      </w:r>
      <w:r w:rsidRPr="00523D40">
        <w:rPr>
          <w:color w:val="000000"/>
          <w:spacing w:val="0"/>
          <w:kern w:val="0"/>
          <w:sz w:val="20"/>
          <w:rtl/>
        </w:rPr>
        <w:t xml:space="preserve"> </w:t>
      </w:r>
      <w:r w:rsidRPr="00523D40">
        <w:rPr>
          <w:rFonts w:hint="cs"/>
          <w:color w:val="000000"/>
          <w:spacing w:val="0"/>
          <w:kern w:val="0"/>
          <w:sz w:val="20"/>
          <w:rtl/>
        </w:rPr>
        <w:t>لديه</w:t>
      </w:r>
      <w:r w:rsidRPr="00523D40">
        <w:rPr>
          <w:color w:val="000000"/>
          <w:spacing w:val="0"/>
          <w:kern w:val="0"/>
          <w:sz w:val="20"/>
          <w:rtl/>
        </w:rPr>
        <w:t xml:space="preserve"> "</w:t>
      </w:r>
      <w:r w:rsidRPr="00523D40">
        <w:rPr>
          <w:rFonts w:hint="cs"/>
          <w:color w:val="000000"/>
          <w:spacing w:val="0"/>
          <w:kern w:val="0"/>
          <w:sz w:val="20"/>
          <w:rtl/>
        </w:rPr>
        <w:t>خوف مبرر</w:t>
      </w:r>
      <w:r w:rsidRPr="00523D40">
        <w:rPr>
          <w:color w:val="000000"/>
          <w:spacing w:val="0"/>
          <w:kern w:val="0"/>
          <w:sz w:val="20"/>
          <w:rtl/>
        </w:rPr>
        <w:t xml:space="preserve"> من الاضطهاد" لأسباب معينة في الدولة المستقبل</w:t>
      </w:r>
      <w:r w:rsidRPr="00523D40">
        <w:rPr>
          <w:rFonts w:hint="cs"/>
          <w:color w:val="000000"/>
          <w:spacing w:val="0"/>
          <w:kern w:val="0"/>
          <w:sz w:val="20"/>
          <w:rtl/>
        </w:rPr>
        <w:t xml:space="preserve">ة. وقد يكون "الاضطهاد" أقل قسوة من "التعذيب"، ومن ثم، </w:t>
      </w:r>
      <w:r w:rsidRPr="00523D40">
        <w:rPr>
          <w:color w:val="000000"/>
          <w:spacing w:val="0"/>
          <w:kern w:val="0"/>
          <w:sz w:val="20"/>
          <w:rtl/>
        </w:rPr>
        <w:t xml:space="preserve">فإن اتفاقية اللاجئين </w:t>
      </w:r>
      <w:r w:rsidRPr="00523D40">
        <w:rPr>
          <w:rFonts w:hint="cs"/>
          <w:color w:val="000000"/>
          <w:spacing w:val="0"/>
          <w:kern w:val="0"/>
          <w:sz w:val="20"/>
          <w:rtl/>
        </w:rPr>
        <w:t>تطبق حينما يُخشى من أحد أشكال</w:t>
      </w:r>
      <w:r w:rsidRPr="00523D40">
        <w:rPr>
          <w:color w:val="000000"/>
          <w:spacing w:val="0"/>
          <w:kern w:val="0"/>
          <w:sz w:val="20"/>
          <w:rtl/>
        </w:rPr>
        <w:t xml:space="preserve"> </w:t>
      </w:r>
      <w:r w:rsidRPr="00A85948">
        <w:rPr>
          <w:color w:val="000000"/>
          <w:spacing w:val="-2"/>
          <w:kern w:val="0"/>
          <w:sz w:val="20"/>
          <w:rtl/>
        </w:rPr>
        <w:t>سوء المعاملة</w:t>
      </w:r>
      <w:r w:rsidRPr="00A85948">
        <w:rPr>
          <w:rFonts w:hint="cs"/>
          <w:color w:val="000000"/>
          <w:spacing w:val="-2"/>
          <w:kern w:val="0"/>
          <w:sz w:val="20"/>
          <w:rtl/>
        </w:rPr>
        <w:t xml:space="preserve"> الأقل قسوة</w:t>
      </w:r>
      <w:r w:rsidRPr="00A85948">
        <w:rPr>
          <w:color w:val="000000"/>
          <w:spacing w:val="-2"/>
          <w:kern w:val="0"/>
          <w:sz w:val="20"/>
          <w:rtl/>
        </w:rPr>
        <w:t xml:space="preserve"> في الدولة المستقبلة. ومن ناحية أخرى، ف</w:t>
      </w:r>
      <w:r w:rsidRPr="00A85948">
        <w:rPr>
          <w:rFonts w:hint="cs"/>
          <w:color w:val="000000"/>
          <w:spacing w:val="-2"/>
          <w:kern w:val="0"/>
          <w:sz w:val="20"/>
          <w:rtl/>
        </w:rPr>
        <w:t>ليست هناك صلة</w:t>
      </w:r>
      <w:r w:rsidRPr="00A85948">
        <w:rPr>
          <w:color w:val="000000"/>
          <w:spacing w:val="-2"/>
          <w:kern w:val="0"/>
          <w:sz w:val="20"/>
          <w:rtl/>
        </w:rPr>
        <w:t xml:space="preserve"> </w:t>
      </w:r>
      <w:r w:rsidRPr="00A85948">
        <w:rPr>
          <w:rFonts w:hint="cs"/>
          <w:color w:val="000000"/>
          <w:spacing w:val="-2"/>
          <w:kern w:val="0"/>
          <w:sz w:val="20"/>
          <w:rtl/>
        </w:rPr>
        <w:t>ل</w:t>
      </w:r>
      <w:r w:rsidRPr="00A85948">
        <w:rPr>
          <w:color w:val="000000"/>
          <w:spacing w:val="-2"/>
          <w:kern w:val="0"/>
          <w:sz w:val="20"/>
          <w:rtl/>
        </w:rPr>
        <w:t xml:space="preserve">لأسباب التي </w:t>
      </w:r>
      <w:r w:rsidRPr="00A85948">
        <w:rPr>
          <w:rFonts w:hint="cs"/>
          <w:color w:val="000000"/>
          <w:spacing w:val="-2"/>
          <w:kern w:val="0"/>
          <w:sz w:val="20"/>
          <w:rtl/>
        </w:rPr>
        <w:t>تؤدي إلى التعرض</w:t>
      </w:r>
      <w:r w:rsidRPr="00A85948">
        <w:rPr>
          <w:color w:val="000000"/>
          <w:spacing w:val="-2"/>
          <w:kern w:val="0"/>
          <w:sz w:val="20"/>
          <w:rtl/>
        </w:rPr>
        <w:t xml:space="preserve"> للتعذيب </w:t>
      </w:r>
      <w:r w:rsidRPr="00A85948">
        <w:rPr>
          <w:rFonts w:hint="cs"/>
          <w:color w:val="000000"/>
          <w:spacing w:val="-2"/>
          <w:kern w:val="0"/>
          <w:sz w:val="20"/>
          <w:rtl/>
        </w:rPr>
        <w:t xml:space="preserve">بأغراض </w:t>
      </w:r>
      <w:r w:rsidRPr="00A85948">
        <w:rPr>
          <w:color w:val="000000"/>
          <w:spacing w:val="-2"/>
          <w:kern w:val="0"/>
          <w:sz w:val="20"/>
          <w:rtl/>
        </w:rPr>
        <w:t xml:space="preserve">التقييم بموجب المادة 3 من اتفاقية مناهضة التعذيب، </w:t>
      </w:r>
      <w:r w:rsidRPr="00A85948">
        <w:rPr>
          <w:rFonts w:hint="cs"/>
          <w:color w:val="000000"/>
          <w:spacing w:val="-2"/>
          <w:kern w:val="0"/>
          <w:sz w:val="20"/>
          <w:rtl/>
        </w:rPr>
        <w:t>في حين أن</w:t>
      </w:r>
      <w:r w:rsidRPr="00A85948">
        <w:rPr>
          <w:color w:val="000000"/>
          <w:spacing w:val="-2"/>
          <w:kern w:val="0"/>
          <w:sz w:val="20"/>
          <w:rtl/>
        </w:rPr>
        <w:t xml:space="preserve"> أسباب</w:t>
      </w:r>
      <w:r w:rsidRPr="00A85948">
        <w:rPr>
          <w:rFonts w:hint="cs"/>
          <w:color w:val="000000"/>
          <w:spacing w:val="-2"/>
          <w:kern w:val="0"/>
          <w:sz w:val="20"/>
          <w:rtl/>
        </w:rPr>
        <w:t xml:space="preserve"> التعرض</w:t>
      </w:r>
      <w:r w:rsidRPr="00A85948">
        <w:rPr>
          <w:color w:val="000000"/>
          <w:spacing w:val="-2"/>
          <w:kern w:val="0"/>
          <w:sz w:val="20"/>
          <w:rtl/>
        </w:rPr>
        <w:t xml:space="preserve"> </w:t>
      </w:r>
      <w:r w:rsidRPr="00A85948">
        <w:rPr>
          <w:rFonts w:hint="cs"/>
          <w:color w:val="000000"/>
          <w:spacing w:val="-2"/>
          <w:kern w:val="0"/>
          <w:sz w:val="20"/>
          <w:rtl/>
        </w:rPr>
        <w:t>لل</w:t>
      </w:r>
      <w:r w:rsidRPr="00A85948">
        <w:rPr>
          <w:color w:val="000000"/>
          <w:spacing w:val="-2"/>
          <w:kern w:val="0"/>
          <w:sz w:val="20"/>
          <w:rtl/>
        </w:rPr>
        <w:t xml:space="preserve">اضطهاد </w:t>
      </w:r>
      <w:r w:rsidRPr="00A85948">
        <w:rPr>
          <w:rFonts w:hint="cs"/>
          <w:color w:val="000000"/>
          <w:spacing w:val="-2"/>
          <w:kern w:val="0"/>
          <w:sz w:val="20"/>
          <w:rtl/>
        </w:rPr>
        <w:t>تكون ذات صلة بذلك</w:t>
      </w:r>
      <w:r w:rsidRPr="00A85948">
        <w:rPr>
          <w:color w:val="000000"/>
          <w:spacing w:val="-2"/>
          <w:kern w:val="0"/>
          <w:sz w:val="20"/>
          <w:rtl/>
        </w:rPr>
        <w:t xml:space="preserve"> بموجب اتفاقية اللاجئين. وعلاوة على ذلك، فإن الحقوق المنصوص عليها في المادة 3 من اتفاقية مناهضة التعذيب</w:t>
      </w:r>
      <w:r w:rsidRPr="00A85948">
        <w:rPr>
          <w:rFonts w:hint="cs"/>
          <w:color w:val="000000"/>
          <w:spacing w:val="-2"/>
          <w:kern w:val="0"/>
          <w:sz w:val="20"/>
          <w:rtl/>
        </w:rPr>
        <w:t xml:space="preserve"> هي حقوق</w:t>
      </w:r>
      <w:r w:rsidRPr="00A85948">
        <w:rPr>
          <w:color w:val="000000"/>
          <w:spacing w:val="-2"/>
          <w:kern w:val="0"/>
          <w:sz w:val="20"/>
          <w:rtl/>
        </w:rPr>
        <w:t xml:space="preserve"> مطلقة، في حين </w:t>
      </w:r>
      <w:r w:rsidRPr="00A85948">
        <w:rPr>
          <w:rFonts w:hint="cs"/>
          <w:color w:val="000000"/>
          <w:spacing w:val="-2"/>
          <w:kern w:val="0"/>
          <w:sz w:val="20"/>
          <w:rtl/>
        </w:rPr>
        <w:t>أنه يمكن</w:t>
      </w:r>
      <w:r w:rsidRPr="00A85948">
        <w:rPr>
          <w:color w:val="000000"/>
          <w:spacing w:val="-2"/>
          <w:kern w:val="0"/>
          <w:sz w:val="20"/>
          <w:rtl/>
        </w:rPr>
        <w:t xml:space="preserve"> </w:t>
      </w:r>
      <w:r w:rsidRPr="00A85948">
        <w:rPr>
          <w:rFonts w:hint="cs"/>
          <w:color w:val="000000"/>
          <w:spacing w:val="-2"/>
          <w:kern w:val="0"/>
          <w:sz w:val="20"/>
          <w:rtl/>
        </w:rPr>
        <w:t xml:space="preserve">إنكار </w:t>
      </w:r>
      <w:r w:rsidRPr="00A85948">
        <w:rPr>
          <w:color w:val="000000"/>
          <w:spacing w:val="-2"/>
          <w:kern w:val="0"/>
          <w:sz w:val="20"/>
          <w:rtl/>
        </w:rPr>
        <w:t>حقوق اللاجئين</w:t>
      </w:r>
      <w:r w:rsidRPr="00A85948">
        <w:rPr>
          <w:rFonts w:hint="cs"/>
          <w:color w:val="000000"/>
          <w:spacing w:val="-2"/>
          <w:kern w:val="0"/>
          <w:sz w:val="20"/>
          <w:rtl/>
        </w:rPr>
        <w:t>.</w:t>
      </w:r>
      <w:r w:rsidRPr="00A85948">
        <w:rPr>
          <w:color w:val="000000"/>
          <w:spacing w:val="-2"/>
          <w:kern w:val="0"/>
          <w:sz w:val="20"/>
          <w:rtl/>
        </w:rPr>
        <w:t xml:space="preserve"> </w:t>
      </w:r>
      <w:r w:rsidRPr="00A85948">
        <w:rPr>
          <w:rFonts w:hint="cs"/>
          <w:color w:val="000000"/>
          <w:spacing w:val="-2"/>
          <w:kern w:val="0"/>
          <w:sz w:val="20"/>
          <w:rtl/>
        </w:rPr>
        <w:t>و</w:t>
      </w:r>
      <w:r w:rsidRPr="00A85948">
        <w:rPr>
          <w:color w:val="000000"/>
          <w:spacing w:val="-2"/>
          <w:kern w:val="0"/>
          <w:sz w:val="20"/>
          <w:rtl/>
        </w:rPr>
        <w:t xml:space="preserve">في هذا الصدد، </w:t>
      </w:r>
      <w:r w:rsidRPr="00A85948">
        <w:rPr>
          <w:rFonts w:hint="cs"/>
          <w:color w:val="000000"/>
          <w:spacing w:val="-2"/>
          <w:kern w:val="0"/>
          <w:sz w:val="20"/>
          <w:rtl/>
        </w:rPr>
        <w:t>ترى صاحبة</w:t>
      </w:r>
      <w:r w:rsidRPr="00A85948">
        <w:rPr>
          <w:color w:val="000000"/>
          <w:spacing w:val="-2"/>
          <w:kern w:val="0"/>
          <w:sz w:val="20"/>
          <w:rtl/>
        </w:rPr>
        <w:t xml:space="preserve"> الشكوى</w:t>
      </w:r>
      <w:r w:rsidRPr="00A85948">
        <w:rPr>
          <w:rFonts w:hint="cs"/>
          <w:color w:val="000000"/>
          <w:spacing w:val="-2"/>
          <w:kern w:val="0"/>
          <w:sz w:val="20"/>
          <w:rtl/>
        </w:rPr>
        <w:t xml:space="preserve"> أن التقييمات التي قدمتها سلطات الهجرة السويدية والدولة الطرف بشأن ما إذا كان طردها يشكل انتهاكاً للمادة 3 </w:t>
      </w:r>
      <w:r w:rsidRPr="00A85948">
        <w:rPr>
          <w:color w:val="000000"/>
          <w:spacing w:val="-2"/>
          <w:kern w:val="0"/>
          <w:sz w:val="20"/>
          <w:rtl/>
        </w:rPr>
        <w:t>من اتفاقية مناهضة التعذيب</w:t>
      </w:r>
      <w:r w:rsidRPr="00A85948">
        <w:rPr>
          <w:rFonts w:hint="cs"/>
          <w:color w:val="000000"/>
          <w:spacing w:val="-2"/>
          <w:kern w:val="0"/>
          <w:sz w:val="20"/>
          <w:rtl/>
        </w:rPr>
        <w:t xml:space="preserve"> أم لا، هي تقييمات أُنجزت، على الأرجح،</w:t>
      </w:r>
      <w:r w:rsidRPr="00A85948">
        <w:rPr>
          <w:color w:val="000000"/>
          <w:spacing w:val="-2"/>
          <w:kern w:val="0"/>
          <w:sz w:val="20"/>
          <w:rtl/>
        </w:rPr>
        <w:t xml:space="preserve"> </w:t>
      </w:r>
      <w:r w:rsidRPr="00A85948">
        <w:rPr>
          <w:rFonts w:hint="cs"/>
          <w:color w:val="000000"/>
          <w:spacing w:val="-2"/>
          <w:kern w:val="0"/>
          <w:sz w:val="20"/>
          <w:rtl/>
        </w:rPr>
        <w:t>استناداً إلى</w:t>
      </w:r>
      <w:r w:rsidRPr="00A85948">
        <w:rPr>
          <w:color w:val="000000"/>
          <w:spacing w:val="-2"/>
          <w:kern w:val="0"/>
          <w:sz w:val="20"/>
          <w:rtl/>
        </w:rPr>
        <w:t xml:space="preserve"> التقييم </w:t>
      </w:r>
      <w:r w:rsidRPr="00A85948">
        <w:rPr>
          <w:rFonts w:hint="cs"/>
          <w:color w:val="000000"/>
          <w:spacing w:val="-2"/>
          <w:kern w:val="0"/>
          <w:sz w:val="20"/>
          <w:rtl/>
        </w:rPr>
        <w:t>الذي قُدّم لدى</w:t>
      </w:r>
      <w:r w:rsidRPr="00A85948">
        <w:rPr>
          <w:color w:val="000000"/>
          <w:spacing w:val="-2"/>
          <w:kern w:val="0"/>
          <w:sz w:val="20"/>
          <w:rtl/>
        </w:rPr>
        <w:t xml:space="preserve"> تحديد وضع اللاجئ بموجب اتفاقية اللاجئي</w:t>
      </w:r>
      <w:r w:rsidRPr="00A85948">
        <w:rPr>
          <w:rFonts w:hint="cs"/>
          <w:color w:val="000000"/>
          <w:spacing w:val="-2"/>
          <w:kern w:val="0"/>
          <w:sz w:val="20"/>
          <w:rtl/>
        </w:rPr>
        <w:t>ن.</w:t>
      </w:r>
    </w:p>
    <w:p w:rsidR="00523D40" w:rsidRPr="00523D40" w:rsidRDefault="00523D40" w:rsidP="00523D40">
      <w:pPr>
        <w:pStyle w:val="H23GA"/>
        <w:jc w:val="lowKashida"/>
        <w:rPr>
          <w:color w:val="000000"/>
          <w:spacing w:val="0"/>
          <w:kern w:val="0"/>
          <w:sz w:val="20"/>
          <w:szCs w:val="20"/>
          <w:rtl/>
        </w:rPr>
      </w:pPr>
      <w:r w:rsidRPr="00523D40">
        <w:rPr>
          <w:rFonts w:hint="cs"/>
          <w:color w:val="000000"/>
          <w:spacing w:val="0"/>
          <w:kern w:val="0"/>
          <w:sz w:val="20"/>
          <w:rtl/>
        </w:rPr>
        <w:tab/>
      </w:r>
      <w:r w:rsidRPr="00523D40">
        <w:rPr>
          <w:rFonts w:hint="cs"/>
          <w:color w:val="000000"/>
          <w:spacing w:val="0"/>
          <w:kern w:val="0"/>
          <w:sz w:val="20"/>
          <w:rtl/>
        </w:rPr>
        <w:tab/>
        <w:t>ال</w:t>
      </w:r>
      <w:r w:rsidRPr="00523D40">
        <w:rPr>
          <w:rFonts w:hint="eastAsia"/>
          <w:color w:val="000000"/>
          <w:spacing w:val="0"/>
          <w:kern w:val="0"/>
          <w:sz w:val="20"/>
          <w:rtl/>
        </w:rPr>
        <w:t>ملاحظات</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إضافية</w:t>
      </w:r>
      <w:r w:rsidRPr="00523D40">
        <w:rPr>
          <w:rFonts w:hint="cs"/>
          <w:color w:val="000000"/>
          <w:spacing w:val="0"/>
          <w:kern w:val="0"/>
          <w:sz w:val="20"/>
          <w:rtl/>
        </w:rPr>
        <w:t xml:space="preserve"> المقدمة</w:t>
      </w:r>
      <w:r w:rsidRPr="00523D40">
        <w:rPr>
          <w:color w:val="000000"/>
          <w:spacing w:val="0"/>
          <w:kern w:val="0"/>
          <w:sz w:val="20"/>
          <w:rtl/>
        </w:rPr>
        <w:t xml:space="preserve"> من الدولة الطرف</w:t>
      </w:r>
    </w:p>
    <w:p w:rsidR="00523D40" w:rsidRPr="00523D40" w:rsidRDefault="00523D40" w:rsidP="00A85948">
      <w:pPr>
        <w:pStyle w:val="SingleTxtGA"/>
        <w:jc w:val="lowKashida"/>
        <w:rPr>
          <w:color w:val="000000"/>
          <w:spacing w:val="0"/>
          <w:kern w:val="0"/>
          <w:sz w:val="20"/>
          <w:rtl/>
        </w:rPr>
      </w:pPr>
      <w:r w:rsidRPr="00523D40">
        <w:rPr>
          <w:color w:val="000000"/>
          <w:spacing w:val="0"/>
          <w:kern w:val="0"/>
          <w:sz w:val="20"/>
          <w:rtl/>
          <w:lang w:val="en-CA"/>
        </w:rPr>
        <w:t>6-1</w:t>
      </w:r>
      <w:r w:rsidRPr="00523D40">
        <w:rPr>
          <w:color w:val="000000"/>
          <w:spacing w:val="0"/>
          <w:kern w:val="0"/>
          <w:sz w:val="20"/>
          <w:rtl/>
          <w:lang w:val="en-CA"/>
        </w:rPr>
        <w:tab/>
      </w:r>
      <w:r w:rsidRPr="00523D40">
        <w:rPr>
          <w:color w:val="000000"/>
          <w:spacing w:val="0"/>
          <w:kern w:val="0"/>
          <w:sz w:val="20"/>
          <w:rtl/>
        </w:rPr>
        <w:t>في مذكرة شفوية م</w:t>
      </w:r>
      <w:r w:rsidRPr="00523D40">
        <w:rPr>
          <w:rFonts w:hint="cs"/>
          <w:color w:val="000000"/>
          <w:spacing w:val="0"/>
          <w:kern w:val="0"/>
          <w:sz w:val="20"/>
          <w:rtl/>
        </w:rPr>
        <w:t>ؤرخة</w:t>
      </w:r>
      <w:r w:rsidRPr="00523D40">
        <w:rPr>
          <w:color w:val="000000"/>
          <w:spacing w:val="0"/>
          <w:kern w:val="0"/>
          <w:sz w:val="20"/>
          <w:rtl/>
        </w:rPr>
        <w:t xml:space="preserve"> 13 </w:t>
      </w:r>
      <w:r w:rsidRPr="00523D40">
        <w:rPr>
          <w:rFonts w:hint="cs"/>
          <w:color w:val="000000"/>
          <w:spacing w:val="0"/>
          <w:kern w:val="0"/>
          <w:sz w:val="20"/>
          <w:rtl/>
        </w:rPr>
        <w:t>نيسان/</w:t>
      </w:r>
      <w:r w:rsidRPr="00523D40">
        <w:rPr>
          <w:color w:val="000000"/>
          <w:spacing w:val="0"/>
          <w:kern w:val="0"/>
          <w:sz w:val="20"/>
          <w:rtl/>
        </w:rPr>
        <w:t xml:space="preserve">أبريل 2011، قدمت الدولة الطرف ملاحظات إضافية. </w:t>
      </w:r>
      <w:r w:rsidRPr="00523D40">
        <w:rPr>
          <w:rFonts w:hint="cs"/>
          <w:color w:val="000000"/>
          <w:spacing w:val="0"/>
          <w:kern w:val="0"/>
          <w:sz w:val="20"/>
          <w:rtl/>
        </w:rPr>
        <w:t>وهي ترى أنه</w:t>
      </w:r>
      <w:r w:rsidRPr="00523D40">
        <w:rPr>
          <w:color w:val="000000"/>
          <w:spacing w:val="0"/>
          <w:kern w:val="0"/>
          <w:sz w:val="20"/>
          <w:rtl/>
        </w:rPr>
        <w:t xml:space="preserve"> على </w:t>
      </w:r>
      <w:r w:rsidRPr="00523D40">
        <w:rPr>
          <w:rFonts w:hint="cs"/>
          <w:color w:val="000000"/>
          <w:spacing w:val="0"/>
          <w:kern w:val="0"/>
          <w:sz w:val="20"/>
          <w:rtl/>
        </w:rPr>
        <w:t>عكس ما</w:t>
      </w:r>
      <w:r w:rsidRPr="00523D40">
        <w:rPr>
          <w:color w:val="000000"/>
          <w:spacing w:val="0"/>
          <w:kern w:val="0"/>
          <w:sz w:val="20"/>
          <w:rtl/>
        </w:rPr>
        <w:t xml:space="preserve"> </w:t>
      </w:r>
      <w:r w:rsidRPr="00523D40">
        <w:rPr>
          <w:rFonts w:hint="cs"/>
          <w:color w:val="000000"/>
          <w:spacing w:val="0"/>
          <w:kern w:val="0"/>
          <w:sz w:val="20"/>
          <w:rtl/>
        </w:rPr>
        <w:t>جاء في ادعاءات صاحبة</w:t>
      </w:r>
      <w:r w:rsidRPr="00523D40">
        <w:rPr>
          <w:color w:val="000000"/>
          <w:spacing w:val="0"/>
          <w:kern w:val="0"/>
          <w:sz w:val="20"/>
          <w:rtl/>
        </w:rPr>
        <w:t xml:space="preserve"> الشكوى، </w:t>
      </w:r>
      <w:r w:rsidRPr="00523D40">
        <w:rPr>
          <w:rFonts w:hint="cs"/>
          <w:color w:val="000000"/>
          <w:spacing w:val="0"/>
          <w:kern w:val="0"/>
          <w:sz w:val="20"/>
          <w:rtl/>
        </w:rPr>
        <w:t xml:space="preserve">فإن </w:t>
      </w:r>
      <w:r w:rsidRPr="00523D40">
        <w:rPr>
          <w:color w:val="000000"/>
          <w:spacing w:val="0"/>
          <w:kern w:val="0"/>
          <w:sz w:val="20"/>
          <w:rtl/>
        </w:rPr>
        <w:t xml:space="preserve">تطبيق </w:t>
      </w:r>
      <w:r w:rsidRPr="00523D40">
        <w:rPr>
          <w:rFonts w:hint="cs"/>
          <w:color w:val="000000"/>
          <w:spacing w:val="0"/>
          <w:kern w:val="0"/>
          <w:sz w:val="20"/>
          <w:rtl/>
        </w:rPr>
        <w:t>المادة 2</w:t>
      </w:r>
      <w:r w:rsidRPr="00523D40">
        <w:rPr>
          <w:color w:val="000000"/>
          <w:spacing w:val="0"/>
          <w:kern w:val="0"/>
          <w:sz w:val="20"/>
          <w:rtl/>
        </w:rPr>
        <w:t xml:space="preserve"> من الفصل</w:t>
      </w:r>
      <w:r w:rsidRPr="00523D40">
        <w:rPr>
          <w:rFonts w:hint="cs"/>
          <w:color w:val="000000"/>
          <w:spacing w:val="0"/>
          <w:kern w:val="0"/>
          <w:sz w:val="20"/>
          <w:rtl/>
        </w:rPr>
        <w:t xml:space="preserve"> 4 مقروءةً بالاقتران مع المادة 1 من الفصل 5</w:t>
      </w:r>
      <w:r w:rsidRPr="00523D40">
        <w:rPr>
          <w:color w:val="000000"/>
          <w:spacing w:val="0"/>
          <w:kern w:val="0"/>
          <w:sz w:val="20"/>
          <w:rtl/>
        </w:rPr>
        <w:t xml:space="preserve"> من قانون الأجانب</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 xml:space="preserve">على قضيتها يقدم حماية مماثلة لتلك التي تقدمها </w:t>
      </w:r>
      <w:r w:rsidRPr="00523D40">
        <w:rPr>
          <w:color w:val="000000"/>
          <w:spacing w:val="0"/>
          <w:kern w:val="0"/>
          <w:sz w:val="20"/>
          <w:rtl/>
        </w:rPr>
        <w:t>اتفاقية مناهضة التعذيب</w:t>
      </w:r>
      <w:r w:rsidRPr="00523D40">
        <w:rPr>
          <w:rFonts w:hint="cs"/>
          <w:color w:val="000000"/>
          <w:spacing w:val="0"/>
          <w:kern w:val="0"/>
          <w:sz w:val="20"/>
          <w:rtl/>
        </w:rPr>
        <w:t xml:space="preserve"> ضد الرد. ولكي يستحق الشخص الأجنبي </w:t>
      </w:r>
      <w:r w:rsidRPr="00523D40">
        <w:rPr>
          <w:color w:val="000000"/>
          <w:spacing w:val="0"/>
          <w:kern w:val="0"/>
          <w:sz w:val="20"/>
          <w:rtl/>
        </w:rPr>
        <w:t xml:space="preserve">الحماية من </w:t>
      </w:r>
      <w:r w:rsidRPr="00523D40">
        <w:rPr>
          <w:rFonts w:hint="cs"/>
          <w:color w:val="000000"/>
          <w:spacing w:val="0"/>
          <w:kern w:val="0"/>
          <w:sz w:val="20"/>
          <w:rtl/>
        </w:rPr>
        <w:t>الرد</w:t>
      </w:r>
      <w:r w:rsidRPr="00523D40">
        <w:rPr>
          <w:color w:val="000000"/>
          <w:spacing w:val="0"/>
          <w:kern w:val="0"/>
          <w:sz w:val="20"/>
          <w:rtl/>
        </w:rPr>
        <w:t xml:space="preserve">، </w:t>
      </w:r>
      <w:r w:rsidRPr="00523D40">
        <w:rPr>
          <w:rFonts w:hint="cs"/>
          <w:color w:val="000000"/>
          <w:spacing w:val="0"/>
          <w:kern w:val="0"/>
          <w:sz w:val="20"/>
          <w:rtl/>
        </w:rPr>
        <w:t xml:space="preserve">فإن </w:t>
      </w:r>
      <w:r w:rsidRPr="00523D40">
        <w:rPr>
          <w:color w:val="000000"/>
          <w:spacing w:val="0"/>
          <w:kern w:val="0"/>
          <w:sz w:val="20"/>
          <w:rtl/>
        </w:rPr>
        <w:t>الأسباب التي ت</w:t>
      </w:r>
      <w:r w:rsidRPr="00523D40">
        <w:rPr>
          <w:rFonts w:hint="cs"/>
          <w:color w:val="000000"/>
          <w:spacing w:val="0"/>
          <w:kern w:val="0"/>
          <w:sz w:val="20"/>
          <w:rtl/>
        </w:rPr>
        <w:t>ؤدي إلى تعرض</w:t>
      </w:r>
      <w:r w:rsidRPr="00523D40">
        <w:rPr>
          <w:color w:val="000000"/>
          <w:spacing w:val="0"/>
          <w:kern w:val="0"/>
          <w:sz w:val="20"/>
          <w:rtl/>
        </w:rPr>
        <w:t xml:space="preserve"> الشخص الأجنبي </w:t>
      </w:r>
      <w:r w:rsidRPr="00523D40">
        <w:rPr>
          <w:rFonts w:hint="cs"/>
          <w:color w:val="000000"/>
          <w:spacing w:val="0"/>
          <w:kern w:val="0"/>
          <w:sz w:val="20"/>
          <w:rtl/>
        </w:rPr>
        <w:t>لخطر العقاب البدني</w:t>
      </w:r>
      <w:r w:rsidRPr="00523D40">
        <w:rPr>
          <w:color w:val="000000"/>
          <w:spacing w:val="0"/>
          <w:kern w:val="0"/>
          <w:sz w:val="20"/>
          <w:rtl/>
        </w:rPr>
        <w:t xml:space="preserve"> </w:t>
      </w:r>
      <w:r w:rsidRPr="00523D40">
        <w:rPr>
          <w:rFonts w:hint="cs"/>
          <w:color w:val="000000"/>
          <w:spacing w:val="0"/>
          <w:kern w:val="0"/>
          <w:sz w:val="20"/>
          <w:rtl/>
        </w:rPr>
        <w:t xml:space="preserve">أو </w:t>
      </w:r>
      <w:r w:rsidRPr="00523D40">
        <w:rPr>
          <w:color w:val="000000"/>
          <w:spacing w:val="0"/>
          <w:kern w:val="0"/>
          <w:sz w:val="20"/>
          <w:rtl/>
        </w:rPr>
        <w:t>التعذيب أو غيره من ضروب المعاملة</w:t>
      </w:r>
      <w:r w:rsidRPr="00523D40">
        <w:rPr>
          <w:rFonts w:hint="cs"/>
          <w:color w:val="000000"/>
          <w:spacing w:val="0"/>
          <w:kern w:val="0"/>
          <w:sz w:val="20"/>
          <w:rtl/>
        </w:rPr>
        <w:t xml:space="preserve"> أو العقوبة</w:t>
      </w:r>
      <w:r w:rsidRPr="00523D40">
        <w:rPr>
          <w:color w:val="000000"/>
          <w:spacing w:val="0"/>
          <w:kern w:val="0"/>
          <w:sz w:val="20"/>
          <w:rtl/>
        </w:rPr>
        <w:t xml:space="preserve"> اللاإنسانية أو</w:t>
      </w:r>
      <w:r w:rsidR="00A85948">
        <w:rPr>
          <w:rFonts w:hint="cs"/>
          <w:color w:val="000000"/>
          <w:spacing w:val="0"/>
          <w:kern w:val="0"/>
          <w:sz w:val="20"/>
          <w:rtl/>
        </w:rPr>
        <w:t> </w:t>
      </w:r>
      <w:r w:rsidRPr="00523D40">
        <w:rPr>
          <w:color w:val="000000"/>
          <w:spacing w:val="0"/>
          <w:kern w:val="0"/>
          <w:sz w:val="20"/>
          <w:rtl/>
        </w:rPr>
        <w:t xml:space="preserve">المهينة </w:t>
      </w:r>
      <w:r w:rsidRPr="00523D40">
        <w:rPr>
          <w:rFonts w:hint="cs"/>
          <w:color w:val="000000"/>
          <w:spacing w:val="0"/>
          <w:kern w:val="0"/>
          <w:sz w:val="20"/>
          <w:rtl/>
        </w:rPr>
        <w:t xml:space="preserve">ليست لها أهمية، ومن غير </w:t>
      </w:r>
      <w:r w:rsidRPr="00523D40">
        <w:rPr>
          <w:color w:val="000000"/>
          <w:spacing w:val="0"/>
          <w:kern w:val="0"/>
          <w:sz w:val="20"/>
          <w:rtl/>
        </w:rPr>
        <w:t xml:space="preserve">الضروري </w:t>
      </w:r>
      <w:r w:rsidRPr="00523D40">
        <w:rPr>
          <w:rFonts w:hint="cs"/>
          <w:color w:val="000000"/>
          <w:spacing w:val="0"/>
          <w:kern w:val="0"/>
          <w:sz w:val="20"/>
          <w:rtl/>
        </w:rPr>
        <w:t>اعتبار ا</w:t>
      </w:r>
      <w:r w:rsidRPr="00523D40">
        <w:rPr>
          <w:color w:val="000000"/>
          <w:spacing w:val="0"/>
          <w:kern w:val="0"/>
          <w:sz w:val="20"/>
          <w:rtl/>
        </w:rPr>
        <w:t>لأجنبي لاجئ</w:t>
      </w:r>
      <w:r w:rsidRPr="00523D40">
        <w:rPr>
          <w:rFonts w:hint="cs"/>
          <w:color w:val="000000"/>
          <w:spacing w:val="0"/>
          <w:kern w:val="0"/>
          <w:sz w:val="20"/>
          <w:rtl/>
        </w:rPr>
        <w:t>اً</w:t>
      </w:r>
      <w:r w:rsidRPr="00523D40">
        <w:rPr>
          <w:color w:val="000000"/>
          <w:spacing w:val="0"/>
          <w:kern w:val="0"/>
          <w:sz w:val="20"/>
          <w:rtl/>
        </w:rPr>
        <w:t xml:space="preserve"> بالمعنى المقصود </w:t>
      </w:r>
      <w:r w:rsidRPr="00523D40">
        <w:rPr>
          <w:rFonts w:hint="cs"/>
          <w:color w:val="000000"/>
          <w:spacing w:val="0"/>
          <w:kern w:val="0"/>
          <w:sz w:val="20"/>
          <w:rtl/>
        </w:rPr>
        <w:t>في</w:t>
      </w:r>
      <w:r w:rsidRPr="00523D40">
        <w:rPr>
          <w:color w:val="000000"/>
          <w:spacing w:val="0"/>
          <w:kern w:val="0"/>
          <w:sz w:val="20"/>
          <w:rtl/>
        </w:rPr>
        <w:t xml:space="preserve"> اتفاقية اللاجئين. وعلاوة على ذلك، </w:t>
      </w:r>
      <w:r w:rsidRPr="00523D40">
        <w:rPr>
          <w:rFonts w:hint="cs"/>
          <w:color w:val="000000"/>
          <w:spacing w:val="0"/>
          <w:kern w:val="0"/>
          <w:sz w:val="20"/>
          <w:rtl/>
        </w:rPr>
        <w:t xml:space="preserve">فالمادة 1 من </w:t>
      </w:r>
      <w:r w:rsidRPr="00523D40">
        <w:rPr>
          <w:color w:val="000000"/>
          <w:spacing w:val="0"/>
          <w:kern w:val="0"/>
          <w:sz w:val="20"/>
          <w:rtl/>
        </w:rPr>
        <w:t>الفصل 12 من القانون</w:t>
      </w:r>
      <w:r w:rsidRPr="00523D40">
        <w:rPr>
          <w:rFonts w:hint="cs"/>
          <w:color w:val="000000"/>
          <w:spacing w:val="0"/>
          <w:kern w:val="0"/>
          <w:sz w:val="20"/>
          <w:rtl/>
        </w:rPr>
        <w:t xml:space="preserve"> المذكور تنص</w:t>
      </w:r>
      <w:r w:rsidRPr="00523D40">
        <w:rPr>
          <w:color w:val="000000"/>
          <w:spacing w:val="0"/>
          <w:kern w:val="0"/>
          <w:sz w:val="20"/>
          <w:rtl/>
        </w:rPr>
        <w:t xml:space="preserve"> على </w:t>
      </w:r>
      <w:r w:rsidRPr="00523D40">
        <w:rPr>
          <w:rFonts w:hint="cs"/>
          <w:color w:val="000000"/>
          <w:spacing w:val="0"/>
          <w:kern w:val="0"/>
          <w:sz w:val="20"/>
          <w:rtl/>
        </w:rPr>
        <w:t xml:space="preserve">فرض </w:t>
      </w:r>
      <w:r w:rsidRPr="00523D40">
        <w:rPr>
          <w:color w:val="000000"/>
          <w:spacing w:val="0"/>
          <w:kern w:val="0"/>
          <w:sz w:val="20"/>
          <w:rtl/>
        </w:rPr>
        <w:t xml:space="preserve">حظر مطلق </w:t>
      </w:r>
      <w:r w:rsidRPr="00523D40">
        <w:rPr>
          <w:rFonts w:hint="cs"/>
          <w:color w:val="000000"/>
          <w:spacing w:val="0"/>
          <w:kern w:val="0"/>
          <w:sz w:val="20"/>
          <w:rtl/>
        </w:rPr>
        <w:t>على</w:t>
      </w:r>
      <w:r w:rsidRPr="00523D40">
        <w:rPr>
          <w:color w:val="000000"/>
          <w:spacing w:val="0"/>
          <w:kern w:val="0"/>
          <w:sz w:val="20"/>
          <w:rtl/>
        </w:rPr>
        <w:t xml:space="preserve"> إنفاذ قرار الطرد </w:t>
      </w:r>
      <w:r w:rsidRPr="00523D40">
        <w:rPr>
          <w:rFonts w:hint="cs"/>
          <w:color w:val="000000"/>
          <w:spacing w:val="0"/>
          <w:kern w:val="0"/>
          <w:sz w:val="20"/>
          <w:rtl/>
        </w:rPr>
        <w:t>حينما يكون هناك</w:t>
      </w:r>
      <w:r w:rsidRPr="00523D40">
        <w:rPr>
          <w:color w:val="000000"/>
          <w:spacing w:val="0"/>
          <w:kern w:val="0"/>
          <w:sz w:val="20"/>
          <w:rtl/>
        </w:rPr>
        <w:t xml:space="preserve"> سبب </w:t>
      </w:r>
      <w:r w:rsidRPr="00523D40">
        <w:rPr>
          <w:rFonts w:hint="cs"/>
          <w:color w:val="000000"/>
          <w:spacing w:val="0"/>
          <w:kern w:val="0"/>
          <w:sz w:val="20"/>
          <w:rtl/>
        </w:rPr>
        <w:t>وجيه يدعو إلى الاعتقاد بأن</w:t>
      </w:r>
      <w:r w:rsidRPr="00523D40">
        <w:rPr>
          <w:color w:val="000000"/>
          <w:spacing w:val="0"/>
          <w:kern w:val="0"/>
          <w:sz w:val="20"/>
          <w:rtl/>
        </w:rPr>
        <w:t xml:space="preserve"> أمر الطرد </w:t>
      </w:r>
      <w:r w:rsidRPr="00523D40">
        <w:rPr>
          <w:rFonts w:hint="cs"/>
          <w:color w:val="000000"/>
          <w:spacing w:val="0"/>
          <w:kern w:val="0"/>
          <w:sz w:val="20"/>
          <w:rtl/>
        </w:rPr>
        <w:t>سيعرض الشخص</w:t>
      </w:r>
      <w:r w:rsidRPr="00523D40">
        <w:rPr>
          <w:color w:val="000000"/>
          <w:spacing w:val="0"/>
          <w:kern w:val="0"/>
          <w:sz w:val="20"/>
          <w:rtl/>
        </w:rPr>
        <w:t xml:space="preserve"> الأجنبي </w:t>
      </w:r>
      <w:r w:rsidRPr="00523D40">
        <w:rPr>
          <w:rFonts w:hint="cs"/>
          <w:color w:val="000000"/>
          <w:spacing w:val="0"/>
          <w:kern w:val="0"/>
          <w:sz w:val="20"/>
          <w:rtl/>
        </w:rPr>
        <w:t>ل</w:t>
      </w:r>
      <w:r w:rsidRPr="00523D40">
        <w:rPr>
          <w:color w:val="000000"/>
          <w:spacing w:val="0"/>
          <w:kern w:val="0"/>
          <w:sz w:val="20"/>
          <w:rtl/>
        </w:rPr>
        <w:t xml:space="preserve">خطر </w:t>
      </w:r>
      <w:r w:rsidRPr="00523D40">
        <w:rPr>
          <w:rFonts w:hint="cs"/>
          <w:color w:val="000000"/>
          <w:spacing w:val="0"/>
          <w:kern w:val="0"/>
          <w:sz w:val="20"/>
          <w:rtl/>
        </w:rPr>
        <w:t xml:space="preserve">صدور حكم بالإعدام في حقه </w:t>
      </w:r>
      <w:r w:rsidRPr="00523D40">
        <w:rPr>
          <w:color w:val="000000"/>
          <w:spacing w:val="0"/>
          <w:kern w:val="0"/>
          <w:sz w:val="20"/>
          <w:rtl/>
        </w:rPr>
        <w:t xml:space="preserve">أو </w:t>
      </w:r>
      <w:r w:rsidRPr="00523D40">
        <w:rPr>
          <w:rFonts w:hint="cs"/>
          <w:color w:val="000000"/>
          <w:spacing w:val="0"/>
          <w:kern w:val="0"/>
          <w:sz w:val="20"/>
          <w:rtl/>
        </w:rPr>
        <w:t>يعرضه</w:t>
      </w:r>
      <w:r w:rsidRPr="00523D40">
        <w:rPr>
          <w:color w:val="000000"/>
          <w:spacing w:val="0"/>
          <w:kern w:val="0"/>
          <w:sz w:val="20"/>
          <w:rtl/>
        </w:rPr>
        <w:t xml:space="preserve"> للعقاب البدني</w:t>
      </w:r>
      <w:r w:rsidRPr="00523D40">
        <w:rPr>
          <w:rFonts w:hint="cs"/>
          <w:color w:val="000000"/>
          <w:spacing w:val="0"/>
          <w:kern w:val="0"/>
          <w:sz w:val="20"/>
          <w:rtl/>
        </w:rPr>
        <w:t xml:space="preserve"> أ</w:t>
      </w:r>
      <w:r w:rsidRPr="00523D40">
        <w:rPr>
          <w:color w:val="000000"/>
          <w:spacing w:val="0"/>
          <w:kern w:val="0"/>
          <w:sz w:val="20"/>
          <w:rtl/>
        </w:rPr>
        <w:t>و</w:t>
      </w:r>
      <w:r w:rsidRPr="00523D40">
        <w:rPr>
          <w:rFonts w:hint="cs"/>
          <w:color w:val="000000"/>
          <w:spacing w:val="0"/>
          <w:kern w:val="0"/>
          <w:sz w:val="20"/>
          <w:rtl/>
        </w:rPr>
        <w:t xml:space="preserve"> </w:t>
      </w:r>
      <w:r w:rsidRPr="00523D40">
        <w:rPr>
          <w:color w:val="000000"/>
          <w:spacing w:val="0"/>
          <w:kern w:val="0"/>
          <w:sz w:val="20"/>
          <w:rtl/>
        </w:rPr>
        <w:t xml:space="preserve">التعذيب أو غيره من ضروب المعاملة أو </w:t>
      </w:r>
      <w:r w:rsidRPr="00523D40">
        <w:rPr>
          <w:rFonts w:hint="cs"/>
          <w:color w:val="000000"/>
          <w:spacing w:val="0"/>
          <w:kern w:val="0"/>
          <w:sz w:val="20"/>
          <w:rtl/>
        </w:rPr>
        <w:t xml:space="preserve">العقوبة </w:t>
      </w:r>
      <w:r w:rsidRPr="00523D40">
        <w:rPr>
          <w:color w:val="000000"/>
          <w:spacing w:val="0"/>
          <w:kern w:val="0"/>
          <w:sz w:val="20"/>
          <w:rtl/>
        </w:rPr>
        <w:t xml:space="preserve">اللاإنسانية أو المهينة في </w:t>
      </w:r>
      <w:r w:rsidRPr="00523D40">
        <w:rPr>
          <w:rFonts w:hint="cs"/>
          <w:color w:val="000000"/>
          <w:spacing w:val="0"/>
          <w:kern w:val="0"/>
          <w:sz w:val="20"/>
          <w:rtl/>
        </w:rPr>
        <w:t>البلد الذي يراد إبعاد هذا الشخص إليه</w:t>
      </w:r>
      <w:r w:rsidRPr="00523D40">
        <w:rPr>
          <w:color w:val="000000"/>
          <w:spacing w:val="0"/>
          <w:kern w:val="0"/>
          <w:sz w:val="20"/>
          <w:rtl/>
        </w:rPr>
        <w:t xml:space="preserve">، أو </w:t>
      </w:r>
      <w:r w:rsidRPr="00523D40">
        <w:rPr>
          <w:rFonts w:hint="cs"/>
          <w:color w:val="000000"/>
          <w:spacing w:val="0"/>
          <w:kern w:val="0"/>
          <w:sz w:val="20"/>
          <w:rtl/>
        </w:rPr>
        <w:t>حينما</w:t>
      </w:r>
      <w:r w:rsidRPr="00523D40">
        <w:rPr>
          <w:color w:val="000000"/>
          <w:spacing w:val="0"/>
          <w:kern w:val="0"/>
          <w:sz w:val="20"/>
          <w:rtl/>
        </w:rPr>
        <w:t xml:space="preserve"> يكون هناك سبب </w:t>
      </w:r>
      <w:r w:rsidRPr="00523D40">
        <w:rPr>
          <w:rFonts w:hint="cs"/>
          <w:color w:val="000000"/>
          <w:spacing w:val="0"/>
          <w:kern w:val="0"/>
          <w:sz w:val="20"/>
          <w:rtl/>
        </w:rPr>
        <w:t xml:space="preserve">معقول يدعو إلى الاعتقاد بأن الشخص الأجنبي غير محمي من خطر </w:t>
      </w:r>
      <w:r w:rsidRPr="00523D40">
        <w:rPr>
          <w:color w:val="000000"/>
          <w:spacing w:val="0"/>
          <w:kern w:val="0"/>
          <w:sz w:val="20"/>
          <w:rtl/>
        </w:rPr>
        <w:t>إرساله</w:t>
      </w:r>
      <w:r w:rsidRPr="00523D40">
        <w:rPr>
          <w:rFonts w:hint="cs"/>
          <w:color w:val="000000"/>
          <w:spacing w:val="0"/>
          <w:kern w:val="0"/>
          <w:sz w:val="20"/>
          <w:rtl/>
        </w:rPr>
        <w:t xml:space="preserve"> </w:t>
      </w:r>
      <w:r w:rsidRPr="00523D40">
        <w:rPr>
          <w:color w:val="000000"/>
          <w:spacing w:val="0"/>
          <w:kern w:val="0"/>
          <w:sz w:val="20"/>
          <w:rtl/>
        </w:rPr>
        <w:t xml:space="preserve">إلى بلد ثالث </w:t>
      </w:r>
      <w:r w:rsidRPr="00523D40">
        <w:rPr>
          <w:rFonts w:hint="cs"/>
          <w:color w:val="000000"/>
          <w:spacing w:val="0"/>
          <w:kern w:val="0"/>
          <w:sz w:val="20"/>
          <w:rtl/>
        </w:rPr>
        <w:t>يكون فيه عرضة</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خطر من هذا القبيل</w:t>
      </w:r>
      <w:r w:rsidRPr="00523D40">
        <w:rPr>
          <w:color w:val="000000"/>
          <w:spacing w:val="0"/>
          <w:kern w:val="0"/>
          <w:sz w:val="20"/>
        </w:rPr>
        <w:t>.</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ت</w:t>
      </w:r>
      <w:r w:rsidRPr="00523D40">
        <w:rPr>
          <w:rFonts w:hint="cs"/>
          <w:color w:val="000000"/>
          <w:spacing w:val="0"/>
          <w:kern w:val="0"/>
          <w:sz w:val="20"/>
          <w:rtl/>
        </w:rPr>
        <w:t>ذكر</w:t>
      </w:r>
      <w:r w:rsidRPr="00523D40">
        <w:rPr>
          <w:color w:val="000000"/>
          <w:spacing w:val="0"/>
          <w:kern w:val="0"/>
          <w:sz w:val="20"/>
          <w:rtl/>
        </w:rPr>
        <w:t xml:space="preserve"> الدولة الطرف أيضا</w:t>
      </w:r>
      <w:r w:rsidRPr="00523D40">
        <w:rPr>
          <w:rFonts w:hint="cs"/>
          <w:color w:val="000000"/>
          <w:spacing w:val="0"/>
          <w:kern w:val="0"/>
          <w:sz w:val="20"/>
          <w:rtl/>
        </w:rPr>
        <w:t>ً</w:t>
      </w:r>
      <w:r w:rsidRPr="00523D40">
        <w:rPr>
          <w:color w:val="000000"/>
          <w:spacing w:val="0"/>
          <w:kern w:val="0"/>
          <w:sz w:val="20"/>
          <w:rtl/>
        </w:rPr>
        <w:t xml:space="preserve"> أن</w:t>
      </w:r>
      <w:r w:rsidRPr="00523D40">
        <w:rPr>
          <w:rFonts w:hint="cs"/>
          <w:color w:val="000000"/>
          <w:spacing w:val="0"/>
          <w:kern w:val="0"/>
          <w:sz w:val="20"/>
          <w:rtl/>
        </w:rPr>
        <w:t xml:space="preserve"> اعتماد المادة 1 من الفصل 12 من هذا القانون قد</w:t>
      </w:r>
      <w:r w:rsidRPr="00523D40">
        <w:rPr>
          <w:color w:val="000000"/>
          <w:spacing w:val="0"/>
          <w:kern w:val="0"/>
          <w:sz w:val="20"/>
          <w:rtl/>
        </w:rPr>
        <w:t xml:space="preserve"> </w:t>
      </w:r>
      <w:r w:rsidRPr="00523D40">
        <w:rPr>
          <w:rFonts w:hint="cs"/>
          <w:color w:val="000000"/>
          <w:spacing w:val="0"/>
          <w:kern w:val="0"/>
          <w:sz w:val="20"/>
          <w:rtl/>
        </w:rPr>
        <w:t>جاء</w:t>
      </w:r>
      <w:r w:rsidRPr="00523D40">
        <w:rPr>
          <w:color w:val="000000"/>
          <w:spacing w:val="0"/>
          <w:kern w:val="0"/>
          <w:sz w:val="20"/>
          <w:rtl/>
        </w:rPr>
        <w:t xml:space="preserve"> لضمان الامتثال للمادة 3 من الاتفاقية الأوروبية لحماية حقوق الإنسان والحريات الأساسية، التي توفر الحماية من </w:t>
      </w:r>
      <w:r w:rsidRPr="00523D40">
        <w:rPr>
          <w:rFonts w:hint="cs"/>
          <w:color w:val="000000"/>
          <w:spacing w:val="0"/>
          <w:kern w:val="0"/>
          <w:sz w:val="20"/>
          <w:rtl/>
        </w:rPr>
        <w:t>الرد</w:t>
      </w:r>
      <w:r w:rsidRPr="00523D40">
        <w:rPr>
          <w:color w:val="000000"/>
          <w:spacing w:val="0"/>
          <w:kern w:val="0"/>
          <w:sz w:val="20"/>
          <w:rtl/>
        </w:rPr>
        <w:t xml:space="preserve"> </w:t>
      </w:r>
      <w:r w:rsidRPr="00523D40">
        <w:rPr>
          <w:rFonts w:hint="cs"/>
          <w:color w:val="000000"/>
          <w:spacing w:val="0"/>
          <w:kern w:val="0"/>
          <w:sz w:val="20"/>
          <w:rtl/>
        </w:rPr>
        <w:t xml:space="preserve">بشكل </w:t>
      </w:r>
      <w:r w:rsidRPr="00523D40">
        <w:rPr>
          <w:color w:val="000000"/>
          <w:spacing w:val="0"/>
          <w:kern w:val="0"/>
          <w:sz w:val="20"/>
          <w:rtl/>
        </w:rPr>
        <w:t xml:space="preserve">أقوى من المادة 3 </w:t>
      </w:r>
      <w:r w:rsidRPr="00523D40">
        <w:rPr>
          <w:rFonts w:hint="cs"/>
          <w:color w:val="000000"/>
          <w:spacing w:val="0"/>
          <w:kern w:val="0"/>
          <w:sz w:val="20"/>
          <w:rtl/>
        </w:rPr>
        <w:t xml:space="preserve">من </w:t>
      </w:r>
      <w:r w:rsidRPr="00523D40">
        <w:rPr>
          <w:color w:val="000000"/>
          <w:spacing w:val="0"/>
          <w:kern w:val="0"/>
          <w:sz w:val="20"/>
          <w:rtl/>
        </w:rPr>
        <w:t>اتفاقية مناهضة التعذي</w:t>
      </w:r>
      <w:r w:rsidRPr="00523D40">
        <w:rPr>
          <w:rFonts w:hint="cs"/>
          <w:color w:val="000000"/>
          <w:spacing w:val="0"/>
          <w:kern w:val="0"/>
          <w:sz w:val="20"/>
          <w:rtl/>
        </w:rPr>
        <w:t>ب.</w:t>
      </w:r>
      <w:r w:rsidRPr="00523D40">
        <w:rPr>
          <w:color w:val="000000"/>
          <w:spacing w:val="0"/>
          <w:kern w:val="0"/>
          <w:sz w:val="20"/>
          <w:rtl/>
        </w:rPr>
        <w:t xml:space="preserve"> وتضيف الدولة الطرف</w:t>
      </w:r>
      <w:r w:rsidRPr="00523D40">
        <w:rPr>
          <w:rFonts w:hint="cs"/>
          <w:color w:val="000000"/>
          <w:spacing w:val="0"/>
          <w:kern w:val="0"/>
          <w:sz w:val="20"/>
          <w:rtl/>
        </w:rPr>
        <w:t xml:space="preserve"> أن</w:t>
      </w:r>
      <w:r w:rsidRPr="00523D40">
        <w:rPr>
          <w:color w:val="000000"/>
          <w:spacing w:val="0"/>
          <w:kern w:val="0"/>
          <w:sz w:val="20"/>
          <w:rtl/>
        </w:rPr>
        <w:t xml:space="preserve"> الملاحظات الأولية</w:t>
      </w:r>
      <w:r w:rsidRPr="00523D40">
        <w:rPr>
          <w:rFonts w:hint="cs"/>
          <w:color w:val="000000"/>
          <w:spacing w:val="0"/>
          <w:kern w:val="0"/>
          <w:sz w:val="20"/>
          <w:rtl/>
        </w:rPr>
        <w:t xml:space="preserve"> الصادرة</w:t>
      </w:r>
      <w:r w:rsidRPr="00523D40">
        <w:rPr>
          <w:color w:val="000000"/>
          <w:spacing w:val="0"/>
          <w:kern w:val="0"/>
          <w:sz w:val="20"/>
          <w:rtl/>
        </w:rPr>
        <w:t xml:space="preserve"> في 2 أيلول</w:t>
      </w:r>
      <w:r w:rsidRPr="00523D40">
        <w:rPr>
          <w:rFonts w:hint="cs"/>
          <w:color w:val="000000"/>
          <w:spacing w:val="0"/>
          <w:kern w:val="0"/>
          <w:sz w:val="20"/>
          <w:rtl/>
        </w:rPr>
        <w:t>/سبتمبر</w:t>
      </w:r>
      <w:r w:rsidRPr="00523D40">
        <w:rPr>
          <w:color w:val="000000"/>
          <w:spacing w:val="0"/>
          <w:kern w:val="0"/>
          <w:sz w:val="20"/>
          <w:rtl/>
        </w:rPr>
        <w:t xml:space="preserve"> 2010 </w:t>
      </w:r>
      <w:r w:rsidRPr="00523D40">
        <w:rPr>
          <w:rFonts w:hint="cs"/>
          <w:color w:val="000000"/>
          <w:spacing w:val="0"/>
          <w:kern w:val="0"/>
          <w:sz w:val="20"/>
          <w:rtl/>
        </w:rPr>
        <w:t>تدل بوضوح على أن نظرها</w:t>
      </w:r>
      <w:r w:rsidRPr="00523D40">
        <w:rPr>
          <w:color w:val="000000"/>
          <w:spacing w:val="0"/>
          <w:kern w:val="0"/>
          <w:sz w:val="20"/>
          <w:rtl/>
        </w:rPr>
        <w:t xml:space="preserve"> في هذا البلاغ </w:t>
      </w:r>
      <w:r w:rsidRPr="00523D40">
        <w:rPr>
          <w:rFonts w:hint="cs"/>
          <w:color w:val="000000"/>
          <w:spacing w:val="0"/>
          <w:kern w:val="0"/>
          <w:sz w:val="20"/>
          <w:rtl/>
        </w:rPr>
        <w:t xml:space="preserve">يستند إلى </w:t>
      </w:r>
      <w:r w:rsidRPr="00523D40">
        <w:rPr>
          <w:color w:val="000000"/>
          <w:spacing w:val="0"/>
          <w:kern w:val="0"/>
          <w:sz w:val="20"/>
          <w:rtl/>
        </w:rPr>
        <w:t>المادة 3 من اتفاقية مناهضة التعذي</w:t>
      </w:r>
      <w:r w:rsidRPr="00523D40">
        <w:rPr>
          <w:rFonts w:hint="cs"/>
          <w:color w:val="000000"/>
          <w:spacing w:val="0"/>
          <w:kern w:val="0"/>
          <w:sz w:val="20"/>
          <w:rtl/>
        </w:rPr>
        <w:t>ب.</w:t>
      </w:r>
    </w:p>
    <w:p w:rsidR="00523D40" w:rsidRPr="00523D40" w:rsidRDefault="00523D40" w:rsidP="00A85948">
      <w:pPr>
        <w:pStyle w:val="SingleTxtGA"/>
        <w:jc w:val="lowKashida"/>
        <w:rPr>
          <w:color w:val="000000"/>
          <w:spacing w:val="0"/>
          <w:kern w:val="0"/>
          <w:sz w:val="20"/>
          <w:rtl/>
          <w:lang w:val="en-CA"/>
        </w:rPr>
      </w:pPr>
      <w:r w:rsidRPr="00523D40">
        <w:rPr>
          <w:color w:val="000000"/>
          <w:spacing w:val="0"/>
          <w:kern w:val="0"/>
          <w:sz w:val="20"/>
          <w:rtl/>
          <w:lang w:val="en-CA"/>
        </w:rPr>
        <w:t>6-2</w:t>
      </w:r>
      <w:r w:rsidRPr="00523D40">
        <w:rPr>
          <w:color w:val="000000"/>
          <w:spacing w:val="0"/>
          <w:kern w:val="0"/>
          <w:sz w:val="20"/>
          <w:rtl/>
          <w:lang w:val="en-CA"/>
        </w:rPr>
        <w:tab/>
      </w:r>
      <w:r w:rsidRPr="00523D40">
        <w:rPr>
          <w:color w:val="000000"/>
          <w:spacing w:val="0"/>
          <w:kern w:val="0"/>
          <w:sz w:val="20"/>
          <w:rtl/>
        </w:rPr>
        <w:t xml:space="preserve">وفيما يتعلق بعبء الإثبات، تكرر الدولة الطرف </w:t>
      </w:r>
      <w:r w:rsidRPr="00523D40">
        <w:rPr>
          <w:rFonts w:hint="cs"/>
          <w:color w:val="000000"/>
          <w:spacing w:val="0"/>
          <w:kern w:val="0"/>
          <w:sz w:val="20"/>
          <w:rtl/>
        </w:rPr>
        <w:t>التأكيد على تعليلها السابق الذي رأت فيه أنه يتعين على صاحبة الشكوى</w:t>
      </w:r>
      <w:r w:rsidRPr="00523D40">
        <w:rPr>
          <w:color w:val="000000"/>
          <w:spacing w:val="0"/>
          <w:kern w:val="0"/>
          <w:sz w:val="20"/>
          <w:rtl/>
        </w:rPr>
        <w:t xml:space="preserve"> </w:t>
      </w:r>
      <w:r w:rsidRPr="00523D40">
        <w:rPr>
          <w:rFonts w:hint="cs"/>
          <w:color w:val="000000"/>
          <w:spacing w:val="0"/>
          <w:kern w:val="0"/>
          <w:sz w:val="20"/>
          <w:rtl/>
        </w:rPr>
        <w:t xml:space="preserve">أن تثبت وجود </w:t>
      </w:r>
      <w:r w:rsidRPr="00523D40">
        <w:rPr>
          <w:color w:val="000000"/>
          <w:spacing w:val="0"/>
          <w:kern w:val="0"/>
          <w:sz w:val="20"/>
          <w:rtl/>
        </w:rPr>
        <w:t xml:space="preserve">أسباب </w:t>
      </w:r>
      <w:r w:rsidRPr="00523D40">
        <w:rPr>
          <w:rFonts w:hint="cs"/>
          <w:color w:val="000000"/>
          <w:spacing w:val="0"/>
          <w:kern w:val="0"/>
          <w:sz w:val="20"/>
          <w:rtl/>
        </w:rPr>
        <w:t>حقيقية تدفع إلى ا</w:t>
      </w:r>
      <w:r w:rsidRPr="00523D40">
        <w:rPr>
          <w:color w:val="000000"/>
          <w:spacing w:val="0"/>
          <w:kern w:val="0"/>
          <w:sz w:val="20"/>
          <w:rtl/>
        </w:rPr>
        <w:t xml:space="preserve">لاعتقاد </w:t>
      </w:r>
      <w:r w:rsidRPr="00523D40">
        <w:rPr>
          <w:rFonts w:hint="cs"/>
          <w:color w:val="000000"/>
          <w:spacing w:val="0"/>
          <w:kern w:val="0"/>
          <w:sz w:val="20"/>
          <w:rtl/>
        </w:rPr>
        <w:t>ب</w:t>
      </w:r>
      <w:r w:rsidRPr="00523D40">
        <w:rPr>
          <w:color w:val="000000"/>
          <w:spacing w:val="0"/>
          <w:kern w:val="0"/>
          <w:sz w:val="20"/>
          <w:rtl/>
        </w:rPr>
        <w:t>أنها تواجه خطر</w:t>
      </w:r>
      <w:r w:rsidRPr="00523D40">
        <w:rPr>
          <w:rFonts w:hint="cs"/>
          <w:color w:val="000000"/>
          <w:spacing w:val="0"/>
          <w:kern w:val="0"/>
          <w:sz w:val="20"/>
          <w:rtl/>
        </w:rPr>
        <w:t>اً</w:t>
      </w:r>
      <w:r w:rsidRPr="00523D40">
        <w:rPr>
          <w:color w:val="000000"/>
          <w:spacing w:val="0"/>
          <w:kern w:val="0"/>
          <w:sz w:val="20"/>
          <w:rtl/>
        </w:rPr>
        <w:t xml:space="preserve"> متوقع</w:t>
      </w:r>
      <w:r w:rsidRPr="00523D40">
        <w:rPr>
          <w:rFonts w:hint="cs"/>
          <w:color w:val="000000"/>
          <w:spacing w:val="0"/>
          <w:kern w:val="0"/>
          <w:sz w:val="20"/>
          <w:rtl/>
        </w:rPr>
        <w:t>اً</w:t>
      </w:r>
      <w:r w:rsidRPr="00523D40">
        <w:rPr>
          <w:color w:val="000000"/>
          <w:spacing w:val="0"/>
          <w:kern w:val="0"/>
          <w:sz w:val="20"/>
          <w:rtl/>
        </w:rPr>
        <w:t xml:space="preserve"> وحقيقي</w:t>
      </w:r>
      <w:r w:rsidRPr="00523D40">
        <w:rPr>
          <w:rFonts w:hint="cs"/>
          <w:color w:val="000000"/>
          <w:spacing w:val="0"/>
          <w:kern w:val="0"/>
          <w:sz w:val="20"/>
          <w:rtl/>
        </w:rPr>
        <w:t>اً</w:t>
      </w:r>
      <w:r w:rsidRPr="00523D40">
        <w:rPr>
          <w:color w:val="000000"/>
          <w:spacing w:val="0"/>
          <w:kern w:val="0"/>
          <w:sz w:val="20"/>
          <w:rtl/>
        </w:rPr>
        <w:t xml:space="preserve"> وشخصي</w:t>
      </w:r>
      <w:r w:rsidRPr="00523D40">
        <w:rPr>
          <w:rFonts w:hint="cs"/>
          <w:color w:val="000000"/>
          <w:spacing w:val="0"/>
          <w:kern w:val="0"/>
          <w:sz w:val="20"/>
          <w:rtl/>
        </w:rPr>
        <w:t>اً</w:t>
      </w:r>
      <w:r w:rsidRPr="00523D40">
        <w:rPr>
          <w:color w:val="000000"/>
          <w:spacing w:val="0"/>
          <w:kern w:val="0"/>
          <w:sz w:val="20"/>
          <w:rtl/>
        </w:rPr>
        <w:t xml:space="preserve"> </w:t>
      </w:r>
      <w:r w:rsidRPr="00523D40">
        <w:rPr>
          <w:rFonts w:hint="cs"/>
          <w:color w:val="000000"/>
          <w:spacing w:val="0"/>
          <w:kern w:val="0"/>
          <w:sz w:val="20"/>
          <w:rtl/>
        </w:rPr>
        <w:t xml:space="preserve">بالتعرض </w:t>
      </w:r>
      <w:r w:rsidRPr="00523D40">
        <w:rPr>
          <w:color w:val="000000"/>
          <w:spacing w:val="0"/>
          <w:kern w:val="0"/>
          <w:sz w:val="20"/>
          <w:rtl/>
        </w:rPr>
        <w:t>للتعذيب في بوروندي.</w:t>
      </w:r>
      <w:r w:rsidRPr="00523D40">
        <w:rPr>
          <w:rFonts w:hint="cs"/>
          <w:color w:val="000000"/>
          <w:spacing w:val="0"/>
          <w:kern w:val="0"/>
          <w:sz w:val="20"/>
          <w:rtl/>
        </w:rPr>
        <w:t xml:space="preserve"> ولا يتحول عبء الإثبات إلى الدولة الطرف إلاّ بعد تقديم الأدلة التي تُثبت وجود خطر من هذا القبيل</w:t>
      </w:r>
      <w:r w:rsidR="00A85948">
        <w:rPr>
          <w:rFonts w:hint="cs"/>
          <w:color w:val="000000"/>
          <w:spacing w:val="0"/>
          <w:kern w:val="0"/>
          <w:sz w:val="20"/>
          <w:rtl/>
        </w:rPr>
        <w:t xml:space="preserve"> </w:t>
      </w:r>
      <w:r w:rsidRPr="00523D40">
        <w:rPr>
          <w:rFonts w:hint="cs"/>
          <w:color w:val="000000"/>
          <w:spacing w:val="0"/>
          <w:kern w:val="0"/>
          <w:sz w:val="20"/>
          <w:rtl/>
        </w:rPr>
        <w:t>وهي تعترض على ما يؤكد تمكّن صاحبة الشكوى</w:t>
      </w:r>
      <w:r w:rsidRPr="00523D40">
        <w:rPr>
          <w:color w:val="000000"/>
          <w:spacing w:val="0"/>
          <w:kern w:val="0"/>
          <w:sz w:val="20"/>
          <w:rtl/>
        </w:rPr>
        <w:t xml:space="preserve"> من تقديم أدلة كافية لتحويل عبء الإثبات</w:t>
      </w:r>
      <w:r w:rsidRPr="00523D40">
        <w:rPr>
          <w:rFonts w:hint="cs"/>
          <w:color w:val="000000"/>
          <w:spacing w:val="0"/>
          <w:kern w:val="0"/>
          <w:sz w:val="20"/>
          <w:rtl/>
        </w:rPr>
        <w:t>،</w:t>
      </w:r>
      <w:r w:rsidRPr="00523D40">
        <w:rPr>
          <w:color w:val="000000"/>
          <w:spacing w:val="0"/>
          <w:kern w:val="0"/>
          <w:sz w:val="20"/>
          <w:rtl/>
        </w:rPr>
        <w:t xml:space="preserve"> </w:t>
      </w:r>
      <w:r w:rsidRPr="00523D40">
        <w:rPr>
          <w:rFonts w:hint="cs"/>
          <w:color w:val="000000"/>
          <w:spacing w:val="0"/>
          <w:kern w:val="0"/>
          <w:sz w:val="20"/>
          <w:rtl/>
        </w:rPr>
        <w:t>وترى أن هذه الأخيرة لم تقدم</w:t>
      </w:r>
      <w:r w:rsidRPr="00523D40">
        <w:rPr>
          <w:color w:val="000000"/>
          <w:spacing w:val="0"/>
          <w:kern w:val="0"/>
          <w:sz w:val="20"/>
          <w:rtl/>
        </w:rPr>
        <w:t xml:space="preserve"> </w:t>
      </w:r>
      <w:r w:rsidRPr="00523D40">
        <w:rPr>
          <w:rFonts w:hint="cs"/>
          <w:color w:val="000000"/>
          <w:spacing w:val="0"/>
          <w:kern w:val="0"/>
          <w:sz w:val="20"/>
          <w:rtl/>
        </w:rPr>
        <w:t>أي نسخة</w:t>
      </w:r>
      <w:r w:rsidRPr="00523D40">
        <w:rPr>
          <w:color w:val="000000"/>
          <w:spacing w:val="0"/>
          <w:kern w:val="0"/>
          <w:sz w:val="20"/>
          <w:rtl/>
        </w:rPr>
        <w:t xml:space="preserve"> </w:t>
      </w:r>
      <w:r w:rsidRPr="00523D40">
        <w:rPr>
          <w:rFonts w:hint="cs"/>
          <w:color w:val="000000"/>
          <w:spacing w:val="0"/>
          <w:kern w:val="0"/>
          <w:sz w:val="20"/>
          <w:rtl/>
        </w:rPr>
        <w:t>لحكم فعلي يثبت إدانتها</w:t>
      </w:r>
      <w:r w:rsidRPr="00523D40">
        <w:rPr>
          <w:color w:val="000000"/>
          <w:spacing w:val="0"/>
          <w:kern w:val="0"/>
          <w:sz w:val="20"/>
          <w:rtl/>
        </w:rPr>
        <w:t xml:space="preserve"> بالسجن لمدة 20 عام</w:t>
      </w:r>
      <w:r w:rsidRPr="00523D40">
        <w:rPr>
          <w:rFonts w:hint="cs"/>
          <w:color w:val="000000"/>
          <w:spacing w:val="0"/>
          <w:kern w:val="0"/>
          <w:sz w:val="20"/>
          <w:rtl/>
        </w:rPr>
        <w:t>اً باستثناء</w:t>
      </w:r>
      <w:r w:rsidRPr="00523D40">
        <w:rPr>
          <w:color w:val="000000"/>
          <w:spacing w:val="0"/>
          <w:kern w:val="0"/>
          <w:sz w:val="20"/>
          <w:rtl/>
        </w:rPr>
        <w:t xml:space="preserve"> وثيقة</w:t>
      </w:r>
      <w:r w:rsidRPr="00523D40">
        <w:rPr>
          <w:rFonts w:hint="cs"/>
          <w:color w:val="000000"/>
          <w:spacing w:val="0"/>
          <w:kern w:val="0"/>
          <w:sz w:val="20"/>
          <w:rtl/>
        </w:rPr>
        <w:t xml:space="preserve"> واحدة</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عنوان "</w:t>
      </w:r>
      <w:r w:rsidRPr="00523D40">
        <w:rPr>
          <w:rFonts w:hint="cs"/>
          <w:color w:val="000000"/>
          <w:spacing w:val="0"/>
          <w:kern w:val="0"/>
          <w:sz w:val="20"/>
          <w:rtl/>
        </w:rPr>
        <w:t>إعلان تسليم حكم قضائي</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علاوة على ذلك، ت</w:t>
      </w:r>
      <w:r w:rsidRPr="00523D40">
        <w:rPr>
          <w:rFonts w:hint="cs"/>
          <w:color w:val="000000"/>
          <w:spacing w:val="0"/>
          <w:kern w:val="0"/>
          <w:sz w:val="20"/>
          <w:rtl/>
        </w:rPr>
        <w:t>رى</w:t>
      </w:r>
      <w:r w:rsidRPr="00523D40">
        <w:rPr>
          <w:color w:val="000000"/>
          <w:spacing w:val="0"/>
          <w:kern w:val="0"/>
          <w:sz w:val="20"/>
          <w:rtl/>
        </w:rPr>
        <w:t xml:space="preserve"> الدولة الطرف أن ال</w:t>
      </w:r>
      <w:r w:rsidRPr="00523D40">
        <w:rPr>
          <w:rFonts w:hint="cs"/>
          <w:color w:val="000000"/>
          <w:spacing w:val="0"/>
          <w:kern w:val="0"/>
          <w:sz w:val="20"/>
          <w:rtl/>
        </w:rPr>
        <w:t>مستندات</w:t>
      </w:r>
      <w:r w:rsidRPr="00523D40">
        <w:rPr>
          <w:color w:val="000000"/>
          <w:spacing w:val="0"/>
          <w:kern w:val="0"/>
          <w:sz w:val="20"/>
          <w:rtl/>
        </w:rPr>
        <w:t xml:space="preserve"> </w:t>
      </w:r>
      <w:r w:rsidRPr="00523D40">
        <w:rPr>
          <w:rFonts w:hint="cs"/>
          <w:color w:val="000000"/>
          <w:spacing w:val="0"/>
          <w:kern w:val="0"/>
          <w:sz w:val="20"/>
          <w:rtl/>
        </w:rPr>
        <w:t>التي قدمتها صاحبة الشكوى</w:t>
      </w:r>
      <w:r w:rsidRPr="00523D40">
        <w:rPr>
          <w:color w:val="000000"/>
          <w:spacing w:val="0"/>
          <w:kern w:val="0"/>
          <w:sz w:val="20"/>
          <w:rtl/>
        </w:rPr>
        <w:t xml:space="preserve"> لدعم ادعاءاتها هي </w:t>
      </w:r>
      <w:r w:rsidRPr="00523D40">
        <w:rPr>
          <w:rFonts w:hint="cs"/>
          <w:color w:val="000000"/>
          <w:spacing w:val="0"/>
          <w:kern w:val="0"/>
          <w:sz w:val="20"/>
          <w:rtl/>
        </w:rPr>
        <w:t>أدلة ذات قيمة محدودة للغاية</w:t>
      </w:r>
      <w:r w:rsidRPr="00523D40">
        <w:rPr>
          <w:color w:val="000000"/>
          <w:spacing w:val="0"/>
          <w:kern w:val="0"/>
          <w:sz w:val="20"/>
          <w:rtl/>
        </w:rPr>
        <w:t xml:space="preserve">، </w:t>
      </w:r>
      <w:r w:rsidRPr="00523D40">
        <w:rPr>
          <w:rFonts w:hint="cs"/>
          <w:color w:val="000000"/>
          <w:spacing w:val="0"/>
          <w:kern w:val="0"/>
          <w:sz w:val="20"/>
          <w:rtl/>
        </w:rPr>
        <w:t xml:space="preserve">لكونها </w:t>
      </w:r>
      <w:r w:rsidRPr="00523D40">
        <w:rPr>
          <w:color w:val="000000"/>
          <w:spacing w:val="0"/>
          <w:kern w:val="0"/>
          <w:sz w:val="20"/>
          <w:rtl/>
        </w:rPr>
        <w:t xml:space="preserve">وثائق </w:t>
      </w:r>
      <w:r w:rsidRPr="00523D40">
        <w:rPr>
          <w:rFonts w:hint="cs"/>
          <w:color w:val="000000"/>
          <w:spacing w:val="0"/>
          <w:kern w:val="0"/>
          <w:sz w:val="20"/>
          <w:rtl/>
        </w:rPr>
        <w:t>تتسم ببساطة شديدة ويمكن إعدادها بسهولة</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بالإضافة إلى ذلك،</w:t>
      </w:r>
      <w:r w:rsidRPr="00523D40">
        <w:rPr>
          <w:rFonts w:hint="cs"/>
          <w:color w:val="000000"/>
          <w:spacing w:val="0"/>
          <w:kern w:val="0"/>
          <w:sz w:val="20"/>
          <w:rtl/>
        </w:rPr>
        <w:t xml:space="preserve"> لا يتضمن كل من "أمر التوقيف" و"الإخطار" أية إشارة إلى رقم القضية أو أي شكل آخر من أشكال التعريف.</w:t>
      </w:r>
      <w:r w:rsidRPr="00523D40">
        <w:rPr>
          <w:color w:val="000000"/>
          <w:spacing w:val="0"/>
          <w:kern w:val="0"/>
          <w:sz w:val="20"/>
          <w:rtl/>
        </w:rPr>
        <w:t xml:space="preserve"> </w:t>
      </w:r>
    </w:p>
    <w:p w:rsidR="00523D40" w:rsidRPr="00523D40" w:rsidRDefault="00523D40" w:rsidP="00523D40">
      <w:pPr>
        <w:pStyle w:val="SingleTxtGA"/>
        <w:jc w:val="lowKashida"/>
        <w:rPr>
          <w:color w:val="000000"/>
          <w:spacing w:val="0"/>
          <w:kern w:val="0"/>
          <w:sz w:val="20"/>
          <w:rtl/>
        </w:rPr>
      </w:pPr>
      <w:r w:rsidRPr="00523D40">
        <w:rPr>
          <w:color w:val="000000"/>
          <w:spacing w:val="0"/>
          <w:kern w:val="0"/>
          <w:sz w:val="20"/>
          <w:rtl/>
          <w:lang w:val="en-CA"/>
        </w:rPr>
        <w:t>6-3</w:t>
      </w:r>
      <w:r w:rsidRPr="00523D40">
        <w:rPr>
          <w:color w:val="000000"/>
          <w:spacing w:val="0"/>
          <w:kern w:val="0"/>
          <w:sz w:val="20"/>
          <w:rtl/>
          <w:lang w:val="en-CA"/>
        </w:rPr>
        <w:tab/>
      </w:r>
      <w:r w:rsidRPr="00523D40">
        <w:rPr>
          <w:rFonts w:hint="cs"/>
          <w:color w:val="000000"/>
          <w:spacing w:val="0"/>
          <w:kern w:val="0"/>
          <w:sz w:val="20"/>
          <w:rtl/>
        </w:rPr>
        <w:t>وتشير</w:t>
      </w:r>
      <w:r w:rsidRPr="00523D40">
        <w:rPr>
          <w:color w:val="000000"/>
          <w:spacing w:val="0"/>
          <w:kern w:val="0"/>
          <w:sz w:val="20"/>
          <w:rtl/>
        </w:rPr>
        <w:t xml:space="preserve"> الدولة الطرف </w:t>
      </w:r>
      <w:r w:rsidRPr="00523D40">
        <w:rPr>
          <w:rFonts w:hint="cs"/>
          <w:color w:val="000000"/>
          <w:spacing w:val="0"/>
          <w:kern w:val="0"/>
          <w:sz w:val="20"/>
          <w:rtl/>
        </w:rPr>
        <w:t>كذلك</w:t>
      </w:r>
      <w:r w:rsidRPr="00523D40">
        <w:rPr>
          <w:color w:val="000000"/>
          <w:spacing w:val="0"/>
          <w:kern w:val="0"/>
          <w:sz w:val="20"/>
          <w:rtl/>
        </w:rPr>
        <w:t xml:space="preserve"> </w:t>
      </w:r>
      <w:r w:rsidRPr="00523D40">
        <w:rPr>
          <w:rFonts w:hint="cs"/>
          <w:color w:val="000000"/>
          <w:spacing w:val="0"/>
          <w:kern w:val="0"/>
          <w:sz w:val="20"/>
          <w:rtl/>
        </w:rPr>
        <w:t>إلى الادعاء القائل بأن</w:t>
      </w:r>
      <w:r w:rsidRPr="00523D40">
        <w:rPr>
          <w:color w:val="000000"/>
          <w:spacing w:val="0"/>
          <w:kern w:val="0"/>
          <w:sz w:val="20"/>
          <w:rtl/>
        </w:rPr>
        <w:t xml:space="preserve"> الوثائق </w:t>
      </w:r>
      <w:r w:rsidRPr="00523D40">
        <w:rPr>
          <w:rFonts w:hint="cs"/>
          <w:color w:val="000000"/>
          <w:spacing w:val="0"/>
          <w:kern w:val="0"/>
          <w:sz w:val="20"/>
          <w:rtl/>
        </w:rPr>
        <w:t>التي قدمتها</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تشكل أصولاً</w:t>
      </w:r>
      <w:r w:rsidRPr="00523D40">
        <w:rPr>
          <w:color w:val="000000"/>
          <w:spacing w:val="0"/>
          <w:kern w:val="0"/>
          <w:sz w:val="20"/>
          <w:rtl/>
        </w:rPr>
        <w:t xml:space="preserve">. وتلاحظ في هذا الصدد أن </w:t>
      </w:r>
      <w:r w:rsidRPr="00523D40">
        <w:rPr>
          <w:rFonts w:hint="cs"/>
          <w:color w:val="000000"/>
          <w:spacing w:val="0"/>
          <w:kern w:val="0"/>
          <w:sz w:val="20"/>
          <w:rtl/>
        </w:rPr>
        <w:t>ال</w:t>
      </w:r>
      <w:r w:rsidRPr="00523D40">
        <w:rPr>
          <w:color w:val="000000"/>
          <w:spacing w:val="0"/>
          <w:kern w:val="0"/>
          <w:sz w:val="20"/>
          <w:rtl/>
        </w:rPr>
        <w:t xml:space="preserve">وثائق تتكون من </w:t>
      </w:r>
      <w:r w:rsidRPr="00523D40">
        <w:rPr>
          <w:rFonts w:hint="cs"/>
          <w:color w:val="000000"/>
          <w:spacing w:val="0"/>
          <w:kern w:val="0"/>
          <w:sz w:val="20"/>
          <w:rtl/>
        </w:rPr>
        <w:t>وثائق</w:t>
      </w:r>
      <w:r w:rsidRPr="00523D40">
        <w:rPr>
          <w:color w:val="000000"/>
          <w:spacing w:val="0"/>
          <w:kern w:val="0"/>
          <w:sz w:val="20"/>
          <w:rtl/>
        </w:rPr>
        <w:t xml:space="preserve"> مطبوعة </w:t>
      </w:r>
      <w:r w:rsidRPr="00523D40">
        <w:rPr>
          <w:rFonts w:hint="cs"/>
          <w:color w:val="000000"/>
          <w:spacing w:val="0"/>
          <w:kern w:val="0"/>
          <w:sz w:val="20"/>
          <w:rtl/>
        </w:rPr>
        <w:t xml:space="preserve">مُلئت </w:t>
      </w:r>
      <w:r w:rsidRPr="00523D40">
        <w:rPr>
          <w:color w:val="000000"/>
          <w:spacing w:val="0"/>
          <w:kern w:val="0"/>
          <w:sz w:val="20"/>
          <w:rtl/>
        </w:rPr>
        <w:t xml:space="preserve">جميعها باليد </w:t>
      </w:r>
      <w:r w:rsidRPr="00523D40">
        <w:rPr>
          <w:rFonts w:hint="cs"/>
          <w:color w:val="000000"/>
          <w:spacing w:val="0"/>
          <w:kern w:val="0"/>
          <w:sz w:val="20"/>
          <w:rtl/>
        </w:rPr>
        <w:t>باستخدام قلم حبره أزرق ومختومة بطوابع زرقاء.</w:t>
      </w:r>
      <w:r w:rsidRPr="00523D40">
        <w:rPr>
          <w:color w:val="000000"/>
          <w:spacing w:val="0"/>
          <w:kern w:val="0"/>
          <w:sz w:val="20"/>
          <w:rtl/>
        </w:rPr>
        <w:t xml:space="preserve"> </w:t>
      </w:r>
      <w:r w:rsidRPr="00523D40">
        <w:rPr>
          <w:rFonts w:hint="cs"/>
          <w:color w:val="000000"/>
          <w:spacing w:val="0"/>
          <w:kern w:val="0"/>
          <w:sz w:val="20"/>
          <w:rtl/>
        </w:rPr>
        <w:t xml:space="preserve">وترى </w:t>
      </w:r>
      <w:r w:rsidRPr="00523D40">
        <w:rPr>
          <w:color w:val="000000"/>
          <w:spacing w:val="0"/>
          <w:kern w:val="0"/>
          <w:sz w:val="20"/>
          <w:rtl/>
        </w:rPr>
        <w:t>الدولة الطرف</w:t>
      </w:r>
      <w:r w:rsidRPr="00523D40">
        <w:rPr>
          <w:rFonts w:hint="cs"/>
          <w:color w:val="000000"/>
          <w:spacing w:val="0"/>
          <w:kern w:val="0"/>
          <w:sz w:val="20"/>
          <w:rtl/>
        </w:rPr>
        <w:t xml:space="preserve"> أنه</w:t>
      </w:r>
      <w:r w:rsidRPr="00523D40">
        <w:rPr>
          <w:color w:val="000000"/>
          <w:spacing w:val="0"/>
          <w:kern w:val="0"/>
          <w:sz w:val="20"/>
          <w:rtl/>
        </w:rPr>
        <w:t xml:space="preserve"> من الغريب أن</w:t>
      </w:r>
      <w:r w:rsidRPr="00523D40">
        <w:rPr>
          <w:rFonts w:hint="cs"/>
          <w:color w:val="000000"/>
          <w:spacing w:val="0"/>
          <w:kern w:val="0"/>
          <w:sz w:val="20"/>
          <w:rtl/>
        </w:rPr>
        <w:t xml:space="preserve"> تكون</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قد حصل</w:t>
      </w:r>
      <w:r w:rsidRPr="00523D40">
        <w:rPr>
          <w:rFonts w:hint="cs"/>
          <w:color w:val="000000"/>
          <w:spacing w:val="0"/>
          <w:kern w:val="0"/>
          <w:sz w:val="20"/>
          <w:rtl/>
        </w:rPr>
        <w:t>ت</w:t>
      </w:r>
      <w:r w:rsidRPr="00523D40">
        <w:rPr>
          <w:color w:val="000000"/>
          <w:spacing w:val="0"/>
          <w:kern w:val="0"/>
          <w:sz w:val="20"/>
          <w:rtl/>
        </w:rPr>
        <w:t xml:space="preserve"> على </w:t>
      </w:r>
      <w:r w:rsidRPr="00523D40">
        <w:rPr>
          <w:rFonts w:hint="cs"/>
          <w:color w:val="000000"/>
          <w:spacing w:val="0"/>
          <w:kern w:val="0"/>
          <w:sz w:val="20"/>
          <w:rtl/>
        </w:rPr>
        <w:t xml:space="preserve">أصول هذه الوثائق </w:t>
      </w:r>
      <w:r w:rsidRPr="00523D40">
        <w:rPr>
          <w:color w:val="000000"/>
          <w:spacing w:val="0"/>
          <w:kern w:val="0"/>
          <w:sz w:val="20"/>
          <w:rtl/>
        </w:rPr>
        <w:t>وليس</w:t>
      </w:r>
      <w:r w:rsidRPr="00523D40">
        <w:rPr>
          <w:rFonts w:hint="cs"/>
          <w:color w:val="000000"/>
          <w:spacing w:val="0"/>
          <w:kern w:val="0"/>
          <w:sz w:val="20"/>
          <w:rtl/>
        </w:rPr>
        <w:t xml:space="preserve"> على مستخرجات</w:t>
      </w:r>
      <w:r w:rsidRPr="00523D40">
        <w:rPr>
          <w:color w:val="000000"/>
          <w:spacing w:val="0"/>
          <w:kern w:val="0"/>
          <w:sz w:val="20"/>
          <w:rtl/>
        </w:rPr>
        <w:t xml:space="preserve"> - كما </w:t>
      </w:r>
      <w:r w:rsidRPr="00523D40">
        <w:rPr>
          <w:rFonts w:hint="cs"/>
          <w:color w:val="000000"/>
          <w:spacing w:val="0"/>
          <w:kern w:val="0"/>
          <w:sz w:val="20"/>
          <w:rtl/>
        </w:rPr>
        <w:t xml:space="preserve">جرت عليه العادة. </w:t>
      </w:r>
      <w:r w:rsidRPr="00523D40">
        <w:rPr>
          <w:color w:val="000000"/>
          <w:spacing w:val="0"/>
          <w:kern w:val="0"/>
          <w:sz w:val="20"/>
          <w:rtl/>
        </w:rPr>
        <w:t>وعلاوة على ذلك، فإن ال</w:t>
      </w:r>
      <w:r w:rsidRPr="00523D40">
        <w:rPr>
          <w:rFonts w:hint="cs"/>
          <w:color w:val="000000"/>
          <w:spacing w:val="0"/>
          <w:kern w:val="0"/>
          <w:sz w:val="20"/>
          <w:rtl/>
        </w:rPr>
        <w:t>رواية</w:t>
      </w:r>
      <w:r w:rsidRPr="00523D40">
        <w:rPr>
          <w:color w:val="000000"/>
          <w:spacing w:val="0"/>
          <w:kern w:val="0"/>
          <w:sz w:val="20"/>
          <w:rtl/>
        </w:rPr>
        <w:t xml:space="preserve"> التي قدم</w:t>
      </w:r>
      <w:r w:rsidRPr="00523D40">
        <w:rPr>
          <w:rFonts w:hint="cs"/>
          <w:color w:val="000000"/>
          <w:spacing w:val="0"/>
          <w:kern w:val="0"/>
          <w:sz w:val="20"/>
          <w:rtl/>
        </w:rPr>
        <w:t>ت</w:t>
      </w:r>
      <w:r w:rsidRPr="00523D40">
        <w:rPr>
          <w:color w:val="000000"/>
          <w:spacing w:val="0"/>
          <w:kern w:val="0"/>
          <w:sz w:val="20"/>
          <w:rtl/>
        </w:rPr>
        <w:t>ها صاحب</w:t>
      </w:r>
      <w:r w:rsidRPr="00523D40">
        <w:rPr>
          <w:rFonts w:hint="cs"/>
          <w:color w:val="000000"/>
          <w:spacing w:val="0"/>
          <w:kern w:val="0"/>
          <w:sz w:val="20"/>
          <w:rtl/>
        </w:rPr>
        <w:t>ة</w:t>
      </w:r>
      <w:r w:rsidRPr="00523D40">
        <w:rPr>
          <w:color w:val="000000"/>
          <w:spacing w:val="0"/>
          <w:kern w:val="0"/>
          <w:sz w:val="20"/>
          <w:rtl/>
        </w:rPr>
        <w:t xml:space="preserve"> الشكوى عن كيفية </w:t>
      </w:r>
      <w:r w:rsidRPr="00523D40">
        <w:rPr>
          <w:rFonts w:hint="cs"/>
          <w:color w:val="000000"/>
          <w:spacing w:val="0"/>
          <w:kern w:val="0"/>
          <w:sz w:val="20"/>
          <w:rtl/>
        </w:rPr>
        <w:t>حصولها على هذه</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 xml:space="preserve">وثائق </w:t>
      </w:r>
      <w:r w:rsidRPr="00523D40">
        <w:rPr>
          <w:rFonts w:hint="cs"/>
          <w:color w:val="000000"/>
          <w:spacing w:val="0"/>
          <w:kern w:val="0"/>
          <w:sz w:val="20"/>
          <w:rtl/>
        </w:rPr>
        <w:t>هي أبعد ما تكون عن التصديق</w:t>
      </w:r>
      <w:r w:rsidRPr="00523D40">
        <w:rPr>
          <w:color w:val="000000"/>
          <w:spacing w:val="0"/>
          <w:kern w:val="0"/>
          <w:sz w:val="20"/>
          <w:rtl/>
        </w:rPr>
        <w:t xml:space="preserve"> </w:t>
      </w:r>
      <w:r w:rsidRPr="00523D40">
        <w:rPr>
          <w:rFonts w:hint="cs"/>
          <w:color w:val="000000"/>
          <w:spacing w:val="0"/>
          <w:kern w:val="0"/>
          <w:sz w:val="20"/>
          <w:rtl/>
        </w:rPr>
        <w:t>ولا تقدم تفسيراً</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 xml:space="preserve">سبب عدم وجود نسخة من الحكم الفعلي </w:t>
      </w:r>
      <w:r w:rsidRPr="00523D40">
        <w:rPr>
          <w:rFonts w:hint="cs"/>
          <w:color w:val="000000"/>
          <w:spacing w:val="0"/>
          <w:kern w:val="0"/>
          <w:sz w:val="20"/>
          <w:rtl/>
        </w:rPr>
        <w:t>إذا كان قد طُلب إلى</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 xml:space="preserve">شخص </w:t>
      </w:r>
      <w:r w:rsidRPr="00523D40">
        <w:rPr>
          <w:rFonts w:hint="cs"/>
          <w:color w:val="000000"/>
          <w:spacing w:val="0"/>
          <w:kern w:val="0"/>
          <w:sz w:val="20"/>
          <w:rtl/>
        </w:rPr>
        <w:t>الذي ساعدها</w:t>
      </w:r>
      <w:r w:rsidRPr="00523D40">
        <w:rPr>
          <w:color w:val="000000"/>
          <w:spacing w:val="0"/>
          <w:kern w:val="0"/>
          <w:sz w:val="20"/>
          <w:rtl/>
        </w:rPr>
        <w:t xml:space="preserve"> إرسال نسخ من جميع الوثائق</w:t>
      </w:r>
      <w:r w:rsidRPr="00523D40">
        <w:rPr>
          <w:rFonts w:hint="cs"/>
          <w:color w:val="000000"/>
          <w:spacing w:val="0"/>
          <w:kern w:val="0"/>
          <w:sz w:val="20"/>
          <w:rtl/>
        </w:rPr>
        <w:t xml:space="preserve"> الموجودة</w:t>
      </w:r>
      <w:r w:rsidRPr="00523D40">
        <w:rPr>
          <w:color w:val="000000"/>
          <w:spacing w:val="0"/>
          <w:kern w:val="0"/>
          <w:sz w:val="20"/>
          <w:rtl/>
        </w:rPr>
        <w:t xml:space="preserve"> في ملف المحكم</w:t>
      </w:r>
      <w:r w:rsidRPr="00523D40">
        <w:rPr>
          <w:rFonts w:hint="cs"/>
          <w:color w:val="000000"/>
          <w:spacing w:val="0"/>
          <w:kern w:val="0"/>
          <w:sz w:val="20"/>
          <w:rtl/>
        </w:rPr>
        <w:t xml:space="preserve">ة. </w:t>
      </w:r>
      <w:r w:rsidRPr="00523D40">
        <w:rPr>
          <w:color w:val="000000"/>
          <w:spacing w:val="0"/>
          <w:kern w:val="0"/>
          <w:sz w:val="20"/>
          <w:rtl/>
        </w:rPr>
        <w:t xml:space="preserve">وتخلص الدولة الطرف </w:t>
      </w:r>
      <w:r w:rsidRPr="00523D40">
        <w:rPr>
          <w:rFonts w:hint="cs"/>
          <w:color w:val="000000"/>
          <w:spacing w:val="0"/>
          <w:kern w:val="0"/>
          <w:sz w:val="20"/>
          <w:rtl/>
        </w:rPr>
        <w:t>إلى أنه لا يمكن اعتبار هذه</w:t>
      </w:r>
      <w:r w:rsidRPr="00523D40">
        <w:rPr>
          <w:color w:val="000000"/>
          <w:spacing w:val="0"/>
          <w:kern w:val="0"/>
          <w:sz w:val="20"/>
          <w:rtl/>
        </w:rPr>
        <w:t xml:space="preserve"> </w:t>
      </w:r>
      <w:r w:rsidRPr="00523D40">
        <w:rPr>
          <w:rFonts w:hint="cs"/>
          <w:color w:val="000000"/>
          <w:spacing w:val="0"/>
          <w:kern w:val="0"/>
          <w:sz w:val="20"/>
          <w:rtl/>
        </w:rPr>
        <w:t>ال</w:t>
      </w:r>
      <w:r w:rsidRPr="00523D40">
        <w:rPr>
          <w:color w:val="000000"/>
          <w:spacing w:val="0"/>
          <w:kern w:val="0"/>
          <w:sz w:val="20"/>
          <w:rtl/>
        </w:rPr>
        <w:t>وثائق</w:t>
      </w:r>
      <w:r w:rsidRPr="00523D40">
        <w:rPr>
          <w:rFonts w:hint="cs"/>
          <w:color w:val="000000"/>
          <w:spacing w:val="0"/>
          <w:kern w:val="0"/>
          <w:sz w:val="20"/>
          <w:rtl/>
        </w:rPr>
        <w:t xml:space="preserve"> أدلة</w:t>
      </w:r>
      <w:r w:rsidRPr="00523D40">
        <w:rPr>
          <w:color w:val="000000"/>
          <w:spacing w:val="0"/>
          <w:kern w:val="0"/>
          <w:sz w:val="20"/>
          <w:rtl/>
        </w:rPr>
        <w:t xml:space="preserve"> لإثبات ادعاءات </w:t>
      </w:r>
      <w:r w:rsidRPr="00523D40">
        <w:rPr>
          <w:rFonts w:hint="cs"/>
          <w:color w:val="000000"/>
          <w:spacing w:val="0"/>
          <w:kern w:val="0"/>
          <w:sz w:val="20"/>
          <w:rtl/>
        </w:rPr>
        <w:t xml:space="preserve">صاحبة </w:t>
      </w:r>
      <w:r w:rsidRPr="00523D40">
        <w:rPr>
          <w:color w:val="000000"/>
          <w:spacing w:val="0"/>
          <w:kern w:val="0"/>
          <w:sz w:val="20"/>
          <w:rtl/>
        </w:rPr>
        <w:t>الشكوى</w:t>
      </w:r>
      <w:r w:rsidRPr="00523D40">
        <w:rPr>
          <w:color w:val="000000"/>
          <w:spacing w:val="0"/>
          <w:kern w:val="0"/>
          <w:sz w:val="20"/>
        </w:rPr>
        <w:t>.</w:t>
      </w:r>
    </w:p>
    <w:p w:rsidR="00523D40" w:rsidRPr="00523D40" w:rsidRDefault="00523D40" w:rsidP="00A85948">
      <w:pPr>
        <w:pStyle w:val="SingleTxtGA"/>
        <w:jc w:val="lowKashida"/>
        <w:rPr>
          <w:color w:val="000000"/>
          <w:spacing w:val="0"/>
          <w:kern w:val="0"/>
          <w:sz w:val="20"/>
          <w:szCs w:val="20"/>
          <w:rtl/>
        </w:rPr>
      </w:pPr>
      <w:r w:rsidRPr="00523D40">
        <w:rPr>
          <w:color w:val="000000"/>
          <w:spacing w:val="0"/>
          <w:kern w:val="0"/>
          <w:sz w:val="20"/>
          <w:rtl/>
          <w:lang w:val="en-CA"/>
        </w:rPr>
        <w:t>6-4</w:t>
      </w:r>
      <w:r w:rsidRPr="00523D40">
        <w:rPr>
          <w:color w:val="000000"/>
          <w:spacing w:val="0"/>
          <w:kern w:val="0"/>
          <w:sz w:val="20"/>
          <w:rtl/>
          <w:lang w:val="en-CA"/>
        </w:rPr>
        <w:tab/>
      </w:r>
      <w:r w:rsidRPr="00523D40">
        <w:rPr>
          <w:rFonts w:hint="cs"/>
          <w:color w:val="000000"/>
          <w:spacing w:val="0"/>
          <w:kern w:val="0"/>
          <w:sz w:val="20"/>
          <w:rtl/>
          <w:lang w:val="en-CA"/>
        </w:rPr>
        <w:t xml:space="preserve">وتعترض </w:t>
      </w:r>
      <w:r w:rsidRPr="00523D40">
        <w:rPr>
          <w:color w:val="000000"/>
          <w:spacing w:val="0"/>
          <w:kern w:val="0"/>
          <w:sz w:val="20"/>
          <w:rtl/>
        </w:rPr>
        <w:t xml:space="preserve">الدولة الطرف </w:t>
      </w:r>
      <w:r w:rsidRPr="00523D40">
        <w:rPr>
          <w:rFonts w:hint="cs"/>
          <w:color w:val="000000"/>
          <w:spacing w:val="0"/>
          <w:kern w:val="0"/>
          <w:sz w:val="20"/>
          <w:rtl/>
        </w:rPr>
        <w:t>بشدة على</w:t>
      </w:r>
      <w:r w:rsidRPr="00523D40">
        <w:rPr>
          <w:color w:val="000000"/>
          <w:spacing w:val="0"/>
          <w:kern w:val="0"/>
          <w:sz w:val="20"/>
          <w:rtl/>
        </w:rPr>
        <w:t xml:space="preserve"> </w:t>
      </w:r>
      <w:r w:rsidRPr="00523D40">
        <w:rPr>
          <w:rFonts w:hint="cs"/>
          <w:color w:val="000000"/>
          <w:spacing w:val="0"/>
          <w:kern w:val="0"/>
          <w:sz w:val="20"/>
          <w:rtl/>
        </w:rPr>
        <w:t xml:space="preserve">إفادة صاحبة </w:t>
      </w:r>
      <w:r w:rsidRPr="00523D40">
        <w:rPr>
          <w:color w:val="000000"/>
          <w:spacing w:val="0"/>
          <w:kern w:val="0"/>
          <w:sz w:val="20"/>
          <w:rtl/>
        </w:rPr>
        <w:t>الشكوى</w:t>
      </w:r>
      <w:r w:rsidRPr="00523D40">
        <w:rPr>
          <w:rFonts w:hint="cs"/>
          <w:color w:val="000000"/>
          <w:spacing w:val="0"/>
          <w:kern w:val="0"/>
          <w:sz w:val="20"/>
          <w:rtl/>
        </w:rPr>
        <w:t xml:space="preserve"> التي أكدت فيها</w:t>
      </w:r>
      <w:r w:rsidRPr="00523D40">
        <w:rPr>
          <w:color w:val="000000"/>
          <w:spacing w:val="0"/>
          <w:kern w:val="0"/>
          <w:sz w:val="20"/>
          <w:rtl/>
        </w:rPr>
        <w:t xml:space="preserve"> أنها قدمت </w:t>
      </w:r>
      <w:r w:rsidRPr="00523D40">
        <w:rPr>
          <w:rFonts w:hint="cs"/>
          <w:color w:val="000000"/>
          <w:spacing w:val="0"/>
          <w:kern w:val="0"/>
          <w:sz w:val="20"/>
          <w:rtl/>
        </w:rPr>
        <w:t>تفاصيل ومعلومات مسهبة</w:t>
      </w:r>
      <w:r w:rsidRPr="00523D40">
        <w:rPr>
          <w:color w:val="000000"/>
          <w:spacing w:val="0"/>
          <w:kern w:val="0"/>
          <w:sz w:val="20"/>
          <w:rtl/>
        </w:rPr>
        <w:t xml:space="preserve"> لإثبات ادعاءاتها، و</w:t>
      </w:r>
      <w:r w:rsidRPr="00523D40">
        <w:rPr>
          <w:rFonts w:hint="cs"/>
          <w:color w:val="000000"/>
          <w:spacing w:val="0"/>
          <w:kern w:val="0"/>
          <w:sz w:val="20"/>
          <w:rtl/>
        </w:rPr>
        <w:t>ترى أنها قدمت، على العكس من ذلك</w:t>
      </w:r>
      <w:r w:rsidRPr="00523D40">
        <w:rPr>
          <w:color w:val="000000"/>
          <w:spacing w:val="0"/>
          <w:kern w:val="0"/>
          <w:sz w:val="20"/>
          <w:rtl/>
        </w:rPr>
        <w:t xml:space="preserve">، </w:t>
      </w:r>
      <w:r w:rsidRPr="00523D40">
        <w:rPr>
          <w:rFonts w:hint="cs"/>
          <w:color w:val="000000"/>
          <w:spacing w:val="0"/>
          <w:kern w:val="0"/>
          <w:sz w:val="20"/>
          <w:rtl/>
        </w:rPr>
        <w:t>رواية تخلو</w:t>
      </w:r>
      <w:r w:rsidRPr="00523D40">
        <w:rPr>
          <w:color w:val="000000"/>
          <w:spacing w:val="0"/>
          <w:kern w:val="0"/>
          <w:sz w:val="20"/>
          <w:rtl/>
        </w:rPr>
        <w:t xml:space="preserve"> </w:t>
      </w:r>
      <w:r w:rsidRPr="00523D40">
        <w:rPr>
          <w:rFonts w:hint="cs"/>
          <w:color w:val="000000"/>
          <w:spacing w:val="0"/>
          <w:kern w:val="0"/>
          <w:sz w:val="20"/>
          <w:rtl/>
        </w:rPr>
        <w:t>من أية تفاصيل ويصعب تصديقها.</w:t>
      </w:r>
      <w:r w:rsidRPr="00523D40">
        <w:rPr>
          <w:color w:val="000000"/>
          <w:spacing w:val="0"/>
          <w:kern w:val="0"/>
          <w:sz w:val="20"/>
          <w:rtl/>
        </w:rPr>
        <w:t xml:space="preserve"> وقد ثبت أن</w:t>
      </w:r>
      <w:r w:rsidRPr="00523D40">
        <w:rPr>
          <w:rFonts w:hint="cs"/>
          <w:color w:val="000000"/>
          <w:spacing w:val="0"/>
          <w:kern w:val="0"/>
          <w:sz w:val="20"/>
          <w:rtl/>
        </w:rPr>
        <w:t xml:space="preserve"> صاحبة</w:t>
      </w:r>
      <w:r w:rsidRPr="00523D40">
        <w:rPr>
          <w:color w:val="000000"/>
          <w:spacing w:val="0"/>
          <w:kern w:val="0"/>
          <w:sz w:val="20"/>
          <w:rtl/>
        </w:rPr>
        <w:t xml:space="preserve"> الشكوى قد قدمت عن </w:t>
      </w:r>
      <w:r w:rsidRPr="00523D40">
        <w:rPr>
          <w:rFonts w:hint="cs"/>
          <w:color w:val="000000"/>
          <w:spacing w:val="0"/>
          <w:kern w:val="0"/>
          <w:sz w:val="20"/>
          <w:rtl/>
        </w:rPr>
        <w:t>قصد</w:t>
      </w:r>
      <w:r w:rsidRPr="00523D40">
        <w:rPr>
          <w:color w:val="000000"/>
          <w:spacing w:val="0"/>
          <w:kern w:val="0"/>
          <w:sz w:val="20"/>
          <w:rtl/>
        </w:rPr>
        <w:t xml:space="preserve"> معلومات </w:t>
      </w:r>
      <w:r w:rsidRPr="00523D40">
        <w:rPr>
          <w:rFonts w:hint="cs"/>
          <w:color w:val="000000"/>
          <w:spacing w:val="0"/>
          <w:kern w:val="0"/>
          <w:sz w:val="20"/>
          <w:rtl/>
        </w:rPr>
        <w:t>كاذبة لسلطات</w:t>
      </w:r>
      <w:r w:rsidRPr="00523D40">
        <w:rPr>
          <w:color w:val="000000"/>
          <w:spacing w:val="0"/>
          <w:kern w:val="0"/>
          <w:sz w:val="20"/>
          <w:rtl/>
        </w:rPr>
        <w:t xml:space="preserve"> الهجرة، </w:t>
      </w:r>
      <w:r w:rsidRPr="00523D40">
        <w:rPr>
          <w:rFonts w:hint="cs"/>
          <w:color w:val="000000"/>
          <w:spacing w:val="0"/>
          <w:kern w:val="0"/>
          <w:sz w:val="20"/>
          <w:rtl/>
        </w:rPr>
        <w:t>وهو ما</w:t>
      </w:r>
      <w:r w:rsidRPr="00523D40">
        <w:rPr>
          <w:color w:val="000000"/>
          <w:spacing w:val="0"/>
          <w:kern w:val="0"/>
          <w:sz w:val="20"/>
          <w:rtl/>
        </w:rPr>
        <w:t xml:space="preserve"> يؤثر </w:t>
      </w:r>
      <w:r w:rsidRPr="00523D40">
        <w:rPr>
          <w:rFonts w:hint="cs"/>
          <w:color w:val="000000"/>
          <w:spacing w:val="0"/>
          <w:kern w:val="0"/>
          <w:sz w:val="20"/>
          <w:rtl/>
        </w:rPr>
        <w:t xml:space="preserve">على مصداقيتها </w:t>
      </w:r>
      <w:r w:rsidRPr="00523D40">
        <w:rPr>
          <w:color w:val="000000"/>
          <w:spacing w:val="0"/>
          <w:kern w:val="0"/>
          <w:sz w:val="20"/>
          <w:rtl/>
        </w:rPr>
        <w:t>العامة</w:t>
      </w:r>
      <w:r w:rsidRPr="00523D40">
        <w:rPr>
          <w:color w:val="000000"/>
          <w:spacing w:val="0"/>
          <w:kern w:val="0"/>
          <w:sz w:val="20"/>
        </w:rPr>
        <w:t>.</w:t>
      </w:r>
      <w:r w:rsidRPr="00523D40">
        <w:rPr>
          <w:color w:val="000000"/>
          <w:spacing w:val="0"/>
          <w:kern w:val="0"/>
          <w:sz w:val="20"/>
          <w:rtl/>
        </w:rPr>
        <w:t xml:space="preserve"> وعلاوة على ذلك، </w:t>
      </w:r>
      <w:r w:rsidRPr="00523D40">
        <w:rPr>
          <w:rFonts w:hint="cs"/>
          <w:color w:val="000000"/>
          <w:spacing w:val="0"/>
          <w:kern w:val="0"/>
          <w:sz w:val="20"/>
          <w:rtl/>
        </w:rPr>
        <w:t>تتسم</w:t>
      </w:r>
      <w:r w:rsidRPr="00523D40">
        <w:rPr>
          <w:color w:val="000000"/>
          <w:spacing w:val="0"/>
          <w:kern w:val="0"/>
          <w:sz w:val="20"/>
          <w:rtl/>
        </w:rPr>
        <w:t xml:space="preserve"> المعلومات </w:t>
      </w:r>
      <w:r w:rsidRPr="00523D40">
        <w:rPr>
          <w:rFonts w:hint="cs"/>
          <w:color w:val="000000"/>
          <w:spacing w:val="0"/>
          <w:kern w:val="0"/>
          <w:sz w:val="20"/>
          <w:rtl/>
        </w:rPr>
        <w:t>التي قدمتها</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في طلب اللجوء </w:t>
      </w:r>
      <w:r w:rsidRPr="00523D40">
        <w:rPr>
          <w:rFonts w:hint="cs"/>
          <w:color w:val="000000"/>
          <w:spacing w:val="0"/>
          <w:kern w:val="0"/>
          <w:sz w:val="20"/>
          <w:rtl/>
        </w:rPr>
        <w:t>بالتناقض</w:t>
      </w:r>
      <w:r w:rsidRPr="00523D40">
        <w:rPr>
          <w:color w:val="000000"/>
          <w:spacing w:val="0"/>
          <w:kern w:val="0"/>
          <w:sz w:val="20"/>
          <w:rtl/>
        </w:rPr>
        <w:t xml:space="preserve">، </w:t>
      </w:r>
      <w:r w:rsidRPr="00523D40">
        <w:rPr>
          <w:rFonts w:hint="cs"/>
          <w:color w:val="000000"/>
          <w:spacing w:val="0"/>
          <w:kern w:val="0"/>
          <w:sz w:val="20"/>
          <w:rtl/>
        </w:rPr>
        <w:t>م</w:t>
      </w:r>
      <w:r w:rsidRPr="00523D40">
        <w:rPr>
          <w:color w:val="000000"/>
          <w:spacing w:val="0"/>
          <w:kern w:val="0"/>
          <w:sz w:val="20"/>
          <w:rtl/>
        </w:rPr>
        <w:t xml:space="preserve">ما يقلل </w:t>
      </w:r>
      <w:r w:rsidRPr="00523D40">
        <w:rPr>
          <w:rFonts w:hint="cs"/>
          <w:color w:val="000000"/>
          <w:spacing w:val="0"/>
          <w:kern w:val="0"/>
          <w:sz w:val="20"/>
          <w:rtl/>
        </w:rPr>
        <w:t>إلى حد أكبر</w:t>
      </w:r>
      <w:r w:rsidRPr="00523D40">
        <w:rPr>
          <w:color w:val="000000"/>
          <w:spacing w:val="0"/>
          <w:kern w:val="0"/>
          <w:sz w:val="20"/>
          <w:rtl/>
        </w:rPr>
        <w:t xml:space="preserve"> من مصداقيتها و</w:t>
      </w:r>
      <w:r w:rsidRPr="00523D40">
        <w:rPr>
          <w:rFonts w:hint="cs"/>
          <w:color w:val="000000"/>
          <w:spacing w:val="0"/>
          <w:kern w:val="0"/>
          <w:sz w:val="20"/>
          <w:rtl/>
        </w:rPr>
        <w:t xml:space="preserve">من </w:t>
      </w:r>
      <w:r w:rsidRPr="00523D40">
        <w:rPr>
          <w:color w:val="000000"/>
          <w:spacing w:val="0"/>
          <w:kern w:val="0"/>
          <w:sz w:val="20"/>
          <w:rtl/>
        </w:rPr>
        <w:t xml:space="preserve">موثوقية </w:t>
      </w:r>
      <w:r w:rsidRPr="00523D40">
        <w:rPr>
          <w:rFonts w:hint="cs"/>
          <w:color w:val="000000"/>
          <w:spacing w:val="0"/>
          <w:kern w:val="0"/>
          <w:sz w:val="20"/>
          <w:rtl/>
        </w:rPr>
        <w:t>الرواية التي قدمتها.</w:t>
      </w:r>
      <w:r w:rsidRPr="00523D40">
        <w:rPr>
          <w:color w:val="000000"/>
          <w:spacing w:val="0"/>
          <w:kern w:val="0"/>
          <w:sz w:val="20"/>
          <w:rtl/>
        </w:rPr>
        <w:t xml:space="preserve"> وتؤكد الدولة الطرف أن الظروف</w:t>
      </w:r>
      <w:r w:rsidRPr="00523D40">
        <w:rPr>
          <w:rFonts w:hint="cs"/>
          <w:color w:val="000000"/>
          <w:spacing w:val="0"/>
          <w:kern w:val="0"/>
          <w:sz w:val="20"/>
          <w:rtl/>
        </w:rPr>
        <w:t xml:space="preserve"> التي تسنى</w:t>
      </w:r>
      <w:r w:rsidRPr="00523D40">
        <w:rPr>
          <w:color w:val="000000"/>
          <w:spacing w:val="0"/>
          <w:kern w:val="0"/>
          <w:sz w:val="20"/>
          <w:rtl/>
        </w:rPr>
        <w:t xml:space="preserve"> تلخيصها في الفقرات</w:t>
      </w:r>
      <w:r w:rsidRPr="00523D40">
        <w:rPr>
          <w:rFonts w:hint="cs"/>
          <w:color w:val="000000"/>
          <w:spacing w:val="0"/>
          <w:kern w:val="0"/>
          <w:sz w:val="20"/>
          <w:rtl/>
        </w:rPr>
        <w:t xml:space="preserve"> من</w:t>
      </w:r>
      <w:r w:rsidRPr="00523D40">
        <w:rPr>
          <w:color w:val="000000"/>
          <w:spacing w:val="0"/>
          <w:kern w:val="0"/>
          <w:sz w:val="20"/>
          <w:rtl/>
        </w:rPr>
        <w:t xml:space="preserve"> </w:t>
      </w:r>
      <w:r w:rsidRPr="00523D40">
        <w:rPr>
          <w:rFonts w:hint="cs"/>
          <w:color w:val="000000"/>
          <w:spacing w:val="0"/>
          <w:kern w:val="0"/>
          <w:sz w:val="20"/>
          <w:rtl/>
        </w:rPr>
        <w:t>2-4</w:t>
      </w:r>
      <w:r w:rsidRPr="00523D40">
        <w:rPr>
          <w:color w:val="000000"/>
          <w:spacing w:val="0"/>
          <w:kern w:val="0"/>
          <w:sz w:val="20"/>
          <w:rtl/>
        </w:rPr>
        <w:t xml:space="preserve"> </w:t>
      </w:r>
      <w:r w:rsidRPr="00523D40">
        <w:rPr>
          <w:rFonts w:hint="cs"/>
          <w:color w:val="000000"/>
          <w:spacing w:val="0"/>
          <w:kern w:val="0"/>
          <w:sz w:val="20"/>
          <w:rtl/>
        </w:rPr>
        <w:t>حتى</w:t>
      </w:r>
      <w:r w:rsidRPr="00523D40">
        <w:rPr>
          <w:color w:val="000000"/>
          <w:spacing w:val="0"/>
          <w:kern w:val="0"/>
          <w:sz w:val="20"/>
          <w:rtl/>
        </w:rPr>
        <w:t xml:space="preserve"> </w:t>
      </w:r>
      <w:r w:rsidRPr="00523D40">
        <w:rPr>
          <w:rFonts w:hint="cs"/>
          <w:color w:val="000000"/>
          <w:spacing w:val="0"/>
          <w:kern w:val="0"/>
          <w:sz w:val="20"/>
          <w:rtl/>
        </w:rPr>
        <w:t>2-8</w:t>
      </w:r>
      <w:r w:rsidRPr="00523D40">
        <w:rPr>
          <w:color w:val="000000"/>
          <w:spacing w:val="0"/>
          <w:kern w:val="0"/>
          <w:sz w:val="20"/>
          <w:rtl/>
        </w:rPr>
        <w:t xml:space="preserve"> و</w:t>
      </w:r>
      <w:r w:rsidRPr="00523D40">
        <w:rPr>
          <w:rFonts w:hint="cs"/>
          <w:color w:val="000000"/>
          <w:spacing w:val="0"/>
          <w:kern w:val="0"/>
          <w:sz w:val="20"/>
          <w:rtl/>
        </w:rPr>
        <w:t>من 4-8 حتى 4-10</w:t>
      </w:r>
      <w:r w:rsidRPr="00523D40">
        <w:rPr>
          <w:color w:val="000000"/>
          <w:spacing w:val="0"/>
          <w:kern w:val="0"/>
          <w:sz w:val="20"/>
          <w:rtl/>
        </w:rPr>
        <w:t xml:space="preserve"> </w:t>
      </w:r>
      <w:r w:rsidRPr="00523D40">
        <w:rPr>
          <w:rFonts w:hint="cs"/>
          <w:color w:val="000000"/>
          <w:spacing w:val="0"/>
          <w:kern w:val="0"/>
          <w:sz w:val="20"/>
          <w:rtl/>
        </w:rPr>
        <w:t>تدعم بقوة</w:t>
      </w:r>
      <w:r w:rsidRPr="00523D40">
        <w:rPr>
          <w:color w:val="000000"/>
          <w:spacing w:val="0"/>
          <w:kern w:val="0"/>
          <w:sz w:val="20"/>
          <w:rtl/>
        </w:rPr>
        <w:t xml:space="preserve"> الاستنتاج</w:t>
      </w:r>
      <w:r w:rsidRPr="00523D40">
        <w:rPr>
          <w:rFonts w:hint="cs"/>
          <w:color w:val="000000"/>
          <w:spacing w:val="0"/>
          <w:kern w:val="0"/>
          <w:sz w:val="20"/>
          <w:rtl/>
        </w:rPr>
        <w:t xml:space="preserve"> القائل</w:t>
      </w:r>
      <w:r w:rsidRPr="00523D40">
        <w:rPr>
          <w:color w:val="000000"/>
          <w:spacing w:val="0"/>
          <w:kern w:val="0"/>
          <w:sz w:val="20"/>
          <w:rtl/>
        </w:rPr>
        <w:t xml:space="preserve"> بأن 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 xml:space="preserve">قد </w:t>
      </w:r>
      <w:r w:rsidRPr="00523D40">
        <w:rPr>
          <w:color w:val="000000"/>
          <w:spacing w:val="0"/>
          <w:kern w:val="0"/>
          <w:sz w:val="20"/>
          <w:rtl/>
        </w:rPr>
        <w:t>قدم</w:t>
      </w:r>
      <w:r w:rsidRPr="00523D40">
        <w:rPr>
          <w:rFonts w:hint="cs"/>
          <w:color w:val="000000"/>
          <w:spacing w:val="0"/>
          <w:kern w:val="0"/>
          <w:sz w:val="20"/>
          <w:rtl/>
        </w:rPr>
        <w:t>ت بنفسها</w:t>
      </w:r>
      <w:r w:rsidRPr="00523D40">
        <w:rPr>
          <w:color w:val="000000"/>
          <w:spacing w:val="0"/>
          <w:kern w:val="0"/>
          <w:sz w:val="20"/>
          <w:rtl/>
        </w:rPr>
        <w:t xml:space="preserve"> طلب التأشيرة في الجزائر العاصمة</w:t>
      </w:r>
      <w:r w:rsidRPr="00523D40">
        <w:rPr>
          <w:color w:val="000000"/>
          <w:spacing w:val="0"/>
          <w:kern w:val="0"/>
          <w:sz w:val="20"/>
        </w:rPr>
        <w:t>.</w:t>
      </w:r>
      <w:r w:rsidRPr="00523D40">
        <w:rPr>
          <w:color w:val="000000"/>
          <w:spacing w:val="0"/>
          <w:kern w:val="0"/>
          <w:sz w:val="20"/>
          <w:rtl/>
        </w:rPr>
        <w:t xml:space="preserve"> وعلاوة على ذلك، فإن ال</w:t>
      </w:r>
      <w:r w:rsidRPr="00523D40">
        <w:rPr>
          <w:rFonts w:hint="cs"/>
          <w:color w:val="000000"/>
          <w:spacing w:val="0"/>
          <w:kern w:val="0"/>
          <w:sz w:val="20"/>
          <w:rtl/>
        </w:rPr>
        <w:t>وقائع</w:t>
      </w:r>
      <w:r w:rsidRPr="00523D40">
        <w:rPr>
          <w:color w:val="000000"/>
          <w:spacing w:val="0"/>
          <w:kern w:val="0"/>
          <w:sz w:val="20"/>
          <w:rtl/>
        </w:rPr>
        <w:t xml:space="preserve"> المقدمة في </w:t>
      </w:r>
      <w:r w:rsidRPr="00523D40">
        <w:rPr>
          <w:rFonts w:hint="cs"/>
          <w:color w:val="000000"/>
          <w:spacing w:val="0"/>
          <w:kern w:val="0"/>
          <w:sz w:val="20"/>
          <w:rtl/>
        </w:rPr>
        <w:t>الطلب المذكور</w:t>
      </w:r>
      <w:r w:rsidRPr="00523D40">
        <w:rPr>
          <w:color w:val="000000"/>
          <w:spacing w:val="0"/>
          <w:kern w:val="0"/>
          <w:sz w:val="20"/>
          <w:rtl/>
        </w:rPr>
        <w:t xml:space="preserve"> </w:t>
      </w:r>
      <w:r w:rsidRPr="00523D40">
        <w:rPr>
          <w:rFonts w:hint="cs"/>
          <w:color w:val="000000"/>
          <w:spacing w:val="0"/>
          <w:kern w:val="0"/>
          <w:sz w:val="20"/>
          <w:rtl/>
        </w:rPr>
        <w:t xml:space="preserve">تفضي إلى </w:t>
      </w:r>
      <w:r w:rsidRPr="00523D40">
        <w:rPr>
          <w:color w:val="000000"/>
          <w:spacing w:val="0"/>
          <w:kern w:val="0"/>
          <w:sz w:val="20"/>
          <w:rtl/>
        </w:rPr>
        <w:t xml:space="preserve">استنتاج مفاده أن </w:t>
      </w:r>
      <w:r w:rsidRPr="00523D40">
        <w:rPr>
          <w:rFonts w:hint="cs"/>
          <w:color w:val="000000"/>
          <w:spacing w:val="0"/>
          <w:kern w:val="0"/>
          <w:sz w:val="20"/>
          <w:rtl/>
        </w:rPr>
        <w:t>رواية</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بشأن </w:t>
      </w:r>
      <w:r w:rsidRPr="00523D40">
        <w:rPr>
          <w:rFonts w:hint="cs"/>
          <w:color w:val="000000"/>
          <w:spacing w:val="0"/>
          <w:kern w:val="0"/>
          <w:sz w:val="20"/>
          <w:rtl/>
        </w:rPr>
        <w:t>اشتراك شقيقها في ميليشيا "</w:t>
      </w:r>
      <w:r w:rsidRPr="00523D40">
        <w:rPr>
          <w:spacing w:val="0"/>
          <w:kern w:val="0"/>
          <w:sz w:val="20"/>
        </w:rPr>
        <w:t>Sans</w:t>
      </w:r>
      <w:r w:rsidRPr="00523D40">
        <w:rPr>
          <w:spacing w:val="0"/>
          <w:kern w:val="0"/>
          <w:sz w:val="20"/>
          <w:szCs w:val="32"/>
        </w:rPr>
        <w:t> </w:t>
      </w:r>
      <w:r w:rsidRPr="00523D40">
        <w:rPr>
          <w:spacing w:val="0"/>
          <w:kern w:val="0"/>
          <w:sz w:val="20"/>
        </w:rPr>
        <w:t>Échec</w:t>
      </w:r>
      <w:r w:rsidRPr="00523D40">
        <w:rPr>
          <w:rFonts w:hint="cs"/>
          <w:color w:val="000000"/>
          <w:spacing w:val="0"/>
          <w:kern w:val="0"/>
          <w:sz w:val="20"/>
          <w:rtl/>
        </w:rPr>
        <w:t>" و</w:t>
      </w:r>
      <w:r w:rsidRPr="00523D40">
        <w:rPr>
          <w:color w:val="000000"/>
          <w:spacing w:val="0"/>
          <w:kern w:val="0"/>
          <w:sz w:val="20"/>
          <w:rtl/>
        </w:rPr>
        <w:t>قتله لاحقا</w:t>
      </w:r>
      <w:r w:rsidRPr="00523D40">
        <w:rPr>
          <w:rFonts w:hint="cs"/>
          <w:color w:val="000000"/>
          <w:spacing w:val="0"/>
          <w:kern w:val="0"/>
          <w:sz w:val="20"/>
          <w:rtl/>
        </w:rPr>
        <w:t>ً</w:t>
      </w:r>
      <w:r w:rsidRPr="00523D40">
        <w:rPr>
          <w:color w:val="000000"/>
          <w:spacing w:val="0"/>
          <w:kern w:val="0"/>
          <w:sz w:val="20"/>
          <w:rtl/>
        </w:rPr>
        <w:t xml:space="preserve"> لا</w:t>
      </w:r>
      <w:r w:rsidR="00A85948">
        <w:rPr>
          <w:rFonts w:hint="cs"/>
          <w:color w:val="000000"/>
          <w:spacing w:val="0"/>
          <w:kern w:val="0"/>
          <w:sz w:val="20"/>
          <w:rtl/>
        </w:rPr>
        <w:t> </w:t>
      </w:r>
      <w:r w:rsidRPr="00523D40">
        <w:rPr>
          <w:color w:val="000000"/>
          <w:spacing w:val="0"/>
          <w:kern w:val="0"/>
          <w:sz w:val="20"/>
          <w:rtl/>
        </w:rPr>
        <w:t xml:space="preserve">يمكن أن </w:t>
      </w:r>
      <w:r w:rsidRPr="00523D40">
        <w:rPr>
          <w:rFonts w:hint="cs"/>
          <w:color w:val="000000"/>
          <w:spacing w:val="0"/>
          <w:kern w:val="0"/>
          <w:sz w:val="20"/>
          <w:rtl/>
        </w:rPr>
        <w:t>تكون رواية صحيحة</w:t>
      </w:r>
      <w:r w:rsidRPr="00523D40">
        <w:rPr>
          <w:color w:val="000000"/>
          <w:spacing w:val="0"/>
          <w:kern w:val="0"/>
          <w:sz w:val="20"/>
          <w:rtl/>
        </w:rPr>
        <w:t>. وفي ضوء عدم وجود أدلة مكتوبة</w:t>
      </w:r>
      <w:r w:rsidRPr="00523D40">
        <w:rPr>
          <w:rFonts w:hint="cs"/>
          <w:color w:val="000000"/>
          <w:spacing w:val="0"/>
          <w:kern w:val="0"/>
          <w:sz w:val="20"/>
          <w:rtl/>
        </w:rPr>
        <w:t xml:space="preserve"> ذات موثوقية</w:t>
      </w:r>
      <w:r w:rsidRPr="00523D40">
        <w:rPr>
          <w:color w:val="000000"/>
          <w:spacing w:val="0"/>
          <w:kern w:val="0"/>
          <w:sz w:val="20"/>
          <w:rtl/>
        </w:rPr>
        <w:t xml:space="preserve"> </w:t>
      </w:r>
      <w:r w:rsidRPr="00523D40">
        <w:rPr>
          <w:rFonts w:hint="cs"/>
          <w:color w:val="000000"/>
          <w:spacing w:val="0"/>
          <w:kern w:val="0"/>
          <w:sz w:val="20"/>
          <w:rtl/>
        </w:rPr>
        <w:t>لدعم الادعاءات</w:t>
      </w:r>
      <w:r w:rsidRPr="00523D40">
        <w:rPr>
          <w:color w:val="000000"/>
          <w:spacing w:val="0"/>
          <w:kern w:val="0"/>
          <w:sz w:val="20"/>
          <w:rtl/>
        </w:rPr>
        <w:t xml:space="preserve">، </w:t>
      </w:r>
      <w:r w:rsidRPr="00523D40">
        <w:rPr>
          <w:rFonts w:hint="cs"/>
          <w:color w:val="000000"/>
          <w:spacing w:val="0"/>
          <w:kern w:val="0"/>
          <w:sz w:val="20"/>
          <w:rtl/>
        </w:rPr>
        <w:t>وبالنظر كذلك إلى</w:t>
      </w:r>
      <w:r w:rsidRPr="00523D40">
        <w:rPr>
          <w:color w:val="000000"/>
          <w:spacing w:val="0"/>
          <w:kern w:val="0"/>
          <w:sz w:val="20"/>
          <w:rtl/>
        </w:rPr>
        <w:t xml:space="preserve"> الأسباب القوية </w:t>
      </w:r>
      <w:r w:rsidRPr="00523D40">
        <w:rPr>
          <w:rFonts w:hint="cs"/>
          <w:color w:val="000000"/>
          <w:spacing w:val="0"/>
          <w:kern w:val="0"/>
          <w:sz w:val="20"/>
          <w:rtl/>
        </w:rPr>
        <w:t>التي تدعو إلى الشك في مصداقية ادعاءات صاحبة</w:t>
      </w:r>
      <w:r w:rsidRPr="00523D40">
        <w:rPr>
          <w:color w:val="000000"/>
          <w:spacing w:val="0"/>
          <w:kern w:val="0"/>
          <w:sz w:val="20"/>
          <w:rtl/>
        </w:rPr>
        <w:t xml:space="preserve"> الشكوى</w:t>
      </w:r>
      <w:r w:rsidRPr="00523D40">
        <w:rPr>
          <w:rFonts w:hint="cs"/>
          <w:color w:val="000000"/>
          <w:spacing w:val="0"/>
          <w:kern w:val="0"/>
          <w:sz w:val="20"/>
          <w:rtl/>
        </w:rPr>
        <w:t xml:space="preserve"> وصدقها</w:t>
      </w:r>
      <w:r w:rsidRPr="00523D40">
        <w:rPr>
          <w:color w:val="000000"/>
          <w:spacing w:val="0"/>
          <w:kern w:val="0"/>
          <w:sz w:val="20"/>
          <w:rtl/>
        </w:rPr>
        <w:t xml:space="preserve">، تؤكد الدولة الطرف أن </w:t>
      </w:r>
      <w:r w:rsidRPr="00523D40">
        <w:rPr>
          <w:rFonts w:hint="cs"/>
          <w:color w:val="000000"/>
          <w:spacing w:val="0"/>
          <w:kern w:val="0"/>
          <w:sz w:val="20"/>
          <w:rtl/>
        </w:rPr>
        <w:t>صاحبة</w:t>
      </w:r>
      <w:r w:rsidRPr="00523D40">
        <w:rPr>
          <w:color w:val="000000"/>
          <w:spacing w:val="0"/>
          <w:kern w:val="0"/>
          <w:sz w:val="20"/>
          <w:rtl/>
        </w:rPr>
        <w:t xml:space="preserve"> الشكوى لم تف </w:t>
      </w:r>
      <w:r w:rsidRPr="00523D40">
        <w:rPr>
          <w:rFonts w:hint="cs"/>
          <w:color w:val="000000"/>
          <w:spacing w:val="0"/>
          <w:kern w:val="0"/>
          <w:sz w:val="20"/>
          <w:rtl/>
        </w:rPr>
        <w:t>ب</w:t>
      </w:r>
      <w:r w:rsidRPr="00523D40">
        <w:rPr>
          <w:color w:val="000000"/>
          <w:spacing w:val="0"/>
          <w:kern w:val="0"/>
          <w:sz w:val="20"/>
          <w:rtl/>
        </w:rPr>
        <w:t xml:space="preserve">عبء الإثبات </w:t>
      </w:r>
      <w:r w:rsidRPr="00523D40">
        <w:rPr>
          <w:rFonts w:hint="cs"/>
          <w:color w:val="000000"/>
          <w:spacing w:val="0"/>
          <w:kern w:val="0"/>
          <w:sz w:val="20"/>
          <w:rtl/>
        </w:rPr>
        <w:t xml:space="preserve">لتبيّن </w:t>
      </w:r>
      <w:r w:rsidRPr="00523D40">
        <w:rPr>
          <w:color w:val="000000"/>
          <w:spacing w:val="0"/>
          <w:kern w:val="0"/>
          <w:sz w:val="20"/>
          <w:rtl/>
        </w:rPr>
        <w:t>أنها تواجه خطر</w:t>
      </w:r>
      <w:r w:rsidRPr="00523D40">
        <w:rPr>
          <w:rFonts w:hint="cs"/>
          <w:color w:val="000000"/>
          <w:spacing w:val="0"/>
          <w:kern w:val="0"/>
          <w:sz w:val="20"/>
          <w:rtl/>
        </w:rPr>
        <w:t>اً</w:t>
      </w:r>
      <w:r w:rsidRPr="00523D40">
        <w:rPr>
          <w:color w:val="000000"/>
          <w:spacing w:val="0"/>
          <w:kern w:val="0"/>
          <w:sz w:val="20"/>
          <w:rtl/>
        </w:rPr>
        <w:t xml:space="preserve"> متوقع</w:t>
      </w:r>
      <w:r w:rsidRPr="00523D40">
        <w:rPr>
          <w:rFonts w:hint="cs"/>
          <w:color w:val="000000"/>
          <w:spacing w:val="0"/>
          <w:kern w:val="0"/>
          <w:sz w:val="20"/>
          <w:rtl/>
        </w:rPr>
        <w:t>اً</w:t>
      </w:r>
      <w:r w:rsidRPr="00523D40">
        <w:rPr>
          <w:color w:val="000000"/>
          <w:spacing w:val="0"/>
          <w:kern w:val="0"/>
          <w:sz w:val="20"/>
          <w:rtl/>
        </w:rPr>
        <w:t xml:space="preserve"> وحقيقي</w:t>
      </w:r>
      <w:r w:rsidRPr="00523D40">
        <w:rPr>
          <w:rFonts w:hint="cs"/>
          <w:color w:val="000000"/>
          <w:spacing w:val="0"/>
          <w:kern w:val="0"/>
          <w:sz w:val="20"/>
          <w:rtl/>
        </w:rPr>
        <w:t>اً</w:t>
      </w:r>
      <w:r w:rsidRPr="00523D40">
        <w:rPr>
          <w:color w:val="000000"/>
          <w:spacing w:val="0"/>
          <w:kern w:val="0"/>
          <w:sz w:val="20"/>
          <w:rtl/>
        </w:rPr>
        <w:t xml:space="preserve"> وشخصي</w:t>
      </w:r>
      <w:r w:rsidRPr="00523D40">
        <w:rPr>
          <w:rFonts w:hint="cs"/>
          <w:color w:val="000000"/>
          <w:spacing w:val="0"/>
          <w:kern w:val="0"/>
          <w:sz w:val="20"/>
          <w:rtl/>
        </w:rPr>
        <w:t>اً</w:t>
      </w:r>
      <w:r w:rsidRPr="00523D40">
        <w:rPr>
          <w:color w:val="000000"/>
          <w:spacing w:val="0"/>
          <w:kern w:val="0"/>
          <w:sz w:val="20"/>
          <w:rtl/>
        </w:rPr>
        <w:t xml:space="preserve"> </w:t>
      </w:r>
      <w:r w:rsidRPr="00523D40">
        <w:rPr>
          <w:rFonts w:hint="cs"/>
          <w:color w:val="000000"/>
          <w:spacing w:val="0"/>
          <w:kern w:val="0"/>
          <w:sz w:val="20"/>
          <w:rtl/>
        </w:rPr>
        <w:t xml:space="preserve">بالتعرض </w:t>
      </w:r>
      <w:r w:rsidRPr="00523D40">
        <w:rPr>
          <w:color w:val="000000"/>
          <w:spacing w:val="0"/>
          <w:kern w:val="0"/>
          <w:sz w:val="20"/>
          <w:rtl/>
        </w:rPr>
        <w:t>للتعذيب في بوروندي</w:t>
      </w:r>
      <w:r w:rsidRPr="00523D40">
        <w:rPr>
          <w:color w:val="000000"/>
          <w:spacing w:val="0"/>
          <w:kern w:val="0"/>
          <w:sz w:val="20"/>
        </w:rPr>
        <w:t>.</w:t>
      </w:r>
      <w:r w:rsidRPr="00523D40">
        <w:rPr>
          <w:color w:val="000000"/>
          <w:spacing w:val="0"/>
          <w:kern w:val="0"/>
          <w:sz w:val="20"/>
          <w:rtl/>
        </w:rPr>
        <w:t xml:space="preserve"> و</w:t>
      </w:r>
      <w:r w:rsidRPr="00523D40">
        <w:rPr>
          <w:rFonts w:hint="cs"/>
          <w:color w:val="000000"/>
          <w:spacing w:val="0"/>
          <w:kern w:val="0"/>
          <w:sz w:val="20"/>
          <w:rtl/>
        </w:rPr>
        <w:t>من ثم</w:t>
      </w:r>
      <w:r w:rsidRPr="00523D40">
        <w:rPr>
          <w:color w:val="000000"/>
          <w:spacing w:val="0"/>
          <w:kern w:val="0"/>
          <w:sz w:val="20"/>
          <w:rtl/>
        </w:rPr>
        <w:t xml:space="preserve">، فإن عبء الإثبات لم </w:t>
      </w:r>
      <w:r w:rsidRPr="00523D40">
        <w:rPr>
          <w:rFonts w:hint="cs"/>
          <w:color w:val="000000"/>
          <w:spacing w:val="0"/>
          <w:kern w:val="0"/>
          <w:sz w:val="20"/>
          <w:rtl/>
        </w:rPr>
        <w:t>ي</w:t>
      </w:r>
      <w:r w:rsidRPr="00523D40">
        <w:rPr>
          <w:color w:val="000000"/>
          <w:spacing w:val="0"/>
          <w:kern w:val="0"/>
          <w:sz w:val="20"/>
          <w:rtl/>
        </w:rPr>
        <w:t>تحول إلى الدولة الطرف</w:t>
      </w:r>
      <w:r w:rsidRPr="00523D40">
        <w:rPr>
          <w:rFonts w:hint="cs"/>
          <w:color w:val="000000"/>
          <w:spacing w:val="0"/>
          <w:kern w:val="0"/>
          <w:sz w:val="20"/>
          <w:rtl/>
        </w:rPr>
        <w:t>.</w:t>
      </w:r>
      <w:r w:rsidRPr="00523D40">
        <w:rPr>
          <w:color w:val="000000"/>
          <w:spacing w:val="0"/>
          <w:kern w:val="0"/>
          <w:sz w:val="20"/>
          <w:rtl/>
        </w:rPr>
        <w:t xml:space="preserve"> و</w:t>
      </w:r>
      <w:r w:rsidRPr="00523D40">
        <w:rPr>
          <w:rFonts w:hint="cs"/>
          <w:color w:val="000000"/>
          <w:spacing w:val="0"/>
          <w:kern w:val="0"/>
          <w:sz w:val="20"/>
          <w:rtl/>
        </w:rPr>
        <w:t>ت</w:t>
      </w:r>
      <w:r w:rsidRPr="00523D40">
        <w:rPr>
          <w:color w:val="000000"/>
          <w:spacing w:val="0"/>
          <w:kern w:val="0"/>
          <w:sz w:val="20"/>
          <w:rtl/>
        </w:rPr>
        <w:t xml:space="preserve">ضيف </w:t>
      </w:r>
      <w:r w:rsidRPr="00523D40">
        <w:rPr>
          <w:rFonts w:hint="cs"/>
          <w:color w:val="000000"/>
          <w:spacing w:val="0"/>
          <w:kern w:val="0"/>
          <w:sz w:val="20"/>
          <w:rtl/>
        </w:rPr>
        <w:t xml:space="preserve">الدولة الطرف </w:t>
      </w:r>
      <w:r w:rsidRPr="00523D40">
        <w:rPr>
          <w:color w:val="000000"/>
          <w:spacing w:val="0"/>
          <w:kern w:val="0"/>
          <w:sz w:val="20"/>
          <w:rtl/>
        </w:rPr>
        <w:t>أنه لا يوجد</w:t>
      </w:r>
      <w:r w:rsidRPr="00523D40">
        <w:rPr>
          <w:rFonts w:hint="cs"/>
          <w:color w:val="000000"/>
          <w:spacing w:val="0"/>
          <w:kern w:val="0"/>
          <w:sz w:val="20"/>
          <w:rtl/>
        </w:rPr>
        <w:t xml:space="preserve"> أي</w:t>
      </w:r>
      <w:r w:rsidRPr="00523D40">
        <w:rPr>
          <w:color w:val="000000"/>
          <w:spacing w:val="0"/>
          <w:kern w:val="0"/>
          <w:sz w:val="20"/>
          <w:rtl/>
        </w:rPr>
        <w:t xml:space="preserve"> أساس </w:t>
      </w:r>
      <w:r w:rsidRPr="00523D40">
        <w:rPr>
          <w:rFonts w:hint="cs"/>
          <w:color w:val="000000"/>
          <w:spacing w:val="0"/>
          <w:kern w:val="0"/>
          <w:sz w:val="20"/>
          <w:rtl/>
        </w:rPr>
        <w:t>يدعو إلى الإبقاء على</w:t>
      </w:r>
      <w:r w:rsidRPr="00523D40">
        <w:rPr>
          <w:color w:val="000000"/>
          <w:spacing w:val="0"/>
          <w:kern w:val="0"/>
          <w:sz w:val="20"/>
          <w:rtl/>
        </w:rPr>
        <w:t xml:space="preserve"> التدبير المؤقت المطلوب بموجب المادة 114 من النظام الداخلي للجنة، </w:t>
      </w:r>
      <w:r w:rsidRPr="00523D40">
        <w:rPr>
          <w:rFonts w:hint="cs"/>
          <w:color w:val="000000"/>
          <w:spacing w:val="0"/>
          <w:kern w:val="0"/>
          <w:sz w:val="20"/>
          <w:rtl/>
        </w:rPr>
        <w:t>حيث إن</w:t>
      </w:r>
      <w:r w:rsidRPr="00523D40">
        <w:rPr>
          <w:color w:val="000000"/>
          <w:spacing w:val="0"/>
          <w:kern w:val="0"/>
          <w:sz w:val="20"/>
          <w:rtl/>
        </w:rPr>
        <w:t xml:space="preserve"> </w:t>
      </w:r>
      <w:r w:rsidRPr="00523D40">
        <w:rPr>
          <w:rFonts w:hint="cs"/>
          <w:color w:val="000000"/>
          <w:spacing w:val="0"/>
          <w:kern w:val="0"/>
          <w:sz w:val="20"/>
          <w:rtl/>
        </w:rPr>
        <w:t>إنفاذ</w:t>
      </w:r>
      <w:r w:rsidRPr="00523D40">
        <w:rPr>
          <w:color w:val="000000"/>
          <w:spacing w:val="0"/>
          <w:kern w:val="0"/>
          <w:sz w:val="20"/>
          <w:rtl/>
        </w:rPr>
        <w:t xml:space="preserve"> أمر الطرد لن ي</w:t>
      </w:r>
      <w:r w:rsidRPr="00523D40">
        <w:rPr>
          <w:rFonts w:hint="cs"/>
          <w:color w:val="000000"/>
          <w:spacing w:val="0"/>
          <w:kern w:val="0"/>
          <w:sz w:val="20"/>
          <w:rtl/>
        </w:rPr>
        <w:t xml:space="preserve">لحق بصاحبة </w:t>
      </w:r>
      <w:r w:rsidRPr="00523D40">
        <w:rPr>
          <w:color w:val="000000"/>
          <w:spacing w:val="0"/>
          <w:kern w:val="0"/>
          <w:sz w:val="20"/>
          <w:rtl/>
        </w:rPr>
        <w:t xml:space="preserve">الشكوى أي ضرر </w:t>
      </w:r>
      <w:r w:rsidRPr="00523D40">
        <w:rPr>
          <w:rFonts w:hint="cs"/>
          <w:color w:val="000000"/>
          <w:spacing w:val="0"/>
          <w:kern w:val="0"/>
          <w:sz w:val="20"/>
          <w:rtl/>
        </w:rPr>
        <w:t>من الأضرار التي لا</w:t>
      </w:r>
      <w:r w:rsidR="00A85948">
        <w:rPr>
          <w:rFonts w:hint="eastAsia"/>
          <w:color w:val="000000"/>
          <w:spacing w:val="0"/>
          <w:kern w:val="0"/>
          <w:sz w:val="20"/>
          <w:rtl/>
        </w:rPr>
        <w:t> </w:t>
      </w:r>
      <w:r w:rsidRPr="00523D40">
        <w:rPr>
          <w:rFonts w:hint="cs"/>
          <w:color w:val="000000"/>
          <w:spacing w:val="0"/>
          <w:kern w:val="0"/>
          <w:sz w:val="20"/>
          <w:rtl/>
        </w:rPr>
        <w:t>يمكن جبرها.</w:t>
      </w:r>
    </w:p>
    <w:p w:rsidR="00523D40" w:rsidRPr="00523D40" w:rsidRDefault="00523D40" w:rsidP="00523D40">
      <w:pPr>
        <w:pStyle w:val="H23GA"/>
        <w:jc w:val="lowKashida"/>
        <w:rPr>
          <w:spacing w:val="0"/>
          <w:kern w:val="0"/>
          <w:sz w:val="20"/>
          <w:szCs w:val="20"/>
          <w:rtl/>
        </w:rPr>
      </w:pPr>
      <w:r w:rsidRPr="00523D40">
        <w:rPr>
          <w:rFonts w:hint="cs"/>
          <w:spacing w:val="0"/>
          <w:kern w:val="0"/>
          <w:sz w:val="20"/>
          <w:rtl/>
        </w:rPr>
        <w:tab/>
      </w:r>
      <w:r w:rsidRPr="00523D40">
        <w:rPr>
          <w:rFonts w:hint="cs"/>
          <w:spacing w:val="0"/>
          <w:kern w:val="0"/>
          <w:sz w:val="20"/>
          <w:rtl/>
        </w:rPr>
        <w:tab/>
      </w:r>
      <w:r w:rsidRPr="00523D40">
        <w:rPr>
          <w:rFonts w:hint="eastAsia"/>
          <w:spacing w:val="0"/>
          <w:kern w:val="0"/>
          <w:sz w:val="20"/>
          <w:rtl/>
        </w:rPr>
        <w:t>تعليقات</w:t>
      </w:r>
      <w:r w:rsidRPr="00523D40">
        <w:rPr>
          <w:spacing w:val="0"/>
          <w:kern w:val="0"/>
          <w:sz w:val="20"/>
          <w:rtl/>
        </w:rPr>
        <w:t xml:space="preserve"> </w:t>
      </w:r>
      <w:r w:rsidRPr="00523D40">
        <w:rPr>
          <w:rFonts w:hint="cs"/>
          <w:spacing w:val="0"/>
          <w:kern w:val="0"/>
          <w:sz w:val="20"/>
          <w:rtl/>
        </w:rPr>
        <w:t>صاحبة الشكوى على الملاحظات الإضافية المقدمة من الدولة الطرف</w:t>
      </w:r>
    </w:p>
    <w:p w:rsidR="00523D40" w:rsidRPr="00523D40" w:rsidRDefault="00523D40" w:rsidP="00523D40">
      <w:pPr>
        <w:pStyle w:val="SingleTxtGA"/>
        <w:jc w:val="lowKashida"/>
        <w:rPr>
          <w:color w:val="000000"/>
          <w:spacing w:val="0"/>
          <w:kern w:val="0"/>
          <w:sz w:val="20"/>
          <w:szCs w:val="20"/>
          <w:rtl/>
        </w:rPr>
      </w:pPr>
      <w:r w:rsidRPr="00523D40">
        <w:rPr>
          <w:color w:val="000000"/>
          <w:spacing w:val="0"/>
          <w:kern w:val="0"/>
          <w:sz w:val="20"/>
          <w:rtl/>
          <w:lang w:val="en-CA"/>
        </w:rPr>
        <w:t>7</w:t>
      </w:r>
      <w:r w:rsidRPr="00523D40">
        <w:rPr>
          <w:rFonts w:hint="cs"/>
          <w:color w:val="000000"/>
          <w:spacing w:val="0"/>
          <w:kern w:val="0"/>
          <w:sz w:val="20"/>
          <w:rtl/>
          <w:lang w:val="en-CA"/>
        </w:rPr>
        <w:t>-</w:t>
      </w:r>
      <w:r w:rsidRPr="00523D40">
        <w:rPr>
          <w:color w:val="000000"/>
          <w:spacing w:val="0"/>
          <w:kern w:val="0"/>
          <w:sz w:val="20"/>
          <w:rtl/>
          <w:lang w:val="en-CA"/>
        </w:rPr>
        <w:tab/>
      </w:r>
      <w:r w:rsidRPr="00523D40">
        <w:rPr>
          <w:color w:val="000000"/>
          <w:spacing w:val="0"/>
          <w:kern w:val="0"/>
          <w:sz w:val="20"/>
          <w:rtl/>
        </w:rPr>
        <w:t xml:space="preserve">في 17 </w:t>
      </w:r>
      <w:r w:rsidRPr="00523D40">
        <w:rPr>
          <w:rFonts w:hint="cs"/>
          <w:color w:val="000000"/>
          <w:spacing w:val="0"/>
          <w:kern w:val="0"/>
          <w:sz w:val="20"/>
          <w:rtl/>
        </w:rPr>
        <w:t>تموز/يوليه</w:t>
      </w:r>
      <w:r w:rsidRPr="00523D40">
        <w:rPr>
          <w:color w:val="000000"/>
          <w:spacing w:val="0"/>
          <w:kern w:val="0"/>
          <w:sz w:val="20"/>
          <w:rtl/>
        </w:rPr>
        <w:t xml:space="preserve"> 2011، </w:t>
      </w:r>
      <w:r w:rsidRPr="00523D40">
        <w:rPr>
          <w:rFonts w:hint="cs"/>
          <w:color w:val="000000"/>
          <w:spacing w:val="0"/>
          <w:kern w:val="0"/>
          <w:sz w:val="20"/>
          <w:rtl/>
        </w:rPr>
        <w:t>كررت</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w:t>
      </w:r>
      <w:r w:rsidRPr="00523D40">
        <w:rPr>
          <w:rFonts w:hint="cs"/>
          <w:color w:val="000000"/>
          <w:spacing w:val="0"/>
          <w:kern w:val="0"/>
          <w:sz w:val="20"/>
          <w:rtl/>
        </w:rPr>
        <w:t xml:space="preserve"> من جديد</w:t>
      </w:r>
      <w:r w:rsidRPr="00523D40">
        <w:rPr>
          <w:color w:val="000000"/>
          <w:spacing w:val="0"/>
          <w:kern w:val="0"/>
          <w:sz w:val="20"/>
          <w:rtl/>
        </w:rPr>
        <w:t xml:space="preserve"> ادعاءاتها الأولية التي </w:t>
      </w:r>
      <w:r w:rsidRPr="00523D40">
        <w:rPr>
          <w:rFonts w:hint="cs"/>
          <w:color w:val="000000"/>
          <w:spacing w:val="0"/>
          <w:kern w:val="0"/>
          <w:sz w:val="20"/>
          <w:rtl/>
        </w:rPr>
        <w:t xml:space="preserve">تؤكد وجود </w:t>
      </w:r>
      <w:r w:rsidRPr="00523D40">
        <w:rPr>
          <w:color w:val="000000"/>
          <w:spacing w:val="0"/>
          <w:kern w:val="0"/>
          <w:sz w:val="20"/>
          <w:rtl/>
        </w:rPr>
        <w:t xml:space="preserve">أسباب حقيقية تدعو إلى الاعتقاد </w:t>
      </w:r>
      <w:r w:rsidRPr="00523D40">
        <w:rPr>
          <w:rFonts w:hint="cs"/>
          <w:color w:val="000000"/>
          <w:spacing w:val="0"/>
          <w:kern w:val="0"/>
          <w:sz w:val="20"/>
          <w:rtl/>
        </w:rPr>
        <w:t>بأنها ستتعرض للتعذيب</w:t>
      </w:r>
      <w:r w:rsidRPr="00523D40">
        <w:rPr>
          <w:color w:val="000000"/>
          <w:spacing w:val="0"/>
          <w:kern w:val="0"/>
          <w:sz w:val="20"/>
          <w:rtl/>
        </w:rPr>
        <w:t xml:space="preserve"> في بوروندي إذا </w:t>
      </w:r>
      <w:r w:rsidRPr="00523D40">
        <w:rPr>
          <w:rFonts w:hint="cs"/>
          <w:color w:val="000000"/>
          <w:spacing w:val="0"/>
          <w:kern w:val="0"/>
          <w:sz w:val="20"/>
          <w:rtl/>
        </w:rPr>
        <w:t>أعيدت إليها</w:t>
      </w:r>
      <w:r w:rsidRPr="00523D40">
        <w:rPr>
          <w:color w:val="000000"/>
          <w:spacing w:val="0"/>
          <w:kern w:val="0"/>
          <w:sz w:val="20"/>
          <w:rtl/>
        </w:rPr>
        <w:t xml:space="preserve">. </w:t>
      </w:r>
      <w:r w:rsidRPr="00523D40">
        <w:rPr>
          <w:rFonts w:hint="cs"/>
          <w:color w:val="000000"/>
          <w:spacing w:val="0"/>
          <w:kern w:val="0"/>
          <w:sz w:val="20"/>
          <w:rtl/>
        </w:rPr>
        <w:t>وترى أنه قد تسنى تأكيد هذه الادعاءات بأدلة منها الوثائق المقدمة، وتقول إنها بيّنت الكيفية</w:t>
      </w:r>
      <w:r w:rsidRPr="00523D40">
        <w:rPr>
          <w:color w:val="000000"/>
          <w:spacing w:val="0"/>
          <w:kern w:val="0"/>
          <w:sz w:val="20"/>
          <w:rtl/>
        </w:rPr>
        <w:t xml:space="preserve"> </w:t>
      </w:r>
      <w:r w:rsidRPr="00523D40">
        <w:rPr>
          <w:rFonts w:hint="cs"/>
          <w:color w:val="000000"/>
          <w:spacing w:val="0"/>
          <w:kern w:val="0"/>
          <w:sz w:val="20"/>
          <w:rtl/>
        </w:rPr>
        <w:t>التي</w:t>
      </w:r>
      <w:r w:rsidRPr="00523D40">
        <w:rPr>
          <w:color w:val="000000"/>
          <w:spacing w:val="0"/>
          <w:kern w:val="0"/>
          <w:sz w:val="20"/>
          <w:rtl/>
        </w:rPr>
        <w:t xml:space="preserve"> تمكنت</w:t>
      </w:r>
      <w:r w:rsidRPr="00523D40">
        <w:rPr>
          <w:rFonts w:hint="cs"/>
          <w:color w:val="000000"/>
          <w:spacing w:val="0"/>
          <w:kern w:val="0"/>
          <w:sz w:val="20"/>
          <w:rtl/>
        </w:rPr>
        <w:t xml:space="preserve"> بها</w:t>
      </w:r>
      <w:r w:rsidRPr="00523D40">
        <w:rPr>
          <w:color w:val="000000"/>
          <w:spacing w:val="0"/>
          <w:kern w:val="0"/>
          <w:sz w:val="20"/>
          <w:rtl/>
        </w:rPr>
        <w:t xml:space="preserve"> من الحصول عليها. </w:t>
      </w:r>
      <w:r w:rsidRPr="00523D40">
        <w:rPr>
          <w:rFonts w:hint="cs"/>
          <w:color w:val="000000"/>
          <w:spacing w:val="0"/>
          <w:kern w:val="0"/>
          <w:sz w:val="20"/>
          <w:rtl/>
        </w:rPr>
        <w:t>وتضيف صاحبة الشكوى</w:t>
      </w:r>
      <w:r w:rsidRPr="00523D40">
        <w:rPr>
          <w:color w:val="000000"/>
          <w:spacing w:val="0"/>
          <w:kern w:val="0"/>
          <w:sz w:val="20"/>
          <w:rtl/>
        </w:rPr>
        <w:t xml:space="preserve"> </w:t>
      </w:r>
      <w:r w:rsidRPr="00523D40">
        <w:rPr>
          <w:rFonts w:hint="cs"/>
          <w:color w:val="000000"/>
          <w:spacing w:val="0"/>
          <w:kern w:val="0"/>
          <w:sz w:val="20"/>
          <w:rtl/>
        </w:rPr>
        <w:t>أنه</w:t>
      </w:r>
      <w:r w:rsidRPr="00523D40">
        <w:rPr>
          <w:color w:val="000000"/>
          <w:spacing w:val="0"/>
          <w:kern w:val="0"/>
          <w:sz w:val="20"/>
          <w:rtl/>
        </w:rPr>
        <w:t xml:space="preserve"> لا يمكن</w:t>
      </w:r>
      <w:r w:rsidRPr="00523D40">
        <w:rPr>
          <w:rFonts w:hint="cs"/>
          <w:color w:val="000000"/>
          <w:spacing w:val="0"/>
          <w:kern w:val="0"/>
          <w:sz w:val="20"/>
          <w:rtl/>
        </w:rPr>
        <w:t>ها</w:t>
      </w:r>
      <w:r w:rsidRPr="00523D40">
        <w:rPr>
          <w:color w:val="000000"/>
          <w:spacing w:val="0"/>
          <w:kern w:val="0"/>
          <w:sz w:val="20"/>
          <w:rtl/>
        </w:rPr>
        <w:t xml:space="preserve"> أن</w:t>
      </w:r>
      <w:r w:rsidRPr="00523D40">
        <w:rPr>
          <w:rFonts w:hint="cs"/>
          <w:color w:val="000000"/>
          <w:spacing w:val="0"/>
          <w:kern w:val="0"/>
          <w:sz w:val="20"/>
          <w:rtl/>
        </w:rPr>
        <w:t xml:space="preserve"> تعطي</w:t>
      </w:r>
      <w:r w:rsidRPr="00523D40">
        <w:rPr>
          <w:color w:val="000000"/>
          <w:spacing w:val="0"/>
          <w:kern w:val="0"/>
          <w:sz w:val="20"/>
          <w:rtl/>
        </w:rPr>
        <w:t xml:space="preserve"> </w:t>
      </w:r>
      <w:r w:rsidRPr="00523D40">
        <w:rPr>
          <w:rFonts w:hint="cs"/>
          <w:color w:val="000000"/>
          <w:spacing w:val="0"/>
          <w:kern w:val="0"/>
          <w:sz w:val="20"/>
          <w:rtl/>
        </w:rPr>
        <w:t>تفسيراً أفضل عن أسباب تقديم طلب تأشيرة باسمها</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استخدام</w:t>
      </w:r>
      <w:r w:rsidRPr="00523D40">
        <w:rPr>
          <w:rFonts w:hint="cs"/>
          <w:color w:val="000000"/>
          <w:spacing w:val="0"/>
          <w:kern w:val="0"/>
          <w:sz w:val="20"/>
          <w:rtl/>
        </w:rPr>
        <w:t xml:space="preserve"> شخص آخر</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جواز سفرها</w:t>
      </w:r>
      <w:r w:rsidRPr="00523D40">
        <w:rPr>
          <w:rFonts w:hint="cs"/>
          <w:color w:val="000000"/>
          <w:spacing w:val="0"/>
          <w:kern w:val="0"/>
          <w:sz w:val="20"/>
          <w:rtl/>
        </w:rPr>
        <w:t xml:space="preserve">، </w:t>
      </w:r>
      <w:r w:rsidRPr="00523D40">
        <w:rPr>
          <w:color w:val="000000"/>
          <w:spacing w:val="0"/>
          <w:kern w:val="0"/>
          <w:sz w:val="20"/>
          <w:rtl/>
        </w:rPr>
        <w:t>نظرا لأنها لا تعرف ما حدث</w:t>
      </w:r>
      <w:r w:rsidRPr="00523D40">
        <w:rPr>
          <w:rFonts w:hint="cs"/>
          <w:color w:val="000000"/>
          <w:spacing w:val="0"/>
          <w:kern w:val="0"/>
          <w:sz w:val="20"/>
          <w:rtl/>
        </w:rPr>
        <w:t xml:space="preserve"> في هذا الشأن.</w:t>
      </w:r>
      <w:r w:rsidRPr="00523D40">
        <w:rPr>
          <w:color w:val="000000"/>
          <w:spacing w:val="0"/>
          <w:kern w:val="0"/>
          <w:sz w:val="20"/>
          <w:rtl/>
        </w:rPr>
        <w:t xml:space="preserve"> و</w:t>
      </w:r>
      <w:r w:rsidRPr="00523D40">
        <w:rPr>
          <w:rFonts w:hint="cs"/>
          <w:color w:val="000000"/>
          <w:spacing w:val="0"/>
          <w:kern w:val="0"/>
          <w:sz w:val="20"/>
          <w:rtl/>
        </w:rPr>
        <w:t>هي "إنما تقول الحقيقة".</w:t>
      </w:r>
      <w:r w:rsidRPr="00523D40">
        <w:rPr>
          <w:b/>
          <w:bCs/>
          <w:color w:val="000000"/>
          <w:spacing w:val="0"/>
          <w:kern w:val="0"/>
          <w:sz w:val="20"/>
          <w:rtl/>
        </w:rPr>
        <w:t xml:space="preserve"> </w:t>
      </w:r>
    </w:p>
    <w:p w:rsidR="00523D40" w:rsidRPr="00523D40" w:rsidRDefault="00523D40" w:rsidP="00523D40">
      <w:pPr>
        <w:pStyle w:val="H23GA"/>
        <w:jc w:val="lowKashida"/>
        <w:rPr>
          <w:rFonts w:hint="cs"/>
          <w:spacing w:val="0"/>
          <w:kern w:val="0"/>
          <w:sz w:val="20"/>
          <w:szCs w:val="20"/>
          <w:rtl/>
        </w:rPr>
      </w:pPr>
      <w:r w:rsidRPr="00523D40">
        <w:rPr>
          <w:rFonts w:hint="cs"/>
          <w:spacing w:val="0"/>
          <w:kern w:val="0"/>
          <w:sz w:val="20"/>
          <w:rtl/>
        </w:rPr>
        <w:tab/>
      </w:r>
      <w:r w:rsidRPr="00523D40">
        <w:rPr>
          <w:rFonts w:hint="cs"/>
          <w:spacing w:val="0"/>
          <w:kern w:val="0"/>
          <w:sz w:val="20"/>
          <w:rtl/>
        </w:rPr>
        <w:tab/>
        <w:t>المسائل والإجراءات المعروضة على اللجنة</w:t>
      </w:r>
    </w:p>
    <w:p w:rsidR="00523D40" w:rsidRPr="00523D40" w:rsidRDefault="00523D40" w:rsidP="00523D40">
      <w:pPr>
        <w:pStyle w:val="H4GA"/>
        <w:jc w:val="lowKashida"/>
        <w:rPr>
          <w:rFonts w:hint="cs"/>
          <w:spacing w:val="0"/>
          <w:kern w:val="0"/>
          <w:sz w:val="20"/>
          <w:rtl/>
          <w:lang w:val="en-CA"/>
        </w:rPr>
      </w:pPr>
      <w:r w:rsidRPr="00523D40">
        <w:rPr>
          <w:rFonts w:hint="cs"/>
          <w:spacing w:val="0"/>
          <w:kern w:val="0"/>
          <w:sz w:val="20"/>
          <w:rtl/>
          <w:lang w:val="en-CA"/>
        </w:rPr>
        <w:tab/>
      </w:r>
      <w:r w:rsidRPr="00523D40">
        <w:rPr>
          <w:rFonts w:hint="cs"/>
          <w:spacing w:val="0"/>
          <w:kern w:val="0"/>
          <w:sz w:val="20"/>
          <w:rtl/>
          <w:lang w:val="en-CA"/>
        </w:rPr>
        <w:tab/>
        <w:t>النظر في المقبولية</w:t>
      </w:r>
    </w:p>
    <w:p w:rsidR="00523D40" w:rsidRPr="00523D40" w:rsidRDefault="00523D40" w:rsidP="00A85948">
      <w:pPr>
        <w:pStyle w:val="SingleTxtGA"/>
        <w:jc w:val="lowKashida"/>
        <w:rPr>
          <w:rFonts w:hint="cs"/>
          <w:spacing w:val="0"/>
          <w:kern w:val="0"/>
          <w:sz w:val="20"/>
          <w:rtl/>
          <w:lang w:val="fr-CH"/>
        </w:rPr>
      </w:pPr>
      <w:r w:rsidRPr="00523D40">
        <w:rPr>
          <w:rFonts w:hint="cs"/>
          <w:spacing w:val="0"/>
          <w:kern w:val="0"/>
          <w:sz w:val="20"/>
          <w:rtl/>
        </w:rPr>
        <w:t>8-1</w:t>
      </w:r>
      <w:r w:rsidRPr="00523D40">
        <w:rPr>
          <w:rFonts w:hint="cs"/>
          <w:spacing w:val="0"/>
          <w:kern w:val="0"/>
          <w:sz w:val="20"/>
          <w:rtl/>
        </w:rPr>
        <w:tab/>
        <w:t xml:space="preserve">قبل </w:t>
      </w:r>
      <w:r w:rsidRPr="00523D40">
        <w:rPr>
          <w:spacing w:val="0"/>
          <w:kern w:val="0"/>
          <w:sz w:val="20"/>
          <w:rtl/>
          <w:lang w:val="fr-CH"/>
        </w:rPr>
        <w:t>النظر في أي ادعاء</w:t>
      </w:r>
      <w:r w:rsidRPr="00523D40">
        <w:rPr>
          <w:rFonts w:hint="cs"/>
          <w:spacing w:val="0"/>
          <w:kern w:val="0"/>
          <w:sz w:val="20"/>
          <w:rtl/>
          <w:lang w:val="fr-CH"/>
        </w:rPr>
        <w:t>ات</w:t>
      </w:r>
      <w:r w:rsidRPr="00523D40">
        <w:rPr>
          <w:spacing w:val="0"/>
          <w:kern w:val="0"/>
          <w:sz w:val="20"/>
          <w:rtl/>
          <w:lang w:val="fr-CH"/>
        </w:rPr>
        <w:t xml:space="preserve"> </w:t>
      </w:r>
      <w:r w:rsidRPr="00523D40">
        <w:rPr>
          <w:rFonts w:hint="cs"/>
          <w:spacing w:val="0"/>
          <w:kern w:val="0"/>
          <w:sz w:val="20"/>
          <w:rtl/>
          <w:lang w:val="fr-CH"/>
        </w:rPr>
        <w:t>ت</w:t>
      </w:r>
      <w:r w:rsidRPr="00523D40">
        <w:rPr>
          <w:spacing w:val="0"/>
          <w:kern w:val="0"/>
          <w:sz w:val="20"/>
          <w:rtl/>
          <w:lang w:val="fr-CH"/>
        </w:rPr>
        <w:t xml:space="preserve">رد في </w:t>
      </w:r>
      <w:r w:rsidRPr="00523D40">
        <w:rPr>
          <w:rFonts w:hint="cs"/>
          <w:spacing w:val="0"/>
          <w:kern w:val="0"/>
          <w:sz w:val="20"/>
          <w:rtl/>
          <w:lang w:val="fr-CH"/>
        </w:rPr>
        <w:t xml:space="preserve">شكوى </w:t>
      </w:r>
      <w:r w:rsidRPr="00523D40">
        <w:rPr>
          <w:spacing w:val="0"/>
          <w:kern w:val="0"/>
          <w:sz w:val="20"/>
          <w:rtl/>
          <w:lang w:val="fr-CH"/>
        </w:rPr>
        <w:t>ما، ي</w:t>
      </w:r>
      <w:r w:rsidRPr="00523D40">
        <w:rPr>
          <w:rFonts w:hint="cs"/>
          <w:spacing w:val="0"/>
          <w:kern w:val="0"/>
          <w:sz w:val="20"/>
          <w:rtl/>
          <w:lang w:val="fr-CH"/>
        </w:rPr>
        <w:t>تعين على</w:t>
      </w:r>
      <w:r w:rsidRPr="00523D40">
        <w:rPr>
          <w:spacing w:val="0"/>
          <w:kern w:val="0"/>
          <w:sz w:val="20"/>
          <w:rtl/>
          <w:lang w:val="fr-CH"/>
        </w:rPr>
        <w:t xml:space="preserve"> لجنة مناهضة التعذيب أن </w:t>
      </w:r>
      <w:r w:rsidRPr="00523D40">
        <w:rPr>
          <w:rFonts w:hint="cs"/>
          <w:spacing w:val="0"/>
          <w:kern w:val="0"/>
          <w:sz w:val="20"/>
          <w:rtl/>
          <w:lang w:val="fr-CH"/>
        </w:rPr>
        <w:t>تبت في</w:t>
      </w:r>
      <w:r w:rsidRPr="00523D40">
        <w:rPr>
          <w:spacing w:val="0"/>
          <w:kern w:val="0"/>
          <w:sz w:val="20"/>
          <w:rtl/>
          <w:lang w:val="fr-CH"/>
        </w:rPr>
        <w:t>ما إذا كان البلاغ مقبولا</w:t>
      </w:r>
      <w:r w:rsidRPr="00523D40">
        <w:rPr>
          <w:rFonts w:hint="cs"/>
          <w:spacing w:val="0"/>
          <w:kern w:val="0"/>
          <w:sz w:val="20"/>
          <w:rtl/>
          <w:lang w:val="fr-CH"/>
        </w:rPr>
        <w:t>ً</w:t>
      </w:r>
      <w:r w:rsidRPr="00523D40">
        <w:rPr>
          <w:spacing w:val="0"/>
          <w:kern w:val="0"/>
          <w:sz w:val="20"/>
          <w:rtl/>
          <w:lang w:val="fr-CH"/>
        </w:rPr>
        <w:t xml:space="preserve"> </w:t>
      </w:r>
      <w:r w:rsidRPr="00523D40">
        <w:rPr>
          <w:rFonts w:hint="cs"/>
          <w:spacing w:val="0"/>
          <w:kern w:val="0"/>
          <w:sz w:val="20"/>
          <w:rtl/>
          <w:lang w:val="fr-CH"/>
        </w:rPr>
        <w:t xml:space="preserve">أم لا </w:t>
      </w:r>
      <w:r w:rsidRPr="00523D40">
        <w:rPr>
          <w:spacing w:val="0"/>
          <w:kern w:val="0"/>
          <w:sz w:val="20"/>
          <w:rtl/>
          <w:lang w:val="fr-CH"/>
        </w:rPr>
        <w:t>بم</w:t>
      </w:r>
      <w:r w:rsidRPr="00523D40">
        <w:rPr>
          <w:rFonts w:hint="cs"/>
          <w:spacing w:val="0"/>
          <w:kern w:val="0"/>
          <w:sz w:val="20"/>
          <w:rtl/>
          <w:lang w:val="fr-CH"/>
        </w:rPr>
        <w:t>وجب</w:t>
      </w:r>
      <w:r w:rsidRPr="00523D40">
        <w:rPr>
          <w:spacing w:val="0"/>
          <w:kern w:val="0"/>
          <w:sz w:val="20"/>
          <w:rtl/>
          <w:lang w:val="fr-CH"/>
        </w:rPr>
        <w:t xml:space="preserve"> المادة 22 من الاتفاقية</w:t>
      </w:r>
      <w:r w:rsidRPr="00523D40">
        <w:rPr>
          <w:rFonts w:hint="cs"/>
          <w:spacing w:val="0"/>
          <w:kern w:val="0"/>
          <w:sz w:val="20"/>
          <w:rtl/>
          <w:lang w:val="fr-CH"/>
        </w:rPr>
        <w:t xml:space="preserve">. وقد </w:t>
      </w:r>
      <w:r w:rsidRPr="00523D40">
        <w:rPr>
          <w:rFonts w:hint="cs"/>
          <w:spacing w:val="0"/>
          <w:kern w:val="0"/>
          <w:sz w:val="20"/>
          <w:rtl/>
          <w:lang/>
        </w:rPr>
        <w:t>تأكدت اللجنة، حسب ما تقتضيه الفقرة 5(أ) من المادة 22 من الاتفاقية، من أن المسألة نفسها لم تُبحث ولا</w:t>
      </w:r>
      <w:r w:rsidR="00A85948">
        <w:rPr>
          <w:rFonts w:hint="eastAsia"/>
          <w:spacing w:val="0"/>
          <w:kern w:val="0"/>
          <w:sz w:val="20"/>
          <w:rtl/>
          <w:lang/>
        </w:rPr>
        <w:t> </w:t>
      </w:r>
      <w:r w:rsidRPr="00523D40">
        <w:rPr>
          <w:rFonts w:hint="cs"/>
          <w:spacing w:val="0"/>
          <w:kern w:val="0"/>
          <w:sz w:val="20"/>
          <w:rtl/>
          <w:lang/>
        </w:rPr>
        <w:t>يجري بحثها في إطار أي إجراء آخر من إجراءات التحقيق الدولي أو التسوية الدولية.</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val="fr-CH"/>
        </w:rPr>
        <w:t>8-2</w:t>
      </w:r>
      <w:r w:rsidRPr="00523D40">
        <w:rPr>
          <w:rFonts w:hint="cs"/>
          <w:spacing w:val="0"/>
          <w:kern w:val="0"/>
          <w:sz w:val="20"/>
          <w:rtl/>
          <w:lang w:val="fr-CH"/>
        </w:rPr>
        <w:tab/>
        <w:t xml:space="preserve">وتشير اللجنة إلى أنها لا تنظر، </w:t>
      </w:r>
      <w:r w:rsidRPr="00523D40">
        <w:rPr>
          <w:rFonts w:hint="cs"/>
          <w:spacing w:val="0"/>
          <w:kern w:val="0"/>
          <w:sz w:val="20"/>
          <w:rtl/>
          <w:lang/>
        </w:rPr>
        <w:t>وفقاً للفقرة 5(ب) من المادة 22 من الاتفاقية، في أي بلاغ مقدم من أحد الأفراد ما لم تتحقق من أن هذا الفرد قد استنفد جميع سبل الانتصاف المحلية المتاحة. و</w:t>
      </w:r>
      <w:r w:rsidRPr="00523D40">
        <w:rPr>
          <w:rFonts w:hint="cs"/>
          <w:spacing w:val="0"/>
          <w:kern w:val="0"/>
          <w:sz w:val="20"/>
          <w:rtl/>
          <w:lang w:val="fr-CH"/>
        </w:rPr>
        <w:t xml:space="preserve">تلاحظ اللجنة أن الدولة الطرف أقرت، في هذه القضية، بأن صاحبة الشكوى قد استنفدت جميع </w:t>
      </w:r>
      <w:r w:rsidRPr="00523D40">
        <w:rPr>
          <w:rFonts w:hint="cs"/>
          <w:spacing w:val="0"/>
          <w:kern w:val="0"/>
          <w:sz w:val="20"/>
          <w:rtl/>
          <w:lang/>
        </w:rPr>
        <w:t>سبل الانتصاف المحلية المتاحة.</w:t>
      </w:r>
    </w:p>
    <w:p w:rsidR="00523D40" w:rsidRPr="00523D40" w:rsidRDefault="00523D40" w:rsidP="00523D40">
      <w:pPr>
        <w:pStyle w:val="SingleTxtGA"/>
        <w:jc w:val="lowKashida"/>
        <w:rPr>
          <w:rFonts w:hint="cs"/>
          <w:spacing w:val="0"/>
          <w:kern w:val="0"/>
          <w:sz w:val="20"/>
          <w:szCs w:val="20"/>
          <w:rtl/>
        </w:rPr>
      </w:pPr>
      <w:r w:rsidRPr="00523D40">
        <w:rPr>
          <w:rFonts w:hint="cs"/>
          <w:spacing w:val="0"/>
          <w:kern w:val="0"/>
          <w:sz w:val="20"/>
          <w:rtl/>
          <w:lang w:val="fr-CH"/>
        </w:rPr>
        <w:t>8-3</w:t>
      </w:r>
      <w:r w:rsidRPr="00523D40">
        <w:rPr>
          <w:rFonts w:hint="cs"/>
          <w:spacing w:val="0"/>
          <w:kern w:val="0"/>
          <w:sz w:val="20"/>
          <w:rtl/>
          <w:lang w:val="fr-CH"/>
        </w:rPr>
        <w:tab/>
        <w:t>وتفيد الدولة الطرف بأن البلاغ غير مقبول لأن من الواضح أنه لا يستند إلى أي أساس</w:t>
      </w:r>
      <w:r w:rsidRPr="00523D40">
        <w:rPr>
          <w:rFonts w:hint="cs"/>
          <w:spacing w:val="0"/>
          <w:kern w:val="0"/>
          <w:sz w:val="20"/>
          <w:rtl/>
          <w:lang/>
        </w:rPr>
        <w:t xml:space="preserve">. </w:t>
      </w:r>
      <w:r w:rsidRPr="00523D40">
        <w:rPr>
          <w:rFonts w:hint="cs"/>
          <w:spacing w:val="0"/>
          <w:kern w:val="0"/>
          <w:sz w:val="20"/>
          <w:rtl/>
          <w:lang w:val="fr-CH"/>
        </w:rPr>
        <w:t xml:space="preserve">بيد أن اللجنة ترى أن الحجج التي عرضتها عليها صاحبة الشكوى تثير مسائل موضوعية ينبغي معالجتها بالاستناد إلى الأسس الموضوعية. وبناءً على ذلك، تخلص اللجنة إلى عدم وجود عوائق أخرى أمام المقبولية وتعلن البلاغ مقبولاً. وبالنظر إلى أن الدولة الطرف وصاحبة الشكوى قدمتا على حد سواء ملاحظات بشأن الأسس الموضوعية للبلاغ، </w:t>
      </w:r>
      <w:r w:rsidRPr="00523D40">
        <w:rPr>
          <w:rFonts w:hint="cs"/>
          <w:spacing w:val="0"/>
          <w:kern w:val="0"/>
          <w:sz w:val="20"/>
          <w:rtl/>
          <w:lang/>
        </w:rPr>
        <w:t>فإن اللجنة ستشرع مباشرة في النظر في الأسس الموضوعية.</w:t>
      </w:r>
    </w:p>
    <w:p w:rsidR="00523D40" w:rsidRPr="00523D40" w:rsidRDefault="00523D40" w:rsidP="00523D40">
      <w:pPr>
        <w:pStyle w:val="H4GA"/>
        <w:jc w:val="lowKashida"/>
        <w:rPr>
          <w:rFonts w:hint="cs"/>
          <w:spacing w:val="0"/>
          <w:kern w:val="0"/>
          <w:sz w:val="20"/>
          <w:rtl/>
          <w:lang w:val="en-CA"/>
        </w:rPr>
      </w:pPr>
      <w:r w:rsidRPr="00523D40">
        <w:rPr>
          <w:rFonts w:hint="cs"/>
          <w:spacing w:val="0"/>
          <w:kern w:val="0"/>
          <w:sz w:val="20"/>
          <w:rtl/>
          <w:lang w:val="en-CA"/>
        </w:rPr>
        <w:tab/>
      </w:r>
      <w:r w:rsidRPr="00523D40">
        <w:rPr>
          <w:rFonts w:hint="cs"/>
          <w:spacing w:val="0"/>
          <w:kern w:val="0"/>
          <w:sz w:val="20"/>
          <w:rtl/>
          <w:lang w:val="en-CA"/>
        </w:rPr>
        <w:tab/>
        <w:t>النظر في الأسس الموضوعية</w:t>
      </w:r>
    </w:p>
    <w:p w:rsidR="00523D40" w:rsidRPr="00523D40" w:rsidRDefault="00523D40" w:rsidP="00523D40">
      <w:pPr>
        <w:pStyle w:val="SingleTxtGA"/>
        <w:jc w:val="lowKashida"/>
        <w:rPr>
          <w:rFonts w:hint="cs"/>
          <w:spacing w:val="0"/>
          <w:kern w:val="0"/>
          <w:sz w:val="20"/>
          <w:rtl/>
        </w:rPr>
      </w:pPr>
      <w:r w:rsidRPr="00523D40">
        <w:rPr>
          <w:rFonts w:hint="cs"/>
          <w:spacing w:val="0"/>
          <w:kern w:val="0"/>
          <w:sz w:val="20"/>
          <w:rtl/>
        </w:rPr>
        <w:t>9-1</w:t>
      </w:r>
      <w:r w:rsidRPr="00523D40">
        <w:rPr>
          <w:rFonts w:hint="cs"/>
          <w:spacing w:val="0"/>
          <w:kern w:val="0"/>
          <w:sz w:val="20"/>
          <w:rtl/>
        </w:rPr>
        <w:tab/>
        <w:t>وفقاً للفقرة 4 من المادة 22 من الاتفاقية، نظرت اللجنة في هذا البلاغ في ضوء جميع المعلومات التي أتاحها لها الطرفان المعنيان.</w:t>
      </w:r>
    </w:p>
    <w:p w:rsidR="00523D40" w:rsidRPr="00523D40" w:rsidRDefault="00523D40" w:rsidP="00523D40">
      <w:pPr>
        <w:pStyle w:val="SingleTxtGA"/>
        <w:jc w:val="lowKashida"/>
        <w:rPr>
          <w:rFonts w:hint="cs"/>
          <w:spacing w:val="0"/>
          <w:kern w:val="0"/>
          <w:sz w:val="20"/>
          <w:rtl/>
          <w:lang/>
        </w:rPr>
      </w:pPr>
      <w:r w:rsidRPr="00523D40">
        <w:rPr>
          <w:rFonts w:hint="cs"/>
          <w:spacing w:val="0"/>
          <w:kern w:val="0"/>
          <w:sz w:val="20"/>
          <w:rtl/>
        </w:rPr>
        <w:t>9-2</w:t>
      </w:r>
      <w:r w:rsidRPr="00523D40">
        <w:rPr>
          <w:rFonts w:hint="cs"/>
          <w:spacing w:val="0"/>
          <w:kern w:val="0"/>
          <w:sz w:val="20"/>
          <w:rtl/>
        </w:rPr>
        <w:tab/>
        <w:t>والمسألة المعروضة على نظر اللجنة هي</w:t>
      </w:r>
      <w:r w:rsidRPr="00523D40">
        <w:rPr>
          <w:rFonts w:hint="cs"/>
          <w:spacing w:val="0"/>
          <w:kern w:val="0"/>
          <w:sz w:val="20"/>
          <w:rtl/>
          <w:lang/>
        </w:rPr>
        <w:t xml:space="preserve"> ما إذا كان طرد صاحبة الشكوى إلى بوروندي سيشكل انتهاكاً لالتزام الدولة الطرف بموجب المادة 3 من الاتفاقية </w:t>
      </w:r>
      <w:r w:rsidRPr="00523D40">
        <w:rPr>
          <w:rFonts w:hint="cs"/>
          <w:spacing w:val="0"/>
          <w:kern w:val="0"/>
          <w:sz w:val="20"/>
          <w:rtl/>
          <w:lang w:val="fr-CH"/>
        </w:rPr>
        <w:t xml:space="preserve">بألا تطرد أي شخص أو تعيده </w:t>
      </w:r>
      <w:r w:rsidRPr="00523D40">
        <w:rPr>
          <w:rFonts w:hint="cs"/>
          <w:i/>
          <w:iCs/>
          <w:spacing w:val="0"/>
          <w:kern w:val="0"/>
          <w:sz w:val="20"/>
          <w:rtl/>
          <w:lang w:val="fr-CH"/>
        </w:rPr>
        <w:t>(ترده)</w:t>
      </w:r>
      <w:r w:rsidRPr="00523D40">
        <w:rPr>
          <w:rFonts w:hint="cs"/>
          <w:spacing w:val="0"/>
          <w:kern w:val="0"/>
          <w:sz w:val="20"/>
          <w:rtl/>
          <w:lang w:val="fr-CH"/>
        </w:rPr>
        <w:t xml:space="preserve"> إلى دولة أخرى إذا توافرت لديها أسباب حقيقية تدعو إلى الاعتقاد بأنه سيواجه خطر التعرض للتعذيب. وتلاحظ الدولة الطرف أن مسألة ما إذا كانت الدولة الطرف </w:t>
      </w:r>
      <w:r w:rsidRPr="00523D40">
        <w:rPr>
          <w:rFonts w:hint="cs"/>
          <w:spacing w:val="0"/>
          <w:kern w:val="0"/>
          <w:sz w:val="20"/>
          <w:rtl/>
          <w:lang/>
        </w:rPr>
        <w:t>ملزمة بالامتناع عن طرد شخص يمكن أن يواجه خطر التعذيب أو سوء المعاملة على يد كيان غير حكومي تدخل في نطاق المادة 3 من الاتفاقية في الحالات التي توافق فيها السلطات الحكومية في بلد العودة على هذا التصرف وتقبل به</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34"/>
      </w:r>
      <w:r w:rsidRPr="00523D40">
        <w:rPr>
          <w:rFonts w:hint="cs"/>
          <w:color w:val="000000"/>
          <w:spacing w:val="0"/>
          <w:kern w:val="0"/>
          <w:sz w:val="20"/>
          <w:szCs w:val="28"/>
          <w:vertAlign w:val="superscript"/>
          <w:rtl/>
          <w:lang w:val="en-CA"/>
        </w:rPr>
        <w:t>)</w:t>
      </w:r>
      <w:r w:rsidRPr="00523D40">
        <w:rPr>
          <w:rFonts w:hint="cs"/>
          <w:spacing w:val="0"/>
          <w:kern w:val="0"/>
          <w:sz w:val="20"/>
          <w:rtl/>
          <w:lang/>
        </w:rPr>
        <w:t xml:space="preserve">. ومع ذلك، فإن صاحبة الشكوى وإن كانت تدعي أنها فرت من بوروندي في البداية بسبب خوفها من الضرر الذي سيلحقها على يد ميليشيات الهوتو، فإنها لم تقدم أي دليل لدعم الادعاء الذي قالت فيه إنها سوف تواجه خطر اعتداء هذه الميليشيات عليها إذا عادت إلى بوروندي في الوقت الحاضر. </w:t>
      </w:r>
    </w:p>
    <w:p w:rsidR="00523D40" w:rsidRPr="00523D40" w:rsidRDefault="00523D40" w:rsidP="00523D40">
      <w:pPr>
        <w:pStyle w:val="SingleTxtGA"/>
        <w:jc w:val="lowKashida"/>
        <w:rPr>
          <w:rFonts w:hint="cs"/>
          <w:spacing w:val="0"/>
          <w:kern w:val="0"/>
          <w:sz w:val="20"/>
          <w:rtl/>
          <w:lang w:val="fr-CH"/>
        </w:rPr>
      </w:pPr>
      <w:r w:rsidRPr="00523D40">
        <w:rPr>
          <w:rFonts w:hint="cs"/>
          <w:spacing w:val="0"/>
          <w:kern w:val="0"/>
          <w:sz w:val="20"/>
          <w:rtl/>
          <w:lang/>
        </w:rPr>
        <w:t>9-3</w:t>
      </w:r>
      <w:r w:rsidRPr="00523D40">
        <w:rPr>
          <w:rFonts w:hint="cs"/>
          <w:spacing w:val="0"/>
          <w:kern w:val="0"/>
          <w:sz w:val="20"/>
          <w:rtl/>
          <w:lang/>
        </w:rPr>
        <w:tab/>
      </w:r>
      <w:r w:rsidRPr="00523D40">
        <w:rPr>
          <w:rFonts w:hint="cs"/>
          <w:spacing w:val="0"/>
          <w:kern w:val="0"/>
          <w:sz w:val="20"/>
          <w:rtl/>
          <w:lang w:val="fr-CH"/>
        </w:rPr>
        <w:t>وفيما يتعلق بادعاءات صاحبة الشكوى بأنها ستتعرض للسَّجن في بوروندي، وأن هذا السجن سيكون حتماً مصحوباً بسوء المعاملة والتعذيب والاغتصاب، يجب على اللجنة أن تقيّم ما إذا كانت هناك أسباب حقيقية تدعو إلى الاعتقاد بأن صاحبة الشكوى ستتعرض شخصياً لخطر التعذيب لدى عودتها إلى بلدها الأصلي. وفي أثناء تقييم هذا الخطر، يجب على اللجنة أن تراعي جميع الاعتبارات ذات الصلة، عملاً بالفقرة 2 من المادة 3 من الاتفاقية،   بما في ذلك وجود نمط ثابت من الانتهاكات الفادحة أو الصارخة أو الجماعية لحقوق الإنسان. بيد أن اللجنة تذكّر بأن الهدف من ذلك هو تحديد ما إذا كان صاحب الشكوى سيتعرض شخصياً لخطر متوقع وحقيقي بالتعذيب في البلد الذي سيُعاد إليه. ويعني ذلك أن وجود نمط من الانتهاكات الفادحة أو الصارخة أو الجماعية لحقوق الإنسان في بلد ما       لا يشكل في حد ذاته سبباً كافياً لأن تقرر اللجنة أن شخصاً بعينه سيتعرض لخطر التعذيب لدى عودته إلى ذلك البلد؛ ويجب أن تكون هناك أسباب إضافية تبين أن الفرد المعني سيواجه شخصياً هذا الخطر. وفي المقابل، فإن عدم وجود نمط ثابت من الانتهاكات الصارخة لحقوق الإنسان لا يعني أن شخصاً ما يمكن ألا يتعرض للتعذيب بحكم ظروفه الخاصة.</w:t>
      </w:r>
    </w:p>
    <w:p w:rsidR="00523D40" w:rsidRPr="00523D40" w:rsidRDefault="00523D40" w:rsidP="00523D40">
      <w:pPr>
        <w:pStyle w:val="SingleTxtGA"/>
        <w:jc w:val="lowKashida"/>
        <w:rPr>
          <w:rFonts w:hint="cs"/>
          <w:spacing w:val="0"/>
          <w:kern w:val="0"/>
          <w:sz w:val="20"/>
          <w:rtl/>
          <w:lang w:val="en-CA"/>
        </w:rPr>
      </w:pPr>
      <w:r w:rsidRPr="00523D40">
        <w:rPr>
          <w:rFonts w:hint="cs"/>
          <w:spacing w:val="0"/>
          <w:kern w:val="0"/>
          <w:sz w:val="20"/>
          <w:rtl/>
          <w:lang w:val="en-CA"/>
        </w:rPr>
        <w:t>9-4</w:t>
      </w:r>
      <w:r w:rsidRPr="00523D40">
        <w:rPr>
          <w:rFonts w:hint="cs"/>
          <w:spacing w:val="0"/>
          <w:kern w:val="0"/>
          <w:sz w:val="20"/>
          <w:rtl/>
          <w:lang w:val="en-CA"/>
        </w:rPr>
        <w:tab/>
      </w:r>
      <w:r w:rsidRPr="00523D40">
        <w:rPr>
          <w:rFonts w:hint="cs"/>
          <w:spacing w:val="0"/>
          <w:kern w:val="0"/>
          <w:sz w:val="20"/>
          <w:rtl/>
        </w:rPr>
        <w:t>وتشير اللجنة إلى تعليقها العام بشأن تنفيذ المادة 3 من الاتفاقية، والذي جاء فيه أن خطر التعذيب يجب أن يُقدَّر على أسس تتجاوز مجرد الافتراض أو الشك. ولئن كان من غير الضروري إثبات أن هذا الخطر "مرجح وقوعه بشدة"</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35"/>
      </w:r>
      <w:r w:rsidRPr="00523D40">
        <w:rPr>
          <w:rFonts w:hint="cs"/>
          <w:color w:val="000000"/>
          <w:spacing w:val="0"/>
          <w:kern w:val="0"/>
          <w:sz w:val="20"/>
          <w:szCs w:val="28"/>
          <w:vertAlign w:val="superscript"/>
          <w:rtl/>
          <w:lang w:val="en-CA"/>
        </w:rPr>
        <w:t>)</w:t>
      </w:r>
      <w:r w:rsidRPr="00523D40">
        <w:rPr>
          <w:rFonts w:hint="cs"/>
          <w:spacing w:val="0"/>
          <w:kern w:val="0"/>
          <w:sz w:val="20"/>
          <w:rtl/>
        </w:rPr>
        <w:t>، فإن اللجنة تذكّر بأن عبء الإثبات يقع بشكل عام على صاحب الشكوى، الذي يتعين عليه تقديم حجج يمكن الدفاع عنها تثبت أنه يواجه خطراً "متوقعاً وحقيقياً وشخصياً"</w:t>
      </w:r>
      <w:r w:rsidRPr="00523D40">
        <w:rPr>
          <w:rFonts w:hint="cs"/>
          <w:color w:val="000000"/>
          <w:spacing w:val="0"/>
          <w:kern w:val="0"/>
          <w:sz w:val="20"/>
          <w:szCs w:val="28"/>
          <w:vertAlign w:val="superscript"/>
          <w:rtl/>
          <w:lang w:val="en-CA"/>
        </w:rPr>
        <w:t>(</w:t>
      </w:r>
      <w:r w:rsidRPr="00523D40">
        <w:rPr>
          <w:color w:val="000000"/>
          <w:spacing w:val="0"/>
          <w:kern w:val="0"/>
          <w:sz w:val="20"/>
          <w:szCs w:val="28"/>
          <w:vertAlign w:val="superscript"/>
          <w:rtl/>
        </w:rPr>
        <w:footnoteReference w:id="336"/>
      </w:r>
      <w:r w:rsidRPr="00523D40">
        <w:rPr>
          <w:rFonts w:hint="cs"/>
          <w:color w:val="000000"/>
          <w:spacing w:val="0"/>
          <w:kern w:val="0"/>
          <w:sz w:val="20"/>
          <w:szCs w:val="28"/>
          <w:vertAlign w:val="superscript"/>
          <w:rtl/>
          <w:lang w:val="en-CA"/>
        </w:rPr>
        <w:t>)</w:t>
      </w:r>
      <w:r w:rsidRPr="00523D40">
        <w:rPr>
          <w:rFonts w:hint="cs"/>
          <w:spacing w:val="0"/>
          <w:kern w:val="0"/>
          <w:sz w:val="20"/>
          <w:rtl/>
        </w:rPr>
        <w:t xml:space="preserve">. </w:t>
      </w:r>
      <w:r w:rsidRPr="00523D40">
        <w:rPr>
          <w:rFonts w:hint="cs"/>
          <w:spacing w:val="0"/>
          <w:kern w:val="0"/>
          <w:sz w:val="20"/>
          <w:rtl/>
          <w:lang w:val="en-CA"/>
        </w:rPr>
        <w:t>وتشير اللجنة كذلك إلى أنها تولي، وفقاً لتعليقها العام رقم 1، قدراً كبيراً من الأهمية لنتائج الوقائع التي توصلت إليها هيئات الدولة الطرف المعنية</w:t>
      </w:r>
      <w:r w:rsidRPr="00523D40">
        <w:rPr>
          <w:rFonts w:hint="cs"/>
          <w:spacing w:val="0"/>
          <w:kern w:val="0"/>
          <w:sz w:val="20"/>
          <w:szCs w:val="28"/>
          <w:vertAlign w:val="superscript"/>
          <w:rtl/>
          <w:lang w:val="en-CA"/>
        </w:rPr>
        <w:t>(</w:t>
      </w:r>
      <w:r w:rsidRPr="00523D40">
        <w:rPr>
          <w:rStyle w:val="FootnoteReference"/>
          <w:spacing w:val="0"/>
          <w:sz w:val="20"/>
          <w:rtl/>
          <w:lang w:val="en-CA"/>
        </w:rPr>
        <w:footnoteReference w:id="337"/>
      </w:r>
      <w:r w:rsidRPr="00523D40">
        <w:rPr>
          <w:rFonts w:hint="cs"/>
          <w:spacing w:val="0"/>
          <w:kern w:val="0"/>
          <w:sz w:val="20"/>
          <w:szCs w:val="28"/>
          <w:vertAlign w:val="superscript"/>
          <w:rtl/>
          <w:lang w:val="en-CA"/>
        </w:rPr>
        <w:t>)</w:t>
      </w:r>
      <w:r w:rsidRPr="00523D40">
        <w:rPr>
          <w:rFonts w:hint="cs"/>
          <w:spacing w:val="0"/>
          <w:kern w:val="0"/>
          <w:sz w:val="20"/>
          <w:rtl/>
          <w:lang w:val="en-CA"/>
        </w:rPr>
        <w:t>،</w:t>
      </w:r>
      <w:r w:rsidRPr="00523D40">
        <w:rPr>
          <w:rFonts w:hint="cs"/>
          <w:spacing w:val="0"/>
          <w:kern w:val="0"/>
          <w:sz w:val="20"/>
          <w:szCs w:val="28"/>
          <w:rtl/>
          <w:lang w:val="en-CA"/>
        </w:rPr>
        <w:t xml:space="preserve"> </w:t>
      </w:r>
      <w:r w:rsidRPr="00523D40">
        <w:rPr>
          <w:rFonts w:hint="cs"/>
          <w:spacing w:val="0"/>
          <w:kern w:val="0"/>
          <w:sz w:val="20"/>
          <w:rtl/>
          <w:lang w:val="en-CA"/>
        </w:rPr>
        <w:t>في حين أنها غير ملزمة في الوقت نفسه بالأخذ بهذه النتائج؛ بل إن لديها السلطة اللازمة، بموجب الفقرة 4 من المادة 22 من الاتفاقية، لإجراء تقييم حر للوقائع استناداً إلى المجموعة الكاملة لظروف كل قضية.</w:t>
      </w:r>
    </w:p>
    <w:p w:rsidR="00523D40" w:rsidRPr="00523D40" w:rsidRDefault="00523D40" w:rsidP="00523D40">
      <w:pPr>
        <w:pStyle w:val="SingleTxtGA"/>
        <w:jc w:val="lowKashida"/>
        <w:rPr>
          <w:color w:val="000000"/>
          <w:spacing w:val="0"/>
          <w:kern w:val="0"/>
          <w:sz w:val="20"/>
          <w:lang w:val="en-CA"/>
        </w:rPr>
      </w:pPr>
      <w:r w:rsidRPr="00523D40">
        <w:rPr>
          <w:color w:val="000000"/>
          <w:spacing w:val="0"/>
          <w:kern w:val="0"/>
          <w:sz w:val="20"/>
          <w:rtl/>
          <w:lang w:val="en-CA"/>
        </w:rPr>
        <w:t>9-5</w:t>
      </w:r>
      <w:r w:rsidRPr="00523D40">
        <w:rPr>
          <w:color w:val="000000"/>
          <w:spacing w:val="0"/>
          <w:kern w:val="0"/>
          <w:sz w:val="20"/>
          <w:rtl/>
          <w:lang w:val="en-CA"/>
        </w:rPr>
        <w:tab/>
      </w:r>
      <w:r w:rsidRPr="00523D40">
        <w:rPr>
          <w:color w:val="000000"/>
          <w:spacing w:val="0"/>
          <w:kern w:val="0"/>
          <w:sz w:val="20"/>
          <w:rtl/>
        </w:rPr>
        <w:t>وفي هذه ال</w:t>
      </w:r>
      <w:r w:rsidRPr="00523D40">
        <w:rPr>
          <w:rFonts w:hint="cs"/>
          <w:color w:val="000000"/>
          <w:spacing w:val="0"/>
          <w:kern w:val="0"/>
          <w:sz w:val="20"/>
          <w:rtl/>
        </w:rPr>
        <w:t>قضية</w:t>
      </w:r>
      <w:r w:rsidRPr="00523D40">
        <w:rPr>
          <w:color w:val="000000"/>
          <w:spacing w:val="0"/>
          <w:kern w:val="0"/>
          <w:sz w:val="20"/>
          <w:rtl/>
        </w:rPr>
        <w:t xml:space="preserve">، تلاحظ اللجنة أن الدولة الطرف قد </w:t>
      </w:r>
      <w:r w:rsidRPr="00523D40">
        <w:rPr>
          <w:rFonts w:hint="cs"/>
          <w:color w:val="000000"/>
          <w:spacing w:val="0"/>
          <w:kern w:val="0"/>
          <w:sz w:val="20"/>
          <w:rtl/>
        </w:rPr>
        <w:t>أقرّت وراعت</w:t>
      </w:r>
      <w:r w:rsidRPr="00523D40">
        <w:rPr>
          <w:color w:val="000000"/>
          <w:spacing w:val="0"/>
          <w:kern w:val="0"/>
          <w:sz w:val="20"/>
          <w:rtl/>
        </w:rPr>
        <w:t xml:space="preserve"> حقيقة أن سجل حقوق الإنسان في بوروندي </w:t>
      </w:r>
      <w:r w:rsidRPr="00523D40">
        <w:rPr>
          <w:rFonts w:hint="cs"/>
          <w:color w:val="000000"/>
          <w:spacing w:val="0"/>
          <w:kern w:val="0"/>
          <w:sz w:val="20"/>
          <w:rtl/>
        </w:rPr>
        <w:t>لا يزال هزيلاً حتى الآن</w:t>
      </w:r>
      <w:r w:rsidRPr="00523D40">
        <w:rPr>
          <w:rFonts w:hint="cs"/>
          <w:spacing w:val="0"/>
          <w:kern w:val="0"/>
          <w:sz w:val="20"/>
          <w:szCs w:val="28"/>
          <w:vertAlign w:val="superscript"/>
          <w:rtl/>
          <w:lang w:val="en-CA"/>
        </w:rPr>
        <w:t>(</w:t>
      </w:r>
      <w:r w:rsidRPr="00523D40">
        <w:rPr>
          <w:rStyle w:val="FootnoteReference"/>
          <w:spacing w:val="0"/>
          <w:sz w:val="20"/>
          <w:rtl/>
          <w:lang w:val="en-CA"/>
        </w:rPr>
        <w:footnoteReference w:id="338"/>
      </w:r>
      <w:r w:rsidRPr="00523D40">
        <w:rPr>
          <w:rFonts w:hint="cs"/>
          <w:spacing w:val="0"/>
          <w:kern w:val="0"/>
          <w:sz w:val="20"/>
          <w:szCs w:val="28"/>
          <w:vertAlign w:val="superscript"/>
          <w:rtl/>
          <w:lang w:val="en-CA"/>
        </w:rPr>
        <w:t>)</w:t>
      </w:r>
      <w:r w:rsidRPr="00523D40">
        <w:rPr>
          <w:rFonts w:hint="cs"/>
          <w:spacing w:val="0"/>
          <w:kern w:val="0"/>
          <w:sz w:val="20"/>
          <w:rtl/>
          <w:lang w:val="en-CA"/>
        </w:rPr>
        <w:t>،</w:t>
      </w:r>
      <w:r w:rsidRPr="00523D40">
        <w:rPr>
          <w:color w:val="000000"/>
          <w:spacing w:val="0"/>
          <w:kern w:val="0"/>
          <w:sz w:val="20"/>
          <w:rtl/>
        </w:rPr>
        <w:t xml:space="preserve"> وأن الحالة العامة لحقوق الإنسان في بوروندي </w:t>
      </w:r>
      <w:r w:rsidRPr="00523D40">
        <w:rPr>
          <w:rFonts w:hint="cs"/>
          <w:color w:val="000000"/>
          <w:spacing w:val="0"/>
          <w:kern w:val="0"/>
          <w:sz w:val="20"/>
          <w:rtl/>
        </w:rPr>
        <w:t>لا تزال</w:t>
      </w:r>
      <w:r w:rsidRPr="00523D40">
        <w:rPr>
          <w:color w:val="000000"/>
          <w:spacing w:val="0"/>
          <w:kern w:val="0"/>
          <w:sz w:val="20"/>
          <w:rtl/>
        </w:rPr>
        <w:t xml:space="preserve"> </w:t>
      </w:r>
      <w:r w:rsidRPr="00523D40">
        <w:rPr>
          <w:rFonts w:hint="cs"/>
          <w:color w:val="000000"/>
          <w:spacing w:val="0"/>
          <w:kern w:val="0"/>
          <w:sz w:val="20"/>
          <w:rtl/>
        </w:rPr>
        <w:t>بعيدة كل البعد عن الاستقرار</w:t>
      </w:r>
      <w:r w:rsidRPr="00523D40">
        <w:rPr>
          <w:color w:val="000000"/>
          <w:spacing w:val="0"/>
          <w:kern w:val="0"/>
          <w:sz w:val="20"/>
          <w:rtl/>
        </w:rPr>
        <w:t xml:space="preserve"> بعد الحرب الأهلية الطويلة بين</w:t>
      </w:r>
      <w:r w:rsidRPr="00523D40">
        <w:rPr>
          <w:rFonts w:hint="cs"/>
          <w:color w:val="000000"/>
          <w:spacing w:val="0"/>
          <w:kern w:val="0"/>
          <w:sz w:val="20"/>
          <w:rtl/>
        </w:rPr>
        <w:t xml:space="preserve"> الحكومة التي يهيمن عليها</w:t>
      </w:r>
      <w:r w:rsidRPr="00523D40">
        <w:rPr>
          <w:color w:val="000000"/>
          <w:spacing w:val="0"/>
          <w:kern w:val="0"/>
          <w:sz w:val="20"/>
          <w:rtl/>
        </w:rPr>
        <w:t xml:space="preserve"> التوتسي وجماعات المتمردين </w:t>
      </w:r>
      <w:r w:rsidRPr="00523D40">
        <w:rPr>
          <w:rFonts w:hint="cs"/>
          <w:color w:val="000000"/>
          <w:spacing w:val="0"/>
          <w:kern w:val="0"/>
          <w:sz w:val="20"/>
          <w:rtl/>
        </w:rPr>
        <w:t>التي يهيمن عليها الهوتو. ومع ذلك،</w:t>
      </w:r>
      <w:r w:rsidRPr="00523D40">
        <w:rPr>
          <w:color w:val="000000"/>
          <w:spacing w:val="0"/>
          <w:kern w:val="0"/>
          <w:sz w:val="20"/>
          <w:rtl/>
        </w:rPr>
        <w:t xml:space="preserve"> </w:t>
      </w:r>
      <w:r w:rsidRPr="00523D40">
        <w:rPr>
          <w:rFonts w:hint="cs"/>
          <w:color w:val="000000"/>
          <w:spacing w:val="0"/>
          <w:kern w:val="0"/>
          <w:sz w:val="20"/>
          <w:rtl/>
        </w:rPr>
        <w:t>فإن سلطات الهجرة في الدولة الطرف والمحاكم لم</w:t>
      </w:r>
      <w:r w:rsidRPr="00523D40">
        <w:rPr>
          <w:color w:val="000000"/>
          <w:spacing w:val="0"/>
          <w:kern w:val="0"/>
          <w:sz w:val="20"/>
          <w:rtl/>
        </w:rPr>
        <w:t xml:space="preserve"> </w:t>
      </w:r>
      <w:r w:rsidRPr="00523D40">
        <w:rPr>
          <w:rFonts w:hint="cs"/>
          <w:color w:val="000000"/>
          <w:spacing w:val="0"/>
          <w:kern w:val="0"/>
          <w:sz w:val="20"/>
          <w:rtl/>
        </w:rPr>
        <w:t xml:space="preserve">تقلل </w:t>
      </w:r>
      <w:r w:rsidRPr="00523D40">
        <w:rPr>
          <w:color w:val="000000"/>
          <w:spacing w:val="0"/>
          <w:kern w:val="0"/>
          <w:sz w:val="20"/>
          <w:rtl/>
        </w:rPr>
        <w:t>من شأن ال</w:t>
      </w:r>
      <w:r w:rsidRPr="00523D40">
        <w:rPr>
          <w:rFonts w:hint="cs"/>
          <w:color w:val="000000"/>
          <w:spacing w:val="0"/>
          <w:kern w:val="0"/>
          <w:sz w:val="20"/>
          <w:rtl/>
        </w:rPr>
        <w:t>شواغل</w:t>
      </w:r>
      <w:r w:rsidRPr="00523D40">
        <w:rPr>
          <w:color w:val="000000"/>
          <w:spacing w:val="0"/>
          <w:kern w:val="0"/>
          <w:sz w:val="20"/>
          <w:rtl/>
        </w:rPr>
        <w:t xml:space="preserve"> التي </w:t>
      </w:r>
      <w:r w:rsidRPr="00523D40">
        <w:rPr>
          <w:rFonts w:hint="cs"/>
          <w:color w:val="000000"/>
          <w:spacing w:val="0"/>
          <w:kern w:val="0"/>
          <w:sz w:val="20"/>
          <w:rtl/>
        </w:rPr>
        <w:t>ربما كان الإعراب عنها</w:t>
      </w:r>
      <w:r w:rsidRPr="00523D40">
        <w:rPr>
          <w:color w:val="000000"/>
          <w:spacing w:val="0"/>
          <w:kern w:val="0"/>
          <w:sz w:val="20"/>
          <w:rtl/>
        </w:rPr>
        <w:t xml:space="preserve"> </w:t>
      </w:r>
      <w:r w:rsidRPr="00523D40">
        <w:rPr>
          <w:rFonts w:hint="cs"/>
          <w:color w:val="000000"/>
          <w:spacing w:val="0"/>
          <w:kern w:val="0"/>
          <w:sz w:val="20"/>
          <w:rtl/>
        </w:rPr>
        <w:t xml:space="preserve">مشروعاً </w:t>
      </w:r>
      <w:r w:rsidRPr="00523D40">
        <w:rPr>
          <w:color w:val="000000"/>
          <w:spacing w:val="0"/>
          <w:kern w:val="0"/>
          <w:sz w:val="20"/>
          <w:rtl/>
        </w:rPr>
        <w:t xml:space="preserve">فيما يتعلق بالحالة الراهنة لحقوق الإنسان في بوروندي، </w:t>
      </w:r>
      <w:r w:rsidRPr="00523D40">
        <w:rPr>
          <w:rFonts w:hint="cs"/>
          <w:color w:val="000000"/>
          <w:spacing w:val="0"/>
          <w:kern w:val="0"/>
          <w:sz w:val="20"/>
          <w:rtl/>
        </w:rPr>
        <w:t>إلاّ أنها رأت أن</w:t>
      </w:r>
      <w:r w:rsidRPr="00523D40">
        <w:rPr>
          <w:color w:val="000000"/>
          <w:spacing w:val="0"/>
          <w:kern w:val="0"/>
          <w:sz w:val="20"/>
          <w:rtl/>
        </w:rPr>
        <w:t xml:space="preserve"> الظروف السائدة في </w:t>
      </w:r>
      <w:r w:rsidRPr="00523D40">
        <w:rPr>
          <w:rFonts w:hint="cs"/>
          <w:color w:val="000000"/>
          <w:spacing w:val="0"/>
          <w:kern w:val="0"/>
          <w:sz w:val="20"/>
          <w:rtl/>
        </w:rPr>
        <w:t>هذا</w:t>
      </w:r>
      <w:r w:rsidRPr="00523D40">
        <w:rPr>
          <w:color w:val="000000"/>
          <w:spacing w:val="0"/>
          <w:kern w:val="0"/>
          <w:sz w:val="20"/>
          <w:rtl/>
        </w:rPr>
        <w:t xml:space="preserve"> البلد </w:t>
      </w:r>
      <w:r w:rsidRPr="00523D40">
        <w:rPr>
          <w:rFonts w:hint="cs"/>
          <w:color w:val="000000"/>
          <w:spacing w:val="0"/>
          <w:kern w:val="0"/>
          <w:sz w:val="20"/>
          <w:rtl/>
        </w:rPr>
        <w:t>ليست</w:t>
      </w:r>
      <w:r w:rsidRPr="00523D40">
        <w:rPr>
          <w:color w:val="000000"/>
          <w:spacing w:val="0"/>
          <w:kern w:val="0"/>
          <w:sz w:val="20"/>
          <w:rtl/>
        </w:rPr>
        <w:t xml:space="preserve"> في حد ذاتها</w:t>
      </w:r>
      <w:r w:rsidRPr="00523D40">
        <w:rPr>
          <w:rFonts w:hint="cs"/>
          <w:color w:val="000000"/>
          <w:spacing w:val="0"/>
          <w:kern w:val="0"/>
          <w:sz w:val="20"/>
          <w:rtl/>
        </w:rPr>
        <w:t xml:space="preserve"> كافية</w:t>
      </w:r>
      <w:r w:rsidRPr="00523D40">
        <w:rPr>
          <w:color w:val="000000"/>
          <w:spacing w:val="0"/>
          <w:kern w:val="0"/>
          <w:sz w:val="20"/>
          <w:rtl/>
        </w:rPr>
        <w:t xml:space="preserve"> لإثبات أن </w:t>
      </w:r>
      <w:r w:rsidRPr="00523D40">
        <w:rPr>
          <w:rFonts w:hint="cs"/>
          <w:color w:val="000000"/>
          <w:spacing w:val="0"/>
          <w:kern w:val="0"/>
          <w:sz w:val="20"/>
          <w:rtl/>
        </w:rPr>
        <w:t>ال</w:t>
      </w:r>
      <w:r w:rsidRPr="00523D40">
        <w:rPr>
          <w:color w:val="000000"/>
          <w:spacing w:val="0"/>
          <w:kern w:val="0"/>
          <w:sz w:val="20"/>
          <w:rtl/>
        </w:rPr>
        <w:t>عودة</w:t>
      </w:r>
      <w:r w:rsidRPr="00523D40">
        <w:rPr>
          <w:rFonts w:hint="cs"/>
          <w:color w:val="000000"/>
          <w:spacing w:val="0"/>
          <w:kern w:val="0"/>
          <w:sz w:val="20"/>
          <w:rtl/>
        </w:rPr>
        <w:t xml:space="preserve"> القسرية</w:t>
      </w:r>
      <w:r w:rsidRPr="00523D40">
        <w:rPr>
          <w:color w:val="000000"/>
          <w:spacing w:val="0"/>
          <w:kern w:val="0"/>
          <w:sz w:val="20"/>
          <w:rtl/>
        </w:rPr>
        <w:t xml:space="preserve"> </w:t>
      </w:r>
      <w:r w:rsidRPr="00523D40">
        <w:rPr>
          <w:rFonts w:hint="cs"/>
          <w:color w:val="000000"/>
          <w:spacing w:val="0"/>
          <w:kern w:val="0"/>
          <w:sz w:val="20"/>
          <w:rtl/>
        </w:rPr>
        <w:t>ل</w:t>
      </w:r>
      <w:r w:rsidRPr="00523D40">
        <w:rPr>
          <w:color w:val="000000"/>
          <w:spacing w:val="0"/>
          <w:kern w:val="0"/>
          <w:sz w:val="20"/>
          <w:rtl/>
        </w:rPr>
        <w:t>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إلى</w:t>
      </w:r>
      <w:r w:rsidRPr="00523D40">
        <w:rPr>
          <w:color w:val="000000"/>
          <w:spacing w:val="0"/>
          <w:kern w:val="0"/>
          <w:sz w:val="20"/>
          <w:rtl/>
        </w:rPr>
        <w:t xml:space="preserve"> بوروندي </w:t>
      </w:r>
      <w:r w:rsidRPr="00523D40">
        <w:rPr>
          <w:rFonts w:hint="cs"/>
          <w:color w:val="000000"/>
          <w:spacing w:val="0"/>
          <w:kern w:val="0"/>
          <w:sz w:val="20"/>
          <w:rtl/>
        </w:rPr>
        <w:t>تشكل انتهاكاً</w:t>
      </w:r>
      <w:r w:rsidRPr="00523D40">
        <w:rPr>
          <w:color w:val="000000"/>
          <w:spacing w:val="0"/>
          <w:kern w:val="0"/>
          <w:sz w:val="20"/>
          <w:rtl/>
        </w:rPr>
        <w:t xml:space="preserve"> للمادة 3 من الاتفاقية</w:t>
      </w:r>
      <w:r w:rsidRPr="00523D40">
        <w:rPr>
          <w:color w:val="000000"/>
          <w:spacing w:val="0"/>
          <w:kern w:val="0"/>
          <w:sz w:val="20"/>
        </w:rPr>
        <w:t>.</w:t>
      </w:r>
    </w:p>
    <w:p w:rsidR="00523D40" w:rsidRPr="00523D40" w:rsidRDefault="00523D40" w:rsidP="00523D40">
      <w:pPr>
        <w:pStyle w:val="SingleTxtGA"/>
        <w:jc w:val="lowKashida"/>
        <w:rPr>
          <w:color w:val="000000"/>
          <w:spacing w:val="0"/>
          <w:kern w:val="0"/>
          <w:sz w:val="20"/>
          <w:szCs w:val="20"/>
          <w:rtl/>
        </w:rPr>
      </w:pPr>
      <w:r w:rsidRPr="00523D40">
        <w:rPr>
          <w:color w:val="000000"/>
          <w:spacing w:val="0"/>
          <w:kern w:val="0"/>
          <w:sz w:val="20"/>
          <w:rtl/>
          <w:lang w:val="en-CA"/>
        </w:rPr>
        <w:t>9-6</w:t>
      </w:r>
      <w:r w:rsidRPr="00523D40">
        <w:rPr>
          <w:color w:val="000000"/>
          <w:spacing w:val="0"/>
          <w:kern w:val="0"/>
          <w:sz w:val="20"/>
          <w:rtl/>
          <w:lang w:val="en-CA"/>
        </w:rPr>
        <w:tab/>
      </w:r>
      <w:r w:rsidRPr="00523D40">
        <w:rPr>
          <w:color w:val="000000"/>
          <w:spacing w:val="0"/>
          <w:kern w:val="0"/>
          <w:sz w:val="20"/>
          <w:rtl/>
        </w:rPr>
        <w:t>وتلاحظ اللجنة أيضا</w:t>
      </w:r>
      <w:r w:rsidRPr="00523D40">
        <w:rPr>
          <w:rFonts w:hint="cs"/>
          <w:color w:val="000000"/>
          <w:spacing w:val="0"/>
          <w:kern w:val="0"/>
          <w:sz w:val="20"/>
          <w:rtl/>
        </w:rPr>
        <w:t>ً</w:t>
      </w:r>
      <w:r w:rsidRPr="00523D40">
        <w:rPr>
          <w:color w:val="000000"/>
          <w:spacing w:val="0"/>
          <w:kern w:val="0"/>
          <w:sz w:val="20"/>
          <w:rtl/>
        </w:rPr>
        <w:t xml:space="preserve"> أن الدولة الطرف قد </w:t>
      </w:r>
      <w:r w:rsidRPr="00523D40">
        <w:rPr>
          <w:rFonts w:hint="cs"/>
          <w:color w:val="000000"/>
          <w:spacing w:val="0"/>
          <w:kern w:val="0"/>
          <w:sz w:val="20"/>
          <w:rtl/>
        </w:rPr>
        <w:t>وجهت</w:t>
      </w:r>
      <w:r w:rsidRPr="00523D40">
        <w:rPr>
          <w:color w:val="000000"/>
          <w:spacing w:val="0"/>
          <w:kern w:val="0"/>
          <w:sz w:val="20"/>
          <w:rtl/>
        </w:rPr>
        <w:t xml:space="preserve"> الانتباه إلى تناقضات عديدة وتناقضات </w:t>
      </w:r>
      <w:r w:rsidRPr="00523D40">
        <w:rPr>
          <w:rFonts w:hint="cs"/>
          <w:color w:val="000000"/>
          <w:spacing w:val="0"/>
          <w:kern w:val="0"/>
          <w:sz w:val="20"/>
          <w:rtl/>
        </w:rPr>
        <w:t xml:space="preserve">خطيرة في رواية صاحبة الشكوى للوقائع وفي الإفادات التي قدمتها، والتي تشكك في مصداقيتها العامة </w:t>
      </w:r>
      <w:r w:rsidRPr="00523D40">
        <w:rPr>
          <w:color w:val="000000"/>
          <w:spacing w:val="0"/>
          <w:kern w:val="0"/>
          <w:sz w:val="20"/>
          <w:rtl/>
        </w:rPr>
        <w:t>و</w:t>
      </w:r>
      <w:r w:rsidRPr="00523D40">
        <w:rPr>
          <w:rFonts w:hint="cs"/>
          <w:color w:val="000000"/>
          <w:spacing w:val="0"/>
          <w:kern w:val="0"/>
          <w:sz w:val="20"/>
          <w:rtl/>
        </w:rPr>
        <w:t xml:space="preserve">في </w:t>
      </w:r>
      <w:r w:rsidRPr="00523D40">
        <w:rPr>
          <w:color w:val="000000"/>
          <w:spacing w:val="0"/>
          <w:kern w:val="0"/>
          <w:sz w:val="20"/>
          <w:rtl/>
        </w:rPr>
        <w:t>صحة ادعاءاتها. كما تحيط اللجنة علما</w:t>
      </w:r>
      <w:r w:rsidRPr="00523D40">
        <w:rPr>
          <w:rFonts w:hint="cs"/>
          <w:color w:val="000000"/>
          <w:spacing w:val="0"/>
          <w:kern w:val="0"/>
          <w:sz w:val="20"/>
          <w:rtl/>
        </w:rPr>
        <w:t>ً</w:t>
      </w:r>
      <w:r w:rsidRPr="00523D40">
        <w:rPr>
          <w:color w:val="000000"/>
          <w:spacing w:val="0"/>
          <w:kern w:val="0"/>
          <w:sz w:val="20"/>
          <w:rtl/>
        </w:rPr>
        <w:t xml:space="preserve"> بالمعلومات ا</w:t>
      </w:r>
      <w:r w:rsidRPr="00523D40">
        <w:rPr>
          <w:rFonts w:hint="cs"/>
          <w:color w:val="000000"/>
          <w:spacing w:val="0"/>
          <w:kern w:val="0"/>
          <w:sz w:val="20"/>
          <w:rtl/>
        </w:rPr>
        <w:t xml:space="preserve">لتي قدمتها </w:t>
      </w:r>
      <w:r w:rsidRPr="00523D40">
        <w:rPr>
          <w:color w:val="000000"/>
          <w:spacing w:val="0"/>
          <w:kern w:val="0"/>
          <w:sz w:val="20"/>
          <w:rtl/>
        </w:rPr>
        <w:t>صاحب</w:t>
      </w:r>
      <w:r w:rsidRPr="00523D40">
        <w:rPr>
          <w:rFonts w:hint="cs"/>
          <w:color w:val="000000"/>
          <w:spacing w:val="0"/>
          <w:kern w:val="0"/>
          <w:sz w:val="20"/>
          <w:rtl/>
        </w:rPr>
        <w:t>ة</w:t>
      </w:r>
      <w:r w:rsidRPr="00523D40">
        <w:rPr>
          <w:color w:val="000000"/>
          <w:spacing w:val="0"/>
          <w:kern w:val="0"/>
          <w:sz w:val="20"/>
          <w:rtl/>
        </w:rPr>
        <w:t xml:space="preserve"> الشكوى </w:t>
      </w:r>
      <w:r w:rsidRPr="00523D40">
        <w:rPr>
          <w:rFonts w:hint="cs"/>
          <w:color w:val="000000"/>
          <w:spacing w:val="0"/>
          <w:kern w:val="0"/>
          <w:sz w:val="20"/>
          <w:rtl/>
        </w:rPr>
        <w:t>بشأن</w:t>
      </w:r>
      <w:r w:rsidRPr="00523D40">
        <w:rPr>
          <w:color w:val="000000"/>
          <w:spacing w:val="0"/>
          <w:kern w:val="0"/>
          <w:sz w:val="20"/>
          <w:rtl/>
        </w:rPr>
        <w:t xml:space="preserve"> هذه النقاط</w:t>
      </w:r>
      <w:r w:rsidRPr="00523D40">
        <w:rPr>
          <w:color w:val="000000"/>
          <w:spacing w:val="0"/>
          <w:kern w:val="0"/>
          <w:sz w:val="20"/>
          <w:rtl/>
          <w:lang w:val="en-CA"/>
        </w:rPr>
        <w:t>.</w:t>
      </w:r>
    </w:p>
    <w:p w:rsidR="00523D40" w:rsidRPr="00523D40" w:rsidRDefault="00523D40" w:rsidP="00523D40">
      <w:pPr>
        <w:pStyle w:val="SingleTxtGA"/>
        <w:jc w:val="lowKashida"/>
        <w:rPr>
          <w:color w:val="000000"/>
          <w:spacing w:val="0"/>
          <w:kern w:val="0"/>
          <w:sz w:val="20"/>
          <w:rtl/>
        </w:rPr>
      </w:pPr>
      <w:r w:rsidRPr="00523D40">
        <w:rPr>
          <w:color w:val="000000"/>
          <w:spacing w:val="0"/>
          <w:kern w:val="0"/>
          <w:sz w:val="20"/>
          <w:rtl/>
          <w:lang w:val="en-CA"/>
        </w:rPr>
        <w:t>9-7</w:t>
      </w:r>
      <w:r w:rsidRPr="00523D40">
        <w:rPr>
          <w:color w:val="000000"/>
          <w:spacing w:val="0"/>
          <w:kern w:val="0"/>
          <w:sz w:val="20"/>
          <w:rtl/>
          <w:lang w:val="en-CA"/>
        </w:rPr>
        <w:tab/>
        <w:t>و</w:t>
      </w:r>
      <w:r w:rsidRPr="00523D40">
        <w:rPr>
          <w:color w:val="000000"/>
          <w:spacing w:val="0"/>
          <w:kern w:val="0"/>
          <w:sz w:val="20"/>
          <w:rtl/>
        </w:rPr>
        <w:t xml:space="preserve">فيما يتعلق </w:t>
      </w:r>
      <w:r w:rsidRPr="00523D40">
        <w:rPr>
          <w:rFonts w:hint="cs"/>
          <w:color w:val="000000"/>
          <w:spacing w:val="0"/>
          <w:kern w:val="0"/>
          <w:sz w:val="20"/>
          <w:rtl/>
        </w:rPr>
        <w:t>بإفادة صاحبة</w:t>
      </w:r>
      <w:r w:rsidRPr="00523D40">
        <w:rPr>
          <w:color w:val="000000"/>
          <w:spacing w:val="0"/>
          <w:kern w:val="0"/>
          <w:sz w:val="20"/>
          <w:rtl/>
        </w:rPr>
        <w:t xml:space="preserve"> الشكوى</w:t>
      </w:r>
      <w:r w:rsidRPr="00523D40">
        <w:rPr>
          <w:rFonts w:hint="cs"/>
          <w:color w:val="000000"/>
          <w:spacing w:val="0"/>
          <w:kern w:val="0"/>
          <w:sz w:val="20"/>
          <w:rtl/>
        </w:rPr>
        <w:t xml:space="preserve"> التي أكدت فيها إدانتها بالسجن </w:t>
      </w:r>
      <w:r w:rsidRPr="00523D40">
        <w:rPr>
          <w:color w:val="000000"/>
          <w:spacing w:val="0"/>
          <w:kern w:val="0"/>
          <w:sz w:val="20"/>
          <w:rtl/>
        </w:rPr>
        <w:t>لمدة 20 عاما</w:t>
      </w:r>
      <w:r w:rsidRPr="00523D40">
        <w:rPr>
          <w:rFonts w:hint="cs"/>
          <w:color w:val="000000"/>
          <w:spacing w:val="0"/>
          <w:kern w:val="0"/>
          <w:sz w:val="20"/>
          <w:rtl/>
        </w:rPr>
        <w:t>ً</w:t>
      </w:r>
      <w:r w:rsidRPr="00523D40">
        <w:rPr>
          <w:color w:val="000000"/>
          <w:spacing w:val="0"/>
          <w:kern w:val="0"/>
          <w:sz w:val="20"/>
          <w:rtl/>
        </w:rPr>
        <w:t xml:space="preserve"> بتهمة </w:t>
      </w:r>
      <w:r w:rsidRPr="00523D40">
        <w:rPr>
          <w:rFonts w:hint="cs"/>
          <w:color w:val="000000"/>
          <w:spacing w:val="0"/>
          <w:kern w:val="0"/>
          <w:sz w:val="20"/>
          <w:rtl/>
        </w:rPr>
        <w:t>ال</w:t>
      </w:r>
      <w:r w:rsidRPr="00523D40">
        <w:rPr>
          <w:color w:val="000000"/>
          <w:spacing w:val="0"/>
          <w:kern w:val="0"/>
          <w:sz w:val="20"/>
          <w:rtl/>
        </w:rPr>
        <w:t>مساعدة</w:t>
      </w:r>
      <w:r w:rsidRPr="00523D40">
        <w:rPr>
          <w:rFonts w:hint="cs"/>
          <w:color w:val="000000"/>
          <w:spacing w:val="0"/>
          <w:kern w:val="0"/>
          <w:sz w:val="20"/>
          <w:rtl/>
        </w:rPr>
        <w:t xml:space="preserve"> في أعمال </w:t>
      </w:r>
      <w:r w:rsidRPr="00523D40">
        <w:rPr>
          <w:color w:val="000000"/>
          <w:spacing w:val="0"/>
          <w:kern w:val="0"/>
          <w:sz w:val="20"/>
          <w:rtl/>
        </w:rPr>
        <w:t>القتل والسرقة</w:t>
      </w:r>
      <w:r w:rsidRPr="00523D40">
        <w:rPr>
          <w:rFonts w:hint="cs"/>
          <w:color w:val="000000"/>
          <w:spacing w:val="0"/>
          <w:kern w:val="0"/>
          <w:sz w:val="20"/>
          <w:rtl/>
        </w:rPr>
        <w:t>، وهي الأعمال التي تدعي أنها لم ترتكبها</w:t>
      </w:r>
      <w:r w:rsidRPr="00523D40">
        <w:rPr>
          <w:color w:val="000000"/>
          <w:spacing w:val="0"/>
          <w:kern w:val="0"/>
          <w:sz w:val="20"/>
          <w:rtl/>
        </w:rPr>
        <w:t xml:space="preserve">، </w:t>
      </w:r>
      <w:r w:rsidRPr="00523D40">
        <w:rPr>
          <w:rFonts w:hint="cs"/>
          <w:color w:val="000000"/>
          <w:spacing w:val="0"/>
          <w:kern w:val="0"/>
          <w:sz w:val="20"/>
          <w:rtl/>
        </w:rPr>
        <w:t xml:space="preserve">تحيط </w:t>
      </w:r>
      <w:r w:rsidRPr="00523D40">
        <w:rPr>
          <w:color w:val="000000"/>
          <w:spacing w:val="0"/>
          <w:kern w:val="0"/>
          <w:sz w:val="20"/>
          <w:rtl/>
        </w:rPr>
        <w:t xml:space="preserve">اللجنة </w:t>
      </w:r>
      <w:r w:rsidRPr="00523D40">
        <w:rPr>
          <w:rFonts w:hint="cs"/>
          <w:color w:val="000000"/>
          <w:spacing w:val="0"/>
          <w:kern w:val="0"/>
          <w:sz w:val="20"/>
          <w:rtl/>
        </w:rPr>
        <w:t xml:space="preserve">علماً بما احتجت به </w:t>
      </w:r>
      <w:r w:rsidRPr="00523D40">
        <w:rPr>
          <w:color w:val="000000"/>
          <w:spacing w:val="0"/>
          <w:kern w:val="0"/>
          <w:sz w:val="20"/>
          <w:rtl/>
        </w:rPr>
        <w:t>الدولة الطرف</w:t>
      </w:r>
      <w:r w:rsidRPr="00523D40">
        <w:rPr>
          <w:rFonts w:hint="cs"/>
          <w:color w:val="000000"/>
          <w:spacing w:val="0"/>
          <w:kern w:val="0"/>
          <w:sz w:val="20"/>
          <w:rtl/>
        </w:rPr>
        <w:t xml:space="preserve"> من </w:t>
      </w:r>
      <w:r w:rsidRPr="00523D40">
        <w:rPr>
          <w:color w:val="000000"/>
          <w:spacing w:val="0"/>
          <w:kern w:val="0"/>
          <w:sz w:val="20"/>
          <w:rtl/>
        </w:rPr>
        <w:t xml:space="preserve">أن </w:t>
      </w:r>
      <w:r w:rsidRPr="00523D40">
        <w:rPr>
          <w:rFonts w:hint="cs"/>
          <w:color w:val="000000"/>
          <w:spacing w:val="0"/>
          <w:kern w:val="0"/>
          <w:sz w:val="20"/>
          <w:rtl/>
        </w:rPr>
        <w:t xml:space="preserve">صاحبة الشكوى لم تقدم الحكم الفعلي، وإنما قدمت </w:t>
      </w:r>
      <w:r w:rsidRPr="00523D40">
        <w:rPr>
          <w:color w:val="000000"/>
          <w:spacing w:val="0"/>
          <w:kern w:val="0"/>
          <w:sz w:val="20"/>
          <w:rtl/>
        </w:rPr>
        <w:t>وثيقة</w:t>
      </w:r>
      <w:r w:rsidRPr="00523D40">
        <w:rPr>
          <w:rFonts w:hint="cs"/>
          <w:color w:val="000000"/>
          <w:spacing w:val="0"/>
          <w:kern w:val="0"/>
          <w:sz w:val="20"/>
          <w:rtl/>
        </w:rPr>
        <w:t xml:space="preserve"> واحدة</w:t>
      </w:r>
      <w:r w:rsidRPr="00523D40">
        <w:rPr>
          <w:color w:val="000000"/>
          <w:spacing w:val="0"/>
          <w:kern w:val="0"/>
          <w:sz w:val="20"/>
          <w:rtl/>
        </w:rPr>
        <w:t xml:space="preserve"> </w:t>
      </w:r>
      <w:r w:rsidRPr="00523D40">
        <w:rPr>
          <w:rFonts w:hint="cs"/>
          <w:color w:val="000000"/>
          <w:spacing w:val="0"/>
          <w:kern w:val="0"/>
          <w:sz w:val="20"/>
          <w:rtl/>
        </w:rPr>
        <w:t>ب</w:t>
      </w:r>
      <w:r w:rsidRPr="00523D40">
        <w:rPr>
          <w:color w:val="000000"/>
          <w:spacing w:val="0"/>
          <w:kern w:val="0"/>
          <w:sz w:val="20"/>
          <w:rtl/>
        </w:rPr>
        <w:t>عنوان "</w:t>
      </w:r>
      <w:r w:rsidRPr="00523D40">
        <w:rPr>
          <w:rFonts w:hint="cs"/>
          <w:color w:val="000000"/>
          <w:spacing w:val="0"/>
          <w:kern w:val="0"/>
          <w:sz w:val="20"/>
          <w:rtl/>
        </w:rPr>
        <w:t>إعلان تسليم حكم قضائي</w:t>
      </w:r>
      <w:r w:rsidRPr="00523D40">
        <w:rPr>
          <w:color w:val="000000"/>
          <w:spacing w:val="0"/>
          <w:kern w:val="0"/>
          <w:sz w:val="20"/>
          <w:rtl/>
        </w:rPr>
        <w:t xml:space="preserve">". </w:t>
      </w:r>
      <w:r w:rsidRPr="00523D40">
        <w:rPr>
          <w:rFonts w:hint="cs"/>
          <w:color w:val="000000"/>
          <w:spacing w:val="0"/>
          <w:kern w:val="0"/>
          <w:sz w:val="20"/>
          <w:rtl/>
        </w:rPr>
        <w:t>و</w:t>
      </w:r>
      <w:r w:rsidRPr="00523D40">
        <w:rPr>
          <w:color w:val="000000"/>
          <w:spacing w:val="0"/>
          <w:kern w:val="0"/>
          <w:sz w:val="20"/>
          <w:rtl/>
        </w:rPr>
        <w:t>علاوة على ذلك، ت</w:t>
      </w:r>
      <w:r w:rsidRPr="00523D40">
        <w:rPr>
          <w:rFonts w:hint="cs"/>
          <w:color w:val="000000"/>
          <w:spacing w:val="0"/>
          <w:kern w:val="0"/>
          <w:sz w:val="20"/>
          <w:rtl/>
        </w:rPr>
        <w:t>رى</w:t>
      </w:r>
      <w:r w:rsidRPr="00523D40">
        <w:rPr>
          <w:color w:val="000000"/>
          <w:spacing w:val="0"/>
          <w:kern w:val="0"/>
          <w:sz w:val="20"/>
          <w:rtl/>
        </w:rPr>
        <w:t xml:space="preserve"> الدولة الطرف أن ال</w:t>
      </w:r>
      <w:r w:rsidRPr="00523D40">
        <w:rPr>
          <w:rFonts w:hint="cs"/>
          <w:color w:val="000000"/>
          <w:spacing w:val="0"/>
          <w:kern w:val="0"/>
          <w:sz w:val="20"/>
          <w:rtl/>
        </w:rPr>
        <w:t>مستندات</w:t>
      </w:r>
      <w:r w:rsidRPr="00523D40">
        <w:rPr>
          <w:color w:val="000000"/>
          <w:spacing w:val="0"/>
          <w:kern w:val="0"/>
          <w:sz w:val="20"/>
          <w:rtl/>
        </w:rPr>
        <w:t xml:space="preserve"> </w:t>
      </w:r>
      <w:r w:rsidRPr="00523D40">
        <w:rPr>
          <w:rFonts w:hint="cs"/>
          <w:color w:val="000000"/>
          <w:spacing w:val="0"/>
          <w:kern w:val="0"/>
          <w:sz w:val="20"/>
          <w:rtl/>
        </w:rPr>
        <w:t>التي قدمتها صاحبة الشكوى</w:t>
      </w:r>
      <w:r w:rsidRPr="00523D40">
        <w:rPr>
          <w:color w:val="000000"/>
          <w:spacing w:val="0"/>
          <w:kern w:val="0"/>
          <w:sz w:val="20"/>
          <w:rtl/>
        </w:rPr>
        <w:t xml:space="preserve"> لدعم ادعاءاتها هي </w:t>
      </w:r>
      <w:r w:rsidRPr="00523D40">
        <w:rPr>
          <w:rFonts w:hint="cs"/>
          <w:color w:val="000000"/>
          <w:spacing w:val="0"/>
          <w:kern w:val="0"/>
          <w:sz w:val="20"/>
          <w:rtl/>
        </w:rPr>
        <w:t>أدلة ذات قيمة محدودة للغاية</w:t>
      </w:r>
      <w:r w:rsidRPr="00523D40">
        <w:rPr>
          <w:color w:val="000000"/>
          <w:spacing w:val="0"/>
          <w:kern w:val="0"/>
          <w:sz w:val="20"/>
          <w:rtl/>
        </w:rPr>
        <w:t xml:space="preserve">، </w:t>
      </w:r>
      <w:r w:rsidRPr="00523D40">
        <w:rPr>
          <w:rFonts w:hint="cs"/>
          <w:color w:val="000000"/>
          <w:spacing w:val="0"/>
          <w:kern w:val="0"/>
          <w:sz w:val="20"/>
          <w:rtl/>
        </w:rPr>
        <w:t xml:space="preserve">لكونها </w:t>
      </w:r>
      <w:r w:rsidRPr="00523D40">
        <w:rPr>
          <w:color w:val="000000"/>
          <w:spacing w:val="0"/>
          <w:kern w:val="0"/>
          <w:sz w:val="20"/>
          <w:rtl/>
        </w:rPr>
        <w:t xml:space="preserve">وثائق </w:t>
      </w:r>
      <w:r w:rsidRPr="00523D40">
        <w:rPr>
          <w:rFonts w:hint="cs"/>
          <w:color w:val="000000"/>
          <w:spacing w:val="0"/>
          <w:kern w:val="0"/>
          <w:sz w:val="20"/>
          <w:rtl/>
        </w:rPr>
        <w:t>تتسم ببساطة شديدة ويمكن إعدادها بسهولة ولا تتضمن أية إشارة إلى رقم القضية أو أي شكل آخر من أشكال التعريف.</w:t>
      </w:r>
      <w:r w:rsidRPr="00523D40">
        <w:rPr>
          <w:color w:val="000000"/>
          <w:spacing w:val="0"/>
          <w:kern w:val="0"/>
          <w:sz w:val="20"/>
          <w:rtl/>
        </w:rPr>
        <w:t xml:space="preserve"> وعلاوة على ذلك، </w:t>
      </w:r>
      <w:r w:rsidRPr="00523D40">
        <w:rPr>
          <w:rFonts w:hint="cs"/>
          <w:color w:val="000000"/>
          <w:spacing w:val="0"/>
          <w:kern w:val="0"/>
          <w:sz w:val="20"/>
          <w:rtl/>
        </w:rPr>
        <w:t>أثارت</w:t>
      </w:r>
      <w:r w:rsidRPr="00523D40">
        <w:rPr>
          <w:color w:val="000000"/>
          <w:spacing w:val="0"/>
          <w:kern w:val="0"/>
          <w:sz w:val="20"/>
          <w:rtl/>
        </w:rPr>
        <w:t xml:space="preserve"> الدولة الطرف </w:t>
      </w:r>
      <w:r w:rsidRPr="00523D40">
        <w:rPr>
          <w:rFonts w:hint="cs"/>
          <w:color w:val="000000"/>
          <w:spacing w:val="0"/>
          <w:kern w:val="0"/>
          <w:sz w:val="20"/>
          <w:rtl/>
        </w:rPr>
        <w:t>مسائل أخرى من قبيل</w:t>
      </w:r>
      <w:r w:rsidRPr="00523D40">
        <w:rPr>
          <w:color w:val="000000"/>
          <w:spacing w:val="0"/>
          <w:kern w:val="0"/>
          <w:sz w:val="20"/>
          <w:rtl/>
        </w:rPr>
        <w:t xml:space="preserve"> سبب</w:t>
      </w:r>
      <w:r w:rsidRPr="00523D40">
        <w:rPr>
          <w:rFonts w:hint="cs"/>
          <w:color w:val="000000"/>
          <w:spacing w:val="0"/>
          <w:kern w:val="0"/>
          <w:sz w:val="20"/>
          <w:rtl/>
        </w:rPr>
        <w:t xml:space="preserve"> حصول</w:t>
      </w:r>
      <w:r w:rsidRPr="00523D40">
        <w:rPr>
          <w:color w:val="000000"/>
          <w:spacing w:val="0"/>
          <w:kern w:val="0"/>
          <w:sz w:val="20"/>
          <w:rtl/>
        </w:rPr>
        <w:t xml:space="preserve"> صاحب</w:t>
      </w:r>
      <w:r w:rsidRPr="00523D40">
        <w:rPr>
          <w:rFonts w:hint="cs"/>
          <w:color w:val="000000"/>
          <w:spacing w:val="0"/>
          <w:kern w:val="0"/>
          <w:sz w:val="20"/>
          <w:rtl/>
        </w:rPr>
        <w:t>ة</w:t>
      </w:r>
      <w:r w:rsidRPr="00523D40">
        <w:rPr>
          <w:color w:val="000000"/>
          <w:spacing w:val="0"/>
          <w:kern w:val="0"/>
          <w:sz w:val="20"/>
          <w:rtl/>
        </w:rPr>
        <w:t xml:space="preserve"> الشكوى على </w:t>
      </w:r>
      <w:r w:rsidRPr="00523D40">
        <w:rPr>
          <w:rFonts w:hint="cs"/>
          <w:color w:val="000000"/>
          <w:spacing w:val="0"/>
          <w:kern w:val="0"/>
          <w:sz w:val="20"/>
          <w:rtl/>
        </w:rPr>
        <w:t xml:space="preserve">أصول هذه الوثائق </w:t>
      </w:r>
      <w:r w:rsidRPr="00523D40">
        <w:rPr>
          <w:color w:val="000000"/>
          <w:spacing w:val="0"/>
          <w:kern w:val="0"/>
          <w:sz w:val="20"/>
          <w:rtl/>
        </w:rPr>
        <w:t>وليس</w:t>
      </w:r>
      <w:r w:rsidRPr="00523D40">
        <w:rPr>
          <w:rFonts w:hint="cs"/>
          <w:color w:val="000000"/>
          <w:spacing w:val="0"/>
          <w:kern w:val="0"/>
          <w:sz w:val="20"/>
          <w:rtl/>
        </w:rPr>
        <w:t xml:space="preserve"> على مستخرجات منها </w:t>
      </w:r>
      <w:r w:rsidRPr="00523D40">
        <w:rPr>
          <w:color w:val="000000"/>
          <w:spacing w:val="0"/>
          <w:kern w:val="0"/>
          <w:sz w:val="20"/>
          <w:rtl/>
        </w:rPr>
        <w:t xml:space="preserve">- كما </w:t>
      </w:r>
      <w:r w:rsidRPr="00523D40">
        <w:rPr>
          <w:rFonts w:hint="cs"/>
          <w:color w:val="000000"/>
          <w:spacing w:val="0"/>
          <w:kern w:val="0"/>
          <w:sz w:val="20"/>
          <w:rtl/>
        </w:rPr>
        <w:t>جرت عليه العادة.</w:t>
      </w:r>
      <w:r w:rsidRPr="00523D40">
        <w:rPr>
          <w:color w:val="000000"/>
          <w:spacing w:val="0"/>
          <w:kern w:val="0"/>
          <w:sz w:val="20"/>
          <w:rtl/>
        </w:rPr>
        <w:t xml:space="preserve"> </w:t>
      </w:r>
      <w:r w:rsidRPr="00523D40">
        <w:rPr>
          <w:rFonts w:hint="cs"/>
          <w:color w:val="000000"/>
          <w:spacing w:val="0"/>
          <w:kern w:val="0"/>
          <w:sz w:val="20"/>
          <w:rtl/>
        </w:rPr>
        <w:t xml:space="preserve">ولم تفند صاحبة </w:t>
      </w:r>
      <w:r w:rsidRPr="00523D40">
        <w:rPr>
          <w:color w:val="000000"/>
          <w:spacing w:val="0"/>
          <w:kern w:val="0"/>
          <w:sz w:val="20"/>
          <w:rtl/>
        </w:rPr>
        <w:t xml:space="preserve">الشكوى هذه الملاحظات </w:t>
      </w:r>
      <w:r w:rsidRPr="00523D40">
        <w:rPr>
          <w:rFonts w:hint="cs"/>
          <w:color w:val="000000"/>
          <w:spacing w:val="0"/>
          <w:kern w:val="0"/>
          <w:sz w:val="20"/>
          <w:rtl/>
        </w:rPr>
        <w:t>و</w:t>
      </w:r>
      <w:r w:rsidRPr="00523D40">
        <w:rPr>
          <w:color w:val="000000"/>
          <w:spacing w:val="0"/>
          <w:kern w:val="0"/>
          <w:sz w:val="20"/>
          <w:rtl/>
        </w:rPr>
        <w:t>لم تقدم أي</w:t>
      </w:r>
      <w:r w:rsidRPr="00523D40">
        <w:rPr>
          <w:rFonts w:hint="cs"/>
          <w:color w:val="000000"/>
          <w:spacing w:val="0"/>
          <w:kern w:val="0"/>
          <w:sz w:val="20"/>
          <w:rtl/>
        </w:rPr>
        <w:t>ة</w:t>
      </w:r>
      <w:r w:rsidRPr="00523D40">
        <w:rPr>
          <w:color w:val="000000"/>
          <w:spacing w:val="0"/>
          <w:kern w:val="0"/>
          <w:sz w:val="20"/>
          <w:rtl/>
        </w:rPr>
        <w:t xml:space="preserve"> أدلة </w:t>
      </w:r>
      <w:r w:rsidRPr="00523D40">
        <w:rPr>
          <w:rFonts w:hint="cs"/>
          <w:color w:val="000000"/>
          <w:spacing w:val="0"/>
          <w:kern w:val="0"/>
          <w:sz w:val="20"/>
          <w:rtl/>
        </w:rPr>
        <w:t>لنفيها أو حججاً إضافية بشأنها،</w:t>
      </w:r>
      <w:r w:rsidRPr="00523D40">
        <w:rPr>
          <w:color w:val="000000"/>
          <w:spacing w:val="0"/>
          <w:kern w:val="0"/>
          <w:sz w:val="20"/>
          <w:rtl/>
        </w:rPr>
        <w:t xml:space="preserve"> على الرغم من أنها </w:t>
      </w:r>
      <w:r w:rsidRPr="00523D40">
        <w:rPr>
          <w:rFonts w:hint="cs"/>
          <w:color w:val="000000"/>
          <w:spacing w:val="0"/>
          <w:kern w:val="0"/>
          <w:sz w:val="20"/>
          <w:rtl/>
        </w:rPr>
        <w:t>منحت الفرصة للقيام بذلك.</w:t>
      </w:r>
    </w:p>
    <w:p w:rsidR="00523D40" w:rsidRPr="00523D40" w:rsidRDefault="00523D40" w:rsidP="00523D40">
      <w:pPr>
        <w:pStyle w:val="SingleTxtGA"/>
        <w:jc w:val="lowKashida"/>
        <w:rPr>
          <w:b/>
          <w:bCs/>
          <w:color w:val="000000"/>
          <w:spacing w:val="0"/>
          <w:kern w:val="0"/>
          <w:sz w:val="20"/>
          <w:rtl/>
        </w:rPr>
      </w:pPr>
      <w:r w:rsidRPr="00523D40">
        <w:rPr>
          <w:color w:val="000000"/>
          <w:spacing w:val="0"/>
          <w:kern w:val="0"/>
          <w:sz w:val="20"/>
          <w:rtl/>
          <w:lang w:val="en-CA"/>
        </w:rPr>
        <w:t>9-8</w:t>
      </w:r>
      <w:r w:rsidRPr="00523D40">
        <w:rPr>
          <w:color w:val="000000"/>
          <w:spacing w:val="0"/>
          <w:kern w:val="0"/>
          <w:sz w:val="20"/>
          <w:rtl/>
          <w:lang w:val="en-CA"/>
        </w:rPr>
        <w:tab/>
      </w:r>
      <w:r w:rsidRPr="00523D40">
        <w:rPr>
          <w:color w:val="000000"/>
          <w:spacing w:val="0"/>
          <w:kern w:val="0"/>
          <w:sz w:val="20"/>
          <w:rtl/>
        </w:rPr>
        <w:t xml:space="preserve">وفي ضوء ما تقدم، </w:t>
      </w:r>
      <w:r w:rsidRPr="00523D40">
        <w:rPr>
          <w:rFonts w:hint="cs"/>
          <w:color w:val="000000"/>
          <w:spacing w:val="0"/>
          <w:kern w:val="0"/>
          <w:sz w:val="20"/>
          <w:rtl/>
        </w:rPr>
        <w:t>تخلص</w:t>
      </w:r>
      <w:r w:rsidRPr="00523D40">
        <w:rPr>
          <w:color w:val="000000"/>
          <w:spacing w:val="0"/>
          <w:kern w:val="0"/>
          <w:sz w:val="20"/>
          <w:rtl/>
        </w:rPr>
        <w:t xml:space="preserve"> اللجنة </w:t>
      </w:r>
      <w:r w:rsidRPr="00523D40">
        <w:rPr>
          <w:rFonts w:hint="cs"/>
          <w:color w:val="000000"/>
          <w:spacing w:val="0"/>
          <w:kern w:val="0"/>
          <w:sz w:val="20"/>
          <w:rtl/>
        </w:rPr>
        <w:t xml:space="preserve">إلى </w:t>
      </w:r>
      <w:r w:rsidRPr="00523D40">
        <w:rPr>
          <w:color w:val="000000"/>
          <w:spacing w:val="0"/>
          <w:kern w:val="0"/>
          <w:sz w:val="20"/>
          <w:rtl/>
        </w:rPr>
        <w:t xml:space="preserve">أن </w:t>
      </w:r>
      <w:r w:rsidRPr="00523D40">
        <w:rPr>
          <w:rFonts w:hint="cs"/>
          <w:color w:val="000000"/>
          <w:spacing w:val="0"/>
          <w:kern w:val="0"/>
          <w:sz w:val="20"/>
          <w:rtl/>
        </w:rPr>
        <w:t xml:space="preserve">صاحبة </w:t>
      </w:r>
      <w:r w:rsidRPr="00523D40">
        <w:rPr>
          <w:color w:val="000000"/>
          <w:spacing w:val="0"/>
          <w:kern w:val="0"/>
          <w:sz w:val="20"/>
          <w:rtl/>
        </w:rPr>
        <w:t xml:space="preserve">الشكوى لم </w:t>
      </w:r>
      <w:r w:rsidRPr="00523D40">
        <w:rPr>
          <w:rFonts w:hint="cs"/>
          <w:color w:val="000000"/>
          <w:spacing w:val="0"/>
          <w:kern w:val="0"/>
          <w:sz w:val="20"/>
          <w:rtl/>
        </w:rPr>
        <w:t>ت</w:t>
      </w:r>
      <w:r w:rsidRPr="00523D40">
        <w:rPr>
          <w:color w:val="000000"/>
          <w:spacing w:val="0"/>
          <w:kern w:val="0"/>
          <w:sz w:val="20"/>
          <w:rtl/>
        </w:rPr>
        <w:t>ثبت أنه</w:t>
      </w:r>
      <w:r w:rsidRPr="00523D40">
        <w:rPr>
          <w:rFonts w:hint="cs"/>
          <w:color w:val="000000"/>
          <w:spacing w:val="0"/>
          <w:kern w:val="0"/>
          <w:sz w:val="20"/>
          <w:rtl/>
        </w:rPr>
        <w:t>ا ستواجه،</w:t>
      </w:r>
      <w:r w:rsidRPr="00523D40">
        <w:rPr>
          <w:color w:val="000000"/>
          <w:spacing w:val="0"/>
          <w:kern w:val="0"/>
          <w:sz w:val="20"/>
          <w:rtl/>
        </w:rPr>
        <w:t xml:space="preserve"> في حالة طردها إلى بلد</w:t>
      </w:r>
      <w:r w:rsidRPr="00523D40">
        <w:rPr>
          <w:rFonts w:hint="cs"/>
          <w:color w:val="000000"/>
          <w:spacing w:val="0"/>
          <w:kern w:val="0"/>
          <w:sz w:val="20"/>
          <w:rtl/>
        </w:rPr>
        <w:t xml:space="preserve">ها الأصلي، </w:t>
      </w:r>
      <w:r w:rsidRPr="00523D40">
        <w:rPr>
          <w:color w:val="000000"/>
          <w:spacing w:val="0"/>
          <w:kern w:val="0"/>
          <w:sz w:val="20"/>
          <w:rtl/>
        </w:rPr>
        <w:t>خطر</w:t>
      </w:r>
      <w:r w:rsidRPr="00523D40">
        <w:rPr>
          <w:rFonts w:hint="cs"/>
          <w:color w:val="000000"/>
          <w:spacing w:val="0"/>
          <w:kern w:val="0"/>
          <w:sz w:val="20"/>
          <w:rtl/>
        </w:rPr>
        <w:t>اً</w:t>
      </w:r>
      <w:r w:rsidRPr="00523D40">
        <w:rPr>
          <w:color w:val="000000"/>
          <w:spacing w:val="0"/>
          <w:kern w:val="0"/>
          <w:sz w:val="20"/>
          <w:rtl/>
        </w:rPr>
        <w:t xml:space="preserve"> متوقع</w:t>
      </w:r>
      <w:r w:rsidRPr="00523D40">
        <w:rPr>
          <w:rFonts w:hint="cs"/>
          <w:color w:val="000000"/>
          <w:spacing w:val="0"/>
          <w:kern w:val="0"/>
          <w:sz w:val="20"/>
          <w:rtl/>
        </w:rPr>
        <w:t>اً</w:t>
      </w:r>
      <w:r w:rsidRPr="00523D40">
        <w:rPr>
          <w:color w:val="000000"/>
          <w:spacing w:val="0"/>
          <w:kern w:val="0"/>
          <w:sz w:val="20"/>
          <w:rtl/>
        </w:rPr>
        <w:t xml:space="preserve"> وحقيقي</w:t>
      </w:r>
      <w:r w:rsidRPr="00523D40">
        <w:rPr>
          <w:rFonts w:hint="cs"/>
          <w:color w:val="000000"/>
          <w:spacing w:val="0"/>
          <w:kern w:val="0"/>
          <w:sz w:val="20"/>
          <w:rtl/>
        </w:rPr>
        <w:t>اً</w:t>
      </w:r>
      <w:r w:rsidRPr="00523D40">
        <w:rPr>
          <w:color w:val="000000"/>
          <w:spacing w:val="0"/>
          <w:kern w:val="0"/>
          <w:sz w:val="20"/>
          <w:rtl/>
        </w:rPr>
        <w:t xml:space="preserve"> وشخصي</w:t>
      </w:r>
      <w:r w:rsidRPr="00523D40">
        <w:rPr>
          <w:rFonts w:hint="cs"/>
          <w:color w:val="000000"/>
          <w:spacing w:val="0"/>
          <w:kern w:val="0"/>
          <w:sz w:val="20"/>
          <w:rtl/>
        </w:rPr>
        <w:t xml:space="preserve">اً بالتعرض </w:t>
      </w:r>
      <w:r w:rsidRPr="00523D40">
        <w:rPr>
          <w:color w:val="000000"/>
          <w:spacing w:val="0"/>
          <w:kern w:val="0"/>
          <w:sz w:val="20"/>
          <w:rtl/>
        </w:rPr>
        <w:t>للتعذيب بالمعنى المقصود في المادة 3 من الاتفاقية</w:t>
      </w:r>
      <w:r w:rsidRPr="00523D40">
        <w:rPr>
          <w:color w:val="000000"/>
          <w:spacing w:val="0"/>
          <w:kern w:val="0"/>
          <w:sz w:val="20"/>
        </w:rPr>
        <w:t>.</w:t>
      </w:r>
    </w:p>
    <w:p w:rsidR="00523D40" w:rsidRPr="00523D40" w:rsidRDefault="00523D40" w:rsidP="00A85948">
      <w:pPr>
        <w:pStyle w:val="SingleTxtGA"/>
        <w:jc w:val="lowKashida"/>
        <w:rPr>
          <w:rFonts w:hint="cs"/>
          <w:spacing w:val="0"/>
          <w:kern w:val="0"/>
          <w:sz w:val="20"/>
          <w:szCs w:val="20"/>
          <w:rtl/>
        </w:rPr>
      </w:pPr>
      <w:r w:rsidRPr="00A85948">
        <w:rPr>
          <w:rFonts w:hint="cs"/>
          <w:spacing w:val="-2"/>
          <w:kern w:val="0"/>
          <w:sz w:val="20"/>
          <w:rtl/>
          <w:lang w:val="en-CA"/>
        </w:rPr>
        <w:t>10-</w:t>
      </w:r>
      <w:r w:rsidRPr="00A85948">
        <w:rPr>
          <w:rFonts w:hint="cs"/>
          <w:spacing w:val="-2"/>
          <w:kern w:val="0"/>
          <w:sz w:val="20"/>
          <w:rtl/>
          <w:lang w:val="en-CA"/>
        </w:rPr>
        <w:tab/>
        <w:t xml:space="preserve">وبناء على ذلك، فإن لجنة مناهضة التعذيب، إذ تعمل بموجب الفقرة 7 من المادة 22 </w:t>
      </w:r>
      <w:r w:rsidRPr="00523D40">
        <w:rPr>
          <w:rFonts w:hint="cs"/>
          <w:spacing w:val="0"/>
          <w:kern w:val="0"/>
          <w:sz w:val="20"/>
          <w:rtl/>
          <w:lang w:val="en-CA"/>
        </w:rPr>
        <w:t xml:space="preserve">من </w:t>
      </w:r>
      <w:r w:rsidRPr="00523D40">
        <w:rPr>
          <w:spacing w:val="0"/>
          <w:kern w:val="0"/>
          <w:sz w:val="20"/>
          <w:rtl/>
          <w:lang w:bidi="ar-SY"/>
        </w:rPr>
        <w:t>اتفاقية مناهضة التعذيب وغيره من ضروب المعاملة أو العقوبة القاسية أو اللاإنسانية أو</w:t>
      </w:r>
      <w:r w:rsidR="00A85948">
        <w:rPr>
          <w:rFonts w:hint="cs"/>
          <w:spacing w:val="0"/>
          <w:kern w:val="0"/>
          <w:sz w:val="20"/>
          <w:rtl/>
          <w:lang w:bidi="ar-SY"/>
        </w:rPr>
        <w:t> </w:t>
      </w:r>
      <w:r w:rsidRPr="00523D40">
        <w:rPr>
          <w:spacing w:val="0"/>
          <w:kern w:val="0"/>
          <w:sz w:val="20"/>
          <w:rtl/>
          <w:lang w:bidi="ar-SY"/>
        </w:rPr>
        <w:t>المهينة</w:t>
      </w:r>
      <w:r w:rsidRPr="00523D40">
        <w:rPr>
          <w:rFonts w:hint="cs"/>
          <w:spacing w:val="0"/>
          <w:kern w:val="0"/>
          <w:sz w:val="20"/>
          <w:rtl/>
          <w:lang w:bidi="ar-SY"/>
        </w:rPr>
        <w:t>، ترى أن ترحيل الدولة الطرف لصاحبة الشكوى إلى بوروندي لن يشكل خرقاً للمادة 3 من الاتفاقية.</w:t>
      </w:r>
    </w:p>
    <w:p w:rsidR="002F7B82" w:rsidRDefault="002F7B82" w:rsidP="00EA71E8">
      <w:pPr>
        <w:pStyle w:val="SingleTxtGA"/>
        <w:rPr>
          <w:rFonts w:hint="cs"/>
          <w:rtl/>
          <w:lang w:val="fr-CH"/>
        </w:rPr>
      </w:pPr>
    </w:p>
    <w:p w:rsidR="002F7B82" w:rsidRPr="009A1314" w:rsidRDefault="002F7B82" w:rsidP="00EA71E8">
      <w:pPr>
        <w:pStyle w:val="SingleTxtGA"/>
        <w:rPr>
          <w:rFonts w:hint="cs"/>
          <w:rtl/>
          <w:lang w:val="fr-CH"/>
        </w:rPr>
        <w:sectPr w:rsidR="002F7B82" w:rsidRPr="009A1314"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FA6676" w:rsidRPr="00AA537D" w:rsidRDefault="00FA6676" w:rsidP="00AA537D">
      <w:pPr>
        <w:pStyle w:val="H1GA"/>
        <w:spacing w:before="120"/>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 xml:space="preserve">البلاغ رقم 414/2010: </w:t>
      </w:r>
      <w:r w:rsidRPr="00AA537D">
        <w:rPr>
          <w:rFonts w:hint="cs"/>
          <w:i/>
          <w:iCs/>
          <w:spacing w:val="0"/>
          <w:kern w:val="0"/>
          <w:rtl/>
        </w:rPr>
        <w:t>ن. ت. و. ضد سويسرا</w:t>
      </w:r>
    </w:p>
    <w:p w:rsidR="00FA6676" w:rsidRPr="00AA537D" w:rsidRDefault="00FA6676" w:rsidP="00ED6B1C">
      <w:pPr>
        <w:pStyle w:val="SingleTxtGA"/>
        <w:spacing w:line="374" w:lineRule="exact"/>
        <w:ind w:left="4643" w:hanging="2715"/>
        <w:jc w:val="lowKashida"/>
        <w:rPr>
          <w:rFonts w:hint="cs"/>
          <w:spacing w:val="0"/>
          <w:kern w:val="0"/>
          <w:rtl/>
          <w:lang w:val="fr-CH"/>
        </w:rPr>
      </w:pPr>
      <w:r w:rsidRPr="00AA537D">
        <w:rPr>
          <w:rFonts w:hint="cs"/>
          <w:i/>
          <w:iCs/>
          <w:spacing w:val="0"/>
          <w:kern w:val="0"/>
          <w:rtl/>
          <w:lang w:val="fr-CH"/>
        </w:rPr>
        <w:t>المقدم من:</w:t>
      </w:r>
      <w:r w:rsidRPr="00AA537D">
        <w:rPr>
          <w:rFonts w:hint="cs"/>
          <w:spacing w:val="0"/>
          <w:kern w:val="0"/>
          <w:rtl/>
          <w:lang w:val="fr-CH"/>
        </w:rPr>
        <w:tab/>
      </w:r>
      <w:r w:rsidRPr="00AA537D">
        <w:rPr>
          <w:rFonts w:hint="cs"/>
          <w:spacing w:val="0"/>
          <w:kern w:val="0"/>
          <w:rtl/>
          <w:lang w:val="fr-CH"/>
        </w:rPr>
        <w:tab/>
      </w:r>
      <w:r w:rsidRPr="00AA537D">
        <w:rPr>
          <w:rFonts w:hint="cs"/>
          <w:spacing w:val="0"/>
          <w:kern w:val="0"/>
          <w:rtl/>
          <w:lang w:val="fr-CH"/>
        </w:rPr>
        <w:tab/>
      </w:r>
      <w:r w:rsidRPr="00AA537D">
        <w:rPr>
          <w:rFonts w:hint="cs"/>
          <w:spacing w:val="0"/>
          <w:kern w:val="0"/>
          <w:rtl/>
          <w:lang w:val="fr-CH"/>
        </w:rPr>
        <w:tab/>
        <w:t>ن. ت. و. (يمثله المحامي طارق حسن)</w:t>
      </w:r>
    </w:p>
    <w:p w:rsidR="00FA6676" w:rsidRPr="00AA537D" w:rsidRDefault="00FA6676" w:rsidP="00ED6B1C">
      <w:pPr>
        <w:pStyle w:val="SingleTxtGA"/>
        <w:spacing w:line="374" w:lineRule="exact"/>
        <w:ind w:left="1928"/>
        <w:jc w:val="lowKashida"/>
        <w:rPr>
          <w:rFonts w:hint="cs"/>
          <w:spacing w:val="0"/>
          <w:kern w:val="0"/>
          <w:rtl/>
          <w:lang w:val="fr-CH"/>
        </w:rPr>
      </w:pPr>
      <w:r w:rsidRPr="00AA537D">
        <w:rPr>
          <w:rFonts w:hint="cs"/>
          <w:i/>
          <w:iCs/>
          <w:spacing w:val="0"/>
          <w:kern w:val="0"/>
          <w:rtl/>
          <w:lang w:val="fr-CH"/>
        </w:rPr>
        <w:t>الشخص المدعى أنه ضحية:</w:t>
      </w:r>
      <w:r w:rsidRPr="00AA537D">
        <w:rPr>
          <w:rFonts w:hint="cs"/>
          <w:i/>
          <w:iCs/>
          <w:spacing w:val="0"/>
          <w:kern w:val="0"/>
          <w:rtl/>
          <w:lang w:val="fr-CH"/>
        </w:rPr>
        <w:tab/>
      </w:r>
      <w:r w:rsidRPr="00AA537D">
        <w:rPr>
          <w:rFonts w:hint="cs"/>
          <w:spacing w:val="0"/>
          <w:kern w:val="0"/>
          <w:rtl/>
          <w:lang w:val="fr-CH"/>
        </w:rPr>
        <w:t>صاحب الشكوى</w:t>
      </w:r>
    </w:p>
    <w:p w:rsidR="00FA6676" w:rsidRPr="00AA537D" w:rsidRDefault="00FA6676" w:rsidP="00ED6B1C">
      <w:pPr>
        <w:pStyle w:val="SingleTxtGA"/>
        <w:spacing w:line="374" w:lineRule="exact"/>
        <w:ind w:left="1928"/>
        <w:jc w:val="lowKashida"/>
        <w:rPr>
          <w:rFonts w:hint="cs"/>
          <w:spacing w:val="0"/>
          <w:kern w:val="0"/>
          <w:rtl/>
          <w:lang w:val="fr-CH"/>
        </w:rPr>
      </w:pPr>
      <w:r w:rsidRPr="00AA537D">
        <w:rPr>
          <w:rFonts w:hint="cs"/>
          <w:i/>
          <w:iCs/>
          <w:spacing w:val="0"/>
          <w:kern w:val="0"/>
          <w:rtl/>
          <w:lang w:val="fr-CH"/>
        </w:rPr>
        <w:t>الدولة الطرف:</w:t>
      </w:r>
      <w:r w:rsidRPr="00AA537D">
        <w:rPr>
          <w:rFonts w:hint="cs"/>
          <w:i/>
          <w:iCs/>
          <w:spacing w:val="0"/>
          <w:kern w:val="0"/>
          <w:rtl/>
          <w:lang w:val="fr-CH"/>
        </w:rPr>
        <w:tab/>
      </w:r>
      <w:r w:rsidRPr="00AA537D">
        <w:rPr>
          <w:rFonts w:hint="cs"/>
          <w:i/>
          <w:iCs/>
          <w:spacing w:val="0"/>
          <w:kern w:val="0"/>
          <w:rtl/>
          <w:lang w:val="fr-CH"/>
        </w:rPr>
        <w:tab/>
      </w:r>
      <w:r w:rsidRPr="00AA537D">
        <w:rPr>
          <w:rFonts w:hint="cs"/>
          <w:i/>
          <w:iCs/>
          <w:spacing w:val="0"/>
          <w:kern w:val="0"/>
          <w:rtl/>
          <w:lang w:val="fr-CH"/>
        </w:rPr>
        <w:tab/>
      </w:r>
      <w:r w:rsidRPr="00AA537D">
        <w:rPr>
          <w:rFonts w:hint="cs"/>
          <w:spacing w:val="0"/>
          <w:kern w:val="0"/>
          <w:rtl/>
          <w:lang w:val="fr-CH"/>
        </w:rPr>
        <w:t>سويسرا</w:t>
      </w:r>
    </w:p>
    <w:p w:rsidR="00FA6676" w:rsidRPr="00AA537D" w:rsidRDefault="00FA6676" w:rsidP="00ED6B1C">
      <w:pPr>
        <w:pStyle w:val="SingleTxtGA"/>
        <w:spacing w:line="374" w:lineRule="exact"/>
        <w:ind w:left="4649" w:hanging="2721"/>
        <w:jc w:val="lowKashida"/>
        <w:rPr>
          <w:rFonts w:hint="cs"/>
          <w:spacing w:val="0"/>
          <w:kern w:val="0"/>
          <w:rtl/>
          <w:lang w:val="fr-CH"/>
        </w:rPr>
      </w:pPr>
      <w:r w:rsidRPr="00AA537D">
        <w:rPr>
          <w:rFonts w:hint="cs"/>
          <w:i/>
          <w:iCs/>
          <w:spacing w:val="0"/>
          <w:kern w:val="0"/>
          <w:rtl/>
          <w:lang w:val="fr-CH"/>
        </w:rPr>
        <w:t>تاريخ تقديم الشكوى:</w:t>
      </w:r>
      <w:r w:rsidRPr="00AA537D">
        <w:rPr>
          <w:rFonts w:hint="cs"/>
          <w:spacing w:val="0"/>
          <w:kern w:val="0"/>
          <w:rtl/>
          <w:lang w:val="fr-CH"/>
        </w:rPr>
        <w:tab/>
      </w:r>
      <w:r w:rsidRPr="00AA537D">
        <w:rPr>
          <w:rFonts w:hint="cs"/>
          <w:spacing w:val="0"/>
          <w:kern w:val="0"/>
          <w:rtl/>
          <w:lang w:val="fr-CH"/>
        </w:rPr>
        <w:tab/>
        <w:t xml:space="preserve">18 </w:t>
      </w:r>
      <w:r w:rsidRPr="00AA537D">
        <w:rPr>
          <w:rFonts w:hint="cs"/>
          <w:spacing w:val="0"/>
          <w:kern w:val="0"/>
          <w:sz w:val="30"/>
          <w:rtl/>
          <w:lang w:val="fr-CH"/>
        </w:rPr>
        <w:t xml:space="preserve">آذار/مارس </w:t>
      </w:r>
      <w:r w:rsidRPr="00AA537D">
        <w:rPr>
          <w:rFonts w:hint="cs"/>
          <w:spacing w:val="0"/>
          <w:kern w:val="0"/>
          <w:rtl/>
          <w:lang w:val="fr-CH"/>
        </w:rPr>
        <w:t>2010 (تاريخ الرسالة الأولى)</w:t>
      </w:r>
    </w:p>
    <w:p w:rsidR="00FA6676" w:rsidRPr="00AA537D" w:rsidRDefault="00FA6676" w:rsidP="00ED6B1C">
      <w:pPr>
        <w:pStyle w:val="SingleTxtGA"/>
        <w:spacing w:line="374" w:lineRule="exact"/>
        <w:jc w:val="lowKashida"/>
        <w:rPr>
          <w:rFonts w:hint="cs"/>
          <w:spacing w:val="0"/>
          <w:kern w:val="0"/>
          <w:rtl/>
          <w:lang w:val="fr-CH"/>
        </w:rPr>
      </w:pPr>
      <w:r w:rsidRPr="00AA537D">
        <w:rPr>
          <w:rFonts w:hint="cs"/>
          <w:spacing w:val="0"/>
          <w:kern w:val="0"/>
          <w:rtl/>
          <w:lang w:val="fr-CH"/>
        </w:rPr>
        <w:tab/>
      </w:r>
      <w:r w:rsidRPr="00AA537D">
        <w:rPr>
          <w:rFonts w:hint="cs"/>
          <w:i/>
          <w:iCs/>
          <w:spacing w:val="0"/>
          <w:kern w:val="0"/>
          <w:rtl/>
          <w:lang w:val="fr-CH"/>
        </w:rPr>
        <w:t xml:space="preserve">إن لجنة مناهضة التعذيب، </w:t>
      </w:r>
      <w:r w:rsidRPr="00AA537D">
        <w:rPr>
          <w:rFonts w:hint="cs"/>
          <w:spacing w:val="0"/>
          <w:kern w:val="0"/>
          <w:rtl/>
          <w:lang w:val="fr-CH"/>
        </w:rPr>
        <w:t xml:space="preserve">المنشأة بموجب المادة 17 من اتفاقية مناهضة التعذيب وغيره من ضروب المعاملة أو العقوبة القاسية أو اللاإنسانية أو المهينة، </w:t>
      </w:r>
    </w:p>
    <w:p w:rsidR="00FA6676" w:rsidRPr="00AA537D" w:rsidRDefault="00FA6676" w:rsidP="00ED6B1C">
      <w:pPr>
        <w:pStyle w:val="SingleTxtGA"/>
        <w:spacing w:line="374" w:lineRule="exact"/>
        <w:jc w:val="lowKashida"/>
        <w:rPr>
          <w:rFonts w:hint="cs"/>
          <w:spacing w:val="0"/>
          <w:kern w:val="0"/>
          <w:rtl/>
          <w:lang w:val="fr-CH"/>
        </w:rPr>
      </w:pPr>
      <w:r w:rsidRPr="00AA537D">
        <w:rPr>
          <w:rFonts w:hint="cs"/>
          <w:spacing w:val="0"/>
          <w:kern w:val="0"/>
          <w:rtl/>
          <w:lang w:val="fr-CH"/>
        </w:rPr>
        <w:tab/>
      </w:r>
      <w:r w:rsidRPr="00AA537D">
        <w:rPr>
          <w:rFonts w:hint="cs"/>
          <w:i/>
          <w:iCs/>
          <w:spacing w:val="0"/>
          <w:kern w:val="0"/>
          <w:rtl/>
          <w:lang w:val="fr-CH"/>
        </w:rPr>
        <w:t>وقد اجتمعت</w:t>
      </w:r>
      <w:r w:rsidRPr="00AA537D">
        <w:rPr>
          <w:rFonts w:hint="cs"/>
          <w:spacing w:val="0"/>
          <w:kern w:val="0"/>
          <w:rtl/>
          <w:lang w:val="fr-CH"/>
        </w:rPr>
        <w:t xml:space="preserve"> في 16 </w:t>
      </w:r>
      <w:r w:rsidRPr="00AA537D">
        <w:rPr>
          <w:rFonts w:hint="cs"/>
          <w:spacing w:val="0"/>
          <w:kern w:val="0"/>
          <w:sz w:val="30"/>
          <w:rtl/>
          <w:lang w:val="fr-CH"/>
        </w:rPr>
        <w:t xml:space="preserve">أيار/مايو </w:t>
      </w:r>
      <w:r w:rsidRPr="00AA537D">
        <w:rPr>
          <w:rFonts w:hint="cs"/>
          <w:spacing w:val="0"/>
          <w:kern w:val="0"/>
          <w:rtl/>
          <w:lang w:val="fr-CH"/>
        </w:rPr>
        <w:t>2012،</w:t>
      </w:r>
    </w:p>
    <w:p w:rsidR="00FA6676" w:rsidRPr="00AA537D" w:rsidRDefault="00FA6676" w:rsidP="00ED6B1C">
      <w:pPr>
        <w:pStyle w:val="SingleTxtGA"/>
        <w:spacing w:line="374" w:lineRule="exact"/>
        <w:jc w:val="lowKashida"/>
        <w:rPr>
          <w:rFonts w:hint="cs"/>
          <w:spacing w:val="0"/>
          <w:kern w:val="0"/>
          <w:rtl/>
          <w:lang w:val="fr-CH"/>
        </w:rPr>
      </w:pPr>
      <w:r w:rsidRPr="00AA537D">
        <w:rPr>
          <w:rFonts w:hint="cs"/>
          <w:spacing w:val="0"/>
          <w:kern w:val="0"/>
          <w:rtl/>
          <w:lang w:val="fr-CH"/>
        </w:rPr>
        <w:tab/>
      </w:r>
      <w:r w:rsidRPr="00AA537D">
        <w:rPr>
          <w:rFonts w:hint="cs"/>
          <w:i/>
          <w:iCs/>
          <w:spacing w:val="0"/>
          <w:kern w:val="0"/>
          <w:rtl/>
          <w:lang w:val="fr-CH"/>
        </w:rPr>
        <w:t>وقد فرغت</w:t>
      </w:r>
      <w:r w:rsidRPr="00AA537D">
        <w:rPr>
          <w:rFonts w:hint="cs"/>
          <w:spacing w:val="0"/>
          <w:kern w:val="0"/>
          <w:rtl/>
          <w:lang w:val="fr-CH"/>
        </w:rPr>
        <w:t xml:space="preserve"> من النظر في الشكوى رقم 414/2010، التي قدمها ن. ت. و. إليها بموجب المادة 22 من اتفاقية مناهضة التعذيب وغيره من ضروب المعاملة أو العقوبة القاسية أو اللاإنسانية أو المهينة،</w:t>
      </w:r>
    </w:p>
    <w:p w:rsidR="00FA6676" w:rsidRPr="00AA537D" w:rsidRDefault="00FA6676" w:rsidP="00ED6B1C">
      <w:pPr>
        <w:pStyle w:val="SingleTxtGA"/>
        <w:spacing w:line="374" w:lineRule="exact"/>
        <w:jc w:val="lowKashida"/>
        <w:rPr>
          <w:rFonts w:hint="cs"/>
          <w:spacing w:val="0"/>
          <w:kern w:val="0"/>
          <w:rtl/>
          <w:lang w:val="fr-CH"/>
        </w:rPr>
      </w:pPr>
      <w:r w:rsidRPr="00AA537D">
        <w:rPr>
          <w:rFonts w:hint="cs"/>
          <w:spacing w:val="0"/>
          <w:kern w:val="0"/>
          <w:rtl/>
          <w:lang w:val="fr-CH"/>
        </w:rPr>
        <w:tab/>
      </w:r>
      <w:r w:rsidRPr="00AA537D">
        <w:rPr>
          <w:rFonts w:hint="cs"/>
          <w:i/>
          <w:iCs/>
          <w:spacing w:val="0"/>
          <w:kern w:val="0"/>
          <w:rtl/>
          <w:lang w:val="fr-CH"/>
        </w:rPr>
        <w:t>وقد أخذت في اعتبارها</w:t>
      </w:r>
      <w:r w:rsidRPr="00AA537D">
        <w:rPr>
          <w:rFonts w:hint="cs"/>
          <w:spacing w:val="0"/>
          <w:kern w:val="0"/>
          <w:rtl/>
          <w:lang w:val="fr-CH"/>
        </w:rPr>
        <w:t xml:space="preserve"> جميع المعلومات التي أتاحها لها كل من صاحب الشكوى ومحاميه والدولة الطرف،</w:t>
      </w:r>
    </w:p>
    <w:p w:rsidR="00FA6676" w:rsidRPr="00AA537D" w:rsidRDefault="00FA6676" w:rsidP="00ED6B1C">
      <w:pPr>
        <w:pStyle w:val="SingleTxtGA"/>
        <w:spacing w:line="374" w:lineRule="exact"/>
        <w:jc w:val="lowKashida"/>
        <w:rPr>
          <w:rFonts w:hint="cs"/>
          <w:spacing w:val="0"/>
          <w:kern w:val="0"/>
          <w:rtl/>
          <w:lang w:val="fr-CH"/>
        </w:rPr>
      </w:pPr>
      <w:r w:rsidRPr="00AA537D">
        <w:rPr>
          <w:rFonts w:hint="cs"/>
          <w:spacing w:val="0"/>
          <w:kern w:val="0"/>
          <w:rtl/>
          <w:lang w:val="fr-CH"/>
        </w:rPr>
        <w:tab/>
      </w:r>
      <w:r w:rsidRPr="00AA537D">
        <w:rPr>
          <w:rFonts w:hint="cs"/>
          <w:i/>
          <w:iCs/>
          <w:spacing w:val="0"/>
          <w:kern w:val="0"/>
          <w:rtl/>
          <w:lang w:val="fr-CH"/>
        </w:rPr>
        <w:t>تعتمد</w:t>
      </w:r>
      <w:r w:rsidRPr="00AA537D">
        <w:rPr>
          <w:rFonts w:hint="cs"/>
          <w:spacing w:val="0"/>
          <w:kern w:val="0"/>
          <w:rtl/>
          <w:lang w:val="fr-CH"/>
        </w:rPr>
        <w:t xml:space="preserve"> ما يلي:</w:t>
      </w:r>
    </w:p>
    <w:p w:rsidR="00FA6676" w:rsidRPr="00AA537D" w:rsidRDefault="00FA6676" w:rsidP="00AA537D">
      <w:pPr>
        <w:pStyle w:val="H1GA"/>
        <w:jc w:val="lowKashida"/>
        <w:rPr>
          <w:rFonts w:hint="cs"/>
          <w:spacing w:val="0"/>
          <w:kern w:val="0"/>
          <w:rtl/>
        </w:rPr>
      </w:pPr>
      <w:r w:rsidRPr="00AA537D">
        <w:rPr>
          <w:rFonts w:hint="cs"/>
          <w:spacing w:val="0"/>
          <w:kern w:val="0"/>
          <w:rtl/>
        </w:rPr>
        <w:tab/>
      </w:r>
      <w:r w:rsidRPr="00AA537D">
        <w:rPr>
          <w:rFonts w:hint="cs"/>
          <w:spacing w:val="0"/>
          <w:kern w:val="0"/>
          <w:rtl/>
        </w:rPr>
        <w:tab/>
        <w:t>قرار بموجب الفقرة 7 من المادة 22 من اتفاقية مناهضة التعذيب</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1-1</w:t>
      </w:r>
      <w:r w:rsidRPr="00AA537D">
        <w:rPr>
          <w:rFonts w:hint="cs"/>
          <w:spacing w:val="0"/>
          <w:kern w:val="0"/>
          <w:rtl/>
          <w:lang w:val="fr-CH"/>
        </w:rPr>
        <w:tab/>
        <w:t>صاحب الشكوى هو ن. ت. و.، من مواطني إثيوبيا مولود في عام 1974. وهو ملتمس لجوء رُفض طلبه. ويدعي أن إعادته القسرية إلى إثيوبيا ستشكل انتهاكاً من جانب سويسرا لأحكام المادة 3 من اتفاقية مناهضة التعذيب وغيره من ضروب المعاملة أو العقوبة القاسية أو اللاإنسانية أو المهينة. ويمثله المحامي طارق حسن.</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1-2</w:t>
      </w:r>
      <w:r w:rsidRPr="00AA537D">
        <w:rPr>
          <w:rFonts w:hint="cs"/>
          <w:spacing w:val="0"/>
          <w:kern w:val="0"/>
          <w:rtl/>
          <w:lang w:val="fr-CH"/>
        </w:rPr>
        <w:tab/>
        <w:t xml:space="preserve">في 24 </w:t>
      </w:r>
      <w:r w:rsidRPr="00AA537D">
        <w:rPr>
          <w:rFonts w:hint="cs"/>
          <w:spacing w:val="0"/>
          <w:kern w:val="0"/>
          <w:sz w:val="30"/>
          <w:rtl/>
          <w:lang w:val="fr-CH"/>
        </w:rPr>
        <w:t xml:space="preserve">آذار/مارس </w:t>
      </w:r>
      <w:r w:rsidRPr="00AA537D">
        <w:rPr>
          <w:rFonts w:hint="cs"/>
          <w:spacing w:val="0"/>
          <w:kern w:val="0"/>
          <w:rtl/>
          <w:lang w:val="fr-CH"/>
        </w:rPr>
        <w:t>2010، وبموجب أحكام الفقرة 1 من المادة 108 سابقاً من النظام الداخلي للجنة</w:t>
      </w:r>
      <w:r w:rsidRPr="00AA537D">
        <w:rPr>
          <w:spacing w:val="0"/>
          <w:kern w:val="0"/>
          <w:vertAlign w:val="superscript"/>
          <w:rtl/>
          <w:lang w:val="fr-CH"/>
        </w:rPr>
        <w:t>(</w:t>
      </w:r>
      <w:r w:rsidRPr="00AA537D">
        <w:rPr>
          <w:rStyle w:val="FootnoteReference"/>
          <w:spacing w:val="0"/>
          <w:rtl/>
          <w:lang w:val="fr-CH"/>
        </w:rPr>
        <w:footnoteReference w:id="339"/>
      </w:r>
      <w:r w:rsidRPr="00AA537D">
        <w:rPr>
          <w:spacing w:val="0"/>
          <w:kern w:val="0"/>
          <w:vertAlign w:val="superscript"/>
          <w:rtl/>
          <w:lang w:val="fr-CH"/>
        </w:rPr>
        <w:t>)</w:t>
      </w:r>
      <w:r w:rsidRPr="00AA537D">
        <w:rPr>
          <w:rFonts w:hint="cs"/>
          <w:spacing w:val="0"/>
          <w:kern w:val="0"/>
          <w:rtl/>
          <w:lang w:val="fr-CH"/>
        </w:rPr>
        <w:t>،</w:t>
      </w:r>
      <w:r w:rsidRPr="00AA537D">
        <w:rPr>
          <w:spacing w:val="0"/>
          <w:kern w:val="0"/>
          <w:rtl/>
          <w:lang w:val="fr-CH"/>
        </w:rPr>
        <w:t xml:space="preserve"> </w:t>
      </w:r>
      <w:r w:rsidRPr="00AA537D">
        <w:rPr>
          <w:rFonts w:hint="cs"/>
          <w:spacing w:val="0"/>
          <w:kern w:val="0"/>
          <w:rtl/>
          <w:lang w:val="fr-CH"/>
        </w:rPr>
        <w:t>طلبت اللجنة من الدولة الطرف عدم طرد صاحب الشكوى إلى إثيوبيا ما دامت شكواه قيد النظر من جانب اللجنة.</w:t>
      </w:r>
    </w:p>
    <w:p w:rsidR="00FA6676" w:rsidRPr="00AA537D" w:rsidRDefault="00FA6676" w:rsidP="00ED6B1C">
      <w:pPr>
        <w:pStyle w:val="H23GA"/>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الوقائع كما عرضها صاحب الشكوى</w:t>
      </w:r>
    </w:p>
    <w:p w:rsidR="00FA6676" w:rsidRPr="00AA537D" w:rsidRDefault="00FA6676" w:rsidP="00AA537D">
      <w:pPr>
        <w:pStyle w:val="SingleTxtGA"/>
        <w:jc w:val="lowKashida"/>
        <w:rPr>
          <w:rFonts w:hint="cs"/>
          <w:spacing w:val="0"/>
          <w:kern w:val="0"/>
          <w:rtl/>
        </w:rPr>
      </w:pPr>
      <w:r w:rsidRPr="00AA537D">
        <w:rPr>
          <w:rFonts w:hint="cs"/>
          <w:spacing w:val="0"/>
          <w:kern w:val="0"/>
          <w:rtl/>
          <w:lang w:val="fr-CH"/>
        </w:rPr>
        <w:t>2-1</w:t>
      </w:r>
      <w:r w:rsidRPr="00AA537D">
        <w:rPr>
          <w:rFonts w:hint="cs"/>
          <w:spacing w:val="0"/>
          <w:kern w:val="0"/>
          <w:rtl/>
          <w:lang w:val="fr-CH"/>
        </w:rPr>
        <w:tab/>
        <w:t xml:space="preserve">صاحب الشكوى هو مواطن إثيوبي من إثنية أورومو، نشأ في أديس أبابا وعمل في مجال البناء بعد أن درس الهندسة المعمارية. وأبدى صاحب الشكوى اهتمامه بالسياسة خلال حملة الانتخابات التي أُجريت في عام 2005، وانضم إلى مؤيدي حزب التحالف من أجل </w:t>
      </w:r>
      <w:r w:rsidRPr="00AA537D">
        <w:rPr>
          <w:rFonts w:hint="cs"/>
          <w:spacing w:val="0"/>
          <w:kern w:val="0"/>
          <w:sz w:val="20"/>
          <w:rtl/>
          <w:lang w:val="fr-CH"/>
        </w:rPr>
        <w:t>الوحدة والديمقراطية (الذي يشار إليه في معظم الأحيان في الخارج ب‍ ‍</w:t>
      </w:r>
      <w:r w:rsidRPr="00AA537D">
        <w:rPr>
          <w:spacing w:val="0"/>
          <w:kern w:val="0"/>
          <w:sz w:val="20"/>
        </w:rPr>
        <w:t>CUDP</w:t>
      </w:r>
      <w:r w:rsidRPr="00AA537D">
        <w:rPr>
          <w:rFonts w:hint="cs"/>
          <w:spacing w:val="0"/>
          <w:kern w:val="0"/>
          <w:sz w:val="20"/>
          <w:rtl/>
        </w:rPr>
        <w:t xml:space="preserve"> أو </w:t>
      </w:r>
      <w:r w:rsidRPr="00AA537D">
        <w:rPr>
          <w:spacing w:val="0"/>
          <w:kern w:val="0"/>
          <w:sz w:val="20"/>
        </w:rPr>
        <w:t>KINIJIT</w:t>
      </w:r>
      <w:r w:rsidRPr="00AA537D">
        <w:rPr>
          <w:rFonts w:hint="cs"/>
          <w:spacing w:val="0"/>
          <w:kern w:val="0"/>
          <w:sz w:val="20"/>
          <w:rtl/>
        </w:rPr>
        <w:t>).</w:t>
      </w:r>
      <w:r w:rsidRPr="00AA537D">
        <w:rPr>
          <w:rFonts w:hint="cs"/>
          <w:spacing w:val="0"/>
          <w:kern w:val="0"/>
          <w:rtl/>
        </w:rPr>
        <w:t xml:space="preserve"> وقد كان نشطاً في حملة مرشحي ذلك الحزب ووُضع اسمه على القائمة الرسمية لأنصار الحزب. ووفقاً لصاحب الشكوى، بدأ الحزب الحاكم، بعد أن تمخضت الانتخابات عن نجاح حزب التحالف من أجل الوحدة والديمقراطية، يشن حملة على حزب المعارضة حيث قُتل العديد من أعضاء المعارضة. وتلقى صاحب الشكوى تحذيراً من صديق له اتصالات بالحزب الحاكم بأنه مستهدف وأن الشرطة تبحث عنه. وقد غادر صاحب الشكوى إثيوبيا إلى السودان في </w:t>
      </w:r>
      <w:r w:rsidRPr="00AA537D">
        <w:rPr>
          <w:rFonts w:hint="cs"/>
          <w:spacing w:val="0"/>
          <w:kern w:val="0"/>
          <w:sz w:val="30"/>
          <w:rtl/>
        </w:rPr>
        <w:t xml:space="preserve">تشرين الثاني/نوفمبر </w:t>
      </w:r>
      <w:r w:rsidRPr="00AA537D">
        <w:rPr>
          <w:rFonts w:hint="cs"/>
          <w:spacing w:val="0"/>
          <w:kern w:val="0"/>
          <w:rtl/>
        </w:rPr>
        <w:t xml:space="preserve">2005 وسافر من الخرطوم عَبر ألمانيا إلى سويسرا، حيث وصل إليها في </w:t>
      </w:r>
      <w:r w:rsidRPr="00AA537D">
        <w:rPr>
          <w:rFonts w:hint="cs"/>
          <w:spacing w:val="0"/>
          <w:kern w:val="0"/>
          <w:sz w:val="30"/>
          <w:rtl/>
        </w:rPr>
        <w:t xml:space="preserve">حزيران/يونيه </w:t>
      </w:r>
      <w:r w:rsidRPr="00AA537D">
        <w:rPr>
          <w:rFonts w:hint="cs"/>
          <w:spacing w:val="0"/>
          <w:kern w:val="0"/>
          <w:rtl/>
        </w:rPr>
        <w:t>2006 وقدَّم طلب اللجوء.</w:t>
      </w:r>
    </w:p>
    <w:p w:rsidR="00FA6676" w:rsidRPr="00AA537D" w:rsidRDefault="00FA6676" w:rsidP="00AA537D">
      <w:pPr>
        <w:pStyle w:val="SingleTxtGA"/>
        <w:jc w:val="lowKashida"/>
        <w:rPr>
          <w:rFonts w:hint="cs"/>
          <w:spacing w:val="0"/>
          <w:kern w:val="0"/>
          <w:rtl/>
        </w:rPr>
      </w:pPr>
      <w:r w:rsidRPr="00AA537D">
        <w:rPr>
          <w:rFonts w:hint="cs"/>
          <w:spacing w:val="0"/>
          <w:kern w:val="0"/>
          <w:rtl/>
        </w:rPr>
        <w:t>2-2</w:t>
      </w:r>
      <w:r w:rsidRPr="00AA537D">
        <w:rPr>
          <w:rFonts w:hint="cs"/>
          <w:spacing w:val="0"/>
          <w:kern w:val="0"/>
          <w:rtl/>
        </w:rPr>
        <w:tab/>
        <w:t>ويدعي صاحب الشكوى أنه استمر في ممارسة نشاطه السياسي أثناء إقامته في سويسرا، وأنه أحد الأعضاء المؤسسين لحزب التحالف من أجل الوحدة والديمقراطية - مكتب سويسرا. ويشير إلى أن اهتمامه السياسي هو اهتمام حقيقي وأنه يشارك منذ عـام</w:t>
      </w:r>
      <w:r w:rsidR="00AA537D">
        <w:rPr>
          <w:rFonts w:hint="eastAsia"/>
          <w:spacing w:val="0"/>
          <w:kern w:val="0"/>
          <w:rtl/>
        </w:rPr>
        <w:t> </w:t>
      </w:r>
      <w:r w:rsidRPr="00AA537D">
        <w:rPr>
          <w:rFonts w:hint="cs"/>
          <w:spacing w:val="0"/>
          <w:kern w:val="0"/>
          <w:rtl/>
        </w:rPr>
        <w:t>2006 في مظاهرات عديدة معادية للنظام في أديس أبابا. وقال إنه يكتب تعليقات على الإنترنت بشأن ما يستجد من تطورات سياسية، ويعرب عن آرائه السياسية في منتديات على الشبكة بما في ذلك منتدى شهير عن السياسة الإثيوبية.</w:t>
      </w:r>
    </w:p>
    <w:p w:rsidR="00FA6676" w:rsidRPr="00AA537D" w:rsidRDefault="00FA6676" w:rsidP="00AA537D">
      <w:pPr>
        <w:pStyle w:val="SingleTxtGA"/>
        <w:jc w:val="lowKashida"/>
        <w:rPr>
          <w:rFonts w:hint="cs"/>
          <w:spacing w:val="0"/>
          <w:kern w:val="0"/>
          <w:rtl/>
        </w:rPr>
      </w:pPr>
      <w:r w:rsidRPr="00AA537D">
        <w:rPr>
          <w:rFonts w:hint="cs"/>
          <w:spacing w:val="0"/>
          <w:kern w:val="0"/>
          <w:rtl/>
        </w:rPr>
        <w:t>2-3</w:t>
      </w:r>
      <w:r w:rsidRPr="00AA537D">
        <w:rPr>
          <w:rFonts w:hint="cs"/>
          <w:spacing w:val="0"/>
          <w:kern w:val="0"/>
          <w:rtl/>
        </w:rPr>
        <w:tab/>
        <w:t xml:space="preserve">وقدم صاحب الشكوى في 23 </w:t>
      </w:r>
      <w:r w:rsidRPr="00AA537D">
        <w:rPr>
          <w:rFonts w:hint="cs"/>
          <w:spacing w:val="0"/>
          <w:kern w:val="0"/>
          <w:sz w:val="30"/>
          <w:rtl/>
        </w:rPr>
        <w:t xml:space="preserve">حزيران/يونيه </w:t>
      </w:r>
      <w:r w:rsidRPr="00AA537D">
        <w:rPr>
          <w:rFonts w:hint="cs"/>
          <w:spacing w:val="0"/>
          <w:kern w:val="0"/>
          <w:rtl/>
        </w:rPr>
        <w:t xml:space="preserve">2006 طلبه الأول للجوء بناء على أنشطته في إثيوبيا. ورفضت سلطات اللجوء السويسرية طلبه في 18 </w:t>
      </w:r>
      <w:r w:rsidRPr="00AA537D">
        <w:rPr>
          <w:rFonts w:hint="cs"/>
          <w:spacing w:val="0"/>
          <w:kern w:val="0"/>
          <w:sz w:val="30"/>
          <w:rtl/>
        </w:rPr>
        <w:t xml:space="preserve">آب/أغسطس </w:t>
      </w:r>
      <w:r w:rsidRPr="00AA537D">
        <w:rPr>
          <w:rFonts w:hint="cs"/>
          <w:spacing w:val="0"/>
          <w:kern w:val="0"/>
          <w:rtl/>
        </w:rPr>
        <w:t xml:space="preserve">2006 واستئنافه في 18 </w:t>
      </w:r>
      <w:r w:rsidRPr="00AA537D">
        <w:rPr>
          <w:rFonts w:hint="cs"/>
          <w:spacing w:val="0"/>
          <w:kern w:val="0"/>
          <w:sz w:val="30"/>
          <w:rtl/>
        </w:rPr>
        <w:t xml:space="preserve">تموز/يوليه </w:t>
      </w:r>
      <w:r w:rsidRPr="00AA537D">
        <w:rPr>
          <w:rFonts w:hint="cs"/>
          <w:spacing w:val="0"/>
          <w:kern w:val="0"/>
          <w:rtl/>
        </w:rPr>
        <w:t xml:space="preserve">2008. وفي 11 </w:t>
      </w:r>
      <w:r w:rsidRPr="00AA537D">
        <w:rPr>
          <w:rFonts w:hint="cs"/>
          <w:spacing w:val="0"/>
          <w:kern w:val="0"/>
          <w:sz w:val="30"/>
          <w:rtl/>
        </w:rPr>
        <w:t xml:space="preserve">آذار/مارس </w:t>
      </w:r>
      <w:r w:rsidRPr="00AA537D">
        <w:rPr>
          <w:rFonts w:hint="cs"/>
          <w:spacing w:val="0"/>
          <w:kern w:val="0"/>
          <w:rtl/>
        </w:rPr>
        <w:t xml:space="preserve">2009، قدم صاحب الشكوى طلباً ثانياً للجوء. ورُفض الطلب من جانب مكتب الهجرة الاتحادي في 30 </w:t>
      </w:r>
      <w:r w:rsidRPr="00AA537D">
        <w:rPr>
          <w:rFonts w:hint="cs"/>
          <w:spacing w:val="0"/>
          <w:kern w:val="0"/>
          <w:sz w:val="30"/>
          <w:rtl/>
        </w:rPr>
        <w:t>نيسان/</w:t>
      </w:r>
      <w:r w:rsidR="00AA537D">
        <w:rPr>
          <w:rFonts w:hint="cs"/>
          <w:spacing w:val="0"/>
          <w:kern w:val="0"/>
          <w:sz w:val="30"/>
          <w:rtl/>
        </w:rPr>
        <w:t xml:space="preserve"> </w:t>
      </w:r>
      <w:r w:rsidRPr="00AA537D">
        <w:rPr>
          <w:rFonts w:hint="cs"/>
          <w:spacing w:val="0"/>
          <w:kern w:val="0"/>
          <w:sz w:val="30"/>
          <w:rtl/>
        </w:rPr>
        <w:t>أبريل</w:t>
      </w:r>
      <w:r w:rsidR="00AA537D">
        <w:rPr>
          <w:rFonts w:hint="eastAsia"/>
          <w:spacing w:val="0"/>
          <w:kern w:val="0"/>
          <w:sz w:val="30"/>
          <w:rtl/>
        </w:rPr>
        <w:t> </w:t>
      </w:r>
      <w:r w:rsidRPr="00AA537D">
        <w:rPr>
          <w:rFonts w:hint="cs"/>
          <w:spacing w:val="0"/>
          <w:kern w:val="0"/>
          <w:rtl/>
        </w:rPr>
        <w:t xml:space="preserve">2009، ومن جانب المحكمة الإدارية الاتحادية في 10 </w:t>
      </w:r>
      <w:r w:rsidRPr="00AA537D">
        <w:rPr>
          <w:rFonts w:hint="cs"/>
          <w:spacing w:val="0"/>
          <w:kern w:val="0"/>
          <w:sz w:val="30"/>
          <w:rtl/>
        </w:rPr>
        <w:t xml:space="preserve">شباط/فبراير </w:t>
      </w:r>
      <w:r w:rsidRPr="00AA537D">
        <w:rPr>
          <w:rFonts w:hint="cs"/>
          <w:spacing w:val="0"/>
          <w:kern w:val="0"/>
          <w:rtl/>
        </w:rPr>
        <w:t xml:space="preserve">2010. وبعد حكم المحكمة المذكورة، طُلب من صاحب الشكوى مغادرة سويسرا في موعد أقصاه 15 </w:t>
      </w:r>
      <w:r w:rsidRPr="00AA537D">
        <w:rPr>
          <w:rFonts w:hint="cs"/>
          <w:spacing w:val="0"/>
          <w:kern w:val="0"/>
          <w:sz w:val="30"/>
          <w:rtl/>
        </w:rPr>
        <w:t>آذار/مارس</w:t>
      </w:r>
      <w:r w:rsidR="00AA537D" w:rsidRPr="00AA537D">
        <w:rPr>
          <w:rFonts w:hint="eastAsia"/>
          <w:spacing w:val="0"/>
          <w:kern w:val="0"/>
          <w:sz w:val="30"/>
          <w:rtl/>
        </w:rPr>
        <w:t> </w:t>
      </w:r>
      <w:r w:rsidRPr="00AA537D">
        <w:rPr>
          <w:rFonts w:hint="cs"/>
          <w:spacing w:val="0"/>
          <w:kern w:val="0"/>
          <w:rtl/>
        </w:rPr>
        <w:t>2010. ويدعي صاحب الشكوى أنه مطالب بالمغادرة طوعاً، وإلا أعيد قسراً إلى إثيوبيا.</w:t>
      </w:r>
    </w:p>
    <w:p w:rsidR="00FA6676" w:rsidRPr="00AA537D" w:rsidRDefault="00FA6676" w:rsidP="00AA537D">
      <w:pPr>
        <w:pStyle w:val="SingleTxtGA"/>
        <w:jc w:val="lowKashida"/>
        <w:rPr>
          <w:rFonts w:hint="cs"/>
          <w:spacing w:val="0"/>
          <w:kern w:val="0"/>
          <w:rtl/>
        </w:rPr>
      </w:pPr>
      <w:r w:rsidRPr="00AA537D">
        <w:rPr>
          <w:rFonts w:hint="cs"/>
          <w:spacing w:val="0"/>
          <w:kern w:val="0"/>
          <w:rtl/>
        </w:rPr>
        <w:t>2-4</w:t>
      </w:r>
      <w:r w:rsidRPr="00AA537D">
        <w:rPr>
          <w:rFonts w:hint="cs"/>
          <w:spacing w:val="0"/>
          <w:kern w:val="0"/>
          <w:rtl/>
        </w:rPr>
        <w:tab/>
        <w:t>ويدعي صاحب الشكوى أن المحكمة رأت أن مركزه في حركة التحالف من أجل الوحدة والديمقراطية وطبيعة مشاركته فيها ليسا مهمين بما يكفي لإثارة خوف مبرر من التعرض للاضطهاد، على الرغم من اعترافها بأن صاحب الشكوى هو أحد الأعضاء المؤسسين لمكتب الحزب في سويسرا وأنه شارك في مظاهرات وأنشطة سياسية عديدة. وذكرت المحكمة أيضاً أنه لا يمكن افتراض أن مشاركته كانت ذات طابع يحمل الحكومة الإثيوبية على اعتباره تهديداً للنظام. وخلصت إلى أنه لا يواجه خطراً فعلياً على صاحب الشكوى في حال عودته إلى إثيوبيا من حيث أنه قد يتعرض للتعذيب أو غيره من ضروب المعاملة اللاإنسانية أو المهينة.</w:t>
      </w:r>
    </w:p>
    <w:p w:rsidR="00FA6676" w:rsidRPr="00AA537D" w:rsidRDefault="00FA6676" w:rsidP="00AA537D">
      <w:pPr>
        <w:pStyle w:val="SingleTxtGA"/>
        <w:jc w:val="lowKashida"/>
        <w:rPr>
          <w:rFonts w:hint="cs"/>
          <w:spacing w:val="0"/>
          <w:kern w:val="0"/>
          <w:rtl/>
        </w:rPr>
      </w:pPr>
      <w:r w:rsidRPr="00AA537D">
        <w:rPr>
          <w:rFonts w:hint="cs"/>
          <w:spacing w:val="0"/>
          <w:kern w:val="0"/>
          <w:rtl/>
        </w:rPr>
        <w:t>2-5</w:t>
      </w:r>
      <w:r w:rsidRPr="00AA537D">
        <w:rPr>
          <w:rFonts w:hint="cs"/>
          <w:spacing w:val="0"/>
          <w:kern w:val="0"/>
          <w:rtl/>
        </w:rPr>
        <w:tab/>
        <w:t>ويدعي صاحب الشكوى أن أنشطته المتعلقة بحملة الانتخابات في عام 2005 وواقع أنه يُعرب صراحةً عن رأيه السياسي عندما يناقش المسؤولين في الحزب الحاكم، وكذلك كونه مهنياً متعلماً، أدى إلى أنه أصبح شخصية تلاحظها وتستهدفها الحكومة الإثيوبية. ويؤكد أن عمليات إلقاء القبض التي تجريها حكومة إثيوبيا لا تقتصر على السياسيين رفيعي المستوى وأن الحكومة تراقب عن كثب حركات المعارضة</w:t>
      </w:r>
      <w:r w:rsidRPr="00AA537D">
        <w:rPr>
          <w:spacing w:val="0"/>
          <w:kern w:val="0"/>
          <w:vertAlign w:val="superscript"/>
          <w:rtl/>
        </w:rPr>
        <w:t>(</w:t>
      </w:r>
      <w:r w:rsidRPr="00AA537D">
        <w:rPr>
          <w:rStyle w:val="FootnoteReference"/>
          <w:spacing w:val="0"/>
          <w:rtl/>
        </w:rPr>
        <w:footnoteReference w:id="340"/>
      </w:r>
      <w:r w:rsidRPr="00AA537D">
        <w:rPr>
          <w:spacing w:val="0"/>
          <w:kern w:val="0"/>
          <w:vertAlign w:val="superscript"/>
          <w:rtl/>
        </w:rPr>
        <w:t>)</w:t>
      </w:r>
      <w:r w:rsidRPr="00AA537D">
        <w:rPr>
          <w:rFonts w:hint="cs"/>
          <w:spacing w:val="0"/>
          <w:kern w:val="0"/>
          <w:rtl/>
        </w:rPr>
        <w:t>، داخل إثيوبيا وفي المنفى على السواء. ويدعي أن حملات ملاحقة المنشقين السياسيين من جانب الحكومة قد ازدادت حدتها بعد التشريع الذي اعتُمد مؤخراً لمكافحة الإرهاب. وتنص أحد مواد التشريع المشار إليه أعلاه على فرض عقوبة السجن لمدة 20 سنة على "أي شخص يقوم بكتابة أو تحرير أو طبع أو إصدار أو الإعـلان عـن أو نشر أو عرض أو إسمـاع أي بيان ترويجي يشجع أو يدعم أو يدعو إلى أفعال إرهاب"</w:t>
      </w:r>
      <w:r w:rsidRPr="00AA537D">
        <w:rPr>
          <w:spacing w:val="0"/>
          <w:kern w:val="0"/>
          <w:vertAlign w:val="superscript"/>
          <w:rtl/>
        </w:rPr>
        <w:t>(</w:t>
      </w:r>
      <w:r w:rsidRPr="00AA537D">
        <w:rPr>
          <w:rStyle w:val="FootnoteReference"/>
          <w:spacing w:val="0"/>
          <w:rtl/>
        </w:rPr>
        <w:footnoteReference w:id="341"/>
      </w:r>
      <w:r w:rsidRPr="00AA537D">
        <w:rPr>
          <w:spacing w:val="0"/>
          <w:kern w:val="0"/>
          <w:vertAlign w:val="superscript"/>
          <w:rtl/>
        </w:rPr>
        <w:t>)</w:t>
      </w:r>
      <w:r w:rsidRPr="00AA537D">
        <w:rPr>
          <w:rFonts w:hint="cs"/>
          <w:spacing w:val="0"/>
          <w:kern w:val="0"/>
          <w:rtl/>
        </w:rPr>
        <w:t>. ويشير أحد التحليلات إلى أن "التشريع يخلط بين المعارضة السياسية والإرهاب"</w:t>
      </w:r>
      <w:r w:rsidRPr="00AA537D">
        <w:rPr>
          <w:spacing w:val="0"/>
          <w:kern w:val="0"/>
          <w:vertAlign w:val="superscript"/>
          <w:rtl/>
        </w:rPr>
        <w:t>(</w:t>
      </w:r>
      <w:r w:rsidRPr="00AA537D">
        <w:rPr>
          <w:rStyle w:val="FootnoteReference"/>
          <w:spacing w:val="0"/>
          <w:rtl/>
        </w:rPr>
        <w:footnoteReference w:id="342"/>
      </w:r>
      <w:r w:rsidRPr="00AA537D">
        <w:rPr>
          <w:spacing w:val="0"/>
          <w:kern w:val="0"/>
          <w:vertAlign w:val="superscript"/>
          <w:rtl/>
        </w:rPr>
        <w:t>)</w:t>
      </w:r>
      <w:r w:rsidRPr="00AA537D">
        <w:rPr>
          <w:rFonts w:hint="cs"/>
          <w:spacing w:val="0"/>
          <w:kern w:val="0"/>
          <w:rtl/>
        </w:rPr>
        <w:t>. ويشير صاحب الشكوى أيضاً إلى تحليل صادر عن منظمة هيومن رايتس ووتش بشأن هذا القانون، يذكر أن "معارضي الحكومة والمواطنين العاديين يواجهون القمع سواء بسواء لإثنائهم عن التعبير الحر والنشاط السياسي ولمعاقبتهم على ذلك"</w:t>
      </w:r>
      <w:r w:rsidRPr="00AA537D">
        <w:rPr>
          <w:spacing w:val="0"/>
          <w:kern w:val="0"/>
          <w:vertAlign w:val="superscript"/>
          <w:rtl/>
        </w:rPr>
        <w:t>(</w:t>
      </w:r>
      <w:r w:rsidRPr="00AA537D">
        <w:rPr>
          <w:rStyle w:val="FootnoteReference"/>
          <w:spacing w:val="0"/>
          <w:sz w:val="2"/>
          <w:szCs w:val="2"/>
          <w:rtl/>
        </w:rPr>
        <w:footnoteReference w:id="343"/>
      </w:r>
      <w:r w:rsidR="00AA537D" w:rsidRPr="00AA537D">
        <w:rPr>
          <w:rFonts w:hint="cs"/>
          <w:spacing w:val="0"/>
          <w:kern w:val="0"/>
          <w:sz w:val="30"/>
          <w:vertAlign w:val="superscript"/>
          <w:rtl/>
        </w:rPr>
        <w:t>ﻫ</w:t>
      </w:r>
      <w:r w:rsidRPr="00AA537D">
        <w:rPr>
          <w:spacing w:val="0"/>
          <w:kern w:val="0"/>
          <w:vertAlign w:val="superscript"/>
          <w:rtl/>
        </w:rPr>
        <w:t>)</w:t>
      </w:r>
      <w:r w:rsidRPr="00AA537D">
        <w:rPr>
          <w:rFonts w:hint="cs"/>
          <w:spacing w:val="0"/>
          <w:kern w:val="0"/>
          <w:rtl/>
        </w:rPr>
        <w:t xml:space="preserve">. </w:t>
      </w:r>
    </w:p>
    <w:p w:rsidR="00FA6676" w:rsidRPr="00AA537D" w:rsidRDefault="00FA6676" w:rsidP="00AA537D">
      <w:pPr>
        <w:pStyle w:val="SingleTxtGA"/>
        <w:jc w:val="lowKashida"/>
        <w:rPr>
          <w:rFonts w:hint="cs"/>
          <w:spacing w:val="0"/>
          <w:kern w:val="0"/>
          <w:rtl/>
        </w:rPr>
      </w:pPr>
      <w:r w:rsidRPr="00AA537D">
        <w:rPr>
          <w:rFonts w:hint="cs"/>
          <w:spacing w:val="0"/>
          <w:kern w:val="0"/>
          <w:rtl/>
        </w:rPr>
        <w:t>2-6</w:t>
      </w:r>
      <w:r w:rsidRPr="00AA537D">
        <w:rPr>
          <w:rFonts w:hint="cs"/>
          <w:spacing w:val="0"/>
          <w:kern w:val="0"/>
          <w:rtl/>
        </w:rPr>
        <w:tab/>
        <w:t>ويدعي صاحب الشكوى أنه كثف نشاطه السياسي بعد وصوله إلى سويسرا وأنه قدم صوراً عديدة تثبت مشاركته في المظاهرات والمناسبات السياسية، وجميعها منشورة على الإنترنت. ويدعي أنه أصبح، من خلال نشاطه المستمر والثابت، شخصية بارزة جداً في الحركة الإثيوبية في المنفى. وأكد على أن غيابه الطويل عن إثيوبيا من جهة، وآرائه السياسية من جهة أخرى، هم ما سيجعله فعلا عرضة للاضطهاد في حال عودته إلى بلده الأصلي. ويشير صاحب الشكوى إلى تقارير وزارة الخارجية الأمريكية التي تشير إلى أن الشرطة الإثيوبية تستعمل أساليب التعذيب ضد المعارضين والناقدين السياسيين. ويشير أيضاً إلى تقارير لجنة حماية الصحفيين</w:t>
      </w:r>
      <w:r w:rsidRPr="00AA537D">
        <w:rPr>
          <w:spacing w:val="0"/>
          <w:kern w:val="0"/>
          <w:vertAlign w:val="superscript"/>
          <w:rtl/>
        </w:rPr>
        <w:t>(</w:t>
      </w:r>
      <w:r w:rsidRPr="00AA537D">
        <w:rPr>
          <w:rStyle w:val="FootnoteReference"/>
          <w:spacing w:val="0"/>
          <w:rtl/>
        </w:rPr>
        <w:footnoteReference w:id="344"/>
      </w:r>
      <w:r w:rsidRPr="00AA537D">
        <w:rPr>
          <w:spacing w:val="0"/>
          <w:kern w:val="0"/>
          <w:vertAlign w:val="superscript"/>
          <w:rtl/>
        </w:rPr>
        <w:t>)</w:t>
      </w:r>
      <w:r w:rsidRPr="00AA537D">
        <w:rPr>
          <w:rFonts w:hint="cs"/>
          <w:spacing w:val="0"/>
          <w:kern w:val="0"/>
          <w:rtl/>
        </w:rPr>
        <w:t xml:space="preserve"> وتقرير صادر عن منظمة هيومن رايتس ووتش يشير إلى أن المحتجزين والسجناء المدانين كلاهما يواجه التعذيب وغيره من ضروب سوء المعاملة، ويذكر بياناً من نفس المنظمة يشير إلى لجوء الشرطة الإثيوبية والموظفين العسكريين في كل من مرافق الاحتجاز الرسمية والسرية في جميع أنحاء إثيوبيا، إلى التعذيب. ويشير أيضاً إلى تقرير بيت الحرية "حرية الصحافة 2009: إثيوبيا"، الصادر في </w:t>
      </w:r>
      <w:r w:rsidRPr="00AA537D">
        <w:rPr>
          <w:rFonts w:hint="cs"/>
          <w:spacing w:val="0"/>
          <w:kern w:val="0"/>
          <w:sz w:val="30"/>
          <w:rtl/>
        </w:rPr>
        <w:t xml:space="preserve">أيار/مايو </w:t>
      </w:r>
      <w:r w:rsidRPr="00AA537D">
        <w:rPr>
          <w:rFonts w:hint="cs"/>
          <w:spacing w:val="0"/>
          <w:kern w:val="0"/>
          <w:rtl/>
        </w:rPr>
        <w:t>2009، الذي يفيد بأن حكومة إثيوبيا تقوم برصد وحجب مواقع ومدونات المعارضة على شبكة الإنترنت، بما في ذلك المواقع الإخبارية التي يديرها الإثيوبيون الذين يعيشون في الخارج.</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الشكوى</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3-</w:t>
      </w:r>
      <w:r w:rsidRPr="00AA537D">
        <w:rPr>
          <w:rFonts w:hint="cs"/>
          <w:spacing w:val="0"/>
          <w:kern w:val="0"/>
          <w:rtl/>
          <w:lang w:val="fr-CH"/>
        </w:rPr>
        <w:tab/>
        <w:t>يدعي صاحب الشكوى أن إعادته القسرية إلى إثيوبيا ستشكل انتهاكاً من سويسرا لحقوقه بموجب المادة 3 من اتفاقية مناهضة التعذيب وغيره من ضروب المعاملة أو العقوبة القاسية أو اللاإنسانية أو المهينة، لأنه سيتعرض لخطر التعذيب أو غيره من ضروب المعاملة اللاإنسانية والمهينة من جانب السلطات الإثيوبية في حال إعادته.</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ملاحظات الدولة الطرف بشأن مقبولية الشكوى وأسسها الموضوعية</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4-1</w:t>
      </w:r>
      <w:r w:rsidRPr="00AA537D">
        <w:rPr>
          <w:rFonts w:hint="cs"/>
          <w:spacing w:val="0"/>
          <w:kern w:val="0"/>
          <w:rtl/>
          <w:lang w:val="fr-CH"/>
        </w:rPr>
        <w:tab/>
        <w:t xml:space="preserve">في 30 </w:t>
      </w:r>
      <w:r w:rsidRPr="00AA537D">
        <w:rPr>
          <w:rFonts w:hint="cs"/>
          <w:spacing w:val="0"/>
          <w:kern w:val="0"/>
          <w:sz w:val="30"/>
          <w:rtl/>
          <w:lang w:val="fr-CH"/>
        </w:rPr>
        <w:t xml:space="preserve">آذار/مارس </w:t>
      </w:r>
      <w:r w:rsidRPr="00AA537D">
        <w:rPr>
          <w:rFonts w:hint="cs"/>
          <w:spacing w:val="0"/>
          <w:kern w:val="0"/>
          <w:rtl/>
          <w:lang w:val="fr-CH"/>
        </w:rPr>
        <w:t>2010، أبلغت الدولة الطرف اللجنة بأن صاحب الشكوى سيظل في سويسرا أثناء نظر اللجنة في قضيته أو حتى تُرفع التدابير المؤقتة.</w:t>
      </w:r>
    </w:p>
    <w:p w:rsidR="00FA6676" w:rsidRPr="00AA537D" w:rsidRDefault="00FA6676" w:rsidP="00AA537D">
      <w:pPr>
        <w:pStyle w:val="SingleTxtGA"/>
        <w:jc w:val="lowKashida"/>
        <w:rPr>
          <w:rFonts w:hint="cs"/>
          <w:spacing w:val="0"/>
          <w:kern w:val="0"/>
          <w:rtl/>
        </w:rPr>
      </w:pPr>
      <w:r w:rsidRPr="00AA537D">
        <w:rPr>
          <w:rFonts w:hint="cs"/>
          <w:spacing w:val="0"/>
          <w:kern w:val="0"/>
          <w:rtl/>
          <w:lang w:val="fr-CH"/>
        </w:rPr>
        <w:t>4-2</w:t>
      </w:r>
      <w:r w:rsidRPr="00AA537D">
        <w:rPr>
          <w:rFonts w:hint="cs"/>
          <w:spacing w:val="0"/>
          <w:kern w:val="0"/>
          <w:rtl/>
          <w:lang w:val="fr-CH"/>
        </w:rPr>
        <w:tab/>
        <w:t xml:space="preserve">وتدعي الدولة الطرف أن صاحب الشكوى قدم طلباً أوليـاً للجـوء في سويسرا، في 23 </w:t>
      </w:r>
      <w:r w:rsidRPr="00AA537D">
        <w:rPr>
          <w:rFonts w:hint="cs"/>
          <w:spacing w:val="0"/>
          <w:kern w:val="0"/>
          <w:sz w:val="30"/>
          <w:rtl/>
          <w:lang w:val="fr-CH"/>
        </w:rPr>
        <w:t xml:space="preserve">حزيران/يونيه </w:t>
      </w:r>
      <w:r w:rsidRPr="00AA537D">
        <w:rPr>
          <w:rFonts w:hint="cs"/>
          <w:spacing w:val="0"/>
          <w:kern w:val="0"/>
          <w:rtl/>
          <w:lang w:val="fr-CH"/>
        </w:rPr>
        <w:t>2006. وادعى أنه يخشى التعرض للمضايقة بعد انتخابـات عام</w:t>
      </w:r>
      <w:r w:rsidR="00AA537D">
        <w:rPr>
          <w:rFonts w:hint="eastAsia"/>
          <w:spacing w:val="0"/>
          <w:kern w:val="0"/>
          <w:rtl/>
          <w:lang w:val="fr-CH"/>
        </w:rPr>
        <w:t> </w:t>
      </w:r>
      <w:r w:rsidRPr="00AA537D">
        <w:rPr>
          <w:rFonts w:hint="cs"/>
          <w:spacing w:val="0"/>
          <w:kern w:val="0"/>
          <w:rtl/>
          <w:lang w:val="fr-CH"/>
        </w:rPr>
        <w:t xml:space="preserve">2005، لأنه مؤيد لحزب التحالف من أجل الوحدة والديمقراطية. وقد رفض مكتب الهجرة الاتحادي، في 18 </w:t>
      </w:r>
      <w:r w:rsidRPr="00AA537D">
        <w:rPr>
          <w:rFonts w:hint="cs"/>
          <w:spacing w:val="0"/>
          <w:kern w:val="0"/>
          <w:sz w:val="30"/>
          <w:rtl/>
          <w:lang w:val="fr-CH"/>
        </w:rPr>
        <w:t xml:space="preserve">آب/أغسطس </w:t>
      </w:r>
      <w:r w:rsidRPr="00AA537D">
        <w:rPr>
          <w:rFonts w:hint="cs"/>
          <w:spacing w:val="0"/>
          <w:kern w:val="0"/>
          <w:rtl/>
          <w:lang w:val="fr-CH"/>
        </w:rPr>
        <w:t xml:space="preserve">2006، طلبه. ورفضت المحكمة الإدارية الاتحادية الطعن في هذا القرار، في 18 </w:t>
      </w:r>
      <w:r w:rsidRPr="00AA537D">
        <w:rPr>
          <w:rFonts w:hint="cs"/>
          <w:spacing w:val="0"/>
          <w:kern w:val="0"/>
          <w:sz w:val="30"/>
          <w:rtl/>
          <w:lang w:val="fr-CH"/>
        </w:rPr>
        <w:t xml:space="preserve">تموز/يوليه </w:t>
      </w:r>
      <w:r w:rsidRPr="00AA537D">
        <w:rPr>
          <w:rFonts w:hint="cs"/>
          <w:spacing w:val="0"/>
          <w:kern w:val="0"/>
          <w:rtl/>
          <w:lang w:val="fr-CH"/>
        </w:rPr>
        <w:t xml:space="preserve">2008. وفي 10 </w:t>
      </w:r>
      <w:r w:rsidRPr="00AA537D">
        <w:rPr>
          <w:rFonts w:hint="cs"/>
          <w:spacing w:val="0"/>
          <w:kern w:val="0"/>
          <w:sz w:val="30"/>
          <w:rtl/>
          <w:lang w:val="fr-CH"/>
        </w:rPr>
        <w:t xml:space="preserve">آذار/مارس </w:t>
      </w:r>
      <w:r w:rsidRPr="00AA537D">
        <w:rPr>
          <w:rFonts w:hint="cs"/>
          <w:spacing w:val="0"/>
          <w:kern w:val="0"/>
          <w:rtl/>
          <w:lang w:val="fr-CH"/>
        </w:rPr>
        <w:t xml:space="preserve">2009، قدم صاحب الشكوى طلباً ثانياً للجوء، مدعياً أن طبيعة أنشطته السياسية في سويسرا ترجح اهتمام السلطات الإثيوبية الكبير بإلقاء القبض عليه. وفي 30 </w:t>
      </w:r>
      <w:r w:rsidRPr="00AA537D">
        <w:rPr>
          <w:rFonts w:hint="cs"/>
          <w:spacing w:val="0"/>
          <w:kern w:val="0"/>
          <w:sz w:val="30"/>
          <w:rtl/>
          <w:lang w:val="fr-CH"/>
        </w:rPr>
        <w:t xml:space="preserve">نيسان/أبريل </w:t>
      </w:r>
      <w:r w:rsidRPr="00AA537D">
        <w:rPr>
          <w:rFonts w:hint="cs"/>
          <w:spacing w:val="0"/>
          <w:kern w:val="0"/>
          <w:rtl/>
          <w:lang w:val="fr-CH"/>
        </w:rPr>
        <w:t xml:space="preserve">2009، رفض مكتب الهجرة الاتحادي هذا الطلب. وقد اعترف صاحب الشكوى صراحةً في دعوى الطعن التي رفعها أمام المحكمة الإدارية الاتحادية، بأن القرار الصادر في 18 </w:t>
      </w:r>
      <w:r w:rsidRPr="00AA537D">
        <w:rPr>
          <w:rFonts w:hint="cs"/>
          <w:spacing w:val="0"/>
          <w:kern w:val="0"/>
          <w:sz w:val="30"/>
          <w:rtl/>
          <w:lang w:val="fr-CH"/>
        </w:rPr>
        <w:t xml:space="preserve">تموز/يوليه </w:t>
      </w:r>
      <w:r w:rsidRPr="00AA537D">
        <w:rPr>
          <w:rFonts w:hint="cs"/>
          <w:spacing w:val="0"/>
          <w:kern w:val="0"/>
          <w:rtl/>
          <w:lang w:val="fr-CH"/>
        </w:rPr>
        <w:t>2008 قد دخل حيز النفاذ</w:t>
      </w:r>
      <w:r w:rsidRPr="00AA537D">
        <w:rPr>
          <w:rFonts w:hint="cs"/>
          <w:spacing w:val="0"/>
          <w:kern w:val="0"/>
          <w:rtl/>
        </w:rPr>
        <w:t xml:space="preserve"> وأن دوافع طلبه لا تستند إلا إلى أنشطة سياسية شارك فيها في سويسرا. ورفضت المحكمة الإدارية الاتحادية هذا الطعن في قرارها الصادر في 10 </w:t>
      </w:r>
      <w:r w:rsidRPr="00AA537D">
        <w:rPr>
          <w:rFonts w:hint="cs"/>
          <w:spacing w:val="0"/>
          <w:kern w:val="0"/>
          <w:sz w:val="30"/>
          <w:rtl/>
        </w:rPr>
        <w:t xml:space="preserve">شباط/فبراير </w:t>
      </w:r>
      <w:r w:rsidRPr="00AA537D">
        <w:rPr>
          <w:rFonts w:hint="cs"/>
          <w:spacing w:val="0"/>
          <w:kern w:val="0"/>
          <w:rtl/>
        </w:rPr>
        <w:t>2010.</w:t>
      </w:r>
    </w:p>
    <w:p w:rsidR="00FA6676" w:rsidRPr="00AA537D" w:rsidRDefault="00FA6676" w:rsidP="00AA537D">
      <w:pPr>
        <w:pStyle w:val="SingleTxtGA"/>
        <w:jc w:val="lowKashida"/>
        <w:rPr>
          <w:rFonts w:hint="cs"/>
          <w:spacing w:val="0"/>
          <w:kern w:val="0"/>
          <w:rtl/>
        </w:rPr>
      </w:pPr>
      <w:r w:rsidRPr="00AA537D">
        <w:rPr>
          <w:rFonts w:hint="cs"/>
          <w:spacing w:val="0"/>
          <w:kern w:val="0"/>
          <w:rtl/>
        </w:rPr>
        <w:t>4-3</w:t>
      </w:r>
      <w:r w:rsidRPr="00AA537D">
        <w:rPr>
          <w:rFonts w:hint="cs"/>
          <w:spacing w:val="0"/>
          <w:kern w:val="0"/>
          <w:rtl/>
        </w:rPr>
        <w:tab/>
        <w:t>وتدعي الدولة الطرف أن صاحب الشكوى يحتج أمام اللجنة بأنه سيتعرض شخصيا</w:t>
      </w:r>
      <w:r w:rsidR="0025419A">
        <w:rPr>
          <w:rFonts w:hint="cs"/>
          <w:spacing w:val="0"/>
          <w:kern w:val="0"/>
          <w:rtl/>
        </w:rPr>
        <w:t>ً</w:t>
      </w:r>
      <w:r w:rsidRPr="00AA537D">
        <w:rPr>
          <w:rFonts w:hint="cs"/>
          <w:spacing w:val="0"/>
          <w:kern w:val="0"/>
          <w:rtl/>
        </w:rPr>
        <w:t xml:space="preserve">، في حال إعادته إلى بلده، لخطر التعذيب الفعلي والمحقق، وذلك بسبب أنشطته السياسية في سويسرا. وهو لا يقدم أي عناصر جديدة تشكك في القرار الصادر في 10 </w:t>
      </w:r>
      <w:r w:rsidRPr="00AA537D">
        <w:rPr>
          <w:rFonts w:hint="cs"/>
          <w:spacing w:val="0"/>
          <w:kern w:val="0"/>
          <w:sz w:val="30"/>
          <w:rtl/>
        </w:rPr>
        <w:t xml:space="preserve">شباط/فبراير </w:t>
      </w:r>
      <w:r w:rsidRPr="00AA537D">
        <w:rPr>
          <w:rFonts w:hint="cs"/>
          <w:spacing w:val="0"/>
          <w:kern w:val="0"/>
          <w:rtl/>
        </w:rPr>
        <w:t>2010 عن المحكمة الإدارية الاتحادية، الذي صدر بعد إجراء دراسة مفصلة لقضيته، لكنه يعترض على تقييم الوقائع والأدلة من جانب المحكمة. وتدعي الدولة الطرف أنها ستقوم بإثبات صحة قرار المحكمة، في ضوء المادة 3 من الاتفاقية، والاجتهاد القضائي للجنة وتعليقاتها العامة، وتصر على أن ترحيل صاحب الشكوى إلى إثيوبيا لن يشكل انتهاكاً من جانب سويسرا لأحكام الاتفاقية.</w:t>
      </w:r>
    </w:p>
    <w:p w:rsidR="00FA6676" w:rsidRPr="00AA537D" w:rsidRDefault="00FA6676" w:rsidP="00AA537D">
      <w:pPr>
        <w:pStyle w:val="SingleTxtGA"/>
        <w:jc w:val="lowKashida"/>
        <w:rPr>
          <w:rFonts w:hint="cs"/>
          <w:spacing w:val="0"/>
          <w:kern w:val="0"/>
          <w:rtl/>
        </w:rPr>
      </w:pPr>
      <w:r w:rsidRPr="00AA537D">
        <w:rPr>
          <w:rFonts w:hint="cs"/>
          <w:spacing w:val="0"/>
          <w:kern w:val="0"/>
          <w:rtl/>
        </w:rPr>
        <w:t>4-4</w:t>
      </w:r>
      <w:r w:rsidRPr="00AA537D">
        <w:rPr>
          <w:rFonts w:hint="cs"/>
          <w:spacing w:val="0"/>
          <w:kern w:val="0"/>
          <w:rtl/>
        </w:rPr>
        <w:tab/>
        <w:t>وتدفع الدولة الطرف أنه، عملاً بالمادة 3 من الاتفاقية، يحظر على الدول الأطراف طرد أو إعادة أو تسليم شخص إلى دولة أخرى توجد فيها أسباب حقيقية تدعو إلى الاعتقاد بأنه سيتعرض لخطر التعذيب. ولتحديد وجود مثل هذه الأسباب، يتعين على السلطات المختصة أن تراعي جميع الاعتبارات ذات الصلة، بما في ذلك وجود نسق ثابت من الانتهاكات الفادحة أو الصارخة أو الجماعية لحقوق الإنسان في الدولة المعنية، حينما ينطبق ذلك</w:t>
      </w:r>
      <w:r w:rsidRPr="00AA537D">
        <w:rPr>
          <w:spacing w:val="0"/>
          <w:kern w:val="0"/>
          <w:vertAlign w:val="superscript"/>
          <w:rtl/>
        </w:rPr>
        <w:t>(</w:t>
      </w:r>
      <w:r w:rsidRPr="00AA537D">
        <w:rPr>
          <w:spacing w:val="0"/>
          <w:kern w:val="0"/>
          <w:vertAlign w:val="superscript"/>
          <w:rtl/>
        </w:rPr>
        <w:footnoteReference w:id="345"/>
      </w:r>
      <w:r w:rsidRPr="00AA537D">
        <w:rPr>
          <w:spacing w:val="0"/>
          <w:kern w:val="0"/>
          <w:vertAlign w:val="superscript"/>
          <w:rtl/>
        </w:rPr>
        <w:t>)</w:t>
      </w:r>
      <w:r w:rsidRPr="00AA537D">
        <w:rPr>
          <w:rFonts w:hint="cs"/>
          <w:spacing w:val="0"/>
          <w:kern w:val="0"/>
          <w:rtl/>
        </w:rPr>
        <w:t>. ووجود انتهاكات فادحة أو صارخة أو جماعية لحقوق الإنسان ليس في حد ذاته أساساً كافياً لاستنتاج أن شخصاً ما قد يتعرض للتعذيب عند عودته إلى بلده، وينبغي أن تكون هناك أسباب إضافية لكي يكون خطر التعرض للتعذيب مستوفيا</w:t>
      </w:r>
      <w:r w:rsidR="0025419A">
        <w:rPr>
          <w:rFonts w:hint="cs"/>
          <w:spacing w:val="0"/>
          <w:kern w:val="0"/>
          <w:rtl/>
        </w:rPr>
        <w:t>ً</w:t>
      </w:r>
      <w:r w:rsidRPr="00AA537D">
        <w:rPr>
          <w:rFonts w:hint="cs"/>
          <w:spacing w:val="0"/>
          <w:kern w:val="0"/>
          <w:rtl/>
        </w:rPr>
        <w:t xml:space="preserve"> للشرط المنصوص عليه في المادة 3 أي أن يكون "خطراً متوقعاً وحقيقياًًً وشخصياً".</w:t>
      </w:r>
    </w:p>
    <w:p w:rsidR="00FA6676" w:rsidRPr="00AA537D" w:rsidRDefault="00FA6676" w:rsidP="00AA537D">
      <w:pPr>
        <w:pStyle w:val="SingleTxtGA"/>
        <w:jc w:val="lowKashida"/>
        <w:rPr>
          <w:rFonts w:hint="cs"/>
          <w:spacing w:val="-2"/>
          <w:kern w:val="0"/>
          <w:rtl/>
        </w:rPr>
      </w:pPr>
      <w:r w:rsidRPr="00AA537D">
        <w:rPr>
          <w:rFonts w:hint="cs"/>
          <w:spacing w:val="0"/>
          <w:kern w:val="0"/>
          <w:rtl/>
        </w:rPr>
        <w:t>4-5</w:t>
      </w:r>
      <w:r w:rsidRPr="00AA537D">
        <w:rPr>
          <w:rFonts w:hint="cs"/>
          <w:spacing w:val="0"/>
          <w:kern w:val="0"/>
          <w:rtl/>
        </w:rPr>
        <w:tab/>
        <w:t>وفيما يتعلق بالحالة العامة لحقوق الإنسان في إثيوبيا، تدعي الدولة الطرف أن الانتخابات التي جرت في إثيوبيا في أيار/مايو 2005 وفي آب/أغسطس 2005 قد عززت تمثيل أحزاب المعارضة في البرلمان. وتعترف بأنه على الرغم من كون الدستور الإثيوبي يعترف صراحة بحقوق الإنسان، فإن هناك حالات عديدة للتوقيف والاحتجاز التعسفيين، ولا سيما لأعضاء أحزاب المعارضة. وفضلاً عن ذلك، فإن السلطة القضائية تفتقر للاستقلالية. ومع ذلك، فإن العضوية في حزب سياسي معارض أو تأييده لا يؤدي، من حيث المبدأ، إلى خطر التعرض للاضطهاد. وإن الأمر يختلف بالنسبة للأشخاص الذين يحتلون مركزاً بارزاً في أي حزب سياسي معارض</w:t>
      </w:r>
      <w:r w:rsidRPr="00AA537D">
        <w:rPr>
          <w:spacing w:val="0"/>
          <w:kern w:val="0"/>
          <w:vertAlign w:val="superscript"/>
          <w:rtl/>
        </w:rPr>
        <w:t>(</w:t>
      </w:r>
      <w:r w:rsidRPr="00AA537D">
        <w:rPr>
          <w:spacing w:val="0"/>
          <w:kern w:val="0"/>
          <w:vertAlign w:val="superscript"/>
          <w:rtl/>
        </w:rPr>
        <w:footnoteReference w:id="346"/>
      </w:r>
      <w:r w:rsidRPr="00AA537D">
        <w:rPr>
          <w:spacing w:val="0"/>
          <w:kern w:val="0"/>
          <w:vertAlign w:val="superscript"/>
          <w:rtl/>
        </w:rPr>
        <w:t>)</w:t>
      </w:r>
      <w:r w:rsidRPr="00AA537D">
        <w:rPr>
          <w:rFonts w:hint="cs"/>
          <w:spacing w:val="0"/>
          <w:kern w:val="0"/>
          <w:rtl/>
        </w:rPr>
        <w:t xml:space="preserve">. وفي ضوء المعلومات أعلاه، تعتمد سلطات اللجوء السويسرية المختصة ممارسات قادرة على التمييز عند تحديد خطر التعرض للاضطهاد. فالأفراد الذين </w:t>
      </w:r>
      <w:r w:rsidRPr="00AA537D">
        <w:rPr>
          <w:rFonts w:hint="cs"/>
          <w:spacing w:val="-2"/>
          <w:kern w:val="0"/>
          <w:rtl/>
        </w:rPr>
        <w:t>تشتبه السلطات الإثيوبية في أنهم أعضاء في جبهة تحرير أورومو أو جبهة أوغادن للتحرير الوطني يعتبرون معرضين لخطر الاضطهاد. وفيما يتعلق بالأشخاص المنتمين لمجموعات معارضة أخرى، مثل حزب التحالف من أجل الوحدة والديمقراطية، فإن خطر التعرض للاضطهاد يُقيَّم على أساس كل حالة على حدة، وفقاً للمعايير المشار إليهـا أعلاه. وفيما يتعلق برصد الأنشطة السياسية في المنفى، تدعي الدولة الطرف أنه وفقاً للمعلومات المتاحة لديها، فإن البعثات الدبلوماسية أو القنصلية الإثيوبية تفتقر للموارد البشرية والهيكلية لكي تقوم بصورة منتظمة برصد الأنشطة السياسية لأفراد المعارضة في سويسرا. ومع ذلك، فإن أعضاء المعارضة الناشطين و/أو البارزين، وكذلك الناشطين في المنظمات التي تشن حملات لاستخدام العنف، يتعرضون لخطر تحديد هوياتهم وتسجيلهم وبالتالي للاضطهاد في حال إعادتهم.</w:t>
      </w:r>
    </w:p>
    <w:p w:rsidR="00FA6676" w:rsidRPr="00AA537D" w:rsidRDefault="00FA6676" w:rsidP="00AA537D">
      <w:pPr>
        <w:pStyle w:val="SingleTxtGA"/>
        <w:jc w:val="lowKashida"/>
        <w:rPr>
          <w:rFonts w:hint="cs"/>
          <w:spacing w:val="0"/>
          <w:kern w:val="0"/>
          <w:rtl/>
        </w:rPr>
      </w:pPr>
      <w:r w:rsidRPr="00AA537D">
        <w:rPr>
          <w:rFonts w:hint="cs"/>
          <w:spacing w:val="0"/>
          <w:kern w:val="0"/>
          <w:rtl/>
        </w:rPr>
        <w:t>4-6</w:t>
      </w:r>
      <w:r w:rsidRPr="00AA537D">
        <w:rPr>
          <w:rFonts w:hint="cs"/>
          <w:spacing w:val="0"/>
          <w:kern w:val="0"/>
          <w:rtl/>
        </w:rPr>
        <w:tab/>
        <w:t>وتلاحظ الدولة الطرف أن صاحب الشكوى لا يدعي أنه عانى من التعذيب أو أنه ألقي القبض عليه أو احتجز من جانب السلطات الإثيوبية.</w:t>
      </w:r>
    </w:p>
    <w:p w:rsidR="00FA6676" w:rsidRPr="00AA537D" w:rsidRDefault="00FA6676" w:rsidP="00AA537D">
      <w:pPr>
        <w:pStyle w:val="SingleTxtGA"/>
        <w:jc w:val="lowKashida"/>
        <w:rPr>
          <w:rFonts w:hint="cs"/>
          <w:spacing w:val="0"/>
          <w:kern w:val="0"/>
          <w:rtl/>
        </w:rPr>
      </w:pPr>
      <w:r w:rsidRPr="00AA537D">
        <w:rPr>
          <w:rFonts w:hint="cs"/>
          <w:spacing w:val="0"/>
          <w:kern w:val="0"/>
          <w:rtl/>
        </w:rPr>
        <w:t>4-7</w:t>
      </w:r>
      <w:r w:rsidRPr="00AA537D">
        <w:rPr>
          <w:rFonts w:hint="cs"/>
          <w:spacing w:val="0"/>
          <w:kern w:val="0"/>
          <w:rtl/>
        </w:rPr>
        <w:tab/>
        <w:t>أما فيما يتعلق بالأنشطة السياسية التي شارك صاحب الشكوى فيها في بلده الأصلي، فإن الدولة الطرف تدفع أن صاحب الشكوى بدا وكأنه مهتم بالسياسة، ولكن العمل الذي قام به فعلاً في سياق انتخابات أيار/مايو 2005 لم يكن ذا طابع يجعله شخصية يهتم بها النظام الإثيوبي. وتكرر الدولة الطرف الحجة التي قدمتها المحكمة الإدارية الاتحادية بأن صاحب الشكوى لم يقدم بصورة مقنعة ما يثبت أنه كان سيتعرض للاضطهاد من جانب السلطات بعد تلك الانتخابات. وقد استندت المحكمة في استنتاجها إلى أوجه التضارب بين أقوال صاحب الشكوى في 18 تموز/يوليه 2006 وفي 26 تموز/يوليه 2006</w:t>
      </w:r>
      <w:r w:rsidRPr="00AA537D">
        <w:rPr>
          <w:spacing w:val="0"/>
          <w:kern w:val="0"/>
          <w:vertAlign w:val="superscript"/>
          <w:rtl/>
        </w:rPr>
        <w:t>(</w:t>
      </w:r>
      <w:r w:rsidRPr="00AA537D">
        <w:rPr>
          <w:spacing w:val="0"/>
          <w:kern w:val="0"/>
          <w:vertAlign w:val="superscript"/>
          <w:rtl/>
        </w:rPr>
        <w:footnoteReference w:id="347"/>
      </w:r>
      <w:r w:rsidRPr="00AA537D">
        <w:rPr>
          <w:spacing w:val="0"/>
          <w:kern w:val="0"/>
          <w:vertAlign w:val="superscript"/>
          <w:rtl/>
        </w:rPr>
        <w:t>)</w:t>
      </w:r>
      <w:r w:rsidRPr="00AA537D">
        <w:rPr>
          <w:rFonts w:hint="cs"/>
          <w:spacing w:val="0"/>
          <w:kern w:val="0"/>
          <w:rtl/>
        </w:rPr>
        <w:t>، وإلى أنـه لم يكن من الواضح من ملف القضية ما إذا كان صاحب الشكوى قد شارك في مظاهرات عام 2005 أم لا. وبناءً على ما سبق، استنتجت سلطات اللجوء المحلية أن صاحب الشكوى لم يتمكن من تقديم دليل جدير بالتصديق بأن السلطات كانت تبحث عنه بعد انتخابات عام</w:t>
      </w:r>
      <w:r w:rsidR="00AA537D">
        <w:rPr>
          <w:rFonts w:hint="eastAsia"/>
          <w:spacing w:val="0"/>
          <w:kern w:val="0"/>
          <w:rtl/>
        </w:rPr>
        <w:t> </w:t>
      </w:r>
      <w:r w:rsidRPr="00AA537D">
        <w:rPr>
          <w:rFonts w:hint="cs"/>
          <w:spacing w:val="0"/>
          <w:kern w:val="0"/>
          <w:rtl/>
        </w:rPr>
        <w:t>2005 بسبب أنشطته السياسية، أو أن السلطات الإثيوبية كانت ستتخذ أي إجراء ضده بسبب أنشطته. وتصر الدولة الطرف على أن عدم تمكن صاحب الشكوى من الكشف عن الهوية الشخصية التي استخدمها للمجيء إلى أوروبا جواً (من الخرطوم بالسودان إلى فرانكفورت بألمانيا ومن ثم إلى ميلانو بإيطاليا) قد أكد هذا الاستنتاج.</w:t>
      </w:r>
    </w:p>
    <w:p w:rsidR="00FA6676" w:rsidRPr="00AA537D" w:rsidRDefault="00FA6676" w:rsidP="00AA537D">
      <w:pPr>
        <w:pStyle w:val="SingleTxtGA"/>
        <w:jc w:val="lowKashida"/>
        <w:rPr>
          <w:rFonts w:hint="cs"/>
          <w:spacing w:val="0"/>
          <w:kern w:val="0"/>
          <w:rtl/>
        </w:rPr>
      </w:pPr>
      <w:r w:rsidRPr="00AA537D">
        <w:rPr>
          <w:rFonts w:hint="cs"/>
          <w:spacing w:val="0"/>
          <w:kern w:val="0"/>
          <w:rtl/>
        </w:rPr>
        <w:t>4-8</w:t>
      </w:r>
      <w:r w:rsidRPr="00AA537D">
        <w:rPr>
          <w:rFonts w:hint="cs"/>
          <w:spacing w:val="0"/>
          <w:kern w:val="0"/>
          <w:rtl/>
        </w:rPr>
        <w:tab/>
        <w:t xml:space="preserve">وتلاحظ الدولة الطرف أن صاحب الشكوى يدعي أمام اللجنة أنه عضو مؤسس لمكتب حزب التحالف من أجل الوحدة والديمقراطية في سويسرا. ومع ذلك، فقد ذكر أمام السلطات المحلية أنه أصبح عضواً في هذه المنظمة التي تم تأسيسها قبل وصوله إلى سويسرا، في آب/أغسطس 2006. ووفقاً لصاحب الشكوى، فإنه كان عضواً نشطاً في مكتب الحزب المذكور في سويسرا، وأنه شارك بصفة خاصة في بعض المظاهرات والاجتماعات التي نظمها </w:t>
      </w:r>
      <w:r w:rsidRPr="00AA537D">
        <w:rPr>
          <w:rFonts w:hint="cs"/>
          <w:spacing w:val="0"/>
          <w:kern w:val="0"/>
          <w:sz w:val="20"/>
          <w:rtl/>
        </w:rPr>
        <w:t xml:space="preserve">مكتب الحزب في سويسرا، وساهم في منتدى </w:t>
      </w:r>
      <w:r w:rsidRPr="00AA537D">
        <w:rPr>
          <w:spacing w:val="0"/>
          <w:kern w:val="0"/>
          <w:sz w:val="20"/>
        </w:rPr>
        <w:t>cyberethiopia.com</w:t>
      </w:r>
      <w:r w:rsidRPr="00AA537D">
        <w:rPr>
          <w:rFonts w:hint="cs"/>
          <w:spacing w:val="0"/>
          <w:kern w:val="0"/>
          <w:sz w:val="20"/>
          <w:rtl/>
        </w:rPr>
        <w:t xml:space="preserve"> على الإنترنت في الفترة</w:t>
      </w:r>
      <w:r w:rsidRPr="00AA537D">
        <w:rPr>
          <w:rFonts w:hint="cs"/>
          <w:spacing w:val="0"/>
          <w:kern w:val="0"/>
          <w:rtl/>
        </w:rPr>
        <w:t xml:space="preserve"> بين كانون الأول/ديسمبر 2008 وشباط/فبراير 2009. ولم يدع صاحب الشكوى أنه شارك في أنشطة تتجاوز الأنشطة المذكورة أو أنه احتل مركزاً قيادياً في المنظمة. وتلاحظ الدولة الطرف أن المحكمة الإدارية الاتحادية أجرت تحليلاً مسهباً لإدعاءات صاحب الشكوى، وأن المحكمة لاحظت بصفة خاصة مشاركته السياسية المحدودة للغاية في سويسرا. وتدعي الدولة الطرف أيضاً أنه بسبب الموارد المحدودة لدى السلطات الإثيوبية، فإنها تركز كل اهتمامها على الأشخاص الذين تتجاوز أنشطتهم "السلوك العادي" أو الذين يؤدون مهمة خاصة أو نشاط خاص يمكن أن يهـدد النظـام الإثيوبي. ومع ذلك، فإن صاحب الشكوى لم يبد أية ملامح سياسية عند وصوله إلى سويسرا، وأنه من المعقول، في نظر الدولة الطرف، استبعاد احتمال أنه طور هذه الملامح فيما بعد. وتصر الدولة الطرف على أن الوثائق التي قدمها صاحب الشكوى لا تبين أن نوع النشاط في سويسرا يمكن أن يجذب انتباه السلطات الإثيوبية. وكون صاحب الشكوى قد ظهر في صور للمشاركين في بعض المظاهرات ونشر مقالات على شبكة الإنترنت لا يكفي لإثبات خطر تعرضه للاضطهاد في حال إعادته. وتصـر الـدولة الطرف على أن مظاهرات سياسية عديدة تحدث في سويسرا، وأن الصور أو تسجيلات الفيديو التي تبين أحياناً مئات الأشخاص، هي متاحة لعامة الجمهور من خلال وسائل الإعلام المعنية، وأن من غير المرجح أن تتمكن السلطات الإثيوبية من تحديد هوية كل شخص أو أن يكون لها حتى المعرفة بانضمام صاحب الشكوى إلى المنظمة المذكورة أعلاه.</w:t>
      </w:r>
    </w:p>
    <w:p w:rsidR="00FA6676" w:rsidRPr="00AA537D" w:rsidRDefault="00FA6676" w:rsidP="0025419A">
      <w:pPr>
        <w:pStyle w:val="SingleTxtGA"/>
        <w:jc w:val="lowKashida"/>
        <w:rPr>
          <w:rFonts w:hint="cs"/>
          <w:spacing w:val="0"/>
          <w:kern w:val="0"/>
          <w:rtl/>
        </w:rPr>
      </w:pPr>
      <w:r w:rsidRPr="00AA537D">
        <w:rPr>
          <w:rFonts w:hint="cs"/>
          <w:spacing w:val="0"/>
          <w:kern w:val="0"/>
          <w:rtl/>
        </w:rPr>
        <w:t>4-9</w:t>
      </w:r>
      <w:r w:rsidRPr="00AA537D">
        <w:rPr>
          <w:rFonts w:hint="cs"/>
          <w:spacing w:val="0"/>
          <w:kern w:val="0"/>
          <w:rtl/>
        </w:rPr>
        <w:tab/>
        <w:t>وتدفع الدولة الطرف بعدم جود أي دليل يثبت أن السلطات الإثيوبية اتخذت إجراءات جنائية ضد صاحب الشكوى أو أنها اعتمدت تدابير أخرى تمسه. ووفقاً لذلك، فإن سلطات الهجرة في الدولة الطرف لم تقتنع بادعاء صاحب الشكوى بأنه يضطلع، ضمن مجموعة المغتربين الإثيوبيين في سويسرا، بدور كفيل بأن يجذب انتباه السلطات الإثيوبية. وبعبارة أخرى، فإن صاحب الشكوى لم يثبت أنه سوف يتعرض لخطر سوء المعاملة بسبب أنشطته السياسية في سويسرا، في حال إعادته إلى إثيوبيا.</w:t>
      </w:r>
    </w:p>
    <w:p w:rsidR="00FA6676" w:rsidRPr="00AA537D" w:rsidRDefault="00FA6676" w:rsidP="00AA537D">
      <w:pPr>
        <w:pStyle w:val="SingleTxtGA"/>
        <w:jc w:val="lowKashida"/>
        <w:rPr>
          <w:rFonts w:hint="cs"/>
          <w:spacing w:val="0"/>
          <w:kern w:val="0"/>
          <w:rtl/>
        </w:rPr>
      </w:pPr>
      <w:r w:rsidRPr="00AA537D">
        <w:rPr>
          <w:rFonts w:hint="cs"/>
          <w:spacing w:val="0"/>
          <w:kern w:val="0"/>
          <w:rtl/>
        </w:rPr>
        <w:t>4-10</w:t>
      </w:r>
      <w:r w:rsidRPr="00AA537D">
        <w:rPr>
          <w:rFonts w:hint="cs"/>
          <w:spacing w:val="0"/>
          <w:kern w:val="0"/>
          <w:rtl/>
        </w:rPr>
        <w:tab/>
        <w:t>وتدفع الدولة الطرف بأنه، بناءً على ما سبق، لا يوجد ما يشير إلى أن هناك أسباباً حقيقية تدعو إلى الخشية من أن صاحب الشكوى سيواجه خطراً متوقعاً وحقيق</w:t>
      </w:r>
      <w:r w:rsidR="0025419A">
        <w:rPr>
          <w:rFonts w:hint="cs"/>
          <w:spacing w:val="0"/>
          <w:kern w:val="0"/>
          <w:rtl/>
        </w:rPr>
        <w:t>ي</w:t>
      </w:r>
      <w:r w:rsidRPr="00AA537D">
        <w:rPr>
          <w:rFonts w:hint="cs"/>
          <w:spacing w:val="0"/>
          <w:kern w:val="0"/>
          <w:rtl/>
        </w:rPr>
        <w:t>اً وشخصياً بالتعرض للتعذيب إثر عودته إلى إثيوبيا، وتدعو لجنة مناهضة التعذيب إلى أن تقرر أن إعادة صاحب الشكوى إلى إثيوبيا لن تشكل انتهاكاً للالتزامات الدولية لسويسرا بموجب المادة 3 من الاتفاقية.</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تعليقات صاحب الشكوى على ملاحظات الدولة الطرف</w:t>
      </w:r>
    </w:p>
    <w:p w:rsidR="00FA6676" w:rsidRPr="00AA537D" w:rsidRDefault="00FA6676" w:rsidP="00AA537D">
      <w:pPr>
        <w:pStyle w:val="SingleTxtGA"/>
        <w:jc w:val="lowKashida"/>
        <w:rPr>
          <w:rFonts w:hint="cs"/>
          <w:spacing w:val="0"/>
          <w:kern w:val="0"/>
          <w:rtl/>
        </w:rPr>
      </w:pPr>
      <w:r w:rsidRPr="00AA537D">
        <w:rPr>
          <w:rFonts w:hint="cs"/>
          <w:spacing w:val="0"/>
          <w:kern w:val="0"/>
          <w:rtl/>
        </w:rPr>
        <w:t>5-1</w:t>
      </w:r>
      <w:r w:rsidRPr="00AA537D">
        <w:rPr>
          <w:rFonts w:hint="cs"/>
          <w:spacing w:val="0"/>
          <w:kern w:val="0"/>
          <w:rtl/>
        </w:rPr>
        <w:tab/>
        <w:t>في 30 آب/أغسطس 2010، دفع صاحب الشكوى أن سلطات الهجرة السويسرية نفسها اعترفت بأنه كان يتملكه اهتمام سياسي عارم وأن من المرجح أن يكون قد شارك في مناقشات سياسية هامة في عام 2005. ويؤكد أنه شارك بفاعلية في عام 2005 في حملة الانتخابات المؤيدة لحزب التحالف من أجل الوحدة والديمقراطية، وأنه كان مناضل مطلع بالحركة المعارضة. ويؤكد أنه يتصف بعدة خصائص تجعل منه عاملاً محتملاً لزعزعة استقرار نظام الحكم في إثيوبيا، وعليه فمن المحتمل جداً أن يأخذ ذلك النظام نشاطه المعارض في المنفى مأخذ الجد. ويدفع أيضاً بأنه لم يستمر بانتظام في النشاط السياسي في الحزب المذكور من خلال المشاركة في مظاهرات وكتابة مقالات نشرت في منتديات الإنترنت فحسب، بل إنه يمثل الحزب في مقاطعة زيوريخ.</w:t>
      </w:r>
    </w:p>
    <w:p w:rsidR="00FA6676" w:rsidRPr="00AA537D" w:rsidRDefault="00FA6676" w:rsidP="00AA537D">
      <w:pPr>
        <w:pStyle w:val="SingleTxtGA"/>
        <w:jc w:val="lowKashida"/>
        <w:rPr>
          <w:rFonts w:hint="cs"/>
          <w:spacing w:val="0"/>
          <w:kern w:val="0"/>
          <w:rtl/>
        </w:rPr>
      </w:pPr>
      <w:r w:rsidRPr="00AA537D">
        <w:rPr>
          <w:rFonts w:hint="cs"/>
          <w:spacing w:val="0"/>
          <w:kern w:val="0"/>
          <w:rtl/>
        </w:rPr>
        <w:t>5-2</w:t>
      </w:r>
      <w:r w:rsidRPr="00AA537D">
        <w:rPr>
          <w:rFonts w:hint="cs"/>
          <w:spacing w:val="0"/>
          <w:kern w:val="0"/>
          <w:rtl/>
        </w:rPr>
        <w:tab/>
        <w:t>ويؤكد صاحب الشكوى أن السلطات الإثيوبية لديها "وسائل حديثة للغاية لرصد أنشطة المعارضة في المنفى". وفي حال العودة، يتم فحص الأعضاء في الحركة المعارضة الإثيوبية ويتعرضون لخطر السجن بسبب أنشطتهم في المنفى. ويشير صاحب الشكوى إلى حالة القاضي بيرتوكان ميديكسا، وهو رئيس سابق لحزب الوحدة من أجل الديمقراطية والعدالة، الذي تم إلقاء القبض عليه في تاريخ مجهول عند عودته إلى إثيوبيا بعد سفره إلى أوروبا وإبدائه تعليقات تنتقد النظام العام. ويدعي صاحب الشكوى أنه قام بنشر مقالات انتقادية متعددة على مواقع إثيوبية لمنشقين سياسيين على الإنترنت، وأنه نظراً ل‍ "سبل الرصد التقنية المتقدمة للغاية" المتاحة للسلطات الإثيوبية، من المرجح للغاية أنه تم تحديد هويته كعضو ناشط في المعارضة في المنفى، وبصفة خاصة نظراً لمنصبه كممثل لحزب التحالف من أجل الوحدة والديمقراطية في مقاطعة زيوريخ.</w:t>
      </w:r>
    </w:p>
    <w:p w:rsidR="00FA6676" w:rsidRPr="00AA537D" w:rsidRDefault="00FA6676" w:rsidP="00AA537D">
      <w:pPr>
        <w:pStyle w:val="SingleTxtGA"/>
        <w:jc w:val="lowKashida"/>
        <w:rPr>
          <w:rFonts w:hint="cs"/>
          <w:spacing w:val="0"/>
          <w:kern w:val="0"/>
          <w:rtl/>
        </w:rPr>
      </w:pPr>
      <w:r w:rsidRPr="00AA537D">
        <w:rPr>
          <w:rFonts w:hint="cs"/>
          <w:spacing w:val="0"/>
          <w:kern w:val="0"/>
          <w:rtl/>
        </w:rPr>
        <w:t>5-3</w:t>
      </w:r>
      <w:r w:rsidRPr="00AA537D">
        <w:rPr>
          <w:rFonts w:hint="cs"/>
          <w:spacing w:val="0"/>
          <w:kern w:val="0"/>
          <w:rtl/>
        </w:rPr>
        <w:tab/>
        <w:t>ويدعي صاحب الشكوى أيضاً أن النظام في بلده يواجه بعداء شديد الانتقادات والمعارضة بصفة عامة. ويدعي أن قمع الخطب السياسية والمظاهرات السلمية أصبح أمراً مشروعاً بعد صدور تشريع مكافحة الإرهاب مؤخراً. واحتجاز أشخاص يشتبه في أن لديهم صلة بأحزاب معارضة هو أمر شائع. ويؤكد صاحب الشكوى أنه في حال عودته إلى إثيوبيا، سيتعرض للاعتقال والاستجواب، وأن ظروف السجن في إثيوبيا هي من بين الأسوأ في العالم، وأن التعذيب يعد ممارسة شائعة. ويشير صاحب الشكوى أيضاً إلى قضية منحت فيها سلطات الهجرة السويسرية مركز اللاجئ إلى مواطن إثيوبي كان يعمل لدى مجلس حقوق الإنسان الإثيوبي، وكان آنذاك ناشطاً بصفته ممثلاً للتحالف من أجل الوحدة والديمقراطية في إحدى المقاطعات. ويدعي أن قضيته مماثلة، وبالتالي يصر صاحب الشكوى على أن ادعاءات الدولة الطرف بأن من غير المرجح أن يكون اسمه قد سُجل لدى السلطات الإثيوبية لا تقدم أي ضمان "إزاء احتمال تعرضه لسوء المعاملة". ويكرر أن إعادته القسرية من جانب سويسرا إلى إثيوبيا ستنتهك التزامات سويسرا بموجب المادة 3 من الاتفاقية.</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المسائل والإجراءات المعروضة على اللجنة</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النظر في المقبولية</w:t>
      </w:r>
    </w:p>
    <w:p w:rsidR="00FA6676" w:rsidRPr="003A2D39" w:rsidRDefault="00FA6676" w:rsidP="003A2D39">
      <w:pPr>
        <w:pStyle w:val="SingleTxtGA"/>
        <w:jc w:val="lowKashida"/>
        <w:rPr>
          <w:rFonts w:hint="cs"/>
          <w:spacing w:val="-2"/>
          <w:kern w:val="0"/>
          <w:rtl/>
        </w:rPr>
      </w:pPr>
      <w:r w:rsidRPr="003A2D39">
        <w:rPr>
          <w:rFonts w:hint="cs"/>
          <w:spacing w:val="-2"/>
          <w:kern w:val="0"/>
          <w:rtl/>
        </w:rPr>
        <w:t>6-1</w:t>
      </w:r>
      <w:r w:rsidRPr="003A2D39">
        <w:rPr>
          <w:rFonts w:hint="cs"/>
          <w:spacing w:val="-2"/>
          <w:kern w:val="0"/>
          <w:rtl/>
        </w:rPr>
        <w:tab/>
      </w:r>
      <w:r w:rsidR="003A2D39" w:rsidRPr="003A2D39">
        <w:rPr>
          <w:spacing w:val="-2"/>
          <w:kern w:val="0"/>
          <w:sz w:val="20"/>
          <w:rtl/>
        </w:rPr>
        <w:t xml:space="preserve">قبل النظر في أية ادعاءات ترد في شكوى ما، </w:t>
      </w:r>
      <w:r w:rsidR="003A2D39" w:rsidRPr="003A2D39">
        <w:rPr>
          <w:rFonts w:hint="cs"/>
          <w:spacing w:val="-2"/>
          <w:kern w:val="0"/>
          <w:sz w:val="20"/>
          <w:rtl/>
        </w:rPr>
        <w:t>يتعين</w:t>
      </w:r>
      <w:r w:rsidR="003A2D39" w:rsidRPr="003A2D39">
        <w:rPr>
          <w:spacing w:val="-2"/>
          <w:kern w:val="0"/>
          <w:sz w:val="20"/>
          <w:rtl/>
        </w:rPr>
        <w:t xml:space="preserve"> على لجنة مناهضة التعذيب أن </w:t>
      </w:r>
      <w:r w:rsidR="003A2D39" w:rsidRPr="003A2D39">
        <w:rPr>
          <w:rFonts w:hint="cs"/>
          <w:spacing w:val="-2"/>
          <w:kern w:val="0"/>
          <w:sz w:val="20"/>
          <w:rtl/>
        </w:rPr>
        <w:t>تبت في</w:t>
      </w:r>
      <w:r w:rsidR="003A2D39" w:rsidRPr="003A2D39">
        <w:rPr>
          <w:spacing w:val="-2"/>
          <w:kern w:val="0"/>
          <w:sz w:val="20"/>
          <w:rtl/>
        </w:rPr>
        <w:t>ما إذا كانت الشكوى مقبولة أم لا</w:t>
      </w:r>
      <w:r w:rsidRPr="003A2D39">
        <w:rPr>
          <w:rFonts w:hint="cs"/>
          <w:spacing w:val="-2"/>
          <w:kern w:val="0"/>
          <w:rtl/>
        </w:rPr>
        <w:t xml:space="preserve"> بموجب المادة 22 من الاتفاقية. وقد تأكدت اللجنة، وفقاً لما تقتضيه الفقرة 5(أ) من المادة 22 من الاتفاقية، من أن المسألة نفسها لم تبحث وليست قيد البحث في إطار أي إجراء آخر من إجراءات التحقيق أو التسوية الدوليين.</w:t>
      </w:r>
    </w:p>
    <w:p w:rsidR="00FA6676" w:rsidRPr="00AA537D" w:rsidRDefault="00FA6676" w:rsidP="00AA537D">
      <w:pPr>
        <w:pStyle w:val="SingleTxtGA"/>
        <w:jc w:val="lowKashida"/>
        <w:rPr>
          <w:rFonts w:hint="cs"/>
          <w:spacing w:val="0"/>
          <w:kern w:val="0"/>
          <w:rtl/>
        </w:rPr>
      </w:pPr>
      <w:r w:rsidRPr="00AA537D">
        <w:rPr>
          <w:rFonts w:hint="cs"/>
          <w:spacing w:val="0"/>
          <w:kern w:val="0"/>
          <w:rtl/>
        </w:rPr>
        <w:t>6-2</w:t>
      </w:r>
      <w:r w:rsidRPr="00AA537D">
        <w:rPr>
          <w:rFonts w:hint="cs"/>
          <w:spacing w:val="0"/>
          <w:kern w:val="0"/>
          <w:rtl/>
        </w:rPr>
        <w:tab/>
        <w:t>وتذكّر اللجنة أنه وفقاً لأحكام الفقرة 5(ب) من المادة 22 من الاتفاقية، فإنها لن تنظر في أي بلاغ يرد من أي فرد ما لم تتحقق من أن هذا الفرد قد استنفد جميع سبل الانتصاف المحلية المتاحة. وتلاحظ اللجنة أنه في هذه القضية، اعترفت الدولة الطرف بأن صاحب الشكوى قد استنفد جميع سبل الانتصاف المحلية المتاحة. وبما أن اللجنة لا تجد أي عقبات أخرى أمام مقبولية الشكوى، فإنها تعلن عن مقبوليته.</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النظر في الأسس الموضوعية للبلاغ</w:t>
      </w:r>
    </w:p>
    <w:p w:rsidR="00FA6676" w:rsidRPr="00AA537D" w:rsidRDefault="00FA6676" w:rsidP="00AA537D">
      <w:pPr>
        <w:pStyle w:val="SingleTxtGA"/>
        <w:jc w:val="lowKashida"/>
        <w:rPr>
          <w:rFonts w:hint="cs"/>
          <w:spacing w:val="0"/>
          <w:kern w:val="0"/>
          <w:rtl/>
        </w:rPr>
      </w:pPr>
      <w:r w:rsidRPr="00AA537D">
        <w:rPr>
          <w:rFonts w:hint="cs"/>
          <w:spacing w:val="0"/>
          <w:kern w:val="0"/>
          <w:rtl/>
        </w:rPr>
        <w:t>7-</w:t>
      </w:r>
      <w:r w:rsidRPr="00AA537D">
        <w:rPr>
          <w:rFonts w:hint="cs"/>
          <w:spacing w:val="0"/>
          <w:kern w:val="0"/>
          <w:rtl/>
        </w:rPr>
        <w:tab/>
        <w:t>نظرت اللجنة في هذا البلاغ في ضوء جميع المعلومات التي أُتيحت لها من جانب الأطراف المعنية، وفقاً لأحكام الفقرة 4 من المادة 22 من الاتفاقية.</w:t>
      </w:r>
    </w:p>
    <w:p w:rsidR="00FA6676" w:rsidRPr="00AA537D" w:rsidRDefault="00FA6676" w:rsidP="00AA537D">
      <w:pPr>
        <w:pStyle w:val="SingleTxtGA"/>
        <w:jc w:val="lowKashida"/>
        <w:rPr>
          <w:rFonts w:hint="cs"/>
          <w:spacing w:val="0"/>
          <w:kern w:val="0"/>
          <w:rtl/>
        </w:rPr>
      </w:pPr>
      <w:r w:rsidRPr="00AA537D">
        <w:rPr>
          <w:rFonts w:hint="cs"/>
          <w:spacing w:val="0"/>
          <w:kern w:val="0"/>
          <w:rtl/>
        </w:rPr>
        <w:t>7-2</w:t>
      </w:r>
      <w:r w:rsidRPr="00AA537D">
        <w:rPr>
          <w:rFonts w:hint="cs"/>
          <w:spacing w:val="0"/>
          <w:kern w:val="0"/>
          <w:rtl/>
        </w:rPr>
        <w:tab/>
        <w:t>والموضوع المطروح أمام اللجنة هو ما إذا كان ترحيل صاحب الشكوى إلى إثيوبيا سيشكل انتهاكاً لالتزامات الدولة الطرف بموجب المادة 3 من الاتفاقية بعدم طرد أو إعادة (ردّ) شخص إلى دولة أخرى إذا كانت هناك أسباب حقيقية تدعو للاعتقاد بأنه سيكون معرضاً لخطر التعذيب. ويجب على اللجنة تقييم ما إذا كانت هناك أسباب حقيقية تدعو إلى الاعتقاد بأن صاحب الشكوى سيتعرض شخصياً لخطر التعذيب عند عودته إلى إثيوبيا. ولتقييم هذا الخطر، على اللجنة أن تراعي جميع الاعتبارات ذات الصلة، عملاً بالفقرة 2 من المادة 3 من الاتفاقية، بما في ذلك مدى وجود نمط ثابت من الانتهاكات الفادحة أو الصارخة أو الجماعية لحقوق الإنسان. بيد أن اللجنة تذّكر بأن الهدف من ذلك التحديد هو التأكد من أن الفرد المعني سيواجه شخصياً خطراً متوقعاً وحقيقياً بالتعرض للتعذيب في البلد الذي سيعود إليه.</w:t>
      </w:r>
    </w:p>
    <w:p w:rsidR="00FA6676" w:rsidRPr="00FA5E40" w:rsidRDefault="00FA6676" w:rsidP="004930E5">
      <w:pPr>
        <w:pStyle w:val="SingleTxtGA"/>
        <w:jc w:val="lowKashida"/>
        <w:rPr>
          <w:rFonts w:hint="cs"/>
          <w:spacing w:val="-2"/>
          <w:kern w:val="0"/>
          <w:rtl/>
        </w:rPr>
      </w:pPr>
      <w:r w:rsidRPr="00FA5E40">
        <w:rPr>
          <w:rFonts w:hint="cs"/>
          <w:spacing w:val="-2"/>
          <w:kern w:val="0"/>
          <w:rtl/>
        </w:rPr>
        <w:t>7-3</w:t>
      </w:r>
      <w:r w:rsidRPr="00FA5E40">
        <w:rPr>
          <w:rFonts w:hint="cs"/>
          <w:spacing w:val="-2"/>
          <w:kern w:val="0"/>
          <w:rtl/>
        </w:rPr>
        <w:tab/>
        <w:t>وتّذكر اللجنة بتعليقها العام رقم 1 الذي جاء فيه أنه "يجب أن يُقدَّر خطر التعذيب على أسس تتجاوز مجرد الافتراض أو الشك. غير أنه لا يتحتم أن يكون هذا الخطر موافقاً لاختبار مدى احتمال وقوعه" (الفقرة 6)، بل ينبغي أن يكون شخصياً ومحدقاً. وفي قرارات سابقة بهذا الخصوص، قررت اللجنة أن خطر التعرض للتعذيب يجب أن يكون متوقعاً وحقيق</w:t>
      </w:r>
      <w:r w:rsidR="0025419A">
        <w:rPr>
          <w:rFonts w:hint="cs"/>
          <w:spacing w:val="-2"/>
          <w:kern w:val="0"/>
          <w:rtl/>
        </w:rPr>
        <w:t>ي</w:t>
      </w:r>
      <w:r w:rsidRPr="00FA5E40">
        <w:rPr>
          <w:rFonts w:hint="cs"/>
          <w:spacing w:val="-2"/>
          <w:kern w:val="0"/>
          <w:rtl/>
        </w:rPr>
        <w:t>اً وشخصياً</w:t>
      </w:r>
      <w:r w:rsidRPr="00FA5E40">
        <w:rPr>
          <w:spacing w:val="-2"/>
          <w:kern w:val="0"/>
          <w:vertAlign w:val="superscript"/>
          <w:rtl/>
        </w:rPr>
        <w:t>(</w:t>
      </w:r>
      <w:r w:rsidRPr="00FA5E40">
        <w:rPr>
          <w:spacing w:val="-2"/>
          <w:kern w:val="0"/>
          <w:vertAlign w:val="superscript"/>
          <w:rtl/>
        </w:rPr>
        <w:footnoteReference w:id="348"/>
      </w:r>
      <w:r w:rsidRPr="00FA5E40">
        <w:rPr>
          <w:spacing w:val="-2"/>
          <w:kern w:val="0"/>
          <w:vertAlign w:val="superscript"/>
          <w:rtl/>
        </w:rPr>
        <w:t>)</w:t>
      </w:r>
      <w:r w:rsidRPr="00FA5E40">
        <w:rPr>
          <w:rFonts w:hint="cs"/>
          <w:spacing w:val="-2"/>
          <w:kern w:val="0"/>
          <w:rtl/>
        </w:rPr>
        <w:t xml:space="preserve">. وتذكّر اللجنة بأنه وفقاً لأحكام التعليق العام رقم 1، فإنها تعطي وزناً كبيراً لاستنتاجات الوقائع التي توصلت إليها هيئات الدولة الطرف المعنية، وفي الوقت نفسه فإنها غير ملتزمة بهذه الاستنتاجات، بل إنها تملك صلاحية بموجب أحكام الفقرة 4 من المادة 22 من الاتفاقية لإجراء تقييم حر للوقائع بالاستناد إلى </w:t>
      </w:r>
      <w:r w:rsidR="004930E5">
        <w:rPr>
          <w:rFonts w:hint="cs"/>
          <w:spacing w:val="-2"/>
          <w:kern w:val="0"/>
          <w:rtl/>
        </w:rPr>
        <w:t xml:space="preserve">مُجمل ملابسات </w:t>
      </w:r>
      <w:r w:rsidRPr="00FA5E40">
        <w:rPr>
          <w:rFonts w:hint="cs"/>
          <w:spacing w:val="-2"/>
          <w:kern w:val="0"/>
          <w:rtl/>
        </w:rPr>
        <w:t>كل حالة.</w:t>
      </w:r>
    </w:p>
    <w:p w:rsidR="00FA6676" w:rsidRPr="00AA537D" w:rsidRDefault="00FA6676" w:rsidP="00FA5E40">
      <w:pPr>
        <w:pStyle w:val="SingleTxtGA"/>
        <w:jc w:val="lowKashida"/>
        <w:rPr>
          <w:rFonts w:hint="cs"/>
          <w:spacing w:val="0"/>
          <w:kern w:val="0"/>
          <w:rtl/>
        </w:rPr>
      </w:pPr>
      <w:r w:rsidRPr="00AA537D">
        <w:rPr>
          <w:rFonts w:hint="cs"/>
          <w:spacing w:val="0"/>
          <w:kern w:val="0"/>
          <w:rtl/>
        </w:rPr>
        <w:t>7-4</w:t>
      </w:r>
      <w:r w:rsidRPr="00AA537D">
        <w:rPr>
          <w:rFonts w:hint="cs"/>
          <w:spacing w:val="0"/>
          <w:kern w:val="0"/>
          <w:rtl/>
        </w:rPr>
        <w:tab/>
        <w:t>وقد أحاطت اللجنة علماً بالمعلومات التي قدمها صاحب الشكوى بشأن مشاركته في الحملة الانتخابية في عام 2005 وفي أنشطة مكتب حزب التحالف من أجل الوحدة والديمقراطية في سويسرا. وأحاطت اللجنة علماً أيضاً بالمعلومات التي قدمها صاحب الشكوى والتي تفيد بأنه تلقى تحذيراً في عام 2005 من صديق، كانت لديه اتصالات بالحزب الحاكم، تفيد بأن الشرطة كانت تبحث عنه. ومع ذلك، تلاحظ اللجنة أن صاحب الشكوى لم يقدم أي دليل يثبت أن الشرطة أو أي سلطات أخرى في إثيوبيا كانت تبحث عنه منذ ذلك الحين. وتلاحظ اللجنة أيضاً أن صاحب الشكوى لم يتعرض قط لأي احتجاز أو سوء معاملة من جانب السلطات خلال انتخابات عام 2005 أو بعدها، كما أنه لا</w:t>
      </w:r>
      <w:r w:rsidR="00FA5E40">
        <w:rPr>
          <w:rFonts w:hint="eastAsia"/>
          <w:spacing w:val="0"/>
          <w:kern w:val="0"/>
          <w:rtl/>
        </w:rPr>
        <w:t> </w:t>
      </w:r>
      <w:r w:rsidRPr="00AA537D">
        <w:rPr>
          <w:rFonts w:hint="cs"/>
          <w:spacing w:val="0"/>
          <w:kern w:val="0"/>
          <w:rtl/>
        </w:rPr>
        <w:t>يـدعِي أنه وجهت إليه تهم بموجب قانون مكافحة الإرهاب أو أي قانون محلي أخر. وتلاحظ اللجنة أيضاً أن صاحب الشكوى يشير إلى أن السلطات الإثيوبية تستخدم وسائل تكنولوجية متقدمة لرصد المنشقين الإثيوبيين في الخارج، لكنها تلاحظ أنه لم يتوسع في شرح هذا الادعاء كما أنه لم يقدم أي دليل لدعمه. وترى اللجنة أن صاحب الشكوى لم يقدم أدلة كافية على الاضطلاع بأي نشاط سياسي هام إلى درجة تثير اهتمـام السلطات الإثيوبية، ولا أي دليل ملموس آخر يثبت أن السلطات في بلده تبحث عنه أو أنه في خطر شخصي للتعرض للتعذيب في حال إعادته إلى إثيوبيا.</w:t>
      </w:r>
    </w:p>
    <w:p w:rsidR="00FA6676" w:rsidRPr="00AA537D" w:rsidRDefault="00FA6676" w:rsidP="00AA537D">
      <w:pPr>
        <w:pStyle w:val="SingleTxtGA"/>
        <w:jc w:val="lowKashida"/>
        <w:rPr>
          <w:rFonts w:hint="cs"/>
          <w:spacing w:val="0"/>
          <w:kern w:val="0"/>
          <w:rtl/>
        </w:rPr>
      </w:pPr>
      <w:r w:rsidRPr="00AA537D">
        <w:rPr>
          <w:rFonts w:hint="cs"/>
          <w:spacing w:val="0"/>
          <w:kern w:val="0"/>
          <w:rtl/>
        </w:rPr>
        <w:t>7-5</w:t>
      </w:r>
      <w:r w:rsidRPr="00AA537D">
        <w:rPr>
          <w:rFonts w:hint="cs"/>
          <w:spacing w:val="0"/>
          <w:kern w:val="0"/>
          <w:rtl/>
        </w:rPr>
        <w:tab/>
        <w:t>وتخلص اللجنة إلى أنه وفقاً لذلك، فإن المعلـومات التي قدمها صاحب الشكوى، بما في ذلك مستوى أنشطته السياسية المنخفض في إثيوبيا وأنشطته اللاحقة في سويسرا، غير كافية لإثبات ادعائه بأنه سيواجه شخصياً خطراً كبيراً بالتعرض للتعذيب في حال إعادته إلى إثيوبيا. ويساور اللجنة القلق إزاء التقارير العديدة عن انتهاكات حقوق الإنسان في إثيوبيا، بما في ذلك اللجوء إلى التعذيب</w:t>
      </w:r>
      <w:r w:rsidRPr="00AA537D">
        <w:rPr>
          <w:spacing w:val="0"/>
          <w:kern w:val="0"/>
          <w:vertAlign w:val="superscript"/>
          <w:rtl/>
        </w:rPr>
        <w:t>(</w:t>
      </w:r>
      <w:r w:rsidRPr="00AA537D">
        <w:rPr>
          <w:spacing w:val="0"/>
          <w:kern w:val="0"/>
          <w:vertAlign w:val="superscript"/>
          <w:rtl/>
        </w:rPr>
        <w:footnoteReference w:id="349"/>
      </w:r>
      <w:r w:rsidRPr="00AA537D">
        <w:rPr>
          <w:spacing w:val="0"/>
          <w:kern w:val="0"/>
          <w:vertAlign w:val="superscript"/>
          <w:rtl/>
        </w:rPr>
        <w:t>)</w:t>
      </w:r>
      <w:r w:rsidRPr="00AA537D">
        <w:rPr>
          <w:rFonts w:hint="cs"/>
          <w:spacing w:val="0"/>
          <w:kern w:val="0"/>
          <w:rtl/>
        </w:rPr>
        <w:t>، لكنها تذكّر بأنه ينبغي، لأغراض المادة 3 من الاتفاقية، أن يوجد في البلد الذي يوشك الشخص أن يعاد إليه خطر متوقع وحقيقي وشخصي بأن يتعرض فيه هذا الشخص للتعذيب. وفي ضوء ما جاء أعلاه، ترى اللجنة أنه لم يتم إثبات وجود مثل هذا الخطر.</w:t>
      </w:r>
    </w:p>
    <w:p w:rsidR="00FA6676" w:rsidRPr="00AA537D" w:rsidRDefault="00FA6676" w:rsidP="00AA537D">
      <w:pPr>
        <w:pStyle w:val="SingleTxtGA"/>
        <w:jc w:val="lowKashida"/>
        <w:rPr>
          <w:rFonts w:hint="cs"/>
          <w:spacing w:val="0"/>
          <w:kern w:val="0"/>
          <w:rtl/>
        </w:rPr>
      </w:pPr>
      <w:r w:rsidRPr="00AA537D">
        <w:rPr>
          <w:rFonts w:hint="cs"/>
          <w:spacing w:val="0"/>
          <w:kern w:val="0"/>
          <w:rtl/>
        </w:rPr>
        <w:t>8-</w:t>
      </w:r>
      <w:r w:rsidRPr="00AA537D">
        <w:rPr>
          <w:rFonts w:hint="cs"/>
          <w:spacing w:val="0"/>
          <w:kern w:val="0"/>
          <w:rtl/>
        </w:rPr>
        <w:tab/>
        <w:t>وفي ضوء ما جاء أعلاه، فإن لجنة مناهضة التعذيب، وهي تتـصرف بمـوجب الفقرة 7 من المادة 22 من اتفاقية مناهضة التعذيب وغيره من ضروب المعاملة أو العقوبة القاسية أو اللاإنسانية أو المهينة، تخلص إلى أن قرار الدولة الطرف بإعادة مقدم الشكوى إلى إثيوبيا لن يمثل انتهاكاً للمادة 3 من الاتفاقية.</w:t>
      </w:r>
    </w:p>
    <w:p w:rsidR="00FA6676" w:rsidRPr="00AA537D" w:rsidRDefault="00FA6676" w:rsidP="00AA537D">
      <w:pPr>
        <w:pStyle w:val="SingleTxtGA"/>
        <w:jc w:val="lowKashida"/>
        <w:rPr>
          <w:rFonts w:hint="cs"/>
          <w:spacing w:val="0"/>
          <w:kern w:val="0"/>
          <w:rtl/>
        </w:rPr>
      </w:pPr>
    </w:p>
    <w:p w:rsidR="00AA537D" w:rsidRDefault="00AA537D" w:rsidP="00AA537D">
      <w:pPr>
        <w:pStyle w:val="HChGA"/>
        <w:jc w:val="lowKashida"/>
        <w:rPr>
          <w:spacing w:val="0"/>
          <w:kern w:val="0"/>
          <w:rtl/>
          <w:lang w:bidi="ar-SY"/>
        </w:rPr>
        <w:sectPr w:rsidR="00AA537D"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FA6676" w:rsidRPr="00AA537D" w:rsidRDefault="00FA6676" w:rsidP="00AA537D">
      <w:pPr>
        <w:pStyle w:val="H1GA"/>
        <w:spacing w:before="120"/>
        <w:rPr>
          <w:rFonts w:hint="cs"/>
          <w:kern w:val="0"/>
          <w:rtl/>
          <w:lang w:bidi="ar-SY"/>
        </w:rPr>
      </w:pPr>
      <w:r w:rsidRPr="00AA537D">
        <w:rPr>
          <w:rFonts w:hint="cs"/>
          <w:kern w:val="0"/>
          <w:rtl/>
          <w:lang w:bidi="ar-SY"/>
        </w:rPr>
        <w:tab/>
      </w:r>
      <w:r w:rsidRPr="00AA537D">
        <w:rPr>
          <w:rFonts w:hint="cs"/>
          <w:kern w:val="0"/>
          <w:rtl/>
          <w:lang w:bidi="ar-SY"/>
        </w:rPr>
        <w:tab/>
        <w:t xml:space="preserve">البلاغ رقم 424/2010: </w:t>
      </w:r>
      <w:r w:rsidRPr="00ED61B0">
        <w:rPr>
          <w:rFonts w:hint="cs"/>
          <w:i/>
          <w:iCs/>
          <w:kern w:val="0"/>
          <w:rtl/>
          <w:lang w:bidi="ar-SY"/>
        </w:rPr>
        <w:t>م. ز. أ. ضد السويد</w:t>
      </w:r>
    </w:p>
    <w:p w:rsidR="00FA6676" w:rsidRPr="00AA537D" w:rsidRDefault="00FA6676" w:rsidP="00AA537D">
      <w:pPr>
        <w:pStyle w:val="SingleTxtGA"/>
        <w:tabs>
          <w:tab w:val="clear" w:pos="2608"/>
          <w:tab w:val="clear" w:pos="3289"/>
          <w:tab w:val="clear" w:pos="3969"/>
          <w:tab w:val="clear" w:pos="4649"/>
          <w:tab w:val="clear" w:pos="5330"/>
          <w:tab w:val="left" w:pos="4598"/>
        </w:tabs>
        <w:ind w:left="4627" w:hanging="2699"/>
        <w:jc w:val="lowKashida"/>
        <w:rPr>
          <w:rFonts w:hint="cs"/>
          <w:spacing w:val="0"/>
          <w:kern w:val="0"/>
          <w:szCs w:val="20"/>
          <w:rtl/>
        </w:rPr>
      </w:pPr>
      <w:r w:rsidRPr="00AA537D">
        <w:rPr>
          <w:rFonts w:hint="cs"/>
          <w:i/>
          <w:iCs/>
          <w:spacing w:val="0"/>
          <w:kern w:val="0"/>
          <w:rtl/>
          <w:lang w:bidi="ar-SY"/>
        </w:rPr>
        <w:t>المقدم من</w:t>
      </w:r>
      <w:r w:rsidRPr="00AA537D">
        <w:rPr>
          <w:rFonts w:hint="cs"/>
          <w:spacing w:val="0"/>
          <w:kern w:val="0"/>
          <w:rtl/>
          <w:lang w:bidi="ar-SY"/>
        </w:rPr>
        <w:t>:</w:t>
      </w:r>
      <w:r w:rsidRPr="00AA537D">
        <w:rPr>
          <w:rFonts w:hint="cs"/>
          <w:i/>
          <w:iCs/>
          <w:spacing w:val="0"/>
          <w:kern w:val="0"/>
          <w:rtl/>
          <w:lang w:bidi="ar-SY"/>
        </w:rPr>
        <w:tab/>
      </w:r>
      <w:r w:rsidRPr="00AA537D">
        <w:rPr>
          <w:spacing w:val="0"/>
          <w:kern w:val="0"/>
          <w:rtl/>
          <w:lang w:bidi="ar-SY"/>
        </w:rPr>
        <w:t xml:space="preserve">م. </w:t>
      </w:r>
      <w:r w:rsidRPr="00AA537D">
        <w:rPr>
          <w:rFonts w:hint="cs"/>
          <w:spacing w:val="0"/>
          <w:kern w:val="0"/>
          <w:rtl/>
          <w:lang w:bidi="ar-SY"/>
        </w:rPr>
        <w:t>ز. أ.</w:t>
      </w:r>
      <w:r w:rsidRPr="00AA537D">
        <w:rPr>
          <w:spacing w:val="0"/>
          <w:kern w:val="0"/>
          <w:rtl/>
          <w:lang w:bidi="ar-SY"/>
        </w:rPr>
        <w:t xml:space="preserve"> (تمثله المحامية </w:t>
      </w:r>
      <w:r w:rsidRPr="00AA537D">
        <w:rPr>
          <w:rFonts w:hint="cs"/>
          <w:spacing w:val="0"/>
          <w:kern w:val="0"/>
          <w:rtl/>
          <w:lang w:bidi="ar-SY"/>
        </w:rPr>
        <w:t>إيما برسن</w:t>
      </w:r>
      <w:r w:rsidRPr="00AA537D">
        <w:rPr>
          <w:spacing w:val="0"/>
          <w:kern w:val="0"/>
          <w:rtl/>
          <w:lang w:bidi="ar-SY"/>
        </w:rPr>
        <w:t>)</w:t>
      </w:r>
    </w:p>
    <w:p w:rsidR="00FA6676" w:rsidRPr="00AA537D" w:rsidRDefault="00FA6676" w:rsidP="0025419A">
      <w:pPr>
        <w:pStyle w:val="SingleTxtGA"/>
        <w:tabs>
          <w:tab w:val="clear" w:pos="2608"/>
          <w:tab w:val="clear" w:pos="3289"/>
          <w:tab w:val="clear" w:pos="3969"/>
          <w:tab w:val="clear" w:pos="4649"/>
          <w:tab w:val="clear" w:pos="5330"/>
          <w:tab w:val="left" w:pos="4598"/>
        </w:tabs>
        <w:ind w:left="4627" w:hanging="2699"/>
        <w:jc w:val="lowKashida"/>
        <w:rPr>
          <w:rFonts w:hint="cs"/>
          <w:spacing w:val="0"/>
          <w:kern w:val="0"/>
          <w:rtl/>
        </w:rPr>
      </w:pPr>
      <w:r w:rsidRPr="00AA537D">
        <w:rPr>
          <w:rFonts w:hint="cs"/>
          <w:i/>
          <w:iCs/>
          <w:spacing w:val="0"/>
          <w:kern w:val="0"/>
          <w:rtl/>
        </w:rPr>
        <w:t>الشخص المدع</w:t>
      </w:r>
      <w:r w:rsidR="0025419A">
        <w:rPr>
          <w:rFonts w:hint="cs"/>
          <w:i/>
          <w:iCs/>
          <w:spacing w:val="0"/>
          <w:kern w:val="0"/>
          <w:rtl/>
        </w:rPr>
        <w:t>ى</w:t>
      </w:r>
      <w:r w:rsidRPr="00AA537D">
        <w:rPr>
          <w:rFonts w:hint="cs"/>
          <w:i/>
          <w:iCs/>
          <w:spacing w:val="0"/>
          <w:kern w:val="0"/>
          <w:rtl/>
        </w:rPr>
        <w:t xml:space="preserve"> أنه الضحية</w:t>
      </w:r>
      <w:r w:rsidRPr="00AA537D">
        <w:rPr>
          <w:rFonts w:hint="cs"/>
          <w:spacing w:val="0"/>
          <w:kern w:val="0"/>
          <w:rtl/>
        </w:rPr>
        <w:t>:</w:t>
      </w:r>
      <w:r w:rsidRPr="00AA537D">
        <w:rPr>
          <w:rFonts w:hint="cs"/>
          <w:spacing w:val="0"/>
          <w:kern w:val="0"/>
          <w:rtl/>
        </w:rPr>
        <w:tab/>
        <w:t>صاحب</w:t>
      </w:r>
      <w:r w:rsidRPr="00AA537D">
        <w:rPr>
          <w:spacing w:val="0"/>
          <w:kern w:val="0"/>
          <w:rtl/>
        </w:rPr>
        <w:t xml:space="preserve"> الشكوى</w:t>
      </w:r>
    </w:p>
    <w:p w:rsidR="00FA6676" w:rsidRPr="00AA537D" w:rsidRDefault="00FA6676" w:rsidP="00AA537D">
      <w:pPr>
        <w:pStyle w:val="SingleTxtGA"/>
        <w:tabs>
          <w:tab w:val="clear" w:pos="2608"/>
          <w:tab w:val="clear" w:pos="3289"/>
          <w:tab w:val="clear" w:pos="3969"/>
          <w:tab w:val="clear" w:pos="4649"/>
          <w:tab w:val="clear" w:pos="5330"/>
          <w:tab w:val="left" w:pos="4598"/>
        </w:tabs>
        <w:ind w:left="4627" w:hanging="2699"/>
        <w:jc w:val="lowKashida"/>
        <w:rPr>
          <w:rFonts w:hint="cs"/>
          <w:spacing w:val="0"/>
          <w:kern w:val="0"/>
          <w:rtl/>
        </w:rPr>
      </w:pPr>
      <w:r w:rsidRPr="00AA537D">
        <w:rPr>
          <w:rFonts w:hint="cs"/>
          <w:i/>
          <w:iCs/>
          <w:spacing w:val="0"/>
          <w:kern w:val="0"/>
          <w:rtl/>
        </w:rPr>
        <w:t>الدولة الطرف</w:t>
      </w:r>
      <w:r w:rsidRPr="00AA537D">
        <w:rPr>
          <w:rFonts w:hint="cs"/>
          <w:spacing w:val="0"/>
          <w:kern w:val="0"/>
          <w:rtl/>
        </w:rPr>
        <w:t>:</w:t>
      </w:r>
      <w:r w:rsidRPr="00AA537D">
        <w:rPr>
          <w:rFonts w:hint="cs"/>
          <w:spacing w:val="0"/>
          <w:kern w:val="0"/>
          <w:rtl/>
        </w:rPr>
        <w:tab/>
        <w:t>السويد</w:t>
      </w:r>
    </w:p>
    <w:p w:rsidR="00FA6676" w:rsidRPr="00AA537D" w:rsidRDefault="00FA6676" w:rsidP="00AA537D">
      <w:pPr>
        <w:pStyle w:val="SingleTxtGA"/>
        <w:tabs>
          <w:tab w:val="clear" w:pos="2608"/>
          <w:tab w:val="clear" w:pos="3289"/>
          <w:tab w:val="clear" w:pos="3969"/>
          <w:tab w:val="clear" w:pos="4649"/>
          <w:tab w:val="clear" w:pos="5330"/>
          <w:tab w:val="left" w:pos="4598"/>
        </w:tabs>
        <w:ind w:left="4627" w:hanging="2699"/>
        <w:jc w:val="lowKashida"/>
        <w:rPr>
          <w:rFonts w:hint="cs"/>
          <w:spacing w:val="0"/>
          <w:kern w:val="0"/>
          <w:rtl/>
        </w:rPr>
      </w:pPr>
      <w:r w:rsidRPr="00AA537D">
        <w:rPr>
          <w:rFonts w:hint="cs"/>
          <w:i/>
          <w:iCs/>
          <w:spacing w:val="0"/>
          <w:kern w:val="0"/>
          <w:rtl/>
        </w:rPr>
        <w:t>تاريخ تقديم الشكوى</w:t>
      </w:r>
      <w:r w:rsidRPr="00AA537D">
        <w:rPr>
          <w:rFonts w:hint="cs"/>
          <w:spacing w:val="0"/>
          <w:kern w:val="0"/>
          <w:rtl/>
        </w:rPr>
        <w:t>:</w:t>
      </w:r>
      <w:r w:rsidRPr="00AA537D">
        <w:rPr>
          <w:rFonts w:hint="cs"/>
          <w:spacing w:val="0"/>
          <w:kern w:val="0"/>
          <w:rtl/>
        </w:rPr>
        <w:tab/>
        <w:t>3 حزيران/يونيه 2010</w:t>
      </w:r>
    </w:p>
    <w:p w:rsidR="00FA6676" w:rsidRPr="00AA537D" w:rsidRDefault="00FA6676" w:rsidP="00AA537D">
      <w:pPr>
        <w:pStyle w:val="SingleTxtGA"/>
        <w:jc w:val="lowKashida"/>
        <w:rPr>
          <w:rFonts w:hint="cs"/>
          <w:spacing w:val="0"/>
          <w:kern w:val="0"/>
          <w:sz w:val="30"/>
          <w:szCs w:val="20"/>
          <w:rtl/>
        </w:rPr>
      </w:pPr>
      <w:r w:rsidRPr="00AA537D">
        <w:rPr>
          <w:rFonts w:hint="cs"/>
          <w:i/>
          <w:iCs/>
          <w:spacing w:val="0"/>
          <w:kern w:val="0"/>
          <w:rtl/>
          <w:lang w:bidi="ar-SY"/>
        </w:rPr>
        <w:tab/>
        <w:t>إن لجنة مناهضة التعذيب</w:t>
      </w:r>
      <w:r w:rsidRPr="00AA537D">
        <w:rPr>
          <w:rFonts w:hint="cs"/>
          <w:spacing w:val="0"/>
          <w:kern w:val="0"/>
          <w:rtl/>
          <w:lang w:bidi="ar-SY"/>
        </w:rPr>
        <w:t xml:space="preserve">، المنشأة بموجب المادة 17 من </w:t>
      </w:r>
      <w:r w:rsidRPr="00AA537D">
        <w:rPr>
          <w:spacing w:val="0"/>
          <w:kern w:val="0"/>
          <w:rtl/>
          <w:lang w:bidi="ar-SY"/>
        </w:rPr>
        <w:t>اتفاقية مناهضة التعذيب وغيره من ضروب المعاملة أو العقوبة القاسية أو اللاإنسانية أو المهينة</w:t>
      </w:r>
      <w:r w:rsidRPr="00AA537D">
        <w:rPr>
          <w:rFonts w:hint="cs"/>
          <w:spacing w:val="0"/>
          <w:kern w:val="0"/>
          <w:rtl/>
          <w:lang w:bidi="ar-SY"/>
        </w:rPr>
        <w:t>،</w:t>
      </w:r>
    </w:p>
    <w:p w:rsidR="00FA6676" w:rsidRPr="00AA537D" w:rsidRDefault="00FA6676" w:rsidP="00AA537D">
      <w:pPr>
        <w:pStyle w:val="SingleTxtGA"/>
        <w:jc w:val="lowKashida"/>
        <w:rPr>
          <w:rFonts w:hint="cs"/>
          <w:spacing w:val="0"/>
          <w:kern w:val="0"/>
          <w:szCs w:val="20"/>
          <w:rtl/>
        </w:rPr>
      </w:pPr>
      <w:r w:rsidRPr="00AA537D">
        <w:rPr>
          <w:rFonts w:hint="cs"/>
          <w:i/>
          <w:iCs/>
          <w:spacing w:val="0"/>
          <w:kern w:val="0"/>
          <w:rtl/>
          <w:lang w:bidi="ar-SY"/>
        </w:rPr>
        <w:tab/>
        <w:t>وقد اجتمعت</w:t>
      </w:r>
      <w:r w:rsidRPr="00AA537D">
        <w:rPr>
          <w:rFonts w:hint="cs"/>
          <w:spacing w:val="0"/>
          <w:kern w:val="0"/>
          <w:rtl/>
          <w:lang w:bidi="ar-SY"/>
        </w:rPr>
        <w:t xml:space="preserve"> في </w:t>
      </w:r>
      <w:r w:rsidRPr="00AA537D">
        <w:rPr>
          <w:spacing w:val="0"/>
          <w:kern w:val="0"/>
          <w:rtl/>
          <w:lang w:bidi="ar-SY"/>
        </w:rPr>
        <w:t>2</w:t>
      </w:r>
      <w:r w:rsidRPr="00AA537D">
        <w:rPr>
          <w:rFonts w:hint="cs"/>
          <w:spacing w:val="0"/>
          <w:kern w:val="0"/>
          <w:rtl/>
          <w:lang w:bidi="ar-SY"/>
        </w:rPr>
        <w:t>2</w:t>
      </w:r>
      <w:r w:rsidRPr="00AA537D">
        <w:rPr>
          <w:spacing w:val="0"/>
          <w:kern w:val="0"/>
          <w:rtl/>
          <w:lang w:bidi="ar-SY"/>
        </w:rPr>
        <w:t xml:space="preserve"> </w:t>
      </w:r>
      <w:r w:rsidRPr="00AA537D">
        <w:rPr>
          <w:rFonts w:hint="cs"/>
          <w:spacing w:val="0"/>
          <w:kern w:val="0"/>
          <w:rtl/>
          <w:lang w:bidi="ar-SY"/>
        </w:rPr>
        <w:t>أيار</w:t>
      </w:r>
      <w:r w:rsidRPr="00AA537D">
        <w:rPr>
          <w:spacing w:val="0"/>
          <w:kern w:val="0"/>
          <w:rtl/>
          <w:lang w:bidi="ar-SY"/>
        </w:rPr>
        <w:t>/</w:t>
      </w:r>
      <w:r w:rsidRPr="00AA537D">
        <w:rPr>
          <w:rFonts w:hint="cs"/>
          <w:spacing w:val="0"/>
          <w:kern w:val="0"/>
          <w:rtl/>
          <w:lang w:bidi="ar-SY"/>
        </w:rPr>
        <w:t>مايو</w:t>
      </w:r>
      <w:r w:rsidRPr="00AA537D">
        <w:rPr>
          <w:spacing w:val="0"/>
          <w:kern w:val="0"/>
          <w:rtl/>
          <w:lang w:bidi="ar-SY"/>
        </w:rPr>
        <w:t xml:space="preserve"> 201</w:t>
      </w:r>
      <w:r w:rsidRPr="00AA537D">
        <w:rPr>
          <w:rFonts w:hint="cs"/>
          <w:spacing w:val="0"/>
          <w:kern w:val="0"/>
          <w:rtl/>
          <w:lang w:bidi="ar-SY"/>
        </w:rPr>
        <w:t>2،</w:t>
      </w:r>
    </w:p>
    <w:p w:rsidR="00FA6676" w:rsidRPr="00AA537D" w:rsidRDefault="00FA6676" w:rsidP="00AA537D">
      <w:pPr>
        <w:pStyle w:val="SingleTxtGA"/>
        <w:jc w:val="lowKashida"/>
        <w:rPr>
          <w:rFonts w:hint="cs"/>
          <w:spacing w:val="0"/>
          <w:kern w:val="0"/>
          <w:szCs w:val="20"/>
          <w:rtl/>
        </w:rPr>
      </w:pPr>
      <w:r w:rsidRPr="00AA537D">
        <w:rPr>
          <w:rFonts w:hint="cs"/>
          <w:i/>
          <w:iCs/>
          <w:spacing w:val="0"/>
          <w:kern w:val="0"/>
          <w:rtl/>
          <w:lang w:bidi="ar-SY"/>
        </w:rPr>
        <w:tab/>
        <w:t>وقد فرغت</w:t>
      </w:r>
      <w:r w:rsidRPr="00AA537D">
        <w:rPr>
          <w:rFonts w:hint="cs"/>
          <w:spacing w:val="0"/>
          <w:kern w:val="0"/>
          <w:rtl/>
          <w:lang w:bidi="ar-SY"/>
        </w:rPr>
        <w:t xml:space="preserve"> من النظر في الشكوى</w:t>
      </w:r>
      <w:r w:rsidRPr="00AA537D">
        <w:rPr>
          <w:spacing w:val="0"/>
          <w:kern w:val="0"/>
          <w:rtl/>
          <w:lang w:bidi="ar-SY"/>
        </w:rPr>
        <w:t xml:space="preserve"> رقم </w:t>
      </w:r>
      <w:r w:rsidRPr="00AA537D">
        <w:rPr>
          <w:rFonts w:hint="cs"/>
          <w:spacing w:val="0"/>
          <w:kern w:val="0"/>
          <w:rtl/>
          <w:lang w:bidi="ar-SY"/>
        </w:rPr>
        <w:t>424</w:t>
      </w:r>
      <w:r w:rsidRPr="00AA537D">
        <w:rPr>
          <w:spacing w:val="0"/>
          <w:kern w:val="0"/>
          <w:rtl/>
          <w:lang w:bidi="ar-SY"/>
        </w:rPr>
        <w:t>/20</w:t>
      </w:r>
      <w:r w:rsidRPr="00AA537D">
        <w:rPr>
          <w:rFonts w:hint="cs"/>
          <w:spacing w:val="0"/>
          <w:kern w:val="0"/>
          <w:rtl/>
          <w:lang w:bidi="ar-SY"/>
        </w:rPr>
        <w:t>10</w:t>
      </w:r>
      <w:r w:rsidRPr="00AA537D">
        <w:rPr>
          <w:spacing w:val="0"/>
          <w:kern w:val="0"/>
          <w:rtl/>
          <w:lang w:bidi="ar-SY"/>
        </w:rPr>
        <w:t>، المقدم</w:t>
      </w:r>
      <w:r w:rsidRPr="00AA537D">
        <w:rPr>
          <w:rFonts w:hint="cs"/>
          <w:spacing w:val="0"/>
          <w:kern w:val="0"/>
          <w:rtl/>
          <w:lang w:bidi="ar-SY"/>
        </w:rPr>
        <w:t>ة</w:t>
      </w:r>
      <w:r w:rsidRPr="00AA537D">
        <w:rPr>
          <w:spacing w:val="0"/>
          <w:kern w:val="0"/>
          <w:rtl/>
          <w:lang w:bidi="ar-SY"/>
        </w:rPr>
        <w:t xml:space="preserve"> إلى لجنة مناهضة التعذيب من م.</w:t>
      </w:r>
      <w:r w:rsidRPr="00AA537D">
        <w:rPr>
          <w:rFonts w:hint="cs"/>
          <w:spacing w:val="0"/>
          <w:kern w:val="0"/>
          <w:rtl/>
          <w:lang w:bidi="ar-SY"/>
        </w:rPr>
        <w:t xml:space="preserve"> ز. أ. </w:t>
      </w:r>
      <w:r w:rsidRPr="00AA537D">
        <w:rPr>
          <w:spacing w:val="0"/>
          <w:kern w:val="0"/>
          <w:rtl/>
          <w:lang w:bidi="ar-SY"/>
        </w:rPr>
        <w:t>بموجب المادة 22 من اتفاقية</w:t>
      </w:r>
      <w:r w:rsidRPr="00AA537D">
        <w:rPr>
          <w:rFonts w:hint="cs"/>
          <w:spacing w:val="0"/>
          <w:kern w:val="0"/>
          <w:rtl/>
          <w:lang w:bidi="ar-SY"/>
        </w:rPr>
        <w:t xml:space="preserve"> </w:t>
      </w:r>
      <w:r w:rsidRPr="00AA537D">
        <w:rPr>
          <w:spacing w:val="0"/>
          <w:kern w:val="0"/>
          <w:rtl/>
          <w:lang w:bidi="ar-SY"/>
        </w:rPr>
        <w:t>مناهضة التعذيب وغيره من ضروب المعاملة أو العقوبة القاسية أو اللاإنسانية أو المهينة</w:t>
      </w:r>
      <w:r w:rsidRPr="00AA537D">
        <w:rPr>
          <w:rFonts w:hint="cs"/>
          <w:spacing w:val="0"/>
          <w:kern w:val="0"/>
          <w:rtl/>
          <w:lang w:bidi="ar-SY"/>
        </w:rPr>
        <w:t>،</w:t>
      </w:r>
    </w:p>
    <w:p w:rsidR="00FA6676" w:rsidRPr="00AA537D" w:rsidRDefault="00FA6676" w:rsidP="00AA537D">
      <w:pPr>
        <w:pStyle w:val="SingleTxtGA"/>
        <w:jc w:val="lowKashida"/>
        <w:rPr>
          <w:rFonts w:hint="cs"/>
          <w:spacing w:val="0"/>
          <w:kern w:val="0"/>
          <w:szCs w:val="20"/>
          <w:rtl/>
        </w:rPr>
      </w:pPr>
      <w:r w:rsidRPr="00AA537D">
        <w:rPr>
          <w:rFonts w:hint="cs"/>
          <w:i/>
          <w:iCs/>
          <w:spacing w:val="0"/>
          <w:kern w:val="0"/>
          <w:rtl/>
          <w:lang w:bidi="ar-SY"/>
        </w:rPr>
        <w:tab/>
        <w:t>وقد أخذت في اعتبارها</w:t>
      </w:r>
      <w:r w:rsidRPr="00AA537D">
        <w:rPr>
          <w:rFonts w:hint="cs"/>
          <w:spacing w:val="0"/>
          <w:kern w:val="0"/>
          <w:rtl/>
          <w:lang w:bidi="ar-SY"/>
        </w:rPr>
        <w:t xml:space="preserve"> جميع المعلومات التي أتاحها لها صاحب الشكوى والدولة الطرف،</w:t>
      </w:r>
    </w:p>
    <w:p w:rsidR="00FA6676" w:rsidRPr="00AA537D" w:rsidRDefault="00FA6676" w:rsidP="00AA537D">
      <w:pPr>
        <w:pStyle w:val="SingleTxtGA"/>
        <w:jc w:val="lowKashida"/>
        <w:rPr>
          <w:rFonts w:hint="cs"/>
          <w:spacing w:val="0"/>
          <w:kern w:val="0"/>
          <w:szCs w:val="20"/>
          <w:rtl/>
        </w:rPr>
      </w:pPr>
      <w:r w:rsidRPr="00AA537D">
        <w:rPr>
          <w:rFonts w:hint="cs"/>
          <w:spacing w:val="0"/>
          <w:kern w:val="0"/>
          <w:rtl/>
          <w:lang w:bidi="ar-SY"/>
        </w:rPr>
        <w:tab/>
      </w:r>
      <w:r w:rsidRPr="00AA537D">
        <w:rPr>
          <w:rFonts w:hint="cs"/>
          <w:i/>
          <w:iCs/>
          <w:spacing w:val="0"/>
          <w:kern w:val="0"/>
          <w:rtl/>
          <w:lang w:bidi="ar-SY"/>
        </w:rPr>
        <w:t>تعتمد</w:t>
      </w:r>
      <w:r w:rsidRPr="00AA537D">
        <w:rPr>
          <w:rFonts w:hint="cs"/>
          <w:spacing w:val="0"/>
          <w:kern w:val="0"/>
          <w:rtl/>
          <w:lang w:bidi="ar-SY"/>
        </w:rPr>
        <w:t xml:space="preserve"> ما يلي</w:t>
      </w:r>
      <w:r w:rsidRPr="00AA537D">
        <w:rPr>
          <w:rFonts w:hint="cs"/>
          <w:spacing w:val="0"/>
          <w:kern w:val="0"/>
          <w:rtl/>
        </w:rPr>
        <w:t>:</w:t>
      </w:r>
    </w:p>
    <w:p w:rsidR="00FA6676" w:rsidRPr="00AA537D" w:rsidRDefault="00FA6676" w:rsidP="00AA537D">
      <w:pPr>
        <w:pStyle w:val="H1GA"/>
        <w:jc w:val="lowKashida"/>
        <w:rPr>
          <w:rFonts w:hint="cs"/>
          <w:spacing w:val="0"/>
          <w:kern w:val="0"/>
          <w:szCs w:val="24"/>
          <w:rtl/>
        </w:rPr>
      </w:pPr>
      <w:r w:rsidRPr="00AA537D">
        <w:rPr>
          <w:rFonts w:hint="cs"/>
          <w:spacing w:val="0"/>
          <w:kern w:val="0"/>
          <w:rtl/>
        </w:rPr>
        <w:tab/>
      </w:r>
      <w:r w:rsidRPr="00AA537D">
        <w:rPr>
          <w:rFonts w:hint="cs"/>
          <w:spacing w:val="0"/>
          <w:kern w:val="0"/>
          <w:rtl/>
        </w:rPr>
        <w:tab/>
      </w:r>
      <w:r w:rsidRPr="00AA537D">
        <w:rPr>
          <w:spacing w:val="0"/>
          <w:kern w:val="0"/>
          <w:rtl/>
        </w:rPr>
        <w:t>قرار بموجب الفقرة 7 من المادة 22 من اتفاقية مناهضة التعذيب</w:t>
      </w:r>
    </w:p>
    <w:p w:rsidR="00FA6676" w:rsidRPr="00E27835" w:rsidRDefault="00FA6676" w:rsidP="00AA537D">
      <w:pPr>
        <w:pStyle w:val="SingleTxtGA"/>
        <w:jc w:val="lowKashida"/>
        <w:rPr>
          <w:rFonts w:hint="cs"/>
          <w:spacing w:val="-2"/>
          <w:kern w:val="0"/>
          <w:szCs w:val="20"/>
          <w:rtl/>
        </w:rPr>
      </w:pPr>
      <w:r w:rsidRPr="00E27835">
        <w:rPr>
          <w:rFonts w:hint="cs"/>
          <w:spacing w:val="-2"/>
          <w:kern w:val="0"/>
          <w:rtl/>
          <w:lang w:val="en-CA"/>
        </w:rPr>
        <w:t>1-1</w:t>
      </w:r>
      <w:r w:rsidRPr="00E27835">
        <w:rPr>
          <w:rFonts w:hint="cs"/>
          <w:spacing w:val="-2"/>
          <w:kern w:val="0"/>
          <w:rtl/>
          <w:lang w:val="en-CA"/>
        </w:rPr>
        <w:tab/>
        <w:t>صاحب الشكوى هو م. ز. أ. من مواليد عام 1957.</w:t>
      </w:r>
      <w:r w:rsidRPr="00E27835">
        <w:rPr>
          <w:rFonts w:hint="cs"/>
          <w:spacing w:val="-2"/>
          <w:kern w:val="0"/>
          <w:szCs w:val="20"/>
          <w:rtl/>
        </w:rPr>
        <w:t xml:space="preserve"> </w:t>
      </w:r>
      <w:r w:rsidRPr="00E27835">
        <w:rPr>
          <w:rFonts w:hint="cs"/>
          <w:spacing w:val="-2"/>
          <w:kern w:val="0"/>
          <w:rtl/>
        </w:rPr>
        <w:t>وهو يدعي أن ترحيله إلى أذربيجان سيشكل انتهاكاً من السويد للمادة 3 من اتفاقية مناهضة التعذيب وغيره من ضروب المعاملة أو العقوبة القاسية أو اللاإنسانية أو المهينة. وتمثل صاحب الشكوى المحامية إيما برسن.</w:t>
      </w:r>
    </w:p>
    <w:p w:rsidR="00FA6676" w:rsidRPr="00AA537D" w:rsidRDefault="00FA6676" w:rsidP="00AA537D">
      <w:pPr>
        <w:pStyle w:val="SingleTxtGA"/>
        <w:jc w:val="lowKashida"/>
        <w:rPr>
          <w:rFonts w:hint="cs"/>
          <w:spacing w:val="0"/>
          <w:kern w:val="0"/>
          <w:szCs w:val="20"/>
          <w:rtl/>
        </w:rPr>
      </w:pPr>
      <w:r w:rsidRPr="00AA537D">
        <w:rPr>
          <w:rFonts w:hint="cs"/>
          <w:spacing w:val="0"/>
          <w:kern w:val="0"/>
          <w:rtl/>
        </w:rPr>
        <w:t>1-2</w:t>
      </w:r>
      <w:r w:rsidRPr="00AA537D">
        <w:rPr>
          <w:rFonts w:hint="cs"/>
          <w:spacing w:val="0"/>
          <w:kern w:val="0"/>
          <w:rtl/>
        </w:rPr>
        <w:tab/>
        <w:t>وفي 14 حزيران/يونيه 2010، طلبت اللجنة إلى الدولة الطرف، عملاً بالفقرة</w:t>
      </w:r>
      <w:r w:rsidRPr="00AA537D">
        <w:rPr>
          <w:rFonts w:hint="eastAsia"/>
          <w:spacing w:val="0"/>
          <w:kern w:val="0"/>
          <w:rtl/>
        </w:rPr>
        <w:t> </w:t>
      </w:r>
      <w:r w:rsidRPr="00AA537D">
        <w:rPr>
          <w:rFonts w:hint="cs"/>
          <w:spacing w:val="0"/>
          <w:kern w:val="0"/>
          <w:rtl/>
        </w:rPr>
        <w:t>1 من المادة 114 (الفقرة 1 من المادة 108 سابقاً) من نظامها الأساسي، عدم ترحيل صاحب الشكوى أثناء النظر في شكواه.</w:t>
      </w:r>
    </w:p>
    <w:p w:rsidR="00FA6676" w:rsidRPr="00AA537D" w:rsidRDefault="00FA6676" w:rsidP="00AA537D">
      <w:pPr>
        <w:pStyle w:val="H23GA"/>
        <w:jc w:val="lowKashida"/>
        <w:rPr>
          <w:spacing w:val="0"/>
          <w:kern w:val="0"/>
          <w:szCs w:val="20"/>
          <w:rtl/>
        </w:rPr>
      </w:pPr>
      <w:r w:rsidRPr="00AA537D">
        <w:rPr>
          <w:spacing w:val="0"/>
          <w:kern w:val="0"/>
          <w:rtl/>
        </w:rPr>
        <w:tab/>
      </w:r>
      <w:r w:rsidRPr="00AA537D">
        <w:rPr>
          <w:rFonts w:hint="cs"/>
          <w:spacing w:val="0"/>
          <w:kern w:val="0"/>
          <w:rtl/>
        </w:rPr>
        <w:tab/>
      </w:r>
      <w:r w:rsidRPr="00AA537D">
        <w:rPr>
          <w:rFonts w:hint="eastAsia"/>
          <w:spacing w:val="0"/>
          <w:kern w:val="0"/>
          <w:rtl/>
        </w:rPr>
        <w:t>الوقائع</w:t>
      </w:r>
      <w:r w:rsidRPr="00AA537D">
        <w:rPr>
          <w:spacing w:val="0"/>
          <w:kern w:val="0"/>
          <w:rtl/>
        </w:rPr>
        <w:t xml:space="preserve"> كما عرضها </w:t>
      </w:r>
      <w:r w:rsidRPr="00AA537D">
        <w:rPr>
          <w:rFonts w:hint="cs"/>
          <w:spacing w:val="0"/>
          <w:kern w:val="0"/>
          <w:rtl/>
        </w:rPr>
        <w:t>صاحب</w:t>
      </w:r>
      <w:r w:rsidRPr="00AA537D">
        <w:rPr>
          <w:spacing w:val="0"/>
          <w:kern w:val="0"/>
          <w:rtl/>
        </w:rPr>
        <w:t xml:space="preserve"> الشكوى</w:t>
      </w:r>
    </w:p>
    <w:p w:rsidR="00FA6676" w:rsidRPr="00AA537D" w:rsidRDefault="00FA6676" w:rsidP="00AA537D">
      <w:pPr>
        <w:pStyle w:val="SingleTxtGA"/>
        <w:jc w:val="lowKashida"/>
        <w:rPr>
          <w:rFonts w:hint="cs"/>
          <w:spacing w:val="0"/>
          <w:kern w:val="0"/>
        </w:rPr>
      </w:pPr>
      <w:r w:rsidRPr="00AA537D">
        <w:rPr>
          <w:rFonts w:hint="cs"/>
          <w:spacing w:val="0"/>
          <w:kern w:val="0"/>
          <w:rtl/>
          <w:lang w:val="en-CA"/>
        </w:rPr>
        <w:t>2-1</w:t>
      </w:r>
      <w:r w:rsidRPr="00AA537D">
        <w:rPr>
          <w:rFonts w:hint="cs"/>
          <w:spacing w:val="0"/>
          <w:kern w:val="0"/>
          <w:rtl/>
          <w:lang w:val="en-CA"/>
        </w:rPr>
        <w:tab/>
        <w:t>درس صاحب الشكوى في "معهد المدرسين" في باكو لكي يصبح مدرساً،</w:t>
      </w:r>
      <w:r w:rsidRPr="00AA537D">
        <w:rPr>
          <w:rFonts w:hint="cs"/>
          <w:spacing w:val="0"/>
          <w:kern w:val="0"/>
          <w:rtl/>
        </w:rPr>
        <w:t xml:space="preserve"> وتخرج منه في عام 1979. ويَدَّعي أنه عانى وأسرته من مشاكل اقتصادية عندما كان يعيش في أذربيجان لأنه وجد صعوبة في العثور على عمل بسبب معتقداته السياسية وعضويته في حزب الاستقلال الوطني في أذربيجان. ويَدَّعي أنه كان عضواً نشطاً مسؤولاً عن برنامج الحزب وعن استقدام أعضاء جدد. ويزعم أن السلطات كانت تراقبه بسبب التزامه تجاه الحزب.</w:t>
      </w:r>
    </w:p>
    <w:p w:rsidR="00FA6676" w:rsidRPr="00AA537D" w:rsidRDefault="00FA6676" w:rsidP="00AA537D">
      <w:pPr>
        <w:pStyle w:val="SingleTxtGA"/>
        <w:jc w:val="lowKashida"/>
        <w:rPr>
          <w:rFonts w:hint="cs"/>
          <w:spacing w:val="0"/>
          <w:kern w:val="0"/>
          <w:szCs w:val="20"/>
          <w:rtl/>
        </w:rPr>
      </w:pPr>
      <w:r w:rsidRPr="00AA537D">
        <w:rPr>
          <w:rFonts w:hint="cs"/>
          <w:spacing w:val="0"/>
          <w:kern w:val="0"/>
          <w:rtl/>
        </w:rPr>
        <w:t>2-2</w:t>
      </w:r>
      <w:r w:rsidRPr="00AA537D">
        <w:rPr>
          <w:rFonts w:hint="cs"/>
          <w:spacing w:val="0"/>
          <w:kern w:val="0"/>
          <w:rtl/>
        </w:rPr>
        <w:tab/>
        <w:t>ويَدَّعي صاحب الشكوى أنه شارك في عدد من المظاهرات السياسية في الفترة من عام</w:t>
      </w:r>
      <w:r w:rsidRPr="00AA537D">
        <w:rPr>
          <w:rFonts w:hint="eastAsia"/>
          <w:spacing w:val="0"/>
          <w:kern w:val="0"/>
          <w:rtl/>
        </w:rPr>
        <w:t> </w:t>
      </w:r>
      <w:r w:rsidRPr="00AA537D">
        <w:rPr>
          <w:rFonts w:hint="cs"/>
          <w:spacing w:val="0"/>
          <w:kern w:val="0"/>
          <w:rtl/>
        </w:rPr>
        <w:t>1998 إلى عام 2003. وكانت بعض تلك المظاهرات مرتبطة بتنظيم الانتخابات وجرت وقائعها فيما يسمى "ساحة الحرية" وسط باكو. وخلال إحدى تلك المظاهرات المنظمة رداً على انتخابات 15 تشرين الأول/أكتوبر 2003، حاولت السلطات قمع المتظاهرين. ويزعم صاحب الشكوى أنه استطاع الفرار وتفادي الاعتقال، وما ذلك إلا لأن والد زوجته كان يعمل كمدع في باكو. ثم بدأ في الاختباء في بيوت أصدقائه وأقاربه. ويدعي أن زوجته أخبرته أن الشرطة فتشت عنه في كانون الثاني/يناير عام 2004 وأنها تلقت من الشرطة تهديداً بالاعتقال في حال تعذّر تحديد مكان وجوده. وقد دفعته هذه الظروف وخوفه من الاضطهاد وغيره من الاعتداءات إلى ترك أذربيجان. ويدعي أنه ترك أذربيجان برفقة بزوجته وأبنائه في 8 كانون الثاني/يناير 2004 قاصداً داغستان. ويدعي أن زوجته وأبناءه بقوا في داغستان</w:t>
      </w:r>
      <w:r w:rsidRPr="00AA537D">
        <w:rPr>
          <w:spacing w:val="0"/>
          <w:kern w:val="0"/>
          <w:vertAlign w:val="superscript"/>
          <w:rtl/>
        </w:rPr>
        <w:t>(</w:t>
      </w:r>
      <w:r w:rsidRPr="00AA537D">
        <w:rPr>
          <w:rStyle w:val="FootnoteReference"/>
          <w:spacing w:val="0"/>
          <w:rtl/>
        </w:rPr>
        <w:footnoteReference w:id="350"/>
      </w:r>
      <w:r w:rsidRPr="00AA537D">
        <w:rPr>
          <w:spacing w:val="0"/>
          <w:kern w:val="0"/>
          <w:vertAlign w:val="superscript"/>
          <w:rtl/>
        </w:rPr>
        <w:t>)</w:t>
      </w:r>
      <w:r w:rsidRPr="00AA537D">
        <w:rPr>
          <w:rFonts w:hint="cs"/>
          <w:spacing w:val="0"/>
          <w:kern w:val="0"/>
          <w:rtl/>
        </w:rPr>
        <w:t>.</w:t>
      </w:r>
    </w:p>
    <w:p w:rsidR="00FA6676" w:rsidRPr="00AA537D" w:rsidRDefault="00FA6676" w:rsidP="00ED61B0">
      <w:pPr>
        <w:pStyle w:val="SingleTxtGA"/>
        <w:jc w:val="lowKashida"/>
        <w:rPr>
          <w:rFonts w:hint="cs"/>
          <w:spacing w:val="0"/>
          <w:kern w:val="0"/>
        </w:rPr>
      </w:pPr>
      <w:r w:rsidRPr="00AA537D">
        <w:rPr>
          <w:rFonts w:hint="cs"/>
          <w:spacing w:val="0"/>
          <w:kern w:val="0"/>
          <w:rtl/>
        </w:rPr>
        <w:t>2-3</w:t>
      </w:r>
      <w:r w:rsidRPr="00AA537D">
        <w:rPr>
          <w:rFonts w:hint="cs"/>
          <w:spacing w:val="0"/>
          <w:kern w:val="0"/>
          <w:rtl/>
        </w:rPr>
        <w:tab/>
        <w:t>وسافر صاحب الشكوى إلى موسكو، حيث يوجد شقيقه، ثم واصل سفره إلى بولندا حيث تلقى المساعدة من مهربين ليصل إلى هامبور</w:t>
      </w:r>
      <w:r w:rsidRPr="00AA537D">
        <w:rPr>
          <w:rFonts w:hint="eastAsia"/>
          <w:spacing w:val="0"/>
          <w:kern w:val="0"/>
          <w:rtl/>
        </w:rPr>
        <w:t>غ</w:t>
      </w:r>
      <w:r w:rsidRPr="00AA537D">
        <w:rPr>
          <w:rFonts w:hint="cs"/>
          <w:spacing w:val="0"/>
          <w:kern w:val="0"/>
          <w:rtl/>
        </w:rPr>
        <w:t>. وهناك، حصل على المساعدة لاقتناء تذكرة قطار إلى كوبنهاغن ثم إلى ستوكهولم. والتمس صاحب الشكوى اللجوء في</w:t>
      </w:r>
      <w:r w:rsidR="00ED61B0">
        <w:rPr>
          <w:rFonts w:hint="eastAsia"/>
          <w:spacing w:val="0"/>
          <w:kern w:val="0"/>
          <w:rtl/>
        </w:rPr>
        <w:t> </w:t>
      </w:r>
      <w:r w:rsidRPr="00AA537D">
        <w:rPr>
          <w:rFonts w:hint="cs"/>
          <w:spacing w:val="0"/>
          <w:kern w:val="0"/>
          <w:rtl/>
        </w:rPr>
        <w:t>19 كانون الثاني/يناير 2004، بعد مضي ثلاثة أيام على وصوله السويد.</w:t>
      </w:r>
    </w:p>
    <w:p w:rsidR="00FA6676" w:rsidRPr="00AA537D" w:rsidRDefault="00FA6676" w:rsidP="00AA537D">
      <w:pPr>
        <w:pStyle w:val="SingleTxtGA"/>
        <w:jc w:val="lowKashida"/>
        <w:rPr>
          <w:rFonts w:hint="cs"/>
          <w:spacing w:val="0"/>
          <w:kern w:val="0"/>
        </w:rPr>
      </w:pPr>
      <w:r w:rsidRPr="00AA537D">
        <w:rPr>
          <w:rFonts w:hint="cs"/>
          <w:spacing w:val="0"/>
          <w:kern w:val="0"/>
          <w:rtl/>
        </w:rPr>
        <w:t>2-4</w:t>
      </w:r>
      <w:r w:rsidRPr="00AA537D">
        <w:rPr>
          <w:rFonts w:hint="cs"/>
          <w:spacing w:val="0"/>
          <w:kern w:val="0"/>
          <w:rtl/>
        </w:rPr>
        <w:tab/>
        <w:t>وفي 13 أيار/مايو 2004، رفض مجلس الهجرة طلب اللجوء الذي قدمه صاحب الشكوى. واستند الرفض إلى الاستنتاج الذي مفاده أن صاحب الشكوى لم يكن قد شارك في الكثير من الأنشطة السياسية ولم يكن يشغل منصباً عالياً بما يكفي في حزب المعارضة يجعله محط اهتمام خاص من السلطات الأذربيجانية. وخلص مجلس الهجرة إلى أن صاحب الشكوى لم يبين بشكل مقنع فيما تمثِّل إعادته إلى أذربيجان تهديداً لحياته. وحسب المجلس، لم تكن ثمة أسس للسماح له بالاستقرار في السويد لأسباب إنسانية. وطعن صاحب الشكوى في القرار. ورفض مجلس طعون الأجانب طعنه في 18 نيسان/أبريل 2004.</w:t>
      </w:r>
    </w:p>
    <w:p w:rsidR="00FA6676" w:rsidRPr="00E27835" w:rsidRDefault="00FA6676" w:rsidP="00E27835">
      <w:pPr>
        <w:pStyle w:val="SingleTxtGA"/>
        <w:jc w:val="lowKashida"/>
        <w:rPr>
          <w:rFonts w:hint="cs"/>
          <w:spacing w:val="-2"/>
          <w:kern w:val="0"/>
        </w:rPr>
      </w:pPr>
      <w:r w:rsidRPr="00E27835">
        <w:rPr>
          <w:rFonts w:hint="cs"/>
          <w:spacing w:val="-2"/>
          <w:kern w:val="0"/>
          <w:rtl/>
        </w:rPr>
        <w:t>2-5</w:t>
      </w:r>
      <w:r w:rsidRPr="00E27835">
        <w:rPr>
          <w:rFonts w:hint="cs"/>
          <w:spacing w:val="-2"/>
          <w:kern w:val="0"/>
          <w:rtl/>
        </w:rPr>
        <w:tab/>
        <w:t>وفي 22 أيار/مايو 2006، قدم صاحب الشكوى رسالة جديدة إلى مجلس الهجرة مؤكداً مرة أخرى أنه ليس في استطاعته أن يعود إلى أذربيجان مدعياً أن خشيته العودة قد زادت منذ صدور قراري مجلس الهجرة ومجلس طعون الأجانب في عام 2004. كما أضاف أنه أمضى في السويد مدة سنتين وخمسة أشهر وأنه تأقلم جيداً هناك. وفي 13 حزيران/</w:t>
      </w:r>
      <w:r w:rsidR="00E27835" w:rsidRPr="00E27835">
        <w:rPr>
          <w:rFonts w:hint="cs"/>
          <w:spacing w:val="-2"/>
          <w:kern w:val="0"/>
          <w:rtl/>
        </w:rPr>
        <w:t xml:space="preserve"> </w:t>
      </w:r>
      <w:r w:rsidRPr="00E27835">
        <w:rPr>
          <w:rFonts w:hint="cs"/>
          <w:spacing w:val="-2"/>
          <w:kern w:val="0"/>
          <w:rtl/>
        </w:rPr>
        <w:t>يونيه</w:t>
      </w:r>
      <w:r w:rsidR="00E27835">
        <w:rPr>
          <w:rFonts w:hint="eastAsia"/>
          <w:spacing w:val="-2"/>
          <w:kern w:val="0"/>
          <w:rtl/>
        </w:rPr>
        <w:t> </w:t>
      </w:r>
      <w:r w:rsidRPr="00E27835">
        <w:rPr>
          <w:rFonts w:hint="cs"/>
          <w:spacing w:val="-2"/>
          <w:kern w:val="0"/>
          <w:rtl/>
        </w:rPr>
        <w:t>2006، رفض مجلس الهجرة طلب صاحب الشكوى ورفض منحه ترخيص إقامة. لكن صاحب الشكوى وجه رسالة أخرى إلى مجلس الهجرة، مكرراً ادعاءه بأنه ليس في استطاعته أن يعود إلى أذربيجان لأنه سيتعرض فيها إلى الاضطهاد وغيره من أشكال الاعتداء، وحتى الموت. وفي 27 آب/أغسطس 2006، رفض مجلسه الهجرة طلبه، مذكراً إياه باستنتاجاته السابقة.</w:t>
      </w:r>
    </w:p>
    <w:p w:rsidR="00FA6676" w:rsidRPr="00AA537D" w:rsidRDefault="00FA6676" w:rsidP="00AA537D">
      <w:pPr>
        <w:pStyle w:val="SingleTxtGA"/>
        <w:jc w:val="lowKashida"/>
        <w:rPr>
          <w:rFonts w:hint="cs"/>
          <w:spacing w:val="0"/>
          <w:kern w:val="0"/>
        </w:rPr>
      </w:pPr>
      <w:r w:rsidRPr="00AA537D">
        <w:rPr>
          <w:rFonts w:hint="cs"/>
          <w:spacing w:val="0"/>
          <w:kern w:val="0"/>
          <w:rtl/>
        </w:rPr>
        <w:t>2-6</w:t>
      </w:r>
      <w:r w:rsidRPr="00AA537D">
        <w:rPr>
          <w:rFonts w:hint="cs"/>
          <w:spacing w:val="0"/>
          <w:kern w:val="0"/>
          <w:rtl/>
        </w:rPr>
        <w:tab/>
        <w:t>وفي 20 نيسان/أبريل 2009، أي أربع سنوات بعد أن صار قرار مجلس طعون الأجانب نهائياً، قدم صاحب الشكوى طلباً للجوء مرة أخرى. وخلال هذه الإجراءات الجديدة، ادعى صاحب الشكوى أنه بالإضافة إلى ما عرضه سابقاً من أسباب دفعته إلى طلب اللجوء، فإنه أصبح أيضاً ناشطاً في المجال السياسي في السويد. ولإثبات ذلك، قدم صاحب الشكوى بطاقة عضويته في حزب المساواة، حزب المعارضة في أذربيجان. وقد أصبح صاحب الشكوى عضواً فيه بتاريخ 25 حزيران/يونيه 2007 وصار رئيساً لفرع محلي لهذا الحزب في ستوكهولم. وفي 20 نيسان/أبريل 2009، رفض مجلس الهجرة طلبه مرة أخرى بعد تقييم الظروف الجديدة التي شرحها صاحب الشكوى، إذ لم يجد أدلة كافية على وجود خطر يهدّد صاحب الشكوى يدعو إلى منحه اللجوء أو الحماية.</w:t>
      </w:r>
    </w:p>
    <w:p w:rsidR="00FA6676" w:rsidRPr="00AA537D" w:rsidRDefault="00FA6676" w:rsidP="00E27835">
      <w:pPr>
        <w:pStyle w:val="SingleTxtGA"/>
        <w:jc w:val="lowKashida"/>
        <w:rPr>
          <w:rFonts w:hint="cs"/>
          <w:spacing w:val="0"/>
          <w:kern w:val="0"/>
          <w:rtl/>
        </w:rPr>
      </w:pPr>
      <w:r w:rsidRPr="00AA537D">
        <w:rPr>
          <w:rFonts w:hint="cs"/>
          <w:spacing w:val="0"/>
          <w:kern w:val="0"/>
          <w:rtl/>
        </w:rPr>
        <w:t>2-7</w:t>
      </w:r>
      <w:r w:rsidRPr="00AA537D">
        <w:rPr>
          <w:rFonts w:hint="cs"/>
          <w:spacing w:val="0"/>
          <w:kern w:val="0"/>
          <w:rtl/>
        </w:rPr>
        <w:tab/>
        <w:t>وفي 7 كانون الثاني/يناير 2010، طعن صاحب الشكوى في القرار بالاستئناف أمام محكمة الهجرة. وفي 6 نيسان/أبريل 2010، رفضت المحكمة الطعن الذي قدمه صاحب الشكوى. واتفقت المحكمة مع مجلس الهجرة وأشارت إلى أن الوضع العام في أذربيجان لا</w:t>
      </w:r>
      <w:r w:rsidR="00E27835">
        <w:rPr>
          <w:rFonts w:hint="eastAsia"/>
          <w:spacing w:val="0"/>
          <w:kern w:val="0"/>
          <w:rtl/>
        </w:rPr>
        <w:t> </w:t>
      </w:r>
      <w:r w:rsidRPr="00AA537D">
        <w:rPr>
          <w:rFonts w:hint="cs"/>
          <w:spacing w:val="0"/>
          <w:kern w:val="0"/>
          <w:rtl/>
        </w:rPr>
        <w:t>يشكل سبباً لمنح اللجوء أو الحماية. وشددت المحكمة على أن أسباب طلب صاحب الشكوى اللجوء قد جرى النظر فيها سابقاً في إطار طلبه الأول للجوء وأن الظروف الجديدة التي عرضها غير كافية لمنحه مركز اللاجئ في السويد. وقررت المحكمة جعل صاحب الشكوى خاضعاً لأوامر الاستبعاد، ومن ثم وُضع رهن الاحتجاز في 18 كانون الثاني/</w:t>
      </w:r>
      <w:r w:rsidR="00E27835">
        <w:rPr>
          <w:rFonts w:hint="cs"/>
          <w:spacing w:val="0"/>
          <w:kern w:val="0"/>
          <w:rtl/>
        </w:rPr>
        <w:t xml:space="preserve"> </w:t>
      </w:r>
      <w:r w:rsidRPr="00AA537D">
        <w:rPr>
          <w:rFonts w:hint="cs"/>
          <w:spacing w:val="0"/>
          <w:kern w:val="0"/>
          <w:rtl/>
        </w:rPr>
        <w:t>يناير</w:t>
      </w:r>
      <w:r w:rsidR="00E27835">
        <w:rPr>
          <w:rFonts w:hint="eastAsia"/>
          <w:spacing w:val="0"/>
          <w:kern w:val="0"/>
          <w:rtl/>
        </w:rPr>
        <w:t> </w:t>
      </w:r>
      <w:r w:rsidRPr="00AA537D">
        <w:rPr>
          <w:rFonts w:hint="cs"/>
          <w:spacing w:val="0"/>
          <w:kern w:val="0"/>
          <w:rtl/>
        </w:rPr>
        <w:t>2010. وسعى صاحب الشكوى إلى الحصول على إذن بالطعن أمام محكمة الاستئناف المعنية بشؤون الهجرة. وفي 29 نيسان/أبريل 2010، رفضت محكمة الاستئناف المعنية بشؤون الهجرة طلب إذنه بالطعن.</w:t>
      </w:r>
    </w:p>
    <w:p w:rsidR="00FA6676" w:rsidRPr="00AA537D" w:rsidRDefault="00FA6676" w:rsidP="00AA537D">
      <w:pPr>
        <w:pStyle w:val="H23GA"/>
        <w:jc w:val="lowKashida"/>
        <w:rPr>
          <w:rFonts w:hint="cs"/>
          <w:spacing w:val="0"/>
          <w:kern w:val="0"/>
          <w:szCs w:val="20"/>
          <w:rtl/>
        </w:rPr>
      </w:pPr>
      <w:r w:rsidRPr="00AA537D">
        <w:rPr>
          <w:spacing w:val="0"/>
          <w:kern w:val="0"/>
          <w:rtl/>
        </w:rPr>
        <w:tab/>
      </w:r>
      <w:r w:rsidRPr="00AA537D">
        <w:rPr>
          <w:rFonts w:hint="cs"/>
          <w:spacing w:val="0"/>
          <w:kern w:val="0"/>
          <w:rtl/>
        </w:rPr>
        <w:tab/>
        <w:t>الشكوى</w:t>
      </w:r>
    </w:p>
    <w:p w:rsidR="00FA6676" w:rsidRPr="00AA537D" w:rsidRDefault="00FA6676" w:rsidP="00AA537D">
      <w:pPr>
        <w:pStyle w:val="SingleTxtGA"/>
        <w:jc w:val="lowKashida"/>
        <w:rPr>
          <w:rFonts w:hint="cs"/>
          <w:spacing w:val="0"/>
          <w:kern w:val="0"/>
          <w:szCs w:val="20"/>
          <w:rtl/>
        </w:rPr>
      </w:pPr>
      <w:r w:rsidRPr="00AA537D">
        <w:rPr>
          <w:rFonts w:hint="cs"/>
          <w:spacing w:val="0"/>
          <w:kern w:val="0"/>
          <w:rtl/>
        </w:rPr>
        <w:t>3-</w:t>
      </w:r>
      <w:r w:rsidRPr="00AA537D">
        <w:rPr>
          <w:rFonts w:hint="cs"/>
          <w:spacing w:val="0"/>
          <w:kern w:val="0"/>
          <w:rtl/>
        </w:rPr>
        <w:tab/>
        <w:t>يدعي صاحب الشكوى أن ترحيله قسراً إلى أذربيجان سيشكل انتهاكاً من جانب السويد لالتزاماتها بموجب المادة 3 من الاتفاقية. وسيتعرض في حال إعادته لخطر حقيقي يتمثل في الاعتقال والاحتجاز والتعذيب.</w:t>
      </w:r>
    </w:p>
    <w:p w:rsidR="00FA6676" w:rsidRPr="00AA537D" w:rsidRDefault="00FA6676" w:rsidP="00AA537D">
      <w:pPr>
        <w:pStyle w:val="H23GA"/>
        <w:jc w:val="lowKashida"/>
        <w:rPr>
          <w:rFonts w:hint="cs"/>
          <w:spacing w:val="0"/>
          <w:kern w:val="0"/>
          <w:szCs w:val="20"/>
          <w:rtl/>
        </w:rPr>
      </w:pPr>
      <w:r w:rsidRPr="00AA537D">
        <w:rPr>
          <w:spacing w:val="0"/>
          <w:kern w:val="0"/>
          <w:rtl/>
        </w:rPr>
        <w:tab/>
      </w:r>
      <w:r w:rsidRPr="00AA537D">
        <w:rPr>
          <w:rFonts w:hint="cs"/>
          <w:spacing w:val="0"/>
          <w:kern w:val="0"/>
          <w:rtl/>
        </w:rPr>
        <w:tab/>
        <w:t>ملاحظات الدولة الطرف بشأن المقبولية والأسس الموضوعية</w:t>
      </w:r>
    </w:p>
    <w:p w:rsidR="00FA6676" w:rsidRPr="00AA537D" w:rsidRDefault="00FA6676" w:rsidP="00E27835">
      <w:pPr>
        <w:pStyle w:val="SingleTxtGA"/>
        <w:jc w:val="lowKashida"/>
        <w:rPr>
          <w:rFonts w:hint="cs"/>
          <w:spacing w:val="0"/>
          <w:kern w:val="0"/>
          <w:szCs w:val="20"/>
          <w:rtl/>
        </w:rPr>
      </w:pPr>
      <w:r w:rsidRPr="00AA537D">
        <w:rPr>
          <w:rFonts w:hint="cs"/>
          <w:spacing w:val="0"/>
          <w:kern w:val="0"/>
          <w:rtl/>
        </w:rPr>
        <w:t>4-1</w:t>
      </w:r>
      <w:r w:rsidRPr="00AA537D">
        <w:rPr>
          <w:rFonts w:hint="cs"/>
          <w:spacing w:val="0"/>
          <w:kern w:val="0"/>
          <w:rtl/>
        </w:rPr>
        <w:tab/>
        <w:t>في 30 كانون الأول/ديسمبر 2010، قدمت الدولة الطرف ملاحظاتها بشأن المقبولية والأسس الموضوعية. وقدمت معلومات مفصلة عن تشريعات اللجوء السويدية ذات الصلة، فضلا</w:t>
      </w:r>
      <w:r w:rsidR="0025419A">
        <w:rPr>
          <w:rFonts w:hint="cs"/>
          <w:spacing w:val="0"/>
          <w:kern w:val="0"/>
          <w:rtl/>
        </w:rPr>
        <w:t>ً</w:t>
      </w:r>
      <w:r w:rsidRPr="00AA537D">
        <w:rPr>
          <w:rFonts w:hint="cs"/>
          <w:spacing w:val="0"/>
          <w:kern w:val="0"/>
          <w:rtl/>
        </w:rPr>
        <w:t xml:space="preserve"> عن المعلومات التالية بشأن الوقائع المتعلقة بحالة صاحب الشكوى، مستندة في ذلك بالأساس إلى ملفات القضية التي في حوزة مجلس الهجرة السويدي ومحكمتي الهجرة. وقد</w:t>
      </w:r>
      <w:r w:rsidR="00E27835">
        <w:rPr>
          <w:rFonts w:hint="eastAsia"/>
          <w:spacing w:val="0"/>
          <w:kern w:val="0"/>
          <w:rtl/>
        </w:rPr>
        <w:t> </w:t>
      </w:r>
      <w:r w:rsidRPr="00AA537D">
        <w:rPr>
          <w:rFonts w:hint="cs"/>
          <w:spacing w:val="0"/>
          <w:kern w:val="0"/>
          <w:rtl/>
        </w:rPr>
        <w:t>جرى النظر في طلب اللجوء الذي قدمه صاحب الشكوى في إطار إجراءات عدة، منها ما هو مشمول بقانون الأجانب لعام 1989، والتعديلات المؤقتة لقانون الأجانب لعام</w:t>
      </w:r>
      <w:r w:rsidR="00E27835">
        <w:rPr>
          <w:rFonts w:hint="eastAsia"/>
          <w:spacing w:val="0"/>
          <w:kern w:val="0"/>
          <w:rtl/>
        </w:rPr>
        <w:t> </w:t>
      </w:r>
      <w:r w:rsidRPr="00AA537D">
        <w:rPr>
          <w:rFonts w:hint="cs"/>
          <w:spacing w:val="0"/>
          <w:kern w:val="0"/>
          <w:rtl/>
        </w:rPr>
        <w:t>1989، وقانون الأجانب لعام 2005، على النحو المبين بالتفصيل أدناه.</w:t>
      </w:r>
    </w:p>
    <w:p w:rsidR="00FA6676" w:rsidRPr="00AA537D" w:rsidRDefault="00FA6676" w:rsidP="00E27835">
      <w:pPr>
        <w:pStyle w:val="SingleTxtGA"/>
        <w:jc w:val="lowKashida"/>
        <w:rPr>
          <w:rFonts w:hint="cs"/>
          <w:spacing w:val="0"/>
          <w:kern w:val="0"/>
        </w:rPr>
      </w:pPr>
      <w:r w:rsidRPr="00AA537D">
        <w:rPr>
          <w:rFonts w:hint="cs"/>
          <w:spacing w:val="0"/>
          <w:kern w:val="0"/>
          <w:rtl/>
        </w:rPr>
        <w:t>4-2</w:t>
      </w:r>
      <w:r w:rsidRPr="00AA537D">
        <w:rPr>
          <w:rFonts w:hint="cs"/>
          <w:spacing w:val="0"/>
          <w:kern w:val="0"/>
          <w:rtl/>
        </w:rPr>
        <w:tab/>
        <w:t>وتشير الدولة الطرف إلى أن مجلس الهجرة قد أجرى مقابلة مع م. ز. أ. بتاريخ 21 كانون الثاني/يناير 2004. وادعى م. ز. أ. أنه لا يملك أي وثائق تثبت هويته لأنه فقد أثناء سفره إلى السويد حقيبته التي كانت تحتوي على جواز سفره. وكان لدى م. ز. أ. شهادة ميلاد وشهادة تدريس. وادعى أنه عضو في حزب الاستقلال الوطني في أذربيجان. وشارك م. ز. أ. بصفته عضواً في الحزب في المظاهرات والاجتماعات. ولم يتمكن من إيجاد عمل نظراً إلى عضويته في حزب الاستقلال الوطني في أذربيجان. وكان قد اقتنى في الفترة الأخيرة دكاناً مقابل مبلغ 000 16 دولار أمريكي، بيد أنه لم يحصل على الدكان ولم يسترد أمواله. وخلص م. ز. أ. وأسرته إلى أنه ينبغي أن يسافر إلى أور</w:t>
      </w:r>
      <w:r w:rsidR="00E27835">
        <w:rPr>
          <w:rFonts w:hint="cs"/>
          <w:spacing w:val="0"/>
          <w:kern w:val="0"/>
          <w:rtl/>
        </w:rPr>
        <w:t xml:space="preserve">وبا، لكي "يجد حلاً هناك". وقرر </w:t>
      </w:r>
      <w:r w:rsidRPr="00AA537D">
        <w:rPr>
          <w:rFonts w:hint="cs"/>
          <w:spacing w:val="0"/>
          <w:kern w:val="0"/>
          <w:rtl/>
        </w:rPr>
        <w:t>م.</w:t>
      </w:r>
      <w:r w:rsidR="00E27835">
        <w:rPr>
          <w:rFonts w:hint="eastAsia"/>
          <w:spacing w:val="0"/>
          <w:kern w:val="0"/>
          <w:rtl/>
        </w:rPr>
        <w:t> </w:t>
      </w:r>
      <w:r w:rsidRPr="00AA537D">
        <w:rPr>
          <w:rFonts w:hint="cs"/>
          <w:spacing w:val="0"/>
          <w:kern w:val="0"/>
          <w:rtl/>
        </w:rPr>
        <w:t>ز. أ. أن يقوم بذلك فقط "ليتحمل مسؤوليته كأب".</w:t>
      </w:r>
    </w:p>
    <w:p w:rsidR="00FA6676" w:rsidRPr="00AA537D" w:rsidRDefault="00FA6676" w:rsidP="00E27835">
      <w:pPr>
        <w:pStyle w:val="SingleTxtGA"/>
        <w:jc w:val="lowKashida"/>
        <w:rPr>
          <w:rFonts w:hint="cs"/>
          <w:spacing w:val="0"/>
          <w:kern w:val="0"/>
        </w:rPr>
      </w:pPr>
      <w:r w:rsidRPr="00AA537D">
        <w:rPr>
          <w:rFonts w:hint="cs"/>
          <w:spacing w:val="0"/>
          <w:kern w:val="0"/>
          <w:rtl/>
        </w:rPr>
        <w:t>4-3</w:t>
      </w:r>
      <w:r w:rsidRPr="00AA537D">
        <w:rPr>
          <w:rFonts w:hint="cs"/>
          <w:spacing w:val="0"/>
          <w:kern w:val="0"/>
          <w:rtl/>
        </w:rPr>
        <w:tab/>
        <w:t>وتذكر الدولة الطرف أن م. ز. أ. قدم تصريحاً إلى مجلس الهجرة في 2 نيسان/</w:t>
      </w:r>
      <w:r w:rsidR="00E27835">
        <w:rPr>
          <w:rFonts w:hint="cs"/>
          <w:spacing w:val="0"/>
          <w:kern w:val="0"/>
          <w:rtl/>
        </w:rPr>
        <w:t xml:space="preserve"> </w:t>
      </w:r>
      <w:r w:rsidRPr="00AA537D">
        <w:rPr>
          <w:rFonts w:hint="cs"/>
          <w:spacing w:val="0"/>
          <w:kern w:val="0"/>
          <w:rtl/>
        </w:rPr>
        <w:t>أبريل</w:t>
      </w:r>
      <w:r w:rsidR="00E27835">
        <w:rPr>
          <w:rFonts w:hint="eastAsia"/>
          <w:spacing w:val="0"/>
          <w:kern w:val="0"/>
          <w:rtl/>
        </w:rPr>
        <w:t> </w:t>
      </w:r>
      <w:r w:rsidRPr="00AA537D">
        <w:rPr>
          <w:rFonts w:hint="cs"/>
          <w:spacing w:val="0"/>
          <w:kern w:val="0"/>
          <w:rtl/>
        </w:rPr>
        <w:t>2004 عن طريق محاميته التي استفاد من خدماتها في إطار المساعدة القانونية. وقد أشار م. ز. أ. في ذلك التصريح إلى أنه ترك أذربيجان بسبب مشاركته في أنشطة حزب الاستقلال الوطني في أذربيجان ومنصبه كرئيس للحزب في المنطقة التي كان يقيم فيها. وادعى م. ز. أ. أنه شارك في عدد من المظاهرات، بما فيها مظاهرة ضخمة يومي 15 و16 تشرين الأول/أكتوبر 2003. وادعى م. ز. أ. أنه أُخذ بعيداً عن المظاهرة وجُنِّبَ الضرب والاعتقال بفضل أم زوجته التي كانت تعمل كمدعية وكانت تربطها بعض العلاقات بالشرطة. وقد اختبأ م. ز. أ. عقب ذلك. وفي كانون الثاني/يناير 2004، علم من زوجته وأمها أنه مطلوب من قبل الشرطة. وادعى م. ز. أ. أيضاً أن مافيا أذربيجان بدورها ضالعة في قضيته وأنها تدعم الجهود التي تبذلها الشرطة للعثور عليه. وقدم م. ز. أ. نسخة من بطاقة هويته وبطاقة عضوية في حزب المعارضة.</w:t>
      </w:r>
    </w:p>
    <w:p w:rsidR="00FA6676" w:rsidRPr="00AA537D" w:rsidRDefault="00FA6676" w:rsidP="00E27835">
      <w:pPr>
        <w:pStyle w:val="SingleTxtGA"/>
        <w:jc w:val="lowKashida"/>
        <w:rPr>
          <w:rFonts w:hint="cs"/>
          <w:spacing w:val="0"/>
          <w:kern w:val="0"/>
        </w:rPr>
      </w:pPr>
      <w:r w:rsidRPr="00AA537D">
        <w:rPr>
          <w:rFonts w:hint="cs"/>
          <w:spacing w:val="0"/>
          <w:kern w:val="0"/>
          <w:rtl/>
        </w:rPr>
        <w:t>4-4</w:t>
      </w:r>
      <w:r w:rsidRPr="00AA537D">
        <w:rPr>
          <w:rFonts w:hint="cs"/>
          <w:spacing w:val="0"/>
          <w:kern w:val="0"/>
          <w:rtl/>
        </w:rPr>
        <w:tab/>
        <w:t>وتدفع الدولة الطرف بأن مجلس الهجرة رفض بتاريخ 13 أيار/مايو 2004 طلبَ م.</w:t>
      </w:r>
      <w:r w:rsidR="00E27835">
        <w:rPr>
          <w:rFonts w:hint="eastAsia"/>
          <w:spacing w:val="0"/>
          <w:kern w:val="0"/>
          <w:rtl/>
        </w:rPr>
        <w:t> </w:t>
      </w:r>
      <w:r w:rsidRPr="00AA537D">
        <w:rPr>
          <w:rFonts w:hint="cs"/>
          <w:spacing w:val="0"/>
          <w:kern w:val="0"/>
          <w:rtl/>
        </w:rPr>
        <w:t>ز. أ. الحصول على ترخيص للإقامة والعمل. ورفض مجلس الهجرة طلب صاحب الشكوى لأسباب منها، أنه لم يُشر إلى تعرضه لأي اضطهاد قبل مظاهرة تشرين الأول/ أكتوبر 2003. كما ارتأى المجلس أنه من غير المحتمل أن يحظى م. ز. أ. بأي اهتمام كان لدى الشرطة في أذربيجان لأن انخراطه في العمل السياسي لا يكاد يذكر.</w:t>
      </w:r>
    </w:p>
    <w:p w:rsidR="00FA6676" w:rsidRPr="00E27835" w:rsidRDefault="00FA6676" w:rsidP="00E27835">
      <w:pPr>
        <w:pStyle w:val="SingleTxtGA"/>
        <w:jc w:val="lowKashida"/>
        <w:rPr>
          <w:rFonts w:hint="cs"/>
          <w:spacing w:val="-2"/>
          <w:kern w:val="0"/>
        </w:rPr>
      </w:pPr>
      <w:r w:rsidRPr="00E27835">
        <w:rPr>
          <w:rFonts w:hint="cs"/>
          <w:spacing w:val="-2"/>
          <w:kern w:val="0"/>
          <w:rtl/>
        </w:rPr>
        <w:t>4-5</w:t>
      </w:r>
      <w:r w:rsidRPr="00E27835">
        <w:rPr>
          <w:rFonts w:hint="cs"/>
          <w:spacing w:val="-2"/>
          <w:kern w:val="0"/>
          <w:rtl/>
        </w:rPr>
        <w:tab/>
        <w:t>وتذكر الدولة الطرف أن صاحب الشكوى قد طعن بتاريخ 23 أيار/مايو 2004 في قرار مجلس الهجرة أمام مجلس طعون الأجانب، وأنه أضاف إلى ادعاءاته السابقة أن أب</w:t>
      </w:r>
      <w:r w:rsidR="0025419A">
        <w:rPr>
          <w:rFonts w:hint="cs"/>
          <w:spacing w:val="-2"/>
          <w:kern w:val="0"/>
          <w:rtl/>
        </w:rPr>
        <w:t>ا</w:t>
      </w:r>
      <w:r w:rsidRPr="00E27835">
        <w:rPr>
          <w:rFonts w:hint="cs"/>
          <w:spacing w:val="-2"/>
          <w:kern w:val="0"/>
          <w:rtl/>
        </w:rPr>
        <w:t xml:space="preserve"> زوجته هو من كان يعمل في الواقع كمدع</w:t>
      </w:r>
      <w:r w:rsidR="0025419A">
        <w:rPr>
          <w:rFonts w:hint="cs"/>
          <w:spacing w:val="-2"/>
          <w:kern w:val="0"/>
          <w:rtl/>
        </w:rPr>
        <w:t>ٍ</w:t>
      </w:r>
      <w:r w:rsidRPr="00E27835">
        <w:rPr>
          <w:rFonts w:hint="cs"/>
          <w:spacing w:val="-2"/>
          <w:kern w:val="0"/>
          <w:rtl/>
        </w:rPr>
        <w:t xml:space="preserve"> وليست أم زوجته، كما ذكر سابقاً. وادعى م.</w:t>
      </w:r>
      <w:r w:rsidR="00E27835" w:rsidRPr="00E27835">
        <w:rPr>
          <w:rFonts w:hint="eastAsia"/>
          <w:spacing w:val="-2"/>
          <w:kern w:val="0"/>
          <w:rtl/>
        </w:rPr>
        <w:t> </w:t>
      </w:r>
      <w:r w:rsidRPr="00E27835">
        <w:rPr>
          <w:rFonts w:hint="cs"/>
          <w:spacing w:val="-2"/>
          <w:kern w:val="0"/>
          <w:rtl/>
        </w:rPr>
        <w:t>ز. أ. أيضاً أن مجلس الهجرة قد هون من شأن مشاركته في حزب المعارضة. وأفاد م. ز. أ. أنه مقتنع بأنه سيُعتقل ويكون عرضة للمضايقة والاعتداء الجسيمين إذا ما أُعيد إلى أذربيجان. وفي 18 نيسان/أبريل 2005، رفض مجلس طعون الأجانب الطعن الذي قدمه م. ز. أ. وأيد، بدلاً من ذلك، الاستنتاجات السابقة التي توصل إليها مجلس الهجرة.</w:t>
      </w:r>
    </w:p>
    <w:p w:rsidR="00FA6676" w:rsidRPr="00AA537D" w:rsidRDefault="00FA6676" w:rsidP="00E27835">
      <w:pPr>
        <w:pStyle w:val="SingleTxtGA"/>
        <w:jc w:val="lowKashida"/>
        <w:rPr>
          <w:rFonts w:hint="cs"/>
          <w:spacing w:val="0"/>
          <w:kern w:val="0"/>
        </w:rPr>
      </w:pPr>
      <w:r w:rsidRPr="00AA537D">
        <w:rPr>
          <w:rFonts w:hint="cs"/>
          <w:spacing w:val="0"/>
          <w:kern w:val="0"/>
          <w:rtl/>
        </w:rPr>
        <w:t>4-6</w:t>
      </w:r>
      <w:r w:rsidRPr="00AA537D">
        <w:rPr>
          <w:rFonts w:hint="cs"/>
          <w:spacing w:val="0"/>
          <w:kern w:val="0"/>
          <w:rtl/>
        </w:rPr>
        <w:tab/>
        <w:t>وتزعم الدولة الطرف أن م. ز. أ. وزوجته وابنته قدموا إلى مجلس طعون الأجانب طلباً آخر للحصول على ترخيص إقامة. وفي 23 نيسان/أبريل 2005، رفض مجلس طعون الأجانب طلبهم، مشيراً إلى أن صاحب الشكوى ل</w:t>
      </w:r>
      <w:r w:rsidR="00E27835">
        <w:rPr>
          <w:rFonts w:hint="cs"/>
          <w:spacing w:val="0"/>
          <w:kern w:val="0"/>
          <w:rtl/>
        </w:rPr>
        <w:t xml:space="preserve">م يستشهد بأي ظروف مستجدة. وقدم </w:t>
      </w:r>
      <w:r w:rsidRPr="00AA537D">
        <w:rPr>
          <w:rFonts w:hint="cs"/>
          <w:spacing w:val="0"/>
          <w:kern w:val="0"/>
          <w:rtl/>
        </w:rPr>
        <w:t>م.</w:t>
      </w:r>
      <w:r w:rsidR="00E27835">
        <w:rPr>
          <w:rFonts w:hint="eastAsia"/>
          <w:spacing w:val="0"/>
          <w:kern w:val="0"/>
          <w:rtl/>
        </w:rPr>
        <w:t> </w:t>
      </w:r>
      <w:r w:rsidRPr="00AA537D">
        <w:rPr>
          <w:rFonts w:hint="cs"/>
          <w:spacing w:val="0"/>
          <w:kern w:val="0"/>
          <w:rtl/>
        </w:rPr>
        <w:t>ز. أ. كذلك عدداً من الطلبات للحصول على ترخيص إقامة، ووجهت كلها بالرفض. وأصدرت محكمة الاستئناف المعنية بشؤون الهجرة، بتاريخ 29 نيسان/أبريل 2010، قرارا</w:t>
      </w:r>
      <w:r w:rsidR="00E27835">
        <w:rPr>
          <w:rFonts w:hint="cs"/>
          <w:spacing w:val="0"/>
          <w:kern w:val="0"/>
          <w:rtl/>
        </w:rPr>
        <w:t>ً</w:t>
      </w:r>
      <w:r w:rsidRPr="00AA537D">
        <w:rPr>
          <w:rFonts w:hint="cs"/>
          <w:spacing w:val="0"/>
          <w:kern w:val="0"/>
          <w:rtl/>
        </w:rPr>
        <w:t xml:space="preserve"> أخيرا</w:t>
      </w:r>
      <w:r w:rsidR="00E27835">
        <w:rPr>
          <w:rFonts w:hint="cs"/>
          <w:spacing w:val="0"/>
          <w:kern w:val="0"/>
          <w:rtl/>
        </w:rPr>
        <w:t>ً</w:t>
      </w:r>
      <w:r w:rsidRPr="00AA537D">
        <w:rPr>
          <w:rFonts w:hint="cs"/>
          <w:spacing w:val="0"/>
          <w:kern w:val="0"/>
          <w:rtl/>
        </w:rPr>
        <w:t>، وهو ما استدعى إصدار أمر بطرد م. ز. أ. إلى أذربيجان.</w:t>
      </w:r>
    </w:p>
    <w:p w:rsidR="00FA6676" w:rsidRPr="00AA537D" w:rsidRDefault="00FA6676" w:rsidP="00AA537D">
      <w:pPr>
        <w:pStyle w:val="SingleTxtGA"/>
        <w:jc w:val="lowKashida"/>
        <w:rPr>
          <w:rFonts w:hint="cs"/>
          <w:spacing w:val="0"/>
          <w:kern w:val="0"/>
        </w:rPr>
      </w:pPr>
      <w:r w:rsidRPr="00AA537D">
        <w:rPr>
          <w:rFonts w:hint="cs"/>
          <w:spacing w:val="0"/>
          <w:kern w:val="0"/>
          <w:rtl/>
        </w:rPr>
        <w:t>4-7</w:t>
      </w:r>
      <w:r w:rsidRPr="00AA537D">
        <w:rPr>
          <w:rFonts w:hint="cs"/>
          <w:spacing w:val="0"/>
          <w:kern w:val="0"/>
          <w:rtl/>
        </w:rPr>
        <w:tab/>
        <w:t xml:space="preserve">وتُقر الدولة الطرف بأن صاحب الشكوى قد استنفد جميع سبل الانتصاف المحلية المتاحة، لكنها تدفع بأن الشكوى غير مقبولة لاستنادها بشكل واضح إلى أسس واهية. </w:t>
      </w:r>
      <w:r w:rsidRPr="00AA537D">
        <w:rPr>
          <w:rFonts w:hint="cs"/>
          <w:spacing w:val="0"/>
          <w:kern w:val="0"/>
          <w:rtl/>
          <w:lang/>
        </w:rPr>
        <w:t>وحتى إذا كانت اللجنة تعتبر الشكوى مقبولة، فإن الدولة الطرف تنفي أنها ستنتهك الاتفاقية بترحيلها صاحب الشكوى إلى أذربيجان.</w:t>
      </w:r>
    </w:p>
    <w:p w:rsidR="00FA6676" w:rsidRPr="00AA537D" w:rsidRDefault="00FA6676" w:rsidP="00AA537D">
      <w:pPr>
        <w:pStyle w:val="SingleTxtGA"/>
        <w:jc w:val="lowKashida"/>
        <w:rPr>
          <w:rFonts w:hint="cs"/>
          <w:spacing w:val="0"/>
          <w:kern w:val="0"/>
        </w:rPr>
      </w:pPr>
      <w:r w:rsidRPr="00AA537D">
        <w:rPr>
          <w:rFonts w:hint="cs"/>
          <w:spacing w:val="0"/>
          <w:kern w:val="0"/>
          <w:rtl/>
        </w:rPr>
        <w:t>4-8</w:t>
      </w:r>
      <w:r w:rsidRPr="00AA537D">
        <w:rPr>
          <w:rFonts w:hint="cs"/>
          <w:spacing w:val="0"/>
          <w:kern w:val="0"/>
          <w:rtl/>
        </w:rPr>
        <w:tab/>
        <w:t xml:space="preserve">وتشير الدولة الطرف إلى الاجتهادات السابقة للجنة التي مفادها أن وجود نمط ثابت من الانتهاكات الفادحة أو الصارخة أو الجماعية لحقوق الإنسان في بلد ما لا يشكل في حد ذاته </w:t>
      </w:r>
      <w:r w:rsidRPr="00AA537D">
        <w:rPr>
          <w:spacing w:val="0"/>
          <w:kern w:val="0"/>
          <w:rtl/>
        </w:rPr>
        <w:t>أساسا</w:t>
      </w:r>
      <w:r w:rsidRPr="00AA537D">
        <w:rPr>
          <w:rFonts w:hint="cs"/>
          <w:spacing w:val="0"/>
          <w:kern w:val="0"/>
          <w:rtl/>
        </w:rPr>
        <w:t>ً</w:t>
      </w:r>
      <w:r w:rsidRPr="00AA537D">
        <w:rPr>
          <w:spacing w:val="0"/>
          <w:kern w:val="0"/>
          <w:rtl/>
        </w:rPr>
        <w:t xml:space="preserve"> كافيا</w:t>
      </w:r>
      <w:r w:rsidRPr="00AA537D">
        <w:rPr>
          <w:rFonts w:hint="cs"/>
          <w:spacing w:val="0"/>
          <w:kern w:val="0"/>
          <w:rtl/>
        </w:rPr>
        <w:t>ً</w:t>
      </w:r>
      <w:r w:rsidRPr="00AA537D">
        <w:rPr>
          <w:spacing w:val="0"/>
          <w:kern w:val="0"/>
          <w:rtl/>
        </w:rPr>
        <w:t xml:space="preserve"> لت</w:t>
      </w:r>
      <w:r w:rsidRPr="00AA537D">
        <w:rPr>
          <w:rFonts w:hint="cs"/>
          <w:spacing w:val="0"/>
          <w:kern w:val="0"/>
          <w:rtl/>
        </w:rPr>
        <w:t>قرير</w:t>
      </w:r>
      <w:r w:rsidRPr="00AA537D">
        <w:rPr>
          <w:spacing w:val="0"/>
          <w:kern w:val="0"/>
          <w:rtl/>
        </w:rPr>
        <w:t xml:space="preserve"> </w:t>
      </w:r>
      <w:r w:rsidRPr="00AA537D">
        <w:rPr>
          <w:rFonts w:hint="cs"/>
          <w:spacing w:val="0"/>
          <w:kern w:val="0"/>
          <w:rtl/>
        </w:rPr>
        <w:t xml:space="preserve">أن </w:t>
      </w:r>
      <w:r w:rsidRPr="00AA537D">
        <w:rPr>
          <w:spacing w:val="0"/>
          <w:kern w:val="0"/>
          <w:rtl/>
        </w:rPr>
        <w:t>شخص</w:t>
      </w:r>
      <w:r w:rsidRPr="00AA537D">
        <w:rPr>
          <w:rFonts w:hint="cs"/>
          <w:spacing w:val="0"/>
          <w:kern w:val="0"/>
          <w:rtl/>
        </w:rPr>
        <w:t>اً ما سيواجه</w:t>
      </w:r>
      <w:r w:rsidRPr="00AA537D">
        <w:rPr>
          <w:spacing w:val="0"/>
          <w:kern w:val="0"/>
          <w:rtl/>
        </w:rPr>
        <w:t xml:space="preserve"> خطر التعرض للتعذيب عند عودته إلى ذلك البلد</w:t>
      </w:r>
      <w:r w:rsidRPr="00AA537D">
        <w:rPr>
          <w:rFonts w:hint="cs"/>
          <w:spacing w:val="0"/>
          <w:kern w:val="0"/>
          <w:rtl/>
        </w:rPr>
        <w:t xml:space="preserve">. وتحتج الدولة الطرف بأنه </w:t>
      </w:r>
      <w:r w:rsidRPr="00AA537D">
        <w:rPr>
          <w:spacing w:val="0"/>
          <w:kern w:val="0"/>
          <w:rtl/>
        </w:rPr>
        <w:t xml:space="preserve">يلزم </w:t>
      </w:r>
      <w:r w:rsidRPr="00AA537D">
        <w:rPr>
          <w:rFonts w:hint="cs"/>
          <w:spacing w:val="0"/>
          <w:kern w:val="0"/>
          <w:rtl/>
        </w:rPr>
        <w:t>إيراد أسباب</w:t>
      </w:r>
      <w:r w:rsidRPr="00AA537D">
        <w:rPr>
          <w:spacing w:val="0"/>
          <w:kern w:val="0"/>
          <w:rtl/>
        </w:rPr>
        <w:t xml:space="preserve"> أخرى لإثبات أنه سيكون شخصيا</w:t>
      </w:r>
      <w:r w:rsidRPr="00AA537D">
        <w:rPr>
          <w:rFonts w:hint="cs"/>
          <w:spacing w:val="0"/>
          <w:kern w:val="0"/>
          <w:rtl/>
        </w:rPr>
        <w:t>ً</w:t>
      </w:r>
      <w:r w:rsidRPr="00AA537D">
        <w:rPr>
          <w:spacing w:val="0"/>
          <w:kern w:val="0"/>
          <w:rtl/>
        </w:rPr>
        <w:t xml:space="preserve"> معرضا</w:t>
      </w:r>
      <w:r w:rsidRPr="00AA537D">
        <w:rPr>
          <w:rFonts w:hint="cs"/>
          <w:spacing w:val="0"/>
          <w:kern w:val="0"/>
          <w:rtl/>
        </w:rPr>
        <w:t>ً</w:t>
      </w:r>
      <w:r w:rsidRPr="00AA537D">
        <w:rPr>
          <w:spacing w:val="0"/>
          <w:kern w:val="0"/>
          <w:rtl/>
        </w:rPr>
        <w:t xml:space="preserve"> لهذا الخطر</w:t>
      </w:r>
      <w:r w:rsidRPr="00AA537D">
        <w:rPr>
          <w:spacing w:val="0"/>
          <w:kern w:val="0"/>
          <w:sz w:val="28"/>
          <w:szCs w:val="28"/>
          <w:vertAlign w:val="superscript"/>
          <w:rtl/>
        </w:rPr>
        <w:t>(</w:t>
      </w:r>
      <w:r w:rsidRPr="00AA537D">
        <w:rPr>
          <w:rStyle w:val="FootnoteReference"/>
          <w:spacing w:val="0"/>
          <w:sz w:val="28"/>
          <w:rtl/>
        </w:rPr>
        <w:footnoteReference w:id="351"/>
      </w:r>
      <w:r w:rsidRPr="00AA537D">
        <w:rPr>
          <w:spacing w:val="0"/>
          <w:kern w:val="0"/>
          <w:sz w:val="28"/>
          <w:szCs w:val="28"/>
          <w:vertAlign w:val="superscript"/>
          <w:rtl/>
        </w:rPr>
        <w:t>)</w:t>
      </w:r>
      <w:r w:rsidRPr="00AA537D">
        <w:rPr>
          <w:spacing w:val="0"/>
          <w:kern w:val="0"/>
          <w:rtl/>
        </w:rPr>
        <w:t>.</w:t>
      </w:r>
      <w:r w:rsidRPr="00AA537D">
        <w:rPr>
          <w:rFonts w:hint="cs"/>
          <w:spacing w:val="0"/>
          <w:kern w:val="0"/>
          <w:rtl/>
        </w:rPr>
        <w:t xml:space="preserve"> لذا تدفع الدولة الطرف بأنه ينبغي أن تنظر اللجنة في كل من الوضع العام لحقوق الإنسان في أذربيجان وخطر تعرض صاحب الشكوى شخصياً للتعذيب عند عودته.</w:t>
      </w:r>
    </w:p>
    <w:p w:rsidR="00FA6676" w:rsidRPr="00AA537D" w:rsidRDefault="00FA6676" w:rsidP="00171FB4">
      <w:pPr>
        <w:pStyle w:val="SingleTxtGA"/>
        <w:jc w:val="lowKashida"/>
        <w:rPr>
          <w:rFonts w:hint="cs"/>
          <w:spacing w:val="0"/>
          <w:kern w:val="0"/>
        </w:rPr>
      </w:pPr>
      <w:r w:rsidRPr="00AA537D">
        <w:rPr>
          <w:rFonts w:hint="cs"/>
          <w:spacing w:val="0"/>
          <w:kern w:val="0"/>
          <w:rtl/>
        </w:rPr>
        <w:t>4-9</w:t>
      </w:r>
      <w:r w:rsidRPr="00AA537D">
        <w:rPr>
          <w:rFonts w:hint="cs"/>
          <w:spacing w:val="0"/>
          <w:kern w:val="0"/>
          <w:rtl/>
        </w:rPr>
        <w:tab/>
        <w:t>وتذكر الدولة الطرف أيضاً أن أذربيجان قد وقعت جميع اتفاقيات الأمم المتحدة المهمة، بما فيها اتفاقية مناهضة التعذيب وغيره من ضروب المعاملة أو العقوبة القاسية أو</w:t>
      </w:r>
      <w:r w:rsidR="00171FB4">
        <w:rPr>
          <w:rFonts w:hint="eastAsia"/>
          <w:spacing w:val="0"/>
          <w:kern w:val="0"/>
          <w:rtl/>
        </w:rPr>
        <w:t> </w:t>
      </w:r>
      <w:r w:rsidRPr="00AA537D">
        <w:rPr>
          <w:rFonts w:hint="cs"/>
          <w:spacing w:val="0"/>
          <w:kern w:val="0"/>
          <w:rtl/>
        </w:rPr>
        <w:t>اللاإنسانية أو المهينة. كما أن أذربيجان عضو في مجلس حقوق الإنسان منذ عام 2006. وتحيل الدولة الطرف إلى عدة تقارير</w:t>
      </w:r>
      <w:r w:rsidRPr="00AA537D">
        <w:rPr>
          <w:spacing w:val="0"/>
          <w:kern w:val="0"/>
          <w:vertAlign w:val="superscript"/>
          <w:rtl/>
        </w:rPr>
        <w:t>(</w:t>
      </w:r>
      <w:r w:rsidRPr="00AA537D">
        <w:rPr>
          <w:rStyle w:val="FootnoteReference"/>
          <w:spacing w:val="0"/>
          <w:rtl/>
        </w:rPr>
        <w:footnoteReference w:id="352"/>
      </w:r>
      <w:r w:rsidRPr="00AA537D">
        <w:rPr>
          <w:spacing w:val="0"/>
          <w:kern w:val="0"/>
          <w:vertAlign w:val="superscript"/>
          <w:rtl/>
        </w:rPr>
        <w:t>)</w:t>
      </w:r>
      <w:r w:rsidRPr="00AA537D">
        <w:rPr>
          <w:rFonts w:hint="cs"/>
          <w:spacing w:val="0"/>
          <w:kern w:val="0"/>
          <w:rtl/>
        </w:rPr>
        <w:t>، وتدعي أن تلك التقارير تخلص جميعها إلى نفس الاستنتاج، وهو أن مجرد العضوية أو المشاركة في حزب معارض في أذربيجان لا تعني بالضرورة أن شخصاً ما سيتعرض للتعذيب أو المعاملة السيئة.</w:t>
      </w:r>
    </w:p>
    <w:p w:rsidR="00FA6676" w:rsidRPr="00AA537D" w:rsidRDefault="00FA6676" w:rsidP="00AA537D">
      <w:pPr>
        <w:pStyle w:val="SingleTxtGA"/>
        <w:jc w:val="lowKashida"/>
        <w:rPr>
          <w:rFonts w:hint="cs"/>
          <w:spacing w:val="0"/>
          <w:kern w:val="0"/>
        </w:rPr>
      </w:pPr>
      <w:r w:rsidRPr="00AA537D">
        <w:rPr>
          <w:rFonts w:hint="cs"/>
          <w:spacing w:val="0"/>
          <w:kern w:val="0"/>
          <w:rtl/>
        </w:rPr>
        <w:t>4-10</w:t>
      </w:r>
      <w:r w:rsidRPr="00AA537D">
        <w:rPr>
          <w:rFonts w:hint="cs"/>
          <w:spacing w:val="0"/>
          <w:kern w:val="0"/>
          <w:rtl/>
        </w:rPr>
        <w:tab/>
        <w:t>وتحاج الدولة الطرف كذلك بأن الشخص المعني يتعين أن يواجه بصورة متوقعة وفعلية وشخصية خطر التعرض للتعذيب إذا ما أُعيد إلى بلده الأصلي</w:t>
      </w:r>
      <w:r w:rsidRPr="00AA537D">
        <w:rPr>
          <w:spacing w:val="0"/>
          <w:kern w:val="0"/>
          <w:vertAlign w:val="superscript"/>
          <w:rtl/>
        </w:rPr>
        <w:t>(</w:t>
      </w:r>
      <w:r w:rsidRPr="00AA537D">
        <w:rPr>
          <w:rStyle w:val="FootnoteReference"/>
          <w:spacing w:val="0"/>
          <w:rtl/>
        </w:rPr>
        <w:footnoteReference w:id="353"/>
      </w:r>
      <w:r w:rsidRPr="00AA537D">
        <w:rPr>
          <w:spacing w:val="0"/>
          <w:kern w:val="0"/>
          <w:vertAlign w:val="superscript"/>
          <w:rtl/>
        </w:rPr>
        <w:t>)</w:t>
      </w:r>
      <w:r w:rsidRPr="00AA537D">
        <w:rPr>
          <w:rFonts w:hint="cs"/>
          <w:spacing w:val="0"/>
          <w:kern w:val="0"/>
          <w:rtl/>
        </w:rPr>
        <w:t>. وتذكر الدولة الطرف أيضاً بما ورد في التعليق العام رقم 1(1997) بشأن تنفيذ المادة 3 من الاتفاقية في سياق المادة 22</w:t>
      </w:r>
      <w:r w:rsidRPr="00AA537D">
        <w:rPr>
          <w:spacing w:val="0"/>
          <w:kern w:val="0"/>
          <w:vertAlign w:val="superscript"/>
          <w:rtl/>
        </w:rPr>
        <w:t>(</w:t>
      </w:r>
      <w:r w:rsidRPr="00E27835">
        <w:rPr>
          <w:rStyle w:val="FootnoteReference"/>
          <w:spacing w:val="0"/>
          <w:sz w:val="2"/>
          <w:szCs w:val="2"/>
          <w:rtl/>
        </w:rPr>
        <w:footnoteReference w:id="354"/>
      </w:r>
      <w:r w:rsidR="00E27835" w:rsidRPr="00E27835">
        <w:rPr>
          <w:rFonts w:hint="cs"/>
          <w:spacing w:val="0"/>
          <w:kern w:val="0"/>
          <w:sz w:val="30"/>
          <w:vertAlign w:val="superscript"/>
          <w:rtl/>
        </w:rPr>
        <w:t>ﻫ</w:t>
      </w:r>
      <w:r w:rsidRPr="00AA537D">
        <w:rPr>
          <w:spacing w:val="0"/>
          <w:kern w:val="0"/>
          <w:vertAlign w:val="superscript"/>
          <w:rtl/>
        </w:rPr>
        <w:t>)</w:t>
      </w:r>
      <w:r w:rsidRPr="00AA537D">
        <w:rPr>
          <w:rFonts w:hint="cs"/>
          <w:spacing w:val="0"/>
          <w:kern w:val="0"/>
          <w:rtl/>
        </w:rPr>
        <w:t>، من أن عبء تقديم الحجج الوجيهة يقع على عاتق صاحب الشكوى، وأن خطر التعذيب يجب أن يُقيّم على أسس تتجاوز مجرد النظرية أو الشك، غير أنه لا يتحتم أن يلبي معيار ترجيح احتمال وقوعه.</w:t>
      </w:r>
    </w:p>
    <w:p w:rsidR="00FA6676" w:rsidRPr="00AA537D" w:rsidRDefault="00FA6676" w:rsidP="00AA537D">
      <w:pPr>
        <w:pStyle w:val="SingleTxtGA"/>
        <w:jc w:val="lowKashida"/>
        <w:rPr>
          <w:rFonts w:hint="cs"/>
          <w:spacing w:val="0"/>
          <w:kern w:val="0"/>
        </w:rPr>
      </w:pPr>
      <w:r w:rsidRPr="00AA537D">
        <w:rPr>
          <w:rFonts w:hint="cs"/>
          <w:spacing w:val="0"/>
          <w:kern w:val="0"/>
          <w:rtl/>
        </w:rPr>
        <w:t>4-11</w:t>
      </w:r>
      <w:r w:rsidRPr="00AA537D">
        <w:rPr>
          <w:rFonts w:hint="cs"/>
          <w:spacing w:val="0"/>
          <w:kern w:val="0"/>
          <w:rtl/>
        </w:rPr>
        <w:tab/>
        <w:t>وتدفع الدولة الطرف بوجوب إيلاء أهمية كبيرة لقرارات سلطات الهجرة السويدية. وتؤكد أن صاحب الشكوى قدم بعض التصريحات المتناقضة، ومن جملتها أنه ادعى في بادئ الأمر أن أم زوجته هي من كانت تعمل كمدعية ليزعم لاحقاً أن أب</w:t>
      </w:r>
      <w:r w:rsidR="00171FB4">
        <w:rPr>
          <w:rFonts w:hint="cs"/>
          <w:spacing w:val="0"/>
          <w:kern w:val="0"/>
          <w:rtl/>
        </w:rPr>
        <w:t>ا</w:t>
      </w:r>
      <w:r w:rsidRPr="00AA537D">
        <w:rPr>
          <w:rFonts w:hint="cs"/>
          <w:spacing w:val="0"/>
          <w:kern w:val="0"/>
          <w:rtl/>
        </w:rPr>
        <w:t xml:space="preserve"> زوجته هو من كان يعمل كمدع. إضافة إلى ذلك، عرض صاحب الشكوى أسباباً مختلفة دفعته إلى ترك أذربيجان. فقد ادعى في البداية أنه لم يكن يستطيع العثور على عمل بسبب أنشطته السياسية وأنه لم يكن يرغب في أن يعيله أشقاؤه. وبعد مضي شهرين، غيرَ روايته وادعى أنه اضطر إلى ترك أذربيجان لأن الشرطة كانت تبحث عنه.</w:t>
      </w:r>
    </w:p>
    <w:p w:rsidR="00FA6676" w:rsidRPr="00AA537D" w:rsidRDefault="00FA6676" w:rsidP="00AA537D">
      <w:pPr>
        <w:pStyle w:val="SingleTxtGA"/>
        <w:jc w:val="lowKashida"/>
        <w:rPr>
          <w:rFonts w:hint="cs"/>
          <w:spacing w:val="0"/>
          <w:kern w:val="0"/>
          <w:rtl/>
        </w:rPr>
      </w:pPr>
      <w:r w:rsidRPr="00AA537D">
        <w:rPr>
          <w:rFonts w:hint="cs"/>
          <w:spacing w:val="0"/>
          <w:kern w:val="0"/>
          <w:rtl/>
        </w:rPr>
        <w:t>4-12</w:t>
      </w:r>
      <w:r w:rsidRPr="00AA537D">
        <w:rPr>
          <w:rFonts w:hint="cs"/>
          <w:spacing w:val="0"/>
          <w:kern w:val="0"/>
          <w:rtl/>
        </w:rPr>
        <w:tab/>
        <w:t>وتدفع الدولة الطرف بأن صاحب الشكوى لم يقدم أية أدلة تفيد بأنه كان مطلوباً في أذربيجان أو متهماً بارتكاب جرائم فيها. إضافة إلى ذلك، لم يدع م. ز. أ. أنه تعرض للاعتقال أو الاستجواب عندما كان في أذربيجان. وقدم صاحب الشكوى معلومات جد غامضة عن التهديدات المزعومة ضده. وتذكر الدولة الطرف أنه ليس ثمة دليل أو أي سبب آخر يدفع إلى الاعتقاد بأن صاحب الشكوى سيتعرض للتعذيب إذا ما أُعيد إلى أذربيجان.</w:t>
      </w:r>
    </w:p>
    <w:p w:rsidR="00FA6676" w:rsidRPr="00AA537D" w:rsidRDefault="00FA6676" w:rsidP="00AA537D">
      <w:pPr>
        <w:pStyle w:val="H23GA"/>
        <w:jc w:val="lowKashida"/>
        <w:rPr>
          <w:rFonts w:hint="cs"/>
          <w:spacing w:val="0"/>
          <w:kern w:val="0"/>
          <w:szCs w:val="20"/>
          <w:rtl/>
        </w:rPr>
      </w:pPr>
      <w:r w:rsidRPr="00AA537D">
        <w:rPr>
          <w:rFonts w:hint="cs"/>
          <w:spacing w:val="0"/>
          <w:kern w:val="0"/>
          <w:rtl/>
        </w:rPr>
        <w:tab/>
      </w:r>
      <w:r w:rsidRPr="00AA537D">
        <w:rPr>
          <w:rFonts w:hint="cs"/>
          <w:spacing w:val="0"/>
          <w:kern w:val="0"/>
          <w:rtl/>
        </w:rPr>
        <w:tab/>
        <w:t>تعليقات صاحب الشكوى على ملاحظات الدولة الطرف</w:t>
      </w:r>
    </w:p>
    <w:p w:rsidR="00FA6676" w:rsidRPr="00AA537D" w:rsidRDefault="00FA6676" w:rsidP="00AA537D">
      <w:pPr>
        <w:pStyle w:val="SingleTxtGA"/>
        <w:jc w:val="lowKashida"/>
        <w:rPr>
          <w:rFonts w:hint="cs"/>
          <w:spacing w:val="0"/>
          <w:kern w:val="0"/>
          <w:szCs w:val="20"/>
          <w:rtl/>
        </w:rPr>
      </w:pPr>
      <w:r w:rsidRPr="00AA537D">
        <w:rPr>
          <w:rFonts w:hint="cs"/>
          <w:spacing w:val="0"/>
          <w:kern w:val="0"/>
          <w:rtl/>
        </w:rPr>
        <w:t>5-1</w:t>
      </w:r>
      <w:r w:rsidRPr="00AA537D">
        <w:rPr>
          <w:rFonts w:hint="cs"/>
          <w:spacing w:val="0"/>
          <w:kern w:val="0"/>
          <w:rtl/>
        </w:rPr>
        <w:tab/>
        <w:t>في 18 آذار/مارس 2011، علق صاحب الشكوى على ملاحظات الدولة الطرف المؤرخة 30 كانون الأول/ديسمبر 2010. وكرر الإعراب عن موقفه بأن أب</w:t>
      </w:r>
      <w:r w:rsidR="00171FB4">
        <w:rPr>
          <w:rFonts w:hint="cs"/>
          <w:spacing w:val="0"/>
          <w:kern w:val="0"/>
          <w:rtl/>
        </w:rPr>
        <w:t>ا</w:t>
      </w:r>
      <w:r w:rsidRPr="00AA537D">
        <w:rPr>
          <w:rFonts w:hint="cs"/>
          <w:spacing w:val="0"/>
          <w:kern w:val="0"/>
          <w:rtl/>
        </w:rPr>
        <w:t xml:space="preserve"> زوجته هو من ساعده في تفادي الاعتقال. ولهذا السبب، اضطر صاحب الشكوى إلى الفرار من أذربيجان. وقد اتخذ هذا القرار بالتشاور مع أب</w:t>
      </w:r>
      <w:r w:rsidR="00171FB4">
        <w:rPr>
          <w:rFonts w:hint="cs"/>
          <w:spacing w:val="0"/>
          <w:kern w:val="0"/>
          <w:rtl/>
        </w:rPr>
        <w:t>ي</w:t>
      </w:r>
      <w:r w:rsidRPr="00AA537D">
        <w:rPr>
          <w:rFonts w:hint="cs"/>
          <w:spacing w:val="0"/>
          <w:kern w:val="0"/>
          <w:rtl/>
        </w:rPr>
        <w:t xml:space="preserve"> زوجته الذي أكد له، حسب ادعاء صاحب الشكوى، أنه مطلوب من قبل الشرطة.</w:t>
      </w:r>
    </w:p>
    <w:p w:rsidR="00FA6676" w:rsidRPr="00AA537D" w:rsidRDefault="00FA6676" w:rsidP="00AA537D">
      <w:pPr>
        <w:pStyle w:val="SingleTxtGA"/>
        <w:jc w:val="lowKashida"/>
        <w:rPr>
          <w:rFonts w:hint="cs"/>
          <w:spacing w:val="0"/>
          <w:kern w:val="0"/>
        </w:rPr>
      </w:pPr>
      <w:r w:rsidRPr="00AA537D">
        <w:rPr>
          <w:rFonts w:hint="cs"/>
          <w:spacing w:val="0"/>
          <w:kern w:val="0"/>
          <w:rtl/>
        </w:rPr>
        <w:t>5-2</w:t>
      </w:r>
      <w:r w:rsidRPr="00AA537D">
        <w:rPr>
          <w:rFonts w:hint="cs"/>
          <w:spacing w:val="0"/>
          <w:kern w:val="0"/>
          <w:rtl/>
        </w:rPr>
        <w:tab/>
        <w:t>وكرّر أيضاً أنه كان ناشطاً سياسياً بصفته عضواً في حزب الاستقلال الوطني في أذربيجان، ثم أصبح ناشطاً في حزب المساواة خلال إقامته في السويد. ودفع بأن السلطات في أذربيجان على أتم المعرفة بمعتقداته السياسية. وادعي أنه قدم أدلة خطية مستفيضة لإثبات معتقداته وأنشطته السياسية.</w:t>
      </w:r>
    </w:p>
    <w:p w:rsidR="00FA6676" w:rsidRPr="00E27835" w:rsidRDefault="00FA6676" w:rsidP="00AA537D">
      <w:pPr>
        <w:pStyle w:val="SingleTxtGA"/>
        <w:jc w:val="lowKashida"/>
        <w:rPr>
          <w:rFonts w:hint="cs"/>
          <w:spacing w:val="-2"/>
          <w:kern w:val="0"/>
        </w:rPr>
      </w:pPr>
      <w:r w:rsidRPr="00AA537D">
        <w:rPr>
          <w:rFonts w:hint="cs"/>
          <w:spacing w:val="0"/>
          <w:kern w:val="0"/>
          <w:rtl/>
        </w:rPr>
        <w:t>5-3</w:t>
      </w:r>
      <w:r w:rsidRPr="00AA537D">
        <w:rPr>
          <w:rFonts w:hint="cs"/>
          <w:spacing w:val="0"/>
          <w:kern w:val="0"/>
          <w:rtl/>
        </w:rPr>
        <w:tab/>
        <w:t>وجادل صاحب الشكوى أيضاً بأن ما دام أنه قدم قدرا</w:t>
      </w:r>
      <w:r w:rsidR="00171FB4">
        <w:rPr>
          <w:rFonts w:hint="cs"/>
          <w:spacing w:val="0"/>
          <w:kern w:val="0"/>
          <w:rtl/>
        </w:rPr>
        <w:t>ً</w:t>
      </w:r>
      <w:r w:rsidRPr="00AA537D">
        <w:rPr>
          <w:rFonts w:hint="cs"/>
          <w:spacing w:val="0"/>
          <w:kern w:val="0"/>
          <w:rtl/>
        </w:rPr>
        <w:t xml:space="preserve"> معينا</w:t>
      </w:r>
      <w:r w:rsidR="00171FB4">
        <w:rPr>
          <w:rFonts w:hint="cs"/>
          <w:spacing w:val="0"/>
          <w:kern w:val="0"/>
          <w:rtl/>
        </w:rPr>
        <w:t>ً</w:t>
      </w:r>
      <w:r w:rsidRPr="00AA537D">
        <w:rPr>
          <w:rFonts w:hint="cs"/>
          <w:spacing w:val="0"/>
          <w:kern w:val="0"/>
          <w:rtl/>
        </w:rPr>
        <w:t xml:space="preserve"> من التفاصيل والمعلومات فإن عبء الإثبات ي</w:t>
      </w:r>
      <w:r w:rsidR="00171FB4">
        <w:rPr>
          <w:rFonts w:hint="cs"/>
          <w:spacing w:val="0"/>
          <w:kern w:val="0"/>
          <w:rtl/>
        </w:rPr>
        <w:t>نتقل ليقع على عاتق الدولة الطرف</w:t>
      </w:r>
      <w:r w:rsidRPr="00AA537D">
        <w:rPr>
          <w:spacing w:val="0"/>
          <w:kern w:val="0"/>
          <w:vertAlign w:val="superscript"/>
          <w:rtl/>
        </w:rPr>
        <w:t>(</w:t>
      </w:r>
      <w:r w:rsidRPr="00AA537D">
        <w:rPr>
          <w:rStyle w:val="FootnoteReference"/>
          <w:spacing w:val="0"/>
          <w:rtl/>
        </w:rPr>
        <w:footnoteReference w:id="355"/>
      </w:r>
      <w:r w:rsidRPr="00AA537D">
        <w:rPr>
          <w:spacing w:val="0"/>
          <w:kern w:val="0"/>
          <w:vertAlign w:val="superscript"/>
          <w:rtl/>
        </w:rPr>
        <w:t>)</w:t>
      </w:r>
      <w:r w:rsidRPr="00AA537D">
        <w:rPr>
          <w:rFonts w:hint="cs"/>
          <w:spacing w:val="0"/>
          <w:kern w:val="0"/>
          <w:rtl/>
        </w:rPr>
        <w:t xml:space="preserve">. وتأكيداً لادعاءاته، </w:t>
      </w:r>
      <w:r w:rsidRPr="00E27835">
        <w:rPr>
          <w:rFonts w:hint="cs"/>
          <w:spacing w:val="-2"/>
          <w:kern w:val="0"/>
          <w:rtl/>
        </w:rPr>
        <w:t>قدم صاحب الشكوى شهادة من حزب الجبهة الشعبية في أذربيجان. وتفيد تلك الشهادة أن صاحب الشكوى قد كتب أكثر من 150 تعليقاً في صحيفة</w:t>
      </w:r>
      <w:r w:rsidRPr="00E27835">
        <w:rPr>
          <w:rFonts w:hint="cs"/>
          <w:spacing w:val="-2"/>
          <w:kern w:val="0"/>
          <w:rtl/>
          <w:lang/>
        </w:rPr>
        <w:t xml:space="preserve"> </w:t>
      </w:r>
      <w:r w:rsidRPr="00E27835">
        <w:rPr>
          <w:rFonts w:hint="cs"/>
          <w:i/>
          <w:iCs/>
          <w:spacing w:val="-2"/>
          <w:kern w:val="0"/>
          <w:rtl/>
          <w:lang/>
        </w:rPr>
        <w:t>آزادليك</w:t>
      </w:r>
      <w:r w:rsidRPr="00E27835">
        <w:rPr>
          <w:rFonts w:hint="cs"/>
          <w:spacing w:val="-2"/>
          <w:kern w:val="0"/>
          <w:rtl/>
        </w:rPr>
        <w:t xml:space="preserve"> وظهر في عدة مقاطع مصورة على شبكة الإنترنت. ودفع صاحب الشكوى بأنه رغم بعض التحسن في حالة حقوق الإنسان في أذربيجان، لا يزال ثمة</w:t>
      </w:r>
      <w:r w:rsidRPr="00E27835">
        <w:rPr>
          <w:rFonts w:hint="cs"/>
          <w:spacing w:val="-2"/>
          <w:kern w:val="0"/>
          <w:sz w:val="30"/>
          <w:rtl/>
        </w:rPr>
        <w:t xml:space="preserve"> نمط ثابت من الانتهاكات الجسيمة والصارخة والجماعية.</w:t>
      </w:r>
    </w:p>
    <w:p w:rsidR="00FA6676" w:rsidRPr="00AA537D" w:rsidRDefault="00FA6676" w:rsidP="00AA537D">
      <w:pPr>
        <w:pStyle w:val="SingleTxtGA"/>
        <w:jc w:val="lowKashida"/>
        <w:rPr>
          <w:rFonts w:hint="cs"/>
          <w:spacing w:val="0"/>
          <w:kern w:val="0"/>
        </w:rPr>
      </w:pPr>
      <w:r w:rsidRPr="00AA537D">
        <w:rPr>
          <w:rFonts w:hint="cs"/>
          <w:spacing w:val="0"/>
          <w:kern w:val="0"/>
          <w:rtl/>
        </w:rPr>
        <w:t>5-4</w:t>
      </w:r>
      <w:r w:rsidRPr="00AA537D">
        <w:rPr>
          <w:rFonts w:hint="cs"/>
          <w:spacing w:val="0"/>
          <w:kern w:val="0"/>
          <w:rtl/>
        </w:rPr>
        <w:tab/>
        <w:t>وادعي صاحب الشكوى أنه قدم ما يكفي من المعلومات والتفاصيل عن حاجته إلى الحصول على اللجوء والحماية في السويد أو في مكان آخر خارج أذربيجان. وحاجج كذلك بأن روايته تثبتها الأدلة الخطية التي أدلى بها. وكرر صاحب الشكوى أنه سيتعرض للاعتقال والتعذيب بسبب معتقداته السياسية إذا ما أُعيد إلى أذربيجان.</w:t>
      </w:r>
    </w:p>
    <w:p w:rsidR="00FA6676" w:rsidRPr="00AA537D" w:rsidRDefault="00FA6676" w:rsidP="00AA537D">
      <w:pPr>
        <w:pStyle w:val="H23GA"/>
        <w:jc w:val="lowKashida"/>
        <w:rPr>
          <w:rFonts w:hint="cs"/>
          <w:spacing w:val="0"/>
          <w:kern w:val="0"/>
          <w:szCs w:val="20"/>
          <w:rtl/>
        </w:rPr>
      </w:pPr>
      <w:r w:rsidRPr="00AA537D">
        <w:rPr>
          <w:rFonts w:hint="cs"/>
          <w:spacing w:val="0"/>
          <w:kern w:val="0"/>
          <w:rtl/>
        </w:rPr>
        <w:tab/>
      </w:r>
      <w:r w:rsidRPr="00AA537D">
        <w:rPr>
          <w:rFonts w:hint="cs"/>
          <w:spacing w:val="0"/>
          <w:kern w:val="0"/>
          <w:rtl/>
        </w:rPr>
        <w:tab/>
        <w:t>الملاحظات الإضافية للدولة الطرف</w:t>
      </w:r>
    </w:p>
    <w:p w:rsidR="00FA6676" w:rsidRPr="00AA537D" w:rsidRDefault="00FA6676" w:rsidP="00AA537D">
      <w:pPr>
        <w:pStyle w:val="SingleTxtGA"/>
        <w:jc w:val="lowKashida"/>
        <w:rPr>
          <w:rFonts w:hint="cs"/>
          <w:spacing w:val="0"/>
          <w:kern w:val="0"/>
          <w:szCs w:val="20"/>
          <w:rtl/>
        </w:rPr>
      </w:pPr>
      <w:r w:rsidRPr="00AA537D">
        <w:rPr>
          <w:rFonts w:hint="cs"/>
          <w:spacing w:val="0"/>
          <w:kern w:val="0"/>
          <w:rtl/>
        </w:rPr>
        <w:t>6-1</w:t>
      </w:r>
      <w:r w:rsidRPr="00AA537D">
        <w:rPr>
          <w:rFonts w:hint="cs"/>
          <w:spacing w:val="0"/>
          <w:kern w:val="0"/>
          <w:rtl/>
        </w:rPr>
        <w:tab/>
        <w:t>أدلت الدولة الطرف بملاحظاتها الإضافية في مذكرة شفوية مؤرخة 7 تشرين الثاني/نوفمبر 2011، مبيّنة أن الحالة العامة في أذربيجان تثير بعض المشاكل فيما يتعلق بحرية التعبير وحرية الصحافة وحرية التجمع، ولكن ذلك لا يغير من تقييم حاجة صاحب الشكوى إلى الحماية شيئاً. وتفند الدولة الطرف ادعاء صاحب الشكوى تقديمَ معلومات كافية تجعل العبء ينتقل ليقع على عاتق الدولة الطرف.</w:t>
      </w:r>
    </w:p>
    <w:p w:rsidR="00FA6676" w:rsidRPr="00AA537D" w:rsidRDefault="00FA6676" w:rsidP="00AA537D">
      <w:pPr>
        <w:pStyle w:val="SingleTxtGA"/>
        <w:jc w:val="lowKashida"/>
        <w:rPr>
          <w:rFonts w:hint="cs"/>
          <w:spacing w:val="0"/>
          <w:kern w:val="0"/>
        </w:rPr>
      </w:pPr>
      <w:r w:rsidRPr="00AA537D">
        <w:rPr>
          <w:rFonts w:hint="cs"/>
          <w:spacing w:val="0"/>
          <w:kern w:val="0"/>
          <w:rtl/>
        </w:rPr>
        <w:t>6-2</w:t>
      </w:r>
      <w:r w:rsidRPr="00AA537D">
        <w:rPr>
          <w:rFonts w:hint="cs"/>
          <w:spacing w:val="0"/>
          <w:kern w:val="0"/>
          <w:rtl/>
        </w:rPr>
        <w:tab/>
        <w:t>وتشكك الدولة الطرف أيضاً في صحة الشهادة الصادرة عن حزب الجبهة الشعبية. فتلك الشهادة تفيد أن صاحب الشكوى قد تعرض للعديد من حالات الاضطهاد، بيد أن صاحب الشكوى نفسه لم يدع ذلك قط. وتؤكد الدولة الطرف من جديد موقفها الذي مفاده أن طرد صاحب الشكوى لن يشكل خرقاً للمادة 3 من الاتفاقية.</w:t>
      </w:r>
    </w:p>
    <w:p w:rsidR="00FA6676" w:rsidRPr="00AA537D" w:rsidRDefault="00FA6676" w:rsidP="00AA537D">
      <w:pPr>
        <w:pStyle w:val="H23GA"/>
        <w:jc w:val="lowKashida"/>
        <w:rPr>
          <w:spacing w:val="0"/>
          <w:kern w:val="0"/>
          <w:szCs w:val="20"/>
          <w:rtl/>
        </w:rPr>
      </w:pPr>
      <w:r w:rsidRPr="00AA537D">
        <w:rPr>
          <w:rFonts w:hint="cs"/>
          <w:spacing w:val="0"/>
          <w:kern w:val="0"/>
          <w:rtl/>
        </w:rPr>
        <w:tab/>
      </w:r>
      <w:r w:rsidRPr="00AA537D">
        <w:rPr>
          <w:rFonts w:hint="cs"/>
          <w:spacing w:val="0"/>
          <w:kern w:val="0"/>
          <w:rtl/>
        </w:rPr>
        <w:tab/>
      </w:r>
      <w:r w:rsidRPr="00AA537D">
        <w:rPr>
          <w:spacing w:val="0"/>
          <w:kern w:val="0"/>
          <w:rtl/>
        </w:rPr>
        <w:t>المسائل والإجراءات المعروضة على اللجنة</w:t>
      </w:r>
    </w:p>
    <w:p w:rsidR="00FA6676" w:rsidRPr="00AA537D" w:rsidRDefault="00FA6676" w:rsidP="00AA537D">
      <w:pPr>
        <w:pStyle w:val="H4GA"/>
        <w:jc w:val="lowKashida"/>
        <w:rPr>
          <w:rFonts w:hint="cs"/>
          <w:noProof/>
          <w:spacing w:val="0"/>
          <w:kern w:val="0"/>
          <w:rtl/>
        </w:rPr>
      </w:pPr>
      <w:r w:rsidRPr="00AA537D">
        <w:rPr>
          <w:rFonts w:hint="cs"/>
          <w:noProof/>
          <w:spacing w:val="0"/>
          <w:kern w:val="0"/>
          <w:rtl/>
        </w:rPr>
        <w:tab/>
      </w:r>
      <w:r w:rsidRPr="00AA537D">
        <w:rPr>
          <w:rFonts w:hint="cs"/>
          <w:noProof/>
          <w:spacing w:val="0"/>
          <w:kern w:val="0"/>
          <w:rtl/>
        </w:rPr>
        <w:tab/>
      </w:r>
      <w:r w:rsidRPr="00AA537D">
        <w:rPr>
          <w:noProof/>
          <w:spacing w:val="0"/>
          <w:kern w:val="0"/>
          <w:rtl/>
        </w:rPr>
        <w:t xml:space="preserve">النظر في </w:t>
      </w:r>
      <w:r w:rsidRPr="00AA537D">
        <w:rPr>
          <w:rFonts w:hint="cs"/>
          <w:noProof/>
          <w:spacing w:val="0"/>
          <w:kern w:val="0"/>
          <w:rtl/>
        </w:rPr>
        <w:t>المقبولية</w:t>
      </w:r>
    </w:p>
    <w:p w:rsidR="00FA6676" w:rsidRPr="00AA537D" w:rsidRDefault="00FA6676" w:rsidP="003A2D39">
      <w:pPr>
        <w:pStyle w:val="SingleTxtGA"/>
        <w:jc w:val="lowKashida"/>
        <w:rPr>
          <w:rFonts w:hint="cs"/>
          <w:spacing w:val="0"/>
          <w:kern w:val="0"/>
        </w:rPr>
      </w:pPr>
      <w:r w:rsidRPr="00AA537D">
        <w:rPr>
          <w:rFonts w:hint="cs"/>
          <w:spacing w:val="0"/>
          <w:kern w:val="0"/>
          <w:rtl/>
        </w:rPr>
        <w:t>7-1</w:t>
      </w:r>
      <w:r w:rsidRPr="00AA537D">
        <w:rPr>
          <w:rFonts w:hint="cs"/>
          <w:spacing w:val="0"/>
          <w:kern w:val="0"/>
          <w:rtl/>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لجنة مناهضة التعذيب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AA537D">
        <w:rPr>
          <w:rFonts w:hint="cs"/>
          <w:spacing w:val="0"/>
          <w:kern w:val="0"/>
          <w:rtl/>
        </w:rPr>
        <w:t xml:space="preserve"> </w:t>
      </w:r>
      <w:r w:rsidR="003A2D39">
        <w:rPr>
          <w:rFonts w:hint="cs"/>
          <w:spacing w:val="0"/>
          <w:kern w:val="0"/>
          <w:rtl/>
        </w:rPr>
        <w:t>بموجب المادة 22 من الاتفاقية</w:t>
      </w:r>
      <w:r w:rsidRPr="00AA537D">
        <w:rPr>
          <w:rFonts w:hint="cs"/>
          <w:spacing w:val="0"/>
          <w:kern w:val="0"/>
          <w:rtl/>
        </w:rPr>
        <w:t>.</w:t>
      </w:r>
    </w:p>
    <w:p w:rsidR="00FA6676" w:rsidRPr="00AA537D" w:rsidRDefault="00FA6676" w:rsidP="00AA537D">
      <w:pPr>
        <w:pStyle w:val="SingleTxtGA"/>
        <w:jc w:val="lowKashida"/>
        <w:rPr>
          <w:rFonts w:hint="cs"/>
          <w:spacing w:val="0"/>
          <w:kern w:val="0"/>
        </w:rPr>
      </w:pPr>
      <w:r w:rsidRPr="00AA537D">
        <w:rPr>
          <w:rFonts w:hint="cs"/>
          <w:noProof/>
          <w:spacing w:val="0"/>
          <w:kern w:val="0"/>
          <w:rtl/>
        </w:rPr>
        <w:t>7-2</w:t>
      </w:r>
      <w:r w:rsidRPr="00AA537D">
        <w:rPr>
          <w:rFonts w:hint="cs"/>
          <w:noProof/>
          <w:spacing w:val="0"/>
          <w:kern w:val="0"/>
          <w:rtl/>
        </w:rPr>
        <w:tab/>
      </w:r>
      <w:r w:rsidRPr="00AA537D">
        <w:rPr>
          <w:noProof/>
          <w:spacing w:val="0"/>
          <w:kern w:val="0"/>
          <w:rtl/>
        </w:rPr>
        <w:t>و</w:t>
      </w:r>
      <w:r w:rsidRPr="00AA537D">
        <w:rPr>
          <w:rFonts w:hint="cs"/>
          <w:noProof/>
          <w:spacing w:val="0"/>
          <w:kern w:val="0"/>
          <w:rtl/>
        </w:rPr>
        <w:t xml:space="preserve">قد </w:t>
      </w:r>
      <w:r w:rsidRPr="00AA537D">
        <w:rPr>
          <w:noProof/>
          <w:spacing w:val="0"/>
          <w:kern w:val="0"/>
          <w:rtl/>
        </w:rPr>
        <w:t>تأكّدت اللجنة، وفق ما تقتضيه الفقرة 5(أ) من المادة 22 من الاتفاقية، من أن المسألة نفسها لم ت</w:t>
      </w:r>
      <w:r w:rsidRPr="00AA537D">
        <w:rPr>
          <w:rFonts w:hint="cs"/>
          <w:noProof/>
          <w:spacing w:val="0"/>
          <w:kern w:val="0"/>
          <w:rtl/>
        </w:rPr>
        <w:t>ُ</w:t>
      </w:r>
      <w:r w:rsidRPr="00AA537D">
        <w:rPr>
          <w:noProof/>
          <w:spacing w:val="0"/>
          <w:kern w:val="0"/>
          <w:rtl/>
        </w:rPr>
        <w:t xml:space="preserve">بحث وليست قيد البحث في إطار إجراء آخر </w:t>
      </w:r>
      <w:r w:rsidRPr="00AA537D">
        <w:rPr>
          <w:rFonts w:hint="cs"/>
          <w:noProof/>
          <w:spacing w:val="0"/>
          <w:kern w:val="0"/>
          <w:rtl/>
        </w:rPr>
        <w:t>من إجراءات ا</w:t>
      </w:r>
      <w:r w:rsidRPr="00AA537D">
        <w:rPr>
          <w:noProof/>
          <w:spacing w:val="0"/>
          <w:kern w:val="0"/>
          <w:rtl/>
        </w:rPr>
        <w:t xml:space="preserve">لتحقيق </w:t>
      </w:r>
      <w:r w:rsidRPr="00AA537D">
        <w:rPr>
          <w:rFonts w:hint="cs"/>
          <w:noProof/>
          <w:spacing w:val="0"/>
          <w:kern w:val="0"/>
          <w:rtl/>
        </w:rPr>
        <w:t xml:space="preserve">الدولي </w:t>
      </w:r>
      <w:r w:rsidRPr="00AA537D">
        <w:rPr>
          <w:noProof/>
          <w:spacing w:val="0"/>
          <w:kern w:val="0"/>
          <w:rtl/>
        </w:rPr>
        <w:t>أو التسوية الدولية.</w:t>
      </w:r>
    </w:p>
    <w:p w:rsidR="00FA6676" w:rsidRPr="00AA537D" w:rsidRDefault="00FA6676" w:rsidP="00AA537D">
      <w:pPr>
        <w:pStyle w:val="SingleTxtGA"/>
        <w:jc w:val="lowKashida"/>
        <w:rPr>
          <w:rFonts w:hint="cs"/>
          <w:spacing w:val="0"/>
          <w:kern w:val="0"/>
        </w:rPr>
      </w:pPr>
      <w:r w:rsidRPr="00AA537D">
        <w:rPr>
          <w:rFonts w:hint="cs"/>
          <w:noProof/>
          <w:spacing w:val="0"/>
          <w:kern w:val="0"/>
          <w:rtl/>
        </w:rPr>
        <w:t>7-3</w:t>
      </w:r>
      <w:r w:rsidRPr="00AA537D">
        <w:rPr>
          <w:rFonts w:hint="cs"/>
          <w:noProof/>
          <w:spacing w:val="0"/>
          <w:kern w:val="0"/>
          <w:rtl/>
        </w:rPr>
        <w:tab/>
      </w:r>
      <w:r w:rsidRPr="00AA537D">
        <w:rPr>
          <w:noProof/>
          <w:spacing w:val="0"/>
          <w:kern w:val="0"/>
          <w:rtl/>
        </w:rPr>
        <w:t>ووفقا</w:t>
      </w:r>
      <w:r w:rsidRPr="00AA537D">
        <w:rPr>
          <w:rFonts w:hint="cs"/>
          <w:noProof/>
          <w:spacing w:val="0"/>
          <w:kern w:val="0"/>
          <w:rtl/>
        </w:rPr>
        <w:t>ً</w:t>
      </w:r>
      <w:r w:rsidRPr="00AA537D">
        <w:rPr>
          <w:noProof/>
          <w:spacing w:val="0"/>
          <w:kern w:val="0"/>
          <w:rtl/>
        </w:rPr>
        <w:t xml:space="preserve"> للفقرة 5(ب) من المادة 22 من الاتفاقية، فإن اللجنة لا تنظر في أي بلاغ</w:t>
      </w:r>
      <w:r w:rsidRPr="00AA537D">
        <w:rPr>
          <w:rFonts w:hint="cs"/>
          <w:noProof/>
          <w:spacing w:val="0"/>
          <w:kern w:val="0"/>
          <w:rtl/>
        </w:rPr>
        <w:t xml:space="preserve"> </w:t>
      </w:r>
      <w:r w:rsidRPr="00AA537D">
        <w:rPr>
          <w:noProof/>
          <w:spacing w:val="0"/>
          <w:kern w:val="0"/>
          <w:rtl/>
        </w:rPr>
        <w:t xml:space="preserve">ما لم تتحقق من أن </w:t>
      </w:r>
      <w:r w:rsidRPr="00AA537D">
        <w:rPr>
          <w:rFonts w:hint="cs"/>
          <w:noProof/>
          <w:spacing w:val="0"/>
          <w:kern w:val="0"/>
          <w:rtl/>
        </w:rPr>
        <w:t xml:space="preserve">صاحب الشكوى </w:t>
      </w:r>
      <w:r w:rsidRPr="00AA537D">
        <w:rPr>
          <w:noProof/>
          <w:spacing w:val="0"/>
          <w:kern w:val="0"/>
          <w:rtl/>
        </w:rPr>
        <w:t xml:space="preserve">قد استنفد جميع </w:t>
      </w:r>
      <w:r w:rsidRPr="00AA537D">
        <w:rPr>
          <w:rFonts w:hint="cs"/>
          <w:noProof/>
          <w:spacing w:val="0"/>
          <w:kern w:val="0"/>
          <w:rtl/>
        </w:rPr>
        <w:t>سبل</w:t>
      </w:r>
      <w:r w:rsidRPr="00AA537D">
        <w:rPr>
          <w:noProof/>
          <w:spacing w:val="0"/>
          <w:kern w:val="0"/>
          <w:rtl/>
        </w:rPr>
        <w:t xml:space="preserve"> الانتصاف المحلية المتاحة. وتشير اللجنة إلى اعتراف الدولة الطرف باستنفاد سبل الانتصاف المحلية، و</w:t>
      </w:r>
      <w:r w:rsidRPr="00AA537D">
        <w:rPr>
          <w:rFonts w:hint="cs"/>
          <w:noProof/>
          <w:spacing w:val="0"/>
          <w:kern w:val="0"/>
          <w:rtl/>
        </w:rPr>
        <w:t xml:space="preserve">من ثم </w:t>
      </w:r>
      <w:r w:rsidRPr="00AA537D">
        <w:rPr>
          <w:noProof/>
          <w:spacing w:val="0"/>
          <w:kern w:val="0"/>
          <w:rtl/>
        </w:rPr>
        <w:t>ترى أن ص</w:t>
      </w:r>
      <w:r w:rsidRPr="00AA537D">
        <w:rPr>
          <w:rFonts w:hint="cs"/>
          <w:noProof/>
          <w:spacing w:val="0"/>
          <w:kern w:val="0"/>
          <w:rtl/>
        </w:rPr>
        <w:t>ا</w:t>
      </w:r>
      <w:r w:rsidRPr="00AA537D">
        <w:rPr>
          <w:noProof/>
          <w:spacing w:val="0"/>
          <w:kern w:val="0"/>
          <w:rtl/>
        </w:rPr>
        <w:t>حب الشكوى قد امتثل للفقرة 5(ب) من المادة 22.</w:t>
      </w:r>
    </w:p>
    <w:p w:rsidR="00FA6676" w:rsidRPr="00E27835" w:rsidRDefault="00FA6676" w:rsidP="00E27835">
      <w:pPr>
        <w:pStyle w:val="SingleTxtGA"/>
        <w:jc w:val="lowKashida"/>
        <w:rPr>
          <w:rFonts w:hint="cs"/>
          <w:spacing w:val="-2"/>
          <w:kern w:val="0"/>
        </w:rPr>
      </w:pPr>
      <w:r w:rsidRPr="00AA537D">
        <w:rPr>
          <w:rFonts w:hint="cs"/>
          <w:spacing w:val="0"/>
          <w:kern w:val="0"/>
          <w:rtl/>
        </w:rPr>
        <w:t>7-4</w:t>
      </w:r>
      <w:r w:rsidRPr="00AA537D">
        <w:rPr>
          <w:rFonts w:hint="cs"/>
          <w:spacing w:val="0"/>
          <w:kern w:val="0"/>
          <w:rtl/>
        </w:rPr>
        <w:tab/>
        <w:t xml:space="preserve">وتدفع الدولة الطرف بأن الشكوى "تستند بشكل واضح إلى أسس واهية" </w:t>
      </w:r>
      <w:r w:rsidRPr="00E27835">
        <w:rPr>
          <w:rFonts w:hint="cs"/>
          <w:spacing w:val="-2"/>
          <w:kern w:val="0"/>
          <w:rtl/>
        </w:rPr>
        <w:t>ولا</w:t>
      </w:r>
      <w:r w:rsidR="00E27835" w:rsidRPr="00E27835">
        <w:rPr>
          <w:rFonts w:hint="eastAsia"/>
          <w:spacing w:val="-2"/>
          <w:kern w:val="0"/>
          <w:rtl/>
        </w:rPr>
        <w:t> </w:t>
      </w:r>
      <w:r w:rsidRPr="00E27835">
        <w:rPr>
          <w:rFonts w:hint="cs"/>
          <w:spacing w:val="-2"/>
          <w:kern w:val="0"/>
          <w:rtl/>
        </w:rPr>
        <w:t xml:space="preserve">ينبغي النظر فيها من حيث الموضوع. </w:t>
      </w:r>
      <w:r w:rsidRPr="00E27835">
        <w:rPr>
          <w:noProof/>
          <w:spacing w:val="-2"/>
          <w:kern w:val="0"/>
          <w:rtl/>
        </w:rPr>
        <w:t xml:space="preserve">وترى اللجنة أن الحجج المعروضة أمامها تثير مسائل موضوعية ينبغي </w:t>
      </w:r>
      <w:r w:rsidRPr="00E27835">
        <w:rPr>
          <w:rFonts w:hint="cs"/>
          <w:noProof/>
          <w:spacing w:val="-2"/>
          <w:kern w:val="0"/>
          <w:rtl/>
        </w:rPr>
        <w:t>معالجتها</w:t>
      </w:r>
      <w:r w:rsidRPr="00E27835">
        <w:rPr>
          <w:noProof/>
          <w:spacing w:val="-2"/>
          <w:kern w:val="0"/>
          <w:rtl/>
        </w:rPr>
        <w:t xml:space="preserve"> </w:t>
      </w:r>
      <w:r w:rsidRPr="00E27835">
        <w:rPr>
          <w:rFonts w:hint="cs"/>
          <w:noProof/>
          <w:spacing w:val="-2"/>
          <w:kern w:val="0"/>
          <w:rtl/>
        </w:rPr>
        <w:t xml:space="preserve">من حيث </w:t>
      </w:r>
      <w:r w:rsidRPr="00E27835">
        <w:rPr>
          <w:noProof/>
          <w:spacing w:val="-2"/>
          <w:kern w:val="0"/>
          <w:rtl/>
        </w:rPr>
        <w:t xml:space="preserve">الأسس الموضوعية وليس </w:t>
      </w:r>
      <w:r w:rsidRPr="00E27835">
        <w:rPr>
          <w:rFonts w:hint="cs"/>
          <w:noProof/>
          <w:spacing w:val="-2"/>
          <w:kern w:val="0"/>
          <w:rtl/>
        </w:rPr>
        <w:t xml:space="preserve">من حيث </w:t>
      </w:r>
      <w:r w:rsidRPr="00E27835">
        <w:rPr>
          <w:noProof/>
          <w:spacing w:val="-2"/>
          <w:kern w:val="0"/>
          <w:rtl/>
        </w:rPr>
        <w:t>المقبولية وحدها.</w:t>
      </w:r>
    </w:p>
    <w:p w:rsidR="00FA6676" w:rsidRPr="00AA537D" w:rsidRDefault="00FA6676" w:rsidP="00AA537D">
      <w:pPr>
        <w:pStyle w:val="SingleTxtGA"/>
        <w:jc w:val="lowKashida"/>
        <w:rPr>
          <w:rFonts w:hint="cs"/>
          <w:spacing w:val="0"/>
          <w:kern w:val="0"/>
        </w:rPr>
      </w:pPr>
      <w:r w:rsidRPr="00AA537D">
        <w:rPr>
          <w:rFonts w:hint="cs"/>
          <w:noProof/>
          <w:spacing w:val="0"/>
          <w:kern w:val="0"/>
          <w:rtl/>
        </w:rPr>
        <w:t>7-5</w:t>
      </w:r>
      <w:r w:rsidRPr="00AA537D">
        <w:rPr>
          <w:rFonts w:hint="cs"/>
          <w:noProof/>
          <w:spacing w:val="0"/>
          <w:kern w:val="0"/>
          <w:rtl/>
        </w:rPr>
        <w:tab/>
      </w:r>
      <w:r w:rsidRPr="00AA537D">
        <w:rPr>
          <w:noProof/>
          <w:spacing w:val="0"/>
          <w:kern w:val="0"/>
          <w:rtl/>
        </w:rPr>
        <w:t>و</w:t>
      </w:r>
      <w:r w:rsidRPr="00AA537D">
        <w:rPr>
          <w:rFonts w:hint="cs"/>
          <w:noProof/>
          <w:spacing w:val="0"/>
          <w:kern w:val="0"/>
          <w:rtl/>
        </w:rPr>
        <w:t xml:space="preserve">بناءً على </w:t>
      </w:r>
      <w:r w:rsidRPr="00AA537D">
        <w:rPr>
          <w:noProof/>
          <w:spacing w:val="0"/>
          <w:kern w:val="0"/>
          <w:rtl/>
        </w:rPr>
        <w:t>ذلك، ترى اللجنة أن الشكوى مقبولة وتشرع في النظر في أسسها الموضوعية.</w:t>
      </w:r>
    </w:p>
    <w:p w:rsidR="00FA6676" w:rsidRPr="00AA537D" w:rsidRDefault="00FA6676" w:rsidP="00AA537D">
      <w:pPr>
        <w:pStyle w:val="H4GA"/>
        <w:jc w:val="lowKashida"/>
        <w:rPr>
          <w:rFonts w:hint="cs"/>
          <w:noProof/>
          <w:spacing w:val="0"/>
          <w:kern w:val="0"/>
          <w:rtl/>
        </w:rPr>
      </w:pPr>
      <w:r w:rsidRPr="00AA537D">
        <w:rPr>
          <w:noProof/>
          <w:spacing w:val="0"/>
          <w:kern w:val="0"/>
          <w:rtl/>
        </w:rPr>
        <w:tab/>
      </w:r>
      <w:r w:rsidRPr="00AA537D">
        <w:rPr>
          <w:rFonts w:hint="cs"/>
          <w:noProof/>
          <w:spacing w:val="0"/>
          <w:kern w:val="0"/>
          <w:rtl/>
        </w:rPr>
        <w:tab/>
        <w:t>النظر في الأسس الموضوعية</w:t>
      </w:r>
    </w:p>
    <w:p w:rsidR="00FA6676" w:rsidRPr="00AA537D" w:rsidRDefault="00FA6676" w:rsidP="00AA537D">
      <w:pPr>
        <w:pStyle w:val="SingleTxtGA"/>
        <w:jc w:val="lowKashida"/>
        <w:rPr>
          <w:rFonts w:hint="cs"/>
          <w:spacing w:val="0"/>
          <w:kern w:val="0"/>
        </w:rPr>
      </w:pPr>
      <w:r w:rsidRPr="00AA537D">
        <w:rPr>
          <w:rFonts w:hint="cs"/>
          <w:noProof/>
          <w:spacing w:val="0"/>
          <w:kern w:val="0"/>
          <w:rtl/>
        </w:rPr>
        <w:t>8-1</w:t>
      </w:r>
      <w:r w:rsidRPr="00AA537D">
        <w:rPr>
          <w:rFonts w:hint="cs"/>
          <w:noProof/>
          <w:spacing w:val="0"/>
          <w:kern w:val="0"/>
          <w:rtl/>
        </w:rPr>
        <w:tab/>
        <w:t xml:space="preserve">تتمثل المسألة المعروضة على اللجنة في معرفة ما إذا كان ترحيل صاحب الشكوى إلى أذربيجان سيشكل انتهاكاً من جانب الدولة الطرف لالتزامها بموجب المادة 3 من الاتفاقية </w:t>
      </w:r>
      <w:r w:rsidRPr="00AA537D">
        <w:rPr>
          <w:noProof/>
          <w:spacing w:val="0"/>
          <w:kern w:val="0"/>
          <w:rtl/>
        </w:rPr>
        <w:t>بعدم طرد شخص أو إعادته إلى دولة أخرى إذا كانت هناك أسباب حقيقية تدعو إلى الاعتقاد بأنه سيواجه خطر التعرض للتعذيب.</w:t>
      </w:r>
    </w:p>
    <w:p w:rsidR="00FA6676" w:rsidRPr="00AA537D" w:rsidRDefault="00FA6676" w:rsidP="00AA537D">
      <w:pPr>
        <w:pStyle w:val="SingleTxtGA"/>
        <w:jc w:val="lowKashida"/>
        <w:rPr>
          <w:rFonts w:hint="cs"/>
          <w:spacing w:val="0"/>
          <w:kern w:val="0"/>
        </w:rPr>
      </w:pPr>
      <w:r w:rsidRPr="00AA537D">
        <w:rPr>
          <w:rFonts w:hint="cs"/>
          <w:noProof/>
          <w:spacing w:val="0"/>
          <w:kern w:val="0"/>
          <w:rtl/>
        </w:rPr>
        <w:t>8-2</w:t>
      </w:r>
      <w:r w:rsidRPr="00AA537D">
        <w:rPr>
          <w:rFonts w:hint="cs"/>
          <w:noProof/>
          <w:spacing w:val="0"/>
          <w:kern w:val="0"/>
          <w:rtl/>
        </w:rPr>
        <w:tab/>
      </w:r>
      <w:r w:rsidRPr="00AA537D">
        <w:rPr>
          <w:noProof/>
          <w:spacing w:val="0"/>
          <w:kern w:val="0"/>
          <w:rtl/>
        </w:rPr>
        <w:t xml:space="preserve">ولتقييم خطر التعرض للتعذيب، تأخذ اللجنة في الحسبان جميع الاعتبارات ذات الصلة، بما في ذلك مدى وجود نمط ثابت من الانتهاكات </w:t>
      </w:r>
      <w:r w:rsidRPr="00AA537D">
        <w:rPr>
          <w:rFonts w:hint="cs"/>
          <w:noProof/>
          <w:spacing w:val="0"/>
          <w:kern w:val="0"/>
          <w:rtl/>
        </w:rPr>
        <w:t>الجسيمة</w:t>
      </w:r>
      <w:r w:rsidRPr="00AA537D">
        <w:rPr>
          <w:noProof/>
          <w:spacing w:val="0"/>
          <w:kern w:val="0"/>
          <w:rtl/>
        </w:rPr>
        <w:t xml:space="preserve"> أو الصارخة أو الجماعية لحقوق الإنسان في الدولة المعنية. </w:t>
      </w:r>
      <w:r w:rsidRPr="00AA537D">
        <w:rPr>
          <w:rFonts w:hint="cs"/>
          <w:noProof/>
          <w:spacing w:val="0"/>
          <w:kern w:val="0"/>
          <w:rtl/>
        </w:rPr>
        <w:t>لكن</w:t>
      </w:r>
      <w:r w:rsidRPr="00AA537D">
        <w:rPr>
          <w:noProof/>
          <w:spacing w:val="0"/>
          <w:kern w:val="0"/>
          <w:rtl/>
        </w:rPr>
        <w:t xml:space="preserve"> الهدف من هذا </w:t>
      </w:r>
      <w:r w:rsidRPr="00AA537D">
        <w:rPr>
          <w:rFonts w:hint="cs"/>
          <w:noProof/>
          <w:spacing w:val="0"/>
          <w:kern w:val="0"/>
          <w:rtl/>
        </w:rPr>
        <w:t xml:space="preserve">الأمر </w:t>
      </w:r>
      <w:r w:rsidRPr="00AA537D">
        <w:rPr>
          <w:noProof/>
          <w:spacing w:val="0"/>
          <w:kern w:val="0"/>
          <w:rtl/>
        </w:rPr>
        <w:t xml:space="preserve">هو </w:t>
      </w:r>
      <w:r w:rsidRPr="00AA537D">
        <w:rPr>
          <w:rFonts w:hint="cs"/>
          <w:noProof/>
          <w:spacing w:val="0"/>
          <w:kern w:val="0"/>
          <w:rtl/>
        </w:rPr>
        <w:t xml:space="preserve">تحديد </w:t>
      </w:r>
      <w:r w:rsidRPr="00AA537D">
        <w:rPr>
          <w:noProof/>
          <w:spacing w:val="0"/>
          <w:kern w:val="0"/>
          <w:rtl/>
        </w:rPr>
        <w:t xml:space="preserve">ما إذا كان الفرد المعني سيواجه شخصياً خطر التعرض للتعذيب في البلد الذي سيعود إليه. وبناء على ذلك، فإن وجود نمط ثابت </w:t>
      </w:r>
      <w:r w:rsidRPr="00AA537D">
        <w:rPr>
          <w:rFonts w:hint="cs"/>
          <w:noProof/>
          <w:spacing w:val="0"/>
          <w:kern w:val="0"/>
          <w:rtl/>
        </w:rPr>
        <w:t>من ا</w:t>
      </w:r>
      <w:r w:rsidRPr="00AA537D">
        <w:rPr>
          <w:noProof/>
          <w:spacing w:val="0"/>
          <w:kern w:val="0"/>
          <w:rtl/>
        </w:rPr>
        <w:t xml:space="preserve">لانتهاكات </w:t>
      </w:r>
      <w:r w:rsidRPr="00AA537D">
        <w:rPr>
          <w:rFonts w:hint="cs"/>
          <w:noProof/>
          <w:spacing w:val="0"/>
          <w:kern w:val="0"/>
          <w:rtl/>
        </w:rPr>
        <w:t>الجسيمة</w:t>
      </w:r>
      <w:r w:rsidRPr="00AA537D">
        <w:rPr>
          <w:noProof/>
          <w:spacing w:val="0"/>
          <w:kern w:val="0"/>
          <w:rtl/>
        </w:rPr>
        <w:t xml:space="preserve"> أو الصارخة أو الجماعية لحقوق الإنسان في بلد ما لا يشكل في حد ذاته سبباً كافياً لتقرير أن شخصاً بعينه سيواجه خطر التعرض للتعذيب عند عودته إلى ذلك البلد؛ إذ يجب أن تكون هناك أسباب إضافية تظهر أن الفرد المعني سيتعرض شخصياً للخطر. و</w:t>
      </w:r>
      <w:r w:rsidRPr="00AA537D">
        <w:rPr>
          <w:rFonts w:hint="cs"/>
          <w:noProof/>
          <w:spacing w:val="0"/>
          <w:kern w:val="0"/>
          <w:rtl/>
        </w:rPr>
        <w:t>على العكس من ذلك</w:t>
      </w:r>
      <w:r w:rsidRPr="00AA537D">
        <w:rPr>
          <w:noProof/>
          <w:spacing w:val="0"/>
          <w:kern w:val="0"/>
          <w:rtl/>
        </w:rPr>
        <w:t xml:space="preserve">، فإن عدم وجود نمط ثابت من الانتهاكات </w:t>
      </w:r>
      <w:r w:rsidRPr="00AA537D">
        <w:rPr>
          <w:rFonts w:hint="cs"/>
          <w:noProof/>
          <w:spacing w:val="0"/>
          <w:kern w:val="0"/>
          <w:rtl/>
        </w:rPr>
        <w:t>الجسيمة</w:t>
      </w:r>
      <w:r w:rsidRPr="00AA537D">
        <w:rPr>
          <w:noProof/>
          <w:spacing w:val="0"/>
          <w:kern w:val="0"/>
          <w:rtl/>
        </w:rPr>
        <w:t xml:space="preserve"> لحقوق الإنسان لا يعني أنه لا يجوز اعتبار شخص ما معرضاً للتعذيب في ظروفه الخاصة.</w:t>
      </w:r>
    </w:p>
    <w:p w:rsidR="00FA6676" w:rsidRPr="00AA537D" w:rsidRDefault="00FA6676" w:rsidP="00AA537D">
      <w:pPr>
        <w:pStyle w:val="SingleTxtGA"/>
        <w:jc w:val="lowKashida"/>
        <w:rPr>
          <w:rFonts w:hint="cs"/>
          <w:spacing w:val="0"/>
          <w:kern w:val="0"/>
        </w:rPr>
      </w:pPr>
      <w:r w:rsidRPr="00AA537D">
        <w:rPr>
          <w:rFonts w:hint="cs"/>
          <w:noProof/>
          <w:spacing w:val="0"/>
          <w:kern w:val="0"/>
          <w:rtl/>
        </w:rPr>
        <w:t>8-3</w:t>
      </w:r>
      <w:r w:rsidRPr="00AA537D">
        <w:rPr>
          <w:rFonts w:hint="cs"/>
          <w:noProof/>
          <w:spacing w:val="0"/>
          <w:kern w:val="0"/>
          <w:rtl/>
        </w:rPr>
        <w:tab/>
        <w:t>والهدف من هذه الممارسة هو تحديد ما إذا كان صاحب الشكوى سيتعرض شخصياً لخطر التعذيب في أذربيجان لدى عودته</w:t>
      </w:r>
      <w:r w:rsidRPr="00AA537D">
        <w:rPr>
          <w:noProof/>
          <w:spacing w:val="0"/>
          <w:kern w:val="0"/>
          <w:vertAlign w:val="superscript"/>
          <w:rtl/>
        </w:rPr>
        <w:t>(</w:t>
      </w:r>
      <w:r w:rsidRPr="00AA537D">
        <w:rPr>
          <w:rStyle w:val="FootnoteReference"/>
          <w:noProof/>
          <w:spacing w:val="0"/>
          <w:rtl/>
        </w:rPr>
        <w:footnoteReference w:id="356"/>
      </w:r>
      <w:r w:rsidRPr="00AA537D">
        <w:rPr>
          <w:noProof/>
          <w:spacing w:val="0"/>
          <w:kern w:val="0"/>
          <w:vertAlign w:val="superscript"/>
          <w:rtl/>
        </w:rPr>
        <w:t>)</w:t>
      </w:r>
      <w:r w:rsidRPr="00AA537D">
        <w:rPr>
          <w:rFonts w:hint="cs"/>
          <w:noProof/>
          <w:spacing w:val="0"/>
          <w:kern w:val="0"/>
          <w:rtl/>
        </w:rPr>
        <w:t xml:space="preserve">. </w:t>
      </w:r>
      <w:r w:rsidRPr="00AA537D">
        <w:rPr>
          <w:noProof/>
          <w:spacing w:val="0"/>
          <w:kern w:val="0"/>
          <w:rtl/>
        </w:rPr>
        <w:t xml:space="preserve">وتشير اللجنة إلى تعليقها العام رقم 1 المتعلق بالمادة 3 الذي جاء فيه أن على اللجنة أن تقيّم ما إذا كانت توجد أسباب حقيقية للاعتقاد بأن صاحب الشكوى </w:t>
      </w:r>
      <w:r w:rsidRPr="00AA537D">
        <w:rPr>
          <w:rFonts w:hint="cs"/>
          <w:noProof/>
          <w:spacing w:val="0"/>
          <w:kern w:val="0"/>
          <w:rtl/>
        </w:rPr>
        <w:t>س</w:t>
      </w:r>
      <w:r w:rsidRPr="00AA537D">
        <w:rPr>
          <w:noProof/>
          <w:spacing w:val="0"/>
          <w:kern w:val="0"/>
          <w:rtl/>
        </w:rPr>
        <w:t xml:space="preserve">يواجه خطر التعرض للتعذيب إذا </w:t>
      </w:r>
      <w:r w:rsidRPr="00AA537D">
        <w:rPr>
          <w:rFonts w:hint="cs"/>
          <w:noProof/>
          <w:spacing w:val="0"/>
          <w:kern w:val="0"/>
          <w:rtl/>
        </w:rPr>
        <w:t xml:space="preserve">ما </w:t>
      </w:r>
      <w:r w:rsidRPr="00AA537D">
        <w:rPr>
          <w:noProof/>
          <w:spacing w:val="0"/>
          <w:kern w:val="0"/>
          <w:rtl/>
        </w:rPr>
        <w:t>طُرد أو أُعيد أو سُلِّم، وأن خطر التعرض للتعذيب يجب تقييمه على أسس تتجاوز مجرد ال</w:t>
      </w:r>
      <w:r w:rsidRPr="00AA537D">
        <w:rPr>
          <w:rFonts w:hint="cs"/>
          <w:noProof/>
          <w:spacing w:val="0"/>
          <w:kern w:val="0"/>
          <w:rtl/>
        </w:rPr>
        <w:t>افتراض</w:t>
      </w:r>
      <w:r w:rsidRPr="00AA537D">
        <w:rPr>
          <w:noProof/>
          <w:spacing w:val="0"/>
          <w:kern w:val="0"/>
          <w:rtl/>
        </w:rPr>
        <w:t xml:space="preserve"> والشك. وبالرغم من أن</w:t>
      </w:r>
      <w:r w:rsidRPr="00AA537D">
        <w:rPr>
          <w:rFonts w:hint="cs"/>
          <w:noProof/>
          <w:spacing w:val="0"/>
          <w:kern w:val="0"/>
          <w:rtl/>
        </w:rPr>
        <w:t xml:space="preserve">ه لا يشترط أن يكون </w:t>
      </w:r>
      <w:r w:rsidRPr="00AA537D">
        <w:rPr>
          <w:noProof/>
          <w:spacing w:val="0"/>
          <w:kern w:val="0"/>
          <w:rtl/>
        </w:rPr>
        <w:t>هذا الخطر محتملا</w:t>
      </w:r>
      <w:r w:rsidRPr="00AA537D">
        <w:rPr>
          <w:rFonts w:hint="cs"/>
          <w:noProof/>
          <w:spacing w:val="0"/>
          <w:kern w:val="0"/>
          <w:rtl/>
        </w:rPr>
        <w:t>ً</w:t>
      </w:r>
      <w:r w:rsidRPr="00AA537D">
        <w:rPr>
          <w:noProof/>
          <w:spacing w:val="0"/>
          <w:kern w:val="0"/>
          <w:rtl/>
        </w:rPr>
        <w:t xml:space="preserve"> جدا</w:t>
      </w:r>
      <w:r w:rsidRPr="00AA537D">
        <w:rPr>
          <w:rFonts w:hint="cs"/>
          <w:noProof/>
          <w:spacing w:val="0"/>
          <w:kern w:val="0"/>
          <w:rtl/>
        </w:rPr>
        <w:t>ً</w:t>
      </w:r>
      <w:r w:rsidRPr="00AA537D">
        <w:rPr>
          <w:noProof/>
          <w:spacing w:val="0"/>
          <w:kern w:val="0"/>
          <w:rtl/>
        </w:rPr>
        <w:t>، فإن</w:t>
      </w:r>
      <w:r w:rsidRPr="00AA537D">
        <w:rPr>
          <w:rFonts w:hint="cs"/>
          <w:noProof/>
          <w:spacing w:val="0"/>
          <w:kern w:val="0"/>
          <w:rtl/>
        </w:rPr>
        <w:t>ه</w:t>
      </w:r>
      <w:r w:rsidRPr="00AA537D">
        <w:rPr>
          <w:noProof/>
          <w:spacing w:val="0"/>
          <w:kern w:val="0"/>
          <w:rtl/>
        </w:rPr>
        <w:t xml:space="preserve"> يجب أن يكو</w:t>
      </w:r>
      <w:r w:rsidRPr="00AA537D">
        <w:rPr>
          <w:rFonts w:hint="cs"/>
          <w:noProof/>
          <w:spacing w:val="0"/>
          <w:kern w:val="0"/>
          <w:rtl/>
        </w:rPr>
        <w:t>ن متوقعاً وحقيقياً وشخصياً</w:t>
      </w:r>
      <w:r w:rsidRPr="00AA537D">
        <w:rPr>
          <w:noProof/>
          <w:spacing w:val="0"/>
          <w:kern w:val="0"/>
          <w:vertAlign w:val="superscript"/>
          <w:rtl/>
        </w:rPr>
        <w:t>(</w:t>
      </w:r>
      <w:r w:rsidRPr="00AA537D">
        <w:rPr>
          <w:rStyle w:val="FootnoteReference"/>
          <w:noProof/>
          <w:spacing w:val="0"/>
          <w:rtl/>
        </w:rPr>
        <w:footnoteReference w:id="357"/>
      </w:r>
      <w:r w:rsidRPr="00AA537D">
        <w:rPr>
          <w:noProof/>
          <w:spacing w:val="0"/>
          <w:kern w:val="0"/>
          <w:vertAlign w:val="superscript"/>
          <w:rtl/>
        </w:rPr>
        <w:t>)</w:t>
      </w:r>
      <w:r w:rsidRPr="00AA537D">
        <w:rPr>
          <w:rFonts w:hint="cs"/>
          <w:noProof/>
          <w:spacing w:val="0"/>
          <w:kern w:val="0"/>
          <w:rtl/>
        </w:rPr>
        <w:t>. وتشير اللجنة أيضاً إلى أنها لئن كانت تعطي، بموجب تعليقها العام رقم 1، وزناً كبيراً للحيثيات الوقائعية التي توفرها أجهزة الدولة الطرف المعنية، فإنها غير ملزمة بتلك الحيثيات بل إن من سلطتها بموجب الفقرة 4 من المادة 22 من الاتفاقية تقييم الوقائع بحرية في ضوء جميع الظروف المحيطة بكل قضية.</w:t>
      </w:r>
    </w:p>
    <w:p w:rsidR="00FA6676" w:rsidRPr="00AA537D" w:rsidRDefault="00FA6676" w:rsidP="00ED61B0">
      <w:pPr>
        <w:pStyle w:val="SingleTxtGA"/>
        <w:jc w:val="lowKashida"/>
        <w:rPr>
          <w:rFonts w:hint="cs"/>
          <w:spacing w:val="0"/>
          <w:kern w:val="0"/>
        </w:rPr>
      </w:pPr>
      <w:r w:rsidRPr="00AA537D">
        <w:rPr>
          <w:rFonts w:hint="cs"/>
          <w:noProof/>
          <w:spacing w:val="0"/>
          <w:kern w:val="0"/>
          <w:rtl/>
        </w:rPr>
        <w:t>8-4</w:t>
      </w:r>
      <w:r w:rsidRPr="00AA537D">
        <w:rPr>
          <w:rFonts w:hint="cs"/>
          <w:noProof/>
          <w:spacing w:val="0"/>
          <w:kern w:val="0"/>
          <w:rtl/>
        </w:rPr>
        <w:tab/>
      </w:r>
      <w:r w:rsidRPr="00AA537D">
        <w:rPr>
          <w:noProof/>
          <w:spacing w:val="0"/>
          <w:kern w:val="0"/>
          <w:rtl/>
        </w:rPr>
        <w:t>وت</w:t>
      </w:r>
      <w:r w:rsidRPr="00AA537D">
        <w:rPr>
          <w:rFonts w:hint="cs"/>
          <w:noProof/>
          <w:spacing w:val="0"/>
          <w:kern w:val="0"/>
          <w:rtl/>
        </w:rPr>
        <w:t xml:space="preserve">حيط </w:t>
      </w:r>
      <w:r w:rsidRPr="00AA537D">
        <w:rPr>
          <w:noProof/>
          <w:spacing w:val="0"/>
          <w:kern w:val="0"/>
          <w:rtl/>
        </w:rPr>
        <w:t xml:space="preserve">اللجنة </w:t>
      </w:r>
      <w:r w:rsidRPr="00AA537D">
        <w:rPr>
          <w:rFonts w:hint="cs"/>
          <w:noProof/>
          <w:spacing w:val="0"/>
          <w:kern w:val="0"/>
          <w:rtl/>
        </w:rPr>
        <w:t>علماً ب</w:t>
      </w:r>
      <w:r w:rsidRPr="00AA537D">
        <w:rPr>
          <w:noProof/>
          <w:spacing w:val="0"/>
          <w:kern w:val="0"/>
          <w:rtl/>
        </w:rPr>
        <w:t xml:space="preserve">الادعاء </w:t>
      </w:r>
      <w:r w:rsidRPr="00AA537D">
        <w:rPr>
          <w:rFonts w:hint="cs"/>
          <w:noProof/>
          <w:spacing w:val="0"/>
          <w:kern w:val="0"/>
          <w:rtl/>
        </w:rPr>
        <w:t xml:space="preserve">الذي مفاده </w:t>
      </w:r>
      <w:r w:rsidRPr="00AA537D">
        <w:rPr>
          <w:noProof/>
          <w:spacing w:val="0"/>
          <w:kern w:val="0"/>
          <w:rtl/>
        </w:rPr>
        <w:t xml:space="preserve">أن </w:t>
      </w:r>
      <w:r w:rsidRPr="00AA537D">
        <w:rPr>
          <w:rFonts w:hint="cs"/>
          <w:noProof/>
          <w:spacing w:val="0"/>
          <w:kern w:val="0"/>
          <w:rtl/>
        </w:rPr>
        <w:t xml:space="preserve">صاحب الشكوى </w:t>
      </w:r>
      <w:r w:rsidRPr="00AA537D">
        <w:rPr>
          <w:noProof/>
          <w:spacing w:val="0"/>
          <w:kern w:val="0"/>
          <w:rtl/>
        </w:rPr>
        <w:t xml:space="preserve">سيتعرض </w:t>
      </w:r>
      <w:r w:rsidRPr="00AA537D">
        <w:rPr>
          <w:rFonts w:hint="cs"/>
          <w:noProof/>
          <w:spacing w:val="0"/>
          <w:kern w:val="0"/>
          <w:rtl/>
        </w:rPr>
        <w:t>لخطر ا</w:t>
      </w:r>
      <w:r w:rsidRPr="00AA537D">
        <w:rPr>
          <w:noProof/>
          <w:spacing w:val="0"/>
          <w:kern w:val="0"/>
          <w:rtl/>
        </w:rPr>
        <w:t>لتعذيب أو سوء المعاملة إذا رُحّ</w:t>
      </w:r>
      <w:r w:rsidRPr="00AA537D">
        <w:rPr>
          <w:rFonts w:hint="cs"/>
          <w:noProof/>
          <w:spacing w:val="0"/>
          <w:kern w:val="0"/>
          <w:rtl/>
        </w:rPr>
        <w:t>ِ</w:t>
      </w:r>
      <w:r w:rsidRPr="00AA537D">
        <w:rPr>
          <w:noProof/>
          <w:spacing w:val="0"/>
          <w:kern w:val="0"/>
          <w:rtl/>
        </w:rPr>
        <w:t>ل إلى أذربيجان</w:t>
      </w:r>
      <w:r w:rsidRPr="00AA537D">
        <w:rPr>
          <w:rFonts w:hint="cs"/>
          <w:noProof/>
          <w:spacing w:val="0"/>
          <w:kern w:val="0"/>
          <w:rtl/>
        </w:rPr>
        <w:t xml:space="preserve">، </w:t>
      </w:r>
      <w:r w:rsidRPr="00AA537D">
        <w:rPr>
          <w:noProof/>
          <w:spacing w:val="0"/>
          <w:kern w:val="0"/>
          <w:rtl/>
        </w:rPr>
        <w:t>بسبب أنشطته السياسية السابقة</w:t>
      </w:r>
      <w:r w:rsidRPr="00AA537D">
        <w:rPr>
          <w:rFonts w:hint="cs"/>
          <w:noProof/>
          <w:spacing w:val="0"/>
          <w:kern w:val="0"/>
          <w:rtl/>
        </w:rPr>
        <w:t>. وتشير اللجنة إلى أن صاحب الشكوى لم يقدم أي أدلة تثبت أنه كان مطلوباً بسبب أنشطته السياسية في أذربيجان. وفي هذا الصدد، لم يقدم صاحب الشكوى نسخة من أمر إحضار أو</w:t>
      </w:r>
      <w:r w:rsidR="00ED61B0">
        <w:rPr>
          <w:rFonts w:hint="eastAsia"/>
          <w:noProof/>
          <w:spacing w:val="0"/>
          <w:kern w:val="0"/>
          <w:rtl/>
        </w:rPr>
        <w:t> </w:t>
      </w:r>
      <w:r w:rsidRPr="00AA537D">
        <w:rPr>
          <w:rFonts w:hint="cs"/>
          <w:noProof/>
          <w:spacing w:val="0"/>
          <w:kern w:val="0"/>
          <w:rtl/>
        </w:rPr>
        <w:t>دليلاً يثبت أن ثمة تحقيقا</w:t>
      </w:r>
      <w:r w:rsidR="00171FB4">
        <w:rPr>
          <w:rFonts w:hint="cs"/>
          <w:noProof/>
          <w:spacing w:val="0"/>
          <w:kern w:val="0"/>
          <w:rtl/>
        </w:rPr>
        <w:t>ً جارياً</w:t>
      </w:r>
      <w:r w:rsidRPr="00AA537D">
        <w:rPr>
          <w:rFonts w:hint="cs"/>
          <w:noProof/>
          <w:spacing w:val="0"/>
          <w:kern w:val="0"/>
          <w:rtl/>
        </w:rPr>
        <w:t xml:space="preserve"> وأنه يخضع شخصياً لهذا التحقيق. وتشير اللجنة إلى أن صاحب الشكوى لم يدع أنه تعرض للاحتجاز أو التعذيب في الماضي.</w:t>
      </w:r>
    </w:p>
    <w:p w:rsidR="00FA6676" w:rsidRPr="00AA537D" w:rsidRDefault="00FA6676" w:rsidP="00ED61B0">
      <w:pPr>
        <w:pStyle w:val="SingleTxtGA"/>
        <w:jc w:val="lowKashida"/>
        <w:rPr>
          <w:rFonts w:hint="cs"/>
          <w:spacing w:val="0"/>
          <w:kern w:val="0"/>
        </w:rPr>
      </w:pPr>
      <w:r w:rsidRPr="00AA537D">
        <w:rPr>
          <w:rFonts w:hint="cs"/>
          <w:noProof/>
          <w:spacing w:val="0"/>
          <w:kern w:val="0"/>
          <w:rtl/>
        </w:rPr>
        <w:t>8-5</w:t>
      </w:r>
      <w:r w:rsidRPr="00AA537D">
        <w:rPr>
          <w:rFonts w:hint="cs"/>
          <w:noProof/>
          <w:spacing w:val="0"/>
          <w:kern w:val="0"/>
          <w:rtl/>
        </w:rPr>
        <w:tab/>
        <w:t xml:space="preserve">وأما فيما يتعلق بالمشاركة المزعومة لصاحب الشكوى في أنشطة سياسية، تلاحظ اللجنة أنه رغم القطع بعضويته في </w:t>
      </w:r>
      <w:r w:rsidRPr="00AA537D">
        <w:rPr>
          <w:rFonts w:hint="cs"/>
          <w:spacing w:val="0"/>
          <w:kern w:val="0"/>
          <w:rtl/>
        </w:rPr>
        <w:t>حزب الاستقلال الوطني في أذربيجان</w:t>
      </w:r>
      <w:r w:rsidRPr="00AA537D">
        <w:rPr>
          <w:rFonts w:hint="cs"/>
          <w:noProof/>
          <w:spacing w:val="0"/>
          <w:kern w:val="0"/>
          <w:rtl/>
        </w:rPr>
        <w:t xml:space="preserve"> وفي حزب المساواة لاحقاً، وكلا الحزبين مسجل</w:t>
      </w:r>
      <w:r w:rsidR="00171FB4">
        <w:rPr>
          <w:rFonts w:hint="cs"/>
          <w:noProof/>
          <w:spacing w:val="0"/>
          <w:kern w:val="0"/>
          <w:rtl/>
        </w:rPr>
        <w:t>ين</w:t>
      </w:r>
      <w:r w:rsidRPr="00AA537D">
        <w:rPr>
          <w:rFonts w:hint="cs"/>
          <w:noProof/>
          <w:spacing w:val="0"/>
          <w:kern w:val="0"/>
          <w:rtl/>
        </w:rPr>
        <w:t xml:space="preserve"> في أذربيجان، لا يبدو أنه تولى منصباً قيادياً في أي من هذين الحزبين، وبالتالي لن يكون محط اهتمام خاص من السلطات الأذربيجانية إذا ما أُعيد. كما لا</w:t>
      </w:r>
      <w:r w:rsidR="00ED61B0">
        <w:rPr>
          <w:rFonts w:hint="eastAsia"/>
          <w:noProof/>
          <w:spacing w:val="0"/>
          <w:kern w:val="0"/>
          <w:rtl/>
        </w:rPr>
        <w:t> </w:t>
      </w:r>
      <w:r w:rsidRPr="00AA537D">
        <w:rPr>
          <w:rFonts w:hint="cs"/>
          <w:noProof/>
          <w:spacing w:val="0"/>
          <w:kern w:val="0"/>
          <w:rtl/>
        </w:rPr>
        <w:t>يوجد أي دليل على أنه شارك، أثناء وجوده في السويد، في أي نشاط يجعله محط اهتمام هذه السلطات بعد مغادرته لأذربيجان بعدة سنوات.</w:t>
      </w:r>
    </w:p>
    <w:p w:rsidR="00FA6676" w:rsidRPr="00AA537D" w:rsidRDefault="00FA6676" w:rsidP="00AA537D">
      <w:pPr>
        <w:pStyle w:val="SingleTxtGA"/>
        <w:jc w:val="lowKashida"/>
        <w:rPr>
          <w:rFonts w:hint="cs"/>
          <w:spacing w:val="0"/>
          <w:kern w:val="0"/>
        </w:rPr>
      </w:pPr>
      <w:r w:rsidRPr="00AA537D">
        <w:rPr>
          <w:rFonts w:hint="cs"/>
          <w:noProof/>
          <w:spacing w:val="0"/>
          <w:kern w:val="0"/>
          <w:rtl/>
        </w:rPr>
        <w:t>8-6</w:t>
      </w:r>
      <w:r w:rsidRPr="00AA537D">
        <w:rPr>
          <w:rFonts w:hint="cs"/>
          <w:noProof/>
          <w:spacing w:val="0"/>
          <w:kern w:val="0"/>
          <w:rtl/>
        </w:rPr>
        <w:tab/>
        <w:t>وتَعتَبر اللجنة، استناداً إلى جميع المعلومات المعروضة عليها، أنه ليس ثمة أساس يسمح بالاستنتاج أن صاحب الشكوى سيواجه خطراً متوقعاً وحقيقياً للتعرض شخصياً للتعذيب إذا ما أُعيدَ إلى أذربيجان. ولذلك ترى اللجنة أن إعادته إلى ذلك البلد لن تشكل خرقاً للمادة 3 من الاتفاقية.</w:t>
      </w:r>
    </w:p>
    <w:p w:rsidR="00FA6676" w:rsidRPr="00AA537D" w:rsidRDefault="00FA6676" w:rsidP="00ED61B0">
      <w:pPr>
        <w:pStyle w:val="SingleTxtGA"/>
        <w:jc w:val="lowKashida"/>
        <w:rPr>
          <w:spacing w:val="0"/>
          <w:kern w:val="0"/>
        </w:rPr>
      </w:pPr>
      <w:r w:rsidRPr="00AA537D">
        <w:rPr>
          <w:rFonts w:hint="cs"/>
          <w:noProof/>
          <w:spacing w:val="0"/>
          <w:kern w:val="0"/>
          <w:rtl/>
        </w:rPr>
        <w:t>9-</w:t>
      </w:r>
      <w:r w:rsidRPr="00AA537D">
        <w:rPr>
          <w:rFonts w:hint="cs"/>
          <w:noProof/>
          <w:spacing w:val="0"/>
          <w:kern w:val="0"/>
          <w:rtl/>
        </w:rPr>
        <w:tab/>
      </w:r>
      <w:r w:rsidRPr="00AA537D">
        <w:rPr>
          <w:noProof/>
          <w:spacing w:val="0"/>
          <w:kern w:val="0"/>
          <w:rtl/>
        </w:rPr>
        <w:t xml:space="preserve">وعملاً بالفقرة 7 من المادة 22 من اتفاقية مناهضة التعذيب وغيره من ضروب المعاملة أو العقوبة القاسية أو اللاإنسانية أو المهينة، تخلص لجنة مناهضة التعذيب إلى أن </w:t>
      </w:r>
      <w:r w:rsidRPr="00AA537D">
        <w:rPr>
          <w:rFonts w:hint="cs"/>
          <w:noProof/>
          <w:spacing w:val="0"/>
          <w:kern w:val="0"/>
          <w:rtl/>
        </w:rPr>
        <w:t>إقدام</w:t>
      </w:r>
      <w:r w:rsidRPr="00AA537D">
        <w:rPr>
          <w:noProof/>
          <w:spacing w:val="0"/>
          <w:kern w:val="0"/>
          <w:rtl/>
        </w:rPr>
        <w:t xml:space="preserve"> الدولة الطرف </w:t>
      </w:r>
      <w:r w:rsidRPr="00AA537D">
        <w:rPr>
          <w:rFonts w:hint="cs"/>
          <w:noProof/>
          <w:spacing w:val="0"/>
          <w:kern w:val="0"/>
          <w:rtl/>
        </w:rPr>
        <w:t xml:space="preserve">على </w:t>
      </w:r>
      <w:r w:rsidRPr="00AA537D">
        <w:rPr>
          <w:noProof/>
          <w:spacing w:val="0"/>
          <w:kern w:val="0"/>
          <w:rtl/>
        </w:rPr>
        <w:t>ترحيل ص</w:t>
      </w:r>
      <w:r w:rsidRPr="00AA537D">
        <w:rPr>
          <w:rFonts w:hint="cs"/>
          <w:noProof/>
          <w:spacing w:val="0"/>
          <w:kern w:val="0"/>
          <w:rtl/>
        </w:rPr>
        <w:t>ا</w:t>
      </w:r>
      <w:r w:rsidRPr="00AA537D">
        <w:rPr>
          <w:noProof/>
          <w:spacing w:val="0"/>
          <w:kern w:val="0"/>
          <w:rtl/>
        </w:rPr>
        <w:t xml:space="preserve">حب الشكوى إلى أذربيجان </w:t>
      </w:r>
      <w:r w:rsidRPr="00AA537D">
        <w:rPr>
          <w:rFonts w:hint="cs"/>
          <w:noProof/>
          <w:spacing w:val="0"/>
          <w:kern w:val="0"/>
          <w:rtl/>
        </w:rPr>
        <w:t xml:space="preserve">لن </w:t>
      </w:r>
      <w:r w:rsidRPr="00AA537D">
        <w:rPr>
          <w:noProof/>
          <w:spacing w:val="0"/>
          <w:kern w:val="0"/>
          <w:rtl/>
        </w:rPr>
        <w:t>يشكل انتهاكاً للمادة 3 من</w:t>
      </w:r>
      <w:r w:rsidR="00ED61B0">
        <w:rPr>
          <w:rFonts w:hint="cs"/>
          <w:noProof/>
          <w:spacing w:val="0"/>
          <w:kern w:val="0"/>
          <w:rtl/>
        </w:rPr>
        <w:t> </w:t>
      </w:r>
      <w:r w:rsidRPr="00AA537D">
        <w:rPr>
          <w:noProof/>
          <w:spacing w:val="0"/>
          <w:kern w:val="0"/>
          <w:rtl/>
        </w:rPr>
        <w:t>الاتفاقية.</w:t>
      </w:r>
    </w:p>
    <w:p w:rsidR="00E27835" w:rsidRDefault="00E27835" w:rsidP="00AA537D">
      <w:pPr>
        <w:pStyle w:val="HChGA"/>
        <w:jc w:val="lowKashida"/>
        <w:rPr>
          <w:spacing w:val="0"/>
          <w:kern w:val="0"/>
          <w:rtl/>
        </w:rPr>
        <w:sectPr w:rsidR="00E27835"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FA6676" w:rsidRPr="00AA537D" w:rsidRDefault="00FA6676" w:rsidP="00E27835">
      <w:pPr>
        <w:pStyle w:val="H1GA"/>
        <w:spacing w:before="120"/>
        <w:rPr>
          <w:rFonts w:hint="cs"/>
          <w:kern w:val="0"/>
          <w:rtl/>
        </w:rPr>
      </w:pPr>
      <w:r w:rsidRPr="00AA537D">
        <w:rPr>
          <w:rFonts w:hint="cs"/>
          <w:kern w:val="0"/>
          <w:rtl/>
        </w:rPr>
        <w:tab/>
      </w:r>
      <w:r w:rsidRPr="00AA537D">
        <w:rPr>
          <w:rFonts w:hint="cs"/>
          <w:kern w:val="0"/>
          <w:rtl/>
        </w:rPr>
        <w:tab/>
      </w:r>
      <w:r w:rsidRPr="00AA537D">
        <w:rPr>
          <w:kern w:val="0"/>
          <w:rtl/>
        </w:rPr>
        <w:t>البلاغ ر قم 428/2010</w:t>
      </w:r>
      <w:r w:rsidRPr="00AA537D">
        <w:rPr>
          <w:rFonts w:hint="cs"/>
          <w:kern w:val="0"/>
          <w:rtl/>
        </w:rPr>
        <w:t xml:space="preserve">: </w:t>
      </w:r>
      <w:r w:rsidRPr="00AA537D">
        <w:rPr>
          <w:i/>
          <w:iCs/>
          <w:kern w:val="0"/>
          <w:rtl/>
        </w:rPr>
        <w:t>كالينيتشنكو</w:t>
      </w:r>
      <w:r w:rsidRPr="00AA537D">
        <w:rPr>
          <w:rFonts w:hint="cs"/>
          <w:i/>
          <w:iCs/>
          <w:kern w:val="0"/>
          <w:rtl/>
        </w:rPr>
        <w:t xml:space="preserve"> ضد المغرب</w:t>
      </w:r>
    </w:p>
    <w:p w:rsidR="00FA6676" w:rsidRPr="00AA537D" w:rsidRDefault="00FA6676" w:rsidP="00AA537D">
      <w:pPr>
        <w:pStyle w:val="SingleTxtGA"/>
        <w:ind w:left="4649" w:hanging="3402"/>
        <w:jc w:val="lowKashida"/>
        <w:rPr>
          <w:spacing w:val="0"/>
          <w:kern w:val="0"/>
          <w:rtl/>
        </w:rPr>
      </w:pPr>
      <w:r w:rsidRPr="00AA537D">
        <w:rPr>
          <w:rFonts w:hint="cs"/>
          <w:spacing w:val="0"/>
          <w:kern w:val="0"/>
          <w:rtl/>
        </w:rPr>
        <w:tab/>
      </w:r>
      <w:r w:rsidRPr="00AA537D">
        <w:rPr>
          <w:i/>
          <w:iCs/>
          <w:spacing w:val="0"/>
          <w:kern w:val="0"/>
          <w:rtl/>
        </w:rPr>
        <w:t xml:space="preserve">المقدم من </w:t>
      </w:r>
      <w:r w:rsidRPr="00AA537D">
        <w:rPr>
          <w:spacing w:val="0"/>
          <w:kern w:val="0"/>
          <w:rtl/>
        </w:rPr>
        <w:t>:</w:t>
      </w:r>
      <w:r w:rsidRPr="00AA537D">
        <w:rPr>
          <w:spacing w:val="0"/>
          <w:kern w:val="0"/>
          <w:rtl/>
        </w:rPr>
        <w:tab/>
      </w:r>
      <w:r w:rsidRPr="00AA537D">
        <w:rPr>
          <w:spacing w:val="0"/>
          <w:kern w:val="0"/>
          <w:rtl/>
        </w:rPr>
        <w:tab/>
      </w:r>
      <w:r w:rsidRPr="00AA537D">
        <w:rPr>
          <w:spacing w:val="0"/>
          <w:kern w:val="0"/>
          <w:rtl/>
        </w:rPr>
        <w:tab/>
        <w:t>أليكسي كالينيتشنكو (يمثله المحاميان أنطون</w:t>
      </w:r>
      <w:r w:rsidRPr="00AA537D">
        <w:rPr>
          <w:rFonts w:hint="cs"/>
          <w:spacing w:val="0"/>
          <w:kern w:val="0"/>
          <w:rtl/>
        </w:rPr>
        <w:t xml:space="preserve"> </w:t>
      </w:r>
      <w:r w:rsidRPr="00AA537D">
        <w:rPr>
          <w:spacing w:val="0"/>
          <w:kern w:val="0"/>
          <w:rtl/>
        </w:rPr>
        <w:t>غويليو لانا وأندريا ساكوسي)</w:t>
      </w:r>
    </w:p>
    <w:p w:rsidR="00FA6676" w:rsidRPr="00AA537D" w:rsidRDefault="00FA6676" w:rsidP="00AA537D">
      <w:pPr>
        <w:pStyle w:val="SingleTxtGA"/>
        <w:jc w:val="lowKashida"/>
        <w:rPr>
          <w:spacing w:val="0"/>
          <w:kern w:val="0"/>
          <w:rtl/>
        </w:rPr>
      </w:pPr>
      <w:r w:rsidRPr="00AA537D">
        <w:rPr>
          <w:spacing w:val="0"/>
          <w:kern w:val="0"/>
          <w:rtl/>
        </w:rPr>
        <w:tab/>
      </w:r>
      <w:r w:rsidRPr="00AA537D">
        <w:rPr>
          <w:i/>
          <w:iCs/>
          <w:spacing w:val="0"/>
          <w:kern w:val="0"/>
          <w:rtl/>
        </w:rPr>
        <w:t>الشخص المدعى أنه ضحية</w:t>
      </w:r>
      <w:r w:rsidRPr="00AA537D">
        <w:rPr>
          <w:rFonts w:hint="cs"/>
          <w:spacing w:val="0"/>
          <w:kern w:val="0"/>
          <w:rtl/>
        </w:rPr>
        <w:t>:</w:t>
      </w:r>
      <w:r w:rsidRPr="00AA537D">
        <w:rPr>
          <w:spacing w:val="0"/>
          <w:kern w:val="0"/>
          <w:rtl/>
        </w:rPr>
        <w:tab/>
        <w:t>صاحب الشكوى</w:t>
      </w:r>
    </w:p>
    <w:p w:rsidR="00FA6676" w:rsidRPr="00AA537D" w:rsidRDefault="00FA6676" w:rsidP="00AA537D">
      <w:pPr>
        <w:pStyle w:val="SingleTxtGA"/>
        <w:jc w:val="lowKashida"/>
        <w:rPr>
          <w:spacing w:val="0"/>
          <w:kern w:val="0"/>
          <w:rtl/>
        </w:rPr>
      </w:pPr>
      <w:r w:rsidRPr="00AA537D">
        <w:rPr>
          <w:spacing w:val="0"/>
          <w:kern w:val="0"/>
          <w:rtl/>
        </w:rPr>
        <w:tab/>
      </w:r>
      <w:r w:rsidRPr="00AA537D">
        <w:rPr>
          <w:i/>
          <w:iCs/>
          <w:spacing w:val="0"/>
          <w:kern w:val="0"/>
          <w:rtl/>
        </w:rPr>
        <w:t>الدولة الطرف</w:t>
      </w:r>
      <w:r w:rsidRPr="00AA537D">
        <w:rPr>
          <w:rFonts w:hint="cs"/>
          <w:spacing w:val="0"/>
          <w:kern w:val="0"/>
          <w:rtl/>
        </w:rPr>
        <w:t>:</w:t>
      </w:r>
      <w:r w:rsidRPr="00AA537D">
        <w:rPr>
          <w:spacing w:val="0"/>
          <w:kern w:val="0"/>
          <w:rtl/>
        </w:rPr>
        <w:tab/>
      </w:r>
      <w:r w:rsidRPr="00AA537D">
        <w:rPr>
          <w:spacing w:val="0"/>
          <w:kern w:val="0"/>
          <w:rtl/>
        </w:rPr>
        <w:tab/>
      </w:r>
      <w:r w:rsidRPr="00AA537D">
        <w:rPr>
          <w:spacing w:val="0"/>
          <w:kern w:val="0"/>
          <w:rtl/>
        </w:rPr>
        <w:tab/>
        <w:t>المغرب</w:t>
      </w:r>
    </w:p>
    <w:p w:rsidR="00FA6676" w:rsidRPr="00E27835" w:rsidRDefault="00FA6676" w:rsidP="00AA537D">
      <w:pPr>
        <w:pStyle w:val="SingleTxtGA"/>
        <w:ind w:left="4649" w:hanging="3402"/>
        <w:jc w:val="lowKashida"/>
        <w:rPr>
          <w:spacing w:val="-4"/>
          <w:kern w:val="0"/>
          <w:rtl/>
        </w:rPr>
      </w:pPr>
      <w:r w:rsidRPr="00E27835">
        <w:rPr>
          <w:spacing w:val="-4"/>
          <w:kern w:val="0"/>
          <w:rtl/>
        </w:rPr>
        <w:tab/>
      </w:r>
      <w:r w:rsidRPr="00E27835">
        <w:rPr>
          <w:i/>
          <w:iCs/>
          <w:spacing w:val="-4"/>
          <w:kern w:val="0"/>
          <w:rtl/>
        </w:rPr>
        <w:t>تاريخ تقديم الشكوى</w:t>
      </w:r>
      <w:r w:rsidRPr="00E27835">
        <w:rPr>
          <w:spacing w:val="-4"/>
          <w:kern w:val="0"/>
          <w:rtl/>
        </w:rPr>
        <w:t>:</w:t>
      </w:r>
      <w:r w:rsidRPr="00E27835">
        <w:rPr>
          <w:spacing w:val="-4"/>
          <w:kern w:val="0"/>
          <w:rtl/>
        </w:rPr>
        <w:tab/>
      </w:r>
      <w:r w:rsidRPr="00E27835">
        <w:rPr>
          <w:spacing w:val="-4"/>
          <w:kern w:val="0"/>
          <w:rtl/>
        </w:rPr>
        <w:tab/>
        <w:t>12 آب/أغسطس 2010 (تاريخ الرسالة الأولى)</w:t>
      </w:r>
    </w:p>
    <w:p w:rsidR="00FA6676" w:rsidRPr="00AA537D" w:rsidRDefault="00FA6676" w:rsidP="00AA537D">
      <w:pPr>
        <w:pStyle w:val="SingleTxtGA"/>
        <w:jc w:val="lowKashida"/>
        <w:rPr>
          <w:spacing w:val="0"/>
          <w:kern w:val="0"/>
          <w:rtl/>
        </w:rPr>
      </w:pPr>
      <w:r w:rsidRPr="00AA537D">
        <w:rPr>
          <w:spacing w:val="0"/>
          <w:kern w:val="0"/>
          <w:rtl/>
        </w:rPr>
        <w:tab/>
      </w:r>
      <w:r w:rsidRPr="00AA537D">
        <w:rPr>
          <w:i/>
          <w:iCs/>
          <w:spacing w:val="0"/>
          <w:kern w:val="0"/>
          <w:rtl/>
        </w:rPr>
        <w:t>إن لجنة مناهضة التعذيب</w:t>
      </w:r>
      <w:r w:rsidRPr="00AA537D">
        <w:rPr>
          <w:spacing w:val="0"/>
          <w:kern w:val="0"/>
          <w:rtl/>
        </w:rPr>
        <w:t>، المُنشأة بموجب المادة 17 من اتفاقية مناهضة التعذيب وغيره من ضروب المعاملة أو العقوبة القاسية أو اللاإنسانية أو المهينة،</w:t>
      </w:r>
    </w:p>
    <w:p w:rsidR="00FA6676" w:rsidRPr="00AA537D" w:rsidRDefault="00FA6676" w:rsidP="00AA537D">
      <w:pPr>
        <w:pStyle w:val="SingleTxtGA"/>
        <w:jc w:val="lowKashida"/>
        <w:rPr>
          <w:spacing w:val="0"/>
          <w:kern w:val="0"/>
          <w:rtl/>
        </w:rPr>
      </w:pPr>
      <w:r w:rsidRPr="00AA537D">
        <w:rPr>
          <w:spacing w:val="0"/>
          <w:kern w:val="0"/>
          <w:rtl/>
        </w:rPr>
        <w:tab/>
      </w:r>
      <w:r w:rsidRPr="00AA537D">
        <w:rPr>
          <w:i/>
          <w:iCs/>
          <w:spacing w:val="0"/>
          <w:kern w:val="0"/>
          <w:rtl/>
        </w:rPr>
        <w:t>وقد اجتمعت</w:t>
      </w:r>
      <w:r w:rsidRPr="00AA537D">
        <w:rPr>
          <w:spacing w:val="0"/>
          <w:kern w:val="0"/>
          <w:rtl/>
        </w:rPr>
        <w:t xml:space="preserve"> في 25 تشرين الثاني/نوفمبر 2011،</w:t>
      </w:r>
    </w:p>
    <w:p w:rsidR="00FA6676" w:rsidRPr="00AA537D" w:rsidRDefault="00FA6676" w:rsidP="00AA537D">
      <w:pPr>
        <w:pStyle w:val="SingleTxtGA"/>
        <w:jc w:val="lowKashida"/>
        <w:rPr>
          <w:spacing w:val="0"/>
          <w:kern w:val="0"/>
          <w:rtl/>
        </w:rPr>
      </w:pPr>
      <w:r w:rsidRPr="00AA537D">
        <w:rPr>
          <w:spacing w:val="0"/>
          <w:kern w:val="0"/>
          <w:rtl/>
        </w:rPr>
        <w:tab/>
      </w:r>
      <w:r w:rsidRPr="00AA537D">
        <w:rPr>
          <w:i/>
          <w:iCs/>
          <w:spacing w:val="0"/>
          <w:kern w:val="0"/>
          <w:rtl/>
        </w:rPr>
        <w:t>وقد فرغت</w:t>
      </w:r>
      <w:r w:rsidRPr="00AA537D">
        <w:rPr>
          <w:spacing w:val="0"/>
          <w:kern w:val="0"/>
          <w:rtl/>
        </w:rPr>
        <w:t xml:space="preserve"> من النظر في الشكوى رقم 428/2010 التي قدمها إليها أنطون غويليو لانا وأندريا ساكوسي، نيابة عن أليكسي كالينيتشنكو، بموجب المادة 22 من اتفاقية مناهضة التعذيب وغيره من ضروب المعاملة أو العقوبة القاسية أو اللاإنسانية أو المهينة،</w:t>
      </w:r>
    </w:p>
    <w:p w:rsidR="00FA6676" w:rsidRPr="00AA537D" w:rsidRDefault="00FA6676" w:rsidP="00AA537D">
      <w:pPr>
        <w:pStyle w:val="SingleTxtGA"/>
        <w:jc w:val="lowKashida"/>
        <w:rPr>
          <w:spacing w:val="0"/>
          <w:kern w:val="0"/>
          <w:rtl/>
        </w:rPr>
      </w:pPr>
      <w:r w:rsidRPr="00AA537D">
        <w:rPr>
          <w:spacing w:val="0"/>
          <w:kern w:val="0"/>
          <w:rtl/>
        </w:rPr>
        <w:tab/>
      </w:r>
      <w:r w:rsidRPr="00AA537D">
        <w:rPr>
          <w:i/>
          <w:iCs/>
          <w:spacing w:val="0"/>
          <w:kern w:val="0"/>
          <w:rtl/>
        </w:rPr>
        <w:t>وقد أخذت في اعتبارها</w:t>
      </w:r>
      <w:r w:rsidRPr="00AA537D">
        <w:rPr>
          <w:spacing w:val="0"/>
          <w:kern w:val="0"/>
          <w:rtl/>
        </w:rPr>
        <w:t xml:space="preserve"> جميع المعلومات التي أتاحها لها صاحب الشكوى ومحامياه والدولة الطرف، </w:t>
      </w:r>
    </w:p>
    <w:p w:rsidR="00FA6676" w:rsidRPr="00AA537D" w:rsidRDefault="00FA6676" w:rsidP="00AA537D">
      <w:pPr>
        <w:pStyle w:val="SingleTxtGA"/>
        <w:jc w:val="lowKashida"/>
        <w:rPr>
          <w:spacing w:val="0"/>
          <w:kern w:val="0"/>
          <w:rtl/>
        </w:rPr>
      </w:pPr>
      <w:r w:rsidRPr="00AA537D">
        <w:rPr>
          <w:spacing w:val="0"/>
          <w:kern w:val="0"/>
          <w:rtl/>
        </w:rPr>
        <w:tab/>
      </w:r>
      <w:r w:rsidRPr="00AA537D">
        <w:rPr>
          <w:i/>
          <w:iCs/>
          <w:spacing w:val="0"/>
          <w:kern w:val="0"/>
          <w:rtl/>
        </w:rPr>
        <w:t xml:space="preserve">تعتمد </w:t>
      </w:r>
      <w:r w:rsidRPr="00AA537D">
        <w:rPr>
          <w:spacing w:val="0"/>
          <w:kern w:val="0"/>
          <w:rtl/>
        </w:rPr>
        <w:t>ما يلي:</w:t>
      </w:r>
    </w:p>
    <w:p w:rsidR="00FA6676" w:rsidRPr="00AA537D" w:rsidRDefault="00FA6676" w:rsidP="00AA537D">
      <w:pPr>
        <w:pStyle w:val="H1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قرار بموجب الفقرة 7 من المادة 22 من اتفاقية مناهضة التعذيب</w:t>
      </w:r>
    </w:p>
    <w:p w:rsidR="00FA6676" w:rsidRPr="00AA537D" w:rsidRDefault="00FA6676" w:rsidP="00AA537D">
      <w:pPr>
        <w:pStyle w:val="SingleTxtGA"/>
        <w:jc w:val="lowKashida"/>
        <w:rPr>
          <w:spacing w:val="0"/>
          <w:kern w:val="0"/>
          <w:rtl/>
        </w:rPr>
      </w:pPr>
      <w:r w:rsidRPr="00AA537D">
        <w:rPr>
          <w:spacing w:val="0"/>
          <w:kern w:val="0"/>
          <w:rtl/>
        </w:rPr>
        <w:t>1-1</w:t>
      </w:r>
      <w:r w:rsidRPr="00AA537D">
        <w:rPr>
          <w:spacing w:val="0"/>
          <w:kern w:val="0"/>
          <w:rtl/>
        </w:rPr>
        <w:tab/>
        <w:t>صاحب الشكوى المؤرخة 12 آب/أغسطس 2010 هو أليكسي كالينيتشنكو الروسي الجنسية المولود في 13 تموز/يوليه 1979. وهو يدعي أن تسليمه إلى الاتحاد الروسي يمثل انتهاكاً من جانب المغرب</w:t>
      </w:r>
      <w:r w:rsidRPr="00AA537D">
        <w:rPr>
          <w:spacing w:val="0"/>
          <w:kern w:val="0"/>
          <w:vertAlign w:val="superscript"/>
          <w:rtl/>
        </w:rPr>
        <w:t>(</w:t>
      </w:r>
      <w:r w:rsidRPr="00AA537D">
        <w:rPr>
          <w:rStyle w:val="FootnoteReference"/>
          <w:spacing w:val="0"/>
          <w:rtl/>
        </w:rPr>
        <w:footnoteReference w:id="358"/>
      </w:r>
      <w:r w:rsidRPr="00AA537D">
        <w:rPr>
          <w:spacing w:val="0"/>
          <w:kern w:val="0"/>
          <w:vertAlign w:val="superscript"/>
          <w:rtl/>
        </w:rPr>
        <w:t>)</w:t>
      </w:r>
      <w:r w:rsidRPr="00AA537D">
        <w:rPr>
          <w:spacing w:val="0"/>
          <w:kern w:val="0"/>
          <w:rtl/>
        </w:rPr>
        <w:t xml:space="preserve"> للمادة 3 من الاتفاقية. ويمثل صاحب الشكوى المحاميان أنطون غويليو لانا وأندريا ساكوسي. </w:t>
      </w:r>
    </w:p>
    <w:p w:rsidR="00FA6676" w:rsidRPr="00ED61B0" w:rsidRDefault="00FA6676" w:rsidP="00AA537D">
      <w:pPr>
        <w:pStyle w:val="SingleTxtGA"/>
        <w:jc w:val="lowKashida"/>
        <w:rPr>
          <w:spacing w:val="0"/>
          <w:kern w:val="0"/>
          <w:sz w:val="20"/>
          <w:rtl/>
        </w:rPr>
      </w:pPr>
      <w:r w:rsidRPr="00ED61B0">
        <w:rPr>
          <w:spacing w:val="0"/>
          <w:kern w:val="0"/>
          <w:sz w:val="20"/>
          <w:rtl/>
        </w:rPr>
        <w:t>1-2</w:t>
      </w:r>
      <w:r w:rsidRPr="00ED61B0">
        <w:rPr>
          <w:spacing w:val="0"/>
          <w:kern w:val="0"/>
          <w:sz w:val="20"/>
          <w:rtl/>
        </w:rPr>
        <w:tab/>
        <w:t>وقد طلبت اللجنة إلى الدولة الطرف في 13 آب/أغسطس 2010، بموجب المادة</w:t>
      </w:r>
      <w:r w:rsidRPr="00ED61B0">
        <w:rPr>
          <w:rFonts w:hint="cs"/>
          <w:spacing w:val="0"/>
          <w:kern w:val="0"/>
          <w:sz w:val="20"/>
          <w:rtl/>
        </w:rPr>
        <w:t> </w:t>
      </w:r>
      <w:r w:rsidRPr="00ED61B0">
        <w:rPr>
          <w:spacing w:val="0"/>
          <w:kern w:val="0"/>
          <w:sz w:val="20"/>
          <w:rtl/>
        </w:rPr>
        <w:t>114 (المادة 108 سابقاً) من نظامها الداخلي (</w:t>
      </w:r>
      <w:r w:rsidRPr="00ED61B0">
        <w:rPr>
          <w:spacing w:val="0"/>
          <w:kern w:val="0"/>
          <w:sz w:val="20"/>
        </w:rPr>
        <w:t>CAT/C/3/Rev.5</w:t>
      </w:r>
      <w:r w:rsidRPr="00ED61B0">
        <w:rPr>
          <w:spacing w:val="0"/>
          <w:kern w:val="0"/>
          <w:sz w:val="20"/>
          <w:rtl/>
        </w:rPr>
        <w:t>)، عدم تسليم صاحب</w:t>
      </w:r>
      <w:r w:rsidRPr="00ED61B0">
        <w:rPr>
          <w:rFonts w:hint="cs"/>
          <w:spacing w:val="0"/>
          <w:kern w:val="0"/>
          <w:sz w:val="20"/>
          <w:rtl/>
        </w:rPr>
        <w:t> </w:t>
      </w:r>
      <w:r w:rsidRPr="00ED61B0">
        <w:rPr>
          <w:spacing w:val="0"/>
          <w:kern w:val="0"/>
          <w:sz w:val="20"/>
          <w:rtl/>
        </w:rPr>
        <w:t>الشكوى إلى الاتحاد الروسي أثناء نظر اللجنة في شكواه. و</w:t>
      </w:r>
      <w:r w:rsidRPr="00ED61B0">
        <w:rPr>
          <w:rFonts w:hint="cs"/>
          <w:spacing w:val="0"/>
          <w:kern w:val="0"/>
          <w:sz w:val="20"/>
          <w:rtl/>
        </w:rPr>
        <w:t xml:space="preserve">كررت اللجنة، </w:t>
      </w:r>
      <w:r w:rsidRPr="00ED61B0">
        <w:rPr>
          <w:spacing w:val="0"/>
          <w:kern w:val="0"/>
          <w:sz w:val="20"/>
          <w:rtl/>
        </w:rPr>
        <w:t>في</w:t>
      </w:r>
      <w:r w:rsidRPr="00ED61B0">
        <w:rPr>
          <w:rFonts w:hint="cs"/>
          <w:spacing w:val="0"/>
          <w:kern w:val="0"/>
          <w:sz w:val="20"/>
          <w:rtl/>
        </w:rPr>
        <w:t> </w:t>
      </w:r>
      <w:r w:rsidRPr="00ED61B0">
        <w:rPr>
          <w:spacing w:val="0"/>
          <w:kern w:val="0"/>
          <w:sz w:val="20"/>
          <w:rtl/>
        </w:rPr>
        <w:t>20 تشرين الأول/أكتوبر 2010 و4 كانون الثاني/يناير 2011، و11 أيار/مايو 2011</w:t>
      </w:r>
      <w:r w:rsidRPr="00ED61B0">
        <w:rPr>
          <w:rFonts w:hint="cs"/>
          <w:spacing w:val="0"/>
          <w:kern w:val="0"/>
          <w:sz w:val="20"/>
          <w:rtl/>
        </w:rPr>
        <w:t>، هذا الطلب باتخاذ تدابير مؤقتة</w:t>
      </w:r>
      <w:r w:rsidRPr="00ED61B0">
        <w:rPr>
          <w:spacing w:val="0"/>
          <w:kern w:val="0"/>
          <w:sz w:val="20"/>
          <w:rtl/>
        </w:rPr>
        <w:t>.</w:t>
      </w:r>
    </w:p>
    <w:p w:rsidR="00FA6676" w:rsidRPr="00AA537D" w:rsidRDefault="00FA6676" w:rsidP="00AA537D">
      <w:pPr>
        <w:pStyle w:val="SingleTxtGA"/>
        <w:jc w:val="lowKashida"/>
        <w:rPr>
          <w:spacing w:val="0"/>
          <w:kern w:val="0"/>
          <w:rtl/>
        </w:rPr>
      </w:pPr>
      <w:r w:rsidRPr="00AA537D">
        <w:rPr>
          <w:spacing w:val="0"/>
          <w:kern w:val="0"/>
          <w:rtl/>
        </w:rPr>
        <w:t>1-3</w:t>
      </w:r>
      <w:r w:rsidRPr="00AA537D">
        <w:rPr>
          <w:spacing w:val="0"/>
          <w:kern w:val="0"/>
          <w:rtl/>
        </w:rPr>
        <w:tab/>
        <w:t xml:space="preserve">وفي 4 كانون الثاني/يناير 2011 قرر المقرر المعني بالبلاغات الجديدة والتدابير المؤقتة، باسم اللجنة، </w:t>
      </w:r>
      <w:r w:rsidRPr="00AA537D">
        <w:rPr>
          <w:rFonts w:hint="cs"/>
          <w:spacing w:val="0"/>
          <w:kern w:val="0"/>
          <w:rtl/>
        </w:rPr>
        <w:t xml:space="preserve">وجوب </w:t>
      </w:r>
      <w:r w:rsidRPr="00AA537D">
        <w:rPr>
          <w:spacing w:val="0"/>
          <w:kern w:val="0"/>
          <w:rtl/>
        </w:rPr>
        <w:t xml:space="preserve">النظر </w:t>
      </w:r>
      <w:r w:rsidRPr="00AA537D">
        <w:rPr>
          <w:rFonts w:hint="cs"/>
          <w:spacing w:val="0"/>
          <w:kern w:val="0"/>
          <w:rtl/>
        </w:rPr>
        <w:t>في آن معا</w:t>
      </w:r>
      <w:r w:rsidR="00171FB4">
        <w:rPr>
          <w:rFonts w:hint="cs"/>
          <w:spacing w:val="0"/>
          <w:kern w:val="0"/>
          <w:rtl/>
        </w:rPr>
        <w:t>ً</w:t>
      </w:r>
      <w:r w:rsidRPr="00AA537D">
        <w:rPr>
          <w:rFonts w:hint="cs"/>
          <w:spacing w:val="0"/>
          <w:kern w:val="0"/>
          <w:rtl/>
        </w:rPr>
        <w:t xml:space="preserve"> </w:t>
      </w:r>
      <w:r w:rsidRPr="00AA537D">
        <w:rPr>
          <w:spacing w:val="0"/>
          <w:kern w:val="0"/>
          <w:rtl/>
        </w:rPr>
        <w:t xml:space="preserve">في مقبولية الشكوى </w:t>
      </w:r>
      <w:r w:rsidRPr="00AA537D">
        <w:rPr>
          <w:rFonts w:hint="cs"/>
          <w:spacing w:val="0"/>
          <w:kern w:val="0"/>
          <w:rtl/>
        </w:rPr>
        <w:t xml:space="preserve">وفي </w:t>
      </w:r>
      <w:r w:rsidRPr="00AA537D">
        <w:rPr>
          <w:spacing w:val="0"/>
          <w:kern w:val="0"/>
          <w:rtl/>
        </w:rPr>
        <w:t>أسسها الموضوعية. وعملاً بالفقرة</w:t>
      </w:r>
      <w:r w:rsidRPr="00AA537D">
        <w:rPr>
          <w:rFonts w:hint="cs"/>
          <w:spacing w:val="0"/>
          <w:kern w:val="0"/>
          <w:rtl/>
        </w:rPr>
        <w:t> </w:t>
      </w:r>
      <w:r w:rsidRPr="00AA537D">
        <w:rPr>
          <w:spacing w:val="0"/>
          <w:kern w:val="0"/>
          <w:rtl/>
        </w:rPr>
        <w:t xml:space="preserve">9 من المادة 115 (المادة 109 سابقاً) من النظام الداخلي للجنة، طُلب من الدولة الطرف تقديم تفاصيل عن سُبل الانتصاف الفعالة المتاحة للشخص المدعى أنه ضحية في الظروف الخاصة للقضية ووفقاً لأحكام الفقرة 5(ب) من المادة 22 من الاتفاقية. </w:t>
      </w:r>
    </w:p>
    <w:p w:rsidR="00FA6676" w:rsidRPr="00AA537D" w:rsidRDefault="00FA6676" w:rsidP="00AA537D">
      <w:pPr>
        <w:pStyle w:val="SingleTxtGA"/>
        <w:jc w:val="lowKashida"/>
        <w:rPr>
          <w:spacing w:val="0"/>
          <w:kern w:val="0"/>
          <w:rtl/>
        </w:rPr>
      </w:pPr>
      <w:r w:rsidRPr="00AA537D">
        <w:rPr>
          <w:spacing w:val="0"/>
          <w:kern w:val="0"/>
          <w:rtl/>
        </w:rPr>
        <w:t>1-4</w:t>
      </w:r>
      <w:r w:rsidRPr="00AA537D">
        <w:rPr>
          <w:spacing w:val="0"/>
          <w:kern w:val="0"/>
          <w:rtl/>
        </w:rPr>
        <w:tab/>
        <w:t>وفي 15 أيار/مايو 2011، أ</w:t>
      </w:r>
      <w:r w:rsidRPr="00AA537D">
        <w:rPr>
          <w:rFonts w:hint="cs"/>
          <w:spacing w:val="0"/>
          <w:kern w:val="0"/>
          <w:rtl/>
        </w:rPr>
        <w:t xml:space="preserve">بلغ المحاميان </w:t>
      </w:r>
      <w:r w:rsidRPr="00AA537D">
        <w:rPr>
          <w:spacing w:val="0"/>
          <w:kern w:val="0"/>
          <w:rtl/>
        </w:rPr>
        <w:t>اللجنة بأن صاحب الشكوى سُلّم إلى الاتحاد الروسي في 14 أيار/مايو 2011. وفي 11 حزيران/يونيه 2011</w:t>
      </w:r>
      <w:r w:rsidRPr="00AA537D">
        <w:rPr>
          <w:rFonts w:hint="cs"/>
          <w:spacing w:val="0"/>
          <w:kern w:val="0"/>
          <w:rtl/>
        </w:rPr>
        <w:t>،</w:t>
      </w:r>
      <w:r w:rsidRPr="00AA537D">
        <w:rPr>
          <w:spacing w:val="0"/>
          <w:kern w:val="0"/>
          <w:rtl/>
        </w:rPr>
        <w:t xml:space="preserve"> أكدت الدولة الطرف تسليم صاحب الشكوى إلى الاتحاد الروسي. </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الوقائع كما عرضها صاحب الشكوى</w:t>
      </w:r>
    </w:p>
    <w:p w:rsidR="00FA6676" w:rsidRPr="00AA537D" w:rsidRDefault="00FA6676" w:rsidP="00AA537D">
      <w:pPr>
        <w:pStyle w:val="SingleTxtGA"/>
        <w:jc w:val="lowKashida"/>
        <w:rPr>
          <w:spacing w:val="0"/>
          <w:kern w:val="0"/>
          <w:rtl/>
        </w:rPr>
      </w:pPr>
      <w:r w:rsidRPr="00E27835">
        <w:rPr>
          <w:spacing w:val="0"/>
          <w:kern w:val="0"/>
          <w:sz w:val="20"/>
          <w:rtl/>
        </w:rPr>
        <w:t>2-1</w:t>
      </w:r>
      <w:r w:rsidRPr="00E27835">
        <w:rPr>
          <w:spacing w:val="0"/>
          <w:kern w:val="0"/>
          <w:sz w:val="20"/>
          <w:rtl/>
        </w:rPr>
        <w:tab/>
        <w:t>في عام 2002</w:t>
      </w:r>
      <w:r w:rsidRPr="00E27835">
        <w:rPr>
          <w:rFonts w:hint="cs"/>
          <w:spacing w:val="0"/>
          <w:kern w:val="0"/>
          <w:sz w:val="20"/>
          <w:rtl/>
        </w:rPr>
        <w:t>،</w:t>
      </w:r>
      <w:r w:rsidRPr="00E27835">
        <w:rPr>
          <w:spacing w:val="0"/>
          <w:kern w:val="0"/>
          <w:sz w:val="20"/>
          <w:rtl/>
        </w:rPr>
        <w:t xml:space="preserve"> أنشأ صاحب الشكوى شركته الخاصة وعمل مستشاراً ومحللاً مالياً في مدينة يكاتيرنبرغ بالاتحاد الروسي. ونتيجة للزيادة الكبيرة في عدد الصفقات والعملاء في عام 2003 أقام صاحب الشكوى </w:t>
      </w:r>
      <w:r w:rsidRPr="00E27835">
        <w:rPr>
          <w:rFonts w:hint="cs"/>
          <w:spacing w:val="0"/>
          <w:kern w:val="0"/>
          <w:sz w:val="20"/>
          <w:rtl/>
        </w:rPr>
        <w:t xml:space="preserve">شراكة </w:t>
      </w:r>
      <w:r w:rsidRPr="00E27835">
        <w:rPr>
          <w:spacing w:val="0"/>
          <w:kern w:val="0"/>
          <w:sz w:val="20"/>
          <w:rtl/>
        </w:rPr>
        <w:t xml:space="preserve">مع ثلاثة من رجال الأعمال المشهورين في المنطقة، هم ألكسندر هاباروف، وألكسندر فاراكسين (كلاهما عضو في الدوما)، وأندري شاتوف. وفي الفترة من عام 2003 إلى عام 2005 تعاون صاحب الشكوى تعاوناً مهنياً مع مصرف محلي هو </w:t>
      </w:r>
      <w:r w:rsidRPr="00E27835">
        <w:rPr>
          <w:rFonts w:hint="cs"/>
          <w:spacing w:val="0"/>
          <w:kern w:val="0"/>
          <w:sz w:val="20"/>
          <w:rtl/>
        </w:rPr>
        <w:t>"</w:t>
      </w:r>
      <w:r w:rsidRPr="00E27835">
        <w:rPr>
          <w:spacing w:val="0"/>
          <w:kern w:val="0"/>
          <w:sz w:val="20"/>
        </w:rPr>
        <w:t>Bank24.Ru</w:t>
      </w:r>
      <w:r w:rsidRPr="00E27835">
        <w:rPr>
          <w:rFonts w:hint="cs"/>
          <w:spacing w:val="0"/>
          <w:kern w:val="0"/>
          <w:sz w:val="20"/>
          <w:rtl/>
        </w:rPr>
        <w:t>"</w:t>
      </w:r>
      <w:r w:rsidRPr="00E27835">
        <w:rPr>
          <w:spacing w:val="0"/>
          <w:kern w:val="0"/>
          <w:sz w:val="20"/>
          <w:rtl/>
        </w:rPr>
        <w:t xml:space="preserve"> وأدى ما قدمه من مشورة مالية وإدارية إلى ارتفاع كبير في</w:t>
      </w:r>
      <w:r w:rsidRPr="00AA537D">
        <w:rPr>
          <w:spacing w:val="0"/>
          <w:kern w:val="0"/>
          <w:rtl/>
        </w:rPr>
        <w:t xml:space="preserve"> القدرات المالية للمصرف وإلى تقدم ترتيبه بين المصارف العاملة في المنطقة. وفي مقابل الخدمات التي قدمها صاحب الشكوى مُنح الحق في "خيار الاكتتاب" في 20 في المائة من أسهم رأس المال إذا تحققت نتائج محددة. وفي عام 2004 لاحظ صاحب الشكوى أن النمو الاقتصادي للمصرف جذب اهتمام </w:t>
      </w:r>
      <w:r w:rsidRPr="00AA537D">
        <w:rPr>
          <w:rFonts w:hint="cs"/>
          <w:spacing w:val="0"/>
          <w:kern w:val="0"/>
          <w:rtl/>
        </w:rPr>
        <w:t xml:space="preserve">جماعات </w:t>
      </w:r>
      <w:r w:rsidRPr="00AA537D">
        <w:rPr>
          <w:spacing w:val="0"/>
          <w:kern w:val="0"/>
          <w:rtl/>
        </w:rPr>
        <w:t xml:space="preserve">الجريمة المنظمة المحلية. ونجحت واحدة من هذه </w:t>
      </w:r>
      <w:r w:rsidRPr="00AA537D">
        <w:rPr>
          <w:rFonts w:hint="cs"/>
          <w:spacing w:val="0"/>
          <w:kern w:val="0"/>
          <w:rtl/>
        </w:rPr>
        <w:t>الجماعات</w:t>
      </w:r>
      <w:r w:rsidRPr="00AA537D">
        <w:rPr>
          <w:spacing w:val="0"/>
          <w:kern w:val="0"/>
          <w:rtl/>
        </w:rPr>
        <w:t xml:space="preserve">، بالتواطؤ من اثنين من أعضاء مجلس إدارة المصرف، وهو هيئة لم يكن صاحب الشكوى عضواً </w:t>
      </w:r>
      <w:r w:rsidRPr="00AA537D">
        <w:rPr>
          <w:rFonts w:hint="cs"/>
          <w:spacing w:val="0"/>
          <w:kern w:val="0"/>
          <w:rtl/>
        </w:rPr>
        <w:t>فيها</w:t>
      </w:r>
      <w:r w:rsidRPr="00AA537D">
        <w:rPr>
          <w:spacing w:val="0"/>
          <w:kern w:val="0"/>
          <w:rtl/>
        </w:rPr>
        <w:t>، في الاستحواذ على عدد من الشركات المحلية</w:t>
      </w:r>
      <w:r w:rsidRPr="00AA537D">
        <w:rPr>
          <w:rFonts w:hint="cs"/>
          <w:spacing w:val="0"/>
          <w:kern w:val="0"/>
          <w:rtl/>
        </w:rPr>
        <w:t>،</w:t>
      </w:r>
      <w:r w:rsidRPr="00AA537D">
        <w:rPr>
          <w:spacing w:val="0"/>
          <w:kern w:val="0"/>
          <w:rtl/>
        </w:rPr>
        <w:t xml:space="preserve"> </w:t>
      </w:r>
      <w:r w:rsidRPr="00AA537D">
        <w:rPr>
          <w:rFonts w:hint="cs"/>
          <w:spacing w:val="0"/>
          <w:kern w:val="0"/>
          <w:rtl/>
        </w:rPr>
        <w:t>و</w:t>
      </w:r>
      <w:r w:rsidRPr="00AA537D">
        <w:rPr>
          <w:spacing w:val="0"/>
          <w:kern w:val="0"/>
          <w:rtl/>
        </w:rPr>
        <w:t xml:space="preserve">كان بعضها مملوكاً لشركاء صاحب الشكوى. </w:t>
      </w:r>
      <w:r w:rsidR="00171FB4">
        <w:rPr>
          <w:spacing w:val="0"/>
          <w:kern w:val="0"/>
          <w:rtl/>
        </w:rPr>
        <w:t>وقد تم ذلك وفقاً</w:t>
      </w:r>
      <w:r w:rsidRPr="00AA537D">
        <w:rPr>
          <w:spacing w:val="0"/>
          <w:kern w:val="0"/>
          <w:rtl/>
        </w:rPr>
        <w:t xml:space="preserve"> للنمط التقليدي الذي تسير عليه </w:t>
      </w:r>
      <w:r w:rsidRPr="00AA537D">
        <w:rPr>
          <w:rFonts w:hint="cs"/>
          <w:spacing w:val="0"/>
          <w:kern w:val="0"/>
          <w:rtl/>
        </w:rPr>
        <w:t xml:space="preserve">جماعة </w:t>
      </w:r>
      <w:r w:rsidRPr="00AA537D">
        <w:rPr>
          <w:spacing w:val="0"/>
          <w:kern w:val="0"/>
          <w:rtl/>
        </w:rPr>
        <w:t>الجريمة المنظمة، وهو إجبار صغار المساهمين على تحويل أسهمهم إلى الشركات التي تس</w:t>
      </w:r>
      <w:r w:rsidRPr="00AA537D">
        <w:rPr>
          <w:rFonts w:hint="cs"/>
          <w:spacing w:val="0"/>
          <w:kern w:val="0"/>
          <w:rtl/>
        </w:rPr>
        <w:t xml:space="preserve">يطر </w:t>
      </w:r>
      <w:r w:rsidRPr="00AA537D">
        <w:rPr>
          <w:spacing w:val="0"/>
          <w:kern w:val="0"/>
          <w:rtl/>
        </w:rPr>
        <w:t xml:space="preserve">عليها </w:t>
      </w:r>
      <w:r w:rsidRPr="00AA537D">
        <w:rPr>
          <w:rFonts w:hint="cs"/>
          <w:spacing w:val="0"/>
          <w:kern w:val="0"/>
          <w:rtl/>
        </w:rPr>
        <w:t xml:space="preserve">جماعة </w:t>
      </w:r>
      <w:r w:rsidRPr="00AA537D">
        <w:rPr>
          <w:spacing w:val="0"/>
          <w:kern w:val="0"/>
          <w:rtl/>
        </w:rPr>
        <w:t xml:space="preserve">الجريمة المنظمة </w:t>
      </w:r>
      <w:r w:rsidRPr="00AA537D">
        <w:rPr>
          <w:rFonts w:hint="cs"/>
          <w:spacing w:val="0"/>
          <w:kern w:val="0"/>
          <w:rtl/>
        </w:rPr>
        <w:t xml:space="preserve">إلى أن </w:t>
      </w:r>
      <w:r w:rsidRPr="00AA537D">
        <w:rPr>
          <w:spacing w:val="0"/>
          <w:kern w:val="0"/>
          <w:rtl/>
        </w:rPr>
        <w:t>تتمكن هذه ال</w:t>
      </w:r>
      <w:r w:rsidRPr="00AA537D">
        <w:rPr>
          <w:rFonts w:hint="cs"/>
          <w:spacing w:val="0"/>
          <w:kern w:val="0"/>
          <w:rtl/>
        </w:rPr>
        <w:t xml:space="preserve">جماعة </w:t>
      </w:r>
      <w:r w:rsidRPr="00AA537D">
        <w:rPr>
          <w:spacing w:val="0"/>
          <w:kern w:val="0"/>
          <w:rtl/>
        </w:rPr>
        <w:t>من اكتساب القوة المالية اللازمة للاستحواذ على الشركة المستهدفة. و</w:t>
      </w:r>
      <w:r w:rsidRPr="00AA537D">
        <w:rPr>
          <w:rFonts w:hint="cs"/>
          <w:spacing w:val="0"/>
          <w:kern w:val="0"/>
          <w:rtl/>
        </w:rPr>
        <w:t xml:space="preserve">عندما </w:t>
      </w:r>
      <w:r w:rsidRPr="00AA537D">
        <w:rPr>
          <w:spacing w:val="0"/>
          <w:kern w:val="0"/>
          <w:rtl/>
        </w:rPr>
        <w:t xml:space="preserve">علم صاحب الشكوى </w:t>
      </w:r>
      <w:r w:rsidRPr="00AA537D">
        <w:rPr>
          <w:rFonts w:hint="cs"/>
          <w:spacing w:val="0"/>
          <w:kern w:val="0"/>
          <w:rtl/>
        </w:rPr>
        <w:t xml:space="preserve">بهذا السلوك الإجرامي </w:t>
      </w:r>
      <w:r w:rsidRPr="00AA537D">
        <w:rPr>
          <w:spacing w:val="0"/>
          <w:kern w:val="0"/>
          <w:rtl/>
        </w:rPr>
        <w:t xml:space="preserve">أبلغ شركاءه </w:t>
      </w:r>
      <w:r w:rsidRPr="00AA537D">
        <w:rPr>
          <w:rFonts w:hint="cs"/>
          <w:spacing w:val="0"/>
          <w:kern w:val="0"/>
          <w:rtl/>
        </w:rPr>
        <w:t>بالأمر ف</w:t>
      </w:r>
      <w:r w:rsidRPr="00AA537D">
        <w:rPr>
          <w:spacing w:val="0"/>
          <w:kern w:val="0"/>
          <w:rtl/>
        </w:rPr>
        <w:t xml:space="preserve">أبلغوا بدورهم السلطات بهذه الوقائع، غير أن شكاواهم رُفضت أو </w:t>
      </w:r>
      <w:r w:rsidRPr="00AA537D">
        <w:rPr>
          <w:rFonts w:hint="cs"/>
          <w:spacing w:val="0"/>
          <w:kern w:val="0"/>
          <w:rtl/>
        </w:rPr>
        <w:t>لم يُحقق فيها</w:t>
      </w:r>
      <w:r w:rsidRPr="00AA537D">
        <w:rPr>
          <w:spacing w:val="0"/>
          <w:kern w:val="0"/>
          <w:rtl/>
        </w:rPr>
        <w:t xml:space="preserve">. وفي كانون الأول/ديسمبر 2004 قُبض على شريك صاحب الشكوى، السيد هاباروف، بتهم تبين بعد ذلك أنها لا أساس لها. وادُعي أن السيد هاباروف انتحر في السجن. </w:t>
      </w:r>
    </w:p>
    <w:p w:rsidR="00FA6676" w:rsidRPr="00E27835" w:rsidRDefault="00FA6676" w:rsidP="00E27835">
      <w:pPr>
        <w:pStyle w:val="SingleTxtGA"/>
        <w:jc w:val="lowKashida"/>
        <w:rPr>
          <w:spacing w:val="-2"/>
          <w:kern w:val="0"/>
          <w:rtl/>
        </w:rPr>
      </w:pPr>
      <w:r w:rsidRPr="00E27835">
        <w:rPr>
          <w:spacing w:val="-2"/>
          <w:kern w:val="0"/>
          <w:rtl/>
        </w:rPr>
        <w:t>2-2</w:t>
      </w:r>
      <w:r w:rsidRPr="00E27835">
        <w:rPr>
          <w:spacing w:val="-2"/>
          <w:kern w:val="0"/>
          <w:rtl/>
        </w:rPr>
        <w:tab/>
        <w:t xml:space="preserve">وفي كانون الثاني/يناير 2005 انتقل صاحب الشكوى إلى سانت بيترسبرغ خوفاً من التعرض لخطر جسيم إذا علمت </w:t>
      </w:r>
      <w:r w:rsidRPr="00E27835">
        <w:rPr>
          <w:rFonts w:hint="cs"/>
          <w:spacing w:val="-2"/>
          <w:kern w:val="0"/>
          <w:rtl/>
        </w:rPr>
        <w:t xml:space="preserve">جماعة </w:t>
      </w:r>
      <w:r w:rsidRPr="00E27835">
        <w:rPr>
          <w:spacing w:val="-2"/>
          <w:kern w:val="0"/>
          <w:rtl/>
        </w:rPr>
        <w:t>الجريمة المنظمة بعلاقته بشركائه الثلاثة. وأسس صاحب الشكوى في سانت بيترسبرغ مدرسة تجارية وجمعية خيرية. وحافظ على اتصالاته</w:t>
      </w:r>
      <w:r w:rsidRPr="00E27835">
        <w:rPr>
          <w:rFonts w:hint="cs"/>
          <w:spacing w:val="-2"/>
          <w:kern w:val="0"/>
          <w:rtl/>
        </w:rPr>
        <w:t> </w:t>
      </w:r>
      <w:r w:rsidRPr="00E27835">
        <w:rPr>
          <w:spacing w:val="-2"/>
          <w:kern w:val="0"/>
          <w:rtl/>
        </w:rPr>
        <w:t xml:space="preserve">بالمصرف لأنه كان عليه أن </w:t>
      </w:r>
      <w:r w:rsidRPr="00E27835">
        <w:rPr>
          <w:rFonts w:hint="cs"/>
          <w:spacing w:val="-2"/>
          <w:kern w:val="0"/>
          <w:rtl/>
        </w:rPr>
        <w:t xml:space="preserve">يمارس الرقابة على تنفيذ </w:t>
      </w:r>
      <w:r w:rsidRPr="00E27835">
        <w:rPr>
          <w:spacing w:val="-2"/>
          <w:kern w:val="0"/>
          <w:rtl/>
        </w:rPr>
        <w:t>خيار الاكتتاب. وفي</w:t>
      </w:r>
      <w:r w:rsidR="00E27835" w:rsidRPr="00E27835">
        <w:rPr>
          <w:rFonts w:hint="cs"/>
          <w:spacing w:val="-2"/>
          <w:kern w:val="0"/>
          <w:rtl/>
        </w:rPr>
        <w:t> </w:t>
      </w:r>
      <w:r w:rsidRPr="00E27835">
        <w:rPr>
          <w:spacing w:val="-2"/>
          <w:kern w:val="0"/>
          <w:rtl/>
        </w:rPr>
        <w:t xml:space="preserve">نيسان/أبريل 2006 عاد صاحب الشكوى إلى يكاتيرنبرغ لمواصلة </w:t>
      </w:r>
      <w:r w:rsidRPr="00E27835">
        <w:rPr>
          <w:rFonts w:hint="cs"/>
          <w:spacing w:val="-2"/>
          <w:kern w:val="0"/>
          <w:rtl/>
        </w:rPr>
        <w:t xml:space="preserve">تحري </w:t>
      </w:r>
      <w:r w:rsidRPr="00E27835">
        <w:rPr>
          <w:spacing w:val="-2"/>
          <w:kern w:val="0"/>
          <w:rtl/>
        </w:rPr>
        <w:t xml:space="preserve">الصفقات المالية </w:t>
      </w:r>
      <w:r w:rsidRPr="00E27835">
        <w:rPr>
          <w:rFonts w:hint="cs"/>
          <w:spacing w:val="-2"/>
          <w:kern w:val="0"/>
          <w:rtl/>
        </w:rPr>
        <w:t>ل</w:t>
      </w:r>
      <w:r w:rsidRPr="00E27835">
        <w:rPr>
          <w:spacing w:val="-2"/>
          <w:kern w:val="0"/>
          <w:rtl/>
        </w:rPr>
        <w:t xml:space="preserve">لمصرف، واكتشف أن المصرف قد استحوذ على </w:t>
      </w:r>
      <w:r w:rsidRPr="00E27835">
        <w:rPr>
          <w:rFonts w:hint="cs"/>
          <w:spacing w:val="-2"/>
          <w:kern w:val="0"/>
          <w:rtl/>
        </w:rPr>
        <w:t>"</w:t>
      </w:r>
      <w:r w:rsidRPr="00E27835">
        <w:rPr>
          <w:spacing w:val="-2"/>
          <w:kern w:val="0"/>
          <w:rtl/>
        </w:rPr>
        <w:t>غلوبال غامين إكسبو</w:t>
      </w:r>
      <w:r w:rsidRPr="00E27835">
        <w:rPr>
          <w:rFonts w:hint="cs"/>
          <w:spacing w:val="-2"/>
          <w:kern w:val="0"/>
          <w:rtl/>
        </w:rPr>
        <w:t>"</w:t>
      </w:r>
      <w:r w:rsidRPr="00E27835">
        <w:rPr>
          <w:spacing w:val="-2"/>
          <w:kern w:val="0"/>
          <w:rtl/>
        </w:rPr>
        <w:t xml:space="preserve">، وهي شركة من المستثمرين الصغار والمتوسطين، وذلك لغرض جمع الأموال اللازمة لتمويل عمليات الاستحواذ غير المشروعة التي تقوم بها </w:t>
      </w:r>
      <w:r w:rsidRPr="00E27835">
        <w:rPr>
          <w:rFonts w:hint="cs"/>
          <w:spacing w:val="-2"/>
          <w:kern w:val="0"/>
          <w:rtl/>
        </w:rPr>
        <w:t xml:space="preserve">جماعة </w:t>
      </w:r>
      <w:r w:rsidRPr="00E27835">
        <w:rPr>
          <w:spacing w:val="-2"/>
          <w:kern w:val="0"/>
          <w:rtl/>
        </w:rPr>
        <w:t xml:space="preserve">الجريمة المنظمة المحلية. وحاول صاحب الشكوى أن يحد ببطء من تدفق استثمارات المصرف من أجل منع توجيه الأموال إلى الأنشطة الإجرامية؛ غير أن موظفي المصرف المتواطئين مع </w:t>
      </w:r>
      <w:r w:rsidRPr="00E27835">
        <w:rPr>
          <w:rFonts w:hint="cs"/>
          <w:spacing w:val="-2"/>
          <w:kern w:val="0"/>
          <w:rtl/>
        </w:rPr>
        <w:t xml:space="preserve">جماعة </w:t>
      </w:r>
      <w:r w:rsidRPr="00E27835">
        <w:rPr>
          <w:spacing w:val="-2"/>
          <w:kern w:val="0"/>
          <w:rtl/>
        </w:rPr>
        <w:t>الجريمة المنظمة واصلوا أنشطتهم في تحويل الأموال من المستثمرين الصغار والمتوسطين. وأبلغ صاحب الشكوى شريكه السيد فاراسكين بذلك، فقرر أن يحيل الوقائع إلى القضاء وأن يبين بوضوح علاقته ال</w:t>
      </w:r>
      <w:r w:rsidRPr="00E27835">
        <w:rPr>
          <w:rFonts w:hint="cs"/>
          <w:spacing w:val="-2"/>
          <w:kern w:val="0"/>
          <w:rtl/>
        </w:rPr>
        <w:t xml:space="preserve">حقيقية </w:t>
      </w:r>
      <w:r w:rsidRPr="00E27835">
        <w:rPr>
          <w:spacing w:val="-2"/>
          <w:kern w:val="0"/>
          <w:rtl/>
        </w:rPr>
        <w:t xml:space="preserve">بصاحب الشكوى. وبعد بضعة أسابيع تلقى صاحب الشكوى إنذاراً من موظف كبير في المصرف بأن </w:t>
      </w:r>
      <w:r w:rsidRPr="00E27835">
        <w:rPr>
          <w:rFonts w:hint="cs"/>
          <w:spacing w:val="-2"/>
          <w:kern w:val="0"/>
          <w:rtl/>
        </w:rPr>
        <w:t xml:space="preserve">جماعة </w:t>
      </w:r>
      <w:r w:rsidRPr="00E27835">
        <w:rPr>
          <w:spacing w:val="-2"/>
          <w:kern w:val="0"/>
          <w:rtl/>
        </w:rPr>
        <w:t>الجريمة المنظمة تخطط لقتله هو وشريكه السيد فاراسكين. وقرر صاحب الشكوى عرض الوقائع على السلطات القضائية في يكاتيرن</w:t>
      </w:r>
      <w:r w:rsidR="00F85F7C">
        <w:rPr>
          <w:spacing w:val="-2"/>
          <w:kern w:val="0"/>
          <w:rtl/>
        </w:rPr>
        <w:t>برغ</w:t>
      </w:r>
      <w:r w:rsidRPr="00E27835">
        <w:rPr>
          <w:spacing w:val="-2"/>
          <w:kern w:val="0"/>
          <w:rtl/>
        </w:rPr>
        <w:t xml:space="preserve">، وأعد موقعاً شبكياً على الإنترنت يتضمن وصفاً للوقائع والوثائق. </w:t>
      </w:r>
    </w:p>
    <w:p w:rsidR="00FA6676" w:rsidRPr="00AA537D" w:rsidRDefault="00FA6676" w:rsidP="00AA537D">
      <w:pPr>
        <w:pStyle w:val="SingleTxtGA"/>
        <w:jc w:val="lowKashida"/>
        <w:rPr>
          <w:spacing w:val="0"/>
          <w:kern w:val="0"/>
          <w:rtl/>
        </w:rPr>
      </w:pPr>
      <w:r w:rsidRPr="00E27835">
        <w:rPr>
          <w:spacing w:val="0"/>
          <w:kern w:val="0"/>
          <w:sz w:val="20"/>
          <w:rtl/>
        </w:rPr>
        <w:t>2-3</w:t>
      </w:r>
      <w:r w:rsidRPr="00E27835">
        <w:rPr>
          <w:spacing w:val="0"/>
          <w:kern w:val="0"/>
          <w:sz w:val="20"/>
          <w:rtl/>
        </w:rPr>
        <w:tab/>
        <w:t xml:space="preserve">وفي 7 تموز/يوليه 2006 دخل صاحب الشكوى إيطاليا بتأشيرة دخول عادية. وأثناء ذلك </w:t>
      </w:r>
      <w:r w:rsidRPr="00E27835">
        <w:rPr>
          <w:rFonts w:hint="cs"/>
          <w:spacing w:val="0"/>
          <w:kern w:val="0"/>
          <w:sz w:val="20"/>
          <w:rtl/>
        </w:rPr>
        <w:t xml:space="preserve">أُوقفت </w:t>
      </w:r>
      <w:r w:rsidRPr="00E27835">
        <w:rPr>
          <w:spacing w:val="0"/>
          <w:kern w:val="0"/>
          <w:sz w:val="20"/>
          <w:rtl/>
        </w:rPr>
        <w:t xml:space="preserve">إجراءات شكواه الجنائية. وفي 12 آب/أغسطس 2006، تم في غيابه </w:t>
      </w:r>
      <w:r w:rsidRPr="00171FB4">
        <w:rPr>
          <w:spacing w:val="-2"/>
          <w:kern w:val="0"/>
          <w:sz w:val="20"/>
          <w:rtl/>
        </w:rPr>
        <w:t>ودون موافقته أو توقيعه تحويل أسهمه في مص</w:t>
      </w:r>
      <w:r w:rsidR="00171FB4" w:rsidRPr="00171FB4">
        <w:rPr>
          <w:rFonts w:hint="cs"/>
          <w:spacing w:val="-2"/>
          <w:kern w:val="0"/>
          <w:sz w:val="20"/>
          <w:rtl/>
        </w:rPr>
        <w:t>ـ</w:t>
      </w:r>
      <w:r w:rsidRPr="00171FB4">
        <w:rPr>
          <w:spacing w:val="-2"/>
          <w:kern w:val="0"/>
          <w:sz w:val="20"/>
          <w:rtl/>
        </w:rPr>
        <w:t xml:space="preserve">رف </w:t>
      </w:r>
      <w:r w:rsidRPr="00171FB4">
        <w:rPr>
          <w:spacing w:val="-2"/>
          <w:kern w:val="0"/>
          <w:sz w:val="20"/>
        </w:rPr>
        <w:t>Bank24. Ru</w:t>
      </w:r>
      <w:r w:rsidRPr="00171FB4">
        <w:rPr>
          <w:spacing w:val="-2"/>
          <w:kern w:val="0"/>
          <w:sz w:val="20"/>
          <w:rtl/>
        </w:rPr>
        <w:t xml:space="preserve"> إلى مشترٍ مجهول</w:t>
      </w:r>
      <w:r w:rsidRPr="00171FB4">
        <w:rPr>
          <w:spacing w:val="-2"/>
          <w:kern w:val="0"/>
          <w:sz w:val="20"/>
          <w:vertAlign w:val="superscript"/>
          <w:rtl/>
        </w:rPr>
        <w:t>(</w:t>
      </w:r>
      <w:r w:rsidRPr="00171FB4">
        <w:rPr>
          <w:rStyle w:val="FootnoteReference"/>
          <w:spacing w:val="-2"/>
          <w:sz w:val="20"/>
          <w:rtl/>
        </w:rPr>
        <w:footnoteReference w:id="359"/>
      </w:r>
      <w:r w:rsidRPr="00171FB4">
        <w:rPr>
          <w:spacing w:val="-2"/>
          <w:kern w:val="0"/>
          <w:sz w:val="20"/>
          <w:vertAlign w:val="superscript"/>
          <w:rtl/>
        </w:rPr>
        <w:t>)</w:t>
      </w:r>
      <w:r w:rsidRPr="00171FB4">
        <w:rPr>
          <w:spacing w:val="-2"/>
          <w:kern w:val="0"/>
          <w:sz w:val="20"/>
          <w:rtl/>
        </w:rPr>
        <w:t xml:space="preserve">. وفي 23 </w:t>
      </w:r>
      <w:r w:rsidRPr="00E27835">
        <w:rPr>
          <w:spacing w:val="0"/>
          <w:kern w:val="0"/>
          <w:sz w:val="20"/>
          <w:rtl/>
        </w:rPr>
        <w:t>آب/أغسطس 2006 قام شخص بتزوير البيانات المتعلقة بأسهم شركة غلوبال غامين إكسبو وسجّل اسم صاحب الشكوى بوصفه يمتلك 100 في المائة من الأسهم وبوصفه المدير الوحيد المسؤول. وبعد ذلك، أبلغ الموظفون التنفيذيون في المصرف الشرطة بأن صاحب الشكوى اختلس أموال العملاء من حساباتهم الشخصية في شركة غلوبال غامين إكسبو</w:t>
      </w:r>
      <w:r w:rsidRPr="00E27835">
        <w:rPr>
          <w:spacing w:val="0"/>
          <w:kern w:val="0"/>
          <w:sz w:val="20"/>
          <w:vertAlign w:val="superscript"/>
          <w:rtl/>
        </w:rPr>
        <w:t>(</w:t>
      </w:r>
      <w:r w:rsidRPr="00E27835">
        <w:rPr>
          <w:rStyle w:val="FootnoteReference"/>
          <w:spacing w:val="0"/>
          <w:sz w:val="20"/>
          <w:rtl/>
        </w:rPr>
        <w:footnoteReference w:id="360"/>
      </w:r>
      <w:r w:rsidRPr="00E27835">
        <w:rPr>
          <w:spacing w:val="0"/>
          <w:kern w:val="0"/>
          <w:sz w:val="20"/>
          <w:vertAlign w:val="superscript"/>
          <w:rtl/>
        </w:rPr>
        <w:t>)</w:t>
      </w:r>
      <w:r w:rsidRPr="00E27835">
        <w:rPr>
          <w:rFonts w:hint="cs"/>
          <w:spacing w:val="0"/>
          <w:kern w:val="0"/>
          <w:sz w:val="20"/>
          <w:rtl/>
        </w:rPr>
        <w:t xml:space="preserve">. </w:t>
      </w:r>
      <w:r w:rsidRPr="00E27835">
        <w:rPr>
          <w:spacing w:val="0"/>
          <w:kern w:val="0"/>
          <w:sz w:val="20"/>
          <w:rtl/>
        </w:rPr>
        <w:t xml:space="preserve">وفتحت الشرطة تحقيقاً في هذا الأمر، وطلبت إصدار أمر دولي </w:t>
      </w:r>
      <w:r w:rsidRPr="00E27835">
        <w:rPr>
          <w:rFonts w:hint="cs"/>
          <w:spacing w:val="0"/>
          <w:kern w:val="0"/>
          <w:sz w:val="20"/>
          <w:rtl/>
        </w:rPr>
        <w:t>با</w:t>
      </w:r>
      <w:r w:rsidRPr="00E27835">
        <w:rPr>
          <w:spacing w:val="0"/>
          <w:kern w:val="0"/>
          <w:sz w:val="20"/>
          <w:rtl/>
        </w:rPr>
        <w:t>لقبض على</w:t>
      </w:r>
      <w:r w:rsidRPr="00AA537D">
        <w:rPr>
          <w:spacing w:val="0"/>
          <w:kern w:val="0"/>
          <w:rtl/>
        </w:rPr>
        <w:t xml:space="preserve"> صاحب الشكوى بتهمة الاحتيال، ولكن ل</w:t>
      </w:r>
      <w:r w:rsidRPr="00AA537D">
        <w:rPr>
          <w:rFonts w:hint="cs"/>
          <w:spacing w:val="0"/>
          <w:kern w:val="0"/>
          <w:rtl/>
        </w:rPr>
        <w:t xml:space="preserve">م </w:t>
      </w:r>
      <w:r w:rsidRPr="00AA537D">
        <w:rPr>
          <w:spacing w:val="0"/>
          <w:kern w:val="0"/>
          <w:rtl/>
        </w:rPr>
        <w:t xml:space="preserve">تقدم أي </w:t>
      </w:r>
      <w:r w:rsidRPr="00AA537D">
        <w:rPr>
          <w:rFonts w:hint="cs"/>
          <w:spacing w:val="0"/>
          <w:kern w:val="0"/>
          <w:rtl/>
        </w:rPr>
        <w:t xml:space="preserve">معلومات </w:t>
      </w:r>
      <w:r w:rsidRPr="00AA537D">
        <w:rPr>
          <w:spacing w:val="0"/>
          <w:kern w:val="0"/>
          <w:rtl/>
        </w:rPr>
        <w:t xml:space="preserve">أو وثائق محددة تؤيد هذه التهمة، مثل الحسابات الشخصية لصاحب الشكوى التي حوّل إليها أموال عملاء شركة غلوبال غامين إكسبو أو وقت وأساليب العمليات التي أجراها لحسابات العملاء. </w:t>
      </w:r>
    </w:p>
    <w:p w:rsidR="00FA6676" w:rsidRPr="00AA537D" w:rsidRDefault="00FA6676" w:rsidP="00AA537D">
      <w:pPr>
        <w:pStyle w:val="SingleTxtGA"/>
        <w:jc w:val="lowKashida"/>
        <w:rPr>
          <w:spacing w:val="0"/>
          <w:kern w:val="0"/>
          <w:rtl/>
        </w:rPr>
      </w:pPr>
      <w:r w:rsidRPr="00AA537D">
        <w:rPr>
          <w:spacing w:val="0"/>
          <w:kern w:val="0"/>
          <w:rtl/>
        </w:rPr>
        <w:t>2-4</w:t>
      </w:r>
      <w:r w:rsidRPr="00AA537D">
        <w:rPr>
          <w:spacing w:val="0"/>
          <w:kern w:val="0"/>
          <w:rtl/>
        </w:rPr>
        <w:tab/>
        <w:t xml:space="preserve">وفي تموز/يوليه 2007 اختفى السيد فاراسكين، الشريك التجاري لصاحب الشكوى، بعد دخوله مرافق السجن في يكاتيرنبرغ للإدلاء بشهادته أمام سلطات التحقيق. وفي آب/أغسطس 2008 نجا السيد شاتوف، الشريك التجاري لصاحب الشكوى، من حادث سيارة ملغومة، ولكنه قُتل بعد ذلك بإطلاق النار عليه في أيلول/سبتمبر 2008. </w:t>
      </w:r>
    </w:p>
    <w:p w:rsidR="00FA6676" w:rsidRPr="00E27835" w:rsidRDefault="00FA6676" w:rsidP="00466B80">
      <w:pPr>
        <w:pStyle w:val="SingleTxtGA"/>
        <w:spacing w:line="370" w:lineRule="exact"/>
        <w:jc w:val="lowKashida"/>
        <w:rPr>
          <w:spacing w:val="-2"/>
          <w:kern w:val="0"/>
          <w:rtl/>
        </w:rPr>
      </w:pPr>
      <w:r w:rsidRPr="00AA537D">
        <w:rPr>
          <w:spacing w:val="0"/>
          <w:kern w:val="0"/>
          <w:rtl/>
        </w:rPr>
        <w:t>2-5</w:t>
      </w:r>
      <w:r w:rsidRPr="00AA537D">
        <w:rPr>
          <w:spacing w:val="0"/>
          <w:kern w:val="0"/>
          <w:rtl/>
        </w:rPr>
        <w:tab/>
        <w:t>وفي 4 حزيران/يونيه 2008 أُلقي القبض على صاحب الشكوى في إيطاليا تنفيذاً للأمر الدولي الصادر في 27 شباط/فبراير 2007 بالقبض عليه بتهمتي اختلاس أموال أكثر من 600 شخص واختلاس مبلغ يصل مجموعه إلى 200 مليون روبل. غير أن صاحب الشكوى اتُهم فقط، بموجب أمر منفصل مؤرخ 2 شباط/فبراير 2007 بإحالته إلى المحاكمة،</w:t>
      </w:r>
      <w:r w:rsidRPr="00AA537D">
        <w:rPr>
          <w:rFonts w:hint="cs"/>
          <w:spacing w:val="0"/>
          <w:kern w:val="0"/>
          <w:rtl/>
        </w:rPr>
        <w:t> </w:t>
      </w:r>
      <w:r w:rsidRPr="00AA537D">
        <w:rPr>
          <w:spacing w:val="0"/>
          <w:kern w:val="0"/>
          <w:rtl/>
        </w:rPr>
        <w:t>باختلاس أموال</w:t>
      </w:r>
      <w:r w:rsidRPr="00AA537D">
        <w:rPr>
          <w:rFonts w:hint="cs"/>
          <w:spacing w:val="0"/>
          <w:kern w:val="0"/>
          <w:sz w:val="30"/>
          <w:rtl/>
        </w:rPr>
        <w:t xml:space="preserve"> ‍</w:t>
      </w:r>
      <w:r w:rsidRPr="00AA537D">
        <w:rPr>
          <w:spacing w:val="0"/>
          <w:kern w:val="0"/>
          <w:rtl/>
        </w:rPr>
        <w:t>10</w:t>
      </w:r>
      <w:r w:rsidRPr="00AA537D">
        <w:rPr>
          <w:rFonts w:hint="cs"/>
          <w:spacing w:val="0"/>
          <w:kern w:val="0"/>
          <w:rtl/>
        </w:rPr>
        <w:t xml:space="preserve">0 </w:t>
      </w:r>
      <w:r w:rsidRPr="00AA537D">
        <w:rPr>
          <w:spacing w:val="0"/>
          <w:kern w:val="0"/>
          <w:rtl/>
        </w:rPr>
        <w:t>شخص يصل مجموعها إلى 70 مليون روبل. وفي 6 حزيران/يونيه 2008 أصدرت محكمة استئناف فلورنس أمراً باحتجاز صاحب الشكوى احتجازاً مؤقتاً. وفي 8 حزيران/يونيه 2008 أُفرج عنه ولكنه وُضع قيد الإقامة الجبرية. وفي</w:t>
      </w:r>
      <w:r w:rsidRPr="00AA537D">
        <w:rPr>
          <w:rFonts w:hint="cs"/>
          <w:spacing w:val="0"/>
          <w:kern w:val="0"/>
          <w:rtl/>
        </w:rPr>
        <w:t> </w:t>
      </w:r>
      <w:r w:rsidRPr="00AA537D">
        <w:rPr>
          <w:spacing w:val="0"/>
          <w:kern w:val="0"/>
          <w:rtl/>
        </w:rPr>
        <w:t xml:space="preserve">5 تشرين الثاني/نوفمبر 2008 و23 كانون الثاني/يناير 2009 طلبت محكمة استئناف فلورنس من السلطات الروسية مزيداً من المعلومات عن العدد الدقيق لتهم الاحتيال وأدلة ثبوتها، </w:t>
      </w:r>
      <w:r w:rsidRPr="00AA537D">
        <w:rPr>
          <w:rFonts w:hint="cs"/>
          <w:spacing w:val="0"/>
          <w:kern w:val="0"/>
          <w:rtl/>
        </w:rPr>
        <w:t>و</w:t>
      </w:r>
      <w:r w:rsidRPr="00AA537D">
        <w:rPr>
          <w:spacing w:val="0"/>
          <w:kern w:val="0"/>
          <w:rtl/>
        </w:rPr>
        <w:t>عن سلوك صاحب الشكوى فيما يتعلق بقدرته على التصرف في أموال العملاء. وفي</w:t>
      </w:r>
      <w:r w:rsidRPr="00AA537D">
        <w:rPr>
          <w:rFonts w:hint="cs"/>
          <w:spacing w:val="0"/>
          <w:kern w:val="0"/>
          <w:rtl/>
        </w:rPr>
        <w:t> </w:t>
      </w:r>
      <w:r w:rsidRPr="00AA537D">
        <w:rPr>
          <w:spacing w:val="0"/>
          <w:kern w:val="0"/>
          <w:rtl/>
        </w:rPr>
        <w:t xml:space="preserve">24 نيسان/أبريل قررت محكمة استئناف فلورنس أن شروط تسليم صاحب الشكوى </w:t>
      </w:r>
      <w:r w:rsidRPr="00E27835">
        <w:rPr>
          <w:spacing w:val="-2"/>
          <w:kern w:val="0"/>
          <w:rtl/>
        </w:rPr>
        <w:t>لم</w:t>
      </w:r>
      <w:r w:rsidR="00E27835" w:rsidRPr="00E27835">
        <w:rPr>
          <w:rFonts w:hint="cs"/>
          <w:spacing w:val="-2"/>
          <w:kern w:val="0"/>
          <w:rtl/>
        </w:rPr>
        <w:t> </w:t>
      </w:r>
      <w:r w:rsidRPr="00E27835">
        <w:rPr>
          <w:spacing w:val="-2"/>
          <w:kern w:val="0"/>
          <w:rtl/>
        </w:rPr>
        <w:t xml:space="preserve">تُستوف، إذ لم يُشر أمر إلقاء القبض عليه ولا أمر إحالته إلى المحاكمة، بدقة كافية، إلى السلوك الإجرامي الذي يُدعى أنه ارتكبه. وألغت المحكمة جميع التدابير التقييدية المفروضة عليه. وفي 27 تشرين الأول/أكتوبر 2009 ألغت المحكمة العليا حكم محكمة استئناف فلورنس، </w:t>
      </w:r>
      <w:r w:rsidRPr="00E27835">
        <w:rPr>
          <w:rFonts w:hint="cs"/>
          <w:spacing w:val="-2"/>
          <w:kern w:val="0"/>
          <w:rtl/>
        </w:rPr>
        <w:t xml:space="preserve">ورأت </w:t>
      </w:r>
      <w:r w:rsidRPr="00E27835">
        <w:rPr>
          <w:spacing w:val="-2"/>
          <w:kern w:val="0"/>
          <w:rtl/>
        </w:rPr>
        <w:t xml:space="preserve">أن شروط تسليم صاحب الشكوى استوفيت وأمرت باحتجازه مؤقتاً لحين صدور قرار آخر من وزارة العدل. وقالت المحكمة العليا إن المعلومات المقدمة من السلطات الروسية كافية </w:t>
      </w:r>
      <w:r w:rsidRPr="00E27835">
        <w:rPr>
          <w:rFonts w:hint="cs"/>
          <w:spacing w:val="-2"/>
          <w:kern w:val="0"/>
          <w:rtl/>
        </w:rPr>
        <w:t xml:space="preserve">لإزالة التباين في المعلومات </w:t>
      </w:r>
      <w:r w:rsidRPr="00E27835">
        <w:rPr>
          <w:spacing w:val="-2"/>
          <w:kern w:val="0"/>
          <w:rtl/>
        </w:rPr>
        <w:t xml:space="preserve">المتعلقة بعدد التهم وطبيعتها. وكانت السلطات الروسية قد بينت أن الإجراءات الجنائية استندت إلى تهم الاحتيال </w:t>
      </w:r>
      <w:r w:rsidRPr="00E27835">
        <w:rPr>
          <w:rFonts w:hint="cs"/>
          <w:spacing w:val="-2"/>
          <w:kern w:val="0"/>
          <w:rtl/>
        </w:rPr>
        <w:t xml:space="preserve">لاختلاس </w:t>
      </w:r>
      <w:r w:rsidRPr="00E27835">
        <w:rPr>
          <w:spacing w:val="-2"/>
          <w:kern w:val="0"/>
          <w:rtl/>
        </w:rPr>
        <w:t xml:space="preserve">أموال 104 أشخاص، وأن سلطات التحقيق لم تؤكد بعد ضلوع صاحب الشكوى في اختلاس أموال أكثر من </w:t>
      </w:r>
      <w:r w:rsidRPr="00E27835">
        <w:rPr>
          <w:rFonts w:hint="cs"/>
          <w:spacing w:val="-2"/>
          <w:kern w:val="0"/>
          <w:rtl/>
        </w:rPr>
        <w:t>000 2</w:t>
      </w:r>
      <w:r w:rsidRPr="00E27835">
        <w:rPr>
          <w:spacing w:val="-2"/>
          <w:kern w:val="0"/>
          <w:rtl/>
        </w:rPr>
        <w:t xml:space="preserve"> شخص آخرين. ووجّه صاحب الشكوى رسالة إلى وزير العدل وضح فيها الأساس الذي قامت عليه الإجراءات الجنائية المتعلقة بالاحتيال المالي، وكذلك مبررات خوفه من التعرض للقتل أو</w:t>
      </w:r>
      <w:r w:rsidR="00E27835">
        <w:rPr>
          <w:rFonts w:hint="cs"/>
          <w:spacing w:val="-2"/>
          <w:kern w:val="0"/>
          <w:rtl/>
        </w:rPr>
        <w:t> </w:t>
      </w:r>
      <w:r w:rsidRPr="00E27835">
        <w:rPr>
          <w:spacing w:val="-2"/>
          <w:kern w:val="0"/>
          <w:rtl/>
        </w:rPr>
        <w:t>للتعذيب أو المعاملة القاسية أو اللاإنسانية أو المهينة إذا سُلم للاتحاد الروسي.</w:t>
      </w:r>
    </w:p>
    <w:p w:rsidR="00FA6676" w:rsidRPr="00E27835" w:rsidRDefault="00FA6676" w:rsidP="00466B80">
      <w:pPr>
        <w:pStyle w:val="SingleTxtGA"/>
        <w:spacing w:line="370" w:lineRule="exact"/>
        <w:jc w:val="lowKashida"/>
        <w:rPr>
          <w:spacing w:val="-2"/>
          <w:kern w:val="0"/>
          <w:rtl/>
        </w:rPr>
      </w:pPr>
      <w:r w:rsidRPr="00E27835">
        <w:rPr>
          <w:spacing w:val="-2"/>
          <w:kern w:val="0"/>
          <w:rtl/>
        </w:rPr>
        <w:t>2-6</w:t>
      </w:r>
      <w:r w:rsidRPr="00E27835">
        <w:rPr>
          <w:spacing w:val="-2"/>
          <w:kern w:val="0"/>
          <w:rtl/>
        </w:rPr>
        <w:tab/>
        <w:t>وفي 13 تشرين الأول/أكتوبر 2009، أي قبل 14 يوماً من صدور قرار المحكمة العليا، انتقل صاحب الشكوى إلى المغرب، وفي 16 كانون الثاني/يناير 2010 ألقي القبض عليه في طنجة واحتُجز لغرض تسليمه إلى الاتحاد الروسي. وفي 10 آذار/مارس 2010 أذن المجلس الأعلى للقضاء في المغرب بتسليم صاحب الشكوى، رغم عدم وجود أي اتفاق ثنائي أو</w:t>
      </w:r>
      <w:r w:rsidR="00E27835">
        <w:rPr>
          <w:rFonts w:hint="cs"/>
          <w:spacing w:val="-2"/>
          <w:kern w:val="0"/>
          <w:rtl/>
        </w:rPr>
        <w:t> </w:t>
      </w:r>
      <w:r w:rsidRPr="00E27835">
        <w:rPr>
          <w:spacing w:val="-2"/>
          <w:kern w:val="0"/>
          <w:rtl/>
        </w:rPr>
        <w:t xml:space="preserve">متعدد الأطراف في هذا الصدد. واحتُجز صاحب الشكوى </w:t>
      </w:r>
      <w:r w:rsidRPr="00E27835">
        <w:rPr>
          <w:rFonts w:hint="cs"/>
          <w:spacing w:val="-2"/>
          <w:kern w:val="0"/>
          <w:rtl/>
        </w:rPr>
        <w:t>في انتظار صدور</w:t>
      </w:r>
      <w:r w:rsidRPr="00E27835">
        <w:rPr>
          <w:spacing w:val="-2"/>
          <w:kern w:val="0"/>
          <w:rtl/>
        </w:rPr>
        <w:t xml:space="preserve"> قرار نهائي </w:t>
      </w:r>
      <w:r w:rsidRPr="00E27835">
        <w:rPr>
          <w:rFonts w:hint="cs"/>
          <w:spacing w:val="-2"/>
          <w:kern w:val="0"/>
          <w:rtl/>
        </w:rPr>
        <w:t xml:space="preserve">من </w:t>
      </w:r>
      <w:r w:rsidRPr="00E27835">
        <w:rPr>
          <w:spacing w:val="-2"/>
          <w:kern w:val="0"/>
          <w:rtl/>
        </w:rPr>
        <w:t xml:space="preserve">وزير العدل، وهو القرار الذي لا يوجد أي سبيل فعال للطعن فيه. وكان صاحب الشكوى يخشى أيضاً من عدم إخطاره في الوقت المناسب بقرار وزير العدل. وذكرت المعلومات الإعلامية أن الدولة الطرف </w:t>
      </w:r>
      <w:r w:rsidRPr="00E27835">
        <w:rPr>
          <w:rFonts w:hint="cs"/>
          <w:spacing w:val="-2"/>
          <w:kern w:val="0"/>
          <w:rtl/>
        </w:rPr>
        <w:t xml:space="preserve">ترغب في </w:t>
      </w:r>
      <w:r w:rsidRPr="00E27835">
        <w:rPr>
          <w:spacing w:val="-2"/>
          <w:kern w:val="0"/>
          <w:rtl/>
        </w:rPr>
        <w:t>تسليم صاحب الشكوى وأنها تعد إجراءات تسليمه.</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الشكوى</w:t>
      </w:r>
    </w:p>
    <w:p w:rsidR="00FA6676" w:rsidRPr="00AA537D" w:rsidRDefault="00FA6676" w:rsidP="00171FB4">
      <w:pPr>
        <w:pStyle w:val="SingleTxtGA"/>
        <w:jc w:val="lowKashida"/>
        <w:rPr>
          <w:spacing w:val="0"/>
          <w:kern w:val="0"/>
          <w:rtl/>
        </w:rPr>
      </w:pPr>
      <w:r w:rsidRPr="00AA537D">
        <w:rPr>
          <w:spacing w:val="0"/>
          <w:kern w:val="0"/>
          <w:rtl/>
        </w:rPr>
        <w:t>3-1</w:t>
      </w:r>
      <w:r w:rsidRPr="00AA537D">
        <w:rPr>
          <w:spacing w:val="0"/>
          <w:kern w:val="0"/>
          <w:rtl/>
        </w:rPr>
        <w:tab/>
        <w:t xml:space="preserve">يشير صاحب الشكوى إلى أنه سيواجه حال تسليمه إلى الاتحاد الروسي خطراً حقيقياً </w:t>
      </w:r>
      <w:r w:rsidRPr="00AA537D">
        <w:rPr>
          <w:rFonts w:hint="cs"/>
          <w:spacing w:val="0"/>
          <w:kern w:val="0"/>
          <w:rtl/>
        </w:rPr>
        <w:t>أن</w:t>
      </w:r>
      <w:r w:rsidRPr="00AA537D">
        <w:rPr>
          <w:spacing w:val="0"/>
          <w:kern w:val="0"/>
          <w:rtl/>
        </w:rPr>
        <w:t xml:space="preserve"> </w:t>
      </w:r>
      <w:r w:rsidRPr="00AA537D">
        <w:rPr>
          <w:rFonts w:hint="cs"/>
          <w:spacing w:val="0"/>
          <w:kern w:val="0"/>
          <w:rtl/>
        </w:rPr>
        <w:t>ي</w:t>
      </w:r>
      <w:r w:rsidRPr="00AA537D">
        <w:rPr>
          <w:spacing w:val="0"/>
          <w:kern w:val="0"/>
          <w:rtl/>
        </w:rPr>
        <w:t xml:space="preserve">تعرض للتعذيب، وهو ما يمثل انتهاكاً للمادة 3 من الاتفاقية. ويشير أيضاً إلى الملاحظات الختامية للجنة </w:t>
      </w:r>
      <w:r w:rsidRPr="00AA537D">
        <w:rPr>
          <w:rFonts w:hint="cs"/>
          <w:spacing w:val="0"/>
          <w:kern w:val="0"/>
          <w:rtl/>
        </w:rPr>
        <w:t xml:space="preserve">بشأن </w:t>
      </w:r>
      <w:r w:rsidRPr="00AA537D">
        <w:rPr>
          <w:spacing w:val="0"/>
          <w:kern w:val="0"/>
          <w:rtl/>
        </w:rPr>
        <w:t xml:space="preserve">التقرير الدوري الرابع للاتحاد الروسي، وهو التقرير الذي يتضمن ادعاءات كثيرة ومستمرة ومتسقة بارتكاب أفعال تعذيب من جانب موظفي إنفاذ القانون، بما في ذلك أثناء الاحتجاز لدى الشرطة، بالإضافة إلى معلومات بشأن افتقار النيابة العامة إلى درجة كافية من الاستقلالية، لا سيما بسبب المشاكل الناجمة عن مسؤوليتها </w:t>
      </w:r>
      <w:r w:rsidRPr="00E27835">
        <w:rPr>
          <w:spacing w:val="0"/>
          <w:kern w:val="0"/>
          <w:sz w:val="20"/>
          <w:rtl/>
        </w:rPr>
        <w:t>المزدوجة عن رفع الدعاوى وعن الإشراف على سير التحقيقات (</w:t>
      </w:r>
      <w:r w:rsidRPr="00E27835">
        <w:rPr>
          <w:spacing w:val="0"/>
          <w:kern w:val="0"/>
          <w:sz w:val="20"/>
        </w:rPr>
        <w:t>CAT/C/RUS/CO/4</w:t>
      </w:r>
      <w:r w:rsidRPr="00E27835">
        <w:rPr>
          <w:spacing w:val="0"/>
          <w:kern w:val="0"/>
          <w:sz w:val="20"/>
          <w:rtl/>
        </w:rPr>
        <w:t>،</w:t>
      </w:r>
      <w:r w:rsidRPr="00AA537D">
        <w:rPr>
          <w:spacing w:val="0"/>
          <w:kern w:val="0"/>
          <w:rtl/>
        </w:rPr>
        <w:t xml:space="preserve"> الفقرتان 9 و12). وفي عام 2003، أشارت ا</w:t>
      </w:r>
      <w:r w:rsidRPr="00AA537D">
        <w:rPr>
          <w:rFonts w:hint="cs"/>
          <w:spacing w:val="0"/>
          <w:kern w:val="0"/>
          <w:rtl/>
        </w:rPr>
        <w:t>ل</w:t>
      </w:r>
      <w:r w:rsidRPr="00AA537D">
        <w:rPr>
          <w:spacing w:val="0"/>
          <w:kern w:val="0"/>
          <w:rtl/>
        </w:rPr>
        <w:t>لجنة الأوروبية لمكافحة التعذيب إلى تلقيها عدداً مقلقاً من ادعاءات التعرض لإساءة المعاملة البدنية من جانب أفراد الشرطة. كما لاحظت اللجنة أن ضباط التحقيق على علم تام بإساءة المعاملة ولكنهم يغ</w:t>
      </w:r>
      <w:r w:rsidRPr="00AA537D">
        <w:rPr>
          <w:rFonts w:hint="cs"/>
          <w:spacing w:val="0"/>
          <w:kern w:val="0"/>
          <w:rtl/>
        </w:rPr>
        <w:t>ضّ</w:t>
      </w:r>
      <w:r w:rsidRPr="00AA537D">
        <w:rPr>
          <w:spacing w:val="0"/>
          <w:kern w:val="0"/>
          <w:rtl/>
        </w:rPr>
        <w:t>ون الط</w:t>
      </w:r>
      <w:r w:rsidRPr="00AA537D">
        <w:rPr>
          <w:rFonts w:hint="cs"/>
          <w:spacing w:val="0"/>
          <w:kern w:val="0"/>
          <w:rtl/>
        </w:rPr>
        <w:t>رْ</w:t>
      </w:r>
      <w:r w:rsidRPr="00AA537D">
        <w:rPr>
          <w:spacing w:val="0"/>
          <w:kern w:val="0"/>
          <w:rtl/>
        </w:rPr>
        <w:t>ف عنها. ويشير صاحب الشكوى إلى أنه، في ضوء الأسس المحددة التي تقوم عليها الإجراءات الجنائية التي يواجهها، لديه خوف مبرر من التعرض للتعذيب أو ربما القتل في السجن أو</w:t>
      </w:r>
      <w:r w:rsidR="00171FB4">
        <w:rPr>
          <w:rFonts w:hint="cs"/>
          <w:spacing w:val="0"/>
          <w:kern w:val="0"/>
          <w:rtl/>
        </w:rPr>
        <w:t> </w:t>
      </w:r>
      <w:r w:rsidRPr="00AA537D">
        <w:rPr>
          <w:spacing w:val="0"/>
          <w:kern w:val="0"/>
          <w:rtl/>
        </w:rPr>
        <w:t>خارجه بموافقة السلطات الروسية أو بسكوتها إذا سُلم إلى الاتحاد الروسي.</w:t>
      </w:r>
    </w:p>
    <w:p w:rsidR="00FA6676" w:rsidRPr="00AA537D" w:rsidRDefault="00FA6676" w:rsidP="00AA537D">
      <w:pPr>
        <w:pStyle w:val="SingleTxtGA"/>
        <w:jc w:val="lowKashida"/>
        <w:rPr>
          <w:spacing w:val="0"/>
          <w:kern w:val="0"/>
          <w:rtl/>
        </w:rPr>
      </w:pPr>
      <w:r w:rsidRPr="00AA537D">
        <w:rPr>
          <w:spacing w:val="0"/>
          <w:kern w:val="0"/>
          <w:rtl/>
        </w:rPr>
        <w:t>3-2</w:t>
      </w:r>
      <w:r w:rsidRPr="00AA537D">
        <w:rPr>
          <w:spacing w:val="0"/>
          <w:kern w:val="0"/>
          <w:rtl/>
        </w:rPr>
        <w:tab/>
        <w:t xml:space="preserve">ويشير صاحب الشكوى أيضاً إلى أن الخطر الشخصي الذي يتهدد حياته تدعمه أدلة، منها أن شركاءه التجاريين الثلاثة الذين أبلغوا السلطات القضائية عن المحاولات غير المشروعة من جانب </w:t>
      </w:r>
      <w:r w:rsidRPr="00AA537D">
        <w:rPr>
          <w:rFonts w:hint="cs"/>
          <w:spacing w:val="0"/>
          <w:kern w:val="0"/>
          <w:rtl/>
        </w:rPr>
        <w:t xml:space="preserve">جماعة </w:t>
      </w:r>
      <w:r w:rsidRPr="00AA537D">
        <w:rPr>
          <w:spacing w:val="0"/>
          <w:kern w:val="0"/>
          <w:rtl/>
        </w:rPr>
        <w:t xml:space="preserve">الجريمة المنظمة للاستحواذ على شركاتهم قد </w:t>
      </w:r>
      <w:r w:rsidRPr="00AA537D">
        <w:rPr>
          <w:rFonts w:hint="cs"/>
          <w:spacing w:val="0"/>
          <w:kern w:val="0"/>
          <w:rtl/>
        </w:rPr>
        <w:t xml:space="preserve">قُتلوا </w:t>
      </w:r>
      <w:r w:rsidRPr="00AA537D">
        <w:rPr>
          <w:spacing w:val="0"/>
          <w:kern w:val="0"/>
          <w:rtl/>
        </w:rPr>
        <w:t xml:space="preserve">أو </w:t>
      </w:r>
      <w:r w:rsidRPr="00AA537D">
        <w:rPr>
          <w:rFonts w:hint="cs"/>
          <w:spacing w:val="0"/>
          <w:kern w:val="0"/>
          <w:rtl/>
        </w:rPr>
        <w:t>اختفوا</w:t>
      </w:r>
      <w:r w:rsidRPr="00AA537D">
        <w:rPr>
          <w:spacing w:val="0"/>
          <w:kern w:val="0"/>
          <w:rtl/>
        </w:rPr>
        <w:t xml:space="preserve"> بعد فترة قصيرة من إبلاغهم السلطات القضائية بذلك.</w:t>
      </w:r>
    </w:p>
    <w:p w:rsidR="00FA6676" w:rsidRPr="00AA537D" w:rsidRDefault="00FA6676" w:rsidP="00AA537D">
      <w:pPr>
        <w:pStyle w:val="SingleTxtGA"/>
        <w:jc w:val="lowKashida"/>
        <w:rPr>
          <w:rFonts w:hint="cs"/>
          <w:spacing w:val="0"/>
          <w:kern w:val="0"/>
          <w:rtl/>
        </w:rPr>
      </w:pPr>
      <w:r w:rsidRPr="00AA537D">
        <w:rPr>
          <w:spacing w:val="0"/>
          <w:kern w:val="0"/>
          <w:rtl/>
        </w:rPr>
        <w:t>3-3</w:t>
      </w:r>
      <w:r w:rsidRPr="00AA537D">
        <w:rPr>
          <w:spacing w:val="0"/>
          <w:kern w:val="0"/>
          <w:rtl/>
        </w:rPr>
        <w:tab/>
        <w:t xml:space="preserve">ويؤكد صاحب الشكوى أيضاً أن </w:t>
      </w:r>
      <w:r w:rsidRPr="00AA537D">
        <w:rPr>
          <w:rFonts w:hint="cs"/>
          <w:spacing w:val="0"/>
          <w:kern w:val="0"/>
          <w:rtl/>
        </w:rPr>
        <w:t xml:space="preserve">خوفه </w:t>
      </w:r>
      <w:r w:rsidRPr="00AA537D">
        <w:rPr>
          <w:spacing w:val="0"/>
          <w:kern w:val="0"/>
          <w:rtl/>
        </w:rPr>
        <w:t xml:space="preserve">القائم على أدلة قوية قد حظي باعتراف ممثل مفوضية الأمم المتحدة لشؤون اللاجئين في الرباط، الذي ذكر أن صاحب الشكوى سيتعرض </w:t>
      </w:r>
      <w:r w:rsidRPr="00AA537D">
        <w:rPr>
          <w:rFonts w:hint="cs"/>
          <w:spacing w:val="0"/>
          <w:kern w:val="0"/>
          <w:rtl/>
        </w:rPr>
        <w:t xml:space="preserve">في </w:t>
      </w:r>
      <w:r w:rsidRPr="00AA537D">
        <w:rPr>
          <w:spacing w:val="0"/>
          <w:kern w:val="0"/>
          <w:rtl/>
        </w:rPr>
        <w:t>حال تسليمه إلى الاتحاد الروسي لخطر حقيقي يتمثل في التعذيب، بما ينتهك المادة 3 من الاتفاقية.</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ملاحظات الدولة الطرف بشأن مقبولية البلاغ</w:t>
      </w:r>
    </w:p>
    <w:p w:rsidR="00FA6676" w:rsidRPr="00E27835" w:rsidRDefault="00FA6676" w:rsidP="00466B80">
      <w:pPr>
        <w:pStyle w:val="SingleTxtGA"/>
        <w:spacing w:line="370" w:lineRule="exact"/>
        <w:jc w:val="lowKashida"/>
        <w:rPr>
          <w:spacing w:val="0"/>
          <w:kern w:val="0"/>
          <w:sz w:val="20"/>
          <w:rtl/>
        </w:rPr>
      </w:pPr>
      <w:r w:rsidRPr="00AA537D">
        <w:rPr>
          <w:spacing w:val="0"/>
          <w:kern w:val="0"/>
          <w:rtl/>
        </w:rPr>
        <w:t>4-1</w:t>
      </w:r>
      <w:r w:rsidRPr="00AA537D">
        <w:rPr>
          <w:spacing w:val="0"/>
          <w:kern w:val="0"/>
          <w:rtl/>
        </w:rPr>
        <w:tab/>
        <w:t xml:space="preserve">في 24 أيلول/سبتمبر 2010 قدمت الدولة الطرف ملاحظاتها بشأن المقبولية، </w:t>
      </w:r>
      <w:r w:rsidRPr="00AA537D">
        <w:rPr>
          <w:rFonts w:hint="cs"/>
          <w:spacing w:val="0"/>
          <w:kern w:val="0"/>
          <w:rtl/>
        </w:rPr>
        <w:t>و</w:t>
      </w:r>
      <w:r w:rsidRPr="00AA537D">
        <w:rPr>
          <w:spacing w:val="0"/>
          <w:kern w:val="0"/>
          <w:rtl/>
        </w:rPr>
        <w:t xml:space="preserve">أشارت فيها إلى أن صاحب الشكوى لم </w:t>
      </w:r>
      <w:r w:rsidRPr="00AA537D">
        <w:rPr>
          <w:rFonts w:hint="cs"/>
          <w:spacing w:val="0"/>
          <w:kern w:val="0"/>
          <w:rtl/>
        </w:rPr>
        <w:t>ي</w:t>
      </w:r>
      <w:r w:rsidRPr="00AA537D">
        <w:rPr>
          <w:spacing w:val="0"/>
          <w:kern w:val="0"/>
          <w:rtl/>
        </w:rPr>
        <w:t xml:space="preserve">ستنفد سبل الانتصاف المحلية. وبينت الدولة الطرف أن القانون رقم 90-41 المُحدِث للمحاكم الإدارية عملاً بالظهير الملكي رقم 225 المؤرخ 22 ربيع الأول 1414 هجرية (10 أيلول/سبتمبر 1993)، لا سيما المادة 9 منه، يخوِّل الغرفة الإدارية للمجلس الأعلى للقضاء اختصاص البت </w:t>
      </w:r>
      <w:r w:rsidRPr="00AA537D">
        <w:rPr>
          <w:rFonts w:hint="cs"/>
          <w:spacing w:val="0"/>
          <w:kern w:val="0"/>
          <w:rtl/>
        </w:rPr>
        <w:t xml:space="preserve">في القرارات الابتدائية والنهائية المتعلقة بطلبات إلغاء القرارات </w:t>
      </w:r>
      <w:r w:rsidRPr="00AA537D">
        <w:rPr>
          <w:spacing w:val="0"/>
          <w:kern w:val="0"/>
          <w:rtl/>
        </w:rPr>
        <w:t>التنظيمية والفردية الصادرة عن الوزير الأول</w:t>
      </w:r>
      <w:r w:rsidRPr="00AA537D">
        <w:rPr>
          <w:rFonts w:hint="cs"/>
          <w:spacing w:val="0"/>
          <w:kern w:val="0"/>
          <w:rtl/>
        </w:rPr>
        <w:t xml:space="preserve"> بحجة تجاوزه للسلطة</w:t>
      </w:r>
      <w:r w:rsidRPr="00AA537D">
        <w:rPr>
          <w:spacing w:val="0"/>
          <w:kern w:val="0"/>
          <w:rtl/>
        </w:rPr>
        <w:t xml:space="preserve">. وعملاً بالمادة 109 من النظام الداخلي للجنة مناهضة التعذيب </w:t>
      </w:r>
      <w:r w:rsidRPr="00E27835">
        <w:rPr>
          <w:spacing w:val="0"/>
          <w:kern w:val="0"/>
          <w:sz w:val="20"/>
          <w:rtl/>
        </w:rPr>
        <w:t>(</w:t>
      </w:r>
      <w:r w:rsidRPr="00E27835">
        <w:rPr>
          <w:spacing w:val="0"/>
          <w:kern w:val="0"/>
          <w:sz w:val="20"/>
        </w:rPr>
        <w:t>CAT/C/3/Rev.4</w:t>
      </w:r>
      <w:r w:rsidRPr="00E27835">
        <w:rPr>
          <w:spacing w:val="0"/>
          <w:kern w:val="0"/>
          <w:sz w:val="20"/>
          <w:rtl/>
        </w:rPr>
        <w:t>)، طلبت الدولة الطرف إعلان عدم مقبولية الشكوى.</w:t>
      </w:r>
    </w:p>
    <w:p w:rsidR="00FA6676" w:rsidRPr="00AA537D" w:rsidRDefault="00FA6676" w:rsidP="00466B80">
      <w:pPr>
        <w:pStyle w:val="SingleTxtGA"/>
        <w:spacing w:line="370" w:lineRule="exact"/>
        <w:jc w:val="lowKashida"/>
        <w:rPr>
          <w:spacing w:val="0"/>
          <w:kern w:val="0"/>
          <w:rtl/>
        </w:rPr>
      </w:pPr>
      <w:r w:rsidRPr="00AA537D">
        <w:rPr>
          <w:spacing w:val="0"/>
          <w:kern w:val="0"/>
          <w:rtl/>
        </w:rPr>
        <w:t>4-2</w:t>
      </w:r>
      <w:r w:rsidRPr="00AA537D">
        <w:rPr>
          <w:spacing w:val="0"/>
          <w:kern w:val="0"/>
          <w:rtl/>
        </w:rPr>
        <w:tab/>
        <w:t xml:space="preserve">وفي 17 كانون الثاني/يناير 2010، احتجزت السلطات المغربية صاحب الشكوى احتجازاً مؤقتاً بناءً على أمر دولي بالقبض عليه أصدرته السلطات القضائية الروسية لاتهامه باختلاس مبالغ مالية كبيرة عن طريق الخداع وخيانة الأمانة على نطاق واسع. ومَثَل صاحب الشكوى أمام وكيل الملك بمحكمة طنجة الابتدائية، حيث أفاده وكيل الملك بالتهمة التي احتُجز بموجبها. وقدمت السلطات الروسية طلباً رسمياً لتسليمه استناداً إلى مبدأ المعاملة بالمثل الذي يقضي، وفقاً للقانون المغربي، بجواز تسليم المجرمين </w:t>
      </w:r>
      <w:r w:rsidRPr="00AA537D">
        <w:rPr>
          <w:rFonts w:hint="cs"/>
          <w:spacing w:val="0"/>
          <w:kern w:val="0"/>
          <w:rtl/>
        </w:rPr>
        <w:t>وإن لم</w:t>
      </w:r>
      <w:r w:rsidRPr="00AA537D">
        <w:rPr>
          <w:spacing w:val="0"/>
          <w:kern w:val="0"/>
          <w:rtl/>
        </w:rPr>
        <w:t xml:space="preserve"> </w:t>
      </w:r>
      <w:r w:rsidRPr="00AA537D">
        <w:rPr>
          <w:rFonts w:hint="cs"/>
          <w:spacing w:val="0"/>
          <w:kern w:val="0"/>
          <w:rtl/>
        </w:rPr>
        <w:t>ي</w:t>
      </w:r>
      <w:r w:rsidRPr="00AA537D">
        <w:rPr>
          <w:spacing w:val="0"/>
          <w:kern w:val="0"/>
          <w:rtl/>
        </w:rPr>
        <w:t>وجد اتفاق.</w:t>
      </w:r>
    </w:p>
    <w:p w:rsidR="00FA6676" w:rsidRPr="00AA537D" w:rsidRDefault="00FA6676" w:rsidP="00AA537D">
      <w:pPr>
        <w:pStyle w:val="SingleTxtGA"/>
        <w:jc w:val="lowKashida"/>
        <w:rPr>
          <w:spacing w:val="0"/>
          <w:kern w:val="0"/>
          <w:rtl/>
        </w:rPr>
      </w:pPr>
      <w:r w:rsidRPr="00AA537D">
        <w:rPr>
          <w:spacing w:val="0"/>
          <w:kern w:val="0"/>
          <w:rtl/>
        </w:rPr>
        <w:t>4-3</w:t>
      </w:r>
      <w:r w:rsidRPr="00AA537D">
        <w:rPr>
          <w:spacing w:val="0"/>
          <w:kern w:val="0"/>
          <w:rtl/>
        </w:rPr>
        <w:tab/>
        <w:t>وقالت السلطات الروسية في طلب التسليم إن السيد كالينيتشنكو نشر بياناً كاذباً على الإنترنت زعم فيه أنه مفاوض ناجح في أسواق العملات الدولية وأنه يعمل منذ فترة في سوق العملات الأجنبية. وأ</w:t>
      </w:r>
      <w:r w:rsidRPr="00AA537D">
        <w:rPr>
          <w:rFonts w:hint="cs"/>
          <w:spacing w:val="0"/>
          <w:kern w:val="0"/>
          <w:rtl/>
        </w:rPr>
        <w:t xml:space="preserve">نه </w:t>
      </w:r>
      <w:r w:rsidRPr="00AA537D">
        <w:rPr>
          <w:spacing w:val="0"/>
          <w:kern w:val="0"/>
          <w:rtl/>
        </w:rPr>
        <w:t xml:space="preserve">اقترح على عدد غير محدد من الناس إدارة أموالهم وأنهم سيكسبون فائدة تزيد على 80 في المائة. وأرسل عدد من المستثمرين أموالهم إليه ولكنه اختلسها بالاحتيال والخداع وخيانة الأمانة. وقالت إن المبلغ </w:t>
      </w:r>
      <w:r w:rsidRPr="00AA537D">
        <w:rPr>
          <w:rFonts w:hint="cs"/>
          <w:spacing w:val="0"/>
          <w:kern w:val="0"/>
          <w:rtl/>
        </w:rPr>
        <w:t xml:space="preserve">الكلي </w:t>
      </w:r>
      <w:r w:rsidRPr="00AA537D">
        <w:rPr>
          <w:spacing w:val="0"/>
          <w:kern w:val="0"/>
          <w:rtl/>
        </w:rPr>
        <w:t>المختلس الذي دفعه إليه ضحايا هذه الأفعال يصل إلى نحو 700 مليون روبل روسي.</w:t>
      </w:r>
    </w:p>
    <w:p w:rsidR="00FA6676" w:rsidRPr="00AA537D" w:rsidRDefault="00FA6676" w:rsidP="00AA537D">
      <w:pPr>
        <w:pStyle w:val="SingleTxtGA"/>
        <w:jc w:val="lowKashida"/>
        <w:rPr>
          <w:spacing w:val="0"/>
          <w:kern w:val="0"/>
          <w:rtl/>
        </w:rPr>
      </w:pPr>
      <w:r w:rsidRPr="00AA537D">
        <w:rPr>
          <w:spacing w:val="0"/>
          <w:kern w:val="0"/>
          <w:rtl/>
        </w:rPr>
        <w:t>4-4</w:t>
      </w:r>
      <w:r w:rsidRPr="00AA537D">
        <w:rPr>
          <w:spacing w:val="0"/>
          <w:kern w:val="0"/>
          <w:rtl/>
        </w:rPr>
        <w:tab/>
        <w:t>وأُرفق بطلب التسليم تعهد</w:t>
      </w:r>
      <w:r w:rsidRPr="00AA537D">
        <w:rPr>
          <w:rFonts w:hint="cs"/>
          <w:spacing w:val="0"/>
          <w:kern w:val="0"/>
          <w:rtl/>
        </w:rPr>
        <w:t>ٌ</w:t>
      </w:r>
      <w:r w:rsidRPr="00AA537D">
        <w:rPr>
          <w:spacing w:val="0"/>
          <w:kern w:val="0"/>
          <w:rtl/>
        </w:rPr>
        <w:t xml:space="preserve"> من السلطات الروسية بضمان حقوق السيد كالينيتشنكو في الدفاع عن نفسه، بما في ذلك إمكانية الاستعانة بمحامين، أثناء وجوده على الأراضي الروسية وفقاً لمبادئ القانون الدولي. وتعهدت أيضاً بعدم تعريضه للتعذيب أو للمعاملة المهينة عملاً بالمادة 3 من الاتفاقية الأوروبية لحماية حقوق الإنسان والحريات الأساسية، واتفاقيات الأمم المتحدة ومجلس أوروبا وبروتوكولاتها ذات الصلة. </w:t>
      </w:r>
      <w:r w:rsidRPr="00AA537D">
        <w:rPr>
          <w:rFonts w:hint="cs"/>
          <w:spacing w:val="0"/>
          <w:kern w:val="0"/>
          <w:rtl/>
        </w:rPr>
        <w:t>و</w:t>
      </w:r>
      <w:r w:rsidRPr="00AA537D">
        <w:rPr>
          <w:spacing w:val="0"/>
          <w:kern w:val="0"/>
          <w:rtl/>
        </w:rPr>
        <w:t xml:space="preserve">علاوة على ذلك، تعهدت السلطات الروسية بتمكينه من مغادرة الاتحاد الروسي بمجرد الانتهاء من إجراءات البحث والتحقيق الأولية، أو بعد قضائه العقوبة </w:t>
      </w:r>
      <w:r w:rsidRPr="00AA537D">
        <w:rPr>
          <w:rFonts w:hint="cs"/>
          <w:spacing w:val="0"/>
          <w:kern w:val="0"/>
          <w:rtl/>
        </w:rPr>
        <w:t xml:space="preserve">في </w:t>
      </w:r>
      <w:r w:rsidRPr="00AA537D">
        <w:rPr>
          <w:spacing w:val="0"/>
          <w:kern w:val="0"/>
          <w:rtl/>
        </w:rPr>
        <w:t>حال إدانته.</w:t>
      </w:r>
    </w:p>
    <w:p w:rsidR="00FA6676" w:rsidRPr="00AA537D" w:rsidRDefault="00FA6676" w:rsidP="00AA537D">
      <w:pPr>
        <w:pStyle w:val="SingleTxtGA"/>
        <w:jc w:val="lowKashida"/>
        <w:rPr>
          <w:spacing w:val="0"/>
          <w:kern w:val="0"/>
          <w:rtl/>
        </w:rPr>
      </w:pPr>
      <w:r w:rsidRPr="00AA537D">
        <w:rPr>
          <w:spacing w:val="0"/>
          <w:kern w:val="0"/>
          <w:rtl/>
        </w:rPr>
        <w:t>4-5</w:t>
      </w:r>
      <w:r w:rsidRPr="00AA537D">
        <w:rPr>
          <w:spacing w:val="0"/>
          <w:kern w:val="0"/>
          <w:rtl/>
        </w:rPr>
        <w:tab/>
        <w:t>وبعد النظر في طلب التسليم وسماع دفاع محاميي السيد كالينيتشنكو، أصدرت الغرفة الجنائية للمجلس الأعلى للقضاء، في 10 آذار/مارس 2010، القرار رقم 26</w:t>
      </w:r>
      <w:r w:rsidRPr="00AA537D">
        <w:rPr>
          <w:rFonts w:hint="cs"/>
          <w:spacing w:val="0"/>
          <w:kern w:val="0"/>
          <w:rtl/>
        </w:rPr>
        <w:t>2</w:t>
      </w:r>
      <w:r w:rsidRPr="00AA537D">
        <w:rPr>
          <w:spacing w:val="0"/>
          <w:kern w:val="0"/>
          <w:rtl/>
        </w:rPr>
        <w:t>/1 بالموافقة على تسليمه. ولدى استكمال إجراءات التسليم القضائي</w:t>
      </w:r>
      <w:r w:rsidRPr="00AA537D">
        <w:rPr>
          <w:rFonts w:hint="cs"/>
          <w:spacing w:val="0"/>
          <w:kern w:val="0"/>
          <w:rtl/>
        </w:rPr>
        <w:t>ة</w:t>
      </w:r>
      <w:r w:rsidRPr="00AA537D">
        <w:rPr>
          <w:spacing w:val="0"/>
          <w:kern w:val="0"/>
          <w:rtl/>
        </w:rPr>
        <w:t xml:space="preserve"> يمكن لحكومة المغرب إصدار مرسوم بالإذن بتسليمه إلى السلطات الروسية.</w:t>
      </w:r>
    </w:p>
    <w:p w:rsidR="00FA6676" w:rsidRPr="00AA537D" w:rsidRDefault="00FA6676" w:rsidP="00AA537D">
      <w:pPr>
        <w:pStyle w:val="SingleTxtGA"/>
        <w:jc w:val="lowKashida"/>
        <w:rPr>
          <w:spacing w:val="0"/>
          <w:kern w:val="0"/>
          <w:rtl/>
        </w:rPr>
      </w:pPr>
      <w:r w:rsidRPr="00AA537D">
        <w:rPr>
          <w:spacing w:val="0"/>
          <w:kern w:val="0"/>
          <w:rtl/>
        </w:rPr>
        <w:t>4-6</w:t>
      </w:r>
      <w:r w:rsidRPr="00AA537D">
        <w:rPr>
          <w:spacing w:val="0"/>
          <w:kern w:val="0"/>
          <w:rtl/>
        </w:rPr>
        <w:tab/>
        <w:t xml:space="preserve">وتشير الدولة الطرف إلى أنه عندما مَثَل السيد كالينيتشنكو أمام وكيل الملك في محكمة طنجة الابتدائية وأمام الغرفة الجنائية للمجلس الأعلى للقضاء لم يُشر هو ولا دفاعه إلى احتمال تعرضه للتعذيب أو المعاملة القاسية أو اللاإنسانية إن سُلم إلى السلطات الروسية. وتشير </w:t>
      </w:r>
      <w:r w:rsidRPr="00AA537D">
        <w:rPr>
          <w:rFonts w:hint="cs"/>
          <w:spacing w:val="0"/>
          <w:kern w:val="0"/>
          <w:rtl/>
        </w:rPr>
        <w:t xml:space="preserve">الدولة الطرف </w:t>
      </w:r>
      <w:r w:rsidRPr="00AA537D">
        <w:rPr>
          <w:spacing w:val="0"/>
          <w:kern w:val="0"/>
          <w:rtl/>
        </w:rPr>
        <w:t>أيضاً إلى أن صاحب الشكوى مُنح جميع الضمانات القانونية والقضائية قبل صدور قرار ا</w:t>
      </w:r>
      <w:r w:rsidRPr="00AA537D">
        <w:rPr>
          <w:rFonts w:hint="cs"/>
          <w:spacing w:val="0"/>
          <w:kern w:val="0"/>
          <w:rtl/>
        </w:rPr>
        <w:t xml:space="preserve">لحكومة </w:t>
      </w:r>
      <w:r w:rsidRPr="00AA537D">
        <w:rPr>
          <w:spacing w:val="0"/>
          <w:kern w:val="0"/>
          <w:rtl/>
        </w:rPr>
        <w:t xml:space="preserve">بتسليمه. كما أن السلطات المغربية لم تجد أي دليل على أنه سيتعرض للتعذيب </w:t>
      </w:r>
      <w:r w:rsidRPr="00AA537D">
        <w:rPr>
          <w:rFonts w:hint="cs"/>
          <w:spacing w:val="0"/>
          <w:kern w:val="0"/>
          <w:rtl/>
        </w:rPr>
        <w:t xml:space="preserve">في حال </w:t>
      </w:r>
      <w:r w:rsidRPr="00AA537D">
        <w:rPr>
          <w:spacing w:val="0"/>
          <w:kern w:val="0"/>
          <w:rtl/>
        </w:rPr>
        <w:t>تسليمه. وقالت إن قرار تسليمه للسلطات في بلده اتُخذ في سياق احترام القانون والمبادئ الأساسية لحقوق الإنسان، وهي المبادئ التي ترتكز عليها الاتفاقات التي صدّق عليها المغرب، ومن ثم فإن السلطات المغربية غير مستعدة لقبول طعن صاحب الشكوى في قرار تسليمه للسلطات الروسية.</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تعليقات صاحب الشكوى بشأن عدم المقبولية</w:t>
      </w:r>
    </w:p>
    <w:p w:rsidR="00FA6676" w:rsidRPr="00AA537D" w:rsidRDefault="00FA6676" w:rsidP="00466B80">
      <w:pPr>
        <w:pStyle w:val="SingleTxtGA"/>
        <w:jc w:val="lowKashida"/>
        <w:rPr>
          <w:spacing w:val="0"/>
          <w:kern w:val="0"/>
          <w:rtl/>
        </w:rPr>
      </w:pPr>
      <w:r w:rsidRPr="00466B80">
        <w:rPr>
          <w:spacing w:val="-4"/>
          <w:kern w:val="0"/>
          <w:rtl/>
        </w:rPr>
        <w:t>5-1</w:t>
      </w:r>
      <w:r w:rsidRPr="00466B80">
        <w:rPr>
          <w:spacing w:val="-4"/>
          <w:kern w:val="0"/>
          <w:rtl/>
        </w:rPr>
        <w:tab/>
        <w:t>في 22 تشرين الثاني/نوفمبر 2010 قدم صاحب الشكوى تعليقاته على ملاحظات الدولة الطرف بشأن المقبولية. كما قدم مزيداً من المعلومات الوقائعية المتعلقة بقضيته. ويدعي صاحب الشكوى أنه اتُهم زوراً من السلطات الروسية بالنصب و</w:t>
      </w:r>
      <w:r w:rsidRPr="00466B80">
        <w:rPr>
          <w:rFonts w:hint="cs"/>
          <w:spacing w:val="-4"/>
          <w:kern w:val="0"/>
          <w:rtl/>
        </w:rPr>
        <w:t>با</w:t>
      </w:r>
      <w:r w:rsidRPr="00466B80">
        <w:rPr>
          <w:spacing w:val="-4"/>
          <w:kern w:val="0"/>
          <w:rtl/>
        </w:rPr>
        <w:t>ختلاس 200 مليون روبل (نحو 6</w:t>
      </w:r>
      <w:r w:rsidRPr="00466B80">
        <w:rPr>
          <w:rFonts w:hint="cs"/>
          <w:spacing w:val="-4"/>
          <w:kern w:val="0"/>
          <w:rtl/>
        </w:rPr>
        <w:t>.</w:t>
      </w:r>
      <w:r w:rsidRPr="00466B80">
        <w:rPr>
          <w:spacing w:val="-4"/>
          <w:kern w:val="0"/>
          <w:rtl/>
        </w:rPr>
        <w:t>5 مليون دولار أمريكي) عن طريق عمليات احتيال أضرت بنحو 600 مواطن</w:t>
      </w:r>
      <w:r w:rsidRPr="00AA537D">
        <w:rPr>
          <w:spacing w:val="0"/>
          <w:kern w:val="0"/>
          <w:rtl/>
        </w:rPr>
        <w:t xml:space="preserve"> روسي. ويوضح أنه عندما اطلع على المعلومات الداخلية للمصرف في مستهل عام 2006، اكتشف اختفاء بعض الأموال واستخدام هذه الأموال في الاستحواذ على الشركات المملوكة لشركائه التجاريين الثلاثة الذين تُوفوا. ويشير أيضاً إلى أنه في 7 تشرين الثاني/نوفمبر 2006 أصدرت وزارة الداخلية، لا المحكمة المختصة أو وزارة العدل، أمراً دولياً بالقبض عليه، وهو ما يخالف التشريعات الداخلية</w:t>
      </w:r>
      <w:r w:rsidRPr="00AA537D">
        <w:rPr>
          <w:rFonts w:hint="cs"/>
          <w:spacing w:val="0"/>
          <w:kern w:val="0"/>
          <w:rtl/>
        </w:rPr>
        <w:t>. وقدم صاحب الشكوى، رداً على الاتهامات الموجهة ضده، وثائق مختلفة توضح المؤامرة المفترضة المُحالة حول قضيته والطريقة التي تمت بها فبركة التهم</w:t>
      </w:r>
      <w:r w:rsidRPr="00AA537D">
        <w:rPr>
          <w:spacing w:val="0"/>
          <w:kern w:val="0"/>
          <w:rtl/>
        </w:rPr>
        <w:t xml:space="preserve">. ويحتج أيضاً بأن توقيعه مزور، نظراً إلى أن الوثائق التي أصبح بموجبها هو المدير العام لشركة غلوبال غامين إكسبو وُقعت باسمه في 16 آب/أغسطس 2006، </w:t>
      </w:r>
      <w:r w:rsidRPr="00AA537D">
        <w:rPr>
          <w:rFonts w:hint="cs"/>
          <w:spacing w:val="0"/>
          <w:kern w:val="0"/>
          <w:rtl/>
        </w:rPr>
        <w:t xml:space="preserve">في حين أنه </w:t>
      </w:r>
      <w:r w:rsidRPr="00AA537D">
        <w:rPr>
          <w:spacing w:val="0"/>
          <w:kern w:val="0"/>
          <w:rtl/>
        </w:rPr>
        <w:t xml:space="preserve">كان قد غادر البلد </w:t>
      </w:r>
      <w:r w:rsidRPr="00AA537D">
        <w:rPr>
          <w:rFonts w:hint="cs"/>
          <w:spacing w:val="0"/>
          <w:kern w:val="0"/>
          <w:rtl/>
        </w:rPr>
        <w:t>في</w:t>
      </w:r>
      <w:r w:rsidR="00466B80">
        <w:rPr>
          <w:rFonts w:hint="eastAsia"/>
          <w:spacing w:val="0"/>
          <w:kern w:val="0"/>
          <w:rtl/>
        </w:rPr>
        <w:t> </w:t>
      </w:r>
      <w:r w:rsidRPr="00AA537D">
        <w:rPr>
          <w:spacing w:val="0"/>
          <w:kern w:val="0"/>
          <w:rtl/>
        </w:rPr>
        <w:t>2 تموز/يوليه 2006</w:t>
      </w:r>
      <w:r w:rsidRPr="00AA537D">
        <w:rPr>
          <w:spacing w:val="0"/>
          <w:kern w:val="0"/>
          <w:vertAlign w:val="superscript"/>
          <w:rtl/>
        </w:rPr>
        <w:t>(</w:t>
      </w:r>
      <w:r w:rsidRPr="00AA537D">
        <w:rPr>
          <w:rStyle w:val="FootnoteReference"/>
          <w:spacing w:val="0"/>
          <w:rtl/>
        </w:rPr>
        <w:footnoteReference w:id="361"/>
      </w:r>
      <w:r w:rsidRPr="00AA537D">
        <w:rPr>
          <w:spacing w:val="0"/>
          <w:kern w:val="0"/>
          <w:vertAlign w:val="superscript"/>
          <w:rtl/>
        </w:rPr>
        <w:t>)</w:t>
      </w:r>
      <w:r w:rsidRPr="00AA537D">
        <w:rPr>
          <w:spacing w:val="0"/>
          <w:kern w:val="0"/>
          <w:rtl/>
        </w:rPr>
        <w:t xml:space="preserve">. ويرى صاحب الشكوى أن رجل أعمال محلياً، هو سيرجي لابشين، والمدعي العام في يكاتيرنبرغ، يوري زولوتوف، هما المسؤولان على الأرجح عن هذه الأعمال، </w:t>
      </w:r>
      <w:r w:rsidRPr="00AA537D">
        <w:rPr>
          <w:rFonts w:hint="cs"/>
          <w:spacing w:val="0"/>
          <w:kern w:val="0"/>
          <w:rtl/>
        </w:rPr>
        <w:t xml:space="preserve">نظراً إلى أن </w:t>
      </w:r>
      <w:r w:rsidRPr="00AA537D">
        <w:rPr>
          <w:spacing w:val="0"/>
          <w:kern w:val="0"/>
          <w:rtl/>
        </w:rPr>
        <w:t xml:space="preserve">السيد لابشين </w:t>
      </w:r>
      <w:r w:rsidRPr="00AA537D">
        <w:rPr>
          <w:rFonts w:hint="cs"/>
          <w:spacing w:val="0"/>
          <w:kern w:val="0"/>
          <w:rtl/>
        </w:rPr>
        <w:t xml:space="preserve">احتاز </w:t>
      </w:r>
      <w:r w:rsidRPr="00AA537D">
        <w:rPr>
          <w:spacing w:val="0"/>
          <w:kern w:val="0"/>
          <w:rtl/>
        </w:rPr>
        <w:t>جميع أسهم صاحب الشكوى في المصرف ربما بتزوير توقيعه، إذ تقضي التشريعات الروسية بضرورة ذهاب المشتري المحتمل إلى المصرف وحصوله على موافقة المصرف المركزي على حيازة الأسهم.</w:t>
      </w:r>
    </w:p>
    <w:p w:rsidR="00FA6676" w:rsidRPr="00ED61B0" w:rsidRDefault="00FA6676" w:rsidP="00AA537D">
      <w:pPr>
        <w:pStyle w:val="SingleTxtGA"/>
        <w:jc w:val="lowKashida"/>
        <w:rPr>
          <w:spacing w:val="0"/>
          <w:kern w:val="0"/>
          <w:rtl/>
        </w:rPr>
      </w:pPr>
      <w:r w:rsidRPr="00ED61B0">
        <w:rPr>
          <w:spacing w:val="0"/>
          <w:kern w:val="0"/>
          <w:rtl/>
        </w:rPr>
        <w:t>5-2</w:t>
      </w:r>
      <w:r w:rsidRPr="00ED61B0">
        <w:rPr>
          <w:spacing w:val="0"/>
          <w:kern w:val="0"/>
          <w:rtl/>
        </w:rPr>
        <w:tab/>
        <w:t>وفيما يتعلق بالمخطط الإجرامي الذي وقع ص</w:t>
      </w:r>
      <w:r w:rsidRPr="00ED61B0">
        <w:rPr>
          <w:rFonts w:hint="cs"/>
          <w:spacing w:val="0"/>
          <w:kern w:val="0"/>
          <w:rtl/>
        </w:rPr>
        <w:t>ا</w:t>
      </w:r>
      <w:r w:rsidRPr="00ED61B0">
        <w:rPr>
          <w:spacing w:val="0"/>
          <w:kern w:val="0"/>
          <w:rtl/>
        </w:rPr>
        <w:t xml:space="preserve">حب الشكوى في شَرَكه، يدعي صاحب الشكوى أن أربعة أشخاص على صلة به قُتلوا، هم: ألكسندر </w:t>
      </w:r>
      <w:r w:rsidRPr="00ED61B0">
        <w:rPr>
          <w:rFonts w:hint="cs"/>
          <w:spacing w:val="0"/>
          <w:kern w:val="0"/>
          <w:rtl/>
        </w:rPr>
        <w:t>خ</w:t>
      </w:r>
      <w:r w:rsidRPr="00ED61B0">
        <w:rPr>
          <w:spacing w:val="0"/>
          <w:kern w:val="0"/>
          <w:rtl/>
        </w:rPr>
        <w:t>اباروف، وأندري شاتوف، وفلاديمير سيفاستيانوف، وجالي هاليف، وأن شريكه التجاري ألكسندر فاراكسين اختفى ولا تُعرف أي معلومات عن مكانه. ويشير إلى أن عمليات القتل هذه ارتُكبت بهدف تمكين المالكَيْن الجديدَيْن، السيد لابشين والسيد زولوتوف، من الاستحواذ على شركات الأشخاص المتوفين.</w:t>
      </w:r>
    </w:p>
    <w:p w:rsidR="00FA6676" w:rsidRPr="00AA537D" w:rsidRDefault="00FA6676" w:rsidP="00AA537D">
      <w:pPr>
        <w:pStyle w:val="SingleTxtGA"/>
        <w:jc w:val="lowKashida"/>
        <w:rPr>
          <w:spacing w:val="0"/>
          <w:kern w:val="0"/>
          <w:rtl/>
        </w:rPr>
      </w:pPr>
      <w:r w:rsidRPr="00AA537D">
        <w:rPr>
          <w:spacing w:val="0"/>
          <w:kern w:val="0"/>
          <w:rtl/>
        </w:rPr>
        <w:t>5-3</w:t>
      </w:r>
      <w:r w:rsidRPr="00AA537D">
        <w:rPr>
          <w:spacing w:val="0"/>
          <w:kern w:val="0"/>
          <w:rtl/>
        </w:rPr>
        <w:tab/>
      </w:r>
      <w:r w:rsidRPr="00AA537D">
        <w:rPr>
          <w:rFonts w:hint="cs"/>
          <w:spacing w:val="0"/>
          <w:kern w:val="0"/>
          <w:rtl/>
        </w:rPr>
        <w:t>و</w:t>
      </w:r>
      <w:r w:rsidRPr="00AA537D">
        <w:rPr>
          <w:spacing w:val="0"/>
          <w:kern w:val="0"/>
          <w:rtl/>
        </w:rPr>
        <w:t xml:space="preserve">علاوة على ذلك، يشير صاحب الشكوى إلى أنه لم يكن يوماً مديراً عاماً لشركة غلوبال غامين إكسبو، ولم يوقع يوماً أي اتفاق مع العملاء لفتح حسابات </w:t>
      </w:r>
      <w:r w:rsidRPr="00AA537D">
        <w:rPr>
          <w:rFonts w:hint="cs"/>
          <w:spacing w:val="0"/>
          <w:kern w:val="0"/>
          <w:rtl/>
        </w:rPr>
        <w:t>تبادل هوامش الأرباح</w:t>
      </w:r>
      <w:r w:rsidRPr="00AA537D">
        <w:rPr>
          <w:spacing w:val="0"/>
          <w:kern w:val="0"/>
          <w:rtl/>
        </w:rPr>
        <w:t xml:space="preserve">، ومن ثم لا يمكن اعتباره مسؤولاً عن الالتزامات التي تعهد بها المديران فليكس ألكسندروفيتش بورين وإكاترينا أندريفنا ديميش، إذ هما اللذان أجريا جميع أعمال إيداع وسحب الأصول من حسابات </w:t>
      </w:r>
      <w:r w:rsidRPr="00AA537D">
        <w:rPr>
          <w:rFonts w:hint="cs"/>
          <w:spacing w:val="0"/>
          <w:kern w:val="0"/>
          <w:rtl/>
        </w:rPr>
        <w:t>تبادل هوامش الأرباح</w:t>
      </w:r>
      <w:r w:rsidRPr="00AA537D">
        <w:rPr>
          <w:spacing w:val="0"/>
          <w:kern w:val="0"/>
          <w:rtl/>
        </w:rPr>
        <w:t xml:space="preserve">. </w:t>
      </w:r>
    </w:p>
    <w:p w:rsidR="00FA6676" w:rsidRPr="00AA537D" w:rsidRDefault="00FA6676" w:rsidP="00AA537D">
      <w:pPr>
        <w:pStyle w:val="SingleTxtGA"/>
        <w:jc w:val="lowKashida"/>
        <w:rPr>
          <w:spacing w:val="0"/>
          <w:kern w:val="0"/>
          <w:rtl/>
        </w:rPr>
      </w:pPr>
      <w:r w:rsidRPr="00AA537D">
        <w:rPr>
          <w:spacing w:val="0"/>
          <w:kern w:val="0"/>
          <w:rtl/>
        </w:rPr>
        <w:t>5-4</w:t>
      </w:r>
      <w:r w:rsidRPr="00AA537D">
        <w:rPr>
          <w:spacing w:val="0"/>
          <w:kern w:val="0"/>
          <w:rtl/>
        </w:rPr>
        <w:tab/>
        <w:t>ويشير صاحب الشكوى إلى حدوث انتهاك لقانون الإجراءات الجنائية</w:t>
      </w:r>
      <w:r w:rsidRPr="00AA537D">
        <w:rPr>
          <w:spacing w:val="0"/>
          <w:kern w:val="0"/>
          <w:vertAlign w:val="superscript"/>
          <w:rtl/>
        </w:rPr>
        <w:t>(</w:t>
      </w:r>
      <w:r w:rsidRPr="00E27835">
        <w:rPr>
          <w:rStyle w:val="FootnoteReference"/>
          <w:spacing w:val="0"/>
          <w:sz w:val="2"/>
          <w:szCs w:val="2"/>
          <w:rtl/>
        </w:rPr>
        <w:footnoteReference w:id="362"/>
      </w:r>
      <w:r w:rsidR="00E27835" w:rsidRPr="00E27835">
        <w:rPr>
          <w:rFonts w:hint="cs"/>
          <w:spacing w:val="0"/>
          <w:kern w:val="0"/>
          <w:sz w:val="30"/>
          <w:vertAlign w:val="superscript"/>
          <w:rtl/>
        </w:rPr>
        <w:t>ﻫ</w:t>
      </w:r>
      <w:r w:rsidRPr="00AA537D">
        <w:rPr>
          <w:spacing w:val="0"/>
          <w:kern w:val="0"/>
          <w:vertAlign w:val="superscript"/>
          <w:rtl/>
        </w:rPr>
        <w:t>)</w:t>
      </w:r>
      <w:r w:rsidRPr="00AA537D">
        <w:rPr>
          <w:spacing w:val="0"/>
          <w:kern w:val="0"/>
          <w:rtl/>
        </w:rPr>
        <w:t xml:space="preserve">، </w:t>
      </w:r>
      <w:r w:rsidRPr="00AA537D">
        <w:rPr>
          <w:rFonts w:hint="cs"/>
          <w:spacing w:val="0"/>
          <w:kern w:val="0"/>
          <w:rtl/>
        </w:rPr>
        <w:t xml:space="preserve">نظراً إلى أن </w:t>
      </w:r>
      <w:r w:rsidRPr="00AA537D">
        <w:rPr>
          <w:spacing w:val="0"/>
          <w:kern w:val="0"/>
          <w:rtl/>
        </w:rPr>
        <w:t xml:space="preserve">الإجراءات الجنائية </w:t>
      </w:r>
      <w:r w:rsidRPr="00AA537D">
        <w:rPr>
          <w:rFonts w:hint="cs"/>
          <w:spacing w:val="0"/>
          <w:kern w:val="0"/>
          <w:rtl/>
        </w:rPr>
        <w:t xml:space="preserve">بدأت </w:t>
      </w:r>
      <w:r w:rsidRPr="00AA537D">
        <w:rPr>
          <w:spacing w:val="0"/>
          <w:kern w:val="0"/>
          <w:rtl/>
        </w:rPr>
        <w:t xml:space="preserve">في يكاتيرنبرغ في حين أن محل إقامته الدائم هو سانت بيترسبرغ. ورغم تقديم التماس لمكتب المدعي العام لنقل الإجراءات إلى سانت بيترسبرغ، </w:t>
      </w:r>
      <w:r w:rsidRPr="00AA537D">
        <w:rPr>
          <w:rFonts w:hint="cs"/>
          <w:spacing w:val="0"/>
          <w:kern w:val="0"/>
          <w:rtl/>
        </w:rPr>
        <w:t>إلا أ</w:t>
      </w:r>
      <w:r w:rsidRPr="00AA537D">
        <w:rPr>
          <w:spacing w:val="0"/>
          <w:kern w:val="0"/>
          <w:rtl/>
        </w:rPr>
        <w:t xml:space="preserve">نها لم تُنقل. </w:t>
      </w:r>
      <w:r w:rsidRPr="00AA537D">
        <w:rPr>
          <w:rFonts w:hint="cs"/>
          <w:spacing w:val="0"/>
          <w:kern w:val="0"/>
          <w:rtl/>
        </w:rPr>
        <w:t>وفضلا</w:t>
      </w:r>
      <w:r w:rsidR="00171FB4">
        <w:rPr>
          <w:rFonts w:hint="cs"/>
          <w:spacing w:val="0"/>
          <w:kern w:val="0"/>
          <w:rtl/>
        </w:rPr>
        <w:t>ً</w:t>
      </w:r>
      <w:r w:rsidRPr="00AA537D">
        <w:rPr>
          <w:rFonts w:hint="cs"/>
          <w:spacing w:val="0"/>
          <w:kern w:val="0"/>
          <w:rtl/>
        </w:rPr>
        <w:t xml:space="preserve"> عن ذلك، لم تتح</w:t>
      </w:r>
      <w:r w:rsidRPr="00AA537D">
        <w:rPr>
          <w:spacing w:val="0"/>
          <w:kern w:val="0"/>
          <w:rtl/>
        </w:rPr>
        <w:t xml:space="preserve"> </w:t>
      </w:r>
      <w:r w:rsidRPr="00AA537D">
        <w:rPr>
          <w:rFonts w:hint="cs"/>
          <w:spacing w:val="0"/>
          <w:kern w:val="0"/>
          <w:rtl/>
        </w:rPr>
        <w:t>ل</w:t>
      </w:r>
      <w:r w:rsidRPr="00AA537D">
        <w:rPr>
          <w:spacing w:val="0"/>
          <w:kern w:val="0"/>
          <w:rtl/>
        </w:rPr>
        <w:t>محامي صاحب الشكوى فرصة الاطلاع على تقارير الخبراء، بما يخالف قانون الإجراءات الجنائية</w:t>
      </w:r>
      <w:r w:rsidRPr="00AA537D">
        <w:rPr>
          <w:spacing w:val="0"/>
          <w:kern w:val="0"/>
          <w:vertAlign w:val="superscript"/>
          <w:rtl/>
        </w:rPr>
        <w:t>(</w:t>
      </w:r>
      <w:r w:rsidRPr="00AA537D">
        <w:rPr>
          <w:rStyle w:val="FootnoteReference"/>
          <w:spacing w:val="0"/>
          <w:rtl/>
        </w:rPr>
        <w:footnoteReference w:id="363"/>
      </w:r>
      <w:r w:rsidRPr="00AA537D">
        <w:rPr>
          <w:spacing w:val="0"/>
          <w:kern w:val="0"/>
          <w:vertAlign w:val="superscript"/>
          <w:rtl/>
        </w:rPr>
        <w:t>)</w:t>
      </w:r>
      <w:r w:rsidRPr="00AA537D">
        <w:rPr>
          <w:spacing w:val="0"/>
          <w:kern w:val="0"/>
          <w:rtl/>
        </w:rPr>
        <w:t>. وفي 2 شباط/فبراير 2007</w:t>
      </w:r>
      <w:r w:rsidRPr="00AA537D">
        <w:rPr>
          <w:rFonts w:hint="cs"/>
          <w:spacing w:val="0"/>
          <w:kern w:val="0"/>
          <w:rtl/>
        </w:rPr>
        <w:t>،</w:t>
      </w:r>
      <w:r w:rsidRPr="00AA537D">
        <w:rPr>
          <w:spacing w:val="0"/>
          <w:kern w:val="0"/>
          <w:rtl/>
        </w:rPr>
        <w:t xml:space="preserve"> أصدرت سلطات التحقيق </w:t>
      </w:r>
      <w:r w:rsidRPr="00AA537D">
        <w:rPr>
          <w:rFonts w:hint="cs"/>
          <w:spacing w:val="0"/>
          <w:kern w:val="0"/>
          <w:rtl/>
        </w:rPr>
        <w:t xml:space="preserve">لائحة </w:t>
      </w:r>
      <w:r w:rsidRPr="00AA537D">
        <w:rPr>
          <w:spacing w:val="0"/>
          <w:kern w:val="0"/>
          <w:rtl/>
        </w:rPr>
        <w:t>اتهام بحق صاحب الشكوى بموجب الفقرة 4 من المادة 159 من القانون الجنائي، ولكنه لم يُخطر بهذ</w:t>
      </w:r>
      <w:r w:rsidRPr="00AA537D">
        <w:rPr>
          <w:rFonts w:hint="cs"/>
          <w:spacing w:val="0"/>
          <w:kern w:val="0"/>
          <w:rtl/>
        </w:rPr>
        <w:t>ه اللائحة</w:t>
      </w:r>
      <w:r w:rsidRPr="00AA537D">
        <w:rPr>
          <w:spacing w:val="0"/>
          <w:kern w:val="0"/>
          <w:rtl/>
        </w:rPr>
        <w:t xml:space="preserve">، رغم </w:t>
      </w:r>
      <w:r w:rsidRPr="00AA537D">
        <w:rPr>
          <w:rFonts w:hint="cs"/>
          <w:spacing w:val="0"/>
          <w:kern w:val="0"/>
          <w:rtl/>
        </w:rPr>
        <w:t>علم</w:t>
      </w:r>
      <w:r w:rsidRPr="00AA537D">
        <w:rPr>
          <w:spacing w:val="0"/>
          <w:kern w:val="0"/>
          <w:rtl/>
        </w:rPr>
        <w:t xml:space="preserve"> السلطات بعنوانه المسجل ومحل إقامته الفعلي. وفي 27 شباط/فبراير 2007</w:t>
      </w:r>
      <w:r w:rsidRPr="00AA537D">
        <w:rPr>
          <w:rFonts w:hint="cs"/>
          <w:spacing w:val="0"/>
          <w:kern w:val="0"/>
          <w:rtl/>
        </w:rPr>
        <w:t>،</w:t>
      </w:r>
      <w:r w:rsidRPr="00AA537D">
        <w:rPr>
          <w:spacing w:val="0"/>
          <w:kern w:val="0"/>
          <w:rtl/>
        </w:rPr>
        <w:t xml:space="preserve"> </w:t>
      </w:r>
      <w:r w:rsidRPr="00AA537D">
        <w:rPr>
          <w:rFonts w:hint="cs"/>
          <w:spacing w:val="0"/>
          <w:kern w:val="0"/>
          <w:rtl/>
        </w:rPr>
        <w:t>اتخذت</w:t>
      </w:r>
      <w:r w:rsidRPr="00AA537D">
        <w:rPr>
          <w:spacing w:val="0"/>
          <w:kern w:val="0"/>
          <w:rtl/>
        </w:rPr>
        <w:t xml:space="preserve"> المحكمة المحلية </w:t>
      </w:r>
      <w:r w:rsidRPr="00AA537D">
        <w:rPr>
          <w:rFonts w:hint="cs"/>
          <w:spacing w:val="0"/>
          <w:kern w:val="0"/>
          <w:rtl/>
        </w:rPr>
        <w:t>إجراءً إحترازيا</w:t>
      </w:r>
      <w:r w:rsidR="00171FB4">
        <w:rPr>
          <w:rFonts w:hint="cs"/>
          <w:spacing w:val="0"/>
          <w:kern w:val="0"/>
          <w:rtl/>
        </w:rPr>
        <w:t>ً</w:t>
      </w:r>
      <w:r w:rsidRPr="00AA537D">
        <w:rPr>
          <w:rFonts w:hint="cs"/>
          <w:spacing w:val="0"/>
          <w:kern w:val="0"/>
          <w:rtl/>
        </w:rPr>
        <w:t xml:space="preserve"> بال</w:t>
      </w:r>
      <w:r w:rsidRPr="00AA537D">
        <w:rPr>
          <w:spacing w:val="0"/>
          <w:kern w:val="0"/>
          <w:rtl/>
        </w:rPr>
        <w:t>احتجاز في غياب صاحب الشكوى، دون أن يسبق ذلك البحث عنه أو إصدار أمر توقيف، وهم</w:t>
      </w:r>
      <w:r w:rsidRPr="00AA537D">
        <w:rPr>
          <w:rFonts w:hint="cs"/>
          <w:spacing w:val="0"/>
          <w:kern w:val="0"/>
          <w:rtl/>
        </w:rPr>
        <w:t>ا</w:t>
      </w:r>
      <w:r w:rsidRPr="00AA537D">
        <w:rPr>
          <w:spacing w:val="0"/>
          <w:kern w:val="0"/>
          <w:rtl/>
        </w:rPr>
        <w:t xml:space="preserve"> إجراءان لازمان لاتخاذ التدبير المذكور. وفي 16 تشرين الثاني/نوفمبر 2006</w:t>
      </w:r>
      <w:r w:rsidRPr="00AA537D">
        <w:rPr>
          <w:rFonts w:hint="cs"/>
          <w:spacing w:val="0"/>
          <w:kern w:val="0"/>
          <w:rtl/>
        </w:rPr>
        <w:t>،</w:t>
      </w:r>
      <w:r w:rsidRPr="00AA537D">
        <w:rPr>
          <w:spacing w:val="0"/>
          <w:kern w:val="0"/>
          <w:rtl/>
        </w:rPr>
        <w:t xml:space="preserve"> قدم صاحب الشكوى طلباً إلى نائب المدعي العام </w:t>
      </w:r>
      <w:r w:rsidRPr="00AA537D">
        <w:rPr>
          <w:rFonts w:hint="cs"/>
          <w:spacing w:val="0"/>
          <w:kern w:val="0"/>
          <w:rtl/>
        </w:rPr>
        <w:t>لا</w:t>
      </w:r>
      <w:r w:rsidRPr="00AA537D">
        <w:rPr>
          <w:spacing w:val="0"/>
          <w:kern w:val="0"/>
          <w:rtl/>
        </w:rPr>
        <w:t xml:space="preserve">تخاذ إجراءات جنائية ضد إدارة شركة غلوبال غامين </w:t>
      </w:r>
      <w:r w:rsidRPr="00466B80">
        <w:rPr>
          <w:spacing w:val="0"/>
          <w:kern w:val="0"/>
          <w:sz w:val="20"/>
          <w:rtl/>
        </w:rPr>
        <w:t xml:space="preserve">إكسبو ومالك مصرف </w:t>
      </w:r>
      <w:r w:rsidRPr="00466B80">
        <w:rPr>
          <w:spacing w:val="0"/>
          <w:kern w:val="0"/>
          <w:sz w:val="20"/>
        </w:rPr>
        <w:t>Bank24.Ru</w:t>
      </w:r>
      <w:r w:rsidRPr="00466B80">
        <w:rPr>
          <w:spacing w:val="0"/>
          <w:kern w:val="0"/>
          <w:sz w:val="20"/>
          <w:rtl/>
        </w:rPr>
        <w:t>. وأقيمت دعوى جنائية ولكن أوقفت التحقيقات منذ</w:t>
      </w:r>
      <w:r w:rsidRPr="00AA537D">
        <w:rPr>
          <w:spacing w:val="0"/>
          <w:kern w:val="0"/>
          <w:rtl/>
        </w:rPr>
        <w:t xml:space="preserve"> ذلك الحين. وفي 13 كانون الثاني/يناير 2010، ألغت محكمة مقاطعة سفيردلوفسك القرارات السابقة ورأت عدم الحاجة إلى تمديد فترة الاحتجاز الاحتياطي لصاحب الشكوى.</w:t>
      </w:r>
    </w:p>
    <w:p w:rsidR="00FA6676" w:rsidRPr="00ED61B0" w:rsidRDefault="00FA6676" w:rsidP="00466B80">
      <w:pPr>
        <w:pStyle w:val="SingleTxtGA"/>
        <w:jc w:val="lowKashida"/>
        <w:rPr>
          <w:spacing w:val="-2"/>
          <w:kern w:val="0"/>
          <w:rtl/>
        </w:rPr>
      </w:pPr>
      <w:r w:rsidRPr="00ED61B0">
        <w:rPr>
          <w:spacing w:val="-2"/>
          <w:kern w:val="0"/>
          <w:rtl/>
        </w:rPr>
        <w:t>5-5</w:t>
      </w:r>
      <w:r w:rsidRPr="00ED61B0">
        <w:rPr>
          <w:spacing w:val="-2"/>
          <w:kern w:val="0"/>
          <w:rtl/>
        </w:rPr>
        <w:tab/>
        <w:t>وأقام ضحايا الاحتيال المدعى ارتكابه عدداً من الدعاوى المدنية ضد صاحب الشكوى وشركة غلوبال غامين إكسبو؛ ولكن حُكم في جميع هذه الدعاوى لصالح صاحب الشكوى واعتُبر غير مسؤول عن الاختلاس المدعى ارتكابه. ويشير صاحب الشكوى أيضاً إلى أن المادة</w:t>
      </w:r>
      <w:r w:rsidR="00466B80" w:rsidRPr="00ED61B0">
        <w:rPr>
          <w:rFonts w:hint="cs"/>
          <w:spacing w:val="-2"/>
          <w:kern w:val="0"/>
          <w:rtl/>
        </w:rPr>
        <w:t> </w:t>
      </w:r>
      <w:r w:rsidRPr="00ED61B0">
        <w:rPr>
          <w:spacing w:val="-2"/>
          <w:kern w:val="0"/>
          <w:rtl/>
        </w:rPr>
        <w:t xml:space="preserve">90 من قانون الإجراءات الجنائية تقضي بأن الوقائع التي يقرها حكم محكمة مدنية ينبغي </w:t>
      </w:r>
      <w:r w:rsidRPr="00ED61B0">
        <w:rPr>
          <w:rFonts w:hint="cs"/>
          <w:spacing w:val="-2"/>
          <w:kern w:val="0"/>
          <w:rtl/>
        </w:rPr>
        <w:t>أن تعتبرها</w:t>
      </w:r>
      <w:r w:rsidRPr="00ED61B0">
        <w:rPr>
          <w:spacing w:val="-2"/>
          <w:kern w:val="0"/>
          <w:rtl/>
        </w:rPr>
        <w:t xml:space="preserve"> أي محكمة أخرى </w:t>
      </w:r>
      <w:r w:rsidRPr="00ED61B0">
        <w:rPr>
          <w:rFonts w:hint="cs"/>
          <w:spacing w:val="-2"/>
          <w:kern w:val="0"/>
          <w:rtl/>
        </w:rPr>
        <w:t xml:space="preserve">على أنها </w:t>
      </w:r>
      <w:r w:rsidRPr="00ED61B0">
        <w:rPr>
          <w:spacing w:val="-2"/>
          <w:kern w:val="0"/>
          <w:rtl/>
        </w:rPr>
        <w:t xml:space="preserve">سليمة، ولذلك </w:t>
      </w:r>
      <w:r w:rsidRPr="00ED61B0">
        <w:rPr>
          <w:rFonts w:hint="cs"/>
          <w:spacing w:val="-2"/>
          <w:kern w:val="0"/>
          <w:rtl/>
        </w:rPr>
        <w:t xml:space="preserve">كان </w:t>
      </w:r>
      <w:r w:rsidRPr="00ED61B0">
        <w:rPr>
          <w:spacing w:val="-2"/>
          <w:kern w:val="0"/>
          <w:rtl/>
        </w:rPr>
        <w:t>ينبغي وقف الدعوى الجنائية ضده.</w:t>
      </w:r>
    </w:p>
    <w:p w:rsidR="00FA6676" w:rsidRPr="00AA537D" w:rsidRDefault="00FA6676" w:rsidP="00AA537D">
      <w:pPr>
        <w:pStyle w:val="SingleTxtGA"/>
        <w:jc w:val="lowKashida"/>
        <w:rPr>
          <w:spacing w:val="0"/>
          <w:kern w:val="0"/>
          <w:rtl/>
        </w:rPr>
      </w:pPr>
      <w:r w:rsidRPr="00AA537D">
        <w:rPr>
          <w:spacing w:val="0"/>
          <w:kern w:val="0"/>
          <w:rtl/>
        </w:rPr>
        <w:t>5-6</w:t>
      </w:r>
      <w:r w:rsidRPr="00AA537D">
        <w:rPr>
          <w:spacing w:val="0"/>
          <w:kern w:val="0"/>
          <w:rtl/>
        </w:rPr>
        <w:tab/>
      </w:r>
      <w:r w:rsidRPr="00AA537D">
        <w:rPr>
          <w:rFonts w:hint="cs"/>
          <w:spacing w:val="0"/>
          <w:kern w:val="0"/>
          <w:rtl/>
        </w:rPr>
        <w:t>وبعد</w:t>
      </w:r>
      <w:r w:rsidRPr="00AA537D">
        <w:rPr>
          <w:spacing w:val="0"/>
          <w:kern w:val="0"/>
          <w:rtl/>
        </w:rPr>
        <w:t xml:space="preserve"> إلقاء القبض على صاحب الشكوى في المغرب بدأ والداه يواجهان مشاكل مع الجهات الإدارية. ففي 25 تموز/يوليه 2010</w:t>
      </w:r>
      <w:r w:rsidRPr="00AA537D">
        <w:rPr>
          <w:rFonts w:hint="cs"/>
          <w:spacing w:val="0"/>
          <w:kern w:val="0"/>
          <w:rtl/>
        </w:rPr>
        <w:t>،</w:t>
      </w:r>
      <w:r w:rsidRPr="00AA537D">
        <w:rPr>
          <w:spacing w:val="0"/>
          <w:kern w:val="0"/>
          <w:rtl/>
        </w:rPr>
        <w:t xml:space="preserve"> رُفض طلب والديه تجديد جوازي سفرهما بحجة الحاجة إلى إجراء مزيد من التحريات استناداً إلى التشريع المتعلق بحماية أسرار الدولة. ويدعي صاحب الشكوى أن لديه خوفاً مبرراً من تعرض والديه للانتقام، استناداً إلى حالات أخرى غادر فيها شخص البلد خوفاً من الاضطهاد. واضطُر والداه للانتقال إلى مدينة أخرى بسبب التهديدات الهاتفية التي كانت تصلهما من أشخاص مجهولين. </w:t>
      </w:r>
      <w:r w:rsidRPr="00AA537D">
        <w:rPr>
          <w:rFonts w:hint="cs"/>
          <w:spacing w:val="0"/>
          <w:kern w:val="0"/>
          <w:rtl/>
        </w:rPr>
        <w:t>و</w:t>
      </w:r>
      <w:r w:rsidRPr="00AA537D">
        <w:rPr>
          <w:spacing w:val="0"/>
          <w:kern w:val="0"/>
          <w:rtl/>
        </w:rPr>
        <w:t>علاوة على ذلك، تلقى محامي صاحب الشكوى تهديدات بالقتل، مما حمله على التوقف عن تمثيله أمام القضاء.</w:t>
      </w:r>
    </w:p>
    <w:p w:rsidR="00FA6676" w:rsidRPr="00AA537D" w:rsidRDefault="00FA6676" w:rsidP="00AA537D">
      <w:pPr>
        <w:pStyle w:val="SingleTxtGA"/>
        <w:jc w:val="lowKashida"/>
        <w:rPr>
          <w:spacing w:val="0"/>
          <w:kern w:val="0"/>
          <w:rtl/>
        </w:rPr>
      </w:pPr>
      <w:r w:rsidRPr="00AA537D">
        <w:rPr>
          <w:spacing w:val="0"/>
          <w:kern w:val="0"/>
          <w:rtl/>
        </w:rPr>
        <w:t>5-7</w:t>
      </w:r>
      <w:r w:rsidRPr="00AA537D">
        <w:rPr>
          <w:spacing w:val="0"/>
          <w:kern w:val="0"/>
          <w:rtl/>
        </w:rPr>
        <w:tab/>
        <w:t>ويشير صاحب الشكوى، فيما يتعلق بخوفه المبرر من القتل والتعرض للضرر الذي لا</w:t>
      </w:r>
      <w:r w:rsidRPr="00AA537D">
        <w:rPr>
          <w:rFonts w:hint="cs"/>
          <w:spacing w:val="0"/>
          <w:kern w:val="0"/>
          <w:rtl/>
        </w:rPr>
        <w:t> </w:t>
      </w:r>
      <w:r w:rsidRPr="00AA537D">
        <w:rPr>
          <w:spacing w:val="0"/>
          <w:kern w:val="0"/>
          <w:rtl/>
        </w:rPr>
        <w:t xml:space="preserve">يمكن جبره </w:t>
      </w:r>
      <w:r w:rsidRPr="00AA537D">
        <w:rPr>
          <w:rFonts w:hint="cs"/>
          <w:spacing w:val="0"/>
          <w:kern w:val="0"/>
          <w:rtl/>
        </w:rPr>
        <w:t xml:space="preserve">في </w:t>
      </w:r>
      <w:r w:rsidRPr="00AA537D">
        <w:rPr>
          <w:spacing w:val="0"/>
          <w:kern w:val="0"/>
          <w:rtl/>
        </w:rPr>
        <w:t xml:space="preserve">حال تسليمه إلى الاتحاد الروسي، إلى أنه معرض بشدة لخطر الاعتقال التعسفي والتعذيب والحرمان من المحاكمة العادلة والعلنية، إذ إنه نجا من محاولتي اغتيال ولديه معلومات قد تضر بشخصيات عامة في الاتحاد الروسي، لا سيما المدعي العام يكاتيرنبرغ. ويشير كذلك إلى أن </w:t>
      </w:r>
      <w:r w:rsidRPr="00AA537D">
        <w:rPr>
          <w:rFonts w:hint="cs"/>
          <w:spacing w:val="0"/>
          <w:kern w:val="0"/>
          <w:rtl/>
        </w:rPr>
        <w:t xml:space="preserve">الأدلة </w:t>
      </w:r>
      <w:r w:rsidRPr="00AA537D">
        <w:rPr>
          <w:spacing w:val="0"/>
          <w:kern w:val="0"/>
          <w:rtl/>
        </w:rPr>
        <w:t xml:space="preserve">تدعم </w:t>
      </w:r>
      <w:r w:rsidRPr="00AA537D">
        <w:rPr>
          <w:rFonts w:hint="cs"/>
          <w:spacing w:val="0"/>
          <w:kern w:val="0"/>
          <w:rtl/>
        </w:rPr>
        <w:t xml:space="preserve">تصريحاته </w:t>
      </w:r>
      <w:r w:rsidRPr="00AA537D">
        <w:rPr>
          <w:spacing w:val="0"/>
          <w:kern w:val="0"/>
          <w:rtl/>
        </w:rPr>
        <w:t>التي أدلى بها عن الجريمة المنظمة والإفلات من العقاب، وفساد المسؤولين الرسميين، وعمليات القتل ذات الدوافع السياسية في الاتحاد الروسي</w:t>
      </w:r>
      <w:r w:rsidRPr="00AA537D">
        <w:rPr>
          <w:spacing w:val="0"/>
          <w:kern w:val="0"/>
          <w:vertAlign w:val="superscript"/>
          <w:rtl/>
        </w:rPr>
        <w:t>(</w:t>
      </w:r>
      <w:r w:rsidRPr="00AA537D">
        <w:rPr>
          <w:rStyle w:val="FootnoteReference"/>
          <w:spacing w:val="0"/>
          <w:rtl/>
        </w:rPr>
        <w:footnoteReference w:id="364"/>
      </w:r>
      <w:r w:rsidRPr="00AA537D">
        <w:rPr>
          <w:spacing w:val="0"/>
          <w:kern w:val="0"/>
          <w:vertAlign w:val="superscript"/>
          <w:rtl/>
        </w:rPr>
        <w:t>)</w:t>
      </w:r>
      <w:r w:rsidRPr="00AA537D">
        <w:rPr>
          <w:spacing w:val="0"/>
          <w:kern w:val="0"/>
          <w:rtl/>
        </w:rPr>
        <w:t xml:space="preserve">. </w:t>
      </w:r>
      <w:r w:rsidRPr="00AA537D">
        <w:rPr>
          <w:rFonts w:hint="cs"/>
          <w:spacing w:val="0"/>
          <w:kern w:val="0"/>
          <w:rtl/>
        </w:rPr>
        <w:t>و</w:t>
      </w:r>
      <w:r w:rsidRPr="00AA537D">
        <w:rPr>
          <w:spacing w:val="0"/>
          <w:kern w:val="0"/>
          <w:rtl/>
        </w:rPr>
        <w:t>علاوة على ذلك، وردت تقارير تفيد بتعرض القضاة في كثير من الأحيان للتخويف والمضايقة من جانب السلطة التنفيذية لحملهم على إدانة أشخاص أبرياء. ويش</w:t>
      </w:r>
      <w:r w:rsidRPr="00AA537D">
        <w:rPr>
          <w:rFonts w:hint="cs"/>
          <w:spacing w:val="0"/>
          <w:kern w:val="0"/>
          <w:rtl/>
        </w:rPr>
        <w:t xml:space="preserve">دد </w:t>
      </w:r>
      <w:r w:rsidRPr="00AA537D">
        <w:rPr>
          <w:spacing w:val="0"/>
          <w:kern w:val="0"/>
          <w:rtl/>
        </w:rPr>
        <w:t xml:space="preserve">صاحب الشكوى أيضاً </w:t>
      </w:r>
      <w:r w:rsidRPr="00AA537D">
        <w:rPr>
          <w:rFonts w:hint="cs"/>
          <w:spacing w:val="0"/>
          <w:kern w:val="0"/>
          <w:rtl/>
        </w:rPr>
        <w:t xml:space="preserve">على </w:t>
      </w:r>
      <w:r w:rsidRPr="00AA537D">
        <w:rPr>
          <w:spacing w:val="0"/>
          <w:kern w:val="0"/>
          <w:rtl/>
        </w:rPr>
        <w:t xml:space="preserve">أنه اعتُبر بالفعل مذنباً لا بريئاً، وأنه سيواجه أخطاراً تهدد حياته من جانب السلطات الروسية وأشخاص </w:t>
      </w:r>
      <w:r w:rsidRPr="00AA537D">
        <w:rPr>
          <w:rFonts w:hint="cs"/>
          <w:spacing w:val="0"/>
          <w:kern w:val="0"/>
          <w:rtl/>
        </w:rPr>
        <w:t>يعملون باسم ا</w:t>
      </w:r>
      <w:r w:rsidRPr="00AA537D">
        <w:rPr>
          <w:spacing w:val="0"/>
          <w:kern w:val="0"/>
          <w:rtl/>
        </w:rPr>
        <w:t xml:space="preserve">لسلطات أو </w:t>
      </w:r>
      <w:r w:rsidRPr="00AA537D">
        <w:rPr>
          <w:rFonts w:hint="cs"/>
          <w:spacing w:val="0"/>
          <w:kern w:val="0"/>
          <w:rtl/>
        </w:rPr>
        <w:t xml:space="preserve">الجماعات </w:t>
      </w:r>
      <w:r w:rsidRPr="00AA537D">
        <w:rPr>
          <w:spacing w:val="0"/>
          <w:kern w:val="0"/>
          <w:rtl/>
        </w:rPr>
        <w:t>الإجرامية. ويشير كذلك إلى أن حياته معرضة لخطر جسيم بسبب شكواه إلى المدعي العام لموسكو عن مناخ الفساد والإفلات من العقاب</w:t>
      </w:r>
      <w:r w:rsidRPr="00AA537D">
        <w:rPr>
          <w:spacing w:val="0"/>
          <w:kern w:val="0"/>
          <w:vertAlign w:val="superscript"/>
          <w:rtl/>
        </w:rPr>
        <w:t>(</w:t>
      </w:r>
      <w:r w:rsidRPr="00AA537D">
        <w:rPr>
          <w:rStyle w:val="FootnoteReference"/>
          <w:spacing w:val="0"/>
          <w:rtl/>
        </w:rPr>
        <w:footnoteReference w:id="365"/>
      </w:r>
      <w:r w:rsidRPr="00AA537D">
        <w:rPr>
          <w:spacing w:val="0"/>
          <w:kern w:val="0"/>
          <w:vertAlign w:val="superscript"/>
          <w:rtl/>
        </w:rPr>
        <w:t>)</w:t>
      </w:r>
      <w:r w:rsidRPr="00AA537D">
        <w:rPr>
          <w:spacing w:val="0"/>
          <w:kern w:val="0"/>
          <w:rtl/>
        </w:rPr>
        <w:t>. ويلاحظ صاحب الشكوى أن أوضاع الاحتجاز في الاتحاد الروسي تعرّض المحتجزين للخطر نظراً إلى ا</w:t>
      </w:r>
      <w:r w:rsidRPr="00AA537D">
        <w:rPr>
          <w:rFonts w:hint="cs"/>
          <w:spacing w:val="0"/>
          <w:kern w:val="0"/>
          <w:rtl/>
        </w:rPr>
        <w:t>لاكتظاظ</w:t>
      </w:r>
      <w:r w:rsidRPr="00AA537D">
        <w:rPr>
          <w:spacing w:val="0"/>
          <w:kern w:val="0"/>
          <w:rtl/>
        </w:rPr>
        <w:t xml:space="preserve">، وسوء </w:t>
      </w:r>
      <w:r w:rsidRPr="00AA537D">
        <w:rPr>
          <w:rFonts w:hint="cs"/>
          <w:spacing w:val="0"/>
          <w:kern w:val="0"/>
          <w:rtl/>
        </w:rPr>
        <w:t xml:space="preserve">الأوضاع </w:t>
      </w:r>
      <w:r w:rsidRPr="00AA537D">
        <w:rPr>
          <w:spacing w:val="0"/>
          <w:kern w:val="0"/>
          <w:rtl/>
        </w:rPr>
        <w:t>المعيشية</w:t>
      </w:r>
      <w:r w:rsidRPr="00AA537D">
        <w:rPr>
          <w:rFonts w:hint="cs"/>
          <w:spacing w:val="0"/>
          <w:kern w:val="0"/>
          <w:rtl/>
        </w:rPr>
        <w:t xml:space="preserve"> للمحتجزين </w:t>
      </w:r>
      <w:r w:rsidRPr="00AA537D">
        <w:rPr>
          <w:spacing w:val="0"/>
          <w:kern w:val="0"/>
          <w:rtl/>
        </w:rPr>
        <w:t xml:space="preserve">وسوء معاملتهم. وتشير إحصائيات الدائرة </w:t>
      </w:r>
      <w:r w:rsidRPr="00AA537D">
        <w:rPr>
          <w:rFonts w:hint="cs"/>
          <w:spacing w:val="0"/>
          <w:kern w:val="0"/>
          <w:rtl/>
        </w:rPr>
        <w:t xml:space="preserve">الجزائية </w:t>
      </w:r>
      <w:r w:rsidRPr="00AA537D">
        <w:rPr>
          <w:spacing w:val="0"/>
          <w:kern w:val="0"/>
          <w:rtl/>
        </w:rPr>
        <w:t>الاتحادية إلى أن 000 795 محتجز من جملة 000 900 محتجز يعانون من أمراض مختلفة</w:t>
      </w:r>
      <w:r w:rsidRPr="00AA537D">
        <w:rPr>
          <w:spacing w:val="0"/>
          <w:kern w:val="0"/>
          <w:vertAlign w:val="superscript"/>
          <w:rtl/>
        </w:rPr>
        <w:t>(</w:t>
      </w:r>
      <w:r w:rsidRPr="00AA537D">
        <w:rPr>
          <w:rStyle w:val="FootnoteReference"/>
          <w:spacing w:val="0"/>
          <w:rtl/>
        </w:rPr>
        <w:footnoteReference w:id="366"/>
      </w:r>
      <w:r w:rsidRPr="00AA537D">
        <w:rPr>
          <w:spacing w:val="0"/>
          <w:kern w:val="0"/>
          <w:vertAlign w:val="superscript"/>
          <w:rtl/>
        </w:rPr>
        <w:t>)</w:t>
      </w:r>
      <w:r w:rsidRPr="00AA537D">
        <w:rPr>
          <w:spacing w:val="0"/>
          <w:kern w:val="0"/>
          <w:rtl/>
        </w:rPr>
        <w:t>.</w:t>
      </w:r>
    </w:p>
    <w:p w:rsidR="00FA6676" w:rsidRPr="00AA537D" w:rsidRDefault="00FA6676" w:rsidP="00AA537D">
      <w:pPr>
        <w:pStyle w:val="SingleTxtGA"/>
        <w:jc w:val="lowKashida"/>
        <w:rPr>
          <w:spacing w:val="0"/>
          <w:kern w:val="0"/>
          <w:rtl/>
        </w:rPr>
      </w:pPr>
      <w:r w:rsidRPr="00AA537D">
        <w:rPr>
          <w:spacing w:val="0"/>
          <w:kern w:val="0"/>
          <w:rtl/>
        </w:rPr>
        <w:t>5-8</w:t>
      </w:r>
      <w:r w:rsidRPr="00AA537D">
        <w:rPr>
          <w:spacing w:val="0"/>
          <w:kern w:val="0"/>
          <w:rtl/>
        </w:rPr>
        <w:tab/>
        <w:t>ويشير صاحب الشكوى إلى أن مفوضية شؤون اللاجئين رأت أن اضطهاده، بوصفه مضارباً مالياً لا صلة له بالسياسة ولا ينتمي لأي جماعة اجتماعية، لا علاقة له بواحد أو أكثر من الأسس المدرجة في المادة 1 من اتفاقية عام 1951 المتعلقة بمركز اللاجئين. ومع ذلك، يشير صاحب الشكوى إلى أن كونه غير مؤهل للحصول على مركز اللاجئ لا يعني أنه لا</w:t>
      </w:r>
      <w:r w:rsidRPr="00AA537D">
        <w:rPr>
          <w:spacing w:val="0"/>
          <w:kern w:val="0"/>
        </w:rPr>
        <w:t> </w:t>
      </w:r>
      <w:r w:rsidRPr="00AA537D">
        <w:rPr>
          <w:spacing w:val="0"/>
          <w:kern w:val="0"/>
          <w:rtl/>
        </w:rPr>
        <w:t>يمكنه أن يعتمد على الحماية التي توفرها المادة 3 من اتفاقية مناهضة التعذيب وغيره من ضروب المعاملة أو العقوبة القاسية أو اللاإنسانية أو المهينة، إذ إن الاضطهاد لا يعتمد على وجود أساس معين. ورغم رفض مفوضية شؤون اللاجئين منح صاحب الشكوى مركز اللاجئ، فإنها استنتجت أنه قد يتعرض للحرمان من الحياة بصورة تعسفية أو غير قانونية، وللاعتقال أو الاحتجاز التعسفيين، و/أو الحرمان من محاكمة عادلة وعلنية.</w:t>
      </w:r>
    </w:p>
    <w:p w:rsidR="00FA6676" w:rsidRPr="00ED61B0" w:rsidRDefault="00FA6676" w:rsidP="00466B80">
      <w:pPr>
        <w:pStyle w:val="SingleTxtGA"/>
        <w:jc w:val="lowKashida"/>
        <w:rPr>
          <w:spacing w:val="0"/>
          <w:kern w:val="0"/>
          <w:rtl/>
        </w:rPr>
      </w:pPr>
      <w:r w:rsidRPr="00ED61B0">
        <w:rPr>
          <w:spacing w:val="0"/>
          <w:kern w:val="0"/>
          <w:rtl/>
        </w:rPr>
        <w:t>5-9</w:t>
      </w:r>
      <w:r w:rsidRPr="00ED61B0">
        <w:rPr>
          <w:spacing w:val="0"/>
          <w:kern w:val="0"/>
          <w:rtl/>
        </w:rPr>
        <w:tab/>
        <w:t>وفي إطار الإشارة إلى الرأي القانوني للجنة</w:t>
      </w:r>
      <w:r w:rsidRPr="00ED61B0">
        <w:rPr>
          <w:spacing w:val="0"/>
          <w:kern w:val="0"/>
          <w:vertAlign w:val="superscript"/>
          <w:rtl/>
        </w:rPr>
        <w:t>(</w:t>
      </w:r>
      <w:r w:rsidRPr="00ED61B0">
        <w:rPr>
          <w:rStyle w:val="FootnoteReference"/>
          <w:spacing w:val="0"/>
          <w:rtl/>
        </w:rPr>
        <w:footnoteReference w:id="367"/>
      </w:r>
      <w:r w:rsidRPr="00ED61B0">
        <w:rPr>
          <w:spacing w:val="0"/>
          <w:kern w:val="0"/>
          <w:vertAlign w:val="superscript"/>
          <w:rtl/>
        </w:rPr>
        <w:t>)</w:t>
      </w:r>
      <w:r w:rsidRPr="00ED61B0">
        <w:rPr>
          <w:spacing w:val="0"/>
          <w:kern w:val="0"/>
          <w:rtl/>
        </w:rPr>
        <w:t xml:space="preserve">، </w:t>
      </w:r>
      <w:r w:rsidRPr="00ED61B0">
        <w:rPr>
          <w:rFonts w:hint="cs"/>
          <w:spacing w:val="0"/>
          <w:kern w:val="0"/>
          <w:rtl/>
        </w:rPr>
        <w:t xml:space="preserve">يقول </w:t>
      </w:r>
      <w:r w:rsidRPr="00ED61B0">
        <w:rPr>
          <w:spacing w:val="0"/>
          <w:kern w:val="0"/>
          <w:rtl/>
        </w:rPr>
        <w:t xml:space="preserve">صاحب الشكوى </w:t>
      </w:r>
      <w:r w:rsidRPr="00ED61B0">
        <w:rPr>
          <w:rFonts w:hint="cs"/>
          <w:spacing w:val="0"/>
          <w:kern w:val="0"/>
          <w:rtl/>
        </w:rPr>
        <w:t xml:space="preserve">إنه لم يتسلم رسمياً </w:t>
      </w:r>
      <w:r w:rsidRPr="00ED61B0">
        <w:rPr>
          <w:spacing w:val="0"/>
          <w:kern w:val="0"/>
          <w:rtl/>
        </w:rPr>
        <w:t>هو أو محاميه الذي يمثله أمام المجلس الأعلى للقضاء القرار النهائي لوزير العدل الذي يأذن بتسليمه. و</w:t>
      </w:r>
      <w:r w:rsidRPr="00ED61B0">
        <w:rPr>
          <w:rFonts w:hint="cs"/>
          <w:spacing w:val="0"/>
          <w:kern w:val="0"/>
          <w:rtl/>
        </w:rPr>
        <w:t xml:space="preserve">لا يُعرف إن </w:t>
      </w:r>
      <w:r w:rsidRPr="00ED61B0">
        <w:rPr>
          <w:spacing w:val="0"/>
          <w:kern w:val="0"/>
          <w:rtl/>
        </w:rPr>
        <w:t xml:space="preserve">كان </w:t>
      </w:r>
      <w:r w:rsidRPr="00ED61B0">
        <w:rPr>
          <w:rFonts w:hint="cs"/>
          <w:spacing w:val="0"/>
          <w:kern w:val="0"/>
          <w:rtl/>
        </w:rPr>
        <w:t>ال</w:t>
      </w:r>
      <w:r w:rsidRPr="00ED61B0">
        <w:rPr>
          <w:spacing w:val="0"/>
          <w:kern w:val="0"/>
          <w:rtl/>
        </w:rPr>
        <w:t xml:space="preserve">قرار </w:t>
      </w:r>
      <w:r w:rsidRPr="00ED61B0">
        <w:rPr>
          <w:rFonts w:hint="cs"/>
          <w:spacing w:val="0"/>
          <w:kern w:val="0"/>
          <w:rtl/>
        </w:rPr>
        <w:t>ال</w:t>
      </w:r>
      <w:r w:rsidRPr="00ED61B0">
        <w:rPr>
          <w:spacing w:val="0"/>
          <w:kern w:val="0"/>
          <w:rtl/>
        </w:rPr>
        <w:t xml:space="preserve">رسمي قد اتُخذ أم لا، إذ إن الدولة الطرف لا تقدم نسخة من المرسوم الصادر </w:t>
      </w:r>
      <w:r w:rsidRPr="00ED61B0">
        <w:rPr>
          <w:rFonts w:hint="cs"/>
          <w:spacing w:val="0"/>
          <w:kern w:val="0"/>
          <w:rtl/>
        </w:rPr>
        <w:t xml:space="preserve">عن </w:t>
      </w:r>
      <w:r w:rsidRPr="00ED61B0">
        <w:rPr>
          <w:spacing w:val="0"/>
          <w:kern w:val="0"/>
          <w:rtl/>
        </w:rPr>
        <w:t xml:space="preserve">وزير العدل. لذلك </w:t>
      </w:r>
      <w:r w:rsidRPr="00ED61B0">
        <w:rPr>
          <w:rFonts w:hint="cs"/>
          <w:spacing w:val="0"/>
          <w:kern w:val="0"/>
          <w:rtl/>
        </w:rPr>
        <w:t xml:space="preserve">يقول </w:t>
      </w:r>
      <w:r w:rsidRPr="00ED61B0">
        <w:rPr>
          <w:spacing w:val="0"/>
          <w:kern w:val="0"/>
          <w:rtl/>
        </w:rPr>
        <w:t xml:space="preserve">صاحب الشكوى </w:t>
      </w:r>
      <w:r w:rsidRPr="00ED61B0">
        <w:rPr>
          <w:rFonts w:hint="cs"/>
          <w:spacing w:val="0"/>
          <w:kern w:val="0"/>
          <w:rtl/>
        </w:rPr>
        <w:t>إ</w:t>
      </w:r>
      <w:r w:rsidRPr="00ED61B0">
        <w:rPr>
          <w:spacing w:val="0"/>
          <w:kern w:val="0"/>
          <w:rtl/>
        </w:rPr>
        <w:t>نه لا</w:t>
      </w:r>
      <w:r w:rsidRPr="00ED61B0">
        <w:rPr>
          <w:rFonts w:hint="cs"/>
          <w:spacing w:val="0"/>
          <w:kern w:val="0"/>
          <w:rtl/>
        </w:rPr>
        <w:t> </w:t>
      </w:r>
      <w:r w:rsidRPr="00ED61B0">
        <w:rPr>
          <w:spacing w:val="0"/>
          <w:kern w:val="0"/>
          <w:rtl/>
        </w:rPr>
        <w:t xml:space="preserve">يمكن أن يعتبر </w:t>
      </w:r>
      <w:r w:rsidRPr="00ED61B0">
        <w:rPr>
          <w:rFonts w:hint="cs"/>
          <w:spacing w:val="0"/>
          <w:kern w:val="0"/>
          <w:rtl/>
        </w:rPr>
        <w:t xml:space="preserve">مسؤولاً عن </w:t>
      </w:r>
      <w:r w:rsidRPr="00ED61B0">
        <w:rPr>
          <w:spacing w:val="0"/>
          <w:kern w:val="0"/>
          <w:rtl/>
        </w:rPr>
        <w:t xml:space="preserve">تقديم طعن في </w:t>
      </w:r>
      <w:r w:rsidRPr="00ED61B0">
        <w:rPr>
          <w:rFonts w:hint="cs"/>
          <w:spacing w:val="0"/>
          <w:kern w:val="0"/>
          <w:rtl/>
        </w:rPr>
        <w:t xml:space="preserve">مرسوم تسليم </w:t>
      </w:r>
      <w:r w:rsidRPr="00ED61B0">
        <w:rPr>
          <w:spacing w:val="0"/>
          <w:kern w:val="0"/>
          <w:rtl/>
        </w:rPr>
        <w:t xml:space="preserve">لم يُسلم إليه. كما يشير إلى أنه </w:t>
      </w:r>
      <w:r w:rsidRPr="00ED61B0">
        <w:rPr>
          <w:rFonts w:hint="cs"/>
          <w:spacing w:val="0"/>
          <w:kern w:val="0"/>
          <w:rtl/>
        </w:rPr>
        <w:t xml:space="preserve">حتى </w:t>
      </w:r>
      <w:r w:rsidRPr="00ED61B0">
        <w:rPr>
          <w:spacing w:val="0"/>
          <w:kern w:val="0"/>
          <w:rtl/>
        </w:rPr>
        <w:t>لو كان قد تسلم ال</w:t>
      </w:r>
      <w:r w:rsidRPr="00ED61B0">
        <w:rPr>
          <w:rFonts w:hint="cs"/>
          <w:spacing w:val="0"/>
          <w:kern w:val="0"/>
          <w:rtl/>
        </w:rPr>
        <w:t>مرسوم</w:t>
      </w:r>
      <w:r w:rsidRPr="00ED61B0">
        <w:rPr>
          <w:spacing w:val="0"/>
          <w:kern w:val="0"/>
          <w:rtl/>
        </w:rPr>
        <w:t>، فإن أي طعن أمام الغرفة الإدارية للمجلس الأعلى للقضاء لإساءة استغلال السلطة لا</w:t>
      </w:r>
      <w:r w:rsidR="00466B80" w:rsidRPr="00ED61B0">
        <w:rPr>
          <w:rFonts w:hint="cs"/>
          <w:spacing w:val="0"/>
          <w:kern w:val="0"/>
          <w:rtl/>
        </w:rPr>
        <w:t> </w:t>
      </w:r>
      <w:r w:rsidRPr="00ED61B0">
        <w:rPr>
          <w:spacing w:val="0"/>
          <w:kern w:val="0"/>
          <w:rtl/>
        </w:rPr>
        <w:t>يفي بشرط الفعالية بموجب الفقرة 5(ب) من المادة 22، ولم يكن ليوفر لصاحب الشكوى أي سبيل انتصاف فعال فيما يتعلق بانتهاك المادة 3، إذ لم يكن هذا الطعن سيؤثر في وقف</w:t>
      </w:r>
      <w:r w:rsidR="00466B80" w:rsidRPr="00ED61B0">
        <w:rPr>
          <w:rFonts w:hint="cs"/>
          <w:spacing w:val="0"/>
          <w:kern w:val="0"/>
          <w:rtl/>
        </w:rPr>
        <w:t> </w:t>
      </w:r>
      <w:r w:rsidRPr="00ED61B0">
        <w:rPr>
          <w:spacing w:val="0"/>
          <w:kern w:val="0"/>
          <w:rtl/>
        </w:rPr>
        <w:t>تنفيذ أمر التسليم، ومن ثم لم يكن سيمنع حدوث الضرر الذي لا</w:t>
      </w:r>
      <w:r w:rsidRPr="00ED61B0">
        <w:rPr>
          <w:rFonts w:hint="cs"/>
          <w:spacing w:val="0"/>
          <w:kern w:val="0"/>
          <w:rtl/>
        </w:rPr>
        <w:t> </w:t>
      </w:r>
      <w:r w:rsidRPr="00ED61B0">
        <w:rPr>
          <w:spacing w:val="0"/>
          <w:kern w:val="0"/>
          <w:rtl/>
        </w:rPr>
        <w:t xml:space="preserve">يمكن جبره إن </w:t>
      </w:r>
      <w:r w:rsidRPr="00ED61B0">
        <w:rPr>
          <w:rFonts w:hint="cs"/>
          <w:spacing w:val="0"/>
          <w:kern w:val="0"/>
          <w:rtl/>
        </w:rPr>
        <w:t xml:space="preserve">أُعيد </w:t>
      </w:r>
      <w:r w:rsidRPr="00ED61B0">
        <w:rPr>
          <w:spacing w:val="0"/>
          <w:kern w:val="0"/>
          <w:rtl/>
        </w:rPr>
        <w:t>إلى بلده</w:t>
      </w:r>
      <w:r w:rsidRPr="00ED61B0">
        <w:rPr>
          <w:spacing w:val="0"/>
          <w:kern w:val="0"/>
          <w:vertAlign w:val="superscript"/>
          <w:rtl/>
        </w:rPr>
        <w:t>(</w:t>
      </w:r>
      <w:r w:rsidRPr="00ED61B0">
        <w:rPr>
          <w:rStyle w:val="FootnoteReference"/>
          <w:spacing w:val="0"/>
          <w:rtl/>
        </w:rPr>
        <w:footnoteReference w:id="368"/>
      </w:r>
      <w:r w:rsidRPr="00ED61B0">
        <w:rPr>
          <w:spacing w:val="0"/>
          <w:kern w:val="0"/>
          <w:vertAlign w:val="superscript"/>
          <w:rtl/>
        </w:rPr>
        <w:t>)</w:t>
      </w:r>
      <w:r w:rsidRPr="00ED61B0">
        <w:rPr>
          <w:spacing w:val="0"/>
          <w:kern w:val="0"/>
          <w:rtl/>
        </w:rPr>
        <w:t>.</w:t>
      </w:r>
    </w:p>
    <w:p w:rsidR="00FA6676" w:rsidRPr="00AA537D" w:rsidRDefault="00FA6676" w:rsidP="00466B80">
      <w:pPr>
        <w:pStyle w:val="SingleTxtGA"/>
        <w:jc w:val="lowKashida"/>
        <w:rPr>
          <w:spacing w:val="0"/>
          <w:kern w:val="0"/>
          <w:rtl/>
        </w:rPr>
      </w:pPr>
      <w:r w:rsidRPr="00AA537D">
        <w:rPr>
          <w:spacing w:val="0"/>
          <w:kern w:val="0"/>
          <w:rtl/>
        </w:rPr>
        <w:t>5-10</w:t>
      </w:r>
      <w:r w:rsidRPr="00AA537D">
        <w:rPr>
          <w:spacing w:val="0"/>
          <w:kern w:val="0"/>
          <w:rtl/>
        </w:rPr>
        <w:tab/>
        <w:t xml:space="preserve">وفيما يتعلق بالضمانات الدبلوماسية التي قدمها الاتحاد الروسي، يشير صاحب الشكوى إلى الرأي القانوني للجنة الذي يفيد </w:t>
      </w:r>
      <w:r w:rsidRPr="00AA537D">
        <w:rPr>
          <w:rFonts w:hint="cs"/>
          <w:spacing w:val="0"/>
          <w:kern w:val="0"/>
          <w:rtl/>
        </w:rPr>
        <w:t>بأن هذه الضمانات غير</w:t>
      </w:r>
      <w:r w:rsidRPr="00AA537D">
        <w:rPr>
          <w:spacing w:val="0"/>
          <w:kern w:val="0"/>
          <w:rtl/>
        </w:rPr>
        <w:t xml:space="preserve"> ك</w:t>
      </w:r>
      <w:r w:rsidRPr="00AA537D">
        <w:rPr>
          <w:rFonts w:hint="cs"/>
          <w:spacing w:val="0"/>
          <w:kern w:val="0"/>
          <w:rtl/>
        </w:rPr>
        <w:t>ا</w:t>
      </w:r>
      <w:r w:rsidRPr="00AA537D">
        <w:rPr>
          <w:spacing w:val="0"/>
          <w:kern w:val="0"/>
          <w:rtl/>
        </w:rPr>
        <w:t xml:space="preserve">فية </w:t>
      </w:r>
      <w:r w:rsidRPr="00AA537D">
        <w:rPr>
          <w:rFonts w:hint="cs"/>
          <w:spacing w:val="0"/>
          <w:kern w:val="0"/>
          <w:rtl/>
        </w:rPr>
        <w:t xml:space="preserve">لضمان </w:t>
      </w:r>
      <w:r w:rsidRPr="00AA537D">
        <w:rPr>
          <w:spacing w:val="0"/>
          <w:kern w:val="0"/>
          <w:rtl/>
        </w:rPr>
        <w:t>الامتثال للحظر المطلق للإعادة القسرية المنصوص عليه في المادة 3</w:t>
      </w:r>
      <w:r w:rsidRPr="00AA537D">
        <w:rPr>
          <w:spacing w:val="0"/>
          <w:kern w:val="0"/>
          <w:vertAlign w:val="superscript"/>
          <w:rtl/>
        </w:rPr>
        <w:t>(</w:t>
      </w:r>
      <w:r w:rsidRPr="00AA537D">
        <w:rPr>
          <w:rStyle w:val="FootnoteReference"/>
          <w:spacing w:val="0"/>
          <w:rtl/>
        </w:rPr>
        <w:footnoteReference w:id="369"/>
      </w:r>
      <w:r w:rsidRPr="00AA537D">
        <w:rPr>
          <w:spacing w:val="0"/>
          <w:kern w:val="0"/>
          <w:vertAlign w:val="superscript"/>
          <w:rtl/>
        </w:rPr>
        <w:t>)</w:t>
      </w:r>
      <w:r w:rsidRPr="00AA537D">
        <w:rPr>
          <w:spacing w:val="0"/>
          <w:kern w:val="0"/>
          <w:rtl/>
        </w:rPr>
        <w:t>. ولذلك يتضح أن التعهد العام من جانب السلطات الروسية بالامتثال لمعايير حقوق الإنسان لا يمكن أن يُسقط الأدلة القوية والمتسقة والموثوقة التي تشير، من جهة، إلى وجود نمط من الانتهاكات الجسيمة والصارخة والجماعية لحقوق الإنسان، وتشير، من جهة أخرى، إلى وجود خوف مبرر من التعرض لخطر التعذيب أو غيره من ضروب إساءة المعاملة على يد السلطات المحلية في يكاتيرنبرغ أو</w:t>
      </w:r>
      <w:r w:rsidR="00466B80">
        <w:rPr>
          <w:rFonts w:hint="cs"/>
          <w:spacing w:val="0"/>
          <w:kern w:val="0"/>
          <w:rtl/>
        </w:rPr>
        <w:t> </w:t>
      </w:r>
      <w:r w:rsidRPr="00AA537D">
        <w:rPr>
          <w:spacing w:val="0"/>
          <w:kern w:val="0"/>
          <w:rtl/>
        </w:rPr>
        <w:t xml:space="preserve">على يد مسؤولين عموميين أو أفراد آخرين </w:t>
      </w:r>
      <w:r w:rsidRPr="00AA537D">
        <w:rPr>
          <w:rFonts w:hint="cs"/>
          <w:spacing w:val="0"/>
          <w:kern w:val="0"/>
          <w:rtl/>
        </w:rPr>
        <w:t>يعملون نيابة عن ا</w:t>
      </w:r>
      <w:r w:rsidRPr="00AA537D">
        <w:rPr>
          <w:spacing w:val="0"/>
          <w:kern w:val="0"/>
          <w:rtl/>
        </w:rPr>
        <w:t>لسلطات الحكومية. وبما أن السلطات الروسية شعرت بالحاجة إلى إرفاق ضمانات دبلوماسية مع طلب التسليم، فيمكن النظر إلى ذلك في حد ذاته باعتباره دليلاً على وجود خطر التعرض للتعذيب</w:t>
      </w:r>
      <w:r w:rsidRPr="00AA537D">
        <w:rPr>
          <w:spacing w:val="0"/>
          <w:kern w:val="0"/>
          <w:vertAlign w:val="superscript"/>
          <w:rtl/>
        </w:rPr>
        <w:t>(</w:t>
      </w:r>
      <w:r w:rsidRPr="00AA537D">
        <w:rPr>
          <w:rStyle w:val="FootnoteReference"/>
          <w:spacing w:val="0"/>
          <w:rtl/>
        </w:rPr>
        <w:footnoteReference w:id="370"/>
      </w:r>
      <w:r w:rsidRPr="00AA537D">
        <w:rPr>
          <w:spacing w:val="0"/>
          <w:kern w:val="0"/>
          <w:vertAlign w:val="superscript"/>
          <w:rtl/>
        </w:rPr>
        <w:t>)</w:t>
      </w:r>
      <w:r w:rsidRPr="00AA537D">
        <w:rPr>
          <w:spacing w:val="0"/>
          <w:kern w:val="0"/>
          <w:rtl/>
        </w:rPr>
        <w:t>.</w:t>
      </w:r>
    </w:p>
    <w:p w:rsidR="00FA6676" w:rsidRPr="00AA537D" w:rsidRDefault="00FA6676" w:rsidP="00466B80">
      <w:pPr>
        <w:pStyle w:val="SingleTxtGA"/>
        <w:jc w:val="lowKashida"/>
        <w:rPr>
          <w:spacing w:val="0"/>
          <w:kern w:val="0"/>
          <w:rtl/>
        </w:rPr>
      </w:pPr>
      <w:r w:rsidRPr="00AA537D">
        <w:rPr>
          <w:spacing w:val="0"/>
          <w:kern w:val="0"/>
          <w:rtl/>
        </w:rPr>
        <w:t>5-11</w:t>
      </w:r>
      <w:r w:rsidRPr="00AA537D">
        <w:rPr>
          <w:spacing w:val="0"/>
          <w:kern w:val="0"/>
          <w:rtl/>
        </w:rPr>
        <w:tab/>
        <w:t xml:space="preserve">وفيما يتعلق بادعاء الدولة الطرف أن صاحب الشكوى لم يطرح مسألة خطر التعرض للتعذيب في سياق إجراءات المجلس الأعلى للقضاء، يلاحظ صاحب الشكوى أن هذا الادعاء منافٍ للحقيقة على نحوٍ </w:t>
      </w:r>
      <w:r w:rsidRPr="00AA537D">
        <w:rPr>
          <w:rFonts w:hint="cs"/>
          <w:spacing w:val="0"/>
          <w:kern w:val="0"/>
          <w:rtl/>
        </w:rPr>
        <w:t xml:space="preserve">جلي إذ إن </w:t>
      </w:r>
      <w:r w:rsidRPr="00AA537D">
        <w:rPr>
          <w:spacing w:val="0"/>
          <w:kern w:val="0"/>
          <w:rtl/>
        </w:rPr>
        <w:t xml:space="preserve">محاميه </w:t>
      </w:r>
      <w:r w:rsidRPr="00AA537D">
        <w:rPr>
          <w:rFonts w:hint="cs"/>
          <w:spacing w:val="0"/>
          <w:kern w:val="0"/>
          <w:rtl/>
        </w:rPr>
        <w:t xml:space="preserve">دأب </w:t>
      </w:r>
      <w:r w:rsidRPr="00AA537D">
        <w:rPr>
          <w:spacing w:val="0"/>
          <w:kern w:val="0"/>
          <w:rtl/>
        </w:rPr>
        <w:t xml:space="preserve">على الاحتجاج بأن تسليم صاحب الشكوى سيعرضه بشدة لخطر التعذيب أو ربما القتل. غير أن المجلس الأعلى للقضاء لم يأخذ بعين الاعتبار حجج محامي صاحب الشكوى، نظراً إلى أن الحكم ذا الصلة في قانون الإجراءات الجنائية ينص على عدم جواز رفض التسليم إلا </w:t>
      </w:r>
      <w:r w:rsidRPr="00AA537D">
        <w:rPr>
          <w:rFonts w:hint="cs"/>
          <w:spacing w:val="0"/>
          <w:kern w:val="0"/>
          <w:rtl/>
        </w:rPr>
        <w:t xml:space="preserve">في </w:t>
      </w:r>
      <w:r w:rsidRPr="00AA537D">
        <w:rPr>
          <w:spacing w:val="0"/>
          <w:kern w:val="0"/>
          <w:rtl/>
        </w:rPr>
        <w:t>حال وجود أسباب جادة تدعو إلى الاعتقاد بأن الطلب قُدم لغرض وحيد هو مقاضاة أو معاقبة شخص لاعتبارات تميزية أو</w:t>
      </w:r>
      <w:r w:rsidR="00466B80">
        <w:rPr>
          <w:rFonts w:hint="cs"/>
          <w:spacing w:val="0"/>
          <w:kern w:val="0"/>
          <w:rtl/>
        </w:rPr>
        <w:t> </w:t>
      </w:r>
      <w:r w:rsidRPr="00AA537D">
        <w:rPr>
          <w:spacing w:val="0"/>
          <w:kern w:val="0"/>
          <w:rtl/>
        </w:rPr>
        <w:t xml:space="preserve">دينية أو لأسباب تتعلق بجنسيته أو معتقداته السياسية. ولذلك يشير صاحب الشكوى إلى أن القانون المحلي للمغرب لا يمتثل تمام الامتثال لاشتراطات المادة 3 من </w:t>
      </w:r>
      <w:r w:rsidRPr="00AA537D">
        <w:rPr>
          <w:rFonts w:hint="cs"/>
          <w:spacing w:val="0"/>
          <w:kern w:val="0"/>
          <w:rtl/>
        </w:rPr>
        <w:t>الاتفاقية</w:t>
      </w:r>
      <w:r w:rsidRPr="00AA537D">
        <w:rPr>
          <w:spacing w:val="0"/>
          <w:kern w:val="0"/>
          <w:rtl/>
        </w:rPr>
        <w:t>. كما أن زعم الدولة الطرف يتناقض مع بيانها النهائي الذي لم تجد السلطات المحلية بموجبه أي دليل على احتمال تعرّض صاحب الشكوى للتعذيب.</w:t>
      </w:r>
    </w:p>
    <w:p w:rsidR="00FA6676" w:rsidRPr="00AA537D" w:rsidRDefault="00466B80" w:rsidP="00AA537D">
      <w:pPr>
        <w:pStyle w:val="H23GA"/>
        <w:jc w:val="lowKashida"/>
        <w:rPr>
          <w:spacing w:val="0"/>
          <w:kern w:val="0"/>
          <w:rtl/>
        </w:rPr>
      </w:pPr>
      <w:r>
        <w:rPr>
          <w:spacing w:val="0"/>
          <w:kern w:val="0"/>
          <w:rtl/>
        </w:rPr>
        <w:br w:type="page"/>
      </w:r>
      <w:r w:rsidR="00FA6676" w:rsidRPr="00AA537D">
        <w:rPr>
          <w:rFonts w:hint="cs"/>
          <w:spacing w:val="0"/>
          <w:kern w:val="0"/>
          <w:rtl/>
        </w:rPr>
        <w:tab/>
      </w:r>
      <w:r w:rsidR="00FA6676" w:rsidRPr="00AA537D">
        <w:rPr>
          <w:rFonts w:hint="cs"/>
          <w:spacing w:val="0"/>
          <w:kern w:val="0"/>
          <w:rtl/>
        </w:rPr>
        <w:tab/>
      </w:r>
      <w:r w:rsidR="00FA6676" w:rsidRPr="00AA537D">
        <w:rPr>
          <w:spacing w:val="0"/>
          <w:kern w:val="0"/>
          <w:rtl/>
        </w:rPr>
        <w:t>ملاحظات الدولة الطرف بشأن الأسس الموضوعية</w:t>
      </w:r>
    </w:p>
    <w:p w:rsidR="00FA6676" w:rsidRPr="00AA537D" w:rsidRDefault="00FA6676" w:rsidP="00466B80">
      <w:pPr>
        <w:pStyle w:val="SingleTxtGA"/>
        <w:spacing w:line="374" w:lineRule="exact"/>
        <w:jc w:val="lowKashida"/>
        <w:rPr>
          <w:spacing w:val="0"/>
          <w:kern w:val="0"/>
          <w:rtl/>
        </w:rPr>
      </w:pPr>
      <w:r w:rsidRPr="00AA537D">
        <w:rPr>
          <w:spacing w:val="0"/>
          <w:kern w:val="0"/>
          <w:rtl/>
        </w:rPr>
        <w:t>6-1</w:t>
      </w:r>
      <w:r w:rsidRPr="00AA537D">
        <w:rPr>
          <w:spacing w:val="0"/>
          <w:kern w:val="0"/>
          <w:rtl/>
        </w:rPr>
        <w:tab/>
        <w:t>في 18 شباط/فبراير 2011</w:t>
      </w:r>
      <w:r w:rsidRPr="00AA537D">
        <w:rPr>
          <w:rFonts w:hint="cs"/>
          <w:spacing w:val="0"/>
          <w:kern w:val="0"/>
          <w:rtl/>
        </w:rPr>
        <w:t>،</w:t>
      </w:r>
      <w:r w:rsidRPr="00AA537D">
        <w:rPr>
          <w:spacing w:val="0"/>
          <w:kern w:val="0"/>
          <w:rtl/>
        </w:rPr>
        <w:t xml:space="preserve"> قدمت الدولة الطرف ملاحظاتها بشأن الأسس الموضوعية للشكوى، و</w:t>
      </w:r>
      <w:r w:rsidRPr="00AA537D">
        <w:rPr>
          <w:rFonts w:hint="cs"/>
          <w:spacing w:val="0"/>
          <w:kern w:val="0"/>
          <w:rtl/>
        </w:rPr>
        <w:t>لاحظت</w:t>
      </w:r>
      <w:r w:rsidRPr="00AA537D">
        <w:rPr>
          <w:spacing w:val="0"/>
          <w:kern w:val="0"/>
          <w:rtl/>
        </w:rPr>
        <w:t xml:space="preserve"> أن اختصاص القضاء الوطني في حالة تسليم المجرمين يقتصر على إصدار قرار بشأن طلب التسليم، وذلك بالتحقق من استيفاء الشروط الرسمية والموضوعية المنصوص عليها في الاتفاقات الثنائية والمتعددة الأطراف أو في التشريعات المحلية، والتحقق من وجود مسؤولية جنائية مزدوجة وحد أدنى للعقوبة. وتشير الدولة الطرف أيضاً إلى أن الجرم ليس ذا طبيعة سياسية أو عسكرية، وأن الطلب لا يستند إلى أسس عرقية أو</w:t>
      </w:r>
      <w:r w:rsidR="00466B80">
        <w:rPr>
          <w:rFonts w:hint="cs"/>
          <w:spacing w:val="0"/>
          <w:kern w:val="0"/>
          <w:rtl/>
        </w:rPr>
        <w:t> </w:t>
      </w:r>
      <w:r w:rsidRPr="00AA537D">
        <w:rPr>
          <w:spacing w:val="0"/>
          <w:kern w:val="0"/>
          <w:rtl/>
        </w:rPr>
        <w:t>تمييزية، وأنها لن تعرض الشخص المطلوب للخطر أو لاحتمال التعرض للتعذيب.</w:t>
      </w:r>
    </w:p>
    <w:p w:rsidR="00FA6676" w:rsidRPr="00AA537D" w:rsidRDefault="00FA6676" w:rsidP="00ED61B0">
      <w:pPr>
        <w:pStyle w:val="SingleTxtGA"/>
        <w:spacing w:line="374" w:lineRule="exact"/>
        <w:jc w:val="lowKashida"/>
        <w:rPr>
          <w:spacing w:val="0"/>
          <w:kern w:val="0"/>
          <w:rtl/>
        </w:rPr>
      </w:pPr>
      <w:r w:rsidRPr="00AA537D">
        <w:rPr>
          <w:spacing w:val="0"/>
          <w:kern w:val="0"/>
          <w:rtl/>
        </w:rPr>
        <w:t>6-2</w:t>
      </w:r>
      <w:r w:rsidRPr="00AA537D">
        <w:rPr>
          <w:spacing w:val="0"/>
          <w:kern w:val="0"/>
          <w:rtl/>
        </w:rPr>
        <w:tab/>
        <w:t xml:space="preserve">وتشير الدولة الطرف مجدداً إلى أن صاحب الشكوى لم يستنفد سبل الانتصاف المحلية، حيث لم يطرح مسألة التعذيب أمام المجلس الأعلى للقضاء. كما تلاحظ أن محامي الدفاع كان حاضراً في جميع المراحل، بداية من تقديم </w:t>
      </w:r>
      <w:r w:rsidRPr="00AA537D">
        <w:rPr>
          <w:rFonts w:hint="cs"/>
          <w:spacing w:val="0"/>
          <w:kern w:val="0"/>
          <w:rtl/>
        </w:rPr>
        <w:t xml:space="preserve">حجة </w:t>
      </w:r>
      <w:r w:rsidRPr="00AA537D">
        <w:rPr>
          <w:spacing w:val="0"/>
          <w:kern w:val="0"/>
          <w:rtl/>
        </w:rPr>
        <w:t>الدفاع إلى الغرفة الجنائية للمجلس الأعلى للقضاء وحتى تقديم ا</w:t>
      </w:r>
      <w:r w:rsidRPr="00AA537D">
        <w:rPr>
          <w:rFonts w:hint="cs"/>
          <w:spacing w:val="0"/>
          <w:kern w:val="0"/>
          <w:rtl/>
        </w:rPr>
        <w:t xml:space="preserve">ستئناف </w:t>
      </w:r>
      <w:r w:rsidRPr="00AA537D">
        <w:rPr>
          <w:spacing w:val="0"/>
          <w:kern w:val="0"/>
          <w:rtl/>
        </w:rPr>
        <w:t xml:space="preserve">لمراجعة قرار الموافقة على طلب التسليم </w:t>
      </w:r>
      <w:r w:rsidRPr="00AA537D">
        <w:rPr>
          <w:rFonts w:hint="cs"/>
          <w:spacing w:val="0"/>
          <w:kern w:val="0"/>
          <w:rtl/>
        </w:rPr>
        <w:t xml:space="preserve">الصادر </w:t>
      </w:r>
      <w:r w:rsidRPr="00AA537D">
        <w:rPr>
          <w:spacing w:val="0"/>
          <w:kern w:val="0"/>
          <w:rtl/>
        </w:rPr>
        <w:t>في 10 آذار/مارس 2010. وتشير الدولة الطرف إلى أن المادة 721 من قانون الإجراءات الجنائية تقضي برفض طلبات التسليم إذا توفرت للسلطات المغربية أسس قوية تدعو إلى الاعتقاد بأن طلب التسليم بسبب ارتكاب جرم عادي قد قُدم لغرض اضطهاد شخص أو</w:t>
      </w:r>
      <w:r w:rsidR="00ED61B0">
        <w:rPr>
          <w:rFonts w:hint="cs"/>
          <w:spacing w:val="0"/>
          <w:kern w:val="0"/>
          <w:rtl/>
        </w:rPr>
        <w:t> </w:t>
      </w:r>
      <w:r w:rsidRPr="00AA537D">
        <w:rPr>
          <w:spacing w:val="0"/>
          <w:kern w:val="0"/>
          <w:rtl/>
        </w:rPr>
        <w:t>معاقبته بسبب أصله العرقي أو دينه أو جنسيته أو آرائه السياسية، أو بأن وضع الشخص قد يلحقه ضرر لأي سبب من هذه الأسباب.</w:t>
      </w:r>
    </w:p>
    <w:p w:rsidR="00FA6676" w:rsidRPr="00AA537D" w:rsidRDefault="00FA6676" w:rsidP="00466B80">
      <w:pPr>
        <w:pStyle w:val="SingleTxtGA"/>
        <w:spacing w:line="374" w:lineRule="exact"/>
        <w:jc w:val="lowKashida"/>
        <w:rPr>
          <w:spacing w:val="0"/>
          <w:kern w:val="0"/>
          <w:rtl/>
        </w:rPr>
      </w:pPr>
      <w:r w:rsidRPr="00AA537D">
        <w:rPr>
          <w:spacing w:val="0"/>
          <w:kern w:val="0"/>
          <w:rtl/>
        </w:rPr>
        <w:t>6-3</w:t>
      </w:r>
      <w:r w:rsidRPr="00AA537D">
        <w:rPr>
          <w:spacing w:val="0"/>
          <w:kern w:val="0"/>
          <w:rtl/>
        </w:rPr>
        <w:tab/>
        <w:t>وتلاحظ الدولة الطرف أيضاً أن طلب تسليم صاحب الشكوى أُرفقت به ضمانات دبلوماسية بعدم تعريضه للتعذيب أو للاعتداء على كرامته الإنسانية بعد تسليمه من جانب الدولة الطرف إلى الاتحاد الروسي. وتشير إلى أن هذا التدبير تقليدي ومعروف في سياق تسليم المجرمين</w:t>
      </w:r>
      <w:r w:rsidRPr="00AA537D">
        <w:rPr>
          <w:rFonts w:hint="cs"/>
          <w:spacing w:val="0"/>
          <w:kern w:val="0"/>
          <w:rtl/>
        </w:rPr>
        <w:t>،</w:t>
      </w:r>
      <w:r w:rsidRPr="00AA537D">
        <w:rPr>
          <w:spacing w:val="0"/>
          <w:kern w:val="0"/>
          <w:rtl/>
        </w:rPr>
        <w:t xml:space="preserve"> </w:t>
      </w:r>
      <w:r w:rsidRPr="00AA537D">
        <w:rPr>
          <w:rFonts w:hint="cs"/>
          <w:spacing w:val="0"/>
          <w:kern w:val="0"/>
          <w:rtl/>
        </w:rPr>
        <w:t>و</w:t>
      </w:r>
      <w:r w:rsidRPr="00AA537D">
        <w:rPr>
          <w:spacing w:val="0"/>
          <w:kern w:val="0"/>
          <w:rtl/>
        </w:rPr>
        <w:t xml:space="preserve">لا سيما </w:t>
      </w:r>
      <w:r w:rsidRPr="00AA537D">
        <w:rPr>
          <w:rFonts w:hint="cs"/>
          <w:spacing w:val="0"/>
          <w:kern w:val="0"/>
          <w:rtl/>
        </w:rPr>
        <w:t xml:space="preserve">في </w:t>
      </w:r>
      <w:r w:rsidRPr="00AA537D">
        <w:rPr>
          <w:spacing w:val="0"/>
          <w:kern w:val="0"/>
          <w:rtl/>
        </w:rPr>
        <w:t xml:space="preserve">حال عدم وجود معاهدة تسليم، </w:t>
      </w:r>
      <w:r w:rsidRPr="00AA537D">
        <w:rPr>
          <w:rFonts w:hint="cs"/>
          <w:spacing w:val="0"/>
          <w:kern w:val="0"/>
          <w:rtl/>
        </w:rPr>
        <w:t>و</w:t>
      </w:r>
      <w:r w:rsidRPr="00AA537D">
        <w:rPr>
          <w:spacing w:val="0"/>
          <w:kern w:val="0"/>
          <w:rtl/>
        </w:rPr>
        <w:t>إلى أن</w:t>
      </w:r>
      <w:r w:rsidRPr="00AA537D">
        <w:rPr>
          <w:rFonts w:hint="cs"/>
          <w:spacing w:val="0"/>
          <w:kern w:val="0"/>
          <w:rtl/>
        </w:rPr>
        <w:t>ه</w:t>
      </w:r>
      <w:r w:rsidRPr="00AA537D">
        <w:rPr>
          <w:spacing w:val="0"/>
          <w:kern w:val="0"/>
          <w:rtl/>
        </w:rPr>
        <w:t xml:space="preserve"> لا يمكن تفسيره في أي ظرف من الظروف على أنه دليل على وجود التعذيب في الدولة المقدمة لطلب التسليم. وتلاحظ الدولة الطرف كذلك أن الاتحاد الروسي طرف في اتفاقية مناهضة التعذيب وغيره من ضروب المعاملة أو العقوبة القاسية أو اللاإنسانية أو المهينة، ومن ثم فهو ملتزم باحترام أحكام هذه الاتفاقية.</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المعلومات الإضافية التي قدمها صاحب الشكوى</w:t>
      </w:r>
    </w:p>
    <w:p w:rsidR="00FA6676" w:rsidRPr="00AA537D" w:rsidRDefault="00FA6676" w:rsidP="00AA537D">
      <w:pPr>
        <w:pStyle w:val="SingleTxtGA"/>
        <w:jc w:val="lowKashida"/>
        <w:rPr>
          <w:spacing w:val="0"/>
          <w:kern w:val="0"/>
          <w:rtl/>
        </w:rPr>
      </w:pPr>
      <w:r w:rsidRPr="00AA537D">
        <w:rPr>
          <w:spacing w:val="0"/>
          <w:kern w:val="0"/>
          <w:rtl/>
        </w:rPr>
        <w:t>7-1</w:t>
      </w:r>
      <w:r w:rsidRPr="00AA537D">
        <w:rPr>
          <w:spacing w:val="0"/>
          <w:kern w:val="0"/>
          <w:rtl/>
        </w:rPr>
        <w:tab/>
        <w:t>في 9 أيار/مايو 2011</w:t>
      </w:r>
      <w:r w:rsidRPr="00AA537D">
        <w:rPr>
          <w:rFonts w:hint="cs"/>
          <w:spacing w:val="0"/>
          <w:kern w:val="0"/>
          <w:rtl/>
        </w:rPr>
        <w:t>،</w:t>
      </w:r>
      <w:r w:rsidRPr="00AA537D">
        <w:rPr>
          <w:spacing w:val="0"/>
          <w:kern w:val="0"/>
          <w:rtl/>
        </w:rPr>
        <w:t xml:space="preserve"> قدم صاحب الشكوى معلومات إضافية وطلب إلى اللجنة التأكيد مجدداً على اتخاذ التدابير المؤقتة. وأشار صاحب الشكوى إلى أنه لا يزال محتجزاً بسجن الزاكي المدني في مدينة سلا، بالقرب من الرباط، رغم انقضاء الفترة القصوى للاحتجاز ريثما يتم التسليم. وقال إن الطلبات التي قدمها للإفراج عنه رُفضت. وأضاف أن الدولة الطرف قامت خلال الأشهر القليلة السابقة بتشديد التدابير الأمنية داخل السجن، وفرضت قيوداً مشددة على مكالماته الهاتفية</w:t>
      </w:r>
      <w:r w:rsidRPr="00AA537D">
        <w:rPr>
          <w:rFonts w:hint="cs"/>
          <w:spacing w:val="0"/>
          <w:kern w:val="0"/>
          <w:rtl/>
        </w:rPr>
        <w:t>،</w:t>
      </w:r>
      <w:r w:rsidRPr="00AA537D">
        <w:rPr>
          <w:spacing w:val="0"/>
          <w:kern w:val="0"/>
          <w:rtl/>
        </w:rPr>
        <w:t xml:space="preserve"> مما قطع سبل اتصاله بمحاميه.</w:t>
      </w:r>
    </w:p>
    <w:p w:rsidR="00FA6676" w:rsidRPr="00AA537D" w:rsidRDefault="00FA6676" w:rsidP="00AA537D">
      <w:pPr>
        <w:pStyle w:val="SingleTxtGA"/>
        <w:jc w:val="lowKashida"/>
        <w:rPr>
          <w:spacing w:val="0"/>
          <w:kern w:val="0"/>
          <w:rtl/>
        </w:rPr>
      </w:pPr>
      <w:r w:rsidRPr="00AA537D">
        <w:rPr>
          <w:spacing w:val="0"/>
          <w:kern w:val="0"/>
          <w:rtl/>
        </w:rPr>
        <w:t>7-2</w:t>
      </w:r>
      <w:r w:rsidRPr="00AA537D">
        <w:rPr>
          <w:spacing w:val="0"/>
          <w:kern w:val="0"/>
          <w:rtl/>
        </w:rPr>
        <w:tab/>
        <w:t>وفي نهاية نيسان/أبريل، قام مسؤول من وزارة العدل بزيارة صاحب الشكوى وطلب منه توقيع بعض الوثائق باللغتين العربية والفرنسية. ولم يكن بمقدور صاحب الشكوى قراءة الوثائق فرفض التوقيع عليها. وأ</w:t>
      </w:r>
      <w:r w:rsidRPr="00AA537D">
        <w:rPr>
          <w:rFonts w:hint="cs"/>
          <w:spacing w:val="0"/>
          <w:kern w:val="0"/>
          <w:rtl/>
        </w:rPr>
        <w:t>بلغ</w:t>
      </w:r>
      <w:r w:rsidRPr="00AA537D">
        <w:rPr>
          <w:spacing w:val="0"/>
          <w:kern w:val="0"/>
          <w:rtl/>
        </w:rPr>
        <w:t>ه المسؤول أنه سيُسلّم بحلول نهاية شهر أيار/مايو.</w:t>
      </w:r>
    </w:p>
    <w:p w:rsidR="00FA6676" w:rsidRPr="00AA537D" w:rsidRDefault="00FA6676" w:rsidP="00AA537D">
      <w:pPr>
        <w:pStyle w:val="SingleTxtGA"/>
        <w:jc w:val="lowKashida"/>
        <w:rPr>
          <w:spacing w:val="0"/>
          <w:kern w:val="0"/>
          <w:rtl/>
        </w:rPr>
      </w:pPr>
      <w:r w:rsidRPr="00AA537D">
        <w:rPr>
          <w:spacing w:val="0"/>
          <w:kern w:val="0"/>
          <w:rtl/>
        </w:rPr>
        <w:t>8-</w:t>
      </w:r>
      <w:r w:rsidRPr="00AA537D">
        <w:rPr>
          <w:spacing w:val="0"/>
          <w:kern w:val="0"/>
          <w:rtl/>
        </w:rPr>
        <w:tab/>
        <w:t>وفي 15 أيار/مايو 2011</w:t>
      </w:r>
      <w:r w:rsidRPr="00AA537D">
        <w:rPr>
          <w:rFonts w:hint="cs"/>
          <w:spacing w:val="0"/>
          <w:kern w:val="0"/>
          <w:rtl/>
        </w:rPr>
        <w:t>،</w:t>
      </w:r>
      <w:r w:rsidRPr="00AA537D">
        <w:rPr>
          <w:spacing w:val="0"/>
          <w:kern w:val="0"/>
          <w:rtl/>
        </w:rPr>
        <w:t xml:space="preserve"> ذكر المحامي أن صاحب الشكوى أُعيد قسراً إلى الاتحاد الروسي في 14 أيار/مايو 2011 بعد أن أُطلق سراحه فجأة من السجن في الساعة السادسة مساءً. ويُشير المحامي إلى أن وسائط الإعلام أفادت بأن صاحب الشكوى سُلّم إلى الاتحاد الروسي </w:t>
      </w:r>
      <w:r w:rsidRPr="00AA537D">
        <w:rPr>
          <w:rFonts w:hint="cs"/>
          <w:spacing w:val="0"/>
          <w:kern w:val="0"/>
          <w:rtl/>
        </w:rPr>
        <w:t>بنقله على متن ال</w:t>
      </w:r>
      <w:r w:rsidRPr="00AA537D">
        <w:rPr>
          <w:spacing w:val="0"/>
          <w:kern w:val="0"/>
          <w:rtl/>
        </w:rPr>
        <w:t xml:space="preserve">طائرة </w:t>
      </w:r>
      <w:r w:rsidRPr="00AA537D">
        <w:rPr>
          <w:rFonts w:hint="cs"/>
          <w:spacing w:val="0"/>
          <w:kern w:val="0"/>
          <w:rtl/>
        </w:rPr>
        <w:t xml:space="preserve">التي </w:t>
      </w:r>
      <w:r w:rsidRPr="00AA537D">
        <w:rPr>
          <w:spacing w:val="0"/>
          <w:kern w:val="0"/>
          <w:rtl/>
        </w:rPr>
        <w:t>أقلعت به في الساعة 15/11 مساءً. وفي إشارة إلى الرأي القانوني للجنة، أ</w:t>
      </w:r>
      <w:r w:rsidRPr="00AA537D">
        <w:rPr>
          <w:rFonts w:hint="cs"/>
          <w:spacing w:val="0"/>
          <w:kern w:val="0"/>
          <w:rtl/>
        </w:rPr>
        <w:t>كد</w:t>
      </w:r>
      <w:r w:rsidRPr="00AA537D">
        <w:rPr>
          <w:spacing w:val="0"/>
          <w:kern w:val="0"/>
          <w:rtl/>
        </w:rPr>
        <w:t xml:space="preserve"> المحامي أن الامتثال للتدابير المؤقتة أمر أساسي لحماية صاحب الشكوى من ضرر لا يمكن جبره، وأن قبول الدولة الطرف الطوعي لاختصاص اللجنة بموجب المادة</w:t>
      </w:r>
      <w:r w:rsidRPr="00AA537D">
        <w:rPr>
          <w:rFonts w:hint="cs"/>
          <w:spacing w:val="0"/>
          <w:kern w:val="0"/>
          <w:rtl/>
        </w:rPr>
        <w:t> </w:t>
      </w:r>
      <w:r w:rsidRPr="00AA537D">
        <w:rPr>
          <w:spacing w:val="0"/>
          <w:kern w:val="0"/>
          <w:rtl/>
        </w:rPr>
        <w:t>22 يعني تعهدها بالتعاون بنية حسنة في تنفيذ الإجراءات</w:t>
      </w:r>
      <w:r w:rsidRPr="00AA537D">
        <w:rPr>
          <w:spacing w:val="0"/>
          <w:kern w:val="0"/>
          <w:vertAlign w:val="superscript"/>
          <w:rtl/>
        </w:rPr>
        <w:t>(</w:t>
      </w:r>
      <w:r w:rsidRPr="00AA537D">
        <w:rPr>
          <w:rStyle w:val="FootnoteReference"/>
          <w:spacing w:val="0"/>
          <w:rtl/>
        </w:rPr>
        <w:footnoteReference w:id="371"/>
      </w:r>
      <w:r w:rsidRPr="00AA537D">
        <w:rPr>
          <w:spacing w:val="0"/>
          <w:kern w:val="0"/>
          <w:vertAlign w:val="superscript"/>
          <w:rtl/>
        </w:rPr>
        <w:t>)</w:t>
      </w:r>
      <w:r w:rsidRPr="00AA537D">
        <w:rPr>
          <w:spacing w:val="0"/>
          <w:kern w:val="0"/>
          <w:rtl/>
        </w:rPr>
        <w:t>.</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المعلومات الإضافية التي قدمتها الدولة الطرف</w:t>
      </w:r>
    </w:p>
    <w:p w:rsidR="00FA6676" w:rsidRPr="00AA537D" w:rsidRDefault="00FA6676" w:rsidP="00AA537D">
      <w:pPr>
        <w:pStyle w:val="SingleTxtGA"/>
        <w:jc w:val="lowKashida"/>
        <w:rPr>
          <w:spacing w:val="0"/>
          <w:kern w:val="0"/>
          <w:rtl/>
        </w:rPr>
      </w:pPr>
      <w:r w:rsidRPr="00AA537D">
        <w:rPr>
          <w:spacing w:val="0"/>
          <w:kern w:val="0"/>
          <w:rtl/>
        </w:rPr>
        <w:t>9-1</w:t>
      </w:r>
      <w:r w:rsidRPr="00AA537D">
        <w:rPr>
          <w:spacing w:val="0"/>
          <w:kern w:val="0"/>
          <w:rtl/>
        </w:rPr>
        <w:tab/>
        <w:t>في 10 حزيران/يونيه 2011</w:t>
      </w:r>
      <w:r w:rsidRPr="00AA537D">
        <w:rPr>
          <w:rFonts w:hint="cs"/>
          <w:spacing w:val="0"/>
          <w:kern w:val="0"/>
          <w:rtl/>
        </w:rPr>
        <w:t>،</w:t>
      </w:r>
      <w:r w:rsidRPr="00AA537D">
        <w:rPr>
          <w:spacing w:val="0"/>
          <w:kern w:val="0"/>
          <w:rtl/>
        </w:rPr>
        <w:t xml:space="preserve"> قدمت الدولة الطرف ملاحظات إضافية أكدت فيها أن صاحب الشكوى سُلم لسلطات بلده في 14 أيار/مايو 2011 تنفيذاً لأمر التسليم الموقع من السلطات المغربية المختصة.</w:t>
      </w:r>
    </w:p>
    <w:p w:rsidR="00FA6676" w:rsidRPr="00AA537D" w:rsidRDefault="00FA6676" w:rsidP="00AA537D">
      <w:pPr>
        <w:pStyle w:val="SingleTxtGA"/>
        <w:jc w:val="lowKashida"/>
        <w:rPr>
          <w:spacing w:val="0"/>
          <w:kern w:val="0"/>
          <w:rtl/>
        </w:rPr>
      </w:pPr>
      <w:r w:rsidRPr="00AA537D">
        <w:rPr>
          <w:spacing w:val="0"/>
          <w:kern w:val="0"/>
          <w:rtl/>
        </w:rPr>
        <w:t>9-2</w:t>
      </w:r>
      <w:r w:rsidRPr="00AA537D">
        <w:rPr>
          <w:spacing w:val="0"/>
          <w:kern w:val="0"/>
          <w:rtl/>
        </w:rPr>
        <w:tab/>
        <w:t>وتُ</w:t>
      </w:r>
      <w:r w:rsidRPr="00AA537D">
        <w:rPr>
          <w:rFonts w:hint="cs"/>
          <w:spacing w:val="0"/>
          <w:kern w:val="0"/>
          <w:rtl/>
        </w:rPr>
        <w:t>فيد</w:t>
      </w:r>
      <w:r w:rsidRPr="00AA537D">
        <w:rPr>
          <w:spacing w:val="0"/>
          <w:kern w:val="0"/>
          <w:rtl/>
        </w:rPr>
        <w:t xml:space="preserve"> الدولة الطرف أن صاحب الشكوى احتُجز في سجن سلا منذ 17 كانون الثاني/يناير 2010 في إطار إجراءات التسليم. وتُ</w:t>
      </w:r>
      <w:r w:rsidRPr="00AA537D">
        <w:rPr>
          <w:rFonts w:hint="cs"/>
          <w:spacing w:val="0"/>
          <w:kern w:val="0"/>
          <w:rtl/>
        </w:rPr>
        <w:t>فيد</w:t>
      </w:r>
      <w:r w:rsidRPr="00AA537D">
        <w:rPr>
          <w:spacing w:val="0"/>
          <w:kern w:val="0"/>
          <w:rtl/>
        </w:rPr>
        <w:t xml:space="preserve"> أيضاً أن لجنة مناهضة التعذيب لم تبلّغ سلطات الدولة الطرف بالقرار المتخذ بشأن البلاغ</w:t>
      </w:r>
      <w:r w:rsidRPr="00AA537D">
        <w:rPr>
          <w:rFonts w:hint="cs"/>
          <w:spacing w:val="0"/>
          <w:kern w:val="0"/>
          <w:rtl/>
        </w:rPr>
        <w:t>،</w:t>
      </w:r>
      <w:r w:rsidRPr="00AA537D">
        <w:rPr>
          <w:spacing w:val="0"/>
          <w:kern w:val="0"/>
          <w:rtl/>
        </w:rPr>
        <w:t xml:space="preserve"> الذي أعرب فيه محامي السيد كالينيتشنكو عن قلقه إزاء خطر تعرض موكله للتعذيب </w:t>
      </w:r>
      <w:r w:rsidRPr="00AA537D">
        <w:rPr>
          <w:rFonts w:hint="cs"/>
          <w:spacing w:val="0"/>
          <w:kern w:val="0"/>
          <w:rtl/>
        </w:rPr>
        <w:t xml:space="preserve">في </w:t>
      </w:r>
      <w:r w:rsidRPr="00AA537D">
        <w:rPr>
          <w:spacing w:val="0"/>
          <w:kern w:val="0"/>
          <w:rtl/>
        </w:rPr>
        <w:t xml:space="preserve">حال تسليمه إلى الاتحاد الروسي. وأدى التأخر في دراسة البلاغ إلى الإضرار بموقف صاحب الشكوى في القضية الجنائية، إذ إن أمر البحث وإلقاء القبض الصادر من المحاكم الروسية هو الوثيقة الوحيدة التي تسوّغ احتجازه. </w:t>
      </w:r>
      <w:r w:rsidRPr="00AA537D">
        <w:rPr>
          <w:rFonts w:hint="cs"/>
          <w:spacing w:val="0"/>
          <w:kern w:val="0"/>
          <w:rtl/>
        </w:rPr>
        <w:t>و</w:t>
      </w:r>
      <w:r w:rsidRPr="00AA537D">
        <w:rPr>
          <w:spacing w:val="0"/>
          <w:kern w:val="0"/>
          <w:rtl/>
        </w:rPr>
        <w:t xml:space="preserve">علاوة على ذلك، رفض المجلس الأعلى للقضاء طلباً </w:t>
      </w:r>
      <w:r w:rsidRPr="00AA537D">
        <w:rPr>
          <w:rFonts w:hint="cs"/>
          <w:spacing w:val="0"/>
          <w:kern w:val="0"/>
          <w:rtl/>
        </w:rPr>
        <w:t>قُ</w:t>
      </w:r>
      <w:r w:rsidRPr="00AA537D">
        <w:rPr>
          <w:spacing w:val="0"/>
          <w:kern w:val="0"/>
          <w:rtl/>
        </w:rPr>
        <w:t xml:space="preserve">دم للإفراج مؤقتاً </w:t>
      </w:r>
      <w:r w:rsidRPr="00AA537D">
        <w:rPr>
          <w:rFonts w:hint="cs"/>
          <w:spacing w:val="0"/>
          <w:kern w:val="0"/>
          <w:rtl/>
        </w:rPr>
        <w:t xml:space="preserve">عن صاحب الشكوى </w:t>
      </w:r>
      <w:r w:rsidRPr="00AA537D">
        <w:rPr>
          <w:spacing w:val="0"/>
          <w:kern w:val="0"/>
          <w:rtl/>
        </w:rPr>
        <w:t>على أساس أن العملية القضائية قد أخذت مجراها.</w:t>
      </w:r>
    </w:p>
    <w:p w:rsidR="00FA6676" w:rsidRPr="00AA537D" w:rsidRDefault="00FA6676" w:rsidP="00AA537D">
      <w:pPr>
        <w:pStyle w:val="SingleTxtGA"/>
        <w:jc w:val="lowKashida"/>
        <w:rPr>
          <w:spacing w:val="0"/>
          <w:kern w:val="0"/>
          <w:rtl/>
        </w:rPr>
      </w:pPr>
      <w:r w:rsidRPr="00AA537D">
        <w:rPr>
          <w:spacing w:val="0"/>
          <w:kern w:val="0"/>
          <w:rtl/>
        </w:rPr>
        <w:t>9-3</w:t>
      </w:r>
      <w:r w:rsidRPr="00AA537D">
        <w:rPr>
          <w:spacing w:val="0"/>
          <w:kern w:val="0"/>
          <w:rtl/>
        </w:rPr>
        <w:tab/>
        <w:t xml:space="preserve">وتُشير الدولة الطرف إلى عدم توافر أي معلومات لديها منذ 14 أيار/مايو 2011 عن مكان صاحب الشكوى أو حالته الصحية. وتُشير أيضاً إلى أن السلطات الروسية تعهدت بضمان حقه في الدفاع، بما في ذلك الحق في الحصول على مساعدة محامين في الاتحاد الروسي وفقاً لمعايير القانون الدولي، والحق في عدم التعرض للتعذيب أو للمعاملة اللاإنسانية أو المهينة وفقاً للمادة 3 من الاتفاقية الأوروبية لحقوق الإنسان، وكذلك الحق في التمتع بالحريات الأساسية الأخرى المنصوص عليها في المعاهدات والبروتوكولات ذات الصلة التي اعتمدتها الأمم المتحدة ومجلس أوروبا. وقالت السلطات الروسية إن صاحب الشكوى سيُسمح له بمغادرة الاتحاد الروسي بعد استكمال </w:t>
      </w:r>
      <w:r w:rsidRPr="00AA537D">
        <w:rPr>
          <w:rFonts w:hint="cs"/>
          <w:spacing w:val="0"/>
          <w:kern w:val="0"/>
          <w:rtl/>
        </w:rPr>
        <w:t>التحريات و</w:t>
      </w:r>
      <w:r w:rsidRPr="00AA537D">
        <w:rPr>
          <w:spacing w:val="0"/>
          <w:kern w:val="0"/>
          <w:rtl/>
        </w:rPr>
        <w:t xml:space="preserve">التحقيقات الأوّلية أو بعد قضاء العقوبة </w:t>
      </w:r>
      <w:r w:rsidRPr="00AA537D">
        <w:rPr>
          <w:rFonts w:hint="cs"/>
          <w:spacing w:val="0"/>
          <w:kern w:val="0"/>
          <w:rtl/>
        </w:rPr>
        <w:t xml:space="preserve">في حال </w:t>
      </w:r>
      <w:r w:rsidRPr="00AA537D">
        <w:rPr>
          <w:spacing w:val="0"/>
          <w:kern w:val="0"/>
          <w:rtl/>
        </w:rPr>
        <w:t>إدانته. كما تعهدت السلطات الروسية بالسماح للجنة مناهضة التعذيب بزيارة صاحب الشكوى في السجن الذي سيُحتجز فيه، وبالحديث معه على انفراد. وسوف ينضم ممثل لسفارة المغرب في موسكو إلى اللجنة عند زيارتها للسجن لتفقد أوضاع احتجاز صاحب الشكوى ولضمان تقديم الضمانات الضرورية في هذه القضية.</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المعلومات الإضافية التي قدمها صاحب الشكوى</w:t>
      </w:r>
    </w:p>
    <w:p w:rsidR="00FA6676" w:rsidRPr="00AA537D" w:rsidRDefault="00FA6676" w:rsidP="00AA537D">
      <w:pPr>
        <w:pStyle w:val="SingleTxtGA"/>
        <w:jc w:val="lowKashida"/>
        <w:rPr>
          <w:spacing w:val="0"/>
          <w:kern w:val="0"/>
          <w:rtl/>
        </w:rPr>
      </w:pPr>
      <w:r w:rsidRPr="00AA537D">
        <w:rPr>
          <w:spacing w:val="0"/>
          <w:kern w:val="0"/>
          <w:rtl/>
        </w:rPr>
        <w:t>10-1</w:t>
      </w:r>
      <w:r w:rsidRPr="00AA537D">
        <w:rPr>
          <w:spacing w:val="0"/>
          <w:kern w:val="0"/>
          <w:rtl/>
        </w:rPr>
        <w:tab/>
        <w:t>في 23 حزيران/يونيه 2011</w:t>
      </w:r>
      <w:r w:rsidRPr="00AA537D">
        <w:rPr>
          <w:rFonts w:hint="cs"/>
          <w:spacing w:val="0"/>
          <w:kern w:val="0"/>
          <w:rtl/>
        </w:rPr>
        <w:t>،</w:t>
      </w:r>
      <w:r w:rsidRPr="00AA537D">
        <w:rPr>
          <w:spacing w:val="0"/>
          <w:kern w:val="0"/>
          <w:rtl/>
        </w:rPr>
        <w:t xml:space="preserve"> قدم صاحب الشكوى معلومات إضافية </w:t>
      </w:r>
      <w:r w:rsidRPr="00AA537D">
        <w:rPr>
          <w:rFonts w:hint="cs"/>
          <w:spacing w:val="0"/>
          <w:kern w:val="0"/>
          <w:rtl/>
        </w:rPr>
        <w:t>لاحظ</w:t>
      </w:r>
      <w:r w:rsidRPr="00AA537D">
        <w:rPr>
          <w:spacing w:val="0"/>
          <w:kern w:val="0"/>
          <w:rtl/>
        </w:rPr>
        <w:t xml:space="preserve"> فيها إلى أنه أُخطر في </w:t>
      </w:r>
      <w:r w:rsidRPr="00AA537D">
        <w:rPr>
          <w:rFonts w:hint="cs"/>
          <w:spacing w:val="0"/>
          <w:kern w:val="0"/>
          <w:rtl/>
        </w:rPr>
        <w:t xml:space="preserve">حوالي </w:t>
      </w:r>
      <w:r w:rsidRPr="00AA537D">
        <w:rPr>
          <w:spacing w:val="0"/>
          <w:kern w:val="0"/>
          <w:rtl/>
        </w:rPr>
        <w:t>الساعة 30/6 من مساء يوم 14 أيار/مايو 2011 بالإفراج عنه من الاحتجاز؛ غير أنه لدى مغادرته السجن أُعيد احتجازه في الساحة الداخلية للسجن على يد أربعة أشخاص مجهولين يرتدون الزي المدني. وكُبّلت يداه واقتيد إلى مطار الدار البيضاء حيث قابله القنصل الروسي ومرافق له. ووُضع صاحب الشكوى دون أي توض</w:t>
      </w:r>
      <w:r w:rsidRPr="00AA537D">
        <w:rPr>
          <w:rFonts w:hint="cs"/>
          <w:spacing w:val="0"/>
          <w:kern w:val="0"/>
          <w:rtl/>
        </w:rPr>
        <w:t>ي</w:t>
      </w:r>
      <w:r w:rsidRPr="00AA537D">
        <w:rPr>
          <w:spacing w:val="0"/>
          <w:kern w:val="0"/>
          <w:rtl/>
        </w:rPr>
        <w:t>حات أو</w:t>
      </w:r>
      <w:r w:rsidRPr="00AA537D">
        <w:rPr>
          <w:rFonts w:hint="cs"/>
          <w:spacing w:val="0"/>
          <w:kern w:val="0"/>
          <w:rtl/>
        </w:rPr>
        <w:t> </w:t>
      </w:r>
      <w:r w:rsidRPr="00AA537D">
        <w:rPr>
          <w:spacing w:val="0"/>
          <w:kern w:val="0"/>
          <w:rtl/>
        </w:rPr>
        <w:t>وثائق رسمية في الطائرة ونُقل إلى الاتحاد الروسي.</w:t>
      </w:r>
    </w:p>
    <w:p w:rsidR="00FA6676" w:rsidRPr="00AA537D" w:rsidRDefault="00FA6676" w:rsidP="00AA537D">
      <w:pPr>
        <w:pStyle w:val="SingleTxtGA"/>
        <w:jc w:val="lowKashida"/>
        <w:rPr>
          <w:spacing w:val="0"/>
          <w:kern w:val="0"/>
          <w:rtl/>
        </w:rPr>
      </w:pPr>
      <w:r w:rsidRPr="00AA537D">
        <w:rPr>
          <w:spacing w:val="0"/>
          <w:kern w:val="0"/>
          <w:rtl/>
        </w:rPr>
        <w:t>10-2</w:t>
      </w:r>
      <w:r w:rsidRPr="00AA537D">
        <w:rPr>
          <w:spacing w:val="0"/>
          <w:kern w:val="0"/>
          <w:rtl/>
        </w:rPr>
        <w:tab/>
        <w:t>و</w:t>
      </w:r>
      <w:r w:rsidRPr="00AA537D">
        <w:rPr>
          <w:rFonts w:hint="cs"/>
          <w:spacing w:val="0"/>
          <w:kern w:val="0"/>
          <w:rtl/>
        </w:rPr>
        <w:t>لاحظ</w:t>
      </w:r>
      <w:r w:rsidRPr="00AA537D">
        <w:rPr>
          <w:spacing w:val="0"/>
          <w:kern w:val="0"/>
          <w:rtl/>
        </w:rPr>
        <w:t xml:space="preserve"> صاحب الشكوى أيضاً أنه احتُجز احتياطياً في السجن رقم 1 في يكاتيرنبرغ، وأنه أُخذ في 9 حزيران/يونيه 2011 إلى العيادة النفسية. وبعد رفضه تبديل ملابسه بملابس العيادة وبعد عدة لقاءات مع رئيس العيادة، أُعيد صاحب الشكوى إلى الحبس الاحتياطي؛ غير أنه ظل مهدداً بالاحتجاز. </w:t>
      </w:r>
    </w:p>
    <w:p w:rsidR="00FA6676" w:rsidRPr="00466B80" w:rsidRDefault="00FA6676" w:rsidP="00AA537D">
      <w:pPr>
        <w:pStyle w:val="SingleTxtGA"/>
        <w:jc w:val="lowKashida"/>
        <w:rPr>
          <w:spacing w:val="-2"/>
          <w:kern w:val="0"/>
          <w:rtl/>
        </w:rPr>
      </w:pPr>
      <w:r w:rsidRPr="00466B80">
        <w:rPr>
          <w:spacing w:val="-2"/>
          <w:kern w:val="0"/>
          <w:rtl/>
        </w:rPr>
        <w:t>10-3</w:t>
      </w:r>
      <w:r w:rsidRPr="00466B80">
        <w:rPr>
          <w:spacing w:val="-2"/>
          <w:kern w:val="0"/>
          <w:rtl/>
        </w:rPr>
        <w:tab/>
        <w:t>وأطلع صاحب الشكوى اللجنة على وثيقة وجهها إلى مسؤولي التحقيقات في الاتحاد الروسي ذكر فيها أنه سيرفض التعاون في أي تحقيق ما لم تزوده الوزارة والسلطات المغربية بوثائق رسمية بشأن قانونية تسليمه. ويشير إلى أن احتجازه يُعد تعسفياً بناء على ذلك.</w:t>
      </w:r>
    </w:p>
    <w:p w:rsidR="00FA6676" w:rsidRPr="00466B80" w:rsidRDefault="00FA6676" w:rsidP="00466B80">
      <w:pPr>
        <w:pStyle w:val="SingleTxtGA"/>
        <w:jc w:val="lowKashida"/>
        <w:rPr>
          <w:spacing w:val="-2"/>
          <w:kern w:val="0"/>
          <w:rtl/>
        </w:rPr>
      </w:pPr>
      <w:r w:rsidRPr="00466B80">
        <w:rPr>
          <w:spacing w:val="-2"/>
          <w:kern w:val="0"/>
          <w:rtl/>
        </w:rPr>
        <w:t>11-</w:t>
      </w:r>
      <w:r w:rsidRPr="00466B80">
        <w:rPr>
          <w:spacing w:val="-2"/>
          <w:kern w:val="0"/>
          <w:rtl/>
        </w:rPr>
        <w:tab/>
        <w:t>وفي 30 حزيران/يونيه 2011</w:t>
      </w:r>
      <w:r w:rsidRPr="00466B80">
        <w:rPr>
          <w:rFonts w:hint="cs"/>
          <w:spacing w:val="-2"/>
          <w:kern w:val="0"/>
          <w:rtl/>
        </w:rPr>
        <w:t>،</w:t>
      </w:r>
      <w:r w:rsidRPr="00466B80">
        <w:rPr>
          <w:spacing w:val="-2"/>
          <w:kern w:val="0"/>
          <w:rtl/>
        </w:rPr>
        <w:t xml:space="preserve"> أ</w:t>
      </w:r>
      <w:r w:rsidRPr="00466B80">
        <w:rPr>
          <w:rFonts w:hint="cs"/>
          <w:spacing w:val="-2"/>
          <w:kern w:val="0"/>
          <w:rtl/>
        </w:rPr>
        <w:t>كد</w:t>
      </w:r>
      <w:r w:rsidRPr="00466B80">
        <w:rPr>
          <w:spacing w:val="-2"/>
          <w:kern w:val="0"/>
          <w:rtl/>
        </w:rPr>
        <w:t xml:space="preserve"> والدا صاحب الشكوى </w:t>
      </w:r>
      <w:r w:rsidRPr="00466B80">
        <w:rPr>
          <w:rFonts w:hint="cs"/>
          <w:spacing w:val="-2"/>
          <w:kern w:val="0"/>
          <w:rtl/>
        </w:rPr>
        <w:t>أ</w:t>
      </w:r>
      <w:r w:rsidRPr="00466B80">
        <w:rPr>
          <w:spacing w:val="-2"/>
          <w:kern w:val="0"/>
          <w:rtl/>
        </w:rPr>
        <w:t>نه أُدخل قسراً</w:t>
      </w:r>
      <w:r w:rsidRPr="00466B80">
        <w:rPr>
          <w:rFonts w:hint="cs"/>
          <w:spacing w:val="-2"/>
          <w:kern w:val="0"/>
          <w:rtl/>
        </w:rPr>
        <w:t>،</w:t>
      </w:r>
      <w:r w:rsidRPr="00466B80">
        <w:rPr>
          <w:spacing w:val="-2"/>
          <w:kern w:val="0"/>
          <w:rtl/>
        </w:rPr>
        <w:t xml:space="preserve"> في</w:t>
      </w:r>
      <w:r w:rsidRPr="00466B80">
        <w:rPr>
          <w:rFonts w:hint="cs"/>
          <w:spacing w:val="-2"/>
          <w:kern w:val="0"/>
          <w:rtl/>
        </w:rPr>
        <w:t> </w:t>
      </w:r>
      <w:r w:rsidRPr="00466B80">
        <w:rPr>
          <w:spacing w:val="-2"/>
          <w:kern w:val="0"/>
          <w:rtl/>
        </w:rPr>
        <w:t xml:space="preserve">27 حزيران/يونيه </w:t>
      </w:r>
      <w:r w:rsidRPr="00466B80">
        <w:rPr>
          <w:rFonts w:hint="cs"/>
          <w:spacing w:val="-2"/>
          <w:kern w:val="0"/>
          <w:rtl/>
        </w:rPr>
        <w:t xml:space="preserve">2011، </w:t>
      </w:r>
      <w:r w:rsidRPr="00466B80">
        <w:rPr>
          <w:spacing w:val="-2"/>
          <w:kern w:val="0"/>
          <w:rtl/>
        </w:rPr>
        <w:t>وحدة الرعاية النفسية السريرية بمستشفى سفيردلوفسك</w:t>
      </w:r>
      <w:r w:rsidRPr="00466B80">
        <w:rPr>
          <w:rFonts w:hint="cs"/>
          <w:spacing w:val="-2"/>
          <w:kern w:val="0"/>
          <w:rtl/>
        </w:rPr>
        <w:t xml:space="preserve"> الإقليمي</w:t>
      </w:r>
      <w:r w:rsidRPr="00466B80">
        <w:rPr>
          <w:spacing w:val="-2"/>
          <w:kern w:val="0"/>
          <w:rtl/>
        </w:rPr>
        <w:t>. وفي</w:t>
      </w:r>
      <w:r w:rsidR="00466B80">
        <w:rPr>
          <w:rFonts w:hint="cs"/>
          <w:spacing w:val="-2"/>
          <w:kern w:val="0"/>
          <w:rtl/>
        </w:rPr>
        <w:t> </w:t>
      </w:r>
      <w:r w:rsidRPr="00466B80">
        <w:rPr>
          <w:spacing w:val="-2"/>
          <w:kern w:val="0"/>
          <w:rtl/>
        </w:rPr>
        <w:t>28 حزيران/يونيه 2011</w:t>
      </w:r>
      <w:r w:rsidRPr="00466B80">
        <w:rPr>
          <w:rFonts w:hint="cs"/>
          <w:spacing w:val="-2"/>
          <w:kern w:val="0"/>
          <w:rtl/>
        </w:rPr>
        <w:t>،</w:t>
      </w:r>
      <w:r w:rsidRPr="00466B80">
        <w:rPr>
          <w:spacing w:val="-2"/>
          <w:kern w:val="0"/>
          <w:rtl/>
        </w:rPr>
        <w:t xml:space="preserve"> رُفض السماح لمحاميه بزيارته </w:t>
      </w:r>
      <w:r w:rsidRPr="00466B80">
        <w:rPr>
          <w:rFonts w:hint="cs"/>
          <w:spacing w:val="-2"/>
          <w:kern w:val="0"/>
          <w:rtl/>
        </w:rPr>
        <w:t xml:space="preserve">من دون الحصول </w:t>
      </w:r>
      <w:r w:rsidRPr="00466B80">
        <w:rPr>
          <w:spacing w:val="-2"/>
          <w:kern w:val="0"/>
          <w:rtl/>
        </w:rPr>
        <w:t>على إذن من المحقق. وفي 30 حزيران/يونيه 2011</w:t>
      </w:r>
      <w:r w:rsidRPr="00466B80">
        <w:rPr>
          <w:rFonts w:hint="cs"/>
          <w:spacing w:val="-2"/>
          <w:kern w:val="0"/>
          <w:rtl/>
        </w:rPr>
        <w:t>،</w:t>
      </w:r>
      <w:r w:rsidRPr="00466B80">
        <w:rPr>
          <w:spacing w:val="-2"/>
          <w:kern w:val="0"/>
          <w:rtl/>
        </w:rPr>
        <w:t xml:space="preserve"> لم يُسمح للمحامي بزيارة صاحب الشكوى رغم حصوله على تصريح بذلك من المحقق. </w:t>
      </w:r>
      <w:r w:rsidRPr="00466B80">
        <w:rPr>
          <w:rFonts w:hint="cs"/>
          <w:spacing w:val="-2"/>
          <w:kern w:val="0"/>
          <w:rtl/>
        </w:rPr>
        <w:t>و</w:t>
      </w:r>
      <w:r w:rsidRPr="00466B80">
        <w:rPr>
          <w:spacing w:val="-2"/>
          <w:kern w:val="0"/>
          <w:rtl/>
        </w:rPr>
        <w:t>تُ</w:t>
      </w:r>
      <w:r w:rsidRPr="00466B80">
        <w:rPr>
          <w:rFonts w:hint="cs"/>
          <w:spacing w:val="-2"/>
          <w:kern w:val="0"/>
          <w:rtl/>
        </w:rPr>
        <w:t xml:space="preserve">ؤكد </w:t>
      </w:r>
      <w:r w:rsidRPr="00466B80">
        <w:rPr>
          <w:spacing w:val="-2"/>
          <w:kern w:val="0"/>
          <w:rtl/>
        </w:rPr>
        <w:t xml:space="preserve">أسرة صاحب الشكوى </w:t>
      </w:r>
      <w:r w:rsidRPr="00466B80">
        <w:rPr>
          <w:rFonts w:hint="cs"/>
          <w:spacing w:val="-2"/>
          <w:kern w:val="0"/>
          <w:rtl/>
        </w:rPr>
        <w:t>أيضا</w:t>
      </w:r>
      <w:r w:rsidRPr="00466B80">
        <w:rPr>
          <w:spacing w:val="-2"/>
          <w:kern w:val="0"/>
          <w:rtl/>
        </w:rPr>
        <w:t xml:space="preserve"> أن قانون الصحة النفسية يقضي بضرورة الحصول على إذن من المحكمة قبل إدخال أي شخص المستشف</w:t>
      </w:r>
      <w:r w:rsidRPr="00466B80">
        <w:rPr>
          <w:rFonts w:hint="cs"/>
          <w:spacing w:val="-2"/>
          <w:kern w:val="0"/>
          <w:rtl/>
        </w:rPr>
        <w:t>ى</w:t>
      </w:r>
      <w:r w:rsidRPr="00466B80">
        <w:rPr>
          <w:spacing w:val="-2"/>
          <w:kern w:val="0"/>
          <w:rtl/>
        </w:rPr>
        <w:t xml:space="preserve"> رغماً عنه؛ ومع ذلك لم يتسلم المحامي أو والدا صاحب الشكوى أي قرار من المحكمة بهذا الشأن. و</w:t>
      </w:r>
      <w:r w:rsidRPr="00466B80">
        <w:rPr>
          <w:rFonts w:hint="cs"/>
          <w:spacing w:val="-2"/>
          <w:kern w:val="0"/>
          <w:rtl/>
        </w:rPr>
        <w:t>يؤكد</w:t>
      </w:r>
      <w:r w:rsidRPr="00466B80">
        <w:rPr>
          <w:spacing w:val="-2"/>
          <w:kern w:val="0"/>
          <w:rtl/>
        </w:rPr>
        <w:t xml:space="preserve"> والدا صاحب الشكوى أيضاً أن</w:t>
      </w:r>
      <w:r w:rsidRPr="00466B80">
        <w:rPr>
          <w:rFonts w:hint="cs"/>
          <w:spacing w:val="-2"/>
          <w:kern w:val="0"/>
          <w:rtl/>
        </w:rPr>
        <w:t xml:space="preserve"> ابنهما حُبس،</w:t>
      </w:r>
      <w:r w:rsidRPr="00466B80">
        <w:rPr>
          <w:spacing w:val="-2"/>
          <w:kern w:val="0"/>
          <w:rtl/>
        </w:rPr>
        <w:t xml:space="preserve"> أثناء احتجازه احتياطياً</w:t>
      </w:r>
      <w:r w:rsidRPr="00466B80">
        <w:rPr>
          <w:rFonts w:hint="cs"/>
          <w:spacing w:val="-2"/>
          <w:kern w:val="0"/>
          <w:rtl/>
        </w:rPr>
        <w:t>،</w:t>
      </w:r>
      <w:r w:rsidRPr="00466B80">
        <w:rPr>
          <w:spacing w:val="-2"/>
          <w:kern w:val="0"/>
          <w:rtl/>
        </w:rPr>
        <w:t xml:space="preserve"> </w:t>
      </w:r>
      <w:r w:rsidRPr="00466B80">
        <w:rPr>
          <w:rFonts w:hint="cs"/>
          <w:spacing w:val="-2"/>
          <w:kern w:val="0"/>
          <w:rtl/>
        </w:rPr>
        <w:t>على</w:t>
      </w:r>
      <w:r w:rsidRPr="00466B80">
        <w:rPr>
          <w:spacing w:val="-2"/>
          <w:kern w:val="0"/>
          <w:rtl/>
        </w:rPr>
        <w:t xml:space="preserve"> انفراد في ظروف شديدة البرودة ودون ملابس مناسبة أو إضاءة مستمرة، وأنه تعرّض لمعاملة سيئة. </w:t>
      </w:r>
    </w:p>
    <w:p w:rsidR="00FA6676" w:rsidRPr="00AA537D" w:rsidRDefault="00FA6676" w:rsidP="00AA537D">
      <w:pPr>
        <w:pStyle w:val="SingleTxtGA"/>
        <w:jc w:val="lowKashida"/>
        <w:rPr>
          <w:spacing w:val="0"/>
          <w:kern w:val="0"/>
          <w:rtl/>
        </w:rPr>
      </w:pPr>
      <w:r w:rsidRPr="00AA537D">
        <w:rPr>
          <w:spacing w:val="0"/>
          <w:kern w:val="0"/>
          <w:rtl/>
        </w:rPr>
        <w:t>12-</w:t>
      </w:r>
      <w:r w:rsidRPr="00AA537D">
        <w:rPr>
          <w:spacing w:val="0"/>
          <w:kern w:val="0"/>
          <w:rtl/>
        </w:rPr>
        <w:tab/>
        <w:t>وفي 29 تموز/يوليه 2011</w:t>
      </w:r>
      <w:r w:rsidRPr="00AA537D">
        <w:rPr>
          <w:rFonts w:hint="cs"/>
          <w:spacing w:val="0"/>
          <w:kern w:val="0"/>
          <w:rtl/>
        </w:rPr>
        <w:t>،</w:t>
      </w:r>
      <w:r w:rsidRPr="00AA537D">
        <w:rPr>
          <w:spacing w:val="0"/>
          <w:kern w:val="0"/>
          <w:rtl/>
        </w:rPr>
        <w:t xml:space="preserve"> أكد صاحب الشكوى المعلومات التي سبق أن قدمها والد</w:t>
      </w:r>
      <w:r w:rsidR="00F85F7C">
        <w:rPr>
          <w:spacing w:val="0"/>
          <w:kern w:val="0"/>
          <w:rtl/>
        </w:rPr>
        <w:t>اه بشأن وضعه تحت الرعاية الطبية</w:t>
      </w:r>
      <w:r w:rsidRPr="00AA537D">
        <w:rPr>
          <w:spacing w:val="0"/>
          <w:kern w:val="0"/>
          <w:rtl/>
        </w:rPr>
        <w:t xml:space="preserve">، وأضاف أنه في 18 تموز/يوليه 2011 نُقل مرة أخرى دون إخطار إلى نفس </w:t>
      </w:r>
      <w:r w:rsidRPr="00AA537D">
        <w:rPr>
          <w:rFonts w:hint="cs"/>
          <w:spacing w:val="0"/>
          <w:kern w:val="0"/>
          <w:rtl/>
        </w:rPr>
        <w:t>ال</w:t>
      </w:r>
      <w:r w:rsidRPr="00AA537D">
        <w:rPr>
          <w:spacing w:val="0"/>
          <w:kern w:val="0"/>
          <w:rtl/>
        </w:rPr>
        <w:t xml:space="preserve">سجن </w:t>
      </w:r>
      <w:r w:rsidRPr="00AA537D">
        <w:rPr>
          <w:rFonts w:hint="cs"/>
          <w:spacing w:val="0"/>
          <w:kern w:val="0"/>
          <w:rtl/>
        </w:rPr>
        <w:t xml:space="preserve">الذي قضى فيه </w:t>
      </w:r>
      <w:r w:rsidRPr="00AA537D">
        <w:rPr>
          <w:spacing w:val="0"/>
          <w:kern w:val="0"/>
          <w:rtl/>
        </w:rPr>
        <w:t>حبس</w:t>
      </w:r>
      <w:r w:rsidRPr="00AA537D">
        <w:rPr>
          <w:rFonts w:hint="cs"/>
          <w:spacing w:val="0"/>
          <w:kern w:val="0"/>
          <w:rtl/>
        </w:rPr>
        <w:t>ا</w:t>
      </w:r>
      <w:r w:rsidRPr="00AA537D">
        <w:rPr>
          <w:spacing w:val="0"/>
          <w:kern w:val="0"/>
          <w:rtl/>
        </w:rPr>
        <w:t xml:space="preserve"> احتياطي</w:t>
      </w:r>
      <w:r w:rsidRPr="00AA537D">
        <w:rPr>
          <w:rFonts w:hint="cs"/>
          <w:spacing w:val="0"/>
          <w:kern w:val="0"/>
          <w:rtl/>
        </w:rPr>
        <w:t xml:space="preserve">ا ووضع </w:t>
      </w:r>
      <w:r w:rsidRPr="00AA537D">
        <w:rPr>
          <w:spacing w:val="0"/>
          <w:kern w:val="0"/>
          <w:rtl/>
        </w:rPr>
        <w:t>في نفس الظروف اللاإنسانية التي سبق وصفها. و</w:t>
      </w:r>
      <w:r w:rsidRPr="00AA537D">
        <w:rPr>
          <w:rFonts w:hint="cs"/>
          <w:spacing w:val="0"/>
          <w:kern w:val="0"/>
          <w:rtl/>
        </w:rPr>
        <w:t xml:space="preserve">لاحظ </w:t>
      </w:r>
      <w:r w:rsidRPr="00AA537D">
        <w:rPr>
          <w:spacing w:val="0"/>
          <w:kern w:val="0"/>
          <w:rtl/>
        </w:rPr>
        <w:t xml:space="preserve">أيضاً أنه بعد 25 يوماً من نقله إلى المستشفى النفسي تمكّن </w:t>
      </w:r>
      <w:r w:rsidRPr="00AA537D">
        <w:rPr>
          <w:rFonts w:hint="cs"/>
          <w:spacing w:val="0"/>
          <w:kern w:val="0"/>
          <w:rtl/>
        </w:rPr>
        <w:t xml:space="preserve">أخيراً </w:t>
      </w:r>
      <w:r w:rsidRPr="00AA537D">
        <w:rPr>
          <w:spacing w:val="0"/>
          <w:kern w:val="0"/>
          <w:rtl/>
        </w:rPr>
        <w:t xml:space="preserve">من مقابلة محاميه الروسي. </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المسائل والإجراءات المعروضة على اللجنة</w:t>
      </w:r>
    </w:p>
    <w:p w:rsidR="00FA6676" w:rsidRPr="00AA537D" w:rsidRDefault="00FA6676" w:rsidP="00AA537D">
      <w:pPr>
        <w:pStyle w:val="H4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عدم تعاون الدولة الطرف وعدم تلبيتها طلب اللجنة اتخاذ تدابير مؤقتة عملاً بالمادة 114 من نظامها الداخلي</w:t>
      </w:r>
    </w:p>
    <w:p w:rsidR="00FA6676" w:rsidRPr="00AA537D" w:rsidRDefault="00FA6676" w:rsidP="00ED61B0">
      <w:pPr>
        <w:pStyle w:val="SingleTxtGA"/>
        <w:jc w:val="lowKashida"/>
        <w:rPr>
          <w:spacing w:val="0"/>
          <w:kern w:val="0"/>
          <w:rtl/>
        </w:rPr>
      </w:pPr>
      <w:r w:rsidRPr="00AA537D">
        <w:rPr>
          <w:spacing w:val="0"/>
          <w:kern w:val="0"/>
          <w:rtl/>
        </w:rPr>
        <w:t>13-1</w:t>
      </w:r>
      <w:r w:rsidRPr="00AA537D">
        <w:rPr>
          <w:spacing w:val="0"/>
          <w:kern w:val="0"/>
          <w:rtl/>
        </w:rPr>
        <w:tab/>
        <w:t>تلاحظ اللجنة أن اعتماد تدابير مؤقتة عملاً بالمادة 114 من نظامها الداخلي (المادة</w:t>
      </w:r>
      <w:r w:rsidRPr="00AA537D">
        <w:rPr>
          <w:rFonts w:hint="cs"/>
          <w:spacing w:val="0"/>
          <w:kern w:val="0"/>
          <w:rtl/>
        </w:rPr>
        <w:t> 108</w:t>
      </w:r>
      <w:r w:rsidRPr="00AA537D">
        <w:rPr>
          <w:spacing w:val="0"/>
          <w:kern w:val="0"/>
          <w:rtl/>
        </w:rPr>
        <w:t xml:space="preserve"> سابقاً)، وفقاً للمادة 22 من الاتفاقية، يُمثل عنصراً </w:t>
      </w:r>
      <w:r w:rsidRPr="00AA537D">
        <w:rPr>
          <w:rFonts w:hint="cs"/>
          <w:spacing w:val="0"/>
          <w:kern w:val="0"/>
          <w:rtl/>
        </w:rPr>
        <w:t xml:space="preserve">حيوياً </w:t>
      </w:r>
      <w:r w:rsidRPr="00AA537D">
        <w:rPr>
          <w:spacing w:val="0"/>
          <w:kern w:val="0"/>
          <w:rtl/>
        </w:rPr>
        <w:t>لأداء اللجنة للدور المُسند إليها بموجب هذه المادة. و</w:t>
      </w:r>
      <w:r w:rsidRPr="00AA537D">
        <w:rPr>
          <w:rFonts w:hint="cs"/>
          <w:spacing w:val="0"/>
          <w:kern w:val="0"/>
          <w:rtl/>
        </w:rPr>
        <w:t xml:space="preserve">إن </w:t>
      </w:r>
      <w:r w:rsidRPr="00AA537D">
        <w:rPr>
          <w:spacing w:val="0"/>
          <w:kern w:val="0"/>
          <w:rtl/>
        </w:rPr>
        <w:t xml:space="preserve">عدم احترام هذا الحكم، </w:t>
      </w:r>
      <w:r w:rsidRPr="00AA537D">
        <w:rPr>
          <w:rFonts w:hint="cs"/>
          <w:spacing w:val="0"/>
          <w:kern w:val="0"/>
          <w:rtl/>
        </w:rPr>
        <w:t xml:space="preserve">وخاصة </w:t>
      </w:r>
      <w:r w:rsidRPr="00AA537D">
        <w:rPr>
          <w:spacing w:val="0"/>
          <w:kern w:val="0"/>
          <w:rtl/>
        </w:rPr>
        <w:t>باتخاذ إجراءات لا</w:t>
      </w:r>
      <w:r w:rsidRPr="00AA537D">
        <w:rPr>
          <w:rFonts w:hint="cs"/>
          <w:spacing w:val="0"/>
          <w:kern w:val="0"/>
          <w:rtl/>
        </w:rPr>
        <w:t> يم</w:t>
      </w:r>
      <w:r w:rsidRPr="00AA537D">
        <w:rPr>
          <w:spacing w:val="0"/>
          <w:kern w:val="0"/>
          <w:rtl/>
        </w:rPr>
        <w:t>كن جبرها مثل تسليم شخص يُدعى أنه ضحية، يُقوّض حماية الحقوق المنصوص عليه</w:t>
      </w:r>
      <w:r w:rsidRPr="00AA537D">
        <w:rPr>
          <w:rFonts w:hint="cs"/>
          <w:spacing w:val="0"/>
          <w:kern w:val="0"/>
          <w:rtl/>
        </w:rPr>
        <w:t>ا</w:t>
      </w:r>
      <w:r w:rsidRPr="00AA537D">
        <w:rPr>
          <w:spacing w:val="0"/>
          <w:kern w:val="0"/>
          <w:rtl/>
        </w:rPr>
        <w:t xml:space="preserve"> في</w:t>
      </w:r>
      <w:r w:rsidR="00ED61B0">
        <w:rPr>
          <w:rFonts w:hint="cs"/>
          <w:spacing w:val="0"/>
          <w:kern w:val="0"/>
          <w:rtl/>
        </w:rPr>
        <w:t> </w:t>
      </w:r>
      <w:r w:rsidRPr="00AA537D">
        <w:rPr>
          <w:spacing w:val="0"/>
          <w:kern w:val="0"/>
          <w:rtl/>
        </w:rPr>
        <w:t>الاتفاقية</w:t>
      </w:r>
      <w:r w:rsidRPr="00AA537D">
        <w:rPr>
          <w:spacing w:val="0"/>
          <w:kern w:val="0"/>
          <w:vertAlign w:val="superscript"/>
          <w:rtl/>
        </w:rPr>
        <w:t>(</w:t>
      </w:r>
      <w:r w:rsidRPr="00AA537D">
        <w:rPr>
          <w:rStyle w:val="FootnoteReference"/>
          <w:spacing w:val="0"/>
          <w:rtl/>
        </w:rPr>
        <w:footnoteReference w:id="372"/>
      </w:r>
      <w:r w:rsidRPr="00AA537D">
        <w:rPr>
          <w:spacing w:val="0"/>
          <w:kern w:val="0"/>
          <w:vertAlign w:val="superscript"/>
          <w:rtl/>
        </w:rPr>
        <w:t>)</w:t>
      </w:r>
      <w:r w:rsidRPr="00AA537D">
        <w:rPr>
          <w:spacing w:val="0"/>
          <w:kern w:val="0"/>
          <w:rtl/>
        </w:rPr>
        <w:t>.</w:t>
      </w:r>
    </w:p>
    <w:p w:rsidR="00FA6676" w:rsidRPr="00AA537D" w:rsidRDefault="00FA6676" w:rsidP="00AA537D">
      <w:pPr>
        <w:pStyle w:val="SingleTxtGA"/>
        <w:jc w:val="lowKashida"/>
        <w:rPr>
          <w:spacing w:val="0"/>
          <w:kern w:val="0"/>
          <w:rtl/>
        </w:rPr>
      </w:pPr>
      <w:r w:rsidRPr="00AA537D">
        <w:rPr>
          <w:spacing w:val="0"/>
          <w:kern w:val="0"/>
          <w:rtl/>
        </w:rPr>
        <w:t>13-2</w:t>
      </w:r>
      <w:r w:rsidRPr="00AA537D">
        <w:rPr>
          <w:spacing w:val="0"/>
          <w:kern w:val="0"/>
          <w:rtl/>
        </w:rPr>
        <w:tab/>
        <w:t>وتلاحظ اللجنة أن إصدار أية دولة طرف للإعلان المنصوص عليه في المادة 22 من الاتفاقية يعني اعترافها باختصاص لجنة مناهضة التعذيب في تلقي وبحث شكاوى الأفراد الذين يزعمون وقوعهم ضحايا لانتهاك أحكام الاتفاقية. وتتعهد الدول الأطراف ضمنياً، بإصدارها هذا الإعلان، بالتعاون مع اللجنة بحسن نية وذلك بتزويدها بالوسائل التي تُمكّنها من بحث الشكاوى التي تُقدم إليها وإرسال تعليقاتها، بعد هذا البحث، إلى الدولة الطرف وإلى صاحب الشكوى. وتشير اللجنة إلى أن طلب اتخاذ تدابير مؤقتة قُدم إلى الدولة الطرف في 13 آب/أغسطس 2010 وتكرر تقديمه في 20 تشرين الأول/أكتوبر 2010، و4 كانون الثاني/يناير 2011، و11 أيار/مايو 2011. وتلاحظ اللجنة أيضاً أن الدولة الطرف</w:t>
      </w:r>
      <w:r w:rsidRPr="00AA537D">
        <w:rPr>
          <w:rFonts w:hint="cs"/>
          <w:spacing w:val="0"/>
          <w:kern w:val="0"/>
          <w:rtl/>
        </w:rPr>
        <w:t xml:space="preserve">، بعدم امتثالها </w:t>
      </w:r>
      <w:r w:rsidRPr="00AA537D">
        <w:rPr>
          <w:spacing w:val="0"/>
          <w:kern w:val="0"/>
          <w:rtl/>
        </w:rPr>
        <w:t>لهذا الطلب</w:t>
      </w:r>
      <w:r w:rsidRPr="00AA537D">
        <w:rPr>
          <w:rFonts w:hint="cs"/>
          <w:spacing w:val="0"/>
          <w:kern w:val="0"/>
          <w:rtl/>
        </w:rPr>
        <w:t>،</w:t>
      </w:r>
      <w:r w:rsidRPr="00AA537D">
        <w:rPr>
          <w:spacing w:val="0"/>
          <w:kern w:val="0"/>
          <w:rtl/>
        </w:rPr>
        <w:t xml:space="preserve"> </w:t>
      </w:r>
      <w:r w:rsidRPr="00AA537D">
        <w:rPr>
          <w:rFonts w:hint="cs"/>
          <w:spacing w:val="0"/>
          <w:kern w:val="0"/>
          <w:rtl/>
        </w:rPr>
        <w:t>قد انتهكت ا</w:t>
      </w:r>
      <w:r w:rsidRPr="00AA537D">
        <w:rPr>
          <w:spacing w:val="0"/>
          <w:kern w:val="0"/>
          <w:rtl/>
        </w:rPr>
        <w:t xml:space="preserve">لتزاماتها بموجب المادة 22 من الاتفاقية، لأنها بذلك </w:t>
      </w:r>
      <w:r w:rsidRPr="00AA537D">
        <w:rPr>
          <w:rFonts w:hint="cs"/>
          <w:spacing w:val="0"/>
          <w:kern w:val="0"/>
          <w:rtl/>
        </w:rPr>
        <w:t>أعاقت إجراء</w:t>
      </w:r>
      <w:r w:rsidRPr="00AA537D">
        <w:rPr>
          <w:spacing w:val="0"/>
          <w:kern w:val="0"/>
          <w:rtl/>
        </w:rPr>
        <w:t xml:space="preserve"> اللجنة بحث</w:t>
      </w:r>
      <w:r w:rsidRPr="00AA537D">
        <w:rPr>
          <w:rFonts w:hint="cs"/>
          <w:spacing w:val="0"/>
          <w:kern w:val="0"/>
          <w:rtl/>
        </w:rPr>
        <w:t>اً</w:t>
      </w:r>
      <w:r w:rsidRPr="00AA537D">
        <w:rPr>
          <w:spacing w:val="0"/>
          <w:kern w:val="0"/>
          <w:rtl/>
        </w:rPr>
        <w:t xml:space="preserve"> واف</w:t>
      </w:r>
      <w:r w:rsidRPr="00AA537D">
        <w:rPr>
          <w:rFonts w:hint="cs"/>
          <w:spacing w:val="0"/>
          <w:kern w:val="0"/>
          <w:rtl/>
        </w:rPr>
        <w:t>ياً</w:t>
      </w:r>
      <w:r w:rsidRPr="00AA537D">
        <w:rPr>
          <w:spacing w:val="0"/>
          <w:kern w:val="0"/>
          <w:rtl/>
        </w:rPr>
        <w:t xml:space="preserve"> </w:t>
      </w:r>
      <w:r w:rsidRPr="00AA537D">
        <w:rPr>
          <w:rFonts w:hint="cs"/>
          <w:spacing w:val="0"/>
          <w:kern w:val="0"/>
          <w:rtl/>
        </w:rPr>
        <w:t xml:space="preserve">بشأن </w:t>
      </w:r>
      <w:r w:rsidRPr="00AA537D">
        <w:rPr>
          <w:spacing w:val="0"/>
          <w:kern w:val="0"/>
          <w:rtl/>
        </w:rPr>
        <w:t>شكوى تتعلق بانتهاك الاتفاقية، و</w:t>
      </w:r>
      <w:r w:rsidRPr="00AA537D">
        <w:rPr>
          <w:rFonts w:hint="cs"/>
          <w:spacing w:val="0"/>
          <w:kern w:val="0"/>
          <w:rtl/>
        </w:rPr>
        <w:t>حالت</w:t>
      </w:r>
      <w:r w:rsidRPr="00AA537D">
        <w:rPr>
          <w:spacing w:val="0"/>
          <w:kern w:val="0"/>
          <w:rtl/>
        </w:rPr>
        <w:t xml:space="preserve"> كذلك </w:t>
      </w:r>
      <w:r w:rsidRPr="00AA537D">
        <w:rPr>
          <w:rFonts w:hint="cs"/>
          <w:spacing w:val="0"/>
          <w:kern w:val="0"/>
          <w:rtl/>
        </w:rPr>
        <w:t xml:space="preserve">دون </w:t>
      </w:r>
      <w:r w:rsidRPr="00AA537D">
        <w:rPr>
          <w:spacing w:val="0"/>
          <w:kern w:val="0"/>
          <w:rtl/>
        </w:rPr>
        <w:t>اتخاذ</w:t>
      </w:r>
      <w:r w:rsidRPr="00AA537D">
        <w:rPr>
          <w:rFonts w:hint="cs"/>
          <w:spacing w:val="0"/>
          <w:kern w:val="0"/>
          <w:rtl/>
        </w:rPr>
        <w:t xml:space="preserve"> اللجنة</w:t>
      </w:r>
      <w:r w:rsidRPr="00AA537D">
        <w:rPr>
          <w:spacing w:val="0"/>
          <w:kern w:val="0"/>
          <w:rtl/>
        </w:rPr>
        <w:t xml:space="preserve"> قرار كان من شأنه أن يوقف بالفعل تسليم صاحب الشكوى إذا ما </w:t>
      </w:r>
      <w:r w:rsidRPr="00AA537D">
        <w:rPr>
          <w:rFonts w:hint="cs"/>
          <w:spacing w:val="0"/>
          <w:kern w:val="0"/>
          <w:rtl/>
        </w:rPr>
        <w:t>استنتجت</w:t>
      </w:r>
      <w:r w:rsidRPr="00AA537D">
        <w:rPr>
          <w:spacing w:val="0"/>
          <w:kern w:val="0"/>
          <w:rtl/>
        </w:rPr>
        <w:t xml:space="preserve"> اللجنة حدوث انتهاك للمادة 3 من الاتفاقية.</w:t>
      </w:r>
    </w:p>
    <w:p w:rsidR="00FA6676" w:rsidRPr="00AA537D" w:rsidRDefault="00FA6676" w:rsidP="00AA537D">
      <w:pPr>
        <w:pStyle w:val="H4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النظر في المقبولية</w:t>
      </w:r>
    </w:p>
    <w:p w:rsidR="00FA6676" w:rsidRPr="00AA537D" w:rsidRDefault="00FA6676" w:rsidP="003A2D39">
      <w:pPr>
        <w:pStyle w:val="SingleTxtGA"/>
        <w:jc w:val="lowKashida"/>
        <w:rPr>
          <w:spacing w:val="0"/>
          <w:kern w:val="0"/>
          <w:rtl/>
        </w:rPr>
      </w:pPr>
      <w:r w:rsidRPr="00AA537D">
        <w:rPr>
          <w:spacing w:val="0"/>
          <w:kern w:val="0"/>
          <w:rtl/>
        </w:rPr>
        <w:t>14-1</w:t>
      </w:r>
      <w:r w:rsidRPr="00AA537D">
        <w:rPr>
          <w:spacing w:val="0"/>
          <w:kern w:val="0"/>
          <w:rtl/>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لجنة مناهضة التعذيب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AA537D">
        <w:rPr>
          <w:spacing w:val="0"/>
          <w:kern w:val="0"/>
          <w:rtl/>
        </w:rPr>
        <w:t xml:space="preserve"> بموجب المادة 22 من الاتفاقية. وقد تأكدت اللجنة، وفقاً لما تقتضيه الفقرة 5(أ) من المادة 22، من أن المسألة نفسها لم تُبحث و</w:t>
      </w:r>
      <w:r w:rsidRPr="00AA537D">
        <w:rPr>
          <w:rFonts w:hint="cs"/>
          <w:spacing w:val="0"/>
          <w:kern w:val="0"/>
          <w:rtl/>
        </w:rPr>
        <w:t>ليست قيد ال</w:t>
      </w:r>
      <w:r w:rsidRPr="00AA537D">
        <w:rPr>
          <w:spacing w:val="0"/>
          <w:kern w:val="0"/>
          <w:rtl/>
        </w:rPr>
        <w:t>بحث في إطار أي إجراء آخر من إجراءات التحقيق الدولي أو التسوية الدولية.</w:t>
      </w:r>
    </w:p>
    <w:p w:rsidR="00FA6676" w:rsidRPr="00AA537D" w:rsidRDefault="00FA6676" w:rsidP="00466B80">
      <w:pPr>
        <w:pStyle w:val="SingleTxtGA"/>
        <w:jc w:val="lowKashida"/>
        <w:rPr>
          <w:spacing w:val="0"/>
          <w:kern w:val="0"/>
          <w:rtl/>
        </w:rPr>
      </w:pPr>
      <w:r w:rsidRPr="00AA537D">
        <w:rPr>
          <w:spacing w:val="0"/>
          <w:kern w:val="0"/>
          <w:rtl/>
        </w:rPr>
        <w:t>14-2</w:t>
      </w:r>
      <w:r w:rsidRPr="00AA537D">
        <w:rPr>
          <w:spacing w:val="0"/>
          <w:kern w:val="0"/>
          <w:rtl/>
        </w:rPr>
        <w:tab/>
        <w:t xml:space="preserve">ولاحظت اللجنة أن الدولة الطرف طعنت في مقبولية الشكوى، </w:t>
      </w:r>
      <w:r w:rsidRPr="00AA537D">
        <w:rPr>
          <w:rFonts w:hint="cs"/>
          <w:spacing w:val="0"/>
          <w:kern w:val="0"/>
          <w:rtl/>
        </w:rPr>
        <w:t xml:space="preserve">إذ </w:t>
      </w:r>
      <w:r w:rsidRPr="00AA537D">
        <w:rPr>
          <w:spacing w:val="0"/>
          <w:kern w:val="0"/>
          <w:rtl/>
        </w:rPr>
        <w:t xml:space="preserve">دفعت بأن صاحب الشكوى لم يستنفد سبل الانتصاف المحلية المتاحة، لعدم طعنه أمام الغرفة الإدارية للمجلس الأعلى للقضاء في قرار رئيس الوزراء </w:t>
      </w:r>
      <w:r w:rsidRPr="00AA537D">
        <w:rPr>
          <w:rFonts w:hint="cs"/>
          <w:spacing w:val="0"/>
          <w:kern w:val="0"/>
          <w:rtl/>
        </w:rPr>
        <w:t xml:space="preserve">بحجة إساءة </w:t>
      </w:r>
      <w:r w:rsidRPr="00AA537D">
        <w:rPr>
          <w:spacing w:val="0"/>
          <w:kern w:val="0"/>
          <w:rtl/>
        </w:rPr>
        <w:t xml:space="preserve">استعمال السلطة. وتلاحظ اللجنة أيضاً ادعاء الدولة الطرف بأن صاحب الشكوى لم يذكر أمام وكيل الملك في محكمة طنجة الابتدائية أو في الغرفة الجنائية للمجلس الأعلى للقضاء احتمال تعرضه للتعذيب أو للمعاملة اللاإنسانية إذا ما سُلّم إلى الاتحاد الروسي. </w:t>
      </w:r>
      <w:r w:rsidRPr="00AA537D">
        <w:rPr>
          <w:rFonts w:hint="cs"/>
          <w:spacing w:val="0"/>
          <w:kern w:val="0"/>
          <w:rtl/>
        </w:rPr>
        <w:t>و</w:t>
      </w:r>
      <w:r w:rsidRPr="00AA537D">
        <w:rPr>
          <w:spacing w:val="0"/>
          <w:kern w:val="0"/>
          <w:rtl/>
        </w:rPr>
        <w:t>تقبل اللجنة حجة صاحب الشكوى بأنه لم</w:t>
      </w:r>
      <w:r w:rsidR="00466B80">
        <w:rPr>
          <w:rFonts w:hint="cs"/>
          <w:spacing w:val="0"/>
          <w:kern w:val="0"/>
          <w:rtl/>
        </w:rPr>
        <w:t> </w:t>
      </w:r>
      <w:r w:rsidRPr="00AA537D">
        <w:rPr>
          <w:spacing w:val="0"/>
          <w:kern w:val="0"/>
          <w:rtl/>
        </w:rPr>
        <w:t xml:space="preserve">يتسلم رسمياً القرار النهائي لوزير العدل الذي يأذن بتسليمه. وتلاحظ اللجنة أيضاً </w:t>
      </w:r>
      <w:r w:rsidRPr="00AA537D">
        <w:rPr>
          <w:rFonts w:hint="cs"/>
          <w:spacing w:val="0"/>
          <w:kern w:val="0"/>
          <w:rtl/>
        </w:rPr>
        <w:t xml:space="preserve">قول </w:t>
      </w:r>
      <w:r w:rsidRPr="00AA537D">
        <w:rPr>
          <w:spacing w:val="0"/>
          <w:kern w:val="0"/>
          <w:rtl/>
        </w:rPr>
        <w:t xml:space="preserve">صاحب البلاغ </w:t>
      </w:r>
      <w:r w:rsidRPr="00AA537D">
        <w:rPr>
          <w:rFonts w:hint="cs"/>
          <w:spacing w:val="0"/>
          <w:kern w:val="0"/>
          <w:rtl/>
        </w:rPr>
        <w:t xml:space="preserve">إنه </w:t>
      </w:r>
      <w:r w:rsidRPr="00AA537D">
        <w:rPr>
          <w:spacing w:val="0"/>
          <w:kern w:val="0"/>
          <w:rtl/>
        </w:rPr>
        <w:t xml:space="preserve">أثار على النحو الواجب أمام المجلس الأعلى للقضاء </w:t>
      </w:r>
      <w:r w:rsidRPr="00AA537D">
        <w:rPr>
          <w:rFonts w:hint="cs"/>
          <w:spacing w:val="0"/>
          <w:kern w:val="0"/>
          <w:rtl/>
        </w:rPr>
        <w:t xml:space="preserve">ادعاء </w:t>
      </w:r>
      <w:r w:rsidRPr="00AA537D">
        <w:rPr>
          <w:spacing w:val="0"/>
          <w:kern w:val="0"/>
          <w:rtl/>
        </w:rPr>
        <w:t xml:space="preserve">تعرضه لخطر التعذيب لدى عودته إلى الاتحاد الروسي، ولكن </w:t>
      </w:r>
      <w:r w:rsidRPr="00AA537D">
        <w:rPr>
          <w:rFonts w:hint="cs"/>
          <w:spacing w:val="0"/>
          <w:kern w:val="0"/>
          <w:rtl/>
        </w:rPr>
        <w:t xml:space="preserve">ادعاءه لم يظهر في </w:t>
      </w:r>
      <w:r w:rsidRPr="00AA537D">
        <w:rPr>
          <w:spacing w:val="0"/>
          <w:kern w:val="0"/>
          <w:rtl/>
        </w:rPr>
        <w:t xml:space="preserve">ذلك في القرار. </w:t>
      </w:r>
    </w:p>
    <w:p w:rsidR="00FA6676" w:rsidRPr="00AA537D" w:rsidRDefault="00FA6676" w:rsidP="00466B80">
      <w:pPr>
        <w:pStyle w:val="SingleTxtGA"/>
        <w:jc w:val="lowKashida"/>
        <w:rPr>
          <w:spacing w:val="0"/>
          <w:kern w:val="0"/>
          <w:rtl/>
        </w:rPr>
      </w:pPr>
      <w:r w:rsidRPr="00AA537D">
        <w:rPr>
          <w:spacing w:val="0"/>
          <w:kern w:val="0"/>
          <w:rtl/>
        </w:rPr>
        <w:t>14-3</w:t>
      </w:r>
      <w:r w:rsidRPr="00AA537D">
        <w:rPr>
          <w:spacing w:val="0"/>
          <w:kern w:val="0"/>
          <w:rtl/>
        </w:rPr>
        <w:tab/>
        <w:t>وتشير اللجنة إلى رأيها القانوني السابق الذي يفيد بأن مبدأ استنفاد سبل الانتصاف المحلية يتطلب من أصحاب الشكوى استخدام سبل الانتصاف ذات الصلة المباشرة بخطر التعرض للتعذيب في البلد الذي سيُعادون إليه</w:t>
      </w:r>
      <w:r w:rsidRPr="00AA537D">
        <w:rPr>
          <w:spacing w:val="0"/>
          <w:kern w:val="0"/>
          <w:vertAlign w:val="superscript"/>
          <w:rtl/>
        </w:rPr>
        <w:t>(</w:t>
      </w:r>
      <w:r w:rsidRPr="00AA537D">
        <w:rPr>
          <w:rStyle w:val="FootnoteReference"/>
          <w:spacing w:val="0"/>
          <w:rtl/>
        </w:rPr>
        <w:footnoteReference w:id="373"/>
      </w:r>
      <w:r w:rsidRPr="00AA537D">
        <w:rPr>
          <w:spacing w:val="0"/>
          <w:kern w:val="0"/>
          <w:vertAlign w:val="superscript"/>
          <w:rtl/>
        </w:rPr>
        <w:t>)</w:t>
      </w:r>
      <w:r w:rsidRPr="00AA537D">
        <w:rPr>
          <w:spacing w:val="0"/>
          <w:kern w:val="0"/>
          <w:rtl/>
        </w:rPr>
        <w:t>. وتشير اللجنة أيضاً إلى أنها طلبت إلى الدولة الطرف، عملاً بالفقرة 9 من المادة 115 (المادة 109 سابقاً) من نظامها الداخلي، تقديم تفاصيل بشأن سبل الانتصاف ا</w:t>
      </w:r>
      <w:r w:rsidRPr="00AA537D">
        <w:rPr>
          <w:rFonts w:hint="cs"/>
          <w:spacing w:val="0"/>
          <w:kern w:val="0"/>
          <w:rtl/>
        </w:rPr>
        <w:t xml:space="preserve">لفعلية </w:t>
      </w:r>
      <w:r w:rsidRPr="00AA537D">
        <w:rPr>
          <w:spacing w:val="0"/>
          <w:kern w:val="0"/>
          <w:rtl/>
        </w:rPr>
        <w:t>المتاحة للشخص المُدعى أنه ضحية في الظروف المحددة للقضية ووفقاً لأحكام الفقرة 5(ب) من المادة 22 من الاتفاقية، غير أن الدولة الطرف لم</w:t>
      </w:r>
      <w:r w:rsidR="00466B80">
        <w:rPr>
          <w:rFonts w:hint="cs"/>
          <w:spacing w:val="0"/>
          <w:kern w:val="0"/>
          <w:rtl/>
        </w:rPr>
        <w:t> </w:t>
      </w:r>
      <w:r w:rsidRPr="00AA537D">
        <w:rPr>
          <w:spacing w:val="0"/>
          <w:kern w:val="0"/>
          <w:rtl/>
        </w:rPr>
        <w:t>تستجب لهذا الطلب. ونظراً إلى أن الدولة الطرف لم تقدم مزيداً من المعلومات بشأن فعالية الطعن في قرار رئيس الوزراء أمام الغرفة الإدارية للمجلس الأعلى للقضاء بحجة إساءة استعمال السلطة، وبشأن فعالية سبل الانتصاف المحلية الأخرى، ترى اللجنة أن الفقرة</w:t>
      </w:r>
      <w:r w:rsidRPr="00AA537D">
        <w:rPr>
          <w:rFonts w:hint="cs"/>
          <w:spacing w:val="0"/>
          <w:kern w:val="0"/>
          <w:rtl/>
        </w:rPr>
        <w:t> </w:t>
      </w:r>
      <w:r w:rsidRPr="00AA537D">
        <w:rPr>
          <w:spacing w:val="0"/>
          <w:kern w:val="0"/>
          <w:rtl/>
        </w:rPr>
        <w:t xml:space="preserve">5(ب) من المادة 22 لا تمنعها من </w:t>
      </w:r>
      <w:r w:rsidRPr="00AA537D">
        <w:rPr>
          <w:rFonts w:hint="cs"/>
          <w:spacing w:val="0"/>
          <w:kern w:val="0"/>
          <w:rtl/>
        </w:rPr>
        <w:t xml:space="preserve">أن تُعلن أن </w:t>
      </w:r>
      <w:r w:rsidRPr="00AA537D">
        <w:rPr>
          <w:spacing w:val="0"/>
          <w:kern w:val="0"/>
          <w:rtl/>
        </w:rPr>
        <w:t>الشكوى</w:t>
      </w:r>
      <w:r w:rsidRPr="00AA537D">
        <w:rPr>
          <w:rFonts w:hint="cs"/>
          <w:spacing w:val="0"/>
          <w:kern w:val="0"/>
          <w:rtl/>
        </w:rPr>
        <w:t xml:space="preserve"> مقبولة</w:t>
      </w:r>
      <w:r w:rsidRPr="00AA537D">
        <w:rPr>
          <w:spacing w:val="0"/>
          <w:kern w:val="0"/>
          <w:rtl/>
        </w:rPr>
        <w:t>.</w:t>
      </w:r>
    </w:p>
    <w:p w:rsidR="00FA6676" w:rsidRPr="00AA537D" w:rsidRDefault="00FA6676" w:rsidP="00AA537D">
      <w:pPr>
        <w:pStyle w:val="SingleTxtGA"/>
        <w:jc w:val="lowKashida"/>
        <w:rPr>
          <w:spacing w:val="0"/>
          <w:kern w:val="0"/>
          <w:rtl/>
        </w:rPr>
      </w:pPr>
      <w:r w:rsidRPr="00AA537D">
        <w:rPr>
          <w:spacing w:val="0"/>
          <w:kern w:val="0"/>
          <w:rtl/>
        </w:rPr>
        <w:t>14-4</w:t>
      </w:r>
      <w:r w:rsidRPr="00AA537D">
        <w:rPr>
          <w:spacing w:val="0"/>
          <w:kern w:val="0"/>
          <w:rtl/>
        </w:rPr>
        <w:tab/>
        <w:t xml:space="preserve">وفي ضوء الاعتبارات السابقة، تقرر اللجنة </w:t>
      </w:r>
      <w:r w:rsidRPr="00AA537D">
        <w:rPr>
          <w:rFonts w:hint="cs"/>
          <w:spacing w:val="0"/>
          <w:kern w:val="0"/>
          <w:rtl/>
        </w:rPr>
        <w:t xml:space="preserve">أن </w:t>
      </w:r>
      <w:r w:rsidRPr="00AA537D">
        <w:rPr>
          <w:spacing w:val="0"/>
          <w:kern w:val="0"/>
          <w:rtl/>
        </w:rPr>
        <w:t>الشكوى</w:t>
      </w:r>
      <w:r w:rsidRPr="00AA537D">
        <w:rPr>
          <w:rFonts w:hint="cs"/>
          <w:spacing w:val="0"/>
          <w:kern w:val="0"/>
          <w:rtl/>
        </w:rPr>
        <w:t xml:space="preserve"> مقبولة</w:t>
      </w:r>
      <w:r w:rsidRPr="00AA537D">
        <w:rPr>
          <w:spacing w:val="0"/>
          <w:kern w:val="0"/>
          <w:rtl/>
        </w:rPr>
        <w:t xml:space="preserve">، نظراً إلى أنها تثير مسائل تندرج في المادة 3 من الاتفاقية، وتقرر </w:t>
      </w:r>
      <w:r w:rsidRPr="00AA537D">
        <w:rPr>
          <w:rFonts w:hint="cs"/>
          <w:spacing w:val="0"/>
          <w:kern w:val="0"/>
          <w:rtl/>
        </w:rPr>
        <w:t xml:space="preserve">الانتقال إلى بحث </w:t>
      </w:r>
      <w:r w:rsidRPr="00AA537D">
        <w:rPr>
          <w:spacing w:val="0"/>
          <w:kern w:val="0"/>
          <w:rtl/>
        </w:rPr>
        <w:t xml:space="preserve">أسسها الموضوعية. </w:t>
      </w:r>
    </w:p>
    <w:p w:rsidR="00FA6676" w:rsidRPr="00AA537D" w:rsidRDefault="00FA6676" w:rsidP="00AA537D">
      <w:pPr>
        <w:pStyle w:val="H4GA"/>
        <w:jc w:val="lowKashida"/>
        <w:rPr>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النظر في الأسس الموضوعية</w:t>
      </w:r>
    </w:p>
    <w:p w:rsidR="00FA6676" w:rsidRPr="00AA537D" w:rsidRDefault="00FA6676" w:rsidP="00AA537D">
      <w:pPr>
        <w:pStyle w:val="SingleTxtGA"/>
        <w:jc w:val="lowKashida"/>
        <w:rPr>
          <w:spacing w:val="0"/>
          <w:kern w:val="0"/>
          <w:rtl/>
        </w:rPr>
      </w:pPr>
      <w:r w:rsidRPr="00AA537D">
        <w:rPr>
          <w:spacing w:val="0"/>
          <w:kern w:val="0"/>
          <w:rtl/>
        </w:rPr>
        <w:t>15-1</w:t>
      </w:r>
      <w:r w:rsidRPr="00AA537D">
        <w:rPr>
          <w:spacing w:val="0"/>
          <w:kern w:val="0"/>
          <w:rtl/>
        </w:rPr>
        <w:tab/>
        <w:t xml:space="preserve">نظرت اللجنة في الشكوى في ضوء جميع المعلومات التي أتاحتها لها الأطراف وفقاً للفقرة 4 من المادة 22 من الاتفاقية. </w:t>
      </w:r>
    </w:p>
    <w:p w:rsidR="00FA6676" w:rsidRPr="00AA537D" w:rsidRDefault="00FA6676" w:rsidP="00AA537D">
      <w:pPr>
        <w:pStyle w:val="SingleTxtGA"/>
        <w:jc w:val="lowKashida"/>
        <w:rPr>
          <w:spacing w:val="0"/>
          <w:kern w:val="0"/>
          <w:rtl/>
        </w:rPr>
      </w:pPr>
      <w:r w:rsidRPr="00AA537D">
        <w:rPr>
          <w:spacing w:val="0"/>
          <w:kern w:val="0"/>
          <w:rtl/>
        </w:rPr>
        <w:t>15-2</w:t>
      </w:r>
      <w:r w:rsidRPr="00AA537D">
        <w:rPr>
          <w:spacing w:val="0"/>
          <w:kern w:val="0"/>
          <w:rtl/>
        </w:rPr>
        <w:tab/>
        <w:t xml:space="preserve">ويجب على اللجنة أن تقرر ما إذا كان تسليم صاحب الشكوى قسراً إلى الاتحاد الروسي ينتهك التزامات الدولة الطرف بموجب الفقرة 1 من المادة 3 من الاتفاقية، التي تقضي بعدم طرد أو إعادة </w:t>
      </w:r>
      <w:r w:rsidRPr="00AA537D">
        <w:rPr>
          <w:i/>
          <w:iCs/>
          <w:spacing w:val="0"/>
          <w:kern w:val="0"/>
          <w:rtl/>
        </w:rPr>
        <w:t>(رد)</w:t>
      </w:r>
      <w:r w:rsidRPr="00AA537D">
        <w:rPr>
          <w:spacing w:val="0"/>
          <w:kern w:val="0"/>
          <w:rtl/>
        </w:rPr>
        <w:t xml:space="preserve"> أي شخص إلى دولة أخرى إذا توافرت أسباب وجيهة تدعو إلى الاعتقاد بأنه سيواجه فيها خطر التعرض للتعذيب. وت</w:t>
      </w:r>
      <w:r w:rsidRPr="00AA537D">
        <w:rPr>
          <w:rFonts w:hint="cs"/>
          <w:spacing w:val="0"/>
          <w:kern w:val="0"/>
          <w:rtl/>
        </w:rPr>
        <w:t xml:space="preserve">شدد </w:t>
      </w:r>
      <w:r w:rsidRPr="00AA537D">
        <w:rPr>
          <w:spacing w:val="0"/>
          <w:kern w:val="0"/>
          <w:rtl/>
        </w:rPr>
        <w:t xml:space="preserve">اللجنة </w:t>
      </w:r>
      <w:r w:rsidRPr="00AA537D">
        <w:rPr>
          <w:rFonts w:hint="cs"/>
          <w:spacing w:val="0"/>
          <w:kern w:val="0"/>
          <w:rtl/>
        </w:rPr>
        <w:t xml:space="preserve">على </w:t>
      </w:r>
      <w:r w:rsidRPr="00AA537D">
        <w:rPr>
          <w:spacing w:val="0"/>
          <w:kern w:val="0"/>
          <w:rtl/>
        </w:rPr>
        <w:t xml:space="preserve">أنها يجب أن تتخذ قراراً بشأن المسألة في ضوء المعلومات التي كانت </w:t>
      </w:r>
      <w:r w:rsidRPr="00AA537D">
        <w:rPr>
          <w:rFonts w:hint="cs"/>
          <w:spacing w:val="0"/>
          <w:kern w:val="0"/>
          <w:rtl/>
        </w:rPr>
        <w:t>في حوزة</w:t>
      </w:r>
      <w:r w:rsidRPr="00AA537D">
        <w:rPr>
          <w:spacing w:val="0"/>
          <w:kern w:val="0"/>
          <w:rtl/>
        </w:rPr>
        <w:t xml:space="preserve"> </w:t>
      </w:r>
      <w:r w:rsidRPr="00AA537D">
        <w:rPr>
          <w:rFonts w:hint="cs"/>
          <w:spacing w:val="0"/>
          <w:kern w:val="0"/>
          <w:rtl/>
        </w:rPr>
        <w:t>ا</w:t>
      </w:r>
      <w:r w:rsidRPr="00AA537D">
        <w:rPr>
          <w:spacing w:val="0"/>
          <w:kern w:val="0"/>
          <w:rtl/>
        </w:rPr>
        <w:t xml:space="preserve">لدولة الطرف، أو كان ينبغي أن تكون </w:t>
      </w:r>
      <w:r w:rsidRPr="00AA537D">
        <w:rPr>
          <w:rFonts w:hint="cs"/>
          <w:spacing w:val="0"/>
          <w:kern w:val="0"/>
          <w:rtl/>
        </w:rPr>
        <w:t>في حوزتها</w:t>
      </w:r>
      <w:r w:rsidRPr="00AA537D">
        <w:rPr>
          <w:spacing w:val="0"/>
          <w:kern w:val="0"/>
          <w:rtl/>
        </w:rPr>
        <w:t>، في وقت التسليم. و</w:t>
      </w:r>
      <w:r w:rsidRPr="00AA537D">
        <w:rPr>
          <w:rFonts w:hint="cs"/>
          <w:spacing w:val="0"/>
          <w:kern w:val="0"/>
          <w:rtl/>
        </w:rPr>
        <w:t>لا تفيد</w:t>
      </w:r>
      <w:r w:rsidRPr="00AA537D">
        <w:rPr>
          <w:spacing w:val="0"/>
          <w:kern w:val="0"/>
          <w:rtl/>
        </w:rPr>
        <w:t xml:space="preserve"> الأحداث اللاحقة </w:t>
      </w:r>
      <w:r w:rsidRPr="00AA537D">
        <w:rPr>
          <w:rFonts w:hint="cs"/>
          <w:spacing w:val="0"/>
          <w:kern w:val="0"/>
          <w:rtl/>
        </w:rPr>
        <w:t>إلا</w:t>
      </w:r>
      <w:r w:rsidRPr="00AA537D">
        <w:rPr>
          <w:spacing w:val="0"/>
          <w:kern w:val="0"/>
          <w:rtl/>
        </w:rPr>
        <w:t xml:space="preserve"> في تقييم المعلومات التي كانت بالفعل </w:t>
      </w:r>
      <w:r w:rsidRPr="00AA537D">
        <w:rPr>
          <w:rFonts w:hint="cs"/>
          <w:spacing w:val="0"/>
          <w:kern w:val="0"/>
          <w:rtl/>
        </w:rPr>
        <w:t>في حوزة ا</w:t>
      </w:r>
      <w:r w:rsidRPr="00AA537D">
        <w:rPr>
          <w:spacing w:val="0"/>
          <w:kern w:val="0"/>
          <w:rtl/>
        </w:rPr>
        <w:t xml:space="preserve">لدولة الطرف، أو كان ينبغي أن تكون </w:t>
      </w:r>
      <w:r w:rsidRPr="00AA537D">
        <w:rPr>
          <w:rFonts w:hint="cs"/>
          <w:spacing w:val="0"/>
          <w:kern w:val="0"/>
          <w:rtl/>
        </w:rPr>
        <w:t>في حوزتها</w:t>
      </w:r>
      <w:r w:rsidRPr="00AA537D">
        <w:rPr>
          <w:spacing w:val="0"/>
          <w:kern w:val="0"/>
          <w:rtl/>
        </w:rPr>
        <w:t>، في وقت التسليم.</w:t>
      </w:r>
    </w:p>
    <w:p w:rsidR="00FA6676" w:rsidRPr="00AA537D" w:rsidRDefault="00FA6676" w:rsidP="00466B80">
      <w:pPr>
        <w:pStyle w:val="SingleTxtGA"/>
        <w:jc w:val="lowKashida"/>
        <w:rPr>
          <w:spacing w:val="0"/>
          <w:kern w:val="0"/>
          <w:rtl/>
        </w:rPr>
      </w:pPr>
      <w:r w:rsidRPr="00AA537D">
        <w:rPr>
          <w:spacing w:val="0"/>
          <w:kern w:val="0"/>
          <w:rtl/>
        </w:rPr>
        <w:t>15-3</w:t>
      </w:r>
      <w:r w:rsidRPr="00AA537D">
        <w:rPr>
          <w:spacing w:val="0"/>
          <w:kern w:val="0"/>
          <w:rtl/>
        </w:rPr>
        <w:tab/>
        <w:t>و</w:t>
      </w:r>
      <w:r w:rsidRPr="00AA537D">
        <w:rPr>
          <w:rFonts w:hint="cs"/>
          <w:spacing w:val="0"/>
          <w:kern w:val="0"/>
          <w:rtl/>
        </w:rPr>
        <w:t xml:space="preserve">لدى </w:t>
      </w:r>
      <w:r w:rsidRPr="00AA537D">
        <w:rPr>
          <w:spacing w:val="0"/>
          <w:kern w:val="0"/>
          <w:rtl/>
        </w:rPr>
        <w:t xml:space="preserve">تقييم ما إذا كان تسليم صاحب الشكوى إلى الاتحاد الروسي ينتهك التزامات الدولة الطرف بموجب المادة 3 من الاتفاقية، يجب على اللجنة أن تراعي جميع الاعتبارات ذات الصلة، بما في ذلك </w:t>
      </w:r>
      <w:r w:rsidRPr="00AA537D">
        <w:rPr>
          <w:rFonts w:hint="cs"/>
          <w:spacing w:val="0"/>
          <w:kern w:val="0"/>
          <w:rtl/>
        </w:rPr>
        <w:t xml:space="preserve">مدى </w:t>
      </w:r>
      <w:r w:rsidRPr="00AA537D">
        <w:rPr>
          <w:spacing w:val="0"/>
          <w:kern w:val="0"/>
          <w:rtl/>
        </w:rPr>
        <w:t>وجود نمط ثابت من الانتهاكات الجسيمة أو الصارخة أو</w:t>
      </w:r>
      <w:r w:rsidR="00466B80">
        <w:rPr>
          <w:rFonts w:hint="cs"/>
          <w:spacing w:val="0"/>
          <w:kern w:val="0"/>
          <w:rtl/>
        </w:rPr>
        <w:t> </w:t>
      </w:r>
      <w:r w:rsidRPr="00AA537D">
        <w:rPr>
          <w:spacing w:val="0"/>
          <w:kern w:val="0"/>
          <w:rtl/>
        </w:rPr>
        <w:t xml:space="preserve">الجماعية لحقوق الإنسان. غير أن الهدف من هذا التحليل هو تحديد ما إذا كان صاحب الشكوى </w:t>
      </w:r>
      <w:r w:rsidRPr="00AA537D">
        <w:rPr>
          <w:rFonts w:hint="cs"/>
          <w:spacing w:val="0"/>
          <w:kern w:val="0"/>
          <w:rtl/>
        </w:rPr>
        <w:t xml:space="preserve">سيتعرض </w:t>
      </w:r>
      <w:r w:rsidRPr="00AA537D">
        <w:rPr>
          <w:spacing w:val="0"/>
          <w:kern w:val="0"/>
          <w:rtl/>
        </w:rPr>
        <w:t>شخصياً لخطر التعذيب في البلد الذي سيُسلم إليه. وت</w:t>
      </w:r>
      <w:r w:rsidRPr="00AA537D">
        <w:rPr>
          <w:rFonts w:hint="cs"/>
          <w:spacing w:val="0"/>
          <w:kern w:val="0"/>
          <w:rtl/>
        </w:rPr>
        <w:t>كرر</w:t>
      </w:r>
      <w:r w:rsidRPr="00AA537D">
        <w:rPr>
          <w:spacing w:val="0"/>
          <w:kern w:val="0"/>
          <w:rtl/>
        </w:rPr>
        <w:t xml:space="preserve"> اللجنة أن وجود نمط من الانتهاكات الجسيمة أو الصارخة أو الجماعية لحقوق الإنسان في البلد لا يمثل في حد ذاته سبباً كافياً لتأكيد أن شخصاً معيناً سيتعرض لخطر التعذيب لدى عودته إلى ذلك البلد؛ وإنما يجب أن تتوافر أسباب أخرى تثبت أن </w:t>
      </w:r>
      <w:r w:rsidRPr="00AA537D">
        <w:rPr>
          <w:rFonts w:hint="cs"/>
          <w:spacing w:val="0"/>
          <w:kern w:val="0"/>
          <w:rtl/>
        </w:rPr>
        <w:t xml:space="preserve">الفرد المعني </w:t>
      </w:r>
      <w:r w:rsidRPr="00AA537D">
        <w:rPr>
          <w:spacing w:val="0"/>
          <w:kern w:val="0"/>
          <w:rtl/>
        </w:rPr>
        <w:t xml:space="preserve">سيتعرض شخصياً للخطر. وبالمثل، فإن عدم وجود نمط ثابت من الانتهاكات الصارخة لحقوق الإنسان لا يعني أن شخصاً ما لا يمكن أن يتعرض لخطر التعذيب بحكم ظروفه الخاصة. </w:t>
      </w:r>
    </w:p>
    <w:p w:rsidR="00FA6676" w:rsidRPr="00AA537D" w:rsidRDefault="00FA6676" w:rsidP="00466B80">
      <w:pPr>
        <w:pStyle w:val="SingleTxtGA"/>
        <w:jc w:val="lowKashida"/>
        <w:rPr>
          <w:spacing w:val="0"/>
          <w:kern w:val="0"/>
          <w:rtl/>
        </w:rPr>
      </w:pPr>
      <w:r w:rsidRPr="00AA537D">
        <w:rPr>
          <w:spacing w:val="0"/>
          <w:kern w:val="0"/>
          <w:rtl/>
        </w:rPr>
        <w:t>15-4</w:t>
      </w:r>
      <w:r w:rsidRPr="00AA537D">
        <w:rPr>
          <w:spacing w:val="0"/>
          <w:kern w:val="0"/>
          <w:rtl/>
        </w:rPr>
        <w:tab/>
        <w:t xml:space="preserve">وتشير اللجنة إلى تعليقها العام رقم 1(1996) بشأن تنفيذ المادة 3، والذي جاء </w:t>
      </w:r>
      <w:r w:rsidRPr="00AA537D">
        <w:rPr>
          <w:rFonts w:hint="cs"/>
          <w:spacing w:val="0"/>
          <w:kern w:val="0"/>
          <w:rtl/>
        </w:rPr>
        <w:t>فيه</w:t>
      </w:r>
      <w:r w:rsidRPr="00AA537D">
        <w:rPr>
          <w:spacing w:val="0"/>
          <w:kern w:val="0"/>
          <w:rtl/>
        </w:rPr>
        <w:t xml:space="preserve"> أنه "يجب أن يقدر خطر التعذيب على أسس تتجاوز مجرد </w:t>
      </w:r>
      <w:r w:rsidRPr="00AA537D">
        <w:rPr>
          <w:rFonts w:hint="cs"/>
          <w:spacing w:val="0"/>
          <w:kern w:val="0"/>
          <w:rtl/>
        </w:rPr>
        <w:t>الافتراض</w:t>
      </w:r>
      <w:r w:rsidRPr="00AA537D">
        <w:rPr>
          <w:spacing w:val="0"/>
          <w:kern w:val="0"/>
          <w:rtl/>
        </w:rPr>
        <w:t xml:space="preserve"> أو الشك. غير أنه لا</w:t>
      </w:r>
      <w:r w:rsidR="00466B80">
        <w:rPr>
          <w:rFonts w:hint="cs"/>
          <w:spacing w:val="0"/>
          <w:kern w:val="0"/>
          <w:rtl/>
        </w:rPr>
        <w:t> </w:t>
      </w:r>
      <w:r w:rsidRPr="00AA537D">
        <w:rPr>
          <w:spacing w:val="0"/>
          <w:kern w:val="0"/>
          <w:rtl/>
        </w:rPr>
        <w:t xml:space="preserve">يتحتم أن يكون هذا الخطر موافقاً لاختبار </w:t>
      </w:r>
      <w:r w:rsidRPr="00AA537D">
        <w:rPr>
          <w:rFonts w:hint="cs"/>
          <w:spacing w:val="0"/>
          <w:kern w:val="0"/>
          <w:rtl/>
        </w:rPr>
        <w:t xml:space="preserve">الدرجة العالية لاحتمال </w:t>
      </w:r>
      <w:r w:rsidRPr="00AA537D">
        <w:rPr>
          <w:spacing w:val="0"/>
          <w:kern w:val="0"/>
          <w:rtl/>
        </w:rPr>
        <w:t>وقوعه"</w:t>
      </w:r>
      <w:r w:rsidRPr="00AA537D">
        <w:rPr>
          <w:spacing w:val="0"/>
          <w:kern w:val="0"/>
          <w:vertAlign w:val="superscript"/>
          <w:rtl/>
        </w:rPr>
        <w:t>(</w:t>
      </w:r>
      <w:r w:rsidRPr="00AA537D">
        <w:rPr>
          <w:rStyle w:val="FootnoteReference"/>
          <w:spacing w:val="0"/>
          <w:rtl/>
        </w:rPr>
        <w:footnoteReference w:id="374"/>
      </w:r>
      <w:r w:rsidRPr="00AA537D">
        <w:rPr>
          <w:spacing w:val="0"/>
          <w:kern w:val="0"/>
          <w:vertAlign w:val="superscript"/>
          <w:rtl/>
        </w:rPr>
        <w:t>)</w:t>
      </w:r>
      <w:r w:rsidRPr="00AA537D">
        <w:rPr>
          <w:spacing w:val="0"/>
          <w:kern w:val="0"/>
          <w:rtl/>
        </w:rPr>
        <w:t>، وإنما يجب أن يكون شخصياً وقائماً. وفي هذا الصدد، حددت اللجنة، في قرارات سابقة، أن خطر التعرض للتعذيب يجب أن يكون متوقعاً وحقيقياً وشخصياً</w:t>
      </w:r>
      <w:r w:rsidRPr="00AA537D">
        <w:rPr>
          <w:spacing w:val="0"/>
          <w:kern w:val="0"/>
          <w:vertAlign w:val="superscript"/>
          <w:rtl/>
        </w:rPr>
        <w:t>(</w:t>
      </w:r>
      <w:r w:rsidRPr="00AA537D">
        <w:rPr>
          <w:rStyle w:val="FootnoteReference"/>
          <w:spacing w:val="0"/>
          <w:rtl/>
        </w:rPr>
        <w:footnoteReference w:id="375"/>
      </w:r>
      <w:r w:rsidRPr="00AA537D">
        <w:rPr>
          <w:spacing w:val="0"/>
          <w:kern w:val="0"/>
          <w:vertAlign w:val="superscript"/>
          <w:rtl/>
        </w:rPr>
        <w:t>)</w:t>
      </w:r>
      <w:r w:rsidRPr="00AA537D">
        <w:rPr>
          <w:spacing w:val="0"/>
          <w:kern w:val="0"/>
          <w:rtl/>
        </w:rPr>
        <w:t xml:space="preserve">. وعند اتخاذ اللجنة لقرار بشأن </w:t>
      </w:r>
      <w:r w:rsidRPr="00AA537D">
        <w:rPr>
          <w:rFonts w:hint="cs"/>
          <w:spacing w:val="0"/>
          <w:kern w:val="0"/>
          <w:rtl/>
        </w:rPr>
        <w:t xml:space="preserve">مدى </w:t>
      </w:r>
      <w:r w:rsidRPr="00AA537D">
        <w:rPr>
          <w:spacing w:val="0"/>
          <w:kern w:val="0"/>
          <w:rtl/>
        </w:rPr>
        <w:t>وجود خطر متوقع وحقيقي وشخصي لتعرض صاحب الشكوى للتعذيب، فإنها لا</w:t>
      </w:r>
      <w:r w:rsidR="00466B80">
        <w:rPr>
          <w:rFonts w:hint="cs"/>
          <w:spacing w:val="0"/>
          <w:kern w:val="0"/>
          <w:rtl/>
        </w:rPr>
        <w:t> </w:t>
      </w:r>
      <w:r w:rsidRPr="00AA537D">
        <w:rPr>
          <w:spacing w:val="0"/>
          <w:kern w:val="0"/>
          <w:rtl/>
        </w:rPr>
        <w:t xml:space="preserve">تعرب بذلك عن أي رأي لها بشأن صحة الاتهامات الجنائية الموجهة إليه. </w:t>
      </w:r>
    </w:p>
    <w:p w:rsidR="00FA6676" w:rsidRPr="00AA537D" w:rsidRDefault="00FA6676" w:rsidP="00AA537D">
      <w:pPr>
        <w:pStyle w:val="SingleTxtGA"/>
        <w:jc w:val="lowKashida"/>
        <w:rPr>
          <w:spacing w:val="0"/>
          <w:kern w:val="0"/>
          <w:rtl/>
        </w:rPr>
      </w:pPr>
      <w:r w:rsidRPr="00AA537D">
        <w:rPr>
          <w:spacing w:val="0"/>
          <w:kern w:val="0"/>
          <w:rtl/>
        </w:rPr>
        <w:t>15-5</w:t>
      </w:r>
      <w:r w:rsidRPr="00AA537D">
        <w:rPr>
          <w:spacing w:val="0"/>
          <w:kern w:val="0"/>
          <w:rtl/>
        </w:rPr>
        <w:tab/>
        <w:t xml:space="preserve">وتذكّر اللجنة بأن حظر التعذيب مطلق وغير قابل للمساس به، وبعدم جواز تذرع أي دولة طرف </w:t>
      </w:r>
      <w:r w:rsidRPr="00AA537D">
        <w:rPr>
          <w:i/>
          <w:iCs/>
          <w:spacing w:val="0"/>
          <w:kern w:val="0"/>
          <w:rtl/>
        </w:rPr>
        <w:t>بظروف استثنائية أياً كانت</w:t>
      </w:r>
      <w:r w:rsidRPr="00AA537D">
        <w:rPr>
          <w:spacing w:val="0"/>
          <w:kern w:val="0"/>
          <w:rtl/>
        </w:rPr>
        <w:t xml:space="preserve"> لتبرير أفعال التعذيب</w:t>
      </w:r>
      <w:r w:rsidRPr="00AA537D">
        <w:rPr>
          <w:spacing w:val="0"/>
          <w:kern w:val="0"/>
          <w:vertAlign w:val="superscript"/>
          <w:rtl/>
        </w:rPr>
        <w:t>(</w:t>
      </w:r>
      <w:r w:rsidRPr="00AA537D">
        <w:rPr>
          <w:rStyle w:val="FootnoteReference"/>
          <w:spacing w:val="0"/>
          <w:rtl/>
        </w:rPr>
        <w:footnoteReference w:id="376"/>
      </w:r>
      <w:r w:rsidRPr="00AA537D">
        <w:rPr>
          <w:spacing w:val="0"/>
          <w:kern w:val="0"/>
          <w:vertAlign w:val="superscript"/>
          <w:rtl/>
        </w:rPr>
        <w:t>)</w:t>
      </w:r>
      <w:r w:rsidRPr="00AA537D">
        <w:rPr>
          <w:spacing w:val="0"/>
          <w:kern w:val="0"/>
          <w:rtl/>
        </w:rPr>
        <w:t>. وتلاحظ اللجنة حجج صاحب الشكوى بأنه معرض شخصياً لخطر التعذيب أو ربما القتل في الاتحاد الروسي، بالنظر إلى وفاة أو اختفاء شركائه التجاريين الثلاثة، واستناداً إلى التقدير الذي أجرته مفوضية شؤون اللاجئين في المغرب. وتلاحظ اللجنة أيضاً بيان الدولة الطرف بأن سلطاتها لم تجد دليلاً على أن صاحب الشكوى سيتعرض للتعذيب إذا سُلم إلى الاتحاد الروسي، وبأن طلب التسليم أُرفقت به ضمانات دبلوماسية من الاتحاد الروسي بعدم تعريض صاحب الشكوى للتعذيب أو للاعتداء على كرامته الإنسانية.</w:t>
      </w:r>
    </w:p>
    <w:p w:rsidR="00FA6676" w:rsidRPr="00AA537D" w:rsidRDefault="00FA6676" w:rsidP="00AA537D">
      <w:pPr>
        <w:pStyle w:val="SingleTxtGA"/>
        <w:jc w:val="lowKashida"/>
        <w:rPr>
          <w:spacing w:val="0"/>
          <w:kern w:val="0"/>
          <w:rtl/>
        </w:rPr>
      </w:pPr>
      <w:r w:rsidRPr="00ED61B0">
        <w:rPr>
          <w:spacing w:val="0"/>
          <w:kern w:val="0"/>
          <w:sz w:val="20"/>
          <w:rtl/>
        </w:rPr>
        <w:t>15-6</w:t>
      </w:r>
      <w:r w:rsidRPr="00ED61B0">
        <w:rPr>
          <w:spacing w:val="0"/>
          <w:kern w:val="0"/>
          <w:sz w:val="20"/>
          <w:rtl/>
        </w:rPr>
        <w:tab/>
        <w:t>ويجب على اللجنة أن تأخذ في الاعتبار الوضع الفعلي لحقوق الإنسان في الاتحاد الروسي، وتذكّر بملاحظاتها الختامية على التقرير الدوري الرابع للدولة الطرف (</w:t>
      </w:r>
      <w:r w:rsidRPr="00ED61B0">
        <w:rPr>
          <w:spacing w:val="0"/>
          <w:kern w:val="0"/>
          <w:sz w:val="20"/>
        </w:rPr>
        <w:t>CAT/C/RUS/CO/4</w:t>
      </w:r>
      <w:r w:rsidRPr="00ED61B0">
        <w:rPr>
          <w:spacing w:val="0"/>
          <w:kern w:val="0"/>
          <w:sz w:val="20"/>
          <w:rtl/>
        </w:rPr>
        <w:t>، الفقرتان 9 و12)، التي أشارت فيها إلى استمرار ارتكاب أفعال التعذيب وغيره من ضروب المعاملة أو العقوبة القاسية أو اللاإنسانية أو المهينة على يد موظفي</w:t>
      </w:r>
      <w:r w:rsidRPr="00AA537D">
        <w:rPr>
          <w:spacing w:val="0"/>
          <w:kern w:val="0"/>
          <w:rtl/>
        </w:rPr>
        <w:t xml:space="preserve"> إنفاذ القانون، لا سيما </w:t>
      </w:r>
      <w:r w:rsidRPr="00AA537D">
        <w:rPr>
          <w:rFonts w:hint="cs"/>
          <w:spacing w:val="0"/>
          <w:kern w:val="0"/>
          <w:rtl/>
        </w:rPr>
        <w:t>بهدف</w:t>
      </w:r>
      <w:r w:rsidRPr="00AA537D">
        <w:rPr>
          <w:spacing w:val="0"/>
          <w:kern w:val="0"/>
          <w:rtl/>
        </w:rPr>
        <w:t xml:space="preserve"> انتزاع الاعترافات، وكذلك إلى ضعف استقلالية النيابة العامة وإخفاقها في </w:t>
      </w:r>
      <w:r w:rsidRPr="00AA537D">
        <w:rPr>
          <w:rFonts w:hint="cs"/>
          <w:spacing w:val="0"/>
          <w:kern w:val="0"/>
          <w:rtl/>
        </w:rPr>
        <w:t>إجراء</w:t>
      </w:r>
      <w:r w:rsidRPr="00AA537D">
        <w:rPr>
          <w:spacing w:val="0"/>
          <w:kern w:val="0"/>
          <w:rtl/>
        </w:rPr>
        <w:t xml:space="preserve"> تحقيقات سريعة ونزيهة وفعالة في الادعاءات المتعلقة بالتعذيب أو</w:t>
      </w:r>
      <w:r w:rsidRPr="00AA537D">
        <w:rPr>
          <w:spacing w:val="0"/>
          <w:kern w:val="0"/>
        </w:rPr>
        <w:t> </w:t>
      </w:r>
      <w:r w:rsidRPr="00AA537D">
        <w:rPr>
          <w:spacing w:val="0"/>
          <w:kern w:val="0"/>
          <w:rtl/>
        </w:rPr>
        <w:t xml:space="preserve">إساءة المعاملة. ومع ذلك يجب أن تتوافر أسباب أخرى تثبت أن الشخص المعني سيتعرض شخصياً للخطر. وفي ظروف هذه القضية، تلاحظ اللجنة أن الشركاء التجاريين الثلاثة لصاحب الشكوى عُثر عليهم قتلى أو اختفوا، اثنان منهم أثناء الاحتجاز لدى سلطات الاتحاد الروسي، وذلك بعد أن أبلغوا السلطات الروسية بوقائع مخطط إجرامي. وتلاحظ اللجنة أيضاً أن صاحب الشكوى تلقى هو نفسه تهديدات بالقتل من </w:t>
      </w:r>
      <w:r w:rsidRPr="00AA537D">
        <w:rPr>
          <w:rFonts w:hint="cs"/>
          <w:spacing w:val="0"/>
          <w:kern w:val="0"/>
          <w:rtl/>
        </w:rPr>
        <w:t xml:space="preserve">جماعات </w:t>
      </w:r>
      <w:r w:rsidRPr="00AA537D">
        <w:rPr>
          <w:spacing w:val="0"/>
          <w:kern w:val="0"/>
          <w:rtl/>
        </w:rPr>
        <w:t>الجريمة المنظمة، مما حمله على اتخاذ قرار مغادرة البلد. وفي ضوء كل ما سبق، تستنتج اللجنة أن صاحب الشكوى قد أثبت بالأدلة الكافية الخطر المتوقع والحقيقي والشخصي لتعرضه للتعذيب لدى عودته إلى الاتحاد الروسي. وترى اللجنة أن تقديم ضمانات دبلوماسية في ظروف هذه القضية غير كافٍ لحماية صاحب الشكوى من هذا الخطر الواضح، وكذلك في ضوء الطبيعة العام</w:t>
      </w:r>
      <w:r w:rsidRPr="00AA537D">
        <w:rPr>
          <w:rFonts w:hint="cs"/>
          <w:spacing w:val="0"/>
          <w:kern w:val="0"/>
          <w:rtl/>
        </w:rPr>
        <w:t>ة</w:t>
      </w:r>
      <w:r w:rsidRPr="00AA537D">
        <w:rPr>
          <w:spacing w:val="0"/>
          <w:kern w:val="0"/>
          <w:rtl/>
        </w:rPr>
        <w:t xml:space="preserve"> وغير المحددة لهذه الضمانات وبالنظر إلى أنها لا </w:t>
      </w:r>
      <w:r w:rsidRPr="00AA537D">
        <w:rPr>
          <w:rFonts w:hint="cs"/>
          <w:spacing w:val="0"/>
          <w:kern w:val="0"/>
          <w:rtl/>
        </w:rPr>
        <w:t>تستند إلى</w:t>
      </w:r>
      <w:r w:rsidRPr="00AA537D">
        <w:rPr>
          <w:spacing w:val="0"/>
          <w:kern w:val="0"/>
          <w:rtl/>
        </w:rPr>
        <w:t xml:space="preserve"> آلية للمتابعة. ولذلك فإن تسليم الدولة الطرف لصاحب الشكوى يمثل انتهاكاً للمادة 3 من الاتفاقية.</w:t>
      </w:r>
    </w:p>
    <w:p w:rsidR="00FA6676" w:rsidRPr="00AA537D" w:rsidRDefault="00FA6676" w:rsidP="00AA537D">
      <w:pPr>
        <w:pStyle w:val="SingleTxtGA"/>
        <w:jc w:val="lowKashida"/>
        <w:rPr>
          <w:spacing w:val="0"/>
          <w:kern w:val="0"/>
          <w:rtl/>
        </w:rPr>
      </w:pPr>
      <w:r w:rsidRPr="00AA537D">
        <w:rPr>
          <w:spacing w:val="0"/>
          <w:kern w:val="0"/>
          <w:rtl/>
        </w:rPr>
        <w:t>16-</w:t>
      </w:r>
      <w:r w:rsidRPr="00AA537D">
        <w:rPr>
          <w:spacing w:val="0"/>
          <w:kern w:val="0"/>
          <w:rtl/>
        </w:rPr>
        <w:tab/>
        <w:t>وتقرر لجنة مناهضة التعذيب، عملاً بالفقرة 7 من المادة 22 من اتفاقية مناهضة التعذيب وغيره من ضروب المعاملة أو العقوبة القاسية أو اللاإنسانية أو المهينة، أن الوقائع المعروضة عليها تمثل انتهاكاً من الدولة الطرف للمادتين 3 و22 من الاتفاقية.</w:t>
      </w:r>
    </w:p>
    <w:p w:rsidR="00FA6676" w:rsidRPr="00AA537D" w:rsidRDefault="00FA6676" w:rsidP="00AA537D">
      <w:pPr>
        <w:pStyle w:val="SingleTxtGA"/>
        <w:jc w:val="lowKashida"/>
        <w:rPr>
          <w:spacing w:val="0"/>
          <w:kern w:val="0"/>
          <w:rtl/>
        </w:rPr>
      </w:pPr>
      <w:r w:rsidRPr="00AA537D">
        <w:rPr>
          <w:spacing w:val="0"/>
          <w:kern w:val="0"/>
          <w:rtl/>
        </w:rPr>
        <w:t>17-</w:t>
      </w:r>
      <w:r w:rsidRPr="00AA537D">
        <w:rPr>
          <w:spacing w:val="0"/>
          <w:kern w:val="0"/>
          <w:rtl/>
        </w:rPr>
        <w:tab/>
        <w:t xml:space="preserve">وتحث اللجنة الدولة الطرف، وفقاً للفقرة 5 من المادة 118 (المادة 112 سابقاً) من نظامها الداخلي على </w:t>
      </w:r>
      <w:r w:rsidRPr="00AA537D">
        <w:rPr>
          <w:rFonts w:hint="cs"/>
          <w:spacing w:val="0"/>
          <w:kern w:val="0"/>
          <w:rtl/>
        </w:rPr>
        <w:t>تقديم الجبر</w:t>
      </w:r>
      <w:r w:rsidRPr="00AA537D">
        <w:rPr>
          <w:spacing w:val="0"/>
          <w:kern w:val="0"/>
          <w:rtl/>
        </w:rPr>
        <w:t xml:space="preserve"> لصاحب الشكوى، بما في ذلك التعويض وإنشاء آلية فعالة للمتابعة تكفل عدم تعرضه للتعذيب أو إساءة المعاملة. وتحيط اللجنة علماً بتعهد السلطات الروسية بالسماح للجنة بزيارة صاحب الشكوى في السجن والتحدث معه على انفراد، وفقاً للمعايير الدولية. وترحب اللجنة بهذا التعهد، وتطلب إلى الدولة الطرف أن تيسر زيارة اثنين من أعضاء اللجنة لصاحب الشكوى. وترغب اللجنة أيضاً في أن يتم إبلاغها، في غضون 90 يوماً، بالخطوات التي اتخذتها الدولة الطرف استجابة لهذا القرار.</w:t>
      </w:r>
    </w:p>
    <w:p w:rsidR="00FA6676" w:rsidRPr="00AA537D" w:rsidRDefault="00FA6676" w:rsidP="00AA537D">
      <w:pPr>
        <w:pStyle w:val="SingleTxtGA"/>
        <w:jc w:val="lowKashida"/>
        <w:rPr>
          <w:rFonts w:hint="cs"/>
          <w:spacing w:val="0"/>
          <w:kern w:val="0"/>
          <w:rtl/>
        </w:rPr>
      </w:pPr>
    </w:p>
    <w:p w:rsidR="00E27835" w:rsidRDefault="00E27835" w:rsidP="00AA537D">
      <w:pPr>
        <w:pStyle w:val="H1GA"/>
        <w:spacing w:after="360"/>
        <w:jc w:val="lowKashida"/>
        <w:rPr>
          <w:spacing w:val="0"/>
          <w:kern w:val="0"/>
          <w:rtl/>
        </w:rPr>
        <w:sectPr w:rsidR="00E27835"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FA6676" w:rsidRPr="00AA537D" w:rsidRDefault="00FA6676" w:rsidP="00E27835">
      <w:pPr>
        <w:pStyle w:val="H1GA"/>
        <w:spacing w:before="120"/>
        <w:rPr>
          <w:rFonts w:hint="cs"/>
          <w:kern w:val="0"/>
          <w:rtl/>
        </w:rPr>
      </w:pPr>
      <w:r w:rsidRPr="00AA537D">
        <w:rPr>
          <w:rFonts w:hint="cs"/>
          <w:kern w:val="0"/>
          <w:rtl/>
        </w:rPr>
        <w:tab/>
      </w:r>
      <w:r w:rsidRPr="00AA537D">
        <w:rPr>
          <w:rFonts w:hint="cs"/>
          <w:kern w:val="0"/>
          <w:rtl/>
        </w:rPr>
        <w:tab/>
        <w:t>البلاغ رقم 433/2010</w:t>
      </w:r>
      <w:r w:rsidRPr="00AA537D">
        <w:rPr>
          <w:rFonts w:hint="cs"/>
          <w:kern w:val="0"/>
          <w:sz w:val="20"/>
          <w:rtl/>
        </w:rPr>
        <w:t>:</w:t>
      </w:r>
      <w:r w:rsidRPr="00AA537D">
        <w:rPr>
          <w:rFonts w:hint="cs"/>
          <w:kern w:val="0"/>
          <w:rtl/>
        </w:rPr>
        <w:t xml:space="preserve"> </w:t>
      </w:r>
      <w:r w:rsidRPr="00AA537D">
        <w:rPr>
          <w:i/>
          <w:iCs/>
          <w:kern w:val="0"/>
          <w:rtl/>
        </w:rPr>
        <w:t>غيراسيموف</w:t>
      </w:r>
      <w:r w:rsidRPr="00AA537D">
        <w:rPr>
          <w:rFonts w:hint="cs"/>
          <w:i/>
          <w:iCs/>
          <w:kern w:val="0"/>
          <w:rtl/>
        </w:rPr>
        <w:t xml:space="preserve"> ضد كازاخستان</w:t>
      </w:r>
      <w:r w:rsidRPr="00466B80">
        <w:rPr>
          <w:rStyle w:val="FootnoteReference"/>
          <w:spacing w:val="0"/>
          <w:sz w:val="20"/>
          <w:vertAlign w:val="baseline"/>
          <w:rtl/>
        </w:rPr>
        <w:footnoteReference w:customMarkFollows="1" w:id="377"/>
        <w:t>*</w:t>
      </w:r>
    </w:p>
    <w:p w:rsidR="00FA6676" w:rsidRPr="00AA537D" w:rsidRDefault="00FA6676" w:rsidP="00AA537D">
      <w:pPr>
        <w:spacing w:after="120" w:line="380" w:lineRule="exact"/>
        <w:ind w:left="4349" w:right="1247" w:hanging="2410"/>
        <w:jc w:val="lowKashida"/>
        <w:rPr>
          <w:spacing w:val="0"/>
          <w:kern w:val="0"/>
          <w:sz w:val="20"/>
        </w:rPr>
      </w:pPr>
      <w:r w:rsidRPr="00AA537D">
        <w:rPr>
          <w:spacing w:val="0"/>
          <w:kern w:val="0"/>
          <w:sz w:val="20"/>
          <w:rtl/>
        </w:rPr>
        <w:t>المقدم من:</w:t>
      </w:r>
      <w:r w:rsidRPr="00AA537D">
        <w:rPr>
          <w:spacing w:val="0"/>
          <w:kern w:val="0"/>
          <w:sz w:val="20"/>
          <w:rtl/>
        </w:rPr>
        <w:tab/>
      </w:r>
      <w:r w:rsidRPr="00AA537D">
        <w:rPr>
          <w:rFonts w:hint="cs"/>
          <w:spacing w:val="0"/>
          <w:kern w:val="0"/>
          <w:sz w:val="20"/>
          <w:rtl/>
        </w:rPr>
        <w:t>أ</w:t>
      </w:r>
      <w:r w:rsidRPr="00AA537D">
        <w:rPr>
          <w:spacing w:val="0"/>
          <w:kern w:val="0"/>
          <w:sz w:val="20"/>
          <w:rtl/>
        </w:rPr>
        <w:t>لكسندر غيراسيموف (تمثله مبادرة عدالة المجتمع المفتوح والمكتب الدولي الكازاخستاني لحقوق الإنسان واحترام الشرعية القانونية)</w:t>
      </w:r>
    </w:p>
    <w:p w:rsidR="00FA6676" w:rsidRPr="00AA537D" w:rsidRDefault="00FA6676" w:rsidP="00AA537D">
      <w:pPr>
        <w:spacing w:after="120" w:line="380" w:lineRule="exact"/>
        <w:ind w:left="4349" w:right="1247" w:hanging="2410"/>
        <w:jc w:val="lowKashida"/>
        <w:rPr>
          <w:spacing w:val="0"/>
          <w:kern w:val="0"/>
          <w:sz w:val="20"/>
        </w:rPr>
      </w:pPr>
      <w:r w:rsidRPr="00AA537D">
        <w:rPr>
          <w:spacing w:val="0"/>
          <w:kern w:val="0"/>
          <w:sz w:val="20"/>
          <w:rtl/>
        </w:rPr>
        <w:t>الشخص المدعى أنه ضحية:</w:t>
      </w:r>
      <w:r w:rsidRPr="00AA537D">
        <w:rPr>
          <w:spacing w:val="0"/>
          <w:kern w:val="0"/>
          <w:sz w:val="20"/>
          <w:rtl/>
        </w:rPr>
        <w:tab/>
        <w:t>صاحب الشكوى</w:t>
      </w:r>
    </w:p>
    <w:p w:rsidR="00FA6676" w:rsidRPr="00AA537D" w:rsidRDefault="00FA6676" w:rsidP="00AA537D">
      <w:pPr>
        <w:spacing w:after="120" w:line="380" w:lineRule="exact"/>
        <w:ind w:left="4349" w:right="1247" w:hanging="2410"/>
        <w:jc w:val="lowKashida"/>
        <w:rPr>
          <w:spacing w:val="0"/>
          <w:kern w:val="0"/>
          <w:sz w:val="20"/>
        </w:rPr>
      </w:pPr>
      <w:r w:rsidRPr="00AA537D">
        <w:rPr>
          <w:spacing w:val="0"/>
          <w:kern w:val="0"/>
          <w:sz w:val="20"/>
          <w:rtl/>
        </w:rPr>
        <w:t>الدولة الطرف:</w:t>
      </w:r>
      <w:r w:rsidRPr="00AA537D">
        <w:rPr>
          <w:spacing w:val="0"/>
          <w:kern w:val="0"/>
          <w:sz w:val="20"/>
          <w:rtl/>
        </w:rPr>
        <w:tab/>
        <w:t>كازاخستان</w:t>
      </w:r>
    </w:p>
    <w:p w:rsidR="00FA6676" w:rsidRPr="00AA537D" w:rsidRDefault="00FA6676" w:rsidP="00AA537D">
      <w:pPr>
        <w:spacing w:after="120" w:line="380" w:lineRule="exact"/>
        <w:ind w:left="4349" w:right="1247" w:hanging="2410"/>
        <w:jc w:val="lowKashida"/>
        <w:rPr>
          <w:spacing w:val="0"/>
          <w:kern w:val="0"/>
          <w:sz w:val="20"/>
        </w:rPr>
      </w:pPr>
      <w:r w:rsidRPr="00AA537D">
        <w:rPr>
          <w:spacing w:val="0"/>
          <w:kern w:val="0"/>
          <w:sz w:val="20"/>
          <w:rtl/>
        </w:rPr>
        <w:t>تاريخ تقديم الشكوى:</w:t>
      </w:r>
      <w:r w:rsidRPr="00AA537D">
        <w:rPr>
          <w:spacing w:val="0"/>
          <w:kern w:val="0"/>
          <w:sz w:val="20"/>
          <w:rtl/>
        </w:rPr>
        <w:tab/>
        <w:t>22 نيسان/أبريل 2010 (تاريخ الرسالة الأولى)</w:t>
      </w:r>
    </w:p>
    <w:p w:rsidR="00FA6676" w:rsidRPr="00AA537D" w:rsidRDefault="00FA6676" w:rsidP="00AA537D">
      <w:pPr>
        <w:pStyle w:val="SingleTxtGA"/>
        <w:jc w:val="lowKashida"/>
        <w:rPr>
          <w:rFonts w:hint="cs"/>
          <w:spacing w:val="0"/>
          <w:kern w:val="0"/>
          <w:rtl/>
        </w:rPr>
      </w:pPr>
      <w:r w:rsidRPr="00AA537D">
        <w:rPr>
          <w:rFonts w:hint="cs"/>
          <w:spacing w:val="0"/>
          <w:kern w:val="0"/>
          <w:rtl/>
        </w:rPr>
        <w:tab/>
      </w:r>
      <w:r w:rsidRPr="00AA537D">
        <w:rPr>
          <w:rFonts w:hint="cs"/>
          <w:i/>
          <w:iCs/>
          <w:spacing w:val="0"/>
          <w:kern w:val="0"/>
          <w:rtl/>
        </w:rPr>
        <w:t>إن لجنة مناهضة التعذيب</w:t>
      </w:r>
      <w:r w:rsidRPr="00AA537D">
        <w:rPr>
          <w:rFonts w:hint="cs"/>
          <w:spacing w:val="0"/>
          <w:kern w:val="0"/>
          <w:rtl/>
        </w:rPr>
        <w:t>، المنشأة بموجب المادة 17 من اتفاقية مناهضة التعذيب وغيره من ضروب المعاملة أو العقوبة القاسية أو اللاإنسانية أو المهينة،</w:t>
      </w:r>
    </w:p>
    <w:p w:rsidR="00FA6676" w:rsidRPr="00AA537D" w:rsidRDefault="00FA6676" w:rsidP="00AA537D">
      <w:pPr>
        <w:pStyle w:val="SingleTxtGA"/>
        <w:jc w:val="lowKashida"/>
        <w:rPr>
          <w:rFonts w:hint="cs"/>
          <w:spacing w:val="0"/>
          <w:kern w:val="0"/>
          <w:rtl/>
        </w:rPr>
      </w:pPr>
      <w:r w:rsidRPr="00AA537D">
        <w:rPr>
          <w:rFonts w:hint="cs"/>
          <w:i/>
          <w:iCs/>
          <w:spacing w:val="0"/>
          <w:kern w:val="0"/>
          <w:rtl/>
        </w:rPr>
        <w:tab/>
        <w:t>وقد اجتمعت</w:t>
      </w:r>
      <w:r w:rsidRPr="00AA537D">
        <w:rPr>
          <w:rFonts w:hint="cs"/>
          <w:spacing w:val="0"/>
          <w:kern w:val="0"/>
          <w:rtl/>
        </w:rPr>
        <w:t xml:space="preserve"> في 24 أيار/مايو 2012،</w:t>
      </w:r>
    </w:p>
    <w:p w:rsidR="00FA6676" w:rsidRPr="00AA537D" w:rsidRDefault="00FA6676" w:rsidP="00AA537D">
      <w:pPr>
        <w:pStyle w:val="SingleTxtGA"/>
        <w:jc w:val="lowKashida"/>
        <w:rPr>
          <w:rFonts w:hint="cs"/>
          <w:spacing w:val="0"/>
          <w:kern w:val="0"/>
          <w:rtl/>
        </w:rPr>
      </w:pPr>
      <w:r w:rsidRPr="00AA537D">
        <w:rPr>
          <w:rFonts w:hint="cs"/>
          <w:i/>
          <w:iCs/>
          <w:spacing w:val="0"/>
          <w:kern w:val="0"/>
          <w:rtl/>
        </w:rPr>
        <w:tab/>
        <w:t xml:space="preserve">وقد فرغت </w:t>
      </w:r>
      <w:r w:rsidRPr="00AA537D">
        <w:rPr>
          <w:rFonts w:hint="cs"/>
          <w:spacing w:val="0"/>
          <w:kern w:val="0"/>
          <w:rtl/>
        </w:rPr>
        <w:t xml:space="preserve">من النظر في الشكوى رقم 433/2010، التي قدّمها </w:t>
      </w:r>
      <w:r w:rsidRPr="00AA537D">
        <w:rPr>
          <w:rFonts w:hint="cs"/>
          <w:spacing w:val="0"/>
          <w:kern w:val="0"/>
          <w:sz w:val="30"/>
          <w:rtl/>
        </w:rPr>
        <w:t xml:space="preserve">ألكسندر غيراسيموف </w:t>
      </w:r>
      <w:r w:rsidRPr="00AA537D">
        <w:rPr>
          <w:rFonts w:hint="cs"/>
          <w:spacing w:val="0"/>
          <w:kern w:val="0"/>
          <w:rtl/>
        </w:rPr>
        <w:t>إلى لجنة مناهضة التعذيب بموجب المادة 22 من اتفاقية مناهضة التعذيب وغيره من ضروب المعاملة أو العقوبة القاسية أو اللاإنسانية أو المهينة،</w:t>
      </w:r>
    </w:p>
    <w:p w:rsidR="00FA6676" w:rsidRPr="00AA537D" w:rsidRDefault="00FA6676" w:rsidP="00AA537D">
      <w:pPr>
        <w:pStyle w:val="SingleTxtGA"/>
        <w:jc w:val="lowKashida"/>
        <w:rPr>
          <w:rFonts w:hint="cs"/>
          <w:spacing w:val="0"/>
          <w:kern w:val="0"/>
          <w:rtl/>
        </w:rPr>
      </w:pPr>
      <w:r w:rsidRPr="00AA537D">
        <w:rPr>
          <w:rFonts w:hint="cs"/>
          <w:i/>
          <w:iCs/>
          <w:spacing w:val="0"/>
          <w:kern w:val="0"/>
          <w:rtl/>
        </w:rPr>
        <w:tab/>
        <w:t xml:space="preserve">وقد أخذت في اعتبارها </w:t>
      </w:r>
      <w:r w:rsidRPr="00AA537D">
        <w:rPr>
          <w:rFonts w:hint="cs"/>
          <w:spacing w:val="0"/>
          <w:kern w:val="0"/>
          <w:rtl/>
        </w:rPr>
        <w:t>جميع المعلومات التي أتاحها لها صاحب الشكوى ومحاميه والدولة الطرف،</w:t>
      </w:r>
    </w:p>
    <w:p w:rsidR="00FA6676" w:rsidRPr="00AA537D" w:rsidRDefault="00FA6676" w:rsidP="00AA537D">
      <w:pPr>
        <w:pStyle w:val="SingleTxtGA"/>
        <w:jc w:val="lowKashida"/>
        <w:rPr>
          <w:rFonts w:hint="cs"/>
          <w:spacing w:val="0"/>
          <w:kern w:val="0"/>
          <w:rtl/>
        </w:rPr>
      </w:pPr>
      <w:r w:rsidRPr="00AA537D">
        <w:rPr>
          <w:rFonts w:hint="cs"/>
          <w:spacing w:val="0"/>
          <w:kern w:val="0"/>
          <w:rtl/>
        </w:rPr>
        <w:tab/>
      </w:r>
      <w:r w:rsidRPr="00AA537D">
        <w:rPr>
          <w:rFonts w:hint="cs"/>
          <w:i/>
          <w:iCs/>
          <w:spacing w:val="0"/>
          <w:kern w:val="0"/>
          <w:rtl/>
        </w:rPr>
        <w:t xml:space="preserve">تعتمد </w:t>
      </w:r>
      <w:r w:rsidRPr="00AA537D">
        <w:rPr>
          <w:rFonts w:hint="cs"/>
          <w:spacing w:val="0"/>
          <w:kern w:val="0"/>
          <w:rtl/>
        </w:rPr>
        <w:t>ما يلي:</w:t>
      </w:r>
    </w:p>
    <w:p w:rsidR="00FA6676" w:rsidRPr="00AA537D" w:rsidRDefault="00FA6676" w:rsidP="00D642C7">
      <w:pPr>
        <w:pStyle w:val="H1GA"/>
        <w:jc w:val="lowKashida"/>
        <w:rPr>
          <w:spacing w:val="0"/>
          <w:kern w:val="0"/>
          <w:rtl/>
        </w:rPr>
      </w:pPr>
      <w:r w:rsidRPr="00AA537D">
        <w:rPr>
          <w:rFonts w:hint="cs"/>
          <w:spacing w:val="0"/>
          <w:kern w:val="0"/>
          <w:rtl/>
        </w:rPr>
        <w:tab/>
      </w:r>
      <w:r w:rsidRPr="00AA537D">
        <w:rPr>
          <w:rFonts w:hint="cs"/>
          <w:spacing w:val="0"/>
          <w:kern w:val="0"/>
          <w:rtl/>
        </w:rPr>
        <w:tab/>
        <w:t>قرار بموجب الفقرة 7 من المادة 22 من اتفاقية مناهضة التعذيب</w:t>
      </w:r>
    </w:p>
    <w:p w:rsidR="00FA6676" w:rsidRPr="00AA537D" w:rsidRDefault="00FA6676" w:rsidP="00D642C7">
      <w:pPr>
        <w:pStyle w:val="SingleTxtGA"/>
        <w:jc w:val="lowKashida"/>
        <w:rPr>
          <w:rFonts w:hint="cs"/>
          <w:spacing w:val="0"/>
          <w:kern w:val="0"/>
          <w:rtl/>
        </w:rPr>
      </w:pPr>
      <w:r w:rsidRPr="00AA537D">
        <w:rPr>
          <w:rFonts w:hint="cs"/>
          <w:spacing w:val="0"/>
          <w:kern w:val="0"/>
          <w:rtl/>
        </w:rPr>
        <w:t>1-</w:t>
      </w:r>
      <w:r w:rsidRPr="00AA537D">
        <w:rPr>
          <w:rFonts w:hint="cs"/>
          <w:spacing w:val="0"/>
          <w:kern w:val="0"/>
          <w:rtl/>
        </w:rPr>
        <w:tab/>
        <w:t xml:space="preserve">صاحب الشكوى هـو </w:t>
      </w:r>
      <w:r w:rsidRPr="00AA537D">
        <w:rPr>
          <w:rFonts w:hint="cs"/>
          <w:spacing w:val="0"/>
          <w:kern w:val="0"/>
          <w:sz w:val="30"/>
          <w:rtl/>
        </w:rPr>
        <w:t>ألكسندر غيراسيموف</w:t>
      </w:r>
      <w:r w:rsidRPr="00AA537D">
        <w:rPr>
          <w:rFonts w:hint="cs"/>
          <w:spacing w:val="0"/>
          <w:kern w:val="0"/>
          <w:rtl/>
        </w:rPr>
        <w:t>، من رعايا كازاخستان، المولود في عام 1969. ويدعي أنه ضحية انتهاك كازاخستان</w:t>
      </w:r>
      <w:r w:rsidRPr="00AA537D">
        <w:rPr>
          <w:spacing w:val="0"/>
          <w:kern w:val="0"/>
          <w:vertAlign w:val="superscript"/>
          <w:rtl/>
        </w:rPr>
        <w:t>(</w:t>
      </w:r>
      <w:r w:rsidRPr="00AA537D">
        <w:rPr>
          <w:rStyle w:val="FootnoteReference"/>
          <w:spacing w:val="0"/>
          <w:rtl/>
        </w:rPr>
        <w:footnoteReference w:id="378"/>
      </w:r>
      <w:r w:rsidRPr="00AA537D">
        <w:rPr>
          <w:spacing w:val="0"/>
          <w:kern w:val="0"/>
          <w:vertAlign w:val="superscript"/>
          <w:rtl/>
        </w:rPr>
        <w:t>)</w:t>
      </w:r>
      <w:r w:rsidRPr="00AA537D">
        <w:rPr>
          <w:rFonts w:hint="cs"/>
          <w:spacing w:val="0"/>
          <w:kern w:val="0"/>
          <w:rtl/>
        </w:rPr>
        <w:t xml:space="preserve"> للمواد 1 و2 و12 و13 و14 </w:t>
      </w:r>
      <w:r w:rsidRPr="00AA537D">
        <w:rPr>
          <w:rFonts w:hint="cs"/>
          <w:spacing w:val="0"/>
          <w:kern w:val="0"/>
          <w:rtl/>
          <w:lang w:bidi="ar-SY"/>
        </w:rPr>
        <w:t>و22</w:t>
      </w:r>
      <w:r w:rsidRPr="00AA537D">
        <w:rPr>
          <w:rFonts w:hint="cs"/>
          <w:spacing w:val="0"/>
          <w:kern w:val="0"/>
          <w:rtl/>
        </w:rPr>
        <w:t xml:space="preserve"> من اتفاقية مناهضة التعذيب وغيره من ضروب المعاملة أو العقوبة القاسية أو اللاإنسانية أو</w:t>
      </w:r>
      <w:r w:rsidR="00D642C7">
        <w:rPr>
          <w:rFonts w:hint="eastAsia"/>
          <w:spacing w:val="0"/>
          <w:kern w:val="0"/>
          <w:rtl/>
        </w:rPr>
        <w:t> </w:t>
      </w:r>
      <w:r w:rsidRPr="00AA537D">
        <w:rPr>
          <w:rFonts w:hint="cs"/>
          <w:spacing w:val="0"/>
          <w:kern w:val="0"/>
          <w:rtl/>
        </w:rPr>
        <w:t>المهينة. و</w:t>
      </w:r>
      <w:r w:rsidRPr="00AA537D">
        <w:rPr>
          <w:rFonts w:hint="cs"/>
          <w:spacing w:val="0"/>
          <w:kern w:val="0"/>
          <w:sz w:val="30"/>
          <w:rtl/>
        </w:rPr>
        <w:t xml:space="preserve">تمثله </w:t>
      </w:r>
      <w:r w:rsidRPr="00AA537D">
        <w:rPr>
          <w:color w:val="000000"/>
          <w:spacing w:val="0"/>
          <w:kern w:val="0"/>
          <w:sz w:val="30"/>
          <w:rtl/>
        </w:rPr>
        <w:t>مبادرة</w:t>
      </w:r>
      <w:r w:rsidRPr="00AA537D">
        <w:rPr>
          <w:color w:val="000000"/>
          <w:spacing w:val="0"/>
          <w:kern w:val="0"/>
          <w:sz w:val="30"/>
        </w:rPr>
        <w:t xml:space="preserve"> </w:t>
      </w:r>
      <w:r w:rsidRPr="00AA537D">
        <w:rPr>
          <w:color w:val="000000"/>
          <w:spacing w:val="0"/>
          <w:kern w:val="0"/>
          <w:sz w:val="30"/>
          <w:rtl/>
        </w:rPr>
        <w:t>عدالة</w:t>
      </w:r>
      <w:r w:rsidRPr="00AA537D">
        <w:rPr>
          <w:color w:val="000000"/>
          <w:spacing w:val="0"/>
          <w:kern w:val="0"/>
          <w:sz w:val="30"/>
        </w:rPr>
        <w:t xml:space="preserve"> </w:t>
      </w:r>
      <w:r w:rsidRPr="00AA537D">
        <w:rPr>
          <w:color w:val="000000"/>
          <w:spacing w:val="0"/>
          <w:kern w:val="0"/>
          <w:sz w:val="30"/>
          <w:rtl/>
        </w:rPr>
        <w:t>المجتمع</w:t>
      </w:r>
      <w:r w:rsidRPr="00AA537D">
        <w:rPr>
          <w:rFonts w:hint="cs"/>
          <w:color w:val="000000"/>
          <w:spacing w:val="0"/>
          <w:kern w:val="0"/>
          <w:sz w:val="30"/>
          <w:rtl/>
        </w:rPr>
        <w:t xml:space="preserve"> </w:t>
      </w:r>
      <w:r w:rsidRPr="00AA537D">
        <w:rPr>
          <w:color w:val="000000"/>
          <w:spacing w:val="0"/>
          <w:kern w:val="0"/>
          <w:sz w:val="30"/>
          <w:rtl/>
        </w:rPr>
        <w:t>المفتوح</w:t>
      </w:r>
      <w:r w:rsidRPr="00AA537D">
        <w:rPr>
          <w:rFonts w:hint="cs"/>
          <w:spacing w:val="0"/>
          <w:kern w:val="0"/>
          <w:sz w:val="30"/>
          <w:rtl/>
        </w:rPr>
        <w:t xml:space="preserve"> و</w:t>
      </w:r>
      <w:r w:rsidRPr="00AA537D">
        <w:rPr>
          <w:color w:val="000000"/>
          <w:spacing w:val="0"/>
          <w:kern w:val="0"/>
          <w:sz w:val="30"/>
          <w:rtl/>
        </w:rPr>
        <w:t>المكتب</w:t>
      </w:r>
      <w:r w:rsidRPr="00AA537D">
        <w:rPr>
          <w:color w:val="000000"/>
          <w:spacing w:val="0"/>
          <w:kern w:val="0"/>
          <w:sz w:val="30"/>
        </w:rPr>
        <w:t xml:space="preserve"> </w:t>
      </w:r>
      <w:r w:rsidRPr="00AA537D">
        <w:rPr>
          <w:color w:val="000000"/>
          <w:spacing w:val="0"/>
          <w:kern w:val="0"/>
          <w:sz w:val="30"/>
          <w:rtl/>
        </w:rPr>
        <w:t>الدولي</w:t>
      </w:r>
      <w:r w:rsidRPr="00AA537D">
        <w:rPr>
          <w:color w:val="000000"/>
          <w:spacing w:val="0"/>
          <w:kern w:val="0"/>
          <w:sz w:val="30"/>
        </w:rPr>
        <w:t xml:space="preserve"> </w:t>
      </w:r>
      <w:r w:rsidRPr="00AA537D">
        <w:rPr>
          <w:color w:val="000000"/>
          <w:spacing w:val="0"/>
          <w:kern w:val="0"/>
          <w:sz w:val="30"/>
          <w:rtl/>
        </w:rPr>
        <w:t>الكازاخ</w:t>
      </w:r>
      <w:r w:rsidRPr="00AA537D">
        <w:rPr>
          <w:rFonts w:hint="cs"/>
          <w:color w:val="000000"/>
          <w:spacing w:val="0"/>
          <w:kern w:val="0"/>
          <w:sz w:val="30"/>
          <w:rtl/>
        </w:rPr>
        <w:t xml:space="preserve">ستاني </w:t>
      </w:r>
      <w:r w:rsidRPr="00AA537D">
        <w:rPr>
          <w:color w:val="000000"/>
          <w:spacing w:val="0"/>
          <w:kern w:val="0"/>
          <w:sz w:val="30"/>
          <w:rtl/>
        </w:rPr>
        <w:t>لحقوق</w:t>
      </w:r>
      <w:r w:rsidRPr="00AA537D">
        <w:rPr>
          <w:color w:val="000000"/>
          <w:spacing w:val="0"/>
          <w:kern w:val="0"/>
          <w:sz w:val="30"/>
        </w:rPr>
        <w:t xml:space="preserve"> </w:t>
      </w:r>
      <w:r w:rsidRPr="00AA537D">
        <w:rPr>
          <w:color w:val="000000"/>
          <w:spacing w:val="0"/>
          <w:kern w:val="0"/>
          <w:sz w:val="30"/>
          <w:rtl/>
        </w:rPr>
        <w:t>الإنسان</w:t>
      </w:r>
      <w:r w:rsidRPr="00AA537D">
        <w:rPr>
          <w:color w:val="000000"/>
          <w:spacing w:val="0"/>
          <w:kern w:val="0"/>
          <w:sz w:val="30"/>
        </w:rPr>
        <w:t xml:space="preserve"> </w:t>
      </w:r>
      <w:r w:rsidRPr="00AA537D">
        <w:rPr>
          <w:color w:val="000000"/>
          <w:spacing w:val="0"/>
          <w:kern w:val="0"/>
          <w:sz w:val="30"/>
          <w:rtl/>
        </w:rPr>
        <w:t>واحترام</w:t>
      </w:r>
      <w:r w:rsidRPr="00AA537D">
        <w:rPr>
          <w:color w:val="000000"/>
          <w:spacing w:val="0"/>
          <w:kern w:val="0"/>
          <w:sz w:val="30"/>
        </w:rPr>
        <w:t xml:space="preserve"> </w:t>
      </w:r>
      <w:r w:rsidRPr="00AA537D">
        <w:rPr>
          <w:color w:val="000000"/>
          <w:spacing w:val="0"/>
          <w:kern w:val="0"/>
          <w:sz w:val="30"/>
          <w:rtl/>
        </w:rPr>
        <w:t>الشرعية</w:t>
      </w:r>
      <w:r w:rsidRPr="00AA537D">
        <w:rPr>
          <w:color w:val="000000"/>
          <w:spacing w:val="0"/>
          <w:kern w:val="0"/>
          <w:sz w:val="30"/>
        </w:rPr>
        <w:t xml:space="preserve"> </w:t>
      </w:r>
      <w:r w:rsidRPr="00AA537D">
        <w:rPr>
          <w:color w:val="000000"/>
          <w:spacing w:val="0"/>
          <w:kern w:val="0"/>
          <w:sz w:val="30"/>
          <w:rtl/>
        </w:rPr>
        <w:t>القانونية</w:t>
      </w:r>
      <w:r w:rsidRPr="00AA537D">
        <w:rPr>
          <w:color w:val="000000"/>
          <w:spacing w:val="0"/>
          <w:kern w:val="0"/>
          <w:sz w:val="30"/>
          <w:vertAlign w:val="superscript"/>
          <w:rtl/>
        </w:rPr>
        <w:t>(</w:t>
      </w:r>
      <w:r w:rsidRPr="00AA537D">
        <w:rPr>
          <w:rStyle w:val="FootnoteReference"/>
          <w:color w:val="000000"/>
          <w:spacing w:val="0"/>
          <w:rtl/>
        </w:rPr>
        <w:footnoteReference w:id="379"/>
      </w:r>
      <w:r w:rsidRPr="00AA537D">
        <w:rPr>
          <w:spacing w:val="0"/>
          <w:kern w:val="0"/>
          <w:vertAlign w:val="superscript"/>
          <w:rtl/>
        </w:rPr>
        <w:t>)</w:t>
      </w:r>
      <w:r w:rsidRPr="00AA537D">
        <w:rPr>
          <w:rFonts w:hint="cs"/>
          <w:spacing w:val="0"/>
          <w:kern w:val="0"/>
          <w:rtl/>
        </w:rPr>
        <w:t>.</w:t>
      </w:r>
    </w:p>
    <w:p w:rsidR="00FA6676" w:rsidRPr="00AA537D" w:rsidRDefault="00D642C7" w:rsidP="00AA537D">
      <w:pPr>
        <w:pStyle w:val="H23GA"/>
        <w:jc w:val="lowKashida"/>
        <w:rPr>
          <w:rFonts w:hint="cs"/>
          <w:spacing w:val="0"/>
          <w:kern w:val="0"/>
          <w:rtl/>
        </w:rPr>
      </w:pPr>
      <w:r>
        <w:rPr>
          <w:spacing w:val="0"/>
          <w:kern w:val="0"/>
          <w:rtl/>
        </w:rPr>
        <w:br w:type="page"/>
      </w:r>
      <w:r w:rsidR="00FA6676" w:rsidRPr="00AA537D">
        <w:rPr>
          <w:rFonts w:hint="cs"/>
          <w:spacing w:val="0"/>
          <w:kern w:val="0"/>
          <w:rtl/>
        </w:rPr>
        <w:tab/>
      </w:r>
      <w:r w:rsidR="00FA6676" w:rsidRPr="00AA537D">
        <w:rPr>
          <w:rFonts w:hint="cs"/>
          <w:spacing w:val="0"/>
          <w:kern w:val="0"/>
          <w:rtl/>
        </w:rPr>
        <w:tab/>
        <w:t>الوقائع كما عرضها صاحب الشكوى</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rPr>
        <w:t>2-1</w:t>
      </w:r>
      <w:r w:rsidRPr="00D642C7">
        <w:rPr>
          <w:rFonts w:hint="cs"/>
          <w:spacing w:val="0"/>
          <w:kern w:val="0"/>
          <w:rtl/>
        </w:rPr>
        <w:tab/>
        <w:t xml:space="preserve">في 27 آذار/مارس 2007، توجه صاحب الشكوى إلى مركز الشرطة المحلية بإدارة الشؤون الداخلية الجنوبية لمدينة كوستاناي للسؤال عن ابن زوجته المحتجز بالمركز. وتم اقتياد صاحب الشكوى إلى مكتب في الطابق الثالث حيث أغلق عليه الباب لمدة 30 دقيقة تقريباً. </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2-2</w:t>
      </w:r>
      <w:r w:rsidRPr="00D642C7">
        <w:rPr>
          <w:rFonts w:hint="cs"/>
          <w:spacing w:val="0"/>
          <w:kern w:val="0"/>
          <w:rtl/>
          <w:lang w:bidi="ar-SY"/>
        </w:rPr>
        <w:tab/>
        <w:t>وفي حوالي الساعة الثامنة مساء، دخل خمسة من أفراد الشرطة إلى المكتب وطلبوا منه الاعتراف بقتل امرأة مسنة كانت تعيش في الحي الذي يقيم فيه. ومع التسليم بأنه يعرف المرأة، أنكر أنه تورط في وفاتها. وعلى مدى ساعة تقريباً، تم استجواب صاحب الشكوى ونصحه بالاعتراف بالجريمة. واستمر في إنكار الادعاءات. وضربه أحد أفراد الشرطة بشدة على كليتيه. وهدده أفراد الشرطة بعد ذلك بالعنف الجنسي.</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2-3</w:t>
      </w:r>
      <w:r w:rsidRPr="00D642C7">
        <w:rPr>
          <w:rFonts w:hint="cs"/>
          <w:spacing w:val="0"/>
          <w:kern w:val="0"/>
          <w:rtl/>
          <w:lang w:bidi="ar-SY"/>
        </w:rPr>
        <w:tab/>
        <w:t>وطُرح صاحب الشكوى بعد ذلك أرضاً، وصدره إلى أسفل. وربط أفراد الشرطة يديه وراء ظهره باستخدام حزامه. وأمسك أربعة من أفراد الشرطة بساقيه وجذعه لمنعه من الحركة. وأخذ الفرد الخامس كيسا سميكا وشفافا من مادة البوليبروبيلين ووضعه على رأسه. ووضع هذا الفرد بعد ذلك ركبته اليمنى بقوة على ظهره وبدأ يسحب الكيس إلى الخلف مما</w:t>
      </w:r>
      <w:r w:rsidRPr="00D642C7">
        <w:rPr>
          <w:rFonts w:hint="eastAsia"/>
          <w:spacing w:val="0"/>
          <w:kern w:val="0"/>
          <w:rtl/>
          <w:lang w:bidi="ar-SY"/>
        </w:rPr>
        <w:t> </w:t>
      </w:r>
      <w:r w:rsidRPr="00D642C7">
        <w:rPr>
          <w:rFonts w:hint="cs"/>
          <w:spacing w:val="0"/>
          <w:kern w:val="0"/>
          <w:rtl/>
          <w:lang w:bidi="ar-SY"/>
        </w:rPr>
        <w:t>تسبب في اختناقه وإصابته بنزيف من الأنف والأذنين ورضوض بالوجه (الأسلوب المعروف باسم "الغواصة الجافة") قبل أن يفقد أخيراً وعيه. وتكررت هذه العملية عدة مرات.</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2-4</w:t>
      </w:r>
      <w:r w:rsidRPr="00D642C7">
        <w:rPr>
          <w:rFonts w:hint="cs"/>
          <w:spacing w:val="0"/>
          <w:kern w:val="0"/>
          <w:rtl/>
          <w:lang w:bidi="ar-SY"/>
        </w:rPr>
        <w:tab/>
        <w:t>ونتيجة لهذه المعاملة، فقد صاحب الشكوى تركيزه وتوقف عن المقاومة. وفي مرحلة ما، أصبح دمه ظاهراًًً في كيس البوليبروبيلين وعلى الأرض. وعند رؤية الدم، توقف أفراد الشرطة عن التعذيب. وأمضى صاحب الشكوى الليل على كرسي، تحت إشراف أحد أفراد</w:t>
      </w:r>
      <w:r w:rsidRPr="00D642C7">
        <w:rPr>
          <w:rFonts w:hint="eastAsia"/>
          <w:spacing w:val="0"/>
          <w:kern w:val="0"/>
          <w:rtl/>
          <w:lang w:bidi="ar-SY"/>
        </w:rPr>
        <w:t> </w:t>
      </w:r>
      <w:r w:rsidRPr="00D642C7">
        <w:rPr>
          <w:rFonts w:hint="cs"/>
          <w:spacing w:val="0"/>
          <w:kern w:val="0"/>
          <w:rtl/>
          <w:lang w:bidi="ar-SY"/>
        </w:rPr>
        <w:t xml:space="preserve">الشرطة. </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2-5</w:t>
      </w:r>
      <w:r w:rsidRPr="00D642C7">
        <w:rPr>
          <w:rFonts w:hint="cs"/>
          <w:spacing w:val="0"/>
          <w:kern w:val="0"/>
          <w:rtl/>
          <w:lang w:bidi="ar-SY"/>
        </w:rPr>
        <w:tab/>
        <w:t>ولم يُسجل احتجاز صاحب الشكوى في 27 آذار/مارس 2007، ولم يستفد من مساعدة محام</w:t>
      </w:r>
      <w:r w:rsidR="00171FB4">
        <w:rPr>
          <w:rFonts w:hint="cs"/>
          <w:spacing w:val="0"/>
          <w:kern w:val="0"/>
          <w:rtl/>
          <w:lang w:bidi="ar-SY"/>
        </w:rPr>
        <w:t>ٍ</w:t>
      </w:r>
      <w:r w:rsidRPr="00D642C7">
        <w:rPr>
          <w:rFonts w:hint="cs"/>
          <w:spacing w:val="0"/>
          <w:kern w:val="0"/>
          <w:rtl/>
          <w:lang w:bidi="ar-SY"/>
        </w:rPr>
        <w:t>. وفي 28 آذار/مارس 2007، استجوبه محقق الشرطة وضربه على رأسه بكتاب ضخم. وفي السادسة مساء، أُخلي سبيله دون توجيه اتهام إليه. وبعد إخلاء سبيله مباشرة، شعر بصداع شديد وغثيان. وفي المنزل، استمر الصداع الشديد، ونقل في مساء نفس اليوم إلى قسم جراحة الأعصاب بمستشفى مدينة كوستاناي حيث شخصت حالته بأنه مصاب برضوض قحفية مخية داخلية كبيرة، وكدمة بالدماغ، ورضوض بالكلية اليمنى</w:t>
      </w:r>
      <w:r w:rsidR="00D642C7">
        <w:rPr>
          <w:rFonts w:hint="eastAsia"/>
          <w:spacing w:val="0"/>
          <w:kern w:val="0"/>
          <w:rtl/>
          <w:lang w:bidi="ar-SY"/>
        </w:rPr>
        <w:t> </w:t>
      </w:r>
      <w:r w:rsidRPr="00D642C7">
        <w:rPr>
          <w:rFonts w:hint="cs"/>
          <w:spacing w:val="0"/>
          <w:kern w:val="0"/>
          <w:rtl/>
          <w:lang w:bidi="ar-SY"/>
        </w:rPr>
        <w:t>والمنطقة القطنية والأنسجة اللينة للرأس، وجرح رضي بالحاجب الأيمن</w:t>
      </w:r>
      <w:r w:rsidRPr="00D642C7">
        <w:rPr>
          <w:spacing w:val="0"/>
          <w:kern w:val="0"/>
          <w:vertAlign w:val="superscript"/>
          <w:rtl/>
          <w:lang w:bidi="ar-SY"/>
        </w:rPr>
        <w:t>(</w:t>
      </w:r>
      <w:r w:rsidRPr="00D642C7">
        <w:rPr>
          <w:rStyle w:val="FootnoteReference"/>
          <w:spacing w:val="0"/>
          <w:rtl/>
          <w:lang w:bidi="ar-SY"/>
        </w:rPr>
        <w:footnoteReference w:id="380"/>
      </w:r>
      <w:r w:rsidRPr="00D642C7">
        <w:rPr>
          <w:spacing w:val="0"/>
          <w:kern w:val="0"/>
          <w:vertAlign w:val="superscript"/>
          <w:rtl/>
          <w:lang w:bidi="ar-SY"/>
        </w:rPr>
        <w:t>)</w:t>
      </w:r>
      <w:r w:rsidRPr="00D642C7">
        <w:rPr>
          <w:rFonts w:hint="cs"/>
          <w:spacing w:val="0"/>
          <w:kern w:val="0"/>
          <w:rtl/>
          <w:lang w:bidi="ar-SY"/>
        </w:rPr>
        <w:t>. وبقي بالمستشفى 13 يوماً. وبعد خروجه، استمر شعوره بالصداع الشديد، والألم في منطقة الكليتين، مع ارتجاف باليدين والعينين.</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2-6</w:t>
      </w:r>
      <w:r w:rsidRPr="00D642C7">
        <w:rPr>
          <w:rFonts w:hint="cs"/>
          <w:spacing w:val="0"/>
          <w:kern w:val="0"/>
          <w:rtl/>
          <w:lang w:bidi="ar-SY"/>
        </w:rPr>
        <w:tab/>
        <w:t>وفي 29 آذار/مارس 2007، قدم ابن زوجة صاحب الشكوى بلاغاً باسمه واسم صاحب الشكوى إلى مكتب النائب العام بمدينة كوستاناي (مكتب النائب العام بالمدينة). وفي</w:t>
      </w:r>
      <w:r w:rsidRPr="00D642C7">
        <w:rPr>
          <w:rFonts w:hint="eastAsia"/>
          <w:spacing w:val="0"/>
          <w:kern w:val="0"/>
          <w:rtl/>
          <w:lang w:bidi="ar-SY"/>
        </w:rPr>
        <w:t> </w:t>
      </w:r>
      <w:r w:rsidRPr="00D642C7">
        <w:rPr>
          <w:rFonts w:hint="cs"/>
          <w:spacing w:val="0"/>
          <w:kern w:val="0"/>
          <w:rtl/>
          <w:lang w:bidi="ar-SY"/>
        </w:rPr>
        <w:t xml:space="preserve">5 نيسان/أبريل 2007، قدم صاحب الشكوى بلاغاً باسمه فقط إلى </w:t>
      </w:r>
      <w:r w:rsidRPr="00D642C7">
        <w:rPr>
          <w:rFonts w:hint="cs"/>
          <w:spacing w:val="0"/>
          <w:kern w:val="0"/>
          <w:rtl/>
        </w:rPr>
        <w:t xml:space="preserve">إدارة الشؤون الداخلية الجنوبية </w:t>
      </w:r>
      <w:r w:rsidRPr="00D642C7">
        <w:rPr>
          <w:rFonts w:hint="cs"/>
          <w:spacing w:val="0"/>
          <w:kern w:val="0"/>
          <w:rtl/>
          <w:lang w:bidi="ar-SY"/>
        </w:rPr>
        <w:t xml:space="preserve">التي يقع بها مركز الشرطة الذي تعرض فيه للتعذيب المزعوم. وفي نيسان/أبريل 2007، أجرت </w:t>
      </w:r>
      <w:r w:rsidRPr="00D642C7">
        <w:rPr>
          <w:rFonts w:hint="cs"/>
          <w:spacing w:val="0"/>
          <w:kern w:val="0"/>
          <w:rtl/>
        </w:rPr>
        <w:t>إدارة الشؤون الداخلية الجنوبية</w:t>
      </w:r>
      <w:r w:rsidRPr="00D642C7">
        <w:rPr>
          <w:rFonts w:hint="cs"/>
          <w:spacing w:val="0"/>
          <w:kern w:val="0"/>
          <w:rtl/>
          <w:lang w:bidi="ar-SY"/>
        </w:rPr>
        <w:t xml:space="preserve"> تحقيقاً أولياً واستمعت إلى أقوال صاحب الشكوى، وابن زوجته، وثلاثة من أفراد الشرطة. وذكر أفراد الشرطة الذين تم</w:t>
      </w:r>
      <w:r w:rsidR="00D642C7" w:rsidRPr="00D642C7">
        <w:rPr>
          <w:rFonts w:hint="eastAsia"/>
          <w:spacing w:val="0"/>
          <w:kern w:val="0"/>
          <w:rtl/>
          <w:lang w:bidi="ar-SY"/>
        </w:rPr>
        <w:t> </w:t>
      </w:r>
      <w:r w:rsidRPr="00D642C7">
        <w:rPr>
          <w:rFonts w:hint="cs"/>
          <w:spacing w:val="0"/>
          <w:kern w:val="0"/>
          <w:rtl/>
          <w:lang w:bidi="ar-SY"/>
        </w:rPr>
        <w:t>استجوابهم أنه تم فعلاً استجواب صاحب الشكوى وابن زوجته بمركز الشرطة ولكن لم</w:t>
      </w:r>
      <w:r w:rsidR="00D642C7" w:rsidRPr="00D642C7">
        <w:rPr>
          <w:rFonts w:hint="eastAsia"/>
          <w:spacing w:val="0"/>
          <w:kern w:val="0"/>
          <w:rtl/>
          <w:lang w:bidi="ar-SY"/>
        </w:rPr>
        <w:t> </w:t>
      </w:r>
      <w:r w:rsidRPr="00D642C7">
        <w:rPr>
          <w:rFonts w:hint="cs"/>
          <w:spacing w:val="0"/>
          <w:kern w:val="0"/>
          <w:rtl/>
          <w:lang w:bidi="ar-SY"/>
        </w:rPr>
        <w:t xml:space="preserve">يلاحظوا إصابتهما بأية جروح. وقال أفراد شرطة آخرون أنهم لم يروا صاحب الشكوى وابن زوجته إطلاقا بمركز الشرطة. </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2-7</w:t>
      </w:r>
      <w:r w:rsidRPr="00D642C7">
        <w:rPr>
          <w:rFonts w:hint="cs"/>
          <w:spacing w:val="0"/>
          <w:kern w:val="0"/>
          <w:rtl/>
          <w:lang w:bidi="ar-SY"/>
        </w:rPr>
        <w:tab/>
        <w:t>وفي 23 نيسان/أبريل 2007، أُجري فحص طبي لصاحب الشكوى لتقييم حالته الصحية. ولم تقدم نتيجة هذا الكشف لصاحب الشكوى أو لممثليه القانونيين في أي وقت. وفي الفترة من نيسان/أبريل إلى آب/أغسطس 2007 قام طبيب للأمراض العصبية بمعالجة صاحب الشكوى. وبدأ يعاني من الهلوسة ومن الشعور بخوف داهم بدون سبب محدد. وفي</w:t>
      </w:r>
      <w:r w:rsidRPr="00D642C7">
        <w:rPr>
          <w:rFonts w:hint="eastAsia"/>
          <w:spacing w:val="0"/>
          <w:kern w:val="0"/>
          <w:rtl/>
          <w:lang w:bidi="ar-SY"/>
        </w:rPr>
        <w:t> </w:t>
      </w:r>
      <w:r w:rsidRPr="00D642C7">
        <w:rPr>
          <w:rFonts w:hint="cs"/>
          <w:spacing w:val="0"/>
          <w:kern w:val="0"/>
          <w:rtl/>
          <w:lang w:bidi="ar-SY"/>
        </w:rPr>
        <w:t>7 آب/أغسطس 2007 شخصت حالته بأنه يعاني من الاكتراب التالي للصدمة. وأحيل إلى مستشفى للأمراض النفسية لمزيد من الفحص والعلاج حيث تم التأكيد على التشخيص وبقي تحت العلاج في الفترة من 8 آب/أغسطس إلى 3 أيلول/سبتمبر 2007.</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2-8</w:t>
      </w:r>
      <w:r w:rsidRPr="00D642C7">
        <w:rPr>
          <w:rFonts w:hint="cs"/>
          <w:spacing w:val="0"/>
          <w:kern w:val="0"/>
          <w:rtl/>
          <w:lang w:bidi="ar-SY"/>
        </w:rPr>
        <w:tab/>
        <w:t>وفي 8 أيار/مايو 2007، قرر المحقق عدم إجراء تحقيق جنائي في الموضوع. وأيد</w:t>
      </w:r>
      <w:r w:rsidRPr="00D642C7">
        <w:rPr>
          <w:rFonts w:hint="cs"/>
          <w:spacing w:val="0"/>
          <w:kern w:val="0"/>
          <w:rtl/>
          <w:lang/>
        </w:rPr>
        <w:t xml:space="preserve"> المساعد الرئيسي للمدعي العام في مدينة كوستاناي </w:t>
      </w:r>
      <w:r w:rsidRPr="00D642C7">
        <w:rPr>
          <w:rFonts w:hint="cs"/>
          <w:spacing w:val="0"/>
          <w:kern w:val="0"/>
          <w:rtl/>
        </w:rPr>
        <w:t xml:space="preserve">في 30 أيار/مايو </w:t>
      </w:r>
      <w:r w:rsidR="00171FB4">
        <w:rPr>
          <w:rFonts w:hint="cs"/>
          <w:spacing w:val="0"/>
          <w:kern w:val="0"/>
          <w:rtl/>
        </w:rPr>
        <w:t xml:space="preserve">2007 </w:t>
      </w:r>
      <w:r w:rsidRPr="00D642C7">
        <w:rPr>
          <w:rFonts w:hint="cs"/>
          <w:spacing w:val="0"/>
          <w:kern w:val="0"/>
          <w:rtl/>
          <w:lang w:bidi="ar-SY"/>
        </w:rPr>
        <w:t>هذا القرار، ولكن نقض مكتب المدعي العام بالمدينة هذا القرار في 10 حزيران/يونيه 2007، وأمر إدارة الأمن الداخلي التابعة لإدارة الشؤون الداخلية الإقليمية بكوستاناي بالتحقيق في ادعاءات صاحب</w:t>
      </w:r>
      <w:r w:rsidR="00D642C7" w:rsidRPr="00D642C7">
        <w:rPr>
          <w:rFonts w:hint="eastAsia"/>
          <w:spacing w:val="0"/>
          <w:kern w:val="0"/>
          <w:rtl/>
          <w:lang w:bidi="ar-SY"/>
        </w:rPr>
        <w:t> </w:t>
      </w:r>
      <w:r w:rsidRPr="00D642C7">
        <w:rPr>
          <w:rFonts w:hint="cs"/>
          <w:spacing w:val="0"/>
          <w:kern w:val="0"/>
          <w:rtl/>
          <w:lang w:bidi="ar-SY"/>
        </w:rPr>
        <w:t>الشكوى.</w:t>
      </w:r>
    </w:p>
    <w:p w:rsidR="00FA6676" w:rsidRPr="00D642C7" w:rsidRDefault="00FA6676" w:rsidP="00D642C7">
      <w:pPr>
        <w:pStyle w:val="SingleTxtGA"/>
        <w:jc w:val="lowKashida"/>
        <w:rPr>
          <w:rFonts w:hint="cs"/>
          <w:spacing w:val="0"/>
          <w:kern w:val="0"/>
          <w:rtl/>
          <w:lang w:bidi="ar-SY"/>
        </w:rPr>
      </w:pPr>
      <w:r w:rsidRPr="00D642C7">
        <w:rPr>
          <w:rFonts w:hint="cs"/>
          <w:spacing w:val="0"/>
          <w:kern w:val="0"/>
          <w:rtl/>
          <w:lang w:bidi="ar-SY"/>
        </w:rPr>
        <w:t>2-9</w:t>
      </w:r>
      <w:r w:rsidRPr="00D642C7">
        <w:rPr>
          <w:rFonts w:hint="cs"/>
          <w:spacing w:val="0"/>
          <w:kern w:val="0"/>
          <w:rtl/>
          <w:lang w:bidi="ar-SY"/>
        </w:rPr>
        <w:tab/>
        <w:t>وفي حزيران/يونيه 2007، تلقى صاحب الشكوى عدة مكالمات هاتفية من مجهولين يهددونه برفع دعوى ضده إذا لم يسحب شكواه. وخشي صاحب الشكوى على سلامته وسلامة عائلته فقدم في 13 حزيران/يونيه 2007 بلاغاً بشأن هذه التهديدات. وقدم أيضاً في 12 حزيران/يونيه 2007 بلاغاً إلى مكتب المدعي العام الإقليمي لقيام بعض أفراد الشرطة بعرض مبلغ 000 500 تنغي (نحو 000 4 دولار أمريكي) على ابن زوجته لسحب بلاغهما المشترك وبلاغ صاحب الشكوى.</w:t>
      </w:r>
    </w:p>
    <w:p w:rsidR="00FA6676" w:rsidRPr="00AA537D" w:rsidRDefault="00FA6676" w:rsidP="00D642C7">
      <w:pPr>
        <w:pStyle w:val="SingleTxtGA"/>
        <w:jc w:val="lowKashida"/>
        <w:rPr>
          <w:rFonts w:hint="cs"/>
          <w:spacing w:val="0"/>
          <w:kern w:val="0"/>
          <w:rtl/>
          <w:lang w:bidi="ar-SY"/>
        </w:rPr>
      </w:pPr>
      <w:r w:rsidRPr="00D642C7">
        <w:rPr>
          <w:rFonts w:hint="cs"/>
          <w:spacing w:val="0"/>
          <w:kern w:val="0"/>
          <w:rtl/>
          <w:lang w:bidi="ar-SY"/>
        </w:rPr>
        <w:t>2-10</w:t>
      </w:r>
      <w:r w:rsidRPr="00D642C7">
        <w:rPr>
          <w:rFonts w:hint="cs"/>
          <w:spacing w:val="0"/>
          <w:kern w:val="0"/>
          <w:rtl/>
          <w:lang w:bidi="ar-SY"/>
        </w:rPr>
        <w:tab/>
        <w:t>وفي 19 حزيران/يونيه 2007، أبلغ مكتب المدعي العام الإقليمي لمنطقة كوستاناي (مكتب المدعي العام الإقليمي) صاحب الشكوى بأن بلاغه أرسل إلى إدارة الأمن الداخلي التابعة لإدارة الشؤون الداخلية الإقليمية لمزيد من البحث. وفي 28 حزيران/يونيه 2007 أبلغته إدارة الشؤون الداخلية الإقليمية بأنه تبين من البحث مخالفة التعليمات المتعلقة بتسجيل المحتجزين وبأنه ستوقع عقوبات تأديبية، تصل إلى العزل من الوظيفة، على عدد من الموظفين. وذكرت الإدارة أيضاً أنه وجهت اتهامات جنائية ضد موظفين من إدارة الشؤون الداخلية</w:t>
      </w:r>
      <w:r w:rsidRPr="00AA537D">
        <w:rPr>
          <w:rFonts w:hint="cs"/>
          <w:spacing w:val="0"/>
          <w:kern w:val="0"/>
          <w:rtl/>
          <w:lang w:bidi="ar-SY"/>
        </w:rPr>
        <w:t xml:space="preserve"> الجنوبية بموجب الفقرة 4(أ) من المادة 308 من القانون الجنائي لكازاخستان الذي يعاقب على إساءة استعمال السلطة واستعمال العنف أو التهديد باستعماله</w:t>
      </w:r>
      <w:r w:rsidRPr="00AA537D">
        <w:rPr>
          <w:spacing w:val="0"/>
          <w:kern w:val="0"/>
          <w:vertAlign w:val="superscript"/>
          <w:rtl/>
          <w:lang w:bidi="ar-SY"/>
        </w:rPr>
        <w:t>(</w:t>
      </w:r>
      <w:r w:rsidRPr="00AA537D">
        <w:rPr>
          <w:rStyle w:val="FootnoteReference"/>
          <w:spacing w:val="0"/>
          <w:rtl/>
          <w:lang w:bidi="ar-SY"/>
        </w:rPr>
        <w:footnoteReference w:id="381"/>
      </w:r>
      <w:r w:rsidRPr="00AA537D">
        <w:rPr>
          <w:spacing w:val="0"/>
          <w:kern w:val="0"/>
          <w:vertAlign w:val="superscript"/>
          <w:rtl/>
          <w:lang w:bidi="ar-SY"/>
        </w:rPr>
        <w:t>)</w:t>
      </w:r>
      <w:r w:rsidRPr="00AA537D">
        <w:rPr>
          <w:rFonts w:hint="cs"/>
          <w:spacing w:val="0"/>
          <w:kern w:val="0"/>
          <w:rtl/>
          <w:lang w:bidi="ar-SY"/>
        </w:rPr>
        <w:t>.</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lang w:bidi="ar-SY"/>
        </w:rPr>
        <w:t>2-11</w:t>
      </w:r>
      <w:r w:rsidRPr="00AA537D">
        <w:rPr>
          <w:rFonts w:hint="cs"/>
          <w:spacing w:val="0"/>
          <w:kern w:val="0"/>
          <w:rtl/>
          <w:lang w:bidi="ar-SY"/>
        </w:rPr>
        <w:tab/>
        <w:t>وفي 16 تموز/يوليه 2007، أُجري اختبار علمي للملابس التي كان يرتديها صاحب الشكوى وثلاثة من أفراد الشرطة الذين كانوا موجودين في إدارة الشؤون الداخلية الجنوبية ليلة 27 آذار/مارس 2007. ولم يُخطر صاحب الشكوى أو محاميه بهذا الاختبار. وخلص الاختبار إلى أن الألياف التي وجدت بملابس صاحب الشكوى ليست مماثلة لتلك التي وجدت بملابس أفراد الشرطة. ولكن لا يمكن الاعتماد على هذه النتائج حيث قام أفراد الشرطة بغسل ملابسهم قبل الاختبار.</w:t>
      </w:r>
    </w:p>
    <w:p w:rsidR="00FA6676" w:rsidRPr="00AA537D" w:rsidRDefault="00FA6676" w:rsidP="00AA537D">
      <w:pPr>
        <w:pStyle w:val="SingleTxtGA"/>
        <w:jc w:val="lowKashida"/>
        <w:rPr>
          <w:rFonts w:hint="cs"/>
          <w:spacing w:val="0"/>
          <w:kern w:val="0"/>
          <w:sz w:val="30"/>
          <w:rtl/>
          <w:lang w:bidi="ar-SY"/>
        </w:rPr>
      </w:pPr>
      <w:r w:rsidRPr="00AA537D">
        <w:rPr>
          <w:rFonts w:hint="cs"/>
          <w:spacing w:val="0"/>
          <w:kern w:val="0"/>
          <w:rtl/>
          <w:lang w:bidi="ar-SY"/>
        </w:rPr>
        <w:t>2-12</w:t>
      </w:r>
      <w:r w:rsidRPr="00AA537D">
        <w:rPr>
          <w:rFonts w:hint="cs"/>
          <w:spacing w:val="0"/>
          <w:kern w:val="0"/>
          <w:rtl/>
          <w:lang w:bidi="ar-SY"/>
        </w:rPr>
        <w:tab/>
        <w:t xml:space="preserve">وفي تموز/يوليه، ألغي مكتب المدعي العام الإقليمي قرار إدارة الشؤون الداخلية الإقليمية بفتح باب التحقيق الجنائي وأرسل القضية إلى </w:t>
      </w:r>
      <w:r w:rsidRPr="00AA537D">
        <w:rPr>
          <w:rFonts w:hint="cs"/>
          <w:spacing w:val="0"/>
          <w:kern w:val="0"/>
          <w:sz w:val="30"/>
          <w:rtl/>
        </w:rPr>
        <w:t>إدارة مكافحة الجرائم الاقتصادية والفساد في منطقة كوستاناي لمزيد من البحث. وفي 5 أيلول/سبتمبر 2007، رفضت إدارة مكافحة الجرائم الاقتصادية والفساد البدء في الإجراءات الجنائية لعدم وجود أدلة على العلاقة بين الأعمال المنسوبة إلى رجال الشرطة وإصابات صاحب الشكوى. وفي 12 أيلول/ سبتمبر 2007، طعن صاحب الشكوى في قرار إدارة مكافحة الجرائم الاقتصادية والفساد أمام مكتب المدعي العام الإقليمي وألغي هذا المكتب قرار إدارة مكافحة الجرائم الاقتصادية والفساد في 24 أيلول/سبتمبر 2007 وأعاد إليها القضية لمزيد من البحث.</w:t>
      </w:r>
    </w:p>
    <w:p w:rsidR="00FA6676" w:rsidRPr="00AA537D" w:rsidRDefault="00FA6676" w:rsidP="00D642C7">
      <w:pPr>
        <w:pStyle w:val="SingleTxtGA"/>
        <w:jc w:val="lowKashida"/>
        <w:rPr>
          <w:rFonts w:hint="cs"/>
          <w:spacing w:val="0"/>
          <w:kern w:val="0"/>
          <w:rtl/>
          <w:lang w:bidi="ar-SY"/>
        </w:rPr>
      </w:pPr>
      <w:r w:rsidRPr="00AA537D">
        <w:rPr>
          <w:rFonts w:hint="cs"/>
          <w:spacing w:val="0"/>
          <w:kern w:val="0"/>
          <w:rtl/>
          <w:lang w:bidi="ar-SY"/>
        </w:rPr>
        <w:t>2-13</w:t>
      </w:r>
      <w:r w:rsidRPr="00AA537D">
        <w:rPr>
          <w:rFonts w:hint="cs"/>
          <w:spacing w:val="0"/>
          <w:kern w:val="0"/>
          <w:rtl/>
          <w:lang w:bidi="ar-SY"/>
        </w:rPr>
        <w:tab/>
        <w:t>وفي 3 كانون الثاني/ديسمبر 2007 قدمت إدارة الشؤون الداخلية الإقليمية تقريراً</w:t>
      </w:r>
      <w:r w:rsidRPr="00AA537D">
        <w:rPr>
          <w:rFonts w:hint="eastAsia"/>
          <w:spacing w:val="0"/>
          <w:kern w:val="0"/>
          <w:rtl/>
          <w:lang w:bidi="ar-SY"/>
        </w:rPr>
        <w:t> </w:t>
      </w:r>
      <w:r w:rsidRPr="00AA537D">
        <w:rPr>
          <w:rFonts w:hint="cs"/>
          <w:spacing w:val="0"/>
          <w:kern w:val="0"/>
          <w:rtl/>
          <w:lang w:bidi="ar-SY"/>
        </w:rPr>
        <w:t xml:space="preserve">عن التحقيق الجاري في الإدارة وذكرت أنها وجدت عدداً من الانتهاكات الفادحة للقوانين واللوائح، وأن عشرة من أفراد الشرطة نقلوا من مناصبهم، وأن التحقيق لا يزال مستمراً بالإدارة. وفي 1 شباط/فبراير 2008، رفضت </w:t>
      </w:r>
      <w:r w:rsidRPr="00AA537D">
        <w:rPr>
          <w:rFonts w:hint="cs"/>
          <w:spacing w:val="0"/>
          <w:kern w:val="0"/>
          <w:sz w:val="30"/>
          <w:rtl/>
        </w:rPr>
        <w:t>إدارة مكافحة الجرائم الاقتصادية والفساد البدء في الإجراءات الجنائية على أساس عدم وجود أدلة على تورط أفراد الشرطة.</w:t>
      </w:r>
      <w:r w:rsidR="00D642C7">
        <w:rPr>
          <w:rFonts w:hint="eastAsia"/>
          <w:spacing w:val="0"/>
          <w:kern w:val="0"/>
          <w:sz w:val="30"/>
          <w:rtl/>
        </w:rPr>
        <w:t> </w:t>
      </w:r>
      <w:r w:rsidRPr="00AA537D">
        <w:rPr>
          <w:rFonts w:hint="cs"/>
          <w:spacing w:val="0"/>
          <w:kern w:val="0"/>
          <w:sz w:val="30"/>
          <w:rtl/>
        </w:rPr>
        <w:t>وفي</w:t>
      </w:r>
      <w:r w:rsidRPr="00AA537D">
        <w:rPr>
          <w:rFonts w:hint="eastAsia"/>
          <w:spacing w:val="0"/>
          <w:kern w:val="0"/>
          <w:sz w:val="30"/>
          <w:rtl/>
        </w:rPr>
        <w:t> </w:t>
      </w:r>
      <w:r w:rsidRPr="00AA537D">
        <w:rPr>
          <w:rFonts w:hint="cs"/>
          <w:spacing w:val="0"/>
          <w:kern w:val="0"/>
          <w:sz w:val="30"/>
          <w:rtl/>
        </w:rPr>
        <w:t>19 آذار/مارس 2008 أيد مكتب المدعي العام الإقليمي قرار إدارة مكافحة</w:t>
      </w:r>
      <w:r w:rsidR="00D642C7">
        <w:rPr>
          <w:rFonts w:hint="eastAsia"/>
          <w:spacing w:val="0"/>
          <w:kern w:val="0"/>
          <w:sz w:val="30"/>
          <w:rtl/>
        </w:rPr>
        <w:t> </w:t>
      </w:r>
      <w:r w:rsidRPr="00AA537D">
        <w:rPr>
          <w:rFonts w:hint="cs"/>
          <w:spacing w:val="0"/>
          <w:kern w:val="0"/>
          <w:sz w:val="30"/>
          <w:rtl/>
        </w:rPr>
        <w:t>الجرائم الاقتصادية والفساد. ورُفض طعن آخر رفع إلى الدائرة الثانية لمحكمة مدينة كوستاناي (محكمة المدينة) في</w:t>
      </w:r>
      <w:r w:rsidRPr="00AA537D">
        <w:rPr>
          <w:rFonts w:hint="eastAsia"/>
          <w:spacing w:val="0"/>
          <w:kern w:val="0"/>
          <w:sz w:val="30"/>
          <w:rtl/>
        </w:rPr>
        <w:t> </w:t>
      </w:r>
      <w:r w:rsidRPr="00AA537D">
        <w:rPr>
          <w:rFonts w:hint="cs"/>
          <w:spacing w:val="0"/>
          <w:kern w:val="0"/>
          <w:sz w:val="30"/>
          <w:rtl/>
        </w:rPr>
        <w:t>25 آذار/مارس 2008. وفي 20 أيار/مايو 2008، طلب صاحب الشكوى مرة أخرى إلى مكتب المدعي العام أن يبدأ التحقيق الجنائي لوجود عيوب في التحقيق الذي قامت به إدارة مكافحة الجرائم الاقتصادية والفساد</w:t>
      </w:r>
      <w:r w:rsidRPr="00AA537D">
        <w:rPr>
          <w:spacing w:val="0"/>
          <w:kern w:val="0"/>
          <w:sz w:val="30"/>
          <w:vertAlign w:val="superscript"/>
          <w:rtl/>
        </w:rPr>
        <w:t>(</w:t>
      </w:r>
      <w:r w:rsidRPr="00D642C7">
        <w:rPr>
          <w:rStyle w:val="FootnoteReference"/>
          <w:spacing w:val="0"/>
          <w:sz w:val="2"/>
          <w:szCs w:val="2"/>
          <w:rtl/>
        </w:rPr>
        <w:footnoteReference w:id="382"/>
      </w:r>
      <w:r w:rsidR="00D642C7" w:rsidRPr="00D642C7">
        <w:rPr>
          <w:rFonts w:hint="cs"/>
          <w:spacing w:val="0"/>
          <w:kern w:val="0"/>
          <w:sz w:val="30"/>
          <w:vertAlign w:val="superscript"/>
          <w:rtl/>
        </w:rPr>
        <w:t>ﻫ</w:t>
      </w:r>
      <w:r w:rsidRPr="00AA537D">
        <w:rPr>
          <w:spacing w:val="0"/>
          <w:kern w:val="0"/>
          <w:sz w:val="30"/>
          <w:vertAlign w:val="superscript"/>
          <w:rtl/>
        </w:rPr>
        <w:t>)</w:t>
      </w:r>
      <w:r w:rsidRPr="00AA537D">
        <w:rPr>
          <w:rFonts w:hint="cs"/>
          <w:spacing w:val="0"/>
          <w:kern w:val="0"/>
          <w:sz w:val="30"/>
          <w:rtl/>
        </w:rPr>
        <w:t>؛ ورفض الطلب في</w:t>
      </w:r>
      <w:r w:rsidR="00D642C7">
        <w:rPr>
          <w:rFonts w:hint="eastAsia"/>
          <w:spacing w:val="0"/>
          <w:kern w:val="0"/>
          <w:sz w:val="30"/>
          <w:rtl/>
        </w:rPr>
        <w:t> </w:t>
      </w:r>
      <w:r w:rsidRPr="00AA537D">
        <w:rPr>
          <w:rFonts w:hint="cs"/>
          <w:spacing w:val="0"/>
          <w:kern w:val="0"/>
          <w:sz w:val="30"/>
          <w:rtl/>
        </w:rPr>
        <w:t>11 حزيران/يونيه 2008. وبالنظر إلى رفض الطعن السابق المقدم إلى محكمة المدينة، لم</w:t>
      </w:r>
      <w:r w:rsidR="00D642C7">
        <w:rPr>
          <w:rFonts w:hint="eastAsia"/>
          <w:spacing w:val="0"/>
          <w:kern w:val="0"/>
          <w:sz w:val="30"/>
          <w:rtl/>
        </w:rPr>
        <w:t> </w:t>
      </w:r>
      <w:r w:rsidRPr="00AA537D">
        <w:rPr>
          <w:rFonts w:hint="cs"/>
          <w:spacing w:val="0"/>
          <w:kern w:val="0"/>
          <w:sz w:val="30"/>
          <w:rtl/>
        </w:rPr>
        <w:t>يطعن صاحب الشكوى في هذا القرار.</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2-14</w:t>
      </w:r>
      <w:r w:rsidRPr="00AA537D">
        <w:rPr>
          <w:rFonts w:hint="cs"/>
          <w:spacing w:val="0"/>
          <w:kern w:val="0"/>
          <w:rtl/>
        </w:rPr>
        <w:tab/>
        <w:t>ويدعي صاحب الشكوى أنه استنفد جميع سبل الانتصاف المحلية بالشكاوى العديدة التي قدمها إلى أجهزة التحقيق والمحكمة، بما في ذلك الطعون الأربعة التي قدمها بشأن رفض البدء في الإجراءات الجنائية. وعلى الرغم من الإشارة في قرار محكمة المدينة إلى إمكانية الطعن في قرارها أمام المحكمة الإقليمية، فإن هذا الطعن ليس مجدياً من الناحية العملية. فالفقرة</w:t>
      </w:r>
      <w:r w:rsidRPr="00AA537D">
        <w:rPr>
          <w:rFonts w:hint="eastAsia"/>
          <w:spacing w:val="0"/>
          <w:kern w:val="0"/>
          <w:rtl/>
        </w:rPr>
        <w:t> </w:t>
      </w:r>
      <w:r w:rsidRPr="00AA537D">
        <w:rPr>
          <w:rFonts w:hint="cs"/>
          <w:spacing w:val="0"/>
          <w:kern w:val="0"/>
          <w:rtl/>
        </w:rPr>
        <w:t>9 من المادة 109 من قانون الإجر</w:t>
      </w:r>
      <w:r w:rsidR="0020182D">
        <w:rPr>
          <w:rFonts w:hint="cs"/>
          <w:spacing w:val="0"/>
          <w:kern w:val="0"/>
          <w:rtl/>
        </w:rPr>
        <w:t>اءات الجنائية في كازاخستان تمنح</w:t>
      </w:r>
      <w:r w:rsidRPr="00AA537D">
        <w:rPr>
          <w:rFonts w:hint="cs"/>
          <w:spacing w:val="0"/>
          <w:kern w:val="0"/>
          <w:rtl/>
        </w:rPr>
        <w:t xml:space="preserve"> ثلاثة أيام فقط للطعن في قرار محكمة المدينة أمام المحكمة الإقليمية، ويبدأ هذا الأجل من تاريخ صدور القرار. بيد أن المحامي تلقى هذا القرار بعد انقضاء أجل الثلاثة أيام المحدد للطعن.</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2-15</w:t>
      </w:r>
      <w:r w:rsidRPr="00AA537D">
        <w:rPr>
          <w:rFonts w:hint="cs"/>
          <w:spacing w:val="0"/>
          <w:kern w:val="0"/>
          <w:rtl/>
          <w:lang w:bidi="ar-SY"/>
        </w:rPr>
        <w:tab/>
        <w:t xml:space="preserve">وبالإضافة إلى ما سلف، هناك خطر حقيقي لتعرض صاحب الشكوى وعائلته للعنف والتهديد بارتكاب العنف ضدهم إذا استمر في شكواه على الصعيد المحلي، بدليل التهديدات السابقة التي تلقاها فيما يتعلق بشكواه. وعلاوة على ذلك، تأخرت الإجراءات الآن بشكل غير معقول ولا يلزم تأخيرها أكثر من ذلك. </w:t>
      </w:r>
      <w:r w:rsidRPr="00AA537D">
        <w:rPr>
          <w:spacing w:val="0"/>
          <w:kern w:val="0"/>
          <w:rtl/>
        </w:rPr>
        <w:t>ونظرا</w:t>
      </w:r>
      <w:r w:rsidRPr="00AA537D">
        <w:rPr>
          <w:rFonts w:hint="cs"/>
          <w:spacing w:val="0"/>
          <w:kern w:val="0"/>
          <w:rtl/>
        </w:rPr>
        <w:t>ً</w:t>
      </w:r>
      <w:r w:rsidRPr="00AA537D">
        <w:rPr>
          <w:spacing w:val="0"/>
          <w:kern w:val="0"/>
          <w:rtl/>
        </w:rPr>
        <w:t xml:space="preserve"> لخطورة الانتهاكات </w:t>
      </w:r>
      <w:r w:rsidRPr="00AA537D">
        <w:rPr>
          <w:rFonts w:hint="cs"/>
          <w:spacing w:val="0"/>
          <w:kern w:val="0"/>
          <w:rtl/>
        </w:rPr>
        <w:t xml:space="preserve">التي ارتكبت في حقه، فإن </w:t>
      </w:r>
      <w:r w:rsidRPr="00AA537D">
        <w:rPr>
          <w:spacing w:val="0"/>
          <w:kern w:val="0"/>
          <w:rtl/>
        </w:rPr>
        <w:t>التحقيق الجنائي</w:t>
      </w:r>
      <w:r w:rsidRPr="00AA537D">
        <w:rPr>
          <w:rFonts w:hint="cs"/>
          <w:spacing w:val="0"/>
          <w:kern w:val="0"/>
          <w:rtl/>
        </w:rPr>
        <w:t xml:space="preserve"> </w:t>
      </w:r>
      <w:r w:rsidRPr="00AA537D">
        <w:rPr>
          <w:spacing w:val="0"/>
          <w:kern w:val="0"/>
          <w:rtl/>
        </w:rPr>
        <w:t>وال</w:t>
      </w:r>
      <w:r w:rsidRPr="00AA537D">
        <w:rPr>
          <w:rFonts w:hint="cs"/>
          <w:spacing w:val="0"/>
          <w:kern w:val="0"/>
          <w:rtl/>
        </w:rPr>
        <w:t xml:space="preserve">محاكمة فقط هما اللذان </w:t>
      </w:r>
      <w:r w:rsidRPr="00AA537D">
        <w:rPr>
          <w:spacing w:val="0"/>
          <w:kern w:val="0"/>
          <w:rtl/>
        </w:rPr>
        <w:t>يشك</w:t>
      </w:r>
      <w:r w:rsidRPr="00AA537D">
        <w:rPr>
          <w:rFonts w:hint="cs"/>
          <w:spacing w:val="0"/>
          <w:kern w:val="0"/>
          <w:rtl/>
        </w:rPr>
        <w:t>لان</w:t>
      </w:r>
      <w:r w:rsidRPr="00AA537D">
        <w:rPr>
          <w:spacing w:val="0"/>
          <w:kern w:val="0"/>
          <w:rtl/>
        </w:rPr>
        <w:t xml:space="preserve"> سبيل انتصاف</w:t>
      </w:r>
      <w:r w:rsidRPr="00AA537D">
        <w:rPr>
          <w:rFonts w:hint="cs"/>
          <w:spacing w:val="0"/>
          <w:kern w:val="0"/>
          <w:rtl/>
        </w:rPr>
        <w:t xml:space="preserve"> فعال له</w:t>
      </w:r>
      <w:r w:rsidRPr="00AA537D">
        <w:rPr>
          <w:spacing w:val="0"/>
          <w:kern w:val="0"/>
          <w:rtl/>
        </w:rPr>
        <w:t xml:space="preserve">. </w:t>
      </w:r>
      <w:r w:rsidRPr="00AA537D">
        <w:rPr>
          <w:rFonts w:hint="cs"/>
          <w:spacing w:val="0"/>
          <w:kern w:val="0"/>
          <w:rtl/>
        </w:rPr>
        <w:t xml:space="preserve">وأدى عدم قيام الدولة الطرف بفتح باب التحقيق الجنائي إلى عرقلة </w:t>
      </w:r>
      <w:r w:rsidRPr="00AA537D">
        <w:rPr>
          <w:spacing w:val="0"/>
          <w:kern w:val="0"/>
          <w:rtl/>
        </w:rPr>
        <w:t xml:space="preserve">قدرته على الاحتجاج بأي </w:t>
      </w:r>
      <w:r w:rsidRPr="00AA537D">
        <w:rPr>
          <w:rFonts w:hint="cs"/>
          <w:spacing w:val="0"/>
          <w:kern w:val="0"/>
          <w:rtl/>
        </w:rPr>
        <w:t xml:space="preserve">سبيل </w:t>
      </w:r>
      <w:r w:rsidRPr="00AA537D">
        <w:rPr>
          <w:spacing w:val="0"/>
          <w:kern w:val="0"/>
          <w:rtl/>
        </w:rPr>
        <w:t xml:space="preserve">انتصاف </w:t>
      </w:r>
      <w:r w:rsidRPr="00AA537D">
        <w:rPr>
          <w:rFonts w:hint="cs"/>
          <w:spacing w:val="0"/>
          <w:kern w:val="0"/>
          <w:rtl/>
        </w:rPr>
        <w:t>آخر متاح</w:t>
      </w:r>
      <w:r w:rsidRPr="00AA537D">
        <w:rPr>
          <w:spacing w:val="0"/>
          <w:kern w:val="0"/>
          <w:rtl/>
        </w:rPr>
        <w:t>.</w:t>
      </w:r>
    </w:p>
    <w:p w:rsidR="00FA6676" w:rsidRPr="00AA537D" w:rsidRDefault="00FA6676" w:rsidP="00AA537D">
      <w:pPr>
        <w:pStyle w:val="H23GA"/>
        <w:jc w:val="lowKashida"/>
        <w:rPr>
          <w:rFonts w:hint="cs"/>
          <w:spacing w:val="0"/>
          <w:kern w:val="0"/>
          <w:rtl/>
          <w:lang w:bidi="ar-SY"/>
        </w:rPr>
      </w:pPr>
      <w:r w:rsidRPr="00AA537D">
        <w:rPr>
          <w:rFonts w:hint="cs"/>
          <w:spacing w:val="0"/>
          <w:kern w:val="0"/>
          <w:rtl/>
          <w:lang w:bidi="ar-SY"/>
        </w:rPr>
        <w:tab/>
      </w:r>
      <w:r w:rsidRPr="00AA537D">
        <w:rPr>
          <w:rFonts w:hint="cs"/>
          <w:spacing w:val="0"/>
          <w:kern w:val="0"/>
          <w:rtl/>
          <w:lang w:bidi="ar-SY"/>
        </w:rPr>
        <w:tab/>
        <w:t>الشكوى</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lang w:bidi="ar-SY"/>
        </w:rPr>
        <w:t>3-1</w:t>
      </w:r>
      <w:r w:rsidRPr="00AA537D">
        <w:rPr>
          <w:rFonts w:hint="cs"/>
          <w:spacing w:val="0"/>
          <w:kern w:val="0"/>
          <w:rtl/>
          <w:lang w:bidi="ar-SY"/>
        </w:rPr>
        <w:tab/>
        <w:t>يدعي صاحب الشكوى أن المعاملة التي تعرض لها على يد الشرطة تبلغ حد التعذيب وتشكل انتهاكاً للمادة 1. وعلى الرغم من وقوع أعمال التعذيب موضوع الشكوى قبل دخول الاتفاقية حيز النفاذ، فإن الانتهاك لديه طبيعة مستمرة. وبالإشارة إلى القرارات السابقة للجنة</w:t>
      </w:r>
      <w:r w:rsidRPr="00AA537D">
        <w:rPr>
          <w:spacing w:val="0"/>
          <w:kern w:val="0"/>
          <w:vertAlign w:val="superscript"/>
          <w:rtl/>
          <w:lang w:bidi="ar-SY"/>
        </w:rPr>
        <w:t>(</w:t>
      </w:r>
      <w:r w:rsidRPr="00AA537D">
        <w:rPr>
          <w:rStyle w:val="FootnoteReference"/>
          <w:spacing w:val="0"/>
          <w:rtl/>
          <w:lang w:bidi="ar-SY"/>
        </w:rPr>
        <w:footnoteReference w:id="383"/>
      </w:r>
      <w:r w:rsidRPr="00AA537D">
        <w:rPr>
          <w:spacing w:val="0"/>
          <w:kern w:val="0"/>
          <w:vertAlign w:val="superscript"/>
          <w:rtl/>
          <w:lang w:bidi="ar-SY"/>
        </w:rPr>
        <w:t>)</w:t>
      </w:r>
      <w:r w:rsidRPr="00AA537D">
        <w:rPr>
          <w:rFonts w:hint="cs"/>
          <w:spacing w:val="0"/>
          <w:kern w:val="0"/>
          <w:rtl/>
          <w:lang w:bidi="ar-SY"/>
        </w:rPr>
        <w:t>، يدعي صاحب الشكوى أن الانتهاك قد تأكد في حق الدولة الطرف فعلاً أو ضمناً بعدم اعترافها صراحة بالمسؤولية عن التعذيب، وعدم إجراء تعديلات في النظام القانوني الذي يسمح بالتعذيب، واستمرار الامتناع عن إجراء تحقيق مناسب. وعلاوة على ذلك، لا يزال صاحب الشكوى يعاني من الاكتراب التالي للصدمة نتيجة للتعذيب، ويعني هذا أنه لا يزال متأثراً بالانتهاك السابق، وهذا في حد ذاته يشكل انتهاكاً للمعاهدة.</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lang w:bidi="ar-SY"/>
        </w:rPr>
        <w:t>3-2</w:t>
      </w:r>
      <w:r w:rsidRPr="00AA537D">
        <w:rPr>
          <w:rFonts w:hint="cs"/>
          <w:spacing w:val="0"/>
          <w:kern w:val="0"/>
          <w:rtl/>
          <w:lang w:bidi="ar-SY"/>
        </w:rPr>
        <w:tab/>
        <w:t>ويدعي صاحب الشكوى أن الدولة الطرف لم تضع ضمانات كافية لمنع إساءة المعاملة والتعذيب، وأن ذلك يشكل انتهاكاً للمادة 2 من الاتفاقية. ولم يسجل احتجاز صاحب الشكوى، ولم يستفد من خدمات محامٍ أو يعرض على طبيب مستقل لفحصه.</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lang w:bidi="ar-SY"/>
        </w:rPr>
        <w:t>3-3</w:t>
      </w:r>
      <w:r w:rsidRPr="00AA537D">
        <w:rPr>
          <w:rFonts w:hint="cs"/>
          <w:spacing w:val="0"/>
          <w:kern w:val="0"/>
          <w:rtl/>
          <w:lang w:bidi="ar-SY"/>
        </w:rPr>
        <w:tab/>
        <w:t>ولم تجر السلطات في الدولة الطرف تحقيقا</w:t>
      </w:r>
      <w:r w:rsidR="00D4210F">
        <w:rPr>
          <w:rFonts w:hint="cs"/>
          <w:spacing w:val="0"/>
          <w:kern w:val="0"/>
          <w:rtl/>
          <w:lang w:bidi="ar-SY"/>
        </w:rPr>
        <w:t>ً</w:t>
      </w:r>
      <w:r w:rsidRPr="00AA537D">
        <w:rPr>
          <w:rFonts w:hint="cs"/>
          <w:spacing w:val="0"/>
          <w:kern w:val="0"/>
          <w:rtl/>
          <w:lang w:bidi="ar-SY"/>
        </w:rPr>
        <w:t xml:space="preserve"> سريعا</w:t>
      </w:r>
      <w:r w:rsidR="00D4210F">
        <w:rPr>
          <w:rFonts w:hint="cs"/>
          <w:spacing w:val="0"/>
          <w:kern w:val="0"/>
          <w:rtl/>
          <w:lang w:bidi="ar-SY"/>
        </w:rPr>
        <w:t>ً</w:t>
      </w:r>
      <w:r w:rsidRPr="00AA537D">
        <w:rPr>
          <w:rFonts w:hint="cs"/>
          <w:spacing w:val="0"/>
          <w:kern w:val="0"/>
          <w:rtl/>
          <w:lang w:bidi="ar-SY"/>
        </w:rPr>
        <w:t xml:space="preserve"> ونزيها</w:t>
      </w:r>
      <w:r w:rsidR="00D4210F">
        <w:rPr>
          <w:rFonts w:hint="cs"/>
          <w:spacing w:val="0"/>
          <w:kern w:val="0"/>
          <w:rtl/>
          <w:lang w:bidi="ar-SY"/>
        </w:rPr>
        <w:t>ً</w:t>
      </w:r>
      <w:r w:rsidRPr="00AA537D">
        <w:rPr>
          <w:rFonts w:hint="cs"/>
          <w:spacing w:val="0"/>
          <w:kern w:val="0"/>
          <w:rtl/>
          <w:lang w:bidi="ar-SY"/>
        </w:rPr>
        <w:t xml:space="preserve"> وفعالا</w:t>
      </w:r>
      <w:r w:rsidR="00D4210F">
        <w:rPr>
          <w:rFonts w:hint="cs"/>
          <w:spacing w:val="0"/>
          <w:kern w:val="0"/>
          <w:rtl/>
          <w:lang w:bidi="ar-SY"/>
        </w:rPr>
        <w:t>ً</w:t>
      </w:r>
      <w:r w:rsidRPr="00AA537D">
        <w:rPr>
          <w:rFonts w:hint="cs"/>
          <w:spacing w:val="0"/>
          <w:kern w:val="0"/>
          <w:rtl/>
          <w:lang w:bidi="ar-SY"/>
        </w:rPr>
        <w:t xml:space="preserve"> في ادعاءاته المتعلقة بالتعذيب، ويشكل هذا انتهاكاً للمادتين 12 و13 من الاتفاقية. ولم</w:t>
      </w:r>
      <w:r w:rsidRPr="00AA537D">
        <w:rPr>
          <w:rFonts w:hint="eastAsia"/>
          <w:spacing w:val="0"/>
          <w:kern w:val="0"/>
          <w:rtl/>
          <w:lang w:bidi="ar-SY"/>
        </w:rPr>
        <w:t> </w:t>
      </w:r>
      <w:r w:rsidRPr="00AA537D">
        <w:rPr>
          <w:rFonts w:hint="cs"/>
          <w:spacing w:val="0"/>
          <w:kern w:val="0"/>
          <w:rtl/>
          <w:lang w:bidi="ar-SY"/>
        </w:rPr>
        <w:t>تقم هيئة مستقلة ونزيهة بالتحقيق ما دامت الهيئة التي قامت بالتحقيق هي إدارة الشؤون الداخلية الجنوبية التي وقع بها التعذيب ومن بعدها الهيئة الأعلى منها درجة في التسلسل الهرمي وهي إدارة الشؤون الداخلية الإقليمية. وعلاوة على ذلك، لم يبدأ التحقيق الأوّلي في الشكوى إلا بعد شهر من تقديمها، وأُجري الاختبار العلمي بعد ثلاثة أشهر من التعذيب المزعوم. ولم يستجوب الشهود الرئيسيون في التحقيق، واستبعد صاحب الشكوى من المشاركة بصورة فعالة في التحقيق، ولم يستطلع رأيه في أي وقت في موضوع التحقيق. ولم</w:t>
      </w:r>
      <w:r w:rsidRPr="00AA537D">
        <w:rPr>
          <w:rFonts w:hint="eastAsia"/>
          <w:spacing w:val="0"/>
          <w:kern w:val="0"/>
          <w:rtl/>
          <w:lang w:bidi="ar-SY"/>
        </w:rPr>
        <w:t> </w:t>
      </w:r>
      <w:r w:rsidRPr="00AA537D">
        <w:rPr>
          <w:rFonts w:hint="cs"/>
          <w:spacing w:val="0"/>
          <w:kern w:val="0"/>
          <w:rtl/>
          <w:lang w:bidi="ar-SY"/>
        </w:rPr>
        <w:t xml:space="preserve">يسمح التحقيق بإثبات المسؤولية الجنائية عن التعذيب الذي تعرض له صاحب الشكوى أو نسبتها إلى جهة بعينها. وعلى الرغم من استمرار المحاولات التي بذلها صاحب الشكوى لإجراء تحقيق فعال بعد دخول الاتفاقية حيز النفاذ، لم يجر أي تحقيق بشكل يتفق مع متطلبات الاتفاقية. </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lang w:bidi="ar-SY"/>
        </w:rPr>
        <w:t>3-4</w:t>
      </w:r>
      <w:r w:rsidRPr="00AA537D">
        <w:rPr>
          <w:rFonts w:hint="cs"/>
          <w:spacing w:val="0"/>
          <w:kern w:val="0"/>
          <w:rtl/>
          <w:lang w:bidi="ar-SY"/>
        </w:rPr>
        <w:tab/>
        <w:t xml:space="preserve">ويدعي صاحب الشكوى أيضاً أن القانون المحلي يمنعه عملياً من رفع دعوى مدنية للحصول على تعويض نظير انتهاك المادة 14 من الاتفاقية إذ يتوقف الحق في التعويض على إدانة المسؤول أمام محكمة جنائية. ونتيجة لذلك، لم يتمكن من الحصول على تعويض أو على إعادة تأهيل طبي نظير تعرضه للتعذيب. </w:t>
      </w:r>
    </w:p>
    <w:p w:rsidR="00FA6676" w:rsidRPr="00AA537D" w:rsidRDefault="00FA6676" w:rsidP="00AA537D">
      <w:pPr>
        <w:pStyle w:val="H23GA"/>
        <w:jc w:val="lowKashida"/>
        <w:rPr>
          <w:rFonts w:hint="cs"/>
          <w:spacing w:val="0"/>
          <w:kern w:val="0"/>
          <w:szCs w:val="20"/>
          <w:rtl/>
        </w:rPr>
      </w:pPr>
      <w:r w:rsidRPr="00AA537D">
        <w:rPr>
          <w:rFonts w:hint="cs"/>
          <w:spacing w:val="0"/>
          <w:kern w:val="0"/>
          <w:rtl/>
          <w:lang/>
        </w:rPr>
        <w:tab/>
      </w:r>
      <w:r w:rsidRPr="00AA537D">
        <w:rPr>
          <w:rFonts w:hint="cs"/>
          <w:spacing w:val="0"/>
          <w:kern w:val="0"/>
          <w:rtl/>
          <w:lang/>
        </w:rPr>
        <w:tab/>
        <w:t>الملاحظات الأولية للدولة الطرف</w:t>
      </w:r>
    </w:p>
    <w:p w:rsidR="00FA6676" w:rsidRPr="00AA537D" w:rsidRDefault="00FA6676" w:rsidP="00AA537D">
      <w:pPr>
        <w:pStyle w:val="SingleTxtGA"/>
        <w:jc w:val="lowKashida"/>
        <w:rPr>
          <w:rFonts w:hint="cs"/>
          <w:spacing w:val="0"/>
          <w:kern w:val="0"/>
          <w:rtl/>
          <w:lang/>
        </w:rPr>
      </w:pPr>
      <w:r w:rsidRPr="00AA537D">
        <w:rPr>
          <w:rFonts w:hint="cs"/>
          <w:spacing w:val="0"/>
          <w:kern w:val="0"/>
          <w:rtl/>
          <w:lang/>
        </w:rPr>
        <w:t>4-1</w:t>
      </w:r>
      <w:r w:rsidRPr="00AA537D">
        <w:rPr>
          <w:rFonts w:hint="cs"/>
          <w:spacing w:val="0"/>
          <w:kern w:val="0"/>
          <w:rtl/>
          <w:lang/>
        </w:rPr>
        <w:tab/>
        <w:t>في 18 كانون الثاني/يناير 2011، قدمت الدولة الطرف ملاحظاتها الأولية. وأكدت أن مكتب المدعي العام نقض في 6 كانون الأول/ديسمبر 2010 القرار الذي ا</w:t>
      </w:r>
      <w:r w:rsidRPr="00AA537D">
        <w:rPr>
          <w:rFonts w:hint="cs"/>
          <w:spacing w:val="0"/>
          <w:kern w:val="0"/>
          <w:rtl/>
          <w:lang w:bidi="ar-SY"/>
        </w:rPr>
        <w:t xml:space="preserve">تخذته </w:t>
      </w:r>
      <w:r w:rsidRPr="00AA537D">
        <w:rPr>
          <w:rFonts w:hint="cs"/>
          <w:spacing w:val="0"/>
          <w:kern w:val="0"/>
          <w:sz w:val="30"/>
          <w:rtl/>
        </w:rPr>
        <w:t xml:space="preserve">إدارة مكافحة الجرائم الاقتصادية والفساد في 1 شباط/فبراير 2008 برفض البدء في الإجراءات الجنائية وأقام دعوى جنائية ضد أفراد الشرطة التابعين لإدارة الشؤون الداخلية الجنوبية عملاً بالفقرة 2(أ) من المادة 347-1 من القانون الجنائي (التعذيب). </w:t>
      </w:r>
    </w:p>
    <w:p w:rsidR="00FA6676" w:rsidRPr="00AA537D" w:rsidRDefault="00FA6676" w:rsidP="00AA537D">
      <w:pPr>
        <w:pStyle w:val="SingleTxtGA"/>
        <w:jc w:val="lowKashida"/>
        <w:rPr>
          <w:rFonts w:hint="cs"/>
          <w:spacing w:val="0"/>
          <w:kern w:val="0"/>
          <w:rtl/>
          <w:lang/>
        </w:rPr>
      </w:pPr>
      <w:r w:rsidRPr="00AA537D">
        <w:rPr>
          <w:rFonts w:hint="cs"/>
          <w:spacing w:val="0"/>
          <w:kern w:val="0"/>
          <w:rtl/>
          <w:lang/>
        </w:rPr>
        <w:t>4-2</w:t>
      </w:r>
      <w:r w:rsidRPr="00AA537D">
        <w:rPr>
          <w:rFonts w:hint="cs"/>
          <w:spacing w:val="0"/>
          <w:kern w:val="0"/>
          <w:rtl/>
          <w:lang/>
        </w:rPr>
        <w:tab/>
        <w:t>وتشير الدولة الطرف أيضاً إلى عدد من المراسيم والسياسات وخطط العمل المتعلقة بمكافحة التعذيب التي اعتمدت استجابة للادعاءات المتعلقة بالتعذيب، بما في ذلك إلى الرصد المنتظم لأماكن الاحتجاز بمشاركة ممثلين من المنظمات غير الحكومية، فضلاً عن تنظيم دورات تدريبية وموائد مستديرة وحلقات دراسية بشأن منع التعذيب وإساءة المعاملة للموظفين المعنيين بإنفاذ القوانين.</w:t>
      </w:r>
    </w:p>
    <w:p w:rsidR="00FA6676" w:rsidRPr="00AA537D" w:rsidRDefault="00FA6676" w:rsidP="00D642C7">
      <w:pPr>
        <w:pStyle w:val="H23GA"/>
        <w:keepNext/>
        <w:jc w:val="lowKashida"/>
        <w:rPr>
          <w:rFonts w:hint="cs"/>
          <w:spacing w:val="0"/>
          <w:kern w:val="0"/>
          <w:rtl/>
          <w:lang/>
        </w:rPr>
      </w:pPr>
      <w:r w:rsidRPr="00AA537D">
        <w:rPr>
          <w:rFonts w:hint="cs"/>
          <w:spacing w:val="0"/>
          <w:kern w:val="0"/>
          <w:rtl/>
          <w:lang/>
        </w:rPr>
        <w:tab/>
      </w:r>
      <w:r w:rsidRPr="00AA537D">
        <w:rPr>
          <w:rFonts w:hint="cs"/>
          <w:spacing w:val="0"/>
          <w:kern w:val="0"/>
          <w:rtl/>
          <w:lang/>
        </w:rPr>
        <w:tab/>
        <w:t>تعليقات ممثلي صاحب الشكوى</w:t>
      </w:r>
    </w:p>
    <w:p w:rsidR="00FA6676" w:rsidRPr="00AA537D" w:rsidRDefault="00FA6676" w:rsidP="008C1013">
      <w:pPr>
        <w:pStyle w:val="SingleTxtGA"/>
        <w:spacing w:line="370" w:lineRule="exact"/>
        <w:jc w:val="lowKashida"/>
        <w:rPr>
          <w:rFonts w:hint="cs"/>
          <w:spacing w:val="0"/>
          <w:kern w:val="0"/>
          <w:rtl/>
        </w:rPr>
      </w:pPr>
      <w:r w:rsidRPr="00AA537D">
        <w:rPr>
          <w:rFonts w:hint="cs"/>
          <w:spacing w:val="0"/>
          <w:kern w:val="0"/>
          <w:rtl/>
          <w:lang/>
        </w:rPr>
        <w:t>5-1</w:t>
      </w:r>
      <w:r w:rsidRPr="00AA537D">
        <w:rPr>
          <w:rFonts w:hint="cs"/>
          <w:spacing w:val="0"/>
          <w:kern w:val="0"/>
          <w:rtl/>
          <w:lang/>
        </w:rPr>
        <w:tab/>
        <w:t xml:space="preserve">في 28 شباط/فبراير 2011، أكد ممثلا صاحب الشكوى أن مكتب المدعي العام شرع في 6 كانون الأول/ديسمبر 2010، استجابة للشكوى المقدمة إلى اللجنة، في إجراء تحقيق جنائي </w:t>
      </w:r>
      <w:r w:rsidRPr="00AA537D">
        <w:rPr>
          <w:rFonts w:hint="cs"/>
          <w:spacing w:val="0"/>
          <w:kern w:val="0"/>
          <w:sz w:val="30"/>
          <w:rtl/>
        </w:rPr>
        <w:t>عملاً بالفقرة 2(أ) من المادة 347-1 من القانون الجنائي (التعذيب)</w:t>
      </w:r>
      <w:r w:rsidRPr="00AA537D">
        <w:rPr>
          <w:spacing w:val="0"/>
          <w:kern w:val="0"/>
          <w:sz w:val="30"/>
          <w:vertAlign w:val="superscript"/>
          <w:rtl/>
        </w:rPr>
        <w:t>(</w:t>
      </w:r>
      <w:r w:rsidRPr="00AA537D">
        <w:rPr>
          <w:rStyle w:val="FootnoteReference"/>
          <w:spacing w:val="0"/>
          <w:rtl/>
        </w:rPr>
        <w:footnoteReference w:id="384"/>
      </w:r>
      <w:r w:rsidRPr="00AA537D">
        <w:rPr>
          <w:spacing w:val="0"/>
          <w:kern w:val="0"/>
          <w:sz w:val="30"/>
          <w:vertAlign w:val="superscript"/>
          <w:rtl/>
        </w:rPr>
        <w:t>)</w:t>
      </w:r>
      <w:r w:rsidRPr="00AA537D">
        <w:rPr>
          <w:rFonts w:hint="cs"/>
          <w:spacing w:val="0"/>
          <w:kern w:val="0"/>
          <w:sz w:val="30"/>
          <w:rtl/>
        </w:rPr>
        <w:t>.</w:t>
      </w:r>
    </w:p>
    <w:p w:rsidR="00FA6676" w:rsidRPr="00AA537D" w:rsidRDefault="00FA6676" w:rsidP="008C1013">
      <w:pPr>
        <w:pStyle w:val="SingleTxtGA"/>
        <w:spacing w:line="370" w:lineRule="exact"/>
        <w:jc w:val="lowKashida"/>
        <w:rPr>
          <w:rFonts w:hint="cs"/>
          <w:spacing w:val="0"/>
          <w:kern w:val="0"/>
          <w:rtl/>
        </w:rPr>
      </w:pPr>
      <w:r w:rsidRPr="00AA537D">
        <w:rPr>
          <w:rFonts w:hint="cs"/>
          <w:spacing w:val="0"/>
          <w:kern w:val="0"/>
          <w:rtl/>
          <w:lang/>
        </w:rPr>
        <w:t>5-2</w:t>
      </w:r>
      <w:r w:rsidRPr="00AA537D">
        <w:rPr>
          <w:rFonts w:hint="cs"/>
          <w:spacing w:val="0"/>
          <w:kern w:val="0"/>
          <w:rtl/>
          <w:lang/>
        </w:rPr>
        <w:tab/>
        <w:t xml:space="preserve">وفي 8 كانون الثاني/يناير 2011، صدر قرار بإجراء فحص طبي نفساني لصاحب الشكوى. </w:t>
      </w:r>
      <w:r w:rsidRPr="00AA537D">
        <w:rPr>
          <w:spacing w:val="0"/>
          <w:kern w:val="0"/>
          <w:rtl/>
        </w:rPr>
        <w:t>وبالنظر إلى القلق الناجم عن تجديد التحقيق والاستجوابات، تدهورت صحة صاحب الشكوى</w:t>
      </w:r>
      <w:r w:rsidRPr="00AA537D">
        <w:rPr>
          <w:rFonts w:hint="cs"/>
          <w:spacing w:val="0"/>
          <w:kern w:val="0"/>
          <w:rtl/>
        </w:rPr>
        <w:t>،</w:t>
      </w:r>
      <w:r w:rsidRPr="00AA537D">
        <w:rPr>
          <w:spacing w:val="0"/>
          <w:kern w:val="0"/>
          <w:rtl/>
        </w:rPr>
        <w:t xml:space="preserve"> و</w:t>
      </w:r>
      <w:r w:rsidRPr="00AA537D">
        <w:rPr>
          <w:rFonts w:hint="cs"/>
          <w:spacing w:val="0"/>
          <w:kern w:val="0"/>
          <w:rtl/>
        </w:rPr>
        <w:t xml:space="preserve">نصح طبيب في </w:t>
      </w:r>
      <w:r w:rsidRPr="00AA537D">
        <w:rPr>
          <w:spacing w:val="0"/>
          <w:kern w:val="0"/>
          <w:rtl/>
        </w:rPr>
        <w:t>14</w:t>
      </w:r>
      <w:r w:rsidRPr="00AA537D">
        <w:rPr>
          <w:rFonts w:hint="cs"/>
          <w:spacing w:val="0"/>
          <w:kern w:val="0"/>
          <w:rtl/>
        </w:rPr>
        <w:t xml:space="preserve"> كانون الثاني/</w:t>
      </w:r>
      <w:r w:rsidRPr="00AA537D">
        <w:rPr>
          <w:spacing w:val="0"/>
          <w:kern w:val="0"/>
          <w:rtl/>
        </w:rPr>
        <w:t xml:space="preserve">يناير 2011 </w:t>
      </w:r>
      <w:r w:rsidRPr="00AA537D">
        <w:rPr>
          <w:rFonts w:hint="cs"/>
          <w:spacing w:val="0"/>
          <w:kern w:val="0"/>
          <w:rtl/>
        </w:rPr>
        <w:t>ب</w:t>
      </w:r>
      <w:r w:rsidRPr="00AA537D">
        <w:rPr>
          <w:spacing w:val="0"/>
          <w:kern w:val="0"/>
          <w:rtl/>
        </w:rPr>
        <w:t xml:space="preserve">دخوله المستشفى. ولذلك، طلب تأجيل </w:t>
      </w:r>
      <w:r w:rsidRPr="00AA537D">
        <w:rPr>
          <w:rFonts w:hint="cs"/>
          <w:spacing w:val="0"/>
          <w:kern w:val="0"/>
          <w:rtl/>
        </w:rPr>
        <w:t>الفحص</w:t>
      </w:r>
      <w:r w:rsidRPr="00AA537D">
        <w:rPr>
          <w:spacing w:val="0"/>
          <w:kern w:val="0"/>
          <w:rtl/>
        </w:rPr>
        <w:t xml:space="preserve">. </w:t>
      </w:r>
      <w:r w:rsidRPr="00AA537D">
        <w:rPr>
          <w:rFonts w:hint="cs"/>
          <w:spacing w:val="0"/>
          <w:kern w:val="0"/>
          <w:rtl/>
        </w:rPr>
        <w:t xml:space="preserve">بيد أن الفحص الطبي النفساني تم في </w:t>
      </w:r>
      <w:r w:rsidRPr="00AA537D">
        <w:rPr>
          <w:spacing w:val="0"/>
          <w:kern w:val="0"/>
          <w:rtl/>
        </w:rPr>
        <w:t>18</w:t>
      </w:r>
      <w:r w:rsidRPr="00AA537D">
        <w:rPr>
          <w:rFonts w:hint="cs"/>
          <w:spacing w:val="0"/>
          <w:kern w:val="0"/>
          <w:rtl/>
        </w:rPr>
        <w:t xml:space="preserve"> كانون الثاني/ </w:t>
      </w:r>
      <w:r w:rsidRPr="00AA537D">
        <w:rPr>
          <w:spacing w:val="0"/>
          <w:kern w:val="0"/>
          <w:rtl/>
        </w:rPr>
        <w:t>يناير</w:t>
      </w:r>
      <w:r w:rsidRPr="00AA537D">
        <w:rPr>
          <w:rFonts w:hint="cs"/>
          <w:spacing w:val="0"/>
          <w:kern w:val="0"/>
          <w:rtl/>
        </w:rPr>
        <w:t> </w:t>
      </w:r>
      <w:r w:rsidRPr="00AA537D">
        <w:rPr>
          <w:spacing w:val="0"/>
          <w:kern w:val="0"/>
          <w:rtl/>
        </w:rPr>
        <w:t xml:space="preserve">2011. </w:t>
      </w:r>
      <w:r w:rsidRPr="00AA537D">
        <w:rPr>
          <w:rFonts w:hint="cs"/>
          <w:spacing w:val="0"/>
          <w:kern w:val="0"/>
          <w:rtl/>
        </w:rPr>
        <w:t>و</w:t>
      </w:r>
      <w:r w:rsidRPr="00AA537D">
        <w:rPr>
          <w:spacing w:val="0"/>
          <w:kern w:val="0"/>
          <w:rtl/>
        </w:rPr>
        <w:t xml:space="preserve">في 2 </w:t>
      </w:r>
      <w:r w:rsidRPr="00AA537D">
        <w:rPr>
          <w:rFonts w:hint="cs"/>
          <w:spacing w:val="0"/>
          <w:kern w:val="0"/>
          <w:rtl/>
        </w:rPr>
        <w:t>شباط/</w:t>
      </w:r>
      <w:r w:rsidRPr="00AA537D">
        <w:rPr>
          <w:spacing w:val="0"/>
          <w:kern w:val="0"/>
          <w:rtl/>
        </w:rPr>
        <w:t xml:space="preserve">فبراير 2011، </w:t>
      </w:r>
      <w:r w:rsidRPr="00AA537D">
        <w:rPr>
          <w:rFonts w:hint="cs"/>
          <w:spacing w:val="0"/>
          <w:kern w:val="0"/>
          <w:rtl/>
        </w:rPr>
        <w:t>سمح ل</w:t>
      </w:r>
      <w:r w:rsidRPr="00AA537D">
        <w:rPr>
          <w:spacing w:val="0"/>
          <w:kern w:val="0"/>
          <w:rtl/>
        </w:rPr>
        <w:t xml:space="preserve">محامي صاحب الشكوى </w:t>
      </w:r>
      <w:r w:rsidRPr="00AA537D">
        <w:rPr>
          <w:rFonts w:hint="cs"/>
          <w:spacing w:val="0"/>
          <w:kern w:val="0"/>
          <w:rtl/>
        </w:rPr>
        <w:t xml:space="preserve">بالاطلاع على </w:t>
      </w:r>
      <w:r w:rsidRPr="00AA537D">
        <w:rPr>
          <w:spacing w:val="0"/>
          <w:kern w:val="0"/>
          <w:rtl/>
        </w:rPr>
        <w:t xml:space="preserve">التقرير </w:t>
      </w:r>
      <w:r w:rsidRPr="00AA537D">
        <w:rPr>
          <w:rFonts w:hint="cs"/>
          <w:spacing w:val="0"/>
          <w:kern w:val="0"/>
          <w:rtl/>
        </w:rPr>
        <w:t xml:space="preserve">الطبي </w:t>
      </w:r>
      <w:r w:rsidRPr="00AA537D">
        <w:rPr>
          <w:spacing w:val="0"/>
          <w:kern w:val="0"/>
          <w:rtl/>
        </w:rPr>
        <w:t xml:space="preserve">النفساني، ولكن لم </w:t>
      </w:r>
      <w:r w:rsidRPr="00AA537D">
        <w:rPr>
          <w:rFonts w:hint="cs"/>
          <w:spacing w:val="0"/>
          <w:kern w:val="0"/>
          <w:rtl/>
        </w:rPr>
        <w:t xml:space="preserve">تعط له </w:t>
      </w:r>
      <w:r w:rsidRPr="00AA537D">
        <w:rPr>
          <w:spacing w:val="0"/>
          <w:kern w:val="0"/>
          <w:rtl/>
        </w:rPr>
        <w:t>نسخة</w:t>
      </w:r>
      <w:r w:rsidRPr="00AA537D">
        <w:rPr>
          <w:rFonts w:hint="cs"/>
          <w:spacing w:val="0"/>
          <w:kern w:val="0"/>
          <w:rtl/>
        </w:rPr>
        <w:t xml:space="preserve"> من التقرير</w:t>
      </w:r>
      <w:r w:rsidRPr="00AA537D">
        <w:rPr>
          <w:spacing w:val="0"/>
          <w:kern w:val="0"/>
          <w:rtl/>
        </w:rPr>
        <w:t>.</w:t>
      </w:r>
    </w:p>
    <w:p w:rsidR="00FA6676" w:rsidRPr="00AA537D" w:rsidRDefault="00FA6676" w:rsidP="008C1013">
      <w:pPr>
        <w:pStyle w:val="SingleTxtGA"/>
        <w:spacing w:line="370" w:lineRule="exact"/>
        <w:jc w:val="lowKashida"/>
        <w:rPr>
          <w:rFonts w:hint="cs"/>
          <w:spacing w:val="0"/>
          <w:kern w:val="0"/>
          <w:rtl/>
          <w:lang/>
        </w:rPr>
      </w:pPr>
      <w:r w:rsidRPr="00AA537D">
        <w:rPr>
          <w:rFonts w:hint="cs"/>
          <w:spacing w:val="0"/>
          <w:kern w:val="0"/>
          <w:rtl/>
          <w:lang/>
        </w:rPr>
        <w:t>5-3</w:t>
      </w:r>
      <w:r w:rsidRPr="00AA537D">
        <w:rPr>
          <w:rFonts w:hint="cs"/>
          <w:spacing w:val="0"/>
          <w:kern w:val="0"/>
          <w:rtl/>
          <w:lang/>
        </w:rPr>
        <w:tab/>
        <w:t xml:space="preserve">وأثناء التحقيق مجدداً، تم استجواب صاحب الشكوى </w:t>
      </w:r>
      <w:r w:rsidRPr="00AA537D">
        <w:rPr>
          <w:spacing w:val="0"/>
          <w:kern w:val="0"/>
          <w:rtl/>
        </w:rPr>
        <w:t>في حضور محام</w:t>
      </w:r>
      <w:r w:rsidRPr="00AA537D">
        <w:rPr>
          <w:rFonts w:hint="cs"/>
          <w:spacing w:val="0"/>
          <w:kern w:val="0"/>
          <w:rtl/>
        </w:rPr>
        <w:t>ٍ</w:t>
      </w:r>
      <w:r w:rsidRPr="00AA537D">
        <w:rPr>
          <w:spacing w:val="0"/>
          <w:kern w:val="0"/>
          <w:rtl/>
        </w:rPr>
        <w:t xml:space="preserve"> </w:t>
      </w:r>
      <w:r w:rsidRPr="00AA537D">
        <w:rPr>
          <w:rFonts w:hint="cs"/>
          <w:spacing w:val="0"/>
          <w:kern w:val="0"/>
          <w:rtl/>
        </w:rPr>
        <w:t xml:space="preserve">في </w:t>
      </w:r>
      <w:r w:rsidRPr="00AA537D">
        <w:rPr>
          <w:spacing w:val="0"/>
          <w:kern w:val="0"/>
          <w:rtl/>
        </w:rPr>
        <w:t>أربع مناسبات</w:t>
      </w:r>
      <w:r w:rsidRPr="00AA537D">
        <w:rPr>
          <w:rFonts w:hint="cs"/>
          <w:spacing w:val="0"/>
          <w:kern w:val="0"/>
          <w:rtl/>
        </w:rPr>
        <w:t xml:space="preserve"> على الأقل</w:t>
      </w:r>
      <w:r w:rsidRPr="00AA537D">
        <w:rPr>
          <w:spacing w:val="0"/>
          <w:kern w:val="0"/>
          <w:rtl/>
        </w:rPr>
        <w:t>: في 19 كانون</w:t>
      </w:r>
      <w:r w:rsidRPr="00AA537D">
        <w:rPr>
          <w:rFonts w:hint="cs"/>
          <w:spacing w:val="0"/>
          <w:kern w:val="0"/>
          <w:rtl/>
        </w:rPr>
        <w:t xml:space="preserve"> </w:t>
      </w:r>
      <w:r w:rsidRPr="00AA537D">
        <w:rPr>
          <w:spacing w:val="0"/>
          <w:kern w:val="0"/>
          <w:rtl/>
        </w:rPr>
        <w:t xml:space="preserve">الثاني/يناير، </w:t>
      </w:r>
      <w:r w:rsidRPr="00AA537D">
        <w:rPr>
          <w:rFonts w:hint="cs"/>
          <w:spacing w:val="0"/>
          <w:kern w:val="0"/>
          <w:rtl/>
        </w:rPr>
        <w:t>و</w:t>
      </w:r>
      <w:r w:rsidRPr="00AA537D">
        <w:rPr>
          <w:spacing w:val="0"/>
          <w:kern w:val="0"/>
          <w:rtl/>
        </w:rPr>
        <w:t xml:space="preserve">21 كانون الثاني/يناير، </w:t>
      </w:r>
      <w:r w:rsidRPr="00AA537D">
        <w:rPr>
          <w:rFonts w:hint="cs"/>
          <w:spacing w:val="0"/>
          <w:kern w:val="0"/>
          <w:rtl/>
        </w:rPr>
        <w:t>و</w:t>
      </w:r>
      <w:r w:rsidRPr="00AA537D">
        <w:rPr>
          <w:spacing w:val="0"/>
          <w:kern w:val="0"/>
          <w:rtl/>
        </w:rPr>
        <w:t>25 كانون الثاني/يناير</w:t>
      </w:r>
      <w:r w:rsidRPr="00AA537D">
        <w:rPr>
          <w:rFonts w:hint="cs"/>
          <w:spacing w:val="0"/>
          <w:kern w:val="0"/>
          <w:rtl/>
        </w:rPr>
        <w:t>،</w:t>
      </w:r>
      <w:r w:rsidRPr="00AA537D">
        <w:rPr>
          <w:spacing w:val="0"/>
          <w:kern w:val="0"/>
          <w:rtl/>
        </w:rPr>
        <w:t xml:space="preserve"> و2</w:t>
      </w:r>
      <w:r w:rsidRPr="00AA537D">
        <w:rPr>
          <w:rFonts w:hint="cs"/>
          <w:spacing w:val="0"/>
          <w:kern w:val="0"/>
          <w:rtl/>
        </w:rPr>
        <w:t xml:space="preserve"> شباط/</w:t>
      </w:r>
      <w:r w:rsidRPr="00AA537D">
        <w:rPr>
          <w:spacing w:val="0"/>
          <w:kern w:val="0"/>
          <w:rtl/>
        </w:rPr>
        <w:t xml:space="preserve"> فبراير 2011. </w:t>
      </w:r>
      <w:r w:rsidRPr="00AA537D">
        <w:rPr>
          <w:rFonts w:hint="cs"/>
          <w:spacing w:val="0"/>
          <w:kern w:val="0"/>
          <w:rtl/>
        </w:rPr>
        <w:t>و</w:t>
      </w:r>
      <w:r w:rsidRPr="00AA537D">
        <w:rPr>
          <w:spacing w:val="0"/>
          <w:kern w:val="0"/>
          <w:rtl/>
        </w:rPr>
        <w:t xml:space="preserve">قبل 19 </w:t>
      </w:r>
      <w:r w:rsidRPr="00AA537D">
        <w:rPr>
          <w:rFonts w:hint="cs"/>
          <w:spacing w:val="0"/>
          <w:kern w:val="0"/>
          <w:rtl/>
        </w:rPr>
        <w:t>كانون الثاني/ي</w:t>
      </w:r>
      <w:r w:rsidRPr="00AA537D">
        <w:rPr>
          <w:spacing w:val="0"/>
          <w:kern w:val="0"/>
          <w:rtl/>
        </w:rPr>
        <w:t xml:space="preserve">ناير 2011، </w:t>
      </w:r>
      <w:r w:rsidRPr="00AA537D">
        <w:rPr>
          <w:rFonts w:hint="cs"/>
          <w:spacing w:val="0"/>
          <w:kern w:val="0"/>
          <w:rtl/>
        </w:rPr>
        <w:t xml:space="preserve">تم </w:t>
      </w:r>
      <w:r w:rsidRPr="00AA537D">
        <w:rPr>
          <w:spacing w:val="0"/>
          <w:kern w:val="0"/>
          <w:rtl/>
        </w:rPr>
        <w:t>استجو</w:t>
      </w:r>
      <w:r w:rsidRPr="00AA537D">
        <w:rPr>
          <w:rFonts w:hint="cs"/>
          <w:spacing w:val="0"/>
          <w:kern w:val="0"/>
          <w:rtl/>
        </w:rPr>
        <w:t>ا</w:t>
      </w:r>
      <w:r w:rsidRPr="00AA537D">
        <w:rPr>
          <w:spacing w:val="0"/>
          <w:kern w:val="0"/>
          <w:rtl/>
        </w:rPr>
        <w:t>ب</w:t>
      </w:r>
      <w:r w:rsidRPr="00AA537D">
        <w:rPr>
          <w:rFonts w:hint="cs"/>
          <w:spacing w:val="0"/>
          <w:kern w:val="0"/>
          <w:rtl/>
        </w:rPr>
        <w:t>ه</w:t>
      </w:r>
      <w:r w:rsidRPr="00AA537D">
        <w:rPr>
          <w:spacing w:val="0"/>
          <w:kern w:val="0"/>
          <w:rtl/>
        </w:rPr>
        <w:t xml:space="preserve"> </w:t>
      </w:r>
      <w:r w:rsidRPr="00AA537D">
        <w:rPr>
          <w:rFonts w:hint="cs"/>
          <w:spacing w:val="0"/>
          <w:kern w:val="0"/>
          <w:rtl/>
        </w:rPr>
        <w:t>ب</w:t>
      </w:r>
      <w:r w:rsidRPr="00AA537D">
        <w:rPr>
          <w:spacing w:val="0"/>
          <w:kern w:val="0"/>
          <w:rtl/>
        </w:rPr>
        <w:t xml:space="preserve">دون </w:t>
      </w:r>
      <w:r w:rsidRPr="00AA537D">
        <w:rPr>
          <w:rFonts w:hint="cs"/>
          <w:spacing w:val="0"/>
          <w:kern w:val="0"/>
          <w:rtl/>
        </w:rPr>
        <w:t>حضور</w:t>
      </w:r>
      <w:r w:rsidRPr="00AA537D">
        <w:rPr>
          <w:spacing w:val="0"/>
          <w:kern w:val="0"/>
          <w:rtl/>
        </w:rPr>
        <w:t xml:space="preserve"> محام. </w:t>
      </w:r>
      <w:r w:rsidRPr="00AA537D">
        <w:rPr>
          <w:rFonts w:hint="cs"/>
          <w:spacing w:val="0"/>
          <w:kern w:val="0"/>
          <w:rtl/>
        </w:rPr>
        <w:t>و</w:t>
      </w:r>
      <w:r w:rsidRPr="00AA537D">
        <w:rPr>
          <w:spacing w:val="0"/>
          <w:kern w:val="0"/>
          <w:rtl/>
        </w:rPr>
        <w:t xml:space="preserve">أثناء </w:t>
      </w:r>
      <w:r w:rsidRPr="00AA537D">
        <w:rPr>
          <w:rFonts w:hint="cs"/>
          <w:spacing w:val="0"/>
          <w:kern w:val="0"/>
          <w:rtl/>
        </w:rPr>
        <w:t>الا</w:t>
      </w:r>
      <w:r w:rsidRPr="00AA537D">
        <w:rPr>
          <w:spacing w:val="0"/>
          <w:kern w:val="0"/>
          <w:rtl/>
        </w:rPr>
        <w:t>ستجواب</w:t>
      </w:r>
      <w:r w:rsidRPr="00AA537D">
        <w:rPr>
          <w:rFonts w:hint="cs"/>
          <w:spacing w:val="0"/>
          <w:kern w:val="0"/>
          <w:rtl/>
        </w:rPr>
        <w:t xml:space="preserve"> الذي تم في </w:t>
      </w:r>
      <w:r w:rsidRPr="00AA537D">
        <w:rPr>
          <w:spacing w:val="0"/>
          <w:kern w:val="0"/>
          <w:rtl/>
        </w:rPr>
        <w:t>19</w:t>
      </w:r>
      <w:r w:rsidRPr="00AA537D">
        <w:rPr>
          <w:rFonts w:hint="cs"/>
          <w:spacing w:val="0"/>
          <w:kern w:val="0"/>
          <w:rtl/>
        </w:rPr>
        <w:t xml:space="preserve"> كانون الثاني/</w:t>
      </w:r>
      <w:r w:rsidRPr="00AA537D">
        <w:rPr>
          <w:spacing w:val="0"/>
          <w:kern w:val="0"/>
          <w:rtl/>
        </w:rPr>
        <w:t xml:space="preserve"> يناير 2011، </w:t>
      </w:r>
      <w:r w:rsidRPr="00AA537D">
        <w:rPr>
          <w:rFonts w:hint="cs"/>
          <w:spacing w:val="0"/>
          <w:kern w:val="0"/>
          <w:rtl/>
        </w:rPr>
        <w:t>قدم</w:t>
      </w:r>
      <w:r w:rsidRPr="00AA537D">
        <w:rPr>
          <w:spacing w:val="0"/>
          <w:kern w:val="0"/>
          <w:rtl/>
        </w:rPr>
        <w:t xml:space="preserve"> بيانا</w:t>
      </w:r>
      <w:r w:rsidRPr="00AA537D">
        <w:rPr>
          <w:rFonts w:hint="cs"/>
          <w:spacing w:val="0"/>
          <w:kern w:val="0"/>
          <w:rtl/>
        </w:rPr>
        <w:t>ً</w:t>
      </w:r>
      <w:r w:rsidRPr="00AA537D">
        <w:rPr>
          <w:spacing w:val="0"/>
          <w:kern w:val="0"/>
          <w:rtl/>
        </w:rPr>
        <w:t xml:space="preserve"> مفصلاً عن التعذيب الذي تعرض له، يتفق مع تصريحاته السابقة. </w:t>
      </w:r>
      <w:r w:rsidRPr="00AA537D">
        <w:rPr>
          <w:rFonts w:hint="cs"/>
          <w:spacing w:val="0"/>
          <w:kern w:val="0"/>
          <w:rtl/>
        </w:rPr>
        <w:t xml:space="preserve">ووصف </w:t>
      </w:r>
      <w:r w:rsidRPr="00AA537D">
        <w:rPr>
          <w:spacing w:val="0"/>
          <w:kern w:val="0"/>
          <w:rtl/>
        </w:rPr>
        <w:t>مرة أخرى</w:t>
      </w:r>
      <w:r w:rsidRPr="00AA537D">
        <w:rPr>
          <w:rFonts w:hint="cs"/>
          <w:spacing w:val="0"/>
          <w:kern w:val="0"/>
          <w:rtl/>
        </w:rPr>
        <w:t xml:space="preserve"> الإص</w:t>
      </w:r>
      <w:r w:rsidRPr="00AA537D">
        <w:rPr>
          <w:spacing w:val="0"/>
          <w:kern w:val="0"/>
          <w:rtl/>
        </w:rPr>
        <w:t xml:space="preserve">ابات الجسدية التي </w:t>
      </w:r>
      <w:r w:rsidRPr="00AA537D">
        <w:rPr>
          <w:rFonts w:hint="cs"/>
          <w:spacing w:val="0"/>
          <w:kern w:val="0"/>
          <w:rtl/>
        </w:rPr>
        <w:t xml:space="preserve">لحقت به </w:t>
      </w:r>
      <w:r w:rsidRPr="00AA537D">
        <w:rPr>
          <w:spacing w:val="0"/>
          <w:kern w:val="0"/>
          <w:rtl/>
        </w:rPr>
        <w:t>والمعاملة التي تعرض لها</w:t>
      </w:r>
      <w:r w:rsidRPr="00AA537D">
        <w:rPr>
          <w:rFonts w:hint="cs"/>
          <w:spacing w:val="0"/>
          <w:kern w:val="0"/>
          <w:rtl/>
        </w:rPr>
        <w:t>.</w:t>
      </w:r>
    </w:p>
    <w:p w:rsidR="00FA6676" w:rsidRPr="008C1013" w:rsidRDefault="00FA6676" w:rsidP="008C1013">
      <w:pPr>
        <w:pStyle w:val="SingleTxtGA"/>
        <w:spacing w:line="370" w:lineRule="exact"/>
        <w:jc w:val="lowKashida"/>
        <w:rPr>
          <w:rFonts w:hint="cs"/>
          <w:spacing w:val="-4"/>
          <w:kern w:val="0"/>
          <w:rtl/>
        </w:rPr>
      </w:pPr>
      <w:r w:rsidRPr="008C1013">
        <w:rPr>
          <w:rFonts w:hint="cs"/>
          <w:spacing w:val="-2"/>
          <w:kern w:val="0"/>
          <w:rtl/>
          <w:lang/>
        </w:rPr>
        <w:t>5-4</w:t>
      </w:r>
      <w:r w:rsidRPr="008C1013">
        <w:rPr>
          <w:rFonts w:hint="cs"/>
          <w:spacing w:val="-2"/>
          <w:kern w:val="0"/>
          <w:rtl/>
          <w:lang/>
        </w:rPr>
        <w:tab/>
      </w:r>
      <w:r w:rsidRPr="008C1013">
        <w:rPr>
          <w:rFonts w:hint="cs"/>
          <w:spacing w:val="-2"/>
          <w:kern w:val="0"/>
          <w:rtl/>
        </w:rPr>
        <w:t xml:space="preserve">وأشار الممثلان القانونيان أيضاً إلى </w:t>
      </w:r>
      <w:r w:rsidRPr="008C1013">
        <w:rPr>
          <w:spacing w:val="-2"/>
          <w:kern w:val="0"/>
          <w:rtl/>
        </w:rPr>
        <w:t xml:space="preserve">التهديدات التي </w:t>
      </w:r>
      <w:r w:rsidRPr="008C1013">
        <w:rPr>
          <w:rFonts w:hint="cs"/>
          <w:spacing w:val="-2"/>
          <w:kern w:val="0"/>
          <w:rtl/>
        </w:rPr>
        <w:t>وجهت إلى صاحب</w:t>
      </w:r>
      <w:r w:rsidRPr="008C1013">
        <w:rPr>
          <w:spacing w:val="-2"/>
          <w:kern w:val="0"/>
          <w:rtl/>
        </w:rPr>
        <w:t xml:space="preserve"> الشكوى في</w:t>
      </w:r>
      <w:r w:rsidRPr="008C1013">
        <w:rPr>
          <w:rFonts w:hint="cs"/>
          <w:spacing w:val="-2"/>
          <w:kern w:val="0"/>
          <w:rtl/>
        </w:rPr>
        <w:t xml:space="preserve"> عام </w:t>
      </w:r>
      <w:r w:rsidRPr="008C1013">
        <w:rPr>
          <w:spacing w:val="-2"/>
          <w:kern w:val="0"/>
          <w:rtl/>
        </w:rPr>
        <w:t>2007</w:t>
      </w:r>
      <w:r w:rsidRPr="008C1013">
        <w:rPr>
          <w:rFonts w:hint="cs"/>
          <w:spacing w:val="-2"/>
          <w:kern w:val="0"/>
          <w:rtl/>
        </w:rPr>
        <w:t xml:space="preserve"> وأضافا أن الظروف التي أحاطت بالتحقيق مجدداً أدت إلى تهديدات جديدة. ففي أواخر </w:t>
      </w:r>
      <w:r w:rsidRPr="008C1013">
        <w:rPr>
          <w:spacing w:val="-2"/>
          <w:kern w:val="0"/>
          <w:rtl/>
        </w:rPr>
        <w:t xml:space="preserve">كانون الثاني/يناير 2011، أبلغت زوجة صاحب </w:t>
      </w:r>
      <w:r w:rsidRPr="008C1013">
        <w:rPr>
          <w:spacing w:val="-2"/>
          <w:kern w:val="0"/>
          <w:sz w:val="30"/>
          <w:rtl/>
        </w:rPr>
        <w:t xml:space="preserve">الشكوى </w:t>
      </w:r>
      <w:r w:rsidRPr="008C1013">
        <w:rPr>
          <w:rFonts w:hint="cs"/>
          <w:color w:val="000000"/>
          <w:spacing w:val="-2"/>
          <w:kern w:val="0"/>
          <w:sz w:val="30"/>
          <w:rtl/>
        </w:rPr>
        <w:t>ا</w:t>
      </w:r>
      <w:r w:rsidRPr="008C1013">
        <w:rPr>
          <w:color w:val="000000"/>
          <w:spacing w:val="-2"/>
          <w:kern w:val="0"/>
          <w:sz w:val="30"/>
          <w:rtl/>
        </w:rPr>
        <w:t>لمكتب الدولي الكازاخ</w:t>
      </w:r>
      <w:r w:rsidRPr="008C1013">
        <w:rPr>
          <w:rFonts w:hint="cs"/>
          <w:color w:val="000000"/>
          <w:spacing w:val="-2"/>
          <w:kern w:val="0"/>
          <w:sz w:val="30"/>
          <w:rtl/>
        </w:rPr>
        <w:t xml:space="preserve">ستاني </w:t>
      </w:r>
      <w:r w:rsidRPr="008C1013">
        <w:rPr>
          <w:color w:val="000000"/>
          <w:spacing w:val="-2"/>
          <w:kern w:val="0"/>
          <w:sz w:val="30"/>
          <w:rtl/>
        </w:rPr>
        <w:t>لحقوق الإنسان واحترام الشرعية القانونية</w:t>
      </w:r>
      <w:r w:rsidRPr="008C1013">
        <w:rPr>
          <w:rFonts w:hint="cs"/>
          <w:spacing w:val="-2"/>
          <w:kern w:val="0"/>
          <w:rtl/>
        </w:rPr>
        <w:t xml:space="preserve"> بأن عائلتها </w:t>
      </w:r>
      <w:r w:rsidRPr="008C1013">
        <w:rPr>
          <w:spacing w:val="-2"/>
          <w:kern w:val="0"/>
          <w:rtl/>
        </w:rPr>
        <w:t xml:space="preserve">تلقت مكالمة </w:t>
      </w:r>
      <w:r w:rsidRPr="008C1013">
        <w:rPr>
          <w:rFonts w:hint="cs"/>
          <w:spacing w:val="-2"/>
          <w:kern w:val="0"/>
          <w:rtl/>
        </w:rPr>
        <w:t xml:space="preserve">هاتفية </w:t>
      </w:r>
      <w:r w:rsidRPr="008C1013">
        <w:rPr>
          <w:spacing w:val="-2"/>
          <w:kern w:val="0"/>
          <w:rtl/>
        </w:rPr>
        <w:t xml:space="preserve">من </w:t>
      </w:r>
      <w:r w:rsidRPr="008C1013">
        <w:rPr>
          <w:rFonts w:hint="cs"/>
          <w:spacing w:val="-2"/>
          <w:kern w:val="0"/>
          <w:rtl/>
        </w:rPr>
        <w:t xml:space="preserve">وكيل للمدعي العام </w:t>
      </w:r>
      <w:r w:rsidRPr="008C1013">
        <w:rPr>
          <w:spacing w:val="-2"/>
          <w:kern w:val="0"/>
          <w:rtl/>
        </w:rPr>
        <w:t>ي</w:t>
      </w:r>
      <w:r w:rsidRPr="008C1013">
        <w:rPr>
          <w:rFonts w:hint="cs"/>
          <w:spacing w:val="-2"/>
          <w:kern w:val="0"/>
          <w:rtl/>
        </w:rPr>
        <w:t>ُ</w:t>
      </w:r>
      <w:r w:rsidRPr="008C1013">
        <w:rPr>
          <w:spacing w:val="-2"/>
          <w:kern w:val="0"/>
          <w:rtl/>
        </w:rPr>
        <w:t xml:space="preserve">دعى </w:t>
      </w:r>
      <w:r w:rsidRPr="008C1013">
        <w:rPr>
          <w:rFonts w:hint="cs"/>
          <w:spacing w:val="-2"/>
          <w:kern w:val="0"/>
          <w:rtl/>
        </w:rPr>
        <w:t xml:space="preserve">أ. ك. </w:t>
      </w:r>
      <w:r w:rsidRPr="008C1013">
        <w:rPr>
          <w:spacing w:val="-2"/>
          <w:kern w:val="0"/>
          <w:rtl/>
        </w:rPr>
        <w:t>يهدد</w:t>
      </w:r>
      <w:r w:rsidRPr="008C1013">
        <w:rPr>
          <w:rFonts w:hint="cs"/>
          <w:spacing w:val="-2"/>
          <w:kern w:val="0"/>
          <w:rtl/>
        </w:rPr>
        <w:t xml:space="preserve">ها </w:t>
      </w:r>
      <w:r w:rsidRPr="008C1013">
        <w:rPr>
          <w:spacing w:val="-2"/>
          <w:kern w:val="0"/>
          <w:rtl/>
        </w:rPr>
        <w:t xml:space="preserve">بفتح </w:t>
      </w:r>
      <w:r w:rsidRPr="008C1013">
        <w:rPr>
          <w:rFonts w:hint="cs"/>
          <w:spacing w:val="-2"/>
          <w:kern w:val="0"/>
          <w:rtl/>
        </w:rPr>
        <w:t xml:space="preserve">باب التحقيق من جديد في قضية القتل </w:t>
      </w:r>
      <w:r w:rsidRPr="008C1013">
        <w:rPr>
          <w:spacing w:val="-2"/>
          <w:kern w:val="0"/>
          <w:rtl/>
        </w:rPr>
        <w:t>التي كان</w:t>
      </w:r>
      <w:r w:rsidRPr="008C1013">
        <w:rPr>
          <w:rFonts w:hint="cs"/>
          <w:spacing w:val="-2"/>
          <w:kern w:val="0"/>
          <w:rtl/>
        </w:rPr>
        <w:t xml:space="preserve">ت </w:t>
      </w:r>
      <w:r w:rsidRPr="008C1013">
        <w:rPr>
          <w:spacing w:val="-2"/>
          <w:kern w:val="0"/>
          <w:rtl/>
        </w:rPr>
        <w:t xml:space="preserve">السبب </w:t>
      </w:r>
      <w:r w:rsidRPr="008C1013">
        <w:rPr>
          <w:rFonts w:hint="cs"/>
          <w:spacing w:val="-2"/>
          <w:kern w:val="0"/>
          <w:rtl/>
        </w:rPr>
        <w:t>الرئيسي لاحتجاز صاحب الشكوى وتعذيبه. و</w:t>
      </w:r>
      <w:r w:rsidRPr="008C1013">
        <w:rPr>
          <w:spacing w:val="-2"/>
          <w:kern w:val="0"/>
          <w:rtl/>
        </w:rPr>
        <w:t>أ</w:t>
      </w:r>
      <w:r w:rsidRPr="008C1013">
        <w:rPr>
          <w:rFonts w:hint="cs"/>
          <w:spacing w:val="-2"/>
          <w:kern w:val="0"/>
          <w:rtl/>
        </w:rPr>
        <w:t xml:space="preserve">قر وكيل المدعي العام باتصاله الهاتفي بالعائلة </w:t>
      </w:r>
      <w:r w:rsidRPr="008C1013">
        <w:rPr>
          <w:spacing w:val="-4"/>
          <w:kern w:val="0"/>
          <w:rtl/>
        </w:rPr>
        <w:t>في محاولة لل</w:t>
      </w:r>
      <w:r w:rsidRPr="008C1013">
        <w:rPr>
          <w:rFonts w:hint="cs"/>
          <w:spacing w:val="-4"/>
          <w:kern w:val="0"/>
          <w:rtl/>
        </w:rPr>
        <w:t xml:space="preserve">حصول على </w:t>
      </w:r>
      <w:r w:rsidRPr="008C1013">
        <w:rPr>
          <w:spacing w:val="-4"/>
          <w:kern w:val="0"/>
          <w:rtl/>
        </w:rPr>
        <w:t xml:space="preserve">أدلة. </w:t>
      </w:r>
      <w:r w:rsidRPr="008C1013">
        <w:rPr>
          <w:rFonts w:hint="cs"/>
          <w:spacing w:val="-4"/>
          <w:kern w:val="0"/>
          <w:rtl/>
        </w:rPr>
        <w:t>و</w:t>
      </w:r>
      <w:r w:rsidRPr="008C1013">
        <w:rPr>
          <w:spacing w:val="-4"/>
          <w:kern w:val="0"/>
          <w:rtl/>
        </w:rPr>
        <w:t xml:space="preserve">عندما طلب منه الامتناع عن ممارسة </w:t>
      </w:r>
      <w:r w:rsidRPr="008C1013">
        <w:rPr>
          <w:rFonts w:hint="cs"/>
          <w:spacing w:val="-4"/>
          <w:kern w:val="0"/>
          <w:rtl/>
        </w:rPr>
        <w:t>ال</w:t>
      </w:r>
      <w:r w:rsidRPr="008C1013">
        <w:rPr>
          <w:spacing w:val="-4"/>
          <w:kern w:val="0"/>
          <w:rtl/>
        </w:rPr>
        <w:t>ضغوط على العائلة، ادع</w:t>
      </w:r>
      <w:r w:rsidRPr="008C1013">
        <w:rPr>
          <w:rFonts w:hint="cs"/>
          <w:spacing w:val="-4"/>
          <w:kern w:val="0"/>
          <w:rtl/>
        </w:rPr>
        <w:t>ى</w:t>
      </w:r>
      <w:r w:rsidRPr="008C1013">
        <w:rPr>
          <w:spacing w:val="-4"/>
          <w:kern w:val="0"/>
          <w:rtl/>
        </w:rPr>
        <w:t xml:space="preserve"> أنه </w:t>
      </w:r>
      <w:r w:rsidRPr="008C1013">
        <w:rPr>
          <w:rFonts w:hint="cs"/>
          <w:spacing w:val="-4"/>
          <w:kern w:val="0"/>
          <w:rtl/>
        </w:rPr>
        <w:t>يقوم ب</w:t>
      </w:r>
      <w:r w:rsidRPr="008C1013">
        <w:rPr>
          <w:spacing w:val="-4"/>
          <w:kern w:val="0"/>
          <w:rtl/>
        </w:rPr>
        <w:t xml:space="preserve">تحقيق شامل. </w:t>
      </w:r>
      <w:r w:rsidRPr="008C1013">
        <w:rPr>
          <w:rFonts w:hint="cs"/>
          <w:spacing w:val="-4"/>
          <w:kern w:val="0"/>
          <w:rtl/>
        </w:rPr>
        <w:t xml:space="preserve">وقال صاحب الشكوى لممثل المكتب الدولي الكازاخستاني في </w:t>
      </w:r>
      <w:r w:rsidRPr="008C1013">
        <w:rPr>
          <w:spacing w:val="-4"/>
          <w:kern w:val="0"/>
          <w:rtl/>
        </w:rPr>
        <w:t xml:space="preserve">عدة مناسبات </w:t>
      </w:r>
      <w:r w:rsidRPr="008C1013">
        <w:rPr>
          <w:rFonts w:hint="cs"/>
          <w:spacing w:val="-4"/>
          <w:kern w:val="0"/>
          <w:rtl/>
        </w:rPr>
        <w:t>إ</w:t>
      </w:r>
      <w:r w:rsidRPr="008C1013">
        <w:rPr>
          <w:spacing w:val="-4"/>
          <w:kern w:val="0"/>
          <w:rtl/>
        </w:rPr>
        <w:t xml:space="preserve">ن عائلته، وبخاصة زوجته، </w:t>
      </w:r>
      <w:r w:rsidRPr="008C1013">
        <w:rPr>
          <w:rFonts w:hint="cs"/>
          <w:spacing w:val="-4"/>
          <w:kern w:val="0"/>
          <w:rtl/>
        </w:rPr>
        <w:t>"</w:t>
      </w:r>
      <w:r w:rsidRPr="008C1013">
        <w:rPr>
          <w:spacing w:val="-4"/>
          <w:kern w:val="0"/>
          <w:rtl/>
        </w:rPr>
        <w:t>متعب</w:t>
      </w:r>
      <w:r w:rsidRPr="008C1013">
        <w:rPr>
          <w:rFonts w:hint="cs"/>
          <w:spacing w:val="-4"/>
          <w:kern w:val="0"/>
          <w:rtl/>
        </w:rPr>
        <w:t xml:space="preserve">ين" جداً من </w:t>
      </w:r>
      <w:r w:rsidRPr="008C1013">
        <w:rPr>
          <w:spacing w:val="-4"/>
          <w:kern w:val="0"/>
          <w:rtl/>
        </w:rPr>
        <w:t xml:space="preserve">شكواه، </w:t>
      </w:r>
      <w:r w:rsidRPr="008C1013">
        <w:rPr>
          <w:rFonts w:hint="cs"/>
          <w:spacing w:val="-4"/>
          <w:kern w:val="0"/>
          <w:rtl/>
        </w:rPr>
        <w:t>وإ</w:t>
      </w:r>
      <w:r w:rsidRPr="008C1013">
        <w:rPr>
          <w:spacing w:val="-4"/>
          <w:kern w:val="0"/>
          <w:rtl/>
        </w:rPr>
        <w:t xml:space="preserve">نهم يريدون </w:t>
      </w:r>
      <w:r w:rsidRPr="008C1013">
        <w:rPr>
          <w:rFonts w:hint="cs"/>
          <w:spacing w:val="-4"/>
          <w:kern w:val="0"/>
          <w:rtl/>
        </w:rPr>
        <w:t>"نسيان كل شيء وال</w:t>
      </w:r>
      <w:r w:rsidRPr="008C1013">
        <w:rPr>
          <w:spacing w:val="-4"/>
          <w:kern w:val="0"/>
          <w:rtl/>
        </w:rPr>
        <w:t>عيش فقط</w:t>
      </w:r>
      <w:r w:rsidRPr="008C1013">
        <w:rPr>
          <w:rFonts w:hint="cs"/>
          <w:spacing w:val="-4"/>
          <w:kern w:val="0"/>
          <w:rtl/>
        </w:rPr>
        <w:t>"</w:t>
      </w:r>
      <w:r w:rsidRPr="008C1013">
        <w:rPr>
          <w:spacing w:val="-4"/>
          <w:kern w:val="0"/>
          <w:rtl/>
        </w:rPr>
        <w:t xml:space="preserve">. </w:t>
      </w:r>
      <w:r w:rsidRPr="008C1013">
        <w:rPr>
          <w:rFonts w:hint="cs"/>
          <w:spacing w:val="-4"/>
          <w:kern w:val="0"/>
          <w:rtl/>
        </w:rPr>
        <w:t xml:space="preserve">وأشار صاحب الشكوى أيضاً </w:t>
      </w:r>
      <w:r w:rsidRPr="008C1013">
        <w:rPr>
          <w:spacing w:val="-4"/>
          <w:kern w:val="0"/>
          <w:rtl/>
        </w:rPr>
        <w:t xml:space="preserve">في 18 </w:t>
      </w:r>
      <w:r w:rsidRPr="008C1013">
        <w:rPr>
          <w:rFonts w:hint="cs"/>
          <w:spacing w:val="-4"/>
          <w:kern w:val="0"/>
          <w:rtl/>
        </w:rPr>
        <w:t xml:space="preserve">شباط/ </w:t>
      </w:r>
      <w:r w:rsidRPr="008C1013">
        <w:rPr>
          <w:spacing w:val="-4"/>
          <w:kern w:val="0"/>
          <w:rtl/>
        </w:rPr>
        <w:t xml:space="preserve">فبراير 2011 </w:t>
      </w:r>
      <w:r w:rsidRPr="008C1013">
        <w:rPr>
          <w:rFonts w:hint="cs"/>
          <w:spacing w:val="-4"/>
          <w:kern w:val="0"/>
          <w:rtl/>
        </w:rPr>
        <w:t xml:space="preserve">إلى </w:t>
      </w:r>
      <w:r w:rsidRPr="008C1013">
        <w:rPr>
          <w:spacing w:val="-4"/>
          <w:kern w:val="0"/>
          <w:rtl/>
        </w:rPr>
        <w:t xml:space="preserve">أن عائلته </w:t>
      </w:r>
      <w:r w:rsidRPr="008C1013">
        <w:rPr>
          <w:rFonts w:hint="cs"/>
          <w:spacing w:val="-4"/>
          <w:kern w:val="0"/>
          <w:rtl/>
        </w:rPr>
        <w:t xml:space="preserve">تضغط </w:t>
      </w:r>
      <w:r w:rsidRPr="008C1013">
        <w:rPr>
          <w:spacing w:val="-4"/>
          <w:kern w:val="0"/>
          <w:rtl/>
        </w:rPr>
        <w:t>عليه لسحب شكواه. وكرر عدة مرات أن زوجته قلق</w:t>
      </w:r>
      <w:r w:rsidRPr="008C1013">
        <w:rPr>
          <w:rFonts w:hint="cs"/>
          <w:spacing w:val="-4"/>
          <w:kern w:val="0"/>
          <w:rtl/>
        </w:rPr>
        <w:t>ة</w:t>
      </w:r>
      <w:r w:rsidRPr="008C1013">
        <w:rPr>
          <w:spacing w:val="-4"/>
          <w:kern w:val="0"/>
          <w:rtl/>
        </w:rPr>
        <w:t xml:space="preserve"> جداً من </w:t>
      </w:r>
      <w:r w:rsidRPr="008C1013">
        <w:rPr>
          <w:rFonts w:hint="cs"/>
          <w:spacing w:val="-4"/>
          <w:kern w:val="0"/>
          <w:rtl/>
        </w:rPr>
        <w:t xml:space="preserve">احتمال </w:t>
      </w:r>
      <w:r w:rsidRPr="008C1013">
        <w:rPr>
          <w:spacing w:val="-4"/>
          <w:kern w:val="0"/>
          <w:rtl/>
        </w:rPr>
        <w:t xml:space="preserve">الانتقام </w:t>
      </w:r>
      <w:r w:rsidRPr="008C1013">
        <w:rPr>
          <w:rFonts w:hint="cs"/>
          <w:spacing w:val="-4"/>
          <w:kern w:val="0"/>
          <w:rtl/>
        </w:rPr>
        <w:t>من العائلة</w:t>
      </w:r>
      <w:r w:rsidRPr="008C1013">
        <w:rPr>
          <w:spacing w:val="-4"/>
          <w:kern w:val="0"/>
          <w:rtl/>
        </w:rPr>
        <w:t>.</w:t>
      </w:r>
    </w:p>
    <w:p w:rsidR="00FA6676" w:rsidRPr="00AA537D" w:rsidRDefault="00FA6676" w:rsidP="008C1013">
      <w:pPr>
        <w:pStyle w:val="SingleTxtGA"/>
        <w:spacing w:line="370" w:lineRule="exact"/>
        <w:jc w:val="lowKashida"/>
        <w:rPr>
          <w:rFonts w:hint="cs"/>
          <w:spacing w:val="0"/>
          <w:kern w:val="0"/>
          <w:rtl/>
        </w:rPr>
      </w:pPr>
      <w:r w:rsidRPr="00AA537D">
        <w:rPr>
          <w:rFonts w:hint="cs"/>
          <w:spacing w:val="0"/>
          <w:kern w:val="0"/>
          <w:rtl/>
          <w:lang/>
        </w:rPr>
        <w:t>5-5</w:t>
      </w:r>
      <w:r w:rsidRPr="00AA537D">
        <w:rPr>
          <w:rFonts w:hint="cs"/>
          <w:spacing w:val="0"/>
          <w:kern w:val="0"/>
          <w:rtl/>
          <w:lang/>
        </w:rPr>
        <w:tab/>
      </w:r>
      <w:r w:rsidRPr="00AA537D">
        <w:rPr>
          <w:rFonts w:hint="cs"/>
          <w:spacing w:val="0"/>
          <w:kern w:val="0"/>
          <w:rtl/>
        </w:rPr>
        <w:t>وفي</w:t>
      </w:r>
      <w:r w:rsidRPr="00AA537D">
        <w:rPr>
          <w:spacing w:val="0"/>
          <w:kern w:val="0"/>
          <w:rtl/>
        </w:rPr>
        <w:t xml:space="preserve"> </w:t>
      </w:r>
      <w:r w:rsidRPr="00AA537D">
        <w:rPr>
          <w:rFonts w:hint="cs"/>
          <w:spacing w:val="0"/>
          <w:kern w:val="0"/>
          <w:rtl/>
        </w:rPr>
        <w:t>21 شباط/</w:t>
      </w:r>
      <w:r w:rsidRPr="00AA537D">
        <w:rPr>
          <w:spacing w:val="0"/>
          <w:kern w:val="0"/>
          <w:rtl/>
        </w:rPr>
        <w:t xml:space="preserve">فبراير 2011، </w:t>
      </w:r>
      <w:r w:rsidRPr="00AA537D">
        <w:rPr>
          <w:rFonts w:hint="cs"/>
          <w:spacing w:val="0"/>
          <w:kern w:val="0"/>
          <w:rtl/>
        </w:rPr>
        <w:t xml:space="preserve">أبلغ </w:t>
      </w:r>
      <w:r w:rsidRPr="00AA537D">
        <w:rPr>
          <w:spacing w:val="0"/>
          <w:kern w:val="0"/>
          <w:rtl/>
        </w:rPr>
        <w:t>المدعي العام</w:t>
      </w:r>
      <w:r w:rsidRPr="00AA537D">
        <w:rPr>
          <w:rFonts w:hint="cs"/>
          <w:spacing w:val="0"/>
          <w:kern w:val="0"/>
          <w:rtl/>
        </w:rPr>
        <w:t xml:space="preserve"> </w:t>
      </w:r>
      <w:r w:rsidRPr="00AA537D">
        <w:rPr>
          <w:rFonts w:hint="cs"/>
          <w:color w:val="000000"/>
          <w:spacing w:val="0"/>
          <w:kern w:val="0"/>
          <w:sz w:val="30"/>
          <w:rtl/>
        </w:rPr>
        <w:t>ا</w:t>
      </w:r>
      <w:r w:rsidRPr="00AA537D">
        <w:rPr>
          <w:color w:val="000000"/>
          <w:spacing w:val="0"/>
          <w:kern w:val="0"/>
          <w:sz w:val="30"/>
          <w:rtl/>
        </w:rPr>
        <w:t>لمكتب الدولي الكازاخ</w:t>
      </w:r>
      <w:r w:rsidRPr="00AA537D">
        <w:rPr>
          <w:rFonts w:hint="cs"/>
          <w:color w:val="000000"/>
          <w:spacing w:val="0"/>
          <w:kern w:val="0"/>
          <w:sz w:val="30"/>
          <w:rtl/>
        </w:rPr>
        <w:t xml:space="preserve">ستاني </w:t>
      </w:r>
      <w:r w:rsidRPr="00AA537D">
        <w:rPr>
          <w:color w:val="000000"/>
          <w:spacing w:val="0"/>
          <w:kern w:val="0"/>
          <w:sz w:val="30"/>
          <w:rtl/>
        </w:rPr>
        <w:t>لحقوق الإنسان واحترام الشرعية القانونية</w:t>
      </w:r>
      <w:r w:rsidRPr="00AA537D">
        <w:rPr>
          <w:rFonts w:hint="cs"/>
          <w:color w:val="000000"/>
          <w:spacing w:val="0"/>
          <w:kern w:val="0"/>
          <w:sz w:val="30"/>
          <w:rtl/>
        </w:rPr>
        <w:t xml:space="preserve"> </w:t>
      </w:r>
      <w:r w:rsidRPr="00AA537D">
        <w:rPr>
          <w:rFonts w:hint="cs"/>
          <w:spacing w:val="0"/>
          <w:kern w:val="0"/>
          <w:rtl/>
        </w:rPr>
        <w:t>بحفظ التحقيق المستَأنف</w:t>
      </w:r>
      <w:r w:rsidRPr="00AA537D">
        <w:rPr>
          <w:spacing w:val="0"/>
          <w:kern w:val="0"/>
          <w:rtl/>
        </w:rPr>
        <w:t xml:space="preserve"> </w:t>
      </w:r>
      <w:r w:rsidRPr="00AA537D">
        <w:rPr>
          <w:rFonts w:hint="cs"/>
          <w:spacing w:val="0"/>
          <w:kern w:val="0"/>
          <w:rtl/>
        </w:rPr>
        <w:t>عملاً</w:t>
      </w:r>
      <w:r w:rsidRPr="00AA537D">
        <w:rPr>
          <w:spacing w:val="0"/>
          <w:kern w:val="0"/>
          <w:rtl/>
        </w:rPr>
        <w:t xml:space="preserve"> </w:t>
      </w:r>
      <w:r w:rsidRPr="00AA537D">
        <w:rPr>
          <w:rFonts w:hint="cs"/>
          <w:spacing w:val="0"/>
          <w:kern w:val="0"/>
          <w:rtl/>
        </w:rPr>
        <w:t>بالم</w:t>
      </w:r>
      <w:r w:rsidRPr="00AA537D">
        <w:rPr>
          <w:spacing w:val="0"/>
          <w:kern w:val="0"/>
          <w:rtl/>
        </w:rPr>
        <w:t>ادة 37 من قانون الإجراءات الجنائية (</w:t>
      </w:r>
      <w:r w:rsidRPr="00AA537D">
        <w:rPr>
          <w:rFonts w:hint="cs"/>
          <w:spacing w:val="0"/>
          <w:kern w:val="0"/>
          <w:rtl/>
        </w:rPr>
        <w:t xml:space="preserve">الظروف النافية للتحقيق </w:t>
      </w:r>
      <w:r w:rsidRPr="00AA537D">
        <w:rPr>
          <w:spacing w:val="0"/>
          <w:kern w:val="0"/>
          <w:rtl/>
        </w:rPr>
        <w:t>الجنائي) و</w:t>
      </w:r>
      <w:r w:rsidRPr="00AA537D">
        <w:rPr>
          <w:rFonts w:hint="cs"/>
          <w:spacing w:val="0"/>
          <w:kern w:val="0"/>
          <w:rtl/>
        </w:rPr>
        <w:t>ب</w:t>
      </w:r>
      <w:r w:rsidRPr="00AA537D">
        <w:rPr>
          <w:spacing w:val="0"/>
          <w:kern w:val="0"/>
          <w:rtl/>
        </w:rPr>
        <w:t>أن</w:t>
      </w:r>
      <w:r w:rsidRPr="00AA537D">
        <w:rPr>
          <w:rFonts w:hint="cs"/>
          <w:spacing w:val="0"/>
          <w:kern w:val="0"/>
          <w:rtl/>
        </w:rPr>
        <w:t xml:space="preserve"> صاحب الشكوى رفض </w:t>
      </w:r>
      <w:r w:rsidRPr="00AA537D">
        <w:rPr>
          <w:spacing w:val="0"/>
          <w:kern w:val="0"/>
          <w:rtl/>
        </w:rPr>
        <w:t xml:space="preserve">في 5 </w:t>
      </w:r>
      <w:r w:rsidRPr="00AA537D">
        <w:rPr>
          <w:rFonts w:hint="cs"/>
          <w:spacing w:val="0"/>
          <w:kern w:val="0"/>
          <w:rtl/>
        </w:rPr>
        <w:t>شباط/</w:t>
      </w:r>
      <w:r w:rsidRPr="00AA537D">
        <w:rPr>
          <w:spacing w:val="0"/>
          <w:kern w:val="0"/>
          <w:rtl/>
        </w:rPr>
        <w:t>فبراير 2011</w:t>
      </w:r>
      <w:r w:rsidRPr="00AA537D">
        <w:rPr>
          <w:rFonts w:hint="cs"/>
          <w:spacing w:val="0"/>
          <w:kern w:val="0"/>
          <w:rtl/>
        </w:rPr>
        <w:t xml:space="preserve"> خ</w:t>
      </w:r>
      <w:r w:rsidRPr="00AA537D">
        <w:rPr>
          <w:spacing w:val="0"/>
          <w:kern w:val="0"/>
          <w:rtl/>
        </w:rPr>
        <w:t>دمات محامي</w:t>
      </w:r>
      <w:r w:rsidRPr="00AA537D">
        <w:rPr>
          <w:rFonts w:hint="cs"/>
          <w:spacing w:val="0"/>
          <w:kern w:val="0"/>
          <w:rtl/>
        </w:rPr>
        <w:t>ه وقال إنه ليس لديه شكاوى ضد الشرطة</w:t>
      </w:r>
      <w:r w:rsidRPr="00AA537D">
        <w:rPr>
          <w:spacing w:val="0"/>
          <w:kern w:val="0"/>
          <w:rtl/>
        </w:rPr>
        <w:t>.</w:t>
      </w:r>
    </w:p>
    <w:p w:rsidR="00FA6676" w:rsidRPr="008C1013" w:rsidRDefault="00FA6676" w:rsidP="00AA537D">
      <w:pPr>
        <w:pStyle w:val="SingleTxtGA"/>
        <w:jc w:val="lowKashida"/>
        <w:rPr>
          <w:rFonts w:hint="cs"/>
          <w:spacing w:val="-2"/>
          <w:kern w:val="0"/>
          <w:rtl/>
          <w:lang/>
        </w:rPr>
      </w:pPr>
      <w:r w:rsidRPr="008C1013">
        <w:rPr>
          <w:rFonts w:hint="cs"/>
          <w:spacing w:val="-2"/>
          <w:kern w:val="0"/>
          <w:rtl/>
          <w:lang/>
        </w:rPr>
        <w:t>5-6</w:t>
      </w:r>
      <w:r w:rsidRPr="008C1013">
        <w:rPr>
          <w:rFonts w:hint="cs"/>
          <w:spacing w:val="-2"/>
          <w:kern w:val="0"/>
          <w:rtl/>
          <w:lang/>
        </w:rPr>
        <w:tab/>
      </w:r>
      <w:r w:rsidRPr="008C1013">
        <w:rPr>
          <w:rFonts w:hint="cs"/>
          <w:spacing w:val="-2"/>
          <w:kern w:val="0"/>
          <w:rtl/>
        </w:rPr>
        <w:t>ويدعي ممثلا صاحب الشكوى أن التحقيق المستَأنف</w:t>
      </w:r>
      <w:r w:rsidRPr="008C1013">
        <w:rPr>
          <w:spacing w:val="-2"/>
          <w:kern w:val="0"/>
          <w:rtl/>
        </w:rPr>
        <w:t xml:space="preserve"> يفتقر إلى الاستقلال</w:t>
      </w:r>
      <w:r w:rsidRPr="008C1013">
        <w:rPr>
          <w:rFonts w:hint="cs"/>
          <w:spacing w:val="-2"/>
          <w:kern w:val="0"/>
          <w:rtl/>
        </w:rPr>
        <w:t xml:space="preserve">، </w:t>
      </w:r>
      <w:r w:rsidRPr="008C1013">
        <w:rPr>
          <w:spacing w:val="-2"/>
          <w:kern w:val="0"/>
          <w:rtl/>
        </w:rPr>
        <w:t>و</w:t>
      </w:r>
      <w:r w:rsidRPr="008C1013">
        <w:rPr>
          <w:rFonts w:hint="cs"/>
          <w:spacing w:val="-2"/>
          <w:kern w:val="0"/>
          <w:rtl/>
        </w:rPr>
        <w:t>أنه تأخر كثيراً وليس فعالاً ول</w:t>
      </w:r>
      <w:r w:rsidRPr="008C1013">
        <w:rPr>
          <w:spacing w:val="-2"/>
          <w:kern w:val="0"/>
          <w:rtl/>
        </w:rPr>
        <w:t>م يسفر عن محاكمات جنائية، و</w:t>
      </w:r>
      <w:r w:rsidRPr="008C1013">
        <w:rPr>
          <w:rFonts w:hint="cs"/>
          <w:spacing w:val="-2"/>
          <w:kern w:val="0"/>
          <w:rtl/>
        </w:rPr>
        <w:t xml:space="preserve">أشارا إلى القرارات السابقة للجنة التي تفيد بأنه </w:t>
      </w:r>
      <w:r w:rsidRPr="008C1013">
        <w:rPr>
          <w:spacing w:val="-2"/>
          <w:kern w:val="0"/>
          <w:rtl/>
        </w:rPr>
        <w:t xml:space="preserve">يجب أن </w:t>
      </w:r>
      <w:r w:rsidRPr="008C1013">
        <w:rPr>
          <w:rFonts w:hint="cs"/>
          <w:spacing w:val="-2"/>
          <w:kern w:val="0"/>
          <w:rtl/>
        </w:rPr>
        <w:t>ي</w:t>
      </w:r>
      <w:r w:rsidRPr="008C1013">
        <w:rPr>
          <w:spacing w:val="-2"/>
          <w:kern w:val="0"/>
          <w:rtl/>
        </w:rPr>
        <w:t xml:space="preserve">بدأ </w:t>
      </w:r>
      <w:r w:rsidRPr="008C1013">
        <w:rPr>
          <w:rFonts w:hint="cs"/>
          <w:spacing w:val="-2"/>
          <w:kern w:val="0"/>
          <w:rtl/>
        </w:rPr>
        <w:t xml:space="preserve">التحقيق </w:t>
      </w:r>
      <w:r w:rsidRPr="008C1013">
        <w:rPr>
          <w:spacing w:val="-2"/>
          <w:kern w:val="0"/>
          <w:rtl/>
        </w:rPr>
        <w:t>فور</w:t>
      </w:r>
      <w:r w:rsidRPr="008C1013">
        <w:rPr>
          <w:rFonts w:hint="cs"/>
          <w:spacing w:val="-2"/>
          <w:kern w:val="0"/>
          <w:rtl/>
        </w:rPr>
        <w:t xml:space="preserve">اً </w:t>
      </w:r>
      <w:r w:rsidRPr="008C1013">
        <w:rPr>
          <w:spacing w:val="-2"/>
          <w:kern w:val="0"/>
          <w:rtl/>
        </w:rPr>
        <w:t>وأ</w:t>
      </w:r>
      <w:r w:rsidRPr="008C1013">
        <w:rPr>
          <w:rFonts w:hint="cs"/>
          <w:spacing w:val="-2"/>
          <w:kern w:val="0"/>
          <w:rtl/>
        </w:rPr>
        <w:t xml:space="preserve">ن يتم </w:t>
      </w:r>
      <w:r w:rsidRPr="008C1013">
        <w:rPr>
          <w:spacing w:val="-2"/>
          <w:kern w:val="0"/>
          <w:rtl/>
        </w:rPr>
        <w:t>على وجه السرعة</w:t>
      </w:r>
      <w:r w:rsidRPr="008C1013">
        <w:rPr>
          <w:spacing w:val="-2"/>
          <w:kern w:val="0"/>
          <w:vertAlign w:val="superscript"/>
          <w:rtl/>
        </w:rPr>
        <w:t>(</w:t>
      </w:r>
      <w:r w:rsidRPr="008C1013">
        <w:rPr>
          <w:rStyle w:val="FootnoteReference"/>
          <w:spacing w:val="-2"/>
          <w:rtl/>
        </w:rPr>
        <w:footnoteReference w:id="385"/>
      </w:r>
      <w:r w:rsidRPr="008C1013">
        <w:rPr>
          <w:spacing w:val="-2"/>
          <w:kern w:val="0"/>
          <w:vertAlign w:val="superscript"/>
          <w:rtl/>
        </w:rPr>
        <w:t>)(</w:t>
      </w:r>
      <w:r w:rsidRPr="008C1013">
        <w:rPr>
          <w:rStyle w:val="FootnoteReference"/>
          <w:spacing w:val="-2"/>
          <w:rtl/>
        </w:rPr>
        <w:footnoteReference w:id="386"/>
      </w:r>
      <w:r w:rsidRPr="008C1013">
        <w:rPr>
          <w:spacing w:val="-2"/>
          <w:kern w:val="0"/>
          <w:vertAlign w:val="superscript"/>
          <w:rtl/>
        </w:rPr>
        <w:t>)</w:t>
      </w:r>
      <w:r w:rsidRPr="008C1013">
        <w:rPr>
          <w:spacing w:val="-2"/>
          <w:kern w:val="0"/>
          <w:rtl/>
        </w:rPr>
        <w:t xml:space="preserve">. </w:t>
      </w:r>
      <w:r w:rsidRPr="008C1013">
        <w:rPr>
          <w:rFonts w:hint="cs"/>
          <w:spacing w:val="-2"/>
          <w:kern w:val="0"/>
          <w:rtl/>
        </w:rPr>
        <w:t>و</w:t>
      </w:r>
      <w:r w:rsidRPr="008C1013">
        <w:rPr>
          <w:spacing w:val="-2"/>
          <w:kern w:val="0"/>
          <w:rtl/>
        </w:rPr>
        <w:t xml:space="preserve">في </w:t>
      </w:r>
      <w:r w:rsidRPr="008C1013">
        <w:rPr>
          <w:rFonts w:hint="cs"/>
          <w:spacing w:val="-2"/>
          <w:kern w:val="0"/>
          <w:rtl/>
        </w:rPr>
        <w:t>الحالة قيد البحث</w:t>
      </w:r>
      <w:r w:rsidRPr="008C1013">
        <w:rPr>
          <w:spacing w:val="-2"/>
          <w:kern w:val="0"/>
          <w:rtl/>
        </w:rPr>
        <w:t xml:space="preserve">، </w:t>
      </w:r>
      <w:r w:rsidRPr="008C1013">
        <w:rPr>
          <w:rFonts w:hint="cs"/>
          <w:spacing w:val="-2"/>
          <w:kern w:val="0"/>
          <w:rtl/>
        </w:rPr>
        <w:t>حفظ</w:t>
      </w:r>
      <w:r w:rsidRPr="008C1013">
        <w:rPr>
          <w:spacing w:val="-2"/>
          <w:kern w:val="0"/>
          <w:rtl/>
        </w:rPr>
        <w:t xml:space="preserve"> التحقيق المحلي </w:t>
      </w:r>
      <w:r w:rsidRPr="008C1013">
        <w:rPr>
          <w:rFonts w:hint="cs"/>
          <w:spacing w:val="-2"/>
          <w:kern w:val="0"/>
          <w:rtl/>
        </w:rPr>
        <w:t xml:space="preserve">مؤقتاً </w:t>
      </w:r>
      <w:r w:rsidRPr="008C1013">
        <w:rPr>
          <w:spacing w:val="-2"/>
          <w:kern w:val="0"/>
          <w:rtl/>
        </w:rPr>
        <w:t xml:space="preserve">في 5 </w:t>
      </w:r>
      <w:r w:rsidRPr="008C1013">
        <w:rPr>
          <w:rFonts w:hint="cs"/>
          <w:spacing w:val="-2"/>
          <w:kern w:val="0"/>
          <w:rtl/>
        </w:rPr>
        <w:t>أيلول/</w:t>
      </w:r>
      <w:r w:rsidRPr="008C1013">
        <w:rPr>
          <w:spacing w:val="-2"/>
          <w:kern w:val="0"/>
          <w:rtl/>
        </w:rPr>
        <w:t xml:space="preserve">سبتمبر 2007. </w:t>
      </w:r>
      <w:r w:rsidRPr="008C1013">
        <w:rPr>
          <w:rFonts w:hint="cs"/>
          <w:spacing w:val="-2"/>
          <w:kern w:val="0"/>
          <w:rtl/>
        </w:rPr>
        <w:t>و</w:t>
      </w:r>
      <w:r w:rsidRPr="008C1013">
        <w:rPr>
          <w:spacing w:val="-2"/>
          <w:kern w:val="0"/>
          <w:rtl/>
        </w:rPr>
        <w:t xml:space="preserve">عندما </w:t>
      </w:r>
      <w:r w:rsidRPr="008C1013">
        <w:rPr>
          <w:rFonts w:hint="cs"/>
          <w:spacing w:val="-2"/>
          <w:kern w:val="0"/>
          <w:rtl/>
        </w:rPr>
        <w:t xml:space="preserve">فتح باب التحقيق من جديد، </w:t>
      </w:r>
      <w:r w:rsidRPr="008C1013">
        <w:rPr>
          <w:spacing w:val="-2"/>
          <w:kern w:val="0"/>
          <w:rtl/>
        </w:rPr>
        <w:t>مرت أربع سنوات تقريبا</w:t>
      </w:r>
      <w:r w:rsidRPr="008C1013">
        <w:rPr>
          <w:rFonts w:hint="cs"/>
          <w:spacing w:val="-2"/>
          <w:kern w:val="0"/>
          <w:rtl/>
        </w:rPr>
        <w:t>ً</w:t>
      </w:r>
      <w:r w:rsidRPr="008C1013">
        <w:rPr>
          <w:spacing w:val="-2"/>
          <w:kern w:val="0"/>
          <w:rtl/>
        </w:rPr>
        <w:t xml:space="preserve">. </w:t>
      </w:r>
      <w:r w:rsidRPr="008C1013">
        <w:rPr>
          <w:rFonts w:hint="cs"/>
          <w:spacing w:val="-2"/>
          <w:kern w:val="0"/>
          <w:rtl/>
        </w:rPr>
        <w:t>ولا يشكل التحقيق المستَأنف</w:t>
      </w:r>
      <w:r w:rsidRPr="008C1013">
        <w:rPr>
          <w:spacing w:val="-2"/>
          <w:kern w:val="0"/>
          <w:rtl/>
        </w:rPr>
        <w:t xml:space="preserve"> بعد انقضاء ثلاث سنوات تحقيق</w:t>
      </w:r>
      <w:r w:rsidRPr="008C1013">
        <w:rPr>
          <w:rFonts w:hint="cs"/>
          <w:spacing w:val="-2"/>
          <w:kern w:val="0"/>
          <w:rtl/>
        </w:rPr>
        <w:t>اً</w:t>
      </w:r>
      <w:r w:rsidRPr="008C1013">
        <w:rPr>
          <w:spacing w:val="-2"/>
          <w:kern w:val="0"/>
          <w:rtl/>
        </w:rPr>
        <w:t xml:space="preserve"> فعا</w:t>
      </w:r>
      <w:r w:rsidRPr="008C1013">
        <w:rPr>
          <w:rFonts w:hint="cs"/>
          <w:spacing w:val="-2"/>
          <w:kern w:val="0"/>
          <w:rtl/>
        </w:rPr>
        <w:t>لاً</w:t>
      </w:r>
      <w:r w:rsidRPr="008C1013">
        <w:rPr>
          <w:spacing w:val="-2"/>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lang/>
        </w:rPr>
        <w:t>5-7</w:t>
      </w:r>
      <w:r w:rsidRPr="00AA537D">
        <w:rPr>
          <w:rFonts w:hint="cs"/>
          <w:spacing w:val="0"/>
          <w:kern w:val="0"/>
          <w:rtl/>
          <w:lang/>
        </w:rPr>
        <w:tab/>
        <w:t>و</w:t>
      </w:r>
      <w:r w:rsidRPr="00AA537D">
        <w:rPr>
          <w:spacing w:val="0"/>
          <w:kern w:val="0"/>
          <w:rtl/>
        </w:rPr>
        <w:t>يبدو أن الت</w:t>
      </w:r>
      <w:r w:rsidRPr="00AA537D">
        <w:rPr>
          <w:rFonts w:hint="cs"/>
          <w:spacing w:val="0"/>
          <w:kern w:val="0"/>
          <w:rtl/>
        </w:rPr>
        <w:t>حقيق المستَأنف</w:t>
      </w:r>
      <w:r w:rsidRPr="00AA537D">
        <w:rPr>
          <w:spacing w:val="0"/>
          <w:kern w:val="0"/>
          <w:rtl/>
        </w:rPr>
        <w:t xml:space="preserve"> </w:t>
      </w:r>
      <w:r w:rsidRPr="00AA537D">
        <w:rPr>
          <w:rFonts w:hint="cs"/>
          <w:spacing w:val="0"/>
          <w:kern w:val="0"/>
          <w:rtl/>
        </w:rPr>
        <w:t xml:space="preserve">كان يركز أساساً على </w:t>
      </w:r>
      <w:r w:rsidRPr="00AA537D">
        <w:rPr>
          <w:spacing w:val="0"/>
          <w:kern w:val="0"/>
          <w:rtl/>
        </w:rPr>
        <w:t>استجواب صاحب الشكوى وعائلته</w:t>
      </w:r>
      <w:r w:rsidRPr="00AA537D">
        <w:rPr>
          <w:rFonts w:hint="cs"/>
          <w:spacing w:val="0"/>
          <w:kern w:val="0"/>
          <w:rtl/>
        </w:rPr>
        <w:t xml:space="preserve"> مراراً وتكراراً</w:t>
      </w:r>
      <w:r w:rsidRPr="00AA537D">
        <w:rPr>
          <w:spacing w:val="0"/>
          <w:kern w:val="0"/>
          <w:rtl/>
        </w:rPr>
        <w:t xml:space="preserve">، </w:t>
      </w:r>
      <w:r w:rsidRPr="00AA537D">
        <w:rPr>
          <w:rFonts w:hint="cs"/>
          <w:spacing w:val="0"/>
          <w:kern w:val="0"/>
          <w:rtl/>
        </w:rPr>
        <w:t xml:space="preserve">بما في ذلك على إجراء </w:t>
      </w:r>
      <w:r w:rsidRPr="00AA537D">
        <w:rPr>
          <w:spacing w:val="0"/>
          <w:kern w:val="0"/>
          <w:rtl/>
        </w:rPr>
        <w:t xml:space="preserve">تقييم </w:t>
      </w:r>
      <w:r w:rsidRPr="00AA537D">
        <w:rPr>
          <w:rFonts w:hint="cs"/>
          <w:spacing w:val="0"/>
          <w:kern w:val="0"/>
          <w:rtl/>
        </w:rPr>
        <w:t xml:space="preserve">إلزامي لحالته النفسية ضد </w:t>
      </w:r>
      <w:r w:rsidRPr="00AA537D">
        <w:rPr>
          <w:spacing w:val="0"/>
          <w:kern w:val="0"/>
          <w:rtl/>
        </w:rPr>
        <w:t>إرادته و</w:t>
      </w:r>
      <w:r w:rsidRPr="00AA537D">
        <w:rPr>
          <w:rFonts w:hint="cs"/>
          <w:spacing w:val="0"/>
          <w:kern w:val="0"/>
          <w:rtl/>
        </w:rPr>
        <w:t>إرغامه</w:t>
      </w:r>
      <w:r w:rsidRPr="00AA537D">
        <w:rPr>
          <w:spacing w:val="0"/>
          <w:kern w:val="0"/>
          <w:rtl/>
        </w:rPr>
        <w:t xml:space="preserve"> على الدخول في مواجهات مع </w:t>
      </w:r>
      <w:r w:rsidRPr="00AA537D">
        <w:rPr>
          <w:rFonts w:hint="cs"/>
          <w:spacing w:val="0"/>
          <w:kern w:val="0"/>
          <w:rtl/>
        </w:rPr>
        <w:t>أفراد</w:t>
      </w:r>
      <w:r w:rsidRPr="00AA537D">
        <w:rPr>
          <w:spacing w:val="0"/>
          <w:kern w:val="0"/>
          <w:rtl/>
        </w:rPr>
        <w:t xml:space="preserve"> الشرطة. </w:t>
      </w:r>
      <w:r w:rsidRPr="00AA537D">
        <w:rPr>
          <w:rFonts w:hint="cs"/>
          <w:spacing w:val="0"/>
          <w:kern w:val="0"/>
          <w:rtl/>
        </w:rPr>
        <w:t xml:space="preserve">ولم توجه أي اتهامات إلى أفراد الشرطة المسؤولين </w:t>
      </w:r>
      <w:r w:rsidRPr="00AA537D">
        <w:rPr>
          <w:spacing w:val="0"/>
          <w:kern w:val="0"/>
          <w:rtl/>
        </w:rPr>
        <w:t>عن التعذيب، و</w:t>
      </w:r>
      <w:r w:rsidRPr="00AA537D">
        <w:rPr>
          <w:rFonts w:hint="cs"/>
          <w:spacing w:val="0"/>
          <w:kern w:val="0"/>
          <w:rtl/>
        </w:rPr>
        <w:t xml:space="preserve">حفظ التحقيق </w:t>
      </w:r>
      <w:r w:rsidRPr="00AA537D">
        <w:rPr>
          <w:spacing w:val="0"/>
          <w:kern w:val="0"/>
          <w:rtl/>
        </w:rPr>
        <w:t>مرة أخرى.</w:t>
      </w:r>
    </w:p>
    <w:p w:rsidR="00FA6676" w:rsidRPr="00AA537D" w:rsidRDefault="00FA6676" w:rsidP="00AA537D">
      <w:pPr>
        <w:pStyle w:val="SingleTxtGA"/>
        <w:jc w:val="lowKashida"/>
        <w:rPr>
          <w:rFonts w:hint="cs"/>
          <w:spacing w:val="0"/>
          <w:kern w:val="0"/>
          <w:rtl/>
          <w:lang/>
        </w:rPr>
      </w:pPr>
      <w:r w:rsidRPr="00AA537D">
        <w:rPr>
          <w:rFonts w:hint="cs"/>
          <w:spacing w:val="0"/>
          <w:kern w:val="0"/>
          <w:rtl/>
          <w:lang/>
        </w:rPr>
        <w:t>5-8</w:t>
      </w:r>
      <w:r w:rsidRPr="00AA537D">
        <w:rPr>
          <w:spacing w:val="0"/>
          <w:kern w:val="0"/>
          <w:lang/>
        </w:rPr>
        <w:tab/>
      </w:r>
      <w:r w:rsidRPr="00AA537D">
        <w:rPr>
          <w:rFonts w:hint="cs"/>
          <w:spacing w:val="0"/>
          <w:kern w:val="0"/>
          <w:rtl/>
          <w:lang/>
        </w:rPr>
        <w:t xml:space="preserve">ورحب ممثلا </w:t>
      </w:r>
      <w:r w:rsidRPr="00AA537D">
        <w:rPr>
          <w:spacing w:val="0"/>
          <w:kern w:val="0"/>
          <w:rtl/>
          <w:lang/>
        </w:rPr>
        <w:t>صاحب الشكوى بالتدابير العامة</w:t>
      </w:r>
      <w:r w:rsidRPr="00AA537D">
        <w:rPr>
          <w:rFonts w:hint="cs"/>
          <w:spacing w:val="0"/>
          <w:kern w:val="0"/>
          <w:rtl/>
          <w:lang/>
        </w:rPr>
        <w:t xml:space="preserve"> التي اتخذتها الدولة الطرف </w:t>
      </w:r>
      <w:r w:rsidRPr="00AA537D">
        <w:rPr>
          <w:spacing w:val="0"/>
          <w:kern w:val="0"/>
          <w:rtl/>
          <w:lang/>
        </w:rPr>
        <w:t>لمكافحة التعذيب ولكن</w:t>
      </w:r>
      <w:r w:rsidRPr="00AA537D">
        <w:rPr>
          <w:rFonts w:hint="cs"/>
          <w:spacing w:val="0"/>
          <w:kern w:val="0"/>
          <w:rtl/>
          <w:lang/>
        </w:rPr>
        <w:t xml:space="preserve">هما لاحظا </w:t>
      </w:r>
      <w:r w:rsidRPr="00AA537D">
        <w:rPr>
          <w:spacing w:val="0"/>
          <w:kern w:val="0"/>
          <w:rtl/>
          <w:lang/>
        </w:rPr>
        <w:t>أن الدولة الطرف لم توضح كيف</w:t>
      </w:r>
      <w:r w:rsidRPr="00AA537D">
        <w:rPr>
          <w:rFonts w:hint="cs"/>
          <w:spacing w:val="0"/>
          <w:kern w:val="0"/>
          <w:rtl/>
          <w:lang/>
        </w:rPr>
        <w:t>ية اتصال أي تدبير من ه</w:t>
      </w:r>
      <w:r w:rsidRPr="00AA537D">
        <w:rPr>
          <w:spacing w:val="0"/>
          <w:kern w:val="0"/>
          <w:rtl/>
          <w:lang/>
        </w:rPr>
        <w:t xml:space="preserve">ذه التدابير الجديدة بقضية صاحب الشكوى. </w:t>
      </w:r>
      <w:r w:rsidRPr="00AA537D">
        <w:rPr>
          <w:rFonts w:hint="cs"/>
          <w:spacing w:val="0"/>
          <w:kern w:val="0"/>
          <w:rtl/>
          <w:lang/>
        </w:rPr>
        <w:t xml:space="preserve">وقالا إن </w:t>
      </w:r>
      <w:r w:rsidRPr="00AA537D">
        <w:rPr>
          <w:spacing w:val="0"/>
          <w:kern w:val="0"/>
          <w:rtl/>
          <w:lang/>
        </w:rPr>
        <w:t xml:space="preserve">هذه التدابير ليست كافية لمعالجة شكواه في غياب </w:t>
      </w:r>
      <w:r w:rsidRPr="00AA537D">
        <w:rPr>
          <w:rFonts w:hint="cs"/>
          <w:spacing w:val="0"/>
          <w:kern w:val="0"/>
          <w:rtl/>
          <w:lang/>
        </w:rPr>
        <w:t>الجبر</w:t>
      </w:r>
      <w:r w:rsidRPr="00AA537D">
        <w:rPr>
          <w:spacing w:val="0"/>
          <w:kern w:val="0"/>
          <w:rtl/>
          <w:lang/>
        </w:rPr>
        <w:t xml:space="preserve"> </w:t>
      </w:r>
      <w:r w:rsidRPr="00AA537D">
        <w:rPr>
          <w:rFonts w:hint="cs"/>
          <w:spacing w:val="0"/>
          <w:kern w:val="0"/>
          <w:rtl/>
          <w:lang/>
        </w:rPr>
        <w:t>ال</w:t>
      </w:r>
      <w:r w:rsidRPr="00AA537D">
        <w:rPr>
          <w:spacing w:val="0"/>
          <w:kern w:val="0"/>
          <w:rtl/>
          <w:lang/>
        </w:rPr>
        <w:t>مناسب</w:t>
      </w:r>
      <w:r w:rsidRPr="00AA537D">
        <w:rPr>
          <w:rFonts w:hint="cs"/>
          <w:spacing w:val="0"/>
          <w:kern w:val="0"/>
          <w:rtl/>
          <w:lang/>
        </w:rPr>
        <w:t xml:space="preserve"> الذي</w:t>
      </w:r>
      <w:r w:rsidRPr="00AA537D">
        <w:rPr>
          <w:spacing w:val="0"/>
          <w:kern w:val="0"/>
          <w:rtl/>
          <w:lang/>
        </w:rPr>
        <w:t xml:space="preserve"> يجب أن </w:t>
      </w:r>
      <w:r w:rsidRPr="00AA537D">
        <w:rPr>
          <w:rFonts w:hint="cs"/>
          <w:spacing w:val="0"/>
          <w:kern w:val="0"/>
          <w:rtl/>
          <w:lang/>
        </w:rPr>
        <w:t>ي</w:t>
      </w:r>
      <w:r w:rsidRPr="00AA537D">
        <w:rPr>
          <w:spacing w:val="0"/>
          <w:kern w:val="0"/>
          <w:rtl/>
          <w:lang/>
        </w:rPr>
        <w:t xml:space="preserve">تضمن الاعتراف بالمسؤولية عن الانتهاكات، والتحقيق </w:t>
      </w:r>
      <w:r w:rsidRPr="00AA537D">
        <w:rPr>
          <w:rFonts w:hint="cs"/>
          <w:spacing w:val="0"/>
          <w:kern w:val="0"/>
          <w:rtl/>
          <w:lang/>
        </w:rPr>
        <w:t>حسب الأصول الواجبة،</w:t>
      </w:r>
      <w:r w:rsidRPr="00AA537D">
        <w:rPr>
          <w:spacing w:val="0"/>
          <w:kern w:val="0"/>
          <w:rtl/>
          <w:lang/>
        </w:rPr>
        <w:t xml:space="preserve"> والتعويض</w:t>
      </w:r>
      <w:r w:rsidRPr="00AA537D">
        <w:rPr>
          <w:rFonts w:hint="cs"/>
          <w:spacing w:val="0"/>
          <w:kern w:val="0"/>
          <w:rtl/>
          <w:lang/>
        </w:rPr>
        <w:t>، وإعادة التأهيل</w:t>
      </w:r>
      <w:r w:rsidRPr="00AA537D">
        <w:rPr>
          <w:spacing w:val="0"/>
          <w:kern w:val="0"/>
          <w:rtl/>
          <w:lang/>
        </w:rPr>
        <w:t xml:space="preserve">. </w:t>
      </w:r>
      <w:r w:rsidRPr="00AA537D">
        <w:rPr>
          <w:rFonts w:hint="cs"/>
          <w:spacing w:val="0"/>
          <w:kern w:val="0"/>
          <w:rtl/>
          <w:lang/>
        </w:rPr>
        <w:t xml:space="preserve">وقالا أيضاً إن </w:t>
      </w:r>
      <w:r w:rsidRPr="00AA537D">
        <w:rPr>
          <w:spacing w:val="0"/>
          <w:kern w:val="0"/>
          <w:rtl/>
          <w:lang/>
        </w:rPr>
        <w:t xml:space="preserve">إنشاء لجنة مستقلة للتحقيق، </w:t>
      </w:r>
      <w:r w:rsidRPr="00AA537D">
        <w:rPr>
          <w:rFonts w:hint="cs"/>
          <w:spacing w:val="0"/>
          <w:kern w:val="0"/>
          <w:rtl/>
          <w:lang/>
        </w:rPr>
        <w:t xml:space="preserve">تتوافر فيها جميع </w:t>
      </w:r>
      <w:r w:rsidRPr="00AA537D">
        <w:rPr>
          <w:spacing w:val="0"/>
          <w:kern w:val="0"/>
          <w:rtl/>
          <w:lang/>
        </w:rPr>
        <w:t xml:space="preserve">الخصائص المنصوص عليها في الفصل الثالث </w:t>
      </w:r>
      <w:r w:rsidRPr="00AA537D">
        <w:rPr>
          <w:rFonts w:hint="cs"/>
          <w:spacing w:val="0"/>
          <w:kern w:val="0"/>
          <w:sz w:val="30"/>
          <w:rtl/>
          <w:lang/>
        </w:rPr>
        <w:t xml:space="preserve">من </w:t>
      </w:r>
      <w:r w:rsidRPr="00AA537D">
        <w:rPr>
          <w:spacing w:val="0"/>
          <w:kern w:val="0"/>
          <w:sz w:val="30"/>
          <w:rtl/>
        </w:rPr>
        <w:t>دليل التقصي والتوثيق الفعالين بشأن التعذيب وغيره من ضروب المعاملة أو العقوبة القاسية أو اللاإنسانية أو المهينة</w:t>
      </w:r>
      <w:r w:rsidRPr="00AA537D">
        <w:rPr>
          <w:spacing w:val="0"/>
          <w:kern w:val="0"/>
          <w:rtl/>
          <w:lang/>
        </w:rPr>
        <w:t xml:space="preserve"> (بروتوكول اسطنبول، الفقر</w:t>
      </w:r>
      <w:r w:rsidRPr="00AA537D">
        <w:rPr>
          <w:rFonts w:hint="cs"/>
          <w:spacing w:val="0"/>
          <w:kern w:val="0"/>
          <w:rtl/>
          <w:lang/>
        </w:rPr>
        <w:t>ا</w:t>
      </w:r>
      <w:r w:rsidRPr="00AA537D">
        <w:rPr>
          <w:spacing w:val="0"/>
          <w:kern w:val="0"/>
          <w:rtl/>
          <w:lang/>
        </w:rPr>
        <w:t>ت 2 و85 و86)</w:t>
      </w:r>
      <w:r w:rsidRPr="00AA537D">
        <w:rPr>
          <w:rFonts w:hint="cs"/>
          <w:spacing w:val="0"/>
          <w:kern w:val="0"/>
          <w:rtl/>
          <w:lang/>
        </w:rPr>
        <w:t>،</w:t>
      </w:r>
      <w:r w:rsidRPr="00AA537D">
        <w:rPr>
          <w:spacing w:val="0"/>
          <w:kern w:val="0"/>
          <w:rtl/>
          <w:lang/>
        </w:rPr>
        <w:t xml:space="preserve"> و</w:t>
      </w:r>
      <w:r w:rsidRPr="00AA537D">
        <w:rPr>
          <w:rFonts w:hint="cs"/>
          <w:spacing w:val="0"/>
          <w:kern w:val="0"/>
          <w:rtl/>
          <w:lang/>
        </w:rPr>
        <w:t xml:space="preserve">تملك جميع </w:t>
      </w:r>
      <w:r w:rsidRPr="00AA537D">
        <w:rPr>
          <w:spacing w:val="0"/>
          <w:kern w:val="0"/>
          <w:rtl/>
          <w:lang/>
        </w:rPr>
        <w:t xml:space="preserve">الصلاحيات </w:t>
      </w:r>
      <w:r w:rsidRPr="00AA537D">
        <w:rPr>
          <w:rFonts w:hint="cs"/>
          <w:spacing w:val="0"/>
          <w:kern w:val="0"/>
          <w:rtl/>
          <w:lang/>
        </w:rPr>
        <w:t xml:space="preserve">الواجبة </w:t>
      </w:r>
      <w:r w:rsidRPr="00AA537D">
        <w:rPr>
          <w:spacing w:val="0"/>
          <w:kern w:val="0"/>
          <w:rtl/>
          <w:lang/>
        </w:rPr>
        <w:t xml:space="preserve">لاستدعاء الشهود والتوصية بإجراء محاكمة جنائية، </w:t>
      </w:r>
      <w:r w:rsidRPr="00AA537D">
        <w:rPr>
          <w:rFonts w:hint="cs"/>
          <w:spacing w:val="0"/>
          <w:kern w:val="0"/>
          <w:rtl/>
          <w:lang/>
        </w:rPr>
        <w:t>س</w:t>
      </w:r>
      <w:r w:rsidRPr="00AA537D">
        <w:rPr>
          <w:spacing w:val="0"/>
          <w:kern w:val="0"/>
          <w:rtl/>
          <w:lang/>
        </w:rPr>
        <w:t>يكون كافياً لتصحيح هذا الانتهاك للاتفاقية</w:t>
      </w:r>
      <w:r w:rsidRPr="00AA537D">
        <w:rPr>
          <w:rFonts w:hint="cs"/>
          <w:spacing w:val="0"/>
          <w:kern w:val="0"/>
          <w:rtl/>
          <w:lang/>
        </w:rPr>
        <w:t>.</w:t>
      </w:r>
    </w:p>
    <w:p w:rsidR="00FA6676" w:rsidRPr="008C1013" w:rsidRDefault="00FA6676" w:rsidP="008C1013">
      <w:pPr>
        <w:pStyle w:val="SingleTxtGA"/>
        <w:jc w:val="lowKashida"/>
        <w:rPr>
          <w:rFonts w:hint="cs"/>
          <w:spacing w:val="-2"/>
          <w:kern w:val="0"/>
          <w:rtl/>
          <w:lang/>
        </w:rPr>
      </w:pPr>
      <w:r w:rsidRPr="00AA537D">
        <w:rPr>
          <w:rFonts w:hint="cs"/>
          <w:spacing w:val="0"/>
          <w:kern w:val="0"/>
          <w:rtl/>
          <w:lang/>
        </w:rPr>
        <w:t>5-9</w:t>
      </w:r>
      <w:r w:rsidRPr="00AA537D">
        <w:rPr>
          <w:rFonts w:hint="cs"/>
          <w:spacing w:val="0"/>
          <w:kern w:val="0"/>
          <w:rtl/>
          <w:lang/>
        </w:rPr>
        <w:tab/>
        <w:t>و</w:t>
      </w:r>
      <w:r w:rsidRPr="00AA537D">
        <w:rPr>
          <w:spacing w:val="0"/>
          <w:kern w:val="0"/>
          <w:rtl/>
          <w:lang/>
        </w:rPr>
        <w:t>ردا</w:t>
      </w:r>
      <w:r w:rsidRPr="00AA537D">
        <w:rPr>
          <w:rFonts w:hint="cs"/>
          <w:spacing w:val="0"/>
          <w:kern w:val="0"/>
          <w:rtl/>
          <w:lang/>
        </w:rPr>
        <w:t>ً</w:t>
      </w:r>
      <w:r w:rsidRPr="00AA537D">
        <w:rPr>
          <w:spacing w:val="0"/>
          <w:kern w:val="0"/>
          <w:rtl/>
          <w:lang/>
        </w:rPr>
        <w:t xml:space="preserve"> على الشكوى المقدمة إلى اللجنة</w:t>
      </w:r>
      <w:r w:rsidRPr="00AA537D">
        <w:rPr>
          <w:rFonts w:hint="cs"/>
          <w:spacing w:val="0"/>
          <w:kern w:val="0"/>
          <w:rtl/>
          <w:lang/>
        </w:rPr>
        <w:t>،</w:t>
      </w:r>
      <w:r w:rsidRPr="00AA537D">
        <w:rPr>
          <w:spacing w:val="0"/>
          <w:kern w:val="0"/>
          <w:rtl/>
          <w:lang/>
        </w:rPr>
        <w:t xml:space="preserve"> </w:t>
      </w:r>
      <w:r w:rsidRPr="00AA537D">
        <w:rPr>
          <w:rFonts w:hint="cs"/>
          <w:spacing w:val="0"/>
          <w:kern w:val="0"/>
          <w:rtl/>
          <w:lang/>
        </w:rPr>
        <w:t xml:space="preserve">شككت </w:t>
      </w:r>
      <w:r w:rsidRPr="00AA537D">
        <w:rPr>
          <w:spacing w:val="0"/>
          <w:kern w:val="0"/>
          <w:rtl/>
          <w:lang/>
        </w:rPr>
        <w:t xml:space="preserve">الدولة الطرف </w:t>
      </w:r>
      <w:r w:rsidRPr="00AA537D">
        <w:rPr>
          <w:rFonts w:hint="cs"/>
          <w:spacing w:val="0"/>
          <w:kern w:val="0"/>
          <w:rtl/>
          <w:lang/>
        </w:rPr>
        <w:t>في</w:t>
      </w:r>
      <w:r w:rsidRPr="00AA537D">
        <w:rPr>
          <w:spacing w:val="0"/>
          <w:kern w:val="0"/>
          <w:rtl/>
          <w:lang/>
        </w:rPr>
        <w:t xml:space="preserve"> الصحة العقلية لصاحب الشكوى وأمرت </w:t>
      </w:r>
      <w:r w:rsidRPr="00AA537D">
        <w:rPr>
          <w:rFonts w:hint="cs"/>
          <w:spacing w:val="0"/>
          <w:kern w:val="0"/>
          <w:rtl/>
          <w:lang/>
        </w:rPr>
        <w:t xml:space="preserve">بإجراء </w:t>
      </w:r>
      <w:r w:rsidRPr="00AA537D">
        <w:rPr>
          <w:spacing w:val="0"/>
          <w:kern w:val="0"/>
          <w:rtl/>
          <w:lang/>
        </w:rPr>
        <w:t xml:space="preserve">تقييم </w:t>
      </w:r>
      <w:r w:rsidRPr="00AA537D">
        <w:rPr>
          <w:rFonts w:hint="cs"/>
          <w:spacing w:val="0"/>
          <w:kern w:val="0"/>
          <w:rtl/>
          <w:lang/>
        </w:rPr>
        <w:t xml:space="preserve">طبي </w:t>
      </w:r>
      <w:r w:rsidRPr="00AA537D">
        <w:rPr>
          <w:spacing w:val="0"/>
          <w:kern w:val="0"/>
          <w:rtl/>
          <w:lang/>
        </w:rPr>
        <w:t>نفس</w:t>
      </w:r>
      <w:r w:rsidRPr="00AA537D">
        <w:rPr>
          <w:rFonts w:hint="cs"/>
          <w:spacing w:val="0"/>
          <w:kern w:val="0"/>
          <w:rtl/>
          <w:lang/>
        </w:rPr>
        <w:t>ان</w:t>
      </w:r>
      <w:r w:rsidRPr="00AA537D">
        <w:rPr>
          <w:spacing w:val="0"/>
          <w:kern w:val="0"/>
          <w:rtl/>
          <w:lang/>
        </w:rPr>
        <w:t>ي</w:t>
      </w:r>
      <w:r w:rsidRPr="00AA537D">
        <w:rPr>
          <w:rFonts w:hint="cs"/>
          <w:spacing w:val="0"/>
          <w:kern w:val="0"/>
          <w:rtl/>
          <w:lang/>
        </w:rPr>
        <w:t xml:space="preserve"> له</w:t>
      </w:r>
      <w:r w:rsidRPr="00AA537D">
        <w:rPr>
          <w:spacing w:val="0"/>
          <w:kern w:val="0"/>
          <w:rtl/>
          <w:lang/>
        </w:rPr>
        <w:t xml:space="preserve">. </w:t>
      </w:r>
      <w:r w:rsidRPr="00AA537D">
        <w:rPr>
          <w:rFonts w:hint="cs"/>
          <w:spacing w:val="0"/>
          <w:kern w:val="0"/>
          <w:rtl/>
          <w:lang/>
        </w:rPr>
        <w:t xml:space="preserve">ويتضمن </w:t>
      </w:r>
      <w:r w:rsidRPr="00AA537D">
        <w:rPr>
          <w:spacing w:val="0"/>
          <w:kern w:val="0"/>
          <w:rtl/>
          <w:lang/>
        </w:rPr>
        <w:t xml:space="preserve">التحقيق </w:t>
      </w:r>
      <w:r w:rsidRPr="00AA537D">
        <w:rPr>
          <w:rFonts w:hint="cs"/>
          <w:spacing w:val="0"/>
          <w:kern w:val="0"/>
          <w:rtl/>
        </w:rPr>
        <w:t>المستَأنف</w:t>
      </w:r>
      <w:r w:rsidRPr="00AA537D">
        <w:rPr>
          <w:spacing w:val="0"/>
          <w:kern w:val="0"/>
          <w:rtl/>
        </w:rPr>
        <w:t xml:space="preserve"> </w:t>
      </w:r>
      <w:r w:rsidRPr="00AA537D">
        <w:rPr>
          <w:rFonts w:hint="cs"/>
          <w:spacing w:val="0"/>
          <w:kern w:val="0"/>
          <w:rtl/>
          <w:lang/>
        </w:rPr>
        <w:t xml:space="preserve">خصائص محاولة </w:t>
      </w:r>
      <w:r w:rsidRPr="00AA537D">
        <w:rPr>
          <w:spacing w:val="0"/>
          <w:kern w:val="0"/>
          <w:rtl/>
          <w:lang/>
        </w:rPr>
        <w:t xml:space="preserve">تخويف صاحب الشكوى </w:t>
      </w:r>
      <w:r w:rsidRPr="00AA537D">
        <w:rPr>
          <w:rFonts w:hint="cs"/>
          <w:spacing w:val="0"/>
          <w:kern w:val="0"/>
          <w:rtl/>
          <w:lang/>
        </w:rPr>
        <w:t>وحمله ع</w:t>
      </w:r>
      <w:r w:rsidRPr="00AA537D">
        <w:rPr>
          <w:spacing w:val="0"/>
          <w:kern w:val="0"/>
          <w:rtl/>
          <w:lang/>
        </w:rPr>
        <w:t>ل</w:t>
      </w:r>
      <w:r w:rsidRPr="00AA537D">
        <w:rPr>
          <w:rFonts w:hint="cs"/>
          <w:spacing w:val="0"/>
          <w:kern w:val="0"/>
          <w:rtl/>
          <w:lang/>
        </w:rPr>
        <w:t>ى</w:t>
      </w:r>
      <w:r w:rsidRPr="00AA537D">
        <w:rPr>
          <w:spacing w:val="0"/>
          <w:kern w:val="0"/>
          <w:rtl/>
          <w:lang/>
        </w:rPr>
        <w:t xml:space="preserve"> سحب </w:t>
      </w:r>
      <w:r w:rsidRPr="00AA537D">
        <w:rPr>
          <w:rFonts w:hint="cs"/>
          <w:spacing w:val="0"/>
          <w:kern w:val="0"/>
          <w:rtl/>
          <w:lang/>
        </w:rPr>
        <w:t>شكواه</w:t>
      </w:r>
      <w:r w:rsidRPr="00AA537D">
        <w:rPr>
          <w:spacing w:val="0"/>
          <w:kern w:val="0"/>
          <w:rtl/>
          <w:lang/>
        </w:rPr>
        <w:t xml:space="preserve">، </w:t>
      </w:r>
      <w:r w:rsidRPr="00AA537D">
        <w:rPr>
          <w:rFonts w:hint="cs"/>
          <w:spacing w:val="0"/>
          <w:kern w:val="0"/>
          <w:rtl/>
          <w:lang/>
        </w:rPr>
        <w:t xml:space="preserve">وهي </w:t>
      </w:r>
      <w:r w:rsidRPr="00AA537D">
        <w:rPr>
          <w:spacing w:val="0"/>
          <w:kern w:val="0"/>
          <w:rtl/>
          <w:lang/>
        </w:rPr>
        <w:t>ممارسة مستخدمة على نطاق واسع في كازاخستان</w:t>
      </w:r>
      <w:r w:rsidRPr="00AA537D">
        <w:rPr>
          <w:spacing w:val="0"/>
          <w:kern w:val="0"/>
          <w:vertAlign w:val="superscript"/>
          <w:rtl/>
          <w:lang/>
        </w:rPr>
        <w:t>(</w:t>
      </w:r>
      <w:r w:rsidRPr="00AA537D">
        <w:rPr>
          <w:rStyle w:val="FootnoteReference"/>
          <w:spacing w:val="0"/>
          <w:rtl/>
          <w:lang/>
        </w:rPr>
        <w:footnoteReference w:id="387"/>
      </w:r>
      <w:r w:rsidRPr="00AA537D">
        <w:rPr>
          <w:spacing w:val="0"/>
          <w:kern w:val="0"/>
          <w:vertAlign w:val="superscript"/>
          <w:rtl/>
          <w:lang/>
        </w:rPr>
        <w:t>)</w:t>
      </w:r>
      <w:r w:rsidRPr="00AA537D">
        <w:rPr>
          <w:rFonts w:hint="cs"/>
          <w:spacing w:val="0"/>
          <w:kern w:val="0"/>
          <w:rtl/>
          <w:lang/>
        </w:rPr>
        <w:t>. ويخل مثل هذا التخويف بالحق في التظلم</w:t>
      </w:r>
      <w:r w:rsidRPr="00AA537D">
        <w:rPr>
          <w:spacing w:val="0"/>
          <w:kern w:val="0"/>
          <w:rtl/>
          <w:lang/>
        </w:rPr>
        <w:t xml:space="preserve"> المنصوص عليه في المادتين 13 و22 من الاتفاقية. </w:t>
      </w:r>
      <w:r w:rsidRPr="00AA537D">
        <w:rPr>
          <w:rFonts w:hint="cs"/>
          <w:spacing w:val="0"/>
          <w:kern w:val="0"/>
          <w:rtl/>
          <w:lang/>
        </w:rPr>
        <w:t xml:space="preserve">وبإصدار </w:t>
      </w:r>
      <w:r w:rsidRPr="00AA537D">
        <w:rPr>
          <w:spacing w:val="0"/>
          <w:kern w:val="0"/>
          <w:rtl/>
          <w:lang/>
        </w:rPr>
        <w:t xml:space="preserve">الإعلان </w:t>
      </w:r>
      <w:r w:rsidRPr="00AA537D">
        <w:rPr>
          <w:rFonts w:hint="cs"/>
          <w:spacing w:val="0"/>
          <w:kern w:val="0"/>
          <w:rtl/>
          <w:lang/>
        </w:rPr>
        <w:t xml:space="preserve">المنصوص عليه في </w:t>
      </w:r>
      <w:r w:rsidRPr="008C1013">
        <w:rPr>
          <w:spacing w:val="-2"/>
          <w:kern w:val="0"/>
          <w:rtl/>
          <w:lang/>
        </w:rPr>
        <w:t>المادة</w:t>
      </w:r>
      <w:r w:rsidR="008C1013" w:rsidRPr="008C1013">
        <w:rPr>
          <w:rFonts w:hint="cs"/>
          <w:spacing w:val="-2"/>
          <w:kern w:val="0"/>
          <w:rtl/>
          <w:lang/>
        </w:rPr>
        <w:t> </w:t>
      </w:r>
      <w:r w:rsidRPr="008C1013">
        <w:rPr>
          <w:spacing w:val="-2"/>
          <w:kern w:val="0"/>
          <w:rtl/>
          <w:lang/>
        </w:rPr>
        <w:t xml:space="preserve">22 من الاتفاقية في عام 2008، </w:t>
      </w:r>
      <w:r w:rsidRPr="008C1013">
        <w:rPr>
          <w:rFonts w:hint="cs"/>
          <w:spacing w:val="-2"/>
          <w:kern w:val="0"/>
          <w:rtl/>
          <w:lang/>
        </w:rPr>
        <w:t xml:space="preserve">تعهدت </w:t>
      </w:r>
      <w:r w:rsidRPr="008C1013">
        <w:rPr>
          <w:spacing w:val="-2"/>
          <w:kern w:val="0"/>
          <w:rtl/>
          <w:lang/>
        </w:rPr>
        <w:t xml:space="preserve">كازاخستان ضمنياً </w:t>
      </w:r>
      <w:r w:rsidRPr="008C1013">
        <w:rPr>
          <w:rFonts w:hint="cs"/>
          <w:spacing w:val="-2"/>
          <w:kern w:val="0"/>
          <w:rtl/>
          <w:lang/>
        </w:rPr>
        <w:t>بعدم ا</w:t>
      </w:r>
      <w:r w:rsidRPr="008C1013">
        <w:rPr>
          <w:spacing w:val="-2"/>
          <w:kern w:val="0"/>
          <w:rtl/>
          <w:lang/>
        </w:rPr>
        <w:t xml:space="preserve">لتدخل في حق الأفراد في الاتصال </w:t>
      </w:r>
      <w:r w:rsidRPr="008C1013">
        <w:rPr>
          <w:rFonts w:hint="cs"/>
          <w:spacing w:val="-2"/>
          <w:kern w:val="0"/>
          <w:rtl/>
          <w:lang/>
        </w:rPr>
        <w:t>ب</w:t>
      </w:r>
      <w:r w:rsidRPr="008C1013">
        <w:rPr>
          <w:spacing w:val="-2"/>
          <w:kern w:val="0"/>
          <w:rtl/>
          <w:lang/>
        </w:rPr>
        <w:t xml:space="preserve">اللجنة، </w:t>
      </w:r>
      <w:r w:rsidRPr="008C1013">
        <w:rPr>
          <w:rFonts w:hint="cs"/>
          <w:spacing w:val="-2"/>
          <w:kern w:val="0"/>
          <w:rtl/>
          <w:lang/>
        </w:rPr>
        <w:t xml:space="preserve">لأن قيامها </w:t>
      </w:r>
      <w:r w:rsidRPr="008C1013">
        <w:rPr>
          <w:spacing w:val="-2"/>
          <w:kern w:val="0"/>
          <w:rtl/>
          <w:lang/>
        </w:rPr>
        <w:t>بذلك س</w:t>
      </w:r>
      <w:r w:rsidRPr="008C1013">
        <w:rPr>
          <w:rFonts w:hint="cs"/>
          <w:spacing w:val="-2"/>
          <w:kern w:val="0"/>
          <w:rtl/>
          <w:lang/>
        </w:rPr>
        <w:t xml:space="preserve">يؤدي إلى عدم فعالية </w:t>
      </w:r>
      <w:r w:rsidRPr="008C1013">
        <w:rPr>
          <w:spacing w:val="-2"/>
          <w:kern w:val="0"/>
          <w:rtl/>
          <w:lang/>
        </w:rPr>
        <w:t xml:space="preserve">الحق الذي اعترفت به </w:t>
      </w:r>
      <w:r w:rsidRPr="008C1013">
        <w:rPr>
          <w:rFonts w:hint="cs"/>
          <w:spacing w:val="-2"/>
          <w:kern w:val="0"/>
          <w:rtl/>
          <w:lang/>
        </w:rPr>
        <w:t>عملياً.</w:t>
      </w:r>
    </w:p>
    <w:p w:rsidR="00FA6676" w:rsidRPr="00AA537D" w:rsidRDefault="00FA6676" w:rsidP="00AA537D">
      <w:pPr>
        <w:pStyle w:val="SingleTxtGA"/>
        <w:jc w:val="lowKashida"/>
        <w:rPr>
          <w:rFonts w:hint="cs"/>
          <w:spacing w:val="0"/>
          <w:kern w:val="0"/>
          <w:rtl/>
        </w:rPr>
      </w:pPr>
      <w:r w:rsidRPr="00AA537D">
        <w:rPr>
          <w:rFonts w:hint="cs"/>
          <w:spacing w:val="0"/>
          <w:kern w:val="0"/>
          <w:rtl/>
          <w:lang/>
        </w:rPr>
        <w:t>5-1</w:t>
      </w:r>
      <w:r w:rsidRPr="00AA537D">
        <w:rPr>
          <w:spacing w:val="0"/>
          <w:kern w:val="0"/>
          <w:rtl/>
        </w:rPr>
        <w:t>0</w:t>
      </w:r>
      <w:r w:rsidRPr="00AA537D">
        <w:rPr>
          <w:rFonts w:hint="cs"/>
          <w:spacing w:val="0"/>
          <w:kern w:val="0"/>
          <w:rtl/>
        </w:rPr>
        <w:tab/>
        <w:t xml:space="preserve">ويعرب </w:t>
      </w:r>
      <w:r w:rsidRPr="00AA537D">
        <w:rPr>
          <w:spacing w:val="0"/>
          <w:kern w:val="0"/>
          <w:rtl/>
        </w:rPr>
        <w:t>الممث</w:t>
      </w:r>
      <w:r w:rsidRPr="00AA537D">
        <w:rPr>
          <w:rFonts w:hint="cs"/>
          <w:spacing w:val="0"/>
          <w:kern w:val="0"/>
          <w:rtl/>
        </w:rPr>
        <w:t>لان</w:t>
      </w:r>
      <w:r w:rsidRPr="00AA537D">
        <w:rPr>
          <w:spacing w:val="0"/>
          <w:kern w:val="0"/>
          <w:rtl/>
        </w:rPr>
        <w:t xml:space="preserve"> </w:t>
      </w:r>
      <w:r w:rsidRPr="00AA537D">
        <w:rPr>
          <w:rFonts w:hint="cs"/>
          <w:spacing w:val="0"/>
          <w:kern w:val="0"/>
          <w:rtl/>
        </w:rPr>
        <w:t xml:space="preserve">القانونيان عن قلقهما </w:t>
      </w:r>
      <w:r w:rsidRPr="00AA537D">
        <w:rPr>
          <w:spacing w:val="0"/>
          <w:kern w:val="0"/>
          <w:rtl/>
        </w:rPr>
        <w:t xml:space="preserve">إزاء الطلب </w:t>
      </w:r>
      <w:r w:rsidRPr="00AA537D">
        <w:rPr>
          <w:rFonts w:hint="cs"/>
          <w:spacing w:val="0"/>
          <w:kern w:val="0"/>
          <w:rtl/>
        </w:rPr>
        <w:t xml:space="preserve">المقدم من </w:t>
      </w:r>
      <w:r w:rsidRPr="00AA537D">
        <w:rPr>
          <w:spacing w:val="0"/>
          <w:kern w:val="0"/>
          <w:rtl/>
        </w:rPr>
        <w:t xml:space="preserve">المدعي العام </w:t>
      </w:r>
      <w:r w:rsidRPr="00AA537D">
        <w:rPr>
          <w:rFonts w:hint="cs"/>
          <w:spacing w:val="0"/>
          <w:kern w:val="0"/>
          <w:rtl/>
        </w:rPr>
        <w:t xml:space="preserve">لإجراء تقييم طبي نفساني لصاحب الشكوى </w:t>
      </w:r>
      <w:r w:rsidRPr="00AA537D">
        <w:rPr>
          <w:spacing w:val="0"/>
          <w:kern w:val="0"/>
          <w:rtl/>
        </w:rPr>
        <w:t xml:space="preserve">نظراً </w:t>
      </w:r>
      <w:r w:rsidRPr="00AA537D">
        <w:rPr>
          <w:rFonts w:hint="cs"/>
          <w:spacing w:val="0"/>
          <w:kern w:val="0"/>
          <w:rtl/>
        </w:rPr>
        <w:t>إلى أن ا</w:t>
      </w:r>
      <w:r w:rsidRPr="00AA537D">
        <w:rPr>
          <w:spacing w:val="0"/>
          <w:kern w:val="0"/>
          <w:rtl/>
        </w:rPr>
        <w:t xml:space="preserve">لغرض </w:t>
      </w:r>
      <w:r w:rsidRPr="00AA537D">
        <w:rPr>
          <w:rFonts w:hint="cs"/>
          <w:spacing w:val="0"/>
          <w:kern w:val="0"/>
          <w:rtl/>
        </w:rPr>
        <w:t xml:space="preserve">من هذا التقييم </w:t>
      </w:r>
      <w:r w:rsidRPr="00AA537D">
        <w:rPr>
          <w:spacing w:val="0"/>
          <w:kern w:val="0"/>
          <w:rtl/>
        </w:rPr>
        <w:t xml:space="preserve">ليس إثبات أثر التعذيب ولكن إثبات الحالة النفسية لصاحب الشكوى </w:t>
      </w:r>
      <w:r w:rsidRPr="00AA537D">
        <w:rPr>
          <w:rFonts w:hint="cs"/>
          <w:spacing w:val="0"/>
          <w:kern w:val="0"/>
          <w:rtl/>
        </w:rPr>
        <w:t>"ما دام ه</w:t>
      </w:r>
      <w:r w:rsidRPr="00AA537D">
        <w:rPr>
          <w:spacing w:val="0"/>
          <w:kern w:val="0"/>
          <w:rtl/>
        </w:rPr>
        <w:t xml:space="preserve">ناك شك حول قدرته على إدراك الظروف </w:t>
      </w:r>
      <w:r w:rsidRPr="00AA537D">
        <w:rPr>
          <w:rFonts w:hint="cs"/>
          <w:spacing w:val="0"/>
          <w:kern w:val="0"/>
          <w:rtl/>
        </w:rPr>
        <w:t>المتعلقة ب</w:t>
      </w:r>
      <w:r w:rsidRPr="00AA537D">
        <w:rPr>
          <w:spacing w:val="0"/>
          <w:kern w:val="0"/>
          <w:rtl/>
        </w:rPr>
        <w:t>القضية بشكل صحيح</w:t>
      </w:r>
      <w:r w:rsidRPr="00AA537D">
        <w:rPr>
          <w:rFonts w:hint="cs"/>
          <w:spacing w:val="0"/>
          <w:kern w:val="0"/>
          <w:rtl/>
        </w:rPr>
        <w:t>"</w:t>
      </w:r>
      <w:r w:rsidRPr="00AA537D">
        <w:rPr>
          <w:spacing w:val="0"/>
          <w:kern w:val="0"/>
          <w:vertAlign w:val="superscript"/>
          <w:rtl/>
        </w:rPr>
        <w:t>(</w:t>
      </w:r>
      <w:r w:rsidRPr="00AA537D">
        <w:rPr>
          <w:rStyle w:val="FootnoteReference"/>
          <w:spacing w:val="0"/>
          <w:rtl/>
        </w:rPr>
        <w:footnoteReference w:id="388"/>
      </w:r>
      <w:r w:rsidRPr="00AA537D">
        <w:rPr>
          <w:spacing w:val="0"/>
          <w:kern w:val="0"/>
          <w:vertAlign w:val="superscript"/>
          <w:rtl/>
          <w:lang/>
        </w:rPr>
        <w:t>)</w:t>
      </w:r>
      <w:r w:rsidRPr="00AA537D">
        <w:rPr>
          <w:rFonts w:hint="cs"/>
          <w:spacing w:val="0"/>
          <w:kern w:val="0"/>
          <w:rtl/>
          <w:lang/>
        </w:rPr>
        <w:t xml:space="preserve">. </w:t>
      </w:r>
      <w:r w:rsidRPr="00AA537D">
        <w:rPr>
          <w:rFonts w:hint="cs"/>
          <w:spacing w:val="0"/>
          <w:kern w:val="0"/>
          <w:rtl/>
        </w:rPr>
        <w:t xml:space="preserve">فالغرض من </w:t>
      </w:r>
      <w:r w:rsidRPr="00AA537D">
        <w:rPr>
          <w:spacing w:val="0"/>
          <w:kern w:val="0"/>
          <w:rtl/>
        </w:rPr>
        <w:t xml:space="preserve">التقييم </w:t>
      </w:r>
      <w:r w:rsidRPr="00AA537D">
        <w:rPr>
          <w:rFonts w:hint="cs"/>
          <w:spacing w:val="0"/>
          <w:kern w:val="0"/>
          <w:rtl/>
        </w:rPr>
        <w:t xml:space="preserve">بالتالي هو </w:t>
      </w:r>
      <w:r w:rsidRPr="00AA537D">
        <w:rPr>
          <w:spacing w:val="0"/>
          <w:kern w:val="0"/>
          <w:rtl/>
        </w:rPr>
        <w:t xml:space="preserve">تشويه سمعة </w:t>
      </w:r>
      <w:r w:rsidRPr="00AA537D">
        <w:rPr>
          <w:rFonts w:hint="cs"/>
          <w:spacing w:val="0"/>
          <w:kern w:val="0"/>
          <w:rtl/>
        </w:rPr>
        <w:t xml:space="preserve">صاحب الشكوى </w:t>
      </w:r>
      <w:r w:rsidRPr="00AA537D">
        <w:rPr>
          <w:spacing w:val="0"/>
          <w:kern w:val="0"/>
          <w:rtl/>
        </w:rPr>
        <w:t>أو تخويف</w:t>
      </w:r>
      <w:r w:rsidRPr="00AA537D">
        <w:rPr>
          <w:rFonts w:hint="cs"/>
          <w:spacing w:val="0"/>
          <w:kern w:val="0"/>
          <w:rtl/>
        </w:rPr>
        <w:t>ه</w:t>
      </w:r>
      <w:r w:rsidRPr="00AA537D">
        <w:rPr>
          <w:spacing w:val="0"/>
          <w:kern w:val="0"/>
          <w:rtl/>
        </w:rPr>
        <w:t>.</w:t>
      </w:r>
    </w:p>
    <w:p w:rsidR="00FA6676" w:rsidRPr="00AA537D" w:rsidRDefault="00FA6676" w:rsidP="00AA537D">
      <w:pPr>
        <w:pStyle w:val="SingleTxtGA"/>
        <w:jc w:val="lowKashida"/>
        <w:rPr>
          <w:rFonts w:hint="cs"/>
          <w:spacing w:val="0"/>
          <w:kern w:val="0"/>
          <w:rtl/>
          <w:lang/>
        </w:rPr>
      </w:pPr>
      <w:r w:rsidRPr="00AA537D">
        <w:rPr>
          <w:rFonts w:hint="cs"/>
          <w:spacing w:val="0"/>
          <w:kern w:val="0"/>
          <w:rtl/>
          <w:lang/>
        </w:rPr>
        <w:t>5-11</w:t>
      </w:r>
      <w:r w:rsidRPr="00AA537D">
        <w:rPr>
          <w:rFonts w:hint="cs"/>
          <w:spacing w:val="0"/>
          <w:kern w:val="0"/>
          <w:rtl/>
          <w:lang/>
        </w:rPr>
        <w:tab/>
      </w:r>
      <w:r w:rsidRPr="00AA537D">
        <w:rPr>
          <w:rFonts w:hint="cs"/>
          <w:spacing w:val="0"/>
          <w:kern w:val="0"/>
          <w:rtl/>
        </w:rPr>
        <w:t xml:space="preserve">وفي </w:t>
      </w:r>
      <w:r w:rsidRPr="00AA537D">
        <w:rPr>
          <w:spacing w:val="0"/>
          <w:kern w:val="0"/>
          <w:rtl/>
        </w:rPr>
        <w:t xml:space="preserve">ضوء ما </w:t>
      </w:r>
      <w:r w:rsidRPr="00AA537D">
        <w:rPr>
          <w:rFonts w:hint="cs"/>
          <w:spacing w:val="0"/>
          <w:kern w:val="0"/>
          <w:rtl/>
        </w:rPr>
        <w:t>سلف</w:t>
      </w:r>
      <w:r w:rsidRPr="00AA537D">
        <w:rPr>
          <w:spacing w:val="0"/>
          <w:kern w:val="0"/>
          <w:rtl/>
        </w:rPr>
        <w:t xml:space="preserve">، </w:t>
      </w:r>
      <w:r w:rsidRPr="00AA537D">
        <w:rPr>
          <w:rFonts w:hint="cs"/>
          <w:spacing w:val="0"/>
          <w:kern w:val="0"/>
          <w:rtl/>
        </w:rPr>
        <w:t xml:space="preserve">انتهكت </w:t>
      </w:r>
      <w:r w:rsidRPr="00AA537D">
        <w:rPr>
          <w:spacing w:val="0"/>
          <w:kern w:val="0"/>
          <w:rtl/>
        </w:rPr>
        <w:t>الدولة الطرف حقوق صاحب الشكوى بموجب الم</w:t>
      </w:r>
      <w:r w:rsidRPr="00AA537D">
        <w:rPr>
          <w:rFonts w:hint="cs"/>
          <w:spacing w:val="0"/>
          <w:kern w:val="0"/>
          <w:rtl/>
        </w:rPr>
        <w:t>واد</w:t>
      </w:r>
      <w:r w:rsidRPr="00AA537D">
        <w:rPr>
          <w:rFonts w:hint="eastAsia"/>
          <w:spacing w:val="0"/>
          <w:kern w:val="0"/>
          <w:rtl/>
        </w:rPr>
        <w:t> </w:t>
      </w:r>
      <w:r w:rsidRPr="00AA537D">
        <w:rPr>
          <w:spacing w:val="0"/>
          <w:kern w:val="0"/>
          <w:rtl/>
        </w:rPr>
        <w:t>1 و2</w:t>
      </w:r>
      <w:r w:rsidRPr="00AA537D">
        <w:rPr>
          <w:rFonts w:hint="cs"/>
          <w:spacing w:val="0"/>
          <w:kern w:val="0"/>
          <w:rtl/>
        </w:rPr>
        <w:t xml:space="preserve"> و12 و</w:t>
      </w:r>
      <w:r w:rsidRPr="00AA537D">
        <w:rPr>
          <w:spacing w:val="0"/>
          <w:kern w:val="0"/>
          <w:rtl/>
        </w:rPr>
        <w:t>13 و14 من الاتفاقية.</w:t>
      </w:r>
    </w:p>
    <w:p w:rsidR="00FA6676" w:rsidRPr="00AA537D" w:rsidRDefault="00FA6676" w:rsidP="00AA537D">
      <w:pPr>
        <w:pStyle w:val="H23GA"/>
        <w:jc w:val="lowKashida"/>
        <w:rPr>
          <w:rFonts w:hint="cs"/>
          <w:spacing w:val="0"/>
          <w:kern w:val="0"/>
          <w:szCs w:val="20"/>
          <w:rtl/>
        </w:rPr>
      </w:pPr>
      <w:r w:rsidRPr="00AA537D">
        <w:rPr>
          <w:rFonts w:hint="cs"/>
          <w:spacing w:val="0"/>
          <w:kern w:val="0"/>
          <w:rtl/>
        </w:rPr>
        <w:tab/>
      </w:r>
      <w:r w:rsidRPr="00AA537D">
        <w:rPr>
          <w:rFonts w:hint="cs"/>
          <w:spacing w:val="0"/>
          <w:kern w:val="0"/>
          <w:rtl/>
        </w:rPr>
        <w:tab/>
        <w:t>ال</w:t>
      </w:r>
      <w:r w:rsidRPr="00AA537D">
        <w:rPr>
          <w:spacing w:val="0"/>
          <w:kern w:val="0"/>
          <w:rtl/>
        </w:rPr>
        <w:t xml:space="preserve">بيانات </w:t>
      </w:r>
      <w:r w:rsidRPr="00AA537D">
        <w:rPr>
          <w:rFonts w:hint="cs"/>
          <w:spacing w:val="0"/>
          <w:kern w:val="0"/>
          <w:rtl/>
        </w:rPr>
        <w:t>الأ</w:t>
      </w:r>
      <w:r w:rsidRPr="00AA537D">
        <w:rPr>
          <w:spacing w:val="0"/>
          <w:kern w:val="0"/>
          <w:rtl/>
        </w:rPr>
        <w:t xml:space="preserve">خرى </w:t>
      </w:r>
      <w:r w:rsidRPr="00AA537D">
        <w:rPr>
          <w:rFonts w:hint="cs"/>
          <w:spacing w:val="0"/>
          <w:kern w:val="0"/>
          <w:rtl/>
        </w:rPr>
        <w:t>المقدمة من صا</w:t>
      </w:r>
      <w:r w:rsidRPr="00AA537D">
        <w:rPr>
          <w:spacing w:val="0"/>
          <w:kern w:val="0"/>
          <w:rtl/>
        </w:rPr>
        <w:t>حب الشكوى</w:t>
      </w:r>
    </w:p>
    <w:p w:rsidR="00FA6676" w:rsidRPr="00AA537D" w:rsidRDefault="00FA6676" w:rsidP="008C1013">
      <w:pPr>
        <w:pStyle w:val="SingleTxtGA"/>
        <w:jc w:val="lowKashida"/>
        <w:rPr>
          <w:rFonts w:hint="cs"/>
          <w:spacing w:val="0"/>
          <w:kern w:val="0"/>
          <w:rtl/>
        </w:rPr>
      </w:pPr>
      <w:r w:rsidRPr="00AA537D">
        <w:rPr>
          <w:rFonts w:hint="cs"/>
          <w:spacing w:val="0"/>
          <w:kern w:val="0"/>
          <w:rtl/>
        </w:rPr>
        <w:t>6-</w:t>
      </w:r>
      <w:r w:rsidRPr="00AA537D">
        <w:rPr>
          <w:rFonts w:hint="cs"/>
          <w:spacing w:val="0"/>
          <w:kern w:val="0"/>
          <w:rtl/>
        </w:rPr>
        <w:tab/>
        <w:t xml:space="preserve">في آذار/مارس 2011، </w:t>
      </w:r>
      <w:r w:rsidRPr="00AA537D">
        <w:rPr>
          <w:spacing w:val="0"/>
          <w:kern w:val="0"/>
          <w:rtl/>
        </w:rPr>
        <w:t>قدم صاحب الشكوى</w:t>
      </w:r>
      <w:r w:rsidRPr="00AA537D">
        <w:rPr>
          <w:rFonts w:hint="cs"/>
          <w:spacing w:val="0"/>
          <w:kern w:val="0"/>
          <w:rtl/>
        </w:rPr>
        <w:t xml:space="preserve"> إلى ا</w:t>
      </w:r>
      <w:r w:rsidRPr="00AA537D">
        <w:rPr>
          <w:spacing w:val="0"/>
          <w:kern w:val="0"/>
          <w:rtl/>
        </w:rPr>
        <w:t xml:space="preserve">للجنة رسالة مؤرخة 18 </w:t>
      </w:r>
      <w:r w:rsidRPr="00AA537D">
        <w:rPr>
          <w:rFonts w:hint="cs"/>
          <w:spacing w:val="0"/>
          <w:kern w:val="0"/>
          <w:rtl/>
        </w:rPr>
        <w:t>شباط/</w:t>
      </w:r>
      <w:r w:rsidRPr="00AA537D">
        <w:rPr>
          <w:spacing w:val="0"/>
          <w:kern w:val="0"/>
          <w:rtl/>
        </w:rPr>
        <w:t>فبراير 2011</w:t>
      </w:r>
      <w:r w:rsidRPr="00AA537D">
        <w:rPr>
          <w:rFonts w:hint="cs"/>
          <w:spacing w:val="0"/>
          <w:kern w:val="0"/>
          <w:rtl/>
        </w:rPr>
        <w:t>،</w:t>
      </w:r>
      <w:r w:rsidRPr="00AA537D">
        <w:rPr>
          <w:spacing w:val="0"/>
          <w:kern w:val="0"/>
          <w:rtl/>
        </w:rPr>
        <w:t xml:space="preserve"> موثقة بال</w:t>
      </w:r>
      <w:r w:rsidRPr="00AA537D">
        <w:rPr>
          <w:rFonts w:hint="cs"/>
          <w:spacing w:val="0"/>
          <w:kern w:val="0"/>
          <w:rtl/>
        </w:rPr>
        <w:t>لغة ال</w:t>
      </w:r>
      <w:r w:rsidRPr="00AA537D">
        <w:rPr>
          <w:spacing w:val="0"/>
          <w:kern w:val="0"/>
          <w:rtl/>
        </w:rPr>
        <w:t xml:space="preserve">روسية ومصحوبة بترجمة باللغة الإنكليزية (مع نسخة إلى وزارة خارجية كازاخستان) </w:t>
      </w:r>
      <w:r w:rsidRPr="00AA537D">
        <w:rPr>
          <w:rFonts w:hint="cs"/>
          <w:spacing w:val="0"/>
          <w:kern w:val="0"/>
          <w:rtl/>
        </w:rPr>
        <w:t>ي</w:t>
      </w:r>
      <w:r w:rsidRPr="00AA537D">
        <w:rPr>
          <w:spacing w:val="0"/>
          <w:kern w:val="0"/>
          <w:rtl/>
        </w:rPr>
        <w:t xml:space="preserve">طلب </w:t>
      </w:r>
      <w:r w:rsidRPr="00AA537D">
        <w:rPr>
          <w:rFonts w:hint="cs"/>
          <w:spacing w:val="0"/>
          <w:kern w:val="0"/>
          <w:rtl/>
        </w:rPr>
        <w:t xml:space="preserve">فيها </w:t>
      </w:r>
      <w:r w:rsidRPr="00AA537D">
        <w:rPr>
          <w:spacing w:val="0"/>
          <w:kern w:val="0"/>
          <w:rtl/>
        </w:rPr>
        <w:t xml:space="preserve">سحب الشكوى المقدمة باسمه في 22 </w:t>
      </w:r>
      <w:r w:rsidRPr="00AA537D">
        <w:rPr>
          <w:rFonts w:hint="cs"/>
          <w:spacing w:val="0"/>
          <w:kern w:val="0"/>
          <w:rtl/>
        </w:rPr>
        <w:t xml:space="preserve">نيسان/ </w:t>
      </w:r>
      <w:r w:rsidRPr="00AA537D">
        <w:rPr>
          <w:spacing w:val="0"/>
          <w:kern w:val="0"/>
          <w:rtl/>
        </w:rPr>
        <w:t>أبريل</w:t>
      </w:r>
      <w:r w:rsidRPr="00AA537D">
        <w:rPr>
          <w:rFonts w:hint="cs"/>
          <w:spacing w:val="0"/>
          <w:kern w:val="0"/>
          <w:rtl/>
        </w:rPr>
        <w:t> </w:t>
      </w:r>
      <w:r w:rsidRPr="00AA537D">
        <w:rPr>
          <w:spacing w:val="0"/>
          <w:kern w:val="0"/>
          <w:rtl/>
        </w:rPr>
        <w:t>2010</w:t>
      </w:r>
      <w:r w:rsidRPr="00AA537D">
        <w:rPr>
          <w:rFonts w:hint="cs"/>
          <w:spacing w:val="0"/>
          <w:kern w:val="0"/>
          <w:rtl/>
        </w:rPr>
        <w:t xml:space="preserve"> على اعتبار </w:t>
      </w:r>
      <w:r w:rsidRPr="00AA537D">
        <w:rPr>
          <w:spacing w:val="0"/>
          <w:kern w:val="0"/>
          <w:rtl/>
        </w:rPr>
        <w:t xml:space="preserve">أنه </w:t>
      </w:r>
      <w:r w:rsidRPr="00AA537D">
        <w:rPr>
          <w:rFonts w:hint="cs"/>
          <w:spacing w:val="0"/>
          <w:kern w:val="0"/>
          <w:rtl/>
        </w:rPr>
        <w:t xml:space="preserve">لم يكتب أو يوقع بنفسه على أي رسالة، فهذه الرسالة كتبتها باسمه </w:t>
      </w:r>
      <w:r w:rsidRPr="00AA537D">
        <w:rPr>
          <w:color w:val="000000"/>
          <w:spacing w:val="0"/>
          <w:kern w:val="0"/>
          <w:sz w:val="30"/>
          <w:rtl/>
        </w:rPr>
        <w:t>مبادرة</w:t>
      </w:r>
      <w:r w:rsidRPr="00AA537D">
        <w:rPr>
          <w:color w:val="000000"/>
          <w:spacing w:val="0"/>
          <w:kern w:val="0"/>
          <w:sz w:val="30"/>
        </w:rPr>
        <w:t xml:space="preserve"> </w:t>
      </w:r>
      <w:r w:rsidRPr="00AA537D">
        <w:rPr>
          <w:color w:val="000000"/>
          <w:spacing w:val="0"/>
          <w:kern w:val="0"/>
          <w:sz w:val="30"/>
          <w:rtl/>
        </w:rPr>
        <w:t>عدالة</w:t>
      </w:r>
      <w:r w:rsidRPr="00AA537D">
        <w:rPr>
          <w:color w:val="000000"/>
          <w:spacing w:val="0"/>
          <w:kern w:val="0"/>
          <w:sz w:val="30"/>
        </w:rPr>
        <w:t xml:space="preserve"> </w:t>
      </w:r>
      <w:r w:rsidRPr="00AA537D">
        <w:rPr>
          <w:color w:val="000000"/>
          <w:spacing w:val="0"/>
          <w:kern w:val="0"/>
          <w:sz w:val="30"/>
          <w:rtl/>
        </w:rPr>
        <w:t>المجتمع</w:t>
      </w:r>
      <w:r w:rsidRPr="00AA537D">
        <w:rPr>
          <w:rFonts w:hint="cs"/>
          <w:color w:val="000000"/>
          <w:spacing w:val="0"/>
          <w:kern w:val="0"/>
          <w:sz w:val="30"/>
          <w:rtl/>
        </w:rPr>
        <w:t xml:space="preserve"> </w:t>
      </w:r>
      <w:r w:rsidRPr="00AA537D">
        <w:rPr>
          <w:color w:val="000000"/>
          <w:spacing w:val="0"/>
          <w:kern w:val="0"/>
          <w:sz w:val="30"/>
          <w:rtl/>
        </w:rPr>
        <w:t>المفتوح</w:t>
      </w:r>
      <w:r w:rsidRPr="00AA537D">
        <w:rPr>
          <w:rFonts w:hint="cs"/>
          <w:spacing w:val="0"/>
          <w:kern w:val="0"/>
          <w:sz w:val="30"/>
          <w:rtl/>
        </w:rPr>
        <w:t xml:space="preserve"> و</w:t>
      </w:r>
      <w:r w:rsidRPr="00AA537D">
        <w:rPr>
          <w:color w:val="000000"/>
          <w:spacing w:val="0"/>
          <w:kern w:val="0"/>
          <w:sz w:val="30"/>
          <w:rtl/>
        </w:rPr>
        <w:t>المكتب</w:t>
      </w:r>
      <w:r w:rsidRPr="00AA537D">
        <w:rPr>
          <w:color w:val="000000"/>
          <w:spacing w:val="0"/>
          <w:kern w:val="0"/>
          <w:sz w:val="30"/>
        </w:rPr>
        <w:t xml:space="preserve"> </w:t>
      </w:r>
      <w:r w:rsidRPr="00AA537D">
        <w:rPr>
          <w:color w:val="000000"/>
          <w:spacing w:val="0"/>
          <w:kern w:val="0"/>
          <w:sz w:val="30"/>
          <w:rtl/>
        </w:rPr>
        <w:t>الدولي</w:t>
      </w:r>
      <w:r w:rsidRPr="00AA537D">
        <w:rPr>
          <w:color w:val="000000"/>
          <w:spacing w:val="0"/>
          <w:kern w:val="0"/>
          <w:sz w:val="30"/>
        </w:rPr>
        <w:t xml:space="preserve"> </w:t>
      </w:r>
      <w:r w:rsidRPr="00AA537D">
        <w:rPr>
          <w:color w:val="000000"/>
          <w:spacing w:val="0"/>
          <w:kern w:val="0"/>
          <w:sz w:val="30"/>
          <w:rtl/>
        </w:rPr>
        <w:t>الكازاخ</w:t>
      </w:r>
      <w:r w:rsidRPr="00AA537D">
        <w:rPr>
          <w:rFonts w:hint="cs"/>
          <w:color w:val="000000"/>
          <w:spacing w:val="0"/>
          <w:kern w:val="0"/>
          <w:sz w:val="30"/>
          <w:rtl/>
        </w:rPr>
        <w:t xml:space="preserve">ستاني </w:t>
      </w:r>
      <w:r w:rsidRPr="00AA537D">
        <w:rPr>
          <w:color w:val="000000"/>
          <w:spacing w:val="0"/>
          <w:kern w:val="0"/>
          <w:sz w:val="30"/>
          <w:rtl/>
        </w:rPr>
        <w:t>لحقوق</w:t>
      </w:r>
      <w:r w:rsidRPr="00AA537D">
        <w:rPr>
          <w:color w:val="000000"/>
          <w:spacing w:val="0"/>
          <w:kern w:val="0"/>
          <w:sz w:val="30"/>
        </w:rPr>
        <w:t xml:space="preserve"> </w:t>
      </w:r>
      <w:r w:rsidRPr="00AA537D">
        <w:rPr>
          <w:color w:val="000000"/>
          <w:spacing w:val="0"/>
          <w:kern w:val="0"/>
          <w:sz w:val="30"/>
          <w:rtl/>
        </w:rPr>
        <w:t>الإنسان</w:t>
      </w:r>
      <w:r w:rsidRPr="00AA537D">
        <w:rPr>
          <w:color w:val="000000"/>
          <w:spacing w:val="0"/>
          <w:kern w:val="0"/>
          <w:sz w:val="30"/>
        </w:rPr>
        <w:t xml:space="preserve"> </w:t>
      </w:r>
      <w:r w:rsidRPr="00AA537D">
        <w:rPr>
          <w:color w:val="000000"/>
          <w:spacing w:val="0"/>
          <w:kern w:val="0"/>
          <w:sz w:val="30"/>
          <w:rtl/>
        </w:rPr>
        <w:t>واحترام</w:t>
      </w:r>
      <w:r w:rsidR="008C1013">
        <w:rPr>
          <w:rFonts w:hint="cs"/>
          <w:color w:val="000000"/>
          <w:spacing w:val="0"/>
          <w:kern w:val="0"/>
          <w:sz w:val="30"/>
          <w:rtl/>
        </w:rPr>
        <w:t xml:space="preserve"> </w:t>
      </w:r>
      <w:r w:rsidRPr="00AA537D">
        <w:rPr>
          <w:color w:val="000000"/>
          <w:spacing w:val="0"/>
          <w:kern w:val="0"/>
          <w:sz w:val="30"/>
          <w:rtl/>
        </w:rPr>
        <w:t>الشرعية</w:t>
      </w:r>
      <w:r w:rsidRPr="00AA537D">
        <w:rPr>
          <w:color w:val="000000"/>
          <w:spacing w:val="0"/>
          <w:kern w:val="0"/>
          <w:sz w:val="30"/>
        </w:rPr>
        <w:t xml:space="preserve"> </w:t>
      </w:r>
      <w:r w:rsidRPr="00AA537D">
        <w:rPr>
          <w:color w:val="000000"/>
          <w:spacing w:val="0"/>
          <w:kern w:val="0"/>
          <w:sz w:val="30"/>
          <w:rtl/>
        </w:rPr>
        <w:t>القانونية</w:t>
      </w:r>
      <w:r w:rsidRPr="00AA537D">
        <w:rPr>
          <w:spacing w:val="0"/>
          <w:kern w:val="0"/>
          <w:rtl/>
        </w:rPr>
        <w:t xml:space="preserve"> </w:t>
      </w:r>
      <w:r w:rsidRPr="00AA537D">
        <w:rPr>
          <w:rFonts w:hint="cs"/>
          <w:spacing w:val="0"/>
          <w:kern w:val="0"/>
          <w:rtl/>
        </w:rPr>
        <w:t>بناء على التوكيل الذي منحه لهما للدفاع عنه</w:t>
      </w:r>
      <w:r w:rsidRPr="00AA537D">
        <w:rPr>
          <w:spacing w:val="0"/>
          <w:kern w:val="0"/>
          <w:vertAlign w:val="superscript"/>
          <w:rtl/>
        </w:rPr>
        <w:t>(</w:t>
      </w:r>
      <w:r w:rsidRPr="00AA537D">
        <w:rPr>
          <w:rStyle w:val="FootnoteReference"/>
          <w:spacing w:val="0"/>
          <w:rtl/>
        </w:rPr>
        <w:footnoteReference w:id="389"/>
      </w:r>
      <w:r w:rsidRPr="00AA537D">
        <w:rPr>
          <w:spacing w:val="0"/>
          <w:kern w:val="0"/>
          <w:vertAlign w:val="superscript"/>
          <w:rtl/>
        </w:rPr>
        <w:t>)</w:t>
      </w:r>
      <w:r w:rsidRPr="00AA537D">
        <w:rPr>
          <w:spacing w:val="0"/>
          <w:kern w:val="0"/>
          <w:rtl/>
        </w:rPr>
        <w:t>. وذكر</w:t>
      </w:r>
      <w:r w:rsidRPr="00AA537D">
        <w:rPr>
          <w:rFonts w:hint="cs"/>
          <w:spacing w:val="0"/>
          <w:kern w:val="0"/>
          <w:rtl/>
        </w:rPr>
        <w:t xml:space="preserve"> أيضاً </w:t>
      </w:r>
      <w:r w:rsidRPr="00AA537D">
        <w:rPr>
          <w:spacing w:val="0"/>
          <w:kern w:val="0"/>
          <w:rtl/>
        </w:rPr>
        <w:t xml:space="preserve">أن الشكاوى </w:t>
      </w:r>
      <w:r w:rsidRPr="00AA537D">
        <w:rPr>
          <w:rFonts w:hint="cs"/>
          <w:spacing w:val="0"/>
          <w:kern w:val="0"/>
          <w:rtl/>
        </w:rPr>
        <w:t xml:space="preserve">المقدمة </w:t>
      </w:r>
      <w:r w:rsidRPr="00AA537D">
        <w:rPr>
          <w:spacing w:val="0"/>
          <w:kern w:val="0"/>
          <w:rtl/>
        </w:rPr>
        <w:t xml:space="preserve">ضد </w:t>
      </w:r>
      <w:r w:rsidRPr="00AA537D">
        <w:rPr>
          <w:rFonts w:hint="cs"/>
          <w:spacing w:val="0"/>
          <w:kern w:val="0"/>
          <w:rtl/>
        </w:rPr>
        <w:t xml:space="preserve">أفراد </w:t>
      </w:r>
      <w:r w:rsidRPr="00AA537D">
        <w:rPr>
          <w:spacing w:val="0"/>
          <w:kern w:val="0"/>
          <w:rtl/>
        </w:rPr>
        <w:t xml:space="preserve">الشرطة </w:t>
      </w:r>
      <w:r w:rsidRPr="00AA537D">
        <w:rPr>
          <w:rFonts w:hint="cs"/>
          <w:spacing w:val="0"/>
          <w:kern w:val="0"/>
          <w:rtl/>
        </w:rPr>
        <w:t>كتبت "بعصبية</w:t>
      </w:r>
      <w:r w:rsidRPr="00AA537D">
        <w:rPr>
          <w:spacing w:val="0"/>
          <w:kern w:val="0"/>
          <w:rtl/>
        </w:rPr>
        <w:t xml:space="preserve">، </w:t>
      </w:r>
      <w:r w:rsidRPr="00AA537D">
        <w:rPr>
          <w:rFonts w:hint="cs"/>
          <w:spacing w:val="0"/>
          <w:kern w:val="0"/>
          <w:rtl/>
        </w:rPr>
        <w:t>و</w:t>
      </w:r>
      <w:r w:rsidRPr="00AA537D">
        <w:rPr>
          <w:spacing w:val="0"/>
          <w:kern w:val="0"/>
          <w:rtl/>
        </w:rPr>
        <w:t xml:space="preserve">في حالة </w:t>
      </w:r>
      <w:r w:rsidRPr="00AA537D">
        <w:rPr>
          <w:rFonts w:hint="cs"/>
          <w:spacing w:val="0"/>
          <w:kern w:val="0"/>
          <w:rtl/>
        </w:rPr>
        <w:t xml:space="preserve">نفسية </w:t>
      </w:r>
      <w:r w:rsidRPr="00AA537D">
        <w:rPr>
          <w:spacing w:val="0"/>
          <w:kern w:val="0"/>
          <w:rtl/>
        </w:rPr>
        <w:t>مؤلمة</w:t>
      </w:r>
      <w:r w:rsidRPr="00AA537D">
        <w:rPr>
          <w:rFonts w:hint="cs"/>
          <w:spacing w:val="0"/>
          <w:kern w:val="0"/>
          <w:rtl/>
        </w:rPr>
        <w:t>"،</w:t>
      </w:r>
      <w:r w:rsidRPr="00AA537D">
        <w:rPr>
          <w:spacing w:val="0"/>
          <w:kern w:val="0"/>
          <w:rtl/>
        </w:rPr>
        <w:t xml:space="preserve"> وأنه </w:t>
      </w:r>
      <w:r w:rsidRPr="00AA537D">
        <w:rPr>
          <w:rFonts w:hint="cs"/>
          <w:spacing w:val="0"/>
          <w:kern w:val="0"/>
          <w:rtl/>
        </w:rPr>
        <w:t>ليس لديه شكاوى ضد الشرطة</w:t>
      </w:r>
      <w:r w:rsidRPr="00AA537D">
        <w:rPr>
          <w:spacing w:val="0"/>
          <w:kern w:val="0"/>
          <w:vertAlign w:val="superscript"/>
          <w:rtl/>
        </w:rPr>
        <w:t>(</w:t>
      </w:r>
      <w:r w:rsidRPr="00AA537D">
        <w:rPr>
          <w:rStyle w:val="FootnoteReference"/>
          <w:spacing w:val="0"/>
          <w:rtl/>
        </w:rPr>
        <w:footnoteReference w:id="390"/>
      </w:r>
      <w:r w:rsidRPr="00AA537D">
        <w:rPr>
          <w:spacing w:val="0"/>
          <w:kern w:val="0"/>
          <w:vertAlign w:val="superscript"/>
          <w:rtl/>
        </w:rPr>
        <w:t>)</w:t>
      </w:r>
      <w:r w:rsidRPr="00AA537D">
        <w:rPr>
          <w:spacing w:val="0"/>
          <w:kern w:val="0"/>
          <w:rtl/>
        </w:rPr>
        <w:t>.</w:t>
      </w:r>
    </w:p>
    <w:p w:rsidR="00FA6676" w:rsidRPr="00AA537D" w:rsidRDefault="00FA6676" w:rsidP="00AA537D">
      <w:pPr>
        <w:pStyle w:val="H23GA"/>
        <w:jc w:val="lowKashida"/>
        <w:rPr>
          <w:rFonts w:hint="cs"/>
          <w:spacing w:val="0"/>
          <w:kern w:val="0"/>
          <w:rtl/>
          <w:lang/>
        </w:rPr>
      </w:pPr>
      <w:r w:rsidRPr="00AA537D">
        <w:rPr>
          <w:rFonts w:hint="cs"/>
          <w:spacing w:val="0"/>
          <w:kern w:val="0"/>
          <w:rtl/>
          <w:lang/>
        </w:rPr>
        <w:tab/>
      </w:r>
      <w:r w:rsidRPr="00AA537D">
        <w:rPr>
          <w:rFonts w:hint="cs"/>
          <w:spacing w:val="0"/>
          <w:kern w:val="0"/>
          <w:rtl/>
          <w:lang/>
        </w:rPr>
        <w:tab/>
        <w:t>ملاحظات الدولة الطرف بشأن المقبولية والأسس الموضوعية</w:t>
      </w:r>
    </w:p>
    <w:p w:rsidR="00FA6676" w:rsidRPr="008C1013" w:rsidRDefault="00FA6676" w:rsidP="008C1013">
      <w:pPr>
        <w:pStyle w:val="SingleTxtGA"/>
        <w:spacing w:line="370" w:lineRule="exact"/>
        <w:jc w:val="lowKashida"/>
        <w:rPr>
          <w:rFonts w:hint="cs"/>
          <w:spacing w:val="-2"/>
          <w:kern w:val="0"/>
          <w:rtl/>
        </w:rPr>
      </w:pPr>
      <w:r w:rsidRPr="008C1013">
        <w:rPr>
          <w:rFonts w:hint="cs"/>
          <w:spacing w:val="-2"/>
          <w:kern w:val="0"/>
          <w:rtl/>
          <w:lang/>
        </w:rPr>
        <w:t>7-1</w:t>
      </w:r>
      <w:r w:rsidRPr="008C1013">
        <w:rPr>
          <w:rFonts w:hint="cs"/>
          <w:spacing w:val="-2"/>
          <w:kern w:val="0"/>
          <w:rtl/>
          <w:lang w:bidi="ar-SY"/>
        </w:rPr>
        <w:tab/>
      </w:r>
      <w:r w:rsidRPr="008C1013">
        <w:rPr>
          <w:spacing w:val="-2"/>
          <w:kern w:val="0"/>
          <w:rtl/>
        </w:rPr>
        <w:t xml:space="preserve">في 14 نيسان/أبريل </w:t>
      </w:r>
      <w:r w:rsidRPr="008C1013">
        <w:rPr>
          <w:rFonts w:hint="cs"/>
          <w:spacing w:val="-2"/>
          <w:kern w:val="0"/>
          <w:rtl/>
        </w:rPr>
        <w:t>و</w:t>
      </w:r>
      <w:r w:rsidRPr="008C1013">
        <w:rPr>
          <w:spacing w:val="-2"/>
          <w:kern w:val="0"/>
          <w:rtl/>
        </w:rPr>
        <w:t xml:space="preserve">6 </w:t>
      </w:r>
      <w:r w:rsidRPr="008C1013">
        <w:rPr>
          <w:rFonts w:hint="cs"/>
          <w:spacing w:val="-2"/>
          <w:kern w:val="0"/>
          <w:rtl/>
        </w:rPr>
        <w:t>أيار/</w:t>
      </w:r>
      <w:r w:rsidRPr="008C1013">
        <w:rPr>
          <w:spacing w:val="-2"/>
          <w:kern w:val="0"/>
          <w:rtl/>
        </w:rPr>
        <w:t>مايو 2011، قدمت الدولة الطرف ملاحظات</w:t>
      </w:r>
      <w:r w:rsidRPr="008C1013">
        <w:rPr>
          <w:rFonts w:hint="cs"/>
          <w:spacing w:val="-2"/>
          <w:kern w:val="0"/>
          <w:rtl/>
        </w:rPr>
        <w:t xml:space="preserve"> إضافية</w:t>
      </w:r>
      <w:r w:rsidRPr="008C1013">
        <w:rPr>
          <w:spacing w:val="-2"/>
          <w:kern w:val="0"/>
          <w:rtl/>
        </w:rPr>
        <w:t xml:space="preserve">. </w:t>
      </w:r>
      <w:r w:rsidRPr="008C1013">
        <w:rPr>
          <w:rFonts w:hint="cs"/>
          <w:spacing w:val="-2"/>
          <w:kern w:val="0"/>
          <w:rtl/>
        </w:rPr>
        <w:t>وأفادت بأن، في 27 آذار/مارس 2007، اقتيد صاحب</w:t>
      </w:r>
      <w:r w:rsidRPr="008C1013">
        <w:rPr>
          <w:spacing w:val="-2"/>
          <w:kern w:val="0"/>
          <w:rtl/>
        </w:rPr>
        <w:t xml:space="preserve"> الشكوى وا</w:t>
      </w:r>
      <w:r w:rsidRPr="008C1013">
        <w:rPr>
          <w:rFonts w:hint="cs"/>
          <w:spacing w:val="-2"/>
          <w:kern w:val="0"/>
          <w:rtl/>
        </w:rPr>
        <w:t>ثنان من أبناء</w:t>
      </w:r>
      <w:r w:rsidRPr="008C1013">
        <w:rPr>
          <w:spacing w:val="-2"/>
          <w:kern w:val="0"/>
          <w:rtl/>
        </w:rPr>
        <w:t xml:space="preserve"> </w:t>
      </w:r>
      <w:r w:rsidRPr="008C1013">
        <w:rPr>
          <w:rFonts w:hint="cs"/>
          <w:spacing w:val="-2"/>
          <w:kern w:val="0"/>
          <w:rtl/>
        </w:rPr>
        <w:t>زوجته، المشتبه فيهم بأنهم قتلة</w:t>
      </w:r>
      <w:r w:rsidRPr="008C1013">
        <w:rPr>
          <w:spacing w:val="-2"/>
          <w:kern w:val="0"/>
          <w:rtl/>
        </w:rPr>
        <w:t xml:space="preserve"> امرأة مسنة</w:t>
      </w:r>
      <w:r w:rsidRPr="008C1013">
        <w:rPr>
          <w:rFonts w:hint="cs"/>
          <w:spacing w:val="-2"/>
          <w:kern w:val="0"/>
          <w:rtl/>
        </w:rPr>
        <w:t>،</w:t>
      </w:r>
      <w:r w:rsidRPr="008C1013">
        <w:rPr>
          <w:spacing w:val="-2"/>
          <w:kern w:val="0"/>
          <w:rtl/>
        </w:rPr>
        <w:t xml:space="preserve"> إلى إدارة الشؤون الداخلية الجنوبية. وفي 30 آذار/مارس و2 </w:t>
      </w:r>
      <w:r w:rsidRPr="008C1013">
        <w:rPr>
          <w:rFonts w:hint="cs"/>
          <w:spacing w:val="-2"/>
          <w:kern w:val="0"/>
          <w:rtl/>
        </w:rPr>
        <w:t>نيسان/</w:t>
      </w:r>
      <w:r w:rsidRPr="008C1013">
        <w:rPr>
          <w:spacing w:val="-2"/>
          <w:kern w:val="0"/>
          <w:rtl/>
        </w:rPr>
        <w:t>أبريل 2007، قدم</w:t>
      </w:r>
      <w:r w:rsidRPr="008C1013">
        <w:rPr>
          <w:rFonts w:hint="cs"/>
          <w:spacing w:val="-2"/>
          <w:kern w:val="0"/>
          <w:rtl/>
        </w:rPr>
        <w:t>وا</w:t>
      </w:r>
      <w:r w:rsidRPr="008C1013">
        <w:rPr>
          <w:spacing w:val="-2"/>
          <w:kern w:val="0"/>
          <w:rtl/>
        </w:rPr>
        <w:t xml:space="preserve"> </w:t>
      </w:r>
      <w:r w:rsidRPr="008C1013">
        <w:rPr>
          <w:rFonts w:hint="cs"/>
          <w:spacing w:val="-2"/>
          <w:kern w:val="0"/>
          <w:rtl/>
        </w:rPr>
        <w:t xml:space="preserve">بلاغاً </w:t>
      </w:r>
      <w:r w:rsidRPr="008C1013">
        <w:rPr>
          <w:spacing w:val="-2"/>
          <w:kern w:val="0"/>
          <w:rtl/>
        </w:rPr>
        <w:t xml:space="preserve">إلى مكتب المدعي العام </w:t>
      </w:r>
      <w:r w:rsidRPr="008C1013">
        <w:rPr>
          <w:rFonts w:hint="cs"/>
          <w:spacing w:val="-2"/>
          <w:kern w:val="0"/>
          <w:rtl/>
        </w:rPr>
        <w:t>ب</w:t>
      </w:r>
      <w:r w:rsidRPr="008C1013">
        <w:rPr>
          <w:spacing w:val="-2"/>
          <w:kern w:val="0"/>
          <w:rtl/>
        </w:rPr>
        <w:t xml:space="preserve">المدينة ضد </w:t>
      </w:r>
      <w:r w:rsidRPr="008C1013">
        <w:rPr>
          <w:rFonts w:hint="cs"/>
          <w:spacing w:val="-2"/>
          <w:kern w:val="0"/>
          <w:rtl/>
        </w:rPr>
        <w:t xml:space="preserve">أفراد من الشرطة التابعة لإدارة الشؤون الداخلية (أ. وب. وم.) يدّعون فيه </w:t>
      </w:r>
      <w:r w:rsidRPr="008C1013">
        <w:rPr>
          <w:spacing w:val="-2"/>
          <w:kern w:val="0"/>
          <w:rtl/>
        </w:rPr>
        <w:t xml:space="preserve">أنهم </w:t>
      </w:r>
      <w:r w:rsidRPr="008C1013">
        <w:rPr>
          <w:rFonts w:hint="cs"/>
          <w:spacing w:val="-2"/>
          <w:kern w:val="0"/>
          <w:rtl/>
        </w:rPr>
        <w:t>أساءوا</w:t>
      </w:r>
      <w:r w:rsidRPr="008C1013">
        <w:rPr>
          <w:spacing w:val="-2"/>
          <w:kern w:val="0"/>
          <w:rtl/>
        </w:rPr>
        <w:t xml:space="preserve"> معامل</w:t>
      </w:r>
      <w:r w:rsidRPr="008C1013">
        <w:rPr>
          <w:rFonts w:hint="cs"/>
          <w:spacing w:val="-2"/>
          <w:kern w:val="0"/>
          <w:rtl/>
        </w:rPr>
        <w:t xml:space="preserve">تهم لحملهم </w:t>
      </w:r>
      <w:r w:rsidRPr="008C1013">
        <w:rPr>
          <w:spacing w:val="-2"/>
          <w:kern w:val="0"/>
          <w:rtl/>
        </w:rPr>
        <w:t xml:space="preserve">على الاعتراف </w:t>
      </w:r>
      <w:r w:rsidRPr="008C1013">
        <w:rPr>
          <w:rFonts w:hint="cs"/>
          <w:spacing w:val="-2"/>
          <w:kern w:val="0"/>
          <w:rtl/>
        </w:rPr>
        <w:t xml:space="preserve">بجريمة </w:t>
      </w:r>
      <w:r w:rsidRPr="008C1013">
        <w:rPr>
          <w:spacing w:val="-2"/>
          <w:kern w:val="0"/>
          <w:rtl/>
        </w:rPr>
        <w:t xml:space="preserve">القتل. </w:t>
      </w:r>
      <w:r w:rsidRPr="008C1013">
        <w:rPr>
          <w:rFonts w:hint="cs"/>
          <w:spacing w:val="-2"/>
          <w:kern w:val="0"/>
          <w:rtl/>
        </w:rPr>
        <w:t>و</w:t>
      </w:r>
      <w:r w:rsidRPr="008C1013">
        <w:rPr>
          <w:spacing w:val="-2"/>
          <w:kern w:val="0"/>
          <w:rtl/>
        </w:rPr>
        <w:t xml:space="preserve">في 30 </w:t>
      </w:r>
      <w:r w:rsidRPr="008C1013">
        <w:rPr>
          <w:rFonts w:hint="cs"/>
          <w:spacing w:val="-2"/>
          <w:kern w:val="0"/>
          <w:rtl/>
        </w:rPr>
        <w:t>أيار/</w:t>
      </w:r>
      <w:r w:rsidRPr="008C1013">
        <w:rPr>
          <w:spacing w:val="-2"/>
          <w:kern w:val="0"/>
          <w:rtl/>
        </w:rPr>
        <w:t xml:space="preserve">مايو 2007، رفض </w:t>
      </w:r>
      <w:r w:rsidRPr="008C1013">
        <w:rPr>
          <w:rFonts w:hint="cs"/>
          <w:spacing w:val="-2"/>
          <w:kern w:val="0"/>
          <w:rtl/>
          <w:lang/>
        </w:rPr>
        <w:t xml:space="preserve">المساعد الرئيسي للمدعي العام في مدينة كوستاناي </w:t>
      </w:r>
      <w:r w:rsidRPr="008C1013">
        <w:rPr>
          <w:rFonts w:hint="cs"/>
          <w:spacing w:val="-2"/>
          <w:kern w:val="0"/>
          <w:rtl/>
        </w:rPr>
        <w:t xml:space="preserve">إجراء تحقيق </w:t>
      </w:r>
      <w:r w:rsidRPr="008C1013">
        <w:rPr>
          <w:spacing w:val="-2"/>
          <w:kern w:val="0"/>
          <w:rtl/>
        </w:rPr>
        <w:t xml:space="preserve">جنائي </w:t>
      </w:r>
      <w:r w:rsidRPr="008C1013">
        <w:rPr>
          <w:rFonts w:hint="cs"/>
          <w:spacing w:val="-2"/>
          <w:kern w:val="0"/>
          <w:rtl/>
        </w:rPr>
        <w:t xml:space="preserve">لعدم كفاية الأدلة. وفي 10 حزيران/يونيه 2007 نقض مكتب المدعي العام بالمدينة هذا القرار بسبب </w:t>
      </w:r>
      <w:r w:rsidRPr="008C1013">
        <w:rPr>
          <w:spacing w:val="-2"/>
          <w:kern w:val="0"/>
          <w:rtl/>
        </w:rPr>
        <w:t>عدم اكتمال التحقيق</w:t>
      </w:r>
      <w:r w:rsidRPr="008C1013">
        <w:rPr>
          <w:rFonts w:hint="cs"/>
          <w:spacing w:val="-2"/>
          <w:kern w:val="0"/>
          <w:rtl/>
        </w:rPr>
        <w:t>.</w:t>
      </w:r>
    </w:p>
    <w:p w:rsidR="00FA6676" w:rsidRPr="00AA537D" w:rsidRDefault="00FA6676" w:rsidP="008C1013">
      <w:pPr>
        <w:pStyle w:val="SingleTxtGA"/>
        <w:jc w:val="lowKashida"/>
        <w:rPr>
          <w:rFonts w:hint="cs"/>
          <w:spacing w:val="0"/>
          <w:kern w:val="0"/>
          <w:rtl/>
        </w:rPr>
      </w:pPr>
      <w:r w:rsidRPr="00AA537D">
        <w:rPr>
          <w:rFonts w:hint="cs"/>
          <w:spacing w:val="0"/>
          <w:kern w:val="0"/>
          <w:rtl/>
          <w:lang w:bidi="ar-SY"/>
        </w:rPr>
        <w:t>7-2</w:t>
      </w:r>
      <w:r w:rsidRPr="00AA537D">
        <w:rPr>
          <w:rFonts w:hint="cs"/>
          <w:spacing w:val="0"/>
          <w:kern w:val="0"/>
          <w:rtl/>
          <w:lang w:bidi="ar-SY"/>
        </w:rPr>
        <w:tab/>
      </w:r>
      <w:r w:rsidRPr="00AA537D">
        <w:rPr>
          <w:spacing w:val="0"/>
          <w:kern w:val="0"/>
          <w:rtl/>
        </w:rPr>
        <w:t>و</w:t>
      </w:r>
      <w:r w:rsidRPr="00AA537D">
        <w:rPr>
          <w:rFonts w:hint="cs"/>
          <w:spacing w:val="0"/>
          <w:kern w:val="0"/>
          <w:rtl/>
        </w:rPr>
        <w:t>في 12 و13 حزيران/</w:t>
      </w:r>
      <w:r w:rsidRPr="00AA537D">
        <w:rPr>
          <w:spacing w:val="0"/>
          <w:kern w:val="0"/>
          <w:rtl/>
        </w:rPr>
        <w:t>يوني</w:t>
      </w:r>
      <w:r w:rsidRPr="00AA537D">
        <w:rPr>
          <w:rFonts w:hint="cs"/>
          <w:spacing w:val="0"/>
          <w:kern w:val="0"/>
          <w:rtl/>
        </w:rPr>
        <w:t>ه</w:t>
      </w:r>
      <w:r w:rsidRPr="00AA537D">
        <w:rPr>
          <w:spacing w:val="0"/>
          <w:kern w:val="0"/>
          <w:rtl/>
        </w:rPr>
        <w:t xml:space="preserve"> 2007، قدم صاحب الشكوى </w:t>
      </w:r>
      <w:r w:rsidRPr="00AA537D">
        <w:rPr>
          <w:rFonts w:hint="cs"/>
          <w:spacing w:val="0"/>
          <w:kern w:val="0"/>
          <w:rtl/>
        </w:rPr>
        <w:t xml:space="preserve">بلاغاً </w:t>
      </w:r>
      <w:r w:rsidRPr="00AA537D">
        <w:rPr>
          <w:spacing w:val="0"/>
          <w:kern w:val="0"/>
          <w:rtl/>
        </w:rPr>
        <w:t xml:space="preserve">إلى مكتب المدعي العام الإقليمي </w:t>
      </w:r>
      <w:r w:rsidRPr="00AA537D">
        <w:rPr>
          <w:rFonts w:hint="cs"/>
          <w:spacing w:val="0"/>
          <w:kern w:val="0"/>
          <w:rtl/>
        </w:rPr>
        <w:t xml:space="preserve">يدعي فيه </w:t>
      </w:r>
      <w:r w:rsidRPr="00AA537D">
        <w:rPr>
          <w:spacing w:val="0"/>
          <w:kern w:val="0"/>
          <w:rtl/>
        </w:rPr>
        <w:t xml:space="preserve">أنه تلقى تهديدات من أشخاص مجهولين </w:t>
      </w:r>
      <w:r w:rsidRPr="00AA537D">
        <w:rPr>
          <w:rFonts w:hint="cs"/>
          <w:spacing w:val="0"/>
          <w:kern w:val="0"/>
          <w:rtl/>
        </w:rPr>
        <w:t>ل</w:t>
      </w:r>
      <w:r w:rsidRPr="00AA537D">
        <w:rPr>
          <w:spacing w:val="0"/>
          <w:kern w:val="0"/>
          <w:rtl/>
        </w:rPr>
        <w:t>سحب شكواه. و</w:t>
      </w:r>
      <w:r w:rsidRPr="00AA537D">
        <w:rPr>
          <w:rFonts w:hint="cs"/>
          <w:spacing w:val="0"/>
          <w:kern w:val="0"/>
          <w:rtl/>
        </w:rPr>
        <w:t xml:space="preserve">في 18 حزيران/يونيه 2007 </w:t>
      </w:r>
      <w:r w:rsidRPr="00AA537D">
        <w:rPr>
          <w:spacing w:val="0"/>
          <w:kern w:val="0"/>
          <w:rtl/>
        </w:rPr>
        <w:t>أحيل</w:t>
      </w:r>
      <w:r w:rsidRPr="00AA537D">
        <w:rPr>
          <w:rFonts w:hint="cs"/>
          <w:spacing w:val="0"/>
          <w:kern w:val="0"/>
          <w:rtl/>
        </w:rPr>
        <w:t xml:space="preserve"> البلاغ إلى إدارة الأمن الداخلي </w:t>
      </w:r>
      <w:r w:rsidRPr="00AA537D">
        <w:rPr>
          <w:rFonts w:hint="cs"/>
          <w:spacing w:val="0"/>
          <w:kern w:val="0"/>
          <w:rtl/>
          <w:lang w:bidi="ar-SY"/>
        </w:rPr>
        <w:t>التابعة لإدارة الشؤون الداخلية الإقليمية. وفي</w:t>
      </w:r>
      <w:r w:rsidRPr="00AA537D">
        <w:rPr>
          <w:spacing w:val="0"/>
          <w:kern w:val="0"/>
          <w:rtl/>
        </w:rPr>
        <w:t xml:space="preserve"> 25 </w:t>
      </w:r>
      <w:r w:rsidRPr="00AA537D">
        <w:rPr>
          <w:rFonts w:hint="cs"/>
          <w:spacing w:val="0"/>
          <w:kern w:val="0"/>
          <w:rtl/>
        </w:rPr>
        <w:t>حزيران/</w:t>
      </w:r>
      <w:r w:rsidRPr="00AA537D">
        <w:rPr>
          <w:spacing w:val="0"/>
          <w:kern w:val="0"/>
          <w:rtl/>
        </w:rPr>
        <w:t>يوني</w:t>
      </w:r>
      <w:r w:rsidRPr="00AA537D">
        <w:rPr>
          <w:rFonts w:hint="cs"/>
          <w:spacing w:val="0"/>
          <w:kern w:val="0"/>
          <w:rtl/>
        </w:rPr>
        <w:t>ه</w:t>
      </w:r>
      <w:r w:rsidRPr="00AA537D">
        <w:rPr>
          <w:spacing w:val="0"/>
          <w:kern w:val="0"/>
          <w:rtl/>
        </w:rPr>
        <w:t xml:space="preserve"> 2007، </w:t>
      </w:r>
      <w:r w:rsidRPr="00AA537D">
        <w:rPr>
          <w:rFonts w:hint="cs"/>
          <w:spacing w:val="0"/>
          <w:kern w:val="0"/>
          <w:rtl/>
        </w:rPr>
        <w:t xml:space="preserve">شرعت إدارة الأمن الداخلي في إجراء تحقيق </w:t>
      </w:r>
      <w:r w:rsidRPr="00AA537D">
        <w:rPr>
          <w:spacing w:val="0"/>
          <w:kern w:val="0"/>
          <w:rtl/>
        </w:rPr>
        <w:t>جنائي</w:t>
      </w:r>
      <w:r w:rsidRPr="00AA537D">
        <w:rPr>
          <w:rFonts w:hint="cs"/>
          <w:spacing w:val="0"/>
          <w:kern w:val="0"/>
          <w:rtl/>
        </w:rPr>
        <w:t xml:space="preserve"> </w:t>
      </w:r>
      <w:r w:rsidRPr="00AA537D">
        <w:rPr>
          <w:spacing w:val="0"/>
          <w:kern w:val="0"/>
          <w:rtl/>
        </w:rPr>
        <w:t xml:space="preserve">ضد </w:t>
      </w:r>
      <w:r w:rsidRPr="00AA537D">
        <w:rPr>
          <w:rFonts w:hint="cs"/>
          <w:spacing w:val="0"/>
          <w:kern w:val="0"/>
          <w:rtl/>
        </w:rPr>
        <w:t xml:space="preserve">أفراد </w:t>
      </w:r>
      <w:r w:rsidRPr="00AA537D">
        <w:rPr>
          <w:spacing w:val="0"/>
          <w:kern w:val="0"/>
          <w:rtl/>
        </w:rPr>
        <w:t xml:space="preserve">الشرطة </w:t>
      </w:r>
      <w:r w:rsidRPr="00AA537D">
        <w:rPr>
          <w:rFonts w:hint="cs"/>
          <w:spacing w:val="0"/>
          <w:kern w:val="0"/>
          <w:rtl/>
          <w:lang w:bidi="ar-SY"/>
        </w:rPr>
        <w:t xml:space="preserve">بموجب الفقرة 4(أ) من المادة 308 من القانون الجنائي (إساءة استعمال السلطة أو تجاوز حدود استعمالها). </w:t>
      </w:r>
      <w:r w:rsidRPr="00AA537D">
        <w:rPr>
          <w:spacing w:val="0"/>
          <w:kern w:val="0"/>
          <w:rtl/>
        </w:rPr>
        <w:t>و</w:t>
      </w:r>
      <w:r w:rsidRPr="00AA537D">
        <w:rPr>
          <w:rFonts w:hint="cs"/>
          <w:spacing w:val="0"/>
          <w:kern w:val="0"/>
          <w:rtl/>
        </w:rPr>
        <w:t xml:space="preserve">حفظت </w:t>
      </w:r>
      <w:r w:rsidRPr="00AA537D">
        <w:rPr>
          <w:spacing w:val="0"/>
          <w:kern w:val="0"/>
          <w:rtl/>
        </w:rPr>
        <w:t xml:space="preserve">القضية في 29 </w:t>
      </w:r>
      <w:r w:rsidRPr="00AA537D">
        <w:rPr>
          <w:rFonts w:hint="cs"/>
          <w:spacing w:val="0"/>
          <w:kern w:val="0"/>
          <w:rtl/>
        </w:rPr>
        <w:t>حزيران/</w:t>
      </w:r>
      <w:r w:rsidR="008C1013">
        <w:rPr>
          <w:rFonts w:hint="cs"/>
          <w:spacing w:val="0"/>
          <w:kern w:val="0"/>
          <w:rtl/>
        </w:rPr>
        <w:t xml:space="preserve"> </w:t>
      </w:r>
      <w:r w:rsidRPr="00AA537D">
        <w:rPr>
          <w:spacing w:val="0"/>
          <w:kern w:val="0"/>
          <w:rtl/>
        </w:rPr>
        <w:t>يونيه</w:t>
      </w:r>
      <w:r w:rsidR="008C1013">
        <w:rPr>
          <w:rFonts w:hint="cs"/>
          <w:spacing w:val="0"/>
          <w:kern w:val="0"/>
          <w:rtl/>
        </w:rPr>
        <w:t> </w:t>
      </w:r>
      <w:r w:rsidRPr="00AA537D">
        <w:rPr>
          <w:spacing w:val="0"/>
          <w:kern w:val="0"/>
          <w:rtl/>
        </w:rPr>
        <w:t>2007</w:t>
      </w:r>
      <w:r w:rsidRPr="00AA537D">
        <w:rPr>
          <w:rFonts w:hint="cs"/>
          <w:spacing w:val="0"/>
          <w:kern w:val="0"/>
          <w:rtl/>
        </w:rPr>
        <w:t xml:space="preserve"> ل</w:t>
      </w:r>
      <w:r w:rsidRPr="00AA537D">
        <w:rPr>
          <w:spacing w:val="0"/>
          <w:kern w:val="0"/>
          <w:rtl/>
        </w:rPr>
        <w:t xml:space="preserve">عدم كفاية الأدلة. </w:t>
      </w:r>
      <w:r w:rsidRPr="00AA537D">
        <w:rPr>
          <w:rFonts w:hint="cs"/>
          <w:spacing w:val="0"/>
          <w:kern w:val="0"/>
          <w:rtl/>
        </w:rPr>
        <w:t>و</w:t>
      </w:r>
      <w:r w:rsidRPr="00AA537D">
        <w:rPr>
          <w:spacing w:val="0"/>
          <w:kern w:val="0"/>
          <w:rtl/>
        </w:rPr>
        <w:t xml:space="preserve">في 27 </w:t>
      </w:r>
      <w:r w:rsidRPr="00AA537D">
        <w:rPr>
          <w:rFonts w:hint="cs"/>
          <w:spacing w:val="0"/>
          <w:kern w:val="0"/>
          <w:rtl/>
        </w:rPr>
        <w:t>حزيران/</w:t>
      </w:r>
      <w:r w:rsidRPr="00AA537D">
        <w:rPr>
          <w:spacing w:val="0"/>
          <w:kern w:val="0"/>
          <w:rtl/>
        </w:rPr>
        <w:t xml:space="preserve">يونيه 2007، </w:t>
      </w:r>
      <w:r w:rsidRPr="00AA537D">
        <w:rPr>
          <w:rFonts w:hint="cs"/>
          <w:spacing w:val="0"/>
          <w:kern w:val="0"/>
          <w:rtl/>
        </w:rPr>
        <w:t>وقّعت</w:t>
      </w:r>
      <w:r w:rsidRPr="00AA537D">
        <w:rPr>
          <w:spacing w:val="0"/>
          <w:kern w:val="0"/>
          <w:rtl/>
        </w:rPr>
        <w:t xml:space="preserve"> عقوبات تأديبية مختلفة</w:t>
      </w:r>
      <w:r w:rsidRPr="00AA537D">
        <w:rPr>
          <w:rFonts w:hint="cs"/>
          <w:spacing w:val="0"/>
          <w:kern w:val="0"/>
          <w:rtl/>
        </w:rPr>
        <w:t xml:space="preserve"> على </w:t>
      </w:r>
      <w:r w:rsidRPr="00AA537D">
        <w:rPr>
          <w:spacing w:val="0"/>
          <w:kern w:val="0"/>
          <w:rtl/>
        </w:rPr>
        <w:t xml:space="preserve">ثمانية من </w:t>
      </w:r>
      <w:r w:rsidRPr="00AA537D">
        <w:rPr>
          <w:rFonts w:hint="cs"/>
          <w:spacing w:val="0"/>
          <w:kern w:val="0"/>
          <w:rtl/>
        </w:rPr>
        <w:t>أفراد</w:t>
      </w:r>
      <w:r w:rsidRPr="00AA537D">
        <w:rPr>
          <w:spacing w:val="0"/>
          <w:kern w:val="0"/>
          <w:rtl/>
        </w:rPr>
        <w:t xml:space="preserve"> الشرطة</w:t>
      </w:r>
      <w:r w:rsidRPr="00AA537D">
        <w:rPr>
          <w:rFonts w:hint="cs"/>
          <w:spacing w:val="0"/>
          <w:kern w:val="0"/>
          <w:rtl/>
        </w:rPr>
        <w:t>،</w:t>
      </w:r>
      <w:r w:rsidRPr="00AA537D">
        <w:rPr>
          <w:spacing w:val="0"/>
          <w:kern w:val="0"/>
          <w:rtl/>
        </w:rPr>
        <w:t xml:space="preserve"> </w:t>
      </w:r>
      <w:r w:rsidRPr="00AA537D">
        <w:rPr>
          <w:rFonts w:hint="cs"/>
          <w:spacing w:val="0"/>
          <w:kern w:val="0"/>
          <w:rtl/>
        </w:rPr>
        <w:t>من بينهم أ. وب. وم.، لمخالفتهم ا</w:t>
      </w:r>
      <w:r w:rsidRPr="00AA537D">
        <w:rPr>
          <w:spacing w:val="0"/>
          <w:kern w:val="0"/>
          <w:rtl/>
        </w:rPr>
        <w:t>ل</w:t>
      </w:r>
      <w:r w:rsidRPr="00AA537D">
        <w:rPr>
          <w:rFonts w:hint="cs"/>
          <w:spacing w:val="0"/>
          <w:kern w:val="0"/>
          <w:rtl/>
        </w:rPr>
        <w:t xml:space="preserve">نظام </w:t>
      </w:r>
      <w:r w:rsidRPr="00AA537D">
        <w:rPr>
          <w:spacing w:val="0"/>
          <w:kern w:val="0"/>
          <w:rtl/>
        </w:rPr>
        <w:t xml:space="preserve">الداخلي </w:t>
      </w:r>
      <w:r w:rsidRPr="00AA537D">
        <w:rPr>
          <w:rFonts w:hint="cs"/>
          <w:spacing w:val="0"/>
          <w:kern w:val="0"/>
          <w:rtl/>
        </w:rPr>
        <w:t>وا</w:t>
      </w:r>
      <w:r w:rsidRPr="00AA537D">
        <w:rPr>
          <w:spacing w:val="0"/>
          <w:kern w:val="0"/>
          <w:rtl/>
        </w:rPr>
        <w:t>حتجاز صاحب الشكوى و</w:t>
      </w:r>
      <w:r w:rsidRPr="00AA537D">
        <w:rPr>
          <w:rFonts w:hint="cs"/>
          <w:spacing w:val="0"/>
          <w:kern w:val="0"/>
          <w:rtl/>
        </w:rPr>
        <w:t xml:space="preserve">ابني زوجته على نحو مخالف للقانون. </w:t>
      </w:r>
    </w:p>
    <w:p w:rsidR="00FA6676" w:rsidRPr="00AA537D" w:rsidRDefault="00FA6676" w:rsidP="008C1013">
      <w:pPr>
        <w:pStyle w:val="SingleTxtGA"/>
        <w:jc w:val="lowKashida"/>
        <w:rPr>
          <w:rFonts w:hint="cs"/>
          <w:spacing w:val="0"/>
          <w:kern w:val="0"/>
          <w:rtl/>
        </w:rPr>
      </w:pPr>
      <w:r w:rsidRPr="00AA537D">
        <w:rPr>
          <w:rFonts w:hint="cs"/>
          <w:spacing w:val="0"/>
          <w:kern w:val="0"/>
          <w:rtl/>
          <w:lang w:bidi="ar-SY"/>
        </w:rPr>
        <w:t>7-3</w:t>
      </w:r>
      <w:r w:rsidRPr="00AA537D">
        <w:rPr>
          <w:rFonts w:hint="cs"/>
          <w:spacing w:val="0"/>
          <w:kern w:val="0"/>
          <w:rtl/>
          <w:lang w:bidi="ar-SY"/>
        </w:rPr>
        <w:tab/>
        <w:t xml:space="preserve">وفي </w:t>
      </w:r>
      <w:r w:rsidRPr="00AA537D">
        <w:rPr>
          <w:spacing w:val="0"/>
          <w:kern w:val="0"/>
          <w:rtl/>
        </w:rPr>
        <w:t xml:space="preserve">3 </w:t>
      </w:r>
      <w:r w:rsidRPr="00AA537D">
        <w:rPr>
          <w:rFonts w:hint="cs"/>
          <w:spacing w:val="0"/>
          <w:kern w:val="0"/>
          <w:rtl/>
        </w:rPr>
        <w:t>تموز/</w:t>
      </w:r>
      <w:r w:rsidRPr="00AA537D">
        <w:rPr>
          <w:spacing w:val="0"/>
          <w:kern w:val="0"/>
          <w:rtl/>
        </w:rPr>
        <w:t xml:space="preserve">يوليه 2007، </w:t>
      </w:r>
      <w:r w:rsidRPr="00AA537D">
        <w:rPr>
          <w:rFonts w:hint="cs"/>
          <w:spacing w:val="0"/>
          <w:kern w:val="0"/>
          <w:rtl/>
        </w:rPr>
        <w:t xml:space="preserve">فتحت إدارة الأمن الداخلي باب التحقيق في القضية الجنائية من جديد، ونقض مكتب </w:t>
      </w:r>
      <w:r w:rsidRPr="00AA537D">
        <w:rPr>
          <w:spacing w:val="0"/>
          <w:kern w:val="0"/>
          <w:rtl/>
        </w:rPr>
        <w:t>المدعي العام الإقليمي</w:t>
      </w:r>
      <w:r w:rsidRPr="00AA537D">
        <w:rPr>
          <w:rFonts w:hint="cs"/>
          <w:spacing w:val="0"/>
          <w:kern w:val="0"/>
          <w:rtl/>
        </w:rPr>
        <w:t xml:space="preserve"> هذا القرار </w:t>
      </w:r>
      <w:r w:rsidRPr="00AA537D">
        <w:rPr>
          <w:spacing w:val="0"/>
          <w:kern w:val="0"/>
          <w:rtl/>
        </w:rPr>
        <w:t xml:space="preserve">في 18 </w:t>
      </w:r>
      <w:r w:rsidRPr="00AA537D">
        <w:rPr>
          <w:rFonts w:hint="cs"/>
          <w:spacing w:val="0"/>
          <w:kern w:val="0"/>
          <w:rtl/>
        </w:rPr>
        <w:t>تموز/</w:t>
      </w:r>
      <w:r w:rsidR="008C1013">
        <w:rPr>
          <w:rFonts w:hint="cs"/>
          <w:spacing w:val="0"/>
          <w:kern w:val="0"/>
          <w:rtl/>
        </w:rPr>
        <w:t xml:space="preserve"> </w:t>
      </w:r>
      <w:r w:rsidRPr="00AA537D">
        <w:rPr>
          <w:spacing w:val="0"/>
          <w:kern w:val="0"/>
          <w:rtl/>
        </w:rPr>
        <w:t>يوليه</w:t>
      </w:r>
      <w:r w:rsidR="008C1013">
        <w:rPr>
          <w:rFonts w:hint="cs"/>
          <w:spacing w:val="0"/>
          <w:kern w:val="0"/>
          <w:rtl/>
        </w:rPr>
        <w:t> </w:t>
      </w:r>
      <w:r w:rsidRPr="00AA537D">
        <w:rPr>
          <w:spacing w:val="0"/>
          <w:kern w:val="0"/>
          <w:rtl/>
        </w:rPr>
        <w:t xml:space="preserve">2007، </w:t>
      </w:r>
      <w:r w:rsidRPr="00AA537D">
        <w:rPr>
          <w:rFonts w:hint="cs"/>
          <w:spacing w:val="0"/>
          <w:kern w:val="0"/>
          <w:rtl/>
        </w:rPr>
        <w:t>و</w:t>
      </w:r>
      <w:r w:rsidRPr="00AA537D">
        <w:rPr>
          <w:spacing w:val="0"/>
          <w:kern w:val="0"/>
          <w:rtl/>
        </w:rPr>
        <w:t xml:space="preserve">أحال ملف القضية إلى </w:t>
      </w:r>
      <w:r w:rsidRPr="00AA537D">
        <w:rPr>
          <w:rFonts w:hint="cs"/>
          <w:spacing w:val="0"/>
          <w:kern w:val="0"/>
          <w:rtl/>
        </w:rPr>
        <w:t>إدارة مكافحة الجرائم الاقتصادية والفساد ل</w:t>
      </w:r>
      <w:r w:rsidRPr="00AA537D">
        <w:rPr>
          <w:spacing w:val="0"/>
          <w:kern w:val="0"/>
          <w:rtl/>
        </w:rPr>
        <w:t>مزيد من ال</w:t>
      </w:r>
      <w:r w:rsidRPr="00AA537D">
        <w:rPr>
          <w:rFonts w:hint="cs"/>
          <w:spacing w:val="0"/>
          <w:kern w:val="0"/>
          <w:rtl/>
        </w:rPr>
        <w:t>بحث</w:t>
      </w:r>
      <w:r w:rsidRPr="00AA537D">
        <w:rPr>
          <w:spacing w:val="0"/>
          <w:kern w:val="0"/>
          <w:rtl/>
        </w:rPr>
        <w:t xml:space="preserve">. وقررت </w:t>
      </w:r>
      <w:r w:rsidRPr="00AA537D">
        <w:rPr>
          <w:rFonts w:hint="cs"/>
          <w:spacing w:val="0"/>
          <w:kern w:val="0"/>
          <w:rtl/>
        </w:rPr>
        <w:t xml:space="preserve">إدارة مكافحة الجرائم الاقتصادية والفساد </w:t>
      </w:r>
      <w:r w:rsidRPr="00AA537D">
        <w:rPr>
          <w:spacing w:val="0"/>
          <w:kern w:val="0"/>
          <w:rtl/>
        </w:rPr>
        <w:t xml:space="preserve">في مناسبتين عدم </w:t>
      </w:r>
      <w:r w:rsidRPr="00AA537D">
        <w:rPr>
          <w:rFonts w:hint="cs"/>
          <w:spacing w:val="0"/>
          <w:kern w:val="0"/>
          <w:rtl/>
        </w:rPr>
        <w:t>إجراء تحقيق جن</w:t>
      </w:r>
      <w:r w:rsidRPr="00AA537D">
        <w:rPr>
          <w:spacing w:val="0"/>
          <w:kern w:val="0"/>
          <w:rtl/>
        </w:rPr>
        <w:t xml:space="preserve">ائي </w:t>
      </w:r>
      <w:r w:rsidRPr="00AA537D">
        <w:rPr>
          <w:rFonts w:hint="cs"/>
          <w:spacing w:val="0"/>
          <w:kern w:val="0"/>
          <w:rtl/>
        </w:rPr>
        <w:t>ل</w:t>
      </w:r>
      <w:r w:rsidRPr="00AA537D">
        <w:rPr>
          <w:spacing w:val="0"/>
          <w:kern w:val="0"/>
          <w:rtl/>
        </w:rPr>
        <w:t>عدم كفاية الأدلة</w:t>
      </w:r>
      <w:r w:rsidRPr="00AA537D">
        <w:rPr>
          <w:rFonts w:hint="cs"/>
          <w:spacing w:val="0"/>
          <w:kern w:val="0"/>
          <w:rtl/>
        </w:rPr>
        <w:t xml:space="preserve">، بيد أن </w:t>
      </w:r>
      <w:r w:rsidRPr="00AA537D">
        <w:rPr>
          <w:spacing w:val="0"/>
          <w:kern w:val="0"/>
          <w:rtl/>
        </w:rPr>
        <w:t>مكتب المدعي العام الإقليمي</w:t>
      </w:r>
      <w:r w:rsidRPr="00AA537D">
        <w:rPr>
          <w:rFonts w:hint="cs"/>
          <w:spacing w:val="0"/>
          <w:kern w:val="0"/>
          <w:rtl/>
        </w:rPr>
        <w:t xml:space="preserve"> نقض هذا القرار </w:t>
      </w:r>
      <w:r w:rsidRPr="00AA537D">
        <w:rPr>
          <w:spacing w:val="0"/>
          <w:kern w:val="0"/>
          <w:rtl/>
        </w:rPr>
        <w:t xml:space="preserve">بسبب عدم اكتمال التحقيق. </w:t>
      </w:r>
      <w:r w:rsidRPr="00AA537D">
        <w:rPr>
          <w:rFonts w:hint="cs"/>
          <w:spacing w:val="0"/>
          <w:kern w:val="0"/>
          <w:rtl/>
        </w:rPr>
        <w:t>و</w:t>
      </w:r>
      <w:r w:rsidRPr="00AA537D">
        <w:rPr>
          <w:spacing w:val="0"/>
          <w:kern w:val="0"/>
          <w:rtl/>
        </w:rPr>
        <w:t xml:space="preserve">في 1 </w:t>
      </w:r>
      <w:r w:rsidRPr="00AA537D">
        <w:rPr>
          <w:rFonts w:hint="cs"/>
          <w:spacing w:val="0"/>
          <w:kern w:val="0"/>
          <w:rtl/>
        </w:rPr>
        <w:t>شباط/</w:t>
      </w:r>
      <w:r w:rsidRPr="00AA537D">
        <w:rPr>
          <w:spacing w:val="0"/>
          <w:kern w:val="0"/>
          <w:rtl/>
        </w:rPr>
        <w:t>فبراير 2008، رفض</w:t>
      </w:r>
      <w:r w:rsidRPr="00AA537D">
        <w:rPr>
          <w:rFonts w:hint="cs"/>
          <w:spacing w:val="0"/>
          <w:kern w:val="0"/>
          <w:rtl/>
        </w:rPr>
        <w:t>ت إدارة مكافحة الجرائم الاقتصادية والفساد</w:t>
      </w:r>
      <w:r w:rsidRPr="00AA537D">
        <w:rPr>
          <w:spacing w:val="0"/>
          <w:kern w:val="0"/>
          <w:rtl/>
        </w:rPr>
        <w:t xml:space="preserve"> مرة أخرى </w:t>
      </w:r>
      <w:r w:rsidRPr="00AA537D">
        <w:rPr>
          <w:rFonts w:hint="cs"/>
          <w:spacing w:val="0"/>
          <w:kern w:val="0"/>
          <w:rtl/>
        </w:rPr>
        <w:t xml:space="preserve">إجراء تحقيق </w:t>
      </w:r>
      <w:r w:rsidRPr="00AA537D">
        <w:rPr>
          <w:spacing w:val="0"/>
          <w:kern w:val="0"/>
          <w:rtl/>
        </w:rPr>
        <w:t xml:space="preserve">جنائي </w:t>
      </w:r>
      <w:r w:rsidRPr="00AA537D">
        <w:rPr>
          <w:rFonts w:hint="cs"/>
          <w:spacing w:val="0"/>
          <w:kern w:val="0"/>
          <w:rtl/>
        </w:rPr>
        <w:t>ل</w:t>
      </w:r>
      <w:r w:rsidRPr="00AA537D">
        <w:rPr>
          <w:spacing w:val="0"/>
          <w:kern w:val="0"/>
          <w:rtl/>
        </w:rPr>
        <w:t xml:space="preserve">عدم كفاية الأدلة. </w:t>
      </w:r>
      <w:r w:rsidRPr="00AA537D">
        <w:rPr>
          <w:rFonts w:hint="cs"/>
          <w:spacing w:val="0"/>
          <w:kern w:val="0"/>
          <w:rtl/>
        </w:rPr>
        <w:t>و</w:t>
      </w:r>
      <w:r w:rsidRPr="00AA537D">
        <w:rPr>
          <w:spacing w:val="0"/>
          <w:kern w:val="0"/>
          <w:rtl/>
        </w:rPr>
        <w:t xml:space="preserve">باستثناء </w:t>
      </w:r>
      <w:r w:rsidRPr="00AA537D">
        <w:rPr>
          <w:rFonts w:hint="cs"/>
          <w:spacing w:val="0"/>
          <w:kern w:val="0"/>
          <w:rtl/>
        </w:rPr>
        <w:t>الأقوال ال</w:t>
      </w:r>
      <w:r w:rsidRPr="00AA537D">
        <w:rPr>
          <w:spacing w:val="0"/>
          <w:kern w:val="0"/>
          <w:rtl/>
        </w:rPr>
        <w:t xml:space="preserve">متناقضة </w:t>
      </w:r>
      <w:r w:rsidRPr="00AA537D">
        <w:rPr>
          <w:rFonts w:hint="cs"/>
          <w:spacing w:val="0"/>
          <w:kern w:val="0"/>
          <w:rtl/>
        </w:rPr>
        <w:t>وغير المتسقة ل</w:t>
      </w:r>
      <w:r w:rsidRPr="00AA537D">
        <w:rPr>
          <w:spacing w:val="0"/>
          <w:kern w:val="0"/>
          <w:rtl/>
        </w:rPr>
        <w:t xml:space="preserve">صاحب الشكوى ونتائج الفحص الطبي الشرعي، </w:t>
      </w:r>
      <w:r w:rsidRPr="00AA537D">
        <w:rPr>
          <w:rFonts w:hint="cs"/>
          <w:spacing w:val="0"/>
          <w:kern w:val="0"/>
          <w:rtl/>
        </w:rPr>
        <w:t xml:space="preserve">لم توجد </w:t>
      </w:r>
      <w:r w:rsidRPr="00AA537D">
        <w:rPr>
          <w:spacing w:val="0"/>
          <w:kern w:val="0"/>
          <w:rtl/>
        </w:rPr>
        <w:t>أي أدلة أخرى ت</w:t>
      </w:r>
      <w:r w:rsidRPr="00AA537D">
        <w:rPr>
          <w:rFonts w:hint="cs"/>
          <w:spacing w:val="0"/>
          <w:kern w:val="0"/>
          <w:rtl/>
        </w:rPr>
        <w:t>ؤيد</w:t>
      </w:r>
      <w:r w:rsidRPr="00AA537D">
        <w:rPr>
          <w:spacing w:val="0"/>
          <w:kern w:val="0"/>
          <w:rtl/>
        </w:rPr>
        <w:t xml:space="preserve"> ادعاءاته. </w:t>
      </w:r>
      <w:r w:rsidRPr="00AA537D">
        <w:rPr>
          <w:rFonts w:hint="cs"/>
          <w:spacing w:val="0"/>
          <w:kern w:val="0"/>
          <w:rtl/>
        </w:rPr>
        <w:t>و</w:t>
      </w:r>
      <w:r w:rsidRPr="00AA537D">
        <w:rPr>
          <w:spacing w:val="0"/>
          <w:kern w:val="0"/>
          <w:rtl/>
        </w:rPr>
        <w:t xml:space="preserve">استنفدت جميع السبل </w:t>
      </w:r>
      <w:r w:rsidRPr="00AA537D">
        <w:rPr>
          <w:rFonts w:hint="cs"/>
          <w:spacing w:val="0"/>
          <w:kern w:val="0"/>
          <w:rtl/>
        </w:rPr>
        <w:t xml:space="preserve">المتاحة </w:t>
      </w:r>
      <w:r w:rsidRPr="00AA537D">
        <w:rPr>
          <w:spacing w:val="0"/>
          <w:kern w:val="0"/>
          <w:rtl/>
        </w:rPr>
        <w:t>لجمع أدلة إضافية.</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7-4</w:t>
      </w:r>
      <w:r w:rsidRPr="00AA537D">
        <w:rPr>
          <w:rFonts w:hint="cs"/>
          <w:spacing w:val="0"/>
          <w:kern w:val="0"/>
          <w:rtl/>
          <w:lang w:bidi="ar-SY"/>
        </w:rPr>
        <w:tab/>
        <w:t>وفي 6 كانون الأول/</w:t>
      </w:r>
      <w:r w:rsidRPr="00AA537D">
        <w:rPr>
          <w:spacing w:val="0"/>
          <w:kern w:val="0"/>
          <w:rtl/>
        </w:rPr>
        <w:t xml:space="preserve">ديسمبر 2010، </w:t>
      </w:r>
      <w:r w:rsidRPr="00AA537D">
        <w:rPr>
          <w:rFonts w:hint="cs"/>
          <w:spacing w:val="0"/>
          <w:kern w:val="0"/>
          <w:rtl/>
        </w:rPr>
        <w:t xml:space="preserve">ولإجراء </w:t>
      </w:r>
      <w:r w:rsidRPr="00AA537D">
        <w:rPr>
          <w:spacing w:val="0"/>
          <w:kern w:val="0"/>
          <w:rtl/>
        </w:rPr>
        <w:t xml:space="preserve">تحقق من الادعاءات التي قدمها صاحب الشكوى إلى اللجنة، ألغى </w:t>
      </w:r>
      <w:r w:rsidRPr="00AA537D">
        <w:rPr>
          <w:rFonts w:hint="cs"/>
          <w:spacing w:val="0"/>
          <w:kern w:val="0"/>
          <w:rtl/>
        </w:rPr>
        <w:t>مكتب المدعي العام قرار إدارة مكافحة الجرائم الاقتصادية والفساد</w:t>
      </w:r>
      <w:r w:rsidRPr="00AA537D">
        <w:rPr>
          <w:spacing w:val="0"/>
          <w:kern w:val="0"/>
          <w:rtl/>
        </w:rPr>
        <w:t xml:space="preserve"> </w:t>
      </w:r>
      <w:r w:rsidRPr="00AA537D">
        <w:rPr>
          <w:rFonts w:hint="cs"/>
          <w:spacing w:val="0"/>
          <w:kern w:val="0"/>
          <w:rtl/>
        </w:rPr>
        <w:t xml:space="preserve">الصادر في </w:t>
      </w:r>
      <w:r w:rsidRPr="00AA537D">
        <w:rPr>
          <w:spacing w:val="0"/>
          <w:kern w:val="0"/>
          <w:rtl/>
        </w:rPr>
        <w:t xml:space="preserve">1 </w:t>
      </w:r>
      <w:r w:rsidRPr="00AA537D">
        <w:rPr>
          <w:rFonts w:hint="cs"/>
          <w:spacing w:val="0"/>
          <w:kern w:val="0"/>
          <w:rtl/>
        </w:rPr>
        <w:t>شباط/</w:t>
      </w:r>
      <w:r w:rsidRPr="00AA537D">
        <w:rPr>
          <w:spacing w:val="0"/>
          <w:kern w:val="0"/>
          <w:rtl/>
        </w:rPr>
        <w:t xml:space="preserve">فبراير 2008 </w:t>
      </w:r>
      <w:r w:rsidRPr="00AA537D">
        <w:rPr>
          <w:rFonts w:hint="cs"/>
          <w:spacing w:val="0"/>
          <w:kern w:val="0"/>
          <w:rtl/>
        </w:rPr>
        <w:t xml:space="preserve">وأجري تحقيق </w:t>
      </w:r>
      <w:r w:rsidRPr="00AA537D">
        <w:rPr>
          <w:spacing w:val="0"/>
          <w:kern w:val="0"/>
          <w:rtl/>
        </w:rPr>
        <w:t xml:space="preserve">جنائي </w:t>
      </w:r>
      <w:r w:rsidRPr="00AA537D">
        <w:rPr>
          <w:rFonts w:hint="cs"/>
          <w:spacing w:val="0"/>
          <w:kern w:val="0"/>
          <w:rtl/>
        </w:rPr>
        <w:t>مع</w:t>
      </w:r>
      <w:r w:rsidRPr="00AA537D">
        <w:rPr>
          <w:spacing w:val="0"/>
          <w:kern w:val="0"/>
          <w:rtl/>
        </w:rPr>
        <w:t xml:space="preserve"> </w:t>
      </w:r>
      <w:r w:rsidRPr="00AA537D">
        <w:rPr>
          <w:rFonts w:hint="cs"/>
          <w:spacing w:val="0"/>
          <w:kern w:val="0"/>
          <w:rtl/>
        </w:rPr>
        <w:t xml:space="preserve">أفراد </w:t>
      </w:r>
      <w:r w:rsidRPr="00AA537D">
        <w:rPr>
          <w:spacing w:val="0"/>
          <w:kern w:val="0"/>
          <w:rtl/>
        </w:rPr>
        <w:t xml:space="preserve">الشرطة </w:t>
      </w:r>
      <w:r w:rsidRPr="00AA537D">
        <w:rPr>
          <w:rFonts w:hint="cs"/>
          <w:spacing w:val="0"/>
          <w:kern w:val="0"/>
          <w:rtl/>
          <w:lang w:bidi="ar-SY"/>
        </w:rPr>
        <w:t>بموجب الفقرة 2(أ) من المادة 347-1 من القانون الجنائي (التعذيب).</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lang w:bidi="ar-SY"/>
        </w:rPr>
        <w:t>7-5</w:t>
      </w:r>
      <w:r w:rsidRPr="00AA537D">
        <w:rPr>
          <w:rFonts w:hint="cs"/>
          <w:spacing w:val="0"/>
          <w:kern w:val="0"/>
          <w:rtl/>
          <w:lang w:bidi="ar-SY"/>
        </w:rPr>
        <w:tab/>
      </w:r>
      <w:r w:rsidRPr="00AA537D">
        <w:rPr>
          <w:rFonts w:hint="cs"/>
          <w:spacing w:val="0"/>
          <w:kern w:val="0"/>
          <w:rtl/>
        </w:rPr>
        <w:t>وأثناء</w:t>
      </w:r>
      <w:r w:rsidRPr="00AA537D">
        <w:rPr>
          <w:spacing w:val="0"/>
          <w:kern w:val="0"/>
          <w:rtl/>
        </w:rPr>
        <w:t xml:space="preserve"> </w:t>
      </w:r>
      <w:r w:rsidRPr="00AA537D">
        <w:rPr>
          <w:rFonts w:hint="cs"/>
          <w:spacing w:val="0"/>
          <w:kern w:val="0"/>
          <w:rtl/>
        </w:rPr>
        <w:t>الا</w:t>
      </w:r>
      <w:r w:rsidRPr="00AA537D">
        <w:rPr>
          <w:spacing w:val="0"/>
          <w:kern w:val="0"/>
          <w:rtl/>
        </w:rPr>
        <w:t xml:space="preserve">ستجواب، </w:t>
      </w:r>
      <w:r w:rsidRPr="00AA537D">
        <w:rPr>
          <w:rFonts w:hint="cs"/>
          <w:spacing w:val="0"/>
          <w:kern w:val="0"/>
          <w:rtl/>
        </w:rPr>
        <w:t xml:space="preserve">قال صاحب الشكوى إنه عندما توجه إلى مركز الشرطة في </w:t>
      </w:r>
      <w:r w:rsidRPr="00AA537D">
        <w:rPr>
          <w:spacing w:val="0"/>
          <w:kern w:val="0"/>
          <w:rtl/>
        </w:rPr>
        <w:t xml:space="preserve">27 </w:t>
      </w:r>
      <w:r w:rsidRPr="00AA537D">
        <w:rPr>
          <w:rFonts w:hint="cs"/>
          <w:spacing w:val="0"/>
          <w:kern w:val="0"/>
          <w:rtl/>
        </w:rPr>
        <w:t>آذار/</w:t>
      </w:r>
      <w:r w:rsidRPr="00AA537D">
        <w:rPr>
          <w:spacing w:val="0"/>
          <w:kern w:val="0"/>
          <w:rtl/>
        </w:rPr>
        <w:t>مارس 2007</w:t>
      </w:r>
      <w:r w:rsidRPr="00AA537D">
        <w:rPr>
          <w:rFonts w:hint="cs"/>
          <w:spacing w:val="0"/>
          <w:kern w:val="0"/>
          <w:rtl/>
        </w:rPr>
        <w:t xml:space="preserve"> للسؤال عن احتجاز ابن زوجته، تم اقتياده </w:t>
      </w:r>
      <w:r w:rsidRPr="00AA537D">
        <w:rPr>
          <w:spacing w:val="0"/>
          <w:kern w:val="0"/>
          <w:rtl/>
        </w:rPr>
        <w:t>إلى الطابق الثالث حيث أس</w:t>
      </w:r>
      <w:r w:rsidRPr="00AA537D">
        <w:rPr>
          <w:rFonts w:hint="cs"/>
          <w:spacing w:val="0"/>
          <w:kern w:val="0"/>
          <w:rtl/>
        </w:rPr>
        <w:t xml:space="preserve">اء </w:t>
      </w:r>
      <w:r w:rsidRPr="00AA537D">
        <w:rPr>
          <w:spacing w:val="0"/>
          <w:kern w:val="0"/>
          <w:rtl/>
        </w:rPr>
        <w:t xml:space="preserve">ثلاثة من </w:t>
      </w:r>
      <w:r w:rsidRPr="00AA537D">
        <w:rPr>
          <w:rFonts w:hint="cs"/>
          <w:spacing w:val="0"/>
          <w:kern w:val="0"/>
          <w:rtl/>
        </w:rPr>
        <w:t xml:space="preserve">أفراد الشرطة معاملته </w:t>
      </w:r>
      <w:r w:rsidRPr="00AA537D">
        <w:rPr>
          <w:spacing w:val="0"/>
          <w:kern w:val="0"/>
          <w:rtl/>
        </w:rPr>
        <w:t>من أجل الحصول على اعتراف بقتل جار</w:t>
      </w:r>
      <w:r w:rsidRPr="00AA537D">
        <w:rPr>
          <w:rFonts w:hint="cs"/>
          <w:spacing w:val="0"/>
          <w:kern w:val="0"/>
          <w:rtl/>
        </w:rPr>
        <w:t>ت</w:t>
      </w:r>
      <w:r w:rsidRPr="00AA537D">
        <w:rPr>
          <w:spacing w:val="0"/>
          <w:kern w:val="0"/>
          <w:rtl/>
        </w:rPr>
        <w:t xml:space="preserve">ه. </w:t>
      </w:r>
      <w:r w:rsidRPr="00AA537D">
        <w:rPr>
          <w:rFonts w:hint="cs"/>
          <w:spacing w:val="0"/>
          <w:kern w:val="0"/>
          <w:rtl/>
        </w:rPr>
        <w:t>و</w:t>
      </w:r>
      <w:r w:rsidRPr="00AA537D">
        <w:rPr>
          <w:spacing w:val="0"/>
          <w:kern w:val="0"/>
          <w:rtl/>
        </w:rPr>
        <w:t>قضى الليل على كرسي تحت إشراف أحد رجال الشرطة، و</w:t>
      </w:r>
      <w:r w:rsidRPr="00AA537D">
        <w:rPr>
          <w:rFonts w:hint="cs"/>
          <w:spacing w:val="0"/>
          <w:kern w:val="0"/>
          <w:rtl/>
        </w:rPr>
        <w:t>قام أحد المحققين باس</w:t>
      </w:r>
      <w:r w:rsidRPr="00AA537D">
        <w:rPr>
          <w:spacing w:val="0"/>
          <w:kern w:val="0"/>
          <w:rtl/>
        </w:rPr>
        <w:t xml:space="preserve">تجوابه في صباح اليوم التالي. </w:t>
      </w:r>
      <w:r w:rsidRPr="00AA537D">
        <w:rPr>
          <w:rFonts w:hint="cs"/>
          <w:spacing w:val="0"/>
          <w:kern w:val="0"/>
          <w:rtl/>
        </w:rPr>
        <w:t>وبعد</w:t>
      </w:r>
      <w:r w:rsidRPr="00AA537D">
        <w:rPr>
          <w:spacing w:val="0"/>
          <w:kern w:val="0"/>
          <w:rtl/>
        </w:rPr>
        <w:t xml:space="preserve"> الإفراج عنه </w:t>
      </w:r>
      <w:r w:rsidRPr="00AA537D">
        <w:rPr>
          <w:rFonts w:hint="cs"/>
          <w:spacing w:val="0"/>
          <w:kern w:val="0"/>
          <w:rtl/>
        </w:rPr>
        <w:t xml:space="preserve">في </w:t>
      </w:r>
      <w:r w:rsidRPr="00AA537D">
        <w:rPr>
          <w:spacing w:val="0"/>
          <w:kern w:val="0"/>
          <w:rtl/>
        </w:rPr>
        <w:t xml:space="preserve">28 </w:t>
      </w:r>
      <w:r w:rsidRPr="00AA537D">
        <w:rPr>
          <w:rFonts w:hint="cs"/>
          <w:spacing w:val="0"/>
          <w:kern w:val="0"/>
          <w:rtl/>
        </w:rPr>
        <w:t>آذار/</w:t>
      </w:r>
      <w:r w:rsidRPr="00AA537D">
        <w:rPr>
          <w:spacing w:val="0"/>
          <w:kern w:val="0"/>
          <w:rtl/>
        </w:rPr>
        <w:t xml:space="preserve">مارس 2007، </w:t>
      </w:r>
      <w:r w:rsidRPr="00AA537D">
        <w:rPr>
          <w:rFonts w:hint="cs"/>
          <w:spacing w:val="0"/>
          <w:kern w:val="0"/>
          <w:rtl/>
        </w:rPr>
        <w:t xml:space="preserve">دخل </w:t>
      </w:r>
      <w:r w:rsidRPr="00AA537D">
        <w:rPr>
          <w:spacing w:val="0"/>
          <w:kern w:val="0"/>
          <w:rtl/>
        </w:rPr>
        <w:t>مستشفى مدينة كوستاناي</w:t>
      </w:r>
      <w:r w:rsidRPr="00AA537D">
        <w:rPr>
          <w:rFonts w:hint="cs"/>
          <w:spacing w:val="0"/>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7-6</w:t>
      </w:r>
      <w:r w:rsidRPr="00AA537D">
        <w:rPr>
          <w:rFonts w:hint="cs"/>
          <w:spacing w:val="0"/>
          <w:kern w:val="0"/>
          <w:rtl/>
          <w:lang w:bidi="ar-SY"/>
        </w:rPr>
        <w:tab/>
        <w:t xml:space="preserve">وعند سؤال </w:t>
      </w:r>
      <w:r w:rsidRPr="00AA537D">
        <w:rPr>
          <w:spacing w:val="0"/>
          <w:kern w:val="0"/>
          <w:rtl/>
        </w:rPr>
        <w:t>زوجة صاحب الشكوى</w:t>
      </w:r>
      <w:r w:rsidRPr="00AA537D">
        <w:rPr>
          <w:rFonts w:hint="cs"/>
          <w:spacing w:val="0"/>
          <w:kern w:val="0"/>
          <w:rtl/>
        </w:rPr>
        <w:t xml:space="preserve"> وابنيها وصديقهما بوصفهم من الشهود</w:t>
      </w:r>
      <w:r w:rsidRPr="00AA537D">
        <w:rPr>
          <w:spacing w:val="0"/>
          <w:kern w:val="0"/>
          <w:rtl/>
        </w:rPr>
        <w:t>، رفض</w:t>
      </w:r>
      <w:r w:rsidRPr="00AA537D">
        <w:rPr>
          <w:rFonts w:hint="cs"/>
          <w:spacing w:val="0"/>
          <w:kern w:val="0"/>
          <w:rtl/>
        </w:rPr>
        <w:t>وا الإدلاء بأقوالهم</w:t>
      </w:r>
      <w:r w:rsidRPr="00AA537D">
        <w:rPr>
          <w:spacing w:val="0"/>
          <w:kern w:val="0"/>
          <w:rtl/>
        </w:rPr>
        <w:t xml:space="preserve"> </w:t>
      </w:r>
      <w:r w:rsidRPr="00AA537D">
        <w:rPr>
          <w:rFonts w:hint="cs"/>
          <w:spacing w:val="0"/>
          <w:kern w:val="0"/>
          <w:rtl/>
        </w:rPr>
        <w:t>و</w:t>
      </w:r>
      <w:r w:rsidRPr="00AA537D">
        <w:rPr>
          <w:spacing w:val="0"/>
          <w:kern w:val="0"/>
          <w:rtl/>
        </w:rPr>
        <w:t>طلب</w:t>
      </w:r>
      <w:r w:rsidRPr="00AA537D">
        <w:rPr>
          <w:rFonts w:hint="cs"/>
          <w:spacing w:val="0"/>
          <w:kern w:val="0"/>
          <w:rtl/>
        </w:rPr>
        <w:t>وا حفظ</w:t>
      </w:r>
      <w:r w:rsidRPr="00AA537D">
        <w:rPr>
          <w:spacing w:val="0"/>
          <w:kern w:val="0"/>
          <w:rtl/>
        </w:rPr>
        <w:t xml:space="preserve"> التحقيق و</w:t>
      </w:r>
      <w:r w:rsidRPr="00AA537D">
        <w:rPr>
          <w:rFonts w:hint="cs"/>
          <w:spacing w:val="0"/>
          <w:kern w:val="0"/>
          <w:rtl/>
        </w:rPr>
        <w:t xml:space="preserve">قالوا إنهم ليست </w:t>
      </w:r>
      <w:r w:rsidRPr="00AA537D">
        <w:rPr>
          <w:spacing w:val="0"/>
          <w:kern w:val="0"/>
          <w:rtl/>
        </w:rPr>
        <w:t xml:space="preserve">لهم </w:t>
      </w:r>
      <w:r w:rsidRPr="00AA537D">
        <w:rPr>
          <w:rFonts w:hint="cs"/>
          <w:spacing w:val="0"/>
          <w:kern w:val="0"/>
          <w:rtl/>
        </w:rPr>
        <w:t xml:space="preserve">ادعاءات </w:t>
      </w:r>
      <w:r w:rsidRPr="00AA537D">
        <w:rPr>
          <w:spacing w:val="0"/>
          <w:kern w:val="0"/>
          <w:rtl/>
        </w:rPr>
        <w:t xml:space="preserve">ضد </w:t>
      </w:r>
      <w:r w:rsidRPr="00AA537D">
        <w:rPr>
          <w:rFonts w:hint="cs"/>
          <w:spacing w:val="0"/>
          <w:kern w:val="0"/>
          <w:rtl/>
        </w:rPr>
        <w:t xml:space="preserve">أفراد </w:t>
      </w:r>
      <w:r w:rsidRPr="00AA537D">
        <w:rPr>
          <w:spacing w:val="0"/>
          <w:kern w:val="0"/>
          <w:rtl/>
        </w:rPr>
        <w:t xml:space="preserve">الشرطة، </w:t>
      </w:r>
      <w:r w:rsidRPr="00AA537D">
        <w:rPr>
          <w:rFonts w:hint="cs"/>
          <w:spacing w:val="0"/>
          <w:kern w:val="0"/>
          <w:rtl/>
        </w:rPr>
        <w:t>على ال</w:t>
      </w:r>
      <w:r w:rsidRPr="00AA537D">
        <w:rPr>
          <w:spacing w:val="0"/>
          <w:kern w:val="0"/>
          <w:rtl/>
        </w:rPr>
        <w:t xml:space="preserve">رغم </w:t>
      </w:r>
      <w:r w:rsidRPr="00AA537D">
        <w:rPr>
          <w:rFonts w:hint="cs"/>
          <w:spacing w:val="0"/>
          <w:kern w:val="0"/>
          <w:rtl/>
        </w:rPr>
        <w:t xml:space="preserve">من ادعاء ابني زوجة صاحب الشكوى في التحقيق الأوّلي بأنهما </w:t>
      </w:r>
      <w:r w:rsidRPr="00AA537D">
        <w:rPr>
          <w:spacing w:val="0"/>
          <w:kern w:val="0"/>
          <w:rtl/>
        </w:rPr>
        <w:t xml:space="preserve">تعرضا </w:t>
      </w:r>
      <w:r w:rsidRPr="00AA537D">
        <w:rPr>
          <w:rFonts w:hint="cs"/>
          <w:spacing w:val="0"/>
          <w:kern w:val="0"/>
          <w:rtl/>
        </w:rPr>
        <w:t xml:space="preserve">لسوء المعاملة </w:t>
      </w:r>
      <w:r w:rsidRPr="00AA537D">
        <w:rPr>
          <w:spacing w:val="0"/>
          <w:kern w:val="0"/>
          <w:rtl/>
        </w:rPr>
        <w:t xml:space="preserve">من </w:t>
      </w:r>
      <w:r w:rsidRPr="00AA537D">
        <w:rPr>
          <w:rFonts w:hint="cs"/>
          <w:spacing w:val="0"/>
          <w:kern w:val="0"/>
          <w:rtl/>
        </w:rPr>
        <w:t xml:space="preserve">جانب أفراد </w:t>
      </w:r>
      <w:r w:rsidRPr="00AA537D">
        <w:rPr>
          <w:spacing w:val="0"/>
          <w:kern w:val="0"/>
          <w:rtl/>
        </w:rPr>
        <w:t xml:space="preserve">الشرطة </w:t>
      </w:r>
      <w:r w:rsidRPr="00AA537D">
        <w:rPr>
          <w:rFonts w:hint="cs"/>
          <w:spacing w:val="0"/>
          <w:kern w:val="0"/>
          <w:rtl/>
        </w:rPr>
        <w:t xml:space="preserve">لحملهما </w:t>
      </w:r>
      <w:r w:rsidRPr="00AA537D">
        <w:rPr>
          <w:spacing w:val="0"/>
          <w:kern w:val="0"/>
          <w:rtl/>
        </w:rPr>
        <w:t>على الاعتراف بقتل جارتهم.</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7-7</w:t>
      </w:r>
      <w:r w:rsidRPr="00AA537D">
        <w:rPr>
          <w:rFonts w:hint="cs"/>
          <w:spacing w:val="0"/>
          <w:kern w:val="0"/>
          <w:rtl/>
          <w:lang w:bidi="ar-SY"/>
        </w:rPr>
        <w:tab/>
        <w:t xml:space="preserve">وفي سياق </w:t>
      </w:r>
      <w:r w:rsidRPr="00AA537D">
        <w:rPr>
          <w:spacing w:val="0"/>
          <w:kern w:val="0"/>
          <w:rtl/>
        </w:rPr>
        <w:t>التحقيق ا</w:t>
      </w:r>
      <w:r w:rsidRPr="00AA537D">
        <w:rPr>
          <w:rFonts w:hint="cs"/>
          <w:spacing w:val="0"/>
          <w:kern w:val="0"/>
          <w:rtl/>
        </w:rPr>
        <w:t>لأوّلي</w:t>
      </w:r>
      <w:r w:rsidRPr="00AA537D">
        <w:rPr>
          <w:spacing w:val="0"/>
          <w:kern w:val="0"/>
          <w:rtl/>
        </w:rPr>
        <w:t xml:space="preserve">، </w:t>
      </w:r>
      <w:r w:rsidRPr="00AA537D">
        <w:rPr>
          <w:rFonts w:hint="cs"/>
          <w:spacing w:val="0"/>
          <w:kern w:val="0"/>
          <w:rtl/>
        </w:rPr>
        <w:t xml:space="preserve">قدم </w:t>
      </w:r>
      <w:r w:rsidRPr="00AA537D">
        <w:rPr>
          <w:spacing w:val="0"/>
          <w:kern w:val="0"/>
          <w:rtl/>
        </w:rPr>
        <w:t xml:space="preserve">صاحب الشكوى بيانات متناقضة. </w:t>
      </w:r>
      <w:r w:rsidRPr="00AA537D">
        <w:rPr>
          <w:rFonts w:hint="cs"/>
          <w:spacing w:val="0"/>
          <w:kern w:val="0"/>
          <w:rtl/>
        </w:rPr>
        <w:t xml:space="preserve">وعند </w:t>
      </w:r>
      <w:r w:rsidRPr="00AA537D">
        <w:rPr>
          <w:spacing w:val="0"/>
          <w:kern w:val="0"/>
          <w:rtl/>
        </w:rPr>
        <w:t>مواجه</w:t>
      </w:r>
      <w:r w:rsidRPr="00AA537D">
        <w:rPr>
          <w:rFonts w:hint="cs"/>
          <w:spacing w:val="0"/>
          <w:kern w:val="0"/>
          <w:rtl/>
        </w:rPr>
        <w:t>ته</w:t>
      </w:r>
      <w:r w:rsidRPr="00AA537D">
        <w:rPr>
          <w:spacing w:val="0"/>
          <w:kern w:val="0"/>
          <w:rtl/>
        </w:rPr>
        <w:t xml:space="preserve"> </w:t>
      </w:r>
      <w:r w:rsidRPr="00AA537D">
        <w:rPr>
          <w:rFonts w:hint="cs"/>
          <w:spacing w:val="0"/>
          <w:kern w:val="0"/>
          <w:rtl/>
        </w:rPr>
        <w:t xml:space="preserve">بأفراد </w:t>
      </w:r>
      <w:r w:rsidRPr="00AA537D">
        <w:rPr>
          <w:spacing w:val="0"/>
          <w:kern w:val="0"/>
          <w:rtl/>
        </w:rPr>
        <w:t xml:space="preserve">الشرطة، </w:t>
      </w:r>
      <w:r w:rsidRPr="00AA537D">
        <w:rPr>
          <w:rFonts w:hint="cs"/>
          <w:spacing w:val="0"/>
          <w:kern w:val="0"/>
          <w:rtl/>
        </w:rPr>
        <w:t>قال إن أ.</w:t>
      </w:r>
      <w:r w:rsidRPr="00AA537D">
        <w:rPr>
          <w:spacing w:val="0"/>
          <w:kern w:val="0"/>
          <w:rtl/>
        </w:rPr>
        <w:t xml:space="preserve"> فقط </w:t>
      </w:r>
      <w:r w:rsidRPr="00AA537D">
        <w:rPr>
          <w:rFonts w:hint="cs"/>
          <w:spacing w:val="0"/>
          <w:kern w:val="0"/>
          <w:rtl/>
        </w:rPr>
        <w:t xml:space="preserve">هو الذي </w:t>
      </w:r>
      <w:r w:rsidRPr="00AA537D">
        <w:rPr>
          <w:spacing w:val="0"/>
          <w:kern w:val="0"/>
          <w:rtl/>
        </w:rPr>
        <w:t>خنق</w:t>
      </w:r>
      <w:r w:rsidRPr="00AA537D">
        <w:rPr>
          <w:rFonts w:hint="cs"/>
          <w:spacing w:val="0"/>
          <w:kern w:val="0"/>
          <w:rtl/>
        </w:rPr>
        <w:t>ه</w:t>
      </w:r>
      <w:r w:rsidRPr="00AA537D">
        <w:rPr>
          <w:spacing w:val="0"/>
          <w:kern w:val="0"/>
          <w:rtl/>
        </w:rPr>
        <w:t xml:space="preserve"> </w:t>
      </w:r>
      <w:r w:rsidRPr="00AA537D">
        <w:rPr>
          <w:rFonts w:hint="cs"/>
          <w:spacing w:val="0"/>
          <w:kern w:val="0"/>
          <w:rtl/>
        </w:rPr>
        <w:t>بك</w:t>
      </w:r>
      <w:r w:rsidRPr="00AA537D">
        <w:rPr>
          <w:spacing w:val="0"/>
          <w:kern w:val="0"/>
          <w:rtl/>
        </w:rPr>
        <w:t xml:space="preserve">يس البلاستك. </w:t>
      </w:r>
      <w:r w:rsidRPr="00AA537D">
        <w:rPr>
          <w:rFonts w:hint="cs"/>
          <w:spacing w:val="0"/>
          <w:kern w:val="0"/>
          <w:rtl/>
        </w:rPr>
        <w:t xml:space="preserve">وقال </w:t>
      </w:r>
      <w:r w:rsidRPr="00AA537D">
        <w:rPr>
          <w:spacing w:val="0"/>
          <w:kern w:val="0"/>
          <w:rtl/>
        </w:rPr>
        <w:t>أيضا</w:t>
      </w:r>
      <w:r w:rsidRPr="00AA537D">
        <w:rPr>
          <w:rFonts w:hint="cs"/>
          <w:spacing w:val="0"/>
          <w:kern w:val="0"/>
          <w:rtl/>
        </w:rPr>
        <w:t>ً</w:t>
      </w:r>
      <w:r w:rsidRPr="00AA537D">
        <w:rPr>
          <w:spacing w:val="0"/>
          <w:kern w:val="0"/>
          <w:rtl/>
        </w:rPr>
        <w:t xml:space="preserve"> </w:t>
      </w:r>
      <w:r w:rsidRPr="00AA537D">
        <w:rPr>
          <w:rFonts w:hint="cs"/>
          <w:spacing w:val="0"/>
          <w:kern w:val="0"/>
          <w:rtl/>
        </w:rPr>
        <w:t>إ</w:t>
      </w:r>
      <w:r w:rsidRPr="00AA537D">
        <w:rPr>
          <w:spacing w:val="0"/>
          <w:kern w:val="0"/>
          <w:rtl/>
        </w:rPr>
        <w:t xml:space="preserve">ن </w:t>
      </w:r>
      <w:r w:rsidRPr="00AA537D">
        <w:rPr>
          <w:rFonts w:hint="cs"/>
          <w:spacing w:val="0"/>
          <w:kern w:val="0"/>
          <w:rtl/>
        </w:rPr>
        <w:t xml:space="preserve">م. كان يسجل بياناته </w:t>
      </w:r>
      <w:r w:rsidRPr="00AA537D">
        <w:rPr>
          <w:spacing w:val="0"/>
          <w:kern w:val="0"/>
          <w:rtl/>
        </w:rPr>
        <w:t>الشخصية</w:t>
      </w:r>
      <w:r w:rsidRPr="00AA537D">
        <w:rPr>
          <w:rFonts w:hint="cs"/>
          <w:spacing w:val="0"/>
          <w:kern w:val="0"/>
          <w:rtl/>
        </w:rPr>
        <w:t xml:space="preserve"> فقط</w:t>
      </w:r>
      <w:r w:rsidRPr="00AA537D">
        <w:rPr>
          <w:spacing w:val="0"/>
          <w:kern w:val="0"/>
          <w:rtl/>
        </w:rPr>
        <w:t xml:space="preserve">. </w:t>
      </w:r>
      <w:r w:rsidRPr="00AA537D">
        <w:rPr>
          <w:rFonts w:hint="cs"/>
          <w:spacing w:val="0"/>
          <w:kern w:val="0"/>
          <w:rtl/>
        </w:rPr>
        <w:t>ولم يتعرف على فرد</w:t>
      </w:r>
      <w:r w:rsidRPr="00AA537D">
        <w:rPr>
          <w:spacing w:val="0"/>
          <w:kern w:val="0"/>
          <w:rtl/>
        </w:rPr>
        <w:t xml:space="preserve"> </w:t>
      </w:r>
      <w:r w:rsidRPr="00AA537D">
        <w:rPr>
          <w:rFonts w:hint="cs"/>
          <w:spacing w:val="0"/>
          <w:kern w:val="0"/>
          <w:rtl/>
        </w:rPr>
        <w:t xml:space="preserve">الشرطة </w:t>
      </w:r>
      <w:r w:rsidRPr="00AA537D">
        <w:rPr>
          <w:spacing w:val="0"/>
          <w:kern w:val="0"/>
          <w:rtl/>
        </w:rPr>
        <w:t>الثالث، ب</w:t>
      </w:r>
      <w:r w:rsidRPr="00AA537D">
        <w:rPr>
          <w:rFonts w:hint="cs"/>
          <w:spacing w:val="0"/>
          <w:kern w:val="0"/>
          <w:rtl/>
        </w:rPr>
        <w:t>.</w:t>
      </w:r>
      <w:r w:rsidRPr="00AA537D">
        <w:rPr>
          <w:spacing w:val="0"/>
          <w:kern w:val="0"/>
          <w:rtl/>
        </w:rPr>
        <w:t>، وأعلن أن الأشخاص الذين أس</w:t>
      </w:r>
      <w:r w:rsidRPr="00AA537D">
        <w:rPr>
          <w:rFonts w:hint="cs"/>
          <w:spacing w:val="0"/>
          <w:kern w:val="0"/>
          <w:rtl/>
        </w:rPr>
        <w:t xml:space="preserve">اءوا </w:t>
      </w:r>
      <w:r w:rsidRPr="00AA537D">
        <w:rPr>
          <w:spacing w:val="0"/>
          <w:kern w:val="0"/>
          <w:rtl/>
        </w:rPr>
        <w:t>معاملته ل</w:t>
      </w:r>
      <w:r w:rsidRPr="00AA537D">
        <w:rPr>
          <w:rFonts w:hint="cs"/>
          <w:spacing w:val="0"/>
          <w:kern w:val="0"/>
          <w:rtl/>
        </w:rPr>
        <w:t xml:space="preserve">يسوا من </w:t>
      </w:r>
      <w:r w:rsidRPr="00AA537D">
        <w:rPr>
          <w:spacing w:val="0"/>
          <w:kern w:val="0"/>
          <w:rtl/>
        </w:rPr>
        <w:t>بين ه</w:t>
      </w:r>
      <w:r w:rsidRPr="00AA537D">
        <w:rPr>
          <w:rFonts w:hint="cs"/>
          <w:spacing w:val="0"/>
          <w:kern w:val="0"/>
          <w:rtl/>
        </w:rPr>
        <w:t>ؤلاء الأفراد الثلاثة</w:t>
      </w:r>
      <w:r w:rsidRPr="00AA537D">
        <w:rPr>
          <w:spacing w:val="0"/>
          <w:kern w:val="0"/>
          <w:rtl/>
        </w:rPr>
        <w:t xml:space="preserve">. </w:t>
      </w:r>
      <w:r w:rsidRPr="00AA537D">
        <w:rPr>
          <w:rFonts w:hint="cs"/>
          <w:spacing w:val="0"/>
          <w:kern w:val="0"/>
          <w:rtl/>
        </w:rPr>
        <w:t xml:space="preserve">وعند </w:t>
      </w:r>
      <w:r w:rsidRPr="00AA537D">
        <w:rPr>
          <w:spacing w:val="0"/>
          <w:kern w:val="0"/>
          <w:rtl/>
        </w:rPr>
        <w:t xml:space="preserve">استجواب </w:t>
      </w:r>
      <w:r w:rsidRPr="00AA537D">
        <w:rPr>
          <w:rFonts w:hint="cs"/>
          <w:spacing w:val="0"/>
          <w:kern w:val="0"/>
          <w:rtl/>
        </w:rPr>
        <w:t>أفراد الشرطة الثلاثة بوصفهم من ال</w:t>
      </w:r>
      <w:r w:rsidRPr="00AA537D">
        <w:rPr>
          <w:spacing w:val="0"/>
          <w:kern w:val="0"/>
          <w:rtl/>
        </w:rPr>
        <w:t xml:space="preserve">مشتبه </w:t>
      </w:r>
      <w:r w:rsidRPr="00AA537D">
        <w:rPr>
          <w:rFonts w:hint="cs"/>
          <w:spacing w:val="0"/>
          <w:kern w:val="0"/>
          <w:rtl/>
        </w:rPr>
        <w:t>ب</w:t>
      </w:r>
      <w:r w:rsidRPr="00AA537D">
        <w:rPr>
          <w:spacing w:val="0"/>
          <w:kern w:val="0"/>
          <w:rtl/>
        </w:rPr>
        <w:t>هم، نف</w:t>
      </w:r>
      <w:r w:rsidRPr="00AA537D">
        <w:rPr>
          <w:rFonts w:hint="cs"/>
          <w:spacing w:val="0"/>
          <w:kern w:val="0"/>
          <w:rtl/>
        </w:rPr>
        <w:t>وا</w:t>
      </w:r>
      <w:r w:rsidRPr="00AA537D">
        <w:rPr>
          <w:spacing w:val="0"/>
          <w:kern w:val="0"/>
          <w:rtl/>
        </w:rPr>
        <w:t xml:space="preserve"> الادعاءات المتعلقة بسوء المعاملة والضرب. </w:t>
      </w:r>
      <w:r w:rsidRPr="00AA537D">
        <w:rPr>
          <w:rFonts w:hint="cs"/>
          <w:spacing w:val="0"/>
          <w:kern w:val="0"/>
          <w:rtl/>
        </w:rPr>
        <w:t xml:space="preserve">وسئل أفراد شرطة </w:t>
      </w:r>
      <w:r w:rsidRPr="00AA537D">
        <w:rPr>
          <w:spacing w:val="0"/>
          <w:kern w:val="0"/>
          <w:rtl/>
        </w:rPr>
        <w:t>آخر</w:t>
      </w:r>
      <w:r w:rsidRPr="00AA537D">
        <w:rPr>
          <w:rFonts w:hint="cs"/>
          <w:spacing w:val="0"/>
          <w:kern w:val="0"/>
          <w:rtl/>
        </w:rPr>
        <w:t>و</w:t>
      </w:r>
      <w:r w:rsidRPr="00AA537D">
        <w:rPr>
          <w:spacing w:val="0"/>
          <w:kern w:val="0"/>
          <w:rtl/>
        </w:rPr>
        <w:t>ن من إدارة الشؤون الداخلية</w:t>
      </w:r>
      <w:r w:rsidRPr="00AA537D">
        <w:rPr>
          <w:rFonts w:hint="cs"/>
          <w:spacing w:val="0"/>
          <w:kern w:val="0"/>
          <w:rtl/>
        </w:rPr>
        <w:t xml:space="preserve"> الجنوبية بوصفهم من الشهود ولم</w:t>
      </w:r>
      <w:r w:rsidRPr="00AA537D">
        <w:rPr>
          <w:rFonts w:hint="eastAsia"/>
          <w:spacing w:val="0"/>
          <w:kern w:val="0"/>
          <w:rtl/>
        </w:rPr>
        <w:t> </w:t>
      </w:r>
      <w:r w:rsidRPr="00AA537D">
        <w:rPr>
          <w:rFonts w:hint="cs"/>
          <w:spacing w:val="0"/>
          <w:kern w:val="0"/>
          <w:rtl/>
        </w:rPr>
        <w:t xml:space="preserve">يؤيدوا واقعة </w:t>
      </w:r>
      <w:r w:rsidRPr="00AA537D">
        <w:rPr>
          <w:spacing w:val="0"/>
          <w:kern w:val="0"/>
          <w:rtl/>
        </w:rPr>
        <w:t>التعذيب.</w:t>
      </w:r>
    </w:p>
    <w:p w:rsidR="00FA6676" w:rsidRPr="00AA537D" w:rsidRDefault="00FA6676" w:rsidP="00AA537D">
      <w:pPr>
        <w:pStyle w:val="SingleTxtGA"/>
        <w:jc w:val="lowKashida"/>
        <w:rPr>
          <w:rFonts w:hint="cs"/>
          <w:spacing w:val="0"/>
          <w:kern w:val="0"/>
          <w:sz w:val="30"/>
          <w:rtl/>
        </w:rPr>
      </w:pPr>
      <w:r w:rsidRPr="00AA537D">
        <w:rPr>
          <w:rFonts w:hint="cs"/>
          <w:spacing w:val="0"/>
          <w:kern w:val="0"/>
          <w:rtl/>
          <w:lang w:bidi="ar-SY"/>
        </w:rPr>
        <w:t>7-8</w:t>
      </w:r>
      <w:r w:rsidRPr="00AA537D">
        <w:rPr>
          <w:rFonts w:hint="cs"/>
          <w:spacing w:val="0"/>
          <w:kern w:val="0"/>
          <w:rtl/>
          <w:lang w:bidi="ar-SY"/>
        </w:rPr>
        <w:tab/>
        <w:t xml:space="preserve">وتم أيضاً استجواب </w:t>
      </w:r>
      <w:r w:rsidRPr="00AA537D">
        <w:rPr>
          <w:spacing w:val="0"/>
          <w:kern w:val="0"/>
          <w:rtl/>
        </w:rPr>
        <w:t>ال</w:t>
      </w:r>
      <w:r w:rsidRPr="00AA537D">
        <w:rPr>
          <w:rFonts w:hint="cs"/>
          <w:spacing w:val="0"/>
          <w:kern w:val="0"/>
          <w:rtl/>
        </w:rPr>
        <w:t xml:space="preserve">موظفين </w:t>
      </w:r>
      <w:r w:rsidRPr="00AA537D">
        <w:rPr>
          <w:spacing w:val="0"/>
          <w:kern w:val="0"/>
          <w:rtl/>
        </w:rPr>
        <w:t>الطبي</w:t>
      </w:r>
      <w:r w:rsidRPr="00AA537D">
        <w:rPr>
          <w:rFonts w:hint="cs"/>
          <w:spacing w:val="0"/>
          <w:kern w:val="0"/>
          <w:rtl/>
        </w:rPr>
        <w:t>ين</w:t>
      </w:r>
      <w:r w:rsidRPr="00AA537D">
        <w:rPr>
          <w:spacing w:val="0"/>
          <w:kern w:val="0"/>
          <w:rtl/>
        </w:rPr>
        <w:t xml:space="preserve"> في مستشفى مدينة </w:t>
      </w:r>
      <w:r w:rsidRPr="00AA537D">
        <w:rPr>
          <w:rFonts w:hint="cs"/>
          <w:spacing w:val="0"/>
          <w:kern w:val="0"/>
          <w:rtl/>
        </w:rPr>
        <w:t>ك</w:t>
      </w:r>
      <w:r w:rsidRPr="00AA537D">
        <w:rPr>
          <w:spacing w:val="0"/>
          <w:kern w:val="0"/>
          <w:rtl/>
        </w:rPr>
        <w:t xml:space="preserve">وستاناي </w:t>
      </w:r>
      <w:r w:rsidRPr="00AA537D">
        <w:rPr>
          <w:rFonts w:hint="cs"/>
          <w:spacing w:val="0"/>
          <w:kern w:val="0"/>
          <w:rtl/>
        </w:rPr>
        <w:t xml:space="preserve">وقالوا إن صاحب الشكوى نقل في أواخر </w:t>
      </w:r>
      <w:r w:rsidRPr="00AA537D">
        <w:rPr>
          <w:spacing w:val="0"/>
          <w:kern w:val="0"/>
          <w:rtl/>
        </w:rPr>
        <w:t>آذار/مارس 2007</w:t>
      </w:r>
      <w:r w:rsidRPr="00AA537D">
        <w:rPr>
          <w:rFonts w:hint="cs"/>
          <w:spacing w:val="0"/>
          <w:kern w:val="0"/>
          <w:rtl/>
        </w:rPr>
        <w:t xml:space="preserve"> </w:t>
      </w:r>
      <w:r w:rsidRPr="00AA537D">
        <w:rPr>
          <w:spacing w:val="0"/>
          <w:kern w:val="0"/>
          <w:rtl/>
        </w:rPr>
        <w:t>بسيارة الإسعاف</w:t>
      </w:r>
      <w:r w:rsidRPr="00AA537D">
        <w:rPr>
          <w:rFonts w:hint="cs"/>
          <w:spacing w:val="0"/>
          <w:kern w:val="0"/>
          <w:rtl/>
        </w:rPr>
        <w:t xml:space="preserve"> إلى المستشفى </w:t>
      </w:r>
      <w:r w:rsidRPr="00AA537D">
        <w:rPr>
          <w:spacing w:val="0"/>
          <w:kern w:val="0"/>
          <w:rtl/>
        </w:rPr>
        <w:t>حيث شخص</w:t>
      </w:r>
      <w:r w:rsidRPr="00AA537D">
        <w:rPr>
          <w:rFonts w:hint="cs"/>
          <w:spacing w:val="0"/>
          <w:kern w:val="0"/>
          <w:rtl/>
        </w:rPr>
        <w:t>ت حالته بأنه مصاب بكدمة بالدماغ ورضوض بالمنطقة القطنية</w:t>
      </w:r>
      <w:r w:rsidRPr="00AA537D">
        <w:rPr>
          <w:spacing w:val="0"/>
          <w:kern w:val="0"/>
          <w:rtl/>
        </w:rPr>
        <w:t xml:space="preserve">، </w:t>
      </w:r>
      <w:r w:rsidRPr="00AA537D">
        <w:rPr>
          <w:rFonts w:hint="cs"/>
          <w:spacing w:val="0"/>
          <w:kern w:val="0"/>
          <w:rtl/>
        </w:rPr>
        <w:t>و</w:t>
      </w:r>
      <w:r w:rsidRPr="00AA537D">
        <w:rPr>
          <w:spacing w:val="0"/>
          <w:kern w:val="0"/>
          <w:rtl/>
        </w:rPr>
        <w:t>ادعى أن</w:t>
      </w:r>
      <w:r w:rsidRPr="00AA537D">
        <w:rPr>
          <w:rFonts w:hint="cs"/>
          <w:spacing w:val="0"/>
          <w:kern w:val="0"/>
          <w:rtl/>
        </w:rPr>
        <w:t xml:space="preserve"> أفراد الشرطة هم الذين ألحقوا به هذه الإصابات</w:t>
      </w:r>
      <w:r w:rsidRPr="00AA537D">
        <w:rPr>
          <w:spacing w:val="0"/>
          <w:kern w:val="0"/>
          <w:rtl/>
        </w:rPr>
        <w:t xml:space="preserve">. </w:t>
      </w:r>
      <w:r w:rsidRPr="00AA537D">
        <w:rPr>
          <w:rFonts w:hint="cs"/>
          <w:spacing w:val="0"/>
          <w:kern w:val="0"/>
          <w:rtl/>
        </w:rPr>
        <w:t>وتبين من ال</w:t>
      </w:r>
      <w:r w:rsidRPr="00AA537D">
        <w:rPr>
          <w:spacing w:val="0"/>
          <w:kern w:val="0"/>
          <w:rtl/>
        </w:rPr>
        <w:t xml:space="preserve">فحص الطبي الشرعي </w:t>
      </w:r>
      <w:r w:rsidRPr="00AA537D">
        <w:rPr>
          <w:rFonts w:hint="cs"/>
          <w:spacing w:val="0"/>
          <w:kern w:val="0"/>
          <w:rtl/>
        </w:rPr>
        <w:t>أنه مصاب ب</w:t>
      </w:r>
      <w:r w:rsidRPr="00AA537D">
        <w:rPr>
          <w:spacing w:val="0"/>
          <w:kern w:val="0"/>
          <w:rtl/>
        </w:rPr>
        <w:t xml:space="preserve">الإصابات التالية: </w:t>
      </w:r>
      <w:r w:rsidRPr="00AA537D">
        <w:rPr>
          <w:rFonts w:hint="cs"/>
          <w:spacing w:val="0"/>
          <w:kern w:val="0"/>
          <w:rtl/>
        </w:rPr>
        <w:t>كدمة ب</w:t>
      </w:r>
      <w:r w:rsidRPr="00AA537D">
        <w:rPr>
          <w:spacing w:val="0"/>
          <w:kern w:val="0"/>
          <w:rtl/>
        </w:rPr>
        <w:t xml:space="preserve">الدماغ، وسحجات في الوجه، وجرح </w:t>
      </w:r>
      <w:r w:rsidRPr="00AA537D">
        <w:rPr>
          <w:rFonts w:hint="cs"/>
          <w:spacing w:val="0"/>
          <w:kern w:val="0"/>
          <w:rtl/>
        </w:rPr>
        <w:t>رضي بالحاجب الأيمن، و</w:t>
      </w:r>
      <w:r w:rsidRPr="00AA537D">
        <w:rPr>
          <w:spacing w:val="0"/>
          <w:kern w:val="0"/>
          <w:rtl/>
        </w:rPr>
        <w:t xml:space="preserve">كدمة </w:t>
      </w:r>
      <w:r w:rsidRPr="00AA537D">
        <w:rPr>
          <w:rFonts w:hint="cs"/>
          <w:spacing w:val="0"/>
          <w:kern w:val="0"/>
          <w:rtl/>
        </w:rPr>
        <w:t>ب</w:t>
      </w:r>
      <w:r w:rsidRPr="00AA537D">
        <w:rPr>
          <w:spacing w:val="0"/>
          <w:kern w:val="0"/>
          <w:rtl/>
        </w:rPr>
        <w:t>الكلي</w:t>
      </w:r>
      <w:r w:rsidRPr="00AA537D">
        <w:rPr>
          <w:rFonts w:hint="cs"/>
          <w:spacing w:val="0"/>
          <w:kern w:val="0"/>
          <w:rtl/>
        </w:rPr>
        <w:t>ة</w:t>
      </w:r>
      <w:r w:rsidRPr="00AA537D">
        <w:rPr>
          <w:spacing w:val="0"/>
          <w:kern w:val="0"/>
          <w:rtl/>
        </w:rPr>
        <w:t xml:space="preserve"> اليمنى</w:t>
      </w:r>
      <w:r w:rsidRPr="00AA537D">
        <w:rPr>
          <w:rFonts w:hint="cs"/>
          <w:spacing w:val="0"/>
          <w:kern w:val="0"/>
          <w:rtl/>
        </w:rPr>
        <w:t>،</w:t>
      </w:r>
      <w:r w:rsidRPr="00AA537D">
        <w:rPr>
          <w:spacing w:val="0"/>
          <w:kern w:val="0"/>
          <w:rtl/>
        </w:rPr>
        <w:t xml:space="preserve"> وكدمات </w:t>
      </w:r>
      <w:r w:rsidRPr="00AA537D">
        <w:rPr>
          <w:rFonts w:hint="cs"/>
          <w:spacing w:val="0"/>
          <w:kern w:val="0"/>
          <w:rtl/>
        </w:rPr>
        <w:t>ب</w:t>
      </w:r>
      <w:r w:rsidRPr="00AA537D">
        <w:rPr>
          <w:spacing w:val="0"/>
          <w:kern w:val="0"/>
          <w:rtl/>
        </w:rPr>
        <w:t>الجسم.</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7-9</w:t>
      </w:r>
      <w:r w:rsidRPr="00AA537D">
        <w:rPr>
          <w:rFonts w:hint="cs"/>
          <w:spacing w:val="0"/>
          <w:kern w:val="0"/>
          <w:rtl/>
          <w:lang w:bidi="ar-SY"/>
        </w:rPr>
        <w:tab/>
        <w:t xml:space="preserve">ووفقاً للتقارير </w:t>
      </w:r>
      <w:r w:rsidRPr="00AA537D">
        <w:rPr>
          <w:spacing w:val="0"/>
          <w:kern w:val="0"/>
          <w:rtl/>
        </w:rPr>
        <w:t>الطبية ال</w:t>
      </w:r>
      <w:r w:rsidRPr="00AA537D">
        <w:rPr>
          <w:rFonts w:hint="cs"/>
          <w:spacing w:val="0"/>
          <w:kern w:val="0"/>
          <w:rtl/>
        </w:rPr>
        <w:t>مقدمة</w:t>
      </w:r>
      <w:r w:rsidRPr="00AA537D">
        <w:rPr>
          <w:spacing w:val="0"/>
          <w:kern w:val="0"/>
          <w:rtl/>
        </w:rPr>
        <w:t xml:space="preserve"> </w:t>
      </w:r>
      <w:r w:rsidRPr="00AA537D">
        <w:rPr>
          <w:rFonts w:hint="cs"/>
          <w:spacing w:val="0"/>
          <w:kern w:val="0"/>
          <w:rtl/>
        </w:rPr>
        <w:t>إلى إدارة مكافحة الجرائم الاقتصادية والفساد</w:t>
      </w:r>
      <w:r w:rsidRPr="00AA537D">
        <w:rPr>
          <w:spacing w:val="0"/>
          <w:kern w:val="0"/>
          <w:rtl/>
        </w:rPr>
        <w:t>،</w:t>
      </w:r>
      <w:r w:rsidRPr="00AA537D">
        <w:rPr>
          <w:rFonts w:hint="cs"/>
          <w:spacing w:val="0"/>
          <w:kern w:val="0"/>
          <w:rtl/>
        </w:rPr>
        <w:t xml:space="preserve"> ك</w:t>
      </w:r>
      <w:r w:rsidRPr="00AA537D">
        <w:rPr>
          <w:spacing w:val="0"/>
          <w:kern w:val="0"/>
          <w:rtl/>
        </w:rPr>
        <w:t xml:space="preserve">ان صاحب الشكوى </w:t>
      </w:r>
      <w:r w:rsidRPr="00AA537D">
        <w:rPr>
          <w:rFonts w:hint="cs"/>
          <w:spacing w:val="0"/>
          <w:kern w:val="0"/>
          <w:rtl/>
        </w:rPr>
        <w:t xml:space="preserve">تحت إشراف </w:t>
      </w:r>
      <w:r w:rsidRPr="00AA537D">
        <w:rPr>
          <w:spacing w:val="0"/>
          <w:kern w:val="0"/>
          <w:rtl/>
        </w:rPr>
        <w:t>طب</w:t>
      </w:r>
      <w:r w:rsidRPr="00AA537D">
        <w:rPr>
          <w:rFonts w:hint="cs"/>
          <w:spacing w:val="0"/>
          <w:kern w:val="0"/>
          <w:rtl/>
        </w:rPr>
        <w:t>ي</w:t>
      </w:r>
      <w:r w:rsidRPr="00AA537D">
        <w:rPr>
          <w:spacing w:val="0"/>
          <w:kern w:val="0"/>
          <w:rtl/>
        </w:rPr>
        <w:t xml:space="preserve"> نفس</w:t>
      </w:r>
      <w:r w:rsidRPr="00AA537D">
        <w:rPr>
          <w:rFonts w:hint="cs"/>
          <w:spacing w:val="0"/>
          <w:kern w:val="0"/>
          <w:rtl/>
        </w:rPr>
        <w:t xml:space="preserve">اني </w:t>
      </w:r>
      <w:r w:rsidRPr="00AA537D">
        <w:rPr>
          <w:spacing w:val="0"/>
          <w:kern w:val="0"/>
          <w:rtl/>
        </w:rPr>
        <w:t xml:space="preserve">منذ عام 1978 </w:t>
      </w:r>
      <w:r w:rsidRPr="00AA537D">
        <w:rPr>
          <w:rFonts w:hint="cs"/>
          <w:spacing w:val="0"/>
          <w:kern w:val="0"/>
          <w:rtl/>
        </w:rPr>
        <w:t>لإصابته ب</w:t>
      </w:r>
      <w:r w:rsidRPr="00AA537D">
        <w:rPr>
          <w:spacing w:val="0"/>
          <w:kern w:val="0"/>
          <w:rtl/>
        </w:rPr>
        <w:t xml:space="preserve">تخلف عقلي خفيف. </w:t>
      </w:r>
      <w:r w:rsidRPr="00AA537D">
        <w:rPr>
          <w:rFonts w:hint="cs"/>
          <w:spacing w:val="0"/>
          <w:kern w:val="0"/>
          <w:rtl/>
        </w:rPr>
        <w:t xml:space="preserve">وفي </w:t>
      </w:r>
      <w:r w:rsidRPr="00AA537D">
        <w:rPr>
          <w:spacing w:val="0"/>
          <w:kern w:val="0"/>
          <w:rtl/>
        </w:rPr>
        <w:t xml:space="preserve">8 </w:t>
      </w:r>
      <w:r w:rsidRPr="00AA537D">
        <w:rPr>
          <w:rFonts w:hint="cs"/>
          <w:spacing w:val="0"/>
          <w:kern w:val="0"/>
          <w:rtl/>
        </w:rPr>
        <w:t>آب/</w:t>
      </w:r>
      <w:r w:rsidRPr="00AA537D">
        <w:rPr>
          <w:spacing w:val="0"/>
          <w:kern w:val="0"/>
          <w:rtl/>
        </w:rPr>
        <w:t xml:space="preserve">أغسطس 2007، </w:t>
      </w:r>
      <w:r w:rsidRPr="00AA537D">
        <w:rPr>
          <w:rFonts w:hint="cs"/>
          <w:spacing w:val="0"/>
          <w:kern w:val="0"/>
          <w:rtl/>
        </w:rPr>
        <w:t xml:space="preserve">نظراً لرد فعله </w:t>
      </w:r>
      <w:r w:rsidRPr="00AA537D">
        <w:rPr>
          <w:spacing w:val="0"/>
          <w:kern w:val="0"/>
          <w:rtl/>
        </w:rPr>
        <w:t xml:space="preserve">الحاد </w:t>
      </w:r>
      <w:r w:rsidRPr="00AA537D">
        <w:rPr>
          <w:rFonts w:hint="cs"/>
          <w:spacing w:val="0"/>
          <w:kern w:val="0"/>
          <w:rtl/>
        </w:rPr>
        <w:t>للإجهاد</w:t>
      </w:r>
      <w:r w:rsidRPr="00AA537D">
        <w:rPr>
          <w:spacing w:val="0"/>
          <w:kern w:val="0"/>
          <w:rtl/>
        </w:rPr>
        <w:t xml:space="preserve">، </w:t>
      </w:r>
      <w:r w:rsidRPr="00AA537D">
        <w:rPr>
          <w:rFonts w:hint="cs"/>
          <w:spacing w:val="0"/>
          <w:kern w:val="0"/>
          <w:rtl/>
        </w:rPr>
        <w:t xml:space="preserve">أضيف إلى هذا التشخيص أنه مصاب </w:t>
      </w:r>
      <w:r w:rsidRPr="00AA537D">
        <w:rPr>
          <w:spacing w:val="0"/>
          <w:kern w:val="0"/>
          <w:rtl/>
        </w:rPr>
        <w:t>بالذهان التفاعلي و</w:t>
      </w:r>
      <w:r w:rsidRPr="00AA537D">
        <w:rPr>
          <w:rFonts w:hint="cs"/>
          <w:spacing w:val="0"/>
          <w:kern w:val="0"/>
          <w:rtl/>
        </w:rPr>
        <w:t>أعراض الارتياب الناتج عن الاكتئاب</w:t>
      </w:r>
      <w:r w:rsidRPr="00AA537D">
        <w:rPr>
          <w:spacing w:val="0"/>
          <w:kern w:val="0"/>
          <w:rtl/>
        </w:rPr>
        <w:t xml:space="preserve">. وبناء على ذلك، صدر أمر </w:t>
      </w:r>
      <w:r w:rsidRPr="00AA537D">
        <w:rPr>
          <w:rFonts w:hint="cs"/>
          <w:spacing w:val="0"/>
          <w:kern w:val="0"/>
          <w:rtl/>
        </w:rPr>
        <w:t>في</w:t>
      </w:r>
      <w:r w:rsidRPr="00AA537D">
        <w:rPr>
          <w:spacing w:val="0"/>
          <w:kern w:val="0"/>
          <w:rtl/>
        </w:rPr>
        <w:t xml:space="preserve"> 8 </w:t>
      </w:r>
      <w:r w:rsidRPr="00AA537D">
        <w:rPr>
          <w:rFonts w:hint="cs"/>
          <w:spacing w:val="0"/>
          <w:kern w:val="0"/>
          <w:rtl/>
        </w:rPr>
        <w:t>كانون الثاني/</w:t>
      </w:r>
      <w:r w:rsidRPr="00AA537D">
        <w:rPr>
          <w:spacing w:val="0"/>
          <w:kern w:val="0"/>
          <w:rtl/>
        </w:rPr>
        <w:t>يناير 2011</w:t>
      </w:r>
      <w:r w:rsidRPr="00AA537D">
        <w:rPr>
          <w:rFonts w:hint="cs"/>
          <w:spacing w:val="0"/>
          <w:kern w:val="0"/>
          <w:rtl/>
        </w:rPr>
        <w:t xml:space="preserve"> ب</w:t>
      </w:r>
      <w:r w:rsidRPr="00AA537D">
        <w:rPr>
          <w:spacing w:val="0"/>
          <w:kern w:val="0"/>
          <w:rtl/>
        </w:rPr>
        <w:t>إجراء تقييم طب</w:t>
      </w:r>
      <w:r w:rsidRPr="00AA537D">
        <w:rPr>
          <w:rFonts w:hint="cs"/>
          <w:spacing w:val="0"/>
          <w:kern w:val="0"/>
          <w:rtl/>
        </w:rPr>
        <w:t>ي</w:t>
      </w:r>
      <w:r w:rsidRPr="00AA537D">
        <w:rPr>
          <w:spacing w:val="0"/>
          <w:kern w:val="0"/>
          <w:rtl/>
        </w:rPr>
        <w:t xml:space="preserve"> نفس</w:t>
      </w:r>
      <w:r w:rsidRPr="00AA537D">
        <w:rPr>
          <w:rFonts w:hint="cs"/>
          <w:spacing w:val="0"/>
          <w:kern w:val="0"/>
          <w:rtl/>
        </w:rPr>
        <w:t>اني</w:t>
      </w:r>
      <w:r w:rsidRPr="00AA537D">
        <w:rPr>
          <w:spacing w:val="0"/>
          <w:kern w:val="0"/>
          <w:rtl/>
        </w:rPr>
        <w:t xml:space="preserve"> شرعي </w:t>
      </w:r>
      <w:r w:rsidRPr="00AA537D">
        <w:rPr>
          <w:rFonts w:hint="cs"/>
          <w:spacing w:val="0"/>
          <w:kern w:val="0"/>
          <w:rtl/>
        </w:rPr>
        <w:t>له</w:t>
      </w:r>
      <w:r w:rsidRPr="00AA537D">
        <w:rPr>
          <w:spacing w:val="0"/>
          <w:kern w:val="0"/>
          <w:rtl/>
        </w:rPr>
        <w:t>.</w:t>
      </w:r>
    </w:p>
    <w:p w:rsidR="00FA6676" w:rsidRPr="008C1013" w:rsidRDefault="00FA6676" w:rsidP="00AA537D">
      <w:pPr>
        <w:pStyle w:val="SingleTxtGA"/>
        <w:jc w:val="lowKashida"/>
        <w:rPr>
          <w:rFonts w:hint="cs"/>
          <w:spacing w:val="-2"/>
          <w:kern w:val="0"/>
          <w:rtl/>
        </w:rPr>
      </w:pPr>
      <w:r w:rsidRPr="008C1013">
        <w:rPr>
          <w:rFonts w:hint="cs"/>
          <w:spacing w:val="-2"/>
          <w:kern w:val="0"/>
          <w:rtl/>
          <w:lang w:bidi="ar-SY"/>
        </w:rPr>
        <w:t>7-10</w:t>
      </w:r>
      <w:r w:rsidRPr="008C1013">
        <w:rPr>
          <w:rFonts w:hint="cs"/>
          <w:spacing w:val="-2"/>
          <w:kern w:val="0"/>
          <w:rtl/>
          <w:lang w:bidi="ar-SY"/>
        </w:rPr>
        <w:tab/>
        <w:t xml:space="preserve">وفي </w:t>
      </w:r>
      <w:r w:rsidRPr="008C1013">
        <w:rPr>
          <w:spacing w:val="-2"/>
          <w:kern w:val="0"/>
          <w:rtl/>
        </w:rPr>
        <w:t>14</w:t>
      </w:r>
      <w:r w:rsidRPr="008C1013">
        <w:rPr>
          <w:rFonts w:hint="cs"/>
          <w:spacing w:val="-2"/>
          <w:kern w:val="0"/>
          <w:rtl/>
        </w:rPr>
        <w:t xml:space="preserve"> كانون الثاني/</w:t>
      </w:r>
      <w:r w:rsidRPr="008C1013">
        <w:rPr>
          <w:spacing w:val="-2"/>
          <w:kern w:val="0"/>
          <w:rtl/>
        </w:rPr>
        <w:t>يناير 2011، طلب</w:t>
      </w:r>
      <w:r w:rsidRPr="008C1013">
        <w:rPr>
          <w:rFonts w:hint="cs"/>
          <w:spacing w:val="-2"/>
          <w:kern w:val="0"/>
          <w:rtl/>
        </w:rPr>
        <w:t xml:space="preserve"> صاحب الشكوى </w:t>
      </w:r>
      <w:r w:rsidRPr="008C1013">
        <w:rPr>
          <w:spacing w:val="-2"/>
          <w:kern w:val="0"/>
          <w:rtl/>
        </w:rPr>
        <w:t xml:space="preserve">تأجيل إجراءات التحقيق لأسباب صحية، </w:t>
      </w:r>
      <w:r w:rsidRPr="008C1013">
        <w:rPr>
          <w:rFonts w:hint="cs"/>
          <w:spacing w:val="-2"/>
          <w:kern w:val="0"/>
          <w:rtl/>
        </w:rPr>
        <w:t>و</w:t>
      </w:r>
      <w:r w:rsidRPr="008C1013">
        <w:rPr>
          <w:spacing w:val="-2"/>
          <w:kern w:val="0"/>
          <w:rtl/>
        </w:rPr>
        <w:t>ر</w:t>
      </w:r>
      <w:r w:rsidRPr="008C1013">
        <w:rPr>
          <w:rFonts w:hint="cs"/>
          <w:spacing w:val="-2"/>
          <w:kern w:val="0"/>
          <w:rtl/>
        </w:rPr>
        <w:t>ُ</w:t>
      </w:r>
      <w:r w:rsidRPr="008C1013">
        <w:rPr>
          <w:spacing w:val="-2"/>
          <w:kern w:val="0"/>
          <w:rtl/>
        </w:rPr>
        <w:t xml:space="preserve">فض </w:t>
      </w:r>
      <w:r w:rsidRPr="008C1013">
        <w:rPr>
          <w:rFonts w:hint="cs"/>
          <w:spacing w:val="-2"/>
          <w:kern w:val="0"/>
          <w:rtl/>
        </w:rPr>
        <w:t>هذا ال</w:t>
      </w:r>
      <w:r w:rsidRPr="008C1013">
        <w:rPr>
          <w:spacing w:val="-2"/>
          <w:kern w:val="0"/>
          <w:rtl/>
        </w:rPr>
        <w:t xml:space="preserve">طلب </w:t>
      </w:r>
      <w:r w:rsidRPr="008C1013">
        <w:rPr>
          <w:rFonts w:hint="cs"/>
          <w:spacing w:val="-2"/>
          <w:kern w:val="0"/>
          <w:rtl/>
        </w:rPr>
        <w:t xml:space="preserve">إلى حين </w:t>
      </w:r>
      <w:r w:rsidRPr="008C1013">
        <w:rPr>
          <w:spacing w:val="-2"/>
          <w:kern w:val="0"/>
          <w:rtl/>
        </w:rPr>
        <w:t>إجراء الفحص الطبي النف</w:t>
      </w:r>
      <w:r w:rsidRPr="008C1013">
        <w:rPr>
          <w:rFonts w:hint="cs"/>
          <w:spacing w:val="-2"/>
          <w:kern w:val="0"/>
          <w:rtl/>
        </w:rPr>
        <w:t>سان</w:t>
      </w:r>
      <w:r w:rsidRPr="008C1013">
        <w:rPr>
          <w:spacing w:val="-2"/>
          <w:kern w:val="0"/>
          <w:rtl/>
        </w:rPr>
        <w:t xml:space="preserve">ي الشرعي </w:t>
      </w:r>
      <w:r w:rsidRPr="008C1013">
        <w:rPr>
          <w:rFonts w:hint="cs"/>
          <w:spacing w:val="-2"/>
          <w:kern w:val="0"/>
          <w:rtl/>
        </w:rPr>
        <w:t>المطلوب الذي كان يت</w:t>
      </w:r>
      <w:r w:rsidRPr="008C1013">
        <w:rPr>
          <w:spacing w:val="-2"/>
          <w:kern w:val="0"/>
          <w:rtl/>
        </w:rPr>
        <w:t>ضمن</w:t>
      </w:r>
      <w:r w:rsidRPr="008C1013">
        <w:rPr>
          <w:rFonts w:hint="cs"/>
          <w:spacing w:val="-2"/>
          <w:kern w:val="0"/>
          <w:rtl/>
        </w:rPr>
        <w:t>، في</w:t>
      </w:r>
      <w:r w:rsidRPr="008C1013">
        <w:rPr>
          <w:spacing w:val="-2"/>
          <w:kern w:val="0"/>
          <w:rtl/>
        </w:rPr>
        <w:t xml:space="preserve"> جملة أمور، </w:t>
      </w:r>
      <w:r w:rsidRPr="008C1013">
        <w:rPr>
          <w:rFonts w:hint="cs"/>
          <w:spacing w:val="-2"/>
          <w:kern w:val="0"/>
          <w:rtl/>
        </w:rPr>
        <w:t xml:space="preserve">تحديد مدى لياقته </w:t>
      </w:r>
      <w:r w:rsidRPr="008C1013">
        <w:rPr>
          <w:spacing w:val="-2"/>
          <w:kern w:val="0"/>
          <w:rtl/>
        </w:rPr>
        <w:t>للمشاركة في إجراءات التحقيق.</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lang w:bidi="ar-SY"/>
        </w:rPr>
        <w:t>7-11</w:t>
      </w:r>
      <w:r w:rsidRPr="00AA537D">
        <w:rPr>
          <w:rFonts w:hint="cs"/>
          <w:spacing w:val="0"/>
          <w:kern w:val="0"/>
          <w:rtl/>
          <w:lang w:bidi="ar-SY"/>
        </w:rPr>
        <w:tab/>
        <w:t xml:space="preserve">وفي 18 كانون الثاني/يناير </w:t>
      </w:r>
      <w:r w:rsidRPr="00AA537D">
        <w:rPr>
          <w:spacing w:val="0"/>
          <w:kern w:val="0"/>
          <w:rtl/>
        </w:rPr>
        <w:t xml:space="preserve">2011، </w:t>
      </w:r>
      <w:r w:rsidRPr="00AA537D">
        <w:rPr>
          <w:rFonts w:hint="cs"/>
          <w:spacing w:val="0"/>
          <w:kern w:val="0"/>
          <w:rtl/>
        </w:rPr>
        <w:t xml:space="preserve">أسفر </w:t>
      </w:r>
      <w:r w:rsidRPr="00AA537D">
        <w:rPr>
          <w:spacing w:val="0"/>
          <w:kern w:val="0"/>
          <w:rtl/>
        </w:rPr>
        <w:t>الفحص الطبي النفس</w:t>
      </w:r>
      <w:r w:rsidRPr="00AA537D">
        <w:rPr>
          <w:rFonts w:hint="cs"/>
          <w:spacing w:val="0"/>
          <w:kern w:val="0"/>
          <w:rtl/>
        </w:rPr>
        <w:t xml:space="preserve">اني عن وجود علامات لإصابة صاحب الشكوى بردود فعل </w:t>
      </w:r>
      <w:r w:rsidRPr="00AA537D">
        <w:rPr>
          <w:spacing w:val="0"/>
          <w:kern w:val="0"/>
          <w:rtl/>
        </w:rPr>
        <w:t>اكتئابي</w:t>
      </w:r>
      <w:r w:rsidRPr="00AA537D">
        <w:rPr>
          <w:rFonts w:hint="cs"/>
          <w:spacing w:val="0"/>
          <w:kern w:val="0"/>
          <w:rtl/>
        </w:rPr>
        <w:t>ة</w:t>
      </w:r>
      <w:r w:rsidRPr="00AA537D">
        <w:rPr>
          <w:spacing w:val="0"/>
          <w:kern w:val="0"/>
          <w:rtl/>
        </w:rPr>
        <w:t xml:space="preserve"> قصير</w:t>
      </w:r>
      <w:r w:rsidRPr="00AA537D">
        <w:rPr>
          <w:rFonts w:hint="cs"/>
          <w:spacing w:val="0"/>
          <w:kern w:val="0"/>
          <w:rtl/>
        </w:rPr>
        <w:t>ة</w:t>
      </w:r>
      <w:r w:rsidRPr="00AA537D">
        <w:rPr>
          <w:spacing w:val="0"/>
          <w:kern w:val="0"/>
          <w:rtl/>
        </w:rPr>
        <w:t xml:space="preserve"> الأجل و</w:t>
      </w:r>
      <w:r w:rsidRPr="00AA537D">
        <w:rPr>
          <w:rFonts w:hint="cs"/>
          <w:spacing w:val="0"/>
          <w:kern w:val="0"/>
          <w:rtl/>
        </w:rPr>
        <w:t>أنه لائق ل</w:t>
      </w:r>
      <w:r w:rsidRPr="00AA537D">
        <w:rPr>
          <w:spacing w:val="0"/>
          <w:kern w:val="0"/>
          <w:rtl/>
        </w:rPr>
        <w:t xml:space="preserve">لمشاركة في إجراءات التحقيق. </w:t>
      </w:r>
      <w:r w:rsidRPr="00AA537D">
        <w:rPr>
          <w:rFonts w:hint="cs"/>
          <w:spacing w:val="0"/>
          <w:kern w:val="0"/>
          <w:rtl/>
        </w:rPr>
        <w:t xml:space="preserve">وعلم </w:t>
      </w:r>
      <w:r w:rsidRPr="00AA537D">
        <w:rPr>
          <w:spacing w:val="0"/>
          <w:kern w:val="0"/>
          <w:rtl/>
        </w:rPr>
        <w:t>صاحب الشكوى وممثله القانوني</w:t>
      </w:r>
      <w:r w:rsidRPr="00AA537D">
        <w:rPr>
          <w:rFonts w:hint="cs"/>
          <w:spacing w:val="0"/>
          <w:kern w:val="0"/>
          <w:rtl/>
        </w:rPr>
        <w:t xml:space="preserve"> بهذه النتيجة </w:t>
      </w:r>
      <w:r w:rsidRPr="00AA537D">
        <w:rPr>
          <w:spacing w:val="0"/>
          <w:kern w:val="0"/>
          <w:rtl/>
        </w:rPr>
        <w:t>واعترض</w:t>
      </w:r>
      <w:r w:rsidRPr="00AA537D">
        <w:rPr>
          <w:rFonts w:hint="cs"/>
          <w:spacing w:val="0"/>
          <w:kern w:val="0"/>
          <w:rtl/>
        </w:rPr>
        <w:t>ا</w:t>
      </w:r>
      <w:r w:rsidRPr="00AA537D">
        <w:rPr>
          <w:spacing w:val="0"/>
          <w:kern w:val="0"/>
          <w:rtl/>
        </w:rPr>
        <w:t xml:space="preserve"> عليها، </w:t>
      </w:r>
      <w:r w:rsidRPr="00AA537D">
        <w:rPr>
          <w:rFonts w:hint="cs"/>
          <w:spacing w:val="0"/>
          <w:kern w:val="0"/>
          <w:rtl/>
        </w:rPr>
        <w:t>ولكنهما لم يبينا أسباب هذا الاعتراض</w:t>
      </w:r>
      <w:r w:rsidRPr="00AA537D">
        <w:rPr>
          <w:rFonts w:hint="cs"/>
          <w:spacing w:val="0"/>
          <w:kern w:val="0"/>
          <w:rtl/>
          <w:lang w:bidi="ar-SY"/>
        </w:rPr>
        <w:t>.</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7-12</w:t>
      </w:r>
      <w:r w:rsidRPr="00AA537D">
        <w:rPr>
          <w:rFonts w:hint="cs"/>
          <w:spacing w:val="0"/>
          <w:kern w:val="0"/>
          <w:rtl/>
          <w:lang w:bidi="ar-SY"/>
        </w:rPr>
        <w:tab/>
        <w:t xml:space="preserve">واستدعي صاحب </w:t>
      </w:r>
      <w:r w:rsidRPr="00AA537D">
        <w:rPr>
          <w:spacing w:val="0"/>
          <w:kern w:val="0"/>
          <w:rtl/>
        </w:rPr>
        <w:t>الشكوى بين 19</w:t>
      </w:r>
      <w:r w:rsidRPr="00AA537D">
        <w:rPr>
          <w:rFonts w:hint="cs"/>
          <w:spacing w:val="0"/>
          <w:kern w:val="0"/>
          <w:rtl/>
        </w:rPr>
        <w:t xml:space="preserve"> كانون الأول/</w:t>
      </w:r>
      <w:r w:rsidRPr="00AA537D">
        <w:rPr>
          <w:spacing w:val="0"/>
          <w:kern w:val="0"/>
          <w:rtl/>
        </w:rPr>
        <w:t xml:space="preserve">ديسمبر 2010 و6 </w:t>
      </w:r>
      <w:r w:rsidRPr="00AA537D">
        <w:rPr>
          <w:rFonts w:hint="cs"/>
          <w:spacing w:val="0"/>
          <w:kern w:val="0"/>
          <w:rtl/>
        </w:rPr>
        <w:t xml:space="preserve">شباط/ </w:t>
      </w:r>
      <w:r w:rsidRPr="00AA537D">
        <w:rPr>
          <w:spacing w:val="0"/>
          <w:kern w:val="0"/>
          <w:rtl/>
        </w:rPr>
        <w:t>فبراير 2011</w:t>
      </w:r>
      <w:r w:rsidRPr="00AA537D">
        <w:rPr>
          <w:rFonts w:hint="cs"/>
          <w:spacing w:val="0"/>
          <w:kern w:val="0"/>
          <w:rtl/>
        </w:rPr>
        <w:t xml:space="preserve"> تسع مرات لل</w:t>
      </w:r>
      <w:r w:rsidRPr="00AA537D">
        <w:rPr>
          <w:spacing w:val="0"/>
          <w:kern w:val="0"/>
          <w:rtl/>
        </w:rPr>
        <w:t>إدلاء بشهادته. و</w:t>
      </w:r>
      <w:r w:rsidRPr="00AA537D">
        <w:rPr>
          <w:rFonts w:hint="cs"/>
          <w:spacing w:val="0"/>
          <w:kern w:val="0"/>
          <w:rtl/>
        </w:rPr>
        <w:t xml:space="preserve">لم يمارس أي ضغط على </w:t>
      </w:r>
      <w:r w:rsidRPr="00AA537D">
        <w:rPr>
          <w:spacing w:val="0"/>
          <w:kern w:val="0"/>
          <w:rtl/>
        </w:rPr>
        <w:t xml:space="preserve">صاحب الشكوى وعائلته. </w:t>
      </w:r>
      <w:r w:rsidRPr="00AA537D">
        <w:rPr>
          <w:rFonts w:hint="cs"/>
          <w:spacing w:val="0"/>
          <w:kern w:val="0"/>
          <w:rtl/>
        </w:rPr>
        <w:t xml:space="preserve">وفي </w:t>
      </w:r>
      <w:r w:rsidRPr="00AA537D">
        <w:rPr>
          <w:spacing w:val="0"/>
          <w:kern w:val="0"/>
          <w:rtl/>
        </w:rPr>
        <w:t>19</w:t>
      </w:r>
      <w:r w:rsidRPr="00AA537D">
        <w:rPr>
          <w:rFonts w:hint="cs"/>
          <w:spacing w:val="0"/>
          <w:kern w:val="0"/>
          <w:rtl/>
        </w:rPr>
        <w:t xml:space="preserve"> كانون الثاني/</w:t>
      </w:r>
      <w:r w:rsidRPr="00AA537D">
        <w:rPr>
          <w:spacing w:val="0"/>
          <w:kern w:val="0"/>
          <w:rtl/>
        </w:rPr>
        <w:t xml:space="preserve">يناير 2011، رفض صاحب الشكوى، </w:t>
      </w:r>
      <w:r w:rsidRPr="00AA537D">
        <w:rPr>
          <w:rFonts w:hint="cs"/>
          <w:spacing w:val="0"/>
          <w:kern w:val="0"/>
          <w:rtl/>
        </w:rPr>
        <w:t>كتابياًًً،</w:t>
      </w:r>
      <w:r w:rsidRPr="00AA537D">
        <w:rPr>
          <w:spacing w:val="0"/>
          <w:kern w:val="0"/>
          <w:rtl/>
        </w:rPr>
        <w:t xml:space="preserve"> </w:t>
      </w:r>
      <w:r w:rsidRPr="00AA537D">
        <w:rPr>
          <w:rFonts w:hint="cs"/>
          <w:spacing w:val="0"/>
          <w:kern w:val="0"/>
          <w:rtl/>
        </w:rPr>
        <w:t>ال</w:t>
      </w:r>
      <w:r w:rsidRPr="00AA537D">
        <w:rPr>
          <w:spacing w:val="0"/>
          <w:kern w:val="0"/>
          <w:rtl/>
        </w:rPr>
        <w:t xml:space="preserve">عرض </w:t>
      </w:r>
      <w:r w:rsidRPr="00AA537D">
        <w:rPr>
          <w:rFonts w:hint="cs"/>
          <w:spacing w:val="0"/>
          <w:kern w:val="0"/>
          <w:rtl/>
        </w:rPr>
        <w:t xml:space="preserve">المقدم من </w:t>
      </w:r>
      <w:r w:rsidRPr="00AA537D">
        <w:rPr>
          <w:spacing w:val="0"/>
          <w:kern w:val="0"/>
          <w:rtl/>
        </w:rPr>
        <w:t xml:space="preserve">الدولة الطرف </w:t>
      </w:r>
      <w:r w:rsidRPr="00AA537D">
        <w:rPr>
          <w:rFonts w:hint="cs"/>
          <w:spacing w:val="0"/>
          <w:kern w:val="0"/>
          <w:rtl/>
        </w:rPr>
        <w:t xml:space="preserve">بتوفير </w:t>
      </w:r>
      <w:r w:rsidRPr="00AA537D">
        <w:rPr>
          <w:spacing w:val="0"/>
          <w:kern w:val="0"/>
          <w:rtl/>
        </w:rPr>
        <w:t xml:space="preserve">تدابير الحماية </w:t>
      </w:r>
      <w:r w:rsidRPr="00AA537D">
        <w:rPr>
          <w:rFonts w:hint="cs"/>
          <w:spacing w:val="0"/>
          <w:kern w:val="0"/>
          <w:rtl/>
        </w:rPr>
        <w:t>له بسبب غياب ال</w:t>
      </w:r>
      <w:r w:rsidRPr="00AA537D">
        <w:rPr>
          <w:spacing w:val="0"/>
          <w:kern w:val="0"/>
          <w:rtl/>
        </w:rPr>
        <w:t>تهديد.</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7-13</w:t>
      </w:r>
      <w:r w:rsidRPr="00AA537D">
        <w:rPr>
          <w:rFonts w:hint="cs"/>
          <w:spacing w:val="0"/>
          <w:kern w:val="0"/>
          <w:rtl/>
          <w:lang w:bidi="ar-SY"/>
        </w:rPr>
        <w:tab/>
      </w:r>
      <w:r w:rsidRPr="00AA537D">
        <w:rPr>
          <w:rFonts w:hint="cs"/>
          <w:spacing w:val="0"/>
          <w:kern w:val="0"/>
          <w:rtl/>
        </w:rPr>
        <w:t>وفي 3 شباط/</w:t>
      </w:r>
      <w:r w:rsidRPr="00AA537D">
        <w:rPr>
          <w:spacing w:val="0"/>
          <w:kern w:val="0"/>
          <w:rtl/>
        </w:rPr>
        <w:t xml:space="preserve"> فبراير 2011، </w:t>
      </w:r>
      <w:r w:rsidRPr="00AA537D">
        <w:rPr>
          <w:rFonts w:hint="cs"/>
          <w:spacing w:val="0"/>
          <w:kern w:val="0"/>
          <w:rtl/>
        </w:rPr>
        <w:t xml:space="preserve">قدم صاحب </w:t>
      </w:r>
      <w:r w:rsidRPr="00AA537D">
        <w:rPr>
          <w:spacing w:val="0"/>
          <w:kern w:val="0"/>
          <w:rtl/>
        </w:rPr>
        <w:t xml:space="preserve">الشكوى </w:t>
      </w:r>
      <w:r w:rsidRPr="00AA537D">
        <w:rPr>
          <w:rFonts w:hint="cs"/>
          <w:spacing w:val="0"/>
          <w:kern w:val="0"/>
          <w:rtl/>
        </w:rPr>
        <w:t xml:space="preserve">إقراراً كتابياً يرفض فيه </w:t>
      </w:r>
      <w:r w:rsidRPr="00AA537D">
        <w:rPr>
          <w:spacing w:val="0"/>
          <w:kern w:val="0"/>
          <w:rtl/>
        </w:rPr>
        <w:t>خدمات محامي</w:t>
      </w:r>
      <w:r w:rsidRPr="00AA537D">
        <w:rPr>
          <w:rFonts w:hint="cs"/>
          <w:spacing w:val="0"/>
          <w:kern w:val="0"/>
          <w:rtl/>
        </w:rPr>
        <w:t>ه</w:t>
      </w:r>
      <w:r w:rsidRPr="00AA537D">
        <w:rPr>
          <w:spacing w:val="0"/>
          <w:kern w:val="0"/>
          <w:vertAlign w:val="superscript"/>
          <w:rtl/>
        </w:rPr>
        <w:t>(</w:t>
      </w:r>
      <w:r w:rsidRPr="00AA537D">
        <w:rPr>
          <w:rStyle w:val="FootnoteReference"/>
          <w:spacing w:val="0"/>
          <w:rtl/>
        </w:rPr>
        <w:footnoteReference w:id="391"/>
      </w:r>
      <w:r w:rsidRPr="00AA537D">
        <w:rPr>
          <w:spacing w:val="0"/>
          <w:kern w:val="0"/>
          <w:vertAlign w:val="superscript"/>
          <w:rtl/>
        </w:rPr>
        <w:t>)</w:t>
      </w:r>
      <w:r w:rsidRPr="00AA537D">
        <w:rPr>
          <w:spacing w:val="0"/>
          <w:kern w:val="0"/>
          <w:rtl/>
        </w:rPr>
        <w:t xml:space="preserve">. </w:t>
      </w:r>
      <w:r w:rsidRPr="00AA537D">
        <w:rPr>
          <w:rFonts w:hint="cs"/>
          <w:spacing w:val="0"/>
          <w:kern w:val="0"/>
          <w:rtl/>
        </w:rPr>
        <w:t>و</w:t>
      </w:r>
      <w:r w:rsidRPr="00AA537D">
        <w:rPr>
          <w:spacing w:val="0"/>
          <w:kern w:val="0"/>
          <w:rtl/>
        </w:rPr>
        <w:t xml:space="preserve">في 5 </w:t>
      </w:r>
      <w:r w:rsidRPr="00AA537D">
        <w:rPr>
          <w:rFonts w:hint="cs"/>
          <w:spacing w:val="0"/>
          <w:kern w:val="0"/>
          <w:rtl/>
        </w:rPr>
        <w:t>شباط/</w:t>
      </w:r>
      <w:r w:rsidRPr="00AA537D">
        <w:rPr>
          <w:spacing w:val="0"/>
          <w:kern w:val="0"/>
          <w:rtl/>
        </w:rPr>
        <w:t>فبراير 2011</w:t>
      </w:r>
      <w:r w:rsidRPr="00AA537D">
        <w:rPr>
          <w:rFonts w:hint="cs"/>
          <w:spacing w:val="0"/>
          <w:kern w:val="0"/>
          <w:rtl/>
        </w:rPr>
        <w:t>،</w:t>
      </w:r>
      <w:r w:rsidRPr="00AA537D">
        <w:rPr>
          <w:spacing w:val="0"/>
          <w:kern w:val="0"/>
          <w:rtl/>
        </w:rPr>
        <w:t xml:space="preserve"> تلق</w:t>
      </w:r>
      <w:r w:rsidRPr="00AA537D">
        <w:rPr>
          <w:rFonts w:hint="cs"/>
          <w:spacing w:val="0"/>
          <w:kern w:val="0"/>
          <w:rtl/>
        </w:rPr>
        <w:t>ى</w:t>
      </w:r>
      <w:r w:rsidRPr="00AA537D">
        <w:rPr>
          <w:spacing w:val="0"/>
          <w:kern w:val="0"/>
          <w:rtl/>
        </w:rPr>
        <w:t xml:space="preserve"> المدعي العام لمنطقة</w:t>
      </w:r>
      <w:r w:rsidRPr="00AA537D">
        <w:rPr>
          <w:rFonts w:hint="cs"/>
          <w:spacing w:val="0"/>
          <w:kern w:val="0"/>
          <w:rtl/>
        </w:rPr>
        <w:t xml:space="preserve"> </w:t>
      </w:r>
      <w:r w:rsidRPr="00AA537D">
        <w:rPr>
          <w:spacing w:val="0"/>
          <w:kern w:val="0"/>
          <w:rtl/>
        </w:rPr>
        <w:t xml:space="preserve">كوستاناي </w:t>
      </w:r>
      <w:r w:rsidRPr="00AA537D">
        <w:rPr>
          <w:rFonts w:hint="cs"/>
          <w:spacing w:val="0"/>
          <w:kern w:val="0"/>
          <w:rtl/>
        </w:rPr>
        <w:t xml:space="preserve">إقراراً </w:t>
      </w:r>
      <w:r w:rsidRPr="00AA537D">
        <w:rPr>
          <w:spacing w:val="0"/>
          <w:kern w:val="0"/>
          <w:rtl/>
        </w:rPr>
        <w:t>كتابي</w:t>
      </w:r>
      <w:r w:rsidRPr="00AA537D">
        <w:rPr>
          <w:rFonts w:hint="cs"/>
          <w:spacing w:val="0"/>
          <w:kern w:val="0"/>
          <w:rtl/>
        </w:rPr>
        <w:t>اً من صاحب الشكوى</w:t>
      </w:r>
      <w:r w:rsidRPr="00AA537D">
        <w:rPr>
          <w:spacing w:val="0"/>
          <w:kern w:val="0"/>
          <w:rtl/>
        </w:rPr>
        <w:t xml:space="preserve">، </w:t>
      </w:r>
      <w:r w:rsidRPr="00AA537D">
        <w:rPr>
          <w:rFonts w:hint="cs"/>
          <w:spacing w:val="0"/>
          <w:kern w:val="0"/>
          <w:rtl/>
        </w:rPr>
        <w:t xml:space="preserve">مؤرخاً </w:t>
      </w:r>
      <w:r w:rsidRPr="00AA537D">
        <w:rPr>
          <w:spacing w:val="0"/>
          <w:kern w:val="0"/>
          <w:rtl/>
        </w:rPr>
        <w:t xml:space="preserve">3 </w:t>
      </w:r>
      <w:r w:rsidRPr="00AA537D">
        <w:rPr>
          <w:rFonts w:hint="cs"/>
          <w:spacing w:val="0"/>
          <w:kern w:val="0"/>
          <w:rtl/>
        </w:rPr>
        <w:t>شباط/</w:t>
      </w:r>
      <w:r w:rsidRPr="00AA537D">
        <w:rPr>
          <w:spacing w:val="0"/>
          <w:kern w:val="0"/>
          <w:rtl/>
        </w:rPr>
        <w:t>فبراير 2011</w:t>
      </w:r>
      <w:r w:rsidRPr="00AA537D">
        <w:rPr>
          <w:rFonts w:hint="cs"/>
          <w:spacing w:val="0"/>
          <w:kern w:val="0"/>
          <w:rtl/>
        </w:rPr>
        <w:t>، يسحب بموجبه</w:t>
      </w:r>
      <w:r w:rsidRPr="00AA537D">
        <w:rPr>
          <w:spacing w:val="0"/>
          <w:kern w:val="0"/>
          <w:rtl/>
        </w:rPr>
        <w:t xml:space="preserve"> تصريحاته السابقة </w:t>
      </w:r>
      <w:r w:rsidRPr="00AA537D">
        <w:rPr>
          <w:rFonts w:hint="cs"/>
          <w:spacing w:val="0"/>
          <w:kern w:val="0"/>
          <w:rtl/>
        </w:rPr>
        <w:t>بدعوى أنه كان مصاباً ب</w:t>
      </w:r>
      <w:r w:rsidRPr="00AA537D">
        <w:rPr>
          <w:spacing w:val="0"/>
          <w:kern w:val="0"/>
          <w:rtl/>
        </w:rPr>
        <w:t>انهيار عصبي عند الإدلاء ب</w:t>
      </w:r>
      <w:r w:rsidRPr="00AA537D">
        <w:rPr>
          <w:rFonts w:hint="cs"/>
          <w:spacing w:val="0"/>
          <w:kern w:val="0"/>
          <w:rtl/>
        </w:rPr>
        <w:t xml:space="preserve">ها، ورفض الإدلاء بشهادته </w:t>
      </w:r>
      <w:r w:rsidRPr="00AA537D">
        <w:rPr>
          <w:spacing w:val="0"/>
          <w:kern w:val="0"/>
          <w:rtl/>
        </w:rPr>
        <w:t xml:space="preserve">بسبب </w:t>
      </w:r>
      <w:r w:rsidRPr="00AA537D">
        <w:rPr>
          <w:rFonts w:hint="cs"/>
          <w:spacing w:val="0"/>
          <w:kern w:val="0"/>
          <w:rtl/>
        </w:rPr>
        <w:t xml:space="preserve">مضي </w:t>
      </w:r>
      <w:r w:rsidRPr="00AA537D">
        <w:rPr>
          <w:spacing w:val="0"/>
          <w:kern w:val="0"/>
          <w:rtl/>
        </w:rPr>
        <w:t xml:space="preserve">مدة </w:t>
      </w:r>
      <w:r w:rsidRPr="00AA537D">
        <w:rPr>
          <w:rFonts w:hint="cs"/>
          <w:spacing w:val="0"/>
          <w:kern w:val="0"/>
          <w:rtl/>
        </w:rPr>
        <w:t xml:space="preserve">طويلة على </w:t>
      </w:r>
      <w:r w:rsidRPr="00AA537D">
        <w:rPr>
          <w:spacing w:val="0"/>
          <w:kern w:val="0"/>
          <w:rtl/>
        </w:rPr>
        <w:t>الأحداث</w:t>
      </w:r>
      <w:r w:rsidRPr="00AA537D">
        <w:rPr>
          <w:spacing w:val="0"/>
          <w:kern w:val="0"/>
          <w:vertAlign w:val="superscript"/>
          <w:rtl/>
        </w:rPr>
        <w:t>(</w:t>
      </w:r>
      <w:r w:rsidRPr="00AA537D">
        <w:rPr>
          <w:rStyle w:val="FootnoteReference"/>
          <w:spacing w:val="0"/>
          <w:rtl/>
        </w:rPr>
        <w:footnoteReference w:id="392"/>
      </w:r>
      <w:r w:rsidRPr="00AA537D">
        <w:rPr>
          <w:spacing w:val="0"/>
          <w:kern w:val="0"/>
          <w:vertAlign w:val="superscript"/>
          <w:rtl/>
        </w:rPr>
        <w:t>)</w:t>
      </w:r>
      <w:r w:rsidRPr="00AA537D">
        <w:rPr>
          <w:spacing w:val="0"/>
          <w:kern w:val="0"/>
          <w:rtl/>
        </w:rPr>
        <w:t xml:space="preserve">. </w:t>
      </w:r>
      <w:r w:rsidRPr="00AA537D">
        <w:rPr>
          <w:rFonts w:hint="cs"/>
          <w:spacing w:val="0"/>
          <w:kern w:val="0"/>
          <w:rtl/>
        </w:rPr>
        <w:t xml:space="preserve">وفي </w:t>
      </w:r>
      <w:r w:rsidRPr="00AA537D">
        <w:rPr>
          <w:spacing w:val="0"/>
          <w:kern w:val="0"/>
          <w:rtl/>
        </w:rPr>
        <w:t>6</w:t>
      </w:r>
      <w:r w:rsidRPr="00AA537D">
        <w:rPr>
          <w:rFonts w:hint="cs"/>
          <w:spacing w:val="0"/>
          <w:kern w:val="0"/>
          <w:rtl/>
        </w:rPr>
        <w:t xml:space="preserve"> شباط/</w:t>
      </w:r>
      <w:r w:rsidRPr="00AA537D">
        <w:rPr>
          <w:spacing w:val="0"/>
          <w:kern w:val="0"/>
          <w:rtl/>
        </w:rPr>
        <w:t xml:space="preserve">فبراير 2011، </w:t>
      </w:r>
      <w:r w:rsidRPr="00AA537D">
        <w:rPr>
          <w:rFonts w:hint="cs"/>
          <w:spacing w:val="0"/>
          <w:kern w:val="0"/>
          <w:rtl/>
        </w:rPr>
        <w:t>سئل</w:t>
      </w:r>
      <w:r w:rsidRPr="00AA537D">
        <w:rPr>
          <w:spacing w:val="0"/>
          <w:kern w:val="0"/>
          <w:rtl/>
        </w:rPr>
        <w:t xml:space="preserve"> صاحب الشكوى </w:t>
      </w:r>
      <w:r w:rsidRPr="00AA537D">
        <w:rPr>
          <w:rFonts w:hint="cs"/>
          <w:spacing w:val="0"/>
          <w:kern w:val="0"/>
          <w:rtl/>
        </w:rPr>
        <w:t>عن</w:t>
      </w:r>
      <w:r w:rsidRPr="00AA537D">
        <w:rPr>
          <w:spacing w:val="0"/>
          <w:kern w:val="0"/>
          <w:rtl/>
        </w:rPr>
        <w:t xml:space="preserve"> الظروف التي كتب فيها </w:t>
      </w:r>
      <w:r w:rsidRPr="00AA537D">
        <w:rPr>
          <w:rFonts w:hint="cs"/>
          <w:spacing w:val="0"/>
          <w:kern w:val="0"/>
          <w:rtl/>
        </w:rPr>
        <w:t xml:space="preserve">الإقرارين، </w:t>
      </w:r>
      <w:r w:rsidRPr="00AA537D">
        <w:rPr>
          <w:spacing w:val="0"/>
          <w:kern w:val="0"/>
          <w:rtl/>
        </w:rPr>
        <w:t>و</w:t>
      </w:r>
      <w:r w:rsidRPr="00AA537D">
        <w:rPr>
          <w:rFonts w:hint="cs"/>
          <w:spacing w:val="0"/>
          <w:kern w:val="0"/>
          <w:rtl/>
        </w:rPr>
        <w:t>قال إنه كتبهما بنفسه وبد</w:t>
      </w:r>
      <w:r w:rsidRPr="00AA537D">
        <w:rPr>
          <w:spacing w:val="0"/>
          <w:kern w:val="0"/>
          <w:rtl/>
        </w:rPr>
        <w:t xml:space="preserve">ون أي ضغط خارجي. </w:t>
      </w:r>
      <w:r w:rsidRPr="00AA537D">
        <w:rPr>
          <w:rFonts w:hint="cs"/>
          <w:spacing w:val="0"/>
          <w:kern w:val="0"/>
          <w:rtl/>
        </w:rPr>
        <w:t xml:space="preserve">ورفض </w:t>
      </w:r>
      <w:r w:rsidRPr="00AA537D">
        <w:rPr>
          <w:spacing w:val="0"/>
          <w:kern w:val="0"/>
          <w:rtl/>
        </w:rPr>
        <w:t>الإدلاء ب</w:t>
      </w:r>
      <w:r w:rsidRPr="00AA537D">
        <w:rPr>
          <w:rFonts w:hint="cs"/>
          <w:spacing w:val="0"/>
          <w:kern w:val="0"/>
          <w:rtl/>
        </w:rPr>
        <w:t xml:space="preserve">مزيد من الأقوال بدعوى أنه لا يتذكر </w:t>
      </w:r>
      <w:r w:rsidRPr="00AA537D">
        <w:rPr>
          <w:spacing w:val="0"/>
          <w:kern w:val="0"/>
          <w:rtl/>
        </w:rPr>
        <w:t>ظروف ال</w:t>
      </w:r>
      <w:r w:rsidRPr="00AA537D">
        <w:rPr>
          <w:rFonts w:hint="cs"/>
          <w:spacing w:val="0"/>
          <w:kern w:val="0"/>
          <w:rtl/>
        </w:rPr>
        <w:t>واقعة وأنه ليس لديه شكاوى ضد</w:t>
      </w:r>
      <w:r w:rsidRPr="00AA537D">
        <w:rPr>
          <w:spacing w:val="0"/>
          <w:kern w:val="0"/>
          <w:rtl/>
        </w:rPr>
        <w:t xml:space="preserve"> الشرطة</w:t>
      </w:r>
      <w:r w:rsidRPr="00AA537D">
        <w:rPr>
          <w:spacing w:val="0"/>
          <w:kern w:val="0"/>
          <w:vertAlign w:val="superscript"/>
          <w:rtl/>
        </w:rPr>
        <w:t>(</w:t>
      </w:r>
      <w:r w:rsidRPr="00AA537D">
        <w:rPr>
          <w:rStyle w:val="FootnoteReference"/>
          <w:spacing w:val="0"/>
          <w:rtl/>
        </w:rPr>
        <w:footnoteReference w:id="393"/>
      </w:r>
      <w:r w:rsidRPr="00AA537D">
        <w:rPr>
          <w:spacing w:val="0"/>
          <w:kern w:val="0"/>
          <w:vertAlign w:val="superscript"/>
          <w:rtl/>
        </w:rPr>
        <w:t>)</w:t>
      </w:r>
      <w:r w:rsidRPr="00AA537D">
        <w:rPr>
          <w:rFonts w:hint="cs"/>
          <w:spacing w:val="0"/>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7-14</w:t>
      </w:r>
      <w:r w:rsidRPr="00AA537D">
        <w:rPr>
          <w:rFonts w:hint="cs"/>
          <w:spacing w:val="0"/>
          <w:kern w:val="0"/>
          <w:rtl/>
          <w:lang w:bidi="ar-SY"/>
        </w:rPr>
        <w:tab/>
      </w:r>
      <w:r w:rsidRPr="00AA537D">
        <w:rPr>
          <w:rFonts w:hint="cs"/>
          <w:spacing w:val="0"/>
          <w:kern w:val="0"/>
          <w:rtl/>
        </w:rPr>
        <w:t xml:space="preserve">وفي 6 شباط/فبراير 2011، حفظ </w:t>
      </w:r>
      <w:r w:rsidRPr="00AA537D">
        <w:rPr>
          <w:rFonts w:hint="cs"/>
          <w:spacing w:val="0"/>
          <w:kern w:val="0"/>
          <w:rtl/>
          <w:lang/>
        </w:rPr>
        <w:t>مساعد المدعي العام في مدينة كوستاناي القضية الجنائية لعدم كفاية الأدلة</w:t>
      </w:r>
      <w:r w:rsidRPr="00AA537D">
        <w:rPr>
          <w:rFonts w:hint="cs"/>
          <w:spacing w:val="0"/>
          <w:kern w:val="0"/>
          <w:rtl/>
        </w:rPr>
        <w:t xml:space="preserve">. واستند هذا القرار إلى أسس سليمة بسبب التناقض وعدم الاتساق في أقوال صاحب الشكوى أثناء التحقيق، </w:t>
      </w:r>
      <w:r w:rsidRPr="00AA537D">
        <w:rPr>
          <w:spacing w:val="0"/>
          <w:kern w:val="0"/>
          <w:sz w:val="30"/>
          <w:rtl/>
        </w:rPr>
        <w:t>و</w:t>
      </w:r>
      <w:r w:rsidRPr="00AA537D">
        <w:rPr>
          <w:rFonts w:hint="cs"/>
          <w:spacing w:val="0"/>
          <w:kern w:val="0"/>
          <w:sz w:val="30"/>
          <w:rtl/>
        </w:rPr>
        <w:t xml:space="preserve">رفض </w:t>
      </w:r>
      <w:r w:rsidRPr="00AA537D">
        <w:rPr>
          <w:spacing w:val="0"/>
          <w:kern w:val="0"/>
          <w:sz w:val="30"/>
          <w:rtl/>
        </w:rPr>
        <w:t>زوجته و</w:t>
      </w:r>
      <w:r w:rsidRPr="00AA537D">
        <w:rPr>
          <w:rFonts w:hint="cs"/>
          <w:spacing w:val="0"/>
          <w:kern w:val="0"/>
          <w:sz w:val="30"/>
          <w:rtl/>
        </w:rPr>
        <w:t xml:space="preserve">أبنائها الإدلاء </w:t>
      </w:r>
      <w:r w:rsidRPr="00AA537D">
        <w:rPr>
          <w:spacing w:val="0"/>
          <w:kern w:val="0"/>
          <w:sz w:val="30"/>
          <w:rtl/>
        </w:rPr>
        <w:t>بشهادته</w:t>
      </w:r>
      <w:r w:rsidRPr="00AA537D">
        <w:rPr>
          <w:rFonts w:hint="cs"/>
          <w:spacing w:val="0"/>
          <w:kern w:val="0"/>
          <w:sz w:val="30"/>
          <w:rtl/>
        </w:rPr>
        <w:t>م كتابياً</w:t>
      </w:r>
      <w:r w:rsidRPr="00AA537D">
        <w:rPr>
          <w:spacing w:val="0"/>
          <w:kern w:val="0"/>
          <w:sz w:val="30"/>
          <w:vertAlign w:val="superscript"/>
          <w:rtl/>
        </w:rPr>
        <w:t>(</w:t>
      </w:r>
      <w:r w:rsidRPr="00AA537D">
        <w:rPr>
          <w:rStyle w:val="FootnoteReference"/>
          <w:spacing w:val="0"/>
          <w:rtl/>
        </w:rPr>
        <w:footnoteReference w:id="394"/>
      </w:r>
      <w:r w:rsidRPr="00AA537D">
        <w:rPr>
          <w:spacing w:val="0"/>
          <w:kern w:val="0"/>
          <w:sz w:val="30"/>
          <w:vertAlign w:val="superscript"/>
          <w:rtl/>
        </w:rPr>
        <w:t>)</w:t>
      </w:r>
      <w:r w:rsidRPr="00AA537D">
        <w:rPr>
          <w:spacing w:val="0"/>
          <w:kern w:val="0"/>
          <w:sz w:val="30"/>
          <w:rtl/>
        </w:rPr>
        <w:t xml:space="preserve">، </w:t>
      </w:r>
      <w:r w:rsidRPr="00AA537D">
        <w:rPr>
          <w:rFonts w:hint="cs"/>
          <w:spacing w:val="0"/>
          <w:kern w:val="0"/>
          <w:sz w:val="30"/>
          <w:rtl/>
        </w:rPr>
        <w:t xml:space="preserve">وتراجع </w:t>
      </w:r>
      <w:r w:rsidRPr="00AA537D">
        <w:rPr>
          <w:spacing w:val="0"/>
          <w:kern w:val="0"/>
          <w:sz w:val="30"/>
          <w:rtl/>
        </w:rPr>
        <w:t xml:space="preserve">صاحب الشكوى </w:t>
      </w:r>
      <w:r w:rsidRPr="00AA537D">
        <w:rPr>
          <w:rFonts w:hint="cs"/>
          <w:spacing w:val="0"/>
          <w:kern w:val="0"/>
          <w:sz w:val="30"/>
          <w:rtl/>
        </w:rPr>
        <w:t xml:space="preserve">عن أقواله، </w:t>
      </w:r>
      <w:r w:rsidRPr="00AA537D">
        <w:rPr>
          <w:spacing w:val="0"/>
          <w:kern w:val="0"/>
          <w:sz w:val="30"/>
          <w:rtl/>
        </w:rPr>
        <w:t>ورفض</w:t>
      </w:r>
      <w:r w:rsidRPr="00AA537D">
        <w:rPr>
          <w:rFonts w:hint="cs"/>
          <w:spacing w:val="0"/>
          <w:kern w:val="0"/>
          <w:sz w:val="30"/>
          <w:rtl/>
        </w:rPr>
        <w:t>ه</w:t>
      </w:r>
      <w:r w:rsidRPr="00AA537D">
        <w:rPr>
          <w:spacing w:val="0"/>
          <w:kern w:val="0"/>
          <w:sz w:val="30"/>
          <w:rtl/>
        </w:rPr>
        <w:t xml:space="preserve"> الإدلاء ب</w:t>
      </w:r>
      <w:r w:rsidRPr="00AA537D">
        <w:rPr>
          <w:rFonts w:hint="cs"/>
          <w:spacing w:val="0"/>
          <w:kern w:val="0"/>
          <w:sz w:val="30"/>
          <w:rtl/>
        </w:rPr>
        <w:t>مزيد من الأقوال، ونتائج الفحص الطبي النفساني الشرعي الذي أجري له في 18 كانون الثاني/يناير 2011.</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7-15</w:t>
      </w:r>
      <w:r w:rsidRPr="00AA537D">
        <w:rPr>
          <w:rFonts w:hint="cs"/>
          <w:spacing w:val="0"/>
          <w:kern w:val="0"/>
          <w:rtl/>
          <w:lang w:bidi="ar-SY"/>
        </w:rPr>
        <w:tab/>
      </w:r>
      <w:r w:rsidRPr="00AA537D">
        <w:rPr>
          <w:spacing w:val="0"/>
          <w:kern w:val="0"/>
          <w:rtl/>
        </w:rPr>
        <w:t>و</w:t>
      </w:r>
      <w:r w:rsidRPr="00AA537D">
        <w:rPr>
          <w:rFonts w:hint="cs"/>
          <w:spacing w:val="0"/>
          <w:kern w:val="0"/>
          <w:rtl/>
        </w:rPr>
        <w:t xml:space="preserve">تدفع </w:t>
      </w:r>
      <w:r w:rsidRPr="00AA537D">
        <w:rPr>
          <w:spacing w:val="0"/>
          <w:kern w:val="0"/>
          <w:rtl/>
        </w:rPr>
        <w:t xml:space="preserve">الدولة الطرف </w:t>
      </w:r>
      <w:r w:rsidRPr="00AA537D">
        <w:rPr>
          <w:rFonts w:hint="cs"/>
          <w:spacing w:val="0"/>
          <w:kern w:val="0"/>
          <w:rtl/>
        </w:rPr>
        <w:t>ب</w:t>
      </w:r>
      <w:r w:rsidRPr="00AA537D">
        <w:rPr>
          <w:spacing w:val="0"/>
          <w:kern w:val="0"/>
          <w:rtl/>
        </w:rPr>
        <w:t xml:space="preserve">أنه </w:t>
      </w:r>
      <w:r w:rsidRPr="00AA537D">
        <w:rPr>
          <w:rFonts w:hint="cs"/>
          <w:spacing w:val="0"/>
          <w:kern w:val="0"/>
          <w:rtl/>
        </w:rPr>
        <w:t xml:space="preserve">لا يمكن إثبات مسؤولية أفراد </w:t>
      </w:r>
      <w:r w:rsidRPr="00AA537D">
        <w:rPr>
          <w:spacing w:val="0"/>
          <w:kern w:val="0"/>
          <w:rtl/>
        </w:rPr>
        <w:t>الشرطة بسبب طول</w:t>
      </w:r>
      <w:r w:rsidRPr="00AA537D">
        <w:rPr>
          <w:rFonts w:hint="cs"/>
          <w:spacing w:val="0"/>
          <w:kern w:val="0"/>
          <w:rtl/>
        </w:rPr>
        <w:t xml:space="preserve"> </w:t>
      </w:r>
      <w:r w:rsidRPr="00AA537D">
        <w:rPr>
          <w:spacing w:val="0"/>
          <w:kern w:val="0"/>
          <w:rtl/>
        </w:rPr>
        <w:t xml:space="preserve">الفترة </w:t>
      </w:r>
      <w:r w:rsidRPr="00AA537D">
        <w:rPr>
          <w:rFonts w:hint="cs"/>
          <w:spacing w:val="0"/>
          <w:kern w:val="0"/>
          <w:rtl/>
        </w:rPr>
        <w:t xml:space="preserve">الزمنية </w:t>
      </w:r>
      <w:r w:rsidRPr="00AA537D">
        <w:rPr>
          <w:spacing w:val="0"/>
          <w:kern w:val="0"/>
          <w:rtl/>
        </w:rPr>
        <w:t>(ثلاث سنوات وثمانية أشهر) ال</w:t>
      </w:r>
      <w:r w:rsidRPr="00AA537D">
        <w:rPr>
          <w:rFonts w:hint="cs"/>
          <w:spacing w:val="0"/>
          <w:kern w:val="0"/>
          <w:rtl/>
        </w:rPr>
        <w:t>تي</w:t>
      </w:r>
      <w:r w:rsidRPr="00AA537D">
        <w:rPr>
          <w:spacing w:val="0"/>
          <w:kern w:val="0"/>
          <w:rtl/>
        </w:rPr>
        <w:t xml:space="preserve"> انقض</w:t>
      </w:r>
      <w:r w:rsidRPr="00AA537D">
        <w:rPr>
          <w:rFonts w:hint="cs"/>
          <w:spacing w:val="0"/>
          <w:kern w:val="0"/>
          <w:rtl/>
        </w:rPr>
        <w:t>ت</w:t>
      </w:r>
      <w:r w:rsidRPr="00AA537D">
        <w:rPr>
          <w:spacing w:val="0"/>
          <w:kern w:val="0"/>
          <w:rtl/>
        </w:rPr>
        <w:t xml:space="preserve"> منذ </w:t>
      </w:r>
      <w:r w:rsidRPr="00AA537D">
        <w:rPr>
          <w:rFonts w:hint="cs"/>
          <w:spacing w:val="0"/>
          <w:kern w:val="0"/>
          <w:rtl/>
        </w:rPr>
        <w:t>توقيع الإ</w:t>
      </w:r>
      <w:r w:rsidRPr="00AA537D">
        <w:rPr>
          <w:spacing w:val="0"/>
          <w:kern w:val="0"/>
          <w:rtl/>
        </w:rPr>
        <w:t xml:space="preserve">صابات </w:t>
      </w:r>
      <w:r w:rsidRPr="00AA537D">
        <w:rPr>
          <w:rFonts w:hint="cs"/>
          <w:spacing w:val="0"/>
          <w:kern w:val="0"/>
          <w:rtl/>
        </w:rPr>
        <w:t>ال</w:t>
      </w:r>
      <w:r w:rsidRPr="00AA537D">
        <w:rPr>
          <w:spacing w:val="0"/>
          <w:kern w:val="0"/>
          <w:rtl/>
        </w:rPr>
        <w:t xml:space="preserve">جسدية، </w:t>
      </w:r>
      <w:r w:rsidRPr="00AA537D">
        <w:rPr>
          <w:rFonts w:hint="cs"/>
          <w:spacing w:val="0"/>
          <w:kern w:val="0"/>
          <w:rtl/>
        </w:rPr>
        <w:t xml:space="preserve">والأقوال </w:t>
      </w:r>
      <w:r w:rsidRPr="00AA537D">
        <w:rPr>
          <w:spacing w:val="0"/>
          <w:kern w:val="0"/>
          <w:rtl/>
        </w:rPr>
        <w:t>المتناقضة لصاحب الشكوى</w:t>
      </w:r>
      <w:r w:rsidRPr="00AA537D">
        <w:rPr>
          <w:rFonts w:hint="cs"/>
          <w:spacing w:val="0"/>
          <w:kern w:val="0"/>
          <w:rtl/>
        </w:rPr>
        <w:t>،</w:t>
      </w:r>
      <w:r w:rsidRPr="00AA537D">
        <w:rPr>
          <w:spacing w:val="0"/>
          <w:kern w:val="0"/>
          <w:rtl/>
        </w:rPr>
        <w:t xml:space="preserve"> و</w:t>
      </w:r>
      <w:r w:rsidRPr="00AA537D">
        <w:rPr>
          <w:rFonts w:hint="cs"/>
          <w:spacing w:val="0"/>
          <w:kern w:val="0"/>
          <w:rtl/>
        </w:rPr>
        <w:t>تراجعه بعد ذلك عن هذه الأقوال</w:t>
      </w:r>
      <w:r w:rsidRPr="00AA537D">
        <w:rPr>
          <w:spacing w:val="0"/>
          <w:kern w:val="0"/>
          <w:rtl/>
        </w:rPr>
        <w:t xml:space="preserve">، </w:t>
      </w:r>
      <w:r w:rsidRPr="00AA537D">
        <w:rPr>
          <w:rFonts w:hint="cs"/>
          <w:spacing w:val="0"/>
          <w:kern w:val="0"/>
          <w:rtl/>
        </w:rPr>
        <w:t>و</w:t>
      </w:r>
      <w:r w:rsidRPr="00AA537D">
        <w:rPr>
          <w:spacing w:val="0"/>
          <w:kern w:val="0"/>
          <w:rtl/>
        </w:rPr>
        <w:t>رفض زوجة صاحب الشكوى و</w:t>
      </w:r>
      <w:r w:rsidRPr="00AA537D">
        <w:rPr>
          <w:rFonts w:hint="cs"/>
          <w:spacing w:val="0"/>
          <w:kern w:val="0"/>
          <w:rtl/>
        </w:rPr>
        <w:t>أبنائها ا</w:t>
      </w:r>
      <w:r w:rsidRPr="00AA537D">
        <w:rPr>
          <w:spacing w:val="0"/>
          <w:kern w:val="0"/>
          <w:rtl/>
        </w:rPr>
        <w:t>لإدلاء ب</w:t>
      </w:r>
      <w:r w:rsidRPr="00AA537D">
        <w:rPr>
          <w:rFonts w:hint="cs"/>
          <w:spacing w:val="0"/>
          <w:kern w:val="0"/>
          <w:rtl/>
        </w:rPr>
        <w:t>أقوالهم، وإنكار أفراد الشرطة لا</w:t>
      </w:r>
      <w:r w:rsidRPr="00AA537D">
        <w:rPr>
          <w:spacing w:val="0"/>
          <w:kern w:val="0"/>
          <w:rtl/>
        </w:rPr>
        <w:t>دعاءات التعذيب.</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7-16</w:t>
      </w:r>
      <w:r w:rsidRPr="00AA537D">
        <w:rPr>
          <w:rFonts w:hint="cs"/>
          <w:spacing w:val="0"/>
          <w:kern w:val="0"/>
          <w:rtl/>
          <w:lang w:bidi="ar-SY"/>
        </w:rPr>
        <w:tab/>
      </w:r>
      <w:r w:rsidRPr="00AA537D">
        <w:rPr>
          <w:rFonts w:hint="cs"/>
          <w:spacing w:val="0"/>
          <w:kern w:val="0"/>
          <w:rtl/>
        </w:rPr>
        <w:t xml:space="preserve">وتؤكد </w:t>
      </w:r>
      <w:r w:rsidRPr="00AA537D">
        <w:rPr>
          <w:spacing w:val="0"/>
          <w:kern w:val="0"/>
          <w:rtl/>
        </w:rPr>
        <w:t xml:space="preserve">الدولة الطرف </w:t>
      </w:r>
      <w:r w:rsidRPr="00AA537D">
        <w:rPr>
          <w:rFonts w:hint="cs"/>
          <w:spacing w:val="0"/>
          <w:kern w:val="0"/>
          <w:rtl/>
        </w:rPr>
        <w:t xml:space="preserve">أنه ينبغي إعلان عدم مقبولية </w:t>
      </w:r>
      <w:r w:rsidRPr="00AA537D">
        <w:rPr>
          <w:spacing w:val="0"/>
          <w:kern w:val="0"/>
          <w:rtl/>
        </w:rPr>
        <w:t xml:space="preserve">البلاغ للأسباب التالية: (1) </w:t>
      </w:r>
      <w:r w:rsidRPr="00AA537D">
        <w:rPr>
          <w:rFonts w:hint="cs"/>
          <w:spacing w:val="0"/>
          <w:kern w:val="0"/>
          <w:rtl/>
        </w:rPr>
        <w:t xml:space="preserve">أن </w:t>
      </w:r>
      <w:r w:rsidRPr="00AA537D">
        <w:rPr>
          <w:spacing w:val="0"/>
          <w:kern w:val="0"/>
          <w:rtl/>
        </w:rPr>
        <w:t xml:space="preserve">الأحداث </w:t>
      </w:r>
      <w:r w:rsidRPr="00AA537D">
        <w:rPr>
          <w:rFonts w:hint="cs"/>
          <w:spacing w:val="0"/>
          <w:kern w:val="0"/>
          <w:rtl/>
        </w:rPr>
        <w:t xml:space="preserve">موضوع الشكوى وقعت في </w:t>
      </w:r>
      <w:r w:rsidRPr="00AA537D">
        <w:rPr>
          <w:spacing w:val="0"/>
          <w:kern w:val="0"/>
          <w:rtl/>
        </w:rPr>
        <w:t xml:space="preserve">27 </w:t>
      </w:r>
      <w:r w:rsidRPr="00AA537D">
        <w:rPr>
          <w:rFonts w:hint="cs"/>
          <w:spacing w:val="0"/>
          <w:kern w:val="0"/>
          <w:rtl/>
        </w:rPr>
        <w:t>آذار/</w:t>
      </w:r>
      <w:r w:rsidRPr="00AA537D">
        <w:rPr>
          <w:spacing w:val="0"/>
          <w:kern w:val="0"/>
          <w:rtl/>
        </w:rPr>
        <w:t>مارس 2007 و</w:t>
      </w:r>
      <w:r w:rsidRPr="00AA537D">
        <w:rPr>
          <w:rFonts w:hint="cs"/>
          <w:spacing w:val="0"/>
          <w:kern w:val="0"/>
          <w:rtl/>
        </w:rPr>
        <w:t xml:space="preserve">أن آخر قرار إجرائي في الدعوى </w:t>
      </w:r>
      <w:r w:rsidRPr="00AA537D">
        <w:rPr>
          <w:spacing w:val="0"/>
          <w:kern w:val="0"/>
          <w:rtl/>
        </w:rPr>
        <w:t xml:space="preserve">اتخذ في 1 </w:t>
      </w:r>
      <w:r w:rsidRPr="00AA537D">
        <w:rPr>
          <w:rFonts w:hint="cs"/>
          <w:spacing w:val="0"/>
          <w:kern w:val="0"/>
          <w:rtl/>
        </w:rPr>
        <w:t>شباط/</w:t>
      </w:r>
      <w:r w:rsidRPr="00AA537D">
        <w:rPr>
          <w:spacing w:val="0"/>
          <w:kern w:val="0"/>
          <w:rtl/>
        </w:rPr>
        <w:t xml:space="preserve">فبراير 2008، أي قبل </w:t>
      </w:r>
      <w:r w:rsidRPr="00AA537D">
        <w:rPr>
          <w:rFonts w:hint="cs"/>
          <w:spacing w:val="0"/>
          <w:kern w:val="0"/>
          <w:rtl/>
        </w:rPr>
        <w:t xml:space="preserve">اعتراف </w:t>
      </w:r>
      <w:r w:rsidRPr="00AA537D">
        <w:rPr>
          <w:spacing w:val="0"/>
          <w:kern w:val="0"/>
          <w:rtl/>
        </w:rPr>
        <w:t xml:space="preserve">كازاخستان باختصاص اللجنة بموجب المادة 22؛ (2) </w:t>
      </w:r>
      <w:r w:rsidRPr="00AA537D">
        <w:rPr>
          <w:rFonts w:hint="cs"/>
          <w:spacing w:val="0"/>
          <w:kern w:val="0"/>
          <w:rtl/>
        </w:rPr>
        <w:t xml:space="preserve">وأن </w:t>
      </w:r>
      <w:r w:rsidRPr="00AA537D">
        <w:rPr>
          <w:spacing w:val="0"/>
          <w:kern w:val="0"/>
          <w:rtl/>
        </w:rPr>
        <w:t xml:space="preserve">صاحب الشكوى </w:t>
      </w:r>
      <w:r w:rsidRPr="00AA537D">
        <w:rPr>
          <w:rFonts w:hint="cs"/>
          <w:spacing w:val="0"/>
          <w:kern w:val="0"/>
          <w:rtl/>
        </w:rPr>
        <w:t xml:space="preserve">لم يطعن قضائياً في القرار الصادر بتاريخ 1 شباط/فبراير 2008 (عدم الموافقة على إجراء تحقيق جنائي)، والقرار الصادر بتاريخ 6 شباط/فبراير 2011 (حفظ الدعوى الجنائية)، وفقاً لما هو منصوص عليه في </w:t>
      </w:r>
      <w:r w:rsidRPr="00AA537D">
        <w:rPr>
          <w:spacing w:val="0"/>
          <w:kern w:val="0"/>
          <w:rtl/>
        </w:rPr>
        <w:t>المادة 109 من قانون الإجراءات الجنائية</w:t>
      </w:r>
      <w:r w:rsidRPr="00AA537D">
        <w:rPr>
          <w:rFonts w:hint="cs"/>
          <w:spacing w:val="0"/>
          <w:kern w:val="0"/>
          <w:rtl/>
        </w:rPr>
        <w:t xml:space="preserve"> - و</w:t>
      </w:r>
      <w:r w:rsidRPr="00AA537D">
        <w:rPr>
          <w:spacing w:val="0"/>
          <w:kern w:val="0"/>
          <w:rtl/>
        </w:rPr>
        <w:t xml:space="preserve">لم يستنفد </w:t>
      </w:r>
      <w:r w:rsidRPr="00AA537D">
        <w:rPr>
          <w:rFonts w:hint="cs"/>
          <w:spacing w:val="0"/>
          <w:kern w:val="0"/>
          <w:rtl/>
        </w:rPr>
        <w:t xml:space="preserve">بذلك </w:t>
      </w:r>
      <w:r w:rsidRPr="00AA537D">
        <w:rPr>
          <w:spacing w:val="0"/>
          <w:kern w:val="0"/>
          <w:rtl/>
        </w:rPr>
        <w:t xml:space="preserve">جميع سبل الانتصاف المحلية المتاحة؛ (3) </w:t>
      </w:r>
      <w:r w:rsidRPr="00AA537D">
        <w:rPr>
          <w:rFonts w:hint="cs"/>
          <w:spacing w:val="0"/>
          <w:kern w:val="0"/>
          <w:rtl/>
        </w:rPr>
        <w:t xml:space="preserve">وأن وزارة الخارجية تلقت </w:t>
      </w:r>
      <w:r w:rsidRPr="00AA537D">
        <w:rPr>
          <w:spacing w:val="0"/>
          <w:kern w:val="0"/>
          <w:rtl/>
        </w:rPr>
        <w:t xml:space="preserve">في آذار/مارس 2011 رسالة موثقة </w:t>
      </w:r>
      <w:r w:rsidRPr="00AA537D">
        <w:rPr>
          <w:rFonts w:hint="cs"/>
          <w:spacing w:val="0"/>
          <w:kern w:val="0"/>
          <w:rtl/>
        </w:rPr>
        <w:t>يعلن فيها صاحب الشكوى أنه يسحب شك</w:t>
      </w:r>
      <w:r w:rsidRPr="00AA537D">
        <w:rPr>
          <w:spacing w:val="0"/>
          <w:kern w:val="0"/>
          <w:rtl/>
        </w:rPr>
        <w:t xml:space="preserve">واه المعروضة على اللجنة. </w:t>
      </w:r>
      <w:r w:rsidRPr="00AA537D">
        <w:rPr>
          <w:rFonts w:hint="cs"/>
          <w:spacing w:val="0"/>
          <w:kern w:val="0"/>
          <w:rtl/>
        </w:rPr>
        <w:t xml:space="preserve">وبما أن صاحب </w:t>
      </w:r>
      <w:r w:rsidRPr="00AA537D">
        <w:rPr>
          <w:spacing w:val="0"/>
          <w:kern w:val="0"/>
          <w:rtl/>
        </w:rPr>
        <w:t xml:space="preserve">الشكوى </w:t>
      </w:r>
      <w:r w:rsidRPr="00AA537D">
        <w:rPr>
          <w:rFonts w:hint="cs"/>
          <w:spacing w:val="0"/>
          <w:kern w:val="0"/>
          <w:rtl/>
        </w:rPr>
        <w:t>سحب شكواه التي قدمها طرف ثالث</w:t>
      </w:r>
      <w:r w:rsidRPr="00AA537D">
        <w:rPr>
          <w:spacing w:val="0"/>
          <w:kern w:val="0"/>
          <w:rtl/>
        </w:rPr>
        <w:t xml:space="preserve"> إلى اللجنة، </w:t>
      </w:r>
      <w:r w:rsidRPr="00AA537D">
        <w:rPr>
          <w:rFonts w:hint="cs"/>
          <w:spacing w:val="0"/>
          <w:kern w:val="0"/>
          <w:rtl/>
        </w:rPr>
        <w:t xml:space="preserve">فلا ينبغي أن </w:t>
      </w:r>
      <w:r w:rsidRPr="00AA537D">
        <w:rPr>
          <w:spacing w:val="0"/>
          <w:kern w:val="0"/>
          <w:rtl/>
        </w:rPr>
        <w:t xml:space="preserve">تنظر اللجنة </w:t>
      </w:r>
      <w:r w:rsidRPr="00AA537D">
        <w:rPr>
          <w:rFonts w:hint="cs"/>
          <w:spacing w:val="0"/>
          <w:kern w:val="0"/>
          <w:rtl/>
        </w:rPr>
        <w:t>في هذه الشكوى</w:t>
      </w:r>
      <w:r w:rsidRPr="00AA537D">
        <w:rPr>
          <w:spacing w:val="0"/>
          <w:kern w:val="0"/>
          <w:rtl/>
        </w:rPr>
        <w:t>.</w:t>
      </w:r>
    </w:p>
    <w:p w:rsidR="00FA6676" w:rsidRPr="00AA537D" w:rsidRDefault="00FA6676" w:rsidP="00AA537D">
      <w:pPr>
        <w:pStyle w:val="SingleTxtGA"/>
        <w:jc w:val="lowKashida"/>
        <w:rPr>
          <w:rFonts w:hint="cs"/>
          <w:spacing w:val="0"/>
          <w:kern w:val="0"/>
          <w:rtl/>
        </w:rPr>
      </w:pPr>
      <w:r w:rsidRPr="008C1013">
        <w:rPr>
          <w:rFonts w:hint="cs"/>
          <w:spacing w:val="-2"/>
          <w:kern w:val="0"/>
          <w:rtl/>
          <w:lang w:bidi="ar-SY"/>
        </w:rPr>
        <w:t>7-17</w:t>
      </w:r>
      <w:r w:rsidRPr="008C1013">
        <w:rPr>
          <w:rFonts w:hint="cs"/>
          <w:spacing w:val="-2"/>
          <w:kern w:val="0"/>
          <w:rtl/>
          <w:lang w:bidi="ar-SY"/>
        </w:rPr>
        <w:tab/>
      </w:r>
      <w:r w:rsidRPr="008C1013">
        <w:rPr>
          <w:spacing w:val="-2"/>
          <w:kern w:val="0"/>
          <w:rtl/>
        </w:rPr>
        <w:t>وت</w:t>
      </w:r>
      <w:r w:rsidRPr="008C1013">
        <w:rPr>
          <w:rFonts w:hint="cs"/>
          <w:spacing w:val="-2"/>
          <w:kern w:val="0"/>
          <w:rtl/>
        </w:rPr>
        <w:t xml:space="preserve">قول </w:t>
      </w:r>
      <w:r w:rsidRPr="008C1013">
        <w:rPr>
          <w:spacing w:val="-2"/>
          <w:kern w:val="0"/>
          <w:rtl/>
        </w:rPr>
        <w:t xml:space="preserve">الدولة الطرف </w:t>
      </w:r>
      <w:r w:rsidRPr="008C1013">
        <w:rPr>
          <w:rFonts w:hint="cs"/>
          <w:spacing w:val="-2"/>
          <w:kern w:val="0"/>
          <w:rtl/>
        </w:rPr>
        <w:t xml:space="preserve">إن الادعاءات </w:t>
      </w:r>
      <w:r w:rsidRPr="008C1013">
        <w:rPr>
          <w:spacing w:val="-2"/>
          <w:kern w:val="0"/>
          <w:rtl/>
        </w:rPr>
        <w:t>المقدمة من ممثلي صاحب الشكوى</w:t>
      </w:r>
      <w:r w:rsidRPr="008C1013">
        <w:rPr>
          <w:rFonts w:hint="cs"/>
          <w:spacing w:val="-2"/>
          <w:kern w:val="0"/>
          <w:rtl/>
        </w:rPr>
        <w:t xml:space="preserve"> لا أساس من الصحة</w:t>
      </w:r>
      <w:r w:rsidRPr="008C1013">
        <w:rPr>
          <w:spacing w:val="-2"/>
          <w:kern w:val="0"/>
          <w:rtl/>
        </w:rPr>
        <w:t xml:space="preserve">. </w:t>
      </w:r>
      <w:r w:rsidRPr="008C1013">
        <w:rPr>
          <w:rFonts w:hint="cs"/>
          <w:spacing w:val="-2"/>
          <w:kern w:val="0"/>
          <w:rtl/>
        </w:rPr>
        <w:t>ف</w:t>
      </w:r>
      <w:r w:rsidRPr="008C1013">
        <w:rPr>
          <w:spacing w:val="-2"/>
          <w:kern w:val="0"/>
          <w:rtl/>
        </w:rPr>
        <w:t xml:space="preserve">لم </w:t>
      </w:r>
      <w:r w:rsidRPr="008C1013">
        <w:rPr>
          <w:rFonts w:hint="cs"/>
          <w:spacing w:val="-2"/>
          <w:kern w:val="0"/>
          <w:rtl/>
        </w:rPr>
        <w:t>ت</w:t>
      </w:r>
      <w:r w:rsidRPr="008C1013">
        <w:rPr>
          <w:spacing w:val="-2"/>
          <w:kern w:val="0"/>
          <w:rtl/>
        </w:rPr>
        <w:t>تأكد ادعاءات التعذيب أثناء التحقيق. وأعلن صاحب الشكوى</w:t>
      </w:r>
      <w:r w:rsidRPr="008C1013">
        <w:rPr>
          <w:rFonts w:hint="cs"/>
          <w:spacing w:val="-2"/>
          <w:kern w:val="0"/>
          <w:rtl/>
        </w:rPr>
        <w:t>، علاوة على ذلك،</w:t>
      </w:r>
      <w:r w:rsidRPr="008C1013">
        <w:rPr>
          <w:spacing w:val="-2"/>
          <w:kern w:val="0"/>
          <w:rtl/>
        </w:rPr>
        <w:t xml:space="preserve"> أنه لم </w:t>
      </w:r>
      <w:r w:rsidRPr="008C1013">
        <w:rPr>
          <w:rFonts w:hint="cs"/>
          <w:spacing w:val="-2"/>
          <w:kern w:val="0"/>
          <w:rtl/>
        </w:rPr>
        <w:t>ي</w:t>
      </w:r>
      <w:r w:rsidRPr="008C1013">
        <w:rPr>
          <w:spacing w:val="-2"/>
          <w:kern w:val="0"/>
          <w:rtl/>
        </w:rPr>
        <w:t xml:space="preserve">قدم </w:t>
      </w:r>
      <w:r w:rsidRPr="008C1013">
        <w:rPr>
          <w:rFonts w:hint="cs"/>
          <w:spacing w:val="-2"/>
          <w:kern w:val="0"/>
          <w:rtl/>
        </w:rPr>
        <w:t>ش</w:t>
      </w:r>
      <w:r w:rsidRPr="008C1013">
        <w:rPr>
          <w:spacing w:val="-2"/>
          <w:kern w:val="0"/>
          <w:rtl/>
        </w:rPr>
        <w:t>ك</w:t>
      </w:r>
      <w:r w:rsidRPr="008C1013">
        <w:rPr>
          <w:rFonts w:hint="cs"/>
          <w:spacing w:val="-2"/>
          <w:kern w:val="0"/>
          <w:rtl/>
        </w:rPr>
        <w:t>ا</w:t>
      </w:r>
      <w:r w:rsidRPr="008C1013">
        <w:rPr>
          <w:spacing w:val="-2"/>
          <w:kern w:val="0"/>
          <w:rtl/>
        </w:rPr>
        <w:t>وى إلى اللجنة</w:t>
      </w:r>
      <w:r w:rsidRPr="008C1013">
        <w:rPr>
          <w:rFonts w:hint="cs"/>
          <w:spacing w:val="-2"/>
          <w:kern w:val="0"/>
          <w:rtl/>
        </w:rPr>
        <w:t>،</w:t>
      </w:r>
      <w:r w:rsidRPr="008C1013">
        <w:rPr>
          <w:spacing w:val="-2"/>
          <w:kern w:val="0"/>
          <w:rtl/>
        </w:rPr>
        <w:t xml:space="preserve"> ولم يصر على مواصلة التحقيق في القضية الجنائية. </w:t>
      </w:r>
      <w:r w:rsidRPr="008C1013">
        <w:rPr>
          <w:rFonts w:hint="cs"/>
          <w:spacing w:val="-2"/>
          <w:kern w:val="0"/>
          <w:rtl/>
        </w:rPr>
        <w:t xml:space="preserve">وبينما اتخذت </w:t>
      </w:r>
      <w:r w:rsidRPr="008C1013">
        <w:rPr>
          <w:spacing w:val="-2"/>
          <w:kern w:val="0"/>
          <w:rtl/>
        </w:rPr>
        <w:t xml:space="preserve">الدولة الطرف جميع التدابير </w:t>
      </w:r>
      <w:r w:rsidRPr="008C1013">
        <w:rPr>
          <w:rFonts w:hint="cs"/>
          <w:spacing w:val="-2"/>
          <w:kern w:val="0"/>
          <w:rtl/>
        </w:rPr>
        <w:t>اللازمة ل</w:t>
      </w:r>
      <w:r w:rsidRPr="008C1013">
        <w:rPr>
          <w:spacing w:val="-2"/>
          <w:kern w:val="0"/>
          <w:rtl/>
        </w:rPr>
        <w:t>ضمان إجراء تحقيق موضوعي، فإنه لا يمكن مقاضا</w:t>
      </w:r>
      <w:r w:rsidRPr="008C1013">
        <w:rPr>
          <w:rFonts w:hint="cs"/>
          <w:spacing w:val="-2"/>
          <w:kern w:val="0"/>
          <w:rtl/>
        </w:rPr>
        <w:t xml:space="preserve">ة أفراد الشرطة </w:t>
      </w:r>
      <w:r w:rsidRPr="008C1013">
        <w:rPr>
          <w:spacing w:val="-2"/>
          <w:kern w:val="0"/>
          <w:rtl/>
        </w:rPr>
        <w:t>جنائيا</w:t>
      </w:r>
      <w:r w:rsidRPr="008C1013">
        <w:rPr>
          <w:rFonts w:hint="cs"/>
          <w:spacing w:val="-2"/>
          <w:kern w:val="0"/>
          <w:rtl/>
        </w:rPr>
        <w:t>ً</w:t>
      </w:r>
      <w:r w:rsidRPr="008C1013">
        <w:rPr>
          <w:spacing w:val="-2"/>
          <w:kern w:val="0"/>
          <w:rtl/>
        </w:rPr>
        <w:t xml:space="preserve"> </w:t>
      </w:r>
      <w:r w:rsidRPr="008C1013">
        <w:rPr>
          <w:rFonts w:hint="cs"/>
          <w:spacing w:val="-2"/>
          <w:kern w:val="0"/>
          <w:rtl/>
        </w:rPr>
        <w:t>نظراً ل</w:t>
      </w:r>
      <w:r w:rsidRPr="008C1013">
        <w:rPr>
          <w:spacing w:val="-2"/>
          <w:kern w:val="0"/>
          <w:rtl/>
        </w:rPr>
        <w:t>عدم كفاية الأدلة و</w:t>
      </w:r>
      <w:r w:rsidRPr="008C1013">
        <w:rPr>
          <w:rFonts w:hint="cs"/>
          <w:spacing w:val="-2"/>
          <w:kern w:val="0"/>
          <w:rtl/>
        </w:rPr>
        <w:t>ل</w:t>
      </w:r>
      <w:r w:rsidRPr="008C1013">
        <w:rPr>
          <w:spacing w:val="-2"/>
          <w:kern w:val="0"/>
          <w:rtl/>
        </w:rPr>
        <w:t xml:space="preserve">موقف صاحب الشكوى نفسه. ومع ذلك، </w:t>
      </w:r>
      <w:r w:rsidRPr="008C1013">
        <w:rPr>
          <w:rFonts w:hint="cs"/>
          <w:spacing w:val="-2"/>
          <w:kern w:val="0"/>
          <w:rtl/>
        </w:rPr>
        <w:t xml:space="preserve">فُرضت على </w:t>
      </w:r>
      <w:r w:rsidRPr="008C1013">
        <w:rPr>
          <w:spacing w:val="-2"/>
          <w:kern w:val="0"/>
          <w:rtl/>
        </w:rPr>
        <w:t xml:space="preserve">ثمانية من </w:t>
      </w:r>
      <w:r w:rsidRPr="008C1013">
        <w:rPr>
          <w:rFonts w:hint="cs"/>
          <w:spacing w:val="-2"/>
          <w:kern w:val="0"/>
          <w:rtl/>
        </w:rPr>
        <w:t xml:space="preserve">أفراد </w:t>
      </w:r>
      <w:r w:rsidRPr="008C1013">
        <w:rPr>
          <w:spacing w:val="-2"/>
          <w:kern w:val="0"/>
          <w:rtl/>
        </w:rPr>
        <w:t xml:space="preserve">الشرطة عقوبات تأديبية مختلفة (انظر الفقرة 7-2). </w:t>
      </w:r>
      <w:r w:rsidRPr="008C1013">
        <w:rPr>
          <w:rFonts w:hint="cs"/>
          <w:spacing w:val="-2"/>
          <w:kern w:val="0"/>
          <w:rtl/>
        </w:rPr>
        <w:t>وتفيد الدولة الطرف أيضاً بأن ا</w:t>
      </w:r>
      <w:r w:rsidRPr="008C1013">
        <w:rPr>
          <w:spacing w:val="-2"/>
          <w:kern w:val="0"/>
          <w:rtl/>
        </w:rPr>
        <w:t>لتشريعات المحلية</w:t>
      </w:r>
      <w:r w:rsidRPr="008C1013">
        <w:rPr>
          <w:rFonts w:hint="cs"/>
          <w:spacing w:val="-2"/>
          <w:kern w:val="0"/>
          <w:rtl/>
        </w:rPr>
        <w:t xml:space="preserve"> تقضي بعدم البت في</w:t>
      </w:r>
      <w:r w:rsidRPr="008C1013">
        <w:rPr>
          <w:spacing w:val="-2"/>
          <w:kern w:val="0"/>
          <w:rtl/>
        </w:rPr>
        <w:t xml:space="preserve"> مسألة</w:t>
      </w:r>
      <w:r w:rsidRPr="00AA537D">
        <w:rPr>
          <w:spacing w:val="0"/>
          <w:kern w:val="0"/>
          <w:rtl/>
        </w:rPr>
        <w:t xml:space="preserve"> </w:t>
      </w:r>
      <w:r w:rsidRPr="00AA537D">
        <w:rPr>
          <w:rFonts w:hint="cs"/>
          <w:spacing w:val="0"/>
          <w:kern w:val="0"/>
          <w:rtl/>
        </w:rPr>
        <w:t>ال</w:t>
      </w:r>
      <w:r w:rsidRPr="00AA537D">
        <w:rPr>
          <w:spacing w:val="0"/>
          <w:kern w:val="0"/>
          <w:rtl/>
        </w:rPr>
        <w:t xml:space="preserve">تعويض </w:t>
      </w:r>
      <w:r w:rsidRPr="00AA537D">
        <w:rPr>
          <w:rFonts w:hint="cs"/>
          <w:spacing w:val="0"/>
          <w:kern w:val="0"/>
          <w:rtl/>
        </w:rPr>
        <w:t xml:space="preserve">عن أفعال </w:t>
      </w:r>
      <w:r w:rsidRPr="00AA537D">
        <w:rPr>
          <w:spacing w:val="0"/>
          <w:kern w:val="0"/>
          <w:rtl/>
        </w:rPr>
        <w:t>التعذيب</w:t>
      </w:r>
      <w:r w:rsidRPr="00AA537D">
        <w:rPr>
          <w:rFonts w:hint="cs"/>
          <w:spacing w:val="0"/>
          <w:kern w:val="0"/>
          <w:rtl/>
        </w:rPr>
        <w:t xml:space="preserve"> إلا بعد إدانة المسؤولين عن هذه الأفعال أمام </w:t>
      </w:r>
      <w:r w:rsidRPr="00AA537D">
        <w:rPr>
          <w:spacing w:val="0"/>
          <w:kern w:val="0"/>
          <w:rtl/>
        </w:rPr>
        <w:t>محكمة جنا</w:t>
      </w:r>
      <w:r w:rsidRPr="00AA537D">
        <w:rPr>
          <w:rFonts w:hint="cs"/>
          <w:spacing w:val="0"/>
          <w:kern w:val="0"/>
          <w:rtl/>
        </w:rPr>
        <w:t>ئية</w:t>
      </w:r>
      <w:r w:rsidRPr="00AA537D">
        <w:rPr>
          <w:spacing w:val="0"/>
          <w:kern w:val="0"/>
          <w:rtl/>
        </w:rPr>
        <w:t>.</w:t>
      </w:r>
    </w:p>
    <w:p w:rsidR="00FA6676" w:rsidRPr="00AA537D" w:rsidRDefault="00FA6676" w:rsidP="00AA537D">
      <w:pPr>
        <w:pStyle w:val="H23GA"/>
        <w:jc w:val="lowKashida"/>
        <w:rPr>
          <w:rFonts w:hint="cs"/>
          <w:spacing w:val="0"/>
          <w:kern w:val="0"/>
          <w:rtl/>
          <w:lang/>
        </w:rPr>
      </w:pPr>
      <w:r w:rsidRPr="00AA537D">
        <w:rPr>
          <w:rFonts w:hint="cs"/>
          <w:spacing w:val="0"/>
          <w:kern w:val="0"/>
          <w:rtl/>
          <w:lang/>
        </w:rPr>
        <w:tab/>
      </w:r>
      <w:r w:rsidRPr="00AA537D">
        <w:rPr>
          <w:rFonts w:hint="cs"/>
          <w:spacing w:val="0"/>
          <w:kern w:val="0"/>
          <w:rtl/>
          <w:lang/>
        </w:rPr>
        <w:tab/>
        <w:t>تعليقات ممثلي صاحب الشكوى بشأن المقبولية والأسس الموضوعية</w:t>
      </w:r>
    </w:p>
    <w:p w:rsidR="00FA6676" w:rsidRPr="00AA537D" w:rsidRDefault="00FA6676" w:rsidP="00AA537D">
      <w:pPr>
        <w:pStyle w:val="SingleTxtGA"/>
        <w:jc w:val="lowKashida"/>
        <w:rPr>
          <w:rFonts w:hint="cs"/>
          <w:spacing w:val="0"/>
          <w:kern w:val="0"/>
          <w:rtl/>
        </w:rPr>
      </w:pPr>
      <w:r w:rsidRPr="00AA537D">
        <w:rPr>
          <w:rFonts w:hint="cs"/>
          <w:spacing w:val="0"/>
          <w:kern w:val="0"/>
          <w:rtl/>
          <w:lang/>
        </w:rPr>
        <w:t>8-1</w:t>
      </w:r>
      <w:r w:rsidRPr="00AA537D">
        <w:rPr>
          <w:rFonts w:hint="cs"/>
          <w:spacing w:val="0"/>
          <w:kern w:val="0"/>
          <w:rtl/>
          <w:lang/>
        </w:rPr>
        <w:tab/>
      </w:r>
      <w:r w:rsidRPr="00AA537D">
        <w:rPr>
          <w:rFonts w:hint="cs"/>
          <w:spacing w:val="0"/>
          <w:kern w:val="0"/>
          <w:rtl/>
        </w:rPr>
        <w:t>في 15 تموز/</w:t>
      </w:r>
      <w:r w:rsidRPr="00AA537D">
        <w:rPr>
          <w:spacing w:val="0"/>
          <w:kern w:val="0"/>
          <w:rtl/>
        </w:rPr>
        <w:t>يوليه 2011، قدم ممث</w:t>
      </w:r>
      <w:r w:rsidRPr="00AA537D">
        <w:rPr>
          <w:rFonts w:hint="cs"/>
          <w:spacing w:val="0"/>
          <w:kern w:val="0"/>
          <w:rtl/>
        </w:rPr>
        <w:t>لا</w:t>
      </w:r>
      <w:r w:rsidRPr="00AA537D">
        <w:rPr>
          <w:spacing w:val="0"/>
          <w:kern w:val="0"/>
          <w:rtl/>
        </w:rPr>
        <w:t xml:space="preserve"> صاحب الشكوى تعليقات بشأن </w:t>
      </w:r>
      <w:r w:rsidRPr="00AA537D">
        <w:rPr>
          <w:rFonts w:hint="cs"/>
          <w:spacing w:val="0"/>
          <w:kern w:val="0"/>
          <w:rtl/>
        </w:rPr>
        <w:t>ال</w:t>
      </w:r>
      <w:r w:rsidRPr="00AA537D">
        <w:rPr>
          <w:spacing w:val="0"/>
          <w:kern w:val="0"/>
          <w:rtl/>
        </w:rPr>
        <w:t xml:space="preserve">مقبولية </w:t>
      </w:r>
      <w:r w:rsidRPr="00AA537D">
        <w:rPr>
          <w:rFonts w:hint="cs"/>
          <w:spacing w:val="0"/>
          <w:kern w:val="0"/>
          <w:rtl/>
        </w:rPr>
        <w:t>والأ</w:t>
      </w:r>
      <w:r w:rsidRPr="00AA537D">
        <w:rPr>
          <w:spacing w:val="0"/>
          <w:kern w:val="0"/>
          <w:rtl/>
        </w:rPr>
        <w:t xml:space="preserve">سس الموضوعية. وفيما يتعلق </w:t>
      </w:r>
      <w:r w:rsidRPr="00AA537D">
        <w:rPr>
          <w:rFonts w:hint="cs"/>
          <w:spacing w:val="0"/>
          <w:kern w:val="0"/>
          <w:rtl/>
        </w:rPr>
        <w:t xml:space="preserve">بادعاء </w:t>
      </w:r>
      <w:r w:rsidRPr="00AA537D">
        <w:rPr>
          <w:spacing w:val="0"/>
          <w:kern w:val="0"/>
          <w:rtl/>
        </w:rPr>
        <w:t xml:space="preserve">الدولة الطرف بأن الانتهاكات لا تدخل </w:t>
      </w:r>
      <w:r w:rsidRPr="00AA537D">
        <w:rPr>
          <w:rFonts w:hint="cs"/>
          <w:spacing w:val="0"/>
          <w:kern w:val="0"/>
          <w:rtl/>
        </w:rPr>
        <w:t xml:space="preserve">في نطاق </w:t>
      </w:r>
      <w:r w:rsidRPr="00AA537D">
        <w:rPr>
          <w:spacing w:val="0"/>
          <w:kern w:val="0"/>
          <w:rtl/>
        </w:rPr>
        <w:t>ا</w:t>
      </w:r>
      <w:r w:rsidRPr="00AA537D">
        <w:rPr>
          <w:rFonts w:hint="cs"/>
          <w:spacing w:val="0"/>
          <w:kern w:val="0"/>
          <w:rtl/>
        </w:rPr>
        <w:t>لا</w:t>
      </w:r>
      <w:r w:rsidRPr="00AA537D">
        <w:rPr>
          <w:spacing w:val="0"/>
          <w:kern w:val="0"/>
          <w:rtl/>
        </w:rPr>
        <w:t>ختصاص الزمني للجنة، يكرر</w:t>
      </w:r>
      <w:r w:rsidRPr="00AA537D">
        <w:rPr>
          <w:rFonts w:hint="cs"/>
          <w:spacing w:val="0"/>
          <w:kern w:val="0"/>
          <w:rtl/>
        </w:rPr>
        <w:t xml:space="preserve"> الممثلان دفعهما </w:t>
      </w:r>
      <w:r w:rsidRPr="00AA537D">
        <w:rPr>
          <w:spacing w:val="0"/>
          <w:kern w:val="0"/>
          <w:rtl/>
        </w:rPr>
        <w:t xml:space="preserve">بأن </w:t>
      </w:r>
      <w:r w:rsidRPr="00AA537D">
        <w:rPr>
          <w:rFonts w:hint="cs"/>
          <w:spacing w:val="0"/>
          <w:kern w:val="0"/>
          <w:rtl/>
        </w:rPr>
        <w:t xml:space="preserve">التعذيب الذي تعرض صاحب الشكوى في عام 2007 حظي بإقرار الدولة الطرف فعلاً أو ضمناً </w:t>
      </w:r>
      <w:r w:rsidRPr="00AA537D">
        <w:rPr>
          <w:rFonts w:hint="cs"/>
          <w:spacing w:val="0"/>
          <w:kern w:val="0"/>
          <w:rtl/>
          <w:lang w:bidi="ar-SY"/>
        </w:rPr>
        <w:t xml:space="preserve">برفضها الاعتراف بمسؤوليتها عن التعذيب وعدم إجراء </w:t>
      </w:r>
      <w:r w:rsidRPr="00AA537D">
        <w:rPr>
          <w:spacing w:val="0"/>
          <w:kern w:val="0"/>
          <w:rtl/>
        </w:rPr>
        <w:t xml:space="preserve">تحقيق </w:t>
      </w:r>
      <w:r w:rsidRPr="00AA537D">
        <w:rPr>
          <w:rFonts w:hint="cs"/>
          <w:spacing w:val="0"/>
          <w:kern w:val="0"/>
          <w:rtl/>
        </w:rPr>
        <w:t xml:space="preserve">مناسب </w:t>
      </w:r>
      <w:r w:rsidRPr="00AA537D">
        <w:rPr>
          <w:spacing w:val="0"/>
          <w:kern w:val="0"/>
          <w:rtl/>
        </w:rPr>
        <w:t xml:space="preserve">بعد أن </w:t>
      </w:r>
      <w:r w:rsidRPr="00AA537D">
        <w:rPr>
          <w:rFonts w:hint="cs"/>
          <w:spacing w:val="0"/>
          <w:kern w:val="0"/>
          <w:rtl/>
        </w:rPr>
        <w:t xml:space="preserve">أصدرت </w:t>
      </w:r>
      <w:r w:rsidRPr="00AA537D">
        <w:rPr>
          <w:spacing w:val="0"/>
          <w:kern w:val="0"/>
          <w:rtl/>
        </w:rPr>
        <w:t>كازاخستان الإعلان بموجب المادة</w:t>
      </w:r>
      <w:r w:rsidRPr="00AA537D">
        <w:rPr>
          <w:rFonts w:hint="cs"/>
          <w:spacing w:val="0"/>
          <w:kern w:val="0"/>
          <w:rtl/>
        </w:rPr>
        <w:t> </w:t>
      </w:r>
      <w:r w:rsidRPr="00AA537D">
        <w:rPr>
          <w:spacing w:val="0"/>
          <w:kern w:val="0"/>
          <w:rtl/>
        </w:rPr>
        <w:t xml:space="preserve">22 من الاتفاقية في 21 </w:t>
      </w:r>
      <w:r w:rsidRPr="00AA537D">
        <w:rPr>
          <w:rFonts w:hint="cs"/>
          <w:spacing w:val="0"/>
          <w:kern w:val="0"/>
          <w:rtl/>
        </w:rPr>
        <w:t>شباط/</w:t>
      </w:r>
      <w:r w:rsidRPr="00AA537D">
        <w:rPr>
          <w:spacing w:val="0"/>
          <w:kern w:val="0"/>
          <w:rtl/>
        </w:rPr>
        <w:t xml:space="preserve">فبراير 2008. </w:t>
      </w:r>
      <w:r w:rsidRPr="00AA537D">
        <w:rPr>
          <w:rFonts w:hint="cs"/>
          <w:spacing w:val="0"/>
          <w:kern w:val="0"/>
          <w:rtl/>
        </w:rPr>
        <w:t xml:space="preserve">وتتجاهل </w:t>
      </w:r>
      <w:r w:rsidRPr="00AA537D">
        <w:rPr>
          <w:spacing w:val="0"/>
          <w:kern w:val="0"/>
          <w:rtl/>
        </w:rPr>
        <w:t xml:space="preserve">الدولة الطرف </w:t>
      </w:r>
      <w:r w:rsidRPr="00AA537D">
        <w:rPr>
          <w:rFonts w:hint="cs"/>
          <w:spacing w:val="0"/>
          <w:kern w:val="0"/>
          <w:rtl/>
        </w:rPr>
        <w:t>ال</w:t>
      </w:r>
      <w:r w:rsidRPr="00AA537D">
        <w:rPr>
          <w:spacing w:val="0"/>
          <w:kern w:val="0"/>
          <w:rtl/>
        </w:rPr>
        <w:t xml:space="preserve">محاولات </w:t>
      </w:r>
      <w:r w:rsidRPr="00AA537D">
        <w:rPr>
          <w:rFonts w:hint="cs"/>
          <w:spacing w:val="0"/>
          <w:kern w:val="0"/>
          <w:rtl/>
        </w:rPr>
        <w:t xml:space="preserve">التي بذلها </w:t>
      </w:r>
      <w:r w:rsidRPr="00AA537D">
        <w:rPr>
          <w:spacing w:val="0"/>
          <w:kern w:val="0"/>
          <w:rtl/>
        </w:rPr>
        <w:t xml:space="preserve">صاحب الشكوى </w:t>
      </w:r>
      <w:r w:rsidRPr="00AA537D">
        <w:rPr>
          <w:rFonts w:hint="cs"/>
          <w:spacing w:val="0"/>
          <w:kern w:val="0"/>
          <w:rtl/>
        </w:rPr>
        <w:t>ل</w:t>
      </w:r>
      <w:r w:rsidRPr="00AA537D">
        <w:rPr>
          <w:spacing w:val="0"/>
          <w:kern w:val="0"/>
          <w:rtl/>
        </w:rPr>
        <w:t>لحصول على تحقيق فعال من آذار/مارس إلى حزيران/يونيه 2008 ب</w:t>
      </w:r>
      <w:r w:rsidRPr="00AA537D">
        <w:rPr>
          <w:rFonts w:hint="cs"/>
          <w:spacing w:val="0"/>
          <w:kern w:val="0"/>
          <w:rtl/>
        </w:rPr>
        <w:t xml:space="preserve">دعوى أن آخر </w:t>
      </w:r>
      <w:r w:rsidRPr="00AA537D">
        <w:rPr>
          <w:spacing w:val="0"/>
          <w:kern w:val="0"/>
          <w:rtl/>
        </w:rPr>
        <w:t xml:space="preserve">قرار إجرائي </w:t>
      </w:r>
      <w:r w:rsidRPr="00AA537D">
        <w:rPr>
          <w:rFonts w:hint="cs"/>
          <w:spacing w:val="0"/>
          <w:kern w:val="0"/>
          <w:rtl/>
        </w:rPr>
        <w:t xml:space="preserve">صدر في هذه القضية كان بتاريخ </w:t>
      </w:r>
      <w:r w:rsidRPr="00AA537D">
        <w:rPr>
          <w:spacing w:val="0"/>
          <w:kern w:val="0"/>
          <w:rtl/>
        </w:rPr>
        <w:t>1</w:t>
      </w:r>
      <w:r w:rsidRPr="00AA537D">
        <w:rPr>
          <w:rFonts w:hint="cs"/>
          <w:spacing w:val="0"/>
          <w:kern w:val="0"/>
          <w:rtl/>
        </w:rPr>
        <w:t xml:space="preserve"> شباط/</w:t>
      </w:r>
      <w:r w:rsidRPr="00AA537D">
        <w:rPr>
          <w:spacing w:val="0"/>
          <w:kern w:val="0"/>
          <w:rtl/>
        </w:rPr>
        <w:t xml:space="preserve"> فبراير 2008</w:t>
      </w:r>
      <w:r w:rsidRPr="00AA537D">
        <w:rPr>
          <w:rFonts w:hint="cs"/>
          <w:spacing w:val="0"/>
          <w:kern w:val="0"/>
          <w:rtl/>
        </w:rPr>
        <w:t>. ولم</w:t>
      </w:r>
      <w:r w:rsidRPr="00AA537D">
        <w:rPr>
          <w:rFonts w:hint="eastAsia"/>
          <w:spacing w:val="0"/>
          <w:kern w:val="0"/>
          <w:rtl/>
        </w:rPr>
        <w:t> </w:t>
      </w:r>
      <w:r w:rsidRPr="00AA537D">
        <w:rPr>
          <w:rFonts w:hint="cs"/>
          <w:spacing w:val="0"/>
          <w:kern w:val="0"/>
          <w:rtl/>
        </w:rPr>
        <w:t xml:space="preserve">تقم الدولة الطرف حتى الآن بأي </w:t>
      </w:r>
      <w:r w:rsidRPr="00AA537D">
        <w:rPr>
          <w:spacing w:val="0"/>
          <w:kern w:val="0"/>
          <w:rtl/>
        </w:rPr>
        <w:t xml:space="preserve">تحقيق يفي بمتطلبات المادتين 12 و13 من الاتفاقية، </w:t>
      </w:r>
      <w:r w:rsidRPr="00AA537D">
        <w:rPr>
          <w:rFonts w:hint="cs"/>
          <w:spacing w:val="0"/>
          <w:kern w:val="0"/>
          <w:rtl/>
        </w:rPr>
        <w:t>ويشكل هذا انتهاكاً مستمراً. وا</w:t>
      </w:r>
      <w:r w:rsidRPr="00AA537D">
        <w:rPr>
          <w:spacing w:val="0"/>
          <w:kern w:val="0"/>
          <w:rtl/>
        </w:rPr>
        <w:t xml:space="preserve">لإخفاق في منع التعذيب وعدم توفير سبل انتصاف </w:t>
      </w:r>
      <w:r w:rsidRPr="00AA537D">
        <w:rPr>
          <w:rFonts w:hint="cs"/>
          <w:spacing w:val="0"/>
          <w:kern w:val="0"/>
          <w:rtl/>
        </w:rPr>
        <w:t xml:space="preserve">ملائمة يشكلان أيضاً </w:t>
      </w:r>
      <w:r w:rsidRPr="00AA537D">
        <w:rPr>
          <w:spacing w:val="0"/>
          <w:kern w:val="0"/>
          <w:rtl/>
        </w:rPr>
        <w:t>انتهاكات مستمرة.</w:t>
      </w:r>
    </w:p>
    <w:p w:rsidR="00FA6676" w:rsidRPr="00AA537D" w:rsidRDefault="00FA6676" w:rsidP="00AA537D">
      <w:pPr>
        <w:pStyle w:val="SingleTxtGA"/>
        <w:jc w:val="lowKashida"/>
        <w:rPr>
          <w:rFonts w:hint="cs"/>
          <w:spacing w:val="0"/>
          <w:kern w:val="0"/>
          <w:rtl/>
        </w:rPr>
      </w:pPr>
      <w:r w:rsidRPr="00AA537D">
        <w:rPr>
          <w:rFonts w:hint="cs"/>
          <w:spacing w:val="0"/>
          <w:kern w:val="0"/>
          <w:rtl/>
        </w:rPr>
        <w:t>8-2</w:t>
      </w:r>
      <w:r w:rsidRPr="00AA537D">
        <w:rPr>
          <w:rFonts w:hint="cs"/>
          <w:spacing w:val="0"/>
          <w:kern w:val="0"/>
          <w:rtl/>
        </w:rPr>
        <w:tab/>
        <w:t>وفيما يتعلق بالادعاء المزعوم بأن ص</w:t>
      </w:r>
      <w:r w:rsidRPr="00AA537D">
        <w:rPr>
          <w:spacing w:val="0"/>
          <w:kern w:val="0"/>
          <w:rtl/>
        </w:rPr>
        <w:t xml:space="preserve">احب الشكوى </w:t>
      </w:r>
      <w:r w:rsidRPr="00AA537D">
        <w:rPr>
          <w:rFonts w:hint="cs"/>
          <w:spacing w:val="0"/>
          <w:kern w:val="0"/>
          <w:rtl/>
        </w:rPr>
        <w:t>لم ي</w:t>
      </w:r>
      <w:r w:rsidRPr="00AA537D">
        <w:rPr>
          <w:spacing w:val="0"/>
          <w:kern w:val="0"/>
          <w:rtl/>
        </w:rPr>
        <w:t>طعن في القرار</w:t>
      </w:r>
      <w:r w:rsidRPr="00AA537D">
        <w:rPr>
          <w:rFonts w:hint="cs"/>
          <w:spacing w:val="0"/>
          <w:kern w:val="0"/>
          <w:rtl/>
        </w:rPr>
        <w:t xml:space="preserve">ين الصادرين في </w:t>
      </w:r>
      <w:r w:rsidRPr="00AA537D">
        <w:rPr>
          <w:spacing w:val="0"/>
          <w:kern w:val="0"/>
          <w:rtl/>
        </w:rPr>
        <w:t xml:space="preserve">1 </w:t>
      </w:r>
      <w:r w:rsidRPr="00AA537D">
        <w:rPr>
          <w:rFonts w:hint="cs"/>
          <w:spacing w:val="0"/>
          <w:kern w:val="0"/>
          <w:rtl/>
        </w:rPr>
        <w:t>شباط/</w:t>
      </w:r>
      <w:r w:rsidRPr="00AA537D">
        <w:rPr>
          <w:spacing w:val="0"/>
          <w:kern w:val="0"/>
          <w:rtl/>
        </w:rPr>
        <w:t>فبراير 2008</w:t>
      </w:r>
      <w:r w:rsidRPr="00AA537D">
        <w:rPr>
          <w:rFonts w:hint="cs"/>
          <w:spacing w:val="0"/>
          <w:kern w:val="0"/>
          <w:rtl/>
        </w:rPr>
        <w:t xml:space="preserve"> و</w:t>
      </w:r>
      <w:r w:rsidRPr="00AA537D">
        <w:rPr>
          <w:spacing w:val="0"/>
          <w:kern w:val="0"/>
          <w:rtl/>
        </w:rPr>
        <w:t xml:space="preserve">6 </w:t>
      </w:r>
      <w:r w:rsidRPr="00AA537D">
        <w:rPr>
          <w:rFonts w:hint="cs"/>
          <w:spacing w:val="0"/>
          <w:kern w:val="0"/>
          <w:rtl/>
        </w:rPr>
        <w:t>شباط/</w:t>
      </w:r>
      <w:r w:rsidRPr="00AA537D">
        <w:rPr>
          <w:spacing w:val="0"/>
          <w:kern w:val="0"/>
          <w:rtl/>
        </w:rPr>
        <w:t xml:space="preserve">فبراير 2011، </w:t>
      </w:r>
      <w:r w:rsidRPr="00AA537D">
        <w:rPr>
          <w:rFonts w:hint="cs"/>
          <w:spacing w:val="0"/>
          <w:kern w:val="0"/>
          <w:rtl/>
        </w:rPr>
        <w:t xml:space="preserve">يفيد </w:t>
      </w:r>
      <w:r w:rsidRPr="00AA537D">
        <w:rPr>
          <w:spacing w:val="0"/>
          <w:kern w:val="0"/>
          <w:rtl/>
        </w:rPr>
        <w:t>الممث</w:t>
      </w:r>
      <w:r w:rsidRPr="00AA537D">
        <w:rPr>
          <w:rFonts w:hint="cs"/>
          <w:spacing w:val="0"/>
          <w:kern w:val="0"/>
          <w:rtl/>
        </w:rPr>
        <w:t>لا</w:t>
      </w:r>
      <w:r w:rsidRPr="00AA537D">
        <w:rPr>
          <w:spacing w:val="0"/>
          <w:kern w:val="0"/>
          <w:rtl/>
        </w:rPr>
        <w:t xml:space="preserve">ن </w:t>
      </w:r>
      <w:r w:rsidRPr="00AA537D">
        <w:rPr>
          <w:rFonts w:hint="cs"/>
          <w:spacing w:val="0"/>
          <w:kern w:val="0"/>
          <w:rtl/>
        </w:rPr>
        <w:t>ب</w:t>
      </w:r>
      <w:r w:rsidRPr="00AA537D">
        <w:rPr>
          <w:spacing w:val="0"/>
          <w:kern w:val="0"/>
          <w:rtl/>
        </w:rPr>
        <w:t xml:space="preserve">أن </w:t>
      </w:r>
      <w:r w:rsidRPr="00AA537D">
        <w:rPr>
          <w:rFonts w:hint="cs"/>
          <w:spacing w:val="0"/>
          <w:kern w:val="0"/>
          <w:rtl/>
        </w:rPr>
        <w:t>صاحب الشكوى قدم</w:t>
      </w:r>
      <w:r w:rsidRPr="00AA537D">
        <w:rPr>
          <w:rFonts w:hint="eastAsia"/>
          <w:spacing w:val="0"/>
          <w:kern w:val="0"/>
          <w:rtl/>
        </w:rPr>
        <w:t> </w:t>
      </w:r>
      <w:r w:rsidRPr="00AA537D">
        <w:rPr>
          <w:rFonts w:hint="cs"/>
          <w:spacing w:val="0"/>
          <w:kern w:val="0"/>
          <w:rtl/>
        </w:rPr>
        <w:t xml:space="preserve">طعناً إلى </w:t>
      </w:r>
      <w:r w:rsidRPr="00AA537D">
        <w:rPr>
          <w:spacing w:val="0"/>
          <w:kern w:val="0"/>
          <w:rtl/>
        </w:rPr>
        <w:t xml:space="preserve">مكتب المدعي العام </w:t>
      </w:r>
      <w:r w:rsidRPr="00AA537D">
        <w:rPr>
          <w:rFonts w:hint="cs"/>
          <w:spacing w:val="0"/>
          <w:kern w:val="0"/>
          <w:rtl/>
        </w:rPr>
        <w:t xml:space="preserve">كما قدم طعناً قضائياً </w:t>
      </w:r>
      <w:r w:rsidRPr="00AA537D">
        <w:rPr>
          <w:spacing w:val="0"/>
          <w:kern w:val="0"/>
          <w:rtl/>
        </w:rPr>
        <w:t xml:space="preserve">أمام محكمة المدينة </w:t>
      </w:r>
      <w:r w:rsidRPr="00AA537D">
        <w:rPr>
          <w:rFonts w:hint="cs"/>
          <w:spacing w:val="0"/>
          <w:kern w:val="0"/>
          <w:rtl/>
        </w:rPr>
        <w:t xml:space="preserve">ورفض هذا الطعن في </w:t>
      </w:r>
      <w:r w:rsidRPr="00AA537D">
        <w:rPr>
          <w:spacing w:val="0"/>
          <w:kern w:val="0"/>
          <w:rtl/>
        </w:rPr>
        <w:t xml:space="preserve">25 </w:t>
      </w:r>
      <w:r w:rsidRPr="00AA537D">
        <w:rPr>
          <w:rFonts w:hint="cs"/>
          <w:spacing w:val="0"/>
          <w:kern w:val="0"/>
          <w:rtl/>
        </w:rPr>
        <w:t>آذار/</w:t>
      </w:r>
      <w:r w:rsidRPr="00AA537D">
        <w:rPr>
          <w:spacing w:val="0"/>
          <w:kern w:val="0"/>
          <w:rtl/>
        </w:rPr>
        <w:t xml:space="preserve">مارس 2008. </w:t>
      </w:r>
      <w:r w:rsidRPr="00AA537D">
        <w:rPr>
          <w:rFonts w:hint="cs"/>
          <w:spacing w:val="0"/>
          <w:kern w:val="0"/>
          <w:rtl/>
        </w:rPr>
        <w:t xml:space="preserve">ولم يكن أي طعن </w:t>
      </w:r>
      <w:r w:rsidRPr="00AA537D">
        <w:rPr>
          <w:spacing w:val="0"/>
          <w:kern w:val="0"/>
          <w:rtl/>
        </w:rPr>
        <w:t xml:space="preserve">آخر </w:t>
      </w:r>
      <w:r w:rsidRPr="00AA537D">
        <w:rPr>
          <w:rFonts w:hint="cs"/>
          <w:spacing w:val="0"/>
          <w:kern w:val="0"/>
          <w:rtl/>
        </w:rPr>
        <w:t xml:space="preserve">بموجب </w:t>
      </w:r>
      <w:r w:rsidRPr="00AA537D">
        <w:rPr>
          <w:spacing w:val="0"/>
          <w:kern w:val="0"/>
          <w:rtl/>
        </w:rPr>
        <w:t>المادة 109 متاح</w:t>
      </w:r>
      <w:r w:rsidRPr="00AA537D">
        <w:rPr>
          <w:rFonts w:hint="cs"/>
          <w:spacing w:val="0"/>
          <w:kern w:val="0"/>
          <w:rtl/>
        </w:rPr>
        <w:t>اً</w:t>
      </w:r>
      <w:r w:rsidRPr="00AA537D">
        <w:rPr>
          <w:spacing w:val="0"/>
          <w:kern w:val="0"/>
          <w:rtl/>
        </w:rPr>
        <w:t xml:space="preserve"> أو </w:t>
      </w:r>
      <w:r w:rsidRPr="00AA537D">
        <w:rPr>
          <w:rFonts w:hint="cs"/>
          <w:spacing w:val="0"/>
          <w:kern w:val="0"/>
          <w:rtl/>
        </w:rPr>
        <w:t xml:space="preserve">مجدياً من الناحية </w:t>
      </w:r>
      <w:r w:rsidRPr="00AA537D">
        <w:rPr>
          <w:spacing w:val="0"/>
          <w:kern w:val="0"/>
          <w:rtl/>
        </w:rPr>
        <w:t xml:space="preserve">العملية. نظراً </w:t>
      </w:r>
      <w:r w:rsidRPr="00AA537D">
        <w:rPr>
          <w:rFonts w:hint="cs"/>
          <w:spacing w:val="0"/>
          <w:kern w:val="0"/>
          <w:rtl/>
        </w:rPr>
        <w:t>لأسلوب ال</w:t>
      </w:r>
      <w:r w:rsidRPr="00AA537D">
        <w:rPr>
          <w:spacing w:val="0"/>
          <w:kern w:val="0"/>
          <w:rtl/>
        </w:rPr>
        <w:t xml:space="preserve">تخويف الذي </w:t>
      </w:r>
      <w:r w:rsidRPr="00AA537D">
        <w:rPr>
          <w:rFonts w:hint="cs"/>
          <w:spacing w:val="0"/>
          <w:kern w:val="0"/>
          <w:rtl/>
        </w:rPr>
        <w:t xml:space="preserve">أحاط بالتحقيق المستَأنف، ليس من </w:t>
      </w:r>
      <w:r w:rsidRPr="00AA537D">
        <w:rPr>
          <w:spacing w:val="0"/>
          <w:kern w:val="0"/>
          <w:rtl/>
        </w:rPr>
        <w:t xml:space="preserve">المعقول أن </w:t>
      </w:r>
      <w:r w:rsidRPr="00AA537D">
        <w:rPr>
          <w:rFonts w:hint="cs"/>
          <w:spacing w:val="0"/>
          <w:kern w:val="0"/>
          <w:rtl/>
        </w:rPr>
        <w:t>ي</w:t>
      </w:r>
      <w:r w:rsidRPr="00AA537D">
        <w:rPr>
          <w:spacing w:val="0"/>
          <w:kern w:val="0"/>
          <w:rtl/>
        </w:rPr>
        <w:t xml:space="preserve">توقع منه أن </w:t>
      </w:r>
      <w:r w:rsidRPr="00AA537D">
        <w:rPr>
          <w:rFonts w:hint="cs"/>
          <w:spacing w:val="0"/>
          <w:kern w:val="0"/>
          <w:rtl/>
        </w:rPr>
        <w:t xml:space="preserve">يبدأ </w:t>
      </w:r>
      <w:r w:rsidRPr="00AA537D">
        <w:rPr>
          <w:spacing w:val="0"/>
          <w:kern w:val="0"/>
          <w:rtl/>
        </w:rPr>
        <w:t>جولة جديدة من ال</w:t>
      </w:r>
      <w:r w:rsidRPr="00AA537D">
        <w:rPr>
          <w:rFonts w:hint="cs"/>
          <w:spacing w:val="0"/>
          <w:kern w:val="0"/>
          <w:rtl/>
        </w:rPr>
        <w:t>طعون أمام نفس الهيئات التي نظرت في قضيته مراراً من</w:t>
      </w:r>
      <w:r w:rsidRPr="00AA537D">
        <w:rPr>
          <w:rFonts w:hint="eastAsia"/>
          <w:spacing w:val="0"/>
          <w:kern w:val="0"/>
          <w:rtl/>
        </w:rPr>
        <w:t> </w:t>
      </w:r>
      <w:r w:rsidRPr="00AA537D">
        <w:rPr>
          <w:rFonts w:hint="cs"/>
          <w:spacing w:val="0"/>
          <w:kern w:val="0"/>
          <w:rtl/>
        </w:rPr>
        <w:t xml:space="preserve">قبل. </w:t>
      </w:r>
    </w:p>
    <w:p w:rsidR="00FA6676" w:rsidRPr="00AA537D" w:rsidRDefault="00FA6676" w:rsidP="00AA537D">
      <w:pPr>
        <w:pStyle w:val="SingleTxtGA"/>
        <w:jc w:val="lowKashida"/>
        <w:rPr>
          <w:rFonts w:hint="cs"/>
          <w:spacing w:val="0"/>
          <w:kern w:val="0"/>
          <w:rtl/>
          <w:lang/>
        </w:rPr>
      </w:pPr>
      <w:r w:rsidRPr="008C1013">
        <w:rPr>
          <w:rFonts w:hint="cs"/>
          <w:spacing w:val="-2"/>
          <w:kern w:val="0"/>
          <w:rtl/>
          <w:lang/>
        </w:rPr>
        <w:t>8-3</w:t>
      </w:r>
      <w:r w:rsidRPr="008C1013">
        <w:rPr>
          <w:rFonts w:hint="cs"/>
          <w:spacing w:val="-2"/>
          <w:kern w:val="0"/>
          <w:rtl/>
          <w:lang/>
        </w:rPr>
        <w:tab/>
        <w:t xml:space="preserve">وفيما يتعلق بالرسالتين المزعومتين اللتين أشارت إليهما الدولة الطرف والمتعلقتين بسحب الشكوى في شباط/فبراير 2011، لا يمكن اعتبار أي حدث من الأحداث التي أشارت إليها الدولة الطرف "تراجعاً تلقائياً وطوعياً" عن الشكوى </w:t>
      </w:r>
      <w:r w:rsidRPr="008C1013">
        <w:rPr>
          <w:spacing w:val="-2"/>
          <w:kern w:val="0"/>
          <w:sz w:val="30"/>
          <w:rtl/>
        </w:rPr>
        <w:t xml:space="preserve">إلى اللجنة. </w:t>
      </w:r>
      <w:r w:rsidRPr="008C1013">
        <w:rPr>
          <w:rFonts w:hint="cs"/>
          <w:spacing w:val="-2"/>
          <w:kern w:val="0"/>
          <w:sz w:val="30"/>
          <w:rtl/>
        </w:rPr>
        <w:t xml:space="preserve">ولم تذكر </w:t>
      </w:r>
      <w:r w:rsidRPr="008C1013">
        <w:rPr>
          <w:spacing w:val="-2"/>
          <w:kern w:val="0"/>
          <w:sz w:val="30"/>
          <w:rtl/>
        </w:rPr>
        <w:t xml:space="preserve">الدولة الطرف المناسبات </w:t>
      </w:r>
      <w:r w:rsidRPr="008C1013">
        <w:rPr>
          <w:rFonts w:hint="cs"/>
          <w:spacing w:val="-2"/>
          <w:kern w:val="0"/>
          <w:sz w:val="30"/>
          <w:rtl/>
        </w:rPr>
        <w:t xml:space="preserve">العديدة التي كرر فيها صاحب الشكوى </w:t>
      </w:r>
      <w:r w:rsidRPr="008C1013">
        <w:rPr>
          <w:spacing w:val="-2"/>
          <w:kern w:val="0"/>
          <w:sz w:val="30"/>
          <w:rtl/>
        </w:rPr>
        <w:t>في كانون الثاني/يناير 2011</w:t>
      </w:r>
      <w:r w:rsidRPr="008C1013">
        <w:rPr>
          <w:rFonts w:hint="cs"/>
          <w:spacing w:val="-2"/>
          <w:kern w:val="0"/>
          <w:sz w:val="30"/>
          <w:rtl/>
        </w:rPr>
        <w:t xml:space="preserve"> ادعاءاته أثناء استجوابه</w:t>
      </w:r>
      <w:r w:rsidRPr="008C1013">
        <w:rPr>
          <w:spacing w:val="-2"/>
          <w:kern w:val="0"/>
          <w:sz w:val="30"/>
          <w:rtl/>
        </w:rPr>
        <w:t xml:space="preserve"> </w:t>
      </w:r>
      <w:r w:rsidRPr="008C1013">
        <w:rPr>
          <w:rFonts w:hint="cs"/>
          <w:spacing w:val="-2"/>
          <w:kern w:val="0"/>
          <w:sz w:val="30"/>
          <w:rtl/>
        </w:rPr>
        <w:t>بحضور م</w:t>
      </w:r>
      <w:r w:rsidRPr="008C1013">
        <w:rPr>
          <w:spacing w:val="-2"/>
          <w:kern w:val="0"/>
          <w:sz w:val="30"/>
          <w:rtl/>
        </w:rPr>
        <w:t>حاميه</w:t>
      </w:r>
      <w:r w:rsidRPr="008C1013">
        <w:rPr>
          <w:rFonts w:hint="cs"/>
          <w:spacing w:val="-2"/>
          <w:kern w:val="0"/>
          <w:sz w:val="30"/>
          <w:rtl/>
        </w:rPr>
        <w:t xml:space="preserve"> وإنما ركزت عوضاً عن ذلك </w:t>
      </w:r>
      <w:r w:rsidRPr="008C1013">
        <w:rPr>
          <w:spacing w:val="-2"/>
          <w:kern w:val="0"/>
          <w:sz w:val="30"/>
          <w:rtl/>
        </w:rPr>
        <w:t>على مناسبة</w:t>
      </w:r>
      <w:r w:rsidRPr="00AA537D">
        <w:rPr>
          <w:spacing w:val="0"/>
          <w:kern w:val="0"/>
          <w:sz w:val="30"/>
          <w:rtl/>
        </w:rPr>
        <w:t xml:space="preserve"> لاحقة عندما</w:t>
      </w:r>
      <w:r w:rsidRPr="00AA537D">
        <w:rPr>
          <w:rFonts w:hint="cs"/>
          <w:spacing w:val="0"/>
          <w:kern w:val="0"/>
          <w:sz w:val="30"/>
          <w:rtl/>
        </w:rPr>
        <w:t xml:space="preserve"> أرغمت صاحب الشكوى بالتهديد، وفي</w:t>
      </w:r>
      <w:r w:rsidRPr="00AA537D">
        <w:rPr>
          <w:spacing w:val="0"/>
          <w:kern w:val="0"/>
          <w:sz w:val="30"/>
          <w:rtl/>
        </w:rPr>
        <w:t xml:space="preserve"> ظروف مشكوك فيها للغاية </w:t>
      </w:r>
      <w:r w:rsidRPr="00AA537D">
        <w:rPr>
          <w:rFonts w:hint="cs"/>
          <w:spacing w:val="0"/>
          <w:kern w:val="0"/>
          <w:sz w:val="30"/>
          <w:rtl/>
        </w:rPr>
        <w:t>-</w:t>
      </w:r>
      <w:r w:rsidRPr="00AA537D">
        <w:rPr>
          <w:spacing w:val="0"/>
          <w:kern w:val="0"/>
          <w:sz w:val="30"/>
          <w:rtl/>
        </w:rPr>
        <w:t xml:space="preserve"> </w:t>
      </w:r>
      <w:r w:rsidRPr="00AA537D">
        <w:rPr>
          <w:rFonts w:hint="cs"/>
          <w:spacing w:val="0"/>
          <w:kern w:val="0"/>
          <w:sz w:val="30"/>
          <w:rtl/>
        </w:rPr>
        <w:t>عند استجوابه أمام الشرطة ودون حضور محاميه</w:t>
      </w:r>
      <w:r w:rsidRPr="00AA537D">
        <w:rPr>
          <w:spacing w:val="0"/>
          <w:kern w:val="0"/>
          <w:sz w:val="30"/>
          <w:rtl/>
        </w:rPr>
        <w:t xml:space="preserve"> </w:t>
      </w:r>
      <w:r w:rsidRPr="00AA537D">
        <w:rPr>
          <w:rFonts w:hint="cs"/>
          <w:spacing w:val="0"/>
          <w:kern w:val="0"/>
          <w:sz w:val="30"/>
          <w:rtl/>
        </w:rPr>
        <w:t xml:space="preserve">- على </w:t>
      </w:r>
      <w:r w:rsidRPr="00AA537D">
        <w:rPr>
          <w:spacing w:val="0"/>
          <w:kern w:val="0"/>
          <w:sz w:val="30"/>
          <w:rtl/>
        </w:rPr>
        <w:t xml:space="preserve">كتابة رسالة قصيرة </w:t>
      </w:r>
      <w:r w:rsidRPr="00AA537D">
        <w:rPr>
          <w:rFonts w:hint="cs"/>
          <w:spacing w:val="0"/>
          <w:kern w:val="0"/>
          <w:sz w:val="30"/>
          <w:rtl/>
        </w:rPr>
        <w:t>يعلن فيها عن رفضه الإدلاء بمزيد من الأقوال</w:t>
      </w:r>
      <w:r w:rsidRPr="00AA537D">
        <w:rPr>
          <w:spacing w:val="0"/>
          <w:kern w:val="0"/>
          <w:sz w:val="30"/>
          <w:rtl/>
        </w:rPr>
        <w:t xml:space="preserve">. </w:t>
      </w:r>
      <w:r w:rsidRPr="00AA537D">
        <w:rPr>
          <w:rFonts w:hint="cs"/>
          <w:spacing w:val="0"/>
          <w:kern w:val="0"/>
          <w:sz w:val="30"/>
          <w:rtl/>
        </w:rPr>
        <w:t xml:space="preserve">وما لم يكن هناك تنازل طوعي بيّن لا لبس فيه، فإن </w:t>
      </w:r>
      <w:r w:rsidRPr="00AA537D">
        <w:rPr>
          <w:spacing w:val="0"/>
          <w:kern w:val="0"/>
          <w:sz w:val="30"/>
          <w:rtl/>
        </w:rPr>
        <w:t xml:space="preserve">اللجنة </w:t>
      </w:r>
      <w:r w:rsidRPr="00AA537D">
        <w:rPr>
          <w:rFonts w:hint="cs"/>
          <w:spacing w:val="0"/>
          <w:kern w:val="0"/>
          <w:sz w:val="30"/>
          <w:rtl/>
        </w:rPr>
        <w:t xml:space="preserve">ملزمة بمواصلة </w:t>
      </w:r>
      <w:r w:rsidRPr="00AA537D">
        <w:rPr>
          <w:spacing w:val="0"/>
          <w:kern w:val="0"/>
          <w:sz w:val="30"/>
          <w:rtl/>
        </w:rPr>
        <w:t xml:space="preserve">النظر في البلاغ </w:t>
      </w:r>
      <w:r w:rsidRPr="00AA537D">
        <w:rPr>
          <w:rFonts w:hint="cs"/>
          <w:spacing w:val="0"/>
          <w:kern w:val="0"/>
          <w:sz w:val="30"/>
          <w:rtl/>
        </w:rPr>
        <w:t xml:space="preserve">لأن من </w:t>
      </w:r>
      <w:r w:rsidRPr="00AA537D">
        <w:rPr>
          <w:spacing w:val="0"/>
          <w:kern w:val="0"/>
          <w:sz w:val="30"/>
          <w:rtl/>
        </w:rPr>
        <w:t xml:space="preserve">مصلحة العدالة </w:t>
      </w:r>
      <w:r w:rsidRPr="00AA537D">
        <w:rPr>
          <w:rFonts w:hint="cs"/>
          <w:spacing w:val="0"/>
          <w:kern w:val="0"/>
          <w:sz w:val="30"/>
          <w:rtl/>
        </w:rPr>
        <w:t>تقتضي ذلك</w:t>
      </w:r>
      <w:r w:rsidRPr="00AA537D">
        <w:rPr>
          <w:rFonts w:hint="cs"/>
          <w:spacing w:val="0"/>
          <w:kern w:val="0"/>
          <w:rtl/>
          <w:lang/>
        </w:rPr>
        <w:t>.</w:t>
      </w:r>
    </w:p>
    <w:p w:rsidR="00FA6676" w:rsidRPr="00AA537D" w:rsidRDefault="00FA6676" w:rsidP="00AA537D">
      <w:pPr>
        <w:pStyle w:val="SingleTxtGA"/>
        <w:jc w:val="lowKashida"/>
        <w:rPr>
          <w:rFonts w:hint="cs"/>
          <w:spacing w:val="0"/>
          <w:kern w:val="0"/>
          <w:rtl/>
        </w:rPr>
      </w:pPr>
      <w:r w:rsidRPr="00AA537D">
        <w:rPr>
          <w:rFonts w:hint="cs"/>
          <w:spacing w:val="0"/>
          <w:kern w:val="0"/>
          <w:rtl/>
          <w:lang/>
        </w:rPr>
        <w:t>8-4</w:t>
      </w:r>
      <w:r w:rsidRPr="00AA537D">
        <w:rPr>
          <w:rFonts w:hint="cs"/>
          <w:spacing w:val="0"/>
          <w:kern w:val="0"/>
          <w:rtl/>
          <w:lang/>
        </w:rPr>
        <w:tab/>
      </w:r>
      <w:r w:rsidRPr="00AA537D">
        <w:rPr>
          <w:rFonts w:hint="cs"/>
          <w:spacing w:val="0"/>
          <w:kern w:val="0"/>
          <w:rtl/>
        </w:rPr>
        <w:t>و</w:t>
      </w:r>
      <w:r w:rsidRPr="00AA537D">
        <w:rPr>
          <w:spacing w:val="0"/>
          <w:kern w:val="0"/>
          <w:rtl/>
        </w:rPr>
        <w:t>فيما يتعلق ب</w:t>
      </w:r>
      <w:r w:rsidRPr="00AA537D">
        <w:rPr>
          <w:rFonts w:hint="cs"/>
          <w:spacing w:val="0"/>
          <w:kern w:val="0"/>
          <w:rtl/>
        </w:rPr>
        <w:t>رسالة صاحب الشكوى ال</w:t>
      </w:r>
      <w:r w:rsidRPr="00AA537D">
        <w:rPr>
          <w:spacing w:val="0"/>
          <w:kern w:val="0"/>
          <w:rtl/>
        </w:rPr>
        <w:t>مؤرخ</w:t>
      </w:r>
      <w:r w:rsidRPr="00AA537D">
        <w:rPr>
          <w:rFonts w:hint="cs"/>
          <w:spacing w:val="0"/>
          <w:kern w:val="0"/>
          <w:rtl/>
        </w:rPr>
        <w:t>ة</w:t>
      </w:r>
      <w:r w:rsidRPr="00AA537D">
        <w:rPr>
          <w:spacing w:val="0"/>
          <w:kern w:val="0"/>
          <w:rtl/>
        </w:rPr>
        <w:t xml:space="preserve"> 3 </w:t>
      </w:r>
      <w:r w:rsidRPr="00AA537D">
        <w:rPr>
          <w:rFonts w:hint="cs"/>
          <w:spacing w:val="0"/>
          <w:kern w:val="0"/>
          <w:rtl/>
        </w:rPr>
        <w:t>شباط/</w:t>
      </w:r>
      <w:r w:rsidRPr="00AA537D">
        <w:rPr>
          <w:spacing w:val="0"/>
          <w:kern w:val="0"/>
          <w:rtl/>
        </w:rPr>
        <w:t>فبراير 2011 ال</w:t>
      </w:r>
      <w:r w:rsidRPr="00AA537D">
        <w:rPr>
          <w:rFonts w:hint="cs"/>
          <w:spacing w:val="0"/>
          <w:kern w:val="0"/>
          <w:rtl/>
        </w:rPr>
        <w:t xml:space="preserve">تي يذكر فيها </w:t>
      </w:r>
      <w:r w:rsidRPr="00AA537D">
        <w:rPr>
          <w:spacing w:val="0"/>
          <w:kern w:val="0"/>
          <w:rtl/>
        </w:rPr>
        <w:t>أن</w:t>
      </w:r>
      <w:r w:rsidRPr="00AA537D">
        <w:rPr>
          <w:rFonts w:hint="cs"/>
          <w:spacing w:val="0"/>
          <w:kern w:val="0"/>
          <w:rtl/>
        </w:rPr>
        <w:t>ه</w:t>
      </w:r>
      <w:r w:rsidRPr="00AA537D">
        <w:rPr>
          <w:spacing w:val="0"/>
          <w:kern w:val="0"/>
          <w:rtl/>
        </w:rPr>
        <w:t xml:space="preserve"> </w:t>
      </w:r>
      <w:r w:rsidRPr="00AA537D">
        <w:rPr>
          <w:rFonts w:hint="cs"/>
          <w:spacing w:val="0"/>
          <w:kern w:val="0"/>
          <w:rtl/>
        </w:rPr>
        <w:t>ي</w:t>
      </w:r>
      <w:r w:rsidRPr="00AA537D">
        <w:rPr>
          <w:spacing w:val="0"/>
          <w:kern w:val="0"/>
          <w:rtl/>
        </w:rPr>
        <w:t xml:space="preserve">رفض الإدلاء بمزيد </w:t>
      </w:r>
      <w:r w:rsidRPr="00AA537D">
        <w:rPr>
          <w:rFonts w:hint="cs"/>
          <w:spacing w:val="0"/>
          <w:kern w:val="0"/>
          <w:rtl/>
        </w:rPr>
        <w:t xml:space="preserve">من الأقوال </w:t>
      </w:r>
      <w:r w:rsidRPr="00AA537D">
        <w:rPr>
          <w:spacing w:val="0"/>
          <w:kern w:val="0"/>
          <w:rtl/>
        </w:rPr>
        <w:t xml:space="preserve">وأنه </w:t>
      </w:r>
      <w:r w:rsidRPr="00AA537D">
        <w:rPr>
          <w:rFonts w:hint="cs"/>
          <w:spacing w:val="0"/>
          <w:kern w:val="0"/>
          <w:rtl/>
        </w:rPr>
        <w:t>يرجع عن أقواله السابقة</w:t>
      </w:r>
      <w:r w:rsidRPr="00AA537D">
        <w:rPr>
          <w:spacing w:val="0"/>
          <w:kern w:val="0"/>
          <w:rtl/>
        </w:rPr>
        <w:t>، فإنه</w:t>
      </w:r>
      <w:r w:rsidRPr="00AA537D">
        <w:rPr>
          <w:rFonts w:hint="cs"/>
          <w:spacing w:val="0"/>
          <w:kern w:val="0"/>
          <w:rtl/>
        </w:rPr>
        <w:t>ا</w:t>
      </w:r>
      <w:r w:rsidRPr="00AA537D">
        <w:rPr>
          <w:spacing w:val="0"/>
          <w:kern w:val="0"/>
          <w:rtl/>
        </w:rPr>
        <w:t xml:space="preserve"> لا </w:t>
      </w:r>
      <w:r w:rsidRPr="00AA537D">
        <w:rPr>
          <w:rFonts w:hint="cs"/>
          <w:spacing w:val="0"/>
          <w:kern w:val="0"/>
          <w:rtl/>
        </w:rPr>
        <w:t>ت</w:t>
      </w:r>
      <w:r w:rsidRPr="00AA537D">
        <w:rPr>
          <w:spacing w:val="0"/>
          <w:kern w:val="0"/>
          <w:rtl/>
        </w:rPr>
        <w:t>شير إلى أ</w:t>
      </w:r>
      <w:r w:rsidRPr="00AA537D">
        <w:rPr>
          <w:rFonts w:hint="cs"/>
          <w:spacing w:val="0"/>
          <w:kern w:val="0"/>
          <w:rtl/>
        </w:rPr>
        <w:t>نه ي</w:t>
      </w:r>
      <w:r w:rsidRPr="00AA537D">
        <w:rPr>
          <w:spacing w:val="0"/>
          <w:kern w:val="0"/>
          <w:rtl/>
        </w:rPr>
        <w:t>رغب في سحب شكو</w:t>
      </w:r>
      <w:r w:rsidRPr="00AA537D">
        <w:rPr>
          <w:rFonts w:hint="cs"/>
          <w:spacing w:val="0"/>
          <w:kern w:val="0"/>
          <w:rtl/>
        </w:rPr>
        <w:t xml:space="preserve">اه </w:t>
      </w:r>
      <w:r w:rsidRPr="00AA537D">
        <w:rPr>
          <w:spacing w:val="0"/>
          <w:kern w:val="0"/>
          <w:rtl/>
        </w:rPr>
        <w:t xml:space="preserve">المعروضة على اللجنة. وكتب صاحب الشكوى هذه الرسالة بعد شهادته </w:t>
      </w:r>
      <w:r w:rsidRPr="00AA537D">
        <w:rPr>
          <w:rFonts w:hint="cs"/>
          <w:spacing w:val="0"/>
          <w:kern w:val="0"/>
          <w:rtl/>
        </w:rPr>
        <w:t>ب</w:t>
      </w:r>
      <w:r w:rsidRPr="00AA537D">
        <w:rPr>
          <w:spacing w:val="0"/>
          <w:kern w:val="0"/>
          <w:rtl/>
        </w:rPr>
        <w:t xml:space="preserve">أنه </w:t>
      </w:r>
      <w:r w:rsidRPr="00AA537D">
        <w:rPr>
          <w:rFonts w:hint="cs"/>
          <w:spacing w:val="0"/>
          <w:kern w:val="0"/>
          <w:rtl/>
        </w:rPr>
        <w:t>تعرض ل</w:t>
      </w:r>
      <w:r w:rsidRPr="00AA537D">
        <w:rPr>
          <w:spacing w:val="0"/>
          <w:kern w:val="0"/>
          <w:rtl/>
        </w:rPr>
        <w:t>ضغ</w:t>
      </w:r>
      <w:r w:rsidRPr="00AA537D">
        <w:rPr>
          <w:rFonts w:hint="cs"/>
          <w:spacing w:val="0"/>
          <w:kern w:val="0"/>
          <w:rtl/>
        </w:rPr>
        <w:t>و</w:t>
      </w:r>
      <w:r w:rsidRPr="00AA537D">
        <w:rPr>
          <w:spacing w:val="0"/>
          <w:kern w:val="0"/>
          <w:rtl/>
        </w:rPr>
        <w:t xml:space="preserve">ط </w:t>
      </w:r>
      <w:r w:rsidRPr="00AA537D">
        <w:rPr>
          <w:rFonts w:hint="cs"/>
          <w:spacing w:val="0"/>
          <w:kern w:val="0"/>
          <w:rtl/>
        </w:rPr>
        <w:t xml:space="preserve">من أجل </w:t>
      </w:r>
      <w:r w:rsidRPr="00AA537D">
        <w:rPr>
          <w:spacing w:val="0"/>
          <w:kern w:val="0"/>
          <w:rtl/>
        </w:rPr>
        <w:t xml:space="preserve">سحب قضيته. </w:t>
      </w:r>
      <w:r w:rsidRPr="00AA537D">
        <w:rPr>
          <w:rFonts w:hint="cs"/>
          <w:spacing w:val="0"/>
          <w:kern w:val="0"/>
          <w:rtl/>
        </w:rPr>
        <w:t>و</w:t>
      </w:r>
      <w:r w:rsidRPr="00AA537D">
        <w:rPr>
          <w:spacing w:val="0"/>
          <w:kern w:val="0"/>
          <w:rtl/>
        </w:rPr>
        <w:t xml:space="preserve">في </w:t>
      </w:r>
      <w:r w:rsidRPr="00AA537D">
        <w:rPr>
          <w:rFonts w:hint="cs"/>
          <w:spacing w:val="0"/>
          <w:kern w:val="0"/>
          <w:rtl/>
        </w:rPr>
        <w:t xml:space="preserve">نفس </w:t>
      </w:r>
      <w:r w:rsidRPr="00AA537D">
        <w:rPr>
          <w:spacing w:val="0"/>
          <w:kern w:val="0"/>
          <w:rtl/>
        </w:rPr>
        <w:t xml:space="preserve">الوقت </w:t>
      </w:r>
      <w:r w:rsidRPr="00AA537D">
        <w:rPr>
          <w:rFonts w:hint="cs"/>
          <w:spacing w:val="0"/>
          <w:kern w:val="0"/>
          <w:rtl/>
        </w:rPr>
        <w:t>تقريباً،</w:t>
      </w:r>
      <w:r w:rsidRPr="00AA537D">
        <w:rPr>
          <w:spacing w:val="0"/>
          <w:kern w:val="0"/>
          <w:rtl/>
        </w:rPr>
        <w:t xml:space="preserve"> </w:t>
      </w:r>
      <w:r w:rsidRPr="00AA537D">
        <w:rPr>
          <w:rFonts w:hint="cs"/>
          <w:spacing w:val="0"/>
          <w:kern w:val="0"/>
          <w:rtl/>
        </w:rPr>
        <w:t>أطلعه أحد ال</w:t>
      </w:r>
      <w:r w:rsidRPr="00AA537D">
        <w:rPr>
          <w:spacing w:val="0"/>
          <w:kern w:val="0"/>
          <w:rtl/>
        </w:rPr>
        <w:t>محقق</w:t>
      </w:r>
      <w:r w:rsidRPr="00AA537D">
        <w:rPr>
          <w:rFonts w:hint="cs"/>
          <w:spacing w:val="0"/>
          <w:kern w:val="0"/>
          <w:rtl/>
        </w:rPr>
        <w:t xml:space="preserve">ين التابعين للشرطة على إقرارات مقدمة </w:t>
      </w:r>
      <w:r w:rsidRPr="00AA537D">
        <w:rPr>
          <w:spacing w:val="0"/>
          <w:kern w:val="0"/>
          <w:rtl/>
        </w:rPr>
        <w:t xml:space="preserve">من </w:t>
      </w:r>
      <w:r w:rsidRPr="00AA537D">
        <w:rPr>
          <w:rFonts w:hint="cs"/>
          <w:spacing w:val="0"/>
          <w:kern w:val="0"/>
          <w:rtl/>
        </w:rPr>
        <w:t xml:space="preserve">أفراد </w:t>
      </w:r>
      <w:r w:rsidRPr="00AA537D">
        <w:rPr>
          <w:spacing w:val="0"/>
          <w:kern w:val="0"/>
          <w:rtl/>
        </w:rPr>
        <w:t xml:space="preserve">الشرطة الذين </w:t>
      </w:r>
      <w:r w:rsidRPr="00AA537D">
        <w:rPr>
          <w:rFonts w:hint="cs"/>
          <w:spacing w:val="0"/>
          <w:kern w:val="0"/>
          <w:rtl/>
        </w:rPr>
        <w:t>قاموا بت</w:t>
      </w:r>
      <w:r w:rsidRPr="00AA537D">
        <w:rPr>
          <w:spacing w:val="0"/>
          <w:kern w:val="0"/>
          <w:rtl/>
        </w:rPr>
        <w:t>عذ</w:t>
      </w:r>
      <w:r w:rsidRPr="00AA537D">
        <w:rPr>
          <w:rFonts w:hint="cs"/>
          <w:spacing w:val="0"/>
          <w:kern w:val="0"/>
          <w:rtl/>
        </w:rPr>
        <w:t>ي</w:t>
      </w:r>
      <w:r w:rsidRPr="00AA537D">
        <w:rPr>
          <w:spacing w:val="0"/>
          <w:kern w:val="0"/>
          <w:rtl/>
        </w:rPr>
        <w:t xml:space="preserve">به </w:t>
      </w:r>
      <w:r w:rsidRPr="00AA537D">
        <w:rPr>
          <w:rFonts w:hint="cs"/>
          <w:spacing w:val="0"/>
          <w:kern w:val="0"/>
          <w:rtl/>
        </w:rPr>
        <w:t xml:space="preserve">بأنهم لن يتهموه </w:t>
      </w:r>
      <w:r w:rsidRPr="00AA537D">
        <w:rPr>
          <w:spacing w:val="0"/>
          <w:kern w:val="0"/>
          <w:rtl/>
        </w:rPr>
        <w:t>بال</w:t>
      </w:r>
      <w:r w:rsidRPr="00AA537D">
        <w:rPr>
          <w:rFonts w:hint="cs"/>
          <w:spacing w:val="0"/>
          <w:kern w:val="0"/>
          <w:rtl/>
        </w:rPr>
        <w:t xml:space="preserve">تشهير </w:t>
      </w:r>
      <w:r w:rsidRPr="00AA537D">
        <w:rPr>
          <w:spacing w:val="0"/>
          <w:kern w:val="0"/>
          <w:rtl/>
        </w:rPr>
        <w:t>إذا سحب</w:t>
      </w:r>
      <w:r w:rsidRPr="00AA537D">
        <w:rPr>
          <w:rFonts w:hint="cs"/>
          <w:spacing w:val="0"/>
          <w:kern w:val="0"/>
          <w:rtl/>
        </w:rPr>
        <w:t xml:space="preserve"> شكواه</w:t>
      </w:r>
      <w:r w:rsidRPr="00AA537D">
        <w:rPr>
          <w:spacing w:val="0"/>
          <w:kern w:val="0"/>
          <w:rtl/>
        </w:rPr>
        <w:t>. وتذكر الدولة الطرف أيضا</w:t>
      </w:r>
      <w:r w:rsidRPr="00AA537D">
        <w:rPr>
          <w:rFonts w:hint="cs"/>
          <w:spacing w:val="0"/>
          <w:kern w:val="0"/>
          <w:rtl/>
        </w:rPr>
        <w:t>ً</w:t>
      </w:r>
      <w:r w:rsidRPr="00AA537D">
        <w:rPr>
          <w:spacing w:val="0"/>
          <w:kern w:val="0"/>
          <w:rtl/>
        </w:rPr>
        <w:t xml:space="preserve"> أن </w:t>
      </w:r>
      <w:r w:rsidRPr="00AA537D">
        <w:rPr>
          <w:rFonts w:hint="cs"/>
          <w:spacing w:val="0"/>
          <w:kern w:val="0"/>
          <w:rtl/>
        </w:rPr>
        <w:t xml:space="preserve">الشرطة </w:t>
      </w:r>
      <w:r w:rsidRPr="00AA537D">
        <w:rPr>
          <w:spacing w:val="0"/>
          <w:kern w:val="0"/>
          <w:rtl/>
        </w:rPr>
        <w:t>استجوب</w:t>
      </w:r>
      <w:r w:rsidRPr="00AA537D">
        <w:rPr>
          <w:rFonts w:hint="cs"/>
          <w:spacing w:val="0"/>
          <w:kern w:val="0"/>
          <w:rtl/>
        </w:rPr>
        <w:t>ت</w:t>
      </w:r>
      <w:r w:rsidRPr="00AA537D">
        <w:rPr>
          <w:spacing w:val="0"/>
          <w:kern w:val="0"/>
          <w:rtl/>
        </w:rPr>
        <w:t xml:space="preserve"> صاحب الشكوى </w:t>
      </w:r>
      <w:r w:rsidRPr="00AA537D">
        <w:rPr>
          <w:rFonts w:hint="cs"/>
          <w:spacing w:val="0"/>
          <w:kern w:val="0"/>
          <w:rtl/>
        </w:rPr>
        <w:t>في 6 شباط/ف</w:t>
      </w:r>
      <w:r w:rsidRPr="00AA537D">
        <w:rPr>
          <w:spacing w:val="0"/>
          <w:kern w:val="0"/>
          <w:rtl/>
        </w:rPr>
        <w:t>براير 2011 حول الظروف ا</w:t>
      </w:r>
      <w:r w:rsidRPr="00AA537D">
        <w:rPr>
          <w:rFonts w:hint="cs"/>
          <w:spacing w:val="0"/>
          <w:kern w:val="0"/>
          <w:rtl/>
        </w:rPr>
        <w:t xml:space="preserve">لتي أحاطت </w:t>
      </w:r>
      <w:r w:rsidRPr="00AA537D">
        <w:rPr>
          <w:spacing w:val="0"/>
          <w:kern w:val="0"/>
          <w:rtl/>
        </w:rPr>
        <w:t>بكتابة الرسالة</w:t>
      </w:r>
      <w:r w:rsidRPr="00AA537D">
        <w:rPr>
          <w:rFonts w:hint="cs"/>
          <w:spacing w:val="0"/>
          <w:kern w:val="0"/>
          <w:rtl/>
        </w:rPr>
        <w:t xml:space="preserve"> المؤرخة</w:t>
      </w:r>
      <w:r w:rsidRPr="00AA537D">
        <w:rPr>
          <w:spacing w:val="0"/>
          <w:kern w:val="0"/>
          <w:rtl/>
        </w:rPr>
        <w:t xml:space="preserve"> 3 شباط/فبراير، و</w:t>
      </w:r>
      <w:r w:rsidRPr="00AA537D">
        <w:rPr>
          <w:rFonts w:hint="cs"/>
          <w:spacing w:val="0"/>
          <w:kern w:val="0"/>
          <w:rtl/>
        </w:rPr>
        <w:t xml:space="preserve">يؤكد </w:t>
      </w:r>
      <w:r w:rsidRPr="00AA537D">
        <w:rPr>
          <w:spacing w:val="0"/>
          <w:kern w:val="0"/>
          <w:rtl/>
        </w:rPr>
        <w:t xml:space="preserve">محضر الاستجواب الذي يرفض </w:t>
      </w:r>
      <w:r w:rsidRPr="00AA537D">
        <w:rPr>
          <w:rFonts w:hint="cs"/>
          <w:spacing w:val="0"/>
          <w:kern w:val="0"/>
          <w:rtl/>
        </w:rPr>
        <w:t xml:space="preserve">فيه صاحب </w:t>
      </w:r>
      <w:r w:rsidRPr="00AA537D">
        <w:rPr>
          <w:spacing w:val="0"/>
          <w:kern w:val="0"/>
          <w:rtl/>
        </w:rPr>
        <w:t xml:space="preserve">الشكوى </w:t>
      </w:r>
      <w:r w:rsidRPr="00AA537D">
        <w:rPr>
          <w:rFonts w:hint="cs"/>
          <w:spacing w:val="0"/>
          <w:kern w:val="0"/>
          <w:rtl/>
        </w:rPr>
        <w:t>حسبما يدعى ا</w:t>
      </w:r>
      <w:r w:rsidRPr="00AA537D">
        <w:rPr>
          <w:spacing w:val="0"/>
          <w:kern w:val="0"/>
          <w:rtl/>
        </w:rPr>
        <w:t>لإدلاء ب</w:t>
      </w:r>
      <w:r w:rsidRPr="00AA537D">
        <w:rPr>
          <w:rFonts w:hint="cs"/>
          <w:spacing w:val="0"/>
          <w:kern w:val="0"/>
          <w:rtl/>
        </w:rPr>
        <w:t xml:space="preserve">مزيد من الأقوال </w:t>
      </w:r>
      <w:r w:rsidRPr="00AA537D">
        <w:rPr>
          <w:spacing w:val="0"/>
          <w:kern w:val="0"/>
          <w:rtl/>
        </w:rPr>
        <w:t xml:space="preserve">أن هذا الاستجواب </w:t>
      </w:r>
      <w:r w:rsidRPr="00AA537D">
        <w:rPr>
          <w:rFonts w:hint="cs"/>
          <w:spacing w:val="0"/>
          <w:kern w:val="0"/>
          <w:rtl/>
        </w:rPr>
        <w:t xml:space="preserve">كان بدون </w:t>
      </w:r>
      <w:r w:rsidRPr="00AA537D">
        <w:rPr>
          <w:spacing w:val="0"/>
          <w:kern w:val="0"/>
          <w:rtl/>
        </w:rPr>
        <w:t>حضور محام</w:t>
      </w:r>
      <w:r w:rsidRPr="00AA537D">
        <w:rPr>
          <w:rFonts w:hint="cs"/>
          <w:spacing w:val="0"/>
          <w:kern w:val="0"/>
          <w:rtl/>
        </w:rPr>
        <w:t>ٍ</w:t>
      </w:r>
      <w:r w:rsidRPr="00AA537D">
        <w:rPr>
          <w:spacing w:val="0"/>
          <w:kern w:val="0"/>
          <w:rtl/>
        </w:rPr>
        <w:t>، كما</w:t>
      </w:r>
      <w:r w:rsidRPr="00AA537D">
        <w:rPr>
          <w:rFonts w:hint="cs"/>
          <w:spacing w:val="0"/>
          <w:kern w:val="0"/>
          <w:rtl/>
        </w:rPr>
        <w:t> </w:t>
      </w:r>
      <w:r w:rsidRPr="00AA537D">
        <w:rPr>
          <w:spacing w:val="0"/>
          <w:kern w:val="0"/>
          <w:rtl/>
        </w:rPr>
        <w:t xml:space="preserve">حصلت الشرطة منه </w:t>
      </w:r>
      <w:r w:rsidRPr="00AA537D">
        <w:rPr>
          <w:rFonts w:hint="cs"/>
          <w:spacing w:val="0"/>
          <w:kern w:val="0"/>
          <w:rtl/>
        </w:rPr>
        <w:t>على إقرار بأنه ي</w:t>
      </w:r>
      <w:r w:rsidRPr="00AA537D">
        <w:rPr>
          <w:spacing w:val="0"/>
          <w:kern w:val="0"/>
          <w:rtl/>
        </w:rPr>
        <w:t>رفض خدمات محامي</w:t>
      </w:r>
      <w:r w:rsidRPr="00AA537D">
        <w:rPr>
          <w:rFonts w:hint="cs"/>
          <w:spacing w:val="0"/>
          <w:kern w:val="0"/>
          <w:rtl/>
        </w:rPr>
        <w:t>ه</w:t>
      </w:r>
      <w:r w:rsidRPr="00AA537D">
        <w:rPr>
          <w:spacing w:val="0"/>
          <w:kern w:val="0"/>
          <w:rtl/>
        </w:rPr>
        <w:t>.</w:t>
      </w:r>
    </w:p>
    <w:p w:rsidR="00FA6676" w:rsidRPr="00AA537D" w:rsidRDefault="00FA6676" w:rsidP="00AA537D">
      <w:pPr>
        <w:pStyle w:val="SingleTxtGA"/>
        <w:spacing w:line="372" w:lineRule="exact"/>
        <w:jc w:val="lowKashida"/>
        <w:rPr>
          <w:rFonts w:hint="cs"/>
          <w:spacing w:val="0"/>
          <w:kern w:val="0"/>
          <w:rtl/>
        </w:rPr>
      </w:pPr>
      <w:r w:rsidRPr="00AA537D">
        <w:rPr>
          <w:rFonts w:hint="cs"/>
          <w:spacing w:val="0"/>
          <w:kern w:val="0"/>
          <w:rtl/>
          <w:lang/>
        </w:rPr>
        <w:t>8-5</w:t>
      </w:r>
      <w:r w:rsidRPr="00AA537D">
        <w:rPr>
          <w:rFonts w:hint="cs"/>
          <w:spacing w:val="0"/>
          <w:kern w:val="0"/>
          <w:rtl/>
          <w:lang/>
        </w:rPr>
        <w:tab/>
        <w:t>وفيما يتعلق با</w:t>
      </w:r>
      <w:r w:rsidRPr="00AA537D">
        <w:rPr>
          <w:spacing w:val="0"/>
          <w:kern w:val="0"/>
          <w:rtl/>
        </w:rPr>
        <w:t xml:space="preserve">لرسالة </w:t>
      </w:r>
      <w:r w:rsidRPr="00AA537D">
        <w:rPr>
          <w:rFonts w:hint="cs"/>
          <w:spacing w:val="0"/>
          <w:kern w:val="0"/>
          <w:rtl/>
        </w:rPr>
        <w:t xml:space="preserve">الموثقة المؤرخة </w:t>
      </w:r>
      <w:r w:rsidRPr="00AA537D">
        <w:rPr>
          <w:spacing w:val="0"/>
          <w:kern w:val="0"/>
          <w:rtl/>
        </w:rPr>
        <w:t xml:space="preserve">18 </w:t>
      </w:r>
      <w:r w:rsidRPr="00AA537D">
        <w:rPr>
          <w:rFonts w:hint="cs"/>
          <w:spacing w:val="0"/>
          <w:kern w:val="0"/>
          <w:rtl/>
        </w:rPr>
        <w:t>شباط/</w:t>
      </w:r>
      <w:r w:rsidRPr="00AA537D">
        <w:rPr>
          <w:spacing w:val="0"/>
          <w:kern w:val="0"/>
          <w:rtl/>
        </w:rPr>
        <w:t>فبراير 2011</w:t>
      </w:r>
      <w:r w:rsidRPr="00AA537D">
        <w:rPr>
          <w:rFonts w:hint="cs"/>
          <w:spacing w:val="0"/>
          <w:kern w:val="0"/>
          <w:rtl/>
        </w:rPr>
        <w:t xml:space="preserve"> </w:t>
      </w:r>
      <w:r w:rsidRPr="00AA537D">
        <w:rPr>
          <w:spacing w:val="0"/>
          <w:kern w:val="0"/>
          <w:rtl/>
        </w:rPr>
        <w:t>المكتوبة</w:t>
      </w:r>
      <w:r w:rsidRPr="00AA537D">
        <w:rPr>
          <w:rFonts w:hint="cs"/>
          <w:spacing w:val="0"/>
          <w:kern w:val="0"/>
          <w:rtl/>
        </w:rPr>
        <w:t xml:space="preserve"> بالآلة الكاتبة باللغتين </w:t>
      </w:r>
      <w:r w:rsidRPr="00AA537D">
        <w:rPr>
          <w:spacing w:val="0"/>
          <w:kern w:val="0"/>
          <w:rtl/>
        </w:rPr>
        <w:t>الروسية و</w:t>
      </w:r>
      <w:r w:rsidRPr="00AA537D">
        <w:rPr>
          <w:rFonts w:hint="cs"/>
          <w:spacing w:val="0"/>
          <w:kern w:val="0"/>
          <w:rtl/>
        </w:rPr>
        <w:t>الإ</w:t>
      </w:r>
      <w:r w:rsidRPr="00AA537D">
        <w:rPr>
          <w:spacing w:val="0"/>
          <w:kern w:val="0"/>
          <w:rtl/>
        </w:rPr>
        <w:t>نكليزية</w:t>
      </w:r>
      <w:r w:rsidRPr="00AA537D">
        <w:rPr>
          <w:rFonts w:hint="cs"/>
          <w:spacing w:val="0"/>
          <w:kern w:val="0"/>
          <w:rtl/>
        </w:rPr>
        <w:t xml:space="preserve"> وال</w:t>
      </w:r>
      <w:r w:rsidRPr="00AA537D">
        <w:rPr>
          <w:spacing w:val="0"/>
          <w:kern w:val="0"/>
          <w:rtl/>
        </w:rPr>
        <w:t>موقع</w:t>
      </w:r>
      <w:r w:rsidRPr="00AA537D">
        <w:rPr>
          <w:rFonts w:hint="cs"/>
          <w:spacing w:val="0"/>
          <w:kern w:val="0"/>
          <w:rtl/>
        </w:rPr>
        <w:t>ة</w:t>
      </w:r>
      <w:r w:rsidRPr="00AA537D">
        <w:rPr>
          <w:spacing w:val="0"/>
          <w:kern w:val="0"/>
          <w:rtl/>
        </w:rPr>
        <w:t xml:space="preserve"> من صاحب الشكوى</w:t>
      </w:r>
      <w:r w:rsidRPr="00AA537D">
        <w:rPr>
          <w:rFonts w:hint="cs"/>
          <w:spacing w:val="0"/>
          <w:kern w:val="0"/>
          <w:rtl/>
        </w:rPr>
        <w:t>، التي ي</w:t>
      </w:r>
      <w:r w:rsidRPr="00AA537D">
        <w:rPr>
          <w:spacing w:val="0"/>
          <w:kern w:val="0"/>
          <w:rtl/>
        </w:rPr>
        <w:t xml:space="preserve">ذكر </w:t>
      </w:r>
      <w:r w:rsidRPr="00AA537D">
        <w:rPr>
          <w:rFonts w:hint="cs"/>
          <w:spacing w:val="0"/>
          <w:kern w:val="0"/>
          <w:rtl/>
        </w:rPr>
        <w:t xml:space="preserve">فيها </w:t>
      </w:r>
      <w:r w:rsidRPr="00AA537D">
        <w:rPr>
          <w:spacing w:val="0"/>
          <w:kern w:val="0"/>
          <w:rtl/>
        </w:rPr>
        <w:t xml:space="preserve">أنه يود أن يسحب شكواه إلى اللجنة </w:t>
      </w:r>
      <w:r w:rsidRPr="00AA537D">
        <w:rPr>
          <w:rFonts w:hint="cs"/>
          <w:spacing w:val="0"/>
          <w:kern w:val="0"/>
          <w:rtl/>
        </w:rPr>
        <w:t>لأنه تصرف "بعصبية</w:t>
      </w:r>
      <w:r w:rsidRPr="00AA537D">
        <w:rPr>
          <w:spacing w:val="0"/>
          <w:kern w:val="0"/>
          <w:rtl/>
        </w:rPr>
        <w:t>،</w:t>
      </w:r>
      <w:r w:rsidRPr="00AA537D">
        <w:rPr>
          <w:rFonts w:hint="cs"/>
          <w:spacing w:val="0"/>
          <w:kern w:val="0"/>
          <w:rtl/>
        </w:rPr>
        <w:t xml:space="preserve"> و</w:t>
      </w:r>
      <w:r w:rsidRPr="00AA537D">
        <w:rPr>
          <w:spacing w:val="0"/>
          <w:kern w:val="0"/>
          <w:rtl/>
        </w:rPr>
        <w:t xml:space="preserve">في حالة </w:t>
      </w:r>
      <w:r w:rsidRPr="00AA537D">
        <w:rPr>
          <w:rFonts w:hint="cs"/>
          <w:spacing w:val="0"/>
          <w:kern w:val="0"/>
          <w:rtl/>
        </w:rPr>
        <w:t xml:space="preserve">نفسية </w:t>
      </w:r>
      <w:r w:rsidRPr="00AA537D">
        <w:rPr>
          <w:spacing w:val="0"/>
          <w:kern w:val="0"/>
          <w:rtl/>
        </w:rPr>
        <w:t>مؤلمة</w:t>
      </w:r>
      <w:r w:rsidRPr="00AA537D">
        <w:rPr>
          <w:rFonts w:hint="cs"/>
          <w:spacing w:val="0"/>
          <w:kern w:val="0"/>
          <w:rtl/>
        </w:rPr>
        <w:t>"،</w:t>
      </w:r>
      <w:r w:rsidRPr="00AA537D">
        <w:rPr>
          <w:spacing w:val="0"/>
          <w:kern w:val="0"/>
          <w:rtl/>
        </w:rPr>
        <w:t xml:space="preserve"> </w:t>
      </w:r>
      <w:r w:rsidRPr="00AA537D">
        <w:rPr>
          <w:rFonts w:hint="cs"/>
          <w:spacing w:val="0"/>
          <w:kern w:val="0"/>
          <w:rtl/>
        </w:rPr>
        <w:t>فإن ال</w:t>
      </w:r>
      <w:r w:rsidRPr="00AA537D">
        <w:rPr>
          <w:spacing w:val="0"/>
          <w:kern w:val="0"/>
          <w:rtl/>
        </w:rPr>
        <w:t xml:space="preserve">ممثلين </w:t>
      </w:r>
      <w:r w:rsidRPr="00AA537D">
        <w:rPr>
          <w:rFonts w:hint="cs"/>
          <w:spacing w:val="0"/>
          <w:kern w:val="0"/>
          <w:rtl/>
        </w:rPr>
        <w:t>ال</w:t>
      </w:r>
      <w:r w:rsidRPr="00AA537D">
        <w:rPr>
          <w:spacing w:val="0"/>
          <w:kern w:val="0"/>
          <w:rtl/>
        </w:rPr>
        <w:t xml:space="preserve">قانونيين </w:t>
      </w:r>
      <w:r w:rsidRPr="00AA537D">
        <w:rPr>
          <w:rFonts w:hint="cs"/>
          <w:spacing w:val="0"/>
          <w:kern w:val="0"/>
          <w:rtl/>
        </w:rPr>
        <w:t>تشاورا مع</w:t>
      </w:r>
      <w:r w:rsidRPr="00AA537D">
        <w:rPr>
          <w:spacing w:val="0"/>
          <w:kern w:val="0"/>
          <w:rtl/>
        </w:rPr>
        <w:t xml:space="preserve"> صاحب الشكوى ول</w:t>
      </w:r>
      <w:r w:rsidRPr="00AA537D">
        <w:rPr>
          <w:rFonts w:hint="cs"/>
          <w:spacing w:val="0"/>
          <w:kern w:val="0"/>
          <w:rtl/>
        </w:rPr>
        <w:t xml:space="preserve">م يصدر لهما </w:t>
      </w:r>
      <w:r w:rsidRPr="00AA537D">
        <w:rPr>
          <w:spacing w:val="0"/>
          <w:kern w:val="0"/>
          <w:rtl/>
        </w:rPr>
        <w:t xml:space="preserve">تعليمات بسحب الشكوى المعروضة على اللجنة. </w:t>
      </w:r>
      <w:r w:rsidRPr="00AA537D">
        <w:rPr>
          <w:rFonts w:hint="cs"/>
          <w:spacing w:val="0"/>
          <w:kern w:val="0"/>
          <w:rtl/>
        </w:rPr>
        <w:t>وكانت الظروف التي أحاطت ب</w:t>
      </w:r>
      <w:r w:rsidRPr="00AA537D">
        <w:rPr>
          <w:spacing w:val="0"/>
          <w:kern w:val="0"/>
          <w:rtl/>
        </w:rPr>
        <w:t xml:space="preserve">الحصول على </w:t>
      </w:r>
      <w:r w:rsidRPr="00AA537D">
        <w:rPr>
          <w:rFonts w:hint="cs"/>
          <w:spacing w:val="0"/>
          <w:kern w:val="0"/>
          <w:rtl/>
        </w:rPr>
        <w:t>رسالة الا</w:t>
      </w:r>
      <w:r w:rsidRPr="00AA537D">
        <w:rPr>
          <w:spacing w:val="0"/>
          <w:kern w:val="0"/>
          <w:rtl/>
        </w:rPr>
        <w:t xml:space="preserve">نسحاب </w:t>
      </w:r>
      <w:r w:rsidRPr="00AA537D">
        <w:rPr>
          <w:rFonts w:hint="cs"/>
          <w:spacing w:val="0"/>
          <w:kern w:val="0"/>
          <w:rtl/>
        </w:rPr>
        <w:t>المزعومة كما</w:t>
      </w:r>
      <w:r w:rsidRPr="00AA537D">
        <w:rPr>
          <w:rFonts w:hint="eastAsia"/>
          <w:spacing w:val="0"/>
          <w:kern w:val="0"/>
          <w:rtl/>
        </w:rPr>
        <w:t> </w:t>
      </w:r>
      <w:r w:rsidRPr="00AA537D">
        <w:rPr>
          <w:rFonts w:hint="cs"/>
          <w:spacing w:val="0"/>
          <w:kern w:val="0"/>
          <w:rtl/>
        </w:rPr>
        <w:t xml:space="preserve">يلي: </w:t>
      </w:r>
      <w:r w:rsidRPr="00AA537D">
        <w:rPr>
          <w:spacing w:val="0"/>
          <w:kern w:val="0"/>
          <w:rtl/>
        </w:rPr>
        <w:t xml:space="preserve">في أعقاب زيارة </w:t>
      </w:r>
      <w:r w:rsidRPr="00AA537D">
        <w:rPr>
          <w:rFonts w:hint="cs"/>
          <w:spacing w:val="0"/>
          <w:kern w:val="0"/>
          <w:rtl/>
        </w:rPr>
        <w:t>اثنين من ال</w:t>
      </w:r>
      <w:r w:rsidRPr="00AA537D">
        <w:rPr>
          <w:spacing w:val="0"/>
          <w:kern w:val="0"/>
          <w:rtl/>
        </w:rPr>
        <w:t>محقق</w:t>
      </w:r>
      <w:r w:rsidRPr="00AA537D">
        <w:rPr>
          <w:rFonts w:hint="cs"/>
          <w:spacing w:val="0"/>
          <w:kern w:val="0"/>
          <w:rtl/>
        </w:rPr>
        <w:t>ين التابعين ل</w:t>
      </w:r>
      <w:r w:rsidRPr="00AA537D">
        <w:rPr>
          <w:spacing w:val="0"/>
          <w:kern w:val="0"/>
          <w:rtl/>
        </w:rPr>
        <w:t xml:space="preserve">لشرطة، </w:t>
      </w:r>
      <w:r w:rsidRPr="00AA537D">
        <w:rPr>
          <w:rFonts w:hint="cs"/>
          <w:spacing w:val="0"/>
          <w:kern w:val="0"/>
          <w:rtl/>
        </w:rPr>
        <w:t xml:space="preserve">كتب </w:t>
      </w:r>
      <w:r w:rsidRPr="00AA537D">
        <w:rPr>
          <w:spacing w:val="0"/>
          <w:kern w:val="0"/>
          <w:rtl/>
        </w:rPr>
        <w:t xml:space="preserve">صاحب الشكوى </w:t>
      </w:r>
      <w:r w:rsidRPr="00AA537D">
        <w:rPr>
          <w:rFonts w:hint="cs"/>
          <w:spacing w:val="0"/>
          <w:kern w:val="0"/>
          <w:rtl/>
        </w:rPr>
        <w:t>بيده ا</w:t>
      </w:r>
      <w:r w:rsidRPr="00AA537D">
        <w:rPr>
          <w:spacing w:val="0"/>
          <w:kern w:val="0"/>
          <w:rtl/>
        </w:rPr>
        <w:t xml:space="preserve">لرسالة </w:t>
      </w:r>
      <w:r w:rsidRPr="00AA537D">
        <w:rPr>
          <w:rFonts w:hint="cs"/>
          <w:spacing w:val="0"/>
          <w:kern w:val="0"/>
          <w:rtl/>
        </w:rPr>
        <w:t xml:space="preserve">المؤرخة </w:t>
      </w:r>
      <w:r w:rsidRPr="00AA537D">
        <w:rPr>
          <w:spacing w:val="0"/>
          <w:kern w:val="0"/>
          <w:rtl/>
        </w:rPr>
        <w:t xml:space="preserve">3 شباط/فبراير، وبعد بضعة أيام، </w:t>
      </w:r>
      <w:r w:rsidRPr="00AA537D">
        <w:rPr>
          <w:rFonts w:hint="cs"/>
          <w:spacing w:val="0"/>
          <w:kern w:val="0"/>
          <w:rtl/>
        </w:rPr>
        <w:t xml:space="preserve">اصطحبه </w:t>
      </w:r>
      <w:r w:rsidRPr="00AA537D">
        <w:rPr>
          <w:spacing w:val="0"/>
          <w:kern w:val="0"/>
          <w:rtl/>
        </w:rPr>
        <w:t xml:space="preserve">أحد </w:t>
      </w:r>
      <w:r w:rsidRPr="00AA537D">
        <w:rPr>
          <w:rFonts w:hint="cs"/>
          <w:spacing w:val="0"/>
          <w:kern w:val="0"/>
          <w:rtl/>
        </w:rPr>
        <w:t>ال</w:t>
      </w:r>
      <w:r w:rsidRPr="00AA537D">
        <w:rPr>
          <w:spacing w:val="0"/>
          <w:kern w:val="0"/>
          <w:rtl/>
        </w:rPr>
        <w:t>محقق</w:t>
      </w:r>
      <w:r w:rsidRPr="00AA537D">
        <w:rPr>
          <w:rFonts w:hint="cs"/>
          <w:spacing w:val="0"/>
          <w:kern w:val="0"/>
          <w:rtl/>
        </w:rPr>
        <w:t xml:space="preserve">ين </w:t>
      </w:r>
      <w:r w:rsidRPr="00AA537D">
        <w:rPr>
          <w:spacing w:val="0"/>
          <w:kern w:val="0"/>
          <w:rtl/>
        </w:rPr>
        <w:t>إلى مكتب ال</w:t>
      </w:r>
      <w:r w:rsidRPr="00AA537D">
        <w:rPr>
          <w:rFonts w:hint="cs"/>
          <w:spacing w:val="0"/>
          <w:kern w:val="0"/>
          <w:rtl/>
        </w:rPr>
        <w:t xml:space="preserve">توثيق وأعطاه وثيقة </w:t>
      </w:r>
      <w:r w:rsidRPr="00AA537D">
        <w:rPr>
          <w:spacing w:val="0"/>
          <w:kern w:val="0"/>
          <w:rtl/>
        </w:rPr>
        <w:t>مطبوع</w:t>
      </w:r>
      <w:r w:rsidRPr="00AA537D">
        <w:rPr>
          <w:rFonts w:hint="cs"/>
          <w:spacing w:val="0"/>
          <w:kern w:val="0"/>
          <w:rtl/>
        </w:rPr>
        <w:t>ة</w:t>
      </w:r>
      <w:r w:rsidRPr="00AA537D">
        <w:rPr>
          <w:spacing w:val="0"/>
          <w:kern w:val="0"/>
          <w:rtl/>
        </w:rPr>
        <w:t xml:space="preserve"> نظر </w:t>
      </w:r>
      <w:r w:rsidRPr="00AA537D">
        <w:rPr>
          <w:rFonts w:hint="cs"/>
          <w:spacing w:val="0"/>
          <w:kern w:val="0"/>
          <w:rtl/>
        </w:rPr>
        <w:t xml:space="preserve">فيها </w:t>
      </w:r>
      <w:r w:rsidRPr="00AA537D">
        <w:rPr>
          <w:spacing w:val="0"/>
          <w:kern w:val="0"/>
          <w:rtl/>
        </w:rPr>
        <w:t>بسرعة</w:t>
      </w:r>
      <w:r w:rsidRPr="00AA537D">
        <w:rPr>
          <w:rFonts w:hint="cs"/>
          <w:spacing w:val="0"/>
          <w:kern w:val="0"/>
          <w:rtl/>
        </w:rPr>
        <w:t xml:space="preserve"> ووقع عليها</w:t>
      </w:r>
      <w:r w:rsidRPr="00AA537D">
        <w:rPr>
          <w:spacing w:val="0"/>
          <w:kern w:val="0"/>
          <w:rtl/>
        </w:rPr>
        <w:t xml:space="preserve">. وهكذا، </w:t>
      </w:r>
      <w:r w:rsidRPr="00AA537D">
        <w:rPr>
          <w:rFonts w:hint="cs"/>
          <w:spacing w:val="0"/>
          <w:kern w:val="0"/>
          <w:rtl/>
        </w:rPr>
        <w:t>فإن</w:t>
      </w:r>
      <w:r w:rsidRPr="00AA537D">
        <w:rPr>
          <w:spacing w:val="0"/>
          <w:kern w:val="0"/>
          <w:rtl/>
        </w:rPr>
        <w:t xml:space="preserve"> الدولة الطرف</w:t>
      </w:r>
      <w:r w:rsidRPr="00AA537D">
        <w:rPr>
          <w:rFonts w:hint="cs"/>
          <w:spacing w:val="0"/>
          <w:kern w:val="0"/>
          <w:rtl/>
        </w:rPr>
        <w:t xml:space="preserve">، وليس صاحب الشكوى، هي التي أعدت </w:t>
      </w:r>
      <w:r w:rsidRPr="00AA537D">
        <w:rPr>
          <w:spacing w:val="0"/>
          <w:kern w:val="0"/>
          <w:rtl/>
        </w:rPr>
        <w:t xml:space="preserve">الرسالة </w:t>
      </w:r>
      <w:r w:rsidRPr="00AA537D">
        <w:rPr>
          <w:rFonts w:hint="cs"/>
          <w:spacing w:val="0"/>
          <w:kern w:val="0"/>
          <w:rtl/>
        </w:rPr>
        <w:t>ال</w:t>
      </w:r>
      <w:r w:rsidRPr="00AA537D">
        <w:rPr>
          <w:spacing w:val="0"/>
          <w:kern w:val="0"/>
          <w:rtl/>
        </w:rPr>
        <w:t>مكتوب</w:t>
      </w:r>
      <w:r w:rsidRPr="00AA537D">
        <w:rPr>
          <w:rFonts w:hint="cs"/>
          <w:spacing w:val="0"/>
          <w:kern w:val="0"/>
          <w:rtl/>
        </w:rPr>
        <w:t>ة</w:t>
      </w:r>
      <w:r w:rsidRPr="00AA537D">
        <w:rPr>
          <w:spacing w:val="0"/>
          <w:kern w:val="0"/>
          <w:rtl/>
        </w:rPr>
        <w:t xml:space="preserve"> </w:t>
      </w:r>
      <w:r w:rsidRPr="00AA537D">
        <w:rPr>
          <w:rFonts w:hint="cs"/>
          <w:spacing w:val="0"/>
          <w:kern w:val="0"/>
          <w:rtl/>
        </w:rPr>
        <w:t>ال</w:t>
      </w:r>
      <w:r w:rsidRPr="00AA537D">
        <w:rPr>
          <w:spacing w:val="0"/>
          <w:kern w:val="0"/>
          <w:rtl/>
        </w:rPr>
        <w:t>مؤرخ</w:t>
      </w:r>
      <w:r w:rsidRPr="00AA537D">
        <w:rPr>
          <w:rFonts w:hint="cs"/>
          <w:spacing w:val="0"/>
          <w:kern w:val="0"/>
          <w:rtl/>
        </w:rPr>
        <w:t>ة</w:t>
      </w:r>
      <w:r w:rsidRPr="00AA537D">
        <w:rPr>
          <w:spacing w:val="0"/>
          <w:kern w:val="0"/>
          <w:rtl/>
        </w:rPr>
        <w:t xml:space="preserve"> 18 </w:t>
      </w:r>
      <w:r w:rsidRPr="00AA537D">
        <w:rPr>
          <w:rFonts w:hint="cs"/>
          <w:spacing w:val="0"/>
          <w:kern w:val="0"/>
          <w:rtl/>
        </w:rPr>
        <w:t>شباط/</w:t>
      </w:r>
      <w:r w:rsidRPr="00AA537D">
        <w:rPr>
          <w:spacing w:val="0"/>
          <w:kern w:val="0"/>
          <w:rtl/>
        </w:rPr>
        <w:t xml:space="preserve">فبراير 2011 </w:t>
      </w:r>
      <w:r w:rsidRPr="00AA537D">
        <w:rPr>
          <w:rFonts w:hint="cs"/>
          <w:spacing w:val="0"/>
          <w:kern w:val="0"/>
          <w:rtl/>
        </w:rPr>
        <w:t>التي أ</w:t>
      </w:r>
      <w:r w:rsidRPr="00AA537D">
        <w:rPr>
          <w:spacing w:val="0"/>
          <w:kern w:val="0"/>
          <w:rtl/>
        </w:rPr>
        <w:t>رس</w:t>
      </w:r>
      <w:r w:rsidRPr="00AA537D">
        <w:rPr>
          <w:rFonts w:hint="cs"/>
          <w:spacing w:val="0"/>
          <w:kern w:val="0"/>
          <w:rtl/>
        </w:rPr>
        <w:t>لت</w:t>
      </w:r>
      <w:r w:rsidRPr="00AA537D">
        <w:rPr>
          <w:spacing w:val="0"/>
          <w:kern w:val="0"/>
          <w:rtl/>
        </w:rPr>
        <w:t xml:space="preserve"> إلى اللجنة </w:t>
      </w:r>
      <w:r w:rsidRPr="00AA537D">
        <w:rPr>
          <w:rFonts w:hint="cs"/>
          <w:spacing w:val="0"/>
          <w:kern w:val="0"/>
          <w:rtl/>
        </w:rPr>
        <w:t xml:space="preserve">بعد إدخال تعديلات </w:t>
      </w:r>
      <w:r w:rsidRPr="00AA537D">
        <w:rPr>
          <w:spacing w:val="0"/>
          <w:kern w:val="0"/>
          <w:rtl/>
        </w:rPr>
        <w:t>ك</w:t>
      </w:r>
      <w:r w:rsidRPr="00AA537D">
        <w:rPr>
          <w:rFonts w:hint="cs"/>
          <w:spacing w:val="0"/>
          <w:kern w:val="0"/>
          <w:rtl/>
        </w:rPr>
        <w:t xml:space="preserve">ثيرة على الرسالة الأصلية </w:t>
      </w:r>
      <w:r w:rsidRPr="00AA537D">
        <w:rPr>
          <w:spacing w:val="0"/>
          <w:kern w:val="0"/>
          <w:rtl/>
        </w:rPr>
        <w:t xml:space="preserve">المكتوبة بخط اليد، ووقع </w:t>
      </w:r>
      <w:r w:rsidRPr="00AA537D">
        <w:rPr>
          <w:rFonts w:hint="cs"/>
          <w:spacing w:val="0"/>
          <w:kern w:val="0"/>
          <w:rtl/>
        </w:rPr>
        <w:t xml:space="preserve">عليها </w:t>
      </w:r>
      <w:r w:rsidRPr="00AA537D">
        <w:rPr>
          <w:spacing w:val="0"/>
          <w:kern w:val="0"/>
          <w:rtl/>
        </w:rPr>
        <w:t>نتيجة للضغط نفسه.</w:t>
      </w:r>
    </w:p>
    <w:p w:rsidR="00FA6676" w:rsidRPr="00AA537D" w:rsidRDefault="00FA6676" w:rsidP="00AA537D">
      <w:pPr>
        <w:pStyle w:val="SingleTxtGA"/>
        <w:spacing w:line="372" w:lineRule="exact"/>
        <w:jc w:val="lowKashida"/>
        <w:rPr>
          <w:rFonts w:hint="cs"/>
          <w:spacing w:val="0"/>
          <w:kern w:val="0"/>
          <w:rtl/>
        </w:rPr>
      </w:pPr>
      <w:r w:rsidRPr="00AA537D">
        <w:rPr>
          <w:rFonts w:hint="cs"/>
          <w:spacing w:val="0"/>
          <w:kern w:val="0"/>
          <w:rtl/>
          <w:lang/>
        </w:rPr>
        <w:t>8-6</w:t>
      </w:r>
      <w:r w:rsidRPr="00AA537D">
        <w:rPr>
          <w:rFonts w:hint="cs"/>
          <w:spacing w:val="0"/>
          <w:kern w:val="0"/>
          <w:rtl/>
          <w:lang/>
        </w:rPr>
        <w:tab/>
        <w:t xml:space="preserve">وتتعارض </w:t>
      </w:r>
      <w:r w:rsidRPr="00AA537D">
        <w:rPr>
          <w:spacing w:val="0"/>
          <w:kern w:val="0"/>
          <w:rtl/>
        </w:rPr>
        <w:t>رسالة الانسحاب المزعوم</w:t>
      </w:r>
      <w:r w:rsidRPr="00AA537D">
        <w:rPr>
          <w:rFonts w:hint="cs"/>
          <w:spacing w:val="0"/>
          <w:kern w:val="0"/>
          <w:rtl/>
        </w:rPr>
        <w:t xml:space="preserve">ة التي تستند إليها </w:t>
      </w:r>
      <w:r w:rsidRPr="00AA537D">
        <w:rPr>
          <w:spacing w:val="0"/>
          <w:kern w:val="0"/>
          <w:rtl/>
        </w:rPr>
        <w:t xml:space="preserve">الدولة الطرف </w:t>
      </w:r>
      <w:r w:rsidRPr="00AA537D">
        <w:rPr>
          <w:rFonts w:hint="cs"/>
          <w:spacing w:val="0"/>
          <w:kern w:val="0"/>
          <w:rtl/>
        </w:rPr>
        <w:t xml:space="preserve">مع الأقوال </w:t>
      </w:r>
      <w:r w:rsidRPr="00AA537D">
        <w:rPr>
          <w:spacing w:val="0"/>
          <w:kern w:val="0"/>
          <w:rtl/>
        </w:rPr>
        <w:t>المتكررة و</w:t>
      </w:r>
      <w:r w:rsidRPr="00AA537D">
        <w:rPr>
          <w:rFonts w:hint="cs"/>
          <w:spacing w:val="0"/>
          <w:kern w:val="0"/>
          <w:rtl/>
        </w:rPr>
        <w:t>ال</w:t>
      </w:r>
      <w:r w:rsidRPr="00AA537D">
        <w:rPr>
          <w:spacing w:val="0"/>
          <w:kern w:val="0"/>
          <w:rtl/>
        </w:rPr>
        <w:t>مفصلة و</w:t>
      </w:r>
      <w:r w:rsidRPr="00AA537D">
        <w:rPr>
          <w:rFonts w:hint="cs"/>
          <w:spacing w:val="0"/>
          <w:kern w:val="0"/>
          <w:rtl/>
        </w:rPr>
        <w:t>ال</w:t>
      </w:r>
      <w:r w:rsidRPr="00AA537D">
        <w:rPr>
          <w:spacing w:val="0"/>
          <w:kern w:val="0"/>
          <w:rtl/>
        </w:rPr>
        <w:t xml:space="preserve">متسقة </w:t>
      </w:r>
      <w:r w:rsidRPr="00AA537D">
        <w:rPr>
          <w:rFonts w:hint="cs"/>
          <w:spacing w:val="0"/>
          <w:kern w:val="0"/>
          <w:rtl/>
        </w:rPr>
        <w:t>ل</w:t>
      </w:r>
      <w:r w:rsidRPr="00AA537D">
        <w:rPr>
          <w:spacing w:val="0"/>
          <w:kern w:val="0"/>
          <w:rtl/>
        </w:rPr>
        <w:t xml:space="preserve">صاحب الشكوى </w:t>
      </w:r>
      <w:r w:rsidRPr="00AA537D">
        <w:rPr>
          <w:rFonts w:hint="cs"/>
          <w:spacing w:val="0"/>
          <w:kern w:val="0"/>
          <w:rtl/>
        </w:rPr>
        <w:t>بشأن ال</w:t>
      </w:r>
      <w:r w:rsidRPr="00AA537D">
        <w:rPr>
          <w:spacing w:val="0"/>
          <w:kern w:val="0"/>
          <w:rtl/>
        </w:rPr>
        <w:t>تعذيب</w:t>
      </w:r>
      <w:r w:rsidRPr="00AA537D">
        <w:rPr>
          <w:rFonts w:hint="cs"/>
          <w:spacing w:val="0"/>
          <w:kern w:val="0"/>
          <w:rtl/>
        </w:rPr>
        <w:t xml:space="preserve"> الذي تعرض له</w:t>
      </w:r>
      <w:r w:rsidRPr="00AA537D">
        <w:rPr>
          <w:spacing w:val="0"/>
          <w:kern w:val="0"/>
          <w:rtl/>
        </w:rPr>
        <w:t xml:space="preserve">. </w:t>
      </w:r>
      <w:r w:rsidRPr="00AA537D">
        <w:rPr>
          <w:rFonts w:hint="cs"/>
          <w:spacing w:val="0"/>
          <w:kern w:val="0"/>
          <w:rtl/>
        </w:rPr>
        <w:t xml:space="preserve">ويؤكد </w:t>
      </w:r>
      <w:r w:rsidRPr="00AA537D">
        <w:rPr>
          <w:spacing w:val="0"/>
          <w:kern w:val="0"/>
          <w:rtl/>
        </w:rPr>
        <w:t>التوكيل</w:t>
      </w:r>
      <w:r w:rsidRPr="00AA537D">
        <w:rPr>
          <w:rFonts w:hint="cs"/>
          <w:spacing w:val="0"/>
          <w:kern w:val="0"/>
          <w:rtl/>
        </w:rPr>
        <w:t xml:space="preserve"> الذي وقّع عليه</w:t>
      </w:r>
      <w:r w:rsidRPr="00AA537D">
        <w:rPr>
          <w:spacing w:val="0"/>
          <w:kern w:val="0"/>
          <w:rtl/>
        </w:rPr>
        <w:t xml:space="preserve"> في 22 </w:t>
      </w:r>
      <w:r w:rsidRPr="00AA537D">
        <w:rPr>
          <w:rFonts w:hint="cs"/>
          <w:spacing w:val="0"/>
          <w:kern w:val="0"/>
          <w:rtl/>
        </w:rPr>
        <w:t>شباط/</w:t>
      </w:r>
      <w:r w:rsidRPr="00AA537D">
        <w:rPr>
          <w:spacing w:val="0"/>
          <w:kern w:val="0"/>
          <w:rtl/>
        </w:rPr>
        <w:t xml:space="preserve">فبراير 2010 أنه يأذن </w:t>
      </w:r>
      <w:r w:rsidRPr="00AA537D">
        <w:rPr>
          <w:rFonts w:hint="cs"/>
          <w:spacing w:val="0"/>
          <w:kern w:val="0"/>
          <w:rtl/>
        </w:rPr>
        <w:t>ل</w:t>
      </w:r>
      <w:r w:rsidRPr="00AA537D">
        <w:rPr>
          <w:color w:val="000000"/>
          <w:spacing w:val="0"/>
          <w:kern w:val="0"/>
          <w:rtl/>
        </w:rPr>
        <w:t>مبادرة</w:t>
      </w:r>
      <w:r w:rsidRPr="00AA537D">
        <w:rPr>
          <w:color w:val="000000"/>
          <w:spacing w:val="0"/>
          <w:kern w:val="0"/>
        </w:rPr>
        <w:t xml:space="preserve"> </w:t>
      </w:r>
      <w:r w:rsidRPr="00AA537D">
        <w:rPr>
          <w:color w:val="000000"/>
          <w:spacing w:val="0"/>
          <w:kern w:val="0"/>
          <w:rtl/>
        </w:rPr>
        <w:t>عدالة</w:t>
      </w:r>
      <w:r w:rsidRPr="00AA537D">
        <w:rPr>
          <w:color w:val="000000"/>
          <w:spacing w:val="0"/>
          <w:kern w:val="0"/>
        </w:rPr>
        <w:t xml:space="preserve"> </w:t>
      </w:r>
      <w:r w:rsidRPr="00AA537D">
        <w:rPr>
          <w:color w:val="000000"/>
          <w:spacing w:val="0"/>
          <w:kern w:val="0"/>
          <w:rtl/>
        </w:rPr>
        <w:t>المجتمع</w:t>
      </w:r>
      <w:r w:rsidRPr="00AA537D">
        <w:rPr>
          <w:rFonts w:hint="cs"/>
          <w:color w:val="000000"/>
          <w:spacing w:val="0"/>
          <w:kern w:val="0"/>
          <w:rtl/>
        </w:rPr>
        <w:t xml:space="preserve"> </w:t>
      </w:r>
      <w:r w:rsidRPr="00AA537D">
        <w:rPr>
          <w:color w:val="000000"/>
          <w:spacing w:val="0"/>
          <w:kern w:val="0"/>
          <w:rtl/>
        </w:rPr>
        <w:t>المفتوح</w:t>
      </w:r>
      <w:r w:rsidRPr="00AA537D">
        <w:rPr>
          <w:rFonts w:hint="cs"/>
          <w:spacing w:val="0"/>
          <w:kern w:val="0"/>
          <w:rtl/>
        </w:rPr>
        <w:t xml:space="preserve"> و</w:t>
      </w:r>
      <w:r w:rsidRPr="00AA537D">
        <w:rPr>
          <w:color w:val="000000"/>
          <w:spacing w:val="0"/>
          <w:kern w:val="0"/>
          <w:rtl/>
        </w:rPr>
        <w:t>المكتب</w:t>
      </w:r>
      <w:r w:rsidRPr="00AA537D">
        <w:rPr>
          <w:color w:val="000000"/>
          <w:spacing w:val="0"/>
          <w:kern w:val="0"/>
        </w:rPr>
        <w:t xml:space="preserve"> </w:t>
      </w:r>
      <w:r w:rsidRPr="00AA537D">
        <w:rPr>
          <w:color w:val="000000"/>
          <w:spacing w:val="0"/>
          <w:kern w:val="0"/>
          <w:rtl/>
        </w:rPr>
        <w:t>الدولي</w:t>
      </w:r>
      <w:r w:rsidRPr="00AA537D">
        <w:rPr>
          <w:rFonts w:hint="cs"/>
          <w:color w:val="000000"/>
          <w:spacing w:val="0"/>
          <w:kern w:val="0"/>
          <w:rtl/>
        </w:rPr>
        <w:t xml:space="preserve"> </w:t>
      </w:r>
      <w:r w:rsidRPr="00AA537D">
        <w:rPr>
          <w:color w:val="000000"/>
          <w:spacing w:val="0"/>
          <w:kern w:val="0"/>
          <w:rtl/>
        </w:rPr>
        <w:t>الكازاخ</w:t>
      </w:r>
      <w:r w:rsidRPr="00AA537D">
        <w:rPr>
          <w:rFonts w:hint="cs"/>
          <w:color w:val="000000"/>
          <w:spacing w:val="0"/>
          <w:kern w:val="0"/>
          <w:rtl/>
        </w:rPr>
        <w:t xml:space="preserve">ستاني </w:t>
      </w:r>
      <w:r w:rsidRPr="00AA537D">
        <w:rPr>
          <w:color w:val="000000"/>
          <w:spacing w:val="0"/>
          <w:kern w:val="0"/>
          <w:rtl/>
        </w:rPr>
        <w:t>لحقوق</w:t>
      </w:r>
      <w:r w:rsidRPr="00AA537D">
        <w:rPr>
          <w:color w:val="000000"/>
          <w:spacing w:val="0"/>
          <w:kern w:val="0"/>
        </w:rPr>
        <w:t xml:space="preserve"> </w:t>
      </w:r>
      <w:r w:rsidRPr="00AA537D">
        <w:rPr>
          <w:color w:val="000000"/>
          <w:spacing w:val="0"/>
          <w:kern w:val="0"/>
          <w:rtl/>
        </w:rPr>
        <w:t>الإنسان</w:t>
      </w:r>
      <w:r w:rsidRPr="00AA537D">
        <w:rPr>
          <w:color w:val="000000"/>
          <w:spacing w:val="0"/>
          <w:kern w:val="0"/>
        </w:rPr>
        <w:t xml:space="preserve"> </w:t>
      </w:r>
      <w:r w:rsidRPr="00AA537D">
        <w:rPr>
          <w:color w:val="000000"/>
          <w:spacing w:val="0"/>
          <w:kern w:val="0"/>
          <w:rtl/>
        </w:rPr>
        <w:t>واحترام</w:t>
      </w:r>
      <w:r w:rsidRPr="00AA537D">
        <w:rPr>
          <w:color w:val="000000"/>
          <w:spacing w:val="0"/>
          <w:kern w:val="0"/>
        </w:rPr>
        <w:t xml:space="preserve"> </w:t>
      </w:r>
      <w:r w:rsidRPr="00AA537D">
        <w:rPr>
          <w:color w:val="000000"/>
          <w:spacing w:val="0"/>
          <w:kern w:val="0"/>
          <w:rtl/>
        </w:rPr>
        <w:t>الشرعية</w:t>
      </w:r>
      <w:r w:rsidRPr="00AA537D">
        <w:rPr>
          <w:color w:val="000000"/>
          <w:spacing w:val="0"/>
          <w:kern w:val="0"/>
        </w:rPr>
        <w:t xml:space="preserve"> </w:t>
      </w:r>
      <w:r w:rsidRPr="00AA537D">
        <w:rPr>
          <w:color w:val="000000"/>
          <w:spacing w:val="0"/>
          <w:kern w:val="0"/>
          <w:rtl/>
        </w:rPr>
        <w:t>القانونية</w:t>
      </w:r>
      <w:r w:rsidRPr="00AA537D">
        <w:rPr>
          <w:spacing w:val="0"/>
          <w:kern w:val="0"/>
          <w:rtl/>
        </w:rPr>
        <w:t xml:space="preserve"> </w:t>
      </w:r>
      <w:r w:rsidRPr="00AA537D">
        <w:rPr>
          <w:rFonts w:hint="cs"/>
          <w:spacing w:val="0"/>
          <w:kern w:val="0"/>
          <w:rtl/>
        </w:rPr>
        <w:t xml:space="preserve">بتمثيله </w:t>
      </w:r>
      <w:r w:rsidRPr="00AA537D">
        <w:rPr>
          <w:spacing w:val="0"/>
          <w:kern w:val="0"/>
          <w:rtl/>
        </w:rPr>
        <w:t>أمام اللجنة وتقديم الطلبات وال</w:t>
      </w:r>
      <w:r w:rsidRPr="00AA537D">
        <w:rPr>
          <w:rFonts w:hint="cs"/>
          <w:spacing w:val="0"/>
          <w:kern w:val="0"/>
          <w:rtl/>
        </w:rPr>
        <w:t xml:space="preserve">وثائق </w:t>
      </w:r>
      <w:r w:rsidRPr="00AA537D">
        <w:rPr>
          <w:spacing w:val="0"/>
          <w:kern w:val="0"/>
          <w:rtl/>
        </w:rPr>
        <w:t xml:space="preserve">الأخرى </w:t>
      </w:r>
      <w:r w:rsidRPr="00AA537D">
        <w:rPr>
          <w:rFonts w:hint="cs"/>
          <w:spacing w:val="0"/>
          <w:kern w:val="0"/>
          <w:rtl/>
        </w:rPr>
        <w:t>باسمه</w:t>
      </w:r>
      <w:r w:rsidRPr="00AA537D">
        <w:rPr>
          <w:spacing w:val="0"/>
          <w:kern w:val="0"/>
          <w:rtl/>
        </w:rPr>
        <w:t>. و</w:t>
      </w:r>
      <w:r w:rsidRPr="00AA537D">
        <w:rPr>
          <w:rFonts w:hint="cs"/>
          <w:spacing w:val="0"/>
          <w:kern w:val="0"/>
          <w:rtl/>
        </w:rPr>
        <w:t xml:space="preserve">قد وقّع صاحب الشكوى </w:t>
      </w:r>
      <w:r w:rsidRPr="00AA537D">
        <w:rPr>
          <w:spacing w:val="0"/>
          <w:kern w:val="0"/>
          <w:rtl/>
        </w:rPr>
        <w:t>علاوة على ذلك</w:t>
      </w:r>
      <w:r w:rsidRPr="00AA537D">
        <w:rPr>
          <w:rFonts w:hint="cs"/>
          <w:spacing w:val="0"/>
          <w:kern w:val="0"/>
          <w:rtl/>
        </w:rPr>
        <w:t xml:space="preserve"> </w:t>
      </w:r>
      <w:r w:rsidRPr="00AA537D">
        <w:rPr>
          <w:spacing w:val="0"/>
          <w:kern w:val="0"/>
          <w:rtl/>
        </w:rPr>
        <w:t>شخصيا</w:t>
      </w:r>
      <w:r w:rsidRPr="00AA537D">
        <w:rPr>
          <w:rFonts w:hint="cs"/>
          <w:spacing w:val="0"/>
          <w:kern w:val="0"/>
          <w:rtl/>
        </w:rPr>
        <w:t>ً</w:t>
      </w:r>
      <w:r w:rsidRPr="00AA537D">
        <w:rPr>
          <w:spacing w:val="0"/>
          <w:kern w:val="0"/>
          <w:rtl/>
        </w:rPr>
        <w:t xml:space="preserve"> </w:t>
      </w:r>
      <w:r w:rsidRPr="00AA537D">
        <w:rPr>
          <w:rFonts w:hint="cs"/>
          <w:spacing w:val="0"/>
          <w:kern w:val="0"/>
          <w:rtl/>
        </w:rPr>
        <w:t xml:space="preserve">على </w:t>
      </w:r>
      <w:r w:rsidRPr="00AA537D">
        <w:rPr>
          <w:spacing w:val="0"/>
          <w:kern w:val="0"/>
          <w:rtl/>
        </w:rPr>
        <w:t xml:space="preserve">كل صفحة من </w:t>
      </w:r>
      <w:r w:rsidRPr="00AA537D">
        <w:rPr>
          <w:rFonts w:hint="cs"/>
          <w:spacing w:val="0"/>
          <w:kern w:val="0"/>
          <w:rtl/>
        </w:rPr>
        <w:t xml:space="preserve">صفحات </w:t>
      </w:r>
      <w:r w:rsidRPr="00AA537D">
        <w:rPr>
          <w:spacing w:val="0"/>
          <w:kern w:val="0"/>
          <w:rtl/>
        </w:rPr>
        <w:t>بيانه الذي قدم</w:t>
      </w:r>
      <w:r w:rsidRPr="00AA537D">
        <w:rPr>
          <w:rFonts w:hint="cs"/>
          <w:spacing w:val="0"/>
          <w:kern w:val="0"/>
          <w:rtl/>
        </w:rPr>
        <w:t>ه مع</w:t>
      </w:r>
      <w:r w:rsidRPr="00AA537D">
        <w:rPr>
          <w:spacing w:val="0"/>
          <w:kern w:val="0"/>
          <w:rtl/>
        </w:rPr>
        <w:t xml:space="preserve"> الشكوى</w:t>
      </w:r>
      <w:r w:rsidRPr="00AA537D">
        <w:rPr>
          <w:spacing w:val="0"/>
          <w:kern w:val="0"/>
          <w:vertAlign w:val="superscript"/>
          <w:rtl/>
        </w:rPr>
        <w:t>(</w:t>
      </w:r>
      <w:r w:rsidRPr="00AA537D">
        <w:rPr>
          <w:rStyle w:val="FootnoteReference"/>
          <w:spacing w:val="0"/>
          <w:rtl/>
        </w:rPr>
        <w:footnoteReference w:id="395"/>
      </w:r>
      <w:r w:rsidRPr="00AA537D">
        <w:rPr>
          <w:spacing w:val="0"/>
          <w:kern w:val="0"/>
          <w:vertAlign w:val="superscript"/>
          <w:rtl/>
        </w:rPr>
        <w:t>)</w:t>
      </w:r>
      <w:r w:rsidRPr="00AA537D">
        <w:rPr>
          <w:spacing w:val="0"/>
          <w:kern w:val="0"/>
          <w:rtl/>
        </w:rPr>
        <w:t xml:space="preserve">. </w:t>
      </w:r>
      <w:r w:rsidRPr="00AA537D">
        <w:rPr>
          <w:rFonts w:hint="cs"/>
          <w:spacing w:val="0"/>
          <w:kern w:val="0"/>
          <w:rtl/>
        </w:rPr>
        <w:t>و</w:t>
      </w:r>
      <w:r w:rsidRPr="00AA537D">
        <w:rPr>
          <w:spacing w:val="0"/>
          <w:kern w:val="0"/>
          <w:rtl/>
        </w:rPr>
        <w:t xml:space="preserve">في هذه الظروف، لا </w:t>
      </w:r>
      <w:r w:rsidRPr="00AA537D">
        <w:rPr>
          <w:rFonts w:hint="cs"/>
          <w:spacing w:val="0"/>
          <w:kern w:val="0"/>
          <w:rtl/>
        </w:rPr>
        <w:t>يمكن أن تشكل الرسالة المؤرخة</w:t>
      </w:r>
      <w:r w:rsidRPr="00AA537D">
        <w:rPr>
          <w:spacing w:val="0"/>
          <w:kern w:val="0"/>
          <w:rtl/>
        </w:rPr>
        <w:t xml:space="preserve"> 3 شباط/فبراير، </w:t>
      </w:r>
      <w:r w:rsidRPr="00AA537D">
        <w:rPr>
          <w:rFonts w:hint="cs"/>
          <w:spacing w:val="0"/>
          <w:kern w:val="0"/>
          <w:rtl/>
        </w:rPr>
        <w:t>أ</w:t>
      </w:r>
      <w:r w:rsidRPr="00AA537D">
        <w:rPr>
          <w:spacing w:val="0"/>
          <w:kern w:val="0"/>
          <w:rtl/>
        </w:rPr>
        <w:t>و</w:t>
      </w:r>
      <w:r w:rsidRPr="00AA537D">
        <w:rPr>
          <w:rFonts w:hint="cs"/>
          <w:spacing w:val="0"/>
          <w:kern w:val="0"/>
          <w:rtl/>
        </w:rPr>
        <w:t xml:space="preserve"> الأقوال التي أدلى بها في </w:t>
      </w:r>
      <w:r w:rsidRPr="00AA537D">
        <w:rPr>
          <w:spacing w:val="0"/>
          <w:kern w:val="0"/>
          <w:rtl/>
        </w:rPr>
        <w:t xml:space="preserve">6 شباط/فبراير، </w:t>
      </w:r>
      <w:r w:rsidRPr="00AA537D">
        <w:rPr>
          <w:rFonts w:hint="cs"/>
          <w:spacing w:val="0"/>
          <w:kern w:val="0"/>
          <w:rtl/>
        </w:rPr>
        <w:t>أ</w:t>
      </w:r>
      <w:r w:rsidRPr="00AA537D">
        <w:rPr>
          <w:spacing w:val="0"/>
          <w:kern w:val="0"/>
          <w:rtl/>
        </w:rPr>
        <w:t xml:space="preserve">و الرسالة </w:t>
      </w:r>
      <w:r w:rsidRPr="00AA537D">
        <w:rPr>
          <w:rFonts w:hint="cs"/>
          <w:spacing w:val="0"/>
          <w:kern w:val="0"/>
          <w:rtl/>
        </w:rPr>
        <w:t xml:space="preserve">المؤرخة </w:t>
      </w:r>
      <w:r w:rsidRPr="00AA537D">
        <w:rPr>
          <w:spacing w:val="0"/>
          <w:kern w:val="0"/>
          <w:rtl/>
        </w:rPr>
        <w:t>18 شباط/فبراير تعبير</w:t>
      </w:r>
      <w:r w:rsidRPr="00AA537D">
        <w:rPr>
          <w:rFonts w:hint="cs"/>
          <w:spacing w:val="0"/>
          <w:kern w:val="0"/>
          <w:rtl/>
        </w:rPr>
        <w:t>اً</w:t>
      </w:r>
      <w:r w:rsidRPr="00AA537D">
        <w:rPr>
          <w:spacing w:val="0"/>
          <w:kern w:val="0"/>
          <w:rtl/>
        </w:rPr>
        <w:t xml:space="preserve"> حر</w:t>
      </w:r>
      <w:r w:rsidRPr="00AA537D">
        <w:rPr>
          <w:rFonts w:hint="cs"/>
          <w:spacing w:val="0"/>
          <w:kern w:val="0"/>
          <w:rtl/>
        </w:rPr>
        <w:t xml:space="preserve">اً </w:t>
      </w:r>
      <w:r w:rsidRPr="00AA537D">
        <w:rPr>
          <w:spacing w:val="0"/>
          <w:kern w:val="0"/>
          <w:rtl/>
        </w:rPr>
        <w:t xml:space="preserve">ولا لبس فيه </w:t>
      </w:r>
      <w:r w:rsidRPr="00AA537D">
        <w:rPr>
          <w:rFonts w:hint="cs"/>
          <w:spacing w:val="0"/>
          <w:kern w:val="0"/>
          <w:rtl/>
        </w:rPr>
        <w:t xml:space="preserve">لإرادة </w:t>
      </w:r>
      <w:r w:rsidRPr="00AA537D">
        <w:rPr>
          <w:spacing w:val="0"/>
          <w:kern w:val="0"/>
          <w:rtl/>
        </w:rPr>
        <w:t>سحب شكواه، و</w:t>
      </w:r>
      <w:r w:rsidRPr="00AA537D">
        <w:rPr>
          <w:rFonts w:hint="cs"/>
          <w:spacing w:val="0"/>
          <w:kern w:val="0"/>
          <w:rtl/>
        </w:rPr>
        <w:t xml:space="preserve">لا </w:t>
      </w:r>
      <w:r w:rsidRPr="00AA537D">
        <w:rPr>
          <w:spacing w:val="0"/>
          <w:kern w:val="0"/>
          <w:rtl/>
        </w:rPr>
        <w:t xml:space="preserve">ينبغي أن تمنع اللجنة من النظر في </w:t>
      </w:r>
      <w:r w:rsidRPr="00AA537D">
        <w:rPr>
          <w:rFonts w:hint="cs"/>
          <w:spacing w:val="0"/>
          <w:kern w:val="0"/>
          <w:rtl/>
        </w:rPr>
        <w:t>الأسس الموضوعية لل</w:t>
      </w:r>
      <w:r w:rsidRPr="00AA537D">
        <w:rPr>
          <w:spacing w:val="0"/>
          <w:kern w:val="0"/>
          <w:rtl/>
        </w:rPr>
        <w:t>شكوى.</w:t>
      </w:r>
    </w:p>
    <w:p w:rsidR="00FA6676" w:rsidRPr="00AA537D" w:rsidRDefault="00FA6676" w:rsidP="00ED61B0">
      <w:pPr>
        <w:pStyle w:val="SingleTxtGA"/>
        <w:spacing w:line="372" w:lineRule="exact"/>
        <w:jc w:val="lowKashida"/>
        <w:rPr>
          <w:rFonts w:hint="cs"/>
          <w:spacing w:val="0"/>
          <w:kern w:val="0"/>
          <w:rtl/>
        </w:rPr>
      </w:pPr>
      <w:r w:rsidRPr="00AA537D">
        <w:rPr>
          <w:rFonts w:hint="cs"/>
          <w:spacing w:val="0"/>
          <w:kern w:val="0"/>
          <w:rtl/>
          <w:lang/>
        </w:rPr>
        <w:t>8-7</w:t>
      </w:r>
      <w:r w:rsidRPr="00AA537D">
        <w:rPr>
          <w:rFonts w:hint="cs"/>
          <w:spacing w:val="0"/>
          <w:kern w:val="0"/>
          <w:rtl/>
          <w:lang/>
        </w:rPr>
        <w:tab/>
        <w:t xml:space="preserve">وليس هناك حجة واحدة من </w:t>
      </w:r>
      <w:r w:rsidRPr="00AA537D">
        <w:rPr>
          <w:spacing w:val="0"/>
          <w:kern w:val="0"/>
          <w:rtl/>
        </w:rPr>
        <w:t xml:space="preserve">الحجج التي قدمتها الدولة الطرف </w:t>
      </w:r>
      <w:r w:rsidRPr="00AA537D">
        <w:rPr>
          <w:rFonts w:hint="cs"/>
          <w:spacing w:val="0"/>
          <w:kern w:val="0"/>
          <w:rtl/>
        </w:rPr>
        <w:t>تفند الأقوال ال</w:t>
      </w:r>
      <w:r w:rsidRPr="00AA537D">
        <w:rPr>
          <w:spacing w:val="0"/>
          <w:kern w:val="0"/>
          <w:rtl/>
        </w:rPr>
        <w:t>متسق</w:t>
      </w:r>
      <w:r w:rsidRPr="00AA537D">
        <w:rPr>
          <w:rFonts w:hint="cs"/>
          <w:spacing w:val="0"/>
          <w:kern w:val="0"/>
          <w:rtl/>
        </w:rPr>
        <w:t>ة</w:t>
      </w:r>
      <w:r w:rsidRPr="00AA537D">
        <w:rPr>
          <w:spacing w:val="0"/>
          <w:kern w:val="0"/>
          <w:rtl/>
        </w:rPr>
        <w:t xml:space="preserve"> ال</w:t>
      </w:r>
      <w:r w:rsidRPr="00AA537D">
        <w:rPr>
          <w:rFonts w:hint="cs"/>
          <w:spacing w:val="0"/>
          <w:kern w:val="0"/>
          <w:rtl/>
        </w:rPr>
        <w:t>تي</w:t>
      </w:r>
      <w:r w:rsidRPr="00AA537D">
        <w:rPr>
          <w:spacing w:val="0"/>
          <w:kern w:val="0"/>
          <w:rtl/>
        </w:rPr>
        <w:t xml:space="preserve"> </w:t>
      </w:r>
      <w:r w:rsidRPr="00AA537D">
        <w:rPr>
          <w:rFonts w:hint="cs"/>
          <w:spacing w:val="0"/>
          <w:kern w:val="0"/>
          <w:rtl/>
        </w:rPr>
        <w:t xml:space="preserve">قدمها </w:t>
      </w:r>
      <w:r w:rsidRPr="00AA537D">
        <w:rPr>
          <w:spacing w:val="0"/>
          <w:kern w:val="0"/>
          <w:rtl/>
        </w:rPr>
        <w:t xml:space="preserve">صاحب الشكوى </w:t>
      </w:r>
      <w:r w:rsidRPr="00AA537D">
        <w:rPr>
          <w:rFonts w:hint="cs"/>
          <w:spacing w:val="0"/>
          <w:kern w:val="0"/>
          <w:rtl/>
        </w:rPr>
        <w:t xml:space="preserve">بشأن </w:t>
      </w:r>
      <w:r w:rsidRPr="00AA537D">
        <w:rPr>
          <w:spacing w:val="0"/>
          <w:kern w:val="0"/>
          <w:rtl/>
        </w:rPr>
        <w:t>تعذيب</w:t>
      </w:r>
      <w:r w:rsidRPr="00AA537D">
        <w:rPr>
          <w:rFonts w:hint="cs"/>
          <w:spacing w:val="0"/>
          <w:kern w:val="0"/>
          <w:rtl/>
        </w:rPr>
        <w:t xml:space="preserve">ه، بل إنما </w:t>
      </w:r>
      <w:r w:rsidRPr="00AA537D">
        <w:rPr>
          <w:spacing w:val="0"/>
          <w:kern w:val="0"/>
          <w:rtl/>
        </w:rPr>
        <w:t xml:space="preserve">تؤيد </w:t>
      </w:r>
      <w:r w:rsidRPr="00AA537D">
        <w:rPr>
          <w:rFonts w:hint="cs"/>
          <w:spacing w:val="0"/>
          <w:kern w:val="0"/>
          <w:rtl/>
        </w:rPr>
        <w:t xml:space="preserve">بالأحرى </w:t>
      </w:r>
      <w:r w:rsidRPr="00AA537D">
        <w:rPr>
          <w:spacing w:val="0"/>
          <w:kern w:val="0"/>
          <w:rtl/>
        </w:rPr>
        <w:t xml:space="preserve">العناصر الرئيسية </w:t>
      </w:r>
      <w:r w:rsidRPr="00AA537D">
        <w:rPr>
          <w:rFonts w:hint="cs"/>
          <w:spacing w:val="0"/>
          <w:kern w:val="0"/>
          <w:rtl/>
        </w:rPr>
        <w:t xml:space="preserve">التي قامت عليها شهادته </w:t>
      </w:r>
      <w:r w:rsidRPr="00AA537D">
        <w:rPr>
          <w:spacing w:val="0"/>
          <w:kern w:val="0"/>
          <w:rtl/>
        </w:rPr>
        <w:t>وت</w:t>
      </w:r>
      <w:r w:rsidRPr="00AA537D">
        <w:rPr>
          <w:rFonts w:hint="cs"/>
          <w:spacing w:val="0"/>
          <w:kern w:val="0"/>
          <w:rtl/>
        </w:rPr>
        <w:t>ؤ</w:t>
      </w:r>
      <w:r w:rsidRPr="00AA537D">
        <w:rPr>
          <w:spacing w:val="0"/>
          <w:kern w:val="0"/>
          <w:rtl/>
        </w:rPr>
        <w:t xml:space="preserve">كد </w:t>
      </w:r>
      <w:r w:rsidRPr="00AA537D">
        <w:rPr>
          <w:rFonts w:hint="cs"/>
          <w:spacing w:val="0"/>
          <w:kern w:val="0"/>
          <w:rtl/>
        </w:rPr>
        <w:t xml:space="preserve">عدم فعالية </w:t>
      </w:r>
      <w:r w:rsidRPr="00AA537D">
        <w:rPr>
          <w:spacing w:val="0"/>
          <w:kern w:val="0"/>
          <w:rtl/>
        </w:rPr>
        <w:t xml:space="preserve">التحقيق </w:t>
      </w:r>
      <w:r w:rsidRPr="00AA537D">
        <w:rPr>
          <w:rFonts w:hint="cs"/>
          <w:spacing w:val="0"/>
          <w:kern w:val="0"/>
          <w:rtl/>
        </w:rPr>
        <w:t>المستَأنف</w:t>
      </w:r>
      <w:r w:rsidRPr="00AA537D">
        <w:rPr>
          <w:spacing w:val="0"/>
          <w:kern w:val="0"/>
          <w:rtl/>
        </w:rPr>
        <w:t xml:space="preserve">. وتوافق الدولة الطرف </w:t>
      </w:r>
      <w:r w:rsidRPr="00AA537D">
        <w:rPr>
          <w:rFonts w:hint="cs"/>
          <w:spacing w:val="0"/>
          <w:kern w:val="0"/>
          <w:rtl/>
        </w:rPr>
        <w:t xml:space="preserve">على </w:t>
      </w:r>
      <w:r w:rsidRPr="00AA537D">
        <w:rPr>
          <w:spacing w:val="0"/>
          <w:kern w:val="0"/>
          <w:rtl/>
        </w:rPr>
        <w:t xml:space="preserve">أن صاحب الشكوى وابن </w:t>
      </w:r>
      <w:r w:rsidRPr="00AA537D">
        <w:rPr>
          <w:rFonts w:hint="cs"/>
          <w:spacing w:val="0"/>
          <w:kern w:val="0"/>
          <w:rtl/>
        </w:rPr>
        <w:t xml:space="preserve">زوجته قدما </w:t>
      </w:r>
      <w:r w:rsidRPr="00AA537D">
        <w:rPr>
          <w:spacing w:val="0"/>
          <w:kern w:val="0"/>
          <w:rtl/>
        </w:rPr>
        <w:t xml:space="preserve">على الفور </w:t>
      </w:r>
      <w:r w:rsidRPr="00AA537D">
        <w:rPr>
          <w:rFonts w:hint="cs"/>
          <w:spacing w:val="0"/>
          <w:kern w:val="0"/>
          <w:rtl/>
        </w:rPr>
        <w:t xml:space="preserve">بلاغاً ضد </w:t>
      </w:r>
      <w:r w:rsidRPr="00AA537D">
        <w:rPr>
          <w:spacing w:val="0"/>
          <w:kern w:val="0"/>
          <w:rtl/>
        </w:rPr>
        <w:t xml:space="preserve">الشرطة </w:t>
      </w:r>
      <w:r w:rsidRPr="00AA537D">
        <w:rPr>
          <w:rFonts w:hint="cs"/>
          <w:spacing w:val="0"/>
          <w:kern w:val="0"/>
          <w:rtl/>
        </w:rPr>
        <w:t xml:space="preserve">بشأن الإصابات </w:t>
      </w:r>
      <w:r w:rsidRPr="00AA537D">
        <w:rPr>
          <w:spacing w:val="0"/>
          <w:kern w:val="0"/>
          <w:rtl/>
        </w:rPr>
        <w:t xml:space="preserve">الجسدية والعقلية </w:t>
      </w:r>
      <w:r w:rsidRPr="00AA537D">
        <w:rPr>
          <w:rFonts w:hint="cs"/>
          <w:spacing w:val="0"/>
          <w:kern w:val="0"/>
          <w:rtl/>
        </w:rPr>
        <w:t>التي لحقت بهما ل</w:t>
      </w:r>
      <w:r w:rsidRPr="00AA537D">
        <w:rPr>
          <w:spacing w:val="0"/>
          <w:kern w:val="0"/>
          <w:rtl/>
        </w:rPr>
        <w:t xml:space="preserve">محاولة </w:t>
      </w:r>
      <w:r w:rsidRPr="00AA537D">
        <w:rPr>
          <w:rFonts w:hint="cs"/>
          <w:spacing w:val="0"/>
          <w:kern w:val="0"/>
          <w:rtl/>
        </w:rPr>
        <w:t>ا</w:t>
      </w:r>
      <w:r w:rsidRPr="00AA537D">
        <w:rPr>
          <w:spacing w:val="0"/>
          <w:kern w:val="0"/>
          <w:rtl/>
        </w:rPr>
        <w:t>لحصول على اعترافات.</w:t>
      </w:r>
      <w:r w:rsidRPr="00AA537D">
        <w:rPr>
          <w:rFonts w:hint="cs"/>
          <w:spacing w:val="0"/>
          <w:kern w:val="0"/>
          <w:rtl/>
        </w:rPr>
        <w:t xml:space="preserve"> وقد تمسك </w:t>
      </w:r>
      <w:r w:rsidRPr="00AA537D">
        <w:rPr>
          <w:spacing w:val="0"/>
          <w:kern w:val="0"/>
          <w:rtl/>
        </w:rPr>
        <w:t xml:space="preserve">صاحب الشكوى </w:t>
      </w:r>
      <w:r w:rsidRPr="00AA537D">
        <w:rPr>
          <w:rFonts w:hint="cs"/>
          <w:spacing w:val="0"/>
          <w:kern w:val="0"/>
          <w:rtl/>
        </w:rPr>
        <w:t>ب</w:t>
      </w:r>
      <w:r w:rsidRPr="00AA537D">
        <w:rPr>
          <w:spacing w:val="0"/>
          <w:kern w:val="0"/>
          <w:rtl/>
        </w:rPr>
        <w:t>هذ</w:t>
      </w:r>
      <w:r w:rsidRPr="00AA537D">
        <w:rPr>
          <w:rFonts w:hint="cs"/>
          <w:spacing w:val="0"/>
          <w:kern w:val="0"/>
          <w:rtl/>
        </w:rPr>
        <w:t>ه الأقوال الم</w:t>
      </w:r>
      <w:r w:rsidRPr="00AA537D">
        <w:rPr>
          <w:spacing w:val="0"/>
          <w:kern w:val="0"/>
          <w:rtl/>
        </w:rPr>
        <w:t>تسق</w:t>
      </w:r>
      <w:r w:rsidRPr="00AA537D">
        <w:rPr>
          <w:rFonts w:hint="cs"/>
          <w:spacing w:val="0"/>
          <w:kern w:val="0"/>
          <w:rtl/>
        </w:rPr>
        <w:t>ة</w:t>
      </w:r>
      <w:r w:rsidRPr="00AA537D">
        <w:rPr>
          <w:spacing w:val="0"/>
          <w:kern w:val="0"/>
          <w:rtl/>
        </w:rPr>
        <w:t xml:space="preserve"> </w:t>
      </w:r>
      <w:r w:rsidRPr="00AA537D">
        <w:rPr>
          <w:rFonts w:hint="cs"/>
          <w:spacing w:val="0"/>
          <w:kern w:val="0"/>
          <w:rtl/>
        </w:rPr>
        <w:t xml:space="preserve">في جلسات </w:t>
      </w:r>
      <w:r w:rsidRPr="00AA537D">
        <w:rPr>
          <w:spacing w:val="0"/>
          <w:kern w:val="0"/>
          <w:rtl/>
        </w:rPr>
        <w:t>الاستجواب</w:t>
      </w:r>
      <w:r w:rsidRPr="00AA537D">
        <w:rPr>
          <w:rFonts w:hint="cs"/>
          <w:spacing w:val="0"/>
          <w:kern w:val="0"/>
          <w:rtl/>
        </w:rPr>
        <w:t xml:space="preserve"> المتعددة وفي </w:t>
      </w:r>
      <w:r w:rsidRPr="00AA537D">
        <w:rPr>
          <w:spacing w:val="0"/>
          <w:kern w:val="0"/>
          <w:rtl/>
        </w:rPr>
        <w:t xml:space="preserve">التحقيق </w:t>
      </w:r>
      <w:r w:rsidRPr="00AA537D">
        <w:rPr>
          <w:rFonts w:hint="cs"/>
          <w:spacing w:val="0"/>
          <w:kern w:val="0"/>
          <w:rtl/>
        </w:rPr>
        <w:t xml:space="preserve">المستَأنف الذي أجري </w:t>
      </w:r>
      <w:r w:rsidRPr="00AA537D">
        <w:rPr>
          <w:spacing w:val="0"/>
          <w:kern w:val="0"/>
          <w:rtl/>
        </w:rPr>
        <w:t>في كانون الثاني/يناير 2011</w:t>
      </w:r>
      <w:r w:rsidRPr="00AA537D">
        <w:rPr>
          <w:rFonts w:hint="cs"/>
          <w:spacing w:val="0"/>
          <w:kern w:val="0"/>
          <w:rtl/>
        </w:rPr>
        <w:t>،</w:t>
      </w:r>
      <w:r w:rsidRPr="00AA537D">
        <w:rPr>
          <w:spacing w:val="0"/>
          <w:kern w:val="0"/>
          <w:rtl/>
        </w:rPr>
        <w:t xml:space="preserve"> وتسلم الدولة الطرف بأن</w:t>
      </w:r>
      <w:r w:rsidRPr="00AA537D">
        <w:rPr>
          <w:rFonts w:hint="cs"/>
          <w:spacing w:val="0"/>
          <w:kern w:val="0"/>
          <w:rtl/>
        </w:rPr>
        <w:t>ه</w:t>
      </w:r>
      <w:r w:rsidRPr="00AA537D">
        <w:rPr>
          <w:spacing w:val="0"/>
          <w:kern w:val="0"/>
          <w:rtl/>
        </w:rPr>
        <w:t xml:space="preserve"> شهد بأنه </w:t>
      </w:r>
      <w:r w:rsidRPr="00AA537D">
        <w:rPr>
          <w:rFonts w:hint="cs"/>
          <w:spacing w:val="0"/>
          <w:kern w:val="0"/>
          <w:rtl/>
        </w:rPr>
        <w:t>تعرض ل</w:t>
      </w:r>
      <w:r w:rsidRPr="00AA537D">
        <w:rPr>
          <w:spacing w:val="0"/>
          <w:kern w:val="0"/>
          <w:rtl/>
        </w:rPr>
        <w:t xml:space="preserve">سوء المعاملة </w:t>
      </w:r>
      <w:r w:rsidRPr="00AA537D">
        <w:rPr>
          <w:rFonts w:hint="cs"/>
          <w:spacing w:val="0"/>
          <w:kern w:val="0"/>
          <w:rtl/>
        </w:rPr>
        <w:t>على أيدي</w:t>
      </w:r>
      <w:r w:rsidRPr="00AA537D">
        <w:rPr>
          <w:spacing w:val="0"/>
          <w:kern w:val="0"/>
          <w:rtl/>
        </w:rPr>
        <w:t xml:space="preserve"> الشرطة. </w:t>
      </w:r>
      <w:r w:rsidRPr="00AA537D">
        <w:rPr>
          <w:rFonts w:hint="cs"/>
          <w:spacing w:val="0"/>
          <w:kern w:val="0"/>
          <w:rtl/>
        </w:rPr>
        <w:t>و</w:t>
      </w:r>
      <w:r w:rsidRPr="00AA537D">
        <w:rPr>
          <w:spacing w:val="0"/>
          <w:kern w:val="0"/>
          <w:rtl/>
        </w:rPr>
        <w:t xml:space="preserve">لا جدال في أنه </w:t>
      </w:r>
      <w:r w:rsidRPr="00AA537D">
        <w:rPr>
          <w:rFonts w:hint="cs"/>
          <w:spacing w:val="0"/>
          <w:kern w:val="0"/>
          <w:rtl/>
        </w:rPr>
        <w:t xml:space="preserve">طلب </w:t>
      </w:r>
      <w:r w:rsidRPr="00AA537D">
        <w:rPr>
          <w:spacing w:val="0"/>
          <w:kern w:val="0"/>
          <w:rtl/>
        </w:rPr>
        <w:t>ال</w:t>
      </w:r>
      <w:r w:rsidRPr="00AA537D">
        <w:rPr>
          <w:rFonts w:hint="cs"/>
          <w:spacing w:val="0"/>
          <w:kern w:val="0"/>
          <w:rtl/>
        </w:rPr>
        <w:t xml:space="preserve">رعاية </w:t>
      </w:r>
      <w:r w:rsidRPr="00AA537D">
        <w:rPr>
          <w:spacing w:val="0"/>
          <w:kern w:val="0"/>
          <w:rtl/>
        </w:rPr>
        <w:t>الطبية فورا</w:t>
      </w:r>
      <w:r w:rsidRPr="00AA537D">
        <w:rPr>
          <w:rFonts w:hint="cs"/>
          <w:spacing w:val="0"/>
          <w:kern w:val="0"/>
          <w:rtl/>
        </w:rPr>
        <w:t>ً</w:t>
      </w:r>
      <w:r w:rsidRPr="00AA537D">
        <w:rPr>
          <w:spacing w:val="0"/>
          <w:kern w:val="0"/>
          <w:rtl/>
        </w:rPr>
        <w:t xml:space="preserve"> و</w:t>
      </w:r>
      <w:r w:rsidRPr="00AA537D">
        <w:rPr>
          <w:rFonts w:hint="cs"/>
          <w:spacing w:val="0"/>
          <w:kern w:val="0"/>
          <w:rtl/>
        </w:rPr>
        <w:t xml:space="preserve">أنه </w:t>
      </w:r>
      <w:r w:rsidRPr="00AA537D">
        <w:rPr>
          <w:spacing w:val="0"/>
          <w:kern w:val="0"/>
          <w:rtl/>
        </w:rPr>
        <w:t xml:space="preserve">قال </w:t>
      </w:r>
      <w:r w:rsidRPr="00AA537D">
        <w:rPr>
          <w:rFonts w:hint="cs"/>
          <w:spacing w:val="0"/>
          <w:kern w:val="0"/>
          <w:rtl/>
        </w:rPr>
        <w:t>ل</w:t>
      </w:r>
      <w:r w:rsidRPr="00AA537D">
        <w:rPr>
          <w:spacing w:val="0"/>
          <w:kern w:val="0"/>
          <w:rtl/>
        </w:rPr>
        <w:t>لأطباء أنه أصيب بجر</w:t>
      </w:r>
      <w:r w:rsidRPr="00AA537D">
        <w:rPr>
          <w:rFonts w:hint="cs"/>
          <w:spacing w:val="0"/>
          <w:kern w:val="0"/>
          <w:rtl/>
        </w:rPr>
        <w:t>ا</w:t>
      </w:r>
      <w:r w:rsidRPr="00AA537D">
        <w:rPr>
          <w:spacing w:val="0"/>
          <w:kern w:val="0"/>
          <w:rtl/>
        </w:rPr>
        <w:t>ح على أيدي الشرطة. غير أن الدولة الطرف ت</w:t>
      </w:r>
      <w:r w:rsidRPr="00AA537D">
        <w:rPr>
          <w:rFonts w:hint="cs"/>
          <w:spacing w:val="0"/>
          <w:kern w:val="0"/>
          <w:rtl/>
        </w:rPr>
        <w:t>رفض هذه</w:t>
      </w:r>
      <w:r w:rsidRPr="00AA537D">
        <w:rPr>
          <w:spacing w:val="0"/>
          <w:kern w:val="0"/>
          <w:rtl/>
        </w:rPr>
        <w:t xml:space="preserve"> الأدلة</w:t>
      </w:r>
      <w:r w:rsidRPr="00AA537D">
        <w:rPr>
          <w:rFonts w:hint="cs"/>
          <w:spacing w:val="0"/>
          <w:kern w:val="0"/>
          <w:rtl/>
        </w:rPr>
        <w:t xml:space="preserve"> بغير وجه حق</w:t>
      </w:r>
      <w:r w:rsidRPr="00AA537D">
        <w:rPr>
          <w:spacing w:val="0"/>
          <w:kern w:val="0"/>
          <w:rtl/>
        </w:rPr>
        <w:t xml:space="preserve">، </w:t>
      </w:r>
      <w:r w:rsidRPr="00AA537D">
        <w:rPr>
          <w:rFonts w:hint="cs"/>
          <w:spacing w:val="0"/>
          <w:kern w:val="0"/>
          <w:rtl/>
        </w:rPr>
        <w:t>ولا ترد على ال</w:t>
      </w:r>
      <w:r w:rsidRPr="00AA537D">
        <w:rPr>
          <w:spacing w:val="0"/>
          <w:kern w:val="0"/>
          <w:rtl/>
        </w:rPr>
        <w:t xml:space="preserve">بيانات </w:t>
      </w:r>
      <w:r w:rsidRPr="00AA537D">
        <w:rPr>
          <w:rFonts w:hint="cs"/>
          <w:spacing w:val="0"/>
          <w:kern w:val="0"/>
          <w:rtl/>
        </w:rPr>
        <w:t>ال</w:t>
      </w:r>
      <w:r w:rsidRPr="00AA537D">
        <w:rPr>
          <w:spacing w:val="0"/>
          <w:kern w:val="0"/>
          <w:rtl/>
        </w:rPr>
        <w:t xml:space="preserve">متسقة العديدة </w:t>
      </w:r>
      <w:r w:rsidRPr="00AA537D">
        <w:rPr>
          <w:rFonts w:hint="cs"/>
          <w:spacing w:val="0"/>
          <w:kern w:val="0"/>
          <w:rtl/>
        </w:rPr>
        <w:t>التي أدلى بها صاحب الشكوى في ا</w:t>
      </w:r>
      <w:r w:rsidRPr="00AA537D">
        <w:rPr>
          <w:spacing w:val="0"/>
          <w:kern w:val="0"/>
          <w:rtl/>
        </w:rPr>
        <w:t>لتحقيق الأصلي</w:t>
      </w:r>
      <w:r w:rsidRPr="00AA537D">
        <w:rPr>
          <w:rFonts w:hint="cs"/>
          <w:spacing w:val="0"/>
          <w:kern w:val="0"/>
          <w:rtl/>
        </w:rPr>
        <w:t xml:space="preserve"> </w:t>
      </w:r>
      <w:r w:rsidRPr="00AA537D">
        <w:rPr>
          <w:spacing w:val="0"/>
          <w:kern w:val="0"/>
          <w:rtl/>
        </w:rPr>
        <w:t>وفي كانون الثاني/</w:t>
      </w:r>
      <w:r w:rsidR="00ED61B0">
        <w:rPr>
          <w:rFonts w:hint="cs"/>
          <w:spacing w:val="0"/>
          <w:kern w:val="0"/>
          <w:rtl/>
        </w:rPr>
        <w:t xml:space="preserve"> </w:t>
      </w:r>
      <w:r w:rsidRPr="00AA537D">
        <w:rPr>
          <w:spacing w:val="0"/>
          <w:kern w:val="0"/>
          <w:rtl/>
        </w:rPr>
        <w:t>يناير</w:t>
      </w:r>
      <w:r w:rsidR="00ED61B0">
        <w:rPr>
          <w:rFonts w:hint="cs"/>
          <w:spacing w:val="0"/>
          <w:kern w:val="0"/>
          <w:rtl/>
        </w:rPr>
        <w:t> </w:t>
      </w:r>
      <w:r w:rsidRPr="00AA537D">
        <w:rPr>
          <w:spacing w:val="0"/>
          <w:kern w:val="0"/>
          <w:rtl/>
        </w:rPr>
        <w:t>2011، و</w:t>
      </w:r>
      <w:r w:rsidRPr="00AA537D">
        <w:rPr>
          <w:rFonts w:hint="cs"/>
          <w:spacing w:val="0"/>
          <w:kern w:val="0"/>
          <w:rtl/>
        </w:rPr>
        <w:t xml:space="preserve">تحاول عوضاً عن </w:t>
      </w:r>
      <w:r w:rsidRPr="00AA537D">
        <w:rPr>
          <w:spacing w:val="0"/>
          <w:kern w:val="0"/>
          <w:rtl/>
        </w:rPr>
        <w:t xml:space="preserve">ذلك استبعاد </w:t>
      </w:r>
      <w:r w:rsidRPr="00AA537D">
        <w:rPr>
          <w:rFonts w:hint="cs"/>
          <w:spacing w:val="0"/>
          <w:kern w:val="0"/>
          <w:rtl/>
        </w:rPr>
        <w:t>الأ</w:t>
      </w:r>
      <w:r w:rsidRPr="00AA537D">
        <w:rPr>
          <w:spacing w:val="0"/>
          <w:kern w:val="0"/>
          <w:rtl/>
        </w:rPr>
        <w:t xml:space="preserve">دلة </w:t>
      </w:r>
      <w:r w:rsidRPr="00AA537D">
        <w:rPr>
          <w:rFonts w:hint="cs"/>
          <w:spacing w:val="0"/>
          <w:kern w:val="0"/>
          <w:rtl/>
        </w:rPr>
        <w:t xml:space="preserve">المقدمة من </w:t>
      </w:r>
      <w:r w:rsidRPr="00AA537D">
        <w:rPr>
          <w:spacing w:val="0"/>
          <w:kern w:val="0"/>
          <w:rtl/>
        </w:rPr>
        <w:t xml:space="preserve">صاحب الشكوى </w:t>
      </w:r>
      <w:r w:rsidRPr="00AA537D">
        <w:rPr>
          <w:rFonts w:hint="cs"/>
          <w:spacing w:val="0"/>
          <w:kern w:val="0"/>
          <w:rtl/>
        </w:rPr>
        <w:t>على أساس أنها "</w:t>
      </w:r>
      <w:r w:rsidRPr="00AA537D">
        <w:rPr>
          <w:spacing w:val="0"/>
          <w:kern w:val="0"/>
          <w:rtl/>
        </w:rPr>
        <w:t>غير متسقة</w:t>
      </w:r>
      <w:r w:rsidRPr="00AA537D">
        <w:rPr>
          <w:rFonts w:hint="cs"/>
          <w:spacing w:val="0"/>
          <w:kern w:val="0"/>
          <w:rtl/>
        </w:rPr>
        <w:t xml:space="preserve">" </w:t>
      </w:r>
      <w:r w:rsidRPr="00AA537D">
        <w:rPr>
          <w:spacing w:val="0"/>
          <w:kern w:val="0"/>
          <w:rtl/>
        </w:rPr>
        <w:t xml:space="preserve">أو </w:t>
      </w:r>
      <w:r w:rsidRPr="00AA537D">
        <w:rPr>
          <w:rFonts w:hint="cs"/>
          <w:spacing w:val="0"/>
          <w:kern w:val="0"/>
          <w:rtl/>
        </w:rPr>
        <w:t>أنها أدلي بها "</w:t>
      </w:r>
      <w:r w:rsidRPr="00AA537D">
        <w:rPr>
          <w:spacing w:val="0"/>
          <w:kern w:val="0"/>
          <w:rtl/>
        </w:rPr>
        <w:t xml:space="preserve">في </w:t>
      </w:r>
      <w:r w:rsidRPr="00AA537D">
        <w:rPr>
          <w:rFonts w:hint="cs"/>
          <w:spacing w:val="0"/>
          <w:kern w:val="0"/>
          <w:rtl/>
        </w:rPr>
        <w:t>ثورة</w:t>
      </w:r>
      <w:r w:rsidRPr="00AA537D">
        <w:rPr>
          <w:spacing w:val="0"/>
          <w:kern w:val="0"/>
          <w:rtl/>
        </w:rPr>
        <w:t xml:space="preserve"> غضب</w:t>
      </w:r>
      <w:r w:rsidRPr="00AA537D">
        <w:rPr>
          <w:rFonts w:hint="cs"/>
          <w:spacing w:val="0"/>
          <w:kern w:val="0"/>
          <w:rtl/>
        </w:rPr>
        <w:t>"</w:t>
      </w:r>
      <w:r w:rsidRPr="00AA537D">
        <w:rPr>
          <w:spacing w:val="0"/>
          <w:kern w:val="0"/>
          <w:rtl/>
        </w:rPr>
        <w:t xml:space="preserve"> أو </w:t>
      </w:r>
      <w:r w:rsidRPr="00AA537D">
        <w:rPr>
          <w:rFonts w:hint="cs"/>
          <w:spacing w:val="0"/>
          <w:kern w:val="0"/>
          <w:rtl/>
        </w:rPr>
        <w:t>"</w:t>
      </w:r>
      <w:r w:rsidRPr="00AA537D">
        <w:rPr>
          <w:spacing w:val="0"/>
          <w:kern w:val="0"/>
          <w:rtl/>
        </w:rPr>
        <w:t>في حالة عصبية</w:t>
      </w:r>
      <w:r w:rsidRPr="00AA537D">
        <w:rPr>
          <w:rFonts w:hint="cs"/>
          <w:spacing w:val="0"/>
          <w:kern w:val="0"/>
          <w:rtl/>
        </w:rPr>
        <w:t>"</w:t>
      </w:r>
      <w:r w:rsidRPr="00AA537D">
        <w:rPr>
          <w:spacing w:val="0"/>
          <w:kern w:val="0"/>
          <w:rtl/>
        </w:rPr>
        <w:t xml:space="preserve">. </w:t>
      </w:r>
    </w:p>
    <w:p w:rsidR="00FA6676" w:rsidRPr="00AA537D" w:rsidRDefault="00FA6676" w:rsidP="00AA537D">
      <w:pPr>
        <w:pStyle w:val="SingleTxtGA"/>
        <w:jc w:val="lowKashida"/>
        <w:rPr>
          <w:rFonts w:hint="cs"/>
          <w:spacing w:val="0"/>
          <w:kern w:val="0"/>
          <w:rtl/>
        </w:rPr>
      </w:pPr>
      <w:r w:rsidRPr="00AA537D">
        <w:rPr>
          <w:rFonts w:hint="cs"/>
          <w:spacing w:val="0"/>
          <w:kern w:val="0"/>
          <w:rtl/>
          <w:lang/>
        </w:rPr>
        <w:t>8-8</w:t>
      </w:r>
      <w:r w:rsidRPr="00AA537D">
        <w:rPr>
          <w:rFonts w:hint="cs"/>
          <w:spacing w:val="0"/>
          <w:kern w:val="0"/>
          <w:rtl/>
          <w:lang/>
        </w:rPr>
        <w:tab/>
        <w:t xml:space="preserve">ومن </w:t>
      </w:r>
      <w:r w:rsidRPr="00AA537D">
        <w:rPr>
          <w:spacing w:val="0"/>
          <w:kern w:val="0"/>
          <w:rtl/>
        </w:rPr>
        <w:t xml:space="preserve">الجدير بالذكر أن التقييم </w:t>
      </w:r>
      <w:r w:rsidRPr="00AA537D">
        <w:rPr>
          <w:rFonts w:hint="cs"/>
          <w:spacing w:val="0"/>
          <w:kern w:val="0"/>
          <w:rtl/>
        </w:rPr>
        <w:t xml:space="preserve">الطبي </w:t>
      </w:r>
      <w:r w:rsidRPr="00AA537D">
        <w:rPr>
          <w:spacing w:val="0"/>
          <w:kern w:val="0"/>
          <w:rtl/>
        </w:rPr>
        <w:t>النفس</w:t>
      </w:r>
      <w:r w:rsidRPr="00AA537D">
        <w:rPr>
          <w:rFonts w:hint="cs"/>
          <w:spacing w:val="0"/>
          <w:kern w:val="0"/>
          <w:rtl/>
        </w:rPr>
        <w:t xml:space="preserve">اني الذي أجري في </w:t>
      </w:r>
      <w:r w:rsidRPr="00AA537D">
        <w:rPr>
          <w:spacing w:val="0"/>
          <w:kern w:val="0"/>
          <w:rtl/>
        </w:rPr>
        <w:t>18</w:t>
      </w:r>
      <w:r w:rsidRPr="00AA537D">
        <w:rPr>
          <w:rFonts w:hint="cs"/>
          <w:spacing w:val="0"/>
          <w:kern w:val="0"/>
          <w:rtl/>
        </w:rPr>
        <w:t xml:space="preserve"> كانون الثاني/</w:t>
      </w:r>
      <w:r w:rsidRPr="00AA537D">
        <w:rPr>
          <w:spacing w:val="0"/>
          <w:kern w:val="0"/>
          <w:rtl/>
        </w:rPr>
        <w:t xml:space="preserve"> يناير 2011، </w:t>
      </w:r>
      <w:r w:rsidRPr="00AA537D">
        <w:rPr>
          <w:rFonts w:hint="cs"/>
          <w:spacing w:val="0"/>
          <w:kern w:val="0"/>
          <w:rtl/>
        </w:rPr>
        <w:t>من أجل "</w:t>
      </w:r>
      <w:r w:rsidRPr="00AA537D">
        <w:rPr>
          <w:spacing w:val="0"/>
          <w:kern w:val="0"/>
          <w:rtl/>
        </w:rPr>
        <w:t>إثبات الحالة ال</w:t>
      </w:r>
      <w:r w:rsidRPr="00AA537D">
        <w:rPr>
          <w:rFonts w:hint="cs"/>
          <w:spacing w:val="0"/>
          <w:kern w:val="0"/>
          <w:rtl/>
        </w:rPr>
        <w:t>عقلية</w:t>
      </w:r>
      <w:r w:rsidRPr="00AA537D">
        <w:rPr>
          <w:spacing w:val="0"/>
          <w:kern w:val="0"/>
          <w:rtl/>
        </w:rPr>
        <w:t xml:space="preserve"> للضحية، لوجود شك في قدرته على إدراك الظروف </w:t>
      </w:r>
      <w:r w:rsidRPr="00AA537D">
        <w:rPr>
          <w:rFonts w:hint="cs"/>
          <w:spacing w:val="0"/>
          <w:kern w:val="0"/>
          <w:rtl/>
        </w:rPr>
        <w:t>المتصلة ب</w:t>
      </w:r>
      <w:r w:rsidRPr="00AA537D">
        <w:rPr>
          <w:spacing w:val="0"/>
          <w:kern w:val="0"/>
          <w:rtl/>
        </w:rPr>
        <w:t>القضية بشكل صحيح</w:t>
      </w:r>
      <w:r w:rsidRPr="00AA537D">
        <w:rPr>
          <w:rFonts w:hint="cs"/>
          <w:spacing w:val="0"/>
          <w:kern w:val="0"/>
          <w:rtl/>
        </w:rPr>
        <w:t>"</w:t>
      </w:r>
      <w:r w:rsidRPr="00AA537D">
        <w:rPr>
          <w:spacing w:val="0"/>
          <w:kern w:val="0"/>
          <w:rtl/>
        </w:rPr>
        <w:t xml:space="preserve">، </w:t>
      </w:r>
      <w:r w:rsidRPr="00AA537D">
        <w:rPr>
          <w:rFonts w:hint="cs"/>
          <w:spacing w:val="0"/>
          <w:kern w:val="0"/>
          <w:rtl/>
        </w:rPr>
        <w:t xml:space="preserve">كان بغير إرادة </w:t>
      </w:r>
      <w:r w:rsidRPr="00AA537D">
        <w:rPr>
          <w:spacing w:val="0"/>
          <w:kern w:val="0"/>
          <w:rtl/>
        </w:rPr>
        <w:t xml:space="preserve">صاحب الشكوى. وعلاوة على ذلك، </w:t>
      </w:r>
      <w:r w:rsidRPr="00AA537D">
        <w:rPr>
          <w:rFonts w:hint="cs"/>
          <w:spacing w:val="0"/>
          <w:kern w:val="0"/>
          <w:rtl/>
        </w:rPr>
        <w:t xml:space="preserve">تشير </w:t>
      </w:r>
      <w:r w:rsidRPr="00AA537D">
        <w:rPr>
          <w:spacing w:val="0"/>
          <w:kern w:val="0"/>
          <w:rtl/>
        </w:rPr>
        <w:t>الدولة الطرف</w:t>
      </w:r>
      <w:r w:rsidRPr="00AA537D">
        <w:rPr>
          <w:rFonts w:hint="cs"/>
          <w:spacing w:val="0"/>
          <w:kern w:val="0"/>
          <w:rtl/>
        </w:rPr>
        <w:t xml:space="preserve"> إلى تقرير لل</w:t>
      </w:r>
      <w:r w:rsidRPr="00AA537D">
        <w:rPr>
          <w:spacing w:val="0"/>
          <w:kern w:val="0"/>
          <w:rtl/>
        </w:rPr>
        <w:t xml:space="preserve">صحة </w:t>
      </w:r>
      <w:r w:rsidRPr="00AA537D">
        <w:rPr>
          <w:rFonts w:hint="cs"/>
          <w:spacing w:val="0"/>
          <w:kern w:val="0"/>
          <w:rtl/>
        </w:rPr>
        <w:t>ال</w:t>
      </w:r>
      <w:r w:rsidRPr="00AA537D">
        <w:rPr>
          <w:spacing w:val="0"/>
          <w:kern w:val="0"/>
          <w:rtl/>
        </w:rPr>
        <w:t xml:space="preserve">عقلية </w:t>
      </w:r>
      <w:r w:rsidRPr="00AA537D">
        <w:rPr>
          <w:rFonts w:hint="cs"/>
          <w:spacing w:val="0"/>
          <w:kern w:val="0"/>
          <w:rtl/>
        </w:rPr>
        <w:t>صادر في ع</w:t>
      </w:r>
      <w:r w:rsidRPr="00AA537D">
        <w:rPr>
          <w:spacing w:val="0"/>
          <w:kern w:val="0"/>
          <w:rtl/>
        </w:rPr>
        <w:t xml:space="preserve">ام 1978 </w:t>
      </w:r>
      <w:r w:rsidRPr="00AA537D">
        <w:rPr>
          <w:rFonts w:hint="cs"/>
          <w:spacing w:val="0"/>
          <w:kern w:val="0"/>
          <w:rtl/>
        </w:rPr>
        <w:t xml:space="preserve">ولكنها لم تبين </w:t>
      </w:r>
      <w:r w:rsidRPr="00AA537D">
        <w:rPr>
          <w:spacing w:val="0"/>
          <w:kern w:val="0"/>
          <w:rtl/>
        </w:rPr>
        <w:t>صل</w:t>
      </w:r>
      <w:r w:rsidRPr="00AA537D">
        <w:rPr>
          <w:rFonts w:hint="cs"/>
          <w:spacing w:val="0"/>
          <w:kern w:val="0"/>
          <w:rtl/>
        </w:rPr>
        <w:t>ة</w:t>
      </w:r>
      <w:r w:rsidRPr="00AA537D">
        <w:rPr>
          <w:spacing w:val="0"/>
          <w:kern w:val="0"/>
          <w:rtl/>
        </w:rPr>
        <w:t xml:space="preserve"> هذ</w:t>
      </w:r>
      <w:r w:rsidRPr="00AA537D">
        <w:rPr>
          <w:rFonts w:hint="cs"/>
          <w:spacing w:val="0"/>
          <w:kern w:val="0"/>
          <w:rtl/>
        </w:rPr>
        <w:t>ا التقرير با</w:t>
      </w:r>
      <w:r w:rsidRPr="00AA537D">
        <w:rPr>
          <w:spacing w:val="0"/>
          <w:kern w:val="0"/>
          <w:rtl/>
        </w:rPr>
        <w:t xml:space="preserve">لشكوى. </w:t>
      </w:r>
      <w:r w:rsidRPr="00AA537D">
        <w:rPr>
          <w:rFonts w:hint="cs"/>
          <w:spacing w:val="0"/>
          <w:kern w:val="0"/>
          <w:rtl/>
        </w:rPr>
        <w:t xml:space="preserve">وعوضاً عن </w:t>
      </w:r>
      <w:r w:rsidRPr="00AA537D">
        <w:rPr>
          <w:spacing w:val="0"/>
          <w:kern w:val="0"/>
          <w:rtl/>
        </w:rPr>
        <w:t>استعراض الأدلة الطبية الواضحة التي ت</w:t>
      </w:r>
      <w:r w:rsidRPr="00AA537D">
        <w:rPr>
          <w:rFonts w:hint="cs"/>
          <w:spacing w:val="0"/>
          <w:kern w:val="0"/>
          <w:rtl/>
        </w:rPr>
        <w:t xml:space="preserve">ؤيد </w:t>
      </w:r>
      <w:r w:rsidRPr="00AA537D">
        <w:rPr>
          <w:spacing w:val="0"/>
          <w:kern w:val="0"/>
          <w:rtl/>
        </w:rPr>
        <w:t xml:space="preserve">الادعاءات المتعلقة بسوء المعاملة، </w:t>
      </w:r>
      <w:r w:rsidRPr="00AA537D">
        <w:rPr>
          <w:rFonts w:hint="cs"/>
          <w:spacing w:val="0"/>
          <w:kern w:val="0"/>
          <w:rtl/>
        </w:rPr>
        <w:t>ك</w:t>
      </w:r>
      <w:r w:rsidRPr="00AA537D">
        <w:rPr>
          <w:spacing w:val="0"/>
          <w:kern w:val="0"/>
          <w:rtl/>
        </w:rPr>
        <w:t xml:space="preserve">ان أول رد فعل من السلطات </w:t>
      </w:r>
      <w:r w:rsidRPr="00AA537D">
        <w:rPr>
          <w:rFonts w:hint="cs"/>
          <w:spacing w:val="0"/>
          <w:kern w:val="0"/>
          <w:rtl/>
        </w:rPr>
        <w:t xml:space="preserve">هو إجراء </w:t>
      </w:r>
      <w:r w:rsidRPr="00AA537D">
        <w:rPr>
          <w:spacing w:val="0"/>
          <w:kern w:val="0"/>
          <w:rtl/>
        </w:rPr>
        <w:t xml:space="preserve">تقييم </w:t>
      </w:r>
      <w:r w:rsidRPr="00AA537D">
        <w:rPr>
          <w:rFonts w:hint="cs"/>
          <w:spacing w:val="0"/>
          <w:kern w:val="0"/>
          <w:rtl/>
        </w:rPr>
        <w:t xml:space="preserve">طبي نفساني </w:t>
      </w:r>
      <w:r w:rsidRPr="00AA537D">
        <w:rPr>
          <w:spacing w:val="0"/>
          <w:kern w:val="0"/>
          <w:rtl/>
        </w:rPr>
        <w:t>إجباري</w:t>
      </w:r>
      <w:r w:rsidRPr="00AA537D">
        <w:rPr>
          <w:rFonts w:hint="cs"/>
          <w:spacing w:val="0"/>
          <w:kern w:val="0"/>
          <w:rtl/>
        </w:rPr>
        <w:t xml:space="preserve"> لصاحب الشكوى بهدف إثبات، كما هو واضح، </w:t>
      </w:r>
      <w:r w:rsidRPr="00AA537D">
        <w:rPr>
          <w:spacing w:val="0"/>
          <w:kern w:val="0"/>
          <w:rtl/>
        </w:rPr>
        <w:t>أنه مريض عقلياً.</w:t>
      </w:r>
    </w:p>
    <w:p w:rsidR="00FA6676" w:rsidRPr="00AA537D" w:rsidRDefault="00FA6676" w:rsidP="00602FFF">
      <w:pPr>
        <w:pStyle w:val="SingleTxtGA"/>
        <w:jc w:val="lowKashida"/>
        <w:rPr>
          <w:rFonts w:hint="cs"/>
          <w:spacing w:val="0"/>
          <w:kern w:val="0"/>
          <w:rtl/>
          <w:lang/>
        </w:rPr>
      </w:pPr>
      <w:r w:rsidRPr="00AA537D">
        <w:rPr>
          <w:rFonts w:hint="cs"/>
          <w:spacing w:val="0"/>
          <w:kern w:val="0"/>
          <w:rtl/>
          <w:lang/>
        </w:rPr>
        <w:t>8-9</w:t>
      </w:r>
      <w:r w:rsidRPr="00AA537D">
        <w:rPr>
          <w:rFonts w:hint="cs"/>
          <w:spacing w:val="0"/>
          <w:kern w:val="0"/>
          <w:rtl/>
          <w:lang/>
        </w:rPr>
        <w:tab/>
        <w:t xml:space="preserve">وانتهكت كازاخستان </w:t>
      </w:r>
      <w:r w:rsidRPr="00AA537D">
        <w:rPr>
          <w:spacing w:val="0"/>
          <w:kern w:val="0"/>
          <w:rtl/>
        </w:rPr>
        <w:t>التزاماتها بموجب الم</w:t>
      </w:r>
      <w:r w:rsidRPr="00AA537D">
        <w:rPr>
          <w:rFonts w:hint="cs"/>
          <w:spacing w:val="0"/>
          <w:kern w:val="0"/>
          <w:rtl/>
        </w:rPr>
        <w:t>و</w:t>
      </w:r>
      <w:r w:rsidRPr="00AA537D">
        <w:rPr>
          <w:spacing w:val="0"/>
          <w:kern w:val="0"/>
          <w:rtl/>
        </w:rPr>
        <w:t>اد 1 و</w:t>
      </w:r>
      <w:r w:rsidRPr="00AA537D">
        <w:rPr>
          <w:rFonts w:hint="cs"/>
          <w:spacing w:val="0"/>
          <w:kern w:val="0"/>
          <w:rtl/>
        </w:rPr>
        <w:t>2 و</w:t>
      </w:r>
      <w:r w:rsidRPr="00AA537D">
        <w:rPr>
          <w:spacing w:val="0"/>
          <w:kern w:val="0"/>
          <w:rtl/>
        </w:rPr>
        <w:t>12</w:t>
      </w:r>
      <w:r w:rsidRPr="00AA537D">
        <w:rPr>
          <w:rFonts w:hint="cs"/>
          <w:spacing w:val="0"/>
          <w:kern w:val="0"/>
          <w:rtl/>
        </w:rPr>
        <w:t xml:space="preserve"> و</w:t>
      </w:r>
      <w:r w:rsidRPr="00AA537D">
        <w:rPr>
          <w:spacing w:val="0"/>
          <w:kern w:val="0"/>
          <w:rtl/>
        </w:rPr>
        <w:t xml:space="preserve">13 و14 من الاتفاقية. </w:t>
      </w:r>
      <w:r w:rsidRPr="00AA537D">
        <w:rPr>
          <w:rFonts w:hint="cs"/>
          <w:spacing w:val="0"/>
          <w:kern w:val="0"/>
          <w:rtl/>
        </w:rPr>
        <w:t xml:space="preserve">وحفظ التحقيق المستَأنف الذي أجري </w:t>
      </w:r>
      <w:r w:rsidRPr="00AA537D">
        <w:rPr>
          <w:spacing w:val="0"/>
          <w:kern w:val="0"/>
          <w:rtl/>
        </w:rPr>
        <w:t xml:space="preserve">في كانون الأول/ديسمبر 2010 </w:t>
      </w:r>
      <w:r w:rsidRPr="00AA537D">
        <w:rPr>
          <w:rFonts w:hint="cs"/>
          <w:spacing w:val="0"/>
          <w:kern w:val="0"/>
          <w:rtl/>
        </w:rPr>
        <w:t xml:space="preserve">مرة أخرى في </w:t>
      </w:r>
      <w:r w:rsidRPr="00AA537D">
        <w:rPr>
          <w:spacing w:val="0"/>
          <w:kern w:val="0"/>
          <w:rtl/>
        </w:rPr>
        <w:t>شباط/فبراير</w:t>
      </w:r>
      <w:r w:rsidRPr="00AA537D">
        <w:rPr>
          <w:rFonts w:hint="cs"/>
          <w:spacing w:val="0"/>
          <w:kern w:val="0"/>
          <w:rtl/>
        </w:rPr>
        <w:t> </w:t>
      </w:r>
      <w:r w:rsidRPr="00AA537D">
        <w:rPr>
          <w:spacing w:val="0"/>
          <w:kern w:val="0"/>
          <w:rtl/>
        </w:rPr>
        <w:t xml:space="preserve">2011 دون إحراز </w:t>
      </w:r>
      <w:r w:rsidRPr="00AA537D">
        <w:rPr>
          <w:rFonts w:hint="cs"/>
          <w:spacing w:val="0"/>
          <w:kern w:val="0"/>
          <w:rtl/>
        </w:rPr>
        <w:t>ت</w:t>
      </w:r>
      <w:r w:rsidRPr="00AA537D">
        <w:rPr>
          <w:spacing w:val="0"/>
          <w:kern w:val="0"/>
          <w:rtl/>
        </w:rPr>
        <w:t>قدم ملموس</w:t>
      </w:r>
      <w:r w:rsidRPr="00AA537D">
        <w:rPr>
          <w:rFonts w:hint="cs"/>
          <w:spacing w:val="0"/>
          <w:kern w:val="0"/>
          <w:rtl/>
        </w:rPr>
        <w:t>،</w:t>
      </w:r>
      <w:r w:rsidRPr="00AA537D">
        <w:rPr>
          <w:spacing w:val="0"/>
          <w:kern w:val="0"/>
          <w:rtl/>
        </w:rPr>
        <w:t xml:space="preserve"> أو </w:t>
      </w:r>
      <w:r w:rsidRPr="00AA537D">
        <w:rPr>
          <w:rFonts w:hint="cs"/>
          <w:spacing w:val="0"/>
          <w:kern w:val="0"/>
          <w:rtl/>
        </w:rPr>
        <w:t>تحديد ال</w:t>
      </w:r>
      <w:r w:rsidRPr="00AA537D">
        <w:rPr>
          <w:spacing w:val="0"/>
          <w:kern w:val="0"/>
          <w:rtl/>
        </w:rPr>
        <w:t>مسؤولية</w:t>
      </w:r>
      <w:r w:rsidRPr="00AA537D">
        <w:rPr>
          <w:rFonts w:hint="cs"/>
          <w:spacing w:val="0"/>
          <w:kern w:val="0"/>
          <w:rtl/>
        </w:rPr>
        <w:t>، أو توفير سبيل انتصاف فعال لصاحب الشكوى</w:t>
      </w:r>
      <w:r w:rsidRPr="00AA537D">
        <w:rPr>
          <w:spacing w:val="0"/>
          <w:kern w:val="0"/>
          <w:rtl/>
        </w:rPr>
        <w:t xml:space="preserve">. </w:t>
      </w:r>
      <w:r w:rsidRPr="00AA537D">
        <w:rPr>
          <w:rFonts w:hint="cs"/>
          <w:spacing w:val="0"/>
          <w:kern w:val="0"/>
          <w:rtl/>
        </w:rPr>
        <w:t>و</w:t>
      </w:r>
      <w:r w:rsidRPr="00AA537D">
        <w:rPr>
          <w:spacing w:val="0"/>
          <w:kern w:val="0"/>
          <w:rtl/>
        </w:rPr>
        <w:t>ال</w:t>
      </w:r>
      <w:r w:rsidRPr="00AA537D">
        <w:rPr>
          <w:rFonts w:hint="cs"/>
          <w:spacing w:val="0"/>
          <w:kern w:val="0"/>
          <w:rtl/>
        </w:rPr>
        <w:t>تبرير</w:t>
      </w:r>
      <w:r w:rsidRPr="00AA537D">
        <w:rPr>
          <w:spacing w:val="0"/>
          <w:kern w:val="0"/>
          <w:rtl/>
        </w:rPr>
        <w:t xml:space="preserve"> الأول المقدم من الدولة الطرف ل</w:t>
      </w:r>
      <w:r w:rsidRPr="00AA537D">
        <w:rPr>
          <w:rFonts w:hint="cs"/>
          <w:spacing w:val="0"/>
          <w:kern w:val="0"/>
          <w:rtl/>
        </w:rPr>
        <w:t xml:space="preserve">حفظ </w:t>
      </w:r>
      <w:r w:rsidRPr="00AA537D">
        <w:rPr>
          <w:spacing w:val="0"/>
          <w:kern w:val="0"/>
          <w:rtl/>
        </w:rPr>
        <w:t xml:space="preserve">التحقيق </w:t>
      </w:r>
      <w:r w:rsidRPr="00AA537D">
        <w:rPr>
          <w:rFonts w:hint="cs"/>
          <w:spacing w:val="0"/>
          <w:kern w:val="0"/>
          <w:rtl/>
        </w:rPr>
        <w:t xml:space="preserve">المستَأنف </w:t>
      </w:r>
      <w:r w:rsidRPr="00AA537D">
        <w:rPr>
          <w:spacing w:val="0"/>
          <w:kern w:val="0"/>
          <w:rtl/>
        </w:rPr>
        <w:t xml:space="preserve">هو </w:t>
      </w:r>
      <w:r w:rsidRPr="00AA537D">
        <w:rPr>
          <w:rFonts w:hint="cs"/>
          <w:spacing w:val="0"/>
          <w:kern w:val="0"/>
          <w:rtl/>
        </w:rPr>
        <w:t xml:space="preserve">صعوبة </w:t>
      </w:r>
      <w:r w:rsidRPr="00AA537D">
        <w:rPr>
          <w:spacing w:val="0"/>
          <w:kern w:val="0"/>
          <w:rtl/>
        </w:rPr>
        <w:t xml:space="preserve">إثبات </w:t>
      </w:r>
      <w:r w:rsidRPr="00AA537D">
        <w:rPr>
          <w:rFonts w:hint="cs"/>
          <w:spacing w:val="0"/>
          <w:kern w:val="0"/>
          <w:rtl/>
        </w:rPr>
        <w:t xml:space="preserve">مسؤولية أفراد </w:t>
      </w:r>
      <w:r w:rsidRPr="00AA537D">
        <w:rPr>
          <w:spacing w:val="0"/>
          <w:kern w:val="0"/>
          <w:rtl/>
        </w:rPr>
        <w:t xml:space="preserve">الشرطة </w:t>
      </w:r>
      <w:r w:rsidRPr="00AA537D">
        <w:rPr>
          <w:rFonts w:hint="cs"/>
          <w:spacing w:val="0"/>
          <w:kern w:val="0"/>
          <w:rtl/>
        </w:rPr>
        <w:t>لمضي</w:t>
      </w:r>
      <w:r w:rsidRPr="00AA537D">
        <w:rPr>
          <w:spacing w:val="0"/>
          <w:kern w:val="0"/>
          <w:rtl/>
        </w:rPr>
        <w:t xml:space="preserve"> مدة </w:t>
      </w:r>
      <w:r w:rsidRPr="00AA537D">
        <w:rPr>
          <w:rFonts w:hint="cs"/>
          <w:spacing w:val="0"/>
          <w:kern w:val="0"/>
          <w:rtl/>
        </w:rPr>
        <w:t>طويلة على وقوع الإ</w:t>
      </w:r>
      <w:r w:rsidRPr="00AA537D">
        <w:rPr>
          <w:spacing w:val="0"/>
          <w:kern w:val="0"/>
          <w:rtl/>
        </w:rPr>
        <w:t xml:space="preserve">صابات </w:t>
      </w:r>
      <w:r w:rsidRPr="00AA537D">
        <w:rPr>
          <w:rFonts w:hint="cs"/>
          <w:spacing w:val="0"/>
          <w:kern w:val="0"/>
          <w:rtl/>
        </w:rPr>
        <w:t>ال</w:t>
      </w:r>
      <w:r w:rsidRPr="00AA537D">
        <w:rPr>
          <w:spacing w:val="0"/>
          <w:kern w:val="0"/>
          <w:rtl/>
        </w:rPr>
        <w:t>جسدية (</w:t>
      </w:r>
      <w:r w:rsidRPr="00AA537D">
        <w:rPr>
          <w:rFonts w:hint="cs"/>
          <w:spacing w:val="0"/>
          <w:kern w:val="0"/>
          <w:rtl/>
        </w:rPr>
        <w:t>ثلاث</w:t>
      </w:r>
      <w:r w:rsidR="00602FFF">
        <w:rPr>
          <w:rFonts w:hint="eastAsia"/>
          <w:spacing w:val="0"/>
          <w:kern w:val="0"/>
          <w:rtl/>
        </w:rPr>
        <w:t> </w:t>
      </w:r>
      <w:r w:rsidRPr="00AA537D">
        <w:rPr>
          <w:spacing w:val="0"/>
          <w:kern w:val="0"/>
          <w:rtl/>
        </w:rPr>
        <w:t>سنوات و</w:t>
      </w:r>
      <w:r w:rsidRPr="00AA537D">
        <w:rPr>
          <w:rFonts w:hint="cs"/>
          <w:spacing w:val="0"/>
          <w:kern w:val="0"/>
          <w:rtl/>
        </w:rPr>
        <w:t xml:space="preserve">ثمانية </w:t>
      </w:r>
      <w:r w:rsidRPr="00AA537D">
        <w:rPr>
          <w:spacing w:val="0"/>
          <w:kern w:val="0"/>
          <w:rtl/>
        </w:rPr>
        <w:t>أشهر</w:t>
      </w:r>
      <w:r w:rsidRPr="00AA537D">
        <w:rPr>
          <w:rFonts w:hint="cs"/>
          <w:spacing w:val="0"/>
          <w:kern w:val="0"/>
          <w:rtl/>
        </w:rPr>
        <w:t xml:space="preserve">)، </w:t>
      </w:r>
      <w:r w:rsidRPr="00AA537D">
        <w:rPr>
          <w:spacing w:val="0"/>
          <w:kern w:val="0"/>
          <w:rtl/>
        </w:rPr>
        <w:t>و</w:t>
      </w:r>
      <w:r w:rsidRPr="00AA537D">
        <w:rPr>
          <w:rFonts w:hint="cs"/>
          <w:spacing w:val="0"/>
          <w:kern w:val="0"/>
          <w:rtl/>
        </w:rPr>
        <w:t>ت</w:t>
      </w:r>
      <w:r w:rsidRPr="00AA537D">
        <w:rPr>
          <w:spacing w:val="0"/>
          <w:kern w:val="0"/>
          <w:rtl/>
        </w:rPr>
        <w:t xml:space="preserve">عترف </w:t>
      </w:r>
      <w:r w:rsidRPr="00AA537D">
        <w:rPr>
          <w:rFonts w:hint="cs"/>
          <w:spacing w:val="0"/>
          <w:kern w:val="0"/>
          <w:rtl/>
        </w:rPr>
        <w:t xml:space="preserve">الدولة الطرف </w:t>
      </w:r>
      <w:r w:rsidRPr="00AA537D">
        <w:rPr>
          <w:spacing w:val="0"/>
          <w:kern w:val="0"/>
          <w:rtl/>
        </w:rPr>
        <w:t>ب</w:t>
      </w:r>
      <w:r w:rsidRPr="00AA537D">
        <w:rPr>
          <w:rFonts w:hint="cs"/>
          <w:spacing w:val="0"/>
          <w:kern w:val="0"/>
          <w:rtl/>
        </w:rPr>
        <w:t xml:space="preserve">ذلك </w:t>
      </w:r>
      <w:r w:rsidRPr="00AA537D">
        <w:rPr>
          <w:spacing w:val="0"/>
          <w:kern w:val="0"/>
          <w:rtl/>
        </w:rPr>
        <w:t xml:space="preserve">أن التأخير كان له أثر مباشر على التحقيق. </w:t>
      </w:r>
      <w:r w:rsidRPr="00AA537D">
        <w:rPr>
          <w:rFonts w:hint="cs"/>
          <w:spacing w:val="0"/>
          <w:kern w:val="0"/>
          <w:rtl/>
        </w:rPr>
        <w:t>ولم</w:t>
      </w:r>
      <w:r w:rsidRPr="00AA537D">
        <w:rPr>
          <w:rFonts w:hint="eastAsia"/>
          <w:spacing w:val="0"/>
          <w:kern w:val="0"/>
          <w:rtl/>
        </w:rPr>
        <w:t> </w:t>
      </w:r>
      <w:r w:rsidRPr="00AA537D">
        <w:rPr>
          <w:rFonts w:hint="cs"/>
          <w:spacing w:val="0"/>
          <w:kern w:val="0"/>
          <w:rtl/>
        </w:rPr>
        <w:t xml:space="preserve">يستوف </w:t>
      </w:r>
      <w:r w:rsidRPr="00AA537D">
        <w:rPr>
          <w:spacing w:val="0"/>
          <w:kern w:val="0"/>
          <w:rtl/>
        </w:rPr>
        <w:t xml:space="preserve">التحقيق </w:t>
      </w:r>
      <w:r w:rsidRPr="00AA537D">
        <w:rPr>
          <w:rFonts w:hint="cs"/>
          <w:spacing w:val="0"/>
          <w:kern w:val="0"/>
          <w:rtl/>
        </w:rPr>
        <w:t>المستَأنف متطلبات النزاهة وا</w:t>
      </w:r>
      <w:r w:rsidRPr="00AA537D">
        <w:rPr>
          <w:spacing w:val="0"/>
          <w:kern w:val="0"/>
          <w:rtl/>
        </w:rPr>
        <w:t xml:space="preserve">لاستقلال. </w:t>
      </w:r>
      <w:r w:rsidRPr="00AA537D">
        <w:rPr>
          <w:rFonts w:hint="cs"/>
          <w:spacing w:val="0"/>
          <w:kern w:val="0"/>
          <w:rtl/>
        </w:rPr>
        <w:t xml:space="preserve">ومما يؤكد </w:t>
      </w:r>
      <w:r w:rsidRPr="00AA537D">
        <w:rPr>
          <w:spacing w:val="0"/>
          <w:kern w:val="0"/>
          <w:rtl/>
        </w:rPr>
        <w:t xml:space="preserve">طبيعته المتحيزة </w:t>
      </w:r>
      <w:r w:rsidRPr="00AA537D">
        <w:rPr>
          <w:rFonts w:hint="cs"/>
          <w:spacing w:val="0"/>
          <w:kern w:val="0"/>
          <w:rtl/>
        </w:rPr>
        <w:t xml:space="preserve">خضوع </w:t>
      </w:r>
      <w:r w:rsidRPr="00AA537D">
        <w:rPr>
          <w:spacing w:val="0"/>
          <w:kern w:val="0"/>
          <w:rtl/>
        </w:rPr>
        <w:t xml:space="preserve">صاحب الشكوى </w:t>
      </w:r>
      <w:r w:rsidRPr="00AA537D">
        <w:rPr>
          <w:rFonts w:hint="cs"/>
          <w:spacing w:val="0"/>
          <w:kern w:val="0"/>
          <w:rtl/>
        </w:rPr>
        <w:t xml:space="preserve">لاستجوابات متعددة بينما اكتفى </w:t>
      </w:r>
      <w:r w:rsidRPr="00AA537D">
        <w:rPr>
          <w:spacing w:val="0"/>
          <w:kern w:val="0"/>
          <w:rtl/>
        </w:rPr>
        <w:t>المحقق</w:t>
      </w:r>
      <w:r w:rsidRPr="00AA537D">
        <w:rPr>
          <w:rFonts w:hint="cs"/>
          <w:spacing w:val="0"/>
          <w:kern w:val="0"/>
          <w:rtl/>
        </w:rPr>
        <w:t>و</w:t>
      </w:r>
      <w:r w:rsidRPr="00AA537D">
        <w:rPr>
          <w:spacing w:val="0"/>
          <w:kern w:val="0"/>
          <w:rtl/>
        </w:rPr>
        <w:t>ن فورا</w:t>
      </w:r>
      <w:r w:rsidRPr="00AA537D">
        <w:rPr>
          <w:rFonts w:hint="cs"/>
          <w:spacing w:val="0"/>
          <w:kern w:val="0"/>
          <w:rtl/>
        </w:rPr>
        <w:t>ً</w:t>
      </w:r>
      <w:r w:rsidRPr="00AA537D">
        <w:rPr>
          <w:spacing w:val="0"/>
          <w:kern w:val="0"/>
          <w:rtl/>
        </w:rPr>
        <w:t xml:space="preserve"> </w:t>
      </w:r>
      <w:r w:rsidRPr="00AA537D">
        <w:rPr>
          <w:rFonts w:hint="cs"/>
          <w:spacing w:val="0"/>
          <w:kern w:val="0"/>
          <w:rtl/>
        </w:rPr>
        <w:t>بإن</w:t>
      </w:r>
      <w:r w:rsidRPr="00AA537D">
        <w:rPr>
          <w:spacing w:val="0"/>
          <w:kern w:val="0"/>
          <w:rtl/>
        </w:rPr>
        <w:t xml:space="preserve">كار </w:t>
      </w:r>
      <w:r w:rsidRPr="00AA537D">
        <w:rPr>
          <w:rFonts w:hint="cs"/>
          <w:spacing w:val="0"/>
          <w:kern w:val="0"/>
          <w:rtl/>
        </w:rPr>
        <w:t xml:space="preserve">أفراد الشرطة </w:t>
      </w:r>
      <w:r w:rsidRPr="00AA537D">
        <w:rPr>
          <w:spacing w:val="0"/>
          <w:kern w:val="0"/>
          <w:rtl/>
        </w:rPr>
        <w:t>الم</w:t>
      </w:r>
      <w:r w:rsidRPr="00AA537D">
        <w:rPr>
          <w:rFonts w:hint="cs"/>
          <w:spacing w:val="0"/>
          <w:kern w:val="0"/>
          <w:rtl/>
        </w:rPr>
        <w:t xml:space="preserve">شاركين </w:t>
      </w:r>
      <w:r w:rsidRPr="00AA537D">
        <w:rPr>
          <w:spacing w:val="0"/>
          <w:kern w:val="0"/>
          <w:rtl/>
        </w:rPr>
        <w:t>في الحادث.</w:t>
      </w:r>
    </w:p>
    <w:p w:rsidR="00FA6676" w:rsidRPr="00AA537D" w:rsidRDefault="00FA6676" w:rsidP="00602FFF">
      <w:pPr>
        <w:pStyle w:val="SingleTxtGA"/>
        <w:jc w:val="lowKashida"/>
        <w:rPr>
          <w:rFonts w:hint="cs"/>
          <w:spacing w:val="0"/>
          <w:kern w:val="0"/>
          <w:rtl/>
        </w:rPr>
      </w:pPr>
      <w:r w:rsidRPr="00AA537D">
        <w:rPr>
          <w:rFonts w:hint="cs"/>
          <w:spacing w:val="0"/>
          <w:kern w:val="0"/>
          <w:rtl/>
          <w:lang/>
        </w:rPr>
        <w:t>8-10</w:t>
      </w:r>
      <w:r w:rsidRPr="00AA537D">
        <w:rPr>
          <w:rFonts w:hint="cs"/>
          <w:spacing w:val="0"/>
          <w:kern w:val="0"/>
          <w:rtl/>
          <w:lang/>
        </w:rPr>
        <w:tab/>
        <w:t xml:space="preserve">ولم تحدد </w:t>
      </w:r>
      <w:r w:rsidRPr="00AA537D">
        <w:rPr>
          <w:spacing w:val="0"/>
          <w:kern w:val="0"/>
          <w:rtl/>
        </w:rPr>
        <w:t xml:space="preserve">الدولة الطرف </w:t>
      </w:r>
      <w:r w:rsidRPr="00AA537D">
        <w:rPr>
          <w:rFonts w:hint="cs"/>
          <w:spacing w:val="0"/>
          <w:kern w:val="0"/>
          <w:rtl/>
        </w:rPr>
        <w:t>المسؤولية عن التع</w:t>
      </w:r>
      <w:r w:rsidRPr="00AA537D">
        <w:rPr>
          <w:spacing w:val="0"/>
          <w:kern w:val="0"/>
          <w:rtl/>
        </w:rPr>
        <w:t xml:space="preserve">ذيب </w:t>
      </w:r>
      <w:r w:rsidRPr="00AA537D">
        <w:rPr>
          <w:rFonts w:hint="cs"/>
          <w:spacing w:val="0"/>
          <w:kern w:val="0"/>
          <w:rtl/>
        </w:rPr>
        <w:t xml:space="preserve">الذي تعرض له </w:t>
      </w:r>
      <w:r w:rsidRPr="00AA537D">
        <w:rPr>
          <w:spacing w:val="0"/>
          <w:kern w:val="0"/>
          <w:rtl/>
        </w:rPr>
        <w:t>صاحب الشكوى</w:t>
      </w:r>
      <w:r w:rsidRPr="00AA537D">
        <w:rPr>
          <w:rFonts w:hint="cs"/>
          <w:spacing w:val="0"/>
          <w:kern w:val="0"/>
          <w:rtl/>
        </w:rPr>
        <w:t>،</w:t>
      </w:r>
      <w:r w:rsidRPr="00AA537D">
        <w:rPr>
          <w:spacing w:val="0"/>
          <w:kern w:val="0"/>
          <w:rtl/>
        </w:rPr>
        <w:t xml:space="preserve"> </w:t>
      </w:r>
      <w:r w:rsidRPr="00AA537D">
        <w:rPr>
          <w:rFonts w:hint="cs"/>
          <w:spacing w:val="0"/>
          <w:kern w:val="0"/>
          <w:rtl/>
        </w:rPr>
        <w:t xml:space="preserve">ولم </w:t>
      </w:r>
      <w:r w:rsidRPr="00AA537D">
        <w:rPr>
          <w:spacing w:val="0"/>
          <w:kern w:val="0"/>
          <w:rtl/>
        </w:rPr>
        <w:t>توفر إمكانية الوصول إلى سبل انتصاف فعالة، بما في ذلك ا</w:t>
      </w:r>
      <w:r w:rsidRPr="00AA537D">
        <w:rPr>
          <w:rFonts w:hint="cs"/>
          <w:spacing w:val="0"/>
          <w:kern w:val="0"/>
          <w:rtl/>
        </w:rPr>
        <w:t xml:space="preserve">لتعويض </w:t>
      </w:r>
      <w:r w:rsidRPr="00AA537D">
        <w:rPr>
          <w:spacing w:val="0"/>
          <w:kern w:val="0"/>
          <w:rtl/>
        </w:rPr>
        <w:t>و</w:t>
      </w:r>
      <w:r w:rsidRPr="00AA537D">
        <w:rPr>
          <w:rFonts w:hint="cs"/>
          <w:spacing w:val="0"/>
          <w:kern w:val="0"/>
          <w:rtl/>
        </w:rPr>
        <w:t>رد الاعتبار و</w:t>
      </w:r>
      <w:r w:rsidRPr="00AA537D">
        <w:rPr>
          <w:spacing w:val="0"/>
          <w:kern w:val="0"/>
          <w:rtl/>
        </w:rPr>
        <w:t xml:space="preserve">إعادة التأهيل </w:t>
      </w:r>
      <w:r w:rsidRPr="00AA537D">
        <w:rPr>
          <w:rFonts w:hint="cs"/>
          <w:spacing w:val="0"/>
          <w:kern w:val="0"/>
          <w:rtl/>
        </w:rPr>
        <w:t xml:space="preserve">المناسب جراء التعرض </w:t>
      </w:r>
      <w:r w:rsidRPr="00AA537D">
        <w:rPr>
          <w:spacing w:val="0"/>
          <w:kern w:val="0"/>
          <w:rtl/>
        </w:rPr>
        <w:t>للتعذيب، خلافا للم</w:t>
      </w:r>
      <w:r w:rsidRPr="00AA537D">
        <w:rPr>
          <w:rFonts w:hint="cs"/>
          <w:spacing w:val="0"/>
          <w:kern w:val="0"/>
          <w:rtl/>
        </w:rPr>
        <w:t>و</w:t>
      </w:r>
      <w:r w:rsidRPr="00AA537D">
        <w:rPr>
          <w:spacing w:val="0"/>
          <w:kern w:val="0"/>
          <w:rtl/>
        </w:rPr>
        <w:t xml:space="preserve">اد 12 و13 و14 من الاتفاقية. </w:t>
      </w:r>
      <w:r w:rsidRPr="00AA537D">
        <w:rPr>
          <w:rFonts w:hint="cs"/>
          <w:spacing w:val="0"/>
          <w:kern w:val="0"/>
          <w:rtl/>
        </w:rPr>
        <w:t>ولم</w:t>
      </w:r>
      <w:r w:rsidR="00602FFF">
        <w:rPr>
          <w:rFonts w:hint="eastAsia"/>
          <w:spacing w:val="0"/>
          <w:kern w:val="0"/>
          <w:rtl/>
        </w:rPr>
        <w:t> </w:t>
      </w:r>
      <w:r w:rsidRPr="00AA537D">
        <w:rPr>
          <w:rFonts w:hint="cs"/>
          <w:spacing w:val="0"/>
          <w:kern w:val="0"/>
          <w:rtl/>
        </w:rPr>
        <w:t xml:space="preserve">تعالج </w:t>
      </w:r>
      <w:r w:rsidRPr="00AA537D">
        <w:rPr>
          <w:spacing w:val="0"/>
          <w:kern w:val="0"/>
          <w:rtl/>
        </w:rPr>
        <w:t xml:space="preserve">الدولة الطرف عدم توفير </w:t>
      </w:r>
      <w:r w:rsidRPr="00AA537D">
        <w:rPr>
          <w:rFonts w:hint="cs"/>
          <w:spacing w:val="0"/>
          <w:kern w:val="0"/>
          <w:rtl/>
        </w:rPr>
        <w:t xml:space="preserve">سبل انتصاف فعالة وإنما أكدت </w:t>
      </w:r>
      <w:r w:rsidRPr="00AA537D">
        <w:rPr>
          <w:spacing w:val="0"/>
          <w:kern w:val="0"/>
          <w:rtl/>
        </w:rPr>
        <w:t xml:space="preserve">أن صاحب الشكوى </w:t>
      </w:r>
      <w:r w:rsidRPr="00AA537D">
        <w:rPr>
          <w:rFonts w:hint="cs"/>
          <w:spacing w:val="0"/>
          <w:kern w:val="0"/>
          <w:rtl/>
        </w:rPr>
        <w:t xml:space="preserve">لا يمكنه </w:t>
      </w:r>
      <w:r w:rsidRPr="00AA537D">
        <w:rPr>
          <w:spacing w:val="0"/>
          <w:kern w:val="0"/>
          <w:rtl/>
        </w:rPr>
        <w:t>الحصول على ال</w:t>
      </w:r>
      <w:r w:rsidRPr="00AA537D">
        <w:rPr>
          <w:rFonts w:hint="cs"/>
          <w:spacing w:val="0"/>
          <w:kern w:val="0"/>
          <w:rtl/>
        </w:rPr>
        <w:t>جبر</w:t>
      </w:r>
      <w:r w:rsidRPr="00AA537D">
        <w:rPr>
          <w:spacing w:val="0"/>
          <w:kern w:val="0"/>
          <w:rtl/>
        </w:rPr>
        <w:t xml:space="preserve"> أو التعويض عن </w:t>
      </w:r>
      <w:r w:rsidRPr="00AA537D">
        <w:rPr>
          <w:rFonts w:hint="cs"/>
          <w:spacing w:val="0"/>
          <w:kern w:val="0"/>
          <w:rtl/>
        </w:rPr>
        <w:t>ا</w:t>
      </w:r>
      <w:r w:rsidRPr="00AA537D">
        <w:rPr>
          <w:spacing w:val="0"/>
          <w:kern w:val="0"/>
          <w:rtl/>
        </w:rPr>
        <w:t>لتعذيب</w:t>
      </w:r>
      <w:r w:rsidRPr="00AA537D">
        <w:rPr>
          <w:rFonts w:hint="cs"/>
          <w:spacing w:val="0"/>
          <w:kern w:val="0"/>
          <w:rtl/>
        </w:rPr>
        <w:t xml:space="preserve"> الذي تعرض له</w:t>
      </w:r>
      <w:r w:rsidRPr="00AA537D">
        <w:rPr>
          <w:spacing w:val="0"/>
          <w:kern w:val="0"/>
          <w:rtl/>
        </w:rPr>
        <w:t xml:space="preserve"> ل</w:t>
      </w:r>
      <w:r w:rsidRPr="00AA537D">
        <w:rPr>
          <w:rFonts w:hint="cs"/>
          <w:spacing w:val="0"/>
          <w:kern w:val="0"/>
          <w:rtl/>
        </w:rPr>
        <w:t xml:space="preserve">عدم محاكمة </w:t>
      </w:r>
      <w:r w:rsidRPr="00AA537D">
        <w:rPr>
          <w:spacing w:val="0"/>
          <w:kern w:val="0"/>
          <w:rtl/>
        </w:rPr>
        <w:t xml:space="preserve">أحد </w:t>
      </w:r>
      <w:r w:rsidRPr="00AA537D">
        <w:rPr>
          <w:rFonts w:hint="cs"/>
          <w:spacing w:val="0"/>
          <w:kern w:val="0"/>
          <w:rtl/>
        </w:rPr>
        <w:t>وإدانته لارتكابه هذه الجريمة</w:t>
      </w:r>
      <w:r w:rsidRPr="00AA537D">
        <w:rPr>
          <w:spacing w:val="0"/>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lang/>
        </w:rPr>
        <w:t>8-11</w:t>
      </w:r>
      <w:r w:rsidRPr="00AA537D">
        <w:rPr>
          <w:spacing w:val="0"/>
          <w:kern w:val="0"/>
          <w:lang/>
        </w:rPr>
        <w:tab/>
      </w:r>
      <w:r w:rsidRPr="00AA537D">
        <w:rPr>
          <w:rFonts w:hint="cs"/>
          <w:spacing w:val="0"/>
          <w:kern w:val="0"/>
          <w:rtl/>
        </w:rPr>
        <w:t xml:space="preserve">وقد سعت </w:t>
      </w:r>
      <w:r w:rsidRPr="00AA537D">
        <w:rPr>
          <w:spacing w:val="0"/>
          <w:kern w:val="0"/>
          <w:rtl/>
        </w:rPr>
        <w:t xml:space="preserve">الدولة الطرف إلى تخويف صاحب الشكوى </w:t>
      </w:r>
      <w:r w:rsidRPr="00AA537D">
        <w:rPr>
          <w:rFonts w:hint="cs"/>
          <w:spacing w:val="0"/>
          <w:kern w:val="0"/>
          <w:rtl/>
        </w:rPr>
        <w:t xml:space="preserve">لسحب </w:t>
      </w:r>
      <w:r w:rsidRPr="00AA537D">
        <w:rPr>
          <w:spacing w:val="0"/>
          <w:kern w:val="0"/>
          <w:rtl/>
        </w:rPr>
        <w:t xml:space="preserve">شكواه </w:t>
      </w:r>
      <w:r w:rsidRPr="00AA537D">
        <w:rPr>
          <w:rFonts w:hint="cs"/>
          <w:spacing w:val="0"/>
          <w:kern w:val="0"/>
          <w:rtl/>
        </w:rPr>
        <w:t>عن طريق إ</w:t>
      </w:r>
      <w:r w:rsidRPr="00AA537D">
        <w:rPr>
          <w:spacing w:val="0"/>
          <w:kern w:val="0"/>
          <w:rtl/>
        </w:rPr>
        <w:t xml:space="preserve">رغامه على الخضوع لفحص </w:t>
      </w:r>
      <w:r w:rsidRPr="00AA537D">
        <w:rPr>
          <w:rFonts w:hint="cs"/>
          <w:spacing w:val="0"/>
          <w:kern w:val="0"/>
          <w:rtl/>
        </w:rPr>
        <w:t xml:space="preserve">طبي </w:t>
      </w:r>
      <w:r w:rsidRPr="00AA537D">
        <w:rPr>
          <w:spacing w:val="0"/>
          <w:kern w:val="0"/>
          <w:rtl/>
        </w:rPr>
        <w:t xml:space="preserve">نفساني، </w:t>
      </w:r>
      <w:r w:rsidRPr="00AA537D">
        <w:rPr>
          <w:rFonts w:hint="cs"/>
          <w:spacing w:val="0"/>
          <w:kern w:val="0"/>
          <w:rtl/>
        </w:rPr>
        <w:t>و</w:t>
      </w:r>
      <w:r w:rsidRPr="00AA537D">
        <w:rPr>
          <w:spacing w:val="0"/>
          <w:kern w:val="0"/>
          <w:rtl/>
        </w:rPr>
        <w:t xml:space="preserve">تشجيع عائلته </w:t>
      </w:r>
      <w:r w:rsidRPr="00AA537D">
        <w:rPr>
          <w:rFonts w:hint="cs"/>
          <w:spacing w:val="0"/>
          <w:kern w:val="0"/>
          <w:rtl/>
        </w:rPr>
        <w:t>على ا</w:t>
      </w:r>
      <w:r w:rsidRPr="00AA537D">
        <w:rPr>
          <w:spacing w:val="0"/>
          <w:kern w:val="0"/>
          <w:rtl/>
        </w:rPr>
        <w:t xml:space="preserve">لضغط عليه </w:t>
      </w:r>
      <w:r w:rsidRPr="00AA537D">
        <w:rPr>
          <w:rFonts w:hint="cs"/>
          <w:spacing w:val="0"/>
          <w:kern w:val="0"/>
          <w:rtl/>
        </w:rPr>
        <w:t xml:space="preserve">للتنازل عن </w:t>
      </w:r>
      <w:r w:rsidRPr="00AA537D">
        <w:rPr>
          <w:spacing w:val="0"/>
          <w:kern w:val="0"/>
          <w:rtl/>
        </w:rPr>
        <w:t>الدعوى</w:t>
      </w:r>
      <w:r w:rsidRPr="00AA537D">
        <w:rPr>
          <w:rFonts w:hint="cs"/>
          <w:spacing w:val="0"/>
          <w:kern w:val="0"/>
          <w:rtl/>
        </w:rPr>
        <w:t>،</w:t>
      </w:r>
      <w:r w:rsidRPr="00AA537D">
        <w:rPr>
          <w:spacing w:val="0"/>
          <w:kern w:val="0"/>
          <w:rtl/>
        </w:rPr>
        <w:t xml:space="preserve"> و</w:t>
      </w:r>
      <w:r w:rsidRPr="00AA537D">
        <w:rPr>
          <w:rFonts w:hint="cs"/>
          <w:spacing w:val="0"/>
          <w:kern w:val="0"/>
          <w:rtl/>
        </w:rPr>
        <w:t xml:space="preserve">استجوابه </w:t>
      </w:r>
      <w:r w:rsidRPr="00AA537D">
        <w:rPr>
          <w:spacing w:val="0"/>
          <w:kern w:val="0"/>
          <w:rtl/>
        </w:rPr>
        <w:t>مرارا</w:t>
      </w:r>
      <w:r w:rsidRPr="00AA537D">
        <w:rPr>
          <w:rFonts w:hint="cs"/>
          <w:spacing w:val="0"/>
          <w:kern w:val="0"/>
          <w:rtl/>
        </w:rPr>
        <w:t>ً، دون حضور مح</w:t>
      </w:r>
      <w:r w:rsidRPr="00AA537D">
        <w:rPr>
          <w:spacing w:val="0"/>
          <w:kern w:val="0"/>
          <w:rtl/>
        </w:rPr>
        <w:t>ام</w:t>
      </w:r>
      <w:r w:rsidRPr="00AA537D">
        <w:rPr>
          <w:rFonts w:hint="cs"/>
          <w:spacing w:val="0"/>
          <w:kern w:val="0"/>
          <w:rtl/>
        </w:rPr>
        <w:t>ٍ</w:t>
      </w:r>
      <w:r w:rsidRPr="00AA537D">
        <w:rPr>
          <w:spacing w:val="0"/>
          <w:kern w:val="0"/>
          <w:rtl/>
        </w:rPr>
        <w:t xml:space="preserve">، </w:t>
      </w:r>
      <w:r w:rsidRPr="00AA537D">
        <w:rPr>
          <w:rFonts w:hint="cs"/>
          <w:spacing w:val="0"/>
          <w:kern w:val="0"/>
          <w:rtl/>
        </w:rPr>
        <w:t xml:space="preserve">إلى أن تمكنت </w:t>
      </w:r>
      <w:r w:rsidRPr="00AA537D">
        <w:rPr>
          <w:spacing w:val="0"/>
          <w:kern w:val="0"/>
          <w:rtl/>
        </w:rPr>
        <w:t xml:space="preserve">الشرطة من الحصول على </w:t>
      </w:r>
      <w:r w:rsidRPr="00AA537D">
        <w:rPr>
          <w:rFonts w:hint="cs"/>
          <w:spacing w:val="0"/>
          <w:kern w:val="0"/>
          <w:rtl/>
        </w:rPr>
        <w:t xml:space="preserve">إقرار </w:t>
      </w:r>
      <w:r w:rsidRPr="00AA537D">
        <w:rPr>
          <w:spacing w:val="0"/>
          <w:kern w:val="0"/>
          <w:rtl/>
        </w:rPr>
        <w:t xml:space="preserve">قصير منه </w:t>
      </w:r>
      <w:r w:rsidRPr="00AA537D">
        <w:rPr>
          <w:rFonts w:hint="cs"/>
          <w:spacing w:val="0"/>
          <w:kern w:val="0"/>
          <w:rtl/>
        </w:rPr>
        <w:t>ب</w:t>
      </w:r>
      <w:r w:rsidRPr="00AA537D">
        <w:rPr>
          <w:spacing w:val="0"/>
          <w:kern w:val="0"/>
          <w:rtl/>
        </w:rPr>
        <w:t>رفض</w:t>
      </w:r>
      <w:r w:rsidRPr="00AA537D">
        <w:rPr>
          <w:rFonts w:hint="cs"/>
          <w:spacing w:val="0"/>
          <w:kern w:val="0"/>
          <w:rtl/>
        </w:rPr>
        <w:t>ه</w:t>
      </w:r>
      <w:r w:rsidRPr="00AA537D">
        <w:rPr>
          <w:spacing w:val="0"/>
          <w:kern w:val="0"/>
          <w:rtl/>
        </w:rPr>
        <w:t xml:space="preserve"> الإدلاء بمزيد</w:t>
      </w:r>
      <w:r w:rsidRPr="00AA537D">
        <w:rPr>
          <w:rFonts w:hint="cs"/>
          <w:spacing w:val="0"/>
          <w:kern w:val="0"/>
          <w:rtl/>
        </w:rPr>
        <w:t xml:space="preserve"> من الأقوال</w:t>
      </w:r>
      <w:r w:rsidRPr="00AA537D">
        <w:rPr>
          <w:spacing w:val="0"/>
          <w:kern w:val="0"/>
          <w:rtl/>
        </w:rPr>
        <w:t xml:space="preserve">. وبالنظر إلى </w:t>
      </w:r>
      <w:r w:rsidRPr="00AA537D">
        <w:rPr>
          <w:rFonts w:hint="cs"/>
          <w:spacing w:val="0"/>
          <w:kern w:val="0"/>
          <w:rtl/>
        </w:rPr>
        <w:t>أعمال</w:t>
      </w:r>
      <w:r w:rsidRPr="00AA537D">
        <w:rPr>
          <w:spacing w:val="0"/>
          <w:kern w:val="0"/>
          <w:rtl/>
        </w:rPr>
        <w:t xml:space="preserve"> التخويف ضد صاحب الشكوى، ينبغي أن ت</w:t>
      </w:r>
      <w:r w:rsidRPr="00AA537D">
        <w:rPr>
          <w:rFonts w:hint="cs"/>
          <w:spacing w:val="0"/>
          <w:kern w:val="0"/>
          <w:rtl/>
        </w:rPr>
        <w:t>خلص</w:t>
      </w:r>
      <w:r w:rsidRPr="00AA537D">
        <w:rPr>
          <w:spacing w:val="0"/>
          <w:kern w:val="0"/>
          <w:rtl/>
        </w:rPr>
        <w:t xml:space="preserve"> اللجنة </w:t>
      </w:r>
      <w:r w:rsidRPr="00AA537D">
        <w:rPr>
          <w:rFonts w:hint="cs"/>
          <w:spacing w:val="0"/>
          <w:kern w:val="0"/>
          <w:rtl/>
        </w:rPr>
        <w:t>إلى عدم الوفاء ب</w:t>
      </w:r>
      <w:r w:rsidRPr="00AA537D">
        <w:rPr>
          <w:spacing w:val="0"/>
          <w:kern w:val="0"/>
          <w:rtl/>
        </w:rPr>
        <w:t xml:space="preserve">واجب حماية </w:t>
      </w:r>
      <w:r w:rsidRPr="00AA537D">
        <w:rPr>
          <w:rFonts w:hint="cs"/>
          <w:spacing w:val="0"/>
          <w:kern w:val="0"/>
          <w:rtl/>
        </w:rPr>
        <w:t xml:space="preserve">المشتكين </w:t>
      </w:r>
      <w:r w:rsidRPr="00AA537D">
        <w:rPr>
          <w:spacing w:val="0"/>
          <w:kern w:val="0"/>
          <w:rtl/>
        </w:rPr>
        <w:t xml:space="preserve">من </w:t>
      </w:r>
      <w:r w:rsidRPr="00AA537D">
        <w:rPr>
          <w:rFonts w:hint="cs"/>
          <w:spacing w:val="0"/>
          <w:kern w:val="0"/>
          <w:rtl/>
        </w:rPr>
        <w:t xml:space="preserve">أعمال </w:t>
      </w:r>
      <w:r w:rsidRPr="00AA537D">
        <w:rPr>
          <w:spacing w:val="0"/>
          <w:kern w:val="0"/>
          <w:rtl/>
        </w:rPr>
        <w:t xml:space="preserve">التخويف (المادة 13) وتفعيل حق </w:t>
      </w:r>
      <w:r w:rsidRPr="00AA537D">
        <w:rPr>
          <w:rFonts w:hint="cs"/>
          <w:spacing w:val="0"/>
          <w:kern w:val="0"/>
          <w:rtl/>
        </w:rPr>
        <w:t xml:space="preserve">الأفراد </w:t>
      </w:r>
      <w:r w:rsidRPr="00AA537D">
        <w:rPr>
          <w:spacing w:val="0"/>
          <w:kern w:val="0"/>
          <w:rtl/>
        </w:rPr>
        <w:t xml:space="preserve">في </w:t>
      </w:r>
      <w:r w:rsidRPr="00AA537D">
        <w:rPr>
          <w:rFonts w:hint="cs"/>
          <w:spacing w:val="0"/>
          <w:kern w:val="0"/>
          <w:rtl/>
        </w:rPr>
        <w:t>التظلم</w:t>
      </w:r>
      <w:r w:rsidRPr="00AA537D">
        <w:rPr>
          <w:spacing w:val="0"/>
          <w:kern w:val="0"/>
          <w:rtl/>
        </w:rPr>
        <w:t xml:space="preserve"> (المادة 22).</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الملاحظات الإضافية للدولة الطرف</w:t>
      </w:r>
    </w:p>
    <w:p w:rsidR="00FA6676" w:rsidRPr="00AA537D" w:rsidRDefault="00FA6676" w:rsidP="00AB031D">
      <w:pPr>
        <w:pStyle w:val="SingleTxtGA"/>
        <w:jc w:val="lowKashida"/>
        <w:rPr>
          <w:rFonts w:hint="cs"/>
          <w:spacing w:val="0"/>
          <w:kern w:val="0"/>
          <w:rtl/>
        </w:rPr>
      </w:pPr>
      <w:r w:rsidRPr="00AA537D">
        <w:rPr>
          <w:rFonts w:hint="cs"/>
          <w:spacing w:val="0"/>
          <w:kern w:val="0"/>
          <w:rtl/>
        </w:rPr>
        <w:t>9-1</w:t>
      </w:r>
      <w:r w:rsidRPr="00AA537D">
        <w:rPr>
          <w:rFonts w:hint="cs"/>
          <w:spacing w:val="0"/>
          <w:kern w:val="0"/>
          <w:rtl/>
        </w:rPr>
        <w:tab/>
        <w:t xml:space="preserve">تدفع </w:t>
      </w:r>
      <w:r w:rsidRPr="00AA537D">
        <w:rPr>
          <w:spacing w:val="0"/>
          <w:kern w:val="0"/>
          <w:rtl/>
        </w:rPr>
        <w:t>الدولة الطرف</w:t>
      </w:r>
      <w:r w:rsidRPr="00AA537D">
        <w:rPr>
          <w:rFonts w:hint="cs"/>
          <w:spacing w:val="0"/>
          <w:kern w:val="0"/>
          <w:rtl/>
        </w:rPr>
        <w:t>،</w:t>
      </w:r>
      <w:r w:rsidRPr="00AA537D">
        <w:rPr>
          <w:spacing w:val="0"/>
          <w:kern w:val="0"/>
          <w:rtl/>
        </w:rPr>
        <w:t xml:space="preserve"> </w:t>
      </w:r>
      <w:r w:rsidRPr="00AA537D">
        <w:rPr>
          <w:rFonts w:hint="cs"/>
          <w:spacing w:val="0"/>
          <w:kern w:val="0"/>
          <w:rtl/>
        </w:rPr>
        <w:t xml:space="preserve">في </w:t>
      </w:r>
      <w:r w:rsidRPr="00AA537D">
        <w:rPr>
          <w:spacing w:val="0"/>
          <w:kern w:val="0"/>
          <w:rtl/>
        </w:rPr>
        <w:t xml:space="preserve">المذكرة الشفوية المؤرخة 24 </w:t>
      </w:r>
      <w:r w:rsidRPr="00AA537D">
        <w:rPr>
          <w:rFonts w:hint="cs"/>
          <w:spacing w:val="0"/>
          <w:kern w:val="0"/>
          <w:rtl/>
        </w:rPr>
        <w:t>تشرين الأول/</w:t>
      </w:r>
      <w:r w:rsidRPr="00AA537D">
        <w:rPr>
          <w:spacing w:val="0"/>
          <w:kern w:val="0"/>
          <w:rtl/>
        </w:rPr>
        <w:t>أكتوبر 2011</w:t>
      </w:r>
      <w:r w:rsidRPr="00AA537D">
        <w:rPr>
          <w:rFonts w:hint="cs"/>
          <w:spacing w:val="0"/>
          <w:kern w:val="0"/>
          <w:rtl/>
        </w:rPr>
        <w:t>، بأن</w:t>
      </w:r>
      <w:r w:rsidRPr="00AA537D">
        <w:rPr>
          <w:spacing w:val="0"/>
          <w:kern w:val="0"/>
          <w:rtl/>
        </w:rPr>
        <w:t xml:space="preserve"> </w:t>
      </w:r>
      <w:r w:rsidRPr="00AA537D">
        <w:rPr>
          <w:color w:val="000000"/>
          <w:spacing w:val="0"/>
          <w:kern w:val="0"/>
          <w:rtl/>
        </w:rPr>
        <w:t>مبادرة</w:t>
      </w:r>
      <w:r w:rsidRPr="00AA537D">
        <w:rPr>
          <w:color w:val="000000"/>
          <w:spacing w:val="0"/>
          <w:kern w:val="0"/>
        </w:rPr>
        <w:t xml:space="preserve"> </w:t>
      </w:r>
      <w:r w:rsidRPr="00AA537D">
        <w:rPr>
          <w:color w:val="000000"/>
          <w:spacing w:val="0"/>
          <w:kern w:val="0"/>
          <w:rtl/>
        </w:rPr>
        <w:t>عدالة</w:t>
      </w:r>
      <w:r w:rsidRPr="00AA537D">
        <w:rPr>
          <w:color w:val="000000"/>
          <w:spacing w:val="0"/>
          <w:kern w:val="0"/>
        </w:rPr>
        <w:t xml:space="preserve"> </w:t>
      </w:r>
      <w:r w:rsidRPr="00AA537D">
        <w:rPr>
          <w:color w:val="000000"/>
          <w:spacing w:val="0"/>
          <w:kern w:val="0"/>
          <w:rtl/>
        </w:rPr>
        <w:t>المجتمع</w:t>
      </w:r>
      <w:r w:rsidRPr="00AA537D">
        <w:rPr>
          <w:rFonts w:hint="cs"/>
          <w:color w:val="000000"/>
          <w:spacing w:val="0"/>
          <w:kern w:val="0"/>
          <w:rtl/>
        </w:rPr>
        <w:t xml:space="preserve"> </w:t>
      </w:r>
      <w:r w:rsidRPr="00AA537D">
        <w:rPr>
          <w:color w:val="000000"/>
          <w:spacing w:val="0"/>
          <w:kern w:val="0"/>
          <w:rtl/>
        </w:rPr>
        <w:t>المفتوح</w:t>
      </w:r>
      <w:r w:rsidRPr="00AA537D">
        <w:rPr>
          <w:rFonts w:hint="cs"/>
          <w:spacing w:val="0"/>
          <w:kern w:val="0"/>
          <w:rtl/>
        </w:rPr>
        <w:t xml:space="preserve"> و</w:t>
      </w:r>
      <w:r w:rsidRPr="00AA537D">
        <w:rPr>
          <w:color w:val="000000"/>
          <w:spacing w:val="0"/>
          <w:kern w:val="0"/>
          <w:rtl/>
        </w:rPr>
        <w:t>المكتب</w:t>
      </w:r>
      <w:r w:rsidRPr="00AA537D">
        <w:rPr>
          <w:color w:val="000000"/>
          <w:spacing w:val="0"/>
          <w:kern w:val="0"/>
        </w:rPr>
        <w:t xml:space="preserve"> </w:t>
      </w:r>
      <w:r w:rsidRPr="00AA537D">
        <w:rPr>
          <w:color w:val="000000"/>
          <w:spacing w:val="0"/>
          <w:kern w:val="0"/>
          <w:rtl/>
        </w:rPr>
        <w:t>الدولي</w:t>
      </w:r>
      <w:r w:rsidRPr="00AA537D">
        <w:rPr>
          <w:color w:val="000000"/>
          <w:spacing w:val="0"/>
          <w:kern w:val="0"/>
        </w:rPr>
        <w:t xml:space="preserve"> </w:t>
      </w:r>
      <w:r w:rsidRPr="00AA537D">
        <w:rPr>
          <w:color w:val="000000"/>
          <w:spacing w:val="0"/>
          <w:kern w:val="0"/>
          <w:rtl/>
        </w:rPr>
        <w:t>الكازاخ</w:t>
      </w:r>
      <w:r w:rsidRPr="00AA537D">
        <w:rPr>
          <w:rFonts w:hint="cs"/>
          <w:color w:val="000000"/>
          <w:spacing w:val="0"/>
          <w:kern w:val="0"/>
          <w:rtl/>
        </w:rPr>
        <w:t xml:space="preserve">ستاني </w:t>
      </w:r>
      <w:r w:rsidRPr="00AA537D">
        <w:rPr>
          <w:color w:val="000000"/>
          <w:spacing w:val="0"/>
          <w:kern w:val="0"/>
          <w:rtl/>
        </w:rPr>
        <w:t>لحقوق</w:t>
      </w:r>
      <w:r w:rsidRPr="00AA537D">
        <w:rPr>
          <w:color w:val="000000"/>
          <w:spacing w:val="0"/>
          <w:kern w:val="0"/>
        </w:rPr>
        <w:t xml:space="preserve"> </w:t>
      </w:r>
      <w:r w:rsidRPr="00AA537D">
        <w:rPr>
          <w:color w:val="000000"/>
          <w:spacing w:val="0"/>
          <w:kern w:val="0"/>
          <w:rtl/>
        </w:rPr>
        <w:t>الإنسان</w:t>
      </w:r>
      <w:r w:rsidRPr="00AA537D">
        <w:rPr>
          <w:color w:val="000000"/>
          <w:spacing w:val="0"/>
          <w:kern w:val="0"/>
        </w:rPr>
        <w:t xml:space="preserve"> </w:t>
      </w:r>
      <w:r w:rsidRPr="00AA537D">
        <w:rPr>
          <w:color w:val="000000"/>
          <w:spacing w:val="0"/>
          <w:kern w:val="0"/>
          <w:rtl/>
        </w:rPr>
        <w:t>واحترام</w:t>
      </w:r>
      <w:r w:rsidRPr="00AA537D">
        <w:rPr>
          <w:color w:val="000000"/>
          <w:spacing w:val="0"/>
          <w:kern w:val="0"/>
        </w:rPr>
        <w:t xml:space="preserve"> </w:t>
      </w:r>
      <w:r w:rsidRPr="00AA537D">
        <w:rPr>
          <w:color w:val="000000"/>
          <w:spacing w:val="0"/>
          <w:kern w:val="0"/>
          <w:rtl/>
        </w:rPr>
        <w:t>الشرعية</w:t>
      </w:r>
      <w:r w:rsidRPr="00AA537D">
        <w:rPr>
          <w:color w:val="000000"/>
          <w:spacing w:val="0"/>
          <w:kern w:val="0"/>
        </w:rPr>
        <w:t xml:space="preserve"> </w:t>
      </w:r>
      <w:r w:rsidRPr="00AA537D">
        <w:rPr>
          <w:color w:val="000000"/>
          <w:spacing w:val="0"/>
          <w:kern w:val="0"/>
          <w:rtl/>
        </w:rPr>
        <w:t>القانونية</w:t>
      </w:r>
      <w:r w:rsidRPr="00AA537D">
        <w:rPr>
          <w:spacing w:val="0"/>
          <w:kern w:val="0"/>
          <w:rtl/>
        </w:rPr>
        <w:t xml:space="preserve"> </w:t>
      </w:r>
      <w:r w:rsidRPr="00AA537D">
        <w:rPr>
          <w:rFonts w:hint="cs"/>
          <w:spacing w:val="0"/>
          <w:kern w:val="0"/>
          <w:rtl/>
        </w:rPr>
        <w:t xml:space="preserve">ليسا مؤهلين </w:t>
      </w:r>
      <w:r w:rsidRPr="00AA537D">
        <w:rPr>
          <w:spacing w:val="0"/>
          <w:kern w:val="0"/>
          <w:rtl/>
        </w:rPr>
        <w:t xml:space="preserve">لتمثيل صاحب الشكوى </w:t>
      </w:r>
      <w:r w:rsidRPr="00AA537D">
        <w:rPr>
          <w:rFonts w:hint="cs"/>
          <w:spacing w:val="0"/>
          <w:kern w:val="0"/>
          <w:rtl/>
        </w:rPr>
        <w:t xml:space="preserve">أمام </w:t>
      </w:r>
      <w:r w:rsidRPr="00AA537D">
        <w:rPr>
          <w:spacing w:val="0"/>
          <w:kern w:val="0"/>
          <w:rtl/>
        </w:rPr>
        <w:t xml:space="preserve">اللجنة في ضوء رسالته </w:t>
      </w:r>
      <w:r w:rsidRPr="00AA537D">
        <w:rPr>
          <w:rFonts w:hint="cs"/>
          <w:spacing w:val="0"/>
          <w:kern w:val="0"/>
          <w:rtl/>
        </w:rPr>
        <w:t>ال</w:t>
      </w:r>
      <w:r w:rsidRPr="00AA537D">
        <w:rPr>
          <w:spacing w:val="0"/>
          <w:kern w:val="0"/>
          <w:rtl/>
        </w:rPr>
        <w:t>موثق</w:t>
      </w:r>
      <w:r w:rsidRPr="00AA537D">
        <w:rPr>
          <w:rFonts w:hint="cs"/>
          <w:spacing w:val="0"/>
          <w:kern w:val="0"/>
          <w:rtl/>
        </w:rPr>
        <w:t>ة المؤرخة</w:t>
      </w:r>
      <w:r w:rsidRPr="00AA537D">
        <w:rPr>
          <w:rFonts w:hint="eastAsia"/>
          <w:spacing w:val="0"/>
          <w:kern w:val="0"/>
          <w:rtl/>
        </w:rPr>
        <w:t> </w:t>
      </w:r>
      <w:r w:rsidRPr="00AA537D">
        <w:rPr>
          <w:spacing w:val="0"/>
          <w:kern w:val="0"/>
          <w:rtl/>
        </w:rPr>
        <w:t xml:space="preserve">18 </w:t>
      </w:r>
      <w:r w:rsidRPr="00AA537D">
        <w:rPr>
          <w:rFonts w:hint="cs"/>
          <w:spacing w:val="0"/>
          <w:kern w:val="0"/>
          <w:rtl/>
        </w:rPr>
        <w:t>شباط/</w:t>
      </w:r>
      <w:r w:rsidRPr="00AA537D">
        <w:rPr>
          <w:spacing w:val="0"/>
          <w:kern w:val="0"/>
          <w:rtl/>
        </w:rPr>
        <w:t>فبراير 2011 ال</w:t>
      </w:r>
      <w:r w:rsidRPr="00AA537D">
        <w:rPr>
          <w:rFonts w:hint="cs"/>
          <w:spacing w:val="0"/>
          <w:kern w:val="0"/>
          <w:rtl/>
        </w:rPr>
        <w:t xml:space="preserve">تي </w:t>
      </w:r>
      <w:r w:rsidRPr="00AA537D">
        <w:rPr>
          <w:spacing w:val="0"/>
          <w:kern w:val="0"/>
          <w:rtl/>
        </w:rPr>
        <w:t xml:space="preserve">سحب </w:t>
      </w:r>
      <w:r w:rsidRPr="00AA537D">
        <w:rPr>
          <w:rFonts w:hint="cs"/>
          <w:spacing w:val="0"/>
          <w:kern w:val="0"/>
          <w:rtl/>
        </w:rPr>
        <w:t xml:space="preserve">فيها طوعياً </w:t>
      </w:r>
      <w:r w:rsidRPr="00AA537D">
        <w:rPr>
          <w:spacing w:val="0"/>
          <w:kern w:val="0"/>
          <w:rtl/>
        </w:rPr>
        <w:t xml:space="preserve">الشكوى المقدمة إلى اللجنة. </w:t>
      </w:r>
      <w:r w:rsidRPr="00AA537D">
        <w:rPr>
          <w:rFonts w:hint="cs"/>
          <w:spacing w:val="0"/>
          <w:kern w:val="0"/>
          <w:rtl/>
        </w:rPr>
        <w:t>وتؤكد</w:t>
      </w:r>
      <w:r w:rsidR="00AB031D">
        <w:rPr>
          <w:rFonts w:hint="eastAsia"/>
          <w:spacing w:val="0"/>
          <w:kern w:val="0"/>
          <w:rtl/>
        </w:rPr>
        <w:t> </w:t>
      </w:r>
      <w:r w:rsidRPr="00AA537D">
        <w:rPr>
          <w:rFonts w:hint="cs"/>
          <w:spacing w:val="0"/>
          <w:kern w:val="0"/>
          <w:rtl/>
        </w:rPr>
        <w:t xml:space="preserve">الدولة الطرف أنه لا أساس من الصحة لما ذكرته هاتان الهيئتان من أنهما تشاورتا مع </w:t>
      </w:r>
      <w:r w:rsidRPr="00AA537D">
        <w:rPr>
          <w:spacing w:val="0"/>
          <w:kern w:val="0"/>
          <w:rtl/>
        </w:rPr>
        <w:t>صاحب الشكوى</w:t>
      </w:r>
      <w:r w:rsidRPr="00AA537D">
        <w:rPr>
          <w:rFonts w:hint="cs"/>
          <w:spacing w:val="0"/>
          <w:kern w:val="0"/>
          <w:rtl/>
        </w:rPr>
        <w:t xml:space="preserve"> وأنه لم يصدر لهما تعليمات بسحب شكواه</w:t>
      </w:r>
      <w:r w:rsidRPr="00AA537D">
        <w:rPr>
          <w:spacing w:val="0"/>
          <w:kern w:val="0"/>
          <w:rtl/>
        </w:rPr>
        <w:t>، و</w:t>
      </w:r>
      <w:r w:rsidRPr="00AA537D">
        <w:rPr>
          <w:rFonts w:hint="cs"/>
          <w:spacing w:val="0"/>
          <w:kern w:val="0"/>
          <w:rtl/>
        </w:rPr>
        <w:t xml:space="preserve">أن الرسالة الموثقة </w:t>
      </w:r>
      <w:r w:rsidRPr="00AA537D">
        <w:rPr>
          <w:spacing w:val="0"/>
          <w:kern w:val="0"/>
          <w:rtl/>
        </w:rPr>
        <w:t>والرسالة الموجهة إلى المدعي العام لمنطقة كوستاناي ك</w:t>
      </w:r>
      <w:r w:rsidRPr="00AA537D">
        <w:rPr>
          <w:rFonts w:hint="cs"/>
          <w:spacing w:val="0"/>
          <w:kern w:val="0"/>
          <w:rtl/>
        </w:rPr>
        <w:t xml:space="preserve">تبتا </w:t>
      </w:r>
      <w:r w:rsidRPr="00AA537D">
        <w:rPr>
          <w:spacing w:val="0"/>
          <w:kern w:val="0"/>
          <w:rtl/>
        </w:rPr>
        <w:t xml:space="preserve">تحت الضغط، </w:t>
      </w:r>
      <w:r w:rsidRPr="00AA537D">
        <w:rPr>
          <w:rFonts w:hint="cs"/>
          <w:spacing w:val="0"/>
          <w:kern w:val="0"/>
          <w:rtl/>
        </w:rPr>
        <w:t>وقالت إنهما لم يقدما أدلة كتابية على</w:t>
      </w:r>
      <w:r w:rsidR="00AB031D">
        <w:rPr>
          <w:rFonts w:hint="eastAsia"/>
          <w:spacing w:val="0"/>
          <w:kern w:val="0"/>
          <w:rtl/>
        </w:rPr>
        <w:t> </w:t>
      </w:r>
      <w:r w:rsidRPr="00AA537D">
        <w:rPr>
          <w:rFonts w:hint="cs"/>
          <w:spacing w:val="0"/>
          <w:kern w:val="0"/>
          <w:rtl/>
        </w:rPr>
        <w:t>ذلك.</w:t>
      </w:r>
    </w:p>
    <w:p w:rsidR="00FA6676" w:rsidRPr="00AA537D" w:rsidRDefault="00FA6676" w:rsidP="00AA537D">
      <w:pPr>
        <w:pStyle w:val="SingleTxtGA"/>
        <w:jc w:val="lowKashida"/>
        <w:rPr>
          <w:rFonts w:hint="cs"/>
          <w:spacing w:val="0"/>
          <w:kern w:val="0"/>
          <w:rtl/>
        </w:rPr>
      </w:pPr>
      <w:r w:rsidRPr="00AA537D">
        <w:rPr>
          <w:rFonts w:hint="cs"/>
          <w:spacing w:val="0"/>
          <w:kern w:val="0"/>
          <w:rtl/>
        </w:rPr>
        <w:t>9-2</w:t>
      </w:r>
      <w:r w:rsidRPr="00AA537D">
        <w:rPr>
          <w:rFonts w:hint="cs"/>
          <w:spacing w:val="0"/>
          <w:kern w:val="0"/>
          <w:rtl/>
        </w:rPr>
        <w:tab/>
      </w:r>
      <w:r w:rsidRPr="00AA537D">
        <w:rPr>
          <w:spacing w:val="0"/>
          <w:kern w:val="0"/>
          <w:rtl/>
        </w:rPr>
        <w:t xml:space="preserve">كذلك تكرر </w:t>
      </w:r>
      <w:r w:rsidRPr="00AA537D">
        <w:rPr>
          <w:rFonts w:hint="cs"/>
          <w:spacing w:val="0"/>
          <w:kern w:val="0"/>
          <w:rtl/>
        </w:rPr>
        <w:t xml:space="preserve">الدولة الطرف </w:t>
      </w:r>
      <w:r w:rsidRPr="00AA537D">
        <w:rPr>
          <w:spacing w:val="0"/>
          <w:kern w:val="0"/>
          <w:rtl/>
        </w:rPr>
        <w:t xml:space="preserve">حججها السابقة </w:t>
      </w:r>
      <w:r w:rsidRPr="00AA537D">
        <w:rPr>
          <w:rFonts w:hint="cs"/>
          <w:spacing w:val="0"/>
          <w:kern w:val="0"/>
          <w:rtl/>
        </w:rPr>
        <w:t>ب</w:t>
      </w:r>
      <w:r w:rsidRPr="00AA537D">
        <w:rPr>
          <w:spacing w:val="0"/>
          <w:kern w:val="0"/>
          <w:rtl/>
        </w:rPr>
        <w:t>أن صاحب الشكوى لم يستنفد جميع سبل الانتصاف المحلية و</w:t>
      </w:r>
      <w:r w:rsidRPr="00AA537D">
        <w:rPr>
          <w:rFonts w:hint="cs"/>
          <w:spacing w:val="0"/>
          <w:kern w:val="0"/>
          <w:rtl/>
        </w:rPr>
        <w:t>تنفي الطابع المس</w:t>
      </w:r>
      <w:r w:rsidRPr="00AA537D">
        <w:rPr>
          <w:spacing w:val="0"/>
          <w:kern w:val="0"/>
          <w:rtl/>
        </w:rPr>
        <w:t xml:space="preserve">تمر </w:t>
      </w:r>
      <w:r w:rsidRPr="00AA537D">
        <w:rPr>
          <w:rFonts w:hint="cs"/>
          <w:spacing w:val="0"/>
          <w:kern w:val="0"/>
          <w:rtl/>
        </w:rPr>
        <w:t>ل</w:t>
      </w:r>
      <w:r w:rsidRPr="00AA537D">
        <w:rPr>
          <w:spacing w:val="0"/>
          <w:kern w:val="0"/>
          <w:rtl/>
        </w:rPr>
        <w:t xml:space="preserve">لانتهاكات المزعومة لحقوق صاحب الشكوى </w:t>
      </w:r>
      <w:r w:rsidRPr="00AA537D">
        <w:rPr>
          <w:rFonts w:hint="cs"/>
          <w:spacing w:val="0"/>
          <w:kern w:val="0"/>
          <w:rtl/>
        </w:rPr>
        <w:t xml:space="preserve">على أساس </w:t>
      </w:r>
      <w:r w:rsidRPr="00AA537D">
        <w:rPr>
          <w:spacing w:val="0"/>
          <w:kern w:val="0"/>
          <w:rtl/>
        </w:rPr>
        <w:t xml:space="preserve">أنه لم يعد </w:t>
      </w:r>
      <w:r w:rsidRPr="00AA537D">
        <w:rPr>
          <w:rFonts w:hint="cs"/>
          <w:spacing w:val="0"/>
          <w:kern w:val="0"/>
          <w:rtl/>
        </w:rPr>
        <w:t>محتجزا</w:t>
      </w:r>
      <w:r w:rsidRPr="00AA537D">
        <w:rPr>
          <w:spacing w:val="0"/>
          <w:kern w:val="0"/>
          <w:rtl/>
        </w:rPr>
        <w:t xml:space="preserve">، ولا يمكن أن </w:t>
      </w:r>
      <w:r w:rsidRPr="00AA537D">
        <w:rPr>
          <w:rFonts w:hint="cs"/>
          <w:spacing w:val="0"/>
          <w:kern w:val="0"/>
          <w:rtl/>
        </w:rPr>
        <w:t>ي</w:t>
      </w:r>
      <w:r w:rsidRPr="00AA537D">
        <w:rPr>
          <w:spacing w:val="0"/>
          <w:kern w:val="0"/>
          <w:rtl/>
        </w:rPr>
        <w:t xml:space="preserve">خضع لأي نوع من التعذيب. </w:t>
      </w:r>
      <w:r w:rsidRPr="00AA537D">
        <w:rPr>
          <w:rFonts w:hint="cs"/>
          <w:spacing w:val="0"/>
          <w:kern w:val="0"/>
          <w:rtl/>
        </w:rPr>
        <w:t>و</w:t>
      </w:r>
      <w:r w:rsidRPr="00AA537D">
        <w:rPr>
          <w:spacing w:val="0"/>
          <w:kern w:val="0"/>
          <w:rtl/>
        </w:rPr>
        <w:t>تخلص الدولة الطرف إلى أن ادعاءات صاحب الشكوى لا أساس لها</w:t>
      </w:r>
      <w:r w:rsidRPr="00AA537D">
        <w:rPr>
          <w:rFonts w:hint="cs"/>
          <w:spacing w:val="0"/>
          <w:kern w:val="0"/>
          <w:rtl/>
        </w:rPr>
        <w:t xml:space="preserve"> من الصحة</w:t>
      </w:r>
      <w:r w:rsidRPr="00AA537D">
        <w:rPr>
          <w:spacing w:val="0"/>
          <w:kern w:val="0"/>
          <w:rtl/>
        </w:rPr>
        <w:t xml:space="preserve">، وتطلب إلى اللجنة عدم النظر في الشكوى </w:t>
      </w:r>
      <w:r w:rsidRPr="00AA537D">
        <w:rPr>
          <w:rFonts w:hint="cs"/>
          <w:spacing w:val="0"/>
          <w:kern w:val="0"/>
          <w:rtl/>
        </w:rPr>
        <w:t xml:space="preserve">من حيث </w:t>
      </w:r>
      <w:r w:rsidRPr="00AA537D">
        <w:rPr>
          <w:spacing w:val="0"/>
          <w:kern w:val="0"/>
          <w:rtl/>
        </w:rPr>
        <w:t xml:space="preserve">الأسس الموضوعية. </w:t>
      </w:r>
    </w:p>
    <w:p w:rsidR="00FA6676" w:rsidRPr="00AA537D" w:rsidRDefault="00FA6676" w:rsidP="00AA537D">
      <w:pPr>
        <w:pStyle w:val="H23GA"/>
        <w:jc w:val="lowKashida"/>
        <w:rPr>
          <w:rFonts w:hint="cs"/>
          <w:spacing w:val="0"/>
          <w:kern w:val="0"/>
          <w:szCs w:val="20"/>
          <w:rtl/>
        </w:rPr>
      </w:pPr>
      <w:r w:rsidRPr="00AA537D">
        <w:rPr>
          <w:rFonts w:hint="cs"/>
          <w:spacing w:val="0"/>
          <w:kern w:val="0"/>
          <w:rtl/>
        </w:rPr>
        <w:tab/>
      </w:r>
      <w:r w:rsidRPr="00AA537D">
        <w:rPr>
          <w:rFonts w:hint="cs"/>
          <w:spacing w:val="0"/>
          <w:kern w:val="0"/>
          <w:rtl/>
        </w:rPr>
        <w:tab/>
        <w:t>التعليقات الإضافية لممثلي</w:t>
      </w:r>
      <w:r w:rsidRPr="00AA537D">
        <w:rPr>
          <w:rFonts w:hint="cs"/>
          <w:spacing w:val="0"/>
          <w:kern w:val="0"/>
          <w:rtl/>
          <w:lang/>
        </w:rPr>
        <w:t xml:space="preserve"> صاحب الشكوى</w:t>
      </w:r>
      <w:r w:rsidRPr="00AA537D">
        <w:rPr>
          <w:rFonts w:hint="cs"/>
          <w:spacing w:val="0"/>
          <w:kern w:val="0"/>
          <w:rtl/>
        </w:rPr>
        <w:t xml:space="preserve"> </w:t>
      </w:r>
    </w:p>
    <w:p w:rsidR="00FA6676" w:rsidRPr="00AA537D" w:rsidRDefault="00FA6676" w:rsidP="00AA537D">
      <w:pPr>
        <w:pStyle w:val="SingleTxtGA"/>
        <w:jc w:val="lowKashida"/>
        <w:rPr>
          <w:rFonts w:hint="cs"/>
          <w:spacing w:val="0"/>
          <w:kern w:val="0"/>
          <w:rtl/>
        </w:rPr>
      </w:pPr>
      <w:r w:rsidRPr="00AA537D">
        <w:rPr>
          <w:rFonts w:hint="cs"/>
          <w:spacing w:val="0"/>
          <w:kern w:val="0"/>
          <w:rtl/>
        </w:rPr>
        <w:t>10-</w:t>
      </w:r>
      <w:r w:rsidRPr="00AA537D">
        <w:rPr>
          <w:rFonts w:hint="cs"/>
          <w:spacing w:val="0"/>
          <w:kern w:val="0"/>
          <w:rtl/>
        </w:rPr>
        <w:tab/>
      </w:r>
      <w:r w:rsidRPr="00AA537D">
        <w:rPr>
          <w:spacing w:val="0"/>
          <w:kern w:val="0"/>
          <w:rtl/>
        </w:rPr>
        <w:t xml:space="preserve">في رسالة مؤرخة 6 </w:t>
      </w:r>
      <w:r w:rsidRPr="00AA537D">
        <w:rPr>
          <w:rFonts w:hint="cs"/>
          <w:spacing w:val="0"/>
          <w:kern w:val="0"/>
          <w:rtl/>
        </w:rPr>
        <w:t>كانون الأول/</w:t>
      </w:r>
      <w:r w:rsidRPr="00AA537D">
        <w:rPr>
          <w:spacing w:val="0"/>
          <w:kern w:val="0"/>
          <w:rtl/>
        </w:rPr>
        <w:t xml:space="preserve">ديسمبر 2011، </w:t>
      </w:r>
      <w:r w:rsidRPr="00AA537D">
        <w:rPr>
          <w:rFonts w:hint="cs"/>
          <w:spacing w:val="0"/>
          <w:kern w:val="0"/>
          <w:rtl/>
        </w:rPr>
        <w:t xml:space="preserve">يشير </w:t>
      </w:r>
      <w:r w:rsidRPr="00AA537D">
        <w:rPr>
          <w:spacing w:val="0"/>
          <w:kern w:val="0"/>
          <w:rtl/>
        </w:rPr>
        <w:t>ممث</w:t>
      </w:r>
      <w:r w:rsidRPr="00AA537D">
        <w:rPr>
          <w:rFonts w:hint="cs"/>
          <w:spacing w:val="0"/>
          <w:kern w:val="0"/>
          <w:rtl/>
        </w:rPr>
        <w:t>لا</w:t>
      </w:r>
      <w:r w:rsidRPr="00AA537D">
        <w:rPr>
          <w:spacing w:val="0"/>
          <w:kern w:val="0"/>
          <w:rtl/>
        </w:rPr>
        <w:t xml:space="preserve"> صاحب الشكوى إلى تعليقاته</w:t>
      </w:r>
      <w:r w:rsidRPr="00AA537D">
        <w:rPr>
          <w:rFonts w:hint="cs"/>
          <w:spacing w:val="0"/>
          <w:kern w:val="0"/>
          <w:rtl/>
        </w:rPr>
        <w:t>م</w:t>
      </w:r>
      <w:r w:rsidRPr="00AA537D">
        <w:rPr>
          <w:spacing w:val="0"/>
          <w:kern w:val="0"/>
          <w:rtl/>
        </w:rPr>
        <w:t>ا السابقة</w:t>
      </w:r>
      <w:r w:rsidRPr="00AA537D">
        <w:rPr>
          <w:rFonts w:hint="cs"/>
          <w:spacing w:val="0"/>
          <w:kern w:val="0"/>
          <w:rtl/>
        </w:rPr>
        <w:t xml:space="preserve"> ويضيفان </w:t>
      </w:r>
      <w:r w:rsidRPr="00AA537D">
        <w:rPr>
          <w:spacing w:val="0"/>
          <w:kern w:val="0"/>
          <w:rtl/>
        </w:rPr>
        <w:t>أن</w:t>
      </w:r>
      <w:r w:rsidRPr="00AA537D">
        <w:rPr>
          <w:rFonts w:hint="cs"/>
          <w:spacing w:val="0"/>
          <w:kern w:val="0"/>
          <w:rtl/>
        </w:rPr>
        <w:t>ه يبدو أن</w:t>
      </w:r>
      <w:r w:rsidRPr="00AA537D">
        <w:rPr>
          <w:spacing w:val="0"/>
          <w:kern w:val="0"/>
          <w:rtl/>
        </w:rPr>
        <w:t xml:space="preserve"> الدولة الطرف ل</w:t>
      </w:r>
      <w:r w:rsidRPr="00AA537D">
        <w:rPr>
          <w:rFonts w:hint="cs"/>
          <w:spacing w:val="0"/>
          <w:kern w:val="0"/>
          <w:rtl/>
        </w:rPr>
        <w:t>م ت</w:t>
      </w:r>
      <w:r w:rsidRPr="00AA537D">
        <w:rPr>
          <w:spacing w:val="0"/>
          <w:kern w:val="0"/>
          <w:rtl/>
        </w:rPr>
        <w:t xml:space="preserve">فهم الحجج </w:t>
      </w:r>
      <w:r w:rsidRPr="00AA537D">
        <w:rPr>
          <w:rFonts w:hint="cs"/>
          <w:spacing w:val="0"/>
          <w:kern w:val="0"/>
          <w:rtl/>
        </w:rPr>
        <w:t xml:space="preserve">بشأن الغبن من استمرار </w:t>
      </w:r>
      <w:r w:rsidRPr="00AA537D">
        <w:rPr>
          <w:spacing w:val="0"/>
          <w:kern w:val="0"/>
          <w:rtl/>
        </w:rPr>
        <w:t>الانتهاك</w:t>
      </w:r>
      <w:r w:rsidRPr="00AA537D">
        <w:rPr>
          <w:rFonts w:hint="cs"/>
          <w:spacing w:val="0"/>
          <w:kern w:val="0"/>
          <w:rtl/>
        </w:rPr>
        <w:t xml:space="preserve">، ذلك أن الأمر لا يتعلق بالطبع بادعاء استمرار تعرض </w:t>
      </w:r>
      <w:r w:rsidRPr="00AA537D">
        <w:rPr>
          <w:spacing w:val="0"/>
          <w:kern w:val="0"/>
          <w:rtl/>
        </w:rPr>
        <w:t>صاحب الشكوى للتعذيب، و</w:t>
      </w:r>
      <w:r w:rsidRPr="00AA537D">
        <w:rPr>
          <w:rFonts w:hint="cs"/>
          <w:spacing w:val="0"/>
          <w:kern w:val="0"/>
          <w:rtl/>
        </w:rPr>
        <w:t>إنما بالإخلال المستمر الناجم عن</w:t>
      </w:r>
      <w:r w:rsidRPr="00AA537D">
        <w:rPr>
          <w:spacing w:val="0"/>
          <w:kern w:val="0"/>
          <w:rtl/>
        </w:rPr>
        <w:t xml:space="preserve"> عدم التحقيق.</w:t>
      </w:r>
    </w:p>
    <w:p w:rsidR="00FA6676" w:rsidRPr="00AA537D" w:rsidRDefault="00FA6676" w:rsidP="00AA537D">
      <w:pPr>
        <w:pStyle w:val="H23GA"/>
        <w:jc w:val="lowKashida"/>
        <w:rPr>
          <w:rFonts w:hint="cs"/>
          <w:spacing w:val="0"/>
          <w:kern w:val="0"/>
          <w:szCs w:val="20"/>
          <w:rtl/>
        </w:rPr>
      </w:pPr>
      <w:r w:rsidRPr="00AA537D">
        <w:rPr>
          <w:rFonts w:hint="cs"/>
          <w:spacing w:val="0"/>
          <w:kern w:val="0"/>
          <w:rtl/>
          <w:lang/>
        </w:rPr>
        <w:tab/>
      </w:r>
      <w:r w:rsidRPr="00AA537D">
        <w:rPr>
          <w:rFonts w:hint="cs"/>
          <w:spacing w:val="0"/>
          <w:kern w:val="0"/>
          <w:rtl/>
          <w:lang/>
        </w:rPr>
        <w:tab/>
        <w:t>المسائل والإجراءات المعروضة على اللجنة</w:t>
      </w:r>
    </w:p>
    <w:p w:rsidR="00FA6676" w:rsidRPr="00AA537D" w:rsidRDefault="00FA6676" w:rsidP="00AA537D">
      <w:pPr>
        <w:pStyle w:val="H4GA"/>
        <w:jc w:val="lowKashida"/>
        <w:rPr>
          <w:rFonts w:hint="cs"/>
          <w:spacing w:val="0"/>
          <w:kern w:val="0"/>
          <w:szCs w:val="20"/>
          <w:rtl/>
        </w:rPr>
      </w:pPr>
      <w:r w:rsidRPr="00AA537D">
        <w:rPr>
          <w:rFonts w:hint="cs"/>
          <w:spacing w:val="0"/>
          <w:kern w:val="0"/>
          <w:rtl/>
        </w:rPr>
        <w:tab/>
      </w:r>
      <w:r w:rsidRPr="00AA537D">
        <w:rPr>
          <w:rFonts w:hint="cs"/>
          <w:spacing w:val="0"/>
          <w:kern w:val="0"/>
          <w:rtl/>
        </w:rPr>
        <w:tab/>
        <w:t>النظر في المقبولية</w:t>
      </w:r>
    </w:p>
    <w:p w:rsidR="00FA6676" w:rsidRPr="00AA537D" w:rsidRDefault="00FA6676" w:rsidP="003A2D39">
      <w:pPr>
        <w:pStyle w:val="SingleTxtGA"/>
        <w:jc w:val="lowKashida"/>
        <w:rPr>
          <w:rFonts w:hint="cs"/>
          <w:spacing w:val="0"/>
          <w:kern w:val="0"/>
          <w:rtl/>
          <w:lang/>
        </w:rPr>
      </w:pPr>
      <w:r w:rsidRPr="00AA537D">
        <w:rPr>
          <w:rFonts w:hint="cs"/>
          <w:spacing w:val="0"/>
          <w:kern w:val="0"/>
          <w:rtl/>
        </w:rPr>
        <w:t>11-1</w:t>
      </w:r>
      <w:r w:rsidRPr="00AA537D">
        <w:rPr>
          <w:rFonts w:hint="cs"/>
          <w:spacing w:val="0"/>
          <w:kern w:val="0"/>
          <w:rtl/>
          <w:lang/>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w:t>
      </w:r>
      <w:r w:rsidR="003A2D39">
        <w:rPr>
          <w:rFonts w:hint="cs"/>
          <w:spacing w:val="-2"/>
          <w:kern w:val="0"/>
          <w:sz w:val="20"/>
          <w:rtl/>
        </w:rPr>
        <w:t>ال</w:t>
      </w:r>
      <w:r w:rsidR="003A2D39" w:rsidRPr="00ED6B1C">
        <w:rPr>
          <w:spacing w:val="-2"/>
          <w:kern w:val="0"/>
          <w:sz w:val="20"/>
          <w:rtl/>
        </w:rPr>
        <w:t xml:space="preserve">لجنة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AA537D">
        <w:rPr>
          <w:rFonts w:hint="cs"/>
          <w:spacing w:val="0"/>
          <w:kern w:val="0"/>
          <w:rtl/>
          <w:lang/>
        </w:rPr>
        <w:t xml:space="preserve"> بموجب المادة 22 من الاتفاقية. </w:t>
      </w:r>
    </w:p>
    <w:p w:rsidR="00FA6676" w:rsidRPr="00AA537D" w:rsidRDefault="00FA6676" w:rsidP="00A4030E">
      <w:pPr>
        <w:pStyle w:val="SingleTxtGA"/>
        <w:jc w:val="lowKashida"/>
        <w:rPr>
          <w:rFonts w:hint="cs"/>
          <w:spacing w:val="0"/>
          <w:kern w:val="0"/>
          <w:rtl/>
          <w:lang/>
        </w:rPr>
      </w:pPr>
      <w:r w:rsidRPr="00AA537D">
        <w:rPr>
          <w:rFonts w:hint="cs"/>
          <w:spacing w:val="0"/>
          <w:kern w:val="0"/>
          <w:rtl/>
          <w:lang/>
        </w:rPr>
        <w:t>11-2</w:t>
      </w:r>
      <w:r w:rsidRPr="00AA537D">
        <w:rPr>
          <w:rFonts w:hint="cs"/>
          <w:spacing w:val="0"/>
          <w:kern w:val="0"/>
          <w:rtl/>
          <w:lang/>
        </w:rPr>
        <w:tab/>
      </w:r>
      <w:r w:rsidRPr="00AA537D">
        <w:rPr>
          <w:rFonts w:hint="cs"/>
          <w:spacing w:val="0"/>
          <w:kern w:val="0"/>
          <w:rtl/>
        </w:rPr>
        <w:t>و</w:t>
      </w:r>
      <w:r w:rsidRPr="00AA537D">
        <w:rPr>
          <w:spacing w:val="0"/>
          <w:kern w:val="0"/>
          <w:rtl/>
        </w:rPr>
        <w:t xml:space="preserve">تلاحظ اللجنة أن الدولة الطرف تطعن في اختصاص </w:t>
      </w:r>
      <w:r w:rsidRPr="00AA537D">
        <w:rPr>
          <w:rFonts w:hint="cs"/>
          <w:spacing w:val="0"/>
          <w:kern w:val="0"/>
          <w:rtl/>
        </w:rPr>
        <w:t xml:space="preserve">اللجنة </w:t>
      </w:r>
      <w:r w:rsidRPr="00AA537D">
        <w:rPr>
          <w:spacing w:val="0"/>
          <w:kern w:val="0"/>
          <w:rtl/>
        </w:rPr>
        <w:t xml:space="preserve">من حيث الزمان على أساس أن التعذيب </w:t>
      </w:r>
      <w:r w:rsidRPr="00AA537D">
        <w:rPr>
          <w:rFonts w:hint="cs"/>
          <w:spacing w:val="0"/>
          <w:kern w:val="0"/>
          <w:rtl/>
        </w:rPr>
        <w:t xml:space="preserve">موضوع الشكوى </w:t>
      </w:r>
      <w:r w:rsidRPr="00AA537D">
        <w:rPr>
          <w:spacing w:val="0"/>
          <w:kern w:val="0"/>
          <w:rtl/>
        </w:rPr>
        <w:t xml:space="preserve">(27 </w:t>
      </w:r>
      <w:r w:rsidRPr="00AA537D">
        <w:rPr>
          <w:rFonts w:hint="cs"/>
          <w:spacing w:val="0"/>
          <w:kern w:val="0"/>
          <w:rtl/>
        </w:rPr>
        <w:t>آذار/</w:t>
      </w:r>
      <w:r w:rsidRPr="00AA537D">
        <w:rPr>
          <w:spacing w:val="0"/>
          <w:kern w:val="0"/>
          <w:rtl/>
        </w:rPr>
        <w:t xml:space="preserve">مارس 2007) </w:t>
      </w:r>
      <w:r w:rsidRPr="00AA537D">
        <w:rPr>
          <w:rFonts w:hint="cs"/>
          <w:spacing w:val="0"/>
          <w:kern w:val="0"/>
          <w:rtl/>
        </w:rPr>
        <w:t xml:space="preserve">والقرار الإجرائي الأخير الذي صدر في 1 شباط/فبراير 2008 برفض إجراء تحقيق جنائي سابقين لإصدار </w:t>
      </w:r>
      <w:r w:rsidRPr="00AA537D">
        <w:rPr>
          <w:spacing w:val="0"/>
          <w:kern w:val="0"/>
          <w:rtl/>
        </w:rPr>
        <w:t xml:space="preserve">كازاخستان الإعلان المنصوص عليه في المادة 22 من الاتفاقية. </w:t>
      </w:r>
      <w:r w:rsidRPr="00AA537D">
        <w:rPr>
          <w:rFonts w:hint="cs"/>
          <w:spacing w:val="0"/>
          <w:kern w:val="0"/>
          <w:rtl/>
        </w:rPr>
        <w:t>وتُذكّر اللجنة بأن التزامات الدولة الطرف بمقتضى الاتفاقية تسري من تاريخ دخولها حيز النفاذ في الدولة الطرف</w:t>
      </w:r>
      <w:r w:rsidRPr="00AA537D">
        <w:rPr>
          <w:spacing w:val="0"/>
          <w:kern w:val="0"/>
          <w:vertAlign w:val="superscript"/>
          <w:rtl/>
        </w:rPr>
        <w:t xml:space="preserve"> </w:t>
      </w:r>
      <w:r w:rsidRPr="00AA537D">
        <w:rPr>
          <w:rFonts w:hint="cs"/>
          <w:spacing w:val="0"/>
          <w:kern w:val="0"/>
          <w:rtl/>
        </w:rPr>
        <w:t>. بيد أنه يجوز للجنة أن تنظر في انتهاكات الاتفاقية التي يُدّعى حدوثها قبل اعتراف الدولة الطرف باختصاص اللجنة بموجب المادة 22 إذا استمرت آثار هذه الانتهاكات بعد الإعلان وكانت آثار هذه الانتهاكات تشكل في حد ذاتها انتهاكاً للاتفاقية. ويجب تفسير استمرار الانتهاك بأنه تأكيد للانتهاكات السابقة للدولة الطرف، فعلاً أو ضمناً، بعد صياغة الإعلان المذكور</w:t>
      </w:r>
      <w:r w:rsidRPr="00AA537D">
        <w:rPr>
          <w:spacing w:val="0"/>
          <w:kern w:val="0"/>
          <w:vertAlign w:val="superscript"/>
          <w:rtl/>
        </w:rPr>
        <w:t>(</w:t>
      </w:r>
      <w:r w:rsidRPr="00AA537D">
        <w:rPr>
          <w:rStyle w:val="FootnoteReference"/>
          <w:spacing w:val="0"/>
          <w:rtl/>
        </w:rPr>
        <w:footnoteReference w:id="396"/>
      </w:r>
      <w:r w:rsidRPr="00AA537D">
        <w:rPr>
          <w:spacing w:val="0"/>
          <w:kern w:val="0"/>
          <w:vertAlign w:val="superscript"/>
          <w:rtl/>
        </w:rPr>
        <w:t>)</w:t>
      </w:r>
      <w:r w:rsidRPr="00AA537D">
        <w:rPr>
          <w:rFonts w:hint="cs"/>
          <w:spacing w:val="0"/>
          <w:kern w:val="0"/>
          <w:rtl/>
        </w:rPr>
        <w:t xml:space="preserve">. </w:t>
      </w:r>
      <w:r w:rsidRPr="00AA537D">
        <w:rPr>
          <w:spacing w:val="0"/>
          <w:kern w:val="0"/>
          <w:rtl/>
        </w:rPr>
        <w:t>وتلاحظ اللجنة أن كازاخستان قدمت الإعلان المنصوص عليه في المادة 22 من الاتفاقية في 21</w:t>
      </w:r>
      <w:r w:rsidRPr="00AA537D">
        <w:rPr>
          <w:rFonts w:hint="cs"/>
          <w:spacing w:val="0"/>
          <w:kern w:val="0"/>
          <w:rtl/>
        </w:rPr>
        <w:t xml:space="preserve"> شباط/</w:t>
      </w:r>
      <w:r w:rsidRPr="00AA537D">
        <w:rPr>
          <w:spacing w:val="0"/>
          <w:kern w:val="0"/>
          <w:rtl/>
        </w:rPr>
        <w:t xml:space="preserve">فبراير 2008. </w:t>
      </w:r>
      <w:r w:rsidRPr="00AA537D">
        <w:rPr>
          <w:rFonts w:hint="cs"/>
          <w:spacing w:val="0"/>
          <w:kern w:val="0"/>
          <w:rtl/>
        </w:rPr>
        <w:t>و</w:t>
      </w:r>
      <w:r w:rsidRPr="00AA537D">
        <w:rPr>
          <w:spacing w:val="0"/>
          <w:kern w:val="0"/>
          <w:rtl/>
        </w:rPr>
        <w:t xml:space="preserve">على الرغم من وقوع الأحداث </w:t>
      </w:r>
      <w:r w:rsidRPr="00AA537D">
        <w:rPr>
          <w:rFonts w:hint="cs"/>
          <w:spacing w:val="0"/>
          <w:kern w:val="0"/>
          <w:rtl/>
        </w:rPr>
        <w:t>موضوع الشكوى قبل التاريخ المذكور، فقد أيد المدعي العام الإقليمي، في</w:t>
      </w:r>
      <w:r w:rsidRPr="00AA537D">
        <w:rPr>
          <w:rFonts w:hint="eastAsia"/>
          <w:spacing w:val="0"/>
          <w:kern w:val="0"/>
          <w:rtl/>
        </w:rPr>
        <w:t> </w:t>
      </w:r>
      <w:r w:rsidRPr="00AA537D">
        <w:rPr>
          <w:spacing w:val="0"/>
          <w:kern w:val="0"/>
          <w:rtl/>
        </w:rPr>
        <w:t xml:space="preserve">19 </w:t>
      </w:r>
      <w:r w:rsidRPr="00AA537D">
        <w:rPr>
          <w:rFonts w:hint="cs"/>
          <w:spacing w:val="0"/>
          <w:kern w:val="0"/>
          <w:rtl/>
        </w:rPr>
        <w:t>آذار/</w:t>
      </w:r>
      <w:r w:rsidRPr="00AA537D">
        <w:rPr>
          <w:spacing w:val="0"/>
          <w:kern w:val="0"/>
          <w:rtl/>
        </w:rPr>
        <w:t>مارس 2008</w:t>
      </w:r>
      <w:r w:rsidRPr="00AA537D">
        <w:rPr>
          <w:rFonts w:hint="cs"/>
          <w:spacing w:val="0"/>
          <w:kern w:val="0"/>
          <w:rtl/>
        </w:rPr>
        <w:t xml:space="preserve">، قرار إدارة مكافحة الجرائم الاقتصادية والفساد الصادر في </w:t>
      </w:r>
      <w:r w:rsidRPr="00AA537D">
        <w:rPr>
          <w:spacing w:val="0"/>
          <w:kern w:val="0"/>
          <w:rtl/>
        </w:rPr>
        <w:t xml:space="preserve">1 </w:t>
      </w:r>
      <w:r w:rsidRPr="00AA537D">
        <w:rPr>
          <w:rFonts w:hint="cs"/>
          <w:spacing w:val="0"/>
          <w:kern w:val="0"/>
          <w:rtl/>
        </w:rPr>
        <w:t>شباط/</w:t>
      </w:r>
      <w:r w:rsidRPr="00AA537D">
        <w:rPr>
          <w:spacing w:val="0"/>
          <w:kern w:val="0"/>
          <w:rtl/>
        </w:rPr>
        <w:t xml:space="preserve">فبراير 2008 (رفض </w:t>
      </w:r>
      <w:r w:rsidRPr="00AA537D">
        <w:rPr>
          <w:rFonts w:hint="cs"/>
          <w:spacing w:val="0"/>
          <w:kern w:val="0"/>
          <w:rtl/>
        </w:rPr>
        <w:t>إجراء تحقيق جنائي</w:t>
      </w:r>
      <w:r w:rsidRPr="00AA537D">
        <w:rPr>
          <w:spacing w:val="0"/>
          <w:kern w:val="0"/>
          <w:rtl/>
        </w:rPr>
        <w:t xml:space="preserve"> ضد </w:t>
      </w:r>
      <w:r w:rsidRPr="00AA537D">
        <w:rPr>
          <w:rFonts w:hint="cs"/>
          <w:spacing w:val="0"/>
          <w:kern w:val="0"/>
          <w:rtl/>
        </w:rPr>
        <w:t>أفراد</w:t>
      </w:r>
      <w:r w:rsidRPr="00AA537D">
        <w:rPr>
          <w:spacing w:val="0"/>
          <w:kern w:val="0"/>
          <w:rtl/>
        </w:rPr>
        <w:t xml:space="preserve"> الشرطة)، و</w:t>
      </w:r>
      <w:r w:rsidRPr="00AA537D">
        <w:rPr>
          <w:rFonts w:hint="cs"/>
          <w:spacing w:val="0"/>
          <w:kern w:val="0"/>
          <w:rtl/>
        </w:rPr>
        <w:t xml:space="preserve">رفضت الدائرة الثانية لمحكمة مدينة كوستاناي الطعن المقدم من صاحب الشكوى في هذا القرار </w:t>
      </w:r>
      <w:r w:rsidRPr="00AA537D">
        <w:rPr>
          <w:spacing w:val="0"/>
          <w:kern w:val="0"/>
          <w:rtl/>
        </w:rPr>
        <w:t xml:space="preserve">في 25 </w:t>
      </w:r>
      <w:r w:rsidRPr="00AA537D">
        <w:rPr>
          <w:rFonts w:hint="cs"/>
          <w:spacing w:val="0"/>
          <w:kern w:val="0"/>
          <w:rtl/>
        </w:rPr>
        <w:t>آذار/</w:t>
      </w:r>
      <w:r w:rsidRPr="00AA537D">
        <w:rPr>
          <w:spacing w:val="0"/>
          <w:kern w:val="0"/>
          <w:rtl/>
        </w:rPr>
        <w:t xml:space="preserve">مارس 2008، أي بعد </w:t>
      </w:r>
      <w:r w:rsidRPr="00AA537D">
        <w:rPr>
          <w:rFonts w:hint="cs"/>
          <w:spacing w:val="0"/>
          <w:kern w:val="0"/>
          <w:rtl/>
        </w:rPr>
        <w:t xml:space="preserve">أن أصدرت </w:t>
      </w:r>
      <w:r w:rsidRPr="00AA537D">
        <w:rPr>
          <w:spacing w:val="0"/>
          <w:kern w:val="0"/>
          <w:rtl/>
        </w:rPr>
        <w:t>كازاخستان الإعلان المنصوص عليه في المادة 22. وعلاوة على ذلك، أيد مكتب المدعي العام</w:t>
      </w:r>
      <w:r w:rsidRPr="00AA537D">
        <w:rPr>
          <w:rFonts w:hint="cs"/>
          <w:spacing w:val="0"/>
          <w:kern w:val="0"/>
          <w:rtl/>
        </w:rPr>
        <w:t xml:space="preserve"> قرار إدارة مكافحة الجرائم الاقتصادية والفساد الصادر في</w:t>
      </w:r>
      <w:r w:rsidRPr="00AA537D">
        <w:rPr>
          <w:rFonts w:hint="eastAsia"/>
          <w:spacing w:val="0"/>
          <w:kern w:val="0"/>
          <w:rtl/>
        </w:rPr>
        <w:t> </w:t>
      </w:r>
      <w:r w:rsidRPr="00AA537D">
        <w:rPr>
          <w:rFonts w:hint="cs"/>
          <w:spacing w:val="0"/>
          <w:kern w:val="0"/>
          <w:rtl/>
        </w:rPr>
        <w:t>11 حزيران/</w:t>
      </w:r>
      <w:r w:rsidRPr="00AA537D">
        <w:rPr>
          <w:spacing w:val="0"/>
          <w:kern w:val="0"/>
          <w:rtl/>
        </w:rPr>
        <w:t>يوني</w:t>
      </w:r>
      <w:r w:rsidR="00A4030E">
        <w:rPr>
          <w:rFonts w:hint="cs"/>
          <w:spacing w:val="0"/>
          <w:kern w:val="0"/>
          <w:rtl/>
        </w:rPr>
        <w:t>ه</w:t>
      </w:r>
      <w:r w:rsidRPr="00AA537D">
        <w:rPr>
          <w:spacing w:val="0"/>
          <w:kern w:val="0"/>
          <w:rtl/>
        </w:rPr>
        <w:t xml:space="preserve"> 2008</w:t>
      </w:r>
      <w:r w:rsidRPr="00AA537D">
        <w:rPr>
          <w:rFonts w:hint="cs"/>
          <w:spacing w:val="0"/>
          <w:kern w:val="0"/>
          <w:rtl/>
        </w:rPr>
        <w:t xml:space="preserve"> </w:t>
      </w:r>
      <w:r w:rsidRPr="00AA537D">
        <w:rPr>
          <w:spacing w:val="0"/>
          <w:kern w:val="0"/>
          <w:rtl/>
        </w:rPr>
        <w:t>برفض إجراء تحقيق جنائي. ولذلك، استمر</w:t>
      </w:r>
      <w:r w:rsidRPr="00AA537D">
        <w:rPr>
          <w:rFonts w:hint="cs"/>
          <w:spacing w:val="0"/>
          <w:kern w:val="0"/>
          <w:rtl/>
        </w:rPr>
        <w:t xml:space="preserve"> امتناع </w:t>
      </w:r>
      <w:r w:rsidRPr="00AA537D">
        <w:rPr>
          <w:spacing w:val="0"/>
          <w:kern w:val="0"/>
          <w:rtl/>
        </w:rPr>
        <w:t>الدولة الطرف</w:t>
      </w:r>
      <w:r w:rsidRPr="00AA537D">
        <w:rPr>
          <w:rFonts w:hint="cs"/>
          <w:spacing w:val="0"/>
          <w:kern w:val="0"/>
          <w:rtl/>
        </w:rPr>
        <w:t xml:space="preserve"> عن</w:t>
      </w:r>
      <w:r w:rsidRPr="00AA537D">
        <w:rPr>
          <w:spacing w:val="0"/>
          <w:kern w:val="0"/>
          <w:rtl/>
        </w:rPr>
        <w:t xml:space="preserve"> الوفاء بالتزام التحقيق في ادعاءات صاحب الشكوى وتو</w:t>
      </w:r>
      <w:r w:rsidRPr="00AA537D">
        <w:rPr>
          <w:rFonts w:hint="cs"/>
          <w:spacing w:val="0"/>
          <w:kern w:val="0"/>
          <w:rtl/>
        </w:rPr>
        <w:t>ف</w:t>
      </w:r>
      <w:r w:rsidRPr="00AA537D">
        <w:rPr>
          <w:spacing w:val="0"/>
          <w:kern w:val="0"/>
          <w:rtl/>
        </w:rPr>
        <w:t>ي</w:t>
      </w:r>
      <w:r w:rsidRPr="00AA537D">
        <w:rPr>
          <w:rFonts w:hint="cs"/>
          <w:spacing w:val="0"/>
          <w:kern w:val="0"/>
          <w:rtl/>
        </w:rPr>
        <w:t xml:space="preserve">ر الجبر اللازم له </w:t>
      </w:r>
      <w:r w:rsidRPr="00AA537D">
        <w:rPr>
          <w:spacing w:val="0"/>
          <w:kern w:val="0"/>
          <w:rtl/>
        </w:rPr>
        <w:t xml:space="preserve">بعد أن اعترفت </w:t>
      </w:r>
      <w:r w:rsidRPr="00AA537D">
        <w:rPr>
          <w:rFonts w:hint="cs"/>
          <w:spacing w:val="0"/>
          <w:kern w:val="0"/>
          <w:rtl/>
        </w:rPr>
        <w:t>ب</w:t>
      </w:r>
      <w:r w:rsidRPr="00AA537D">
        <w:rPr>
          <w:spacing w:val="0"/>
          <w:kern w:val="0"/>
          <w:rtl/>
        </w:rPr>
        <w:t xml:space="preserve">اختصاص اللجنة بموجب المادة 22 من الاتفاقية. </w:t>
      </w:r>
      <w:r w:rsidRPr="00AA537D">
        <w:rPr>
          <w:rFonts w:hint="cs"/>
          <w:spacing w:val="0"/>
          <w:kern w:val="0"/>
          <w:rtl/>
          <w:lang/>
        </w:rPr>
        <w:t xml:space="preserve">وفي ظل هذه الظروف، ليس هناك ما يمنع اللجنة </w:t>
      </w:r>
      <w:r w:rsidRPr="00171FB4">
        <w:rPr>
          <w:rFonts w:hint="cs"/>
          <w:i/>
          <w:iCs/>
          <w:spacing w:val="0"/>
          <w:kern w:val="0"/>
          <w:rtl/>
          <w:lang/>
        </w:rPr>
        <w:t>من حيث الزمان</w:t>
      </w:r>
      <w:r w:rsidRPr="00AA537D">
        <w:rPr>
          <w:rFonts w:hint="cs"/>
          <w:spacing w:val="0"/>
          <w:kern w:val="0"/>
          <w:rtl/>
          <w:lang/>
        </w:rPr>
        <w:t xml:space="preserve"> من النظر فيها.</w:t>
      </w:r>
    </w:p>
    <w:p w:rsidR="00FA6676" w:rsidRPr="00AA537D" w:rsidRDefault="00FA6676" w:rsidP="00402F18">
      <w:pPr>
        <w:pStyle w:val="SingleTxtGA"/>
        <w:jc w:val="lowKashida"/>
        <w:rPr>
          <w:rFonts w:hint="cs"/>
          <w:spacing w:val="0"/>
          <w:kern w:val="0"/>
          <w:rtl/>
        </w:rPr>
      </w:pPr>
      <w:r w:rsidRPr="00AA537D">
        <w:rPr>
          <w:rFonts w:hint="cs"/>
          <w:spacing w:val="0"/>
          <w:kern w:val="0"/>
          <w:rtl/>
        </w:rPr>
        <w:t>11-3</w:t>
      </w:r>
      <w:r w:rsidRPr="00AA537D">
        <w:rPr>
          <w:rFonts w:hint="cs"/>
          <w:spacing w:val="0"/>
          <w:kern w:val="0"/>
          <w:rtl/>
        </w:rPr>
        <w:tab/>
        <w:t xml:space="preserve">وتلاحظ </w:t>
      </w:r>
      <w:r w:rsidRPr="00AA537D">
        <w:rPr>
          <w:spacing w:val="0"/>
          <w:kern w:val="0"/>
          <w:rtl/>
        </w:rPr>
        <w:t xml:space="preserve">اللجنة </w:t>
      </w:r>
      <w:r w:rsidRPr="00AA537D">
        <w:rPr>
          <w:rFonts w:hint="cs"/>
          <w:spacing w:val="0"/>
          <w:kern w:val="0"/>
          <w:rtl/>
        </w:rPr>
        <w:t xml:space="preserve">أيضاً احتجاج </w:t>
      </w:r>
      <w:r w:rsidRPr="00AA537D">
        <w:rPr>
          <w:spacing w:val="0"/>
          <w:kern w:val="0"/>
          <w:rtl/>
        </w:rPr>
        <w:t xml:space="preserve">الدولة الطرف </w:t>
      </w:r>
      <w:r w:rsidRPr="00AA537D">
        <w:rPr>
          <w:rFonts w:hint="cs"/>
          <w:spacing w:val="0"/>
          <w:kern w:val="0"/>
          <w:rtl/>
        </w:rPr>
        <w:t>بعدم جواز النظر في الشكوى على أساس أن صاحب الشكوى سحبها بالرسالة ال</w:t>
      </w:r>
      <w:r w:rsidRPr="00AA537D">
        <w:rPr>
          <w:spacing w:val="0"/>
          <w:kern w:val="0"/>
          <w:rtl/>
        </w:rPr>
        <w:t>موثق</w:t>
      </w:r>
      <w:r w:rsidRPr="00AA537D">
        <w:rPr>
          <w:rFonts w:hint="cs"/>
          <w:spacing w:val="0"/>
          <w:kern w:val="0"/>
          <w:rtl/>
        </w:rPr>
        <w:t>ة</w:t>
      </w:r>
      <w:r w:rsidRPr="00AA537D">
        <w:rPr>
          <w:spacing w:val="0"/>
          <w:kern w:val="0"/>
          <w:rtl/>
        </w:rPr>
        <w:t xml:space="preserve"> </w:t>
      </w:r>
      <w:r w:rsidRPr="00AA537D">
        <w:rPr>
          <w:rFonts w:hint="cs"/>
          <w:spacing w:val="0"/>
          <w:kern w:val="0"/>
          <w:rtl/>
        </w:rPr>
        <w:t xml:space="preserve">المؤرخة </w:t>
      </w:r>
      <w:r w:rsidRPr="00AA537D">
        <w:rPr>
          <w:spacing w:val="0"/>
          <w:kern w:val="0"/>
          <w:rtl/>
        </w:rPr>
        <w:t>18</w:t>
      </w:r>
      <w:r w:rsidRPr="00AA537D">
        <w:rPr>
          <w:rFonts w:hint="cs"/>
          <w:spacing w:val="0"/>
          <w:kern w:val="0"/>
          <w:rtl/>
        </w:rPr>
        <w:t xml:space="preserve"> شباط/</w:t>
      </w:r>
      <w:r w:rsidRPr="00AA537D">
        <w:rPr>
          <w:spacing w:val="0"/>
          <w:kern w:val="0"/>
          <w:rtl/>
        </w:rPr>
        <w:t>فبراير 2011. و</w:t>
      </w:r>
      <w:r w:rsidRPr="00AA537D">
        <w:rPr>
          <w:rFonts w:hint="cs"/>
          <w:spacing w:val="0"/>
          <w:kern w:val="0"/>
          <w:rtl/>
        </w:rPr>
        <w:t>ت</w:t>
      </w:r>
      <w:r w:rsidRPr="00AA537D">
        <w:rPr>
          <w:spacing w:val="0"/>
          <w:kern w:val="0"/>
          <w:rtl/>
        </w:rPr>
        <w:t xml:space="preserve">رى </w:t>
      </w:r>
      <w:r w:rsidRPr="00AA537D">
        <w:rPr>
          <w:rFonts w:hint="cs"/>
          <w:spacing w:val="0"/>
          <w:kern w:val="0"/>
          <w:rtl/>
        </w:rPr>
        <w:t xml:space="preserve">اللجنة </w:t>
      </w:r>
      <w:r w:rsidRPr="00AA537D">
        <w:rPr>
          <w:spacing w:val="0"/>
          <w:kern w:val="0"/>
          <w:rtl/>
        </w:rPr>
        <w:t>أنه</w:t>
      </w:r>
      <w:r w:rsidRPr="00AA537D">
        <w:rPr>
          <w:rFonts w:hint="cs"/>
          <w:spacing w:val="0"/>
          <w:kern w:val="0"/>
          <w:rtl/>
        </w:rPr>
        <w:t xml:space="preserve"> يلزم، من أجل صلاحية هذا السحب، أن يكون مضمون طلب السحب لا</w:t>
      </w:r>
      <w:r w:rsidR="00402F18">
        <w:rPr>
          <w:rFonts w:hint="eastAsia"/>
          <w:spacing w:val="0"/>
          <w:kern w:val="0"/>
          <w:rtl/>
        </w:rPr>
        <w:t> </w:t>
      </w:r>
      <w:r w:rsidRPr="00AA537D">
        <w:rPr>
          <w:rFonts w:hint="cs"/>
          <w:spacing w:val="0"/>
          <w:kern w:val="0"/>
          <w:rtl/>
        </w:rPr>
        <w:t xml:space="preserve">لبس فيه، وأن يثبت أن السحب تم </w:t>
      </w:r>
      <w:r w:rsidRPr="00AA537D">
        <w:rPr>
          <w:spacing w:val="0"/>
          <w:kern w:val="0"/>
          <w:rtl/>
        </w:rPr>
        <w:t>طوع</w:t>
      </w:r>
      <w:r w:rsidRPr="00AA537D">
        <w:rPr>
          <w:rFonts w:hint="cs"/>
          <w:spacing w:val="0"/>
          <w:kern w:val="0"/>
          <w:rtl/>
        </w:rPr>
        <w:t>ي</w:t>
      </w:r>
      <w:r w:rsidRPr="00AA537D">
        <w:rPr>
          <w:spacing w:val="0"/>
          <w:kern w:val="0"/>
          <w:rtl/>
        </w:rPr>
        <w:t>ا</w:t>
      </w:r>
      <w:r w:rsidRPr="00AA537D">
        <w:rPr>
          <w:rFonts w:hint="cs"/>
          <w:spacing w:val="0"/>
          <w:kern w:val="0"/>
          <w:rtl/>
        </w:rPr>
        <w:t>ً</w:t>
      </w:r>
      <w:r w:rsidRPr="00AA537D">
        <w:rPr>
          <w:spacing w:val="0"/>
          <w:kern w:val="0"/>
          <w:rtl/>
        </w:rPr>
        <w:t xml:space="preserve">. </w:t>
      </w:r>
      <w:r w:rsidRPr="00AA537D">
        <w:rPr>
          <w:rFonts w:hint="cs"/>
          <w:spacing w:val="0"/>
          <w:kern w:val="0"/>
          <w:rtl/>
        </w:rPr>
        <w:t xml:space="preserve">ولا ترى اللجنة، كما طلبت الدولة الطرف، أنه يلزم تقديم </w:t>
      </w:r>
      <w:r w:rsidRPr="00AA537D">
        <w:rPr>
          <w:spacing w:val="0"/>
          <w:kern w:val="0"/>
          <w:rtl/>
        </w:rPr>
        <w:t xml:space="preserve">أدلة مستندية </w:t>
      </w:r>
      <w:r w:rsidRPr="00AA537D">
        <w:rPr>
          <w:rFonts w:hint="cs"/>
          <w:spacing w:val="0"/>
          <w:kern w:val="0"/>
          <w:rtl/>
        </w:rPr>
        <w:t>للطعن في القيمة الإثباتية للرسالة ال</w:t>
      </w:r>
      <w:r w:rsidRPr="00AA537D">
        <w:rPr>
          <w:spacing w:val="0"/>
          <w:kern w:val="0"/>
          <w:rtl/>
        </w:rPr>
        <w:t>موثق</w:t>
      </w:r>
      <w:r w:rsidRPr="00AA537D">
        <w:rPr>
          <w:rFonts w:hint="cs"/>
          <w:spacing w:val="0"/>
          <w:kern w:val="0"/>
          <w:rtl/>
        </w:rPr>
        <w:t>ة</w:t>
      </w:r>
      <w:r w:rsidRPr="00AA537D">
        <w:rPr>
          <w:spacing w:val="0"/>
          <w:kern w:val="0"/>
          <w:rtl/>
        </w:rPr>
        <w:t xml:space="preserve">. </w:t>
      </w:r>
      <w:r w:rsidRPr="00AA537D">
        <w:rPr>
          <w:rFonts w:hint="cs"/>
          <w:spacing w:val="0"/>
          <w:kern w:val="0"/>
          <w:rtl/>
        </w:rPr>
        <w:t>فللجنة الحق في التقدير الحر للوقائع بناء على مجمل ملابسات كل قضية</w:t>
      </w:r>
      <w:r w:rsidRPr="00AA537D">
        <w:rPr>
          <w:spacing w:val="0"/>
          <w:kern w:val="0"/>
          <w:vertAlign w:val="superscript"/>
          <w:rtl/>
        </w:rPr>
        <w:t>(</w:t>
      </w:r>
      <w:r w:rsidRPr="00AA537D">
        <w:rPr>
          <w:rStyle w:val="FootnoteReference"/>
          <w:spacing w:val="0"/>
          <w:rtl/>
        </w:rPr>
        <w:footnoteReference w:id="397"/>
      </w:r>
      <w:r w:rsidRPr="00AA537D">
        <w:rPr>
          <w:spacing w:val="0"/>
          <w:kern w:val="0"/>
          <w:vertAlign w:val="superscript"/>
          <w:rtl/>
        </w:rPr>
        <w:t>)</w:t>
      </w:r>
      <w:r w:rsidRPr="00AA537D">
        <w:rPr>
          <w:rFonts w:hint="cs"/>
          <w:spacing w:val="0"/>
          <w:kern w:val="0"/>
          <w:rtl/>
        </w:rPr>
        <w:t xml:space="preserve">. وفي القضية قيد البحث، تدعو </w:t>
      </w:r>
      <w:r w:rsidRPr="00AA537D">
        <w:rPr>
          <w:spacing w:val="0"/>
          <w:kern w:val="0"/>
          <w:rtl/>
        </w:rPr>
        <w:t>الظروف التي وق</w:t>
      </w:r>
      <w:r w:rsidRPr="00AA537D">
        <w:rPr>
          <w:rFonts w:hint="cs"/>
          <w:spacing w:val="0"/>
          <w:kern w:val="0"/>
          <w:rtl/>
        </w:rPr>
        <w:t>ّ</w:t>
      </w:r>
      <w:r w:rsidRPr="00AA537D">
        <w:rPr>
          <w:spacing w:val="0"/>
          <w:kern w:val="0"/>
          <w:rtl/>
        </w:rPr>
        <w:t xml:space="preserve">ع </w:t>
      </w:r>
      <w:r w:rsidRPr="00AA537D">
        <w:rPr>
          <w:rFonts w:hint="cs"/>
          <w:spacing w:val="0"/>
          <w:kern w:val="0"/>
          <w:rtl/>
        </w:rPr>
        <w:t xml:space="preserve">فيها </w:t>
      </w:r>
      <w:r w:rsidRPr="00AA537D">
        <w:rPr>
          <w:spacing w:val="0"/>
          <w:kern w:val="0"/>
          <w:rtl/>
        </w:rPr>
        <w:t xml:space="preserve">صاحب الشكوى </w:t>
      </w:r>
      <w:r w:rsidRPr="00AA537D">
        <w:rPr>
          <w:rFonts w:hint="cs"/>
          <w:spacing w:val="0"/>
          <w:kern w:val="0"/>
          <w:rtl/>
        </w:rPr>
        <w:t xml:space="preserve">على </w:t>
      </w:r>
      <w:r w:rsidRPr="00AA537D">
        <w:rPr>
          <w:spacing w:val="0"/>
          <w:kern w:val="0"/>
          <w:rtl/>
        </w:rPr>
        <w:t xml:space="preserve">الرسالة، </w:t>
      </w:r>
      <w:r w:rsidRPr="00AA537D">
        <w:rPr>
          <w:rFonts w:hint="cs"/>
          <w:spacing w:val="0"/>
          <w:kern w:val="0"/>
          <w:rtl/>
        </w:rPr>
        <w:t xml:space="preserve">على النحو الذي ذكره </w:t>
      </w:r>
      <w:r w:rsidRPr="00AA537D">
        <w:rPr>
          <w:spacing w:val="0"/>
          <w:kern w:val="0"/>
          <w:rtl/>
        </w:rPr>
        <w:t>صاحب</w:t>
      </w:r>
      <w:r w:rsidRPr="00AA537D">
        <w:rPr>
          <w:rFonts w:hint="cs"/>
          <w:spacing w:val="0"/>
          <w:kern w:val="0"/>
          <w:rtl/>
        </w:rPr>
        <w:t>ا</w:t>
      </w:r>
      <w:r w:rsidRPr="00AA537D">
        <w:rPr>
          <w:spacing w:val="0"/>
          <w:kern w:val="0"/>
          <w:rtl/>
        </w:rPr>
        <w:t xml:space="preserve"> الشكوى، </w:t>
      </w:r>
      <w:r w:rsidRPr="00AA537D">
        <w:rPr>
          <w:rFonts w:hint="cs"/>
          <w:spacing w:val="0"/>
          <w:kern w:val="0"/>
          <w:rtl/>
        </w:rPr>
        <w:t xml:space="preserve">إلى الشك جدياً في تقديم هذه </w:t>
      </w:r>
      <w:r w:rsidRPr="00AA537D">
        <w:rPr>
          <w:spacing w:val="0"/>
          <w:kern w:val="0"/>
          <w:rtl/>
        </w:rPr>
        <w:t>الرسالة طوعي</w:t>
      </w:r>
      <w:r w:rsidRPr="00AA537D">
        <w:rPr>
          <w:rFonts w:hint="cs"/>
          <w:spacing w:val="0"/>
          <w:kern w:val="0"/>
          <w:rtl/>
        </w:rPr>
        <w:t>اً</w:t>
      </w:r>
      <w:r w:rsidRPr="00AA537D">
        <w:rPr>
          <w:spacing w:val="0"/>
          <w:kern w:val="0"/>
          <w:rtl/>
        </w:rPr>
        <w:t xml:space="preserve">. </w:t>
      </w:r>
      <w:r w:rsidRPr="00AA537D">
        <w:rPr>
          <w:rFonts w:hint="cs"/>
          <w:spacing w:val="0"/>
          <w:kern w:val="0"/>
          <w:rtl/>
        </w:rPr>
        <w:t>و</w:t>
      </w:r>
      <w:r w:rsidRPr="00AA537D">
        <w:rPr>
          <w:spacing w:val="0"/>
          <w:kern w:val="0"/>
          <w:rtl/>
        </w:rPr>
        <w:t>في ظل هذه الظروف، ترى اللجنة أن الرسالة المؤرخة 18</w:t>
      </w:r>
      <w:r w:rsidRPr="00AA537D">
        <w:rPr>
          <w:rFonts w:hint="cs"/>
          <w:spacing w:val="0"/>
          <w:kern w:val="0"/>
          <w:rtl/>
        </w:rPr>
        <w:t xml:space="preserve"> شباط/</w:t>
      </w:r>
      <w:r w:rsidRPr="00AA537D">
        <w:rPr>
          <w:spacing w:val="0"/>
          <w:kern w:val="0"/>
          <w:rtl/>
        </w:rPr>
        <w:t xml:space="preserve">فبراير 2011 لا </w:t>
      </w:r>
      <w:r w:rsidRPr="00AA537D">
        <w:rPr>
          <w:rFonts w:hint="cs"/>
          <w:spacing w:val="0"/>
          <w:kern w:val="0"/>
          <w:rtl/>
        </w:rPr>
        <w:t xml:space="preserve">تعتبر </w:t>
      </w:r>
      <w:r w:rsidRPr="00AA537D">
        <w:rPr>
          <w:spacing w:val="0"/>
          <w:kern w:val="0"/>
          <w:rtl/>
        </w:rPr>
        <w:t>سحبا</w:t>
      </w:r>
      <w:r w:rsidRPr="00AA537D">
        <w:rPr>
          <w:rFonts w:hint="cs"/>
          <w:spacing w:val="0"/>
          <w:kern w:val="0"/>
          <w:rtl/>
        </w:rPr>
        <w:t>ً</w:t>
      </w:r>
      <w:r w:rsidRPr="00AA537D">
        <w:rPr>
          <w:spacing w:val="0"/>
          <w:kern w:val="0"/>
          <w:rtl/>
        </w:rPr>
        <w:t xml:space="preserve"> طوعياً للشكوى و</w:t>
      </w:r>
      <w:r w:rsidRPr="00AA537D">
        <w:rPr>
          <w:rFonts w:hint="cs"/>
          <w:spacing w:val="0"/>
          <w:kern w:val="0"/>
          <w:rtl/>
        </w:rPr>
        <w:t xml:space="preserve">بالتالي لا تمنع اللجنة من </w:t>
      </w:r>
      <w:r w:rsidRPr="00AA537D">
        <w:rPr>
          <w:spacing w:val="0"/>
          <w:kern w:val="0"/>
          <w:rtl/>
        </w:rPr>
        <w:t>النظر في الشكوى.</w:t>
      </w:r>
    </w:p>
    <w:p w:rsidR="00FA6676" w:rsidRPr="00AA537D" w:rsidRDefault="00FA6676" w:rsidP="00AA537D">
      <w:pPr>
        <w:pStyle w:val="SingleTxtGA"/>
        <w:jc w:val="lowKashida"/>
        <w:rPr>
          <w:rFonts w:hint="cs"/>
          <w:spacing w:val="0"/>
          <w:kern w:val="0"/>
          <w:rtl/>
        </w:rPr>
      </w:pPr>
      <w:r w:rsidRPr="00AA537D">
        <w:rPr>
          <w:rFonts w:hint="cs"/>
          <w:spacing w:val="0"/>
          <w:kern w:val="0"/>
          <w:rtl/>
        </w:rPr>
        <w:t>11-4</w:t>
      </w:r>
      <w:r w:rsidRPr="00AA537D">
        <w:rPr>
          <w:rFonts w:hint="cs"/>
          <w:spacing w:val="0"/>
          <w:kern w:val="0"/>
          <w:rtl/>
        </w:rPr>
        <w:tab/>
      </w:r>
      <w:r w:rsidRPr="00AA537D">
        <w:rPr>
          <w:spacing w:val="0"/>
          <w:kern w:val="0"/>
          <w:rtl/>
        </w:rPr>
        <w:t>وقد تأكدت اللجنة، حسبما تقتضيه الفقرة 5(أ) من المادة 22، من أن المسألة نفسها لم تبحث ول</w:t>
      </w:r>
      <w:r w:rsidRPr="00AA537D">
        <w:rPr>
          <w:rFonts w:hint="cs"/>
          <w:spacing w:val="0"/>
          <w:kern w:val="0"/>
          <w:rtl/>
        </w:rPr>
        <w:t>يست قيد</w:t>
      </w:r>
      <w:r w:rsidRPr="00AA537D">
        <w:rPr>
          <w:spacing w:val="0"/>
          <w:kern w:val="0"/>
          <w:rtl/>
        </w:rPr>
        <w:t xml:space="preserve"> </w:t>
      </w:r>
      <w:r w:rsidRPr="00AA537D">
        <w:rPr>
          <w:rFonts w:hint="cs"/>
          <w:spacing w:val="0"/>
          <w:kern w:val="0"/>
          <w:rtl/>
        </w:rPr>
        <w:t>الب</w:t>
      </w:r>
      <w:r w:rsidRPr="00AA537D">
        <w:rPr>
          <w:spacing w:val="0"/>
          <w:kern w:val="0"/>
          <w:rtl/>
        </w:rPr>
        <w:t>حث في إطار أي إجراء آخر من إجراءات التحقيق الدولي أو</w:t>
      </w:r>
      <w:r w:rsidRPr="00AA537D">
        <w:rPr>
          <w:rFonts w:hint="cs"/>
          <w:spacing w:val="0"/>
          <w:kern w:val="0"/>
          <w:rtl/>
        </w:rPr>
        <w:t> </w:t>
      </w:r>
      <w:r w:rsidRPr="00AA537D">
        <w:rPr>
          <w:spacing w:val="0"/>
          <w:kern w:val="0"/>
          <w:rtl/>
        </w:rPr>
        <w:t>التسوية الدولية.</w:t>
      </w:r>
    </w:p>
    <w:p w:rsidR="00FA6676" w:rsidRPr="00AA537D" w:rsidRDefault="00FA6676" w:rsidP="00402F18">
      <w:pPr>
        <w:pStyle w:val="SingleTxtGA"/>
        <w:jc w:val="lowKashida"/>
        <w:rPr>
          <w:rFonts w:hint="cs"/>
          <w:spacing w:val="0"/>
          <w:kern w:val="0"/>
          <w:rtl/>
        </w:rPr>
      </w:pPr>
      <w:r w:rsidRPr="00AA537D">
        <w:rPr>
          <w:rFonts w:hint="cs"/>
          <w:spacing w:val="0"/>
          <w:kern w:val="0"/>
          <w:rtl/>
        </w:rPr>
        <w:t>11-5</w:t>
      </w:r>
      <w:r w:rsidRPr="00AA537D">
        <w:rPr>
          <w:rFonts w:hint="cs"/>
          <w:spacing w:val="0"/>
          <w:kern w:val="0"/>
          <w:rtl/>
        </w:rPr>
        <w:tab/>
        <w:t xml:space="preserve">وفيما </w:t>
      </w:r>
      <w:r w:rsidRPr="00AA537D">
        <w:rPr>
          <w:spacing w:val="0"/>
          <w:kern w:val="0"/>
          <w:rtl/>
        </w:rPr>
        <w:t xml:space="preserve">يتعلق باستنفاد سبل الانتصاف المحلية، </w:t>
      </w:r>
      <w:r w:rsidRPr="00AA537D">
        <w:rPr>
          <w:rFonts w:hint="cs"/>
          <w:spacing w:val="0"/>
          <w:kern w:val="0"/>
          <w:rtl/>
        </w:rPr>
        <w:t xml:space="preserve">تلاحظ </w:t>
      </w:r>
      <w:r w:rsidRPr="00AA537D">
        <w:rPr>
          <w:spacing w:val="0"/>
          <w:kern w:val="0"/>
          <w:rtl/>
        </w:rPr>
        <w:t>اللجنة أن الدولة الطرف تطعن في المقبولية على أساس أن صاحب الشكوى لم ي</w:t>
      </w:r>
      <w:r w:rsidRPr="00AA537D">
        <w:rPr>
          <w:rFonts w:hint="cs"/>
          <w:spacing w:val="0"/>
          <w:kern w:val="0"/>
          <w:rtl/>
        </w:rPr>
        <w:t xml:space="preserve">طعن في القرارين الصادرين في </w:t>
      </w:r>
      <w:r w:rsidRPr="00AA537D">
        <w:rPr>
          <w:spacing w:val="0"/>
          <w:kern w:val="0"/>
          <w:rtl/>
        </w:rPr>
        <w:t>1</w:t>
      </w:r>
      <w:r w:rsidRPr="00AA537D">
        <w:rPr>
          <w:rFonts w:hint="cs"/>
          <w:spacing w:val="0"/>
          <w:kern w:val="0"/>
          <w:rtl/>
        </w:rPr>
        <w:t xml:space="preserve"> شباط/</w:t>
      </w:r>
      <w:r w:rsidRPr="00AA537D">
        <w:rPr>
          <w:spacing w:val="0"/>
          <w:kern w:val="0"/>
          <w:rtl/>
        </w:rPr>
        <w:t xml:space="preserve"> فبراير 2008 و6 </w:t>
      </w:r>
      <w:r w:rsidRPr="00AA537D">
        <w:rPr>
          <w:rFonts w:hint="cs"/>
          <w:spacing w:val="0"/>
          <w:kern w:val="0"/>
          <w:rtl/>
        </w:rPr>
        <w:t>شباط/</w:t>
      </w:r>
      <w:r w:rsidRPr="00AA537D">
        <w:rPr>
          <w:spacing w:val="0"/>
          <w:kern w:val="0"/>
          <w:rtl/>
        </w:rPr>
        <w:t>فبراير 2011</w:t>
      </w:r>
      <w:r w:rsidRPr="00AA537D">
        <w:rPr>
          <w:rFonts w:hint="cs"/>
          <w:spacing w:val="0"/>
          <w:kern w:val="0"/>
          <w:rtl/>
        </w:rPr>
        <w:t xml:space="preserve"> قضائياً</w:t>
      </w:r>
      <w:r w:rsidRPr="00AA537D">
        <w:rPr>
          <w:spacing w:val="0"/>
          <w:kern w:val="0"/>
          <w:rtl/>
        </w:rPr>
        <w:t xml:space="preserve">. بيد أنها تلاحظ أن صاحب الشكوى طعن في القرار </w:t>
      </w:r>
      <w:r w:rsidRPr="00AA537D">
        <w:rPr>
          <w:rFonts w:hint="cs"/>
          <w:spacing w:val="0"/>
          <w:kern w:val="0"/>
          <w:rtl/>
        </w:rPr>
        <w:t xml:space="preserve">الصادر في </w:t>
      </w:r>
      <w:r w:rsidRPr="00AA537D">
        <w:rPr>
          <w:spacing w:val="0"/>
          <w:kern w:val="0"/>
          <w:rtl/>
        </w:rPr>
        <w:t xml:space="preserve">1 </w:t>
      </w:r>
      <w:r w:rsidRPr="00AA537D">
        <w:rPr>
          <w:rFonts w:hint="cs"/>
          <w:spacing w:val="0"/>
          <w:kern w:val="0"/>
          <w:rtl/>
        </w:rPr>
        <w:t>شباط/</w:t>
      </w:r>
      <w:r w:rsidRPr="00AA537D">
        <w:rPr>
          <w:spacing w:val="0"/>
          <w:kern w:val="0"/>
          <w:rtl/>
        </w:rPr>
        <w:t xml:space="preserve">فبراير 2008 </w:t>
      </w:r>
      <w:r w:rsidRPr="00AA537D">
        <w:rPr>
          <w:rFonts w:hint="cs"/>
          <w:spacing w:val="0"/>
          <w:kern w:val="0"/>
          <w:rtl/>
        </w:rPr>
        <w:t xml:space="preserve">أمام الدائرة الثانية لمحكمة </w:t>
      </w:r>
      <w:r w:rsidRPr="00AA537D">
        <w:rPr>
          <w:spacing w:val="0"/>
          <w:kern w:val="0"/>
          <w:rtl/>
        </w:rPr>
        <w:t>مدينة كوستاناي</w:t>
      </w:r>
      <w:r w:rsidRPr="00AA537D">
        <w:rPr>
          <w:rFonts w:hint="cs"/>
          <w:spacing w:val="0"/>
          <w:kern w:val="0"/>
          <w:rtl/>
        </w:rPr>
        <w:t xml:space="preserve"> وأن هذه المحكمة رفضت الطعن </w:t>
      </w:r>
      <w:r w:rsidRPr="00AA537D">
        <w:rPr>
          <w:spacing w:val="0"/>
          <w:kern w:val="0"/>
          <w:rtl/>
        </w:rPr>
        <w:t xml:space="preserve">في 25 </w:t>
      </w:r>
      <w:r w:rsidRPr="00AA537D">
        <w:rPr>
          <w:rFonts w:hint="cs"/>
          <w:spacing w:val="0"/>
          <w:kern w:val="0"/>
          <w:rtl/>
        </w:rPr>
        <w:t>آذار/</w:t>
      </w:r>
      <w:r w:rsidRPr="00AA537D">
        <w:rPr>
          <w:spacing w:val="0"/>
          <w:kern w:val="0"/>
          <w:rtl/>
        </w:rPr>
        <w:t xml:space="preserve">مارس 2008. </w:t>
      </w:r>
      <w:r w:rsidRPr="00AA537D">
        <w:rPr>
          <w:rFonts w:hint="cs"/>
          <w:spacing w:val="0"/>
          <w:kern w:val="0"/>
          <w:rtl/>
        </w:rPr>
        <w:t xml:space="preserve">وتلاحظ اللجنة أيضاً احتجاج </w:t>
      </w:r>
      <w:r w:rsidRPr="00AA537D">
        <w:rPr>
          <w:spacing w:val="0"/>
          <w:kern w:val="0"/>
          <w:rtl/>
        </w:rPr>
        <w:t>صاحب الشكوى</w:t>
      </w:r>
      <w:r w:rsidRPr="00AA537D">
        <w:rPr>
          <w:rFonts w:hint="cs"/>
          <w:spacing w:val="0"/>
          <w:kern w:val="0"/>
          <w:rtl/>
        </w:rPr>
        <w:t xml:space="preserve"> بوجه حق بأنه </w:t>
      </w:r>
      <w:r w:rsidRPr="00AA537D">
        <w:rPr>
          <w:spacing w:val="0"/>
          <w:kern w:val="0"/>
          <w:rtl/>
        </w:rPr>
        <w:t xml:space="preserve">على الرغم من </w:t>
      </w:r>
      <w:r w:rsidRPr="00AA537D">
        <w:rPr>
          <w:rFonts w:hint="cs"/>
          <w:spacing w:val="0"/>
          <w:kern w:val="0"/>
          <w:rtl/>
        </w:rPr>
        <w:t xml:space="preserve">إمكانية استئناف هذا الحكم، من حيث المبدأ، أمام </w:t>
      </w:r>
      <w:r w:rsidRPr="00AA537D">
        <w:rPr>
          <w:spacing w:val="0"/>
          <w:kern w:val="0"/>
          <w:rtl/>
        </w:rPr>
        <w:t xml:space="preserve">المحكمة الإقليمية، </w:t>
      </w:r>
      <w:r w:rsidRPr="00AA537D">
        <w:rPr>
          <w:rFonts w:hint="cs"/>
          <w:spacing w:val="0"/>
          <w:kern w:val="0"/>
          <w:rtl/>
        </w:rPr>
        <w:t>فإن الطعن ل</w:t>
      </w:r>
      <w:r w:rsidRPr="00AA537D">
        <w:rPr>
          <w:spacing w:val="0"/>
          <w:kern w:val="0"/>
          <w:rtl/>
        </w:rPr>
        <w:t>م يكن متاح</w:t>
      </w:r>
      <w:r w:rsidRPr="00AA537D">
        <w:rPr>
          <w:rFonts w:hint="cs"/>
          <w:spacing w:val="0"/>
          <w:kern w:val="0"/>
          <w:rtl/>
        </w:rPr>
        <w:t xml:space="preserve">اً من الناحية العملية </w:t>
      </w:r>
      <w:r w:rsidRPr="00AA537D">
        <w:rPr>
          <w:spacing w:val="0"/>
          <w:kern w:val="0"/>
          <w:rtl/>
        </w:rPr>
        <w:t>لأن المحامي تلقي القرار بعد انقضاء الموعد المحدد لل</w:t>
      </w:r>
      <w:r w:rsidRPr="00AA537D">
        <w:rPr>
          <w:rFonts w:hint="cs"/>
          <w:spacing w:val="0"/>
          <w:kern w:val="0"/>
          <w:rtl/>
        </w:rPr>
        <w:t>طعن</w:t>
      </w:r>
      <w:r w:rsidRPr="00AA537D">
        <w:rPr>
          <w:spacing w:val="0"/>
          <w:kern w:val="0"/>
          <w:rtl/>
        </w:rPr>
        <w:t>. وفيما يتعلق ب</w:t>
      </w:r>
      <w:r w:rsidRPr="00AA537D">
        <w:rPr>
          <w:rFonts w:hint="cs"/>
          <w:spacing w:val="0"/>
          <w:kern w:val="0"/>
          <w:rtl/>
        </w:rPr>
        <w:t xml:space="preserve">عدم طعن </w:t>
      </w:r>
      <w:r w:rsidRPr="00AA537D">
        <w:rPr>
          <w:spacing w:val="0"/>
          <w:kern w:val="0"/>
          <w:rtl/>
        </w:rPr>
        <w:t xml:space="preserve">صاحب الشكوى في </w:t>
      </w:r>
      <w:r w:rsidRPr="00AA537D">
        <w:rPr>
          <w:rFonts w:hint="cs"/>
          <w:spacing w:val="0"/>
          <w:kern w:val="0"/>
          <w:rtl/>
        </w:rPr>
        <w:t>ال</w:t>
      </w:r>
      <w:r w:rsidRPr="00AA537D">
        <w:rPr>
          <w:spacing w:val="0"/>
          <w:kern w:val="0"/>
          <w:rtl/>
        </w:rPr>
        <w:t xml:space="preserve">قرار </w:t>
      </w:r>
      <w:r w:rsidRPr="00AA537D">
        <w:rPr>
          <w:rFonts w:hint="cs"/>
          <w:spacing w:val="0"/>
          <w:kern w:val="0"/>
          <w:rtl/>
        </w:rPr>
        <w:t xml:space="preserve">الصادر في </w:t>
      </w:r>
      <w:r w:rsidRPr="00AA537D">
        <w:rPr>
          <w:spacing w:val="0"/>
          <w:kern w:val="0"/>
          <w:rtl/>
        </w:rPr>
        <w:t xml:space="preserve">6 </w:t>
      </w:r>
      <w:r w:rsidRPr="00AA537D">
        <w:rPr>
          <w:rFonts w:hint="cs"/>
          <w:spacing w:val="0"/>
          <w:kern w:val="0"/>
          <w:rtl/>
        </w:rPr>
        <w:t>شباط/</w:t>
      </w:r>
      <w:r w:rsidRPr="00AA537D">
        <w:rPr>
          <w:spacing w:val="0"/>
          <w:kern w:val="0"/>
          <w:rtl/>
        </w:rPr>
        <w:t xml:space="preserve">فبراير 2011، تلاحظ اللجنة أن التحقيق </w:t>
      </w:r>
      <w:r w:rsidRPr="00AA537D">
        <w:rPr>
          <w:rFonts w:hint="cs"/>
          <w:spacing w:val="0"/>
          <w:kern w:val="0"/>
          <w:rtl/>
        </w:rPr>
        <w:t xml:space="preserve">المستَأنف </w:t>
      </w:r>
      <w:r w:rsidRPr="00AA537D">
        <w:rPr>
          <w:spacing w:val="0"/>
          <w:kern w:val="0"/>
          <w:rtl/>
        </w:rPr>
        <w:t xml:space="preserve">بدأ في 6 </w:t>
      </w:r>
      <w:r w:rsidRPr="00AA537D">
        <w:rPr>
          <w:rFonts w:hint="cs"/>
          <w:spacing w:val="0"/>
          <w:kern w:val="0"/>
          <w:rtl/>
        </w:rPr>
        <w:t>كانون الأول/</w:t>
      </w:r>
      <w:r w:rsidRPr="00AA537D">
        <w:rPr>
          <w:spacing w:val="0"/>
          <w:kern w:val="0"/>
          <w:rtl/>
        </w:rPr>
        <w:t>ديسمبر 2010</w:t>
      </w:r>
      <w:r w:rsidRPr="00AA537D">
        <w:rPr>
          <w:rFonts w:hint="cs"/>
          <w:spacing w:val="0"/>
          <w:kern w:val="0"/>
          <w:rtl/>
        </w:rPr>
        <w:t>، أي بعد</w:t>
      </w:r>
      <w:r w:rsidRPr="00AA537D">
        <w:rPr>
          <w:spacing w:val="0"/>
          <w:kern w:val="0"/>
          <w:rtl/>
        </w:rPr>
        <w:t xml:space="preserve"> أربع سنوات </w:t>
      </w:r>
      <w:r w:rsidRPr="00AA537D">
        <w:rPr>
          <w:rFonts w:hint="cs"/>
          <w:spacing w:val="0"/>
          <w:kern w:val="0"/>
          <w:rtl/>
        </w:rPr>
        <w:t xml:space="preserve">تقريباً من وقوع الأحداث </w:t>
      </w:r>
      <w:r w:rsidRPr="00AA537D">
        <w:rPr>
          <w:spacing w:val="0"/>
          <w:kern w:val="0"/>
          <w:rtl/>
        </w:rPr>
        <w:t>المزعومة. ولذلك،</w:t>
      </w:r>
      <w:r w:rsidR="00402F18">
        <w:rPr>
          <w:rFonts w:hint="cs"/>
          <w:spacing w:val="0"/>
          <w:kern w:val="0"/>
          <w:rtl/>
        </w:rPr>
        <w:t> </w:t>
      </w:r>
      <w:r w:rsidRPr="00AA537D">
        <w:rPr>
          <w:spacing w:val="0"/>
          <w:kern w:val="0"/>
          <w:rtl/>
        </w:rPr>
        <w:t xml:space="preserve">ترى اللجنة أن الإجراءات المحلية </w:t>
      </w:r>
      <w:r w:rsidRPr="00AA537D">
        <w:rPr>
          <w:rFonts w:hint="cs"/>
          <w:spacing w:val="0"/>
          <w:kern w:val="0"/>
          <w:rtl/>
          <w:lang/>
        </w:rPr>
        <w:t>استغرقت وقتاً طويلاً تجاوز الحد المعقول</w:t>
      </w:r>
      <w:r w:rsidRPr="00AA537D">
        <w:rPr>
          <w:spacing w:val="0"/>
          <w:kern w:val="0"/>
          <w:vertAlign w:val="superscript"/>
          <w:rtl/>
        </w:rPr>
        <w:t>(</w:t>
      </w:r>
      <w:r w:rsidRPr="00AA537D">
        <w:rPr>
          <w:rStyle w:val="FootnoteReference"/>
          <w:spacing w:val="0"/>
          <w:rtl/>
        </w:rPr>
        <w:footnoteReference w:id="398"/>
      </w:r>
      <w:r w:rsidRPr="00AA537D">
        <w:rPr>
          <w:spacing w:val="0"/>
          <w:kern w:val="0"/>
          <w:vertAlign w:val="superscript"/>
          <w:rtl/>
        </w:rPr>
        <w:t>)</w:t>
      </w:r>
      <w:r w:rsidRPr="00AA537D">
        <w:rPr>
          <w:rFonts w:hint="cs"/>
          <w:spacing w:val="0"/>
          <w:kern w:val="0"/>
          <w:rtl/>
        </w:rPr>
        <w:t xml:space="preserve"> و</w:t>
      </w:r>
      <w:r w:rsidRPr="00AA537D">
        <w:rPr>
          <w:spacing w:val="0"/>
          <w:kern w:val="0"/>
          <w:rtl/>
        </w:rPr>
        <w:t xml:space="preserve">أن صاحب الشكوى </w:t>
      </w:r>
      <w:r w:rsidRPr="00AA537D">
        <w:rPr>
          <w:rFonts w:hint="cs"/>
          <w:spacing w:val="0"/>
          <w:kern w:val="0"/>
          <w:rtl/>
        </w:rPr>
        <w:t xml:space="preserve">ليس مطالباً </w:t>
      </w:r>
      <w:r w:rsidRPr="00AA537D">
        <w:rPr>
          <w:spacing w:val="0"/>
          <w:kern w:val="0"/>
          <w:rtl/>
        </w:rPr>
        <w:t xml:space="preserve">بالتالي </w:t>
      </w:r>
      <w:r w:rsidRPr="00AA537D">
        <w:rPr>
          <w:rFonts w:hint="cs"/>
          <w:spacing w:val="0"/>
          <w:kern w:val="0"/>
          <w:rtl/>
        </w:rPr>
        <w:t xml:space="preserve">بمواصلة </w:t>
      </w:r>
      <w:r w:rsidRPr="00AA537D">
        <w:rPr>
          <w:spacing w:val="0"/>
          <w:kern w:val="0"/>
          <w:rtl/>
        </w:rPr>
        <w:t>هذه</w:t>
      </w:r>
      <w:r w:rsidRPr="00AA537D">
        <w:rPr>
          <w:rFonts w:hint="cs"/>
          <w:spacing w:val="0"/>
          <w:kern w:val="0"/>
          <w:rtl/>
        </w:rPr>
        <w:t xml:space="preserve"> الإجراءات</w:t>
      </w:r>
      <w:r w:rsidRPr="00AA537D">
        <w:rPr>
          <w:spacing w:val="0"/>
          <w:kern w:val="0"/>
          <w:rtl/>
        </w:rPr>
        <w:t xml:space="preserve">. </w:t>
      </w:r>
      <w:r w:rsidRPr="00AA537D">
        <w:rPr>
          <w:rFonts w:hint="cs"/>
          <w:spacing w:val="0"/>
          <w:kern w:val="0"/>
          <w:rtl/>
        </w:rPr>
        <w:t>و</w:t>
      </w:r>
      <w:r w:rsidRPr="00AA537D">
        <w:rPr>
          <w:spacing w:val="0"/>
          <w:kern w:val="0"/>
          <w:rtl/>
        </w:rPr>
        <w:t>في ضوء ما س</w:t>
      </w:r>
      <w:r w:rsidRPr="00AA537D">
        <w:rPr>
          <w:rFonts w:hint="cs"/>
          <w:spacing w:val="0"/>
          <w:kern w:val="0"/>
          <w:rtl/>
        </w:rPr>
        <w:t>لف</w:t>
      </w:r>
      <w:r w:rsidRPr="00AA537D">
        <w:rPr>
          <w:spacing w:val="0"/>
          <w:kern w:val="0"/>
          <w:rtl/>
        </w:rPr>
        <w:t>،</w:t>
      </w:r>
      <w:r w:rsidRPr="00AA537D">
        <w:rPr>
          <w:rFonts w:hint="cs"/>
          <w:spacing w:val="0"/>
          <w:kern w:val="0"/>
          <w:rtl/>
        </w:rPr>
        <w:t xml:space="preserve"> </w:t>
      </w:r>
      <w:r w:rsidRPr="00AA537D">
        <w:rPr>
          <w:rFonts w:hint="cs"/>
          <w:spacing w:val="0"/>
          <w:kern w:val="0"/>
          <w:rtl/>
          <w:lang/>
        </w:rPr>
        <w:t xml:space="preserve">تخلص اللجنة إلى أن </w:t>
      </w:r>
      <w:r w:rsidRPr="00AA537D">
        <w:rPr>
          <w:rFonts w:hint="cs"/>
          <w:spacing w:val="0"/>
          <w:kern w:val="0"/>
          <w:rtl/>
        </w:rPr>
        <w:t>الاشتراطات الواردة في الفقرة</w:t>
      </w:r>
      <w:r w:rsidRPr="00AA537D">
        <w:rPr>
          <w:rFonts w:hint="eastAsia"/>
          <w:spacing w:val="0"/>
          <w:kern w:val="0"/>
          <w:rtl/>
        </w:rPr>
        <w:t> </w:t>
      </w:r>
      <w:r w:rsidRPr="00AA537D">
        <w:rPr>
          <w:rFonts w:hint="cs"/>
          <w:spacing w:val="0"/>
          <w:kern w:val="0"/>
          <w:rtl/>
        </w:rPr>
        <w:t>5(ب) من المادة 22 من الاتفاقية لا تمنعها من النظر في البلاغ.</w:t>
      </w:r>
    </w:p>
    <w:p w:rsidR="00FA6676" w:rsidRPr="00AA537D" w:rsidRDefault="00FA6676" w:rsidP="00AA537D">
      <w:pPr>
        <w:pStyle w:val="SingleTxtGA"/>
        <w:jc w:val="lowKashida"/>
        <w:rPr>
          <w:rFonts w:hint="cs"/>
          <w:spacing w:val="0"/>
          <w:kern w:val="0"/>
          <w:rtl/>
        </w:rPr>
      </w:pPr>
      <w:r w:rsidRPr="00AA537D">
        <w:rPr>
          <w:rFonts w:hint="cs"/>
          <w:spacing w:val="0"/>
          <w:kern w:val="0"/>
          <w:rtl/>
        </w:rPr>
        <w:t>11-6</w:t>
      </w:r>
      <w:r w:rsidRPr="00AA537D">
        <w:rPr>
          <w:rFonts w:hint="cs"/>
          <w:spacing w:val="0"/>
          <w:kern w:val="0"/>
          <w:rtl/>
        </w:rPr>
        <w:tab/>
        <w:t>وبالإشارة إلى الفقرة 4 من المادة 22 من الاتفاقية، وإلى المادة 111 من نظامها الداخلي، لا تجد اللجنة أي عقبة أخرى تحول دون مقبولية الشكوى، وتشرع بالتالي في النظر في أسسها الموضوعية.</w:t>
      </w:r>
    </w:p>
    <w:p w:rsidR="00FA6676" w:rsidRPr="00AA537D" w:rsidRDefault="00FA6676" w:rsidP="00AA537D">
      <w:pPr>
        <w:pStyle w:val="H4GA"/>
        <w:jc w:val="lowKashida"/>
        <w:rPr>
          <w:rFonts w:hint="cs"/>
          <w:spacing w:val="0"/>
          <w:kern w:val="0"/>
          <w:szCs w:val="20"/>
          <w:rtl/>
        </w:rPr>
      </w:pPr>
      <w:r w:rsidRPr="00AA537D">
        <w:rPr>
          <w:rFonts w:hint="cs"/>
          <w:spacing w:val="0"/>
          <w:kern w:val="0"/>
          <w:rtl/>
        </w:rPr>
        <w:tab/>
      </w:r>
      <w:r w:rsidRPr="00AA537D">
        <w:rPr>
          <w:rFonts w:hint="cs"/>
          <w:spacing w:val="0"/>
          <w:kern w:val="0"/>
          <w:rtl/>
        </w:rPr>
        <w:tab/>
        <w:t>النظر في الأسس الموضوعية</w:t>
      </w:r>
    </w:p>
    <w:p w:rsidR="00FA6676" w:rsidRPr="00AA537D" w:rsidRDefault="00FA6676" w:rsidP="00AA537D">
      <w:pPr>
        <w:pStyle w:val="SingleTxtGA"/>
        <w:jc w:val="lowKashida"/>
        <w:rPr>
          <w:rFonts w:hint="cs"/>
          <w:spacing w:val="0"/>
          <w:kern w:val="0"/>
          <w:rtl/>
          <w:lang/>
        </w:rPr>
      </w:pPr>
      <w:r w:rsidRPr="00AA537D">
        <w:rPr>
          <w:rFonts w:hint="cs"/>
          <w:spacing w:val="0"/>
          <w:kern w:val="0"/>
          <w:rtl/>
        </w:rPr>
        <w:t>12-</w:t>
      </w:r>
      <w:r w:rsidRPr="00AA537D">
        <w:rPr>
          <w:rFonts w:hint="cs"/>
          <w:spacing w:val="0"/>
          <w:kern w:val="0"/>
          <w:rtl/>
          <w:lang/>
        </w:rPr>
        <w:t>1</w:t>
      </w:r>
      <w:r w:rsidRPr="00AA537D">
        <w:rPr>
          <w:rFonts w:hint="cs"/>
          <w:spacing w:val="0"/>
          <w:kern w:val="0"/>
          <w:rtl/>
          <w:lang/>
        </w:rPr>
        <w:tab/>
        <w:t>نظرت اللجنة في هذا البلاغ في ضوء جميع المعلومات التي أتاحها لها الطرفان وفقاً للفقرة 4 من المادة 22 من الاتفاقية.</w:t>
      </w:r>
    </w:p>
    <w:p w:rsidR="00FA6676" w:rsidRPr="00AA537D" w:rsidRDefault="00FA6676" w:rsidP="00AA537D">
      <w:pPr>
        <w:pStyle w:val="SingleTxtGA"/>
        <w:jc w:val="lowKashida"/>
        <w:rPr>
          <w:rFonts w:hint="cs"/>
          <w:spacing w:val="0"/>
          <w:kern w:val="0"/>
          <w:sz w:val="30"/>
          <w:rtl/>
        </w:rPr>
      </w:pPr>
      <w:r w:rsidRPr="00AA537D">
        <w:rPr>
          <w:rFonts w:hint="cs"/>
          <w:spacing w:val="0"/>
          <w:kern w:val="0"/>
          <w:rtl/>
        </w:rPr>
        <w:t>12-2</w:t>
      </w:r>
      <w:r w:rsidRPr="00AA537D">
        <w:rPr>
          <w:rFonts w:hint="cs"/>
          <w:spacing w:val="0"/>
          <w:kern w:val="0"/>
          <w:rtl/>
        </w:rPr>
        <w:tab/>
        <w:t xml:space="preserve">وتلاحظ اللجنة أن </w:t>
      </w:r>
      <w:r w:rsidRPr="00AA537D">
        <w:rPr>
          <w:rFonts w:hint="cs"/>
          <w:spacing w:val="0"/>
          <w:kern w:val="0"/>
          <w:rtl/>
          <w:lang w:bidi="ar-SY"/>
        </w:rPr>
        <w:t>صاحب</w:t>
      </w:r>
      <w:r w:rsidRPr="00AA537D">
        <w:rPr>
          <w:rFonts w:hint="cs"/>
          <w:spacing w:val="0"/>
          <w:kern w:val="0"/>
          <w:rtl/>
        </w:rPr>
        <w:t xml:space="preserve"> الشكوى يدعي انتهاك الفقرة 1 من المادة 2 من الاتفاقية على أساس أن الدولة الطرف لم تؤد واجبها في منع أفعال التعذيب والمعاقبة عليها. وهذه الأحكام تنطبق طالما اعتبرت الأعمال التي تعرض لها صاحب البلاغ من أعمال التعذيب وفقاً للمعنى المقصود في المادة الأولى من الاتفاقية</w:t>
      </w:r>
      <w:r w:rsidRPr="00AA537D">
        <w:rPr>
          <w:spacing w:val="0"/>
          <w:kern w:val="0"/>
          <w:vertAlign w:val="superscript"/>
          <w:rtl/>
        </w:rPr>
        <w:t>(</w:t>
      </w:r>
      <w:r w:rsidRPr="00AA537D">
        <w:rPr>
          <w:rStyle w:val="FootnoteReference"/>
          <w:spacing w:val="0"/>
          <w:rtl/>
        </w:rPr>
        <w:footnoteReference w:id="399"/>
      </w:r>
      <w:r w:rsidRPr="00AA537D">
        <w:rPr>
          <w:spacing w:val="0"/>
          <w:kern w:val="0"/>
          <w:vertAlign w:val="superscript"/>
          <w:rtl/>
        </w:rPr>
        <w:t>)</w:t>
      </w:r>
      <w:r w:rsidRPr="00AA537D">
        <w:rPr>
          <w:rFonts w:hint="cs"/>
          <w:spacing w:val="0"/>
          <w:kern w:val="0"/>
          <w:rtl/>
        </w:rPr>
        <w:t>.</w:t>
      </w:r>
      <w:r w:rsidRPr="00AA537D">
        <w:rPr>
          <w:rFonts w:hint="cs"/>
          <w:spacing w:val="0"/>
          <w:kern w:val="0"/>
          <w:sz w:val="30"/>
          <w:rtl/>
        </w:rPr>
        <w:t xml:space="preserve"> </w:t>
      </w:r>
      <w:r w:rsidRPr="00AA537D">
        <w:rPr>
          <w:spacing w:val="0"/>
          <w:kern w:val="0"/>
          <w:sz w:val="30"/>
          <w:rtl/>
        </w:rPr>
        <w:t>وتلاحظ اللجنة في هذا الصدد</w:t>
      </w:r>
      <w:r w:rsidRPr="00AA537D">
        <w:rPr>
          <w:rFonts w:hint="cs"/>
          <w:spacing w:val="0"/>
          <w:kern w:val="0"/>
          <w:sz w:val="30"/>
          <w:rtl/>
        </w:rPr>
        <w:t xml:space="preserve"> ال</w:t>
      </w:r>
      <w:r w:rsidRPr="00AA537D">
        <w:rPr>
          <w:spacing w:val="0"/>
          <w:kern w:val="0"/>
          <w:sz w:val="30"/>
          <w:rtl/>
        </w:rPr>
        <w:t xml:space="preserve">وصف </w:t>
      </w:r>
      <w:r w:rsidRPr="00AA537D">
        <w:rPr>
          <w:rFonts w:hint="cs"/>
          <w:spacing w:val="0"/>
          <w:kern w:val="0"/>
          <w:sz w:val="30"/>
          <w:rtl/>
        </w:rPr>
        <w:t xml:space="preserve">التفصيلي الذي قدمه </w:t>
      </w:r>
      <w:r w:rsidRPr="00AA537D">
        <w:rPr>
          <w:spacing w:val="0"/>
          <w:kern w:val="0"/>
          <w:sz w:val="30"/>
          <w:rtl/>
        </w:rPr>
        <w:t>صاحب الشكوى للمعاملة التي تعرض له</w:t>
      </w:r>
      <w:r w:rsidRPr="00AA537D">
        <w:rPr>
          <w:rFonts w:hint="cs"/>
          <w:spacing w:val="0"/>
          <w:kern w:val="0"/>
          <w:sz w:val="30"/>
          <w:rtl/>
        </w:rPr>
        <w:t>ا</w:t>
      </w:r>
      <w:r w:rsidRPr="00AA537D">
        <w:rPr>
          <w:spacing w:val="0"/>
          <w:kern w:val="0"/>
          <w:sz w:val="30"/>
          <w:rtl/>
        </w:rPr>
        <w:t xml:space="preserve"> في أثناء </w:t>
      </w:r>
      <w:r w:rsidRPr="00AA537D">
        <w:rPr>
          <w:rFonts w:hint="cs"/>
          <w:spacing w:val="0"/>
          <w:kern w:val="0"/>
          <w:sz w:val="30"/>
          <w:rtl/>
        </w:rPr>
        <w:t>احتجازه ب</w:t>
      </w:r>
      <w:r w:rsidRPr="00AA537D">
        <w:rPr>
          <w:spacing w:val="0"/>
          <w:kern w:val="0"/>
          <w:sz w:val="30"/>
          <w:rtl/>
        </w:rPr>
        <w:t xml:space="preserve">الشرطة والتقارير الطبية </w:t>
      </w:r>
      <w:r w:rsidRPr="00AA537D">
        <w:rPr>
          <w:rFonts w:hint="cs"/>
          <w:spacing w:val="0"/>
          <w:kern w:val="0"/>
          <w:sz w:val="30"/>
          <w:rtl/>
        </w:rPr>
        <w:t>المؤيدة ل</w:t>
      </w:r>
      <w:r w:rsidRPr="00AA537D">
        <w:rPr>
          <w:spacing w:val="0"/>
          <w:kern w:val="0"/>
          <w:sz w:val="30"/>
          <w:rtl/>
        </w:rPr>
        <w:t>لإصابات الجسدية التي لحقت</w:t>
      </w:r>
      <w:r w:rsidRPr="00AA537D">
        <w:rPr>
          <w:rFonts w:hint="cs"/>
          <w:spacing w:val="0"/>
          <w:kern w:val="0"/>
          <w:sz w:val="30"/>
          <w:rtl/>
        </w:rPr>
        <w:t xml:space="preserve"> ب</w:t>
      </w:r>
      <w:r w:rsidRPr="00AA537D">
        <w:rPr>
          <w:spacing w:val="0"/>
          <w:kern w:val="0"/>
          <w:sz w:val="30"/>
          <w:rtl/>
        </w:rPr>
        <w:t>ه و</w:t>
      </w:r>
      <w:r w:rsidRPr="00AA537D">
        <w:rPr>
          <w:rFonts w:hint="cs"/>
          <w:spacing w:val="0"/>
          <w:kern w:val="0"/>
          <w:sz w:val="30"/>
          <w:rtl/>
        </w:rPr>
        <w:t>الأ</w:t>
      </w:r>
      <w:r w:rsidRPr="00AA537D">
        <w:rPr>
          <w:spacing w:val="0"/>
          <w:kern w:val="0"/>
          <w:sz w:val="30"/>
          <w:rtl/>
        </w:rPr>
        <w:t xml:space="preserve">ضرار </w:t>
      </w:r>
      <w:r w:rsidRPr="00AA537D">
        <w:rPr>
          <w:rFonts w:hint="cs"/>
          <w:spacing w:val="0"/>
          <w:kern w:val="0"/>
          <w:sz w:val="30"/>
          <w:rtl/>
        </w:rPr>
        <w:t>النفساني</w:t>
      </w:r>
      <w:r w:rsidRPr="00AA537D">
        <w:rPr>
          <w:spacing w:val="0"/>
          <w:kern w:val="0"/>
          <w:sz w:val="30"/>
          <w:rtl/>
        </w:rPr>
        <w:t xml:space="preserve">ة </w:t>
      </w:r>
      <w:r w:rsidRPr="00AA537D">
        <w:rPr>
          <w:rFonts w:hint="cs"/>
          <w:spacing w:val="0"/>
          <w:kern w:val="0"/>
          <w:sz w:val="30"/>
          <w:rtl/>
        </w:rPr>
        <w:t>التي لا</w:t>
      </w:r>
      <w:r w:rsidRPr="00AA537D">
        <w:rPr>
          <w:rFonts w:hint="eastAsia"/>
          <w:spacing w:val="0"/>
          <w:kern w:val="0"/>
          <w:sz w:val="30"/>
          <w:rtl/>
        </w:rPr>
        <w:t> </w:t>
      </w:r>
      <w:r w:rsidRPr="00AA537D">
        <w:rPr>
          <w:rFonts w:hint="cs"/>
          <w:spacing w:val="0"/>
          <w:kern w:val="0"/>
          <w:sz w:val="30"/>
          <w:rtl/>
        </w:rPr>
        <w:t xml:space="preserve">يزال يعاني منها. </w:t>
      </w:r>
      <w:r w:rsidRPr="00AA537D">
        <w:rPr>
          <w:spacing w:val="0"/>
          <w:kern w:val="0"/>
          <w:sz w:val="30"/>
          <w:rtl/>
        </w:rPr>
        <w:t>وترى اللجنة أن هذ</w:t>
      </w:r>
      <w:r w:rsidRPr="00AA537D">
        <w:rPr>
          <w:rFonts w:hint="cs"/>
          <w:spacing w:val="0"/>
          <w:kern w:val="0"/>
          <w:sz w:val="30"/>
          <w:rtl/>
        </w:rPr>
        <w:t>ه المعاملة ينطبق عليها وصف العمل الذي يرتكبه عمداً أحد الموظفين العموميين والذي ينتج عنه ألم أو عذاب شديد بقصد الحصول على معلومات أو اعتراف بارتكاب جريمة</w:t>
      </w:r>
      <w:r w:rsidRPr="00AA537D">
        <w:rPr>
          <w:spacing w:val="0"/>
          <w:kern w:val="0"/>
          <w:sz w:val="30"/>
          <w:rtl/>
        </w:rPr>
        <w:t xml:space="preserve">. وتنفي الدولة الطرف، </w:t>
      </w:r>
      <w:r w:rsidRPr="00AA537D">
        <w:rPr>
          <w:rFonts w:hint="cs"/>
          <w:spacing w:val="0"/>
          <w:kern w:val="0"/>
          <w:sz w:val="30"/>
          <w:rtl/>
        </w:rPr>
        <w:t xml:space="preserve">على الرغم من عدم اعتراضها </w:t>
      </w:r>
      <w:r w:rsidRPr="00AA537D">
        <w:rPr>
          <w:spacing w:val="0"/>
          <w:kern w:val="0"/>
          <w:sz w:val="30"/>
          <w:rtl/>
        </w:rPr>
        <w:t xml:space="preserve">على الأدلة الطبية، أي تدخل من الشرطة. </w:t>
      </w:r>
      <w:r w:rsidRPr="00AA537D">
        <w:rPr>
          <w:rFonts w:hint="cs"/>
          <w:spacing w:val="0"/>
          <w:kern w:val="0"/>
          <w:sz w:val="30"/>
          <w:rtl/>
        </w:rPr>
        <w:t>و</w:t>
      </w:r>
      <w:r w:rsidRPr="00AA537D">
        <w:rPr>
          <w:spacing w:val="0"/>
          <w:kern w:val="0"/>
          <w:sz w:val="30"/>
          <w:rtl/>
        </w:rPr>
        <w:t xml:space="preserve">لا جدال في أن صاحب الشكوى كان </w:t>
      </w:r>
      <w:r w:rsidRPr="00AA537D">
        <w:rPr>
          <w:rFonts w:hint="cs"/>
          <w:spacing w:val="0"/>
          <w:kern w:val="0"/>
          <w:sz w:val="30"/>
          <w:rtl/>
        </w:rPr>
        <w:t xml:space="preserve">محتجزاً لدى </w:t>
      </w:r>
      <w:r w:rsidRPr="00AA537D">
        <w:rPr>
          <w:spacing w:val="0"/>
          <w:kern w:val="0"/>
          <w:sz w:val="30"/>
          <w:rtl/>
        </w:rPr>
        <w:t xml:space="preserve">الشرطة </w:t>
      </w:r>
      <w:r w:rsidRPr="00AA537D">
        <w:rPr>
          <w:rFonts w:hint="cs"/>
          <w:spacing w:val="0"/>
          <w:kern w:val="0"/>
          <w:sz w:val="30"/>
          <w:rtl/>
        </w:rPr>
        <w:t xml:space="preserve">عند وقوع الإصابات وأنه </w:t>
      </w:r>
      <w:r w:rsidRPr="00AA537D">
        <w:rPr>
          <w:spacing w:val="0"/>
          <w:kern w:val="0"/>
          <w:sz w:val="30"/>
          <w:rtl/>
        </w:rPr>
        <w:t xml:space="preserve">التمس العلاج الطبي للإصابات التي لحقت به </w:t>
      </w:r>
      <w:r w:rsidRPr="00AA537D">
        <w:rPr>
          <w:rFonts w:hint="cs"/>
          <w:spacing w:val="0"/>
          <w:kern w:val="0"/>
          <w:sz w:val="30"/>
          <w:rtl/>
        </w:rPr>
        <w:t xml:space="preserve">بعد </w:t>
      </w:r>
      <w:r w:rsidRPr="00AA537D">
        <w:rPr>
          <w:spacing w:val="0"/>
          <w:kern w:val="0"/>
          <w:sz w:val="30"/>
          <w:rtl/>
        </w:rPr>
        <w:t>الإفراج عن</w:t>
      </w:r>
      <w:r w:rsidRPr="00AA537D">
        <w:rPr>
          <w:rFonts w:hint="cs"/>
          <w:spacing w:val="0"/>
          <w:kern w:val="0"/>
          <w:sz w:val="30"/>
          <w:rtl/>
        </w:rPr>
        <w:t>ه مباشرة</w:t>
      </w:r>
      <w:r w:rsidRPr="00AA537D">
        <w:rPr>
          <w:spacing w:val="0"/>
          <w:kern w:val="0"/>
          <w:sz w:val="30"/>
          <w:rtl/>
        </w:rPr>
        <w:t xml:space="preserve">. وفي ظل هذه الظروف، ينبغي </w:t>
      </w:r>
      <w:r w:rsidRPr="00AA537D">
        <w:rPr>
          <w:rFonts w:hint="cs"/>
          <w:spacing w:val="0"/>
          <w:kern w:val="0"/>
          <w:sz w:val="30"/>
          <w:rtl/>
        </w:rPr>
        <w:t xml:space="preserve">أن تعتبر </w:t>
      </w:r>
      <w:r w:rsidRPr="00AA537D">
        <w:rPr>
          <w:spacing w:val="0"/>
          <w:kern w:val="0"/>
          <w:sz w:val="30"/>
          <w:rtl/>
        </w:rPr>
        <w:t>الدولة الطرف مسؤولة عن الضرر ا</w:t>
      </w:r>
      <w:r w:rsidRPr="00AA537D">
        <w:rPr>
          <w:rFonts w:hint="cs"/>
          <w:spacing w:val="0"/>
          <w:kern w:val="0"/>
          <w:sz w:val="30"/>
          <w:rtl/>
        </w:rPr>
        <w:t>لذي لحق ب</w:t>
      </w:r>
      <w:r w:rsidRPr="00AA537D">
        <w:rPr>
          <w:spacing w:val="0"/>
          <w:kern w:val="0"/>
          <w:sz w:val="30"/>
          <w:rtl/>
        </w:rPr>
        <w:t>صاحب الشكوى</w:t>
      </w:r>
      <w:r w:rsidRPr="00AA537D">
        <w:rPr>
          <w:rFonts w:hint="cs"/>
          <w:spacing w:val="0"/>
          <w:kern w:val="0"/>
          <w:sz w:val="30"/>
          <w:rtl/>
        </w:rPr>
        <w:t>، ما لم ت</w:t>
      </w:r>
      <w:r w:rsidRPr="00AA537D">
        <w:rPr>
          <w:spacing w:val="0"/>
          <w:kern w:val="0"/>
          <w:sz w:val="30"/>
          <w:rtl/>
        </w:rPr>
        <w:t>قدم تفسيراً بدي</w:t>
      </w:r>
      <w:r w:rsidRPr="00AA537D">
        <w:rPr>
          <w:rFonts w:hint="cs"/>
          <w:spacing w:val="0"/>
          <w:kern w:val="0"/>
          <w:sz w:val="30"/>
          <w:rtl/>
        </w:rPr>
        <w:t>لاً</w:t>
      </w:r>
      <w:r w:rsidRPr="00AA537D">
        <w:rPr>
          <w:spacing w:val="0"/>
          <w:kern w:val="0"/>
          <w:sz w:val="30"/>
          <w:rtl/>
        </w:rPr>
        <w:t xml:space="preserve"> </w:t>
      </w:r>
      <w:r w:rsidRPr="00AA537D">
        <w:rPr>
          <w:rFonts w:hint="cs"/>
          <w:spacing w:val="0"/>
          <w:kern w:val="0"/>
          <w:sz w:val="30"/>
          <w:rtl/>
        </w:rPr>
        <w:t>و</w:t>
      </w:r>
      <w:r w:rsidRPr="00AA537D">
        <w:rPr>
          <w:spacing w:val="0"/>
          <w:kern w:val="0"/>
          <w:sz w:val="30"/>
          <w:rtl/>
        </w:rPr>
        <w:t>مقنع</w:t>
      </w:r>
      <w:r w:rsidRPr="00AA537D">
        <w:rPr>
          <w:rFonts w:hint="cs"/>
          <w:spacing w:val="0"/>
          <w:kern w:val="0"/>
          <w:sz w:val="30"/>
          <w:rtl/>
        </w:rPr>
        <w:t>اً لذلك</w:t>
      </w:r>
      <w:r w:rsidRPr="00AA537D">
        <w:rPr>
          <w:spacing w:val="0"/>
          <w:kern w:val="0"/>
          <w:sz w:val="30"/>
          <w:rtl/>
        </w:rPr>
        <w:t xml:space="preserve">. </w:t>
      </w:r>
      <w:r w:rsidRPr="00AA537D">
        <w:rPr>
          <w:rFonts w:hint="cs"/>
          <w:spacing w:val="0"/>
          <w:kern w:val="0"/>
          <w:sz w:val="30"/>
          <w:rtl/>
        </w:rPr>
        <w:t xml:space="preserve">ولم تقدم </w:t>
      </w:r>
      <w:r w:rsidRPr="00AA537D">
        <w:rPr>
          <w:spacing w:val="0"/>
          <w:kern w:val="0"/>
          <w:sz w:val="30"/>
          <w:rtl/>
        </w:rPr>
        <w:t xml:space="preserve">الدولة الطرف </w:t>
      </w:r>
      <w:r w:rsidRPr="00AA537D">
        <w:rPr>
          <w:rFonts w:hint="cs"/>
          <w:spacing w:val="0"/>
          <w:kern w:val="0"/>
          <w:sz w:val="30"/>
          <w:rtl/>
        </w:rPr>
        <w:t xml:space="preserve">مثل هذا التفسير، </w:t>
      </w:r>
      <w:r w:rsidRPr="00AA537D">
        <w:rPr>
          <w:spacing w:val="0"/>
          <w:kern w:val="0"/>
          <w:sz w:val="30"/>
          <w:rtl/>
        </w:rPr>
        <w:t>و</w:t>
      </w:r>
      <w:r w:rsidRPr="00AA537D">
        <w:rPr>
          <w:rFonts w:hint="cs"/>
          <w:spacing w:val="0"/>
          <w:kern w:val="0"/>
          <w:sz w:val="30"/>
          <w:rtl/>
        </w:rPr>
        <w:t xml:space="preserve">لذلك ينبغي أن تخلص اللجنة إلى </w:t>
      </w:r>
      <w:r w:rsidRPr="00AA537D">
        <w:rPr>
          <w:spacing w:val="0"/>
          <w:kern w:val="0"/>
          <w:sz w:val="30"/>
          <w:rtl/>
        </w:rPr>
        <w:t xml:space="preserve">أن </w:t>
      </w:r>
      <w:r w:rsidRPr="00AA537D">
        <w:rPr>
          <w:rFonts w:hint="cs"/>
          <w:spacing w:val="0"/>
          <w:kern w:val="0"/>
          <w:sz w:val="30"/>
          <w:rtl/>
        </w:rPr>
        <w:t xml:space="preserve">أفراد </w:t>
      </w:r>
      <w:r w:rsidRPr="00AA537D">
        <w:rPr>
          <w:spacing w:val="0"/>
          <w:kern w:val="0"/>
          <w:sz w:val="30"/>
          <w:rtl/>
        </w:rPr>
        <w:t xml:space="preserve">الشرطة </w:t>
      </w:r>
      <w:r w:rsidRPr="00AA537D">
        <w:rPr>
          <w:rFonts w:hint="cs"/>
          <w:spacing w:val="0"/>
          <w:kern w:val="0"/>
          <w:sz w:val="30"/>
          <w:rtl/>
        </w:rPr>
        <w:t>هم الذين تسببوا في الإصابات التي لحقت ب</w:t>
      </w:r>
      <w:r w:rsidRPr="00AA537D">
        <w:rPr>
          <w:spacing w:val="0"/>
          <w:kern w:val="0"/>
          <w:sz w:val="30"/>
          <w:rtl/>
        </w:rPr>
        <w:t>صاحب الشكوى.</w:t>
      </w:r>
      <w:r w:rsidRPr="00AA537D">
        <w:rPr>
          <w:rFonts w:hint="cs"/>
          <w:spacing w:val="0"/>
          <w:kern w:val="0"/>
          <w:sz w:val="30"/>
          <w:rtl/>
        </w:rPr>
        <w:t xml:space="preserve"> و</w:t>
      </w:r>
      <w:r w:rsidRPr="00AA537D">
        <w:rPr>
          <w:spacing w:val="0"/>
          <w:kern w:val="0"/>
          <w:sz w:val="30"/>
          <w:rtl/>
        </w:rPr>
        <w:t xml:space="preserve">تلاحظ اللجنة </w:t>
      </w:r>
      <w:r w:rsidRPr="00AA537D">
        <w:rPr>
          <w:rFonts w:hint="cs"/>
          <w:spacing w:val="0"/>
          <w:kern w:val="0"/>
          <w:sz w:val="30"/>
          <w:rtl/>
        </w:rPr>
        <w:t xml:space="preserve">أيضاً امتناع الدولة الطرف، الذي لا اعتراض عليه، عن تسجيل </w:t>
      </w:r>
      <w:r w:rsidRPr="00AA537D">
        <w:rPr>
          <w:spacing w:val="0"/>
          <w:kern w:val="0"/>
          <w:sz w:val="30"/>
          <w:rtl/>
        </w:rPr>
        <w:t xml:space="preserve">احتجاز صاحب الشكوى، </w:t>
      </w:r>
      <w:r w:rsidRPr="00AA537D">
        <w:rPr>
          <w:rFonts w:hint="cs"/>
          <w:spacing w:val="0"/>
          <w:kern w:val="0"/>
          <w:sz w:val="30"/>
          <w:rtl/>
        </w:rPr>
        <w:t xml:space="preserve">وتمكينه من الاستفادة من خدمات </w:t>
      </w:r>
      <w:r w:rsidRPr="00AA537D">
        <w:rPr>
          <w:spacing w:val="0"/>
          <w:kern w:val="0"/>
          <w:sz w:val="30"/>
          <w:rtl/>
        </w:rPr>
        <w:t>محام</w:t>
      </w:r>
      <w:r w:rsidRPr="00AA537D">
        <w:rPr>
          <w:rFonts w:hint="cs"/>
          <w:spacing w:val="0"/>
          <w:kern w:val="0"/>
          <w:sz w:val="30"/>
          <w:rtl/>
        </w:rPr>
        <w:t xml:space="preserve">ٍ، وعرضه على </w:t>
      </w:r>
      <w:r w:rsidRPr="00AA537D">
        <w:rPr>
          <w:spacing w:val="0"/>
          <w:kern w:val="0"/>
          <w:sz w:val="30"/>
          <w:rtl/>
        </w:rPr>
        <w:t>طبي مستقل</w:t>
      </w:r>
      <w:r w:rsidRPr="00AA537D">
        <w:rPr>
          <w:rFonts w:hint="cs"/>
          <w:spacing w:val="0"/>
          <w:kern w:val="0"/>
          <w:sz w:val="30"/>
          <w:rtl/>
        </w:rPr>
        <w:t xml:space="preserve"> لفحصه</w:t>
      </w:r>
      <w:r w:rsidRPr="00AA537D">
        <w:rPr>
          <w:spacing w:val="0"/>
          <w:kern w:val="0"/>
          <w:sz w:val="30"/>
          <w:vertAlign w:val="superscript"/>
          <w:rtl/>
        </w:rPr>
        <w:t>(</w:t>
      </w:r>
      <w:r w:rsidRPr="00AA537D">
        <w:rPr>
          <w:rStyle w:val="FootnoteReference"/>
          <w:spacing w:val="0"/>
          <w:rtl/>
        </w:rPr>
        <w:footnoteReference w:id="400"/>
      </w:r>
      <w:r w:rsidRPr="00AA537D">
        <w:rPr>
          <w:spacing w:val="0"/>
          <w:kern w:val="0"/>
          <w:sz w:val="30"/>
          <w:vertAlign w:val="superscript"/>
          <w:rtl/>
        </w:rPr>
        <w:t>)</w:t>
      </w:r>
      <w:r w:rsidRPr="00AA537D">
        <w:rPr>
          <w:spacing w:val="0"/>
          <w:kern w:val="0"/>
          <w:sz w:val="30"/>
          <w:rtl/>
        </w:rPr>
        <w:t xml:space="preserve">. </w:t>
      </w:r>
      <w:r w:rsidRPr="00AA537D">
        <w:rPr>
          <w:rFonts w:hint="cs"/>
          <w:spacing w:val="0"/>
          <w:kern w:val="0"/>
          <w:sz w:val="30"/>
          <w:rtl/>
        </w:rPr>
        <w:t>و</w:t>
      </w:r>
      <w:r w:rsidRPr="00AA537D">
        <w:rPr>
          <w:spacing w:val="0"/>
          <w:kern w:val="0"/>
          <w:sz w:val="30"/>
          <w:rtl/>
        </w:rPr>
        <w:t xml:space="preserve">استناداً إلى </w:t>
      </w:r>
      <w:r w:rsidRPr="00AA537D">
        <w:rPr>
          <w:rFonts w:hint="cs"/>
          <w:spacing w:val="0"/>
          <w:kern w:val="0"/>
          <w:sz w:val="30"/>
          <w:rtl/>
        </w:rPr>
        <w:t>المعلومات ا</w:t>
      </w:r>
      <w:r w:rsidRPr="00AA537D">
        <w:rPr>
          <w:spacing w:val="0"/>
          <w:kern w:val="0"/>
          <w:sz w:val="30"/>
          <w:rtl/>
        </w:rPr>
        <w:t xml:space="preserve">لتفصيلية التي </w:t>
      </w:r>
      <w:r w:rsidRPr="00AA537D">
        <w:rPr>
          <w:rFonts w:hint="cs"/>
          <w:spacing w:val="0"/>
          <w:kern w:val="0"/>
          <w:sz w:val="30"/>
          <w:rtl/>
        </w:rPr>
        <w:t xml:space="preserve">قدمها </w:t>
      </w:r>
      <w:r w:rsidRPr="00AA537D">
        <w:rPr>
          <w:spacing w:val="0"/>
          <w:kern w:val="0"/>
          <w:sz w:val="30"/>
          <w:rtl/>
        </w:rPr>
        <w:t xml:space="preserve">صاحب الشكوى </w:t>
      </w:r>
      <w:r w:rsidRPr="00AA537D">
        <w:rPr>
          <w:rFonts w:hint="cs"/>
          <w:spacing w:val="0"/>
          <w:kern w:val="0"/>
          <w:sz w:val="30"/>
          <w:rtl/>
        </w:rPr>
        <w:t>ع</w:t>
      </w:r>
      <w:r w:rsidRPr="00AA537D">
        <w:rPr>
          <w:spacing w:val="0"/>
          <w:kern w:val="0"/>
          <w:sz w:val="30"/>
          <w:rtl/>
        </w:rPr>
        <w:t>ن التعذيب</w:t>
      </w:r>
      <w:r w:rsidRPr="00AA537D">
        <w:rPr>
          <w:rFonts w:hint="cs"/>
          <w:spacing w:val="0"/>
          <w:kern w:val="0"/>
          <w:sz w:val="30"/>
          <w:rtl/>
        </w:rPr>
        <w:t xml:space="preserve"> الذي تعرض له</w:t>
      </w:r>
      <w:r w:rsidRPr="00AA537D">
        <w:rPr>
          <w:spacing w:val="0"/>
          <w:kern w:val="0"/>
          <w:sz w:val="30"/>
          <w:rtl/>
        </w:rPr>
        <w:t xml:space="preserve"> و</w:t>
      </w:r>
      <w:r w:rsidRPr="00AA537D">
        <w:rPr>
          <w:rFonts w:hint="cs"/>
          <w:spacing w:val="0"/>
          <w:kern w:val="0"/>
          <w:sz w:val="30"/>
          <w:rtl/>
        </w:rPr>
        <w:t>ال</w:t>
      </w:r>
      <w:r w:rsidRPr="00AA537D">
        <w:rPr>
          <w:spacing w:val="0"/>
          <w:kern w:val="0"/>
          <w:sz w:val="30"/>
          <w:rtl/>
        </w:rPr>
        <w:t xml:space="preserve">وثائق </w:t>
      </w:r>
      <w:r w:rsidRPr="00AA537D">
        <w:rPr>
          <w:rFonts w:hint="cs"/>
          <w:spacing w:val="0"/>
          <w:kern w:val="0"/>
          <w:sz w:val="30"/>
          <w:rtl/>
        </w:rPr>
        <w:t>ال</w:t>
      </w:r>
      <w:r w:rsidRPr="00AA537D">
        <w:rPr>
          <w:spacing w:val="0"/>
          <w:kern w:val="0"/>
          <w:sz w:val="30"/>
          <w:rtl/>
        </w:rPr>
        <w:t xml:space="preserve">طبية </w:t>
      </w:r>
      <w:r w:rsidRPr="00AA537D">
        <w:rPr>
          <w:rFonts w:hint="cs"/>
          <w:spacing w:val="0"/>
          <w:kern w:val="0"/>
          <w:sz w:val="30"/>
          <w:rtl/>
        </w:rPr>
        <w:t xml:space="preserve">التي تؤيد </w:t>
      </w:r>
      <w:r w:rsidRPr="00AA537D">
        <w:rPr>
          <w:spacing w:val="0"/>
          <w:kern w:val="0"/>
          <w:sz w:val="30"/>
          <w:rtl/>
        </w:rPr>
        <w:t xml:space="preserve">ادعاءاته، تخلص اللجنة إلى أن </w:t>
      </w:r>
      <w:r w:rsidRPr="00AA537D">
        <w:rPr>
          <w:rFonts w:hint="cs"/>
          <w:spacing w:val="0"/>
          <w:kern w:val="0"/>
          <w:sz w:val="30"/>
          <w:rtl/>
        </w:rPr>
        <w:t xml:space="preserve">هذه </w:t>
      </w:r>
      <w:r w:rsidRPr="00AA537D">
        <w:rPr>
          <w:spacing w:val="0"/>
          <w:kern w:val="0"/>
          <w:sz w:val="30"/>
          <w:rtl/>
        </w:rPr>
        <w:t xml:space="preserve">الوقائع، </w:t>
      </w:r>
      <w:r w:rsidRPr="00AA537D">
        <w:rPr>
          <w:rFonts w:hint="cs"/>
          <w:spacing w:val="0"/>
          <w:kern w:val="0"/>
          <w:sz w:val="30"/>
          <w:rtl/>
        </w:rPr>
        <w:t>على النحو المشار إليه أعلاه</w:t>
      </w:r>
      <w:r w:rsidRPr="00AA537D">
        <w:rPr>
          <w:spacing w:val="0"/>
          <w:kern w:val="0"/>
          <w:sz w:val="30"/>
          <w:rtl/>
        </w:rPr>
        <w:t xml:space="preserve">، تشكل تعذيباً بالمعنى المقصود في المادة 1 من الاتفاقية، وأن </w:t>
      </w:r>
      <w:r w:rsidRPr="00AA537D">
        <w:rPr>
          <w:rFonts w:hint="cs"/>
          <w:spacing w:val="0"/>
          <w:kern w:val="0"/>
          <w:rtl/>
          <w:lang/>
        </w:rPr>
        <w:t xml:space="preserve">الدولة الطرف لم تؤد واجبها في منع هذه الأعمال والمعاقبة عليها، </w:t>
      </w:r>
      <w:r w:rsidRPr="00AA537D">
        <w:rPr>
          <w:spacing w:val="0"/>
          <w:kern w:val="0"/>
          <w:sz w:val="30"/>
          <w:rtl/>
        </w:rPr>
        <w:t>مما يشكل انتهاكا</w:t>
      </w:r>
      <w:r w:rsidRPr="00AA537D">
        <w:rPr>
          <w:rFonts w:hint="cs"/>
          <w:spacing w:val="0"/>
          <w:kern w:val="0"/>
          <w:sz w:val="30"/>
          <w:rtl/>
        </w:rPr>
        <w:t>ً</w:t>
      </w:r>
      <w:r w:rsidRPr="00AA537D">
        <w:rPr>
          <w:spacing w:val="0"/>
          <w:kern w:val="0"/>
          <w:sz w:val="30"/>
          <w:rtl/>
        </w:rPr>
        <w:t xml:space="preserve"> لل</w:t>
      </w:r>
      <w:r w:rsidRPr="00AA537D">
        <w:rPr>
          <w:rFonts w:hint="cs"/>
          <w:spacing w:val="0"/>
          <w:kern w:val="0"/>
          <w:sz w:val="30"/>
          <w:rtl/>
        </w:rPr>
        <w:t>فقرة 1 من ال</w:t>
      </w:r>
      <w:r w:rsidRPr="00AA537D">
        <w:rPr>
          <w:spacing w:val="0"/>
          <w:kern w:val="0"/>
          <w:sz w:val="30"/>
          <w:rtl/>
        </w:rPr>
        <w:t>مادة 2 من الاتفاقية.</w:t>
      </w:r>
    </w:p>
    <w:p w:rsidR="00FA6676" w:rsidRPr="00AA537D" w:rsidRDefault="00FA6676" w:rsidP="00AA537D">
      <w:pPr>
        <w:pStyle w:val="SingleTxtGA"/>
        <w:jc w:val="lowKashida"/>
        <w:rPr>
          <w:rFonts w:hint="cs"/>
          <w:spacing w:val="0"/>
          <w:kern w:val="0"/>
          <w:rtl/>
        </w:rPr>
      </w:pPr>
      <w:r w:rsidRPr="00AA537D">
        <w:rPr>
          <w:rFonts w:hint="cs"/>
          <w:spacing w:val="0"/>
          <w:kern w:val="0"/>
          <w:rtl/>
        </w:rPr>
        <w:t>12-3</w:t>
      </w:r>
      <w:r w:rsidRPr="00AA537D">
        <w:rPr>
          <w:rFonts w:hint="cs"/>
          <w:spacing w:val="0"/>
          <w:kern w:val="0"/>
          <w:rtl/>
        </w:rPr>
        <w:tab/>
        <w:t>و</w:t>
      </w:r>
      <w:r w:rsidRPr="00AA537D">
        <w:rPr>
          <w:spacing w:val="0"/>
          <w:kern w:val="0"/>
          <w:rtl/>
        </w:rPr>
        <w:t xml:space="preserve">يدعى صاحب الشكوى </w:t>
      </w:r>
      <w:r w:rsidRPr="00AA537D">
        <w:rPr>
          <w:rFonts w:hint="cs"/>
          <w:spacing w:val="0"/>
          <w:kern w:val="0"/>
          <w:rtl/>
        </w:rPr>
        <w:t xml:space="preserve">أيضاً </w:t>
      </w:r>
      <w:r w:rsidRPr="00AA537D">
        <w:rPr>
          <w:spacing w:val="0"/>
          <w:kern w:val="0"/>
          <w:rtl/>
        </w:rPr>
        <w:t xml:space="preserve">أنه لم </w:t>
      </w:r>
      <w:r w:rsidRPr="00AA537D">
        <w:rPr>
          <w:rFonts w:hint="cs"/>
          <w:spacing w:val="0"/>
          <w:kern w:val="0"/>
          <w:rtl/>
        </w:rPr>
        <w:t>يجر</w:t>
      </w:r>
      <w:r w:rsidRPr="00AA537D">
        <w:rPr>
          <w:spacing w:val="0"/>
          <w:kern w:val="0"/>
          <w:rtl/>
        </w:rPr>
        <w:t xml:space="preserve"> تحقيق </w:t>
      </w:r>
      <w:r w:rsidRPr="00AA537D">
        <w:rPr>
          <w:rFonts w:hint="cs"/>
          <w:spacing w:val="0"/>
          <w:kern w:val="0"/>
          <w:rtl/>
        </w:rPr>
        <w:t xml:space="preserve">سريع </w:t>
      </w:r>
      <w:r w:rsidRPr="00AA537D">
        <w:rPr>
          <w:spacing w:val="0"/>
          <w:kern w:val="0"/>
          <w:rtl/>
        </w:rPr>
        <w:t xml:space="preserve">ونزيه وفعال </w:t>
      </w:r>
      <w:r w:rsidRPr="00AA537D">
        <w:rPr>
          <w:rFonts w:hint="cs"/>
          <w:spacing w:val="0"/>
          <w:kern w:val="0"/>
          <w:rtl/>
        </w:rPr>
        <w:t xml:space="preserve">في </w:t>
      </w:r>
      <w:r w:rsidRPr="00AA537D">
        <w:rPr>
          <w:spacing w:val="0"/>
          <w:kern w:val="0"/>
          <w:rtl/>
        </w:rPr>
        <w:t>ادعاءاته</w:t>
      </w:r>
      <w:r w:rsidRPr="00AA537D">
        <w:rPr>
          <w:rFonts w:hint="cs"/>
          <w:spacing w:val="0"/>
          <w:kern w:val="0"/>
          <w:rtl/>
        </w:rPr>
        <w:t xml:space="preserve"> المتعلقة</w:t>
      </w:r>
      <w:r w:rsidRPr="00AA537D">
        <w:rPr>
          <w:spacing w:val="0"/>
          <w:kern w:val="0"/>
          <w:rtl/>
        </w:rPr>
        <w:t xml:space="preserve"> بالتعذيب، </w:t>
      </w:r>
      <w:r w:rsidRPr="00AA537D">
        <w:rPr>
          <w:rFonts w:hint="cs"/>
          <w:spacing w:val="0"/>
          <w:kern w:val="0"/>
          <w:rtl/>
        </w:rPr>
        <w:t>ولم تتم م</w:t>
      </w:r>
      <w:r w:rsidRPr="00AA537D">
        <w:rPr>
          <w:spacing w:val="0"/>
          <w:kern w:val="0"/>
          <w:rtl/>
        </w:rPr>
        <w:t>ق</w:t>
      </w:r>
      <w:r w:rsidRPr="00AA537D">
        <w:rPr>
          <w:rFonts w:hint="cs"/>
          <w:spacing w:val="0"/>
          <w:kern w:val="0"/>
          <w:rtl/>
        </w:rPr>
        <w:t xml:space="preserve">اضاة </w:t>
      </w:r>
      <w:r w:rsidRPr="00AA537D">
        <w:rPr>
          <w:spacing w:val="0"/>
          <w:kern w:val="0"/>
          <w:rtl/>
        </w:rPr>
        <w:t>المسؤولين</w:t>
      </w:r>
      <w:r w:rsidRPr="00AA537D">
        <w:rPr>
          <w:rFonts w:hint="cs"/>
          <w:spacing w:val="0"/>
          <w:kern w:val="0"/>
          <w:rtl/>
        </w:rPr>
        <w:t xml:space="preserve">، ولا يزال يتعرض </w:t>
      </w:r>
      <w:r w:rsidRPr="00AA537D">
        <w:rPr>
          <w:spacing w:val="0"/>
          <w:kern w:val="0"/>
          <w:rtl/>
        </w:rPr>
        <w:t xml:space="preserve">هو وعائلته </w:t>
      </w:r>
      <w:r w:rsidRPr="00AA537D">
        <w:rPr>
          <w:rFonts w:hint="cs"/>
          <w:spacing w:val="0"/>
          <w:kern w:val="0"/>
          <w:rtl/>
        </w:rPr>
        <w:t>لل</w:t>
      </w:r>
      <w:r w:rsidRPr="00AA537D">
        <w:rPr>
          <w:spacing w:val="0"/>
          <w:kern w:val="0"/>
          <w:rtl/>
        </w:rPr>
        <w:t>تهديد و</w:t>
      </w:r>
      <w:r w:rsidRPr="00AA537D">
        <w:rPr>
          <w:rFonts w:hint="cs"/>
          <w:spacing w:val="0"/>
          <w:kern w:val="0"/>
          <w:rtl/>
        </w:rPr>
        <w:t>يخضعون لل</w:t>
      </w:r>
      <w:r w:rsidRPr="00AA537D">
        <w:rPr>
          <w:spacing w:val="0"/>
          <w:kern w:val="0"/>
          <w:rtl/>
        </w:rPr>
        <w:t>ترهيب، مما يشكل انتهاكا</w:t>
      </w:r>
      <w:r w:rsidRPr="00AA537D">
        <w:rPr>
          <w:rFonts w:hint="cs"/>
          <w:spacing w:val="0"/>
          <w:kern w:val="0"/>
          <w:rtl/>
        </w:rPr>
        <w:t>ً</w:t>
      </w:r>
      <w:r w:rsidRPr="00AA537D">
        <w:rPr>
          <w:spacing w:val="0"/>
          <w:kern w:val="0"/>
          <w:rtl/>
        </w:rPr>
        <w:t xml:space="preserve"> للمادتين 12 و13 من الاتفاقية. وتلاحظ اللجنة أنه على الرغم من </w:t>
      </w:r>
      <w:r w:rsidRPr="00AA537D">
        <w:rPr>
          <w:rFonts w:hint="cs"/>
          <w:spacing w:val="0"/>
          <w:kern w:val="0"/>
          <w:rtl/>
        </w:rPr>
        <w:t>تقديم</w:t>
      </w:r>
      <w:r w:rsidRPr="00AA537D">
        <w:rPr>
          <w:spacing w:val="0"/>
          <w:kern w:val="0"/>
          <w:rtl/>
        </w:rPr>
        <w:t xml:space="preserve"> صاحب الشكوى </w:t>
      </w:r>
      <w:r w:rsidRPr="00AA537D">
        <w:rPr>
          <w:rFonts w:hint="cs"/>
          <w:spacing w:val="0"/>
          <w:kern w:val="0"/>
          <w:rtl/>
        </w:rPr>
        <w:t xml:space="preserve">بلاغ عن </w:t>
      </w:r>
      <w:r w:rsidRPr="00AA537D">
        <w:rPr>
          <w:spacing w:val="0"/>
          <w:kern w:val="0"/>
          <w:rtl/>
        </w:rPr>
        <w:t xml:space="preserve">التعذيب </w:t>
      </w:r>
      <w:r w:rsidRPr="00AA537D">
        <w:rPr>
          <w:rFonts w:hint="cs"/>
          <w:spacing w:val="0"/>
          <w:kern w:val="0"/>
          <w:rtl/>
        </w:rPr>
        <w:t>بعد عدة أيام من وقوعه،</w:t>
      </w:r>
      <w:r w:rsidRPr="00AA537D">
        <w:rPr>
          <w:spacing w:val="0"/>
          <w:kern w:val="0"/>
          <w:rtl/>
        </w:rPr>
        <w:t xml:space="preserve"> </w:t>
      </w:r>
      <w:r w:rsidRPr="00AA537D">
        <w:rPr>
          <w:rFonts w:hint="cs"/>
          <w:spacing w:val="0"/>
          <w:kern w:val="0"/>
          <w:rtl/>
        </w:rPr>
        <w:t xml:space="preserve">لم يبدأ التحقيق الأوّلي إلا </w:t>
      </w:r>
      <w:r w:rsidRPr="00AA537D">
        <w:rPr>
          <w:spacing w:val="0"/>
          <w:kern w:val="0"/>
          <w:rtl/>
        </w:rPr>
        <w:t xml:space="preserve">بعد شهر وأسفر عن </w:t>
      </w:r>
      <w:r w:rsidRPr="00AA537D">
        <w:rPr>
          <w:rFonts w:hint="cs"/>
          <w:spacing w:val="0"/>
          <w:kern w:val="0"/>
          <w:rtl/>
        </w:rPr>
        <w:t>عدم الموافقة على إجراء تحقيق جنائي. و</w:t>
      </w:r>
      <w:r w:rsidRPr="00AA537D">
        <w:rPr>
          <w:spacing w:val="0"/>
          <w:kern w:val="0"/>
          <w:rtl/>
        </w:rPr>
        <w:t xml:space="preserve">بعد ذلك، </w:t>
      </w:r>
      <w:r w:rsidRPr="00AA537D">
        <w:rPr>
          <w:rFonts w:hint="cs"/>
          <w:spacing w:val="0"/>
          <w:kern w:val="0"/>
          <w:rtl/>
        </w:rPr>
        <w:t>و</w:t>
      </w:r>
      <w:r w:rsidRPr="00AA537D">
        <w:rPr>
          <w:spacing w:val="0"/>
          <w:kern w:val="0"/>
          <w:rtl/>
        </w:rPr>
        <w:t>في أعقاب</w:t>
      </w:r>
      <w:r w:rsidRPr="00AA537D">
        <w:rPr>
          <w:rFonts w:hint="cs"/>
          <w:spacing w:val="0"/>
          <w:kern w:val="0"/>
          <w:rtl/>
        </w:rPr>
        <w:t xml:space="preserve"> الطعون المتعددة</w:t>
      </w:r>
      <w:r w:rsidRPr="00AA537D">
        <w:rPr>
          <w:spacing w:val="0"/>
          <w:kern w:val="0"/>
          <w:rtl/>
        </w:rPr>
        <w:t xml:space="preserve"> </w:t>
      </w:r>
      <w:r w:rsidRPr="00AA537D">
        <w:rPr>
          <w:rFonts w:hint="cs"/>
          <w:spacing w:val="0"/>
          <w:kern w:val="0"/>
          <w:rtl/>
        </w:rPr>
        <w:t xml:space="preserve">التي قدمها </w:t>
      </w:r>
      <w:r w:rsidRPr="00AA537D">
        <w:rPr>
          <w:spacing w:val="0"/>
          <w:kern w:val="0"/>
          <w:rtl/>
        </w:rPr>
        <w:t xml:space="preserve">صاحب الشكوى، </w:t>
      </w:r>
      <w:r w:rsidRPr="00AA537D">
        <w:rPr>
          <w:rFonts w:hint="cs"/>
          <w:spacing w:val="0"/>
          <w:kern w:val="0"/>
          <w:rtl/>
        </w:rPr>
        <w:t>عمدت مكاتب المدعي العام وهيئات التحقيق المختلفة مراراً إلى فتح التحقيق وإغلاقه ثم إغلاقه</w:t>
      </w:r>
      <w:r w:rsidRPr="00AA537D">
        <w:rPr>
          <w:spacing w:val="0"/>
          <w:kern w:val="0"/>
          <w:rtl/>
        </w:rPr>
        <w:t xml:space="preserve"> </w:t>
      </w:r>
      <w:r w:rsidRPr="00AA537D">
        <w:rPr>
          <w:rFonts w:hint="cs"/>
          <w:spacing w:val="0"/>
          <w:kern w:val="0"/>
          <w:rtl/>
        </w:rPr>
        <w:t xml:space="preserve">دون أن تنسب </w:t>
      </w:r>
      <w:r w:rsidRPr="00AA537D">
        <w:rPr>
          <w:spacing w:val="0"/>
          <w:kern w:val="0"/>
          <w:rtl/>
        </w:rPr>
        <w:t xml:space="preserve">المسؤولية الجنائية إلى </w:t>
      </w:r>
      <w:r w:rsidRPr="00AA537D">
        <w:rPr>
          <w:rFonts w:hint="cs"/>
          <w:spacing w:val="0"/>
          <w:kern w:val="0"/>
          <w:rtl/>
        </w:rPr>
        <w:t xml:space="preserve">أفراد </w:t>
      </w:r>
      <w:r w:rsidRPr="00AA537D">
        <w:rPr>
          <w:spacing w:val="0"/>
          <w:kern w:val="0"/>
          <w:rtl/>
        </w:rPr>
        <w:t xml:space="preserve">الشرطة </w:t>
      </w:r>
      <w:r w:rsidRPr="00AA537D">
        <w:rPr>
          <w:rFonts w:hint="cs"/>
          <w:spacing w:val="0"/>
          <w:kern w:val="0"/>
          <w:rtl/>
        </w:rPr>
        <w:t xml:space="preserve">بدعوى </w:t>
      </w:r>
      <w:r w:rsidRPr="00AA537D">
        <w:rPr>
          <w:spacing w:val="0"/>
          <w:kern w:val="0"/>
          <w:rtl/>
        </w:rPr>
        <w:t>عدم كفاية الأدلة.</w:t>
      </w:r>
    </w:p>
    <w:p w:rsidR="00FA6676" w:rsidRPr="00AA537D" w:rsidRDefault="00FA6676" w:rsidP="00AA537D">
      <w:pPr>
        <w:pStyle w:val="SingleTxtGA"/>
        <w:jc w:val="lowKashida"/>
        <w:rPr>
          <w:rFonts w:hint="cs"/>
          <w:spacing w:val="0"/>
          <w:kern w:val="0"/>
          <w:rtl/>
        </w:rPr>
      </w:pPr>
      <w:r w:rsidRPr="00AA537D">
        <w:rPr>
          <w:rFonts w:hint="cs"/>
          <w:spacing w:val="0"/>
          <w:kern w:val="0"/>
          <w:rtl/>
        </w:rPr>
        <w:t>12-4</w:t>
      </w:r>
      <w:r w:rsidRPr="00AA537D">
        <w:rPr>
          <w:rFonts w:hint="cs"/>
          <w:spacing w:val="0"/>
          <w:kern w:val="0"/>
          <w:rtl/>
        </w:rPr>
        <w:tab/>
        <w:t xml:space="preserve">وتذكّر اللجنة بأن </w:t>
      </w:r>
      <w:r w:rsidRPr="00AA537D">
        <w:rPr>
          <w:spacing w:val="0"/>
          <w:kern w:val="0"/>
          <w:rtl/>
          <w:lang w:bidi="ar-MA"/>
        </w:rPr>
        <w:t xml:space="preserve">التحقيق في حد ذاته ليس كافياً لإثبات امتثال الدولة الطرف لالتزاماتها بموجب </w:t>
      </w:r>
      <w:r w:rsidRPr="00AA537D">
        <w:rPr>
          <w:rFonts w:hint="cs"/>
          <w:spacing w:val="0"/>
          <w:kern w:val="0"/>
          <w:rtl/>
          <w:lang w:bidi="ar-MA"/>
        </w:rPr>
        <w:t xml:space="preserve">المادة 12 من الاتفاقية </w:t>
      </w:r>
      <w:r w:rsidRPr="00AA537D">
        <w:rPr>
          <w:spacing w:val="0"/>
          <w:kern w:val="0"/>
          <w:rtl/>
          <w:lang w:bidi="ar-MA"/>
        </w:rPr>
        <w:t xml:space="preserve">إذا </w:t>
      </w:r>
      <w:r w:rsidRPr="00AA537D">
        <w:rPr>
          <w:rFonts w:hint="cs"/>
          <w:spacing w:val="0"/>
          <w:kern w:val="0"/>
          <w:rtl/>
          <w:lang w:bidi="ar-MA"/>
        </w:rPr>
        <w:t xml:space="preserve">تبين </w:t>
      </w:r>
      <w:r w:rsidRPr="00AA537D">
        <w:rPr>
          <w:spacing w:val="0"/>
          <w:kern w:val="0"/>
          <w:rtl/>
          <w:lang w:bidi="ar-MA"/>
        </w:rPr>
        <w:t xml:space="preserve">أنه لم يجر بطريقة </w:t>
      </w:r>
      <w:r w:rsidRPr="00AA537D">
        <w:rPr>
          <w:rFonts w:hint="cs"/>
          <w:spacing w:val="0"/>
          <w:kern w:val="0"/>
          <w:rtl/>
          <w:lang w:bidi="ar-MA"/>
        </w:rPr>
        <w:t>مجرّدة من الت</w:t>
      </w:r>
      <w:r w:rsidRPr="00AA537D">
        <w:rPr>
          <w:spacing w:val="0"/>
          <w:kern w:val="0"/>
          <w:rtl/>
          <w:lang w:bidi="ar-MA"/>
        </w:rPr>
        <w:t>ح</w:t>
      </w:r>
      <w:r w:rsidRPr="00AA537D">
        <w:rPr>
          <w:rFonts w:hint="cs"/>
          <w:spacing w:val="0"/>
          <w:kern w:val="0"/>
          <w:rtl/>
          <w:lang w:bidi="ar-MA"/>
        </w:rPr>
        <w:t>ي</w:t>
      </w:r>
      <w:r w:rsidRPr="00AA537D">
        <w:rPr>
          <w:spacing w:val="0"/>
          <w:kern w:val="0"/>
          <w:rtl/>
          <w:lang w:bidi="ar-MA"/>
        </w:rPr>
        <w:t>ز</w:t>
      </w:r>
      <w:r w:rsidRPr="00AA537D">
        <w:rPr>
          <w:spacing w:val="0"/>
          <w:kern w:val="0"/>
          <w:vertAlign w:val="superscript"/>
          <w:rtl/>
          <w:lang w:bidi="ar-MA"/>
        </w:rPr>
        <w:t>(</w:t>
      </w:r>
      <w:r w:rsidRPr="00AA537D">
        <w:rPr>
          <w:rStyle w:val="FootnoteReference"/>
          <w:spacing w:val="0"/>
          <w:rtl/>
          <w:lang w:bidi="ar-MA"/>
        </w:rPr>
        <w:footnoteReference w:id="401"/>
      </w:r>
      <w:r w:rsidRPr="00AA537D">
        <w:rPr>
          <w:spacing w:val="0"/>
          <w:kern w:val="0"/>
          <w:vertAlign w:val="superscript"/>
          <w:rtl/>
          <w:lang w:bidi="ar-MA"/>
        </w:rPr>
        <w:t>)</w:t>
      </w:r>
      <w:r w:rsidRPr="00AA537D">
        <w:rPr>
          <w:spacing w:val="0"/>
          <w:kern w:val="0"/>
          <w:rtl/>
          <w:lang w:bidi="ar-MA"/>
        </w:rPr>
        <w:t>.</w:t>
      </w:r>
      <w:r w:rsidRPr="00AA537D">
        <w:rPr>
          <w:rFonts w:hint="cs"/>
          <w:spacing w:val="0"/>
          <w:kern w:val="0"/>
          <w:rtl/>
          <w:lang w:bidi="ar-MA"/>
        </w:rPr>
        <w:t xml:space="preserve"> وفي هذا الصدد، تلاحظ اللجنة أن الجهة التي كلفت بالتحقيق هي</w:t>
      </w:r>
      <w:r w:rsidRPr="00AA537D">
        <w:rPr>
          <w:spacing w:val="0"/>
          <w:kern w:val="0"/>
          <w:rtl/>
        </w:rPr>
        <w:t xml:space="preserve"> إدارة الشرطة (إدارة الشؤون الداخلية</w:t>
      </w:r>
      <w:r w:rsidRPr="00AA537D">
        <w:rPr>
          <w:rFonts w:hint="cs"/>
          <w:spacing w:val="0"/>
          <w:kern w:val="0"/>
          <w:rtl/>
        </w:rPr>
        <w:t xml:space="preserve"> الجنوبية</w:t>
      </w:r>
      <w:r w:rsidRPr="00AA537D">
        <w:rPr>
          <w:spacing w:val="0"/>
          <w:kern w:val="0"/>
          <w:rtl/>
        </w:rPr>
        <w:t>) التي ارتكب فيها التعذيب المزعوم</w:t>
      </w:r>
      <w:r w:rsidRPr="00AA537D">
        <w:rPr>
          <w:rFonts w:hint="cs"/>
          <w:spacing w:val="0"/>
          <w:kern w:val="0"/>
          <w:rtl/>
        </w:rPr>
        <w:t xml:space="preserve"> </w:t>
      </w:r>
      <w:r w:rsidRPr="00AA537D">
        <w:rPr>
          <w:rFonts w:hint="cs"/>
          <w:spacing w:val="0"/>
          <w:kern w:val="0"/>
          <w:rtl/>
          <w:lang w:bidi="ar-SY"/>
        </w:rPr>
        <w:t xml:space="preserve">ومن بعدها إلى الهيئة الأعلى منها درجة في التسلسل الهرمي (إدارة الشؤون الداخلية الإقليمية). </w:t>
      </w:r>
      <w:r w:rsidRPr="00AA537D">
        <w:rPr>
          <w:rFonts w:hint="cs"/>
          <w:spacing w:val="0"/>
          <w:kern w:val="0"/>
          <w:rtl/>
        </w:rPr>
        <w:t>وتذكر اللجنة بقلق أن التحقيقات الأولية في التقارير والشكاوى المتعلقة بالتعذيب وإساءة المعاملة من قِبل الشرطة تتولاها إدارة الأمن العام التي تخضع لنفس التسلسل القيادي الذي تخضع له قوات الشرطة النظامية، ومن ثم فإن ذلك لا يؤدي إلى أي تحقيقات نزيهة</w:t>
      </w:r>
      <w:r w:rsidRPr="00AA537D">
        <w:rPr>
          <w:spacing w:val="0"/>
          <w:kern w:val="0"/>
          <w:vertAlign w:val="superscript"/>
          <w:rtl/>
        </w:rPr>
        <w:t>(</w:t>
      </w:r>
      <w:r w:rsidRPr="00AA537D">
        <w:rPr>
          <w:rStyle w:val="FootnoteReference"/>
          <w:spacing w:val="0"/>
          <w:rtl/>
        </w:rPr>
        <w:footnoteReference w:id="402"/>
      </w:r>
      <w:r w:rsidRPr="00AA537D">
        <w:rPr>
          <w:spacing w:val="0"/>
          <w:kern w:val="0"/>
          <w:vertAlign w:val="superscript"/>
          <w:rtl/>
        </w:rPr>
        <w:t>)</w:t>
      </w:r>
      <w:r w:rsidRPr="00AA537D">
        <w:rPr>
          <w:rFonts w:hint="cs"/>
          <w:spacing w:val="0"/>
          <w:kern w:val="0"/>
          <w:rtl/>
        </w:rPr>
        <w:t>.</w:t>
      </w:r>
    </w:p>
    <w:p w:rsidR="00FA6676" w:rsidRPr="00AA537D" w:rsidRDefault="00FA6676" w:rsidP="003E385E">
      <w:pPr>
        <w:pStyle w:val="SingleTxtGA"/>
        <w:jc w:val="lowKashida"/>
        <w:rPr>
          <w:rFonts w:hint="cs"/>
          <w:spacing w:val="0"/>
          <w:kern w:val="0"/>
          <w:rtl/>
        </w:rPr>
      </w:pPr>
      <w:r w:rsidRPr="00AA537D">
        <w:rPr>
          <w:rFonts w:hint="cs"/>
          <w:spacing w:val="0"/>
          <w:kern w:val="0"/>
          <w:rtl/>
          <w:lang w:bidi="ar-SY"/>
        </w:rPr>
        <w:t>12-5</w:t>
      </w:r>
      <w:r w:rsidRPr="00AA537D">
        <w:rPr>
          <w:rFonts w:hint="cs"/>
          <w:spacing w:val="0"/>
          <w:kern w:val="0"/>
          <w:rtl/>
          <w:lang w:bidi="ar-SY"/>
        </w:rPr>
        <w:tab/>
        <w:t>وتقضي المادة 12 بأن يكون التحقيق سريعاً ونزيهاً. وفيما يتعلق بسرعة التحقيقات، تلاحظ اللجنة أن توخي السرعة في التحقيقات أمر حيوي لسببين: أولهما تفادي استمرار تعرض المعتدى عليه للأعمال المذكورة؛ وثانيهما أن الآثار البدنية للتعذيب، ناهيك عن المعاملة القاسية أو اللاإنسانية أو المهينة، تختفي عموماً بعد فترة وجيزة</w:t>
      </w:r>
      <w:r w:rsidRPr="00AA537D">
        <w:rPr>
          <w:spacing w:val="0"/>
          <w:kern w:val="0"/>
          <w:vertAlign w:val="superscript"/>
          <w:rtl/>
          <w:lang w:bidi="ar-SY"/>
        </w:rPr>
        <w:t>(</w:t>
      </w:r>
      <w:r w:rsidRPr="00AA537D">
        <w:rPr>
          <w:rStyle w:val="FootnoteReference"/>
          <w:spacing w:val="0"/>
          <w:rtl/>
          <w:lang w:bidi="ar-SY"/>
        </w:rPr>
        <w:footnoteReference w:id="403"/>
      </w:r>
      <w:r w:rsidRPr="00AA537D">
        <w:rPr>
          <w:spacing w:val="0"/>
          <w:kern w:val="0"/>
          <w:vertAlign w:val="superscript"/>
          <w:rtl/>
          <w:lang w:bidi="ar-SY"/>
        </w:rPr>
        <w:t>)</w:t>
      </w:r>
      <w:r w:rsidRPr="00AA537D">
        <w:rPr>
          <w:rFonts w:hint="cs"/>
          <w:spacing w:val="0"/>
          <w:kern w:val="0"/>
          <w:rtl/>
          <w:lang w:bidi="ar-SY"/>
        </w:rPr>
        <w:t xml:space="preserve">. </w:t>
      </w:r>
      <w:r w:rsidRPr="00AA537D">
        <w:rPr>
          <w:spacing w:val="0"/>
          <w:kern w:val="0"/>
          <w:sz w:val="30"/>
          <w:rtl/>
        </w:rPr>
        <w:t>وتلاحظ اللجنة أن</w:t>
      </w:r>
      <w:r w:rsidRPr="00AA537D">
        <w:rPr>
          <w:rFonts w:hint="cs"/>
          <w:spacing w:val="0"/>
          <w:kern w:val="0"/>
          <w:sz w:val="30"/>
          <w:rtl/>
        </w:rPr>
        <w:t xml:space="preserve">ه أجري </w:t>
      </w:r>
      <w:r w:rsidRPr="00AA537D">
        <w:rPr>
          <w:spacing w:val="0"/>
          <w:kern w:val="0"/>
          <w:sz w:val="30"/>
          <w:rtl/>
        </w:rPr>
        <w:t>تحقيق أول</w:t>
      </w:r>
      <w:r w:rsidRPr="00AA537D">
        <w:rPr>
          <w:rFonts w:hint="cs"/>
          <w:spacing w:val="0"/>
          <w:kern w:val="0"/>
          <w:sz w:val="30"/>
          <w:rtl/>
        </w:rPr>
        <w:t>ي</w:t>
      </w:r>
      <w:r w:rsidRPr="00AA537D">
        <w:rPr>
          <w:spacing w:val="0"/>
          <w:kern w:val="0"/>
          <w:sz w:val="30"/>
          <w:rtl/>
        </w:rPr>
        <w:t xml:space="preserve"> ب</w:t>
      </w:r>
      <w:r w:rsidRPr="00AA537D">
        <w:rPr>
          <w:rFonts w:hint="cs"/>
          <w:spacing w:val="0"/>
          <w:kern w:val="0"/>
          <w:sz w:val="30"/>
          <w:rtl/>
        </w:rPr>
        <w:t>ع</w:t>
      </w:r>
      <w:r w:rsidRPr="00AA537D">
        <w:rPr>
          <w:spacing w:val="0"/>
          <w:kern w:val="0"/>
          <w:sz w:val="30"/>
          <w:rtl/>
        </w:rPr>
        <w:t xml:space="preserve">د شهر </w:t>
      </w:r>
      <w:r w:rsidRPr="00AA537D">
        <w:rPr>
          <w:rFonts w:hint="cs"/>
          <w:spacing w:val="0"/>
          <w:kern w:val="0"/>
          <w:sz w:val="30"/>
          <w:rtl/>
        </w:rPr>
        <w:t xml:space="preserve">من </w:t>
      </w:r>
      <w:r w:rsidRPr="00AA537D">
        <w:rPr>
          <w:spacing w:val="0"/>
          <w:kern w:val="0"/>
          <w:sz w:val="30"/>
          <w:rtl/>
        </w:rPr>
        <w:t xml:space="preserve">الوقائع المبلغ عنها للتعذيب، بينما </w:t>
      </w:r>
      <w:r w:rsidRPr="00AA537D">
        <w:rPr>
          <w:rFonts w:hint="cs"/>
          <w:spacing w:val="0"/>
          <w:kern w:val="0"/>
          <w:sz w:val="30"/>
          <w:rtl/>
        </w:rPr>
        <w:t>لم ي</w:t>
      </w:r>
      <w:r w:rsidRPr="00AA537D">
        <w:rPr>
          <w:spacing w:val="0"/>
          <w:kern w:val="0"/>
          <w:sz w:val="30"/>
          <w:rtl/>
        </w:rPr>
        <w:t xml:space="preserve">فحص صاحب الشكوى </w:t>
      </w:r>
      <w:r w:rsidRPr="00AA537D">
        <w:rPr>
          <w:rFonts w:hint="cs"/>
          <w:spacing w:val="0"/>
          <w:kern w:val="0"/>
          <w:sz w:val="30"/>
          <w:rtl/>
        </w:rPr>
        <w:t xml:space="preserve">فحصا طبيا إلا في </w:t>
      </w:r>
      <w:r w:rsidRPr="00AA537D">
        <w:rPr>
          <w:spacing w:val="0"/>
          <w:kern w:val="0"/>
          <w:sz w:val="30"/>
          <w:rtl/>
        </w:rPr>
        <w:t xml:space="preserve">23 </w:t>
      </w:r>
      <w:r w:rsidRPr="00AA537D">
        <w:rPr>
          <w:rFonts w:hint="cs"/>
          <w:spacing w:val="0"/>
          <w:kern w:val="0"/>
          <w:sz w:val="30"/>
          <w:rtl/>
        </w:rPr>
        <w:t>نيسان/</w:t>
      </w:r>
      <w:r w:rsidRPr="00AA537D">
        <w:rPr>
          <w:spacing w:val="0"/>
          <w:kern w:val="0"/>
          <w:sz w:val="30"/>
          <w:rtl/>
        </w:rPr>
        <w:t xml:space="preserve">أبريل 2007، </w:t>
      </w:r>
      <w:r w:rsidRPr="00AA537D">
        <w:rPr>
          <w:rFonts w:hint="cs"/>
          <w:spacing w:val="0"/>
          <w:kern w:val="0"/>
          <w:sz w:val="30"/>
          <w:rtl/>
        </w:rPr>
        <w:t xml:space="preserve">أي بعد </w:t>
      </w:r>
      <w:r w:rsidRPr="00AA537D">
        <w:rPr>
          <w:spacing w:val="0"/>
          <w:kern w:val="0"/>
          <w:sz w:val="30"/>
          <w:rtl/>
        </w:rPr>
        <w:t xml:space="preserve">ثلاثة أسابيع </w:t>
      </w:r>
      <w:r w:rsidRPr="00AA537D">
        <w:rPr>
          <w:rFonts w:hint="cs"/>
          <w:spacing w:val="0"/>
          <w:kern w:val="0"/>
          <w:sz w:val="30"/>
          <w:rtl/>
        </w:rPr>
        <w:t xml:space="preserve">من </w:t>
      </w:r>
      <w:r w:rsidRPr="00AA537D">
        <w:rPr>
          <w:spacing w:val="0"/>
          <w:kern w:val="0"/>
          <w:sz w:val="30"/>
          <w:rtl/>
        </w:rPr>
        <w:t xml:space="preserve">خروجه من المستشفى. </w:t>
      </w:r>
      <w:r w:rsidRPr="00AA537D">
        <w:rPr>
          <w:rFonts w:hint="cs"/>
          <w:spacing w:val="0"/>
          <w:kern w:val="0"/>
          <w:sz w:val="30"/>
          <w:rtl/>
        </w:rPr>
        <w:t xml:space="preserve">ولم تجر الاختبارات العلمية </w:t>
      </w:r>
      <w:r w:rsidRPr="00AA537D">
        <w:rPr>
          <w:spacing w:val="0"/>
          <w:kern w:val="0"/>
          <w:sz w:val="30"/>
          <w:rtl/>
        </w:rPr>
        <w:t xml:space="preserve">للملابس التي </w:t>
      </w:r>
      <w:r w:rsidRPr="00AA537D">
        <w:rPr>
          <w:rFonts w:hint="cs"/>
          <w:spacing w:val="0"/>
          <w:kern w:val="0"/>
          <w:sz w:val="30"/>
          <w:rtl/>
        </w:rPr>
        <w:t xml:space="preserve">كان </w:t>
      </w:r>
      <w:r w:rsidRPr="00AA537D">
        <w:rPr>
          <w:spacing w:val="0"/>
          <w:kern w:val="0"/>
          <w:sz w:val="30"/>
          <w:rtl/>
        </w:rPr>
        <w:t>يرتديها صاحب الشكوى و</w:t>
      </w:r>
      <w:r w:rsidRPr="00AA537D">
        <w:rPr>
          <w:rFonts w:hint="cs"/>
          <w:spacing w:val="0"/>
          <w:kern w:val="0"/>
          <w:sz w:val="30"/>
          <w:rtl/>
        </w:rPr>
        <w:t xml:space="preserve">أفراد الشرطة </w:t>
      </w:r>
      <w:r w:rsidRPr="00AA537D">
        <w:rPr>
          <w:spacing w:val="0"/>
          <w:kern w:val="0"/>
          <w:sz w:val="30"/>
          <w:rtl/>
        </w:rPr>
        <w:t xml:space="preserve">المتهمين </w:t>
      </w:r>
      <w:r w:rsidRPr="00AA537D">
        <w:rPr>
          <w:rFonts w:hint="cs"/>
          <w:spacing w:val="0"/>
          <w:kern w:val="0"/>
          <w:sz w:val="30"/>
          <w:rtl/>
        </w:rPr>
        <w:t>ب</w:t>
      </w:r>
      <w:r w:rsidRPr="00AA537D">
        <w:rPr>
          <w:spacing w:val="0"/>
          <w:kern w:val="0"/>
          <w:sz w:val="30"/>
          <w:rtl/>
        </w:rPr>
        <w:t xml:space="preserve">التعذيب </w:t>
      </w:r>
      <w:r w:rsidRPr="00AA537D">
        <w:rPr>
          <w:rFonts w:hint="cs"/>
          <w:spacing w:val="0"/>
          <w:kern w:val="0"/>
          <w:sz w:val="30"/>
          <w:rtl/>
        </w:rPr>
        <w:t xml:space="preserve">إلا في </w:t>
      </w:r>
      <w:r w:rsidRPr="00AA537D">
        <w:rPr>
          <w:spacing w:val="0"/>
          <w:kern w:val="0"/>
          <w:sz w:val="30"/>
          <w:rtl/>
        </w:rPr>
        <w:t xml:space="preserve">16 </w:t>
      </w:r>
      <w:r w:rsidRPr="00AA537D">
        <w:rPr>
          <w:rFonts w:hint="cs"/>
          <w:spacing w:val="0"/>
          <w:kern w:val="0"/>
          <w:sz w:val="30"/>
          <w:rtl/>
        </w:rPr>
        <w:t>تموز/</w:t>
      </w:r>
      <w:r w:rsidRPr="00AA537D">
        <w:rPr>
          <w:spacing w:val="0"/>
          <w:kern w:val="0"/>
          <w:sz w:val="30"/>
          <w:rtl/>
        </w:rPr>
        <w:t>يوليه 2007، أي</w:t>
      </w:r>
      <w:r w:rsidRPr="00AA537D">
        <w:rPr>
          <w:rFonts w:hint="cs"/>
          <w:spacing w:val="0"/>
          <w:kern w:val="0"/>
          <w:sz w:val="30"/>
          <w:rtl/>
        </w:rPr>
        <w:t xml:space="preserve"> بعد </w:t>
      </w:r>
      <w:r w:rsidRPr="00AA537D">
        <w:rPr>
          <w:spacing w:val="0"/>
          <w:kern w:val="0"/>
          <w:sz w:val="30"/>
          <w:rtl/>
        </w:rPr>
        <w:t xml:space="preserve">أكثر من ثلاثة أشهر </w:t>
      </w:r>
      <w:r w:rsidRPr="00AA537D">
        <w:rPr>
          <w:rFonts w:hint="cs"/>
          <w:spacing w:val="0"/>
          <w:kern w:val="0"/>
          <w:sz w:val="30"/>
          <w:rtl/>
        </w:rPr>
        <w:t xml:space="preserve">من وقوع </w:t>
      </w:r>
      <w:r w:rsidRPr="00AA537D">
        <w:rPr>
          <w:spacing w:val="0"/>
          <w:kern w:val="0"/>
          <w:sz w:val="30"/>
          <w:rtl/>
        </w:rPr>
        <w:t>التعذيب المزعوم،</w:t>
      </w:r>
      <w:r w:rsidRPr="00AA537D">
        <w:rPr>
          <w:rFonts w:hint="cs"/>
          <w:spacing w:val="0"/>
          <w:kern w:val="0"/>
          <w:rtl/>
          <w:lang w:bidi="ar-SY"/>
        </w:rPr>
        <w:t xml:space="preserve"> ولا يمكن الاعتماد على نتائج هذه الاختبارات ملابس أفراد الشرطة كانت قد غُسلت. </w:t>
      </w:r>
      <w:r w:rsidRPr="00AA537D">
        <w:rPr>
          <w:spacing w:val="0"/>
          <w:kern w:val="0"/>
          <w:sz w:val="30"/>
          <w:rtl/>
        </w:rPr>
        <w:t>وتلاحظ اللجنة أيضا</w:t>
      </w:r>
      <w:r w:rsidRPr="00AA537D">
        <w:rPr>
          <w:rFonts w:hint="cs"/>
          <w:spacing w:val="0"/>
          <w:kern w:val="0"/>
          <w:sz w:val="30"/>
          <w:rtl/>
        </w:rPr>
        <w:t>ً</w:t>
      </w:r>
      <w:r w:rsidRPr="00AA537D">
        <w:rPr>
          <w:spacing w:val="0"/>
          <w:kern w:val="0"/>
          <w:sz w:val="30"/>
          <w:rtl/>
        </w:rPr>
        <w:t xml:space="preserve"> أن التحقيق يعتمد اعتماداً كبيرا</w:t>
      </w:r>
      <w:r w:rsidRPr="00AA537D">
        <w:rPr>
          <w:rFonts w:hint="cs"/>
          <w:spacing w:val="0"/>
          <w:kern w:val="0"/>
          <w:sz w:val="30"/>
          <w:rtl/>
        </w:rPr>
        <w:t>ً</w:t>
      </w:r>
      <w:r w:rsidRPr="00AA537D">
        <w:rPr>
          <w:spacing w:val="0"/>
          <w:kern w:val="0"/>
          <w:sz w:val="30"/>
          <w:rtl/>
        </w:rPr>
        <w:t xml:space="preserve"> على </w:t>
      </w:r>
      <w:r w:rsidRPr="00AA537D">
        <w:rPr>
          <w:rFonts w:hint="cs"/>
          <w:spacing w:val="0"/>
          <w:kern w:val="0"/>
          <w:sz w:val="30"/>
          <w:rtl/>
        </w:rPr>
        <w:t>أقوال</w:t>
      </w:r>
      <w:r w:rsidRPr="00AA537D">
        <w:rPr>
          <w:spacing w:val="0"/>
          <w:kern w:val="0"/>
          <w:sz w:val="30"/>
          <w:rtl/>
        </w:rPr>
        <w:t xml:space="preserve"> </w:t>
      </w:r>
      <w:r w:rsidRPr="00AA537D">
        <w:rPr>
          <w:rFonts w:hint="cs"/>
          <w:spacing w:val="0"/>
          <w:kern w:val="0"/>
          <w:sz w:val="30"/>
          <w:rtl/>
        </w:rPr>
        <w:t xml:space="preserve">أفراد </w:t>
      </w:r>
      <w:r w:rsidRPr="00AA537D">
        <w:rPr>
          <w:spacing w:val="0"/>
          <w:kern w:val="0"/>
          <w:sz w:val="30"/>
          <w:rtl/>
        </w:rPr>
        <w:t xml:space="preserve">الشرطة الذين </w:t>
      </w:r>
      <w:r w:rsidRPr="00AA537D">
        <w:rPr>
          <w:rFonts w:hint="cs"/>
          <w:spacing w:val="0"/>
          <w:kern w:val="0"/>
          <w:sz w:val="30"/>
          <w:rtl/>
        </w:rPr>
        <w:t xml:space="preserve">أنكروا </w:t>
      </w:r>
      <w:r w:rsidRPr="00AA537D">
        <w:rPr>
          <w:spacing w:val="0"/>
          <w:kern w:val="0"/>
          <w:sz w:val="30"/>
          <w:rtl/>
        </w:rPr>
        <w:t xml:space="preserve">أي تورط في التعذيب </w:t>
      </w:r>
      <w:r w:rsidRPr="00AA537D">
        <w:rPr>
          <w:rFonts w:hint="cs"/>
          <w:spacing w:val="0"/>
          <w:kern w:val="0"/>
          <w:sz w:val="30"/>
          <w:rtl/>
        </w:rPr>
        <w:t xml:space="preserve">وأعطت وزناً </w:t>
      </w:r>
      <w:r w:rsidRPr="00AA537D">
        <w:rPr>
          <w:spacing w:val="0"/>
          <w:kern w:val="0"/>
          <w:sz w:val="30"/>
          <w:rtl/>
        </w:rPr>
        <w:t>قلي</w:t>
      </w:r>
      <w:r w:rsidRPr="00AA537D">
        <w:rPr>
          <w:rFonts w:hint="cs"/>
          <w:spacing w:val="0"/>
          <w:kern w:val="0"/>
          <w:sz w:val="30"/>
          <w:rtl/>
        </w:rPr>
        <w:t>لاً</w:t>
      </w:r>
      <w:r w:rsidRPr="00AA537D">
        <w:rPr>
          <w:spacing w:val="0"/>
          <w:kern w:val="0"/>
          <w:sz w:val="30"/>
          <w:rtl/>
        </w:rPr>
        <w:t xml:space="preserve"> </w:t>
      </w:r>
      <w:r w:rsidRPr="00AA537D">
        <w:rPr>
          <w:rFonts w:hint="cs"/>
          <w:spacing w:val="0"/>
          <w:kern w:val="0"/>
          <w:sz w:val="30"/>
          <w:rtl/>
        </w:rPr>
        <w:t xml:space="preserve">للأقوال المتسقة </w:t>
      </w:r>
      <w:r w:rsidRPr="00AA537D">
        <w:rPr>
          <w:spacing w:val="0"/>
          <w:kern w:val="0"/>
          <w:sz w:val="30"/>
          <w:rtl/>
        </w:rPr>
        <w:t xml:space="preserve">لصاحب الشكوى والأدلة الطبية </w:t>
      </w:r>
      <w:r w:rsidRPr="00AA537D">
        <w:rPr>
          <w:rFonts w:hint="cs"/>
          <w:spacing w:val="0"/>
          <w:kern w:val="0"/>
          <w:sz w:val="30"/>
          <w:rtl/>
        </w:rPr>
        <w:t xml:space="preserve">التي لا جدال فيها </w:t>
      </w:r>
      <w:r w:rsidRPr="00AA537D">
        <w:rPr>
          <w:spacing w:val="0"/>
          <w:kern w:val="0"/>
          <w:sz w:val="30"/>
          <w:rtl/>
        </w:rPr>
        <w:t xml:space="preserve">في توثيق الإصابات التي لحقت به. وعلاوة على ذلك، على الرغم من </w:t>
      </w:r>
      <w:r w:rsidRPr="00AA537D">
        <w:rPr>
          <w:rFonts w:hint="cs"/>
          <w:spacing w:val="0"/>
          <w:kern w:val="0"/>
          <w:sz w:val="30"/>
          <w:rtl/>
        </w:rPr>
        <w:t xml:space="preserve">تأكيد صاحب الشكوى لأقواله في الاستجوابات المتعددة التي تمت أثناء </w:t>
      </w:r>
      <w:r w:rsidRPr="00AA537D">
        <w:rPr>
          <w:spacing w:val="0"/>
          <w:kern w:val="0"/>
          <w:sz w:val="30"/>
          <w:rtl/>
        </w:rPr>
        <w:t xml:space="preserve">التحقيق </w:t>
      </w:r>
      <w:r w:rsidRPr="00AA537D">
        <w:rPr>
          <w:rFonts w:hint="cs"/>
          <w:spacing w:val="0"/>
          <w:kern w:val="0"/>
          <w:sz w:val="30"/>
          <w:rtl/>
        </w:rPr>
        <w:t>المستَأنف</w:t>
      </w:r>
      <w:r w:rsidRPr="00AA537D">
        <w:rPr>
          <w:spacing w:val="0"/>
          <w:kern w:val="0"/>
          <w:sz w:val="30"/>
          <w:rtl/>
        </w:rPr>
        <w:t xml:space="preserve"> </w:t>
      </w:r>
      <w:r w:rsidRPr="00AA537D">
        <w:rPr>
          <w:rFonts w:hint="cs"/>
          <w:spacing w:val="0"/>
          <w:kern w:val="0"/>
          <w:sz w:val="30"/>
          <w:rtl/>
        </w:rPr>
        <w:t xml:space="preserve">الذي أجري في </w:t>
      </w:r>
      <w:r w:rsidRPr="00AA537D">
        <w:rPr>
          <w:spacing w:val="0"/>
          <w:kern w:val="0"/>
          <w:sz w:val="30"/>
          <w:rtl/>
        </w:rPr>
        <w:t>كانون الأول/</w:t>
      </w:r>
      <w:r w:rsidR="003E385E">
        <w:rPr>
          <w:rFonts w:hint="cs"/>
          <w:spacing w:val="0"/>
          <w:kern w:val="0"/>
          <w:sz w:val="30"/>
          <w:rtl/>
        </w:rPr>
        <w:t xml:space="preserve"> </w:t>
      </w:r>
      <w:r w:rsidRPr="00AA537D">
        <w:rPr>
          <w:spacing w:val="0"/>
          <w:kern w:val="0"/>
          <w:sz w:val="30"/>
          <w:rtl/>
        </w:rPr>
        <w:t>ديسمبر</w:t>
      </w:r>
      <w:r w:rsidR="003E385E">
        <w:rPr>
          <w:rFonts w:hint="cs"/>
          <w:spacing w:val="0"/>
          <w:kern w:val="0"/>
          <w:sz w:val="30"/>
          <w:rtl/>
        </w:rPr>
        <w:t> </w:t>
      </w:r>
      <w:r w:rsidRPr="00AA537D">
        <w:rPr>
          <w:spacing w:val="0"/>
          <w:kern w:val="0"/>
          <w:sz w:val="30"/>
          <w:rtl/>
        </w:rPr>
        <w:t xml:space="preserve">2010، </w:t>
      </w:r>
      <w:r w:rsidRPr="00AA537D">
        <w:rPr>
          <w:rFonts w:hint="cs"/>
          <w:spacing w:val="0"/>
          <w:kern w:val="0"/>
          <w:sz w:val="30"/>
          <w:rtl/>
        </w:rPr>
        <w:t xml:space="preserve">وعلى الرغم مما انتهى إليه مكتب المدعي العام في قراره الصادر في </w:t>
      </w:r>
      <w:r w:rsidRPr="00AA537D">
        <w:rPr>
          <w:spacing w:val="0"/>
          <w:kern w:val="0"/>
          <w:sz w:val="30"/>
          <w:rtl/>
        </w:rPr>
        <w:t xml:space="preserve">6 </w:t>
      </w:r>
      <w:r w:rsidRPr="00AA537D">
        <w:rPr>
          <w:rFonts w:hint="cs"/>
          <w:spacing w:val="0"/>
          <w:kern w:val="0"/>
          <w:sz w:val="30"/>
          <w:rtl/>
        </w:rPr>
        <w:t>كانون الأول/</w:t>
      </w:r>
      <w:r w:rsidRPr="00AA537D">
        <w:rPr>
          <w:spacing w:val="0"/>
          <w:kern w:val="0"/>
          <w:sz w:val="30"/>
          <w:rtl/>
        </w:rPr>
        <w:t xml:space="preserve">ديسمبر 2010 </w:t>
      </w:r>
      <w:r w:rsidRPr="00AA537D">
        <w:rPr>
          <w:rFonts w:hint="cs"/>
          <w:spacing w:val="0"/>
          <w:kern w:val="0"/>
          <w:sz w:val="30"/>
          <w:rtl/>
        </w:rPr>
        <w:t xml:space="preserve">من أن هناك أدلة كافية للادعاءات وأنها مؤكدة بالأدلة الطبية وأقوال الشهود، فقد حُفظ </w:t>
      </w:r>
      <w:r w:rsidRPr="00AA537D">
        <w:rPr>
          <w:spacing w:val="0"/>
          <w:kern w:val="0"/>
          <w:sz w:val="30"/>
          <w:rtl/>
        </w:rPr>
        <w:t xml:space="preserve">التحقيق في شباط/فبراير 2011 دون أي اتهامات جنائية ضد مرتكبي </w:t>
      </w:r>
      <w:r w:rsidRPr="00AA537D">
        <w:rPr>
          <w:rFonts w:hint="cs"/>
          <w:spacing w:val="0"/>
          <w:kern w:val="0"/>
          <w:sz w:val="30"/>
          <w:rtl/>
        </w:rPr>
        <w:t xml:space="preserve">التعذيب ودون </w:t>
      </w:r>
      <w:r w:rsidRPr="00AA537D">
        <w:rPr>
          <w:spacing w:val="0"/>
          <w:kern w:val="0"/>
          <w:sz w:val="30"/>
          <w:rtl/>
        </w:rPr>
        <w:t>تقد</w:t>
      </w:r>
      <w:r w:rsidRPr="00AA537D">
        <w:rPr>
          <w:rFonts w:hint="cs"/>
          <w:spacing w:val="0"/>
          <w:kern w:val="0"/>
          <w:sz w:val="30"/>
          <w:rtl/>
        </w:rPr>
        <w:t>ي</w:t>
      </w:r>
      <w:r w:rsidRPr="00AA537D">
        <w:rPr>
          <w:spacing w:val="0"/>
          <w:kern w:val="0"/>
          <w:sz w:val="30"/>
          <w:rtl/>
        </w:rPr>
        <w:t xml:space="preserve">م </w:t>
      </w:r>
      <w:r w:rsidRPr="00AA537D">
        <w:rPr>
          <w:rFonts w:hint="cs"/>
          <w:spacing w:val="0"/>
          <w:kern w:val="0"/>
          <w:sz w:val="30"/>
          <w:rtl/>
        </w:rPr>
        <w:t xml:space="preserve">أي جبر </w:t>
      </w:r>
      <w:r w:rsidRPr="00AA537D">
        <w:rPr>
          <w:spacing w:val="0"/>
          <w:kern w:val="0"/>
          <w:sz w:val="30"/>
          <w:rtl/>
        </w:rPr>
        <w:t>لصاحب الشكوى.</w:t>
      </w:r>
    </w:p>
    <w:p w:rsidR="00FA6676" w:rsidRPr="00AA537D" w:rsidRDefault="00FA6676" w:rsidP="003E385E">
      <w:pPr>
        <w:pStyle w:val="SingleTxtGA"/>
        <w:jc w:val="lowKashida"/>
        <w:rPr>
          <w:rFonts w:hint="cs"/>
          <w:spacing w:val="0"/>
          <w:kern w:val="0"/>
          <w:rtl/>
        </w:rPr>
      </w:pPr>
      <w:r w:rsidRPr="00AA537D">
        <w:rPr>
          <w:rFonts w:hint="cs"/>
          <w:spacing w:val="0"/>
          <w:kern w:val="0"/>
          <w:rtl/>
          <w:lang/>
        </w:rPr>
        <w:t>12-6</w:t>
      </w:r>
      <w:r w:rsidRPr="00AA537D">
        <w:rPr>
          <w:rFonts w:hint="cs"/>
          <w:spacing w:val="0"/>
          <w:kern w:val="0"/>
          <w:rtl/>
          <w:lang/>
        </w:rPr>
        <w:tab/>
      </w:r>
      <w:r w:rsidRPr="00AA537D">
        <w:rPr>
          <w:spacing w:val="0"/>
          <w:kern w:val="0"/>
          <w:rtl/>
        </w:rPr>
        <w:t>وتلاحظ اللجنة أيضا</w:t>
      </w:r>
      <w:r w:rsidRPr="00AA537D">
        <w:rPr>
          <w:rFonts w:hint="cs"/>
          <w:spacing w:val="0"/>
          <w:kern w:val="0"/>
          <w:rtl/>
        </w:rPr>
        <w:t>ً</w:t>
      </w:r>
      <w:r w:rsidRPr="00AA537D">
        <w:rPr>
          <w:spacing w:val="0"/>
          <w:kern w:val="0"/>
          <w:rtl/>
        </w:rPr>
        <w:t xml:space="preserve"> ادعاءات صاحب الشكوى بأنه </w:t>
      </w:r>
      <w:r w:rsidRPr="00AA537D">
        <w:rPr>
          <w:rFonts w:hint="cs"/>
          <w:spacing w:val="0"/>
          <w:kern w:val="0"/>
          <w:rtl/>
        </w:rPr>
        <w:t xml:space="preserve">تعرض هو وعائلته </w:t>
      </w:r>
      <w:r w:rsidRPr="00AA537D">
        <w:rPr>
          <w:spacing w:val="0"/>
          <w:kern w:val="0"/>
          <w:rtl/>
        </w:rPr>
        <w:t xml:space="preserve">أثناء </w:t>
      </w:r>
      <w:r w:rsidRPr="00AA537D">
        <w:rPr>
          <w:rFonts w:hint="cs"/>
          <w:spacing w:val="0"/>
          <w:kern w:val="0"/>
          <w:rtl/>
        </w:rPr>
        <w:t>ال</w:t>
      </w:r>
      <w:r w:rsidRPr="00AA537D">
        <w:rPr>
          <w:spacing w:val="0"/>
          <w:kern w:val="0"/>
          <w:rtl/>
        </w:rPr>
        <w:t xml:space="preserve">تحقيق </w:t>
      </w:r>
      <w:r w:rsidRPr="00AA537D">
        <w:rPr>
          <w:rFonts w:hint="cs"/>
          <w:spacing w:val="0"/>
          <w:kern w:val="0"/>
          <w:rtl/>
        </w:rPr>
        <w:t xml:space="preserve">في </w:t>
      </w:r>
      <w:r w:rsidRPr="00AA537D">
        <w:rPr>
          <w:spacing w:val="0"/>
          <w:kern w:val="0"/>
          <w:rtl/>
        </w:rPr>
        <w:t xml:space="preserve">قضيته في عام 2007 </w:t>
      </w:r>
      <w:r w:rsidRPr="00AA537D">
        <w:rPr>
          <w:rFonts w:hint="cs"/>
          <w:spacing w:val="0"/>
          <w:kern w:val="0"/>
          <w:rtl/>
        </w:rPr>
        <w:t xml:space="preserve">لعدة </w:t>
      </w:r>
      <w:r w:rsidRPr="00AA537D">
        <w:rPr>
          <w:spacing w:val="0"/>
          <w:kern w:val="0"/>
          <w:rtl/>
        </w:rPr>
        <w:t>تهديد</w:t>
      </w:r>
      <w:r w:rsidRPr="00AA537D">
        <w:rPr>
          <w:rFonts w:hint="cs"/>
          <w:spacing w:val="0"/>
          <w:kern w:val="0"/>
          <w:rtl/>
        </w:rPr>
        <w:t>ات</w:t>
      </w:r>
      <w:r w:rsidRPr="00AA537D">
        <w:rPr>
          <w:spacing w:val="0"/>
          <w:kern w:val="0"/>
          <w:rtl/>
        </w:rPr>
        <w:t xml:space="preserve"> ومحاو</w:t>
      </w:r>
      <w:r w:rsidRPr="00AA537D">
        <w:rPr>
          <w:rFonts w:hint="cs"/>
          <w:spacing w:val="0"/>
          <w:kern w:val="0"/>
          <w:rtl/>
        </w:rPr>
        <w:t>لات</w:t>
      </w:r>
      <w:r w:rsidRPr="00AA537D">
        <w:rPr>
          <w:spacing w:val="0"/>
          <w:kern w:val="0"/>
          <w:rtl/>
        </w:rPr>
        <w:t xml:space="preserve"> </w:t>
      </w:r>
      <w:r w:rsidRPr="00AA537D">
        <w:rPr>
          <w:rFonts w:hint="cs"/>
          <w:spacing w:val="0"/>
          <w:kern w:val="0"/>
          <w:rtl/>
        </w:rPr>
        <w:t>لل</w:t>
      </w:r>
      <w:r w:rsidRPr="00AA537D">
        <w:rPr>
          <w:spacing w:val="0"/>
          <w:kern w:val="0"/>
          <w:rtl/>
        </w:rPr>
        <w:t xml:space="preserve">رشوة </w:t>
      </w:r>
      <w:r w:rsidRPr="00AA537D">
        <w:rPr>
          <w:rFonts w:hint="cs"/>
          <w:spacing w:val="0"/>
          <w:kern w:val="0"/>
          <w:rtl/>
        </w:rPr>
        <w:t xml:space="preserve">لحمله على </w:t>
      </w:r>
      <w:r w:rsidRPr="00AA537D">
        <w:rPr>
          <w:spacing w:val="0"/>
          <w:kern w:val="0"/>
          <w:rtl/>
        </w:rPr>
        <w:t xml:space="preserve">سحب شكواه، وأن </w:t>
      </w:r>
      <w:r w:rsidRPr="00AA537D">
        <w:rPr>
          <w:rFonts w:hint="cs"/>
          <w:spacing w:val="0"/>
          <w:kern w:val="0"/>
          <w:rtl/>
        </w:rPr>
        <w:t>أساليب</w:t>
      </w:r>
      <w:r w:rsidRPr="00AA537D">
        <w:rPr>
          <w:spacing w:val="0"/>
          <w:kern w:val="0"/>
          <w:rtl/>
        </w:rPr>
        <w:t xml:space="preserve"> الترهيب </w:t>
      </w:r>
      <w:r w:rsidRPr="00AA537D">
        <w:rPr>
          <w:rFonts w:hint="cs"/>
          <w:spacing w:val="0"/>
          <w:kern w:val="0"/>
          <w:rtl/>
        </w:rPr>
        <w:t>-</w:t>
      </w:r>
      <w:r w:rsidRPr="00AA537D">
        <w:rPr>
          <w:spacing w:val="0"/>
          <w:kern w:val="0"/>
          <w:rtl/>
        </w:rPr>
        <w:t xml:space="preserve"> </w:t>
      </w:r>
      <w:r w:rsidRPr="00AA537D">
        <w:rPr>
          <w:rFonts w:hint="cs"/>
          <w:spacing w:val="0"/>
          <w:kern w:val="0"/>
          <w:rtl/>
        </w:rPr>
        <w:t xml:space="preserve">ومن بينها إجراء </w:t>
      </w:r>
      <w:r w:rsidRPr="00AA537D">
        <w:rPr>
          <w:spacing w:val="0"/>
          <w:kern w:val="0"/>
          <w:rtl/>
        </w:rPr>
        <w:t xml:space="preserve">تقييم </w:t>
      </w:r>
      <w:r w:rsidRPr="00AA537D">
        <w:rPr>
          <w:rFonts w:hint="cs"/>
          <w:spacing w:val="0"/>
          <w:kern w:val="0"/>
          <w:rtl/>
        </w:rPr>
        <w:t xml:space="preserve">طبي </w:t>
      </w:r>
      <w:r w:rsidRPr="00AA537D">
        <w:rPr>
          <w:spacing w:val="0"/>
          <w:kern w:val="0"/>
          <w:rtl/>
        </w:rPr>
        <w:t>نفس</w:t>
      </w:r>
      <w:r w:rsidRPr="00AA537D">
        <w:rPr>
          <w:rFonts w:hint="cs"/>
          <w:spacing w:val="0"/>
          <w:kern w:val="0"/>
          <w:rtl/>
        </w:rPr>
        <w:t>اني</w:t>
      </w:r>
      <w:r w:rsidRPr="00AA537D">
        <w:rPr>
          <w:spacing w:val="0"/>
          <w:kern w:val="0"/>
          <w:rtl/>
        </w:rPr>
        <w:t xml:space="preserve"> </w:t>
      </w:r>
      <w:r w:rsidRPr="00AA537D">
        <w:rPr>
          <w:rFonts w:hint="cs"/>
          <w:spacing w:val="0"/>
          <w:kern w:val="0"/>
          <w:rtl/>
        </w:rPr>
        <w:t>له دون رضاه</w:t>
      </w:r>
      <w:r w:rsidRPr="00AA537D">
        <w:rPr>
          <w:spacing w:val="0"/>
          <w:kern w:val="0"/>
          <w:rtl/>
        </w:rPr>
        <w:t xml:space="preserve">، </w:t>
      </w:r>
      <w:r w:rsidRPr="00AA537D">
        <w:rPr>
          <w:rFonts w:hint="cs"/>
          <w:spacing w:val="0"/>
          <w:kern w:val="0"/>
          <w:rtl/>
        </w:rPr>
        <w:t>و</w:t>
      </w:r>
      <w:r w:rsidRPr="00AA537D">
        <w:rPr>
          <w:spacing w:val="0"/>
          <w:kern w:val="0"/>
          <w:rtl/>
        </w:rPr>
        <w:t>الضغط على عائلته لإقناعه ب</w:t>
      </w:r>
      <w:r w:rsidRPr="00AA537D">
        <w:rPr>
          <w:rFonts w:hint="cs"/>
          <w:spacing w:val="0"/>
          <w:kern w:val="0"/>
          <w:rtl/>
        </w:rPr>
        <w:t>سحب</w:t>
      </w:r>
      <w:r w:rsidRPr="00AA537D">
        <w:rPr>
          <w:spacing w:val="0"/>
          <w:kern w:val="0"/>
          <w:rtl/>
        </w:rPr>
        <w:t xml:space="preserve"> ادعاءاته </w:t>
      </w:r>
      <w:r w:rsidRPr="00AA537D">
        <w:rPr>
          <w:rFonts w:hint="cs"/>
          <w:spacing w:val="0"/>
          <w:kern w:val="0"/>
          <w:rtl/>
        </w:rPr>
        <w:t>-</w:t>
      </w:r>
      <w:r w:rsidRPr="00AA537D">
        <w:rPr>
          <w:spacing w:val="0"/>
          <w:kern w:val="0"/>
          <w:rtl/>
        </w:rPr>
        <w:t xml:space="preserve"> كانت أيضا</w:t>
      </w:r>
      <w:r w:rsidRPr="00AA537D">
        <w:rPr>
          <w:rFonts w:hint="cs"/>
          <w:spacing w:val="0"/>
          <w:kern w:val="0"/>
          <w:rtl/>
        </w:rPr>
        <w:t>ً</w:t>
      </w:r>
      <w:r w:rsidRPr="00AA537D">
        <w:rPr>
          <w:spacing w:val="0"/>
          <w:kern w:val="0"/>
          <w:rtl/>
        </w:rPr>
        <w:t xml:space="preserve"> جزءا</w:t>
      </w:r>
      <w:r w:rsidRPr="00AA537D">
        <w:rPr>
          <w:rFonts w:hint="cs"/>
          <w:spacing w:val="0"/>
          <w:kern w:val="0"/>
          <w:rtl/>
        </w:rPr>
        <w:t>ً</w:t>
      </w:r>
      <w:r w:rsidRPr="00AA537D">
        <w:rPr>
          <w:spacing w:val="0"/>
          <w:kern w:val="0"/>
          <w:rtl/>
        </w:rPr>
        <w:t xml:space="preserve"> من التحقيق </w:t>
      </w:r>
      <w:r w:rsidRPr="00AA537D">
        <w:rPr>
          <w:rFonts w:hint="cs"/>
          <w:spacing w:val="0"/>
          <w:kern w:val="0"/>
          <w:rtl/>
        </w:rPr>
        <w:t>المستَأنف</w:t>
      </w:r>
      <w:r w:rsidRPr="00AA537D">
        <w:rPr>
          <w:spacing w:val="0"/>
          <w:kern w:val="0"/>
          <w:rtl/>
        </w:rPr>
        <w:t xml:space="preserve"> </w:t>
      </w:r>
      <w:r w:rsidRPr="00AA537D">
        <w:rPr>
          <w:rFonts w:hint="cs"/>
          <w:spacing w:val="0"/>
          <w:kern w:val="0"/>
          <w:rtl/>
        </w:rPr>
        <w:t>في ا</w:t>
      </w:r>
      <w:r w:rsidRPr="00AA537D">
        <w:rPr>
          <w:spacing w:val="0"/>
          <w:kern w:val="0"/>
          <w:rtl/>
        </w:rPr>
        <w:t>لفترة</w:t>
      </w:r>
      <w:r w:rsidR="003E385E">
        <w:rPr>
          <w:rFonts w:hint="cs"/>
          <w:spacing w:val="0"/>
          <w:kern w:val="0"/>
          <w:rtl/>
        </w:rPr>
        <w:t> </w:t>
      </w:r>
      <w:r w:rsidRPr="00AA537D">
        <w:rPr>
          <w:spacing w:val="0"/>
          <w:kern w:val="0"/>
          <w:rtl/>
        </w:rPr>
        <w:t xml:space="preserve">2010-2011. </w:t>
      </w:r>
      <w:r w:rsidRPr="00AA537D">
        <w:rPr>
          <w:rFonts w:hint="cs"/>
          <w:spacing w:val="0"/>
          <w:kern w:val="0"/>
          <w:rtl/>
        </w:rPr>
        <w:t>و</w:t>
      </w:r>
      <w:r w:rsidRPr="00AA537D">
        <w:rPr>
          <w:spacing w:val="0"/>
          <w:kern w:val="0"/>
          <w:rtl/>
        </w:rPr>
        <w:t>لم تقدم الدولة الطرف أي معلومات فيما يتعلق بهذه الادعاءات خلاف إنكار</w:t>
      </w:r>
      <w:r w:rsidRPr="00AA537D">
        <w:rPr>
          <w:rFonts w:hint="cs"/>
          <w:spacing w:val="0"/>
          <w:kern w:val="0"/>
          <w:rtl/>
        </w:rPr>
        <w:t xml:space="preserve">ها التام </w:t>
      </w:r>
      <w:r w:rsidRPr="00AA537D">
        <w:rPr>
          <w:spacing w:val="0"/>
          <w:kern w:val="0"/>
          <w:rtl/>
        </w:rPr>
        <w:t>لاستخدام</w:t>
      </w:r>
      <w:r w:rsidRPr="00AA537D">
        <w:rPr>
          <w:rFonts w:hint="cs"/>
          <w:spacing w:val="0"/>
          <w:kern w:val="0"/>
          <w:rtl/>
        </w:rPr>
        <w:t xml:space="preserve"> </w:t>
      </w:r>
      <w:r w:rsidRPr="00AA537D">
        <w:rPr>
          <w:spacing w:val="0"/>
          <w:kern w:val="0"/>
          <w:rtl/>
        </w:rPr>
        <w:t xml:space="preserve">أي ضغط أو تخويف ضد صاحب الشكوى. وتلاحظ اللجنة أن صاحب الشكوى </w:t>
      </w:r>
      <w:r w:rsidRPr="00AA537D">
        <w:rPr>
          <w:rFonts w:hint="cs"/>
          <w:spacing w:val="0"/>
          <w:kern w:val="0"/>
          <w:rtl/>
        </w:rPr>
        <w:t xml:space="preserve">أبلغ مكتب المدعي العام الإقليمي بأعمال </w:t>
      </w:r>
      <w:r w:rsidRPr="00AA537D">
        <w:rPr>
          <w:spacing w:val="0"/>
          <w:kern w:val="0"/>
          <w:rtl/>
        </w:rPr>
        <w:t>التخويف</w:t>
      </w:r>
      <w:r w:rsidRPr="00AA537D">
        <w:rPr>
          <w:rFonts w:hint="cs"/>
          <w:spacing w:val="0"/>
          <w:kern w:val="0"/>
          <w:rtl/>
        </w:rPr>
        <w:t xml:space="preserve"> في حزيران/</w:t>
      </w:r>
      <w:r w:rsidR="003E385E">
        <w:rPr>
          <w:rFonts w:hint="cs"/>
          <w:spacing w:val="0"/>
          <w:kern w:val="0"/>
          <w:rtl/>
        </w:rPr>
        <w:t xml:space="preserve"> </w:t>
      </w:r>
      <w:r w:rsidRPr="00AA537D">
        <w:rPr>
          <w:rFonts w:hint="cs"/>
          <w:spacing w:val="0"/>
          <w:kern w:val="0"/>
          <w:rtl/>
        </w:rPr>
        <w:t>يونيه</w:t>
      </w:r>
      <w:r w:rsidR="003E385E">
        <w:rPr>
          <w:rFonts w:hint="eastAsia"/>
          <w:spacing w:val="0"/>
          <w:kern w:val="0"/>
          <w:rtl/>
        </w:rPr>
        <w:t> </w:t>
      </w:r>
      <w:r w:rsidRPr="00AA537D">
        <w:rPr>
          <w:rFonts w:hint="cs"/>
          <w:spacing w:val="0"/>
          <w:kern w:val="0"/>
          <w:rtl/>
        </w:rPr>
        <w:t>2007 وأنه لم يتخذ أي إجراء بعد ذلك في هذا البلاغ. وتلاحظ اللجنة أيضاً أن هذه الادعاءات تتفق مع النتائج التي توصل إليها المقرر الخاص المعني بالتعذيب وغيره من ضروب المعاملة أو العقوبة القاسية أو</w:t>
      </w:r>
      <w:r w:rsidRPr="00AA537D">
        <w:rPr>
          <w:rFonts w:hint="eastAsia"/>
          <w:spacing w:val="0"/>
          <w:kern w:val="0"/>
          <w:rtl/>
        </w:rPr>
        <w:t> </w:t>
      </w:r>
      <w:r w:rsidRPr="00AA537D">
        <w:rPr>
          <w:rFonts w:hint="cs"/>
          <w:spacing w:val="0"/>
          <w:kern w:val="0"/>
          <w:rtl/>
        </w:rPr>
        <w:t>اللاإنسانية أو المهينة بشأن وجود نمط وممارسة لتخويف الأشخاص الذين يقدمون شكاوى في كازاخستان</w:t>
      </w:r>
      <w:r w:rsidRPr="00AA537D">
        <w:rPr>
          <w:spacing w:val="0"/>
          <w:kern w:val="0"/>
          <w:vertAlign w:val="superscript"/>
          <w:rtl/>
        </w:rPr>
        <w:t>(</w:t>
      </w:r>
      <w:r w:rsidRPr="00CA5735">
        <w:rPr>
          <w:rStyle w:val="FootnoteReference"/>
          <w:b w:val="0"/>
          <w:spacing w:val="0"/>
          <w:sz w:val="2"/>
          <w:szCs w:val="2"/>
          <w:rtl/>
        </w:rPr>
        <w:footnoteReference w:id="404"/>
      </w:r>
      <w:r w:rsidR="00CA5735">
        <w:rPr>
          <w:rFonts w:hint="cs"/>
          <w:spacing w:val="0"/>
          <w:kern w:val="0"/>
          <w:vertAlign w:val="superscript"/>
          <w:rtl/>
        </w:rPr>
        <w:t>أأ</w:t>
      </w:r>
      <w:r w:rsidRPr="00AA537D">
        <w:rPr>
          <w:spacing w:val="0"/>
          <w:kern w:val="0"/>
          <w:vertAlign w:val="superscript"/>
          <w:rtl/>
        </w:rPr>
        <w:t>)</w:t>
      </w:r>
      <w:r w:rsidRPr="00AA537D">
        <w:rPr>
          <w:rFonts w:hint="cs"/>
          <w:spacing w:val="0"/>
          <w:kern w:val="0"/>
          <w:rtl/>
        </w:rPr>
        <w:t xml:space="preserve">. </w:t>
      </w:r>
      <w:r w:rsidRPr="00AA537D">
        <w:rPr>
          <w:spacing w:val="0"/>
          <w:kern w:val="0"/>
          <w:rtl/>
        </w:rPr>
        <w:t xml:space="preserve">وفي ضوء التقييم </w:t>
      </w:r>
      <w:r w:rsidRPr="00AA537D">
        <w:rPr>
          <w:rFonts w:hint="cs"/>
          <w:spacing w:val="0"/>
          <w:kern w:val="0"/>
          <w:rtl/>
        </w:rPr>
        <w:t xml:space="preserve">الطبي النفساني </w:t>
      </w:r>
      <w:r w:rsidRPr="00AA537D">
        <w:rPr>
          <w:spacing w:val="0"/>
          <w:kern w:val="0"/>
          <w:rtl/>
        </w:rPr>
        <w:t>الذي أ</w:t>
      </w:r>
      <w:r w:rsidRPr="00AA537D">
        <w:rPr>
          <w:rFonts w:hint="cs"/>
          <w:spacing w:val="0"/>
          <w:kern w:val="0"/>
          <w:rtl/>
        </w:rPr>
        <w:t>ُ</w:t>
      </w:r>
      <w:r w:rsidRPr="00AA537D">
        <w:rPr>
          <w:spacing w:val="0"/>
          <w:kern w:val="0"/>
          <w:rtl/>
        </w:rPr>
        <w:t>جر</w:t>
      </w:r>
      <w:r w:rsidRPr="00AA537D">
        <w:rPr>
          <w:rFonts w:hint="cs"/>
          <w:spacing w:val="0"/>
          <w:kern w:val="0"/>
          <w:rtl/>
        </w:rPr>
        <w:t>ي</w:t>
      </w:r>
      <w:r w:rsidRPr="00AA537D">
        <w:rPr>
          <w:spacing w:val="0"/>
          <w:kern w:val="0"/>
          <w:rtl/>
        </w:rPr>
        <w:t xml:space="preserve"> </w:t>
      </w:r>
      <w:r w:rsidRPr="00AA537D">
        <w:rPr>
          <w:rFonts w:hint="cs"/>
          <w:spacing w:val="0"/>
          <w:kern w:val="0"/>
          <w:rtl/>
        </w:rPr>
        <w:t xml:space="preserve">دون رضا </w:t>
      </w:r>
      <w:r w:rsidRPr="00AA537D">
        <w:rPr>
          <w:spacing w:val="0"/>
          <w:kern w:val="0"/>
          <w:rtl/>
        </w:rPr>
        <w:t xml:space="preserve">صاحب الشكوى أثناء التحقيق </w:t>
      </w:r>
      <w:r w:rsidRPr="00AA537D">
        <w:rPr>
          <w:rFonts w:hint="cs"/>
          <w:spacing w:val="0"/>
          <w:kern w:val="0"/>
          <w:rtl/>
        </w:rPr>
        <w:t>المستَأنف</w:t>
      </w:r>
      <w:r w:rsidRPr="00AA537D">
        <w:rPr>
          <w:spacing w:val="0"/>
          <w:kern w:val="0"/>
          <w:rtl/>
        </w:rPr>
        <w:t xml:space="preserve">، </w:t>
      </w:r>
      <w:r w:rsidRPr="00AA537D">
        <w:rPr>
          <w:rFonts w:hint="cs"/>
          <w:spacing w:val="0"/>
          <w:kern w:val="0"/>
          <w:rtl/>
        </w:rPr>
        <w:t>و</w:t>
      </w:r>
      <w:r w:rsidRPr="00AA537D">
        <w:rPr>
          <w:spacing w:val="0"/>
          <w:kern w:val="0"/>
          <w:rtl/>
        </w:rPr>
        <w:t>الضغط على عائلته من أجل إقناعه ب</w:t>
      </w:r>
      <w:r w:rsidRPr="00AA537D">
        <w:rPr>
          <w:rFonts w:hint="cs"/>
          <w:spacing w:val="0"/>
          <w:kern w:val="0"/>
          <w:rtl/>
        </w:rPr>
        <w:t>سحب</w:t>
      </w:r>
      <w:r w:rsidRPr="00AA537D">
        <w:rPr>
          <w:spacing w:val="0"/>
          <w:kern w:val="0"/>
          <w:rtl/>
        </w:rPr>
        <w:t xml:space="preserve"> شكواه</w:t>
      </w:r>
      <w:r w:rsidRPr="00AA537D">
        <w:rPr>
          <w:rFonts w:hint="cs"/>
          <w:spacing w:val="0"/>
          <w:kern w:val="0"/>
          <w:rtl/>
        </w:rPr>
        <w:t>،</w:t>
      </w:r>
      <w:r w:rsidRPr="00AA537D">
        <w:rPr>
          <w:spacing w:val="0"/>
          <w:kern w:val="0"/>
          <w:rtl/>
        </w:rPr>
        <w:t xml:space="preserve"> وحوادث التخويف التي وقعت في عام 2007، ترى اللجنة أن الرسا</w:t>
      </w:r>
      <w:r w:rsidRPr="00AA537D">
        <w:rPr>
          <w:rFonts w:hint="cs"/>
          <w:spacing w:val="0"/>
          <w:kern w:val="0"/>
          <w:rtl/>
        </w:rPr>
        <w:t xml:space="preserve">لتين المقدمتين في </w:t>
      </w:r>
      <w:r w:rsidRPr="00AA537D">
        <w:rPr>
          <w:spacing w:val="0"/>
          <w:kern w:val="0"/>
          <w:rtl/>
        </w:rPr>
        <w:t xml:space="preserve">شباط/فبراير 2011 </w:t>
      </w:r>
      <w:r w:rsidRPr="00AA537D">
        <w:rPr>
          <w:rFonts w:hint="cs"/>
          <w:spacing w:val="0"/>
          <w:kern w:val="0"/>
          <w:rtl/>
        </w:rPr>
        <w:t>-</w:t>
      </w:r>
      <w:r w:rsidRPr="00AA537D">
        <w:rPr>
          <w:spacing w:val="0"/>
          <w:kern w:val="0"/>
          <w:rtl/>
        </w:rPr>
        <w:t xml:space="preserve"> </w:t>
      </w:r>
      <w:r w:rsidRPr="00AA537D">
        <w:rPr>
          <w:rFonts w:hint="cs"/>
          <w:spacing w:val="0"/>
          <w:kern w:val="0"/>
          <w:rtl/>
        </w:rPr>
        <w:t xml:space="preserve">اللتين رفض فيهما صاحب </w:t>
      </w:r>
      <w:r w:rsidRPr="00AA537D">
        <w:rPr>
          <w:spacing w:val="0"/>
          <w:kern w:val="0"/>
          <w:rtl/>
        </w:rPr>
        <w:t>الشكوى خدمات محامي</w:t>
      </w:r>
      <w:r w:rsidRPr="00AA537D">
        <w:rPr>
          <w:rFonts w:hint="cs"/>
          <w:spacing w:val="0"/>
          <w:kern w:val="0"/>
          <w:rtl/>
        </w:rPr>
        <w:t>ه،</w:t>
      </w:r>
      <w:r w:rsidRPr="00AA537D">
        <w:rPr>
          <w:spacing w:val="0"/>
          <w:kern w:val="0"/>
          <w:rtl/>
        </w:rPr>
        <w:t xml:space="preserve"> وبعد ذلك رفض الإدلاء ب</w:t>
      </w:r>
      <w:r w:rsidRPr="00AA537D">
        <w:rPr>
          <w:rFonts w:hint="cs"/>
          <w:spacing w:val="0"/>
          <w:kern w:val="0"/>
          <w:rtl/>
        </w:rPr>
        <w:t>مزيد من الأقوال، و</w:t>
      </w:r>
      <w:r w:rsidRPr="00AA537D">
        <w:rPr>
          <w:spacing w:val="0"/>
          <w:kern w:val="0"/>
          <w:rtl/>
        </w:rPr>
        <w:t xml:space="preserve">تراجع عن </w:t>
      </w:r>
      <w:r w:rsidRPr="00AA537D">
        <w:rPr>
          <w:rFonts w:hint="cs"/>
          <w:spacing w:val="0"/>
          <w:kern w:val="0"/>
          <w:rtl/>
        </w:rPr>
        <w:t>أقواله</w:t>
      </w:r>
      <w:r w:rsidRPr="00AA537D">
        <w:rPr>
          <w:spacing w:val="0"/>
          <w:kern w:val="0"/>
          <w:rtl/>
        </w:rPr>
        <w:t xml:space="preserve"> السابقة</w:t>
      </w:r>
      <w:r w:rsidRPr="00AA537D">
        <w:rPr>
          <w:rFonts w:hint="cs"/>
          <w:spacing w:val="0"/>
          <w:kern w:val="0"/>
          <w:rtl/>
        </w:rPr>
        <w:t>،</w:t>
      </w:r>
      <w:r w:rsidRPr="00AA537D">
        <w:rPr>
          <w:spacing w:val="0"/>
          <w:kern w:val="0"/>
          <w:rtl/>
        </w:rPr>
        <w:t xml:space="preserve"> وأعلن أنه </w:t>
      </w:r>
      <w:r w:rsidRPr="00AA537D">
        <w:rPr>
          <w:rFonts w:hint="cs"/>
          <w:spacing w:val="0"/>
          <w:kern w:val="0"/>
          <w:rtl/>
        </w:rPr>
        <w:t>ليس لديه شكاوى ضد</w:t>
      </w:r>
      <w:r w:rsidRPr="00AA537D">
        <w:rPr>
          <w:spacing w:val="0"/>
          <w:kern w:val="0"/>
          <w:rtl/>
        </w:rPr>
        <w:t xml:space="preserve"> الشرطة </w:t>
      </w:r>
      <w:r w:rsidRPr="00AA537D">
        <w:rPr>
          <w:rFonts w:hint="cs"/>
          <w:spacing w:val="0"/>
          <w:kern w:val="0"/>
          <w:rtl/>
        </w:rPr>
        <w:t>-</w:t>
      </w:r>
      <w:r w:rsidRPr="00AA537D">
        <w:rPr>
          <w:spacing w:val="0"/>
          <w:kern w:val="0"/>
          <w:rtl/>
        </w:rPr>
        <w:t xml:space="preserve"> لا يمكن اعتبار</w:t>
      </w:r>
      <w:r w:rsidRPr="00AA537D">
        <w:rPr>
          <w:rFonts w:hint="cs"/>
          <w:spacing w:val="0"/>
          <w:kern w:val="0"/>
          <w:rtl/>
        </w:rPr>
        <w:t xml:space="preserve">هما </w:t>
      </w:r>
      <w:r w:rsidRPr="00AA537D">
        <w:rPr>
          <w:spacing w:val="0"/>
          <w:kern w:val="0"/>
          <w:rtl/>
        </w:rPr>
        <w:t xml:space="preserve">نتيجة </w:t>
      </w:r>
      <w:r w:rsidRPr="00AA537D">
        <w:rPr>
          <w:rFonts w:hint="cs"/>
          <w:spacing w:val="0"/>
          <w:kern w:val="0"/>
          <w:rtl/>
        </w:rPr>
        <w:t>ل</w:t>
      </w:r>
      <w:r w:rsidRPr="00AA537D">
        <w:rPr>
          <w:spacing w:val="0"/>
          <w:kern w:val="0"/>
          <w:rtl/>
        </w:rPr>
        <w:t>موافقته الحرة والطوعية، دون أي تهديد أو</w:t>
      </w:r>
      <w:r w:rsidRPr="00AA537D">
        <w:rPr>
          <w:rFonts w:hint="cs"/>
          <w:spacing w:val="0"/>
          <w:kern w:val="0"/>
          <w:rtl/>
        </w:rPr>
        <w:t> </w:t>
      </w:r>
      <w:r w:rsidRPr="00AA537D">
        <w:rPr>
          <w:spacing w:val="0"/>
          <w:kern w:val="0"/>
          <w:rtl/>
        </w:rPr>
        <w:t>إكراه.</w:t>
      </w:r>
    </w:p>
    <w:p w:rsidR="00FA6676" w:rsidRPr="00AA537D" w:rsidRDefault="00FA6676" w:rsidP="00AA537D">
      <w:pPr>
        <w:pStyle w:val="SingleTxtGA"/>
        <w:jc w:val="lowKashida"/>
        <w:rPr>
          <w:rFonts w:hint="cs"/>
          <w:spacing w:val="0"/>
          <w:kern w:val="0"/>
          <w:rtl/>
        </w:rPr>
      </w:pPr>
      <w:r w:rsidRPr="00AA537D">
        <w:rPr>
          <w:rFonts w:hint="cs"/>
          <w:spacing w:val="0"/>
          <w:kern w:val="0"/>
          <w:rtl/>
          <w:lang/>
        </w:rPr>
        <w:t>12-7</w:t>
      </w:r>
      <w:r w:rsidRPr="00AA537D">
        <w:rPr>
          <w:rFonts w:hint="cs"/>
          <w:spacing w:val="0"/>
          <w:kern w:val="0"/>
          <w:rtl/>
          <w:lang/>
        </w:rPr>
        <w:tab/>
        <w:t>وفي ضوء ا</w:t>
      </w:r>
      <w:r w:rsidRPr="00AA537D">
        <w:rPr>
          <w:rFonts w:hint="cs"/>
          <w:spacing w:val="0"/>
          <w:kern w:val="0"/>
          <w:rtl/>
        </w:rPr>
        <w:t xml:space="preserve">لاستنتاجات </w:t>
      </w:r>
      <w:r w:rsidRPr="00AA537D">
        <w:rPr>
          <w:spacing w:val="0"/>
          <w:kern w:val="0"/>
          <w:rtl/>
        </w:rPr>
        <w:t>المشار إليها أعلاه، واستنادا</w:t>
      </w:r>
      <w:r w:rsidRPr="00AA537D">
        <w:rPr>
          <w:rFonts w:hint="cs"/>
          <w:spacing w:val="0"/>
          <w:kern w:val="0"/>
          <w:rtl/>
        </w:rPr>
        <w:t>ً</w:t>
      </w:r>
      <w:r w:rsidRPr="00AA537D">
        <w:rPr>
          <w:spacing w:val="0"/>
          <w:kern w:val="0"/>
          <w:rtl/>
        </w:rPr>
        <w:t xml:space="preserve"> إلى المواد المعروضة، تخلص اللجنة إلى أن الدولة الطرف لم تف بالتزامها </w:t>
      </w:r>
      <w:r w:rsidRPr="00AA537D">
        <w:rPr>
          <w:rFonts w:hint="cs"/>
          <w:spacing w:val="0"/>
          <w:kern w:val="0"/>
          <w:rtl/>
        </w:rPr>
        <w:t>ب</w:t>
      </w:r>
      <w:r w:rsidRPr="00AA537D">
        <w:rPr>
          <w:spacing w:val="0"/>
          <w:kern w:val="0"/>
          <w:rtl/>
        </w:rPr>
        <w:t xml:space="preserve">إجراء تحقيقات </w:t>
      </w:r>
      <w:r w:rsidRPr="00AA537D">
        <w:rPr>
          <w:rFonts w:hint="cs"/>
          <w:spacing w:val="0"/>
          <w:kern w:val="0"/>
          <w:rtl/>
        </w:rPr>
        <w:t>سريعة و</w:t>
      </w:r>
      <w:r w:rsidRPr="00AA537D">
        <w:rPr>
          <w:spacing w:val="0"/>
          <w:kern w:val="0"/>
          <w:rtl/>
        </w:rPr>
        <w:t xml:space="preserve">فعالة ونزيهة في </w:t>
      </w:r>
      <w:r w:rsidRPr="00AA537D">
        <w:rPr>
          <w:rFonts w:hint="cs"/>
          <w:spacing w:val="0"/>
          <w:kern w:val="0"/>
          <w:rtl/>
        </w:rPr>
        <w:t xml:space="preserve">ادعاءات </w:t>
      </w:r>
      <w:r w:rsidRPr="00AA537D">
        <w:rPr>
          <w:spacing w:val="0"/>
          <w:kern w:val="0"/>
          <w:rtl/>
        </w:rPr>
        <w:t>التعذيب و</w:t>
      </w:r>
      <w:r w:rsidRPr="00AA537D">
        <w:rPr>
          <w:rFonts w:hint="cs"/>
          <w:spacing w:val="0"/>
          <w:kern w:val="0"/>
          <w:rtl/>
        </w:rPr>
        <w:t>ب</w:t>
      </w:r>
      <w:r w:rsidRPr="00AA537D">
        <w:rPr>
          <w:spacing w:val="0"/>
          <w:kern w:val="0"/>
          <w:rtl/>
        </w:rPr>
        <w:t xml:space="preserve">اتخاذ خطوات للتأكد من </w:t>
      </w:r>
      <w:r w:rsidRPr="00AA537D">
        <w:rPr>
          <w:rFonts w:hint="cs"/>
          <w:spacing w:val="0"/>
          <w:kern w:val="0"/>
          <w:rtl/>
        </w:rPr>
        <w:t>حماية صاحب الشكوى</w:t>
      </w:r>
      <w:r w:rsidRPr="00AA537D">
        <w:rPr>
          <w:spacing w:val="0"/>
          <w:kern w:val="0"/>
          <w:rtl/>
        </w:rPr>
        <w:t xml:space="preserve"> وعائلته</w:t>
      </w:r>
      <w:r w:rsidRPr="00AA537D">
        <w:rPr>
          <w:rFonts w:hint="cs"/>
          <w:spacing w:val="0"/>
          <w:kern w:val="0"/>
          <w:rtl/>
        </w:rPr>
        <w:t xml:space="preserve"> و</w:t>
      </w:r>
      <w:r w:rsidRPr="00AA537D">
        <w:rPr>
          <w:spacing w:val="0"/>
          <w:kern w:val="0"/>
          <w:rtl/>
        </w:rPr>
        <w:t>الشهود الرئيسيين</w:t>
      </w:r>
      <w:r w:rsidRPr="00AA537D">
        <w:rPr>
          <w:rFonts w:hint="cs"/>
          <w:spacing w:val="0"/>
          <w:kern w:val="0"/>
          <w:rtl/>
        </w:rPr>
        <w:t xml:space="preserve"> </w:t>
      </w:r>
      <w:r w:rsidRPr="00AA537D">
        <w:rPr>
          <w:spacing w:val="0"/>
          <w:kern w:val="0"/>
          <w:rtl/>
        </w:rPr>
        <w:t>من التخويف نتيجة لشكواهم و</w:t>
      </w:r>
      <w:r w:rsidRPr="00AA537D">
        <w:rPr>
          <w:rFonts w:hint="cs"/>
          <w:spacing w:val="0"/>
          <w:kern w:val="0"/>
          <w:rtl/>
        </w:rPr>
        <w:t xml:space="preserve">أقوالهم التي أدلوا بها </w:t>
      </w:r>
      <w:r w:rsidRPr="00AA537D">
        <w:rPr>
          <w:spacing w:val="0"/>
          <w:kern w:val="0"/>
          <w:rtl/>
        </w:rPr>
        <w:t>أثناء التحقيق، مما يشكل انتهاكا</w:t>
      </w:r>
      <w:r w:rsidRPr="00AA537D">
        <w:rPr>
          <w:rFonts w:hint="cs"/>
          <w:spacing w:val="0"/>
          <w:kern w:val="0"/>
          <w:rtl/>
        </w:rPr>
        <w:t>ً</w:t>
      </w:r>
      <w:r w:rsidRPr="00AA537D">
        <w:rPr>
          <w:spacing w:val="0"/>
          <w:kern w:val="0"/>
          <w:rtl/>
        </w:rPr>
        <w:t xml:space="preserve"> للمادتين 12 و13 من الاتفاقية.</w:t>
      </w:r>
    </w:p>
    <w:p w:rsidR="00FA6676" w:rsidRPr="00AA537D" w:rsidRDefault="00FA6676" w:rsidP="00AA537D">
      <w:pPr>
        <w:pStyle w:val="SingleTxtGA"/>
        <w:jc w:val="lowKashida"/>
        <w:rPr>
          <w:rFonts w:hint="cs"/>
          <w:spacing w:val="0"/>
          <w:kern w:val="0"/>
          <w:rtl/>
        </w:rPr>
      </w:pPr>
      <w:r w:rsidRPr="00AA537D">
        <w:rPr>
          <w:rFonts w:hint="cs"/>
          <w:spacing w:val="0"/>
          <w:kern w:val="0"/>
          <w:rtl/>
          <w:lang/>
        </w:rPr>
        <w:t>12-8</w:t>
      </w:r>
      <w:r w:rsidRPr="00AA537D">
        <w:rPr>
          <w:rFonts w:hint="cs"/>
          <w:spacing w:val="0"/>
          <w:kern w:val="0"/>
          <w:rtl/>
        </w:rPr>
        <w:tab/>
        <w:t>وفيما يتعلق بالانتهاك المزعوم للمادة 14 من الاتفاقية. تلاحظ اللجنة أنه لا جدال في أن عدم اتخاذ إجراءات جنائية قد تسبب في حرمان صاحب الشكوى من إمكانية رفع دعوى مدنية للتعويض، ما دام الحق في التعويض ينشأ فقط، وفقاً للقانون الوطني، بعد إدانة الموظفين المسؤولين أمام محكمة جنائية. وتذكّر اللجنة بأن المادة 14 من الاتفاقية لا تعترف فحسب بالحق في التعويض بصورة عادلة وصحيحة، بل تلزم الدول الأطراف أيضاً بالسهر على أن تحصل ضحية التعذيب على الجبر. وينبغي أن يشمل الجبر مجمل الأضرار التي لحقت بالضحية، بما في ذلك التصحيح والتعويض وإعادة تأهيل الضحية، وكذلك التدابير التي تكفل ضمان عدم تكرار الانتهاكات، مع مراعاة ظروف كل حالة بالطبع</w:t>
      </w:r>
      <w:r w:rsidRPr="00AA537D">
        <w:rPr>
          <w:spacing w:val="0"/>
          <w:kern w:val="0"/>
          <w:vertAlign w:val="superscript"/>
          <w:rtl/>
        </w:rPr>
        <w:t>(</w:t>
      </w:r>
      <w:r w:rsidRPr="00CA5735">
        <w:rPr>
          <w:rStyle w:val="FootnoteReference"/>
          <w:spacing w:val="0"/>
          <w:sz w:val="2"/>
          <w:szCs w:val="2"/>
          <w:rtl/>
        </w:rPr>
        <w:footnoteReference w:id="405"/>
      </w:r>
      <w:r w:rsidR="00CA5735" w:rsidRPr="00CA5735">
        <w:rPr>
          <w:rFonts w:hint="cs"/>
          <w:spacing w:val="0"/>
          <w:kern w:val="0"/>
          <w:sz w:val="20"/>
          <w:szCs w:val="28"/>
          <w:vertAlign w:val="superscript"/>
          <w:rtl/>
        </w:rPr>
        <w:t>ب ب</w:t>
      </w:r>
      <w:r w:rsidRPr="00AA537D">
        <w:rPr>
          <w:spacing w:val="0"/>
          <w:kern w:val="0"/>
          <w:vertAlign w:val="superscript"/>
          <w:rtl/>
        </w:rPr>
        <w:t>)</w:t>
      </w:r>
      <w:r w:rsidRPr="00AA537D">
        <w:rPr>
          <w:rFonts w:hint="cs"/>
          <w:spacing w:val="0"/>
          <w:kern w:val="0"/>
          <w:rtl/>
        </w:rPr>
        <w:t xml:space="preserve">. وترى اللجنة أنه، </w:t>
      </w:r>
      <w:r w:rsidRPr="00AA537D">
        <w:rPr>
          <w:spacing w:val="0"/>
          <w:kern w:val="0"/>
          <w:sz w:val="30"/>
          <w:rtl/>
        </w:rPr>
        <w:t xml:space="preserve">على الرغم من </w:t>
      </w:r>
      <w:r w:rsidRPr="00AA537D">
        <w:rPr>
          <w:rFonts w:hint="cs"/>
          <w:spacing w:val="0"/>
          <w:kern w:val="0"/>
          <w:sz w:val="30"/>
          <w:rtl/>
        </w:rPr>
        <w:t>ال</w:t>
      </w:r>
      <w:r w:rsidRPr="00AA537D">
        <w:rPr>
          <w:spacing w:val="0"/>
          <w:kern w:val="0"/>
          <w:sz w:val="30"/>
          <w:rtl/>
        </w:rPr>
        <w:t xml:space="preserve">فوائد الاستدلالية </w:t>
      </w:r>
      <w:r w:rsidRPr="00AA537D">
        <w:rPr>
          <w:rFonts w:hint="cs"/>
          <w:spacing w:val="0"/>
          <w:kern w:val="0"/>
          <w:sz w:val="30"/>
          <w:rtl/>
        </w:rPr>
        <w:t xml:space="preserve">التي توفرها التحقيقات الجنائية </w:t>
      </w:r>
      <w:r w:rsidRPr="00AA537D">
        <w:rPr>
          <w:spacing w:val="0"/>
          <w:kern w:val="0"/>
          <w:sz w:val="30"/>
          <w:rtl/>
        </w:rPr>
        <w:t>للضحايا</w:t>
      </w:r>
      <w:r w:rsidRPr="00AA537D">
        <w:rPr>
          <w:rFonts w:hint="cs"/>
          <w:spacing w:val="0"/>
          <w:kern w:val="0"/>
          <w:sz w:val="30"/>
          <w:rtl/>
        </w:rPr>
        <w:t xml:space="preserve">، </w:t>
      </w:r>
      <w:r w:rsidRPr="00AA537D">
        <w:rPr>
          <w:spacing w:val="0"/>
          <w:kern w:val="0"/>
          <w:sz w:val="30"/>
          <w:rtl/>
        </w:rPr>
        <w:t xml:space="preserve">ينبغي </w:t>
      </w:r>
      <w:r w:rsidRPr="00AA537D">
        <w:rPr>
          <w:rFonts w:hint="cs"/>
          <w:spacing w:val="0"/>
          <w:kern w:val="0"/>
          <w:sz w:val="30"/>
          <w:rtl/>
        </w:rPr>
        <w:t>ألا تكون</w:t>
      </w:r>
      <w:r w:rsidRPr="00AA537D">
        <w:rPr>
          <w:spacing w:val="0"/>
          <w:kern w:val="0"/>
          <w:sz w:val="30"/>
          <w:rtl/>
        </w:rPr>
        <w:t xml:space="preserve"> </w:t>
      </w:r>
      <w:r w:rsidRPr="00AA537D">
        <w:rPr>
          <w:rFonts w:hint="cs"/>
          <w:spacing w:val="0"/>
          <w:kern w:val="0"/>
          <w:sz w:val="30"/>
          <w:rtl/>
        </w:rPr>
        <w:t>الدعوى المدنية لصاحب الشكوى ومطالبته بالتعويض متوقفة على البت في ال</w:t>
      </w:r>
      <w:r w:rsidRPr="00AA537D">
        <w:rPr>
          <w:spacing w:val="0"/>
          <w:kern w:val="0"/>
          <w:sz w:val="30"/>
          <w:rtl/>
        </w:rPr>
        <w:t xml:space="preserve">دعوى </w:t>
      </w:r>
      <w:r w:rsidRPr="00AA537D">
        <w:rPr>
          <w:rFonts w:hint="cs"/>
          <w:spacing w:val="0"/>
          <w:kern w:val="0"/>
          <w:sz w:val="30"/>
          <w:rtl/>
        </w:rPr>
        <w:t>ال</w:t>
      </w:r>
      <w:r w:rsidRPr="00AA537D">
        <w:rPr>
          <w:spacing w:val="0"/>
          <w:kern w:val="0"/>
          <w:sz w:val="30"/>
          <w:rtl/>
        </w:rPr>
        <w:t xml:space="preserve">جنائية. وترى أن التعويض لا ينبغي أن يتأخر </w:t>
      </w:r>
      <w:r w:rsidRPr="00AA537D">
        <w:rPr>
          <w:rFonts w:hint="cs"/>
          <w:spacing w:val="0"/>
          <w:kern w:val="0"/>
          <w:sz w:val="30"/>
          <w:rtl/>
        </w:rPr>
        <w:t xml:space="preserve">إلى حين ثبوت </w:t>
      </w:r>
      <w:r w:rsidRPr="00AA537D">
        <w:rPr>
          <w:spacing w:val="0"/>
          <w:kern w:val="0"/>
          <w:sz w:val="30"/>
          <w:rtl/>
        </w:rPr>
        <w:t xml:space="preserve">المسؤولية الجنائية. </w:t>
      </w:r>
      <w:r w:rsidRPr="00AA537D">
        <w:rPr>
          <w:rFonts w:hint="cs"/>
          <w:spacing w:val="0"/>
          <w:kern w:val="0"/>
          <w:sz w:val="30"/>
          <w:rtl/>
        </w:rPr>
        <w:t>و</w:t>
      </w:r>
      <w:r w:rsidRPr="00AA537D">
        <w:rPr>
          <w:spacing w:val="0"/>
          <w:kern w:val="0"/>
          <w:sz w:val="30"/>
          <w:rtl/>
        </w:rPr>
        <w:t xml:space="preserve">ينبغي أن تكون </w:t>
      </w:r>
      <w:r w:rsidRPr="00AA537D">
        <w:rPr>
          <w:rFonts w:hint="cs"/>
          <w:spacing w:val="0"/>
          <w:kern w:val="0"/>
          <w:sz w:val="30"/>
          <w:rtl/>
        </w:rPr>
        <w:t>ال</w:t>
      </w:r>
      <w:r w:rsidRPr="00AA537D">
        <w:rPr>
          <w:spacing w:val="0"/>
          <w:kern w:val="0"/>
          <w:sz w:val="30"/>
          <w:rtl/>
        </w:rPr>
        <w:t xml:space="preserve">دعوى المدنية متاحة </w:t>
      </w:r>
      <w:r w:rsidRPr="00AA537D">
        <w:rPr>
          <w:rFonts w:hint="cs"/>
          <w:spacing w:val="0"/>
          <w:kern w:val="0"/>
          <w:sz w:val="30"/>
          <w:rtl/>
        </w:rPr>
        <w:t xml:space="preserve">بشكل مستقل عن </w:t>
      </w:r>
      <w:r w:rsidRPr="00AA537D">
        <w:rPr>
          <w:spacing w:val="0"/>
          <w:kern w:val="0"/>
          <w:sz w:val="30"/>
          <w:rtl/>
        </w:rPr>
        <w:t>الدعوى الجنائية</w:t>
      </w:r>
      <w:r w:rsidRPr="00AA537D">
        <w:rPr>
          <w:rFonts w:hint="cs"/>
          <w:spacing w:val="0"/>
          <w:kern w:val="0"/>
          <w:sz w:val="30"/>
          <w:rtl/>
        </w:rPr>
        <w:t xml:space="preserve"> وينبغي أن توجد</w:t>
      </w:r>
      <w:r w:rsidRPr="00AA537D">
        <w:rPr>
          <w:spacing w:val="0"/>
          <w:kern w:val="0"/>
          <w:sz w:val="30"/>
          <w:rtl/>
        </w:rPr>
        <w:t xml:space="preserve"> التشريعات اللازمة والمؤسسات المعنية بهذه الإجراءات المدنية</w:t>
      </w:r>
      <w:r w:rsidRPr="00AA537D">
        <w:rPr>
          <w:rFonts w:hint="cs"/>
          <w:spacing w:val="0"/>
          <w:kern w:val="0"/>
          <w:sz w:val="30"/>
          <w:rtl/>
        </w:rPr>
        <w:t>. و</w:t>
      </w:r>
      <w:r w:rsidRPr="00AA537D">
        <w:rPr>
          <w:spacing w:val="0"/>
          <w:kern w:val="0"/>
          <w:sz w:val="30"/>
          <w:rtl/>
        </w:rPr>
        <w:t>إذا كان</w:t>
      </w:r>
      <w:r w:rsidRPr="00AA537D">
        <w:rPr>
          <w:rFonts w:hint="cs"/>
          <w:spacing w:val="0"/>
          <w:kern w:val="0"/>
          <w:sz w:val="30"/>
          <w:rtl/>
        </w:rPr>
        <w:t xml:space="preserve">ت </w:t>
      </w:r>
      <w:r w:rsidRPr="00AA537D">
        <w:rPr>
          <w:spacing w:val="0"/>
          <w:kern w:val="0"/>
          <w:sz w:val="30"/>
          <w:rtl/>
        </w:rPr>
        <w:t xml:space="preserve">الإجراءات الجنائية مطلوبة </w:t>
      </w:r>
      <w:r w:rsidRPr="00AA537D">
        <w:rPr>
          <w:rFonts w:hint="cs"/>
          <w:spacing w:val="0"/>
          <w:kern w:val="0"/>
          <w:sz w:val="30"/>
          <w:rtl/>
        </w:rPr>
        <w:t>في</w:t>
      </w:r>
      <w:r w:rsidRPr="00AA537D">
        <w:rPr>
          <w:spacing w:val="0"/>
          <w:kern w:val="0"/>
          <w:sz w:val="30"/>
          <w:rtl/>
        </w:rPr>
        <w:t xml:space="preserve"> التشريعات الوطنية </w:t>
      </w:r>
      <w:r w:rsidRPr="00AA537D">
        <w:rPr>
          <w:rFonts w:hint="cs"/>
          <w:spacing w:val="0"/>
          <w:kern w:val="0"/>
          <w:sz w:val="30"/>
          <w:rtl/>
        </w:rPr>
        <w:t>لإمكان المطالبة ب</w:t>
      </w:r>
      <w:r w:rsidRPr="00AA537D">
        <w:rPr>
          <w:spacing w:val="0"/>
          <w:kern w:val="0"/>
          <w:sz w:val="30"/>
          <w:rtl/>
        </w:rPr>
        <w:t xml:space="preserve">التعويض المدني، </w:t>
      </w:r>
      <w:r w:rsidRPr="00AA537D">
        <w:rPr>
          <w:rFonts w:hint="cs"/>
          <w:spacing w:val="0"/>
          <w:kern w:val="0"/>
          <w:sz w:val="30"/>
          <w:rtl/>
        </w:rPr>
        <w:t>فإن أي</w:t>
      </w:r>
      <w:r w:rsidRPr="00AA537D">
        <w:rPr>
          <w:spacing w:val="0"/>
          <w:kern w:val="0"/>
          <w:sz w:val="30"/>
          <w:rtl/>
        </w:rPr>
        <w:t xml:space="preserve"> غياب أو تأخير لا مبرر له في تلك ا</w:t>
      </w:r>
      <w:r w:rsidRPr="00AA537D">
        <w:rPr>
          <w:rFonts w:hint="cs"/>
          <w:spacing w:val="0"/>
          <w:kern w:val="0"/>
          <w:sz w:val="30"/>
          <w:rtl/>
        </w:rPr>
        <w:t xml:space="preserve">لإجراءات يشكل انتهاكاً من </w:t>
      </w:r>
      <w:r w:rsidRPr="00AA537D">
        <w:rPr>
          <w:spacing w:val="0"/>
          <w:kern w:val="0"/>
          <w:sz w:val="30"/>
          <w:rtl/>
        </w:rPr>
        <w:t xml:space="preserve">الدولة الطرف </w:t>
      </w:r>
      <w:r w:rsidRPr="00AA537D">
        <w:rPr>
          <w:rFonts w:hint="cs"/>
          <w:spacing w:val="0"/>
          <w:kern w:val="0"/>
          <w:sz w:val="30"/>
          <w:rtl/>
        </w:rPr>
        <w:t>ل</w:t>
      </w:r>
      <w:r w:rsidRPr="00AA537D">
        <w:rPr>
          <w:spacing w:val="0"/>
          <w:kern w:val="0"/>
          <w:sz w:val="30"/>
          <w:rtl/>
        </w:rPr>
        <w:t>التزاماتها بموجب الاتفاقية. وتؤكد اللجنة أنه لا يمكن اعتبار وسائل الانتصاف التأديبية أو</w:t>
      </w:r>
      <w:r w:rsidRPr="00AA537D">
        <w:rPr>
          <w:rFonts w:hint="cs"/>
          <w:spacing w:val="0"/>
          <w:kern w:val="0"/>
          <w:sz w:val="30"/>
          <w:rtl/>
        </w:rPr>
        <w:t> </w:t>
      </w:r>
      <w:r w:rsidRPr="00AA537D">
        <w:rPr>
          <w:spacing w:val="0"/>
          <w:kern w:val="0"/>
          <w:sz w:val="30"/>
          <w:rtl/>
        </w:rPr>
        <w:t xml:space="preserve">الإدارية دون الحصول على مراجعة قضائية فعالة </w:t>
      </w:r>
      <w:r w:rsidRPr="00AA537D">
        <w:rPr>
          <w:rFonts w:hint="cs"/>
          <w:spacing w:val="0"/>
          <w:kern w:val="0"/>
          <w:sz w:val="30"/>
          <w:rtl/>
        </w:rPr>
        <w:t xml:space="preserve">من أشكال </w:t>
      </w:r>
      <w:r w:rsidRPr="00AA537D">
        <w:rPr>
          <w:spacing w:val="0"/>
          <w:kern w:val="0"/>
          <w:sz w:val="30"/>
          <w:rtl/>
        </w:rPr>
        <w:t>الجبر الملائم في سياق المادة</w:t>
      </w:r>
      <w:r w:rsidRPr="00AA537D">
        <w:rPr>
          <w:rFonts w:hint="cs"/>
          <w:spacing w:val="0"/>
          <w:kern w:val="0"/>
          <w:sz w:val="30"/>
          <w:rtl/>
        </w:rPr>
        <w:t> </w:t>
      </w:r>
      <w:r w:rsidRPr="00AA537D">
        <w:rPr>
          <w:spacing w:val="0"/>
          <w:kern w:val="0"/>
          <w:sz w:val="30"/>
          <w:rtl/>
        </w:rPr>
        <w:t xml:space="preserve">14. </w:t>
      </w:r>
      <w:r w:rsidRPr="00AA537D">
        <w:rPr>
          <w:rFonts w:hint="cs"/>
          <w:spacing w:val="0"/>
          <w:kern w:val="0"/>
          <w:sz w:val="30"/>
          <w:rtl/>
        </w:rPr>
        <w:t xml:space="preserve">وبناء عليه، </w:t>
      </w:r>
      <w:r w:rsidRPr="00AA537D">
        <w:rPr>
          <w:rFonts w:hint="cs"/>
          <w:spacing w:val="0"/>
          <w:kern w:val="0"/>
          <w:rtl/>
        </w:rPr>
        <w:t>تخلص اللجنة إلى أن الدولة الطرف قد انتهكت أيضاً التزاماتها المنصوص عليها في المادة 14 من الاتفاقية</w:t>
      </w:r>
      <w:r w:rsidRPr="00AA537D">
        <w:rPr>
          <w:spacing w:val="0"/>
          <w:kern w:val="0"/>
          <w:vertAlign w:val="superscript"/>
          <w:rtl/>
        </w:rPr>
        <w:t>(</w:t>
      </w:r>
      <w:r w:rsidRPr="00CA5735">
        <w:rPr>
          <w:rStyle w:val="FootnoteReference"/>
          <w:spacing w:val="0"/>
          <w:sz w:val="2"/>
          <w:szCs w:val="2"/>
          <w:rtl/>
        </w:rPr>
        <w:footnoteReference w:id="406"/>
      </w:r>
      <w:r w:rsidR="00CA5735">
        <w:rPr>
          <w:rFonts w:hint="cs"/>
          <w:spacing w:val="0"/>
          <w:kern w:val="0"/>
          <w:vertAlign w:val="superscript"/>
          <w:rtl/>
        </w:rPr>
        <w:t>ج ج</w:t>
      </w:r>
      <w:r w:rsidRPr="00AA537D">
        <w:rPr>
          <w:spacing w:val="0"/>
          <w:kern w:val="0"/>
          <w:vertAlign w:val="superscript"/>
          <w:rtl/>
        </w:rPr>
        <w:t>)</w:t>
      </w:r>
      <w:r w:rsidRPr="00AA537D">
        <w:rPr>
          <w:rFonts w:hint="cs"/>
          <w:spacing w:val="0"/>
          <w:kern w:val="0"/>
          <w:rtl/>
        </w:rPr>
        <w:t xml:space="preserve">. </w:t>
      </w:r>
    </w:p>
    <w:p w:rsidR="00FA6676" w:rsidRPr="00AA537D" w:rsidRDefault="00FA6676" w:rsidP="00CA5735">
      <w:pPr>
        <w:pStyle w:val="SingleTxtGA"/>
        <w:jc w:val="lowKashida"/>
        <w:rPr>
          <w:rFonts w:hint="cs"/>
          <w:spacing w:val="0"/>
          <w:kern w:val="0"/>
          <w:sz w:val="30"/>
          <w:rtl/>
        </w:rPr>
      </w:pPr>
      <w:r w:rsidRPr="00AA537D">
        <w:rPr>
          <w:rFonts w:hint="cs"/>
          <w:spacing w:val="0"/>
          <w:kern w:val="0"/>
          <w:rtl/>
          <w:lang/>
        </w:rPr>
        <w:t>12-9</w:t>
      </w:r>
      <w:r w:rsidRPr="00AA537D">
        <w:rPr>
          <w:rFonts w:hint="cs"/>
          <w:spacing w:val="0"/>
          <w:kern w:val="0"/>
          <w:rtl/>
          <w:lang/>
        </w:rPr>
        <w:tab/>
      </w:r>
      <w:r w:rsidRPr="00AA537D">
        <w:rPr>
          <w:rFonts w:hint="cs"/>
          <w:spacing w:val="0"/>
          <w:kern w:val="0"/>
          <w:rtl/>
        </w:rPr>
        <w:t>وتؤكد اللجنة من جديد أنه في إطار إجراء البلاغات الفردية الوارد في المادة 22، تتعهد الدولة الطرف بالتعاون مع اللجنة بحسن نية وبالامتناع عن اتخاذ أية تدابير قد تعيق هذا الإجراء</w:t>
      </w:r>
      <w:r w:rsidRPr="00AA537D">
        <w:rPr>
          <w:spacing w:val="0"/>
          <w:kern w:val="0"/>
          <w:vertAlign w:val="superscript"/>
          <w:rtl/>
        </w:rPr>
        <w:t>(</w:t>
      </w:r>
      <w:r w:rsidRPr="00CA5735">
        <w:rPr>
          <w:rStyle w:val="FootnoteReference"/>
          <w:spacing w:val="0"/>
          <w:sz w:val="2"/>
          <w:szCs w:val="2"/>
          <w:rtl/>
        </w:rPr>
        <w:footnoteReference w:id="407"/>
      </w:r>
      <w:r w:rsidR="00CA5735">
        <w:rPr>
          <w:rFonts w:hint="cs"/>
          <w:spacing w:val="0"/>
          <w:kern w:val="0"/>
          <w:vertAlign w:val="superscript"/>
          <w:rtl/>
        </w:rPr>
        <w:t>د د</w:t>
      </w:r>
      <w:r w:rsidRPr="00AA537D">
        <w:rPr>
          <w:spacing w:val="0"/>
          <w:kern w:val="0"/>
          <w:vertAlign w:val="superscript"/>
          <w:rtl/>
        </w:rPr>
        <w:t>)</w:t>
      </w:r>
      <w:r w:rsidRPr="00AA537D">
        <w:rPr>
          <w:rFonts w:hint="cs"/>
          <w:spacing w:val="0"/>
          <w:kern w:val="0"/>
          <w:rtl/>
        </w:rPr>
        <w:t xml:space="preserve">، وعن </w:t>
      </w:r>
      <w:r w:rsidRPr="00AA537D">
        <w:rPr>
          <w:spacing w:val="0"/>
          <w:kern w:val="0"/>
          <w:sz w:val="30"/>
          <w:rtl/>
        </w:rPr>
        <w:t xml:space="preserve">أي عمل من أعمال الترهيب أو الانتقام ضد </w:t>
      </w:r>
      <w:r w:rsidRPr="00AA537D">
        <w:rPr>
          <w:rFonts w:hint="cs"/>
          <w:spacing w:val="0"/>
          <w:kern w:val="0"/>
          <w:sz w:val="30"/>
          <w:rtl/>
        </w:rPr>
        <w:t>أصحاب الشكاوى و</w:t>
      </w:r>
      <w:r w:rsidRPr="00AA537D">
        <w:rPr>
          <w:spacing w:val="0"/>
          <w:kern w:val="0"/>
          <w:sz w:val="30"/>
          <w:rtl/>
        </w:rPr>
        <w:t>أسر</w:t>
      </w:r>
      <w:r w:rsidRPr="00AA537D">
        <w:rPr>
          <w:rFonts w:hint="cs"/>
          <w:spacing w:val="0"/>
          <w:kern w:val="0"/>
          <w:sz w:val="30"/>
          <w:rtl/>
        </w:rPr>
        <w:t>هم</w:t>
      </w:r>
      <w:r w:rsidRPr="00AA537D">
        <w:rPr>
          <w:spacing w:val="0"/>
          <w:kern w:val="0"/>
          <w:sz w:val="30"/>
          <w:rtl/>
        </w:rPr>
        <w:t xml:space="preserve"> و/أو ممثلي</w:t>
      </w:r>
      <w:r w:rsidRPr="00AA537D">
        <w:rPr>
          <w:rFonts w:hint="cs"/>
          <w:spacing w:val="0"/>
          <w:kern w:val="0"/>
          <w:sz w:val="30"/>
          <w:rtl/>
        </w:rPr>
        <w:t>هم المعتمدين</w:t>
      </w:r>
      <w:r w:rsidRPr="00AA537D">
        <w:rPr>
          <w:spacing w:val="0"/>
          <w:kern w:val="0"/>
          <w:sz w:val="30"/>
          <w:rtl/>
        </w:rPr>
        <w:t>، فيما يتصل ب</w:t>
      </w:r>
      <w:r w:rsidRPr="00AA537D">
        <w:rPr>
          <w:rFonts w:hint="cs"/>
          <w:spacing w:val="0"/>
          <w:kern w:val="0"/>
          <w:sz w:val="30"/>
          <w:rtl/>
        </w:rPr>
        <w:t>ال</w:t>
      </w:r>
      <w:r w:rsidRPr="00AA537D">
        <w:rPr>
          <w:spacing w:val="0"/>
          <w:kern w:val="0"/>
          <w:sz w:val="30"/>
          <w:rtl/>
        </w:rPr>
        <w:t xml:space="preserve">شكوى </w:t>
      </w:r>
      <w:r w:rsidRPr="00AA537D">
        <w:rPr>
          <w:rFonts w:hint="cs"/>
          <w:spacing w:val="0"/>
          <w:kern w:val="0"/>
          <w:sz w:val="30"/>
          <w:rtl/>
        </w:rPr>
        <w:t xml:space="preserve">المعروضة على </w:t>
      </w:r>
      <w:r w:rsidRPr="00AA537D">
        <w:rPr>
          <w:spacing w:val="0"/>
          <w:kern w:val="0"/>
          <w:sz w:val="30"/>
          <w:rtl/>
        </w:rPr>
        <w:t>اللجنة. و</w:t>
      </w:r>
      <w:r w:rsidRPr="00AA537D">
        <w:rPr>
          <w:rFonts w:hint="cs"/>
          <w:spacing w:val="0"/>
          <w:kern w:val="0"/>
          <w:sz w:val="30"/>
          <w:rtl/>
        </w:rPr>
        <w:t xml:space="preserve">قد </w:t>
      </w:r>
      <w:r w:rsidRPr="00AA537D">
        <w:rPr>
          <w:spacing w:val="0"/>
          <w:kern w:val="0"/>
          <w:sz w:val="30"/>
          <w:rtl/>
        </w:rPr>
        <w:t>تشمل هذه الأ</w:t>
      </w:r>
      <w:r w:rsidRPr="00AA537D">
        <w:rPr>
          <w:rFonts w:hint="cs"/>
          <w:spacing w:val="0"/>
          <w:kern w:val="0"/>
          <w:sz w:val="30"/>
          <w:rtl/>
        </w:rPr>
        <w:t>عمال</w:t>
      </w:r>
      <w:r w:rsidRPr="00AA537D">
        <w:rPr>
          <w:spacing w:val="0"/>
          <w:kern w:val="0"/>
          <w:sz w:val="30"/>
          <w:rtl/>
        </w:rPr>
        <w:t xml:space="preserve">، </w:t>
      </w:r>
      <w:r w:rsidRPr="00AA537D">
        <w:rPr>
          <w:rFonts w:hint="cs"/>
          <w:spacing w:val="0"/>
          <w:kern w:val="0"/>
          <w:sz w:val="30"/>
          <w:rtl/>
        </w:rPr>
        <w:t>على سبيل المثال وليس الحصر</w:t>
      </w:r>
      <w:r w:rsidRPr="00AA537D">
        <w:rPr>
          <w:spacing w:val="0"/>
          <w:kern w:val="0"/>
          <w:sz w:val="30"/>
          <w:rtl/>
        </w:rPr>
        <w:t>، أي شكل من أشكال التهديد المباشر أو غير المباشر، والإكراه</w:t>
      </w:r>
      <w:r w:rsidRPr="00AA537D">
        <w:rPr>
          <w:rFonts w:hint="cs"/>
          <w:spacing w:val="0"/>
          <w:kern w:val="0"/>
          <w:sz w:val="30"/>
          <w:rtl/>
        </w:rPr>
        <w:t xml:space="preserve">، وأي أعمال </w:t>
      </w:r>
      <w:r w:rsidRPr="00AA537D">
        <w:rPr>
          <w:spacing w:val="0"/>
          <w:kern w:val="0"/>
          <w:sz w:val="30"/>
          <w:rtl/>
        </w:rPr>
        <w:t xml:space="preserve">أخرى غير سليمة </w:t>
      </w:r>
      <w:r w:rsidRPr="00AA537D">
        <w:rPr>
          <w:rFonts w:hint="cs"/>
          <w:spacing w:val="0"/>
          <w:kern w:val="0"/>
          <w:sz w:val="30"/>
          <w:rtl/>
        </w:rPr>
        <w:t>يكون الهدف منها منع</w:t>
      </w:r>
      <w:r w:rsidRPr="00AA537D">
        <w:rPr>
          <w:spacing w:val="0"/>
          <w:kern w:val="0"/>
          <w:sz w:val="30"/>
          <w:rtl/>
        </w:rPr>
        <w:t xml:space="preserve"> </w:t>
      </w:r>
      <w:r w:rsidRPr="00AA537D">
        <w:rPr>
          <w:rFonts w:hint="cs"/>
          <w:spacing w:val="0"/>
          <w:kern w:val="0"/>
          <w:sz w:val="30"/>
          <w:rtl/>
        </w:rPr>
        <w:t>أصحاب الشكوى</w:t>
      </w:r>
      <w:r w:rsidRPr="00AA537D">
        <w:rPr>
          <w:spacing w:val="0"/>
          <w:kern w:val="0"/>
          <w:sz w:val="30"/>
          <w:rtl/>
        </w:rPr>
        <w:t xml:space="preserve"> أو </w:t>
      </w:r>
      <w:r w:rsidRPr="00AA537D">
        <w:rPr>
          <w:rFonts w:hint="cs"/>
          <w:spacing w:val="0"/>
          <w:kern w:val="0"/>
          <w:sz w:val="30"/>
          <w:rtl/>
        </w:rPr>
        <w:t xml:space="preserve">أصحاب الشكوى </w:t>
      </w:r>
      <w:r w:rsidRPr="00AA537D">
        <w:rPr>
          <w:spacing w:val="0"/>
          <w:kern w:val="0"/>
          <w:sz w:val="30"/>
          <w:rtl/>
        </w:rPr>
        <w:t xml:space="preserve">المحتملين من تقديم </w:t>
      </w:r>
      <w:r w:rsidRPr="00AA537D">
        <w:rPr>
          <w:rFonts w:hint="cs"/>
          <w:spacing w:val="0"/>
          <w:kern w:val="0"/>
          <w:sz w:val="30"/>
          <w:rtl/>
        </w:rPr>
        <w:t>ال</w:t>
      </w:r>
      <w:r w:rsidRPr="00AA537D">
        <w:rPr>
          <w:spacing w:val="0"/>
          <w:kern w:val="0"/>
          <w:sz w:val="30"/>
          <w:rtl/>
        </w:rPr>
        <w:t>شكاو</w:t>
      </w:r>
      <w:r w:rsidRPr="00AA537D">
        <w:rPr>
          <w:rFonts w:hint="cs"/>
          <w:spacing w:val="0"/>
          <w:kern w:val="0"/>
          <w:sz w:val="30"/>
          <w:rtl/>
        </w:rPr>
        <w:t>ى</w:t>
      </w:r>
      <w:r w:rsidRPr="00AA537D">
        <w:rPr>
          <w:spacing w:val="0"/>
          <w:kern w:val="0"/>
          <w:sz w:val="30"/>
          <w:rtl/>
        </w:rPr>
        <w:t xml:space="preserve"> </w:t>
      </w:r>
      <w:r w:rsidRPr="00AA537D">
        <w:rPr>
          <w:rFonts w:hint="cs"/>
          <w:spacing w:val="0"/>
          <w:kern w:val="0"/>
          <w:sz w:val="30"/>
          <w:rtl/>
        </w:rPr>
        <w:t xml:space="preserve">أو إثناؤهم عن ذلك </w:t>
      </w:r>
      <w:r w:rsidRPr="00AA537D">
        <w:rPr>
          <w:spacing w:val="0"/>
          <w:kern w:val="0"/>
          <w:sz w:val="30"/>
          <w:rtl/>
        </w:rPr>
        <w:t xml:space="preserve">أو الضغط عليهم </w:t>
      </w:r>
      <w:r w:rsidRPr="00AA537D">
        <w:rPr>
          <w:rFonts w:hint="cs"/>
          <w:spacing w:val="0"/>
          <w:kern w:val="0"/>
          <w:sz w:val="30"/>
          <w:rtl/>
        </w:rPr>
        <w:t>ل</w:t>
      </w:r>
      <w:r w:rsidRPr="00AA537D">
        <w:rPr>
          <w:spacing w:val="0"/>
          <w:kern w:val="0"/>
          <w:sz w:val="30"/>
          <w:rtl/>
        </w:rPr>
        <w:t>سحب أو</w:t>
      </w:r>
      <w:r w:rsidRPr="00AA537D">
        <w:rPr>
          <w:rFonts w:hint="cs"/>
          <w:spacing w:val="0"/>
          <w:kern w:val="0"/>
          <w:sz w:val="30"/>
          <w:rtl/>
        </w:rPr>
        <w:t> </w:t>
      </w:r>
      <w:r w:rsidRPr="00AA537D">
        <w:rPr>
          <w:spacing w:val="0"/>
          <w:kern w:val="0"/>
          <w:sz w:val="30"/>
          <w:rtl/>
        </w:rPr>
        <w:t xml:space="preserve">تعديل </w:t>
      </w:r>
      <w:r w:rsidRPr="00AA537D">
        <w:rPr>
          <w:rFonts w:hint="cs"/>
          <w:spacing w:val="0"/>
          <w:kern w:val="0"/>
          <w:sz w:val="30"/>
          <w:rtl/>
        </w:rPr>
        <w:t>شكواهم</w:t>
      </w:r>
      <w:r w:rsidRPr="00AA537D">
        <w:rPr>
          <w:spacing w:val="0"/>
          <w:kern w:val="0"/>
          <w:sz w:val="30"/>
          <w:rtl/>
        </w:rPr>
        <w:t xml:space="preserve">. </w:t>
      </w:r>
      <w:r w:rsidRPr="00AA537D">
        <w:rPr>
          <w:rFonts w:hint="cs"/>
          <w:spacing w:val="0"/>
          <w:kern w:val="0"/>
          <w:sz w:val="30"/>
          <w:rtl/>
        </w:rPr>
        <w:t>و</w:t>
      </w:r>
      <w:r w:rsidRPr="00AA537D">
        <w:rPr>
          <w:spacing w:val="0"/>
          <w:kern w:val="0"/>
          <w:sz w:val="30"/>
          <w:rtl/>
        </w:rPr>
        <w:t xml:space="preserve">أي تدخل من هذا القبيل </w:t>
      </w:r>
      <w:r w:rsidRPr="00AA537D">
        <w:rPr>
          <w:rFonts w:hint="cs"/>
          <w:spacing w:val="0"/>
          <w:kern w:val="0"/>
          <w:sz w:val="30"/>
          <w:rtl/>
        </w:rPr>
        <w:t xml:space="preserve">من شأن أن يقوّض حق </w:t>
      </w:r>
      <w:r w:rsidRPr="00AA537D">
        <w:rPr>
          <w:spacing w:val="0"/>
          <w:kern w:val="0"/>
          <w:sz w:val="30"/>
          <w:rtl/>
        </w:rPr>
        <w:t xml:space="preserve">الأفراد في </w:t>
      </w:r>
      <w:r w:rsidRPr="00AA537D">
        <w:rPr>
          <w:rFonts w:hint="cs"/>
          <w:spacing w:val="0"/>
          <w:kern w:val="0"/>
          <w:sz w:val="30"/>
          <w:rtl/>
        </w:rPr>
        <w:t xml:space="preserve">التظلم </w:t>
      </w:r>
      <w:r w:rsidRPr="00AA537D">
        <w:rPr>
          <w:spacing w:val="0"/>
          <w:kern w:val="0"/>
          <w:sz w:val="30"/>
          <w:rtl/>
        </w:rPr>
        <w:t>بموجب المادة 22.</w:t>
      </w:r>
    </w:p>
    <w:p w:rsidR="00FA6676" w:rsidRPr="00AA537D" w:rsidRDefault="00FA6676" w:rsidP="00AA537D">
      <w:pPr>
        <w:pStyle w:val="SingleTxtGA"/>
        <w:tabs>
          <w:tab w:val="clear" w:pos="1928"/>
          <w:tab w:val="left" w:pos="2093"/>
        </w:tabs>
        <w:jc w:val="lowKashida"/>
        <w:rPr>
          <w:rFonts w:hint="cs"/>
          <w:spacing w:val="0"/>
          <w:kern w:val="0"/>
          <w:rtl/>
        </w:rPr>
      </w:pPr>
      <w:r w:rsidRPr="00AA537D">
        <w:rPr>
          <w:rFonts w:hint="cs"/>
          <w:spacing w:val="0"/>
          <w:kern w:val="0"/>
          <w:rtl/>
          <w:lang/>
        </w:rPr>
        <w:t>12-10</w:t>
      </w:r>
      <w:r w:rsidRPr="00AA537D">
        <w:rPr>
          <w:rFonts w:hint="cs"/>
          <w:spacing w:val="0"/>
          <w:kern w:val="0"/>
          <w:rtl/>
          <w:lang/>
        </w:rPr>
        <w:tab/>
      </w:r>
      <w:r w:rsidRPr="00AA537D">
        <w:rPr>
          <w:rFonts w:hint="cs"/>
          <w:spacing w:val="0"/>
          <w:kern w:val="0"/>
          <w:rtl/>
        </w:rPr>
        <w:t>و</w:t>
      </w:r>
      <w:r w:rsidRPr="00AA537D">
        <w:rPr>
          <w:spacing w:val="0"/>
          <w:kern w:val="0"/>
          <w:rtl/>
        </w:rPr>
        <w:t>تلاحظ اللجنة أن</w:t>
      </w:r>
      <w:r w:rsidRPr="00AA537D">
        <w:rPr>
          <w:rFonts w:hint="cs"/>
          <w:spacing w:val="0"/>
          <w:kern w:val="0"/>
          <w:rtl/>
        </w:rPr>
        <w:t xml:space="preserve"> صاحب الشكوى، </w:t>
      </w:r>
      <w:r w:rsidRPr="00AA537D">
        <w:rPr>
          <w:spacing w:val="0"/>
          <w:kern w:val="0"/>
          <w:rtl/>
        </w:rPr>
        <w:t>قبل توقيع</w:t>
      </w:r>
      <w:r w:rsidRPr="00AA537D">
        <w:rPr>
          <w:rFonts w:hint="cs"/>
          <w:spacing w:val="0"/>
          <w:kern w:val="0"/>
          <w:rtl/>
        </w:rPr>
        <w:t>ه</w:t>
      </w:r>
      <w:r w:rsidRPr="00AA537D">
        <w:rPr>
          <w:spacing w:val="0"/>
          <w:kern w:val="0"/>
          <w:rtl/>
        </w:rPr>
        <w:t xml:space="preserve"> على رسالة </w:t>
      </w:r>
      <w:r w:rsidRPr="00AA537D">
        <w:rPr>
          <w:rFonts w:hint="cs"/>
          <w:spacing w:val="0"/>
          <w:kern w:val="0"/>
          <w:rtl/>
        </w:rPr>
        <w:t>سحب الشكوى الم</w:t>
      </w:r>
      <w:r w:rsidRPr="00AA537D">
        <w:rPr>
          <w:spacing w:val="0"/>
          <w:kern w:val="0"/>
          <w:rtl/>
        </w:rPr>
        <w:t>ؤرخ</w:t>
      </w:r>
      <w:r w:rsidRPr="00AA537D">
        <w:rPr>
          <w:rFonts w:hint="cs"/>
          <w:spacing w:val="0"/>
          <w:kern w:val="0"/>
          <w:rtl/>
        </w:rPr>
        <w:t>ة</w:t>
      </w:r>
      <w:r w:rsidRPr="00AA537D">
        <w:rPr>
          <w:spacing w:val="0"/>
          <w:kern w:val="0"/>
          <w:rtl/>
        </w:rPr>
        <w:t xml:space="preserve"> 18 </w:t>
      </w:r>
      <w:r w:rsidRPr="00AA537D">
        <w:rPr>
          <w:rFonts w:hint="cs"/>
          <w:spacing w:val="0"/>
          <w:kern w:val="0"/>
          <w:rtl/>
        </w:rPr>
        <w:t>شباط/</w:t>
      </w:r>
      <w:r w:rsidRPr="00AA537D">
        <w:rPr>
          <w:spacing w:val="0"/>
          <w:kern w:val="0"/>
          <w:rtl/>
        </w:rPr>
        <w:t xml:space="preserve">فبراير 2011، </w:t>
      </w:r>
      <w:r w:rsidRPr="00AA537D">
        <w:rPr>
          <w:rFonts w:hint="cs"/>
          <w:spacing w:val="0"/>
          <w:kern w:val="0"/>
          <w:rtl/>
        </w:rPr>
        <w:t xml:space="preserve">وقَّع على </w:t>
      </w:r>
      <w:r w:rsidRPr="00AA537D">
        <w:rPr>
          <w:spacing w:val="0"/>
          <w:kern w:val="0"/>
          <w:rtl/>
        </w:rPr>
        <w:t xml:space="preserve">عدة رسائل أخرى </w:t>
      </w:r>
      <w:r w:rsidRPr="00AA537D">
        <w:rPr>
          <w:rFonts w:hint="cs"/>
          <w:spacing w:val="0"/>
          <w:kern w:val="0"/>
          <w:rtl/>
        </w:rPr>
        <w:t>ي</w:t>
      </w:r>
      <w:r w:rsidRPr="00AA537D">
        <w:rPr>
          <w:spacing w:val="0"/>
          <w:kern w:val="0"/>
          <w:rtl/>
        </w:rPr>
        <w:t xml:space="preserve">رفض </w:t>
      </w:r>
      <w:r w:rsidRPr="00AA537D">
        <w:rPr>
          <w:rFonts w:hint="cs"/>
          <w:spacing w:val="0"/>
          <w:kern w:val="0"/>
          <w:rtl/>
        </w:rPr>
        <w:t xml:space="preserve">فيها </w:t>
      </w:r>
      <w:r w:rsidRPr="00AA537D">
        <w:rPr>
          <w:spacing w:val="0"/>
          <w:kern w:val="0"/>
          <w:rtl/>
        </w:rPr>
        <w:t>مساعدة محامي</w:t>
      </w:r>
      <w:r w:rsidRPr="00AA537D">
        <w:rPr>
          <w:rFonts w:hint="cs"/>
          <w:spacing w:val="0"/>
          <w:kern w:val="0"/>
          <w:rtl/>
        </w:rPr>
        <w:t>ه</w:t>
      </w:r>
      <w:r w:rsidRPr="00AA537D">
        <w:rPr>
          <w:spacing w:val="0"/>
          <w:kern w:val="0"/>
          <w:rtl/>
        </w:rPr>
        <w:t xml:space="preserve">، </w:t>
      </w:r>
      <w:r w:rsidRPr="00AA537D">
        <w:rPr>
          <w:rFonts w:hint="cs"/>
          <w:spacing w:val="0"/>
          <w:kern w:val="0"/>
          <w:rtl/>
        </w:rPr>
        <w:t>ويتراج</w:t>
      </w:r>
      <w:r w:rsidRPr="00AA537D">
        <w:rPr>
          <w:spacing w:val="0"/>
          <w:kern w:val="0"/>
          <w:rtl/>
        </w:rPr>
        <w:t xml:space="preserve">ع </w:t>
      </w:r>
      <w:r w:rsidRPr="00AA537D">
        <w:rPr>
          <w:rFonts w:hint="cs"/>
          <w:spacing w:val="0"/>
          <w:kern w:val="0"/>
          <w:rtl/>
        </w:rPr>
        <w:t xml:space="preserve">فيها </w:t>
      </w:r>
      <w:r w:rsidRPr="00AA537D">
        <w:rPr>
          <w:spacing w:val="0"/>
          <w:kern w:val="0"/>
          <w:rtl/>
        </w:rPr>
        <w:t>عن أقواله السابقة</w:t>
      </w:r>
      <w:r w:rsidRPr="00AA537D">
        <w:rPr>
          <w:rFonts w:hint="cs"/>
          <w:spacing w:val="0"/>
          <w:kern w:val="0"/>
          <w:rtl/>
        </w:rPr>
        <w:t xml:space="preserve">، </w:t>
      </w:r>
      <w:r w:rsidRPr="00AA537D">
        <w:rPr>
          <w:spacing w:val="0"/>
          <w:kern w:val="0"/>
          <w:rtl/>
        </w:rPr>
        <w:t>و</w:t>
      </w:r>
      <w:r w:rsidRPr="00AA537D">
        <w:rPr>
          <w:rFonts w:hint="cs"/>
          <w:spacing w:val="0"/>
          <w:kern w:val="0"/>
          <w:rtl/>
        </w:rPr>
        <w:t>ي</w:t>
      </w:r>
      <w:r w:rsidRPr="00AA537D">
        <w:rPr>
          <w:spacing w:val="0"/>
          <w:kern w:val="0"/>
          <w:rtl/>
        </w:rPr>
        <w:t>رفض</w:t>
      </w:r>
      <w:r w:rsidRPr="00AA537D">
        <w:rPr>
          <w:rFonts w:hint="cs"/>
          <w:spacing w:val="0"/>
          <w:kern w:val="0"/>
          <w:rtl/>
        </w:rPr>
        <w:t xml:space="preserve"> فيها </w:t>
      </w:r>
      <w:r w:rsidRPr="00AA537D">
        <w:rPr>
          <w:spacing w:val="0"/>
          <w:kern w:val="0"/>
          <w:rtl/>
        </w:rPr>
        <w:t>الإدلاء بمزيد</w:t>
      </w:r>
      <w:r w:rsidRPr="00AA537D">
        <w:rPr>
          <w:rFonts w:hint="cs"/>
          <w:spacing w:val="0"/>
          <w:kern w:val="0"/>
          <w:rtl/>
        </w:rPr>
        <w:t xml:space="preserve"> من الأقوال</w:t>
      </w:r>
      <w:r w:rsidRPr="00AA537D">
        <w:rPr>
          <w:spacing w:val="0"/>
          <w:kern w:val="0"/>
          <w:rtl/>
        </w:rPr>
        <w:t>. و</w:t>
      </w:r>
      <w:r w:rsidRPr="00AA537D">
        <w:rPr>
          <w:rFonts w:hint="cs"/>
          <w:spacing w:val="0"/>
          <w:kern w:val="0"/>
          <w:rtl/>
        </w:rPr>
        <w:t>ل</w:t>
      </w:r>
      <w:r w:rsidRPr="00AA537D">
        <w:rPr>
          <w:spacing w:val="0"/>
          <w:kern w:val="0"/>
          <w:rtl/>
        </w:rPr>
        <w:t xml:space="preserve">ذلك، </w:t>
      </w:r>
      <w:r w:rsidRPr="00AA537D">
        <w:rPr>
          <w:rFonts w:hint="cs"/>
          <w:spacing w:val="0"/>
          <w:kern w:val="0"/>
          <w:rtl/>
        </w:rPr>
        <w:t xml:space="preserve">فإن الشكاوى الوحيدة ضد </w:t>
      </w:r>
      <w:r w:rsidRPr="00AA537D">
        <w:rPr>
          <w:spacing w:val="0"/>
          <w:kern w:val="0"/>
          <w:rtl/>
        </w:rPr>
        <w:t xml:space="preserve">الشرطة </w:t>
      </w:r>
      <w:r w:rsidRPr="00AA537D">
        <w:rPr>
          <w:rFonts w:hint="cs"/>
          <w:spacing w:val="0"/>
          <w:kern w:val="0"/>
          <w:rtl/>
        </w:rPr>
        <w:t xml:space="preserve">هي الشكاوى </w:t>
      </w:r>
      <w:r w:rsidRPr="00AA537D">
        <w:rPr>
          <w:spacing w:val="0"/>
          <w:kern w:val="0"/>
          <w:rtl/>
        </w:rPr>
        <w:t xml:space="preserve">المعروضة على اللجنة. وتلاحظ اللجنة أن </w:t>
      </w:r>
      <w:r w:rsidRPr="00AA537D">
        <w:rPr>
          <w:rFonts w:hint="cs"/>
          <w:spacing w:val="0"/>
          <w:kern w:val="0"/>
          <w:rtl/>
        </w:rPr>
        <w:t>ال</w:t>
      </w:r>
      <w:r w:rsidRPr="00AA537D">
        <w:rPr>
          <w:spacing w:val="0"/>
          <w:kern w:val="0"/>
          <w:rtl/>
        </w:rPr>
        <w:t xml:space="preserve">رسالة </w:t>
      </w:r>
      <w:r w:rsidRPr="00AA537D">
        <w:rPr>
          <w:rFonts w:hint="cs"/>
          <w:spacing w:val="0"/>
          <w:kern w:val="0"/>
          <w:rtl/>
        </w:rPr>
        <w:t xml:space="preserve">الموثقة المتعلقة بسحب الشكوى أرسلت إلى اللجنة </w:t>
      </w:r>
      <w:r w:rsidRPr="00AA537D">
        <w:rPr>
          <w:spacing w:val="0"/>
          <w:kern w:val="0"/>
          <w:rtl/>
        </w:rPr>
        <w:t xml:space="preserve">مع نسخة </w:t>
      </w:r>
      <w:r w:rsidRPr="00AA537D">
        <w:rPr>
          <w:rFonts w:hint="cs"/>
          <w:spacing w:val="0"/>
          <w:kern w:val="0"/>
          <w:rtl/>
        </w:rPr>
        <w:t xml:space="preserve">منها </w:t>
      </w:r>
      <w:r w:rsidRPr="00AA537D">
        <w:rPr>
          <w:spacing w:val="0"/>
          <w:kern w:val="0"/>
          <w:rtl/>
        </w:rPr>
        <w:t xml:space="preserve">إلى وزارة الخارجية، </w:t>
      </w:r>
      <w:r w:rsidRPr="00AA537D">
        <w:rPr>
          <w:rFonts w:hint="cs"/>
          <w:spacing w:val="0"/>
          <w:kern w:val="0"/>
          <w:rtl/>
        </w:rPr>
        <w:t xml:space="preserve">ومعها </w:t>
      </w:r>
      <w:r w:rsidRPr="00AA537D">
        <w:rPr>
          <w:spacing w:val="0"/>
          <w:kern w:val="0"/>
          <w:rtl/>
        </w:rPr>
        <w:t>ترجمة من الروسية إلى الإنكليزية. و</w:t>
      </w:r>
      <w:r w:rsidRPr="00AA537D">
        <w:rPr>
          <w:rFonts w:hint="cs"/>
          <w:spacing w:val="0"/>
          <w:kern w:val="0"/>
          <w:rtl/>
        </w:rPr>
        <w:t xml:space="preserve">أحاطت </w:t>
      </w:r>
      <w:r w:rsidRPr="00AA537D">
        <w:rPr>
          <w:spacing w:val="0"/>
          <w:kern w:val="0"/>
          <w:rtl/>
        </w:rPr>
        <w:t xml:space="preserve">اللجنة علما بالضغوط التي تعرض لها صاحب الشكوى وعائلته على الصعيد الوطني، </w:t>
      </w:r>
      <w:r w:rsidRPr="00AA537D">
        <w:rPr>
          <w:rFonts w:hint="cs"/>
          <w:spacing w:val="0"/>
          <w:kern w:val="0"/>
          <w:rtl/>
        </w:rPr>
        <w:t>وأ</w:t>
      </w:r>
      <w:r w:rsidRPr="00AA537D">
        <w:rPr>
          <w:spacing w:val="0"/>
          <w:kern w:val="0"/>
          <w:rtl/>
        </w:rPr>
        <w:t>خذ</w:t>
      </w:r>
      <w:r w:rsidRPr="00AA537D">
        <w:rPr>
          <w:rFonts w:hint="cs"/>
          <w:spacing w:val="0"/>
          <w:kern w:val="0"/>
          <w:rtl/>
        </w:rPr>
        <w:t>ت</w:t>
      </w:r>
      <w:r w:rsidRPr="00AA537D">
        <w:rPr>
          <w:spacing w:val="0"/>
          <w:kern w:val="0"/>
          <w:rtl/>
        </w:rPr>
        <w:t xml:space="preserve"> </w:t>
      </w:r>
      <w:r w:rsidRPr="00AA537D">
        <w:rPr>
          <w:rFonts w:hint="cs"/>
          <w:spacing w:val="0"/>
          <w:kern w:val="0"/>
          <w:rtl/>
        </w:rPr>
        <w:t xml:space="preserve">أيضاً </w:t>
      </w:r>
      <w:r w:rsidRPr="00AA537D">
        <w:rPr>
          <w:spacing w:val="0"/>
          <w:kern w:val="0"/>
          <w:rtl/>
        </w:rPr>
        <w:t xml:space="preserve">في الاعتبار </w:t>
      </w:r>
      <w:r w:rsidRPr="00AA537D">
        <w:rPr>
          <w:rFonts w:hint="cs"/>
          <w:spacing w:val="0"/>
          <w:kern w:val="0"/>
          <w:rtl/>
        </w:rPr>
        <w:t>ا</w:t>
      </w:r>
      <w:r w:rsidRPr="00AA537D">
        <w:rPr>
          <w:spacing w:val="0"/>
          <w:kern w:val="0"/>
          <w:rtl/>
        </w:rPr>
        <w:t xml:space="preserve">لحجج </w:t>
      </w:r>
      <w:r w:rsidRPr="00AA537D">
        <w:rPr>
          <w:rFonts w:hint="cs"/>
          <w:spacing w:val="0"/>
          <w:kern w:val="0"/>
          <w:rtl/>
        </w:rPr>
        <w:t xml:space="preserve">التي قدمها ممثلا </w:t>
      </w:r>
      <w:r w:rsidRPr="00AA537D">
        <w:rPr>
          <w:spacing w:val="0"/>
          <w:kern w:val="0"/>
          <w:rtl/>
        </w:rPr>
        <w:t xml:space="preserve">صاحب الشكوى حول الظروف التي </w:t>
      </w:r>
      <w:r w:rsidRPr="00AA537D">
        <w:rPr>
          <w:rFonts w:hint="cs"/>
          <w:spacing w:val="0"/>
          <w:kern w:val="0"/>
          <w:rtl/>
        </w:rPr>
        <w:t xml:space="preserve">أعدت فيها الرسالة الموثقة، وتخلص اللجنة، بالإشارة إلى استنتاجاتها السابقة، إلى أن </w:t>
      </w:r>
      <w:r w:rsidRPr="00AA537D">
        <w:rPr>
          <w:spacing w:val="0"/>
          <w:kern w:val="0"/>
          <w:rtl/>
        </w:rPr>
        <w:t xml:space="preserve">الوقائع المعروضة عليها تكشف عن </w:t>
      </w:r>
      <w:r w:rsidRPr="00AA537D">
        <w:rPr>
          <w:rFonts w:hint="cs"/>
          <w:spacing w:val="0"/>
          <w:kern w:val="0"/>
          <w:rtl/>
        </w:rPr>
        <w:t xml:space="preserve">وقوع </w:t>
      </w:r>
      <w:r w:rsidRPr="00AA537D">
        <w:rPr>
          <w:spacing w:val="0"/>
          <w:kern w:val="0"/>
          <w:rtl/>
        </w:rPr>
        <w:t xml:space="preserve">انتهاك للمادة 13 من الاتفاقية، </w:t>
      </w:r>
      <w:r w:rsidRPr="00AA537D">
        <w:rPr>
          <w:rFonts w:hint="cs"/>
          <w:spacing w:val="0"/>
          <w:kern w:val="0"/>
          <w:rtl/>
        </w:rPr>
        <w:t>و</w:t>
      </w:r>
      <w:r w:rsidRPr="00AA537D">
        <w:rPr>
          <w:spacing w:val="0"/>
          <w:kern w:val="0"/>
          <w:rtl/>
        </w:rPr>
        <w:t xml:space="preserve">إلى أن تدخل الدولة الطرف </w:t>
      </w:r>
      <w:r w:rsidRPr="00AA537D">
        <w:rPr>
          <w:rFonts w:hint="cs"/>
          <w:spacing w:val="0"/>
          <w:kern w:val="0"/>
          <w:rtl/>
        </w:rPr>
        <w:t xml:space="preserve">في </w:t>
      </w:r>
      <w:r w:rsidRPr="00AA537D">
        <w:rPr>
          <w:spacing w:val="0"/>
          <w:kern w:val="0"/>
          <w:rtl/>
        </w:rPr>
        <w:t xml:space="preserve">حق </w:t>
      </w:r>
      <w:r w:rsidRPr="00AA537D">
        <w:rPr>
          <w:rFonts w:hint="cs"/>
          <w:spacing w:val="0"/>
          <w:kern w:val="0"/>
          <w:rtl/>
        </w:rPr>
        <w:t>صاحب الشكوى في التظلم يشكل أيضاً انتهاكا للمادة 22 من الاتفاقية.</w:t>
      </w:r>
    </w:p>
    <w:p w:rsidR="00FA6676" w:rsidRPr="00AA537D" w:rsidRDefault="00FA6676" w:rsidP="00AA537D">
      <w:pPr>
        <w:pStyle w:val="SingleTxtGA"/>
        <w:jc w:val="lowKashida"/>
        <w:rPr>
          <w:rFonts w:hint="cs"/>
          <w:spacing w:val="0"/>
          <w:kern w:val="0"/>
          <w:rtl/>
          <w:lang w:bidi="ar-SY"/>
        </w:rPr>
      </w:pPr>
      <w:r w:rsidRPr="00AA537D">
        <w:rPr>
          <w:rFonts w:hint="cs"/>
          <w:spacing w:val="0"/>
          <w:kern w:val="0"/>
          <w:rtl/>
        </w:rPr>
        <w:t>13-</w:t>
      </w:r>
      <w:r w:rsidRPr="00AA537D">
        <w:rPr>
          <w:rFonts w:hint="cs"/>
          <w:spacing w:val="0"/>
          <w:kern w:val="0"/>
          <w:rtl/>
        </w:rPr>
        <w:tab/>
      </w:r>
      <w:r w:rsidRPr="00AA537D">
        <w:rPr>
          <w:rFonts w:hint="cs"/>
          <w:spacing w:val="0"/>
          <w:kern w:val="0"/>
          <w:rtl/>
          <w:lang/>
        </w:rPr>
        <w:t xml:space="preserve">وترى لجنة مناهضة </w:t>
      </w:r>
      <w:r w:rsidRPr="00AA537D">
        <w:rPr>
          <w:rFonts w:hint="cs"/>
          <w:spacing w:val="0"/>
          <w:kern w:val="0"/>
          <w:rtl/>
          <w:lang w:bidi="ar-SY"/>
        </w:rPr>
        <w:t>التعذيب</w:t>
      </w:r>
      <w:r w:rsidRPr="00AA537D">
        <w:rPr>
          <w:rFonts w:hint="cs"/>
          <w:spacing w:val="0"/>
          <w:kern w:val="0"/>
          <w:rtl/>
          <w:lang/>
        </w:rPr>
        <w:t>، عملاً بالفقرة 7 من المادة 22 من الاتفاقية، أن الدولة الطرف انتهكت المادة 1، مقروءة بالاقتران مع الفقرة 1 من المادة 2، والمواد 12 و13 و14 و22 من اتفاقية مناهضة التعذيب وغيره من ضروب المعاملة أو العقوبة القاسية أو اللاإنسانية أو المهينة.</w:t>
      </w:r>
    </w:p>
    <w:p w:rsidR="00FA6676" w:rsidRPr="00AA537D" w:rsidRDefault="00FA6676" w:rsidP="00AA537D">
      <w:pPr>
        <w:pStyle w:val="SingleTxtGA"/>
        <w:jc w:val="lowKashida"/>
        <w:rPr>
          <w:rFonts w:hint="cs"/>
          <w:spacing w:val="0"/>
          <w:kern w:val="0"/>
          <w:rtl/>
        </w:rPr>
      </w:pPr>
      <w:r w:rsidRPr="00AA537D">
        <w:rPr>
          <w:rFonts w:hint="cs"/>
          <w:spacing w:val="0"/>
          <w:kern w:val="0"/>
          <w:rtl/>
          <w:lang w:bidi="ar-SY"/>
        </w:rPr>
        <w:t>14-</w:t>
      </w:r>
      <w:r w:rsidRPr="00AA537D">
        <w:rPr>
          <w:rFonts w:hint="cs"/>
          <w:spacing w:val="0"/>
          <w:kern w:val="0"/>
          <w:rtl/>
        </w:rPr>
        <w:tab/>
      </w:r>
      <w:r w:rsidRPr="00AA537D">
        <w:rPr>
          <w:spacing w:val="0"/>
          <w:kern w:val="0"/>
          <w:rtl/>
        </w:rPr>
        <w:t>و</w:t>
      </w:r>
      <w:r w:rsidRPr="00AA537D">
        <w:rPr>
          <w:rFonts w:hint="cs"/>
          <w:spacing w:val="0"/>
          <w:kern w:val="0"/>
          <w:rtl/>
        </w:rPr>
        <w:t xml:space="preserve">تحث </w:t>
      </w:r>
      <w:r w:rsidRPr="00AA537D">
        <w:rPr>
          <w:spacing w:val="0"/>
          <w:kern w:val="0"/>
          <w:rtl/>
        </w:rPr>
        <w:t xml:space="preserve">اللجنة </w:t>
      </w:r>
      <w:r w:rsidRPr="00AA537D">
        <w:rPr>
          <w:rFonts w:hint="cs"/>
          <w:spacing w:val="0"/>
          <w:kern w:val="0"/>
          <w:rtl/>
        </w:rPr>
        <w:t>ا</w:t>
      </w:r>
      <w:r w:rsidRPr="00AA537D">
        <w:rPr>
          <w:spacing w:val="0"/>
          <w:kern w:val="0"/>
          <w:rtl/>
        </w:rPr>
        <w:t>لدولة الطرف على إجراء تحقيق سليم ونزيه وفعال من أجل تقد</w:t>
      </w:r>
      <w:r w:rsidRPr="00AA537D">
        <w:rPr>
          <w:rFonts w:hint="cs"/>
          <w:spacing w:val="0"/>
          <w:kern w:val="0"/>
          <w:rtl/>
        </w:rPr>
        <w:t>ي</w:t>
      </w:r>
      <w:r w:rsidRPr="00AA537D">
        <w:rPr>
          <w:spacing w:val="0"/>
          <w:kern w:val="0"/>
          <w:rtl/>
        </w:rPr>
        <w:t>م</w:t>
      </w:r>
      <w:r w:rsidRPr="00AA537D">
        <w:rPr>
          <w:rFonts w:hint="cs"/>
          <w:spacing w:val="0"/>
          <w:kern w:val="0"/>
          <w:rtl/>
        </w:rPr>
        <w:t xml:space="preserve"> </w:t>
      </w:r>
      <w:r w:rsidRPr="00AA537D">
        <w:rPr>
          <w:spacing w:val="0"/>
          <w:kern w:val="0"/>
          <w:rtl/>
        </w:rPr>
        <w:t>المسؤولين عن معاملة صاحب الشكوى</w:t>
      </w:r>
      <w:r w:rsidRPr="00AA537D">
        <w:rPr>
          <w:rFonts w:hint="cs"/>
          <w:spacing w:val="0"/>
          <w:kern w:val="0"/>
          <w:rtl/>
        </w:rPr>
        <w:t xml:space="preserve"> للعدالة</w:t>
      </w:r>
      <w:r w:rsidRPr="00AA537D">
        <w:rPr>
          <w:spacing w:val="0"/>
          <w:kern w:val="0"/>
          <w:rtl/>
        </w:rPr>
        <w:t xml:space="preserve">، </w:t>
      </w:r>
      <w:r w:rsidRPr="00AA537D">
        <w:rPr>
          <w:rFonts w:hint="cs"/>
          <w:spacing w:val="0"/>
          <w:kern w:val="0"/>
          <w:rtl/>
        </w:rPr>
        <w:t>و</w:t>
      </w:r>
      <w:r w:rsidRPr="00AA537D">
        <w:rPr>
          <w:spacing w:val="0"/>
          <w:kern w:val="0"/>
          <w:rtl/>
        </w:rPr>
        <w:t>اتخاذ تدابير فعالة لضمان حماية صاحب الشكوى وعائلته من أي شكل من أشكال التهديد</w:t>
      </w:r>
      <w:r w:rsidRPr="00AA537D">
        <w:rPr>
          <w:rFonts w:hint="cs"/>
          <w:spacing w:val="0"/>
          <w:kern w:val="0"/>
          <w:rtl/>
        </w:rPr>
        <w:t xml:space="preserve"> </w:t>
      </w:r>
      <w:r w:rsidRPr="00AA537D">
        <w:rPr>
          <w:spacing w:val="0"/>
          <w:kern w:val="0"/>
          <w:rtl/>
        </w:rPr>
        <w:t xml:space="preserve">والتخويف، </w:t>
      </w:r>
      <w:r w:rsidRPr="00AA537D">
        <w:rPr>
          <w:rFonts w:hint="cs"/>
          <w:spacing w:val="0"/>
          <w:kern w:val="0"/>
          <w:rtl/>
        </w:rPr>
        <w:t>و</w:t>
      </w:r>
      <w:r w:rsidRPr="00AA537D">
        <w:rPr>
          <w:spacing w:val="0"/>
          <w:kern w:val="0"/>
          <w:rtl/>
        </w:rPr>
        <w:t>ت</w:t>
      </w:r>
      <w:r w:rsidRPr="00AA537D">
        <w:rPr>
          <w:rFonts w:hint="cs"/>
          <w:spacing w:val="0"/>
          <w:kern w:val="0"/>
          <w:rtl/>
        </w:rPr>
        <w:t>قديم ال</w:t>
      </w:r>
      <w:r w:rsidRPr="00AA537D">
        <w:rPr>
          <w:spacing w:val="0"/>
          <w:kern w:val="0"/>
          <w:rtl/>
        </w:rPr>
        <w:t>جبر الكامل والكافي</w:t>
      </w:r>
      <w:r w:rsidRPr="00AA537D">
        <w:rPr>
          <w:rFonts w:hint="cs"/>
          <w:spacing w:val="0"/>
          <w:kern w:val="0"/>
          <w:rtl/>
        </w:rPr>
        <w:t xml:space="preserve"> لصاحب الشكوى على ا</w:t>
      </w:r>
      <w:r w:rsidRPr="00AA537D">
        <w:rPr>
          <w:spacing w:val="0"/>
          <w:kern w:val="0"/>
          <w:rtl/>
        </w:rPr>
        <w:t>لمعاناة</w:t>
      </w:r>
      <w:r w:rsidRPr="00AA537D">
        <w:rPr>
          <w:rFonts w:hint="cs"/>
          <w:spacing w:val="0"/>
          <w:kern w:val="0"/>
          <w:rtl/>
        </w:rPr>
        <w:t xml:space="preserve"> التي تعرض لها</w:t>
      </w:r>
      <w:r w:rsidRPr="00AA537D">
        <w:rPr>
          <w:spacing w:val="0"/>
          <w:kern w:val="0"/>
          <w:rtl/>
        </w:rPr>
        <w:t>، بما في ذلك التعويض وإعادة التأهيل، ومنع وقوع انتهاكات مماثلة في المستقبل</w:t>
      </w:r>
      <w:r w:rsidRPr="00AA537D">
        <w:rPr>
          <w:rFonts w:hint="cs"/>
          <w:spacing w:val="0"/>
          <w:kern w:val="0"/>
          <w:rtl/>
        </w:rPr>
        <w:t xml:space="preserve">. وعملاً بالفقرة 5 من المادة 118 من النظام الداخلي للجنة، تدعو اللجنة الدولة الطرف إلى إبلاغها، في غضون 90 يوماً من تاريخ إحالة هذا القرار، </w:t>
      </w:r>
      <w:r w:rsidRPr="00AA537D">
        <w:rPr>
          <w:rFonts w:hint="cs"/>
          <w:spacing w:val="0"/>
          <w:kern w:val="0"/>
          <w:rtl/>
          <w:lang/>
        </w:rPr>
        <w:t>بالتدابير</w:t>
      </w:r>
      <w:r w:rsidRPr="00AA537D">
        <w:rPr>
          <w:rFonts w:hint="cs"/>
          <w:spacing w:val="0"/>
          <w:kern w:val="0"/>
          <w:rtl/>
        </w:rPr>
        <w:t xml:space="preserve"> التي اتخذتها استجابة لهذا القرار.</w:t>
      </w:r>
    </w:p>
    <w:p w:rsidR="00EB70BE" w:rsidRDefault="00EB70BE" w:rsidP="00AA537D">
      <w:pPr>
        <w:pStyle w:val="HChGA"/>
        <w:jc w:val="lowKashida"/>
        <w:rPr>
          <w:spacing w:val="0"/>
          <w:kern w:val="0"/>
          <w:rtl/>
        </w:rPr>
        <w:sectPr w:rsidR="00EB70BE"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FA6676" w:rsidRPr="00AA537D" w:rsidRDefault="00FA6676" w:rsidP="00EB70BE">
      <w:pPr>
        <w:pStyle w:val="H1GA"/>
        <w:spacing w:before="120"/>
        <w:rPr>
          <w:rFonts w:hint="cs"/>
          <w:kern w:val="0"/>
          <w:rtl/>
        </w:rPr>
      </w:pPr>
      <w:r w:rsidRPr="00AA537D">
        <w:rPr>
          <w:rFonts w:hint="cs"/>
          <w:kern w:val="0"/>
          <w:rtl/>
        </w:rPr>
        <w:tab/>
      </w:r>
      <w:r w:rsidRPr="00AA537D">
        <w:rPr>
          <w:rFonts w:hint="cs"/>
          <w:kern w:val="0"/>
          <w:rtl/>
        </w:rPr>
        <w:tab/>
        <w:t xml:space="preserve">البلاغ رقم 444/2010: </w:t>
      </w:r>
      <w:r w:rsidRPr="00EB70BE">
        <w:rPr>
          <w:i/>
          <w:iCs/>
          <w:kern w:val="0"/>
          <w:rtl/>
          <w:lang w:val="fr-CH"/>
        </w:rPr>
        <w:t>عبد الصمتوف</w:t>
      </w:r>
      <w:r w:rsidRPr="00EB70BE">
        <w:rPr>
          <w:rFonts w:hint="cs"/>
          <w:i/>
          <w:iCs/>
          <w:kern w:val="0"/>
          <w:rtl/>
          <w:lang w:val="fr-CH"/>
        </w:rPr>
        <w:t xml:space="preserve"> وآخرون ضد كازاخستان</w:t>
      </w:r>
    </w:p>
    <w:p w:rsidR="00FA6676" w:rsidRPr="00AA537D" w:rsidRDefault="00FA6676" w:rsidP="00AA537D">
      <w:pPr>
        <w:pStyle w:val="SingleTxtGA"/>
        <w:tabs>
          <w:tab w:val="clear" w:pos="5330"/>
          <w:tab w:val="left" w:pos="5138"/>
        </w:tabs>
        <w:ind w:left="5138" w:hanging="3891"/>
        <w:jc w:val="lowKashida"/>
        <w:rPr>
          <w:rFonts w:hint="cs"/>
          <w:spacing w:val="0"/>
          <w:kern w:val="0"/>
          <w:rtl/>
          <w:lang w:val="fr-CH"/>
        </w:rPr>
      </w:pPr>
      <w:r w:rsidRPr="00AA537D">
        <w:rPr>
          <w:rFonts w:hint="cs"/>
          <w:i/>
          <w:iCs/>
          <w:spacing w:val="0"/>
          <w:kern w:val="0"/>
          <w:rtl/>
          <w:lang w:val="fr-CH"/>
        </w:rPr>
        <w:tab/>
        <w:t>المقدم من:</w:t>
      </w:r>
      <w:r w:rsidRPr="00AA537D">
        <w:rPr>
          <w:rFonts w:hint="cs"/>
          <w:spacing w:val="0"/>
          <w:kern w:val="0"/>
          <w:rtl/>
          <w:lang w:val="fr-CH"/>
        </w:rPr>
        <w:tab/>
      </w:r>
      <w:r w:rsidRPr="00AA537D">
        <w:rPr>
          <w:rFonts w:hint="cs"/>
          <w:spacing w:val="0"/>
          <w:kern w:val="0"/>
          <w:rtl/>
          <w:lang w:val="fr-CH"/>
        </w:rPr>
        <w:tab/>
      </w:r>
      <w:r w:rsidRPr="00AA537D">
        <w:rPr>
          <w:rFonts w:hint="cs"/>
          <w:spacing w:val="0"/>
          <w:kern w:val="0"/>
          <w:rtl/>
          <w:lang w:val="fr-CH"/>
        </w:rPr>
        <w:tab/>
      </w:r>
      <w:r w:rsidRPr="00AA537D">
        <w:rPr>
          <w:rFonts w:hint="cs"/>
          <w:spacing w:val="0"/>
          <w:kern w:val="0"/>
          <w:rtl/>
          <w:lang w:val="fr-CH"/>
        </w:rPr>
        <w:tab/>
      </w:r>
      <w:r w:rsidRPr="00AA537D">
        <w:rPr>
          <w:spacing w:val="0"/>
          <w:kern w:val="0"/>
          <w:rtl/>
          <w:lang w:val="fr-CH"/>
        </w:rPr>
        <w:t>توارجون عبد الصمتوف و28 ش</w:t>
      </w:r>
      <w:r w:rsidRPr="00AA537D">
        <w:rPr>
          <w:rFonts w:hint="cs"/>
          <w:spacing w:val="0"/>
          <w:kern w:val="0"/>
          <w:rtl/>
          <w:lang w:val="fr-CH"/>
        </w:rPr>
        <w:t>ا</w:t>
      </w:r>
      <w:r w:rsidRPr="00AA537D">
        <w:rPr>
          <w:spacing w:val="0"/>
          <w:kern w:val="0"/>
          <w:rtl/>
          <w:lang w:val="fr-CH"/>
        </w:rPr>
        <w:t>كياً آخر (تمثلهم المحامية كريستين لاروك</w:t>
      </w:r>
      <w:r w:rsidRPr="00AA537D">
        <w:rPr>
          <w:rFonts w:hint="cs"/>
          <w:spacing w:val="0"/>
          <w:kern w:val="0"/>
          <w:rtl/>
          <w:lang w:val="fr-CH"/>
        </w:rPr>
        <w:t xml:space="preserve"> من</w:t>
      </w:r>
      <w:r w:rsidRPr="00AA537D">
        <w:rPr>
          <w:spacing w:val="0"/>
          <w:kern w:val="0"/>
          <w:rtl/>
          <w:lang w:val="fr-CH"/>
        </w:rPr>
        <w:t xml:space="preserve"> الجماعة المسيحية للعمل على إلغاء التعذيب</w:t>
      </w:r>
      <w:r w:rsidRPr="00AA537D">
        <w:rPr>
          <w:rFonts w:hint="cs"/>
          <w:spacing w:val="0"/>
          <w:kern w:val="0"/>
          <w:rtl/>
          <w:lang w:val="fr-CH"/>
        </w:rPr>
        <w:t xml:space="preserve"> </w:t>
      </w:r>
      <w:r w:rsidRPr="00AA537D">
        <w:rPr>
          <w:spacing w:val="0"/>
          <w:kern w:val="0"/>
          <w:rtl/>
          <w:lang w:val="fr-CH"/>
        </w:rPr>
        <w:t>-</w:t>
      </w:r>
      <w:r w:rsidRPr="00AA537D">
        <w:rPr>
          <w:rFonts w:hint="cs"/>
          <w:spacing w:val="0"/>
          <w:kern w:val="0"/>
          <w:rtl/>
          <w:lang w:val="fr-CH"/>
        </w:rPr>
        <w:t xml:space="preserve"> </w:t>
      </w:r>
      <w:r w:rsidRPr="00AA537D">
        <w:rPr>
          <w:spacing w:val="0"/>
          <w:kern w:val="0"/>
          <w:rtl/>
          <w:lang w:val="fr-CH"/>
        </w:rPr>
        <w:t>فرنسا)</w:t>
      </w:r>
    </w:p>
    <w:p w:rsidR="00FA6676" w:rsidRPr="00AA537D" w:rsidRDefault="00FA6676" w:rsidP="00AA537D">
      <w:pPr>
        <w:pStyle w:val="SingleTxtGA"/>
        <w:tabs>
          <w:tab w:val="clear" w:pos="5330"/>
          <w:tab w:val="left" w:pos="5138"/>
        </w:tabs>
        <w:spacing w:after="0"/>
        <w:ind w:left="4649" w:hanging="3402"/>
        <w:jc w:val="lowKashida"/>
        <w:rPr>
          <w:rFonts w:hint="cs"/>
          <w:spacing w:val="0"/>
          <w:kern w:val="0"/>
          <w:rtl/>
          <w:lang w:val="fr-CH"/>
        </w:rPr>
      </w:pPr>
      <w:r w:rsidRPr="00AA537D">
        <w:rPr>
          <w:rFonts w:hint="cs"/>
          <w:spacing w:val="0"/>
          <w:kern w:val="0"/>
          <w:rtl/>
          <w:lang w:val="fr-CH"/>
        </w:rPr>
        <w:tab/>
      </w:r>
      <w:r w:rsidRPr="00AA537D">
        <w:rPr>
          <w:rFonts w:hint="cs"/>
          <w:i/>
          <w:iCs/>
          <w:spacing w:val="0"/>
          <w:kern w:val="0"/>
          <w:rtl/>
          <w:lang w:val="fr-CH"/>
        </w:rPr>
        <w:t>الأشخاص الذين يدعون</w:t>
      </w:r>
      <w:r w:rsidRPr="00AA537D">
        <w:rPr>
          <w:rFonts w:hint="cs"/>
          <w:i/>
          <w:iCs/>
          <w:spacing w:val="0"/>
          <w:kern w:val="0"/>
          <w:rtl/>
        </w:rPr>
        <w:t xml:space="preserve"> أنهم ضحايا:</w:t>
      </w:r>
      <w:r w:rsidRPr="00AA537D">
        <w:rPr>
          <w:rFonts w:hint="cs"/>
          <w:spacing w:val="0"/>
          <w:kern w:val="0"/>
          <w:rtl/>
          <w:lang w:val="fr-CH"/>
        </w:rPr>
        <w:tab/>
        <w:t>أصحاب الشكوى</w:t>
      </w:r>
    </w:p>
    <w:p w:rsidR="00FA6676" w:rsidRPr="00AA537D" w:rsidRDefault="00FA6676" w:rsidP="00AA537D">
      <w:pPr>
        <w:pStyle w:val="SingleTxtGA"/>
        <w:tabs>
          <w:tab w:val="clear" w:pos="5330"/>
          <w:tab w:val="left" w:pos="5138"/>
        </w:tabs>
        <w:spacing w:before="120"/>
        <w:jc w:val="lowKashida"/>
        <w:rPr>
          <w:spacing w:val="0"/>
          <w:kern w:val="0"/>
          <w:rtl/>
        </w:rPr>
      </w:pPr>
      <w:r w:rsidRPr="00AA537D">
        <w:rPr>
          <w:rFonts w:hint="cs"/>
          <w:spacing w:val="0"/>
          <w:kern w:val="0"/>
          <w:rtl/>
        </w:rPr>
        <w:tab/>
      </w:r>
      <w:r w:rsidRPr="00AA537D">
        <w:rPr>
          <w:i/>
          <w:iCs/>
          <w:spacing w:val="0"/>
          <w:kern w:val="0"/>
          <w:rtl/>
        </w:rPr>
        <w:t>الدولة الطرف:</w:t>
      </w:r>
      <w:r w:rsidRPr="00AA537D">
        <w:rPr>
          <w:rFonts w:hint="cs"/>
          <w:spacing w:val="0"/>
          <w:kern w:val="0"/>
          <w:rtl/>
        </w:rPr>
        <w:tab/>
      </w:r>
      <w:r w:rsidRPr="00AA537D">
        <w:rPr>
          <w:spacing w:val="0"/>
          <w:kern w:val="0"/>
          <w:rtl/>
        </w:rPr>
        <w:tab/>
      </w:r>
      <w:r w:rsidRPr="00AA537D">
        <w:rPr>
          <w:rFonts w:hint="cs"/>
          <w:spacing w:val="0"/>
          <w:kern w:val="0"/>
          <w:rtl/>
        </w:rPr>
        <w:tab/>
      </w:r>
      <w:r w:rsidRPr="00AA537D">
        <w:rPr>
          <w:rFonts w:hint="cs"/>
          <w:spacing w:val="0"/>
          <w:kern w:val="0"/>
          <w:rtl/>
        </w:rPr>
        <w:tab/>
      </w:r>
      <w:r w:rsidRPr="00AA537D">
        <w:rPr>
          <w:spacing w:val="0"/>
          <w:kern w:val="0"/>
          <w:rtl/>
        </w:rPr>
        <w:t>كازاخستان</w:t>
      </w:r>
    </w:p>
    <w:p w:rsidR="00FA6676" w:rsidRPr="00AA537D" w:rsidRDefault="00FA6676" w:rsidP="00AA537D">
      <w:pPr>
        <w:pStyle w:val="SingleTxtGA"/>
        <w:tabs>
          <w:tab w:val="clear" w:pos="5330"/>
          <w:tab w:val="left" w:pos="5138"/>
        </w:tabs>
        <w:ind w:left="5138" w:hanging="3891"/>
        <w:jc w:val="lowKashida"/>
        <w:rPr>
          <w:spacing w:val="0"/>
          <w:kern w:val="0"/>
          <w:rtl/>
        </w:rPr>
      </w:pPr>
      <w:r w:rsidRPr="00AA537D">
        <w:rPr>
          <w:rFonts w:hint="cs"/>
          <w:spacing w:val="0"/>
          <w:kern w:val="0"/>
          <w:rtl/>
        </w:rPr>
        <w:tab/>
      </w:r>
      <w:r w:rsidRPr="00AA537D">
        <w:rPr>
          <w:i/>
          <w:iCs/>
          <w:spacing w:val="0"/>
          <w:kern w:val="0"/>
          <w:rtl/>
        </w:rPr>
        <w:t>تاريخ تقديم الشكوى:</w:t>
      </w:r>
      <w:r w:rsidRPr="00AA537D">
        <w:rPr>
          <w:rFonts w:hint="cs"/>
          <w:spacing w:val="0"/>
          <w:kern w:val="0"/>
          <w:rtl/>
        </w:rPr>
        <w:tab/>
      </w:r>
      <w:r w:rsidRPr="00AA537D">
        <w:rPr>
          <w:rFonts w:hint="cs"/>
          <w:spacing w:val="0"/>
          <w:kern w:val="0"/>
          <w:rtl/>
        </w:rPr>
        <w:tab/>
      </w:r>
      <w:r w:rsidRPr="00AA537D">
        <w:rPr>
          <w:rFonts w:hint="cs"/>
          <w:spacing w:val="0"/>
          <w:kern w:val="0"/>
          <w:rtl/>
        </w:rPr>
        <w:tab/>
      </w:r>
      <w:r w:rsidRPr="00AA537D">
        <w:rPr>
          <w:spacing w:val="0"/>
          <w:kern w:val="0"/>
          <w:rtl/>
        </w:rPr>
        <w:t>24 كانون الأول/ديسمبر 2010 (تاريخ الرسالة الأولى)</w:t>
      </w:r>
    </w:p>
    <w:p w:rsidR="00FA6676" w:rsidRPr="00AA537D" w:rsidRDefault="00FA6676" w:rsidP="00AA537D">
      <w:pPr>
        <w:pStyle w:val="SingleTxtGA"/>
        <w:jc w:val="lowKashida"/>
        <w:rPr>
          <w:rFonts w:hint="cs"/>
          <w:spacing w:val="0"/>
          <w:kern w:val="0"/>
          <w:rtl/>
        </w:rPr>
      </w:pPr>
      <w:r w:rsidRPr="00AA537D">
        <w:rPr>
          <w:rFonts w:hint="cs"/>
          <w:i/>
          <w:iCs/>
          <w:spacing w:val="0"/>
          <w:kern w:val="0"/>
          <w:rtl/>
        </w:rPr>
        <w:tab/>
        <w:t>إن لجنة مناهضة التعذيب</w:t>
      </w:r>
      <w:r w:rsidRPr="00AA537D">
        <w:rPr>
          <w:rFonts w:hint="cs"/>
          <w:spacing w:val="0"/>
          <w:kern w:val="0"/>
          <w:rtl/>
        </w:rPr>
        <w:t>، المنشأة بموجب المادة 17 من اتفاقية مناهضة التعذيب وغيره من ضروب المعاملة أو العقوبة القاسية أو اللاإنسانية أو المهينة،</w:t>
      </w:r>
    </w:p>
    <w:p w:rsidR="00FA6676" w:rsidRPr="00AA537D" w:rsidRDefault="00FA6676" w:rsidP="00AA537D">
      <w:pPr>
        <w:pStyle w:val="SingleTxtGA"/>
        <w:jc w:val="lowKashida"/>
        <w:rPr>
          <w:rFonts w:hint="cs"/>
          <w:spacing w:val="0"/>
          <w:kern w:val="0"/>
          <w:rtl/>
        </w:rPr>
      </w:pPr>
      <w:r w:rsidRPr="00AA537D">
        <w:rPr>
          <w:rFonts w:hint="cs"/>
          <w:i/>
          <w:iCs/>
          <w:spacing w:val="0"/>
          <w:kern w:val="0"/>
          <w:rtl/>
        </w:rPr>
        <w:tab/>
        <w:t>وقد اجتمعت</w:t>
      </w:r>
      <w:r w:rsidRPr="00AA537D">
        <w:rPr>
          <w:rFonts w:hint="cs"/>
          <w:spacing w:val="0"/>
          <w:kern w:val="0"/>
          <w:rtl/>
        </w:rPr>
        <w:t xml:space="preserve"> في 1 حزيران/يونيه 2012،</w:t>
      </w:r>
    </w:p>
    <w:p w:rsidR="00FA6676" w:rsidRPr="00AA537D" w:rsidRDefault="00FA6676" w:rsidP="00AA537D">
      <w:pPr>
        <w:pStyle w:val="SingleTxtGA"/>
        <w:jc w:val="lowKashida"/>
        <w:rPr>
          <w:rFonts w:hint="cs"/>
          <w:spacing w:val="0"/>
          <w:kern w:val="0"/>
          <w:rtl/>
        </w:rPr>
      </w:pPr>
      <w:r w:rsidRPr="00AA537D">
        <w:rPr>
          <w:rFonts w:hint="cs"/>
          <w:i/>
          <w:iCs/>
          <w:spacing w:val="0"/>
          <w:kern w:val="0"/>
          <w:rtl/>
        </w:rPr>
        <w:tab/>
        <w:t xml:space="preserve">وقد فرغت </w:t>
      </w:r>
      <w:r w:rsidRPr="00AA537D">
        <w:rPr>
          <w:rFonts w:hint="cs"/>
          <w:spacing w:val="0"/>
          <w:kern w:val="0"/>
          <w:rtl/>
        </w:rPr>
        <w:t xml:space="preserve">من النظر في البلاغ رقم 444/2010، الذي قدمته </w:t>
      </w:r>
      <w:r w:rsidRPr="00AA537D">
        <w:rPr>
          <w:spacing w:val="0"/>
          <w:kern w:val="0"/>
          <w:rtl/>
          <w:lang w:val="fr-CH"/>
        </w:rPr>
        <w:t>كريستين لاروك</w:t>
      </w:r>
      <w:r w:rsidRPr="00AA537D">
        <w:rPr>
          <w:rFonts w:hint="cs"/>
          <w:spacing w:val="0"/>
          <w:kern w:val="0"/>
          <w:rtl/>
        </w:rPr>
        <w:t xml:space="preserve"> باسم </w:t>
      </w:r>
      <w:r w:rsidRPr="00AA537D">
        <w:rPr>
          <w:spacing w:val="0"/>
          <w:kern w:val="0"/>
          <w:rtl/>
          <w:lang w:val="fr-CH"/>
        </w:rPr>
        <w:t>توارجون عبد الصمتوف و28 ش</w:t>
      </w:r>
      <w:r w:rsidRPr="00AA537D">
        <w:rPr>
          <w:rFonts w:hint="cs"/>
          <w:spacing w:val="0"/>
          <w:kern w:val="0"/>
          <w:rtl/>
          <w:lang w:val="fr-CH"/>
        </w:rPr>
        <w:t>ا</w:t>
      </w:r>
      <w:r w:rsidRPr="00AA537D">
        <w:rPr>
          <w:spacing w:val="0"/>
          <w:kern w:val="0"/>
          <w:rtl/>
          <w:lang w:val="fr-CH"/>
        </w:rPr>
        <w:t xml:space="preserve">كياً آخر </w:t>
      </w:r>
      <w:r w:rsidRPr="00AA537D">
        <w:rPr>
          <w:rFonts w:hint="cs"/>
          <w:spacing w:val="0"/>
          <w:kern w:val="0"/>
          <w:rtl/>
        </w:rPr>
        <w:t>إلى لجنة مناهضة التعذيب بموجب المادة 22 من اتفاقية مناهضة التعذيب وغيره من ضروب المعاملة أو العقوبة القاسية أو اللاإنسانية أو</w:t>
      </w:r>
      <w:r w:rsidRPr="00AA537D">
        <w:rPr>
          <w:rFonts w:hint="eastAsia"/>
          <w:spacing w:val="0"/>
          <w:kern w:val="0"/>
          <w:rtl/>
        </w:rPr>
        <w:t> </w:t>
      </w:r>
      <w:r w:rsidRPr="00AA537D">
        <w:rPr>
          <w:rFonts w:hint="cs"/>
          <w:spacing w:val="0"/>
          <w:kern w:val="0"/>
          <w:rtl/>
        </w:rPr>
        <w:t>المهينة،</w:t>
      </w:r>
    </w:p>
    <w:p w:rsidR="00FA6676" w:rsidRPr="00AA537D" w:rsidRDefault="00FA6676" w:rsidP="00AA537D">
      <w:pPr>
        <w:pStyle w:val="SingleTxtGA"/>
        <w:jc w:val="lowKashida"/>
        <w:rPr>
          <w:rFonts w:hint="cs"/>
          <w:spacing w:val="0"/>
          <w:kern w:val="0"/>
          <w:rtl/>
        </w:rPr>
      </w:pPr>
      <w:r w:rsidRPr="00AA537D">
        <w:rPr>
          <w:rFonts w:hint="cs"/>
          <w:i/>
          <w:iCs/>
          <w:spacing w:val="0"/>
          <w:kern w:val="0"/>
          <w:rtl/>
        </w:rPr>
        <w:tab/>
        <w:t xml:space="preserve">وقد أخذت في اعتبارها </w:t>
      </w:r>
      <w:r w:rsidRPr="00AA537D">
        <w:rPr>
          <w:rFonts w:hint="cs"/>
          <w:spacing w:val="0"/>
          <w:kern w:val="0"/>
          <w:rtl/>
        </w:rPr>
        <w:t>جميع المعلومات التي أتاحها أصحاب الشكوى والدولة الطرف،</w:t>
      </w:r>
    </w:p>
    <w:p w:rsidR="00FA6676" w:rsidRPr="00AA537D" w:rsidRDefault="00FA6676" w:rsidP="00AA537D">
      <w:pPr>
        <w:pStyle w:val="SingleTxtGA"/>
        <w:jc w:val="lowKashida"/>
        <w:rPr>
          <w:rFonts w:hint="cs"/>
          <w:spacing w:val="0"/>
          <w:kern w:val="0"/>
          <w:rtl/>
        </w:rPr>
      </w:pPr>
      <w:r w:rsidRPr="00AA537D">
        <w:rPr>
          <w:rFonts w:hint="cs"/>
          <w:spacing w:val="0"/>
          <w:kern w:val="0"/>
          <w:rtl/>
        </w:rPr>
        <w:tab/>
      </w:r>
      <w:r w:rsidRPr="00AA537D">
        <w:rPr>
          <w:rFonts w:hint="cs"/>
          <w:i/>
          <w:iCs/>
          <w:spacing w:val="0"/>
          <w:kern w:val="0"/>
          <w:rtl/>
        </w:rPr>
        <w:t xml:space="preserve">تعتمد </w:t>
      </w:r>
      <w:r w:rsidRPr="00AA537D">
        <w:rPr>
          <w:rFonts w:hint="cs"/>
          <w:spacing w:val="0"/>
          <w:kern w:val="0"/>
          <w:rtl/>
        </w:rPr>
        <w:t>ما يلي:</w:t>
      </w:r>
    </w:p>
    <w:p w:rsidR="00FA6676" w:rsidRPr="00AA537D" w:rsidRDefault="00FA6676" w:rsidP="00AA537D">
      <w:pPr>
        <w:pStyle w:val="H1GA"/>
        <w:spacing w:before="120"/>
        <w:jc w:val="lowKashida"/>
        <w:rPr>
          <w:rFonts w:hint="cs"/>
          <w:spacing w:val="0"/>
          <w:kern w:val="0"/>
          <w:rtl/>
        </w:rPr>
      </w:pPr>
      <w:r w:rsidRPr="00AA537D">
        <w:rPr>
          <w:rFonts w:hint="cs"/>
          <w:spacing w:val="0"/>
          <w:kern w:val="0"/>
          <w:rtl/>
        </w:rPr>
        <w:tab/>
      </w:r>
      <w:r w:rsidRPr="00AA537D">
        <w:rPr>
          <w:rFonts w:hint="cs"/>
          <w:spacing w:val="0"/>
          <w:kern w:val="0"/>
          <w:rtl/>
        </w:rPr>
        <w:tab/>
        <w:t xml:space="preserve">قرار بموجب الفقرة 7 من المادة 22 من اتفاقية مناهضة التعذيب </w:t>
      </w:r>
    </w:p>
    <w:p w:rsidR="00FA6676" w:rsidRPr="00AA537D" w:rsidRDefault="00FA6676" w:rsidP="00AA537D">
      <w:pPr>
        <w:pStyle w:val="SingleTxtGA"/>
        <w:jc w:val="lowKashida"/>
        <w:rPr>
          <w:spacing w:val="0"/>
          <w:kern w:val="0"/>
          <w:rtl/>
        </w:rPr>
      </w:pPr>
      <w:r w:rsidRPr="00AA537D">
        <w:rPr>
          <w:rFonts w:hint="cs"/>
          <w:spacing w:val="0"/>
          <w:kern w:val="0"/>
          <w:rtl/>
          <w:lang w:val="fr-CH"/>
        </w:rPr>
        <w:t>1-1</w:t>
      </w:r>
      <w:r w:rsidRPr="00AA537D">
        <w:rPr>
          <w:rFonts w:hint="cs"/>
          <w:spacing w:val="0"/>
          <w:kern w:val="0"/>
          <w:rtl/>
          <w:lang w:val="fr-CH"/>
        </w:rPr>
        <w:tab/>
      </w:r>
      <w:r w:rsidRPr="00AA537D">
        <w:rPr>
          <w:spacing w:val="0"/>
          <w:kern w:val="0"/>
          <w:rtl/>
        </w:rPr>
        <w:t xml:space="preserve">أصحاب الشكوى </w:t>
      </w:r>
      <w:r w:rsidRPr="00AA537D">
        <w:rPr>
          <w:rFonts w:hint="cs"/>
          <w:spacing w:val="0"/>
          <w:kern w:val="0"/>
          <w:rtl/>
        </w:rPr>
        <w:t>هم 27</w:t>
      </w:r>
      <w:r w:rsidRPr="00AA537D">
        <w:rPr>
          <w:spacing w:val="0"/>
          <w:kern w:val="0"/>
          <w:rtl/>
        </w:rPr>
        <w:t xml:space="preserve"> مواطناً أوزبكياً و</w:t>
      </w:r>
      <w:r w:rsidRPr="00AA537D">
        <w:rPr>
          <w:rFonts w:hint="cs"/>
          <w:spacing w:val="0"/>
          <w:kern w:val="0"/>
          <w:rtl/>
        </w:rPr>
        <w:t xml:space="preserve">مواطنان </w:t>
      </w:r>
      <w:r w:rsidRPr="00AA537D">
        <w:rPr>
          <w:spacing w:val="0"/>
          <w:kern w:val="0"/>
          <w:rtl/>
        </w:rPr>
        <w:t>طاجيكي</w:t>
      </w:r>
      <w:r w:rsidRPr="00AA537D">
        <w:rPr>
          <w:rFonts w:hint="cs"/>
          <w:spacing w:val="0"/>
          <w:kern w:val="0"/>
          <w:rtl/>
        </w:rPr>
        <w:t>ان</w:t>
      </w:r>
      <w:r w:rsidRPr="00AA537D">
        <w:rPr>
          <w:spacing w:val="0"/>
          <w:kern w:val="0"/>
          <w:vertAlign w:val="superscript"/>
          <w:rtl/>
        </w:rPr>
        <w:t>(</w:t>
      </w:r>
      <w:r w:rsidRPr="00AA537D">
        <w:rPr>
          <w:rStyle w:val="FootnoteReference"/>
          <w:spacing w:val="0"/>
          <w:rtl/>
        </w:rPr>
        <w:footnoteReference w:id="408"/>
      </w:r>
      <w:r w:rsidRPr="00AA537D">
        <w:rPr>
          <w:spacing w:val="0"/>
          <w:kern w:val="0"/>
          <w:vertAlign w:val="superscript"/>
          <w:rtl/>
        </w:rPr>
        <w:t>)</w:t>
      </w:r>
      <w:r w:rsidRPr="00AA537D">
        <w:rPr>
          <w:spacing w:val="0"/>
          <w:kern w:val="0"/>
          <w:rtl/>
        </w:rPr>
        <w:t>: تو</w:t>
      </w:r>
      <w:r w:rsidRPr="00AA537D">
        <w:rPr>
          <w:rFonts w:hint="cs"/>
          <w:spacing w:val="0"/>
          <w:kern w:val="0"/>
          <w:rtl/>
        </w:rPr>
        <w:t>ا</w:t>
      </w:r>
      <w:r w:rsidRPr="00AA537D">
        <w:rPr>
          <w:spacing w:val="0"/>
          <w:kern w:val="0"/>
          <w:rtl/>
        </w:rPr>
        <w:t xml:space="preserve">رجون عبد الصمتوف؛ </w:t>
      </w:r>
      <w:r w:rsidRPr="00AA537D">
        <w:rPr>
          <w:rFonts w:hint="cs"/>
          <w:spacing w:val="0"/>
          <w:kern w:val="0"/>
          <w:rtl/>
        </w:rPr>
        <w:t>و</w:t>
      </w:r>
      <w:r w:rsidRPr="00AA537D">
        <w:rPr>
          <w:spacing w:val="0"/>
          <w:kern w:val="0"/>
          <w:rtl/>
        </w:rPr>
        <w:t xml:space="preserve">فيزولوهون أكبروف؛ </w:t>
      </w:r>
      <w:r w:rsidRPr="00AA537D">
        <w:rPr>
          <w:rFonts w:hint="cs"/>
          <w:spacing w:val="0"/>
          <w:kern w:val="0"/>
          <w:rtl/>
        </w:rPr>
        <w:t>و</w:t>
      </w:r>
      <w:r w:rsidRPr="00AA537D">
        <w:rPr>
          <w:spacing w:val="0"/>
          <w:kern w:val="0"/>
          <w:rtl/>
        </w:rPr>
        <w:t xml:space="preserve">شودييف أكملجون؛ </w:t>
      </w:r>
      <w:r w:rsidRPr="00AA537D">
        <w:rPr>
          <w:rFonts w:hint="cs"/>
          <w:spacing w:val="0"/>
          <w:kern w:val="0"/>
          <w:rtl/>
        </w:rPr>
        <w:t>و</w:t>
      </w:r>
      <w:r w:rsidRPr="00AA537D">
        <w:rPr>
          <w:spacing w:val="0"/>
          <w:kern w:val="0"/>
          <w:rtl/>
        </w:rPr>
        <w:t xml:space="preserve">سوهروب بازاروف؛ </w:t>
      </w:r>
      <w:r w:rsidRPr="00AA537D">
        <w:rPr>
          <w:rFonts w:hint="cs"/>
          <w:spacing w:val="0"/>
          <w:kern w:val="0"/>
          <w:rtl/>
        </w:rPr>
        <w:t>و</w:t>
      </w:r>
      <w:r w:rsidRPr="00AA537D">
        <w:rPr>
          <w:spacing w:val="0"/>
          <w:kern w:val="0"/>
          <w:rtl/>
        </w:rPr>
        <w:t xml:space="preserve">أحمد بولتاييف؛ </w:t>
      </w:r>
      <w:r w:rsidRPr="00AA537D">
        <w:rPr>
          <w:rFonts w:hint="cs"/>
          <w:spacing w:val="0"/>
          <w:kern w:val="0"/>
          <w:rtl/>
        </w:rPr>
        <w:t>و</w:t>
      </w:r>
      <w:r w:rsidRPr="00AA537D">
        <w:rPr>
          <w:spacing w:val="0"/>
          <w:kern w:val="0"/>
          <w:rtl/>
        </w:rPr>
        <w:t>ش</w:t>
      </w:r>
      <w:r w:rsidRPr="00AA537D">
        <w:rPr>
          <w:rFonts w:hint="cs"/>
          <w:spacing w:val="0"/>
          <w:kern w:val="0"/>
          <w:rtl/>
        </w:rPr>
        <w:t>هرت</w:t>
      </w:r>
      <w:r w:rsidRPr="00AA537D">
        <w:rPr>
          <w:spacing w:val="0"/>
          <w:kern w:val="0"/>
          <w:rtl/>
        </w:rPr>
        <w:t xml:space="preserve"> بوتيروف؛ </w:t>
      </w:r>
      <w:r w:rsidRPr="00AA537D">
        <w:rPr>
          <w:rFonts w:hint="cs"/>
          <w:spacing w:val="0"/>
          <w:kern w:val="0"/>
          <w:rtl/>
        </w:rPr>
        <w:t>و</w:t>
      </w:r>
      <w:r w:rsidRPr="00AA537D">
        <w:rPr>
          <w:spacing w:val="0"/>
          <w:kern w:val="0"/>
          <w:rtl/>
        </w:rPr>
        <w:t xml:space="preserve">مغيث الدين غولاموف؛ </w:t>
      </w:r>
      <w:r w:rsidRPr="00AA537D">
        <w:rPr>
          <w:rFonts w:hint="cs"/>
          <w:spacing w:val="0"/>
          <w:kern w:val="0"/>
          <w:rtl/>
        </w:rPr>
        <w:t>و</w:t>
      </w:r>
      <w:r w:rsidRPr="00AA537D">
        <w:rPr>
          <w:spacing w:val="0"/>
          <w:kern w:val="0"/>
          <w:rtl/>
        </w:rPr>
        <w:t>ش</w:t>
      </w:r>
      <w:r w:rsidRPr="00AA537D">
        <w:rPr>
          <w:rFonts w:hint="cs"/>
          <w:spacing w:val="0"/>
          <w:kern w:val="0"/>
          <w:rtl/>
        </w:rPr>
        <w:t>ك</w:t>
      </w:r>
      <w:r w:rsidRPr="00AA537D">
        <w:rPr>
          <w:spacing w:val="0"/>
          <w:kern w:val="0"/>
          <w:rtl/>
        </w:rPr>
        <w:t xml:space="preserve">رت هولبويف؛ </w:t>
      </w:r>
      <w:r w:rsidRPr="00AA537D">
        <w:rPr>
          <w:rFonts w:hint="cs"/>
          <w:spacing w:val="0"/>
          <w:kern w:val="0"/>
          <w:rtl/>
        </w:rPr>
        <w:t>و</w:t>
      </w:r>
      <w:r w:rsidRPr="00AA537D">
        <w:rPr>
          <w:spacing w:val="0"/>
          <w:kern w:val="0"/>
          <w:rtl/>
        </w:rPr>
        <w:t>سيد</w:t>
      </w:r>
      <w:r w:rsidRPr="00AA537D">
        <w:rPr>
          <w:rFonts w:hint="cs"/>
          <w:spacing w:val="0"/>
          <w:kern w:val="0"/>
          <w:rtl/>
        </w:rPr>
        <w:t xml:space="preserve"> </w:t>
      </w:r>
      <w:r w:rsidRPr="00AA537D">
        <w:rPr>
          <w:spacing w:val="0"/>
          <w:kern w:val="0"/>
          <w:rtl/>
        </w:rPr>
        <w:t xml:space="preserve">أكبر جلولهونوف؛ </w:t>
      </w:r>
      <w:r w:rsidRPr="00AA537D">
        <w:rPr>
          <w:rFonts w:hint="cs"/>
          <w:spacing w:val="0"/>
          <w:kern w:val="0"/>
          <w:rtl/>
        </w:rPr>
        <w:t>و</w:t>
      </w:r>
      <w:r w:rsidRPr="00AA537D">
        <w:rPr>
          <w:spacing w:val="0"/>
          <w:kern w:val="0"/>
          <w:rtl/>
        </w:rPr>
        <w:t>أبرور كاسيموف؛</w:t>
      </w:r>
      <w:r w:rsidRPr="00AA537D">
        <w:rPr>
          <w:rFonts w:hint="cs"/>
          <w:spacing w:val="0"/>
          <w:kern w:val="0"/>
          <w:rtl/>
        </w:rPr>
        <w:t xml:space="preserve"> و</w:t>
      </w:r>
      <w:r w:rsidRPr="00AA537D">
        <w:rPr>
          <w:spacing w:val="0"/>
          <w:kern w:val="0"/>
          <w:rtl/>
        </w:rPr>
        <w:t xml:space="preserve">أوليمجون خولتوراييف؛ </w:t>
      </w:r>
      <w:r w:rsidRPr="00AA537D">
        <w:rPr>
          <w:rFonts w:hint="cs"/>
          <w:spacing w:val="0"/>
          <w:kern w:val="0"/>
          <w:rtl/>
        </w:rPr>
        <w:t>و</w:t>
      </w:r>
      <w:r w:rsidRPr="00AA537D">
        <w:rPr>
          <w:spacing w:val="0"/>
          <w:kern w:val="0"/>
          <w:rtl/>
        </w:rPr>
        <w:t xml:space="preserve">سارفار خوراموف؛ </w:t>
      </w:r>
      <w:r w:rsidRPr="00AA537D">
        <w:rPr>
          <w:rFonts w:hint="cs"/>
          <w:spacing w:val="0"/>
          <w:kern w:val="0"/>
          <w:rtl/>
        </w:rPr>
        <w:t>و</w:t>
      </w:r>
      <w:r w:rsidRPr="00AA537D">
        <w:rPr>
          <w:spacing w:val="0"/>
          <w:kern w:val="0"/>
          <w:rtl/>
        </w:rPr>
        <w:t>أويبيك كولدا</w:t>
      </w:r>
      <w:r w:rsidRPr="00AA537D">
        <w:rPr>
          <w:rFonts w:hint="cs"/>
          <w:spacing w:val="0"/>
          <w:kern w:val="0"/>
          <w:rtl/>
        </w:rPr>
        <w:t>ت</w:t>
      </w:r>
      <w:r w:rsidRPr="00AA537D">
        <w:rPr>
          <w:spacing w:val="0"/>
          <w:kern w:val="0"/>
          <w:rtl/>
        </w:rPr>
        <w:t xml:space="preserve">شيف؛ </w:t>
      </w:r>
      <w:r w:rsidRPr="00AA537D">
        <w:rPr>
          <w:rFonts w:hint="cs"/>
          <w:spacing w:val="0"/>
          <w:kern w:val="0"/>
          <w:rtl/>
        </w:rPr>
        <w:t>و</w:t>
      </w:r>
      <w:r w:rsidRPr="00AA537D">
        <w:rPr>
          <w:spacing w:val="0"/>
          <w:kern w:val="0"/>
          <w:rtl/>
        </w:rPr>
        <w:t xml:space="preserve">كوبيلجون كوربانوف؛ </w:t>
      </w:r>
      <w:r w:rsidRPr="00AA537D">
        <w:rPr>
          <w:rFonts w:hint="cs"/>
          <w:spacing w:val="0"/>
          <w:kern w:val="0"/>
          <w:rtl/>
        </w:rPr>
        <w:t>و</w:t>
      </w:r>
      <w:r w:rsidRPr="00AA537D">
        <w:rPr>
          <w:spacing w:val="0"/>
          <w:kern w:val="0"/>
          <w:rtl/>
        </w:rPr>
        <w:t xml:space="preserve">بحر الدين نوريلاييف؛ </w:t>
      </w:r>
      <w:r w:rsidRPr="00AA537D">
        <w:rPr>
          <w:rFonts w:hint="cs"/>
          <w:spacing w:val="0"/>
          <w:kern w:val="0"/>
          <w:rtl/>
        </w:rPr>
        <w:t>و</w:t>
      </w:r>
      <w:r w:rsidRPr="00AA537D">
        <w:rPr>
          <w:spacing w:val="0"/>
          <w:kern w:val="0"/>
          <w:rtl/>
        </w:rPr>
        <w:t xml:space="preserve">باهتيور نوريلاييف؛ </w:t>
      </w:r>
      <w:r w:rsidRPr="00AA537D">
        <w:rPr>
          <w:rFonts w:hint="cs"/>
          <w:spacing w:val="0"/>
          <w:kern w:val="0"/>
          <w:rtl/>
        </w:rPr>
        <w:t>و</w:t>
      </w:r>
      <w:r w:rsidRPr="00AA537D">
        <w:rPr>
          <w:spacing w:val="0"/>
          <w:kern w:val="0"/>
          <w:rtl/>
        </w:rPr>
        <w:t xml:space="preserve">أولوغبيك أوستونوف؛ </w:t>
      </w:r>
      <w:r w:rsidRPr="00AA537D">
        <w:rPr>
          <w:rFonts w:hint="cs"/>
          <w:spacing w:val="0"/>
          <w:kern w:val="0"/>
          <w:rtl/>
        </w:rPr>
        <w:t>و</w:t>
      </w:r>
      <w:r w:rsidRPr="00AA537D">
        <w:rPr>
          <w:spacing w:val="0"/>
          <w:kern w:val="0"/>
          <w:rtl/>
        </w:rPr>
        <w:t xml:space="preserve">أوتابيك شاريبوف؛ </w:t>
      </w:r>
      <w:r w:rsidRPr="00AA537D">
        <w:rPr>
          <w:rFonts w:hint="cs"/>
          <w:spacing w:val="0"/>
          <w:kern w:val="0"/>
          <w:rtl/>
        </w:rPr>
        <w:t>و</w:t>
      </w:r>
      <w:r w:rsidRPr="00AA537D">
        <w:rPr>
          <w:spacing w:val="0"/>
          <w:kern w:val="0"/>
          <w:rtl/>
        </w:rPr>
        <w:t>تورسونبوي سليمانوف</w:t>
      </w:r>
      <w:r w:rsidRPr="00AA537D">
        <w:rPr>
          <w:rFonts w:hint="cs"/>
          <w:spacing w:val="0"/>
          <w:kern w:val="0"/>
          <w:rtl/>
        </w:rPr>
        <w:t>؛ و</w:t>
      </w:r>
      <w:r w:rsidRPr="00AA537D">
        <w:rPr>
          <w:spacing w:val="0"/>
          <w:kern w:val="0"/>
          <w:rtl/>
        </w:rPr>
        <w:t>عبد العظيم حجة يعقوبوف</w:t>
      </w:r>
      <w:r w:rsidRPr="00AA537D">
        <w:rPr>
          <w:rFonts w:hint="cs"/>
          <w:spacing w:val="0"/>
          <w:kern w:val="0"/>
          <w:rtl/>
        </w:rPr>
        <w:t>؛ وأوكتام رحماتوف؛ وأليشير خوشيموف؛ وأويبيك بولاتوف؛ ومعروف يولدوتشيف؛ وإيسوبيك بارداييف؛ ورافشان توراييف؛ وديلبك كاريموف؛ وسراج الدين طالبوف؛ و</w:t>
      </w:r>
      <w:r w:rsidRPr="00AA537D">
        <w:rPr>
          <w:spacing w:val="0"/>
          <w:kern w:val="0"/>
          <w:rtl/>
        </w:rPr>
        <w:t>فايز الدين عمروف</w:t>
      </w:r>
      <w:r w:rsidRPr="00AA537D">
        <w:rPr>
          <w:rFonts w:hint="cs"/>
          <w:spacing w:val="0"/>
          <w:kern w:val="0"/>
          <w:rtl/>
        </w:rPr>
        <w:t xml:space="preserve">. </w:t>
      </w:r>
      <w:r w:rsidRPr="00AA537D">
        <w:rPr>
          <w:spacing w:val="0"/>
          <w:kern w:val="0"/>
          <w:rtl/>
        </w:rPr>
        <w:t>ويدعي أصحاب الشكوى أن تسليمهم إلى أوزبكستان سيشكل انتهاكاً من كازاخستان للمادة 3 من اتفاقية مناهضة التعذيب. وتمثلهم المحامية كريستين لاروك من الجماعة المسيحية للعمل على إلغاء التعذيب</w:t>
      </w:r>
      <w:r w:rsidRPr="00AA537D">
        <w:rPr>
          <w:rFonts w:hint="cs"/>
          <w:spacing w:val="0"/>
          <w:kern w:val="0"/>
          <w:rtl/>
        </w:rPr>
        <w:t xml:space="preserve"> </w:t>
      </w:r>
      <w:r w:rsidRPr="00AA537D">
        <w:rPr>
          <w:spacing w:val="0"/>
          <w:kern w:val="0"/>
          <w:rtl/>
        </w:rPr>
        <w:t>–</w:t>
      </w:r>
      <w:r w:rsidRPr="00AA537D">
        <w:rPr>
          <w:rFonts w:hint="cs"/>
          <w:spacing w:val="0"/>
          <w:kern w:val="0"/>
          <w:rtl/>
        </w:rPr>
        <w:t xml:space="preserve"> فرع </w:t>
      </w:r>
      <w:r w:rsidRPr="00AA537D">
        <w:rPr>
          <w:spacing w:val="0"/>
          <w:kern w:val="0"/>
          <w:rtl/>
        </w:rPr>
        <w:t>فرنسا.</w:t>
      </w:r>
    </w:p>
    <w:p w:rsidR="00FA6676" w:rsidRPr="00AA537D" w:rsidRDefault="00FA6676" w:rsidP="00B65F0A">
      <w:pPr>
        <w:pStyle w:val="SingleTxtGA"/>
        <w:jc w:val="lowKashida"/>
        <w:rPr>
          <w:spacing w:val="0"/>
          <w:kern w:val="0"/>
          <w:rtl/>
        </w:rPr>
      </w:pPr>
      <w:r w:rsidRPr="00AA537D">
        <w:rPr>
          <w:spacing w:val="0"/>
          <w:kern w:val="0"/>
          <w:rtl/>
        </w:rPr>
        <w:t>1-2</w:t>
      </w:r>
      <w:r w:rsidRPr="00AA537D">
        <w:rPr>
          <w:spacing w:val="0"/>
          <w:kern w:val="0"/>
          <w:rtl/>
        </w:rPr>
        <w:tab/>
      </w:r>
      <w:r w:rsidRPr="00AA537D">
        <w:rPr>
          <w:rFonts w:hint="cs"/>
          <w:spacing w:val="0"/>
          <w:kern w:val="0"/>
          <w:rtl/>
        </w:rPr>
        <w:t>و</w:t>
      </w:r>
      <w:r w:rsidRPr="00AA537D">
        <w:rPr>
          <w:spacing w:val="0"/>
          <w:kern w:val="0"/>
          <w:rtl/>
        </w:rPr>
        <w:t>عملاً بالفقرة 1 من المادة 114</w:t>
      </w:r>
      <w:r w:rsidRPr="00AA537D">
        <w:rPr>
          <w:rFonts w:hint="cs"/>
          <w:spacing w:val="0"/>
          <w:kern w:val="0"/>
          <w:rtl/>
        </w:rPr>
        <w:t xml:space="preserve"> (المادة 108 سابقاً)</w:t>
      </w:r>
      <w:r w:rsidRPr="00AA537D">
        <w:rPr>
          <w:spacing w:val="0"/>
          <w:kern w:val="0"/>
          <w:rtl/>
        </w:rPr>
        <w:t xml:space="preserve"> من النظام الداخلي للجنة، طلب المقرر المعني بالشكاوى الجديدة والتدابير المؤقتة</w:t>
      </w:r>
      <w:r w:rsidRPr="00AA537D">
        <w:rPr>
          <w:rFonts w:hint="cs"/>
          <w:spacing w:val="0"/>
          <w:kern w:val="0"/>
          <w:rtl/>
        </w:rPr>
        <w:t xml:space="preserve"> </w:t>
      </w:r>
      <w:r w:rsidRPr="00AA537D">
        <w:rPr>
          <w:spacing w:val="0"/>
          <w:kern w:val="0"/>
          <w:rtl/>
        </w:rPr>
        <w:t>إلى الدولة الطرف</w:t>
      </w:r>
      <w:r w:rsidRPr="00AA537D">
        <w:rPr>
          <w:rFonts w:hint="cs"/>
          <w:spacing w:val="0"/>
          <w:kern w:val="0"/>
          <w:rtl/>
        </w:rPr>
        <w:t xml:space="preserve"> </w:t>
      </w:r>
      <w:r w:rsidRPr="00AA537D">
        <w:rPr>
          <w:spacing w:val="0"/>
          <w:kern w:val="0"/>
          <w:rtl/>
        </w:rPr>
        <w:t>في</w:t>
      </w:r>
      <w:r w:rsidRPr="00AA537D">
        <w:rPr>
          <w:rFonts w:hint="cs"/>
          <w:spacing w:val="0"/>
          <w:kern w:val="0"/>
          <w:rtl/>
        </w:rPr>
        <w:t xml:space="preserve"> </w:t>
      </w:r>
      <w:r w:rsidRPr="00AA537D">
        <w:rPr>
          <w:spacing w:val="0"/>
          <w:kern w:val="0"/>
          <w:rtl/>
        </w:rPr>
        <w:t xml:space="preserve">24 </w:t>
      </w:r>
      <w:r w:rsidRPr="00AA537D">
        <w:rPr>
          <w:rFonts w:hint="cs"/>
          <w:spacing w:val="0"/>
          <w:kern w:val="0"/>
          <w:rtl/>
        </w:rPr>
        <w:t xml:space="preserve">و31 </w:t>
      </w:r>
      <w:r w:rsidRPr="00AA537D">
        <w:rPr>
          <w:spacing w:val="0"/>
          <w:kern w:val="0"/>
          <w:rtl/>
        </w:rPr>
        <w:t>كانون</w:t>
      </w:r>
      <w:r w:rsidRPr="00AA537D">
        <w:rPr>
          <w:rFonts w:hint="cs"/>
          <w:spacing w:val="0"/>
          <w:kern w:val="0"/>
          <w:rtl/>
        </w:rPr>
        <w:t xml:space="preserve"> </w:t>
      </w:r>
      <w:r w:rsidRPr="00AA537D">
        <w:rPr>
          <w:spacing w:val="0"/>
          <w:kern w:val="0"/>
          <w:rtl/>
        </w:rPr>
        <w:t>الأول/ديسمبر 2010</w:t>
      </w:r>
      <w:r w:rsidRPr="00AA537D">
        <w:rPr>
          <w:rFonts w:hint="cs"/>
          <w:spacing w:val="0"/>
          <w:kern w:val="0"/>
          <w:rtl/>
        </w:rPr>
        <w:t xml:space="preserve"> و21 كانون الثاني/يناير 2011،</w:t>
      </w:r>
      <w:r w:rsidRPr="00AA537D">
        <w:rPr>
          <w:spacing w:val="0"/>
          <w:kern w:val="0"/>
          <w:rtl/>
        </w:rPr>
        <w:t xml:space="preserve"> نيابة عن اللجنة، </w:t>
      </w:r>
      <w:r w:rsidRPr="00AA537D">
        <w:rPr>
          <w:rFonts w:hint="cs"/>
          <w:spacing w:val="0"/>
          <w:kern w:val="0"/>
          <w:rtl/>
        </w:rPr>
        <w:t xml:space="preserve">عدم تسليم أصحاب الشكوى إلى </w:t>
      </w:r>
      <w:r w:rsidRPr="00AA537D">
        <w:rPr>
          <w:spacing w:val="0"/>
          <w:kern w:val="0"/>
          <w:rtl/>
        </w:rPr>
        <w:t>أوزبكستان</w:t>
      </w:r>
      <w:r w:rsidRPr="00AA537D">
        <w:rPr>
          <w:rFonts w:hint="cs"/>
          <w:spacing w:val="0"/>
          <w:kern w:val="0"/>
          <w:rtl/>
        </w:rPr>
        <w:t xml:space="preserve"> </w:t>
      </w:r>
      <w:r w:rsidR="00B65F0A">
        <w:rPr>
          <w:rFonts w:hint="cs"/>
          <w:spacing w:val="0"/>
          <w:kern w:val="0"/>
          <w:rtl/>
        </w:rPr>
        <w:t xml:space="preserve">ما دامت شكواهم قيد </w:t>
      </w:r>
      <w:r w:rsidRPr="00AA537D">
        <w:rPr>
          <w:rFonts w:hint="cs"/>
          <w:spacing w:val="0"/>
          <w:kern w:val="0"/>
          <w:rtl/>
        </w:rPr>
        <w:t>نظر اللجنة. وكرر في 6 أيار/مايو و9 حزيران/يونيه 2011</w:t>
      </w:r>
      <w:r w:rsidRPr="00AA537D">
        <w:rPr>
          <w:spacing w:val="0"/>
          <w:kern w:val="0"/>
          <w:rtl/>
        </w:rPr>
        <w:t xml:space="preserve"> </w:t>
      </w:r>
      <w:r w:rsidRPr="00AA537D">
        <w:rPr>
          <w:rFonts w:hint="cs"/>
          <w:spacing w:val="0"/>
          <w:kern w:val="0"/>
          <w:rtl/>
        </w:rPr>
        <w:t xml:space="preserve">هذا الطلب. ومع ذلك، تم تسليم أصحاب </w:t>
      </w:r>
      <w:r w:rsidRPr="00AA537D">
        <w:rPr>
          <w:spacing w:val="0"/>
          <w:kern w:val="0"/>
          <w:rtl/>
        </w:rPr>
        <w:t>الشكوى إلى أوزبكستان</w:t>
      </w:r>
      <w:r w:rsidRPr="00AA537D">
        <w:rPr>
          <w:rFonts w:hint="cs"/>
          <w:spacing w:val="0"/>
          <w:kern w:val="0"/>
          <w:rtl/>
        </w:rPr>
        <w:t xml:space="preserve"> في</w:t>
      </w:r>
      <w:r w:rsidRPr="00AA537D">
        <w:rPr>
          <w:rFonts w:hint="eastAsia"/>
          <w:spacing w:val="0"/>
          <w:kern w:val="0"/>
          <w:rtl/>
        </w:rPr>
        <w:t> </w:t>
      </w:r>
      <w:r w:rsidRPr="00AA537D">
        <w:rPr>
          <w:rFonts w:hint="cs"/>
          <w:spacing w:val="0"/>
          <w:kern w:val="0"/>
          <w:rtl/>
        </w:rPr>
        <w:t>29 حزيران/يونيه 2011.</w:t>
      </w:r>
    </w:p>
    <w:p w:rsidR="00FA6676" w:rsidRPr="00AA537D" w:rsidRDefault="00FA6676" w:rsidP="00AA537D">
      <w:pPr>
        <w:pStyle w:val="SingleTxtGA"/>
        <w:jc w:val="lowKashida"/>
        <w:rPr>
          <w:rFonts w:hint="cs"/>
          <w:spacing w:val="0"/>
          <w:kern w:val="0"/>
          <w:rtl/>
        </w:rPr>
      </w:pPr>
      <w:r w:rsidRPr="00AA537D">
        <w:rPr>
          <w:rFonts w:hint="cs"/>
          <w:spacing w:val="0"/>
          <w:kern w:val="0"/>
          <w:rtl/>
          <w:lang w:val="fr-CH"/>
        </w:rPr>
        <w:t>1-3</w:t>
      </w:r>
      <w:r w:rsidRPr="00AA537D">
        <w:rPr>
          <w:rFonts w:hint="cs"/>
          <w:spacing w:val="0"/>
          <w:kern w:val="0"/>
          <w:rtl/>
          <w:lang w:val="fr-CH"/>
        </w:rPr>
        <w:tab/>
      </w:r>
      <w:r w:rsidRPr="00AA537D">
        <w:rPr>
          <w:rFonts w:hint="cs"/>
          <w:spacing w:val="0"/>
          <w:kern w:val="0"/>
          <w:rtl/>
        </w:rPr>
        <w:t xml:space="preserve">وفي 15 تشرين الثاني/نوفمبر 2011، قررت اللجنة في دورتها السابعة والأربعين </w:t>
      </w:r>
      <w:r w:rsidRPr="00AA537D">
        <w:rPr>
          <w:spacing w:val="0"/>
          <w:kern w:val="0"/>
          <w:rtl/>
        </w:rPr>
        <w:t>أن الدولة الطرف</w:t>
      </w:r>
      <w:r w:rsidRPr="00AA537D">
        <w:rPr>
          <w:rFonts w:hint="cs"/>
          <w:spacing w:val="0"/>
          <w:kern w:val="0"/>
          <w:rtl/>
        </w:rPr>
        <w:t xml:space="preserve">، </w:t>
      </w:r>
      <w:r w:rsidRPr="00AA537D">
        <w:rPr>
          <w:spacing w:val="0"/>
          <w:kern w:val="0"/>
          <w:rtl/>
        </w:rPr>
        <w:t xml:space="preserve">بخرقها طلب اللجنة بموجب المادة 114 من نظامها الداخلي، </w:t>
      </w:r>
      <w:r w:rsidRPr="00AA537D">
        <w:rPr>
          <w:rFonts w:hint="cs"/>
          <w:spacing w:val="0"/>
          <w:kern w:val="0"/>
          <w:rtl/>
        </w:rPr>
        <w:t>لم</w:t>
      </w:r>
      <w:r w:rsidRPr="00AA537D">
        <w:rPr>
          <w:rFonts w:hint="eastAsia"/>
          <w:spacing w:val="0"/>
          <w:kern w:val="0"/>
          <w:rtl/>
        </w:rPr>
        <w:t> </w:t>
      </w:r>
      <w:r w:rsidRPr="00AA537D">
        <w:rPr>
          <w:rFonts w:hint="cs"/>
          <w:spacing w:val="0"/>
          <w:kern w:val="0"/>
          <w:rtl/>
        </w:rPr>
        <w:t xml:space="preserve">تف </w:t>
      </w:r>
      <w:r w:rsidRPr="00AA537D">
        <w:rPr>
          <w:spacing w:val="0"/>
          <w:kern w:val="0"/>
          <w:rtl/>
        </w:rPr>
        <w:t>بالتزاماتها بالتعاون بحسن نية بموجب المادة 22 من الاتفاقي</w:t>
      </w:r>
      <w:r w:rsidRPr="00AA537D">
        <w:rPr>
          <w:rFonts w:hint="cs"/>
          <w:spacing w:val="0"/>
          <w:kern w:val="0"/>
          <w:rtl/>
        </w:rPr>
        <w:t>ة، و</w:t>
      </w:r>
      <w:r w:rsidRPr="00AA537D">
        <w:rPr>
          <w:spacing w:val="0"/>
          <w:kern w:val="0"/>
          <w:rtl/>
        </w:rPr>
        <w:t>أ</w:t>
      </w:r>
      <w:r w:rsidRPr="00AA537D">
        <w:rPr>
          <w:rFonts w:hint="cs"/>
          <w:spacing w:val="0"/>
          <w:kern w:val="0"/>
          <w:rtl/>
        </w:rPr>
        <w:t xml:space="preserve">علنت مقبولية </w:t>
      </w:r>
      <w:r w:rsidRPr="00AA537D">
        <w:rPr>
          <w:spacing w:val="0"/>
          <w:kern w:val="0"/>
          <w:rtl/>
        </w:rPr>
        <w:t>البلاغ</w:t>
      </w:r>
      <w:r w:rsidRPr="00AA537D">
        <w:rPr>
          <w:rFonts w:hint="cs"/>
          <w:spacing w:val="0"/>
          <w:kern w:val="0"/>
          <w:rtl/>
        </w:rPr>
        <w:t xml:space="preserve"> بالنظر إلى </w:t>
      </w:r>
      <w:r w:rsidRPr="00AA537D">
        <w:rPr>
          <w:spacing w:val="0"/>
          <w:kern w:val="0"/>
          <w:rtl/>
        </w:rPr>
        <w:t>أنه يثير مسائل تتعلق بالمادة 3 من الاتفاقية</w:t>
      </w:r>
      <w:r w:rsidRPr="00AA537D">
        <w:rPr>
          <w:rFonts w:hint="cs"/>
          <w:spacing w:val="0"/>
          <w:kern w:val="0"/>
          <w:rtl/>
        </w:rPr>
        <w:t xml:space="preserve">. ووافقت اللجنة على الطلب المقدم من الدولة الطرف بعقد جلسة استماع وقررت أن تدعو ممثلي الدولة الطرف ومحامية أصحاب الشكوى إلى حضور جلسة الاستماع التي ستعقدها في دورتها الثامنة والأربعين، في أيار/مايو 2012، بشأن </w:t>
      </w:r>
      <w:r w:rsidRPr="00AA537D">
        <w:rPr>
          <w:rFonts w:hint="cs"/>
          <w:spacing w:val="0"/>
          <w:kern w:val="0"/>
          <w:rtl/>
          <w:lang/>
        </w:rPr>
        <w:t>الأسس الموضوعية للبلاغ</w:t>
      </w:r>
      <w:r w:rsidRPr="00AA537D">
        <w:rPr>
          <w:rFonts w:hint="cs"/>
          <w:spacing w:val="0"/>
          <w:kern w:val="0"/>
          <w:rtl/>
        </w:rPr>
        <w:t>.</w:t>
      </w:r>
    </w:p>
    <w:p w:rsidR="00FA6676" w:rsidRPr="00AA537D" w:rsidRDefault="00FA6676" w:rsidP="00AA537D">
      <w:pPr>
        <w:pStyle w:val="SingleTxtGA"/>
        <w:jc w:val="lowKashida"/>
        <w:rPr>
          <w:spacing w:val="0"/>
          <w:kern w:val="0"/>
          <w:rtl/>
        </w:rPr>
      </w:pPr>
      <w:r w:rsidRPr="00AA537D">
        <w:rPr>
          <w:rFonts w:hint="cs"/>
          <w:spacing w:val="0"/>
          <w:kern w:val="0"/>
          <w:rtl/>
        </w:rPr>
        <w:t>1-4</w:t>
      </w:r>
      <w:r w:rsidRPr="00AA537D">
        <w:rPr>
          <w:rFonts w:hint="cs"/>
          <w:spacing w:val="0"/>
          <w:kern w:val="0"/>
          <w:rtl/>
        </w:rPr>
        <w:tab/>
        <w:t xml:space="preserve">وفي 1 حزيران/يونيه 2012، قررت اللجنة أن تعلن لعموم الناس قرارها الصادر في 15 تشرين الثاني/نوفمبر بشأن المقبولية. ويتضمن القرار الحالي موجزاً فقط للوقائع المعروضة من الطرفين وملاحظات أصحاب الشكوى والدولة الطرف بشأن الأسس الموضوعية. وللاطلاع على ملاحظات الدولة الطرف وقرار اللجنة بشأن المقبولية، انظر </w:t>
      </w:r>
      <w:r w:rsidRPr="00AA537D">
        <w:rPr>
          <w:i/>
          <w:iCs/>
          <w:spacing w:val="0"/>
          <w:kern w:val="0"/>
          <w:rtl/>
          <w:lang w:val="fr-CH"/>
        </w:rPr>
        <w:t>عبد الصمتوف</w:t>
      </w:r>
      <w:r w:rsidRPr="00AA537D">
        <w:rPr>
          <w:rFonts w:hint="cs"/>
          <w:i/>
          <w:iCs/>
          <w:spacing w:val="0"/>
          <w:kern w:val="0"/>
          <w:rtl/>
        </w:rPr>
        <w:t xml:space="preserve"> وآخرون ضد أوزبكستان</w:t>
      </w:r>
      <w:r w:rsidRPr="00AA537D">
        <w:rPr>
          <w:rFonts w:hint="cs"/>
          <w:spacing w:val="0"/>
          <w:kern w:val="0"/>
          <w:rtl/>
        </w:rPr>
        <w:t xml:space="preserve">، البلاغ رقم 444/2010، قرار المقبولية المعتمد في 15 تشرين الثاني/نوفمبر 2011. </w:t>
      </w:r>
    </w:p>
    <w:p w:rsidR="00FA6676" w:rsidRPr="00AA537D" w:rsidRDefault="00FA6676" w:rsidP="00AA537D">
      <w:pPr>
        <w:pStyle w:val="H23GA"/>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 xml:space="preserve">موجز الوقائع كما </w:t>
      </w:r>
      <w:r w:rsidRPr="00AA537D">
        <w:rPr>
          <w:rFonts w:hint="cs"/>
          <w:spacing w:val="0"/>
          <w:kern w:val="0"/>
          <w:rtl/>
        </w:rPr>
        <w:t>عرضها</w:t>
      </w:r>
      <w:r w:rsidRPr="00AA537D">
        <w:rPr>
          <w:rFonts w:hint="cs"/>
          <w:spacing w:val="0"/>
          <w:kern w:val="0"/>
          <w:rtl/>
          <w:lang w:val="fr-CH"/>
        </w:rPr>
        <w:t xml:space="preserve"> أصحاب الشكوى</w:t>
      </w:r>
    </w:p>
    <w:p w:rsidR="00FA6676" w:rsidRPr="00AA537D" w:rsidRDefault="00FA6676" w:rsidP="00EB70BE">
      <w:pPr>
        <w:pStyle w:val="SingleTxtGA"/>
        <w:jc w:val="lowKashida"/>
        <w:rPr>
          <w:spacing w:val="0"/>
          <w:kern w:val="0"/>
          <w:rtl/>
        </w:rPr>
      </w:pPr>
      <w:r w:rsidRPr="00AA537D">
        <w:rPr>
          <w:rFonts w:hint="cs"/>
          <w:spacing w:val="0"/>
          <w:kern w:val="0"/>
          <w:rtl/>
          <w:lang w:val="fr-CH"/>
        </w:rPr>
        <w:t>2-1</w:t>
      </w:r>
      <w:r w:rsidRPr="00AA537D">
        <w:rPr>
          <w:rFonts w:hint="cs"/>
          <w:spacing w:val="0"/>
          <w:kern w:val="0"/>
          <w:rtl/>
          <w:lang w:val="fr-CH"/>
        </w:rPr>
        <w:tab/>
      </w:r>
      <w:r w:rsidRPr="00AA537D">
        <w:rPr>
          <w:spacing w:val="0"/>
          <w:kern w:val="0"/>
          <w:rtl/>
        </w:rPr>
        <w:t xml:space="preserve">أصحاب الشكوى فروا من أوزبكستان خوفاً من الاضطهاد بسبب ممارستهم </w:t>
      </w:r>
      <w:r w:rsidRPr="00AA537D">
        <w:rPr>
          <w:rFonts w:hint="cs"/>
          <w:spacing w:val="0"/>
          <w:kern w:val="0"/>
          <w:rtl/>
        </w:rPr>
        <w:t>شعائرهم الدينية</w:t>
      </w:r>
      <w:r w:rsidRPr="00AA537D">
        <w:rPr>
          <w:spacing w:val="0"/>
          <w:kern w:val="0"/>
          <w:rtl/>
        </w:rPr>
        <w:t>. و</w:t>
      </w:r>
      <w:r w:rsidRPr="00AA537D">
        <w:rPr>
          <w:rFonts w:hint="cs"/>
          <w:spacing w:val="0"/>
          <w:kern w:val="0"/>
          <w:rtl/>
        </w:rPr>
        <w:t xml:space="preserve">قد منحت </w:t>
      </w:r>
      <w:r w:rsidRPr="00AA537D">
        <w:rPr>
          <w:spacing w:val="0"/>
          <w:kern w:val="0"/>
          <w:rtl/>
        </w:rPr>
        <w:t>مفوضية الأمم المتحدة السامية لشؤون اللاجئين بين عام</w:t>
      </w:r>
      <w:r w:rsidR="00EB70BE">
        <w:rPr>
          <w:rFonts w:hint="cs"/>
          <w:spacing w:val="0"/>
          <w:kern w:val="0"/>
          <w:rtl/>
        </w:rPr>
        <w:t> </w:t>
      </w:r>
      <w:r w:rsidRPr="00AA537D">
        <w:rPr>
          <w:spacing w:val="0"/>
          <w:kern w:val="0"/>
          <w:rtl/>
        </w:rPr>
        <w:t xml:space="preserve">2005 وآذار/مارس 2010 </w:t>
      </w:r>
      <w:r w:rsidRPr="00AA537D">
        <w:rPr>
          <w:rFonts w:hint="cs"/>
          <w:spacing w:val="0"/>
          <w:kern w:val="0"/>
          <w:rtl/>
        </w:rPr>
        <w:t>مركز اللاجئ لا</w:t>
      </w:r>
      <w:r w:rsidRPr="00AA537D">
        <w:rPr>
          <w:spacing w:val="0"/>
          <w:kern w:val="0"/>
          <w:rtl/>
        </w:rPr>
        <w:t>ثني عشر من</w:t>
      </w:r>
      <w:r w:rsidRPr="00AA537D">
        <w:rPr>
          <w:rFonts w:hint="cs"/>
          <w:spacing w:val="0"/>
          <w:kern w:val="0"/>
          <w:rtl/>
        </w:rPr>
        <w:t>هم</w:t>
      </w:r>
      <w:r w:rsidRPr="00AA537D">
        <w:rPr>
          <w:spacing w:val="0"/>
          <w:kern w:val="0"/>
          <w:rtl/>
        </w:rPr>
        <w:t>. وفي كانون الثاني/</w:t>
      </w:r>
      <w:r w:rsidR="00EB70BE">
        <w:rPr>
          <w:rFonts w:hint="cs"/>
          <w:spacing w:val="0"/>
          <w:kern w:val="0"/>
          <w:rtl/>
        </w:rPr>
        <w:t xml:space="preserve"> </w:t>
      </w:r>
      <w:r w:rsidRPr="00AA537D">
        <w:rPr>
          <w:spacing w:val="0"/>
          <w:kern w:val="0"/>
          <w:rtl/>
        </w:rPr>
        <w:t>يناير</w:t>
      </w:r>
      <w:r w:rsidR="00EB70BE">
        <w:rPr>
          <w:rFonts w:hint="cs"/>
          <w:spacing w:val="0"/>
          <w:kern w:val="0"/>
          <w:rtl/>
        </w:rPr>
        <w:t> </w:t>
      </w:r>
      <w:r w:rsidRPr="00AA537D">
        <w:rPr>
          <w:spacing w:val="0"/>
          <w:kern w:val="0"/>
          <w:rtl/>
        </w:rPr>
        <w:t xml:space="preserve">2010، دخل قانون جديد بشأن اللاجئين حيز النفاذ في كازاخستان </w:t>
      </w:r>
      <w:r w:rsidRPr="00AA537D">
        <w:rPr>
          <w:rFonts w:hint="cs"/>
          <w:spacing w:val="0"/>
          <w:kern w:val="0"/>
          <w:rtl/>
        </w:rPr>
        <w:t>يشترط على</w:t>
      </w:r>
      <w:r w:rsidRPr="00AA537D">
        <w:rPr>
          <w:spacing w:val="0"/>
          <w:kern w:val="0"/>
          <w:rtl/>
        </w:rPr>
        <w:t xml:space="preserve"> جميع طالبي اللجوء، وكذلك </w:t>
      </w:r>
      <w:r w:rsidRPr="00AA537D">
        <w:rPr>
          <w:rFonts w:hint="cs"/>
          <w:spacing w:val="0"/>
          <w:kern w:val="0"/>
          <w:rtl/>
        </w:rPr>
        <w:t>على</w:t>
      </w:r>
      <w:r w:rsidRPr="00AA537D">
        <w:rPr>
          <w:spacing w:val="0"/>
          <w:kern w:val="0"/>
          <w:rtl/>
        </w:rPr>
        <w:t xml:space="preserve"> اللاجئين المشمولين بولاية المفوضية، </w:t>
      </w:r>
      <w:r w:rsidRPr="00AA537D">
        <w:rPr>
          <w:rFonts w:hint="cs"/>
          <w:spacing w:val="0"/>
          <w:kern w:val="0"/>
          <w:rtl/>
        </w:rPr>
        <w:t>تسجيل</w:t>
      </w:r>
      <w:r w:rsidRPr="00AA537D">
        <w:rPr>
          <w:spacing w:val="0"/>
          <w:kern w:val="0"/>
          <w:rtl/>
        </w:rPr>
        <w:t xml:space="preserve"> أنفسهم لدى حكومة كازاخستان وليس لدى المفوضية كما كا</w:t>
      </w:r>
      <w:r w:rsidRPr="00AA537D">
        <w:rPr>
          <w:rFonts w:hint="cs"/>
          <w:spacing w:val="0"/>
          <w:kern w:val="0"/>
          <w:rtl/>
        </w:rPr>
        <w:t>ن</w:t>
      </w:r>
      <w:r w:rsidRPr="00AA537D">
        <w:rPr>
          <w:spacing w:val="0"/>
          <w:kern w:val="0"/>
          <w:rtl/>
        </w:rPr>
        <w:t xml:space="preserve"> </w:t>
      </w:r>
      <w:r w:rsidRPr="00AA537D">
        <w:rPr>
          <w:rFonts w:hint="cs"/>
          <w:spacing w:val="0"/>
          <w:kern w:val="0"/>
          <w:rtl/>
        </w:rPr>
        <w:t>عليه الحال</w:t>
      </w:r>
      <w:r w:rsidRPr="00AA537D">
        <w:rPr>
          <w:spacing w:val="0"/>
          <w:kern w:val="0"/>
          <w:rtl/>
        </w:rPr>
        <w:t xml:space="preserve"> من قبل. وسجل أصحاب الشكوى أنفسهم كما هو مطلوب لدى شرطة الهجرة في أيار/مايو 2010.</w:t>
      </w:r>
    </w:p>
    <w:p w:rsidR="00FA6676" w:rsidRPr="00AA537D" w:rsidRDefault="00FA6676" w:rsidP="00AA537D">
      <w:pPr>
        <w:pStyle w:val="SingleTxtGA"/>
        <w:jc w:val="lowKashida"/>
        <w:rPr>
          <w:spacing w:val="0"/>
          <w:kern w:val="0"/>
          <w:rtl/>
        </w:rPr>
      </w:pPr>
      <w:r w:rsidRPr="00AA537D">
        <w:rPr>
          <w:spacing w:val="0"/>
          <w:kern w:val="0"/>
          <w:rtl/>
        </w:rPr>
        <w:t>2-2</w:t>
      </w:r>
      <w:r w:rsidRPr="00AA537D">
        <w:rPr>
          <w:spacing w:val="0"/>
          <w:kern w:val="0"/>
          <w:rtl/>
        </w:rPr>
        <w:tab/>
        <w:t xml:space="preserve">وفي الفترة من 9 إلى 11 حزيران/يونيه 2010، ألقت شرطة الهجرة </w:t>
      </w:r>
      <w:r w:rsidRPr="00AA537D">
        <w:rPr>
          <w:rFonts w:hint="cs"/>
          <w:spacing w:val="0"/>
          <w:kern w:val="0"/>
          <w:rtl/>
        </w:rPr>
        <w:t xml:space="preserve">في كازاخستان وآخرون </w:t>
      </w:r>
      <w:r w:rsidRPr="00AA537D">
        <w:rPr>
          <w:spacing w:val="0"/>
          <w:kern w:val="0"/>
          <w:rtl/>
        </w:rPr>
        <w:t xml:space="preserve">بزي عادي يُعتقد أنهم من </w:t>
      </w:r>
      <w:r w:rsidRPr="00AA537D">
        <w:rPr>
          <w:rFonts w:hint="cs"/>
          <w:spacing w:val="0"/>
          <w:kern w:val="0"/>
          <w:rtl/>
        </w:rPr>
        <w:t xml:space="preserve">دائرة </w:t>
      </w:r>
      <w:r w:rsidRPr="00AA537D">
        <w:rPr>
          <w:spacing w:val="0"/>
          <w:kern w:val="0"/>
          <w:rtl/>
        </w:rPr>
        <w:t>الأمن ال</w:t>
      </w:r>
      <w:r w:rsidRPr="00AA537D">
        <w:rPr>
          <w:rFonts w:hint="cs"/>
          <w:spacing w:val="0"/>
          <w:kern w:val="0"/>
          <w:rtl/>
        </w:rPr>
        <w:t>ق</w:t>
      </w:r>
      <w:r w:rsidRPr="00AA537D">
        <w:rPr>
          <w:spacing w:val="0"/>
          <w:kern w:val="0"/>
          <w:rtl/>
        </w:rPr>
        <w:t>و</w:t>
      </w:r>
      <w:r w:rsidRPr="00AA537D">
        <w:rPr>
          <w:rFonts w:hint="cs"/>
          <w:spacing w:val="0"/>
          <w:kern w:val="0"/>
          <w:rtl/>
        </w:rPr>
        <w:t>م</w:t>
      </w:r>
      <w:r w:rsidRPr="00AA537D">
        <w:rPr>
          <w:spacing w:val="0"/>
          <w:kern w:val="0"/>
          <w:rtl/>
        </w:rPr>
        <w:t>ي القبض على أصحاب الشكوى. ولم</w:t>
      </w:r>
      <w:r w:rsidRPr="00AA537D">
        <w:rPr>
          <w:rFonts w:hint="cs"/>
          <w:spacing w:val="0"/>
          <w:kern w:val="0"/>
          <w:rtl/>
        </w:rPr>
        <w:t> </w:t>
      </w:r>
      <w:r w:rsidRPr="00AA537D">
        <w:rPr>
          <w:spacing w:val="0"/>
          <w:kern w:val="0"/>
          <w:rtl/>
        </w:rPr>
        <w:t>تُقدم إليهم أي مذكرة توقيف وقت إلقاء القبض عليهم</w:t>
      </w:r>
      <w:r w:rsidRPr="00AA537D">
        <w:rPr>
          <w:rFonts w:hint="cs"/>
          <w:spacing w:val="0"/>
          <w:kern w:val="0"/>
          <w:rtl/>
        </w:rPr>
        <w:t>،</w:t>
      </w:r>
      <w:r w:rsidRPr="00AA537D">
        <w:rPr>
          <w:spacing w:val="0"/>
          <w:kern w:val="0"/>
          <w:rtl/>
        </w:rPr>
        <w:t xml:space="preserve"> غير أن بعض أصحاب الشكوى </w:t>
      </w:r>
      <w:r w:rsidRPr="00AA537D">
        <w:rPr>
          <w:rFonts w:hint="cs"/>
          <w:spacing w:val="0"/>
          <w:kern w:val="0"/>
          <w:rtl/>
        </w:rPr>
        <w:t xml:space="preserve">اطلعوا على </w:t>
      </w:r>
      <w:r w:rsidRPr="00AA537D">
        <w:rPr>
          <w:spacing w:val="0"/>
          <w:kern w:val="0"/>
          <w:rtl/>
        </w:rPr>
        <w:t xml:space="preserve">مذكرة التوقيف </w:t>
      </w:r>
      <w:r w:rsidRPr="00AA537D">
        <w:rPr>
          <w:rFonts w:hint="cs"/>
          <w:spacing w:val="0"/>
          <w:kern w:val="0"/>
          <w:rtl/>
        </w:rPr>
        <w:t>بعد ذلك.</w:t>
      </w:r>
      <w:r w:rsidRPr="00AA537D">
        <w:rPr>
          <w:spacing w:val="0"/>
          <w:kern w:val="0"/>
          <w:rtl/>
        </w:rPr>
        <w:t xml:space="preserve"> وفي أيار/مايو 2010، أجرت اللجنة المركزية لتحديد مركز اللاجئ مقابلات مع أصحاب الشكوى دون الاستعانة بخدمات محام أو مترجم. وفي</w:t>
      </w:r>
      <w:r w:rsidRPr="00AA537D">
        <w:rPr>
          <w:rFonts w:hint="cs"/>
          <w:spacing w:val="0"/>
          <w:kern w:val="0"/>
          <w:rtl/>
        </w:rPr>
        <w:t> </w:t>
      </w:r>
      <w:r w:rsidRPr="00AA537D">
        <w:rPr>
          <w:spacing w:val="0"/>
          <w:kern w:val="0"/>
          <w:rtl/>
        </w:rPr>
        <w:t>11 و27 آب/أغسطس 2010 رفضت اللجنة المركزية طلبات اللجوء ال</w:t>
      </w:r>
      <w:r w:rsidRPr="00AA537D">
        <w:rPr>
          <w:rFonts w:hint="cs"/>
          <w:spacing w:val="0"/>
          <w:kern w:val="0"/>
          <w:rtl/>
        </w:rPr>
        <w:t>مقدمة منهم</w:t>
      </w:r>
      <w:r w:rsidRPr="00AA537D">
        <w:rPr>
          <w:spacing w:val="0"/>
          <w:kern w:val="0"/>
          <w:rtl/>
        </w:rPr>
        <w:t xml:space="preserve">، </w:t>
      </w:r>
      <w:r w:rsidRPr="00AA537D">
        <w:rPr>
          <w:rFonts w:hint="cs"/>
          <w:spacing w:val="0"/>
          <w:kern w:val="0"/>
          <w:rtl/>
        </w:rPr>
        <w:t>دون اعتبار</w:t>
      </w:r>
      <w:r w:rsidRPr="00AA537D">
        <w:rPr>
          <w:spacing w:val="0"/>
          <w:kern w:val="0"/>
          <w:rtl/>
        </w:rPr>
        <w:t xml:space="preserve"> </w:t>
      </w:r>
      <w:r w:rsidRPr="00AA537D">
        <w:rPr>
          <w:rFonts w:hint="cs"/>
          <w:spacing w:val="0"/>
          <w:kern w:val="0"/>
          <w:rtl/>
        </w:rPr>
        <w:t>ل</w:t>
      </w:r>
      <w:r w:rsidRPr="00AA537D">
        <w:rPr>
          <w:spacing w:val="0"/>
          <w:kern w:val="0"/>
          <w:rtl/>
        </w:rPr>
        <w:t xml:space="preserve">مركز اللاجئ </w:t>
      </w:r>
      <w:r w:rsidRPr="00AA537D">
        <w:rPr>
          <w:rFonts w:hint="cs"/>
          <w:spacing w:val="0"/>
          <w:kern w:val="0"/>
          <w:rtl/>
        </w:rPr>
        <w:t>الذي منحته</w:t>
      </w:r>
      <w:r w:rsidRPr="00AA537D">
        <w:rPr>
          <w:spacing w:val="0"/>
          <w:kern w:val="0"/>
          <w:rtl/>
        </w:rPr>
        <w:t xml:space="preserve"> المفوضية </w:t>
      </w:r>
      <w:r w:rsidRPr="00AA537D">
        <w:rPr>
          <w:rFonts w:hint="cs"/>
          <w:spacing w:val="0"/>
          <w:kern w:val="0"/>
          <w:rtl/>
        </w:rPr>
        <w:t>من قبل</w:t>
      </w:r>
      <w:r w:rsidRPr="00AA537D">
        <w:rPr>
          <w:spacing w:val="0"/>
          <w:kern w:val="0"/>
          <w:rtl/>
        </w:rPr>
        <w:t xml:space="preserve"> </w:t>
      </w:r>
      <w:r w:rsidRPr="00AA537D">
        <w:rPr>
          <w:rFonts w:hint="cs"/>
          <w:spacing w:val="0"/>
          <w:kern w:val="0"/>
          <w:rtl/>
        </w:rPr>
        <w:t>لا</w:t>
      </w:r>
      <w:r w:rsidRPr="00AA537D">
        <w:rPr>
          <w:spacing w:val="0"/>
          <w:kern w:val="0"/>
          <w:rtl/>
        </w:rPr>
        <w:t>ثني عشر من أصحاب الشكوى. واكتفت القرارات بالإشارة إلى أن الحالات لا تلبي المعايير اللازمة لمركز اللاجئ، دون تقديم أي إيضاحات أخرى.</w:t>
      </w:r>
    </w:p>
    <w:p w:rsidR="00FA6676" w:rsidRPr="00AA537D" w:rsidRDefault="00FA6676" w:rsidP="00AA537D">
      <w:pPr>
        <w:pStyle w:val="SingleTxtGA"/>
        <w:jc w:val="lowKashida"/>
        <w:rPr>
          <w:rFonts w:hint="cs"/>
          <w:spacing w:val="0"/>
          <w:kern w:val="0"/>
          <w:rtl/>
        </w:rPr>
      </w:pPr>
      <w:r w:rsidRPr="00AA537D">
        <w:rPr>
          <w:spacing w:val="0"/>
          <w:kern w:val="0"/>
          <w:rtl/>
        </w:rPr>
        <w:t>2-3</w:t>
      </w:r>
      <w:r w:rsidRPr="00AA537D">
        <w:rPr>
          <w:spacing w:val="0"/>
          <w:kern w:val="0"/>
          <w:rtl/>
        </w:rPr>
        <w:tab/>
        <w:t>وفي 8 أيلول/سبتمبر 2010، أعلن مكتب المدعي العام في ألماتي أنه</w:t>
      </w:r>
      <w:r w:rsidRPr="00AA537D">
        <w:rPr>
          <w:rFonts w:hint="cs"/>
          <w:spacing w:val="0"/>
          <w:kern w:val="0"/>
          <w:rtl/>
        </w:rPr>
        <w:t xml:space="preserve"> قرر</w:t>
      </w:r>
      <w:r w:rsidRPr="00AA537D">
        <w:rPr>
          <w:spacing w:val="0"/>
          <w:kern w:val="0"/>
          <w:rtl/>
        </w:rPr>
        <w:t>، بنا</w:t>
      </w:r>
      <w:r w:rsidRPr="00AA537D">
        <w:rPr>
          <w:rFonts w:hint="cs"/>
          <w:spacing w:val="0"/>
          <w:kern w:val="0"/>
          <w:rtl/>
        </w:rPr>
        <w:t>ء</w:t>
      </w:r>
      <w:r w:rsidRPr="00AA537D">
        <w:rPr>
          <w:spacing w:val="0"/>
          <w:kern w:val="0"/>
          <w:rtl/>
        </w:rPr>
        <w:t xml:space="preserve"> على طلب السلطات الأوزبكية</w:t>
      </w:r>
      <w:r w:rsidRPr="00AA537D">
        <w:rPr>
          <w:rFonts w:hint="cs"/>
          <w:spacing w:val="0"/>
          <w:kern w:val="0"/>
          <w:rtl/>
        </w:rPr>
        <w:t>،</w:t>
      </w:r>
      <w:r w:rsidRPr="00AA537D">
        <w:rPr>
          <w:spacing w:val="0"/>
          <w:kern w:val="0"/>
          <w:rtl/>
        </w:rPr>
        <w:t xml:space="preserve"> ووفقاً </w:t>
      </w:r>
      <w:r w:rsidRPr="00AA537D">
        <w:rPr>
          <w:rFonts w:hint="cs"/>
          <w:spacing w:val="0"/>
          <w:kern w:val="0"/>
          <w:rtl/>
        </w:rPr>
        <w:t>ل</w:t>
      </w:r>
      <w:r w:rsidRPr="00AA537D">
        <w:rPr>
          <w:spacing w:val="0"/>
          <w:kern w:val="0"/>
          <w:rtl/>
        </w:rPr>
        <w:t>لاتفاق</w:t>
      </w:r>
      <w:r w:rsidRPr="00AA537D">
        <w:rPr>
          <w:rFonts w:hint="cs"/>
          <w:spacing w:val="0"/>
          <w:kern w:val="0"/>
          <w:rtl/>
        </w:rPr>
        <w:t xml:space="preserve"> </w:t>
      </w:r>
      <w:r w:rsidRPr="00AA537D">
        <w:rPr>
          <w:spacing w:val="0"/>
          <w:kern w:val="0"/>
          <w:rtl/>
        </w:rPr>
        <w:t>الثنائي المؤرخ 22 كانون الثاني/يناير</w:t>
      </w:r>
      <w:r w:rsidRPr="00AA537D">
        <w:rPr>
          <w:rFonts w:hint="cs"/>
          <w:spacing w:val="0"/>
          <w:kern w:val="0"/>
          <w:rtl/>
        </w:rPr>
        <w:t> </w:t>
      </w:r>
      <w:r w:rsidRPr="00AA537D">
        <w:rPr>
          <w:spacing w:val="0"/>
          <w:kern w:val="0"/>
          <w:rtl/>
        </w:rPr>
        <w:t>1993 (اتفاقية</w:t>
      </w:r>
      <w:r w:rsidRPr="00AA537D">
        <w:rPr>
          <w:rFonts w:hint="cs"/>
          <w:spacing w:val="0"/>
          <w:kern w:val="0"/>
          <w:rtl/>
        </w:rPr>
        <w:t> </w:t>
      </w:r>
      <w:r w:rsidRPr="00AA537D">
        <w:rPr>
          <w:spacing w:val="0"/>
          <w:kern w:val="0"/>
          <w:rtl/>
        </w:rPr>
        <w:t>رابطة الدول المستقلة بشأن المساعدة القانونية والنزاعات في المسائل القانونية المدنية والأسرية والجنائية</w:t>
      </w:r>
      <w:r w:rsidRPr="00AA537D">
        <w:rPr>
          <w:spacing w:val="0"/>
          <w:kern w:val="0"/>
          <w:sz w:val="30"/>
          <w:rtl/>
        </w:rPr>
        <w:t xml:space="preserve"> </w:t>
      </w:r>
      <w:r w:rsidRPr="00AA537D">
        <w:rPr>
          <w:rFonts w:hint="cs"/>
          <w:spacing w:val="0"/>
          <w:kern w:val="0"/>
          <w:sz w:val="30"/>
          <w:rtl/>
        </w:rPr>
        <w:t xml:space="preserve">(اتفاقية </w:t>
      </w:r>
      <w:r w:rsidRPr="00AA537D">
        <w:rPr>
          <w:spacing w:val="0"/>
          <w:kern w:val="0"/>
          <w:sz w:val="30"/>
          <w:rtl/>
        </w:rPr>
        <w:t>مينسك</w:t>
      </w:r>
      <w:r w:rsidRPr="00AA537D">
        <w:rPr>
          <w:rFonts w:hint="cs"/>
          <w:spacing w:val="0"/>
          <w:kern w:val="0"/>
          <w:sz w:val="30"/>
          <w:rtl/>
        </w:rPr>
        <w:t>))</w:t>
      </w:r>
      <w:r w:rsidRPr="00AA537D">
        <w:rPr>
          <w:rFonts w:hint="cs"/>
          <w:spacing w:val="0"/>
          <w:kern w:val="0"/>
          <w:rtl/>
        </w:rPr>
        <w:t>،</w:t>
      </w:r>
      <w:r w:rsidRPr="00AA537D">
        <w:rPr>
          <w:spacing w:val="0"/>
          <w:kern w:val="0"/>
          <w:rtl/>
        </w:rPr>
        <w:t xml:space="preserve"> واتفاقية شنغهاي لعام 2001، </w:t>
      </w:r>
      <w:r w:rsidRPr="00AA537D">
        <w:rPr>
          <w:rFonts w:hint="cs"/>
          <w:spacing w:val="0"/>
          <w:kern w:val="0"/>
          <w:rtl/>
        </w:rPr>
        <w:t xml:space="preserve">تسليم </w:t>
      </w:r>
      <w:r w:rsidRPr="00AA537D">
        <w:rPr>
          <w:spacing w:val="0"/>
          <w:kern w:val="0"/>
          <w:rtl/>
        </w:rPr>
        <w:t xml:space="preserve">أصحاب الشكوى إلى أوزبكستان </w:t>
      </w:r>
      <w:r w:rsidRPr="00AA537D">
        <w:rPr>
          <w:rFonts w:hint="cs"/>
          <w:spacing w:val="0"/>
          <w:kern w:val="0"/>
          <w:rtl/>
        </w:rPr>
        <w:t>لصلتهم</w:t>
      </w:r>
      <w:r w:rsidRPr="00AA537D">
        <w:rPr>
          <w:spacing w:val="0"/>
          <w:kern w:val="0"/>
          <w:rtl/>
        </w:rPr>
        <w:t xml:space="preserve"> </w:t>
      </w:r>
      <w:r w:rsidRPr="00AA537D">
        <w:rPr>
          <w:rFonts w:hint="cs"/>
          <w:spacing w:val="0"/>
          <w:kern w:val="0"/>
          <w:sz w:val="30"/>
          <w:rtl/>
        </w:rPr>
        <w:t>ب‍</w:t>
      </w:r>
      <w:r w:rsidRPr="00AA537D">
        <w:rPr>
          <w:rFonts w:hint="cs"/>
          <w:spacing w:val="0"/>
          <w:kern w:val="0"/>
          <w:rtl/>
        </w:rPr>
        <w:t xml:space="preserve"> </w:t>
      </w:r>
      <w:r w:rsidRPr="00AA537D">
        <w:rPr>
          <w:spacing w:val="0"/>
          <w:kern w:val="0"/>
          <w:rtl/>
        </w:rPr>
        <w:t>"منظمات غير قانونية" و</w:t>
      </w:r>
      <w:r w:rsidRPr="00AA537D">
        <w:rPr>
          <w:rFonts w:hint="cs"/>
          <w:spacing w:val="0"/>
          <w:kern w:val="0"/>
          <w:rtl/>
        </w:rPr>
        <w:t>ات</w:t>
      </w:r>
      <w:r w:rsidRPr="00AA537D">
        <w:rPr>
          <w:spacing w:val="0"/>
          <w:kern w:val="0"/>
          <w:rtl/>
        </w:rPr>
        <w:t>ه</w:t>
      </w:r>
      <w:r w:rsidRPr="00AA537D">
        <w:rPr>
          <w:rFonts w:hint="cs"/>
          <w:spacing w:val="0"/>
          <w:kern w:val="0"/>
          <w:rtl/>
        </w:rPr>
        <w:t>ا</w:t>
      </w:r>
      <w:r w:rsidRPr="00AA537D">
        <w:rPr>
          <w:spacing w:val="0"/>
          <w:kern w:val="0"/>
          <w:rtl/>
        </w:rPr>
        <w:t>م</w:t>
      </w:r>
      <w:r w:rsidRPr="00AA537D">
        <w:rPr>
          <w:rFonts w:hint="cs"/>
          <w:spacing w:val="0"/>
          <w:kern w:val="0"/>
          <w:rtl/>
        </w:rPr>
        <w:t>ه</w:t>
      </w:r>
      <w:r w:rsidRPr="00AA537D">
        <w:rPr>
          <w:spacing w:val="0"/>
          <w:kern w:val="0"/>
          <w:rtl/>
        </w:rPr>
        <w:t xml:space="preserve">ن </w:t>
      </w:r>
      <w:r w:rsidRPr="00AA537D">
        <w:rPr>
          <w:rFonts w:hint="cs"/>
          <w:spacing w:val="0"/>
          <w:kern w:val="0"/>
          <w:sz w:val="30"/>
          <w:rtl/>
        </w:rPr>
        <w:t>ب‍</w:t>
      </w:r>
      <w:r w:rsidRPr="00AA537D">
        <w:rPr>
          <w:rFonts w:hint="cs"/>
          <w:spacing w:val="0"/>
          <w:kern w:val="0"/>
          <w:rtl/>
        </w:rPr>
        <w:t xml:space="preserve"> </w:t>
      </w:r>
      <w:r w:rsidRPr="00AA537D">
        <w:rPr>
          <w:spacing w:val="0"/>
          <w:kern w:val="0"/>
          <w:rtl/>
        </w:rPr>
        <w:t>"محاو</w:t>
      </w:r>
      <w:r w:rsidRPr="00AA537D">
        <w:rPr>
          <w:rFonts w:hint="cs"/>
          <w:spacing w:val="0"/>
          <w:kern w:val="0"/>
          <w:rtl/>
        </w:rPr>
        <w:t>لة</w:t>
      </w:r>
      <w:r w:rsidRPr="00AA537D">
        <w:rPr>
          <w:spacing w:val="0"/>
          <w:kern w:val="0"/>
          <w:rtl/>
        </w:rPr>
        <w:t xml:space="preserve"> الإطاحة بالنظام الدستوري" في أوزبكستان. ولكن لم يُقدّم إليهم أمر التسليم </w:t>
      </w:r>
      <w:r w:rsidRPr="00AA537D">
        <w:rPr>
          <w:rFonts w:hint="cs"/>
          <w:spacing w:val="0"/>
          <w:kern w:val="0"/>
          <w:rtl/>
        </w:rPr>
        <w:t>أ</w:t>
      </w:r>
      <w:r w:rsidRPr="00AA537D">
        <w:rPr>
          <w:spacing w:val="0"/>
          <w:kern w:val="0"/>
          <w:rtl/>
        </w:rPr>
        <w:t xml:space="preserve">و أي إشعار خطي آخر. </w:t>
      </w:r>
    </w:p>
    <w:p w:rsidR="00FA6676" w:rsidRPr="00AA537D" w:rsidRDefault="00FA6676" w:rsidP="00AA537D">
      <w:pPr>
        <w:pStyle w:val="SingleTxtGA"/>
        <w:jc w:val="lowKashida"/>
        <w:rPr>
          <w:rFonts w:hint="cs"/>
          <w:spacing w:val="0"/>
          <w:kern w:val="0"/>
          <w:rtl/>
          <w:lang w:val="fr-CH"/>
        </w:rPr>
      </w:pPr>
      <w:r w:rsidRPr="00AA537D">
        <w:rPr>
          <w:spacing w:val="0"/>
          <w:kern w:val="0"/>
          <w:rtl/>
        </w:rPr>
        <w:t>2-</w:t>
      </w:r>
      <w:r w:rsidRPr="00AA537D">
        <w:rPr>
          <w:rFonts w:hint="cs"/>
          <w:spacing w:val="0"/>
          <w:kern w:val="0"/>
          <w:rtl/>
        </w:rPr>
        <w:t>4</w:t>
      </w:r>
      <w:r w:rsidRPr="00AA537D">
        <w:rPr>
          <w:spacing w:val="0"/>
          <w:kern w:val="0"/>
          <w:rtl/>
        </w:rPr>
        <w:tab/>
        <w:t>وفي 6 كانون الأول/ديسمبر 2010، قررت المحكمة المحلية رقم 2 في</w:t>
      </w:r>
      <w:r w:rsidRPr="00AA537D">
        <w:rPr>
          <w:rFonts w:hint="cs"/>
          <w:spacing w:val="0"/>
          <w:kern w:val="0"/>
          <w:rtl/>
        </w:rPr>
        <w:t xml:space="preserve"> ألمالينسك بمقاطعة</w:t>
      </w:r>
      <w:r w:rsidRPr="00AA537D">
        <w:rPr>
          <w:spacing w:val="0"/>
          <w:kern w:val="0"/>
          <w:rtl/>
        </w:rPr>
        <w:t xml:space="preserve"> ألماتي أن ت</w:t>
      </w:r>
      <w:r w:rsidRPr="00AA537D">
        <w:rPr>
          <w:rFonts w:hint="cs"/>
          <w:spacing w:val="0"/>
          <w:kern w:val="0"/>
          <w:rtl/>
        </w:rPr>
        <w:t>نظر في جميع ال</w:t>
      </w:r>
      <w:r w:rsidRPr="00AA537D">
        <w:rPr>
          <w:spacing w:val="0"/>
          <w:kern w:val="0"/>
          <w:rtl/>
        </w:rPr>
        <w:t xml:space="preserve">طعون </w:t>
      </w:r>
      <w:r w:rsidRPr="00AA537D">
        <w:rPr>
          <w:rFonts w:hint="cs"/>
          <w:spacing w:val="0"/>
          <w:kern w:val="0"/>
          <w:rtl/>
        </w:rPr>
        <w:t xml:space="preserve">المقدمة من </w:t>
      </w:r>
      <w:r w:rsidRPr="00AA537D">
        <w:rPr>
          <w:spacing w:val="0"/>
          <w:kern w:val="0"/>
          <w:rtl/>
        </w:rPr>
        <w:t xml:space="preserve">أصحاب الشكوى في قرارات اللجنة المركزية </w:t>
      </w:r>
      <w:r w:rsidRPr="00AA537D">
        <w:rPr>
          <w:rFonts w:hint="cs"/>
          <w:spacing w:val="0"/>
          <w:kern w:val="0"/>
          <w:rtl/>
        </w:rPr>
        <w:t>معاً.</w:t>
      </w:r>
    </w:p>
    <w:p w:rsidR="00FA6676" w:rsidRPr="00AA537D" w:rsidRDefault="00FA6676" w:rsidP="00AA537D">
      <w:pPr>
        <w:pStyle w:val="H23GA"/>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موجز الشكوى</w:t>
      </w:r>
    </w:p>
    <w:p w:rsidR="00FA6676" w:rsidRPr="00AA537D" w:rsidRDefault="00FA6676" w:rsidP="00AA537D">
      <w:pPr>
        <w:pStyle w:val="SingleTxtGA"/>
        <w:jc w:val="lowKashida"/>
        <w:rPr>
          <w:spacing w:val="0"/>
          <w:kern w:val="0"/>
          <w:rtl/>
        </w:rPr>
      </w:pPr>
      <w:r w:rsidRPr="00AA537D">
        <w:rPr>
          <w:rFonts w:hint="cs"/>
          <w:spacing w:val="0"/>
          <w:kern w:val="0"/>
          <w:rtl/>
          <w:lang w:val="fr-CH"/>
        </w:rPr>
        <w:t>3-1</w:t>
      </w:r>
      <w:r w:rsidRPr="00AA537D">
        <w:rPr>
          <w:rFonts w:hint="cs"/>
          <w:spacing w:val="0"/>
          <w:kern w:val="0"/>
          <w:rtl/>
          <w:lang w:val="fr-CH"/>
        </w:rPr>
        <w:tab/>
      </w:r>
      <w:r w:rsidRPr="00AA537D">
        <w:rPr>
          <w:spacing w:val="0"/>
          <w:kern w:val="0"/>
          <w:rtl/>
        </w:rPr>
        <w:t xml:space="preserve">يشير أصحاب الشكوى إلى الملاحظات الختامية للجنة المعنية بحقوق الإنسان بشأن أوزبكستان، التي أعربت فيها </w:t>
      </w:r>
      <w:r w:rsidRPr="00AA537D">
        <w:rPr>
          <w:rFonts w:hint="cs"/>
          <w:spacing w:val="0"/>
          <w:kern w:val="0"/>
          <w:rtl/>
        </w:rPr>
        <w:t xml:space="preserve">اللجنة </w:t>
      </w:r>
      <w:r w:rsidRPr="00AA537D">
        <w:rPr>
          <w:spacing w:val="0"/>
          <w:kern w:val="0"/>
          <w:rtl/>
        </w:rPr>
        <w:t>عن قلقها إزاء الحدود والقيود المفروضة على حرية الدين والمعتقد</w:t>
      </w:r>
      <w:r w:rsidRPr="00AA537D">
        <w:rPr>
          <w:rFonts w:hint="cs"/>
          <w:spacing w:val="0"/>
          <w:kern w:val="0"/>
          <w:rtl/>
        </w:rPr>
        <w:t>،</w:t>
      </w:r>
      <w:r w:rsidRPr="00AA537D">
        <w:rPr>
          <w:spacing w:val="0"/>
          <w:kern w:val="0"/>
          <w:rtl/>
        </w:rPr>
        <w:t xml:space="preserve"> وإزاء استخدام القانون الجنائي لتجريم ممارسة الحرية الدينية السلمية، </w:t>
      </w:r>
      <w:r w:rsidRPr="00AA537D">
        <w:rPr>
          <w:rFonts w:hint="cs"/>
          <w:spacing w:val="0"/>
          <w:kern w:val="0"/>
          <w:rtl/>
        </w:rPr>
        <w:t>لا</w:t>
      </w:r>
      <w:r w:rsidRPr="00AA537D">
        <w:rPr>
          <w:rFonts w:hint="eastAsia"/>
          <w:spacing w:val="0"/>
          <w:kern w:val="0"/>
          <w:rtl/>
        </w:rPr>
        <w:t> </w:t>
      </w:r>
      <w:r w:rsidRPr="00AA537D">
        <w:rPr>
          <w:rFonts w:hint="cs"/>
          <w:spacing w:val="0"/>
          <w:kern w:val="0"/>
          <w:rtl/>
        </w:rPr>
        <w:t>سيما لأ</w:t>
      </w:r>
      <w:r w:rsidRPr="00AA537D">
        <w:rPr>
          <w:spacing w:val="0"/>
          <w:kern w:val="0"/>
          <w:rtl/>
        </w:rPr>
        <w:t>عضاء الجماعات الدينية غير المسجلة</w:t>
      </w:r>
      <w:r w:rsidRPr="00AA537D">
        <w:rPr>
          <w:rFonts w:hint="cs"/>
          <w:spacing w:val="0"/>
          <w:kern w:val="0"/>
          <w:rtl/>
        </w:rPr>
        <w:t>،</w:t>
      </w:r>
      <w:r w:rsidRPr="00AA537D">
        <w:rPr>
          <w:spacing w:val="0"/>
          <w:kern w:val="0"/>
          <w:rtl/>
        </w:rPr>
        <w:t xml:space="preserve"> والتقارير المستمرة التي تفيد باتهام وسجن هؤلاء الأفراد</w:t>
      </w:r>
      <w:r w:rsidRPr="00AA537D">
        <w:rPr>
          <w:spacing w:val="0"/>
          <w:kern w:val="0"/>
          <w:vertAlign w:val="superscript"/>
          <w:rtl/>
        </w:rPr>
        <w:t>(</w:t>
      </w:r>
      <w:r w:rsidRPr="00AA537D">
        <w:rPr>
          <w:rStyle w:val="FootnoteReference"/>
          <w:spacing w:val="0"/>
          <w:rtl/>
        </w:rPr>
        <w:footnoteReference w:id="409"/>
      </w:r>
      <w:r w:rsidRPr="00AA537D">
        <w:rPr>
          <w:spacing w:val="0"/>
          <w:kern w:val="0"/>
          <w:vertAlign w:val="superscript"/>
          <w:rtl/>
        </w:rPr>
        <w:t>)</w:t>
      </w:r>
      <w:r w:rsidRPr="00AA537D">
        <w:rPr>
          <w:spacing w:val="0"/>
          <w:kern w:val="0"/>
          <w:rtl/>
        </w:rPr>
        <w:t>، وكذلك تقرير مرصد حقوق الإنسان الذي يشير إلى أن السلطات الأوزبكية استهدفت وسجنت مسلمين و</w:t>
      </w:r>
      <w:r w:rsidRPr="00AA537D">
        <w:rPr>
          <w:rFonts w:hint="cs"/>
          <w:spacing w:val="0"/>
          <w:kern w:val="0"/>
          <w:rtl/>
        </w:rPr>
        <w:t xml:space="preserve">أشخاصاً </w:t>
      </w:r>
      <w:r w:rsidRPr="00AA537D">
        <w:rPr>
          <w:spacing w:val="0"/>
          <w:kern w:val="0"/>
          <w:rtl/>
        </w:rPr>
        <w:t>من ديانات أخرى يمارسون ديانتهم خارج المؤسسات الرسمية أو ينتمون إلى منظمات دينية غير مسجلة</w:t>
      </w:r>
      <w:r w:rsidRPr="00AA537D">
        <w:rPr>
          <w:spacing w:val="0"/>
          <w:kern w:val="0"/>
          <w:vertAlign w:val="superscript"/>
          <w:rtl/>
        </w:rPr>
        <w:t>(</w:t>
      </w:r>
      <w:r w:rsidRPr="00AA537D">
        <w:rPr>
          <w:rStyle w:val="FootnoteReference"/>
          <w:spacing w:val="0"/>
          <w:rtl/>
        </w:rPr>
        <w:footnoteReference w:id="410"/>
      </w:r>
      <w:r w:rsidRPr="00AA537D">
        <w:rPr>
          <w:spacing w:val="0"/>
          <w:kern w:val="0"/>
          <w:vertAlign w:val="superscript"/>
          <w:rtl/>
        </w:rPr>
        <w:t>)</w:t>
      </w:r>
      <w:r w:rsidRPr="00AA537D">
        <w:rPr>
          <w:spacing w:val="0"/>
          <w:kern w:val="0"/>
          <w:rtl/>
        </w:rPr>
        <w:t xml:space="preserve">. </w:t>
      </w:r>
    </w:p>
    <w:p w:rsidR="00FA6676" w:rsidRPr="00AA537D" w:rsidRDefault="00FA6676" w:rsidP="00AA537D">
      <w:pPr>
        <w:pStyle w:val="SingleTxtGA"/>
        <w:jc w:val="lowKashida"/>
        <w:rPr>
          <w:rFonts w:hint="cs"/>
          <w:spacing w:val="0"/>
          <w:kern w:val="0"/>
          <w:rtl/>
          <w:lang w:val="fr-CH"/>
        </w:rPr>
      </w:pPr>
      <w:r w:rsidRPr="00AA537D">
        <w:rPr>
          <w:spacing w:val="0"/>
          <w:kern w:val="0"/>
          <w:rtl/>
        </w:rPr>
        <w:t>3-2</w:t>
      </w:r>
      <w:r w:rsidRPr="00AA537D">
        <w:rPr>
          <w:spacing w:val="0"/>
          <w:kern w:val="0"/>
          <w:rtl/>
        </w:rPr>
        <w:tab/>
        <w:t>وي</w:t>
      </w:r>
      <w:r w:rsidRPr="00AA537D">
        <w:rPr>
          <w:rFonts w:hint="cs"/>
          <w:spacing w:val="0"/>
          <w:kern w:val="0"/>
          <w:rtl/>
        </w:rPr>
        <w:t xml:space="preserve">شير </w:t>
      </w:r>
      <w:r w:rsidRPr="00AA537D">
        <w:rPr>
          <w:spacing w:val="0"/>
          <w:kern w:val="0"/>
          <w:rtl/>
        </w:rPr>
        <w:t xml:space="preserve">أصحاب الشكوى </w:t>
      </w:r>
      <w:r w:rsidRPr="00AA537D">
        <w:rPr>
          <w:rFonts w:hint="cs"/>
          <w:spacing w:val="0"/>
          <w:kern w:val="0"/>
          <w:rtl/>
        </w:rPr>
        <w:t xml:space="preserve">أيضاً إلى </w:t>
      </w:r>
      <w:r w:rsidRPr="00AA537D">
        <w:rPr>
          <w:spacing w:val="0"/>
          <w:kern w:val="0"/>
          <w:rtl/>
        </w:rPr>
        <w:t xml:space="preserve">أن سجل أوزبكستان بشأن التعذيب وسوء المعاملة موثق </w:t>
      </w:r>
      <w:r w:rsidRPr="00AA537D">
        <w:rPr>
          <w:rFonts w:hint="cs"/>
          <w:spacing w:val="0"/>
          <w:kern w:val="0"/>
          <w:rtl/>
        </w:rPr>
        <w:t xml:space="preserve">توثيقاً </w:t>
      </w:r>
      <w:r w:rsidRPr="00AA537D">
        <w:rPr>
          <w:spacing w:val="0"/>
          <w:kern w:val="0"/>
          <w:rtl/>
        </w:rPr>
        <w:t>جيدا</w:t>
      </w:r>
      <w:r w:rsidRPr="00AA537D">
        <w:rPr>
          <w:rFonts w:hint="cs"/>
          <w:spacing w:val="0"/>
          <w:kern w:val="0"/>
          <w:rtl/>
        </w:rPr>
        <w:t>ً</w:t>
      </w:r>
      <w:r w:rsidRPr="00AA537D">
        <w:rPr>
          <w:spacing w:val="0"/>
          <w:kern w:val="0"/>
          <w:rtl/>
        </w:rPr>
        <w:t xml:space="preserve"> وأن اللجنة المعنية بحقوق الإنسان لاحظت في عام 2010 </w:t>
      </w:r>
      <w:r w:rsidRPr="00AA537D">
        <w:rPr>
          <w:rFonts w:hint="cs"/>
          <w:spacing w:val="0"/>
          <w:kern w:val="0"/>
          <w:rtl/>
        </w:rPr>
        <w:t>مع ال</w:t>
      </w:r>
      <w:r w:rsidRPr="00AA537D">
        <w:rPr>
          <w:spacing w:val="0"/>
          <w:kern w:val="0"/>
          <w:rtl/>
        </w:rPr>
        <w:t>قلق استمرار الإبلاغ عن حدوث حالات التعذيب وسوء المعاملة</w:t>
      </w:r>
      <w:r w:rsidRPr="00AA537D">
        <w:rPr>
          <w:spacing w:val="0"/>
          <w:kern w:val="0"/>
          <w:vertAlign w:val="superscript"/>
          <w:rtl/>
        </w:rPr>
        <w:t>(</w:t>
      </w:r>
      <w:r w:rsidRPr="00AA537D">
        <w:rPr>
          <w:rStyle w:val="FootnoteReference"/>
          <w:spacing w:val="0"/>
          <w:rtl/>
        </w:rPr>
        <w:footnoteReference w:id="411"/>
      </w:r>
      <w:r w:rsidRPr="00AA537D">
        <w:rPr>
          <w:spacing w:val="0"/>
          <w:kern w:val="0"/>
          <w:vertAlign w:val="superscript"/>
          <w:rtl/>
        </w:rPr>
        <w:t>)</w:t>
      </w:r>
      <w:r w:rsidRPr="00AA537D">
        <w:rPr>
          <w:spacing w:val="0"/>
          <w:kern w:val="0"/>
          <w:rtl/>
        </w:rPr>
        <w:t>.</w:t>
      </w:r>
      <w:r w:rsidRPr="00AA537D">
        <w:rPr>
          <w:rFonts w:hint="cs"/>
          <w:spacing w:val="0"/>
          <w:kern w:val="0"/>
          <w:rtl/>
        </w:rPr>
        <w:t xml:space="preserve"> </w:t>
      </w:r>
      <w:r w:rsidRPr="00AA537D">
        <w:rPr>
          <w:spacing w:val="0"/>
          <w:kern w:val="0"/>
          <w:rtl/>
        </w:rPr>
        <w:t>و</w:t>
      </w:r>
      <w:r w:rsidRPr="00AA537D">
        <w:rPr>
          <w:rFonts w:hint="cs"/>
          <w:spacing w:val="0"/>
          <w:kern w:val="0"/>
          <w:rtl/>
        </w:rPr>
        <w:t xml:space="preserve">كانت </w:t>
      </w:r>
      <w:r w:rsidRPr="00AA537D">
        <w:rPr>
          <w:spacing w:val="0"/>
          <w:kern w:val="0"/>
          <w:rtl/>
        </w:rPr>
        <w:t>الجماعة المسيحية للعمل على إلغاء التعذيب</w:t>
      </w:r>
      <w:r w:rsidRPr="00AA537D">
        <w:rPr>
          <w:rFonts w:hint="cs"/>
          <w:spacing w:val="0"/>
          <w:kern w:val="0"/>
          <w:rtl/>
        </w:rPr>
        <w:t xml:space="preserve"> </w:t>
      </w:r>
      <w:r w:rsidRPr="00AA537D">
        <w:rPr>
          <w:spacing w:val="0"/>
          <w:kern w:val="0"/>
          <w:rtl/>
        </w:rPr>
        <w:t>–</w:t>
      </w:r>
      <w:r w:rsidRPr="00AA537D">
        <w:rPr>
          <w:rFonts w:hint="cs"/>
          <w:spacing w:val="0"/>
          <w:kern w:val="0"/>
          <w:rtl/>
        </w:rPr>
        <w:t xml:space="preserve"> فرع ف</w:t>
      </w:r>
      <w:r w:rsidRPr="00AA537D">
        <w:rPr>
          <w:spacing w:val="0"/>
          <w:kern w:val="0"/>
          <w:rtl/>
        </w:rPr>
        <w:t xml:space="preserve">رنسا، التي تتولى الدفاع عن أصحاب الشكوى، </w:t>
      </w:r>
      <w:r w:rsidRPr="00AA537D">
        <w:rPr>
          <w:rFonts w:hint="cs"/>
          <w:spacing w:val="0"/>
          <w:kern w:val="0"/>
          <w:rtl/>
        </w:rPr>
        <w:t xml:space="preserve">قد تابعت </w:t>
      </w:r>
      <w:r w:rsidRPr="00AA537D">
        <w:rPr>
          <w:spacing w:val="0"/>
          <w:kern w:val="0"/>
          <w:rtl/>
        </w:rPr>
        <w:t>عن كثب العشرات من حالات ضحايا التعذيب ولاحظ</w:t>
      </w:r>
      <w:r w:rsidRPr="00AA537D">
        <w:rPr>
          <w:rFonts w:hint="cs"/>
          <w:spacing w:val="0"/>
          <w:kern w:val="0"/>
          <w:rtl/>
        </w:rPr>
        <w:t>ت</w:t>
      </w:r>
      <w:r w:rsidRPr="00AA537D">
        <w:rPr>
          <w:spacing w:val="0"/>
          <w:kern w:val="0"/>
          <w:rtl/>
        </w:rPr>
        <w:t xml:space="preserve"> أن التعذيب ما زال يُمارس بانتظام في أوزبكستان وأن المسلمين الذين يمارسون ديانتهم خارج الضوابط الرسمية للدولة </w:t>
      </w:r>
      <w:r w:rsidRPr="00AA537D">
        <w:rPr>
          <w:rFonts w:hint="cs"/>
          <w:spacing w:val="0"/>
          <w:kern w:val="0"/>
          <w:rtl/>
        </w:rPr>
        <w:t>يتعرضون كثيراً ل</w:t>
      </w:r>
      <w:r w:rsidRPr="00AA537D">
        <w:rPr>
          <w:spacing w:val="0"/>
          <w:kern w:val="0"/>
          <w:rtl/>
        </w:rPr>
        <w:t>لتعذيب وسوء المعاملة في السجن.</w:t>
      </w:r>
    </w:p>
    <w:p w:rsidR="00FA6676" w:rsidRPr="00AA537D" w:rsidRDefault="00FA6676" w:rsidP="00AA537D">
      <w:pPr>
        <w:pStyle w:val="H23GA"/>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موجز تعليقات أصحاب الشكوى على ملاحظات الدولة الطرف بشأن الأسس الموضوعية</w:t>
      </w:r>
    </w:p>
    <w:p w:rsidR="00FA6676" w:rsidRPr="00EB70BE" w:rsidRDefault="00FA6676" w:rsidP="00AA537D">
      <w:pPr>
        <w:pStyle w:val="SingleTxtGA"/>
        <w:jc w:val="lowKashida"/>
        <w:rPr>
          <w:spacing w:val="-2"/>
          <w:kern w:val="0"/>
          <w:rtl/>
        </w:rPr>
      </w:pPr>
      <w:r w:rsidRPr="00EB70BE">
        <w:rPr>
          <w:rFonts w:hint="cs"/>
          <w:spacing w:val="-2"/>
          <w:kern w:val="0"/>
          <w:rtl/>
          <w:lang w:val="fr-CH"/>
        </w:rPr>
        <w:t>4</w:t>
      </w:r>
      <w:r w:rsidRPr="00EB70BE">
        <w:rPr>
          <w:spacing w:val="-2"/>
          <w:kern w:val="0"/>
          <w:rtl/>
        </w:rPr>
        <w:t>-1</w:t>
      </w:r>
      <w:r w:rsidRPr="00EB70BE">
        <w:rPr>
          <w:spacing w:val="-2"/>
          <w:kern w:val="0"/>
          <w:rtl/>
        </w:rPr>
        <w:tab/>
        <w:t>في 24 حزيران/يونيه 2011، قدمت الدولة الطرف ملاحظاتها بشأن الأسس الموضوعية</w:t>
      </w:r>
      <w:r w:rsidRPr="00EB70BE">
        <w:rPr>
          <w:rFonts w:hint="cs"/>
          <w:spacing w:val="-2"/>
          <w:kern w:val="0"/>
          <w:rtl/>
        </w:rPr>
        <w:t xml:space="preserve"> وأبلغت اللجنة بأنها قامت فعلاً بتسليم </w:t>
      </w:r>
      <w:r w:rsidRPr="00EB70BE">
        <w:rPr>
          <w:spacing w:val="-2"/>
          <w:kern w:val="0"/>
          <w:rtl/>
        </w:rPr>
        <w:t>19 من أصحاب الشكوى</w:t>
      </w:r>
      <w:r w:rsidRPr="00EB70BE">
        <w:rPr>
          <w:rFonts w:hint="cs"/>
          <w:spacing w:val="-2"/>
          <w:kern w:val="0"/>
          <w:rtl/>
        </w:rPr>
        <w:t xml:space="preserve"> لأوزبكستان</w:t>
      </w:r>
      <w:r w:rsidRPr="00EB70BE">
        <w:rPr>
          <w:spacing w:val="-2"/>
          <w:kern w:val="0"/>
          <w:rtl/>
        </w:rPr>
        <w:t>. و</w:t>
      </w:r>
      <w:r w:rsidRPr="00EB70BE">
        <w:rPr>
          <w:rFonts w:hint="cs"/>
          <w:spacing w:val="-2"/>
          <w:kern w:val="0"/>
          <w:rtl/>
        </w:rPr>
        <w:t xml:space="preserve">أشارت الدولة الطرف إلى </w:t>
      </w:r>
      <w:r w:rsidRPr="00EB70BE">
        <w:rPr>
          <w:spacing w:val="-2"/>
          <w:kern w:val="0"/>
          <w:rtl/>
        </w:rPr>
        <w:t>أنه في الفترة من 9 حزيران/يونيه إلى 14 كانون الأول/</w:t>
      </w:r>
      <w:r w:rsidRPr="00EB70BE">
        <w:rPr>
          <w:rFonts w:hint="cs"/>
          <w:spacing w:val="-2"/>
          <w:kern w:val="0"/>
          <w:rtl/>
        </w:rPr>
        <w:t xml:space="preserve"> </w:t>
      </w:r>
      <w:r w:rsidRPr="00EB70BE">
        <w:rPr>
          <w:spacing w:val="-2"/>
          <w:kern w:val="0"/>
          <w:rtl/>
        </w:rPr>
        <w:t>ديسمبر</w:t>
      </w:r>
      <w:r w:rsidRPr="00EB70BE">
        <w:rPr>
          <w:rFonts w:hint="cs"/>
          <w:spacing w:val="-2"/>
          <w:kern w:val="0"/>
          <w:rtl/>
        </w:rPr>
        <w:t> </w:t>
      </w:r>
      <w:r w:rsidRPr="00EB70BE">
        <w:rPr>
          <w:spacing w:val="-2"/>
          <w:kern w:val="0"/>
          <w:rtl/>
        </w:rPr>
        <w:t xml:space="preserve">2010، أُلقي القبض على 19 أجنبياً صدرت في حقهم مذكرة توقيف </w:t>
      </w:r>
      <w:r w:rsidRPr="00EB70BE">
        <w:rPr>
          <w:rFonts w:hint="cs"/>
          <w:spacing w:val="-2"/>
          <w:kern w:val="0"/>
          <w:rtl/>
        </w:rPr>
        <w:t xml:space="preserve">بسبب ارتكابهم </w:t>
      </w:r>
      <w:r w:rsidRPr="00EB70BE">
        <w:rPr>
          <w:spacing w:val="-2"/>
          <w:kern w:val="0"/>
          <w:rtl/>
        </w:rPr>
        <w:t>جرائم خطيرة في أوزبكستان. وكان أربعة منهم</w:t>
      </w:r>
      <w:r w:rsidRPr="00EB70BE">
        <w:rPr>
          <w:rFonts w:hint="cs"/>
          <w:spacing w:val="-2"/>
          <w:kern w:val="0"/>
          <w:rtl/>
        </w:rPr>
        <w:t xml:space="preserve"> من </w:t>
      </w:r>
      <w:r w:rsidRPr="00EB70BE">
        <w:rPr>
          <w:spacing w:val="-2"/>
          <w:kern w:val="0"/>
          <w:rtl/>
        </w:rPr>
        <w:t xml:space="preserve">طالبي </w:t>
      </w:r>
      <w:r w:rsidRPr="00EB70BE">
        <w:rPr>
          <w:rFonts w:hint="cs"/>
          <w:spacing w:val="-2"/>
          <w:kern w:val="0"/>
          <w:rtl/>
        </w:rPr>
        <w:t>ال</w:t>
      </w:r>
      <w:r w:rsidRPr="00EB70BE">
        <w:rPr>
          <w:spacing w:val="-2"/>
          <w:kern w:val="0"/>
          <w:rtl/>
        </w:rPr>
        <w:t xml:space="preserve">لجوء </w:t>
      </w:r>
      <w:r w:rsidRPr="00EB70BE">
        <w:rPr>
          <w:rFonts w:hint="cs"/>
          <w:spacing w:val="-2"/>
          <w:kern w:val="0"/>
          <w:rtl/>
        </w:rPr>
        <w:t xml:space="preserve">وسبق أن منحت مفوضية الأمم المتحدة السامية لشؤون اللاجئين للخمسة عشر الباقين مركز اللاجئ. </w:t>
      </w:r>
      <w:r w:rsidRPr="00EB70BE">
        <w:rPr>
          <w:spacing w:val="-2"/>
          <w:kern w:val="0"/>
          <w:rtl/>
        </w:rPr>
        <w:t>واعتباراً من</w:t>
      </w:r>
      <w:r w:rsidRPr="00EB70BE">
        <w:rPr>
          <w:rFonts w:hint="cs"/>
          <w:spacing w:val="-2"/>
          <w:kern w:val="0"/>
          <w:rtl/>
        </w:rPr>
        <w:t> </w:t>
      </w:r>
      <w:r w:rsidRPr="00EB70BE">
        <w:rPr>
          <w:spacing w:val="-2"/>
          <w:kern w:val="0"/>
          <w:rtl/>
        </w:rPr>
        <w:t xml:space="preserve">1 كانون الثاني/يناير 2010، بدأ تنظيم المسائل المتصلة بطالبي اللجوء واللاجئين يخضع لقانون اللاجئين الجديد ومن ثم سُحب مركز اللاجئ </w:t>
      </w:r>
      <w:r w:rsidRPr="00EB70BE">
        <w:rPr>
          <w:rFonts w:hint="cs"/>
          <w:spacing w:val="-2"/>
          <w:kern w:val="0"/>
          <w:rtl/>
        </w:rPr>
        <w:t>الذي منحته</w:t>
      </w:r>
      <w:r w:rsidRPr="00EB70BE">
        <w:rPr>
          <w:spacing w:val="-2"/>
          <w:kern w:val="0"/>
          <w:rtl/>
        </w:rPr>
        <w:t xml:space="preserve"> المفوضية </w:t>
      </w:r>
      <w:r w:rsidRPr="00EB70BE">
        <w:rPr>
          <w:rFonts w:hint="cs"/>
          <w:spacing w:val="-2"/>
          <w:kern w:val="0"/>
          <w:rtl/>
        </w:rPr>
        <w:t>من قبل</w:t>
      </w:r>
      <w:r w:rsidRPr="00EB70BE">
        <w:rPr>
          <w:spacing w:val="-2"/>
          <w:kern w:val="0"/>
          <w:rtl/>
        </w:rPr>
        <w:t>. واستعرضت لجنة خاصة في إطار وزارة العمل والشؤون الاجتماعية (وزارة الداخلية اعتباراً من</w:t>
      </w:r>
      <w:r w:rsidRPr="00EB70BE">
        <w:rPr>
          <w:rFonts w:hint="cs"/>
          <w:spacing w:val="-2"/>
          <w:kern w:val="0"/>
          <w:rtl/>
        </w:rPr>
        <w:t> </w:t>
      </w:r>
      <w:r w:rsidRPr="00EB70BE">
        <w:rPr>
          <w:spacing w:val="-2"/>
          <w:kern w:val="0"/>
          <w:rtl/>
        </w:rPr>
        <w:t xml:space="preserve">30 أيلول/سبتمبر 2010) </w:t>
      </w:r>
      <w:r w:rsidRPr="00EB70BE">
        <w:rPr>
          <w:rFonts w:hint="cs"/>
          <w:spacing w:val="-2"/>
          <w:kern w:val="0"/>
          <w:rtl/>
        </w:rPr>
        <w:t xml:space="preserve">مسألة </w:t>
      </w:r>
      <w:r w:rsidRPr="00EB70BE">
        <w:rPr>
          <w:spacing w:val="-2"/>
          <w:kern w:val="0"/>
          <w:rtl/>
        </w:rPr>
        <w:t xml:space="preserve">مركز اللاجئ </w:t>
      </w:r>
      <w:r w:rsidRPr="00EB70BE">
        <w:rPr>
          <w:rFonts w:hint="cs"/>
          <w:spacing w:val="-2"/>
          <w:kern w:val="0"/>
          <w:rtl/>
        </w:rPr>
        <w:t>الممنوح</w:t>
      </w:r>
      <w:r w:rsidRPr="00EB70BE">
        <w:rPr>
          <w:spacing w:val="-2"/>
          <w:kern w:val="0"/>
          <w:rtl/>
        </w:rPr>
        <w:t xml:space="preserve"> </w:t>
      </w:r>
      <w:r w:rsidRPr="00EB70BE">
        <w:rPr>
          <w:rFonts w:hint="cs"/>
          <w:spacing w:val="-2"/>
          <w:kern w:val="0"/>
          <w:rtl/>
        </w:rPr>
        <w:t>ل</w:t>
      </w:r>
      <w:r w:rsidRPr="00EB70BE">
        <w:rPr>
          <w:spacing w:val="-2"/>
          <w:kern w:val="0"/>
          <w:rtl/>
        </w:rPr>
        <w:t xml:space="preserve">أصحاب الشكوى التسعة عشر. وشارك خبير من المفوضية في جنيف في الفحص وكان بإمكانه </w:t>
      </w:r>
      <w:r w:rsidRPr="00EB70BE">
        <w:rPr>
          <w:rFonts w:hint="cs"/>
          <w:spacing w:val="-2"/>
          <w:kern w:val="0"/>
          <w:rtl/>
        </w:rPr>
        <w:t>حضور</w:t>
      </w:r>
      <w:r w:rsidRPr="00EB70BE">
        <w:rPr>
          <w:spacing w:val="-2"/>
          <w:kern w:val="0"/>
          <w:rtl/>
        </w:rPr>
        <w:t xml:space="preserve"> جميع الاجتماعات و</w:t>
      </w:r>
      <w:r w:rsidRPr="00EB70BE">
        <w:rPr>
          <w:rFonts w:hint="cs"/>
          <w:spacing w:val="-2"/>
          <w:kern w:val="0"/>
          <w:rtl/>
        </w:rPr>
        <w:t xml:space="preserve">الاطلاع على جميع </w:t>
      </w:r>
      <w:r w:rsidRPr="00EB70BE">
        <w:rPr>
          <w:spacing w:val="-2"/>
          <w:kern w:val="0"/>
          <w:rtl/>
        </w:rPr>
        <w:t xml:space="preserve">الوثائق. واستعرضت اللجنة أيضاً المواد التي قدمتها أوزبكستان. ورفضت اللجنة طلبات اللجوء وسحبت مركز </w:t>
      </w:r>
      <w:r w:rsidRPr="00EB70BE">
        <w:rPr>
          <w:rFonts w:hint="cs"/>
          <w:spacing w:val="-2"/>
          <w:kern w:val="0"/>
          <w:rtl/>
        </w:rPr>
        <w:t>اللاجئ </w:t>
      </w:r>
      <w:r w:rsidRPr="00EB70BE">
        <w:rPr>
          <w:spacing w:val="-2"/>
          <w:kern w:val="0"/>
          <w:rtl/>
        </w:rPr>
        <w:t>من جميع أصحاب الشكوى التسعة عشر. وفي الفترة من 10 إلى</w:t>
      </w:r>
      <w:r w:rsidRPr="00EB70BE">
        <w:rPr>
          <w:rFonts w:hint="cs"/>
          <w:spacing w:val="-2"/>
          <w:kern w:val="0"/>
          <w:rtl/>
        </w:rPr>
        <w:t> 29</w:t>
      </w:r>
      <w:r w:rsidRPr="00EB70BE">
        <w:rPr>
          <w:spacing w:val="-2"/>
          <w:kern w:val="0"/>
          <w:rtl/>
        </w:rPr>
        <w:t xml:space="preserve"> كانون الأول/ديسمبر 2010، استعرضت المحكمة المحلية رقم 2 في</w:t>
      </w:r>
      <w:r w:rsidRPr="00EB70BE">
        <w:rPr>
          <w:rFonts w:hint="cs"/>
          <w:spacing w:val="-2"/>
          <w:kern w:val="0"/>
          <w:rtl/>
        </w:rPr>
        <w:t xml:space="preserve"> أمالينسك بمقاطعة </w:t>
      </w:r>
      <w:r w:rsidRPr="00EB70BE">
        <w:rPr>
          <w:spacing w:val="-2"/>
          <w:kern w:val="0"/>
          <w:rtl/>
        </w:rPr>
        <w:t>ألماتي طلبات أصحاب الشكوى و</w:t>
      </w:r>
      <w:r w:rsidRPr="00EB70BE">
        <w:rPr>
          <w:rFonts w:hint="cs"/>
          <w:spacing w:val="-2"/>
          <w:kern w:val="0"/>
          <w:rtl/>
        </w:rPr>
        <w:t>أيدت</w:t>
      </w:r>
      <w:r w:rsidRPr="00EB70BE">
        <w:rPr>
          <w:spacing w:val="-2"/>
          <w:kern w:val="0"/>
          <w:rtl/>
        </w:rPr>
        <w:t xml:space="preserve"> قرار اللجنة الرافض </w:t>
      </w:r>
      <w:r w:rsidRPr="00EB70BE">
        <w:rPr>
          <w:rFonts w:hint="cs"/>
          <w:spacing w:val="-2"/>
          <w:kern w:val="0"/>
          <w:rtl/>
        </w:rPr>
        <w:t>لطلبات اللجوء</w:t>
      </w:r>
      <w:r w:rsidRPr="00EB70BE">
        <w:rPr>
          <w:spacing w:val="-2"/>
          <w:kern w:val="0"/>
          <w:rtl/>
        </w:rPr>
        <w:t>. وفي</w:t>
      </w:r>
      <w:r w:rsidRPr="00EB70BE">
        <w:rPr>
          <w:rFonts w:hint="cs"/>
          <w:spacing w:val="-2"/>
          <w:kern w:val="0"/>
          <w:rtl/>
        </w:rPr>
        <w:t> </w:t>
      </w:r>
      <w:r w:rsidRPr="00EB70BE">
        <w:rPr>
          <w:spacing w:val="-2"/>
          <w:kern w:val="0"/>
          <w:rtl/>
        </w:rPr>
        <w:t xml:space="preserve">الفترة من 2 شباط/فبراير إلى 29 آذار/مارس 2011، رفضت محكمة مدينة ألماتي </w:t>
      </w:r>
      <w:r w:rsidRPr="00EB70BE">
        <w:rPr>
          <w:rFonts w:hint="cs"/>
          <w:spacing w:val="-2"/>
          <w:kern w:val="0"/>
          <w:rtl/>
        </w:rPr>
        <w:t xml:space="preserve">الاستئناف المقدم من </w:t>
      </w:r>
      <w:r w:rsidRPr="00EB70BE">
        <w:rPr>
          <w:spacing w:val="-2"/>
          <w:kern w:val="0"/>
          <w:rtl/>
        </w:rPr>
        <w:t xml:space="preserve">أصحاب الشكوى. ورفضت </w:t>
      </w:r>
      <w:r w:rsidRPr="00EB70BE">
        <w:rPr>
          <w:rFonts w:hint="cs"/>
          <w:spacing w:val="-2"/>
          <w:kern w:val="0"/>
          <w:rtl/>
        </w:rPr>
        <w:t>محكمة النقض ال</w:t>
      </w:r>
      <w:r w:rsidRPr="00EB70BE">
        <w:rPr>
          <w:spacing w:val="-2"/>
          <w:kern w:val="0"/>
          <w:rtl/>
        </w:rPr>
        <w:t xml:space="preserve">طعون </w:t>
      </w:r>
      <w:r w:rsidRPr="00EB70BE">
        <w:rPr>
          <w:rFonts w:hint="cs"/>
          <w:spacing w:val="-2"/>
          <w:kern w:val="0"/>
          <w:rtl/>
        </w:rPr>
        <w:t xml:space="preserve">المقدمة من </w:t>
      </w:r>
      <w:r w:rsidRPr="00EB70BE">
        <w:rPr>
          <w:spacing w:val="-2"/>
          <w:kern w:val="0"/>
          <w:rtl/>
        </w:rPr>
        <w:t>ثمانية</w:t>
      </w:r>
      <w:r w:rsidRPr="00EB70BE">
        <w:rPr>
          <w:rFonts w:hint="cs"/>
          <w:spacing w:val="-2"/>
          <w:kern w:val="0"/>
          <w:rtl/>
        </w:rPr>
        <w:t> </w:t>
      </w:r>
      <w:r w:rsidRPr="00EB70BE">
        <w:rPr>
          <w:spacing w:val="-2"/>
          <w:kern w:val="0"/>
          <w:rtl/>
        </w:rPr>
        <w:t>وعشرين من أصحاب الشكوى</w:t>
      </w:r>
      <w:r w:rsidRPr="00EB70BE">
        <w:rPr>
          <w:spacing w:val="-2"/>
          <w:kern w:val="0"/>
          <w:vertAlign w:val="superscript"/>
          <w:rtl/>
        </w:rPr>
        <w:t>(</w:t>
      </w:r>
      <w:r w:rsidRPr="00EB70BE">
        <w:rPr>
          <w:rStyle w:val="FootnoteReference"/>
          <w:spacing w:val="-2"/>
          <w:rtl/>
        </w:rPr>
        <w:footnoteReference w:id="412"/>
      </w:r>
      <w:r w:rsidRPr="00EB70BE">
        <w:rPr>
          <w:spacing w:val="-2"/>
          <w:kern w:val="0"/>
          <w:vertAlign w:val="superscript"/>
          <w:rtl/>
        </w:rPr>
        <w:t>)</w:t>
      </w:r>
      <w:r w:rsidRPr="00EB70BE">
        <w:rPr>
          <w:spacing w:val="-2"/>
          <w:kern w:val="0"/>
          <w:rtl/>
        </w:rPr>
        <w:t xml:space="preserve"> وأصبح قرار اللجنة نهائياً. ورفع أصحاب الشكوى</w:t>
      </w:r>
      <w:r w:rsidRPr="00EB70BE">
        <w:rPr>
          <w:rFonts w:hint="cs"/>
          <w:spacing w:val="-2"/>
          <w:kern w:val="0"/>
          <w:rtl/>
        </w:rPr>
        <w:t> </w:t>
      </w:r>
      <w:r w:rsidRPr="00EB70BE">
        <w:rPr>
          <w:spacing w:val="-2"/>
          <w:kern w:val="0"/>
          <w:rtl/>
        </w:rPr>
        <w:t>أيضاً</w:t>
      </w:r>
      <w:r w:rsidRPr="00EB70BE">
        <w:rPr>
          <w:rFonts w:hint="cs"/>
          <w:spacing w:val="-2"/>
          <w:kern w:val="0"/>
          <w:rtl/>
        </w:rPr>
        <w:t> </w:t>
      </w:r>
      <w:r w:rsidRPr="00EB70BE">
        <w:rPr>
          <w:spacing w:val="-2"/>
          <w:kern w:val="0"/>
          <w:rtl/>
        </w:rPr>
        <w:t xml:space="preserve">دعاوى بموجب المادة 531-1 من قانون الإجراءات الجنائية ضد قرار المدعي العام تسليمهم إلى أوزبكستان. وفي 15 آذار/مارس 2011، رفضت محكمة ألمالينسك شكواهم. ورفضت محكمة مدينة ألماتي أيضاً طعنهم وأصبح قرار المدعي العام </w:t>
      </w:r>
      <w:r w:rsidRPr="00EB70BE">
        <w:rPr>
          <w:rFonts w:hint="cs"/>
          <w:spacing w:val="-2"/>
          <w:kern w:val="0"/>
          <w:rtl/>
        </w:rPr>
        <w:t>ب</w:t>
      </w:r>
      <w:r w:rsidRPr="00EB70BE">
        <w:rPr>
          <w:spacing w:val="-2"/>
          <w:kern w:val="0"/>
          <w:rtl/>
        </w:rPr>
        <w:t xml:space="preserve">تسليمهم نهائياً. </w:t>
      </w:r>
    </w:p>
    <w:p w:rsidR="00FA6676" w:rsidRPr="00AA537D" w:rsidRDefault="00FA6676" w:rsidP="00AA537D">
      <w:pPr>
        <w:pStyle w:val="SingleTxtGA"/>
        <w:jc w:val="lowKashida"/>
        <w:rPr>
          <w:spacing w:val="0"/>
          <w:kern w:val="0"/>
          <w:rtl/>
        </w:rPr>
      </w:pPr>
      <w:r w:rsidRPr="00AA537D">
        <w:rPr>
          <w:rFonts w:hint="cs"/>
          <w:spacing w:val="0"/>
          <w:kern w:val="0"/>
          <w:rtl/>
        </w:rPr>
        <w:t>4</w:t>
      </w:r>
      <w:r w:rsidRPr="00AA537D">
        <w:rPr>
          <w:spacing w:val="0"/>
          <w:kern w:val="0"/>
          <w:rtl/>
        </w:rPr>
        <w:t>-</w:t>
      </w:r>
      <w:r w:rsidRPr="00AA537D">
        <w:rPr>
          <w:rFonts w:hint="cs"/>
          <w:spacing w:val="0"/>
          <w:kern w:val="0"/>
          <w:rtl/>
        </w:rPr>
        <w:t>2</w:t>
      </w:r>
      <w:r w:rsidRPr="00AA537D">
        <w:rPr>
          <w:spacing w:val="0"/>
          <w:kern w:val="0"/>
          <w:rtl/>
        </w:rPr>
        <w:tab/>
        <w:t xml:space="preserve">وتدعي الدولة الطرف أن ممثلاً للمفوضية </w:t>
      </w:r>
      <w:r w:rsidRPr="00AA537D">
        <w:rPr>
          <w:rFonts w:hint="cs"/>
          <w:spacing w:val="0"/>
          <w:kern w:val="0"/>
          <w:rtl/>
        </w:rPr>
        <w:t xml:space="preserve">السامية لشؤون اللاجئين ومفوضية </w:t>
      </w:r>
      <w:r w:rsidRPr="00AA537D">
        <w:rPr>
          <w:spacing w:val="0"/>
          <w:kern w:val="0"/>
          <w:rtl/>
        </w:rPr>
        <w:t xml:space="preserve">حقوق الإنسان في الدولة الطرف قام برصد الإجراءات القضائية. ولم تُقدم إلى اللجنة أي شكوى بشأن الإجراءات. وكانت الإجراءات شفافة ونزيهة واتبعت القواعد الدولية، بما فيها اتفاقية عام 1951 الخاصة بوضع اللاجئين. وفُحصت طلبات أصحاب الشكوى </w:t>
      </w:r>
      <w:r w:rsidRPr="00AA537D">
        <w:rPr>
          <w:rFonts w:hint="cs"/>
          <w:spacing w:val="0"/>
          <w:kern w:val="0"/>
          <w:rtl/>
        </w:rPr>
        <w:t xml:space="preserve">للحصول على </w:t>
      </w:r>
      <w:r w:rsidRPr="00AA537D">
        <w:rPr>
          <w:spacing w:val="0"/>
          <w:kern w:val="0"/>
          <w:rtl/>
        </w:rPr>
        <w:t>مركز اللاجئ عملاً بقانون اللاجئين وقدم أصحاب الشكوى القرار السلبي إلى جميع ا</w:t>
      </w:r>
      <w:r w:rsidRPr="00AA537D">
        <w:rPr>
          <w:rFonts w:hint="cs"/>
          <w:spacing w:val="0"/>
          <w:kern w:val="0"/>
          <w:rtl/>
        </w:rPr>
        <w:t>لمحاكم</w:t>
      </w:r>
      <w:r w:rsidRPr="00AA537D">
        <w:rPr>
          <w:spacing w:val="0"/>
          <w:kern w:val="0"/>
          <w:rtl/>
        </w:rPr>
        <w:t xml:space="preserve">، أي </w:t>
      </w:r>
      <w:r w:rsidRPr="00AA537D">
        <w:rPr>
          <w:rFonts w:hint="cs"/>
          <w:spacing w:val="0"/>
          <w:kern w:val="0"/>
          <w:rtl/>
        </w:rPr>
        <w:t>محاكم الدرجة الأولى</w:t>
      </w:r>
      <w:r w:rsidRPr="00AA537D">
        <w:rPr>
          <w:spacing w:val="0"/>
          <w:kern w:val="0"/>
          <w:rtl/>
        </w:rPr>
        <w:t xml:space="preserve"> والاستئناف والنقض. وكان التمثيل القانوني لأصحاب الشكوى م</w:t>
      </w:r>
      <w:r w:rsidRPr="00AA537D">
        <w:rPr>
          <w:rFonts w:hint="cs"/>
          <w:spacing w:val="0"/>
          <w:kern w:val="0"/>
          <w:rtl/>
        </w:rPr>
        <w:t>كفولا</w:t>
      </w:r>
      <w:r w:rsidRPr="00AA537D">
        <w:rPr>
          <w:spacing w:val="0"/>
          <w:kern w:val="0"/>
          <w:rtl/>
        </w:rPr>
        <w:t>ً أمام جميع الهيئات. واستند قرار اللجنة المعنية باللاجئين إلى كون أصحاب الشكوى سيشكلون خطراً على الدولة الطرف ويمكن أن يتسببوا في</w:t>
      </w:r>
      <w:r w:rsidRPr="00AA537D">
        <w:rPr>
          <w:rFonts w:hint="cs"/>
          <w:spacing w:val="0"/>
          <w:kern w:val="0"/>
          <w:rtl/>
        </w:rPr>
        <w:t> </w:t>
      </w:r>
      <w:r w:rsidRPr="00AA537D">
        <w:rPr>
          <w:spacing w:val="0"/>
          <w:kern w:val="0"/>
          <w:rtl/>
        </w:rPr>
        <w:t xml:space="preserve">أضرار هامة للأمن في بلدان أخرى. ولم </w:t>
      </w:r>
      <w:r w:rsidRPr="00AA537D">
        <w:rPr>
          <w:rFonts w:hint="cs"/>
          <w:spacing w:val="0"/>
          <w:kern w:val="0"/>
          <w:rtl/>
        </w:rPr>
        <w:t>يحصل</w:t>
      </w:r>
      <w:r w:rsidRPr="00AA537D">
        <w:rPr>
          <w:spacing w:val="0"/>
          <w:kern w:val="0"/>
          <w:rtl/>
        </w:rPr>
        <w:t xml:space="preserve"> أصحاب الشكوى </w:t>
      </w:r>
      <w:r w:rsidRPr="00AA537D">
        <w:rPr>
          <w:rFonts w:hint="cs"/>
          <w:spacing w:val="0"/>
          <w:kern w:val="0"/>
          <w:rtl/>
        </w:rPr>
        <w:t xml:space="preserve">على </w:t>
      </w:r>
      <w:r w:rsidRPr="00AA537D">
        <w:rPr>
          <w:spacing w:val="0"/>
          <w:kern w:val="0"/>
          <w:rtl/>
        </w:rPr>
        <w:t>مركز اللاجئ عملاً بالمادة 1(واو)(ج) من اتفاقية عام 1951 الخاصة بوضع اللاجئين. وتدعي الدولة الطرف علاوة على ذلك أن أوزبكستان طرف في الإعلان العالمي لحقوق الإنسان، والعهد الدولي الخاص بالحقوق المدنية والسياسية، واتفاقية مناهضة التعذيب، ومن ثم فإن التحقيق الجنائي بشأن أصحاب الشكوى سيُجرى وفقاً للقانون الوطني لأوزبكستان والتزاماتها الدولية.</w:t>
      </w:r>
    </w:p>
    <w:p w:rsidR="00FA6676" w:rsidRPr="00AA537D" w:rsidRDefault="00FA6676" w:rsidP="00EB70BE">
      <w:pPr>
        <w:pStyle w:val="SingleTxtGA"/>
        <w:jc w:val="lowKashida"/>
        <w:rPr>
          <w:spacing w:val="0"/>
          <w:kern w:val="0"/>
          <w:rtl/>
        </w:rPr>
      </w:pPr>
      <w:r w:rsidRPr="00AA537D">
        <w:rPr>
          <w:rFonts w:hint="cs"/>
          <w:spacing w:val="0"/>
          <w:kern w:val="0"/>
          <w:rtl/>
        </w:rPr>
        <w:t>4</w:t>
      </w:r>
      <w:r w:rsidRPr="00AA537D">
        <w:rPr>
          <w:spacing w:val="0"/>
          <w:kern w:val="0"/>
          <w:rtl/>
        </w:rPr>
        <w:t>-</w:t>
      </w:r>
      <w:r w:rsidRPr="00AA537D">
        <w:rPr>
          <w:rFonts w:hint="cs"/>
          <w:spacing w:val="0"/>
          <w:kern w:val="0"/>
          <w:rtl/>
        </w:rPr>
        <w:t>3</w:t>
      </w:r>
      <w:r w:rsidRPr="00AA537D">
        <w:rPr>
          <w:spacing w:val="0"/>
          <w:kern w:val="0"/>
          <w:rtl/>
        </w:rPr>
        <w:tab/>
        <w:t>و</w:t>
      </w:r>
      <w:r w:rsidRPr="00AA537D">
        <w:rPr>
          <w:rFonts w:hint="cs"/>
          <w:spacing w:val="0"/>
          <w:kern w:val="0"/>
          <w:rtl/>
        </w:rPr>
        <w:t xml:space="preserve">قد </w:t>
      </w:r>
      <w:r w:rsidRPr="00AA537D">
        <w:rPr>
          <w:spacing w:val="0"/>
          <w:kern w:val="0"/>
          <w:rtl/>
        </w:rPr>
        <w:t>سُلّم أصحاب الشكوى عملاً ب</w:t>
      </w:r>
      <w:r w:rsidRPr="00AA537D">
        <w:rPr>
          <w:rFonts w:hint="cs"/>
          <w:spacing w:val="0"/>
          <w:kern w:val="0"/>
          <w:rtl/>
        </w:rPr>
        <w:t>ات</w:t>
      </w:r>
      <w:r w:rsidRPr="00AA537D">
        <w:rPr>
          <w:spacing w:val="0"/>
          <w:kern w:val="0"/>
          <w:rtl/>
        </w:rPr>
        <w:t>فاقية مينسك</w:t>
      </w:r>
      <w:r w:rsidRPr="00AA537D">
        <w:rPr>
          <w:rFonts w:hint="cs"/>
          <w:spacing w:val="0"/>
          <w:kern w:val="0"/>
          <w:rtl/>
        </w:rPr>
        <w:t>.</w:t>
      </w:r>
      <w:r w:rsidRPr="00AA537D">
        <w:rPr>
          <w:spacing w:val="0"/>
          <w:kern w:val="0"/>
          <w:rtl/>
        </w:rPr>
        <w:t xml:space="preserve"> وتعهدت السلطات الأوزبكية باحترام حقوقهم وحرياتهم، وبأ</w:t>
      </w:r>
      <w:r w:rsidRPr="00AA537D">
        <w:rPr>
          <w:rFonts w:hint="cs"/>
          <w:spacing w:val="0"/>
          <w:kern w:val="0"/>
          <w:rtl/>
        </w:rPr>
        <w:t>نهم لن</w:t>
      </w:r>
      <w:r w:rsidRPr="00AA537D">
        <w:rPr>
          <w:spacing w:val="0"/>
          <w:kern w:val="0"/>
          <w:rtl/>
        </w:rPr>
        <w:t xml:space="preserve"> يتعرضوا لأي تعذيب أو معاملة قاسية أو لا</w:t>
      </w:r>
      <w:r w:rsidRPr="00AA537D">
        <w:rPr>
          <w:rFonts w:hint="cs"/>
          <w:spacing w:val="0"/>
          <w:kern w:val="0"/>
          <w:rtl/>
        </w:rPr>
        <w:t xml:space="preserve"> </w:t>
      </w:r>
      <w:r w:rsidRPr="00AA537D">
        <w:rPr>
          <w:spacing w:val="0"/>
          <w:kern w:val="0"/>
          <w:rtl/>
        </w:rPr>
        <w:t>إنسانية أو</w:t>
      </w:r>
      <w:r w:rsidR="00EB70BE">
        <w:rPr>
          <w:rFonts w:hint="cs"/>
          <w:spacing w:val="0"/>
          <w:kern w:val="0"/>
          <w:rtl/>
        </w:rPr>
        <w:t> </w:t>
      </w:r>
      <w:r w:rsidRPr="00AA537D">
        <w:rPr>
          <w:spacing w:val="0"/>
          <w:kern w:val="0"/>
          <w:rtl/>
        </w:rPr>
        <w:t xml:space="preserve">مهينة. </w:t>
      </w:r>
      <w:r w:rsidRPr="00AA537D">
        <w:rPr>
          <w:rFonts w:hint="cs"/>
          <w:spacing w:val="0"/>
          <w:kern w:val="0"/>
          <w:rtl/>
        </w:rPr>
        <w:t>و</w:t>
      </w:r>
      <w:r w:rsidRPr="00AA537D">
        <w:rPr>
          <w:spacing w:val="0"/>
          <w:kern w:val="0"/>
          <w:rtl/>
        </w:rPr>
        <w:t xml:space="preserve">لذلك، تدعي الدولة الطرف أن البلاغ المعروض على </w:t>
      </w:r>
      <w:r w:rsidRPr="00AA537D">
        <w:rPr>
          <w:rFonts w:hint="cs"/>
          <w:spacing w:val="0"/>
          <w:kern w:val="0"/>
          <w:rtl/>
        </w:rPr>
        <w:t>ال</w:t>
      </w:r>
      <w:r w:rsidRPr="00AA537D">
        <w:rPr>
          <w:spacing w:val="0"/>
          <w:kern w:val="0"/>
          <w:rtl/>
        </w:rPr>
        <w:t>لجنة لا يستند إلى أسس</w:t>
      </w:r>
      <w:r w:rsidR="00EB70BE">
        <w:rPr>
          <w:rFonts w:hint="cs"/>
          <w:spacing w:val="0"/>
          <w:kern w:val="0"/>
          <w:rtl/>
        </w:rPr>
        <w:t> </w:t>
      </w:r>
      <w:r w:rsidRPr="00AA537D">
        <w:rPr>
          <w:spacing w:val="0"/>
          <w:kern w:val="0"/>
          <w:rtl/>
        </w:rPr>
        <w:t>موضوعية.</w:t>
      </w:r>
    </w:p>
    <w:p w:rsidR="00FA6676" w:rsidRPr="00AA537D" w:rsidRDefault="00FA6676" w:rsidP="00AA537D">
      <w:pPr>
        <w:pStyle w:val="H23GA"/>
        <w:jc w:val="lowKashida"/>
        <w:rPr>
          <w:spacing w:val="0"/>
          <w:kern w:val="0"/>
        </w:rPr>
      </w:pPr>
      <w:r w:rsidRPr="00AA537D">
        <w:rPr>
          <w:rFonts w:hint="cs"/>
          <w:spacing w:val="0"/>
          <w:kern w:val="0"/>
          <w:rtl/>
        </w:rPr>
        <w:tab/>
      </w:r>
      <w:r w:rsidRPr="00AA537D">
        <w:rPr>
          <w:rFonts w:hint="cs"/>
          <w:spacing w:val="0"/>
          <w:kern w:val="0"/>
          <w:rtl/>
        </w:rPr>
        <w:tab/>
        <w:t xml:space="preserve">موجز </w:t>
      </w:r>
      <w:r w:rsidRPr="00AA537D">
        <w:rPr>
          <w:spacing w:val="0"/>
          <w:kern w:val="0"/>
          <w:rtl/>
        </w:rPr>
        <w:t>تعليق</w:t>
      </w:r>
      <w:r w:rsidRPr="00AA537D">
        <w:rPr>
          <w:rFonts w:hint="cs"/>
          <w:spacing w:val="0"/>
          <w:kern w:val="0"/>
          <w:rtl/>
        </w:rPr>
        <w:t>ات أصحاب الشكوى على ملاحظات الدولة الطرف بشأن الأسس الموضوعية</w:t>
      </w:r>
    </w:p>
    <w:p w:rsidR="00FA6676" w:rsidRPr="00AA537D" w:rsidRDefault="00FA6676" w:rsidP="00AA537D">
      <w:pPr>
        <w:pStyle w:val="SingleTxtGA"/>
        <w:jc w:val="lowKashida"/>
        <w:rPr>
          <w:spacing w:val="0"/>
          <w:kern w:val="0"/>
          <w:rtl/>
        </w:rPr>
      </w:pPr>
      <w:r w:rsidRPr="00AA537D">
        <w:rPr>
          <w:rFonts w:hint="cs"/>
          <w:spacing w:val="0"/>
          <w:kern w:val="0"/>
          <w:rtl/>
        </w:rPr>
        <w:t>5</w:t>
      </w:r>
      <w:r w:rsidRPr="00AA537D">
        <w:rPr>
          <w:spacing w:val="0"/>
          <w:kern w:val="0"/>
          <w:rtl/>
        </w:rPr>
        <w:t>-1</w:t>
      </w:r>
      <w:r w:rsidRPr="00AA537D">
        <w:rPr>
          <w:spacing w:val="0"/>
          <w:kern w:val="0"/>
          <w:rtl/>
        </w:rPr>
        <w:tab/>
        <w:t xml:space="preserve">في 5 آب/أغسطس 2011، </w:t>
      </w:r>
      <w:r w:rsidRPr="00AA537D">
        <w:rPr>
          <w:rFonts w:hint="cs"/>
          <w:spacing w:val="0"/>
          <w:kern w:val="0"/>
          <w:rtl/>
        </w:rPr>
        <w:t xml:space="preserve">لاحظت </w:t>
      </w:r>
      <w:r w:rsidRPr="00AA537D">
        <w:rPr>
          <w:spacing w:val="0"/>
          <w:kern w:val="0"/>
          <w:rtl/>
        </w:rPr>
        <w:t>محامية أصحاب الشكوى</w:t>
      </w:r>
      <w:r w:rsidRPr="00AA537D">
        <w:rPr>
          <w:rFonts w:hint="cs"/>
          <w:spacing w:val="0"/>
          <w:kern w:val="0"/>
          <w:rtl/>
        </w:rPr>
        <w:t>،</w:t>
      </w:r>
      <w:r w:rsidRPr="00AA537D">
        <w:rPr>
          <w:spacing w:val="0"/>
          <w:kern w:val="0"/>
          <w:rtl/>
        </w:rPr>
        <w:t xml:space="preserve"> أولاً، أن الدولة الطرف تشير إلى 19 من أصحاب الشكوى فقط من أصل 29. و</w:t>
      </w:r>
      <w:r w:rsidRPr="00AA537D">
        <w:rPr>
          <w:rFonts w:hint="cs"/>
          <w:spacing w:val="0"/>
          <w:kern w:val="0"/>
          <w:rtl/>
        </w:rPr>
        <w:t xml:space="preserve">كررت أيضاً </w:t>
      </w:r>
      <w:r w:rsidRPr="00AA537D">
        <w:rPr>
          <w:spacing w:val="0"/>
          <w:kern w:val="0"/>
          <w:rtl/>
        </w:rPr>
        <w:t>رأيها القائل بأن سبل الانتصاف المتاحة لأصحاب الشكوى في سياق طلبات اللجوء التي قدموها غير فعالة</w:t>
      </w:r>
      <w:r w:rsidRPr="00AA537D">
        <w:rPr>
          <w:spacing w:val="0"/>
          <w:kern w:val="0"/>
          <w:vertAlign w:val="superscript"/>
          <w:rtl/>
        </w:rPr>
        <w:t>(</w:t>
      </w:r>
      <w:r w:rsidRPr="00AA537D">
        <w:rPr>
          <w:rStyle w:val="FootnoteReference"/>
          <w:spacing w:val="0"/>
          <w:rtl/>
        </w:rPr>
        <w:footnoteReference w:id="413"/>
      </w:r>
      <w:r w:rsidRPr="00AA537D">
        <w:rPr>
          <w:spacing w:val="0"/>
          <w:kern w:val="0"/>
          <w:vertAlign w:val="superscript"/>
          <w:rtl/>
        </w:rPr>
        <w:t>)</w:t>
      </w:r>
      <w:r w:rsidRPr="00AA537D">
        <w:rPr>
          <w:spacing w:val="0"/>
          <w:kern w:val="0"/>
          <w:rtl/>
        </w:rPr>
        <w:t>. ولاحظ</w:t>
      </w:r>
      <w:r w:rsidRPr="00AA537D">
        <w:rPr>
          <w:rFonts w:hint="cs"/>
          <w:spacing w:val="0"/>
          <w:kern w:val="0"/>
          <w:rtl/>
        </w:rPr>
        <w:t>ت</w:t>
      </w:r>
      <w:r w:rsidRPr="00AA537D">
        <w:rPr>
          <w:spacing w:val="0"/>
          <w:kern w:val="0"/>
          <w:rtl/>
        </w:rPr>
        <w:t xml:space="preserve"> أن طلبات اللجوء التي قدمها أصحاب الشكوى رُفضت، وفقاً للدولة الطرف، على أساس </w:t>
      </w:r>
      <w:r w:rsidRPr="00AA537D">
        <w:rPr>
          <w:rFonts w:hint="cs"/>
          <w:spacing w:val="0"/>
          <w:kern w:val="0"/>
          <w:rtl/>
        </w:rPr>
        <w:t xml:space="preserve">المادة </w:t>
      </w:r>
      <w:r w:rsidRPr="00AA537D">
        <w:rPr>
          <w:spacing w:val="0"/>
          <w:kern w:val="0"/>
          <w:rtl/>
        </w:rPr>
        <w:t xml:space="preserve">12 من قانون اللاجئين </w:t>
      </w:r>
      <w:r w:rsidRPr="00AA537D">
        <w:rPr>
          <w:rFonts w:hint="cs"/>
          <w:spacing w:val="0"/>
          <w:kern w:val="0"/>
          <w:rtl/>
        </w:rPr>
        <w:t xml:space="preserve">التي تنص على أنه لا يجوز </w:t>
      </w:r>
      <w:r w:rsidRPr="00AA537D">
        <w:rPr>
          <w:spacing w:val="0"/>
          <w:kern w:val="0"/>
          <w:rtl/>
        </w:rPr>
        <w:t>منح مركز اللاجئ عند</w:t>
      </w:r>
      <w:r w:rsidRPr="00AA537D">
        <w:rPr>
          <w:rFonts w:hint="cs"/>
          <w:spacing w:val="0"/>
          <w:kern w:val="0"/>
          <w:rtl/>
        </w:rPr>
        <w:t xml:space="preserve"> وجود</w:t>
      </w:r>
      <w:r w:rsidRPr="00AA537D">
        <w:rPr>
          <w:spacing w:val="0"/>
          <w:kern w:val="0"/>
          <w:rtl/>
        </w:rPr>
        <w:t xml:space="preserve"> أسباب جدية للاعتقاد بأن الأفراد المعنيين يشاركون أو </w:t>
      </w:r>
      <w:r w:rsidRPr="00AA537D">
        <w:rPr>
          <w:rFonts w:hint="cs"/>
          <w:spacing w:val="0"/>
          <w:kern w:val="0"/>
          <w:rtl/>
        </w:rPr>
        <w:t>سبقت لهم الم</w:t>
      </w:r>
      <w:r w:rsidRPr="00AA537D">
        <w:rPr>
          <w:spacing w:val="0"/>
          <w:kern w:val="0"/>
          <w:rtl/>
        </w:rPr>
        <w:t>شارك</w:t>
      </w:r>
      <w:r w:rsidRPr="00AA537D">
        <w:rPr>
          <w:rFonts w:hint="cs"/>
          <w:spacing w:val="0"/>
          <w:kern w:val="0"/>
          <w:rtl/>
        </w:rPr>
        <w:t>ة</w:t>
      </w:r>
      <w:r w:rsidRPr="00AA537D">
        <w:rPr>
          <w:spacing w:val="0"/>
          <w:kern w:val="0"/>
          <w:rtl/>
        </w:rPr>
        <w:t xml:space="preserve"> في أنشطة منظمات دينية محظورة. و</w:t>
      </w:r>
      <w:r w:rsidRPr="00AA537D">
        <w:rPr>
          <w:rFonts w:hint="cs"/>
          <w:spacing w:val="0"/>
          <w:kern w:val="0"/>
          <w:rtl/>
        </w:rPr>
        <w:t xml:space="preserve">قد </w:t>
      </w:r>
      <w:r w:rsidRPr="00AA537D">
        <w:rPr>
          <w:spacing w:val="0"/>
          <w:kern w:val="0"/>
          <w:rtl/>
        </w:rPr>
        <w:t>ت</w:t>
      </w:r>
      <w:r w:rsidRPr="00AA537D">
        <w:rPr>
          <w:rFonts w:hint="cs"/>
          <w:spacing w:val="0"/>
          <w:kern w:val="0"/>
          <w:rtl/>
        </w:rPr>
        <w:t>عرض ه</w:t>
      </w:r>
      <w:r w:rsidRPr="00AA537D">
        <w:rPr>
          <w:spacing w:val="0"/>
          <w:kern w:val="0"/>
          <w:rtl/>
        </w:rPr>
        <w:t xml:space="preserve">ذا الحكم </w:t>
      </w:r>
      <w:r w:rsidRPr="00AA537D">
        <w:rPr>
          <w:rFonts w:hint="cs"/>
          <w:spacing w:val="0"/>
          <w:kern w:val="0"/>
          <w:rtl/>
        </w:rPr>
        <w:t xml:space="preserve">للانتقاد </w:t>
      </w:r>
      <w:r w:rsidRPr="00AA537D">
        <w:rPr>
          <w:spacing w:val="0"/>
          <w:kern w:val="0"/>
          <w:rtl/>
        </w:rPr>
        <w:t>على أ</w:t>
      </w:r>
      <w:r w:rsidRPr="00AA537D">
        <w:rPr>
          <w:rFonts w:hint="cs"/>
          <w:spacing w:val="0"/>
          <w:kern w:val="0"/>
          <w:rtl/>
        </w:rPr>
        <w:t xml:space="preserve">ساس أنه مخالف </w:t>
      </w:r>
      <w:r w:rsidRPr="00AA537D">
        <w:rPr>
          <w:spacing w:val="0"/>
          <w:kern w:val="0"/>
          <w:rtl/>
        </w:rPr>
        <w:t>للقانون الدولي للاجئين</w:t>
      </w:r>
      <w:r w:rsidRPr="00AA537D">
        <w:rPr>
          <w:spacing w:val="0"/>
          <w:kern w:val="0"/>
          <w:vertAlign w:val="superscript"/>
          <w:rtl/>
        </w:rPr>
        <w:t>(</w:t>
      </w:r>
      <w:r w:rsidRPr="00AA537D">
        <w:rPr>
          <w:rStyle w:val="FootnoteReference"/>
          <w:spacing w:val="0"/>
          <w:rtl/>
        </w:rPr>
        <w:footnoteReference w:id="414"/>
      </w:r>
      <w:r w:rsidRPr="00AA537D">
        <w:rPr>
          <w:spacing w:val="0"/>
          <w:kern w:val="0"/>
          <w:vertAlign w:val="superscript"/>
          <w:rtl/>
        </w:rPr>
        <w:t>)</w:t>
      </w:r>
      <w:r w:rsidRPr="00AA537D">
        <w:rPr>
          <w:spacing w:val="0"/>
          <w:kern w:val="0"/>
          <w:rtl/>
        </w:rPr>
        <w:t xml:space="preserve">. </w:t>
      </w:r>
    </w:p>
    <w:p w:rsidR="00FA6676" w:rsidRPr="00AA537D" w:rsidRDefault="00FA6676" w:rsidP="00AA537D">
      <w:pPr>
        <w:pStyle w:val="SingleTxtGA"/>
        <w:jc w:val="lowKashida"/>
        <w:rPr>
          <w:spacing w:val="0"/>
          <w:kern w:val="0"/>
          <w:rtl/>
        </w:rPr>
      </w:pPr>
      <w:r w:rsidRPr="00AA537D">
        <w:rPr>
          <w:rFonts w:hint="cs"/>
          <w:spacing w:val="0"/>
          <w:kern w:val="0"/>
          <w:rtl/>
        </w:rPr>
        <w:t>5</w:t>
      </w:r>
      <w:r w:rsidRPr="00AA537D">
        <w:rPr>
          <w:spacing w:val="0"/>
          <w:kern w:val="0"/>
          <w:rtl/>
        </w:rPr>
        <w:t>-</w:t>
      </w:r>
      <w:r w:rsidRPr="00AA537D">
        <w:rPr>
          <w:rFonts w:hint="cs"/>
          <w:spacing w:val="0"/>
          <w:kern w:val="0"/>
          <w:rtl/>
        </w:rPr>
        <w:t>2</w:t>
      </w:r>
      <w:r w:rsidRPr="00AA537D">
        <w:rPr>
          <w:spacing w:val="0"/>
          <w:kern w:val="0"/>
          <w:rtl/>
        </w:rPr>
        <w:tab/>
        <w:t>و</w:t>
      </w:r>
      <w:r w:rsidRPr="00AA537D">
        <w:rPr>
          <w:rFonts w:hint="cs"/>
          <w:spacing w:val="0"/>
          <w:kern w:val="0"/>
          <w:rtl/>
        </w:rPr>
        <w:t xml:space="preserve">تشير </w:t>
      </w:r>
      <w:r w:rsidRPr="00AA537D">
        <w:rPr>
          <w:spacing w:val="0"/>
          <w:kern w:val="0"/>
          <w:rtl/>
        </w:rPr>
        <w:t xml:space="preserve">المحامية </w:t>
      </w:r>
      <w:r w:rsidRPr="00AA537D">
        <w:rPr>
          <w:rFonts w:hint="cs"/>
          <w:spacing w:val="0"/>
          <w:kern w:val="0"/>
          <w:rtl/>
        </w:rPr>
        <w:t xml:space="preserve">إلى احتجاز </w:t>
      </w:r>
      <w:r w:rsidRPr="00AA537D">
        <w:rPr>
          <w:spacing w:val="0"/>
          <w:kern w:val="0"/>
          <w:rtl/>
        </w:rPr>
        <w:t xml:space="preserve">أصحاب الشكوى </w:t>
      </w:r>
      <w:r w:rsidRPr="00AA537D">
        <w:rPr>
          <w:rFonts w:hint="cs"/>
          <w:spacing w:val="0"/>
          <w:kern w:val="0"/>
          <w:rtl/>
        </w:rPr>
        <w:t xml:space="preserve">بالحبس الانفرادي بعد ترحيلهم إلى أوزبكستان. وتشير أيضاً إلى تسليم أصحاب الشكوى </w:t>
      </w:r>
      <w:r w:rsidRPr="00AA537D">
        <w:rPr>
          <w:spacing w:val="0"/>
          <w:kern w:val="0"/>
          <w:rtl/>
        </w:rPr>
        <w:t xml:space="preserve">في 9 حزيران/يونيه 2011 </w:t>
      </w:r>
      <w:r w:rsidRPr="00AA537D">
        <w:rPr>
          <w:rFonts w:hint="cs"/>
          <w:spacing w:val="0"/>
          <w:kern w:val="0"/>
          <w:rtl/>
        </w:rPr>
        <w:t>دون اعتبار ل</w:t>
      </w:r>
      <w:r w:rsidRPr="00AA537D">
        <w:rPr>
          <w:spacing w:val="0"/>
          <w:kern w:val="0"/>
          <w:rtl/>
        </w:rPr>
        <w:t xml:space="preserve">طلب اللجنة </w:t>
      </w:r>
      <w:r w:rsidRPr="00AA537D">
        <w:rPr>
          <w:rFonts w:hint="cs"/>
          <w:spacing w:val="0"/>
          <w:kern w:val="0"/>
          <w:rtl/>
        </w:rPr>
        <w:t>المتعلق ب</w:t>
      </w:r>
      <w:r w:rsidRPr="00AA537D">
        <w:rPr>
          <w:spacing w:val="0"/>
          <w:kern w:val="0"/>
          <w:rtl/>
        </w:rPr>
        <w:t xml:space="preserve">تدابير </w:t>
      </w:r>
      <w:r w:rsidRPr="00AA537D">
        <w:rPr>
          <w:rFonts w:hint="cs"/>
          <w:spacing w:val="0"/>
          <w:kern w:val="0"/>
          <w:rtl/>
        </w:rPr>
        <w:t>ال</w:t>
      </w:r>
      <w:r w:rsidRPr="00AA537D">
        <w:rPr>
          <w:spacing w:val="0"/>
          <w:kern w:val="0"/>
          <w:rtl/>
        </w:rPr>
        <w:t xml:space="preserve">حماية </w:t>
      </w:r>
      <w:r w:rsidRPr="00AA537D">
        <w:rPr>
          <w:rFonts w:hint="cs"/>
          <w:spacing w:val="0"/>
          <w:kern w:val="0"/>
          <w:rtl/>
        </w:rPr>
        <w:t>ال</w:t>
      </w:r>
      <w:r w:rsidRPr="00AA537D">
        <w:rPr>
          <w:spacing w:val="0"/>
          <w:kern w:val="0"/>
          <w:rtl/>
        </w:rPr>
        <w:t>مؤقتة</w:t>
      </w:r>
      <w:r w:rsidRPr="00AA537D">
        <w:rPr>
          <w:rFonts w:hint="cs"/>
          <w:spacing w:val="0"/>
          <w:kern w:val="0"/>
          <w:rtl/>
        </w:rPr>
        <w:t>، م</w:t>
      </w:r>
      <w:r w:rsidRPr="00AA537D">
        <w:rPr>
          <w:spacing w:val="0"/>
          <w:kern w:val="0"/>
          <w:rtl/>
        </w:rPr>
        <w:t xml:space="preserve">ع العلم </w:t>
      </w:r>
      <w:r w:rsidRPr="00AA537D">
        <w:rPr>
          <w:rFonts w:hint="cs"/>
          <w:spacing w:val="0"/>
          <w:kern w:val="0"/>
          <w:rtl/>
        </w:rPr>
        <w:t>ب</w:t>
      </w:r>
      <w:r w:rsidRPr="00AA537D">
        <w:rPr>
          <w:spacing w:val="0"/>
          <w:kern w:val="0"/>
          <w:rtl/>
        </w:rPr>
        <w:t>أن أصحاب الشكوى سي</w:t>
      </w:r>
      <w:r w:rsidRPr="00AA537D">
        <w:rPr>
          <w:rFonts w:hint="cs"/>
          <w:spacing w:val="0"/>
          <w:kern w:val="0"/>
          <w:rtl/>
        </w:rPr>
        <w:t>ت</w:t>
      </w:r>
      <w:r w:rsidRPr="00AA537D">
        <w:rPr>
          <w:spacing w:val="0"/>
          <w:kern w:val="0"/>
          <w:rtl/>
        </w:rPr>
        <w:t>عرضون لخطر التعذيب عند عودتهم، واعتماداً على "ضمانات دبلوماسية غير موثوقة" قدمتها أوزبكستان. وتلاحظ المحامية أن الدولة الطرف اعترفت رسمياً بنقل 28 فرداً؛ وتطلب إيضاحات بشأن مكان وجود الفرد المتبقي ووضعه القانوني.</w:t>
      </w:r>
    </w:p>
    <w:p w:rsidR="00FA6676" w:rsidRPr="00AA537D" w:rsidRDefault="00FA6676" w:rsidP="00AA537D">
      <w:pPr>
        <w:pStyle w:val="SingleTxtGA"/>
        <w:jc w:val="lowKashida"/>
        <w:rPr>
          <w:spacing w:val="0"/>
          <w:kern w:val="0"/>
          <w:rtl/>
        </w:rPr>
      </w:pPr>
      <w:r w:rsidRPr="00AA537D">
        <w:rPr>
          <w:rFonts w:hint="cs"/>
          <w:spacing w:val="0"/>
          <w:kern w:val="0"/>
          <w:rtl/>
        </w:rPr>
        <w:t>5</w:t>
      </w:r>
      <w:r w:rsidRPr="00AA537D">
        <w:rPr>
          <w:spacing w:val="0"/>
          <w:kern w:val="0"/>
          <w:rtl/>
        </w:rPr>
        <w:t>-</w:t>
      </w:r>
      <w:r w:rsidRPr="00AA537D">
        <w:rPr>
          <w:rFonts w:hint="cs"/>
          <w:spacing w:val="0"/>
          <w:kern w:val="0"/>
          <w:rtl/>
        </w:rPr>
        <w:t>3</w:t>
      </w:r>
      <w:r w:rsidRPr="00AA537D">
        <w:rPr>
          <w:spacing w:val="0"/>
          <w:kern w:val="0"/>
          <w:rtl/>
        </w:rPr>
        <w:tab/>
        <w:t>وت</w:t>
      </w:r>
      <w:r w:rsidRPr="00AA537D">
        <w:rPr>
          <w:rFonts w:hint="cs"/>
          <w:spacing w:val="0"/>
          <w:kern w:val="0"/>
          <w:rtl/>
        </w:rPr>
        <w:t xml:space="preserve">شير </w:t>
      </w:r>
      <w:r w:rsidRPr="00AA537D">
        <w:rPr>
          <w:spacing w:val="0"/>
          <w:kern w:val="0"/>
          <w:rtl/>
        </w:rPr>
        <w:t xml:space="preserve">المحامية </w:t>
      </w:r>
      <w:r w:rsidRPr="00AA537D">
        <w:rPr>
          <w:rFonts w:hint="cs"/>
          <w:spacing w:val="0"/>
          <w:kern w:val="0"/>
          <w:rtl/>
        </w:rPr>
        <w:t xml:space="preserve">إلى </w:t>
      </w:r>
      <w:r w:rsidRPr="00AA537D">
        <w:rPr>
          <w:spacing w:val="0"/>
          <w:kern w:val="0"/>
          <w:rtl/>
        </w:rPr>
        <w:t>أن طرد أصحاب الشكوى تم على أساس اتفاقية مينسك</w:t>
      </w:r>
      <w:r w:rsidRPr="00AA537D">
        <w:rPr>
          <w:rFonts w:hint="cs"/>
          <w:spacing w:val="0"/>
          <w:kern w:val="0"/>
          <w:rtl/>
        </w:rPr>
        <w:t xml:space="preserve"> التي لا</w:t>
      </w:r>
      <w:r w:rsidRPr="00AA537D">
        <w:rPr>
          <w:rFonts w:hint="eastAsia"/>
          <w:spacing w:val="0"/>
          <w:kern w:val="0"/>
          <w:rtl/>
        </w:rPr>
        <w:t> </w:t>
      </w:r>
      <w:r w:rsidRPr="00AA537D">
        <w:rPr>
          <w:spacing w:val="0"/>
          <w:kern w:val="0"/>
          <w:rtl/>
        </w:rPr>
        <w:t>تشير</w:t>
      </w:r>
      <w:r w:rsidRPr="00AA537D">
        <w:rPr>
          <w:rFonts w:hint="cs"/>
          <w:spacing w:val="0"/>
          <w:kern w:val="0"/>
          <w:rtl/>
        </w:rPr>
        <w:t xml:space="preserve"> </w:t>
      </w:r>
      <w:r w:rsidRPr="00AA537D">
        <w:rPr>
          <w:spacing w:val="0"/>
          <w:kern w:val="0"/>
          <w:rtl/>
        </w:rPr>
        <w:t>إلى ا</w:t>
      </w:r>
      <w:r w:rsidRPr="00AA537D">
        <w:rPr>
          <w:rFonts w:hint="cs"/>
          <w:spacing w:val="0"/>
          <w:kern w:val="0"/>
          <w:rtl/>
        </w:rPr>
        <w:t>لال</w:t>
      </w:r>
      <w:r w:rsidRPr="00AA537D">
        <w:rPr>
          <w:spacing w:val="0"/>
          <w:kern w:val="0"/>
          <w:rtl/>
        </w:rPr>
        <w:t xml:space="preserve">تزام </w:t>
      </w:r>
      <w:r w:rsidRPr="00AA537D">
        <w:rPr>
          <w:rFonts w:hint="cs"/>
          <w:spacing w:val="0"/>
          <w:kern w:val="0"/>
          <w:rtl/>
        </w:rPr>
        <w:t>ب</w:t>
      </w:r>
      <w:r w:rsidRPr="00AA537D">
        <w:rPr>
          <w:spacing w:val="0"/>
          <w:kern w:val="0"/>
          <w:rtl/>
        </w:rPr>
        <w:t>عدم الرد الناجم عن انضمام الدولة الطرف إلى اتفاقية مناهضة التعذيب، و</w:t>
      </w:r>
      <w:r w:rsidRPr="00AA537D">
        <w:rPr>
          <w:rFonts w:hint="cs"/>
          <w:spacing w:val="0"/>
          <w:kern w:val="0"/>
          <w:rtl/>
        </w:rPr>
        <w:t xml:space="preserve">لا يمكن لأحكام هذه الاتفاقية </w:t>
      </w:r>
      <w:r w:rsidRPr="00AA537D">
        <w:rPr>
          <w:spacing w:val="0"/>
          <w:kern w:val="0"/>
          <w:rtl/>
        </w:rPr>
        <w:t xml:space="preserve">أن تعفي الدولة الطرف من التزاماتها بعدم إعادة فرد ما في حالة وجود خطر التعذيب في </w:t>
      </w:r>
      <w:r w:rsidRPr="00AA537D">
        <w:rPr>
          <w:rFonts w:hint="cs"/>
          <w:spacing w:val="0"/>
          <w:kern w:val="0"/>
          <w:rtl/>
        </w:rPr>
        <w:t>ال</w:t>
      </w:r>
      <w:r w:rsidRPr="00AA537D">
        <w:rPr>
          <w:spacing w:val="0"/>
          <w:kern w:val="0"/>
          <w:rtl/>
        </w:rPr>
        <w:t>دولة ال</w:t>
      </w:r>
      <w:r w:rsidRPr="00AA537D">
        <w:rPr>
          <w:rFonts w:hint="cs"/>
          <w:spacing w:val="0"/>
          <w:kern w:val="0"/>
          <w:rtl/>
        </w:rPr>
        <w:t>مستقبلة</w:t>
      </w:r>
      <w:r w:rsidRPr="00AA537D">
        <w:rPr>
          <w:spacing w:val="0"/>
          <w:kern w:val="0"/>
          <w:rtl/>
        </w:rPr>
        <w:t>.</w:t>
      </w:r>
    </w:p>
    <w:p w:rsidR="00FA6676" w:rsidRPr="00AA537D" w:rsidRDefault="00FA6676" w:rsidP="00AA537D">
      <w:pPr>
        <w:pStyle w:val="SingleTxtGA"/>
        <w:jc w:val="lowKashida"/>
        <w:rPr>
          <w:spacing w:val="0"/>
          <w:kern w:val="0"/>
          <w:rtl/>
        </w:rPr>
      </w:pPr>
      <w:r w:rsidRPr="00AA537D">
        <w:rPr>
          <w:rFonts w:hint="cs"/>
          <w:spacing w:val="0"/>
          <w:kern w:val="0"/>
          <w:rtl/>
        </w:rPr>
        <w:t>5</w:t>
      </w:r>
      <w:r w:rsidRPr="00AA537D">
        <w:rPr>
          <w:spacing w:val="0"/>
          <w:kern w:val="0"/>
          <w:rtl/>
        </w:rPr>
        <w:t>-</w:t>
      </w:r>
      <w:r w:rsidRPr="00AA537D">
        <w:rPr>
          <w:rFonts w:hint="cs"/>
          <w:spacing w:val="0"/>
          <w:kern w:val="0"/>
          <w:rtl/>
        </w:rPr>
        <w:t>4</w:t>
      </w:r>
      <w:r w:rsidRPr="00AA537D">
        <w:rPr>
          <w:spacing w:val="0"/>
          <w:kern w:val="0"/>
          <w:rtl/>
        </w:rPr>
        <w:tab/>
        <w:t>و</w:t>
      </w:r>
      <w:r w:rsidRPr="00AA537D">
        <w:rPr>
          <w:rFonts w:hint="cs"/>
          <w:spacing w:val="0"/>
          <w:kern w:val="0"/>
          <w:rtl/>
        </w:rPr>
        <w:t xml:space="preserve">تؤكد </w:t>
      </w:r>
      <w:r w:rsidRPr="00AA537D">
        <w:rPr>
          <w:spacing w:val="0"/>
          <w:kern w:val="0"/>
          <w:rtl/>
        </w:rPr>
        <w:t xml:space="preserve">المحامية </w:t>
      </w:r>
      <w:r w:rsidRPr="00AA537D">
        <w:rPr>
          <w:rFonts w:hint="cs"/>
          <w:spacing w:val="0"/>
          <w:kern w:val="0"/>
          <w:rtl/>
        </w:rPr>
        <w:t xml:space="preserve">أيضاً </w:t>
      </w:r>
      <w:r w:rsidRPr="00AA537D">
        <w:rPr>
          <w:spacing w:val="0"/>
          <w:kern w:val="0"/>
          <w:rtl/>
        </w:rPr>
        <w:t>أن الدولة الطرف كانت على ع</w:t>
      </w:r>
      <w:r w:rsidRPr="00AA537D">
        <w:rPr>
          <w:rFonts w:hint="cs"/>
          <w:spacing w:val="0"/>
          <w:kern w:val="0"/>
          <w:rtl/>
        </w:rPr>
        <w:t>لم</w:t>
      </w:r>
      <w:r w:rsidRPr="00AA537D">
        <w:rPr>
          <w:spacing w:val="0"/>
          <w:kern w:val="0"/>
          <w:rtl/>
        </w:rPr>
        <w:t xml:space="preserve"> بوجود خطر تعرض أصحاب الشكوى للتعذيب في أوزبكستان</w:t>
      </w:r>
      <w:r w:rsidRPr="00AA537D">
        <w:rPr>
          <w:rFonts w:hint="cs"/>
          <w:spacing w:val="0"/>
          <w:kern w:val="0"/>
          <w:rtl/>
        </w:rPr>
        <w:t xml:space="preserve">. </w:t>
      </w:r>
      <w:r w:rsidRPr="00AA537D">
        <w:rPr>
          <w:spacing w:val="0"/>
          <w:kern w:val="0"/>
          <w:rtl/>
        </w:rPr>
        <w:t xml:space="preserve">وتشير </w:t>
      </w:r>
      <w:r w:rsidRPr="00AA537D">
        <w:rPr>
          <w:rFonts w:hint="cs"/>
          <w:spacing w:val="0"/>
          <w:kern w:val="0"/>
          <w:rtl/>
        </w:rPr>
        <w:t xml:space="preserve">المحامية </w:t>
      </w:r>
      <w:r w:rsidRPr="00AA537D">
        <w:rPr>
          <w:spacing w:val="0"/>
          <w:kern w:val="0"/>
          <w:rtl/>
        </w:rPr>
        <w:t xml:space="preserve">إلى </w:t>
      </w:r>
      <w:r w:rsidRPr="00AA537D">
        <w:rPr>
          <w:rFonts w:hint="cs"/>
          <w:spacing w:val="0"/>
          <w:kern w:val="0"/>
          <w:rtl/>
        </w:rPr>
        <w:t>ع</w:t>
      </w:r>
      <w:r w:rsidRPr="00AA537D">
        <w:rPr>
          <w:spacing w:val="0"/>
          <w:kern w:val="0"/>
          <w:rtl/>
        </w:rPr>
        <w:t>دة تقارير صدرت عن مؤسسات الأمم المتحدة</w:t>
      </w:r>
      <w:r w:rsidRPr="00AA537D">
        <w:rPr>
          <w:rFonts w:hint="cs"/>
          <w:spacing w:val="0"/>
          <w:kern w:val="0"/>
          <w:rtl/>
        </w:rPr>
        <w:t xml:space="preserve"> </w:t>
      </w:r>
      <w:r w:rsidRPr="00AA537D">
        <w:rPr>
          <w:spacing w:val="0"/>
          <w:kern w:val="0"/>
          <w:rtl/>
        </w:rPr>
        <w:t>ومنظمات غير حكومية دولية ووطنية</w:t>
      </w:r>
      <w:r w:rsidRPr="00AA537D">
        <w:rPr>
          <w:spacing w:val="0"/>
          <w:kern w:val="0"/>
          <w:vertAlign w:val="superscript"/>
          <w:rtl/>
        </w:rPr>
        <w:t>(</w:t>
      </w:r>
      <w:r w:rsidRPr="00AA537D">
        <w:rPr>
          <w:rStyle w:val="FootnoteReference"/>
          <w:spacing w:val="0"/>
          <w:rtl/>
        </w:rPr>
        <w:footnoteReference w:id="415"/>
      </w:r>
      <w:r w:rsidRPr="00AA537D">
        <w:rPr>
          <w:spacing w:val="0"/>
          <w:kern w:val="0"/>
          <w:vertAlign w:val="superscript"/>
          <w:rtl/>
        </w:rPr>
        <w:t>)</w:t>
      </w:r>
      <w:r w:rsidRPr="00AA537D">
        <w:rPr>
          <w:rFonts w:hint="cs"/>
          <w:spacing w:val="0"/>
          <w:kern w:val="0"/>
          <w:rtl/>
        </w:rPr>
        <w:t xml:space="preserve"> </w:t>
      </w:r>
      <w:r w:rsidRPr="00AA537D">
        <w:rPr>
          <w:spacing w:val="0"/>
          <w:kern w:val="0"/>
          <w:rtl/>
        </w:rPr>
        <w:t>بشأن استعمال التعذيب على نطاق واسع في</w:t>
      </w:r>
      <w:r w:rsidRPr="00AA537D">
        <w:rPr>
          <w:rFonts w:hint="cs"/>
          <w:spacing w:val="0"/>
          <w:kern w:val="0"/>
          <w:rtl/>
        </w:rPr>
        <w:t> </w:t>
      </w:r>
      <w:r w:rsidRPr="00AA537D">
        <w:rPr>
          <w:spacing w:val="0"/>
          <w:kern w:val="0"/>
          <w:rtl/>
        </w:rPr>
        <w:t xml:space="preserve">أوزبكستان. </w:t>
      </w:r>
      <w:r w:rsidRPr="00AA537D">
        <w:rPr>
          <w:rFonts w:hint="cs"/>
          <w:spacing w:val="0"/>
          <w:kern w:val="0"/>
          <w:rtl/>
        </w:rPr>
        <w:t xml:space="preserve">وكان </w:t>
      </w:r>
      <w:r w:rsidRPr="00AA537D">
        <w:rPr>
          <w:spacing w:val="0"/>
          <w:kern w:val="0"/>
          <w:rtl/>
        </w:rPr>
        <w:t xml:space="preserve">أصحاب الشكوى </w:t>
      </w:r>
      <w:r w:rsidRPr="00AA537D">
        <w:rPr>
          <w:rFonts w:hint="cs"/>
          <w:spacing w:val="0"/>
          <w:kern w:val="0"/>
          <w:rtl/>
        </w:rPr>
        <w:t>قد تحدثوا بالتفصيل</w:t>
      </w:r>
      <w:r w:rsidRPr="00AA537D">
        <w:rPr>
          <w:spacing w:val="0"/>
          <w:kern w:val="0"/>
          <w:rtl/>
        </w:rPr>
        <w:t xml:space="preserve"> في طلبات اللجوء </w:t>
      </w:r>
      <w:r w:rsidRPr="00AA537D">
        <w:rPr>
          <w:rFonts w:hint="cs"/>
          <w:spacing w:val="0"/>
          <w:kern w:val="0"/>
          <w:rtl/>
        </w:rPr>
        <w:t xml:space="preserve">التي قدموها عن التعذيب </w:t>
      </w:r>
      <w:r w:rsidRPr="00AA537D">
        <w:rPr>
          <w:spacing w:val="0"/>
          <w:kern w:val="0"/>
          <w:rtl/>
        </w:rPr>
        <w:t xml:space="preserve">الذي </w:t>
      </w:r>
      <w:r w:rsidRPr="00AA537D">
        <w:rPr>
          <w:rFonts w:hint="cs"/>
          <w:spacing w:val="0"/>
          <w:kern w:val="0"/>
          <w:rtl/>
        </w:rPr>
        <w:t xml:space="preserve">تعرض له كل منهم </w:t>
      </w:r>
      <w:r w:rsidRPr="00AA537D">
        <w:rPr>
          <w:spacing w:val="0"/>
          <w:kern w:val="0"/>
          <w:rtl/>
        </w:rPr>
        <w:t xml:space="preserve">في أوزبكستان؛ وأشار عدد منهم أيضاً إلى حالات التعذيب التي عانوا منها في الماضي. وجميع أصحاب الشكوى متهمون بجرائم خطيرة في أوزبكستان، مثل الانتماء إلى حركة دينية محظورة، وهم بذلك ينتمون جميعاً إلى مجموعة معرضة باستمرار لسوء المعاملة. وبالإضافة إلى ذلك، سبق أن منحت المفوضية لنصف أصحاب الشكوى مركز اللاجئ في كازاخستان قبل دخول تشريعات اللجوء الجديدة حيز النفاذ. </w:t>
      </w:r>
    </w:p>
    <w:p w:rsidR="00FA6676" w:rsidRPr="00AA537D" w:rsidRDefault="00FA6676" w:rsidP="00AA537D">
      <w:pPr>
        <w:pStyle w:val="SingleTxtGA"/>
        <w:jc w:val="lowKashida"/>
        <w:rPr>
          <w:spacing w:val="0"/>
          <w:kern w:val="0"/>
          <w:rtl/>
        </w:rPr>
      </w:pPr>
      <w:r w:rsidRPr="00AA537D">
        <w:rPr>
          <w:rFonts w:hint="cs"/>
          <w:spacing w:val="0"/>
          <w:kern w:val="0"/>
          <w:rtl/>
        </w:rPr>
        <w:t>5</w:t>
      </w:r>
      <w:r w:rsidRPr="00AA537D">
        <w:rPr>
          <w:spacing w:val="0"/>
          <w:kern w:val="0"/>
          <w:rtl/>
        </w:rPr>
        <w:t>-</w:t>
      </w:r>
      <w:r w:rsidRPr="00AA537D">
        <w:rPr>
          <w:rFonts w:hint="cs"/>
          <w:spacing w:val="0"/>
          <w:kern w:val="0"/>
          <w:rtl/>
        </w:rPr>
        <w:t>5</w:t>
      </w:r>
      <w:r w:rsidRPr="00AA537D">
        <w:rPr>
          <w:spacing w:val="0"/>
          <w:kern w:val="0"/>
          <w:rtl/>
        </w:rPr>
        <w:tab/>
        <w:t>وأخيراً، توضح المحامية</w:t>
      </w:r>
      <w:r w:rsidRPr="00AA537D">
        <w:rPr>
          <w:rFonts w:hint="cs"/>
          <w:spacing w:val="0"/>
          <w:kern w:val="0"/>
          <w:rtl/>
        </w:rPr>
        <w:t>،</w:t>
      </w:r>
      <w:r w:rsidRPr="00AA537D">
        <w:rPr>
          <w:spacing w:val="0"/>
          <w:kern w:val="0"/>
          <w:rtl/>
        </w:rPr>
        <w:t xml:space="preserve"> فيما يتعلق بقضية الضمانات الدبلوماسية، أن اللجنة المعنية بحقوق الإنسان، في ملاحظاتها الختامية المتعلقة بكازاخستان في تموز/يوليه 2011، </w:t>
      </w:r>
      <w:r w:rsidRPr="00AA537D">
        <w:rPr>
          <w:rFonts w:hint="cs"/>
          <w:spacing w:val="0"/>
          <w:kern w:val="0"/>
          <w:rtl/>
        </w:rPr>
        <w:t xml:space="preserve">طلبت </w:t>
      </w:r>
      <w:r w:rsidRPr="00AA537D">
        <w:rPr>
          <w:spacing w:val="0"/>
          <w:kern w:val="0"/>
          <w:rtl/>
        </w:rPr>
        <w:t>تحديداً</w:t>
      </w:r>
      <w:r w:rsidRPr="00AA537D">
        <w:rPr>
          <w:rFonts w:hint="cs"/>
          <w:spacing w:val="0"/>
          <w:kern w:val="0"/>
          <w:rtl/>
        </w:rPr>
        <w:t xml:space="preserve"> إلى </w:t>
      </w:r>
      <w:r w:rsidRPr="00AA537D">
        <w:rPr>
          <w:spacing w:val="0"/>
          <w:kern w:val="0"/>
          <w:rtl/>
        </w:rPr>
        <w:t xml:space="preserve">الدولة الطرف </w:t>
      </w:r>
      <w:r w:rsidRPr="00AA537D">
        <w:rPr>
          <w:rFonts w:hint="cs"/>
          <w:spacing w:val="0"/>
          <w:kern w:val="0"/>
          <w:rtl/>
        </w:rPr>
        <w:t>أن تتوخى</w:t>
      </w:r>
      <w:r w:rsidRPr="00AA537D">
        <w:rPr>
          <w:spacing w:val="0"/>
          <w:kern w:val="0"/>
          <w:rtl/>
        </w:rPr>
        <w:t xml:space="preserve"> أقصى درجات الحذر في الاعتماد على الضمانات الدبلوماسية عند النظر في إعادة المواطنين الأجانب إلى بلدان يحتمل أن يتعرضوا فيها للتعذيب أو لانتهاكات جسيمة لحقوق الإنسان</w:t>
      </w:r>
      <w:r w:rsidRPr="00AA537D">
        <w:rPr>
          <w:rFonts w:hint="cs"/>
          <w:spacing w:val="0"/>
          <w:kern w:val="0"/>
          <w:rtl/>
        </w:rPr>
        <w:t>.</w:t>
      </w:r>
      <w:r w:rsidRPr="00AA537D">
        <w:rPr>
          <w:spacing w:val="0"/>
          <w:kern w:val="0"/>
          <w:rtl/>
        </w:rPr>
        <w:t xml:space="preserve"> وفي القضية</w:t>
      </w:r>
      <w:r w:rsidRPr="00AA537D">
        <w:rPr>
          <w:rFonts w:hint="cs"/>
          <w:spacing w:val="0"/>
          <w:kern w:val="0"/>
          <w:rtl/>
        </w:rPr>
        <w:t xml:space="preserve"> قيد البحث</w:t>
      </w:r>
      <w:r w:rsidRPr="00AA537D">
        <w:rPr>
          <w:spacing w:val="0"/>
          <w:kern w:val="0"/>
          <w:rtl/>
        </w:rPr>
        <w:t>، لا توجد في أوزبكستان آلية متابعة مناسبة لرصد حالة أصحاب الشكوى</w:t>
      </w:r>
      <w:r w:rsidRPr="00AA537D">
        <w:rPr>
          <w:rFonts w:hint="cs"/>
          <w:spacing w:val="0"/>
          <w:kern w:val="0"/>
          <w:rtl/>
        </w:rPr>
        <w:t xml:space="preserve"> في أوزبكستان</w:t>
      </w:r>
      <w:r w:rsidRPr="00AA537D">
        <w:rPr>
          <w:spacing w:val="0"/>
          <w:kern w:val="0"/>
          <w:rtl/>
        </w:rPr>
        <w:t>، وليس ثمة إمكانية للوصول إلى أصحاب الشكوى هناك.</w:t>
      </w:r>
    </w:p>
    <w:p w:rsidR="00FA6676" w:rsidRPr="00AA537D" w:rsidRDefault="00FA6676" w:rsidP="00AA537D">
      <w:pPr>
        <w:pStyle w:val="H23GA"/>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موجز المعلومات الإضافية المقدمة من الدولة الطرف</w:t>
      </w:r>
    </w:p>
    <w:p w:rsidR="00FA6676" w:rsidRPr="00EB70BE" w:rsidRDefault="00FA6676" w:rsidP="00AA537D">
      <w:pPr>
        <w:pStyle w:val="SingleTxtGA"/>
        <w:jc w:val="lowKashida"/>
        <w:rPr>
          <w:spacing w:val="-2"/>
          <w:kern w:val="0"/>
          <w:rtl/>
        </w:rPr>
      </w:pPr>
      <w:r w:rsidRPr="00EB70BE">
        <w:rPr>
          <w:rFonts w:hint="cs"/>
          <w:spacing w:val="-2"/>
          <w:kern w:val="0"/>
          <w:rtl/>
        </w:rPr>
        <w:t>6</w:t>
      </w:r>
      <w:r w:rsidRPr="00EB70BE">
        <w:rPr>
          <w:spacing w:val="-2"/>
          <w:kern w:val="0"/>
          <w:rtl/>
        </w:rPr>
        <w:t>-</w:t>
      </w:r>
      <w:r w:rsidRPr="00EB70BE">
        <w:rPr>
          <w:rFonts w:hint="cs"/>
          <w:spacing w:val="-2"/>
          <w:kern w:val="0"/>
          <w:rtl/>
        </w:rPr>
        <w:t>1</w:t>
      </w:r>
      <w:r w:rsidRPr="00EB70BE">
        <w:rPr>
          <w:spacing w:val="-2"/>
          <w:kern w:val="0"/>
          <w:rtl/>
        </w:rPr>
        <w:tab/>
        <w:t xml:space="preserve">في 23 أيلول/سبتمبر </w:t>
      </w:r>
      <w:r w:rsidRPr="00EB70BE">
        <w:rPr>
          <w:rFonts w:ascii="Traditional Arabic" w:hAnsi="Traditional Arabic"/>
          <w:spacing w:val="-2"/>
          <w:kern w:val="0"/>
          <w:rtl/>
        </w:rPr>
        <w:t>2011</w:t>
      </w:r>
      <w:r w:rsidRPr="00EB70BE">
        <w:rPr>
          <w:spacing w:val="-2"/>
          <w:kern w:val="0"/>
          <w:rtl/>
        </w:rPr>
        <w:t xml:space="preserve">، </w:t>
      </w:r>
      <w:r w:rsidRPr="00EB70BE">
        <w:rPr>
          <w:rFonts w:hint="cs"/>
          <w:spacing w:val="-2"/>
          <w:kern w:val="0"/>
          <w:rtl/>
        </w:rPr>
        <w:t xml:space="preserve">كررت </w:t>
      </w:r>
      <w:r w:rsidRPr="00EB70BE">
        <w:rPr>
          <w:spacing w:val="-2"/>
          <w:kern w:val="0"/>
          <w:rtl/>
        </w:rPr>
        <w:t xml:space="preserve">الدولة </w:t>
      </w:r>
      <w:r w:rsidRPr="00EB70BE">
        <w:rPr>
          <w:rFonts w:hint="cs"/>
          <w:spacing w:val="-2"/>
          <w:kern w:val="0"/>
          <w:rtl/>
        </w:rPr>
        <w:t xml:space="preserve">الطرف </w:t>
      </w:r>
      <w:r w:rsidRPr="00EB70BE">
        <w:rPr>
          <w:spacing w:val="-2"/>
          <w:kern w:val="0"/>
          <w:rtl/>
        </w:rPr>
        <w:t xml:space="preserve">التأكيد على أن جميع الإجراءات </w:t>
      </w:r>
      <w:r w:rsidRPr="00EB70BE">
        <w:rPr>
          <w:rFonts w:hint="cs"/>
          <w:spacing w:val="-2"/>
          <w:kern w:val="0"/>
          <w:rtl/>
        </w:rPr>
        <w:t>التي اتبعنها لجن</w:t>
      </w:r>
      <w:r w:rsidRPr="00EB70BE">
        <w:rPr>
          <w:spacing w:val="-2"/>
          <w:kern w:val="0"/>
          <w:rtl/>
        </w:rPr>
        <w:t xml:space="preserve">ة الهجرة </w:t>
      </w:r>
      <w:r w:rsidRPr="00EB70BE">
        <w:rPr>
          <w:rFonts w:hint="cs"/>
          <w:spacing w:val="-2"/>
          <w:kern w:val="0"/>
          <w:rtl/>
        </w:rPr>
        <w:t>لمعالجة</w:t>
      </w:r>
      <w:r w:rsidRPr="00EB70BE">
        <w:rPr>
          <w:spacing w:val="-2"/>
          <w:kern w:val="0"/>
          <w:rtl/>
        </w:rPr>
        <w:t xml:space="preserve"> طلبات اللجوء التي قدمها أصحاب الشكوى كانت قانونية</w:t>
      </w:r>
      <w:r w:rsidRPr="00EB70BE">
        <w:rPr>
          <w:rFonts w:hint="cs"/>
          <w:spacing w:val="-2"/>
          <w:kern w:val="0"/>
          <w:rtl/>
        </w:rPr>
        <w:t xml:space="preserve"> وأن </w:t>
      </w:r>
      <w:r w:rsidRPr="00EB70BE">
        <w:rPr>
          <w:spacing w:val="-2"/>
          <w:kern w:val="0"/>
          <w:rtl/>
        </w:rPr>
        <w:t xml:space="preserve">قرار السلطات </w:t>
      </w:r>
      <w:r w:rsidRPr="00EB70BE">
        <w:rPr>
          <w:rFonts w:hint="cs"/>
          <w:spacing w:val="-2"/>
          <w:kern w:val="0"/>
          <w:rtl/>
        </w:rPr>
        <w:t>ب</w:t>
      </w:r>
      <w:r w:rsidRPr="00EB70BE">
        <w:rPr>
          <w:spacing w:val="-2"/>
          <w:kern w:val="0"/>
          <w:rtl/>
        </w:rPr>
        <w:t xml:space="preserve">عدم منح اللجوء لأصحاب الشكوى </w:t>
      </w:r>
      <w:r w:rsidRPr="00EB70BE">
        <w:rPr>
          <w:rFonts w:hint="cs"/>
          <w:spacing w:val="-2"/>
          <w:kern w:val="0"/>
          <w:rtl/>
        </w:rPr>
        <w:t xml:space="preserve">كان </w:t>
      </w:r>
      <w:r w:rsidRPr="00EB70BE">
        <w:rPr>
          <w:spacing w:val="-2"/>
          <w:kern w:val="0"/>
          <w:rtl/>
        </w:rPr>
        <w:t>قانونياً</w:t>
      </w:r>
      <w:r w:rsidRPr="00EB70BE">
        <w:rPr>
          <w:rFonts w:hint="cs"/>
          <w:spacing w:val="-2"/>
          <w:kern w:val="0"/>
          <w:rtl/>
        </w:rPr>
        <w:t xml:space="preserve"> ومؤيداً بالأدلة</w:t>
      </w:r>
      <w:r w:rsidRPr="00EB70BE">
        <w:rPr>
          <w:spacing w:val="-2"/>
          <w:kern w:val="0"/>
          <w:rtl/>
        </w:rPr>
        <w:t>. و</w:t>
      </w:r>
      <w:r w:rsidRPr="00EB70BE">
        <w:rPr>
          <w:rFonts w:hint="cs"/>
          <w:spacing w:val="-2"/>
          <w:kern w:val="0"/>
          <w:rtl/>
        </w:rPr>
        <w:t xml:space="preserve">قد </w:t>
      </w:r>
      <w:r w:rsidRPr="00EB70BE">
        <w:rPr>
          <w:spacing w:val="-2"/>
          <w:kern w:val="0"/>
          <w:rtl/>
        </w:rPr>
        <w:t>زُودت لجنة الهجرة ب</w:t>
      </w:r>
      <w:r w:rsidRPr="00EB70BE">
        <w:rPr>
          <w:rFonts w:hint="cs"/>
          <w:spacing w:val="-2"/>
          <w:kern w:val="0"/>
          <w:rtl/>
        </w:rPr>
        <w:t xml:space="preserve">نسخ من </w:t>
      </w:r>
      <w:r w:rsidRPr="00EB70BE">
        <w:rPr>
          <w:spacing w:val="-2"/>
          <w:kern w:val="0"/>
          <w:rtl/>
        </w:rPr>
        <w:t xml:space="preserve">جميع </w:t>
      </w:r>
      <w:r w:rsidRPr="00EB70BE">
        <w:rPr>
          <w:rFonts w:hint="cs"/>
          <w:spacing w:val="-2"/>
          <w:kern w:val="0"/>
          <w:rtl/>
        </w:rPr>
        <w:t>الوثائق المتعلقة</w:t>
      </w:r>
      <w:r w:rsidRPr="00EB70BE">
        <w:rPr>
          <w:spacing w:val="-2"/>
          <w:kern w:val="0"/>
          <w:rtl/>
        </w:rPr>
        <w:t xml:space="preserve"> </w:t>
      </w:r>
      <w:r w:rsidRPr="00EB70BE">
        <w:rPr>
          <w:rFonts w:hint="cs"/>
          <w:spacing w:val="-2"/>
          <w:kern w:val="0"/>
          <w:rtl/>
        </w:rPr>
        <w:t>ب</w:t>
      </w:r>
      <w:r w:rsidRPr="00EB70BE">
        <w:rPr>
          <w:spacing w:val="-2"/>
          <w:kern w:val="0"/>
          <w:rtl/>
        </w:rPr>
        <w:t>التسليم ال</w:t>
      </w:r>
      <w:r w:rsidRPr="00EB70BE">
        <w:rPr>
          <w:rFonts w:hint="cs"/>
          <w:spacing w:val="-2"/>
          <w:kern w:val="0"/>
          <w:rtl/>
        </w:rPr>
        <w:t>مقدمة من ال</w:t>
      </w:r>
      <w:r w:rsidRPr="00EB70BE">
        <w:rPr>
          <w:spacing w:val="-2"/>
          <w:kern w:val="0"/>
          <w:rtl/>
        </w:rPr>
        <w:t xml:space="preserve">سلطات </w:t>
      </w:r>
      <w:r w:rsidRPr="00EB70BE">
        <w:rPr>
          <w:rFonts w:hint="cs"/>
          <w:spacing w:val="-2"/>
          <w:kern w:val="0"/>
          <w:rtl/>
        </w:rPr>
        <w:t>الأ</w:t>
      </w:r>
      <w:r w:rsidRPr="00EB70BE">
        <w:rPr>
          <w:spacing w:val="-2"/>
          <w:kern w:val="0"/>
          <w:rtl/>
        </w:rPr>
        <w:t>وزبك</w:t>
      </w:r>
      <w:r w:rsidRPr="00EB70BE">
        <w:rPr>
          <w:rFonts w:hint="cs"/>
          <w:spacing w:val="-2"/>
          <w:kern w:val="0"/>
          <w:rtl/>
        </w:rPr>
        <w:t>ية</w:t>
      </w:r>
      <w:r w:rsidRPr="00EB70BE">
        <w:rPr>
          <w:spacing w:val="-2"/>
          <w:kern w:val="0"/>
          <w:rtl/>
        </w:rPr>
        <w:t xml:space="preserve">. </w:t>
      </w:r>
    </w:p>
    <w:p w:rsidR="00FA6676" w:rsidRPr="00AA537D" w:rsidRDefault="00FA6676" w:rsidP="00AA537D">
      <w:pPr>
        <w:pStyle w:val="SingleTxtGA"/>
        <w:jc w:val="lowKashida"/>
        <w:rPr>
          <w:spacing w:val="0"/>
          <w:kern w:val="0"/>
          <w:rtl/>
        </w:rPr>
      </w:pPr>
      <w:r w:rsidRPr="00AA537D">
        <w:rPr>
          <w:rFonts w:hint="cs"/>
          <w:spacing w:val="0"/>
          <w:kern w:val="0"/>
          <w:rtl/>
        </w:rPr>
        <w:t>6</w:t>
      </w:r>
      <w:r w:rsidRPr="00AA537D">
        <w:rPr>
          <w:spacing w:val="0"/>
          <w:kern w:val="0"/>
          <w:rtl/>
        </w:rPr>
        <w:t>-</w:t>
      </w:r>
      <w:r w:rsidRPr="00AA537D">
        <w:rPr>
          <w:rFonts w:hint="cs"/>
          <w:spacing w:val="0"/>
          <w:kern w:val="0"/>
          <w:rtl/>
        </w:rPr>
        <w:t>2</w:t>
      </w:r>
      <w:r w:rsidRPr="00AA537D">
        <w:rPr>
          <w:spacing w:val="0"/>
          <w:kern w:val="0"/>
          <w:rtl/>
        </w:rPr>
        <w:tab/>
        <w:t>و</w:t>
      </w:r>
      <w:r w:rsidRPr="00AA537D">
        <w:rPr>
          <w:rFonts w:hint="cs"/>
          <w:spacing w:val="0"/>
          <w:kern w:val="0"/>
          <w:rtl/>
        </w:rPr>
        <w:t xml:space="preserve">قد بُحثت </w:t>
      </w:r>
      <w:r w:rsidRPr="00AA537D">
        <w:rPr>
          <w:spacing w:val="0"/>
          <w:kern w:val="0"/>
          <w:rtl/>
        </w:rPr>
        <w:t xml:space="preserve">جميع </w:t>
      </w:r>
      <w:r w:rsidRPr="00AA537D">
        <w:rPr>
          <w:rFonts w:hint="cs"/>
          <w:spacing w:val="0"/>
          <w:kern w:val="0"/>
          <w:rtl/>
        </w:rPr>
        <w:t>قرارات ر</w:t>
      </w:r>
      <w:r w:rsidRPr="00AA537D">
        <w:rPr>
          <w:spacing w:val="0"/>
          <w:kern w:val="0"/>
          <w:rtl/>
        </w:rPr>
        <w:t>فض</w:t>
      </w:r>
      <w:r w:rsidRPr="00AA537D">
        <w:rPr>
          <w:rFonts w:hint="cs"/>
          <w:spacing w:val="0"/>
          <w:kern w:val="0"/>
          <w:rtl/>
        </w:rPr>
        <w:t xml:space="preserve"> طلبات اللجوء المقدمة من </w:t>
      </w:r>
      <w:r w:rsidRPr="00AA537D">
        <w:rPr>
          <w:spacing w:val="0"/>
          <w:kern w:val="0"/>
          <w:rtl/>
        </w:rPr>
        <w:t xml:space="preserve">أصحاب الشكوى </w:t>
      </w:r>
      <w:r w:rsidRPr="00AA537D">
        <w:rPr>
          <w:rFonts w:hint="cs"/>
          <w:spacing w:val="0"/>
          <w:kern w:val="0"/>
          <w:rtl/>
        </w:rPr>
        <w:t>وجرى تأكيدها من قبل إحدى المحاكم</w:t>
      </w:r>
      <w:r w:rsidRPr="00AA537D">
        <w:rPr>
          <w:spacing w:val="0"/>
          <w:kern w:val="0"/>
          <w:rtl/>
        </w:rPr>
        <w:t xml:space="preserve">، </w:t>
      </w:r>
      <w:r w:rsidRPr="00AA537D">
        <w:rPr>
          <w:rFonts w:hint="cs"/>
          <w:spacing w:val="0"/>
          <w:kern w:val="0"/>
          <w:rtl/>
        </w:rPr>
        <w:t>بما في ذلك ع</w:t>
      </w:r>
      <w:r w:rsidRPr="00AA537D">
        <w:rPr>
          <w:spacing w:val="0"/>
          <w:kern w:val="0"/>
          <w:rtl/>
        </w:rPr>
        <w:t xml:space="preserve">لى مستوى الاستئناف. </w:t>
      </w:r>
      <w:r w:rsidRPr="00AA537D">
        <w:rPr>
          <w:rFonts w:hint="cs"/>
          <w:spacing w:val="0"/>
          <w:kern w:val="0"/>
          <w:rtl/>
        </w:rPr>
        <w:t xml:space="preserve">واتخذت جميع الإجراءات </w:t>
      </w:r>
      <w:r w:rsidRPr="00AA537D">
        <w:rPr>
          <w:spacing w:val="0"/>
          <w:kern w:val="0"/>
          <w:rtl/>
        </w:rPr>
        <w:t>بطريقة نزيهة</w:t>
      </w:r>
      <w:r w:rsidRPr="00AA537D">
        <w:rPr>
          <w:rFonts w:hint="cs"/>
          <w:spacing w:val="0"/>
          <w:kern w:val="0"/>
          <w:rtl/>
        </w:rPr>
        <w:t xml:space="preserve"> وشفافة</w:t>
      </w:r>
      <w:r w:rsidRPr="00AA537D">
        <w:rPr>
          <w:spacing w:val="0"/>
          <w:kern w:val="0"/>
          <w:rtl/>
        </w:rPr>
        <w:t xml:space="preserve">. وأُتيحت لجميع أصحاب الشكوى خدمات </w:t>
      </w:r>
      <w:r w:rsidRPr="00AA537D">
        <w:rPr>
          <w:rFonts w:hint="cs"/>
          <w:spacing w:val="0"/>
          <w:kern w:val="0"/>
          <w:rtl/>
        </w:rPr>
        <w:t>ال</w:t>
      </w:r>
      <w:r w:rsidRPr="00AA537D">
        <w:rPr>
          <w:spacing w:val="0"/>
          <w:kern w:val="0"/>
          <w:rtl/>
        </w:rPr>
        <w:t xml:space="preserve">محامين، في جميع مراحل المحاكمة، بما في ذلك </w:t>
      </w:r>
      <w:r w:rsidRPr="00AA537D">
        <w:rPr>
          <w:rFonts w:hint="cs"/>
          <w:spacing w:val="0"/>
          <w:kern w:val="0"/>
          <w:rtl/>
        </w:rPr>
        <w:t>في مرحلة</w:t>
      </w:r>
      <w:r w:rsidRPr="00AA537D">
        <w:rPr>
          <w:spacing w:val="0"/>
          <w:kern w:val="0"/>
          <w:rtl/>
        </w:rPr>
        <w:t xml:space="preserve"> الاستئناف.</w:t>
      </w:r>
    </w:p>
    <w:p w:rsidR="00FA6676" w:rsidRPr="00AA537D" w:rsidRDefault="00FA6676" w:rsidP="00EB70BE">
      <w:pPr>
        <w:pStyle w:val="SingleTxtGA"/>
        <w:jc w:val="lowKashida"/>
        <w:rPr>
          <w:spacing w:val="0"/>
          <w:kern w:val="0"/>
          <w:rtl/>
        </w:rPr>
      </w:pPr>
      <w:r w:rsidRPr="00AA537D">
        <w:rPr>
          <w:rFonts w:hint="cs"/>
          <w:spacing w:val="0"/>
          <w:kern w:val="0"/>
          <w:rtl/>
        </w:rPr>
        <w:t>6</w:t>
      </w:r>
      <w:r w:rsidRPr="00AA537D">
        <w:rPr>
          <w:spacing w:val="0"/>
          <w:kern w:val="0"/>
          <w:rtl/>
        </w:rPr>
        <w:t>-</w:t>
      </w:r>
      <w:r w:rsidRPr="00AA537D">
        <w:rPr>
          <w:rFonts w:hint="cs"/>
          <w:spacing w:val="0"/>
          <w:kern w:val="0"/>
          <w:rtl/>
        </w:rPr>
        <w:t>3</w:t>
      </w:r>
      <w:r w:rsidRPr="00AA537D">
        <w:rPr>
          <w:spacing w:val="0"/>
          <w:kern w:val="0"/>
          <w:rtl/>
        </w:rPr>
        <w:tab/>
        <w:t>وتشدد الدولة الطرف على أن قرارات لجنة الهجرة استندت إلى معلومات موثوقة</w:t>
      </w:r>
      <w:r w:rsidR="00EB70BE">
        <w:rPr>
          <w:rFonts w:hint="cs"/>
          <w:spacing w:val="0"/>
          <w:kern w:val="0"/>
          <w:rtl/>
        </w:rPr>
        <w:t> </w:t>
      </w:r>
      <w:r w:rsidRPr="00AA537D">
        <w:rPr>
          <w:spacing w:val="0"/>
          <w:kern w:val="0"/>
          <w:rtl/>
        </w:rPr>
        <w:t xml:space="preserve">ومتحقق منها مفادها أن وجود أصحاب الشكوى في كازاخستان يشكل تهديداً للدولة الطرف ومن شأنه أيضاً أن يسبب ضرراً لا يمكن </w:t>
      </w:r>
      <w:r w:rsidRPr="00AA537D">
        <w:rPr>
          <w:rFonts w:hint="cs"/>
          <w:spacing w:val="0"/>
          <w:kern w:val="0"/>
          <w:rtl/>
        </w:rPr>
        <w:t>رده</w:t>
      </w:r>
      <w:r w:rsidRPr="00AA537D">
        <w:rPr>
          <w:spacing w:val="0"/>
          <w:kern w:val="0"/>
          <w:rtl/>
        </w:rPr>
        <w:t xml:space="preserve"> </w:t>
      </w:r>
      <w:r w:rsidRPr="00AA537D">
        <w:rPr>
          <w:rFonts w:hint="cs"/>
          <w:spacing w:val="0"/>
          <w:kern w:val="0"/>
          <w:rtl/>
        </w:rPr>
        <w:t>ل</w:t>
      </w:r>
      <w:r w:rsidRPr="00AA537D">
        <w:rPr>
          <w:spacing w:val="0"/>
          <w:kern w:val="0"/>
          <w:rtl/>
        </w:rPr>
        <w:t xml:space="preserve">لأمن </w:t>
      </w:r>
      <w:r w:rsidRPr="00AA537D">
        <w:rPr>
          <w:rFonts w:hint="cs"/>
          <w:spacing w:val="0"/>
          <w:kern w:val="0"/>
          <w:rtl/>
        </w:rPr>
        <w:t xml:space="preserve">في </w:t>
      </w:r>
      <w:r w:rsidRPr="00AA537D">
        <w:rPr>
          <w:spacing w:val="0"/>
          <w:kern w:val="0"/>
          <w:rtl/>
        </w:rPr>
        <w:t xml:space="preserve">دول أخرى. وتنص المادة </w:t>
      </w:r>
      <w:r w:rsidRPr="00AA537D">
        <w:rPr>
          <w:rFonts w:hint="cs"/>
          <w:spacing w:val="0"/>
          <w:kern w:val="0"/>
          <w:rtl/>
        </w:rPr>
        <w:t>1(</w:t>
      </w:r>
      <w:r w:rsidRPr="00AA537D">
        <w:rPr>
          <w:spacing w:val="0"/>
          <w:kern w:val="0"/>
          <w:rtl/>
        </w:rPr>
        <w:t>واو</w:t>
      </w:r>
      <w:r w:rsidRPr="00AA537D">
        <w:rPr>
          <w:rFonts w:hint="cs"/>
          <w:spacing w:val="0"/>
          <w:kern w:val="0"/>
          <w:rtl/>
        </w:rPr>
        <w:t>)</w:t>
      </w:r>
      <w:r w:rsidRPr="00AA537D">
        <w:rPr>
          <w:spacing w:val="0"/>
          <w:kern w:val="0"/>
          <w:rtl/>
        </w:rPr>
        <w:t>(ج) من اتفاقية عام 1951 الخاصة بوضع اللاجئين على أن أحكام الاتفاقية لا</w:t>
      </w:r>
      <w:r w:rsidR="00EB70BE">
        <w:rPr>
          <w:rFonts w:hint="cs"/>
          <w:spacing w:val="0"/>
          <w:kern w:val="0"/>
          <w:rtl/>
        </w:rPr>
        <w:t> </w:t>
      </w:r>
      <w:r w:rsidRPr="00AA537D">
        <w:rPr>
          <w:spacing w:val="0"/>
          <w:kern w:val="0"/>
          <w:rtl/>
        </w:rPr>
        <w:t xml:space="preserve">تنطبق على أي شخص </w:t>
      </w:r>
      <w:r w:rsidRPr="00AA537D">
        <w:rPr>
          <w:rFonts w:hint="cs"/>
          <w:spacing w:val="0"/>
          <w:kern w:val="0"/>
          <w:rtl/>
        </w:rPr>
        <w:t xml:space="preserve">تتوفر </w:t>
      </w:r>
      <w:r w:rsidRPr="00AA537D">
        <w:rPr>
          <w:spacing w:val="0"/>
          <w:kern w:val="0"/>
          <w:rtl/>
        </w:rPr>
        <w:t>أسباب جدية للاعتقاد بأنه "ارتكب أفعا</w:t>
      </w:r>
      <w:r w:rsidRPr="00AA537D">
        <w:rPr>
          <w:rFonts w:hint="cs"/>
          <w:spacing w:val="0"/>
          <w:kern w:val="0"/>
          <w:rtl/>
        </w:rPr>
        <w:t>لاً</w:t>
      </w:r>
      <w:r w:rsidRPr="00AA537D">
        <w:rPr>
          <w:spacing w:val="0"/>
          <w:kern w:val="0"/>
          <w:rtl/>
        </w:rPr>
        <w:t xml:space="preserve"> مضادة لأهداف الأمم المتحدة ومبادئها". وعملاً بالمادة 12 من قانون اللاجئين في كازاخستان، لا </w:t>
      </w:r>
      <w:r w:rsidRPr="00AA537D">
        <w:rPr>
          <w:rFonts w:hint="cs"/>
          <w:spacing w:val="0"/>
          <w:kern w:val="0"/>
          <w:rtl/>
        </w:rPr>
        <w:t xml:space="preserve">يجوز </w:t>
      </w:r>
      <w:r w:rsidRPr="00AA537D">
        <w:rPr>
          <w:spacing w:val="0"/>
          <w:kern w:val="0"/>
          <w:rtl/>
        </w:rPr>
        <w:t>منح</w:t>
      </w:r>
      <w:r w:rsidR="00EB70BE">
        <w:rPr>
          <w:rFonts w:hint="cs"/>
          <w:spacing w:val="0"/>
          <w:kern w:val="0"/>
          <w:rtl/>
        </w:rPr>
        <w:t> </w:t>
      </w:r>
      <w:r w:rsidRPr="00AA537D">
        <w:rPr>
          <w:spacing w:val="0"/>
          <w:kern w:val="0"/>
          <w:rtl/>
        </w:rPr>
        <w:t>مركز اللاجئ</w:t>
      </w:r>
      <w:r w:rsidRPr="00AA537D">
        <w:rPr>
          <w:rFonts w:hint="cs"/>
          <w:spacing w:val="0"/>
          <w:kern w:val="0"/>
          <w:rtl/>
        </w:rPr>
        <w:t xml:space="preserve"> </w:t>
      </w:r>
      <w:r w:rsidRPr="00AA537D">
        <w:rPr>
          <w:spacing w:val="0"/>
          <w:kern w:val="0"/>
          <w:rtl/>
        </w:rPr>
        <w:t>عند</w:t>
      </w:r>
      <w:r w:rsidRPr="00AA537D">
        <w:rPr>
          <w:rFonts w:hint="cs"/>
          <w:spacing w:val="0"/>
          <w:kern w:val="0"/>
          <w:rtl/>
        </w:rPr>
        <w:t xml:space="preserve"> وجود</w:t>
      </w:r>
      <w:r w:rsidRPr="00AA537D">
        <w:rPr>
          <w:spacing w:val="0"/>
          <w:kern w:val="0"/>
          <w:rtl/>
        </w:rPr>
        <w:t xml:space="preserve"> أسباب جدية للاعتقاد بأن الأفراد المعنيين يشاركون أو </w:t>
      </w:r>
      <w:r w:rsidRPr="00AA537D">
        <w:rPr>
          <w:rFonts w:hint="cs"/>
          <w:spacing w:val="0"/>
          <w:kern w:val="0"/>
          <w:rtl/>
        </w:rPr>
        <w:t>سبقت لهم الم</w:t>
      </w:r>
      <w:r w:rsidRPr="00AA537D">
        <w:rPr>
          <w:spacing w:val="0"/>
          <w:kern w:val="0"/>
          <w:rtl/>
        </w:rPr>
        <w:t>شارك</w:t>
      </w:r>
      <w:r w:rsidRPr="00AA537D">
        <w:rPr>
          <w:rFonts w:hint="cs"/>
          <w:spacing w:val="0"/>
          <w:kern w:val="0"/>
          <w:rtl/>
        </w:rPr>
        <w:t>ة</w:t>
      </w:r>
      <w:r w:rsidRPr="00AA537D">
        <w:rPr>
          <w:spacing w:val="0"/>
          <w:kern w:val="0"/>
          <w:rtl/>
        </w:rPr>
        <w:t xml:space="preserve"> في أنشطة منظمات دينية محظورة. وعلى هذا الأساس، وبعد أن نظرت المفوضية في المواد المتعلقة بالملف، قررت</w:t>
      </w:r>
      <w:r w:rsidRPr="00AA537D">
        <w:rPr>
          <w:rFonts w:hint="cs"/>
          <w:spacing w:val="0"/>
          <w:kern w:val="0"/>
          <w:rtl/>
        </w:rPr>
        <w:t xml:space="preserve"> سحب</w:t>
      </w:r>
      <w:r w:rsidRPr="00AA537D">
        <w:rPr>
          <w:spacing w:val="0"/>
          <w:kern w:val="0"/>
          <w:rtl/>
        </w:rPr>
        <w:t xml:space="preserve"> شهادات </w:t>
      </w:r>
      <w:r w:rsidRPr="00AA537D">
        <w:rPr>
          <w:rFonts w:hint="cs"/>
          <w:spacing w:val="0"/>
          <w:kern w:val="0"/>
          <w:rtl/>
        </w:rPr>
        <w:t>اللجوء</w:t>
      </w:r>
      <w:r w:rsidRPr="00AA537D">
        <w:rPr>
          <w:spacing w:val="0"/>
          <w:kern w:val="0"/>
          <w:rtl/>
        </w:rPr>
        <w:t xml:space="preserve"> التي سبق </w:t>
      </w:r>
      <w:r w:rsidRPr="00AA537D">
        <w:rPr>
          <w:rFonts w:hint="cs"/>
          <w:spacing w:val="0"/>
          <w:kern w:val="0"/>
          <w:rtl/>
        </w:rPr>
        <w:t>أن أصدرتها</w:t>
      </w:r>
      <w:r w:rsidRPr="00AA537D">
        <w:rPr>
          <w:spacing w:val="0"/>
          <w:kern w:val="0"/>
          <w:rtl/>
        </w:rPr>
        <w:t xml:space="preserve"> لعدد من أصحاب الشكوى.</w:t>
      </w:r>
    </w:p>
    <w:p w:rsidR="00FA6676" w:rsidRPr="00AA537D" w:rsidRDefault="00FA6676" w:rsidP="00AA537D">
      <w:pPr>
        <w:pStyle w:val="SingleTxtGA"/>
        <w:jc w:val="lowKashida"/>
        <w:rPr>
          <w:spacing w:val="0"/>
          <w:kern w:val="0"/>
          <w:rtl/>
        </w:rPr>
      </w:pPr>
      <w:r w:rsidRPr="00AA537D">
        <w:rPr>
          <w:rFonts w:hint="cs"/>
          <w:spacing w:val="0"/>
          <w:kern w:val="0"/>
          <w:rtl/>
        </w:rPr>
        <w:t>6</w:t>
      </w:r>
      <w:r w:rsidRPr="00AA537D">
        <w:rPr>
          <w:spacing w:val="0"/>
          <w:kern w:val="0"/>
          <w:rtl/>
        </w:rPr>
        <w:t>-</w:t>
      </w:r>
      <w:r w:rsidRPr="00AA537D">
        <w:rPr>
          <w:rFonts w:hint="cs"/>
          <w:spacing w:val="0"/>
          <w:kern w:val="0"/>
          <w:rtl/>
        </w:rPr>
        <w:t>4</w:t>
      </w:r>
      <w:r w:rsidRPr="00AA537D">
        <w:rPr>
          <w:spacing w:val="0"/>
          <w:kern w:val="0"/>
          <w:rtl/>
        </w:rPr>
        <w:tab/>
      </w:r>
      <w:r w:rsidRPr="00AA537D">
        <w:rPr>
          <w:rFonts w:hint="cs"/>
          <w:spacing w:val="0"/>
          <w:kern w:val="0"/>
          <w:rtl/>
        </w:rPr>
        <w:t>و</w:t>
      </w:r>
      <w:r w:rsidRPr="00AA537D">
        <w:rPr>
          <w:spacing w:val="0"/>
          <w:kern w:val="0"/>
          <w:rtl/>
        </w:rPr>
        <w:t xml:space="preserve">فيما يخص حالة أصحاب الشكوى في أوزبكستان، </w:t>
      </w:r>
      <w:r w:rsidRPr="00AA537D">
        <w:rPr>
          <w:rFonts w:ascii="Traditional Arabic" w:hAnsi="Traditional Arabic" w:hint="cs"/>
          <w:spacing w:val="0"/>
          <w:kern w:val="0"/>
          <w:rtl/>
        </w:rPr>
        <w:t>كررت ا</w:t>
      </w:r>
      <w:r w:rsidRPr="00AA537D">
        <w:rPr>
          <w:spacing w:val="0"/>
          <w:kern w:val="0"/>
          <w:rtl/>
        </w:rPr>
        <w:t>لدولة الطرف</w:t>
      </w:r>
      <w:r w:rsidRPr="00AA537D">
        <w:rPr>
          <w:rFonts w:hint="cs"/>
          <w:spacing w:val="0"/>
          <w:kern w:val="0"/>
          <w:rtl/>
        </w:rPr>
        <w:t xml:space="preserve"> أن</w:t>
      </w:r>
      <w:r w:rsidRPr="00AA537D">
        <w:rPr>
          <w:spacing w:val="0"/>
          <w:kern w:val="0"/>
          <w:rtl/>
        </w:rPr>
        <w:t xml:space="preserve"> أوزبكستان طرف في الصكوك الدولية الأساسية لحقوق الإنسان، </w:t>
      </w:r>
      <w:r w:rsidRPr="00AA537D">
        <w:rPr>
          <w:rFonts w:hint="cs"/>
          <w:spacing w:val="0"/>
          <w:kern w:val="0"/>
          <w:rtl/>
        </w:rPr>
        <w:t>وأن ا</w:t>
      </w:r>
      <w:r w:rsidRPr="00AA537D">
        <w:rPr>
          <w:spacing w:val="0"/>
          <w:kern w:val="0"/>
          <w:rtl/>
        </w:rPr>
        <w:t xml:space="preserve">لمحاكمات الجنائية </w:t>
      </w:r>
      <w:r w:rsidRPr="00AA537D">
        <w:rPr>
          <w:rFonts w:hint="cs"/>
          <w:spacing w:val="0"/>
          <w:kern w:val="0"/>
          <w:rtl/>
        </w:rPr>
        <w:t xml:space="preserve">فيها تجرى </w:t>
      </w:r>
      <w:r w:rsidRPr="00AA537D">
        <w:rPr>
          <w:spacing w:val="0"/>
          <w:kern w:val="0"/>
          <w:rtl/>
        </w:rPr>
        <w:t>وفقاً للقانون الوطني وفي ضوء الالتزامات الدولية لأوزبكستان. و</w:t>
      </w:r>
      <w:r w:rsidRPr="00AA537D">
        <w:rPr>
          <w:rFonts w:hint="cs"/>
          <w:spacing w:val="0"/>
          <w:kern w:val="0"/>
          <w:rtl/>
        </w:rPr>
        <w:t>ق</w:t>
      </w:r>
      <w:r w:rsidRPr="00AA537D">
        <w:rPr>
          <w:spacing w:val="0"/>
          <w:kern w:val="0"/>
          <w:rtl/>
        </w:rPr>
        <w:t xml:space="preserve">دمت أوزبكستان ضمانات فيما يتعلق باحترام الحقوق والحريات الأساسية </w:t>
      </w:r>
      <w:r w:rsidRPr="00AA537D">
        <w:rPr>
          <w:rFonts w:hint="cs"/>
          <w:spacing w:val="0"/>
          <w:kern w:val="0"/>
          <w:rtl/>
        </w:rPr>
        <w:t xml:space="preserve">لأصحاب الشكوى </w:t>
      </w:r>
      <w:r w:rsidRPr="00AA537D">
        <w:rPr>
          <w:spacing w:val="0"/>
          <w:kern w:val="0"/>
          <w:rtl/>
        </w:rPr>
        <w:t>و</w:t>
      </w:r>
      <w:r w:rsidRPr="00AA537D">
        <w:rPr>
          <w:rFonts w:hint="cs"/>
          <w:spacing w:val="0"/>
          <w:kern w:val="0"/>
          <w:rtl/>
        </w:rPr>
        <w:t xml:space="preserve">عدم تعرضهم </w:t>
      </w:r>
      <w:r w:rsidRPr="00AA537D">
        <w:rPr>
          <w:spacing w:val="0"/>
          <w:kern w:val="0"/>
          <w:rtl/>
        </w:rPr>
        <w:t xml:space="preserve">للتعذيب </w:t>
      </w:r>
      <w:r w:rsidRPr="00AA537D">
        <w:rPr>
          <w:rFonts w:hint="cs"/>
          <w:spacing w:val="0"/>
          <w:kern w:val="0"/>
          <w:rtl/>
        </w:rPr>
        <w:t>أ</w:t>
      </w:r>
      <w:r w:rsidRPr="00AA537D">
        <w:rPr>
          <w:spacing w:val="0"/>
          <w:kern w:val="0"/>
          <w:rtl/>
        </w:rPr>
        <w:t>و</w:t>
      </w:r>
      <w:r w:rsidRPr="00AA537D">
        <w:rPr>
          <w:rFonts w:hint="cs"/>
          <w:spacing w:val="0"/>
          <w:kern w:val="0"/>
          <w:rtl/>
        </w:rPr>
        <w:t xml:space="preserve"> </w:t>
      </w:r>
      <w:r w:rsidRPr="00AA537D">
        <w:rPr>
          <w:spacing w:val="0"/>
          <w:kern w:val="0"/>
          <w:rtl/>
        </w:rPr>
        <w:t>غيره من ضروب المعاملة القاسية أو اللاإنسانية أو المهينة.</w:t>
      </w:r>
    </w:p>
    <w:p w:rsidR="00FA6676" w:rsidRPr="00EB70BE" w:rsidRDefault="00FA6676" w:rsidP="00EB70BE">
      <w:pPr>
        <w:pStyle w:val="H23GA"/>
        <w:jc w:val="lowKashida"/>
        <w:rPr>
          <w:rFonts w:hint="cs"/>
          <w:spacing w:val="0"/>
          <w:kern w:val="0"/>
          <w:rtl/>
        </w:rPr>
      </w:pPr>
      <w:r w:rsidRPr="00EB70BE">
        <w:rPr>
          <w:rFonts w:hint="cs"/>
          <w:spacing w:val="0"/>
          <w:kern w:val="0"/>
          <w:rtl/>
        </w:rPr>
        <w:tab/>
      </w:r>
      <w:r w:rsidRPr="00EB70BE">
        <w:rPr>
          <w:rFonts w:hint="cs"/>
          <w:spacing w:val="0"/>
          <w:kern w:val="0"/>
          <w:rtl/>
        </w:rPr>
        <w:tab/>
        <w:t>المعلومات الإضافية المقدمة من أصحاب الشكوى بشأن الأسس الموضوعية</w:t>
      </w:r>
    </w:p>
    <w:p w:rsidR="00FA6676" w:rsidRPr="00EB70BE" w:rsidRDefault="00FA6676" w:rsidP="00EB70BE">
      <w:pPr>
        <w:pStyle w:val="SingleTxtGA"/>
        <w:jc w:val="lowKashida"/>
        <w:rPr>
          <w:rFonts w:hint="cs"/>
          <w:spacing w:val="0"/>
          <w:kern w:val="0"/>
          <w:rtl/>
        </w:rPr>
      </w:pPr>
      <w:r w:rsidRPr="00EB70BE">
        <w:rPr>
          <w:rFonts w:hint="cs"/>
          <w:spacing w:val="0"/>
          <w:kern w:val="0"/>
          <w:rtl/>
        </w:rPr>
        <w:t>7-1</w:t>
      </w:r>
      <w:r w:rsidRPr="00EB70BE">
        <w:rPr>
          <w:rFonts w:hint="cs"/>
          <w:spacing w:val="0"/>
          <w:kern w:val="0"/>
          <w:rtl/>
        </w:rPr>
        <w:tab/>
        <w:t>في</w:t>
      </w:r>
      <w:r w:rsidRPr="00EB70BE">
        <w:rPr>
          <w:spacing w:val="0"/>
          <w:kern w:val="0"/>
          <w:rtl/>
        </w:rPr>
        <w:t xml:space="preserve"> 29 </w:t>
      </w:r>
      <w:r w:rsidRPr="00EB70BE">
        <w:rPr>
          <w:rFonts w:hint="cs"/>
          <w:spacing w:val="0"/>
          <w:kern w:val="0"/>
          <w:rtl/>
        </w:rPr>
        <w:t>شباط/</w:t>
      </w:r>
      <w:r w:rsidRPr="00EB70BE">
        <w:rPr>
          <w:spacing w:val="0"/>
          <w:kern w:val="0"/>
          <w:rtl/>
        </w:rPr>
        <w:t xml:space="preserve">فبراير 2012، </w:t>
      </w:r>
      <w:r w:rsidRPr="00EB70BE">
        <w:rPr>
          <w:rFonts w:hint="cs"/>
          <w:spacing w:val="0"/>
          <w:kern w:val="0"/>
          <w:rtl/>
        </w:rPr>
        <w:t xml:space="preserve">قدمت </w:t>
      </w:r>
      <w:r w:rsidRPr="00EB70BE">
        <w:rPr>
          <w:spacing w:val="0"/>
          <w:kern w:val="0"/>
          <w:rtl/>
        </w:rPr>
        <w:t>المحامي</w:t>
      </w:r>
      <w:r w:rsidRPr="00EB70BE">
        <w:rPr>
          <w:rFonts w:hint="cs"/>
          <w:spacing w:val="0"/>
          <w:kern w:val="0"/>
          <w:rtl/>
        </w:rPr>
        <w:t>ة</w:t>
      </w:r>
      <w:r w:rsidRPr="00EB70BE">
        <w:rPr>
          <w:spacing w:val="0"/>
          <w:kern w:val="0"/>
          <w:rtl/>
        </w:rPr>
        <w:t xml:space="preserve"> معلومات </w:t>
      </w:r>
      <w:r w:rsidRPr="00EB70BE">
        <w:rPr>
          <w:rFonts w:hint="cs"/>
          <w:spacing w:val="0"/>
          <w:kern w:val="0"/>
          <w:rtl/>
        </w:rPr>
        <w:t xml:space="preserve">إضافية بشأن الأسباب التي دعت أصحاب الشكوى إلى التماس الحماية </w:t>
      </w:r>
      <w:r w:rsidRPr="00EB70BE">
        <w:rPr>
          <w:spacing w:val="0"/>
          <w:kern w:val="0"/>
          <w:rtl/>
        </w:rPr>
        <w:t>في كازاخستان. و</w:t>
      </w:r>
      <w:r w:rsidRPr="00EB70BE">
        <w:rPr>
          <w:rFonts w:hint="cs"/>
          <w:spacing w:val="0"/>
          <w:kern w:val="0"/>
          <w:rtl/>
        </w:rPr>
        <w:t xml:space="preserve">أشارت </w:t>
      </w:r>
      <w:r w:rsidRPr="00EB70BE">
        <w:rPr>
          <w:spacing w:val="0"/>
          <w:kern w:val="0"/>
          <w:rtl/>
        </w:rPr>
        <w:t>المحامي</w:t>
      </w:r>
      <w:r w:rsidRPr="00EB70BE">
        <w:rPr>
          <w:rFonts w:hint="cs"/>
          <w:spacing w:val="0"/>
          <w:kern w:val="0"/>
          <w:rtl/>
        </w:rPr>
        <w:t>ة</w:t>
      </w:r>
      <w:r w:rsidRPr="00EB70BE">
        <w:rPr>
          <w:spacing w:val="0"/>
          <w:kern w:val="0"/>
          <w:rtl/>
        </w:rPr>
        <w:t xml:space="preserve"> إلى أنها لم</w:t>
      </w:r>
      <w:r w:rsidRPr="00EB70BE">
        <w:rPr>
          <w:rFonts w:hint="cs"/>
          <w:spacing w:val="0"/>
          <w:kern w:val="0"/>
          <w:rtl/>
        </w:rPr>
        <w:t> تتمكن</w:t>
      </w:r>
      <w:r w:rsidRPr="00EB70BE">
        <w:rPr>
          <w:spacing w:val="0"/>
          <w:kern w:val="0"/>
          <w:rtl/>
        </w:rPr>
        <w:t xml:space="preserve"> </w:t>
      </w:r>
      <w:r w:rsidRPr="00EB70BE">
        <w:rPr>
          <w:rFonts w:hint="cs"/>
          <w:spacing w:val="0"/>
          <w:kern w:val="0"/>
          <w:rtl/>
        </w:rPr>
        <w:t>من</w:t>
      </w:r>
      <w:r w:rsidRPr="00EB70BE">
        <w:rPr>
          <w:spacing w:val="0"/>
          <w:kern w:val="0"/>
          <w:rtl/>
        </w:rPr>
        <w:t xml:space="preserve"> الاتصال بأصحاب الشكوى </w:t>
      </w:r>
      <w:r w:rsidRPr="00EB70BE">
        <w:rPr>
          <w:rFonts w:hint="cs"/>
          <w:spacing w:val="0"/>
          <w:kern w:val="0"/>
          <w:rtl/>
        </w:rPr>
        <w:t xml:space="preserve">المحتجزين </w:t>
      </w:r>
      <w:r w:rsidRPr="00EB70BE">
        <w:rPr>
          <w:spacing w:val="0"/>
          <w:kern w:val="0"/>
          <w:rtl/>
        </w:rPr>
        <w:t xml:space="preserve">في كازاخستان أو أوزبكستان </w:t>
      </w:r>
      <w:r w:rsidRPr="00EB70BE">
        <w:rPr>
          <w:rFonts w:hint="cs"/>
          <w:spacing w:val="0"/>
          <w:kern w:val="0"/>
          <w:rtl/>
        </w:rPr>
        <w:t>بعد</w:t>
      </w:r>
      <w:r w:rsidRPr="00EB70BE">
        <w:rPr>
          <w:spacing w:val="0"/>
          <w:kern w:val="0"/>
          <w:rtl/>
        </w:rPr>
        <w:t xml:space="preserve"> تسليمهم</w:t>
      </w:r>
      <w:r w:rsidRPr="00EB70BE">
        <w:rPr>
          <w:rFonts w:hint="cs"/>
          <w:spacing w:val="0"/>
          <w:kern w:val="0"/>
          <w:rtl/>
        </w:rPr>
        <w:t xml:space="preserve">، ولذلك تستند المعلومات إلى </w:t>
      </w:r>
      <w:r w:rsidRPr="00EB70BE">
        <w:rPr>
          <w:spacing w:val="0"/>
          <w:kern w:val="0"/>
          <w:rtl/>
        </w:rPr>
        <w:t xml:space="preserve">طلبات اللجوء </w:t>
      </w:r>
      <w:r w:rsidRPr="00EB70BE">
        <w:rPr>
          <w:rFonts w:hint="cs"/>
          <w:spacing w:val="0"/>
          <w:kern w:val="0"/>
          <w:rtl/>
        </w:rPr>
        <w:t>الخاصة بهم، و</w:t>
      </w:r>
      <w:r w:rsidRPr="00EB70BE">
        <w:rPr>
          <w:spacing w:val="0"/>
          <w:kern w:val="0"/>
          <w:rtl/>
        </w:rPr>
        <w:t xml:space="preserve">الطعون والالتماسات القانونية المقدمة من محاميهم في الدعاوى القضائية </w:t>
      </w:r>
      <w:r w:rsidRPr="00EB70BE">
        <w:rPr>
          <w:rFonts w:hint="cs"/>
          <w:spacing w:val="0"/>
          <w:kern w:val="0"/>
          <w:rtl/>
        </w:rPr>
        <w:t xml:space="preserve">المرفوعة </w:t>
      </w:r>
      <w:r w:rsidRPr="00EB70BE">
        <w:rPr>
          <w:spacing w:val="0"/>
          <w:kern w:val="0"/>
          <w:rtl/>
        </w:rPr>
        <w:t xml:space="preserve">أمام محاكم الدولة الطرف في </w:t>
      </w:r>
      <w:r w:rsidRPr="00EB70BE">
        <w:rPr>
          <w:rFonts w:hint="cs"/>
          <w:spacing w:val="0"/>
          <w:kern w:val="0"/>
          <w:rtl/>
        </w:rPr>
        <w:t>عامي</w:t>
      </w:r>
      <w:r w:rsidRPr="00EB70BE">
        <w:rPr>
          <w:rFonts w:hint="eastAsia"/>
          <w:spacing w:val="0"/>
          <w:kern w:val="0"/>
          <w:rtl/>
        </w:rPr>
        <w:t> </w:t>
      </w:r>
      <w:r w:rsidRPr="00EB70BE">
        <w:rPr>
          <w:spacing w:val="0"/>
          <w:kern w:val="0"/>
          <w:rtl/>
        </w:rPr>
        <w:t>2010 و2011</w:t>
      </w:r>
      <w:r w:rsidRPr="00EB70BE">
        <w:rPr>
          <w:rFonts w:hint="cs"/>
          <w:spacing w:val="0"/>
          <w:kern w:val="0"/>
          <w:rtl/>
        </w:rPr>
        <w:t>،</w:t>
      </w:r>
      <w:r w:rsidRPr="00EB70BE">
        <w:rPr>
          <w:spacing w:val="0"/>
          <w:kern w:val="0"/>
          <w:rtl/>
        </w:rPr>
        <w:t xml:space="preserve"> وأحكام المحاكم </w:t>
      </w:r>
      <w:r w:rsidRPr="00EB70BE">
        <w:rPr>
          <w:rFonts w:hint="cs"/>
          <w:spacing w:val="0"/>
          <w:kern w:val="0"/>
          <w:rtl/>
        </w:rPr>
        <w:t xml:space="preserve">في </w:t>
      </w:r>
      <w:r w:rsidRPr="00EB70BE">
        <w:rPr>
          <w:spacing w:val="0"/>
          <w:kern w:val="0"/>
          <w:rtl/>
        </w:rPr>
        <w:t xml:space="preserve">كازاخستان. </w:t>
      </w:r>
      <w:r w:rsidRPr="00EB70BE">
        <w:rPr>
          <w:rFonts w:hint="cs"/>
          <w:spacing w:val="0"/>
          <w:kern w:val="0"/>
          <w:rtl/>
        </w:rPr>
        <w:t xml:space="preserve">وقد </w:t>
      </w:r>
      <w:r w:rsidRPr="00EB70BE">
        <w:rPr>
          <w:spacing w:val="0"/>
          <w:kern w:val="0"/>
          <w:rtl/>
        </w:rPr>
        <w:t>وق</w:t>
      </w:r>
      <w:r w:rsidRPr="00EB70BE">
        <w:rPr>
          <w:rFonts w:hint="cs"/>
          <w:spacing w:val="0"/>
          <w:kern w:val="0"/>
          <w:rtl/>
        </w:rPr>
        <w:t>ّ</w:t>
      </w:r>
      <w:r w:rsidRPr="00EB70BE">
        <w:rPr>
          <w:spacing w:val="0"/>
          <w:kern w:val="0"/>
          <w:rtl/>
        </w:rPr>
        <w:t>ع جميع</w:t>
      </w:r>
      <w:r w:rsidRPr="00EB70BE">
        <w:rPr>
          <w:rFonts w:hint="cs"/>
          <w:spacing w:val="0"/>
          <w:kern w:val="0"/>
          <w:rtl/>
        </w:rPr>
        <w:t xml:space="preserve"> أصحاب الشكوى على توكيل رسمي </w:t>
      </w:r>
      <w:r w:rsidRPr="00EB70BE">
        <w:rPr>
          <w:spacing w:val="0"/>
          <w:kern w:val="0"/>
          <w:rtl/>
        </w:rPr>
        <w:t>للمحامي</w:t>
      </w:r>
      <w:r w:rsidRPr="00EB70BE">
        <w:rPr>
          <w:rFonts w:hint="cs"/>
          <w:spacing w:val="0"/>
          <w:kern w:val="0"/>
          <w:rtl/>
        </w:rPr>
        <w:t>ة</w:t>
      </w:r>
      <w:r w:rsidRPr="00EB70BE">
        <w:rPr>
          <w:spacing w:val="0"/>
          <w:kern w:val="0"/>
          <w:rtl/>
        </w:rPr>
        <w:t xml:space="preserve"> في</w:t>
      </w:r>
      <w:r w:rsidRPr="00EB70BE">
        <w:rPr>
          <w:rFonts w:hint="cs"/>
          <w:spacing w:val="0"/>
          <w:kern w:val="0"/>
          <w:rtl/>
        </w:rPr>
        <w:t xml:space="preserve"> إطار </w:t>
      </w:r>
      <w:r w:rsidRPr="00EB70BE">
        <w:rPr>
          <w:spacing w:val="0"/>
          <w:kern w:val="0"/>
          <w:rtl/>
        </w:rPr>
        <w:t>هذا البلاغ</w:t>
      </w:r>
      <w:r w:rsidRPr="00EB70BE">
        <w:rPr>
          <w:rFonts w:hint="cs"/>
          <w:spacing w:val="0"/>
          <w:kern w:val="0"/>
          <w:rtl/>
        </w:rPr>
        <w:t>.</w:t>
      </w:r>
    </w:p>
    <w:p w:rsidR="00FA6676" w:rsidRPr="00EB70BE" w:rsidRDefault="00FA6676" w:rsidP="00EB70BE">
      <w:pPr>
        <w:pStyle w:val="H4GA"/>
        <w:jc w:val="lowKashida"/>
        <w:rPr>
          <w:rFonts w:hint="cs"/>
          <w:spacing w:val="0"/>
          <w:kern w:val="0"/>
          <w:rtl/>
        </w:rPr>
      </w:pPr>
      <w:r w:rsidRPr="00EB70BE">
        <w:rPr>
          <w:rFonts w:hint="cs"/>
          <w:spacing w:val="0"/>
          <w:kern w:val="0"/>
          <w:rtl/>
        </w:rPr>
        <w:tab/>
      </w:r>
      <w:r w:rsidRPr="00EB70BE">
        <w:rPr>
          <w:rFonts w:hint="cs"/>
          <w:spacing w:val="0"/>
          <w:kern w:val="0"/>
          <w:rtl/>
        </w:rPr>
        <w:tab/>
      </w:r>
      <w:r w:rsidRPr="00EB70BE">
        <w:rPr>
          <w:spacing w:val="0"/>
          <w:kern w:val="0"/>
          <w:rtl/>
        </w:rPr>
        <w:t>تو</w:t>
      </w:r>
      <w:r w:rsidRPr="00EB70BE">
        <w:rPr>
          <w:rFonts w:hint="cs"/>
          <w:spacing w:val="0"/>
          <w:kern w:val="0"/>
          <w:rtl/>
        </w:rPr>
        <w:t>ا</w:t>
      </w:r>
      <w:r w:rsidRPr="00EB70BE">
        <w:rPr>
          <w:spacing w:val="0"/>
          <w:kern w:val="0"/>
          <w:rtl/>
        </w:rPr>
        <w:t xml:space="preserve">رجون عبد الصمتوف </w:t>
      </w:r>
    </w:p>
    <w:p w:rsidR="00FA6676" w:rsidRPr="00EB70BE" w:rsidRDefault="00FA6676" w:rsidP="00EB70BE">
      <w:pPr>
        <w:pStyle w:val="SingleTxtGA"/>
        <w:jc w:val="lowKashida"/>
        <w:rPr>
          <w:rFonts w:hint="cs"/>
          <w:spacing w:val="0"/>
          <w:kern w:val="0"/>
          <w:rtl/>
        </w:rPr>
      </w:pPr>
      <w:r w:rsidRPr="00EB70BE">
        <w:rPr>
          <w:rFonts w:hint="cs"/>
          <w:spacing w:val="0"/>
          <w:kern w:val="0"/>
          <w:rtl/>
        </w:rPr>
        <w:t>7-2</w:t>
      </w:r>
      <w:r w:rsidRPr="00EB70BE">
        <w:rPr>
          <w:rFonts w:hint="cs"/>
          <w:spacing w:val="0"/>
          <w:kern w:val="0"/>
          <w:rtl/>
        </w:rPr>
        <w:tab/>
        <w:t>في</w:t>
      </w:r>
      <w:r w:rsidRPr="00EB70BE">
        <w:rPr>
          <w:spacing w:val="0"/>
          <w:kern w:val="0"/>
          <w:rtl/>
        </w:rPr>
        <w:t xml:space="preserve"> أيار/مايو 1999، انضم صاحب الشكوى </w:t>
      </w:r>
      <w:r w:rsidRPr="00EB70BE">
        <w:rPr>
          <w:rFonts w:hint="cs"/>
          <w:spacing w:val="0"/>
          <w:kern w:val="0"/>
          <w:rtl/>
        </w:rPr>
        <w:t>إلى ال</w:t>
      </w:r>
      <w:r w:rsidRPr="00EB70BE">
        <w:rPr>
          <w:spacing w:val="0"/>
          <w:kern w:val="0"/>
          <w:rtl/>
        </w:rPr>
        <w:t>حركة الإسلامية</w:t>
      </w:r>
      <w:r w:rsidRPr="00EB70BE">
        <w:rPr>
          <w:rFonts w:hint="cs"/>
          <w:spacing w:val="0"/>
          <w:kern w:val="0"/>
          <w:rtl/>
        </w:rPr>
        <w:t xml:space="preserve"> لأوزبكستان </w:t>
      </w:r>
      <w:r w:rsidRPr="00EB70BE">
        <w:rPr>
          <w:spacing w:val="0"/>
          <w:kern w:val="0"/>
          <w:rtl/>
        </w:rPr>
        <w:t xml:space="preserve">في طاجيكستان. وبعد شهر واحد، هرب من المخيم وسلم </w:t>
      </w:r>
      <w:r w:rsidRPr="00EB70BE">
        <w:rPr>
          <w:rFonts w:hint="cs"/>
          <w:spacing w:val="0"/>
          <w:kern w:val="0"/>
          <w:rtl/>
        </w:rPr>
        <w:t xml:space="preserve">نفسه </w:t>
      </w:r>
      <w:r w:rsidRPr="00EB70BE">
        <w:rPr>
          <w:spacing w:val="0"/>
          <w:kern w:val="0"/>
          <w:rtl/>
        </w:rPr>
        <w:t xml:space="preserve">للشرطة في أوزبكستان. </w:t>
      </w:r>
      <w:r w:rsidRPr="00EB70BE">
        <w:rPr>
          <w:rFonts w:hint="cs"/>
          <w:spacing w:val="0"/>
          <w:kern w:val="0"/>
          <w:rtl/>
        </w:rPr>
        <w:t>و</w:t>
      </w:r>
      <w:r w:rsidRPr="00EB70BE">
        <w:rPr>
          <w:spacing w:val="0"/>
          <w:kern w:val="0"/>
          <w:rtl/>
        </w:rPr>
        <w:t xml:space="preserve">في نيسان/أبريل 2000، </w:t>
      </w:r>
      <w:r w:rsidRPr="00EB70BE">
        <w:rPr>
          <w:rFonts w:hint="cs"/>
          <w:spacing w:val="0"/>
          <w:kern w:val="0"/>
          <w:rtl/>
        </w:rPr>
        <w:t>حكم عليه بالسجن ل</w:t>
      </w:r>
      <w:r w:rsidRPr="00EB70BE">
        <w:rPr>
          <w:spacing w:val="0"/>
          <w:kern w:val="0"/>
          <w:rtl/>
        </w:rPr>
        <w:t xml:space="preserve">مدة 20 </w:t>
      </w:r>
      <w:r w:rsidRPr="00EB70BE">
        <w:rPr>
          <w:rFonts w:hint="cs"/>
          <w:spacing w:val="0"/>
          <w:kern w:val="0"/>
          <w:rtl/>
        </w:rPr>
        <w:t>سنة</w:t>
      </w:r>
      <w:r w:rsidRPr="00EB70BE">
        <w:rPr>
          <w:spacing w:val="0"/>
          <w:kern w:val="0"/>
          <w:rtl/>
        </w:rPr>
        <w:t xml:space="preserve">. </w:t>
      </w:r>
      <w:r w:rsidRPr="00EB70BE">
        <w:rPr>
          <w:rFonts w:hint="cs"/>
          <w:spacing w:val="0"/>
          <w:kern w:val="0"/>
          <w:rtl/>
        </w:rPr>
        <w:t>و</w:t>
      </w:r>
      <w:r w:rsidRPr="00EB70BE">
        <w:rPr>
          <w:spacing w:val="0"/>
          <w:kern w:val="0"/>
          <w:rtl/>
        </w:rPr>
        <w:t>في شباط/فبراير 2005، تم العفو</w:t>
      </w:r>
      <w:r w:rsidRPr="00EB70BE">
        <w:rPr>
          <w:rFonts w:hint="cs"/>
          <w:spacing w:val="0"/>
          <w:kern w:val="0"/>
          <w:rtl/>
        </w:rPr>
        <w:t xml:space="preserve"> عنه</w:t>
      </w:r>
      <w:r w:rsidRPr="00EB70BE">
        <w:rPr>
          <w:spacing w:val="0"/>
          <w:kern w:val="0"/>
          <w:rtl/>
        </w:rPr>
        <w:t>، إلا أن الشرطة هددته بإعاد</w:t>
      </w:r>
      <w:r w:rsidRPr="00EB70BE">
        <w:rPr>
          <w:rFonts w:hint="cs"/>
          <w:spacing w:val="0"/>
          <w:kern w:val="0"/>
          <w:rtl/>
        </w:rPr>
        <w:t xml:space="preserve">ته إلى السجن إذا لم يوافق </w:t>
      </w:r>
      <w:r w:rsidRPr="00EB70BE">
        <w:rPr>
          <w:spacing w:val="0"/>
          <w:kern w:val="0"/>
          <w:rtl/>
        </w:rPr>
        <w:t>على التجسس على عدد</w:t>
      </w:r>
      <w:r w:rsidRPr="00EB70BE">
        <w:rPr>
          <w:rFonts w:hint="cs"/>
          <w:spacing w:val="0"/>
          <w:kern w:val="0"/>
          <w:rtl/>
        </w:rPr>
        <w:t xml:space="preserve"> كبير</w:t>
      </w:r>
      <w:r w:rsidRPr="00EB70BE">
        <w:rPr>
          <w:spacing w:val="0"/>
          <w:kern w:val="0"/>
          <w:rtl/>
        </w:rPr>
        <w:t xml:space="preserve"> من المسلمين </w:t>
      </w:r>
      <w:r w:rsidRPr="00EB70BE">
        <w:rPr>
          <w:rFonts w:hint="cs"/>
          <w:spacing w:val="0"/>
          <w:kern w:val="0"/>
          <w:rtl/>
        </w:rPr>
        <w:t>ب</w:t>
      </w:r>
      <w:r w:rsidRPr="00EB70BE">
        <w:rPr>
          <w:spacing w:val="0"/>
          <w:kern w:val="0"/>
          <w:rtl/>
        </w:rPr>
        <w:t xml:space="preserve">المسجد. </w:t>
      </w:r>
      <w:r w:rsidRPr="00EB70BE">
        <w:rPr>
          <w:rFonts w:hint="cs"/>
          <w:spacing w:val="0"/>
          <w:kern w:val="0"/>
          <w:rtl/>
        </w:rPr>
        <w:t>و</w:t>
      </w:r>
      <w:r w:rsidRPr="00EB70BE">
        <w:rPr>
          <w:spacing w:val="0"/>
          <w:kern w:val="0"/>
          <w:rtl/>
        </w:rPr>
        <w:t xml:space="preserve">في تشرين الثاني/نوفمبر 2005، ألقي القبض </w:t>
      </w:r>
      <w:r w:rsidRPr="00EB70BE">
        <w:rPr>
          <w:rFonts w:hint="cs"/>
          <w:spacing w:val="0"/>
          <w:kern w:val="0"/>
          <w:rtl/>
        </w:rPr>
        <w:t xml:space="preserve">على شقيقه </w:t>
      </w:r>
      <w:r w:rsidRPr="00EB70BE">
        <w:rPr>
          <w:spacing w:val="0"/>
          <w:kern w:val="0"/>
          <w:rtl/>
        </w:rPr>
        <w:t xml:space="preserve">في كازاخستان وأعيد قسراً </w:t>
      </w:r>
      <w:r w:rsidRPr="00EB70BE">
        <w:rPr>
          <w:rFonts w:hint="cs"/>
          <w:spacing w:val="0"/>
          <w:kern w:val="0"/>
          <w:rtl/>
        </w:rPr>
        <w:t xml:space="preserve">إلى أوزبكستان </w:t>
      </w:r>
      <w:r w:rsidRPr="00EB70BE">
        <w:rPr>
          <w:spacing w:val="0"/>
          <w:kern w:val="0"/>
          <w:rtl/>
        </w:rPr>
        <w:t xml:space="preserve">على الرغم من طلبه </w:t>
      </w:r>
      <w:r w:rsidRPr="00EB70BE">
        <w:rPr>
          <w:rFonts w:hint="cs"/>
          <w:spacing w:val="0"/>
          <w:kern w:val="0"/>
          <w:rtl/>
        </w:rPr>
        <w:t>ا</w:t>
      </w:r>
      <w:r w:rsidRPr="00EB70BE">
        <w:rPr>
          <w:spacing w:val="0"/>
          <w:kern w:val="0"/>
          <w:rtl/>
        </w:rPr>
        <w:t>للجوء</w:t>
      </w:r>
      <w:r w:rsidRPr="00EB70BE">
        <w:rPr>
          <w:rFonts w:hint="cs"/>
          <w:spacing w:val="0"/>
          <w:kern w:val="0"/>
          <w:rtl/>
        </w:rPr>
        <w:t xml:space="preserve"> إلى هذا البلد</w:t>
      </w:r>
      <w:r w:rsidRPr="00EB70BE">
        <w:rPr>
          <w:spacing w:val="0"/>
          <w:kern w:val="0"/>
          <w:rtl/>
        </w:rPr>
        <w:t>، و</w:t>
      </w:r>
      <w:r w:rsidRPr="00EB70BE">
        <w:rPr>
          <w:rFonts w:hint="cs"/>
          <w:spacing w:val="0"/>
          <w:kern w:val="0"/>
          <w:rtl/>
        </w:rPr>
        <w:t xml:space="preserve">فرضت بعد ذلك الرقابة على منزل </w:t>
      </w:r>
      <w:r w:rsidRPr="00EB70BE">
        <w:rPr>
          <w:spacing w:val="0"/>
          <w:kern w:val="0"/>
          <w:rtl/>
        </w:rPr>
        <w:t xml:space="preserve">الأسرة. في كانون الأول/ديسمبر 2005، وصل </w:t>
      </w:r>
      <w:r w:rsidRPr="00EB70BE">
        <w:rPr>
          <w:rFonts w:hint="cs"/>
          <w:spacing w:val="0"/>
          <w:kern w:val="0"/>
          <w:rtl/>
        </w:rPr>
        <w:t xml:space="preserve">صاحب </w:t>
      </w:r>
      <w:r w:rsidRPr="00EB70BE">
        <w:rPr>
          <w:spacing w:val="0"/>
          <w:kern w:val="0"/>
          <w:rtl/>
        </w:rPr>
        <w:t xml:space="preserve">الشكوى </w:t>
      </w:r>
      <w:r w:rsidRPr="00EB70BE">
        <w:rPr>
          <w:rFonts w:hint="cs"/>
          <w:spacing w:val="0"/>
          <w:kern w:val="0"/>
          <w:rtl/>
        </w:rPr>
        <w:t>إلى</w:t>
      </w:r>
      <w:r w:rsidRPr="00EB70BE">
        <w:rPr>
          <w:spacing w:val="0"/>
          <w:kern w:val="0"/>
          <w:rtl/>
        </w:rPr>
        <w:t xml:space="preserve"> ألماتي ومنح</w:t>
      </w:r>
      <w:r w:rsidRPr="00EB70BE">
        <w:rPr>
          <w:rFonts w:hint="cs"/>
          <w:spacing w:val="0"/>
          <w:kern w:val="0"/>
          <w:rtl/>
        </w:rPr>
        <w:t>ته مفوضية الأمم المتحدة السامية لشؤون اللاجئين</w:t>
      </w:r>
      <w:r w:rsidRPr="00EB70BE">
        <w:rPr>
          <w:spacing w:val="0"/>
          <w:kern w:val="0"/>
          <w:rtl/>
        </w:rPr>
        <w:t xml:space="preserve"> في تموز/يوليه 2007</w:t>
      </w:r>
      <w:r w:rsidRPr="00EB70BE">
        <w:rPr>
          <w:rFonts w:hint="cs"/>
          <w:spacing w:val="0"/>
          <w:kern w:val="0"/>
          <w:rtl/>
        </w:rPr>
        <w:t xml:space="preserve"> مركز اللاجئ</w:t>
      </w:r>
      <w:r w:rsidRPr="00EB70BE">
        <w:rPr>
          <w:spacing w:val="0"/>
          <w:kern w:val="0"/>
          <w:rtl/>
        </w:rPr>
        <w:t>. وبعد رحيل</w:t>
      </w:r>
      <w:r w:rsidRPr="00EB70BE">
        <w:rPr>
          <w:rFonts w:hint="cs"/>
          <w:spacing w:val="0"/>
          <w:kern w:val="0"/>
          <w:rtl/>
        </w:rPr>
        <w:t>ه</w:t>
      </w:r>
      <w:r w:rsidRPr="00EB70BE">
        <w:rPr>
          <w:spacing w:val="0"/>
          <w:kern w:val="0"/>
          <w:rtl/>
        </w:rPr>
        <w:t xml:space="preserve">، </w:t>
      </w:r>
      <w:r w:rsidRPr="00EB70BE">
        <w:rPr>
          <w:rFonts w:hint="cs"/>
          <w:spacing w:val="0"/>
          <w:kern w:val="0"/>
          <w:rtl/>
        </w:rPr>
        <w:t xml:space="preserve">ألقت الشرطة القبض على </w:t>
      </w:r>
      <w:r w:rsidRPr="00EB70BE">
        <w:rPr>
          <w:spacing w:val="0"/>
          <w:kern w:val="0"/>
          <w:rtl/>
        </w:rPr>
        <w:t xml:space="preserve">صهره </w:t>
      </w:r>
      <w:r w:rsidRPr="00EB70BE">
        <w:rPr>
          <w:rFonts w:hint="cs"/>
          <w:spacing w:val="0"/>
          <w:kern w:val="0"/>
          <w:rtl/>
        </w:rPr>
        <w:t xml:space="preserve">واعتدت عليه بالضرب وطلبت السلطات الأوزبكية من </w:t>
      </w:r>
      <w:r w:rsidRPr="00EB70BE">
        <w:rPr>
          <w:spacing w:val="0"/>
          <w:kern w:val="0"/>
          <w:rtl/>
        </w:rPr>
        <w:t xml:space="preserve">والدته وشقيقه </w:t>
      </w:r>
      <w:r w:rsidRPr="00EB70BE">
        <w:rPr>
          <w:rFonts w:hint="cs"/>
          <w:spacing w:val="0"/>
          <w:kern w:val="0"/>
          <w:rtl/>
        </w:rPr>
        <w:t>ا</w:t>
      </w:r>
      <w:r w:rsidRPr="00EB70BE">
        <w:rPr>
          <w:spacing w:val="0"/>
          <w:kern w:val="0"/>
          <w:rtl/>
        </w:rPr>
        <w:t xml:space="preserve">لبحث عنه والضغط عليه </w:t>
      </w:r>
      <w:r w:rsidRPr="00EB70BE">
        <w:rPr>
          <w:rFonts w:hint="cs"/>
          <w:spacing w:val="0"/>
          <w:kern w:val="0"/>
          <w:rtl/>
        </w:rPr>
        <w:t>ليعود إلى أوزبكستان.</w:t>
      </w:r>
    </w:p>
    <w:p w:rsidR="00FA6676" w:rsidRPr="00EB70BE" w:rsidRDefault="00FA6676" w:rsidP="00EB70BE">
      <w:pPr>
        <w:pStyle w:val="H4GA"/>
        <w:jc w:val="lowKashida"/>
        <w:rPr>
          <w:rFonts w:hint="cs"/>
          <w:spacing w:val="0"/>
          <w:kern w:val="0"/>
          <w:rtl/>
        </w:rPr>
      </w:pPr>
      <w:r w:rsidRPr="00EB70BE">
        <w:rPr>
          <w:rFonts w:hint="cs"/>
          <w:spacing w:val="0"/>
          <w:kern w:val="0"/>
          <w:rtl/>
        </w:rPr>
        <w:tab/>
      </w:r>
      <w:r w:rsidRPr="00EB70BE">
        <w:rPr>
          <w:rFonts w:hint="cs"/>
          <w:spacing w:val="0"/>
          <w:kern w:val="0"/>
          <w:rtl/>
        </w:rPr>
        <w:tab/>
      </w:r>
      <w:r w:rsidRPr="00EB70BE">
        <w:rPr>
          <w:spacing w:val="0"/>
          <w:kern w:val="0"/>
          <w:rtl/>
        </w:rPr>
        <w:t>فايز</w:t>
      </w:r>
      <w:r w:rsidRPr="00EB70BE">
        <w:rPr>
          <w:rFonts w:hint="cs"/>
          <w:spacing w:val="0"/>
          <w:kern w:val="0"/>
          <w:rtl/>
        </w:rPr>
        <w:t>ولوهون</w:t>
      </w:r>
      <w:r w:rsidRPr="00EB70BE">
        <w:rPr>
          <w:spacing w:val="0"/>
          <w:kern w:val="0"/>
          <w:rtl/>
        </w:rPr>
        <w:t xml:space="preserve"> أكبروف </w:t>
      </w:r>
    </w:p>
    <w:p w:rsidR="00FA6676" w:rsidRPr="00EB70BE" w:rsidRDefault="00FA6676" w:rsidP="00EB70BE">
      <w:pPr>
        <w:pStyle w:val="SingleTxtGA"/>
        <w:jc w:val="lowKashida"/>
        <w:rPr>
          <w:rFonts w:hint="cs"/>
          <w:spacing w:val="0"/>
          <w:kern w:val="0"/>
          <w:rtl/>
        </w:rPr>
      </w:pPr>
      <w:r w:rsidRPr="00EB70BE">
        <w:rPr>
          <w:rFonts w:hint="cs"/>
          <w:spacing w:val="0"/>
          <w:kern w:val="0"/>
          <w:rtl/>
        </w:rPr>
        <w:t>7-3</w:t>
      </w:r>
      <w:r w:rsidRPr="00EB70BE">
        <w:rPr>
          <w:rFonts w:hint="cs"/>
          <w:spacing w:val="0"/>
          <w:kern w:val="0"/>
          <w:rtl/>
        </w:rPr>
        <w:tab/>
        <w:t>في 18 حزيران/</w:t>
      </w:r>
      <w:r w:rsidRPr="00EB70BE">
        <w:rPr>
          <w:spacing w:val="0"/>
          <w:kern w:val="0"/>
          <w:rtl/>
        </w:rPr>
        <w:t>يوني</w:t>
      </w:r>
      <w:r w:rsidRPr="00EB70BE">
        <w:rPr>
          <w:rFonts w:hint="cs"/>
          <w:spacing w:val="0"/>
          <w:kern w:val="0"/>
          <w:rtl/>
        </w:rPr>
        <w:t>ه</w:t>
      </w:r>
      <w:r w:rsidRPr="00EB70BE">
        <w:rPr>
          <w:spacing w:val="0"/>
          <w:kern w:val="0"/>
          <w:rtl/>
        </w:rPr>
        <w:t xml:space="preserve"> 2009، </w:t>
      </w:r>
      <w:r w:rsidRPr="00EB70BE">
        <w:rPr>
          <w:rFonts w:hint="cs"/>
          <w:spacing w:val="0"/>
          <w:kern w:val="0"/>
          <w:rtl/>
        </w:rPr>
        <w:t xml:space="preserve">ألقى أفراد </w:t>
      </w:r>
      <w:r w:rsidRPr="00EB70BE">
        <w:rPr>
          <w:spacing w:val="0"/>
          <w:kern w:val="0"/>
          <w:rtl/>
        </w:rPr>
        <w:t xml:space="preserve">من </w:t>
      </w:r>
      <w:r w:rsidRPr="00EB70BE">
        <w:rPr>
          <w:rFonts w:hint="cs"/>
          <w:spacing w:val="0"/>
          <w:kern w:val="0"/>
          <w:rtl/>
        </w:rPr>
        <w:t>دائرة</w:t>
      </w:r>
      <w:r w:rsidRPr="00EB70BE">
        <w:rPr>
          <w:spacing w:val="0"/>
          <w:kern w:val="0"/>
          <w:rtl/>
        </w:rPr>
        <w:t xml:space="preserve"> الأمن ا</w:t>
      </w:r>
      <w:r w:rsidRPr="00EB70BE">
        <w:rPr>
          <w:rFonts w:hint="cs"/>
          <w:spacing w:val="0"/>
          <w:kern w:val="0"/>
          <w:rtl/>
        </w:rPr>
        <w:t>لقومي</w:t>
      </w:r>
      <w:r w:rsidRPr="00EB70BE">
        <w:rPr>
          <w:spacing w:val="0"/>
          <w:kern w:val="0"/>
          <w:rtl/>
        </w:rPr>
        <w:t xml:space="preserve"> </w:t>
      </w:r>
      <w:r w:rsidRPr="00EB70BE">
        <w:rPr>
          <w:rFonts w:hint="cs"/>
          <w:spacing w:val="0"/>
          <w:kern w:val="0"/>
          <w:rtl/>
        </w:rPr>
        <w:t xml:space="preserve">القبض على صاحب الشكوى. وتعرض أثناء الاحتجاز للضرب المبرح ولضغوط نفسية والتهديد </w:t>
      </w:r>
      <w:r w:rsidRPr="00EB70BE">
        <w:rPr>
          <w:spacing w:val="0"/>
          <w:kern w:val="0"/>
          <w:rtl/>
        </w:rPr>
        <w:t xml:space="preserve">باتهامه بالإرهاب. </w:t>
      </w:r>
      <w:r w:rsidRPr="00EB70BE">
        <w:rPr>
          <w:rFonts w:hint="cs"/>
          <w:spacing w:val="0"/>
          <w:kern w:val="0"/>
          <w:rtl/>
        </w:rPr>
        <w:t>و</w:t>
      </w:r>
      <w:r w:rsidRPr="00EB70BE">
        <w:rPr>
          <w:spacing w:val="0"/>
          <w:kern w:val="0"/>
          <w:rtl/>
        </w:rPr>
        <w:t xml:space="preserve">بعد </w:t>
      </w:r>
      <w:r w:rsidRPr="00EB70BE">
        <w:rPr>
          <w:rFonts w:hint="cs"/>
          <w:spacing w:val="0"/>
          <w:kern w:val="0"/>
          <w:rtl/>
        </w:rPr>
        <w:t xml:space="preserve">اتصال منظمة غير حكومية </w:t>
      </w:r>
      <w:r w:rsidRPr="00EB70BE">
        <w:rPr>
          <w:spacing w:val="0"/>
          <w:kern w:val="0"/>
          <w:rtl/>
        </w:rPr>
        <w:t xml:space="preserve">محلية </w:t>
      </w:r>
      <w:r w:rsidRPr="00EB70BE">
        <w:rPr>
          <w:rFonts w:hint="cs"/>
          <w:spacing w:val="0"/>
          <w:kern w:val="0"/>
          <w:rtl/>
        </w:rPr>
        <w:t>ب</w:t>
      </w:r>
      <w:r w:rsidRPr="00EB70BE">
        <w:rPr>
          <w:spacing w:val="0"/>
          <w:kern w:val="0"/>
          <w:rtl/>
        </w:rPr>
        <w:t xml:space="preserve">وزارة الداخلية، </w:t>
      </w:r>
      <w:r w:rsidRPr="00EB70BE">
        <w:rPr>
          <w:rFonts w:hint="cs"/>
          <w:spacing w:val="0"/>
          <w:kern w:val="0"/>
          <w:rtl/>
        </w:rPr>
        <w:t xml:space="preserve">نقل إلى </w:t>
      </w:r>
      <w:r w:rsidRPr="00EB70BE">
        <w:rPr>
          <w:spacing w:val="0"/>
          <w:kern w:val="0"/>
          <w:rtl/>
        </w:rPr>
        <w:t>مركز للأشخاص ال</w:t>
      </w:r>
      <w:r w:rsidRPr="00EB70BE">
        <w:rPr>
          <w:rFonts w:hint="cs"/>
          <w:spacing w:val="0"/>
          <w:kern w:val="0"/>
          <w:rtl/>
        </w:rPr>
        <w:t>مشردين</w:t>
      </w:r>
      <w:r w:rsidRPr="00EB70BE">
        <w:rPr>
          <w:spacing w:val="0"/>
          <w:kern w:val="0"/>
          <w:rtl/>
        </w:rPr>
        <w:t xml:space="preserve"> ثم أطلق سراحه في 22 </w:t>
      </w:r>
      <w:r w:rsidRPr="00EB70BE">
        <w:rPr>
          <w:rFonts w:hint="cs"/>
          <w:spacing w:val="0"/>
          <w:kern w:val="0"/>
          <w:rtl/>
        </w:rPr>
        <w:t>حزيران/يونيه</w:t>
      </w:r>
      <w:r w:rsidRPr="00EB70BE">
        <w:rPr>
          <w:spacing w:val="0"/>
          <w:kern w:val="0"/>
          <w:rtl/>
        </w:rPr>
        <w:t xml:space="preserve"> 2009. </w:t>
      </w:r>
      <w:r w:rsidRPr="00EB70BE">
        <w:rPr>
          <w:rFonts w:hint="cs"/>
          <w:spacing w:val="0"/>
          <w:kern w:val="0"/>
          <w:rtl/>
        </w:rPr>
        <w:t>و</w:t>
      </w:r>
      <w:r w:rsidRPr="00EB70BE">
        <w:rPr>
          <w:spacing w:val="0"/>
          <w:kern w:val="0"/>
          <w:rtl/>
        </w:rPr>
        <w:t xml:space="preserve">في 24 </w:t>
      </w:r>
      <w:r w:rsidRPr="00EB70BE">
        <w:rPr>
          <w:rFonts w:hint="cs"/>
          <w:spacing w:val="0"/>
          <w:kern w:val="0"/>
          <w:rtl/>
        </w:rPr>
        <w:t>حزيران/</w:t>
      </w:r>
      <w:r w:rsidRPr="00EB70BE">
        <w:rPr>
          <w:spacing w:val="0"/>
          <w:kern w:val="0"/>
          <w:rtl/>
        </w:rPr>
        <w:t>يوني</w:t>
      </w:r>
      <w:r w:rsidRPr="00EB70BE">
        <w:rPr>
          <w:rFonts w:hint="cs"/>
          <w:spacing w:val="0"/>
          <w:kern w:val="0"/>
          <w:rtl/>
        </w:rPr>
        <w:t>ه</w:t>
      </w:r>
      <w:r w:rsidRPr="00EB70BE">
        <w:rPr>
          <w:spacing w:val="0"/>
          <w:kern w:val="0"/>
          <w:rtl/>
        </w:rPr>
        <w:t xml:space="preserve"> 2009، </w:t>
      </w:r>
      <w:r w:rsidRPr="00EB70BE">
        <w:rPr>
          <w:rFonts w:hint="cs"/>
          <w:spacing w:val="0"/>
          <w:kern w:val="0"/>
          <w:rtl/>
        </w:rPr>
        <w:t xml:space="preserve">هرب </w:t>
      </w:r>
      <w:r w:rsidRPr="00EB70BE">
        <w:rPr>
          <w:spacing w:val="0"/>
          <w:kern w:val="0"/>
          <w:rtl/>
        </w:rPr>
        <w:t xml:space="preserve">من أوزبكستان وطلب </w:t>
      </w:r>
      <w:r w:rsidRPr="00EB70BE">
        <w:rPr>
          <w:rFonts w:hint="cs"/>
          <w:spacing w:val="0"/>
          <w:kern w:val="0"/>
          <w:rtl/>
        </w:rPr>
        <w:t>ا</w:t>
      </w:r>
      <w:r w:rsidRPr="00EB70BE">
        <w:rPr>
          <w:spacing w:val="0"/>
          <w:kern w:val="0"/>
          <w:rtl/>
        </w:rPr>
        <w:t>للجوء في كازاخستان</w:t>
      </w:r>
      <w:r w:rsidRPr="00EB70BE">
        <w:rPr>
          <w:rFonts w:hint="cs"/>
          <w:spacing w:val="0"/>
          <w:kern w:val="0"/>
          <w:rtl/>
        </w:rPr>
        <w:t xml:space="preserve"> حيث </w:t>
      </w:r>
      <w:r w:rsidRPr="00EB70BE">
        <w:rPr>
          <w:spacing w:val="0"/>
          <w:kern w:val="0"/>
          <w:rtl/>
        </w:rPr>
        <w:t>منح</w:t>
      </w:r>
      <w:r w:rsidRPr="00EB70BE">
        <w:rPr>
          <w:rFonts w:hint="cs"/>
          <w:spacing w:val="0"/>
          <w:kern w:val="0"/>
          <w:rtl/>
        </w:rPr>
        <w:t>ته مفوضية الأمم المتحدة السامية لشؤون اللاجئين</w:t>
      </w:r>
      <w:r w:rsidRPr="00EB70BE">
        <w:rPr>
          <w:spacing w:val="0"/>
          <w:kern w:val="0"/>
          <w:rtl/>
        </w:rPr>
        <w:t xml:space="preserve"> </w:t>
      </w:r>
      <w:r w:rsidRPr="00EB70BE">
        <w:rPr>
          <w:rFonts w:hint="cs"/>
          <w:spacing w:val="0"/>
          <w:kern w:val="0"/>
          <w:rtl/>
        </w:rPr>
        <w:t>مركز اللاجئ</w:t>
      </w:r>
      <w:r w:rsidRPr="00EB70BE">
        <w:rPr>
          <w:spacing w:val="0"/>
          <w:kern w:val="0"/>
          <w:rtl/>
        </w:rPr>
        <w:t xml:space="preserve">. </w:t>
      </w:r>
    </w:p>
    <w:p w:rsidR="00FA6676" w:rsidRPr="00EB70BE" w:rsidRDefault="00FA6676" w:rsidP="00EB70BE">
      <w:pPr>
        <w:pStyle w:val="H4GA"/>
        <w:jc w:val="lowKashida"/>
        <w:rPr>
          <w:rFonts w:hint="cs"/>
          <w:spacing w:val="0"/>
          <w:kern w:val="0"/>
          <w:rtl/>
        </w:rPr>
      </w:pPr>
      <w:r w:rsidRPr="00EB70BE">
        <w:rPr>
          <w:rFonts w:hint="cs"/>
          <w:spacing w:val="0"/>
          <w:kern w:val="0"/>
          <w:rtl/>
        </w:rPr>
        <w:tab/>
      </w:r>
      <w:r w:rsidRPr="00EB70BE">
        <w:rPr>
          <w:rFonts w:hint="cs"/>
          <w:spacing w:val="0"/>
          <w:kern w:val="0"/>
          <w:rtl/>
        </w:rPr>
        <w:tab/>
      </w:r>
      <w:r w:rsidRPr="00EB70BE">
        <w:rPr>
          <w:spacing w:val="0"/>
          <w:kern w:val="0"/>
          <w:rtl/>
        </w:rPr>
        <w:t>شودييف أكملجون</w:t>
      </w:r>
    </w:p>
    <w:p w:rsidR="00FA6676" w:rsidRPr="00AA537D" w:rsidRDefault="00FA6676" w:rsidP="00EB70BE">
      <w:pPr>
        <w:pStyle w:val="SingleTxtGA"/>
        <w:jc w:val="lowKashida"/>
        <w:rPr>
          <w:rFonts w:hint="cs"/>
          <w:i/>
          <w:iCs/>
          <w:spacing w:val="0"/>
          <w:kern w:val="0"/>
          <w:rtl/>
        </w:rPr>
      </w:pPr>
      <w:r w:rsidRPr="00EB70BE">
        <w:rPr>
          <w:rFonts w:hint="cs"/>
          <w:spacing w:val="0"/>
          <w:kern w:val="0"/>
          <w:rtl/>
        </w:rPr>
        <w:t>7-4</w:t>
      </w:r>
      <w:r w:rsidRPr="00EB70BE">
        <w:rPr>
          <w:rFonts w:hint="cs"/>
          <w:spacing w:val="0"/>
          <w:kern w:val="0"/>
          <w:rtl/>
        </w:rPr>
        <w:tab/>
        <w:t xml:space="preserve">عمل صاحب الشكوى، وهو من رعايا </w:t>
      </w:r>
      <w:r w:rsidRPr="00EB70BE">
        <w:rPr>
          <w:spacing w:val="0"/>
          <w:kern w:val="0"/>
          <w:rtl/>
        </w:rPr>
        <w:t>طاجيك</w:t>
      </w:r>
      <w:r w:rsidRPr="00EB70BE">
        <w:rPr>
          <w:rFonts w:hint="cs"/>
          <w:spacing w:val="0"/>
          <w:kern w:val="0"/>
          <w:rtl/>
        </w:rPr>
        <w:t>ستان،</w:t>
      </w:r>
      <w:r w:rsidRPr="00EB70BE">
        <w:rPr>
          <w:spacing w:val="0"/>
          <w:kern w:val="0"/>
          <w:rtl/>
        </w:rPr>
        <w:t xml:space="preserve"> في أوزبكستان من عام</w:t>
      </w:r>
      <w:r w:rsidRPr="00EB70BE">
        <w:rPr>
          <w:rFonts w:hint="cs"/>
          <w:spacing w:val="0"/>
          <w:kern w:val="0"/>
          <w:rtl/>
        </w:rPr>
        <w:t> </w:t>
      </w:r>
      <w:r w:rsidRPr="00EB70BE">
        <w:rPr>
          <w:spacing w:val="0"/>
          <w:kern w:val="0"/>
          <w:rtl/>
        </w:rPr>
        <w:t xml:space="preserve">2000 إلى عام 2003. </w:t>
      </w:r>
      <w:r w:rsidRPr="00EB70BE">
        <w:rPr>
          <w:rFonts w:hint="cs"/>
          <w:spacing w:val="0"/>
          <w:kern w:val="0"/>
          <w:rtl/>
        </w:rPr>
        <w:t>و</w:t>
      </w:r>
      <w:r w:rsidRPr="00EB70BE">
        <w:rPr>
          <w:spacing w:val="0"/>
          <w:kern w:val="0"/>
          <w:rtl/>
        </w:rPr>
        <w:t xml:space="preserve">في عام 2007، </w:t>
      </w:r>
      <w:r w:rsidRPr="00EB70BE">
        <w:rPr>
          <w:rFonts w:hint="cs"/>
          <w:spacing w:val="0"/>
          <w:kern w:val="0"/>
          <w:rtl/>
        </w:rPr>
        <w:t>بينما كان ي</w:t>
      </w:r>
      <w:r w:rsidRPr="00EB70BE">
        <w:rPr>
          <w:spacing w:val="0"/>
          <w:kern w:val="0"/>
          <w:rtl/>
        </w:rPr>
        <w:t>عمل في روسيا، تلق</w:t>
      </w:r>
      <w:r w:rsidRPr="00EB70BE">
        <w:rPr>
          <w:rFonts w:hint="cs"/>
          <w:spacing w:val="0"/>
          <w:kern w:val="0"/>
          <w:rtl/>
        </w:rPr>
        <w:t>ى</w:t>
      </w:r>
      <w:r w:rsidRPr="00EB70BE">
        <w:rPr>
          <w:spacing w:val="0"/>
          <w:kern w:val="0"/>
          <w:rtl/>
        </w:rPr>
        <w:t xml:space="preserve"> اتصالاً هاتفياً من شقيقة </w:t>
      </w:r>
      <w:r w:rsidRPr="00EB70BE">
        <w:rPr>
          <w:rFonts w:hint="cs"/>
          <w:spacing w:val="0"/>
          <w:kern w:val="0"/>
          <w:rtl/>
        </w:rPr>
        <w:t xml:space="preserve">يبلغه </w:t>
      </w:r>
      <w:r w:rsidRPr="00EB70BE">
        <w:rPr>
          <w:spacing w:val="0"/>
          <w:kern w:val="0"/>
          <w:rtl/>
        </w:rPr>
        <w:t xml:space="preserve">بأنه صدر أمر </w:t>
      </w:r>
      <w:r w:rsidRPr="00EB70BE">
        <w:rPr>
          <w:rFonts w:hint="cs"/>
          <w:spacing w:val="0"/>
          <w:kern w:val="0"/>
          <w:rtl/>
        </w:rPr>
        <w:t xml:space="preserve">بالقبض عليه </w:t>
      </w:r>
      <w:r w:rsidRPr="00EB70BE">
        <w:rPr>
          <w:spacing w:val="0"/>
          <w:kern w:val="0"/>
          <w:rtl/>
        </w:rPr>
        <w:t xml:space="preserve">في أوزبكستان </w:t>
      </w:r>
      <w:r w:rsidRPr="00EB70BE">
        <w:rPr>
          <w:rFonts w:hint="cs"/>
          <w:spacing w:val="0"/>
          <w:kern w:val="0"/>
          <w:rtl/>
        </w:rPr>
        <w:t xml:space="preserve">لاتهامه بالانتماء إلى </w:t>
      </w:r>
      <w:r w:rsidRPr="00EB70BE">
        <w:rPr>
          <w:spacing w:val="0"/>
          <w:kern w:val="0"/>
          <w:rtl/>
        </w:rPr>
        <w:t xml:space="preserve">منظمة دينية متطرفة. </w:t>
      </w:r>
      <w:r w:rsidRPr="00EB70BE">
        <w:rPr>
          <w:rFonts w:hint="cs"/>
          <w:spacing w:val="0"/>
          <w:kern w:val="0"/>
          <w:rtl/>
        </w:rPr>
        <w:t>و</w:t>
      </w:r>
      <w:r w:rsidRPr="00EB70BE">
        <w:rPr>
          <w:spacing w:val="0"/>
          <w:kern w:val="0"/>
          <w:rtl/>
        </w:rPr>
        <w:t xml:space="preserve">قدم طلباً للجوء </w:t>
      </w:r>
      <w:r w:rsidRPr="00EB70BE">
        <w:rPr>
          <w:rFonts w:hint="cs"/>
          <w:spacing w:val="0"/>
          <w:kern w:val="0"/>
          <w:rtl/>
        </w:rPr>
        <w:t xml:space="preserve">إلى </w:t>
      </w:r>
      <w:r w:rsidRPr="00EB70BE">
        <w:rPr>
          <w:spacing w:val="0"/>
          <w:kern w:val="0"/>
          <w:rtl/>
        </w:rPr>
        <w:t xml:space="preserve">روسيا </w:t>
      </w:r>
      <w:r w:rsidRPr="00EB70BE">
        <w:rPr>
          <w:rFonts w:hint="cs"/>
          <w:spacing w:val="0"/>
          <w:kern w:val="0"/>
          <w:rtl/>
        </w:rPr>
        <w:t>ولكن رفض هذا الطلب</w:t>
      </w:r>
      <w:r w:rsidRPr="00EB70BE">
        <w:rPr>
          <w:spacing w:val="0"/>
          <w:kern w:val="0"/>
          <w:rtl/>
        </w:rPr>
        <w:t xml:space="preserve">. </w:t>
      </w:r>
      <w:r w:rsidRPr="00EB70BE">
        <w:rPr>
          <w:rFonts w:hint="cs"/>
          <w:spacing w:val="0"/>
          <w:kern w:val="0"/>
          <w:rtl/>
        </w:rPr>
        <w:t>وفي</w:t>
      </w:r>
      <w:r w:rsidRPr="00EB70BE">
        <w:rPr>
          <w:spacing w:val="0"/>
          <w:kern w:val="0"/>
          <w:rtl/>
        </w:rPr>
        <w:t xml:space="preserve"> 9 </w:t>
      </w:r>
      <w:r w:rsidRPr="00EB70BE">
        <w:rPr>
          <w:rFonts w:hint="cs"/>
          <w:spacing w:val="0"/>
          <w:kern w:val="0"/>
          <w:rtl/>
        </w:rPr>
        <w:t xml:space="preserve">تموز/ </w:t>
      </w:r>
      <w:r w:rsidRPr="00EB70BE">
        <w:rPr>
          <w:spacing w:val="0"/>
          <w:kern w:val="0"/>
          <w:rtl/>
        </w:rPr>
        <w:t>يوليه</w:t>
      </w:r>
      <w:r w:rsidRPr="00EB70BE">
        <w:rPr>
          <w:rFonts w:hint="cs"/>
          <w:spacing w:val="0"/>
          <w:kern w:val="0"/>
          <w:rtl/>
        </w:rPr>
        <w:t> </w:t>
      </w:r>
      <w:r w:rsidRPr="00EB70BE">
        <w:rPr>
          <w:spacing w:val="0"/>
          <w:kern w:val="0"/>
          <w:rtl/>
        </w:rPr>
        <w:t>2009، بعد عودته إلى</w:t>
      </w:r>
      <w:r w:rsidRPr="00AA537D">
        <w:rPr>
          <w:spacing w:val="0"/>
          <w:kern w:val="0"/>
          <w:rtl/>
        </w:rPr>
        <w:t xml:space="preserve"> طاجيكستان، ألق</w:t>
      </w:r>
      <w:r w:rsidRPr="00AA537D">
        <w:rPr>
          <w:rFonts w:hint="cs"/>
          <w:spacing w:val="0"/>
          <w:kern w:val="0"/>
          <w:rtl/>
        </w:rPr>
        <w:t>ي عليه</w:t>
      </w:r>
      <w:r w:rsidRPr="00AA537D">
        <w:rPr>
          <w:spacing w:val="0"/>
          <w:kern w:val="0"/>
          <w:rtl/>
        </w:rPr>
        <w:t xml:space="preserve"> القبض </w:t>
      </w:r>
      <w:r w:rsidRPr="00AA537D">
        <w:rPr>
          <w:rFonts w:hint="cs"/>
          <w:spacing w:val="0"/>
          <w:kern w:val="0"/>
          <w:rtl/>
        </w:rPr>
        <w:t xml:space="preserve">وهددت دوائر الأمن </w:t>
      </w:r>
      <w:r w:rsidRPr="00AA537D">
        <w:rPr>
          <w:spacing w:val="0"/>
          <w:kern w:val="0"/>
          <w:rtl/>
        </w:rPr>
        <w:t xml:space="preserve">بتسليمه إلى أوزبكستان. </w:t>
      </w:r>
      <w:r w:rsidRPr="00AA537D">
        <w:rPr>
          <w:rFonts w:hint="cs"/>
          <w:spacing w:val="0"/>
          <w:kern w:val="0"/>
          <w:rtl/>
        </w:rPr>
        <w:t xml:space="preserve">وتمكن حماه </w:t>
      </w:r>
      <w:r w:rsidRPr="00AA537D">
        <w:rPr>
          <w:spacing w:val="0"/>
          <w:kern w:val="0"/>
          <w:rtl/>
        </w:rPr>
        <w:t xml:space="preserve">من خلال </w:t>
      </w:r>
      <w:r w:rsidRPr="00AA537D">
        <w:rPr>
          <w:rFonts w:hint="cs"/>
          <w:spacing w:val="0"/>
          <w:kern w:val="0"/>
          <w:rtl/>
        </w:rPr>
        <w:t xml:space="preserve">معارفه </w:t>
      </w:r>
      <w:r w:rsidRPr="00AA537D">
        <w:rPr>
          <w:spacing w:val="0"/>
          <w:kern w:val="0"/>
          <w:rtl/>
        </w:rPr>
        <w:t xml:space="preserve">وعن طريق </w:t>
      </w:r>
      <w:r w:rsidRPr="00AA537D">
        <w:rPr>
          <w:rFonts w:hint="cs"/>
          <w:spacing w:val="0"/>
          <w:kern w:val="0"/>
          <w:rtl/>
        </w:rPr>
        <w:t>ال</w:t>
      </w:r>
      <w:r w:rsidRPr="00AA537D">
        <w:rPr>
          <w:spacing w:val="0"/>
          <w:kern w:val="0"/>
          <w:rtl/>
        </w:rPr>
        <w:t>رشوة</w:t>
      </w:r>
      <w:r w:rsidRPr="00AA537D">
        <w:rPr>
          <w:rFonts w:hint="cs"/>
          <w:spacing w:val="0"/>
          <w:kern w:val="0"/>
          <w:rtl/>
        </w:rPr>
        <w:t xml:space="preserve"> من إخلاء سبيله</w:t>
      </w:r>
      <w:r w:rsidRPr="00AA537D">
        <w:rPr>
          <w:spacing w:val="0"/>
          <w:kern w:val="0"/>
          <w:rtl/>
        </w:rPr>
        <w:t xml:space="preserve">، </w:t>
      </w:r>
      <w:r w:rsidRPr="00AA537D">
        <w:rPr>
          <w:rFonts w:hint="cs"/>
          <w:spacing w:val="0"/>
          <w:kern w:val="0"/>
          <w:rtl/>
        </w:rPr>
        <w:t xml:space="preserve">وهرب بعد ذلك إلى </w:t>
      </w:r>
      <w:r w:rsidRPr="00AA537D">
        <w:rPr>
          <w:spacing w:val="0"/>
          <w:kern w:val="0"/>
          <w:rtl/>
        </w:rPr>
        <w:t>كازاخستان.</w:t>
      </w:r>
    </w:p>
    <w:p w:rsidR="00FA6676" w:rsidRPr="00AA537D" w:rsidRDefault="00FA6676" w:rsidP="00EB70BE">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سوهروب بازاروف</w:t>
      </w:r>
    </w:p>
    <w:p w:rsidR="00FA6676" w:rsidRPr="00AA537D" w:rsidRDefault="00FA6676" w:rsidP="00EB70BE">
      <w:pPr>
        <w:pStyle w:val="SingleTxtGA"/>
        <w:jc w:val="lowKashida"/>
        <w:rPr>
          <w:rFonts w:hint="cs"/>
          <w:spacing w:val="0"/>
          <w:kern w:val="0"/>
          <w:rtl/>
        </w:rPr>
      </w:pPr>
      <w:r w:rsidRPr="00AA537D">
        <w:rPr>
          <w:rFonts w:hint="cs"/>
          <w:spacing w:val="0"/>
          <w:kern w:val="0"/>
          <w:rtl/>
        </w:rPr>
        <w:t>7-5</w:t>
      </w:r>
      <w:r w:rsidRPr="00AA537D">
        <w:rPr>
          <w:rFonts w:hint="cs"/>
          <w:spacing w:val="0"/>
          <w:kern w:val="0"/>
          <w:rtl/>
        </w:rPr>
        <w:tab/>
        <w:t xml:space="preserve">كان صاحب الشكوى يؤدي الصلاة </w:t>
      </w:r>
      <w:r w:rsidRPr="00AA537D">
        <w:rPr>
          <w:spacing w:val="0"/>
          <w:kern w:val="0"/>
          <w:rtl/>
        </w:rPr>
        <w:t xml:space="preserve">بانتظام في المسجد. واستجوبه </w:t>
      </w:r>
      <w:r w:rsidRPr="00AA537D">
        <w:rPr>
          <w:rFonts w:hint="cs"/>
          <w:spacing w:val="0"/>
          <w:kern w:val="0"/>
          <w:rtl/>
        </w:rPr>
        <w:t xml:space="preserve">أفراد من دائرة الأمن القومي مراراً </w:t>
      </w:r>
      <w:r w:rsidRPr="00AA537D">
        <w:rPr>
          <w:spacing w:val="0"/>
          <w:kern w:val="0"/>
          <w:rtl/>
        </w:rPr>
        <w:t>وهددوه ب</w:t>
      </w:r>
      <w:r w:rsidRPr="00AA537D">
        <w:rPr>
          <w:rFonts w:hint="cs"/>
          <w:spacing w:val="0"/>
          <w:kern w:val="0"/>
          <w:rtl/>
        </w:rPr>
        <w:t>إلقاء القبض عليه</w:t>
      </w:r>
      <w:r w:rsidRPr="00AA537D">
        <w:rPr>
          <w:spacing w:val="0"/>
          <w:kern w:val="0"/>
          <w:rtl/>
        </w:rPr>
        <w:t xml:space="preserve">. </w:t>
      </w:r>
      <w:r w:rsidRPr="00AA537D">
        <w:rPr>
          <w:rFonts w:hint="cs"/>
          <w:spacing w:val="0"/>
          <w:kern w:val="0"/>
          <w:rtl/>
        </w:rPr>
        <w:t>وكان أفراد مسلحون ي</w:t>
      </w:r>
      <w:r w:rsidRPr="00AA537D">
        <w:rPr>
          <w:spacing w:val="0"/>
          <w:kern w:val="0"/>
          <w:rtl/>
        </w:rPr>
        <w:t>فتش</w:t>
      </w:r>
      <w:r w:rsidRPr="00AA537D">
        <w:rPr>
          <w:rFonts w:hint="cs"/>
          <w:spacing w:val="0"/>
          <w:kern w:val="0"/>
          <w:rtl/>
        </w:rPr>
        <w:t>ون</w:t>
      </w:r>
      <w:r w:rsidRPr="00AA537D">
        <w:rPr>
          <w:spacing w:val="0"/>
          <w:kern w:val="0"/>
          <w:rtl/>
        </w:rPr>
        <w:t xml:space="preserve"> منزله بانتظام</w:t>
      </w:r>
      <w:r w:rsidRPr="00AA537D">
        <w:rPr>
          <w:rFonts w:hint="cs"/>
          <w:spacing w:val="0"/>
          <w:kern w:val="0"/>
          <w:rtl/>
        </w:rPr>
        <w:t xml:space="preserve">. وفي </w:t>
      </w:r>
      <w:r w:rsidRPr="00AA537D">
        <w:rPr>
          <w:spacing w:val="0"/>
          <w:kern w:val="0"/>
          <w:rtl/>
        </w:rPr>
        <w:t>عام 2009</w:t>
      </w:r>
      <w:r w:rsidRPr="00AA537D">
        <w:rPr>
          <w:rFonts w:hint="cs"/>
          <w:spacing w:val="0"/>
          <w:kern w:val="0"/>
          <w:rtl/>
        </w:rPr>
        <w:t xml:space="preserve"> </w:t>
      </w:r>
      <w:r w:rsidRPr="00AA537D">
        <w:rPr>
          <w:spacing w:val="0"/>
          <w:kern w:val="0"/>
          <w:rtl/>
        </w:rPr>
        <w:t>دعا</w:t>
      </w:r>
      <w:r w:rsidRPr="00AA537D">
        <w:rPr>
          <w:rFonts w:hint="cs"/>
          <w:spacing w:val="0"/>
          <w:kern w:val="0"/>
          <w:rtl/>
        </w:rPr>
        <w:t xml:space="preserve">ه </w:t>
      </w:r>
      <w:r w:rsidRPr="00AA537D">
        <w:rPr>
          <w:spacing w:val="0"/>
          <w:kern w:val="0"/>
          <w:rtl/>
        </w:rPr>
        <w:t xml:space="preserve">صديق له إلى </w:t>
      </w:r>
      <w:r w:rsidRPr="00AA537D">
        <w:rPr>
          <w:rFonts w:hint="cs"/>
          <w:spacing w:val="0"/>
          <w:kern w:val="0"/>
          <w:rtl/>
        </w:rPr>
        <w:t xml:space="preserve">حفل </w:t>
      </w:r>
      <w:r w:rsidRPr="00AA537D">
        <w:rPr>
          <w:spacing w:val="0"/>
          <w:kern w:val="0"/>
          <w:rtl/>
        </w:rPr>
        <w:t xml:space="preserve">حيث التقى بشخص يدعى عمر. </w:t>
      </w:r>
      <w:r w:rsidRPr="00AA537D">
        <w:rPr>
          <w:rFonts w:hint="cs"/>
          <w:spacing w:val="0"/>
          <w:kern w:val="0"/>
          <w:rtl/>
        </w:rPr>
        <w:t>و</w:t>
      </w:r>
      <w:r w:rsidRPr="00AA537D">
        <w:rPr>
          <w:spacing w:val="0"/>
          <w:kern w:val="0"/>
          <w:rtl/>
        </w:rPr>
        <w:t xml:space="preserve">في آب/أغسطس 2009، </w:t>
      </w:r>
      <w:r w:rsidRPr="00AA537D">
        <w:rPr>
          <w:rFonts w:hint="cs"/>
          <w:spacing w:val="0"/>
          <w:kern w:val="0"/>
          <w:rtl/>
        </w:rPr>
        <w:t xml:space="preserve">ألقي القبض على </w:t>
      </w:r>
      <w:r w:rsidRPr="00AA537D">
        <w:rPr>
          <w:spacing w:val="0"/>
          <w:kern w:val="0"/>
          <w:rtl/>
        </w:rPr>
        <w:t>صديق</w:t>
      </w:r>
      <w:r w:rsidRPr="00AA537D">
        <w:rPr>
          <w:rFonts w:hint="cs"/>
          <w:spacing w:val="0"/>
          <w:kern w:val="0"/>
          <w:rtl/>
        </w:rPr>
        <w:t>ه</w:t>
      </w:r>
      <w:r w:rsidRPr="00AA537D">
        <w:rPr>
          <w:spacing w:val="0"/>
          <w:kern w:val="0"/>
          <w:rtl/>
        </w:rPr>
        <w:t xml:space="preserve"> بسبب علاقته مع عمر. و</w:t>
      </w:r>
      <w:r w:rsidRPr="00AA537D">
        <w:rPr>
          <w:rFonts w:hint="cs"/>
          <w:spacing w:val="0"/>
          <w:kern w:val="0"/>
          <w:rtl/>
        </w:rPr>
        <w:t xml:space="preserve">استجوبت الشرطة </w:t>
      </w:r>
      <w:r w:rsidRPr="00AA537D">
        <w:rPr>
          <w:spacing w:val="0"/>
          <w:kern w:val="0"/>
          <w:rtl/>
        </w:rPr>
        <w:t>مقدم الشكوى أيضاً. وخوفاً من ال</w:t>
      </w:r>
      <w:r w:rsidRPr="00AA537D">
        <w:rPr>
          <w:rFonts w:hint="cs"/>
          <w:spacing w:val="0"/>
          <w:kern w:val="0"/>
          <w:rtl/>
        </w:rPr>
        <w:t>قبض عليه</w:t>
      </w:r>
      <w:r w:rsidRPr="00AA537D">
        <w:rPr>
          <w:spacing w:val="0"/>
          <w:kern w:val="0"/>
          <w:rtl/>
        </w:rPr>
        <w:t xml:space="preserve">، </w:t>
      </w:r>
      <w:r w:rsidRPr="00AA537D">
        <w:rPr>
          <w:rFonts w:hint="cs"/>
          <w:spacing w:val="0"/>
          <w:kern w:val="0"/>
          <w:rtl/>
        </w:rPr>
        <w:t>ترك</w:t>
      </w:r>
      <w:r w:rsidRPr="00AA537D">
        <w:rPr>
          <w:spacing w:val="0"/>
          <w:kern w:val="0"/>
          <w:rtl/>
        </w:rPr>
        <w:t xml:space="preserve"> أوزبكستان ومنح</w:t>
      </w:r>
      <w:r w:rsidRPr="00AA537D">
        <w:rPr>
          <w:rFonts w:hint="cs"/>
          <w:spacing w:val="0"/>
          <w:kern w:val="0"/>
          <w:rtl/>
        </w:rPr>
        <w:t>ته مفوضية الأمم المتحدة السامية لشؤون اللاجئين</w:t>
      </w:r>
      <w:r w:rsidRPr="00AA537D">
        <w:rPr>
          <w:spacing w:val="0"/>
          <w:kern w:val="0"/>
          <w:rtl/>
        </w:rPr>
        <w:t xml:space="preserve"> في 26 </w:t>
      </w:r>
      <w:r w:rsidRPr="00AA537D">
        <w:rPr>
          <w:rFonts w:hint="cs"/>
          <w:spacing w:val="0"/>
          <w:kern w:val="0"/>
          <w:rtl/>
        </w:rPr>
        <w:t>تشرين الثاني/</w:t>
      </w:r>
      <w:r w:rsidRPr="00AA537D">
        <w:rPr>
          <w:spacing w:val="0"/>
          <w:kern w:val="0"/>
          <w:rtl/>
        </w:rPr>
        <w:t xml:space="preserve">نوفمبر 2009 </w:t>
      </w:r>
      <w:r w:rsidRPr="00AA537D">
        <w:rPr>
          <w:rFonts w:hint="cs"/>
          <w:spacing w:val="0"/>
          <w:kern w:val="0"/>
          <w:rtl/>
        </w:rPr>
        <w:t>مركز اللاجئ</w:t>
      </w:r>
      <w:r w:rsidRPr="00AA537D">
        <w:rPr>
          <w:spacing w:val="0"/>
          <w:kern w:val="0"/>
          <w:rtl/>
        </w:rPr>
        <w:t>.</w:t>
      </w:r>
    </w:p>
    <w:p w:rsidR="00FA6676" w:rsidRPr="00AA537D" w:rsidRDefault="00FA6676" w:rsidP="00EB70BE">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أحمد بولتاييف</w:t>
      </w:r>
    </w:p>
    <w:p w:rsidR="00FA6676" w:rsidRPr="00AA537D" w:rsidRDefault="00FA6676" w:rsidP="00EB70BE">
      <w:pPr>
        <w:pStyle w:val="SingleTxtGA"/>
        <w:jc w:val="lowKashida"/>
        <w:rPr>
          <w:rFonts w:hint="cs"/>
          <w:spacing w:val="0"/>
          <w:kern w:val="0"/>
          <w:rtl/>
        </w:rPr>
      </w:pPr>
      <w:r w:rsidRPr="00AA537D">
        <w:rPr>
          <w:rFonts w:hint="cs"/>
          <w:spacing w:val="0"/>
          <w:kern w:val="0"/>
          <w:rtl/>
        </w:rPr>
        <w:t>7-6</w:t>
      </w:r>
      <w:r w:rsidRPr="00AA537D">
        <w:rPr>
          <w:rFonts w:hint="cs"/>
          <w:spacing w:val="0"/>
          <w:kern w:val="0"/>
          <w:rtl/>
        </w:rPr>
        <w:tab/>
        <w:t xml:space="preserve">في 2 نيسان/أبريل 2000، </w:t>
      </w:r>
      <w:r w:rsidRPr="00AA537D">
        <w:rPr>
          <w:spacing w:val="0"/>
          <w:kern w:val="0"/>
          <w:rtl/>
        </w:rPr>
        <w:t>ألقي القبض</w:t>
      </w:r>
      <w:r w:rsidRPr="00AA537D">
        <w:rPr>
          <w:rFonts w:hint="cs"/>
          <w:spacing w:val="0"/>
          <w:kern w:val="0"/>
          <w:rtl/>
        </w:rPr>
        <w:t xml:space="preserve"> على </w:t>
      </w:r>
      <w:r w:rsidRPr="00AA537D">
        <w:rPr>
          <w:spacing w:val="0"/>
          <w:kern w:val="0"/>
          <w:rtl/>
        </w:rPr>
        <w:t>صاحب الشكوى</w:t>
      </w:r>
      <w:r w:rsidRPr="00AA537D">
        <w:rPr>
          <w:rFonts w:hint="cs"/>
          <w:spacing w:val="0"/>
          <w:kern w:val="0"/>
          <w:rtl/>
        </w:rPr>
        <w:t xml:space="preserve"> في</w:t>
      </w:r>
      <w:r w:rsidRPr="00AA537D">
        <w:rPr>
          <w:spacing w:val="0"/>
          <w:kern w:val="0"/>
          <w:rtl/>
        </w:rPr>
        <w:t xml:space="preserve"> موج</w:t>
      </w:r>
      <w:r w:rsidRPr="00AA537D">
        <w:rPr>
          <w:rFonts w:hint="cs"/>
          <w:spacing w:val="0"/>
          <w:kern w:val="0"/>
          <w:rtl/>
        </w:rPr>
        <w:t>ة</w:t>
      </w:r>
      <w:r w:rsidRPr="00AA537D">
        <w:rPr>
          <w:spacing w:val="0"/>
          <w:kern w:val="0"/>
          <w:rtl/>
        </w:rPr>
        <w:t xml:space="preserve"> </w:t>
      </w:r>
      <w:r w:rsidRPr="00AA537D">
        <w:rPr>
          <w:rFonts w:hint="cs"/>
          <w:spacing w:val="0"/>
          <w:kern w:val="0"/>
          <w:rtl/>
        </w:rPr>
        <w:t>واسعة النطاق للقبض على إسلاميين</w:t>
      </w:r>
      <w:r w:rsidRPr="00AA537D">
        <w:rPr>
          <w:spacing w:val="0"/>
          <w:kern w:val="0"/>
          <w:rtl/>
        </w:rPr>
        <w:t xml:space="preserve"> بعد ا</w:t>
      </w:r>
      <w:r w:rsidRPr="00AA537D">
        <w:rPr>
          <w:rFonts w:hint="cs"/>
          <w:spacing w:val="0"/>
          <w:kern w:val="0"/>
          <w:rtl/>
        </w:rPr>
        <w:t>لا</w:t>
      </w:r>
      <w:r w:rsidRPr="00AA537D">
        <w:rPr>
          <w:spacing w:val="0"/>
          <w:kern w:val="0"/>
          <w:rtl/>
        </w:rPr>
        <w:t xml:space="preserve">نفجارات التي وقعت </w:t>
      </w:r>
      <w:r w:rsidRPr="00AA537D">
        <w:rPr>
          <w:rFonts w:hint="cs"/>
          <w:spacing w:val="0"/>
          <w:kern w:val="0"/>
          <w:rtl/>
        </w:rPr>
        <w:t xml:space="preserve">في </w:t>
      </w:r>
      <w:r w:rsidRPr="00AA537D">
        <w:rPr>
          <w:spacing w:val="0"/>
          <w:kern w:val="0"/>
          <w:rtl/>
        </w:rPr>
        <w:t xml:space="preserve">عام 1999 في طشقند. </w:t>
      </w:r>
      <w:r w:rsidRPr="00AA537D">
        <w:rPr>
          <w:rFonts w:hint="cs"/>
          <w:spacing w:val="0"/>
          <w:kern w:val="0"/>
          <w:rtl/>
        </w:rPr>
        <w:t>و</w:t>
      </w:r>
      <w:r w:rsidRPr="00AA537D">
        <w:rPr>
          <w:spacing w:val="0"/>
          <w:kern w:val="0"/>
          <w:rtl/>
        </w:rPr>
        <w:t>تعرض</w:t>
      </w:r>
      <w:r w:rsidRPr="00AA537D">
        <w:rPr>
          <w:rFonts w:hint="cs"/>
          <w:spacing w:val="0"/>
          <w:kern w:val="0"/>
          <w:rtl/>
        </w:rPr>
        <w:t xml:space="preserve"> صاحب الشكوى لدى احتجازه بالشرطة </w:t>
      </w:r>
      <w:r w:rsidRPr="00AA537D">
        <w:rPr>
          <w:spacing w:val="0"/>
          <w:kern w:val="0"/>
          <w:rtl/>
        </w:rPr>
        <w:t xml:space="preserve">للضرب بهراوات </w:t>
      </w:r>
      <w:r w:rsidRPr="00AA537D">
        <w:rPr>
          <w:rFonts w:hint="cs"/>
          <w:spacing w:val="0"/>
          <w:kern w:val="0"/>
          <w:rtl/>
        </w:rPr>
        <w:t xml:space="preserve">ودس أفراد </w:t>
      </w:r>
      <w:r w:rsidRPr="00AA537D">
        <w:rPr>
          <w:spacing w:val="0"/>
          <w:kern w:val="0"/>
          <w:rtl/>
        </w:rPr>
        <w:t>الشرطة الهيروين في ملابسه ولفق</w:t>
      </w:r>
      <w:r w:rsidRPr="00AA537D">
        <w:rPr>
          <w:rFonts w:hint="cs"/>
          <w:spacing w:val="0"/>
          <w:kern w:val="0"/>
          <w:rtl/>
        </w:rPr>
        <w:t>وا</w:t>
      </w:r>
      <w:r w:rsidRPr="00AA537D">
        <w:rPr>
          <w:spacing w:val="0"/>
          <w:kern w:val="0"/>
          <w:rtl/>
        </w:rPr>
        <w:t xml:space="preserve"> قضية </w:t>
      </w:r>
      <w:r w:rsidRPr="00AA537D">
        <w:rPr>
          <w:rFonts w:hint="cs"/>
          <w:spacing w:val="0"/>
          <w:kern w:val="0"/>
          <w:rtl/>
        </w:rPr>
        <w:t>له</w:t>
      </w:r>
      <w:r w:rsidRPr="00AA537D">
        <w:rPr>
          <w:spacing w:val="0"/>
          <w:kern w:val="0"/>
          <w:rtl/>
        </w:rPr>
        <w:t xml:space="preserve">. </w:t>
      </w:r>
      <w:r w:rsidRPr="00AA537D">
        <w:rPr>
          <w:rFonts w:hint="cs"/>
          <w:spacing w:val="0"/>
          <w:kern w:val="0"/>
          <w:rtl/>
        </w:rPr>
        <w:t>و</w:t>
      </w:r>
      <w:r w:rsidRPr="00AA537D">
        <w:rPr>
          <w:spacing w:val="0"/>
          <w:kern w:val="0"/>
          <w:rtl/>
        </w:rPr>
        <w:t xml:space="preserve">تعرض </w:t>
      </w:r>
      <w:r w:rsidRPr="00AA537D">
        <w:rPr>
          <w:rFonts w:hint="cs"/>
          <w:spacing w:val="0"/>
          <w:kern w:val="0"/>
          <w:rtl/>
        </w:rPr>
        <w:t xml:space="preserve">صاحب الشكوى </w:t>
      </w:r>
      <w:r w:rsidRPr="00AA537D">
        <w:rPr>
          <w:spacing w:val="0"/>
          <w:kern w:val="0"/>
          <w:rtl/>
        </w:rPr>
        <w:t>للضرب والتعذيب مدة 26 يوما</w:t>
      </w:r>
      <w:r w:rsidRPr="00AA537D">
        <w:rPr>
          <w:rFonts w:hint="cs"/>
          <w:spacing w:val="0"/>
          <w:kern w:val="0"/>
          <w:rtl/>
        </w:rPr>
        <w:t>ً</w:t>
      </w:r>
      <w:r w:rsidRPr="00AA537D">
        <w:rPr>
          <w:spacing w:val="0"/>
          <w:kern w:val="0"/>
          <w:rtl/>
        </w:rPr>
        <w:t xml:space="preserve"> </w:t>
      </w:r>
      <w:r w:rsidRPr="00AA537D">
        <w:rPr>
          <w:rFonts w:hint="cs"/>
          <w:spacing w:val="0"/>
          <w:kern w:val="0"/>
          <w:rtl/>
        </w:rPr>
        <w:t xml:space="preserve">للموافقة </w:t>
      </w:r>
      <w:r w:rsidRPr="00AA537D">
        <w:rPr>
          <w:spacing w:val="0"/>
          <w:kern w:val="0"/>
          <w:rtl/>
        </w:rPr>
        <w:t xml:space="preserve">على التوقيع </w:t>
      </w:r>
      <w:r w:rsidRPr="00AA537D">
        <w:rPr>
          <w:rFonts w:hint="cs"/>
          <w:spacing w:val="0"/>
          <w:kern w:val="0"/>
          <w:rtl/>
        </w:rPr>
        <w:t xml:space="preserve">على </w:t>
      </w:r>
      <w:r w:rsidRPr="00AA537D">
        <w:rPr>
          <w:spacing w:val="0"/>
          <w:kern w:val="0"/>
          <w:rtl/>
        </w:rPr>
        <w:t xml:space="preserve">اعترافات كاذبة، </w:t>
      </w:r>
      <w:r w:rsidRPr="00AA537D">
        <w:rPr>
          <w:rFonts w:hint="cs"/>
          <w:spacing w:val="0"/>
          <w:kern w:val="0"/>
          <w:rtl/>
        </w:rPr>
        <w:t>و</w:t>
      </w:r>
      <w:r w:rsidRPr="00AA537D">
        <w:rPr>
          <w:spacing w:val="0"/>
          <w:kern w:val="0"/>
          <w:rtl/>
        </w:rPr>
        <w:t>نقل</w:t>
      </w:r>
      <w:r w:rsidRPr="00AA537D">
        <w:rPr>
          <w:rFonts w:hint="cs"/>
          <w:spacing w:val="0"/>
          <w:kern w:val="0"/>
          <w:rtl/>
        </w:rPr>
        <w:t xml:space="preserve"> بعد ذلك </w:t>
      </w:r>
      <w:r w:rsidRPr="00AA537D">
        <w:rPr>
          <w:spacing w:val="0"/>
          <w:kern w:val="0"/>
          <w:rtl/>
        </w:rPr>
        <w:t xml:space="preserve">إلى مركز الاحتجاز السابق للمحاكمة </w:t>
      </w:r>
      <w:r w:rsidRPr="00AA537D">
        <w:rPr>
          <w:rFonts w:hint="cs"/>
          <w:spacing w:val="0"/>
          <w:kern w:val="0"/>
          <w:rtl/>
        </w:rPr>
        <w:t xml:space="preserve">في </w:t>
      </w:r>
      <w:r w:rsidRPr="00AA537D">
        <w:rPr>
          <w:spacing w:val="0"/>
          <w:kern w:val="0"/>
          <w:rtl/>
        </w:rPr>
        <w:t xml:space="preserve">طشقند حيث </w:t>
      </w:r>
      <w:r w:rsidRPr="00AA537D">
        <w:rPr>
          <w:rFonts w:hint="cs"/>
          <w:spacing w:val="0"/>
          <w:kern w:val="0"/>
          <w:rtl/>
        </w:rPr>
        <w:t xml:space="preserve">تم </w:t>
      </w:r>
      <w:r w:rsidRPr="00AA537D">
        <w:rPr>
          <w:spacing w:val="0"/>
          <w:kern w:val="0"/>
          <w:rtl/>
        </w:rPr>
        <w:t>تعذيب</w:t>
      </w:r>
      <w:r w:rsidRPr="00AA537D">
        <w:rPr>
          <w:rFonts w:hint="cs"/>
          <w:spacing w:val="0"/>
          <w:kern w:val="0"/>
          <w:rtl/>
        </w:rPr>
        <w:t>ه</w:t>
      </w:r>
      <w:r w:rsidRPr="00AA537D">
        <w:rPr>
          <w:spacing w:val="0"/>
          <w:kern w:val="0"/>
          <w:rtl/>
        </w:rPr>
        <w:t xml:space="preserve"> مرة أخرى. </w:t>
      </w:r>
      <w:r w:rsidRPr="00AA537D">
        <w:rPr>
          <w:rFonts w:hint="cs"/>
          <w:spacing w:val="0"/>
          <w:kern w:val="0"/>
          <w:rtl/>
        </w:rPr>
        <w:t xml:space="preserve">وفي </w:t>
      </w:r>
      <w:r w:rsidRPr="00AA537D">
        <w:rPr>
          <w:spacing w:val="0"/>
          <w:kern w:val="0"/>
          <w:rtl/>
        </w:rPr>
        <w:t>15</w:t>
      </w:r>
      <w:r w:rsidRPr="00AA537D">
        <w:rPr>
          <w:rFonts w:hint="cs"/>
          <w:spacing w:val="0"/>
          <w:kern w:val="0"/>
          <w:rtl/>
        </w:rPr>
        <w:t xml:space="preserve"> أيار/</w:t>
      </w:r>
      <w:r w:rsidRPr="00AA537D">
        <w:rPr>
          <w:spacing w:val="0"/>
          <w:kern w:val="0"/>
          <w:rtl/>
        </w:rPr>
        <w:t xml:space="preserve">مايو 2000، حكم عليه بالسجن لمدة 20 سنة </w:t>
      </w:r>
      <w:r w:rsidRPr="00AA537D">
        <w:rPr>
          <w:rFonts w:hint="cs"/>
          <w:spacing w:val="0"/>
          <w:kern w:val="0"/>
          <w:rtl/>
        </w:rPr>
        <w:t>بتهمة ا</w:t>
      </w:r>
      <w:r w:rsidRPr="00AA537D">
        <w:rPr>
          <w:spacing w:val="0"/>
          <w:kern w:val="0"/>
          <w:rtl/>
        </w:rPr>
        <w:t>لإرهاب والتحريض على العنصرية و</w:t>
      </w:r>
      <w:r w:rsidRPr="00AA537D">
        <w:rPr>
          <w:rFonts w:hint="cs"/>
          <w:spacing w:val="0"/>
          <w:kern w:val="0"/>
          <w:rtl/>
        </w:rPr>
        <w:t>الكراهية</w:t>
      </w:r>
      <w:r w:rsidRPr="00AA537D">
        <w:rPr>
          <w:spacing w:val="0"/>
          <w:kern w:val="0"/>
          <w:rtl/>
        </w:rPr>
        <w:t xml:space="preserve"> الدينية أو العرقية</w:t>
      </w:r>
      <w:r w:rsidRPr="00AA537D">
        <w:rPr>
          <w:rFonts w:hint="cs"/>
          <w:spacing w:val="0"/>
          <w:kern w:val="0"/>
          <w:rtl/>
        </w:rPr>
        <w:t xml:space="preserve"> ومحاولة قلب </w:t>
      </w:r>
      <w:r w:rsidRPr="00AA537D">
        <w:rPr>
          <w:spacing w:val="0"/>
          <w:kern w:val="0"/>
          <w:rtl/>
        </w:rPr>
        <w:t xml:space="preserve">النظام الدستوري وحيازة مخدرات. </w:t>
      </w:r>
      <w:r w:rsidRPr="00AA537D">
        <w:rPr>
          <w:rFonts w:hint="cs"/>
          <w:spacing w:val="0"/>
          <w:kern w:val="0"/>
          <w:rtl/>
        </w:rPr>
        <w:t>و</w:t>
      </w:r>
      <w:r w:rsidRPr="00AA537D">
        <w:rPr>
          <w:spacing w:val="0"/>
          <w:kern w:val="0"/>
          <w:rtl/>
        </w:rPr>
        <w:t xml:space="preserve">في السجن، </w:t>
      </w:r>
      <w:r w:rsidRPr="00AA537D">
        <w:rPr>
          <w:rFonts w:hint="cs"/>
          <w:spacing w:val="0"/>
          <w:kern w:val="0"/>
          <w:rtl/>
        </w:rPr>
        <w:t xml:space="preserve">أكره على الجري </w:t>
      </w:r>
      <w:r w:rsidRPr="00AA537D">
        <w:rPr>
          <w:spacing w:val="0"/>
          <w:kern w:val="0"/>
          <w:rtl/>
        </w:rPr>
        <w:t>عاري</w:t>
      </w:r>
      <w:r w:rsidRPr="00AA537D">
        <w:rPr>
          <w:rFonts w:hint="cs"/>
          <w:spacing w:val="0"/>
          <w:kern w:val="0"/>
          <w:rtl/>
        </w:rPr>
        <w:t xml:space="preserve">اً </w:t>
      </w:r>
      <w:r w:rsidRPr="00AA537D">
        <w:rPr>
          <w:spacing w:val="0"/>
          <w:kern w:val="0"/>
          <w:rtl/>
        </w:rPr>
        <w:t xml:space="preserve">والقيام بتمارين </w:t>
      </w:r>
      <w:r w:rsidRPr="00AA537D">
        <w:rPr>
          <w:rFonts w:hint="cs"/>
          <w:spacing w:val="0"/>
          <w:kern w:val="0"/>
          <w:rtl/>
        </w:rPr>
        <w:t>رياضية</w:t>
      </w:r>
      <w:r w:rsidRPr="00AA537D">
        <w:rPr>
          <w:spacing w:val="0"/>
          <w:kern w:val="0"/>
          <w:rtl/>
        </w:rPr>
        <w:t xml:space="preserve"> مرهقة</w:t>
      </w:r>
      <w:r w:rsidRPr="00AA537D">
        <w:rPr>
          <w:rFonts w:hint="cs"/>
          <w:spacing w:val="0"/>
          <w:kern w:val="0"/>
          <w:rtl/>
        </w:rPr>
        <w:t>، و</w:t>
      </w:r>
      <w:r w:rsidRPr="00AA537D">
        <w:rPr>
          <w:spacing w:val="0"/>
          <w:kern w:val="0"/>
          <w:rtl/>
        </w:rPr>
        <w:t xml:space="preserve">تعرض </w:t>
      </w:r>
      <w:r w:rsidRPr="00AA537D">
        <w:rPr>
          <w:rFonts w:hint="cs"/>
          <w:spacing w:val="0"/>
          <w:kern w:val="0"/>
          <w:rtl/>
        </w:rPr>
        <w:t xml:space="preserve">بانتظام </w:t>
      </w:r>
      <w:r w:rsidRPr="00AA537D">
        <w:rPr>
          <w:spacing w:val="0"/>
          <w:kern w:val="0"/>
          <w:rtl/>
        </w:rPr>
        <w:t xml:space="preserve">للضرب والاستجواب من قبل </w:t>
      </w:r>
      <w:r w:rsidRPr="00AA537D">
        <w:rPr>
          <w:rFonts w:hint="cs"/>
          <w:spacing w:val="0"/>
          <w:kern w:val="0"/>
          <w:rtl/>
        </w:rPr>
        <w:t xml:space="preserve">أفراد تابعين لدائرة الأمن القومي. وفي </w:t>
      </w:r>
      <w:r w:rsidRPr="00AA537D">
        <w:rPr>
          <w:spacing w:val="0"/>
          <w:kern w:val="0"/>
          <w:rtl/>
        </w:rPr>
        <w:t xml:space="preserve">27 </w:t>
      </w:r>
      <w:r w:rsidRPr="00AA537D">
        <w:rPr>
          <w:rFonts w:hint="cs"/>
          <w:spacing w:val="0"/>
          <w:kern w:val="0"/>
          <w:rtl/>
        </w:rPr>
        <w:t>كانون الأول/</w:t>
      </w:r>
      <w:r w:rsidRPr="00AA537D">
        <w:rPr>
          <w:spacing w:val="0"/>
          <w:kern w:val="0"/>
          <w:rtl/>
        </w:rPr>
        <w:t xml:space="preserve">ديسمبر 2003، </w:t>
      </w:r>
      <w:r w:rsidRPr="00AA537D">
        <w:rPr>
          <w:rFonts w:hint="cs"/>
          <w:spacing w:val="0"/>
          <w:kern w:val="0"/>
          <w:rtl/>
        </w:rPr>
        <w:t>و</w:t>
      </w:r>
      <w:r w:rsidRPr="00AA537D">
        <w:rPr>
          <w:spacing w:val="0"/>
          <w:kern w:val="0"/>
          <w:rtl/>
        </w:rPr>
        <w:t>بسبب حال</w:t>
      </w:r>
      <w:r w:rsidRPr="00AA537D">
        <w:rPr>
          <w:rFonts w:hint="cs"/>
          <w:spacing w:val="0"/>
          <w:kern w:val="0"/>
          <w:rtl/>
        </w:rPr>
        <w:t>ته</w:t>
      </w:r>
      <w:r w:rsidRPr="00AA537D">
        <w:rPr>
          <w:spacing w:val="0"/>
          <w:kern w:val="0"/>
          <w:rtl/>
        </w:rPr>
        <w:t xml:space="preserve"> الصحية</w:t>
      </w:r>
      <w:r w:rsidRPr="00AA537D">
        <w:rPr>
          <w:rFonts w:hint="cs"/>
          <w:spacing w:val="0"/>
          <w:kern w:val="0"/>
          <w:rtl/>
        </w:rPr>
        <w:t xml:space="preserve"> الحرجة</w:t>
      </w:r>
      <w:r w:rsidRPr="00AA537D">
        <w:rPr>
          <w:spacing w:val="0"/>
          <w:kern w:val="0"/>
          <w:rtl/>
        </w:rPr>
        <w:t xml:space="preserve">، أطلق سراحه وطلب </w:t>
      </w:r>
      <w:r w:rsidRPr="00AA537D">
        <w:rPr>
          <w:rFonts w:hint="cs"/>
          <w:spacing w:val="0"/>
          <w:kern w:val="0"/>
          <w:rtl/>
        </w:rPr>
        <w:t xml:space="preserve">منه </w:t>
      </w:r>
      <w:r w:rsidRPr="00AA537D">
        <w:rPr>
          <w:spacing w:val="0"/>
          <w:kern w:val="0"/>
          <w:rtl/>
        </w:rPr>
        <w:t xml:space="preserve">أن </w:t>
      </w:r>
      <w:r w:rsidRPr="00AA537D">
        <w:rPr>
          <w:rFonts w:hint="cs"/>
          <w:spacing w:val="0"/>
          <w:kern w:val="0"/>
          <w:rtl/>
        </w:rPr>
        <w:t>يمثُل مرة كل أسبوعين لدى الدائرة</w:t>
      </w:r>
      <w:r w:rsidRPr="00AA537D">
        <w:rPr>
          <w:spacing w:val="0"/>
          <w:kern w:val="0"/>
          <w:rtl/>
        </w:rPr>
        <w:t xml:space="preserve"> المحلية لوزارة الداخلية</w:t>
      </w:r>
      <w:r w:rsidRPr="00AA537D">
        <w:rPr>
          <w:rFonts w:hint="cs"/>
          <w:spacing w:val="0"/>
          <w:kern w:val="0"/>
          <w:rtl/>
        </w:rPr>
        <w:t xml:space="preserve"> حيث كان يتعرض بانتظام للضرب. وفي </w:t>
      </w:r>
      <w:r w:rsidRPr="00AA537D">
        <w:rPr>
          <w:spacing w:val="0"/>
          <w:kern w:val="0"/>
          <w:rtl/>
        </w:rPr>
        <w:t>13</w:t>
      </w:r>
      <w:r w:rsidRPr="00AA537D">
        <w:rPr>
          <w:rFonts w:hint="cs"/>
          <w:spacing w:val="0"/>
          <w:kern w:val="0"/>
          <w:rtl/>
        </w:rPr>
        <w:t xml:space="preserve"> أيلول/</w:t>
      </w:r>
      <w:r w:rsidRPr="00AA537D">
        <w:rPr>
          <w:spacing w:val="0"/>
          <w:kern w:val="0"/>
          <w:rtl/>
        </w:rPr>
        <w:t>سبتمبر 2006، أ</w:t>
      </w:r>
      <w:r w:rsidRPr="00AA537D">
        <w:rPr>
          <w:rFonts w:hint="cs"/>
          <w:spacing w:val="0"/>
          <w:kern w:val="0"/>
          <w:rtl/>
        </w:rPr>
        <w:t>ُ</w:t>
      </w:r>
      <w:r w:rsidRPr="00AA537D">
        <w:rPr>
          <w:spacing w:val="0"/>
          <w:kern w:val="0"/>
          <w:rtl/>
        </w:rPr>
        <w:t xml:space="preserve">بلغ </w:t>
      </w:r>
      <w:r w:rsidRPr="00AA537D">
        <w:rPr>
          <w:rFonts w:hint="cs"/>
          <w:spacing w:val="0"/>
          <w:kern w:val="0"/>
          <w:rtl/>
        </w:rPr>
        <w:t>بإلقاء</w:t>
      </w:r>
      <w:r w:rsidRPr="00AA537D">
        <w:rPr>
          <w:spacing w:val="0"/>
          <w:kern w:val="0"/>
          <w:rtl/>
        </w:rPr>
        <w:t xml:space="preserve"> </w:t>
      </w:r>
      <w:r w:rsidRPr="00AA537D">
        <w:rPr>
          <w:rFonts w:hint="cs"/>
          <w:spacing w:val="0"/>
          <w:kern w:val="0"/>
          <w:rtl/>
        </w:rPr>
        <w:t xml:space="preserve">القبض على </w:t>
      </w:r>
      <w:r w:rsidRPr="00AA537D">
        <w:rPr>
          <w:spacing w:val="0"/>
          <w:kern w:val="0"/>
          <w:rtl/>
        </w:rPr>
        <w:t xml:space="preserve">عدد </w:t>
      </w:r>
      <w:r w:rsidRPr="00AA537D">
        <w:rPr>
          <w:rFonts w:hint="cs"/>
          <w:spacing w:val="0"/>
          <w:kern w:val="0"/>
          <w:rtl/>
        </w:rPr>
        <w:t xml:space="preserve">كبير </w:t>
      </w:r>
      <w:r w:rsidRPr="00AA537D">
        <w:rPr>
          <w:spacing w:val="0"/>
          <w:kern w:val="0"/>
          <w:rtl/>
        </w:rPr>
        <w:t>من أ</w:t>
      </w:r>
      <w:r w:rsidRPr="00AA537D">
        <w:rPr>
          <w:rFonts w:hint="cs"/>
          <w:spacing w:val="0"/>
          <w:kern w:val="0"/>
          <w:rtl/>
        </w:rPr>
        <w:t xml:space="preserve">فراد </w:t>
      </w:r>
      <w:r w:rsidRPr="00AA537D">
        <w:rPr>
          <w:spacing w:val="0"/>
          <w:kern w:val="0"/>
          <w:rtl/>
        </w:rPr>
        <w:t>أسر</w:t>
      </w:r>
      <w:r w:rsidRPr="00AA537D">
        <w:rPr>
          <w:rFonts w:hint="cs"/>
          <w:spacing w:val="0"/>
          <w:kern w:val="0"/>
          <w:rtl/>
        </w:rPr>
        <w:t>ته</w:t>
      </w:r>
      <w:r w:rsidRPr="00AA537D">
        <w:rPr>
          <w:spacing w:val="0"/>
          <w:kern w:val="0"/>
          <w:rtl/>
        </w:rPr>
        <w:t xml:space="preserve">. </w:t>
      </w:r>
      <w:r w:rsidRPr="00AA537D">
        <w:rPr>
          <w:rFonts w:hint="cs"/>
          <w:spacing w:val="0"/>
          <w:kern w:val="0"/>
          <w:rtl/>
        </w:rPr>
        <w:t xml:space="preserve">واختبأ </w:t>
      </w:r>
      <w:r w:rsidRPr="00AA537D">
        <w:rPr>
          <w:spacing w:val="0"/>
          <w:kern w:val="0"/>
          <w:rtl/>
        </w:rPr>
        <w:t xml:space="preserve">صاحب الشكوى إلى </w:t>
      </w:r>
      <w:r w:rsidRPr="00AA537D">
        <w:rPr>
          <w:rFonts w:hint="cs"/>
          <w:spacing w:val="0"/>
          <w:kern w:val="0"/>
          <w:rtl/>
        </w:rPr>
        <w:t xml:space="preserve">أن تمكن في </w:t>
      </w:r>
      <w:r w:rsidRPr="00AA537D">
        <w:rPr>
          <w:spacing w:val="0"/>
          <w:kern w:val="0"/>
          <w:rtl/>
        </w:rPr>
        <w:t>تشرين الثاني/نوفمبر 2007</w:t>
      </w:r>
      <w:r w:rsidRPr="00AA537D">
        <w:rPr>
          <w:rFonts w:hint="cs"/>
          <w:spacing w:val="0"/>
          <w:kern w:val="0"/>
          <w:rtl/>
        </w:rPr>
        <w:t xml:space="preserve"> من المغادرة إلى قيرغيزستان. و</w:t>
      </w:r>
      <w:r w:rsidRPr="00AA537D">
        <w:rPr>
          <w:spacing w:val="0"/>
          <w:kern w:val="0"/>
          <w:rtl/>
        </w:rPr>
        <w:t xml:space="preserve">في 17 </w:t>
      </w:r>
      <w:r w:rsidRPr="00AA537D">
        <w:rPr>
          <w:rFonts w:hint="cs"/>
          <w:spacing w:val="0"/>
          <w:kern w:val="0"/>
          <w:rtl/>
        </w:rPr>
        <w:t>آذار/</w:t>
      </w:r>
      <w:r w:rsidRPr="00AA537D">
        <w:rPr>
          <w:spacing w:val="0"/>
          <w:kern w:val="0"/>
          <w:rtl/>
        </w:rPr>
        <w:t>مارس 2009، ذهب إلى ألماتي</w:t>
      </w:r>
      <w:r w:rsidRPr="00AA537D">
        <w:rPr>
          <w:rFonts w:hint="cs"/>
          <w:spacing w:val="0"/>
          <w:kern w:val="0"/>
          <w:rtl/>
        </w:rPr>
        <w:t xml:space="preserve">، </w:t>
      </w:r>
      <w:r w:rsidRPr="00AA537D">
        <w:rPr>
          <w:spacing w:val="0"/>
          <w:kern w:val="0"/>
          <w:rtl/>
        </w:rPr>
        <w:t>ومنح</w:t>
      </w:r>
      <w:r w:rsidRPr="00AA537D">
        <w:rPr>
          <w:rFonts w:hint="cs"/>
          <w:spacing w:val="0"/>
          <w:kern w:val="0"/>
          <w:rtl/>
        </w:rPr>
        <w:t>ته مفوضية الأمم المتحدة السامية لشؤون اللاجئين</w:t>
      </w:r>
      <w:r w:rsidRPr="00AA537D">
        <w:rPr>
          <w:spacing w:val="0"/>
          <w:kern w:val="0"/>
          <w:rtl/>
        </w:rPr>
        <w:t xml:space="preserve"> في </w:t>
      </w:r>
      <w:r w:rsidRPr="00AA537D">
        <w:rPr>
          <w:rFonts w:hint="cs"/>
          <w:spacing w:val="0"/>
          <w:kern w:val="0"/>
          <w:rtl/>
        </w:rPr>
        <w:t>آب/أغسطس 2009 مركز اللاجئ</w:t>
      </w:r>
      <w:r w:rsidRPr="00AA537D">
        <w:rPr>
          <w:spacing w:val="0"/>
          <w:kern w:val="0"/>
          <w:rtl/>
        </w:rPr>
        <w:t xml:space="preserve">. </w:t>
      </w:r>
    </w:p>
    <w:p w:rsidR="00FA6676" w:rsidRPr="00AA537D" w:rsidRDefault="00FA6676" w:rsidP="00EB70BE">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ش</w:t>
      </w:r>
      <w:r w:rsidRPr="00AA537D">
        <w:rPr>
          <w:rFonts w:hint="cs"/>
          <w:spacing w:val="0"/>
          <w:kern w:val="0"/>
          <w:rtl/>
        </w:rPr>
        <w:t>هرت</w:t>
      </w:r>
      <w:r w:rsidRPr="00AA537D">
        <w:rPr>
          <w:spacing w:val="0"/>
          <w:kern w:val="0"/>
          <w:rtl/>
        </w:rPr>
        <w:t xml:space="preserve"> بوتيروف</w:t>
      </w:r>
    </w:p>
    <w:p w:rsidR="00FA6676" w:rsidRPr="00AA537D" w:rsidRDefault="00FA6676" w:rsidP="00EB70BE">
      <w:pPr>
        <w:pStyle w:val="SingleTxtGA"/>
        <w:jc w:val="lowKashida"/>
        <w:rPr>
          <w:rFonts w:hint="cs"/>
          <w:spacing w:val="0"/>
          <w:kern w:val="0"/>
          <w:rtl/>
        </w:rPr>
      </w:pPr>
      <w:r w:rsidRPr="00AA537D">
        <w:rPr>
          <w:rFonts w:hint="cs"/>
          <w:spacing w:val="0"/>
          <w:kern w:val="0"/>
          <w:rtl/>
        </w:rPr>
        <w:t>7-7</w:t>
      </w:r>
      <w:r w:rsidRPr="00AA537D">
        <w:rPr>
          <w:rFonts w:hint="cs"/>
          <w:spacing w:val="0"/>
          <w:kern w:val="0"/>
          <w:rtl/>
        </w:rPr>
        <w:tab/>
        <w:t xml:space="preserve">كان صاحب الشكوى من الذين يؤدون </w:t>
      </w:r>
      <w:r w:rsidRPr="00AA537D">
        <w:rPr>
          <w:spacing w:val="0"/>
          <w:kern w:val="0"/>
          <w:rtl/>
        </w:rPr>
        <w:t xml:space="preserve">صلاة </w:t>
      </w:r>
      <w:r w:rsidRPr="00AA537D">
        <w:rPr>
          <w:rFonts w:hint="cs"/>
          <w:spacing w:val="0"/>
          <w:kern w:val="0"/>
          <w:rtl/>
        </w:rPr>
        <w:t xml:space="preserve">الجمعة بانتظام </w:t>
      </w:r>
      <w:r w:rsidRPr="00AA537D">
        <w:rPr>
          <w:spacing w:val="0"/>
          <w:kern w:val="0"/>
          <w:rtl/>
        </w:rPr>
        <w:t>في المسجد</w:t>
      </w:r>
      <w:r w:rsidRPr="00AA537D">
        <w:rPr>
          <w:rFonts w:hint="cs"/>
          <w:spacing w:val="0"/>
          <w:kern w:val="0"/>
          <w:rtl/>
        </w:rPr>
        <w:t xml:space="preserve"> وهددته السلطات المحلية مراراً </w:t>
      </w:r>
      <w:r w:rsidRPr="00AA537D">
        <w:rPr>
          <w:spacing w:val="0"/>
          <w:kern w:val="0"/>
          <w:rtl/>
        </w:rPr>
        <w:t>ب</w:t>
      </w:r>
      <w:r w:rsidRPr="00AA537D">
        <w:rPr>
          <w:rFonts w:hint="cs"/>
          <w:spacing w:val="0"/>
          <w:kern w:val="0"/>
          <w:rtl/>
        </w:rPr>
        <w:t>إلقاء القبض عليه</w:t>
      </w:r>
      <w:r w:rsidRPr="00AA537D">
        <w:rPr>
          <w:spacing w:val="0"/>
          <w:kern w:val="0"/>
          <w:rtl/>
        </w:rPr>
        <w:t xml:space="preserve">. </w:t>
      </w:r>
      <w:r w:rsidRPr="00AA537D">
        <w:rPr>
          <w:rFonts w:hint="cs"/>
          <w:spacing w:val="0"/>
          <w:kern w:val="0"/>
          <w:rtl/>
        </w:rPr>
        <w:t>و</w:t>
      </w:r>
      <w:r w:rsidRPr="00AA537D">
        <w:rPr>
          <w:spacing w:val="0"/>
          <w:kern w:val="0"/>
          <w:rtl/>
        </w:rPr>
        <w:t xml:space="preserve">في نيسان/أبريل 2010، </w:t>
      </w:r>
      <w:r w:rsidRPr="00AA537D">
        <w:rPr>
          <w:rFonts w:hint="cs"/>
          <w:spacing w:val="0"/>
          <w:kern w:val="0"/>
          <w:rtl/>
        </w:rPr>
        <w:t>ألقت دائرة الأمن القومي القبض على</w:t>
      </w:r>
      <w:r w:rsidRPr="00AA537D">
        <w:rPr>
          <w:spacing w:val="0"/>
          <w:kern w:val="0"/>
          <w:rtl/>
        </w:rPr>
        <w:t xml:space="preserve"> اثن</w:t>
      </w:r>
      <w:r w:rsidRPr="00AA537D">
        <w:rPr>
          <w:rFonts w:hint="cs"/>
          <w:spacing w:val="0"/>
          <w:kern w:val="0"/>
          <w:rtl/>
        </w:rPr>
        <w:t>ي</w:t>
      </w:r>
      <w:r w:rsidRPr="00AA537D">
        <w:rPr>
          <w:spacing w:val="0"/>
          <w:kern w:val="0"/>
          <w:rtl/>
        </w:rPr>
        <w:t xml:space="preserve">ن من أصدقائه الذين اعتاد على </w:t>
      </w:r>
      <w:r w:rsidRPr="00AA537D">
        <w:rPr>
          <w:rFonts w:hint="cs"/>
          <w:spacing w:val="0"/>
          <w:kern w:val="0"/>
          <w:rtl/>
        </w:rPr>
        <w:t>أداء</w:t>
      </w:r>
      <w:r w:rsidRPr="00AA537D">
        <w:rPr>
          <w:spacing w:val="0"/>
          <w:kern w:val="0"/>
          <w:rtl/>
        </w:rPr>
        <w:t xml:space="preserve"> صلاة الجمعة </w:t>
      </w:r>
      <w:r w:rsidRPr="00AA537D">
        <w:rPr>
          <w:rFonts w:hint="cs"/>
          <w:spacing w:val="0"/>
          <w:kern w:val="0"/>
          <w:rtl/>
        </w:rPr>
        <w:t xml:space="preserve">معهم. وحكم عليهما بالسجن </w:t>
      </w:r>
      <w:r w:rsidRPr="00AA537D">
        <w:rPr>
          <w:spacing w:val="0"/>
          <w:kern w:val="0"/>
          <w:rtl/>
        </w:rPr>
        <w:t xml:space="preserve">لمدة </w:t>
      </w:r>
      <w:r w:rsidRPr="00AA537D">
        <w:rPr>
          <w:rFonts w:hint="cs"/>
          <w:spacing w:val="0"/>
          <w:kern w:val="0"/>
          <w:rtl/>
        </w:rPr>
        <w:t>9 سنوات و</w:t>
      </w:r>
      <w:r w:rsidRPr="00AA537D">
        <w:rPr>
          <w:spacing w:val="0"/>
          <w:kern w:val="0"/>
          <w:rtl/>
        </w:rPr>
        <w:t xml:space="preserve">20 سنة. </w:t>
      </w:r>
      <w:r w:rsidRPr="00AA537D">
        <w:rPr>
          <w:rFonts w:hint="cs"/>
          <w:spacing w:val="0"/>
          <w:kern w:val="0"/>
          <w:rtl/>
        </w:rPr>
        <w:t xml:space="preserve">وخشي صاحب </w:t>
      </w:r>
      <w:r w:rsidRPr="00AA537D">
        <w:rPr>
          <w:spacing w:val="0"/>
          <w:kern w:val="0"/>
          <w:rtl/>
        </w:rPr>
        <w:t xml:space="preserve">الشكوى </w:t>
      </w:r>
      <w:r w:rsidRPr="00AA537D">
        <w:rPr>
          <w:rFonts w:hint="cs"/>
          <w:spacing w:val="0"/>
          <w:kern w:val="0"/>
          <w:rtl/>
        </w:rPr>
        <w:t xml:space="preserve">على </w:t>
      </w:r>
      <w:r w:rsidRPr="00AA537D">
        <w:rPr>
          <w:spacing w:val="0"/>
          <w:kern w:val="0"/>
          <w:rtl/>
        </w:rPr>
        <w:t>حياته</w:t>
      </w:r>
      <w:r w:rsidRPr="00AA537D">
        <w:rPr>
          <w:rFonts w:hint="cs"/>
          <w:spacing w:val="0"/>
          <w:kern w:val="0"/>
          <w:rtl/>
        </w:rPr>
        <w:t xml:space="preserve"> فقرر مغادرة</w:t>
      </w:r>
      <w:r w:rsidRPr="00AA537D">
        <w:rPr>
          <w:spacing w:val="0"/>
          <w:kern w:val="0"/>
          <w:rtl/>
        </w:rPr>
        <w:t xml:space="preserve"> أوزبكستان. </w:t>
      </w:r>
      <w:r w:rsidRPr="00AA537D">
        <w:rPr>
          <w:rFonts w:hint="cs"/>
          <w:spacing w:val="0"/>
          <w:kern w:val="0"/>
          <w:rtl/>
        </w:rPr>
        <w:t>و</w:t>
      </w:r>
      <w:r w:rsidRPr="00AA537D">
        <w:rPr>
          <w:spacing w:val="0"/>
          <w:kern w:val="0"/>
          <w:rtl/>
        </w:rPr>
        <w:t xml:space="preserve">في 5 </w:t>
      </w:r>
      <w:r w:rsidRPr="00AA537D">
        <w:rPr>
          <w:rFonts w:hint="cs"/>
          <w:spacing w:val="0"/>
          <w:kern w:val="0"/>
          <w:rtl/>
        </w:rPr>
        <w:t>نيسان/</w:t>
      </w:r>
      <w:r w:rsidRPr="00AA537D">
        <w:rPr>
          <w:spacing w:val="0"/>
          <w:kern w:val="0"/>
          <w:rtl/>
        </w:rPr>
        <w:t>أبريل 2010، وصل إلى كازاخستان، حيث منح</w:t>
      </w:r>
      <w:r w:rsidRPr="00AA537D">
        <w:rPr>
          <w:rFonts w:hint="cs"/>
          <w:spacing w:val="0"/>
          <w:kern w:val="0"/>
          <w:rtl/>
        </w:rPr>
        <w:t>ته</w:t>
      </w:r>
      <w:r w:rsidRPr="00AA537D">
        <w:rPr>
          <w:spacing w:val="0"/>
          <w:kern w:val="0"/>
          <w:rtl/>
        </w:rPr>
        <w:t xml:space="preserve"> </w:t>
      </w:r>
      <w:r w:rsidRPr="00AA537D">
        <w:rPr>
          <w:rFonts w:hint="cs"/>
          <w:spacing w:val="0"/>
          <w:kern w:val="0"/>
          <w:rtl/>
        </w:rPr>
        <w:t>مفوضية الأمم المتحدة السامية لشؤون اللاجئين</w:t>
      </w:r>
      <w:r w:rsidRPr="00AA537D">
        <w:rPr>
          <w:spacing w:val="0"/>
          <w:kern w:val="0"/>
          <w:rtl/>
        </w:rPr>
        <w:t xml:space="preserve"> مركز اللاجئ.</w:t>
      </w:r>
    </w:p>
    <w:p w:rsidR="00FA6676" w:rsidRPr="00AA537D" w:rsidRDefault="00FA6676" w:rsidP="00EB70BE">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مغيث الدين غولاموف</w:t>
      </w:r>
    </w:p>
    <w:p w:rsidR="00FA6676" w:rsidRPr="00AA537D" w:rsidRDefault="00FA6676" w:rsidP="00EB70BE">
      <w:pPr>
        <w:pStyle w:val="SingleTxtGA"/>
        <w:jc w:val="lowKashida"/>
        <w:rPr>
          <w:rFonts w:hint="cs"/>
          <w:spacing w:val="0"/>
          <w:kern w:val="0"/>
          <w:rtl/>
        </w:rPr>
      </w:pPr>
      <w:r w:rsidRPr="00AA537D">
        <w:rPr>
          <w:rFonts w:hint="cs"/>
          <w:spacing w:val="0"/>
          <w:kern w:val="0"/>
          <w:rtl/>
        </w:rPr>
        <w:t>7-8</w:t>
      </w:r>
      <w:r w:rsidRPr="00AA537D">
        <w:rPr>
          <w:rFonts w:hint="cs"/>
          <w:spacing w:val="0"/>
          <w:kern w:val="0"/>
          <w:rtl/>
        </w:rPr>
        <w:tab/>
        <w:t>في</w:t>
      </w:r>
      <w:r w:rsidRPr="00AA537D">
        <w:rPr>
          <w:spacing w:val="0"/>
          <w:kern w:val="0"/>
          <w:rtl/>
        </w:rPr>
        <w:t xml:space="preserve"> عام 1999، </w:t>
      </w:r>
      <w:r w:rsidRPr="00AA537D">
        <w:rPr>
          <w:rFonts w:hint="cs"/>
          <w:spacing w:val="0"/>
          <w:kern w:val="0"/>
          <w:rtl/>
        </w:rPr>
        <w:t>ألقي</w:t>
      </w:r>
      <w:r w:rsidRPr="00AA537D">
        <w:rPr>
          <w:spacing w:val="0"/>
          <w:kern w:val="0"/>
          <w:rtl/>
        </w:rPr>
        <w:t xml:space="preserve"> القبض على ثلاثة من أصدقا</w:t>
      </w:r>
      <w:r w:rsidRPr="00AA537D">
        <w:rPr>
          <w:rFonts w:hint="cs"/>
          <w:spacing w:val="0"/>
          <w:kern w:val="0"/>
          <w:rtl/>
        </w:rPr>
        <w:t>ء مغيث الدين</w:t>
      </w:r>
      <w:r w:rsidRPr="00AA537D">
        <w:rPr>
          <w:spacing w:val="0"/>
          <w:kern w:val="0"/>
          <w:rtl/>
        </w:rPr>
        <w:t xml:space="preserve"> الذين اعتاد </w:t>
      </w:r>
      <w:r w:rsidRPr="00AA537D">
        <w:rPr>
          <w:rFonts w:hint="cs"/>
          <w:spacing w:val="0"/>
          <w:kern w:val="0"/>
          <w:rtl/>
        </w:rPr>
        <w:t>على الصلاة معهم ب</w:t>
      </w:r>
      <w:r w:rsidRPr="00AA537D">
        <w:rPr>
          <w:spacing w:val="0"/>
          <w:kern w:val="0"/>
          <w:rtl/>
        </w:rPr>
        <w:t>المسجد و</w:t>
      </w:r>
      <w:r w:rsidRPr="00AA537D">
        <w:rPr>
          <w:rFonts w:hint="cs"/>
          <w:spacing w:val="0"/>
          <w:kern w:val="0"/>
          <w:rtl/>
        </w:rPr>
        <w:t>تعرض</w:t>
      </w:r>
      <w:r w:rsidRPr="00AA537D">
        <w:rPr>
          <w:spacing w:val="0"/>
          <w:kern w:val="0"/>
          <w:rtl/>
        </w:rPr>
        <w:t xml:space="preserve"> منزله</w:t>
      </w:r>
      <w:r w:rsidRPr="00AA537D">
        <w:rPr>
          <w:rFonts w:hint="cs"/>
          <w:spacing w:val="0"/>
          <w:kern w:val="0"/>
          <w:rtl/>
        </w:rPr>
        <w:t xml:space="preserve"> لل</w:t>
      </w:r>
      <w:r w:rsidRPr="00AA537D">
        <w:rPr>
          <w:spacing w:val="0"/>
          <w:kern w:val="0"/>
          <w:rtl/>
        </w:rPr>
        <w:t xml:space="preserve">تفتيش. وفي عام 2001، </w:t>
      </w:r>
      <w:r w:rsidRPr="00AA537D">
        <w:rPr>
          <w:rFonts w:hint="cs"/>
          <w:spacing w:val="0"/>
          <w:kern w:val="0"/>
          <w:rtl/>
        </w:rPr>
        <w:t>و</w:t>
      </w:r>
      <w:r w:rsidRPr="00AA537D">
        <w:rPr>
          <w:spacing w:val="0"/>
          <w:kern w:val="0"/>
          <w:rtl/>
        </w:rPr>
        <w:t xml:space="preserve">في </w:t>
      </w:r>
      <w:r w:rsidRPr="00AA537D">
        <w:rPr>
          <w:rFonts w:hint="cs"/>
          <w:spacing w:val="0"/>
          <w:kern w:val="0"/>
          <w:rtl/>
        </w:rPr>
        <w:t xml:space="preserve">حملة </w:t>
      </w:r>
      <w:r w:rsidRPr="00AA537D">
        <w:rPr>
          <w:spacing w:val="0"/>
          <w:kern w:val="0"/>
          <w:rtl/>
        </w:rPr>
        <w:t xml:space="preserve">جديدة </w:t>
      </w:r>
      <w:r w:rsidRPr="00AA537D">
        <w:rPr>
          <w:rFonts w:hint="cs"/>
          <w:spacing w:val="0"/>
          <w:kern w:val="0"/>
          <w:rtl/>
        </w:rPr>
        <w:t xml:space="preserve">تستهدف الأشخاص الذين يؤدون الصلاة في </w:t>
      </w:r>
      <w:r w:rsidRPr="00AA537D">
        <w:rPr>
          <w:spacing w:val="0"/>
          <w:kern w:val="0"/>
          <w:rtl/>
        </w:rPr>
        <w:t xml:space="preserve">المسجد، قامت الشرطة بتفتيش منزله في غيابه. </w:t>
      </w:r>
      <w:r w:rsidRPr="00AA537D">
        <w:rPr>
          <w:rFonts w:hint="cs"/>
          <w:spacing w:val="0"/>
          <w:kern w:val="0"/>
          <w:rtl/>
        </w:rPr>
        <w:t xml:space="preserve">واختبأ </w:t>
      </w:r>
      <w:r w:rsidRPr="00AA537D">
        <w:rPr>
          <w:spacing w:val="0"/>
          <w:kern w:val="0"/>
          <w:rtl/>
        </w:rPr>
        <w:t xml:space="preserve">صاحب الشكوى </w:t>
      </w:r>
      <w:r w:rsidRPr="00AA537D">
        <w:rPr>
          <w:rFonts w:hint="cs"/>
          <w:spacing w:val="0"/>
          <w:kern w:val="0"/>
          <w:rtl/>
        </w:rPr>
        <w:t>بعد ذلك. و</w:t>
      </w:r>
      <w:r w:rsidRPr="00AA537D">
        <w:rPr>
          <w:spacing w:val="0"/>
          <w:kern w:val="0"/>
          <w:rtl/>
        </w:rPr>
        <w:t xml:space="preserve">عندما خرج من </w:t>
      </w:r>
      <w:r w:rsidRPr="00AA537D">
        <w:rPr>
          <w:rFonts w:hint="cs"/>
          <w:spacing w:val="0"/>
          <w:kern w:val="0"/>
          <w:rtl/>
        </w:rPr>
        <w:t xml:space="preserve">مخبئه، </w:t>
      </w:r>
      <w:r w:rsidRPr="00AA537D">
        <w:rPr>
          <w:spacing w:val="0"/>
          <w:kern w:val="0"/>
          <w:rtl/>
        </w:rPr>
        <w:t>استدع</w:t>
      </w:r>
      <w:r w:rsidRPr="00AA537D">
        <w:rPr>
          <w:rFonts w:hint="cs"/>
          <w:spacing w:val="0"/>
          <w:kern w:val="0"/>
          <w:rtl/>
        </w:rPr>
        <w:t>ي</w:t>
      </w:r>
      <w:r w:rsidRPr="00AA537D">
        <w:rPr>
          <w:spacing w:val="0"/>
          <w:kern w:val="0"/>
          <w:rtl/>
        </w:rPr>
        <w:t xml:space="preserve"> </w:t>
      </w:r>
      <w:r w:rsidRPr="00AA537D">
        <w:rPr>
          <w:rFonts w:hint="cs"/>
          <w:spacing w:val="0"/>
          <w:kern w:val="0"/>
          <w:rtl/>
        </w:rPr>
        <w:t>بم</w:t>
      </w:r>
      <w:r w:rsidRPr="00AA537D">
        <w:rPr>
          <w:spacing w:val="0"/>
          <w:kern w:val="0"/>
          <w:rtl/>
        </w:rPr>
        <w:t>كتب المدعي العام وس</w:t>
      </w:r>
      <w:r w:rsidRPr="00AA537D">
        <w:rPr>
          <w:rFonts w:hint="cs"/>
          <w:spacing w:val="0"/>
          <w:kern w:val="0"/>
          <w:rtl/>
        </w:rPr>
        <w:t>ئ</w:t>
      </w:r>
      <w:r w:rsidRPr="00AA537D">
        <w:rPr>
          <w:spacing w:val="0"/>
          <w:kern w:val="0"/>
          <w:rtl/>
        </w:rPr>
        <w:t xml:space="preserve">ل </w:t>
      </w:r>
      <w:r w:rsidRPr="00AA537D">
        <w:rPr>
          <w:rFonts w:hint="cs"/>
          <w:spacing w:val="0"/>
          <w:kern w:val="0"/>
          <w:rtl/>
        </w:rPr>
        <w:t xml:space="preserve">عن </w:t>
      </w:r>
      <w:r w:rsidRPr="00AA537D">
        <w:rPr>
          <w:spacing w:val="0"/>
          <w:kern w:val="0"/>
          <w:rtl/>
        </w:rPr>
        <w:t xml:space="preserve">معارفه. </w:t>
      </w:r>
      <w:r w:rsidRPr="00AA537D">
        <w:rPr>
          <w:rFonts w:hint="cs"/>
          <w:spacing w:val="0"/>
          <w:kern w:val="0"/>
          <w:rtl/>
        </w:rPr>
        <w:t xml:space="preserve">وفي الفترة من </w:t>
      </w:r>
      <w:r w:rsidRPr="00AA537D">
        <w:rPr>
          <w:spacing w:val="0"/>
          <w:kern w:val="0"/>
          <w:rtl/>
        </w:rPr>
        <w:t>عام</w:t>
      </w:r>
      <w:r w:rsidRPr="00AA537D">
        <w:rPr>
          <w:rFonts w:hint="cs"/>
          <w:spacing w:val="0"/>
          <w:kern w:val="0"/>
          <w:rtl/>
        </w:rPr>
        <w:t> </w:t>
      </w:r>
      <w:r w:rsidRPr="00AA537D">
        <w:rPr>
          <w:spacing w:val="0"/>
          <w:kern w:val="0"/>
          <w:rtl/>
        </w:rPr>
        <w:t>2005 إلى عام 2007</w:t>
      </w:r>
      <w:r w:rsidRPr="00AA537D">
        <w:rPr>
          <w:rFonts w:hint="cs"/>
          <w:spacing w:val="0"/>
          <w:kern w:val="0"/>
          <w:rtl/>
        </w:rPr>
        <w:t xml:space="preserve"> اختبأ </w:t>
      </w:r>
      <w:r w:rsidRPr="00AA537D">
        <w:rPr>
          <w:spacing w:val="0"/>
          <w:kern w:val="0"/>
          <w:rtl/>
        </w:rPr>
        <w:t xml:space="preserve">مرة أخرى بعد </w:t>
      </w:r>
      <w:r w:rsidRPr="00AA537D">
        <w:rPr>
          <w:rFonts w:hint="cs"/>
          <w:spacing w:val="0"/>
          <w:kern w:val="0"/>
          <w:rtl/>
        </w:rPr>
        <w:t xml:space="preserve">محاكمة عدد كبير من </w:t>
      </w:r>
      <w:r w:rsidRPr="00AA537D">
        <w:rPr>
          <w:spacing w:val="0"/>
          <w:kern w:val="0"/>
          <w:rtl/>
        </w:rPr>
        <w:t>أصدقا</w:t>
      </w:r>
      <w:r w:rsidRPr="00AA537D">
        <w:rPr>
          <w:rFonts w:hint="cs"/>
          <w:spacing w:val="0"/>
          <w:kern w:val="0"/>
          <w:rtl/>
        </w:rPr>
        <w:t>ئه</w:t>
      </w:r>
      <w:r w:rsidRPr="00AA537D">
        <w:rPr>
          <w:spacing w:val="0"/>
          <w:kern w:val="0"/>
          <w:rtl/>
        </w:rPr>
        <w:t xml:space="preserve">. </w:t>
      </w:r>
      <w:r w:rsidRPr="00AA537D">
        <w:rPr>
          <w:rFonts w:hint="cs"/>
          <w:spacing w:val="0"/>
          <w:kern w:val="0"/>
          <w:rtl/>
        </w:rPr>
        <w:t>و</w:t>
      </w:r>
      <w:r w:rsidRPr="00AA537D">
        <w:rPr>
          <w:spacing w:val="0"/>
          <w:kern w:val="0"/>
          <w:rtl/>
        </w:rPr>
        <w:t>في أوائل عام</w:t>
      </w:r>
      <w:r w:rsidRPr="00AA537D">
        <w:rPr>
          <w:rFonts w:hint="cs"/>
          <w:spacing w:val="0"/>
          <w:kern w:val="0"/>
          <w:rtl/>
        </w:rPr>
        <w:t> </w:t>
      </w:r>
      <w:r w:rsidRPr="00AA537D">
        <w:rPr>
          <w:spacing w:val="0"/>
          <w:kern w:val="0"/>
          <w:rtl/>
        </w:rPr>
        <w:t>2007، غادر أوزبكستان و</w:t>
      </w:r>
      <w:r w:rsidRPr="00AA537D">
        <w:rPr>
          <w:rFonts w:hint="cs"/>
          <w:spacing w:val="0"/>
          <w:kern w:val="0"/>
          <w:rtl/>
        </w:rPr>
        <w:t>منحته مفوضية الأمم المتحدة السامية لشؤون اللاجئين</w:t>
      </w:r>
      <w:r w:rsidRPr="00AA537D">
        <w:rPr>
          <w:spacing w:val="0"/>
          <w:kern w:val="0"/>
          <w:rtl/>
        </w:rPr>
        <w:t xml:space="preserve"> في </w:t>
      </w:r>
      <w:r w:rsidRPr="00AA537D">
        <w:rPr>
          <w:rFonts w:hint="cs"/>
          <w:spacing w:val="0"/>
          <w:kern w:val="0"/>
          <w:rtl/>
        </w:rPr>
        <w:t>آذار/مارس 2007 مركز اللاجئ</w:t>
      </w:r>
      <w:r w:rsidRPr="00AA537D">
        <w:rPr>
          <w:spacing w:val="0"/>
          <w:kern w:val="0"/>
          <w:rtl/>
        </w:rPr>
        <w:t>.</w:t>
      </w:r>
    </w:p>
    <w:p w:rsidR="00FA6676" w:rsidRPr="00AA537D" w:rsidRDefault="00FA6676" w:rsidP="00EB70BE">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ش</w:t>
      </w:r>
      <w:r w:rsidRPr="00AA537D">
        <w:rPr>
          <w:rFonts w:hint="cs"/>
          <w:spacing w:val="0"/>
          <w:kern w:val="0"/>
          <w:rtl/>
        </w:rPr>
        <w:t>ك</w:t>
      </w:r>
      <w:r w:rsidRPr="00AA537D">
        <w:rPr>
          <w:spacing w:val="0"/>
          <w:kern w:val="0"/>
          <w:rtl/>
        </w:rPr>
        <w:t>رت</w:t>
      </w:r>
      <w:r w:rsidRPr="00AA537D">
        <w:rPr>
          <w:rFonts w:hint="cs"/>
          <w:spacing w:val="0"/>
          <w:kern w:val="0"/>
          <w:rtl/>
        </w:rPr>
        <w:t xml:space="preserve"> هولوبويف</w:t>
      </w:r>
    </w:p>
    <w:p w:rsidR="00FA6676" w:rsidRPr="00AA537D" w:rsidRDefault="00FA6676" w:rsidP="00EB70BE">
      <w:pPr>
        <w:pStyle w:val="SingleTxtGA"/>
        <w:jc w:val="lowKashida"/>
        <w:rPr>
          <w:rFonts w:hint="cs"/>
          <w:spacing w:val="0"/>
          <w:kern w:val="0"/>
          <w:rtl/>
        </w:rPr>
      </w:pPr>
      <w:r w:rsidRPr="00AA537D">
        <w:rPr>
          <w:rFonts w:hint="cs"/>
          <w:spacing w:val="0"/>
          <w:kern w:val="0"/>
          <w:rtl/>
        </w:rPr>
        <w:t>7-9</w:t>
      </w:r>
      <w:r w:rsidRPr="00AA537D">
        <w:rPr>
          <w:rFonts w:hint="cs"/>
          <w:spacing w:val="0"/>
          <w:kern w:val="0"/>
          <w:rtl/>
        </w:rPr>
        <w:tab/>
        <w:t xml:space="preserve">في </w:t>
      </w:r>
      <w:r w:rsidRPr="00AA537D">
        <w:rPr>
          <w:spacing w:val="0"/>
          <w:kern w:val="0"/>
          <w:rtl/>
        </w:rPr>
        <w:t xml:space="preserve">تشرين الثاني/نوفمبر 1999، </w:t>
      </w:r>
      <w:r w:rsidRPr="00AA537D">
        <w:rPr>
          <w:rFonts w:hint="cs"/>
          <w:spacing w:val="0"/>
          <w:kern w:val="0"/>
          <w:rtl/>
        </w:rPr>
        <w:t xml:space="preserve">ألقي القبض على بعض </w:t>
      </w:r>
      <w:r w:rsidRPr="00AA537D">
        <w:rPr>
          <w:spacing w:val="0"/>
          <w:kern w:val="0"/>
          <w:rtl/>
        </w:rPr>
        <w:t xml:space="preserve">أصدقاء صاحب الشكوى وأجبروا على </w:t>
      </w:r>
      <w:r w:rsidRPr="00AA537D">
        <w:rPr>
          <w:rFonts w:hint="cs"/>
          <w:spacing w:val="0"/>
          <w:kern w:val="0"/>
          <w:rtl/>
        </w:rPr>
        <w:t>ال</w:t>
      </w:r>
      <w:r w:rsidRPr="00AA537D">
        <w:rPr>
          <w:spacing w:val="0"/>
          <w:kern w:val="0"/>
          <w:rtl/>
        </w:rPr>
        <w:t xml:space="preserve">توقيع </w:t>
      </w:r>
      <w:r w:rsidRPr="00AA537D">
        <w:rPr>
          <w:rFonts w:hint="cs"/>
          <w:spacing w:val="0"/>
          <w:kern w:val="0"/>
          <w:rtl/>
        </w:rPr>
        <w:t xml:space="preserve">على </w:t>
      </w:r>
      <w:r w:rsidRPr="00AA537D">
        <w:rPr>
          <w:spacing w:val="0"/>
          <w:kern w:val="0"/>
          <w:rtl/>
        </w:rPr>
        <w:t>وثائق تزعم أن</w:t>
      </w:r>
      <w:r w:rsidRPr="00AA537D">
        <w:rPr>
          <w:rFonts w:hint="cs"/>
          <w:spacing w:val="0"/>
          <w:kern w:val="0"/>
          <w:rtl/>
        </w:rPr>
        <w:t>ه يدعو</w:t>
      </w:r>
      <w:r w:rsidRPr="00AA537D">
        <w:rPr>
          <w:spacing w:val="0"/>
          <w:kern w:val="0"/>
          <w:rtl/>
        </w:rPr>
        <w:t xml:space="preserve"> إلى الإطاحة بالنظام الدستوري. </w:t>
      </w:r>
      <w:r w:rsidRPr="00AA537D">
        <w:rPr>
          <w:rFonts w:hint="cs"/>
          <w:spacing w:val="0"/>
          <w:kern w:val="0"/>
          <w:rtl/>
        </w:rPr>
        <w:t>و</w:t>
      </w:r>
      <w:r w:rsidRPr="00AA537D">
        <w:rPr>
          <w:spacing w:val="0"/>
          <w:kern w:val="0"/>
          <w:rtl/>
        </w:rPr>
        <w:t xml:space="preserve">في كانون الأول/ديسمبر 1999، </w:t>
      </w:r>
      <w:r w:rsidRPr="00AA537D">
        <w:rPr>
          <w:rFonts w:hint="cs"/>
          <w:spacing w:val="0"/>
          <w:kern w:val="0"/>
          <w:rtl/>
        </w:rPr>
        <w:t xml:space="preserve">ألقي القبض عليه </w:t>
      </w:r>
      <w:r w:rsidRPr="00AA537D">
        <w:rPr>
          <w:spacing w:val="0"/>
          <w:kern w:val="0"/>
          <w:rtl/>
        </w:rPr>
        <w:t xml:space="preserve">وأجبر على التوقيع على اعتراف. </w:t>
      </w:r>
      <w:r w:rsidRPr="00AA537D">
        <w:rPr>
          <w:rFonts w:hint="cs"/>
          <w:spacing w:val="0"/>
          <w:kern w:val="0"/>
          <w:rtl/>
        </w:rPr>
        <w:t>و</w:t>
      </w:r>
      <w:r w:rsidRPr="00AA537D">
        <w:rPr>
          <w:spacing w:val="0"/>
          <w:kern w:val="0"/>
          <w:rtl/>
        </w:rPr>
        <w:t>في شباط/</w:t>
      </w:r>
      <w:r w:rsidRPr="00AA537D">
        <w:rPr>
          <w:rFonts w:hint="cs"/>
          <w:spacing w:val="0"/>
          <w:kern w:val="0"/>
          <w:rtl/>
        </w:rPr>
        <w:t xml:space="preserve"> </w:t>
      </w:r>
      <w:r w:rsidRPr="00AA537D">
        <w:rPr>
          <w:spacing w:val="0"/>
          <w:kern w:val="0"/>
          <w:rtl/>
        </w:rPr>
        <w:t>فبراير</w:t>
      </w:r>
      <w:r w:rsidRPr="00AA537D">
        <w:rPr>
          <w:rFonts w:hint="cs"/>
          <w:spacing w:val="0"/>
          <w:kern w:val="0"/>
          <w:rtl/>
        </w:rPr>
        <w:t> </w:t>
      </w:r>
      <w:r w:rsidRPr="00AA537D">
        <w:rPr>
          <w:spacing w:val="0"/>
          <w:kern w:val="0"/>
          <w:rtl/>
        </w:rPr>
        <w:t xml:space="preserve">2000، حكم عليه بالسجن لمدة ستة </w:t>
      </w:r>
      <w:r w:rsidRPr="00AA537D">
        <w:rPr>
          <w:rFonts w:hint="cs"/>
          <w:spacing w:val="0"/>
          <w:kern w:val="0"/>
          <w:rtl/>
        </w:rPr>
        <w:t xml:space="preserve">سنوات </w:t>
      </w:r>
      <w:r w:rsidRPr="00AA537D">
        <w:rPr>
          <w:spacing w:val="0"/>
          <w:kern w:val="0"/>
          <w:rtl/>
        </w:rPr>
        <w:t xml:space="preserve">ونصف </w:t>
      </w:r>
      <w:r w:rsidRPr="00AA537D">
        <w:rPr>
          <w:rFonts w:hint="cs"/>
          <w:spacing w:val="0"/>
          <w:kern w:val="0"/>
          <w:rtl/>
        </w:rPr>
        <w:t>ال</w:t>
      </w:r>
      <w:r w:rsidRPr="00AA537D">
        <w:rPr>
          <w:spacing w:val="0"/>
          <w:kern w:val="0"/>
          <w:rtl/>
        </w:rPr>
        <w:t>سنة لمحاو</w:t>
      </w:r>
      <w:r w:rsidRPr="00AA537D">
        <w:rPr>
          <w:rFonts w:hint="cs"/>
          <w:spacing w:val="0"/>
          <w:kern w:val="0"/>
          <w:rtl/>
        </w:rPr>
        <w:t xml:space="preserve">لته </w:t>
      </w:r>
      <w:r w:rsidRPr="00AA537D">
        <w:rPr>
          <w:spacing w:val="0"/>
          <w:kern w:val="0"/>
          <w:rtl/>
        </w:rPr>
        <w:t>الإطاحة بالنظام الدستوري وحياز</w:t>
      </w:r>
      <w:r w:rsidRPr="00AA537D">
        <w:rPr>
          <w:rFonts w:hint="cs"/>
          <w:spacing w:val="0"/>
          <w:kern w:val="0"/>
          <w:rtl/>
        </w:rPr>
        <w:t xml:space="preserve">ته </w:t>
      </w:r>
      <w:r w:rsidRPr="00AA537D">
        <w:rPr>
          <w:spacing w:val="0"/>
          <w:kern w:val="0"/>
          <w:rtl/>
        </w:rPr>
        <w:t>أسلحة وذخائر ومتفجرات</w:t>
      </w:r>
      <w:r w:rsidRPr="00AA537D">
        <w:rPr>
          <w:rFonts w:hint="cs"/>
          <w:spacing w:val="0"/>
          <w:kern w:val="0"/>
          <w:rtl/>
        </w:rPr>
        <w:t xml:space="preserve"> على نحو مخالف للقانون</w:t>
      </w:r>
      <w:r w:rsidRPr="00AA537D">
        <w:rPr>
          <w:spacing w:val="0"/>
          <w:kern w:val="0"/>
          <w:rtl/>
        </w:rPr>
        <w:t xml:space="preserve">. </w:t>
      </w:r>
      <w:r w:rsidRPr="00AA537D">
        <w:rPr>
          <w:rFonts w:hint="cs"/>
          <w:spacing w:val="0"/>
          <w:kern w:val="0"/>
          <w:rtl/>
        </w:rPr>
        <w:t>و</w:t>
      </w:r>
      <w:r w:rsidRPr="00AA537D">
        <w:rPr>
          <w:spacing w:val="0"/>
          <w:kern w:val="0"/>
          <w:rtl/>
        </w:rPr>
        <w:t xml:space="preserve">في 14 </w:t>
      </w:r>
      <w:r w:rsidR="00171FB4">
        <w:rPr>
          <w:rFonts w:hint="cs"/>
          <w:spacing w:val="0"/>
          <w:kern w:val="0"/>
          <w:rtl/>
        </w:rPr>
        <w:t>كانون الثاني/</w:t>
      </w:r>
      <w:r w:rsidRPr="00AA537D">
        <w:rPr>
          <w:spacing w:val="0"/>
          <w:kern w:val="0"/>
          <w:rtl/>
        </w:rPr>
        <w:t xml:space="preserve">يناير 2004، </w:t>
      </w:r>
      <w:r w:rsidRPr="00AA537D">
        <w:rPr>
          <w:rFonts w:hint="cs"/>
          <w:spacing w:val="0"/>
          <w:kern w:val="0"/>
          <w:rtl/>
        </w:rPr>
        <w:t xml:space="preserve">تم </w:t>
      </w:r>
      <w:r w:rsidRPr="00AA537D">
        <w:rPr>
          <w:spacing w:val="0"/>
          <w:kern w:val="0"/>
          <w:rtl/>
        </w:rPr>
        <w:t>العفو</w:t>
      </w:r>
      <w:r w:rsidRPr="00AA537D">
        <w:rPr>
          <w:rFonts w:hint="cs"/>
          <w:spacing w:val="0"/>
          <w:kern w:val="0"/>
          <w:rtl/>
        </w:rPr>
        <w:t xml:space="preserve"> عنه.</w:t>
      </w:r>
      <w:r w:rsidRPr="00AA537D">
        <w:rPr>
          <w:spacing w:val="0"/>
          <w:kern w:val="0"/>
          <w:rtl/>
        </w:rPr>
        <w:t xml:space="preserve"> </w:t>
      </w:r>
      <w:r w:rsidRPr="00AA537D">
        <w:rPr>
          <w:rFonts w:hint="cs"/>
          <w:spacing w:val="0"/>
          <w:kern w:val="0"/>
          <w:rtl/>
        </w:rPr>
        <w:t>و</w:t>
      </w:r>
      <w:r w:rsidRPr="00AA537D">
        <w:rPr>
          <w:spacing w:val="0"/>
          <w:kern w:val="0"/>
          <w:rtl/>
        </w:rPr>
        <w:t xml:space="preserve">في آب/أغسطس 2009، </w:t>
      </w:r>
      <w:r w:rsidRPr="00AA537D">
        <w:rPr>
          <w:rFonts w:hint="cs"/>
          <w:spacing w:val="0"/>
          <w:kern w:val="0"/>
          <w:rtl/>
        </w:rPr>
        <w:t>ألقي</w:t>
      </w:r>
      <w:r w:rsidRPr="00AA537D">
        <w:rPr>
          <w:spacing w:val="0"/>
          <w:kern w:val="0"/>
          <w:rtl/>
        </w:rPr>
        <w:t xml:space="preserve"> القبض على العديد من أصدقائه. </w:t>
      </w:r>
      <w:r w:rsidRPr="00AA537D">
        <w:rPr>
          <w:rFonts w:hint="cs"/>
          <w:spacing w:val="0"/>
          <w:kern w:val="0"/>
          <w:rtl/>
        </w:rPr>
        <w:t>و</w:t>
      </w:r>
      <w:r w:rsidRPr="00AA537D">
        <w:rPr>
          <w:spacing w:val="0"/>
          <w:kern w:val="0"/>
          <w:rtl/>
        </w:rPr>
        <w:t xml:space="preserve">في 9 </w:t>
      </w:r>
      <w:r w:rsidRPr="00AA537D">
        <w:rPr>
          <w:rFonts w:hint="cs"/>
          <w:spacing w:val="0"/>
          <w:kern w:val="0"/>
          <w:rtl/>
        </w:rPr>
        <w:t>تشرين الأول/</w:t>
      </w:r>
      <w:r w:rsidRPr="00AA537D">
        <w:rPr>
          <w:spacing w:val="0"/>
          <w:kern w:val="0"/>
          <w:rtl/>
        </w:rPr>
        <w:t>أكتوبر 2009، هرب إلى قيرغيزستان</w:t>
      </w:r>
      <w:r w:rsidRPr="00AA537D">
        <w:rPr>
          <w:rFonts w:hint="cs"/>
          <w:spacing w:val="0"/>
          <w:kern w:val="0"/>
          <w:rtl/>
        </w:rPr>
        <w:t xml:space="preserve">. وفي </w:t>
      </w:r>
      <w:r w:rsidRPr="00AA537D">
        <w:rPr>
          <w:spacing w:val="0"/>
          <w:kern w:val="0"/>
          <w:rtl/>
        </w:rPr>
        <w:t>11</w:t>
      </w:r>
      <w:r w:rsidRPr="00AA537D">
        <w:rPr>
          <w:rFonts w:hint="cs"/>
          <w:spacing w:val="0"/>
          <w:kern w:val="0"/>
          <w:rtl/>
        </w:rPr>
        <w:t xml:space="preserve"> كانون الثاني/يناير</w:t>
      </w:r>
      <w:r w:rsidRPr="00AA537D">
        <w:rPr>
          <w:spacing w:val="0"/>
          <w:kern w:val="0"/>
          <w:rtl/>
        </w:rPr>
        <w:t xml:space="preserve"> 2010، وصل </w:t>
      </w:r>
      <w:r w:rsidRPr="00AA537D">
        <w:rPr>
          <w:rFonts w:hint="cs"/>
          <w:spacing w:val="0"/>
          <w:kern w:val="0"/>
          <w:rtl/>
        </w:rPr>
        <w:t>إلى</w:t>
      </w:r>
      <w:r w:rsidRPr="00AA537D">
        <w:rPr>
          <w:spacing w:val="0"/>
          <w:kern w:val="0"/>
          <w:rtl/>
        </w:rPr>
        <w:t xml:space="preserve"> ألماتي، و</w:t>
      </w:r>
      <w:r w:rsidRPr="00AA537D">
        <w:rPr>
          <w:rFonts w:hint="cs"/>
          <w:spacing w:val="0"/>
          <w:kern w:val="0"/>
          <w:rtl/>
        </w:rPr>
        <w:t xml:space="preserve">قدم </w:t>
      </w:r>
      <w:r w:rsidRPr="00AA537D">
        <w:rPr>
          <w:spacing w:val="0"/>
          <w:kern w:val="0"/>
          <w:rtl/>
        </w:rPr>
        <w:t xml:space="preserve">طلباً للجوء بموجب قانون اللاجئين </w:t>
      </w:r>
      <w:r w:rsidRPr="00AA537D">
        <w:rPr>
          <w:rFonts w:hint="cs"/>
          <w:spacing w:val="0"/>
          <w:kern w:val="0"/>
          <w:rtl/>
        </w:rPr>
        <w:t>في كازاخستان لعام</w:t>
      </w:r>
      <w:r w:rsidRPr="00AA537D">
        <w:rPr>
          <w:spacing w:val="0"/>
          <w:kern w:val="0"/>
          <w:rtl/>
        </w:rPr>
        <w:t xml:space="preserve"> 2010.</w:t>
      </w:r>
    </w:p>
    <w:p w:rsidR="00FA6676" w:rsidRPr="00AA537D" w:rsidRDefault="00FA6676" w:rsidP="00EB70BE">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سيد</w:t>
      </w:r>
      <w:r w:rsidRPr="00AA537D">
        <w:rPr>
          <w:rFonts w:hint="cs"/>
          <w:spacing w:val="0"/>
          <w:kern w:val="0"/>
          <w:rtl/>
        </w:rPr>
        <w:t xml:space="preserve"> </w:t>
      </w:r>
      <w:r w:rsidRPr="00AA537D">
        <w:rPr>
          <w:spacing w:val="0"/>
          <w:kern w:val="0"/>
          <w:rtl/>
        </w:rPr>
        <w:t xml:space="preserve">أكبر جلولهونوف </w:t>
      </w:r>
    </w:p>
    <w:p w:rsidR="00FA6676" w:rsidRPr="00EB70BE" w:rsidRDefault="00FA6676" w:rsidP="00EB70BE">
      <w:pPr>
        <w:pStyle w:val="SingleTxtGA"/>
        <w:jc w:val="lowKashida"/>
        <w:rPr>
          <w:rFonts w:hint="cs"/>
          <w:spacing w:val="-2"/>
          <w:kern w:val="0"/>
          <w:rtl/>
        </w:rPr>
      </w:pPr>
      <w:r w:rsidRPr="00EB70BE">
        <w:rPr>
          <w:rFonts w:hint="cs"/>
          <w:spacing w:val="-2"/>
          <w:kern w:val="0"/>
          <w:rtl/>
        </w:rPr>
        <w:t>7-10</w:t>
      </w:r>
      <w:r w:rsidRPr="00EB70BE">
        <w:rPr>
          <w:rFonts w:hint="cs"/>
          <w:spacing w:val="-2"/>
          <w:kern w:val="0"/>
          <w:rtl/>
        </w:rPr>
        <w:tab/>
        <w:t xml:space="preserve">في </w:t>
      </w:r>
      <w:r w:rsidRPr="00EB70BE">
        <w:rPr>
          <w:spacing w:val="-2"/>
          <w:kern w:val="0"/>
          <w:rtl/>
        </w:rPr>
        <w:t xml:space="preserve">عام 1995، ألقي القبض على </w:t>
      </w:r>
      <w:r w:rsidRPr="00EB70BE">
        <w:rPr>
          <w:rFonts w:hint="cs"/>
          <w:spacing w:val="-2"/>
          <w:kern w:val="0"/>
          <w:rtl/>
        </w:rPr>
        <w:t>ال</w:t>
      </w:r>
      <w:r w:rsidRPr="00EB70BE">
        <w:rPr>
          <w:spacing w:val="-2"/>
          <w:kern w:val="0"/>
          <w:rtl/>
        </w:rPr>
        <w:t>عد</w:t>
      </w:r>
      <w:r w:rsidRPr="00EB70BE">
        <w:rPr>
          <w:rFonts w:hint="cs"/>
          <w:spacing w:val="-2"/>
          <w:kern w:val="0"/>
          <w:rtl/>
        </w:rPr>
        <w:t>ي</w:t>
      </w:r>
      <w:r w:rsidRPr="00EB70BE">
        <w:rPr>
          <w:spacing w:val="-2"/>
          <w:kern w:val="0"/>
          <w:rtl/>
        </w:rPr>
        <w:t xml:space="preserve">د من </w:t>
      </w:r>
      <w:r w:rsidRPr="00EB70BE">
        <w:rPr>
          <w:rFonts w:hint="cs"/>
          <w:spacing w:val="-2"/>
          <w:kern w:val="0"/>
          <w:rtl/>
        </w:rPr>
        <w:t xml:space="preserve">كبار رجال </w:t>
      </w:r>
      <w:r w:rsidRPr="00EB70BE">
        <w:rPr>
          <w:spacing w:val="-2"/>
          <w:kern w:val="0"/>
          <w:rtl/>
        </w:rPr>
        <w:t>الدين و</w:t>
      </w:r>
      <w:r w:rsidRPr="00EB70BE">
        <w:rPr>
          <w:rFonts w:hint="cs"/>
          <w:spacing w:val="-2"/>
          <w:kern w:val="0"/>
          <w:rtl/>
        </w:rPr>
        <w:t xml:space="preserve">أغلق </w:t>
      </w:r>
      <w:r w:rsidRPr="00EB70BE">
        <w:rPr>
          <w:spacing w:val="-2"/>
          <w:kern w:val="0"/>
          <w:rtl/>
        </w:rPr>
        <w:t xml:space="preserve">المسجد </w:t>
      </w:r>
      <w:r w:rsidRPr="00EB70BE">
        <w:rPr>
          <w:rFonts w:hint="cs"/>
          <w:spacing w:val="-2"/>
          <w:kern w:val="0"/>
          <w:rtl/>
        </w:rPr>
        <w:t>الذي اعتاد صاحب الشكوى على الصلاة فيه.</w:t>
      </w:r>
      <w:r w:rsidRPr="00EB70BE">
        <w:rPr>
          <w:spacing w:val="-2"/>
          <w:kern w:val="0"/>
          <w:rtl/>
        </w:rPr>
        <w:t xml:space="preserve"> و</w:t>
      </w:r>
      <w:r w:rsidRPr="00EB70BE">
        <w:rPr>
          <w:rFonts w:hint="cs"/>
          <w:spacing w:val="-2"/>
          <w:kern w:val="0"/>
          <w:rtl/>
        </w:rPr>
        <w:t xml:space="preserve">نتيجة لذلك، </w:t>
      </w:r>
      <w:r w:rsidRPr="00EB70BE">
        <w:rPr>
          <w:spacing w:val="-2"/>
          <w:kern w:val="0"/>
          <w:rtl/>
        </w:rPr>
        <w:t xml:space="preserve">قرر </w:t>
      </w:r>
      <w:r w:rsidRPr="00EB70BE">
        <w:rPr>
          <w:rFonts w:hint="cs"/>
          <w:spacing w:val="-2"/>
          <w:kern w:val="0"/>
          <w:rtl/>
        </w:rPr>
        <w:t xml:space="preserve">صاحب الشكوى </w:t>
      </w:r>
      <w:r w:rsidRPr="00EB70BE">
        <w:rPr>
          <w:spacing w:val="-2"/>
          <w:kern w:val="0"/>
          <w:rtl/>
        </w:rPr>
        <w:t xml:space="preserve">الذهاب إلى روسيا. </w:t>
      </w:r>
      <w:r w:rsidRPr="00EB70BE">
        <w:rPr>
          <w:rFonts w:hint="cs"/>
          <w:spacing w:val="-2"/>
          <w:kern w:val="0"/>
          <w:rtl/>
        </w:rPr>
        <w:t>و</w:t>
      </w:r>
      <w:r w:rsidRPr="00EB70BE">
        <w:rPr>
          <w:spacing w:val="-2"/>
          <w:kern w:val="0"/>
          <w:rtl/>
        </w:rPr>
        <w:t xml:space="preserve">في روسيا، استأنف دراسته الدينية وأصبح </w:t>
      </w:r>
      <w:r w:rsidRPr="00EB70BE">
        <w:rPr>
          <w:rFonts w:hint="cs"/>
          <w:spacing w:val="-2"/>
          <w:kern w:val="0"/>
          <w:rtl/>
        </w:rPr>
        <w:t>إ</w:t>
      </w:r>
      <w:r w:rsidRPr="00EB70BE">
        <w:rPr>
          <w:spacing w:val="-2"/>
          <w:kern w:val="0"/>
          <w:rtl/>
        </w:rPr>
        <w:t>ماماً. و</w:t>
      </w:r>
      <w:r w:rsidRPr="00EB70BE">
        <w:rPr>
          <w:rFonts w:hint="cs"/>
          <w:spacing w:val="-2"/>
          <w:kern w:val="0"/>
          <w:rtl/>
        </w:rPr>
        <w:t xml:space="preserve">كان يزور </w:t>
      </w:r>
      <w:r w:rsidRPr="00EB70BE">
        <w:rPr>
          <w:spacing w:val="-2"/>
          <w:kern w:val="0"/>
          <w:rtl/>
        </w:rPr>
        <w:t xml:space="preserve">أوزبكستان </w:t>
      </w:r>
      <w:r w:rsidRPr="00EB70BE">
        <w:rPr>
          <w:rFonts w:hint="cs"/>
          <w:spacing w:val="-2"/>
          <w:kern w:val="0"/>
          <w:rtl/>
        </w:rPr>
        <w:t>مرة واحدة كل سنة</w:t>
      </w:r>
      <w:r w:rsidRPr="00EB70BE">
        <w:rPr>
          <w:spacing w:val="-2"/>
          <w:kern w:val="0"/>
          <w:rtl/>
        </w:rPr>
        <w:t>. وفي عام 2001، أ</w:t>
      </w:r>
      <w:r w:rsidRPr="00EB70BE">
        <w:rPr>
          <w:rFonts w:hint="cs"/>
          <w:spacing w:val="-2"/>
          <w:kern w:val="0"/>
          <w:rtl/>
        </w:rPr>
        <w:t>ُ</w:t>
      </w:r>
      <w:r w:rsidRPr="00EB70BE">
        <w:rPr>
          <w:spacing w:val="-2"/>
          <w:kern w:val="0"/>
          <w:rtl/>
        </w:rPr>
        <w:t xml:space="preserve">بلغ </w:t>
      </w:r>
      <w:r w:rsidRPr="00EB70BE">
        <w:rPr>
          <w:rFonts w:hint="cs"/>
          <w:spacing w:val="-2"/>
          <w:kern w:val="0"/>
          <w:rtl/>
        </w:rPr>
        <w:t>ب</w:t>
      </w:r>
      <w:r w:rsidRPr="00EB70BE">
        <w:rPr>
          <w:spacing w:val="-2"/>
          <w:kern w:val="0"/>
          <w:rtl/>
        </w:rPr>
        <w:t>أن</w:t>
      </w:r>
      <w:r w:rsidRPr="00EB70BE">
        <w:rPr>
          <w:rFonts w:hint="cs"/>
          <w:spacing w:val="-2"/>
          <w:kern w:val="0"/>
          <w:rtl/>
        </w:rPr>
        <w:t xml:space="preserve">ه تم القبض على </w:t>
      </w:r>
      <w:r w:rsidRPr="00EB70BE">
        <w:rPr>
          <w:spacing w:val="-2"/>
          <w:kern w:val="0"/>
          <w:rtl/>
        </w:rPr>
        <w:t>م</w:t>
      </w:r>
      <w:r w:rsidRPr="00EB70BE">
        <w:rPr>
          <w:rFonts w:hint="cs"/>
          <w:spacing w:val="-2"/>
          <w:kern w:val="0"/>
          <w:rtl/>
        </w:rPr>
        <w:t xml:space="preserve">علمه </w:t>
      </w:r>
      <w:r w:rsidRPr="00EB70BE">
        <w:rPr>
          <w:spacing w:val="-2"/>
          <w:kern w:val="0"/>
          <w:rtl/>
        </w:rPr>
        <w:t xml:space="preserve">السابق </w:t>
      </w:r>
      <w:r w:rsidRPr="00EB70BE">
        <w:rPr>
          <w:rFonts w:hint="cs"/>
          <w:spacing w:val="-2"/>
          <w:kern w:val="0"/>
          <w:rtl/>
        </w:rPr>
        <w:t xml:space="preserve">وبأن المعلم كشف نتيجة للتعذيب عن </w:t>
      </w:r>
      <w:r w:rsidRPr="00EB70BE">
        <w:rPr>
          <w:spacing w:val="-2"/>
          <w:kern w:val="0"/>
          <w:rtl/>
        </w:rPr>
        <w:t xml:space="preserve">أسماء جميع طلابه، بما في ذلك </w:t>
      </w:r>
      <w:r w:rsidRPr="00EB70BE">
        <w:rPr>
          <w:rFonts w:hint="cs"/>
          <w:spacing w:val="-2"/>
          <w:kern w:val="0"/>
          <w:rtl/>
        </w:rPr>
        <w:t>عن اسمه، وأن دائرة الأمن القومي حضرت مراراً إلى منزله</w:t>
      </w:r>
      <w:r w:rsidRPr="00EB70BE">
        <w:rPr>
          <w:spacing w:val="-2"/>
          <w:kern w:val="0"/>
          <w:rtl/>
        </w:rPr>
        <w:t xml:space="preserve"> لسؤال والديه عن</w:t>
      </w:r>
      <w:r w:rsidRPr="00EB70BE">
        <w:rPr>
          <w:rFonts w:hint="cs"/>
          <w:spacing w:val="-2"/>
          <w:kern w:val="0"/>
          <w:rtl/>
        </w:rPr>
        <w:t xml:space="preserve"> مكانه</w:t>
      </w:r>
      <w:r w:rsidRPr="00EB70BE">
        <w:rPr>
          <w:spacing w:val="-2"/>
          <w:kern w:val="0"/>
          <w:rtl/>
        </w:rPr>
        <w:t xml:space="preserve">. </w:t>
      </w:r>
      <w:r w:rsidRPr="00EB70BE">
        <w:rPr>
          <w:rFonts w:hint="cs"/>
          <w:spacing w:val="-2"/>
          <w:kern w:val="0"/>
          <w:rtl/>
        </w:rPr>
        <w:t>و</w:t>
      </w:r>
      <w:r w:rsidRPr="00EB70BE">
        <w:rPr>
          <w:spacing w:val="-2"/>
          <w:kern w:val="0"/>
          <w:rtl/>
        </w:rPr>
        <w:t>عاد صاحب الشكوى فوراً إلى روسيا. وفي عام</w:t>
      </w:r>
      <w:r w:rsidR="00EB70BE" w:rsidRPr="00EB70BE">
        <w:rPr>
          <w:rFonts w:hint="cs"/>
          <w:spacing w:val="-2"/>
          <w:kern w:val="0"/>
          <w:rtl/>
        </w:rPr>
        <w:t> </w:t>
      </w:r>
      <w:r w:rsidRPr="00EB70BE">
        <w:rPr>
          <w:spacing w:val="-2"/>
          <w:kern w:val="0"/>
          <w:rtl/>
        </w:rPr>
        <w:t>2004، استدع</w:t>
      </w:r>
      <w:r w:rsidRPr="00EB70BE">
        <w:rPr>
          <w:rFonts w:hint="cs"/>
          <w:spacing w:val="-2"/>
          <w:kern w:val="0"/>
          <w:rtl/>
        </w:rPr>
        <w:t>ته دائرة الأمن الاتحادي للاتحاد الروسي و</w:t>
      </w:r>
      <w:r w:rsidRPr="00EB70BE">
        <w:rPr>
          <w:spacing w:val="-2"/>
          <w:kern w:val="0"/>
          <w:rtl/>
        </w:rPr>
        <w:t>أبلغ</w:t>
      </w:r>
      <w:r w:rsidRPr="00EB70BE">
        <w:rPr>
          <w:rFonts w:hint="cs"/>
          <w:spacing w:val="-2"/>
          <w:kern w:val="0"/>
          <w:rtl/>
        </w:rPr>
        <w:t>ت</w:t>
      </w:r>
      <w:r w:rsidRPr="00EB70BE">
        <w:rPr>
          <w:spacing w:val="-2"/>
          <w:kern w:val="0"/>
          <w:rtl/>
        </w:rPr>
        <w:t xml:space="preserve">ه بأنه </w:t>
      </w:r>
      <w:r w:rsidRPr="00EB70BE">
        <w:rPr>
          <w:rFonts w:hint="cs"/>
          <w:spacing w:val="-2"/>
          <w:kern w:val="0"/>
          <w:rtl/>
        </w:rPr>
        <w:t>مدرج بال</w:t>
      </w:r>
      <w:r w:rsidRPr="00EB70BE">
        <w:rPr>
          <w:spacing w:val="-2"/>
          <w:kern w:val="0"/>
          <w:rtl/>
        </w:rPr>
        <w:t>قائمة السود</w:t>
      </w:r>
      <w:r w:rsidRPr="00EB70BE">
        <w:rPr>
          <w:rFonts w:hint="cs"/>
          <w:spacing w:val="-2"/>
          <w:kern w:val="0"/>
          <w:rtl/>
        </w:rPr>
        <w:t xml:space="preserve">اء في </w:t>
      </w:r>
      <w:r w:rsidRPr="00EB70BE">
        <w:rPr>
          <w:spacing w:val="-2"/>
          <w:kern w:val="0"/>
          <w:rtl/>
        </w:rPr>
        <w:t>أوزبك</w:t>
      </w:r>
      <w:r w:rsidRPr="00EB70BE">
        <w:rPr>
          <w:rFonts w:hint="cs"/>
          <w:spacing w:val="-2"/>
          <w:kern w:val="0"/>
          <w:rtl/>
        </w:rPr>
        <w:t>ستان.</w:t>
      </w:r>
      <w:r w:rsidRPr="00EB70BE">
        <w:rPr>
          <w:spacing w:val="-2"/>
          <w:kern w:val="0"/>
          <w:rtl/>
        </w:rPr>
        <w:t xml:space="preserve"> و</w:t>
      </w:r>
      <w:r w:rsidRPr="00EB70BE">
        <w:rPr>
          <w:rFonts w:hint="cs"/>
          <w:spacing w:val="-2"/>
          <w:kern w:val="0"/>
          <w:rtl/>
        </w:rPr>
        <w:t>رفضت السلطات الروسية بعد ذلك ت</w:t>
      </w:r>
      <w:r w:rsidRPr="00EB70BE">
        <w:rPr>
          <w:spacing w:val="-2"/>
          <w:kern w:val="0"/>
          <w:rtl/>
        </w:rPr>
        <w:t>جديد تصريح عمل</w:t>
      </w:r>
      <w:r w:rsidRPr="00EB70BE">
        <w:rPr>
          <w:rFonts w:hint="cs"/>
          <w:spacing w:val="-2"/>
          <w:kern w:val="0"/>
          <w:rtl/>
        </w:rPr>
        <w:t>ه</w:t>
      </w:r>
      <w:r w:rsidRPr="00EB70BE">
        <w:rPr>
          <w:spacing w:val="-2"/>
          <w:kern w:val="0"/>
          <w:rtl/>
        </w:rPr>
        <w:t xml:space="preserve"> ونصح</w:t>
      </w:r>
      <w:r w:rsidRPr="00EB70BE">
        <w:rPr>
          <w:rFonts w:hint="cs"/>
          <w:spacing w:val="-2"/>
          <w:kern w:val="0"/>
          <w:rtl/>
        </w:rPr>
        <w:t>ته</w:t>
      </w:r>
      <w:r w:rsidRPr="00EB70BE">
        <w:rPr>
          <w:spacing w:val="-2"/>
          <w:kern w:val="0"/>
          <w:rtl/>
        </w:rPr>
        <w:t xml:space="preserve"> بمغادرة روسيا</w:t>
      </w:r>
      <w:r w:rsidRPr="00EB70BE">
        <w:rPr>
          <w:rFonts w:hint="cs"/>
          <w:spacing w:val="-2"/>
          <w:kern w:val="0"/>
          <w:rtl/>
        </w:rPr>
        <w:t xml:space="preserve"> منعاً من </w:t>
      </w:r>
      <w:r w:rsidRPr="00EB70BE">
        <w:rPr>
          <w:spacing w:val="-2"/>
          <w:kern w:val="0"/>
          <w:rtl/>
        </w:rPr>
        <w:t xml:space="preserve">ترحيله إلى أوزبكستان. </w:t>
      </w:r>
      <w:r w:rsidRPr="00EB70BE">
        <w:rPr>
          <w:rFonts w:hint="cs"/>
          <w:spacing w:val="-2"/>
          <w:kern w:val="0"/>
          <w:rtl/>
        </w:rPr>
        <w:t>و</w:t>
      </w:r>
      <w:r w:rsidRPr="00EB70BE">
        <w:rPr>
          <w:spacing w:val="-2"/>
          <w:kern w:val="0"/>
          <w:rtl/>
        </w:rPr>
        <w:t>انتقل إلى قيرغيزستان ثم إلى كازاخستان حيث منحت</w:t>
      </w:r>
      <w:r w:rsidRPr="00EB70BE">
        <w:rPr>
          <w:rFonts w:hint="cs"/>
          <w:spacing w:val="-2"/>
          <w:kern w:val="0"/>
          <w:rtl/>
        </w:rPr>
        <w:t>ه</w:t>
      </w:r>
      <w:r w:rsidRPr="00EB70BE">
        <w:rPr>
          <w:spacing w:val="-2"/>
          <w:kern w:val="0"/>
          <w:rtl/>
        </w:rPr>
        <w:t xml:space="preserve"> </w:t>
      </w:r>
      <w:r w:rsidRPr="00EB70BE">
        <w:rPr>
          <w:rFonts w:hint="cs"/>
          <w:spacing w:val="-2"/>
          <w:kern w:val="0"/>
          <w:rtl/>
        </w:rPr>
        <w:t>مفوضية الأمم المتحدة السامية لشؤون اللاجئين</w:t>
      </w:r>
      <w:r w:rsidRPr="00EB70BE">
        <w:rPr>
          <w:spacing w:val="-2"/>
          <w:kern w:val="0"/>
          <w:rtl/>
        </w:rPr>
        <w:t xml:space="preserve"> في </w:t>
      </w:r>
      <w:r w:rsidRPr="00EB70BE">
        <w:rPr>
          <w:rFonts w:hint="cs"/>
          <w:spacing w:val="-2"/>
          <w:kern w:val="0"/>
          <w:rtl/>
        </w:rPr>
        <w:t>26 آب/أغسطس 2009 مركز اللاجئ</w:t>
      </w:r>
      <w:r w:rsidRPr="00EB70BE">
        <w:rPr>
          <w:spacing w:val="-2"/>
          <w:kern w:val="0"/>
          <w:rtl/>
        </w:rPr>
        <w:t>.</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ديلبك كاريموف</w:t>
      </w:r>
    </w:p>
    <w:p w:rsidR="00FA6676" w:rsidRPr="00AA537D" w:rsidRDefault="00FA6676" w:rsidP="00AA537D">
      <w:pPr>
        <w:pStyle w:val="SingleTxtGA"/>
        <w:jc w:val="lowKashida"/>
        <w:rPr>
          <w:rFonts w:hint="cs"/>
          <w:spacing w:val="0"/>
          <w:kern w:val="0"/>
          <w:rtl/>
        </w:rPr>
      </w:pPr>
      <w:r w:rsidRPr="00AA537D">
        <w:rPr>
          <w:rFonts w:hint="cs"/>
          <w:spacing w:val="0"/>
          <w:kern w:val="0"/>
          <w:rtl/>
        </w:rPr>
        <w:t>7-11</w:t>
      </w:r>
      <w:r w:rsidRPr="00AA537D">
        <w:rPr>
          <w:rFonts w:hint="cs"/>
          <w:spacing w:val="0"/>
          <w:kern w:val="0"/>
          <w:rtl/>
        </w:rPr>
        <w:tab/>
        <w:t xml:space="preserve">كان صاحب الشكوى يعمل </w:t>
      </w:r>
      <w:r w:rsidRPr="00AA537D">
        <w:rPr>
          <w:spacing w:val="0"/>
          <w:kern w:val="0"/>
          <w:rtl/>
        </w:rPr>
        <w:t xml:space="preserve">في أحد </w:t>
      </w:r>
      <w:r w:rsidRPr="00AA537D">
        <w:rPr>
          <w:rFonts w:hint="cs"/>
          <w:spacing w:val="0"/>
          <w:kern w:val="0"/>
          <w:rtl/>
        </w:rPr>
        <w:t>ال</w:t>
      </w:r>
      <w:r w:rsidRPr="00AA537D">
        <w:rPr>
          <w:spacing w:val="0"/>
          <w:kern w:val="0"/>
          <w:rtl/>
        </w:rPr>
        <w:t xml:space="preserve">مصانع في مدينة </w:t>
      </w:r>
      <w:r w:rsidRPr="00AA537D">
        <w:rPr>
          <w:rFonts w:hint="cs"/>
          <w:spacing w:val="0"/>
          <w:kern w:val="0"/>
          <w:rtl/>
          <w:lang/>
        </w:rPr>
        <w:t>سانت بطرسبورغ</w:t>
      </w:r>
      <w:r w:rsidRPr="00AA537D">
        <w:rPr>
          <w:spacing w:val="0"/>
          <w:kern w:val="0"/>
          <w:rtl/>
        </w:rPr>
        <w:t>. و</w:t>
      </w:r>
      <w:r w:rsidRPr="00AA537D">
        <w:rPr>
          <w:rFonts w:hint="cs"/>
          <w:spacing w:val="0"/>
          <w:kern w:val="0"/>
          <w:rtl/>
        </w:rPr>
        <w:t xml:space="preserve">بدأ في </w:t>
      </w:r>
      <w:r w:rsidRPr="00AA537D">
        <w:rPr>
          <w:spacing w:val="0"/>
          <w:kern w:val="0"/>
          <w:rtl/>
        </w:rPr>
        <w:t xml:space="preserve">دراسة الإسلام. </w:t>
      </w:r>
      <w:r w:rsidRPr="00AA537D">
        <w:rPr>
          <w:rFonts w:hint="cs"/>
          <w:spacing w:val="0"/>
          <w:kern w:val="0"/>
          <w:rtl/>
        </w:rPr>
        <w:t>و</w:t>
      </w:r>
      <w:r w:rsidRPr="00AA537D">
        <w:rPr>
          <w:spacing w:val="0"/>
          <w:kern w:val="0"/>
          <w:rtl/>
        </w:rPr>
        <w:t>في عام 2009، أ</w:t>
      </w:r>
      <w:r w:rsidRPr="00AA537D">
        <w:rPr>
          <w:rFonts w:hint="cs"/>
          <w:spacing w:val="0"/>
          <w:kern w:val="0"/>
          <w:rtl/>
        </w:rPr>
        <w:t>بلغ</w:t>
      </w:r>
      <w:r w:rsidRPr="00AA537D">
        <w:rPr>
          <w:spacing w:val="0"/>
          <w:kern w:val="0"/>
          <w:rtl/>
        </w:rPr>
        <w:t xml:space="preserve">ته والدته </w:t>
      </w:r>
      <w:r w:rsidRPr="00AA537D">
        <w:rPr>
          <w:rFonts w:hint="cs"/>
          <w:spacing w:val="0"/>
          <w:kern w:val="0"/>
          <w:rtl/>
        </w:rPr>
        <w:t>ب</w:t>
      </w:r>
      <w:r w:rsidRPr="00AA537D">
        <w:rPr>
          <w:spacing w:val="0"/>
          <w:kern w:val="0"/>
          <w:rtl/>
        </w:rPr>
        <w:t>أن</w:t>
      </w:r>
      <w:r w:rsidRPr="00AA537D">
        <w:rPr>
          <w:rFonts w:hint="cs"/>
          <w:spacing w:val="0"/>
          <w:kern w:val="0"/>
          <w:rtl/>
        </w:rPr>
        <w:t>ه تم القبض على</w:t>
      </w:r>
      <w:r w:rsidRPr="00AA537D">
        <w:rPr>
          <w:spacing w:val="0"/>
          <w:kern w:val="0"/>
          <w:rtl/>
        </w:rPr>
        <w:t xml:space="preserve"> عمه والعديد من أصدقا</w:t>
      </w:r>
      <w:r w:rsidRPr="00AA537D">
        <w:rPr>
          <w:rFonts w:hint="cs"/>
          <w:spacing w:val="0"/>
          <w:kern w:val="0"/>
          <w:rtl/>
        </w:rPr>
        <w:t xml:space="preserve">ئه ووجهت إليهم تهمة </w:t>
      </w:r>
      <w:r w:rsidRPr="00AA537D">
        <w:rPr>
          <w:spacing w:val="0"/>
          <w:kern w:val="0"/>
          <w:rtl/>
        </w:rPr>
        <w:t xml:space="preserve">الانتماء إلى </w:t>
      </w:r>
      <w:r w:rsidRPr="00AA537D">
        <w:rPr>
          <w:rFonts w:hint="cs"/>
          <w:spacing w:val="0"/>
          <w:kern w:val="0"/>
          <w:rtl/>
        </w:rPr>
        <w:t>جماعة</w:t>
      </w:r>
      <w:r w:rsidRPr="00AA537D">
        <w:rPr>
          <w:spacing w:val="0"/>
          <w:kern w:val="0"/>
          <w:rtl/>
        </w:rPr>
        <w:t xml:space="preserve"> دينية متطرفة. </w:t>
      </w:r>
      <w:r w:rsidRPr="00AA537D">
        <w:rPr>
          <w:rFonts w:hint="cs"/>
          <w:spacing w:val="0"/>
          <w:kern w:val="0"/>
          <w:rtl/>
        </w:rPr>
        <w:t>و</w:t>
      </w:r>
      <w:r w:rsidRPr="00AA537D">
        <w:rPr>
          <w:spacing w:val="0"/>
          <w:kern w:val="0"/>
          <w:rtl/>
        </w:rPr>
        <w:t>أ</w:t>
      </w:r>
      <w:r w:rsidRPr="00AA537D">
        <w:rPr>
          <w:rFonts w:hint="cs"/>
          <w:spacing w:val="0"/>
          <w:kern w:val="0"/>
          <w:rtl/>
        </w:rPr>
        <w:t>بلغته</w:t>
      </w:r>
      <w:r w:rsidRPr="00AA537D">
        <w:rPr>
          <w:spacing w:val="0"/>
          <w:kern w:val="0"/>
          <w:rtl/>
        </w:rPr>
        <w:t xml:space="preserve"> </w:t>
      </w:r>
      <w:r w:rsidRPr="00AA537D">
        <w:rPr>
          <w:rFonts w:hint="cs"/>
          <w:spacing w:val="0"/>
          <w:kern w:val="0"/>
          <w:rtl/>
        </w:rPr>
        <w:t>أيضاً بأن دائرة الأمن القومي حضرت إلى منزل والديه وأنها أعطتهم</w:t>
      </w:r>
      <w:r w:rsidRPr="00AA537D">
        <w:rPr>
          <w:spacing w:val="0"/>
          <w:kern w:val="0"/>
          <w:rtl/>
        </w:rPr>
        <w:t>، تحت الضغط، عنوان</w:t>
      </w:r>
      <w:r w:rsidRPr="00AA537D">
        <w:rPr>
          <w:rFonts w:hint="cs"/>
          <w:spacing w:val="0"/>
          <w:kern w:val="0"/>
          <w:rtl/>
        </w:rPr>
        <w:t xml:space="preserve">ه </w:t>
      </w:r>
      <w:r w:rsidRPr="00AA537D">
        <w:rPr>
          <w:spacing w:val="0"/>
          <w:kern w:val="0"/>
          <w:rtl/>
        </w:rPr>
        <w:t xml:space="preserve">في </w:t>
      </w:r>
      <w:r w:rsidRPr="00AA537D">
        <w:rPr>
          <w:rFonts w:hint="cs"/>
          <w:spacing w:val="0"/>
          <w:kern w:val="0"/>
          <w:rtl/>
          <w:lang/>
        </w:rPr>
        <w:t>سانت بطرسبورغ</w:t>
      </w:r>
      <w:r w:rsidRPr="00AA537D">
        <w:rPr>
          <w:spacing w:val="0"/>
          <w:kern w:val="0"/>
          <w:rtl/>
        </w:rPr>
        <w:t>. و</w:t>
      </w:r>
      <w:r w:rsidRPr="00AA537D">
        <w:rPr>
          <w:rFonts w:hint="cs"/>
          <w:spacing w:val="0"/>
          <w:kern w:val="0"/>
          <w:rtl/>
        </w:rPr>
        <w:t xml:space="preserve">أُبلغ </w:t>
      </w:r>
      <w:r w:rsidRPr="00AA537D">
        <w:rPr>
          <w:spacing w:val="0"/>
          <w:kern w:val="0"/>
          <w:rtl/>
        </w:rPr>
        <w:t xml:space="preserve">صاحب الشكوى </w:t>
      </w:r>
      <w:r w:rsidRPr="00AA537D">
        <w:rPr>
          <w:rFonts w:hint="cs"/>
          <w:spacing w:val="0"/>
          <w:kern w:val="0"/>
          <w:rtl/>
        </w:rPr>
        <w:t>ب</w:t>
      </w:r>
      <w:r w:rsidRPr="00AA537D">
        <w:rPr>
          <w:spacing w:val="0"/>
          <w:kern w:val="0"/>
          <w:rtl/>
        </w:rPr>
        <w:t xml:space="preserve">أن </w:t>
      </w:r>
      <w:r w:rsidRPr="00AA537D">
        <w:rPr>
          <w:rFonts w:hint="cs"/>
          <w:spacing w:val="0"/>
          <w:kern w:val="0"/>
          <w:rtl/>
        </w:rPr>
        <w:t>ال</w:t>
      </w:r>
      <w:r w:rsidRPr="00AA537D">
        <w:rPr>
          <w:spacing w:val="0"/>
          <w:kern w:val="0"/>
          <w:rtl/>
        </w:rPr>
        <w:t xml:space="preserve">سلطات </w:t>
      </w:r>
      <w:r w:rsidRPr="00AA537D">
        <w:rPr>
          <w:rFonts w:hint="cs"/>
          <w:spacing w:val="0"/>
          <w:kern w:val="0"/>
          <w:rtl/>
        </w:rPr>
        <w:t>في أ</w:t>
      </w:r>
      <w:r w:rsidRPr="00AA537D">
        <w:rPr>
          <w:spacing w:val="0"/>
          <w:kern w:val="0"/>
          <w:rtl/>
        </w:rPr>
        <w:t>وزبك</w:t>
      </w:r>
      <w:r w:rsidRPr="00AA537D">
        <w:rPr>
          <w:rFonts w:hint="cs"/>
          <w:spacing w:val="0"/>
          <w:kern w:val="0"/>
          <w:rtl/>
        </w:rPr>
        <w:t xml:space="preserve">ستان </w:t>
      </w:r>
      <w:r w:rsidRPr="00AA537D">
        <w:rPr>
          <w:spacing w:val="0"/>
          <w:kern w:val="0"/>
          <w:rtl/>
        </w:rPr>
        <w:t xml:space="preserve">تبحث عنه </w:t>
      </w:r>
      <w:r w:rsidRPr="00AA537D">
        <w:rPr>
          <w:rFonts w:hint="cs"/>
          <w:spacing w:val="0"/>
          <w:kern w:val="0"/>
          <w:rtl/>
        </w:rPr>
        <w:t xml:space="preserve">بتهمة الانتماء إلى </w:t>
      </w:r>
      <w:r w:rsidRPr="00AA537D">
        <w:rPr>
          <w:spacing w:val="0"/>
          <w:kern w:val="0"/>
          <w:rtl/>
        </w:rPr>
        <w:t xml:space="preserve">منظمة دينية متطرفة. </w:t>
      </w:r>
      <w:r w:rsidRPr="00AA537D">
        <w:rPr>
          <w:rFonts w:hint="cs"/>
          <w:spacing w:val="0"/>
          <w:kern w:val="0"/>
          <w:rtl/>
        </w:rPr>
        <w:t>و</w:t>
      </w:r>
      <w:r w:rsidRPr="00AA537D">
        <w:rPr>
          <w:spacing w:val="0"/>
          <w:kern w:val="0"/>
          <w:rtl/>
        </w:rPr>
        <w:t xml:space="preserve">في 6 </w:t>
      </w:r>
      <w:r w:rsidRPr="00AA537D">
        <w:rPr>
          <w:rFonts w:hint="cs"/>
          <w:spacing w:val="0"/>
          <w:kern w:val="0"/>
          <w:rtl/>
        </w:rPr>
        <w:t>كانون الثاني/</w:t>
      </w:r>
      <w:r w:rsidRPr="00AA537D">
        <w:rPr>
          <w:spacing w:val="0"/>
          <w:kern w:val="0"/>
          <w:rtl/>
        </w:rPr>
        <w:t xml:space="preserve">يناير 2010، التمس اللجوء </w:t>
      </w:r>
      <w:r w:rsidRPr="00AA537D">
        <w:rPr>
          <w:rFonts w:hint="cs"/>
          <w:spacing w:val="0"/>
          <w:kern w:val="0"/>
          <w:rtl/>
        </w:rPr>
        <w:t xml:space="preserve">إلى </w:t>
      </w:r>
      <w:r w:rsidRPr="00AA537D">
        <w:rPr>
          <w:spacing w:val="0"/>
          <w:kern w:val="0"/>
          <w:rtl/>
        </w:rPr>
        <w:t xml:space="preserve">كازاخستان. </w:t>
      </w:r>
      <w:r w:rsidRPr="00AA537D">
        <w:rPr>
          <w:rFonts w:hint="cs"/>
          <w:spacing w:val="0"/>
          <w:kern w:val="0"/>
          <w:rtl/>
        </w:rPr>
        <w:t xml:space="preserve">ومن </w:t>
      </w:r>
      <w:r w:rsidRPr="00AA537D">
        <w:rPr>
          <w:spacing w:val="0"/>
          <w:kern w:val="0"/>
          <w:rtl/>
        </w:rPr>
        <w:t xml:space="preserve">10 إلى 25 </w:t>
      </w:r>
      <w:r w:rsidRPr="00AA537D">
        <w:rPr>
          <w:rFonts w:hint="cs"/>
          <w:spacing w:val="0"/>
          <w:kern w:val="0"/>
          <w:rtl/>
        </w:rPr>
        <w:t xml:space="preserve">نيسان/أبريل </w:t>
      </w:r>
      <w:r w:rsidRPr="00AA537D">
        <w:rPr>
          <w:spacing w:val="0"/>
          <w:kern w:val="0"/>
          <w:rtl/>
        </w:rPr>
        <w:t>2010، ا</w:t>
      </w:r>
      <w:r w:rsidRPr="00AA537D">
        <w:rPr>
          <w:rFonts w:hint="cs"/>
          <w:spacing w:val="0"/>
          <w:kern w:val="0"/>
          <w:rtl/>
        </w:rPr>
        <w:t xml:space="preserve">حتجزت دائرة الأمن القومي في أوزبكستان والده </w:t>
      </w:r>
      <w:r w:rsidRPr="00AA537D">
        <w:rPr>
          <w:spacing w:val="0"/>
          <w:kern w:val="0"/>
          <w:rtl/>
        </w:rPr>
        <w:t>في محاولة للضغط عل</w:t>
      </w:r>
      <w:r w:rsidRPr="00AA537D">
        <w:rPr>
          <w:rFonts w:hint="cs"/>
          <w:spacing w:val="0"/>
          <w:kern w:val="0"/>
          <w:rtl/>
        </w:rPr>
        <w:t xml:space="preserve">يه لكي يعود إلى </w:t>
      </w:r>
      <w:r w:rsidRPr="00AA537D">
        <w:rPr>
          <w:spacing w:val="0"/>
          <w:kern w:val="0"/>
          <w:rtl/>
        </w:rPr>
        <w:t>أوزبكستان</w:t>
      </w:r>
      <w:r w:rsidRPr="00AA537D">
        <w:rPr>
          <w:rFonts w:hint="cs"/>
          <w:spacing w:val="0"/>
          <w:kern w:val="0"/>
          <w:rtl/>
        </w:rPr>
        <w:t>.</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 xml:space="preserve">أبرور كاسيموف </w:t>
      </w:r>
    </w:p>
    <w:p w:rsidR="00FA6676" w:rsidRPr="00AA537D" w:rsidRDefault="00FA6676" w:rsidP="00AA537D">
      <w:pPr>
        <w:pStyle w:val="SingleTxtGA"/>
        <w:jc w:val="lowKashida"/>
        <w:rPr>
          <w:rFonts w:hint="cs"/>
          <w:spacing w:val="0"/>
          <w:kern w:val="0"/>
          <w:rtl/>
        </w:rPr>
      </w:pPr>
      <w:r w:rsidRPr="00AA537D">
        <w:rPr>
          <w:rFonts w:hint="cs"/>
          <w:spacing w:val="0"/>
          <w:kern w:val="0"/>
          <w:rtl/>
        </w:rPr>
        <w:t>7-12</w:t>
      </w:r>
      <w:r w:rsidRPr="00AA537D">
        <w:rPr>
          <w:rFonts w:hint="cs"/>
          <w:spacing w:val="0"/>
          <w:kern w:val="0"/>
          <w:rtl/>
        </w:rPr>
        <w:tab/>
        <w:t xml:space="preserve">في </w:t>
      </w:r>
      <w:r w:rsidRPr="00AA537D">
        <w:rPr>
          <w:spacing w:val="0"/>
          <w:kern w:val="0"/>
          <w:rtl/>
        </w:rPr>
        <w:t xml:space="preserve">حزيران/يونيه 2007، </w:t>
      </w:r>
      <w:r w:rsidRPr="00AA537D">
        <w:rPr>
          <w:rFonts w:hint="cs"/>
          <w:spacing w:val="0"/>
          <w:kern w:val="0"/>
          <w:rtl/>
        </w:rPr>
        <w:t xml:space="preserve">ألقت دائرة الأمن القومي القبض </w:t>
      </w:r>
      <w:r w:rsidRPr="00AA537D">
        <w:rPr>
          <w:spacing w:val="0"/>
          <w:kern w:val="0"/>
          <w:rtl/>
        </w:rPr>
        <w:t>على 55 شخصا</w:t>
      </w:r>
      <w:r w:rsidRPr="00AA537D">
        <w:rPr>
          <w:rFonts w:hint="cs"/>
          <w:spacing w:val="0"/>
          <w:kern w:val="0"/>
          <w:rtl/>
        </w:rPr>
        <w:t>ً</w:t>
      </w:r>
      <w:r w:rsidRPr="00AA537D">
        <w:rPr>
          <w:spacing w:val="0"/>
          <w:kern w:val="0"/>
          <w:rtl/>
        </w:rPr>
        <w:t xml:space="preserve"> </w:t>
      </w:r>
      <w:r w:rsidRPr="00AA537D">
        <w:rPr>
          <w:rFonts w:hint="cs"/>
          <w:spacing w:val="0"/>
          <w:kern w:val="0"/>
          <w:rtl/>
        </w:rPr>
        <w:t>من بينهم أ</w:t>
      </w:r>
      <w:r w:rsidRPr="00AA537D">
        <w:rPr>
          <w:spacing w:val="0"/>
          <w:kern w:val="0"/>
          <w:rtl/>
        </w:rPr>
        <w:t xml:space="preserve">حد أصدقاء صاحب الشكوى </w:t>
      </w:r>
      <w:r w:rsidRPr="00AA537D">
        <w:rPr>
          <w:rFonts w:hint="cs"/>
          <w:spacing w:val="0"/>
          <w:kern w:val="0"/>
          <w:rtl/>
        </w:rPr>
        <w:t>في كوكاند و</w:t>
      </w:r>
      <w:r w:rsidRPr="00AA537D">
        <w:rPr>
          <w:spacing w:val="0"/>
          <w:kern w:val="0"/>
          <w:rtl/>
        </w:rPr>
        <w:t>أجبر</w:t>
      </w:r>
      <w:r w:rsidRPr="00AA537D">
        <w:rPr>
          <w:rFonts w:hint="cs"/>
          <w:spacing w:val="0"/>
          <w:kern w:val="0"/>
          <w:rtl/>
        </w:rPr>
        <w:t xml:space="preserve">ته </w:t>
      </w:r>
      <w:r w:rsidRPr="00AA537D">
        <w:rPr>
          <w:spacing w:val="0"/>
          <w:kern w:val="0"/>
          <w:rtl/>
        </w:rPr>
        <w:t xml:space="preserve">على </w:t>
      </w:r>
      <w:r w:rsidRPr="00AA537D">
        <w:rPr>
          <w:rFonts w:hint="cs"/>
          <w:spacing w:val="0"/>
          <w:kern w:val="0"/>
          <w:rtl/>
        </w:rPr>
        <w:t xml:space="preserve">الشهادة ضده في إحدى القضايا. وفي </w:t>
      </w:r>
      <w:r w:rsidRPr="00AA537D">
        <w:rPr>
          <w:spacing w:val="0"/>
          <w:kern w:val="0"/>
          <w:rtl/>
        </w:rPr>
        <w:t xml:space="preserve">10 </w:t>
      </w:r>
      <w:r w:rsidRPr="00AA537D">
        <w:rPr>
          <w:rFonts w:hint="cs"/>
          <w:spacing w:val="0"/>
          <w:kern w:val="0"/>
          <w:rtl/>
        </w:rPr>
        <w:t>تموز/</w:t>
      </w:r>
      <w:r w:rsidRPr="00AA537D">
        <w:rPr>
          <w:spacing w:val="0"/>
          <w:kern w:val="0"/>
          <w:rtl/>
        </w:rPr>
        <w:t xml:space="preserve">يوليه 2007، فر صاحب الشكوى إلى روسيا. </w:t>
      </w:r>
      <w:r w:rsidRPr="00AA537D">
        <w:rPr>
          <w:rFonts w:hint="cs"/>
          <w:spacing w:val="0"/>
          <w:kern w:val="0"/>
          <w:rtl/>
        </w:rPr>
        <w:t xml:space="preserve">وأثناء </w:t>
      </w:r>
      <w:r w:rsidRPr="00AA537D">
        <w:rPr>
          <w:spacing w:val="0"/>
          <w:kern w:val="0"/>
          <w:rtl/>
        </w:rPr>
        <w:t xml:space="preserve">غيابه، تم تفتيش منزله ومصادرة </w:t>
      </w:r>
      <w:r w:rsidRPr="00AA537D">
        <w:rPr>
          <w:rFonts w:hint="cs"/>
          <w:spacing w:val="0"/>
          <w:kern w:val="0"/>
          <w:rtl/>
        </w:rPr>
        <w:t>أوراقه</w:t>
      </w:r>
      <w:r w:rsidRPr="00AA537D">
        <w:rPr>
          <w:spacing w:val="0"/>
          <w:kern w:val="0"/>
          <w:rtl/>
        </w:rPr>
        <w:t xml:space="preserve">. </w:t>
      </w:r>
      <w:r w:rsidRPr="00AA537D">
        <w:rPr>
          <w:rFonts w:hint="cs"/>
          <w:spacing w:val="0"/>
          <w:kern w:val="0"/>
          <w:rtl/>
        </w:rPr>
        <w:t>وفضلا عن ذلك، كانت زوجته وأقاربه يستجوبون بانتظام من قبل دائرة الأمن القومي</w:t>
      </w:r>
      <w:r w:rsidRPr="00AA537D">
        <w:rPr>
          <w:spacing w:val="0"/>
          <w:kern w:val="0"/>
          <w:rtl/>
        </w:rPr>
        <w:t xml:space="preserve">. </w:t>
      </w:r>
      <w:r w:rsidRPr="00AA537D">
        <w:rPr>
          <w:rFonts w:hint="cs"/>
          <w:spacing w:val="0"/>
          <w:kern w:val="0"/>
          <w:rtl/>
        </w:rPr>
        <w:t>و</w:t>
      </w:r>
      <w:r w:rsidRPr="00AA537D">
        <w:rPr>
          <w:spacing w:val="0"/>
          <w:kern w:val="0"/>
          <w:rtl/>
        </w:rPr>
        <w:t xml:space="preserve">في نيسان/أبريل 2009، وصل </w:t>
      </w:r>
      <w:r w:rsidRPr="00AA537D">
        <w:rPr>
          <w:rFonts w:hint="cs"/>
          <w:spacing w:val="0"/>
          <w:kern w:val="0"/>
          <w:rtl/>
        </w:rPr>
        <w:t xml:space="preserve">صاحب الشكوى </w:t>
      </w:r>
      <w:r w:rsidRPr="00AA537D">
        <w:rPr>
          <w:spacing w:val="0"/>
          <w:kern w:val="0"/>
          <w:rtl/>
        </w:rPr>
        <w:t xml:space="preserve">إلى كازاخستان، </w:t>
      </w:r>
      <w:r w:rsidRPr="00AA537D">
        <w:rPr>
          <w:rFonts w:hint="cs"/>
          <w:spacing w:val="0"/>
          <w:kern w:val="0"/>
          <w:rtl/>
        </w:rPr>
        <w:t>و</w:t>
      </w:r>
      <w:r w:rsidRPr="00AA537D">
        <w:rPr>
          <w:spacing w:val="0"/>
          <w:kern w:val="0"/>
          <w:rtl/>
        </w:rPr>
        <w:t>طلب اللجوء</w:t>
      </w:r>
      <w:r w:rsidRPr="00AA537D">
        <w:rPr>
          <w:rFonts w:hint="cs"/>
          <w:spacing w:val="0"/>
          <w:kern w:val="0"/>
          <w:rtl/>
        </w:rPr>
        <w:t xml:space="preserve"> إلى هذا البلد</w:t>
      </w:r>
      <w:r w:rsidRPr="00AA537D">
        <w:rPr>
          <w:spacing w:val="0"/>
          <w:kern w:val="0"/>
          <w:rtl/>
        </w:rPr>
        <w:t>.</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أوليمجون خولتوراييف</w:t>
      </w:r>
    </w:p>
    <w:p w:rsidR="00FA6676" w:rsidRPr="00AA537D" w:rsidRDefault="00FA6676" w:rsidP="00AA537D">
      <w:pPr>
        <w:pStyle w:val="SingleTxtGA"/>
        <w:jc w:val="lowKashida"/>
        <w:rPr>
          <w:rFonts w:hint="cs"/>
          <w:spacing w:val="0"/>
          <w:kern w:val="0"/>
          <w:rtl/>
        </w:rPr>
      </w:pPr>
      <w:r w:rsidRPr="00AA537D">
        <w:rPr>
          <w:rFonts w:hint="cs"/>
          <w:spacing w:val="0"/>
          <w:kern w:val="0"/>
          <w:rtl/>
        </w:rPr>
        <w:t>7-13</w:t>
      </w:r>
      <w:r w:rsidRPr="00AA537D">
        <w:rPr>
          <w:rFonts w:hint="cs"/>
          <w:spacing w:val="0"/>
          <w:kern w:val="0"/>
          <w:rtl/>
        </w:rPr>
        <w:tab/>
        <w:t xml:space="preserve">كان صاحب الشكوى </w:t>
      </w:r>
      <w:r w:rsidRPr="00AA537D">
        <w:rPr>
          <w:spacing w:val="0"/>
          <w:kern w:val="0"/>
          <w:rtl/>
        </w:rPr>
        <w:t xml:space="preserve">يدرس القرآن </w:t>
      </w:r>
      <w:r w:rsidRPr="00AA537D">
        <w:rPr>
          <w:rFonts w:hint="cs"/>
          <w:spacing w:val="0"/>
          <w:kern w:val="0"/>
          <w:rtl/>
        </w:rPr>
        <w:t>ب</w:t>
      </w:r>
      <w:r w:rsidRPr="00AA537D">
        <w:rPr>
          <w:spacing w:val="0"/>
          <w:kern w:val="0"/>
          <w:rtl/>
        </w:rPr>
        <w:t xml:space="preserve">اللغة العربية منذ عام 2004. </w:t>
      </w:r>
      <w:r w:rsidRPr="00AA537D">
        <w:rPr>
          <w:rFonts w:hint="cs"/>
          <w:spacing w:val="0"/>
          <w:kern w:val="0"/>
          <w:rtl/>
        </w:rPr>
        <w:t>و</w:t>
      </w:r>
      <w:r w:rsidRPr="00AA537D">
        <w:rPr>
          <w:spacing w:val="0"/>
          <w:kern w:val="0"/>
          <w:rtl/>
        </w:rPr>
        <w:t>في عام</w:t>
      </w:r>
      <w:r w:rsidRPr="00AA537D">
        <w:rPr>
          <w:rFonts w:hint="cs"/>
          <w:spacing w:val="0"/>
          <w:kern w:val="0"/>
          <w:rtl/>
        </w:rPr>
        <w:t> </w:t>
      </w:r>
      <w:r w:rsidRPr="00AA537D">
        <w:rPr>
          <w:spacing w:val="0"/>
          <w:kern w:val="0"/>
          <w:rtl/>
        </w:rPr>
        <w:t xml:space="preserve">2008، ألقي القبض على </w:t>
      </w:r>
      <w:r w:rsidRPr="00AA537D">
        <w:rPr>
          <w:rFonts w:hint="cs"/>
          <w:spacing w:val="0"/>
          <w:kern w:val="0"/>
          <w:rtl/>
        </w:rPr>
        <w:t>أحد أصدقائه</w:t>
      </w:r>
      <w:r w:rsidRPr="00AA537D">
        <w:rPr>
          <w:spacing w:val="0"/>
          <w:kern w:val="0"/>
          <w:rtl/>
        </w:rPr>
        <w:t xml:space="preserve"> وكشف </w:t>
      </w:r>
      <w:r w:rsidRPr="00AA537D">
        <w:rPr>
          <w:rFonts w:hint="cs"/>
          <w:spacing w:val="0"/>
          <w:kern w:val="0"/>
          <w:rtl/>
        </w:rPr>
        <w:t xml:space="preserve">هذا الصديق </w:t>
      </w:r>
      <w:r w:rsidRPr="00AA537D">
        <w:rPr>
          <w:spacing w:val="0"/>
          <w:kern w:val="0"/>
          <w:rtl/>
        </w:rPr>
        <w:t>عن اسم</w:t>
      </w:r>
      <w:r w:rsidRPr="00AA537D">
        <w:rPr>
          <w:rFonts w:hint="cs"/>
          <w:spacing w:val="0"/>
          <w:kern w:val="0"/>
          <w:rtl/>
        </w:rPr>
        <w:t>ه</w:t>
      </w:r>
      <w:r w:rsidRPr="00AA537D">
        <w:rPr>
          <w:spacing w:val="0"/>
          <w:kern w:val="0"/>
          <w:rtl/>
        </w:rPr>
        <w:t xml:space="preserve">. في 23 </w:t>
      </w:r>
      <w:r w:rsidRPr="00AA537D">
        <w:rPr>
          <w:rFonts w:hint="cs"/>
          <w:spacing w:val="0"/>
          <w:kern w:val="0"/>
          <w:rtl/>
        </w:rPr>
        <w:t>تشرين الثاني/</w:t>
      </w:r>
      <w:r w:rsidRPr="00AA537D">
        <w:rPr>
          <w:spacing w:val="0"/>
          <w:kern w:val="0"/>
          <w:rtl/>
        </w:rPr>
        <w:t>نوفمبر 2008، اختب</w:t>
      </w:r>
      <w:r w:rsidRPr="00AA537D">
        <w:rPr>
          <w:rFonts w:hint="cs"/>
          <w:spacing w:val="0"/>
          <w:kern w:val="0"/>
          <w:rtl/>
        </w:rPr>
        <w:t>أ</w:t>
      </w:r>
      <w:r w:rsidRPr="00AA537D">
        <w:rPr>
          <w:spacing w:val="0"/>
          <w:kern w:val="0"/>
          <w:rtl/>
        </w:rPr>
        <w:t xml:space="preserve"> </w:t>
      </w:r>
      <w:r w:rsidRPr="00AA537D">
        <w:rPr>
          <w:rFonts w:hint="cs"/>
          <w:spacing w:val="0"/>
          <w:kern w:val="0"/>
          <w:rtl/>
        </w:rPr>
        <w:t xml:space="preserve">صاحب </w:t>
      </w:r>
      <w:r w:rsidRPr="00AA537D">
        <w:rPr>
          <w:spacing w:val="0"/>
          <w:kern w:val="0"/>
          <w:rtl/>
        </w:rPr>
        <w:t xml:space="preserve">الشكوى. </w:t>
      </w:r>
      <w:r w:rsidRPr="00AA537D">
        <w:rPr>
          <w:rFonts w:hint="cs"/>
          <w:spacing w:val="0"/>
          <w:kern w:val="0"/>
          <w:rtl/>
        </w:rPr>
        <w:t>و</w:t>
      </w:r>
      <w:r w:rsidRPr="00AA537D">
        <w:rPr>
          <w:spacing w:val="0"/>
          <w:kern w:val="0"/>
          <w:rtl/>
        </w:rPr>
        <w:t xml:space="preserve">بعد </w:t>
      </w:r>
      <w:r w:rsidRPr="00AA537D">
        <w:rPr>
          <w:rFonts w:hint="cs"/>
          <w:spacing w:val="0"/>
          <w:kern w:val="0"/>
          <w:rtl/>
        </w:rPr>
        <w:t xml:space="preserve">إدانة </w:t>
      </w:r>
      <w:r w:rsidRPr="00AA537D">
        <w:rPr>
          <w:spacing w:val="0"/>
          <w:kern w:val="0"/>
          <w:rtl/>
        </w:rPr>
        <w:t>صديق آخر عاد إلى أوزبكستان</w:t>
      </w:r>
      <w:r w:rsidRPr="00AA537D">
        <w:rPr>
          <w:rFonts w:hint="cs"/>
          <w:spacing w:val="0"/>
          <w:kern w:val="0"/>
          <w:rtl/>
        </w:rPr>
        <w:t xml:space="preserve"> </w:t>
      </w:r>
      <w:r w:rsidRPr="00AA537D">
        <w:rPr>
          <w:spacing w:val="0"/>
          <w:kern w:val="0"/>
          <w:rtl/>
        </w:rPr>
        <w:t>من المملكة المتحدة، قرر صاحب الشكوى التماس اللجوء في كازاخستان.</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أليشير خوشيموف</w:t>
      </w:r>
    </w:p>
    <w:p w:rsidR="00FA6676" w:rsidRPr="00AA537D" w:rsidRDefault="00FA6676" w:rsidP="00EB70BE">
      <w:pPr>
        <w:pStyle w:val="SingleTxtGA"/>
        <w:jc w:val="lowKashida"/>
        <w:rPr>
          <w:rFonts w:hint="cs"/>
          <w:spacing w:val="0"/>
          <w:kern w:val="0"/>
          <w:rtl/>
        </w:rPr>
      </w:pPr>
      <w:r w:rsidRPr="00AA537D">
        <w:rPr>
          <w:rFonts w:hint="cs"/>
          <w:spacing w:val="0"/>
          <w:kern w:val="0"/>
          <w:rtl/>
        </w:rPr>
        <w:t>7-14</w:t>
      </w:r>
      <w:r w:rsidRPr="00AA537D">
        <w:rPr>
          <w:rFonts w:hint="cs"/>
          <w:spacing w:val="0"/>
          <w:kern w:val="0"/>
          <w:rtl/>
        </w:rPr>
        <w:tab/>
        <w:t>في 27 كانون الأول/يناير</w:t>
      </w:r>
      <w:r w:rsidR="00171FB4">
        <w:rPr>
          <w:rFonts w:hint="cs"/>
          <w:spacing w:val="0"/>
          <w:kern w:val="0"/>
          <w:rtl/>
        </w:rPr>
        <w:t xml:space="preserve"> </w:t>
      </w:r>
      <w:r w:rsidRPr="00AA537D">
        <w:rPr>
          <w:rFonts w:hint="cs"/>
          <w:spacing w:val="0"/>
          <w:kern w:val="0"/>
          <w:rtl/>
        </w:rPr>
        <w:t xml:space="preserve">1998، </w:t>
      </w:r>
      <w:r w:rsidRPr="00AA537D">
        <w:rPr>
          <w:spacing w:val="0"/>
          <w:kern w:val="0"/>
          <w:rtl/>
        </w:rPr>
        <w:t xml:space="preserve">ألقي القبض </w:t>
      </w:r>
      <w:r w:rsidRPr="00AA537D">
        <w:rPr>
          <w:rFonts w:hint="cs"/>
          <w:spacing w:val="0"/>
          <w:kern w:val="0"/>
          <w:rtl/>
        </w:rPr>
        <w:t>على</w:t>
      </w:r>
      <w:r w:rsidRPr="00AA537D">
        <w:rPr>
          <w:spacing w:val="0"/>
          <w:kern w:val="0"/>
          <w:rtl/>
        </w:rPr>
        <w:t xml:space="preserve"> صاحب الشكوى</w:t>
      </w:r>
      <w:r w:rsidRPr="00AA537D">
        <w:rPr>
          <w:rFonts w:hint="cs"/>
          <w:spacing w:val="0"/>
          <w:kern w:val="0"/>
          <w:rtl/>
        </w:rPr>
        <w:t xml:space="preserve"> </w:t>
      </w:r>
      <w:r w:rsidRPr="00AA537D">
        <w:rPr>
          <w:spacing w:val="0"/>
          <w:kern w:val="0"/>
          <w:rtl/>
        </w:rPr>
        <w:t xml:space="preserve">بعد </w:t>
      </w:r>
      <w:r w:rsidRPr="00AA537D">
        <w:rPr>
          <w:rFonts w:hint="cs"/>
          <w:spacing w:val="0"/>
          <w:kern w:val="0"/>
          <w:rtl/>
        </w:rPr>
        <w:t xml:space="preserve">دس </w:t>
      </w:r>
      <w:r w:rsidRPr="00AA537D">
        <w:rPr>
          <w:spacing w:val="0"/>
          <w:kern w:val="0"/>
          <w:rtl/>
        </w:rPr>
        <w:t>مخدرات في جيبه</w:t>
      </w:r>
      <w:r w:rsidRPr="00AA537D">
        <w:rPr>
          <w:rFonts w:hint="cs"/>
          <w:spacing w:val="0"/>
          <w:kern w:val="0"/>
          <w:rtl/>
        </w:rPr>
        <w:t>،</w:t>
      </w:r>
      <w:r w:rsidRPr="00AA537D">
        <w:rPr>
          <w:spacing w:val="0"/>
          <w:kern w:val="0"/>
          <w:rtl/>
        </w:rPr>
        <w:t xml:space="preserve"> </w:t>
      </w:r>
      <w:r w:rsidRPr="00AA537D">
        <w:rPr>
          <w:rFonts w:hint="cs"/>
          <w:spacing w:val="0"/>
          <w:kern w:val="0"/>
          <w:rtl/>
        </w:rPr>
        <w:t>و</w:t>
      </w:r>
      <w:r w:rsidRPr="00AA537D">
        <w:rPr>
          <w:spacing w:val="0"/>
          <w:kern w:val="0"/>
          <w:rtl/>
        </w:rPr>
        <w:t xml:space="preserve">وجهت إليه تهمة حيازة المخدرات. في الاحتجاز السابق للمحاكمة، </w:t>
      </w:r>
      <w:r w:rsidRPr="00AA537D">
        <w:rPr>
          <w:rFonts w:hint="cs"/>
          <w:spacing w:val="0"/>
          <w:kern w:val="0"/>
          <w:rtl/>
        </w:rPr>
        <w:t>تم</w:t>
      </w:r>
      <w:r w:rsidR="00EB70BE">
        <w:rPr>
          <w:rFonts w:hint="eastAsia"/>
          <w:spacing w:val="0"/>
          <w:kern w:val="0"/>
          <w:rtl/>
        </w:rPr>
        <w:t> </w:t>
      </w:r>
      <w:r w:rsidRPr="00AA537D">
        <w:rPr>
          <w:rFonts w:hint="cs"/>
          <w:spacing w:val="0"/>
          <w:kern w:val="0"/>
          <w:rtl/>
        </w:rPr>
        <w:t xml:space="preserve">استجوابه بشأن إمام كان يعرفه، وقام بعض السجناء المزعومين الذين كانوا يشاركونه </w:t>
      </w:r>
      <w:r w:rsidRPr="00AA537D">
        <w:rPr>
          <w:spacing w:val="0"/>
          <w:kern w:val="0"/>
          <w:rtl/>
        </w:rPr>
        <w:t>في</w:t>
      </w:r>
      <w:r w:rsidRPr="00AA537D">
        <w:rPr>
          <w:rFonts w:hint="cs"/>
          <w:spacing w:val="0"/>
          <w:kern w:val="0"/>
          <w:rtl/>
        </w:rPr>
        <w:t> </w:t>
      </w:r>
      <w:r w:rsidRPr="00AA537D">
        <w:rPr>
          <w:spacing w:val="0"/>
          <w:kern w:val="0"/>
          <w:rtl/>
        </w:rPr>
        <w:t>زنزانته</w:t>
      </w:r>
      <w:r w:rsidRPr="00AA537D">
        <w:rPr>
          <w:rFonts w:hint="cs"/>
          <w:spacing w:val="0"/>
          <w:kern w:val="0"/>
          <w:rtl/>
        </w:rPr>
        <w:t xml:space="preserve"> بتهديده لحمله على الشهادة ضد هذا </w:t>
      </w:r>
      <w:r w:rsidRPr="00AA537D">
        <w:rPr>
          <w:spacing w:val="0"/>
          <w:kern w:val="0"/>
          <w:rtl/>
        </w:rPr>
        <w:t>ا</w:t>
      </w:r>
      <w:r w:rsidRPr="00AA537D">
        <w:rPr>
          <w:rFonts w:hint="cs"/>
          <w:spacing w:val="0"/>
          <w:kern w:val="0"/>
          <w:rtl/>
        </w:rPr>
        <w:t>لإ</w:t>
      </w:r>
      <w:r w:rsidRPr="00AA537D">
        <w:rPr>
          <w:spacing w:val="0"/>
          <w:kern w:val="0"/>
          <w:rtl/>
        </w:rPr>
        <w:t xml:space="preserve">مام </w:t>
      </w:r>
      <w:r w:rsidRPr="00AA537D">
        <w:rPr>
          <w:rFonts w:hint="cs"/>
          <w:spacing w:val="0"/>
          <w:kern w:val="0"/>
          <w:rtl/>
        </w:rPr>
        <w:t xml:space="preserve">في قضية تتعلق بمحاولة </w:t>
      </w:r>
      <w:r w:rsidRPr="00AA537D">
        <w:rPr>
          <w:spacing w:val="0"/>
          <w:kern w:val="0"/>
          <w:rtl/>
        </w:rPr>
        <w:t xml:space="preserve">الإطاحة بالنظام الدستوري. </w:t>
      </w:r>
      <w:r w:rsidRPr="00AA537D">
        <w:rPr>
          <w:rFonts w:hint="cs"/>
          <w:spacing w:val="0"/>
          <w:kern w:val="0"/>
          <w:rtl/>
        </w:rPr>
        <w:t>و</w:t>
      </w:r>
      <w:r w:rsidRPr="00AA537D">
        <w:rPr>
          <w:spacing w:val="0"/>
          <w:kern w:val="0"/>
          <w:rtl/>
        </w:rPr>
        <w:t xml:space="preserve">في 26 </w:t>
      </w:r>
      <w:r w:rsidRPr="00AA537D">
        <w:rPr>
          <w:rFonts w:hint="cs"/>
          <w:spacing w:val="0"/>
          <w:kern w:val="0"/>
          <w:rtl/>
        </w:rPr>
        <w:t>كانون الثاني/</w:t>
      </w:r>
      <w:r w:rsidRPr="00AA537D">
        <w:rPr>
          <w:spacing w:val="0"/>
          <w:kern w:val="0"/>
          <w:rtl/>
        </w:rPr>
        <w:t xml:space="preserve">يناير 2001، أطلق سراحه. </w:t>
      </w:r>
      <w:r w:rsidRPr="00AA537D">
        <w:rPr>
          <w:rFonts w:hint="cs"/>
          <w:spacing w:val="0"/>
          <w:kern w:val="0"/>
          <w:rtl/>
        </w:rPr>
        <w:t>و</w:t>
      </w:r>
      <w:r w:rsidRPr="00AA537D">
        <w:rPr>
          <w:spacing w:val="0"/>
          <w:kern w:val="0"/>
          <w:rtl/>
        </w:rPr>
        <w:t>في حزيران</w:t>
      </w:r>
      <w:r w:rsidRPr="00AA537D">
        <w:rPr>
          <w:rFonts w:hint="cs"/>
          <w:spacing w:val="0"/>
          <w:kern w:val="0"/>
          <w:rtl/>
        </w:rPr>
        <w:t>/</w:t>
      </w:r>
      <w:r w:rsidR="00EB70BE">
        <w:rPr>
          <w:rFonts w:hint="cs"/>
          <w:spacing w:val="0"/>
          <w:kern w:val="0"/>
          <w:rtl/>
        </w:rPr>
        <w:t xml:space="preserve"> </w:t>
      </w:r>
      <w:r w:rsidRPr="00AA537D">
        <w:rPr>
          <w:rFonts w:hint="cs"/>
          <w:spacing w:val="0"/>
          <w:kern w:val="0"/>
          <w:rtl/>
        </w:rPr>
        <w:t>يونيه</w:t>
      </w:r>
      <w:r w:rsidR="00EB70BE">
        <w:rPr>
          <w:rFonts w:hint="cs"/>
          <w:spacing w:val="0"/>
          <w:kern w:val="0"/>
          <w:rtl/>
        </w:rPr>
        <w:t> </w:t>
      </w:r>
      <w:r w:rsidRPr="00AA537D">
        <w:rPr>
          <w:spacing w:val="0"/>
          <w:kern w:val="0"/>
          <w:rtl/>
        </w:rPr>
        <w:t xml:space="preserve">2009، </w:t>
      </w:r>
      <w:r w:rsidRPr="00AA537D">
        <w:rPr>
          <w:rFonts w:hint="cs"/>
          <w:spacing w:val="0"/>
          <w:kern w:val="0"/>
          <w:rtl/>
        </w:rPr>
        <w:t xml:space="preserve">سُئل </w:t>
      </w:r>
      <w:r w:rsidRPr="00AA537D">
        <w:rPr>
          <w:spacing w:val="0"/>
          <w:kern w:val="0"/>
          <w:rtl/>
        </w:rPr>
        <w:t xml:space="preserve">أحد أقاربه </w:t>
      </w:r>
      <w:r w:rsidRPr="00AA537D">
        <w:rPr>
          <w:rFonts w:hint="cs"/>
          <w:spacing w:val="0"/>
          <w:kern w:val="0"/>
          <w:rtl/>
        </w:rPr>
        <w:t xml:space="preserve">عن مكانه وحكم عليه بعد ذلك </w:t>
      </w:r>
      <w:r w:rsidRPr="00AA537D">
        <w:rPr>
          <w:spacing w:val="0"/>
          <w:kern w:val="0"/>
          <w:rtl/>
        </w:rPr>
        <w:t xml:space="preserve">بالسجن لمدة ست سنوات. </w:t>
      </w:r>
      <w:r w:rsidRPr="00AA537D">
        <w:rPr>
          <w:rFonts w:hint="cs"/>
          <w:spacing w:val="0"/>
          <w:kern w:val="0"/>
          <w:rtl/>
        </w:rPr>
        <w:t>و</w:t>
      </w:r>
      <w:r w:rsidRPr="00AA537D">
        <w:rPr>
          <w:spacing w:val="0"/>
          <w:kern w:val="0"/>
          <w:rtl/>
        </w:rPr>
        <w:t>في أيلول/</w:t>
      </w:r>
      <w:r w:rsidRPr="00AA537D">
        <w:rPr>
          <w:rFonts w:hint="cs"/>
          <w:spacing w:val="0"/>
          <w:kern w:val="0"/>
          <w:rtl/>
        </w:rPr>
        <w:t xml:space="preserve"> </w:t>
      </w:r>
      <w:r w:rsidRPr="00AA537D">
        <w:rPr>
          <w:spacing w:val="0"/>
          <w:kern w:val="0"/>
          <w:rtl/>
        </w:rPr>
        <w:t xml:space="preserve">سبتمبر 2009، هرب صاحب الشكوى إلى كازاخستان. </w:t>
      </w:r>
      <w:r w:rsidRPr="00AA537D">
        <w:rPr>
          <w:rFonts w:hint="cs"/>
          <w:spacing w:val="0"/>
          <w:kern w:val="0"/>
          <w:rtl/>
        </w:rPr>
        <w:t>و</w:t>
      </w:r>
      <w:r w:rsidRPr="00AA537D">
        <w:rPr>
          <w:spacing w:val="0"/>
          <w:kern w:val="0"/>
          <w:rtl/>
        </w:rPr>
        <w:t xml:space="preserve">في غيابه، </w:t>
      </w:r>
      <w:r w:rsidRPr="00AA537D">
        <w:rPr>
          <w:rFonts w:hint="cs"/>
          <w:spacing w:val="0"/>
          <w:kern w:val="0"/>
          <w:rtl/>
        </w:rPr>
        <w:t xml:space="preserve">حضرت </w:t>
      </w:r>
      <w:r w:rsidRPr="00AA537D">
        <w:rPr>
          <w:spacing w:val="0"/>
          <w:kern w:val="0"/>
          <w:rtl/>
        </w:rPr>
        <w:t>الشرطة إلى منزله وس</w:t>
      </w:r>
      <w:r w:rsidRPr="00AA537D">
        <w:rPr>
          <w:rFonts w:hint="cs"/>
          <w:spacing w:val="0"/>
          <w:kern w:val="0"/>
          <w:rtl/>
        </w:rPr>
        <w:t>أ</w:t>
      </w:r>
      <w:r w:rsidRPr="00AA537D">
        <w:rPr>
          <w:spacing w:val="0"/>
          <w:kern w:val="0"/>
          <w:rtl/>
        </w:rPr>
        <w:t>ل</w:t>
      </w:r>
      <w:r w:rsidRPr="00AA537D">
        <w:rPr>
          <w:rFonts w:hint="cs"/>
          <w:spacing w:val="0"/>
          <w:kern w:val="0"/>
          <w:rtl/>
        </w:rPr>
        <w:t xml:space="preserve">ت عن </w:t>
      </w:r>
      <w:r w:rsidRPr="00AA537D">
        <w:rPr>
          <w:spacing w:val="0"/>
          <w:kern w:val="0"/>
          <w:rtl/>
        </w:rPr>
        <w:t>مكان</w:t>
      </w:r>
      <w:r w:rsidRPr="00AA537D">
        <w:rPr>
          <w:rFonts w:hint="cs"/>
          <w:spacing w:val="0"/>
          <w:kern w:val="0"/>
          <w:rtl/>
        </w:rPr>
        <w:t>ه</w:t>
      </w:r>
      <w:r w:rsidRPr="00AA537D">
        <w:rPr>
          <w:spacing w:val="0"/>
          <w:kern w:val="0"/>
          <w:rtl/>
        </w:rPr>
        <w:t xml:space="preserve">. </w:t>
      </w:r>
      <w:r w:rsidRPr="00AA537D">
        <w:rPr>
          <w:rFonts w:hint="cs"/>
          <w:spacing w:val="0"/>
          <w:kern w:val="0"/>
          <w:rtl/>
        </w:rPr>
        <w:t>و</w:t>
      </w:r>
      <w:r w:rsidRPr="00AA537D">
        <w:rPr>
          <w:spacing w:val="0"/>
          <w:kern w:val="0"/>
          <w:rtl/>
        </w:rPr>
        <w:t xml:space="preserve">ألقي القبض على ابنه البالغ </w:t>
      </w:r>
      <w:r w:rsidRPr="00AA537D">
        <w:rPr>
          <w:rFonts w:hint="cs"/>
          <w:spacing w:val="0"/>
          <w:kern w:val="0"/>
          <w:rtl/>
        </w:rPr>
        <w:t>17 سنة من</w:t>
      </w:r>
      <w:r w:rsidRPr="00AA537D">
        <w:rPr>
          <w:spacing w:val="0"/>
          <w:kern w:val="0"/>
          <w:rtl/>
        </w:rPr>
        <w:t xml:space="preserve"> العمر وأخيه وابن أخيه</w:t>
      </w:r>
      <w:r w:rsidRPr="00AA537D">
        <w:rPr>
          <w:rFonts w:hint="cs"/>
          <w:spacing w:val="0"/>
          <w:kern w:val="0"/>
          <w:rtl/>
        </w:rPr>
        <w:t xml:space="preserve">، وحكم على ابنه </w:t>
      </w:r>
      <w:r w:rsidRPr="00AA537D">
        <w:rPr>
          <w:spacing w:val="0"/>
          <w:kern w:val="0"/>
          <w:rtl/>
        </w:rPr>
        <w:t>بالسجن لمدة 15 سنة.</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 xml:space="preserve">سارفار خوراموف </w:t>
      </w:r>
    </w:p>
    <w:p w:rsidR="00FA6676" w:rsidRPr="00AA537D" w:rsidRDefault="00FA6676" w:rsidP="00AA537D">
      <w:pPr>
        <w:pStyle w:val="SingleTxtGA"/>
        <w:jc w:val="lowKashida"/>
        <w:rPr>
          <w:rFonts w:hint="cs"/>
          <w:spacing w:val="0"/>
          <w:kern w:val="0"/>
          <w:rtl/>
        </w:rPr>
      </w:pPr>
      <w:r w:rsidRPr="00AA537D">
        <w:rPr>
          <w:rFonts w:hint="cs"/>
          <w:spacing w:val="0"/>
          <w:kern w:val="0"/>
          <w:rtl/>
        </w:rPr>
        <w:t>7-15</w:t>
      </w:r>
      <w:r w:rsidRPr="00AA537D">
        <w:rPr>
          <w:rFonts w:hint="cs"/>
          <w:spacing w:val="0"/>
          <w:kern w:val="0"/>
          <w:rtl/>
        </w:rPr>
        <w:tab/>
        <w:t xml:space="preserve">ينتمي صاحب </w:t>
      </w:r>
      <w:r w:rsidRPr="00AA537D">
        <w:rPr>
          <w:spacing w:val="0"/>
          <w:kern w:val="0"/>
          <w:rtl/>
        </w:rPr>
        <w:t xml:space="preserve">الشكوى إلى أسرة مسلمة </w:t>
      </w:r>
      <w:r w:rsidRPr="00AA537D">
        <w:rPr>
          <w:rFonts w:hint="cs"/>
          <w:spacing w:val="0"/>
          <w:kern w:val="0"/>
          <w:rtl/>
        </w:rPr>
        <w:t xml:space="preserve">ونظم بمناسبة زواجه حفلاً </w:t>
      </w:r>
      <w:r w:rsidRPr="00AA537D">
        <w:rPr>
          <w:spacing w:val="0"/>
          <w:kern w:val="0"/>
          <w:rtl/>
        </w:rPr>
        <w:t>ديني</w:t>
      </w:r>
      <w:r w:rsidRPr="00AA537D">
        <w:rPr>
          <w:rFonts w:hint="cs"/>
          <w:spacing w:val="0"/>
          <w:kern w:val="0"/>
          <w:rtl/>
        </w:rPr>
        <w:t>اً</w:t>
      </w:r>
      <w:r w:rsidRPr="00AA537D">
        <w:rPr>
          <w:spacing w:val="0"/>
          <w:kern w:val="0"/>
          <w:rtl/>
        </w:rPr>
        <w:t xml:space="preserve">. </w:t>
      </w:r>
      <w:r w:rsidRPr="00AA537D">
        <w:rPr>
          <w:rFonts w:hint="cs"/>
          <w:spacing w:val="0"/>
          <w:kern w:val="0"/>
          <w:rtl/>
        </w:rPr>
        <w:t>و</w:t>
      </w:r>
      <w:r w:rsidRPr="00AA537D">
        <w:rPr>
          <w:spacing w:val="0"/>
          <w:kern w:val="0"/>
          <w:rtl/>
        </w:rPr>
        <w:t xml:space="preserve">بعد إلقاء القبض على </w:t>
      </w:r>
      <w:r w:rsidRPr="00AA537D">
        <w:rPr>
          <w:rFonts w:hint="cs"/>
          <w:spacing w:val="0"/>
          <w:kern w:val="0"/>
          <w:rtl/>
        </w:rPr>
        <w:t>أحد أصدقائه</w:t>
      </w:r>
      <w:r w:rsidRPr="00AA537D">
        <w:rPr>
          <w:spacing w:val="0"/>
          <w:kern w:val="0"/>
          <w:rtl/>
        </w:rPr>
        <w:t xml:space="preserve"> (نفس صديق </w:t>
      </w:r>
      <w:r w:rsidRPr="00AA537D">
        <w:rPr>
          <w:rFonts w:hint="cs"/>
          <w:spacing w:val="0"/>
          <w:kern w:val="0"/>
          <w:rtl/>
        </w:rPr>
        <w:t>ا</w:t>
      </w:r>
      <w:r w:rsidRPr="00AA537D">
        <w:rPr>
          <w:spacing w:val="0"/>
          <w:kern w:val="0"/>
          <w:rtl/>
        </w:rPr>
        <w:t xml:space="preserve">لسيد خولتوراييف، انظر أعلاه)، </w:t>
      </w:r>
      <w:r w:rsidRPr="00AA537D">
        <w:rPr>
          <w:rFonts w:hint="cs"/>
          <w:spacing w:val="0"/>
          <w:kern w:val="0"/>
          <w:rtl/>
        </w:rPr>
        <w:t xml:space="preserve">حضر أفراد من دائرة الأمن القومي إلى منزل والديه للاستجواب. وقد </w:t>
      </w:r>
      <w:r w:rsidRPr="00AA537D">
        <w:rPr>
          <w:spacing w:val="0"/>
          <w:kern w:val="0"/>
          <w:rtl/>
        </w:rPr>
        <w:t>منحت</w:t>
      </w:r>
      <w:r w:rsidRPr="00AA537D">
        <w:rPr>
          <w:rFonts w:hint="cs"/>
          <w:spacing w:val="0"/>
          <w:kern w:val="0"/>
          <w:rtl/>
        </w:rPr>
        <w:t>ه</w:t>
      </w:r>
      <w:r w:rsidRPr="00AA537D">
        <w:rPr>
          <w:spacing w:val="0"/>
          <w:kern w:val="0"/>
          <w:rtl/>
        </w:rPr>
        <w:t xml:space="preserve"> </w:t>
      </w:r>
      <w:r w:rsidRPr="00AA537D">
        <w:rPr>
          <w:rFonts w:hint="cs"/>
          <w:spacing w:val="0"/>
          <w:kern w:val="0"/>
          <w:rtl/>
        </w:rPr>
        <w:t>مفوضية الأمم المتحدة السامية لشؤون اللاجئين</w:t>
      </w:r>
      <w:r w:rsidRPr="00AA537D">
        <w:rPr>
          <w:spacing w:val="0"/>
          <w:kern w:val="0"/>
          <w:rtl/>
        </w:rPr>
        <w:t xml:space="preserve"> </w:t>
      </w:r>
      <w:r w:rsidRPr="00AA537D">
        <w:rPr>
          <w:rFonts w:hint="cs"/>
          <w:spacing w:val="0"/>
          <w:kern w:val="0"/>
          <w:rtl/>
        </w:rPr>
        <w:t xml:space="preserve">في شباط/فبراير 2010 </w:t>
      </w:r>
      <w:r w:rsidRPr="00AA537D">
        <w:rPr>
          <w:spacing w:val="0"/>
          <w:kern w:val="0"/>
          <w:rtl/>
        </w:rPr>
        <w:t xml:space="preserve">مركز اللاجئ في كازاخستان. </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أويبيك كولدا</w:t>
      </w:r>
      <w:r w:rsidRPr="00AA537D">
        <w:rPr>
          <w:rFonts w:hint="cs"/>
          <w:spacing w:val="0"/>
          <w:kern w:val="0"/>
          <w:rtl/>
        </w:rPr>
        <w:t>ت</w:t>
      </w:r>
      <w:r w:rsidRPr="00AA537D">
        <w:rPr>
          <w:spacing w:val="0"/>
          <w:kern w:val="0"/>
          <w:rtl/>
        </w:rPr>
        <w:t xml:space="preserve">شيف </w:t>
      </w:r>
    </w:p>
    <w:p w:rsidR="00FA6676" w:rsidRPr="00AA537D" w:rsidRDefault="00FA6676" w:rsidP="00AA537D">
      <w:pPr>
        <w:pStyle w:val="SingleTxtGA"/>
        <w:jc w:val="lowKashida"/>
        <w:rPr>
          <w:rFonts w:hint="cs"/>
          <w:spacing w:val="0"/>
          <w:kern w:val="0"/>
          <w:rtl/>
        </w:rPr>
      </w:pPr>
      <w:r w:rsidRPr="00AA537D">
        <w:rPr>
          <w:rFonts w:hint="cs"/>
          <w:spacing w:val="0"/>
          <w:kern w:val="0"/>
          <w:rtl/>
        </w:rPr>
        <w:t>7-16</w:t>
      </w:r>
      <w:r w:rsidRPr="00AA537D">
        <w:rPr>
          <w:rFonts w:hint="cs"/>
          <w:spacing w:val="0"/>
          <w:kern w:val="0"/>
          <w:rtl/>
        </w:rPr>
        <w:tab/>
        <w:t xml:space="preserve">كان صاحب الشكوى يتردد بانتظام على </w:t>
      </w:r>
      <w:r w:rsidRPr="00AA537D">
        <w:rPr>
          <w:spacing w:val="0"/>
          <w:kern w:val="0"/>
          <w:rtl/>
        </w:rPr>
        <w:t xml:space="preserve">مسجد محلي. </w:t>
      </w:r>
      <w:r w:rsidRPr="00AA537D">
        <w:rPr>
          <w:rFonts w:hint="cs"/>
          <w:spacing w:val="0"/>
          <w:kern w:val="0"/>
          <w:rtl/>
        </w:rPr>
        <w:t>و</w:t>
      </w:r>
      <w:r w:rsidRPr="00AA537D">
        <w:rPr>
          <w:spacing w:val="0"/>
          <w:kern w:val="0"/>
          <w:rtl/>
        </w:rPr>
        <w:t xml:space="preserve">في نيسان/أبريل 2010، </w:t>
      </w:r>
      <w:r w:rsidRPr="00AA537D">
        <w:rPr>
          <w:rFonts w:hint="cs"/>
          <w:spacing w:val="0"/>
          <w:kern w:val="0"/>
          <w:rtl/>
        </w:rPr>
        <w:t xml:space="preserve">ألقي القبض على </w:t>
      </w:r>
      <w:r w:rsidRPr="00AA537D">
        <w:rPr>
          <w:spacing w:val="0"/>
          <w:kern w:val="0"/>
          <w:rtl/>
        </w:rPr>
        <w:t>اثنين من أصدقائه و</w:t>
      </w:r>
      <w:r w:rsidRPr="00AA537D">
        <w:rPr>
          <w:rFonts w:hint="cs"/>
          <w:spacing w:val="0"/>
          <w:kern w:val="0"/>
          <w:rtl/>
        </w:rPr>
        <w:t>حكم عليهما بعد ذلك بالسجن لمدة</w:t>
      </w:r>
      <w:r w:rsidRPr="00AA537D">
        <w:rPr>
          <w:spacing w:val="0"/>
          <w:kern w:val="0"/>
          <w:rtl/>
        </w:rPr>
        <w:t xml:space="preserve"> 9 </w:t>
      </w:r>
      <w:r w:rsidRPr="00AA537D">
        <w:rPr>
          <w:rFonts w:hint="cs"/>
          <w:spacing w:val="0"/>
          <w:kern w:val="0"/>
          <w:rtl/>
        </w:rPr>
        <w:t xml:space="preserve">سنوات </w:t>
      </w:r>
      <w:r w:rsidRPr="00AA537D">
        <w:rPr>
          <w:spacing w:val="0"/>
          <w:kern w:val="0"/>
          <w:rtl/>
        </w:rPr>
        <w:t xml:space="preserve">و20 سنة. </w:t>
      </w:r>
      <w:r w:rsidRPr="00AA537D">
        <w:rPr>
          <w:rFonts w:hint="cs"/>
          <w:spacing w:val="0"/>
          <w:kern w:val="0"/>
          <w:rtl/>
        </w:rPr>
        <w:t xml:space="preserve">وخوفاً </w:t>
      </w:r>
      <w:r w:rsidRPr="00AA537D">
        <w:rPr>
          <w:spacing w:val="0"/>
          <w:kern w:val="0"/>
          <w:rtl/>
        </w:rPr>
        <w:t xml:space="preserve">على حياته، غادر أوزبكستان </w:t>
      </w:r>
      <w:r w:rsidRPr="00AA537D">
        <w:rPr>
          <w:rFonts w:hint="cs"/>
          <w:spacing w:val="0"/>
          <w:kern w:val="0"/>
          <w:rtl/>
        </w:rPr>
        <w:t>ومنحته مفوضية الأمم المتحدة السامية لشؤون اللاجئين</w:t>
      </w:r>
      <w:r w:rsidRPr="00AA537D">
        <w:rPr>
          <w:spacing w:val="0"/>
          <w:kern w:val="0"/>
          <w:rtl/>
        </w:rPr>
        <w:t xml:space="preserve"> </w:t>
      </w:r>
      <w:r w:rsidRPr="00AA537D">
        <w:rPr>
          <w:rFonts w:hint="cs"/>
          <w:spacing w:val="0"/>
          <w:kern w:val="0"/>
          <w:rtl/>
        </w:rPr>
        <w:t xml:space="preserve">في 8 نيسان/أبريل </w:t>
      </w:r>
      <w:r w:rsidR="00171FB4">
        <w:rPr>
          <w:rFonts w:hint="cs"/>
          <w:spacing w:val="0"/>
          <w:kern w:val="0"/>
          <w:rtl/>
        </w:rPr>
        <w:t xml:space="preserve">2010 </w:t>
      </w:r>
      <w:r w:rsidRPr="00AA537D">
        <w:rPr>
          <w:spacing w:val="0"/>
          <w:kern w:val="0"/>
          <w:rtl/>
        </w:rPr>
        <w:t>مركز اللاجئ. و</w:t>
      </w:r>
      <w:r w:rsidRPr="00AA537D">
        <w:rPr>
          <w:rFonts w:hint="cs"/>
          <w:spacing w:val="0"/>
          <w:kern w:val="0"/>
          <w:rtl/>
        </w:rPr>
        <w:t xml:space="preserve">علم </w:t>
      </w:r>
      <w:r w:rsidRPr="00AA537D">
        <w:rPr>
          <w:spacing w:val="0"/>
          <w:kern w:val="0"/>
          <w:rtl/>
        </w:rPr>
        <w:t>أن</w:t>
      </w:r>
      <w:r w:rsidRPr="00AA537D">
        <w:rPr>
          <w:rFonts w:hint="cs"/>
          <w:spacing w:val="0"/>
          <w:kern w:val="0"/>
          <w:rtl/>
        </w:rPr>
        <w:t xml:space="preserve">ه تم القبض على </w:t>
      </w:r>
      <w:r w:rsidRPr="00AA537D">
        <w:rPr>
          <w:spacing w:val="0"/>
          <w:kern w:val="0"/>
          <w:rtl/>
        </w:rPr>
        <w:t>شقيقيه و</w:t>
      </w:r>
      <w:r w:rsidRPr="00AA537D">
        <w:rPr>
          <w:rFonts w:hint="cs"/>
          <w:spacing w:val="0"/>
          <w:kern w:val="0"/>
          <w:rtl/>
        </w:rPr>
        <w:t xml:space="preserve">أحد أصدقائه المقربين </w:t>
      </w:r>
      <w:r w:rsidRPr="00AA537D">
        <w:rPr>
          <w:spacing w:val="0"/>
          <w:kern w:val="0"/>
          <w:rtl/>
        </w:rPr>
        <w:t>أثناء غيابه</w:t>
      </w:r>
      <w:r w:rsidRPr="00AA537D">
        <w:rPr>
          <w:rFonts w:hint="cs"/>
          <w:spacing w:val="0"/>
          <w:kern w:val="0"/>
          <w:rtl/>
        </w:rPr>
        <w:t xml:space="preserve"> وسئلوا عن مكان وجوده، واعتُدي عليهم بال</w:t>
      </w:r>
      <w:r w:rsidRPr="00AA537D">
        <w:rPr>
          <w:spacing w:val="0"/>
          <w:kern w:val="0"/>
          <w:rtl/>
        </w:rPr>
        <w:t xml:space="preserve">ضرب </w:t>
      </w:r>
      <w:r w:rsidRPr="00AA537D">
        <w:rPr>
          <w:rFonts w:hint="cs"/>
          <w:spacing w:val="0"/>
          <w:kern w:val="0"/>
          <w:rtl/>
        </w:rPr>
        <w:t>ال</w:t>
      </w:r>
      <w:r w:rsidRPr="00AA537D">
        <w:rPr>
          <w:spacing w:val="0"/>
          <w:kern w:val="0"/>
          <w:rtl/>
        </w:rPr>
        <w:t>مبرح.</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ك</w:t>
      </w:r>
      <w:r w:rsidRPr="00AA537D">
        <w:rPr>
          <w:spacing w:val="0"/>
          <w:kern w:val="0"/>
          <w:rtl/>
        </w:rPr>
        <w:t>وبيلجون كوربانوف</w:t>
      </w:r>
    </w:p>
    <w:p w:rsidR="00FA6676" w:rsidRPr="00AA537D" w:rsidRDefault="00FA6676" w:rsidP="00AA537D">
      <w:pPr>
        <w:pStyle w:val="SingleTxtGA"/>
        <w:jc w:val="lowKashida"/>
        <w:rPr>
          <w:rFonts w:hint="cs"/>
          <w:spacing w:val="0"/>
          <w:kern w:val="0"/>
          <w:rtl/>
        </w:rPr>
      </w:pPr>
      <w:r w:rsidRPr="00AA537D">
        <w:rPr>
          <w:rFonts w:hint="cs"/>
          <w:spacing w:val="0"/>
          <w:kern w:val="0"/>
          <w:rtl/>
        </w:rPr>
        <w:t>7-17</w:t>
      </w:r>
      <w:r w:rsidRPr="00AA537D">
        <w:rPr>
          <w:rFonts w:hint="cs"/>
          <w:spacing w:val="0"/>
          <w:kern w:val="0"/>
          <w:rtl/>
        </w:rPr>
        <w:tab/>
        <w:t>بدأت مضايقة صا</w:t>
      </w:r>
      <w:r w:rsidRPr="00AA537D">
        <w:rPr>
          <w:spacing w:val="0"/>
          <w:kern w:val="0"/>
          <w:rtl/>
        </w:rPr>
        <w:t>حب الشكوى ب</w:t>
      </w:r>
      <w:r w:rsidRPr="00AA537D">
        <w:rPr>
          <w:rFonts w:hint="cs"/>
          <w:spacing w:val="0"/>
          <w:kern w:val="0"/>
          <w:rtl/>
        </w:rPr>
        <w:t>عد</w:t>
      </w:r>
      <w:r w:rsidRPr="00AA537D">
        <w:rPr>
          <w:spacing w:val="0"/>
          <w:kern w:val="0"/>
          <w:rtl/>
        </w:rPr>
        <w:t xml:space="preserve"> التفجيرات التي وقعت </w:t>
      </w:r>
      <w:r w:rsidRPr="00AA537D">
        <w:rPr>
          <w:rFonts w:hint="cs"/>
          <w:spacing w:val="0"/>
          <w:kern w:val="0"/>
          <w:rtl/>
        </w:rPr>
        <w:t xml:space="preserve">في </w:t>
      </w:r>
      <w:r w:rsidRPr="00AA537D">
        <w:rPr>
          <w:spacing w:val="0"/>
          <w:kern w:val="0"/>
          <w:rtl/>
        </w:rPr>
        <w:t>عام 1999 في</w:t>
      </w:r>
      <w:r w:rsidRPr="00AA537D">
        <w:rPr>
          <w:rFonts w:hint="cs"/>
          <w:spacing w:val="0"/>
          <w:kern w:val="0"/>
          <w:rtl/>
        </w:rPr>
        <w:t xml:space="preserve"> طشقند</w:t>
      </w:r>
      <w:r w:rsidRPr="00AA537D">
        <w:rPr>
          <w:spacing w:val="0"/>
          <w:kern w:val="0"/>
          <w:rtl/>
        </w:rPr>
        <w:t xml:space="preserve">. </w:t>
      </w:r>
      <w:r w:rsidRPr="00AA537D">
        <w:rPr>
          <w:rFonts w:hint="cs"/>
          <w:spacing w:val="0"/>
          <w:kern w:val="0"/>
          <w:rtl/>
        </w:rPr>
        <w:t>و</w:t>
      </w:r>
      <w:r w:rsidRPr="00AA537D">
        <w:rPr>
          <w:spacing w:val="0"/>
          <w:kern w:val="0"/>
          <w:rtl/>
        </w:rPr>
        <w:t>في عام 2001، أ</w:t>
      </w:r>
      <w:r w:rsidRPr="00AA537D">
        <w:rPr>
          <w:rFonts w:hint="cs"/>
          <w:spacing w:val="0"/>
          <w:kern w:val="0"/>
          <w:rtl/>
        </w:rPr>
        <w:t>تهم ب</w:t>
      </w:r>
      <w:r w:rsidRPr="00AA537D">
        <w:rPr>
          <w:spacing w:val="0"/>
          <w:kern w:val="0"/>
          <w:rtl/>
        </w:rPr>
        <w:t xml:space="preserve">توزيع منشورات </w:t>
      </w:r>
      <w:r w:rsidRPr="00AA537D">
        <w:rPr>
          <w:rFonts w:hint="cs"/>
          <w:spacing w:val="0"/>
          <w:kern w:val="0"/>
          <w:rtl/>
        </w:rPr>
        <w:t>ممنوعة</w:t>
      </w:r>
      <w:r w:rsidRPr="00AA537D">
        <w:rPr>
          <w:spacing w:val="0"/>
          <w:kern w:val="0"/>
          <w:rtl/>
        </w:rPr>
        <w:t xml:space="preserve"> </w:t>
      </w:r>
      <w:r w:rsidRPr="00AA537D">
        <w:rPr>
          <w:rFonts w:hint="cs"/>
          <w:spacing w:val="0"/>
          <w:kern w:val="0"/>
          <w:rtl/>
        </w:rPr>
        <w:t xml:space="preserve">دستها </w:t>
      </w:r>
      <w:r w:rsidRPr="00AA537D">
        <w:rPr>
          <w:spacing w:val="0"/>
          <w:kern w:val="0"/>
          <w:rtl/>
        </w:rPr>
        <w:t>الشرطة في حقيبته. وفي عام</w:t>
      </w:r>
      <w:r w:rsidRPr="00AA537D">
        <w:rPr>
          <w:rFonts w:hint="cs"/>
          <w:spacing w:val="0"/>
          <w:kern w:val="0"/>
          <w:rtl/>
        </w:rPr>
        <w:t> </w:t>
      </w:r>
      <w:r w:rsidRPr="00AA537D">
        <w:rPr>
          <w:spacing w:val="0"/>
          <w:kern w:val="0"/>
          <w:rtl/>
        </w:rPr>
        <w:t xml:space="preserve">2004، </w:t>
      </w:r>
      <w:r w:rsidRPr="00AA537D">
        <w:rPr>
          <w:rFonts w:hint="cs"/>
          <w:spacing w:val="0"/>
          <w:kern w:val="0"/>
          <w:rtl/>
        </w:rPr>
        <w:t xml:space="preserve">ألقي عليه القبض بتهمة </w:t>
      </w:r>
      <w:r w:rsidRPr="00AA537D">
        <w:rPr>
          <w:spacing w:val="0"/>
          <w:kern w:val="0"/>
          <w:rtl/>
        </w:rPr>
        <w:t>حياز</w:t>
      </w:r>
      <w:r w:rsidRPr="00AA537D">
        <w:rPr>
          <w:rFonts w:hint="cs"/>
          <w:spacing w:val="0"/>
          <w:kern w:val="0"/>
          <w:rtl/>
        </w:rPr>
        <w:t>ة سلاح بطريقة غير شرعية، في حين أن الشرطة هي التي أخفت هذا السلاح في منزله</w:t>
      </w:r>
      <w:r w:rsidRPr="00AA537D">
        <w:rPr>
          <w:spacing w:val="0"/>
          <w:kern w:val="0"/>
          <w:rtl/>
        </w:rPr>
        <w:t xml:space="preserve">. </w:t>
      </w:r>
      <w:r w:rsidRPr="00AA537D">
        <w:rPr>
          <w:rFonts w:hint="cs"/>
          <w:spacing w:val="0"/>
          <w:kern w:val="0"/>
          <w:rtl/>
        </w:rPr>
        <w:t>و</w:t>
      </w:r>
      <w:r w:rsidRPr="00AA537D">
        <w:rPr>
          <w:spacing w:val="0"/>
          <w:kern w:val="0"/>
          <w:rtl/>
        </w:rPr>
        <w:t>في عام 2009، احتجز</w:t>
      </w:r>
      <w:r w:rsidRPr="00AA537D">
        <w:rPr>
          <w:rFonts w:hint="cs"/>
          <w:spacing w:val="0"/>
          <w:kern w:val="0"/>
          <w:rtl/>
        </w:rPr>
        <w:t xml:space="preserve">ته الشرطة </w:t>
      </w:r>
      <w:r w:rsidRPr="00AA537D">
        <w:rPr>
          <w:spacing w:val="0"/>
          <w:kern w:val="0"/>
          <w:rtl/>
        </w:rPr>
        <w:t xml:space="preserve">لمدة سبعة أيام </w:t>
      </w:r>
      <w:r w:rsidRPr="00AA537D">
        <w:rPr>
          <w:rFonts w:hint="cs"/>
          <w:spacing w:val="0"/>
          <w:kern w:val="0"/>
          <w:rtl/>
        </w:rPr>
        <w:t xml:space="preserve">بصورة غير قانونية </w:t>
      </w:r>
      <w:r w:rsidRPr="00AA537D">
        <w:rPr>
          <w:spacing w:val="0"/>
          <w:kern w:val="0"/>
          <w:rtl/>
        </w:rPr>
        <w:t>و</w:t>
      </w:r>
      <w:r w:rsidRPr="00AA537D">
        <w:rPr>
          <w:rFonts w:hint="cs"/>
          <w:spacing w:val="0"/>
          <w:kern w:val="0"/>
          <w:rtl/>
        </w:rPr>
        <w:t>اعتدت عليه بال</w:t>
      </w:r>
      <w:r w:rsidRPr="00AA537D">
        <w:rPr>
          <w:spacing w:val="0"/>
          <w:kern w:val="0"/>
          <w:rtl/>
        </w:rPr>
        <w:t>ضرب المبرح</w:t>
      </w:r>
      <w:r w:rsidRPr="00AA537D">
        <w:rPr>
          <w:rFonts w:hint="cs"/>
          <w:spacing w:val="0"/>
          <w:kern w:val="0"/>
          <w:rtl/>
        </w:rPr>
        <w:t>.</w:t>
      </w:r>
      <w:r w:rsidRPr="00AA537D">
        <w:rPr>
          <w:spacing w:val="0"/>
          <w:kern w:val="0"/>
          <w:rtl/>
        </w:rPr>
        <w:t xml:space="preserve"> </w:t>
      </w:r>
      <w:r w:rsidRPr="00AA537D">
        <w:rPr>
          <w:rFonts w:hint="cs"/>
          <w:spacing w:val="0"/>
          <w:kern w:val="0"/>
          <w:rtl/>
        </w:rPr>
        <w:t>و</w:t>
      </w:r>
      <w:r w:rsidRPr="00AA537D">
        <w:rPr>
          <w:spacing w:val="0"/>
          <w:kern w:val="0"/>
          <w:rtl/>
        </w:rPr>
        <w:t>في 26</w:t>
      </w:r>
      <w:r w:rsidRPr="00AA537D">
        <w:rPr>
          <w:rFonts w:hint="cs"/>
          <w:spacing w:val="0"/>
          <w:kern w:val="0"/>
          <w:rtl/>
        </w:rPr>
        <w:t xml:space="preserve"> شباط/</w:t>
      </w:r>
      <w:r w:rsidRPr="00AA537D">
        <w:rPr>
          <w:spacing w:val="0"/>
          <w:kern w:val="0"/>
          <w:rtl/>
        </w:rPr>
        <w:t xml:space="preserve">فبراير 2010، </w:t>
      </w:r>
      <w:r w:rsidRPr="00AA537D">
        <w:rPr>
          <w:rFonts w:hint="cs"/>
          <w:spacing w:val="0"/>
          <w:kern w:val="0"/>
          <w:rtl/>
        </w:rPr>
        <w:t>طلب</w:t>
      </w:r>
      <w:r w:rsidRPr="00AA537D">
        <w:rPr>
          <w:spacing w:val="0"/>
          <w:kern w:val="0"/>
          <w:rtl/>
        </w:rPr>
        <w:t xml:space="preserve"> اللجوء </w:t>
      </w:r>
      <w:r w:rsidRPr="00AA537D">
        <w:rPr>
          <w:rFonts w:hint="cs"/>
          <w:spacing w:val="0"/>
          <w:kern w:val="0"/>
          <w:rtl/>
        </w:rPr>
        <w:t>إلى</w:t>
      </w:r>
      <w:r w:rsidRPr="00AA537D">
        <w:rPr>
          <w:spacing w:val="0"/>
          <w:kern w:val="0"/>
          <w:rtl/>
        </w:rPr>
        <w:t xml:space="preserve"> كازاخستان. </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بحر الدين نوريلاييف</w:t>
      </w:r>
      <w:r w:rsidRPr="00AA537D">
        <w:rPr>
          <w:rFonts w:hint="cs"/>
          <w:spacing w:val="0"/>
          <w:kern w:val="0"/>
          <w:rtl/>
        </w:rPr>
        <w:t xml:space="preserve"> و</w:t>
      </w:r>
      <w:r w:rsidRPr="00AA537D">
        <w:rPr>
          <w:spacing w:val="0"/>
          <w:kern w:val="0"/>
          <w:rtl/>
        </w:rPr>
        <w:t xml:space="preserve">باهتيور نوريلاييف </w:t>
      </w:r>
    </w:p>
    <w:p w:rsidR="00FA6676" w:rsidRPr="00AA537D" w:rsidRDefault="00FA6676" w:rsidP="00AA537D">
      <w:pPr>
        <w:pStyle w:val="SingleTxtGA"/>
        <w:jc w:val="lowKashida"/>
        <w:rPr>
          <w:rFonts w:hint="cs"/>
          <w:spacing w:val="0"/>
          <w:kern w:val="0"/>
          <w:rtl/>
        </w:rPr>
      </w:pPr>
      <w:r w:rsidRPr="00AA537D">
        <w:rPr>
          <w:rFonts w:hint="cs"/>
          <w:spacing w:val="0"/>
          <w:kern w:val="0"/>
          <w:rtl/>
        </w:rPr>
        <w:t>7-18</w:t>
      </w:r>
      <w:r w:rsidRPr="00AA537D">
        <w:rPr>
          <w:rFonts w:hint="cs"/>
          <w:spacing w:val="0"/>
          <w:kern w:val="0"/>
          <w:rtl/>
        </w:rPr>
        <w:tab/>
        <w:t xml:space="preserve">ألقي القبض على عدد كبير من أفراد أسرة صاحبي الشكوى </w:t>
      </w:r>
      <w:r w:rsidRPr="00AA537D">
        <w:rPr>
          <w:spacing w:val="0"/>
          <w:kern w:val="0"/>
          <w:rtl/>
        </w:rPr>
        <w:t>بسبب ممارس</w:t>
      </w:r>
      <w:r w:rsidRPr="00AA537D">
        <w:rPr>
          <w:rFonts w:hint="cs"/>
          <w:spacing w:val="0"/>
          <w:kern w:val="0"/>
          <w:rtl/>
        </w:rPr>
        <w:t xml:space="preserve">ة شعائرهم </w:t>
      </w:r>
      <w:r w:rsidRPr="00AA537D">
        <w:rPr>
          <w:spacing w:val="0"/>
          <w:kern w:val="0"/>
          <w:rtl/>
        </w:rPr>
        <w:t xml:space="preserve">الدينية. </w:t>
      </w:r>
      <w:r w:rsidRPr="00AA537D">
        <w:rPr>
          <w:rFonts w:hint="cs"/>
          <w:spacing w:val="0"/>
          <w:kern w:val="0"/>
          <w:rtl/>
        </w:rPr>
        <w:t xml:space="preserve">وتعرض </w:t>
      </w:r>
      <w:r w:rsidRPr="00AA537D">
        <w:rPr>
          <w:spacing w:val="0"/>
          <w:kern w:val="0"/>
          <w:rtl/>
        </w:rPr>
        <w:t xml:space="preserve">شقيقهما للتعذيب </w:t>
      </w:r>
      <w:r w:rsidRPr="00AA537D">
        <w:rPr>
          <w:rFonts w:hint="cs"/>
          <w:spacing w:val="0"/>
          <w:kern w:val="0"/>
          <w:rtl/>
        </w:rPr>
        <w:t xml:space="preserve">لمدة </w:t>
      </w:r>
      <w:r w:rsidRPr="00AA537D">
        <w:rPr>
          <w:spacing w:val="0"/>
          <w:kern w:val="0"/>
          <w:rtl/>
        </w:rPr>
        <w:t>خمسة أشهر وأجبر على التوقيع على اعترافات</w:t>
      </w:r>
      <w:r w:rsidRPr="00AA537D">
        <w:rPr>
          <w:rFonts w:hint="cs"/>
          <w:spacing w:val="0"/>
          <w:kern w:val="0"/>
          <w:rtl/>
        </w:rPr>
        <w:t xml:space="preserve"> </w:t>
      </w:r>
      <w:r w:rsidRPr="00AA537D">
        <w:rPr>
          <w:spacing w:val="0"/>
          <w:kern w:val="0"/>
          <w:rtl/>
        </w:rPr>
        <w:t xml:space="preserve">كاذبة. </w:t>
      </w:r>
      <w:r w:rsidRPr="00AA537D">
        <w:rPr>
          <w:rFonts w:hint="cs"/>
          <w:spacing w:val="0"/>
          <w:kern w:val="0"/>
          <w:rtl/>
        </w:rPr>
        <w:t xml:space="preserve">وتعرض </w:t>
      </w:r>
      <w:r w:rsidRPr="00AA537D">
        <w:rPr>
          <w:spacing w:val="0"/>
          <w:kern w:val="0"/>
          <w:rtl/>
        </w:rPr>
        <w:t xml:space="preserve">أربعة من </w:t>
      </w:r>
      <w:r w:rsidRPr="00AA537D">
        <w:rPr>
          <w:rFonts w:hint="cs"/>
          <w:spacing w:val="0"/>
          <w:kern w:val="0"/>
          <w:rtl/>
        </w:rPr>
        <w:t xml:space="preserve">أبناء أعمامهما </w:t>
      </w:r>
      <w:r w:rsidRPr="00AA537D">
        <w:rPr>
          <w:spacing w:val="0"/>
          <w:kern w:val="0"/>
          <w:rtl/>
        </w:rPr>
        <w:t>أيضاً للتعذيب وأجبروا على التوقيع على اعترافات</w:t>
      </w:r>
      <w:r w:rsidRPr="00AA537D">
        <w:rPr>
          <w:rFonts w:hint="cs"/>
          <w:spacing w:val="0"/>
          <w:kern w:val="0"/>
          <w:rtl/>
        </w:rPr>
        <w:t xml:space="preserve"> </w:t>
      </w:r>
      <w:r w:rsidRPr="00AA537D">
        <w:rPr>
          <w:spacing w:val="0"/>
          <w:kern w:val="0"/>
          <w:rtl/>
        </w:rPr>
        <w:t xml:space="preserve">تفيد بأنهم ينتمون إلى منظمات متطرفة. </w:t>
      </w:r>
      <w:r w:rsidRPr="00AA537D">
        <w:rPr>
          <w:rFonts w:hint="cs"/>
          <w:spacing w:val="0"/>
          <w:kern w:val="0"/>
          <w:rtl/>
        </w:rPr>
        <w:t xml:space="preserve">وخوفاً </w:t>
      </w:r>
      <w:r w:rsidRPr="00AA537D">
        <w:rPr>
          <w:spacing w:val="0"/>
          <w:kern w:val="0"/>
          <w:rtl/>
        </w:rPr>
        <w:t xml:space="preserve">من التعرض لنفس المعاملة، </w:t>
      </w:r>
      <w:r w:rsidRPr="00AA537D">
        <w:rPr>
          <w:rFonts w:hint="cs"/>
          <w:spacing w:val="0"/>
          <w:kern w:val="0"/>
          <w:rtl/>
        </w:rPr>
        <w:t xml:space="preserve">هربا </w:t>
      </w:r>
      <w:r w:rsidRPr="00AA537D">
        <w:rPr>
          <w:spacing w:val="0"/>
          <w:kern w:val="0"/>
          <w:rtl/>
        </w:rPr>
        <w:t>إلى كازاخستان</w:t>
      </w:r>
      <w:r w:rsidRPr="00AA537D">
        <w:rPr>
          <w:rFonts w:hint="cs"/>
          <w:spacing w:val="0"/>
          <w:kern w:val="0"/>
          <w:rtl/>
        </w:rPr>
        <w:t xml:space="preserve"> حيث م</w:t>
      </w:r>
      <w:r w:rsidRPr="00AA537D">
        <w:rPr>
          <w:spacing w:val="0"/>
          <w:kern w:val="0"/>
          <w:rtl/>
        </w:rPr>
        <w:t>نح</w:t>
      </w:r>
      <w:r w:rsidRPr="00AA537D">
        <w:rPr>
          <w:rFonts w:hint="cs"/>
          <w:spacing w:val="0"/>
          <w:kern w:val="0"/>
          <w:rtl/>
        </w:rPr>
        <w:t>ت</w:t>
      </w:r>
      <w:r w:rsidRPr="00AA537D">
        <w:rPr>
          <w:spacing w:val="0"/>
          <w:kern w:val="0"/>
          <w:rtl/>
        </w:rPr>
        <w:t>هم</w:t>
      </w:r>
      <w:r w:rsidRPr="00AA537D">
        <w:rPr>
          <w:rFonts w:hint="cs"/>
          <w:spacing w:val="0"/>
          <w:kern w:val="0"/>
          <w:rtl/>
        </w:rPr>
        <w:t>ا مفوضية الأمم المتحدة السامية لشؤون اللاجئين</w:t>
      </w:r>
      <w:r w:rsidRPr="00AA537D">
        <w:rPr>
          <w:spacing w:val="0"/>
          <w:kern w:val="0"/>
          <w:rtl/>
        </w:rPr>
        <w:t xml:space="preserve"> في تشرين الأول/أكتوبر وتشرين الثاني/نوفمبر</w:t>
      </w:r>
      <w:r w:rsidRPr="00AA537D">
        <w:rPr>
          <w:rFonts w:hint="cs"/>
          <w:spacing w:val="0"/>
          <w:kern w:val="0"/>
          <w:rtl/>
        </w:rPr>
        <w:t xml:space="preserve"> 2009 مركز اللاجئ. </w:t>
      </w:r>
    </w:p>
    <w:p w:rsidR="00FA6676" w:rsidRPr="00AA537D" w:rsidRDefault="008B1A43" w:rsidP="00AA537D">
      <w:pPr>
        <w:pStyle w:val="H4GA"/>
        <w:jc w:val="lowKashida"/>
        <w:rPr>
          <w:rFonts w:hint="cs"/>
          <w:spacing w:val="0"/>
          <w:kern w:val="0"/>
          <w:rtl/>
        </w:rPr>
      </w:pPr>
      <w:r>
        <w:rPr>
          <w:spacing w:val="0"/>
          <w:kern w:val="0"/>
          <w:rtl/>
        </w:rPr>
        <w:br w:type="page"/>
      </w:r>
      <w:r w:rsidR="00FA6676" w:rsidRPr="00AA537D">
        <w:rPr>
          <w:rFonts w:hint="cs"/>
          <w:spacing w:val="0"/>
          <w:kern w:val="0"/>
          <w:rtl/>
        </w:rPr>
        <w:tab/>
      </w:r>
      <w:r w:rsidR="00FA6676" w:rsidRPr="00AA537D">
        <w:rPr>
          <w:rFonts w:hint="cs"/>
          <w:spacing w:val="0"/>
          <w:kern w:val="0"/>
          <w:rtl/>
        </w:rPr>
        <w:tab/>
      </w:r>
      <w:r w:rsidR="00FA6676" w:rsidRPr="00AA537D">
        <w:rPr>
          <w:spacing w:val="0"/>
          <w:kern w:val="0"/>
          <w:rtl/>
        </w:rPr>
        <w:t>أولوغبيك أوستونوف</w:t>
      </w:r>
    </w:p>
    <w:p w:rsidR="00FA6676" w:rsidRPr="00AA537D" w:rsidRDefault="00FA6676" w:rsidP="008B1A43">
      <w:pPr>
        <w:pStyle w:val="SingleTxtGA"/>
        <w:jc w:val="lowKashida"/>
        <w:rPr>
          <w:rFonts w:hint="cs"/>
          <w:spacing w:val="0"/>
          <w:kern w:val="0"/>
          <w:rtl/>
        </w:rPr>
      </w:pPr>
      <w:r w:rsidRPr="00AA537D">
        <w:rPr>
          <w:rFonts w:hint="cs"/>
          <w:spacing w:val="0"/>
          <w:kern w:val="0"/>
          <w:rtl/>
        </w:rPr>
        <w:t>7-19</w:t>
      </w:r>
      <w:r w:rsidRPr="00AA537D">
        <w:rPr>
          <w:rFonts w:hint="cs"/>
          <w:spacing w:val="0"/>
          <w:kern w:val="0"/>
          <w:rtl/>
        </w:rPr>
        <w:tab/>
        <w:t>في ع</w:t>
      </w:r>
      <w:r w:rsidRPr="00AA537D">
        <w:rPr>
          <w:spacing w:val="0"/>
          <w:kern w:val="0"/>
          <w:rtl/>
        </w:rPr>
        <w:t>ام 1999، أصبح</w:t>
      </w:r>
      <w:r w:rsidRPr="00AA537D">
        <w:rPr>
          <w:rFonts w:hint="cs"/>
          <w:spacing w:val="0"/>
          <w:kern w:val="0"/>
          <w:rtl/>
        </w:rPr>
        <w:t xml:space="preserve"> صاحب الشكوى مسلماً </w:t>
      </w:r>
      <w:r w:rsidRPr="00AA537D">
        <w:rPr>
          <w:spacing w:val="0"/>
          <w:kern w:val="0"/>
          <w:rtl/>
        </w:rPr>
        <w:t>ممارس</w:t>
      </w:r>
      <w:r w:rsidRPr="00AA537D">
        <w:rPr>
          <w:rFonts w:hint="cs"/>
          <w:spacing w:val="0"/>
          <w:kern w:val="0"/>
          <w:rtl/>
        </w:rPr>
        <w:t xml:space="preserve">اً لشعائر ديانته </w:t>
      </w:r>
      <w:r w:rsidRPr="00AA537D">
        <w:rPr>
          <w:spacing w:val="0"/>
          <w:kern w:val="0"/>
          <w:rtl/>
        </w:rPr>
        <w:t xml:space="preserve">واستضاف </w:t>
      </w:r>
      <w:r w:rsidRPr="00AA537D">
        <w:rPr>
          <w:rFonts w:hint="cs"/>
          <w:spacing w:val="0"/>
          <w:kern w:val="0"/>
          <w:rtl/>
        </w:rPr>
        <w:t xml:space="preserve">حلقة </w:t>
      </w:r>
      <w:r w:rsidRPr="00AA537D">
        <w:rPr>
          <w:spacing w:val="0"/>
          <w:kern w:val="0"/>
          <w:rtl/>
        </w:rPr>
        <w:t xml:space="preserve">مناقشة </w:t>
      </w:r>
      <w:r w:rsidRPr="00AA537D">
        <w:rPr>
          <w:rFonts w:hint="cs"/>
          <w:spacing w:val="0"/>
          <w:kern w:val="0"/>
          <w:rtl/>
        </w:rPr>
        <w:t>بشأن ا</w:t>
      </w:r>
      <w:r w:rsidRPr="00AA537D">
        <w:rPr>
          <w:spacing w:val="0"/>
          <w:kern w:val="0"/>
          <w:rtl/>
        </w:rPr>
        <w:t xml:space="preserve">لإسلام في منزله. </w:t>
      </w:r>
      <w:r w:rsidRPr="00AA537D">
        <w:rPr>
          <w:rFonts w:hint="cs"/>
          <w:spacing w:val="0"/>
          <w:kern w:val="0"/>
          <w:rtl/>
        </w:rPr>
        <w:t>و</w:t>
      </w:r>
      <w:r w:rsidRPr="00AA537D">
        <w:rPr>
          <w:spacing w:val="0"/>
          <w:kern w:val="0"/>
          <w:rtl/>
        </w:rPr>
        <w:t xml:space="preserve">في آذار/مارس 2004، بعد التفجيرات التي وقعت في طشقند، </w:t>
      </w:r>
      <w:r w:rsidRPr="00AA537D">
        <w:rPr>
          <w:rFonts w:hint="cs"/>
          <w:spacing w:val="0"/>
          <w:kern w:val="0"/>
          <w:rtl/>
        </w:rPr>
        <w:t xml:space="preserve">حكم على </w:t>
      </w:r>
      <w:r w:rsidRPr="00AA537D">
        <w:rPr>
          <w:spacing w:val="0"/>
          <w:kern w:val="0"/>
          <w:rtl/>
        </w:rPr>
        <w:t xml:space="preserve">ثلاثة من </w:t>
      </w:r>
      <w:r w:rsidRPr="00AA537D">
        <w:rPr>
          <w:rFonts w:hint="cs"/>
          <w:spacing w:val="0"/>
          <w:kern w:val="0"/>
          <w:rtl/>
        </w:rPr>
        <w:t xml:space="preserve">الأشخاص الذين حضروا حلقة المناقشة بالسجن لمدة </w:t>
      </w:r>
      <w:r w:rsidRPr="00AA537D">
        <w:rPr>
          <w:spacing w:val="0"/>
          <w:kern w:val="0"/>
          <w:rtl/>
        </w:rPr>
        <w:t xml:space="preserve">16 و18 سنة. </w:t>
      </w:r>
      <w:r w:rsidRPr="00AA537D">
        <w:rPr>
          <w:rFonts w:hint="cs"/>
          <w:spacing w:val="0"/>
          <w:kern w:val="0"/>
          <w:rtl/>
        </w:rPr>
        <w:t xml:space="preserve">ووضع </w:t>
      </w:r>
      <w:r w:rsidRPr="00AA537D">
        <w:rPr>
          <w:spacing w:val="0"/>
          <w:kern w:val="0"/>
          <w:rtl/>
        </w:rPr>
        <w:t>صاحب الشكوى تحت المراقبة</w:t>
      </w:r>
      <w:r w:rsidRPr="00AA537D">
        <w:rPr>
          <w:rFonts w:hint="cs"/>
          <w:spacing w:val="0"/>
          <w:kern w:val="0"/>
          <w:rtl/>
        </w:rPr>
        <w:t xml:space="preserve">، </w:t>
      </w:r>
      <w:r w:rsidRPr="00AA537D">
        <w:rPr>
          <w:spacing w:val="0"/>
          <w:kern w:val="0"/>
          <w:rtl/>
        </w:rPr>
        <w:t>و</w:t>
      </w:r>
      <w:r w:rsidRPr="00AA537D">
        <w:rPr>
          <w:rFonts w:hint="cs"/>
          <w:spacing w:val="0"/>
          <w:kern w:val="0"/>
          <w:rtl/>
        </w:rPr>
        <w:t>تعرضت زوجته بانتظام للاستجواب والتعذيب على أيدي أفراد من دائرة الأمن القومي</w:t>
      </w:r>
      <w:r w:rsidRPr="00AA537D">
        <w:rPr>
          <w:spacing w:val="0"/>
          <w:kern w:val="0"/>
          <w:rtl/>
        </w:rPr>
        <w:t xml:space="preserve">. </w:t>
      </w:r>
      <w:r w:rsidRPr="00AA537D">
        <w:rPr>
          <w:rFonts w:hint="cs"/>
          <w:spacing w:val="0"/>
          <w:kern w:val="0"/>
          <w:rtl/>
        </w:rPr>
        <w:t>و</w:t>
      </w:r>
      <w:r w:rsidRPr="00AA537D">
        <w:rPr>
          <w:spacing w:val="0"/>
          <w:kern w:val="0"/>
          <w:rtl/>
        </w:rPr>
        <w:t>خوفاً على سلامته، ذهب إلى روسيا ثم</w:t>
      </w:r>
      <w:r w:rsidR="008B1A43">
        <w:rPr>
          <w:rFonts w:hint="cs"/>
          <w:spacing w:val="0"/>
          <w:kern w:val="0"/>
          <w:rtl/>
        </w:rPr>
        <w:t> </w:t>
      </w:r>
      <w:r w:rsidRPr="00AA537D">
        <w:rPr>
          <w:spacing w:val="0"/>
          <w:kern w:val="0"/>
          <w:rtl/>
        </w:rPr>
        <w:t xml:space="preserve">إلى كازاخستان في تشرين الأول/أكتوبر 2008. </w:t>
      </w:r>
      <w:r w:rsidRPr="00AA537D">
        <w:rPr>
          <w:rFonts w:hint="cs"/>
          <w:spacing w:val="0"/>
          <w:kern w:val="0"/>
          <w:rtl/>
        </w:rPr>
        <w:t>و</w:t>
      </w:r>
      <w:r w:rsidRPr="00AA537D">
        <w:rPr>
          <w:spacing w:val="0"/>
          <w:kern w:val="0"/>
          <w:rtl/>
        </w:rPr>
        <w:t>أ</w:t>
      </w:r>
      <w:r w:rsidRPr="00AA537D">
        <w:rPr>
          <w:rFonts w:hint="cs"/>
          <w:spacing w:val="0"/>
          <w:kern w:val="0"/>
          <w:rtl/>
        </w:rPr>
        <w:t>ُ</w:t>
      </w:r>
      <w:r w:rsidRPr="00AA537D">
        <w:rPr>
          <w:spacing w:val="0"/>
          <w:kern w:val="0"/>
          <w:rtl/>
        </w:rPr>
        <w:t xml:space="preserve">بلغ بأن </w:t>
      </w:r>
      <w:r w:rsidRPr="00AA537D">
        <w:rPr>
          <w:rFonts w:hint="cs"/>
          <w:spacing w:val="0"/>
          <w:kern w:val="0"/>
          <w:rtl/>
        </w:rPr>
        <w:t>شقيقه كان بالحبس الانفرادي مدة ثلاثة أشهر وأنه كان يتعرض</w:t>
      </w:r>
      <w:r w:rsidRPr="00AA537D">
        <w:rPr>
          <w:spacing w:val="0"/>
          <w:kern w:val="0"/>
          <w:rtl/>
        </w:rPr>
        <w:t xml:space="preserve"> خلال </w:t>
      </w:r>
      <w:r w:rsidRPr="00AA537D">
        <w:rPr>
          <w:rFonts w:hint="cs"/>
          <w:spacing w:val="0"/>
          <w:kern w:val="0"/>
          <w:rtl/>
        </w:rPr>
        <w:t xml:space="preserve">هذه المدة </w:t>
      </w:r>
      <w:r w:rsidRPr="00AA537D">
        <w:rPr>
          <w:spacing w:val="0"/>
          <w:kern w:val="0"/>
          <w:rtl/>
        </w:rPr>
        <w:t>للتعذيب</w:t>
      </w:r>
      <w:r w:rsidRPr="00AA537D">
        <w:rPr>
          <w:rFonts w:hint="cs"/>
          <w:spacing w:val="0"/>
          <w:kern w:val="0"/>
          <w:rtl/>
        </w:rPr>
        <w:t>، كما أبلغ ب</w:t>
      </w:r>
      <w:r w:rsidRPr="00AA537D">
        <w:rPr>
          <w:spacing w:val="0"/>
          <w:kern w:val="0"/>
          <w:rtl/>
        </w:rPr>
        <w:t>أن</w:t>
      </w:r>
      <w:r w:rsidRPr="00AA537D">
        <w:rPr>
          <w:rFonts w:hint="cs"/>
          <w:spacing w:val="0"/>
          <w:kern w:val="0"/>
          <w:rtl/>
        </w:rPr>
        <w:t>ه</w:t>
      </w:r>
      <w:r w:rsidRPr="00AA537D">
        <w:rPr>
          <w:spacing w:val="0"/>
          <w:kern w:val="0"/>
          <w:rtl/>
        </w:rPr>
        <w:t xml:space="preserve"> س</w:t>
      </w:r>
      <w:r w:rsidRPr="00AA537D">
        <w:rPr>
          <w:rFonts w:hint="cs"/>
          <w:spacing w:val="0"/>
          <w:kern w:val="0"/>
          <w:rtl/>
        </w:rPr>
        <w:t>ي</w:t>
      </w:r>
      <w:r w:rsidRPr="00AA537D">
        <w:rPr>
          <w:spacing w:val="0"/>
          <w:kern w:val="0"/>
          <w:rtl/>
        </w:rPr>
        <w:t>خل</w:t>
      </w:r>
      <w:r w:rsidRPr="00AA537D">
        <w:rPr>
          <w:rFonts w:hint="cs"/>
          <w:spacing w:val="0"/>
          <w:kern w:val="0"/>
          <w:rtl/>
        </w:rPr>
        <w:t>ى</w:t>
      </w:r>
      <w:r w:rsidRPr="00AA537D">
        <w:rPr>
          <w:spacing w:val="0"/>
          <w:kern w:val="0"/>
          <w:rtl/>
        </w:rPr>
        <w:t xml:space="preserve"> سبيل </w:t>
      </w:r>
      <w:r w:rsidRPr="00AA537D">
        <w:rPr>
          <w:rFonts w:hint="cs"/>
          <w:spacing w:val="0"/>
          <w:kern w:val="0"/>
          <w:rtl/>
        </w:rPr>
        <w:t>شقيقه إ</w:t>
      </w:r>
      <w:r w:rsidRPr="00AA537D">
        <w:rPr>
          <w:spacing w:val="0"/>
          <w:kern w:val="0"/>
          <w:rtl/>
        </w:rPr>
        <w:t xml:space="preserve">ذا </w:t>
      </w:r>
      <w:r w:rsidRPr="00AA537D">
        <w:rPr>
          <w:rFonts w:hint="cs"/>
          <w:spacing w:val="0"/>
          <w:kern w:val="0"/>
          <w:rtl/>
        </w:rPr>
        <w:t>عاد</w:t>
      </w:r>
      <w:r w:rsidRPr="00AA537D">
        <w:rPr>
          <w:spacing w:val="0"/>
          <w:kern w:val="0"/>
          <w:rtl/>
        </w:rPr>
        <w:t xml:space="preserve"> إلى أوزبكستان. </w:t>
      </w:r>
      <w:r w:rsidRPr="00AA537D">
        <w:rPr>
          <w:rFonts w:hint="cs"/>
          <w:spacing w:val="0"/>
          <w:kern w:val="0"/>
          <w:rtl/>
        </w:rPr>
        <w:t xml:space="preserve">وفي </w:t>
      </w:r>
      <w:r w:rsidRPr="00AA537D">
        <w:rPr>
          <w:spacing w:val="0"/>
          <w:kern w:val="0"/>
          <w:rtl/>
        </w:rPr>
        <w:t xml:space="preserve">13 </w:t>
      </w:r>
      <w:r w:rsidRPr="00AA537D">
        <w:rPr>
          <w:rFonts w:hint="cs"/>
          <w:spacing w:val="0"/>
          <w:kern w:val="0"/>
          <w:rtl/>
        </w:rPr>
        <w:t>كانون الثاني/</w:t>
      </w:r>
      <w:r w:rsidRPr="00AA537D">
        <w:rPr>
          <w:spacing w:val="0"/>
          <w:kern w:val="0"/>
          <w:rtl/>
        </w:rPr>
        <w:t xml:space="preserve">يناير 2010، </w:t>
      </w:r>
      <w:r w:rsidRPr="00AA537D">
        <w:rPr>
          <w:rFonts w:hint="cs"/>
          <w:spacing w:val="0"/>
          <w:kern w:val="0"/>
          <w:rtl/>
        </w:rPr>
        <w:t>منحته مفوضية الأمم المتحدة السامية لشؤون اللاجئين</w:t>
      </w:r>
      <w:r w:rsidRPr="00AA537D">
        <w:rPr>
          <w:spacing w:val="0"/>
          <w:kern w:val="0"/>
          <w:rtl/>
        </w:rPr>
        <w:t xml:space="preserve"> مركز اللاجئ في كازاخستان</w:t>
      </w:r>
      <w:r w:rsidRPr="00AA537D">
        <w:rPr>
          <w:rFonts w:hint="cs"/>
          <w:spacing w:val="0"/>
          <w:kern w:val="0"/>
          <w:rtl/>
        </w:rPr>
        <w:t>.</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إيزوبك بارداييف</w:t>
      </w:r>
    </w:p>
    <w:p w:rsidR="00FA6676" w:rsidRPr="00AA537D" w:rsidRDefault="00FA6676" w:rsidP="008B1A43">
      <w:pPr>
        <w:pStyle w:val="SingleTxtGA"/>
        <w:jc w:val="lowKashida"/>
        <w:rPr>
          <w:rFonts w:hint="cs"/>
          <w:spacing w:val="0"/>
          <w:kern w:val="0"/>
          <w:rtl/>
        </w:rPr>
      </w:pPr>
      <w:r w:rsidRPr="00AA537D">
        <w:rPr>
          <w:rFonts w:hint="cs"/>
          <w:spacing w:val="0"/>
          <w:kern w:val="0"/>
          <w:rtl/>
        </w:rPr>
        <w:t>7-20</w:t>
      </w:r>
      <w:r w:rsidRPr="00AA537D">
        <w:rPr>
          <w:rFonts w:hint="cs"/>
          <w:spacing w:val="0"/>
          <w:kern w:val="0"/>
          <w:rtl/>
        </w:rPr>
        <w:tab/>
        <w:t xml:space="preserve">في </w:t>
      </w:r>
      <w:r w:rsidRPr="00AA537D">
        <w:rPr>
          <w:spacing w:val="0"/>
          <w:kern w:val="0"/>
          <w:rtl/>
        </w:rPr>
        <w:t xml:space="preserve">عام 2006، </w:t>
      </w:r>
      <w:r w:rsidRPr="00AA537D">
        <w:rPr>
          <w:rFonts w:hint="cs"/>
          <w:spacing w:val="0"/>
          <w:kern w:val="0"/>
          <w:rtl/>
        </w:rPr>
        <w:t xml:space="preserve">بدأ صاحب الشكوى في الالتزام بشعائر الإسلام </w:t>
      </w:r>
      <w:r w:rsidRPr="00AA537D">
        <w:rPr>
          <w:spacing w:val="0"/>
          <w:kern w:val="0"/>
          <w:rtl/>
        </w:rPr>
        <w:t>و</w:t>
      </w:r>
      <w:r w:rsidRPr="00AA537D">
        <w:rPr>
          <w:rFonts w:hint="cs"/>
          <w:spacing w:val="0"/>
          <w:kern w:val="0"/>
          <w:rtl/>
        </w:rPr>
        <w:t xml:space="preserve">تزوج في </w:t>
      </w:r>
      <w:r w:rsidRPr="00AA537D">
        <w:rPr>
          <w:spacing w:val="0"/>
          <w:kern w:val="0"/>
          <w:rtl/>
        </w:rPr>
        <w:t>عام</w:t>
      </w:r>
      <w:r w:rsidR="008B1A43">
        <w:rPr>
          <w:rFonts w:hint="cs"/>
          <w:spacing w:val="0"/>
          <w:kern w:val="0"/>
          <w:rtl/>
        </w:rPr>
        <w:t> </w:t>
      </w:r>
      <w:r w:rsidRPr="00AA537D">
        <w:rPr>
          <w:spacing w:val="0"/>
          <w:kern w:val="0"/>
          <w:rtl/>
        </w:rPr>
        <w:t>2009</w:t>
      </w:r>
      <w:r w:rsidRPr="00AA537D">
        <w:rPr>
          <w:rFonts w:hint="cs"/>
          <w:spacing w:val="0"/>
          <w:kern w:val="0"/>
          <w:rtl/>
        </w:rPr>
        <w:t xml:space="preserve"> زواجا</w:t>
      </w:r>
      <w:r w:rsidR="00171FB4">
        <w:rPr>
          <w:rFonts w:hint="cs"/>
          <w:spacing w:val="0"/>
          <w:kern w:val="0"/>
          <w:rtl/>
        </w:rPr>
        <w:t>ً</w:t>
      </w:r>
      <w:r w:rsidRPr="00AA537D">
        <w:rPr>
          <w:rFonts w:hint="cs"/>
          <w:spacing w:val="0"/>
          <w:kern w:val="0"/>
          <w:rtl/>
        </w:rPr>
        <w:t xml:space="preserve"> دينيا</w:t>
      </w:r>
      <w:r w:rsidR="00171FB4">
        <w:rPr>
          <w:rFonts w:hint="cs"/>
          <w:spacing w:val="0"/>
          <w:kern w:val="0"/>
          <w:rtl/>
        </w:rPr>
        <w:t>ً</w:t>
      </w:r>
      <w:r w:rsidRPr="00AA537D">
        <w:rPr>
          <w:rFonts w:hint="cs"/>
          <w:spacing w:val="0"/>
          <w:kern w:val="0"/>
          <w:rtl/>
        </w:rPr>
        <w:t>،</w:t>
      </w:r>
      <w:r w:rsidRPr="00AA537D">
        <w:rPr>
          <w:spacing w:val="0"/>
          <w:kern w:val="0"/>
          <w:rtl/>
        </w:rPr>
        <w:t xml:space="preserve"> </w:t>
      </w:r>
      <w:r w:rsidRPr="00AA537D">
        <w:rPr>
          <w:rFonts w:hint="cs"/>
          <w:spacing w:val="0"/>
          <w:kern w:val="0"/>
          <w:rtl/>
        </w:rPr>
        <w:t>وتبعا</w:t>
      </w:r>
      <w:r w:rsidR="00171FB4">
        <w:rPr>
          <w:rFonts w:hint="cs"/>
          <w:spacing w:val="0"/>
          <w:kern w:val="0"/>
          <w:rtl/>
        </w:rPr>
        <w:t>ً</w:t>
      </w:r>
      <w:r w:rsidRPr="00AA537D">
        <w:rPr>
          <w:rFonts w:hint="cs"/>
          <w:spacing w:val="0"/>
          <w:kern w:val="0"/>
          <w:rtl/>
        </w:rPr>
        <w:t xml:space="preserve"> لذلك وضع </w:t>
      </w:r>
      <w:r w:rsidRPr="00AA537D">
        <w:rPr>
          <w:spacing w:val="0"/>
          <w:kern w:val="0"/>
          <w:rtl/>
        </w:rPr>
        <w:t xml:space="preserve">تحت المراقبة </w:t>
      </w:r>
      <w:r w:rsidRPr="00AA537D">
        <w:rPr>
          <w:rFonts w:hint="cs"/>
          <w:spacing w:val="0"/>
          <w:kern w:val="0"/>
          <w:rtl/>
        </w:rPr>
        <w:t>بوصفه من ال</w:t>
      </w:r>
      <w:r w:rsidRPr="00AA537D">
        <w:rPr>
          <w:spacing w:val="0"/>
          <w:kern w:val="0"/>
          <w:rtl/>
        </w:rPr>
        <w:t xml:space="preserve">متطرفين المحتملين. </w:t>
      </w:r>
      <w:r w:rsidRPr="00AA537D">
        <w:rPr>
          <w:rFonts w:hint="cs"/>
          <w:spacing w:val="0"/>
          <w:kern w:val="0"/>
          <w:rtl/>
        </w:rPr>
        <w:t>و</w:t>
      </w:r>
      <w:r w:rsidRPr="00AA537D">
        <w:rPr>
          <w:spacing w:val="0"/>
          <w:kern w:val="0"/>
          <w:rtl/>
        </w:rPr>
        <w:t>في</w:t>
      </w:r>
      <w:r w:rsidR="008B1A43">
        <w:rPr>
          <w:rFonts w:hint="cs"/>
          <w:spacing w:val="0"/>
          <w:kern w:val="0"/>
          <w:rtl/>
        </w:rPr>
        <w:t> </w:t>
      </w:r>
      <w:r w:rsidRPr="00AA537D">
        <w:rPr>
          <w:spacing w:val="0"/>
          <w:kern w:val="0"/>
          <w:rtl/>
        </w:rPr>
        <w:t xml:space="preserve">نيسان/أبريل 2010، </w:t>
      </w:r>
      <w:r w:rsidRPr="00AA537D">
        <w:rPr>
          <w:rFonts w:hint="cs"/>
          <w:spacing w:val="0"/>
          <w:kern w:val="0"/>
          <w:rtl/>
        </w:rPr>
        <w:t xml:space="preserve">ألقي القبض على اثنين </w:t>
      </w:r>
      <w:r w:rsidRPr="00AA537D">
        <w:rPr>
          <w:spacing w:val="0"/>
          <w:kern w:val="0"/>
          <w:rtl/>
        </w:rPr>
        <w:t xml:space="preserve">من أصدقائه </w:t>
      </w:r>
      <w:r w:rsidRPr="00AA537D">
        <w:rPr>
          <w:rFonts w:hint="cs"/>
          <w:spacing w:val="0"/>
          <w:kern w:val="0"/>
          <w:rtl/>
        </w:rPr>
        <w:t xml:space="preserve">الذين يترددون على </w:t>
      </w:r>
      <w:r w:rsidRPr="00AA537D">
        <w:rPr>
          <w:spacing w:val="0"/>
          <w:kern w:val="0"/>
          <w:rtl/>
        </w:rPr>
        <w:t xml:space="preserve">المسجد </w:t>
      </w:r>
      <w:r w:rsidRPr="00AA537D">
        <w:rPr>
          <w:rFonts w:hint="cs"/>
          <w:spacing w:val="0"/>
          <w:kern w:val="0"/>
          <w:rtl/>
        </w:rPr>
        <w:t>الذي اعتاد على الذهاب إليه، و</w:t>
      </w:r>
      <w:r w:rsidRPr="00AA537D">
        <w:rPr>
          <w:spacing w:val="0"/>
          <w:kern w:val="0"/>
          <w:rtl/>
        </w:rPr>
        <w:t xml:space="preserve">غادر صاحب الشكوى كازاخستان، </w:t>
      </w:r>
      <w:r w:rsidRPr="00AA537D">
        <w:rPr>
          <w:rFonts w:hint="cs"/>
          <w:spacing w:val="0"/>
          <w:kern w:val="0"/>
          <w:rtl/>
        </w:rPr>
        <w:t>و</w:t>
      </w:r>
      <w:r w:rsidRPr="00AA537D">
        <w:rPr>
          <w:spacing w:val="0"/>
          <w:kern w:val="0"/>
          <w:rtl/>
        </w:rPr>
        <w:t>منح</w:t>
      </w:r>
      <w:r w:rsidRPr="00AA537D">
        <w:rPr>
          <w:rFonts w:hint="cs"/>
          <w:spacing w:val="0"/>
          <w:kern w:val="0"/>
          <w:rtl/>
        </w:rPr>
        <w:t>ته مفوضية الأمم المتحدة السامية لشؤون اللاجئين</w:t>
      </w:r>
      <w:r w:rsidRPr="00AA537D">
        <w:rPr>
          <w:spacing w:val="0"/>
          <w:kern w:val="0"/>
          <w:rtl/>
        </w:rPr>
        <w:t xml:space="preserve"> في أيار/مايو 2010 مركز اللاجئ في كازاخستان</w:t>
      </w:r>
      <w:r w:rsidRPr="00AA537D">
        <w:rPr>
          <w:rFonts w:hint="cs"/>
          <w:spacing w:val="0"/>
          <w:kern w:val="0"/>
          <w:rtl/>
        </w:rPr>
        <w:t>.</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 xml:space="preserve">أويبيك بولاتوف </w:t>
      </w:r>
    </w:p>
    <w:p w:rsidR="00FA6676" w:rsidRPr="007C1D2D" w:rsidRDefault="00FA6676" w:rsidP="007C1D2D">
      <w:pPr>
        <w:pStyle w:val="SingleTxtGA"/>
        <w:jc w:val="lowKashida"/>
        <w:rPr>
          <w:rFonts w:hint="cs"/>
          <w:spacing w:val="-2"/>
          <w:kern w:val="0"/>
          <w:rtl/>
        </w:rPr>
      </w:pPr>
      <w:r w:rsidRPr="007C1D2D">
        <w:rPr>
          <w:rFonts w:hint="cs"/>
          <w:spacing w:val="-2"/>
          <w:kern w:val="0"/>
          <w:rtl/>
        </w:rPr>
        <w:t>7-21</w:t>
      </w:r>
      <w:r w:rsidRPr="007C1D2D">
        <w:rPr>
          <w:rFonts w:hint="cs"/>
          <w:spacing w:val="-2"/>
          <w:kern w:val="0"/>
          <w:rtl/>
        </w:rPr>
        <w:tab/>
        <w:t xml:space="preserve">في عام 2009، ألقي القبض على بعض </w:t>
      </w:r>
      <w:r w:rsidRPr="007C1D2D">
        <w:rPr>
          <w:spacing w:val="-2"/>
          <w:kern w:val="0"/>
          <w:rtl/>
        </w:rPr>
        <w:t>أصدقاء صاحب الشكوى</w:t>
      </w:r>
      <w:r w:rsidRPr="007C1D2D">
        <w:rPr>
          <w:rFonts w:hint="cs"/>
          <w:spacing w:val="-2"/>
          <w:kern w:val="0"/>
          <w:rtl/>
        </w:rPr>
        <w:t xml:space="preserve"> ممن كانوا يحضرون معه في المسجد ووضع منزل وحانوت </w:t>
      </w:r>
      <w:r w:rsidRPr="007C1D2D">
        <w:rPr>
          <w:spacing w:val="-2"/>
          <w:kern w:val="0"/>
          <w:rtl/>
        </w:rPr>
        <w:t xml:space="preserve">صاحب الشكوى تحت المراقبة. </w:t>
      </w:r>
      <w:r w:rsidRPr="007C1D2D">
        <w:rPr>
          <w:rFonts w:hint="cs"/>
          <w:spacing w:val="-2"/>
          <w:kern w:val="0"/>
          <w:rtl/>
        </w:rPr>
        <w:t>و</w:t>
      </w:r>
      <w:r w:rsidRPr="007C1D2D">
        <w:rPr>
          <w:spacing w:val="-2"/>
          <w:kern w:val="0"/>
          <w:rtl/>
        </w:rPr>
        <w:t>في نيسان/</w:t>
      </w:r>
      <w:r w:rsidR="007C1D2D">
        <w:rPr>
          <w:rFonts w:hint="cs"/>
          <w:spacing w:val="-2"/>
          <w:kern w:val="0"/>
          <w:rtl/>
        </w:rPr>
        <w:t xml:space="preserve"> </w:t>
      </w:r>
      <w:r w:rsidRPr="007C1D2D">
        <w:rPr>
          <w:spacing w:val="-2"/>
          <w:kern w:val="0"/>
          <w:rtl/>
        </w:rPr>
        <w:t>أبريل</w:t>
      </w:r>
      <w:r w:rsidR="007C1D2D">
        <w:rPr>
          <w:rFonts w:hint="cs"/>
          <w:spacing w:val="-2"/>
          <w:kern w:val="0"/>
          <w:rtl/>
        </w:rPr>
        <w:t> </w:t>
      </w:r>
      <w:r w:rsidRPr="007C1D2D">
        <w:rPr>
          <w:spacing w:val="-2"/>
          <w:kern w:val="0"/>
          <w:rtl/>
        </w:rPr>
        <w:t xml:space="preserve">2010، </w:t>
      </w:r>
      <w:r w:rsidRPr="007C1D2D">
        <w:rPr>
          <w:rFonts w:hint="cs"/>
          <w:spacing w:val="-2"/>
          <w:kern w:val="0"/>
          <w:rtl/>
        </w:rPr>
        <w:t xml:space="preserve">ألقي القبض على </w:t>
      </w:r>
      <w:r w:rsidRPr="007C1D2D">
        <w:rPr>
          <w:spacing w:val="-2"/>
          <w:kern w:val="0"/>
          <w:rtl/>
        </w:rPr>
        <w:t xml:space="preserve">صديق حميم </w:t>
      </w:r>
      <w:r w:rsidRPr="007C1D2D">
        <w:rPr>
          <w:rFonts w:hint="cs"/>
          <w:spacing w:val="-2"/>
          <w:kern w:val="0"/>
          <w:rtl/>
        </w:rPr>
        <w:t>له ووضع هذا الصديق با</w:t>
      </w:r>
      <w:r w:rsidRPr="007C1D2D">
        <w:rPr>
          <w:spacing w:val="-2"/>
          <w:kern w:val="0"/>
          <w:rtl/>
        </w:rPr>
        <w:t xml:space="preserve">لحبس الانفرادي لمدة خمسة أشهر </w:t>
      </w:r>
      <w:r w:rsidRPr="007C1D2D">
        <w:rPr>
          <w:rFonts w:hint="cs"/>
          <w:spacing w:val="-2"/>
          <w:kern w:val="0"/>
          <w:rtl/>
        </w:rPr>
        <w:t>وتم تعذيبه بشدة</w:t>
      </w:r>
      <w:r w:rsidRPr="007C1D2D">
        <w:rPr>
          <w:spacing w:val="-2"/>
          <w:kern w:val="0"/>
          <w:rtl/>
        </w:rPr>
        <w:t xml:space="preserve">. </w:t>
      </w:r>
      <w:r w:rsidRPr="007C1D2D">
        <w:rPr>
          <w:rFonts w:hint="cs"/>
          <w:spacing w:val="-2"/>
          <w:kern w:val="0"/>
          <w:rtl/>
        </w:rPr>
        <w:t xml:space="preserve">ولشعوره </w:t>
      </w:r>
      <w:r w:rsidRPr="007C1D2D">
        <w:rPr>
          <w:spacing w:val="-2"/>
          <w:kern w:val="0"/>
          <w:rtl/>
        </w:rPr>
        <w:t xml:space="preserve">بالقلق </w:t>
      </w:r>
      <w:r w:rsidRPr="007C1D2D">
        <w:rPr>
          <w:rFonts w:hint="cs"/>
          <w:spacing w:val="-2"/>
          <w:kern w:val="0"/>
          <w:rtl/>
        </w:rPr>
        <w:t xml:space="preserve">نتيجة لهذه </w:t>
      </w:r>
      <w:r w:rsidRPr="007C1D2D">
        <w:rPr>
          <w:spacing w:val="-2"/>
          <w:kern w:val="0"/>
          <w:rtl/>
        </w:rPr>
        <w:t xml:space="preserve">الاعتقالات، </w:t>
      </w:r>
      <w:r w:rsidRPr="007C1D2D">
        <w:rPr>
          <w:rFonts w:hint="cs"/>
          <w:spacing w:val="-2"/>
          <w:kern w:val="0"/>
          <w:rtl/>
        </w:rPr>
        <w:t xml:space="preserve">ذهب إلى </w:t>
      </w:r>
      <w:r w:rsidRPr="007C1D2D">
        <w:rPr>
          <w:spacing w:val="-2"/>
          <w:kern w:val="0"/>
          <w:rtl/>
        </w:rPr>
        <w:t>كازاخستان.</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أوكتام رحماتوف</w:t>
      </w:r>
    </w:p>
    <w:p w:rsidR="00FA6676" w:rsidRPr="00AA537D" w:rsidRDefault="00FA6676" w:rsidP="00AA537D">
      <w:pPr>
        <w:pStyle w:val="SingleTxtGA"/>
        <w:jc w:val="lowKashida"/>
        <w:rPr>
          <w:rFonts w:hint="cs"/>
          <w:spacing w:val="0"/>
          <w:kern w:val="0"/>
          <w:rtl/>
        </w:rPr>
      </w:pPr>
      <w:r w:rsidRPr="00AA537D">
        <w:rPr>
          <w:rFonts w:hint="cs"/>
          <w:spacing w:val="0"/>
          <w:kern w:val="0"/>
          <w:rtl/>
        </w:rPr>
        <w:t>7-22</w:t>
      </w:r>
      <w:r w:rsidRPr="00AA537D">
        <w:rPr>
          <w:rFonts w:hint="cs"/>
          <w:spacing w:val="0"/>
          <w:kern w:val="0"/>
          <w:rtl/>
        </w:rPr>
        <w:tab/>
        <w:t xml:space="preserve">كان صاحب الشكوى يجتمع مع </w:t>
      </w:r>
      <w:r w:rsidRPr="00AA537D">
        <w:rPr>
          <w:spacing w:val="0"/>
          <w:kern w:val="0"/>
          <w:rtl/>
        </w:rPr>
        <w:t xml:space="preserve">أصدقائه مرتين في </w:t>
      </w:r>
      <w:r w:rsidRPr="00AA537D">
        <w:rPr>
          <w:rFonts w:hint="cs"/>
          <w:spacing w:val="0"/>
          <w:kern w:val="0"/>
          <w:rtl/>
        </w:rPr>
        <w:t>ال</w:t>
      </w:r>
      <w:r w:rsidRPr="00AA537D">
        <w:rPr>
          <w:spacing w:val="0"/>
          <w:kern w:val="0"/>
          <w:rtl/>
        </w:rPr>
        <w:t xml:space="preserve">شهر لدراسة القرآن. </w:t>
      </w:r>
      <w:r w:rsidRPr="00AA537D">
        <w:rPr>
          <w:rFonts w:hint="cs"/>
          <w:spacing w:val="0"/>
          <w:kern w:val="0"/>
          <w:rtl/>
        </w:rPr>
        <w:t>و</w:t>
      </w:r>
      <w:r w:rsidRPr="00AA537D">
        <w:rPr>
          <w:spacing w:val="0"/>
          <w:kern w:val="0"/>
          <w:rtl/>
        </w:rPr>
        <w:t>في عام</w:t>
      </w:r>
      <w:r w:rsidRPr="00AA537D">
        <w:rPr>
          <w:rFonts w:hint="cs"/>
          <w:spacing w:val="0"/>
          <w:kern w:val="0"/>
          <w:rtl/>
        </w:rPr>
        <w:t> </w:t>
      </w:r>
      <w:r w:rsidRPr="00AA537D">
        <w:rPr>
          <w:spacing w:val="0"/>
          <w:kern w:val="0"/>
          <w:rtl/>
        </w:rPr>
        <w:t>2008، أ</w:t>
      </w:r>
      <w:r w:rsidRPr="00AA537D">
        <w:rPr>
          <w:rFonts w:hint="cs"/>
          <w:spacing w:val="0"/>
          <w:kern w:val="0"/>
          <w:rtl/>
        </w:rPr>
        <w:t>ُ</w:t>
      </w:r>
      <w:r w:rsidRPr="00AA537D">
        <w:rPr>
          <w:spacing w:val="0"/>
          <w:kern w:val="0"/>
          <w:rtl/>
        </w:rPr>
        <w:t xml:space="preserve">بلغ بأن اسمه </w:t>
      </w:r>
      <w:r w:rsidRPr="00AA537D">
        <w:rPr>
          <w:rFonts w:hint="cs"/>
          <w:spacing w:val="0"/>
          <w:kern w:val="0"/>
          <w:rtl/>
        </w:rPr>
        <w:t xml:space="preserve">مدرج في </w:t>
      </w:r>
      <w:r w:rsidRPr="00AA537D">
        <w:rPr>
          <w:spacing w:val="0"/>
          <w:kern w:val="0"/>
          <w:rtl/>
        </w:rPr>
        <w:t>قائمة المشتبه</w:t>
      </w:r>
      <w:r w:rsidRPr="00AA537D">
        <w:rPr>
          <w:rFonts w:hint="cs"/>
          <w:spacing w:val="0"/>
          <w:kern w:val="0"/>
          <w:rtl/>
        </w:rPr>
        <w:t xml:space="preserve"> بهم المحتملين</w:t>
      </w:r>
      <w:r w:rsidRPr="00AA537D">
        <w:rPr>
          <w:spacing w:val="0"/>
          <w:kern w:val="0"/>
          <w:rtl/>
        </w:rPr>
        <w:t xml:space="preserve">. وفي عام 2009، بعد </w:t>
      </w:r>
      <w:r w:rsidRPr="00AA537D">
        <w:rPr>
          <w:rFonts w:hint="cs"/>
          <w:spacing w:val="0"/>
          <w:kern w:val="0"/>
          <w:rtl/>
        </w:rPr>
        <w:t xml:space="preserve">إلقاء </w:t>
      </w:r>
      <w:r w:rsidRPr="00AA537D">
        <w:rPr>
          <w:spacing w:val="0"/>
          <w:kern w:val="0"/>
          <w:rtl/>
        </w:rPr>
        <w:t xml:space="preserve">القبض على العديد من </w:t>
      </w:r>
      <w:r w:rsidRPr="00AA537D">
        <w:rPr>
          <w:rFonts w:hint="cs"/>
          <w:spacing w:val="0"/>
          <w:kern w:val="0"/>
          <w:rtl/>
        </w:rPr>
        <w:t>أ</w:t>
      </w:r>
      <w:r w:rsidRPr="00AA537D">
        <w:rPr>
          <w:spacing w:val="0"/>
          <w:kern w:val="0"/>
          <w:rtl/>
        </w:rPr>
        <w:t>صدقا</w:t>
      </w:r>
      <w:r w:rsidRPr="00AA537D">
        <w:rPr>
          <w:rFonts w:hint="cs"/>
          <w:spacing w:val="0"/>
          <w:kern w:val="0"/>
          <w:rtl/>
        </w:rPr>
        <w:t>ئه</w:t>
      </w:r>
      <w:r w:rsidRPr="00AA537D">
        <w:rPr>
          <w:spacing w:val="0"/>
          <w:kern w:val="0"/>
          <w:rtl/>
        </w:rPr>
        <w:t xml:space="preserve">، </w:t>
      </w:r>
      <w:r w:rsidRPr="00AA537D">
        <w:rPr>
          <w:rFonts w:hint="cs"/>
          <w:spacing w:val="0"/>
          <w:kern w:val="0"/>
          <w:rtl/>
        </w:rPr>
        <w:t xml:space="preserve">اتصلت به دائرة الأمن القومي </w:t>
      </w:r>
      <w:r w:rsidRPr="00AA537D">
        <w:rPr>
          <w:spacing w:val="0"/>
          <w:kern w:val="0"/>
          <w:rtl/>
        </w:rPr>
        <w:t xml:space="preserve">عدة مرات. </w:t>
      </w:r>
      <w:r w:rsidRPr="00AA537D">
        <w:rPr>
          <w:rFonts w:hint="cs"/>
          <w:spacing w:val="0"/>
          <w:kern w:val="0"/>
          <w:rtl/>
        </w:rPr>
        <w:t>و</w:t>
      </w:r>
      <w:r w:rsidRPr="00AA537D">
        <w:rPr>
          <w:spacing w:val="0"/>
          <w:kern w:val="0"/>
          <w:rtl/>
        </w:rPr>
        <w:t xml:space="preserve">بعد </w:t>
      </w:r>
      <w:r w:rsidRPr="00AA537D">
        <w:rPr>
          <w:rFonts w:hint="cs"/>
          <w:spacing w:val="0"/>
          <w:kern w:val="0"/>
          <w:rtl/>
        </w:rPr>
        <w:t xml:space="preserve">ذهابه إلى </w:t>
      </w:r>
      <w:r w:rsidRPr="00AA537D">
        <w:rPr>
          <w:spacing w:val="0"/>
          <w:kern w:val="0"/>
          <w:rtl/>
        </w:rPr>
        <w:t xml:space="preserve">كازاخستان في 5 </w:t>
      </w:r>
      <w:r w:rsidRPr="00AA537D">
        <w:rPr>
          <w:rFonts w:hint="cs"/>
          <w:spacing w:val="0"/>
          <w:kern w:val="0"/>
          <w:rtl/>
        </w:rPr>
        <w:t>نيسان/</w:t>
      </w:r>
      <w:r w:rsidRPr="00AA537D">
        <w:rPr>
          <w:spacing w:val="0"/>
          <w:kern w:val="0"/>
          <w:rtl/>
        </w:rPr>
        <w:t xml:space="preserve">أبريل 2010، </w:t>
      </w:r>
      <w:r w:rsidRPr="00AA537D">
        <w:rPr>
          <w:rFonts w:hint="cs"/>
          <w:spacing w:val="0"/>
          <w:kern w:val="0"/>
          <w:rtl/>
        </w:rPr>
        <w:t xml:space="preserve">أبلغه والداه بأن </w:t>
      </w:r>
      <w:r w:rsidRPr="00AA537D">
        <w:rPr>
          <w:spacing w:val="0"/>
          <w:kern w:val="0"/>
          <w:rtl/>
        </w:rPr>
        <w:t>الشرطة تبحث عنه.</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أوتابيك شاريبوف</w:t>
      </w:r>
    </w:p>
    <w:p w:rsidR="00FA6676" w:rsidRPr="00AA537D" w:rsidRDefault="00FA6676" w:rsidP="007C1D2D">
      <w:pPr>
        <w:pStyle w:val="SingleTxtGA"/>
        <w:jc w:val="lowKashida"/>
        <w:rPr>
          <w:rFonts w:hint="cs"/>
          <w:spacing w:val="0"/>
          <w:kern w:val="0"/>
          <w:rtl/>
        </w:rPr>
      </w:pPr>
      <w:r w:rsidRPr="00AA537D">
        <w:rPr>
          <w:rFonts w:hint="cs"/>
          <w:spacing w:val="0"/>
          <w:kern w:val="0"/>
          <w:rtl/>
        </w:rPr>
        <w:t>7-23</w:t>
      </w:r>
      <w:r w:rsidRPr="00AA537D">
        <w:rPr>
          <w:rFonts w:hint="cs"/>
          <w:spacing w:val="0"/>
          <w:kern w:val="0"/>
          <w:rtl/>
        </w:rPr>
        <w:tab/>
        <w:t>في 7 حزيران/</w:t>
      </w:r>
      <w:r w:rsidRPr="00AA537D">
        <w:rPr>
          <w:spacing w:val="0"/>
          <w:kern w:val="0"/>
          <w:rtl/>
        </w:rPr>
        <w:t>يوني</w:t>
      </w:r>
      <w:r w:rsidRPr="00AA537D">
        <w:rPr>
          <w:rFonts w:hint="cs"/>
          <w:spacing w:val="0"/>
          <w:kern w:val="0"/>
          <w:rtl/>
        </w:rPr>
        <w:t>ه</w:t>
      </w:r>
      <w:r w:rsidRPr="00AA537D">
        <w:rPr>
          <w:spacing w:val="0"/>
          <w:kern w:val="0"/>
          <w:rtl/>
        </w:rPr>
        <w:t xml:space="preserve"> 2000، </w:t>
      </w:r>
      <w:r w:rsidRPr="00AA537D">
        <w:rPr>
          <w:rFonts w:hint="cs"/>
          <w:spacing w:val="0"/>
          <w:kern w:val="0"/>
          <w:rtl/>
        </w:rPr>
        <w:t xml:space="preserve">تم استجواب </w:t>
      </w:r>
      <w:r w:rsidRPr="00AA537D">
        <w:rPr>
          <w:spacing w:val="0"/>
          <w:kern w:val="0"/>
          <w:rtl/>
        </w:rPr>
        <w:t xml:space="preserve">صاحب الشكوى </w:t>
      </w:r>
      <w:r w:rsidRPr="00AA537D">
        <w:rPr>
          <w:rFonts w:hint="cs"/>
          <w:spacing w:val="0"/>
          <w:kern w:val="0"/>
          <w:rtl/>
        </w:rPr>
        <w:t>والاعتداء عليه ب</w:t>
      </w:r>
      <w:r w:rsidRPr="00AA537D">
        <w:rPr>
          <w:spacing w:val="0"/>
          <w:kern w:val="0"/>
          <w:rtl/>
        </w:rPr>
        <w:t>الركل واللكم</w:t>
      </w:r>
      <w:r w:rsidRPr="00AA537D">
        <w:rPr>
          <w:rFonts w:hint="cs"/>
          <w:spacing w:val="0"/>
          <w:kern w:val="0"/>
          <w:rtl/>
        </w:rPr>
        <w:t xml:space="preserve">ات لحمله على </w:t>
      </w:r>
      <w:r w:rsidRPr="00AA537D">
        <w:rPr>
          <w:spacing w:val="0"/>
          <w:kern w:val="0"/>
          <w:rtl/>
        </w:rPr>
        <w:t xml:space="preserve">الاعتراف بأنه ينتمي إلى جماعة دينية متطرفة، </w:t>
      </w:r>
      <w:r w:rsidRPr="00AA537D">
        <w:rPr>
          <w:rFonts w:hint="cs"/>
          <w:spacing w:val="0"/>
          <w:kern w:val="0"/>
          <w:rtl/>
        </w:rPr>
        <w:t>ولكنه رفض الاعتراف.</w:t>
      </w:r>
      <w:r w:rsidRPr="00AA537D">
        <w:rPr>
          <w:spacing w:val="0"/>
          <w:kern w:val="0"/>
          <w:rtl/>
        </w:rPr>
        <w:t xml:space="preserve"> </w:t>
      </w:r>
      <w:r w:rsidRPr="00AA537D">
        <w:rPr>
          <w:rFonts w:hint="cs"/>
          <w:spacing w:val="0"/>
          <w:kern w:val="0"/>
          <w:rtl/>
        </w:rPr>
        <w:t xml:space="preserve">وبعد ذلك، تم على </w:t>
      </w:r>
      <w:r w:rsidRPr="00AA537D">
        <w:rPr>
          <w:spacing w:val="0"/>
          <w:kern w:val="0"/>
          <w:rtl/>
        </w:rPr>
        <w:t xml:space="preserve">مدى </w:t>
      </w:r>
      <w:r w:rsidRPr="00AA537D">
        <w:rPr>
          <w:rFonts w:hint="cs"/>
          <w:spacing w:val="0"/>
          <w:kern w:val="0"/>
          <w:rtl/>
        </w:rPr>
        <w:t xml:space="preserve">عشرين </w:t>
      </w:r>
      <w:r w:rsidRPr="00AA537D">
        <w:rPr>
          <w:spacing w:val="0"/>
          <w:kern w:val="0"/>
          <w:rtl/>
        </w:rPr>
        <w:t xml:space="preserve">يوماً </w:t>
      </w:r>
      <w:r w:rsidRPr="00AA537D">
        <w:rPr>
          <w:rFonts w:hint="cs"/>
          <w:spacing w:val="0"/>
          <w:kern w:val="0"/>
          <w:rtl/>
        </w:rPr>
        <w:t xml:space="preserve">تعذيبه بشدة </w:t>
      </w:r>
      <w:r w:rsidRPr="00AA537D">
        <w:rPr>
          <w:spacing w:val="0"/>
          <w:kern w:val="0"/>
          <w:rtl/>
        </w:rPr>
        <w:t>وط</w:t>
      </w:r>
      <w:r w:rsidRPr="00AA537D">
        <w:rPr>
          <w:rFonts w:hint="cs"/>
          <w:spacing w:val="0"/>
          <w:kern w:val="0"/>
          <w:rtl/>
        </w:rPr>
        <w:t>ُ</w:t>
      </w:r>
      <w:r w:rsidRPr="00AA537D">
        <w:rPr>
          <w:spacing w:val="0"/>
          <w:kern w:val="0"/>
          <w:rtl/>
        </w:rPr>
        <w:t xml:space="preserve">لب </w:t>
      </w:r>
      <w:r w:rsidRPr="00AA537D">
        <w:rPr>
          <w:rFonts w:hint="cs"/>
          <w:spacing w:val="0"/>
          <w:kern w:val="0"/>
          <w:rtl/>
        </w:rPr>
        <w:t xml:space="preserve">منه </w:t>
      </w:r>
      <w:r w:rsidRPr="00AA537D">
        <w:rPr>
          <w:spacing w:val="0"/>
          <w:kern w:val="0"/>
          <w:rtl/>
        </w:rPr>
        <w:t>التوقيع على اعتراف،</w:t>
      </w:r>
      <w:r w:rsidRPr="00AA537D">
        <w:rPr>
          <w:rFonts w:hint="cs"/>
          <w:spacing w:val="0"/>
          <w:kern w:val="0"/>
          <w:rtl/>
        </w:rPr>
        <w:t xml:space="preserve"> واستجاب في نهاية الأمر لهذا الطلب.</w:t>
      </w:r>
      <w:r w:rsidRPr="00AA537D">
        <w:rPr>
          <w:spacing w:val="0"/>
          <w:kern w:val="0"/>
          <w:rtl/>
        </w:rPr>
        <w:t xml:space="preserve"> </w:t>
      </w:r>
      <w:r w:rsidRPr="00AA537D">
        <w:rPr>
          <w:rFonts w:hint="cs"/>
          <w:spacing w:val="0"/>
          <w:kern w:val="0"/>
          <w:rtl/>
        </w:rPr>
        <w:t>و</w:t>
      </w:r>
      <w:r w:rsidRPr="00AA537D">
        <w:rPr>
          <w:spacing w:val="0"/>
          <w:kern w:val="0"/>
          <w:rtl/>
        </w:rPr>
        <w:t xml:space="preserve">في 11 </w:t>
      </w:r>
      <w:r w:rsidRPr="00AA537D">
        <w:rPr>
          <w:rFonts w:hint="cs"/>
          <w:spacing w:val="0"/>
          <w:kern w:val="0"/>
          <w:rtl/>
        </w:rPr>
        <w:t>كانون الأول/</w:t>
      </w:r>
      <w:r w:rsidRPr="00AA537D">
        <w:rPr>
          <w:spacing w:val="0"/>
          <w:kern w:val="0"/>
          <w:rtl/>
        </w:rPr>
        <w:t xml:space="preserve">ديسمبر 2000، </w:t>
      </w:r>
      <w:r w:rsidRPr="00AA537D">
        <w:rPr>
          <w:rFonts w:hint="cs"/>
          <w:spacing w:val="0"/>
          <w:kern w:val="0"/>
          <w:rtl/>
        </w:rPr>
        <w:t xml:space="preserve">حكم عليه </w:t>
      </w:r>
      <w:r w:rsidRPr="00AA537D">
        <w:rPr>
          <w:spacing w:val="0"/>
          <w:kern w:val="0"/>
          <w:rtl/>
        </w:rPr>
        <w:t xml:space="preserve">بالسجن لمدة تسع سنوات. </w:t>
      </w:r>
      <w:r w:rsidRPr="00AA537D">
        <w:rPr>
          <w:rFonts w:hint="cs"/>
          <w:spacing w:val="0"/>
          <w:kern w:val="0"/>
          <w:rtl/>
        </w:rPr>
        <w:t xml:space="preserve">وفي </w:t>
      </w:r>
      <w:r w:rsidRPr="00AA537D">
        <w:rPr>
          <w:spacing w:val="0"/>
          <w:kern w:val="0"/>
          <w:rtl/>
        </w:rPr>
        <w:t xml:space="preserve">15 </w:t>
      </w:r>
      <w:r w:rsidRPr="00AA537D">
        <w:rPr>
          <w:rFonts w:hint="cs"/>
          <w:spacing w:val="0"/>
          <w:kern w:val="0"/>
          <w:rtl/>
        </w:rPr>
        <w:t>كانون الثاني/</w:t>
      </w:r>
      <w:r w:rsidRPr="00AA537D">
        <w:rPr>
          <w:spacing w:val="0"/>
          <w:kern w:val="0"/>
          <w:rtl/>
        </w:rPr>
        <w:t xml:space="preserve">يناير 2003، بعد </w:t>
      </w:r>
      <w:r w:rsidRPr="00AA537D">
        <w:rPr>
          <w:rFonts w:hint="cs"/>
          <w:spacing w:val="0"/>
          <w:kern w:val="0"/>
          <w:rtl/>
        </w:rPr>
        <w:t>تع</w:t>
      </w:r>
      <w:r w:rsidRPr="00AA537D">
        <w:rPr>
          <w:spacing w:val="0"/>
          <w:kern w:val="0"/>
          <w:rtl/>
        </w:rPr>
        <w:t>رض</w:t>
      </w:r>
      <w:r w:rsidRPr="00AA537D">
        <w:rPr>
          <w:rFonts w:hint="cs"/>
          <w:spacing w:val="0"/>
          <w:kern w:val="0"/>
          <w:rtl/>
        </w:rPr>
        <w:t>ه</w:t>
      </w:r>
      <w:r w:rsidRPr="00AA537D">
        <w:rPr>
          <w:spacing w:val="0"/>
          <w:kern w:val="0"/>
          <w:rtl/>
        </w:rPr>
        <w:t xml:space="preserve"> للتعذيب بشكل منتظم في</w:t>
      </w:r>
      <w:r w:rsidRPr="00AA537D">
        <w:rPr>
          <w:rFonts w:hint="cs"/>
          <w:spacing w:val="0"/>
          <w:kern w:val="0"/>
          <w:rtl/>
        </w:rPr>
        <w:t xml:space="preserve"> السجن</w:t>
      </w:r>
      <w:r w:rsidRPr="00AA537D">
        <w:rPr>
          <w:spacing w:val="0"/>
          <w:kern w:val="0"/>
          <w:rtl/>
        </w:rPr>
        <w:t xml:space="preserve">، أطلق سراحه </w:t>
      </w:r>
      <w:r w:rsidRPr="00AA537D">
        <w:rPr>
          <w:rFonts w:hint="cs"/>
          <w:spacing w:val="0"/>
          <w:kern w:val="0"/>
          <w:rtl/>
        </w:rPr>
        <w:t>مستفيدا من</w:t>
      </w:r>
      <w:r w:rsidRPr="00AA537D">
        <w:rPr>
          <w:spacing w:val="0"/>
          <w:kern w:val="0"/>
          <w:rtl/>
        </w:rPr>
        <w:t xml:space="preserve"> عفو عام. </w:t>
      </w:r>
      <w:r w:rsidRPr="00AA537D">
        <w:rPr>
          <w:rFonts w:hint="cs"/>
          <w:spacing w:val="0"/>
          <w:kern w:val="0"/>
          <w:rtl/>
        </w:rPr>
        <w:t>و</w:t>
      </w:r>
      <w:r w:rsidRPr="00AA537D">
        <w:rPr>
          <w:spacing w:val="0"/>
          <w:kern w:val="0"/>
          <w:rtl/>
        </w:rPr>
        <w:t xml:space="preserve">في عام 2007، ذهب </w:t>
      </w:r>
      <w:r w:rsidRPr="00AA537D">
        <w:rPr>
          <w:rFonts w:hint="cs"/>
          <w:spacing w:val="0"/>
          <w:kern w:val="0"/>
          <w:rtl/>
        </w:rPr>
        <w:t>إلى</w:t>
      </w:r>
      <w:r w:rsidRPr="00AA537D">
        <w:rPr>
          <w:spacing w:val="0"/>
          <w:kern w:val="0"/>
          <w:rtl/>
        </w:rPr>
        <w:t xml:space="preserve"> سانت بطرسبرغ </w:t>
      </w:r>
      <w:r w:rsidRPr="00AA537D">
        <w:rPr>
          <w:rFonts w:hint="cs"/>
          <w:spacing w:val="0"/>
          <w:kern w:val="0"/>
          <w:rtl/>
        </w:rPr>
        <w:t>للعمل ثم ع</w:t>
      </w:r>
      <w:r w:rsidRPr="00AA537D">
        <w:rPr>
          <w:spacing w:val="0"/>
          <w:kern w:val="0"/>
          <w:rtl/>
        </w:rPr>
        <w:t xml:space="preserve">اد إلى أوزبكستان في كانون الأول/ديسمبر 2007. </w:t>
      </w:r>
      <w:r w:rsidRPr="00AA537D">
        <w:rPr>
          <w:rFonts w:hint="cs"/>
          <w:spacing w:val="0"/>
          <w:kern w:val="0"/>
          <w:rtl/>
        </w:rPr>
        <w:t>و</w:t>
      </w:r>
      <w:r w:rsidRPr="00AA537D">
        <w:rPr>
          <w:spacing w:val="0"/>
          <w:kern w:val="0"/>
          <w:rtl/>
        </w:rPr>
        <w:t>في شباط/</w:t>
      </w:r>
      <w:r w:rsidR="007C1D2D">
        <w:rPr>
          <w:rFonts w:hint="cs"/>
          <w:spacing w:val="0"/>
          <w:kern w:val="0"/>
          <w:rtl/>
        </w:rPr>
        <w:t xml:space="preserve"> </w:t>
      </w:r>
      <w:r w:rsidRPr="00AA537D">
        <w:rPr>
          <w:spacing w:val="0"/>
          <w:kern w:val="0"/>
          <w:rtl/>
        </w:rPr>
        <w:t>فبراير</w:t>
      </w:r>
      <w:r w:rsidR="007C1D2D">
        <w:rPr>
          <w:rFonts w:hint="cs"/>
          <w:spacing w:val="0"/>
          <w:kern w:val="0"/>
          <w:rtl/>
        </w:rPr>
        <w:t> </w:t>
      </w:r>
      <w:r w:rsidRPr="00AA537D">
        <w:rPr>
          <w:spacing w:val="0"/>
          <w:kern w:val="0"/>
          <w:rtl/>
        </w:rPr>
        <w:t xml:space="preserve">2008، </w:t>
      </w:r>
      <w:r w:rsidRPr="00AA537D">
        <w:rPr>
          <w:rFonts w:hint="cs"/>
          <w:spacing w:val="0"/>
          <w:kern w:val="0"/>
          <w:rtl/>
        </w:rPr>
        <w:t xml:space="preserve">ألقي القبض على عدد كبير </w:t>
      </w:r>
      <w:r w:rsidRPr="00AA537D">
        <w:rPr>
          <w:spacing w:val="0"/>
          <w:kern w:val="0"/>
          <w:rtl/>
        </w:rPr>
        <w:t xml:space="preserve">من زملائه بعد عودتهم إلى أوزبكستان. وفي 21 </w:t>
      </w:r>
      <w:r w:rsidR="007C1D2D">
        <w:rPr>
          <w:rFonts w:hint="cs"/>
          <w:spacing w:val="0"/>
          <w:kern w:val="0"/>
          <w:rtl/>
        </w:rPr>
        <w:t>آب/</w:t>
      </w:r>
      <w:r w:rsidRPr="00AA537D">
        <w:rPr>
          <w:spacing w:val="0"/>
          <w:kern w:val="0"/>
          <w:rtl/>
        </w:rPr>
        <w:t>أغسطس</w:t>
      </w:r>
      <w:r w:rsidRPr="00AA537D">
        <w:rPr>
          <w:rFonts w:hint="cs"/>
          <w:spacing w:val="0"/>
          <w:kern w:val="0"/>
          <w:rtl/>
        </w:rPr>
        <w:t> </w:t>
      </w:r>
      <w:r w:rsidRPr="00AA537D">
        <w:rPr>
          <w:spacing w:val="0"/>
          <w:kern w:val="0"/>
          <w:rtl/>
        </w:rPr>
        <w:t>2009، وصل إلى كازاخستان.</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تورسونبوي سليمانوف</w:t>
      </w:r>
    </w:p>
    <w:p w:rsidR="00FA6676" w:rsidRPr="00AA537D" w:rsidRDefault="00FA6676" w:rsidP="00AA537D">
      <w:pPr>
        <w:pStyle w:val="SingleTxtGA"/>
        <w:jc w:val="lowKashida"/>
        <w:rPr>
          <w:rFonts w:hint="cs"/>
          <w:spacing w:val="0"/>
          <w:kern w:val="0"/>
          <w:rtl/>
        </w:rPr>
      </w:pPr>
      <w:r w:rsidRPr="00AA537D">
        <w:rPr>
          <w:rFonts w:hint="cs"/>
          <w:spacing w:val="0"/>
          <w:kern w:val="0"/>
          <w:rtl/>
        </w:rPr>
        <w:t>7-24</w:t>
      </w:r>
      <w:r w:rsidRPr="00AA537D">
        <w:rPr>
          <w:rFonts w:hint="cs"/>
          <w:spacing w:val="0"/>
          <w:kern w:val="0"/>
          <w:rtl/>
        </w:rPr>
        <w:tab/>
        <w:t xml:space="preserve">صاحب </w:t>
      </w:r>
      <w:r w:rsidRPr="00AA537D">
        <w:rPr>
          <w:spacing w:val="0"/>
          <w:kern w:val="0"/>
          <w:rtl/>
        </w:rPr>
        <w:t xml:space="preserve">الشكوى مسلم </w:t>
      </w:r>
      <w:r w:rsidRPr="00AA537D">
        <w:rPr>
          <w:rFonts w:hint="cs"/>
          <w:spacing w:val="0"/>
          <w:kern w:val="0"/>
          <w:rtl/>
        </w:rPr>
        <w:t xml:space="preserve">من رعايا </w:t>
      </w:r>
      <w:r w:rsidRPr="00AA537D">
        <w:rPr>
          <w:spacing w:val="0"/>
          <w:kern w:val="0"/>
          <w:rtl/>
        </w:rPr>
        <w:t>طاجيك</w:t>
      </w:r>
      <w:r w:rsidRPr="00AA537D">
        <w:rPr>
          <w:rFonts w:hint="cs"/>
          <w:spacing w:val="0"/>
          <w:kern w:val="0"/>
          <w:rtl/>
        </w:rPr>
        <w:t>ستان</w:t>
      </w:r>
      <w:r w:rsidRPr="00AA537D">
        <w:rPr>
          <w:spacing w:val="0"/>
          <w:kern w:val="0"/>
          <w:rtl/>
        </w:rPr>
        <w:t xml:space="preserve">. </w:t>
      </w:r>
      <w:r w:rsidRPr="00AA537D">
        <w:rPr>
          <w:rFonts w:hint="cs"/>
          <w:spacing w:val="0"/>
          <w:kern w:val="0"/>
          <w:rtl/>
        </w:rPr>
        <w:t>و</w:t>
      </w:r>
      <w:r w:rsidRPr="00AA537D">
        <w:rPr>
          <w:spacing w:val="0"/>
          <w:kern w:val="0"/>
          <w:rtl/>
        </w:rPr>
        <w:t xml:space="preserve">في 29 </w:t>
      </w:r>
      <w:r w:rsidRPr="00AA537D">
        <w:rPr>
          <w:rFonts w:hint="cs"/>
          <w:spacing w:val="0"/>
          <w:kern w:val="0"/>
          <w:rtl/>
        </w:rPr>
        <w:t>آذار/</w:t>
      </w:r>
      <w:r w:rsidRPr="00AA537D">
        <w:rPr>
          <w:spacing w:val="0"/>
          <w:kern w:val="0"/>
          <w:rtl/>
        </w:rPr>
        <w:t xml:space="preserve">مارس 2004، </w:t>
      </w:r>
      <w:r w:rsidRPr="00AA537D">
        <w:rPr>
          <w:rFonts w:hint="cs"/>
          <w:spacing w:val="0"/>
          <w:kern w:val="0"/>
          <w:rtl/>
        </w:rPr>
        <w:t xml:space="preserve">في </w:t>
      </w:r>
      <w:r w:rsidRPr="00AA537D">
        <w:rPr>
          <w:spacing w:val="0"/>
          <w:kern w:val="0"/>
          <w:rtl/>
        </w:rPr>
        <w:t xml:space="preserve">اليوم </w:t>
      </w:r>
      <w:r w:rsidRPr="00AA537D">
        <w:rPr>
          <w:rFonts w:hint="cs"/>
          <w:spacing w:val="0"/>
          <w:kern w:val="0"/>
          <w:rtl/>
        </w:rPr>
        <w:t>الذي وقعت فيه التفجيرات في</w:t>
      </w:r>
      <w:r w:rsidRPr="00AA537D">
        <w:rPr>
          <w:spacing w:val="0"/>
          <w:kern w:val="0"/>
          <w:rtl/>
        </w:rPr>
        <w:t xml:space="preserve"> طشقند، ألقي القبض على </w:t>
      </w:r>
      <w:r w:rsidRPr="00AA537D">
        <w:rPr>
          <w:rFonts w:hint="cs"/>
          <w:spacing w:val="0"/>
          <w:kern w:val="0"/>
          <w:rtl/>
        </w:rPr>
        <w:t xml:space="preserve">أصهاره </w:t>
      </w:r>
      <w:r w:rsidRPr="00AA537D">
        <w:rPr>
          <w:spacing w:val="0"/>
          <w:kern w:val="0"/>
          <w:rtl/>
        </w:rPr>
        <w:t xml:space="preserve">الثلاثة. وبعد </w:t>
      </w:r>
      <w:r w:rsidRPr="00AA537D">
        <w:rPr>
          <w:rFonts w:hint="cs"/>
          <w:spacing w:val="0"/>
          <w:kern w:val="0"/>
          <w:rtl/>
        </w:rPr>
        <w:t>ذلك ب</w:t>
      </w:r>
      <w:r w:rsidRPr="00AA537D">
        <w:rPr>
          <w:spacing w:val="0"/>
          <w:kern w:val="0"/>
          <w:rtl/>
        </w:rPr>
        <w:t xml:space="preserve">أربعة أيام، </w:t>
      </w:r>
      <w:r w:rsidRPr="00AA537D">
        <w:rPr>
          <w:rFonts w:hint="cs"/>
          <w:spacing w:val="0"/>
          <w:kern w:val="0"/>
          <w:rtl/>
        </w:rPr>
        <w:t xml:space="preserve">حضر </w:t>
      </w:r>
      <w:r w:rsidRPr="00AA537D">
        <w:rPr>
          <w:spacing w:val="0"/>
          <w:kern w:val="0"/>
          <w:rtl/>
        </w:rPr>
        <w:t xml:space="preserve">12 من </w:t>
      </w:r>
      <w:r w:rsidRPr="00AA537D">
        <w:rPr>
          <w:rFonts w:hint="cs"/>
          <w:spacing w:val="0"/>
          <w:kern w:val="0"/>
          <w:rtl/>
        </w:rPr>
        <w:t>أفراد</w:t>
      </w:r>
      <w:r w:rsidRPr="00AA537D">
        <w:rPr>
          <w:spacing w:val="0"/>
          <w:kern w:val="0"/>
          <w:rtl/>
        </w:rPr>
        <w:t xml:space="preserve"> الشرطة إلى منزله</w:t>
      </w:r>
      <w:r w:rsidRPr="00AA537D">
        <w:rPr>
          <w:rFonts w:hint="cs"/>
          <w:spacing w:val="0"/>
          <w:kern w:val="0"/>
          <w:rtl/>
        </w:rPr>
        <w:t>. و</w:t>
      </w:r>
      <w:r w:rsidRPr="00AA537D">
        <w:rPr>
          <w:spacing w:val="0"/>
          <w:kern w:val="0"/>
          <w:rtl/>
        </w:rPr>
        <w:t>تمكنت زوجته من تحذير</w:t>
      </w:r>
      <w:r w:rsidRPr="00AA537D">
        <w:rPr>
          <w:rFonts w:hint="cs"/>
          <w:spacing w:val="0"/>
          <w:kern w:val="0"/>
          <w:rtl/>
        </w:rPr>
        <w:t>ه فف</w:t>
      </w:r>
      <w:r w:rsidRPr="00AA537D">
        <w:rPr>
          <w:spacing w:val="0"/>
          <w:kern w:val="0"/>
          <w:rtl/>
        </w:rPr>
        <w:t xml:space="preserve">ر إلى طاجيكستان. </w:t>
      </w:r>
      <w:r w:rsidRPr="00AA537D">
        <w:rPr>
          <w:rFonts w:hint="cs"/>
          <w:spacing w:val="0"/>
          <w:kern w:val="0"/>
          <w:rtl/>
        </w:rPr>
        <w:t>و</w:t>
      </w:r>
      <w:r w:rsidRPr="00AA537D">
        <w:rPr>
          <w:spacing w:val="0"/>
          <w:kern w:val="0"/>
          <w:rtl/>
        </w:rPr>
        <w:t xml:space="preserve">بعد بضعة أيام، </w:t>
      </w:r>
      <w:r w:rsidRPr="00AA537D">
        <w:rPr>
          <w:rFonts w:hint="cs"/>
          <w:spacing w:val="0"/>
          <w:kern w:val="0"/>
          <w:rtl/>
        </w:rPr>
        <w:t>ألقت ال</w:t>
      </w:r>
      <w:r w:rsidRPr="00AA537D">
        <w:rPr>
          <w:spacing w:val="0"/>
          <w:kern w:val="0"/>
          <w:rtl/>
        </w:rPr>
        <w:t xml:space="preserve">سلطات </w:t>
      </w:r>
      <w:r w:rsidRPr="00AA537D">
        <w:rPr>
          <w:rFonts w:hint="cs"/>
          <w:spacing w:val="0"/>
          <w:kern w:val="0"/>
          <w:rtl/>
        </w:rPr>
        <w:t xml:space="preserve">في </w:t>
      </w:r>
      <w:r w:rsidRPr="00AA537D">
        <w:rPr>
          <w:spacing w:val="0"/>
          <w:kern w:val="0"/>
          <w:rtl/>
        </w:rPr>
        <w:t>طاجيك</w:t>
      </w:r>
      <w:r w:rsidRPr="00AA537D">
        <w:rPr>
          <w:rFonts w:hint="cs"/>
          <w:spacing w:val="0"/>
          <w:kern w:val="0"/>
          <w:rtl/>
        </w:rPr>
        <w:t xml:space="preserve">ستان </w:t>
      </w:r>
      <w:r w:rsidRPr="00AA537D">
        <w:rPr>
          <w:spacing w:val="0"/>
          <w:kern w:val="0"/>
          <w:rtl/>
        </w:rPr>
        <w:t>القبض عليه واتهمته با</w:t>
      </w:r>
      <w:r w:rsidRPr="00AA537D">
        <w:rPr>
          <w:rFonts w:hint="cs"/>
          <w:spacing w:val="0"/>
          <w:kern w:val="0"/>
          <w:rtl/>
        </w:rPr>
        <w:t xml:space="preserve">لاشتراك </w:t>
      </w:r>
      <w:r w:rsidRPr="00AA537D">
        <w:rPr>
          <w:spacing w:val="0"/>
          <w:kern w:val="0"/>
          <w:rtl/>
        </w:rPr>
        <w:t>في التفجيرات التي وقعت في آذار/مارس في طشقند و</w:t>
      </w:r>
      <w:r w:rsidRPr="00AA537D">
        <w:rPr>
          <w:rFonts w:hint="cs"/>
          <w:spacing w:val="0"/>
          <w:kern w:val="0"/>
          <w:rtl/>
        </w:rPr>
        <w:t>ب</w:t>
      </w:r>
      <w:r w:rsidRPr="00AA537D">
        <w:rPr>
          <w:spacing w:val="0"/>
          <w:kern w:val="0"/>
          <w:rtl/>
        </w:rPr>
        <w:t xml:space="preserve">تهريب أسلحة نارية. </w:t>
      </w:r>
      <w:r w:rsidRPr="00AA537D">
        <w:rPr>
          <w:rFonts w:hint="cs"/>
          <w:spacing w:val="0"/>
          <w:kern w:val="0"/>
          <w:rtl/>
        </w:rPr>
        <w:t>و</w:t>
      </w:r>
      <w:r w:rsidRPr="00AA537D">
        <w:rPr>
          <w:spacing w:val="0"/>
          <w:kern w:val="0"/>
          <w:rtl/>
        </w:rPr>
        <w:t>تعرض للتعذيب لمدة ثلاثة أيام</w:t>
      </w:r>
      <w:r w:rsidRPr="00AA537D">
        <w:rPr>
          <w:rFonts w:hint="cs"/>
          <w:spacing w:val="0"/>
          <w:kern w:val="0"/>
          <w:rtl/>
        </w:rPr>
        <w:t xml:space="preserve"> ثم أخلي سبيله بعد دفع </w:t>
      </w:r>
      <w:r w:rsidRPr="00AA537D">
        <w:rPr>
          <w:spacing w:val="0"/>
          <w:kern w:val="0"/>
          <w:rtl/>
        </w:rPr>
        <w:t xml:space="preserve">رشوة كبيرة. </w:t>
      </w:r>
      <w:r w:rsidRPr="00AA537D">
        <w:rPr>
          <w:rFonts w:hint="cs"/>
          <w:spacing w:val="0"/>
          <w:kern w:val="0"/>
          <w:rtl/>
        </w:rPr>
        <w:t>و</w:t>
      </w:r>
      <w:r w:rsidRPr="00AA537D">
        <w:rPr>
          <w:spacing w:val="0"/>
          <w:kern w:val="0"/>
          <w:rtl/>
        </w:rPr>
        <w:t>في أيلول/</w:t>
      </w:r>
      <w:r w:rsidRPr="00AA537D">
        <w:rPr>
          <w:rFonts w:hint="cs"/>
          <w:spacing w:val="0"/>
          <w:kern w:val="0"/>
          <w:rtl/>
        </w:rPr>
        <w:t xml:space="preserve"> </w:t>
      </w:r>
      <w:r w:rsidRPr="00AA537D">
        <w:rPr>
          <w:spacing w:val="0"/>
          <w:kern w:val="0"/>
          <w:rtl/>
        </w:rPr>
        <w:t>سبتمبر</w:t>
      </w:r>
      <w:r w:rsidRPr="00AA537D">
        <w:rPr>
          <w:rFonts w:hint="cs"/>
          <w:spacing w:val="0"/>
          <w:kern w:val="0"/>
          <w:rtl/>
        </w:rPr>
        <w:t> </w:t>
      </w:r>
      <w:r w:rsidRPr="00AA537D">
        <w:rPr>
          <w:spacing w:val="0"/>
          <w:kern w:val="0"/>
          <w:rtl/>
        </w:rPr>
        <w:t xml:space="preserve">2004، بدأت محاكمة 33 متهماً </w:t>
      </w:r>
      <w:r w:rsidRPr="00AA537D">
        <w:rPr>
          <w:rFonts w:hint="cs"/>
          <w:spacing w:val="0"/>
          <w:kern w:val="0"/>
          <w:rtl/>
        </w:rPr>
        <w:t xml:space="preserve">من </w:t>
      </w:r>
      <w:r w:rsidRPr="00AA537D">
        <w:rPr>
          <w:spacing w:val="0"/>
          <w:kern w:val="0"/>
          <w:rtl/>
        </w:rPr>
        <w:t xml:space="preserve">بينهم صاحب الشكوى. ووصف بأنه زعيم المنظمة المتطرفة التي نفذت </w:t>
      </w:r>
      <w:r w:rsidRPr="00AA537D">
        <w:rPr>
          <w:rFonts w:hint="cs"/>
          <w:spacing w:val="0"/>
          <w:kern w:val="0"/>
          <w:rtl/>
        </w:rPr>
        <w:t>ال</w:t>
      </w:r>
      <w:r w:rsidRPr="00AA537D">
        <w:rPr>
          <w:spacing w:val="0"/>
          <w:kern w:val="0"/>
          <w:rtl/>
        </w:rPr>
        <w:t>تفجيرات</w:t>
      </w:r>
      <w:r w:rsidRPr="00AA537D">
        <w:rPr>
          <w:rFonts w:hint="cs"/>
          <w:spacing w:val="0"/>
          <w:kern w:val="0"/>
          <w:rtl/>
        </w:rPr>
        <w:t xml:space="preserve"> في</w:t>
      </w:r>
      <w:r w:rsidRPr="00AA537D">
        <w:rPr>
          <w:spacing w:val="0"/>
          <w:kern w:val="0"/>
          <w:rtl/>
        </w:rPr>
        <w:t xml:space="preserve"> طشقند و</w:t>
      </w:r>
      <w:r w:rsidRPr="00AA537D">
        <w:rPr>
          <w:rFonts w:hint="cs"/>
          <w:spacing w:val="0"/>
          <w:kern w:val="0"/>
          <w:rtl/>
        </w:rPr>
        <w:t xml:space="preserve">أصدرت </w:t>
      </w:r>
      <w:r w:rsidRPr="00AA537D">
        <w:rPr>
          <w:spacing w:val="0"/>
          <w:kern w:val="0"/>
          <w:rtl/>
        </w:rPr>
        <w:t xml:space="preserve">السلطات الأوزبكية </w:t>
      </w:r>
      <w:r w:rsidRPr="00AA537D">
        <w:rPr>
          <w:rFonts w:hint="cs"/>
          <w:spacing w:val="0"/>
          <w:kern w:val="0"/>
          <w:rtl/>
        </w:rPr>
        <w:t xml:space="preserve">أمراً دولياً بالقبض عليه. وفي </w:t>
      </w:r>
      <w:r w:rsidRPr="00AA537D">
        <w:rPr>
          <w:spacing w:val="0"/>
          <w:kern w:val="0"/>
          <w:rtl/>
        </w:rPr>
        <w:t xml:space="preserve">6 </w:t>
      </w:r>
      <w:r w:rsidRPr="00AA537D">
        <w:rPr>
          <w:rFonts w:hint="cs"/>
          <w:spacing w:val="0"/>
          <w:kern w:val="0"/>
          <w:rtl/>
        </w:rPr>
        <w:t>آذار/</w:t>
      </w:r>
      <w:r w:rsidRPr="00AA537D">
        <w:rPr>
          <w:spacing w:val="0"/>
          <w:kern w:val="0"/>
          <w:rtl/>
        </w:rPr>
        <w:t xml:space="preserve">مارس 2009، وصل </w:t>
      </w:r>
      <w:r w:rsidRPr="00AA537D">
        <w:rPr>
          <w:rFonts w:hint="cs"/>
          <w:spacing w:val="0"/>
          <w:kern w:val="0"/>
          <w:rtl/>
        </w:rPr>
        <w:t xml:space="preserve">صاحب </w:t>
      </w:r>
      <w:r w:rsidRPr="00AA537D">
        <w:rPr>
          <w:spacing w:val="0"/>
          <w:kern w:val="0"/>
          <w:rtl/>
        </w:rPr>
        <w:t xml:space="preserve">الشكوى </w:t>
      </w:r>
      <w:r w:rsidRPr="00AA537D">
        <w:rPr>
          <w:rFonts w:hint="cs"/>
          <w:spacing w:val="0"/>
          <w:kern w:val="0"/>
          <w:rtl/>
        </w:rPr>
        <w:t>إلى ك</w:t>
      </w:r>
      <w:r w:rsidRPr="00AA537D">
        <w:rPr>
          <w:spacing w:val="0"/>
          <w:kern w:val="0"/>
          <w:rtl/>
        </w:rPr>
        <w:t>ازاخستان بعد أن عاش في الخفاء في طاجيكستان وق</w:t>
      </w:r>
      <w:r w:rsidRPr="00AA537D">
        <w:rPr>
          <w:rFonts w:hint="cs"/>
          <w:spacing w:val="0"/>
          <w:kern w:val="0"/>
          <w:rtl/>
        </w:rPr>
        <w:t>ي</w:t>
      </w:r>
      <w:r w:rsidRPr="00AA537D">
        <w:rPr>
          <w:spacing w:val="0"/>
          <w:kern w:val="0"/>
          <w:rtl/>
        </w:rPr>
        <w:t>رغيزستان</w:t>
      </w:r>
      <w:r w:rsidRPr="00AA537D">
        <w:rPr>
          <w:rFonts w:hint="cs"/>
          <w:spacing w:val="0"/>
          <w:kern w:val="0"/>
          <w:rtl/>
        </w:rPr>
        <w:t>.</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سراج الدين طاليبوف</w:t>
      </w:r>
    </w:p>
    <w:p w:rsidR="00FA6676" w:rsidRPr="00AA537D" w:rsidRDefault="00FA6676" w:rsidP="007C1D2D">
      <w:pPr>
        <w:pStyle w:val="SingleTxtGA"/>
        <w:jc w:val="lowKashida"/>
        <w:rPr>
          <w:rFonts w:hint="cs"/>
          <w:spacing w:val="0"/>
          <w:kern w:val="0"/>
          <w:rtl/>
        </w:rPr>
      </w:pPr>
      <w:r w:rsidRPr="00AA537D">
        <w:rPr>
          <w:rFonts w:hint="cs"/>
          <w:spacing w:val="0"/>
          <w:kern w:val="0"/>
          <w:rtl/>
        </w:rPr>
        <w:t>7-25</w:t>
      </w:r>
      <w:r w:rsidRPr="00AA537D">
        <w:rPr>
          <w:rFonts w:hint="cs"/>
          <w:spacing w:val="0"/>
          <w:kern w:val="0"/>
          <w:rtl/>
        </w:rPr>
        <w:tab/>
        <w:t xml:space="preserve">كان صاحب </w:t>
      </w:r>
      <w:r w:rsidRPr="00AA537D">
        <w:rPr>
          <w:spacing w:val="0"/>
          <w:kern w:val="0"/>
          <w:rtl/>
        </w:rPr>
        <w:t xml:space="preserve">الشكوى </w:t>
      </w:r>
      <w:r w:rsidRPr="00AA537D">
        <w:rPr>
          <w:rFonts w:hint="cs"/>
          <w:spacing w:val="0"/>
          <w:kern w:val="0"/>
          <w:rtl/>
        </w:rPr>
        <w:t xml:space="preserve">يؤدي </w:t>
      </w:r>
      <w:r w:rsidRPr="00AA537D">
        <w:rPr>
          <w:spacing w:val="0"/>
          <w:kern w:val="0"/>
          <w:rtl/>
        </w:rPr>
        <w:t>الصلاة</w:t>
      </w:r>
      <w:r w:rsidRPr="00AA537D">
        <w:rPr>
          <w:rFonts w:hint="cs"/>
          <w:spacing w:val="0"/>
          <w:kern w:val="0"/>
          <w:rtl/>
        </w:rPr>
        <w:t xml:space="preserve"> بانتظام في المسجد</w:t>
      </w:r>
      <w:r w:rsidRPr="00AA537D">
        <w:rPr>
          <w:spacing w:val="0"/>
          <w:kern w:val="0"/>
          <w:rtl/>
        </w:rPr>
        <w:t xml:space="preserve">. </w:t>
      </w:r>
      <w:r w:rsidRPr="00AA537D">
        <w:rPr>
          <w:rFonts w:hint="cs"/>
          <w:spacing w:val="0"/>
          <w:kern w:val="0"/>
          <w:rtl/>
        </w:rPr>
        <w:t>و</w:t>
      </w:r>
      <w:r w:rsidRPr="00AA537D">
        <w:rPr>
          <w:spacing w:val="0"/>
          <w:kern w:val="0"/>
          <w:rtl/>
        </w:rPr>
        <w:t>في عام 2007، ذهب إلى روسيا للعمل، و</w:t>
      </w:r>
      <w:r w:rsidRPr="00AA537D">
        <w:rPr>
          <w:rFonts w:hint="cs"/>
          <w:spacing w:val="0"/>
          <w:kern w:val="0"/>
          <w:rtl/>
        </w:rPr>
        <w:t xml:space="preserve">أبلغ أثناء </w:t>
      </w:r>
      <w:r w:rsidRPr="00AA537D">
        <w:rPr>
          <w:spacing w:val="0"/>
          <w:kern w:val="0"/>
          <w:rtl/>
        </w:rPr>
        <w:t xml:space="preserve">إحدى زياراته </w:t>
      </w:r>
      <w:r w:rsidRPr="00AA537D">
        <w:rPr>
          <w:rFonts w:hint="cs"/>
          <w:spacing w:val="0"/>
          <w:kern w:val="0"/>
          <w:rtl/>
        </w:rPr>
        <w:t>لأ</w:t>
      </w:r>
      <w:r w:rsidRPr="00AA537D">
        <w:rPr>
          <w:spacing w:val="0"/>
          <w:kern w:val="0"/>
          <w:rtl/>
        </w:rPr>
        <w:t>وزبكستان</w:t>
      </w:r>
      <w:r w:rsidRPr="00AA537D">
        <w:rPr>
          <w:rFonts w:hint="cs"/>
          <w:spacing w:val="0"/>
          <w:kern w:val="0"/>
          <w:rtl/>
        </w:rPr>
        <w:t xml:space="preserve"> </w:t>
      </w:r>
      <w:r w:rsidRPr="00AA537D">
        <w:rPr>
          <w:spacing w:val="0"/>
          <w:kern w:val="0"/>
          <w:rtl/>
        </w:rPr>
        <w:t>بأن منزله تحت المراقبة و</w:t>
      </w:r>
      <w:r w:rsidRPr="00AA537D">
        <w:rPr>
          <w:rFonts w:hint="cs"/>
          <w:spacing w:val="0"/>
          <w:kern w:val="0"/>
          <w:rtl/>
        </w:rPr>
        <w:t>ب</w:t>
      </w:r>
      <w:r w:rsidRPr="00AA537D">
        <w:rPr>
          <w:spacing w:val="0"/>
          <w:kern w:val="0"/>
          <w:rtl/>
        </w:rPr>
        <w:t>أنه تم</w:t>
      </w:r>
      <w:r w:rsidR="007C1D2D">
        <w:rPr>
          <w:rFonts w:hint="cs"/>
          <w:spacing w:val="0"/>
          <w:kern w:val="0"/>
          <w:rtl/>
        </w:rPr>
        <w:t> </w:t>
      </w:r>
      <w:r w:rsidRPr="00AA537D">
        <w:rPr>
          <w:rFonts w:hint="cs"/>
          <w:spacing w:val="0"/>
          <w:kern w:val="0"/>
          <w:rtl/>
        </w:rPr>
        <w:t>القبض على</w:t>
      </w:r>
      <w:r w:rsidRPr="00AA537D">
        <w:rPr>
          <w:spacing w:val="0"/>
          <w:kern w:val="0"/>
          <w:rtl/>
        </w:rPr>
        <w:t xml:space="preserve"> العديد من أصدقائه. </w:t>
      </w:r>
      <w:r w:rsidRPr="00AA537D">
        <w:rPr>
          <w:rFonts w:hint="cs"/>
          <w:spacing w:val="0"/>
          <w:kern w:val="0"/>
          <w:rtl/>
        </w:rPr>
        <w:t>و</w:t>
      </w:r>
      <w:r w:rsidRPr="00AA537D">
        <w:rPr>
          <w:spacing w:val="0"/>
          <w:kern w:val="0"/>
          <w:rtl/>
        </w:rPr>
        <w:t xml:space="preserve">في عام 2010، </w:t>
      </w:r>
      <w:r w:rsidRPr="00AA537D">
        <w:rPr>
          <w:rFonts w:hint="cs"/>
          <w:spacing w:val="0"/>
          <w:kern w:val="0"/>
          <w:rtl/>
        </w:rPr>
        <w:t xml:space="preserve">طلبت منه </w:t>
      </w:r>
      <w:r w:rsidRPr="00AA537D">
        <w:rPr>
          <w:spacing w:val="0"/>
          <w:kern w:val="0"/>
          <w:rtl/>
        </w:rPr>
        <w:t xml:space="preserve">عائلته </w:t>
      </w:r>
      <w:r w:rsidRPr="00AA537D">
        <w:rPr>
          <w:rFonts w:hint="cs"/>
          <w:spacing w:val="0"/>
          <w:kern w:val="0"/>
          <w:rtl/>
        </w:rPr>
        <w:t>بعدم العودة</w:t>
      </w:r>
      <w:r w:rsidRPr="00AA537D">
        <w:rPr>
          <w:spacing w:val="0"/>
          <w:kern w:val="0"/>
          <w:rtl/>
        </w:rPr>
        <w:t xml:space="preserve"> إلى أوزبكستان </w:t>
      </w:r>
      <w:r w:rsidRPr="00AA537D">
        <w:rPr>
          <w:rFonts w:hint="cs"/>
          <w:spacing w:val="0"/>
          <w:kern w:val="0"/>
          <w:rtl/>
        </w:rPr>
        <w:t>لأنه سيقبض عليه</w:t>
      </w:r>
      <w:r w:rsidRPr="00AA537D">
        <w:rPr>
          <w:spacing w:val="0"/>
          <w:kern w:val="0"/>
          <w:rtl/>
        </w:rPr>
        <w:t>. و</w:t>
      </w:r>
      <w:r w:rsidRPr="00AA537D">
        <w:rPr>
          <w:rFonts w:hint="cs"/>
          <w:spacing w:val="0"/>
          <w:kern w:val="0"/>
          <w:rtl/>
        </w:rPr>
        <w:t xml:space="preserve">ذهب على إثر </w:t>
      </w:r>
      <w:r w:rsidRPr="00AA537D">
        <w:rPr>
          <w:spacing w:val="0"/>
          <w:kern w:val="0"/>
          <w:rtl/>
        </w:rPr>
        <w:t>ذلك إلى كازاخستان وطلب اللجوء.</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r>
      <w:r w:rsidRPr="00AA537D">
        <w:rPr>
          <w:spacing w:val="0"/>
          <w:kern w:val="0"/>
          <w:rtl/>
        </w:rPr>
        <w:t>عبد العظيم حجة يعقوبوف</w:t>
      </w:r>
      <w:r w:rsidRPr="00AA537D">
        <w:rPr>
          <w:rFonts w:hint="cs"/>
          <w:spacing w:val="0"/>
          <w:kern w:val="0"/>
          <w:rtl/>
        </w:rPr>
        <w:t xml:space="preserve"> </w:t>
      </w:r>
    </w:p>
    <w:p w:rsidR="00FA6676" w:rsidRPr="00AA537D" w:rsidRDefault="00FA6676" w:rsidP="00AA537D">
      <w:pPr>
        <w:pStyle w:val="SingleTxtGA"/>
        <w:jc w:val="lowKashida"/>
        <w:rPr>
          <w:rFonts w:hint="cs"/>
          <w:spacing w:val="0"/>
          <w:kern w:val="0"/>
          <w:rtl/>
        </w:rPr>
      </w:pPr>
      <w:r w:rsidRPr="00AA537D">
        <w:rPr>
          <w:rFonts w:hint="cs"/>
          <w:spacing w:val="0"/>
          <w:kern w:val="0"/>
          <w:rtl/>
        </w:rPr>
        <w:t>7-26</w:t>
      </w:r>
      <w:r w:rsidRPr="00AA537D">
        <w:rPr>
          <w:rFonts w:hint="cs"/>
          <w:spacing w:val="0"/>
          <w:kern w:val="0"/>
          <w:rtl/>
        </w:rPr>
        <w:tab/>
        <w:t xml:space="preserve">وضعت دائرة الأمن القومي أحد </w:t>
      </w:r>
      <w:r w:rsidRPr="00AA537D">
        <w:rPr>
          <w:spacing w:val="0"/>
          <w:kern w:val="0"/>
          <w:rtl/>
        </w:rPr>
        <w:t>زم</w:t>
      </w:r>
      <w:r w:rsidRPr="00AA537D">
        <w:rPr>
          <w:rFonts w:hint="cs"/>
          <w:spacing w:val="0"/>
          <w:kern w:val="0"/>
          <w:rtl/>
        </w:rPr>
        <w:t>لاء</w:t>
      </w:r>
      <w:r w:rsidRPr="00AA537D">
        <w:rPr>
          <w:spacing w:val="0"/>
          <w:kern w:val="0"/>
          <w:rtl/>
        </w:rPr>
        <w:t xml:space="preserve"> صاحب الشكوى </w:t>
      </w:r>
      <w:r w:rsidRPr="00AA537D">
        <w:rPr>
          <w:rFonts w:hint="cs"/>
          <w:spacing w:val="0"/>
          <w:kern w:val="0"/>
          <w:rtl/>
        </w:rPr>
        <w:t>تحت</w:t>
      </w:r>
      <w:r w:rsidRPr="00AA537D">
        <w:rPr>
          <w:spacing w:val="0"/>
          <w:kern w:val="0"/>
          <w:rtl/>
        </w:rPr>
        <w:t xml:space="preserve"> المراقبة </w:t>
      </w:r>
      <w:r w:rsidRPr="00AA537D">
        <w:rPr>
          <w:rFonts w:hint="cs"/>
          <w:spacing w:val="0"/>
          <w:kern w:val="0"/>
          <w:rtl/>
        </w:rPr>
        <w:t xml:space="preserve">ووجد مقتولاً </w:t>
      </w:r>
      <w:r w:rsidRPr="00AA537D">
        <w:rPr>
          <w:spacing w:val="0"/>
          <w:kern w:val="0"/>
          <w:rtl/>
        </w:rPr>
        <w:t xml:space="preserve">بعد ذلك. </w:t>
      </w:r>
      <w:r w:rsidRPr="00AA537D">
        <w:rPr>
          <w:rFonts w:hint="cs"/>
          <w:spacing w:val="0"/>
          <w:kern w:val="0"/>
          <w:rtl/>
        </w:rPr>
        <w:t>و</w:t>
      </w:r>
      <w:r w:rsidRPr="00AA537D">
        <w:rPr>
          <w:spacing w:val="0"/>
          <w:kern w:val="0"/>
          <w:rtl/>
        </w:rPr>
        <w:t>في عام 2009، تم استدعاء صاحب الشكوى و</w:t>
      </w:r>
      <w:r w:rsidRPr="00AA537D">
        <w:rPr>
          <w:rFonts w:hint="cs"/>
          <w:spacing w:val="0"/>
          <w:kern w:val="0"/>
          <w:rtl/>
        </w:rPr>
        <w:t>جميع ال</w:t>
      </w:r>
      <w:r w:rsidRPr="00AA537D">
        <w:rPr>
          <w:spacing w:val="0"/>
          <w:kern w:val="0"/>
          <w:rtl/>
        </w:rPr>
        <w:t>رج</w:t>
      </w:r>
      <w:r w:rsidRPr="00AA537D">
        <w:rPr>
          <w:rFonts w:hint="cs"/>
          <w:spacing w:val="0"/>
          <w:kern w:val="0"/>
          <w:rtl/>
        </w:rPr>
        <w:t>ا</w:t>
      </w:r>
      <w:r w:rsidRPr="00AA537D">
        <w:rPr>
          <w:spacing w:val="0"/>
          <w:kern w:val="0"/>
          <w:rtl/>
        </w:rPr>
        <w:t xml:space="preserve">ل في أسرته </w:t>
      </w:r>
      <w:r w:rsidRPr="00AA537D">
        <w:rPr>
          <w:rFonts w:hint="cs"/>
          <w:spacing w:val="0"/>
          <w:kern w:val="0"/>
          <w:rtl/>
        </w:rPr>
        <w:t>بدائرة الأمن القومي</w:t>
      </w:r>
      <w:r w:rsidRPr="00AA537D">
        <w:rPr>
          <w:spacing w:val="0"/>
          <w:kern w:val="0"/>
          <w:rtl/>
        </w:rPr>
        <w:t xml:space="preserve">. </w:t>
      </w:r>
      <w:r w:rsidRPr="00AA537D">
        <w:rPr>
          <w:rFonts w:hint="cs"/>
          <w:spacing w:val="0"/>
          <w:kern w:val="0"/>
          <w:rtl/>
        </w:rPr>
        <w:t>و</w:t>
      </w:r>
      <w:r w:rsidRPr="00AA537D">
        <w:rPr>
          <w:spacing w:val="0"/>
          <w:kern w:val="0"/>
          <w:rtl/>
        </w:rPr>
        <w:t xml:space="preserve">في 28 </w:t>
      </w:r>
      <w:r w:rsidRPr="00AA537D">
        <w:rPr>
          <w:rFonts w:hint="cs"/>
          <w:spacing w:val="0"/>
          <w:kern w:val="0"/>
          <w:rtl/>
        </w:rPr>
        <w:t>كانون الثاني/</w:t>
      </w:r>
      <w:r w:rsidRPr="00AA537D">
        <w:rPr>
          <w:spacing w:val="0"/>
          <w:kern w:val="0"/>
          <w:rtl/>
        </w:rPr>
        <w:t xml:space="preserve">يناير 2010، وصل </w:t>
      </w:r>
      <w:r w:rsidRPr="00AA537D">
        <w:rPr>
          <w:rFonts w:hint="cs"/>
          <w:spacing w:val="0"/>
          <w:kern w:val="0"/>
          <w:rtl/>
        </w:rPr>
        <w:t>صاحب</w:t>
      </w:r>
      <w:r w:rsidRPr="00AA537D">
        <w:rPr>
          <w:spacing w:val="0"/>
          <w:kern w:val="0"/>
          <w:rtl/>
        </w:rPr>
        <w:t xml:space="preserve"> الشكوى </w:t>
      </w:r>
      <w:r w:rsidRPr="00AA537D">
        <w:rPr>
          <w:rFonts w:hint="cs"/>
          <w:spacing w:val="0"/>
          <w:kern w:val="0"/>
          <w:rtl/>
        </w:rPr>
        <w:t>إلى</w:t>
      </w:r>
      <w:r w:rsidRPr="00AA537D">
        <w:rPr>
          <w:spacing w:val="0"/>
          <w:kern w:val="0"/>
          <w:rtl/>
        </w:rPr>
        <w:t xml:space="preserve"> كازاخستان. وأ</w:t>
      </w:r>
      <w:r w:rsidRPr="00AA537D">
        <w:rPr>
          <w:rFonts w:hint="cs"/>
          <w:spacing w:val="0"/>
          <w:kern w:val="0"/>
          <w:rtl/>
        </w:rPr>
        <w:t>ُ</w:t>
      </w:r>
      <w:r w:rsidRPr="00AA537D">
        <w:rPr>
          <w:spacing w:val="0"/>
          <w:kern w:val="0"/>
          <w:rtl/>
        </w:rPr>
        <w:t xml:space="preserve">بلغ </w:t>
      </w:r>
      <w:r w:rsidRPr="00AA537D">
        <w:rPr>
          <w:rFonts w:hint="cs"/>
          <w:spacing w:val="0"/>
          <w:kern w:val="0"/>
          <w:rtl/>
        </w:rPr>
        <w:t>ب</w:t>
      </w:r>
      <w:r w:rsidRPr="00AA537D">
        <w:rPr>
          <w:spacing w:val="0"/>
          <w:kern w:val="0"/>
          <w:rtl/>
        </w:rPr>
        <w:t>أن</w:t>
      </w:r>
      <w:r w:rsidRPr="00AA537D">
        <w:rPr>
          <w:rFonts w:hint="cs"/>
          <w:spacing w:val="0"/>
          <w:kern w:val="0"/>
          <w:rtl/>
        </w:rPr>
        <w:t>ه حكم على</w:t>
      </w:r>
      <w:r w:rsidRPr="00AA537D">
        <w:rPr>
          <w:spacing w:val="0"/>
          <w:kern w:val="0"/>
          <w:rtl/>
        </w:rPr>
        <w:t xml:space="preserve"> شقيقته وابن أخيه بالسجن لمدة 17 سنة و9 </w:t>
      </w:r>
      <w:r w:rsidRPr="00AA537D">
        <w:rPr>
          <w:rFonts w:hint="cs"/>
          <w:spacing w:val="0"/>
          <w:kern w:val="0"/>
          <w:rtl/>
        </w:rPr>
        <w:t xml:space="preserve">سنوات </w:t>
      </w:r>
      <w:r w:rsidRPr="00AA537D">
        <w:rPr>
          <w:spacing w:val="0"/>
          <w:kern w:val="0"/>
          <w:rtl/>
        </w:rPr>
        <w:t>على التوالي</w:t>
      </w:r>
      <w:r w:rsidRPr="00AA537D">
        <w:rPr>
          <w:rFonts w:hint="cs"/>
          <w:spacing w:val="0"/>
          <w:kern w:val="0"/>
          <w:rtl/>
        </w:rPr>
        <w:t xml:space="preserve"> وب</w:t>
      </w:r>
      <w:r w:rsidRPr="00AA537D">
        <w:rPr>
          <w:spacing w:val="0"/>
          <w:kern w:val="0"/>
          <w:rtl/>
        </w:rPr>
        <w:t xml:space="preserve">أنه </w:t>
      </w:r>
      <w:r w:rsidRPr="00AA537D">
        <w:rPr>
          <w:rFonts w:hint="cs"/>
          <w:spacing w:val="0"/>
          <w:kern w:val="0"/>
          <w:rtl/>
        </w:rPr>
        <w:t>م</w:t>
      </w:r>
      <w:r w:rsidRPr="00AA537D">
        <w:rPr>
          <w:spacing w:val="0"/>
          <w:kern w:val="0"/>
          <w:rtl/>
        </w:rPr>
        <w:t>تهم بالانتماء إلى جماعة دينية متطرفة</w:t>
      </w:r>
      <w:r w:rsidRPr="00AA537D">
        <w:rPr>
          <w:rFonts w:hint="cs"/>
          <w:spacing w:val="0"/>
          <w:kern w:val="0"/>
          <w:rtl/>
        </w:rPr>
        <w:t xml:space="preserve"> يُدّعى أن حماه هو الذي أسسها، وقتلت الشرطة حماه بعد ذلك</w:t>
      </w:r>
      <w:r w:rsidRPr="00AA537D">
        <w:rPr>
          <w:spacing w:val="0"/>
          <w:kern w:val="0"/>
          <w:rtl/>
        </w:rPr>
        <w:t>.</w:t>
      </w:r>
    </w:p>
    <w:p w:rsidR="00FA6676" w:rsidRPr="00AA537D" w:rsidRDefault="00FA6676" w:rsidP="00AA537D">
      <w:pPr>
        <w:pStyle w:val="H4GA"/>
        <w:jc w:val="lowKashida"/>
        <w:rPr>
          <w:rFonts w:hint="cs"/>
          <w:spacing w:val="0"/>
          <w:kern w:val="0"/>
          <w:rtl/>
        </w:rPr>
      </w:pPr>
      <w:r w:rsidRPr="00AA537D">
        <w:rPr>
          <w:rFonts w:hint="cs"/>
          <w:spacing w:val="0"/>
          <w:kern w:val="0"/>
          <w:rtl/>
        </w:rPr>
        <w:tab/>
      </w:r>
      <w:r w:rsidRPr="00AA537D">
        <w:rPr>
          <w:rFonts w:hint="cs"/>
          <w:spacing w:val="0"/>
          <w:kern w:val="0"/>
          <w:rtl/>
        </w:rPr>
        <w:tab/>
        <w:t>معروف يولدوتشيف</w:t>
      </w:r>
    </w:p>
    <w:p w:rsidR="00FA6676" w:rsidRPr="00AA537D" w:rsidRDefault="00FA6676" w:rsidP="00AA537D">
      <w:pPr>
        <w:pStyle w:val="SingleTxtGA"/>
        <w:jc w:val="lowKashida"/>
        <w:rPr>
          <w:rFonts w:hint="cs"/>
          <w:spacing w:val="0"/>
          <w:kern w:val="0"/>
          <w:rtl/>
        </w:rPr>
      </w:pPr>
      <w:r w:rsidRPr="007C1D2D">
        <w:rPr>
          <w:rFonts w:hint="cs"/>
          <w:spacing w:val="-2"/>
          <w:kern w:val="0"/>
          <w:rtl/>
        </w:rPr>
        <w:t>7-27</w:t>
      </w:r>
      <w:r w:rsidRPr="007C1D2D">
        <w:rPr>
          <w:rFonts w:hint="cs"/>
          <w:spacing w:val="-2"/>
          <w:kern w:val="0"/>
          <w:rtl/>
        </w:rPr>
        <w:tab/>
        <w:t xml:space="preserve">في عام 2009، </w:t>
      </w:r>
      <w:r w:rsidRPr="007C1D2D">
        <w:rPr>
          <w:spacing w:val="-2"/>
          <w:kern w:val="0"/>
          <w:rtl/>
        </w:rPr>
        <w:t xml:space="preserve">بدأ صاحب الشكوى </w:t>
      </w:r>
      <w:r w:rsidRPr="007C1D2D">
        <w:rPr>
          <w:rFonts w:hint="cs"/>
          <w:spacing w:val="-2"/>
          <w:kern w:val="0"/>
          <w:rtl/>
        </w:rPr>
        <w:t xml:space="preserve">التردد على </w:t>
      </w:r>
      <w:r w:rsidRPr="007C1D2D">
        <w:rPr>
          <w:spacing w:val="-2"/>
          <w:kern w:val="0"/>
          <w:rtl/>
        </w:rPr>
        <w:t xml:space="preserve">المسجد. </w:t>
      </w:r>
      <w:r w:rsidRPr="007C1D2D">
        <w:rPr>
          <w:rFonts w:hint="cs"/>
          <w:spacing w:val="-2"/>
          <w:kern w:val="0"/>
          <w:rtl/>
        </w:rPr>
        <w:t>و</w:t>
      </w:r>
      <w:r w:rsidRPr="007C1D2D">
        <w:rPr>
          <w:spacing w:val="-2"/>
          <w:kern w:val="0"/>
          <w:rtl/>
        </w:rPr>
        <w:t>في نيسان/أبريل 2010، ألقي القبض على أحد أصدقائه و</w:t>
      </w:r>
      <w:r w:rsidRPr="007C1D2D">
        <w:rPr>
          <w:rFonts w:hint="cs"/>
          <w:spacing w:val="-2"/>
          <w:kern w:val="0"/>
          <w:rtl/>
        </w:rPr>
        <w:t xml:space="preserve">أبلغه </w:t>
      </w:r>
      <w:r w:rsidRPr="007C1D2D">
        <w:rPr>
          <w:spacing w:val="-2"/>
          <w:kern w:val="0"/>
          <w:rtl/>
        </w:rPr>
        <w:t xml:space="preserve">صديق آخر </w:t>
      </w:r>
      <w:r w:rsidRPr="007C1D2D">
        <w:rPr>
          <w:rFonts w:hint="cs"/>
          <w:spacing w:val="-2"/>
          <w:kern w:val="0"/>
          <w:rtl/>
        </w:rPr>
        <w:t>ب</w:t>
      </w:r>
      <w:r w:rsidRPr="007C1D2D">
        <w:rPr>
          <w:spacing w:val="-2"/>
          <w:kern w:val="0"/>
          <w:rtl/>
        </w:rPr>
        <w:t xml:space="preserve">أنه </w:t>
      </w:r>
      <w:r w:rsidRPr="007C1D2D">
        <w:rPr>
          <w:rFonts w:hint="cs"/>
          <w:spacing w:val="-2"/>
          <w:kern w:val="0"/>
          <w:rtl/>
        </w:rPr>
        <w:t xml:space="preserve">معرض للقبض عليه </w:t>
      </w:r>
      <w:r w:rsidRPr="007C1D2D">
        <w:rPr>
          <w:spacing w:val="-2"/>
          <w:kern w:val="0"/>
          <w:rtl/>
        </w:rPr>
        <w:t>وتعذيب</w:t>
      </w:r>
      <w:r w:rsidRPr="007C1D2D">
        <w:rPr>
          <w:rFonts w:hint="cs"/>
          <w:spacing w:val="-2"/>
          <w:kern w:val="0"/>
          <w:rtl/>
        </w:rPr>
        <w:t>ه</w:t>
      </w:r>
      <w:r w:rsidRPr="007C1D2D">
        <w:rPr>
          <w:spacing w:val="-2"/>
          <w:kern w:val="0"/>
          <w:rtl/>
        </w:rPr>
        <w:t>.</w:t>
      </w:r>
      <w:r w:rsidRPr="00AA537D">
        <w:rPr>
          <w:spacing w:val="0"/>
          <w:kern w:val="0"/>
          <w:rtl/>
        </w:rPr>
        <w:t xml:space="preserve"> </w:t>
      </w:r>
      <w:r w:rsidRPr="00AA537D">
        <w:rPr>
          <w:rFonts w:hint="cs"/>
          <w:spacing w:val="0"/>
          <w:kern w:val="0"/>
          <w:rtl/>
        </w:rPr>
        <w:t xml:space="preserve">وفر </w:t>
      </w:r>
      <w:r w:rsidRPr="00AA537D">
        <w:rPr>
          <w:spacing w:val="0"/>
          <w:kern w:val="0"/>
          <w:rtl/>
        </w:rPr>
        <w:t xml:space="preserve">من أوزبكستان ووصل إلى كازاخستان يوم 5 </w:t>
      </w:r>
      <w:r w:rsidRPr="00AA537D">
        <w:rPr>
          <w:rFonts w:hint="cs"/>
          <w:spacing w:val="0"/>
          <w:kern w:val="0"/>
          <w:rtl/>
        </w:rPr>
        <w:t xml:space="preserve">نيسان/أبريل </w:t>
      </w:r>
      <w:r w:rsidRPr="00AA537D">
        <w:rPr>
          <w:spacing w:val="0"/>
          <w:kern w:val="0"/>
          <w:rtl/>
        </w:rPr>
        <w:t xml:space="preserve">2010. </w:t>
      </w:r>
    </w:p>
    <w:p w:rsidR="00FA6676" w:rsidRPr="00AA537D" w:rsidRDefault="00FA6676" w:rsidP="00AA537D">
      <w:pPr>
        <w:pStyle w:val="SingleTxtGA"/>
        <w:jc w:val="lowKashida"/>
        <w:rPr>
          <w:rFonts w:hint="cs"/>
          <w:spacing w:val="0"/>
          <w:kern w:val="0"/>
          <w:rtl/>
        </w:rPr>
      </w:pPr>
      <w:r w:rsidRPr="00AA537D">
        <w:rPr>
          <w:rFonts w:hint="cs"/>
          <w:spacing w:val="0"/>
          <w:kern w:val="0"/>
          <w:rtl/>
        </w:rPr>
        <w:t>7-28</w:t>
      </w:r>
      <w:r w:rsidRPr="00AA537D">
        <w:rPr>
          <w:rFonts w:hint="cs"/>
          <w:spacing w:val="0"/>
          <w:kern w:val="0"/>
          <w:rtl/>
        </w:rPr>
        <w:tab/>
        <w:t>وتفيد المحامية بأنها ليس لديها معلومات بشأن رافشان توراييف و</w:t>
      </w:r>
      <w:r w:rsidRPr="00AA537D">
        <w:rPr>
          <w:spacing w:val="0"/>
          <w:kern w:val="0"/>
          <w:rtl/>
        </w:rPr>
        <w:t>فايز الدين</w:t>
      </w:r>
      <w:r w:rsidRPr="00AA537D">
        <w:rPr>
          <w:rFonts w:hint="cs"/>
          <w:spacing w:val="0"/>
          <w:kern w:val="0"/>
          <w:rtl/>
        </w:rPr>
        <w:t xml:space="preserve"> عمروف لأنها لم تتمكن من الاتصال بهما لوجودهما بالاحتجاز منذ تسليمهما.</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ملاحظات الدولة الطرف بشأن الأسس الموضوعية</w:t>
      </w:r>
    </w:p>
    <w:p w:rsidR="00FA6676" w:rsidRPr="00AA537D" w:rsidRDefault="00FA6676" w:rsidP="00AA537D">
      <w:pPr>
        <w:pStyle w:val="SingleTxtGA"/>
        <w:jc w:val="lowKashida"/>
        <w:rPr>
          <w:rFonts w:hint="cs"/>
          <w:spacing w:val="0"/>
          <w:kern w:val="0"/>
          <w:rtl/>
        </w:rPr>
      </w:pPr>
      <w:r w:rsidRPr="00AA537D">
        <w:rPr>
          <w:rFonts w:hint="cs"/>
          <w:spacing w:val="0"/>
          <w:kern w:val="0"/>
          <w:rtl/>
        </w:rPr>
        <w:t>8-1</w:t>
      </w:r>
      <w:r w:rsidRPr="00AA537D">
        <w:rPr>
          <w:rFonts w:hint="cs"/>
          <w:spacing w:val="0"/>
          <w:kern w:val="0"/>
          <w:rtl/>
        </w:rPr>
        <w:tab/>
        <w:t xml:space="preserve">في 30 نيسان/أبريل 2012، قدمت </w:t>
      </w:r>
      <w:r w:rsidRPr="00AA537D">
        <w:rPr>
          <w:spacing w:val="0"/>
          <w:kern w:val="0"/>
          <w:rtl/>
        </w:rPr>
        <w:t xml:space="preserve">الدولة الطرف ملاحظات </w:t>
      </w:r>
      <w:r w:rsidRPr="00AA537D">
        <w:rPr>
          <w:rFonts w:hint="cs"/>
          <w:spacing w:val="0"/>
          <w:kern w:val="0"/>
          <w:rtl/>
        </w:rPr>
        <w:t xml:space="preserve">إضافية بشأن </w:t>
      </w:r>
      <w:r w:rsidRPr="00AA537D">
        <w:rPr>
          <w:spacing w:val="0"/>
          <w:kern w:val="0"/>
          <w:rtl/>
        </w:rPr>
        <w:t xml:space="preserve">تسليم </w:t>
      </w:r>
      <w:r w:rsidRPr="00AA537D">
        <w:rPr>
          <w:rFonts w:hint="cs"/>
          <w:spacing w:val="0"/>
          <w:kern w:val="0"/>
          <w:rtl/>
        </w:rPr>
        <w:t>أصحاب الشكوى اﻟ</w:t>
      </w:r>
      <w:r w:rsidRPr="00AA537D">
        <w:rPr>
          <w:spacing w:val="0"/>
          <w:kern w:val="0"/>
          <w:rtl/>
        </w:rPr>
        <w:t xml:space="preserve"> 2</w:t>
      </w:r>
      <w:r w:rsidRPr="00AA537D">
        <w:rPr>
          <w:rFonts w:hint="cs"/>
          <w:spacing w:val="0"/>
          <w:kern w:val="0"/>
          <w:rtl/>
        </w:rPr>
        <w:t>9</w:t>
      </w:r>
      <w:r w:rsidRPr="00AA537D">
        <w:rPr>
          <w:spacing w:val="0"/>
          <w:kern w:val="0"/>
          <w:rtl/>
        </w:rPr>
        <w:t>. و</w:t>
      </w:r>
      <w:r w:rsidRPr="00AA537D">
        <w:rPr>
          <w:rFonts w:hint="cs"/>
          <w:spacing w:val="0"/>
          <w:kern w:val="0"/>
          <w:rtl/>
        </w:rPr>
        <w:t xml:space="preserve">أفادت بأنه تم في الفترة من </w:t>
      </w:r>
      <w:r w:rsidRPr="00AA537D">
        <w:rPr>
          <w:spacing w:val="0"/>
          <w:kern w:val="0"/>
          <w:rtl/>
        </w:rPr>
        <w:t xml:space="preserve">حزيران/يونيه إلى كانون الأول/ديسمبر 2010 تسليم </w:t>
      </w:r>
      <w:r w:rsidRPr="00AA537D">
        <w:rPr>
          <w:rFonts w:hint="cs"/>
          <w:spacing w:val="0"/>
          <w:kern w:val="0"/>
          <w:rtl/>
        </w:rPr>
        <w:t xml:space="preserve">أصحاب الشكوى إلى </w:t>
      </w:r>
      <w:r w:rsidRPr="00AA537D">
        <w:rPr>
          <w:spacing w:val="0"/>
          <w:kern w:val="0"/>
          <w:rtl/>
        </w:rPr>
        <w:t xml:space="preserve">أوزبكستان حيث </w:t>
      </w:r>
      <w:r w:rsidRPr="00AA537D">
        <w:rPr>
          <w:rFonts w:hint="cs"/>
          <w:spacing w:val="0"/>
          <w:kern w:val="0"/>
          <w:rtl/>
        </w:rPr>
        <w:t>كانوا مطلوبين لاتهامهم ب</w:t>
      </w:r>
      <w:r w:rsidRPr="00AA537D">
        <w:rPr>
          <w:spacing w:val="0"/>
          <w:kern w:val="0"/>
          <w:rtl/>
        </w:rPr>
        <w:t xml:space="preserve">الإرهاب، وإنشاء </w:t>
      </w:r>
      <w:r w:rsidRPr="00AA537D">
        <w:rPr>
          <w:rFonts w:hint="cs"/>
          <w:spacing w:val="0"/>
          <w:kern w:val="0"/>
          <w:rtl/>
        </w:rPr>
        <w:t xml:space="preserve">منظمات </w:t>
      </w:r>
      <w:r w:rsidRPr="00AA537D">
        <w:rPr>
          <w:spacing w:val="0"/>
          <w:kern w:val="0"/>
          <w:rtl/>
        </w:rPr>
        <w:t xml:space="preserve">دينية </w:t>
      </w:r>
      <w:r w:rsidRPr="00AA537D">
        <w:rPr>
          <w:rFonts w:hint="cs"/>
          <w:spacing w:val="0"/>
          <w:kern w:val="0"/>
          <w:rtl/>
        </w:rPr>
        <w:t>و</w:t>
      </w:r>
      <w:r w:rsidRPr="00AA537D">
        <w:rPr>
          <w:spacing w:val="0"/>
          <w:kern w:val="0"/>
          <w:rtl/>
        </w:rPr>
        <w:t>متطرف</w:t>
      </w:r>
      <w:r w:rsidRPr="00AA537D">
        <w:rPr>
          <w:rFonts w:hint="cs"/>
          <w:spacing w:val="0"/>
          <w:kern w:val="0"/>
          <w:rtl/>
        </w:rPr>
        <w:t>ة</w:t>
      </w:r>
      <w:r w:rsidRPr="00AA537D">
        <w:rPr>
          <w:spacing w:val="0"/>
          <w:kern w:val="0"/>
          <w:rtl/>
        </w:rPr>
        <w:t xml:space="preserve"> وانفصالية وأصولية</w:t>
      </w:r>
      <w:r w:rsidRPr="00AA537D">
        <w:rPr>
          <w:rFonts w:hint="cs"/>
          <w:spacing w:val="0"/>
          <w:kern w:val="0"/>
          <w:rtl/>
        </w:rPr>
        <w:t xml:space="preserve"> و</w:t>
      </w:r>
      <w:r w:rsidRPr="00AA537D">
        <w:rPr>
          <w:spacing w:val="0"/>
          <w:kern w:val="0"/>
          <w:rtl/>
        </w:rPr>
        <w:t>غيرها من المنظمات المحظورة</w:t>
      </w:r>
      <w:r w:rsidRPr="00AA537D">
        <w:rPr>
          <w:rFonts w:hint="cs"/>
          <w:spacing w:val="0"/>
          <w:kern w:val="0"/>
          <w:rtl/>
        </w:rPr>
        <w:t xml:space="preserve"> والعضوية فيها، و</w:t>
      </w:r>
      <w:r w:rsidRPr="00AA537D">
        <w:rPr>
          <w:spacing w:val="0"/>
          <w:kern w:val="0"/>
          <w:rtl/>
        </w:rPr>
        <w:t>القتل</w:t>
      </w:r>
      <w:r w:rsidRPr="00AA537D">
        <w:rPr>
          <w:rFonts w:hint="cs"/>
          <w:spacing w:val="0"/>
          <w:kern w:val="0"/>
          <w:rtl/>
        </w:rPr>
        <w:t>،</w:t>
      </w:r>
      <w:r w:rsidRPr="00AA537D">
        <w:rPr>
          <w:spacing w:val="0"/>
          <w:kern w:val="0"/>
          <w:rtl/>
        </w:rPr>
        <w:t xml:space="preserve"> والعضوية في منظمات إجرامية</w:t>
      </w:r>
      <w:r w:rsidRPr="00AA537D">
        <w:rPr>
          <w:rFonts w:hint="cs"/>
          <w:spacing w:val="0"/>
          <w:kern w:val="0"/>
          <w:rtl/>
        </w:rPr>
        <w:t>،</w:t>
      </w:r>
      <w:r w:rsidRPr="00AA537D">
        <w:rPr>
          <w:spacing w:val="0"/>
          <w:kern w:val="0"/>
          <w:rtl/>
        </w:rPr>
        <w:t xml:space="preserve"> وجرائم أخرى. واتخذ قرار تسليمهم وفقاً لأحكام العهد الدولي الخاص بالحقوق المدنية والسياسية، وأيضاً مع مراعاة خطورة التهم الموجهة</w:t>
      </w:r>
      <w:r w:rsidRPr="00AA537D">
        <w:rPr>
          <w:rFonts w:hint="cs"/>
          <w:spacing w:val="0"/>
          <w:kern w:val="0"/>
          <w:rtl/>
        </w:rPr>
        <w:t xml:space="preserve"> إليهم لمنعهم من الفرار </w:t>
      </w:r>
      <w:r w:rsidRPr="00AA537D">
        <w:rPr>
          <w:spacing w:val="0"/>
          <w:kern w:val="0"/>
          <w:rtl/>
        </w:rPr>
        <w:t>وضمان الأمن العام في إقليم الدولة الطرف.</w:t>
      </w:r>
    </w:p>
    <w:p w:rsidR="00FA6676" w:rsidRPr="00AA537D" w:rsidRDefault="00FA6676" w:rsidP="00AA537D">
      <w:pPr>
        <w:pStyle w:val="SingleTxtGA"/>
        <w:jc w:val="lowKashida"/>
        <w:rPr>
          <w:rFonts w:hint="cs"/>
          <w:spacing w:val="0"/>
          <w:kern w:val="0"/>
          <w:rtl/>
        </w:rPr>
      </w:pPr>
      <w:r w:rsidRPr="00AA537D">
        <w:rPr>
          <w:rFonts w:hint="cs"/>
          <w:spacing w:val="0"/>
          <w:kern w:val="0"/>
          <w:rtl/>
        </w:rPr>
        <w:t>8-</w:t>
      </w:r>
      <w:r w:rsidRPr="00AA537D">
        <w:rPr>
          <w:spacing w:val="0"/>
          <w:kern w:val="0"/>
          <w:rtl/>
        </w:rPr>
        <w:t>2</w:t>
      </w:r>
      <w:r w:rsidRPr="00AA537D">
        <w:rPr>
          <w:rFonts w:hint="cs"/>
          <w:spacing w:val="0"/>
          <w:kern w:val="0"/>
          <w:rtl/>
        </w:rPr>
        <w:tab/>
        <w:t xml:space="preserve">وتحيل </w:t>
      </w:r>
      <w:r w:rsidRPr="00AA537D">
        <w:rPr>
          <w:spacing w:val="0"/>
          <w:kern w:val="0"/>
          <w:rtl/>
        </w:rPr>
        <w:t xml:space="preserve">الدولة الطرف إلى رسائلها السابقة </w:t>
      </w:r>
      <w:r w:rsidRPr="00AA537D">
        <w:rPr>
          <w:rFonts w:hint="cs"/>
          <w:spacing w:val="0"/>
          <w:kern w:val="0"/>
          <w:rtl/>
        </w:rPr>
        <w:t xml:space="preserve">فيما يتعلق </w:t>
      </w:r>
      <w:r w:rsidRPr="00AA537D">
        <w:rPr>
          <w:spacing w:val="0"/>
          <w:kern w:val="0"/>
          <w:rtl/>
        </w:rPr>
        <w:t xml:space="preserve">بمشروعية قرار </w:t>
      </w:r>
      <w:r w:rsidRPr="00AA537D">
        <w:rPr>
          <w:rFonts w:hint="cs"/>
          <w:spacing w:val="0"/>
          <w:kern w:val="0"/>
          <w:rtl/>
        </w:rPr>
        <w:t>التس</w:t>
      </w:r>
      <w:r w:rsidRPr="00AA537D">
        <w:rPr>
          <w:spacing w:val="0"/>
          <w:kern w:val="0"/>
          <w:rtl/>
        </w:rPr>
        <w:t xml:space="preserve">ليم وادعاءات </w:t>
      </w:r>
      <w:r w:rsidRPr="00AA537D">
        <w:rPr>
          <w:rFonts w:hint="cs"/>
          <w:spacing w:val="0"/>
          <w:kern w:val="0"/>
          <w:rtl/>
        </w:rPr>
        <w:t xml:space="preserve">أصحاب الشكوى بشأن قيام سلطات الدولة الطرف بسوء </w:t>
      </w:r>
      <w:r w:rsidRPr="00AA537D">
        <w:rPr>
          <w:spacing w:val="0"/>
          <w:kern w:val="0"/>
          <w:rtl/>
        </w:rPr>
        <w:t>معامل</w:t>
      </w:r>
      <w:r w:rsidRPr="00AA537D">
        <w:rPr>
          <w:rFonts w:hint="cs"/>
          <w:spacing w:val="0"/>
          <w:kern w:val="0"/>
          <w:rtl/>
        </w:rPr>
        <w:t>تهم و</w:t>
      </w:r>
      <w:r w:rsidRPr="00AA537D">
        <w:rPr>
          <w:spacing w:val="0"/>
          <w:kern w:val="0"/>
          <w:rtl/>
        </w:rPr>
        <w:t>تعذيب</w:t>
      </w:r>
      <w:r w:rsidRPr="00AA537D">
        <w:rPr>
          <w:rFonts w:hint="cs"/>
          <w:spacing w:val="0"/>
          <w:kern w:val="0"/>
          <w:rtl/>
        </w:rPr>
        <w:t>هم</w:t>
      </w:r>
      <w:r w:rsidRPr="00AA537D">
        <w:rPr>
          <w:spacing w:val="0"/>
          <w:kern w:val="0"/>
          <w:rtl/>
        </w:rPr>
        <w:t xml:space="preserve">. وتكرر </w:t>
      </w:r>
      <w:r w:rsidRPr="00AA537D">
        <w:rPr>
          <w:rFonts w:hint="cs"/>
          <w:spacing w:val="0"/>
          <w:kern w:val="0"/>
          <w:rtl/>
        </w:rPr>
        <w:t xml:space="preserve">الدولة الطرف </w:t>
      </w:r>
      <w:r w:rsidRPr="00AA537D">
        <w:rPr>
          <w:spacing w:val="0"/>
          <w:kern w:val="0"/>
          <w:rtl/>
        </w:rPr>
        <w:t xml:space="preserve">أنها حصلت على ضمانات خطية من مكتب </w:t>
      </w:r>
      <w:r w:rsidRPr="00AA537D">
        <w:rPr>
          <w:rFonts w:hint="cs"/>
          <w:spacing w:val="0"/>
          <w:kern w:val="0"/>
          <w:rtl/>
        </w:rPr>
        <w:t xml:space="preserve">المدعي العام في </w:t>
      </w:r>
      <w:r w:rsidRPr="00AA537D">
        <w:rPr>
          <w:spacing w:val="0"/>
          <w:kern w:val="0"/>
          <w:rtl/>
        </w:rPr>
        <w:t>أوزبكستان</w:t>
      </w:r>
      <w:r w:rsidRPr="00AA537D">
        <w:rPr>
          <w:rFonts w:hint="cs"/>
          <w:spacing w:val="0"/>
          <w:kern w:val="0"/>
          <w:rtl/>
        </w:rPr>
        <w:t xml:space="preserve"> بأن حقوق وحريات أصحاب الشكوى ستكون مكفولة بعد التسليم وبأنهم لن يتعرضوا </w:t>
      </w:r>
      <w:r w:rsidRPr="00AA537D">
        <w:rPr>
          <w:spacing w:val="0"/>
          <w:kern w:val="0"/>
          <w:rtl/>
        </w:rPr>
        <w:t xml:space="preserve">للتعذيب أو سوء المعاملة. </w:t>
      </w:r>
      <w:r w:rsidRPr="00AA537D">
        <w:rPr>
          <w:rFonts w:hint="cs"/>
          <w:spacing w:val="0"/>
          <w:kern w:val="0"/>
          <w:rtl/>
        </w:rPr>
        <w:t xml:space="preserve">وأكدت </w:t>
      </w:r>
      <w:r w:rsidRPr="00AA537D">
        <w:rPr>
          <w:spacing w:val="0"/>
          <w:kern w:val="0"/>
          <w:rtl/>
        </w:rPr>
        <w:t>سلطات أوزبك</w:t>
      </w:r>
      <w:r w:rsidRPr="00AA537D">
        <w:rPr>
          <w:rFonts w:hint="cs"/>
          <w:spacing w:val="0"/>
          <w:kern w:val="0"/>
          <w:rtl/>
        </w:rPr>
        <w:t>ستان أيضاً أنها ستوفر لل</w:t>
      </w:r>
      <w:r w:rsidRPr="00AA537D">
        <w:rPr>
          <w:spacing w:val="0"/>
          <w:kern w:val="0"/>
          <w:rtl/>
        </w:rPr>
        <w:t>منظمات الدولية مثل اللجنة الدولية</w:t>
      </w:r>
      <w:r w:rsidRPr="00AA537D">
        <w:rPr>
          <w:rFonts w:hint="cs"/>
          <w:spacing w:val="0"/>
          <w:kern w:val="0"/>
          <w:rtl/>
        </w:rPr>
        <w:t xml:space="preserve"> ل</w:t>
      </w:r>
      <w:r w:rsidRPr="00AA537D">
        <w:rPr>
          <w:spacing w:val="0"/>
          <w:kern w:val="0"/>
          <w:rtl/>
        </w:rPr>
        <w:t>لصليب الأحمر</w:t>
      </w:r>
      <w:r w:rsidRPr="00AA537D">
        <w:rPr>
          <w:rFonts w:hint="cs"/>
          <w:spacing w:val="0"/>
          <w:kern w:val="0"/>
          <w:rtl/>
        </w:rPr>
        <w:t>، و</w:t>
      </w:r>
      <w:r w:rsidRPr="00AA537D">
        <w:rPr>
          <w:spacing w:val="0"/>
          <w:kern w:val="0"/>
          <w:rtl/>
        </w:rPr>
        <w:t>منظمة الصحة العالمية</w:t>
      </w:r>
      <w:r w:rsidRPr="00AA537D">
        <w:rPr>
          <w:rFonts w:hint="cs"/>
          <w:spacing w:val="0"/>
          <w:kern w:val="0"/>
          <w:rtl/>
        </w:rPr>
        <w:t>،</w:t>
      </w:r>
      <w:r w:rsidRPr="00AA537D">
        <w:rPr>
          <w:spacing w:val="0"/>
          <w:kern w:val="0"/>
          <w:rtl/>
        </w:rPr>
        <w:t xml:space="preserve"> وعدد من المنظمات الدولية لحقوق الإنسان </w:t>
      </w:r>
      <w:r w:rsidRPr="00AA537D">
        <w:rPr>
          <w:rFonts w:hint="cs"/>
          <w:spacing w:val="0"/>
          <w:kern w:val="0"/>
          <w:rtl/>
        </w:rPr>
        <w:t xml:space="preserve">إمكانية </w:t>
      </w:r>
      <w:r w:rsidRPr="00AA537D">
        <w:rPr>
          <w:spacing w:val="0"/>
          <w:kern w:val="0"/>
          <w:rtl/>
        </w:rPr>
        <w:t>ا</w:t>
      </w:r>
      <w:r w:rsidRPr="00AA537D">
        <w:rPr>
          <w:rFonts w:hint="cs"/>
          <w:spacing w:val="0"/>
          <w:kern w:val="0"/>
          <w:rtl/>
        </w:rPr>
        <w:t xml:space="preserve">لاتصال بأصحاب الشكوى بدون قيود من أجل </w:t>
      </w:r>
      <w:r w:rsidRPr="00AA537D">
        <w:rPr>
          <w:spacing w:val="0"/>
          <w:kern w:val="0"/>
          <w:rtl/>
        </w:rPr>
        <w:t>رصد مرافق الاحتجاز وإجراء مقابلات مع</w:t>
      </w:r>
      <w:r w:rsidRPr="00AA537D">
        <w:rPr>
          <w:rFonts w:hint="cs"/>
          <w:spacing w:val="0"/>
          <w:kern w:val="0"/>
          <w:rtl/>
        </w:rPr>
        <w:t>هم.</w:t>
      </w:r>
    </w:p>
    <w:p w:rsidR="00FA6676" w:rsidRPr="00AA537D" w:rsidRDefault="00FA6676" w:rsidP="007C1D2D">
      <w:pPr>
        <w:pStyle w:val="SingleTxtGA"/>
        <w:jc w:val="lowKashida"/>
        <w:rPr>
          <w:rFonts w:hint="cs"/>
          <w:spacing w:val="0"/>
          <w:kern w:val="0"/>
          <w:rtl/>
        </w:rPr>
      </w:pPr>
      <w:r w:rsidRPr="00AA537D">
        <w:rPr>
          <w:rFonts w:hint="cs"/>
          <w:spacing w:val="0"/>
          <w:kern w:val="0"/>
          <w:rtl/>
        </w:rPr>
        <w:t>8-3</w:t>
      </w:r>
      <w:r w:rsidRPr="00AA537D">
        <w:rPr>
          <w:rFonts w:hint="cs"/>
          <w:spacing w:val="0"/>
          <w:kern w:val="0"/>
          <w:rtl/>
        </w:rPr>
        <w:tab/>
        <w:t xml:space="preserve">وأوضحت </w:t>
      </w:r>
      <w:r w:rsidRPr="00AA537D">
        <w:rPr>
          <w:spacing w:val="0"/>
          <w:kern w:val="0"/>
          <w:rtl/>
        </w:rPr>
        <w:t>الدولة الطرف أنه</w:t>
      </w:r>
      <w:r w:rsidRPr="00AA537D">
        <w:rPr>
          <w:rFonts w:hint="cs"/>
          <w:spacing w:val="0"/>
          <w:kern w:val="0"/>
          <w:rtl/>
        </w:rPr>
        <w:t xml:space="preserve"> نظرا لأن</w:t>
      </w:r>
      <w:r w:rsidRPr="00AA537D">
        <w:rPr>
          <w:spacing w:val="0"/>
          <w:kern w:val="0"/>
          <w:rtl/>
        </w:rPr>
        <w:t xml:space="preserve"> </w:t>
      </w:r>
      <w:r w:rsidRPr="00AA537D">
        <w:rPr>
          <w:rFonts w:hint="cs"/>
          <w:spacing w:val="0"/>
          <w:kern w:val="0"/>
          <w:rtl/>
        </w:rPr>
        <w:t>ال</w:t>
      </w:r>
      <w:r w:rsidRPr="00AA537D">
        <w:rPr>
          <w:spacing w:val="0"/>
          <w:kern w:val="0"/>
          <w:rtl/>
        </w:rPr>
        <w:t xml:space="preserve">قرارات </w:t>
      </w:r>
      <w:r w:rsidRPr="00AA537D">
        <w:rPr>
          <w:rFonts w:hint="cs"/>
          <w:spacing w:val="0"/>
          <w:kern w:val="0"/>
          <w:rtl/>
        </w:rPr>
        <w:t xml:space="preserve">التي اتخذتها السلطات بخصوص الطلبات المقدمة من </w:t>
      </w:r>
      <w:r w:rsidRPr="00AA537D">
        <w:rPr>
          <w:spacing w:val="0"/>
          <w:kern w:val="0"/>
          <w:rtl/>
        </w:rPr>
        <w:t xml:space="preserve">أصحاب </w:t>
      </w:r>
      <w:r w:rsidRPr="00AA537D">
        <w:rPr>
          <w:rFonts w:hint="cs"/>
          <w:spacing w:val="0"/>
          <w:kern w:val="0"/>
          <w:rtl/>
        </w:rPr>
        <w:t>الشكوى بشأن ال</w:t>
      </w:r>
      <w:r w:rsidRPr="00AA537D">
        <w:rPr>
          <w:spacing w:val="0"/>
          <w:kern w:val="0"/>
          <w:rtl/>
        </w:rPr>
        <w:t>تسليم</w:t>
      </w:r>
      <w:r w:rsidRPr="00AA537D">
        <w:rPr>
          <w:rFonts w:hint="cs"/>
          <w:spacing w:val="0"/>
          <w:kern w:val="0"/>
          <w:rtl/>
        </w:rPr>
        <w:t xml:space="preserve"> ووضعهم كلاجئين أصبحت نهائية، لم</w:t>
      </w:r>
      <w:r w:rsidR="007C1D2D">
        <w:rPr>
          <w:rFonts w:hint="eastAsia"/>
          <w:spacing w:val="0"/>
          <w:kern w:val="0"/>
          <w:rtl/>
        </w:rPr>
        <w:t> </w:t>
      </w:r>
      <w:r w:rsidRPr="00AA537D">
        <w:rPr>
          <w:rFonts w:hint="cs"/>
          <w:spacing w:val="0"/>
          <w:kern w:val="0"/>
          <w:rtl/>
        </w:rPr>
        <w:t xml:space="preserve">يعد استمرار احتجازهم يقوم على أساس قانوني، ولكن لم يكن بالإمكان أيضاً إطلاق سراحهم لأنهم كانوا يشكلون </w:t>
      </w:r>
      <w:r w:rsidRPr="00AA537D">
        <w:rPr>
          <w:spacing w:val="0"/>
          <w:kern w:val="0"/>
          <w:rtl/>
        </w:rPr>
        <w:t>تهديداً للمص</w:t>
      </w:r>
      <w:r w:rsidRPr="00AA537D">
        <w:rPr>
          <w:rFonts w:hint="cs"/>
          <w:spacing w:val="0"/>
          <w:kern w:val="0"/>
          <w:rtl/>
        </w:rPr>
        <w:t>لحة</w:t>
      </w:r>
      <w:r w:rsidRPr="00AA537D">
        <w:rPr>
          <w:spacing w:val="0"/>
          <w:kern w:val="0"/>
          <w:rtl/>
        </w:rPr>
        <w:t xml:space="preserve"> العامة والأمن</w:t>
      </w:r>
      <w:r w:rsidRPr="00AA537D">
        <w:rPr>
          <w:rFonts w:hint="cs"/>
          <w:spacing w:val="0"/>
          <w:kern w:val="0"/>
          <w:rtl/>
        </w:rPr>
        <w:t xml:space="preserve"> العام في كازاخستان</w:t>
      </w:r>
      <w:r w:rsidRPr="00AA537D">
        <w:rPr>
          <w:spacing w:val="0"/>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rPr>
        <w:t>8-4</w:t>
      </w:r>
      <w:r w:rsidRPr="00AA537D">
        <w:rPr>
          <w:rFonts w:hint="cs"/>
          <w:spacing w:val="0"/>
          <w:kern w:val="0"/>
          <w:rtl/>
        </w:rPr>
        <w:tab/>
        <w:t xml:space="preserve">وتذكّر الدولة الطرف بأن أوزبكستان طرف في كل من </w:t>
      </w:r>
      <w:r w:rsidRPr="00AA537D">
        <w:rPr>
          <w:spacing w:val="0"/>
          <w:kern w:val="0"/>
          <w:rtl/>
        </w:rPr>
        <w:t>العهد الدولي الخاص بالحقوق</w:t>
      </w:r>
      <w:r w:rsidRPr="00AA537D">
        <w:rPr>
          <w:rFonts w:hint="cs"/>
          <w:spacing w:val="0"/>
          <w:kern w:val="0"/>
          <w:rtl/>
        </w:rPr>
        <w:t xml:space="preserve"> المدنية و</w:t>
      </w:r>
      <w:r w:rsidRPr="00AA537D">
        <w:rPr>
          <w:spacing w:val="0"/>
          <w:kern w:val="0"/>
          <w:rtl/>
        </w:rPr>
        <w:t xml:space="preserve">السياسية واتفاقية مناهضة التعذيب. ولذلك، </w:t>
      </w:r>
      <w:r w:rsidRPr="00AA537D">
        <w:rPr>
          <w:rFonts w:hint="cs"/>
          <w:spacing w:val="0"/>
          <w:kern w:val="0"/>
          <w:rtl/>
        </w:rPr>
        <w:t xml:space="preserve">روعيت في جميع </w:t>
      </w:r>
      <w:r w:rsidRPr="00AA537D">
        <w:rPr>
          <w:spacing w:val="0"/>
          <w:kern w:val="0"/>
          <w:rtl/>
        </w:rPr>
        <w:t>الإجراءات الجنائية</w:t>
      </w:r>
      <w:r w:rsidRPr="00AA537D">
        <w:rPr>
          <w:rFonts w:hint="cs"/>
          <w:spacing w:val="0"/>
          <w:kern w:val="0"/>
          <w:rtl/>
        </w:rPr>
        <w:t xml:space="preserve"> التي اتخذت مع </w:t>
      </w:r>
      <w:r w:rsidRPr="00AA537D">
        <w:rPr>
          <w:spacing w:val="0"/>
          <w:kern w:val="0"/>
          <w:rtl/>
        </w:rPr>
        <w:t xml:space="preserve">أصحاب الشكوى </w:t>
      </w:r>
      <w:r w:rsidRPr="00AA537D">
        <w:rPr>
          <w:rFonts w:hint="cs"/>
          <w:spacing w:val="0"/>
          <w:kern w:val="0"/>
          <w:rtl/>
        </w:rPr>
        <w:t>الأحكام المنصوص عليها في ا</w:t>
      </w:r>
      <w:r w:rsidRPr="00AA537D">
        <w:rPr>
          <w:spacing w:val="0"/>
          <w:kern w:val="0"/>
          <w:rtl/>
        </w:rPr>
        <w:t xml:space="preserve">لتشريعات الوطنية والالتزامات الدولية لأوزبكستان. </w:t>
      </w:r>
      <w:r w:rsidRPr="00AA537D">
        <w:rPr>
          <w:rFonts w:hint="cs"/>
          <w:spacing w:val="0"/>
          <w:kern w:val="0"/>
          <w:rtl/>
        </w:rPr>
        <w:t>و</w:t>
      </w:r>
      <w:r w:rsidRPr="00AA537D">
        <w:rPr>
          <w:spacing w:val="0"/>
          <w:kern w:val="0"/>
          <w:rtl/>
        </w:rPr>
        <w:t xml:space="preserve">عملاً </w:t>
      </w:r>
      <w:r w:rsidRPr="00AA537D">
        <w:rPr>
          <w:rFonts w:hint="cs"/>
          <w:spacing w:val="0"/>
          <w:kern w:val="0"/>
          <w:rtl/>
        </w:rPr>
        <w:t>ب</w:t>
      </w:r>
      <w:r w:rsidRPr="00AA537D">
        <w:rPr>
          <w:spacing w:val="0"/>
          <w:kern w:val="0"/>
          <w:rtl/>
        </w:rPr>
        <w:t xml:space="preserve">اتفاقية مينسك، </w:t>
      </w:r>
      <w:r w:rsidRPr="00AA537D">
        <w:rPr>
          <w:rFonts w:hint="cs"/>
          <w:spacing w:val="0"/>
          <w:kern w:val="0"/>
          <w:rtl/>
        </w:rPr>
        <w:t xml:space="preserve">تلقت الدولة الطرف معلومات عن </w:t>
      </w:r>
      <w:r w:rsidRPr="00AA537D">
        <w:rPr>
          <w:spacing w:val="0"/>
          <w:kern w:val="0"/>
          <w:rtl/>
        </w:rPr>
        <w:t xml:space="preserve">التحقيقات الجنائية </w:t>
      </w:r>
      <w:r w:rsidRPr="00AA537D">
        <w:rPr>
          <w:rFonts w:hint="cs"/>
          <w:spacing w:val="0"/>
          <w:kern w:val="0"/>
          <w:rtl/>
        </w:rPr>
        <w:t>التي أجريت مع أصحاب الشكوى اﻟ</w:t>
      </w:r>
      <w:r w:rsidRPr="00AA537D">
        <w:rPr>
          <w:spacing w:val="0"/>
          <w:kern w:val="0"/>
          <w:rtl/>
        </w:rPr>
        <w:t xml:space="preserve"> 2</w:t>
      </w:r>
      <w:r w:rsidRPr="00AA537D">
        <w:rPr>
          <w:rFonts w:hint="cs"/>
          <w:spacing w:val="0"/>
          <w:kern w:val="0"/>
          <w:rtl/>
        </w:rPr>
        <w:t>6</w:t>
      </w:r>
      <w:r w:rsidRPr="00AA537D">
        <w:rPr>
          <w:spacing w:val="0"/>
          <w:kern w:val="0"/>
          <w:rtl/>
        </w:rPr>
        <w:t xml:space="preserve"> الذين صدرت </w:t>
      </w:r>
      <w:r w:rsidRPr="00AA537D">
        <w:rPr>
          <w:rFonts w:hint="cs"/>
          <w:spacing w:val="0"/>
          <w:kern w:val="0"/>
          <w:rtl/>
        </w:rPr>
        <w:t xml:space="preserve">ضدهم أحكام على </w:t>
      </w:r>
      <w:r w:rsidRPr="00AA537D">
        <w:rPr>
          <w:spacing w:val="0"/>
          <w:kern w:val="0"/>
          <w:rtl/>
        </w:rPr>
        <w:t>الجرائم ال</w:t>
      </w:r>
      <w:r w:rsidRPr="00AA537D">
        <w:rPr>
          <w:rFonts w:hint="cs"/>
          <w:spacing w:val="0"/>
          <w:kern w:val="0"/>
          <w:rtl/>
        </w:rPr>
        <w:t>مشار إليها ف</w:t>
      </w:r>
      <w:r w:rsidRPr="00AA537D">
        <w:rPr>
          <w:spacing w:val="0"/>
          <w:kern w:val="0"/>
          <w:rtl/>
        </w:rPr>
        <w:t xml:space="preserve">ي </w:t>
      </w:r>
      <w:r w:rsidRPr="00AA537D">
        <w:rPr>
          <w:rFonts w:hint="cs"/>
          <w:spacing w:val="0"/>
          <w:kern w:val="0"/>
          <w:rtl/>
        </w:rPr>
        <w:t xml:space="preserve">طلب </w:t>
      </w:r>
      <w:r w:rsidRPr="00AA537D">
        <w:rPr>
          <w:spacing w:val="0"/>
          <w:kern w:val="0"/>
          <w:rtl/>
        </w:rPr>
        <w:t>التسليم</w:t>
      </w:r>
      <w:r w:rsidRPr="00AA537D">
        <w:rPr>
          <w:rFonts w:hint="cs"/>
          <w:spacing w:val="0"/>
          <w:kern w:val="0"/>
          <w:rtl/>
        </w:rPr>
        <w:t xml:space="preserve"> فقط</w:t>
      </w:r>
      <w:r w:rsidRPr="00AA537D">
        <w:rPr>
          <w:spacing w:val="0"/>
          <w:kern w:val="0"/>
          <w:rtl/>
        </w:rPr>
        <w:t xml:space="preserve">. </w:t>
      </w:r>
      <w:r w:rsidRPr="00AA537D">
        <w:rPr>
          <w:rFonts w:hint="cs"/>
          <w:spacing w:val="0"/>
          <w:kern w:val="0"/>
          <w:rtl/>
        </w:rPr>
        <w:t xml:space="preserve">ولم يحكم على </w:t>
      </w:r>
      <w:r w:rsidRPr="00AA537D">
        <w:rPr>
          <w:spacing w:val="0"/>
          <w:kern w:val="0"/>
          <w:rtl/>
        </w:rPr>
        <w:t>أي منهم بالإعدام أو</w:t>
      </w:r>
      <w:r w:rsidRPr="00AA537D">
        <w:rPr>
          <w:rFonts w:hint="cs"/>
          <w:spacing w:val="0"/>
          <w:kern w:val="0"/>
          <w:rtl/>
        </w:rPr>
        <w:t> </w:t>
      </w:r>
      <w:r w:rsidRPr="00AA537D">
        <w:rPr>
          <w:spacing w:val="0"/>
          <w:kern w:val="0"/>
          <w:rtl/>
        </w:rPr>
        <w:t>بالسجن مدى الحياة</w:t>
      </w:r>
      <w:r w:rsidRPr="00AA537D">
        <w:rPr>
          <w:rFonts w:hint="cs"/>
          <w:spacing w:val="0"/>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rPr>
        <w:t>8-5</w:t>
      </w:r>
      <w:r w:rsidRPr="00AA537D">
        <w:rPr>
          <w:rFonts w:hint="cs"/>
          <w:spacing w:val="0"/>
          <w:kern w:val="0"/>
          <w:rtl/>
        </w:rPr>
        <w:tab/>
        <w:t xml:space="preserve">وتلاحظ </w:t>
      </w:r>
      <w:r w:rsidRPr="00AA537D">
        <w:rPr>
          <w:spacing w:val="0"/>
          <w:kern w:val="0"/>
          <w:rtl/>
        </w:rPr>
        <w:t>الدولة الطرف أن السيد ر</w:t>
      </w:r>
      <w:r w:rsidRPr="00AA537D">
        <w:rPr>
          <w:rFonts w:hint="cs"/>
          <w:spacing w:val="0"/>
          <w:kern w:val="0"/>
          <w:rtl/>
        </w:rPr>
        <w:t>ح</w:t>
      </w:r>
      <w:r w:rsidRPr="00AA537D">
        <w:rPr>
          <w:spacing w:val="0"/>
          <w:kern w:val="0"/>
          <w:rtl/>
        </w:rPr>
        <w:t xml:space="preserve">ماتوف حكم عليه </w:t>
      </w:r>
      <w:r w:rsidRPr="00AA537D">
        <w:rPr>
          <w:rFonts w:hint="cs"/>
          <w:spacing w:val="0"/>
          <w:kern w:val="0"/>
          <w:rtl/>
        </w:rPr>
        <w:t>ب</w:t>
      </w:r>
      <w:r w:rsidRPr="00AA537D">
        <w:rPr>
          <w:spacing w:val="0"/>
          <w:kern w:val="0"/>
          <w:rtl/>
        </w:rPr>
        <w:t>العمل الإصلاحي</w:t>
      </w:r>
      <w:r w:rsidRPr="00AA537D">
        <w:rPr>
          <w:rFonts w:hint="cs"/>
          <w:spacing w:val="0"/>
          <w:kern w:val="0"/>
          <w:rtl/>
        </w:rPr>
        <w:t xml:space="preserve"> لمدة ثلاث سنوات،</w:t>
      </w:r>
      <w:r w:rsidRPr="00AA537D">
        <w:rPr>
          <w:spacing w:val="0"/>
          <w:kern w:val="0"/>
          <w:rtl/>
        </w:rPr>
        <w:t xml:space="preserve"> </w:t>
      </w:r>
      <w:r w:rsidRPr="00AA537D">
        <w:rPr>
          <w:rFonts w:hint="cs"/>
          <w:spacing w:val="0"/>
          <w:kern w:val="0"/>
          <w:rtl/>
        </w:rPr>
        <w:t>وأنه صدرت أحكام مماثلة، وهي أحكام غير احتجازية، على السيد بولاتوف والسيد يولدوتشيف. وتلاحظ الدولة الطرف أيضاً أن ا</w:t>
      </w:r>
      <w:r w:rsidRPr="00AA537D">
        <w:rPr>
          <w:spacing w:val="0"/>
          <w:kern w:val="0"/>
          <w:rtl/>
        </w:rPr>
        <w:t xml:space="preserve">لقضية الجنائية </w:t>
      </w:r>
      <w:r w:rsidRPr="00AA537D">
        <w:rPr>
          <w:rFonts w:hint="cs"/>
          <w:spacing w:val="0"/>
          <w:kern w:val="0"/>
          <w:rtl/>
        </w:rPr>
        <w:t xml:space="preserve">التي رفعت على </w:t>
      </w:r>
      <w:r w:rsidRPr="00AA537D">
        <w:rPr>
          <w:spacing w:val="0"/>
          <w:kern w:val="0"/>
          <w:rtl/>
        </w:rPr>
        <w:t>السيد جلولهونوف</w:t>
      </w:r>
      <w:r w:rsidRPr="00AA537D">
        <w:rPr>
          <w:rFonts w:hint="cs"/>
          <w:spacing w:val="0"/>
          <w:kern w:val="0"/>
          <w:rtl/>
        </w:rPr>
        <w:t xml:space="preserve"> حفظت عملاً بق</w:t>
      </w:r>
      <w:r w:rsidRPr="00AA537D">
        <w:rPr>
          <w:spacing w:val="0"/>
          <w:kern w:val="0"/>
          <w:rtl/>
        </w:rPr>
        <w:t xml:space="preserve">انون </w:t>
      </w:r>
      <w:r w:rsidRPr="00AA537D">
        <w:rPr>
          <w:rFonts w:hint="cs"/>
          <w:spacing w:val="0"/>
          <w:kern w:val="0"/>
          <w:rtl/>
        </w:rPr>
        <w:t>ال</w:t>
      </w:r>
      <w:r w:rsidRPr="00AA537D">
        <w:rPr>
          <w:spacing w:val="0"/>
          <w:kern w:val="0"/>
          <w:rtl/>
        </w:rPr>
        <w:t>عفو</w:t>
      </w:r>
      <w:r w:rsidRPr="00AA537D">
        <w:rPr>
          <w:rFonts w:hint="cs"/>
          <w:spacing w:val="0"/>
          <w:kern w:val="0"/>
          <w:rtl/>
        </w:rPr>
        <w:t>،</w:t>
      </w:r>
      <w:r w:rsidRPr="00AA537D">
        <w:rPr>
          <w:spacing w:val="0"/>
          <w:kern w:val="0"/>
          <w:rtl/>
        </w:rPr>
        <w:t xml:space="preserve"> </w:t>
      </w:r>
      <w:r w:rsidRPr="00AA537D">
        <w:rPr>
          <w:rFonts w:hint="cs"/>
          <w:spacing w:val="0"/>
          <w:kern w:val="0"/>
          <w:rtl/>
        </w:rPr>
        <w:t>وأن السيد ع</w:t>
      </w:r>
      <w:r w:rsidRPr="00AA537D">
        <w:rPr>
          <w:spacing w:val="0"/>
          <w:kern w:val="0"/>
          <w:rtl/>
        </w:rPr>
        <w:t>بد</w:t>
      </w:r>
      <w:r w:rsidRPr="00AA537D">
        <w:rPr>
          <w:rFonts w:hint="cs"/>
          <w:spacing w:val="0"/>
          <w:kern w:val="0"/>
          <w:rtl/>
        </w:rPr>
        <w:t xml:space="preserve"> الصمتوف حكم عليه ب</w:t>
      </w:r>
      <w:r w:rsidRPr="00AA537D">
        <w:rPr>
          <w:spacing w:val="0"/>
          <w:kern w:val="0"/>
          <w:rtl/>
        </w:rPr>
        <w:t xml:space="preserve">السجن </w:t>
      </w:r>
      <w:r w:rsidRPr="00AA537D">
        <w:rPr>
          <w:rFonts w:hint="cs"/>
          <w:spacing w:val="0"/>
          <w:kern w:val="0"/>
          <w:rtl/>
        </w:rPr>
        <w:t>لمدة</w:t>
      </w:r>
      <w:r w:rsidRPr="00AA537D">
        <w:rPr>
          <w:rFonts w:hint="eastAsia"/>
          <w:spacing w:val="0"/>
          <w:kern w:val="0"/>
          <w:rtl/>
        </w:rPr>
        <w:t> </w:t>
      </w:r>
      <w:r w:rsidRPr="00AA537D">
        <w:rPr>
          <w:spacing w:val="0"/>
          <w:kern w:val="0"/>
          <w:rtl/>
        </w:rPr>
        <w:t xml:space="preserve">12 </w:t>
      </w:r>
      <w:r w:rsidRPr="00AA537D">
        <w:rPr>
          <w:rFonts w:hint="cs"/>
          <w:spacing w:val="0"/>
          <w:kern w:val="0"/>
          <w:rtl/>
        </w:rPr>
        <w:t>سنة</w:t>
      </w:r>
      <w:r w:rsidRPr="00AA537D">
        <w:rPr>
          <w:spacing w:val="0"/>
          <w:kern w:val="0"/>
          <w:rtl/>
        </w:rPr>
        <w:t xml:space="preserve"> </w:t>
      </w:r>
      <w:r w:rsidRPr="00AA537D">
        <w:rPr>
          <w:rFonts w:hint="cs"/>
          <w:spacing w:val="0"/>
          <w:kern w:val="0"/>
          <w:rtl/>
        </w:rPr>
        <w:t xml:space="preserve">في </w:t>
      </w:r>
      <w:r w:rsidRPr="00AA537D">
        <w:rPr>
          <w:spacing w:val="0"/>
          <w:kern w:val="0"/>
          <w:rtl/>
        </w:rPr>
        <w:t>26</w:t>
      </w:r>
      <w:r w:rsidRPr="00AA537D">
        <w:rPr>
          <w:rFonts w:hint="cs"/>
          <w:spacing w:val="0"/>
          <w:kern w:val="0"/>
          <w:rtl/>
        </w:rPr>
        <w:t xml:space="preserve"> أيلول/</w:t>
      </w:r>
      <w:r w:rsidRPr="00AA537D">
        <w:rPr>
          <w:spacing w:val="0"/>
          <w:kern w:val="0"/>
          <w:rtl/>
        </w:rPr>
        <w:t xml:space="preserve">سبتمبر 2011 </w:t>
      </w:r>
      <w:r w:rsidRPr="00AA537D">
        <w:rPr>
          <w:rFonts w:hint="cs"/>
          <w:spacing w:val="0"/>
          <w:kern w:val="0"/>
          <w:rtl/>
        </w:rPr>
        <w:t>بتهمة مح</w:t>
      </w:r>
      <w:r w:rsidRPr="00AA537D">
        <w:rPr>
          <w:spacing w:val="0"/>
          <w:kern w:val="0"/>
          <w:rtl/>
        </w:rPr>
        <w:t>اول</w:t>
      </w:r>
      <w:r w:rsidRPr="00AA537D">
        <w:rPr>
          <w:rFonts w:hint="cs"/>
          <w:spacing w:val="0"/>
          <w:kern w:val="0"/>
          <w:rtl/>
        </w:rPr>
        <w:t>ته</w:t>
      </w:r>
      <w:r w:rsidRPr="00AA537D">
        <w:rPr>
          <w:spacing w:val="0"/>
          <w:kern w:val="0"/>
          <w:rtl/>
        </w:rPr>
        <w:t xml:space="preserve"> الإطاحة بالنظام الدستوري. </w:t>
      </w:r>
      <w:r w:rsidRPr="00AA537D">
        <w:rPr>
          <w:rFonts w:hint="cs"/>
          <w:spacing w:val="0"/>
          <w:kern w:val="0"/>
          <w:rtl/>
        </w:rPr>
        <w:t>وأوضحت</w:t>
      </w:r>
      <w:r w:rsidRPr="00AA537D">
        <w:rPr>
          <w:spacing w:val="0"/>
          <w:kern w:val="0"/>
          <w:rtl/>
        </w:rPr>
        <w:t xml:space="preserve"> </w:t>
      </w:r>
      <w:r w:rsidRPr="00AA537D">
        <w:rPr>
          <w:rFonts w:hint="cs"/>
          <w:spacing w:val="0"/>
          <w:kern w:val="0"/>
          <w:rtl/>
        </w:rPr>
        <w:t>أن</w:t>
      </w:r>
      <w:r w:rsidRPr="00AA537D">
        <w:rPr>
          <w:spacing w:val="0"/>
          <w:kern w:val="0"/>
          <w:rtl/>
        </w:rPr>
        <w:t xml:space="preserve"> </w:t>
      </w:r>
      <w:r w:rsidRPr="00AA537D">
        <w:rPr>
          <w:rFonts w:hint="cs"/>
          <w:spacing w:val="0"/>
          <w:kern w:val="0"/>
          <w:rtl/>
        </w:rPr>
        <w:t>أ</w:t>
      </w:r>
      <w:r w:rsidRPr="00AA537D">
        <w:rPr>
          <w:spacing w:val="0"/>
          <w:kern w:val="0"/>
          <w:rtl/>
        </w:rPr>
        <w:t xml:space="preserve">وزبكستان </w:t>
      </w:r>
      <w:r w:rsidRPr="00AA537D">
        <w:rPr>
          <w:rFonts w:hint="cs"/>
          <w:spacing w:val="0"/>
          <w:kern w:val="0"/>
          <w:rtl/>
        </w:rPr>
        <w:t xml:space="preserve">ستحيطها علماً بنتائج جميع الإجراءات الجنائية التي اتخذت </w:t>
      </w:r>
      <w:r w:rsidRPr="00AA537D">
        <w:rPr>
          <w:spacing w:val="0"/>
          <w:kern w:val="0"/>
          <w:rtl/>
        </w:rPr>
        <w:t>ضد أصحاب الشكوى. و</w:t>
      </w:r>
      <w:r w:rsidRPr="00AA537D">
        <w:rPr>
          <w:rFonts w:hint="cs"/>
          <w:spacing w:val="0"/>
          <w:kern w:val="0"/>
          <w:rtl/>
        </w:rPr>
        <w:t>أشارت أخيراً إلى أن اجتماعا عقد بين المسؤولين ب</w:t>
      </w:r>
      <w:r w:rsidRPr="00AA537D">
        <w:rPr>
          <w:spacing w:val="0"/>
          <w:kern w:val="0"/>
          <w:rtl/>
        </w:rPr>
        <w:t>سفار</w:t>
      </w:r>
      <w:r w:rsidRPr="00AA537D">
        <w:rPr>
          <w:rFonts w:hint="cs"/>
          <w:spacing w:val="0"/>
          <w:kern w:val="0"/>
          <w:rtl/>
        </w:rPr>
        <w:t>تها</w:t>
      </w:r>
      <w:r w:rsidRPr="00AA537D">
        <w:rPr>
          <w:spacing w:val="0"/>
          <w:kern w:val="0"/>
          <w:rtl/>
        </w:rPr>
        <w:t xml:space="preserve"> </w:t>
      </w:r>
      <w:r w:rsidRPr="00AA537D">
        <w:rPr>
          <w:rFonts w:hint="cs"/>
          <w:spacing w:val="0"/>
          <w:kern w:val="0"/>
          <w:rtl/>
        </w:rPr>
        <w:t xml:space="preserve">والسلطات الأوزبكستانية بشأن أوضاع الاحتجاز المتعلقة بأصحاب الشكوى </w:t>
      </w:r>
      <w:r w:rsidRPr="00AA537D">
        <w:rPr>
          <w:spacing w:val="0"/>
          <w:kern w:val="0"/>
          <w:rtl/>
        </w:rPr>
        <w:t>و</w:t>
      </w:r>
      <w:r w:rsidRPr="00AA537D">
        <w:rPr>
          <w:rFonts w:hint="cs"/>
          <w:spacing w:val="0"/>
          <w:kern w:val="0"/>
          <w:rtl/>
        </w:rPr>
        <w:t>ادعاءاتهم المتعلقة بالتعذيب وسوء المعاملة وأفادت بأ</w:t>
      </w:r>
      <w:r w:rsidRPr="00AA537D">
        <w:rPr>
          <w:spacing w:val="0"/>
          <w:kern w:val="0"/>
          <w:rtl/>
        </w:rPr>
        <w:t>نه</w:t>
      </w:r>
      <w:r w:rsidRPr="00AA537D">
        <w:rPr>
          <w:rFonts w:hint="cs"/>
          <w:spacing w:val="0"/>
          <w:kern w:val="0"/>
          <w:rtl/>
        </w:rPr>
        <w:t>ا</w:t>
      </w:r>
      <w:r w:rsidRPr="00AA537D">
        <w:rPr>
          <w:spacing w:val="0"/>
          <w:kern w:val="0"/>
          <w:rtl/>
        </w:rPr>
        <w:t xml:space="preserve"> س</w:t>
      </w:r>
      <w:r w:rsidRPr="00AA537D">
        <w:rPr>
          <w:rFonts w:hint="cs"/>
          <w:spacing w:val="0"/>
          <w:kern w:val="0"/>
          <w:rtl/>
        </w:rPr>
        <w:t>ت</w:t>
      </w:r>
      <w:r w:rsidRPr="00AA537D">
        <w:rPr>
          <w:spacing w:val="0"/>
          <w:kern w:val="0"/>
          <w:rtl/>
        </w:rPr>
        <w:t xml:space="preserve">قدم </w:t>
      </w:r>
      <w:r w:rsidRPr="00AA537D">
        <w:rPr>
          <w:rFonts w:hint="cs"/>
          <w:spacing w:val="0"/>
          <w:kern w:val="0"/>
          <w:rtl/>
        </w:rPr>
        <w:t>ال</w:t>
      </w:r>
      <w:r w:rsidRPr="00AA537D">
        <w:rPr>
          <w:spacing w:val="0"/>
          <w:kern w:val="0"/>
          <w:rtl/>
        </w:rPr>
        <w:t>مزيد من الإيضاحات في هذا ال</w:t>
      </w:r>
      <w:r w:rsidRPr="00AA537D">
        <w:rPr>
          <w:rFonts w:hint="cs"/>
          <w:spacing w:val="0"/>
          <w:kern w:val="0"/>
          <w:rtl/>
        </w:rPr>
        <w:t>شأن.</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جلسة الاستماع إلى الطرفين</w:t>
      </w:r>
    </w:p>
    <w:p w:rsidR="00FA6676" w:rsidRPr="00AA537D" w:rsidRDefault="00FA6676" w:rsidP="00AA537D">
      <w:pPr>
        <w:pStyle w:val="SingleTxtGA"/>
        <w:jc w:val="lowKashida"/>
        <w:rPr>
          <w:rFonts w:hint="cs"/>
          <w:spacing w:val="0"/>
          <w:kern w:val="0"/>
          <w:rtl/>
        </w:rPr>
      </w:pPr>
      <w:r w:rsidRPr="00AA537D">
        <w:rPr>
          <w:rFonts w:hint="cs"/>
          <w:spacing w:val="0"/>
          <w:kern w:val="0"/>
          <w:rtl/>
        </w:rPr>
        <w:t>9-1</w:t>
      </w:r>
      <w:r w:rsidRPr="00AA537D">
        <w:rPr>
          <w:rFonts w:hint="cs"/>
          <w:spacing w:val="0"/>
          <w:kern w:val="0"/>
          <w:rtl/>
        </w:rPr>
        <w:tab/>
        <w:t xml:space="preserve">في 8 أيار/مايو 2012، وبناء </w:t>
      </w:r>
      <w:r w:rsidRPr="00AA537D">
        <w:rPr>
          <w:spacing w:val="0"/>
          <w:kern w:val="0"/>
          <w:rtl/>
        </w:rPr>
        <w:t xml:space="preserve">على طلب الدولة الطرف، عقدت اللجنة جلسة استماع </w:t>
      </w:r>
      <w:r w:rsidRPr="00AA537D">
        <w:rPr>
          <w:rFonts w:hint="cs"/>
          <w:spacing w:val="0"/>
          <w:kern w:val="0"/>
          <w:rtl/>
        </w:rPr>
        <w:t>ل</w:t>
      </w:r>
      <w:r w:rsidRPr="00AA537D">
        <w:rPr>
          <w:spacing w:val="0"/>
          <w:kern w:val="0"/>
          <w:rtl/>
        </w:rPr>
        <w:t xml:space="preserve">كلا الطرفين. وأوضحت الدولة الطرف أن قرار تسليم </w:t>
      </w:r>
      <w:r w:rsidRPr="00AA537D">
        <w:rPr>
          <w:rFonts w:hint="cs"/>
          <w:spacing w:val="0"/>
          <w:kern w:val="0"/>
          <w:rtl/>
        </w:rPr>
        <w:t xml:space="preserve">أصحاب </w:t>
      </w:r>
      <w:r w:rsidRPr="00AA537D">
        <w:rPr>
          <w:spacing w:val="0"/>
          <w:kern w:val="0"/>
          <w:rtl/>
        </w:rPr>
        <w:t xml:space="preserve">الشكوى </w:t>
      </w:r>
      <w:r w:rsidRPr="00AA537D">
        <w:rPr>
          <w:rFonts w:hint="cs"/>
          <w:spacing w:val="0"/>
          <w:kern w:val="0"/>
          <w:rtl/>
        </w:rPr>
        <w:t xml:space="preserve">صدر </w:t>
      </w:r>
      <w:r w:rsidRPr="00AA537D">
        <w:rPr>
          <w:spacing w:val="0"/>
          <w:kern w:val="0"/>
          <w:rtl/>
        </w:rPr>
        <w:t>لعد</w:t>
      </w:r>
      <w:r w:rsidRPr="00AA537D">
        <w:rPr>
          <w:rFonts w:hint="cs"/>
          <w:spacing w:val="0"/>
          <w:kern w:val="0"/>
          <w:rtl/>
        </w:rPr>
        <w:t xml:space="preserve">ة </w:t>
      </w:r>
      <w:r w:rsidRPr="00AA537D">
        <w:rPr>
          <w:spacing w:val="0"/>
          <w:kern w:val="0"/>
          <w:rtl/>
        </w:rPr>
        <w:t xml:space="preserve">أسباب: أولاً، </w:t>
      </w:r>
      <w:r w:rsidRPr="00AA537D">
        <w:rPr>
          <w:rFonts w:hint="cs"/>
          <w:spacing w:val="0"/>
          <w:kern w:val="0"/>
          <w:rtl/>
        </w:rPr>
        <w:t xml:space="preserve">أن </w:t>
      </w:r>
      <w:r w:rsidRPr="00AA537D">
        <w:rPr>
          <w:spacing w:val="0"/>
          <w:kern w:val="0"/>
          <w:rtl/>
        </w:rPr>
        <w:t xml:space="preserve">المدة القصوى </w:t>
      </w:r>
      <w:r w:rsidRPr="00AA537D">
        <w:rPr>
          <w:rFonts w:hint="cs"/>
          <w:spacing w:val="0"/>
          <w:kern w:val="0"/>
          <w:rtl/>
        </w:rPr>
        <w:t xml:space="preserve">لاحتجاز الأشخاص المطلوب تسليمهم </w:t>
      </w:r>
      <w:r w:rsidRPr="00AA537D">
        <w:rPr>
          <w:spacing w:val="0"/>
          <w:kern w:val="0"/>
          <w:rtl/>
        </w:rPr>
        <w:t>وفقاً للمادة</w:t>
      </w:r>
      <w:r w:rsidRPr="00AA537D">
        <w:rPr>
          <w:rFonts w:hint="cs"/>
          <w:spacing w:val="0"/>
          <w:kern w:val="0"/>
          <w:rtl/>
        </w:rPr>
        <w:t> </w:t>
      </w:r>
      <w:r w:rsidRPr="00AA537D">
        <w:rPr>
          <w:spacing w:val="0"/>
          <w:kern w:val="0"/>
          <w:rtl/>
        </w:rPr>
        <w:t>534 من قانون الإجراءات الجنائية</w:t>
      </w:r>
      <w:r w:rsidRPr="00AA537D">
        <w:rPr>
          <w:rFonts w:hint="cs"/>
          <w:spacing w:val="0"/>
          <w:kern w:val="0"/>
          <w:rtl/>
        </w:rPr>
        <w:t xml:space="preserve"> هي </w:t>
      </w:r>
      <w:r w:rsidRPr="00AA537D">
        <w:rPr>
          <w:spacing w:val="0"/>
          <w:kern w:val="0"/>
          <w:rtl/>
        </w:rPr>
        <w:t>سنة واحدة و</w:t>
      </w:r>
      <w:r w:rsidRPr="00AA537D">
        <w:rPr>
          <w:rFonts w:hint="cs"/>
          <w:spacing w:val="0"/>
          <w:kern w:val="0"/>
          <w:rtl/>
        </w:rPr>
        <w:t>أن أصحاب الشكوى استوفوا هذه المدة</w:t>
      </w:r>
      <w:r w:rsidRPr="00AA537D">
        <w:rPr>
          <w:spacing w:val="0"/>
          <w:kern w:val="0"/>
          <w:rtl/>
        </w:rPr>
        <w:t xml:space="preserve">؛ </w:t>
      </w:r>
      <w:r w:rsidRPr="00AA537D">
        <w:rPr>
          <w:rFonts w:hint="cs"/>
          <w:spacing w:val="0"/>
          <w:kern w:val="0"/>
          <w:rtl/>
        </w:rPr>
        <w:t>و</w:t>
      </w:r>
      <w:r w:rsidRPr="00AA537D">
        <w:rPr>
          <w:spacing w:val="0"/>
          <w:kern w:val="0"/>
          <w:rtl/>
        </w:rPr>
        <w:t xml:space="preserve">ثانياً، </w:t>
      </w:r>
      <w:r w:rsidRPr="00AA537D">
        <w:rPr>
          <w:rFonts w:hint="cs"/>
          <w:spacing w:val="0"/>
          <w:kern w:val="0"/>
          <w:rtl/>
        </w:rPr>
        <w:t xml:space="preserve">أنه لم يكن هناك </w:t>
      </w:r>
      <w:r w:rsidRPr="00AA537D">
        <w:rPr>
          <w:spacing w:val="0"/>
          <w:kern w:val="0"/>
          <w:rtl/>
        </w:rPr>
        <w:t>أس</w:t>
      </w:r>
      <w:r w:rsidRPr="00AA537D">
        <w:rPr>
          <w:rFonts w:hint="cs"/>
          <w:spacing w:val="0"/>
          <w:kern w:val="0"/>
          <w:rtl/>
        </w:rPr>
        <w:t>ا</w:t>
      </w:r>
      <w:r w:rsidRPr="00AA537D">
        <w:rPr>
          <w:spacing w:val="0"/>
          <w:kern w:val="0"/>
          <w:rtl/>
        </w:rPr>
        <w:t>س قانوني</w:t>
      </w:r>
      <w:r w:rsidRPr="00AA537D">
        <w:rPr>
          <w:rFonts w:hint="cs"/>
          <w:spacing w:val="0"/>
          <w:kern w:val="0"/>
          <w:rtl/>
        </w:rPr>
        <w:t xml:space="preserve"> لإخلاء سبيلهم </w:t>
      </w:r>
      <w:r w:rsidRPr="00AA537D">
        <w:rPr>
          <w:spacing w:val="0"/>
          <w:kern w:val="0"/>
          <w:rtl/>
        </w:rPr>
        <w:t xml:space="preserve">أو </w:t>
      </w:r>
      <w:r w:rsidRPr="00AA537D">
        <w:rPr>
          <w:rFonts w:hint="cs"/>
          <w:spacing w:val="0"/>
          <w:kern w:val="0"/>
          <w:rtl/>
        </w:rPr>
        <w:t>لم</w:t>
      </w:r>
      <w:r w:rsidRPr="00AA537D">
        <w:rPr>
          <w:spacing w:val="0"/>
          <w:kern w:val="0"/>
          <w:rtl/>
        </w:rPr>
        <w:t xml:space="preserve">نحهم </w:t>
      </w:r>
      <w:r w:rsidRPr="00AA537D">
        <w:rPr>
          <w:rFonts w:hint="cs"/>
          <w:spacing w:val="0"/>
          <w:kern w:val="0"/>
          <w:rtl/>
        </w:rPr>
        <w:t xml:space="preserve">مركز اللاجئ </w:t>
      </w:r>
      <w:r w:rsidRPr="00AA537D">
        <w:rPr>
          <w:spacing w:val="0"/>
          <w:kern w:val="0"/>
          <w:rtl/>
        </w:rPr>
        <w:t>في كازاخستان، و</w:t>
      </w:r>
      <w:r w:rsidRPr="00AA537D">
        <w:rPr>
          <w:rFonts w:hint="cs"/>
          <w:spacing w:val="0"/>
          <w:kern w:val="0"/>
          <w:rtl/>
        </w:rPr>
        <w:t>أن كان نقل</w:t>
      </w:r>
      <w:r w:rsidRPr="00AA537D">
        <w:rPr>
          <w:spacing w:val="0"/>
          <w:kern w:val="0"/>
          <w:rtl/>
        </w:rPr>
        <w:t>هم إلى بلد ثالث</w:t>
      </w:r>
      <w:r w:rsidRPr="00AA537D">
        <w:rPr>
          <w:rFonts w:hint="cs"/>
          <w:spacing w:val="0"/>
          <w:kern w:val="0"/>
          <w:rtl/>
        </w:rPr>
        <w:t xml:space="preserve"> متعذرا</w:t>
      </w:r>
      <w:r w:rsidRPr="00AA537D">
        <w:rPr>
          <w:spacing w:val="0"/>
          <w:kern w:val="0"/>
          <w:rtl/>
        </w:rPr>
        <w:t xml:space="preserve">؛ </w:t>
      </w:r>
      <w:r w:rsidRPr="00AA537D">
        <w:rPr>
          <w:rFonts w:hint="cs"/>
          <w:spacing w:val="0"/>
          <w:kern w:val="0"/>
          <w:rtl/>
        </w:rPr>
        <w:t>و</w:t>
      </w:r>
      <w:r w:rsidRPr="00AA537D">
        <w:rPr>
          <w:spacing w:val="0"/>
          <w:kern w:val="0"/>
          <w:rtl/>
        </w:rPr>
        <w:t xml:space="preserve">ثالثاً، </w:t>
      </w:r>
      <w:r w:rsidRPr="00AA537D">
        <w:rPr>
          <w:rFonts w:hint="cs"/>
          <w:spacing w:val="0"/>
          <w:kern w:val="0"/>
          <w:rtl/>
        </w:rPr>
        <w:t xml:space="preserve">أن أصحاب الشكوى كانوا مشاركين، </w:t>
      </w:r>
      <w:r w:rsidRPr="00AA537D">
        <w:rPr>
          <w:spacing w:val="0"/>
          <w:kern w:val="0"/>
          <w:rtl/>
        </w:rPr>
        <w:t xml:space="preserve">وفقاً </w:t>
      </w:r>
      <w:r w:rsidRPr="00AA537D">
        <w:rPr>
          <w:rFonts w:hint="cs"/>
          <w:spacing w:val="0"/>
          <w:kern w:val="0"/>
          <w:rtl/>
        </w:rPr>
        <w:t>ل</w:t>
      </w:r>
      <w:r w:rsidRPr="00AA537D">
        <w:rPr>
          <w:spacing w:val="0"/>
          <w:kern w:val="0"/>
          <w:rtl/>
        </w:rPr>
        <w:t xml:space="preserve">لمعلومات </w:t>
      </w:r>
      <w:r w:rsidRPr="00AA537D">
        <w:rPr>
          <w:rFonts w:hint="cs"/>
          <w:spacing w:val="0"/>
          <w:kern w:val="0"/>
          <w:rtl/>
        </w:rPr>
        <w:t xml:space="preserve">الواردة من </w:t>
      </w:r>
      <w:r w:rsidRPr="00AA537D">
        <w:rPr>
          <w:spacing w:val="0"/>
          <w:kern w:val="0"/>
          <w:rtl/>
        </w:rPr>
        <w:t xml:space="preserve">الشركاء </w:t>
      </w:r>
      <w:r w:rsidRPr="00AA537D">
        <w:rPr>
          <w:rFonts w:hint="cs"/>
          <w:spacing w:val="0"/>
          <w:kern w:val="0"/>
          <w:rtl/>
        </w:rPr>
        <w:t>في الخارج</w:t>
      </w:r>
      <w:r w:rsidRPr="00AA537D">
        <w:rPr>
          <w:spacing w:val="0"/>
          <w:kern w:val="0"/>
          <w:rtl/>
        </w:rPr>
        <w:t xml:space="preserve">، </w:t>
      </w:r>
      <w:r w:rsidRPr="00AA537D">
        <w:rPr>
          <w:rFonts w:hint="cs"/>
          <w:spacing w:val="0"/>
          <w:kern w:val="0"/>
          <w:rtl/>
        </w:rPr>
        <w:t>في</w:t>
      </w:r>
      <w:r w:rsidRPr="00AA537D">
        <w:rPr>
          <w:spacing w:val="0"/>
          <w:kern w:val="0"/>
          <w:rtl/>
        </w:rPr>
        <w:t xml:space="preserve"> إنشاء شبكة من المنظمات الإرهابية الدولية، </w:t>
      </w:r>
      <w:r w:rsidRPr="00AA537D">
        <w:rPr>
          <w:rFonts w:hint="cs"/>
          <w:spacing w:val="0"/>
          <w:kern w:val="0"/>
          <w:rtl/>
        </w:rPr>
        <w:t>من بينها منظمتان</w:t>
      </w:r>
      <w:r w:rsidRPr="00AA537D">
        <w:rPr>
          <w:spacing w:val="0"/>
          <w:kern w:val="0"/>
          <w:rtl/>
        </w:rPr>
        <w:t xml:space="preserve"> محظور</w:t>
      </w:r>
      <w:r w:rsidRPr="00AA537D">
        <w:rPr>
          <w:rFonts w:hint="cs"/>
          <w:spacing w:val="0"/>
          <w:kern w:val="0"/>
          <w:rtl/>
        </w:rPr>
        <w:t>تان</w:t>
      </w:r>
      <w:r w:rsidRPr="00AA537D">
        <w:rPr>
          <w:spacing w:val="0"/>
          <w:kern w:val="0"/>
          <w:rtl/>
        </w:rPr>
        <w:t xml:space="preserve"> في الدولة الطرف ومدرج</w:t>
      </w:r>
      <w:r w:rsidRPr="00AA537D">
        <w:rPr>
          <w:rFonts w:hint="cs"/>
          <w:spacing w:val="0"/>
          <w:kern w:val="0"/>
          <w:rtl/>
        </w:rPr>
        <w:t>تان</w:t>
      </w:r>
      <w:r w:rsidRPr="00AA537D">
        <w:rPr>
          <w:spacing w:val="0"/>
          <w:kern w:val="0"/>
          <w:rtl/>
        </w:rPr>
        <w:t xml:space="preserve"> في قائمة</w:t>
      </w:r>
      <w:r w:rsidRPr="00AA537D">
        <w:rPr>
          <w:rFonts w:hint="cs"/>
          <w:spacing w:val="0"/>
          <w:kern w:val="0"/>
          <w:rtl/>
        </w:rPr>
        <w:t xml:space="preserve"> اللجنة التابعة لمجلس الأمن والمعنية بمكافحة الإرهاب.</w:t>
      </w:r>
    </w:p>
    <w:p w:rsidR="00FA6676" w:rsidRPr="00AA537D" w:rsidRDefault="00FA6676" w:rsidP="00AA537D">
      <w:pPr>
        <w:pStyle w:val="SingleTxtGA"/>
        <w:jc w:val="lowKashida"/>
        <w:rPr>
          <w:rFonts w:hint="cs"/>
          <w:spacing w:val="0"/>
          <w:kern w:val="0"/>
          <w:rtl/>
        </w:rPr>
      </w:pPr>
      <w:r w:rsidRPr="00AA537D">
        <w:rPr>
          <w:rFonts w:hint="cs"/>
          <w:spacing w:val="0"/>
          <w:kern w:val="0"/>
          <w:rtl/>
        </w:rPr>
        <w:t>9-2</w:t>
      </w:r>
      <w:r w:rsidRPr="00AA537D">
        <w:rPr>
          <w:rFonts w:hint="cs"/>
          <w:spacing w:val="0"/>
          <w:kern w:val="0"/>
          <w:rtl/>
        </w:rPr>
        <w:tab/>
      </w:r>
      <w:r w:rsidRPr="00AA537D">
        <w:rPr>
          <w:spacing w:val="0"/>
          <w:kern w:val="0"/>
          <w:rtl/>
        </w:rPr>
        <w:t>ولاحظت</w:t>
      </w:r>
      <w:r w:rsidRPr="00AA537D">
        <w:rPr>
          <w:rFonts w:hint="cs"/>
          <w:spacing w:val="0"/>
          <w:kern w:val="0"/>
          <w:rtl/>
        </w:rPr>
        <w:t xml:space="preserve"> </w:t>
      </w:r>
      <w:r w:rsidRPr="00AA537D">
        <w:rPr>
          <w:spacing w:val="0"/>
          <w:kern w:val="0"/>
          <w:rtl/>
        </w:rPr>
        <w:t xml:space="preserve">الدولة الطرف </w:t>
      </w:r>
      <w:r w:rsidRPr="00AA537D">
        <w:rPr>
          <w:rFonts w:hint="cs"/>
          <w:spacing w:val="0"/>
          <w:kern w:val="0"/>
          <w:rtl/>
        </w:rPr>
        <w:t xml:space="preserve">أيضاً </w:t>
      </w:r>
      <w:r w:rsidRPr="00AA537D">
        <w:rPr>
          <w:spacing w:val="0"/>
          <w:kern w:val="0"/>
          <w:rtl/>
        </w:rPr>
        <w:t xml:space="preserve">أن مفوضية </w:t>
      </w:r>
      <w:r w:rsidRPr="00AA537D">
        <w:rPr>
          <w:rFonts w:hint="cs"/>
          <w:spacing w:val="0"/>
          <w:kern w:val="0"/>
          <w:rtl/>
        </w:rPr>
        <w:t xml:space="preserve">الأمم المتحدة السامية لشؤون اللاجئين ألغت مركز اللاجئ الذي منحته لأصحاب الشكوى بعد قيام خبرائها بدراسة ملفاتهم لمدة </w:t>
      </w:r>
      <w:r w:rsidRPr="00AA537D">
        <w:rPr>
          <w:spacing w:val="0"/>
          <w:kern w:val="0"/>
          <w:rtl/>
        </w:rPr>
        <w:t xml:space="preserve">شهرين. </w:t>
      </w:r>
      <w:r w:rsidRPr="00AA537D">
        <w:rPr>
          <w:rFonts w:hint="cs"/>
          <w:spacing w:val="0"/>
          <w:kern w:val="0"/>
          <w:rtl/>
        </w:rPr>
        <w:t xml:space="preserve">ولا يمكن للدولة </w:t>
      </w:r>
      <w:r w:rsidRPr="00AA537D">
        <w:rPr>
          <w:spacing w:val="0"/>
          <w:kern w:val="0"/>
          <w:rtl/>
        </w:rPr>
        <w:t xml:space="preserve">الطرف أن تسمح </w:t>
      </w:r>
      <w:r w:rsidRPr="00AA537D">
        <w:rPr>
          <w:rFonts w:hint="cs"/>
          <w:spacing w:val="0"/>
          <w:kern w:val="0"/>
          <w:rtl/>
        </w:rPr>
        <w:t xml:space="preserve">باستمرار تسلل </w:t>
      </w:r>
      <w:r w:rsidRPr="00AA537D">
        <w:rPr>
          <w:spacing w:val="0"/>
          <w:kern w:val="0"/>
          <w:rtl/>
        </w:rPr>
        <w:t xml:space="preserve">التطرف الديني من </w:t>
      </w:r>
      <w:r w:rsidRPr="00AA537D">
        <w:rPr>
          <w:rFonts w:hint="cs"/>
          <w:spacing w:val="0"/>
          <w:kern w:val="0"/>
          <w:rtl/>
        </w:rPr>
        <w:t xml:space="preserve">البلدان الواقعة في وسط </w:t>
      </w:r>
      <w:r w:rsidRPr="00AA537D">
        <w:rPr>
          <w:spacing w:val="0"/>
          <w:kern w:val="0"/>
          <w:rtl/>
        </w:rPr>
        <w:t xml:space="preserve">آسيا إلى </w:t>
      </w:r>
      <w:r w:rsidRPr="00AA537D">
        <w:rPr>
          <w:rFonts w:hint="cs"/>
          <w:spacing w:val="0"/>
          <w:kern w:val="0"/>
          <w:rtl/>
        </w:rPr>
        <w:t>غيرها من ال</w:t>
      </w:r>
      <w:r w:rsidRPr="00AA537D">
        <w:rPr>
          <w:spacing w:val="0"/>
          <w:kern w:val="0"/>
          <w:rtl/>
        </w:rPr>
        <w:t>بلدان و</w:t>
      </w:r>
      <w:r w:rsidRPr="00AA537D">
        <w:rPr>
          <w:rFonts w:hint="cs"/>
          <w:spacing w:val="0"/>
          <w:kern w:val="0"/>
          <w:rtl/>
        </w:rPr>
        <w:t>اتخذت قراراً واعياً بعدم الامتثال لطلب اللجنة المتعلق ب</w:t>
      </w:r>
      <w:r w:rsidRPr="00AA537D">
        <w:rPr>
          <w:spacing w:val="0"/>
          <w:kern w:val="0"/>
          <w:rtl/>
        </w:rPr>
        <w:t xml:space="preserve">اتخاذ تدابير مؤقتة </w:t>
      </w:r>
      <w:r w:rsidRPr="00AA537D">
        <w:rPr>
          <w:rFonts w:hint="cs"/>
          <w:spacing w:val="0"/>
          <w:kern w:val="0"/>
          <w:rtl/>
        </w:rPr>
        <w:t xml:space="preserve">من أجل </w:t>
      </w:r>
      <w:r w:rsidRPr="00AA537D">
        <w:rPr>
          <w:spacing w:val="0"/>
          <w:kern w:val="0"/>
          <w:rtl/>
        </w:rPr>
        <w:t xml:space="preserve">حماية مواطنيها </w:t>
      </w:r>
      <w:r w:rsidRPr="00AA537D">
        <w:rPr>
          <w:rFonts w:hint="cs"/>
          <w:spacing w:val="0"/>
          <w:kern w:val="0"/>
          <w:rtl/>
        </w:rPr>
        <w:t>وحماية مواطني البلدان الأخرى.</w:t>
      </w:r>
    </w:p>
    <w:p w:rsidR="00FA6676" w:rsidRPr="00AA537D" w:rsidRDefault="00FA6676" w:rsidP="00AA537D">
      <w:pPr>
        <w:pStyle w:val="SingleTxtGA"/>
        <w:jc w:val="lowKashida"/>
        <w:rPr>
          <w:rFonts w:hint="cs"/>
          <w:spacing w:val="0"/>
          <w:kern w:val="0"/>
          <w:rtl/>
        </w:rPr>
      </w:pPr>
      <w:r w:rsidRPr="00AA537D">
        <w:rPr>
          <w:rFonts w:hint="cs"/>
          <w:spacing w:val="0"/>
          <w:kern w:val="0"/>
          <w:rtl/>
        </w:rPr>
        <w:t>9-3</w:t>
      </w:r>
      <w:r w:rsidRPr="00AA537D">
        <w:rPr>
          <w:rFonts w:hint="cs"/>
          <w:spacing w:val="0"/>
          <w:kern w:val="0"/>
          <w:rtl/>
        </w:rPr>
        <w:tab/>
        <w:t xml:space="preserve">وفيما يتعلق بالإجراءات الجنائية المتعلقة بأصحاب الشكوى في </w:t>
      </w:r>
      <w:r w:rsidRPr="00AA537D">
        <w:rPr>
          <w:spacing w:val="0"/>
          <w:kern w:val="0"/>
          <w:rtl/>
        </w:rPr>
        <w:t>أوزبكستان و</w:t>
      </w:r>
      <w:r w:rsidRPr="00AA537D">
        <w:rPr>
          <w:rFonts w:hint="cs"/>
          <w:spacing w:val="0"/>
          <w:kern w:val="0"/>
          <w:rtl/>
        </w:rPr>
        <w:t>حالتهم ال</w:t>
      </w:r>
      <w:r w:rsidRPr="00AA537D">
        <w:rPr>
          <w:spacing w:val="0"/>
          <w:kern w:val="0"/>
          <w:rtl/>
        </w:rPr>
        <w:t>صح</w:t>
      </w:r>
      <w:r w:rsidRPr="00AA537D">
        <w:rPr>
          <w:rFonts w:hint="cs"/>
          <w:spacing w:val="0"/>
          <w:kern w:val="0"/>
          <w:rtl/>
        </w:rPr>
        <w:t>ية</w:t>
      </w:r>
      <w:r w:rsidRPr="00AA537D">
        <w:rPr>
          <w:spacing w:val="0"/>
          <w:kern w:val="0"/>
          <w:rtl/>
        </w:rPr>
        <w:t xml:space="preserve">، أوضحت الدولة الطرف، وفقاً للمعلومات الواردة من المدعي العام </w:t>
      </w:r>
      <w:r w:rsidRPr="00AA537D">
        <w:rPr>
          <w:rFonts w:hint="cs"/>
          <w:spacing w:val="0"/>
          <w:kern w:val="0"/>
          <w:rtl/>
        </w:rPr>
        <w:t xml:space="preserve">في أوزبكستان بتاريخ </w:t>
      </w:r>
      <w:r w:rsidRPr="00AA537D">
        <w:rPr>
          <w:spacing w:val="0"/>
          <w:kern w:val="0"/>
          <w:rtl/>
        </w:rPr>
        <w:t xml:space="preserve">5 </w:t>
      </w:r>
      <w:r w:rsidRPr="00AA537D">
        <w:rPr>
          <w:rFonts w:hint="cs"/>
          <w:spacing w:val="0"/>
          <w:kern w:val="0"/>
          <w:rtl/>
        </w:rPr>
        <w:t>أيار/</w:t>
      </w:r>
      <w:r w:rsidRPr="00AA537D">
        <w:rPr>
          <w:spacing w:val="0"/>
          <w:kern w:val="0"/>
          <w:rtl/>
        </w:rPr>
        <w:t xml:space="preserve">مايو 2012، </w:t>
      </w:r>
      <w:r w:rsidRPr="00AA537D">
        <w:rPr>
          <w:rFonts w:hint="cs"/>
          <w:spacing w:val="0"/>
          <w:kern w:val="0"/>
          <w:rtl/>
        </w:rPr>
        <w:t xml:space="preserve">أن 25 من أصحاب الشكوى قد أدينوا في التهم الموجهة إليهم وصدرت عليهم أحكام؛ وأن </w:t>
      </w:r>
      <w:r w:rsidRPr="00AA537D">
        <w:rPr>
          <w:spacing w:val="0"/>
          <w:kern w:val="0"/>
          <w:rtl/>
        </w:rPr>
        <w:t>ثلاثة منهم حكم عليهم بالعمل الإصلاحي لمدة ثلاث سنوات وأ</w:t>
      </w:r>
      <w:r w:rsidRPr="00AA537D">
        <w:rPr>
          <w:rFonts w:hint="cs"/>
          <w:spacing w:val="0"/>
          <w:kern w:val="0"/>
          <w:rtl/>
        </w:rPr>
        <w:t>خلي سبيلهم</w:t>
      </w:r>
      <w:r w:rsidRPr="00AA537D">
        <w:rPr>
          <w:spacing w:val="0"/>
          <w:kern w:val="0"/>
          <w:rtl/>
        </w:rPr>
        <w:t xml:space="preserve"> بعد جلسة المح</w:t>
      </w:r>
      <w:r w:rsidRPr="00AA537D">
        <w:rPr>
          <w:rFonts w:hint="cs"/>
          <w:spacing w:val="0"/>
          <w:kern w:val="0"/>
          <w:rtl/>
        </w:rPr>
        <w:t>ا</w:t>
      </w:r>
      <w:r w:rsidRPr="00AA537D">
        <w:rPr>
          <w:spacing w:val="0"/>
          <w:kern w:val="0"/>
          <w:rtl/>
        </w:rPr>
        <w:t>كمة. و</w:t>
      </w:r>
      <w:r w:rsidRPr="00AA537D">
        <w:rPr>
          <w:rFonts w:hint="cs"/>
          <w:spacing w:val="0"/>
          <w:kern w:val="0"/>
          <w:rtl/>
        </w:rPr>
        <w:t>استفاد أحدهم من العفو العام. و</w:t>
      </w:r>
      <w:r w:rsidRPr="00AA537D">
        <w:rPr>
          <w:spacing w:val="0"/>
          <w:kern w:val="0"/>
          <w:rtl/>
        </w:rPr>
        <w:t>تلاحظ الدولة الطرف أنه ل</w:t>
      </w:r>
      <w:r w:rsidRPr="00AA537D">
        <w:rPr>
          <w:rFonts w:hint="cs"/>
          <w:spacing w:val="0"/>
          <w:kern w:val="0"/>
          <w:rtl/>
        </w:rPr>
        <w:t>يس هناك ما يدعو إلى ا</w:t>
      </w:r>
      <w:r w:rsidRPr="00AA537D">
        <w:rPr>
          <w:spacing w:val="0"/>
          <w:kern w:val="0"/>
          <w:rtl/>
        </w:rPr>
        <w:t>لاعتقاد بأن أصحاب الشكوى سيتعرض</w:t>
      </w:r>
      <w:r w:rsidRPr="00AA537D">
        <w:rPr>
          <w:rFonts w:hint="cs"/>
          <w:spacing w:val="0"/>
          <w:kern w:val="0"/>
          <w:rtl/>
        </w:rPr>
        <w:t>ون</w:t>
      </w:r>
      <w:r w:rsidRPr="00AA537D">
        <w:rPr>
          <w:spacing w:val="0"/>
          <w:kern w:val="0"/>
          <w:rtl/>
        </w:rPr>
        <w:t xml:space="preserve"> للتعذيب </w:t>
      </w:r>
      <w:r w:rsidRPr="00AA537D">
        <w:rPr>
          <w:rFonts w:hint="cs"/>
          <w:spacing w:val="0"/>
          <w:kern w:val="0"/>
          <w:rtl/>
        </w:rPr>
        <w:t>أ</w:t>
      </w:r>
      <w:r w:rsidRPr="00AA537D">
        <w:rPr>
          <w:spacing w:val="0"/>
          <w:kern w:val="0"/>
          <w:rtl/>
        </w:rPr>
        <w:t>و</w:t>
      </w:r>
      <w:r w:rsidRPr="00AA537D">
        <w:rPr>
          <w:rFonts w:hint="cs"/>
          <w:spacing w:val="0"/>
          <w:kern w:val="0"/>
          <w:rtl/>
        </w:rPr>
        <w:t xml:space="preserve"> </w:t>
      </w:r>
      <w:r w:rsidRPr="00AA537D">
        <w:rPr>
          <w:spacing w:val="0"/>
          <w:kern w:val="0"/>
          <w:rtl/>
        </w:rPr>
        <w:t>المعاملة القاسية أو اللاإنسانية أو المهينة في أوزبكستان. و</w:t>
      </w:r>
      <w:r w:rsidRPr="00AA537D">
        <w:rPr>
          <w:rFonts w:hint="cs"/>
          <w:spacing w:val="0"/>
          <w:kern w:val="0"/>
          <w:rtl/>
        </w:rPr>
        <w:t>وفقاً ل</w:t>
      </w:r>
      <w:r w:rsidRPr="00AA537D">
        <w:rPr>
          <w:spacing w:val="0"/>
          <w:kern w:val="0"/>
          <w:rtl/>
        </w:rPr>
        <w:t xml:space="preserve">لسلطات </w:t>
      </w:r>
      <w:r w:rsidRPr="00AA537D">
        <w:rPr>
          <w:rFonts w:hint="cs"/>
          <w:spacing w:val="0"/>
          <w:kern w:val="0"/>
          <w:rtl/>
        </w:rPr>
        <w:t xml:space="preserve">في أوزبكستان، تعتبر أوضاع الاحتجاز المتعلقة بأصحاب الشكوى </w:t>
      </w:r>
      <w:r w:rsidRPr="00AA537D">
        <w:rPr>
          <w:spacing w:val="0"/>
          <w:kern w:val="0"/>
          <w:rtl/>
        </w:rPr>
        <w:t>ملائمة و</w:t>
      </w:r>
      <w:r w:rsidRPr="00AA537D">
        <w:rPr>
          <w:rFonts w:hint="cs"/>
          <w:spacing w:val="0"/>
          <w:kern w:val="0"/>
          <w:rtl/>
        </w:rPr>
        <w:t xml:space="preserve">أنهم </w:t>
      </w:r>
      <w:r w:rsidRPr="00AA537D">
        <w:rPr>
          <w:spacing w:val="0"/>
          <w:kern w:val="0"/>
          <w:rtl/>
        </w:rPr>
        <w:t>ل</w:t>
      </w:r>
      <w:r w:rsidRPr="00AA537D">
        <w:rPr>
          <w:rFonts w:hint="cs"/>
          <w:spacing w:val="0"/>
          <w:kern w:val="0"/>
          <w:rtl/>
        </w:rPr>
        <w:t>يسوا عرضة</w:t>
      </w:r>
      <w:r w:rsidRPr="00AA537D">
        <w:rPr>
          <w:spacing w:val="0"/>
          <w:kern w:val="0"/>
          <w:rtl/>
        </w:rPr>
        <w:t xml:space="preserve"> للتعذيب. وتلاحظ الدولة الطرف أن </w:t>
      </w:r>
      <w:r w:rsidRPr="00AA537D">
        <w:rPr>
          <w:rFonts w:hint="cs"/>
          <w:spacing w:val="0"/>
          <w:kern w:val="0"/>
          <w:rtl/>
        </w:rPr>
        <w:t xml:space="preserve">ما يقرب من 000 10 لاجئ غير شرعي يدخلون </w:t>
      </w:r>
      <w:r w:rsidRPr="00AA537D">
        <w:rPr>
          <w:spacing w:val="0"/>
          <w:kern w:val="0"/>
          <w:rtl/>
        </w:rPr>
        <w:t xml:space="preserve">أراضيها </w:t>
      </w:r>
      <w:r w:rsidRPr="00AA537D">
        <w:rPr>
          <w:rFonts w:hint="cs"/>
          <w:spacing w:val="0"/>
          <w:kern w:val="0"/>
          <w:rtl/>
        </w:rPr>
        <w:t xml:space="preserve">كل عام </w:t>
      </w:r>
      <w:r w:rsidRPr="00AA537D">
        <w:rPr>
          <w:spacing w:val="0"/>
          <w:kern w:val="0"/>
          <w:rtl/>
        </w:rPr>
        <w:t xml:space="preserve">من أوزبكستان، </w:t>
      </w:r>
      <w:r w:rsidRPr="00AA537D">
        <w:rPr>
          <w:rFonts w:hint="cs"/>
          <w:spacing w:val="0"/>
          <w:kern w:val="0"/>
          <w:rtl/>
        </w:rPr>
        <w:t>وأن</w:t>
      </w:r>
      <w:r w:rsidRPr="00AA537D">
        <w:rPr>
          <w:rFonts w:hint="eastAsia"/>
          <w:spacing w:val="0"/>
          <w:kern w:val="0"/>
          <w:rtl/>
        </w:rPr>
        <w:t> </w:t>
      </w:r>
      <w:r w:rsidRPr="00AA537D">
        <w:rPr>
          <w:rFonts w:hint="cs"/>
          <w:spacing w:val="0"/>
          <w:kern w:val="0"/>
          <w:rtl/>
        </w:rPr>
        <w:t>000</w:t>
      </w:r>
      <w:r w:rsidRPr="00AA537D">
        <w:rPr>
          <w:rFonts w:hint="eastAsia"/>
          <w:spacing w:val="0"/>
          <w:kern w:val="0"/>
          <w:rtl/>
        </w:rPr>
        <w:t> </w:t>
      </w:r>
      <w:r w:rsidRPr="00AA537D">
        <w:rPr>
          <w:rFonts w:hint="cs"/>
          <w:spacing w:val="0"/>
          <w:kern w:val="0"/>
          <w:rtl/>
        </w:rPr>
        <w:t xml:space="preserve">5 منهم يعادون إليها. </w:t>
      </w:r>
      <w:r w:rsidRPr="00AA537D">
        <w:rPr>
          <w:spacing w:val="0"/>
          <w:kern w:val="0"/>
          <w:rtl/>
        </w:rPr>
        <w:t xml:space="preserve">وتتعاون </w:t>
      </w:r>
      <w:r w:rsidRPr="00AA537D">
        <w:rPr>
          <w:rFonts w:hint="cs"/>
          <w:spacing w:val="0"/>
          <w:kern w:val="0"/>
          <w:rtl/>
        </w:rPr>
        <w:t xml:space="preserve">الدولة الطرف مع </w:t>
      </w:r>
      <w:r w:rsidRPr="00AA537D">
        <w:rPr>
          <w:spacing w:val="0"/>
          <w:kern w:val="0"/>
          <w:rtl/>
        </w:rPr>
        <w:t xml:space="preserve">أوزبكستان </w:t>
      </w:r>
      <w:r w:rsidRPr="00AA537D">
        <w:rPr>
          <w:rFonts w:hint="cs"/>
          <w:spacing w:val="0"/>
          <w:kern w:val="0"/>
          <w:rtl/>
        </w:rPr>
        <w:t>وتسلم في المتوسط</w:t>
      </w:r>
      <w:r w:rsidRPr="00AA537D">
        <w:rPr>
          <w:rFonts w:hint="eastAsia"/>
          <w:spacing w:val="0"/>
          <w:kern w:val="0"/>
          <w:rtl/>
        </w:rPr>
        <w:t> </w:t>
      </w:r>
      <w:r w:rsidRPr="00AA537D">
        <w:rPr>
          <w:rFonts w:hint="cs"/>
          <w:spacing w:val="0"/>
          <w:kern w:val="0"/>
          <w:rtl/>
        </w:rPr>
        <w:t xml:space="preserve">40 فرداً </w:t>
      </w:r>
      <w:r w:rsidRPr="00AA537D">
        <w:rPr>
          <w:spacing w:val="0"/>
          <w:kern w:val="0"/>
          <w:rtl/>
        </w:rPr>
        <w:t xml:space="preserve">في السنة </w:t>
      </w:r>
      <w:r w:rsidRPr="00AA537D">
        <w:rPr>
          <w:rFonts w:hint="cs"/>
          <w:spacing w:val="0"/>
          <w:kern w:val="0"/>
          <w:rtl/>
        </w:rPr>
        <w:t xml:space="preserve">لأسباب </w:t>
      </w:r>
      <w:r w:rsidRPr="00AA537D">
        <w:rPr>
          <w:spacing w:val="0"/>
          <w:kern w:val="0"/>
          <w:rtl/>
        </w:rPr>
        <w:t xml:space="preserve">جنائية. </w:t>
      </w:r>
      <w:r w:rsidRPr="00AA537D">
        <w:rPr>
          <w:rFonts w:hint="cs"/>
          <w:spacing w:val="0"/>
          <w:kern w:val="0"/>
          <w:rtl/>
        </w:rPr>
        <w:t>وقامت مفوضية الأمم المتحدة السامية منذ عام</w:t>
      </w:r>
      <w:r w:rsidRPr="00AA537D">
        <w:rPr>
          <w:rFonts w:hint="eastAsia"/>
          <w:spacing w:val="0"/>
          <w:kern w:val="0"/>
          <w:rtl/>
        </w:rPr>
        <w:t> </w:t>
      </w:r>
      <w:r w:rsidRPr="00AA537D">
        <w:rPr>
          <w:rFonts w:hint="cs"/>
          <w:spacing w:val="0"/>
          <w:kern w:val="0"/>
          <w:rtl/>
        </w:rPr>
        <w:t>2007 بت</w:t>
      </w:r>
      <w:r w:rsidRPr="00AA537D">
        <w:rPr>
          <w:spacing w:val="0"/>
          <w:kern w:val="0"/>
          <w:rtl/>
        </w:rPr>
        <w:t xml:space="preserve">وطين 215 </w:t>
      </w:r>
      <w:r w:rsidRPr="00AA537D">
        <w:rPr>
          <w:rFonts w:hint="cs"/>
          <w:spacing w:val="0"/>
          <w:kern w:val="0"/>
          <w:rtl/>
        </w:rPr>
        <w:t>أوزبكيا</w:t>
      </w:r>
      <w:r w:rsidR="00171FB4">
        <w:rPr>
          <w:rFonts w:hint="cs"/>
          <w:spacing w:val="0"/>
          <w:kern w:val="0"/>
          <w:rtl/>
        </w:rPr>
        <w:t>ً</w:t>
      </w:r>
      <w:r w:rsidRPr="00AA537D">
        <w:rPr>
          <w:rFonts w:hint="cs"/>
          <w:spacing w:val="0"/>
          <w:kern w:val="0"/>
          <w:rtl/>
        </w:rPr>
        <w:t xml:space="preserve"> في </w:t>
      </w:r>
      <w:r w:rsidRPr="00AA537D">
        <w:rPr>
          <w:spacing w:val="0"/>
          <w:kern w:val="0"/>
          <w:rtl/>
        </w:rPr>
        <w:t>بلدان ثالثة.</w:t>
      </w:r>
    </w:p>
    <w:p w:rsidR="00FA6676" w:rsidRPr="00AA537D" w:rsidRDefault="00FA6676" w:rsidP="00AA537D">
      <w:pPr>
        <w:pStyle w:val="SingleTxtGA"/>
        <w:jc w:val="lowKashida"/>
        <w:rPr>
          <w:rFonts w:hint="cs"/>
          <w:spacing w:val="0"/>
          <w:kern w:val="0"/>
          <w:rtl/>
        </w:rPr>
      </w:pPr>
      <w:r w:rsidRPr="00AA537D">
        <w:rPr>
          <w:rFonts w:hint="cs"/>
          <w:spacing w:val="0"/>
          <w:kern w:val="0"/>
          <w:rtl/>
        </w:rPr>
        <w:t>9-4</w:t>
      </w:r>
      <w:r w:rsidRPr="00AA537D">
        <w:rPr>
          <w:rFonts w:hint="cs"/>
          <w:spacing w:val="0"/>
          <w:kern w:val="0"/>
          <w:rtl/>
        </w:rPr>
        <w:tab/>
        <w:t xml:space="preserve">ورداً على </w:t>
      </w:r>
      <w:r w:rsidRPr="00AA537D">
        <w:rPr>
          <w:spacing w:val="0"/>
          <w:kern w:val="0"/>
          <w:rtl/>
        </w:rPr>
        <w:t xml:space="preserve">أسئلة أعضاء اللجنة، </w:t>
      </w:r>
      <w:r w:rsidRPr="00AA537D">
        <w:rPr>
          <w:rFonts w:hint="cs"/>
          <w:spacing w:val="0"/>
          <w:kern w:val="0"/>
          <w:rtl/>
        </w:rPr>
        <w:t xml:space="preserve">لاحظت </w:t>
      </w:r>
      <w:r w:rsidRPr="00AA537D">
        <w:rPr>
          <w:spacing w:val="0"/>
          <w:kern w:val="0"/>
          <w:rtl/>
        </w:rPr>
        <w:t xml:space="preserve">الدولة الطرف </w:t>
      </w:r>
      <w:r w:rsidRPr="00AA537D">
        <w:rPr>
          <w:rFonts w:hint="cs"/>
          <w:spacing w:val="0"/>
          <w:kern w:val="0"/>
          <w:rtl/>
        </w:rPr>
        <w:t>أنه لا يجوز بموجب ا</w:t>
      </w:r>
      <w:r w:rsidRPr="00AA537D">
        <w:rPr>
          <w:spacing w:val="0"/>
          <w:kern w:val="0"/>
          <w:rtl/>
        </w:rPr>
        <w:t>لمادة</w:t>
      </w:r>
      <w:r w:rsidRPr="00AA537D">
        <w:rPr>
          <w:rFonts w:hint="cs"/>
          <w:spacing w:val="0"/>
          <w:kern w:val="0"/>
          <w:rtl/>
        </w:rPr>
        <w:t> </w:t>
      </w:r>
      <w:r w:rsidRPr="00AA537D">
        <w:rPr>
          <w:spacing w:val="0"/>
          <w:kern w:val="0"/>
          <w:rtl/>
        </w:rPr>
        <w:t>18 من قانون اللاجئين والمادة 532 من قانون الإجراءات الجنائية</w:t>
      </w:r>
      <w:r w:rsidRPr="00AA537D">
        <w:rPr>
          <w:rFonts w:hint="cs"/>
          <w:spacing w:val="0"/>
          <w:kern w:val="0"/>
          <w:rtl/>
        </w:rPr>
        <w:t xml:space="preserve"> ترحيل </w:t>
      </w:r>
      <w:r w:rsidRPr="00AA537D">
        <w:rPr>
          <w:spacing w:val="0"/>
          <w:kern w:val="0"/>
          <w:rtl/>
        </w:rPr>
        <w:t xml:space="preserve">أحد إلى </w:t>
      </w:r>
      <w:r w:rsidRPr="00AA537D">
        <w:rPr>
          <w:rFonts w:hint="cs"/>
          <w:spacing w:val="0"/>
          <w:kern w:val="0"/>
          <w:rtl/>
        </w:rPr>
        <w:t xml:space="preserve">بلد </w:t>
      </w:r>
      <w:r w:rsidRPr="00AA537D">
        <w:rPr>
          <w:spacing w:val="0"/>
          <w:kern w:val="0"/>
          <w:rtl/>
        </w:rPr>
        <w:t>ث</w:t>
      </w:r>
      <w:r w:rsidRPr="00AA537D">
        <w:rPr>
          <w:rFonts w:hint="cs"/>
          <w:spacing w:val="0"/>
          <w:kern w:val="0"/>
          <w:rtl/>
        </w:rPr>
        <w:t>ا</w:t>
      </w:r>
      <w:r w:rsidRPr="00AA537D">
        <w:rPr>
          <w:spacing w:val="0"/>
          <w:kern w:val="0"/>
          <w:rtl/>
        </w:rPr>
        <w:t xml:space="preserve">لث إذا </w:t>
      </w:r>
      <w:r w:rsidRPr="00AA537D">
        <w:rPr>
          <w:rFonts w:hint="cs"/>
          <w:spacing w:val="0"/>
          <w:kern w:val="0"/>
          <w:rtl/>
        </w:rPr>
        <w:t>كانت حياته أو حريته مهددة في هذا البلد للخطر أو كان معرضاً فيه ل</w:t>
      </w:r>
      <w:r w:rsidRPr="00AA537D">
        <w:rPr>
          <w:spacing w:val="0"/>
          <w:kern w:val="0"/>
          <w:rtl/>
        </w:rPr>
        <w:t xml:space="preserve">لتعذيب. </w:t>
      </w:r>
      <w:r w:rsidRPr="00AA537D">
        <w:rPr>
          <w:rFonts w:hint="cs"/>
          <w:spacing w:val="0"/>
          <w:kern w:val="0"/>
          <w:rtl/>
        </w:rPr>
        <w:t>وفيما</w:t>
      </w:r>
      <w:r w:rsidRPr="00AA537D">
        <w:rPr>
          <w:rFonts w:hint="eastAsia"/>
          <w:spacing w:val="0"/>
          <w:kern w:val="0"/>
          <w:rtl/>
        </w:rPr>
        <w:t> </w:t>
      </w:r>
      <w:r w:rsidRPr="00AA537D">
        <w:rPr>
          <w:rFonts w:hint="cs"/>
          <w:spacing w:val="0"/>
          <w:kern w:val="0"/>
          <w:rtl/>
        </w:rPr>
        <w:t xml:space="preserve">يتعلق بالمحاكمة العادلة، كررت </w:t>
      </w:r>
      <w:r w:rsidRPr="00AA537D">
        <w:rPr>
          <w:spacing w:val="0"/>
          <w:kern w:val="0"/>
          <w:rtl/>
        </w:rPr>
        <w:t>الدولة الطرف</w:t>
      </w:r>
      <w:r w:rsidRPr="00AA537D">
        <w:rPr>
          <w:rFonts w:hint="cs"/>
          <w:spacing w:val="0"/>
          <w:kern w:val="0"/>
          <w:rtl/>
        </w:rPr>
        <w:t xml:space="preserve"> </w:t>
      </w:r>
      <w:r w:rsidRPr="00AA537D">
        <w:rPr>
          <w:spacing w:val="0"/>
          <w:kern w:val="0"/>
          <w:rtl/>
        </w:rPr>
        <w:t>ملاحظاتها الخطية</w:t>
      </w:r>
      <w:r w:rsidRPr="00AA537D">
        <w:rPr>
          <w:rFonts w:hint="cs"/>
          <w:spacing w:val="0"/>
          <w:kern w:val="0"/>
          <w:rtl/>
        </w:rPr>
        <w:t xml:space="preserve"> وأفادت</w:t>
      </w:r>
      <w:r w:rsidRPr="00AA537D">
        <w:rPr>
          <w:spacing w:val="0"/>
          <w:kern w:val="0"/>
          <w:rtl/>
        </w:rPr>
        <w:t xml:space="preserve"> </w:t>
      </w:r>
      <w:r w:rsidRPr="00AA537D">
        <w:rPr>
          <w:rFonts w:hint="cs"/>
          <w:spacing w:val="0"/>
          <w:kern w:val="0"/>
          <w:rtl/>
        </w:rPr>
        <w:t xml:space="preserve">بأن محاضر الجلسات تدل على مشاركة </w:t>
      </w:r>
      <w:r w:rsidRPr="00AA537D">
        <w:rPr>
          <w:spacing w:val="0"/>
          <w:kern w:val="0"/>
          <w:rtl/>
        </w:rPr>
        <w:t>المحامين والمترجمين الشفويين في الإجراءات</w:t>
      </w:r>
      <w:r w:rsidRPr="00AA537D">
        <w:rPr>
          <w:rFonts w:hint="cs"/>
          <w:spacing w:val="0"/>
          <w:kern w:val="0"/>
          <w:rtl/>
        </w:rPr>
        <w:t xml:space="preserve">، ولم يقدم أحد من أصحاب الشكوى أو </w:t>
      </w:r>
      <w:r w:rsidRPr="00AA537D">
        <w:rPr>
          <w:spacing w:val="0"/>
          <w:kern w:val="0"/>
          <w:rtl/>
        </w:rPr>
        <w:t xml:space="preserve">محاميهم </w:t>
      </w:r>
      <w:r w:rsidRPr="00AA537D">
        <w:rPr>
          <w:rFonts w:hint="cs"/>
          <w:spacing w:val="0"/>
          <w:kern w:val="0"/>
          <w:rtl/>
        </w:rPr>
        <w:t>أ</w:t>
      </w:r>
      <w:r w:rsidRPr="00AA537D">
        <w:rPr>
          <w:spacing w:val="0"/>
          <w:kern w:val="0"/>
          <w:rtl/>
        </w:rPr>
        <w:t>و</w:t>
      </w:r>
      <w:r w:rsidRPr="00AA537D">
        <w:rPr>
          <w:rFonts w:hint="cs"/>
          <w:spacing w:val="0"/>
          <w:kern w:val="0"/>
          <w:rtl/>
        </w:rPr>
        <w:t xml:space="preserve"> </w:t>
      </w:r>
      <w:r w:rsidRPr="00AA537D">
        <w:rPr>
          <w:spacing w:val="0"/>
          <w:kern w:val="0"/>
          <w:rtl/>
        </w:rPr>
        <w:t>ممثلي المفوضية أو مكتب حقوق الإنسان في الدولة الطرف</w:t>
      </w:r>
      <w:r w:rsidRPr="00AA537D">
        <w:rPr>
          <w:rFonts w:hint="cs"/>
          <w:spacing w:val="0"/>
          <w:kern w:val="0"/>
          <w:rtl/>
        </w:rPr>
        <w:t xml:space="preserve"> أية شكاوى في هذا الشأن</w:t>
      </w:r>
      <w:r w:rsidRPr="00AA537D">
        <w:rPr>
          <w:spacing w:val="0"/>
          <w:kern w:val="0"/>
          <w:rtl/>
        </w:rPr>
        <w:t>. وفيما يتعلق بالإجراءات في أوزبكستان، لاحظت الدولة الطرف أن</w:t>
      </w:r>
      <w:r w:rsidRPr="00AA537D">
        <w:rPr>
          <w:rFonts w:hint="cs"/>
          <w:spacing w:val="0"/>
          <w:kern w:val="0"/>
          <w:rtl/>
        </w:rPr>
        <w:t xml:space="preserve">ه تم الدفاع عن جميع أصحاب الشكوى بواسطة </w:t>
      </w:r>
      <w:r w:rsidRPr="00AA537D">
        <w:rPr>
          <w:spacing w:val="0"/>
          <w:kern w:val="0"/>
          <w:rtl/>
        </w:rPr>
        <w:t xml:space="preserve">محامين </w:t>
      </w:r>
      <w:r w:rsidRPr="00AA537D">
        <w:rPr>
          <w:rFonts w:hint="cs"/>
          <w:spacing w:val="0"/>
          <w:kern w:val="0"/>
          <w:rtl/>
        </w:rPr>
        <w:t xml:space="preserve">من </w:t>
      </w:r>
      <w:r w:rsidRPr="00AA537D">
        <w:rPr>
          <w:spacing w:val="0"/>
          <w:kern w:val="0"/>
          <w:rtl/>
        </w:rPr>
        <w:t>اختيارهم وأن</w:t>
      </w:r>
      <w:r w:rsidRPr="00AA537D">
        <w:rPr>
          <w:rFonts w:hint="cs"/>
          <w:spacing w:val="0"/>
          <w:kern w:val="0"/>
          <w:rtl/>
        </w:rPr>
        <w:t>ه</w:t>
      </w:r>
      <w:r w:rsidRPr="00AA537D">
        <w:rPr>
          <w:spacing w:val="0"/>
          <w:kern w:val="0"/>
          <w:rtl/>
        </w:rPr>
        <w:t xml:space="preserve"> </w:t>
      </w:r>
      <w:r w:rsidRPr="00AA537D">
        <w:rPr>
          <w:rFonts w:hint="cs"/>
          <w:spacing w:val="0"/>
          <w:kern w:val="0"/>
          <w:rtl/>
        </w:rPr>
        <w:t>لم</w:t>
      </w:r>
      <w:r w:rsidRPr="00AA537D">
        <w:rPr>
          <w:rFonts w:hint="eastAsia"/>
          <w:spacing w:val="0"/>
          <w:kern w:val="0"/>
          <w:rtl/>
        </w:rPr>
        <w:t> </w:t>
      </w:r>
      <w:r w:rsidRPr="00AA537D">
        <w:rPr>
          <w:rFonts w:hint="cs"/>
          <w:spacing w:val="0"/>
          <w:kern w:val="0"/>
          <w:rtl/>
        </w:rPr>
        <w:t>يدع أحد تعرضه</w:t>
      </w:r>
      <w:r w:rsidRPr="00AA537D">
        <w:rPr>
          <w:spacing w:val="0"/>
          <w:kern w:val="0"/>
          <w:rtl/>
        </w:rPr>
        <w:t xml:space="preserve"> </w:t>
      </w:r>
      <w:r w:rsidRPr="00AA537D">
        <w:rPr>
          <w:rFonts w:hint="cs"/>
          <w:spacing w:val="0"/>
          <w:kern w:val="0"/>
          <w:rtl/>
        </w:rPr>
        <w:t>ل</w:t>
      </w:r>
      <w:r w:rsidRPr="00AA537D">
        <w:rPr>
          <w:spacing w:val="0"/>
          <w:kern w:val="0"/>
          <w:rtl/>
        </w:rPr>
        <w:t>لتعذيب.</w:t>
      </w:r>
    </w:p>
    <w:p w:rsidR="00FA6676" w:rsidRPr="00AA537D" w:rsidRDefault="00FA6676" w:rsidP="00AA537D">
      <w:pPr>
        <w:pStyle w:val="SingleTxtGA"/>
        <w:jc w:val="lowKashida"/>
        <w:rPr>
          <w:rFonts w:hint="cs"/>
          <w:spacing w:val="0"/>
          <w:kern w:val="0"/>
          <w:rtl/>
        </w:rPr>
      </w:pPr>
      <w:r w:rsidRPr="00AA537D">
        <w:rPr>
          <w:rFonts w:hint="cs"/>
          <w:spacing w:val="0"/>
          <w:kern w:val="0"/>
          <w:rtl/>
        </w:rPr>
        <w:t>9-5</w:t>
      </w:r>
      <w:r w:rsidRPr="00AA537D">
        <w:rPr>
          <w:rFonts w:hint="cs"/>
          <w:spacing w:val="0"/>
          <w:kern w:val="0"/>
          <w:rtl/>
        </w:rPr>
        <w:tab/>
        <w:t xml:space="preserve">وفيما يتعلق بالحالة في </w:t>
      </w:r>
      <w:r w:rsidRPr="00AA537D">
        <w:rPr>
          <w:spacing w:val="0"/>
          <w:kern w:val="0"/>
          <w:rtl/>
        </w:rPr>
        <w:t xml:space="preserve">أوزبكستان والمخاطر </w:t>
      </w:r>
      <w:r w:rsidRPr="00AA537D">
        <w:rPr>
          <w:rFonts w:hint="cs"/>
          <w:spacing w:val="0"/>
          <w:kern w:val="0"/>
          <w:rtl/>
        </w:rPr>
        <w:t xml:space="preserve">التي يتعرض لها أصحاب الشكوى، لاحظت </w:t>
      </w:r>
      <w:r w:rsidRPr="00AA537D">
        <w:rPr>
          <w:spacing w:val="0"/>
          <w:kern w:val="0"/>
          <w:rtl/>
        </w:rPr>
        <w:t xml:space="preserve">الدولة الطرف </w:t>
      </w:r>
      <w:r w:rsidRPr="00AA537D">
        <w:rPr>
          <w:rFonts w:hint="cs"/>
          <w:spacing w:val="0"/>
          <w:kern w:val="0"/>
          <w:rtl/>
        </w:rPr>
        <w:t xml:space="preserve">أن </w:t>
      </w:r>
      <w:r w:rsidRPr="00AA537D">
        <w:rPr>
          <w:spacing w:val="0"/>
          <w:kern w:val="0"/>
          <w:rtl/>
        </w:rPr>
        <w:t xml:space="preserve">السلطات الكازاخستانية </w:t>
      </w:r>
      <w:r w:rsidRPr="00AA537D">
        <w:rPr>
          <w:rFonts w:hint="cs"/>
          <w:spacing w:val="0"/>
          <w:kern w:val="0"/>
          <w:rtl/>
        </w:rPr>
        <w:t xml:space="preserve">تعمل مع نظيراتها </w:t>
      </w:r>
      <w:r w:rsidRPr="00AA537D">
        <w:rPr>
          <w:spacing w:val="0"/>
          <w:kern w:val="0"/>
          <w:rtl/>
        </w:rPr>
        <w:t xml:space="preserve">الأوزبكية </w:t>
      </w:r>
      <w:r w:rsidRPr="00AA537D">
        <w:rPr>
          <w:rFonts w:hint="cs"/>
          <w:spacing w:val="0"/>
          <w:kern w:val="0"/>
          <w:rtl/>
        </w:rPr>
        <w:t>لل</w:t>
      </w:r>
      <w:r w:rsidRPr="00AA537D">
        <w:rPr>
          <w:spacing w:val="0"/>
          <w:kern w:val="0"/>
          <w:rtl/>
        </w:rPr>
        <w:t xml:space="preserve">حصول على ضمانات </w:t>
      </w:r>
      <w:r w:rsidRPr="00AA537D">
        <w:rPr>
          <w:rFonts w:hint="cs"/>
          <w:spacing w:val="0"/>
          <w:kern w:val="0"/>
          <w:rtl/>
        </w:rPr>
        <w:t>بعدم تعرض أي</w:t>
      </w:r>
      <w:r w:rsidRPr="00AA537D">
        <w:rPr>
          <w:spacing w:val="0"/>
          <w:kern w:val="0"/>
          <w:rtl/>
        </w:rPr>
        <w:t xml:space="preserve"> من أصحاب الشكوى للتعذيب</w:t>
      </w:r>
      <w:r w:rsidRPr="00AA537D">
        <w:rPr>
          <w:rFonts w:hint="cs"/>
          <w:spacing w:val="0"/>
          <w:kern w:val="0"/>
          <w:rtl/>
        </w:rPr>
        <w:t xml:space="preserve"> والسماح ل</w:t>
      </w:r>
      <w:r w:rsidRPr="00AA537D">
        <w:rPr>
          <w:spacing w:val="0"/>
          <w:kern w:val="0"/>
          <w:rtl/>
        </w:rPr>
        <w:t xml:space="preserve">لمنظمات الدولية بزيارتهم. في حالة عدم احترام هذه الضمانات، </w:t>
      </w:r>
      <w:r w:rsidRPr="00AA537D">
        <w:rPr>
          <w:rFonts w:hint="cs"/>
          <w:spacing w:val="0"/>
          <w:kern w:val="0"/>
          <w:rtl/>
        </w:rPr>
        <w:t xml:space="preserve">تحتفظ </w:t>
      </w:r>
      <w:r w:rsidRPr="00AA537D">
        <w:rPr>
          <w:spacing w:val="0"/>
          <w:kern w:val="0"/>
          <w:rtl/>
        </w:rPr>
        <w:t>الدولة الطرف بحقها في إعادة النظر في تعاونها مع أوزبكستان. وق</w:t>
      </w:r>
      <w:r w:rsidRPr="00AA537D">
        <w:rPr>
          <w:rFonts w:hint="cs"/>
          <w:spacing w:val="0"/>
          <w:kern w:val="0"/>
          <w:rtl/>
        </w:rPr>
        <w:t>الت</w:t>
      </w:r>
      <w:r w:rsidRPr="00AA537D">
        <w:rPr>
          <w:spacing w:val="0"/>
          <w:kern w:val="0"/>
          <w:rtl/>
        </w:rPr>
        <w:t xml:space="preserve"> أيضاً </w:t>
      </w:r>
      <w:r w:rsidRPr="00AA537D">
        <w:rPr>
          <w:rFonts w:hint="cs"/>
          <w:spacing w:val="0"/>
          <w:kern w:val="0"/>
          <w:rtl/>
        </w:rPr>
        <w:t>إ</w:t>
      </w:r>
      <w:r w:rsidRPr="00AA537D">
        <w:rPr>
          <w:spacing w:val="0"/>
          <w:kern w:val="0"/>
          <w:rtl/>
        </w:rPr>
        <w:t xml:space="preserve">نها </w:t>
      </w:r>
      <w:r w:rsidRPr="00AA537D">
        <w:rPr>
          <w:rFonts w:hint="cs"/>
          <w:spacing w:val="0"/>
          <w:kern w:val="0"/>
          <w:rtl/>
        </w:rPr>
        <w:t xml:space="preserve">على علم بتقارير </w:t>
      </w:r>
      <w:r w:rsidRPr="00AA537D">
        <w:rPr>
          <w:spacing w:val="0"/>
          <w:kern w:val="0"/>
          <w:rtl/>
        </w:rPr>
        <w:t xml:space="preserve">المنظمات غير الحكومية الدولية </w:t>
      </w:r>
      <w:r w:rsidRPr="00AA537D">
        <w:rPr>
          <w:rFonts w:hint="cs"/>
          <w:spacing w:val="0"/>
          <w:kern w:val="0"/>
          <w:rtl/>
        </w:rPr>
        <w:t>المعنية بح</w:t>
      </w:r>
      <w:r w:rsidRPr="00AA537D">
        <w:rPr>
          <w:spacing w:val="0"/>
          <w:kern w:val="0"/>
          <w:rtl/>
        </w:rPr>
        <w:t>قوق الإنسان</w:t>
      </w:r>
      <w:r w:rsidRPr="00AA537D">
        <w:rPr>
          <w:rFonts w:hint="cs"/>
          <w:spacing w:val="0"/>
          <w:kern w:val="0"/>
          <w:rtl/>
        </w:rPr>
        <w:t>،</w:t>
      </w:r>
      <w:r w:rsidRPr="00AA537D">
        <w:rPr>
          <w:spacing w:val="0"/>
          <w:kern w:val="0"/>
          <w:rtl/>
        </w:rPr>
        <w:t xml:space="preserve"> والتقارير المقدمة من المقررين الخاصين للأمم المتحدة</w:t>
      </w:r>
      <w:r w:rsidRPr="00AA537D">
        <w:rPr>
          <w:rFonts w:hint="cs"/>
          <w:spacing w:val="0"/>
          <w:kern w:val="0"/>
          <w:rtl/>
        </w:rPr>
        <w:t>،</w:t>
      </w:r>
      <w:r w:rsidRPr="00AA537D">
        <w:rPr>
          <w:spacing w:val="0"/>
          <w:kern w:val="0"/>
          <w:rtl/>
        </w:rPr>
        <w:t xml:space="preserve"> وقرارات الجمعية العامة</w:t>
      </w:r>
      <w:r w:rsidRPr="00AA537D">
        <w:rPr>
          <w:rFonts w:hint="cs"/>
          <w:spacing w:val="0"/>
          <w:kern w:val="0"/>
          <w:rtl/>
        </w:rPr>
        <w:t xml:space="preserve"> بشأن</w:t>
      </w:r>
      <w:r w:rsidRPr="00AA537D">
        <w:rPr>
          <w:spacing w:val="0"/>
          <w:kern w:val="0"/>
          <w:rtl/>
        </w:rPr>
        <w:t xml:space="preserve"> أوزبكستان. و</w:t>
      </w:r>
      <w:r w:rsidRPr="00AA537D">
        <w:rPr>
          <w:rFonts w:hint="cs"/>
          <w:spacing w:val="0"/>
          <w:kern w:val="0"/>
          <w:rtl/>
        </w:rPr>
        <w:t xml:space="preserve">قالت إن هناك </w:t>
      </w:r>
      <w:r w:rsidRPr="00AA537D">
        <w:rPr>
          <w:spacing w:val="0"/>
          <w:kern w:val="0"/>
          <w:rtl/>
        </w:rPr>
        <w:t xml:space="preserve">تقارير أخرى تشير إلى تحسن </w:t>
      </w:r>
      <w:r w:rsidRPr="00AA537D">
        <w:rPr>
          <w:rFonts w:hint="cs"/>
          <w:spacing w:val="0"/>
          <w:kern w:val="0"/>
          <w:rtl/>
        </w:rPr>
        <w:t>الأ</w:t>
      </w:r>
      <w:r w:rsidRPr="00AA537D">
        <w:rPr>
          <w:spacing w:val="0"/>
          <w:kern w:val="0"/>
          <w:rtl/>
        </w:rPr>
        <w:t xml:space="preserve">وضاع </w:t>
      </w:r>
      <w:r w:rsidRPr="00AA537D">
        <w:rPr>
          <w:rFonts w:hint="cs"/>
          <w:spacing w:val="0"/>
          <w:kern w:val="0"/>
          <w:rtl/>
        </w:rPr>
        <w:t>المتعلقة ب</w:t>
      </w:r>
      <w:r w:rsidRPr="00AA537D">
        <w:rPr>
          <w:spacing w:val="0"/>
          <w:kern w:val="0"/>
          <w:rtl/>
        </w:rPr>
        <w:t>حقوق الإنسان في أوزبكستان. و</w:t>
      </w:r>
      <w:r w:rsidRPr="00AA537D">
        <w:rPr>
          <w:rFonts w:hint="cs"/>
          <w:spacing w:val="0"/>
          <w:kern w:val="0"/>
          <w:rtl/>
        </w:rPr>
        <w:t xml:space="preserve">قالت </w:t>
      </w:r>
      <w:r w:rsidRPr="00AA537D">
        <w:rPr>
          <w:spacing w:val="0"/>
          <w:kern w:val="0"/>
          <w:rtl/>
        </w:rPr>
        <w:t xml:space="preserve">أيضاً </w:t>
      </w:r>
      <w:r w:rsidRPr="00AA537D">
        <w:rPr>
          <w:rFonts w:hint="cs"/>
          <w:spacing w:val="0"/>
          <w:kern w:val="0"/>
          <w:rtl/>
        </w:rPr>
        <w:t>إ</w:t>
      </w:r>
      <w:r w:rsidRPr="00AA537D">
        <w:rPr>
          <w:spacing w:val="0"/>
          <w:kern w:val="0"/>
          <w:rtl/>
        </w:rPr>
        <w:t>ن</w:t>
      </w:r>
      <w:r w:rsidRPr="00AA537D">
        <w:rPr>
          <w:rFonts w:hint="cs"/>
          <w:spacing w:val="0"/>
          <w:kern w:val="0"/>
          <w:rtl/>
        </w:rPr>
        <w:t xml:space="preserve">ه حكم على السيد </w:t>
      </w:r>
      <w:r w:rsidRPr="00AA537D">
        <w:rPr>
          <w:spacing w:val="0"/>
          <w:kern w:val="0"/>
          <w:rtl/>
        </w:rPr>
        <w:t>ي</w:t>
      </w:r>
      <w:r w:rsidRPr="00AA537D">
        <w:rPr>
          <w:rFonts w:hint="cs"/>
          <w:spacing w:val="0"/>
          <w:kern w:val="0"/>
          <w:rtl/>
        </w:rPr>
        <w:t>عق</w:t>
      </w:r>
      <w:r w:rsidRPr="00AA537D">
        <w:rPr>
          <w:spacing w:val="0"/>
          <w:kern w:val="0"/>
          <w:rtl/>
        </w:rPr>
        <w:t xml:space="preserve">وبوف </w:t>
      </w:r>
      <w:r w:rsidRPr="00AA537D">
        <w:rPr>
          <w:rFonts w:hint="cs"/>
          <w:spacing w:val="0"/>
          <w:kern w:val="0"/>
          <w:rtl/>
        </w:rPr>
        <w:t>بالسجن لمدة </w:t>
      </w:r>
      <w:r w:rsidRPr="00AA537D">
        <w:rPr>
          <w:spacing w:val="0"/>
          <w:kern w:val="0"/>
          <w:rtl/>
        </w:rPr>
        <w:t xml:space="preserve">18 </w:t>
      </w:r>
      <w:r w:rsidRPr="00AA537D">
        <w:rPr>
          <w:rFonts w:hint="cs"/>
          <w:spacing w:val="0"/>
          <w:kern w:val="0"/>
          <w:rtl/>
        </w:rPr>
        <w:t>سنة</w:t>
      </w:r>
      <w:r w:rsidRPr="00AA537D">
        <w:rPr>
          <w:spacing w:val="0"/>
          <w:kern w:val="0"/>
          <w:rtl/>
        </w:rPr>
        <w:t xml:space="preserve"> </w:t>
      </w:r>
      <w:r w:rsidRPr="00AA537D">
        <w:rPr>
          <w:rFonts w:hint="cs"/>
          <w:spacing w:val="0"/>
          <w:kern w:val="0"/>
          <w:rtl/>
        </w:rPr>
        <w:t>و</w:t>
      </w:r>
      <w:r w:rsidRPr="00AA537D">
        <w:rPr>
          <w:spacing w:val="0"/>
          <w:kern w:val="0"/>
          <w:rtl/>
        </w:rPr>
        <w:t>السيد بولتاي</w:t>
      </w:r>
      <w:r w:rsidRPr="00AA537D">
        <w:rPr>
          <w:rFonts w:hint="cs"/>
          <w:spacing w:val="0"/>
          <w:kern w:val="0"/>
          <w:rtl/>
        </w:rPr>
        <w:t>ي</w:t>
      </w:r>
      <w:r w:rsidRPr="00AA537D">
        <w:rPr>
          <w:spacing w:val="0"/>
          <w:kern w:val="0"/>
          <w:rtl/>
        </w:rPr>
        <w:t xml:space="preserve">ف </w:t>
      </w:r>
      <w:r w:rsidRPr="00AA537D">
        <w:rPr>
          <w:rFonts w:hint="cs"/>
          <w:spacing w:val="0"/>
          <w:kern w:val="0"/>
          <w:rtl/>
        </w:rPr>
        <w:t xml:space="preserve">بالسجن لمدة </w:t>
      </w:r>
      <w:r w:rsidRPr="00AA537D">
        <w:rPr>
          <w:spacing w:val="0"/>
          <w:kern w:val="0"/>
          <w:rtl/>
        </w:rPr>
        <w:t>12</w:t>
      </w:r>
      <w:r w:rsidRPr="00AA537D">
        <w:rPr>
          <w:rFonts w:hint="cs"/>
          <w:spacing w:val="0"/>
          <w:kern w:val="0"/>
          <w:rtl/>
        </w:rPr>
        <w:t xml:space="preserve"> سنة، وليس لمدة 30 سنة كما ذكرت </w:t>
      </w:r>
      <w:r w:rsidRPr="00AA537D">
        <w:rPr>
          <w:spacing w:val="0"/>
          <w:kern w:val="0"/>
          <w:rtl/>
        </w:rPr>
        <w:t>وسائل الإعلام.</w:t>
      </w:r>
    </w:p>
    <w:p w:rsidR="00FA6676" w:rsidRPr="00AA537D" w:rsidRDefault="00FA6676" w:rsidP="00AA537D">
      <w:pPr>
        <w:pStyle w:val="SingleTxtGA"/>
        <w:jc w:val="lowKashida"/>
        <w:rPr>
          <w:rFonts w:hint="cs"/>
          <w:spacing w:val="0"/>
          <w:kern w:val="0"/>
          <w:rtl/>
        </w:rPr>
      </w:pPr>
      <w:r w:rsidRPr="00AA537D">
        <w:rPr>
          <w:rFonts w:hint="cs"/>
          <w:spacing w:val="0"/>
          <w:kern w:val="0"/>
          <w:rtl/>
        </w:rPr>
        <w:t>9-6</w:t>
      </w:r>
      <w:r w:rsidRPr="00AA537D">
        <w:rPr>
          <w:rFonts w:hint="cs"/>
          <w:spacing w:val="0"/>
          <w:kern w:val="0"/>
          <w:rtl/>
        </w:rPr>
        <w:tab/>
        <w:t>و</w:t>
      </w:r>
      <w:r w:rsidRPr="00AA537D">
        <w:rPr>
          <w:spacing w:val="0"/>
          <w:kern w:val="0"/>
          <w:rtl/>
        </w:rPr>
        <w:t xml:space="preserve">فيما يتعلق </w:t>
      </w:r>
      <w:r w:rsidRPr="00AA537D">
        <w:rPr>
          <w:rFonts w:hint="cs"/>
          <w:spacing w:val="0"/>
          <w:kern w:val="0"/>
          <w:rtl/>
        </w:rPr>
        <w:t xml:space="preserve">بمعرفة ما إذا كانت أسماء أصحاب الشكوى مدرجة في </w:t>
      </w:r>
      <w:r w:rsidRPr="00AA537D">
        <w:rPr>
          <w:spacing w:val="0"/>
          <w:kern w:val="0"/>
          <w:rtl/>
        </w:rPr>
        <w:t xml:space="preserve">قائمة </w:t>
      </w:r>
      <w:r w:rsidRPr="00AA537D">
        <w:rPr>
          <w:rFonts w:hint="cs"/>
          <w:spacing w:val="0"/>
          <w:kern w:val="0"/>
          <w:rtl/>
        </w:rPr>
        <w:t>ال</w:t>
      </w:r>
      <w:r w:rsidRPr="00AA537D">
        <w:rPr>
          <w:spacing w:val="0"/>
          <w:kern w:val="0"/>
          <w:rtl/>
        </w:rPr>
        <w:t xml:space="preserve">لجنة </w:t>
      </w:r>
      <w:r w:rsidRPr="00AA537D">
        <w:rPr>
          <w:rFonts w:hint="cs"/>
          <w:spacing w:val="0"/>
          <w:kern w:val="0"/>
          <w:rtl/>
        </w:rPr>
        <w:t>التابعة لمجلس الأمن والمعنية ب</w:t>
      </w:r>
      <w:r w:rsidRPr="00AA537D">
        <w:rPr>
          <w:spacing w:val="0"/>
          <w:kern w:val="0"/>
          <w:rtl/>
        </w:rPr>
        <w:t xml:space="preserve">مكافحة الإرهاب، لاحظت الدولة الطرف أن المنظمتين </w:t>
      </w:r>
      <w:r w:rsidRPr="00AA537D">
        <w:rPr>
          <w:rFonts w:hint="cs"/>
          <w:spacing w:val="0"/>
          <w:kern w:val="0"/>
          <w:rtl/>
        </w:rPr>
        <w:t>اللتين أشارت إليهما</w:t>
      </w:r>
      <w:r w:rsidRPr="00AA537D">
        <w:rPr>
          <w:spacing w:val="0"/>
          <w:kern w:val="0"/>
          <w:rtl/>
        </w:rPr>
        <w:t xml:space="preserve"> مدرج</w:t>
      </w:r>
      <w:r w:rsidRPr="00AA537D">
        <w:rPr>
          <w:rFonts w:hint="cs"/>
          <w:spacing w:val="0"/>
          <w:kern w:val="0"/>
          <w:rtl/>
        </w:rPr>
        <w:t>تين</w:t>
      </w:r>
      <w:r w:rsidRPr="00AA537D">
        <w:rPr>
          <w:spacing w:val="0"/>
          <w:kern w:val="0"/>
          <w:rtl/>
        </w:rPr>
        <w:t xml:space="preserve"> </w:t>
      </w:r>
      <w:r w:rsidRPr="00AA537D">
        <w:rPr>
          <w:rFonts w:hint="cs"/>
          <w:spacing w:val="0"/>
          <w:kern w:val="0"/>
          <w:rtl/>
        </w:rPr>
        <w:t>ب</w:t>
      </w:r>
      <w:r w:rsidRPr="00AA537D">
        <w:rPr>
          <w:spacing w:val="0"/>
          <w:kern w:val="0"/>
          <w:rtl/>
        </w:rPr>
        <w:t xml:space="preserve">القائمة. </w:t>
      </w:r>
      <w:r w:rsidRPr="00AA537D">
        <w:rPr>
          <w:rFonts w:hint="cs"/>
          <w:spacing w:val="0"/>
          <w:kern w:val="0"/>
          <w:rtl/>
        </w:rPr>
        <w:t>وتضم إحدى هاتين المنظمتين نحو 000 5 عضو ولا تضم القائمة أسماء جميع هؤلاء الأعضاء.</w:t>
      </w:r>
    </w:p>
    <w:p w:rsidR="00FA6676" w:rsidRPr="00AA537D" w:rsidRDefault="00AB7E73" w:rsidP="00AA537D">
      <w:pPr>
        <w:pStyle w:val="SingleTxtGA"/>
        <w:jc w:val="lowKashida"/>
        <w:rPr>
          <w:rFonts w:hint="cs"/>
          <w:spacing w:val="0"/>
          <w:kern w:val="0"/>
          <w:rtl/>
        </w:rPr>
      </w:pPr>
      <w:r>
        <w:rPr>
          <w:spacing w:val="0"/>
          <w:kern w:val="0"/>
          <w:rtl/>
        </w:rPr>
        <w:br w:type="page"/>
      </w:r>
      <w:r w:rsidR="00FA6676" w:rsidRPr="00AA537D">
        <w:rPr>
          <w:rFonts w:hint="cs"/>
          <w:spacing w:val="0"/>
          <w:kern w:val="0"/>
          <w:rtl/>
        </w:rPr>
        <w:t>9-7</w:t>
      </w:r>
      <w:r w:rsidR="00FA6676" w:rsidRPr="00AA537D">
        <w:rPr>
          <w:rFonts w:hint="cs"/>
          <w:spacing w:val="0"/>
          <w:kern w:val="0"/>
          <w:rtl/>
        </w:rPr>
        <w:tab/>
        <w:t xml:space="preserve">وأوضحت </w:t>
      </w:r>
      <w:r w:rsidR="00FA6676" w:rsidRPr="00AA537D">
        <w:rPr>
          <w:spacing w:val="0"/>
          <w:kern w:val="0"/>
          <w:rtl/>
        </w:rPr>
        <w:t xml:space="preserve">الدولة الطرف </w:t>
      </w:r>
      <w:r w:rsidR="00FA6676" w:rsidRPr="00AA537D">
        <w:rPr>
          <w:rFonts w:hint="cs"/>
          <w:spacing w:val="0"/>
          <w:kern w:val="0"/>
          <w:rtl/>
        </w:rPr>
        <w:t xml:space="preserve">أيضاً </w:t>
      </w:r>
      <w:r w:rsidR="00FA6676" w:rsidRPr="00AA537D">
        <w:rPr>
          <w:spacing w:val="0"/>
          <w:kern w:val="0"/>
          <w:rtl/>
        </w:rPr>
        <w:t xml:space="preserve">أنها تراقب بانتظام حالة </w:t>
      </w:r>
      <w:r w:rsidR="00FA6676" w:rsidRPr="00AA537D">
        <w:rPr>
          <w:rFonts w:hint="cs"/>
          <w:spacing w:val="0"/>
          <w:kern w:val="0"/>
          <w:rtl/>
        </w:rPr>
        <w:t xml:space="preserve">أصحاب الشكوى </w:t>
      </w:r>
      <w:r w:rsidR="00FA6676" w:rsidRPr="00AA537D">
        <w:rPr>
          <w:spacing w:val="0"/>
          <w:kern w:val="0"/>
          <w:rtl/>
        </w:rPr>
        <w:t>وأنها أ</w:t>
      </w:r>
      <w:r w:rsidR="00FA6676" w:rsidRPr="00AA537D">
        <w:rPr>
          <w:rFonts w:hint="cs"/>
          <w:spacing w:val="0"/>
          <w:kern w:val="0"/>
          <w:rtl/>
        </w:rPr>
        <w:t>ُ</w:t>
      </w:r>
      <w:r w:rsidR="00FA6676" w:rsidRPr="00AA537D">
        <w:rPr>
          <w:spacing w:val="0"/>
          <w:kern w:val="0"/>
          <w:rtl/>
        </w:rPr>
        <w:t xml:space="preserve">بلغت </w:t>
      </w:r>
      <w:r w:rsidR="00FA6676" w:rsidRPr="00AA537D">
        <w:rPr>
          <w:rFonts w:hint="cs"/>
          <w:spacing w:val="0"/>
          <w:kern w:val="0"/>
          <w:rtl/>
        </w:rPr>
        <w:t xml:space="preserve">بأنهم لم يتعرضوا </w:t>
      </w:r>
      <w:r w:rsidR="00FA6676" w:rsidRPr="00AA537D">
        <w:rPr>
          <w:spacing w:val="0"/>
          <w:kern w:val="0"/>
          <w:rtl/>
        </w:rPr>
        <w:t>للتعذيب عند عودته</w:t>
      </w:r>
      <w:r w:rsidR="00FA6676" w:rsidRPr="00AA537D">
        <w:rPr>
          <w:rFonts w:hint="cs"/>
          <w:spacing w:val="0"/>
          <w:kern w:val="0"/>
          <w:rtl/>
        </w:rPr>
        <w:t>م</w:t>
      </w:r>
      <w:r w:rsidR="00FA6676" w:rsidRPr="00AA537D">
        <w:rPr>
          <w:spacing w:val="0"/>
          <w:kern w:val="0"/>
          <w:rtl/>
        </w:rPr>
        <w:t xml:space="preserve"> إلى أوزبكستان.</w:t>
      </w:r>
    </w:p>
    <w:p w:rsidR="00FA6676" w:rsidRPr="00AA537D" w:rsidRDefault="00FA6676" w:rsidP="00AA537D">
      <w:pPr>
        <w:pStyle w:val="SingleTxtGA"/>
        <w:jc w:val="lowKashida"/>
        <w:rPr>
          <w:rFonts w:hint="cs"/>
          <w:spacing w:val="0"/>
          <w:kern w:val="0"/>
          <w:rtl/>
        </w:rPr>
      </w:pPr>
      <w:r w:rsidRPr="00AA537D">
        <w:rPr>
          <w:rFonts w:hint="cs"/>
          <w:spacing w:val="0"/>
          <w:kern w:val="0"/>
          <w:rtl/>
        </w:rPr>
        <w:t>9-8</w:t>
      </w:r>
      <w:r w:rsidRPr="00AA537D">
        <w:rPr>
          <w:rFonts w:hint="cs"/>
          <w:spacing w:val="0"/>
          <w:kern w:val="0"/>
          <w:rtl/>
        </w:rPr>
        <w:tab/>
        <w:t xml:space="preserve">وأكدت </w:t>
      </w:r>
      <w:r w:rsidRPr="00AA537D">
        <w:rPr>
          <w:spacing w:val="0"/>
          <w:kern w:val="0"/>
          <w:rtl/>
        </w:rPr>
        <w:t xml:space="preserve">الدولة الطرف أن </w:t>
      </w:r>
      <w:r w:rsidRPr="00AA537D">
        <w:rPr>
          <w:rFonts w:hint="cs"/>
          <w:spacing w:val="0"/>
          <w:kern w:val="0"/>
          <w:rtl/>
        </w:rPr>
        <w:t xml:space="preserve">لديها </w:t>
      </w:r>
      <w:r w:rsidRPr="00AA537D">
        <w:rPr>
          <w:spacing w:val="0"/>
          <w:kern w:val="0"/>
          <w:rtl/>
        </w:rPr>
        <w:t>قانون</w:t>
      </w:r>
      <w:r w:rsidRPr="00AA537D">
        <w:rPr>
          <w:rFonts w:hint="cs"/>
          <w:spacing w:val="0"/>
          <w:kern w:val="0"/>
          <w:rtl/>
        </w:rPr>
        <w:t>اً</w:t>
      </w:r>
      <w:r w:rsidRPr="00AA537D">
        <w:rPr>
          <w:spacing w:val="0"/>
          <w:kern w:val="0"/>
          <w:rtl/>
        </w:rPr>
        <w:t xml:space="preserve"> </w:t>
      </w:r>
      <w:r w:rsidRPr="00AA537D">
        <w:rPr>
          <w:rFonts w:hint="cs"/>
          <w:spacing w:val="0"/>
          <w:kern w:val="0"/>
          <w:rtl/>
        </w:rPr>
        <w:t>ل</w:t>
      </w:r>
      <w:r w:rsidRPr="00AA537D">
        <w:rPr>
          <w:spacing w:val="0"/>
          <w:kern w:val="0"/>
          <w:rtl/>
        </w:rPr>
        <w:t xml:space="preserve">مكافحة الإرهاب </w:t>
      </w:r>
      <w:r w:rsidRPr="00AA537D">
        <w:rPr>
          <w:rFonts w:hint="cs"/>
          <w:spacing w:val="0"/>
          <w:kern w:val="0"/>
          <w:rtl/>
        </w:rPr>
        <w:t xml:space="preserve">ولكنها </w:t>
      </w:r>
      <w:r w:rsidRPr="00AA537D">
        <w:rPr>
          <w:spacing w:val="0"/>
          <w:kern w:val="0"/>
          <w:rtl/>
        </w:rPr>
        <w:t xml:space="preserve">قررت تسليم أصحاب الشكوى في ضوء التهديد الذي </w:t>
      </w:r>
      <w:r w:rsidRPr="00AA537D">
        <w:rPr>
          <w:rFonts w:hint="cs"/>
          <w:spacing w:val="0"/>
          <w:kern w:val="0"/>
          <w:rtl/>
        </w:rPr>
        <w:t xml:space="preserve">يمثلونه </w:t>
      </w:r>
      <w:r w:rsidRPr="00AA537D">
        <w:rPr>
          <w:spacing w:val="0"/>
          <w:kern w:val="0"/>
          <w:rtl/>
        </w:rPr>
        <w:t>للأمن ال</w:t>
      </w:r>
      <w:r w:rsidRPr="00AA537D">
        <w:rPr>
          <w:rFonts w:hint="cs"/>
          <w:spacing w:val="0"/>
          <w:kern w:val="0"/>
          <w:rtl/>
        </w:rPr>
        <w:t xml:space="preserve">قومي </w:t>
      </w:r>
      <w:r w:rsidRPr="00AA537D">
        <w:rPr>
          <w:spacing w:val="0"/>
          <w:kern w:val="0"/>
          <w:rtl/>
        </w:rPr>
        <w:t>والأمن في المنطقة أو في بلدان</w:t>
      </w:r>
      <w:r w:rsidRPr="00AA537D">
        <w:rPr>
          <w:rFonts w:hint="cs"/>
          <w:spacing w:val="0"/>
          <w:kern w:val="0"/>
          <w:rtl/>
        </w:rPr>
        <w:t> </w:t>
      </w:r>
      <w:r w:rsidRPr="00AA537D">
        <w:rPr>
          <w:spacing w:val="0"/>
          <w:kern w:val="0"/>
          <w:rtl/>
        </w:rPr>
        <w:t xml:space="preserve">أخرى. </w:t>
      </w:r>
    </w:p>
    <w:p w:rsidR="00FA6676" w:rsidRPr="00AA537D" w:rsidRDefault="00FA6676" w:rsidP="00AA537D">
      <w:pPr>
        <w:pStyle w:val="SingleTxtGA"/>
        <w:jc w:val="lowKashida"/>
        <w:rPr>
          <w:rFonts w:hint="cs"/>
          <w:spacing w:val="0"/>
          <w:kern w:val="0"/>
          <w:rtl/>
        </w:rPr>
      </w:pPr>
      <w:r w:rsidRPr="00AA537D">
        <w:rPr>
          <w:rFonts w:hint="cs"/>
          <w:spacing w:val="0"/>
          <w:kern w:val="0"/>
          <w:rtl/>
        </w:rPr>
        <w:t>9-9</w:t>
      </w:r>
      <w:r w:rsidRPr="00AA537D">
        <w:rPr>
          <w:rFonts w:hint="cs"/>
          <w:spacing w:val="0"/>
          <w:kern w:val="0"/>
          <w:rtl/>
        </w:rPr>
        <w:tab/>
        <w:t xml:space="preserve">وفيما </w:t>
      </w:r>
      <w:r w:rsidRPr="00AA537D">
        <w:rPr>
          <w:spacing w:val="0"/>
          <w:kern w:val="0"/>
          <w:rtl/>
        </w:rPr>
        <w:t xml:space="preserve">يتعلق بأماكن </w:t>
      </w:r>
      <w:r w:rsidRPr="00AA537D">
        <w:rPr>
          <w:rFonts w:hint="cs"/>
          <w:spacing w:val="0"/>
          <w:kern w:val="0"/>
          <w:rtl/>
        </w:rPr>
        <w:t xml:space="preserve">وجود </w:t>
      </w:r>
      <w:r w:rsidRPr="00AA537D">
        <w:rPr>
          <w:spacing w:val="0"/>
          <w:kern w:val="0"/>
          <w:rtl/>
        </w:rPr>
        <w:t>أصحاب</w:t>
      </w:r>
      <w:r w:rsidRPr="00AA537D">
        <w:rPr>
          <w:rFonts w:hint="cs"/>
          <w:spacing w:val="0"/>
          <w:kern w:val="0"/>
          <w:rtl/>
        </w:rPr>
        <w:t xml:space="preserve"> الشكوى</w:t>
      </w:r>
      <w:r w:rsidRPr="00AA537D">
        <w:rPr>
          <w:spacing w:val="0"/>
          <w:kern w:val="0"/>
          <w:rtl/>
        </w:rPr>
        <w:t xml:space="preserve">، </w:t>
      </w:r>
      <w:r w:rsidRPr="00AA537D">
        <w:rPr>
          <w:rFonts w:hint="cs"/>
          <w:spacing w:val="0"/>
          <w:kern w:val="0"/>
          <w:rtl/>
        </w:rPr>
        <w:t xml:space="preserve">أفادت </w:t>
      </w:r>
      <w:r w:rsidRPr="00AA537D">
        <w:rPr>
          <w:spacing w:val="0"/>
          <w:kern w:val="0"/>
          <w:rtl/>
        </w:rPr>
        <w:t xml:space="preserve">الدولة الطرف </w:t>
      </w:r>
      <w:r w:rsidRPr="00AA537D">
        <w:rPr>
          <w:rFonts w:hint="cs"/>
          <w:spacing w:val="0"/>
          <w:kern w:val="0"/>
          <w:rtl/>
        </w:rPr>
        <w:t>ب</w:t>
      </w:r>
      <w:r w:rsidRPr="00AA537D">
        <w:rPr>
          <w:spacing w:val="0"/>
          <w:kern w:val="0"/>
          <w:rtl/>
        </w:rPr>
        <w:t xml:space="preserve">أن أربعة منهم </w:t>
      </w:r>
      <w:r w:rsidRPr="00AA537D">
        <w:rPr>
          <w:rFonts w:hint="cs"/>
          <w:spacing w:val="0"/>
          <w:kern w:val="0"/>
          <w:rtl/>
        </w:rPr>
        <w:t xml:space="preserve">أخلي سبيلهم </w:t>
      </w:r>
      <w:r w:rsidRPr="00AA537D">
        <w:rPr>
          <w:spacing w:val="0"/>
          <w:kern w:val="0"/>
          <w:rtl/>
        </w:rPr>
        <w:t>وال</w:t>
      </w:r>
      <w:r w:rsidRPr="00AA537D">
        <w:rPr>
          <w:rFonts w:hint="cs"/>
          <w:spacing w:val="0"/>
          <w:kern w:val="0"/>
          <w:rtl/>
        </w:rPr>
        <w:t xml:space="preserve">باقين </w:t>
      </w:r>
      <w:r w:rsidRPr="00AA537D">
        <w:rPr>
          <w:spacing w:val="0"/>
          <w:kern w:val="0"/>
          <w:rtl/>
        </w:rPr>
        <w:t xml:space="preserve">في السجن أو </w:t>
      </w:r>
      <w:r w:rsidRPr="00AA537D">
        <w:rPr>
          <w:rFonts w:hint="cs"/>
          <w:spacing w:val="0"/>
          <w:kern w:val="0"/>
          <w:rtl/>
        </w:rPr>
        <w:t xml:space="preserve">في </w:t>
      </w:r>
      <w:r w:rsidRPr="00AA537D">
        <w:rPr>
          <w:spacing w:val="0"/>
          <w:kern w:val="0"/>
          <w:rtl/>
        </w:rPr>
        <w:t>الاحتجاز السابق للمحاكمة</w:t>
      </w:r>
      <w:r w:rsidRPr="00AA537D">
        <w:rPr>
          <w:rFonts w:hint="cs"/>
          <w:spacing w:val="0"/>
          <w:kern w:val="0"/>
          <w:rtl/>
        </w:rPr>
        <w:t>.</w:t>
      </w:r>
    </w:p>
    <w:p w:rsidR="00FA6676" w:rsidRPr="00AA537D" w:rsidRDefault="00FA6676" w:rsidP="006748CB">
      <w:pPr>
        <w:pStyle w:val="SingleTxtGA"/>
        <w:jc w:val="lowKashida"/>
        <w:rPr>
          <w:rFonts w:hint="cs"/>
          <w:spacing w:val="0"/>
          <w:kern w:val="0"/>
          <w:rtl/>
        </w:rPr>
      </w:pPr>
      <w:r w:rsidRPr="00AA537D">
        <w:rPr>
          <w:rFonts w:hint="cs"/>
          <w:spacing w:val="0"/>
          <w:kern w:val="0"/>
          <w:rtl/>
        </w:rPr>
        <w:t>10-1</w:t>
      </w:r>
      <w:r w:rsidRPr="00AA537D">
        <w:rPr>
          <w:rFonts w:hint="cs"/>
          <w:spacing w:val="0"/>
          <w:kern w:val="0"/>
          <w:rtl/>
        </w:rPr>
        <w:tab/>
        <w:t xml:space="preserve">وقالت محامية أصحاب الشكوى إن الدولة الطرف لم توضح أسباب عدم امتثالها تدابير الحماية المؤقتة وإن ذلك يشكل انتهاكاً للمادة </w:t>
      </w:r>
      <w:r w:rsidR="006748CB">
        <w:rPr>
          <w:rFonts w:hint="cs"/>
          <w:spacing w:val="0"/>
          <w:kern w:val="0"/>
          <w:rtl/>
        </w:rPr>
        <w:t>22</w:t>
      </w:r>
      <w:r w:rsidRPr="00AA537D">
        <w:rPr>
          <w:rFonts w:hint="cs"/>
          <w:spacing w:val="0"/>
          <w:kern w:val="0"/>
          <w:rtl/>
        </w:rPr>
        <w:t xml:space="preserve"> من العهد</w:t>
      </w:r>
      <w:r w:rsidRPr="00AA537D">
        <w:rPr>
          <w:spacing w:val="0"/>
          <w:kern w:val="0"/>
          <w:vertAlign w:val="superscript"/>
          <w:rtl/>
        </w:rPr>
        <w:t>(</w:t>
      </w:r>
      <w:r w:rsidRPr="00AA537D">
        <w:rPr>
          <w:rStyle w:val="FootnoteReference"/>
          <w:spacing w:val="0"/>
          <w:rtl/>
        </w:rPr>
        <w:footnoteReference w:id="416"/>
      </w:r>
      <w:r w:rsidRPr="00AA537D">
        <w:rPr>
          <w:spacing w:val="0"/>
          <w:kern w:val="0"/>
          <w:vertAlign w:val="superscript"/>
          <w:rtl/>
        </w:rPr>
        <w:t>)</w:t>
      </w:r>
      <w:r w:rsidRPr="00AA537D">
        <w:rPr>
          <w:rFonts w:hint="cs"/>
          <w:spacing w:val="0"/>
          <w:kern w:val="0"/>
          <w:rtl/>
        </w:rPr>
        <w:t xml:space="preserve">، وأن عبء الإثبات ينتقل بالتالي إلى الدولة الطرف، وأنه ينبغي لها أن تقدم مبررات لتسليم أصحاب الشكوى. </w:t>
      </w:r>
    </w:p>
    <w:p w:rsidR="00FA6676" w:rsidRPr="00AA537D" w:rsidRDefault="00FA6676" w:rsidP="006748CB">
      <w:pPr>
        <w:pStyle w:val="SingleTxtGA"/>
        <w:jc w:val="lowKashida"/>
        <w:rPr>
          <w:rFonts w:hint="cs"/>
          <w:spacing w:val="0"/>
          <w:kern w:val="0"/>
          <w:rtl/>
        </w:rPr>
      </w:pPr>
      <w:r w:rsidRPr="00AA537D">
        <w:rPr>
          <w:rFonts w:hint="cs"/>
          <w:spacing w:val="0"/>
          <w:kern w:val="0"/>
          <w:rtl/>
        </w:rPr>
        <w:t>10-2</w:t>
      </w:r>
      <w:r w:rsidRPr="00AA537D">
        <w:rPr>
          <w:rFonts w:hint="cs"/>
          <w:spacing w:val="0"/>
          <w:kern w:val="0"/>
          <w:rtl/>
        </w:rPr>
        <w:tab/>
        <w:t>وتلاحظ المحامية أ</w:t>
      </w:r>
      <w:r w:rsidRPr="00AA537D">
        <w:rPr>
          <w:spacing w:val="0"/>
          <w:kern w:val="0"/>
          <w:rtl/>
        </w:rPr>
        <w:t>ن</w:t>
      </w:r>
      <w:r w:rsidRPr="00AA537D">
        <w:rPr>
          <w:rFonts w:hint="cs"/>
          <w:spacing w:val="0"/>
          <w:kern w:val="0"/>
          <w:rtl/>
        </w:rPr>
        <w:t>ه</w:t>
      </w:r>
      <w:r w:rsidRPr="00AA537D">
        <w:rPr>
          <w:spacing w:val="0"/>
          <w:kern w:val="0"/>
          <w:rtl/>
        </w:rPr>
        <w:t xml:space="preserve"> </w:t>
      </w:r>
      <w:r w:rsidRPr="00AA537D">
        <w:rPr>
          <w:rFonts w:hint="cs"/>
          <w:spacing w:val="0"/>
          <w:kern w:val="0"/>
          <w:rtl/>
        </w:rPr>
        <w:t xml:space="preserve">كانت لدى الدولة الطرف قبل </w:t>
      </w:r>
      <w:r w:rsidRPr="00AA537D">
        <w:rPr>
          <w:spacing w:val="0"/>
          <w:kern w:val="0"/>
          <w:rtl/>
        </w:rPr>
        <w:t xml:space="preserve">تسليم </w:t>
      </w:r>
      <w:r w:rsidRPr="00AA537D">
        <w:rPr>
          <w:rFonts w:hint="cs"/>
          <w:spacing w:val="0"/>
          <w:kern w:val="0"/>
          <w:rtl/>
        </w:rPr>
        <w:t xml:space="preserve">أصحاب الشكوى </w:t>
      </w:r>
      <w:r w:rsidRPr="00AA537D">
        <w:rPr>
          <w:spacing w:val="0"/>
          <w:kern w:val="0"/>
          <w:rtl/>
        </w:rPr>
        <w:t>معلومات وف</w:t>
      </w:r>
      <w:r w:rsidRPr="00AA537D">
        <w:rPr>
          <w:rFonts w:hint="cs"/>
          <w:spacing w:val="0"/>
          <w:kern w:val="0"/>
          <w:rtl/>
        </w:rPr>
        <w:t>ي</w:t>
      </w:r>
      <w:r w:rsidRPr="00AA537D">
        <w:rPr>
          <w:spacing w:val="0"/>
          <w:kern w:val="0"/>
          <w:rtl/>
        </w:rPr>
        <w:t xml:space="preserve">رة </w:t>
      </w:r>
      <w:r w:rsidRPr="00AA537D">
        <w:rPr>
          <w:rFonts w:hint="cs"/>
          <w:spacing w:val="0"/>
          <w:kern w:val="0"/>
          <w:rtl/>
        </w:rPr>
        <w:t xml:space="preserve">عن احتمال تعرضهم </w:t>
      </w:r>
      <w:r w:rsidRPr="00AA537D">
        <w:rPr>
          <w:spacing w:val="0"/>
          <w:kern w:val="0"/>
          <w:rtl/>
        </w:rPr>
        <w:t>للتعذيب</w:t>
      </w:r>
      <w:r w:rsidRPr="00AA537D">
        <w:rPr>
          <w:rFonts w:hint="cs"/>
          <w:spacing w:val="0"/>
          <w:kern w:val="0"/>
          <w:rtl/>
        </w:rPr>
        <w:t xml:space="preserve"> في حالة عودتهم</w:t>
      </w:r>
      <w:r w:rsidRPr="00AA537D">
        <w:rPr>
          <w:spacing w:val="0"/>
          <w:kern w:val="0"/>
          <w:rtl/>
        </w:rPr>
        <w:t xml:space="preserve">. </w:t>
      </w:r>
      <w:r w:rsidRPr="00AA537D">
        <w:rPr>
          <w:rFonts w:hint="cs"/>
          <w:spacing w:val="0"/>
          <w:kern w:val="0"/>
          <w:rtl/>
        </w:rPr>
        <w:t xml:space="preserve">وقدمت عدة منظمات غير حكومية دولية مثل </w:t>
      </w:r>
      <w:r w:rsidRPr="00AA537D">
        <w:rPr>
          <w:spacing w:val="0"/>
          <w:kern w:val="0"/>
          <w:rtl/>
        </w:rPr>
        <w:t>منظمة رصد حقوق الإنسان</w:t>
      </w:r>
      <w:r w:rsidRPr="00AA537D">
        <w:rPr>
          <w:spacing w:val="0"/>
          <w:kern w:val="0"/>
          <w:vertAlign w:val="superscript"/>
          <w:rtl/>
        </w:rPr>
        <w:t>(</w:t>
      </w:r>
      <w:r w:rsidRPr="00AA537D">
        <w:rPr>
          <w:rStyle w:val="FootnoteReference"/>
          <w:spacing w:val="0"/>
          <w:rtl/>
        </w:rPr>
        <w:footnoteReference w:id="417"/>
      </w:r>
      <w:r w:rsidRPr="00AA537D">
        <w:rPr>
          <w:spacing w:val="0"/>
          <w:kern w:val="0"/>
          <w:vertAlign w:val="superscript"/>
          <w:rtl/>
        </w:rPr>
        <w:t>)</w:t>
      </w:r>
      <w:r w:rsidRPr="00AA537D">
        <w:rPr>
          <w:spacing w:val="0"/>
          <w:kern w:val="0"/>
          <w:rtl/>
        </w:rPr>
        <w:t xml:space="preserve">، </w:t>
      </w:r>
      <w:r w:rsidRPr="00AA537D">
        <w:rPr>
          <w:rFonts w:hint="cs"/>
          <w:spacing w:val="0"/>
          <w:kern w:val="0"/>
          <w:rtl/>
        </w:rPr>
        <w:t>و</w:t>
      </w:r>
      <w:r w:rsidRPr="00AA537D">
        <w:rPr>
          <w:spacing w:val="0"/>
          <w:kern w:val="0"/>
          <w:rtl/>
        </w:rPr>
        <w:t>مقرر الأمم المتحدة الخاص المعني بالتعذيب، و</w:t>
      </w:r>
      <w:r w:rsidRPr="00AA537D">
        <w:rPr>
          <w:rFonts w:hint="cs"/>
          <w:spacing w:val="0"/>
          <w:kern w:val="0"/>
          <w:rtl/>
        </w:rPr>
        <w:t>ال</w:t>
      </w:r>
      <w:r w:rsidRPr="00AA537D">
        <w:rPr>
          <w:spacing w:val="0"/>
          <w:kern w:val="0"/>
          <w:rtl/>
        </w:rPr>
        <w:t>لجنة</w:t>
      </w:r>
      <w:r w:rsidRPr="00AA537D">
        <w:rPr>
          <w:rFonts w:hint="cs"/>
          <w:spacing w:val="0"/>
          <w:kern w:val="0"/>
          <w:rtl/>
        </w:rPr>
        <w:t xml:space="preserve"> المعنية ب</w:t>
      </w:r>
      <w:r w:rsidRPr="00AA537D">
        <w:rPr>
          <w:spacing w:val="0"/>
          <w:kern w:val="0"/>
          <w:rtl/>
        </w:rPr>
        <w:t xml:space="preserve">حقوق الإنسان في ملاحظاتها الختامية </w:t>
      </w:r>
      <w:r w:rsidRPr="00AA537D">
        <w:rPr>
          <w:rFonts w:hint="cs"/>
          <w:spacing w:val="0"/>
          <w:kern w:val="0"/>
          <w:rtl/>
        </w:rPr>
        <w:t>بشأن</w:t>
      </w:r>
      <w:r w:rsidRPr="00AA537D">
        <w:rPr>
          <w:spacing w:val="0"/>
          <w:kern w:val="0"/>
          <w:rtl/>
        </w:rPr>
        <w:t xml:space="preserve"> أوزبكستان في عام</w:t>
      </w:r>
      <w:r w:rsidR="006748CB">
        <w:rPr>
          <w:rFonts w:hint="cs"/>
          <w:spacing w:val="0"/>
          <w:kern w:val="0"/>
          <w:rtl/>
        </w:rPr>
        <w:t> </w:t>
      </w:r>
      <w:r w:rsidRPr="00AA537D">
        <w:rPr>
          <w:spacing w:val="0"/>
          <w:kern w:val="0"/>
          <w:rtl/>
        </w:rPr>
        <w:t>2010، و</w:t>
      </w:r>
      <w:r w:rsidRPr="00AA537D">
        <w:rPr>
          <w:rFonts w:hint="cs"/>
          <w:spacing w:val="0"/>
          <w:kern w:val="0"/>
          <w:rtl/>
        </w:rPr>
        <w:t xml:space="preserve">أحكام </w:t>
      </w:r>
      <w:r w:rsidRPr="00AA537D">
        <w:rPr>
          <w:spacing w:val="0"/>
          <w:kern w:val="0"/>
          <w:rtl/>
        </w:rPr>
        <w:t xml:space="preserve">المحكمة الأوروبية لحقوق الإنسان </w:t>
      </w:r>
      <w:r w:rsidRPr="00AA537D">
        <w:rPr>
          <w:rFonts w:hint="cs"/>
          <w:spacing w:val="0"/>
          <w:kern w:val="0"/>
          <w:rtl/>
        </w:rPr>
        <w:t xml:space="preserve">الصادرة </w:t>
      </w:r>
      <w:r w:rsidRPr="00AA537D">
        <w:rPr>
          <w:spacing w:val="0"/>
          <w:kern w:val="0"/>
          <w:rtl/>
        </w:rPr>
        <w:t>ضد روسيا</w:t>
      </w:r>
      <w:r w:rsidRPr="00AA537D">
        <w:rPr>
          <w:spacing w:val="0"/>
          <w:kern w:val="0"/>
          <w:vertAlign w:val="superscript"/>
          <w:rtl/>
        </w:rPr>
        <w:t>(</w:t>
      </w:r>
      <w:r w:rsidRPr="00AA537D">
        <w:rPr>
          <w:rStyle w:val="FootnoteReference"/>
          <w:spacing w:val="0"/>
          <w:rtl/>
        </w:rPr>
        <w:footnoteReference w:id="418"/>
      </w:r>
      <w:r w:rsidRPr="00AA537D">
        <w:rPr>
          <w:spacing w:val="0"/>
          <w:kern w:val="0"/>
          <w:vertAlign w:val="superscript"/>
          <w:rtl/>
        </w:rPr>
        <w:t>)</w:t>
      </w:r>
      <w:r w:rsidRPr="00AA537D">
        <w:rPr>
          <w:rFonts w:hint="cs"/>
          <w:spacing w:val="0"/>
          <w:kern w:val="0"/>
          <w:rtl/>
        </w:rPr>
        <w:t xml:space="preserve"> معلومات موثقة توثيقاً جيداً لسجل أوزباكستان الحافل في مجال التعذيب. و</w:t>
      </w:r>
      <w:r w:rsidRPr="00AA537D">
        <w:rPr>
          <w:spacing w:val="0"/>
          <w:kern w:val="0"/>
          <w:rtl/>
        </w:rPr>
        <w:t xml:space="preserve">من المعروف </w:t>
      </w:r>
      <w:r w:rsidRPr="00AA537D">
        <w:rPr>
          <w:rFonts w:hint="cs"/>
          <w:spacing w:val="0"/>
          <w:kern w:val="0"/>
          <w:rtl/>
        </w:rPr>
        <w:t xml:space="preserve">تماماً </w:t>
      </w:r>
      <w:r w:rsidRPr="00AA537D">
        <w:rPr>
          <w:spacing w:val="0"/>
          <w:kern w:val="0"/>
          <w:rtl/>
        </w:rPr>
        <w:t>أن هناك استخدام</w:t>
      </w:r>
      <w:r w:rsidRPr="00AA537D">
        <w:rPr>
          <w:rFonts w:hint="cs"/>
          <w:spacing w:val="0"/>
          <w:kern w:val="0"/>
          <w:rtl/>
        </w:rPr>
        <w:t xml:space="preserve">اً </w:t>
      </w:r>
      <w:r w:rsidRPr="00AA537D">
        <w:rPr>
          <w:spacing w:val="0"/>
          <w:kern w:val="0"/>
          <w:rtl/>
        </w:rPr>
        <w:t>م</w:t>
      </w:r>
      <w:r w:rsidRPr="00AA537D">
        <w:rPr>
          <w:rFonts w:hint="cs"/>
          <w:spacing w:val="0"/>
          <w:kern w:val="0"/>
          <w:rtl/>
        </w:rPr>
        <w:t xml:space="preserve">نهجياً </w:t>
      </w:r>
      <w:r w:rsidRPr="00AA537D">
        <w:rPr>
          <w:spacing w:val="0"/>
          <w:kern w:val="0"/>
          <w:rtl/>
        </w:rPr>
        <w:t>ومنتظم</w:t>
      </w:r>
      <w:r w:rsidRPr="00AA537D">
        <w:rPr>
          <w:rFonts w:hint="cs"/>
          <w:spacing w:val="0"/>
          <w:kern w:val="0"/>
          <w:rtl/>
        </w:rPr>
        <w:t>اً ل</w:t>
      </w:r>
      <w:r w:rsidRPr="00AA537D">
        <w:rPr>
          <w:spacing w:val="0"/>
          <w:kern w:val="0"/>
          <w:rtl/>
        </w:rPr>
        <w:t xml:space="preserve">لتعذيب ضد المحتجزين في أوزبكستان وأن الأفراد </w:t>
      </w:r>
      <w:r w:rsidRPr="00AA537D">
        <w:rPr>
          <w:rFonts w:hint="cs"/>
          <w:spacing w:val="0"/>
          <w:kern w:val="0"/>
          <w:rtl/>
        </w:rPr>
        <w:t xml:space="preserve">المحتجزين لأسباب دينية أو بسبب الإرهاب </w:t>
      </w:r>
      <w:r w:rsidRPr="00AA537D">
        <w:rPr>
          <w:spacing w:val="0"/>
          <w:kern w:val="0"/>
          <w:rtl/>
        </w:rPr>
        <w:t>يواجهون مخاطر أعلى</w:t>
      </w:r>
      <w:r w:rsidRPr="00AA537D">
        <w:rPr>
          <w:rFonts w:hint="cs"/>
          <w:spacing w:val="0"/>
          <w:kern w:val="0"/>
          <w:rtl/>
        </w:rPr>
        <w:t xml:space="preserve"> للتعذيب</w:t>
      </w:r>
      <w:r w:rsidRPr="00AA537D">
        <w:rPr>
          <w:spacing w:val="0"/>
          <w:kern w:val="0"/>
          <w:rtl/>
        </w:rPr>
        <w:t>. و</w:t>
      </w:r>
      <w:r w:rsidRPr="00AA537D">
        <w:rPr>
          <w:rFonts w:hint="cs"/>
          <w:spacing w:val="0"/>
          <w:kern w:val="0"/>
          <w:rtl/>
        </w:rPr>
        <w:t>ت</w:t>
      </w:r>
      <w:r w:rsidRPr="00AA537D">
        <w:rPr>
          <w:spacing w:val="0"/>
          <w:kern w:val="0"/>
          <w:rtl/>
        </w:rPr>
        <w:t>كرر المحامي</w:t>
      </w:r>
      <w:r w:rsidRPr="00AA537D">
        <w:rPr>
          <w:rFonts w:hint="cs"/>
          <w:spacing w:val="0"/>
          <w:kern w:val="0"/>
          <w:rtl/>
        </w:rPr>
        <w:t>ة</w:t>
      </w:r>
      <w:r w:rsidRPr="00AA537D">
        <w:rPr>
          <w:spacing w:val="0"/>
          <w:kern w:val="0"/>
          <w:rtl/>
        </w:rPr>
        <w:t xml:space="preserve"> أن </w:t>
      </w:r>
      <w:r w:rsidRPr="00AA537D">
        <w:rPr>
          <w:rFonts w:hint="cs"/>
          <w:spacing w:val="0"/>
          <w:kern w:val="0"/>
          <w:rtl/>
        </w:rPr>
        <w:t xml:space="preserve">أصحاب </w:t>
      </w:r>
      <w:r w:rsidRPr="00AA537D">
        <w:rPr>
          <w:spacing w:val="0"/>
          <w:kern w:val="0"/>
          <w:rtl/>
        </w:rPr>
        <w:t xml:space="preserve">الشكوى </w:t>
      </w:r>
      <w:r w:rsidRPr="00AA537D">
        <w:rPr>
          <w:rFonts w:hint="cs"/>
          <w:spacing w:val="0"/>
          <w:kern w:val="0"/>
          <w:rtl/>
        </w:rPr>
        <w:t xml:space="preserve">جميعهم </w:t>
      </w:r>
      <w:r w:rsidRPr="00AA537D">
        <w:rPr>
          <w:spacing w:val="0"/>
          <w:kern w:val="0"/>
          <w:rtl/>
        </w:rPr>
        <w:t xml:space="preserve">من </w:t>
      </w:r>
      <w:r w:rsidRPr="00AA537D">
        <w:rPr>
          <w:rFonts w:hint="cs"/>
          <w:spacing w:val="0"/>
          <w:kern w:val="0"/>
          <w:rtl/>
        </w:rPr>
        <w:t xml:space="preserve">المسلمين الملتزمين وأنهم </w:t>
      </w:r>
      <w:r w:rsidRPr="00AA537D">
        <w:rPr>
          <w:spacing w:val="0"/>
          <w:kern w:val="0"/>
          <w:rtl/>
        </w:rPr>
        <w:t xml:space="preserve">وجهت </w:t>
      </w:r>
      <w:r w:rsidRPr="00AA537D">
        <w:rPr>
          <w:rFonts w:hint="cs"/>
          <w:spacing w:val="0"/>
          <w:kern w:val="0"/>
          <w:rtl/>
        </w:rPr>
        <w:t xml:space="preserve">إليهم اتهامات بموجب </w:t>
      </w:r>
      <w:r w:rsidRPr="00AA537D">
        <w:rPr>
          <w:spacing w:val="0"/>
          <w:kern w:val="0"/>
          <w:rtl/>
        </w:rPr>
        <w:t xml:space="preserve">المادة 244 </w:t>
      </w:r>
      <w:r w:rsidRPr="00AA537D">
        <w:rPr>
          <w:rFonts w:hint="cs"/>
          <w:spacing w:val="0"/>
          <w:kern w:val="0"/>
          <w:rtl/>
        </w:rPr>
        <w:t xml:space="preserve">من القانون الجنائي الأوزبكي </w:t>
      </w:r>
      <w:r w:rsidRPr="00AA537D">
        <w:rPr>
          <w:spacing w:val="0"/>
          <w:kern w:val="0"/>
          <w:rtl/>
        </w:rPr>
        <w:t>(</w:t>
      </w:r>
      <w:r w:rsidRPr="00AA537D">
        <w:rPr>
          <w:rFonts w:hint="cs"/>
          <w:spacing w:val="0"/>
          <w:kern w:val="0"/>
          <w:rtl/>
        </w:rPr>
        <w:t>"</w:t>
      </w:r>
      <w:r w:rsidRPr="00AA537D">
        <w:rPr>
          <w:spacing w:val="0"/>
          <w:kern w:val="0"/>
          <w:rtl/>
        </w:rPr>
        <w:t>نشر</w:t>
      </w:r>
      <w:r w:rsidRPr="00AA537D">
        <w:rPr>
          <w:rFonts w:hint="cs"/>
          <w:spacing w:val="0"/>
          <w:kern w:val="0"/>
          <w:rtl/>
        </w:rPr>
        <w:t> </w:t>
      </w:r>
      <w:r w:rsidRPr="00AA537D">
        <w:rPr>
          <w:spacing w:val="0"/>
          <w:kern w:val="0"/>
          <w:rtl/>
        </w:rPr>
        <w:t>وتخزين وتوزيع مواد تحتوي على أفكار ديني</w:t>
      </w:r>
      <w:r w:rsidRPr="00AA537D">
        <w:rPr>
          <w:rFonts w:hint="cs"/>
          <w:spacing w:val="0"/>
          <w:kern w:val="0"/>
          <w:rtl/>
        </w:rPr>
        <w:t>ة متطرفة"</w:t>
      </w:r>
      <w:r w:rsidRPr="00AA537D">
        <w:rPr>
          <w:spacing w:val="0"/>
          <w:kern w:val="0"/>
          <w:rtl/>
        </w:rPr>
        <w:t xml:space="preserve"> و</w:t>
      </w:r>
      <w:r w:rsidRPr="00AA537D">
        <w:rPr>
          <w:rFonts w:hint="cs"/>
          <w:spacing w:val="0"/>
          <w:kern w:val="0"/>
          <w:rtl/>
        </w:rPr>
        <w:t>"الانتماء إلى منظمة دينية م</w:t>
      </w:r>
      <w:r w:rsidRPr="00AA537D">
        <w:rPr>
          <w:spacing w:val="0"/>
          <w:kern w:val="0"/>
          <w:rtl/>
        </w:rPr>
        <w:t>تطرف</w:t>
      </w:r>
      <w:r w:rsidRPr="00AA537D">
        <w:rPr>
          <w:rFonts w:hint="cs"/>
          <w:spacing w:val="0"/>
          <w:kern w:val="0"/>
          <w:rtl/>
        </w:rPr>
        <w:t>ة أو </w:t>
      </w:r>
      <w:r w:rsidRPr="00AA537D">
        <w:rPr>
          <w:spacing w:val="0"/>
          <w:kern w:val="0"/>
          <w:rtl/>
        </w:rPr>
        <w:t xml:space="preserve">انفصالية أو أصولية </w:t>
      </w:r>
      <w:r w:rsidRPr="00AA537D">
        <w:rPr>
          <w:rFonts w:hint="cs"/>
          <w:spacing w:val="0"/>
          <w:kern w:val="0"/>
          <w:rtl/>
        </w:rPr>
        <w:t>أو غير ذلك من المنظمات الم</w:t>
      </w:r>
      <w:r w:rsidRPr="00AA537D">
        <w:rPr>
          <w:spacing w:val="0"/>
          <w:kern w:val="0"/>
          <w:rtl/>
        </w:rPr>
        <w:t>حظ</w:t>
      </w:r>
      <w:r w:rsidRPr="00AA537D">
        <w:rPr>
          <w:rFonts w:hint="cs"/>
          <w:spacing w:val="0"/>
          <w:kern w:val="0"/>
          <w:rtl/>
        </w:rPr>
        <w:t>ورة"</w:t>
      </w:r>
      <w:r w:rsidRPr="00AA537D">
        <w:rPr>
          <w:spacing w:val="0"/>
          <w:kern w:val="0"/>
          <w:rtl/>
        </w:rPr>
        <w:t xml:space="preserve">) والمادة 159 </w:t>
      </w:r>
      <w:r w:rsidRPr="00AA537D">
        <w:rPr>
          <w:rFonts w:hint="cs"/>
          <w:spacing w:val="0"/>
          <w:kern w:val="0"/>
          <w:rtl/>
        </w:rPr>
        <w:t xml:space="preserve">من هذا القانون </w:t>
      </w:r>
      <w:r w:rsidRPr="00AA537D">
        <w:rPr>
          <w:spacing w:val="0"/>
          <w:kern w:val="0"/>
          <w:rtl/>
        </w:rPr>
        <w:t>(</w:t>
      </w:r>
      <w:r w:rsidRPr="00AA537D">
        <w:rPr>
          <w:rFonts w:hint="cs"/>
          <w:spacing w:val="0"/>
          <w:kern w:val="0"/>
          <w:rtl/>
        </w:rPr>
        <w:t>"</w:t>
      </w:r>
      <w:r w:rsidRPr="00AA537D">
        <w:rPr>
          <w:spacing w:val="0"/>
          <w:kern w:val="0"/>
          <w:rtl/>
        </w:rPr>
        <w:t>محاولة الإطاحة بالنظام الدستوري</w:t>
      </w:r>
      <w:r w:rsidRPr="00AA537D">
        <w:rPr>
          <w:rFonts w:hint="cs"/>
          <w:spacing w:val="0"/>
          <w:kern w:val="0"/>
          <w:rtl/>
        </w:rPr>
        <w:t>"</w:t>
      </w:r>
      <w:r w:rsidRPr="00AA537D">
        <w:rPr>
          <w:spacing w:val="0"/>
          <w:kern w:val="0"/>
          <w:rtl/>
        </w:rPr>
        <w:t xml:space="preserve">). </w:t>
      </w:r>
      <w:r w:rsidRPr="00AA537D">
        <w:rPr>
          <w:rFonts w:hint="cs"/>
          <w:spacing w:val="0"/>
          <w:kern w:val="0"/>
          <w:rtl/>
        </w:rPr>
        <w:t xml:space="preserve">وكانت الحملات الحكومية تستهدف أصحاب الشكوى </w:t>
      </w:r>
      <w:r w:rsidRPr="00AA537D">
        <w:rPr>
          <w:spacing w:val="0"/>
          <w:kern w:val="0"/>
          <w:rtl/>
        </w:rPr>
        <w:t xml:space="preserve">مثل </w:t>
      </w:r>
      <w:r w:rsidRPr="00AA537D">
        <w:rPr>
          <w:rFonts w:hint="cs"/>
          <w:spacing w:val="0"/>
          <w:kern w:val="0"/>
          <w:rtl/>
        </w:rPr>
        <w:t>الآ</w:t>
      </w:r>
      <w:r w:rsidRPr="00AA537D">
        <w:rPr>
          <w:spacing w:val="0"/>
          <w:kern w:val="0"/>
          <w:rtl/>
        </w:rPr>
        <w:t xml:space="preserve">لاف </w:t>
      </w:r>
      <w:r w:rsidRPr="00AA537D">
        <w:rPr>
          <w:rFonts w:hint="cs"/>
          <w:spacing w:val="0"/>
          <w:kern w:val="0"/>
          <w:rtl/>
        </w:rPr>
        <w:t xml:space="preserve">من الأشخاص المتدينين </w:t>
      </w:r>
      <w:r w:rsidRPr="00AA537D">
        <w:rPr>
          <w:spacing w:val="0"/>
          <w:kern w:val="0"/>
          <w:rtl/>
        </w:rPr>
        <w:t xml:space="preserve">الآخرين </w:t>
      </w:r>
      <w:r w:rsidRPr="00AA537D">
        <w:rPr>
          <w:rFonts w:hint="cs"/>
          <w:spacing w:val="0"/>
          <w:kern w:val="0"/>
          <w:rtl/>
        </w:rPr>
        <w:t xml:space="preserve">الذين </w:t>
      </w:r>
      <w:r w:rsidRPr="00AA537D">
        <w:rPr>
          <w:spacing w:val="0"/>
          <w:kern w:val="0"/>
          <w:rtl/>
        </w:rPr>
        <w:t xml:space="preserve">يمارسون </w:t>
      </w:r>
      <w:r w:rsidRPr="00AA537D">
        <w:rPr>
          <w:rFonts w:hint="cs"/>
          <w:spacing w:val="0"/>
          <w:kern w:val="0"/>
          <w:rtl/>
        </w:rPr>
        <w:t>شعائر أديانهم سلمياً خارج نطاق الرقابة الصارمة ل</w:t>
      </w:r>
      <w:r w:rsidRPr="00AA537D">
        <w:rPr>
          <w:spacing w:val="0"/>
          <w:kern w:val="0"/>
          <w:rtl/>
        </w:rPr>
        <w:t xml:space="preserve">لدولة </w:t>
      </w:r>
      <w:r w:rsidRPr="00AA537D">
        <w:rPr>
          <w:rFonts w:hint="cs"/>
          <w:spacing w:val="0"/>
          <w:kern w:val="0"/>
          <w:rtl/>
        </w:rPr>
        <w:t>بوصفهم من "</w:t>
      </w:r>
      <w:r w:rsidRPr="00AA537D">
        <w:rPr>
          <w:spacing w:val="0"/>
          <w:kern w:val="0"/>
          <w:rtl/>
        </w:rPr>
        <w:t>المتطرفين الدينيين</w:t>
      </w:r>
      <w:r w:rsidRPr="00AA537D">
        <w:rPr>
          <w:rFonts w:hint="cs"/>
          <w:spacing w:val="0"/>
          <w:kern w:val="0"/>
          <w:rtl/>
        </w:rPr>
        <w:t>"</w:t>
      </w:r>
      <w:r w:rsidRPr="00AA537D">
        <w:rPr>
          <w:spacing w:val="0"/>
          <w:kern w:val="0"/>
          <w:rtl/>
        </w:rPr>
        <w:t xml:space="preserve"> و</w:t>
      </w:r>
      <w:r w:rsidRPr="00AA537D">
        <w:rPr>
          <w:rFonts w:hint="cs"/>
          <w:spacing w:val="0"/>
          <w:kern w:val="0"/>
          <w:rtl/>
        </w:rPr>
        <w:t>"</w:t>
      </w:r>
      <w:r w:rsidRPr="00AA537D">
        <w:rPr>
          <w:spacing w:val="0"/>
          <w:kern w:val="0"/>
          <w:rtl/>
        </w:rPr>
        <w:t xml:space="preserve">أعضاء </w:t>
      </w:r>
      <w:r w:rsidRPr="00AA537D">
        <w:rPr>
          <w:rFonts w:hint="cs"/>
          <w:spacing w:val="0"/>
          <w:kern w:val="0"/>
          <w:rtl/>
        </w:rPr>
        <w:t xml:space="preserve">في </w:t>
      </w:r>
      <w:r w:rsidRPr="00AA537D">
        <w:rPr>
          <w:spacing w:val="0"/>
          <w:kern w:val="0"/>
          <w:rtl/>
        </w:rPr>
        <w:t>منظمات دينية</w:t>
      </w:r>
      <w:r w:rsidRPr="00AA537D">
        <w:rPr>
          <w:rFonts w:hint="cs"/>
          <w:spacing w:val="0"/>
          <w:kern w:val="0"/>
          <w:rtl/>
        </w:rPr>
        <w:t xml:space="preserve"> م</w:t>
      </w:r>
      <w:r w:rsidRPr="00AA537D">
        <w:rPr>
          <w:spacing w:val="0"/>
          <w:kern w:val="0"/>
          <w:rtl/>
        </w:rPr>
        <w:t>حظورة</w:t>
      </w:r>
      <w:r w:rsidRPr="00AA537D">
        <w:rPr>
          <w:rFonts w:hint="cs"/>
          <w:spacing w:val="0"/>
          <w:kern w:val="0"/>
          <w:rtl/>
        </w:rPr>
        <w:t>"</w:t>
      </w:r>
      <w:r w:rsidRPr="00AA537D">
        <w:rPr>
          <w:spacing w:val="0"/>
          <w:kern w:val="0"/>
          <w:rtl/>
        </w:rPr>
        <w:t xml:space="preserve">. </w:t>
      </w:r>
      <w:r w:rsidRPr="00AA537D">
        <w:rPr>
          <w:rFonts w:hint="cs"/>
          <w:spacing w:val="0"/>
          <w:kern w:val="0"/>
          <w:rtl/>
        </w:rPr>
        <w:t xml:space="preserve">وكان </w:t>
      </w:r>
      <w:r w:rsidRPr="00AA537D">
        <w:rPr>
          <w:spacing w:val="0"/>
          <w:kern w:val="0"/>
          <w:rtl/>
        </w:rPr>
        <w:t xml:space="preserve">العديد من أصحاب الشكوى </w:t>
      </w:r>
      <w:r w:rsidRPr="00AA537D">
        <w:rPr>
          <w:rFonts w:hint="cs"/>
          <w:spacing w:val="0"/>
          <w:kern w:val="0"/>
          <w:rtl/>
        </w:rPr>
        <w:t>قيد الاحتجاز وا</w:t>
      </w:r>
      <w:r w:rsidRPr="00AA537D">
        <w:rPr>
          <w:spacing w:val="0"/>
          <w:kern w:val="0"/>
          <w:rtl/>
        </w:rPr>
        <w:t xml:space="preserve">لتعذيب قبل </w:t>
      </w:r>
      <w:r w:rsidRPr="00AA537D">
        <w:rPr>
          <w:rFonts w:hint="cs"/>
          <w:spacing w:val="0"/>
          <w:kern w:val="0"/>
          <w:rtl/>
        </w:rPr>
        <w:t>ال</w:t>
      </w:r>
      <w:r w:rsidRPr="00AA537D">
        <w:rPr>
          <w:spacing w:val="0"/>
          <w:kern w:val="0"/>
          <w:rtl/>
        </w:rPr>
        <w:t>فرار</w:t>
      </w:r>
      <w:r w:rsidRPr="00AA537D">
        <w:rPr>
          <w:rFonts w:hint="cs"/>
          <w:spacing w:val="0"/>
          <w:kern w:val="0"/>
          <w:rtl/>
        </w:rPr>
        <w:t xml:space="preserve"> من</w:t>
      </w:r>
      <w:r w:rsidRPr="00AA537D">
        <w:rPr>
          <w:spacing w:val="0"/>
          <w:kern w:val="0"/>
          <w:rtl/>
        </w:rPr>
        <w:t xml:space="preserve"> بلدهم.</w:t>
      </w:r>
    </w:p>
    <w:p w:rsidR="00FA6676" w:rsidRPr="00AA537D" w:rsidRDefault="00FA6676" w:rsidP="006748CB">
      <w:pPr>
        <w:pStyle w:val="SingleTxtGA"/>
        <w:jc w:val="lowKashida"/>
        <w:rPr>
          <w:rFonts w:hint="cs"/>
          <w:spacing w:val="0"/>
          <w:kern w:val="0"/>
          <w:rtl/>
        </w:rPr>
      </w:pPr>
      <w:r w:rsidRPr="00AA537D">
        <w:rPr>
          <w:rFonts w:hint="cs"/>
          <w:spacing w:val="0"/>
          <w:kern w:val="0"/>
          <w:rtl/>
        </w:rPr>
        <w:t>10-3</w:t>
      </w:r>
      <w:r w:rsidRPr="00AA537D">
        <w:rPr>
          <w:rFonts w:hint="cs"/>
          <w:spacing w:val="0"/>
          <w:kern w:val="0"/>
          <w:rtl/>
        </w:rPr>
        <w:tab/>
      </w:r>
      <w:r w:rsidRPr="00AA537D">
        <w:rPr>
          <w:spacing w:val="0"/>
          <w:kern w:val="0"/>
          <w:rtl/>
        </w:rPr>
        <w:t>و</w:t>
      </w:r>
      <w:r w:rsidRPr="00AA537D">
        <w:rPr>
          <w:rFonts w:hint="cs"/>
          <w:spacing w:val="0"/>
          <w:kern w:val="0"/>
          <w:rtl/>
        </w:rPr>
        <w:t>ت</w:t>
      </w:r>
      <w:r w:rsidRPr="00AA537D">
        <w:rPr>
          <w:spacing w:val="0"/>
          <w:kern w:val="0"/>
          <w:rtl/>
        </w:rPr>
        <w:t xml:space="preserve">لاحظ </w:t>
      </w:r>
      <w:r w:rsidRPr="00AA537D">
        <w:rPr>
          <w:rFonts w:hint="cs"/>
          <w:spacing w:val="0"/>
          <w:kern w:val="0"/>
          <w:rtl/>
        </w:rPr>
        <w:t xml:space="preserve">المحامية </w:t>
      </w:r>
      <w:r w:rsidRPr="00AA537D">
        <w:rPr>
          <w:spacing w:val="0"/>
          <w:kern w:val="0"/>
          <w:rtl/>
        </w:rPr>
        <w:t xml:space="preserve">أن أصحاب الشكوى </w:t>
      </w:r>
      <w:r w:rsidRPr="00AA537D">
        <w:rPr>
          <w:rFonts w:hint="cs"/>
          <w:spacing w:val="0"/>
          <w:kern w:val="0"/>
          <w:rtl/>
        </w:rPr>
        <w:t xml:space="preserve">قدموا في الطعون التي رفعوها أمام محاكم الدولة الطرف معلومات تفصيلية عن حالتهم وأكدوا أنهم سيتعرضون شخصياً في حالة عودتهم للتعذيب، وأشاروا باستمرار إلى </w:t>
      </w:r>
      <w:r w:rsidRPr="00AA537D">
        <w:rPr>
          <w:spacing w:val="0"/>
          <w:kern w:val="0"/>
          <w:rtl/>
        </w:rPr>
        <w:t xml:space="preserve">اتفاقية مناهضة التعذيب، </w:t>
      </w:r>
      <w:r w:rsidRPr="00AA537D">
        <w:rPr>
          <w:rFonts w:hint="cs"/>
          <w:spacing w:val="0"/>
          <w:kern w:val="0"/>
          <w:rtl/>
        </w:rPr>
        <w:t>والسوابق القضائية ل</w:t>
      </w:r>
      <w:r w:rsidRPr="00AA537D">
        <w:rPr>
          <w:spacing w:val="0"/>
          <w:kern w:val="0"/>
          <w:rtl/>
        </w:rPr>
        <w:t>لمحكمة الأوروبية لحقوق الإنسان</w:t>
      </w:r>
      <w:r w:rsidRPr="00AA537D">
        <w:rPr>
          <w:rFonts w:hint="cs"/>
          <w:spacing w:val="0"/>
          <w:kern w:val="0"/>
          <w:rtl/>
        </w:rPr>
        <w:t xml:space="preserve">، وتقارير </w:t>
      </w:r>
      <w:r w:rsidRPr="00AA537D">
        <w:rPr>
          <w:spacing w:val="0"/>
          <w:kern w:val="0"/>
          <w:rtl/>
        </w:rPr>
        <w:t xml:space="preserve">المنظمات </w:t>
      </w:r>
      <w:r w:rsidRPr="00AA537D">
        <w:rPr>
          <w:rFonts w:hint="cs"/>
          <w:spacing w:val="0"/>
          <w:kern w:val="0"/>
          <w:rtl/>
        </w:rPr>
        <w:t xml:space="preserve">غير الحكومية بشأن </w:t>
      </w:r>
      <w:r w:rsidRPr="00AA537D">
        <w:rPr>
          <w:spacing w:val="0"/>
          <w:kern w:val="0"/>
          <w:rtl/>
        </w:rPr>
        <w:t>التعذيب في أوزبكستان</w:t>
      </w:r>
      <w:r w:rsidRPr="00AA537D">
        <w:rPr>
          <w:rFonts w:hint="cs"/>
          <w:spacing w:val="0"/>
          <w:kern w:val="0"/>
          <w:rtl/>
        </w:rPr>
        <w:t xml:space="preserve">، ولم تقم </w:t>
      </w:r>
      <w:r w:rsidRPr="00AA537D">
        <w:rPr>
          <w:spacing w:val="0"/>
          <w:kern w:val="0"/>
          <w:rtl/>
        </w:rPr>
        <w:t>محاكم الدولة الطرف</w:t>
      </w:r>
      <w:r w:rsidRPr="00AA537D">
        <w:rPr>
          <w:rFonts w:hint="cs"/>
          <w:spacing w:val="0"/>
          <w:kern w:val="0"/>
          <w:rtl/>
        </w:rPr>
        <w:t xml:space="preserve"> مع ذلك ب</w:t>
      </w:r>
      <w:r w:rsidRPr="00AA537D">
        <w:rPr>
          <w:spacing w:val="0"/>
          <w:kern w:val="0"/>
          <w:rtl/>
        </w:rPr>
        <w:t xml:space="preserve">تقييم مخاطر </w:t>
      </w:r>
      <w:r w:rsidRPr="00AA537D">
        <w:rPr>
          <w:rFonts w:hint="cs"/>
          <w:spacing w:val="0"/>
          <w:kern w:val="0"/>
          <w:rtl/>
        </w:rPr>
        <w:t xml:space="preserve">التعذيب </w:t>
      </w:r>
      <w:r w:rsidRPr="00AA537D">
        <w:rPr>
          <w:spacing w:val="0"/>
          <w:kern w:val="0"/>
          <w:rtl/>
        </w:rPr>
        <w:t xml:space="preserve">التي </w:t>
      </w:r>
      <w:r w:rsidRPr="00AA537D">
        <w:rPr>
          <w:rFonts w:hint="cs"/>
          <w:spacing w:val="0"/>
          <w:kern w:val="0"/>
          <w:rtl/>
        </w:rPr>
        <w:t>سي</w:t>
      </w:r>
      <w:r w:rsidRPr="00AA537D">
        <w:rPr>
          <w:spacing w:val="0"/>
          <w:kern w:val="0"/>
          <w:rtl/>
        </w:rPr>
        <w:t xml:space="preserve">تعرض لها </w:t>
      </w:r>
      <w:r w:rsidRPr="00AA537D">
        <w:rPr>
          <w:rFonts w:hint="cs"/>
          <w:spacing w:val="0"/>
          <w:kern w:val="0"/>
          <w:rtl/>
        </w:rPr>
        <w:t>كل منهم</w:t>
      </w:r>
      <w:r w:rsidRPr="00AA537D">
        <w:rPr>
          <w:spacing w:val="0"/>
          <w:kern w:val="0"/>
          <w:rtl/>
        </w:rPr>
        <w:t>. وعلاوة على ذلك، قدمت منظمات غير حكومية دولية</w:t>
      </w:r>
      <w:r w:rsidRPr="00AA537D">
        <w:rPr>
          <w:rFonts w:hint="cs"/>
          <w:spacing w:val="0"/>
          <w:kern w:val="0"/>
          <w:rtl/>
        </w:rPr>
        <w:t xml:space="preserve"> كثيرة </w:t>
      </w:r>
      <w:r w:rsidRPr="00AA537D">
        <w:rPr>
          <w:spacing w:val="0"/>
          <w:kern w:val="0"/>
          <w:rtl/>
        </w:rPr>
        <w:t xml:space="preserve">مثل </w:t>
      </w:r>
      <w:r w:rsidRPr="00AA537D">
        <w:rPr>
          <w:rFonts w:hint="cs"/>
          <w:spacing w:val="0"/>
          <w:kern w:val="0"/>
          <w:rtl/>
        </w:rPr>
        <w:t xml:space="preserve">الجماعة </w:t>
      </w:r>
      <w:r w:rsidRPr="00AA537D">
        <w:rPr>
          <w:spacing w:val="0"/>
          <w:kern w:val="0"/>
          <w:rtl/>
        </w:rPr>
        <w:t>المسيحي</w:t>
      </w:r>
      <w:r w:rsidRPr="00AA537D">
        <w:rPr>
          <w:rFonts w:hint="cs"/>
          <w:spacing w:val="0"/>
          <w:kern w:val="0"/>
          <w:rtl/>
        </w:rPr>
        <w:t xml:space="preserve">ة للعمل على إلغاء التعذيب </w:t>
      </w:r>
      <w:r w:rsidR="006748CB">
        <w:rPr>
          <w:rFonts w:hint="cs"/>
          <w:spacing w:val="0"/>
          <w:kern w:val="0"/>
          <w:rtl/>
        </w:rPr>
        <w:t>-</w:t>
      </w:r>
      <w:r w:rsidRPr="00AA537D">
        <w:rPr>
          <w:rFonts w:hint="cs"/>
          <w:spacing w:val="0"/>
          <w:kern w:val="0"/>
          <w:rtl/>
        </w:rPr>
        <w:t xml:space="preserve"> فرع </w:t>
      </w:r>
      <w:r w:rsidRPr="00AA537D">
        <w:rPr>
          <w:spacing w:val="0"/>
          <w:kern w:val="0"/>
          <w:rtl/>
        </w:rPr>
        <w:t xml:space="preserve">فرنسا، ومنظمة العفو الدولية، </w:t>
      </w:r>
      <w:r w:rsidRPr="00AA537D">
        <w:rPr>
          <w:rFonts w:hint="cs"/>
          <w:spacing w:val="0"/>
          <w:kern w:val="0"/>
          <w:rtl/>
        </w:rPr>
        <w:t>ومنظمة رصد حقوق الإنسان بين عامي 2010 و2011 العد</w:t>
      </w:r>
      <w:r w:rsidRPr="00AA537D">
        <w:rPr>
          <w:spacing w:val="0"/>
          <w:kern w:val="0"/>
          <w:rtl/>
        </w:rPr>
        <w:t>يد من الرسائل و</w:t>
      </w:r>
      <w:r w:rsidRPr="00AA537D">
        <w:rPr>
          <w:rFonts w:hint="cs"/>
          <w:spacing w:val="0"/>
          <w:kern w:val="0"/>
          <w:rtl/>
        </w:rPr>
        <w:t>النداءات إلى ا</w:t>
      </w:r>
      <w:r w:rsidRPr="00AA537D">
        <w:rPr>
          <w:spacing w:val="0"/>
          <w:kern w:val="0"/>
          <w:rtl/>
        </w:rPr>
        <w:t xml:space="preserve">لسلطات الكازاخستانية </w:t>
      </w:r>
      <w:r w:rsidRPr="00AA537D">
        <w:rPr>
          <w:rFonts w:hint="cs"/>
          <w:spacing w:val="0"/>
          <w:kern w:val="0"/>
          <w:rtl/>
        </w:rPr>
        <w:t>لعدم ت</w:t>
      </w:r>
      <w:r w:rsidRPr="00AA537D">
        <w:rPr>
          <w:spacing w:val="0"/>
          <w:kern w:val="0"/>
          <w:rtl/>
        </w:rPr>
        <w:t xml:space="preserve">سليمهم </w:t>
      </w:r>
      <w:r w:rsidRPr="00AA537D">
        <w:rPr>
          <w:rFonts w:hint="cs"/>
          <w:spacing w:val="0"/>
          <w:kern w:val="0"/>
          <w:rtl/>
        </w:rPr>
        <w:t xml:space="preserve">منعاً لتعرضهم لخطر التعذيب. وتؤكد المحامية </w:t>
      </w:r>
      <w:r w:rsidRPr="00AA537D">
        <w:rPr>
          <w:spacing w:val="0"/>
          <w:kern w:val="0"/>
          <w:rtl/>
        </w:rPr>
        <w:t xml:space="preserve">أن الدولة الطرف </w:t>
      </w:r>
      <w:r w:rsidRPr="00AA537D">
        <w:rPr>
          <w:rFonts w:hint="cs"/>
          <w:spacing w:val="0"/>
          <w:kern w:val="0"/>
          <w:rtl/>
        </w:rPr>
        <w:t xml:space="preserve">كانت على علم بالمخاطر التي تواجه </w:t>
      </w:r>
      <w:r w:rsidRPr="00AA537D">
        <w:rPr>
          <w:spacing w:val="0"/>
          <w:kern w:val="0"/>
          <w:rtl/>
        </w:rPr>
        <w:t>أصحاب الشكوى.</w:t>
      </w:r>
    </w:p>
    <w:p w:rsidR="00FA6676" w:rsidRPr="00AA537D" w:rsidRDefault="00FA6676" w:rsidP="00AA537D">
      <w:pPr>
        <w:pStyle w:val="SingleTxtGA"/>
        <w:jc w:val="lowKashida"/>
        <w:rPr>
          <w:rFonts w:hint="cs"/>
          <w:spacing w:val="0"/>
          <w:kern w:val="0"/>
          <w:rtl/>
        </w:rPr>
      </w:pPr>
      <w:r w:rsidRPr="00AA537D">
        <w:rPr>
          <w:rFonts w:hint="cs"/>
          <w:spacing w:val="0"/>
          <w:kern w:val="0"/>
          <w:rtl/>
        </w:rPr>
        <w:t>10-4</w:t>
      </w:r>
      <w:r w:rsidRPr="00AA537D">
        <w:rPr>
          <w:rFonts w:hint="cs"/>
          <w:spacing w:val="0"/>
          <w:kern w:val="0"/>
          <w:rtl/>
        </w:rPr>
        <w:tab/>
        <w:t>وتلاحظ المحامية أن مبدأ عدم الرد من المبادئ التي لا يجوز التنازل عنها وأنه من المبادئ الأساسية التي ينبغي أن تسود في جميع الا</w:t>
      </w:r>
      <w:r w:rsidRPr="00AA537D">
        <w:rPr>
          <w:spacing w:val="0"/>
          <w:kern w:val="0"/>
          <w:rtl/>
        </w:rPr>
        <w:t xml:space="preserve">تفاقيات </w:t>
      </w:r>
      <w:r w:rsidRPr="00AA537D">
        <w:rPr>
          <w:rFonts w:hint="cs"/>
          <w:spacing w:val="0"/>
          <w:kern w:val="0"/>
          <w:rtl/>
        </w:rPr>
        <w:t>ال</w:t>
      </w:r>
      <w:r w:rsidRPr="00AA537D">
        <w:rPr>
          <w:spacing w:val="0"/>
          <w:kern w:val="0"/>
          <w:rtl/>
        </w:rPr>
        <w:t>ثنائية لتسليم المجرمين.</w:t>
      </w:r>
      <w:r w:rsidRPr="00AA537D">
        <w:rPr>
          <w:rFonts w:hint="cs"/>
          <w:spacing w:val="0"/>
          <w:kern w:val="0"/>
          <w:rtl/>
        </w:rPr>
        <w:t xml:space="preserve"> وت</w:t>
      </w:r>
      <w:r w:rsidRPr="00AA537D">
        <w:rPr>
          <w:spacing w:val="0"/>
          <w:kern w:val="0"/>
          <w:rtl/>
        </w:rPr>
        <w:t xml:space="preserve">لاحظ </w:t>
      </w:r>
      <w:r w:rsidRPr="00AA537D">
        <w:rPr>
          <w:rFonts w:hint="cs"/>
          <w:spacing w:val="0"/>
          <w:kern w:val="0"/>
          <w:rtl/>
        </w:rPr>
        <w:t xml:space="preserve">المحامية أيضاً </w:t>
      </w:r>
      <w:r w:rsidRPr="00AA537D">
        <w:rPr>
          <w:spacing w:val="0"/>
          <w:kern w:val="0"/>
          <w:rtl/>
        </w:rPr>
        <w:t>أن</w:t>
      </w:r>
      <w:r w:rsidRPr="00AA537D">
        <w:rPr>
          <w:rFonts w:hint="cs"/>
          <w:spacing w:val="0"/>
          <w:kern w:val="0"/>
          <w:rtl/>
        </w:rPr>
        <w:t xml:space="preserve">ه لا علاقة بين سحب مركز </w:t>
      </w:r>
      <w:r w:rsidRPr="00AA537D">
        <w:rPr>
          <w:spacing w:val="0"/>
          <w:kern w:val="0"/>
          <w:rtl/>
        </w:rPr>
        <w:t>اللاج</w:t>
      </w:r>
      <w:r w:rsidRPr="00AA537D">
        <w:rPr>
          <w:rFonts w:hint="cs"/>
          <w:spacing w:val="0"/>
          <w:kern w:val="0"/>
          <w:rtl/>
        </w:rPr>
        <w:t>ئ و</w:t>
      </w:r>
      <w:r w:rsidRPr="00AA537D">
        <w:rPr>
          <w:spacing w:val="0"/>
          <w:kern w:val="0"/>
          <w:rtl/>
        </w:rPr>
        <w:t>تقييم خطر التعذيب</w:t>
      </w:r>
      <w:r w:rsidRPr="00AA537D">
        <w:rPr>
          <w:rFonts w:hint="cs"/>
          <w:spacing w:val="0"/>
          <w:kern w:val="0"/>
          <w:rtl/>
        </w:rPr>
        <w:t>. فا</w:t>
      </w:r>
      <w:r w:rsidRPr="00AA537D">
        <w:rPr>
          <w:spacing w:val="0"/>
          <w:kern w:val="0"/>
          <w:rtl/>
        </w:rPr>
        <w:t>لإرهابي</w:t>
      </w:r>
      <w:r w:rsidRPr="00AA537D">
        <w:rPr>
          <w:rFonts w:hint="cs"/>
          <w:spacing w:val="0"/>
          <w:kern w:val="0"/>
          <w:rtl/>
        </w:rPr>
        <w:t>و</w:t>
      </w:r>
      <w:r w:rsidRPr="00AA537D">
        <w:rPr>
          <w:spacing w:val="0"/>
          <w:kern w:val="0"/>
          <w:rtl/>
        </w:rPr>
        <w:t xml:space="preserve">ن </w:t>
      </w:r>
      <w:r w:rsidRPr="00AA537D">
        <w:rPr>
          <w:rFonts w:hint="cs"/>
          <w:spacing w:val="0"/>
          <w:kern w:val="0"/>
          <w:rtl/>
        </w:rPr>
        <w:t xml:space="preserve">أيضاً لهم </w:t>
      </w:r>
      <w:r w:rsidRPr="00AA537D">
        <w:rPr>
          <w:spacing w:val="0"/>
          <w:kern w:val="0"/>
          <w:rtl/>
        </w:rPr>
        <w:t xml:space="preserve">الحق في عدم التعرض للتعذيب. </w:t>
      </w:r>
    </w:p>
    <w:p w:rsidR="00FA6676" w:rsidRPr="00AA537D" w:rsidRDefault="00FA6676" w:rsidP="00AA537D">
      <w:pPr>
        <w:pStyle w:val="SingleTxtGA"/>
        <w:jc w:val="lowKashida"/>
        <w:rPr>
          <w:rFonts w:hint="cs"/>
          <w:spacing w:val="0"/>
          <w:kern w:val="0"/>
          <w:rtl/>
        </w:rPr>
      </w:pPr>
      <w:r w:rsidRPr="00AA537D">
        <w:rPr>
          <w:rFonts w:hint="cs"/>
          <w:spacing w:val="0"/>
          <w:kern w:val="0"/>
          <w:rtl/>
        </w:rPr>
        <w:t>10-5</w:t>
      </w:r>
      <w:r w:rsidRPr="00AA537D">
        <w:rPr>
          <w:rFonts w:hint="cs"/>
          <w:spacing w:val="0"/>
          <w:kern w:val="0"/>
          <w:rtl/>
        </w:rPr>
        <w:tab/>
        <w:t xml:space="preserve">وفيما </w:t>
      </w:r>
      <w:r w:rsidRPr="00AA537D">
        <w:rPr>
          <w:spacing w:val="0"/>
          <w:kern w:val="0"/>
          <w:rtl/>
        </w:rPr>
        <w:t xml:space="preserve">يتعلق بالضمانات الدبلوماسية </w:t>
      </w:r>
      <w:r w:rsidRPr="00AA537D">
        <w:rPr>
          <w:rFonts w:hint="cs"/>
          <w:spacing w:val="0"/>
          <w:kern w:val="0"/>
          <w:rtl/>
        </w:rPr>
        <w:t xml:space="preserve">المزعومة المقدمة من </w:t>
      </w:r>
      <w:r w:rsidRPr="00AA537D">
        <w:rPr>
          <w:spacing w:val="0"/>
          <w:kern w:val="0"/>
          <w:rtl/>
        </w:rPr>
        <w:t xml:space="preserve">أوزبكستان، </w:t>
      </w:r>
      <w:r w:rsidRPr="00AA537D">
        <w:rPr>
          <w:rFonts w:hint="cs"/>
          <w:spacing w:val="0"/>
          <w:kern w:val="0"/>
          <w:rtl/>
        </w:rPr>
        <w:t>ت</w:t>
      </w:r>
      <w:r w:rsidRPr="00AA537D">
        <w:rPr>
          <w:spacing w:val="0"/>
          <w:kern w:val="0"/>
          <w:rtl/>
        </w:rPr>
        <w:t>رى المحام</w:t>
      </w:r>
      <w:r w:rsidRPr="00AA537D">
        <w:rPr>
          <w:rFonts w:hint="cs"/>
          <w:spacing w:val="0"/>
          <w:kern w:val="0"/>
          <w:rtl/>
        </w:rPr>
        <w:t>ية</w:t>
      </w:r>
      <w:r w:rsidRPr="00AA537D">
        <w:rPr>
          <w:spacing w:val="0"/>
          <w:kern w:val="0"/>
          <w:rtl/>
        </w:rPr>
        <w:t xml:space="preserve"> </w:t>
      </w:r>
      <w:r w:rsidRPr="00AA537D">
        <w:rPr>
          <w:rFonts w:hint="cs"/>
          <w:spacing w:val="0"/>
          <w:kern w:val="0"/>
          <w:rtl/>
        </w:rPr>
        <w:t xml:space="preserve">أنها </w:t>
      </w:r>
      <w:r w:rsidRPr="00AA537D">
        <w:rPr>
          <w:spacing w:val="0"/>
          <w:kern w:val="0"/>
          <w:rtl/>
        </w:rPr>
        <w:t>لا يمكن الاعتماد عليها</w:t>
      </w:r>
      <w:r w:rsidRPr="00AA537D">
        <w:rPr>
          <w:rFonts w:hint="cs"/>
          <w:spacing w:val="0"/>
          <w:kern w:val="0"/>
          <w:rtl/>
        </w:rPr>
        <w:t xml:space="preserve"> </w:t>
      </w:r>
      <w:r w:rsidRPr="00AA537D">
        <w:rPr>
          <w:spacing w:val="0"/>
          <w:kern w:val="0"/>
          <w:rtl/>
        </w:rPr>
        <w:t>و</w:t>
      </w:r>
      <w:r w:rsidRPr="00AA537D">
        <w:rPr>
          <w:rFonts w:hint="cs"/>
          <w:spacing w:val="0"/>
          <w:kern w:val="0"/>
          <w:rtl/>
        </w:rPr>
        <w:t>ت</w:t>
      </w:r>
      <w:r w:rsidRPr="00AA537D">
        <w:rPr>
          <w:spacing w:val="0"/>
          <w:kern w:val="0"/>
          <w:rtl/>
        </w:rPr>
        <w:t xml:space="preserve">لاحظ أنه لا توجد أي </w:t>
      </w:r>
      <w:r w:rsidRPr="00AA537D">
        <w:rPr>
          <w:rFonts w:hint="cs"/>
          <w:spacing w:val="0"/>
          <w:kern w:val="0"/>
          <w:rtl/>
        </w:rPr>
        <w:t>آ</w:t>
      </w:r>
      <w:r w:rsidRPr="00AA537D">
        <w:rPr>
          <w:spacing w:val="0"/>
          <w:kern w:val="0"/>
          <w:rtl/>
        </w:rPr>
        <w:t>لي</w:t>
      </w:r>
      <w:r w:rsidRPr="00AA537D">
        <w:rPr>
          <w:rFonts w:hint="cs"/>
          <w:spacing w:val="0"/>
          <w:kern w:val="0"/>
          <w:rtl/>
        </w:rPr>
        <w:t>ة</w:t>
      </w:r>
      <w:r w:rsidRPr="00AA537D">
        <w:rPr>
          <w:spacing w:val="0"/>
          <w:kern w:val="0"/>
          <w:rtl/>
        </w:rPr>
        <w:t xml:space="preserve"> مستقلة وفعالة </w:t>
      </w:r>
      <w:r w:rsidRPr="00AA537D">
        <w:rPr>
          <w:rFonts w:hint="cs"/>
          <w:spacing w:val="0"/>
          <w:kern w:val="0"/>
          <w:rtl/>
        </w:rPr>
        <w:t xml:space="preserve">للرصد اللاحق للتسليم </w:t>
      </w:r>
      <w:r w:rsidRPr="00AA537D">
        <w:rPr>
          <w:spacing w:val="0"/>
          <w:kern w:val="0"/>
          <w:rtl/>
        </w:rPr>
        <w:t>في أوزبكستان</w:t>
      </w:r>
      <w:r w:rsidRPr="00AA537D">
        <w:rPr>
          <w:spacing w:val="0"/>
          <w:kern w:val="0"/>
          <w:vertAlign w:val="superscript"/>
          <w:rtl/>
        </w:rPr>
        <w:t>(</w:t>
      </w:r>
      <w:r w:rsidRPr="00AA537D">
        <w:rPr>
          <w:rStyle w:val="FootnoteReference"/>
          <w:spacing w:val="0"/>
          <w:rtl/>
        </w:rPr>
        <w:footnoteReference w:id="419"/>
      </w:r>
      <w:r w:rsidRPr="00AA537D">
        <w:rPr>
          <w:spacing w:val="0"/>
          <w:kern w:val="0"/>
          <w:vertAlign w:val="superscript"/>
          <w:rtl/>
        </w:rPr>
        <w:t>)</w:t>
      </w:r>
      <w:r w:rsidRPr="00AA537D">
        <w:rPr>
          <w:spacing w:val="0"/>
          <w:kern w:val="0"/>
          <w:rtl/>
        </w:rPr>
        <w:t xml:space="preserve">. </w:t>
      </w:r>
      <w:r w:rsidRPr="00AA537D">
        <w:rPr>
          <w:rFonts w:hint="cs"/>
          <w:spacing w:val="0"/>
          <w:kern w:val="0"/>
          <w:rtl/>
        </w:rPr>
        <w:t>و</w:t>
      </w:r>
      <w:r w:rsidRPr="00AA537D">
        <w:rPr>
          <w:spacing w:val="0"/>
          <w:kern w:val="0"/>
          <w:rtl/>
        </w:rPr>
        <w:t xml:space="preserve">تلاحظ </w:t>
      </w:r>
      <w:r w:rsidRPr="00AA537D">
        <w:rPr>
          <w:rFonts w:hint="cs"/>
          <w:spacing w:val="0"/>
          <w:kern w:val="0"/>
          <w:rtl/>
        </w:rPr>
        <w:t xml:space="preserve">المحامية أيضاً </w:t>
      </w:r>
      <w:r w:rsidRPr="00AA537D">
        <w:rPr>
          <w:spacing w:val="0"/>
          <w:kern w:val="0"/>
          <w:rtl/>
        </w:rPr>
        <w:t xml:space="preserve">أن مقرر الأمم المتحدة الخاص المعني بالتعذيب والمحكمة الأوروبية لحقوق الإنسان </w:t>
      </w:r>
      <w:r w:rsidRPr="00AA537D">
        <w:rPr>
          <w:rFonts w:hint="cs"/>
          <w:spacing w:val="0"/>
          <w:kern w:val="0"/>
          <w:rtl/>
        </w:rPr>
        <w:t>يتفقان في الرأي</w:t>
      </w:r>
      <w:r w:rsidRPr="00AA537D">
        <w:rPr>
          <w:spacing w:val="0"/>
          <w:kern w:val="0"/>
          <w:rtl/>
        </w:rPr>
        <w:t xml:space="preserve"> </w:t>
      </w:r>
      <w:r w:rsidRPr="00AA537D">
        <w:rPr>
          <w:rFonts w:hint="cs"/>
          <w:spacing w:val="0"/>
          <w:kern w:val="0"/>
          <w:rtl/>
        </w:rPr>
        <w:t>أ</w:t>
      </w:r>
      <w:r w:rsidRPr="00AA537D">
        <w:rPr>
          <w:spacing w:val="0"/>
          <w:kern w:val="0"/>
          <w:rtl/>
        </w:rPr>
        <w:t xml:space="preserve">ن </w:t>
      </w:r>
      <w:r w:rsidRPr="00AA537D">
        <w:rPr>
          <w:rFonts w:hint="cs"/>
          <w:spacing w:val="0"/>
          <w:kern w:val="0"/>
          <w:rtl/>
        </w:rPr>
        <w:t>الضمانات ال</w:t>
      </w:r>
      <w:r w:rsidRPr="00AA537D">
        <w:rPr>
          <w:spacing w:val="0"/>
          <w:kern w:val="0"/>
          <w:rtl/>
        </w:rPr>
        <w:t>دبلوماسية</w:t>
      </w:r>
      <w:r w:rsidRPr="00AA537D">
        <w:rPr>
          <w:rFonts w:hint="cs"/>
          <w:spacing w:val="0"/>
          <w:kern w:val="0"/>
          <w:rtl/>
        </w:rPr>
        <w:t xml:space="preserve"> المقدمة من </w:t>
      </w:r>
      <w:r w:rsidRPr="00AA537D">
        <w:rPr>
          <w:spacing w:val="0"/>
          <w:kern w:val="0"/>
          <w:rtl/>
        </w:rPr>
        <w:t>حكومة أوزبك</w:t>
      </w:r>
      <w:r w:rsidRPr="00AA537D">
        <w:rPr>
          <w:rFonts w:hint="cs"/>
          <w:spacing w:val="0"/>
          <w:kern w:val="0"/>
          <w:rtl/>
        </w:rPr>
        <w:t xml:space="preserve">ستان </w:t>
      </w:r>
      <w:r w:rsidRPr="00AA537D">
        <w:rPr>
          <w:spacing w:val="0"/>
          <w:kern w:val="0"/>
          <w:rtl/>
        </w:rPr>
        <w:t xml:space="preserve">لا </w:t>
      </w:r>
      <w:r w:rsidRPr="00AA537D">
        <w:rPr>
          <w:rFonts w:hint="cs"/>
          <w:spacing w:val="0"/>
          <w:kern w:val="0"/>
          <w:rtl/>
        </w:rPr>
        <w:t>ت</w:t>
      </w:r>
      <w:r w:rsidRPr="00AA537D">
        <w:rPr>
          <w:spacing w:val="0"/>
          <w:kern w:val="0"/>
          <w:rtl/>
        </w:rPr>
        <w:t>عفي الدول</w:t>
      </w:r>
      <w:r w:rsidRPr="00AA537D">
        <w:rPr>
          <w:rFonts w:hint="cs"/>
          <w:spacing w:val="0"/>
          <w:kern w:val="0"/>
          <w:rtl/>
        </w:rPr>
        <w:t>ة</w:t>
      </w:r>
      <w:r w:rsidRPr="00AA537D">
        <w:rPr>
          <w:spacing w:val="0"/>
          <w:kern w:val="0"/>
          <w:rtl/>
        </w:rPr>
        <w:t xml:space="preserve"> من التزام</w:t>
      </w:r>
      <w:r w:rsidRPr="00AA537D">
        <w:rPr>
          <w:rFonts w:hint="cs"/>
          <w:spacing w:val="0"/>
          <w:kern w:val="0"/>
          <w:rtl/>
        </w:rPr>
        <w:t>ها</w:t>
      </w:r>
      <w:r w:rsidRPr="00AA537D">
        <w:rPr>
          <w:spacing w:val="0"/>
          <w:kern w:val="0"/>
          <w:rtl/>
        </w:rPr>
        <w:t xml:space="preserve"> بعدم إعادة </w:t>
      </w:r>
      <w:r w:rsidRPr="00AA537D">
        <w:rPr>
          <w:rFonts w:hint="cs"/>
          <w:spacing w:val="0"/>
          <w:kern w:val="0"/>
          <w:rtl/>
        </w:rPr>
        <w:t xml:space="preserve">الأفراد إلى بلد يتعرضون فيه لخطر التعذيب. </w:t>
      </w:r>
      <w:r w:rsidRPr="00AA537D">
        <w:rPr>
          <w:spacing w:val="0"/>
          <w:kern w:val="0"/>
          <w:rtl/>
        </w:rPr>
        <w:t xml:space="preserve">وأوصت </w:t>
      </w:r>
      <w:r w:rsidRPr="00AA537D">
        <w:rPr>
          <w:rFonts w:hint="cs"/>
          <w:spacing w:val="0"/>
          <w:kern w:val="0"/>
          <w:rtl/>
        </w:rPr>
        <w:t>الل</w:t>
      </w:r>
      <w:r w:rsidRPr="00AA537D">
        <w:rPr>
          <w:spacing w:val="0"/>
          <w:kern w:val="0"/>
          <w:rtl/>
        </w:rPr>
        <w:t xml:space="preserve">جنة </w:t>
      </w:r>
      <w:r w:rsidRPr="00AA537D">
        <w:rPr>
          <w:rFonts w:hint="cs"/>
          <w:spacing w:val="0"/>
          <w:kern w:val="0"/>
          <w:rtl/>
        </w:rPr>
        <w:t>المعنية ب</w:t>
      </w:r>
      <w:r w:rsidRPr="00AA537D">
        <w:rPr>
          <w:spacing w:val="0"/>
          <w:kern w:val="0"/>
          <w:rtl/>
        </w:rPr>
        <w:t xml:space="preserve">حقوق الإنسان </w:t>
      </w:r>
      <w:r w:rsidRPr="00AA537D">
        <w:rPr>
          <w:rFonts w:hint="cs"/>
          <w:spacing w:val="0"/>
          <w:kern w:val="0"/>
          <w:rtl/>
        </w:rPr>
        <w:t xml:space="preserve">التابعة للأمم المتحدة في </w:t>
      </w:r>
      <w:r w:rsidRPr="00AA537D">
        <w:rPr>
          <w:spacing w:val="0"/>
          <w:kern w:val="0"/>
          <w:rtl/>
        </w:rPr>
        <w:t>ملاحظاتها الختامية</w:t>
      </w:r>
      <w:r w:rsidRPr="00AA537D">
        <w:rPr>
          <w:rFonts w:hint="cs"/>
          <w:spacing w:val="0"/>
          <w:kern w:val="0"/>
          <w:rtl/>
        </w:rPr>
        <w:t xml:space="preserve"> المتعلقة ب</w:t>
      </w:r>
      <w:r w:rsidRPr="00AA537D">
        <w:rPr>
          <w:spacing w:val="0"/>
          <w:kern w:val="0"/>
          <w:rtl/>
        </w:rPr>
        <w:t>كازاخستان</w:t>
      </w:r>
      <w:r w:rsidRPr="00AA537D">
        <w:rPr>
          <w:rFonts w:hint="cs"/>
          <w:spacing w:val="0"/>
          <w:kern w:val="0"/>
          <w:rtl/>
        </w:rPr>
        <w:t xml:space="preserve"> ب</w:t>
      </w:r>
      <w:r w:rsidRPr="00AA537D">
        <w:rPr>
          <w:spacing w:val="0"/>
          <w:kern w:val="0"/>
          <w:rtl/>
        </w:rPr>
        <w:t xml:space="preserve">أن </w:t>
      </w:r>
      <w:r w:rsidRPr="00AA537D">
        <w:rPr>
          <w:rFonts w:hint="cs"/>
          <w:spacing w:val="0"/>
          <w:kern w:val="0"/>
          <w:rtl/>
        </w:rPr>
        <w:t xml:space="preserve">تمارس </w:t>
      </w:r>
      <w:r w:rsidRPr="00AA537D">
        <w:rPr>
          <w:spacing w:val="0"/>
          <w:kern w:val="0"/>
          <w:rtl/>
        </w:rPr>
        <w:t xml:space="preserve">الدولة الطرف </w:t>
      </w:r>
      <w:r w:rsidRPr="00AA537D">
        <w:rPr>
          <w:rFonts w:hint="cs"/>
          <w:spacing w:val="0"/>
          <w:kern w:val="0"/>
          <w:rtl/>
        </w:rPr>
        <w:t>"أقصى درجة من الحذر عند الاعتماد على الضمانات الدبلوماسية". و</w:t>
      </w:r>
      <w:r w:rsidRPr="00AA537D">
        <w:rPr>
          <w:spacing w:val="0"/>
          <w:kern w:val="0"/>
          <w:rtl/>
        </w:rPr>
        <w:t xml:space="preserve">تلاحظ </w:t>
      </w:r>
      <w:r w:rsidRPr="00AA537D">
        <w:rPr>
          <w:rFonts w:hint="cs"/>
          <w:spacing w:val="0"/>
          <w:kern w:val="0"/>
          <w:rtl/>
        </w:rPr>
        <w:t xml:space="preserve">أيضاً </w:t>
      </w:r>
      <w:r w:rsidRPr="00AA537D">
        <w:rPr>
          <w:spacing w:val="0"/>
          <w:kern w:val="0"/>
          <w:rtl/>
        </w:rPr>
        <w:t xml:space="preserve">أن كازاخستان لم تقدم نسخة من هذه الضمانات </w:t>
      </w:r>
      <w:r w:rsidRPr="00AA537D">
        <w:rPr>
          <w:rFonts w:hint="cs"/>
          <w:spacing w:val="0"/>
          <w:kern w:val="0"/>
          <w:rtl/>
        </w:rPr>
        <w:t>إلى ا</w:t>
      </w:r>
      <w:r w:rsidRPr="00AA537D">
        <w:rPr>
          <w:spacing w:val="0"/>
          <w:kern w:val="0"/>
          <w:rtl/>
        </w:rPr>
        <w:t xml:space="preserve">للجنة. </w:t>
      </w:r>
      <w:r w:rsidRPr="00AA537D">
        <w:rPr>
          <w:rFonts w:hint="cs"/>
          <w:spacing w:val="0"/>
          <w:kern w:val="0"/>
          <w:rtl/>
        </w:rPr>
        <w:t>و</w:t>
      </w:r>
      <w:r w:rsidRPr="00AA537D">
        <w:rPr>
          <w:spacing w:val="0"/>
          <w:kern w:val="0"/>
          <w:rtl/>
        </w:rPr>
        <w:t xml:space="preserve">فيما يتعلق </w:t>
      </w:r>
      <w:r w:rsidRPr="00AA537D">
        <w:rPr>
          <w:rFonts w:hint="cs"/>
          <w:spacing w:val="0"/>
          <w:kern w:val="0"/>
          <w:rtl/>
        </w:rPr>
        <w:t>بآ</w:t>
      </w:r>
      <w:r w:rsidRPr="00AA537D">
        <w:rPr>
          <w:spacing w:val="0"/>
          <w:kern w:val="0"/>
          <w:rtl/>
        </w:rPr>
        <w:t>ليات الرصد</w:t>
      </w:r>
      <w:r w:rsidRPr="00AA537D">
        <w:rPr>
          <w:rFonts w:hint="cs"/>
          <w:spacing w:val="0"/>
          <w:kern w:val="0"/>
          <w:rtl/>
        </w:rPr>
        <w:t xml:space="preserve"> المزعومة</w:t>
      </w:r>
      <w:r w:rsidRPr="00AA537D">
        <w:rPr>
          <w:spacing w:val="0"/>
          <w:kern w:val="0"/>
          <w:rtl/>
        </w:rPr>
        <w:t xml:space="preserve">، </w:t>
      </w:r>
      <w:r w:rsidRPr="00AA537D">
        <w:rPr>
          <w:rFonts w:hint="cs"/>
          <w:spacing w:val="0"/>
          <w:kern w:val="0"/>
          <w:rtl/>
        </w:rPr>
        <w:t>ت</w:t>
      </w:r>
      <w:r w:rsidRPr="00AA537D">
        <w:rPr>
          <w:spacing w:val="0"/>
          <w:kern w:val="0"/>
          <w:rtl/>
        </w:rPr>
        <w:t>لاحظ المحامي</w:t>
      </w:r>
      <w:r w:rsidRPr="00AA537D">
        <w:rPr>
          <w:rFonts w:hint="cs"/>
          <w:spacing w:val="0"/>
          <w:kern w:val="0"/>
          <w:rtl/>
        </w:rPr>
        <w:t>ة</w:t>
      </w:r>
      <w:r w:rsidRPr="00AA537D">
        <w:rPr>
          <w:spacing w:val="0"/>
          <w:kern w:val="0"/>
          <w:rtl/>
        </w:rPr>
        <w:t xml:space="preserve"> </w:t>
      </w:r>
      <w:r w:rsidRPr="00AA537D">
        <w:rPr>
          <w:rFonts w:hint="cs"/>
          <w:spacing w:val="0"/>
          <w:kern w:val="0"/>
          <w:rtl/>
        </w:rPr>
        <w:t xml:space="preserve">أن </w:t>
      </w:r>
      <w:r w:rsidRPr="00AA537D">
        <w:rPr>
          <w:spacing w:val="0"/>
          <w:kern w:val="0"/>
          <w:rtl/>
        </w:rPr>
        <w:t xml:space="preserve">ولاية اللجنة الدولية للصليب الأحمر </w:t>
      </w:r>
      <w:r w:rsidRPr="00AA537D">
        <w:rPr>
          <w:rFonts w:hint="cs"/>
          <w:spacing w:val="0"/>
          <w:kern w:val="0"/>
          <w:rtl/>
        </w:rPr>
        <w:t>وقواعد السرية المتعلقة بها ت</w:t>
      </w:r>
      <w:r w:rsidRPr="00AA537D">
        <w:rPr>
          <w:spacing w:val="0"/>
          <w:kern w:val="0"/>
          <w:rtl/>
        </w:rPr>
        <w:t>منع</w:t>
      </w:r>
      <w:r w:rsidRPr="00AA537D">
        <w:rPr>
          <w:rFonts w:hint="cs"/>
          <w:spacing w:val="0"/>
          <w:kern w:val="0"/>
          <w:rtl/>
        </w:rPr>
        <w:t xml:space="preserve">ها من تقديم </w:t>
      </w:r>
      <w:r w:rsidRPr="00AA537D">
        <w:rPr>
          <w:spacing w:val="0"/>
          <w:kern w:val="0"/>
          <w:rtl/>
        </w:rPr>
        <w:t>أي تقرير عن الأوضاع في أوزبكستان</w:t>
      </w:r>
      <w:r w:rsidRPr="00AA537D">
        <w:rPr>
          <w:rFonts w:hint="cs"/>
          <w:spacing w:val="0"/>
          <w:kern w:val="0"/>
          <w:rtl/>
        </w:rPr>
        <w:t>. ونفت منظ</w:t>
      </w:r>
      <w:r w:rsidRPr="00AA537D">
        <w:rPr>
          <w:spacing w:val="0"/>
          <w:kern w:val="0"/>
          <w:rtl/>
        </w:rPr>
        <w:t xml:space="preserve">مة الصحة العالمية </w:t>
      </w:r>
      <w:r w:rsidRPr="00AA537D">
        <w:rPr>
          <w:rFonts w:hint="cs"/>
          <w:spacing w:val="0"/>
          <w:kern w:val="0"/>
          <w:rtl/>
        </w:rPr>
        <w:t xml:space="preserve">أيضاً </w:t>
      </w:r>
      <w:r w:rsidRPr="00AA537D">
        <w:rPr>
          <w:spacing w:val="0"/>
          <w:kern w:val="0"/>
          <w:rtl/>
        </w:rPr>
        <w:t>عندما اتصلت به</w:t>
      </w:r>
      <w:r w:rsidRPr="00AA537D">
        <w:rPr>
          <w:rFonts w:hint="cs"/>
          <w:spacing w:val="0"/>
          <w:kern w:val="0"/>
          <w:rtl/>
        </w:rPr>
        <w:t>ا</w:t>
      </w:r>
      <w:r w:rsidRPr="00AA537D">
        <w:rPr>
          <w:spacing w:val="0"/>
          <w:kern w:val="0"/>
          <w:rtl/>
        </w:rPr>
        <w:t xml:space="preserve"> المحامي</w:t>
      </w:r>
      <w:r w:rsidRPr="00AA537D">
        <w:rPr>
          <w:rFonts w:hint="cs"/>
          <w:spacing w:val="0"/>
          <w:kern w:val="0"/>
          <w:rtl/>
        </w:rPr>
        <w:t>ة</w:t>
      </w:r>
      <w:r w:rsidRPr="00AA537D">
        <w:rPr>
          <w:spacing w:val="0"/>
          <w:kern w:val="0"/>
          <w:rtl/>
        </w:rPr>
        <w:t xml:space="preserve"> تلقيه</w:t>
      </w:r>
      <w:r w:rsidRPr="00AA537D">
        <w:rPr>
          <w:rFonts w:hint="cs"/>
          <w:spacing w:val="0"/>
          <w:kern w:val="0"/>
          <w:rtl/>
        </w:rPr>
        <w:t>ا</w:t>
      </w:r>
      <w:r w:rsidRPr="00AA537D">
        <w:rPr>
          <w:spacing w:val="0"/>
          <w:kern w:val="0"/>
          <w:rtl/>
        </w:rPr>
        <w:t xml:space="preserve"> أي</w:t>
      </w:r>
      <w:r w:rsidRPr="00AA537D">
        <w:rPr>
          <w:rFonts w:hint="cs"/>
          <w:spacing w:val="0"/>
          <w:kern w:val="0"/>
          <w:rtl/>
        </w:rPr>
        <w:t>ة</w:t>
      </w:r>
      <w:r w:rsidRPr="00AA537D">
        <w:rPr>
          <w:spacing w:val="0"/>
          <w:kern w:val="0"/>
          <w:rtl/>
        </w:rPr>
        <w:t xml:space="preserve"> تعليمات من السلطات الأوزبك</w:t>
      </w:r>
      <w:r w:rsidRPr="00AA537D">
        <w:rPr>
          <w:rFonts w:hint="cs"/>
          <w:spacing w:val="0"/>
          <w:kern w:val="0"/>
          <w:rtl/>
        </w:rPr>
        <w:t>ية ل</w:t>
      </w:r>
      <w:r w:rsidRPr="00AA537D">
        <w:rPr>
          <w:spacing w:val="0"/>
          <w:kern w:val="0"/>
          <w:rtl/>
        </w:rPr>
        <w:t>رصد حالة أصحاب الشكوى وأ</w:t>
      </w:r>
      <w:r w:rsidRPr="00AA537D">
        <w:rPr>
          <w:rFonts w:hint="cs"/>
          <w:spacing w:val="0"/>
          <w:kern w:val="0"/>
          <w:rtl/>
        </w:rPr>
        <w:t>فادت بأنها ليس لديها الحق في تفقد</w:t>
      </w:r>
      <w:r w:rsidRPr="00AA537D">
        <w:rPr>
          <w:spacing w:val="0"/>
          <w:kern w:val="0"/>
          <w:rtl/>
        </w:rPr>
        <w:t xml:space="preserve"> السجون. </w:t>
      </w:r>
      <w:r w:rsidRPr="00AA537D">
        <w:rPr>
          <w:rFonts w:hint="cs"/>
          <w:spacing w:val="0"/>
          <w:kern w:val="0"/>
          <w:rtl/>
        </w:rPr>
        <w:t>ولا تملك "</w:t>
      </w:r>
      <w:r w:rsidRPr="00AA537D">
        <w:rPr>
          <w:spacing w:val="0"/>
          <w:kern w:val="0"/>
          <w:rtl/>
        </w:rPr>
        <w:t xml:space="preserve">منظمات دولية </w:t>
      </w:r>
      <w:r w:rsidRPr="00AA537D">
        <w:rPr>
          <w:rFonts w:hint="cs"/>
          <w:spacing w:val="0"/>
          <w:kern w:val="0"/>
          <w:rtl/>
        </w:rPr>
        <w:t>أخرى معنية ب</w:t>
      </w:r>
      <w:r w:rsidRPr="00AA537D">
        <w:rPr>
          <w:spacing w:val="0"/>
          <w:kern w:val="0"/>
          <w:rtl/>
        </w:rPr>
        <w:t>حقوق الإنسان</w:t>
      </w:r>
      <w:r w:rsidRPr="00AA537D">
        <w:rPr>
          <w:rFonts w:hint="cs"/>
          <w:spacing w:val="0"/>
          <w:kern w:val="0"/>
          <w:rtl/>
        </w:rPr>
        <w:t xml:space="preserve">" الحق في تفقد أي مكان من </w:t>
      </w:r>
      <w:r w:rsidRPr="00AA537D">
        <w:rPr>
          <w:spacing w:val="0"/>
          <w:kern w:val="0"/>
          <w:rtl/>
        </w:rPr>
        <w:t>أماكن الاحتجاز في أوزبكستان</w:t>
      </w:r>
      <w:r w:rsidRPr="00AA537D">
        <w:rPr>
          <w:spacing w:val="0"/>
          <w:kern w:val="0"/>
          <w:vertAlign w:val="superscript"/>
          <w:rtl/>
        </w:rPr>
        <w:t>(</w:t>
      </w:r>
      <w:r w:rsidRPr="00AA537D">
        <w:rPr>
          <w:rStyle w:val="FootnoteReference"/>
          <w:spacing w:val="0"/>
          <w:rtl/>
        </w:rPr>
        <w:footnoteReference w:id="420"/>
      </w:r>
      <w:r w:rsidRPr="00AA537D">
        <w:rPr>
          <w:spacing w:val="0"/>
          <w:kern w:val="0"/>
          <w:vertAlign w:val="superscript"/>
          <w:rtl/>
        </w:rPr>
        <w:t>)</w:t>
      </w:r>
      <w:r w:rsidRPr="00AA537D">
        <w:rPr>
          <w:spacing w:val="0"/>
          <w:kern w:val="0"/>
          <w:rtl/>
        </w:rPr>
        <w:t>.</w:t>
      </w:r>
    </w:p>
    <w:p w:rsidR="00FA6676" w:rsidRPr="00AB7E73" w:rsidRDefault="00FA6676" w:rsidP="00AB7E73">
      <w:pPr>
        <w:pStyle w:val="SingleTxtGA"/>
        <w:jc w:val="lowKashida"/>
        <w:rPr>
          <w:rFonts w:hint="cs"/>
          <w:spacing w:val="-2"/>
          <w:kern w:val="0"/>
          <w:rtl/>
        </w:rPr>
      </w:pPr>
      <w:r w:rsidRPr="00AB7E73">
        <w:rPr>
          <w:rFonts w:hint="cs"/>
          <w:spacing w:val="-2"/>
          <w:kern w:val="0"/>
          <w:rtl/>
        </w:rPr>
        <w:t>10-6</w:t>
      </w:r>
      <w:r w:rsidRPr="00AB7E73">
        <w:rPr>
          <w:rFonts w:hint="cs"/>
          <w:spacing w:val="-2"/>
          <w:kern w:val="0"/>
          <w:rtl/>
        </w:rPr>
        <w:tab/>
        <w:t xml:space="preserve">وحاولت المحامية الاطلاع على حالة أصحاب الشكوى ولكن لم يتمكن </w:t>
      </w:r>
      <w:r w:rsidRPr="00AB7E73">
        <w:rPr>
          <w:spacing w:val="-2"/>
          <w:kern w:val="0"/>
          <w:rtl/>
        </w:rPr>
        <w:t xml:space="preserve">أحد </w:t>
      </w:r>
      <w:r w:rsidRPr="00AB7E73">
        <w:rPr>
          <w:rFonts w:hint="cs"/>
          <w:spacing w:val="-2"/>
          <w:kern w:val="0"/>
          <w:rtl/>
        </w:rPr>
        <w:t xml:space="preserve">من </w:t>
      </w:r>
      <w:r w:rsidRPr="00AB7E73">
        <w:rPr>
          <w:spacing w:val="-2"/>
          <w:kern w:val="0"/>
          <w:rtl/>
        </w:rPr>
        <w:t>زيار</w:t>
      </w:r>
      <w:r w:rsidRPr="00AB7E73">
        <w:rPr>
          <w:rFonts w:hint="cs"/>
          <w:spacing w:val="-2"/>
          <w:kern w:val="0"/>
          <w:rtl/>
        </w:rPr>
        <w:t>تهم</w:t>
      </w:r>
      <w:r w:rsidRPr="00AB7E73">
        <w:rPr>
          <w:spacing w:val="-2"/>
          <w:kern w:val="0"/>
          <w:rtl/>
        </w:rPr>
        <w:t xml:space="preserve"> أو </w:t>
      </w:r>
      <w:r w:rsidRPr="00AB7E73">
        <w:rPr>
          <w:rFonts w:hint="cs"/>
          <w:spacing w:val="-2"/>
          <w:kern w:val="0"/>
          <w:rtl/>
        </w:rPr>
        <w:t xml:space="preserve">من </w:t>
      </w:r>
      <w:r w:rsidRPr="00AB7E73">
        <w:rPr>
          <w:spacing w:val="-2"/>
          <w:kern w:val="0"/>
          <w:rtl/>
        </w:rPr>
        <w:t xml:space="preserve">تقديم معلومات </w:t>
      </w:r>
      <w:r w:rsidRPr="00AB7E73">
        <w:rPr>
          <w:rFonts w:hint="cs"/>
          <w:spacing w:val="-2"/>
          <w:kern w:val="0"/>
          <w:rtl/>
        </w:rPr>
        <w:t xml:space="preserve">عن أماكن </w:t>
      </w:r>
      <w:r w:rsidRPr="00AB7E73">
        <w:rPr>
          <w:spacing w:val="-2"/>
          <w:kern w:val="0"/>
          <w:rtl/>
        </w:rPr>
        <w:t>وجودهم ومعامل</w:t>
      </w:r>
      <w:r w:rsidRPr="00AB7E73">
        <w:rPr>
          <w:rFonts w:hint="cs"/>
          <w:spacing w:val="-2"/>
          <w:kern w:val="0"/>
          <w:rtl/>
        </w:rPr>
        <w:t xml:space="preserve">تهم. ووفقاً </w:t>
      </w:r>
      <w:r w:rsidRPr="00AB7E73">
        <w:rPr>
          <w:spacing w:val="-2"/>
          <w:kern w:val="0"/>
          <w:rtl/>
        </w:rPr>
        <w:t>للمقالات الصحفية،</w:t>
      </w:r>
      <w:r w:rsidR="00AB7E73">
        <w:rPr>
          <w:rFonts w:hint="cs"/>
          <w:spacing w:val="-2"/>
          <w:kern w:val="0"/>
          <w:rtl/>
        </w:rPr>
        <w:t xml:space="preserve"> </w:t>
      </w:r>
      <w:r w:rsidRPr="00AB7E73">
        <w:rPr>
          <w:rFonts w:hint="cs"/>
          <w:spacing w:val="-2"/>
          <w:kern w:val="0"/>
          <w:rtl/>
        </w:rPr>
        <w:t xml:space="preserve">حكم على خمسة من أصحاب الشكوى في الفترة </w:t>
      </w:r>
      <w:r w:rsidRPr="00AB7E73">
        <w:rPr>
          <w:spacing w:val="-2"/>
          <w:kern w:val="0"/>
          <w:rtl/>
        </w:rPr>
        <w:t>بين آب/أغسطس وتشرين</w:t>
      </w:r>
      <w:r w:rsidR="00AB7E73">
        <w:rPr>
          <w:rFonts w:hint="cs"/>
          <w:spacing w:val="-2"/>
          <w:kern w:val="0"/>
          <w:rtl/>
        </w:rPr>
        <w:t xml:space="preserve"> </w:t>
      </w:r>
      <w:r w:rsidRPr="00AB7E73">
        <w:rPr>
          <w:spacing w:val="-2"/>
          <w:kern w:val="0"/>
          <w:rtl/>
        </w:rPr>
        <w:t>الثاني/</w:t>
      </w:r>
      <w:r w:rsidR="00AB7E73">
        <w:rPr>
          <w:rFonts w:hint="cs"/>
          <w:spacing w:val="-2"/>
          <w:kern w:val="0"/>
          <w:rtl/>
        </w:rPr>
        <w:t xml:space="preserve"> </w:t>
      </w:r>
      <w:r w:rsidRPr="00AB7E73">
        <w:rPr>
          <w:spacing w:val="-2"/>
          <w:kern w:val="0"/>
          <w:rtl/>
        </w:rPr>
        <w:t>نوفمبر</w:t>
      </w:r>
      <w:r w:rsidRPr="00AB7E73">
        <w:rPr>
          <w:rFonts w:hint="cs"/>
          <w:spacing w:val="-2"/>
          <w:kern w:val="0"/>
          <w:rtl/>
        </w:rPr>
        <w:t> </w:t>
      </w:r>
      <w:r w:rsidRPr="00AB7E73">
        <w:rPr>
          <w:spacing w:val="-2"/>
          <w:kern w:val="0"/>
          <w:rtl/>
        </w:rPr>
        <w:t>2011</w:t>
      </w:r>
      <w:r w:rsidRPr="00AB7E73">
        <w:rPr>
          <w:spacing w:val="-2"/>
          <w:kern w:val="0"/>
          <w:vertAlign w:val="superscript"/>
          <w:rtl/>
        </w:rPr>
        <w:t>(</w:t>
      </w:r>
      <w:r w:rsidRPr="00AB7E73">
        <w:rPr>
          <w:rStyle w:val="FootnoteReference"/>
          <w:spacing w:val="-2"/>
          <w:rtl/>
        </w:rPr>
        <w:footnoteReference w:id="421"/>
      </w:r>
      <w:r w:rsidRPr="00AB7E73">
        <w:rPr>
          <w:spacing w:val="-2"/>
          <w:kern w:val="0"/>
          <w:vertAlign w:val="superscript"/>
          <w:rtl/>
        </w:rPr>
        <w:t>)</w:t>
      </w:r>
      <w:r w:rsidRPr="00AB7E73">
        <w:rPr>
          <w:rFonts w:hint="cs"/>
          <w:spacing w:val="-2"/>
          <w:kern w:val="0"/>
          <w:rtl/>
        </w:rPr>
        <w:t xml:space="preserve"> بالسجن مدداً </w:t>
      </w:r>
      <w:r w:rsidRPr="00AB7E73">
        <w:rPr>
          <w:spacing w:val="-2"/>
          <w:kern w:val="0"/>
          <w:rtl/>
        </w:rPr>
        <w:t xml:space="preserve">طويلة. فعلى سبيل المثال، </w:t>
      </w:r>
      <w:r w:rsidRPr="00AB7E73">
        <w:rPr>
          <w:rFonts w:hint="cs"/>
          <w:spacing w:val="-2"/>
          <w:kern w:val="0"/>
          <w:rtl/>
        </w:rPr>
        <w:t xml:space="preserve">حكم على </w:t>
      </w:r>
      <w:r w:rsidRPr="00AB7E73">
        <w:rPr>
          <w:spacing w:val="-2"/>
          <w:kern w:val="0"/>
          <w:rtl/>
        </w:rPr>
        <w:t xml:space="preserve">أحمد </w:t>
      </w:r>
      <w:r w:rsidRPr="00AB7E73">
        <w:rPr>
          <w:rFonts w:hint="cs"/>
          <w:spacing w:val="-2"/>
          <w:kern w:val="0"/>
          <w:rtl/>
        </w:rPr>
        <w:t xml:space="preserve">بولتاييف </w:t>
      </w:r>
      <w:r w:rsidRPr="00AB7E73">
        <w:rPr>
          <w:spacing w:val="-2"/>
          <w:kern w:val="0"/>
          <w:rtl/>
        </w:rPr>
        <w:t xml:space="preserve">بالسجن لمدة 13 سنة. وحوكم آخرون، ولكن </w:t>
      </w:r>
      <w:r w:rsidRPr="00AB7E73">
        <w:rPr>
          <w:rFonts w:hint="cs"/>
          <w:spacing w:val="-2"/>
          <w:kern w:val="0"/>
          <w:rtl/>
        </w:rPr>
        <w:t xml:space="preserve">لا تعرف </w:t>
      </w:r>
      <w:r w:rsidRPr="00AB7E73">
        <w:rPr>
          <w:spacing w:val="-2"/>
          <w:kern w:val="0"/>
          <w:rtl/>
        </w:rPr>
        <w:t>نتائج</w:t>
      </w:r>
      <w:r w:rsidRPr="00AB7E73">
        <w:rPr>
          <w:rFonts w:hint="cs"/>
          <w:spacing w:val="-2"/>
          <w:kern w:val="0"/>
          <w:rtl/>
        </w:rPr>
        <w:t xml:space="preserve"> هذه المحاكمات</w:t>
      </w:r>
      <w:r w:rsidRPr="00AB7E73">
        <w:rPr>
          <w:spacing w:val="-2"/>
          <w:kern w:val="0"/>
          <w:rtl/>
        </w:rPr>
        <w:t xml:space="preserve"> </w:t>
      </w:r>
      <w:r w:rsidRPr="00AB7E73">
        <w:rPr>
          <w:rFonts w:hint="cs"/>
          <w:spacing w:val="-2"/>
          <w:kern w:val="0"/>
          <w:rtl/>
        </w:rPr>
        <w:t>لعدم وجود ت</w:t>
      </w:r>
      <w:r w:rsidRPr="00AB7E73">
        <w:rPr>
          <w:spacing w:val="-2"/>
          <w:kern w:val="0"/>
          <w:rtl/>
        </w:rPr>
        <w:t xml:space="preserve">غطية إعلامية أو مراقبة </w:t>
      </w:r>
      <w:r w:rsidRPr="00AB7E73">
        <w:rPr>
          <w:rFonts w:hint="cs"/>
          <w:spacing w:val="-2"/>
          <w:kern w:val="0"/>
          <w:rtl/>
        </w:rPr>
        <w:t>مستقلة ل</w:t>
      </w:r>
      <w:r w:rsidRPr="00AB7E73">
        <w:rPr>
          <w:spacing w:val="-2"/>
          <w:kern w:val="0"/>
          <w:rtl/>
        </w:rPr>
        <w:t>لمحاكمات. و</w:t>
      </w:r>
      <w:r w:rsidRPr="00AB7E73">
        <w:rPr>
          <w:rFonts w:hint="cs"/>
          <w:spacing w:val="-2"/>
          <w:kern w:val="0"/>
          <w:rtl/>
        </w:rPr>
        <w:t xml:space="preserve">قالت </w:t>
      </w:r>
      <w:r w:rsidRPr="00AB7E73">
        <w:rPr>
          <w:spacing w:val="-2"/>
          <w:kern w:val="0"/>
          <w:rtl/>
        </w:rPr>
        <w:t>المحامي</w:t>
      </w:r>
      <w:r w:rsidRPr="00AB7E73">
        <w:rPr>
          <w:rFonts w:hint="cs"/>
          <w:spacing w:val="-2"/>
          <w:kern w:val="0"/>
          <w:rtl/>
        </w:rPr>
        <w:t>ة</w:t>
      </w:r>
      <w:r w:rsidRPr="00AB7E73">
        <w:rPr>
          <w:spacing w:val="-2"/>
          <w:kern w:val="0"/>
          <w:rtl/>
        </w:rPr>
        <w:t xml:space="preserve"> </w:t>
      </w:r>
      <w:r w:rsidRPr="00AB7E73">
        <w:rPr>
          <w:rFonts w:hint="cs"/>
          <w:spacing w:val="-2"/>
          <w:kern w:val="0"/>
          <w:rtl/>
        </w:rPr>
        <w:t xml:space="preserve">إنها تعتقد </w:t>
      </w:r>
      <w:r w:rsidRPr="00AB7E73">
        <w:rPr>
          <w:spacing w:val="-2"/>
          <w:kern w:val="0"/>
          <w:rtl/>
        </w:rPr>
        <w:t>أن</w:t>
      </w:r>
      <w:r w:rsidRPr="00AB7E73">
        <w:rPr>
          <w:rFonts w:hint="cs"/>
          <w:spacing w:val="-2"/>
          <w:kern w:val="0"/>
          <w:rtl/>
        </w:rPr>
        <w:t>ه لم تتح لأ</w:t>
      </w:r>
      <w:r w:rsidRPr="00AB7E73">
        <w:rPr>
          <w:spacing w:val="-2"/>
          <w:kern w:val="0"/>
          <w:rtl/>
        </w:rPr>
        <w:t xml:space="preserve">صحاب الشكوى </w:t>
      </w:r>
      <w:r w:rsidRPr="00AB7E73">
        <w:rPr>
          <w:rFonts w:hint="cs"/>
          <w:spacing w:val="-2"/>
          <w:kern w:val="0"/>
          <w:rtl/>
        </w:rPr>
        <w:t>الفرصة للاستعانة ب</w:t>
      </w:r>
      <w:r w:rsidRPr="00AB7E73">
        <w:rPr>
          <w:spacing w:val="-2"/>
          <w:kern w:val="0"/>
          <w:rtl/>
        </w:rPr>
        <w:t>محامين مستقلين</w:t>
      </w:r>
      <w:r w:rsidRPr="00AB7E73">
        <w:rPr>
          <w:rFonts w:hint="cs"/>
          <w:spacing w:val="-2"/>
          <w:kern w:val="0"/>
          <w:rtl/>
        </w:rPr>
        <w:t xml:space="preserve"> وأن </w:t>
      </w:r>
      <w:r w:rsidRPr="00AB7E73">
        <w:rPr>
          <w:spacing w:val="-2"/>
          <w:kern w:val="0"/>
          <w:rtl/>
        </w:rPr>
        <w:t>حقهم في محاكمة عادلة</w:t>
      </w:r>
      <w:r w:rsidRPr="00AB7E73">
        <w:rPr>
          <w:rFonts w:hint="cs"/>
          <w:spacing w:val="-2"/>
          <w:kern w:val="0"/>
          <w:rtl/>
        </w:rPr>
        <w:t xml:space="preserve"> قد</w:t>
      </w:r>
      <w:r w:rsidR="00AB7E73" w:rsidRPr="00AB7E73">
        <w:rPr>
          <w:rFonts w:hint="eastAsia"/>
          <w:spacing w:val="-2"/>
          <w:kern w:val="0"/>
          <w:rtl/>
        </w:rPr>
        <w:t> </w:t>
      </w:r>
      <w:r w:rsidRPr="00AB7E73">
        <w:rPr>
          <w:rFonts w:hint="cs"/>
          <w:spacing w:val="-2"/>
          <w:kern w:val="0"/>
          <w:rtl/>
        </w:rPr>
        <w:t>انتهك</w:t>
      </w:r>
      <w:r w:rsidRPr="00AB7E73">
        <w:rPr>
          <w:spacing w:val="-2"/>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rPr>
        <w:t>10-7</w:t>
      </w:r>
      <w:r w:rsidRPr="00AA537D">
        <w:rPr>
          <w:rFonts w:hint="cs"/>
          <w:spacing w:val="0"/>
          <w:kern w:val="0"/>
          <w:rtl/>
        </w:rPr>
        <w:tab/>
        <w:t xml:space="preserve">وترى المحامية أيضاً أن الدولة الطرف </w:t>
      </w:r>
      <w:r w:rsidRPr="00AA537D">
        <w:rPr>
          <w:spacing w:val="0"/>
          <w:kern w:val="0"/>
          <w:rtl/>
        </w:rPr>
        <w:t xml:space="preserve">لم تتخذ تدابير فعالة لمنع أعمال التعذيب في </w:t>
      </w:r>
      <w:r w:rsidRPr="00AA537D">
        <w:rPr>
          <w:rFonts w:hint="cs"/>
          <w:spacing w:val="0"/>
          <w:kern w:val="0"/>
          <w:rtl/>
        </w:rPr>
        <w:t>القضية قيد البحث</w:t>
      </w:r>
      <w:r w:rsidRPr="00AA537D">
        <w:rPr>
          <w:spacing w:val="0"/>
          <w:kern w:val="0"/>
          <w:rtl/>
        </w:rPr>
        <w:t>، مما يشكل انتهاكاً للمادة 2 من اتفاقية مناهضة التعذيب. كما أنها لم</w:t>
      </w:r>
      <w:r w:rsidRPr="00AA537D">
        <w:rPr>
          <w:rFonts w:hint="cs"/>
          <w:spacing w:val="0"/>
          <w:kern w:val="0"/>
          <w:rtl/>
        </w:rPr>
        <w:t> </w:t>
      </w:r>
      <w:r w:rsidRPr="00AA537D">
        <w:rPr>
          <w:spacing w:val="0"/>
          <w:kern w:val="0"/>
          <w:rtl/>
        </w:rPr>
        <w:t>ت</w:t>
      </w:r>
      <w:r w:rsidRPr="00AA537D">
        <w:rPr>
          <w:rFonts w:hint="cs"/>
          <w:spacing w:val="0"/>
          <w:kern w:val="0"/>
          <w:rtl/>
        </w:rPr>
        <w:t>وفر لأصحاب الشكوى سبيل ا</w:t>
      </w:r>
      <w:r w:rsidRPr="00AA537D">
        <w:rPr>
          <w:spacing w:val="0"/>
          <w:kern w:val="0"/>
          <w:rtl/>
        </w:rPr>
        <w:t xml:space="preserve">نتصاف </w:t>
      </w:r>
      <w:r w:rsidRPr="00AA537D">
        <w:rPr>
          <w:rFonts w:hint="cs"/>
          <w:spacing w:val="0"/>
          <w:kern w:val="0"/>
          <w:rtl/>
        </w:rPr>
        <w:t xml:space="preserve">فعال لمنع </w:t>
      </w:r>
      <w:r w:rsidRPr="00AA537D">
        <w:rPr>
          <w:spacing w:val="0"/>
          <w:kern w:val="0"/>
          <w:rtl/>
        </w:rPr>
        <w:t>تسليمهم، مما يشكل انتهاكاً للمادة 22 من الاتفاقية</w:t>
      </w:r>
      <w:r w:rsidRPr="00AA537D">
        <w:rPr>
          <w:spacing w:val="0"/>
          <w:kern w:val="0"/>
          <w:vertAlign w:val="superscript"/>
          <w:rtl/>
        </w:rPr>
        <w:t>(</w:t>
      </w:r>
      <w:r w:rsidRPr="00AA537D">
        <w:rPr>
          <w:rStyle w:val="FootnoteReference"/>
          <w:spacing w:val="0"/>
          <w:rtl/>
        </w:rPr>
        <w:footnoteReference w:id="422"/>
      </w:r>
      <w:r w:rsidRPr="00AA537D">
        <w:rPr>
          <w:spacing w:val="0"/>
          <w:kern w:val="0"/>
          <w:vertAlign w:val="superscript"/>
          <w:rtl/>
        </w:rPr>
        <w:t>)</w:t>
      </w:r>
      <w:r w:rsidRPr="00AA537D">
        <w:rPr>
          <w:spacing w:val="0"/>
          <w:kern w:val="0"/>
          <w:rtl/>
        </w:rPr>
        <w:t>.</w:t>
      </w:r>
    </w:p>
    <w:p w:rsidR="00FA6676" w:rsidRPr="00AA537D" w:rsidRDefault="00FA6676" w:rsidP="00AA537D">
      <w:pPr>
        <w:pStyle w:val="SingleTxtGA"/>
        <w:jc w:val="lowKashida"/>
        <w:rPr>
          <w:rFonts w:hint="cs"/>
          <w:spacing w:val="0"/>
          <w:kern w:val="0"/>
          <w:rtl/>
        </w:rPr>
      </w:pPr>
      <w:r w:rsidRPr="00AA537D">
        <w:rPr>
          <w:rFonts w:hint="cs"/>
          <w:spacing w:val="0"/>
          <w:kern w:val="0"/>
          <w:rtl/>
        </w:rPr>
        <w:t>10-8</w:t>
      </w:r>
      <w:r w:rsidRPr="00AA537D">
        <w:rPr>
          <w:rFonts w:hint="cs"/>
          <w:spacing w:val="0"/>
          <w:kern w:val="0"/>
          <w:rtl/>
        </w:rPr>
        <w:tab/>
        <w:t>وفيما يتعلق بمكافحة الإرهاب، تلاحظ المحامية أن مكافحة الإرهاب ينبغي أن تكون متسقة مع قانون حقوق الإنسان</w:t>
      </w:r>
      <w:r w:rsidRPr="00AA537D">
        <w:rPr>
          <w:spacing w:val="0"/>
          <w:kern w:val="0"/>
          <w:vertAlign w:val="superscript"/>
          <w:rtl/>
        </w:rPr>
        <w:t>(</w:t>
      </w:r>
      <w:r w:rsidRPr="00AA537D">
        <w:rPr>
          <w:rStyle w:val="FootnoteReference"/>
          <w:spacing w:val="0"/>
          <w:rtl/>
        </w:rPr>
        <w:footnoteReference w:id="423"/>
      </w:r>
      <w:r w:rsidRPr="00AA537D">
        <w:rPr>
          <w:spacing w:val="0"/>
          <w:kern w:val="0"/>
          <w:vertAlign w:val="superscript"/>
          <w:rtl/>
        </w:rPr>
        <w:t>)</w:t>
      </w:r>
      <w:r w:rsidRPr="00AA537D">
        <w:rPr>
          <w:rFonts w:hint="cs"/>
          <w:spacing w:val="0"/>
          <w:kern w:val="0"/>
          <w:rtl/>
        </w:rPr>
        <w:t xml:space="preserve"> وأن التزام الدولة الطرف بعدم ترحيل الأفراد الذين يتعرضون للتعذيب التزام مطلق. وإذا كان أصحاب الشكوى يشكلون خطراً على أمن الدولة الطرف، كان من الواجب على السلطات أن توجه إليهم الاتهام بارتكاب جرائم معينة وأن تحاكمهم أمام محاكمها على ارتكاب هذه الجرائم. </w:t>
      </w:r>
    </w:p>
    <w:p w:rsidR="00FA6676" w:rsidRPr="00AA537D" w:rsidRDefault="00FA6676" w:rsidP="00AA537D">
      <w:pPr>
        <w:pStyle w:val="SingleTxtGA"/>
        <w:jc w:val="lowKashida"/>
        <w:rPr>
          <w:rFonts w:hint="cs"/>
          <w:spacing w:val="0"/>
          <w:kern w:val="0"/>
          <w:rtl/>
        </w:rPr>
      </w:pPr>
      <w:r w:rsidRPr="00AA537D">
        <w:rPr>
          <w:rFonts w:hint="cs"/>
          <w:spacing w:val="0"/>
          <w:kern w:val="0"/>
          <w:rtl/>
        </w:rPr>
        <w:t>10-9</w:t>
      </w:r>
      <w:r w:rsidRPr="00AA537D">
        <w:rPr>
          <w:rFonts w:hint="cs"/>
          <w:spacing w:val="0"/>
          <w:kern w:val="0"/>
          <w:rtl/>
        </w:rPr>
        <w:tab/>
        <w:t>وفيما يتعلق بسبل الانتصاف، تشير المحامية إلى المبادئ الأساسية والمبادئ التوجيهية بشأن الحق في الانتصاف والجبر للضحايا</w:t>
      </w:r>
      <w:r w:rsidRPr="00AA537D">
        <w:rPr>
          <w:spacing w:val="0"/>
          <w:kern w:val="0"/>
          <w:vertAlign w:val="superscript"/>
          <w:rtl/>
        </w:rPr>
        <w:t>(</w:t>
      </w:r>
      <w:r w:rsidRPr="00AA537D">
        <w:rPr>
          <w:rStyle w:val="FootnoteReference"/>
          <w:spacing w:val="0"/>
          <w:sz w:val="34"/>
          <w:rtl/>
        </w:rPr>
        <w:footnoteReference w:id="424"/>
      </w:r>
      <w:r w:rsidRPr="00AA537D">
        <w:rPr>
          <w:spacing w:val="0"/>
          <w:kern w:val="0"/>
          <w:vertAlign w:val="superscript"/>
          <w:rtl/>
        </w:rPr>
        <w:t>)</w:t>
      </w:r>
      <w:r w:rsidRPr="00AA537D">
        <w:rPr>
          <w:rFonts w:hint="cs"/>
          <w:spacing w:val="0"/>
          <w:kern w:val="0"/>
          <w:rtl/>
        </w:rPr>
        <w:t xml:space="preserve"> وتطلب إلى اللجنة أن تأمر الدولة الطرف بأن تكفل العودة لأصحاب الشكوى</w:t>
      </w:r>
      <w:r w:rsidRPr="00AA537D">
        <w:rPr>
          <w:spacing w:val="0"/>
          <w:kern w:val="0"/>
          <w:vertAlign w:val="superscript"/>
          <w:rtl/>
        </w:rPr>
        <w:t>(</w:t>
      </w:r>
      <w:r w:rsidRPr="00AA537D">
        <w:rPr>
          <w:rStyle w:val="FootnoteReference"/>
          <w:spacing w:val="0"/>
          <w:rtl/>
        </w:rPr>
        <w:footnoteReference w:id="425"/>
      </w:r>
      <w:r w:rsidRPr="00AA537D">
        <w:rPr>
          <w:spacing w:val="0"/>
          <w:kern w:val="0"/>
          <w:vertAlign w:val="superscript"/>
          <w:rtl/>
        </w:rPr>
        <w:t>)</w:t>
      </w:r>
      <w:r w:rsidRPr="00AA537D">
        <w:rPr>
          <w:rFonts w:hint="cs"/>
          <w:spacing w:val="0"/>
          <w:kern w:val="0"/>
          <w:rtl/>
        </w:rPr>
        <w:t xml:space="preserve"> مع دفع تعويض لهم وإعادة تأهيلهم وفقاً للمادة 14 من العهد. وينبغي أن تعيد الدولة الطرف النظر أيضاً في نظامها للضمانات الدبلوماسية ونظامها القضائي من أجل تجنب ارتكاب انتهاكات مماثلة في المستقبل</w:t>
      </w:r>
      <w:r w:rsidRPr="00AA537D">
        <w:rPr>
          <w:spacing w:val="0"/>
          <w:kern w:val="0"/>
          <w:vertAlign w:val="superscript"/>
          <w:rtl/>
        </w:rPr>
        <w:t>(</w:t>
      </w:r>
      <w:r w:rsidRPr="00AA537D">
        <w:rPr>
          <w:rStyle w:val="FootnoteReference"/>
          <w:spacing w:val="0"/>
          <w:rtl/>
        </w:rPr>
        <w:footnoteReference w:id="426"/>
      </w:r>
      <w:r w:rsidRPr="00AA537D">
        <w:rPr>
          <w:spacing w:val="0"/>
          <w:kern w:val="0"/>
          <w:vertAlign w:val="superscript"/>
          <w:rtl/>
        </w:rPr>
        <w:t>)</w:t>
      </w:r>
      <w:r w:rsidRPr="00AA537D">
        <w:rPr>
          <w:rFonts w:hint="cs"/>
          <w:spacing w:val="0"/>
          <w:kern w:val="0"/>
          <w:rtl/>
        </w:rPr>
        <w:t>.</w:t>
      </w:r>
    </w:p>
    <w:p w:rsidR="00FA6676" w:rsidRPr="00AA537D" w:rsidRDefault="00FA6676" w:rsidP="00AB7E73">
      <w:pPr>
        <w:pStyle w:val="H23GA"/>
        <w:keepNext/>
        <w:jc w:val="lowKashida"/>
        <w:rPr>
          <w:rFonts w:hint="cs"/>
          <w:spacing w:val="0"/>
          <w:kern w:val="0"/>
          <w:rtl/>
        </w:rPr>
      </w:pPr>
      <w:r w:rsidRPr="00AA537D">
        <w:rPr>
          <w:rFonts w:hint="cs"/>
          <w:spacing w:val="0"/>
          <w:kern w:val="0"/>
          <w:rtl/>
        </w:rPr>
        <w:tab/>
      </w:r>
      <w:r w:rsidRPr="00AA537D">
        <w:rPr>
          <w:rFonts w:hint="cs"/>
          <w:spacing w:val="0"/>
          <w:kern w:val="0"/>
          <w:rtl/>
        </w:rPr>
        <w:tab/>
        <w:t>المعلومات الإضافية المقدمة من الدولة الطرف</w:t>
      </w:r>
    </w:p>
    <w:p w:rsidR="00FA6676" w:rsidRPr="00AA537D" w:rsidRDefault="00FA6676" w:rsidP="00AA537D">
      <w:pPr>
        <w:pStyle w:val="SingleTxtGA"/>
        <w:jc w:val="lowKashida"/>
        <w:rPr>
          <w:rFonts w:hint="cs"/>
          <w:spacing w:val="0"/>
          <w:kern w:val="0"/>
          <w:rtl/>
        </w:rPr>
      </w:pPr>
      <w:r w:rsidRPr="00AA537D">
        <w:rPr>
          <w:rFonts w:hint="cs"/>
          <w:spacing w:val="0"/>
          <w:kern w:val="0"/>
          <w:rtl/>
        </w:rPr>
        <w:t>11-1</w:t>
      </w:r>
      <w:r w:rsidRPr="00AA537D">
        <w:rPr>
          <w:rFonts w:hint="cs"/>
          <w:spacing w:val="0"/>
          <w:kern w:val="0"/>
          <w:rtl/>
        </w:rPr>
        <w:tab/>
        <w:t xml:space="preserve">في 11 أيار/مايو 2012، وبناء على طلب اللجنة في جلسة الاستماع، قدمت الدولة </w:t>
      </w:r>
      <w:r w:rsidRPr="00AA537D">
        <w:rPr>
          <w:spacing w:val="0"/>
          <w:kern w:val="0"/>
          <w:rtl/>
        </w:rPr>
        <w:t xml:space="preserve">الطرف نسخاً من الضمانات </w:t>
      </w:r>
      <w:r w:rsidRPr="00AA537D">
        <w:rPr>
          <w:rFonts w:hint="cs"/>
          <w:spacing w:val="0"/>
          <w:kern w:val="0"/>
          <w:rtl/>
        </w:rPr>
        <w:t xml:space="preserve">المقدمة من </w:t>
      </w:r>
      <w:r w:rsidRPr="00AA537D">
        <w:rPr>
          <w:spacing w:val="0"/>
          <w:kern w:val="0"/>
          <w:rtl/>
        </w:rPr>
        <w:t>السلطات الأوزبك</w:t>
      </w:r>
      <w:r w:rsidRPr="00AA537D">
        <w:rPr>
          <w:rFonts w:hint="cs"/>
          <w:spacing w:val="0"/>
          <w:kern w:val="0"/>
          <w:rtl/>
        </w:rPr>
        <w:t>ية</w:t>
      </w:r>
      <w:r w:rsidRPr="00AA537D">
        <w:rPr>
          <w:spacing w:val="0"/>
          <w:kern w:val="0"/>
          <w:rtl/>
        </w:rPr>
        <w:t xml:space="preserve">، فضلاً عن بعض </w:t>
      </w:r>
      <w:r w:rsidRPr="00AA537D">
        <w:rPr>
          <w:rFonts w:hint="cs"/>
          <w:spacing w:val="0"/>
          <w:kern w:val="0"/>
          <w:rtl/>
        </w:rPr>
        <w:t>الأحكام الصادرة من المحاكم المحلية</w:t>
      </w:r>
      <w:r w:rsidRPr="00AA537D">
        <w:rPr>
          <w:spacing w:val="0"/>
          <w:kern w:val="0"/>
          <w:vertAlign w:val="superscript"/>
          <w:rtl/>
        </w:rPr>
        <w:t>(</w:t>
      </w:r>
      <w:r w:rsidRPr="00AA537D">
        <w:rPr>
          <w:rStyle w:val="FootnoteReference"/>
          <w:spacing w:val="0"/>
          <w:rtl/>
        </w:rPr>
        <w:footnoteReference w:id="427"/>
      </w:r>
      <w:r w:rsidRPr="00AA537D">
        <w:rPr>
          <w:spacing w:val="0"/>
          <w:kern w:val="0"/>
          <w:vertAlign w:val="superscript"/>
          <w:rtl/>
        </w:rPr>
        <w:t>)</w:t>
      </w:r>
      <w:r w:rsidRPr="00AA537D">
        <w:rPr>
          <w:spacing w:val="0"/>
          <w:kern w:val="0"/>
          <w:rtl/>
        </w:rPr>
        <w:t>. ويت</w:t>
      </w:r>
      <w:r w:rsidRPr="00AA537D">
        <w:rPr>
          <w:rFonts w:hint="cs"/>
          <w:spacing w:val="0"/>
          <w:kern w:val="0"/>
          <w:rtl/>
        </w:rPr>
        <w:t>بين من هذه</w:t>
      </w:r>
      <w:r w:rsidRPr="00AA537D">
        <w:rPr>
          <w:spacing w:val="0"/>
          <w:kern w:val="0"/>
          <w:rtl/>
        </w:rPr>
        <w:t xml:space="preserve"> الوثائق أن</w:t>
      </w:r>
      <w:r w:rsidRPr="00AA537D">
        <w:rPr>
          <w:rFonts w:hint="cs"/>
          <w:spacing w:val="0"/>
          <w:kern w:val="0"/>
          <w:rtl/>
        </w:rPr>
        <w:t xml:space="preserve"> الدولة الطرف طلبت في </w:t>
      </w:r>
      <w:r w:rsidRPr="00AA537D">
        <w:rPr>
          <w:spacing w:val="0"/>
          <w:kern w:val="0"/>
          <w:rtl/>
        </w:rPr>
        <w:t xml:space="preserve">6 </w:t>
      </w:r>
      <w:r w:rsidR="006748CB">
        <w:rPr>
          <w:rFonts w:hint="cs"/>
          <w:spacing w:val="0"/>
          <w:kern w:val="0"/>
          <w:rtl/>
        </w:rPr>
        <w:t>أيلول/</w:t>
      </w:r>
      <w:r w:rsidRPr="00AA537D">
        <w:rPr>
          <w:spacing w:val="0"/>
          <w:kern w:val="0"/>
          <w:rtl/>
        </w:rPr>
        <w:t>سبتمبر 2010</w:t>
      </w:r>
      <w:r w:rsidRPr="00AA537D">
        <w:rPr>
          <w:rFonts w:hint="cs"/>
          <w:spacing w:val="0"/>
          <w:kern w:val="0"/>
          <w:rtl/>
        </w:rPr>
        <w:t xml:space="preserve"> </w:t>
      </w:r>
      <w:r w:rsidRPr="00AA537D">
        <w:rPr>
          <w:spacing w:val="0"/>
          <w:kern w:val="0"/>
          <w:rtl/>
        </w:rPr>
        <w:t>ضمانات</w:t>
      </w:r>
      <w:r w:rsidRPr="00AA537D">
        <w:rPr>
          <w:rFonts w:hint="cs"/>
          <w:spacing w:val="0"/>
          <w:kern w:val="0"/>
          <w:rtl/>
        </w:rPr>
        <w:t xml:space="preserve"> بعدم استناد الادعاءات الموجهة إلى أصحاب الشكوى البالغ عددهم 29 شخصاً </w:t>
      </w:r>
      <w:r w:rsidRPr="00AA537D">
        <w:rPr>
          <w:spacing w:val="0"/>
          <w:kern w:val="0"/>
          <w:rtl/>
        </w:rPr>
        <w:t xml:space="preserve">إلى </w:t>
      </w:r>
      <w:r w:rsidRPr="00AA537D">
        <w:rPr>
          <w:rFonts w:hint="cs"/>
          <w:spacing w:val="0"/>
          <w:kern w:val="0"/>
          <w:rtl/>
        </w:rPr>
        <w:t xml:space="preserve">أسباب </w:t>
      </w:r>
      <w:r w:rsidRPr="00AA537D">
        <w:rPr>
          <w:spacing w:val="0"/>
          <w:kern w:val="0"/>
          <w:rtl/>
        </w:rPr>
        <w:t>سياسية</w:t>
      </w:r>
      <w:r w:rsidRPr="00AA537D">
        <w:rPr>
          <w:rFonts w:hint="cs"/>
          <w:spacing w:val="0"/>
          <w:kern w:val="0"/>
          <w:rtl/>
        </w:rPr>
        <w:t>،</w:t>
      </w:r>
      <w:r w:rsidRPr="00AA537D">
        <w:rPr>
          <w:spacing w:val="0"/>
          <w:kern w:val="0"/>
          <w:rtl/>
        </w:rPr>
        <w:t xml:space="preserve"> و</w:t>
      </w:r>
      <w:r w:rsidRPr="00AA537D">
        <w:rPr>
          <w:rFonts w:hint="cs"/>
          <w:spacing w:val="0"/>
          <w:kern w:val="0"/>
          <w:rtl/>
        </w:rPr>
        <w:t xml:space="preserve">عدم تعرضهم </w:t>
      </w:r>
      <w:r w:rsidRPr="00AA537D">
        <w:rPr>
          <w:spacing w:val="0"/>
          <w:kern w:val="0"/>
          <w:rtl/>
        </w:rPr>
        <w:t>لأي تمييز</w:t>
      </w:r>
      <w:r w:rsidRPr="00AA537D">
        <w:rPr>
          <w:rFonts w:hint="cs"/>
          <w:spacing w:val="0"/>
          <w:kern w:val="0"/>
          <w:rtl/>
        </w:rPr>
        <w:t xml:space="preserve"> أو </w:t>
      </w:r>
      <w:r w:rsidRPr="00AA537D">
        <w:rPr>
          <w:spacing w:val="0"/>
          <w:kern w:val="0"/>
          <w:rtl/>
        </w:rPr>
        <w:t>تعذيب</w:t>
      </w:r>
      <w:r w:rsidRPr="00AA537D">
        <w:rPr>
          <w:rFonts w:hint="cs"/>
          <w:spacing w:val="0"/>
          <w:kern w:val="0"/>
          <w:rtl/>
        </w:rPr>
        <w:t xml:space="preserve"> أو </w:t>
      </w:r>
      <w:r w:rsidRPr="00AA537D">
        <w:rPr>
          <w:spacing w:val="0"/>
          <w:kern w:val="0"/>
          <w:rtl/>
        </w:rPr>
        <w:t xml:space="preserve">معاملة </w:t>
      </w:r>
      <w:r w:rsidRPr="00AA537D">
        <w:rPr>
          <w:rFonts w:hint="cs"/>
          <w:spacing w:val="0"/>
          <w:kern w:val="0"/>
          <w:rtl/>
        </w:rPr>
        <w:t>أو</w:t>
      </w:r>
      <w:r w:rsidRPr="00AA537D">
        <w:rPr>
          <w:rFonts w:hint="eastAsia"/>
          <w:spacing w:val="0"/>
          <w:kern w:val="0"/>
          <w:rtl/>
        </w:rPr>
        <w:t> </w:t>
      </w:r>
      <w:r w:rsidRPr="00AA537D">
        <w:rPr>
          <w:rFonts w:hint="cs"/>
          <w:spacing w:val="0"/>
          <w:kern w:val="0"/>
          <w:rtl/>
        </w:rPr>
        <w:t xml:space="preserve">عقوبة </w:t>
      </w:r>
      <w:r w:rsidRPr="00AA537D">
        <w:rPr>
          <w:spacing w:val="0"/>
          <w:kern w:val="0"/>
          <w:rtl/>
        </w:rPr>
        <w:t>قاسية أو لا</w:t>
      </w:r>
      <w:r w:rsidRPr="00AA537D">
        <w:rPr>
          <w:rFonts w:hint="cs"/>
          <w:spacing w:val="0"/>
          <w:kern w:val="0"/>
          <w:rtl/>
        </w:rPr>
        <w:t> </w:t>
      </w:r>
      <w:r w:rsidRPr="00AA537D">
        <w:rPr>
          <w:spacing w:val="0"/>
          <w:kern w:val="0"/>
          <w:rtl/>
        </w:rPr>
        <w:t>إنسانية أو مهينة</w:t>
      </w:r>
      <w:r w:rsidRPr="00AA537D">
        <w:rPr>
          <w:rFonts w:hint="cs"/>
          <w:spacing w:val="0"/>
          <w:kern w:val="0"/>
          <w:rtl/>
        </w:rPr>
        <w:t>،</w:t>
      </w:r>
      <w:r w:rsidRPr="00AA537D">
        <w:rPr>
          <w:spacing w:val="0"/>
          <w:kern w:val="0"/>
          <w:rtl/>
        </w:rPr>
        <w:t xml:space="preserve"> </w:t>
      </w:r>
      <w:r w:rsidRPr="00AA537D">
        <w:rPr>
          <w:rFonts w:hint="cs"/>
          <w:spacing w:val="0"/>
          <w:kern w:val="0"/>
          <w:rtl/>
        </w:rPr>
        <w:t>مع حقها في القيام في أي وقت</w:t>
      </w:r>
      <w:r w:rsidRPr="00AA537D">
        <w:rPr>
          <w:spacing w:val="0"/>
          <w:kern w:val="0"/>
          <w:rtl/>
        </w:rPr>
        <w:t xml:space="preserve"> أثناء الإجراءات الجنائية</w:t>
      </w:r>
      <w:r w:rsidRPr="00AA537D">
        <w:rPr>
          <w:rFonts w:hint="cs"/>
          <w:spacing w:val="0"/>
          <w:kern w:val="0"/>
          <w:rtl/>
        </w:rPr>
        <w:t xml:space="preserve"> ب</w:t>
      </w:r>
      <w:r w:rsidRPr="00AA537D">
        <w:rPr>
          <w:spacing w:val="0"/>
          <w:kern w:val="0"/>
          <w:rtl/>
        </w:rPr>
        <w:t>زيارة أصحاب الشكوى</w:t>
      </w:r>
      <w:r w:rsidRPr="00AA537D">
        <w:rPr>
          <w:rFonts w:hint="cs"/>
          <w:spacing w:val="0"/>
          <w:kern w:val="0"/>
          <w:rtl/>
        </w:rPr>
        <w:t xml:space="preserve"> </w:t>
      </w:r>
      <w:r w:rsidRPr="00AA537D">
        <w:rPr>
          <w:spacing w:val="0"/>
          <w:kern w:val="0"/>
          <w:rtl/>
        </w:rPr>
        <w:t>للتحقق</w:t>
      </w:r>
      <w:r w:rsidRPr="00AA537D">
        <w:rPr>
          <w:rFonts w:hint="cs"/>
          <w:spacing w:val="0"/>
          <w:kern w:val="0"/>
          <w:rtl/>
        </w:rPr>
        <w:t>، عند الاقتضاء،</w:t>
      </w:r>
      <w:r w:rsidRPr="00AA537D">
        <w:rPr>
          <w:spacing w:val="0"/>
          <w:kern w:val="0"/>
          <w:rtl/>
        </w:rPr>
        <w:t xml:space="preserve"> من </w:t>
      </w:r>
      <w:r w:rsidRPr="00AA537D">
        <w:rPr>
          <w:rFonts w:hint="cs"/>
          <w:spacing w:val="0"/>
          <w:kern w:val="0"/>
          <w:rtl/>
        </w:rPr>
        <w:t>كفالة الحقوق المستحقة لهم. و</w:t>
      </w:r>
      <w:r w:rsidRPr="00AA537D">
        <w:rPr>
          <w:spacing w:val="0"/>
          <w:kern w:val="0"/>
          <w:rtl/>
        </w:rPr>
        <w:t xml:space="preserve">في 7 و11 و12 و20 </w:t>
      </w:r>
      <w:r w:rsidRPr="00AA537D">
        <w:rPr>
          <w:rFonts w:hint="cs"/>
          <w:spacing w:val="0"/>
          <w:kern w:val="0"/>
          <w:rtl/>
        </w:rPr>
        <w:t>تشرين الأول/</w:t>
      </w:r>
      <w:r w:rsidRPr="00AA537D">
        <w:rPr>
          <w:spacing w:val="0"/>
          <w:kern w:val="0"/>
          <w:rtl/>
        </w:rPr>
        <w:t xml:space="preserve">أكتوبر 2010 و10 </w:t>
      </w:r>
      <w:r w:rsidRPr="00AA537D">
        <w:rPr>
          <w:rFonts w:hint="cs"/>
          <w:spacing w:val="0"/>
          <w:kern w:val="0"/>
          <w:rtl/>
        </w:rPr>
        <w:t>كانون الثاني/</w:t>
      </w:r>
      <w:r w:rsidRPr="00AA537D">
        <w:rPr>
          <w:spacing w:val="0"/>
          <w:kern w:val="0"/>
          <w:rtl/>
        </w:rPr>
        <w:t xml:space="preserve">يناير 2011، </w:t>
      </w:r>
      <w:r w:rsidRPr="00AA537D">
        <w:rPr>
          <w:rFonts w:hint="cs"/>
          <w:spacing w:val="0"/>
          <w:kern w:val="0"/>
          <w:rtl/>
        </w:rPr>
        <w:t xml:space="preserve">قدم </w:t>
      </w:r>
      <w:r w:rsidRPr="00AA537D">
        <w:rPr>
          <w:spacing w:val="0"/>
          <w:kern w:val="0"/>
          <w:rtl/>
        </w:rPr>
        <w:t xml:space="preserve">المدعي العام </w:t>
      </w:r>
      <w:r w:rsidRPr="00AA537D">
        <w:rPr>
          <w:rFonts w:hint="cs"/>
          <w:spacing w:val="0"/>
          <w:kern w:val="0"/>
          <w:rtl/>
        </w:rPr>
        <w:t>في أوزبكستان</w:t>
      </w:r>
      <w:r w:rsidRPr="00AA537D">
        <w:rPr>
          <w:spacing w:val="0"/>
          <w:kern w:val="0"/>
          <w:rtl/>
        </w:rPr>
        <w:t xml:space="preserve"> ضمانات لكل واحد من أصحاب الشكوى</w:t>
      </w:r>
      <w:r w:rsidRPr="00AA537D">
        <w:rPr>
          <w:rFonts w:hint="cs"/>
          <w:spacing w:val="0"/>
          <w:kern w:val="0"/>
          <w:rtl/>
        </w:rPr>
        <w:t xml:space="preserve">. وتؤكد هذه الضمانات </w:t>
      </w:r>
      <w:r w:rsidRPr="00AA537D">
        <w:rPr>
          <w:spacing w:val="0"/>
          <w:kern w:val="0"/>
          <w:rtl/>
        </w:rPr>
        <w:t>أن أوزبكستان طرف</w:t>
      </w:r>
      <w:r w:rsidRPr="00AA537D">
        <w:rPr>
          <w:rFonts w:hint="cs"/>
          <w:spacing w:val="0"/>
          <w:kern w:val="0"/>
          <w:rtl/>
        </w:rPr>
        <w:t xml:space="preserve"> في</w:t>
      </w:r>
      <w:r w:rsidRPr="00AA537D">
        <w:rPr>
          <w:spacing w:val="0"/>
          <w:kern w:val="0"/>
          <w:rtl/>
        </w:rPr>
        <w:t xml:space="preserve"> العهد </w:t>
      </w:r>
      <w:r w:rsidRPr="00AA537D">
        <w:rPr>
          <w:rFonts w:hint="cs"/>
          <w:spacing w:val="0"/>
          <w:kern w:val="0"/>
          <w:rtl/>
        </w:rPr>
        <w:t xml:space="preserve">الدولي </w:t>
      </w:r>
      <w:r w:rsidRPr="00AA537D">
        <w:rPr>
          <w:spacing w:val="0"/>
          <w:kern w:val="0"/>
          <w:rtl/>
        </w:rPr>
        <w:t xml:space="preserve">الخاص بالحقوق </w:t>
      </w:r>
      <w:r w:rsidRPr="00AA537D">
        <w:rPr>
          <w:rFonts w:hint="cs"/>
          <w:spacing w:val="0"/>
          <w:kern w:val="0"/>
          <w:rtl/>
        </w:rPr>
        <w:t>المدنية و</w:t>
      </w:r>
      <w:r w:rsidRPr="00AA537D">
        <w:rPr>
          <w:spacing w:val="0"/>
          <w:kern w:val="0"/>
          <w:rtl/>
        </w:rPr>
        <w:t xml:space="preserve">السياسية واتفاقية </w:t>
      </w:r>
      <w:r w:rsidRPr="00AA537D">
        <w:rPr>
          <w:rFonts w:hint="cs"/>
          <w:spacing w:val="0"/>
          <w:kern w:val="0"/>
          <w:rtl/>
        </w:rPr>
        <w:t>مناهضة التعذيب، وأن العدالة تأخذ مجراها،</w:t>
      </w:r>
      <w:r w:rsidRPr="00AA537D">
        <w:rPr>
          <w:spacing w:val="0"/>
          <w:kern w:val="0"/>
          <w:rtl/>
        </w:rPr>
        <w:t xml:space="preserve"> </w:t>
      </w:r>
      <w:r w:rsidRPr="00AA537D">
        <w:rPr>
          <w:rFonts w:hint="cs"/>
          <w:spacing w:val="0"/>
          <w:kern w:val="0"/>
          <w:rtl/>
        </w:rPr>
        <w:t>وفقاً ل</w:t>
      </w:r>
      <w:r w:rsidRPr="00AA537D">
        <w:rPr>
          <w:spacing w:val="0"/>
          <w:kern w:val="0"/>
          <w:rtl/>
        </w:rPr>
        <w:t xml:space="preserve">لمادتين 16 و17 من القانون الجنائي، </w:t>
      </w:r>
      <w:r w:rsidRPr="00AA537D">
        <w:rPr>
          <w:rFonts w:hint="cs"/>
          <w:spacing w:val="0"/>
          <w:kern w:val="0"/>
          <w:rtl/>
        </w:rPr>
        <w:t xml:space="preserve">من خلال </w:t>
      </w:r>
      <w:r w:rsidRPr="00AA537D">
        <w:rPr>
          <w:spacing w:val="0"/>
          <w:kern w:val="0"/>
          <w:rtl/>
        </w:rPr>
        <w:t xml:space="preserve">مبدأ تكافؤ الفرص، دون تمييز، </w:t>
      </w:r>
      <w:r w:rsidRPr="00AA537D">
        <w:rPr>
          <w:rFonts w:hint="cs"/>
          <w:spacing w:val="0"/>
          <w:kern w:val="0"/>
          <w:rtl/>
        </w:rPr>
        <w:t xml:space="preserve">ودون </w:t>
      </w:r>
      <w:r w:rsidRPr="00AA537D">
        <w:rPr>
          <w:spacing w:val="0"/>
          <w:kern w:val="0"/>
          <w:rtl/>
        </w:rPr>
        <w:t xml:space="preserve">أن يتعرض </w:t>
      </w:r>
      <w:r w:rsidRPr="00AA537D">
        <w:rPr>
          <w:rFonts w:hint="cs"/>
          <w:spacing w:val="0"/>
          <w:kern w:val="0"/>
          <w:rtl/>
        </w:rPr>
        <w:t xml:space="preserve">أحد </w:t>
      </w:r>
      <w:r w:rsidRPr="00AA537D">
        <w:rPr>
          <w:spacing w:val="0"/>
          <w:kern w:val="0"/>
          <w:rtl/>
        </w:rPr>
        <w:t xml:space="preserve">للتعذيب </w:t>
      </w:r>
      <w:r w:rsidRPr="00AA537D">
        <w:rPr>
          <w:rFonts w:hint="cs"/>
          <w:spacing w:val="0"/>
          <w:kern w:val="0"/>
          <w:rtl/>
        </w:rPr>
        <w:t>أ</w:t>
      </w:r>
      <w:r w:rsidRPr="00AA537D">
        <w:rPr>
          <w:spacing w:val="0"/>
          <w:kern w:val="0"/>
          <w:rtl/>
        </w:rPr>
        <w:t>و</w:t>
      </w:r>
      <w:r w:rsidRPr="00AA537D">
        <w:rPr>
          <w:rFonts w:hint="cs"/>
          <w:spacing w:val="0"/>
          <w:kern w:val="0"/>
          <w:rtl/>
        </w:rPr>
        <w:t xml:space="preserve"> </w:t>
      </w:r>
      <w:r w:rsidRPr="00AA537D">
        <w:rPr>
          <w:spacing w:val="0"/>
          <w:kern w:val="0"/>
          <w:rtl/>
        </w:rPr>
        <w:t>لمعاملة لا</w:t>
      </w:r>
      <w:r w:rsidRPr="00AA537D">
        <w:rPr>
          <w:rFonts w:hint="cs"/>
          <w:spacing w:val="0"/>
          <w:kern w:val="0"/>
          <w:rtl/>
        </w:rPr>
        <w:t> </w:t>
      </w:r>
      <w:r w:rsidRPr="00AA537D">
        <w:rPr>
          <w:spacing w:val="0"/>
          <w:kern w:val="0"/>
          <w:rtl/>
        </w:rPr>
        <w:t>إنسانية أو</w:t>
      </w:r>
      <w:r w:rsidRPr="00AA537D">
        <w:rPr>
          <w:rFonts w:hint="cs"/>
          <w:spacing w:val="0"/>
          <w:kern w:val="0"/>
          <w:rtl/>
        </w:rPr>
        <w:t> </w:t>
      </w:r>
      <w:r w:rsidRPr="00AA537D">
        <w:rPr>
          <w:spacing w:val="0"/>
          <w:kern w:val="0"/>
          <w:rtl/>
        </w:rPr>
        <w:t xml:space="preserve">مهينة. </w:t>
      </w:r>
      <w:r w:rsidRPr="00AA537D">
        <w:rPr>
          <w:rFonts w:hint="cs"/>
          <w:spacing w:val="0"/>
          <w:kern w:val="0"/>
          <w:rtl/>
        </w:rPr>
        <w:t xml:space="preserve">وجميع الأعمال </w:t>
      </w:r>
      <w:r w:rsidRPr="00AA537D">
        <w:rPr>
          <w:spacing w:val="0"/>
          <w:kern w:val="0"/>
          <w:rtl/>
        </w:rPr>
        <w:t xml:space="preserve">أو </w:t>
      </w:r>
      <w:r w:rsidRPr="00AA537D">
        <w:rPr>
          <w:rFonts w:hint="cs"/>
          <w:spacing w:val="0"/>
          <w:kern w:val="0"/>
          <w:rtl/>
        </w:rPr>
        <w:t>القرارات التي تتعارض مع</w:t>
      </w:r>
      <w:r w:rsidRPr="00AA537D">
        <w:rPr>
          <w:spacing w:val="0"/>
          <w:kern w:val="0"/>
          <w:rtl/>
        </w:rPr>
        <w:t xml:space="preserve"> كرامة الإنسان</w:t>
      </w:r>
      <w:r w:rsidRPr="00AA537D">
        <w:rPr>
          <w:rFonts w:hint="cs"/>
          <w:spacing w:val="0"/>
          <w:kern w:val="0"/>
          <w:rtl/>
        </w:rPr>
        <w:t xml:space="preserve"> وت</w:t>
      </w:r>
      <w:r w:rsidRPr="00AA537D">
        <w:rPr>
          <w:spacing w:val="0"/>
          <w:kern w:val="0"/>
          <w:rtl/>
        </w:rPr>
        <w:t>سبب تهديداً للصحة أو</w:t>
      </w:r>
      <w:r w:rsidRPr="00AA537D">
        <w:rPr>
          <w:rFonts w:hint="cs"/>
          <w:spacing w:val="0"/>
          <w:kern w:val="0"/>
          <w:rtl/>
        </w:rPr>
        <w:t xml:space="preserve"> آلاماً </w:t>
      </w:r>
      <w:r w:rsidRPr="00AA537D">
        <w:rPr>
          <w:spacing w:val="0"/>
          <w:kern w:val="0"/>
          <w:rtl/>
        </w:rPr>
        <w:t>جسدي</w:t>
      </w:r>
      <w:r w:rsidRPr="00AA537D">
        <w:rPr>
          <w:rFonts w:hint="cs"/>
          <w:spacing w:val="0"/>
          <w:kern w:val="0"/>
          <w:rtl/>
        </w:rPr>
        <w:t>ة</w:t>
      </w:r>
      <w:r w:rsidRPr="00AA537D">
        <w:rPr>
          <w:spacing w:val="0"/>
          <w:kern w:val="0"/>
          <w:rtl/>
        </w:rPr>
        <w:t xml:space="preserve"> أو عقلي</w:t>
      </w:r>
      <w:r w:rsidRPr="00AA537D">
        <w:rPr>
          <w:rFonts w:hint="cs"/>
          <w:spacing w:val="0"/>
          <w:kern w:val="0"/>
          <w:rtl/>
        </w:rPr>
        <w:t>ة محظورة</w:t>
      </w:r>
      <w:r w:rsidRPr="00AA537D">
        <w:rPr>
          <w:spacing w:val="0"/>
          <w:kern w:val="0"/>
          <w:rtl/>
        </w:rPr>
        <w:t xml:space="preserve">. </w:t>
      </w:r>
      <w:r w:rsidRPr="00AA537D">
        <w:rPr>
          <w:rFonts w:hint="cs"/>
          <w:spacing w:val="0"/>
          <w:kern w:val="0"/>
          <w:rtl/>
        </w:rPr>
        <w:t>و</w:t>
      </w:r>
      <w:r w:rsidRPr="00AA537D">
        <w:rPr>
          <w:spacing w:val="0"/>
          <w:kern w:val="0"/>
          <w:rtl/>
        </w:rPr>
        <w:t>أذن</w:t>
      </w:r>
      <w:r w:rsidRPr="00AA537D">
        <w:rPr>
          <w:rFonts w:hint="cs"/>
          <w:spacing w:val="0"/>
          <w:kern w:val="0"/>
          <w:rtl/>
        </w:rPr>
        <w:t xml:space="preserve"> المدعي العام ل</w:t>
      </w:r>
      <w:r w:rsidRPr="00AA537D">
        <w:rPr>
          <w:spacing w:val="0"/>
          <w:kern w:val="0"/>
          <w:rtl/>
        </w:rPr>
        <w:t xml:space="preserve">سلطات كازاخستان </w:t>
      </w:r>
      <w:r w:rsidRPr="00AA537D">
        <w:rPr>
          <w:rFonts w:hint="cs"/>
          <w:spacing w:val="0"/>
          <w:kern w:val="0"/>
          <w:rtl/>
        </w:rPr>
        <w:t>ب</w:t>
      </w:r>
      <w:r w:rsidRPr="00AA537D">
        <w:rPr>
          <w:spacing w:val="0"/>
          <w:kern w:val="0"/>
          <w:rtl/>
        </w:rPr>
        <w:t xml:space="preserve">زيارة أصحاب الشكوى </w:t>
      </w:r>
      <w:r w:rsidRPr="00AA537D">
        <w:rPr>
          <w:rFonts w:hint="cs"/>
          <w:spacing w:val="0"/>
          <w:kern w:val="0"/>
          <w:rtl/>
        </w:rPr>
        <w:t>المحتجزين وا</w:t>
      </w:r>
      <w:r w:rsidRPr="00AA537D">
        <w:rPr>
          <w:spacing w:val="0"/>
          <w:kern w:val="0"/>
          <w:rtl/>
        </w:rPr>
        <w:t xml:space="preserve">لحصول على معلومات </w:t>
      </w:r>
      <w:r w:rsidRPr="00AA537D">
        <w:rPr>
          <w:rFonts w:hint="cs"/>
          <w:spacing w:val="0"/>
          <w:kern w:val="0"/>
          <w:rtl/>
        </w:rPr>
        <w:t xml:space="preserve">بشأن </w:t>
      </w:r>
      <w:r w:rsidRPr="00AA537D">
        <w:rPr>
          <w:spacing w:val="0"/>
          <w:kern w:val="0"/>
          <w:rtl/>
        </w:rPr>
        <w:t>الإجراءات الجنائية</w:t>
      </w:r>
      <w:r w:rsidRPr="00AA537D">
        <w:rPr>
          <w:rFonts w:hint="cs"/>
          <w:spacing w:val="0"/>
          <w:kern w:val="0"/>
          <w:rtl/>
        </w:rPr>
        <w:t xml:space="preserve"> الخاصة بهم</w:t>
      </w:r>
      <w:r w:rsidRPr="00AA537D">
        <w:rPr>
          <w:spacing w:val="0"/>
          <w:kern w:val="0"/>
          <w:rtl/>
        </w:rPr>
        <w:t xml:space="preserve">. </w:t>
      </w:r>
      <w:r w:rsidRPr="00AA537D">
        <w:rPr>
          <w:rFonts w:hint="cs"/>
          <w:spacing w:val="0"/>
          <w:kern w:val="0"/>
          <w:rtl/>
        </w:rPr>
        <w:t xml:space="preserve">وأكدت </w:t>
      </w:r>
      <w:r w:rsidRPr="00AA537D">
        <w:rPr>
          <w:spacing w:val="0"/>
          <w:kern w:val="0"/>
          <w:rtl/>
        </w:rPr>
        <w:t xml:space="preserve">السلطات الأوزبكية </w:t>
      </w:r>
      <w:r w:rsidRPr="00AA537D">
        <w:rPr>
          <w:rFonts w:hint="cs"/>
          <w:spacing w:val="0"/>
          <w:kern w:val="0"/>
          <w:rtl/>
        </w:rPr>
        <w:t xml:space="preserve">أيضاً </w:t>
      </w:r>
      <w:r w:rsidRPr="00AA537D">
        <w:rPr>
          <w:spacing w:val="0"/>
          <w:kern w:val="0"/>
          <w:rtl/>
        </w:rPr>
        <w:t xml:space="preserve">أن </w:t>
      </w:r>
      <w:r w:rsidRPr="00AA537D">
        <w:rPr>
          <w:rFonts w:hint="cs"/>
          <w:spacing w:val="0"/>
          <w:kern w:val="0"/>
          <w:rtl/>
        </w:rPr>
        <w:t xml:space="preserve">الإجراءات </w:t>
      </w:r>
      <w:r w:rsidRPr="00AA537D">
        <w:rPr>
          <w:spacing w:val="0"/>
          <w:kern w:val="0"/>
          <w:rtl/>
        </w:rPr>
        <w:t xml:space="preserve">الجنائية </w:t>
      </w:r>
      <w:r w:rsidRPr="00AA537D">
        <w:rPr>
          <w:rFonts w:hint="cs"/>
          <w:spacing w:val="0"/>
          <w:kern w:val="0"/>
          <w:rtl/>
        </w:rPr>
        <w:t xml:space="preserve">الخاصة بأصحاب الشكوى تتفق مع </w:t>
      </w:r>
      <w:r w:rsidRPr="00AA537D">
        <w:rPr>
          <w:spacing w:val="0"/>
          <w:kern w:val="0"/>
          <w:rtl/>
        </w:rPr>
        <w:t>أحكام قانون الإجراءات الجنائية الأوزبكي</w:t>
      </w:r>
      <w:r w:rsidRPr="00AA537D">
        <w:rPr>
          <w:rFonts w:hint="cs"/>
          <w:spacing w:val="0"/>
          <w:kern w:val="0"/>
          <w:rtl/>
        </w:rPr>
        <w:t xml:space="preserve"> </w:t>
      </w:r>
      <w:r w:rsidRPr="00AA537D">
        <w:rPr>
          <w:spacing w:val="0"/>
          <w:kern w:val="0"/>
          <w:rtl/>
        </w:rPr>
        <w:t>والتزامات</w:t>
      </w:r>
      <w:r w:rsidRPr="00AA537D">
        <w:rPr>
          <w:rFonts w:hint="cs"/>
          <w:spacing w:val="0"/>
          <w:kern w:val="0"/>
          <w:rtl/>
        </w:rPr>
        <w:t xml:space="preserve"> أوزبكستان </w:t>
      </w:r>
      <w:r w:rsidRPr="00AA537D">
        <w:rPr>
          <w:spacing w:val="0"/>
          <w:kern w:val="0"/>
          <w:rtl/>
        </w:rPr>
        <w:t>الدولية.</w:t>
      </w:r>
    </w:p>
    <w:p w:rsidR="00FA6676" w:rsidRPr="00AA537D" w:rsidRDefault="00FA6676" w:rsidP="00AA537D">
      <w:pPr>
        <w:pStyle w:val="SingleTxtGA"/>
        <w:jc w:val="lowKashida"/>
        <w:rPr>
          <w:rFonts w:hint="cs"/>
          <w:spacing w:val="0"/>
          <w:kern w:val="0"/>
          <w:rtl/>
        </w:rPr>
      </w:pPr>
      <w:r w:rsidRPr="00AA537D">
        <w:rPr>
          <w:rFonts w:hint="cs"/>
          <w:spacing w:val="0"/>
          <w:kern w:val="0"/>
          <w:rtl/>
        </w:rPr>
        <w:t>11-2</w:t>
      </w:r>
      <w:r w:rsidRPr="00AA537D">
        <w:rPr>
          <w:rFonts w:hint="cs"/>
          <w:spacing w:val="0"/>
          <w:kern w:val="0"/>
          <w:rtl/>
        </w:rPr>
        <w:tab/>
        <w:t xml:space="preserve">وفي 5 أيار/مايو 2012، أبلغ </w:t>
      </w:r>
      <w:r w:rsidRPr="00AA537D">
        <w:rPr>
          <w:spacing w:val="0"/>
          <w:kern w:val="0"/>
          <w:rtl/>
        </w:rPr>
        <w:t xml:space="preserve">المدعي العام في أوزبكستان الدولة الطرف </w:t>
      </w:r>
      <w:r w:rsidRPr="00AA537D">
        <w:rPr>
          <w:rFonts w:hint="cs"/>
          <w:spacing w:val="0"/>
          <w:kern w:val="0"/>
          <w:rtl/>
        </w:rPr>
        <w:t>ب</w:t>
      </w:r>
      <w:r w:rsidRPr="00AA537D">
        <w:rPr>
          <w:spacing w:val="0"/>
          <w:kern w:val="0"/>
          <w:rtl/>
        </w:rPr>
        <w:t>أن</w:t>
      </w:r>
      <w:r w:rsidRPr="00AA537D">
        <w:rPr>
          <w:rFonts w:hint="cs"/>
          <w:spacing w:val="0"/>
          <w:kern w:val="0"/>
          <w:rtl/>
        </w:rPr>
        <w:t>ه صدرت أحكام ضد 25 من الأفراد اﻟ 29 الذين تم تسليمهم</w:t>
      </w:r>
      <w:r w:rsidRPr="00AA537D">
        <w:rPr>
          <w:spacing w:val="0"/>
          <w:kern w:val="0"/>
          <w:rtl/>
        </w:rPr>
        <w:t xml:space="preserve">. </w:t>
      </w:r>
      <w:r w:rsidRPr="00AA537D">
        <w:rPr>
          <w:rFonts w:hint="cs"/>
          <w:spacing w:val="0"/>
          <w:kern w:val="0"/>
          <w:rtl/>
        </w:rPr>
        <w:t xml:space="preserve">وحكم على </w:t>
      </w:r>
      <w:r w:rsidRPr="00AA537D">
        <w:rPr>
          <w:spacing w:val="0"/>
          <w:kern w:val="0"/>
          <w:rtl/>
        </w:rPr>
        <w:t>السيد ر</w:t>
      </w:r>
      <w:r w:rsidRPr="00AA537D">
        <w:rPr>
          <w:rFonts w:hint="cs"/>
          <w:spacing w:val="0"/>
          <w:kern w:val="0"/>
          <w:rtl/>
        </w:rPr>
        <w:t>ح</w:t>
      </w:r>
      <w:r w:rsidRPr="00AA537D">
        <w:rPr>
          <w:spacing w:val="0"/>
          <w:kern w:val="0"/>
          <w:rtl/>
        </w:rPr>
        <w:t>ماتوف والسيد يولدو</w:t>
      </w:r>
      <w:r w:rsidRPr="00AA537D">
        <w:rPr>
          <w:rFonts w:hint="cs"/>
          <w:spacing w:val="0"/>
          <w:kern w:val="0"/>
          <w:rtl/>
        </w:rPr>
        <w:t>ت</w:t>
      </w:r>
      <w:r w:rsidRPr="00AA537D">
        <w:rPr>
          <w:spacing w:val="0"/>
          <w:kern w:val="0"/>
          <w:rtl/>
        </w:rPr>
        <w:t xml:space="preserve">شيف والسيد بولاتوف </w:t>
      </w:r>
      <w:r w:rsidRPr="00AA537D">
        <w:rPr>
          <w:rFonts w:hint="cs"/>
          <w:spacing w:val="0"/>
          <w:kern w:val="0"/>
          <w:rtl/>
        </w:rPr>
        <w:t>بالعمل الإصلاحي غير الاحتجازي لمدة ثلاث سنوات</w:t>
      </w:r>
      <w:r w:rsidRPr="00AA537D">
        <w:rPr>
          <w:spacing w:val="0"/>
          <w:kern w:val="0"/>
          <w:vertAlign w:val="superscript"/>
          <w:rtl/>
        </w:rPr>
        <w:t>(</w:t>
      </w:r>
      <w:r w:rsidRPr="00AA537D">
        <w:rPr>
          <w:rStyle w:val="FootnoteReference"/>
          <w:spacing w:val="0"/>
          <w:rtl/>
        </w:rPr>
        <w:footnoteReference w:id="428"/>
      </w:r>
      <w:r w:rsidRPr="00AA537D">
        <w:rPr>
          <w:spacing w:val="0"/>
          <w:kern w:val="0"/>
          <w:vertAlign w:val="superscript"/>
          <w:rtl/>
        </w:rPr>
        <w:t>)</w:t>
      </w:r>
      <w:r w:rsidRPr="00AA537D">
        <w:rPr>
          <w:rFonts w:hint="cs"/>
          <w:spacing w:val="0"/>
          <w:kern w:val="0"/>
          <w:rtl/>
        </w:rPr>
        <w:t>. وقدمت</w:t>
      </w:r>
      <w:r w:rsidRPr="00AA537D">
        <w:rPr>
          <w:spacing w:val="0"/>
          <w:kern w:val="0"/>
          <w:rtl/>
        </w:rPr>
        <w:t xml:space="preserve"> السلطات الأوزبكية </w:t>
      </w:r>
      <w:r w:rsidRPr="00AA537D">
        <w:rPr>
          <w:rFonts w:hint="cs"/>
          <w:spacing w:val="0"/>
          <w:kern w:val="0"/>
          <w:rtl/>
        </w:rPr>
        <w:t>ال</w:t>
      </w:r>
      <w:r w:rsidRPr="00AA537D">
        <w:rPr>
          <w:spacing w:val="0"/>
          <w:kern w:val="0"/>
          <w:rtl/>
        </w:rPr>
        <w:t xml:space="preserve">مساعدة القانونية لجميع </w:t>
      </w:r>
      <w:r w:rsidRPr="00AA537D">
        <w:rPr>
          <w:rFonts w:hint="cs"/>
          <w:spacing w:val="0"/>
          <w:kern w:val="0"/>
          <w:rtl/>
        </w:rPr>
        <w:t xml:space="preserve">أصحاب الشكوى، وقام بعضهم بتوكيل </w:t>
      </w:r>
      <w:r w:rsidRPr="00AA537D">
        <w:rPr>
          <w:spacing w:val="0"/>
          <w:kern w:val="0"/>
          <w:rtl/>
        </w:rPr>
        <w:t xml:space="preserve">محام. </w:t>
      </w:r>
      <w:r w:rsidRPr="00AA537D">
        <w:rPr>
          <w:rFonts w:hint="cs"/>
          <w:spacing w:val="0"/>
          <w:kern w:val="0"/>
          <w:rtl/>
        </w:rPr>
        <w:t xml:space="preserve">ورفض أحد أصحاب الشكوى </w:t>
      </w:r>
      <w:r w:rsidRPr="00AA537D">
        <w:rPr>
          <w:spacing w:val="0"/>
          <w:kern w:val="0"/>
          <w:rtl/>
        </w:rPr>
        <w:t>المساعدة القانونية</w:t>
      </w:r>
      <w:r w:rsidRPr="00AA537D">
        <w:rPr>
          <w:rFonts w:hint="cs"/>
          <w:spacing w:val="0"/>
          <w:kern w:val="0"/>
          <w:rtl/>
        </w:rPr>
        <w:t xml:space="preserve"> و</w:t>
      </w:r>
      <w:r w:rsidRPr="00AA537D">
        <w:rPr>
          <w:spacing w:val="0"/>
          <w:kern w:val="0"/>
          <w:rtl/>
        </w:rPr>
        <w:t>دافع عن نفسه</w:t>
      </w:r>
      <w:r w:rsidRPr="00AA537D">
        <w:rPr>
          <w:rFonts w:hint="cs"/>
          <w:spacing w:val="0"/>
          <w:kern w:val="0"/>
          <w:rtl/>
        </w:rPr>
        <w:t xml:space="preserve"> بنفسه</w:t>
      </w:r>
      <w:r w:rsidRPr="00AA537D">
        <w:rPr>
          <w:spacing w:val="0"/>
          <w:kern w:val="0"/>
          <w:vertAlign w:val="superscript"/>
          <w:rtl/>
        </w:rPr>
        <w:t>(</w:t>
      </w:r>
      <w:r w:rsidRPr="00AA537D">
        <w:rPr>
          <w:rStyle w:val="FootnoteReference"/>
          <w:spacing w:val="0"/>
          <w:rtl/>
        </w:rPr>
        <w:footnoteReference w:id="429"/>
      </w:r>
      <w:r w:rsidRPr="00AA537D">
        <w:rPr>
          <w:spacing w:val="0"/>
          <w:kern w:val="0"/>
          <w:vertAlign w:val="superscript"/>
          <w:rtl/>
        </w:rPr>
        <w:t>)</w:t>
      </w:r>
      <w:r w:rsidRPr="00AA537D">
        <w:rPr>
          <w:spacing w:val="0"/>
          <w:kern w:val="0"/>
          <w:rtl/>
        </w:rPr>
        <w:t>.</w:t>
      </w:r>
      <w:r w:rsidRPr="00AA537D">
        <w:rPr>
          <w:rFonts w:hint="cs"/>
          <w:spacing w:val="0"/>
          <w:kern w:val="0"/>
          <w:rtl/>
        </w:rPr>
        <w:t xml:space="preserve"> </w:t>
      </w:r>
      <w:r w:rsidRPr="00AA537D">
        <w:rPr>
          <w:spacing w:val="0"/>
          <w:kern w:val="0"/>
          <w:rtl/>
        </w:rPr>
        <w:t>و</w:t>
      </w:r>
      <w:r w:rsidRPr="00AA537D">
        <w:rPr>
          <w:rFonts w:hint="cs"/>
          <w:spacing w:val="0"/>
          <w:kern w:val="0"/>
          <w:rtl/>
        </w:rPr>
        <w:t xml:space="preserve">لم تقدم </w:t>
      </w:r>
      <w:r w:rsidRPr="00AA537D">
        <w:rPr>
          <w:spacing w:val="0"/>
          <w:kern w:val="0"/>
          <w:rtl/>
        </w:rPr>
        <w:t xml:space="preserve">شكاوى </w:t>
      </w:r>
      <w:r w:rsidRPr="00AA537D">
        <w:rPr>
          <w:rFonts w:hint="cs"/>
          <w:spacing w:val="0"/>
          <w:kern w:val="0"/>
          <w:rtl/>
        </w:rPr>
        <w:t>بشأن</w:t>
      </w:r>
      <w:r w:rsidRPr="00AA537D">
        <w:rPr>
          <w:spacing w:val="0"/>
          <w:kern w:val="0"/>
          <w:rtl/>
        </w:rPr>
        <w:t xml:space="preserve"> التعذيب أو سوء المعاملة. وكانت الإجراءات الجنائية </w:t>
      </w:r>
      <w:r w:rsidRPr="00AA537D">
        <w:rPr>
          <w:rFonts w:hint="cs"/>
          <w:spacing w:val="0"/>
          <w:kern w:val="0"/>
          <w:rtl/>
        </w:rPr>
        <w:t>علنية</w:t>
      </w:r>
      <w:r w:rsidRPr="00AA537D">
        <w:rPr>
          <w:spacing w:val="0"/>
          <w:kern w:val="0"/>
          <w:rtl/>
        </w:rPr>
        <w:t>. و</w:t>
      </w:r>
      <w:r w:rsidRPr="00AA537D">
        <w:rPr>
          <w:rFonts w:hint="cs"/>
          <w:spacing w:val="0"/>
          <w:kern w:val="0"/>
          <w:rtl/>
        </w:rPr>
        <w:t>تفيد السلطات الأوزبكية أيضاً ب</w:t>
      </w:r>
      <w:r w:rsidRPr="00AA537D">
        <w:rPr>
          <w:spacing w:val="0"/>
          <w:kern w:val="0"/>
          <w:rtl/>
        </w:rPr>
        <w:t>أن</w:t>
      </w:r>
      <w:r w:rsidRPr="00AA537D">
        <w:rPr>
          <w:rFonts w:hint="cs"/>
          <w:spacing w:val="0"/>
          <w:kern w:val="0"/>
          <w:rtl/>
        </w:rPr>
        <w:t>ها تبحث حالياً إمكانية قيام سلطات كازاخستان</w:t>
      </w:r>
      <w:r w:rsidRPr="00AA537D">
        <w:rPr>
          <w:spacing w:val="0"/>
          <w:kern w:val="0"/>
          <w:rtl/>
        </w:rPr>
        <w:t xml:space="preserve"> بزيارة أصحاب الشكوى </w:t>
      </w:r>
      <w:r w:rsidRPr="00AA537D">
        <w:rPr>
          <w:rFonts w:hint="cs"/>
          <w:spacing w:val="0"/>
          <w:kern w:val="0"/>
          <w:rtl/>
        </w:rPr>
        <w:t>المحتجزين</w:t>
      </w:r>
      <w:r w:rsidRPr="00AA537D">
        <w:rPr>
          <w:spacing w:val="0"/>
          <w:kern w:val="0"/>
          <w:rtl/>
        </w:rPr>
        <w:t xml:space="preserve">. </w:t>
      </w:r>
      <w:r w:rsidRPr="00AA537D">
        <w:rPr>
          <w:rFonts w:hint="cs"/>
          <w:spacing w:val="0"/>
          <w:kern w:val="0"/>
          <w:rtl/>
        </w:rPr>
        <w:t xml:space="preserve">وتفيد </w:t>
      </w:r>
      <w:r w:rsidRPr="00AA537D">
        <w:rPr>
          <w:spacing w:val="0"/>
          <w:kern w:val="0"/>
          <w:rtl/>
        </w:rPr>
        <w:t xml:space="preserve">السلطات الأوزبكية </w:t>
      </w:r>
      <w:r w:rsidRPr="00AA537D">
        <w:rPr>
          <w:rFonts w:hint="cs"/>
          <w:spacing w:val="0"/>
          <w:kern w:val="0"/>
          <w:rtl/>
        </w:rPr>
        <w:t>أيضاً</w:t>
      </w:r>
      <w:r w:rsidRPr="00AA537D">
        <w:rPr>
          <w:spacing w:val="0"/>
          <w:kern w:val="0"/>
          <w:rtl/>
        </w:rPr>
        <w:t xml:space="preserve"> </w:t>
      </w:r>
      <w:r w:rsidRPr="00AA537D">
        <w:rPr>
          <w:rFonts w:hint="cs"/>
          <w:spacing w:val="0"/>
          <w:kern w:val="0"/>
          <w:rtl/>
        </w:rPr>
        <w:t>ب</w:t>
      </w:r>
      <w:r w:rsidRPr="00AA537D">
        <w:rPr>
          <w:spacing w:val="0"/>
          <w:kern w:val="0"/>
          <w:rtl/>
        </w:rPr>
        <w:t>أنها أ</w:t>
      </w:r>
      <w:r w:rsidRPr="00AA537D">
        <w:rPr>
          <w:rFonts w:hint="cs"/>
          <w:spacing w:val="0"/>
          <w:kern w:val="0"/>
          <w:rtl/>
        </w:rPr>
        <w:t>نشأت آ</w:t>
      </w:r>
      <w:r w:rsidRPr="00AA537D">
        <w:rPr>
          <w:spacing w:val="0"/>
          <w:kern w:val="0"/>
          <w:rtl/>
        </w:rPr>
        <w:t>لي</w:t>
      </w:r>
      <w:r w:rsidRPr="00AA537D">
        <w:rPr>
          <w:rFonts w:hint="cs"/>
          <w:spacing w:val="0"/>
          <w:kern w:val="0"/>
          <w:rtl/>
        </w:rPr>
        <w:t>ة</w:t>
      </w:r>
      <w:r w:rsidRPr="00AA537D">
        <w:rPr>
          <w:spacing w:val="0"/>
          <w:kern w:val="0"/>
          <w:rtl/>
        </w:rPr>
        <w:t xml:space="preserve"> </w:t>
      </w:r>
      <w:r w:rsidRPr="00AA537D">
        <w:rPr>
          <w:rFonts w:hint="cs"/>
          <w:spacing w:val="0"/>
          <w:kern w:val="0"/>
          <w:rtl/>
        </w:rPr>
        <w:t>ل</w:t>
      </w:r>
      <w:r w:rsidRPr="00AA537D">
        <w:rPr>
          <w:spacing w:val="0"/>
          <w:kern w:val="0"/>
          <w:rtl/>
        </w:rPr>
        <w:t>تنفيذ توصيات هيئات معاهدات الأمم المتحدة.</w:t>
      </w:r>
    </w:p>
    <w:p w:rsidR="00FA6676" w:rsidRPr="00AA537D" w:rsidRDefault="00FA6676" w:rsidP="00AB7E73">
      <w:pPr>
        <w:pStyle w:val="H23GA"/>
        <w:keepNext/>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التعليقات الإضافية المقدمة من المحامية</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12-1</w:t>
      </w:r>
      <w:r w:rsidRPr="00AA537D">
        <w:rPr>
          <w:rFonts w:hint="cs"/>
          <w:spacing w:val="0"/>
          <w:kern w:val="0"/>
          <w:rtl/>
        </w:rPr>
        <w:tab/>
      </w:r>
      <w:r w:rsidRPr="00AA537D">
        <w:rPr>
          <w:rFonts w:hint="cs"/>
          <w:spacing w:val="0"/>
          <w:kern w:val="0"/>
          <w:rtl/>
          <w:lang w:val="fr-CH"/>
        </w:rPr>
        <w:t xml:space="preserve">في 16 أيار/مايو 2012، </w:t>
      </w:r>
      <w:r w:rsidRPr="00AA537D">
        <w:rPr>
          <w:spacing w:val="0"/>
          <w:kern w:val="0"/>
          <w:rtl/>
          <w:lang w:val="fr-CH"/>
        </w:rPr>
        <w:t>قدمت المحامية تعليقات</w:t>
      </w:r>
      <w:r w:rsidRPr="00AA537D">
        <w:rPr>
          <w:rFonts w:hint="cs"/>
          <w:spacing w:val="0"/>
          <w:kern w:val="0"/>
          <w:rtl/>
          <w:lang w:val="fr-CH"/>
        </w:rPr>
        <w:t xml:space="preserve"> إضافية</w:t>
      </w:r>
      <w:r w:rsidRPr="00AA537D">
        <w:rPr>
          <w:spacing w:val="0"/>
          <w:kern w:val="0"/>
          <w:rtl/>
          <w:lang w:val="fr-CH"/>
        </w:rPr>
        <w:t xml:space="preserve">، </w:t>
      </w:r>
      <w:r w:rsidRPr="00AA537D">
        <w:rPr>
          <w:rFonts w:hint="cs"/>
          <w:spacing w:val="0"/>
          <w:kern w:val="0"/>
          <w:rtl/>
          <w:lang w:val="fr-CH"/>
        </w:rPr>
        <w:t xml:space="preserve">وأشارت إلى </w:t>
      </w:r>
      <w:r w:rsidRPr="00AA537D">
        <w:rPr>
          <w:spacing w:val="0"/>
          <w:kern w:val="0"/>
          <w:rtl/>
          <w:lang w:val="fr-CH"/>
        </w:rPr>
        <w:t>أن البلاغ قدم في كانون الأول/ديسمبر 2010، وأن جميع الوثائق التي قدمتها الدولة الطرف في 11</w:t>
      </w:r>
      <w:r w:rsidRPr="00AA537D">
        <w:rPr>
          <w:rFonts w:hint="cs"/>
          <w:spacing w:val="0"/>
          <w:kern w:val="0"/>
          <w:rtl/>
          <w:lang w:val="fr-CH"/>
        </w:rPr>
        <w:t xml:space="preserve"> أيار/</w:t>
      </w:r>
      <w:r w:rsidRPr="00AA537D">
        <w:rPr>
          <w:spacing w:val="0"/>
          <w:kern w:val="0"/>
          <w:rtl/>
          <w:lang w:val="fr-CH"/>
        </w:rPr>
        <w:t xml:space="preserve">مايو 2012 </w:t>
      </w:r>
      <w:r w:rsidRPr="00AA537D">
        <w:rPr>
          <w:rFonts w:hint="cs"/>
          <w:spacing w:val="0"/>
          <w:kern w:val="0"/>
          <w:rtl/>
          <w:lang w:val="fr-CH"/>
        </w:rPr>
        <w:t xml:space="preserve">كانت في حوزتها </w:t>
      </w:r>
      <w:r w:rsidRPr="00AA537D">
        <w:rPr>
          <w:spacing w:val="0"/>
          <w:kern w:val="0"/>
          <w:rtl/>
          <w:lang w:val="fr-CH"/>
        </w:rPr>
        <w:t xml:space="preserve">في ذلك الوقت، </w:t>
      </w:r>
      <w:r w:rsidRPr="00AA537D">
        <w:rPr>
          <w:rFonts w:hint="cs"/>
          <w:spacing w:val="0"/>
          <w:kern w:val="0"/>
          <w:rtl/>
          <w:lang w:val="fr-CH"/>
        </w:rPr>
        <w:t>و</w:t>
      </w:r>
      <w:r w:rsidRPr="00AA537D">
        <w:rPr>
          <w:spacing w:val="0"/>
          <w:kern w:val="0"/>
          <w:rtl/>
          <w:lang w:val="fr-CH"/>
        </w:rPr>
        <w:t xml:space="preserve">لم توضح </w:t>
      </w:r>
      <w:r w:rsidRPr="00AA537D">
        <w:rPr>
          <w:rFonts w:hint="cs"/>
          <w:spacing w:val="0"/>
          <w:kern w:val="0"/>
          <w:rtl/>
          <w:lang w:val="fr-CH"/>
        </w:rPr>
        <w:t xml:space="preserve">لماذا </w:t>
      </w:r>
      <w:r w:rsidRPr="00AA537D">
        <w:rPr>
          <w:spacing w:val="0"/>
          <w:kern w:val="0"/>
          <w:rtl/>
          <w:lang w:val="fr-CH"/>
        </w:rPr>
        <w:t xml:space="preserve">قدمت </w:t>
      </w:r>
      <w:r w:rsidRPr="00AA537D">
        <w:rPr>
          <w:rFonts w:hint="cs"/>
          <w:spacing w:val="0"/>
          <w:kern w:val="0"/>
          <w:rtl/>
          <w:lang w:val="fr-CH"/>
        </w:rPr>
        <w:t xml:space="preserve">الوثائق </w:t>
      </w:r>
      <w:r w:rsidRPr="00AA537D">
        <w:rPr>
          <w:spacing w:val="0"/>
          <w:kern w:val="0"/>
          <w:rtl/>
          <w:lang w:val="fr-CH"/>
        </w:rPr>
        <w:t xml:space="preserve">في هذه المرحلة المتأخرة </w:t>
      </w:r>
      <w:r w:rsidRPr="00AA537D">
        <w:rPr>
          <w:rFonts w:hint="cs"/>
          <w:spacing w:val="0"/>
          <w:kern w:val="0"/>
          <w:rtl/>
          <w:lang w:val="fr-CH"/>
        </w:rPr>
        <w:t xml:space="preserve">فقط </w:t>
      </w:r>
      <w:r w:rsidRPr="00AA537D">
        <w:rPr>
          <w:spacing w:val="0"/>
          <w:kern w:val="0"/>
          <w:rtl/>
          <w:lang w:val="fr-CH"/>
        </w:rPr>
        <w:t>من الإجراءات.</w:t>
      </w:r>
    </w:p>
    <w:p w:rsidR="00FA6676" w:rsidRPr="00B0061F" w:rsidRDefault="00FA6676" w:rsidP="00AA537D">
      <w:pPr>
        <w:pStyle w:val="SingleTxtGA"/>
        <w:jc w:val="lowKashida"/>
        <w:rPr>
          <w:rFonts w:hint="cs"/>
          <w:spacing w:val="-2"/>
          <w:kern w:val="0"/>
          <w:rtl/>
          <w:lang w:val="fr-CH"/>
        </w:rPr>
      </w:pPr>
      <w:r w:rsidRPr="00B0061F">
        <w:rPr>
          <w:rFonts w:hint="cs"/>
          <w:spacing w:val="-2"/>
          <w:kern w:val="0"/>
          <w:rtl/>
          <w:lang w:val="fr-CH"/>
        </w:rPr>
        <w:t>12-2</w:t>
      </w:r>
      <w:r w:rsidRPr="00B0061F">
        <w:rPr>
          <w:rFonts w:hint="cs"/>
          <w:spacing w:val="-2"/>
          <w:kern w:val="0"/>
          <w:rtl/>
          <w:lang w:val="fr-CH"/>
        </w:rPr>
        <w:tab/>
        <w:t xml:space="preserve">وفيما يتعلق بأحكام المحاكم، تلاحظ المحامية أنها تدل </w:t>
      </w:r>
      <w:r w:rsidRPr="00B0061F">
        <w:rPr>
          <w:spacing w:val="-2"/>
          <w:kern w:val="0"/>
          <w:rtl/>
          <w:lang w:val="fr-CH"/>
        </w:rPr>
        <w:t xml:space="preserve">على أن </w:t>
      </w:r>
      <w:r w:rsidRPr="00B0061F">
        <w:rPr>
          <w:rFonts w:hint="cs"/>
          <w:spacing w:val="-2"/>
          <w:kern w:val="0"/>
          <w:rtl/>
          <w:lang w:val="fr-CH"/>
        </w:rPr>
        <w:t xml:space="preserve">أصحاب الشكوى أثاروا </w:t>
      </w:r>
      <w:r w:rsidRPr="00B0061F">
        <w:rPr>
          <w:spacing w:val="-2"/>
          <w:kern w:val="0"/>
          <w:rtl/>
          <w:lang w:val="fr-CH"/>
        </w:rPr>
        <w:t xml:space="preserve">مسألة عدم </w:t>
      </w:r>
      <w:r w:rsidRPr="00B0061F">
        <w:rPr>
          <w:rFonts w:hint="cs"/>
          <w:spacing w:val="-2"/>
          <w:kern w:val="0"/>
          <w:rtl/>
          <w:lang w:val="fr-CH"/>
        </w:rPr>
        <w:t xml:space="preserve">الرد واحتمال سوء </w:t>
      </w:r>
      <w:r w:rsidRPr="00B0061F">
        <w:rPr>
          <w:spacing w:val="-2"/>
          <w:kern w:val="0"/>
          <w:rtl/>
          <w:lang w:val="fr-CH"/>
        </w:rPr>
        <w:t>معامل</w:t>
      </w:r>
      <w:r w:rsidRPr="00B0061F">
        <w:rPr>
          <w:rFonts w:hint="cs"/>
          <w:spacing w:val="-2"/>
          <w:kern w:val="0"/>
          <w:rtl/>
          <w:lang w:val="fr-CH"/>
        </w:rPr>
        <w:t>تهم ع</w:t>
      </w:r>
      <w:r w:rsidRPr="00B0061F">
        <w:rPr>
          <w:spacing w:val="-2"/>
          <w:kern w:val="0"/>
          <w:rtl/>
          <w:lang w:val="fr-CH"/>
        </w:rPr>
        <w:t>ند عودتهم إلى أوزبكستان</w:t>
      </w:r>
      <w:r w:rsidRPr="00B0061F">
        <w:rPr>
          <w:rFonts w:hint="cs"/>
          <w:spacing w:val="-2"/>
          <w:kern w:val="0"/>
          <w:rtl/>
          <w:lang w:val="fr-CH"/>
        </w:rPr>
        <w:t xml:space="preserve">، بيد أن حججهم </w:t>
      </w:r>
      <w:r w:rsidRPr="00B0061F">
        <w:rPr>
          <w:spacing w:val="-2"/>
          <w:kern w:val="0"/>
          <w:rtl/>
          <w:lang w:val="fr-CH"/>
        </w:rPr>
        <w:t xml:space="preserve">رفضت </w:t>
      </w:r>
      <w:r w:rsidRPr="00B0061F">
        <w:rPr>
          <w:rFonts w:hint="cs"/>
          <w:spacing w:val="-2"/>
          <w:kern w:val="0"/>
          <w:rtl/>
          <w:lang w:val="fr-CH"/>
        </w:rPr>
        <w:t xml:space="preserve">على الفور وبدون </w:t>
      </w:r>
      <w:r w:rsidRPr="00B0061F">
        <w:rPr>
          <w:spacing w:val="-2"/>
          <w:kern w:val="0"/>
          <w:rtl/>
          <w:lang w:val="fr-CH"/>
        </w:rPr>
        <w:t xml:space="preserve">فحص. </w:t>
      </w:r>
      <w:r w:rsidRPr="00B0061F">
        <w:rPr>
          <w:rFonts w:hint="cs"/>
          <w:spacing w:val="-2"/>
          <w:kern w:val="0"/>
          <w:rtl/>
          <w:lang w:val="fr-CH"/>
        </w:rPr>
        <w:t>وت</w:t>
      </w:r>
      <w:r w:rsidRPr="00B0061F">
        <w:rPr>
          <w:spacing w:val="-2"/>
          <w:kern w:val="0"/>
          <w:rtl/>
          <w:lang w:val="fr-CH"/>
        </w:rPr>
        <w:t xml:space="preserve">لاحظ </w:t>
      </w:r>
      <w:r w:rsidRPr="00B0061F">
        <w:rPr>
          <w:rFonts w:hint="cs"/>
          <w:spacing w:val="-2"/>
          <w:kern w:val="0"/>
          <w:rtl/>
          <w:lang w:val="fr-CH"/>
        </w:rPr>
        <w:t xml:space="preserve">المحامية أيضاً </w:t>
      </w:r>
      <w:r w:rsidRPr="00B0061F">
        <w:rPr>
          <w:spacing w:val="-2"/>
          <w:kern w:val="0"/>
          <w:rtl/>
          <w:lang w:val="fr-CH"/>
        </w:rPr>
        <w:t>أن المحكمة ل</w:t>
      </w:r>
      <w:r w:rsidRPr="00B0061F">
        <w:rPr>
          <w:rFonts w:hint="cs"/>
          <w:spacing w:val="-2"/>
          <w:kern w:val="0"/>
          <w:rtl/>
          <w:lang w:val="fr-CH"/>
        </w:rPr>
        <w:t xml:space="preserve">م ترفض الأدلة المقدمة من </w:t>
      </w:r>
      <w:r w:rsidRPr="00B0061F">
        <w:rPr>
          <w:spacing w:val="-2"/>
          <w:kern w:val="0"/>
          <w:rtl/>
          <w:lang w:val="fr-CH"/>
        </w:rPr>
        <w:t xml:space="preserve">أصحاب الشكوى </w:t>
      </w:r>
      <w:r w:rsidRPr="00B0061F">
        <w:rPr>
          <w:rFonts w:hint="cs"/>
          <w:spacing w:val="-2"/>
          <w:kern w:val="0"/>
          <w:rtl/>
          <w:lang w:val="fr-CH"/>
        </w:rPr>
        <w:t xml:space="preserve">بشأن عدم توفير محاكمة عادلة لهم </w:t>
      </w:r>
      <w:r w:rsidRPr="00B0061F">
        <w:rPr>
          <w:spacing w:val="-2"/>
          <w:kern w:val="0"/>
          <w:rtl/>
          <w:lang w:val="fr-CH"/>
        </w:rPr>
        <w:t>ولم تعالج الدولة الطرف هذه الادعاءات.</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12-3</w:t>
      </w:r>
      <w:r w:rsidRPr="00AA537D">
        <w:rPr>
          <w:rFonts w:hint="cs"/>
          <w:spacing w:val="0"/>
          <w:kern w:val="0"/>
          <w:rtl/>
          <w:lang w:val="fr-CH"/>
        </w:rPr>
        <w:tab/>
        <w:t xml:space="preserve">وتفيد المحامية أيضاً بأن الضمانات </w:t>
      </w:r>
      <w:r w:rsidRPr="00AA537D">
        <w:rPr>
          <w:spacing w:val="0"/>
          <w:kern w:val="0"/>
          <w:rtl/>
          <w:lang w:val="fr-CH"/>
        </w:rPr>
        <w:t xml:space="preserve">الدبلوماسية قدمت </w:t>
      </w:r>
      <w:r w:rsidRPr="00AA537D">
        <w:rPr>
          <w:rFonts w:hint="cs"/>
          <w:spacing w:val="0"/>
          <w:kern w:val="0"/>
          <w:rtl/>
          <w:lang w:val="fr-CH"/>
        </w:rPr>
        <w:t xml:space="preserve">في وقت </w:t>
      </w:r>
      <w:r w:rsidRPr="00AA537D">
        <w:rPr>
          <w:spacing w:val="0"/>
          <w:kern w:val="0"/>
          <w:rtl/>
          <w:lang w:val="fr-CH"/>
        </w:rPr>
        <w:t>متأخر، وأن</w:t>
      </w:r>
      <w:r w:rsidRPr="00AA537D">
        <w:rPr>
          <w:rFonts w:hint="cs"/>
          <w:spacing w:val="0"/>
          <w:kern w:val="0"/>
          <w:rtl/>
          <w:lang w:val="fr-CH"/>
        </w:rPr>
        <w:t>ها</w:t>
      </w:r>
      <w:r w:rsidRPr="00AA537D">
        <w:rPr>
          <w:spacing w:val="0"/>
          <w:kern w:val="0"/>
          <w:rtl/>
          <w:lang w:val="fr-CH"/>
        </w:rPr>
        <w:t xml:space="preserve"> غامضة وغير محددة ولا ت</w:t>
      </w:r>
      <w:r w:rsidRPr="00AA537D">
        <w:rPr>
          <w:rFonts w:hint="cs"/>
          <w:spacing w:val="0"/>
          <w:kern w:val="0"/>
          <w:rtl/>
          <w:lang w:val="fr-CH"/>
        </w:rPr>
        <w:t>تضمن آلية</w:t>
      </w:r>
      <w:r w:rsidRPr="00AA537D">
        <w:rPr>
          <w:spacing w:val="0"/>
          <w:kern w:val="0"/>
          <w:rtl/>
          <w:lang w:val="fr-CH"/>
        </w:rPr>
        <w:t xml:space="preserve"> فعالة للمتابعة. </w:t>
      </w:r>
      <w:r w:rsidRPr="00AA537D">
        <w:rPr>
          <w:rFonts w:hint="cs"/>
          <w:spacing w:val="0"/>
          <w:kern w:val="0"/>
          <w:rtl/>
          <w:lang w:val="fr-CH"/>
        </w:rPr>
        <w:t xml:space="preserve">وقد أعطيت </w:t>
      </w:r>
      <w:r w:rsidRPr="00AA537D">
        <w:rPr>
          <w:spacing w:val="0"/>
          <w:kern w:val="0"/>
          <w:rtl/>
          <w:lang w:val="fr-CH"/>
        </w:rPr>
        <w:t xml:space="preserve">الضمانات </w:t>
      </w:r>
      <w:r w:rsidRPr="00AA537D">
        <w:rPr>
          <w:rFonts w:hint="cs"/>
          <w:spacing w:val="0"/>
          <w:kern w:val="0"/>
          <w:rtl/>
          <w:lang w:val="fr-CH"/>
        </w:rPr>
        <w:t>استجابة ل</w:t>
      </w:r>
      <w:r w:rsidRPr="00AA537D">
        <w:rPr>
          <w:spacing w:val="0"/>
          <w:kern w:val="0"/>
          <w:rtl/>
          <w:lang w:val="fr-CH"/>
        </w:rPr>
        <w:t>طلب المدعي العام</w:t>
      </w:r>
      <w:r w:rsidRPr="00AA537D">
        <w:rPr>
          <w:rFonts w:hint="cs"/>
          <w:spacing w:val="0"/>
          <w:kern w:val="0"/>
          <w:rtl/>
          <w:lang w:val="fr-CH"/>
        </w:rPr>
        <w:t xml:space="preserve"> الذي يؤكد </w:t>
      </w:r>
      <w:r w:rsidRPr="00AA537D">
        <w:rPr>
          <w:spacing w:val="0"/>
          <w:kern w:val="0"/>
          <w:rtl/>
          <w:lang w:val="fr-CH"/>
        </w:rPr>
        <w:t>أن السلطات</w:t>
      </w:r>
      <w:r w:rsidRPr="00AA537D">
        <w:rPr>
          <w:rFonts w:hint="cs"/>
          <w:spacing w:val="0"/>
          <w:kern w:val="0"/>
          <w:rtl/>
          <w:lang w:val="fr-CH"/>
        </w:rPr>
        <w:t xml:space="preserve"> </w:t>
      </w:r>
      <w:r w:rsidRPr="00AA537D">
        <w:rPr>
          <w:spacing w:val="0"/>
          <w:kern w:val="0"/>
          <w:rtl/>
          <w:lang w:val="fr-CH"/>
        </w:rPr>
        <w:t xml:space="preserve">لا </w:t>
      </w:r>
      <w:r w:rsidRPr="00AA537D">
        <w:rPr>
          <w:rFonts w:hint="cs"/>
          <w:spacing w:val="0"/>
          <w:kern w:val="0"/>
          <w:rtl/>
          <w:lang w:val="fr-CH"/>
        </w:rPr>
        <w:t>ت</w:t>
      </w:r>
      <w:r w:rsidRPr="00AA537D">
        <w:rPr>
          <w:spacing w:val="0"/>
          <w:kern w:val="0"/>
          <w:rtl/>
          <w:lang w:val="fr-CH"/>
        </w:rPr>
        <w:t xml:space="preserve">شك </w:t>
      </w:r>
      <w:r w:rsidRPr="00AA537D">
        <w:rPr>
          <w:rFonts w:hint="cs"/>
          <w:spacing w:val="0"/>
          <w:kern w:val="0"/>
          <w:rtl/>
          <w:lang w:val="fr-CH"/>
        </w:rPr>
        <w:t xml:space="preserve">في </w:t>
      </w:r>
      <w:r w:rsidRPr="00AA537D">
        <w:rPr>
          <w:spacing w:val="0"/>
          <w:kern w:val="0"/>
          <w:rtl/>
          <w:lang w:val="fr-CH"/>
        </w:rPr>
        <w:t xml:space="preserve">أن أوزبكستان ستمتثل لالتزاماتها الدولية. وعلاوة على ذلك، </w:t>
      </w:r>
      <w:r w:rsidRPr="00AA537D">
        <w:rPr>
          <w:rFonts w:hint="cs"/>
          <w:spacing w:val="0"/>
          <w:kern w:val="0"/>
          <w:rtl/>
          <w:lang w:val="fr-CH"/>
        </w:rPr>
        <w:t xml:space="preserve">كان نص الضمانات المطلوبة مدرجا في رسالة المدعي العام في كازاخستان وبذلك يشكل </w:t>
      </w:r>
      <w:r w:rsidRPr="00AA537D">
        <w:rPr>
          <w:spacing w:val="0"/>
          <w:kern w:val="0"/>
          <w:rtl/>
          <w:lang w:val="fr-CH"/>
        </w:rPr>
        <w:t>إجراء</w:t>
      </w:r>
      <w:r w:rsidRPr="00AA537D">
        <w:rPr>
          <w:rFonts w:hint="cs"/>
          <w:spacing w:val="0"/>
          <w:kern w:val="0"/>
          <w:rtl/>
          <w:lang w:val="fr-CH"/>
        </w:rPr>
        <w:t>ً</w:t>
      </w:r>
      <w:r w:rsidRPr="00AA537D">
        <w:rPr>
          <w:spacing w:val="0"/>
          <w:kern w:val="0"/>
          <w:rtl/>
          <w:lang w:val="fr-CH"/>
        </w:rPr>
        <w:t xml:space="preserve"> شكل</w:t>
      </w:r>
      <w:r w:rsidRPr="00AA537D">
        <w:rPr>
          <w:rFonts w:hint="cs"/>
          <w:spacing w:val="0"/>
          <w:kern w:val="0"/>
          <w:rtl/>
          <w:lang w:val="fr-CH"/>
        </w:rPr>
        <w:t xml:space="preserve">ياً لا غير، ولا يؤثر بأي حال من الأحوال على قرار الدولة الطرف </w:t>
      </w:r>
      <w:r w:rsidRPr="00AA537D">
        <w:rPr>
          <w:spacing w:val="0"/>
          <w:kern w:val="0"/>
          <w:rtl/>
          <w:lang w:val="fr-CH"/>
        </w:rPr>
        <w:t>بتسليم أصحاب الشكوى.</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12-4</w:t>
      </w:r>
      <w:r w:rsidRPr="00AA537D">
        <w:rPr>
          <w:rFonts w:hint="cs"/>
          <w:spacing w:val="0"/>
          <w:kern w:val="0"/>
          <w:rtl/>
          <w:lang w:val="fr-CH"/>
        </w:rPr>
        <w:tab/>
        <w:t>وتدفع المحامية أيضاً ب</w:t>
      </w:r>
      <w:r w:rsidRPr="00AA537D">
        <w:rPr>
          <w:spacing w:val="0"/>
          <w:kern w:val="0"/>
          <w:rtl/>
          <w:lang w:val="fr-CH"/>
        </w:rPr>
        <w:t xml:space="preserve">أن </w:t>
      </w:r>
      <w:r w:rsidRPr="00AA537D">
        <w:rPr>
          <w:rFonts w:hint="cs"/>
          <w:spacing w:val="0"/>
          <w:kern w:val="0"/>
          <w:rtl/>
          <w:lang w:val="fr-CH"/>
        </w:rPr>
        <w:t>سلطات الدولة الطرف تلقت الإذن</w:t>
      </w:r>
      <w:r w:rsidRPr="00AA537D">
        <w:rPr>
          <w:spacing w:val="0"/>
          <w:kern w:val="0"/>
          <w:rtl/>
          <w:lang w:val="fr-CH"/>
        </w:rPr>
        <w:t xml:space="preserve"> </w:t>
      </w:r>
      <w:r w:rsidRPr="00AA537D">
        <w:rPr>
          <w:rFonts w:hint="cs"/>
          <w:spacing w:val="0"/>
          <w:kern w:val="0"/>
          <w:rtl/>
          <w:lang w:val="fr-CH"/>
        </w:rPr>
        <w:t>ب</w:t>
      </w:r>
      <w:r w:rsidRPr="00AA537D">
        <w:rPr>
          <w:spacing w:val="0"/>
          <w:kern w:val="0"/>
          <w:rtl/>
          <w:lang w:val="fr-CH"/>
        </w:rPr>
        <w:t>زيارة</w:t>
      </w:r>
      <w:r w:rsidRPr="00AA537D">
        <w:rPr>
          <w:rFonts w:hint="cs"/>
          <w:spacing w:val="0"/>
          <w:kern w:val="0"/>
          <w:rtl/>
          <w:lang w:val="fr-CH"/>
        </w:rPr>
        <w:t xml:space="preserve"> معظم </w:t>
      </w:r>
      <w:r w:rsidRPr="00AA537D">
        <w:rPr>
          <w:spacing w:val="0"/>
          <w:kern w:val="0"/>
          <w:rtl/>
          <w:lang w:val="fr-CH"/>
        </w:rPr>
        <w:t xml:space="preserve">أصحاب الشكوى </w:t>
      </w:r>
      <w:r w:rsidRPr="00AA537D">
        <w:rPr>
          <w:rFonts w:hint="cs"/>
          <w:spacing w:val="0"/>
          <w:kern w:val="0"/>
          <w:rtl/>
          <w:lang w:val="fr-CH"/>
        </w:rPr>
        <w:t xml:space="preserve">في </w:t>
      </w:r>
      <w:r w:rsidRPr="00AA537D">
        <w:rPr>
          <w:spacing w:val="0"/>
          <w:kern w:val="0"/>
          <w:rtl/>
          <w:lang w:val="fr-CH"/>
        </w:rPr>
        <w:t>تشرين الأول/أكتوبر 2010</w:t>
      </w:r>
      <w:r w:rsidRPr="00AA537D">
        <w:rPr>
          <w:rFonts w:hint="cs"/>
          <w:spacing w:val="0"/>
          <w:kern w:val="0"/>
          <w:rtl/>
          <w:lang w:val="fr-CH"/>
        </w:rPr>
        <w:t xml:space="preserve">، بيد أنها أبلغت اللجنة في رسالتها اللاحقة المؤرخة </w:t>
      </w:r>
      <w:r w:rsidRPr="00AA537D">
        <w:rPr>
          <w:spacing w:val="0"/>
          <w:kern w:val="0"/>
          <w:rtl/>
          <w:lang w:val="fr-CH"/>
        </w:rPr>
        <w:t xml:space="preserve">11 </w:t>
      </w:r>
      <w:r w:rsidRPr="00AA537D">
        <w:rPr>
          <w:rFonts w:hint="cs"/>
          <w:spacing w:val="0"/>
          <w:kern w:val="0"/>
          <w:rtl/>
          <w:lang w:val="fr-CH"/>
        </w:rPr>
        <w:t>أيار/</w:t>
      </w:r>
      <w:r w:rsidRPr="00AA537D">
        <w:rPr>
          <w:spacing w:val="0"/>
          <w:kern w:val="0"/>
          <w:rtl/>
          <w:lang w:val="fr-CH"/>
        </w:rPr>
        <w:t xml:space="preserve">مايو 2012 </w:t>
      </w:r>
      <w:r w:rsidRPr="00AA537D">
        <w:rPr>
          <w:rFonts w:hint="cs"/>
          <w:spacing w:val="0"/>
          <w:kern w:val="0"/>
          <w:rtl/>
          <w:lang w:val="fr-CH"/>
        </w:rPr>
        <w:t xml:space="preserve">فقط بأنها تنظر في </w:t>
      </w:r>
      <w:r w:rsidRPr="00AA537D">
        <w:rPr>
          <w:spacing w:val="0"/>
          <w:kern w:val="0"/>
          <w:rtl/>
          <w:lang w:val="fr-CH"/>
        </w:rPr>
        <w:t xml:space="preserve">إمكانية زيارة أصحاب الشكوى. </w:t>
      </w:r>
      <w:r w:rsidRPr="00AA537D">
        <w:rPr>
          <w:rFonts w:hint="cs"/>
          <w:spacing w:val="0"/>
          <w:kern w:val="0"/>
          <w:rtl/>
          <w:lang w:val="fr-CH"/>
        </w:rPr>
        <w:t>و</w:t>
      </w:r>
      <w:r w:rsidRPr="00AA537D">
        <w:rPr>
          <w:spacing w:val="0"/>
          <w:kern w:val="0"/>
          <w:rtl/>
          <w:lang w:val="fr-CH"/>
        </w:rPr>
        <w:t xml:space="preserve">لم </w:t>
      </w:r>
      <w:r w:rsidRPr="00AA537D">
        <w:rPr>
          <w:rFonts w:hint="cs"/>
          <w:spacing w:val="0"/>
          <w:kern w:val="0"/>
          <w:rtl/>
          <w:lang w:val="fr-CH"/>
        </w:rPr>
        <w:t>ت</w:t>
      </w:r>
      <w:r w:rsidRPr="00AA537D">
        <w:rPr>
          <w:spacing w:val="0"/>
          <w:kern w:val="0"/>
          <w:rtl/>
          <w:lang w:val="fr-CH"/>
        </w:rPr>
        <w:t xml:space="preserve">قدم </w:t>
      </w:r>
      <w:r w:rsidRPr="00AA537D">
        <w:rPr>
          <w:rFonts w:hint="cs"/>
          <w:spacing w:val="0"/>
          <w:kern w:val="0"/>
          <w:rtl/>
          <w:lang w:val="fr-CH"/>
        </w:rPr>
        <w:t xml:space="preserve">الدولة الطرف </w:t>
      </w:r>
      <w:r w:rsidRPr="00AA537D">
        <w:rPr>
          <w:spacing w:val="0"/>
          <w:kern w:val="0"/>
          <w:rtl/>
          <w:lang w:val="fr-CH"/>
        </w:rPr>
        <w:t xml:space="preserve">أي تفسير </w:t>
      </w:r>
      <w:r w:rsidRPr="00AA537D">
        <w:rPr>
          <w:rFonts w:hint="cs"/>
          <w:spacing w:val="0"/>
          <w:kern w:val="0"/>
          <w:rtl/>
          <w:lang w:val="fr-CH"/>
        </w:rPr>
        <w:t>لعدم زيارتهم قبل ذلك. وتشير المحامية إلى السوابق القضائية للمحكمة الأوروبية لحقوق الإنسان</w:t>
      </w:r>
      <w:r w:rsidRPr="00AA537D">
        <w:rPr>
          <w:spacing w:val="0"/>
          <w:kern w:val="0"/>
          <w:vertAlign w:val="superscript"/>
          <w:rtl/>
          <w:lang w:val="fr-CH"/>
        </w:rPr>
        <w:t>(</w:t>
      </w:r>
      <w:r w:rsidRPr="00AA537D">
        <w:rPr>
          <w:rStyle w:val="FootnoteReference"/>
          <w:spacing w:val="0"/>
          <w:rtl/>
          <w:lang w:val="fr-CH"/>
        </w:rPr>
        <w:footnoteReference w:id="430"/>
      </w:r>
      <w:r w:rsidRPr="00AA537D">
        <w:rPr>
          <w:spacing w:val="0"/>
          <w:kern w:val="0"/>
          <w:vertAlign w:val="superscript"/>
          <w:rtl/>
          <w:lang w:val="fr-CH"/>
        </w:rPr>
        <w:t>)</w:t>
      </w:r>
      <w:r w:rsidRPr="00AA537D">
        <w:rPr>
          <w:rFonts w:hint="cs"/>
          <w:spacing w:val="0"/>
          <w:kern w:val="0"/>
          <w:rtl/>
          <w:lang w:val="fr-CH"/>
        </w:rPr>
        <w:t xml:space="preserve"> وتلاحظ </w:t>
      </w:r>
      <w:r w:rsidRPr="00AA537D">
        <w:rPr>
          <w:spacing w:val="0"/>
          <w:kern w:val="0"/>
          <w:rtl/>
          <w:lang w:val="fr-CH"/>
        </w:rPr>
        <w:t>أن الحالة الوحيدة التي اعتبرت</w:t>
      </w:r>
      <w:r w:rsidRPr="00AA537D">
        <w:rPr>
          <w:rFonts w:hint="cs"/>
          <w:spacing w:val="0"/>
          <w:kern w:val="0"/>
          <w:rtl/>
          <w:lang w:val="fr-CH"/>
        </w:rPr>
        <w:t xml:space="preserve"> فيها الضمانات </w:t>
      </w:r>
      <w:r w:rsidRPr="00AA537D">
        <w:rPr>
          <w:spacing w:val="0"/>
          <w:kern w:val="0"/>
          <w:rtl/>
          <w:lang w:val="fr-CH"/>
        </w:rPr>
        <w:t xml:space="preserve">الدبلوماسية </w:t>
      </w:r>
      <w:r w:rsidRPr="00AA537D">
        <w:rPr>
          <w:rFonts w:hint="cs"/>
          <w:spacing w:val="0"/>
          <w:kern w:val="0"/>
          <w:rtl/>
          <w:lang w:val="fr-CH"/>
        </w:rPr>
        <w:t>ك</w:t>
      </w:r>
      <w:r w:rsidRPr="00AA537D">
        <w:rPr>
          <w:spacing w:val="0"/>
          <w:kern w:val="0"/>
          <w:rtl/>
          <w:lang w:val="fr-CH"/>
        </w:rPr>
        <w:t>افية</w:t>
      </w:r>
      <w:r w:rsidRPr="00AA537D">
        <w:rPr>
          <w:rFonts w:hint="cs"/>
          <w:spacing w:val="0"/>
          <w:kern w:val="0"/>
          <w:rtl/>
          <w:lang w:val="fr-CH"/>
        </w:rPr>
        <w:t xml:space="preserve"> فيما يتعلق ب</w:t>
      </w:r>
      <w:r w:rsidRPr="00AA537D">
        <w:rPr>
          <w:spacing w:val="0"/>
          <w:kern w:val="0"/>
          <w:rtl/>
          <w:lang w:val="fr-CH"/>
        </w:rPr>
        <w:t>التعذيب كان</w:t>
      </w:r>
      <w:r w:rsidRPr="00AA537D">
        <w:rPr>
          <w:rFonts w:hint="cs"/>
          <w:spacing w:val="0"/>
          <w:kern w:val="0"/>
          <w:rtl/>
          <w:lang w:val="fr-CH"/>
        </w:rPr>
        <w:t>ت</w:t>
      </w:r>
      <w:r w:rsidRPr="00AA537D">
        <w:rPr>
          <w:spacing w:val="0"/>
          <w:kern w:val="0"/>
          <w:rtl/>
          <w:lang w:val="fr-CH"/>
        </w:rPr>
        <w:t xml:space="preserve"> عند</w:t>
      </w:r>
      <w:r w:rsidRPr="00AA537D">
        <w:rPr>
          <w:rFonts w:hint="cs"/>
          <w:spacing w:val="0"/>
          <w:kern w:val="0"/>
          <w:rtl/>
          <w:lang w:val="fr-CH"/>
        </w:rPr>
        <w:t xml:space="preserve">ما عهد إلى إحدى </w:t>
      </w:r>
      <w:r w:rsidRPr="00AA537D">
        <w:rPr>
          <w:spacing w:val="0"/>
          <w:kern w:val="0"/>
          <w:rtl/>
          <w:lang w:val="fr-CH"/>
        </w:rPr>
        <w:t xml:space="preserve">المنظمات </w:t>
      </w:r>
      <w:r w:rsidRPr="00AA537D">
        <w:rPr>
          <w:rFonts w:hint="cs"/>
          <w:spacing w:val="0"/>
          <w:kern w:val="0"/>
          <w:rtl/>
          <w:lang w:val="fr-CH"/>
        </w:rPr>
        <w:t>غير الحكومية المعنية بحقوق الإنسان المستقلة بمراقبة مكان الاحتجاز.</w:t>
      </w:r>
    </w:p>
    <w:p w:rsidR="00FA6676" w:rsidRPr="00AA537D" w:rsidRDefault="00FA6676" w:rsidP="00AA537D">
      <w:pPr>
        <w:pStyle w:val="H23GA"/>
        <w:jc w:val="lowKashida"/>
        <w:rPr>
          <w:rFonts w:hint="cs"/>
          <w:spacing w:val="0"/>
          <w:kern w:val="0"/>
          <w:rtl/>
        </w:rPr>
      </w:pPr>
      <w:r w:rsidRPr="00AA537D">
        <w:rPr>
          <w:rFonts w:hint="cs"/>
          <w:spacing w:val="0"/>
          <w:kern w:val="0"/>
          <w:rtl/>
          <w:lang w:val="fr-CH"/>
        </w:rPr>
        <w:tab/>
      </w:r>
      <w:r w:rsidRPr="00AA537D">
        <w:rPr>
          <w:rFonts w:hint="cs"/>
          <w:spacing w:val="0"/>
          <w:kern w:val="0"/>
          <w:rtl/>
          <w:lang w:val="fr-CH"/>
        </w:rPr>
        <w:tab/>
        <w:t>المسائل والإجراءات المعروضة على اللجنة</w:t>
      </w:r>
    </w:p>
    <w:p w:rsidR="00FA6676" w:rsidRPr="00AA537D" w:rsidRDefault="00FA6676" w:rsidP="00AA537D">
      <w:pPr>
        <w:pStyle w:val="H4GA"/>
        <w:jc w:val="lowKashida"/>
        <w:rPr>
          <w:rFonts w:hint="cs"/>
          <w:spacing w:val="0"/>
          <w:kern w:val="0"/>
          <w:rtl/>
          <w:lang w:val="fr-CH"/>
        </w:rPr>
      </w:pPr>
      <w:r w:rsidRPr="00AA537D">
        <w:rPr>
          <w:rFonts w:hint="cs"/>
          <w:spacing w:val="0"/>
          <w:kern w:val="0"/>
          <w:rtl/>
        </w:rPr>
        <w:tab/>
      </w:r>
      <w:r w:rsidRPr="00AA537D">
        <w:rPr>
          <w:rFonts w:hint="cs"/>
          <w:spacing w:val="0"/>
          <w:kern w:val="0"/>
          <w:rtl/>
        </w:rPr>
        <w:tab/>
        <w:t>النظر في الأسس الموضوعية</w:t>
      </w:r>
    </w:p>
    <w:p w:rsidR="00FA6676" w:rsidRPr="00AA537D" w:rsidRDefault="00FA6676" w:rsidP="00AA537D">
      <w:pPr>
        <w:pStyle w:val="SingleTxtGA"/>
        <w:tabs>
          <w:tab w:val="clear" w:pos="1928"/>
          <w:tab w:val="left" w:pos="2163"/>
        </w:tabs>
        <w:jc w:val="lowKashida"/>
        <w:rPr>
          <w:spacing w:val="0"/>
          <w:kern w:val="0"/>
          <w:rtl/>
        </w:rPr>
      </w:pPr>
      <w:r w:rsidRPr="00AA537D">
        <w:rPr>
          <w:spacing w:val="0"/>
          <w:kern w:val="0"/>
          <w:rtl/>
        </w:rPr>
        <w:t>1</w:t>
      </w:r>
      <w:r w:rsidRPr="00AA537D">
        <w:rPr>
          <w:rFonts w:hint="cs"/>
          <w:spacing w:val="0"/>
          <w:kern w:val="0"/>
          <w:rtl/>
        </w:rPr>
        <w:t>3</w:t>
      </w:r>
      <w:r w:rsidRPr="00AA537D">
        <w:rPr>
          <w:spacing w:val="0"/>
          <w:kern w:val="0"/>
          <w:rtl/>
        </w:rPr>
        <w:t>-1</w:t>
      </w:r>
      <w:r w:rsidRPr="00AA537D">
        <w:rPr>
          <w:spacing w:val="0"/>
          <w:kern w:val="0"/>
          <w:rtl/>
        </w:rPr>
        <w:tab/>
        <w:t xml:space="preserve">نظرت اللجنة في الشكوى في ضوء جميع المعلومات التي أتاحتها لها الأطراف وفقاً للفقرة 4 من المادة 22 من الاتفاقية. </w:t>
      </w:r>
    </w:p>
    <w:p w:rsidR="00FA6676" w:rsidRPr="00AA537D" w:rsidRDefault="00FA6676" w:rsidP="00AA537D">
      <w:pPr>
        <w:pStyle w:val="SingleTxtGA"/>
        <w:keepLines/>
        <w:tabs>
          <w:tab w:val="clear" w:pos="1928"/>
          <w:tab w:val="left" w:pos="2163"/>
        </w:tabs>
        <w:jc w:val="lowKashida"/>
        <w:rPr>
          <w:rFonts w:hint="cs"/>
          <w:spacing w:val="0"/>
          <w:kern w:val="0"/>
          <w:rtl/>
          <w:lang w:val="fr-CH"/>
        </w:rPr>
      </w:pPr>
      <w:r w:rsidRPr="00AA537D">
        <w:rPr>
          <w:rFonts w:hint="cs"/>
          <w:spacing w:val="0"/>
          <w:kern w:val="0"/>
          <w:rtl/>
        </w:rPr>
        <w:t>13</w:t>
      </w:r>
      <w:r w:rsidRPr="00AA537D">
        <w:rPr>
          <w:spacing w:val="0"/>
          <w:kern w:val="0"/>
          <w:rtl/>
        </w:rPr>
        <w:t>-2</w:t>
      </w:r>
      <w:r w:rsidRPr="00AA537D">
        <w:rPr>
          <w:spacing w:val="0"/>
          <w:kern w:val="0"/>
          <w:rtl/>
        </w:rPr>
        <w:tab/>
        <w:t xml:space="preserve">ويجب على اللجنة أن تقرر ما إذا كان تسليم </w:t>
      </w:r>
      <w:r w:rsidRPr="00AA537D">
        <w:rPr>
          <w:rFonts w:hint="cs"/>
          <w:spacing w:val="0"/>
          <w:kern w:val="0"/>
          <w:rtl/>
        </w:rPr>
        <w:t>أصحاب</w:t>
      </w:r>
      <w:r w:rsidRPr="00AA537D">
        <w:rPr>
          <w:spacing w:val="0"/>
          <w:kern w:val="0"/>
          <w:rtl/>
        </w:rPr>
        <w:t xml:space="preserve"> الشكوى قسراً إلى </w:t>
      </w:r>
      <w:r w:rsidRPr="00AA537D">
        <w:rPr>
          <w:rFonts w:hint="cs"/>
          <w:spacing w:val="0"/>
          <w:kern w:val="0"/>
          <w:rtl/>
        </w:rPr>
        <w:t xml:space="preserve">أوزبكستان </w:t>
      </w:r>
      <w:r w:rsidRPr="00AA537D">
        <w:rPr>
          <w:spacing w:val="0"/>
          <w:kern w:val="0"/>
          <w:rtl/>
        </w:rPr>
        <w:t xml:space="preserve">ينتهك التزامات الدولة الطرف بموجب الفقرة 1 من المادة 3 من الاتفاقية، التي تقضي بعدم طرد أو إعادة </w:t>
      </w:r>
      <w:r w:rsidRPr="00AA537D">
        <w:rPr>
          <w:i/>
          <w:iCs/>
          <w:spacing w:val="0"/>
          <w:kern w:val="0"/>
          <w:rtl/>
        </w:rPr>
        <w:t>(رد)</w:t>
      </w:r>
      <w:r w:rsidRPr="00AA537D">
        <w:rPr>
          <w:spacing w:val="0"/>
          <w:kern w:val="0"/>
          <w:rtl/>
        </w:rPr>
        <w:t xml:space="preserve"> أي شخص إلى دولة أخرى إذا توافرت أسباب وجيهة تدعو إلى الاعتقاد بأنه سيواجه فيها خطر التعرض للتعذيب. وت</w:t>
      </w:r>
      <w:r w:rsidRPr="00AA537D">
        <w:rPr>
          <w:rFonts w:hint="cs"/>
          <w:spacing w:val="0"/>
          <w:kern w:val="0"/>
          <w:rtl/>
        </w:rPr>
        <w:t xml:space="preserve">شدد </w:t>
      </w:r>
      <w:r w:rsidRPr="00AA537D">
        <w:rPr>
          <w:spacing w:val="0"/>
          <w:kern w:val="0"/>
          <w:rtl/>
        </w:rPr>
        <w:t xml:space="preserve">اللجنة </w:t>
      </w:r>
      <w:r w:rsidRPr="00AA537D">
        <w:rPr>
          <w:rFonts w:hint="cs"/>
          <w:spacing w:val="0"/>
          <w:kern w:val="0"/>
          <w:rtl/>
        </w:rPr>
        <w:t xml:space="preserve">على </w:t>
      </w:r>
      <w:r w:rsidRPr="00AA537D">
        <w:rPr>
          <w:spacing w:val="0"/>
          <w:kern w:val="0"/>
          <w:rtl/>
        </w:rPr>
        <w:t xml:space="preserve">أنها يجب أن تتخذ قراراً بشأن المسألة في ضوء المعلومات التي كانت متوافرة للدولة الطرف، أو كان ينبغي أن تكون متوافرة </w:t>
      </w:r>
      <w:r w:rsidRPr="00AA537D">
        <w:rPr>
          <w:rFonts w:hint="cs"/>
          <w:spacing w:val="0"/>
          <w:kern w:val="0"/>
          <w:rtl/>
        </w:rPr>
        <w:t>لديها</w:t>
      </w:r>
      <w:r w:rsidRPr="00AA537D">
        <w:rPr>
          <w:spacing w:val="0"/>
          <w:kern w:val="0"/>
          <w:rtl/>
        </w:rPr>
        <w:t>، في وقت التسليم. وتشير اللجنة إلى أن الأحداث اللاحقة تفيد فقط في تقييم المعلومات التي كانت متوافرة بالفعل للدولة الطرف، أو كان ينبغي أن تكون متوافرة ل</w:t>
      </w:r>
      <w:r w:rsidRPr="00AA537D">
        <w:rPr>
          <w:rFonts w:hint="cs"/>
          <w:spacing w:val="0"/>
          <w:kern w:val="0"/>
          <w:rtl/>
        </w:rPr>
        <w:t>ديها</w:t>
      </w:r>
      <w:r w:rsidRPr="00AA537D">
        <w:rPr>
          <w:spacing w:val="0"/>
          <w:kern w:val="0"/>
          <w:rtl/>
        </w:rPr>
        <w:t>، في وقت التسليم.</w:t>
      </w:r>
    </w:p>
    <w:p w:rsidR="00FA6676" w:rsidRPr="00AA537D" w:rsidRDefault="00FA6676" w:rsidP="00AA537D">
      <w:pPr>
        <w:pStyle w:val="SingleTxtGA"/>
        <w:tabs>
          <w:tab w:val="clear" w:pos="1928"/>
          <w:tab w:val="left" w:pos="2163"/>
        </w:tabs>
        <w:jc w:val="lowKashida"/>
        <w:rPr>
          <w:spacing w:val="0"/>
          <w:kern w:val="0"/>
          <w:rtl/>
        </w:rPr>
      </w:pPr>
      <w:r w:rsidRPr="00AA537D">
        <w:rPr>
          <w:rFonts w:hint="cs"/>
          <w:spacing w:val="0"/>
          <w:kern w:val="0"/>
          <w:rtl/>
        </w:rPr>
        <w:t>13</w:t>
      </w:r>
      <w:r w:rsidRPr="00AA537D">
        <w:rPr>
          <w:spacing w:val="0"/>
          <w:kern w:val="0"/>
          <w:rtl/>
        </w:rPr>
        <w:t>-3</w:t>
      </w:r>
      <w:r w:rsidRPr="00AA537D">
        <w:rPr>
          <w:spacing w:val="0"/>
          <w:kern w:val="0"/>
          <w:rtl/>
        </w:rPr>
        <w:tab/>
        <w:t>و</w:t>
      </w:r>
      <w:r w:rsidRPr="00AA537D">
        <w:rPr>
          <w:rFonts w:hint="cs"/>
          <w:spacing w:val="0"/>
          <w:kern w:val="0"/>
          <w:rtl/>
        </w:rPr>
        <w:t>ل</w:t>
      </w:r>
      <w:r w:rsidRPr="00AA537D">
        <w:rPr>
          <w:spacing w:val="0"/>
          <w:kern w:val="0"/>
          <w:rtl/>
        </w:rPr>
        <w:t xml:space="preserve">تقييم ما إذا كان تسليم </w:t>
      </w:r>
      <w:r w:rsidRPr="00AA537D">
        <w:rPr>
          <w:rFonts w:hint="cs"/>
          <w:spacing w:val="0"/>
          <w:kern w:val="0"/>
          <w:rtl/>
        </w:rPr>
        <w:t>أصحاب</w:t>
      </w:r>
      <w:r w:rsidRPr="00AA537D">
        <w:rPr>
          <w:spacing w:val="0"/>
          <w:kern w:val="0"/>
          <w:rtl/>
        </w:rPr>
        <w:t xml:space="preserve"> الشكوى إلى </w:t>
      </w:r>
      <w:r w:rsidRPr="00AA537D">
        <w:rPr>
          <w:rFonts w:hint="cs"/>
          <w:spacing w:val="0"/>
          <w:kern w:val="0"/>
          <w:rtl/>
        </w:rPr>
        <w:t xml:space="preserve">أوزبكستان </w:t>
      </w:r>
      <w:r w:rsidRPr="00AA537D">
        <w:rPr>
          <w:spacing w:val="0"/>
          <w:kern w:val="0"/>
          <w:rtl/>
        </w:rPr>
        <w:t>ينتهك التزامات الدولة الطرف بموجب المادة 3 من الاتفاقية، يجب على اللجنة أن تراعي جميع الاعتبارات ذات الصلة، بما في ذلك وجود نمط ثابت من الانتهاكات الجسيمة أو الصارخة أو</w:t>
      </w:r>
      <w:r w:rsidRPr="00AA537D">
        <w:rPr>
          <w:rFonts w:hint="cs"/>
          <w:spacing w:val="0"/>
          <w:kern w:val="0"/>
          <w:rtl/>
        </w:rPr>
        <w:t> </w:t>
      </w:r>
      <w:r w:rsidRPr="00AA537D">
        <w:rPr>
          <w:spacing w:val="0"/>
          <w:kern w:val="0"/>
          <w:rtl/>
        </w:rPr>
        <w:t xml:space="preserve">الجماعية لحقوق الإنسان. وتشير اللجنة مجدداً إلى أن وجود نمط </w:t>
      </w:r>
      <w:r w:rsidRPr="00AA537D">
        <w:rPr>
          <w:rFonts w:hint="cs"/>
          <w:spacing w:val="0"/>
          <w:kern w:val="0"/>
          <w:rtl/>
        </w:rPr>
        <w:t xml:space="preserve">ثابت </w:t>
      </w:r>
      <w:r w:rsidRPr="00AA537D">
        <w:rPr>
          <w:spacing w:val="0"/>
          <w:kern w:val="0"/>
          <w:rtl/>
        </w:rPr>
        <w:t>من الانتهاكات الجسيمة أو</w:t>
      </w:r>
      <w:r w:rsidRPr="00AA537D">
        <w:rPr>
          <w:rFonts w:hint="cs"/>
          <w:spacing w:val="0"/>
          <w:kern w:val="0"/>
          <w:rtl/>
        </w:rPr>
        <w:t> </w:t>
      </w:r>
      <w:r w:rsidRPr="00AA537D">
        <w:rPr>
          <w:spacing w:val="0"/>
          <w:kern w:val="0"/>
          <w:rtl/>
        </w:rPr>
        <w:t xml:space="preserve">الصارخة أو الجماعية لحقوق الإنسان في البلد لا </w:t>
      </w:r>
      <w:r w:rsidRPr="00AA537D">
        <w:rPr>
          <w:rFonts w:hint="cs"/>
          <w:spacing w:val="0"/>
          <w:kern w:val="0"/>
          <w:rtl/>
        </w:rPr>
        <w:t>يعتبر</w:t>
      </w:r>
      <w:r w:rsidRPr="00AA537D">
        <w:rPr>
          <w:spacing w:val="0"/>
          <w:kern w:val="0"/>
          <w:rtl/>
        </w:rPr>
        <w:t xml:space="preserve"> في حد ذاته سبباً كافياً لتأكيد أن شخصاً معيناً سيتعرض لخطر التعذيب لدى عودته إلى ذلك البلد</w:t>
      </w:r>
      <w:r w:rsidRPr="00AA537D">
        <w:rPr>
          <w:rFonts w:hint="cs"/>
          <w:spacing w:val="0"/>
          <w:kern w:val="0"/>
          <w:rtl/>
        </w:rPr>
        <w:t>،</w:t>
      </w:r>
      <w:r w:rsidRPr="00AA537D">
        <w:rPr>
          <w:spacing w:val="0"/>
          <w:kern w:val="0"/>
          <w:rtl/>
        </w:rPr>
        <w:t xml:space="preserve"> وإنما يجب أن تتوافر أسباب أخرى تثبت أن </w:t>
      </w:r>
      <w:r w:rsidRPr="00AA537D">
        <w:rPr>
          <w:rFonts w:hint="cs"/>
          <w:spacing w:val="0"/>
          <w:kern w:val="0"/>
          <w:rtl/>
        </w:rPr>
        <w:t xml:space="preserve">الفرد المعني </w:t>
      </w:r>
      <w:r w:rsidRPr="00AA537D">
        <w:rPr>
          <w:spacing w:val="0"/>
          <w:kern w:val="0"/>
          <w:rtl/>
        </w:rPr>
        <w:t xml:space="preserve">سيتعرض شخصياً للخطر. وبالمثل، فإن عدم وجود نمط ثابت من الانتهاكات الصارخة لحقوق الإنسان لا يعني أن شخصاً ما لا يمكن أن يتعرض لخطر التعذيب </w:t>
      </w:r>
      <w:r w:rsidRPr="00AA537D">
        <w:rPr>
          <w:rFonts w:hint="cs"/>
          <w:spacing w:val="0"/>
          <w:kern w:val="0"/>
          <w:rtl/>
        </w:rPr>
        <w:t>في</w:t>
      </w:r>
      <w:r w:rsidRPr="00AA537D">
        <w:rPr>
          <w:spacing w:val="0"/>
          <w:kern w:val="0"/>
          <w:rtl/>
        </w:rPr>
        <w:t xml:space="preserve"> </w:t>
      </w:r>
      <w:r w:rsidRPr="00AA537D">
        <w:rPr>
          <w:rFonts w:hint="cs"/>
          <w:spacing w:val="0"/>
          <w:kern w:val="0"/>
          <w:rtl/>
        </w:rPr>
        <w:t>ال</w:t>
      </w:r>
      <w:r w:rsidRPr="00AA537D">
        <w:rPr>
          <w:spacing w:val="0"/>
          <w:kern w:val="0"/>
          <w:rtl/>
        </w:rPr>
        <w:t>ظروف الخاصة</w:t>
      </w:r>
      <w:r w:rsidRPr="00AA537D">
        <w:rPr>
          <w:rFonts w:hint="cs"/>
          <w:spacing w:val="0"/>
          <w:kern w:val="0"/>
          <w:rtl/>
        </w:rPr>
        <w:t xml:space="preserve"> به</w:t>
      </w:r>
      <w:r w:rsidRPr="00AA537D">
        <w:rPr>
          <w:spacing w:val="0"/>
          <w:kern w:val="0"/>
          <w:rtl/>
        </w:rPr>
        <w:t xml:space="preserve">. </w:t>
      </w:r>
    </w:p>
    <w:p w:rsidR="00FA6676" w:rsidRPr="00AA537D" w:rsidRDefault="00FA6676" w:rsidP="00AA537D">
      <w:pPr>
        <w:pStyle w:val="SingleTxtGA"/>
        <w:tabs>
          <w:tab w:val="clear" w:pos="1928"/>
          <w:tab w:val="left" w:pos="2163"/>
        </w:tabs>
        <w:jc w:val="lowKashida"/>
        <w:rPr>
          <w:rFonts w:hint="cs"/>
          <w:spacing w:val="0"/>
          <w:kern w:val="0"/>
          <w:rtl/>
        </w:rPr>
      </w:pPr>
      <w:r w:rsidRPr="00AA537D">
        <w:rPr>
          <w:spacing w:val="0"/>
          <w:kern w:val="0"/>
          <w:rtl/>
        </w:rPr>
        <w:t>1</w:t>
      </w:r>
      <w:r w:rsidRPr="00AA537D">
        <w:rPr>
          <w:rFonts w:hint="cs"/>
          <w:spacing w:val="0"/>
          <w:kern w:val="0"/>
          <w:rtl/>
        </w:rPr>
        <w:t>3</w:t>
      </w:r>
      <w:r w:rsidRPr="00AA537D">
        <w:rPr>
          <w:spacing w:val="0"/>
          <w:kern w:val="0"/>
          <w:rtl/>
        </w:rPr>
        <w:t>-4</w:t>
      </w:r>
      <w:r w:rsidRPr="00AA537D">
        <w:rPr>
          <w:spacing w:val="0"/>
          <w:kern w:val="0"/>
          <w:rtl/>
        </w:rPr>
        <w:tab/>
        <w:t>وتشير اللجنة إلى تعليقها العام رقم 1(1996) بشأن تنفيذ المادة 3</w:t>
      </w:r>
      <w:r w:rsidRPr="00AA537D">
        <w:rPr>
          <w:rFonts w:hint="cs"/>
          <w:spacing w:val="0"/>
          <w:kern w:val="0"/>
          <w:rtl/>
        </w:rPr>
        <w:t xml:space="preserve"> </w:t>
      </w:r>
      <w:r w:rsidRPr="00AA537D">
        <w:rPr>
          <w:spacing w:val="0"/>
          <w:kern w:val="0"/>
          <w:rtl/>
        </w:rPr>
        <w:t xml:space="preserve">الذي جاء </w:t>
      </w:r>
      <w:r w:rsidRPr="00AA537D">
        <w:rPr>
          <w:rFonts w:hint="cs"/>
          <w:spacing w:val="0"/>
          <w:kern w:val="0"/>
          <w:rtl/>
        </w:rPr>
        <w:t>فيه</w:t>
      </w:r>
      <w:r w:rsidRPr="00AA537D">
        <w:rPr>
          <w:spacing w:val="0"/>
          <w:kern w:val="0"/>
          <w:rtl/>
        </w:rPr>
        <w:t xml:space="preserve"> أنه "يجب أن يقدر خطر التعذيب على أسس تتجاوز مجرد </w:t>
      </w:r>
      <w:r w:rsidRPr="00AA537D">
        <w:rPr>
          <w:rFonts w:hint="cs"/>
          <w:spacing w:val="0"/>
          <w:kern w:val="0"/>
          <w:rtl/>
        </w:rPr>
        <w:t>الافتراض</w:t>
      </w:r>
      <w:r w:rsidRPr="00AA537D">
        <w:rPr>
          <w:spacing w:val="0"/>
          <w:kern w:val="0"/>
          <w:rtl/>
        </w:rPr>
        <w:t xml:space="preserve"> أو الشك. غير أنه لا</w:t>
      </w:r>
      <w:r w:rsidRPr="00AA537D">
        <w:rPr>
          <w:rFonts w:hint="cs"/>
          <w:spacing w:val="0"/>
          <w:kern w:val="0"/>
          <w:rtl/>
        </w:rPr>
        <w:t> </w:t>
      </w:r>
      <w:r w:rsidRPr="00AA537D">
        <w:rPr>
          <w:spacing w:val="0"/>
          <w:kern w:val="0"/>
          <w:rtl/>
        </w:rPr>
        <w:t xml:space="preserve">يتحتم أن يكون هذا الخطر موافقاً لاختبار </w:t>
      </w:r>
      <w:r w:rsidRPr="00AA537D">
        <w:rPr>
          <w:rFonts w:hint="cs"/>
          <w:spacing w:val="0"/>
          <w:kern w:val="0"/>
          <w:rtl/>
        </w:rPr>
        <w:t xml:space="preserve">الدرجة العالية لاحتمال </w:t>
      </w:r>
      <w:r w:rsidRPr="00AA537D">
        <w:rPr>
          <w:spacing w:val="0"/>
          <w:kern w:val="0"/>
          <w:rtl/>
        </w:rPr>
        <w:t>وقوعه، وإنما يجب أن يكون شخصياً وقائماً</w:t>
      </w:r>
      <w:r w:rsidRPr="00AA537D">
        <w:rPr>
          <w:rFonts w:hint="cs"/>
          <w:spacing w:val="0"/>
          <w:kern w:val="0"/>
          <w:rtl/>
        </w:rPr>
        <w:t>"</w:t>
      </w:r>
      <w:r w:rsidRPr="00AA537D">
        <w:rPr>
          <w:spacing w:val="0"/>
          <w:kern w:val="0"/>
          <w:rtl/>
        </w:rPr>
        <w:t>. وفي هذا الصدد، حددت اللجنة، في قرارات سابقة، أن خطر التعرض للتعذيب يجب أن يكون متوقعاً وحقيقياً وشخصياً</w:t>
      </w:r>
      <w:r w:rsidRPr="00AA537D">
        <w:rPr>
          <w:spacing w:val="0"/>
          <w:kern w:val="0"/>
          <w:vertAlign w:val="superscript"/>
          <w:rtl/>
        </w:rPr>
        <w:t>(</w:t>
      </w:r>
      <w:r w:rsidRPr="00AA537D">
        <w:rPr>
          <w:rStyle w:val="FootnoteReference"/>
          <w:spacing w:val="0"/>
          <w:rtl/>
        </w:rPr>
        <w:footnoteReference w:id="431"/>
      </w:r>
      <w:r w:rsidRPr="00AA537D">
        <w:rPr>
          <w:spacing w:val="0"/>
          <w:kern w:val="0"/>
          <w:vertAlign w:val="superscript"/>
          <w:rtl/>
        </w:rPr>
        <w:t>)</w:t>
      </w:r>
      <w:r w:rsidRPr="00AA537D">
        <w:rPr>
          <w:rFonts w:hint="cs"/>
          <w:spacing w:val="0"/>
          <w:kern w:val="0"/>
          <w:rtl/>
        </w:rPr>
        <w:t>.</w:t>
      </w:r>
    </w:p>
    <w:p w:rsidR="00FA6676" w:rsidRPr="00AA537D" w:rsidRDefault="00FA6676" w:rsidP="00AA537D">
      <w:pPr>
        <w:pStyle w:val="SingleTxtGA"/>
        <w:tabs>
          <w:tab w:val="clear" w:pos="1928"/>
          <w:tab w:val="left" w:pos="2163"/>
        </w:tabs>
        <w:jc w:val="lowKashida"/>
        <w:rPr>
          <w:rFonts w:hint="cs"/>
          <w:spacing w:val="0"/>
          <w:kern w:val="0"/>
          <w:rtl/>
        </w:rPr>
      </w:pPr>
      <w:r w:rsidRPr="00AA537D">
        <w:rPr>
          <w:rFonts w:hint="cs"/>
          <w:spacing w:val="0"/>
          <w:kern w:val="0"/>
          <w:rtl/>
        </w:rPr>
        <w:t>13-5</w:t>
      </w:r>
      <w:r w:rsidRPr="00AA537D">
        <w:rPr>
          <w:rFonts w:hint="cs"/>
          <w:spacing w:val="0"/>
          <w:kern w:val="0"/>
          <w:rtl/>
        </w:rPr>
        <w:tab/>
        <w:t>وتلاحظ اللجنة احتجاج المحامية بأن أصحاب الشكوى وغيرهم من الأفراد الذين أعيدوا إلى أوزبكستان بناء على طلبات التسليم تم احتجازهم بالحبس الانفرادي وتعرضوا بالتالي لخطر التعذيب وسوء المعاملة. وتلاحظ أيضاً ادعاء المحامية بأن</w:t>
      </w:r>
      <w:r w:rsidRPr="00AA537D">
        <w:rPr>
          <w:spacing w:val="0"/>
          <w:kern w:val="0"/>
          <w:rtl/>
        </w:rPr>
        <w:t xml:space="preserve"> التعذيب </w:t>
      </w:r>
      <w:r w:rsidRPr="00AA537D">
        <w:rPr>
          <w:rFonts w:hint="cs"/>
          <w:spacing w:val="0"/>
          <w:kern w:val="0"/>
          <w:rtl/>
        </w:rPr>
        <w:t>وسوء المعاملة لا يزالان ي</w:t>
      </w:r>
      <w:r w:rsidRPr="00AA537D">
        <w:rPr>
          <w:spacing w:val="0"/>
          <w:kern w:val="0"/>
          <w:rtl/>
        </w:rPr>
        <w:t>مارس</w:t>
      </w:r>
      <w:r w:rsidRPr="00AA537D">
        <w:rPr>
          <w:rFonts w:hint="cs"/>
          <w:spacing w:val="0"/>
          <w:kern w:val="0"/>
          <w:rtl/>
        </w:rPr>
        <w:t>ان</w:t>
      </w:r>
      <w:r w:rsidRPr="00AA537D">
        <w:rPr>
          <w:spacing w:val="0"/>
          <w:kern w:val="0"/>
          <w:rtl/>
        </w:rPr>
        <w:t xml:space="preserve"> بانتظام في أوزبكستان وأن </w:t>
      </w:r>
      <w:r w:rsidRPr="00AA537D">
        <w:rPr>
          <w:rFonts w:hint="cs"/>
          <w:spacing w:val="0"/>
          <w:kern w:val="0"/>
          <w:rtl/>
        </w:rPr>
        <w:t xml:space="preserve">الأشخاص </w:t>
      </w:r>
      <w:r w:rsidRPr="00AA537D">
        <w:rPr>
          <w:spacing w:val="0"/>
          <w:kern w:val="0"/>
          <w:rtl/>
        </w:rPr>
        <w:t xml:space="preserve">الذين </w:t>
      </w:r>
      <w:r w:rsidRPr="00AA537D">
        <w:rPr>
          <w:rFonts w:hint="cs"/>
          <w:spacing w:val="0"/>
          <w:kern w:val="0"/>
          <w:rtl/>
        </w:rPr>
        <w:t>يتهمون بالتطرف الديني ومحاولة الإطاحة بالنظام الدستوري مستهدفون بوجه خاص. وتلاحظ اللجنة أيضاً أن الدولة الطرف رفضت طلبات أصحاب الشكوى للحصول على اللجوء أو لاستعادة مركز اللاجئ الذي كانوا يتمتعون به</w:t>
      </w:r>
      <w:r w:rsidRPr="00AA537D">
        <w:rPr>
          <w:spacing w:val="0"/>
          <w:kern w:val="0"/>
          <w:vertAlign w:val="superscript"/>
          <w:rtl/>
        </w:rPr>
        <w:t>(</w:t>
      </w:r>
      <w:r w:rsidRPr="00AA537D">
        <w:rPr>
          <w:rStyle w:val="FootnoteReference"/>
          <w:spacing w:val="0"/>
          <w:rtl/>
        </w:rPr>
        <w:footnoteReference w:id="432"/>
      </w:r>
      <w:r w:rsidRPr="00AA537D">
        <w:rPr>
          <w:spacing w:val="0"/>
          <w:kern w:val="0"/>
          <w:vertAlign w:val="superscript"/>
          <w:rtl/>
        </w:rPr>
        <w:t>)</w:t>
      </w:r>
      <w:r w:rsidRPr="00AA537D">
        <w:rPr>
          <w:rFonts w:hint="cs"/>
          <w:spacing w:val="0"/>
          <w:kern w:val="0"/>
          <w:rtl/>
        </w:rPr>
        <w:t xml:space="preserve"> بدعوى أنهم يمثلون خطراً على الدولة الطرف وقد يسببون ضرراً كبيراً لأمنها وأمن بلدان أخرى. وتلاحظ اللجنة كذلك احتجاج المحامية بأن الإجراءات في الدولة الطرف التي أدت إلى تسليم أصحاب الشكوى كانت غير عادلة حيث لم يتم توفير مترجم شفوي لهم، وكان اتصالهم بالمحامين محدودا، ولم يتح للمحامين الاطلاع على الملفات. وتلاحظ اللجنة أيضاً تأكيد الدولة الطرف أن الإجراءات كانت تحت إشراف </w:t>
      </w:r>
      <w:r w:rsidRPr="00AA537D">
        <w:rPr>
          <w:spacing w:val="0"/>
          <w:kern w:val="0"/>
          <w:rtl/>
        </w:rPr>
        <w:t xml:space="preserve">مفوضية الأمم المتحدة السامية لشؤون اللاجئين </w:t>
      </w:r>
      <w:r w:rsidRPr="00AA537D">
        <w:rPr>
          <w:rFonts w:hint="cs"/>
          <w:spacing w:val="0"/>
          <w:kern w:val="0"/>
          <w:rtl/>
        </w:rPr>
        <w:t>وموظفين من مفوضية حقوق الإنسان في الدولة الطرف وأنهم لم</w:t>
      </w:r>
      <w:r w:rsidRPr="00AA537D">
        <w:rPr>
          <w:rFonts w:hint="eastAsia"/>
          <w:spacing w:val="0"/>
          <w:kern w:val="0"/>
          <w:rtl/>
        </w:rPr>
        <w:t> </w:t>
      </w:r>
      <w:r w:rsidRPr="00AA537D">
        <w:rPr>
          <w:rFonts w:hint="cs"/>
          <w:spacing w:val="0"/>
          <w:kern w:val="0"/>
          <w:rtl/>
        </w:rPr>
        <w:t xml:space="preserve">يتلقوا أية شكاوى وأن التمثيل القانوني والترجمة الشفوية كانا مكفولين. وفيما يتعلق بادعاء أصحاب الشكوى أنهم يتعرضون لخطر التعذيب في أوزبكستان، تلاحظ اللجنة احتجاج الدولة الطرف بأن أوزبكستان طرف في العهد الدولي الخاص بالحقوق المدنية والسياسية واتفاقية مناهضة التعذيب وأن أوزبكستان أصدرت ضمانات دبلوماسية لضمان عدم تعرض أصحاب الشكوى للتعذيب أو المعاملة القاسية أو اللاإنسانية أو المهينة. وتلاحظ أيضاً أنه وفقاً للدولة الطرف، أكدت أوزبكستان أنه يجوز للمنظمات الدولية أن تراقب مرافق الاحتجاز، وتلاحظ اللجنة أن المحامية تنفي ذلك وتؤكد أن قواعد اللجنة الدولية للصليب الأحمر لا تسمح بتقديم أي تقارير إلى سلطات الدولة الطرف وأن المنظمات المشار إليها لم تتمكن من تفقد مرافق الاحتجاز. وتلاحظ اللجنة كذلك أن </w:t>
      </w:r>
      <w:r w:rsidRPr="00AA537D">
        <w:rPr>
          <w:spacing w:val="0"/>
          <w:kern w:val="0"/>
          <w:rtl/>
        </w:rPr>
        <w:t xml:space="preserve">مفوضية الأمم المتحدة السامية لشؤون اللاجئين </w:t>
      </w:r>
      <w:r w:rsidRPr="00AA537D">
        <w:rPr>
          <w:rFonts w:hint="cs"/>
          <w:spacing w:val="0"/>
          <w:kern w:val="0"/>
          <w:rtl/>
        </w:rPr>
        <w:t>كانت ضد تسليم أربعة من الشاكين اﻟ 29 وأن المحامية لم</w:t>
      </w:r>
      <w:r w:rsidRPr="00AA537D">
        <w:rPr>
          <w:rFonts w:hint="eastAsia"/>
          <w:spacing w:val="0"/>
          <w:kern w:val="0"/>
          <w:rtl/>
        </w:rPr>
        <w:t> </w:t>
      </w:r>
      <w:r w:rsidRPr="00AA537D">
        <w:rPr>
          <w:rFonts w:hint="cs"/>
          <w:spacing w:val="0"/>
          <w:kern w:val="0"/>
          <w:rtl/>
        </w:rPr>
        <w:t xml:space="preserve">تتمكن من معرفة موقف المفوضية بالنسبة للآخرين. </w:t>
      </w:r>
    </w:p>
    <w:p w:rsidR="00FA6676" w:rsidRPr="00AA537D" w:rsidRDefault="00FA6676" w:rsidP="00AA537D">
      <w:pPr>
        <w:pStyle w:val="SingleTxtGA"/>
        <w:tabs>
          <w:tab w:val="clear" w:pos="1928"/>
          <w:tab w:val="left" w:pos="2163"/>
        </w:tabs>
        <w:jc w:val="lowKashida"/>
        <w:rPr>
          <w:rFonts w:hint="cs"/>
          <w:spacing w:val="0"/>
          <w:kern w:val="0"/>
          <w:rtl/>
        </w:rPr>
      </w:pPr>
      <w:r w:rsidRPr="00AA537D">
        <w:rPr>
          <w:rFonts w:hint="cs"/>
          <w:spacing w:val="0"/>
          <w:kern w:val="0"/>
          <w:rtl/>
        </w:rPr>
        <w:t>13-6</w:t>
      </w:r>
      <w:r w:rsidRPr="00AA537D">
        <w:rPr>
          <w:rFonts w:hint="cs"/>
          <w:spacing w:val="0"/>
          <w:kern w:val="0"/>
          <w:rtl/>
        </w:rPr>
        <w:tab/>
        <w:t>وفيما يتعلق بوجود نمط من الانتهاكات الجسيمة والفادحة والجماعية لحقوق الإنسان، تشير اللجنة إلى استنتاجاتها الختامية بشأن التقرير الدوري الثالث لأوزبكستان</w:t>
      </w:r>
      <w:r w:rsidRPr="00AA537D">
        <w:rPr>
          <w:spacing w:val="0"/>
          <w:kern w:val="0"/>
          <w:vertAlign w:val="superscript"/>
          <w:rtl/>
        </w:rPr>
        <w:t>(</w:t>
      </w:r>
      <w:r w:rsidRPr="00AA537D">
        <w:rPr>
          <w:rStyle w:val="FootnoteReference"/>
          <w:spacing w:val="0"/>
          <w:rtl/>
        </w:rPr>
        <w:footnoteReference w:id="433"/>
      </w:r>
      <w:r w:rsidRPr="00AA537D">
        <w:rPr>
          <w:spacing w:val="0"/>
          <w:kern w:val="0"/>
          <w:vertAlign w:val="superscript"/>
          <w:rtl/>
        </w:rPr>
        <w:t>)</w:t>
      </w:r>
      <w:r w:rsidRPr="00AA537D">
        <w:rPr>
          <w:rFonts w:hint="cs"/>
          <w:spacing w:val="0"/>
          <w:kern w:val="0"/>
          <w:rtl/>
        </w:rPr>
        <w:t xml:space="preserve">، حيث أعربت عن قلقها إزاء الادعاءات المتعددة والمستمرة والمنتظمة المتعلقة بالاستخدام الروتيني للتعذيب وغيره من ضروب المعاملة أو العقوبة القاسية أو اللاإنسانية أو المهينة من جانب الموظفين المكلفين بإنفاذ القانون وموظفي التحقيق، وتعرض الأشخاص الذين التمسوا اللجوء في الخارج والذين أعيدوا إلى البلد للاحتجاز في أماكن غير معروفة ومن المحتمل أن يكونوا قد تعرضوا لانتهاكات منافية لأحكام الاتفاقية. </w:t>
      </w:r>
    </w:p>
    <w:p w:rsidR="00FA6676" w:rsidRPr="00421AD5" w:rsidRDefault="00FA6676" w:rsidP="00AA537D">
      <w:pPr>
        <w:pStyle w:val="SingleTxtGA"/>
        <w:tabs>
          <w:tab w:val="clear" w:pos="1928"/>
          <w:tab w:val="left" w:pos="2163"/>
        </w:tabs>
        <w:jc w:val="lowKashida"/>
        <w:rPr>
          <w:rFonts w:hint="cs"/>
          <w:spacing w:val="-2"/>
          <w:kern w:val="0"/>
          <w:rtl/>
          <w:lang w:val="fr-CH"/>
        </w:rPr>
      </w:pPr>
      <w:r w:rsidRPr="00421AD5">
        <w:rPr>
          <w:rFonts w:hint="cs"/>
          <w:spacing w:val="-2"/>
          <w:kern w:val="0"/>
          <w:rtl/>
        </w:rPr>
        <w:t>13-7</w:t>
      </w:r>
      <w:r w:rsidRPr="00421AD5">
        <w:rPr>
          <w:rFonts w:hint="cs"/>
          <w:spacing w:val="-2"/>
          <w:kern w:val="0"/>
          <w:rtl/>
        </w:rPr>
        <w:tab/>
        <w:t>وتلاحظ اللجنة أن جميع أصحاب الشكوى اﻟ 29 من المسلمين وأنهم يمارسون شعائرهم طبقاً للتقارير خارج مؤسسات أوزبكستان الرسمية أو ينتمون إلى منظمات دينية متطرفة. وتلاحظ اللجنة أيضاً أنهم تم تسليمهم بناء على طلب أوزبكستان لاتهامهم بارتكاب جرائم خطيرة، منها التطرف الديني ومحاولة الإطاحة بالنظام الدستوري، وعلى أساس تقييم الدولة الطرف بأنهم يشكلون خطراً على مواطنيها ومواطني بلدان أخرى. وتكرر اللجنة قلقها، الذي أعربت عنه في ملاحظاتها الختامية، إزاء الإعادة القسرية لملتمسي اللجوء من أوزبكستان بدعوى الأمن الإقليمي، بما في ذلك مكافحة الإرهاب، دون معرفة أحوال الأشخاص الذين أُعيدوا وطريقة معاملتهم وأماكن وجودهم</w:t>
      </w:r>
      <w:r w:rsidRPr="00421AD5">
        <w:rPr>
          <w:spacing w:val="-2"/>
          <w:kern w:val="0"/>
          <w:vertAlign w:val="superscript"/>
          <w:rtl/>
        </w:rPr>
        <w:t>(</w:t>
      </w:r>
      <w:r w:rsidRPr="00421AD5">
        <w:rPr>
          <w:rStyle w:val="FootnoteReference"/>
          <w:spacing w:val="-2"/>
          <w:sz w:val="2"/>
          <w:szCs w:val="2"/>
          <w:rtl/>
        </w:rPr>
        <w:footnoteReference w:id="434"/>
      </w:r>
      <w:r w:rsidR="00B0061F" w:rsidRPr="00421AD5">
        <w:rPr>
          <w:rFonts w:hint="cs"/>
          <w:spacing w:val="-2"/>
          <w:kern w:val="0"/>
          <w:vertAlign w:val="superscript"/>
          <w:rtl/>
        </w:rPr>
        <w:t>أأ</w:t>
      </w:r>
      <w:r w:rsidRPr="00421AD5">
        <w:rPr>
          <w:spacing w:val="-2"/>
          <w:kern w:val="0"/>
          <w:vertAlign w:val="superscript"/>
          <w:rtl/>
        </w:rPr>
        <w:t>)</w:t>
      </w:r>
      <w:r w:rsidRPr="00421AD5">
        <w:rPr>
          <w:rFonts w:hint="cs"/>
          <w:spacing w:val="-2"/>
          <w:kern w:val="0"/>
          <w:rtl/>
        </w:rPr>
        <w:t>. وتلاحظ اللجنة أيضاً أن مبدأ عدم الرد المنصوص عليه في المادة 3 من الاتفاقية هو مبدأ مطلق وأن مبدأ مكافحة الإرهاب لا يعفي الدولة الطرف من الامتثال لالتزامها بالامتناع عن طرد أو إعادة (رد) الفرد إلى دولة أخرى عند وجود أسباب جدية تدعو إلى الاعتقاد بأنه سيتعرض فيها لخطر التعذيب</w:t>
      </w:r>
      <w:r w:rsidRPr="00421AD5">
        <w:rPr>
          <w:spacing w:val="-2"/>
          <w:kern w:val="0"/>
          <w:vertAlign w:val="superscript"/>
          <w:rtl/>
        </w:rPr>
        <w:t>(</w:t>
      </w:r>
      <w:r w:rsidRPr="00421AD5">
        <w:rPr>
          <w:rStyle w:val="FootnoteReference"/>
          <w:spacing w:val="-2"/>
          <w:sz w:val="2"/>
          <w:szCs w:val="2"/>
          <w:rtl/>
        </w:rPr>
        <w:footnoteReference w:id="435"/>
      </w:r>
      <w:r w:rsidR="00B0061F" w:rsidRPr="00421AD5">
        <w:rPr>
          <w:rFonts w:hint="cs"/>
          <w:spacing w:val="-2"/>
          <w:kern w:val="0"/>
          <w:vertAlign w:val="superscript"/>
          <w:rtl/>
        </w:rPr>
        <w:t>ب ب</w:t>
      </w:r>
      <w:r w:rsidRPr="00421AD5">
        <w:rPr>
          <w:spacing w:val="-2"/>
          <w:kern w:val="0"/>
          <w:vertAlign w:val="superscript"/>
          <w:rtl/>
        </w:rPr>
        <w:t>)</w:t>
      </w:r>
      <w:r w:rsidRPr="00421AD5">
        <w:rPr>
          <w:rFonts w:hint="cs"/>
          <w:spacing w:val="-2"/>
          <w:kern w:val="0"/>
          <w:rtl/>
        </w:rPr>
        <w:t>. وفي هذا السياق، تلاحظ اللجنة أيضاً أن مبدأ عدم الترحيل المنصوص عليه في المادة 3 من الاتفاقية مطلق حتى إذا تقرر، بعد تقييم حالة اللاجئ بموجب اتفاقية وضع اللاجئين لعام 1951، إلغاء وضعه كلاجئ بموجب المادة 1(واو)(ج) من اتفاقية عام 1951.</w:t>
      </w:r>
    </w:p>
    <w:p w:rsidR="00FA6676" w:rsidRPr="00AA537D" w:rsidRDefault="00FA6676" w:rsidP="00AA537D">
      <w:pPr>
        <w:pStyle w:val="SingleTxtGA"/>
        <w:tabs>
          <w:tab w:val="clear" w:pos="1928"/>
          <w:tab w:val="left" w:pos="2163"/>
        </w:tabs>
        <w:jc w:val="lowKashida"/>
        <w:rPr>
          <w:rFonts w:hint="cs"/>
          <w:spacing w:val="0"/>
          <w:kern w:val="0"/>
          <w:rtl/>
          <w:lang w:val="fr-CH"/>
        </w:rPr>
      </w:pPr>
      <w:r w:rsidRPr="00AA537D">
        <w:rPr>
          <w:rFonts w:hint="cs"/>
          <w:spacing w:val="0"/>
          <w:kern w:val="0"/>
          <w:rtl/>
          <w:lang w:val="fr-CH"/>
        </w:rPr>
        <w:t>13-8</w:t>
      </w:r>
      <w:r w:rsidRPr="00AA537D">
        <w:rPr>
          <w:rFonts w:hint="cs"/>
          <w:spacing w:val="0"/>
          <w:kern w:val="0"/>
          <w:rtl/>
          <w:lang w:val="fr-CH"/>
        </w:rPr>
        <w:tab/>
        <w:t xml:space="preserve">وفي الحالة قيد البحث، ترى اللجنة أنه يتبيّن، من استنتاجاتها الختامية السابقة ومن المعلومات المعروضة عليها، أن ثمة أدلة كافية على وجود نمط ثابت من الانتهاكات الجسيمة والواضحة أو الجماعية لحقوق الإنسان في أوزبكستان وعلى احتمال التعرض جدياً لخطر التعذيب أو غيره من ضروب المعاملة القاسية أو اللاإنسانية أو المهينة فيها، لا سيما للأشخاص الذين يمارسون شعائر أديانهم دون اتباع الطرق الرسمية. وأخذت اللجنة في الاعتبار أيضاً ادعاءات أصحاب الشكوى بأنهم تعرضوا للاضطهاد الديني، وأحياناً للاحتجاز والتعذيب، قبل فرارهم إلى كازاخستان. </w:t>
      </w:r>
    </w:p>
    <w:p w:rsidR="00FA6676" w:rsidRPr="00AA537D" w:rsidRDefault="00FA6676" w:rsidP="00421AD5">
      <w:pPr>
        <w:pStyle w:val="SingleTxtGA"/>
        <w:tabs>
          <w:tab w:val="clear" w:pos="1928"/>
          <w:tab w:val="left" w:pos="2163"/>
        </w:tabs>
        <w:spacing w:line="370" w:lineRule="exact"/>
        <w:jc w:val="lowKashida"/>
        <w:rPr>
          <w:rFonts w:hint="cs"/>
          <w:spacing w:val="0"/>
          <w:kern w:val="0"/>
          <w:rtl/>
        </w:rPr>
      </w:pPr>
      <w:r w:rsidRPr="00AA537D">
        <w:rPr>
          <w:rFonts w:hint="cs"/>
          <w:spacing w:val="0"/>
          <w:kern w:val="0"/>
          <w:rtl/>
          <w:lang w:val="fr-CH"/>
        </w:rPr>
        <w:t>13-9</w:t>
      </w:r>
      <w:r w:rsidRPr="00AA537D">
        <w:rPr>
          <w:rFonts w:hint="cs"/>
          <w:spacing w:val="0"/>
          <w:kern w:val="0"/>
          <w:rtl/>
          <w:lang w:val="fr-CH"/>
        </w:rPr>
        <w:tab/>
        <w:t xml:space="preserve">وتذكر اللجنة بأنها تولي، استناداً إلى التعليق العام رقم 1 بشأن تنفيذ المادة 3 من الاتفاقية، </w:t>
      </w:r>
      <w:r w:rsidRPr="00AA537D">
        <w:rPr>
          <w:rFonts w:hint="cs"/>
          <w:spacing w:val="0"/>
          <w:kern w:val="0"/>
          <w:rtl/>
        </w:rPr>
        <w:t xml:space="preserve">وزناً كبيراً </w:t>
      </w:r>
      <w:r w:rsidRPr="00AA537D">
        <w:rPr>
          <w:spacing w:val="0"/>
          <w:kern w:val="0"/>
          <w:rtl/>
        </w:rPr>
        <w:t>للحيثيات الوقائعية التي توفرها أجهزة الدولة الطرف المعنية</w:t>
      </w:r>
      <w:r w:rsidRPr="00AA537D">
        <w:rPr>
          <w:rFonts w:hint="cs"/>
          <w:spacing w:val="0"/>
          <w:kern w:val="0"/>
          <w:rtl/>
        </w:rPr>
        <w:t xml:space="preserve">، ولكنها </w:t>
      </w:r>
      <w:r w:rsidRPr="00AA537D">
        <w:rPr>
          <w:spacing w:val="0"/>
          <w:kern w:val="0"/>
          <w:rtl/>
        </w:rPr>
        <w:t>لا</w:t>
      </w:r>
      <w:r w:rsidR="00421AD5">
        <w:rPr>
          <w:rFonts w:hint="cs"/>
          <w:spacing w:val="0"/>
          <w:kern w:val="0"/>
          <w:rtl/>
        </w:rPr>
        <w:t> </w:t>
      </w:r>
      <w:r w:rsidRPr="00AA537D">
        <w:rPr>
          <w:spacing w:val="0"/>
          <w:kern w:val="0"/>
          <w:rtl/>
        </w:rPr>
        <w:t>تتقيد بهذه الحيثيات</w:t>
      </w:r>
      <w:r w:rsidRPr="00AA537D">
        <w:rPr>
          <w:rFonts w:hint="cs"/>
          <w:spacing w:val="0"/>
          <w:kern w:val="0"/>
          <w:rtl/>
        </w:rPr>
        <w:t>، ولها الحق، وفقاً لل</w:t>
      </w:r>
      <w:r w:rsidRPr="00AA537D">
        <w:rPr>
          <w:spacing w:val="0"/>
          <w:kern w:val="0"/>
          <w:rtl/>
        </w:rPr>
        <w:t>فقرة 4 من المادة 22 من الاتفاقية، في التقدير الحر للوقائع بناء على مجم</w:t>
      </w:r>
      <w:r w:rsidRPr="00AA537D">
        <w:rPr>
          <w:rFonts w:hint="cs"/>
          <w:spacing w:val="0"/>
          <w:kern w:val="0"/>
          <w:rtl/>
        </w:rPr>
        <w:t xml:space="preserve">ل الملابسات في </w:t>
      </w:r>
      <w:r w:rsidRPr="00AA537D">
        <w:rPr>
          <w:spacing w:val="0"/>
          <w:kern w:val="0"/>
          <w:rtl/>
        </w:rPr>
        <w:t>كل قضية</w:t>
      </w:r>
      <w:r w:rsidRPr="00AA537D">
        <w:rPr>
          <w:spacing w:val="0"/>
          <w:kern w:val="0"/>
          <w:vertAlign w:val="superscript"/>
          <w:rtl/>
        </w:rPr>
        <w:t>(</w:t>
      </w:r>
      <w:r w:rsidRPr="00421AD5">
        <w:rPr>
          <w:rStyle w:val="FootnoteReference"/>
          <w:spacing w:val="0"/>
          <w:sz w:val="2"/>
          <w:szCs w:val="2"/>
          <w:rtl/>
        </w:rPr>
        <w:footnoteReference w:id="436"/>
      </w:r>
      <w:r w:rsidR="00421AD5">
        <w:rPr>
          <w:rFonts w:hint="cs"/>
          <w:spacing w:val="0"/>
          <w:kern w:val="0"/>
          <w:vertAlign w:val="superscript"/>
          <w:rtl/>
        </w:rPr>
        <w:t>ج ج</w:t>
      </w:r>
      <w:r w:rsidRPr="00AA537D">
        <w:rPr>
          <w:spacing w:val="0"/>
          <w:kern w:val="0"/>
          <w:vertAlign w:val="superscript"/>
          <w:rtl/>
        </w:rPr>
        <w:t>)</w:t>
      </w:r>
      <w:r w:rsidRPr="00AA537D">
        <w:rPr>
          <w:spacing w:val="0"/>
          <w:kern w:val="0"/>
          <w:rtl/>
        </w:rPr>
        <w:t xml:space="preserve">. </w:t>
      </w:r>
      <w:r w:rsidRPr="00AA537D">
        <w:rPr>
          <w:rFonts w:hint="cs"/>
          <w:spacing w:val="0"/>
          <w:kern w:val="0"/>
          <w:rtl/>
        </w:rPr>
        <w:t>وفي الحالة قيد البحث، تلاحظ اللجنة أن الدولة الطرف لم تقدم أدلة سواء كتابية أو شفوية للرد على ادعاءات أصحاب الشكوى بعدم توفير متطلبات المحاكمة العادلة لهم (مثل وقت كاف لإعداد الدفاع، والاستفادة المحدودة من خدمات المحامين والترجمة الشفوية)، وعدم تقييم خطر التعرض كل واحد من أصحاب الشكوى شخصياً للتعذيب عند عودته إلى أوزبكستان. وتلاحظ اللجنة أنه بينما أشارت محكمة الدرجة الأولى إلى التشريعات المحلية واتفاقية عام 1951 بشأن وضع اللاجئين (عرضت بعض الأحكام على اللجنة) فإنها لم تجر تقييما لدى تعرض فرادى الأشخاص للمخاطر وفقاً للمادة 3 من الاتفاقية أو مبدأ عدم الرد في التشريع الداخلي. كذلك، لم تحترم الدولة الطرف التدابير المؤقتة التي طلبتها اللجنة. ولم تبحث الدولة الطرف أيضاً الحجج التي قدمها أصحاب الشكوى بشأن عدم توفير محاكمة عادلة لهم واحتمال تعرضهم للتعذيب عند العودة إلى أوزبكستان. وتخلص اللجنة إلى أن الدولة الطرف لم تبحث طبقاً للأصول الواجبة ادعاءات أصحاب الشكاوى بأنهم سيتعرضون لخطر متوقع وحقيقي وشخصي للتعذيب عند عودتهم إلى أوزبكستان. وفي سياق الحالة قيد البحث، ومع مراعاة المذكرات الكتابية والشفوية المقدمة من الطرفين، تخلص اللجنة إلى أن أصحاب الشكوى، الذين اتهموا جميعاً بالتطرف الديني أو</w:t>
      </w:r>
      <w:r w:rsidRPr="00AA537D">
        <w:rPr>
          <w:rFonts w:hint="eastAsia"/>
          <w:spacing w:val="0"/>
          <w:kern w:val="0"/>
          <w:rtl/>
        </w:rPr>
        <w:t> </w:t>
      </w:r>
      <w:r w:rsidRPr="00AA537D">
        <w:rPr>
          <w:rFonts w:hint="cs"/>
          <w:spacing w:val="0"/>
          <w:kern w:val="0"/>
          <w:rtl/>
        </w:rPr>
        <w:t>بالعضوية في منظمات متطرفة أو إرهابية في أوزبكستان والذين قامت الدولة الطرف بتسليمهم بناء على هذه الاتهامات، أقاموا الدليل على تعرضهم المتوقع والحقيقي والشخصي لخطر التعذيب لدى عودتهم إلى أوزبكستان. وعليه، تخلص اللجنة في ظروف الحالة قيد البحث إلى أن تسليم الدولة الطرف أصحاب الشكوى إلى أوزبكستان يشكل خرقاً للمادة 3 من الاتفاقية.</w:t>
      </w:r>
    </w:p>
    <w:p w:rsidR="00FA6676" w:rsidRPr="00AA537D" w:rsidRDefault="00FA6676" w:rsidP="001A08AE">
      <w:pPr>
        <w:pStyle w:val="SingleTxtGA"/>
        <w:tabs>
          <w:tab w:val="clear" w:pos="1928"/>
          <w:tab w:val="left" w:pos="2163"/>
        </w:tabs>
        <w:jc w:val="lowKashida"/>
        <w:rPr>
          <w:rFonts w:hint="cs"/>
          <w:spacing w:val="0"/>
          <w:kern w:val="0"/>
          <w:rtl/>
          <w:lang w:val="fr-CH"/>
        </w:rPr>
      </w:pPr>
      <w:r w:rsidRPr="00AA537D">
        <w:rPr>
          <w:rFonts w:hint="cs"/>
          <w:spacing w:val="0"/>
          <w:kern w:val="0"/>
          <w:rtl/>
          <w:lang w:val="fr-CH"/>
        </w:rPr>
        <w:t>13-10</w:t>
      </w:r>
      <w:r w:rsidRPr="00AA537D">
        <w:rPr>
          <w:rFonts w:hint="cs"/>
          <w:spacing w:val="0"/>
          <w:kern w:val="0"/>
          <w:rtl/>
          <w:lang w:val="fr-CH"/>
        </w:rPr>
        <w:tab/>
        <w:t>وفضلا عن ذلك، أشارت الدولة الطرف إلى حصولها على ضمانات دبلوماسية كافية للحماية من هذا الخطر الواضح. بيد أن اللجنة تذكّر بأنه لا يجوز الاحتجاج بالضمانات الدبلوماسية للامتناع عن تطبيق مبدأ عدم الرد. وتلاحظ اللجنة أن الدولة الطرف لم تقدم أي تفاصيل محددة لقيامها بأي شكل من أشكال الرصد أو لاتخاذها خطوات لضمان موضوعية وحياد هذا الرصد وأن</w:t>
      </w:r>
      <w:r w:rsidR="001A08AE">
        <w:rPr>
          <w:rFonts w:hint="cs"/>
          <w:spacing w:val="0"/>
          <w:kern w:val="0"/>
          <w:rtl/>
          <w:lang w:val="fr-CH"/>
        </w:rPr>
        <w:t>ه</w:t>
      </w:r>
      <w:r w:rsidRPr="00AA537D">
        <w:rPr>
          <w:rFonts w:hint="cs"/>
          <w:spacing w:val="0"/>
          <w:kern w:val="0"/>
          <w:rtl/>
          <w:lang w:val="fr-CH"/>
        </w:rPr>
        <w:t xml:space="preserve"> جدير بالثقة.</w:t>
      </w:r>
    </w:p>
    <w:p w:rsidR="00FA6676" w:rsidRPr="00AA537D" w:rsidRDefault="00FA6676" w:rsidP="00AA537D">
      <w:pPr>
        <w:pStyle w:val="SingleTxtGA"/>
        <w:jc w:val="lowKashida"/>
        <w:rPr>
          <w:rFonts w:hint="cs"/>
          <w:spacing w:val="0"/>
          <w:kern w:val="0"/>
          <w:rtl/>
        </w:rPr>
      </w:pPr>
      <w:r w:rsidRPr="00AA537D">
        <w:rPr>
          <w:rFonts w:hint="cs"/>
          <w:spacing w:val="0"/>
          <w:kern w:val="0"/>
          <w:rtl/>
        </w:rPr>
        <w:t>14-</w:t>
      </w:r>
      <w:r w:rsidRPr="00AA537D">
        <w:rPr>
          <w:rFonts w:hint="cs"/>
          <w:spacing w:val="0"/>
          <w:kern w:val="0"/>
          <w:rtl/>
        </w:rPr>
        <w:tab/>
      </w:r>
      <w:r w:rsidRPr="00AA537D">
        <w:rPr>
          <w:spacing w:val="0"/>
          <w:kern w:val="0"/>
          <w:rtl/>
        </w:rPr>
        <w:t>وتقرر لجنة مناهضة التعذيب، عملاً بالفقرة 7 من المادة 22 من اتفاقية مناهضة التعذيب وغيره من ضروب المعاملة أو العقوبة القاسية أو اللاإنسانية أو المهينة، أن الوقائع المعروضة عليها تمثل انتهاكاً من الدولة الطرف للمادتين 3 و22 من الاتفاقية.</w:t>
      </w:r>
    </w:p>
    <w:p w:rsidR="00FA6676" w:rsidRPr="00AA537D" w:rsidRDefault="00FA6676" w:rsidP="00AA537D">
      <w:pPr>
        <w:pStyle w:val="SingleTxtGA"/>
        <w:jc w:val="lowKashida"/>
        <w:rPr>
          <w:spacing w:val="0"/>
          <w:kern w:val="0"/>
          <w:rtl/>
        </w:rPr>
      </w:pPr>
      <w:r w:rsidRPr="00AA537D">
        <w:rPr>
          <w:rFonts w:hint="cs"/>
          <w:spacing w:val="0"/>
          <w:kern w:val="0"/>
          <w:rtl/>
        </w:rPr>
        <w:t>15-</w:t>
      </w:r>
      <w:r w:rsidRPr="00AA537D">
        <w:rPr>
          <w:rFonts w:hint="cs"/>
          <w:spacing w:val="0"/>
          <w:kern w:val="0"/>
          <w:rtl/>
        </w:rPr>
        <w:tab/>
      </w:r>
      <w:r w:rsidRPr="00AA537D">
        <w:rPr>
          <w:spacing w:val="0"/>
          <w:kern w:val="0"/>
          <w:rtl/>
        </w:rPr>
        <w:t>وتحث اللجنة الدولة الطرف، وفقاً للفقرة 5 من المادة 118 من نظامها الداخلي</w:t>
      </w:r>
      <w:r w:rsidRPr="00AA537D">
        <w:rPr>
          <w:rFonts w:hint="cs"/>
          <w:spacing w:val="0"/>
          <w:kern w:val="0"/>
          <w:rtl/>
        </w:rPr>
        <w:t>،</w:t>
      </w:r>
      <w:r w:rsidRPr="00AA537D">
        <w:rPr>
          <w:spacing w:val="0"/>
          <w:kern w:val="0"/>
          <w:rtl/>
        </w:rPr>
        <w:t xml:space="preserve"> على</w:t>
      </w:r>
      <w:r w:rsidRPr="00AA537D">
        <w:rPr>
          <w:rFonts w:hint="cs"/>
          <w:spacing w:val="0"/>
          <w:kern w:val="0"/>
          <w:rtl/>
        </w:rPr>
        <w:t xml:space="preserve"> اتخاذ الإجراءات اللازمة لتقديم الجبر لأصحاب </w:t>
      </w:r>
      <w:r w:rsidRPr="00AA537D">
        <w:rPr>
          <w:spacing w:val="0"/>
          <w:kern w:val="0"/>
          <w:rtl/>
        </w:rPr>
        <w:t xml:space="preserve">الشكوى، بما في ذلك </w:t>
      </w:r>
      <w:r w:rsidRPr="00AA537D">
        <w:rPr>
          <w:rFonts w:hint="cs"/>
          <w:spacing w:val="0"/>
          <w:kern w:val="0"/>
          <w:rtl/>
        </w:rPr>
        <w:t xml:space="preserve">لإعادتهم إلى كازاخستان ودفع تعويض مناسب لهم. </w:t>
      </w:r>
      <w:r w:rsidRPr="00AA537D">
        <w:rPr>
          <w:spacing w:val="0"/>
          <w:kern w:val="0"/>
          <w:rtl/>
        </w:rPr>
        <w:t>وترغب اللجنة في أن يتم إبلاغها، في غضون 90 يوماً، بالخطوات التي اتخذتها الدولة الطرف استجابة لهذ</w:t>
      </w:r>
      <w:r w:rsidRPr="00AA537D">
        <w:rPr>
          <w:rFonts w:hint="cs"/>
          <w:spacing w:val="0"/>
          <w:kern w:val="0"/>
          <w:rtl/>
        </w:rPr>
        <w:t>ه الآراء</w:t>
      </w:r>
      <w:r w:rsidRPr="00AA537D">
        <w:rPr>
          <w:spacing w:val="0"/>
          <w:kern w:val="0"/>
          <w:rtl/>
        </w:rPr>
        <w:t>.</w:t>
      </w:r>
    </w:p>
    <w:p w:rsidR="00FA6676" w:rsidRPr="00AA537D" w:rsidRDefault="00FA6676" w:rsidP="00AA537D">
      <w:pPr>
        <w:pStyle w:val="SingleTxtGA"/>
        <w:jc w:val="lowKashida"/>
        <w:rPr>
          <w:rFonts w:hint="cs"/>
          <w:spacing w:val="0"/>
          <w:kern w:val="0"/>
          <w:rtl/>
        </w:rPr>
      </w:pPr>
    </w:p>
    <w:p w:rsidR="00421AD5" w:rsidRDefault="00421AD5" w:rsidP="00AA537D">
      <w:pPr>
        <w:pStyle w:val="HChGA"/>
        <w:jc w:val="lowKashida"/>
        <w:rPr>
          <w:spacing w:val="0"/>
          <w:kern w:val="0"/>
          <w:rtl/>
          <w:lang w:bidi="ar-SY"/>
        </w:rPr>
        <w:sectPr w:rsidR="00421AD5"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FA6676" w:rsidRPr="00AA537D" w:rsidRDefault="00FA6676" w:rsidP="00421AD5">
      <w:pPr>
        <w:pStyle w:val="H1GA"/>
        <w:spacing w:before="120"/>
        <w:rPr>
          <w:rFonts w:hint="cs"/>
          <w:kern w:val="0"/>
          <w:rtl/>
          <w:lang w:bidi="ar-SY"/>
        </w:rPr>
      </w:pPr>
      <w:r w:rsidRPr="00AA537D">
        <w:rPr>
          <w:rFonts w:hint="cs"/>
          <w:kern w:val="0"/>
          <w:rtl/>
          <w:lang w:bidi="ar-SY"/>
        </w:rPr>
        <w:tab/>
      </w:r>
      <w:r w:rsidRPr="00AA537D">
        <w:rPr>
          <w:rFonts w:hint="cs"/>
          <w:kern w:val="0"/>
          <w:rtl/>
          <w:lang w:bidi="ar-SY"/>
        </w:rPr>
        <w:tab/>
        <w:t xml:space="preserve">البلاغ رقم 453/2011: </w:t>
      </w:r>
      <w:r w:rsidRPr="00421AD5">
        <w:rPr>
          <w:rFonts w:hint="cs"/>
          <w:i/>
          <w:iCs/>
          <w:kern w:val="0"/>
          <w:rtl/>
          <w:lang w:bidi="ar-SY"/>
        </w:rPr>
        <w:t>غالاستيغي صوديوب ضد إسبانيا</w:t>
      </w:r>
    </w:p>
    <w:p w:rsidR="00FA6676" w:rsidRPr="00AA537D" w:rsidRDefault="00FA6676" w:rsidP="00B1101B">
      <w:pPr>
        <w:pStyle w:val="SingleTxtGA"/>
        <w:tabs>
          <w:tab w:val="clear" w:pos="1928"/>
          <w:tab w:val="clear" w:pos="2608"/>
          <w:tab w:val="clear" w:pos="3289"/>
          <w:tab w:val="clear" w:pos="3969"/>
          <w:tab w:val="clear" w:pos="4649"/>
          <w:tab w:val="clear" w:pos="5330"/>
        </w:tabs>
        <w:ind w:left="4309" w:hanging="2381"/>
        <w:jc w:val="lowKashida"/>
        <w:rPr>
          <w:rFonts w:hint="cs"/>
          <w:i/>
          <w:iCs/>
          <w:spacing w:val="0"/>
          <w:kern w:val="0"/>
          <w:rtl/>
          <w:lang w:bidi="ar-SY"/>
        </w:rPr>
      </w:pPr>
      <w:r w:rsidRPr="00AA537D">
        <w:rPr>
          <w:rFonts w:hint="cs"/>
          <w:i/>
          <w:iCs/>
          <w:spacing w:val="0"/>
          <w:kern w:val="0"/>
          <w:rtl/>
          <w:lang w:bidi="ar-SY"/>
        </w:rPr>
        <w:t>المقدم من:</w:t>
      </w:r>
      <w:r w:rsidRPr="00AA537D">
        <w:rPr>
          <w:rFonts w:hint="cs"/>
          <w:i/>
          <w:iCs/>
          <w:spacing w:val="0"/>
          <w:kern w:val="0"/>
          <w:rtl/>
          <w:lang w:bidi="ar-SY"/>
        </w:rPr>
        <w:tab/>
      </w:r>
      <w:r w:rsidRPr="00AA537D">
        <w:rPr>
          <w:rFonts w:hint="cs"/>
          <w:spacing w:val="0"/>
          <w:kern w:val="0"/>
          <w:rtl/>
          <w:lang w:bidi="ar-SY"/>
        </w:rPr>
        <w:t>أوسكارتز غالاستيغي صوديوب</w:t>
      </w:r>
      <w:r w:rsidRPr="00AA537D">
        <w:rPr>
          <w:spacing w:val="0"/>
          <w:kern w:val="0"/>
          <w:rtl/>
          <w:lang w:bidi="ar-SY"/>
        </w:rPr>
        <w:t xml:space="preserve"> </w:t>
      </w:r>
    </w:p>
    <w:p w:rsidR="00FA6676" w:rsidRPr="00AA537D" w:rsidRDefault="00FA6676" w:rsidP="00B1101B">
      <w:pPr>
        <w:pStyle w:val="SingleTxtGA"/>
        <w:tabs>
          <w:tab w:val="clear" w:pos="1928"/>
          <w:tab w:val="clear" w:pos="2608"/>
          <w:tab w:val="clear" w:pos="3289"/>
          <w:tab w:val="clear" w:pos="3969"/>
          <w:tab w:val="clear" w:pos="4649"/>
          <w:tab w:val="clear" w:pos="5330"/>
        </w:tabs>
        <w:ind w:left="4309" w:hanging="2381"/>
        <w:jc w:val="lowKashida"/>
        <w:rPr>
          <w:rFonts w:hint="cs"/>
          <w:spacing w:val="0"/>
          <w:kern w:val="0"/>
          <w:rtl/>
        </w:rPr>
      </w:pPr>
      <w:r w:rsidRPr="00AA537D">
        <w:rPr>
          <w:rFonts w:hint="cs"/>
          <w:i/>
          <w:iCs/>
          <w:spacing w:val="0"/>
          <w:kern w:val="0"/>
          <w:rtl/>
          <w:lang w:bidi="ar-SY"/>
        </w:rPr>
        <w:t>الشخص المدعى أنه ضحية:</w:t>
      </w:r>
      <w:r w:rsidRPr="00AA537D">
        <w:rPr>
          <w:rFonts w:hint="cs"/>
          <w:spacing w:val="0"/>
          <w:kern w:val="0"/>
          <w:rtl/>
          <w:lang w:bidi="ar-SY"/>
        </w:rPr>
        <w:tab/>
      </w:r>
      <w:r w:rsidRPr="00AA537D">
        <w:rPr>
          <w:spacing w:val="0"/>
          <w:kern w:val="0"/>
          <w:rtl/>
          <w:lang w:bidi="ar-SY"/>
        </w:rPr>
        <w:t xml:space="preserve">صاحب </w:t>
      </w:r>
      <w:r w:rsidRPr="00AA537D">
        <w:rPr>
          <w:rFonts w:hint="cs"/>
          <w:spacing w:val="0"/>
          <w:kern w:val="0"/>
          <w:rtl/>
          <w:lang w:bidi="ar-SY"/>
        </w:rPr>
        <w:t>الشكوى</w:t>
      </w:r>
    </w:p>
    <w:p w:rsidR="00FA6676" w:rsidRPr="00AA537D" w:rsidRDefault="00FA6676" w:rsidP="00B1101B">
      <w:pPr>
        <w:pStyle w:val="SingleTxtGA"/>
        <w:tabs>
          <w:tab w:val="clear" w:pos="1928"/>
          <w:tab w:val="clear" w:pos="2608"/>
          <w:tab w:val="clear" w:pos="3289"/>
          <w:tab w:val="clear" w:pos="3969"/>
          <w:tab w:val="clear" w:pos="4649"/>
          <w:tab w:val="clear" w:pos="5330"/>
        </w:tabs>
        <w:ind w:left="4309" w:hanging="2381"/>
        <w:jc w:val="lowKashida"/>
        <w:rPr>
          <w:rFonts w:hint="cs"/>
          <w:spacing w:val="0"/>
          <w:kern w:val="0"/>
          <w:rtl/>
          <w:lang w:bidi="ar-SY"/>
        </w:rPr>
      </w:pPr>
      <w:r w:rsidRPr="00AA537D">
        <w:rPr>
          <w:rFonts w:hint="cs"/>
          <w:i/>
          <w:iCs/>
          <w:spacing w:val="0"/>
          <w:kern w:val="0"/>
          <w:rtl/>
          <w:lang w:bidi="ar-SY"/>
        </w:rPr>
        <w:t>الدولة الطرف:</w:t>
      </w:r>
      <w:r w:rsidRPr="00AA537D">
        <w:rPr>
          <w:rFonts w:hint="cs"/>
          <w:spacing w:val="0"/>
          <w:kern w:val="0"/>
          <w:rtl/>
          <w:lang w:bidi="ar-SY"/>
        </w:rPr>
        <w:tab/>
        <w:t>إسبانيا</w:t>
      </w:r>
    </w:p>
    <w:p w:rsidR="00FA6676" w:rsidRPr="00B1101B" w:rsidRDefault="00FA6676" w:rsidP="00B1101B">
      <w:pPr>
        <w:pStyle w:val="SingleTxtGA"/>
        <w:tabs>
          <w:tab w:val="clear" w:pos="1928"/>
          <w:tab w:val="clear" w:pos="2608"/>
          <w:tab w:val="clear" w:pos="3289"/>
          <w:tab w:val="clear" w:pos="3969"/>
          <w:tab w:val="clear" w:pos="4649"/>
          <w:tab w:val="clear" w:pos="5330"/>
        </w:tabs>
        <w:ind w:left="4309" w:hanging="2381"/>
        <w:jc w:val="lowKashida"/>
        <w:rPr>
          <w:rFonts w:hint="cs"/>
          <w:spacing w:val="-4"/>
          <w:kern w:val="0"/>
          <w:rtl/>
          <w:lang w:bidi="ar-SY"/>
        </w:rPr>
      </w:pPr>
      <w:r w:rsidRPr="00B1101B">
        <w:rPr>
          <w:rFonts w:hint="cs"/>
          <w:i/>
          <w:iCs/>
          <w:spacing w:val="-4"/>
          <w:kern w:val="0"/>
          <w:rtl/>
          <w:lang w:bidi="ar-SY"/>
        </w:rPr>
        <w:t>تاريخ تقديم الشكوى:</w:t>
      </w:r>
      <w:r w:rsidRPr="00B1101B">
        <w:rPr>
          <w:rFonts w:hint="cs"/>
          <w:spacing w:val="-4"/>
          <w:kern w:val="0"/>
          <w:rtl/>
          <w:lang w:bidi="ar-SY"/>
        </w:rPr>
        <w:tab/>
        <w:t>20</w:t>
      </w:r>
      <w:r w:rsidRPr="00B1101B">
        <w:rPr>
          <w:spacing w:val="-4"/>
          <w:kern w:val="0"/>
          <w:rtl/>
          <w:lang w:bidi="ar-SY"/>
        </w:rPr>
        <w:t xml:space="preserve"> </w:t>
      </w:r>
      <w:r w:rsidRPr="00B1101B">
        <w:rPr>
          <w:rFonts w:hint="cs"/>
          <w:spacing w:val="-4"/>
          <w:kern w:val="0"/>
          <w:rtl/>
          <w:lang w:bidi="ar-SY"/>
        </w:rPr>
        <w:t>كانون</w:t>
      </w:r>
      <w:r w:rsidRPr="00B1101B">
        <w:rPr>
          <w:spacing w:val="-4"/>
          <w:kern w:val="0"/>
          <w:rtl/>
          <w:lang w:bidi="ar-SY"/>
        </w:rPr>
        <w:t xml:space="preserve"> الثاني/</w:t>
      </w:r>
      <w:r w:rsidRPr="00B1101B">
        <w:rPr>
          <w:rFonts w:hint="cs"/>
          <w:spacing w:val="-4"/>
          <w:kern w:val="0"/>
          <w:rtl/>
          <w:lang w:bidi="ar-SY"/>
        </w:rPr>
        <w:t>يناير</w:t>
      </w:r>
      <w:r w:rsidRPr="00B1101B">
        <w:rPr>
          <w:spacing w:val="-4"/>
          <w:kern w:val="0"/>
          <w:rtl/>
          <w:lang w:bidi="ar-SY"/>
        </w:rPr>
        <w:t xml:space="preserve"> </w:t>
      </w:r>
      <w:r w:rsidRPr="00B1101B">
        <w:rPr>
          <w:rFonts w:hint="cs"/>
          <w:spacing w:val="-4"/>
          <w:kern w:val="0"/>
          <w:rtl/>
          <w:lang w:bidi="ar-SY"/>
        </w:rPr>
        <w:t>2011</w:t>
      </w:r>
      <w:r w:rsidRPr="00B1101B">
        <w:rPr>
          <w:spacing w:val="-4"/>
          <w:kern w:val="0"/>
          <w:rtl/>
          <w:lang w:bidi="ar-SY"/>
        </w:rPr>
        <w:t xml:space="preserve"> (تاريخ الرسالة الأولى)</w:t>
      </w:r>
    </w:p>
    <w:p w:rsidR="00FA6676" w:rsidRPr="00AA537D" w:rsidRDefault="00FA6676" w:rsidP="00E86FDB">
      <w:pPr>
        <w:pStyle w:val="SingleTxtGA"/>
        <w:jc w:val="lowKashida"/>
        <w:rPr>
          <w:rFonts w:hint="cs"/>
          <w:spacing w:val="0"/>
          <w:kern w:val="0"/>
          <w:sz w:val="30"/>
          <w:szCs w:val="20"/>
          <w:rtl/>
        </w:rPr>
      </w:pPr>
      <w:r w:rsidRPr="00AA537D">
        <w:rPr>
          <w:rFonts w:hint="cs"/>
          <w:i/>
          <w:iCs/>
          <w:spacing w:val="0"/>
          <w:kern w:val="0"/>
          <w:rtl/>
          <w:lang w:bidi="ar-SY"/>
        </w:rPr>
        <w:tab/>
        <w:t>إن لجنة مناهضة التعذيب</w:t>
      </w:r>
      <w:r w:rsidRPr="00AA537D">
        <w:rPr>
          <w:rFonts w:hint="cs"/>
          <w:spacing w:val="0"/>
          <w:kern w:val="0"/>
          <w:rtl/>
          <w:lang w:bidi="ar-SY"/>
        </w:rPr>
        <w:t xml:space="preserve">، المنشأة بموجب المادة 17 من </w:t>
      </w:r>
      <w:r w:rsidRPr="00AA537D">
        <w:rPr>
          <w:spacing w:val="0"/>
          <w:kern w:val="0"/>
          <w:rtl/>
          <w:lang w:bidi="ar-SY"/>
        </w:rPr>
        <w:t>اتفاقية مناهضة التعذيب وغيره من ضروب المعاملة أو العقوبة القاسية أو اللاإنسانية أو المهينة</w:t>
      </w:r>
      <w:r w:rsidRPr="00AA537D">
        <w:rPr>
          <w:rFonts w:hint="cs"/>
          <w:spacing w:val="0"/>
          <w:kern w:val="0"/>
          <w:rtl/>
          <w:lang w:bidi="ar-SY"/>
        </w:rPr>
        <w:t>،</w:t>
      </w:r>
    </w:p>
    <w:p w:rsidR="00FA6676" w:rsidRPr="00AA537D" w:rsidRDefault="00FA6676" w:rsidP="00E86FDB">
      <w:pPr>
        <w:pStyle w:val="SingleTxtGA"/>
        <w:jc w:val="lowKashida"/>
        <w:rPr>
          <w:rFonts w:hint="cs"/>
          <w:spacing w:val="0"/>
          <w:kern w:val="0"/>
          <w:rtl/>
          <w:lang w:bidi="ar-SY"/>
        </w:rPr>
      </w:pPr>
      <w:r w:rsidRPr="00AA537D">
        <w:rPr>
          <w:rFonts w:hint="cs"/>
          <w:i/>
          <w:iCs/>
          <w:spacing w:val="0"/>
          <w:kern w:val="0"/>
          <w:rtl/>
          <w:lang w:bidi="ar-SY"/>
        </w:rPr>
        <w:tab/>
        <w:t>وقد اجتمعت</w:t>
      </w:r>
      <w:r w:rsidRPr="00AA537D">
        <w:rPr>
          <w:rFonts w:hint="cs"/>
          <w:spacing w:val="0"/>
          <w:kern w:val="0"/>
          <w:rtl/>
          <w:lang w:bidi="ar-SY"/>
        </w:rPr>
        <w:t xml:space="preserve"> في 23</w:t>
      </w:r>
      <w:r w:rsidRPr="00AA537D">
        <w:rPr>
          <w:spacing w:val="0"/>
          <w:kern w:val="0"/>
          <w:rtl/>
          <w:lang w:bidi="ar-SY"/>
        </w:rPr>
        <w:t xml:space="preserve"> </w:t>
      </w:r>
      <w:r w:rsidRPr="00AA537D">
        <w:rPr>
          <w:rFonts w:hint="cs"/>
          <w:spacing w:val="0"/>
          <w:kern w:val="0"/>
          <w:rtl/>
          <w:lang w:bidi="ar-SY"/>
        </w:rPr>
        <w:t>أيار</w:t>
      </w:r>
      <w:r w:rsidRPr="00AA537D">
        <w:rPr>
          <w:spacing w:val="0"/>
          <w:kern w:val="0"/>
          <w:rtl/>
          <w:lang w:bidi="ar-SY"/>
        </w:rPr>
        <w:t>/</w:t>
      </w:r>
      <w:r w:rsidRPr="00AA537D">
        <w:rPr>
          <w:rFonts w:hint="cs"/>
          <w:spacing w:val="0"/>
          <w:kern w:val="0"/>
          <w:rtl/>
          <w:lang w:bidi="ar-SY"/>
        </w:rPr>
        <w:t>مايو</w:t>
      </w:r>
      <w:r w:rsidRPr="00AA537D">
        <w:rPr>
          <w:spacing w:val="0"/>
          <w:kern w:val="0"/>
          <w:rtl/>
          <w:lang w:bidi="ar-SY"/>
        </w:rPr>
        <w:t xml:space="preserve"> 201</w:t>
      </w:r>
      <w:r w:rsidRPr="00AA537D">
        <w:rPr>
          <w:rFonts w:hint="cs"/>
          <w:spacing w:val="0"/>
          <w:kern w:val="0"/>
          <w:rtl/>
          <w:lang w:bidi="ar-SY"/>
        </w:rPr>
        <w:t>1،</w:t>
      </w:r>
    </w:p>
    <w:p w:rsidR="00FA6676" w:rsidRPr="00AA537D" w:rsidRDefault="00FA6676" w:rsidP="00E86FDB">
      <w:pPr>
        <w:pStyle w:val="SingleTxtGA"/>
        <w:jc w:val="lowKashida"/>
        <w:rPr>
          <w:rFonts w:hint="cs"/>
          <w:spacing w:val="0"/>
          <w:kern w:val="0"/>
          <w:rtl/>
          <w:lang w:bidi="ar-SY"/>
        </w:rPr>
      </w:pPr>
      <w:r w:rsidRPr="00AA537D">
        <w:rPr>
          <w:rFonts w:hint="cs"/>
          <w:i/>
          <w:iCs/>
          <w:spacing w:val="0"/>
          <w:kern w:val="0"/>
          <w:rtl/>
          <w:lang w:bidi="ar-SY"/>
        </w:rPr>
        <w:tab/>
        <w:t>وقد فرغت</w:t>
      </w:r>
      <w:r w:rsidRPr="00AA537D">
        <w:rPr>
          <w:rFonts w:hint="cs"/>
          <w:spacing w:val="0"/>
          <w:kern w:val="0"/>
          <w:rtl/>
          <w:lang w:bidi="ar-SY"/>
        </w:rPr>
        <w:t xml:space="preserve"> من النظر في الشكوى</w:t>
      </w:r>
      <w:r w:rsidRPr="00AA537D">
        <w:rPr>
          <w:spacing w:val="0"/>
          <w:kern w:val="0"/>
          <w:rtl/>
          <w:lang w:bidi="ar-SY"/>
        </w:rPr>
        <w:t xml:space="preserve"> رقم </w:t>
      </w:r>
      <w:r w:rsidRPr="00AA537D">
        <w:rPr>
          <w:rFonts w:hint="cs"/>
          <w:spacing w:val="0"/>
          <w:kern w:val="0"/>
          <w:rtl/>
          <w:lang w:bidi="ar-SY"/>
        </w:rPr>
        <w:t>453</w:t>
      </w:r>
      <w:r w:rsidRPr="00AA537D">
        <w:rPr>
          <w:spacing w:val="0"/>
          <w:kern w:val="0"/>
          <w:rtl/>
          <w:lang w:bidi="ar-SY"/>
        </w:rPr>
        <w:t>/</w:t>
      </w:r>
      <w:r w:rsidRPr="00AA537D">
        <w:rPr>
          <w:rFonts w:hint="cs"/>
          <w:spacing w:val="0"/>
          <w:kern w:val="0"/>
          <w:rtl/>
          <w:lang w:bidi="ar-SY"/>
        </w:rPr>
        <w:t>2011</w:t>
      </w:r>
      <w:r w:rsidRPr="00AA537D">
        <w:rPr>
          <w:spacing w:val="0"/>
          <w:kern w:val="0"/>
          <w:rtl/>
          <w:lang w:bidi="ar-SY"/>
        </w:rPr>
        <w:t>، المقدم</w:t>
      </w:r>
      <w:r w:rsidRPr="00AA537D">
        <w:rPr>
          <w:rFonts w:hint="cs"/>
          <w:spacing w:val="0"/>
          <w:kern w:val="0"/>
          <w:rtl/>
          <w:lang w:bidi="ar-SY"/>
        </w:rPr>
        <w:t>ة</w:t>
      </w:r>
      <w:r w:rsidRPr="00AA537D">
        <w:rPr>
          <w:spacing w:val="0"/>
          <w:kern w:val="0"/>
          <w:rtl/>
          <w:lang w:bidi="ar-SY"/>
        </w:rPr>
        <w:t xml:space="preserve"> </w:t>
      </w:r>
      <w:r w:rsidRPr="00AA537D">
        <w:rPr>
          <w:rFonts w:hint="cs"/>
          <w:spacing w:val="0"/>
          <w:kern w:val="0"/>
          <w:rtl/>
          <w:lang w:bidi="ar-SY"/>
        </w:rPr>
        <w:t>إليها من أوسكارتز غالاستيغي صوديوب</w:t>
      </w:r>
      <w:r w:rsidRPr="00AA537D">
        <w:rPr>
          <w:spacing w:val="0"/>
          <w:kern w:val="0"/>
          <w:rtl/>
          <w:lang w:bidi="ar-SY"/>
        </w:rPr>
        <w:t xml:space="preserve"> بموجب المادة 22 من اتفاقية</w:t>
      </w:r>
      <w:r w:rsidRPr="00AA537D">
        <w:rPr>
          <w:rFonts w:hint="cs"/>
          <w:spacing w:val="0"/>
          <w:kern w:val="0"/>
          <w:rtl/>
          <w:lang w:bidi="ar-SY"/>
        </w:rPr>
        <w:t xml:space="preserve"> </w:t>
      </w:r>
      <w:r w:rsidRPr="00AA537D">
        <w:rPr>
          <w:spacing w:val="0"/>
          <w:kern w:val="0"/>
          <w:rtl/>
          <w:lang w:bidi="ar-SY"/>
        </w:rPr>
        <w:t>مناهضة التعذيب وغيره من ضروب المعاملة أو العقوبة القاسية أو اللاإنسانية أو المهينة</w:t>
      </w:r>
      <w:r w:rsidRPr="00AA537D">
        <w:rPr>
          <w:rFonts w:hint="cs"/>
          <w:spacing w:val="0"/>
          <w:kern w:val="0"/>
          <w:rtl/>
          <w:lang w:bidi="ar-SY"/>
        </w:rPr>
        <w:t>،</w:t>
      </w:r>
    </w:p>
    <w:p w:rsidR="00FA6676" w:rsidRPr="00AA537D" w:rsidRDefault="00FA6676" w:rsidP="00E86FDB">
      <w:pPr>
        <w:pStyle w:val="SingleTxtGA"/>
        <w:jc w:val="lowKashida"/>
        <w:rPr>
          <w:rFonts w:hint="cs"/>
          <w:spacing w:val="0"/>
          <w:kern w:val="0"/>
          <w:rtl/>
          <w:lang w:bidi="ar-SY"/>
        </w:rPr>
      </w:pPr>
      <w:r w:rsidRPr="00AA537D">
        <w:rPr>
          <w:rFonts w:hint="cs"/>
          <w:i/>
          <w:iCs/>
          <w:spacing w:val="0"/>
          <w:kern w:val="0"/>
          <w:rtl/>
          <w:lang w:bidi="ar-SY"/>
        </w:rPr>
        <w:tab/>
        <w:t>وقد أخذت في الحسبان</w:t>
      </w:r>
      <w:r w:rsidRPr="00AA537D">
        <w:rPr>
          <w:rFonts w:hint="cs"/>
          <w:spacing w:val="0"/>
          <w:kern w:val="0"/>
          <w:rtl/>
          <w:lang w:bidi="ar-SY"/>
        </w:rPr>
        <w:t xml:space="preserve"> جميع المعلومات التي أتاحها لها صاحب الشكوى ومحاميه والدولة الطرف،</w:t>
      </w:r>
    </w:p>
    <w:p w:rsidR="00FA6676" w:rsidRPr="00AA537D" w:rsidRDefault="00FA6676" w:rsidP="00E86FDB">
      <w:pPr>
        <w:pStyle w:val="SingleTxtGA"/>
        <w:jc w:val="lowKashida"/>
        <w:rPr>
          <w:rFonts w:hint="cs"/>
          <w:i/>
          <w:iCs/>
          <w:spacing w:val="0"/>
          <w:kern w:val="0"/>
          <w:rtl/>
        </w:rPr>
      </w:pPr>
      <w:r w:rsidRPr="00AA537D">
        <w:rPr>
          <w:rFonts w:hint="cs"/>
          <w:i/>
          <w:iCs/>
          <w:spacing w:val="0"/>
          <w:kern w:val="0"/>
          <w:rtl/>
          <w:lang w:bidi="ar-SY"/>
        </w:rPr>
        <w:tab/>
        <w:t xml:space="preserve">تعتمد </w:t>
      </w:r>
      <w:r w:rsidRPr="00AA537D">
        <w:rPr>
          <w:rFonts w:hint="cs"/>
          <w:spacing w:val="0"/>
          <w:kern w:val="0"/>
          <w:rtl/>
          <w:lang w:bidi="ar-SY"/>
        </w:rPr>
        <w:t>القرار التالي عملاً بالفقرة 7 من المادة 22 من الاتفاقية</w:t>
      </w:r>
      <w:r w:rsidRPr="00AA537D">
        <w:rPr>
          <w:rFonts w:hint="cs"/>
          <w:spacing w:val="0"/>
          <w:kern w:val="0"/>
          <w:rtl/>
        </w:rPr>
        <w:t>:</w:t>
      </w:r>
    </w:p>
    <w:p w:rsidR="00FA6676" w:rsidRPr="00AA537D" w:rsidRDefault="00FA6676" w:rsidP="003F4917">
      <w:pPr>
        <w:pStyle w:val="H1GA"/>
        <w:rPr>
          <w:rFonts w:hint="cs"/>
          <w:kern w:val="0"/>
          <w:rtl/>
        </w:rPr>
      </w:pPr>
      <w:r w:rsidRPr="00AA537D">
        <w:rPr>
          <w:rFonts w:hint="cs"/>
          <w:kern w:val="0"/>
          <w:rtl/>
        </w:rPr>
        <w:tab/>
      </w:r>
      <w:r w:rsidRPr="00AA537D">
        <w:rPr>
          <w:rFonts w:hint="cs"/>
          <w:kern w:val="0"/>
          <w:rtl/>
        </w:rPr>
        <w:tab/>
      </w:r>
      <w:r w:rsidRPr="00AA537D">
        <w:rPr>
          <w:kern w:val="0"/>
          <w:rtl/>
        </w:rPr>
        <w:t>قرار بموجب الفقرة 7 من المادة 22 من اتفاقية مناهضة التعذيب</w:t>
      </w:r>
    </w:p>
    <w:p w:rsidR="00FA6676" w:rsidRPr="00AA537D" w:rsidRDefault="00FA6676" w:rsidP="00AB7E73">
      <w:pPr>
        <w:pStyle w:val="SingleTxtGA"/>
        <w:jc w:val="lowKashida"/>
        <w:rPr>
          <w:rFonts w:hint="cs"/>
          <w:spacing w:val="0"/>
          <w:kern w:val="0"/>
          <w:rtl/>
          <w:lang w:val="en-CA"/>
        </w:rPr>
      </w:pPr>
      <w:r w:rsidRPr="00AA537D">
        <w:rPr>
          <w:spacing w:val="0"/>
          <w:kern w:val="0"/>
          <w:rtl/>
          <w:lang w:val="en-CA"/>
        </w:rPr>
        <w:t>1-</w:t>
      </w:r>
      <w:r w:rsidRPr="00AA537D">
        <w:rPr>
          <w:spacing w:val="0"/>
          <w:kern w:val="0"/>
          <w:rtl/>
          <w:lang w:val="en-CA"/>
        </w:rPr>
        <w:tab/>
      </w:r>
      <w:r w:rsidRPr="00AA537D">
        <w:rPr>
          <w:rFonts w:hint="cs"/>
          <w:spacing w:val="0"/>
          <w:kern w:val="0"/>
          <w:rtl/>
          <w:lang w:val="en-CA"/>
        </w:rPr>
        <w:t>صاحب الشكوى</w:t>
      </w:r>
      <w:r w:rsidRPr="00AA537D">
        <w:rPr>
          <w:spacing w:val="0"/>
          <w:kern w:val="0"/>
          <w:rtl/>
          <w:lang w:val="en-CA"/>
        </w:rPr>
        <w:t xml:space="preserve"> </w:t>
      </w:r>
      <w:r w:rsidRPr="00AA537D">
        <w:rPr>
          <w:rFonts w:hint="cs"/>
          <w:spacing w:val="0"/>
          <w:kern w:val="0"/>
          <w:rtl/>
          <w:lang w:val="en-CA"/>
        </w:rPr>
        <w:t xml:space="preserve">هو </w:t>
      </w:r>
      <w:r w:rsidRPr="00AA537D">
        <w:rPr>
          <w:rFonts w:hint="cs"/>
          <w:spacing w:val="0"/>
          <w:kern w:val="0"/>
          <w:rtl/>
          <w:lang w:bidi="ar-SY"/>
        </w:rPr>
        <w:t>أوسكارتز غالاستيغي صوديوب</w:t>
      </w:r>
      <w:r w:rsidRPr="00AA537D">
        <w:rPr>
          <w:rFonts w:hint="cs"/>
          <w:spacing w:val="0"/>
          <w:kern w:val="0"/>
          <w:rtl/>
          <w:lang w:val="en-CA"/>
        </w:rPr>
        <w:t>، وهو مواطن إسباني من مواليد</w:t>
      </w:r>
      <w:r w:rsidRPr="00AA537D">
        <w:rPr>
          <w:rFonts w:hint="eastAsia"/>
          <w:spacing w:val="0"/>
          <w:kern w:val="0"/>
          <w:rtl/>
          <w:lang w:val="en-CA"/>
        </w:rPr>
        <w:t> </w:t>
      </w:r>
      <w:r w:rsidRPr="00AA537D">
        <w:rPr>
          <w:rFonts w:hint="cs"/>
          <w:spacing w:val="0"/>
          <w:kern w:val="0"/>
          <w:rtl/>
          <w:lang w:val="en-CA"/>
        </w:rPr>
        <w:t>7 حزيران/يونيه 1982. ويدعي صاحب الشكوى</w:t>
      </w:r>
      <w:r w:rsidRPr="00AA537D">
        <w:rPr>
          <w:spacing w:val="0"/>
          <w:kern w:val="0"/>
          <w:rtl/>
          <w:lang w:val="en-CA"/>
        </w:rPr>
        <w:t xml:space="preserve"> أن</w:t>
      </w:r>
      <w:r w:rsidRPr="00AA537D">
        <w:rPr>
          <w:rFonts w:hint="cs"/>
          <w:spacing w:val="0"/>
          <w:kern w:val="0"/>
          <w:rtl/>
          <w:lang w:val="en-CA"/>
        </w:rPr>
        <w:t>ه ضحية انتهاك إسبانيا للمواد</w:t>
      </w:r>
      <w:r w:rsidR="00AB7E73">
        <w:rPr>
          <w:rFonts w:hint="eastAsia"/>
          <w:spacing w:val="0"/>
          <w:kern w:val="0"/>
          <w:rtl/>
          <w:lang w:val="en-CA"/>
        </w:rPr>
        <w:t> </w:t>
      </w:r>
      <w:r w:rsidRPr="00AA537D">
        <w:rPr>
          <w:rFonts w:hint="cs"/>
          <w:spacing w:val="0"/>
          <w:kern w:val="0"/>
          <w:rtl/>
          <w:lang w:val="en-CA"/>
        </w:rPr>
        <w:t xml:space="preserve">12 و14 و15 </w:t>
      </w:r>
      <w:r w:rsidRPr="00AA537D">
        <w:rPr>
          <w:spacing w:val="0"/>
          <w:kern w:val="0"/>
          <w:rtl/>
          <w:lang w:val="en-CA"/>
        </w:rPr>
        <w:t>من اتفاقية</w:t>
      </w:r>
      <w:r w:rsidRPr="00AA537D">
        <w:rPr>
          <w:rFonts w:hint="cs"/>
          <w:spacing w:val="0"/>
          <w:kern w:val="0"/>
          <w:rtl/>
          <w:lang w:val="en-CA"/>
        </w:rPr>
        <w:t xml:space="preserve"> مناهضة التعذيب</w:t>
      </w:r>
      <w:r w:rsidRPr="00AA537D">
        <w:rPr>
          <w:spacing w:val="0"/>
          <w:kern w:val="0"/>
          <w:rtl/>
          <w:lang w:bidi="ar-SY"/>
        </w:rPr>
        <w:t xml:space="preserve"> وغيره من ضروب المعاملة أو العقوبة القاسية أو</w:t>
      </w:r>
      <w:r w:rsidR="00E86FDB">
        <w:rPr>
          <w:rFonts w:hint="cs"/>
          <w:spacing w:val="0"/>
          <w:kern w:val="0"/>
          <w:rtl/>
          <w:lang w:bidi="ar-SY"/>
        </w:rPr>
        <w:t> </w:t>
      </w:r>
      <w:r w:rsidRPr="00AA537D">
        <w:rPr>
          <w:spacing w:val="0"/>
          <w:kern w:val="0"/>
          <w:rtl/>
          <w:lang w:bidi="ar-SY"/>
        </w:rPr>
        <w:t>اللاإنسانية أو المهينة</w:t>
      </w:r>
      <w:r w:rsidRPr="00AA537D">
        <w:rPr>
          <w:spacing w:val="0"/>
          <w:kern w:val="0"/>
          <w:rtl/>
          <w:lang w:val="en-CA"/>
        </w:rPr>
        <w:t>.</w:t>
      </w:r>
      <w:r w:rsidRPr="00AA537D">
        <w:rPr>
          <w:rFonts w:hint="cs"/>
          <w:spacing w:val="0"/>
          <w:kern w:val="0"/>
          <w:rtl/>
          <w:lang w:val="en-CA"/>
        </w:rPr>
        <w:t xml:space="preserve"> </w:t>
      </w:r>
      <w:r w:rsidRPr="00AA537D">
        <w:rPr>
          <w:rFonts w:hint="eastAsia"/>
          <w:spacing w:val="0"/>
          <w:kern w:val="0"/>
          <w:rtl/>
          <w:lang w:val="en-CA"/>
        </w:rPr>
        <w:t>و</w:t>
      </w:r>
      <w:r w:rsidRPr="00AA537D">
        <w:rPr>
          <w:rFonts w:hint="cs"/>
          <w:spacing w:val="0"/>
          <w:kern w:val="0"/>
          <w:rtl/>
          <w:lang w:val="en-CA"/>
        </w:rPr>
        <w:t>ي</w:t>
      </w:r>
      <w:r w:rsidRPr="00AA537D">
        <w:rPr>
          <w:rFonts w:hint="eastAsia"/>
          <w:spacing w:val="0"/>
          <w:kern w:val="0"/>
          <w:rtl/>
          <w:lang w:val="en-CA"/>
        </w:rPr>
        <w:t>مثل</w:t>
      </w:r>
      <w:r w:rsidRPr="00AA537D">
        <w:rPr>
          <w:spacing w:val="0"/>
          <w:kern w:val="0"/>
          <w:rtl/>
          <w:lang w:val="en-CA"/>
        </w:rPr>
        <w:t xml:space="preserve"> </w:t>
      </w:r>
      <w:r w:rsidRPr="00AA537D">
        <w:rPr>
          <w:rFonts w:hint="cs"/>
          <w:spacing w:val="0"/>
          <w:kern w:val="0"/>
          <w:rtl/>
          <w:lang w:val="en-CA"/>
        </w:rPr>
        <w:t>صاحب الشكوى</w:t>
      </w:r>
      <w:r w:rsidRPr="00AA537D">
        <w:rPr>
          <w:spacing w:val="0"/>
          <w:kern w:val="0"/>
          <w:rtl/>
          <w:lang w:val="en-CA"/>
        </w:rPr>
        <w:t xml:space="preserve"> </w:t>
      </w:r>
      <w:r w:rsidRPr="00AA537D">
        <w:rPr>
          <w:spacing w:val="0"/>
          <w:kern w:val="0"/>
          <w:rtl/>
          <w:lang w:bidi="ar-SY"/>
        </w:rPr>
        <w:t>المحامي</w:t>
      </w:r>
      <w:r w:rsidRPr="00AA537D">
        <w:rPr>
          <w:rFonts w:hint="cs"/>
          <w:spacing w:val="0"/>
          <w:kern w:val="0"/>
          <w:rtl/>
          <w:lang w:bidi="ar-SY"/>
        </w:rPr>
        <w:t>ان</w:t>
      </w:r>
      <w:r w:rsidRPr="00AA537D">
        <w:rPr>
          <w:spacing w:val="0"/>
          <w:kern w:val="0"/>
          <w:rtl/>
          <w:lang w:bidi="ar-SY"/>
        </w:rPr>
        <w:t xml:space="preserve"> </w:t>
      </w:r>
      <w:r w:rsidRPr="00AA537D">
        <w:rPr>
          <w:rFonts w:hint="cs"/>
          <w:spacing w:val="0"/>
          <w:kern w:val="0"/>
          <w:rtl/>
          <w:lang w:bidi="ar-SY"/>
        </w:rPr>
        <w:t>السيدة إراتكس أوريزار والسيد جولن أرزواغا</w:t>
      </w:r>
      <w:r w:rsidRPr="00AA537D">
        <w:rPr>
          <w:spacing w:val="0"/>
          <w:kern w:val="0"/>
          <w:rtl/>
          <w:lang w:val="en-CA"/>
        </w:rPr>
        <w:t>.</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rFonts w:hint="eastAsia"/>
          <w:spacing w:val="0"/>
          <w:kern w:val="0"/>
          <w:rtl/>
        </w:rPr>
        <w:t>الوقائع</w:t>
      </w:r>
      <w:r w:rsidRPr="00AA537D">
        <w:rPr>
          <w:spacing w:val="0"/>
          <w:kern w:val="0"/>
          <w:rtl/>
        </w:rPr>
        <w:t xml:space="preserve"> كما </w:t>
      </w:r>
      <w:r w:rsidRPr="00AA537D">
        <w:rPr>
          <w:spacing w:val="0"/>
          <w:kern w:val="0"/>
          <w:sz w:val="30"/>
          <w:rtl/>
        </w:rPr>
        <w:t>عرضها</w:t>
      </w:r>
      <w:r w:rsidRPr="00AA537D">
        <w:rPr>
          <w:spacing w:val="0"/>
          <w:kern w:val="0"/>
          <w:rtl/>
        </w:rPr>
        <w:t xml:space="preserve"> </w:t>
      </w:r>
      <w:r w:rsidRPr="00AA537D">
        <w:rPr>
          <w:rFonts w:hint="cs"/>
          <w:spacing w:val="0"/>
          <w:kern w:val="0"/>
          <w:rtl/>
        </w:rPr>
        <w:t>صاحب</w:t>
      </w:r>
      <w:r w:rsidRPr="00AA537D">
        <w:rPr>
          <w:spacing w:val="0"/>
          <w:kern w:val="0"/>
          <w:rtl/>
        </w:rPr>
        <w:t xml:space="preserve"> الشكوى</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2-1</w:t>
      </w:r>
      <w:r w:rsidRPr="00AA537D">
        <w:rPr>
          <w:spacing w:val="0"/>
          <w:kern w:val="0"/>
          <w:rtl/>
          <w:lang w:val="en-CA"/>
        </w:rPr>
        <w:tab/>
        <w:t>في 24 تشرين الأول</w:t>
      </w:r>
      <w:r w:rsidRPr="00AA537D">
        <w:rPr>
          <w:rFonts w:hint="cs"/>
          <w:spacing w:val="0"/>
          <w:kern w:val="0"/>
          <w:rtl/>
          <w:lang w:val="en-CA"/>
        </w:rPr>
        <w:t>/أكتوبر</w:t>
      </w:r>
      <w:r w:rsidRPr="00AA537D">
        <w:rPr>
          <w:spacing w:val="0"/>
          <w:kern w:val="0"/>
          <w:rtl/>
          <w:lang w:val="en-CA"/>
        </w:rPr>
        <w:t xml:space="preserve"> 2002، </w:t>
      </w:r>
      <w:r w:rsidRPr="00AA537D">
        <w:rPr>
          <w:rFonts w:hint="cs"/>
          <w:spacing w:val="0"/>
          <w:kern w:val="0"/>
          <w:rtl/>
          <w:lang w:val="en-CA"/>
        </w:rPr>
        <w:t xml:space="preserve">ألقت إرتزينتزا </w:t>
      </w:r>
      <w:r w:rsidRPr="00AA537D">
        <w:rPr>
          <w:spacing w:val="0"/>
          <w:kern w:val="0"/>
          <w:rtl/>
          <w:lang w:val="en-CA"/>
        </w:rPr>
        <w:t xml:space="preserve">(شرطة </w:t>
      </w:r>
      <w:r w:rsidRPr="00AA537D">
        <w:rPr>
          <w:rFonts w:hint="cs"/>
          <w:spacing w:val="0"/>
          <w:kern w:val="0"/>
          <w:rtl/>
          <w:lang w:val="en-CA"/>
        </w:rPr>
        <w:t xml:space="preserve">إقليم </w:t>
      </w:r>
      <w:r w:rsidRPr="00AA537D">
        <w:rPr>
          <w:spacing w:val="0"/>
          <w:kern w:val="0"/>
          <w:rtl/>
          <w:lang w:val="en-CA"/>
        </w:rPr>
        <w:t xml:space="preserve">الباسك </w:t>
      </w:r>
      <w:r w:rsidRPr="00AA537D">
        <w:rPr>
          <w:rFonts w:hint="cs"/>
          <w:spacing w:val="0"/>
          <w:kern w:val="0"/>
          <w:rtl/>
          <w:lang w:val="en-CA"/>
        </w:rPr>
        <w:t>المتمتع بالاستقلال الذاتي</w:t>
      </w:r>
      <w:r w:rsidRPr="00AA537D">
        <w:rPr>
          <w:spacing w:val="0"/>
          <w:kern w:val="0"/>
          <w:rtl/>
          <w:lang w:val="en-CA"/>
        </w:rPr>
        <w:t>)</w:t>
      </w:r>
      <w:r w:rsidRPr="00AA537D">
        <w:rPr>
          <w:rFonts w:hint="cs"/>
          <w:spacing w:val="0"/>
          <w:kern w:val="0"/>
          <w:rtl/>
          <w:lang w:val="en-CA"/>
        </w:rPr>
        <w:t xml:space="preserve"> القبض على السيد </w:t>
      </w:r>
      <w:r w:rsidRPr="00AA537D">
        <w:rPr>
          <w:rFonts w:hint="cs"/>
          <w:spacing w:val="0"/>
          <w:kern w:val="0"/>
          <w:rtl/>
          <w:lang w:bidi="ar-SY"/>
        </w:rPr>
        <w:t>غالاستيغي صوديوب، وكان عمره حينذاك</w:t>
      </w:r>
      <w:r w:rsidRPr="00AA537D">
        <w:rPr>
          <w:rFonts w:hint="cs"/>
          <w:spacing w:val="0"/>
          <w:kern w:val="0"/>
          <w:rtl/>
          <w:lang w:val="en-CA"/>
        </w:rPr>
        <w:t xml:space="preserve"> </w:t>
      </w:r>
      <w:r w:rsidRPr="00AA537D">
        <w:rPr>
          <w:spacing w:val="0"/>
          <w:kern w:val="0"/>
          <w:rtl/>
          <w:lang w:val="en-CA"/>
        </w:rPr>
        <w:t xml:space="preserve">20 </w:t>
      </w:r>
      <w:r w:rsidRPr="00AA537D">
        <w:rPr>
          <w:rFonts w:hint="cs"/>
          <w:spacing w:val="0"/>
          <w:kern w:val="0"/>
          <w:rtl/>
          <w:lang w:val="en-CA"/>
        </w:rPr>
        <w:t>عاما</w:t>
      </w:r>
      <w:r w:rsidR="00E86FDB">
        <w:rPr>
          <w:rFonts w:hint="cs"/>
          <w:spacing w:val="0"/>
          <w:kern w:val="0"/>
          <w:rtl/>
          <w:lang w:val="en-CA"/>
        </w:rPr>
        <w:t>ً</w:t>
      </w:r>
      <w:r w:rsidRPr="00AA537D">
        <w:rPr>
          <w:rFonts w:hint="cs"/>
          <w:spacing w:val="0"/>
          <w:kern w:val="0"/>
          <w:rtl/>
          <w:lang w:val="en-CA"/>
        </w:rPr>
        <w:t xml:space="preserve">، في بيرانغو (بيزكايا) </w:t>
      </w:r>
      <w:r w:rsidRPr="00AA537D">
        <w:rPr>
          <w:spacing w:val="0"/>
          <w:kern w:val="0"/>
          <w:rtl/>
          <w:lang w:val="en-CA"/>
        </w:rPr>
        <w:t xml:space="preserve">خلال عملية للشرطة </w:t>
      </w:r>
      <w:r w:rsidRPr="00AA537D">
        <w:rPr>
          <w:rFonts w:hint="cs"/>
          <w:spacing w:val="0"/>
          <w:kern w:val="0"/>
          <w:rtl/>
          <w:lang w:val="en-CA"/>
        </w:rPr>
        <w:t>ألقي فيها القبض</w:t>
      </w:r>
      <w:r w:rsidRPr="00AA537D">
        <w:rPr>
          <w:spacing w:val="0"/>
          <w:kern w:val="0"/>
          <w:rtl/>
          <w:lang w:val="en-CA"/>
        </w:rPr>
        <w:t xml:space="preserve"> </w:t>
      </w:r>
      <w:r w:rsidRPr="00AA537D">
        <w:rPr>
          <w:rFonts w:hint="cs"/>
          <w:spacing w:val="0"/>
          <w:kern w:val="0"/>
          <w:rtl/>
          <w:lang w:val="en-CA"/>
        </w:rPr>
        <w:t>أيضاً</w:t>
      </w:r>
      <w:r w:rsidRPr="00AA537D">
        <w:rPr>
          <w:spacing w:val="0"/>
          <w:kern w:val="0"/>
          <w:rtl/>
          <w:lang w:val="en-CA"/>
        </w:rPr>
        <w:t xml:space="preserve"> </w:t>
      </w:r>
      <w:r w:rsidRPr="00AA537D">
        <w:rPr>
          <w:rFonts w:hint="cs"/>
          <w:spacing w:val="0"/>
          <w:kern w:val="0"/>
          <w:rtl/>
          <w:lang w:val="en-CA"/>
        </w:rPr>
        <w:t xml:space="preserve">على </w:t>
      </w:r>
      <w:r w:rsidRPr="00AA537D">
        <w:rPr>
          <w:spacing w:val="0"/>
          <w:kern w:val="0"/>
          <w:rtl/>
          <w:lang w:val="en-CA"/>
        </w:rPr>
        <w:t xml:space="preserve">خمسة شبان آخرين بتهم متصلة </w:t>
      </w:r>
      <w:r w:rsidRPr="00AA537D">
        <w:rPr>
          <w:rFonts w:hint="cs"/>
          <w:spacing w:val="0"/>
          <w:kern w:val="0"/>
          <w:rtl/>
          <w:lang w:val="en-CA"/>
        </w:rPr>
        <w:t>ب</w:t>
      </w:r>
      <w:r w:rsidRPr="00AA537D">
        <w:rPr>
          <w:spacing w:val="0"/>
          <w:kern w:val="0"/>
          <w:rtl/>
          <w:lang w:val="en-CA"/>
        </w:rPr>
        <w:t>التخريب وإلحاق الضرر بالممتلكات العامة.</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2-2</w:t>
      </w:r>
      <w:r w:rsidRPr="00AA537D">
        <w:rPr>
          <w:rFonts w:hint="cs"/>
          <w:spacing w:val="0"/>
          <w:kern w:val="0"/>
          <w:rtl/>
          <w:lang w:val="en-CA"/>
        </w:rPr>
        <w:tab/>
        <w:t>و</w:t>
      </w:r>
      <w:r w:rsidRPr="00AA537D">
        <w:rPr>
          <w:spacing w:val="0"/>
          <w:kern w:val="0"/>
          <w:rtl/>
          <w:lang w:val="en-CA"/>
        </w:rPr>
        <w:t>أ</w:t>
      </w:r>
      <w:r w:rsidRPr="00AA537D">
        <w:rPr>
          <w:rFonts w:hint="cs"/>
          <w:spacing w:val="0"/>
          <w:kern w:val="0"/>
          <w:rtl/>
          <w:lang w:val="en-CA"/>
        </w:rPr>
        <w:t>ُ</w:t>
      </w:r>
      <w:r w:rsidRPr="00AA537D">
        <w:rPr>
          <w:spacing w:val="0"/>
          <w:kern w:val="0"/>
          <w:rtl/>
          <w:lang w:val="en-CA"/>
        </w:rPr>
        <w:t xml:space="preserve">لقي القبض </w:t>
      </w:r>
      <w:r w:rsidRPr="00AA537D">
        <w:rPr>
          <w:rFonts w:hint="cs"/>
          <w:spacing w:val="0"/>
          <w:kern w:val="0"/>
          <w:rtl/>
          <w:lang w:val="en-CA"/>
        </w:rPr>
        <w:t>على</w:t>
      </w:r>
      <w:r w:rsidRPr="00AA537D">
        <w:rPr>
          <w:spacing w:val="0"/>
          <w:kern w:val="0"/>
          <w:rtl/>
          <w:lang w:val="en-CA"/>
        </w:rPr>
        <w:t xml:space="preserve"> صاحب الشكوى بطريقة عنيفة </w:t>
      </w:r>
      <w:r w:rsidRPr="00AA537D">
        <w:rPr>
          <w:rFonts w:hint="cs"/>
          <w:spacing w:val="0"/>
          <w:kern w:val="0"/>
          <w:rtl/>
          <w:lang w:val="en-CA"/>
        </w:rPr>
        <w:t xml:space="preserve">في </w:t>
      </w:r>
      <w:r w:rsidRPr="00AA537D">
        <w:rPr>
          <w:spacing w:val="0"/>
          <w:kern w:val="0"/>
          <w:rtl/>
          <w:lang w:val="en-CA"/>
        </w:rPr>
        <w:t xml:space="preserve">الساعة </w:t>
      </w:r>
      <w:r w:rsidRPr="00AA537D">
        <w:rPr>
          <w:rFonts w:hint="cs"/>
          <w:spacing w:val="0"/>
          <w:kern w:val="0"/>
          <w:rtl/>
          <w:lang w:val="en-CA"/>
        </w:rPr>
        <w:t>الخامسة</w:t>
      </w:r>
      <w:r w:rsidRPr="00AA537D">
        <w:rPr>
          <w:spacing w:val="0"/>
          <w:kern w:val="0"/>
          <w:rtl/>
          <w:lang w:val="en-CA"/>
        </w:rPr>
        <w:t xml:space="preserve"> صباحا</w:t>
      </w:r>
      <w:r w:rsidRPr="00AA537D">
        <w:rPr>
          <w:rFonts w:hint="cs"/>
          <w:spacing w:val="0"/>
          <w:kern w:val="0"/>
          <w:rtl/>
          <w:lang w:val="en-CA"/>
        </w:rPr>
        <w:t>ً</w:t>
      </w:r>
      <w:r w:rsidRPr="00AA537D">
        <w:rPr>
          <w:spacing w:val="0"/>
          <w:kern w:val="0"/>
          <w:rtl/>
          <w:lang w:val="en-CA"/>
        </w:rPr>
        <w:t xml:space="preserve"> في منزله من قبل </w:t>
      </w:r>
      <w:r w:rsidRPr="00AA537D">
        <w:rPr>
          <w:rFonts w:hint="cs"/>
          <w:spacing w:val="0"/>
          <w:kern w:val="0"/>
          <w:rtl/>
          <w:lang w:val="en-CA"/>
        </w:rPr>
        <w:t xml:space="preserve">أفراد </w:t>
      </w:r>
      <w:r w:rsidRPr="00AA537D">
        <w:rPr>
          <w:spacing w:val="0"/>
          <w:kern w:val="0"/>
          <w:rtl/>
          <w:lang w:val="en-CA"/>
        </w:rPr>
        <w:t xml:space="preserve">شرطة </w:t>
      </w:r>
      <w:r w:rsidRPr="00AA537D">
        <w:rPr>
          <w:rFonts w:hint="cs"/>
          <w:spacing w:val="0"/>
          <w:kern w:val="0"/>
          <w:rtl/>
          <w:lang w:val="en-CA"/>
        </w:rPr>
        <w:t>مقنعين</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ألقي به على الأرض </w:t>
      </w:r>
      <w:r w:rsidRPr="00AA537D">
        <w:rPr>
          <w:rFonts w:hint="cs"/>
          <w:spacing w:val="0"/>
          <w:kern w:val="0"/>
          <w:rtl/>
          <w:lang w:val="en-CA"/>
        </w:rPr>
        <w:t>وغُلت يداه</w:t>
      </w:r>
      <w:r w:rsidRPr="00AA537D">
        <w:rPr>
          <w:spacing w:val="0"/>
          <w:kern w:val="0"/>
          <w:rtl/>
          <w:lang w:val="en-CA"/>
        </w:rPr>
        <w:t>، وجرى تفتيش منزله لمدة ثلاث ساعات</w:t>
      </w:r>
      <w:r w:rsidRPr="00AA537D">
        <w:rPr>
          <w:rFonts w:hint="cs"/>
          <w:spacing w:val="0"/>
          <w:kern w:val="0"/>
          <w:vertAlign w:val="superscript"/>
          <w:rtl/>
          <w:lang w:val="fr-CH"/>
        </w:rPr>
        <w:t>(</w:t>
      </w:r>
      <w:r w:rsidRPr="00AA537D">
        <w:rPr>
          <w:rStyle w:val="FootnoteReference"/>
          <w:spacing w:val="0"/>
          <w:sz w:val="26"/>
          <w:szCs w:val="26"/>
          <w:rtl/>
          <w:lang w:val="fr-CH"/>
        </w:rPr>
        <w:footnoteReference w:id="437"/>
      </w:r>
      <w:r w:rsidRPr="00AA537D">
        <w:rPr>
          <w:rFonts w:hint="cs"/>
          <w:spacing w:val="0"/>
          <w:kern w:val="0"/>
          <w:vertAlign w:val="superscript"/>
          <w:rtl/>
          <w:lang w:val="fr-CH"/>
        </w:rPr>
        <w:t>)</w:t>
      </w:r>
      <w:r w:rsidRPr="00AA537D">
        <w:rPr>
          <w:rFonts w:hint="cs"/>
          <w:spacing w:val="0"/>
          <w:kern w:val="0"/>
          <w:rtl/>
          <w:lang w:val="fr-CH"/>
        </w:rPr>
        <w:t>.</w:t>
      </w:r>
      <w:r w:rsidRPr="00AA537D">
        <w:rPr>
          <w:spacing w:val="0"/>
          <w:kern w:val="0"/>
          <w:rtl/>
          <w:lang w:val="en-CA"/>
        </w:rPr>
        <w:t xml:space="preserve"> ثم وضع في </w:t>
      </w:r>
      <w:r w:rsidRPr="00AA537D">
        <w:rPr>
          <w:rFonts w:hint="cs"/>
          <w:spacing w:val="0"/>
          <w:kern w:val="0"/>
          <w:rtl/>
          <w:lang w:val="en-CA"/>
        </w:rPr>
        <w:t>شاحنة</w:t>
      </w:r>
      <w:r w:rsidRPr="00AA537D">
        <w:rPr>
          <w:spacing w:val="0"/>
          <w:kern w:val="0"/>
          <w:rtl/>
          <w:lang w:val="en-CA"/>
        </w:rPr>
        <w:t xml:space="preserve"> بيضاء </w:t>
      </w:r>
      <w:r w:rsidRPr="00AA537D">
        <w:rPr>
          <w:rFonts w:hint="cs"/>
          <w:spacing w:val="0"/>
          <w:kern w:val="0"/>
          <w:rtl/>
          <w:lang w:val="en-CA"/>
        </w:rPr>
        <w:t>صغيرة لا تحمل</w:t>
      </w:r>
      <w:r w:rsidRPr="00AA537D">
        <w:rPr>
          <w:spacing w:val="0"/>
          <w:kern w:val="0"/>
          <w:rtl/>
          <w:lang w:val="en-CA"/>
        </w:rPr>
        <w:t xml:space="preserve"> علامات الشرطة. </w:t>
      </w:r>
      <w:r w:rsidRPr="00AA537D">
        <w:rPr>
          <w:rFonts w:hint="cs"/>
          <w:spacing w:val="0"/>
          <w:kern w:val="0"/>
          <w:rtl/>
          <w:lang w:val="en-CA"/>
        </w:rPr>
        <w:t xml:space="preserve">ونقلته الشرطة وهو </w:t>
      </w:r>
      <w:r w:rsidRPr="00AA537D">
        <w:rPr>
          <w:spacing w:val="0"/>
          <w:kern w:val="0"/>
          <w:rtl/>
          <w:lang w:val="en-CA"/>
        </w:rPr>
        <w:t>مكبل اليدين وراء ظهره إلى مركز الشرطة المركزي</w:t>
      </w:r>
      <w:r w:rsidRPr="00AA537D">
        <w:rPr>
          <w:rFonts w:hint="cs"/>
          <w:spacing w:val="0"/>
          <w:kern w:val="0"/>
          <w:rtl/>
          <w:lang w:val="en-CA"/>
        </w:rPr>
        <w:t xml:space="preserve"> بأركوتي</w:t>
      </w:r>
      <w:r w:rsidRPr="00AA537D">
        <w:rPr>
          <w:spacing w:val="0"/>
          <w:kern w:val="0"/>
          <w:rtl/>
          <w:lang w:val="en-CA"/>
        </w:rPr>
        <w:t>.</w:t>
      </w:r>
    </w:p>
    <w:p w:rsidR="00FA6676" w:rsidRPr="00B1101B" w:rsidRDefault="00FA6676" w:rsidP="00AA537D">
      <w:pPr>
        <w:pStyle w:val="SingleTxtGA"/>
        <w:jc w:val="lowKashida"/>
        <w:rPr>
          <w:rFonts w:hint="cs"/>
          <w:spacing w:val="0"/>
          <w:kern w:val="0"/>
          <w:rtl/>
          <w:lang w:val="en-CA"/>
        </w:rPr>
      </w:pPr>
      <w:r w:rsidRPr="00B1101B">
        <w:rPr>
          <w:rFonts w:hint="cs"/>
          <w:spacing w:val="0"/>
          <w:kern w:val="0"/>
          <w:rtl/>
          <w:lang w:val="en-CA"/>
        </w:rPr>
        <w:t>2-3</w:t>
      </w:r>
      <w:r w:rsidRPr="00B1101B">
        <w:rPr>
          <w:rFonts w:hint="cs"/>
          <w:spacing w:val="0"/>
          <w:kern w:val="0"/>
          <w:rtl/>
          <w:lang w:val="en-CA"/>
        </w:rPr>
        <w:tab/>
      </w:r>
      <w:r w:rsidRPr="00B1101B">
        <w:rPr>
          <w:spacing w:val="0"/>
          <w:kern w:val="0"/>
          <w:rtl/>
          <w:lang w:val="en-CA"/>
        </w:rPr>
        <w:t xml:space="preserve">وتقرر في مركز الشرطة أن التهم الموجهة إلى صاحب الشكوى تقع ضمن نطاق قوانين مكافحة الإرهاب، وأنه ينبغي </w:t>
      </w:r>
      <w:r w:rsidRPr="00B1101B">
        <w:rPr>
          <w:rFonts w:hint="cs"/>
          <w:spacing w:val="0"/>
          <w:kern w:val="0"/>
          <w:rtl/>
          <w:lang w:val="en-CA"/>
        </w:rPr>
        <w:t>وضعه في الحبس الانفرادي</w:t>
      </w:r>
      <w:r w:rsidRPr="00B1101B">
        <w:rPr>
          <w:spacing w:val="0"/>
          <w:kern w:val="0"/>
          <w:rtl/>
          <w:lang w:val="en-CA"/>
        </w:rPr>
        <w:t>، وبالتالي حرمان</w:t>
      </w:r>
      <w:r w:rsidRPr="00B1101B">
        <w:rPr>
          <w:rFonts w:hint="cs"/>
          <w:spacing w:val="0"/>
          <w:kern w:val="0"/>
          <w:rtl/>
          <w:lang w:val="en-CA"/>
        </w:rPr>
        <w:t>ه</w:t>
      </w:r>
      <w:r w:rsidRPr="00B1101B">
        <w:rPr>
          <w:spacing w:val="0"/>
          <w:kern w:val="0"/>
          <w:rtl/>
          <w:lang w:val="en-CA"/>
        </w:rPr>
        <w:t xml:space="preserve"> من الاتصال </w:t>
      </w:r>
      <w:r w:rsidRPr="00B1101B">
        <w:rPr>
          <w:rFonts w:hint="cs"/>
          <w:spacing w:val="0"/>
          <w:kern w:val="0"/>
          <w:rtl/>
          <w:lang w:val="en-CA"/>
        </w:rPr>
        <w:t>ب</w:t>
      </w:r>
      <w:r w:rsidRPr="00B1101B">
        <w:rPr>
          <w:spacing w:val="0"/>
          <w:kern w:val="0"/>
          <w:rtl/>
          <w:lang w:val="en-CA"/>
        </w:rPr>
        <w:t>أفراد الأسرة</w:t>
      </w:r>
      <w:r w:rsidRPr="00B1101B">
        <w:rPr>
          <w:rFonts w:hint="cs"/>
          <w:spacing w:val="0"/>
          <w:kern w:val="0"/>
          <w:rtl/>
          <w:lang w:val="en-CA"/>
        </w:rPr>
        <w:t xml:space="preserve"> أو ب</w:t>
      </w:r>
      <w:r w:rsidRPr="00B1101B">
        <w:rPr>
          <w:spacing w:val="0"/>
          <w:kern w:val="0"/>
          <w:rtl/>
          <w:lang w:val="en-CA"/>
        </w:rPr>
        <w:t xml:space="preserve">محام أو طبيب </w:t>
      </w:r>
      <w:r w:rsidRPr="00B1101B">
        <w:rPr>
          <w:rFonts w:hint="cs"/>
          <w:spacing w:val="0"/>
          <w:kern w:val="0"/>
          <w:rtl/>
          <w:lang w:val="en-CA"/>
        </w:rPr>
        <w:t>يثق فيه</w:t>
      </w:r>
      <w:r w:rsidRPr="00B1101B">
        <w:rPr>
          <w:spacing w:val="0"/>
          <w:kern w:val="0"/>
          <w:rtl/>
          <w:lang w:val="en-CA"/>
        </w:rPr>
        <w:t xml:space="preserve"> المحتجز. ويؤكد صاحب الشكوى أن </w:t>
      </w:r>
      <w:r w:rsidRPr="00B1101B">
        <w:rPr>
          <w:rFonts w:hint="cs"/>
          <w:spacing w:val="0"/>
          <w:kern w:val="0"/>
          <w:rtl/>
          <w:lang w:val="en-CA"/>
        </w:rPr>
        <w:t>الأعمال التي نسبت إليه لا تتصل سوى ب</w:t>
      </w:r>
      <w:r w:rsidRPr="00B1101B">
        <w:rPr>
          <w:spacing w:val="0"/>
          <w:kern w:val="0"/>
          <w:rtl/>
          <w:lang w:val="en-CA"/>
        </w:rPr>
        <w:t xml:space="preserve">تدمير ممتلكات عامة </w:t>
      </w:r>
      <w:r w:rsidRPr="00B1101B">
        <w:rPr>
          <w:rFonts w:hint="cs"/>
          <w:spacing w:val="0"/>
          <w:kern w:val="0"/>
          <w:rtl/>
          <w:lang w:val="en-CA"/>
        </w:rPr>
        <w:t xml:space="preserve">بواسطة </w:t>
      </w:r>
      <w:r w:rsidRPr="00B1101B">
        <w:rPr>
          <w:spacing w:val="0"/>
          <w:kern w:val="0"/>
          <w:rtl/>
          <w:lang w:val="en-CA"/>
        </w:rPr>
        <w:t>مواد قابلة للاشتعال</w:t>
      </w:r>
      <w:r w:rsidRPr="00B1101B">
        <w:rPr>
          <w:rFonts w:hint="cs"/>
          <w:spacing w:val="0"/>
          <w:kern w:val="0"/>
          <w:rtl/>
          <w:lang w:val="en-CA"/>
        </w:rPr>
        <w:t xml:space="preserve"> مصنوعة في المنزل</w:t>
      </w:r>
      <w:r w:rsidRPr="00B1101B">
        <w:rPr>
          <w:spacing w:val="0"/>
          <w:kern w:val="0"/>
          <w:rtl/>
          <w:lang w:val="en-CA"/>
        </w:rPr>
        <w:t>، و</w:t>
      </w:r>
      <w:r w:rsidRPr="00B1101B">
        <w:rPr>
          <w:rFonts w:hint="cs"/>
          <w:spacing w:val="0"/>
          <w:kern w:val="0"/>
          <w:rtl/>
          <w:lang w:val="en-CA"/>
        </w:rPr>
        <w:t xml:space="preserve">أنها </w:t>
      </w:r>
      <w:r w:rsidRPr="00B1101B">
        <w:rPr>
          <w:spacing w:val="0"/>
          <w:kern w:val="0"/>
          <w:rtl/>
          <w:lang w:val="en-CA"/>
        </w:rPr>
        <w:t xml:space="preserve">بالتالي </w:t>
      </w:r>
      <w:r w:rsidRPr="00B1101B">
        <w:rPr>
          <w:rFonts w:hint="cs"/>
          <w:spacing w:val="0"/>
          <w:kern w:val="0"/>
          <w:rtl/>
          <w:lang w:val="en-CA"/>
        </w:rPr>
        <w:t>ليس لها</w:t>
      </w:r>
      <w:r w:rsidRPr="00B1101B">
        <w:rPr>
          <w:spacing w:val="0"/>
          <w:kern w:val="0"/>
          <w:rtl/>
          <w:lang w:val="en-CA"/>
        </w:rPr>
        <w:t xml:space="preserve"> أي علاقة مباشرة </w:t>
      </w:r>
      <w:r w:rsidRPr="00B1101B">
        <w:rPr>
          <w:rFonts w:hint="cs"/>
          <w:spacing w:val="0"/>
          <w:kern w:val="0"/>
          <w:rtl/>
          <w:lang w:val="en-CA"/>
        </w:rPr>
        <w:t>ب</w:t>
      </w:r>
      <w:r w:rsidRPr="00B1101B">
        <w:rPr>
          <w:spacing w:val="0"/>
          <w:kern w:val="0"/>
          <w:rtl/>
          <w:lang w:val="en-CA"/>
        </w:rPr>
        <w:t xml:space="preserve">أنشطة الجماعات المسلحة، </w:t>
      </w:r>
      <w:r w:rsidRPr="00B1101B">
        <w:rPr>
          <w:rFonts w:hint="cs"/>
          <w:spacing w:val="0"/>
          <w:kern w:val="0"/>
          <w:rtl/>
          <w:lang w:val="en-CA"/>
        </w:rPr>
        <w:t>ولكن بما أنها ذات دوافع سياسية فهي</w:t>
      </w:r>
      <w:r w:rsidRPr="00B1101B">
        <w:rPr>
          <w:spacing w:val="0"/>
          <w:kern w:val="0"/>
          <w:rtl/>
          <w:lang w:val="en-CA"/>
        </w:rPr>
        <w:t xml:space="preserve"> تقع ضمن نطاق قوانين مكافحة الإرهاب، </w:t>
      </w:r>
      <w:r w:rsidRPr="00B1101B">
        <w:rPr>
          <w:rFonts w:hint="cs"/>
          <w:spacing w:val="0"/>
          <w:kern w:val="0"/>
          <w:rtl/>
          <w:lang w:val="en-CA"/>
        </w:rPr>
        <w:t>مما يؤدي</w:t>
      </w:r>
      <w:r w:rsidRPr="00B1101B">
        <w:rPr>
          <w:spacing w:val="0"/>
          <w:kern w:val="0"/>
          <w:rtl/>
          <w:lang w:val="en-CA"/>
        </w:rPr>
        <w:t xml:space="preserve"> تلقائيا</w:t>
      </w:r>
      <w:r w:rsidRPr="00B1101B">
        <w:rPr>
          <w:rFonts w:hint="cs"/>
          <w:spacing w:val="0"/>
          <w:kern w:val="0"/>
          <w:rtl/>
          <w:lang w:val="en-CA"/>
        </w:rPr>
        <w:t>ً</w:t>
      </w:r>
      <w:r w:rsidRPr="00B1101B">
        <w:rPr>
          <w:spacing w:val="0"/>
          <w:kern w:val="0"/>
          <w:rtl/>
          <w:lang w:val="en-CA"/>
        </w:rPr>
        <w:t xml:space="preserve"> إلى وضعه في </w:t>
      </w:r>
      <w:r w:rsidRPr="00B1101B">
        <w:rPr>
          <w:rFonts w:hint="cs"/>
          <w:spacing w:val="0"/>
          <w:kern w:val="0"/>
          <w:rtl/>
          <w:lang w:val="en-CA"/>
        </w:rPr>
        <w:t>ال</w:t>
      </w:r>
      <w:r w:rsidRPr="00B1101B">
        <w:rPr>
          <w:spacing w:val="0"/>
          <w:kern w:val="0"/>
          <w:rtl/>
          <w:lang w:val="en-CA"/>
        </w:rPr>
        <w:t xml:space="preserve">حبس </w:t>
      </w:r>
      <w:r w:rsidRPr="00B1101B">
        <w:rPr>
          <w:rFonts w:hint="cs"/>
          <w:spacing w:val="0"/>
          <w:kern w:val="0"/>
          <w:rtl/>
          <w:lang w:val="en-CA"/>
        </w:rPr>
        <w:t>ال</w:t>
      </w:r>
      <w:r w:rsidRPr="00B1101B">
        <w:rPr>
          <w:spacing w:val="0"/>
          <w:kern w:val="0"/>
          <w:rtl/>
          <w:lang w:val="en-CA"/>
        </w:rPr>
        <w:t xml:space="preserve">انفرادي. وطلب محامي صاحب الشكوى </w:t>
      </w:r>
      <w:r w:rsidRPr="00B1101B">
        <w:rPr>
          <w:rFonts w:hint="cs"/>
          <w:spacing w:val="0"/>
          <w:kern w:val="0"/>
          <w:rtl/>
          <w:lang w:val="en-CA"/>
        </w:rPr>
        <w:t>إلى</w:t>
      </w:r>
      <w:r w:rsidRPr="00B1101B">
        <w:rPr>
          <w:spacing w:val="0"/>
          <w:kern w:val="0"/>
          <w:rtl/>
          <w:lang w:val="en-CA"/>
        </w:rPr>
        <w:t xml:space="preserve"> القاضي تطبيق</w:t>
      </w:r>
      <w:r w:rsidRPr="00B1101B">
        <w:rPr>
          <w:rFonts w:hint="cs"/>
          <w:spacing w:val="0"/>
          <w:kern w:val="0"/>
          <w:rtl/>
          <w:lang w:val="en-CA"/>
        </w:rPr>
        <w:t xml:space="preserve"> ما يعرف باسم</w:t>
      </w:r>
      <w:r w:rsidRPr="00B1101B">
        <w:rPr>
          <w:spacing w:val="0"/>
          <w:kern w:val="0"/>
          <w:rtl/>
          <w:lang w:val="en-CA"/>
        </w:rPr>
        <w:t xml:space="preserve"> "بروتوكول غارزون</w:t>
      </w:r>
      <w:r w:rsidRPr="00B1101B">
        <w:rPr>
          <w:rFonts w:hint="cs"/>
          <w:spacing w:val="0"/>
          <w:kern w:val="0"/>
          <w:rtl/>
          <w:lang w:val="en-CA"/>
        </w:rPr>
        <w:t>"، وهو مجموعة</w:t>
      </w:r>
      <w:r w:rsidRPr="00B1101B">
        <w:rPr>
          <w:spacing w:val="0"/>
          <w:kern w:val="0"/>
          <w:rtl/>
          <w:lang w:val="en-CA"/>
        </w:rPr>
        <w:t xml:space="preserve"> من التدابير </w:t>
      </w:r>
      <w:r w:rsidRPr="00B1101B">
        <w:rPr>
          <w:rFonts w:hint="cs"/>
          <w:spacing w:val="0"/>
          <w:kern w:val="0"/>
          <w:rtl/>
          <w:lang w:val="en-CA"/>
        </w:rPr>
        <w:t>المصممة ل</w:t>
      </w:r>
      <w:r w:rsidRPr="00B1101B">
        <w:rPr>
          <w:spacing w:val="0"/>
          <w:kern w:val="0"/>
          <w:rtl/>
          <w:lang w:val="en-CA"/>
        </w:rPr>
        <w:t>منع سوء المعاملة أو التعذيب، مثل</w:t>
      </w:r>
      <w:r w:rsidRPr="00B1101B">
        <w:rPr>
          <w:rFonts w:hint="cs"/>
          <w:spacing w:val="0"/>
          <w:kern w:val="0"/>
          <w:rtl/>
          <w:lang w:val="en-CA"/>
        </w:rPr>
        <w:t xml:space="preserve">اً عن طريق السماح بإمكانية </w:t>
      </w:r>
      <w:r w:rsidRPr="00B1101B">
        <w:rPr>
          <w:spacing w:val="0"/>
          <w:kern w:val="0"/>
          <w:rtl/>
          <w:lang w:val="en-CA"/>
        </w:rPr>
        <w:t xml:space="preserve">الحصول </w:t>
      </w:r>
      <w:r w:rsidRPr="00B1101B">
        <w:rPr>
          <w:rFonts w:hint="cs"/>
          <w:spacing w:val="0"/>
          <w:kern w:val="0"/>
          <w:rtl/>
          <w:lang w:val="en-CA"/>
        </w:rPr>
        <w:t xml:space="preserve">على خدمات </w:t>
      </w:r>
      <w:r w:rsidRPr="00B1101B">
        <w:rPr>
          <w:spacing w:val="0"/>
          <w:kern w:val="0"/>
          <w:rtl/>
          <w:lang w:val="en-CA"/>
        </w:rPr>
        <w:t xml:space="preserve">طبيب </w:t>
      </w:r>
      <w:r w:rsidRPr="00B1101B">
        <w:rPr>
          <w:rFonts w:hint="cs"/>
          <w:spacing w:val="0"/>
          <w:kern w:val="0"/>
          <w:rtl/>
          <w:lang w:val="en-CA"/>
        </w:rPr>
        <w:t>يثق فيه</w:t>
      </w:r>
      <w:r w:rsidRPr="00B1101B">
        <w:rPr>
          <w:spacing w:val="0"/>
          <w:kern w:val="0"/>
          <w:rtl/>
          <w:lang w:val="en-CA"/>
        </w:rPr>
        <w:t xml:space="preserve"> </w:t>
      </w:r>
      <w:r w:rsidRPr="00B1101B">
        <w:rPr>
          <w:rFonts w:hint="cs"/>
          <w:spacing w:val="0"/>
          <w:kern w:val="0"/>
          <w:rtl/>
          <w:lang w:val="en-CA"/>
        </w:rPr>
        <w:t>المحتجز،</w:t>
      </w:r>
      <w:r w:rsidRPr="00B1101B">
        <w:rPr>
          <w:spacing w:val="0"/>
          <w:kern w:val="0"/>
          <w:rtl/>
          <w:lang w:val="en-CA"/>
        </w:rPr>
        <w:t xml:space="preserve"> وإبلاغ أفراد </w:t>
      </w:r>
      <w:r w:rsidRPr="00B1101B">
        <w:rPr>
          <w:rFonts w:hint="cs"/>
          <w:spacing w:val="0"/>
          <w:kern w:val="0"/>
          <w:rtl/>
          <w:lang w:val="en-CA"/>
        </w:rPr>
        <w:t>ال</w:t>
      </w:r>
      <w:r w:rsidRPr="00B1101B">
        <w:rPr>
          <w:spacing w:val="0"/>
          <w:kern w:val="0"/>
          <w:rtl/>
          <w:lang w:val="en-CA"/>
        </w:rPr>
        <w:t xml:space="preserve">أسرة </w:t>
      </w:r>
      <w:r w:rsidRPr="00B1101B">
        <w:rPr>
          <w:rFonts w:hint="cs"/>
          <w:spacing w:val="0"/>
          <w:kern w:val="0"/>
          <w:rtl/>
          <w:lang w:val="en-CA"/>
        </w:rPr>
        <w:t>ب</w:t>
      </w:r>
      <w:r w:rsidRPr="00B1101B">
        <w:rPr>
          <w:spacing w:val="0"/>
          <w:kern w:val="0"/>
          <w:rtl/>
          <w:lang w:val="en-CA"/>
        </w:rPr>
        <w:t>حال</w:t>
      </w:r>
      <w:r w:rsidRPr="00B1101B">
        <w:rPr>
          <w:rFonts w:hint="cs"/>
          <w:spacing w:val="0"/>
          <w:kern w:val="0"/>
          <w:rtl/>
          <w:lang w:val="en-CA"/>
        </w:rPr>
        <w:t>ته</w:t>
      </w:r>
      <w:r w:rsidRPr="00B1101B">
        <w:rPr>
          <w:spacing w:val="0"/>
          <w:kern w:val="0"/>
          <w:rtl/>
          <w:lang w:val="en-CA"/>
        </w:rPr>
        <w:t xml:space="preserve"> ومكان</w:t>
      </w:r>
      <w:r w:rsidRPr="00B1101B">
        <w:rPr>
          <w:rFonts w:hint="cs"/>
          <w:spacing w:val="0"/>
          <w:kern w:val="0"/>
          <w:rtl/>
          <w:lang w:val="en-CA"/>
        </w:rPr>
        <w:t>ه،</w:t>
      </w:r>
      <w:r w:rsidRPr="00B1101B">
        <w:rPr>
          <w:spacing w:val="0"/>
          <w:kern w:val="0"/>
          <w:rtl/>
          <w:lang w:val="en-CA"/>
        </w:rPr>
        <w:t xml:space="preserve"> والسماح </w:t>
      </w:r>
      <w:r w:rsidRPr="00B1101B">
        <w:rPr>
          <w:rFonts w:hint="cs"/>
          <w:spacing w:val="0"/>
          <w:kern w:val="0"/>
          <w:rtl/>
          <w:lang w:val="en-CA"/>
        </w:rPr>
        <w:t>له با</w:t>
      </w:r>
      <w:r w:rsidRPr="00B1101B">
        <w:rPr>
          <w:spacing w:val="0"/>
          <w:kern w:val="0"/>
          <w:rtl/>
          <w:lang w:val="en-CA"/>
        </w:rPr>
        <w:t xml:space="preserve">لتشاور مع محام </w:t>
      </w:r>
      <w:r w:rsidRPr="00B1101B">
        <w:rPr>
          <w:rFonts w:hint="cs"/>
          <w:spacing w:val="0"/>
          <w:kern w:val="0"/>
          <w:rtl/>
          <w:lang w:val="en-CA"/>
        </w:rPr>
        <w:t>على انفراد</w:t>
      </w:r>
      <w:r w:rsidRPr="00B1101B">
        <w:rPr>
          <w:spacing w:val="0"/>
          <w:kern w:val="0"/>
          <w:rtl/>
          <w:lang w:val="en-CA"/>
        </w:rPr>
        <w:t>. ويدعي صاحب الشكوى أن الطلب رفض.</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2-4</w:t>
      </w:r>
      <w:r w:rsidRPr="00AA537D">
        <w:rPr>
          <w:rFonts w:hint="cs"/>
          <w:spacing w:val="0"/>
          <w:kern w:val="0"/>
          <w:rtl/>
          <w:lang w:val="en-CA"/>
        </w:rPr>
        <w:tab/>
        <w:t>و</w:t>
      </w:r>
      <w:r w:rsidRPr="00AA537D">
        <w:rPr>
          <w:spacing w:val="0"/>
          <w:kern w:val="0"/>
          <w:rtl/>
          <w:lang w:val="en-CA"/>
        </w:rPr>
        <w:t xml:space="preserve">تعرض </w:t>
      </w:r>
      <w:r w:rsidRPr="00AA537D">
        <w:rPr>
          <w:rFonts w:hint="cs"/>
          <w:spacing w:val="0"/>
          <w:kern w:val="0"/>
          <w:rtl/>
          <w:lang w:val="en-CA"/>
        </w:rPr>
        <w:t>صاحب الشكوى</w:t>
      </w:r>
      <w:r w:rsidRPr="00AA537D">
        <w:rPr>
          <w:spacing w:val="0"/>
          <w:kern w:val="0"/>
          <w:rtl/>
          <w:lang w:val="en-CA"/>
        </w:rPr>
        <w:t xml:space="preserve"> إلى سوء المعاملة في مركز شرطة </w:t>
      </w:r>
      <w:r w:rsidRPr="00AA537D">
        <w:rPr>
          <w:rFonts w:hint="cs"/>
          <w:spacing w:val="0"/>
          <w:kern w:val="0"/>
          <w:rtl/>
          <w:lang w:val="en-CA"/>
        </w:rPr>
        <w:t>أركوتي</w:t>
      </w:r>
      <w:r w:rsidRPr="00AA537D">
        <w:rPr>
          <w:spacing w:val="0"/>
          <w:kern w:val="0"/>
          <w:rtl/>
          <w:lang w:val="en-CA"/>
        </w:rPr>
        <w:t xml:space="preserve">. </w:t>
      </w:r>
      <w:r w:rsidRPr="00AA537D">
        <w:rPr>
          <w:rFonts w:hint="cs"/>
          <w:spacing w:val="0"/>
          <w:kern w:val="0"/>
          <w:rtl/>
          <w:lang w:val="en-CA"/>
        </w:rPr>
        <w:t>وأجبر على البقاء في أوضاع</w:t>
      </w:r>
      <w:r w:rsidRPr="00AA537D">
        <w:rPr>
          <w:spacing w:val="0"/>
          <w:kern w:val="0"/>
          <w:rtl/>
          <w:lang w:val="en-CA"/>
        </w:rPr>
        <w:t xml:space="preserve"> غير مريح</w:t>
      </w:r>
      <w:r w:rsidRPr="00AA537D">
        <w:rPr>
          <w:rFonts w:hint="cs"/>
          <w:spacing w:val="0"/>
          <w:kern w:val="0"/>
          <w:rtl/>
          <w:lang w:val="en-CA"/>
        </w:rPr>
        <w:t>ة</w:t>
      </w:r>
      <w:r w:rsidRPr="00AA537D">
        <w:rPr>
          <w:spacing w:val="0"/>
          <w:kern w:val="0"/>
          <w:rtl/>
          <w:lang w:val="en-CA"/>
        </w:rPr>
        <w:t xml:space="preserve"> إلى حد الإنهاك. </w:t>
      </w:r>
      <w:r w:rsidRPr="00AA537D">
        <w:rPr>
          <w:rFonts w:hint="cs"/>
          <w:spacing w:val="0"/>
          <w:kern w:val="0"/>
          <w:rtl/>
          <w:lang w:val="en-CA"/>
        </w:rPr>
        <w:t>و</w:t>
      </w:r>
      <w:r w:rsidRPr="00AA537D">
        <w:rPr>
          <w:spacing w:val="0"/>
          <w:kern w:val="0"/>
          <w:rtl/>
          <w:lang w:val="en-CA"/>
        </w:rPr>
        <w:t xml:space="preserve">احتجز في زنزانة مساحتها 4 </w:t>
      </w:r>
      <w:r w:rsidRPr="00AA537D">
        <w:rPr>
          <w:rFonts w:hint="cs"/>
          <w:spacing w:val="0"/>
          <w:kern w:val="0"/>
          <w:rtl/>
          <w:lang w:val="en-CA"/>
        </w:rPr>
        <w:t>أمتار في</w:t>
      </w:r>
      <w:r w:rsidRPr="00AA537D">
        <w:rPr>
          <w:spacing w:val="0"/>
          <w:kern w:val="0"/>
          <w:rtl/>
          <w:lang w:val="en-CA"/>
        </w:rPr>
        <w:t xml:space="preserve"> </w:t>
      </w:r>
      <w:r w:rsidRPr="00AA537D">
        <w:rPr>
          <w:rFonts w:hint="cs"/>
          <w:spacing w:val="0"/>
          <w:kern w:val="0"/>
          <w:rtl/>
          <w:lang w:val="en-CA"/>
        </w:rPr>
        <w:t>مترين</w:t>
      </w:r>
      <w:r w:rsidRPr="00AA537D">
        <w:rPr>
          <w:spacing w:val="0"/>
          <w:kern w:val="0"/>
          <w:rtl/>
          <w:lang w:val="en-CA"/>
        </w:rPr>
        <w:t xml:space="preserve">، </w:t>
      </w:r>
      <w:r w:rsidRPr="00AA537D">
        <w:rPr>
          <w:rFonts w:hint="cs"/>
          <w:spacing w:val="0"/>
          <w:kern w:val="0"/>
          <w:rtl/>
          <w:lang w:val="en-CA"/>
        </w:rPr>
        <w:t xml:space="preserve">بدون </w:t>
      </w:r>
      <w:r w:rsidRPr="00AA537D">
        <w:rPr>
          <w:spacing w:val="0"/>
          <w:kern w:val="0"/>
          <w:rtl/>
          <w:lang w:val="en-CA"/>
        </w:rPr>
        <w:t xml:space="preserve">نوافذ أو أثاث سوى سرير </w:t>
      </w:r>
      <w:r w:rsidRPr="00AA537D">
        <w:rPr>
          <w:rFonts w:hint="cs"/>
          <w:spacing w:val="0"/>
          <w:kern w:val="0"/>
          <w:rtl/>
          <w:lang w:val="en-CA"/>
        </w:rPr>
        <w:t>من الإسمنت</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كلما </w:t>
      </w:r>
      <w:r w:rsidRPr="00AA537D">
        <w:rPr>
          <w:rFonts w:hint="cs"/>
          <w:spacing w:val="0"/>
          <w:kern w:val="0"/>
          <w:rtl/>
          <w:lang w:val="en-CA"/>
        </w:rPr>
        <w:t>حضرت</w:t>
      </w:r>
      <w:r w:rsidRPr="00AA537D">
        <w:rPr>
          <w:spacing w:val="0"/>
          <w:kern w:val="0"/>
          <w:rtl/>
          <w:lang w:val="en-CA"/>
        </w:rPr>
        <w:t xml:space="preserve"> الشرطة عند الباب أو دخل</w:t>
      </w:r>
      <w:r w:rsidRPr="00AA537D">
        <w:rPr>
          <w:rFonts w:hint="cs"/>
          <w:spacing w:val="0"/>
          <w:kern w:val="0"/>
          <w:rtl/>
          <w:lang w:val="en-CA"/>
        </w:rPr>
        <w:t>ت الزنزانة</w:t>
      </w:r>
      <w:r w:rsidRPr="00AA537D">
        <w:rPr>
          <w:spacing w:val="0"/>
          <w:kern w:val="0"/>
          <w:rtl/>
          <w:lang w:val="en-CA"/>
        </w:rPr>
        <w:t xml:space="preserve">، </w:t>
      </w:r>
      <w:r w:rsidRPr="00AA537D">
        <w:rPr>
          <w:rFonts w:hint="cs"/>
          <w:spacing w:val="0"/>
          <w:kern w:val="0"/>
          <w:rtl/>
          <w:lang w:val="en-CA"/>
        </w:rPr>
        <w:t xml:space="preserve">كان </w:t>
      </w:r>
      <w:r w:rsidRPr="00AA537D">
        <w:rPr>
          <w:spacing w:val="0"/>
          <w:kern w:val="0"/>
          <w:rtl/>
          <w:lang w:val="en-CA"/>
        </w:rPr>
        <w:t xml:space="preserve">عليه أن يقف </w:t>
      </w:r>
      <w:r w:rsidRPr="00AA537D">
        <w:rPr>
          <w:rFonts w:hint="cs"/>
          <w:spacing w:val="0"/>
          <w:kern w:val="0"/>
          <w:rtl/>
          <w:lang w:val="en-CA"/>
        </w:rPr>
        <w:t>ووجهه إلى الحائط</w:t>
      </w:r>
      <w:r w:rsidRPr="00AA537D">
        <w:rPr>
          <w:spacing w:val="0"/>
          <w:kern w:val="0"/>
          <w:rtl/>
          <w:lang w:val="en-CA"/>
        </w:rPr>
        <w:t xml:space="preserve"> في </w:t>
      </w:r>
      <w:r w:rsidRPr="00AA537D">
        <w:rPr>
          <w:rFonts w:hint="cs"/>
          <w:spacing w:val="0"/>
          <w:kern w:val="0"/>
          <w:rtl/>
          <w:lang w:val="en-CA"/>
        </w:rPr>
        <w:t>أ</w:t>
      </w:r>
      <w:r w:rsidRPr="00AA537D">
        <w:rPr>
          <w:spacing w:val="0"/>
          <w:kern w:val="0"/>
          <w:rtl/>
          <w:lang w:val="en-CA"/>
        </w:rPr>
        <w:t>وض</w:t>
      </w:r>
      <w:r w:rsidRPr="00AA537D">
        <w:rPr>
          <w:rFonts w:hint="cs"/>
          <w:spacing w:val="0"/>
          <w:kern w:val="0"/>
          <w:rtl/>
          <w:lang w:val="en-CA"/>
        </w:rPr>
        <w:t>ا</w:t>
      </w:r>
      <w:r w:rsidRPr="00AA537D">
        <w:rPr>
          <w:spacing w:val="0"/>
          <w:kern w:val="0"/>
          <w:rtl/>
          <w:lang w:val="en-CA"/>
        </w:rPr>
        <w:t>ع غير مريح</w:t>
      </w:r>
      <w:r w:rsidRPr="00AA537D">
        <w:rPr>
          <w:rFonts w:hint="cs"/>
          <w:spacing w:val="0"/>
          <w:kern w:val="0"/>
          <w:rtl/>
          <w:lang w:val="en-CA"/>
        </w:rPr>
        <w:t>ة</w:t>
      </w:r>
      <w:r w:rsidRPr="00AA537D">
        <w:rPr>
          <w:spacing w:val="0"/>
          <w:kern w:val="0"/>
          <w:rtl/>
          <w:lang w:val="en-CA"/>
        </w:rPr>
        <w:t xml:space="preserve"> </w:t>
      </w:r>
      <w:r w:rsidRPr="00AA537D">
        <w:rPr>
          <w:rFonts w:hint="cs"/>
          <w:spacing w:val="0"/>
          <w:kern w:val="0"/>
          <w:rtl/>
          <w:lang w:val="en-CA"/>
        </w:rPr>
        <w:t>وأن يغلق عينيه</w:t>
      </w:r>
      <w:r w:rsidRPr="00AA537D">
        <w:rPr>
          <w:spacing w:val="0"/>
          <w:kern w:val="0"/>
          <w:rtl/>
          <w:lang w:val="en-CA"/>
        </w:rPr>
        <w:t xml:space="preserve">. </w:t>
      </w:r>
      <w:r w:rsidRPr="00AA537D">
        <w:rPr>
          <w:rFonts w:hint="cs"/>
          <w:spacing w:val="0"/>
          <w:kern w:val="0"/>
          <w:rtl/>
          <w:lang w:val="en-CA"/>
        </w:rPr>
        <w:t>وتعرض صاحب الشكوى ل</w:t>
      </w:r>
      <w:r w:rsidRPr="00AA537D">
        <w:rPr>
          <w:spacing w:val="0"/>
          <w:kern w:val="0"/>
          <w:rtl/>
          <w:lang w:val="en-CA"/>
        </w:rPr>
        <w:t xml:space="preserve">ضربات </w:t>
      </w:r>
      <w:r w:rsidRPr="00AA537D">
        <w:rPr>
          <w:rFonts w:hint="cs"/>
          <w:spacing w:val="0"/>
          <w:kern w:val="0"/>
          <w:rtl/>
          <w:lang w:val="en-CA"/>
        </w:rPr>
        <w:t>في</w:t>
      </w:r>
      <w:r w:rsidRPr="00AA537D">
        <w:rPr>
          <w:spacing w:val="0"/>
          <w:kern w:val="0"/>
          <w:rtl/>
          <w:lang w:val="en-CA"/>
        </w:rPr>
        <w:t xml:space="preserve"> جميع أجزاء جس</w:t>
      </w:r>
      <w:r w:rsidRPr="00AA537D">
        <w:rPr>
          <w:rFonts w:hint="cs"/>
          <w:spacing w:val="0"/>
          <w:kern w:val="0"/>
          <w:rtl/>
          <w:lang w:val="en-CA"/>
        </w:rPr>
        <w:t>د</w:t>
      </w:r>
      <w:r w:rsidRPr="00AA537D">
        <w:rPr>
          <w:spacing w:val="0"/>
          <w:kern w:val="0"/>
          <w:rtl/>
          <w:lang w:val="en-CA"/>
        </w:rPr>
        <w:t xml:space="preserve">ه وللركل </w:t>
      </w:r>
      <w:r w:rsidRPr="00AA537D">
        <w:rPr>
          <w:rFonts w:hint="cs"/>
          <w:spacing w:val="0"/>
          <w:kern w:val="0"/>
          <w:rtl/>
          <w:lang w:val="en-CA"/>
        </w:rPr>
        <w:t>على مستوى</w:t>
      </w:r>
      <w:r w:rsidRPr="00AA537D">
        <w:rPr>
          <w:spacing w:val="0"/>
          <w:kern w:val="0"/>
          <w:rtl/>
          <w:lang w:val="en-CA"/>
        </w:rPr>
        <w:t xml:space="preserve"> الأعضاء التناسلية. </w:t>
      </w:r>
      <w:r w:rsidRPr="00AA537D">
        <w:rPr>
          <w:rFonts w:hint="cs"/>
          <w:spacing w:val="0"/>
          <w:kern w:val="0"/>
          <w:rtl/>
          <w:lang w:val="en-CA"/>
        </w:rPr>
        <w:t>وكانت الشرطة تُجلسه</w:t>
      </w:r>
      <w:r w:rsidRPr="00AA537D">
        <w:rPr>
          <w:spacing w:val="0"/>
          <w:kern w:val="0"/>
          <w:rtl/>
          <w:lang w:val="en-CA"/>
        </w:rPr>
        <w:t xml:space="preserve"> وتغطي رأسه </w:t>
      </w:r>
      <w:r w:rsidRPr="00AA537D">
        <w:rPr>
          <w:rFonts w:hint="cs"/>
          <w:spacing w:val="0"/>
          <w:kern w:val="0"/>
          <w:rtl/>
          <w:lang w:val="en-CA"/>
        </w:rPr>
        <w:t xml:space="preserve">بقماش </w:t>
      </w:r>
      <w:r w:rsidRPr="00AA537D">
        <w:rPr>
          <w:spacing w:val="0"/>
          <w:kern w:val="0"/>
          <w:rtl/>
          <w:lang w:val="en-CA"/>
        </w:rPr>
        <w:t>و</w:t>
      </w:r>
      <w:r w:rsidRPr="00AA537D">
        <w:rPr>
          <w:rFonts w:hint="cs"/>
          <w:spacing w:val="0"/>
          <w:kern w:val="0"/>
          <w:rtl/>
          <w:lang w:val="en-CA"/>
        </w:rPr>
        <w:t>ت</w:t>
      </w:r>
      <w:r w:rsidRPr="00AA537D">
        <w:rPr>
          <w:spacing w:val="0"/>
          <w:kern w:val="0"/>
          <w:rtl/>
          <w:lang w:val="en-CA"/>
        </w:rPr>
        <w:t xml:space="preserve">ضربه </w:t>
      </w:r>
      <w:r w:rsidRPr="00AA537D">
        <w:rPr>
          <w:rFonts w:hint="cs"/>
          <w:spacing w:val="0"/>
          <w:kern w:val="0"/>
          <w:rtl/>
          <w:lang w:val="en-CA"/>
        </w:rPr>
        <w:t>حتى يفقد الوعي. وحُرم</w:t>
      </w:r>
      <w:r w:rsidRPr="00AA537D">
        <w:rPr>
          <w:spacing w:val="0"/>
          <w:kern w:val="0"/>
          <w:rtl/>
          <w:lang w:val="en-CA"/>
        </w:rPr>
        <w:t xml:space="preserve"> من النوم </w:t>
      </w:r>
      <w:r w:rsidRPr="00AA537D">
        <w:rPr>
          <w:rFonts w:hint="cs"/>
          <w:spacing w:val="0"/>
          <w:kern w:val="0"/>
          <w:rtl/>
          <w:lang w:val="en-CA"/>
        </w:rPr>
        <w:t xml:space="preserve">بسبب تشغيل </w:t>
      </w:r>
      <w:r w:rsidRPr="00AA537D">
        <w:rPr>
          <w:spacing w:val="0"/>
          <w:kern w:val="0"/>
          <w:rtl/>
          <w:lang w:val="en-CA"/>
        </w:rPr>
        <w:t xml:space="preserve">الموسيقى الصاخبة </w:t>
      </w:r>
      <w:r w:rsidRPr="00AA537D">
        <w:rPr>
          <w:rFonts w:hint="cs"/>
          <w:spacing w:val="0"/>
          <w:kern w:val="0"/>
          <w:rtl/>
          <w:lang w:val="en-CA"/>
        </w:rPr>
        <w:t>وتشغيل الإضاءة باستمرار</w:t>
      </w:r>
      <w:r w:rsidRPr="00AA537D">
        <w:rPr>
          <w:spacing w:val="0"/>
          <w:kern w:val="0"/>
          <w:rtl/>
          <w:lang w:val="en-CA"/>
        </w:rPr>
        <w:t>. وعلاوة على ذلك،</w:t>
      </w:r>
      <w:r w:rsidRPr="00AA537D">
        <w:rPr>
          <w:rFonts w:hint="cs"/>
          <w:spacing w:val="0"/>
          <w:kern w:val="0"/>
          <w:rtl/>
          <w:lang w:val="en-CA"/>
        </w:rPr>
        <w:t xml:space="preserve"> عندما كان يُن</w:t>
      </w:r>
      <w:r w:rsidRPr="00AA537D">
        <w:rPr>
          <w:spacing w:val="0"/>
          <w:kern w:val="0"/>
          <w:rtl/>
          <w:lang w:val="en-CA"/>
        </w:rPr>
        <w:t>قل</w:t>
      </w:r>
      <w:r w:rsidRPr="00AA537D">
        <w:rPr>
          <w:rFonts w:hint="cs"/>
          <w:spacing w:val="0"/>
          <w:kern w:val="0"/>
          <w:rtl/>
          <w:lang w:val="en-CA"/>
        </w:rPr>
        <w:t xml:space="preserve"> </w:t>
      </w:r>
      <w:r w:rsidRPr="00AA537D">
        <w:rPr>
          <w:spacing w:val="0"/>
          <w:kern w:val="0"/>
          <w:rtl/>
          <w:lang w:val="en-CA"/>
        </w:rPr>
        <w:t xml:space="preserve">إلى غرفة التحقيق، </w:t>
      </w:r>
      <w:r w:rsidRPr="00AA537D">
        <w:rPr>
          <w:rFonts w:hint="cs"/>
          <w:spacing w:val="0"/>
          <w:kern w:val="0"/>
          <w:rtl/>
          <w:lang w:val="en-CA"/>
        </w:rPr>
        <w:t>كان عليه أن ي</w:t>
      </w:r>
      <w:r w:rsidRPr="00AA537D">
        <w:rPr>
          <w:spacing w:val="0"/>
          <w:kern w:val="0"/>
          <w:rtl/>
          <w:lang w:val="en-CA"/>
        </w:rPr>
        <w:t xml:space="preserve">خفض رأسه </w:t>
      </w:r>
      <w:r w:rsidRPr="00AA537D">
        <w:rPr>
          <w:rFonts w:hint="cs"/>
          <w:spacing w:val="0"/>
          <w:kern w:val="0"/>
          <w:rtl/>
          <w:lang w:val="en-CA"/>
        </w:rPr>
        <w:t>ويغلق</w:t>
      </w:r>
      <w:r w:rsidRPr="00AA537D">
        <w:rPr>
          <w:spacing w:val="0"/>
          <w:kern w:val="0"/>
          <w:rtl/>
          <w:lang w:val="en-CA"/>
        </w:rPr>
        <w:t xml:space="preserve"> عينيه</w:t>
      </w:r>
      <w:r w:rsidRPr="00AA537D">
        <w:rPr>
          <w:rFonts w:hint="cs"/>
          <w:spacing w:val="0"/>
          <w:kern w:val="0"/>
          <w:rtl/>
          <w:lang w:val="en-CA"/>
        </w:rPr>
        <w:t>؛ وإلا دفعوه ليصطدم</w:t>
      </w:r>
      <w:r w:rsidRPr="00AA537D">
        <w:rPr>
          <w:spacing w:val="0"/>
          <w:kern w:val="0"/>
          <w:rtl/>
          <w:lang w:val="en-CA"/>
        </w:rPr>
        <w:t xml:space="preserve"> </w:t>
      </w:r>
      <w:r w:rsidRPr="00AA537D">
        <w:rPr>
          <w:rFonts w:hint="cs"/>
          <w:spacing w:val="0"/>
          <w:kern w:val="0"/>
          <w:rtl/>
          <w:lang w:val="en-CA"/>
        </w:rPr>
        <w:t>بحائط</w:t>
      </w:r>
      <w:r w:rsidRPr="00AA537D">
        <w:rPr>
          <w:spacing w:val="0"/>
          <w:kern w:val="0"/>
          <w:rtl/>
          <w:lang w:val="en-CA"/>
        </w:rPr>
        <w:t xml:space="preserve"> الممر. وكان </w:t>
      </w:r>
      <w:r w:rsidRPr="00AA537D">
        <w:rPr>
          <w:rFonts w:hint="cs"/>
          <w:spacing w:val="0"/>
          <w:kern w:val="0"/>
          <w:rtl/>
          <w:lang w:val="en-CA"/>
        </w:rPr>
        <w:t>يتعرض</w:t>
      </w:r>
      <w:r w:rsidRPr="00AA537D">
        <w:rPr>
          <w:spacing w:val="0"/>
          <w:kern w:val="0"/>
          <w:rtl/>
          <w:lang w:val="en-CA"/>
        </w:rPr>
        <w:t xml:space="preserve"> أيضاً </w:t>
      </w:r>
      <w:r w:rsidRPr="00AA537D">
        <w:rPr>
          <w:rFonts w:hint="cs"/>
          <w:spacing w:val="0"/>
          <w:kern w:val="0"/>
          <w:rtl/>
          <w:lang w:val="en-CA"/>
        </w:rPr>
        <w:t>ل</w:t>
      </w:r>
      <w:r w:rsidRPr="00AA537D">
        <w:rPr>
          <w:spacing w:val="0"/>
          <w:kern w:val="0"/>
          <w:rtl/>
          <w:lang w:val="en-CA"/>
        </w:rPr>
        <w:t xml:space="preserve">نفس </w:t>
      </w:r>
      <w:r w:rsidRPr="00AA537D">
        <w:rPr>
          <w:rFonts w:hint="cs"/>
          <w:spacing w:val="0"/>
          <w:kern w:val="0"/>
          <w:rtl/>
          <w:lang w:val="en-CA"/>
        </w:rPr>
        <w:t xml:space="preserve">هذا </w:t>
      </w:r>
      <w:r w:rsidRPr="00AA537D">
        <w:rPr>
          <w:spacing w:val="0"/>
          <w:kern w:val="0"/>
          <w:rtl/>
          <w:lang w:val="en-CA"/>
        </w:rPr>
        <w:t xml:space="preserve">النوع من </w:t>
      </w:r>
      <w:r w:rsidRPr="00AA537D">
        <w:rPr>
          <w:rFonts w:hint="cs"/>
          <w:spacing w:val="0"/>
          <w:kern w:val="0"/>
          <w:rtl/>
          <w:lang w:val="en-CA"/>
        </w:rPr>
        <w:t>المعاملة أثناء</w:t>
      </w:r>
      <w:r w:rsidRPr="00AA537D">
        <w:rPr>
          <w:spacing w:val="0"/>
          <w:kern w:val="0"/>
          <w:rtl/>
          <w:lang w:val="en-CA"/>
        </w:rPr>
        <w:t xml:space="preserve"> استجوابه. وكلما سقط </w:t>
      </w:r>
      <w:r w:rsidRPr="00AA537D">
        <w:rPr>
          <w:rFonts w:hint="cs"/>
          <w:spacing w:val="0"/>
          <w:kern w:val="0"/>
          <w:rtl/>
          <w:lang w:val="en-CA"/>
        </w:rPr>
        <w:t xml:space="preserve">على الأرض </w:t>
      </w:r>
      <w:r w:rsidRPr="00AA537D">
        <w:rPr>
          <w:spacing w:val="0"/>
          <w:kern w:val="0"/>
          <w:rtl/>
          <w:lang w:val="en-CA"/>
        </w:rPr>
        <w:t xml:space="preserve">أو فقد وعيه، </w:t>
      </w:r>
      <w:r w:rsidRPr="00AA537D">
        <w:rPr>
          <w:rFonts w:hint="cs"/>
          <w:spacing w:val="0"/>
          <w:kern w:val="0"/>
          <w:rtl/>
          <w:lang w:val="en-CA"/>
        </w:rPr>
        <w:t xml:space="preserve">كان يجبر </w:t>
      </w:r>
      <w:r w:rsidRPr="00AA537D">
        <w:rPr>
          <w:spacing w:val="0"/>
          <w:kern w:val="0"/>
          <w:rtl/>
          <w:lang w:val="en-CA"/>
        </w:rPr>
        <w:t xml:space="preserve">على شرب الماء، حتى عندما </w:t>
      </w:r>
      <w:r w:rsidRPr="00AA537D">
        <w:rPr>
          <w:rFonts w:hint="cs"/>
          <w:spacing w:val="0"/>
          <w:kern w:val="0"/>
          <w:rtl/>
          <w:lang w:val="en-CA"/>
        </w:rPr>
        <w:t>كان ي</w:t>
      </w:r>
      <w:r w:rsidRPr="00AA537D">
        <w:rPr>
          <w:spacing w:val="0"/>
          <w:kern w:val="0"/>
          <w:rtl/>
          <w:lang w:val="en-CA"/>
        </w:rPr>
        <w:t>قاوم</w:t>
      </w:r>
      <w:r w:rsidRPr="00AA537D">
        <w:rPr>
          <w:rFonts w:hint="cs"/>
          <w:spacing w:val="0"/>
          <w:kern w:val="0"/>
          <w:rtl/>
          <w:lang w:val="en-CA"/>
        </w:rPr>
        <w:t xml:space="preserve"> ذلك</w:t>
      </w:r>
      <w:r w:rsidRPr="00AA537D">
        <w:rPr>
          <w:spacing w:val="0"/>
          <w:kern w:val="0"/>
          <w:rtl/>
          <w:lang w:val="en-CA"/>
        </w:rPr>
        <w:t xml:space="preserve">. </w:t>
      </w:r>
      <w:r w:rsidRPr="00AA537D">
        <w:rPr>
          <w:rFonts w:hint="cs"/>
          <w:spacing w:val="0"/>
          <w:kern w:val="0"/>
          <w:rtl/>
          <w:lang w:val="en-CA"/>
        </w:rPr>
        <w:t>كما أنه</w:t>
      </w:r>
      <w:r w:rsidRPr="00AA537D">
        <w:rPr>
          <w:spacing w:val="0"/>
          <w:kern w:val="0"/>
          <w:rtl/>
          <w:lang w:val="en-CA"/>
        </w:rPr>
        <w:t xml:space="preserve"> </w:t>
      </w:r>
      <w:r w:rsidRPr="00AA537D">
        <w:rPr>
          <w:rFonts w:hint="cs"/>
          <w:spacing w:val="0"/>
          <w:kern w:val="0"/>
          <w:rtl/>
          <w:lang w:val="en-CA"/>
        </w:rPr>
        <w:t xml:space="preserve">تعرض </w:t>
      </w:r>
      <w:r w:rsidRPr="00AA537D">
        <w:rPr>
          <w:spacing w:val="0"/>
          <w:kern w:val="0"/>
          <w:rtl/>
          <w:lang w:val="en-CA"/>
        </w:rPr>
        <w:t>لتعذيب نفسي و</w:t>
      </w:r>
      <w:r w:rsidRPr="00AA537D">
        <w:rPr>
          <w:rFonts w:hint="cs"/>
          <w:spacing w:val="0"/>
          <w:kern w:val="0"/>
          <w:rtl/>
          <w:lang w:val="en-CA"/>
        </w:rPr>
        <w:t>هدد</w:t>
      </w:r>
      <w:r w:rsidRPr="00AA537D">
        <w:rPr>
          <w:spacing w:val="0"/>
          <w:kern w:val="0"/>
          <w:rtl/>
          <w:lang w:val="en-CA"/>
        </w:rPr>
        <w:t xml:space="preserve"> بالقتل و</w:t>
      </w:r>
      <w:r w:rsidRPr="00AA537D">
        <w:rPr>
          <w:rFonts w:hint="cs"/>
          <w:spacing w:val="0"/>
          <w:kern w:val="0"/>
          <w:rtl/>
          <w:lang w:val="en-CA"/>
        </w:rPr>
        <w:t>أخبر بأن أسرته ستتعرض للإيذاء</w:t>
      </w:r>
      <w:r w:rsidRPr="00AA537D">
        <w:rPr>
          <w:spacing w:val="0"/>
          <w:kern w:val="0"/>
          <w:rtl/>
          <w:lang w:val="en-CA"/>
        </w:rPr>
        <w:t xml:space="preserve">. </w:t>
      </w:r>
      <w:r w:rsidRPr="00AA537D">
        <w:rPr>
          <w:rFonts w:hint="cs"/>
          <w:spacing w:val="0"/>
          <w:kern w:val="0"/>
          <w:rtl/>
          <w:lang w:val="en-CA"/>
        </w:rPr>
        <w:t>وكان صاحب الشكوى ي</w:t>
      </w:r>
      <w:r w:rsidRPr="00AA537D">
        <w:rPr>
          <w:spacing w:val="0"/>
          <w:kern w:val="0"/>
          <w:rtl/>
          <w:lang w:val="en-CA"/>
        </w:rPr>
        <w:t xml:space="preserve">سمع صرخات المحتجزين في </w:t>
      </w:r>
      <w:r w:rsidRPr="00AA537D">
        <w:rPr>
          <w:rFonts w:hint="cs"/>
          <w:spacing w:val="0"/>
          <w:kern w:val="0"/>
          <w:rtl/>
          <w:lang w:val="en-CA"/>
        </w:rPr>
        <w:t>الزنزانات</w:t>
      </w:r>
      <w:r w:rsidRPr="00AA537D">
        <w:rPr>
          <w:spacing w:val="0"/>
          <w:kern w:val="0"/>
          <w:rtl/>
          <w:lang w:val="en-CA"/>
        </w:rPr>
        <w:t xml:space="preserve"> المجاورة، و</w:t>
      </w:r>
      <w:r w:rsidRPr="00AA537D">
        <w:rPr>
          <w:rFonts w:hint="cs"/>
          <w:spacing w:val="0"/>
          <w:kern w:val="0"/>
          <w:rtl/>
          <w:lang w:val="en-CA"/>
        </w:rPr>
        <w:t>أُبلغ بأ</w:t>
      </w:r>
      <w:r w:rsidRPr="00AA537D">
        <w:rPr>
          <w:spacing w:val="0"/>
          <w:kern w:val="0"/>
          <w:rtl/>
          <w:lang w:val="en-CA"/>
        </w:rPr>
        <w:t xml:space="preserve">ن شقيقه </w:t>
      </w:r>
      <w:r w:rsidRPr="00AA537D">
        <w:rPr>
          <w:rFonts w:hint="cs"/>
          <w:spacing w:val="0"/>
          <w:kern w:val="0"/>
          <w:rtl/>
          <w:lang w:val="en-CA"/>
        </w:rPr>
        <w:t>احتجز</w:t>
      </w:r>
      <w:r w:rsidRPr="00AA537D">
        <w:rPr>
          <w:spacing w:val="0"/>
          <w:kern w:val="0"/>
          <w:rtl/>
          <w:lang w:val="en-CA"/>
        </w:rPr>
        <w:t xml:space="preserve"> أيضاً، </w:t>
      </w:r>
      <w:r w:rsidRPr="00AA537D">
        <w:rPr>
          <w:rFonts w:hint="cs"/>
          <w:spacing w:val="0"/>
          <w:kern w:val="0"/>
          <w:rtl/>
          <w:lang w:val="en-CA"/>
        </w:rPr>
        <w:t>ويتعرض</w:t>
      </w:r>
      <w:r w:rsidRPr="00AA537D">
        <w:rPr>
          <w:spacing w:val="0"/>
          <w:kern w:val="0"/>
          <w:rtl/>
          <w:lang w:val="en-CA"/>
        </w:rPr>
        <w:t xml:space="preserve"> </w:t>
      </w:r>
      <w:r w:rsidRPr="00AA537D">
        <w:rPr>
          <w:rFonts w:hint="cs"/>
          <w:spacing w:val="0"/>
          <w:kern w:val="0"/>
          <w:rtl/>
          <w:lang w:val="en-CA"/>
        </w:rPr>
        <w:t>ل</w:t>
      </w:r>
      <w:r w:rsidRPr="00AA537D">
        <w:rPr>
          <w:spacing w:val="0"/>
          <w:kern w:val="0"/>
          <w:rtl/>
          <w:lang w:val="en-CA"/>
        </w:rPr>
        <w:t xml:space="preserve">نفس المعاملة بسببه. </w:t>
      </w:r>
      <w:r w:rsidRPr="00AA537D">
        <w:rPr>
          <w:rFonts w:hint="cs"/>
          <w:spacing w:val="0"/>
          <w:kern w:val="0"/>
          <w:rtl/>
          <w:lang w:val="en-CA"/>
        </w:rPr>
        <w:t xml:space="preserve">وقد أدى </w:t>
      </w:r>
      <w:r w:rsidRPr="00AA537D">
        <w:rPr>
          <w:spacing w:val="0"/>
          <w:kern w:val="0"/>
          <w:rtl/>
          <w:lang w:val="en-CA"/>
        </w:rPr>
        <w:t xml:space="preserve">كل </w:t>
      </w:r>
      <w:r w:rsidRPr="00AA537D">
        <w:rPr>
          <w:rFonts w:hint="cs"/>
          <w:spacing w:val="0"/>
          <w:kern w:val="0"/>
          <w:rtl/>
          <w:lang w:val="en-CA"/>
        </w:rPr>
        <w:t>ذلك</w:t>
      </w:r>
      <w:r w:rsidRPr="00AA537D">
        <w:rPr>
          <w:spacing w:val="0"/>
          <w:kern w:val="0"/>
          <w:rtl/>
          <w:lang w:val="en-CA"/>
        </w:rPr>
        <w:t xml:space="preserve">، بالإضافة إلى </w:t>
      </w:r>
      <w:r w:rsidRPr="00AA537D">
        <w:rPr>
          <w:rFonts w:hint="cs"/>
          <w:spacing w:val="0"/>
          <w:kern w:val="0"/>
          <w:rtl/>
          <w:lang w:val="en-CA"/>
        </w:rPr>
        <w:t xml:space="preserve">حبسه الانفرادي لمدة </w:t>
      </w:r>
      <w:r w:rsidRPr="00AA537D">
        <w:rPr>
          <w:spacing w:val="0"/>
          <w:kern w:val="0"/>
          <w:rtl/>
          <w:lang w:val="en-CA"/>
        </w:rPr>
        <w:t xml:space="preserve">ثلاثة أيام، </w:t>
      </w:r>
      <w:r w:rsidRPr="00AA537D">
        <w:rPr>
          <w:rFonts w:hint="cs"/>
          <w:spacing w:val="0"/>
          <w:kern w:val="0"/>
          <w:rtl/>
          <w:lang w:val="en-CA"/>
        </w:rPr>
        <w:t>إلى إصابته</w:t>
      </w:r>
      <w:r w:rsidRPr="00AA537D">
        <w:rPr>
          <w:spacing w:val="0"/>
          <w:kern w:val="0"/>
          <w:rtl/>
          <w:lang w:val="en-CA"/>
        </w:rPr>
        <w:t xml:space="preserve"> </w:t>
      </w:r>
      <w:r w:rsidRPr="00AA537D">
        <w:rPr>
          <w:rFonts w:hint="cs"/>
          <w:spacing w:val="0"/>
          <w:kern w:val="0"/>
          <w:rtl/>
          <w:lang w:val="en-CA"/>
        </w:rPr>
        <w:t>ب</w:t>
      </w:r>
      <w:r w:rsidRPr="00AA537D">
        <w:rPr>
          <w:spacing w:val="0"/>
          <w:kern w:val="0"/>
          <w:rtl/>
          <w:lang w:val="en-CA"/>
        </w:rPr>
        <w:t>حالة خطيرة من القلق</w:t>
      </w:r>
      <w:r w:rsidRPr="00AA537D">
        <w:rPr>
          <w:rFonts w:hint="cs"/>
          <w:spacing w:val="0"/>
          <w:kern w:val="0"/>
          <w:vertAlign w:val="superscript"/>
          <w:rtl/>
          <w:lang w:val="fr-CH"/>
        </w:rPr>
        <w:t>(</w:t>
      </w:r>
      <w:r w:rsidRPr="00AA537D">
        <w:rPr>
          <w:rStyle w:val="FootnoteReference"/>
          <w:spacing w:val="0"/>
          <w:sz w:val="26"/>
          <w:szCs w:val="26"/>
          <w:rtl/>
          <w:lang w:val="fr-CH"/>
        </w:rPr>
        <w:footnoteReference w:id="438"/>
      </w:r>
      <w:r w:rsidRPr="00AA537D">
        <w:rPr>
          <w:rFonts w:hint="cs"/>
          <w:spacing w:val="0"/>
          <w:kern w:val="0"/>
          <w:vertAlign w:val="superscript"/>
          <w:rtl/>
          <w:lang w:val="fr-CH"/>
        </w:rPr>
        <w:t>)</w:t>
      </w:r>
      <w:r w:rsidRPr="00AA537D">
        <w:rPr>
          <w:rFonts w:hint="cs"/>
          <w:spacing w:val="0"/>
          <w:kern w:val="0"/>
          <w:rtl/>
          <w:lang w:val="fr-CH"/>
        </w:rPr>
        <w:t>.</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2-5</w:t>
      </w:r>
      <w:r w:rsidRPr="00AA537D">
        <w:rPr>
          <w:rFonts w:hint="cs"/>
          <w:spacing w:val="0"/>
          <w:kern w:val="0"/>
          <w:rtl/>
          <w:lang w:val="en-CA"/>
        </w:rPr>
        <w:tab/>
      </w:r>
      <w:r w:rsidRPr="00AA537D">
        <w:rPr>
          <w:spacing w:val="0"/>
          <w:kern w:val="0"/>
          <w:rtl/>
          <w:lang w:val="en-CA"/>
        </w:rPr>
        <w:t>وفي 25 تشرين الأول</w:t>
      </w:r>
      <w:r w:rsidRPr="00AA537D">
        <w:rPr>
          <w:rFonts w:hint="cs"/>
          <w:spacing w:val="0"/>
          <w:kern w:val="0"/>
          <w:rtl/>
          <w:lang w:val="en-CA"/>
        </w:rPr>
        <w:t>/أكتوبر</w:t>
      </w:r>
      <w:r w:rsidRPr="00AA537D">
        <w:rPr>
          <w:spacing w:val="0"/>
          <w:kern w:val="0"/>
          <w:rtl/>
          <w:lang w:val="en-CA"/>
        </w:rPr>
        <w:t xml:space="preserve"> 2002، </w:t>
      </w:r>
      <w:r w:rsidRPr="00AA537D">
        <w:rPr>
          <w:rFonts w:hint="cs"/>
          <w:spacing w:val="0"/>
          <w:kern w:val="0"/>
          <w:rtl/>
          <w:lang w:val="en-CA"/>
        </w:rPr>
        <w:t>وهو</w:t>
      </w:r>
      <w:r w:rsidRPr="00AA537D">
        <w:rPr>
          <w:spacing w:val="0"/>
          <w:kern w:val="0"/>
          <w:rtl/>
          <w:lang w:val="en-CA"/>
        </w:rPr>
        <w:t xml:space="preserve"> اليوم التالي </w:t>
      </w:r>
      <w:r w:rsidRPr="00AA537D">
        <w:rPr>
          <w:rFonts w:hint="cs"/>
          <w:spacing w:val="0"/>
          <w:kern w:val="0"/>
          <w:rtl/>
          <w:lang w:val="en-CA"/>
        </w:rPr>
        <w:t>لاحتجازه</w:t>
      </w:r>
      <w:r w:rsidRPr="00AA537D">
        <w:rPr>
          <w:spacing w:val="0"/>
          <w:kern w:val="0"/>
          <w:rtl/>
          <w:lang w:val="en-CA"/>
        </w:rPr>
        <w:t xml:space="preserve"> في مركز شرطة </w:t>
      </w:r>
      <w:r w:rsidRPr="00AA537D">
        <w:rPr>
          <w:rFonts w:hint="cs"/>
          <w:spacing w:val="0"/>
          <w:kern w:val="0"/>
          <w:rtl/>
          <w:lang w:val="en-CA"/>
        </w:rPr>
        <w:t>أركوتي</w:t>
      </w:r>
      <w:r w:rsidRPr="00AA537D">
        <w:rPr>
          <w:spacing w:val="0"/>
          <w:kern w:val="0"/>
          <w:rtl/>
          <w:lang w:val="en-CA"/>
        </w:rPr>
        <w:t xml:space="preserve">، </w:t>
      </w:r>
      <w:r w:rsidRPr="00AA537D">
        <w:rPr>
          <w:rFonts w:hint="cs"/>
          <w:spacing w:val="0"/>
          <w:kern w:val="0"/>
          <w:rtl/>
          <w:lang w:val="en-CA"/>
        </w:rPr>
        <w:t xml:space="preserve">أجرى </w:t>
      </w:r>
      <w:r w:rsidRPr="00AA537D">
        <w:rPr>
          <w:spacing w:val="0"/>
          <w:kern w:val="0"/>
          <w:rtl/>
          <w:lang w:val="en-CA"/>
        </w:rPr>
        <w:t>طبيب شرعي فحص</w:t>
      </w:r>
      <w:r w:rsidRPr="00AA537D">
        <w:rPr>
          <w:rFonts w:hint="cs"/>
          <w:spacing w:val="0"/>
          <w:kern w:val="0"/>
          <w:rtl/>
          <w:lang w:val="en-CA"/>
        </w:rPr>
        <w:t>اً لصاحب ا</w:t>
      </w:r>
      <w:r w:rsidRPr="00AA537D">
        <w:rPr>
          <w:spacing w:val="0"/>
          <w:kern w:val="0"/>
          <w:rtl/>
          <w:lang w:val="en-CA"/>
        </w:rPr>
        <w:t xml:space="preserve">لشكوى </w:t>
      </w:r>
      <w:r w:rsidRPr="00AA537D">
        <w:rPr>
          <w:rFonts w:hint="cs"/>
          <w:spacing w:val="0"/>
          <w:kern w:val="0"/>
          <w:rtl/>
          <w:lang w:val="en-CA"/>
        </w:rPr>
        <w:t xml:space="preserve">الذي أبلغه عن </w:t>
      </w:r>
      <w:r w:rsidRPr="00AA537D">
        <w:rPr>
          <w:spacing w:val="0"/>
          <w:kern w:val="0"/>
          <w:rtl/>
          <w:lang w:val="en-CA"/>
        </w:rPr>
        <w:t xml:space="preserve">سوء المعاملة التي يتعرض </w:t>
      </w:r>
      <w:r w:rsidRPr="00AA537D">
        <w:rPr>
          <w:rFonts w:hint="cs"/>
          <w:spacing w:val="0"/>
          <w:kern w:val="0"/>
          <w:rtl/>
          <w:lang w:val="en-CA"/>
        </w:rPr>
        <w:t>لها</w:t>
      </w:r>
      <w:r w:rsidRPr="00AA537D">
        <w:rPr>
          <w:spacing w:val="0"/>
          <w:kern w:val="0"/>
          <w:rtl/>
          <w:lang w:val="en-CA"/>
        </w:rPr>
        <w:t xml:space="preserve">. </w:t>
      </w:r>
      <w:r w:rsidRPr="00AA537D">
        <w:rPr>
          <w:rFonts w:hint="cs"/>
          <w:spacing w:val="0"/>
          <w:kern w:val="0"/>
          <w:rtl/>
          <w:lang w:val="en-CA"/>
        </w:rPr>
        <w:t xml:space="preserve">ولم يقم </w:t>
      </w:r>
      <w:r w:rsidRPr="00AA537D">
        <w:rPr>
          <w:spacing w:val="0"/>
          <w:kern w:val="0"/>
          <w:rtl/>
          <w:lang w:val="en-CA"/>
        </w:rPr>
        <w:t xml:space="preserve">الطبيب </w:t>
      </w:r>
      <w:r w:rsidRPr="00AA537D">
        <w:rPr>
          <w:rFonts w:hint="cs"/>
          <w:spacing w:val="0"/>
          <w:kern w:val="0"/>
          <w:rtl/>
          <w:lang w:val="en-CA"/>
        </w:rPr>
        <w:t>إلا بكتابة</w:t>
      </w:r>
      <w:r w:rsidRPr="00AA537D">
        <w:rPr>
          <w:spacing w:val="0"/>
          <w:kern w:val="0"/>
          <w:rtl/>
          <w:lang w:val="en-CA"/>
        </w:rPr>
        <w:t xml:space="preserve"> مذكرة </w:t>
      </w:r>
      <w:r w:rsidRPr="00AA537D">
        <w:rPr>
          <w:rFonts w:hint="cs"/>
          <w:spacing w:val="0"/>
          <w:kern w:val="0"/>
          <w:rtl/>
          <w:lang w:val="en-CA"/>
        </w:rPr>
        <w:t>با</w:t>
      </w:r>
      <w:r w:rsidRPr="00AA537D">
        <w:rPr>
          <w:spacing w:val="0"/>
          <w:kern w:val="0"/>
          <w:rtl/>
          <w:lang w:val="en-CA"/>
        </w:rPr>
        <w:t>لمعلومات</w:t>
      </w:r>
      <w:r w:rsidRPr="00AA537D">
        <w:rPr>
          <w:rFonts w:hint="cs"/>
          <w:spacing w:val="0"/>
          <w:kern w:val="0"/>
          <w:rtl/>
          <w:lang w:val="en-CA"/>
        </w:rPr>
        <w:t xml:space="preserve"> ب</w:t>
      </w:r>
      <w:r w:rsidRPr="00AA537D">
        <w:rPr>
          <w:spacing w:val="0"/>
          <w:kern w:val="0"/>
          <w:rtl/>
          <w:lang w:val="en-CA"/>
        </w:rPr>
        <w:t xml:space="preserve">دون </w:t>
      </w:r>
      <w:r w:rsidRPr="00AA537D">
        <w:rPr>
          <w:rFonts w:hint="cs"/>
          <w:spacing w:val="0"/>
          <w:kern w:val="0"/>
          <w:rtl/>
          <w:lang w:val="en-CA"/>
        </w:rPr>
        <w:t xml:space="preserve">فحص صاحب </w:t>
      </w:r>
      <w:r w:rsidRPr="00AA537D">
        <w:rPr>
          <w:spacing w:val="0"/>
          <w:kern w:val="0"/>
          <w:rtl/>
          <w:lang w:val="en-CA"/>
        </w:rPr>
        <w:t xml:space="preserve">الشكوى عن كثب أو إظهار قلق </w:t>
      </w:r>
      <w:r w:rsidRPr="00AA537D">
        <w:rPr>
          <w:rFonts w:hint="cs"/>
          <w:spacing w:val="0"/>
          <w:kern w:val="0"/>
          <w:rtl/>
          <w:lang w:val="en-CA"/>
        </w:rPr>
        <w:t>بشأن</w:t>
      </w:r>
      <w:r w:rsidRPr="00AA537D">
        <w:rPr>
          <w:spacing w:val="0"/>
          <w:kern w:val="0"/>
          <w:rtl/>
          <w:lang w:val="en-CA"/>
        </w:rPr>
        <w:t xml:space="preserve"> حالته. </w:t>
      </w:r>
      <w:r w:rsidRPr="00AA537D">
        <w:rPr>
          <w:rFonts w:hint="cs"/>
          <w:spacing w:val="0"/>
          <w:kern w:val="0"/>
          <w:rtl/>
          <w:lang w:val="en-CA"/>
        </w:rPr>
        <w:t>و</w:t>
      </w:r>
      <w:r w:rsidRPr="00AA537D">
        <w:rPr>
          <w:spacing w:val="0"/>
          <w:kern w:val="0"/>
          <w:rtl/>
          <w:lang w:val="en-CA"/>
        </w:rPr>
        <w:t>في 26 تشرين الأول</w:t>
      </w:r>
      <w:r w:rsidRPr="00AA537D">
        <w:rPr>
          <w:rFonts w:hint="cs"/>
          <w:spacing w:val="0"/>
          <w:kern w:val="0"/>
          <w:rtl/>
          <w:lang w:val="en-CA"/>
        </w:rPr>
        <w:t>/أكتوبر</w:t>
      </w:r>
      <w:r w:rsidRPr="00AA537D">
        <w:rPr>
          <w:spacing w:val="0"/>
          <w:kern w:val="0"/>
          <w:rtl/>
          <w:lang w:val="en-CA"/>
        </w:rPr>
        <w:t xml:space="preserve"> 2002، قال صاحب الشكوى مرة أخرى للطبيب </w:t>
      </w:r>
      <w:r w:rsidRPr="00AA537D">
        <w:rPr>
          <w:rFonts w:hint="cs"/>
          <w:spacing w:val="0"/>
          <w:kern w:val="0"/>
          <w:rtl/>
          <w:lang w:val="en-CA"/>
        </w:rPr>
        <w:t>إنه</w:t>
      </w:r>
      <w:r w:rsidRPr="00AA537D">
        <w:rPr>
          <w:spacing w:val="0"/>
          <w:kern w:val="0"/>
          <w:rtl/>
          <w:lang w:val="en-CA"/>
        </w:rPr>
        <w:t xml:space="preserve"> يتعرض للتعذيب، ولكن الطبيب </w:t>
      </w:r>
      <w:r w:rsidRPr="00AA537D">
        <w:rPr>
          <w:rFonts w:hint="cs"/>
          <w:spacing w:val="0"/>
          <w:kern w:val="0"/>
          <w:rtl/>
          <w:lang w:val="en-CA"/>
        </w:rPr>
        <w:t>لم يذكر</w:t>
      </w:r>
      <w:r w:rsidRPr="00AA537D">
        <w:rPr>
          <w:spacing w:val="0"/>
          <w:kern w:val="0"/>
          <w:rtl/>
          <w:lang w:val="en-CA"/>
        </w:rPr>
        <w:t xml:space="preserve"> ذلك في تقريره</w:t>
      </w:r>
      <w:r w:rsidRPr="00AA537D">
        <w:rPr>
          <w:rFonts w:hint="cs"/>
          <w:spacing w:val="0"/>
          <w:kern w:val="0"/>
          <w:vertAlign w:val="superscript"/>
          <w:rtl/>
          <w:lang w:val="fr-CH"/>
        </w:rPr>
        <w:t>(</w:t>
      </w:r>
      <w:r w:rsidRPr="00AA537D">
        <w:rPr>
          <w:rStyle w:val="FootnoteReference"/>
          <w:spacing w:val="0"/>
          <w:sz w:val="26"/>
          <w:szCs w:val="26"/>
          <w:rtl/>
          <w:lang w:val="fr-CH"/>
        </w:rPr>
        <w:footnoteReference w:id="439"/>
      </w:r>
      <w:r w:rsidRPr="00AA537D">
        <w:rPr>
          <w:rFonts w:hint="cs"/>
          <w:spacing w:val="0"/>
          <w:kern w:val="0"/>
          <w:vertAlign w:val="superscript"/>
          <w:rtl/>
          <w:lang w:val="fr-CH"/>
        </w:rPr>
        <w:t>)</w:t>
      </w:r>
      <w:r w:rsidRPr="00AA537D">
        <w:rPr>
          <w:rFonts w:hint="cs"/>
          <w:spacing w:val="0"/>
          <w:kern w:val="0"/>
          <w:rtl/>
          <w:lang w:val="fr-CH"/>
        </w:rPr>
        <w:t>.</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2-6</w:t>
      </w:r>
      <w:r w:rsidRPr="00AA537D">
        <w:rPr>
          <w:rFonts w:hint="cs"/>
          <w:spacing w:val="0"/>
          <w:kern w:val="0"/>
          <w:rtl/>
          <w:lang w:val="en-CA"/>
        </w:rPr>
        <w:tab/>
        <w:t>و</w:t>
      </w:r>
      <w:r w:rsidRPr="00AA537D">
        <w:rPr>
          <w:spacing w:val="0"/>
          <w:kern w:val="0"/>
          <w:rtl/>
          <w:lang w:val="en-CA"/>
        </w:rPr>
        <w:t xml:space="preserve">خلال الأيام الثلاثة التي </w:t>
      </w:r>
      <w:r w:rsidRPr="00AA537D">
        <w:rPr>
          <w:rFonts w:hint="cs"/>
          <w:spacing w:val="0"/>
          <w:kern w:val="0"/>
          <w:rtl/>
          <w:lang w:val="en-CA"/>
        </w:rPr>
        <w:t>احتجز</w:t>
      </w:r>
      <w:r w:rsidRPr="00AA537D">
        <w:rPr>
          <w:spacing w:val="0"/>
          <w:kern w:val="0"/>
          <w:rtl/>
          <w:lang w:val="en-CA"/>
        </w:rPr>
        <w:t xml:space="preserve"> في</w:t>
      </w:r>
      <w:r w:rsidRPr="00AA537D">
        <w:rPr>
          <w:rFonts w:hint="cs"/>
          <w:spacing w:val="0"/>
          <w:kern w:val="0"/>
          <w:rtl/>
          <w:lang w:val="en-CA"/>
        </w:rPr>
        <w:t>ها</w:t>
      </w:r>
      <w:r w:rsidRPr="00AA537D">
        <w:rPr>
          <w:spacing w:val="0"/>
          <w:kern w:val="0"/>
          <w:rtl/>
          <w:lang w:val="en-CA"/>
        </w:rPr>
        <w:t xml:space="preserve"> صاحب الشكوى </w:t>
      </w:r>
      <w:r w:rsidRPr="00AA537D">
        <w:rPr>
          <w:rFonts w:hint="cs"/>
          <w:spacing w:val="0"/>
          <w:kern w:val="0"/>
          <w:rtl/>
          <w:lang w:val="en-CA"/>
        </w:rPr>
        <w:t>انفرادياً</w:t>
      </w:r>
      <w:r w:rsidRPr="00AA537D">
        <w:rPr>
          <w:spacing w:val="0"/>
          <w:kern w:val="0"/>
          <w:rtl/>
          <w:lang w:val="en-CA"/>
        </w:rPr>
        <w:t xml:space="preserve">، </w:t>
      </w:r>
      <w:r w:rsidRPr="00AA537D">
        <w:rPr>
          <w:rFonts w:hint="cs"/>
          <w:spacing w:val="0"/>
          <w:kern w:val="0"/>
          <w:rtl/>
          <w:lang w:val="en-CA"/>
        </w:rPr>
        <w:t>خضع</w:t>
      </w:r>
      <w:r w:rsidRPr="00AA537D">
        <w:rPr>
          <w:spacing w:val="0"/>
          <w:kern w:val="0"/>
          <w:rtl/>
          <w:lang w:val="en-CA"/>
        </w:rPr>
        <w:t xml:space="preserve"> لاستجواب </w:t>
      </w:r>
      <w:r w:rsidRPr="00AA537D">
        <w:rPr>
          <w:rFonts w:hint="cs"/>
          <w:spacing w:val="0"/>
          <w:kern w:val="0"/>
          <w:rtl/>
          <w:lang w:val="en-CA"/>
        </w:rPr>
        <w:t>كان الغرض منه</w:t>
      </w:r>
      <w:r w:rsidRPr="00AA537D">
        <w:rPr>
          <w:spacing w:val="0"/>
          <w:kern w:val="0"/>
          <w:rtl/>
          <w:lang w:val="en-CA"/>
        </w:rPr>
        <w:t xml:space="preserve"> </w:t>
      </w:r>
      <w:r w:rsidRPr="00AA537D">
        <w:rPr>
          <w:rFonts w:hint="cs"/>
          <w:spacing w:val="0"/>
          <w:kern w:val="0"/>
          <w:rtl/>
          <w:lang w:val="en-CA"/>
        </w:rPr>
        <w:t>انتزاع</w:t>
      </w:r>
      <w:r w:rsidRPr="00AA537D">
        <w:rPr>
          <w:spacing w:val="0"/>
          <w:kern w:val="0"/>
          <w:rtl/>
          <w:lang w:val="en-CA"/>
        </w:rPr>
        <w:t xml:space="preserve"> </w:t>
      </w:r>
      <w:r w:rsidRPr="00AA537D">
        <w:rPr>
          <w:rFonts w:hint="cs"/>
          <w:spacing w:val="0"/>
          <w:kern w:val="0"/>
          <w:rtl/>
          <w:lang w:val="en-CA"/>
        </w:rPr>
        <w:t>أقوال</w:t>
      </w:r>
      <w:r w:rsidRPr="00AA537D">
        <w:rPr>
          <w:spacing w:val="0"/>
          <w:kern w:val="0"/>
          <w:rtl/>
          <w:lang w:val="en-CA"/>
        </w:rPr>
        <w:t xml:space="preserve"> </w:t>
      </w:r>
      <w:r w:rsidRPr="00AA537D">
        <w:rPr>
          <w:rFonts w:hint="cs"/>
          <w:spacing w:val="0"/>
          <w:kern w:val="0"/>
          <w:rtl/>
          <w:lang w:val="en-CA"/>
        </w:rPr>
        <w:t>ت</w:t>
      </w:r>
      <w:r w:rsidRPr="00AA537D">
        <w:rPr>
          <w:spacing w:val="0"/>
          <w:kern w:val="0"/>
          <w:rtl/>
          <w:lang w:val="en-CA"/>
        </w:rPr>
        <w:t>ؤكد أنه كان مذنبا</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ب</w:t>
      </w:r>
      <w:r w:rsidRPr="00AA537D">
        <w:rPr>
          <w:spacing w:val="0"/>
          <w:kern w:val="0"/>
          <w:rtl/>
          <w:lang w:val="en-CA"/>
        </w:rPr>
        <w:t xml:space="preserve">التهم الموجهة إليه. </w:t>
      </w:r>
      <w:r w:rsidRPr="00AA537D">
        <w:rPr>
          <w:rFonts w:hint="cs"/>
          <w:spacing w:val="0"/>
          <w:kern w:val="0"/>
          <w:rtl/>
          <w:lang w:val="en-CA"/>
        </w:rPr>
        <w:t xml:space="preserve">وأمره </w:t>
      </w:r>
      <w:r w:rsidRPr="00AA537D">
        <w:rPr>
          <w:spacing w:val="0"/>
          <w:kern w:val="0"/>
          <w:rtl/>
          <w:lang w:val="en-CA"/>
        </w:rPr>
        <w:t xml:space="preserve">أحد ضباط الشرطة </w:t>
      </w:r>
      <w:r w:rsidRPr="00AA537D">
        <w:rPr>
          <w:rFonts w:hint="cs"/>
          <w:spacing w:val="0"/>
          <w:kern w:val="0"/>
          <w:rtl/>
          <w:lang w:val="en-CA"/>
        </w:rPr>
        <w:t xml:space="preserve">بأن يعترف، وأُجبر </w:t>
      </w:r>
      <w:r w:rsidRPr="00AA537D">
        <w:rPr>
          <w:spacing w:val="0"/>
          <w:kern w:val="0"/>
          <w:rtl/>
          <w:lang w:val="en-CA"/>
        </w:rPr>
        <w:t xml:space="preserve">على </w:t>
      </w:r>
      <w:r w:rsidRPr="00AA537D">
        <w:rPr>
          <w:rFonts w:hint="cs"/>
          <w:spacing w:val="0"/>
          <w:kern w:val="0"/>
          <w:rtl/>
          <w:lang w:val="en-CA"/>
        </w:rPr>
        <w:t>حفظ أقوال تدينه، وعلى التدرب على الإدلاء ب</w:t>
      </w:r>
      <w:r w:rsidRPr="00AA537D">
        <w:rPr>
          <w:spacing w:val="0"/>
          <w:kern w:val="0"/>
          <w:rtl/>
          <w:lang w:val="en-CA"/>
        </w:rPr>
        <w:t xml:space="preserve">شهادته. </w:t>
      </w:r>
      <w:r w:rsidRPr="00AA537D">
        <w:rPr>
          <w:rFonts w:hint="cs"/>
          <w:spacing w:val="0"/>
          <w:kern w:val="0"/>
          <w:rtl/>
          <w:lang w:val="en-CA"/>
        </w:rPr>
        <w:t>و</w:t>
      </w:r>
      <w:r w:rsidRPr="00AA537D">
        <w:rPr>
          <w:spacing w:val="0"/>
          <w:kern w:val="0"/>
          <w:rtl/>
          <w:lang w:val="en-CA"/>
        </w:rPr>
        <w:t xml:space="preserve">تعرض للضرب والتهديد </w:t>
      </w:r>
      <w:r w:rsidRPr="00AA537D">
        <w:rPr>
          <w:rFonts w:hint="cs"/>
          <w:spacing w:val="0"/>
          <w:kern w:val="0"/>
          <w:rtl/>
          <w:lang w:val="en-CA"/>
        </w:rPr>
        <w:t xml:space="preserve">في إحدى هذه التدريبات </w:t>
      </w:r>
      <w:r w:rsidRPr="00AA537D">
        <w:rPr>
          <w:spacing w:val="0"/>
          <w:kern w:val="0"/>
          <w:rtl/>
          <w:lang w:val="en-CA"/>
        </w:rPr>
        <w:t xml:space="preserve">لأن </w:t>
      </w:r>
      <w:r w:rsidRPr="00AA537D">
        <w:rPr>
          <w:rFonts w:hint="cs"/>
          <w:spacing w:val="0"/>
          <w:kern w:val="0"/>
          <w:rtl/>
          <w:lang w:val="en-CA"/>
        </w:rPr>
        <w:t xml:space="preserve">ضباط الشرطة </w:t>
      </w:r>
      <w:r w:rsidRPr="00AA537D">
        <w:rPr>
          <w:spacing w:val="0"/>
          <w:kern w:val="0"/>
          <w:rtl/>
          <w:lang w:val="en-CA"/>
        </w:rPr>
        <w:t xml:space="preserve">لم </w:t>
      </w:r>
      <w:r w:rsidRPr="00AA537D">
        <w:rPr>
          <w:rFonts w:hint="cs"/>
          <w:spacing w:val="0"/>
          <w:kern w:val="0"/>
          <w:rtl/>
          <w:lang w:val="en-CA"/>
        </w:rPr>
        <w:t>ي</w:t>
      </w:r>
      <w:r w:rsidRPr="00AA537D">
        <w:rPr>
          <w:spacing w:val="0"/>
          <w:kern w:val="0"/>
          <w:rtl/>
          <w:lang w:val="en-CA"/>
        </w:rPr>
        <w:t>ك</w:t>
      </w:r>
      <w:r w:rsidRPr="00AA537D">
        <w:rPr>
          <w:rFonts w:hint="cs"/>
          <w:spacing w:val="0"/>
          <w:kern w:val="0"/>
          <w:rtl/>
          <w:lang w:val="en-CA"/>
        </w:rPr>
        <w:t>ونوا</w:t>
      </w:r>
      <w:r w:rsidRPr="00AA537D">
        <w:rPr>
          <w:spacing w:val="0"/>
          <w:kern w:val="0"/>
          <w:rtl/>
          <w:lang w:val="en-CA"/>
        </w:rPr>
        <w:t xml:space="preserve"> راضي</w:t>
      </w:r>
      <w:r w:rsidRPr="00AA537D">
        <w:rPr>
          <w:rFonts w:hint="cs"/>
          <w:spacing w:val="0"/>
          <w:kern w:val="0"/>
          <w:rtl/>
          <w:lang w:val="en-CA"/>
        </w:rPr>
        <w:t>ن</w:t>
      </w:r>
      <w:r w:rsidRPr="00AA537D">
        <w:rPr>
          <w:spacing w:val="0"/>
          <w:kern w:val="0"/>
          <w:rtl/>
          <w:lang w:val="en-CA"/>
        </w:rPr>
        <w:t xml:space="preserve"> </w:t>
      </w:r>
      <w:r w:rsidRPr="00AA537D">
        <w:rPr>
          <w:rFonts w:hint="cs"/>
          <w:spacing w:val="0"/>
          <w:kern w:val="0"/>
          <w:rtl/>
          <w:lang w:val="en-CA"/>
        </w:rPr>
        <w:t xml:space="preserve">عن </w:t>
      </w:r>
      <w:r w:rsidRPr="00AA537D">
        <w:rPr>
          <w:spacing w:val="0"/>
          <w:kern w:val="0"/>
          <w:rtl/>
          <w:lang w:val="en-CA"/>
        </w:rPr>
        <w:t xml:space="preserve">أدائه. </w:t>
      </w:r>
      <w:r w:rsidRPr="00AA537D">
        <w:rPr>
          <w:rFonts w:hint="cs"/>
          <w:spacing w:val="0"/>
          <w:kern w:val="0"/>
          <w:rtl/>
          <w:lang w:val="en-CA"/>
        </w:rPr>
        <w:t>و</w:t>
      </w:r>
      <w:r w:rsidRPr="00AA537D">
        <w:rPr>
          <w:spacing w:val="0"/>
          <w:kern w:val="0"/>
          <w:rtl/>
          <w:lang w:val="en-CA"/>
        </w:rPr>
        <w:t>رفع</w:t>
      </w:r>
      <w:r w:rsidRPr="00AA537D">
        <w:rPr>
          <w:rFonts w:hint="cs"/>
          <w:spacing w:val="0"/>
          <w:kern w:val="0"/>
          <w:rtl/>
          <w:lang w:val="en-CA"/>
        </w:rPr>
        <w:t>و</w:t>
      </w:r>
      <w:r w:rsidRPr="00AA537D">
        <w:rPr>
          <w:spacing w:val="0"/>
          <w:kern w:val="0"/>
          <w:rtl/>
          <w:lang w:val="en-CA"/>
        </w:rPr>
        <w:t>ه من شعره و</w:t>
      </w:r>
      <w:r w:rsidRPr="00AA537D">
        <w:rPr>
          <w:rFonts w:hint="cs"/>
          <w:spacing w:val="0"/>
          <w:kern w:val="0"/>
          <w:rtl/>
          <w:lang w:val="en-CA"/>
        </w:rPr>
        <w:t>أجبروه</w:t>
      </w:r>
      <w:r w:rsidRPr="00AA537D">
        <w:rPr>
          <w:spacing w:val="0"/>
          <w:kern w:val="0"/>
          <w:rtl/>
          <w:lang w:val="en-CA"/>
        </w:rPr>
        <w:t xml:space="preserve"> على </w:t>
      </w:r>
      <w:r w:rsidRPr="00AA537D">
        <w:rPr>
          <w:rFonts w:hint="cs"/>
          <w:spacing w:val="0"/>
          <w:kern w:val="0"/>
          <w:rtl/>
          <w:lang w:val="en-CA"/>
        </w:rPr>
        <w:t>قراءة الأقوال إلى أن قام ب</w:t>
      </w:r>
      <w:r w:rsidRPr="00AA537D">
        <w:rPr>
          <w:spacing w:val="0"/>
          <w:kern w:val="0"/>
          <w:rtl/>
          <w:lang w:val="en-CA"/>
        </w:rPr>
        <w:t>ذلك بشكل صحيح. و</w:t>
      </w:r>
      <w:r w:rsidRPr="00AA537D">
        <w:rPr>
          <w:rFonts w:hint="cs"/>
          <w:spacing w:val="0"/>
          <w:kern w:val="0"/>
          <w:rtl/>
          <w:lang w:val="en-CA"/>
        </w:rPr>
        <w:t>أخذت أقواله</w:t>
      </w:r>
      <w:r w:rsidRPr="00AA537D">
        <w:rPr>
          <w:spacing w:val="0"/>
          <w:kern w:val="0"/>
          <w:rtl/>
          <w:lang w:val="en-CA"/>
        </w:rPr>
        <w:t xml:space="preserve"> تحت الإكراه في ثلاث مناسبات </w:t>
      </w:r>
      <w:r w:rsidRPr="00AA537D">
        <w:rPr>
          <w:rFonts w:hint="cs"/>
          <w:spacing w:val="0"/>
          <w:kern w:val="0"/>
          <w:rtl/>
          <w:lang w:val="en-CA"/>
        </w:rPr>
        <w:t>أمام</w:t>
      </w:r>
      <w:r w:rsidRPr="00AA537D">
        <w:rPr>
          <w:spacing w:val="0"/>
          <w:kern w:val="0"/>
          <w:rtl/>
          <w:lang w:val="en-CA"/>
        </w:rPr>
        <w:t xml:space="preserve"> محقق الشرطة. </w:t>
      </w:r>
      <w:r w:rsidRPr="00AA537D">
        <w:rPr>
          <w:rFonts w:hint="cs"/>
          <w:spacing w:val="0"/>
          <w:kern w:val="0"/>
          <w:rtl/>
          <w:lang w:val="en-CA"/>
        </w:rPr>
        <w:t>و</w:t>
      </w:r>
      <w:r w:rsidRPr="00AA537D">
        <w:rPr>
          <w:spacing w:val="0"/>
          <w:kern w:val="0"/>
          <w:rtl/>
          <w:lang w:val="en-CA"/>
        </w:rPr>
        <w:t xml:space="preserve">لم </w:t>
      </w:r>
      <w:r w:rsidRPr="00AA537D">
        <w:rPr>
          <w:rFonts w:hint="cs"/>
          <w:spacing w:val="0"/>
          <w:kern w:val="0"/>
          <w:rtl/>
          <w:lang w:val="en-CA"/>
        </w:rPr>
        <w:t xml:space="preserve">يستفد </w:t>
      </w:r>
      <w:r w:rsidRPr="00AA537D">
        <w:rPr>
          <w:spacing w:val="0"/>
          <w:kern w:val="0"/>
          <w:rtl/>
          <w:lang w:val="en-CA"/>
        </w:rPr>
        <w:t xml:space="preserve">صاحب الشكوى </w:t>
      </w:r>
      <w:r w:rsidRPr="00AA537D">
        <w:rPr>
          <w:rFonts w:hint="cs"/>
          <w:spacing w:val="0"/>
          <w:kern w:val="0"/>
          <w:rtl/>
          <w:lang w:val="en-CA"/>
        </w:rPr>
        <w:t xml:space="preserve">من مساعدة فعالة من محام، لأنه على </w:t>
      </w:r>
      <w:r w:rsidRPr="00AA537D">
        <w:rPr>
          <w:spacing w:val="0"/>
          <w:kern w:val="0"/>
          <w:rtl/>
          <w:lang w:val="en-CA"/>
        </w:rPr>
        <w:t xml:space="preserve">الرغم من </w:t>
      </w:r>
      <w:r w:rsidRPr="00AA537D">
        <w:rPr>
          <w:rFonts w:hint="cs"/>
          <w:spacing w:val="0"/>
          <w:kern w:val="0"/>
          <w:rtl/>
          <w:lang w:val="en-CA"/>
        </w:rPr>
        <w:t>وجود</w:t>
      </w:r>
      <w:r w:rsidRPr="00AA537D">
        <w:rPr>
          <w:spacing w:val="0"/>
          <w:kern w:val="0"/>
          <w:rtl/>
          <w:lang w:val="en-CA"/>
        </w:rPr>
        <w:t xml:space="preserve"> المحامي </w:t>
      </w:r>
      <w:r w:rsidRPr="00AA537D">
        <w:rPr>
          <w:rFonts w:hint="cs"/>
          <w:spacing w:val="0"/>
          <w:kern w:val="0"/>
          <w:rtl/>
          <w:lang w:val="en-CA"/>
        </w:rPr>
        <w:t>المعين له</w:t>
      </w:r>
      <w:r w:rsidRPr="00AA537D">
        <w:rPr>
          <w:spacing w:val="0"/>
          <w:kern w:val="0"/>
          <w:rtl/>
          <w:lang w:val="en-CA"/>
        </w:rPr>
        <w:t xml:space="preserve">، </w:t>
      </w:r>
      <w:r w:rsidRPr="00AA537D">
        <w:rPr>
          <w:rFonts w:hint="cs"/>
          <w:spacing w:val="0"/>
          <w:kern w:val="0"/>
          <w:rtl/>
          <w:lang w:val="en-CA"/>
        </w:rPr>
        <w:t>فإن هذا الأخير لم يشارك بشكل إيجابي</w:t>
      </w:r>
      <w:r w:rsidRPr="00AA537D">
        <w:rPr>
          <w:spacing w:val="0"/>
          <w:kern w:val="0"/>
          <w:rtl/>
          <w:lang w:val="en-CA"/>
        </w:rPr>
        <w:t xml:space="preserve"> </w:t>
      </w:r>
      <w:r w:rsidRPr="00AA537D">
        <w:rPr>
          <w:rFonts w:hint="cs"/>
          <w:spacing w:val="0"/>
          <w:kern w:val="0"/>
          <w:rtl/>
          <w:lang w:val="en-CA"/>
        </w:rPr>
        <w:t xml:space="preserve">في </w:t>
      </w:r>
      <w:r w:rsidRPr="00AA537D">
        <w:rPr>
          <w:spacing w:val="0"/>
          <w:kern w:val="0"/>
          <w:rtl/>
          <w:lang w:val="en-CA"/>
        </w:rPr>
        <w:t>الإجراءات و</w:t>
      </w:r>
      <w:r w:rsidRPr="00AA537D">
        <w:rPr>
          <w:rFonts w:hint="cs"/>
          <w:spacing w:val="0"/>
          <w:kern w:val="0"/>
          <w:rtl/>
          <w:lang w:val="en-CA"/>
        </w:rPr>
        <w:t>لم ي</w:t>
      </w:r>
      <w:r w:rsidRPr="00AA537D">
        <w:rPr>
          <w:spacing w:val="0"/>
          <w:kern w:val="0"/>
          <w:rtl/>
          <w:lang w:val="en-CA"/>
        </w:rPr>
        <w:t xml:space="preserve">حصل صاحب الشكوى </w:t>
      </w:r>
      <w:r w:rsidRPr="00AA537D">
        <w:rPr>
          <w:rFonts w:hint="cs"/>
          <w:spacing w:val="0"/>
          <w:kern w:val="0"/>
          <w:rtl/>
          <w:lang w:val="en-CA"/>
        </w:rPr>
        <w:t>على</w:t>
      </w:r>
      <w:r w:rsidRPr="00AA537D">
        <w:rPr>
          <w:spacing w:val="0"/>
          <w:kern w:val="0"/>
          <w:rtl/>
          <w:lang w:val="en-CA"/>
        </w:rPr>
        <w:t xml:space="preserve"> فرصة للتشاور معه</w:t>
      </w:r>
      <w:r w:rsidRPr="00AA537D">
        <w:rPr>
          <w:rFonts w:hint="cs"/>
          <w:spacing w:val="0"/>
          <w:kern w:val="0"/>
          <w:rtl/>
          <w:lang w:val="en-CA"/>
        </w:rPr>
        <w:t xml:space="preserve"> على انفراد وإبلاغه ب</w:t>
      </w:r>
      <w:r w:rsidRPr="00AA537D">
        <w:rPr>
          <w:spacing w:val="0"/>
          <w:kern w:val="0"/>
          <w:rtl/>
          <w:lang w:val="en-CA"/>
        </w:rPr>
        <w:t xml:space="preserve">الظروف التي </w:t>
      </w:r>
      <w:r w:rsidRPr="00AA537D">
        <w:rPr>
          <w:rFonts w:hint="cs"/>
          <w:spacing w:val="0"/>
          <w:kern w:val="0"/>
          <w:rtl/>
          <w:lang w:val="en-CA"/>
        </w:rPr>
        <w:t>أحاطت عملية إدلائه بأقواله للشرطة</w:t>
      </w:r>
      <w:r w:rsidRPr="00AA537D">
        <w:rPr>
          <w:rFonts w:hint="cs"/>
          <w:spacing w:val="0"/>
          <w:kern w:val="0"/>
          <w:vertAlign w:val="superscript"/>
          <w:rtl/>
          <w:lang w:val="fr-CH"/>
        </w:rPr>
        <w:t>(</w:t>
      </w:r>
      <w:r w:rsidRPr="00AA537D">
        <w:rPr>
          <w:rStyle w:val="FootnoteReference"/>
          <w:spacing w:val="0"/>
          <w:sz w:val="26"/>
          <w:szCs w:val="26"/>
          <w:rtl/>
          <w:lang w:val="fr-CH"/>
        </w:rPr>
        <w:footnoteReference w:id="440"/>
      </w:r>
      <w:r w:rsidRPr="00AA537D">
        <w:rPr>
          <w:rFonts w:hint="cs"/>
          <w:spacing w:val="0"/>
          <w:kern w:val="0"/>
          <w:vertAlign w:val="superscript"/>
          <w:rtl/>
          <w:lang w:val="fr-CH"/>
        </w:rPr>
        <w:t>)</w:t>
      </w:r>
      <w:r w:rsidRPr="00AA537D">
        <w:rPr>
          <w:rFonts w:hint="cs"/>
          <w:spacing w:val="0"/>
          <w:kern w:val="0"/>
          <w:rtl/>
          <w:lang w:val="fr-CH"/>
        </w:rPr>
        <w:t>.</w:t>
      </w:r>
    </w:p>
    <w:p w:rsidR="00FA6676" w:rsidRPr="00AA537D" w:rsidRDefault="00FA6676" w:rsidP="001A08AE">
      <w:pPr>
        <w:pStyle w:val="SingleTxtGA"/>
        <w:jc w:val="lowKashida"/>
        <w:rPr>
          <w:rFonts w:hint="cs"/>
          <w:spacing w:val="0"/>
          <w:kern w:val="0"/>
          <w:rtl/>
          <w:lang w:val="en-CA"/>
        </w:rPr>
      </w:pPr>
      <w:r w:rsidRPr="00AA537D">
        <w:rPr>
          <w:rFonts w:hint="cs"/>
          <w:spacing w:val="0"/>
          <w:kern w:val="0"/>
          <w:rtl/>
          <w:lang w:val="en-CA"/>
        </w:rPr>
        <w:t>2-7</w:t>
      </w:r>
      <w:r w:rsidRPr="00AA537D">
        <w:rPr>
          <w:rFonts w:hint="cs"/>
          <w:spacing w:val="0"/>
          <w:kern w:val="0"/>
          <w:rtl/>
          <w:lang w:val="en-CA"/>
        </w:rPr>
        <w:tab/>
        <w:t>و</w:t>
      </w:r>
      <w:r w:rsidRPr="00AA537D">
        <w:rPr>
          <w:spacing w:val="0"/>
          <w:kern w:val="0"/>
          <w:rtl/>
          <w:lang w:val="en-CA"/>
        </w:rPr>
        <w:t xml:space="preserve">نتيجة </w:t>
      </w:r>
      <w:r w:rsidR="001A08AE">
        <w:rPr>
          <w:rFonts w:hint="cs"/>
          <w:spacing w:val="0"/>
          <w:kern w:val="0"/>
          <w:rtl/>
          <w:lang w:val="en-CA"/>
        </w:rPr>
        <w:t>ل</w:t>
      </w:r>
      <w:r w:rsidRPr="00AA537D">
        <w:rPr>
          <w:spacing w:val="0"/>
          <w:kern w:val="0"/>
          <w:rtl/>
          <w:lang w:val="en-CA"/>
        </w:rPr>
        <w:t>لتعذيب، اعترف صاحب الشكوى بأنه كان مذنبا</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ب</w:t>
      </w:r>
      <w:r w:rsidRPr="00AA537D">
        <w:rPr>
          <w:spacing w:val="0"/>
          <w:kern w:val="0"/>
          <w:rtl/>
          <w:lang w:val="en-CA"/>
        </w:rPr>
        <w:t xml:space="preserve">تدمير ممتلكات عامة </w:t>
      </w:r>
      <w:r w:rsidRPr="00AA537D">
        <w:rPr>
          <w:rFonts w:hint="cs"/>
          <w:spacing w:val="0"/>
          <w:kern w:val="0"/>
          <w:rtl/>
          <w:lang w:val="en-CA"/>
        </w:rPr>
        <w:t>والارتباط ب</w:t>
      </w:r>
      <w:r w:rsidRPr="00AA537D">
        <w:rPr>
          <w:spacing w:val="0"/>
          <w:kern w:val="0"/>
          <w:rtl/>
          <w:lang w:val="en-CA"/>
        </w:rPr>
        <w:t>منظم</w:t>
      </w:r>
      <w:r w:rsidRPr="00AA537D">
        <w:rPr>
          <w:rFonts w:hint="cs"/>
          <w:spacing w:val="0"/>
          <w:kern w:val="0"/>
          <w:rtl/>
          <w:lang w:val="en-CA"/>
        </w:rPr>
        <w:t>ة</w:t>
      </w:r>
      <w:r w:rsidRPr="00AA537D">
        <w:rPr>
          <w:spacing w:val="0"/>
          <w:kern w:val="0"/>
          <w:rtl/>
          <w:lang w:val="en-CA"/>
        </w:rPr>
        <w:t xml:space="preserve"> إرهابية</w:t>
      </w:r>
      <w:r w:rsidRPr="00AA537D">
        <w:rPr>
          <w:rFonts w:hint="cs"/>
          <w:spacing w:val="0"/>
          <w:kern w:val="0"/>
          <w:rtl/>
          <w:lang w:val="en-CA"/>
        </w:rPr>
        <w:t xml:space="preserve"> وعضويتها</w:t>
      </w:r>
      <w:r w:rsidRPr="00AA537D">
        <w:rPr>
          <w:spacing w:val="0"/>
          <w:kern w:val="0"/>
          <w:rtl/>
          <w:lang w:val="en-CA"/>
        </w:rPr>
        <w:t xml:space="preserve">، فيما يتصل </w:t>
      </w:r>
      <w:r w:rsidRPr="00AA537D">
        <w:rPr>
          <w:rFonts w:hint="cs"/>
          <w:spacing w:val="0"/>
          <w:kern w:val="0"/>
          <w:rtl/>
          <w:lang w:val="en-CA"/>
        </w:rPr>
        <w:t>بعملية اغتيال</w:t>
      </w:r>
      <w:r w:rsidRPr="00AA537D">
        <w:rPr>
          <w:spacing w:val="0"/>
          <w:kern w:val="0"/>
          <w:rtl/>
          <w:lang w:val="en-CA"/>
        </w:rPr>
        <w:t xml:space="preserve"> قاضي المحكمة العليا</w:t>
      </w:r>
      <w:r w:rsidRPr="00AA537D">
        <w:rPr>
          <w:rFonts w:hint="cs"/>
          <w:spacing w:val="0"/>
          <w:kern w:val="0"/>
          <w:rtl/>
          <w:lang w:val="en-CA"/>
        </w:rPr>
        <w:t xml:space="preserve"> الإقليمية في </w:t>
      </w:r>
      <w:r w:rsidRPr="00AA537D">
        <w:rPr>
          <w:spacing w:val="0"/>
          <w:kern w:val="0"/>
          <w:rtl/>
          <w:lang w:val="en-CA"/>
        </w:rPr>
        <w:t>بلباو، خوسيه ماريا</w:t>
      </w:r>
      <w:r w:rsidRPr="00AA537D">
        <w:rPr>
          <w:rFonts w:hint="cs"/>
          <w:spacing w:val="0"/>
          <w:kern w:val="0"/>
          <w:rtl/>
          <w:lang w:val="en-CA"/>
        </w:rPr>
        <w:t xml:space="preserve"> ليدون كوربي</w:t>
      </w:r>
      <w:r w:rsidRPr="00AA537D">
        <w:rPr>
          <w:spacing w:val="0"/>
          <w:kern w:val="0"/>
          <w:rtl/>
          <w:lang w:val="en-CA"/>
        </w:rPr>
        <w:t xml:space="preserve">، </w:t>
      </w:r>
      <w:r w:rsidRPr="00AA537D">
        <w:rPr>
          <w:rFonts w:hint="cs"/>
          <w:spacing w:val="0"/>
          <w:kern w:val="0"/>
          <w:rtl/>
          <w:lang w:val="en-CA"/>
        </w:rPr>
        <w:t xml:space="preserve">التي </w:t>
      </w:r>
      <w:r w:rsidRPr="00AA537D">
        <w:rPr>
          <w:spacing w:val="0"/>
          <w:kern w:val="0"/>
          <w:rtl/>
          <w:lang w:val="en-CA"/>
        </w:rPr>
        <w:t>نفذ</w:t>
      </w:r>
      <w:r w:rsidRPr="00AA537D">
        <w:rPr>
          <w:rFonts w:hint="cs"/>
          <w:spacing w:val="0"/>
          <w:kern w:val="0"/>
          <w:rtl/>
          <w:lang w:val="en-CA"/>
        </w:rPr>
        <w:t>ها</w:t>
      </w:r>
      <w:r w:rsidRPr="00AA537D">
        <w:rPr>
          <w:spacing w:val="0"/>
          <w:kern w:val="0"/>
          <w:rtl/>
          <w:lang w:val="en-CA"/>
        </w:rPr>
        <w:t xml:space="preserve"> أعضاء منظمة </w:t>
      </w:r>
      <w:r w:rsidRPr="00AA537D">
        <w:rPr>
          <w:rFonts w:hint="cs"/>
          <w:spacing w:val="0"/>
          <w:kern w:val="0"/>
          <w:rtl/>
          <w:lang/>
        </w:rPr>
        <w:t xml:space="preserve">يوسكادي تا أسكاتاسونا (إيتا) </w:t>
      </w:r>
      <w:r w:rsidRPr="00AA537D">
        <w:rPr>
          <w:spacing w:val="0"/>
          <w:kern w:val="0"/>
          <w:rtl/>
          <w:lang w:val="en-CA"/>
        </w:rPr>
        <w:t>في</w:t>
      </w:r>
      <w:r w:rsidRPr="00AA537D">
        <w:rPr>
          <w:rFonts w:hint="cs"/>
          <w:spacing w:val="0"/>
          <w:kern w:val="0"/>
          <w:rtl/>
          <w:lang w:val="en-CA"/>
        </w:rPr>
        <w:t> </w:t>
      </w:r>
      <w:r w:rsidRPr="00AA537D">
        <w:rPr>
          <w:spacing w:val="0"/>
          <w:kern w:val="0"/>
          <w:rtl/>
          <w:lang w:val="en-CA"/>
        </w:rPr>
        <w:t>7 تشرين الثاني</w:t>
      </w:r>
      <w:r w:rsidRPr="00AA537D">
        <w:rPr>
          <w:rFonts w:hint="cs"/>
          <w:spacing w:val="0"/>
          <w:kern w:val="0"/>
          <w:rtl/>
          <w:lang w:val="en-CA"/>
        </w:rPr>
        <w:t>/نوفمبر</w:t>
      </w:r>
      <w:r w:rsidRPr="00AA537D">
        <w:rPr>
          <w:spacing w:val="0"/>
          <w:kern w:val="0"/>
          <w:rtl/>
          <w:lang w:val="en-CA"/>
        </w:rPr>
        <w:t xml:space="preserve"> 2001. وذكر صاحب الشكوى أنه</w:t>
      </w:r>
      <w:r w:rsidRPr="00AA537D">
        <w:rPr>
          <w:rFonts w:hint="cs"/>
          <w:spacing w:val="0"/>
          <w:kern w:val="0"/>
          <w:rtl/>
          <w:lang w:val="en-CA"/>
        </w:rPr>
        <w:t xml:space="preserve"> كان يراقب</w:t>
      </w:r>
      <w:r w:rsidRPr="00AA537D">
        <w:rPr>
          <w:spacing w:val="0"/>
          <w:kern w:val="0"/>
          <w:rtl/>
          <w:lang w:val="en-CA"/>
        </w:rPr>
        <w:t xml:space="preserve"> </w:t>
      </w:r>
      <w:r w:rsidRPr="00AA537D">
        <w:rPr>
          <w:rFonts w:hint="cs"/>
          <w:spacing w:val="0"/>
          <w:kern w:val="0"/>
          <w:rtl/>
          <w:lang w:val="en-CA"/>
        </w:rPr>
        <w:t>عدداً من</w:t>
      </w:r>
      <w:r w:rsidRPr="00AA537D">
        <w:rPr>
          <w:spacing w:val="0"/>
          <w:kern w:val="0"/>
          <w:rtl/>
          <w:lang w:val="en-CA"/>
        </w:rPr>
        <w:t xml:space="preserve"> المسؤولين الحكوميين، بم</w:t>
      </w:r>
      <w:r w:rsidRPr="00AA537D">
        <w:rPr>
          <w:rFonts w:hint="cs"/>
          <w:spacing w:val="0"/>
          <w:kern w:val="0"/>
          <w:rtl/>
          <w:lang w:val="en-CA"/>
        </w:rPr>
        <w:t xml:space="preserve">ن فيهم </w:t>
      </w:r>
      <w:r w:rsidRPr="00AA537D">
        <w:rPr>
          <w:spacing w:val="0"/>
          <w:kern w:val="0"/>
          <w:rtl/>
          <w:lang w:val="en-CA"/>
        </w:rPr>
        <w:t>القاضي</w:t>
      </w:r>
      <w:r w:rsidRPr="00AA537D">
        <w:rPr>
          <w:rFonts w:hint="cs"/>
          <w:spacing w:val="0"/>
          <w:kern w:val="0"/>
          <w:rtl/>
          <w:lang w:val="en-CA"/>
        </w:rPr>
        <w:t xml:space="preserve"> ليدون كوربي</w:t>
      </w:r>
      <w:r w:rsidRPr="00AA537D">
        <w:rPr>
          <w:spacing w:val="0"/>
          <w:kern w:val="0"/>
          <w:rtl/>
          <w:lang w:val="en-CA"/>
        </w:rPr>
        <w:t xml:space="preserve">، </w:t>
      </w:r>
      <w:r w:rsidRPr="00AA537D">
        <w:rPr>
          <w:rFonts w:hint="cs"/>
          <w:spacing w:val="0"/>
          <w:kern w:val="0"/>
          <w:rtl/>
          <w:lang w:val="en-CA"/>
        </w:rPr>
        <w:t>وينقل</w:t>
      </w:r>
      <w:r w:rsidRPr="00AA537D">
        <w:rPr>
          <w:spacing w:val="0"/>
          <w:kern w:val="0"/>
          <w:rtl/>
          <w:lang w:val="en-CA"/>
        </w:rPr>
        <w:t xml:space="preserve"> معلومات إلى المنظمة بناء على طلب من أحد أعضاء منظمة إيتا و</w:t>
      </w:r>
      <w:r w:rsidRPr="00AA537D">
        <w:rPr>
          <w:rFonts w:hint="cs"/>
          <w:spacing w:val="0"/>
          <w:kern w:val="0"/>
          <w:rtl/>
          <w:lang w:val="en-CA"/>
        </w:rPr>
        <w:t xml:space="preserve">هو </w:t>
      </w:r>
      <w:r w:rsidRPr="00AA537D">
        <w:rPr>
          <w:spacing w:val="0"/>
          <w:kern w:val="0"/>
          <w:rtl/>
          <w:lang w:val="en-CA"/>
        </w:rPr>
        <w:t>صديق طفول</w:t>
      </w:r>
      <w:r w:rsidRPr="00AA537D">
        <w:rPr>
          <w:rFonts w:hint="cs"/>
          <w:spacing w:val="0"/>
          <w:kern w:val="0"/>
          <w:rtl/>
          <w:lang w:val="en-CA"/>
        </w:rPr>
        <w:t>ته</w:t>
      </w:r>
      <w:r w:rsidRPr="00AA537D">
        <w:rPr>
          <w:spacing w:val="0"/>
          <w:kern w:val="0"/>
          <w:rtl/>
          <w:lang w:val="en-CA"/>
        </w:rPr>
        <w:t>.</w:t>
      </w:r>
    </w:p>
    <w:p w:rsidR="00FA6676" w:rsidRPr="00AA537D" w:rsidRDefault="00FA6676" w:rsidP="001A08AE">
      <w:pPr>
        <w:pStyle w:val="SingleTxtGA"/>
        <w:jc w:val="lowKashida"/>
        <w:rPr>
          <w:rFonts w:hint="cs"/>
          <w:spacing w:val="0"/>
          <w:kern w:val="0"/>
          <w:rtl/>
          <w:lang w:val="en-CA"/>
        </w:rPr>
      </w:pPr>
      <w:r w:rsidRPr="00AA537D">
        <w:rPr>
          <w:rFonts w:hint="cs"/>
          <w:spacing w:val="0"/>
          <w:kern w:val="0"/>
          <w:rtl/>
          <w:lang w:val="en-CA"/>
        </w:rPr>
        <w:t>2-8</w:t>
      </w:r>
      <w:r w:rsidRPr="00AA537D">
        <w:rPr>
          <w:rFonts w:hint="cs"/>
          <w:spacing w:val="0"/>
          <w:kern w:val="0"/>
          <w:rtl/>
          <w:lang w:val="en-CA"/>
        </w:rPr>
        <w:tab/>
        <w:t>و</w:t>
      </w:r>
      <w:r w:rsidRPr="00AA537D">
        <w:rPr>
          <w:spacing w:val="0"/>
          <w:kern w:val="0"/>
          <w:rtl/>
          <w:lang w:val="en-CA"/>
        </w:rPr>
        <w:t>في 28 تشرين الأول</w:t>
      </w:r>
      <w:r w:rsidRPr="00AA537D">
        <w:rPr>
          <w:rFonts w:hint="cs"/>
          <w:spacing w:val="0"/>
          <w:kern w:val="0"/>
          <w:rtl/>
          <w:lang w:val="en-CA"/>
        </w:rPr>
        <w:t>/أكتوبر</w:t>
      </w:r>
      <w:r w:rsidRPr="00AA537D">
        <w:rPr>
          <w:spacing w:val="0"/>
          <w:kern w:val="0"/>
          <w:rtl/>
          <w:lang w:val="en-CA"/>
        </w:rPr>
        <w:t xml:space="preserve"> 2002، </w:t>
      </w:r>
      <w:r w:rsidRPr="00AA537D">
        <w:rPr>
          <w:rFonts w:hint="cs"/>
          <w:spacing w:val="0"/>
          <w:kern w:val="0"/>
          <w:rtl/>
          <w:lang w:val="en-CA"/>
        </w:rPr>
        <w:t>مثل</w:t>
      </w:r>
      <w:r w:rsidRPr="00AA537D">
        <w:rPr>
          <w:spacing w:val="0"/>
          <w:kern w:val="0"/>
          <w:rtl/>
          <w:lang w:val="en-CA"/>
        </w:rPr>
        <w:t xml:space="preserve"> صاحب الشكوى </w:t>
      </w:r>
      <w:r w:rsidRPr="00AA537D">
        <w:rPr>
          <w:rFonts w:hint="cs"/>
          <w:spacing w:val="0"/>
          <w:kern w:val="0"/>
          <w:rtl/>
          <w:lang w:val="en-CA"/>
        </w:rPr>
        <w:t>أمام</w:t>
      </w:r>
      <w:r w:rsidRPr="00AA537D">
        <w:rPr>
          <w:spacing w:val="0"/>
          <w:kern w:val="0"/>
          <w:rtl/>
          <w:lang w:val="en-CA"/>
        </w:rPr>
        <w:t xml:space="preserve"> </w:t>
      </w:r>
      <w:r w:rsidRPr="00AA537D">
        <w:rPr>
          <w:rFonts w:hint="cs"/>
          <w:spacing w:val="0"/>
          <w:kern w:val="0"/>
          <w:rtl/>
          <w:lang w:val="en-CA"/>
        </w:rPr>
        <w:t>دائرة التحقيق</w:t>
      </w:r>
      <w:r w:rsidRPr="00AA537D">
        <w:rPr>
          <w:spacing w:val="0"/>
          <w:kern w:val="0"/>
          <w:rtl/>
          <w:lang w:val="en-CA"/>
        </w:rPr>
        <w:t xml:space="preserve"> الرابع</w:t>
      </w:r>
      <w:r w:rsidRPr="00AA537D">
        <w:rPr>
          <w:rFonts w:hint="cs"/>
          <w:spacing w:val="0"/>
          <w:kern w:val="0"/>
          <w:rtl/>
          <w:lang w:val="en-CA"/>
        </w:rPr>
        <w:t xml:space="preserve">ة التابعة </w:t>
      </w:r>
      <w:r w:rsidRPr="00AA537D">
        <w:rPr>
          <w:spacing w:val="0"/>
          <w:kern w:val="0"/>
          <w:rtl/>
          <w:lang w:val="en-CA"/>
        </w:rPr>
        <w:t xml:space="preserve">للمحكمة العليا الوطنية. </w:t>
      </w:r>
      <w:r w:rsidRPr="00AA537D">
        <w:rPr>
          <w:rFonts w:hint="cs"/>
          <w:spacing w:val="0"/>
          <w:kern w:val="0"/>
          <w:rtl/>
          <w:lang w:val="en-CA"/>
        </w:rPr>
        <w:t>وأثناء</w:t>
      </w:r>
      <w:r w:rsidRPr="00AA537D">
        <w:rPr>
          <w:spacing w:val="0"/>
          <w:kern w:val="0"/>
          <w:rtl/>
          <w:lang w:val="en-CA"/>
        </w:rPr>
        <w:t xml:space="preserve"> سير </w:t>
      </w:r>
      <w:r w:rsidRPr="00AA537D">
        <w:rPr>
          <w:rFonts w:hint="cs"/>
          <w:spacing w:val="0"/>
          <w:kern w:val="0"/>
          <w:rtl/>
          <w:lang w:val="en-CA"/>
        </w:rPr>
        <w:t>الجلسات</w:t>
      </w:r>
      <w:r w:rsidRPr="00AA537D">
        <w:rPr>
          <w:spacing w:val="0"/>
          <w:kern w:val="0"/>
          <w:rtl/>
          <w:lang w:val="en-CA"/>
        </w:rPr>
        <w:t xml:space="preserve">، </w:t>
      </w:r>
      <w:r w:rsidRPr="00AA537D">
        <w:rPr>
          <w:rFonts w:hint="cs"/>
          <w:spacing w:val="0"/>
          <w:kern w:val="0"/>
          <w:rtl/>
          <w:lang w:val="en-CA"/>
        </w:rPr>
        <w:t>ذكر</w:t>
      </w:r>
      <w:r w:rsidRPr="00AA537D">
        <w:rPr>
          <w:spacing w:val="0"/>
          <w:kern w:val="0"/>
          <w:rtl/>
          <w:lang w:val="en-CA"/>
        </w:rPr>
        <w:t xml:space="preserve"> صاحب الشكوى</w:t>
      </w:r>
      <w:r w:rsidRPr="00AA537D">
        <w:rPr>
          <w:rFonts w:hint="cs"/>
          <w:spacing w:val="0"/>
          <w:kern w:val="0"/>
          <w:rtl/>
          <w:lang w:val="en-CA"/>
        </w:rPr>
        <w:t xml:space="preserve"> </w:t>
      </w:r>
      <w:r w:rsidRPr="00AA537D">
        <w:rPr>
          <w:spacing w:val="0"/>
          <w:kern w:val="0"/>
          <w:rtl/>
          <w:lang w:val="en-CA"/>
        </w:rPr>
        <w:t xml:space="preserve">أنه خلال احتجازه لثلاثة أيام في مركز شرطة </w:t>
      </w:r>
      <w:r w:rsidRPr="00AA537D">
        <w:rPr>
          <w:rFonts w:hint="cs"/>
          <w:spacing w:val="0"/>
          <w:kern w:val="0"/>
          <w:rtl/>
          <w:lang w:val="en-CA"/>
        </w:rPr>
        <w:t>أركوتي</w:t>
      </w:r>
      <w:r w:rsidRPr="00AA537D">
        <w:rPr>
          <w:spacing w:val="0"/>
          <w:kern w:val="0"/>
          <w:rtl/>
          <w:lang w:val="en-CA"/>
        </w:rPr>
        <w:t xml:space="preserve">، </w:t>
      </w:r>
      <w:r w:rsidRPr="00AA537D">
        <w:rPr>
          <w:rFonts w:hint="cs"/>
          <w:spacing w:val="0"/>
          <w:kern w:val="0"/>
          <w:rtl/>
          <w:lang w:val="en-CA"/>
        </w:rPr>
        <w:t>أُجبر</w:t>
      </w:r>
      <w:r w:rsidRPr="00AA537D">
        <w:rPr>
          <w:spacing w:val="0"/>
          <w:kern w:val="0"/>
          <w:rtl/>
          <w:lang w:val="en-CA"/>
        </w:rPr>
        <w:t xml:space="preserve"> </w:t>
      </w:r>
      <w:r w:rsidRPr="00AA537D">
        <w:rPr>
          <w:rFonts w:hint="cs"/>
          <w:spacing w:val="0"/>
          <w:kern w:val="0"/>
          <w:rtl/>
          <w:lang w:val="en-CA"/>
        </w:rPr>
        <w:t>ع</w:t>
      </w:r>
      <w:r w:rsidRPr="00AA537D">
        <w:rPr>
          <w:spacing w:val="0"/>
          <w:kern w:val="0"/>
          <w:rtl/>
          <w:lang w:val="en-CA"/>
        </w:rPr>
        <w:t xml:space="preserve">لى الوقوف </w:t>
      </w:r>
      <w:r w:rsidRPr="00AA537D">
        <w:rPr>
          <w:rFonts w:hint="cs"/>
          <w:spacing w:val="0"/>
          <w:kern w:val="0"/>
          <w:rtl/>
          <w:lang w:val="en-CA"/>
        </w:rPr>
        <w:t>ووجهه إلى</w:t>
      </w:r>
      <w:r w:rsidRPr="00AA537D">
        <w:rPr>
          <w:spacing w:val="0"/>
          <w:kern w:val="0"/>
          <w:rtl/>
          <w:lang w:val="en-CA"/>
        </w:rPr>
        <w:t xml:space="preserve"> الحائط وفي </w:t>
      </w:r>
      <w:r w:rsidRPr="00AA537D">
        <w:rPr>
          <w:rFonts w:hint="cs"/>
          <w:spacing w:val="0"/>
          <w:kern w:val="0"/>
          <w:rtl/>
          <w:lang w:val="en-CA"/>
        </w:rPr>
        <w:t>أوضاع</w:t>
      </w:r>
      <w:r w:rsidRPr="00AA537D">
        <w:rPr>
          <w:spacing w:val="0"/>
          <w:kern w:val="0"/>
          <w:rtl/>
          <w:lang w:val="en-CA"/>
        </w:rPr>
        <w:t xml:space="preserve"> غير مريح</w:t>
      </w:r>
      <w:r w:rsidRPr="00AA537D">
        <w:rPr>
          <w:rFonts w:hint="cs"/>
          <w:spacing w:val="0"/>
          <w:kern w:val="0"/>
          <w:rtl/>
          <w:lang w:val="en-CA"/>
        </w:rPr>
        <w:t>ة</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تعرض للضرب حتى </w:t>
      </w:r>
      <w:r w:rsidRPr="00AA537D">
        <w:rPr>
          <w:rFonts w:hint="cs"/>
          <w:spacing w:val="0"/>
          <w:kern w:val="0"/>
          <w:rtl/>
          <w:lang w:val="en-CA"/>
        </w:rPr>
        <w:t>عندما كان ي</w:t>
      </w:r>
      <w:r w:rsidRPr="00AA537D">
        <w:rPr>
          <w:spacing w:val="0"/>
          <w:kern w:val="0"/>
          <w:rtl/>
          <w:lang w:val="en-CA"/>
        </w:rPr>
        <w:t>فقد وعيه</w:t>
      </w:r>
      <w:r w:rsidRPr="00AA537D">
        <w:rPr>
          <w:rFonts w:hint="cs"/>
          <w:spacing w:val="0"/>
          <w:kern w:val="0"/>
          <w:rtl/>
          <w:lang w:val="en-CA"/>
        </w:rPr>
        <w:t>،</w:t>
      </w:r>
      <w:r w:rsidRPr="00AA537D">
        <w:rPr>
          <w:spacing w:val="0"/>
          <w:kern w:val="0"/>
          <w:rtl/>
          <w:lang w:val="en-CA"/>
        </w:rPr>
        <w:t xml:space="preserve"> وحرم من </w:t>
      </w:r>
      <w:r w:rsidRPr="00AA537D">
        <w:rPr>
          <w:rFonts w:hint="cs"/>
          <w:spacing w:val="0"/>
          <w:kern w:val="0"/>
          <w:rtl/>
          <w:lang w:val="en-CA"/>
        </w:rPr>
        <w:t>النوم و</w:t>
      </w:r>
      <w:r w:rsidRPr="00AA537D">
        <w:rPr>
          <w:spacing w:val="0"/>
          <w:kern w:val="0"/>
          <w:rtl/>
          <w:lang w:val="en-CA"/>
        </w:rPr>
        <w:t>الطعام والما</w:t>
      </w:r>
      <w:r w:rsidRPr="00AA537D">
        <w:rPr>
          <w:rFonts w:hint="cs"/>
          <w:spacing w:val="0"/>
          <w:kern w:val="0"/>
          <w:rtl/>
          <w:lang w:val="en-CA"/>
        </w:rPr>
        <w:t>ء</w:t>
      </w:r>
      <w:r w:rsidRPr="00AA537D">
        <w:rPr>
          <w:spacing w:val="0"/>
          <w:kern w:val="0"/>
          <w:rtl/>
          <w:lang w:val="en-CA"/>
        </w:rPr>
        <w:t xml:space="preserve">، </w:t>
      </w:r>
      <w:r w:rsidRPr="00AA537D">
        <w:rPr>
          <w:rFonts w:hint="cs"/>
          <w:spacing w:val="0"/>
          <w:kern w:val="0"/>
          <w:rtl/>
          <w:lang w:val="en-CA"/>
        </w:rPr>
        <w:t>باستثناء</w:t>
      </w:r>
      <w:r w:rsidRPr="00AA537D">
        <w:rPr>
          <w:spacing w:val="0"/>
          <w:kern w:val="0"/>
          <w:rtl/>
          <w:lang w:val="en-CA"/>
        </w:rPr>
        <w:t xml:space="preserve"> عندما </w:t>
      </w:r>
      <w:r w:rsidRPr="00AA537D">
        <w:rPr>
          <w:rFonts w:hint="cs"/>
          <w:spacing w:val="0"/>
          <w:kern w:val="0"/>
          <w:rtl/>
          <w:lang w:val="en-CA"/>
        </w:rPr>
        <w:t>كان ي</w:t>
      </w:r>
      <w:r w:rsidRPr="00AA537D">
        <w:rPr>
          <w:spacing w:val="0"/>
          <w:kern w:val="0"/>
          <w:rtl/>
          <w:lang w:val="en-CA"/>
        </w:rPr>
        <w:t>جبر على شرب</w:t>
      </w:r>
      <w:r w:rsidRPr="00AA537D">
        <w:rPr>
          <w:rFonts w:hint="cs"/>
          <w:spacing w:val="0"/>
          <w:kern w:val="0"/>
          <w:rtl/>
          <w:lang w:val="en-CA"/>
        </w:rPr>
        <w:t xml:space="preserve"> الماء</w:t>
      </w:r>
      <w:r w:rsidRPr="00AA537D">
        <w:rPr>
          <w:spacing w:val="0"/>
          <w:kern w:val="0"/>
          <w:rtl/>
          <w:lang w:val="en-CA"/>
        </w:rPr>
        <w:t xml:space="preserve">، وتعرض لتهديدات. وأضاف أنه أبلغ الطبيب الشرعي </w:t>
      </w:r>
      <w:r w:rsidRPr="00AA537D">
        <w:rPr>
          <w:rFonts w:hint="cs"/>
          <w:spacing w:val="0"/>
          <w:kern w:val="0"/>
          <w:rtl/>
          <w:lang w:val="en-CA"/>
        </w:rPr>
        <w:t>ب</w:t>
      </w:r>
      <w:r w:rsidRPr="00AA537D">
        <w:rPr>
          <w:spacing w:val="0"/>
          <w:kern w:val="0"/>
          <w:rtl/>
          <w:lang w:val="en-CA"/>
        </w:rPr>
        <w:t>سوء معامل</w:t>
      </w:r>
      <w:r w:rsidRPr="00AA537D">
        <w:rPr>
          <w:rFonts w:hint="cs"/>
          <w:spacing w:val="0"/>
          <w:kern w:val="0"/>
          <w:rtl/>
          <w:lang w:val="en-CA"/>
        </w:rPr>
        <w:t>ته</w:t>
      </w:r>
      <w:r w:rsidRPr="00AA537D">
        <w:rPr>
          <w:spacing w:val="0"/>
          <w:kern w:val="0"/>
          <w:rtl/>
          <w:lang w:val="en-CA"/>
        </w:rPr>
        <w:t xml:space="preserve">. </w:t>
      </w:r>
      <w:r w:rsidRPr="00AA537D">
        <w:rPr>
          <w:rFonts w:hint="cs"/>
          <w:spacing w:val="0"/>
          <w:kern w:val="0"/>
          <w:rtl/>
          <w:lang w:val="en-CA"/>
        </w:rPr>
        <w:t>وسحب</w:t>
      </w:r>
      <w:r w:rsidRPr="00AA537D">
        <w:rPr>
          <w:spacing w:val="0"/>
          <w:kern w:val="0"/>
          <w:rtl/>
          <w:lang w:val="en-CA"/>
        </w:rPr>
        <w:t xml:space="preserve"> </w:t>
      </w:r>
      <w:r w:rsidRPr="00AA537D">
        <w:rPr>
          <w:rFonts w:hint="cs"/>
          <w:spacing w:val="0"/>
          <w:kern w:val="0"/>
          <w:rtl/>
          <w:lang w:val="en-CA"/>
        </w:rPr>
        <w:t>صاحب</w:t>
      </w:r>
      <w:r w:rsidRPr="00AA537D">
        <w:rPr>
          <w:spacing w:val="0"/>
          <w:kern w:val="0"/>
          <w:rtl/>
          <w:lang w:val="en-CA"/>
        </w:rPr>
        <w:t xml:space="preserve"> الشكوى </w:t>
      </w:r>
      <w:r w:rsidRPr="00AA537D">
        <w:rPr>
          <w:rFonts w:hint="cs"/>
          <w:spacing w:val="0"/>
          <w:kern w:val="0"/>
          <w:rtl/>
          <w:lang w:val="en-CA"/>
        </w:rPr>
        <w:t>جميع الأقوال</w:t>
      </w:r>
      <w:r w:rsidRPr="00AA537D">
        <w:rPr>
          <w:spacing w:val="0"/>
          <w:kern w:val="0"/>
          <w:rtl/>
          <w:lang w:val="en-CA"/>
        </w:rPr>
        <w:t xml:space="preserve"> التي كان</w:t>
      </w:r>
      <w:r w:rsidRPr="00AA537D">
        <w:rPr>
          <w:rFonts w:hint="cs"/>
          <w:spacing w:val="0"/>
          <w:kern w:val="0"/>
          <w:rtl/>
          <w:lang w:val="en-CA"/>
        </w:rPr>
        <w:t xml:space="preserve"> قد</w:t>
      </w:r>
      <w:r w:rsidRPr="00AA537D">
        <w:rPr>
          <w:spacing w:val="0"/>
          <w:kern w:val="0"/>
          <w:rtl/>
          <w:lang w:val="en-CA"/>
        </w:rPr>
        <w:t xml:space="preserve"> أدلى بها أثناء احتجازه لدى الشرطة، ونفى تورطه في </w:t>
      </w:r>
      <w:r w:rsidRPr="00AA537D">
        <w:rPr>
          <w:rFonts w:hint="cs"/>
          <w:spacing w:val="0"/>
          <w:kern w:val="0"/>
          <w:rtl/>
          <w:lang w:val="en-CA"/>
        </w:rPr>
        <w:t>ال</w:t>
      </w:r>
      <w:r w:rsidRPr="00AA537D">
        <w:rPr>
          <w:spacing w:val="0"/>
          <w:kern w:val="0"/>
          <w:rtl/>
          <w:lang w:val="en-CA"/>
        </w:rPr>
        <w:t xml:space="preserve">أعمال </w:t>
      </w:r>
      <w:r w:rsidRPr="00AA537D">
        <w:rPr>
          <w:rFonts w:hint="cs"/>
          <w:spacing w:val="0"/>
          <w:kern w:val="0"/>
          <w:rtl/>
          <w:lang w:val="en-CA"/>
        </w:rPr>
        <w:t>التي</w:t>
      </w:r>
      <w:r w:rsidRPr="00AA537D">
        <w:rPr>
          <w:spacing w:val="0"/>
          <w:kern w:val="0"/>
          <w:rtl/>
          <w:lang w:val="en-CA"/>
        </w:rPr>
        <w:t xml:space="preserve"> اتهم</w:t>
      </w:r>
      <w:r w:rsidRPr="00AA537D">
        <w:rPr>
          <w:rFonts w:hint="cs"/>
          <w:spacing w:val="0"/>
          <w:kern w:val="0"/>
          <w:rtl/>
          <w:lang w:val="en-CA"/>
        </w:rPr>
        <w:t xml:space="preserve"> بها</w:t>
      </w:r>
      <w:r w:rsidRPr="00AA537D">
        <w:rPr>
          <w:spacing w:val="0"/>
          <w:kern w:val="0"/>
          <w:rtl/>
          <w:lang w:val="en-CA"/>
        </w:rPr>
        <w:t xml:space="preserve">، وهي جمع معلومات </w:t>
      </w:r>
      <w:r w:rsidRPr="00AA537D">
        <w:rPr>
          <w:rFonts w:hint="cs"/>
          <w:spacing w:val="0"/>
          <w:kern w:val="0"/>
          <w:rtl/>
          <w:lang w:val="en-CA"/>
        </w:rPr>
        <w:t>لمنظمة إ</w:t>
      </w:r>
      <w:r w:rsidRPr="00AA537D">
        <w:rPr>
          <w:spacing w:val="0"/>
          <w:kern w:val="0"/>
          <w:rtl/>
          <w:lang w:val="en-CA"/>
        </w:rPr>
        <w:t xml:space="preserve">يتا بغية </w:t>
      </w:r>
      <w:r w:rsidRPr="00AA537D">
        <w:rPr>
          <w:rFonts w:hint="cs"/>
          <w:spacing w:val="0"/>
          <w:kern w:val="0"/>
          <w:rtl/>
          <w:lang w:val="en-CA"/>
        </w:rPr>
        <w:t>اغتيال</w:t>
      </w:r>
      <w:r w:rsidRPr="00AA537D">
        <w:rPr>
          <w:spacing w:val="0"/>
          <w:kern w:val="0"/>
          <w:rtl/>
          <w:lang w:val="en-CA"/>
        </w:rPr>
        <w:t xml:space="preserve"> السيد </w:t>
      </w:r>
      <w:r w:rsidRPr="00AA537D">
        <w:rPr>
          <w:rFonts w:hint="cs"/>
          <w:spacing w:val="0"/>
          <w:kern w:val="0"/>
          <w:rtl/>
          <w:lang w:val="en-CA"/>
        </w:rPr>
        <w:t>ليدون كوربي</w:t>
      </w:r>
      <w:r w:rsidRPr="00AA537D">
        <w:rPr>
          <w:spacing w:val="0"/>
          <w:kern w:val="0"/>
          <w:rtl/>
          <w:lang w:val="en-CA"/>
        </w:rPr>
        <w:t>. وذكر أنه كان يعرف أحد أعضاء منظمة إيتا</w:t>
      </w:r>
      <w:r w:rsidRPr="00AA537D">
        <w:rPr>
          <w:rFonts w:hint="cs"/>
          <w:spacing w:val="0"/>
          <w:kern w:val="0"/>
          <w:rtl/>
          <w:lang w:val="en-CA"/>
        </w:rPr>
        <w:t xml:space="preserve"> "مشاهدة" </w:t>
      </w:r>
      <w:r w:rsidRPr="00AA537D">
        <w:rPr>
          <w:spacing w:val="0"/>
          <w:kern w:val="0"/>
          <w:rtl/>
          <w:lang w:val="en-CA"/>
        </w:rPr>
        <w:t>فقط</w:t>
      </w:r>
      <w:r w:rsidRPr="00AA537D">
        <w:rPr>
          <w:rFonts w:hint="cs"/>
          <w:spacing w:val="0"/>
          <w:kern w:val="0"/>
          <w:rtl/>
          <w:lang w:val="en-CA"/>
        </w:rPr>
        <w:t>،</w:t>
      </w:r>
      <w:r w:rsidRPr="00AA537D">
        <w:rPr>
          <w:spacing w:val="0"/>
          <w:kern w:val="0"/>
          <w:rtl/>
          <w:lang w:val="en-CA"/>
        </w:rPr>
        <w:t xml:space="preserve"> وأنه </w:t>
      </w:r>
      <w:r w:rsidRPr="00AA537D">
        <w:rPr>
          <w:rFonts w:hint="cs"/>
          <w:spacing w:val="0"/>
          <w:kern w:val="0"/>
          <w:rtl/>
          <w:lang w:val="en-CA"/>
        </w:rPr>
        <w:t>لم ينقل</w:t>
      </w:r>
      <w:r w:rsidRPr="00AA537D">
        <w:rPr>
          <w:spacing w:val="0"/>
          <w:kern w:val="0"/>
          <w:rtl/>
          <w:lang w:val="en-CA"/>
        </w:rPr>
        <w:t xml:space="preserve"> </w:t>
      </w:r>
      <w:r w:rsidRPr="00AA537D">
        <w:rPr>
          <w:rFonts w:hint="cs"/>
          <w:spacing w:val="0"/>
          <w:kern w:val="0"/>
          <w:rtl/>
          <w:lang w:val="en-CA"/>
        </w:rPr>
        <w:t xml:space="preserve">له </w:t>
      </w:r>
      <w:r w:rsidRPr="00AA537D">
        <w:rPr>
          <w:spacing w:val="0"/>
          <w:kern w:val="0"/>
          <w:rtl/>
          <w:lang w:val="en-CA"/>
        </w:rPr>
        <w:t xml:space="preserve">أي معلومات </w:t>
      </w:r>
      <w:r w:rsidRPr="00AA537D">
        <w:rPr>
          <w:rFonts w:hint="cs"/>
          <w:spacing w:val="0"/>
          <w:kern w:val="0"/>
          <w:rtl/>
          <w:lang w:val="en-CA"/>
        </w:rPr>
        <w:t>أبداً</w:t>
      </w:r>
      <w:r w:rsidRPr="00AA537D">
        <w:rPr>
          <w:spacing w:val="0"/>
          <w:kern w:val="0"/>
          <w:rtl/>
          <w:lang w:val="en-CA"/>
        </w:rPr>
        <w:t>.</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2-9</w:t>
      </w:r>
      <w:r w:rsidRPr="00AA537D">
        <w:rPr>
          <w:rFonts w:hint="cs"/>
          <w:spacing w:val="0"/>
          <w:kern w:val="0"/>
          <w:rtl/>
          <w:lang w:val="en-CA"/>
        </w:rPr>
        <w:tab/>
        <w:t>وأُبقي على</w:t>
      </w:r>
      <w:r w:rsidRPr="00AA537D">
        <w:rPr>
          <w:spacing w:val="0"/>
          <w:kern w:val="0"/>
          <w:rtl/>
          <w:lang w:val="en-CA"/>
        </w:rPr>
        <w:t xml:space="preserve"> صاحب الشكوى في الاحتجاز السابق للمحاكمة في سجن سوتو ديل ريال (في منطقة مدريد) لعدة </w:t>
      </w:r>
      <w:r w:rsidRPr="00AA537D">
        <w:rPr>
          <w:rFonts w:hint="cs"/>
          <w:spacing w:val="0"/>
          <w:kern w:val="0"/>
          <w:rtl/>
          <w:lang w:val="en-CA"/>
        </w:rPr>
        <w:t>شهور</w:t>
      </w:r>
      <w:r w:rsidRPr="00AA537D">
        <w:rPr>
          <w:spacing w:val="0"/>
          <w:kern w:val="0"/>
          <w:rtl/>
          <w:lang w:val="en-CA"/>
        </w:rPr>
        <w:t>. ونقل في وقت لاحق إلى سجون الكالا ميكو (</w:t>
      </w:r>
      <w:r w:rsidRPr="00AA537D">
        <w:rPr>
          <w:rFonts w:hint="cs"/>
          <w:spacing w:val="0"/>
          <w:kern w:val="0"/>
          <w:rtl/>
          <w:lang w:val="en-CA"/>
        </w:rPr>
        <w:t xml:space="preserve">منطقة </w:t>
      </w:r>
      <w:r w:rsidRPr="00AA537D">
        <w:rPr>
          <w:spacing w:val="0"/>
          <w:kern w:val="0"/>
          <w:rtl/>
          <w:lang w:val="en-CA"/>
        </w:rPr>
        <w:t>مدريد) وأليكانتي</w:t>
      </w:r>
      <w:r w:rsidRPr="00AA537D">
        <w:rPr>
          <w:rFonts w:hint="cs"/>
          <w:spacing w:val="0"/>
          <w:kern w:val="0"/>
          <w:rtl/>
          <w:lang w:val="en-CA"/>
        </w:rPr>
        <w:t xml:space="preserve"> وفالديمورو</w:t>
      </w:r>
      <w:r w:rsidRPr="00AA537D">
        <w:rPr>
          <w:spacing w:val="0"/>
          <w:kern w:val="0"/>
          <w:rtl/>
          <w:lang w:val="en-CA"/>
        </w:rPr>
        <w:t xml:space="preserve"> (</w:t>
      </w:r>
      <w:r w:rsidRPr="00AA537D">
        <w:rPr>
          <w:rFonts w:hint="cs"/>
          <w:spacing w:val="0"/>
          <w:kern w:val="0"/>
          <w:rtl/>
          <w:lang w:val="en-CA"/>
        </w:rPr>
        <w:t xml:space="preserve">منطقة </w:t>
      </w:r>
      <w:r w:rsidRPr="00AA537D">
        <w:rPr>
          <w:spacing w:val="0"/>
          <w:kern w:val="0"/>
          <w:rtl/>
          <w:lang w:val="en-CA"/>
        </w:rPr>
        <w:t>مدريد) و</w:t>
      </w:r>
      <w:r w:rsidRPr="00AA537D">
        <w:rPr>
          <w:rFonts w:hint="cs"/>
          <w:spacing w:val="0"/>
          <w:kern w:val="0"/>
          <w:rtl/>
          <w:lang w:val="en-CA"/>
        </w:rPr>
        <w:t>ا</w:t>
      </w:r>
      <w:r w:rsidRPr="00AA537D">
        <w:rPr>
          <w:spacing w:val="0"/>
          <w:kern w:val="0"/>
          <w:rtl/>
          <w:lang w:val="en-CA"/>
        </w:rPr>
        <w:t xml:space="preserve">حتجز في سجن كاستيون، </w:t>
      </w:r>
      <w:r w:rsidRPr="00AA537D">
        <w:rPr>
          <w:rFonts w:hint="cs"/>
          <w:spacing w:val="0"/>
          <w:kern w:val="0"/>
          <w:rtl/>
          <w:lang w:val="en-CA"/>
        </w:rPr>
        <w:t xml:space="preserve">الذي يبعد </w:t>
      </w:r>
      <w:r w:rsidRPr="00AA537D">
        <w:rPr>
          <w:spacing w:val="0"/>
          <w:kern w:val="0"/>
          <w:rtl/>
          <w:lang w:val="en-CA"/>
        </w:rPr>
        <w:t>686 كيلومترا</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عن محل</w:t>
      </w:r>
      <w:r w:rsidRPr="00AA537D">
        <w:rPr>
          <w:spacing w:val="0"/>
          <w:kern w:val="0"/>
          <w:rtl/>
          <w:lang w:val="en-CA"/>
        </w:rPr>
        <w:t xml:space="preserve"> إقامته، وقت </w:t>
      </w:r>
      <w:r w:rsidRPr="00AA537D">
        <w:rPr>
          <w:rFonts w:hint="cs"/>
          <w:spacing w:val="0"/>
          <w:kern w:val="0"/>
          <w:rtl/>
          <w:lang w:val="en-CA"/>
        </w:rPr>
        <w:t>تقديم</w:t>
      </w:r>
      <w:r w:rsidRPr="00AA537D">
        <w:rPr>
          <w:spacing w:val="0"/>
          <w:kern w:val="0"/>
          <w:rtl/>
          <w:lang w:val="en-CA"/>
        </w:rPr>
        <w:t xml:space="preserve"> شكو</w:t>
      </w:r>
      <w:r w:rsidRPr="00AA537D">
        <w:rPr>
          <w:rFonts w:hint="cs"/>
          <w:spacing w:val="0"/>
          <w:kern w:val="0"/>
          <w:rtl/>
          <w:lang w:val="en-CA"/>
        </w:rPr>
        <w:t>اه</w:t>
      </w:r>
      <w:r w:rsidRPr="00AA537D">
        <w:rPr>
          <w:spacing w:val="0"/>
          <w:kern w:val="0"/>
          <w:rtl/>
          <w:lang w:val="en-CA"/>
        </w:rPr>
        <w:t xml:space="preserve"> إلى اللجنة.</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2-10</w:t>
      </w:r>
      <w:r w:rsidRPr="00AA537D">
        <w:rPr>
          <w:rFonts w:hint="cs"/>
          <w:spacing w:val="0"/>
          <w:kern w:val="0"/>
          <w:rtl/>
          <w:lang w:val="en-CA"/>
        </w:rPr>
        <w:tab/>
      </w:r>
      <w:r w:rsidRPr="00AA537D">
        <w:rPr>
          <w:spacing w:val="0"/>
          <w:kern w:val="0"/>
          <w:rtl/>
          <w:lang w:val="en-CA"/>
        </w:rPr>
        <w:t>وفي 29 كانون الثاني</w:t>
      </w:r>
      <w:r w:rsidRPr="00AA537D">
        <w:rPr>
          <w:rFonts w:hint="cs"/>
          <w:spacing w:val="0"/>
          <w:kern w:val="0"/>
          <w:rtl/>
          <w:lang w:val="en-CA"/>
        </w:rPr>
        <w:t>/يناير</w:t>
      </w:r>
      <w:r w:rsidRPr="00AA537D">
        <w:rPr>
          <w:spacing w:val="0"/>
          <w:kern w:val="0"/>
          <w:rtl/>
          <w:lang w:val="en-CA"/>
        </w:rPr>
        <w:t xml:space="preserve"> 2003، قدم </w:t>
      </w:r>
      <w:r w:rsidRPr="00AA537D">
        <w:rPr>
          <w:rFonts w:hint="cs"/>
          <w:spacing w:val="0"/>
          <w:kern w:val="0"/>
          <w:rtl/>
          <w:lang w:val="en-CA"/>
        </w:rPr>
        <w:t>صاحب ال</w:t>
      </w:r>
      <w:r w:rsidRPr="00AA537D">
        <w:rPr>
          <w:spacing w:val="0"/>
          <w:kern w:val="0"/>
          <w:rtl/>
          <w:lang w:val="en-CA"/>
        </w:rPr>
        <w:t xml:space="preserve">شكوى </w:t>
      </w:r>
      <w:r w:rsidRPr="00AA537D">
        <w:rPr>
          <w:rFonts w:hint="cs"/>
          <w:spacing w:val="0"/>
          <w:kern w:val="0"/>
          <w:rtl/>
          <w:lang w:val="en-CA"/>
        </w:rPr>
        <w:t>بلاغا</w:t>
      </w:r>
      <w:r w:rsidR="001A08AE">
        <w:rPr>
          <w:rFonts w:hint="cs"/>
          <w:spacing w:val="0"/>
          <w:kern w:val="0"/>
          <w:rtl/>
          <w:lang w:val="en-CA"/>
        </w:rPr>
        <w:t>ً</w:t>
      </w:r>
      <w:r w:rsidRPr="00AA537D">
        <w:rPr>
          <w:rFonts w:hint="cs"/>
          <w:spacing w:val="0"/>
          <w:kern w:val="0"/>
          <w:rtl/>
          <w:lang w:val="en-CA"/>
        </w:rPr>
        <w:t xml:space="preserve"> ل</w:t>
      </w:r>
      <w:r w:rsidRPr="00AA537D">
        <w:rPr>
          <w:spacing w:val="0"/>
          <w:kern w:val="0"/>
          <w:rtl/>
          <w:lang w:val="en-CA"/>
        </w:rPr>
        <w:t xml:space="preserve">محكمة الشرطة </w:t>
      </w:r>
      <w:r w:rsidRPr="00AA537D">
        <w:rPr>
          <w:rFonts w:hint="cs"/>
          <w:spacing w:val="0"/>
          <w:kern w:val="0"/>
          <w:rtl/>
          <w:lang w:val="en-CA"/>
        </w:rPr>
        <w:t>في</w:t>
      </w:r>
      <w:r w:rsidRPr="00AA537D">
        <w:rPr>
          <w:spacing w:val="0"/>
          <w:kern w:val="0"/>
          <w:rtl/>
          <w:lang w:val="en-CA"/>
        </w:rPr>
        <w:t xml:space="preserve"> دونوستيا سان سيباستيان ضد ضباط الشرطة الذين شاركوا في </w:t>
      </w:r>
      <w:r w:rsidRPr="00AA537D">
        <w:rPr>
          <w:rFonts w:hint="cs"/>
          <w:spacing w:val="0"/>
          <w:kern w:val="0"/>
          <w:rtl/>
          <w:lang w:val="en-CA"/>
        </w:rPr>
        <w:t>القبض عليه</w:t>
      </w:r>
      <w:r w:rsidRPr="00AA537D">
        <w:rPr>
          <w:spacing w:val="0"/>
          <w:kern w:val="0"/>
          <w:rtl/>
          <w:lang w:val="en-CA"/>
        </w:rPr>
        <w:t xml:space="preserve"> </w:t>
      </w:r>
      <w:r w:rsidRPr="00AA537D">
        <w:rPr>
          <w:rFonts w:hint="cs"/>
          <w:spacing w:val="0"/>
          <w:kern w:val="0"/>
          <w:rtl/>
          <w:lang w:val="en-CA"/>
        </w:rPr>
        <w:t xml:space="preserve">واحتجازه </w:t>
      </w:r>
      <w:r w:rsidRPr="00AA537D">
        <w:rPr>
          <w:spacing w:val="0"/>
          <w:kern w:val="0"/>
          <w:rtl/>
          <w:lang w:val="en-CA"/>
        </w:rPr>
        <w:t>واستجواب</w:t>
      </w:r>
      <w:r w:rsidRPr="00AA537D">
        <w:rPr>
          <w:rFonts w:hint="cs"/>
          <w:spacing w:val="0"/>
          <w:kern w:val="0"/>
          <w:rtl/>
          <w:lang w:val="en-CA"/>
        </w:rPr>
        <w:t>ه</w:t>
      </w:r>
      <w:r w:rsidRPr="00AA537D">
        <w:rPr>
          <w:spacing w:val="0"/>
          <w:kern w:val="0"/>
          <w:rtl/>
          <w:lang w:val="en-CA"/>
        </w:rPr>
        <w:t xml:space="preserve"> </w:t>
      </w:r>
      <w:r w:rsidRPr="00AA537D">
        <w:rPr>
          <w:rFonts w:hint="cs"/>
          <w:spacing w:val="0"/>
          <w:kern w:val="0"/>
          <w:rtl/>
          <w:lang w:val="en-CA"/>
        </w:rPr>
        <w:t>بسبب تعرضه ل</w:t>
      </w:r>
      <w:r w:rsidRPr="00AA537D">
        <w:rPr>
          <w:spacing w:val="0"/>
          <w:kern w:val="0"/>
          <w:rtl/>
          <w:lang w:val="en-CA"/>
        </w:rPr>
        <w:t>لتعذيب وسوء المعاملة. وط</w:t>
      </w:r>
      <w:r w:rsidRPr="00AA537D">
        <w:rPr>
          <w:rFonts w:hint="cs"/>
          <w:spacing w:val="0"/>
          <w:kern w:val="0"/>
          <w:rtl/>
          <w:lang w:val="en-CA"/>
        </w:rPr>
        <w:t>ا</w:t>
      </w:r>
      <w:r w:rsidRPr="00AA537D">
        <w:rPr>
          <w:spacing w:val="0"/>
          <w:kern w:val="0"/>
          <w:rtl/>
          <w:lang w:val="en-CA"/>
        </w:rPr>
        <w:t xml:space="preserve">لب </w:t>
      </w:r>
      <w:r w:rsidRPr="00AA537D">
        <w:rPr>
          <w:rFonts w:hint="cs"/>
          <w:spacing w:val="0"/>
          <w:kern w:val="0"/>
          <w:rtl/>
          <w:lang w:val="en-CA"/>
        </w:rPr>
        <w:t>صاحب الشكوى بأن تتاح</w:t>
      </w:r>
      <w:r w:rsidRPr="00AA537D">
        <w:rPr>
          <w:spacing w:val="0"/>
          <w:kern w:val="0"/>
          <w:rtl/>
          <w:lang w:val="en-CA"/>
        </w:rPr>
        <w:t xml:space="preserve"> التقارير </w:t>
      </w:r>
      <w:r w:rsidRPr="00AA537D">
        <w:rPr>
          <w:rFonts w:hint="cs"/>
          <w:spacing w:val="0"/>
          <w:kern w:val="0"/>
          <w:rtl/>
          <w:lang w:val="en-CA"/>
        </w:rPr>
        <w:t xml:space="preserve">الصادرة عن </w:t>
      </w:r>
      <w:r w:rsidRPr="00AA537D">
        <w:rPr>
          <w:spacing w:val="0"/>
          <w:kern w:val="0"/>
          <w:rtl/>
          <w:lang w:val="en-CA"/>
        </w:rPr>
        <w:t xml:space="preserve">الأطباء الذين </w:t>
      </w:r>
      <w:r w:rsidRPr="00AA537D">
        <w:rPr>
          <w:rFonts w:hint="cs"/>
          <w:spacing w:val="0"/>
          <w:kern w:val="0"/>
          <w:rtl/>
          <w:lang w:val="en-CA"/>
        </w:rPr>
        <w:t>فحصوه وهو</w:t>
      </w:r>
      <w:r w:rsidRPr="00AA537D">
        <w:rPr>
          <w:spacing w:val="0"/>
          <w:kern w:val="0"/>
          <w:rtl/>
          <w:lang w:val="en-CA"/>
        </w:rPr>
        <w:t xml:space="preserve"> قيد الاحتجاز، في مركز</w:t>
      </w:r>
      <w:r w:rsidRPr="00AA537D">
        <w:rPr>
          <w:rFonts w:hint="cs"/>
          <w:spacing w:val="0"/>
          <w:kern w:val="0"/>
          <w:rtl/>
          <w:lang w:val="en-CA"/>
        </w:rPr>
        <w:t>ي</w:t>
      </w:r>
      <w:r w:rsidRPr="00AA537D">
        <w:rPr>
          <w:spacing w:val="0"/>
          <w:kern w:val="0"/>
          <w:rtl/>
          <w:lang w:val="en-CA"/>
        </w:rPr>
        <w:t xml:space="preserve"> </w:t>
      </w:r>
      <w:r w:rsidRPr="00AA537D">
        <w:rPr>
          <w:rFonts w:hint="cs"/>
          <w:spacing w:val="0"/>
          <w:kern w:val="0"/>
          <w:rtl/>
          <w:lang w:val="en-CA"/>
        </w:rPr>
        <w:t>ا</w:t>
      </w:r>
      <w:r w:rsidRPr="00AA537D">
        <w:rPr>
          <w:spacing w:val="0"/>
          <w:kern w:val="0"/>
          <w:rtl/>
          <w:lang w:val="en-CA"/>
        </w:rPr>
        <w:t>لشرطة الوطني</w:t>
      </w:r>
      <w:r w:rsidRPr="00AA537D">
        <w:rPr>
          <w:rFonts w:hint="cs"/>
          <w:spacing w:val="0"/>
          <w:kern w:val="0"/>
          <w:rtl/>
          <w:lang w:val="en-CA"/>
        </w:rPr>
        <w:t>ين</w:t>
      </w:r>
      <w:r w:rsidRPr="00AA537D">
        <w:rPr>
          <w:spacing w:val="0"/>
          <w:kern w:val="0"/>
          <w:rtl/>
          <w:lang w:val="en-CA"/>
        </w:rPr>
        <w:t xml:space="preserve"> في فيتوريا</w:t>
      </w:r>
      <w:r w:rsidRPr="00AA537D">
        <w:rPr>
          <w:rFonts w:hint="cs"/>
          <w:spacing w:val="0"/>
          <w:kern w:val="0"/>
          <w:rtl/>
          <w:lang w:val="en-CA"/>
        </w:rPr>
        <w:t xml:space="preserve"> </w:t>
      </w:r>
      <w:r w:rsidRPr="00AA537D">
        <w:rPr>
          <w:spacing w:val="0"/>
          <w:kern w:val="0"/>
          <w:rtl/>
          <w:lang w:val="en-CA"/>
        </w:rPr>
        <w:t xml:space="preserve">غاستيز ومدريد، </w:t>
      </w:r>
      <w:r w:rsidRPr="00AA537D">
        <w:rPr>
          <w:rFonts w:hint="cs"/>
          <w:spacing w:val="0"/>
          <w:kern w:val="0"/>
          <w:rtl/>
          <w:lang w:val="en-CA"/>
        </w:rPr>
        <w:t xml:space="preserve">وأن يدلي </w:t>
      </w:r>
      <w:r w:rsidRPr="00AA537D">
        <w:rPr>
          <w:spacing w:val="0"/>
          <w:kern w:val="0"/>
          <w:rtl/>
          <w:lang w:val="en-CA"/>
        </w:rPr>
        <w:t>الأطباء الشرعي</w:t>
      </w:r>
      <w:r w:rsidRPr="00AA537D">
        <w:rPr>
          <w:rFonts w:hint="cs"/>
          <w:spacing w:val="0"/>
          <w:kern w:val="0"/>
          <w:rtl/>
          <w:lang w:val="en-CA"/>
        </w:rPr>
        <w:t>و</w:t>
      </w:r>
      <w:r w:rsidRPr="00AA537D">
        <w:rPr>
          <w:spacing w:val="0"/>
          <w:kern w:val="0"/>
          <w:rtl/>
          <w:lang w:val="en-CA"/>
        </w:rPr>
        <w:t xml:space="preserve">ن </w:t>
      </w:r>
      <w:r w:rsidRPr="00AA537D">
        <w:rPr>
          <w:rFonts w:hint="cs"/>
          <w:spacing w:val="0"/>
          <w:kern w:val="0"/>
          <w:rtl/>
          <w:lang w:val="en-CA"/>
        </w:rPr>
        <w:t>بشهاداتهم</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أن يسمح له </w:t>
      </w:r>
      <w:r w:rsidRPr="00AA537D">
        <w:rPr>
          <w:rFonts w:hint="cs"/>
          <w:spacing w:val="0"/>
          <w:kern w:val="0"/>
          <w:rtl/>
          <w:lang w:val="en-CA"/>
        </w:rPr>
        <w:t>با</w:t>
      </w:r>
      <w:r w:rsidRPr="00AA537D">
        <w:rPr>
          <w:spacing w:val="0"/>
          <w:kern w:val="0"/>
          <w:rtl/>
          <w:lang w:val="en-CA"/>
        </w:rPr>
        <w:t>ل</w:t>
      </w:r>
      <w:r w:rsidRPr="00AA537D">
        <w:rPr>
          <w:rFonts w:hint="cs"/>
          <w:spacing w:val="0"/>
          <w:kern w:val="0"/>
          <w:rtl/>
          <w:lang w:val="en-CA"/>
        </w:rPr>
        <w:t>إ</w:t>
      </w:r>
      <w:r w:rsidRPr="00AA537D">
        <w:rPr>
          <w:spacing w:val="0"/>
          <w:kern w:val="0"/>
          <w:rtl/>
          <w:lang w:val="en-CA"/>
        </w:rPr>
        <w:t xml:space="preserve">دلاء بشهادته بوصفه الطرف المتضرر، وأن </w:t>
      </w:r>
      <w:r w:rsidRPr="00AA537D">
        <w:rPr>
          <w:rFonts w:hint="cs"/>
          <w:spacing w:val="0"/>
          <w:kern w:val="0"/>
          <w:rtl/>
          <w:lang w:val="en-CA"/>
        </w:rPr>
        <w:t>تؤمر</w:t>
      </w:r>
      <w:r w:rsidRPr="00AA537D">
        <w:rPr>
          <w:spacing w:val="0"/>
          <w:kern w:val="0"/>
          <w:rtl/>
          <w:lang w:val="en-CA"/>
        </w:rPr>
        <w:t xml:space="preserve"> المديرية العامة لشرطة الباسك </w:t>
      </w:r>
      <w:r w:rsidRPr="00AA537D">
        <w:rPr>
          <w:rFonts w:hint="cs"/>
          <w:spacing w:val="0"/>
          <w:kern w:val="0"/>
          <w:rtl/>
          <w:lang w:val="en-CA"/>
        </w:rPr>
        <w:t>بال</w:t>
      </w:r>
      <w:r w:rsidRPr="00AA537D">
        <w:rPr>
          <w:spacing w:val="0"/>
          <w:kern w:val="0"/>
          <w:rtl/>
          <w:lang w:val="en-CA"/>
        </w:rPr>
        <w:t xml:space="preserve">كشف </w:t>
      </w:r>
      <w:r w:rsidRPr="00AA537D">
        <w:rPr>
          <w:rFonts w:hint="cs"/>
          <w:spacing w:val="0"/>
          <w:kern w:val="0"/>
          <w:rtl/>
          <w:lang w:val="en-CA"/>
        </w:rPr>
        <w:t xml:space="preserve">عن </w:t>
      </w:r>
      <w:r w:rsidRPr="00AA537D">
        <w:rPr>
          <w:spacing w:val="0"/>
          <w:kern w:val="0"/>
          <w:rtl/>
          <w:lang w:val="en-CA"/>
        </w:rPr>
        <w:t xml:space="preserve">هوية الضباط الذين </w:t>
      </w:r>
      <w:r w:rsidRPr="00AA537D">
        <w:rPr>
          <w:rFonts w:hint="cs"/>
          <w:spacing w:val="0"/>
          <w:kern w:val="0"/>
          <w:rtl/>
          <w:lang w:val="en-CA"/>
        </w:rPr>
        <w:t>ألقوا القبض عليه وأجروا</w:t>
      </w:r>
      <w:r w:rsidRPr="00AA537D">
        <w:rPr>
          <w:spacing w:val="0"/>
          <w:kern w:val="0"/>
          <w:rtl/>
          <w:lang w:val="en-CA"/>
        </w:rPr>
        <w:t xml:space="preserve"> التحقيقات أو </w:t>
      </w:r>
      <w:r w:rsidRPr="00AA537D">
        <w:rPr>
          <w:rFonts w:hint="cs"/>
          <w:spacing w:val="0"/>
          <w:kern w:val="0"/>
          <w:rtl/>
          <w:lang w:val="en-CA"/>
        </w:rPr>
        <w:t xml:space="preserve">الذين كانوا على اتصال به أثناء </w:t>
      </w:r>
      <w:r w:rsidRPr="00AA537D">
        <w:rPr>
          <w:spacing w:val="0"/>
          <w:kern w:val="0"/>
          <w:rtl/>
          <w:lang w:val="en-CA"/>
        </w:rPr>
        <w:t xml:space="preserve">فترة </w:t>
      </w:r>
      <w:r w:rsidRPr="00AA537D">
        <w:rPr>
          <w:rFonts w:hint="cs"/>
          <w:spacing w:val="0"/>
          <w:kern w:val="0"/>
          <w:rtl/>
          <w:lang w:val="en-CA"/>
        </w:rPr>
        <w:t>احتجازه</w:t>
      </w:r>
      <w:r w:rsidRPr="00AA537D">
        <w:rPr>
          <w:spacing w:val="0"/>
          <w:kern w:val="0"/>
          <w:rtl/>
          <w:lang w:val="en-CA"/>
        </w:rPr>
        <w:t xml:space="preserve">. وأحيلت القضية بعد ذلك إلى </w:t>
      </w:r>
      <w:r w:rsidRPr="00AA537D">
        <w:rPr>
          <w:rFonts w:hint="cs"/>
          <w:spacing w:val="0"/>
          <w:kern w:val="0"/>
          <w:rtl/>
          <w:lang w:val="en-CA"/>
        </w:rPr>
        <w:t>دائرة التحقيق</w:t>
      </w:r>
      <w:r w:rsidRPr="00AA537D">
        <w:rPr>
          <w:spacing w:val="0"/>
          <w:kern w:val="0"/>
          <w:rtl/>
          <w:lang w:val="en-CA"/>
        </w:rPr>
        <w:t xml:space="preserve"> الثانية </w:t>
      </w:r>
      <w:r w:rsidRPr="00AA537D">
        <w:rPr>
          <w:rFonts w:hint="cs"/>
          <w:spacing w:val="0"/>
          <w:kern w:val="0"/>
          <w:rtl/>
          <w:lang w:val="en-CA"/>
        </w:rPr>
        <w:t xml:space="preserve">في </w:t>
      </w:r>
      <w:r w:rsidRPr="00AA537D">
        <w:rPr>
          <w:spacing w:val="0"/>
          <w:kern w:val="0"/>
          <w:rtl/>
          <w:lang w:val="en-CA"/>
        </w:rPr>
        <w:t xml:space="preserve">فيتوريا غاستيز، </w:t>
      </w:r>
      <w:r w:rsidRPr="00AA537D">
        <w:rPr>
          <w:rFonts w:hint="cs"/>
          <w:spacing w:val="0"/>
          <w:kern w:val="0"/>
          <w:rtl/>
          <w:lang w:val="en-CA"/>
        </w:rPr>
        <w:t xml:space="preserve">بوصفها </w:t>
      </w:r>
      <w:r w:rsidRPr="00AA537D">
        <w:rPr>
          <w:spacing w:val="0"/>
          <w:kern w:val="0"/>
          <w:rtl/>
          <w:lang w:val="en-CA"/>
        </w:rPr>
        <w:t xml:space="preserve">المحكمة المختصة في النظر في الشكاوى في الموقع الذي </w:t>
      </w:r>
      <w:r w:rsidRPr="00AA537D">
        <w:rPr>
          <w:rFonts w:hint="cs"/>
          <w:spacing w:val="0"/>
          <w:kern w:val="0"/>
          <w:rtl/>
          <w:lang w:val="en-CA"/>
        </w:rPr>
        <w:t xml:space="preserve">حدثت فيه </w:t>
      </w:r>
      <w:r w:rsidRPr="00AA537D">
        <w:rPr>
          <w:spacing w:val="0"/>
          <w:kern w:val="0"/>
          <w:rtl/>
          <w:lang w:val="en-CA"/>
        </w:rPr>
        <w:t xml:space="preserve">الوقائع المزعومة. </w:t>
      </w:r>
      <w:r w:rsidRPr="00AA537D">
        <w:rPr>
          <w:rFonts w:hint="cs"/>
          <w:spacing w:val="0"/>
          <w:kern w:val="0"/>
          <w:rtl/>
          <w:lang w:val="en-CA"/>
        </w:rPr>
        <w:t>و</w:t>
      </w:r>
      <w:r w:rsidRPr="00AA537D">
        <w:rPr>
          <w:spacing w:val="0"/>
          <w:kern w:val="0"/>
          <w:rtl/>
          <w:lang w:val="en-CA"/>
        </w:rPr>
        <w:t>في 3 تشرين الأول</w:t>
      </w:r>
      <w:r w:rsidRPr="00AA537D">
        <w:rPr>
          <w:rFonts w:hint="cs"/>
          <w:spacing w:val="0"/>
          <w:kern w:val="0"/>
          <w:rtl/>
          <w:lang w:val="en-CA"/>
        </w:rPr>
        <w:t>/أكتوبر</w:t>
      </w:r>
      <w:r w:rsidRPr="00AA537D">
        <w:rPr>
          <w:spacing w:val="0"/>
          <w:kern w:val="0"/>
          <w:rtl/>
          <w:lang w:val="en-CA"/>
        </w:rPr>
        <w:t xml:space="preserve"> 2003، أمرت المحكمة بوقف الإجراءات</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وأصدرت</w:t>
      </w:r>
      <w:r w:rsidRPr="00AA537D">
        <w:rPr>
          <w:spacing w:val="0"/>
          <w:kern w:val="0"/>
          <w:rtl/>
          <w:lang w:val="en-CA"/>
        </w:rPr>
        <w:t xml:space="preserve"> الحكم بعد </w:t>
      </w:r>
      <w:r w:rsidRPr="00AA537D">
        <w:rPr>
          <w:rFonts w:hint="cs"/>
          <w:spacing w:val="0"/>
          <w:kern w:val="0"/>
          <w:rtl/>
          <w:lang w:val="en-CA"/>
        </w:rPr>
        <w:t>استلام</w:t>
      </w:r>
      <w:r w:rsidRPr="00AA537D">
        <w:rPr>
          <w:spacing w:val="0"/>
          <w:kern w:val="0"/>
          <w:rtl/>
          <w:lang w:val="en-CA"/>
        </w:rPr>
        <w:t xml:space="preserve"> تقارير الطب الشرعي و</w:t>
      </w:r>
      <w:r w:rsidRPr="00AA537D">
        <w:rPr>
          <w:rFonts w:hint="cs"/>
          <w:spacing w:val="0"/>
          <w:kern w:val="0"/>
          <w:rtl/>
          <w:lang w:val="en-CA"/>
        </w:rPr>
        <w:t>ب</w:t>
      </w:r>
      <w:r w:rsidRPr="00AA537D">
        <w:rPr>
          <w:spacing w:val="0"/>
          <w:kern w:val="0"/>
          <w:rtl/>
          <w:lang w:val="en-CA"/>
        </w:rPr>
        <w:t>دون إجراء أي تحقيقات أخرى.</w:t>
      </w:r>
    </w:p>
    <w:p w:rsidR="00FA6676" w:rsidRPr="00AA537D" w:rsidRDefault="00FA6676" w:rsidP="00E86FDB">
      <w:pPr>
        <w:pStyle w:val="SingleTxtGA"/>
        <w:jc w:val="lowKashida"/>
        <w:rPr>
          <w:rFonts w:hint="cs"/>
          <w:spacing w:val="0"/>
          <w:kern w:val="0"/>
          <w:rtl/>
          <w:lang w:val="en-CA"/>
        </w:rPr>
      </w:pPr>
      <w:r w:rsidRPr="00AA537D">
        <w:rPr>
          <w:rFonts w:hint="cs"/>
          <w:spacing w:val="0"/>
          <w:kern w:val="0"/>
          <w:rtl/>
          <w:lang w:val="en-CA"/>
        </w:rPr>
        <w:t>2-11</w:t>
      </w:r>
      <w:r w:rsidRPr="00AA537D">
        <w:rPr>
          <w:rFonts w:hint="cs"/>
          <w:spacing w:val="0"/>
          <w:kern w:val="0"/>
          <w:rtl/>
          <w:lang w:val="en-CA"/>
        </w:rPr>
        <w:tab/>
        <w:t>و</w:t>
      </w:r>
      <w:r w:rsidRPr="00AA537D">
        <w:rPr>
          <w:spacing w:val="0"/>
          <w:kern w:val="0"/>
          <w:rtl/>
          <w:lang w:val="en-CA"/>
        </w:rPr>
        <w:t>في 27 تشرين الأول</w:t>
      </w:r>
      <w:r w:rsidRPr="00AA537D">
        <w:rPr>
          <w:rFonts w:hint="cs"/>
          <w:spacing w:val="0"/>
          <w:kern w:val="0"/>
          <w:rtl/>
          <w:lang w:val="en-CA"/>
        </w:rPr>
        <w:t>/أكتوبر</w:t>
      </w:r>
      <w:r w:rsidRPr="00AA537D">
        <w:rPr>
          <w:spacing w:val="0"/>
          <w:kern w:val="0"/>
          <w:rtl/>
          <w:lang w:val="en-CA"/>
        </w:rPr>
        <w:t xml:space="preserve"> 2003، قدم صاحب الشكوى طلبا</w:t>
      </w:r>
      <w:r w:rsidRPr="00AA537D">
        <w:rPr>
          <w:rFonts w:hint="cs"/>
          <w:spacing w:val="0"/>
          <w:kern w:val="0"/>
          <w:rtl/>
          <w:lang w:val="en-CA"/>
        </w:rPr>
        <w:t>ً</w:t>
      </w:r>
      <w:r w:rsidRPr="00AA537D">
        <w:rPr>
          <w:spacing w:val="0"/>
          <w:kern w:val="0"/>
          <w:rtl/>
          <w:lang w:val="en-CA"/>
        </w:rPr>
        <w:t xml:space="preserve"> لإعادة النظر </w:t>
      </w:r>
      <w:r w:rsidRPr="00AA537D">
        <w:rPr>
          <w:rFonts w:hint="cs"/>
          <w:spacing w:val="0"/>
          <w:kern w:val="0"/>
          <w:rtl/>
          <w:lang w:val="en-CA"/>
        </w:rPr>
        <w:t>في القضية و</w:t>
      </w:r>
      <w:r w:rsidRPr="00AA537D">
        <w:rPr>
          <w:spacing w:val="0"/>
          <w:kern w:val="0"/>
          <w:rtl/>
          <w:lang w:val="en-CA"/>
        </w:rPr>
        <w:t>ط</w:t>
      </w:r>
      <w:r w:rsidRPr="00AA537D">
        <w:rPr>
          <w:rFonts w:hint="cs"/>
          <w:spacing w:val="0"/>
          <w:kern w:val="0"/>
          <w:rtl/>
          <w:lang w:val="en-CA"/>
        </w:rPr>
        <w:t>لباً</w:t>
      </w:r>
      <w:r w:rsidRPr="00AA537D">
        <w:rPr>
          <w:spacing w:val="0"/>
          <w:kern w:val="0"/>
          <w:rtl/>
          <w:lang w:val="en-CA"/>
        </w:rPr>
        <w:t xml:space="preserve"> </w:t>
      </w:r>
      <w:r w:rsidRPr="00AA537D">
        <w:rPr>
          <w:rFonts w:hint="cs"/>
          <w:spacing w:val="0"/>
          <w:kern w:val="0"/>
          <w:rtl/>
          <w:lang w:val="en-CA"/>
        </w:rPr>
        <w:t xml:space="preserve">(فرعياً) بالاستئناف </w:t>
      </w:r>
      <w:r w:rsidRPr="00AA537D">
        <w:rPr>
          <w:spacing w:val="0"/>
          <w:kern w:val="0"/>
          <w:rtl/>
          <w:lang w:val="en-CA"/>
        </w:rPr>
        <w:t xml:space="preserve">أمام </w:t>
      </w:r>
      <w:r w:rsidRPr="00AA537D">
        <w:rPr>
          <w:rFonts w:hint="cs"/>
          <w:spacing w:val="0"/>
          <w:kern w:val="0"/>
          <w:rtl/>
          <w:lang w:val="en-CA"/>
        </w:rPr>
        <w:t xml:space="preserve">نفس دائرة التحقيق </w:t>
      </w:r>
      <w:r w:rsidRPr="00AA537D">
        <w:rPr>
          <w:spacing w:val="0"/>
          <w:kern w:val="0"/>
          <w:rtl/>
          <w:lang w:val="en-CA"/>
        </w:rPr>
        <w:t xml:space="preserve">الثانية </w:t>
      </w:r>
      <w:r w:rsidRPr="00AA537D">
        <w:rPr>
          <w:rFonts w:hint="cs"/>
          <w:spacing w:val="0"/>
          <w:kern w:val="0"/>
          <w:rtl/>
          <w:lang w:val="en-CA"/>
        </w:rPr>
        <w:t xml:space="preserve">في </w:t>
      </w:r>
      <w:r w:rsidRPr="00AA537D">
        <w:rPr>
          <w:spacing w:val="0"/>
          <w:kern w:val="0"/>
          <w:rtl/>
          <w:lang w:val="en-CA"/>
        </w:rPr>
        <w:t xml:space="preserve">فيتوريا غاستيز. </w:t>
      </w:r>
      <w:r w:rsidRPr="00AA537D">
        <w:rPr>
          <w:rFonts w:hint="cs"/>
          <w:spacing w:val="0"/>
          <w:kern w:val="0"/>
          <w:rtl/>
          <w:lang w:val="en-CA"/>
        </w:rPr>
        <w:t>و</w:t>
      </w:r>
      <w:r w:rsidRPr="00AA537D">
        <w:rPr>
          <w:spacing w:val="0"/>
          <w:kern w:val="0"/>
          <w:rtl/>
          <w:lang w:val="en-CA"/>
        </w:rPr>
        <w:t>طلب جمع الأدلة</w:t>
      </w:r>
      <w:r w:rsidRPr="00AA537D">
        <w:rPr>
          <w:rFonts w:hint="cs"/>
          <w:spacing w:val="0"/>
          <w:kern w:val="0"/>
          <w:rtl/>
          <w:lang w:val="en-CA"/>
        </w:rPr>
        <w:t xml:space="preserve"> التي</w:t>
      </w:r>
      <w:r w:rsidRPr="00AA537D">
        <w:rPr>
          <w:spacing w:val="0"/>
          <w:kern w:val="0"/>
          <w:rtl/>
          <w:lang w:val="en-CA"/>
        </w:rPr>
        <w:t xml:space="preserve"> لم </w:t>
      </w:r>
      <w:r w:rsidRPr="00AA537D">
        <w:rPr>
          <w:rFonts w:hint="cs"/>
          <w:spacing w:val="0"/>
          <w:kern w:val="0"/>
          <w:rtl/>
          <w:lang w:val="en-CA"/>
        </w:rPr>
        <w:t>تُعرض</w:t>
      </w:r>
      <w:r w:rsidRPr="00AA537D">
        <w:rPr>
          <w:spacing w:val="0"/>
          <w:kern w:val="0"/>
          <w:rtl/>
          <w:lang w:val="en-CA"/>
        </w:rPr>
        <w:t xml:space="preserve"> حتى الآن، بما في ذلك </w:t>
      </w:r>
      <w:r w:rsidRPr="00AA537D">
        <w:rPr>
          <w:rFonts w:hint="cs"/>
          <w:spacing w:val="0"/>
          <w:kern w:val="0"/>
          <w:rtl/>
          <w:lang w:val="en-CA"/>
        </w:rPr>
        <w:t>أخذ أقواله هو</w:t>
      </w:r>
      <w:r w:rsidRPr="00AA537D">
        <w:rPr>
          <w:spacing w:val="0"/>
          <w:kern w:val="0"/>
          <w:rtl/>
          <w:lang w:val="en-CA"/>
        </w:rPr>
        <w:t xml:space="preserve"> و</w:t>
      </w:r>
      <w:r w:rsidRPr="00AA537D">
        <w:rPr>
          <w:rFonts w:hint="cs"/>
          <w:spacing w:val="0"/>
          <w:kern w:val="0"/>
          <w:rtl/>
          <w:lang w:val="en-CA"/>
        </w:rPr>
        <w:t>أقوال أفراد</w:t>
      </w:r>
      <w:r w:rsidRPr="00AA537D">
        <w:rPr>
          <w:spacing w:val="0"/>
          <w:kern w:val="0"/>
          <w:rtl/>
          <w:lang w:val="en-CA"/>
        </w:rPr>
        <w:t xml:space="preserve"> الشرطة </w:t>
      </w:r>
      <w:r w:rsidRPr="00AA537D">
        <w:rPr>
          <w:rFonts w:hint="cs"/>
          <w:spacing w:val="0"/>
          <w:kern w:val="0"/>
          <w:rtl/>
          <w:lang w:val="en-CA"/>
        </w:rPr>
        <w:t>الذين شاركوا في القبض عليه</w:t>
      </w:r>
      <w:r w:rsidRPr="00AA537D">
        <w:rPr>
          <w:spacing w:val="0"/>
          <w:kern w:val="0"/>
          <w:rtl/>
          <w:lang w:val="en-CA"/>
        </w:rPr>
        <w:t xml:space="preserve"> واحتجاز</w:t>
      </w:r>
      <w:r w:rsidRPr="00AA537D">
        <w:rPr>
          <w:rFonts w:hint="cs"/>
          <w:spacing w:val="0"/>
          <w:kern w:val="0"/>
          <w:rtl/>
          <w:lang w:val="en-CA"/>
        </w:rPr>
        <w:t>ه</w:t>
      </w:r>
      <w:r w:rsidRPr="00AA537D">
        <w:rPr>
          <w:spacing w:val="0"/>
          <w:kern w:val="0"/>
          <w:rtl/>
          <w:lang w:val="en-CA"/>
        </w:rPr>
        <w:t xml:space="preserve"> و</w:t>
      </w:r>
      <w:r w:rsidRPr="00AA537D">
        <w:rPr>
          <w:rFonts w:hint="cs"/>
          <w:spacing w:val="0"/>
          <w:kern w:val="0"/>
          <w:rtl/>
          <w:lang w:val="en-CA"/>
        </w:rPr>
        <w:t>ال</w:t>
      </w:r>
      <w:r w:rsidRPr="00AA537D">
        <w:rPr>
          <w:spacing w:val="0"/>
          <w:kern w:val="0"/>
          <w:rtl/>
          <w:lang w:val="en-CA"/>
        </w:rPr>
        <w:t xml:space="preserve">تحقيق </w:t>
      </w:r>
      <w:r w:rsidRPr="00AA537D">
        <w:rPr>
          <w:rFonts w:hint="cs"/>
          <w:spacing w:val="0"/>
          <w:kern w:val="0"/>
          <w:rtl/>
          <w:lang w:val="en-CA"/>
        </w:rPr>
        <w:t>معه وتسجيل إفادته.</w:t>
      </w:r>
      <w:r w:rsidRPr="00AA537D">
        <w:rPr>
          <w:spacing w:val="0"/>
          <w:kern w:val="0"/>
          <w:rtl/>
          <w:lang w:val="en-CA"/>
        </w:rPr>
        <w:t xml:space="preserve"> وادعى أن تقارير الطب الشرعي </w:t>
      </w:r>
      <w:r w:rsidRPr="00AA537D">
        <w:rPr>
          <w:rFonts w:hint="cs"/>
          <w:spacing w:val="0"/>
          <w:kern w:val="0"/>
          <w:rtl/>
          <w:lang w:val="en-CA"/>
        </w:rPr>
        <w:t>كانت قاصرة أو غير كاملة، وبالتالي لا</w:t>
      </w:r>
      <w:r w:rsidRPr="00AA537D">
        <w:rPr>
          <w:spacing w:val="0"/>
          <w:kern w:val="0"/>
          <w:rtl/>
          <w:lang w:val="en-CA"/>
        </w:rPr>
        <w:t xml:space="preserve"> </w:t>
      </w:r>
      <w:r w:rsidRPr="00AA537D">
        <w:rPr>
          <w:rFonts w:hint="cs"/>
          <w:spacing w:val="0"/>
          <w:kern w:val="0"/>
          <w:rtl/>
          <w:lang w:val="en-CA"/>
        </w:rPr>
        <w:t>تلبي مقتضيات ا</w:t>
      </w:r>
      <w:r w:rsidRPr="00AA537D">
        <w:rPr>
          <w:spacing w:val="0"/>
          <w:kern w:val="0"/>
          <w:rtl/>
          <w:lang w:val="en-CA"/>
        </w:rPr>
        <w:t xml:space="preserve">لبروتوكول الطبي الذي </w:t>
      </w:r>
      <w:r w:rsidRPr="00AA537D">
        <w:rPr>
          <w:rFonts w:hint="cs"/>
          <w:spacing w:val="0"/>
          <w:kern w:val="0"/>
          <w:rtl/>
          <w:lang w:val="en-CA"/>
        </w:rPr>
        <w:t>وضعته</w:t>
      </w:r>
      <w:r w:rsidRPr="00AA537D">
        <w:rPr>
          <w:spacing w:val="0"/>
          <w:kern w:val="0"/>
          <w:rtl/>
          <w:lang w:val="en-CA"/>
        </w:rPr>
        <w:t xml:space="preserve"> وزارة العدل لفحص المحتجزين. و</w:t>
      </w:r>
      <w:r w:rsidRPr="00AA537D">
        <w:rPr>
          <w:rFonts w:hint="cs"/>
          <w:spacing w:val="0"/>
          <w:kern w:val="0"/>
          <w:rtl/>
          <w:lang w:val="en-CA"/>
        </w:rPr>
        <w:t>أشار إلى</w:t>
      </w:r>
      <w:r w:rsidRPr="00AA537D">
        <w:rPr>
          <w:spacing w:val="0"/>
          <w:kern w:val="0"/>
          <w:rtl/>
          <w:lang w:val="en-CA"/>
        </w:rPr>
        <w:t xml:space="preserve"> أن قرار المحكمة </w:t>
      </w:r>
      <w:r w:rsidRPr="00AA537D">
        <w:rPr>
          <w:rFonts w:hint="cs"/>
          <w:spacing w:val="0"/>
          <w:kern w:val="0"/>
          <w:rtl/>
          <w:lang w:val="en-CA"/>
        </w:rPr>
        <w:t xml:space="preserve">غير مدعوم بشكل صحيح بأدلة </w:t>
      </w:r>
      <w:r w:rsidRPr="00AA537D">
        <w:rPr>
          <w:spacing w:val="0"/>
          <w:kern w:val="0"/>
          <w:rtl/>
          <w:lang w:val="en-CA"/>
        </w:rPr>
        <w:t xml:space="preserve">وأنه </w:t>
      </w:r>
      <w:r w:rsidRPr="00AA537D">
        <w:rPr>
          <w:rFonts w:hint="cs"/>
          <w:spacing w:val="0"/>
          <w:kern w:val="0"/>
          <w:rtl/>
          <w:lang w:val="en-CA"/>
        </w:rPr>
        <w:t>لم يذكر</w:t>
      </w:r>
      <w:r w:rsidRPr="00AA537D">
        <w:rPr>
          <w:spacing w:val="0"/>
          <w:kern w:val="0"/>
          <w:rtl/>
          <w:lang w:val="en-CA"/>
        </w:rPr>
        <w:t xml:space="preserve"> بوضوح أسباب إصدار </w:t>
      </w:r>
      <w:r w:rsidRPr="00AA537D">
        <w:rPr>
          <w:rFonts w:hint="cs"/>
          <w:spacing w:val="0"/>
          <w:kern w:val="0"/>
          <w:rtl/>
          <w:lang w:val="en-CA"/>
        </w:rPr>
        <w:t>الأمر</w:t>
      </w:r>
      <w:r w:rsidRPr="00AA537D">
        <w:rPr>
          <w:spacing w:val="0"/>
          <w:kern w:val="0"/>
          <w:rtl/>
          <w:lang w:val="en-CA"/>
        </w:rPr>
        <w:t xml:space="preserve"> بوقف الإجراءات. </w:t>
      </w:r>
      <w:r w:rsidRPr="00AA537D">
        <w:rPr>
          <w:rFonts w:hint="cs"/>
          <w:spacing w:val="0"/>
          <w:kern w:val="0"/>
          <w:rtl/>
          <w:lang w:val="en-CA"/>
        </w:rPr>
        <w:t>وفي</w:t>
      </w:r>
      <w:r w:rsidRPr="00AA537D">
        <w:rPr>
          <w:spacing w:val="0"/>
          <w:kern w:val="0"/>
          <w:rtl/>
          <w:lang w:val="en-CA"/>
        </w:rPr>
        <w:t xml:space="preserve"> 3 </w:t>
      </w:r>
      <w:r w:rsidRPr="00AA537D">
        <w:rPr>
          <w:rFonts w:hint="cs"/>
          <w:spacing w:val="0"/>
          <w:kern w:val="0"/>
          <w:rtl/>
          <w:lang w:val="en-CA"/>
        </w:rPr>
        <w:t>شباط/</w:t>
      </w:r>
      <w:r w:rsidR="00E86FDB">
        <w:rPr>
          <w:rFonts w:hint="cs"/>
          <w:spacing w:val="0"/>
          <w:kern w:val="0"/>
          <w:rtl/>
          <w:lang w:val="en-CA"/>
        </w:rPr>
        <w:t xml:space="preserve"> </w:t>
      </w:r>
      <w:r w:rsidRPr="00AA537D">
        <w:rPr>
          <w:spacing w:val="0"/>
          <w:kern w:val="0"/>
          <w:rtl/>
          <w:lang w:val="en-CA"/>
        </w:rPr>
        <w:t>فبراير</w:t>
      </w:r>
      <w:r w:rsidR="00E86FDB">
        <w:rPr>
          <w:rFonts w:hint="cs"/>
          <w:spacing w:val="0"/>
          <w:kern w:val="0"/>
          <w:rtl/>
          <w:lang w:val="en-CA"/>
        </w:rPr>
        <w:t> </w:t>
      </w:r>
      <w:r w:rsidRPr="00AA537D">
        <w:rPr>
          <w:spacing w:val="0"/>
          <w:kern w:val="0"/>
          <w:rtl/>
          <w:lang w:val="en-CA"/>
        </w:rPr>
        <w:t xml:space="preserve">2004، رفضت المحكمة طلب إعادة النظر </w:t>
      </w:r>
      <w:r w:rsidRPr="00AA537D">
        <w:rPr>
          <w:rFonts w:hint="cs"/>
          <w:spacing w:val="0"/>
          <w:kern w:val="0"/>
          <w:rtl/>
          <w:lang w:val="en-CA"/>
        </w:rPr>
        <w:t>في القضية و</w:t>
      </w:r>
      <w:r w:rsidRPr="00AA537D">
        <w:rPr>
          <w:spacing w:val="0"/>
          <w:kern w:val="0"/>
          <w:rtl/>
          <w:lang w:val="en-CA"/>
        </w:rPr>
        <w:t>لكنه</w:t>
      </w:r>
      <w:r w:rsidRPr="00AA537D">
        <w:rPr>
          <w:rFonts w:hint="cs"/>
          <w:spacing w:val="0"/>
          <w:kern w:val="0"/>
          <w:rtl/>
          <w:lang w:val="en-CA"/>
        </w:rPr>
        <w:t>ا قبلت الطعن الفرعي</w:t>
      </w:r>
      <w:r w:rsidRPr="00AA537D">
        <w:rPr>
          <w:spacing w:val="0"/>
          <w:kern w:val="0"/>
          <w:rtl/>
          <w:lang w:val="en-CA"/>
        </w:rPr>
        <w:t>، وطلب</w:t>
      </w:r>
      <w:r w:rsidRPr="00AA537D">
        <w:rPr>
          <w:rFonts w:hint="cs"/>
          <w:spacing w:val="0"/>
          <w:kern w:val="0"/>
          <w:rtl/>
          <w:lang w:val="en-CA"/>
        </w:rPr>
        <w:t xml:space="preserve">ت </w:t>
      </w:r>
      <w:r w:rsidRPr="00AA537D">
        <w:rPr>
          <w:spacing w:val="0"/>
          <w:kern w:val="0"/>
          <w:rtl/>
          <w:lang w:val="en-CA"/>
        </w:rPr>
        <w:t>من صاحب الشكوى</w:t>
      </w:r>
      <w:r w:rsidRPr="00AA537D">
        <w:rPr>
          <w:rFonts w:hint="cs"/>
          <w:spacing w:val="0"/>
          <w:kern w:val="0"/>
          <w:rtl/>
          <w:lang w:val="en-CA"/>
        </w:rPr>
        <w:t xml:space="preserve"> أن يقدم طلباً رسمياً</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في حكمها، </w:t>
      </w:r>
      <w:r w:rsidRPr="00AA537D">
        <w:rPr>
          <w:rFonts w:hint="cs"/>
          <w:spacing w:val="0"/>
          <w:kern w:val="0"/>
          <w:rtl/>
          <w:lang w:val="en-CA"/>
        </w:rPr>
        <w:t>أشارت</w:t>
      </w:r>
      <w:r w:rsidRPr="00AA537D">
        <w:rPr>
          <w:spacing w:val="0"/>
          <w:kern w:val="0"/>
          <w:rtl/>
          <w:lang w:val="en-CA"/>
        </w:rPr>
        <w:t xml:space="preserve"> المحكمة</w:t>
      </w:r>
      <w:r w:rsidRPr="00AA537D">
        <w:rPr>
          <w:rFonts w:hint="cs"/>
          <w:spacing w:val="0"/>
          <w:kern w:val="0"/>
          <w:rtl/>
          <w:lang w:val="en-CA"/>
        </w:rPr>
        <w:t xml:space="preserve"> إلى</w:t>
      </w:r>
      <w:r w:rsidRPr="00AA537D">
        <w:rPr>
          <w:spacing w:val="0"/>
          <w:kern w:val="0"/>
          <w:rtl/>
          <w:lang w:val="en-CA"/>
        </w:rPr>
        <w:t>: "</w:t>
      </w:r>
      <w:r w:rsidRPr="00AA537D">
        <w:rPr>
          <w:rFonts w:hint="cs"/>
          <w:spacing w:val="0"/>
          <w:kern w:val="0"/>
          <w:rtl/>
          <w:lang w:val="en-CA"/>
        </w:rPr>
        <w:t>أ</w:t>
      </w:r>
      <w:r w:rsidRPr="00AA537D">
        <w:rPr>
          <w:spacing w:val="0"/>
          <w:kern w:val="0"/>
          <w:rtl/>
          <w:lang w:val="en-CA"/>
        </w:rPr>
        <w:t xml:space="preserve">ن الشكوى </w:t>
      </w:r>
      <w:r w:rsidRPr="00AA537D">
        <w:rPr>
          <w:rFonts w:hint="cs"/>
          <w:spacing w:val="0"/>
          <w:kern w:val="0"/>
          <w:rtl/>
          <w:lang w:val="en-CA"/>
        </w:rPr>
        <w:t>بشأن</w:t>
      </w:r>
      <w:r w:rsidRPr="00AA537D">
        <w:rPr>
          <w:spacing w:val="0"/>
          <w:kern w:val="0"/>
          <w:rtl/>
          <w:lang w:val="en-CA"/>
        </w:rPr>
        <w:t xml:space="preserve"> التعذيب المزعوم، وال</w:t>
      </w:r>
      <w:r w:rsidRPr="00AA537D">
        <w:rPr>
          <w:rFonts w:hint="cs"/>
          <w:spacing w:val="0"/>
          <w:kern w:val="0"/>
          <w:rtl/>
          <w:lang w:val="en-CA"/>
        </w:rPr>
        <w:t>ت</w:t>
      </w:r>
      <w:r w:rsidRPr="00AA537D">
        <w:rPr>
          <w:spacing w:val="0"/>
          <w:kern w:val="0"/>
          <w:rtl/>
          <w:lang w:val="en-CA"/>
        </w:rPr>
        <w:t xml:space="preserve">ي إذا ثبتت ينبغي أن </w:t>
      </w:r>
      <w:r w:rsidRPr="00AA537D">
        <w:rPr>
          <w:rFonts w:hint="cs"/>
          <w:spacing w:val="0"/>
          <w:kern w:val="0"/>
          <w:rtl/>
          <w:lang w:val="en-CA"/>
        </w:rPr>
        <w:t>ت</w:t>
      </w:r>
      <w:r w:rsidRPr="00AA537D">
        <w:rPr>
          <w:spacing w:val="0"/>
          <w:kern w:val="0"/>
          <w:rtl/>
          <w:lang w:val="en-CA"/>
        </w:rPr>
        <w:t>ؤدي إلى محاكمة المسؤولين عن</w:t>
      </w:r>
      <w:r w:rsidRPr="00AA537D">
        <w:rPr>
          <w:rFonts w:hint="cs"/>
          <w:spacing w:val="0"/>
          <w:kern w:val="0"/>
          <w:rtl/>
          <w:lang w:val="en-CA"/>
        </w:rPr>
        <w:t>ه</w:t>
      </w:r>
      <w:r w:rsidRPr="00AA537D">
        <w:rPr>
          <w:spacing w:val="0"/>
          <w:kern w:val="0"/>
          <w:rtl/>
          <w:lang w:val="en-CA"/>
        </w:rPr>
        <w:t xml:space="preserve"> ومعاقب</w:t>
      </w:r>
      <w:r w:rsidRPr="00AA537D">
        <w:rPr>
          <w:rFonts w:hint="cs"/>
          <w:spacing w:val="0"/>
          <w:kern w:val="0"/>
          <w:rtl/>
          <w:lang w:val="en-CA"/>
        </w:rPr>
        <w:t>تهم</w:t>
      </w:r>
      <w:r w:rsidRPr="00AA537D">
        <w:rPr>
          <w:spacing w:val="0"/>
          <w:kern w:val="0"/>
          <w:rtl/>
          <w:lang w:val="en-CA"/>
        </w:rPr>
        <w:t xml:space="preserve">، </w:t>
      </w:r>
      <w:r w:rsidRPr="00AA537D">
        <w:rPr>
          <w:rFonts w:hint="cs"/>
          <w:spacing w:val="0"/>
          <w:kern w:val="0"/>
          <w:rtl/>
          <w:lang w:val="en-CA"/>
        </w:rPr>
        <w:t>تعتبر</w:t>
      </w:r>
      <w:r w:rsidRPr="00AA537D">
        <w:rPr>
          <w:spacing w:val="0"/>
          <w:kern w:val="0"/>
          <w:rtl/>
          <w:lang w:val="en-CA"/>
        </w:rPr>
        <w:t xml:space="preserve"> مسألة</w:t>
      </w:r>
      <w:r w:rsidRPr="00AA537D">
        <w:rPr>
          <w:rFonts w:hint="cs"/>
          <w:spacing w:val="0"/>
          <w:kern w:val="0"/>
          <w:rtl/>
          <w:lang w:val="en-CA"/>
        </w:rPr>
        <w:t xml:space="preserve"> بذاتها</w:t>
      </w:r>
      <w:r w:rsidRPr="00AA537D">
        <w:rPr>
          <w:spacing w:val="0"/>
          <w:kern w:val="0"/>
          <w:rtl/>
          <w:lang w:val="en-CA"/>
        </w:rPr>
        <w:t xml:space="preserve">، ونتائج التحقيقات، </w:t>
      </w:r>
      <w:r w:rsidRPr="00AA537D">
        <w:rPr>
          <w:rFonts w:hint="cs"/>
          <w:spacing w:val="0"/>
          <w:kern w:val="0"/>
          <w:rtl/>
          <w:lang w:val="en-CA"/>
        </w:rPr>
        <w:t>أي</w:t>
      </w:r>
      <w:r w:rsidRPr="00AA537D">
        <w:rPr>
          <w:spacing w:val="0"/>
          <w:kern w:val="0"/>
          <w:rtl/>
          <w:lang w:val="en-CA"/>
        </w:rPr>
        <w:t xml:space="preserve"> فحوص الطب الشرعي، التي تشير إلى </w:t>
      </w:r>
      <w:r w:rsidRPr="00AA537D">
        <w:rPr>
          <w:rFonts w:hint="cs"/>
          <w:spacing w:val="0"/>
          <w:kern w:val="0"/>
          <w:rtl/>
          <w:lang w:val="en-CA"/>
        </w:rPr>
        <w:t>عدم وقوع</w:t>
      </w:r>
      <w:r w:rsidRPr="00AA537D">
        <w:rPr>
          <w:spacing w:val="0"/>
          <w:kern w:val="0"/>
          <w:rtl/>
          <w:lang w:val="en-CA"/>
        </w:rPr>
        <w:t xml:space="preserve"> تعذيب، </w:t>
      </w:r>
      <w:r w:rsidRPr="00AA537D">
        <w:rPr>
          <w:rFonts w:hint="cs"/>
          <w:spacing w:val="0"/>
          <w:kern w:val="0"/>
          <w:rtl/>
          <w:lang w:val="en-CA"/>
        </w:rPr>
        <w:t>مسألة</w:t>
      </w:r>
      <w:r w:rsidRPr="00AA537D">
        <w:rPr>
          <w:spacing w:val="0"/>
          <w:kern w:val="0"/>
          <w:rtl/>
          <w:lang w:val="en-CA"/>
        </w:rPr>
        <w:t xml:space="preserve"> </w:t>
      </w:r>
      <w:r w:rsidRPr="00AA537D">
        <w:rPr>
          <w:rFonts w:hint="cs"/>
          <w:spacing w:val="0"/>
          <w:kern w:val="0"/>
          <w:rtl/>
          <w:lang w:val="en-CA"/>
        </w:rPr>
        <w:t>أخرى</w:t>
      </w:r>
      <w:r w:rsidRPr="00AA537D">
        <w:rPr>
          <w:spacing w:val="0"/>
          <w:kern w:val="0"/>
          <w:rtl/>
          <w:lang w:val="en-CA"/>
        </w:rPr>
        <w:t xml:space="preserve"> تماما</w:t>
      </w:r>
      <w:r w:rsidRPr="00AA537D">
        <w:rPr>
          <w:rFonts w:hint="cs"/>
          <w:spacing w:val="0"/>
          <w:kern w:val="0"/>
          <w:rtl/>
          <w:lang w:val="en-CA"/>
        </w:rPr>
        <w:t>ً</w:t>
      </w:r>
      <w:r w:rsidRPr="00AA537D">
        <w:rPr>
          <w:spacing w:val="0"/>
          <w:kern w:val="0"/>
          <w:rtl/>
          <w:lang w:val="en-CA"/>
        </w:rPr>
        <w:t>. و</w:t>
      </w:r>
      <w:r w:rsidRPr="00AA537D">
        <w:rPr>
          <w:rFonts w:hint="cs"/>
          <w:spacing w:val="0"/>
          <w:kern w:val="0"/>
          <w:rtl/>
          <w:lang w:val="en-CA"/>
        </w:rPr>
        <w:t>يجب أن يكون</w:t>
      </w:r>
      <w:r w:rsidRPr="00AA537D">
        <w:rPr>
          <w:spacing w:val="0"/>
          <w:kern w:val="0"/>
          <w:rtl/>
          <w:lang w:val="en-CA"/>
        </w:rPr>
        <w:t xml:space="preserve"> افتراض البراءة، وهو ما ينطبق على أعضاء قوات الأمن</w:t>
      </w:r>
      <w:r w:rsidRPr="00AA537D">
        <w:rPr>
          <w:rFonts w:hint="cs"/>
          <w:spacing w:val="0"/>
          <w:kern w:val="0"/>
          <w:rtl/>
          <w:lang w:val="en-CA"/>
        </w:rPr>
        <w:t xml:space="preserve"> المتهمين</w:t>
      </w:r>
      <w:r w:rsidRPr="00AA537D">
        <w:rPr>
          <w:spacing w:val="0"/>
          <w:kern w:val="0"/>
          <w:rtl/>
          <w:lang w:val="en-CA"/>
        </w:rPr>
        <w:t xml:space="preserve">، </w:t>
      </w:r>
      <w:r w:rsidRPr="00AA537D">
        <w:rPr>
          <w:rFonts w:hint="cs"/>
          <w:spacing w:val="0"/>
          <w:kern w:val="0"/>
          <w:rtl/>
          <w:lang w:val="en-CA"/>
        </w:rPr>
        <w:t>هو الغالب</w:t>
      </w:r>
      <w:r w:rsidRPr="00AA537D">
        <w:rPr>
          <w:spacing w:val="0"/>
          <w:kern w:val="0"/>
          <w:rtl/>
          <w:lang w:val="en-CA"/>
        </w:rPr>
        <w:t xml:space="preserve"> على اتهام لا يوجد </w:t>
      </w:r>
      <w:r w:rsidRPr="00AA537D">
        <w:rPr>
          <w:rFonts w:hint="cs"/>
          <w:spacing w:val="0"/>
          <w:kern w:val="0"/>
          <w:rtl/>
          <w:lang w:val="en-CA"/>
        </w:rPr>
        <w:t>عليه أ</w:t>
      </w:r>
      <w:r w:rsidRPr="00AA537D">
        <w:rPr>
          <w:spacing w:val="0"/>
          <w:kern w:val="0"/>
          <w:rtl/>
          <w:lang w:val="en-CA"/>
        </w:rPr>
        <w:t xml:space="preserve">دنى دليل </w:t>
      </w:r>
      <w:r w:rsidRPr="00AA537D">
        <w:rPr>
          <w:rFonts w:hint="cs"/>
          <w:spacing w:val="0"/>
          <w:kern w:val="0"/>
          <w:rtl/>
          <w:lang w:val="en-CA"/>
        </w:rPr>
        <w:t>يبرر</w:t>
      </w:r>
      <w:r w:rsidRPr="00AA537D">
        <w:rPr>
          <w:spacing w:val="0"/>
          <w:kern w:val="0"/>
          <w:rtl/>
          <w:lang w:val="en-CA"/>
        </w:rPr>
        <w:t xml:space="preserve"> إجراء </w:t>
      </w:r>
      <w:r w:rsidRPr="00AA537D">
        <w:rPr>
          <w:rFonts w:hint="cs"/>
          <w:spacing w:val="0"/>
          <w:kern w:val="0"/>
          <w:rtl/>
          <w:lang w:val="en-CA"/>
        </w:rPr>
        <w:t>أي</w:t>
      </w:r>
      <w:r w:rsidRPr="00AA537D">
        <w:rPr>
          <w:spacing w:val="0"/>
          <w:kern w:val="0"/>
          <w:rtl/>
          <w:lang w:val="en-CA"/>
        </w:rPr>
        <w:t xml:space="preserve"> تحقيق </w:t>
      </w:r>
      <w:r w:rsidRPr="00AA537D">
        <w:rPr>
          <w:rFonts w:hint="cs"/>
          <w:spacing w:val="0"/>
          <w:kern w:val="0"/>
          <w:rtl/>
          <w:lang w:val="en-CA"/>
        </w:rPr>
        <w:t xml:space="preserve">آخر في </w:t>
      </w:r>
      <w:r w:rsidRPr="00AA537D">
        <w:rPr>
          <w:spacing w:val="0"/>
          <w:kern w:val="0"/>
          <w:rtl/>
          <w:lang w:val="en-CA"/>
        </w:rPr>
        <w:t>الادعاءات"</w:t>
      </w:r>
      <w:r w:rsidRPr="00AA537D">
        <w:rPr>
          <w:rFonts w:hint="cs"/>
          <w:spacing w:val="0"/>
          <w:kern w:val="0"/>
          <w:rtl/>
          <w:lang w:val="en-CA"/>
        </w:rPr>
        <w:t>.</w:t>
      </w:r>
    </w:p>
    <w:p w:rsidR="00FA6676" w:rsidRPr="00E86FDB" w:rsidRDefault="00FA6676" w:rsidP="00E86FDB">
      <w:pPr>
        <w:pStyle w:val="SingleTxtGA"/>
        <w:jc w:val="lowKashida"/>
        <w:rPr>
          <w:rFonts w:hint="cs"/>
          <w:spacing w:val="-2"/>
          <w:kern w:val="0"/>
          <w:rtl/>
          <w:lang w:val="en-CA"/>
        </w:rPr>
      </w:pPr>
      <w:r w:rsidRPr="00E86FDB">
        <w:rPr>
          <w:rFonts w:hint="cs"/>
          <w:spacing w:val="-2"/>
          <w:kern w:val="0"/>
          <w:rtl/>
          <w:lang w:val="en-CA"/>
        </w:rPr>
        <w:t>2-12</w:t>
      </w:r>
      <w:r w:rsidRPr="00E86FDB">
        <w:rPr>
          <w:rFonts w:hint="cs"/>
          <w:spacing w:val="-2"/>
          <w:kern w:val="0"/>
          <w:rtl/>
          <w:lang w:val="en-CA"/>
        </w:rPr>
        <w:tab/>
      </w:r>
      <w:r w:rsidRPr="00E86FDB">
        <w:rPr>
          <w:spacing w:val="-2"/>
          <w:kern w:val="0"/>
          <w:rtl/>
          <w:lang w:val="en-CA"/>
        </w:rPr>
        <w:t xml:space="preserve">وفي 10 </w:t>
      </w:r>
      <w:r w:rsidRPr="00E86FDB">
        <w:rPr>
          <w:rFonts w:hint="cs"/>
          <w:spacing w:val="-2"/>
          <w:kern w:val="0"/>
          <w:rtl/>
          <w:lang w:val="en-CA"/>
        </w:rPr>
        <w:t>شباط/</w:t>
      </w:r>
      <w:r w:rsidRPr="00E86FDB">
        <w:rPr>
          <w:spacing w:val="-2"/>
          <w:kern w:val="0"/>
          <w:rtl/>
          <w:lang w:val="en-CA"/>
        </w:rPr>
        <w:t xml:space="preserve">فبراير 2004، قدم صاحب الشكوى رسالة خطية لدعم هذا </w:t>
      </w:r>
      <w:r w:rsidRPr="00E86FDB">
        <w:rPr>
          <w:rFonts w:hint="cs"/>
          <w:spacing w:val="-2"/>
          <w:kern w:val="0"/>
          <w:rtl/>
          <w:lang w:val="en-CA"/>
        </w:rPr>
        <w:t>الطعن</w:t>
      </w:r>
      <w:r w:rsidRPr="00E86FDB">
        <w:rPr>
          <w:spacing w:val="-2"/>
          <w:kern w:val="0"/>
          <w:rtl/>
          <w:lang w:val="en-CA"/>
        </w:rPr>
        <w:t xml:space="preserve">، وطلب أن تعود </w:t>
      </w:r>
      <w:r w:rsidRPr="00E86FDB">
        <w:rPr>
          <w:rFonts w:hint="cs"/>
          <w:spacing w:val="-2"/>
          <w:kern w:val="0"/>
          <w:rtl/>
          <w:lang w:val="en-CA"/>
        </w:rPr>
        <w:t>ال</w:t>
      </w:r>
      <w:r w:rsidRPr="00E86FDB">
        <w:rPr>
          <w:spacing w:val="-2"/>
          <w:kern w:val="0"/>
          <w:rtl/>
          <w:lang w:val="en-CA"/>
        </w:rPr>
        <w:t xml:space="preserve">إجراءات </w:t>
      </w:r>
      <w:r w:rsidRPr="00E86FDB">
        <w:rPr>
          <w:rFonts w:hint="cs"/>
          <w:spacing w:val="-2"/>
          <w:kern w:val="0"/>
          <w:rtl/>
          <w:lang w:val="en-CA"/>
        </w:rPr>
        <w:t xml:space="preserve">إلى </w:t>
      </w:r>
      <w:r w:rsidRPr="00E86FDB">
        <w:rPr>
          <w:spacing w:val="-2"/>
          <w:kern w:val="0"/>
          <w:rtl/>
          <w:lang w:val="en-CA"/>
        </w:rPr>
        <w:t>مرحلة التحقيق</w:t>
      </w:r>
      <w:r w:rsidRPr="00E86FDB">
        <w:rPr>
          <w:rFonts w:hint="cs"/>
          <w:spacing w:val="-2"/>
          <w:kern w:val="0"/>
          <w:rtl/>
          <w:lang w:val="en-CA"/>
        </w:rPr>
        <w:t xml:space="preserve"> وا</w:t>
      </w:r>
      <w:r w:rsidRPr="00E86FDB">
        <w:rPr>
          <w:spacing w:val="-2"/>
          <w:kern w:val="0"/>
          <w:rtl/>
          <w:lang w:val="en-CA"/>
        </w:rPr>
        <w:t xml:space="preserve">لسماح </w:t>
      </w:r>
      <w:r w:rsidRPr="00E86FDB">
        <w:rPr>
          <w:rFonts w:hint="cs"/>
          <w:spacing w:val="-2"/>
          <w:kern w:val="0"/>
          <w:rtl/>
          <w:lang w:val="en-CA"/>
        </w:rPr>
        <w:t>ب</w:t>
      </w:r>
      <w:r w:rsidRPr="00E86FDB">
        <w:rPr>
          <w:spacing w:val="-2"/>
          <w:kern w:val="0"/>
          <w:rtl/>
          <w:lang w:val="en-CA"/>
        </w:rPr>
        <w:t>جمع الأدلة اللازمة لإثبات</w:t>
      </w:r>
      <w:r w:rsidR="00E86FDB" w:rsidRPr="00E86FDB">
        <w:rPr>
          <w:rFonts w:hint="cs"/>
          <w:spacing w:val="-2"/>
          <w:kern w:val="0"/>
          <w:rtl/>
          <w:lang w:val="en-CA"/>
        </w:rPr>
        <w:t> </w:t>
      </w:r>
      <w:r w:rsidRPr="00E86FDB">
        <w:rPr>
          <w:spacing w:val="-2"/>
          <w:kern w:val="0"/>
          <w:rtl/>
          <w:lang w:val="en-CA"/>
        </w:rPr>
        <w:t>الوقائع.</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2-13</w:t>
      </w:r>
      <w:r w:rsidRPr="00AA537D">
        <w:rPr>
          <w:rFonts w:hint="cs"/>
          <w:spacing w:val="0"/>
          <w:kern w:val="0"/>
          <w:rtl/>
          <w:lang w:val="en-CA"/>
        </w:rPr>
        <w:tab/>
        <w:t xml:space="preserve">وفي </w:t>
      </w:r>
      <w:r w:rsidRPr="00AA537D">
        <w:rPr>
          <w:spacing w:val="0"/>
          <w:kern w:val="0"/>
          <w:rtl/>
          <w:lang w:val="en-CA"/>
        </w:rPr>
        <w:t>30 آذار</w:t>
      </w:r>
      <w:r w:rsidRPr="00AA537D">
        <w:rPr>
          <w:rFonts w:hint="cs"/>
          <w:spacing w:val="0"/>
          <w:kern w:val="0"/>
          <w:rtl/>
          <w:lang w:val="en-CA"/>
        </w:rPr>
        <w:t>/مارس</w:t>
      </w:r>
      <w:r w:rsidRPr="00AA537D">
        <w:rPr>
          <w:spacing w:val="0"/>
          <w:kern w:val="0"/>
          <w:rtl/>
          <w:lang w:val="en-CA"/>
        </w:rPr>
        <w:t xml:space="preserve"> 2004، رفضت المحكمة العليا </w:t>
      </w:r>
      <w:r w:rsidRPr="00AA537D">
        <w:rPr>
          <w:rFonts w:hint="cs"/>
          <w:spacing w:val="0"/>
          <w:kern w:val="0"/>
          <w:rtl/>
          <w:lang w:val="en-CA"/>
        </w:rPr>
        <w:t xml:space="preserve">الإقليمية في </w:t>
      </w:r>
      <w:r w:rsidRPr="00AA537D">
        <w:rPr>
          <w:spacing w:val="0"/>
          <w:kern w:val="0"/>
          <w:rtl/>
          <w:lang w:val="en-CA"/>
        </w:rPr>
        <w:t xml:space="preserve">ألافا </w:t>
      </w:r>
      <w:r w:rsidRPr="00AA537D">
        <w:rPr>
          <w:rFonts w:hint="cs"/>
          <w:spacing w:val="0"/>
          <w:kern w:val="0"/>
          <w:rtl/>
          <w:lang w:val="en-CA"/>
        </w:rPr>
        <w:t>طلب</w:t>
      </w:r>
      <w:r w:rsidRPr="00AA537D">
        <w:rPr>
          <w:spacing w:val="0"/>
          <w:kern w:val="0"/>
          <w:rtl/>
          <w:lang w:val="en-CA"/>
        </w:rPr>
        <w:t xml:space="preserve"> </w:t>
      </w:r>
      <w:r w:rsidRPr="00AA537D">
        <w:rPr>
          <w:rFonts w:hint="cs"/>
          <w:spacing w:val="0"/>
          <w:kern w:val="0"/>
          <w:rtl/>
          <w:lang w:val="en-CA"/>
        </w:rPr>
        <w:t>الطعن</w:t>
      </w:r>
      <w:r w:rsidRPr="00AA537D">
        <w:rPr>
          <w:spacing w:val="0"/>
          <w:kern w:val="0"/>
          <w:rtl/>
          <w:lang w:val="en-CA"/>
        </w:rPr>
        <w:t xml:space="preserve"> </w:t>
      </w:r>
      <w:r w:rsidRPr="00AA537D">
        <w:rPr>
          <w:rFonts w:hint="cs"/>
          <w:spacing w:val="0"/>
          <w:kern w:val="0"/>
          <w:rtl/>
          <w:lang w:val="en-CA"/>
        </w:rPr>
        <w:t xml:space="preserve">بدون </w:t>
      </w:r>
      <w:r w:rsidRPr="00AA537D">
        <w:rPr>
          <w:spacing w:val="0"/>
          <w:kern w:val="0"/>
          <w:rtl/>
          <w:lang w:val="en-CA"/>
        </w:rPr>
        <w:t xml:space="preserve">جمع </w:t>
      </w:r>
      <w:r w:rsidRPr="00AA537D">
        <w:rPr>
          <w:rFonts w:hint="cs"/>
          <w:spacing w:val="0"/>
          <w:kern w:val="0"/>
          <w:rtl/>
          <w:lang w:val="en-CA"/>
        </w:rPr>
        <w:t>ال</w:t>
      </w:r>
      <w:r w:rsidRPr="00AA537D">
        <w:rPr>
          <w:spacing w:val="0"/>
          <w:kern w:val="0"/>
          <w:rtl/>
          <w:lang w:val="en-CA"/>
        </w:rPr>
        <w:t xml:space="preserve">مزيد من الأدلة. </w:t>
      </w:r>
      <w:r w:rsidRPr="00AA537D">
        <w:rPr>
          <w:rFonts w:hint="cs"/>
          <w:spacing w:val="0"/>
          <w:kern w:val="0"/>
          <w:rtl/>
          <w:lang w:val="en-CA"/>
        </w:rPr>
        <w:t>و</w:t>
      </w:r>
      <w:r w:rsidRPr="00AA537D">
        <w:rPr>
          <w:spacing w:val="0"/>
          <w:kern w:val="0"/>
          <w:rtl/>
          <w:lang w:val="en-CA"/>
        </w:rPr>
        <w:t xml:space="preserve">قضت المحكمة </w:t>
      </w:r>
      <w:r w:rsidRPr="00AA537D">
        <w:rPr>
          <w:rFonts w:hint="cs"/>
          <w:spacing w:val="0"/>
          <w:kern w:val="0"/>
          <w:rtl/>
          <w:lang w:val="en-CA"/>
        </w:rPr>
        <w:t>بأن</w:t>
      </w:r>
      <w:r w:rsidRPr="00AA537D">
        <w:rPr>
          <w:spacing w:val="0"/>
          <w:kern w:val="0"/>
          <w:rtl/>
          <w:lang w:val="en-CA"/>
        </w:rPr>
        <w:t xml:space="preserve"> أمر وقف الإجراءات </w:t>
      </w:r>
      <w:r w:rsidRPr="00AA537D">
        <w:rPr>
          <w:rFonts w:hint="cs"/>
          <w:spacing w:val="0"/>
          <w:kern w:val="0"/>
          <w:rtl/>
          <w:lang w:val="en-CA"/>
        </w:rPr>
        <w:t>صدر بعد</w:t>
      </w:r>
      <w:r w:rsidRPr="00AA537D">
        <w:rPr>
          <w:spacing w:val="0"/>
          <w:kern w:val="0"/>
          <w:rtl/>
          <w:lang w:val="en-CA"/>
        </w:rPr>
        <w:t xml:space="preserve"> إجراء التحقيقات اللازمة للتحقق مما إذا </w:t>
      </w:r>
      <w:r w:rsidRPr="00AA537D">
        <w:rPr>
          <w:rFonts w:hint="cs"/>
          <w:spacing w:val="0"/>
          <w:kern w:val="0"/>
          <w:rtl/>
          <w:lang w:val="en-CA"/>
        </w:rPr>
        <w:t>كانت أقوال</w:t>
      </w:r>
      <w:r w:rsidRPr="00AA537D">
        <w:rPr>
          <w:spacing w:val="0"/>
          <w:kern w:val="0"/>
          <w:rtl/>
          <w:lang w:val="en-CA"/>
        </w:rPr>
        <w:t xml:space="preserve"> الضحية </w:t>
      </w:r>
      <w:r w:rsidRPr="00AA537D">
        <w:rPr>
          <w:rFonts w:hint="cs"/>
          <w:spacing w:val="0"/>
          <w:kern w:val="0"/>
          <w:rtl/>
          <w:lang w:val="en-CA"/>
        </w:rPr>
        <w:t>تؤكدها</w:t>
      </w:r>
      <w:r w:rsidRPr="00AA537D">
        <w:rPr>
          <w:spacing w:val="0"/>
          <w:kern w:val="0"/>
          <w:rtl/>
          <w:lang w:val="en-CA"/>
        </w:rPr>
        <w:t xml:space="preserve"> الأدلة ال</w:t>
      </w:r>
      <w:r w:rsidRPr="00AA537D">
        <w:rPr>
          <w:rFonts w:hint="cs"/>
          <w:spacing w:val="0"/>
          <w:kern w:val="0"/>
          <w:rtl/>
          <w:lang w:val="en-CA"/>
        </w:rPr>
        <w:t>بيانية؛</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أن تقارير الطب الشرعي، وحتى </w:t>
      </w:r>
      <w:r w:rsidRPr="00AA537D">
        <w:rPr>
          <w:rFonts w:hint="cs"/>
          <w:spacing w:val="0"/>
          <w:kern w:val="0"/>
          <w:rtl/>
          <w:lang w:val="en-CA"/>
        </w:rPr>
        <w:t>الذي أُعدَّ في</w:t>
      </w:r>
      <w:r w:rsidRPr="00AA537D">
        <w:rPr>
          <w:spacing w:val="0"/>
          <w:kern w:val="0"/>
          <w:rtl/>
          <w:lang w:val="en-CA"/>
        </w:rPr>
        <w:t xml:space="preserve"> مدريد، لم </w:t>
      </w:r>
      <w:r w:rsidRPr="00AA537D">
        <w:rPr>
          <w:rFonts w:hint="cs"/>
          <w:spacing w:val="0"/>
          <w:kern w:val="0"/>
          <w:rtl/>
          <w:lang w:val="en-CA"/>
        </w:rPr>
        <w:t>ت</w:t>
      </w:r>
      <w:r w:rsidRPr="00AA537D">
        <w:rPr>
          <w:spacing w:val="0"/>
          <w:kern w:val="0"/>
          <w:rtl/>
          <w:lang w:val="en-CA"/>
        </w:rPr>
        <w:t xml:space="preserve">كشف عن أي دليل </w:t>
      </w:r>
      <w:r w:rsidRPr="00AA537D">
        <w:rPr>
          <w:rFonts w:hint="cs"/>
          <w:spacing w:val="0"/>
          <w:kern w:val="0"/>
          <w:rtl/>
          <w:lang w:val="en-CA"/>
        </w:rPr>
        <w:t>يشير إلى</w:t>
      </w:r>
      <w:r w:rsidRPr="00AA537D">
        <w:rPr>
          <w:spacing w:val="0"/>
          <w:kern w:val="0"/>
          <w:rtl/>
          <w:lang w:val="en-CA"/>
        </w:rPr>
        <w:t xml:space="preserve"> سوء المعاملة أو التعذيب كما زعم</w:t>
      </w:r>
      <w:r w:rsidRPr="00AA537D">
        <w:rPr>
          <w:rFonts w:hint="cs"/>
          <w:spacing w:val="0"/>
          <w:kern w:val="0"/>
          <w:rtl/>
          <w:lang w:val="en-CA"/>
        </w:rPr>
        <w:t>؛</w:t>
      </w:r>
      <w:r w:rsidRPr="00AA537D">
        <w:rPr>
          <w:spacing w:val="0"/>
          <w:kern w:val="0"/>
          <w:rtl/>
          <w:lang w:val="en-CA"/>
        </w:rPr>
        <w:t xml:space="preserve"> وأن عدم الامتثال </w:t>
      </w:r>
      <w:r w:rsidRPr="00AA537D">
        <w:rPr>
          <w:rFonts w:hint="cs"/>
          <w:spacing w:val="0"/>
          <w:kern w:val="0"/>
          <w:rtl/>
          <w:lang w:val="en-CA"/>
        </w:rPr>
        <w:t>لمبادئ</w:t>
      </w:r>
      <w:r w:rsidRPr="00AA537D">
        <w:rPr>
          <w:spacing w:val="0"/>
          <w:kern w:val="0"/>
          <w:rtl/>
          <w:lang w:val="en-CA"/>
        </w:rPr>
        <w:t xml:space="preserve"> وزارة العدل</w:t>
      </w:r>
      <w:r w:rsidRPr="00AA537D">
        <w:rPr>
          <w:rFonts w:hint="cs"/>
          <w:spacing w:val="0"/>
          <w:kern w:val="0"/>
          <w:rtl/>
          <w:lang w:val="en-CA"/>
        </w:rPr>
        <w:t xml:space="preserve"> التوجيهية</w:t>
      </w:r>
      <w:r w:rsidRPr="00AA537D">
        <w:rPr>
          <w:spacing w:val="0"/>
          <w:kern w:val="0"/>
          <w:rtl/>
          <w:lang w:val="en-CA"/>
        </w:rPr>
        <w:t xml:space="preserve"> لم يمس </w:t>
      </w:r>
      <w:r w:rsidRPr="00AA537D">
        <w:rPr>
          <w:rFonts w:hint="cs"/>
          <w:spacing w:val="0"/>
          <w:kern w:val="0"/>
          <w:rtl/>
          <w:lang w:val="en-CA"/>
        </w:rPr>
        <w:t>ب</w:t>
      </w:r>
      <w:r w:rsidRPr="00AA537D">
        <w:rPr>
          <w:spacing w:val="0"/>
          <w:kern w:val="0"/>
          <w:rtl/>
          <w:lang w:val="en-CA"/>
        </w:rPr>
        <w:t>قيمتها الثبوتية. ونتيجة لذلك، حكمت المحكمة العليا</w:t>
      </w:r>
      <w:r w:rsidRPr="00AA537D">
        <w:rPr>
          <w:rFonts w:hint="cs"/>
          <w:spacing w:val="0"/>
          <w:kern w:val="0"/>
          <w:rtl/>
          <w:lang w:val="en-CA"/>
        </w:rPr>
        <w:t xml:space="preserve"> الإقليمية</w:t>
      </w:r>
      <w:r w:rsidRPr="00AA537D">
        <w:rPr>
          <w:spacing w:val="0"/>
          <w:kern w:val="0"/>
          <w:rtl/>
          <w:lang w:val="en-CA"/>
        </w:rPr>
        <w:t xml:space="preserve"> </w:t>
      </w:r>
      <w:r w:rsidRPr="00AA537D">
        <w:rPr>
          <w:rFonts w:hint="cs"/>
          <w:spacing w:val="0"/>
          <w:kern w:val="0"/>
          <w:rtl/>
          <w:lang w:val="en-CA"/>
        </w:rPr>
        <w:t>ب</w:t>
      </w:r>
      <w:r w:rsidRPr="00AA537D">
        <w:rPr>
          <w:spacing w:val="0"/>
          <w:kern w:val="0"/>
          <w:rtl/>
          <w:lang w:val="en-CA"/>
        </w:rPr>
        <w:t>أن</w:t>
      </w:r>
      <w:r w:rsidRPr="00AA537D">
        <w:rPr>
          <w:rFonts w:hint="cs"/>
          <w:spacing w:val="0"/>
          <w:kern w:val="0"/>
          <w:rtl/>
          <w:lang w:val="en-CA"/>
        </w:rPr>
        <w:t xml:space="preserve">ه لا توجد </w:t>
      </w:r>
      <w:r w:rsidRPr="00AA537D">
        <w:rPr>
          <w:spacing w:val="0"/>
          <w:kern w:val="0"/>
          <w:rtl/>
          <w:lang w:val="en-CA"/>
        </w:rPr>
        <w:t xml:space="preserve">حاجة </w:t>
      </w:r>
      <w:r w:rsidRPr="00AA537D">
        <w:rPr>
          <w:rFonts w:hint="cs"/>
          <w:spacing w:val="0"/>
          <w:kern w:val="0"/>
          <w:rtl/>
          <w:lang w:val="en-CA"/>
        </w:rPr>
        <w:t xml:space="preserve">إلى مطالبة </w:t>
      </w:r>
      <w:r w:rsidRPr="00AA537D">
        <w:rPr>
          <w:spacing w:val="0"/>
          <w:kern w:val="0"/>
          <w:rtl/>
          <w:lang w:val="en-CA"/>
        </w:rPr>
        <w:t xml:space="preserve">الشرطة </w:t>
      </w:r>
      <w:r w:rsidRPr="00AA537D">
        <w:rPr>
          <w:rFonts w:hint="cs"/>
          <w:spacing w:val="0"/>
          <w:kern w:val="0"/>
          <w:rtl/>
          <w:lang w:val="en-CA"/>
        </w:rPr>
        <w:t xml:space="preserve">بالكشف </w:t>
      </w:r>
      <w:r w:rsidRPr="00AA537D">
        <w:rPr>
          <w:spacing w:val="0"/>
          <w:kern w:val="0"/>
          <w:rtl/>
          <w:lang w:val="en-CA"/>
        </w:rPr>
        <w:t xml:space="preserve">عن هوية الأشخاص </w:t>
      </w:r>
      <w:r w:rsidRPr="00AA537D">
        <w:rPr>
          <w:rFonts w:hint="cs"/>
          <w:spacing w:val="0"/>
          <w:kern w:val="0"/>
          <w:rtl/>
          <w:lang w:val="en-CA"/>
        </w:rPr>
        <w:t>المشتركين في إلقاء القبض على</w:t>
      </w:r>
      <w:r w:rsidRPr="00AA537D">
        <w:rPr>
          <w:spacing w:val="0"/>
          <w:kern w:val="0"/>
          <w:rtl/>
          <w:lang w:val="en-CA"/>
        </w:rPr>
        <w:t xml:space="preserve"> صاحب الشكوى واحتجاز</w:t>
      </w:r>
      <w:r w:rsidRPr="00AA537D">
        <w:rPr>
          <w:rFonts w:hint="cs"/>
          <w:spacing w:val="0"/>
          <w:kern w:val="0"/>
          <w:rtl/>
          <w:lang w:val="en-CA"/>
        </w:rPr>
        <w:t>ه</w:t>
      </w:r>
      <w:r w:rsidRPr="00AA537D">
        <w:rPr>
          <w:spacing w:val="0"/>
          <w:kern w:val="0"/>
          <w:rtl/>
          <w:lang w:val="en-CA"/>
        </w:rPr>
        <w:t xml:space="preserve">، </w:t>
      </w:r>
      <w:r w:rsidRPr="00AA537D">
        <w:rPr>
          <w:rFonts w:hint="cs"/>
          <w:spacing w:val="0"/>
          <w:kern w:val="0"/>
          <w:rtl/>
          <w:lang w:val="en-CA"/>
        </w:rPr>
        <w:t xml:space="preserve">وخصوصاً </w:t>
      </w:r>
      <w:r w:rsidRPr="00AA537D">
        <w:rPr>
          <w:spacing w:val="0"/>
          <w:kern w:val="0"/>
          <w:rtl/>
          <w:lang w:val="en-CA"/>
        </w:rPr>
        <w:t xml:space="preserve">بالنظر إلى أن سلامة الضباط أنفسهم يمكن أن </w:t>
      </w:r>
      <w:r w:rsidRPr="00AA537D">
        <w:rPr>
          <w:rFonts w:hint="cs"/>
          <w:spacing w:val="0"/>
          <w:kern w:val="0"/>
          <w:rtl/>
          <w:lang w:val="en-CA"/>
        </w:rPr>
        <w:t>ت</w:t>
      </w:r>
      <w:r w:rsidRPr="00AA537D">
        <w:rPr>
          <w:spacing w:val="0"/>
          <w:kern w:val="0"/>
          <w:rtl/>
          <w:lang w:val="en-CA"/>
        </w:rPr>
        <w:t>تعرض للخطر.</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2-14</w:t>
      </w:r>
      <w:r w:rsidRPr="00AA537D">
        <w:rPr>
          <w:rFonts w:hint="cs"/>
          <w:spacing w:val="0"/>
          <w:kern w:val="0"/>
          <w:rtl/>
          <w:lang w:val="en-CA"/>
        </w:rPr>
        <w:tab/>
        <w:t>و</w:t>
      </w:r>
      <w:r w:rsidRPr="00AA537D">
        <w:rPr>
          <w:spacing w:val="0"/>
          <w:kern w:val="0"/>
          <w:rtl/>
          <w:lang w:val="en-CA"/>
        </w:rPr>
        <w:t>في 22 نيسان</w:t>
      </w:r>
      <w:r w:rsidRPr="00AA537D">
        <w:rPr>
          <w:rFonts w:hint="cs"/>
          <w:spacing w:val="0"/>
          <w:kern w:val="0"/>
          <w:rtl/>
          <w:lang w:val="en-CA"/>
        </w:rPr>
        <w:t>/أبريل</w:t>
      </w:r>
      <w:r w:rsidRPr="00AA537D">
        <w:rPr>
          <w:spacing w:val="0"/>
          <w:kern w:val="0"/>
          <w:rtl/>
          <w:lang w:val="en-CA"/>
        </w:rPr>
        <w:t xml:space="preserve"> 2004، قدم صاحب الشكوى طلبا</w:t>
      </w:r>
      <w:r w:rsidRPr="00AA537D">
        <w:rPr>
          <w:rFonts w:hint="cs"/>
          <w:spacing w:val="0"/>
          <w:kern w:val="0"/>
          <w:rtl/>
          <w:lang w:val="en-CA"/>
        </w:rPr>
        <w:t>ً</w:t>
      </w:r>
      <w:r w:rsidRPr="00AA537D">
        <w:rPr>
          <w:spacing w:val="0"/>
          <w:kern w:val="0"/>
          <w:rtl/>
          <w:lang w:val="en-CA"/>
        </w:rPr>
        <w:t xml:space="preserve"> للحصول على الحماية القضائية أمام المحكمة الدستورية </w:t>
      </w:r>
      <w:r w:rsidRPr="00AA537D">
        <w:rPr>
          <w:rFonts w:hint="cs"/>
          <w:spacing w:val="0"/>
          <w:kern w:val="0"/>
          <w:rtl/>
          <w:lang w:val="en-CA"/>
        </w:rPr>
        <w:t>إزاء ا</w:t>
      </w:r>
      <w:r w:rsidRPr="00AA537D">
        <w:rPr>
          <w:spacing w:val="0"/>
          <w:kern w:val="0"/>
          <w:rtl/>
          <w:lang w:val="en-CA"/>
        </w:rPr>
        <w:t xml:space="preserve">نتهاكات حقوقه </w:t>
      </w:r>
      <w:r w:rsidRPr="00AA537D">
        <w:rPr>
          <w:rFonts w:hint="cs"/>
          <w:spacing w:val="0"/>
          <w:kern w:val="0"/>
          <w:rtl/>
          <w:lang w:val="en-CA"/>
        </w:rPr>
        <w:t>الخاصة ب</w:t>
      </w:r>
      <w:r w:rsidRPr="00AA537D">
        <w:rPr>
          <w:spacing w:val="0"/>
          <w:kern w:val="0"/>
          <w:rtl/>
          <w:lang w:val="en-CA"/>
        </w:rPr>
        <w:t xml:space="preserve">السلامة العقلية </w:t>
      </w:r>
      <w:r w:rsidRPr="00AA537D">
        <w:rPr>
          <w:rFonts w:hint="cs"/>
          <w:spacing w:val="0"/>
          <w:kern w:val="0"/>
          <w:rtl/>
          <w:lang w:val="en-CA"/>
        </w:rPr>
        <w:t>والبدنية،</w:t>
      </w:r>
      <w:r w:rsidRPr="00AA537D">
        <w:rPr>
          <w:spacing w:val="0"/>
          <w:kern w:val="0"/>
          <w:rtl/>
          <w:lang w:val="en-CA"/>
        </w:rPr>
        <w:t xml:space="preserve"> و</w:t>
      </w:r>
      <w:r w:rsidRPr="00AA537D">
        <w:rPr>
          <w:rFonts w:hint="cs"/>
          <w:spacing w:val="0"/>
          <w:kern w:val="0"/>
          <w:rtl/>
          <w:lang w:val="en-CA"/>
        </w:rPr>
        <w:t>للحصول على ال</w:t>
      </w:r>
      <w:r w:rsidRPr="00AA537D">
        <w:rPr>
          <w:spacing w:val="0"/>
          <w:kern w:val="0"/>
          <w:rtl/>
          <w:lang w:val="en-CA"/>
        </w:rPr>
        <w:t xml:space="preserve">حماية </w:t>
      </w:r>
      <w:r w:rsidRPr="00AA537D">
        <w:rPr>
          <w:rFonts w:hint="cs"/>
          <w:spacing w:val="0"/>
          <w:kern w:val="0"/>
          <w:rtl/>
          <w:lang w:val="en-CA"/>
        </w:rPr>
        <w:t>ال</w:t>
      </w:r>
      <w:r w:rsidRPr="00AA537D">
        <w:rPr>
          <w:spacing w:val="0"/>
          <w:kern w:val="0"/>
          <w:rtl/>
          <w:lang w:val="en-CA"/>
        </w:rPr>
        <w:t xml:space="preserve">قانونية </w:t>
      </w:r>
      <w:r w:rsidRPr="00AA537D">
        <w:rPr>
          <w:rFonts w:hint="cs"/>
          <w:spacing w:val="0"/>
          <w:kern w:val="0"/>
          <w:rtl/>
          <w:lang w:val="en-CA"/>
        </w:rPr>
        <w:t>ال</w:t>
      </w:r>
      <w:r w:rsidRPr="00AA537D">
        <w:rPr>
          <w:spacing w:val="0"/>
          <w:kern w:val="0"/>
          <w:rtl/>
          <w:lang w:val="en-CA"/>
        </w:rPr>
        <w:t xml:space="preserve">فعالة </w:t>
      </w:r>
      <w:r w:rsidRPr="00AA537D">
        <w:rPr>
          <w:rFonts w:hint="cs"/>
          <w:spacing w:val="0"/>
          <w:kern w:val="0"/>
          <w:rtl/>
          <w:lang w:val="en-CA"/>
        </w:rPr>
        <w:t xml:space="preserve">وعلى </w:t>
      </w:r>
      <w:r w:rsidRPr="00AA537D">
        <w:rPr>
          <w:spacing w:val="0"/>
          <w:kern w:val="0"/>
          <w:rtl/>
          <w:lang w:val="en-CA"/>
        </w:rPr>
        <w:t>محاكمة عادلة</w:t>
      </w:r>
      <w:r w:rsidRPr="00AA537D">
        <w:rPr>
          <w:rFonts w:hint="cs"/>
          <w:spacing w:val="0"/>
          <w:kern w:val="0"/>
          <w:rtl/>
          <w:lang w:val="en-CA"/>
        </w:rPr>
        <w:t>،</w:t>
      </w:r>
      <w:r w:rsidRPr="00AA537D">
        <w:rPr>
          <w:spacing w:val="0"/>
          <w:kern w:val="0"/>
          <w:rtl/>
          <w:lang w:val="en-CA"/>
        </w:rPr>
        <w:t xml:space="preserve"> و</w:t>
      </w:r>
      <w:r w:rsidRPr="00AA537D">
        <w:rPr>
          <w:rFonts w:hint="cs"/>
          <w:spacing w:val="0"/>
          <w:kern w:val="0"/>
          <w:rtl/>
          <w:lang w:val="en-CA"/>
        </w:rPr>
        <w:t>ل</w:t>
      </w:r>
      <w:r w:rsidRPr="00AA537D">
        <w:rPr>
          <w:spacing w:val="0"/>
          <w:kern w:val="0"/>
          <w:rtl/>
          <w:lang w:val="en-CA"/>
        </w:rPr>
        <w:t xml:space="preserve">استخدام الأدلة ذات الصلة. </w:t>
      </w:r>
      <w:r w:rsidRPr="00AA537D">
        <w:rPr>
          <w:rFonts w:hint="cs"/>
          <w:spacing w:val="0"/>
          <w:kern w:val="0"/>
          <w:rtl/>
          <w:lang w:val="en-CA"/>
        </w:rPr>
        <w:t>وكرر</w:t>
      </w:r>
      <w:r w:rsidRPr="00AA537D">
        <w:rPr>
          <w:spacing w:val="0"/>
          <w:kern w:val="0"/>
          <w:rtl/>
          <w:lang w:val="en-CA"/>
        </w:rPr>
        <w:t xml:space="preserve"> </w:t>
      </w:r>
      <w:r w:rsidRPr="00AA537D">
        <w:rPr>
          <w:rFonts w:hint="cs"/>
          <w:spacing w:val="0"/>
          <w:kern w:val="0"/>
          <w:rtl/>
          <w:lang w:val="en-CA"/>
        </w:rPr>
        <w:t>صاحب الشكوى القول</w:t>
      </w:r>
      <w:r w:rsidRPr="00AA537D">
        <w:rPr>
          <w:spacing w:val="0"/>
          <w:kern w:val="0"/>
          <w:rtl/>
          <w:lang w:val="en-CA"/>
        </w:rPr>
        <w:t xml:space="preserve"> </w:t>
      </w:r>
      <w:r w:rsidRPr="00AA537D">
        <w:rPr>
          <w:rFonts w:hint="cs"/>
          <w:spacing w:val="0"/>
          <w:kern w:val="0"/>
          <w:rtl/>
          <w:lang w:val="en-CA"/>
        </w:rPr>
        <w:t>بأ</w:t>
      </w:r>
      <w:r w:rsidRPr="00AA537D">
        <w:rPr>
          <w:spacing w:val="0"/>
          <w:kern w:val="0"/>
          <w:rtl/>
          <w:lang w:val="en-CA"/>
        </w:rPr>
        <w:t xml:space="preserve">ن </w:t>
      </w:r>
      <w:r w:rsidRPr="00AA537D">
        <w:rPr>
          <w:rFonts w:hint="cs"/>
          <w:spacing w:val="0"/>
          <w:kern w:val="0"/>
          <w:rtl/>
          <w:lang w:val="en-CA"/>
        </w:rPr>
        <w:t>دائرة التحقيق</w:t>
      </w:r>
      <w:r w:rsidRPr="00AA537D">
        <w:rPr>
          <w:spacing w:val="0"/>
          <w:kern w:val="0"/>
          <w:rtl/>
          <w:lang w:val="en-CA"/>
        </w:rPr>
        <w:t xml:space="preserve"> الثانية </w:t>
      </w:r>
      <w:r w:rsidRPr="00AA537D">
        <w:rPr>
          <w:rFonts w:hint="cs"/>
          <w:spacing w:val="0"/>
          <w:kern w:val="0"/>
          <w:rtl/>
          <w:lang w:val="en-CA"/>
        </w:rPr>
        <w:t>في</w:t>
      </w:r>
      <w:r w:rsidRPr="00AA537D">
        <w:rPr>
          <w:spacing w:val="0"/>
          <w:kern w:val="0"/>
          <w:rtl/>
          <w:lang w:val="en-CA"/>
        </w:rPr>
        <w:t xml:space="preserve"> فيتوريا غاستيز </w:t>
      </w:r>
      <w:r w:rsidRPr="00AA537D">
        <w:rPr>
          <w:rFonts w:hint="cs"/>
          <w:spacing w:val="0"/>
          <w:kern w:val="0"/>
          <w:rtl/>
          <w:lang w:val="en-CA"/>
        </w:rPr>
        <w:t>أمرت بإغلاق ملف القضية</w:t>
      </w:r>
      <w:r w:rsidRPr="00AA537D">
        <w:rPr>
          <w:spacing w:val="0"/>
          <w:kern w:val="0"/>
          <w:rtl/>
          <w:lang w:val="en-CA"/>
        </w:rPr>
        <w:t xml:space="preserve"> على أساس تحقيق واحد</w:t>
      </w:r>
      <w:r w:rsidRPr="00AA537D">
        <w:rPr>
          <w:rFonts w:hint="cs"/>
          <w:spacing w:val="0"/>
          <w:kern w:val="0"/>
          <w:rtl/>
          <w:lang w:val="en-CA"/>
        </w:rPr>
        <w:t xml:space="preserve"> واستلام </w:t>
      </w:r>
      <w:r w:rsidRPr="00AA537D">
        <w:rPr>
          <w:spacing w:val="0"/>
          <w:kern w:val="0"/>
          <w:rtl/>
          <w:lang w:val="en-CA"/>
        </w:rPr>
        <w:t xml:space="preserve">تقارير </w:t>
      </w:r>
      <w:r w:rsidRPr="00AA537D">
        <w:rPr>
          <w:rFonts w:hint="cs"/>
          <w:spacing w:val="0"/>
          <w:kern w:val="0"/>
          <w:rtl/>
          <w:lang w:val="en-CA"/>
        </w:rPr>
        <w:t>موجزة</w:t>
      </w:r>
      <w:r w:rsidRPr="00AA537D">
        <w:rPr>
          <w:spacing w:val="0"/>
          <w:kern w:val="0"/>
          <w:rtl/>
          <w:lang w:val="en-CA"/>
        </w:rPr>
        <w:t xml:space="preserve"> </w:t>
      </w:r>
      <w:r w:rsidRPr="00AA537D">
        <w:rPr>
          <w:rFonts w:hint="cs"/>
          <w:spacing w:val="0"/>
          <w:kern w:val="0"/>
          <w:rtl/>
          <w:lang w:val="en-CA"/>
        </w:rPr>
        <w:t>ل</w:t>
      </w:r>
      <w:r w:rsidRPr="00AA537D">
        <w:rPr>
          <w:spacing w:val="0"/>
          <w:kern w:val="0"/>
          <w:rtl/>
          <w:lang w:val="en-CA"/>
        </w:rPr>
        <w:t xml:space="preserve">فحوص الطب الشرعي التي </w:t>
      </w:r>
      <w:r w:rsidRPr="00AA537D">
        <w:rPr>
          <w:rFonts w:hint="cs"/>
          <w:spacing w:val="0"/>
          <w:kern w:val="0"/>
          <w:rtl/>
          <w:lang w:val="en-CA"/>
        </w:rPr>
        <w:t>جرت</w:t>
      </w:r>
      <w:r w:rsidRPr="00AA537D">
        <w:rPr>
          <w:spacing w:val="0"/>
          <w:kern w:val="0"/>
          <w:rtl/>
          <w:lang w:val="en-CA"/>
        </w:rPr>
        <w:t xml:space="preserve"> أثناء احتجازه. </w:t>
      </w:r>
      <w:r w:rsidRPr="00AA537D">
        <w:rPr>
          <w:rFonts w:hint="cs"/>
          <w:spacing w:val="0"/>
          <w:kern w:val="0"/>
          <w:rtl/>
          <w:lang w:val="en-CA"/>
        </w:rPr>
        <w:t>وشكك</w:t>
      </w:r>
      <w:r w:rsidRPr="00AA537D">
        <w:rPr>
          <w:spacing w:val="0"/>
          <w:kern w:val="0"/>
          <w:rtl/>
          <w:lang w:val="en-CA"/>
        </w:rPr>
        <w:t xml:space="preserve"> صاحب الشكوى </w:t>
      </w:r>
      <w:r w:rsidRPr="00AA537D">
        <w:rPr>
          <w:rFonts w:hint="cs"/>
          <w:spacing w:val="0"/>
          <w:kern w:val="0"/>
          <w:rtl/>
          <w:lang w:val="en-CA"/>
        </w:rPr>
        <w:t>في</w:t>
      </w:r>
      <w:r w:rsidRPr="00AA537D">
        <w:rPr>
          <w:spacing w:val="0"/>
          <w:kern w:val="0"/>
          <w:rtl/>
          <w:lang w:val="en-CA"/>
        </w:rPr>
        <w:t xml:space="preserve"> القيمة الثبوتية لتلك التقارير الطبية، وذكر أنه لا </w:t>
      </w:r>
      <w:r w:rsidRPr="00AA537D">
        <w:rPr>
          <w:rFonts w:hint="cs"/>
          <w:spacing w:val="0"/>
          <w:kern w:val="0"/>
          <w:rtl/>
          <w:lang w:val="en-CA"/>
        </w:rPr>
        <w:t>دائرة التحقيق</w:t>
      </w:r>
      <w:r w:rsidRPr="00AA537D">
        <w:rPr>
          <w:spacing w:val="0"/>
          <w:kern w:val="0"/>
          <w:rtl/>
          <w:lang w:val="en-CA"/>
        </w:rPr>
        <w:t xml:space="preserve"> ولا المحكمة العليا</w:t>
      </w:r>
      <w:r w:rsidRPr="00AA537D">
        <w:rPr>
          <w:rFonts w:hint="cs"/>
          <w:spacing w:val="0"/>
          <w:kern w:val="0"/>
          <w:rtl/>
          <w:lang w:val="en-CA"/>
        </w:rPr>
        <w:t xml:space="preserve"> الإقليمية</w:t>
      </w:r>
      <w:r w:rsidRPr="00AA537D">
        <w:rPr>
          <w:spacing w:val="0"/>
          <w:kern w:val="0"/>
          <w:rtl/>
          <w:lang w:val="en-CA"/>
        </w:rPr>
        <w:t xml:space="preserve"> </w:t>
      </w:r>
      <w:r w:rsidRPr="00AA537D">
        <w:rPr>
          <w:rFonts w:hint="cs"/>
          <w:spacing w:val="0"/>
          <w:kern w:val="0"/>
          <w:rtl/>
          <w:lang w:val="en-CA"/>
        </w:rPr>
        <w:t>أخذت أقواله</w:t>
      </w:r>
      <w:r w:rsidRPr="00AA537D">
        <w:rPr>
          <w:spacing w:val="0"/>
          <w:kern w:val="0"/>
          <w:rtl/>
          <w:lang w:val="en-CA"/>
        </w:rPr>
        <w:t xml:space="preserve"> أو طلبت </w:t>
      </w:r>
      <w:r w:rsidRPr="00AA537D">
        <w:rPr>
          <w:rFonts w:hint="cs"/>
          <w:spacing w:val="0"/>
          <w:kern w:val="0"/>
          <w:rtl/>
          <w:lang w:val="en-CA"/>
        </w:rPr>
        <w:t xml:space="preserve">أن يكشف </w:t>
      </w:r>
      <w:r w:rsidRPr="00AA537D">
        <w:rPr>
          <w:spacing w:val="0"/>
          <w:kern w:val="0"/>
          <w:rtl/>
          <w:lang w:val="en-CA"/>
        </w:rPr>
        <w:t xml:space="preserve">مركز شرطة </w:t>
      </w:r>
      <w:r w:rsidRPr="00AA537D">
        <w:rPr>
          <w:rFonts w:hint="cs"/>
          <w:spacing w:val="0"/>
          <w:kern w:val="0"/>
          <w:rtl/>
          <w:lang w:val="en-CA"/>
        </w:rPr>
        <w:t>أركوتي</w:t>
      </w:r>
      <w:r w:rsidRPr="00AA537D">
        <w:rPr>
          <w:spacing w:val="0"/>
          <w:kern w:val="0"/>
          <w:rtl/>
          <w:lang w:val="en-CA"/>
        </w:rPr>
        <w:t xml:space="preserve"> </w:t>
      </w:r>
      <w:r w:rsidRPr="00AA537D">
        <w:rPr>
          <w:rFonts w:hint="cs"/>
          <w:spacing w:val="0"/>
          <w:kern w:val="0"/>
          <w:rtl/>
          <w:lang w:val="en-CA"/>
        </w:rPr>
        <w:t>عن هوية</w:t>
      </w:r>
      <w:r w:rsidRPr="00AA537D">
        <w:rPr>
          <w:spacing w:val="0"/>
          <w:kern w:val="0"/>
          <w:rtl/>
          <w:lang w:val="en-CA"/>
        </w:rPr>
        <w:t xml:space="preserve"> الضباط الذين شاركوا في </w:t>
      </w:r>
      <w:r w:rsidRPr="00AA537D">
        <w:rPr>
          <w:rFonts w:hint="cs"/>
          <w:spacing w:val="0"/>
          <w:kern w:val="0"/>
          <w:rtl/>
          <w:lang w:val="en-CA"/>
        </w:rPr>
        <w:t>إلقاء القبض عليه واحتجازه و</w:t>
      </w:r>
      <w:r w:rsidRPr="00AA537D">
        <w:rPr>
          <w:spacing w:val="0"/>
          <w:kern w:val="0"/>
          <w:rtl/>
          <w:lang w:val="en-CA"/>
        </w:rPr>
        <w:t>استجواب</w:t>
      </w:r>
      <w:r w:rsidRPr="00AA537D">
        <w:rPr>
          <w:rFonts w:hint="cs"/>
          <w:spacing w:val="0"/>
          <w:kern w:val="0"/>
          <w:rtl/>
          <w:lang w:val="en-CA"/>
        </w:rPr>
        <w:t>ه</w:t>
      </w:r>
      <w:r w:rsidRPr="00AA537D">
        <w:rPr>
          <w:spacing w:val="0"/>
          <w:kern w:val="0"/>
          <w:rtl/>
          <w:lang w:val="en-CA"/>
        </w:rPr>
        <w:t xml:space="preserve"> بحيث يمكن استدعاؤهم لل</w:t>
      </w:r>
      <w:r w:rsidRPr="00AA537D">
        <w:rPr>
          <w:rFonts w:hint="cs"/>
          <w:spacing w:val="0"/>
          <w:kern w:val="0"/>
          <w:rtl/>
          <w:lang w:val="en-CA"/>
        </w:rPr>
        <w:t>إ</w:t>
      </w:r>
      <w:r w:rsidRPr="00AA537D">
        <w:rPr>
          <w:spacing w:val="0"/>
          <w:kern w:val="0"/>
          <w:rtl/>
          <w:lang w:val="en-CA"/>
        </w:rPr>
        <w:t>دلاء بشهادته</w:t>
      </w:r>
      <w:r w:rsidRPr="00AA537D">
        <w:rPr>
          <w:rFonts w:hint="cs"/>
          <w:spacing w:val="0"/>
          <w:kern w:val="0"/>
          <w:rtl/>
          <w:lang w:val="en-CA"/>
        </w:rPr>
        <w:t>م</w:t>
      </w:r>
      <w:r w:rsidRPr="00AA537D">
        <w:rPr>
          <w:spacing w:val="0"/>
          <w:kern w:val="0"/>
          <w:rtl/>
          <w:lang w:val="en-CA"/>
        </w:rPr>
        <w:t>.</w:t>
      </w:r>
    </w:p>
    <w:p w:rsidR="00FA6676" w:rsidRPr="00AA537D" w:rsidRDefault="00FA6676" w:rsidP="001A08AE">
      <w:pPr>
        <w:pStyle w:val="SingleTxtGA"/>
        <w:jc w:val="lowKashida"/>
        <w:rPr>
          <w:rFonts w:hint="cs"/>
          <w:spacing w:val="0"/>
          <w:kern w:val="0"/>
          <w:rtl/>
          <w:lang w:val="en-CA"/>
        </w:rPr>
      </w:pPr>
      <w:r w:rsidRPr="00AA537D">
        <w:rPr>
          <w:rFonts w:hint="cs"/>
          <w:spacing w:val="0"/>
          <w:kern w:val="0"/>
          <w:rtl/>
          <w:lang w:val="en-CA"/>
        </w:rPr>
        <w:t>2-15</w:t>
      </w:r>
      <w:r w:rsidRPr="00AA537D">
        <w:rPr>
          <w:rFonts w:hint="cs"/>
          <w:spacing w:val="0"/>
          <w:kern w:val="0"/>
          <w:rtl/>
          <w:lang w:val="en-CA"/>
        </w:rPr>
        <w:tab/>
        <w:t>و</w:t>
      </w:r>
      <w:r w:rsidRPr="00AA537D">
        <w:rPr>
          <w:spacing w:val="0"/>
          <w:kern w:val="0"/>
          <w:rtl/>
          <w:lang w:val="en-CA"/>
        </w:rPr>
        <w:t xml:space="preserve">في 23 حزيران/يونيه 2005، أعلنت المحكمة الدستورية </w:t>
      </w:r>
      <w:r w:rsidRPr="00AA537D">
        <w:rPr>
          <w:rFonts w:hint="cs"/>
          <w:spacing w:val="0"/>
          <w:kern w:val="0"/>
          <w:rtl/>
          <w:lang w:val="en-CA"/>
        </w:rPr>
        <w:t>عدم</w:t>
      </w:r>
      <w:r w:rsidRPr="00AA537D">
        <w:rPr>
          <w:spacing w:val="0"/>
          <w:kern w:val="0"/>
          <w:rtl/>
          <w:lang w:val="en-CA"/>
        </w:rPr>
        <w:t xml:space="preserve"> مقبول</w:t>
      </w:r>
      <w:r w:rsidRPr="00AA537D">
        <w:rPr>
          <w:rFonts w:hint="cs"/>
          <w:spacing w:val="0"/>
          <w:kern w:val="0"/>
          <w:rtl/>
          <w:lang w:val="en-CA"/>
        </w:rPr>
        <w:t>ية الطلب</w:t>
      </w:r>
      <w:r w:rsidRPr="00AA537D">
        <w:rPr>
          <w:spacing w:val="0"/>
          <w:kern w:val="0"/>
          <w:rtl/>
          <w:lang w:val="en-CA"/>
        </w:rPr>
        <w:t xml:space="preserve">، </w:t>
      </w:r>
      <w:r w:rsidRPr="00AA537D">
        <w:rPr>
          <w:rFonts w:hint="cs"/>
          <w:spacing w:val="0"/>
          <w:kern w:val="0"/>
          <w:rtl/>
          <w:lang w:val="en-CA"/>
        </w:rPr>
        <w:t>مشيرة</w:t>
      </w:r>
      <w:r w:rsidRPr="00AA537D">
        <w:rPr>
          <w:spacing w:val="0"/>
          <w:kern w:val="0"/>
          <w:rtl/>
          <w:lang w:val="en-CA"/>
        </w:rPr>
        <w:t xml:space="preserve"> إلى أن صاحب الشكوى لم </w:t>
      </w:r>
      <w:r w:rsidRPr="00AA537D">
        <w:rPr>
          <w:rFonts w:hint="cs"/>
          <w:spacing w:val="0"/>
          <w:kern w:val="0"/>
          <w:rtl/>
          <w:lang w:val="en-CA"/>
        </w:rPr>
        <w:t>ي</w:t>
      </w:r>
      <w:r w:rsidRPr="00AA537D">
        <w:rPr>
          <w:spacing w:val="0"/>
          <w:kern w:val="0"/>
          <w:rtl/>
          <w:lang w:val="en-CA"/>
        </w:rPr>
        <w:t xml:space="preserve">متثل لمتطلباتها، </w:t>
      </w:r>
      <w:r w:rsidRPr="00AA537D">
        <w:rPr>
          <w:rFonts w:hint="cs"/>
          <w:spacing w:val="0"/>
          <w:kern w:val="0"/>
          <w:rtl/>
          <w:lang w:val="en-CA"/>
        </w:rPr>
        <w:t>الصادرة</w:t>
      </w:r>
      <w:r w:rsidRPr="00AA537D">
        <w:rPr>
          <w:spacing w:val="0"/>
          <w:kern w:val="0"/>
          <w:rtl/>
          <w:lang w:val="en-CA"/>
        </w:rPr>
        <w:t xml:space="preserve"> في 28 نيسان</w:t>
      </w:r>
      <w:r w:rsidRPr="00AA537D">
        <w:rPr>
          <w:rFonts w:hint="cs"/>
          <w:spacing w:val="0"/>
          <w:kern w:val="0"/>
          <w:rtl/>
          <w:lang w:val="en-CA"/>
        </w:rPr>
        <w:t>/أبريل و</w:t>
      </w:r>
      <w:r w:rsidRPr="00AA537D">
        <w:rPr>
          <w:spacing w:val="0"/>
          <w:kern w:val="0"/>
          <w:rtl/>
          <w:lang w:val="en-CA"/>
        </w:rPr>
        <w:t>3 حزيران/يونيه</w:t>
      </w:r>
      <w:r w:rsidRPr="00AA537D">
        <w:rPr>
          <w:rFonts w:hint="cs"/>
          <w:spacing w:val="0"/>
          <w:kern w:val="0"/>
          <w:rtl/>
          <w:lang w:val="en-CA"/>
        </w:rPr>
        <w:t xml:space="preserve"> </w:t>
      </w:r>
      <w:r w:rsidRPr="00AA537D">
        <w:rPr>
          <w:spacing w:val="0"/>
          <w:kern w:val="0"/>
          <w:rtl/>
          <w:lang w:val="en-CA"/>
        </w:rPr>
        <w:t>و19 تموز</w:t>
      </w:r>
      <w:r w:rsidRPr="00AA537D">
        <w:rPr>
          <w:rFonts w:hint="cs"/>
          <w:spacing w:val="0"/>
          <w:kern w:val="0"/>
          <w:rtl/>
          <w:lang w:val="en-CA"/>
        </w:rPr>
        <w:t>/يوليه</w:t>
      </w:r>
      <w:r w:rsidRPr="00AA537D">
        <w:rPr>
          <w:spacing w:val="0"/>
          <w:kern w:val="0"/>
          <w:rtl/>
          <w:lang w:val="en-CA"/>
        </w:rPr>
        <w:t xml:space="preserve"> 2004، </w:t>
      </w:r>
      <w:r w:rsidRPr="00AA537D">
        <w:rPr>
          <w:rFonts w:hint="cs"/>
          <w:spacing w:val="0"/>
          <w:kern w:val="0"/>
          <w:rtl/>
          <w:lang w:val="en-CA"/>
        </w:rPr>
        <w:t xml:space="preserve">بأن يقوم ممثله </w:t>
      </w:r>
      <w:r w:rsidRPr="00AA537D">
        <w:rPr>
          <w:spacing w:val="0"/>
          <w:kern w:val="0"/>
          <w:rtl/>
          <w:lang w:val="en-CA"/>
        </w:rPr>
        <w:t xml:space="preserve">القانوني </w:t>
      </w:r>
      <w:r w:rsidRPr="00AA537D">
        <w:rPr>
          <w:rFonts w:hint="cs"/>
          <w:spacing w:val="0"/>
          <w:kern w:val="0"/>
          <w:rtl/>
          <w:lang w:val="en-CA"/>
        </w:rPr>
        <w:t>ب</w:t>
      </w:r>
      <w:r w:rsidRPr="00AA537D">
        <w:rPr>
          <w:spacing w:val="0"/>
          <w:kern w:val="0"/>
          <w:rtl/>
          <w:lang w:val="en-CA"/>
        </w:rPr>
        <w:t xml:space="preserve">تقديم أوراق اعتماد </w:t>
      </w:r>
      <w:r w:rsidR="001A08AE">
        <w:rPr>
          <w:rFonts w:hint="cs"/>
          <w:spacing w:val="0"/>
          <w:kern w:val="0"/>
          <w:rtl/>
          <w:lang w:val="en-CA"/>
        </w:rPr>
        <w:t>تثبت</w:t>
      </w:r>
      <w:r w:rsidRPr="00AA537D">
        <w:rPr>
          <w:rFonts w:hint="cs"/>
          <w:spacing w:val="0"/>
          <w:kern w:val="0"/>
          <w:rtl/>
          <w:lang w:val="en-CA"/>
        </w:rPr>
        <w:t xml:space="preserve"> تأهيله </w:t>
      </w:r>
      <w:r w:rsidRPr="00AA537D">
        <w:rPr>
          <w:spacing w:val="0"/>
          <w:kern w:val="0"/>
          <w:rtl/>
          <w:lang w:val="en-CA"/>
        </w:rPr>
        <w:t>لتمثيل صاحب الشكوى في المحكمة، ولكن</w:t>
      </w:r>
      <w:r w:rsidRPr="00AA537D">
        <w:rPr>
          <w:rFonts w:hint="cs"/>
          <w:spacing w:val="0"/>
          <w:kern w:val="0"/>
          <w:rtl/>
          <w:lang w:val="en-CA"/>
        </w:rPr>
        <w:t xml:space="preserve">ه لم يقدم إلا بيانات </w:t>
      </w:r>
      <w:r w:rsidRPr="00AA537D">
        <w:rPr>
          <w:spacing w:val="0"/>
          <w:kern w:val="0"/>
          <w:rtl/>
          <w:lang w:val="en-CA"/>
        </w:rPr>
        <w:t xml:space="preserve">خطية تطلب </w:t>
      </w:r>
      <w:r w:rsidRPr="00AA537D">
        <w:rPr>
          <w:rFonts w:hint="cs"/>
          <w:spacing w:val="0"/>
          <w:kern w:val="0"/>
          <w:rtl/>
          <w:lang w:val="en-CA"/>
        </w:rPr>
        <w:t>التأجيل</w:t>
      </w:r>
      <w:r w:rsidRPr="00AA537D">
        <w:rPr>
          <w:spacing w:val="0"/>
          <w:kern w:val="0"/>
          <w:rtl/>
          <w:lang w:val="en-CA"/>
        </w:rPr>
        <w:t xml:space="preserve">، </w:t>
      </w:r>
      <w:r w:rsidRPr="00AA537D">
        <w:rPr>
          <w:rFonts w:hint="cs"/>
          <w:spacing w:val="0"/>
          <w:kern w:val="0"/>
          <w:rtl/>
          <w:lang w:val="en-CA"/>
        </w:rPr>
        <w:t>ب</w:t>
      </w:r>
      <w:r w:rsidRPr="00AA537D">
        <w:rPr>
          <w:spacing w:val="0"/>
          <w:kern w:val="0"/>
          <w:rtl/>
          <w:lang w:val="en-CA"/>
        </w:rPr>
        <w:t xml:space="preserve">دون تقديم </w:t>
      </w:r>
      <w:r w:rsidRPr="00AA537D">
        <w:rPr>
          <w:rFonts w:hint="cs"/>
          <w:spacing w:val="0"/>
          <w:kern w:val="0"/>
          <w:rtl/>
          <w:lang w:val="en-CA"/>
        </w:rPr>
        <w:t>توضيح مقنع</w:t>
      </w:r>
      <w:r w:rsidRPr="00AA537D">
        <w:rPr>
          <w:spacing w:val="0"/>
          <w:kern w:val="0"/>
          <w:rtl/>
          <w:lang w:val="en-CA"/>
        </w:rPr>
        <w:t xml:space="preserve"> </w:t>
      </w:r>
      <w:r w:rsidRPr="00AA537D">
        <w:rPr>
          <w:rFonts w:hint="cs"/>
          <w:spacing w:val="0"/>
          <w:kern w:val="0"/>
          <w:rtl/>
          <w:lang w:val="en-CA"/>
        </w:rPr>
        <w:t xml:space="preserve">لسبب عدم </w:t>
      </w:r>
      <w:r w:rsidRPr="00AA537D">
        <w:rPr>
          <w:spacing w:val="0"/>
          <w:kern w:val="0"/>
          <w:rtl/>
          <w:lang w:val="en-CA"/>
        </w:rPr>
        <w:t>امتثال</w:t>
      </w:r>
      <w:r w:rsidRPr="00AA537D">
        <w:rPr>
          <w:rFonts w:hint="cs"/>
          <w:spacing w:val="0"/>
          <w:kern w:val="0"/>
          <w:rtl/>
          <w:lang w:val="en-CA"/>
        </w:rPr>
        <w:t>ه</w:t>
      </w:r>
      <w:r w:rsidRPr="00AA537D">
        <w:rPr>
          <w:spacing w:val="0"/>
          <w:kern w:val="0"/>
          <w:rtl/>
          <w:lang w:val="en-CA"/>
        </w:rPr>
        <w:t xml:space="preserve"> لطلب المحكمة.</w:t>
      </w:r>
    </w:p>
    <w:p w:rsidR="00FA6676" w:rsidRPr="00AA537D" w:rsidRDefault="00FA6676" w:rsidP="001A08AE">
      <w:pPr>
        <w:pStyle w:val="SingleTxtGA"/>
        <w:jc w:val="lowKashida"/>
        <w:rPr>
          <w:rFonts w:hint="cs"/>
          <w:spacing w:val="0"/>
          <w:kern w:val="0"/>
          <w:rtl/>
          <w:lang w:val="en-CA"/>
        </w:rPr>
      </w:pPr>
      <w:r w:rsidRPr="00AA537D">
        <w:rPr>
          <w:rFonts w:hint="cs"/>
          <w:spacing w:val="0"/>
          <w:kern w:val="0"/>
          <w:rtl/>
          <w:lang w:val="en-CA"/>
        </w:rPr>
        <w:t>2-16</w:t>
      </w:r>
      <w:r w:rsidRPr="00AA537D">
        <w:rPr>
          <w:rFonts w:hint="cs"/>
          <w:spacing w:val="0"/>
          <w:kern w:val="0"/>
          <w:rtl/>
          <w:lang w:val="en-CA"/>
        </w:rPr>
        <w:tab/>
        <w:t>و</w:t>
      </w:r>
      <w:r w:rsidRPr="00AA537D">
        <w:rPr>
          <w:spacing w:val="0"/>
          <w:kern w:val="0"/>
          <w:rtl/>
          <w:lang w:val="en-CA"/>
        </w:rPr>
        <w:t xml:space="preserve">في </w:t>
      </w:r>
      <w:r w:rsidRPr="00AA537D">
        <w:rPr>
          <w:rFonts w:hint="cs"/>
          <w:spacing w:val="0"/>
          <w:kern w:val="0"/>
          <w:rtl/>
          <w:lang w:val="en-CA"/>
        </w:rPr>
        <w:t>تشرين الثاني/</w:t>
      </w:r>
      <w:r w:rsidRPr="00AA537D">
        <w:rPr>
          <w:spacing w:val="0"/>
          <w:kern w:val="0"/>
          <w:rtl/>
          <w:lang w:val="en-CA"/>
        </w:rPr>
        <w:t xml:space="preserve">نوفمبر 2005، </w:t>
      </w:r>
      <w:r w:rsidRPr="00AA537D">
        <w:rPr>
          <w:rFonts w:hint="cs"/>
          <w:spacing w:val="0"/>
          <w:kern w:val="0"/>
          <w:rtl/>
          <w:lang w:val="en-CA"/>
        </w:rPr>
        <w:t>مثل</w:t>
      </w:r>
      <w:r w:rsidRPr="00AA537D">
        <w:rPr>
          <w:spacing w:val="0"/>
          <w:kern w:val="0"/>
          <w:rtl/>
          <w:lang w:val="en-CA"/>
        </w:rPr>
        <w:t xml:space="preserve"> صاحب الشكوى </w:t>
      </w:r>
      <w:r w:rsidRPr="00AA537D">
        <w:rPr>
          <w:rFonts w:hint="cs"/>
          <w:spacing w:val="0"/>
          <w:kern w:val="0"/>
          <w:rtl/>
          <w:lang w:val="en-CA"/>
        </w:rPr>
        <w:t>أمام</w:t>
      </w:r>
      <w:r w:rsidRPr="00AA537D">
        <w:rPr>
          <w:spacing w:val="0"/>
          <w:kern w:val="0"/>
          <w:rtl/>
          <w:lang w:val="en-CA"/>
        </w:rPr>
        <w:t xml:space="preserve"> المحكمة العليا الوطنية </w:t>
      </w:r>
      <w:r w:rsidRPr="00AA537D">
        <w:rPr>
          <w:rFonts w:hint="cs"/>
          <w:spacing w:val="0"/>
          <w:kern w:val="0"/>
          <w:rtl/>
          <w:lang w:val="en-CA"/>
        </w:rPr>
        <w:t>لتوجيه</w:t>
      </w:r>
      <w:r w:rsidRPr="00AA537D">
        <w:rPr>
          <w:spacing w:val="0"/>
          <w:kern w:val="0"/>
          <w:rtl/>
          <w:lang w:val="en-CA"/>
        </w:rPr>
        <w:t xml:space="preserve"> اتهامات جنائية </w:t>
      </w:r>
      <w:r w:rsidRPr="00AA537D">
        <w:rPr>
          <w:rFonts w:hint="cs"/>
          <w:spacing w:val="0"/>
          <w:kern w:val="0"/>
          <w:rtl/>
          <w:lang w:val="en-CA"/>
        </w:rPr>
        <w:t>إليه ك</w:t>
      </w:r>
      <w:r w:rsidRPr="00AA537D">
        <w:rPr>
          <w:spacing w:val="0"/>
          <w:kern w:val="0"/>
          <w:rtl/>
          <w:lang w:val="en-CA"/>
        </w:rPr>
        <w:t xml:space="preserve">شريك </w:t>
      </w:r>
      <w:r w:rsidRPr="00AA537D">
        <w:rPr>
          <w:rFonts w:hint="cs"/>
          <w:spacing w:val="0"/>
          <w:kern w:val="0"/>
          <w:rtl/>
          <w:lang w:val="en-CA"/>
        </w:rPr>
        <w:t xml:space="preserve">في </w:t>
      </w:r>
      <w:r w:rsidRPr="00AA537D">
        <w:rPr>
          <w:spacing w:val="0"/>
          <w:kern w:val="0"/>
          <w:rtl/>
          <w:lang w:val="en-CA"/>
        </w:rPr>
        <w:t>جريمة قتل نفذ</w:t>
      </w:r>
      <w:r w:rsidRPr="00AA537D">
        <w:rPr>
          <w:rFonts w:hint="cs"/>
          <w:spacing w:val="0"/>
          <w:kern w:val="0"/>
          <w:rtl/>
          <w:lang w:val="en-CA"/>
        </w:rPr>
        <w:t>ها إرهابيون</w:t>
      </w:r>
      <w:r w:rsidRPr="00AA537D">
        <w:rPr>
          <w:spacing w:val="0"/>
          <w:kern w:val="0"/>
          <w:rtl/>
          <w:lang w:val="en-CA"/>
        </w:rPr>
        <w:t xml:space="preserve">. </w:t>
      </w:r>
      <w:r w:rsidRPr="00AA537D">
        <w:rPr>
          <w:rFonts w:hint="cs"/>
          <w:spacing w:val="0"/>
          <w:kern w:val="0"/>
          <w:rtl/>
          <w:lang w:val="en-CA"/>
        </w:rPr>
        <w:t xml:space="preserve">وسحب صاحب </w:t>
      </w:r>
      <w:r w:rsidRPr="00AA537D">
        <w:rPr>
          <w:spacing w:val="0"/>
          <w:kern w:val="0"/>
          <w:rtl/>
          <w:lang w:val="en-CA"/>
        </w:rPr>
        <w:t xml:space="preserve">الشكوى </w:t>
      </w:r>
      <w:r w:rsidRPr="00AA537D">
        <w:rPr>
          <w:rFonts w:hint="cs"/>
          <w:spacing w:val="0"/>
          <w:kern w:val="0"/>
          <w:rtl/>
          <w:lang w:val="en-CA"/>
        </w:rPr>
        <w:t xml:space="preserve">الأقوال التي سبق أن أدلى بها </w:t>
      </w:r>
      <w:r w:rsidRPr="00AA537D">
        <w:rPr>
          <w:spacing w:val="0"/>
          <w:kern w:val="0"/>
          <w:rtl/>
          <w:lang w:val="en-CA"/>
        </w:rPr>
        <w:t>إلى الشرطة وادعى أنه</w:t>
      </w:r>
      <w:r w:rsidRPr="00AA537D">
        <w:rPr>
          <w:rFonts w:hint="cs"/>
          <w:spacing w:val="0"/>
          <w:kern w:val="0"/>
          <w:rtl/>
          <w:lang w:val="en-CA"/>
        </w:rPr>
        <w:t>ا انتزعت منه</w:t>
      </w:r>
      <w:r w:rsidRPr="00AA537D">
        <w:rPr>
          <w:spacing w:val="0"/>
          <w:kern w:val="0"/>
          <w:rtl/>
          <w:lang w:val="en-CA"/>
        </w:rPr>
        <w:t xml:space="preserve"> نتيجة لتهديدات نفسية و</w:t>
      </w:r>
      <w:r w:rsidRPr="00AA537D">
        <w:rPr>
          <w:rFonts w:hint="cs"/>
          <w:spacing w:val="0"/>
          <w:kern w:val="0"/>
          <w:rtl/>
          <w:lang w:val="en-CA"/>
        </w:rPr>
        <w:t>ال</w:t>
      </w:r>
      <w:r w:rsidRPr="00AA537D">
        <w:rPr>
          <w:spacing w:val="0"/>
          <w:kern w:val="0"/>
          <w:rtl/>
          <w:lang w:val="en-CA"/>
        </w:rPr>
        <w:t xml:space="preserve">ضغط </w:t>
      </w:r>
      <w:r w:rsidRPr="00AA537D">
        <w:rPr>
          <w:rFonts w:hint="cs"/>
          <w:spacing w:val="0"/>
          <w:kern w:val="0"/>
          <w:rtl/>
          <w:lang w:val="en-CA"/>
        </w:rPr>
        <w:t>والإيذاء البدني</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ادعى أنه</w:t>
      </w:r>
      <w:r w:rsidRPr="00AA537D">
        <w:rPr>
          <w:rFonts w:hint="cs"/>
          <w:spacing w:val="0"/>
          <w:kern w:val="0"/>
          <w:rtl/>
          <w:lang w:val="en-CA"/>
        </w:rPr>
        <w:t xml:space="preserve"> كان يتعرض، كلما امتنع عن قول</w:t>
      </w:r>
      <w:r w:rsidRPr="00AA537D">
        <w:rPr>
          <w:spacing w:val="0"/>
          <w:kern w:val="0"/>
          <w:rtl/>
          <w:lang w:val="en-CA"/>
        </w:rPr>
        <w:t xml:space="preserve"> ما يريد</w:t>
      </w:r>
      <w:r w:rsidRPr="00AA537D">
        <w:rPr>
          <w:rFonts w:hint="cs"/>
          <w:spacing w:val="0"/>
          <w:kern w:val="0"/>
          <w:rtl/>
          <w:lang w:val="en-CA"/>
        </w:rPr>
        <w:t>ه</w:t>
      </w:r>
      <w:r w:rsidRPr="00AA537D">
        <w:rPr>
          <w:spacing w:val="0"/>
          <w:kern w:val="0"/>
          <w:rtl/>
          <w:lang w:val="en-CA"/>
        </w:rPr>
        <w:t xml:space="preserve"> </w:t>
      </w:r>
      <w:r w:rsidRPr="00AA537D">
        <w:rPr>
          <w:rFonts w:hint="cs"/>
          <w:spacing w:val="0"/>
          <w:kern w:val="0"/>
          <w:rtl/>
          <w:lang w:val="en-CA"/>
        </w:rPr>
        <w:t>أفراد</w:t>
      </w:r>
      <w:r w:rsidRPr="00AA537D">
        <w:rPr>
          <w:spacing w:val="0"/>
          <w:kern w:val="0"/>
          <w:rtl/>
          <w:lang w:val="en-CA"/>
        </w:rPr>
        <w:t xml:space="preserve"> الشرطة، للضرب والوقوف في أوضاع غير مريحة، على الرغم من أن</w:t>
      </w:r>
      <w:r w:rsidRPr="00AA537D">
        <w:rPr>
          <w:rFonts w:hint="cs"/>
          <w:spacing w:val="0"/>
          <w:kern w:val="0"/>
          <w:rtl/>
          <w:lang w:val="en-CA"/>
        </w:rPr>
        <w:t xml:space="preserve"> هذه الأفعال </w:t>
      </w:r>
      <w:r w:rsidRPr="00AA537D">
        <w:rPr>
          <w:spacing w:val="0"/>
          <w:kern w:val="0"/>
          <w:rtl/>
          <w:lang w:val="en-CA"/>
        </w:rPr>
        <w:t xml:space="preserve">لم تترك أي علامات على جسده. </w:t>
      </w:r>
      <w:r w:rsidRPr="00AA537D">
        <w:rPr>
          <w:rFonts w:hint="cs"/>
          <w:spacing w:val="0"/>
          <w:kern w:val="0"/>
          <w:rtl/>
          <w:lang w:val="en-CA"/>
        </w:rPr>
        <w:t xml:space="preserve">وأضاف أن ضباط الشرطة </w:t>
      </w:r>
      <w:r w:rsidRPr="00AA537D">
        <w:rPr>
          <w:spacing w:val="0"/>
          <w:kern w:val="0"/>
          <w:rtl/>
          <w:lang w:val="en-CA"/>
        </w:rPr>
        <w:t>هددو</w:t>
      </w:r>
      <w:r w:rsidRPr="00AA537D">
        <w:rPr>
          <w:rFonts w:hint="cs"/>
          <w:spacing w:val="0"/>
          <w:kern w:val="0"/>
          <w:rtl/>
          <w:lang w:val="en-CA"/>
        </w:rPr>
        <w:t>ه</w:t>
      </w:r>
      <w:r w:rsidRPr="00AA537D">
        <w:rPr>
          <w:spacing w:val="0"/>
          <w:kern w:val="0"/>
          <w:rtl/>
          <w:lang w:val="en-CA"/>
        </w:rPr>
        <w:t xml:space="preserve"> </w:t>
      </w:r>
      <w:r w:rsidRPr="00AA537D">
        <w:rPr>
          <w:rFonts w:hint="cs"/>
          <w:spacing w:val="0"/>
          <w:kern w:val="0"/>
          <w:rtl/>
          <w:lang w:val="en-CA"/>
        </w:rPr>
        <w:t>بإلقاء القبض على</w:t>
      </w:r>
      <w:r w:rsidRPr="00AA537D">
        <w:rPr>
          <w:spacing w:val="0"/>
          <w:kern w:val="0"/>
          <w:rtl/>
          <w:lang w:val="en-CA"/>
        </w:rPr>
        <w:t xml:space="preserve"> والدته وشقيقه</w:t>
      </w:r>
      <w:r w:rsidRPr="00AA537D">
        <w:rPr>
          <w:rFonts w:hint="cs"/>
          <w:spacing w:val="0"/>
          <w:kern w:val="0"/>
          <w:rtl/>
          <w:lang w:val="en-CA"/>
        </w:rPr>
        <w:t xml:space="preserve"> ولم يسمح له في </w:t>
      </w:r>
      <w:r w:rsidRPr="00AA537D">
        <w:rPr>
          <w:spacing w:val="0"/>
          <w:kern w:val="0"/>
          <w:rtl/>
          <w:lang w:val="en-CA"/>
        </w:rPr>
        <w:t xml:space="preserve">أي مناسبة </w:t>
      </w:r>
      <w:r w:rsidRPr="00AA537D">
        <w:rPr>
          <w:rFonts w:hint="cs"/>
          <w:spacing w:val="0"/>
          <w:kern w:val="0"/>
          <w:rtl/>
          <w:lang w:val="en-CA"/>
        </w:rPr>
        <w:t>بالاتصال ب</w:t>
      </w:r>
      <w:r w:rsidRPr="00AA537D">
        <w:rPr>
          <w:spacing w:val="0"/>
          <w:kern w:val="0"/>
          <w:rtl/>
          <w:lang w:val="en-CA"/>
        </w:rPr>
        <w:t xml:space="preserve">محام. وقال صاحب الشكوى </w:t>
      </w:r>
      <w:r w:rsidRPr="00AA537D">
        <w:rPr>
          <w:rFonts w:hint="cs"/>
          <w:spacing w:val="0"/>
          <w:kern w:val="0"/>
          <w:rtl/>
          <w:lang w:val="en-CA"/>
        </w:rPr>
        <w:t xml:space="preserve">إنه كان يدلي بأي أقوال يريدها </w:t>
      </w:r>
      <w:r w:rsidRPr="00AA537D">
        <w:rPr>
          <w:spacing w:val="0"/>
          <w:kern w:val="0"/>
          <w:rtl/>
          <w:lang w:val="en-CA"/>
        </w:rPr>
        <w:t xml:space="preserve">ضباط الشرطة عندما </w:t>
      </w:r>
      <w:r w:rsidRPr="00AA537D">
        <w:rPr>
          <w:rFonts w:hint="cs"/>
          <w:spacing w:val="0"/>
          <w:kern w:val="0"/>
          <w:rtl/>
          <w:lang w:val="en-CA"/>
        </w:rPr>
        <w:t>لم يعد يستطيع</w:t>
      </w:r>
      <w:r w:rsidRPr="00AA537D">
        <w:rPr>
          <w:spacing w:val="0"/>
          <w:kern w:val="0"/>
          <w:rtl/>
          <w:lang w:val="en-CA"/>
        </w:rPr>
        <w:t xml:space="preserve"> تحمل المزيد، ولكن حتى </w:t>
      </w:r>
      <w:r w:rsidRPr="00AA537D">
        <w:rPr>
          <w:rFonts w:hint="cs"/>
          <w:spacing w:val="0"/>
          <w:kern w:val="0"/>
          <w:rtl/>
          <w:lang w:val="en-CA"/>
        </w:rPr>
        <w:t>في هذه الحالة كانت</w:t>
      </w:r>
      <w:r w:rsidRPr="00AA537D">
        <w:rPr>
          <w:spacing w:val="0"/>
          <w:kern w:val="0"/>
          <w:rtl/>
          <w:lang w:val="en-CA"/>
        </w:rPr>
        <w:t xml:space="preserve"> سوء المعاملة والتهديدات</w:t>
      </w:r>
      <w:r w:rsidRPr="00AA537D">
        <w:rPr>
          <w:rFonts w:hint="cs"/>
          <w:spacing w:val="0"/>
          <w:kern w:val="0"/>
          <w:rtl/>
          <w:lang w:val="en-CA"/>
        </w:rPr>
        <w:t xml:space="preserve"> مستمرة</w:t>
      </w:r>
      <w:r w:rsidRPr="00AA537D">
        <w:rPr>
          <w:spacing w:val="0"/>
          <w:kern w:val="0"/>
          <w:rtl/>
          <w:lang w:val="en-CA"/>
        </w:rPr>
        <w:t xml:space="preserve">. وعلاوة على ذلك، </w:t>
      </w:r>
      <w:r w:rsidRPr="00AA537D">
        <w:rPr>
          <w:rFonts w:hint="cs"/>
          <w:spacing w:val="0"/>
          <w:kern w:val="0"/>
          <w:rtl/>
          <w:lang w:val="en-CA"/>
        </w:rPr>
        <w:t>فإن ال</w:t>
      </w:r>
      <w:r w:rsidRPr="00AA537D">
        <w:rPr>
          <w:spacing w:val="0"/>
          <w:kern w:val="0"/>
          <w:rtl/>
          <w:lang w:val="en-CA"/>
        </w:rPr>
        <w:t xml:space="preserve">وثائق </w:t>
      </w:r>
      <w:r w:rsidRPr="00AA537D">
        <w:rPr>
          <w:rFonts w:hint="cs"/>
          <w:spacing w:val="0"/>
          <w:kern w:val="0"/>
          <w:rtl/>
          <w:lang w:val="en-CA"/>
        </w:rPr>
        <w:t xml:space="preserve">التي </w:t>
      </w:r>
      <w:r w:rsidRPr="00AA537D">
        <w:rPr>
          <w:spacing w:val="0"/>
          <w:kern w:val="0"/>
          <w:rtl/>
          <w:lang w:val="en-CA"/>
        </w:rPr>
        <w:t xml:space="preserve">تتعلق </w:t>
      </w:r>
      <w:r w:rsidRPr="00AA537D">
        <w:rPr>
          <w:rFonts w:hint="cs"/>
          <w:spacing w:val="0"/>
          <w:kern w:val="0"/>
          <w:rtl/>
          <w:lang w:val="en-CA"/>
        </w:rPr>
        <w:t xml:space="preserve">بالأقوال التي أدلى بها </w:t>
      </w:r>
      <w:r w:rsidRPr="00AA537D">
        <w:rPr>
          <w:spacing w:val="0"/>
          <w:kern w:val="0"/>
          <w:rtl/>
          <w:lang w:val="en-CA"/>
        </w:rPr>
        <w:t xml:space="preserve">للشرطة </w:t>
      </w:r>
      <w:r w:rsidRPr="00AA537D">
        <w:rPr>
          <w:rFonts w:hint="cs"/>
          <w:spacing w:val="0"/>
          <w:kern w:val="0"/>
          <w:rtl/>
          <w:lang w:val="en-CA"/>
        </w:rPr>
        <w:t xml:space="preserve">تتضمن </w:t>
      </w:r>
      <w:r w:rsidRPr="00AA537D">
        <w:rPr>
          <w:spacing w:val="0"/>
          <w:kern w:val="0"/>
          <w:rtl/>
          <w:lang w:val="en-CA"/>
        </w:rPr>
        <w:t xml:space="preserve">تأكيدات </w:t>
      </w:r>
      <w:r w:rsidRPr="00AA537D">
        <w:rPr>
          <w:rFonts w:hint="cs"/>
          <w:spacing w:val="0"/>
          <w:kern w:val="0"/>
          <w:rtl/>
          <w:lang w:val="en-CA"/>
        </w:rPr>
        <w:t>لم يُدل بها</w:t>
      </w:r>
      <w:r w:rsidRPr="00AA537D">
        <w:rPr>
          <w:spacing w:val="0"/>
          <w:kern w:val="0"/>
          <w:rtl/>
          <w:lang w:val="en-CA"/>
        </w:rPr>
        <w:t xml:space="preserve">. وشكك </w:t>
      </w:r>
      <w:r w:rsidRPr="00AA537D">
        <w:rPr>
          <w:rFonts w:hint="cs"/>
          <w:spacing w:val="0"/>
          <w:kern w:val="0"/>
          <w:rtl/>
          <w:lang w:val="en-CA"/>
        </w:rPr>
        <w:t xml:space="preserve">صاحب الشكوى </w:t>
      </w:r>
      <w:r w:rsidRPr="00AA537D">
        <w:rPr>
          <w:spacing w:val="0"/>
          <w:kern w:val="0"/>
          <w:rtl/>
          <w:lang w:val="en-CA"/>
        </w:rPr>
        <w:t xml:space="preserve">في مصداقية </w:t>
      </w:r>
      <w:r w:rsidRPr="00AA537D">
        <w:rPr>
          <w:rFonts w:hint="cs"/>
          <w:spacing w:val="0"/>
          <w:kern w:val="0"/>
          <w:rtl/>
          <w:lang w:val="en-CA"/>
        </w:rPr>
        <w:t>أقوال</w:t>
      </w:r>
      <w:r w:rsidRPr="00AA537D">
        <w:rPr>
          <w:spacing w:val="0"/>
          <w:kern w:val="0"/>
          <w:rtl/>
          <w:lang w:val="en-CA"/>
        </w:rPr>
        <w:t xml:space="preserve"> ضباط الشرطة الذين استجوبوه في مركز الشرطة والذي</w:t>
      </w:r>
      <w:r w:rsidRPr="00AA537D">
        <w:rPr>
          <w:rFonts w:hint="cs"/>
          <w:spacing w:val="0"/>
          <w:kern w:val="0"/>
          <w:rtl/>
          <w:lang w:val="en-CA"/>
        </w:rPr>
        <w:t>ن</w:t>
      </w:r>
      <w:r w:rsidRPr="00AA537D">
        <w:rPr>
          <w:spacing w:val="0"/>
          <w:kern w:val="0"/>
          <w:rtl/>
          <w:lang w:val="en-CA"/>
        </w:rPr>
        <w:t xml:space="preserve"> نف</w:t>
      </w:r>
      <w:r w:rsidRPr="00AA537D">
        <w:rPr>
          <w:rFonts w:hint="cs"/>
          <w:spacing w:val="0"/>
          <w:kern w:val="0"/>
          <w:rtl/>
          <w:lang w:val="en-CA"/>
        </w:rPr>
        <w:t>وا</w:t>
      </w:r>
      <w:r w:rsidRPr="00AA537D">
        <w:rPr>
          <w:spacing w:val="0"/>
          <w:kern w:val="0"/>
          <w:rtl/>
          <w:lang w:val="en-CA"/>
        </w:rPr>
        <w:t xml:space="preserve"> ارتكابهم </w:t>
      </w:r>
      <w:r w:rsidRPr="00AA537D">
        <w:rPr>
          <w:rFonts w:hint="cs"/>
          <w:spacing w:val="0"/>
          <w:kern w:val="0"/>
          <w:rtl/>
          <w:lang w:val="en-CA"/>
        </w:rPr>
        <w:t>لأفعال</w:t>
      </w:r>
      <w:r w:rsidRPr="00AA537D">
        <w:rPr>
          <w:spacing w:val="0"/>
          <w:kern w:val="0"/>
          <w:rtl/>
          <w:lang w:val="en-CA"/>
        </w:rPr>
        <w:t xml:space="preserve"> تعذيب، نظراً لأنه</w:t>
      </w:r>
      <w:r w:rsidRPr="00AA537D">
        <w:rPr>
          <w:rFonts w:hint="cs"/>
          <w:spacing w:val="0"/>
          <w:kern w:val="0"/>
          <w:rtl/>
          <w:lang w:val="en-CA"/>
        </w:rPr>
        <w:t>م</w:t>
      </w:r>
      <w:r w:rsidRPr="00AA537D">
        <w:rPr>
          <w:spacing w:val="0"/>
          <w:kern w:val="0"/>
          <w:rtl/>
          <w:lang w:val="en-CA"/>
        </w:rPr>
        <w:t xml:space="preserve"> شارك</w:t>
      </w:r>
      <w:r w:rsidRPr="00AA537D">
        <w:rPr>
          <w:rFonts w:hint="cs"/>
          <w:spacing w:val="0"/>
          <w:kern w:val="0"/>
          <w:rtl/>
          <w:lang w:val="en-CA"/>
        </w:rPr>
        <w:t>وا</w:t>
      </w:r>
      <w:r w:rsidRPr="00AA537D">
        <w:rPr>
          <w:spacing w:val="0"/>
          <w:kern w:val="0"/>
          <w:rtl/>
          <w:lang w:val="en-CA"/>
        </w:rPr>
        <w:t xml:space="preserve"> في إجراءات المحاكمة تحت أرقام بطاقات هوية </w:t>
      </w:r>
      <w:r w:rsidRPr="00AA537D">
        <w:rPr>
          <w:rFonts w:hint="cs"/>
          <w:spacing w:val="0"/>
          <w:kern w:val="0"/>
          <w:rtl/>
          <w:lang w:val="en-CA"/>
        </w:rPr>
        <w:t>غير صحيحة</w:t>
      </w:r>
      <w:r w:rsidRPr="00AA537D">
        <w:rPr>
          <w:spacing w:val="0"/>
          <w:kern w:val="0"/>
          <w:rtl/>
          <w:lang w:val="en-CA"/>
        </w:rPr>
        <w:t xml:space="preserve"> لا تتفق مع </w:t>
      </w:r>
      <w:r w:rsidRPr="00AA537D">
        <w:rPr>
          <w:rFonts w:hint="cs"/>
          <w:spacing w:val="0"/>
          <w:kern w:val="0"/>
          <w:rtl/>
          <w:lang w:val="en-CA"/>
        </w:rPr>
        <w:t>أرقام شاراتهم ا</w:t>
      </w:r>
      <w:r w:rsidRPr="00AA537D">
        <w:rPr>
          <w:spacing w:val="0"/>
          <w:kern w:val="0"/>
          <w:rtl/>
          <w:lang w:val="en-CA"/>
        </w:rPr>
        <w:t>لمهنية، وبالتالي حالت دون التعرف عل</w:t>
      </w:r>
      <w:r w:rsidRPr="00AA537D">
        <w:rPr>
          <w:rFonts w:hint="cs"/>
          <w:spacing w:val="0"/>
          <w:kern w:val="0"/>
          <w:rtl/>
          <w:lang w:val="en-CA"/>
        </w:rPr>
        <w:t>ى هويتهم كش</w:t>
      </w:r>
      <w:r w:rsidRPr="00AA537D">
        <w:rPr>
          <w:spacing w:val="0"/>
          <w:kern w:val="0"/>
          <w:rtl/>
          <w:lang w:val="en-CA"/>
        </w:rPr>
        <w:t xml:space="preserve">هود. </w:t>
      </w:r>
      <w:r w:rsidRPr="00AA537D">
        <w:rPr>
          <w:rFonts w:hint="cs"/>
          <w:spacing w:val="0"/>
          <w:kern w:val="0"/>
          <w:rtl/>
          <w:lang w:val="en-CA"/>
        </w:rPr>
        <w:t>و</w:t>
      </w:r>
      <w:r w:rsidRPr="00AA537D">
        <w:rPr>
          <w:spacing w:val="0"/>
          <w:kern w:val="0"/>
          <w:rtl/>
          <w:lang w:val="en-CA"/>
        </w:rPr>
        <w:t xml:space="preserve">هذا التدبير </w:t>
      </w:r>
      <w:r w:rsidRPr="00AA537D">
        <w:rPr>
          <w:rFonts w:hint="cs"/>
          <w:spacing w:val="0"/>
          <w:kern w:val="0"/>
          <w:rtl/>
          <w:lang w:val="en-CA"/>
        </w:rPr>
        <w:t>لا</w:t>
      </w:r>
      <w:r w:rsidR="001A08AE">
        <w:rPr>
          <w:rFonts w:hint="cs"/>
          <w:spacing w:val="0"/>
          <w:kern w:val="0"/>
          <w:rtl/>
          <w:lang w:val="en-CA"/>
        </w:rPr>
        <w:t> </w:t>
      </w:r>
      <w:r w:rsidRPr="00AA537D">
        <w:rPr>
          <w:spacing w:val="0"/>
          <w:kern w:val="0"/>
          <w:rtl/>
          <w:lang w:val="en-CA"/>
        </w:rPr>
        <w:t xml:space="preserve">يمتثل </w:t>
      </w:r>
      <w:r w:rsidRPr="00AA537D">
        <w:rPr>
          <w:rFonts w:hint="cs"/>
          <w:spacing w:val="0"/>
          <w:kern w:val="0"/>
          <w:rtl/>
          <w:lang w:val="en-CA"/>
        </w:rPr>
        <w:t>ل</w:t>
      </w:r>
      <w:r w:rsidRPr="00AA537D">
        <w:rPr>
          <w:spacing w:val="0"/>
          <w:kern w:val="0"/>
          <w:rtl/>
          <w:lang w:val="en-CA"/>
        </w:rPr>
        <w:t>لوائح حماية الشهود، والتي يفترض أن</w:t>
      </w:r>
      <w:r w:rsidRPr="00AA537D">
        <w:rPr>
          <w:rFonts w:hint="cs"/>
          <w:spacing w:val="0"/>
          <w:kern w:val="0"/>
          <w:rtl/>
          <w:lang w:val="en-CA"/>
        </w:rPr>
        <w:t xml:space="preserve"> يتأكد بموجبها</w:t>
      </w:r>
      <w:r w:rsidRPr="00AA537D">
        <w:rPr>
          <w:spacing w:val="0"/>
          <w:kern w:val="0"/>
          <w:rtl/>
          <w:lang w:val="en-CA"/>
        </w:rPr>
        <w:t xml:space="preserve"> كاتب المحكمة </w:t>
      </w:r>
      <w:r w:rsidRPr="00AA537D">
        <w:rPr>
          <w:rFonts w:hint="cs"/>
          <w:spacing w:val="0"/>
          <w:kern w:val="0"/>
          <w:rtl/>
          <w:lang w:val="en-CA"/>
        </w:rPr>
        <w:t xml:space="preserve">من </w:t>
      </w:r>
      <w:r w:rsidRPr="00AA537D">
        <w:rPr>
          <w:spacing w:val="0"/>
          <w:kern w:val="0"/>
          <w:rtl/>
          <w:lang w:val="en-CA"/>
        </w:rPr>
        <w:t xml:space="preserve">العلاقة بين أرقام بطاقات الهوية الحقيقية والزائفة. </w:t>
      </w:r>
      <w:r w:rsidRPr="00AA537D">
        <w:rPr>
          <w:rFonts w:hint="cs"/>
          <w:spacing w:val="0"/>
          <w:kern w:val="0"/>
          <w:rtl/>
          <w:lang w:val="en-CA"/>
        </w:rPr>
        <w:t xml:space="preserve">ويشير </w:t>
      </w:r>
      <w:r w:rsidRPr="00AA537D">
        <w:rPr>
          <w:spacing w:val="0"/>
          <w:kern w:val="0"/>
          <w:rtl/>
          <w:lang w:val="en-CA"/>
        </w:rPr>
        <w:t xml:space="preserve">صاحب الشكوى إلى أن تقرير 21 </w:t>
      </w:r>
      <w:r w:rsidRPr="00AA537D">
        <w:rPr>
          <w:rFonts w:hint="cs"/>
          <w:spacing w:val="0"/>
          <w:kern w:val="0"/>
          <w:rtl/>
          <w:lang w:val="en-CA"/>
        </w:rPr>
        <w:t>كانون الثاني/</w:t>
      </w:r>
      <w:r w:rsidRPr="00AA537D">
        <w:rPr>
          <w:spacing w:val="0"/>
          <w:kern w:val="0"/>
          <w:rtl/>
          <w:lang w:val="en-CA"/>
        </w:rPr>
        <w:t xml:space="preserve">يناير 2005 </w:t>
      </w:r>
      <w:r w:rsidRPr="00AA537D">
        <w:rPr>
          <w:rFonts w:hint="cs"/>
          <w:spacing w:val="0"/>
          <w:kern w:val="0"/>
          <w:rtl/>
          <w:lang w:val="en-CA"/>
        </w:rPr>
        <w:t>الذي أعدته</w:t>
      </w:r>
      <w:r w:rsidRPr="00AA537D">
        <w:rPr>
          <w:spacing w:val="0"/>
          <w:kern w:val="0"/>
          <w:rtl/>
          <w:lang w:val="en-CA"/>
        </w:rPr>
        <w:t xml:space="preserve"> وحدة المعلومات والتحليل التابعة لقوات شرطة الباسك، </w:t>
      </w:r>
      <w:r w:rsidRPr="00AA537D">
        <w:rPr>
          <w:rFonts w:hint="cs"/>
          <w:spacing w:val="0"/>
          <w:kern w:val="0"/>
          <w:rtl/>
          <w:lang w:val="en-CA"/>
        </w:rPr>
        <w:t>و</w:t>
      </w:r>
      <w:r w:rsidRPr="00AA537D">
        <w:rPr>
          <w:spacing w:val="0"/>
          <w:kern w:val="0"/>
          <w:rtl/>
          <w:lang w:val="en-CA"/>
        </w:rPr>
        <w:t xml:space="preserve">قدمته </w:t>
      </w:r>
      <w:r w:rsidRPr="00AA537D">
        <w:rPr>
          <w:rFonts w:hint="cs"/>
          <w:spacing w:val="0"/>
          <w:kern w:val="0"/>
          <w:rtl/>
          <w:lang w:val="en-CA"/>
        </w:rPr>
        <w:t xml:space="preserve">دائرة </w:t>
      </w:r>
      <w:r w:rsidRPr="00AA537D">
        <w:rPr>
          <w:spacing w:val="0"/>
          <w:kern w:val="0"/>
          <w:rtl/>
          <w:lang w:val="en-CA"/>
        </w:rPr>
        <w:t xml:space="preserve">النيابة العامة، </w:t>
      </w:r>
      <w:r w:rsidRPr="00AA537D">
        <w:rPr>
          <w:rFonts w:hint="cs"/>
          <w:spacing w:val="0"/>
          <w:kern w:val="0"/>
          <w:rtl/>
          <w:lang w:val="en-CA"/>
        </w:rPr>
        <w:t xml:space="preserve">يربط </w:t>
      </w:r>
      <w:r w:rsidRPr="00AA537D">
        <w:rPr>
          <w:spacing w:val="0"/>
          <w:kern w:val="0"/>
          <w:rtl/>
          <w:lang w:val="en-CA"/>
        </w:rPr>
        <w:t xml:space="preserve">جمع المعلومات </w:t>
      </w:r>
      <w:r w:rsidRPr="00AA537D">
        <w:rPr>
          <w:rFonts w:hint="cs"/>
          <w:spacing w:val="0"/>
          <w:kern w:val="0"/>
          <w:rtl/>
          <w:lang w:val="en-CA"/>
        </w:rPr>
        <w:t>ب</w:t>
      </w:r>
      <w:r w:rsidRPr="00AA537D">
        <w:rPr>
          <w:spacing w:val="0"/>
          <w:kern w:val="0"/>
          <w:rtl/>
          <w:lang w:val="en-CA"/>
        </w:rPr>
        <w:t xml:space="preserve">اغتيال السيد </w:t>
      </w:r>
      <w:r w:rsidRPr="00AA537D">
        <w:rPr>
          <w:rFonts w:hint="cs"/>
          <w:spacing w:val="0"/>
          <w:kern w:val="0"/>
          <w:rtl/>
          <w:lang w:val="en-CA"/>
        </w:rPr>
        <w:t>ليدون كوربي</w:t>
      </w:r>
      <w:r w:rsidRPr="00AA537D">
        <w:rPr>
          <w:spacing w:val="0"/>
          <w:kern w:val="0"/>
          <w:rtl/>
          <w:lang w:val="en-CA"/>
        </w:rPr>
        <w:t xml:space="preserve">، على الرغم من أن </w:t>
      </w:r>
      <w:r w:rsidRPr="00AA537D">
        <w:rPr>
          <w:rFonts w:hint="cs"/>
          <w:spacing w:val="0"/>
          <w:kern w:val="0"/>
          <w:rtl/>
          <w:lang w:val="en-CA"/>
        </w:rPr>
        <w:t>عضو</w:t>
      </w:r>
      <w:r w:rsidRPr="00AA537D">
        <w:rPr>
          <w:spacing w:val="0"/>
          <w:kern w:val="0"/>
          <w:rtl/>
          <w:lang w:val="en-CA"/>
        </w:rPr>
        <w:t xml:space="preserve"> منظمة </w:t>
      </w:r>
      <w:r w:rsidRPr="00AA537D">
        <w:rPr>
          <w:rFonts w:hint="cs"/>
          <w:spacing w:val="0"/>
          <w:kern w:val="0"/>
          <w:rtl/>
          <w:lang w:val="en-CA"/>
        </w:rPr>
        <w:t>إ</w:t>
      </w:r>
      <w:r w:rsidRPr="00AA537D">
        <w:rPr>
          <w:spacing w:val="0"/>
          <w:kern w:val="0"/>
          <w:rtl/>
          <w:lang w:val="en-CA"/>
        </w:rPr>
        <w:t>يتا الذي ي</w:t>
      </w:r>
      <w:r w:rsidRPr="00AA537D">
        <w:rPr>
          <w:rFonts w:hint="cs"/>
          <w:spacing w:val="0"/>
          <w:kern w:val="0"/>
          <w:rtl/>
          <w:lang w:val="en-CA"/>
        </w:rPr>
        <w:t>ُ</w:t>
      </w:r>
      <w:r w:rsidRPr="00AA537D">
        <w:rPr>
          <w:spacing w:val="0"/>
          <w:kern w:val="0"/>
          <w:rtl/>
          <w:lang w:val="en-CA"/>
        </w:rPr>
        <w:t xml:space="preserve">زعم </w:t>
      </w:r>
      <w:r w:rsidRPr="00AA537D">
        <w:rPr>
          <w:rFonts w:hint="cs"/>
          <w:spacing w:val="0"/>
          <w:kern w:val="0"/>
          <w:rtl/>
          <w:lang w:val="en-CA"/>
        </w:rPr>
        <w:t xml:space="preserve">أنه حصل على </w:t>
      </w:r>
      <w:r w:rsidRPr="00AA537D">
        <w:rPr>
          <w:spacing w:val="0"/>
          <w:kern w:val="0"/>
          <w:rtl/>
          <w:lang w:val="en-CA"/>
        </w:rPr>
        <w:t xml:space="preserve">معلومات نفى وجود أي علاقة </w:t>
      </w:r>
      <w:r w:rsidRPr="00AA537D">
        <w:rPr>
          <w:rFonts w:hint="cs"/>
          <w:spacing w:val="0"/>
          <w:kern w:val="0"/>
          <w:rtl/>
          <w:lang w:val="en-CA"/>
        </w:rPr>
        <w:t>تربطه ب</w:t>
      </w:r>
      <w:r w:rsidRPr="00AA537D">
        <w:rPr>
          <w:spacing w:val="0"/>
          <w:kern w:val="0"/>
          <w:rtl/>
          <w:lang w:val="en-CA"/>
        </w:rPr>
        <w:t>صاحب الشكوى.</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2-17</w:t>
      </w:r>
      <w:r w:rsidRPr="00AA537D">
        <w:rPr>
          <w:rFonts w:hint="cs"/>
          <w:spacing w:val="0"/>
          <w:kern w:val="0"/>
          <w:rtl/>
          <w:lang w:val="en-CA"/>
        </w:rPr>
        <w:tab/>
        <w:t>و</w:t>
      </w:r>
      <w:r w:rsidRPr="00AA537D">
        <w:rPr>
          <w:spacing w:val="0"/>
          <w:kern w:val="0"/>
          <w:rtl/>
          <w:lang w:val="en-CA"/>
        </w:rPr>
        <w:t xml:space="preserve">في 12 </w:t>
      </w:r>
      <w:r w:rsidRPr="00AA537D">
        <w:rPr>
          <w:rFonts w:hint="cs"/>
          <w:spacing w:val="0"/>
          <w:kern w:val="0"/>
          <w:rtl/>
          <w:lang w:val="en-CA"/>
        </w:rPr>
        <w:t>كانون الأول/</w:t>
      </w:r>
      <w:r w:rsidRPr="00AA537D">
        <w:rPr>
          <w:spacing w:val="0"/>
          <w:kern w:val="0"/>
          <w:rtl/>
          <w:lang w:val="en-CA"/>
        </w:rPr>
        <w:t xml:space="preserve">ديسمبر 2005، </w:t>
      </w:r>
      <w:r w:rsidRPr="00AA537D">
        <w:rPr>
          <w:rFonts w:hint="cs"/>
          <w:spacing w:val="0"/>
          <w:kern w:val="0"/>
          <w:rtl/>
          <w:lang w:val="en-CA"/>
        </w:rPr>
        <w:t>أدين</w:t>
      </w:r>
      <w:r w:rsidRPr="00AA537D">
        <w:rPr>
          <w:spacing w:val="0"/>
          <w:kern w:val="0"/>
          <w:rtl/>
          <w:lang w:val="en-CA"/>
        </w:rPr>
        <w:t xml:space="preserve"> </w:t>
      </w:r>
      <w:r w:rsidRPr="00AA537D">
        <w:rPr>
          <w:rFonts w:hint="cs"/>
          <w:spacing w:val="0"/>
          <w:kern w:val="0"/>
          <w:rtl/>
          <w:lang w:val="en-CA"/>
        </w:rPr>
        <w:t xml:space="preserve">صاحب </w:t>
      </w:r>
      <w:r w:rsidRPr="00AA537D">
        <w:rPr>
          <w:spacing w:val="0"/>
          <w:kern w:val="0"/>
          <w:rtl/>
          <w:lang w:val="en-CA"/>
        </w:rPr>
        <w:t>الشكوى وحكم عليه بالسجن</w:t>
      </w:r>
      <w:r w:rsidRPr="00AA537D">
        <w:rPr>
          <w:rFonts w:hint="cs"/>
          <w:spacing w:val="0"/>
          <w:kern w:val="0"/>
          <w:rtl/>
          <w:lang w:val="en-CA"/>
        </w:rPr>
        <w:t xml:space="preserve"> لمدة</w:t>
      </w:r>
      <w:r w:rsidRPr="00AA537D">
        <w:rPr>
          <w:spacing w:val="0"/>
          <w:kern w:val="0"/>
          <w:rtl/>
          <w:lang w:val="en-CA"/>
        </w:rPr>
        <w:t xml:space="preserve"> 26 </w:t>
      </w:r>
      <w:r w:rsidRPr="00AA537D">
        <w:rPr>
          <w:rFonts w:hint="cs"/>
          <w:spacing w:val="0"/>
          <w:kern w:val="0"/>
          <w:rtl/>
          <w:lang w:val="en-CA"/>
        </w:rPr>
        <w:t>سنة</w:t>
      </w:r>
      <w:r w:rsidRPr="00AA537D">
        <w:rPr>
          <w:spacing w:val="0"/>
          <w:kern w:val="0"/>
          <w:rtl/>
          <w:lang w:val="en-CA"/>
        </w:rPr>
        <w:t xml:space="preserve">. ويرى </w:t>
      </w:r>
      <w:r w:rsidRPr="00AA537D">
        <w:rPr>
          <w:rFonts w:hint="cs"/>
          <w:spacing w:val="0"/>
          <w:kern w:val="0"/>
          <w:rtl/>
          <w:lang w:val="en-CA"/>
        </w:rPr>
        <w:t xml:space="preserve">صاحب </w:t>
      </w:r>
      <w:r w:rsidRPr="00AA537D">
        <w:rPr>
          <w:spacing w:val="0"/>
          <w:kern w:val="0"/>
          <w:rtl/>
          <w:lang w:val="en-CA"/>
        </w:rPr>
        <w:t xml:space="preserve">الشكوى أن الإدانة </w:t>
      </w:r>
      <w:r w:rsidRPr="00AA537D">
        <w:rPr>
          <w:rFonts w:hint="cs"/>
          <w:spacing w:val="0"/>
          <w:kern w:val="0"/>
          <w:rtl/>
          <w:lang w:val="en-CA"/>
        </w:rPr>
        <w:t xml:space="preserve">استندت إلى اعترافاته وشهادة </w:t>
      </w:r>
      <w:r w:rsidRPr="00AA537D">
        <w:rPr>
          <w:spacing w:val="0"/>
          <w:kern w:val="0"/>
          <w:rtl/>
          <w:lang w:val="en-CA"/>
        </w:rPr>
        <w:t xml:space="preserve">ضباط الشرطة الذين استجوبوه. ويشير أيضاً إلى أن السلطات كانت حريصة على </w:t>
      </w:r>
      <w:r w:rsidRPr="00AA537D">
        <w:rPr>
          <w:rFonts w:hint="cs"/>
          <w:spacing w:val="0"/>
          <w:kern w:val="0"/>
          <w:rtl/>
          <w:lang w:val="en-CA"/>
        </w:rPr>
        <w:t>إيجاد</w:t>
      </w:r>
      <w:r w:rsidRPr="00AA537D">
        <w:rPr>
          <w:spacing w:val="0"/>
          <w:kern w:val="0"/>
          <w:rtl/>
          <w:lang w:val="en-CA"/>
        </w:rPr>
        <w:t xml:space="preserve"> طرف مذنب</w:t>
      </w:r>
      <w:r w:rsidRPr="00AA537D">
        <w:rPr>
          <w:rFonts w:hint="cs"/>
          <w:spacing w:val="0"/>
          <w:kern w:val="0"/>
          <w:rtl/>
          <w:lang w:val="en-CA"/>
        </w:rPr>
        <w:t xml:space="preserve"> ولم يكن بوسعها</w:t>
      </w:r>
      <w:r w:rsidRPr="00AA537D">
        <w:rPr>
          <w:spacing w:val="0"/>
          <w:kern w:val="0"/>
          <w:rtl/>
          <w:lang w:val="en-CA"/>
        </w:rPr>
        <w:t xml:space="preserve"> ترك هذه الجريمة دون عقاب، نظراً </w:t>
      </w:r>
      <w:r w:rsidRPr="00AA537D">
        <w:rPr>
          <w:rFonts w:hint="cs"/>
          <w:spacing w:val="0"/>
          <w:kern w:val="0"/>
          <w:rtl/>
          <w:lang w:val="en-CA"/>
        </w:rPr>
        <w:t>لأثرها</w:t>
      </w:r>
      <w:r w:rsidRPr="00AA537D">
        <w:rPr>
          <w:spacing w:val="0"/>
          <w:kern w:val="0"/>
          <w:rtl/>
          <w:lang w:val="en-CA"/>
        </w:rPr>
        <w:t xml:space="preserve"> الكبير في </w:t>
      </w:r>
      <w:r w:rsidRPr="00AA537D">
        <w:rPr>
          <w:rFonts w:hint="cs"/>
          <w:spacing w:val="0"/>
          <w:kern w:val="0"/>
          <w:rtl/>
          <w:lang w:val="en-CA"/>
        </w:rPr>
        <w:t>أ</w:t>
      </w:r>
      <w:r w:rsidRPr="00AA537D">
        <w:rPr>
          <w:spacing w:val="0"/>
          <w:kern w:val="0"/>
          <w:rtl/>
          <w:lang w:val="en-CA"/>
        </w:rPr>
        <w:t>وساط سياس</w:t>
      </w:r>
      <w:r w:rsidRPr="00AA537D">
        <w:rPr>
          <w:rFonts w:hint="cs"/>
          <w:spacing w:val="0"/>
          <w:kern w:val="0"/>
          <w:rtl/>
          <w:lang w:val="en-CA"/>
        </w:rPr>
        <w:t>ي</w:t>
      </w:r>
      <w:r w:rsidRPr="00AA537D">
        <w:rPr>
          <w:spacing w:val="0"/>
          <w:kern w:val="0"/>
          <w:rtl/>
          <w:lang w:val="en-CA"/>
        </w:rPr>
        <w:t xml:space="preserve">ة </w:t>
      </w:r>
      <w:r w:rsidRPr="00AA537D">
        <w:rPr>
          <w:rFonts w:hint="cs"/>
          <w:spacing w:val="0"/>
          <w:kern w:val="0"/>
          <w:rtl/>
          <w:lang w:val="en-CA"/>
        </w:rPr>
        <w:t>وشرطية معينة</w:t>
      </w:r>
      <w:r w:rsidRPr="00AA537D">
        <w:rPr>
          <w:spacing w:val="0"/>
          <w:kern w:val="0"/>
          <w:rtl/>
          <w:lang w:val="en-CA"/>
        </w:rPr>
        <w:t xml:space="preserve">، فضلاً عن الرأي العام. </w:t>
      </w:r>
      <w:r w:rsidRPr="00AA537D">
        <w:rPr>
          <w:rFonts w:hint="cs"/>
          <w:spacing w:val="0"/>
          <w:kern w:val="0"/>
          <w:rtl/>
          <w:lang w:val="en-CA"/>
        </w:rPr>
        <w:t>وربما تكون المحكمة، ب</w:t>
      </w:r>
      <w:r w:rsidRPr="00AA537D">
        <w:rPr>
          <w:spacing w:val="0"/>
          <w:kern w:val="0"/>
          <w:rtl/>
          <w:lang w:val="en-CA"/>
        </w:rPr>
        <w:t>دون تحريف سير العدالة أو المساس باستقلاليته</w:t>
      </w:r>
      <w:r w:rsidRPr="00AA537D">
        <w:rPr>
          <w:rFonts w:hint="cs"/>
          <w:spacing w:val="0"/>
          <w:kern w:val="0"/>
          <w:rtl/>
          <w:lang w:val="en-CA"/>
        </w:rPr>
        <w:t>ا</w:t>
      </w:r>
      <w:r w:rsidRPr="00AA537D">
        <w:rPr>
          <w:spacing w:val="0"/>
          <w:kern w:val="0"/>
          <w:rtl/>
          <w:lang w:val="en-CA"/>
        </w:rPr>
        <w:t xml:space="preserve">، </w:t>
      </w:r>
      <w:r w:rsidRPr="00AA537D">
        <w:rPr>
          <w:rFonts w:hint="cs"/>
          <w:spacing w:val="0"/>
          <w:kern w:val="0"/>
          <w:rtl/>
          <w:lang w:val="en-CA"/>
        </w:rPr>
        <w:t>قد استسلمت ل</w:t>
      </w:r>
      <w:r w:rsidRPr="00AA537D">
        <w:rPr>
          <w:spacing w:val="0"/>
          <w:kern w:val="0"/>
          <w:rtl/>
          <w:lang w:val="en-CA"/>
        </w:rPr>
        <w:t xml:space="preserve">شعور بالتضامن </w:t>
      </w:r>
      <w:r w:rsidRPr="00AA537D">
        <w:rPr>
          <w:rFonts w:hint="cs"/>
          <w:spacing w:val="0"/>
          <w:kern w:val="0"/>
          <w:rtl/>
          <w:lang w:val="en-CA"/>
        </w:rPr>
        <w:t>مع أحد الزملاء</w:t>
      </w:r>
      <w:r w:rsidRPr="00AA537D">
        <w:rPr>
          <w:spacing w:val="0"/>
          <w:kern w:val="0"/>
          <w:rtl/>
          <w:lang w:val="en-CA"/>
        </w:rPr>
        <w:t xml:space="preserve">، </w:t>
      </w:r>
      <w:r w:rsidRPr="00AA537D">
        <w:rPr>
          <w:rFonts w:hint="cs"/>
          <w:spacing w:val="0"/>
          <w:kern w:val="0"/>
          <w:rtl/>
          <w:lang w:val="en-CA"/>
        </w:rPr>
        <w:t>بالنظر</w:t>
      </w:r>
      <w:r w:rsidRPr="00AA537D">
        <w:rPr>
          <w:spacing w:val="0"/>
          <w:kern w:val="0"/>
          <w:rtl/>
          <w:lang w:val="en-CA"/>
        </w:rPr>
        <w:t xml:space="preserve"> إلى أن ضحية هذه الجريمة النكراء كان قاض</w:t>
      </w:r>
      <w:r w:rsidRPr="00AA537D">
        <w:rPr>
          <w:rFonts w:hint="cs"/>
          <w:spacing w:val="0"/>
          <w:kern w:val="0"/>
          <w:rtl/>
          <w:lang w:val="en-CA"/>
        </w:rPr>
        <w:t>ياً</w:t>
      </w:r>
      <w:r w:rsidRPr="00AA537D">
        <w:rPr>
          <w:spacing w:val="0"/>
          <w:kern w:val="0"/>
          <w:rtl/>
          <w:lang w:val="en-CA"/>
        </w:rPr>
        <w:t>.</w:t>
      </w:r>
    </w:p>
    <w:p w:rsidR="00FA6676" w:rsidRPr="00AA537D" w:rsidRDefault="00FA6676" w:rsidP="00E86FDB">
      <w:pPr>
        <w:pStyle w:val="SingleTxtGA"/>
        <w:jc w:val="lowKashida"/>
        <w:rPr>
          <w:rFonts w:hint="cs"/>
          <w:spacing w:val="0"/>
          <w:kern w:val="0"/>
          <w:rtl/>
          <w:lang w:val="en-CA"/>
        </w:rPr>
      </w:pPr>
      <w:r w:rsidRPr="00AA537D">
        <w:rPr>
          <w:rFonts w:hint="cs"/>
          <w:spacing w:val="0"/>
          <w:kern w:val="0"/>
          <w:rtl/>
          <w:lang w:val="en-CA"/>
        </w:rPr>
        <w:t>2-18</w:t>
      </w:r>
      <w:r w:rsidRPr="00AA537D">
        <w:rPr>
          <w:rFonts w:hint="cs"/>
          <w:spacing w:val="0"/>
          <w:kern w:val="0"/>
          <w:rtl/>
          <w:lang w:val="en-CA"/>
        </w:rPr>
        <w:tab/>
        <w:t>و</w:t>
      </w:r>
      <w:r w:rsidRPr="00AA537D">
        <w:rPr>
          <w:spacing w:val="0"/>
          <w:kern w:val="0"/>
          <w:rtl/>
          <w:lang w:val="en-CA"/>
        </w:rPr>
        <w:t xml:space="preserve">قدم صاحب الشكوى </w:t>
      </w:r>
      <w:r w:rsidRPr="00AA537D">
        <w:rPr>
          <w:rFonts w:hint="cs"/>
          <w:spacing w:val="0"/>
          <w:kern w:val="0"/>
          <w:rtl/>
          <w:lang w:val="en-CA"/>
        </w:rPr>
        <w:t>طعنا</w:t>
      </w:r>
      <w:r w:rsidR="001A08AE">
        <w:rPr>
          <w:rFonts w:hint="cs"/>
          <w:spacing w:val="0"/>
          <w:kern w:val="0"/>
          <w:rtl/>
          <w:lang w:val="en-CA"/>
        </w:rPr>
        <w:t>ً</w:t>
      </w:r>
      <w:r w:rsidRPr="00AA537D">
        <w:rPr>
          <w:rFonts w:hint="cs"/>
          <w:spacing w:val="0"/>
          <w:kern w:val="0"/>
          <w:rtl/>
          <w:lang w:val="en-CA"/>
        </w:rPr>
        <w:t xml:space="preserve"> بالاستئناف</w:t>
      </w:r>
      <w:r w:rsidRPr="00AA537D">
        <w:rPr>
          <w:spacing w:val="0"/>
          <w:kern w:val="0"/>
          <w:rtl/>
          <w:lang w:val="en-CA"/>
        </w:rPr>
        <w:t xml:space="preserve"> أمام المحكمة العليا، </w:t>
      </w:r>
      <w:r w:rsidRPr="00AA537D">
        <w:rPr>
          <w:rFonts w:hint="cs"/>
          <w:spacing w:val="0"/>
          <w:kern w:val="0"/>
          <w:rtl/>
          <w:lang w:val="en-CA"/>
        </w:rPr>
        <w:t>ل</w:t>
      </w:r>
      <w:r w:rsidRPr="00AA537D">
        <w:rPr>
          <w:spacing w:val="0"/>
          <w:kern w:val="0"/>
          <w:rtl/>
          <w:lang w:val="en-CA"/>
        </w:rPr>
        <w:t xml:space="preserve">جملة أمور، </w:t>
      </w:r>
      <w:r w:rsidRPr="00AA537D">
        <w:rPr>
          <w:rFonts w:hint="cs"/>
          <w:spacing w:val="0"/>
          <w:kern w:val="0"/>
          <w:rtl/>
          <w:lang w:val="en-CA"/>
        </w:rPr>
        <w:t xml:space="preserve">منها </w:t>
      </w:r>
      <w:r w:rsidRPr="00AA537D">
        <w:rPr>
          <w:spacing w:val="0"/>
          <w:kern w:val="0"/>
          <w:rtl/>
          <w:lang w:val="en-CA"/>
        </w:rPr>
        <w:t xml:space="preserve">انتهاك حقه الأساسي في </w:t>
      </w:r>
      <w:r w:rsidRPr="00AA537D">
        <w:rPr>
          <w:rFonts w:hint="cs"/>
          <w:spacing w:val="0"/>
          <w:kern w:val="0"/>
          <w:rtl/>
          <w:lang w:val="en-CA"/>
        </w:rPr>
        <w:t>الاستفادة من ال</w:t>
      </w:r>
      <w:r w:rsidRPr="00AA537D">
        <w:rPr>
          <w:spacing w:val="0"/>
          <w:kern w:val="0"/>
          <w:rtl/>
          <w:lang w:val="en-CA"/>
        </w:rPr>
        <w:t>دفاع و</w:t>
      </w:r>
      <w:r w:rsidRPr="00AA537D">
        <w:rPr>
          <w:rFonts w:hint="cs"/>
          <w:spacing w:val="0"/>
          <w:kern w:val="0"/>
          <w:rtl/>
          <w:lang w:val="en-CA"/>
        </w:rPr>
        <w:t>ال</w:t>
      </w:r>
      <w:r w:rsidRPr="00AA537D">
        <w:rPr>
          <w:spacing w:val="0"/>
          <w:kern w:val="0"/>
          <w:rtl/>
          <w:lang w:val="en-CA"/>
        </w:rPr>
        <w:t xml:space="preserve">محاكمة عادلة، نظراً </w:t>
      </w:r>
      <w:r w:rsidRPr="00AA537D">
        <w:rPr>
          <w:rFonts w:hint="cs"/>
          <w:spacing w:val="0"/>
          <w:kern w:val="0"/>
          <w:rtl/>
          <w:lang w:val="en-CA"/>
        </w:rPr>
        <w:t>للخطأ في تطبيق</w:t>
      </w:r>
      <w:r w:rsidRPr="00AA537D">
        <w:rPr>
          <w:spacing w:val="0"/>
          <w:kern w:val="0"/>
          <w:rtl/>
          <w:lang w:val="en-CA"/>
        </w:rPr>
        <w:t xml:space="preserve"> القانون </w:t>
      </w:r>
      <w:r w:rsidRPr="00AA537D">
        <w:rPr>
          <w:rFonts w:hint="cs"/>
          <w:spacing w:val="0"/>
          <w:kern w:val="0"/>
          <w:rtl/>
          <w:lang w:val="en-CA"/>
        </w:rPr>
        <w:t>الأساسي</w:t>
      </w:r>
      <w:r w:rsidRPr="00AA537D">
        <w:rPr>
          <w:spacing w:val="0"/>
          <w:kern w:val="0"/>
          <w:rtl/>
          <w:lang w:val="en-CA"/>
        </w:rPr>
        <w:t xml:space="preserve"> رقم</w:t>
      </w:r>
      <w:r w:rsidRPr="00AA537D">
        <w:rPr>
          <w:rFonts w:hint="cs"/>
          <w:spacing w:val="0"/>
          <w:kern w:val="0"/>
          <w:rtl/>
          <w:lang w:val="en-CA"/>
        </w:rPr>
        <w:t> </w:t>
      </w:r>
      <w:r w:rsidRPr="00AA537D">
        <w:rPr>
          <w:spacing w:val="0"/>
          <w:kern w:val="0"/>
          <w:rtl/>
          <w:lang w:val="en-CA"/>
        </w:rPr>
        <w:t>19/1994 بشأن حماية الشهود والخبراء في القضايا الجنائية. وادعى أيضاً أنه</w:t>
      </w:r>
      <w:r w:rsidR="00E86FDB">
        <w:rPr>
          <w:rFonts w:hint="cs"/>
          <w:spacing w:val="0"/>
          <w:kern w:val="0"/>
          <w:rtl/>
          <w:lang w:val="en-CA"/>
        </w:rPr>
        <w:t> </w:t>
      </w:r>
      <w:r w:rsidRPr="00AA537D">
        <w:rPr>
          <w:spacing w:val="0"/>
          <w:kern w:val="0"/>
          <w:rtl/>
          <w:lang w:val="en-CA"/>
        </w:rPr>
        <w:t xml:space="preserve">تم انتهاك حقه في افتراض البراءة، </w:t>
      </w:r>
      <w:r w:rsidRPr="00AA537D">
        <w:rPr>
          <w:rFonts w:hint="cs"/>
          <w:spacing w:val="0"/>
          <w:kern w:val="0"/>
          <w:rtl/>
          <w:lang w:val="en-CA"/>
        </w:rPr>
        <w:t>نظراً لأن</w:t>
      </w:r>
      <w:r w:rsidRPr="00AA537D">
        <w:rPr>
          <w:spacing w:val="0"/>
          <w:kern w:val="0"/>
          <w:rtl/>
          <w:lang w:val="en-CA"/>
        </w:rPr>
        <w:t xml:space="preserve"> أدلة الادعاء </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 xml:space="preserve">أقواله التي </w:t>
      </w:r>
      <w:r w:rsidRPr="00AA537D">
        <w:rPr>
          <w:spacing w:val="0"/>
          <w:kern w:val="0"/>
          <w:rtl/>
          <w:lang w:val="en-CA"/>
        </w:rPr>
        <w:t>أدلى به</w:t>
      </w:r>
      <w:r w:rsidRPr="00AA537D">
        <w:rPr>
          <w:rFonts w:hint="cs"/>
          <w:spacing w:val="0"/>
          <w:kern w:val="0"/>
          <w:rtl/>
          <w:lang w:val="en-CA"/>
        </w:rPr>
        <w:t>ا</w:t>
      </w:r>
      <w:r w:rsidRPr="00AA537D">
        <w:rPr>
          <w:spacing w:val="0"/>
          <w:kern w:val="0"/>
          <w:rtl/>
          <w:lang w:val="en-CA"/>
        </w:rPr>
        <w:t xml:space="preserve"> إلى الشرطة</w:t>
      </w:r>
      <w:r w:rsidR="00E86FDB">
        <w:rPr>
          <w:rFonts w:hint="cs"/>
          <w:spacing w:val="0"/>
          <w:kern w:val="0"/>
          <w:rtl/>
          <w:lang w:val="en-CA"/>
        </w:rPr>
        <w:t> </w:t>
      </w:r>
      <w:r w:rsidRPr="00AA537D">
        <w:rPr>
          <w:rFonts w:hint="cs"/>
          <w:spacing w:val="0"/>
          <w:kern w:val="0"/>
          <w:rtl/>
          <w:lang w:val="en-CA"/>
        </w:rPr>
        <w:t>ومحضر</w:t>
      </w:r>
      <w:r w:rsidRPr="00AA537D">
        <w:rPr>
          <w:spacing w:val="0"/>
          <w:kern w:val="0"/>
          <w:rtl/>
          <w:lang w:val="en-CA"/>
        </w:rPr>
        <w:t xml:space="preserve"> الشرطة ال</w:t>
      </w:r>
      <w:r w:rsidRPr="00AA537D">
        <w:rPr>
          <w:rFonts w:hint="cs"/>
          <w:spacing w:val="0"/>
          <w:kern w:val="0"/>
          <w:rtl/>
          <w:lang w:val="en-CA"/>
        </w:rPr>
        <w:t>ذ</w:t>
      </w:r>
      <w:r w:rsidRPr="00AA537D">
        <w:rPr>
          <w:spacing w:val="0"/>
          <w:kern w:val="0"/>
          <w:rtl/>
          <w:lang w:val="en-CA"/>
        </w:rPr>
        <w:t>ي قدم أثناء المحاكمة</w:t>
      </w:r>
      <w:r w:rsidRPr="00AA537D">
        <w:rPr>
          <w:rFonts w:hint="cs"/>
          <w:spacing w:val="0"/>
          <w:kern w:val="0"/>
          <w:rtl/>
          <w:lang w:val="en-CA"/>
        </w:rPr>
        <w:t xml:space="preserve"> - </w:t>
      </w:r>
      <w:r w:rsidRPr="00AA537D">
        <w:rPr>
          <w:spacing w:val="0"/>
          <w:kern w:val="0"/>
          <w:rtl/>
          <w:lang w:val="en-CA"/>
        </w:rPr>
        <w:t xml:space="preserve">تم الحصول عليها </w:t>
      </w:r>
      <w:r w:rsidRPr="00AA537D">
        <w:rPr>
          <w:rFonts w:hint="cs"/>
          <w:spacing w:val="0"/>
          <w:kern w:val="0"/>
          <w:rtl/>
          <w:lang w:val="en-CA"/>
        </w:rPr>
        <w:t>د</w:t>
      </w:r>
      <w:r w:rsidRPr="00AA537D">
        <w:rPr>
          <w:spacing w:val="0"/>
          <w:kern w:val="0"/>
          <w:rtl/>
          <w:lang w:val="en-CA"/>
        </w:rPr>
        <w:t xml:space="preserve">ون </w:t>
      </w:r>
      <w:r w:rsidRPr="00AA537D">
        <w:rPr>
          <w:rFonts w:hint="cs"/>
          <w:spacing w:val="0"/>
          <w:kern w:val="0"/>
          <w:rtl/>
          <w:lang w:val="en-CA"/>
        </w:rPr>
        <w:t>ال</w:t>
      </w:r>
      <w:r w:rsidRPr="00AA537D">
        <w:rPr>
          <w:spacing w:val="0"/>
          <w:kern w:val="0"/>
          <w:rtl/>
          <w:lang w:val="en-CA"/>
        </w:rPr>
        <w:t xml:space="preserve">مراعاة </w:t>
      </w:r>
      <w:r w:rsidRPr="00AA537D">
        <w:rPr>
          <w:rFonts w:hint="cs"/>
          <w:spacing w:val="0"/>
          <w:kern w:val="0"/>
          <w:rtl/>
          <w:lang w:val="en-CA"/>
        </w:rPr>
        <w:t>الواجبة ل</w:t>
      </w:r>
      <w:r w:rsidRPr="00AA537D">
        <w:rPr>
          <w:spacing w:val="0"/>
          <w:kern w:val="0"/>
          <w:rtl/>
          <w:lang w:val="en-CA"/>
        </w:rPr>
        <w:t>لضمانات الدستورية.</w:t>
      </w:r>
    </w:p>
    <w:p w:rsidR="00FA6676" w:rsidRPr="00AA537D" w:rsidRDefault="00FA6676" w:rsidP="003F4917">
      <w:pPr>
        <w:pStyle w:val="SingleTxtGA"/>
        <w:jc w:val="lowKashida"/>
        <w:rPr>
          <w:rFonts w:hint="cs"/>
          <w:spacing w:val="0"/>
          <w:kern w:val="0"/>
          <w:rtl/>
          <w:lang w:val="en-CA"/>
        </w:rPr>
      </w:pPr>
      <w:r w:rsidRPr="00AA537D">
        <w:rPr>
          <w:rFonts w:hint="cs"/>
          <w:spacing w:val="0"/>
          <w:kern w:val="0"/>
          <w:rtl/>
          <w:lang w:val="en-CA"/>
        </w:rPr>
        <w:t>2-19</w:t>
      </w:r>
      <w:r w:rsidRPr="00AA537D">
        <w:rPr>
          <w:rFonts w:hint="cs"/>
          <w:spacing w:val="0"/>
          <w:kern w:val="0"/>
          <w:rtl/>
          <w:lang w:val="en-CA"/>
        </w:rPr>
        <w:tab/>
        <w:t>و</w:t>
      </w:r>
      <w:r w:rsidRPr="00AA537D">
        <w:rPr>
          <w:spacing w:val="0"/>
          <w:kern w:val="0"/>
          <w:rtl/>
          <w:lang w:val="en-CA"/>
        </w:rPr>
        <w:t xml:space="preserve">في 4 </w:t>
      </w:r>
      <w:r w:rsidRPr="00AA537D">
        <w:rPr>
          <w:rFonts w:hint="cs"/>
          <w:spacing w:val="0"/>
          <w:kern w:val="0"/>
          <w:rtl/>
          <w:lang w:val="en-CA"/>
        </w:rPr>
        <w:t>كانون الأول/</w:t>
      </w:r>
      <w:r w:rsidRPr="00AA537D">
        <w:rPr>
          <w:spacing w:val="0"/>
          <w:kern w:val="0"/>
          <w:rtl/>
          <w:lang w:val="en-CA"/>
        </w:rPr>
        <w:t>ديسمبر</w:t>
      </w:r>
      <w:r w:rsidRPr="00AA537D">
        <w:rPr>
          <w:rFonts w:hint="cs"/>
          <w:spacing w:val="0"/>
          <w:kern w:val="0"/>
          <w:rtl/>
          <w:lang w:val="en-CA"/>
        </w:rPr>
        <w:t xml:space="preserve"> </w:t>
      </w:r>
      <w:r w:rsidRPr="00AA537D">
        <w:rPr>
          <w:spacing w:val="0"/>
          <w:kern w:val="0"/>
          <w:rtl/>
          <w:lang w:val="en-CA"/>
        </w:rPr>
        <w:t xml:space="preserve">2006، رفضت المحكمة العليا الطلب وأيدت حكم المحكمة العليا الوطنية. </w:t>
      </w:r>
      <w:r w:rsidRPr="00AA537D">
        <w:rPr>
          <w:rFonts w:hint="cs"/>
          <w:spacing w:val="0"/>
          <w:kern w:val="0"/>
          <w:rtl/>
          <w:lang w:val="en-CA"/>
        </w:rPr>
        <w:t>و</w:t>
      </w:r>
      <w:r w:rsidRPr="00AA537D">
        <w:rPr>
          <w:spacing w:val="0"/>
          <w:kern w:val="0"/>
          <w:rtl/>
          <w:lang w:val="en-CA"/>
        </w:rPr>
        <w:t xml:space="preserve">وفقاً لصاحب الشكوى، أيدت المحكمة العليا </w:t>
      </w:r>
      <w:r w:rsidRPr="00AA537D">
        <w:rPr>
          <w:rFonts w:hint="cs"/>
          <w:spacing w:val="0"/>
          <w:kern w:val="0"/>
          <w:rtl/>
          <w:lang w:val="en-CA"/>
        </w:rPr>
        <w:t>استنتاج</w:t>
      </w:r>
      <w:r w:rsidRPr="00AA537D">
        <w:rPr>
          <w:spacing w:val="0"/>
          <w:kern w:val="0"/>
          <w:rtl/>
          <w:lang w:val="en-CA"/>
        </w:rPr>
        <w:t xml:space="preserve"> المحكمة العليا الوطنية</w:t>
      </w:r>
      <w:r w:rsidRPr="00AA537D">
        <w:rPr>
          <w:rFonts w:hint="cs"/>
          <w:spacing w:val="0"/>
          <w:kern w:val="0"/>
          <w:rtl/>
          <w:lang w:val="en-CA"/>
        </w:rPr>
        <w:t xml:space="preserve"> الذي يفيد ب</w:t>
      </w:r>
      <w:r w:rsidRPr="00AA537D">
        <w:rPr>
          <w:spacing w:val="0"/>
          <w:kern w:val="0"/>
          <w:rtl/>
          <w:lang w:val="en-CA"/>
        </w:rPr>
        <w:t xml:space="preserve">أن </w:t>
      </w:r>
      <w:r w:rsidRPr="00AA537D">
        <w:rPr>
          <w:rFonts w:hint="cs"/>
          <w:spacing w:val="0"/>
          <w:kern w:val="0"/>
          <w:rtl/>
          <w:lang w:val="en-CA"/>
        </w:rPr>
        <w:t>اعترافات صاحب الشكوى التي أدلى بها</w:t>
      </w:r>
      <w:r w:rsidRPr="00AA537D">
        <w:rPr>
          <w:spacing w:val="0"/>
          <w:kern w:val="0"/>
          <w:rtl/>
          <w:lang w:val="en-CA"/>
        </w:rPr>
        <w:t xml:space="preserve"> عندما احتجز </w:t>
      </w:r>
      <w:r w:rsidRPr="00AA537D">
        <w:rPr>
          <w:rFonts w:hint="cs"/>
          <w:spacing w:val="0"/>
          <w:kern w:val="0"/>
          <w:rtl/>
          <w:lang w:val="en-CA"/>
        </w:rPr>
        <w:t xml:space="preserve">في الحبس الانفرادي </w:t>
      </w:r>
      <w:r w:rsidRPr="00AA537D">
        <w:rPr>
          <w:spacing w:val="0"/>
          <w:kern w:val="0"/>
          <w:rtl/>
          <w:lang w:val="en-CA"/>
        </w:rPr>
        <w:t xml:space="preserve">في مركز الشرطة </w:t>
      </w:r>
      <w:r w:rsidRPr="00AA537D">
        <w:rPr>
          <w:rFonts w:hint="cs"/>
          <w:spacing w:val="0"/>
          <w:kern w:val="0"/>
          <w:rtl/>
          <w:lang w:val="en-CA"/>
        </w:rPr>
        <w:t>ت</w:t>
      </w:r>
      <w:r w:rsidRPr="00AA537D">
        <w:rPr>
          <w:spacing w:val="0"/>
          <w:kern w:val="0"/>
          <w:rtl/>
          <w:lang w:val="en-CA"/>
        </w:rPr>
        <w:t>شكل أدلة</w:t>
      </w:r>
      <w:r w:rsidRPr="00AA537D">
        <w:rPr>
          <w:rFonts w:hint="cs"/>
          <w:spacing w:val="0"/>
          <w:kern w:val="0"/>
          <w:rtl/>
          <w:lang w:val="en-CA"/>
        </w:rPr>
        <w:t xml:space="preserve"> كافية</w:t>
      </w:r>
      <w:r w:rsidRPr="00AA537D">
        <w:rPr>
          <w:rFonts w:hint="cs"/>
          <w:spacing w:val="0"/>
          <w:kern w:val="0"/>
          <w:vertAlign w:val="superscript"/>
          <w:rtl/>
          <w:lang w:val="fr-CH"/>
        </w:rPr>
        <w:t>(</w:t>
      </w:r>
      <w:r w:rsidRPr="00E86FDB">
        <w:rPr>
          <w:rStyle w:val="FootnoteReference"/>
          <w:spacing w:val="0"/>
          <w:sz w:val="2"/>
          <w:szCs w:val="2"/>
          <w:rtl/>
          <w:lang w:val="fr-CH"/>
        </w:rPr>
        <w:footnoteReference w:id="441"/>
      </w:r>
      <w:r w:rsidR="00E86FDB" w:rsidRPr="00E86FDB">
        <w:rPr>
          <w:rFonts w:hint="cs"/>
          <w:spacing w:val="0"/>
          <w:kern w:val="0"/>
          <w:sz w:val="30"/>
          <w:vertAlign w:val="superscript"/>
          <w:rtl/>
          <w:lang w:val="fr-CH"/>
        </w:rPr>
        <w:t>ﻫ</w:t>
      </w:r>
      <w:r w:rsidRPr="00AA537D">
        <w:rPr>
          <w:rFonts w:hint="cs"/>
          <w:spacing w:val="0"/>
          <w:kern w:val="0"/>
          <w:vertAlign w:val="superscript"/>
          <w:rtl/>
          <w:lang w:val="fr-CH"/>
        </w:rPr>
        <w:t>)</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 xml:space="preserve">وتؤكد </w:t>
      </w:r>
      <w:r w:rsidRPr="00AA537D">
        <w:rPr>
          <w:spacing w:val="0"/>
          <w:kern w:val="0"/>
          <w:rtl/>
          <w:lang w:val="en-CA"/>
        </w:rPr>
        <w:t>المحكمة العليا في قرارها</w:t>
      </w:r>
      <w:r w:rsidRPr="00AA537D">
        <w:rPr>
          <w:rFonts w:hint="cs"/>
          <w:spacing w:val="0"/>
          <w:kern w:val="0"/>
          <w:rtl/>
          <w:lang w:val="en-CA"/>
        </w:rPr>
        <w:t xml:space="preserve"> على </w:t>
      </w:r>
      <w:r w:rsidRPr="00AA537D">
        <w:rPr>
          <w:spacing w:val="0"/>
          <w:kern w:val="0"/>
          <w:rtl/>
          <w:lang w:val="en-CA"/>
        </w:rPr>
        <w:t xml:space="preserve">صحة </w:t>
      </w:r>
      <w:r w:rsidRPr="00AA537D">
        <w:rPr>
          <w:rFonts w:hint="cs"/>
          <w:spacing w:val="0"/>
          <w:kern w:val="0"/>
          <w:rtl/>
          <w:lang w:val="en-CA"/>
        </w:rPr>
        <w:t>تلك الاعترافات</w:t>
      </w:r>
      <w:r w:rsidRPr="00AA537D">
        <w:rPr>
          <w:spacing w:val="0"/>
          <w:kern w:val="0"/>
          <w:rtl/>
          <w:lang w:val="en-CA"/>
        </w:rPr>
        <w:t xml:space="preserve">، نظراً </w:t>
      </w:r>
      <w:r w:rsidRPr="00AA537D">
        <w:rPr>
          <w:rFonts w:hint="cs"/>
          <w:spacing w:val="0"/>
          <w:kern w:val="0"/>
          <w:rtl/>
          <w:lang w:val="en-CA"/>
        </w:rPr>
        <w:t>ل</w:t>
      </w:r>
      <w:r w:rsidRPr="00AA537D">
        <w:rPr>
          <w:spacing w:val="0"/>
          <w:kern w:val="0"/>
          <w:rtl/>
          <w:lang w:val="en-CA"/>
        </w:rPr>
        <w:t xml:space="preserve">أن المحاكم حققت في ادعاء صاحب الشكوى </w:t>
      </w:r>
      <w:r w:rsidRPr="00AA537D">
        <w:rPr>
          <w:rFonts w:hint="cs"/>
          <w:spacing w:val="0"/>
          <w:kern w:val="0"/>
          <w:rtl/>
          <w:lang w:val="en-CA"/>
        </w:rPr>
        <w:t>ب</w:t>
      </w:r>
      <w:r w:rsidRPr="00AA537D">
        <w:rPr>
          <w:spacing w:val="0"/>
          <w:kern w:val="0"/>
          <w:rtl/>
          <w:lang w:val="en-CA"/>
        </w:rPr>
        <w:t xml:space="preserve">التعذيب وسوء المعاملة، </w:t>
      </w:r>
      <w:r w:rsidRPr="00AA537D">
        <w:rPr>
          <w:rFonts w:hint="cs"/>
          <w:spacing w:val="0"/>
          <w:kern w:val="0"/>
          <w:rtl/>
          <w:lang w:val="en-CA"/>
        </w:rPr>
        <w:t>وخلصت</w:t>
      </w:r>
      <w:r w:rsidRPr="00AA537D">
        <w:rPr>
          <w:spacing w:val="0"/>
          <w:kern w:val="0"/>
          <w:rtl/>
          <w:lang w:val="en-CA"/>
        </w:rPr>
        <w:t xml:space="preserve"> </w:t>
      </w:r>
      <w:r w:rsidRPr="00AA537D">
        <w:rPr>
          <w:rFonts w:hint="cs"/>
          <w:spacing w:val="0"/>
          <w:kern w:val="0"/>
          <w:rtl/>
          <w:lang w:val="en-CA"/>
        </w:rPr>
        <w:t>إلى عدم</w:t>
      </w:r>
      <w:r w:rsidRPr="00AA537D">
        <w:rPr>
          <w:spacing w:val="0"/>
          <w:kern w:val="0"/>
          <w:rtl/>
          <w:lang w:val="en-CA"/>
        </w:rPr>
        <w:t xml:space="preserve"> </w:t>
      </w:r>
      <w:r w:rsidRPr="00AA537D">
        <w:rPr>
          <w:rFonts w:hint="cs"/>
          <w:spacing w:val="0"/>
          <w:kern w:val="0"/>
          <w:rtl/>
          <w:lang w:val="en-CA"/>
        </w:rPr>
        <w:t>ارتكاب</w:t>
      </w:r>
      <w:r w:rsidRPr="00AA537D">
        <w:rPr>
          <w:spacing w:val="0"/>
          <w:kern w:val="0"/>
          <w:rtl/>
          <w:lang w:val="en-CA"/>
        </w:rPr>
        <w:t xml:space="preserve"> أي جريمة، </w:t>
      </w:r>
      <w:r w:rsidRPr="00AA537D">
        <w:rPr>
          <w:rFonts w:hint="cs"/>
          <w:spacing w:val="0"/>
          <w:kern w:val="0"/>
          <w:rtl/>
          <w:lang w:val="en-CA"/>
        </w:rPr>
        <w:t>بالإضافة إلى</w:t>
      </w:r>
      <w:r w:rsidRPr="00AA537D">
        <w:rPr>
          <w:spacing w:val="0"/>
          <w:kern w:val="0"/>
          <w:rtl/>
          <w:lang w:val="en-CA"/>
        </w:rPr>
        <w:t xml:space="preserve"> أن </w:t>
      </w:r>
      <w:r w:rsidRPr="00AA537D">
        <w:rPr>
          <w:rFonts w:hint="cs"/>
          <w:spacing w:val="0"/>
          <w:kern w:val="0"/>
          <w:rtl/>
          <w:lang w:val="en-CA"/>
        </w:rPr>
        <w:t>الاعترافات</w:t>
      </w:r>
      <w:r w:rsidRPr="00AA537D">
        <w:rPr>
          <w:spacing w:val="0"/>
          <w:kern w:val="0"/>
          <w:rtl/>
          <w:lang w:val="en-CA"/>
        </w:rPr>
        <w:t xml:space="preserve"> </w:t>
      </w:r>
      <w:r w:rsidRPr="00AA537D">
        <w:rPr>
          <w:rFonts w:hint="cs"/>
          <w:spacing w:val="0"/>
          <w:kern w:val="0"/>
          <w:rtl/>
          <w:lang w:val="en-CA"/>
        </w:rPr>
        <w:t xml:space="preserve">التي أدلى بها </w:t>
      </w:r>
      <w:r w:rsidRPr="00AA537D">
        <w:rPr>
          <w:spacing w:val="0"/>
          <w:kern w:val="0"/>
          <w:rtl/>
          <w:lang w:val="en-CA"/>
        </w:rPr>
        <w:t xml:space="preserve">صاحب الشكوى </w:t>
      </w:r>
      <w:r w:rsidRPr="00AA537D">
        <w:rPr>
          <w:rFonts w:hint="cs"/>
          <w:spacing w:val="0"/>
          <w:kern w:val="0"/>
          <w:rtl/>
          <w:lang w:val="en-CA"/>
        </w:rPr>
        <w:t>تؤكدها</w:t>
      </w:r>
      <w:r w:rsidRPr="00AA537D">
        <w:rPr>
          <w:spacing w:val="0"/>
          <w:kern w:val="0"/>
          <w:rtl/>
          <w:lang w:val="en-CA"/>
        </w:rPr>
        <w:t xml:space="preserve"> الأدلة المقدمة </w:t>
      </w:r>
      <w:r w:rsidRPr="00AA537D">
        <w:rPr>
          <w:rFonts w:hint="cs"/>
          <w:spacing w:val="0"/>
          <w:kern w:val="0"/>
          <w:rtl/>
          <w:lang w:val="en-CA"/>
        </w:rPr>
        <w:t>أثناء</w:t>
      </w:r>
      <w:r w:rsidRPr="00AA537D">
        <w:rPr>
          <w:spacing w:val="0"/>
          <w:kern w:val="0"/>
          <w:rtl/>
          <w:lang w:val="en-CA"/>
        </w:rPr>
        <w:t xml:space="preserve"> مرحلة التحقيق من الإجراءات </w:t>
      </w:r>
      <w:r w:rsidRPr="00AA537D">
        <w:rPr>
          <w:rFonts w:hint="cs"/>
          <w:spacing w:val="0"/>
          <w:kern w:val="0"/>
          <w:rtl/>
          <w:lang w:val="en-CA"/>
        </w:rPr>
        <w:t>وأمام</w:t>
      </w:r>
      <w:r w:rsidRPr="00AA537D">
        <w:rPr>
          <w:spacing w:val="0"/>
          <w:kern w:val="0"/>
          <w:rtl/>
          <w:lang w:val="en-CA"/>
        </w:rPr>
        <w:t xml:space="preserve"> المحكمة العليا الوطنية نفسها، والتي شملت، على وجه الخصوص، شهادة من</w:t>
      </w:r>
      <w:r w:rsidRPr="00AA537D">
        <w:rPr>
          <w:rFonts w:hint="cs"/>
          <w:spacing w:val="0"/>
          <w:kern w:val="0"/>
          <w:rtl/>
          <w:lang w:val="en-CA"/>
        </w:rPr>
        <w:t>:</w:t>
      </w:r>
      <w:r w:rsidRPr="00AA537D">
        <w:rPr>
          <w:spacing w:val="0"/>
          <w:kern w:val="0"/>
          <w:rtl/>
          <w:lang w:val="en-CA"/>
        </w:rPr>
        <w:t xml:space="preserve"> ضباط الشرطة الذين شاركوا في استجوابه في مركز الشرطة</w:t>
      </w:r>
      <w:r w:rsidRPr="00AA537D">
        <w:rPr>
          <w:rFonts w:hint="cs"/>
          <w:spacing w:val="0"/>
          <w:kern w:val="0"/>
          <w:rtl/>
          <w:lang w:val="en-CA"/>
        </w:rPr>
        <w:t>؛ و</w:t>
      </w:r>
      <w:r w:rsidRPr="00AA537D">
        <w:rPr>
          <w:spacing w:val="0"/>
          <w:kern w:val="0"/>
          <w:rtl/>
          <w:lang w:val="en-CA"/>
        </w:rPr>
        <w:t>محامي صاحب الشكوى المعين</w:t>
      </w:r>
      <w:r w:rsidRPr="00AA537D">
        <w:rPr>
          <w:rFonts w:hint="cs"/>
          <w:spacing w:val="0"/>
          <w:kern w:val="0"/>
          <w:rtl/>
          <w:lang w:val="en-CA"/>
        </w:rPr>
        <w:t xml:space="preserve">؛ </w:t>
      </w:r>
      <w:r w:rsidRPr="00AA537D">
        <w:rPr>
          <w:spacing w:val="0"/>
          <w:kern w:val="0"/>
          <w:rtl/>
          <w:lang w:val="en-CA"/>
        </w:rPr>
        <w:t>والطب</w:t>
      </w:r>
      <w:r w:rsidRPr="00AA537D">
        <w:rPr>
          <w:rFonts w:hint="cs"/>
          <w:spacing w:val="0"/>
          <w:kern w:val="0"/>
          <w:rtl/>
          <w:lang w:val="en-CA"/>
        </w:rPr>
        <w:t>يب</w:t>
      </w:r>
      <w:r w:rsidRPr="00AA537D">
        <w:rPr>
          <w:spacing w:val="0"/>
          <w:kern w:val="0"/>
          <w:rtl/>
          <w:lang w:val="en-CA"/>
        </w:rPr>
        <w:t xml:space="preserve"> الشرعي </w:t>
      </w:r>
      <w:r w:rsidRPr="00AA537D">
        <w:rPr>
          <w:rFonts w:hint="cs"/>
          <w:spacing w:val="0"/>
          <w:kern w:val="0"/>
          <w:rtl/>
          <w:lang w:val="en-CA"/>
        </w:rPr>
        <w:t xml:space="preserve">الذي </w:t>
      </w:r>
      <w:r w:rsidRPr="00AA537D">
        <w:rPr>
          <w:spacing w:val="0"/>
          <w:kern w:val="0"/>
          <w:rtl/>
          <w:lang w:val="en-CA"/>
        </w:rPr>
        <w:t>فحصه</w:t>
      </w:r>
      <w:r w:rsidRPr="00AA537D">
        <w:rPr>
          <w:rFonts w:hint="cs"/>
          <w:spacing w:val="0"/>
          <w:kern w:val="0"/>
          <w:rtl/>
          <w:lang w:val="en-CA"/>
        </w:rPr>
        <w:t>؛</w:t>
      </w:r>
      <w:r w:rsidRPr="00AA537D">
        <w:rPr>
          <w:spacing w:val="0"/>
          <w:kern w:val="0"/>
          <w:rtl/>
          <w:lang w:val="en-CA"/>
        </w:rPr>
        <w:t xml:space="preserve"> وعضو </w:t>
      </w:r>
      <w:r w:rsidRPr="00AA537D">
        <w:rPr>
          <w:rFonts w:hint="cs"/>
          <w:spacing w:val="0"/>
          <w:kern w:val="0"/>
          <w:rtl/>
          <w:lang w:val="en-CA"/>
        </w:rPr>
        <w:t>منظمة إ</w:t>
      </w:r>
      <w:r w:rsidRPr="00AA537D">
        <w:rPr>
          <w:spacing w:val="0"/>
          <w:kern w:val="0"/>
          <w:rtl/>
          <w:lang w:val="en-CA"/>
        </w:rPr>
        <w:t>يتا</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 xml:space="preserve">شريك </w:t>
      </w:r>
      <w:r w:rsidRPr="00AA537D">
        <w:rPr>
          <w:spacing w:val="0"/>
          <w:kern w:val="0"/>
          <w:rtl/>
          <w:lang w:val="en-CA"/>
        </w:rPr>
        <w:t>المتهم</w:t>
      </w:r>
      <w:r w:rsidRPr="00AA537D">
        <w:rPr>
          <w:rFonts w:hint="cs"/>
          <w:spacing w:val="0"/>
          <w:kern w:val="0"/>
          <w:rtl/>
          <w:lang w:val="en-CA"/>
        </w:rPr>
        <w:t>،</w:t>
      </w:r>
      <w:r w:rsidRPr="00AA537D">
        <w:rPr>
          <w:spacing w:val="0"/>
          <w:kern w:val="0"/>
          <w:rtl/>
          <w:lang w:val="en-CA"/>
        </w:rPr>
        <w:t xml:space="preserve"> الذي أكد أنه يعرف صاحب الشكوى، وأرملة القاضي</w:t>
      </w:r>
      <w:r w:rsidRPr="00AA537D">
        <w:rPr>
          <w:rFonts w:hint="cs"/>
          <w:spacing w:val="0"/>
          <w:kern w:val="0"/>
          <w:rtl/>
          <w:lang w:val="en-CA"/>
        </w:rPr>
        <w:t xml:space="preserve"> ليدون كوربي</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لم تجد المحكمة أي مخالفة في تطبيق القانون الأساسي رقم</w:t>
      </w:r>
      <w:r w:rsidR="003F4917">
        <w:rPr>
          <w:rFonts w:hint="cs"/>
          <w:spacing w:val="0"/>
          <w:kern w:val="0"/>
          <w:rtl/>
          <w:lang w:val="en-CA"/>
        </w:rPr>
        <w:t> </w:t>
      </w:r>
      <w:r w:rsidRPr="00AA537D">
        <w:rPr>
          <w:spacing w:val="0"/>
          <w:kern w:val="0"/>
          <w:rtl/>
          <w:lang w:val="en-CA"/>
        </w:rPr>
        <w:t>19/1994</w:t>
      </w:r>
      <w:r w:rsidRPr="00AA537D">
        <w:rPr>
          <w:rFonts w:hint="cs"/>
          <w:spacing w:val="0"/>
          <w:kern w:val="0"/>
          <w:rtl/>
          <w:lang w:val="en-CA"/>
        </w:rPr>
        <w:t>،</w:t>
      </w:r>
      <w:r w:rsidRPr="00AA537D">
        <w:rPr>
          <w:spacing w:val="0"/>
          <w:kern w:val="0"/>
          <w:rtl/>
          <w:lang w:val="en-CA"/>
        </w:rPr>
        <w:t xml:space="preserve"> و</w:t>
      </w:r>
      <w:r w:rsidRPr="00AA537D">
        <w:rPr>
          <w:rFonts w:hint="cs"/>
          <w:spacing w:val="0"/>
          <w:kern w:val="0"/>
          <w:rtl/>
          <w:lang w:val="en-CA"/>
        </w:rPr>
        <w:t>ذك</w:t>
      </w:r>
      <w:r w:rsidRPr="00AA537D">
        <w:rPr>
          <w:spacing w:val="0"/>
          <w:kern w:val="0"/>
          <w:rtl/>
          <w:lang w:val="en-CA"/>
        </w:rPr>
        <w:t>ر</w:t>
      </w:r>
      <w:r w:rsidRPr="00AA537D">
        <w:rPr>
          <w:rFonts w:hint="cs"/>
          <w:spacing w:val="0"/>
          <w:kern w:val="0"/>
          <w:rtl/>
          <w:lang w:val="en-CA"/>
        </w:rPr>
        <w:t>ت</w:t>
      </w:r>
      <w:r w:rsidRPr="00AA537D">
        <w:rPr>
          <w:spacing w:val="0"/>
          <w:kern w:val="0"/>
          <w:rtl/>
          <w:lang w:val="en-CA"/>
        </w:rPr>
        <w:t xml:space="preserve"> أن شهود الشرطة </w:t>
      </w:r>
      <w:r w:rsidRPr="00AA537D">
        <w:rPr>
          <w:rFonts w:hint="cs"/>
          <w:spacing w:val="0"/>
          <w:kern w:val="0"/>
          <w:rtl/>
          <w:lang w:val="en-CA"/>
        </w:rPr>
        <w:t xml:space="preserve">أدلوا بشهاداتهم </w:t>
      </w:r>
      <w:r w:rsidRPr="00AA537D">
        <w:rPr>
          <w:spacing w:val="0"/>
          <w:kern w:val="0"/>
          <w:rtl/>
          <w:lang w:val="en-CA"/>
        </w:rPr>
        <w:t xml:space="preserve">بناء على طلب من </w:t>
      </w:r>
      <w:r w:rsidRPr="00AA537D">
        <w:rPr>
          <w:rFonts w:hint="cs"/>
          <w:spacing w:val="0"/>
          <w:kern w:val="0"/>
          <w:rtl/>
          <w:lang w:val="en-CA"/>
        </w:rPr>
        <w:t xml:space="preserve">دائرة </w:t>
      </w:r>
      <w:r w:rsidRPr="00AA537D">
        <w:rPr>
          <w:spacing w:val="0"/>
          <w:kern w:val="0"/>
          <w:rtl/>
          <w:lang w:val="en-CA"/>
        </w:rPr>
        <w:t xml:space="preserve">النيابة العامة </w:t>
      </w:r>
      <w:r w:rsidRPr="00AA537D">
        <w:rPr>
          <w:rFonts w:hint="cs"/>
          <w:spacing w:val="0"/>
          <w:kern w:val="0"/>
          <w:rtl/>
          <w:lang w:val="en-CA"/>
        </w:rPr>
        <w:t>ب</w:t>
      </w:r>
      <w:r w:rsidRPr="00AA537D">
        <w:rPr>
          <w:spacing w:val="0"/>
          <w:kern w:val="0"/>
          <w:rtl/>
          <w:lang w:val="en-CA"/>
        </w:rPr>
        <w:t xml:space="preserve">أرقام </w:t>
      </w:r>
      <w:r w:rsidRPr="00AA537D">
        <w:rPr>
          <w:rFonts w:hint="cs"/>
          <w:spacing w:val="0"/>
          <w:kern w:val="0"/>
          <w:rtl/>
          <w:lang w:val="en-CA"/>
        </w:rPr>
        <w:t>مؤقتة ل</w:t>
      </w:r>
      <w:r w:rsidRPr="00AA537D">
        <w:rPr>
          <w:spacing w:val="0"/>
          <w:kern w:val="0"/>
          <w:rtl/>
          <w:lang w:val="en-CA"/>
        </w:rPr>
        <w:t xml:space="preserve">تعريف </w:t>
      </w:r>
      <w:r w:rsidRPr="00AA537D">
        <w:rPr>
          <w:rFonts w:hint="cs"/>
          <w:spacing w:val="0"/>
          <w:kern w:val="0"/>
          <w:rtl/>
          <w:lang w:val="en-CA"/>
        </w:rPr>
        <w:t xml:space="preserve">الهوية قدمتها </w:t>
      </w:r>
      <w:r w:rsidRPr="00AA537D">
        <w:rPr>
          <w:spacing w:val="0"/>
          <w:kern w:val="0"/>
          <w:rtl/>
          <w:lang w:val="en-CA"/>
        </w:rPr>
        <w:t xml:space="preserve">الشرطة لغرض نظر المحكمة في </w:t>
      </w:r>
      <w:r w:rsidRPr="00AA537D">
        <w:rPr>
          <w:rFonts w:hint="cs"/>
          <w:spacing w:val="0"/>
          <w:kern w:val="0"/>
          <w:rtl/>
          <w:lang w:val="en-CA"/>
        </w:rPr>
        <w:t>محضر</w:t>
      </w:r>
      <w:r w:rsidRPr="00AA537D">
        <w:rPr>
          <w:spacing w:val="0"/>
          <w:kern w:val="0"/>
          <w:rtl/>
          <w:lang w:val="en-CA"/>
        </w:rPr>
        <w:t xml:space="preserve"> </w:t>
      </w:r>
      <w:r w:rsidRPr="00AA537D">
        <w:rPr>
          <w:rFonts w:hint="cs"/>
          <w:spacing w:val="0"/>
          <w:kern w:val="0"/>
          <w:rtl/>
          <w:lang w:val="en-CA"/>
        </w:rPr>
        <w:t>ا</w:t>
      </w:r>
      <w:r w:rsidRPr="00AA537D">
        <w:rPr>
          <w:spacing w:val="0"/>
          <w:kern w:val="0"/>
          <w:rtl/>
          <w:lang w:val="en-CA"/>
        </w:rPr>
        <w:t>لشرطة وتمشيا</w:t>
      </w:r>
      <w:r w:rsidRPr="00AA537D">
        <w:rPr>
          <w:rFonts w:hint="cs"/>
          <w:spacing w:val="0"/>
          <w:kern w:val="0"/>
          <w:rtl/>
          <w:lang w:val="en-CA"/>
        </w:rPr>
        <w:t>ً</w:t>
      </w:r>
      <w:r w:rsidRPr="00AA537D">
        <w:rPr>
          <w:spacing w:val="0"/>
          <w:kern w:val="0"/>
          <w:rtl/>
          <w:lang w:val="en-CA"/>
        </w:rPr>
        <w:t xml:space="preserve"> مع موافقة المحكمة العليا الوطنية </w:t>
      </w:r>
      <w:r w:rsidRPr="00AA537D">
        <w:rPr>
          <w:rFonts w:hint="cs"/>
          <w:spacing w:val="0"/>
          <w:kern w:val="0"/>
          <w:rtl/>
          <w:lang w:val="en-CA"/>
        </w:rPr>
        <w:t xml:space="preserve">على </w:t>
      </w:r>
      <w:r w:rsidRPr="00AA537D">
        <w:rPr>
          <w:spacing w:val="0"/>
          <w:kern w:val="0"/>
          <w:rtl/>
          <w:lang w:val="en-CA"/>
        </w:rPr>
        <w:t xml:space="preserve">تدابير الحماية القانونية </w:t>
      </w:r>
      <w:r w:rsidRPr="00AA537D">
        <w:rPr>
          <w:rFonts w:hint="cs"/>
          <w:spacing w:val="0"/>
          <w:kern w:val="0"/>
          <w:rtl/>
          <w:lang w:val="en-CA"/>
        </w:rPr>
        <w:t>المصممة ل</w:t>
      </w:r>
      <w:r w:rsidRPr="00AA537D">
        <w:rPr>
          <w:spacing w:val="0"/>
          <w:kern w:val="0"/>
          <w:rtl/>
          <w:lang w:val="en-CA"/>
        </w:rPr>
        <w:t xml:space="preserve">حماية حقهم في الحياة. </w:t>
      </w:r>
      <w:r w:rsidRPr="00AA537D">
        <w:rPr>
          <w:rFonts w:hint="cs"/>
          <w:spacing w:val="0"/>
          <w:kern w:val="0"/>
          <w:rtl/>
          <w:lang w:val="en-CA"/>
        </w:rPr>
        <w:t>و</w:t>
      </w:r>
      <w:r w:rsidRPr="00AA537D">
        <w:rPr>
          <w:spacing w:val="0"/>
          <w:kern w:val="0"/>
          <w:rtl/>
          <w:lang w:val="en-CA"/>
        </w:rPr>
        <w:t xml:space="preserve">وفقاً للقرار، مارس محامي </w:t>
      </w:r>
      <w:r w:rsidRPr="00AA537D">
        <w:rPr>
          <w:rFonts w:hint="cs"/>
          <w:spacing w:val="0"/>
          <w:kern w:val="0"/>
          <w:rtl/>
          <w:lang w:val="en-CA"/>
        </w:rPr>
        <w:t>صاحب الشكوى</w:t>
      </w:r>
      <w:r w:rsidRPr="00AA537D">
        <w:rPr>
          <w:spacing w:val="0"/>
          <w:kern w:val="0"/>
          <w:rtl/>
          <w:lang w:val="en-CA"/>
        </w:rPr>
        <w:t xml:space="preserve"> الحق في استجواب الشهود بطريقة عادية و</w:t>
      </w:r>
      <w:r w:rsidRPr="00AA537D">
        <w:rPr>
          <w:rFonts w:hint="cs"/>
          <w:spacing w:val="0"/>
          <w:kern w:val="0"/>
          <w:rtl/>
          <w:lang w:val="en-CA"/>
        </w:rPr>
        <w:t>ا</w:t>
      </w:r>
      <w:r w:rsidRPr="00AA537D">
        <w:rPr>
          <w:spacing w:val="0"/>
          <w:kern w:val="0"/>
          <w:rtl/>
          <w:lang w:val="en-CA"/>
        </w:rPr>
        <w:t>عترف بصحة التقرير الذي أعدته شرطة الباسك وال</w:t>
      </w:r>
      <w:r w:rsidRPr="00AA537D">
        <w:rPr>
          <w:rFonts w:hint="cs"/>
          <w:spacing w:val="0"/>
          <w:kern w:val="0"/>
          <w:rtl/>
          <w:lang w:val="en-CA"/>
        </w:rPr>
        <w:t>ذ</w:t>
      </w:r>
      <w:r w:rsidRPr="00AA537D">
        <w:rPr>
          <w:spacing w:val="0"/>
          <w:kern w:val="0"/>
          <w:rtl/>
          <w:lang w:val="en-CA"/>
        </w:rPr>
        <w:t xml:space="preserve">ي أظهر أن </w:t>
      </w:r>
      <w:r w:rsidRPr="00AA537D">
        <w:rPr>
          <w:rFonts w:hint="cs"/>
          <w:spacing w:val="0"/>
          <w:kern w:val="0"/>
          <w:rtl/>
          <w:lang w:val="en-CA"/>
        </w:rPr>
        <w:t>أقوال</w:t>
      </w:r>
      <w:r w:rsidRPr="00AA537D">
        <w:rPr>
          <w:spacing w:val="0"/>
          <w:kern w:val="0"/>
          <w:rtl/>
          <w:lang w:val="en-CA"/>
        </w:rPr>
        <w:t xml:space="preserve"> صاحب الشكوى </w:t>
      </w:r>
      <w:r w:rsidRPr="00AA537D">
        <w:rPr>
          <w:rFonts w:hint="cs"/>
          <w:spacing w:val="0"/>
          <w:kern w:val="0"/>
          <w:rtl/>
          <w:lang w:val="en-CA"/>
        </w:rPr>
        <w:t>تدعمها</w:t>
      </w:r>
      <w:r w:rsidRPr="00AA537D">
        <w:rPr>
          <w:spacing w:val="0"/>
          <w:kern w:val="0"/>
          <w:rtl/>
          <w:lang w:val="en-CA"/>
        </w:rPr>
        <w:t xml:space="preserve"> الأدلة ال</w:t>
      </w:r>
      <w:r w:rsidRPr="00AA537D">
        <w:rPr>
          <w:rFonts w:hint="cs"/>
          <w:spacing w:val="0"/>
          <w:kern w:val="0"/>
          <w:rtl/>
          <w:lang w:val="en-CA"/>
        </w:rPr>
        <w:t>بيانية</w:t>
      </w:r>
      <w:r w:rsidRPr="00AA537D">
        <w:rPr>
          <w:spacing w:val="0"/>
          <w:kern w:val="0"/>
          <w:rtl/>
          <w:lang w:val="en-CA"/>
        </w:rPr>
        <w:t>.</w:t>
      </w:r>
    </w:p>
    <w:p w:rsidR="00FA6676" w:rsidRPr="00AA537D" w:rsidRDefault="00FA6676" w:rsidP="001A08AE">
      <w:pPr>
        <w:pStyle w:val="SingleTxtGA"/>
        <w:jc w:val="lowKashida"/>
        <w:rPr>
          <w:rFonts w:hint="cs"/>
          <w:spacing w:val="0"/>
          <w:kern w:val="0"/>
          <w:rtl/>
          <w:lang w:val="en-CA"/>
        </w:rPr>
      </w:pPr>
      <w:r w:rsidRPr="00AA537D">
        <w:rPr>
          <w:rFonts w:hint="cs"/>
          <w:spacing w:val="0"/>
          <w:kern w:val="0"/>
          <w:rtl/>
          <w:lang w:val="en-CA"/>
        </w:rPr>
        <w:t>2-20</w:t>
      </w:r>
      <w:r w:rsidRPr="00AA537D">
        <w:rPr>
          <w:rFonts w:hint="cs"/>
          <w:spacing w:val="0"/>
          <w:kern w:val="0"/>
          <w:rtl/>
          <w:lang w:val="en-CA"/>
        </w:rPr>
        <w:tab/>
        <w:t>وأعرب عضوان</w:t>
      </w:r>
      <w:r w:rsidRPr="00AA537D">
        <w:rPr>
          <w:spacing w:val="0"/>
          <w:kern w:val="0"/>
          <w:rtl/>
          <w:lang w:val="en-CA"/>
        </w:rPr>
        <w:t xml:space="preserve"> من أعضاء المحكمة العليا</w:t>
      </w:r>
      <w:r w:rsidRPr="00AA537D">
        <w:rPr>
          <w:rFonts w:hint="cs"/>
          <w:spacing w:val="0"/>
          <w:kern w:val="0"/>
          <w:rtl/>
          <w:lang w:val="en-CA"/>
        </w:rPr>
        <w:t xml:space="preserve"> عن</w:t>
      </w:r>
      <w:r w:rsidRPr="00AA537D">
        <w:rPr>
          <w:spacing w:val="0"/>
          <w:kern w:val="0"/>
          <w:rtl/>
          <w:lang w:val="en-CA"/>
        </w:rPr>
        <w:t xml:space="preserve"> آراء مخالفة. و</w:t>
      </w:r>
      <w:r w:rsidRPr="00AA537D">
        <w:rPr>
          <w:rFonts w:hint="cs"/>
          <w:spacing w:val="0"/>
          <w:kern w:val="0"/>
          <w:rtl/>
          <w:lang w:val="en-CA"/>
        </w:rPr>
        <w:t>شكك</w:t>
      </w:r>
      <w:r w:rsidRPr="00AA537D">
        <w:rPr>
          <w:spacing w:val="0"/>
          <w:kern w:val="0"/>
          <w:rtl/>
          <w:lang w:val="en-CA"/>
        </w:rPr>
        <w:t xml:space="preserve"> </w:t>
      </w:r>
      <w:r w:rsidRPr="00AA537D">
        <w:rPr>
          <w:rFonts w:hint="cs"/>
          <w:spacing w:val="0"/>
          <w:kern w:val="0"/>
          <w:rtl/>
          <w:lang w:val="en-CA"/>
        </w:rPr>
        <w:t>العضو ال</w:t>
      </w:r>
      <w:r w:rsidRPr="00AA537D">
        <w:rPr>
          <w:spacing w:val="0"/>
          <w:kern w:val="0"/>
          <w:rtl/>
          <w:lang w:val="en-CA"/>
        </w:rPr>
        <w:t xml:space="preserve">أول </w:t>
      </w:r>
      <w:r w:rsidRPr="00AA537D">
        <w:rPr>
          <w:rFonts w:hint="cs"/>
          <w:spacing w:val="0"/>
          <w:kern w:val="0"/>
          <w:rtl/>
          <w:lang w:val="en-CA"/>
        </w:rPr>
        <w:t>في مدى إمكانية قب</w:t>
      </w:r>
      <w:r w:rsidRPr="00AA537D">
        <w:rPr>
          <w:spacing w:val="0"/>
          <w:kern w:val="0"/>
          <w:rtl/>
          <w:lang w:val="en-CA"/>
        </w:rPr>
        <w:t xml:space="preserve">ول </w:t>
      </w:r>
      <w:r w:rsidRPr="00AA537D">
        <w:rPr>
          <w:rFonts w:hint="cs"/>
          <w:spacing w:val="0"/>
          <w:kern w:val="0"/>
          <w:rtl/>
          <w:lang w:val="en-CA"/>
        </w:rPr>
        <w:t>الاعترافات</w:t>
      </w:r>
      <w:r w:rsidRPr="00AA537D">
        <w:rPr>
          <w:spacing w:val="0"/>
          <w:kern w:val="0"/>
          <w:rtl/>
          <w:lang w:val="en-CA"/>
        </w:rPr>
        <w:t xml:space="preserve"> </w:t>
      </w:r>
      <w:r w:rsidRPr="00AA537D">
        <w:rPr>
          <w:rFonts w:hint="cs"/>
          <w:spacing w:val="0"/>
          <w:kern w:val="0"/>
          <w:rtl/>
          <w:lang w:val="en-CA"/>
        </w:rPr>
        <w:t>ال</w:t>
      </w:r>
      <w:r w:rsidRPr="00AA537D">
        <w:rPr>
          <w:spacing w:val="0"/>
          <w:kern w:val="0"/>
          <w:rtl/>
          <w:lang w:val="en-CA"/>
        </w:rPr>
        <w:t xml:space="preserve">واردة في </w:t>
      </w:r>
      <w:r w:rsidRPr="00AA537D">
        <w:rPr>
          <w:rFonts w:hint="cs"/>
          <w:spacing w:val="0"/>
          <w:kern w:val="0"/>
          <w:rtl/>
          <w:lang w:val="en-CA"/>
        </w:rPr>
        <w:t>محضر</w:t>
      </w:r>
      <w:r w:rsidRPr="00AA537D">
        <w:rPr>
          <w:spacing w:val="0"/>
          <w:kern w:val="0"/>
          <w:rtl/>
          <w:lang w:val="en-CA"/>
        </w:rPr>
        <w:t xml:space="preserve"> </w:t>
      </w:r>
      <w:r w:rsidRPr="00AA537D">
        <w:rPr>
          <w:rFonts w:hint="cs"/>
          <w:spacing w:val="0"/>
          <w:kern w:val="0"/>
          <w:rtl/>
          <w:lang w:val="en-CA"/>
        </w:rPr>
        <w:t>لل</w:t>
      </w:r>
      <w:r w:rsidRPr="00AA537D">
        <w:rPr>
          <w:spacing w:val="0"/>
          <w:kern w:val="0"/>
          <w:rtl/>
          <w:lang w:val="en-CA"/>
        </w:rPr>
        <w:t xml:space="preserve">شرطة </w:t>
      </w:r>
      <w:r w:rsidRPr="00AA537D">
        <w:rPr>
          <w:rFonts w:hint="cs"/>
          <w:spacing w:val="0"/>
          <w:kern w:val="0"/>
          <w:rtl/>
          <w:lang w:val="en-CA"/>
        </w:rPr>
        <w:t xml:space="preserve">كدليل جائز، حيث لم يجر </w:t>
      </w:r>
      <w:r w:rsidRPr="00AA537D">
        <w:rPr>
          <w:spacing w:val="0"/>
          <w:kern w:val="0"/>
          <w:rtl/>
          <w:lang w:val="en-CA"/>
        </w:rPr>
        <w:t xml:space="preserve">التحقق منها لا خلال إجراءات المحكمة ولا عند سماع الأدلة. </w:t>
      </w:r>
      <w:r w:rsidRPr="00AA537D">
        <w:rPr>
          <w:rFonts w:hint="cs"/>
          <w:spacing w:val="0"/>
          <w:kern w:val="0"/>
          <w:rtl/>
          <w:lang w:val="en-CA"/>
        </w:rPr>
        <w:t>وذكر العضو الأول في رأيه</w:t>
      </w:r>
      <w:r w:rsidRPr="00AA537D">
        <w:rPr>
          <w:spacing w:val="0"/>
          <w:kern w:val="0"/>
          <w:rtl/>
          <w:lang w:val="en-CA"/>
        </w:rPr>
        <w:t xml:space="preserve"> أن</w:t>
      </w:r>
      <w:r w:rsidRPr="00AA537D">
        <w:rPr>
          <w:rFonts w:hint="cs"/>
          <w:spacing w:val="0"/>
          <w:kern w:val="0"/>
          <w:rtl/>
          <w:lang w:val="en-CA"/>
        </w:rPr>
        <w:t>ه لا يجوز تقديم الاعترافات التي يدل</w:t>
      </w:r>
      <w:r w:rsidR="001A08AE">
        <w:rPr>
          <w:rFonts w:hint="cs"/>
          <w:spacing w:val="0"/>
          <w:kern w:val="0"/>
          <w:rtl/>
          <w:lang w:val="en-CA"/>
        </w:rPr>
        <w:t>ي</w:t>
      </w:r>
      <w:r w:rsidRPr="00AA537D">
        <w:rPr>
          <w:rFonts w:hint="cs"/>
          <w:spacing w:val="0"/>
          <w:kern w:val="0"/>
          <w:rtl/>
          <w:lang w:val="en-CA"/>
        </w:rPr>
        <w:t xml:space="preserve"> بها الشخص في </w:t>
      </w:r>
      <w:r w:rsidRPr="00AA537D">
        <w:rPr>
          <w:spacing w:val="0"/>
          <w:kern w:val="0"/>
          <w:rtl/>
          <w:lang w:val="en-CA"/>
        </w:rPr>
        <w:t xml:space="preserve">مراكز الشرطة </w:t>
      </w:r>
      <w:r w:rsidRPr="00AA537D">
        <w:rPr>
          <w:rFonts w:hint="cs"/>
          <w:spacing w:val="0"/>
          <w:kern w:val="0"/>
          <w:rtl/>
          <w:lang w:val="en-CA"/>
        </w:rPr>
        <w:t xml:space="preserve">إلى المحكمة </w:t>
      </w:r>
      <w:r w:rsidRPr="00AA537D">
        <w:rPr>
          <w:spacing w:val="0"/>
          <w:kern w:val="0"/>
          <w:rtl/>
          <w:lang w:val="en-CA"/>
        </w:rPr>
        <w:t xml:space="preserve">في شكل </w:t>
      </w:r>
      <w:r w:rsidRPr="00AA537D">
        <w:rPr>
          <w:rFonts w:hint="cs"/>
          <w:spacing w:val="0"/>
          <w:kern w:val="0"/>
          <w:rtl/>
          <w:lang w:val="en-CA"/>
        </w:rPr>
        <w:t>إفادات</w:t>
      </w:r>
      <w:r w:rsidRPr="00AA537D">
        <w:rPr>
          <w:spacing w:val="0"/>
          <w:kern w:val="0"/>
          <w:rtl/>
          <w:lang w:val="en-CA"/>
        </w:rPr>
        <w:t xml:space="preserve"> </w:t>
      </w:r>
      <w:r w:rsidRPr="00AA537D">
        <w:rPr>
          <w:rFonts w:hint="cs"/>
          <w:spacing w:val="0"/>
          <w:kern w:val="0"/>
          <w:rtl/>
          <w:lang w:val="en-CA"/>
        </w:rPr>
        <w:t>صادرة عن أفراد</w:t>
      </w:r>
      <w:r w:rsidRPr="00AA537D">
        <w:rPr>
          <w:spacing w:val="0"/>
          <w:kern w:val="0"/>
          <w:rtl/>
          <w:lang w:val="en-CA"/>
        </w:rPr>
        <w:t xml:space="preserve"> الشرطة الذي</w:t>
      </w:r>
      <w:r w:rsidRPr="00AA537D">
        <w:rPr>
          <w:rFonts w:hint="cs"/>
          <w:spacing w:val="0"/>
          <w:kern w:val="0"/>
          <w:rtl/>
          <w:lang w:val="en-CA"/>
        </w:rPr>
        <w:t>ن</w:t>
      </w:r>
      <w:r w:rsidRPr="00AA537D">
        <w:rPr>
          <w:spacing w:val="0"/>
          <w:kern w:val="0"/>
          <w:rtl/>
          <w:lang w:val="en-CA"/>
        </w:rPr>
        <w:t xml:space="preserve"> أخذ</w:t>
      </w:r>
      <w:r w:rsidRPr="00AA537D">
        <w:rPr>
          <w:rFonts w:hint="cs"/>
          <w:spacing w:val="0"/>
          <w:kern w:val="0"/>
          <w:rtl/>
          <w:lang w:val="en-CA"/>
        </w:rPr>
        <w:t>وا</w:t>
      </w:r>
      <w:r w:rsidRPr="00AA537D">
        <w:rPr>
          <w:spacing w:val="0"/>
          <w:kern w:val="0"/>
          <w:rtl/>
          <w:lang w:val="en-CA"/>
        </w:rPr>
        <w:t xml:space="preserve"> تلك </w:t>
      </w:r>
      <w:r w:rsidRPr="00AA537D">
        <w:rPr>
          <w:rFonts w:hint="cs"/>
          <w:spacing w:val="0"/>
          <w:kern w:val="0"/>
          <w:rtl/>
          <w:lang w:val="en-CA"/>
        </w:rPr>
        <w:t>الاعترافات</w:t>
      </w:r>
      <w:r w:rsidRPr="00AA537D">
        <w:rPr>
          <w:spacing w:val="0"/>
          <w:kern w:val="0"/>
          <w:rtl/>
          <w:lang w:val="en-CA"/>
        </w:rPr>
        <w:t>، لأن</w:t>
      </w:r>
      <w:r w:rsidRPr="00AA537D">
        <w:rPr>
          <w:rFonts w:hint="cs"/>
          <w:spacing w:val="0"/>
          <w:kern w:val="0"/>
          <w:rtl/>
          <w:lang w:val="en-CA"/>
        </w:rPr>
        <w:t xml:space="preserve"> ذلك ي</w:t>
      </w:r>
      <w:r w:rsidRPr="00AA537D">
        <w:rPr>
          <w:spacing w:val="0"/>
          <w:kern w:val="0"/>
          <w:rtl/>
          <w:lang w:val="en-CA"/>
        </w:rPr>
        <w:t xml:space="preserve">نتهك حق المتهم </w:t>
      </w:r>
      <w:r w:rsidRPr="00AA537D">
        <w:rPr>
          <w:rFonts w:hint="cs"/>
          <w:spacing w:val="0"/>
          <w:kern w:val="0"/>
          <w:rtl/>
          <w:lang w:val="en-CA"/>
        </w:rPr>
        <w:t>في</w:t>
      </w:r>
      <w:r w:rsidRPr="00AA537D">
        <w:rPr>
          <w:spacing w:val="0"/>
          <w:kern w:val="0"/>
          <w:rtl/>
          <w:lang w:val="en-CA"/>
        </w:rPr>
        <w:t xml:space="preserve"> </w:t>
      </w:r>
      <w:r w:rsidRPr="00AA537D">
        <w:rPr>
          <w:rFonts w:hint="cs"/>
          <w:spacing w:val="0"/>
          <w:kern w:val="0"/>
          <w:rtl/>
          <w:lang w:val="en-CA"/>
        </w:rPr>
        <w:t xml:space="preserve">ألا يشهد على نفسه أو في التزام الصمت. </w:t>
      </w:r>
      <w:r w:rsidRPr="00AA537D">
        <w:rPr>
          <w:spacing w:val="0"/>
          <w:kern w:val="0"/>
          <w:rtl/>
          <w:lang w:val="en-CA"/>
        </w:rPr>
        <w:t>وذكر أن</w:t>
      </w:r>
      <w:r w:rsidRPr="00AA537D">
        <w:rPr>
          <w:rFonts w:hint="cs"/>
          <w:spacing w:val="0"/>
          <w:kern w:val="0"/>
          <w:rtl/>
          <w:lang w:val="en-CA"/>
        </w:rPr>
        <w:t>ه لا يجوز لأفراد</w:t>
      </w:r>
      <w:r w:rsidRPr="00AA537D">
        <w:rPr>
          <w:spacing w:val="0"/>
          <w:kern w:val="0"/>
          <w:rtl/>
          <w:lang w:val="en-CA"/>
        </w:rPr>
        <w:t xml:space="preserve"> الشرطة </w:t>
      </w:r>
      <w:r w:rsidRPr="00AA537D">
        <w:rPr>
          <w:rFonts w:hint="cs"/>
          <w:spacing w:val="0"/>
          <w:kern w:val="0"/>
          <w:rtl/>
          <w:lang w:val="en-CA"/>
        </w:rPr>
        <w:t xml:space="preserve">أن يتكلموا باسم </w:t>
      </w:r>
      <w:r w:rsidRPr="00AA537D">
        <w:rPr>
          <w:spacing w:val="0"/>
          <w:kern w:val="0"/>
          <w:rtl/>
          <w:lang w:val="en-CA"/>
        </w:rPr>
        <w:t xml:space="preserve">الشخص الذي أدلى </w:t>
      </w:r>
      <w:r w:rsidRPr="00AA537D">
        <w:rPr>
          <w:rFonts w:hint="cs"/>
          <w:spacing w:val="0"/>
          <w:kern w:val="0"/>
          <w:rtl/>
          <w:lang w:val="en-CA"/>
        </w:rPr>
        <w:t xml:space="preserve">بالأقوال </w:t>
      </w:r>
      <w:r w:rsidRPr="00AA537D">
        <w:rPr>
          <w:spacing w:val="0"/>
          <w:kern w:val="0"/>
          <w:rtl/>
          <w:lang w:val="en-CA"/>
        </w:rPr>
        <w:t xml:space="preserve">إذا كان هذا الشخص </w:t>
      </w:r>
      <w:r w:rsidRPr="00AA537D">
        <w:rPr>
          <w:rFonts w:hint="cs"/>
          <w:spacing w:val="0"/>
          <w:kern w:val="0"/>
          <w:rtl/>
          <w:lang w:val="en-CA"/>
        </w:rPr>
        <w:t>حاضراً</w:t>
      </w:r>
      <w:r w:rsidRPr="00AA537D">
        <w:rPr>
          <w:spacing w:val="0"/>
          <w:kern w:val="0"/>
          <w:rtl/>
          <w:lang w:val="en-CA"/>
        </w:rPr>
        <w:t xml:space="preserve"> في المحكمة. </w:t>
      </w:r>
      <w:r w:rsidRPr="00AA537D">
        <w:rPr>
          <w:rFonts w:hint="cs"/>
          <w:spacing w:val="0"/>
          <w:kern w:val="0"/>
          <w:rtl/>
          <w:lang w:val="en-CA"/>
        </w:rPr>
        <w:t>وخلص إلى القول</w:t>
      </w:r>
      <w:r w:rsidRPr="00AA537D">
        <w:rPr>
          <w:spacing w:val="0"/>
          <w:kern w:val="0"/>
          <w:rtl/>
          <w:lang w:val="en-CA"/>
        </w:rPr>
        <w:t xml:space="preserve"> </w:t>
      </w:r>
      <w:r w:rsidRPr="00AA537D">
        <w:rPr>
          <w:rFonts w:hint="cs"/>
          <w:spacing w:val="0"/>
          <w:kern w:val="0"/>
          <w:rtl/>
          <w:lang w:val="en-CA"/>
        </w:rPr>
        <w:t>بأن الاعترافات</w:t>
      </w:r>
      <w:r w:rsidRPr="00AA537D">
        <w:rPr>
          <w:spacing w:val="0"/>
          <w:kern w:val="0"/>
          <w:rtl/>
          <w:lang w:val="en-CA"/>
        </w:rPr>
        <w:t xml:space="preserve"> </w:t>
      </w:r>
      <w:r w:rsidRPr="00AA537D">
        <w:rPr>
          <w:rFonts w:hint="cs"/>
          <w:spacing w:val="0"/>
          <w:kern w:val="0"/>
          <w:rtl/>
          <w:lang w:val="en-CA"/>
        </w:rPr>
        <w:t>التي تحصل عليها الشرطة بطريقة قانونية يمكن و</w:t>
      </w:r>
      <w:r w:rsidRPr="00AA537D">
        <w:rPr>
          <w:spacing w:val="0"/>
          <w:kern w:val="0"/>
          <w:rtl/>
          <w:lang w:val="en-CA"/>
        </w:rPr>
        <w:t xml:space="preserve">يجب </w:t>
      </w:r>
      <w:r w:rsidRPr="00AA537D">
        <w:rPr>
          <w:rFonts w:hint="cs"/>
          <w:spacing w:val="0"/>
          <w:kern w:val="0"/>
          <w:rtl/>
          <w:lang w:val="en-CA"/>
        </w:rPr>
        <w:t xml:space="preserve">أخذها في الاعتبار لأغراض </w:t>
      </w:r>
      <w:r w:rsidRPr="00AA537D">
        <w:rPr>
          <w:spacing w:val="0"/>
          <w:kern w:val="0"/>
          <w:rtl/>
          <w:lang w:val="en-CA"/>
        </w:rPr>
        <w:t>التحقيق</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 xml:space="preserve">وأن </w:t>
      </w:r>
      <w:r w:rsidRPr="00AA537D">
        <w:rPr>
          <w:spacing w:val="0"/>
          <w:kern w:val="0"/>
          <w:rtl/>
          <w:lang w:val="en-CA"/>
        </w:rPr>
        <w:t xml:space="preserve">المعلومات التي </w:t>
      </w:r>
      <w:r w:rsidRPr="00AA537D">
        <w:rPr>
          <w:rFonts w:hint="cs"/>
          <w:spacing w:val="0"/>
          <w:kern w:val="0"/>
          <w:rtl/>
          <w:lang w:val="en-CA"/>
        </w:rPr>
        <w:t>يتم الحصول</w:t>
      </w:r>
      <w:r w:rsidRPr="00AA537D">
        <w:rPr>
          <w:spacing w:val="0"/>
          <w:kern w:val="0"/>
          <w:rtl/>
          <w:lang w:val="en-CA"/>
        </w:rPr>
        <w:t xml:space="preserve"> عليها</w:t>
      </w:r>
      <w:r w:rsidRPr="00AA537D">
        <w:rPr>
          <w:rFonts w:hint="cs"/>
          <w:spacing w:val="0"/>
          <w:kern w:val="0"/>
          <w:rtl/>
          <w:lang w:val="en-CA"/>
        </w:rPr>
        <w:t xml:space="preserve"> يمكن استخدامها</w:t>
      </w:r>
      <w:r w:rsidRPr="00AA537D">
        <w:rPr>
          <w:spacing w:val="0"/>
          <w:kern w:val="0"/>
          <w:rtl/>
          <w:lang w:val="en-CA"/>
        </w:rPr>
        <w:t xml:space="preserve"> كمصدر للأدلة، </w:t>
      </w:r>
      <w:r w:rsidRPr="00AA537D">
        <w:rPr>
          <w:rFonts w:hint="cs"/>
          <w:spacing w:val="0"/>
          <w:kern w:val="0"/>
          <w:rtl/>
          <w:lang w:val="en-CA"/>
        </w:rPr>
        <w:t>ب</w:t>
      </w:r>
      <w:r w:rsidRPr="00AA537D">
        <w:rPr>
          <w:spacing w:val="0"/>
          <w:kern w:val="0"/>
          <w:rtl/>
          <w:lang w:val="en-CA"/>
        </w:rPr>
        <w:t xml:space="preserve">دون أن تؤخذ على </w:t>
      </w:r>
      <w:r w:rsidRPr="00AA537D">
        <w:rPr>
          <w:rFonts w:hint="cs"/>
          <w:spacing w:val="0"/>
          <w:kern w:val="0"/>
          <w:rtl/>
          <w:lang w:val="en-CA"/>
        </w:rPr>
        <w:t xml:space="preserve">أن لها صفة الإثبات للوقائع التي </w:t>
      </w:r>
      <w:r w:rsidRPr="00AA537D">
        <w:rPr>
          <w:spacing w:val="0"/>
          <w:kern w:val="0"/>
          <w:rtl/>
          <w:lang w:val="en-CA"/>
        </w:rPr>
        <w:t>ي</w:t>
      </w:r>
      <w:r w:rsidRPr="00AA537D">
        <w:rPr>
          <w:rFonts w:hint="cs"/>
          <w:spacing w:val="0"/>
          <w:kern w:val="0"/>
          <w:rtl/>
          <w:lang w:val="en-CA"/>
        </w:rPr>
        <w:t>ُ</w:t>
      </w:r>
      <w:r w:rsidRPr="00AA537D">
        <w:rPr>
          <w:spacing w:val="0"/>
          <w:kern w:val="0"/>
          <w:rtl/>
          <w:lang w:val="en-CA"/>
        </w:rPr>
        <w:t xml:space="preserve">حكم </w:t>
      </w:r>
      <w:r w:rsidRPr="00AA537D">
        <w:rPr>
          <w:rFonts w:hint="cs"/>
          <w:spacing w:val="0"/>
          <w:kern w:val="0"/>
          <w:rtl/>
          <w:lang w:val="en-CA"/>
        </w:rPr>
        <w:t>بشأنها</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خلص </w:t>
      </w:r>
      <w:r w:rsidRPr="00AA537D">
        <w:rPr>
          <w:rFonts w:hint="cs"/>
          <w:spacing w:val="0"/>
          <w:kern w:val="0"/>
          <w:rtl/>
          <w:lang w:val="en-CA"/>
        </w:rPr>
        <w:t>القاضي</w:t>
      </w:r>
      <w:r w:rsidRPr="00AA537D">
        <w:rPr>
          <w:spacing w:val="0"/>
          <w:kern w:val="0"/>
          <w:rtl/>
          <w:lang w:val="en-CA"/>
        </w:rPr>
        <w:t xml:space="preserve"> الثاني أيضاً </w:t>
      </w:r>
      <w:r w:rsidRPr="00AA537D">
        <w:rPr>
          <w:rFonts w:hint="cs"/>
          <w:spacing w:val="0"/>
          <w:kern w:val="0"/>
          <w:rtl/>
          <w:lang w:val="en-CA"/>
        </w:rPr>
        <w:t xml:space="preserve">إلى </w:t>
      </w:r>
      <w:r w:rsidRPr="00AA537D">
        <w:rPr>
          <w:spacing w:val="0"/>
          <w:kern w:val="0"/>
          <w:rtl/>
          <w:lang w:val="en-CA"/>
        </w:rPr>
        <w:t xml:space="preserve">أنه لا يجوز </w:t>
      </w:r>
      <w:r w:rsidRPr="00AA537D">
        <w:rPr>
          <w:rFonts w:hint="cs"/>
          <w:spacing w:val="0"/>
          <w:kern w:val="0"/>
          <w:rtl/>
          <w:lang w:val="en-CA"/>
        </w:rPr>
        <w:t>تقديم أقوال يُدلي بها المتهم في مركز ا</w:t>
      </w:r>
      <w:r w:rsidRPr="00AA537D">
        <w:rPr>
          <w:spacing w:val="0"/>
          <w:kern w:val="0"/>
          <w:rtl/>
          <w:lang w:val="en-CA"/>
        </w:rPr>
        <w:t xml:space="preserve">لشرطة كدليل </w:t>
      </w:r>
      <w:r w:rsidRPr="00AA537D">
        <w:rPr>
          <w:rFonts w:hint="cs"/>
          <w:spacing w:val="0"/>
          <w:kern w:val="0"/>
          <w:rtl/>
          <w:lang w:val="en-CA"/>
        </w:rPr>
        <w:t>عن طريق شهادات رجال</w:t>
      </w:r>
      <w:r w:rsidRPr="00AA537D">
        <w:rPr>
          <w:spacing w:val="0"/>
          <w:kern w:val="0"/>
          <w:rtl/>
          <w:lang w:val="en-CA"/>
        </w:rPr>
        <w:t xml:space="preserve"> الشرطة الذين </w:t>
      </w:r>
      <w:r w:rsidRPr="00AA537D">
        <w:rPr>
          <w:rFonts w:hint="cs"/>
          <w:spacing w:val="0"/>
          <w:kern w:val="0"/>
          <w:rtl/>
          <w:lang w:val="en-CA"/>
        </w:rPr>
        <w:t>أخذوا هذه الأقوال</w:t>
      </w:r>
      <w:r w:rsidRPr="00AA537D">
        <w:rPr>
          <w:spacing w:val="0"/>
          <w:kern w:val="0"/>
          <w:rtl/>
          <w:lang w:val="en-CA"/>
        </w:rPr>
        <w:t xml:space="preserve">. </w:t>
      </w:r>
      <w:r w:rsidRPr="00AA537D">
        <w:rPr>
          <w:rFonts w:hint="cs"/>
          <w:spacing w:val="0"/>
          <w:kern w:val="0"/>
          <w:rtl/>
          <w:lang w:val="en-CA"/>
        </w:rPr>
        <w:t xml:space="preserve">فشهادة رجال الشرطة </w:t>
      </w:r>
      <w:r w:rsidRPr="00AA537D">
        <w:rPr>
          <w:spacing w:val="0"/>
          <w:kern w:val="0"/>
          <w:rtl/>
          <w:lang w:val="en-CA"/>
        </w:rPr>
        <w:t xml:space="preserve">لا يجب </w:t>
      </w:r>
      <w:r w:rsidRPr="00AA537D">
        <w:rPr>
          <w:rFonts w:hint="cs"/>
          <w:spacing w:val="0"/>
          <w:kern w:val="0"/>
          <w:rtl/>
          <w:lang w:val="en-CA"/>
        </w:rPr>
        <w:t>أخذها على أنها دليل إثبات</w:t>
      </w:r>
      <w:r w:rsidRPr="00AA537D">
        <w:rPr>
          <w:spacing w:val="0"/>
          <w:kern w:val="0"/>
          <w:rtl/>
          <w:lang w:val="en-CA"/>
        </w:rPr>
        <w:t xml:space="preserve">، ولكن </w:t>
      </w:r>
      <w:r w:rsidRPr="00AA537D">
        <w:rPr>
          <w:rFonts w:hint="cs"/>
          <w:spacing w:val="0"/>
          <w:kern w:val="0"/>
          <w:rtl/>
          <w:lang w:val="en-CA"/>
        </w:rPr>
        <w:t>لل</w:t>
      </w:r>
      <w:r w:rsidRPr="00AA537D">
        <w:rPr>
          <w:spacing w:val="0"/>
          <w:kern w:val="0"/>
          <w:rtl/>
          <w:lang w:val="en-CA"/>
        </w:rPr>
        <w:t xml:space="preserve">دليل فقط على المعلومات والحقائق التي شهدها هؤلاء الضباط، مثل </w:t>
      </w:r>
      <w:r w:rsidRPr="00AA537D">
        <w:rPr>
          <w:rFonts w:hint="cs"/>
          <w:spacing w:val="0"/>
          <w:kern w:val="0"/>
          <w:rtl/>
          <w:lang w:val="en-CA"/>
        </w:rPr>
        <w:t>ال</w:t>
      </w:r>
      <w:r w:rsidRPr="00AA537D">
        <w:rPr>
          <w:spacing w:val="0"/>
          <w:kern w:val="0"/>
          <w:rtl/>
          <w:lang w:val="en-CA"/>
        </w:rPr>
        <w:t>اعتراف</w:t>
      </w:r>
      <w:r w:rsidRPr="00AA537D">
        <w:rPr>
          <w:rFonts w:hint="cs"/>
          <w:spacing w:val="0"/>
          <w:kern w:val="0"/>
          <w:rtl/>
          <w:lang w:val="en-CA"/>
        </w:rPr>
        <w:t>ات في حد ذاتها</w:t>
      </w:r>
      <w:r w:rsidRPr="00AA537D">
        <w:rPr>
          <w:spacing w:val="0"/>
          <w:kern w:val="0"/>
          <w:rtl/>
          <w:lang w:val="en-CA"/>
        </w:rPr>
        <w:t xml:space="preserve"> والظروف التي </w:t>
      </w:r>
      <w:r w:rsidRPr="00AA537D">
        <w:rPr>
          <w:rFonts w:hint="cs"/>
          <w:spacing w:val="0"/>
          <w:kern w:val="0"/>
          <w:rtl/>
          <w:lang w:val="en-CA"/>
        </w:rPr>
        <w:t>أدلي بها فيها</w:t>
      </w:r>
      <w:r w:rsidRPr="00AA537D">
        <w:rPr>
          <w:spacing w:val="0"/>
          <w:kern w:val="0"/>
          <w:rtl/>
          <w:lang w:val="en-CA"/>
        </w:rPr>
        <w:t>.</w:t>
      </w:r>
    </w:p>
    <w:p w:rsidR="00FA6676" w:rsidRPr="00AA537D" w:rsidRDefault="00FA6676" w:rsidP="00E86FDB">
      <w:pPr>
        <w:pStyle w:val="SingleTxtGA"/>
        <w:jc w:val="lowKashida"/>
        <w:rPr>
          <w:rFonts w:hint="cs"/>
          <w:spacing w:val="0"/>
          <w:kern w:val="0"/>
          <w:rtl/>
          <w:lang w:val="en-CA"/>
        </w:rPr>
      </w:pPr>
      <w:r w:rsidRPr="00AA537D">
        <w:rPr>
          <w:rFonts w:hint="cs"/>
          <w:spacing w:val="0"/>
          <w:kern w:val="0"/>
          <w:rtl/>
          <w:lang w:val="en-CA"/>
        </w:rPr>
        <w:t>2-21</w:t>
      </w:r>
      <w:r w:rsidRPr="00AA537D">
        <w:rPr>
          <w:rFonts w:hint="cs"/>
          <w:spacing w:val="0"/>
          <w:kern w:val="0"/>
          <w:rtl/>
          <w:lang w:val="en-CA"/>
        </w:rPr>
        <w:tab/>
        <w:t>وقدم</w:t>
      </w:r>
      <w:r w:rsidRPr="00AA537D">
        <w:rPr>
          <w:spacing w:val="0"/>
          <w:kern w:val="0"/>
          <w:rtl/>
          <w:lang w:val="en-CA"/>
        </w:rPr>
        <w:t xml:space="preserve"> صاحب الشكوى طلبا</w:t>
      </w:r>
      <w:r w:rsidRPr="00AA537D">
        <w:rPr>
          <w:rFonts w:hint="cs"/>
          <w:spacing w:val="0"/>
          <w:kern w:val="0"/>
          <w:rtl/>
          <w:lang w:val="en-CA"/>
        </w:rPr>
        <w:t>ً</w:t>
      </w:r>
      <w:r w:rsidRPr="00AA537D">
        <w:rPr>
          <w:spacing w:val="0"/>
          <w:kern w:val="0"/>
          <w:rtl/>
          <w:lang w:val="en-CA"/>
        </w:rPr>
        <w:t xml:space="preserve"> للحصول على الحماية القضائية أمام المحكمة الدستورية </w:t>
      </w:r>
      <w:r w:rsidRPr="00AA537D">
        <w:rPr>
          <w:rFonts w:hint="cs"/>
          <w:spacing w:val="0"/>
          <w:kern w:val="0"/>
          <w:rtl/>
          <w:lang w:val="en-CA"/>
        </w:rPr>
        <w:t>طاعناً</w:t>
      </w:r>
      <w:r w:rsidRPr="00AA537D">
        <w:rPr>
          <w:spacing w:val="0"/>
          <w:kern w:val="0"/>
          <w:rtl/>
          <w:lang w:val="en-CA"/>
        </w:rPr>
        <w:t xml:space="preserve"> في قرار </w:t>
      </w:r>
      <w:r w:rsidRPr="00AA537D">
        <w:rPr>
          <w:rFonts w:hint="cs"/>
          <w:spacing w:val="0"/>
          <w:kern w:val="0"/>
          <w:rtl/>
          <w:lang w:val="en-CA"/>
        </w:rPr>
        <w:t>ا</w:t>
      </w:r>
      <w:r w:rsidRPr="00AA537D">
        <w:rPr>
          <w:spacing w:val="0"/>
          <w:kern w:val="0"/>
          <w:rtl/>
          <w:lang w:val="en-CA"/>
        </w:rPr>
        <w:t xml:space="preserve">لمحكمة العليا. </w:t>
      </w:r>
      <w:r w:rsidRPr="00AA537D">
        <w:rPr>
          <w:rFonts w:hint="cs"/>
          <w:spacing w:val="0"/>
          <w:kern w:val="0"/>
          <w:rtl/>
          <w:lang w:val="en-CA"/>
        </w:rPr>
        <w:t>و</w:t>
      </w:r>
      <w:r w:rsidRPr="00AA537D">
        <w:rPr>
          <w:spacing w:val="0"/>
          <w:kern w:val="0"/>
          <w:rtl/>
          <w:lang w:val="en-CA"/>
        </w:rPr>
        <w:t xml:space="preserve">في 31 </w:t>
      </w:r>
      <w:r w:rsidRPr="00AA537D">
        <w:rPr>
          <w:rFonts w:hint="cs"/>
          <w:spacing w:val="0"/>
          <w:kern w:val="0"/>
          <w:rtl/>
          <w:lang w:val="en-CA"/>
        </w:rPr>
        <w:t>آذار/</w:t>
      </w:r>
      <w:r w:rsidRPr="00AA537D">
        <w:rPr>
          <w:spacing w:val="0"/>
          <w:kern w:val="0"/>
          <w:rtl/>
          <w:lang w:val="en-CA"/>
        </w:rPr>
        <w:t xml:space="preserve">مارس 2008، حكمت المحكمة الدستورية </w:t>
      </w:r>
      <w:r w:rsidRPr="00AA537D">
        <w:rPr>
          <w:rFonts w:hint="cs"/>
          <w:spacing w:val="0"/>
          <w:kern w:val="0"/>
          <w:rtl/>
          <w:lang w:val="en-CA"/>
        </w:rPr>
        <w:t>بعدم</w:t>
      </w:r>
      <w:r w:rsidR="00E86FDB">
        <w:rPr>
          <w:rFonts w:hint="eastAsia"/>
          <w:spacing w:val="0"/>
          <w:kern w:val="0"/>
          <w:rtl/>
          <w:lang w:val="en-CA"/>
        </w:rPr>
        <w:t> </w:t>
      </w:r>
      <w:r w:rsidRPr="00AA537D">
        <w:rPr>
          <w:rFonts w:hint="cs"/>
          <w:spacing w:val="0"/>
          <w:kern w:val="0"/>
          <w:rtl/>
          <w:lang w:val="en-CA"/>
        </w:rPr>
        <w:t xml:space="preserve">مقبولية الطلب </w:t>
      </w:r>
      <w:r w:rsidRPr="00AA537D">
        <w:rPr>
          <w:spacing w:val="0"/>
          <w:kern w:val="0"/>
          <w:rtl/>
          <w:lang w:val="en-CA"/>
        </w:rPr>
        <w:t xml:space="preserve">لأنه يفتقر بشكل واضح </w:t>
      </w:r>
      <w:r w:rsidRPr="00AA537D">
        <w:rPr>
          <w:rFonts w:hint="cs"/>
          <w:spacing w:val="0"/>
          <w:kern w:val="0"/>
          <w:rtl/>
          <w:lang w:val="en-CA"/>
        </w:rPr>
        <w:t>ل</w:t>
      </w:r>
      <w:r w:rsidRPr="00AA537D">
        <w:rPr>
          <w:spacing w:val="0"/>
          <w:kern w:val="0"/>
          <w:rtl/>
          <w:lang w:val="en-CA"/>
        </w:rPr>
        <w:t xml:space="preserve">لمضمون </w:t>
      </w:r>
      <w:r w:rsidRPr="00AA537D">
        <w:rPr>
          <w:rFonts w:hint="cs"/>
          <w:spacing w:val="0"/>
          <w:kern w:val="0"/>
          <w:rtl/>
          <w:lang w:val="en-CA"/>
        </w:rPr>
        <w:t xml:space="preserve">الذي يبرر اتخاذ </w:t>
      </w:r>
      <w:r w:rsidRPr="00AA537D">
        <w:rPr>
          <w:spacing w:val="0"/>
          <w:kern w:val="0"/>
          <w:rtl/>
          <w:lang w:val="en-CA"/>
        </w:rPr>
        <w:t>قرار بشأن الأسس</w:t>
      </w:r>
      <w:r w:rsidR="00E86FDB">
        <w:rPr>
          <w:rFonts w:hint="cs"/>
          <w:spacing w:val="0"/>
          <w:kern w:val="0"/>
          <w:rtl/>
          <w:lang w:val="en-CA"/>
        </w:rPr>
        <w:t> </w:t>
      </w:r>
      <w:r w:rsidRPr="00AA537D">
        <w:rPr>
          <w:spacing w:val="0"/>
          <w:kern w:val="0"/>
          <w:rtl/>
          <w:lang w:val="en-CA"/>
        </w:rPr>
        <w:t>الموضوعية</w:t>
      </w:r>
      <w:r w:rsidRPr="00AA537D">
        <w:rPr>
          <w:rFonts w:hint="cs"/>
          <w:spacing w:val="0"/>
          <w:kern w:val="0"/>
          <w:rtl/>
          <w:lang w:val="en-CA"/>
        </w:rPr>
        <w:t>.</w:t>
      </w:r>
    </w:p>
    <w:p w:rsidR="00FA6676" w:rsidRPr="00AA537D" w:rsidRDefault="00FA6676" w:rsidP="00AA537D">
      <w:pPr>
        <w:pStyle w:val="H23GA"/>
        <w:jc w:val="lowKashida"/>
        <w:rPr>
          <w:spacing w:val="0"/>
          <w:kern w:val="0"/>
          <w:sz w:val="30"/>
          <w:rtl/>
        </w:rPr>
      </w:pPr>
      <w:r w:rsidRPr="00AA537D">
        <w:rPr>
          <w:rFonts w:hint="cs"/>
          <w:spacing w:val="0"/>
          <w:kern w:val="0"/>
          <w:szCs w:val="20"/>
          <w:rtl/>
        </w:rPr>
        <w:tab/>
      </w:r>
      <w:r w:rsidRPr="00AA537D">
        <w:rPr>
          <w:rFonts w:hint="cs"/>
          <w:spacing w:val="0"/>
          <w:kern w:val="0"/>
          <w:szCs w:val="20"/>
          <w:rtl/>
        </w:rPr>
        <w:tab/>
      </w:r>
      <w:r w:rsidRPr="00AA537D">
        <w:rPr>
          <w:rFonts w:hint="eastAsia"/>
          <w:spacing w:val="0"/>
          <w:kern w:val="0"/>
          <w:sz w:val="30"/>
          <w:rtl/>
        </w:rPr>
        <w:t>الشكوى</w:t>
      </w:r>
    </w:p>
    <w:p w:rsidR="00FA6676" w:rsidRPr="00AA537D" w:rsidRDefault="00FA6676" w:rsidP="00AA537D">
      <w:pPr>
        <w:pStyle w:val="SingleTxtGA"/>
        <w:jc w:val="lowKashida"/>
        <w:rPr>
          <w:rFonts w:hint="cs"/>
          <w:spacing w:val="0"/>
          <w:kern w:val="0"/>
          <w:rtl/>
          <w:lang w:val="en-CA"/>
        </w:rPr>
      </w:pPr>
      <w:r w:rsidRPr="00AA537D">
        <w:rPr>
          <w:spacing w:val="0"/>
          <w:kern w:val="0"/>
          <w:rtl/>
          <w:lang w:val="en-CA"/>
        </w:rPr>
        <w:t>3-1</w:t>
      </w:r>
      <w:r w:rsidRPr="00AA537D">
        <w:rPr>
          <w:spacing w:val="0"/>
          <w:kern w:val="0"/>
          <w:rtl/>
          <w:lang w:val="en-CA"/>
        </w:rPr>
        <w:tab/>
        <w:t xml:space="preserve">يدعي صاحب الشكوى أن الدولة الطرف انتهكت المادة 12، </w:t>
      </w:r>
      <w:r w:rsidRPr="00AA537D">
        <w:rPr>
          <w:rFonts w:hint="cs"/>
          <w:spacing w:val="0"/>
          <w:kern w:val="0"/>
          <w:rtl/>
          <w:lang w:val="en-CA"/>
        </w:rPr>
        <w:t xml:space="preserve">مقروءة بالاقتران مع المادة </w:t>
      </w:r>
      <w:r w:rsidRPr="00AA537D">
        <w:rPr>
          <w:spacing w:val="0"/>
          <w:kern w:val="0"/>
          <w:rtl/>
          <w:lang w:val="en-CA"/>
        </w:rPr>
        <w:t xml:space="preserve">16 من الاتفاقية. </w:t>
      </w:r>
      <w:r w:rsidRPr="00AA537D">
        <w:rPr>
          <w:rFonts w:hint="cs"/>
          <w:spacing w:val="0"/>
          <w:kern w:val="0"/>
          <w:rtl/>
          <w:lang w:val="en-CA"/>
        </w:rPr>
        <w:t>ويرى أن</w:t>
      </w:r>
      <w:r w:rsidRPr="00AA537D">
        <w:rPr>
          <w:spacing w:val="0"/>
          <w:kern w:val="0"/>
          <w:rtl/>
          <w:lang w:val="en-CA"/>
        </w:rPr>
        <w:t xml:space="preserve"> رد فعل المحاكم </w:t>
      </w:r>
      <w:r w:rsidRPr="00AA537D">
        <w:rPr>
          <w:rFonts w:hint="cs"/>
          <w:spacing w:val="0"/>
          <w:kern w:val="0"/>
          <w:rtl/>
          <w:lang w:val="en-CA"/>
        </w:rPr>
        <w:t xml:space="preserve">على </w:t>
      </w:r>
      <w:r w:rsidRPr="00AA537D">
        <w:rPr>
          <w:spacing w:val="0"/>
          <w:kern w:val="0"/>
          <w:rtl/>
          <w:lang w:val="en-CA"/>
        </w:rPr>
        <w:t xml:space="preserve">ادعائه </w:t>
      </w:r>
      <w:r w:rsidRPr="00AA537D">
        <w:rPr>
          <w:rFonts w:hint="cs"/>
          <w:spacing w:val="0"/>
          <w:kern w:val="0"/>
          <w:rtl/>
          <w:lang w:val="en-CA"/>
        </w:rPr>
        <w:t>بالتعرض ل</w:t>
      </w:r>
      <w:r w:rsidRPr="00AA537D">
        <w:rPr>
          <w:spacing w:val="0"/>
          <w:kern w:val="0"/>
          <w:rtl/>
          <w:lang w:val="en-CA"/>
        </w:rPr>
        <w:t xml:space="preserve">لتعذيب وسوء المعاملة لم </w:t>
      </w:r>
      <w:r w:rsidRPr="00AA537D">
        <w:rPr>
          <w:rFonts w:hint="cs"/>
          <w:spacing w:val="0"/>
          <w:kern w:val="0"/>
          <w:rtl/>
          <w:lang w:val="en-CA"/>
        </w:rPr>
        <w:t>ي</w:t>
      </w:r>
      <w:r w:rsidRPr="00AA537D">
        <w:rPr>
          <w:spacing w:val="0"/>
          <w:kern w:val="0"/>
          <w:rtl/>
          <w:lang w:val="en-CA"/>
        </w:rPr>
        <w:t>كن مرضي</w:t>
      </w:r>
      <w:r w:rsidRPr="00AA537D">
        <w:rPr>
          <w:rFonts w:hint="cs"/>
          <w:spacing w:val="0"/>
          <w:kern w:val="0"/>
          <w:rtl/>
          <w:lang w:val="en-CA"/>
        </w:rPr>
        <w:t>اً</w:t>
      </w:r>
      <w:r w:rsidRPr="00AA537D">
        <w:rPr>
          <w:spacing w:val="0"/>
          <w:kern w:val="0"/>
          <w:rtl/>
          <w:lang w:val="en-CA"/>
        </w:rPr>
        <w:t xml:space="preserve">. </w:t>
      </w:r>
      <w:r w:rsidRPr="00AA537D">
        <w:rPr>
          <w:rFonts w:hint="cs"/>
          <w:spacing w:val="0"/>
          <w:kern w:val="0"/>
          <w:rtl/>
          <w:lang w:val="en-CA"/>
        </w:rPr>
        <w:t xml:space="preserve">وأضاف أنه </w:t>
      </w:r>
      <w:r w:rsidRPr="00AA537D">
        <w:rPr>
          <w:spacing w:val="0"/>
          <w:kern w:val="0"/>
          <w:rtl/>
          <w:lang w:val="en-CA"/>
        </w:rPr>
        <w:t xml:space="preserve">لم يجر تحقيق سريع ومستقل </w:t>
      </w:r>
      <w:r w:rsidRPr="00AA537D">
        <w:rPr>
          <w:rFonts w:hint="cs"/>
          <w:spacing w:val="0"/>
          <w:kern w:val="0"/>
          <w:rtl/>
          <w:lang w:val="en-CA"/>
        </w:rPr>
        <w:t>ونزيه</w:t>
      </w:r>
      <w:r w:rsidRPr="00AA537D">
        <w:rPr>
          <w:spacing w:val="0"/>
          <w:kern w:val="0"/>
          <w:rtl/>
          <w:lang w:val="en-CA"/>
        </w:rPr>
        <w:t xml:space="preserve">. </w:t>
      </w:r>
      <w:r w:rsidRPr="00AA537D">
        <w:rPr>
          <w:rFonts w:hint="cs"/>
          <w:spacing w:val="0"/>
          <w:kern w:val="0"/>
          <w:rtl/>
          <w:lang w:val="en-CA"/>
        </w:rPr>
        <w:t>ورفضت</w:t>
      </w:r>
      <w:r w:rsidRPr="00AA537D">
        <w:rPr>
          <w:spacing w:val="0"/>
          <w:kern w:val="0"/>
          <w:rtl/>
          <w:lang w:val="en-CA"/>
        </w:rPr>
        <w:t xml:space="preserve"> المحاكم المختصة تماما</w:t>
      </w:r>
      <w:r w:rsidRPr="00AA537D">
        <w:rPr>
          <w:rFonts w:hint="cs"/>
          <w:spacing w:val="0"/>
          <w:kern w:val="0"/>
          <w:rtl/>
          <w:lang w:val="en-CA"/>
        </w:rPr>
        <w:t xml:space="preserve">ً النظر في </w:t>
      </w:r>
      <w:r w:rsidRPr="00AA537D">
        <w:rPr>
          <w:spacing w:val="0"/>
          <w:kern w:val="0"/>
          <w:rtl/>
          <w:lang w:val="en-CA"/>
        </w:rPr>
        <w:t xml:space="preserve">مزاعمه المتكررة </w:t>
      </w:r>
      <w:r w:rsidRPr="00AA537D">
        <w:rPr>
          <w:rFonts w:hint="cs"/>
          <w:spacing w:val="0"/>
          <w:kern w:val="0"/>
          <w:rtl/>
          <w:lang w:val="en-CA"/>
        </w:rPr>
        <w:t>بالتعرض ل</w:t>
      </w:r>
      <w:r w:rsidRPr="00AA537D">
        <w:rPr>
          <w:spacing w:val="0"/>
          <w:kern w:val="0"/>
          <w:rtl/>
          <w:lang w:val="en-CA"/>
        </w:rPr>
        <w:t>سوء المعاملة والتعذيب أثناء احتجازه</w:t>
      </w:r>
      <w:r w:rsidRPr="00AA537D">
        <w:rPr>
          <w:rFonts w:hint="cs"/>
          <w:spacing w:val="0"/>
          <w:kern w:val="0"/>
          <w:rtl/>
          <w:lang w:val="en-CA"/>
        </w:rPr>
        <w:t xml:space="preserve"> في الحبس الانفرادي،</w:t>
      </w:r>
      <w:r w:rsidRPr="00AA537D">
        <w:rPr>
          <w:spacing w:val="0"/>
          <w:kern w:val="0"/>
          <w:rtl/>
          <w:lang w:val="en-CA"/>
        </w:rPr>
        <w:t xml:space="preserve"> مما جعل من المستحيل تسليط الضوء على الحوادث المبلغ عنها، ورفض</w:t>
      </w:r>
      <w:r w:rsidRPr="00AA537D">
        <w:rPr>
          <w:rFonts w:hint="cs"/>
          <w:spacing w:val="0"/>
          <w:kern w:val="0"/>
          <w:rtl/>
          <w:lang w:val="en-CA"/>
        </w:rPr>
        <w:t>ت</w:t>
      </w:r>
      <w:r w:rsidRPr="00AA537D">
        <w:rPr>
          <w:spacing w:val="0"/>
          <w:kern w:val="0"/>
          <w:rtl/>
          <w:lang w:val="en-CA"/>
        </w:rPr>
        <w:t xml:space="preserve"> شكواه </w:t>
      </w:r>
      <w:r w:rsidRPr="00AA537D">
        <w:rPr>
          <w:rFonts w:hint="cs"/>
          <w:spacing w:val="0"/>
          <w:kern w:val="0"/>
          <w:rtl/>
          <w:lang w:val="en-CA"/>
        </w:rPr>
        <w:t>ب</w:t>
      </w:r>
      <w:r w:rsidRPr="00AA537D">
        <w:rPr>
          <w:spacing w:val="0"/>
          <w:kern w:val="0"/>
          <w:rtl/>
          <w:lang w:val="en-CA"/>
        </w:rPr>
        <w:t xml:space="preserve">دون تحقيق. وبالمثل، </w:t>
      </w:r>
      <w:r w:rsidRPr="00AA537D">
        <w:rPr>
          <w:rFonts w:hint="cs"/>
          <w:spacing w:val="0"/>
          <w:kern w:val="0"/>
          <w:rtl/>
          <w:lang w:val="en-CA"/>
        </w:rPr>
        <w:t xml:space="preserve">لم يصدر قاضي التحقيقات في </w:t>
      </w:r>
      <w:r w:rsidRPr="00AA537D">
        <w:rPr>
          <w:spacing w:val="0"/>
          <w:kern w:val="0"/>
          <w:rtl/>
          <w:lang w:val="en-CA"/>
        </w:rPr>
        <w:t xml:space="preserve">المحكمة العليا الوطنية </w:t>
      </w:r>
      <w:r w:rsidRPr="00AA537D">
        <w:rPr>
          <w:rFonts w:hint="cs"/>
          <w:spacing w:val="0"/>
          <w:kern w:val="0"/>
          <w:rtl/>
          <w:lang w:val="en-CA"/>
        </w:rPr>
        <w:t xml:space="preserve">أوامر </w:t>
      </w:r>
      <w:r w:rsidRPr="00AA537D">
        <w:rPr>
          <w:spacing w:val="0"/>
          <w:kern w:val="0"/>
          <w:rtl/>
          <w:lang w:val="en-CA"/>
        </w:rPr>
        <w:t xml:space="preserve">بإجراء تحقيق في مزاعمه </w:t>
      </w:r>
      <w:r w:rsidRPr="00AA537D">
        <w:rPr>
          <w:rFonts w:hint="cs"/>
          <w:spacing w:val="0"/>
          <w:kern w:val="0"/>
          <w:rtl/>
          <w:lang w:val="en-CA"/>
        </w:rPr>
        <w:t>التي تفيد ب</w:t>
      </w:r>
      <w:r w:rsidRPr="00AA537D">
        <w:rPr>
          <w:spacing w:val="0"/>
          <w:kern w:val="0"/>
          <w:rtl/>
          <w:lang w:val="en-CA"/>
        </w:rPr>
        <w:t xml:space="preserve">تعرضه لسوء المعاملة والتعذيب أثناء احتجازه </w:t>
      </w:r>
      <w:r w:rsidRPr="00AA537D">
        <w:rPr>
          <w:rFonts w:hint="cs"/>
          <w:spacing w:val="0"/>
          <w:kern w:val="0"/>
          <w:rtl/>
          <w:lang w:val="en-CA"/>
        </w:rPr>
        <w:t>في الحبس الانفرادي</w:t>
      </w:r>
      <w:r w:rsidRPr="00AA537D">
        <w:rPr>
          <w:spacing w:val="0"/>
          <w:kern w:val="0"/>
          <w:rtl/>
          <w:lang w:val="en-CA"/>
        </w:rPr>
        <w:t>. و</w:t>
      </w:r>
      <w:r w:rsidRPr="00AA537D">
        <w:rPr>
          <w:rFonts w:hint="cs"/>
          <w:spacing w:val="0"/>
          <w:kern w:val="0"/>
          <w:rtl/>
          <w:lang w:val="en-CA"/>
        </w:rPr>
        <w:t xml:space="preserve">قد </w:t>
      </w:r>
      <w:r w:rsidRPr="00AA537D">
        <w:rPr>
          <w:spacing w:val="0"/>
          <w:kern w:val="0"/>
          <w:rtl/>
          <w:lang w:val="en-CA"/>
        </w:rPr>
        <w:t xml:space="preserve">وجهت لجنة مناهضة التعذيب </w:t>
      </w:r>
      <w:r w:rsidRPr="00AA537D">
        <w:rPr>
          <w:rFonts w:hint="cs"/>
          <w:spacing w:val="0"/>
          <w:kern w:val="0"/>
          <w:rtl/>
          <w:lang w:val="en-CA"/>
        </w:rPr>
        <w:t>وال</w:t>
      </w:r>
      <w:r w:rsidRPr="00AA537D">
        <w:rPr>
          <w:spacing w:val="0"/>
          <w:kern w:val="0"/>
          <w:rtl/>
          <w:lang w:val="en-CA"/>
        </w:rPr>
        <w:t xml:space="preserve">لجنة </w:t>
      </w:r>
      <w:r w:rsidRPr="00AA537D">
        <w:rPr>
          <w:rFonts w:hint="cs"/>
          <w:spacing w:val="0"/>
          <w:kern w:val="0"/>
          <w:rtl/>
          <w:lang w:val="en-CA"/>
        </w:rPr>
        <w:t>المعنية ب</w:t>
      </w:r>
      <w:r w:rsidRPr="00AA537D">
        <w:rPr>
          <w:spacing w:val="0"/>
          <w:kern w:val="0"/>
          <w:rtl/>
          <w:lang w:val="en-CA"/>
        </w:rPr>
        <w:t>حقوق الإنسان وهيئات دولية أخرى مرارا</w:t>
      </w:r>
      <w:r w:rsidRPr="00AA537D">
        <w:rPr>
          <w:rFonts w:hint="cs"/>
          <w:spacing w:val="0"/>
          <w:kern w:val="0"/>
          <w:rtl/>
          <w:lang w:val="en-CA"/>
        </w:rPr>
        <w:t>ً</w:t>
      </w:r>
      <w:r w:rsidRPr="00AA537D">
        <w:rPr>
          <w:spacing w:val="0"/>
          <w:kern w:val="0"/>
          <w:rtl/>
          <w:lang w:val="en-CA"/>
        </w:rPr>
        <w:t xml:space="preserve"> انتقادات لنظام الحبس الانفرادي لمدة خمسة </w:t>
      </w:r>
      <w:r w:rsidRPr="00AA537D">
        <w:rPr>
          <w:rFonts w:hint="cs"/>
          <w:spacing w:val="0"/>
          <w:kern w:val="0"/>
          <w:rtl/>
          <w:lang w:val="en-CA"/>
        </w:rPr>
        <w:t>أ</w:t>
      </w:r>
      <w:r w:rsidRPr="00AA537D">
        <w:rPr>
          <w:spacing w:val="0"/>
          <w:kern w:val="0"/>
          <w:rtl/>
          <w:lang w:val="en-CA"/>
        </w:rPr>
        <w:t xml:space="preserve">يام قابلة للتمديد </w:t>
      </w:r>
      <w:r w:rsidRPr="00AA537D">
        <w:rPr>
          <w:rFonts w:hint="cs"/>
          <w:spacing w:val="0"/>
          <w:kern w:val="0"/>
          <w:rtl/>
          <w:lang w:val="en-CA"/>
        </w:rPr>
        <w:t>لمدة</w:t>
      </w:r>
      <w:r w:rsidRPr="00AA537D">
        <w:rPr>
          <w:spacing w:val="0"/>
          <w:kern w:val="0"/>
          <w:rtl/>
          <w:lang w:val="en-CA"/>
        </w:rPr>
        <w:t xml:space="preserve"> ثمانية أيام أخرى، </w:t>
      </w:r>
      <w:r w:rsidRPr="00AA537D">
        <w:rPr>
          <w:rFonts w:hint="cs"/>
          <w:spacing w:val="0"/>
          <w:kern w:val="0"/>
          <w:rtl/>
          <w:lang w:val="en-CA"/>
        </w:rPr>
        <w:t>ال</w:t>
      </w:r>
      <w:r w:rsidRPr="00AA537D">
        <w:rPr>
          <w:spacing w:val="0"/>
          <w:kern w:val="0"/>
          <w:rtl/>
          <w:lang w:val="en-CA"/>
        </w:rPr>
        <w:t>مسموح به بموجب قانون الدولة الطرف</w:t>
      </w:r>
      <w:r w:rsidRPr="00AA537D">
        <w:rPr>
          <w:rFonts w:hint="cs"/>
          <w:spacing w:val="0"/>
          <w:kern w:val="0"/>
          <w:vertAlign w:val="superscript"/>
          <w:rtl/>
          <w:lang w:val="fr-CH"/>
        </w:rPr>
        <w:t>(</w:t>
      </w:r>
      <w:r w:rsidRPr="00AA537D">
        <w:rPr>
          <w:rStyle w:val="FootnoteReference"/>
          <w:spacing w:val="0"/>
          <w:sz w:val="26"/>
          <w:szCs w:val="26"/>
          <w:rtl/>
          <w:lang w:val="fr-CH"/>
        </w:rPr>
        <w:footnoteReference w:id="442"/>
      </w:r>
      <w:r w:rsidRPr="00AA537D">
        <w:rPr>
          <w:rFonts w:hint="cs"/>
          <w:spacing w:val="0"/>
          <w:kern w:val="0"/>
          <w:vertAlign w:val="superscript"/>
          <w:rtl/>
          <w:lang w:val="fr-CH"/>
        </w:rPr>
        <w:t>)</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أوصت </w:t>
      </w:r>
      <w:r w:rsidRPr="00AA537D">
        <w:rPr>
          <w:rFonts w:hint="cs"/>
          <w:spacing w:val="0"/>
          <w:kern w:val="0"/>
          <w:rtl/>
          <w:lang w:val="en-CA"/>
        </w:rPr>
        <w:t>ب</w:t>
      </w:r>
      <w:r w:rsidRPr="00AA537D">
        <w:rPr>
          <w:spacing w:val="0"/>
          <w:kern w:val="0"/>
          <w:rtl/>
          <w:lang w:val="en-CA"/>
        </w:rPr>
        <w:t xml:space="preserve">إلغائه. </w:t>
      </w:r>
      <w:r w:rsidRPr="00AA537D">
        <w:rPr>
          <w:rFonts w:hint="cs"/>
          <w:spacing w:val="0"/>
          <w:kern w:val="0"/>
          <w:rtl/>
          <w:lang w:val="en-CA"/>
        </w:rPr>
        <w:t xml:space="preserve">ولم تتخذ </w:t>
      </w:r>
      <w:r w:rsidRPr="00AA537D">
        <w:rPr>
          <w:spacing w:val="0"/>
          <w:kern w:val="0"/>
          <w:rtl/>
          <w:lang w:val="en-CA"/>
        </w:rPr>
        <w:t xml:space="preserve">الدولة الطرف الخطوات الضرورية لمنع أعمال التعذيب على نحو فعال في </w:t>
      </w:r>
      <w:r w:rsidRPr="00AA537D">
        <w:rPr>
          <w:rFonts w:hint="cs"/>
          <w:spacing w:val="0"/>
          <w:kern w:val="0"/>
          <w:rtl/>
          <w:lang w:val="en-CA"/>
        </w:rPr>
        <w:t xml:space="preserve">كل أنحاء الإقليم الخاضع </w:t>
      </w:r>
      <w:r w:rsidRPr="00AA537D">
        <w:rPr>
          <w:spacing w:val="0"/>
          <w:kern w:val="0"/>
          <w:rtl/>
          <w:lang w:val="en-CA"/>
        </w:rPr>
        <w:t xml:space="preserve">لولايتها القضائية، وبالتالي </w:t>
      </w:r>
      <w:r w:rsidRPr="00AA537D">
        <w:rPr>
          <w:rFonts w:hint="cs"/>
          <w:spacing w:val="0"/>
          <w:kern w:val="0"/>
          <w:rtl/>
          <w:lang w:val="en-CA"/>
        </w:rPr>
        <w:t>لم تمتثل</w:t>
      </w:r>
      <w:r w:rsidRPr="00AA537D">
        <w:rPr>
          <w:spacing w:val="0"/>
          <w:kern w:val="0"/>
          <w:rtl/>
          <w:lang w:val="en-CA"/>
        </w:rPr>
        <w:t xml:space="preserve"> لالتزاماتها بموجب المادة 16 من</w:t>
      </w:r>
      <w:r w:rsidRPr="00AA537D">
        <w:rPr>
          <w:rFonts w:hint="cs"/>
          <w:spacing w:val="0"/>
          <w:kern w:val="0"/>
          <w:rtl/>
          <w:lang w:val="en-CA"/>
        </w:rPr>
        <w:t> </w:t>
      </w:r>
      <w:r w:rsidRPr="00AA537D">
        <w:rPr>
          <w:spacing w:val="0"/>
          <w:kern w:val="0"/>
          <w:rtl/>
          <w:lang w:val="en-CA"/>
        </w:rPr>
        <w:t>الاتفاقية</w:t>
      </w:r>
      <w:r w:rsidRPr="00AA537D">
        <w:rPr>
          <w:rFonts w:hint="cs"/>
          <w:spacing w:val="0"/>
          <w:kern w:val="0"/>
          <w:vertAlign w:val="superscript"/>
          <w:rtl/>
          <w:lang w:val="fr-CH"/>
        </w:rPr>
        <w:t>(</w:t>
      </w:r>
      <w:r w:rsidRPr="00AA537D">
        <w:rPr>
          <w:rStyle w:val="FootnoteReference"/>
          <w:spacing w:val="0"/>
          <w:sz w:val="26"/>
          <w:szCs w:val="26"/>
          <w:rtl/>
          <w:lang w:val="fr-CH"/>
        </w:rPr>
        <w:footnoteReference w:id="443"/>
      </w:r>
      <w:r w:rsidRPr="00AA537D">
        <w:rPr>
          <w:rFonts w:hint="cs"/>
          <w:spacing w:val="0"/>
          <w:kern w:val="0"/>
          <w:vertAlign w:val="superscript"/>
          <w:rtl/>
          <w:lang w:val="fr-CH"/>
        </w:rPr>
        <w:t>)</w:t>
      </w:r>
      <w:r w:rsidRPr="00AA537D">
        <w:rPr>
          <w:rFonts w:hint="cs"/>
          <w:spacing w:val="0"/>
          <w:kern w:val="0"/>
          <w:rtl/>
          <w:lang w:val="fr-CH"/>
        </w:rPr>
        <w:t>.</w:t>
      </w:r>
    </w:p>
    <w:p w:rsidR="00FA6676" w:rsidRPr="00AA537D" w:rsidRDefault="00FA6676" w:rsidP="0050415C">
      <w:pPr>
        <w:pStyle w:val="SingleTxtGA"/>
        <w:jc w:val="lowKashida"/>
        <w:rPr>
          <w:rFonts w:hint="cs"/>
          <w:spacing w:val="0"/>
          <w:kern w:val="0"/>
          <w:rtl/>
          <w:lang w:val="en-CA"/>
        </w:rPr>
      </w:pPr>
      <w:r w:rsidRPr="00AA537D">
        <w:rPr>
          <w:rFonts w:hint="cs"/>
          <w:spacing w:val="0"/>
          <w:kern w:val="0"/>
          <w:rtl/>
          <w:lang w:val="en-CA"/>
        </w:rPr>
        <w:t>3-2</w:t>
      </w:r>
      <w:r w:rsidRPr="00AA537D">
        <w:rPr>
          <w:rFonts w:hint="cs"/>
          <w:spacing w:val="0"/>
          <w:kern w:val="0"/>
          <w:rtl/>
          <w:lang w:val="en-CA"/>
        </w:rPr>
        <w:tab/>
        <w:t>و</w:t>
      </w:r>
      <w:r w:rsidRPr="00AA537D">
        <w:rPr>
          <w:spacing w:val="0"/>
          <w:kern w:val="0"/>
          <w:rtl/>
          <w:lang w:val="en-CA"/>
        </w:rPr>
        <w:t xml:space="preserve">على الرغم من ادعاءات صاحب الشكوى </w:t>
      </w:r>
      <w:r w:rsidRPr="00AA537D">
        <w:rPr>
          <w:rFonts w:hint="cs"/>
          <w:spacing w:val="0"/>
          <w:kern w:val="0"/>
          <w:rtl/>
          <w:lang w:val="en-CA"/>
        </w:rPr>
        <w:t>ب</w:t>
      </w:r>
      <w:r w:rsidRPr="00AA537D">
        <w:rPr>
          <w:spacing w:val="0"/>
          <w:kern w:val="0"/>
          <w:rtl/>
          <w:lang w:val="en-CA"/>
        </w:rPr>
        <w:t xml:space="preserve">التعذيب وسوء المعاملة وطلباته المتكررة إلى المحاكم بأن </w:t>
      </w:r>
      <w:r w:rsidRPr="00AA537D">
        <w:rPr>
          <w:rFonts w:hint="cs"/>
          <w:spacing w:val="0"/>
          <w:kern w:val="0"/>
          <w:rtl/>
          <w:lang w:val="en-CA"/>
        </w:rPr>
        <w:t>تجري</w:t>
      </w:r>
      <w:r w:rsidRPr="00AA537D">
        <w:rPr>
          <w:spacing w:val="0"/>
          <w:kern w:val="0"/>
          <w:rtl/>
          <w:lang w:val="en-CA"/>
        </w:rPr>
        <w:t xml:space="preserve"> تحقيقات</w:t>
      </w:r>
      <w:r w:rsidRPr="00AA537D">
        <w:rPr>
          <w:rFonts w:hint="cs"/>
          <w:spacing w:val="0"/>
          <w:kern w:val="0"/>
          <w:rtl/>
          <w:lang w:val="en-CA"/>
        </w:rPr>
        <w:t xml:space="preserve"> في الأمر</w:t>
      </w:r>
      <w:r w:rsidRPr="00AA537D">
        <w:rPr>
          <w:spacing w:val="0"/>
          <w:kern w:val="0"/>
          <w:rtl/>
          <w:lang w:val="en-CA"/>
        </w:rPr>
        <w:t xml:space="preserve">، </w:t>
      </w:r>
      <w:r w:rsidRPr="00AA537D">
        <w:rPr>
          <w:rFonts w:hint="cs"/>
          <w:spacing w:val="0"/>
          <w:kern w:val="0"/>
          <w:rtl/>
          <w:lang w:val="en-CA"/>
        </w:rPr>
        <w:t xml:space="preserve">فإنها </w:t>
      </w:r>
      <w:r w:rsidRPr="00AA537D">
        <w:rPr>
          <w:spacing w:val="0"/>
          <w:kern w:val="0"/>
          <w:rtl/>
          <w:lang w:val="en-CA"/>
        </w:rPr>
        <w:t>تجاهل</w:t>
      </w:r>
      <w:r w:rsidRPr="00AA537D">
        <w:rPr>
          <w:rFonts w:hint="cs"/>
          <w:spacing w:val="0"/>
          <w:kern w:val="0"/>
          <w:rtl/>
          <w:lang w:val="en-CA"/>
        </w:rPr>
        <w:t>ت</w:t>
      </w:r>
      <w:r w:rsidRPr="00AA537D">
        <w:rPr>
          <w:spacing w:val="0"/>
          <w:kern w:val="0"/>
          <w:rtl/>
          <w:lang w:val="en-CA"/>
        </w:rPr>
        <w:t xml:space="preserve"> واجبها </w:t>
      </w:r>
      <w:r w:rsidRPr="00AA537D">
        <w:rPr>
          <w:rFonts w:hint="cs"/>
          <w:spacing w:val="0"/>
          <w:kern w:val="0"/>
          <w:rtl/>
          <w:lang w:val="en-CA"/>
        </w:rPr>
        <w:t>ب</w:t>
      </w:r>
      <w:r w:rsidRPr="00AA537D">
        <w:rPr>
          <w:spacing w:val="0"/>
          <w:kern w:val="0"/>
          <w:rtl/>
          <w:lang w:val="en-CA"/>
        </w:rPr>
        <w:t>التحقيق</w:t>
      </w:r>
      <w:r w:rsidRPr="00AA537D">
        <w:rPr>
          <w:rFonts w:hint="cs"/>
          <w:spacing w:val="0"/>
          <w:kern w:val="0"/>
          <w:rtl/>
          <w:lang w:val="en-CA"/>
        </w:rPr>
        <w:t xml:space="preserve"> حيث لم</w:t>
      </w:r>
      <w:r w:rsidR="0050415C">
        <w:rPr>
          <w:rFonts w:hint="eastAsia"/>
          <w:spacing w:val="0"/>
          <w:kern w:val="0"/>
          <w:rtl/>
          <w:lang w:val="en-CA"/>
        </w:rPr>
        <w:t> </w:t>
      </w:r>
      <w:r w:rsidRPr="00AA537D">
        <w:rPr>
          <w:rFonts w:hint="cs"/>
          <w:spacing w:val="0"/>
          <w:kern w:val="0"/>
          <w:rtl/>
          <w:lang w:val="en-CA"/>
        </w:rPr>
        <w:t>تتخذ</w:t>
      </w:r>
      <w:r w:rsidRPr="00AA537D">
        <w:rPr>
          <w:spacing w:val="0"/>
          <w:kern w:val="0"/>
          <w:rtl/>
          <w:lang w:val="en-CA"/>
        </w:rPr>
        <w:t xml:space="preserve"> أي إجراء أو رفض</w:t>
      </w:r>
      <w:r w:rsidRPr="00AA537D">
        <w:rPr>
          <w:rFonts w:hint="cs"/>
          <w:spacing w:val="0"/>
          <w:kern w:val="0"/>
          <w:rtl/>
          <w:lang w:val="en-CA"/>
        </w:rPr>
        <w:t>ت</w:t>
      </w:r>
      <w:r w:rsidRPr="00AA537D">
        <w:rPr>
          <w:spacing w:val="0"/>
          <w:kern w:val="0"/>
          <w:rtl/>
          <w:lang w:val="en-CA"/>
        </w:rPr>
        <w:t xml:space="preserve"> طلباته. ونتيجة لذلك، كان هناك انتهاك للمادة 14 من الاتفاقية، </w:t>
      </w:r>
      <w:r w:rsidRPr="00AA537D">
        <w:rPr>
          <w:rFonts w:hint="cs"/>
          <w:spacing w:val="0"/>
          <w:kern w:val="0"/>
          <w:rtl/>
          <w:lang w:val="en-CA"/>
        </w:rPr>
        <w:t>نظراً</w:t>
      </w:r>
      <w:r w:rsidRPr="00AA537D">
        <w:rPr>
          <w:spacing w:val="0"/>
          <w:kern w:val="0"/>
          <w:rtl/>
          <w:lang w:val="en-CA"/>
        </w:rPr>
        <w:t xml:space="preserve"> </w:t>
      </w:r>
      <w:r w:rsidRPr="00AA537D">
        <w:rPr>
          <w:rFonts w:hint="cs"/>
          <w:spacing w:val="0"/>
          <w:kern w:val="0"/>
          <w:rtl/>
          <w:lang w:val="en-CA"/>
        </w:rPr>
        <w:t>لأنه كان يجب على</w:t>
      </w:r>
      <w:r w:rsidRPr="00AA537D">
        <w:rPr>
          <w:spacing w:val="0"/>
          <w:kern w:val="0"/>
          <w:rtl/>
          <w:lang w:val="en-CA"/>
        </w:rPr>
        <w:t xml:space="preserve"> الدولة الطرف </w:t>
      </w:r>
      <w:r w:rsidRPr="00AA537D">
        <w:rPr>
          <w:rFonts w:hint="cs"/>
          <w:spacing w:val="0"/>
          <w:kern w:val="0"/>
          <w:rtl/>
          <w:lang w:val="en-CA"/>
        </w:rPr>
        <w:t>جبر الضرر</w:t>
      </w:r>
      <w:r w:rsidRPr="00AA537D">
        <w:rPr>
          <w:spacing w:val="0"/>
          <w:kern w:val="0"/>
          <w:rtl/>
          <w:lang w:val="en-CA"/>
        </w:rPr>
        <w:t xml:space="preserve"> الذي عانى منه كضحية للتعذيب</w:t>
      </w:r>
      <w:r w:rsidRPr="00AA537D">
        <w:rPr>
          <w:rFonts w:hint="cs"/>
          <w:spacing w:val="0"/>
          <w:kern w:val="0"/>
          <w:rtl/>
          <w:lang w:val="en-CA"/>
        </w:rPr>
        <w:t xml:space="preserve"> واتخاذ </w:t>
      </w:r>
      <w:r w:rsidRPr="00AA537D">
        <w:rPr>
          <w:spacing w:val="0"/>
          <w:kern w:val="0"/>
          <w:rtl/>
          <w:lang w:val="en-CA"/>
        </w:rPr>
        <w:t xml:space="preserve">خطوات لضمان </w:t>
      </w:r>
      <w:r w:rsidRPr="00AA537D">
        <w:rPr>
          <w:rFonts w:hint="cs"/>
          <w:spacing w:val="0"/>
          <w:kern w:val="0"/>
          <w:rtl/>
          <w:lang w:val="en-CA"/>
        </w:rPr>
        <w:t>عدم حدوث</w:t>
      </w:r>
      <w:r w:rsidRPr="00AA537D">
        <w:rPr>
          <w:spacing w:val="0"/>
          <w:kern w:val="0"/>
          <w:rtl/>
          <w:lang w:val="en-CA"/>
        </w:rPr>
        <w:t xml:space="preserve"> </w:t>
      </w:r>
      <w:r w:rsidRPr="00AA537D">
        <w:rPr>
          <w:rFonts w:hint="cs"/>
          <w:spacing w:val="0"/>
          <w:kern w:val="0"/>
          <w:rtl/>
          <w:lang w:val="en-CA"/>
        </w:rPr>
        <w:t xml:space="preserve">مثل </w:t>
      </w:r>
      <w:r w:rsidRPr="00AA537D">
        <w:rPr>
          <w:spacing w:val="0"/>
          <w:kern w:val="0"/>
          <w:rtl/>
          <w:lang w:val="en-CA"/>
        </w:rPr>
        <w:t>هذه الأ</w:t>
      </w:r>
      <w:r w:rsidRPr="00AA537D">
        <w:rPr>
          <w:rFonts w:hint="cs"/>
          <w:spacing w:val="0"/>
          <w:kern w:val="0"/>
          <w:rtl/>
          <w:lang w:val="en-CA"/>
        </w:rPr>
        <w:t>فع</w:t>
      </w:r>
      <w:r w:rsidRPr="00AA537D">
        <w:rPr>
          <w:spacing w:val="0"/>
          <w:kern w:val="0"/>
          <w:rtl/>
          <w:lang w:val="en-CA"/>
        </w:rPr>
        <w:t xml:space="preserve">ال مرة أخرى. </w:t>
      </w:r>
      <w:r w:rsidRPr="00AA537D">
        <w:rPr>
          <w:rFonts w:hint="cs"/>
          <w:spacing w:val="0"/>
          <w:kern w:val="0"/>
          <w:rtl/>
          <w:lang w:val="en-CA"/>
        </w:rPr>
        <w:t>و</w:t>
      </w:r>
      <w:r w:rsidRPr="00AA537D">
        <w:rPr>
          <w:spacing w:val="0"/>
          <w:kern w:val="0"/>
          <w:rtl/>
          <w:lang w:val="en-CA"/>
        </w:rPr>
        <w:t xml:space="preserve">وفقاً لصاحب الشكوى، </w:t>
      </w:r>
      <w:r w:rsidRPr="00AA537D">
        <w:rPr>
          <w:rFonts w:hint="cs"/>
          <w:spacing w:val="0"/>
          <w:kern w:val="0"/>
          <w:rtl/>
          <w:lang w:val="en-CA"/>
        </w:rPr>
        <w:t>فإن</w:t>
      </w:r>
      <w:r w:rsidRPr="00AA537D">
        <w:rPr>
          <w:spacing w:val="0"/>
          <w:kern w:val="0"/>
          <w:rtl/>
          <w:lang w:val="en-CA"/>
        </w:rPr>
        <w:t xml:space="preserve"> تدابير</w:t>
      </w:r>
      <w:r w:rsidRPr="00AA537D">
        <w:rPr>
          <w:rFonts w:hint="cs"/>
          <w:spacing w:val="0"/>
          <w:kern w:val="0"/>
          <w:rtl/>
          <w:lang w:val="en-CA"/>
        </w:rPr>
        <w:t xml:space="preserve"> الانتصاف </w:t>
      </w:r>
      <w:r w:rsidRPr="00AA537D">
        <w:rPr>
          <w:spacing w:val="0"/>
          <w:kern w:val="0"/>
          <w:rtl/>
          <w:lang w:val="en-CA"/>
        </w:rPr>
        <w:t xml:space="preserve">تشمل جميع الأضرار التي لحقت </w:t>
      </w:r>
      <w:r w:rsidRPr="00AA537D">
        <w:rPr>
          <w:rFonts w:hint="cs"/>
          <w:spacing w:val="0"/>
          <w:kern w:val="0"/>
          <w:rtl/>
          <w:lang w:val="en-CA"/>
        </w:rPr>
        <w:t>ب</w:t>
      </w:r>
      <w:r w:rsidRPr="00AA537D">
        <w:rPr>
          <w:spacing w:val="0"/>
          <w:kern w:val="0"/>
          <w:rtl/>
          <w:lang w:val="en-CA"/>
        </w:rPr>
        <w:t xml:space="preserve">الضحية، بما في ذلك </w:t>
      </w:r>
      <w:r w:rsidRPr="00AA537D">
        <w:rPr>
          <w:rFonts w:hint="cs"/>
          <w:spacing w:val="0"/>
          <w:kern w:val="0"/>
          <w:rtl/>
          <w:lang w:val="en-CA"/>
        </w:rPr>
        <w:t>الجبر</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التعويض </w:t>
      </w:r>
      <w:r w:rsidRPr="00AA537D">
        <w:rPr>
          <w:rFonts w:hint="cs"/>
          <w:spacing w:val="0"/>
          <w:kern w:val="0"/>
          <w:rtl/>
          <w:lang w:val="en-CA"/>
        </w:rPr>
        <w:t xml:space="preserve">ورد الاعتبار والترضية والضمانات </w:t>
      </w:r>
      <w:r w:rsidRPr="00AA537D">
        <w:rPr>
          <w:spacing w:val="0"/>
          <w:kern w:val="0"/>
          <w:rtl/>
          <w:lang w:val="en-CA"/>
        </w:rPr>
        <w:t xml:space="preserve">بعدم التكرار، </w:t>
      </w:r>
      <w:r w:rsidRPr="00AA537D">
        <w:rPr>
          <w:rFonts w:hint="cs"/>
          <w:spacing w:val="0"/>
          <w:kern w:val="0"/>
          <w:rtl/>
          <w:lang w:val="en-CA"/>
        </w:rPr>
        <w:t>فضلاً عن</w:t>
      </w:r>
      <w:r w:rsidRPr="00AA537D">
        <w:rPr>
          <w:spacing w:val="0"/>
          <w:kern w:val="0"/>
          <w:rtl/>
          <w:lang w:val="en-CA"/>
        </w:rPr>
        <w:t xml:space="preserve"> </w:t>
      </w:r>
      <w:r w:rsidRPr="00AA537D">
        <w:rPr>
          <w:rFonts w:hint="cs"/>
          <w:spacing w:val="0"/>
          <w:kern w:val="0"/>
          <w:rtl/>
          <w:lang w:val="en-CA"/>
        </w:rPr>
        <w:t>محاكمة</w:t>
      </w:r>
      <w:r w:rsidRPr="00AA537D">
        <w:rPr>
          <w:spacing w:val="0"/>
          <w:kern w:val="0"/>
          <w:rtl/>
          <w:lang w:val="en-CA"/>
        </w:rPr>
        <w:t xml:space="preserve"> </w:t>
      </w:r>
      <w:r w:rsidRPr="00AA537D">
        <w:rPr>
          <w:rFonts w:hint="cs"/>
          <w:spacing w:val="0"/>
          <w:kern w:val="0"/>
          <w:rtl/>
          <w:lang w:val="en-CA"/>
        </w:rPr>
        <w:t xml:space="preserve">وإدانة </w:t>
      </w:r>
      <w:r w:rsidRPr="00AA537D">
        <w:rPr>
          <w:spacing w:val="0"/>
          <w:kern w:val="0"/>
          <w:rtl/>
          <w:lang w:val="en-CA"/>
        </w:rPr>
        <w:t>ومعاقبة</w:t>
      </w:r>
      <w:r w:rsidR="0050415C">
        <w:rPr>
          <w:rFonts w:hint="cs"/>
          <w:spacing w:val="0"/>
          <w:kern w:val="0"/>
          <w:rtl/>
          <w:lang w:val="en-CA"/>
        </w:rPr>
        <w:t> </w:t>
      </w:r>
      <w:r w:rsidRPr="00AA537D">
        <w:rPr>
          <w:spacing w:val="0"/>
          <w:kern w:val="0"/>
          <w:rtl/>
          <w:lang w:val="en-CA"/>
        </w:rPr>
        <w:t>المسؤولين.</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3-3</w:t>
      </w:r>
      <w:r w:rsidRPr="00AA537D">
        <w:rPr>
          <w:rFonts w:hint="cs"/>
          <w:spacing w:val="0"/>
          <w:kern w:val="0"/>
          <w:rtl/>
          <w:lang w:val="en-CA"/>
        </w:rPr>
        <w:tab/>
      </w:r>
      <w:r w:rsidRPr="00AA537D">
        <w:rPr>
          <w:spacing w:val="0"/>
          <w:kern w:val="0"/>
          <w:rtl/>
          <w:lang w:val="en-CA"/>
        </w:rPr>
        <w:t xml:space="preserve">وفيما يتعلق بالمادة 15 من الاتفاقية، يؤكد صاحب الشكوى أن المحاكمة التي أدت إلى إدانته لم تكن عادلة. </w:t>
      </w:r>
      <w:r w:rsidRPr="00AA537D">
        <w:rPr>
          <w:rFonts w:hint="cs"/>
          <w:spacing w:val="0"/>
          <w:kern w:val="0"/>
          <w:rtl/>
          <w:lang w:val="en-CA"/>
        </w:rPr>
        <w:t>ذلك أن</w:t>
      </w:r>
      <w:r w:rsidRPr="00AA537D">
        <w:rPr>
          <w:spacing w:val="0"/>
          <w:kern w:val="0"/>
          <w:rtl/>
          <w:lang w:val="en-CA"/>
        </w:rPr>
        <w:t xml:space="preserve"> </w:t>
      </w:r>
      <w:r w:rsidRPr="00AA537D">
        <w:rPr>
          <w:rFonts w:hint="cs"/>
          <w:spacing w:val="0"/>
          <w:kern w:val="0"/>
          <w:rtl/>
          <w:lang w:val="en-CA"/>
        </w:rPr>
        <w:t>اعترافاته</w:t>
      </w:r>
      <w:r w:rsidRPr="00AA537D">
        <w:rPr>
          <w:spacing w:val="0"/>
          <w:kern w:val="0"/>
          <w:rtl/>
          <w:lang w:val="en-CA"/>
        </w:rPr>
        <w:t xml:space="preserve">، التي تم الحصول عليها تحت التعذيب في مركز للشرطة، </w:t>
      </w:r>
      <w:r w:rsidRPr="00AA537D">
        <w:rPr>
          <w:rFonts w:hint="cs"/>
          <w:spacing w:val="0"/>
          <w:kern w:val="0"/>
          <w:rtl/>
          <w:lang w:val="en-CA"/>
        </w:rPr>
        <w:t xml:space="preserve">استخدمت </w:t>
      </w:r>
      <w:r w:rsidRPr="00AA537D">
        <w:rPr>
          <w:spacing w:val="0"/>
          <w:kern w:val="0"/>
          <w:rtl/>
          <w:lang w:val="en-CA"/>
        </w:rPr>
        <w:t xml:space="preserve">كدليل </w:t>
      </w:r>
      <w:r w:rsidRPr="00AA537D">
        <w:rPr>
          <w:rFonts w:hint="cs"/>
          <w:spacing w:val="0"/>
          <w:kern w:val="0"/>
          <w:rtl/>
          <w:lang w:val="en-CA"/>
        </w:rPr>
        <w:t>و</w:t>
      </w:r>
      <w:r w:rsidRPr="00AA537D">
        <w:rPr>
          <w:spacing w:val="0"/>
          <w:kern w:val="0"/>
          <w:rtl/>
          <w:lang w:val="en-CA"/>
        </w:rPr>
        <w:t xml:space="preserve">أدت إلى إدانته بتهمة ارتكاب جريمة قتل </w:t>
      </w:r>
      <w:r w:rsidRPr="00AA537D">
        <w:rPr>
          <w:rFonts w:hint="cs"/>
          <w:spacing w:val="0"/>
          <w:kern w:val="0"/>
          <w:rtl/>
          <w:lang w:val="en-CA"/>
        </w:rPr>
        <w:t>إ</w:t>
      </w:r>
      <w:r w:rsidRPr="00AA537D">
        <w:rPr>
          <w:spacing w:val="0"/>
          <w:kern w:val="0"/>
          <w:rtl/>
          <w:lang w:val="en-CA"/>
        </w:rPr>
        <w:t xml:space="preserve">رهابية. ويؤكد </w:t>
      </w:r>
      <w:r w:rsidRPr="00AA537D">
        <w:rPr>
          <w:rFonts w:hint="cs"/>
          <w:spacing w:val="0"/>
          <w:kern w:val="0"/>
          <w:rtl/>
          <w:lang w:val="en-CA"/>
        </w:rPr>
        <w:t xml:space="preserve">صاحب الشكوى </w:t>
      </w:r>
      <w:r w:rsidRPr="00AA537D">
        <w:rPr>
          <w:spacing w:val="0"/>
          <w:kern w:val="0"/>
          <w:rtl/>
          <w:lang w:val="en-CA"/>
        </w:rPr>
        <w:t>أن محاكمته وإدانته استندت</w:t>
      </w:r>
      <w:r w:rsidRPr="00AA537D">
        <w:rPr>
          <w:rFonts w:hint="cs"/>
          <w:spacing w:val="0"/>
          <w:kern w:val="0"/>
          <w:rtl/>
          <w:lang w:val="en-CA"/>
        </w:rPr>
        <w:t>ا</w:t>
      </w:r>
      <w:r w:rsidRPr="00AA537D">
        <w:rPr>
          <w:spacing w:val="0"/>
          <w:kern w:val="0"/>
          <w:rtl/>
          <w:lang w:val="en-CA"/>
        </w:rPr>
        <w:t xml:space="preserve"> </w:t>
      </w:r>
      <w:r w:rsidRPr="00AA537D">
        <w:rPr>
          <w:rFonts w:hint="cs"/>
          <w:spacing w:val="0"/>
          <w:kern w:val="0"/>
          <w:rtl/>
          <w:lang w:val="en-CA"/>
        </w:rPr>
        <w:t>إلى تلك الاعترافات</w:t>
      </w:r>
      <w:r w:rsidRPr="00AA537D">
        <w:rPr>
          <w:spacing w:val="0"/>
          <w:kern w:val="0"/>
          <w:rtl/>
          <w:lang w:val="en-CA"/>
        </w:rPr>
        <w:t>، التي قدمت</w:t>
      </w:r>
      <w:r w:rsidRPr="00AA537D">
        <w:rPr>
          <w:rFonts w:hint="cs"/>
          <w:spacing w:val="0"/>
          <w:kern w:val="0"/>
          <w:rtl/>
          <w:lang w:val="en-CA"/>
        </w:rPr>
        <w:t>ها السلطات إلى</w:t>
      </w:r>
      <w:r w:rsidRPr="00AA537D">
        <w:rPr>
          <w:spacing w:val="0"/>
          <w:kern w:val="0"/>
          <w:rtl/>
          <w:lang w:val="en-CA"/>
        </w:rPr>
        <w:t xml:space="preserve"> المحكمة في شكل شهادة ضباط الشرطة الذين شاركوا في التحقيق</w:t>
      </w:r>
      <w:r w:rsidRPr="00AA537D">
        <w:rPr>
          <w:rFonts w:hint="cs"/>
          <w:spacing w:val="0"/>
          <w:kern w:val="0"/>
          <w:rtl/>
          <w:lang w:val="en-CA"/>
        </w:rPr>
        <w:t xml:space="preserve"> معه</w:t>
      </w:r>
      <w:r w:rsidRPr="00AA537D">
        <w:rPr>
          <w:spacing w:val="0"/>
          <w:kern w:val="0"/>
          <w:rtl/>
          <w:lang w:val="en-CA"/>
        </w:rPr>
        <w:t xml:space="preserve">. ويمكن </w:t>
      </w:r>
      <w:r w:rsidRPr="00AA537D">
        <w:rPr>
          <w:rFonts w:hint="cs"/>
          <w:spacing w:val="0"/>
          <w:kern w:val="0"/>
          <w:rtl/>
          <w:lang w:val="en-CA"/>
        </w:rPr>
        <w:t xml:space="preserve">اعتبار </w:t>
      </w:r>
      <w:r w:rsidRPr="00AA537D">
        <w:rPr>
          <w:spacing w:val="0"/>
          <w:kern w:val="0"/>
          <w:rtl/>
          <w:lang w:val="en-CA"/>
        </w:rPr>
        <w:t xml:space="preserve">اعترافه في مركز الشرطة </w:t>
      </w:r>
      <w:r w:rsidRPr="00AA537D">
        <w:rPr>
          <w:rFonts w:hint="cs"/>
          <w:spacing w:val="0"/>
          <w:kern w:val="0"/>
          <w:rtl/>
          <w:lang w:val="en-CA"/>
        </w:rPr>
        <w:t xml:space="preserve">كحد أقصى </w:t>
      </w:r>
      <w:r w:rsidRPr="00AA537D">
        <w:rPr>
          <w:spacing w:val="0"/>
          <w:kern w:val="0"/>
          <w:rtl/>
          <w:lang w:val="en-CA"/>
        </w:rPr>
        <w:t>عنصرا</w:t>
      </w:r>
      <w:r w:rsidRPr="00AA537D">
        <w:rPr>
          <w:rFonts w:hint="cs"/>
          <w:spacing w:val="0"/>
          <w:kern w:val="0"/>
          <w:rtl/>
          <w:lang w:val="en-CA"/>
        </w:rPr>
        <w:t>ً</w:t>
      </w:r>
      <w:r w:rsidRPr="00AA537D">
        <w:rPr>
          <w:spacing w:val="0"/>
          <w:kern w:val="0"/>
          <w:rtl/>
          <w:lang w:val="en-CA"/>
        </w:rPr>
        <w:t xml:space="preserve"> من عناصر الأدلة ال</w:t>
      </w:r>
      <w:r w:rsidRPr="00AA537D">
        <w:rPr>
          <w:rFonts w:hint="cs"/>
          <w:spacing w:val="0"/>
          <w:kern w:val="0"/>
          <w:rtl/>
          <w:lang w:val="en-CA"/>
        </w:rPr>
        <w:t>بيانية</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يخلص إلى أنه </w:t>
      </w:r>
      <w:r w:rsidRPr="00AA537D">
        <w:rPr>
          <w:rFonts w:hint="cs"/>
          <w:spacing w:val="0"/>
          <w:kern w:val="0"/>
          <w:rtl/>
          <w:lang w:val="en-CA"/>
        </w:rPr>
        <w:t>لا يجوز استخدام ال</w:t>
      </w:r>
      <w:r w:rsidRPr="00AA537D">
        <w:rPr>
          <w:spacing w:val="0"/>
          <w:kern w:val="0"/>
          <w:rtl/>
          <w:lang w:val="en-CA"/>
        </w:rPr>
        <w:t xml:space="preserve">أدلة </w:t>
      </w:r>
      <w:r w:rsidRPr="00AA537D">
        <w:rPr>
          <w:rFonts w:hint="cs"/>
          <w:spacing w:val="0"/>
          <w:kern w:val="0"/>
          <w:rtl/>
          <w:lang w:val="en-CA"/>
        </w:rPr>
        <w:t>ال</w:t>
      </w:r>
      <w:r w:rsidRPr="00AA537D">
        <w:rPr>
          <w:spacing w:val="0"/>
          <w:kern w:val="0"/>
          <w:rtl/>
          <w:lang w:val="en-CA"/>
        </w:rPr>
        <w:t xml:space="preserve">مباشرة </w:t>
      </w:r>
      <w:r w:rsidRPr="00AA537D">
        <w:rPr>
          <w:rFonts w:hint="cs"/>
          <w:spacing w:val="0"/>
          <w:kern w:val="0"/>
          <w:rtl/>
          <w:lang w:val="en-CA"/>
        </w:rPr>
        <w:t>أو</w:t>
      </w:r>
      <w:r w:rsidRPr="00AA537D">
        <w:rPr>
          <w:spacing w:val="0"/>
          <w:kern w:val="0"/>
          <w:rtl/>
          <w:lang w:val="en-CA"/>
        </w:rPr>
        <w:t xml:space="preserve"> </w:t>
      </w:r>
      <w:r w:rsidRPr="00AA537D">
        <w:rPr>
          <w:rFonts w:hint="cs"/>
          <w:spacing w:val="0"/>
          <w:kern w:val="0"/>
          <w:rtl/>
          <w:lang w:val="en-CA"/>
        </w:rPr>
        <w:t>البيانية،</w:t>
      </w:r>
      <w:r w:rsidRPr="00AA537D">
        <w:rPr>
          <w:spacing w:val="0"/>
          <w:kern w:val="0"/>
          <w:rtl/>
          <w:lang w:val="en-CA"/>
        </w:rPr>
        <w:t xml:space="preserve"> التي تم الحصول عليها </w:t>
      </w:r>
      <w:r w:rsidRPr="00AA537D">
        <w:rPr>
          <w:rFonts w:hint="cs"/>
          <w:spacing w:val="0"/>
          <w:kern w:val="0"/>
          <w:rtl/>
          <w:lang w:val="en-CA"/>
        </w:rPr>
        <w:t>بأسلوب ينتهك ا</w:t>
      </w:r>
      <w:r w:rsidRPr="00AA537D">
        <w:rPr>
          <w:spacing w:val="0"/>
          <w:kern w:val="0"/>
          <w:rtl/>
          <w:lang w:val="en-CA"/>
        </w:rPr>
        <w:t>لحقوق الأساسية</w:t>
      </w:r>
      <w:r w:rsidRPr="00AA537D">
        <w:rPr>
          <w:rFonts w:hint="cs"/>
          <w:spacing w:val="0"/>
          <w:kern w:val="0"/>
          <w:rtl/>
          <w:lang w:val="en-CA"/>
        </w:rPr>
        <w:t>،</w:t>
      </w:r>
      <w:r w:rsidRPr="00AA537D">
        <w:rPr>
          <w:spacing w:val="0"/>
          <w:kern w:val="0"/>
          <w:rtl/>
          <w:lang w:val="en-CA"/>
        </w:rPr>
        <w:t xml:space="preserve"> في إجراءات</w:t>
      </w:r>
      <w:r w:rsidRPr="00AA537D">
        <w:rPr>
          <w:rFonts w:hint="cs"/>
          <w:spacing w:val="0"/>
          <w:kern w:val="0"/>
          <w:rtl/>
          <w:lang w:val="en-CA"/>
        </w:rPr>
        <w:t> </w:t>
      </w:r>
      <w:r w:rsidRPr="00AA537D">
        <w:rPr>
          <w:spacing w:val="0"/>
          <w:kern w:val="0"/>
          <w:rtl/>
          <w:lang w:val="en-CA"/>
        </w:rPr>
        <w:t>جنائية.</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3-4</w:t>
      </w:r>
      <w:r w:rsidRPr="00AA537D">
        <w:rPr>
          <w:rFonts w:hint="cs"/>
          <w:spacing w:val="0"/>
          <w:kern w:val="0"/>
          <w:rtl/>
          <w:lang w:val="en-CA"/>
        </w:rPr>
        <w:tab/>
      </w:r>
      <w:r w:rsidRPr="00AA537D">
        <w:rPr>
          <w:spacing w:val="0"/>
          <w:kern w:val="0"/>
          <w:rtl/>
          <w:lang w:val="en-CA"/>
        </w:rPr>
        <w:t xml:space="preserve">ويدعي صاحب الشكوى أنه تم انتهاك حقه في الحماية القانونية الفعالة، نظراً </w:t>
      </w:r>
      <w:r w:rsidRPr="00AA537D">
        <w:rPr>
          <w:rFonts w:hint="cs"/>
          <w:spacing w:val="0"/>
          <w:kern w:val="0"/>
          <w:rtl/>
          <w:lang w:val="en-CA"/>
        </w:rPr>
        <w:t>ل</w:t>
      </w:r>
      <w:r w:rsidRPr="00AA537D">
        <w:rPr>
          <w:spacing w:val="0"/>
          <w:kern w:val="0"/>
          <w:rtl/>
          <w:lang w:val="en-CA"/>
        </w:rPr>
        <w:t>أن طلب النقض ال</w:t>
      </w:r>
      <w:r w:rsidRPr="00AA537D">
        <w:rPr>
          <w:rFonts w:hint="cs"/>
          <w:spacing w:val="0"/>
          <w:kern w:val="0"/>
          <w:rtl/>
          <w:lang w:val="en-CA"/>
        </w:rPr>
        <w:t>ذ</w:t>
      </w:r>
      <w:r w:rsidRPr="00AA537D">
        <w:rPr>
          <w:spacing w:val="0"/>
          <w:kern w:val="0"/>
          <w:rtl/>
          <w:lang w:val="en-CA"/>
        </w:rPr>
        <w:t>ي رفعه</w:t>
      </w:r>
      <w:r w:rsidRPr="00AA537D">
        <w:rPr>
          <w:rFonts w:hint="cs"/>
          <w:spacing w:val="0"/>
          <w:kern w:val="0"/>
          <w:rtl/>
          <w:lang w:val="en-CA"/>
        </w:rPr>
        <w:t xml:space="preserve"> </w:t>
      </w:r>
      <w:r w:rsidRPr="00AA537D">
        <w:rPr>
          <w:spacing w:val="0"/>
          <w:kern w:val="0"/>
          <w:rtl/>
          <w:lang w:val="en-CA"/>
        </w:rPr>
        <w:t xml:space="preserve">أمام المحكمة العليا لا </w:t>
      </w:r>
      <w:r w:rsidRPr="00AA537D">
        <w:rPr>
          <w:rFonts w:hint="cs"/>
          <w:spacing w:val="0"/>
          <w:kern w:val="0"/>
          <w:rtl/>
          <w:lang w:val="en-CA"/>
        </w:rPr>
        <w:t>ي</w:t>
      </w:r>
      <w:r w:rsidRPr="00AA537D">
        <w:rPr>
          <w:spacing w:val="0"/>
          <w:kern w:val="0"/>
          <w:rtl/>
          <w:lang w:val="en-CA"/>
        </w:rPr>
        <w:t xml:space="preserve">شكل جلسة استماع ثانية لأنه لا </w:t>
      </w:r>
      <w:r w:rsidRPr="00AA537D">
        <w:rPr>
          <w:rFonts w:hint="cs"/>
          <w:spacing w:val="0"/>
          <w:kern w:val="0"/>
          <w:rtl/>
          <w:lang w:val="en-CA"/>
        </w:rPr>
        <w:t>يترتب عليه</w:t>
      </w:r>
      <w:r w:rsidRPr="00AA537D">
        <w:rPr>
          <w:spacing w:val="0"/>
          <w:kern w:val="0"/>
          <w:rtl/>
          <w:lang w:val="en-CA"/>
        </w:rPr>
        <w:t xml:space="preserve"> </w:t>
      </w:r>
      <w:r w:rsidRPr="00AA537D">
        <w:rPr>
          <w:rFonts w:hint="cs"/>
          <w:spacing w:val="0"/>
          <w:kern w:val="0"/>
          <w:rtl/>
          <w:lang w:val="en-CA"/>
        </w:rPr>
        <w:t xml:space="preserve">استعراض </w:t>
      </w:r>
      <w:r w:rsidRPr="00AA537D">
        <w:rPr>
          <w:spacing w:val="0"/>
          <w:kern w:val="0"/>
          <w:rtl/>
          <w:lang w:val="en-CA"/>
        </w:rPr>
        <w:t xml:space="preserve">شامل للأدلة والوقائع </w:t>
      </w:r>
      <w:r w:rsidRPr="00AA537D">
        <w:rPr>
          <w:rFonts w:hint="cs"/>
          <w:spacing w:val="0"/>
          <w:kern w:val="0"/>
          <w:rtl/>
          <w:lang w:val="en-CA"/>
        </w:rPr>
        <w:t>المثبتة</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علاوة على ذلك، يدعي صاحب الشكوى </w:t>
      </w:r>
      <w:r w:rsidRPr="00AA537D">
        <w:rPr>
          <w:rFonts w:hint="cs"/>
          <w:spacing w:val="0"/>
          <w:kern w:val="0"/>
          <w:rtl/>
          <w:lang w:val="en-CA"/>
        </w:rPr>
        <w:t xml:space="preserve">حدوث </w:t>
      </w:r>
      <w:r w:rsidRPr="00AA537D">
        <w:rPr>
          <w:spacing w:val="0"/>
          <w:kern w:val="0"/>
          <w:rtl/>
          <w:lang w:val="en-CA"/>
        </w:rPr>
        <w:t>انتهاكا</w:t>
      </w:r>
      <w:r w:rsidRPr="00AA537D">
        <w:rPr>
          <w:rFonts w:hint="cs"/>
          <w:spacing w:val="0"/>
          <w:kern w:val="0"/>
          <w:rtl/>
          <w:lang w:val="en-CA"/>
        </w:rPr>
        <w:t>ت</w:t>
      </w:r>
      <w:r w:rsidRPr="00AA537D">
        <w:rPr>
          <w:spacing w:val="0"/>
          <w:kern w:val="0"/>
          <w:rtl/>
          <w:lang w:val="en-CA"/>
        </w:rPr>
        <w:t xml:space="preserve"> للم</w:t>
      </w:r>
      <w:r w:rsidRPr="00AA537D">
        <w:rPr>
          <w:rFonts w:hint="cs"/>
          <w:spacing w:val="0"/>
          <w:kern w:val="0"/>
          <w:rtl/>
          <w:lang w:val="en-CA"/>
        </w:rPr>
        <w:t>واد</w:t>
      </w:r>
      <w:r w:rsidRPr="00AA537D">
        <w:rPr>
          <w:spacing w:val="0"/>
          <w:kern w:val="0"/>
          <w:rtl/>
          <w:lang w:val="en-CA"/>
        </w:rPr>
        <w:t xml:space="preserve"> 7 و9 (الفقرة 3) و14 (الفقرتان 1 و2) من العهد الدولي الخاص بالحقوق المدنية</w:t>
      </w:r>
      <w:r w:rsidRPr="00AA537D">
        <w:rPr>
          <w:rFonts w:hint="cs"/>
          <w:spacing w:val="0"/>
          <w:kern w:val="0"/>
          <w:rtl/>
          <w:lang w:val="en-CA"/>
        </w:rPr>
        <w:t> </w:t>
      </w:r>
      <w:r w:rsidRPr="00AA537D">
        <w:rPr>
          <w:spacing w:val="0"/>
          <w:kern w:val="0"/>
          <w:rtl/>
          <w:lang w:val="en-CA"/>
        </w:rPr>
        <w:t>والسياسية.</w:t>
      </w:r>
    </w:p>
    <w:p w:rsidR="00FA6676" w:rsidRPr="00E86FDB" w:rsidRDefault="00FA6676" w:rsidP="00AA537D">
      <w:pPr>
        <w:pStyle w:val="SingleTxtGA"/>
        <w:jc w:val="lowKashida"/>
        <w:rPr>
          <w:rFonts w:hint="cs"/>
          <w:spacing w:val="-2"/>
          <w:kern w:val="0"/>
          <w:rtl/>
          <w:lang w:val="en-CA"/>
        </w:rPr>
      </w:pPr>
      <w:r w:rsidRPr="00E86FDB">
        <w:rPr>
          <w:rFonts w:hint="cs"/>
          <w:spacing w:val="-2"/>
          <w:kern w:val="0"/>
          <w:rtl/>
          <w:lang w:val="en-CA"/>
        </w:rPr>
        <w:t>3-5</w:t>
      </w:r>
      <w:r w:rsidRPr="00E86FDB">
        <w:rPr>
          <w:rFonts w:hint="cs"/>
          <w:spacing w:val="-2"/>
          <w:kern w:val="0"/>
          <w:rtl/>
          <w:lang w:val="en-CA"/>
        </w:rPr>
        <w:tab/>
        <w:t xml:space="preserve">ويطالب </w:t>
      </w:r>
      <w:r w:rsidRPr="00E86FDB">
        <w:rPr>
          <w:spacing w:val="-2"/>
          <w:kern w:val="0"/>
          <w:rtl/>
          <w:lang w:val="en-CA"/>
        </w:rPr>
        <w:t xml:space="preserve">صاحب الشكوى الدولة الطرف بما يلي: </w:t>
      </w:r>
      <w:r w:rsidRPr="00E86FDB">
        <w:rPr>
          <w:rFonts w:hint="cs"/>
          <w:spacing w:val="-2"/>
          <w:kern w:val="0"/>
          <w:rtl/>
          <w:lang w:val="en-CA"/>
        </w:rPr>
        <w:t>جبر</w:t>
      </w:r>
      <w:r w:rsidRPr="00E86FDB">
        <w:rPr>
          <w:spacing w:val="-2"/>
          <w:kern w:val="0"/>
          <w:rtl/>
          <w:lang w:val="en-CA"/>
        </w:rPr>
        <w:t xml:space="preserve"> جميع الأضرار، بما في ذلك </w:t>
      </w:r>
      <w:r w:rsidRPr="00E86FDB">
        <w:rPr>
          <w:rFonts w:hint="cs"/>
          <w:spacing w:val="-2"/>
          <w:kern w:val="0"/>
          <w:rtl/>
          <w:lang w:val="en-CA"/>
        </w:rPr>
        <w:t xml:space="preserve">تقديم </w:t>
      </w:r>
      <w:r w:rsidRPr="00E86FDB">
        <w:rPr>
          <w:spacing w:val="-2"/>
          <w:kern w:val="0"/>
          <w:rtl/>
          <w:lang w:val="en-CA"/>
        </w:rPr>
        <w:t xml:space="preserve">تعويض مالي </w:t>
      </w:r>
      <w:r w:rsidRPr="00E86FDB">
        <w:rPr>
          <w:rFonts w:hint="cs"/>
          <w:spacing w:val="-2"/>
          <w:kern w:val="0"/>
          <w:rtl/>
          <w:lang w:val="en-CA"/>
        </w:rPr>
        <w:t>قدره 000 30 يورو</w:t>
      </w:r>
      <w:r w:rsidRPr="00E86FDB">
        <w:rPr>
          <w:rFonts w:ascii="Traditional Arabic" w:hAnsi="Traditional Arabic" w:hint="cs"/>
          <w:spacing w:val="-2"/>
          <w:kern w:val="0"/>
          <w:rtl/>
          <w:lang w:val="en-CA"/>
        </w:rPr>
        <w:t>؛</w:t>
      </w:r>
      <w:r w:rsidRPr="00E86FDB">
        <w:rPr>
          <w:spacing w:val="-2"/>
          <w:kern w:val="0"/>
          <w:rtl/>
          <w:lang w:val="en-CA"/>
        </w:rPr>
        <w:t xml:space="preserve"> </w:t>
      </w:r>
      <w:r w:rsidRPr="00E86FDB">
        <w:rPr>
          <w:rFonts w:hint="cs"/>
          <w:spacing w:val="-2"/>
          <w:kern w:val="0"/>
          <w:rtl/>
          <w:lang w:val="en-CA"/>
        </w:rPr>
        <w:t>و</w:t>
      </w:r>
      <w:r w:rsidRPr="00E86FDB">
        <w:rPr>
          <w:rFonts w:ascii="Traditional Arabic" w:hAnsi="Traditional Arabic" w:hint="cs"/>
          <w:spacing w:val="-2"/>
          <w:kern w:val="0"/>
          <w:rtl/>
          <w:lang w:val="en-CA"/>
        </w:rPr>
        <w:t>إجراء</w:t>
      </w:r>
      <w:r w:rsidRPr="00E86FDB">
        <w:rPr>
          <w:spacing w:val="-2"/>
          <w:kern w:val="0"/>
          <w:rtl/>
          <w:lang w:val="en-CA"/>
        </w:rPr>
        <w:t xml:space="preserve"> </w:t>
      </w:r>
      <w:r w:rsidRPr="00E86FDB">
        <w:rPr>
          <w:rFonts w:ascii="Traditional Arabic" w:hAnsi="Traditional Arabic" w:hint="cs"/>
          <w:spacing w:val="-2"/>
          <w:kern w:val="0"/>
          <w:rtl/>
          <w:lang w:val="en-CA"/>
        </w:rPr>
        <w:t>تحقيق</w:t>
      </w:r>
      <w:r w:rsidRPr="00E86FDB">
        <w:rPr>
          <w:spacing w:val="-2"/>
          <w:kern w:val="0"/>
          <w:rtl/>
          <w:lang w:val="en-CA"/>
        </w:rPr>
        <w:t xml:space="preserve"> </w:t>
      </w:r>
      <w:r w:rsidRPr="00E86FDB">
        <w:rPr>
          <w:rFonts w:ascii="Traditional Arabic" w:hAnsi="Traditional Arabic" w:hint="cs"/>
          <w:spacing w:val="-2"/>
          <w:kern w:val="0"/>
          <w:rtl/>
          <w:lang w:val="en-CA"/>
        </w:rPr>
        <w:t>سريع</w:t>
      </w:r>
      <w:r w:rsidRPr="00E86FDB">
        <w:rPr>
          <w:spacing w:val="-2"/>
          <w:kern w:val="0"/>
          <w:rtl/>
          <w:lang w:val="en-CA"/>
        </w:rPr>
        <w:t xml:space="preserve"> </w:t>
      </w:r>
      <w:r w:rsidRPr="00E86FDB">
        <w:rPr>
          <w:rFonts w:ascii="Traditional Arabic" w:hAnsi="Traditional Arabic" w:hint="cs"/>
          <w:spacing w:val="-2"/>
          <w:kern w:val="0"/>
          <w:rtl/>
          <w:lang w:val="en-CA"/>
        </w:rPr>
        <w:t>ونزيه</w:t>
      </w:r>
      <w:r w:rsidRPr="00E86FDB">
        <w:rPr>
          <w:spacing w:val="-2"/>
          <w:kern w:val="0"/>
          <w:rtl/>
          <w:lang w:val="en-CA"/>
        </w:rPr>
        <w:t xml:space="preserve"> </w:t>
      </w:r>
      <w:r w:rsidRPr="00E86FDB">
        <w:rPr>
          <w:rFonts w:ascii="Traditional Arabic" w:hAnsi="Traditional Arabic" w:hint="cs"/>
          <w:spacing w:val="-2"/>
          <w:kern w:val="0"/>
          <w:rtl/>
          <w:lang w:val="en-CA"/>
        </w:rPr>
        <w:t>في</w:t>
      </w:r>
      <w:r w:rsidRPr="00E86FDB">
        <w:rPr>
          <w:spacing w:val="-2"/>
          <w:kern w:val="0"/>
          <w:rtl/>
          <w:lang w:val="en-CA"/>
        </w:rPr>
        <w:t xml:space="preserve"> </w:t>
      </w:r>
      <w:r w:rsidRPr="00E86FDB">
        <w:rPr>
          <w:rFonts w:ascii="Traditional Arabic" w:hAnsi="Traditional Arabic" w:hint="cs"/>
          <w:spacing w:val="-2"/>
          <w:kern w:val="0"/>
          <w:rtl/>
          <w:lang w:val="en-CA"/>
        </w:rPr>
        <w:t>ادعاءاته بالتعرض</w:t>
      </w:r>
      <w:r w:rsidRPr="00E86FDB">
        <w:rPr>
          <w:spacing w:val="-2"/>
          <w:kern w:val="0"/>
          <w:rtl/>
          <w:lang w:val="en-CA"/>
        </w:rPr>
        <w:t xml:space="preserve"> </w:t>
      </w:r>
      <w:r w:rsidRPr="00E86FDB">
        <w:rPr>
          <w:rFonts w:ascii="Traditional Arabic" w:hAnsi="Traditional Arabic" w:hint="cs"/>
          <w:spacing w:val="-2"/>
          <w:kern w:val="0"/>
          <w:rtl/>
          <w:lang w:val="en-CA"/>
        </w:rPr>
        <w:t>للتعذيب</w:t>
      </w:r>
      <w:r w:rsidRPr="00E86FDB">
        <w:rPr>
          <w:spacing w:val="-2"/>
          <w:kern w:val="0"/>
          <w:rtl/>
          <w:lang w:val="en-CA"/>
        </w:rPr>
        <w:t xml:space="preserve"> </w:t>
      </w:r>
      <w:r w:rsidRPr="00E86FDB">
        <w:rPr>
          <w:rFonts w:ascii="Traditional Arabic" w:hAnsi="Traditional Arabic" w:hint="cs"/>
          <w:spacing w:val="-2"/>
          <w:kern w:val="0"/>
          <w:rtl/>
          <w:lang w:val="en-CA"/>
        </w:rPr>
        <w:t>وسوء</w:t>
      </w:r>
      <w:r w:rsidRPr="00E86FDB">
        <w:rPr>
          <w:spacing w:val="-2"/>
          <w:kern w:val="0"/>
          <w:rtl/>
          <w:lang w:val="en-CA"/>
        </w:rPr>
        <w:t xml:space="preserve"> </w:t>
      </w:r>
      <w:r w:rsidRPr="00E86FDB">
        <w:rPr>
          <w:rFonts w:ascii="Traditional Arabic" w:hAnsi="Traditional Arabic" w:hint="cs"/>
          <w:spacing w:val="-2"/>
          <w:kern w:val="0"/>
          <w:rtl/>
          <w:lang w:val="en-CA"/>
        </w:rPr>
        <w:t>المعاملة؛</w:t>
      </w:r>
      <w:r w:rsidRPr="00E86FDB">
        <w:rPr>
          <w:spacing w:val="-2"/>
          <w:kern w:val="0"/>
          <w:rtl/>
          <w:lang w:val="en-CA"/>
        </w:rPr>
        <w:t xml:space="preserve"> </w:t>
      </w:r>
      <w:r w:rsidRPr="00E86FDB">
        <w:rPr>
          <w:rFonts w:ascii="Traditional Arabic" w:hAnsi="Traditional Arabic" w:hint="cs"/>
          <w:spacing w:val="-2"/>
          <w:kern w:val="0"/>
          <w:rtl/>
          <w:lang w:val="en-CA"/>
        </w:rPr>
        <w:t>وإعادة النظر في</w:t>
      </w:r>
      <w:r w:rsidRPr="00E86FDB">
        <w:rPr>
          <w:spacing w:val="-2"/>
          <w:kern w:val="0"/>
          <w:rtl/>
          <w:lang w:val="en-CA"/>
        </w:rPr>
        <w:t xml:space="preserve"> </w:t>
      </w:r>
      <w:r w:rsidRPr="00E86FDB">
        <w:rPr>
          <w:rFonts w:ascii="Traditional Arabic" w:hAnsi="Traditional Arabic" w:hint="cs"/>
          <w:spacing w:val="-2"/>
          <w:kern w:val="0"/>
          <w:rtl/>
          <w:lang w:val="en-CA"/>
        </w:rPr>
        <w:t>إدانته،</w:t>
      </w:r>
      <w:r w:rsidRPr="00E86FDB">
        <w:rPr>
          <w:spacing w:val="-2"/>
          <w:kern w:val="0"/>
          <w:rtl/>
          <w:lang w:val="en-CA"/>
        </w:rPr>
        <w:t xml:space="preserve"> </w:t>
      </w:r>
      <w:r w:rsidRPr="00E86FDB">
        <w:rPr>
          <w:rFonts w:ascii="Traditional Arabic" w:hAnsi="Traditional Arabic" w:hint="cs"/>
          <w:spacing w:val="-2"/>
          <w:kern w:val="0"/>
          <w:rtl/>
          <w:lang w:val="en-CA"/>
        </w:rPr>
        <w:t>التي</w:t>
      </w:r>
      <w:r w:rsidRPr="00E86FDB">
        <w:rPr>
          <w:spacing w:val="-2"/>
          <w:kern w:val="0"/>
          <w:rtl/>
          <w:lang w:val="en-CA"/>
        </w:rPr>
        <w:t xml:space="preserve"> </w:t>
      </w:r>
      <w:r w:rsidRPr="00E86FDB">
        <w:rPr>
          <w:rFonts w:ascii="Traditional Arabic" w:hAnsi="Traditional Arabic" w:hint="cs"/>
          <w:spacing w:val="-2"/>
          <w:kern w:val="0"/>
          <w:rtl/>
          <w:lang w:val="en-CA"/>
        </w:rPr>
        <w:t>استندت</w:t>
      </w:r>
      <w:r w:rsidRPr="00E86FDB">
        <w:rPr>
          <w:spacing w:val="-2"/>
          <w:kern w:val="0"/>
          <w:rtl/>
          <w:lang w:val="en-CA"/>
        </w:rPr>
        <w:t xml:space="preserve"> </w:t>
      </w:r>
      <w:r w:rsidRPr="00E86FDB">
        <w:rPr>
          <w:rFonts w:ascii="Traditional Arabic" w:hAnsi="Traditional Arabic" w:hint="cs"/>
          <w:spacing w:val="-2"/>
          <w:kern w:val="0"/>
          <w:rtl/>
          <w:lang w:val="en-CA"/>
        </w:rPr>
        <w:t>إلى</w:t>
      </w:r>
      <w:r w:rsidRPr="00E86FDB">
        <w:rPr>
          <w:spacing w:val="-2"/>
          <w:kern w:val="0"/>
          <w:rtl/>
          <w:lang w:val="en-CA"/>
        </w:rPr>
        <w:t xml:space="preserve"> </w:t>
      </w:r>
      <w:r w:rsidRPr="00E86FDB">
        <w:rPr>
          <w:rFonts w:ascii="Traditional Arabic" w:hAnsi="Traditional Arabic" w:hint="cs"/>
          <w:spacing w:val="-2"/>
          <w:kern w:val="0"/>
          <w:rtl/>
          <w:lang w:val="en-CA"/>
        </w:rPr>
        <w:t>اعترافات</w:t>
      </w:r>
      <w:r w:rsidRPr="00E86FDB">
        <w:rPr>
          <w:spacing w:val="-2"/>
          <w:kern w:val="0"/>
          <w:rtl/>
          <w:lang w:val="en-CA"/>
        </w:rPr>
        <w:t xml:space="preserve"> </w:t>
      </w:r>
      <w:r w:rsidRPr="00E86FDB">
        <w:rPr>
          <w:rFonts w:ascii="Traditional Arabic" w:hAnsi="Traditional Arabic" w:hint="cs"/>
          <w:spacing w:val="-2"/>
          <w:kern w:val="0"/>
          <w:rtl/>
          <w:lang w:val="en-CA"/>
        </w:rPr>
        <w:t>انتزعت</w:t>
      </w:r>
      <w:r w:rsidRPr="00E86FDB">
        <w:rPr>
          <w:spacing w:val="-2"/>
          <w:kern w:val="0"/>
          <w:rtl/>
          <w:lang w:val="en-CA"/>
        </w:rPr>
        <w:t xml:space="preserve"> </w:t>
      </w:r>
      <w:r w:rsidRPr="00E86FDB">
        <w:rPr>
          <w:rFonts w:ascii="Traditional Arabic" w:hAnsi="Traditional Arabic" w:hint="cs"/>
          <w:spacing w:val="-2"/>
          <w:kern w:val="0"/>
          <w:rtl/>
          <w:lang w:val="en-CA"/>
        </w:rPr>
        <w:t>تحت</w:t>
      </w:r>
      <w:r w:rsidRPr="00E86FDB">
        <w:rPr>
          <w:spacing w:val="-2"/>
          <w:kern w:val="0"/>
          <w:rtl/>
          <w:lang w:val="en-CA"/>
        </w:rPr>
        <w:t xml:space="preserve"> </w:t>
      </w:r>
      <w:r w:rsidRPr="00E86FDB">
        <w:rPr>
          <w:rFonts w:ascii="Traditional Arabic" w:hAnsi="Traditional Arabic" w:hint="cs"/>
          <w:spacing w:val="-2"/>
          <w:kern w:val="0"/>
          <w:rtl/>
          <w:lang w:val="en-CA"/>
        </w:rPr>
        <w:t>التعذيب؛</w:t>
      </w:r>
      <w:r w:rsidRPr="00E86FDB">
        <w:rPr>
          <w:spacing w:val="-2"/>
          <w:kern w:val="0"/>
          <w:rtl/>
          <w:lang w:val="en-CA"/>
        </w:rPr>
        <w:t xml:space="preserve"> </w:t>
      </w:r>
      <w:r w:rsidRPr="00E86FDB">
        <w:rPr>
          <w:rFonts w:ascii="Traditional Arabic" w:hAnsi="Traditional Arabic" w:hint="cs"/>
          <w:spacing w:val="-2"/>
          <w:kern w:val="0"/>
          <w:rtl/>
          <w:lang w:val="en-CA"/>
        </w:rPr>
        <w:t>وضمان</w:t>
      </w:r>
      <w:r w:rsidRPr="00E86FDB">
        <w:rPr>
          <w:spacing w:val="-2"/>
          <w:kern w:val="0"/>
          <w:rtl/>
          <w:lang w:val="en-CA"/>
        </w:rPr>
        <w:t xml:space="preserve"> </w:t>
      </w:r>
      <w:r w:rsidRPr="00E86FDB">
        <w:rPr>
          <w:rFonts w:ascii="Traditional Arabic" w:hAnsi="Traditional Arabic" w:hint="cs"/>
          <w:spacing w:val="-2"/>
          <w:kern w:val="0"/>
          <w:rtl/>
          <w:lang w:val="en-CA"/>
        </w:rPr>
        <w:t>ألا يُستشهد بأي</w:t>
      </w:r>
      <w:r w:rsidRPr="00E86FDB">
        <w:rPr>
          <w:spacing w:val="-2"/>
          <w:kern w:val="0"/>
          <w:rtl/>
          <w:lang w:val="en-CA"/>
        </w:rPr>
        <w:t xml:space="preserve"> </w:t>
      </w:r>
      <w:r w:rsidRPr="00E86FDB">
        <w:rPr>
          <w:rFonts w:ascii="Traditional Arabic" w:hAnsi="Traditional Arabic" w:hint="cs"/>
          <w:spacing w:val="-2"/>
          <w:kern w:val="0"/>
          <w:rtl/>
          <w:lang w:val="en-CA"/>
        </w:rPr>
        <w:t>أقوال</w:t>
      </w:r>
      <w:r w:rsidRPr="00E86FDB">
        <w:rPr>
          <w:spacing w:val="-2"/>
          <w:kern w:val="0"/>
          <w:rtl/>
          <w:lang w:val="en-CA"/>
        </w:rPr>
        <w:t xml:space="preserve"> </w:t>
      </w:r>
      <w:r w:rsidRPr="00E86FDB">
        <w:rPr>
          <w:rFonts w:ascii="Traditional Arabic" w:hAnsi="Traditional Arabic" w:hint="cs"/>
          <w:spacing w:val="-2"/>
          <w:kern w:val="0"/>
          <w:rtl/>
          <w:lang w:val="en-CA"/>
        </w:rPr>
        <w:t>تنتزع</w:t>
      </w:r>
      <w:r w:rsidRPr="00E86FDB">
        <w:rPr>
          <w:spacing w:val="-2"/>
          <w:kern w:val="0"/>
          <w:rtl/>
          <w:lang w:val="en-CA"/>
        </w:rPr>
        <w:t xml:space="preserve"> </w:t>
      </w:r>
      <w:r w:rsidRPr="00E86FDB">
        <w:rPr>
          <w:rFonts w:ascii="Traditional Arabic" w:hAnsi="Traditional Arabic" w:hint="cs"/>
          <w:spacing w:val="-2"/>
          <w:kern w:val="0"/>
          <w:rtl/>
          <w:lang w:val="en-CA"/>
        </w:rPr>
        <w:t>تحت</w:t>
      </w:r>
      <w:r w:rsidRPr="00E86FDB">
        <w:rPr>
          <w:spacing w:val="-2"/>
          <w:kern w:val="0"/>
          <w:rtl/>
          <w:lang w:val="en-CA"/>
        </w:rPr>
        <w:t xml:space="preserve"> </w:t>
      </w:r>
      <w:r w:rsidRPr="00E86FDB">
        <w:rPr>
          <w:rFonts w:ascii="Traditional Arabic" w:hAnsi="Traditional Arabic" w:hint="cs"/>
          <w:spacing w:val="-2"/>
          <w:kern w:val="0"/>
          <w:rtl/>
          <w:lang w:val="en-CA"/>
        </w:rPr>
        <w:t>التعذيب</w:t>
      </w:r>
      <w:r w:rsidRPr="00E86FDB">
        <w:rPr>
          <w:spacing w:val="-2"/>
          <w:kern w:val="0"/>
          <w:rtl/>
          <w:lang w:val="en-CA"/>
        </w:rPr>
        <w:t xml:space="preserve"> </w:t>
      </w:r>
      <w:r w:rsidRPr="00E86FDB">
        <w:rPr>
          <w:rFonts w:ascii="Traditional Arabic" w:hAnsi="Traditional Arabic" w:hint="cs"/>
          <w:spacing w:val="-2"/>
          <w:kern w:val="0"/>
          <w:rtl/>
          <w:lang w:val="en-CA"/>
        </w:rPr>
        <w:t>كدليل</w:t>
      </w:r>
      <w:r w:rsidRPr="00E86FDB">
        <w:rPr>
          <w:spacing w:val="-2"/>
          <w:kern w:val="0"/>
          <w:rtl/>
          <w:lang w:val="en-CA"/>
        </w:rPr>
        <w:t xml:space="preserve"> </w:t>
      </w:r>
      <w:r w:rsidRPr="00E86FDB">
        <w:rPr>
          <w:rFonts w:ascii="Traditional Arabic" w:hAnsi="Traditional Arabic" w:hint="cs"/>
          <w:spacing w:val="-2"/>
          <w:kern w:val="0"/>
          <w:rtl/>
          <w:lang w:val="en-CA"/>
        </w:rPr>
        <w:t>في</w:t>
      </w:r>
      <w:r w:rsidRPr="00E86FDB">
        <w:rPr>
          <w:spacing w:val="-2"/>
          <w:kern w:val="0"/>
          <w:rtl/>
          <w:lang w:val="en-CA"/>
        </w:rPr>
        <w:t xml:space="preserve"> </w:t>
      </w:r>
      <w:r w:rsidRPr="00E86FDB">
        <w:rPr>
          <w:rFonts w:ascii="Traditional Arabic" w:hAnsi="Traditional Arabic" w:hint="cs"/>
          <w:spacing w:val="-2"/>
          <w:kern w:val="0"/>
          <w:rtl/>
          <w:lang w:val="en-CA"/>
        </w:rPr>
        <w:t>أي</w:t>
      </w:r>
      <w:r w:rsidRPr="00E86FDB">
        <w:rPr>
          <w:spacing w:val="-2"/>
          <w:kern w:val="0"/>
          <w:rtl/>
          <w:lang w:val="en-CA"/>
        </w:rPr>
        <w:t xml:space="preserve"> </w:t>
      </w:r>
      <w:r w:rsidRPr="00E86FDB">
        <w:rPr>
          <w:rFonts w:ascii="Traditional Arabic" w:hAnsi="Traditional Arabic" w:hint="cs"/>
          <w:spacing w:val="-2"/>
          <w:kern w:val="0"/>
          <w:rtl/>
          <w:lang w:val="en-CA"/>
        </w:rPr>
        <w:t>إجراءات</w:t>
      </w:r>
      <w:r w:rsidRPr="00E86FDB">
        <w:rPr>
          <w:spacing w:val="-2"/>
          <w:kern w:val="0"/>
          <w:rtl/>
          <w:lang w:val="en-CA"/>
        </w:rPr>
        <w:t xml:space="preserve"> </w:t>
      </w:r>
      <w:r w:rsidRPr="00E86FDB">
        <w:rPr>
          <w:rFonts w:ascii="Traditional Arabic" w:hAnsi="Traditional Arabic" w:hint="cs"/>
          <w:spacing w:val="-2"/>
          <w:kern w:val="0"/>
          <w:rtl/>
          <w:lang w:val="en-CA"/>
        </w:rPr>
        <w:t>قانونية</w:t>
      </w:r>
      <w:r w:rsidRPr="00E86FDB">
        <w:rPr>
          <w:spacing w:val="-2"/>
          <w:kern w:val="0"/>
          <w:rtl/>
          <w:lang w:val="en-CA"/>
        </w:rPr>
        <w:t>.</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3-6</w:t>
      </w:r>
      <w:r w:rsidRPr="00AA537D">
        <w:rPr>
          <w:rFonts w:hint="cs"/>
          <w:spacing w:val="0"/>
          <w:kern w:val="0"/>
          <w:rtl/>
          <w:lang w:val="en-CA"/>
        </w:rPr>
        <w:tab/>
      </w:r>
      <w:r w:rsidRPr="00AA537D">
        <w:rPr>
          <w:spacing w:val="0"/>
          <w:kern w:val="0"/>
          <w:rtl/>
          <w:lang w:val="en-CA"/>
        </w:rPr>
        <w:t>وفيما يتعلق باستنفاد سبل الانتصاف المحلية، يؤكد صاحب الشكوى أن</w:t>
      </w:r>
      <w:r w:rsidRPr="00AA537D">
        <w:rPr>
          <w:rFonts w:hint="cs"/>
          <w:spacing w:val="0"/>
          <w:kern w:val="0"/>
          <w:rtl/>
          <w:lang w:val="en-CA"/>
        </w:rPr>
        <w:t>ه</w:t>
      </w:r>
      <w:r w:rsidRPr="00AA537D">
        <w:rPr>
          <w:spacing w:val="0"/>
          <w:kern w:val="0"/>
          <w:rtl/>
          <w:lang w:val="en-CA"/>
        </w:rPr>
        <w:t xml:space="preserve"> قدم طلبا</w:t>
      </w:r>
      <w:r w:rsidRPr="00AA537D">
        <w:rPr>
          <w:rFonts w:hint="cs"/>
          <w:spacing w:val="0"/>
          <w:kern w:val="0"/>
          <w:rtl/>
          <w:lang w:val="en-CA"/>
        </w:rPr>
        <w:t xml:space="preserve">ت التمس فيها جميع سبل الانتصاف المتاحة </w:t>
      </w:r>
      <w:r w:rsidRPr="00AA537D">
        <w:rPr>
          <w:spacing w:val="0"/>
          <w:kern w:val="0"/>
          <w:rtl/>
          <w:lang w:val="en-CA"/>
        </w:rPr>
        <w:t xml:space="preserve">أمام المحاكم المحلية بموجب القانون الإسباني، </w:t>
      </w:r>
      <w:r w:rsidRPr="00AA537D">
        <w:rPr>
          <w:rFonts w:hint="cs"/>
          <w:spacing w:val="0"/>
          <w:kern w:val="0"/>
          <w:rtl/>
          <w:lang w:val="en-CA"/>
        </w:rPr>
        <w:t>بما في ذلك طلبان</w:t>
      </w:r>
      <w:r w:rsidRPr="00AA537D">
        <w:rPr>
          <w:spacing w:val="0"/>
          <w:kern w:val="0"/>
          <w:rtl/>
          <w:lang w:val="en-CA"/>
        </w:rPr>
        <w:t xml:space="preserve"> </w:t>
      </w:r>
      <w:r w:rsidRPr="00AA537D">
        <w:rPr>
          <w:rFonts w:hint="cs"/>
          <w:spacing w:val="0"/>
          <w:kern w:val="0"/>
          <w:rtl/>
          <w:lang w:val="en-CA"/>
        </w:rPr>
        <w:t>ل</w:t>
      </w:r>
      <w:r w:rsidRPr="00AA537D">
        <w:rPr>
          <w:spacing w:val="0"/>
          <w:kern w:val="0"/>
          <w:rtl/>
          <w:lang w:val="en-CA"/>
        </w:rPr>
        <w:t xml:space="preserve">لحصول على الحماية القضائية الدستورية، </w:t>
      </w:r>
      <w:r w:rsidRPr="00AA537D">
        <w:rPr>
          <w:rFonts w:hint="cs"/>
          <w:spacing w:val="0"/>
          <w:kern w:val="0"/>
          <w:rtl/>
          <w:lang w:val="en-CA"/>
        </w:rPr>
        <w:t>حيث قدم الطلب الأول بغية تسوية ادعائه</w:t>
      </w:r>
      <w:r w:rsidRPr="00AA537D">
        <w:rPr>
          <w:spacing w:val="0"/>
          <w:kern w:val="0"/>
          <w:rtl/>
          <w:lang w:val="en-CA"/>
        </w:rPr>
        <w:t xml:space="preserve"> </w:t>
      </w:r>
      <w:r w:rsidRPr="00AA537D">
        <w:rPr>
          <w:rFonts w:hint="cs"/>
          <w:spacing w:val="0"/>
          <w:kern w:val="0"/>
          <w:rtl/>
          <w:lang w:val="en-CA"/>
        </w:rPr>
        <w:t>بالتعرض لل</w:t>
      </w:r>
      <w:r w:rsidRPr="00AA537D">
        <w:rPr>
          <w:spacing w:val="0"/>
          <w:kern w:val="0"/>
          <w:rtl/>
          <w:lang w:val="en-CA"/>
        </w:rPr>
        <w:t>تعذيب، و</w:t>
      </w:r>
      <w:r w:rsidRPr="00AA537D">
        <w:rPr>
          <w:rFonts w:hint="cs"/>
          <w:spacing w:val="0"/>
          <w:kern w:val="0"/>
          <w:rtl/>
          <w:lang w:val="en-CA"/>
        </w:rPr>
        <w:t xml:space="preserve">الطلب </w:t>
      </w:r>
      <w:r w:rsidRPr="00AA537D">
        <w:rPr>
          <w:spacing w:val="0"/>
          <w:kern w:val="0"/>
          <w:rtl/>
          <w:lang w:val="en-CA"/>
        </w:rPr>
        <w:t>الثاني من أجل الطعن في إدانته لجريمة القتل الإرهابية</w:t>
      </w:r>
      <w:r w:rsidRPr="00AA537D">
        <w:rPr>
          <w:rFonts w:hint="cs"/>
          <w:spacing w:val="0"/>
          <w:kern w:val="0"/>
          <w:rtl/>
          <w:lang w:val="en-CA"/>
        </w:rPr>
        <w:t>.</w:t>
      </w:r>
    </w:p>
    <w:p w:rsidR="00FA6676" w:rsidRPr="00AA537D" w:rsidRDefault="00E86FDB" w:rsidP="00E86FDB">
      <w:pPr>
        <w:pStyle w:val="H23GA"/>
        <w:rPr>
          <w:rFonts w:hint="cs"/>
          <w:kern w:val="0"/>
          <w:rtl/>
        </w:rPr>
      </w:pPr>
      <w:r>
        <w:rPr>
          <w:rFonts w:hint="cs"/>
          <w:kern w:val="0"/>
          <w:rtl/>
        </w:rPr>
        <w:tab/>
      </w:r>
      <w:r>
        <w:rPr>
          <w:rFonts w:hint="cs"/>
          <w:kern w:val="0"/>
          <w:rtl/>
        </w:rPr>
        <w:tab/>
      </w:r>
      <w:r w:rsidR="00FA6676" w:rsidRPr="00AA537D">
        <w:rPr>
          <w:rFonts w:hint="eastAsia"/>
          <w:kern w:val="0"/>
          <w:rtl/>
        </w:rPr>
        <w:t>ملاحظات</w:t>
      </w:r>
      <w:r w:rsidR="00FA6676" w:rsidRPr="00AA537D">
        <w:rPr>
          <w:kern w:val="0"/>
          <w:rtl/>
        </w:rPr>
        <w:t xml:space="preserve"> الدولة الطرف</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4-1</w:t>
      </w:r>
      <w:r w:rsidRPr="00AA537D">
        <w:rPr>
          <w:rFonts w:hint="cs"/>
          <w:spacing w:val="0"/>
          <w:kern w:val="0"/>
          <w:rtl/>
          <w:lang w:val="en-CA"/>
        </w:rPr>
        <w:tab/>
      </w:r>
      <w:r w:rsidRPr="00AA537D">
        <w:rPr>
          <w:spacing w:val="0"/>
          <w:kern w:val="0"/>
          <w:rtl/>
          <w:lang w:val="en-CA"/>
        </w:rPr>
        <w:t xml:space="preserve">قدمت الدولة الطرف ملاحظاتها في مذكرة شفوية </w:t>
      </w:r>
      <w:r w:rsidRPr="00AA537D">
        <w:rPr>
          <w:rFonts w:hint="cs"/>
          <w:spacing w:val="0"/>
          <w:kern w:val="0"/>
          <w:rtl/>
          <w:lang w:val="en-CA"/>
        </w:rPr>
        <w:t>مؤرخة</w:t>
      </w:r>
      <w:r w:rsidRPr="00AA537D">
        <w:rPr>
          <w:spacing w:val="0"/>
          <w:kern w:val="0"/>
          <w:rtl/>
          <w:lang w:val="en-CA"/>
        </w:rPr>
        <w:t xml:space="preserve"> 5 </w:t>
      </w:r>
      <w:r w:rsidRPr="00AA537D">
        <w:rPr>
          <w:rFonts w:hint="cs"/>
          <w:spacing w:val="0"/>
          <w:kern w:val="0"/>
          <w:rtl/>
          <w:lang w:val="en-CA"/>
        </w:rPr>
        <w:t>أيلول/سبتمبر</w:t>
      </w:r>
      <w:r w:rsidRPr="00AA537D">
        <w:rPr>
          <w:spacing w:val="0"/>
          <w:kern w:val="0"/>
          <w:rtl/>
          <w:lang w:val="en-CA"/>
        </w:rPr>
        <w:t xml:space="preserve"> 2011.</w:t>
      </w:r>
    </w:p>
    <w:p w:rsidR="00FA6676" w:rsidRPr="00AA537D" w:rsidRDefault="00FA6676" w:rsidP="00E86FDB">
      <w:pPr>
        <w:pStyle w:val="SingleTxtGA"/>
        <w:jc w:val="lowKashida"/>
        <w:rPr>
          <w:rFonts w:hint="cs"/>
          <w:spacing w:val="0"/>
          <w:kern w:val="0"/>
          <w:rtl/>
          <w:lang w:val="en-CA"/>
        </w:rPr>
      </w:pPr>
      <w:r w:rsidRPr="00AA537D">
        <w:rPr>
          <w:rFonts w:hint="cs"/>
          <w:spacing w:val="0"/>
          <w:kern w:val="0"/>
          <w:rtl/>
          <w:lang w:val="en-CA"/>
        </w:rPr>
        <w:t>4-2</w:t>
      </w:r>
      <w:r w:rsidRPr="00AA537D">
        <w:rPr>
          <w:rFonts w:hint="cs"/>
          <w:spacing w:val="0"/>
          <w:kern w:val="0"/>
          <w:rtl/>
          <w:lang w:val="en-CA"/>
        </w:rPr>
        <w:tab/>
      </w:r>
      <w:r w:rsidRPr="00AA537D">
        <w:rPr>
          <w:spacing w:val="0"/>
          <w:kern w:val="0"/>
          <w:rtl/>
          <w:lang w:val="en-CA"/>
        </w:rPr>
        <w:t xml:space="preserve">وفيما يتعلق بادعاء صاحب الشكوى </w:t>
      </w:r>
      <w:r w:rsidRPr="00AA537D">
        <w:rPr>
          <w:rFonts w:hint="cs"/>
          <w:spacing w:val="0"/>
          <w:kern w:val="0"/>
          <w:rtl/>
          <w:lang w:val="en-CA"/>
        </w:rPr>
        <w:t xml:space="preserve">بتعرضه </w:t>
      </w:r>
      <w:r w:rsidRPr="00AA537D">
        <w:rPr>
          <w:spacing w:val="0"/>
          <w:kern w:val="0"/>
          <w:rtl/>
          <w:lang w:val="en-CA"/>
        </w:rPr>
        <w:t xml:space="preserve">للتعذيب والإجراءات </w:t>
      </w:r>
      <w:r w:rsidRPr="00AA537D">
        <w:rPr>
          <w:rFonts w:hint="cs"/>
          <w:spacing w:val="0"/>
          <w:kern w:val="0"/>
          <w:rtl/>
          <w:lang w:val="en-CA"/>
        </w:rPr>
        <w:t>اللاحقة</w:t>
      </w:r>
      <w:r w:rsidRPr="00AA537D">
        <w:rPr>
          <w:spacing w:val="0"/>
          <w:kern w:val="0"/>
          <w:rtl/>
          <w:lang w:val="en-CA"/>
        </w:rPr>
        <w:t xml:space="preserve"> أمام المحاكم المحلية، </w:t>
      </w:r>
      <w:r w:rsidRPr="00AA537D">
        <w:rPr>
          <w:rFonts w:hint="cs"/>
          <w:spacing w:val="0"/>
          <w:kern w:val="0"/>
          <w:rtl/>
          <w:lang w:val="en-CA"/>
        </w:rPr>
        <w:t>تشير الدولة الطرف إلى أن</w:t>
      </w:r>
      <w:r w:rsidRPr="00AA537D">
        <w:rPr>
          <w:spacing w:val="0"/>
          <w:kern w:val="0"/>
          <w:rtl/>
          <w:lang w:val="en-CA"/>
        </w:rPr>
        <w:t xml:space="preserve"> طلبه </w:t>
      </w:r>
      <w:r w:rsidRPr="00AA537D">
        <w:rPr>
          <w:rFonts w:hint="cs"/>
          <w:spacing w:val="0"/>
          <w:kern w:val="0"/>
          <w:rtl/>
          <w:lang w:val="en-CA"/>
        </w:rPr>
        <w:t>ا</w:t>
      </w:r>
      <w:r w:rsidRPr="00AA537D">
        <w:rPr>
          <w:spacing w:val="0"/>
          <w:kern w:val="0"/>
          <w:rtl/>
          <w:lang w:val="en-CA"/>
        </w:rPr>
        <w:t xml:space="preserve">لحصول على الحماية القضائية </w:t>
      </w:r>
      <w:r w:rsidRPr="00AA537D">
        <w:rPr>
          <w:rFonts w:hint="cs"/>
          <w:spacing w:val="0"/>
          <w:kern w:val="0"/>
          <w:rtl/>
          <w:lang w:val="en-CA"/>
        </w:rPr>
        <w:t>المقدم إلى ا</w:t>
      </w:r>
      <w:r w:rsidRPr="00AA537D">
        <w:rPr>
          <w:spacing w:val="0"/>
          <w:kern w:val="0"/>
          <w:rtl/>
          <w:lang w:val="en-CA"/>
        </w:rPr>
        <w:t xml:space="preserve">لمحكمة الدستورية </w:t>
      </w:r>
      <w:r w:rsidRPr="00AA537D">
        <w:rPr>
          <w:rFonts w:hint="cs"/>
          <w:spacing w:val="0"/>
          <w:kern w:val="0"/>
          <w:rtl/>
          <w:lang w:val="en-CA"/>
        </w:rPr>
        <w:t xml:space="preserve">رفض </w:t>
      </w:r>
      <w:r w:rsidRPr="00AA537D">
        <w:rPr>
          <w:spacing w:val="0"/>
          <w:kern w:val="0"/>
          <w:rtl/>
          <w:lang w:val="en-CA"/>
        </w:rPr>
        <w:t xml:space="preserve">في 23 حزيران/يونيه 2005 لأن </w:t>
      </w:r>
      <w:r w:rsidRPr="00AA537D">
        <w:rPr>
          <w:rFonts w:hint="cs"/>
          <w:spacing w:val="0"/>
          <w:kern w:val="0"/>
          <w:rtl/>
          <w:lang w:val="en-CA"/>
        </w:rPr>
        <w:t xml:space="preserve">صاحب </w:t>
      </w:r>
      <w:r w:rsidRPr="00AA537D">
        <w:rPr>
          <w:spacing w:val="0"/>
          <w:kern w:val="0"/>
          <w:rtl/>
          <w:lang w:val="en-CA"/>
        </w:rPr>
        <w:t xml:space="preserve">الشكوى لم </w:t>
      </w:r>
      <w:r w:rsidRPr="00AA537D">
        <w:rPr>
          <w:rFonts w:hint="cs"/>
          <w:spacing w:val="0"/>
          <w:kern w:val="0"/>
          <w:rtl/>
          <w:lang w:val="en-CA"/>
        </w:rPr>
        <w:t>يمثل بحضور المحامي</w:t>
      </w:r>
      <w:r w:rsidRPr="00AA537D">
        <w:rPr>
          <w:spacing w:val="0"/>
          <w:kern w:val="0"/>
          <w:rtl/>
          <w:lang w:val="en-CA"/>
        </w:rPr>
        <w:t xml:space="preserve">، </w:t>
      </w:r>
      <w:r w:rsidRPr="00AA537D">
        <w:rPr>
          <w:rFonts w:hint="cs"/>
          <w:spacing w:val="0"/>
          <w:kern w:val="0"/>
          <w:rtl/>
          <w:lang w:val="en-CA"/>
        </w:rPr>
        <w:t>على</w:t>
      </w:r>
      <w:r w:rsidRPr="00AA537D">
        <w:rPr>
          <w:spacing w:val="0"/>
          <w:kern w:val="0"/>
          <w:rtl/>
          <w:lang w:val="en-CA"/>
        </w:rPr>
        <w:t xml:space="preserve"> </w:t>
      </w:r>
      <w:r w:rsidRPr="00AA537D">
        <w:rPr>
          <w:rFonts w:hint="cs"/>
          <w:spacing w:val="0"/>
          <w:kern w:val="0"/>
          <w:rtl/>
          <w:lang w:val="en-CA"/>
        </w:rPr>
        <w:t>ال</w:t>
      </w:r>
      <w:r w:rsidRPr="00AA537D">
        <w:rPr>
          <w:spacing w:val="0"/>
          <w:kern w:val="0"/>
          <w:rtl/>
          <w:lang w:val="en-CA"/>
        </w:rPr>
        <w:t xml:space="preserve">رغم </w:t>
      </w:r>
      <w:r w:rsidRPr="00AA537D">
        <w:rPr>
          <w:rFonts w:hint="cs"/>
          <w:spacing w:val="0"/>
          <w:kern w:val="0"/>
          <w:rtl/>
          <w:lang w:val="en-CA"/>
        </w:rPr>
        <w:t xml:space="preserve">من </w:t>
      </w:r>
      <w:r w:rsidRPr="00AA537D">
        <w:rPr>
          <w:spacing w:val="0"/>
          <w:kern w:val="0"/>
          <w:rtl/>
          <w:lang w:val="en-CA"/>
        </w:rPr>
        <w:t xml:space="preserve">الطلبات المتكررة للمحكمة. </w:t>
      </w:r>
      <w:r w:rsidRPr="00AA537D">
        <w:rPr>
          <w:rFonts w:hint="cs"/>
          <w:spacing w:val="0"/>
          <w:kern w:val="0"/>
          <w:rtl/>
          <w:lang w:val="en-CA"/>
        </w:rPr>
        <w:t xml:space="preserve">وتذكر </w:t>
      </w:r>
      <w:r w:rsidRPr="00AA537D">
        <w:rPr>
          <w:spacing w:val="0"/>
          <w:kern w:val="0"/>
          <w:rtl/>
          <w:lang w:val="en-CA"/>
        </w:rPr>
        <w:t xml:space="preserve">أن صاحب الشكوى لم </w:t>
      </w:r>
      <w:r w:rsidRPr="00AA537D">
        <w:rPr>
          <w:rFonts w:hint="cs"/>
          <w:spacing w:val="0"/>
          <w:kern w:val="0"/>
          <w:rtl/>
          <w:lang w:val="en-CA"/>
        </w:rPr>
        <w:t>ي</w:t>
      </w:r>
      <w:r w:rsidRPr="00AA537D">
        <w:rPr>
          <w:spacing w:val="0"/>
          <w:kern w:val="0"/>
          <w:rtl/>
          <w:lang w:val="en-CA"/>
        </w:rPr>
        <w:t xml:space="preserve">لجأ إلى أي هيئة دولية أو </w:t>
      </w:r>
      <w:r w:rsidRPr="00AA537D">
        <w:rPr>
          <w:rFonts w:hint="cs"/>
          <w:spacing w:val="0"/>
          <w:kern w:val="0"/>
          <w:rtl/>
          <w:lang w:val="en-CA"/>
        </w:rPr>
        <w:t xml:space="preserve">إلى </w:t>
      </w:r>
      <w:r w:rsidRPr="00AA537D">
        <w:rPr>
          <w:spacing w:val="0"/>
          <w:kern w:val="0"/>
          <w:rtl/>
          <w:lang w:val="en-CA"/>
        </w:rPr>
        <w:t xml:space="preserve">لجنة مناهضة التعذيب بعد ذلك، </w:t>
      </w:r>
      <w:r w:rsidRPr="00AA537D">
        <w:rPr>
          <w:rFonts w:hint="cs"/>
          <w:spacing w:val="0"/>
          <w:kern w:val="0"/>
          <w:rtl/>
          <w:lang w:val="en-CA"/>
        </w:rPr>
        <w:t>ولم يقم بذ</w:t>
      </w:r>
      <w:r w:rsidRPr="00AA537D">
        <w:rPr>
          <w:spacing w:val="0"/>
          <w:kern w:val="0"/>
          <w:rtl/>
          <w:lang w:val="en-CA"/>
        </w:rPr>
        <w:t xml:space="preserve">لك </w:t>
      </w:r>
      <w:r w:rsidRPr="00AA537D">
        <w:rPr>
          <w:rFonts w:hint="cs"/>
          <w:spacing w:val="0"/>
          <w:kern w:val="0"/>
          <w:rtl/>
          <w:lang w:val="en-CA"/>
        </w:rPr>
        <w:t xml:space="preserve">إلا بعد أن رفضت </w:t>
      </w:r>
      <w:r w:rsidRPr="00AA537D">
        <w:rPr>
          <w:spacing w:val="0"/>
          <w:kern w:val="0"/>
          <w:rtl/>
          <w:lang w:val="en-CA"/>
        </w:rPr>
        <w:t xml:space="preserve">المحكمة الدستورية طلبه للحصول على الحماية ضد إدانته الجنائية. وترى </w:t>
      </w:r>
      <w:r w:rsidRPr="00AA537D">
        <w:rPr>
          <w:rFonts w:hint="cs"/>
          <w:spacing w:val="0"/>
          <w:kern w:val="0"/>
          <w:rtl/>
          <w:lang w:val="en-CA"/>
        </w:rPr>
        <w:t>الدولة الطرف أيضاً</w:t>
      </w:r>
      <w:r w:rsidR="00E86FDB">
        <w:rPr>
          <w:rFonts w:hint="eastAsia"/>
          <w:spacing w:val="0"/>
          <w:kern w:val="0"/>
          <w:rtl/>
          <w:lang w:val="en-CA"/>
        </w:rPr>
        <w:t> </w:t>
      </w:r>
      <w:r w:rsidRPr="00AA537D">
        <w:rPr>
          <w:rFonts w:hint="cs"/>
          <w:spacing w:val="0"/>
          <w:kern w:val="0"/>
          <w:rtl/>
          <w:lang w:val="en-CA"/>
        </w:rPr>
        <w:t>أن</w:t>
      </w:r>
      <w:r w:rsidRPr="00AA537D">
        <w:rPr>
          <w:spacing w:val="0"/>
          <w:kern w:val="0"/>
          <w:rtl/>
          <w:lang w:val="en-CA"/>
        </w:rPr>
        <w:t xml:space="preserve"> إشارات صاحب الشكوى إلى العهد الدولي الخاص بالحقوق المدنية والسياسية </w:t>
      </w:r>
      <w:r w:rsidRPr="00AA537D">
        <w:rPr>
          <w:rFonts w:hint="cs"/>
          <w:spacing w:val="0"/>
          <w:kern w:val="0"/>
          <w:rtl/>
          <w:lang w:val="en-CA"/>
        </w:rPr>
        <w:t>غير متصلة بالموضوع</w:t>
      </w:r>
      <w:r w:rsidRPr="00AA537D">
        <w:rPr>
          <w:spacing w:val="0"/>
          <w:kern w:val="0"/>
          <w:rtl/>
          <w:lang w:val="en-CA"/>
        </w:rPr>
        <w:t>.</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4-3</w:t>
      </w:r>
      <w:r w:rsidRPr="00AA537D">
        <w:rPr>
          <w:rFonts w:hint="cs"/>
          <w:spacing w:val="0"/>
          <w:kern w:val="0"/>
          <w:rtl/>
          <w:lang w:val="en-CA"/>
        </w:rPr>
        <w:tab/>
        <w:t xml:space="preserve">وتستند </w:t>
      </w:r>
      <w:r w:rsidRPr="00AA537D">
        <w:rPr>
          <w:spacing w:val="0"/>
          <w:kern w:val="0"/>
          <w:rtl/>
          <w:lang w:val="en-CA"/>
        </w:rPr>
        <w:t xml:space="preserve">الشكوى </w:t>
      </w:r>
      <w:r w:rsidRPr="00AA537D">
        <w:rPr>
          <w:rFonts w:hint="cs"/>
          <w:spacing w:val="0"/>
          <w:kern w:val="0"/>
          <w:rtl/>
          <w:lang w:val="en-CA"/>
        </w:rPr>
        <w:t>إ</w:t>
      </w:r>
      <w:r w:rsidRPr="00AA537D">
        <w:rPr>
          <w:spacing w:val="0"/>
          <w:kern w:val="0"/>
          <w:rtl/>
          <w:lang w:val="en-CA"/>
        </w:rPr>
        <w:t xml:space="preserve">لى عرض </w:t>
      </w:r>
      <w:r w:rsidRPr="00AA537D">
        <w:rPr>
          <w:rFonts w:hint="cs"/>
          <w:spacing w:val="0"/>
          <w:kern w:val="0"/>
          <w:rtl/>
          <w:lang w:val="en-CA"/>
        </w:rPr>
        <w:t xml:space="preserve">غير </w:t>
      </w:r>
      <w:r w:rsidRPr="00AA537D">
        <w:rPr>
          <w:spacing w:val="0"/>
          <w:kern w:val="0"/>
          <w:rtl/>
          <w:lang w:val="en-CA"/>
        </w:rPr>
        <w:t xml:space="preserve">دقيق للحقائق. </w:t>
      </w:r>
      <w:r w:rsidRPr="00AA537D">
        <w:rPr>
          <w:rFonts w:hint="cs"/>
          <w:spacing w:val="0"/>
          <w:kern w:val="0"/>
          <w:rtl/>
          <w:lang w:val="en-CA"/>
        </w:rPr>
        <w:t>ذلك</w:t>
      </w:r>
      <w:r w:rsidRPr="00AA537D">
        <w:rPr>
          <w:spacing w:val="0"/>
          <w:kern w:val="0"/>
          <w:rtl/>
          <w:lang w:val="en-CA"/>
        </w:rPr>
        <w:t xml:space="preserve"> </w:t>
      </w:r>
      <w:r w:rsidRPr="00AA537D">
        <w:rPr>
          <w:rFonts w:hint="cs"/>
          <w:spacing w:val="0"/>
          <w:kern w:val="0"/>
          <w:rtl/>
          <w:lang w:val="en-CA"/>
        </w:rPr>
        <w:t>أن</w:t>
      </w:r>
      <w:r w:rsidRPr="00AA537D">
        <w:rPr>
          <w:spacing w:val="0"/>
          <w:kern w:val="0"/>
          <w:rtl/>
          <w:lang w:val="en-CA"/>
        </w:rPr>
        <w:t xml:space="preserve"> القوة </w:t>
      </w:r>
      <w:r w:rsidRPr="00AA537D">
        <w:rPr>
          <w:rFonts w:hint="cs"/>
          <w:spacing w:val="0"/>
          <w:kern w:val="0"/>
          <w:rtl/>
          <w:lang w:val="en-CA"/>
        </w:rPr>
        <w:t>المستخدمة أثناء إلقاء</w:t>
      </w:r>
      <w:r w:rsidRPr="00AA537D">
        <w:rPr>
          <w:spacing w:val="0"/>
          <w:kern w:val="0"/>
          <w:rtl/>
          <w:lang w:val="en-CA"/>
        </w:rPr>
        <w:t xml:space="preserve"> القبض على صاحب الشكوى </w:t>
      </w:r>
      <w:r w:rsidRPr="00AA537D">
        <w:rPr>
          <w:rFonts w:hint="cs"/>
          <w:spacing w:val="0"/>
          <w:kern w:val="0"/>
          <w:rtl/>
          <w:lang w:val="en-CA"/>
        </w:rPr>
        <w:t>كانت با</w:t>
      </w:r>
      <w:r w:rsidRPr="00AA537D">
        <w:rPr>
          <w:spacing w:val="0"/>
          <w:kern w:val="0"/>
          <w:rtl/>
          <w:lang w:val="en-CA"/>
        </w:rPr>
        <w:t xml:space="preserve">لدرجة </w:t>
      </w:r>
      <w:r w:rsidRPr="00AA537D">
        <w:rPr>
          <w:rFonts w:hint="cs"/>
          <w:spacing w:val="0"/>
          <w:kern w:val="0"/>
          <w:rtl/>
          <w:lang w:val="en-CA"/>
        </w:rPr>
        <w:t>المطلوبة</w:t>
      </w:r>
      <w:r w:rsidRPr="00AA537D">
        <w:rPr>
          <w:spacing w:val="0"/>
          <w:kern w:val="0"/>
          <w:rtl/>
          <w:lang w:val="en-CA"/>
        </w:rPr>
        <w:t xml:space="preserve"> للسيطرة عليه، </w:t>
      </w:r>
      <w:r w:rsidRPr="00AA537D">
        <w:rPr>
          <w:rFonts w:hint="cs"/>
          <w:spacing w:val="0"/>
          <w:kern w:val="0"/>
          <w:rtl/>
          <w:lang w:val="en-CA"/>
        </w:rPr>
        <w:t>وفقاً لإجراء التوقيف</w:t>
      </w:r>
      <w:r w:rsidRPr="00AA537D">
        <w:rPr>
          <w:spacing w:val="0"/>
          <w:kern w:val="0"/>
          <w:rtl/>
          <w:lang w:val="en-CA"/>
        </w:rPr>
        <w:t xml:space="preserve"> الطبيعي. </w:t>
      </w:r>
      <w:r w:rsidRPr="00AA537D">
        <w:rPr>
          <w:rFonts w:hint="cs"/>
          <w:spacing w:val="0"/>
          <w:kern w:val="0"/>
          <w:rtl/>
          <w:lang w:val="en-CA"/>
        </w:rPr>
        <w:t xml:space="preserve">فقد صدر أمر بالقبض عليه وظل </w:t>
      </w:r>
      <w:r w:rsidRPr="00AA537D">
        <w:rPr>
          <w:spacing w:val="0"/>
          <w:kern w:val="0"/>
          <w:rtl/>
          <w:lang w:val="en-CA"/>
        </w:rPr>
        <w:t xml:space="preserve">تحت </w:t>
      </w:r>
      <w:r w:rsidRPr="00AA537D">
        <w:rPr>
          <w:rFonts w:hint="cs"/>
          <w:spacing w:val="0"/>
          <w:kern w:val="0"/>
          <w:rtl/>
          <w:lang w:val="en-CA"/>
        </w:rPr>
        <w:t>إ</w:t>
      </w:r>
      <w:r w:rsidRPr="00AA537D">
        <w:rPr>
          <w:spacing w:val="0"/>
          <w:kern w:val="0"/>
          <w:rtl/>
          <w:lang w:val="en-CA"/>
        </w:rPr>
        <w:t xml:space="preserve">شراف مسؤولي المحكمة طوال </w:t>
      </w:r>
      <w:r w:rsidRPr="00AA537D">
        <w:rPr>
          <w:rFonts w:hint="cs"/>
          <w:spacing w:val="0"/>
          <w:kern w:val="0"/>
          <w:rtl/>
          <w:lang w:val="en-CA"/>
        </w:rPr>
        <w:t>الإ</w:t>
      </w:r>
      <w:r w:rsidRPr="00AA537D">
        <w:rPr>
          <w:spacing w:val="0"/>
          <w:kern w:val="0"/>
          <w:rtl/>
          <w:lang w:val="en-CA"/>
        </w:rPr>
        <w:t xml:space="preserve">جراءات. </w:t>
      </w:r>
      <w:r w:rsidRPr="00AA537D">
        <w:rPr>
          <w:rFonts w:hint="cs"/>
          <w:spacing w:val="0"/>
          <w:kern w:val="0"/>
          <w:rtl/>
          <w:lang w:val="en-CA"/>
        </w:rPr>
        <w:t xml:space="preserve">والقيود الوحيدة على حقوق صاحب الشكوى التي تولدت جراء </w:t>
      </w:r>
      <w:r w:rsidRPr="00AA537D">
        <w:rPr>
          <w:spacing w:val="0"/>
          <w:kern w:val="0"/>
          <w:rtl/>
          <w:lang w:val="en-CA"/>
        </w:rPr>
        <w:t xml:space="preserve">نظام </w:t>
      </w:r>
      <w:r w:rsidRPr="00AA537D">
        <w:rPr>
          <w:rFonts w:hint="cs"/>
          <w:spacing w:val="0"/>
          <w:kern w:val="0"/>
          <w:rtl/>
          <w:lang w:val="en-CA"/>
        </w:rPr>
        <w:t>الحبس الانفرادي</w:t>
      </w:r>
      <w:r w:rsidRPr="00AA537D">
        <w:rPr>
          <w:spacing w:val="0"/>
          <w:kern w:val="0"/>
          <w:rtl/>
          <w:lang w:val="en-CA"/>
        </w:rPr>
        <w:t xml:space="preserve"> </w:t>
      </w:r>
      <w:r w:rsidRPr="00AA537D">
        <w:rPr>
          <w:rFonts w:hint="cs"/>
          <w:spacing w:val="0"/>
          <w:kern w:val="0"/>
          <w:rtl/>
          <w:lang w:val="en-CA"/>
        </w:rPr>
        <w:t xml:space="preserve">المنطبق </w:t>
      </w:r>
      <w:r w:rsidRPr="00AA537D">
        <w:rPr>
          <w:spacing w:val="0"/>
          <w:kern w:val="0"/>
          <w:rtl/>
          <w:lang w:val="en-CA"/>
        </w:rPr>
        <w:t xml:space="preserve">وفقاً لقانون الدولة الطرف </w:t>
      </w:r>
      <w:r w:rsidRPr="00AA537D">
        <w:rPr>
          <w:rFonts w:hint="cs"/>
          <w:spacing w:val="0"/>
          <w:kern w:val="0"/>
          <w:rtl/>
          <w:lang w:val="en-CA"/>
        </w:rPr>
        <w:t xml:space="preserve">هي عدم تمكنه من </w:t>
      </w:r>
      <w:r w:rsidRPr="00AA537D">
        <w:rPr>
          <w:spacing w:val="0"/>
          <w:kern w:val="0"/>
          <w:rtl/>
          <w:lang w:val="en-CA"/>
        </w:rPr>
        <w:t xml:space="preserve">اختيار محام لمساعدته </w:t>
      </w:r>
      <w:r w:rsidRPr="00AA537D">
        <w:rPr>
          <w:rFonts w:hint="cs"/>
          <w:spacing w:val="0"/>
          <w:kern w:val="0"/>
          <w:rtl/>
          <w:lang w:val="en-CA"/>
        </w:rPr>
        <w:t>منذ</w:t>
      </w:r>
      <w:r w:rsidRPr="00AA537D">
        <w:rPr>
          <w:spacing w:val="0"/>
          <w:kern w:val="0"/>
          <w:rtl/>
          <w:lang w:val="en-CA"/>
        </w:rPr>
        <w:t xml:space="preserve"> بداية </w:t>
      </w:r>
      <w:r w:rsidRPr="00AA537D">
        <w:rPr>
          <w:rFonts w:hint="cs"/>
          <w:spacing w:val="0"/>
          <w:kern w:val="0"/>
          <w:rtl/>
          <w:lang w:val="en-CA"/>
        </w:rPr>
        <w:t xml:space="preserve">احتجازه </w:t>
      </w:r>
      <w:r w:rsidRPr="00AA537D">
        <w:rPr>
          <w:spacing w:val="0"/>
          <w:kern w:val="0"/>
          <w:rtl/>
          <w:lang w:val="en-CA"/>
        </w:rPr>
        <w:t>في مركز الشرطة و</w:t>
      </w:r>
      <w:r w:rsidRPr="00AA537D">
        <w:rPr>
          <w:rFonts w:hint="cs"/>
          <w:spacing w:val="0"/>
          <w:kern w:val="0"/>
          <w:rtl/>
          <w:lang w:val="en-CA"/>
        </w:rPr>
        <w:t xml:space="preserve">لا </w:t>
      </w:r>
      <w:r w:rsidRPr="00AA537D">
        <w:rPr>
          <w:spacing w:val="0"/>
          <w:kern w:val="0"/>
          <w:rtl/>
          <w:lang w:val="en-CA"/>
        </w:rPr>
        <w:t xml:space="preserve">إبلاغ </w:t>
      </w:r>
      <w:r w:rsidRPr="00AA537D">
        <w:rPr>
          <w:rFonts w:hint="cs"/>
          <w:spacing w:val="0"/>
          <w:kern w:val="0"/>
          <w:rtl/>
          <w:lang w:val="en-CA"/>
        </w:rPr>
        <w:t>أشخاص يختارهم ب</w:t>
      </w:r>
      <w:r w:rsidRPr="00AA537D">
        <w:rPr>
          <w:spacing w:val="0"/>
          <w:kern w:val="0"/>
          <w:rtl/>
          <w:lang w:val="en-CA"/>
        </w:rPr>
        <w:t xml:space="preserve">أنه </w:t>
      </w:r>
      <w:r w:rsidRPr="00AA537D">
        <w:rPr>
          <w:rFonts w:hint="cs"/>
          <w:spacing w:val="0"/>
          <w:kern w:val="0"/>
          <w:rtl/>
          <w:lang w:val="en-CA"/>
        </w:rPr>
        <w:t>ألقي</w:t>
      </w:r>
      <w:r w:rsidRPr="00AA537D">
        <w:rPr>
          <w:spacing w:val="0"/>
          <w:kern w:val="0"/>
          <w:rtl/>
          <w:lang w:val="en-CA"/>
        </w:rPr>
        <w:t xml:space="preserve"> القبض عليه. </w:t>
      </w:r>
      <w:r w:rsidRPr="00AA537D">
        <w:rPr>
          <w:rFonts w:hint="cs"/>
          <w:spacing w:val="0"/>
          <w:kern w:val="0"/>
          <w:rtl/>
          <w:lang w:val="en-CA"/>
        </w:rPr>
        <w:t xml:space="preserve">ومع ذلك كان </w:t>
      </w:r>
      <w:r w:rsidRPr="00AA537D">
        <w:rPr>
          <w:spacing w:val="0"/>
          <w:kern w:val="0"/>
          <w:rtl/>
          <w:lang w:val="en-CA"/>
        </w:rPr>
        <w:t>أفراد الأسرة</w:t>
      </w:r>
      <w:r w:rsidRPr="00AA537D">
        <w:rPr>
          <w:rFonts w:hint="cs"/>
          <w:spacing w:val="0"/>
          <w:kern w:val="0"/>
          <w:rtl/>
          <w:lang w:val="en-CA"/>
        </w:rPr>
        <w:t xml:space="preserve"> </w:t>
      </w:r>
      <w:r w:rsidRPr="00AA537D">
        <w:rPr>
          <w:spacing w:val="0"/>
          <w:kern w:val="0"/>
          <w:rtl/>
          <w:lang w:val="en-CA"/>
        </w:rPr>
        <w:t xml:space="preserve">على علم </w:t>
      </w:r>
      <w:r w:rsidRPr="00AA537D">
        <w:rPr>
          <w:rFonts w:hint="cs"/>
          <w:spacing w:val="0"/>
          <w:kern w:val="0"/>
          <w:rtl/>
          <w:lang w:val="en-CA"/>
        </w:rPr>
        <w:t>بالقبض عليه</w:t>
      </w:r>
      <w:r w:rsidRPr="00AA537D">
        <w:rPr>
          <w:spacing w:val="0"/>
          <w:kern w:val="0"/>
          <w:rtl/>
          <w:lang w:val="en-CA"/>
        </w:rPr>
        <w:t xml:space="preserve">. </w:t>
      </w:r>
      <w:r w:rsidRPr="00AA537D">
        <w:rPr>
          <w:rFonts w:hint="cs"/>
          <w:spacing w:val="0"/>
          <w:kern w:val="0"/>
          <w:rtl/>
          <w:lang w:val="en-CA"/>
        </w:rPr>
        <w:t xml:space="preserve">ولم يحتجز في الحبس الانفرادي إلا </w:t>
      </w:r>
      <w:r w:rsidRPr="00AA537D">
        <w:rPr>
          <w:spacing w:val="0"/>
          <w:kern w:val="0"/>
          <w:rtl/>
          <w:lang w:val="en-CA"/>
        </w:rPr>
        <w:t xml:space="preserve">لفترة قصيرة من الزمن، من 24 إلى 28 </w:t>
      </w:r>
      <w:r w:rsidRPr="00AA537D">
        <w:rPr>
          <w:rFonts w:hint="cs"/>
          <w:spacing w:val="0"/>
          <w:kern w:val="0"/>
          <w:rtl/>
          <w:lang w:val="en-CA"/>
        </w:rPr>
        <w:t>تشرين الأول/</w:t>
      </w:r>
      <w:r w:rsidRPr="00AA537D">
        <w:rPr>
          <w:spacing w:val="0"/>
          <w:kern w:val="0"/>
          <w:rtl/>
          <w:lang w:val="en-CA"/>
        </w:rPr>
        <w:t xml:space="preserve">أكتوبر 2002، </w:t>
      </w:r>
      <w:r w:rsidRPr="00AA537D">
        <w:rPr>
          <w:rFonts w:hint="cs"/>
          <w:spacing w:val="0"/>
          <w:kern w:val="0"/>
          <w:rtl/>
          <w:lang w:val="en-CA"/>
        </w:rPr>
        <w:t>وسُلم</w:t>
      </w:r>
      <w:r w:rsidRPr="00AA537D">
        <w:rPr>
          <w:spacing w:val="0"/>
          <w:kern w:val="0"/>
          <w:rtl/>
          <w:lang w:val="en-CA"/>
        </w:rPr>
        <w:t xml:space="preserve"> </w:t>
      </w:r>
      <w:r w:rsidRPr="00AA537D">
        <w:rPr>
          <w:rFonts w:hint="cs"/>
          <w:spacing w:val="0"/>
          <w:kern w:val="0"/>
          <w:rtl/>
          <w:lang w:val="en-CA"/>
        </w:rPr>
        <w:t xml:space="preserve">بعد ذلك </w:t>
      </w:r>
      <w:r w:rsidRPr="00AA537D">
        <w:rPr>
          <w:spacing w:val="0"/>
          <w:kern w:val="0"/>
          <w:rtl/>
          <w:lang w:val="en-CA"/>
        </w:rPr>
        <w:t xml:space="preserve">إلى السلطات القضائية. </w:t>
      </w:r>
      <w:r w:rsidRPr="00AA537D">
        <w:rPr>
          <w:rFonts w:hint="cs"/>
          <w:spacing w:val="0"/>
          <w:kern w:val="0"/>
          <w:rtl/>
          <w:lang w:val="en-CA"/>
        </w:rPr>
        <w:t>ولا يوجد أي أساس لاد</w:t>
      </w:r>
      <w:r w:rsidRPr="00AA537D">
        <w:rPr>
          <w:spacing w:val="0"/>
          <w:kern w:val="0"/>
          <w:rtl/>
          <w:lang w:val="en-CA"/>
        </w:rPr>
        <w:t xml:space="preserve">عاءات صاحب الشكوى </w:t>
      </w:r>
      <w:r w:rsidRPr="00AA537D">
        <w:rPr>
          <w:rFonts w:hint="cs"/>
          <w:spacing w:val="0"/>
          <w:kern w:val="0"/>
          <w:rtl/>
          <w:lang w:val="en-CA"/>
        </w:rPr>
        <w:t>التي تفيد بأن</w:t>
      </w:r>
      <w:r w:rsidRPr="00AA537D">
        <w:rPr>
          <w:spacing w:val="0"/>
          <w:kern w:val="0"/>
          <w:rtl/>
          <w:lang w:val="en-CA"/>
        </w:rPr>
        <w:t xml:space="preserve"> الإجراءات الجنائية وإدانته </w:t>
      </w:r>
      <w:r w:rsidRPr="00AA537D">
        <w:rPr>
          <w:rFonts w:hint="cs"/>
          <w:spacing w:val="0"/>
          <w:kern w:val="0"/>
          <w:rtl/>
          <w:lang w:val="en-CA"/>
        </w:rPr>
        <w:t>كانت بدافع</w:t>
      </w:r>
      <w:r w:rsidRPr="00AA537D">
        <w:rPr>
          <w:spacing w:val="0"/>
          <w:kern w:val="0"/>
          <w:rtl/>
          <w:lang w:val="en-CA"/>
        </w:rPr>
        <w:t xml:space="preserve"> الاهتمام </w:t>
      </w:r>
      <w:r w:rsidRPr="00AA537D">
        <w:rPr>
          <w:rFonts w:hint="cs"/>
          <w:spacing w:val="0"/>
          <w:kern w:val="0"/>
          <w:rtl/>
          <w:lang w:val="en-CA"/>
        </w:rPr>
        <w:t xml:space="preserve">بقضيته </w:t>
      </w:r>
      <w:r w:rsidRPr="00AA537D">
        <w:rPr>
          <w:spacing w:val="0"/>
          <w:kern w:val="0"/>
          <w:rtl/>
          <w:lang w:val="en-CA"/>
        </w:rPr>
        <w:t xml:space="preserve">في الأوساط السياسية ولدى الجمهور، وشعور القضاة </w:t>
      </w:r>
      <w:r w:rsidRPr="00AA537D">
        <w:rPr>
          <w:rFonts w:hint="cs"/>
          <w:spacing w:val="0"/>
          <w:kern w:val="0"/>
          <w:rtl/>
          <w:lang w:val="en-CA"/>
        </w:rPr>
        <w:t>ب</w:t>
      </w:r>
      <w:r w:rsidRPr="00AA537D">
        <w:rPr>
          <w:spacing w:val="0"/>
          <w:kern w:val="0"/>
          <w:rtl/>
          <w:lang w:val="en-CA"/>
        </w:rPr>
        <w:t xml:space="preserve">التضامن </w:t>
      </w:r>
      <w:r w:rsidRPr="00AA537D">
        <w:rPr>
          <w:rFonts w:hint="cs"/>
          <w:spacing w:val="0"/>
          <w:kern w:val="0"/>
          <w:rtl/>
          <w:lang w:val="en-CA"/>
        </w:rPr>
        <w:t>مع الزملاء</w:t>
      </w:r>
      <w:r w:rsidRPr="00AA537D">
        <w:rPr>
          <w:spacing w:val="0"/>
          <w:kern w:val="0"/>
          <w:rtl/>
          <w:lang w:val="en-CA"/>
        </w:rPr>
        <w:t xml:space="preserve">، </w:t>
      </w:r>
      <w:r w:rsidRPr="00AA537D">
        <w:rPr>
          <w:rFonts w:hint="cs"/>
          <w:spacing w:val="0"/>
          <w:kern w:val="0"/>
          <w:rtl/>
          <w:lang w:val="en-CA"/>
        </w:rPr>
        <w:t xml:space="preserve">مع العلم بأنه </w:t>
      </w:r>
      <w:r w:rsidRPr="00AA537D">
        <w:rPr>
          <w:spacing w:val="0"/>
          <w:kern w:val="0"/>
          <w:rtl/>
          <w:lang w:val="en-CA"/>
        </w:rPr>
        <w:t>لم يعترض في أي وقت من الأوقات على مشاركة أي من القضاة المسؤولين عن محاكمته.</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4-4</w:t>
      </w:r>
      <w:r w:rsidRPr="00AA537D">
        <w:rPr>
          <w:rFonts w:hint="cs"/>
          <w:spacing w:val="0"/>
          <w:kern w:val="0"/>
          <w:rtl/>
          <w:lang w:val="en-CA"/>
        </w:rPr>
        <w:tab/>
      </w:r>
      <w:r w:rsidRPr="00AA537D">
        <w:rPr>
          <w:spacing w:val="0"/>
          <w:kern w:val="0"/>
          <w:rtl/>
          <w:lang w:val="en-CA"/>
        </w:rPr>
        <w:t xml:space="preserve">وفيما يتعلق بالانتهاك المزعوم للمادة 15 من الاتفاقية، </w:t>
      </w:r>
      <w:r w:rsidRPr="00AA537D">
        <w:rPr>
          <w:rFonts w:hint="cs"/>
          <w:spacing w:val="0"/>
          <w:kern w:val="0"/>
          <w:rtl/>
          <w:lang w:val="en-CA"/>
        </w:rPr>
        <w:t>لم يقدم صاحب</w:t>
      </w:r>
      <w:r w:rsidRPr="00AA537D">
        <w:rPr>
          <w:spacing w:val="0"/>
          <w:kern w:val="0"/>
          <w:rtl/>
          <w:lang w:val="en-CA"/>
        </w:rPr>
        <w:t xml:space="preserve"> الشكوى </w:t>
      </w:r>
      <w:r w:rsidRPr="00AA537D">
        <w:rPr>
          <w:rFonts w:hint="cs"/>
          <w:spacing w:val="0"/>
          <w:kern w:val="0"/>
          <w:rtl/>
          <w:lang w:val="en-CA"/>
        </w:rPr>
        <w:t xml:space="preserve">ولا حتى </w:t>
      </w:r>
      <w:r w:rsidRPr="00AA537D">
        <w:rPr>
          <w:spacing w:val="0"/>
          <w:kern w:val="0"/>
          <w:rtl/>
          <w:lang w:val="en-CA"/>
        </w:rPr>
        <w:t xml:space="preserve">أدلة </w:t>
      </w:r>
      <w:r w:rsidRPr="00AA537D">
        <w:rPr>
          <w:rFonts w:hint="cs"/>
          <w:spacing w:val="0"/>
          <w:kern w:val="0"/>
          <w:rtl/>
          <w:lang w:val="en-CA"/>
        </w:rPr>
        <w:t>بيانية أو غير مباشرة</w:t>
      </w:r>
      <w:r w:rsidRPr="00AA537D">
        <w:rPr>
          <w:spacing w:val="0"/>
          <w:kern w:val="0"/>
          <w:rtl/>
          <w:lang w:val="en-CA"/>
        </w:rPr>
        <w:t xml:space="preserve"> </w:t>
      </w:r>
      <w:r w:rsidRPr="00AA537D">
        <w:rPr>
          <w:rFonts w:hint="cs"/>
          <w:spacing w:val="0"/>
          <w:kern w:val="0"/>
          <w:rtl/>
          <w:lang w:val="en-CA"/>
        </w:rPr>
        <w:t>تفيد بأن أقواله انتزعت</w:t>
      </w:r>
      <w:r w:rsidRPr="00AA537D">
        <w:rPr>
          <w:spacing w:val="0"/>
          <w:kern w:val="0"/>
          <w:rtl/>
          <w:lang w:val="en-CA"/>
        </w:rPr>
        <w:t xml:space="preserve"> تحت التعذيب، ولكن</w:t>
      </w:r>
      <w:r w:rsidRPr="00AA537D">
        <w:rPr>
          <w:rFonts w:hint="cs"/>
          <w:spacing w:val="0"/>
          <w:kern w:val="0"/>
          <w:rtl/>
          <w:lang w:val="en-CA"/>
        </w:rPr>
        <w:t>ه اكتفى بالادعاء</w:t>
      </w:r>
      <w:r w:rsidRPr="00AA537D">
        <w:rPr>
          <w:spacing w:val="0"/>
          <w:kern w:val="0"/>
          <w:rtl/>
          <w:lang w:val="en-CA"/>
        </w:rPr>
        <w:t xml:space="preserve"> أن الدولة الطرف لم تحقق على النحو الواجب </w:t>
      </w:r>
      <w:r w:rsidRPr="00AA537D">
        <w:rPr>
          <w:rFonts w:hint="cs"/>
          <w:spacing w:val="0"/>
          <w:kern w:val="0"/>
          <w:rtl/>
          <w:lang w:val="en-CA"/>
        </w:rPr>
        <w:t xml:space="preserve">في </w:t>
      </w:r>
      <w:r w:rsidRPr="00AA537D">
        <w:rPr>
          <w:spacing w:val="0"/>
          <w:kern w:val="0"/>
          <w:rtl/>
          <w:lang w:val="en-CA"/>
        </w:rPr>
        <w:t xml:space="preserve">ادعائه </w:t>
      </w:r>
      <w:r w:rsidRPr="00AA537D">
        <w:rPr>
          <w:rFonts w:hint="cs"/>
          <w:spacing w:val="0"/>
          <w:kern w:val="0"/>
          <w:rtl/>
          <w:lang w:val="en-CA"/>
        </w:rPr>
        <w:t>بال</w:t>
      </w:r>
      <w:r w:rsidRPr="00AA537D">
        <w:rPr>
          <w:spacing w:val="0"/>
          <w:kern w:val="0"/>
          <w:rtl/>
          <w:lang w:val="en-CA"/>
        </w:rPr>
        <w:t>تعرض للتعذيب.</w:t>
      </w:r>
    </w:p>
    <w:p w:rsidR="00FA6676" w:rsidRPr="00AA537D" w:rsidRDefault="00FA6676" w:rsidP="001A08AE">
      <w:pPr>
        <w:pStyle w:val="SingleTxtGA"/>
        <w:jc w:val="lowKashida"/>
        <w:rPr>
          <w:rFonts w:hint="cs"/>
          <w:spacing w:val="0"/>
          <w:kern w:val="0"/>
          <w:rtl/>
          <w:lang w:val="en-CA"/>
        </w:rPr>
      </w:pPr>
      <w:r w:rsidRPr="00E86FDB">
        <w:rPr>
          <w:rFonts w:hint="cs"/>
          <w:spacing w:val="-2"/>
          <w:kern w:val="0"/>
          <w:rtl/>
          <w:lang w:val="en-CA"/>
        </w:rPr>
        <w:t>4-5</w:t>
      </w:r>
      <w:r w:rsidRPr="00E86FDB">
        <w:rPr>
          <w:rFonts w:hint="cs"/>
          <w:spacing w:val="-2"/>
          <w:kern w:val="0"/>
          <w:rtl/>
          <w:lang w:val="en-CA"/>
        </w:rPr>
        <w:tab/>
        <w:t>وقد نظرت</w:t>
      </w:r>
      <w:r w:rsidRPr="00E86FDB">
        <w:rPr>
          <w:spacing w:val="-2"/>
          <w:kern w:val="0"/>
          <w:rtl/>
          <w:lang w:val="en-CA"/>
        </w:rPr>
        <w:t xml:space="preserve"> </w:t>
      </w:r>
      <w:r w:rsidRPr="00E86FDB">
        <w:rPr>
          <w:rFonts w:hint="cs"/>
          <w:spacing w:val="-2"/>
          <w:kern w:val="0"/>
          <w:rtl/>
          <w:lang w:val="en-CA"/>
        </w:rPr>
        <w:t>الدائرة</w:t>
      </w:r>
      <w:r w:rsidRPr="00E86FDB">
        <w:rPr>
          <w:spacing w:val="-2"/>
          <w:kern w:val="0"/>
          <w:rtl/>
          <w:lang w:val="en-CA"/>
        </w:rPr>
        <w:t xml:space="preserve"> الجنائية </w:t>
      </w:r>
      <w:r w:rsidRPr="00E86FDB">
        <w:rPr>
          <w:rFonts w:hint="cs"/>
          <w:spacing w:val="-2"/>
          <w:kern w:val="0"/>
          <w:rtl/>
          <w:lang w:val="en-CA"/>
        </w:rPr>
        <w:t>ل</w:t>
      </w:r>
      <w:r w:rsidRPr="00E86FDB">
        <w:rPr>
          <w:spacing w:val="-2"/>
          <w:kern w:val="0"/>
          <w:rtl/>
          <w:lang w:val="en-CA"/>
        </w:rPr>
        <w:t xml:space="preserve">لمحكمة العليا الوطنية فيما إذا </w:t>
      </w:r>
      <w:r w:rsidRPr="00E86FDB">
        <w:rPr>
          <w:rFonts w:hint="cs"/>
          <w:spacing w:val="-2"/>
          <w:kern w:val="0"/>
          <w:rtl/>
          <w:lang w:val="en-CA"/>
        </w:rPr>
        <w:t xml:space="preserve">كانت أقوال </w:t>
      </w:r>
      <w:r w:rsidRPr="00E86FDB">
        <w:rPr>
          <w:spacing w:val="-2"/>
          <w:kern w:val="0"/>
          <w:rtl/>
          <w:lang w:val="en-CA"/>
        </w:rPr>
        <w:t xml:space="preserve">صاحب الشكوى </w:t>
      </w:r>
      <w:r w:rsidRPr="00E86FDB">
        <w:rPr>
          <w:rFonts w:hint="cs"/>
          <w:spacing w:val="-2"/>
          <w:kern w:val="0"/>
          <w:rtl/>
          <w:lang w:val="en-CA"/>
        </w:rPr>
        <w:t xml:space="preserve">التي أدلى بها </w:t>
      </w:r>
      <w:r w:rsidRPr="00E86FDB">
        <w:rPr>
          <w:spacing w:val="-2"/>
          <w:kern w:val="0"/>
          <w:rtl/>
          <w:lang w:val="en-CA"/>
        </w:rPr>
        <w:t xml:space="preserve">لشرطة الباسك </w:t>
      </w:r>
      <w:r w:rsidRPr="00E86FDB">
        <w:rPr>
          <w:rFonts w:hint="cs"/>
          <w:spacing w:val="-2"/>
          <w:kern w:val="0"/>
          <w:rtl/>
          <w:lang w:val="en-CA"/>
        </w:rPr>
        <w:t xml:space="preserve">انتزعت </w:t>
      </w:r>
      <w:r w:rsidRPr="00E86FDB">
        <w:rPr>
          <w:spacing w:val="-2"/>
          <w:kern w:val="0"/>
          <w:rtl/>
          <w:lang w:val="en-CA"/>
        </w:rPr>
        <w:t xml:space="preserve">تحت التعذيب. </w:t>
      </w:r>
      <w:r w:rsidRPr="00E86FDB">
        <w:rPr>
          <w:rFonts w:hint="cs"/>
          <w:spacing w:val="-2"/>
          <w:kern w:val="0"/>
          <w:rtl/>
          <w:lang w:val="en-CA"/>
        </w:rPr>
        <w:t>وأشارت إلى</w:t>
      </w:r>
      <w:r w:rsidRPr="00E86FDB">
        <w:rPr>
          <w:spacing w:val="-2"/>
          <w:kern w:val="0"/>
          <w:rtl/>
          <w:lang w:val="en-CA"/>
        </w:rPr>
        <w:t xml:space="preserve"> أن صاحب الشكوى سحب </w:t>
      </w:r>
      <w:r w:rsidRPr="00E86FDB">
        <w:rPr>
          <w:rFonts w:hint="cs"/>
          <w:spacing w:val="-2"/>
          <w:kern w:val="0"/>
          <w:rtl/>
          <w:lang w:val="en-CA"/>
        </w:rPr>
        <w:t>أقواله</w:t>
      </w:r>
      <w:r w:rsidRPr="00E86FDB">
        <w:rPr>
          <w:spacing w:val="-2"/>
          <w:kern w:val="0"/>
          <w:rtl/>
          <w:lang w:val="en-CA"/>
        </w:rPr>
        <w:t xml:space="preserve"> أمام المحكمة. وخلص</w:t>
      </w:r>
      <w:r w:rsidRPr="00E86FDB">
        <w:rPr>
          <w:rFonts w:hint="cs"/>
          <w:spacing w:val="-2"/>
          <w:kern w:val="0"/>
          <w:rtl/>
          <w:lang w:val="en-CA"/>
        </w:rPr>
        <w:t>ت</w:t>
      </w:r>
      <w:r w:rsidRPr="00E86FDB">
        <w:rPr>
          <w:spacing w:val="-2"/>
          <w:kern w:val="0"/>
          <w:rtl/>
          <w:lang w:val="en-CA"/>
        </w:rPr>
        <w:t xml:space="preserve"> إلى أن تحقيق</w:t>
      </w:r>
      <w:r w:rsidRPr="00E86FDB">
        <w:rPr>
          <w:rFonts w:hint="cs"/>
          <w:spacing w:val="-2"/>
          <w:kern w:val="0"/>
          <w:rtl/>
          <w:lang w:val="en-CA"/>
        </w:rPr>
        <w:t>ا</w:t>
      </w:r>
      <w:r w:rsidR="001A08AE">
        <w:rPr>
          <w:rFonts w:hint="cs"/>
          <w:spacing w:val="-2"/>
          <w:kern w:val="0"/>
          <w:rtl/>
          <w:lang w:val="en-CA"/>
        </w:rPr>
        <w:t>ً</w:t>
      </w:r>
      <w:r w:rsidRPr="00E86FDB">
        <w:rPr>
          <w:spacing w:val="-2"/>
          <w:kern w:val="0"/>
          <w:rtl/>
          <w:lang w:val="en-CA"/>
        </w:rPr>
        <w:t xml:space="preserve"> قضائ</w:t>
      </w:r>
      <w:r w:rsidRPr="00E86FDB">
        <w:rPr>
          <w:rFonts w:hint="cs"/>
          <w:spacing w:val="-2"/>
          <w:kern w:val="0"/>
          <w:rtl/>
          <w:lang w:val="en-CA"/>
        </w:rPr>
        <w:t>يا</w:t>
      </w:r>
      <w:r w:rsidR="001A08AE">
        <w:rPr>
          <w:rFonts w:hint="cs"/>
          <w:spacing w:val="-2"/>
          <w:kern w:val="0"/>
          <w:rtl/>
          <w:lang w:val="en-CA"/>
        </w:rPr>
        <w:t>ً</w:t>
      </w:r>
      <w:r w:rsidRPr="00E86FDB">
        <w:rPr>
          <w:rFonts w:hint="cs"/>
          <w:spacing w:val="-2"/>
          <w:kern w:val="0"/>
          <w:rtl/>
          <w:lang w:val="en-CA"/>
        </w:rPr>
        <w:t xml:space="preserve"> قد أجري بالفعل</w:t>
      </w:r>
      <w:r w:rsidRPr="00E86FDB">
        <w:rPr>
          <w:spacing w:val="-2"/>
          <w:kern w:val="0"/>
          <w:rtl/>
          <w:lang w:val="en-CA"/>
        </w:rPr>
        <w:t xml:space="preserve"> في الوقائع، وأكد</w:t>
      </w:r>
      <w:r w:rsidRPr="00E86FDB">
        <w:rPr>
          <w:rFonts w:hint="cs"/>
          <w:spacing w:val="-2"/>
          <w:kern w:val="0"/>
          <w:rtl/>
          <w:lang w:val="en-CA"/>
        </w:rPr>
        <w:t>ت</w:t>
      </w:r>
      <w:r w:rsidRPr="00E86FDB">
        <w:rPr>
          <w:spacing w:val="-2"/>
          <w:kern w:val="0"/>
          <w:rtl/>
          <w:lang w:val="en-CA"/>
        </w:rPr>
        <w:t xml:space="preserve"> أن</w:t>
      </w:r>
      <w:r w:rsidRPr="00E86FDB">
        <w:rPr>
          <w:rFonts w:hint="cs"/>
          <w:spacing w:val="-2"/>
          <w:kern w:val="0"/>
          <w:rtl/>
          <w:lang w:val="en-CA"/>
        </w:rPr>
        <w:t>ه لا</w:t>
      </w:r>
      <w:r w:rsidRPr="00E86FDB">
        <w:rPr>
          <w:rFonts w:hint="eastAsia"/>
          <w:spacing w:val="-2"/>
          <w:kern w:val="0"/>
          <w:rtl/>
          <w:lang w:val="en-CA"/>
        </w:rPr>
        <w:t> </w:t>
      </w:r>
      <w:r w:rsidRPr="00E86FDB">
        <w:rPr>
          <w:rFonts w:hint="cs"/>
          <w:spacing w:val="-2"/>
          <w:kern w:val="0"/>
          <w:rtl/>
          <w:lang w:val="en-CA"/>
        </w:rPr>
        <w:t xml:space="preserve">يوجد ما يشير </w:t>
      </w:r>
      <w:r w:rsidRPr="00E86FDB">
        <w:rPr>
          <w:spacing w:val="-2"/>
          <w:kern w:val="0"/>
          <w:rtl/>
          <w:lang w:val="en-CA"/>
        </w:rPr>
        <w:t xml:space="preserve">إلى ارتكاب مثل هذه الجريمة. </w:t>
      </w:r>
      <w:r w:rsidRPr="00E86FDB">
        <w:rPr>
          <w:rFonts w:hint="cs"/>
          <w:spacing w:val="-2"/>
          <w:kern w:val="0"/>
          <w:rtl/>
          <w:lang w:val="en-CA"/>
        </w:rPr>
        <w:t xml:space="preserve">وقد أدلى </w:t>
      </w:r>
      <w:r w:rsidRPr="00E86FDB">
        <w:rPr>
          <w:spacing w:val="-2"/>
          <w:kern w:val="0"/>
          <w:rtl/>
          <w:lang w:val="en-CA"/>
        </w:rPr>
        <w:t xml:space="preserve">خمسة من ضباط الشرطة </w:t>
      </w:r>
      <w:r w:rsidRPr="00E86FDB">
        <w:rPr>
          <w:rFonts w:hint="cs"/>
          <w:spacing w:val="-2"/>
          <w:kern w:val="0"/>
          <w:rtl/>
          <w:lang w:val="en-CA"/>
        </w:rPr>
        <w:t xml:space="preserve">بشهادتهم، كل على </w:t>
      </w:r>
      <w:r w:rsidRPr="00E86FDB">
        <w:rPr>
          <w:spacing w:val="-2"/>
          <w:kern w:val="0"/>
          <w:rtl/>
          <w:lang w:val="en-CA"/>
        </w:rPr>
        <w:t>حدة</w:t>
      </w:r>
      <w:r w:rsidRPr="00E86FDB">
        <w:rPr>
          <w:rFonts w:hint="cs"/>
          <w:spacing w:val="-2"/>
          <w:kern w:val="0"/>
          <w:rtl/>
          <w:lang w:val="en-CA"/>
        </w:rPr>
        <w:t>،</w:t>
      </w:r>
      <w:r w:rsidRPr="00E86FDB">
        <w:rPr>
          <w:spacing w:val="-2"/>
          <w:kern w:val="0"/>
          <w:rtl/>
          <w:lang w:val="en-CA"/>
        </w:rPr>
        <w:t xml:space="preserve"> </w:t>
      </w:r>
      <w:r w:rsidRPr="00E86FDB">
        <w:rPr>
          <w:rFonts w:hint="cs"/>
          <w:spacing w:val="-2"/>
          <w:kern w:val="0"/>
          <w:rtl/>
          <w:lang w:val="en-CA"/>
        </w:rPr>
        <w:t>وأفادوا ب</w:t>
      </w:r>
      <w:r w:rsidRPr="00E86FDB">
        <w:rPr>
          <w:spacing w:val="-2"/>
          <w:kern w:val="0"/>
          <w:rtl/>
          <w:lang w:val="en-CA"/>
        </w:rPr>
        <w:t xml:space="preserve">أن </w:t>
      </w:r>
      <w:r w:rsidRPr="00E86FDB">
        <w:rPr>
          <w:rFonts w:hint="cs"/>
          <w:spacing w:val="-2"/>
          <w:kern w:val="0"/>
          <w:rtl/>
          <w:lang w:val="en-CA"/>
        </w:rPr>
        <w:t>صاحب</w:t>
      </w:r>
      <w:r w:rsidRPr="00E86FDB">
        <w:rPr>
          <w:spacing w:val="-2"/>
          <w:kern w:val="0"/>
          <w:rtl/>
          <w:lang w:val="en-CA"/>
        </w:rPr>
        <w:t xml:space="preserve"> الشكوى </w:t>
      </w:r>
      <w:r w:rsidRPr="00E86FDB">
        <w:rPr>
          <w:rFonts w:hint="cs"/>
          <w:spacing w:val="-2"/>
          <w:kern w:val="0"/>
          <w:rtl/>
          <w:lang w:val="en-CA"/>
        </w:rPr>
        <w:t xml:space="preserve">كان يمثله </w:t>
      </w:r>
      <w:r w:rsidRPr="00E86FDB">
        <w:rPr>
          <w:spacing w:val="-2"/>
          <w:kern w:val="0"/>
          <w:rtl/>
          <w:lang w:val="en-CA"/>
        </w:rPr>
        <w:t>محام وأ</w:t>
      </w:r>
      <w:r w:rsidRPr="00E86FDB">
        <w:rPr>
          <w:rFonts w:hint="cs"/>
          <w:spacing w:val="-2"/>
          <w:kern w:val="0"/>
          <w:rtl/>
          <w:lang w:val="en-CA"/>
        </w:rPr>
        <w:t>ُ</w:t>
      </w:r>
      <w:r w:rsidRPr="00E86FDB">
        <w:rPr>
          <w:spacing w:val="-2"/>
          <w:kern w:val="0"/>
          <w:rtl/>
          <w:lang w:val="en-CA"/>
        </w:rPr>
        <w:t xml:space="preserve">بلغ </w:t>
      </w:r>
      <w:r w:rsidRPr="00E86FDB">
        <w:rPr>
          <w:rFonts w:hint="cs"/>
          <w:spacing w:val="-2"/>
          <w:kern w:val="0"/>
          <w:rtl/>
          <w:lang w:val="en-CA"/>
        </w:rPr>
        <w:t>ب</w:t>
      </w:r>
      <w:r w:rsidRPr="00E86FDB">
        <w:rPr>
          <w:spacing w:val="-2"/>
          <w:kern w:val="0"/>
          <w:rtl/>
          <w:lang w:val="en-CA"/>
        </w:rPr>
        <w:t xml:space="preserve">حقوقه، بما فيها الحق في صياغة أو إملاء </w:t>
      </w:r>
      <w:r w:rsidRPr="00E86FDB">
        <w:rPr>
          <w:rFonts w:hint="cs"/>
          <w:spacing w:val="-2"/>
          <w:kern w:val="0"/>
          <w:rtl/>
          <w:lang w:val="en-CA"/>
        </w:rPr>
        <w:t>أقواله</w:t>
      </w:r>
      <w:r w:rsidRPr="00E86FDB">
        <w:rPr>
          <w:spacing w:val="-2"/>
          <w:kern w:val="0"/>
          <w:rtl/>
          <w:lang w:val="en-CA"/>
        </w:rPr>
        <w:t xml:space="preserve"> أو بعض ردوده. </w:t>
      </w:r>
      <w:r w:rsidRPr="00E86FDB">
        <w:rPr>
          <w:rFonts w:hint="cs"/>
          <w:spacing w:val="-2"/>
          <w:kern w:val="0"/>
          <w:rtl/>
          <w:lang w:val="en-CA"/>
        </w:rPr>
        <w:t xml:space="preserve">ولم </w:t>
      </w:r>
      <w:r w:rsidRPr="00E86FDB">
        <w:rPr>
          <w:spacing w:val="-2"/>
          <w:kern w:val="0"/>
          <w:rtl/>
          <w:lang w:val="en-CA"/>
        </w:rPr>
        <w:t>يش</w:t>
      </w:r>
      <w:r w:rsidRPr="00E86FDB">
        <w:rPr>
          <w:rFonts w:hint="cs"/>
          <w:spacing w:val="-2"/>
          <w:kern w:val="0"/>
          <w:rtl/>
          <w:lang w:val="en-CA"/>
        </w:rPr>
        <w:t>تك</w:t>
      </w:r>
      <w:r w:rsidRPr="00E86FDB">
        <w:rPr>
          <w:spacing w:val="-2"/>
          <w:kern w:val="0"/>
          <w:rtl/>
          <w:lang w:val="en-CA"/>
        </w:rPr>
        <w:t xml:space="preserve"> من سوء المعاملة أو التعذيب في </w:t>
      </w:r>
      <w:r w:rsidRPr="00E86FDB">
        <w:rPr>
          <w:rFonts w:hint="cs"/>
          <w:spacing w:val="-2"/>
          <w:kern w:val="0"/>
          <w:rtl/>
          <w:lang w:val="en-CA"/>
        </w:rPr>
        <w:t>كل</w:t>
      </w:r>
      <w:r w:rsidRPr="00E86FDB">
        <w:rPr>
          <w:spacing w:val="-2"/>
          <w:kern w:val="0"/>
          <w:rtl/>
          <w:lang w:val="en-CA"/>
        </w:rPr>
        <w:t xml:space="preserve"> </w:t>
      </w:r>
      <w:r w:rsidRPr="00E86FDB">
        <w:rPr>
          <w:rFonts w:hint="cs"/>
          <w:spacing w:val="-2"/>
          <w:kern w:val="0"/>
          <w:rtl/>
          <w:lang w:val="en-CA"/>
        </w:rPr>
        <w:t>الأقوال التي أدلى بها. وقد أعيد</w:t>
      </w:r>
      <w:r w:rsidR="001A08AE">
        <w:rPr>
          <w:rFonts w:hint="cs"/>
          <w:spacing w:val="-2"/>
          <w:kern w:val="0"/>
          <w:rtl/>
          <w:lang w:val="en-CA"/>
        </w:rPr>
        <w:t>ت</w:t>
      </w:r>
      <w:r w:rsidRPr="00E86FDB">
        <w:rPr>
          <w:rFonts w:hint="cs"/>
          <w:spacing w:val="-2"/>
          <w:kern w:val="0"/>
          <w:rtl/>
          <w:lang w:val="en-CA"/>
        </w:rPr>
        <w:t xml:space="preserve"> قراءة هذه الأقوال</w:t>
      </w:r>
      <w:r w:rsidRPr="00E86FDB">
        <w:rPr>
          <w:spacing w:val="-2"/>
          <w:kern w:val="0"/>
          <w:rtl/>
          <w:lang w:val="en-CA"/>
        </w:rPr>
        <w:t xml:space="preserve"> </w:t>
      </w:r>
      <w:r w:rsidRPr="00E86FDB">
        <w:rPr>
          <w:rFonts w:hint="cs"/>
          <w:spacing w:val="-2"/>
          <w:kern w:val="0"/>
          <w:rtl/>
          <w:lang w:val="en-CA"/>
        </w:rPr>
        <w:t xml:space="preserve">من قبل صاحب الشكوى </w:t>
      </w:r>
      <w:r w:rsidRPr="00E86FDB">
        <w:rPr>
          <w:spacing w:val="-2"/>
          <w:kern w:val="0"/>
          <w:rtl/>
          <w:lang w:val="en-CA"/>
        </w:rPr>
        <w:t xml:space="preserve">ومحاميه </w:t>
      </w:r>
      <w:r w:rsidRPr="00E86FDB">
        <w:rPr>
          <w:rFonts w:hint="cs"/>
          <w:spacing w:val="-2"/>
          <w:kern w:val="0"/>
          <w:rtl/>
          <w:lang w:val="en-CA"/>
        </w:rPr>
        <w:t>ولم</w:t>
      </w:r>
      <w:r w:rsidR="00E86FDB">
        <w:rPr>
          <w:rFonts w:hint="eastAsia"/>
          <w:spacing w:val="-2"/>
          <w:kern w:val="0"/>
          <w:rtl/>
          <w:lang w:val="en-CA"/>
        </w:rPr>
        <w:t> </w:t>
      </w:r>
      <w:r w:rsidRPr="00E86FDB">
        <w:rPr>
          <w:rFonts w:hint="cs"/>
          <w:spacing w:val="-2"/>
          <w:kern w:val="0"/>
          <w:rtl/>
          <w:lang w:val="en-CA"/>
        </w:rPr>
        <w:t>يقدم أي منهما أي</w:t>
      </w:r>
      <w:r w:rsidRPr="00E86FDB">
        <w:rPr>
          <w:spacing w:val="-2"/>
          <w:kern w:val="0"/>
          <w:rtl/>
          <w:lang w:val="en-CA"/>
        </w:rPr>
        <w:t xml:space="preserve"> تعليق. </w:t>
      </w:r>
      <w:r w:rsidRPr="00E86FDB">
        <w:rPr>
          <w:rFonts w:hint="cs"/>
          <w:spacing w:val="-2"/>
          <w:kern w:val="0"/>
          <w:rtl/>
          <w:lang w:val="en-CA"/>
        </w:rPr>
        <w:t xml:space="preserve">كما تم التأكد من </w:t>
      </w:r>
      <w:r w:rsidRPr="00E86FDB">
        <w:rPr>
          <w:spacing w:val="-2"/>
          <w:kern w:val="0"/>
          <w:rtl/>
          <w:lang w:val="en-CA"/>
        </w:rPr>
        <w:t xml:space="preserve">أن ضباط الشرطة </w:t>
      </w:r>
      <w:r w:rsidRPr="00E86FDB">
        <w:rPr>
          <w:rFonts w:hint="cs"/>
          <w:spacing w:val="-2"/>
          <w:kern w:val="0"/>
          <w:rtl/>
          <w:lang w:val="en-CA"/>
        </w:rPr>
        <w:t>أدلوا بشهادتهم</w:t>
      </w:r>
      <w:r w:rsidRPr="00E86FDB">
        <w:rPr>
          <w:spacing w:val="-2"/>
          <w:kern w:val="0"/>
          <w:rtl/>
          <w:lang w:val="en-CA"/>
        </w:rPr>
        <w:t xml:space="preserve"> </w:t>
      </w:r>
      <w:r w:rsidRPr="00E86FDB">
        <w:rPr>
          <w:rFonts w:hint="cs"/>
          <w:spacing w:val="-2"/>
          <w:kern w:val="0"/>
          <w:rtl/>
          <w:lang w:val="en-CA"/>
        </w:rPr>
        <w:t>أثناء</w:t>
      </w:r>
      <w:r w:rsidRPr="00E86FDB">
        <w:rPr>
          <w:spacing w:val="-2"/>
          <w:kern w:val="0"/>
          <w:rtl/>
          <w:lang w:val="en-CA"/>
        </w:rPr>
        <w:t xml:space="preserve"> إجراءات المحاكمة تحت "أرقام وقائي</w:t>
      </w:r>
      <w:r w:rsidRPr="00E86FDB">
        <w:rPr>
          <w:rFonts w:hint="cs"/>
          <w:spacing w:val="-2"/>
          <w:kern w:val="0"/>
          <w:rtl/>
          <w:lang w:val="en-CA"/>
        </w:rPr>
        <w:t>ة</w:t>
      </w:r>
      <w:r w:rsidRPr="00E86FDB">
        <w:rPr>
          <w:spacing w:val="-2"/>
          <w:kern w:val="0"/>
          <w:rtl/>
          <w:lang w:val="en-CA"/>
        </w:rPr>
        <w:t xml:space="preserve">"، على النحو المنصوص عليه في المادة </w:t>
      </w:r>
      <w:r w:rsidRPr="00E86FDB">
        <w:rPr>
          <w:rFonts w:hint="cs"/>
          <w:spacing w:val="-2"/>
          <w:kern w:val="0"/>
          <w:rtl/>
          <w:lang w:val="en-CA"/>
        </w:rPr>
        <w:t>4-1</w:t>
      </w:r>
      <w:r w:rsidRPr="00E86FDB">
        <w:rPr>
          <w:spacing w:val="-2"/>
          <w:kern w:val="0"/>
          <w:rtl/>
          <w:lang w:val="en-CA"/>
        </w:rPr>
        <w:t xml:space="preserve"> من القانون </w:t>
      </w:r>
      <w:r w:rsidRPr="00E86FDB">
        <w:rPr>
          <w:rFonts w:hint="cs"/>
          <w:spacing w:val="-2"/>
          <w:kern w:val="0"/>
          <w:rtl/>
          <w:lang w:val="en-CA"/>
        </w:rPr>
        <w:t xml:space="preserve">الأساسي </w:t>
      </w:r>
      <w:r w:rsidRPr="00E86FDB">
        <w:rPr>
          <w:spacing w:val="-2"/>
          <w:kern w:val="0"/>
          <w:rtl/>
          <w:lang w:val="en-CA"/>
        </w:rPr>
        <w:t>رقم 19/1994 بشأن حماية الشهود والخبراء في القضايا الجنائية.</w:t>
      </w:r>
      <w:r w:rsidRPr="00AA537D">
        <w:rPr>
          <w:spacing w:val="0"/>
          <w:kern w:val="0"/>
          <w:rtl/>
          <w:lang w:val="en-CA"/>
        </w:rPr>
        <w:t xml:space="preserve"> و</w:t>
      </w:r>
      <w:r w:rsidRPr="00AA537D">
        <w:rPr>
          <w:rFonts w:hint="cs"/>
          <w:spacing w:val="0"/>
          <w:kern w:val="0"/>
          <w:rtl/>
          <w:lang w:val="en-CA"/>
        </w:rPr>
        <w:t>ذك</w:t>
      </w:r>
      <w:r w:rsidRPr="00AA537D">
        <w:rPr>
          <w:spacing w:val="0"/>
          <w:kern w:val="0"/>
          <w:rtl/>
          <w:lang w:val="en-CA"/>
        </w:rPr>
        <w:t xml:space="preserve">ر المحامي الذي ساعد صاحب الشكوى في مركز الشرطة في 26 </w:t>
      </w:r>
      <w:r w:rsidRPr="00AA537D">
        <w:rPr>
          <w:rFonts w:hint="cs"/>
          <w:spacing w:val="0"/>
          <w:kern w:val="0"/>
          <w:rtl/>
          <w:lang w:val="en-CA"/>
        </w:rPr>
        <w:t>و27 تشرين الأول/</w:t>
      </w:r>
      <w:r w:rsidRPr="00AA537D">
        <w:rPr>
          <w:spacing w:val="0"/>
          <w:kern w:val="0"/>
          <w:rtl/>
          <w:lang w:val="en-CA"/>
        </w:rPr>
        <w:t xml:space="preserve">أكتوبر في ثلاث </w:t>
      </w:r>
      <w:r w:rsidRPr="00AA537D">
        <w:rPr>
          <w:rFonts w:hint="cs"/>
          <w:spacing w:val="0"/>
          <w:kern w:val="0"/>
          <w:rtl/>
          <w:lang w:val="en-CA"/>
        </w:rPr>
        <w:t xml:space="preserve">إفادات </w:t>
      </w:r>
      <w:r w:rsidRPr="00AA537D">
        <w:rPr>
          <w:spacing w:val="0"/>
          <w:kern w:val="0"/>
          <w:rtl/>
          <w:lang w:val="en-CA"/>
        </w:rPr>
        <w:t xml:space="preserve">أنه لم يشهد أي مخالفات، </w:t>
      </w:r>
      <w:r w:rsidRPr="00AA537D">
        <w:rPr>
          <w:rFonts w:hint="cs"/>
          <w:spacing w:val="0"/>
          <w:kern w:val="0"/>
          <w:rtl/>
          <w:lang w:val="en-CA"/>
        </w:rPr>
        <w:t>وإلا</w:t>
      </w:r>
      <w:r w:rsidRPr="00AA537D">
        <w:rPr>
          <w:spacing w:val="0"/>
          <w:kern w:val="0"/>
          <w:rtl/>
          <w:lang w:val="en-CA"/>
        </w:rPr>
        <w:t xml:space="preserve"> لكان قد </w:t>
      </w:r>
      <w:r w:rsidRPr="00AA537D">
        <w:rPr>
          <w:rFonts w:hint="cs"/>
          <w:spacing w:val="0"/>
          <w:kern w:val="0"/>
          <w:rtl/>
          <w:lang w:val="en-CA"/>
        </w:rPr>
        <w:t>أبلغ عنها؛</w:t>
      </w:r>
      <w:r w:rsidRPr="00AA537D">
        <w:rPr>
          <w:spacing w:val="0"/>
          <w:kern w:val="0"/>
          <w:rtl/>
          <w:lang w:val="en-CA"/>
        </w:rPr>
        <w:t xml:space="preserve"> و</w:t>
      </w:r>
      <w:r w:rsidRPr="00AA537D">
        <w:rPr>
          <w:rFonts w:hint="cs"/>
          <w:spacing w:val="0"/>
          <w:kern w:val="0"/>
          <w:rtl/>
          <w:lang w:val="en-CA"/>
        </w:rPr>
        <w:t>أن</w:t>
      </w:r>
      <w:r w:rsidRPr="00AA537D">
        <w:rPr>
          <w:spacing w:val="0"/>
          <w:kern w:val="0"/>
          <w:rtl/>
          <w:lang w:val="en-CA"/>
        </w:rPr>
        <w:t xml:space="preserve"> صاحب الشكوى رد بحرية وتلقائية على الأسئلة؛ </w:t>
      </w:r>
      <w:r w:rsidRPr="00AA537D">
        <w:rPr>
          <w:rFonts w:hint="cs"/>
          <w:spacing w:val="0"/>
          <w:kern w:val="0"/>
          <w:rtl/>
          <w:lang w:val="en-CA"/>
        </w:rPr>
        <w:t>و</w:t>
      </w:r>
      <w:r w:rsidRPr="00AA537D">
        <w:rPr>
          <w:spacing w:val="0"/>
          <w:kern w:val="0"/>
          <w:rtl/>
          <w:lang w:val="en-CA"/>
        </w:rPr>
        <w:t>أن</w:t>
      </w:r>
      <w:r w:rsidRPr="00AA537D">
        <w:rPr>
          <w:rFonts w:hint="cs"/>
          <w:spacing w:val="0"/>
          <w:kern w:val="0"/>
          <w:rtl/>
          <w:lang w:val="en-CA"/>
        </w:rPr>
        <w:t>ه</w:t>
      </w:r>
      <w:r w:rsidRPr="00AA537D">
        <w:rPr>
          <w:spacing w:val="0"/>
          <w:kern w:val="0"/>
          <w:rtl/>
          <w:lang w:val="en-CA"/>
        </w:rPr>
        <w:t xml:space="preserve"> قدم ردودا</w:t>
      </w:r>
      <w:r w:rsidRPr="00AA537D">
        <w:rPr>
          <w:rFonts w:hint="cs"/>
          <w:spacing w:val="0"/>
          <w:kern w:val="0"/>
          <w:rtl/>
          <w:lang w:val="en-CA"/>
        </w:rPr>
        <w:t>ً</w:t>
      </w:r>
      <w:r w:rsidRPr="00AA537D">
        <w:rPr>
          <w:spacing w:val="0"/>
          <w:kern w:val="0"/>
          <w:rtl/>
          <w:lang w:val="en-CA"/>
        </w:rPr>
        <w:t xml:space="preserve"> مفصلة في </w:t>
      </w:r>
      <w:r w:rsidRPr="00AA537D">
        <w:rPr>
          <w:rFonts w:hint="cs"/>
          <w:spacing w:val="0"/>
          <w:kern w:val="0"/>
          <w:rtl/>
          <w:lang w:val="en-CA"/>
        </w:rPr>
        <w:t xml:space="preserve">إفادته الثالثة بشأن المعلومات </w:t>
      </w:r>
      <w:r w:rsidRPr="00AA537D">
        <w:rPr>
          <w:spacing w:val="0"/>
          <w:kern w:val="0"/>
          <w:rtl/>
          <w:lang w:val="en-CA"/>
        </w:rPr>
        <w:t xml:space="preserve">التي تم جمعها حول </w:t>
      </w:r>
      <w:r w:rsidRPr="00AA537D">
        <w:rPr>
          <w:rFonts w:hint="cs"/>
          <w:spacing w:val="0"/>
          <w:kern w:val="0"/>
          <w:rtl/>
          <w:lang w:val="en-CA"/>
        </w:rPr>
        <w:t>ال</w:t>
      </w:r>
      <w:r w:rsidRPr="00AA537D">
        <w:rPr>
          <w:spacing w:val="0"/>
          <w:kern w:val="0"/>
          <w:rtl/>
          <w:lang w:val="en-CA"/>
        </w:rPr>
        <w:t xml:space="preserve">تحركات </w:t>
      </w:r>
      <w:r w:rsidRPr="00AA537D">
        <w:rPr>
          <w:rFonts w:hint="cs"/>
          <w:spacing w:val="0"/>
          <w:kern w:val="0"/>
          <w:rtl/>
          <w:lang w:val="en-CA"/>
        </w:rPr>
        <w:t>ال</w:t>
      </w:r>
      <w:r w:rsidRPr="00AA537D">
        <w:rPr>
          <w:spacing w:val="0"/>
          <w:kern w:val="0"/>
          <w:rtl/>
          <w:lang w:val="en-CA"/>
        </w:rPr>
        <w:t>روتينية للقاضي</w:t>
      </w:r>
      <w:r w:rsidRPr="00AA537D">
        <w:rPr>
          <w:rFonts w:hint="cs"/>
          <w:spacing w:val="0"/>
          <w:kern w:val="0"/>
          <w:rtl/>
          <w:lang w:val="en-CA"/>
        </w:rPr>
        <w:t xml:space="preserve"> ليدون كوربي؛</w:t>
      </w:r>
      <w:r w:rsidRPr="00AA537D">
        <w:rPr>
          <w:spacing w:val="0"/>
          <w:kern w:val="0"/>
          <w:rtl/>
          <w:lang w:val="en-CA"/>
        </w:rPr>
        <w:t xml:space="preserve"> وأخيرا</w:t>
      </w:r>
      <w:r w:rsidRPr="00AA537D">
        <w:rPr>
          <w:rFonts w:hint="cs"/>
          <w:spacing w:val="0"/>
          <w:kern w:val="0"/>
          <w:rtl/>
          <w:lang w:val="en-CA"/>
        </w:rPr>
        <w:t>ً</w:t>
      </w:r>
      <w:r w:rsidRPr="00AA537D">
        <w:rPr>
          <w:spacing w:val="0"/>
          <w:kern w:val="0"/>
          <w:rtl/>
          <w:lang w:val="en-CA"/>
        </w:rPr>
        <w:t>، أن كل</w:t>
      </w:r>
      <w:r w:rsidRPr="00AA537D">
        <w:rPr>
          <w:rFonts w:hint="cs"/>
          <w:spacing w:val="0"/>
          <w:kern w:val="0"/>
          <w:rtl/>
          <w:lang w:val="en-CA"/>
        </w:rPr>
        <w:t xml:space="preserve">اً منهما </w:t>
      </w:r>
      <w:r w:rsidRPr="00AA537D">
        <w:rPr>
          <w:spacing w:val="0"/>
          <w:kern w:val="0"/>
          <w:rtl/>
          <w:lang w:val="en-CA"/>
        </w:rPr>
        <w:t xml:space="preserve">قرأ </w:t>
      </w:r>
      <w:r w:rsidRPr="00AA537D">
        <w:rPr>
          <w:rFonts w:hint="cs"/>
          <w:spacing w:val="0"/>
          <w:kern w:val="0"/>
          <w:rtl/>
          <w:lang w:val="en-CA"/>
        </w:rPr>
        <w:t>الأقوال ووق</w:t>
      </w:r>
      <w:r w:rsidR="001A08AE">
        <w:rPr>
          <w:rFonts w:hint="cs"/>
          <w:spacing w:val="0"/>
          <w:kern w:val="0"/>
          <w:rtl/>
          <w:lang w:val="en-CA"/>
        </w:rPr>
        <w:t>ّ</w:t>
      </w:r>
      <w:r w:rsidRPr="00AA537D">
        <w:rPr>
          <w:rFonts w:hint="cs"/>
          <w:spacing w:val="0"/>
          <w:kern w:val="0"/>
          <w:rtl/>
          <w:lang w:val="en-CA"/>
        </w:rPr>
        <w:t>عا عليها</w:t>
      </w:r>
      <w:r w:rsidRPr="00AA537D">
        <w:rPr>
          <w:spacing w:val="0"/>
          <w:kern w:val="0"/>
          <w:rtl/>
          <w:lang w:val="en-CA"/>
        </w:rPr>
        <w:t>. وأشار التقرير الطبي المؤرخ 25 تشرين الأول</w:t>
      </w:r>
      <w:r w:rsidRPr="00AA537D">
        <w:rPr>
          <w:rFonts w:hint="cs"/>
          <w:spacing w:val="0"/>
          <w:kern w:val="0"/>
          <w:rtl/>
          <w:lang w:val="en-CA"/>
        </w:rPr>
        <w:t>/أكتوبر</w:t>
      </w:r>
      <w:r w:rsidRPr="00AA537D">
        <w:rPr>
          <w:spacing w:val="0"/>
          <w:kern w:val="0"/>
          <w:rtl/>
          <w:lang w:val="en-CA"/>
        </w:rPr>
        <w:t xml:space="preserve"> 2002 إلى ادعاء صاحب الشكوى </w:t>
      </w:r>
      <w:r w:rsidRPr="00AA537D">
        <w:rPr>
          <w:rFonts w:hint="cs"/>
          <w:spacing w:val="0"/>
          <w:kern w:val="0"/>
          <w:rtl/>
          <w:lang w:val="en-CA"/>
        </w:rPr>
        <w:t>الذي يفيد ب</w:t>
      </w:r>
      <w:r w:rsidRPr="00AA537D">
        <w:rPr>
          <w:spacing w:val="0"/>
          <w:kern w:val="0"/>
          <w:rtl/>
          <w:lang w:val="en-CA"/>
        </w:rPr>
        <w:t xml:space="preserve">أنه في وقت </w:t>
      </w:r>
      <w:r w:rsidRPr="00AA537D">
        <w:rPr>
          <w:rFonts w:hint="cs"/>
          <w:spacing w:val="0"/>
          <w:kern w:val="0"/>
          <w:rtl/>
          <w:lang w:val="en-CA"/>
        </w:rPr>
        <w:t>إلقاء القبض عليه</w:t>
      </w:r>
      <w:r w:rsidRPr="00AA537D">
        <w:rPr>
          <w:spacing w:val="0"/>
          <w:kern w:val="0"/>
          <w:rtl/>
          <w:lang w:val="en-CA"/>
        </w:rPr>
        <w:t>، ألقي به على الأرض و</w:t>
      </w:r>
      <w:r w:rsidRPr="00AA537D">
        <w:rPr>
          <w:rFonts w:hint="cs"/>
          <w:spacing w:val="0"/>
          <w:kern w:val="0"/>
          <w:rtl/>
          <w:lang w:val="en-CA"/>
        </w:rPr>
        <w:t>تعرض ل</w:t>
      </w:r>
      <w:r w:rsidRPr="00AA537D">
        <w:rPr>
          <w:spacing w:val="0"/>
          <w:kern w:val="0"/>
          <w:rtl/>
          <w:lang w:val="en-CA"/>
        </w:rPr>
        <w:t xml:space="preserve">لركل </w:t>
      </w:r>
      <w:r w:rsidRPr="00AA537D">
        <w:rPr>
          <w:rFonts w:hint="cs"/>
          <w:spacing w:val="0"/>
          <w:kern w:val="0"/>
          <w:rtl/>
          <w:lang w:val="en-CA"/>
        </w:rPr>
        <w:t>في</w:t>
      </w:r>
      <w:r w:rsidRPr="00AA537D">
        <w:rPr>
          <w:spacing w:val="0"/>
          <w:kern w:val="0"/>
          <w:rtl/>
          <w:lang w:val="en-CA"/>
        </w:rPr>
        <w:t xml:space="preserve"> </w:t>
      </w:r>
      <w:r w:rsidRPr="00AA537D">
        <w:rPr>
          <w:rFonts w:hint="cs"/>
          <w:spacing w:val="0"/>
          <w:kern w:val="0"/>
          <w:rtl/>
          <w:lang w:val="en-CA"/>
        </w:rPr>
        <w:t>ال</w:t>
      </w:r>
      <w:r w:rsidRPr="00AA537D">
        <w:rPr>
          <w:spacing w:val="0"/>
          <w:kern w:val="0"/>
          <w:rtl/>
          <w:lang w:val="en-CA"/>
        </w:rPr>
        <w:t>رأس عدة مرات</w:t>
      </w:r>
      <w:r w:rsidRPr="00AA537D">
        <w:rPr>
          <w:rFonts w:hint="cs"/>
          <w:spacing w:val="0"/>
          <w:kern w:val="0"/>
          <w:rtl/>
          <w:lang w:val="en-CA"/>
        </w:rPr>
        <w:t xml:space="preserve"> وظل في أوضاع </w:t>
      </w:r>
      <w:r w:rsidRPr="00AA537D">
        <w:rPr>
          <w:spacing w:val="0"/>
          <w:kern w:val="0"/>
          <w:rtl/>
          <w:lang w:val="en-CA"/>
        </w:rPr>
        <w:t xml:space="preserve">غير مريحة جعلته يشعر بالغثيان. </w:t>
      </w:r>
      <w:r w:rsidRPr="00AA537D">
        <w:rPr>
          <w:rFonts w:hint="cs"/>
          <w:spacing w:val="0"/>
          <w:kern w:val="0"/>
          <w:rtl/>
          <w:lang w:val="en-CA"/>
        </w:rPr>
        <w:t xml:space="preserve">غير أنه </w:t>
      </w:r>
      <w:r w:rsidRPr="00AA537D">
        <w:rPr>
          <w:spacing w:val="0"/>
          <w:kern w:val="0"/>
          <w:rtl/>
          <w:lang w:val="en-CA"/>
        </w:rPr>
        <w:t xml:space="preserve">وفقاً لهذا التقرير، لم </w:t>
      </w:r>
      <w:r w:rsidRPr="00AA537D">
        <w:rPr>
          <w:rFonts w:hint="cs"/>
          <w:spacing w:val="0"/>
          <w:kern w:val="0"/>
          <w:rtl/>
          <w:lang w:val="en-CA"/>
        </w:rPr>
        <w:t>يُعثر</w:t>
      </w:r>
      <w:r w:rsidRPr="00AA537D">
        <w:rPr>
          <w:spacing w:val="0"/>
          <w:kern w:val="0"/>
          <w:rtl/>
          <w:lang w:val="en-CA"/>
        </w:rPr>
        <w:t xml:space="preserve"> على أي علامات </w:t>
      </w:r>
      <w:r w:rsidRPr="00AA537D">
        <w:rPr>
          <w:rFonts w:hint="cs"/>
          <w:spacing w:val="0"/>
          <w:kern w:val="0"/>
          <w:rtl/>
          <w:lang w:val="en-CA"/>
        </w:rPr>
        <w:t>تبيّت تعرضه</w:t>
      </w:r>
      <w:r w:rsidRPr="00AA537D">
        <w:rPr>
          <w:spacing w:val="0"/>
          <w:kern w:val="0"/>
          <w:rtl/>
          <w:lang w:val="en-CA"/>
        </w:rPr>
        <w:t xml:space="preserve"> </w:t>
      </w:r>
      <w:r w:rsidR="001A08AE">
        <w:rPr>
          <w:rFonts w:hint="cs"/>
          <w:spacing w:val="0"/>
          <w:kern w:val="0"/>
          <w:rtl/>
          <w:lang w:val="en-CA"/>
        </w:rPr>
        <w:t>ل</w:t>
      </w:r>
      <w:r w:rsidRPr="00AA537D">
        <w:rPr>
          <w:spacing w:val="0"/>
          <w:kern w:val="0"/>
          <w:rtl/>
          <w:lang w:val="en-CA"/>
        </w:rPr>
        <w:t xml:space="preserve">ركلات </w:t>
      </w:r>
      <w:r w:rsidRPr="00AA537D">
        <w:rPr>
          <w:rFonts w:hint="cs"/>
          <w:spacing w:val="0"/>
          <w:kern w:val="0"/>
          <w:rtl/>
          <w:lang w:val="en-CA"/>
        </w:rPr>
        <w:t>في</w:t>
      </w:r>
      <w:r w:rsidRPr="00AA537D">
        <w:rPr>
          <w:spacing w:val="0"/>
          <w:kern w:val="0"/>
          <w:rtl/>
          <w:lang w:val="en-CA"/>
        </w:rPr>
        <w:t xml:space="preserve"> الجزء الخلفي من الرقبة أو أي ضربات أخرى في الجسم. ولم </w:t>
      </w:r>
      <w:r w:rsidRPr="00AA537D">
        <w:rPr>
          <w:rFonts w:hint="cs"/>
          <w:spacing w:val="0"/>
          <w:kern w:val="0"/>
          <w:rtl/>
          <w:lang w:val="en-CA"/>
        </w:rPr>
        <w:t xml:space="preserve">يكشف </w:t>
      </w:r>
      <w:r w:rsidRPr="00AA537D">
        <w:rPr>
          <w:spacing w:val="0"/>
          <w:kern w:val="0"/>
          <w:rtl/>
          <w:lang w:val="en-CA"/>
        </w:rPr>
        <w:t xml:space="preserve">تقرير الطب الشرعي </w:t>
      </w:r>
      <w:r w:rsidRPr="00AA537D">
        <w:rPr>
          <w:rFonts w:hint="cs"/>
          <w:spacing w:val="0"/>
          <w:kern w:val="0"/>
          <w:rtl/>
          <w:lang w:val="en-CA"/>
        </w:rPr>
        <w:t>المؤرخ</w:t>
      </w:r>
      <w:r w:rsidRPr="00AA537D">
        <w:rPr>
          <w:spacing w:val="0"/>
          <w:kern w:val="0"/>
          <w:rtl/>
          <w:lang w:val="en-CA"/>
        </w:rPr>
        <w:t xml:space="preserve"> 26 تشرين الأول</w:t>
      </w:r>
      <w:r w:rsidRPr="00AA537D">
        <w:rPr>
          <w:rFonts w:hint="cs"/>
          <w:spacing w:val="0"/>
          <w:kern w:val="0"/>
          <w:rtl/>
          <w:lang w:val="en-CA"/>
        </w:rPr>
        <w:t>/أكتوبر</w:t>
      </w:r>
      <w:r w:rsidRPr="00AA537D">
        <w:rPr>
          <w:spacing w:val="0"/>
          <w:kern w:val="0"/>
          <w:rtl/>
          <w:lang w:val="en-CA"/>
        </w:rPr>
        <w:t xml:space="preserve"> عن أي أعراض </w:t>
      </w:r>
      <w:r w:rsidRPr="00AA537D">
        <w:rPr>
          <w:rFonts w:hint="cs"/>
          <w:spacing w:val="0"/>
          <w:kern w:val="0"/>
          <w:rtl/>
          <w:lang w:val="en-CA"/>
        </w:rPr>
        <w:t>تشير إلى تعرضه ل</w:t>
      </w:r>
      <w:r w:rsidRPr="00AA537D">
        <w:rPr>
          <w:spacing w:val="0"/>
          <w:kern w:val="0"/>
          <w:rtl/>
          <w:lang w:val="en-CA"/>
        </w:rPr>
        <w:t xml:space="preserve">سوء المعاملة أو </w:t>
      </w:r>
      <w:r w:rsidRPr="00AA537D">
        <w:rPr>
          <w:rFonts w:hint="cs"/>
          <w:spacing w:val="0"/>
          <w:kern w:val="0"/>
          <w:rtl/>
          <w:lang w:val="en-CA"/>
        </w:rPr>
        <w:t>لإ</w:t>
      </w:r>
      <w:r w:rsidRPr="00AA537D">
        <w:rPr>
          <w:spacing w:val="0"/>
          <w:kern w:val="0"/>
          <w:rtl/>
          <w:lang w:val="en-CA"/>
        </w:rPr>
        <w:t xml:space="preserve">صابات. </w:t>
      </w:r>
      <w:r w:rsidRPr="00AA537D">
        <w:rPr>
          <w:rFonts w:hint="cs"/>
          <w:spacing w:val="0"/>
          <w:kern w:val="0"/>
          <w:rtl/>
          <w:lang w:val="en-CA"/>
        </w:rPr>
        <w:t>و</w:t>
      </w:r>
      <w:r w:rsidRPr="00AA537D">
        <w:rPr>
          <w:spacing w:val="0"/>
          <w:kern w:val="0"/>
          <w:rtl/>
          <w:lang w:val="en-CA"/>
        </w:rPr>
        <w:t xml:space="preserve">في الواقع، </w:t>
      </w:r>
      <w:r w:rsidRPr="00AA537D">
        <w:rPr>
          <w:rFonts w:hint="cs"/>
          <w:spacing w:val="0"/>
          <w:kern w:val="0"/>
          <w:rtl/>
          <w:lang w:val="en-CA"/>
        </w:rPr>
        <w:t xml:space="preserve">فقد </w:t>
      </w:r>
      <w:r w:rsidRPr="00AA537D">
        <w:rPr>
          <w:spacing w:val="0"/>
          <w:kern w:val="0"/>
          <w:rtl/>
          <w:lang w:val="en-CA"/>
        </w:rPr>
        <w:t xml:space="preserve">رفض </w:t>
      </w:r>
      <w:r w:rsidRPr="00AA537D">
        <w:rPr>
          <w:rFonts w:hint="cs"/>
          <w:spacing w:val="0"/>
          <w:kern w:val="0"/>
          <w:rtl/>
          <w:lang w:val="en-CA"/>
        </w:rPr>
        <w:t xml:space="preserve">صاحب </w:t>
      </w:r>
      <w:r w:rsidRPr="00AA537D">
        <w:rPr>
          <w:spacing w:val="0"/>
          <w:kern w:val="0"/>
          <w:rtl/>
          <w:lang w:val="en-CA"/>
        </w:rPr>
        <w:t xml:space="preserve">الشكوى خلع ملابسه للفحص، </w:t>
      </w:r>
      <w:r w:rsidRPr="00AA537D">
        <w:rPr>
          <w:rFonts w:hint="cs"/>
          <w:spacing w:val="0"/>
          <w:kern w:val="0"/>
          <w:rtl/>
          <w:lang w:val="en-CA"/>
        </w:rPr>
        <w:t xml:space="preserve">وبدا هادئاً صافي الذهن </w:t>
      </w:r>
      <w:r w:rsidRPr="00AA537D">
        <w:rPr>
          <w:spacing w:val="0"/>
          <w:kern w:val="0"/>
          <w:rtl/>
          <w:lang w:val="en-CA"/>
        </w:rPr>
        <w:t>وقال إن</w:t>
      </w:r>
      <w:r w:rsidRPr="00AA537D">
        <w:rPr>
          <w:rFonts w:hint="cs"/>
          <w:spacing w:val="0"/>
          <w:kern w:val="0"/>
          <w:rtl/>
          <w:lang w:val="en-CA"/>
        </w:rPr>
        <w:t>ه لا يعاني من أي شيء، وذلك أثناء</w:t>
      </w:r>
      <w:r w:rsidRPr="00AA537D">
        <w:rPr>
          <w:spacing w:val="0"/>
          <w:kern w:val="0"/>
          <w:rtl/>
          <w:lang w:val="en-CA"/>
        </w:rPr>
        <w:t xml:space="preserve"> فحص </w:t>
      </w:r>
      <w:r w:rsidRPr="00AA537D">
        <w:rPr>
          <w:rFonts w:hint="cs"/>
          <w:spacing w:val="0"/>
          <w:kern w:val="0"/>
          <w:rtl/>
          <w:lang w:val="en-CA"/>
        </w:rPr>
        <w:t>أجراه</w:t>
      </w:r>
      <w:r w:rsidRPr="00AA537D">
        <w:rPr>
          <w:spacing w:val="0"/>
          <w:kern w:val="0"/>
          <w:rtl/>
          <w:lang w:val="en-CA"/>
        </w:rPr>
        <w:t xml:space="preserve"> الطبيب الشرعي </w:t>
      </w:r>
      <w:r w:rsidRPr="00AA537D">
        <w:rPr>
          <w:rFonts w:hint="cs"/>
          <w:spacing w:val="0"/>
          <w:kern w:val="0"/>
          <w:rtl/>
          <w:lang w:val="en-CA"/>
        </w:rPr>
        <w:t>لدائرة التحقيق المركزية الأولى التابعة ل</w:t>
      </w:r>
      <w:r w:rsidRPr="00AA537D">
        <w:rPr>
          <w:spacing w:val="0"/>
          <w:kern w:val="0"/>
          <w:rtl/>
          <w:lang w:val="en-CA"/>
        </w:rPr>
        <w:t>لمحكمة العليا الوطنية في 28 تشرين الأول</w:t>
      </w:r>
      <w:r w:rsidRPr="00AA537D">
        <w:rPr>
          <w:rFonts w:hint="cs"/>
          <w:spacing w:val="0"/>
          <w:kern w:val="0"/>
          <w:rtl/>
          <w:lang w:val="en-CA"/>
        </w:rPr>
        <w:t>/ أكتوبر </w:t>
      </w:r>
      <w:r w:rsidRPr="00AA537D">
        <w:rPr>
          <w:spacing w:val="0"/>
          <w:kern w:val="0"/>
          <w:rtl/>
          <w:lang w:val="en-CA"/>
        </w:rPr>
        <w:t>2002 بعد إطلاق سراحه من الاحتجاز لدى الشرطة. و</w:t>
      </w:r>
      <w:r w:rsidRPr="00AA537D">
        <w:rPr>
          <w:rFonts w:hint="cs"/>
          <w:spacing w:val="0"/>
          <w:kern w:val="0"/>
          <w:rtl/>
          <w:lang w:val="en-CA"/>
        </w:rPr>
        <w:t xml:space="preserve">قد </w:t>
      </w:r>
      <w:r w:rsidRPr="00AA537D">
        <w:rPr>
          <w:spacing w:val="0"/>
          <w:kern w:val="0"/>
          <w:rtl/>
          <w:lang w:val="en-CA"/>
        </w:rPr>
        <w:t xml:space="preserve">شارك محامي صاحب الشكوى </w:t>
      </w:r>
      <w:r w:rsidRPr="00AA537D">
        <w:rPr>
          <w:rFonts w:hint="cs"/>
          <w:spacing w:val="0"/>
          <w:kern w:val="0"/>
          <w:rtl/>
          <w:lang w:val="en-CA"/>
        </w:rPr>
        <w:t xml:space="preserve">مشاركة كاملة طوال الإجراءات </w:t>
      </w:r>
      <w:r w:rsidRPr="00AA537D">
        <w:rPr>
          <w:spacing w:val="0"/>
          <w:kern w:val="0"/>
          <w:rtl/>
          <w:lang w:val="en-CA"/>
        </w:rPr>
        <w:t>في المحكمة العليا الوطنية.</w:t>
      </w:r>
    </w:p>
    <w:p w:rsidR="00FA6676" w:rsidRPr="00AA537D" w:rsidRDefault="00FA6676" w:rsidP="00E86FDB">
      <w:pPr>
        <w:pStyle w:val="SingleTxtGA"/>
        <w:jc w:val="lowKashida"/>
        <w:rPr>
          <w:rFonts w:hint="cs"/>
          <w:spacing w:val="0"/>
          <w:kern w:val="0"/>
          <w:rtl/>
          <w:lang w:val="en-CA"/>
        </w:rPr>
      </w:pPr>
      <w:r w:rsidRPr="00E86FDB">
        <w:rPr>
          <w:rFonts w:hint="cs"/>
          <w:spacing w:val="-4"/>
          <w:kern w:val="0"/>
          <w:rtl/>
          <w:lang w:val="en-CA"/>
        </w:rPr>
        <w:t>4-6</w:t>
      </w:r>
      <w:r w:rsidRPr="00E86FDB">
        <w:rPr>
          <w:rFonts w:hint="cs"/>
          <w:spacing w:val="-4"/>
          <w:kern w:val="0"/>
          <w:rtl/>
          <w:lang w:val="en-CA"/>
        </w:rPr>
        <w:tab/>
        <w:t>والرأيان</w:t>
      </w:r>
      <w:r w:rsidRPr="00E86FDB">
        <w:rPr>
          <w:spacing w:val="-4"/>
          <w:kern w:val="0"/>
          <w:rtl/>
          <w:lang w:val="en-CA"/>
        </w:rPr>
        <w:t xml:space="preserve"> المخالف</w:t>
      </w:r>
      <w:r w:rsidRPr="00E86FDB">
        <w:rPr>
          <w:rFonts w:hint="cs"/>
          <w:spacing w:val="-4"/>
          <w:kern w:val="0"/>
          <w:rtl/>
          <w:lang w:val="en-CA"/>
        </w:rPr>
        <w:t>ان</w:t>
      </w:r>
      <w:r w:rsidRPr="00E86FDB">
        <w:rPr>
          <w:spacing w:val="-4"/>
          <w:kern w:val="0"/>
          <w:rtl/>
          <w:lang w:val="en-CA"/>
        </w:rPr>
        <w:t xml:space="preserve"> فيما يتعلق </w:t>
      </w:r>
      <w:r w:rsidRPr="00E86FDB">
        <w:rPr>
          <w:rFonts w:hint="cs"/>
          <w:spacing w:val="-4"/>
          <w:kern w:val="0"/>
          <w:rtl/>
          <w:lang w:val="en-CA"/>
        </w:rPr>
        <w:t>ب</w:t>
      </w:r>
      <w:r w:rsidRPr="00E86FDB">
        <w:rPr>
          <w:spacing w:val="-4"/>
          <w:kern w:val="0"/>
          <w:rtl/>
          <w:lang w:val="en-CA"/>
        </w:rPr>
        <w:t>قرار المحكمة العليا المؤرخ 4 كانون الأول</w:t>
      </w:r>
      <w:r w:rsidRPr="00E86FDB">
        <w:rPr>
          <w:rFonts w:hint="cs"/>
          <w:spacing w:val="-4"/>
          <w:kern w:val="0"/>
          <w:rtl/>
          <w:lang w:val="en-CA"/>
        </w:rPr>
        <w:t>/ديسمبر</w:t>
      </w:r>
      <w:r w:rsidRPr="00E86FDB">
        <w:rPr>
          <w:spacing w:val="-4"/>
          <w:kern w:val="0"/>
          <w:rtl/>
          <w:lang w:val="en-CA"/>
        </w:rPr>
        <w:t xml:space="preserve"> 2006 </w:t>
      </w:r>
      <w:r w:rsidRPr="00E86FDB">
        <w:rPr>
          <w:rFonts w:hint="cs"/>
          <w:spacing w:val="-4"/>
          <w:kern w:val="0"/>
          <w:rtl/>
          <w:lang w:val="en-CA"/>
        </w:rPr>
        <w:t>بشأن</w:t>
      </w:r>
      <w:r w:rsidRPr="00E86FDB">
        <w:rPr>
          <w:spacing w:val="-4"/>
          <w:kern w:val="0"/>
          <w:rtl/>
          <w:lang w:val="en-CA"/>
        </w:rPr>
        <w:t xml:space="preserve"> طلب صاحب الشكوى </w:t>
      </w:r>
      <w:r w:rsidRPr="00E86FDB">
        <w:rPr>
          <w:rFonts w:hint="cs"/>
          <w:spacing w:val="-4"/>
          <w:kern w:val="0"/>
          <w:rtl/>
          <w:lang w:val="en-CA"/>
        </w:rPr>
        <w:t>المتعلق ب</w:t>
      </w:r>
      <w:r w:rsidRPr="00E86FDB">
        <w:rPr>
          <w:spacing w:val="-4"/>
          <w:kern w:val="0"/>
          <w:rtl/>
          <w:lang w:val="en-CA"/>
        </w:rPr>
        <w:t xml:space="preserve">النقض لا </w:t>
      </w:r>
      <w:r w:rsidRPr="00E86FDB">
        <w:rPr>
          <w:rFonts w:hint="cs"/>
          <w:spacing w:val="-4"/>
          <w:kern w:val="0"/>
          <w:rtl/>
          <w:lang w:val="en-CA"/>
        </w:rPr>
        <w:t xml:space="preserve">يثبتان أن أقوال </w:t>
      </w:r>
      <w:r w:rsidRPr="00E86FDB">
        <w:rPr>
          <w:spacing w:val="-4"/>
          <w:kern w:val="0"/>
          <w:rtl/>
          <w:lang w:val="en-CA"/>
        </w:rPr>
        <w:t>صاحب الشكوى</w:t>
      </w:r>
      <w:r w:rsidRPr="00AA537D">
        <w:rPr>
          <w:spacing w:val="0"/>
          <w:kern w:val="0"/>
          <w:rtl/>
          <w:lang w:val="en-CA"/>
        </w:rPr>
        <w:t xml:space="preserve"> </w:t>
      </w:r>
      <w:r w:rsidRPr="00AA537D">
        <w:rPr>
          <w:rFonts w:hint="cs"/>
          <w:spacing w:val="0"/>
          <w:kern w:val="0"/>
          <w:rtl/>
          <w:lang w:val="en-CA"/>
        </w:rPr>
        <w:t xml:space="preserve">انتزعت </w:t>
      </w:r>
      <w:r w:rsidRPr="00AA537D">
        <w:rPr>
          <w:spacing w:val="0"/>
          <w:kern w:val="0"/>
          <w:rtl/>
          <w:lang w:val="en-CA"/>
        </w:rPr>
        <w:t>تحت</w:t>
      </w:r>
      <w:r w:rsidR="00E86FDB">
        <w:rPr>
          <w:rFonts w:hint="cs"/>
          <w:spacing w:val="0"/>
          <w:kern w:val="0"/>
          <w:rtl/>
          <w:lang w:val="en-CA"/>
        </w:rPr>
        <w:t> </w:t>
      </w:r>
      <w:r w:rsidRPr="00AA537D">
        <w:rPr>
          <w:spacing w:val="0"/>
          <w:kern w:val="0"/>
          <w:rtl/>
          <w:lang w:val="en-CA"/>
        </w:rPr>
        <w:t xml:space="preserve">التعذيب. </w:t>
      </w:r>
      <w:r w:rsidRPr="00AA537D">
        <w:rPr>
          <w:rFonts w:hint="cs"/>
          <w:spacing w:val="0"/>
          <w:kern w:val="0"/>
          <w:rtl/>
          <w:lang w:val="en-CA"/>
        </w:rPr>
        <w:t>و</w:t>
      </w:r>
      <w:r w:rsidRPr="00AA537D">
        <w:rPr>
          <w:spacing w:val="0"/>
          <w:kern w:val="0"/>
          <w:rtl/>
          <w:lang w:val="en-CA"/>
        </w:rPr>
        <w:t>بدلا</w:t>
      </w:r>
      <w:r w:rsidRPr="00AA537D">
        <w:rPr>
          <w:rFonts w:hint="cs"/>
          <w:spacing w:val="0"/>
          <w:kern w:val="0"/>
          <w:rtl/>
          <w:lang w:val="en-CA"/>
        </w:rPr>
        <w:t>ً</w:t>
      </w:r>
      <w:r w:rsidRPr="00AA537D">
        <w:rPr>
          <w:spacing w:val="0"/>
          <w:kern w:val="0"/>
          <w:rtl/>
          <w:lang w:val="en-CA"/>
        </w:rPr>
        <w:t xml:space="preserve"> من ذلك، </w:t>
      </w:r>
      <w:r w:rsidRPr="00AA537D">
        <w:rPr>
          <w:rFonts w:hint="cs"/>
          <w:spacing w:val="0"/>
          <w:kern w:val="0"/>
          <w:rtl/>
          <w:lang w:val="en-CA"/>
        </w:rPr>
        <w:t xml:space="preserve">يناقش </w:t>
      </w:r>
      <w:r w:rsidRPr="00AA537D">
        <w:rPr>
          <w:spacing w:val="0"/>
          <w:kern w:val="0"/>
          <w:rtl/>
          <w:lang w:val="en-CA"/>
        </w:rPr>
        <w:t>الق</w:t>
      </w:r>
      <w:r w:rsidRPr="00AA537D">
        <w:rPr>
          <w:rFonts w:hint="cs"/>
          <w:spacing w:val="0"/>
          <w:kern w:val="0"/>
          <w:rtl/>
          <w:lang w:val="en-CA"/>
        </w:rPr>
        <w:t>اضيان في</w:t>
      </w:r>
      <w:r w:rsidRPr="00AA537D">
        <w:rPr>
          <w:spacing w:val="0"/>
          <w:kern w:val="0"/>
          <w:rtl/>
          <w:lang w:val="en-CA"/>
        </w:rPr>
        <w:t xml:space="preserve"> </w:t>
      </w:r>
      <w:r w:rsidRPr="00AA537D">
        <w:rPr>
          <w:rFonts w:hint="cs"/>
          <w:spacing w:val="0"/>
          <w:kern w:val="0"/>
          <w:rtl/>
          <w:lang w:val="en-CA"/>
        </w:rPr>
        <w:t xml:space="preserve">رأييهما ما إذا كان يمكن بصفة عامة اعتبار الأقوال التي يدلى بها في مراكز الشرطة وتقدم في وقت لاحق </w:t>
      </w:r>
      <w:r w:rsidRPr="00AA537D">
        <w:rPr>
          <w:spacing w:val="0"/>
          <w:kern w:val="0"/>
          <w:rtl/>
          <w:lang w:val="en-CA"/>
        </w:rPr>
        <w:t xml:space="preserve">في المحكمة </w:t>
      </w:r>
      <w:r w:rsidRPr="00AA537D">
        <w:rPr>
          <w:rFonts w:hint="cs"/>
          <w:spacing w:val="0"/>
          <w:kern w:val="0"/>
          <w:rtl/>
          <w:lang w:val="en-CA"/>
        </w:rPr>
        <w:t>د</w:t>
      </w:r>
      <w:r w:rsidRPr="00AA537D">
        <w:rPr>
          <w:spacing w:val="0"/>
          <w:kern w:val="0"/>
          <w:rtl/>
          <w:lang w:val="en-CA"/>
        </w:rPr>
        <w:t>ليل</w:t>
      </w:r>
      <w:r w:rsidRPr="00AA537D">
        <w:rPr>
          <w:rFonts w:hint="cs"/>
          <w:spacing w:val="0"/>
          <w:kern w:val="0"/>
          <w:rtl/>
          <w:lang w:val="en-CA"/>
        </w:rPr>
        <w:t>ا</w:t>
      </w:r>
      <w:r w:rsidR="00E86FDB">
        <w:rPr>
          <w:rFonts w:hint="cs"/>
          <w:spacing w:val="0"/>
          <w:kern w:val="0"/>
          <w:rtl/>
          <w:lang w:val="en-CA"/>
        </w:rPr>
        <w:t>ً</w:t>
      </w:r>
      <w:r w:rsidRPr="00AA537D">
        <w:rPr>
          <w:spacing w:val="0"/>
          <w:kern w:val="0"/>
          <w:rtl/>
          <w:lang w:val="en-CA"/>
        </w:rPr>
        <w:t xml:space="preserve"> قاطع</w:t>
      </w:r>
      <w:r w:rsidRPr="00AA537D">
        <w:rPr>
          <w:rFonts w:hint="cs"/>
          <w:spacing w:val="0"/>
          <w:kern w:val="0"/>
          <w:rtl/>
          <w:lang w:val="en-CA"/>
        </w:rPr>
        <w:t>ا</w:t>
      </w:r>
      <w:r w:rsidR="00E86FDB">
        <w:rPr>
          <w:rFonts w:hint="cs"/>
          <w:spacing w:val="0"/>
          <w:kern w:val="0"/>
          <w:rtl/>
          <w:lang w:val="en-CA"/>
        </w:rPr>
        <w:t>ً</w:t>
      </w:r>
      <w:r w:rsidRPr="00AA537D">
        <w:rPr>
          <w:spacing w:val="0"/>
          <w:kern w:val="0"/>
          <w:rtl/>
          <w:lang w:val="en-CA"/>
        </w:rPr>
        <w:t xml:space="preserve"> لإدانة المتهمين.</w:t>
      </w:r>
    </w:p>
    <w:p w:rsidR="00FA6676" w:rsidRPr="00AA537D" w:rsidRDefault="00FA6676" w:rsidP="001A08AE">
      <w:pPr>
        <w:pStyle w:val="SingleTxtGA"/>
        <w:jc w:val="lowKashida"/>
        <w:rPr>
          <w:rFonts w:hint="cs"/>
          <w:spacing w:val="0"/>
          <w:kern w:val="0"/>
          <w:rtl/>
          <w:lang w:val="en-CA"/>
        </w:rPr>
      </w:pPr>
      <w:r w:rsidRPr="00AA537D">
        <w:rPr>
          <w:rFonts w:hint="cs"/>
          <w:spacing w:val="0"/>
          <w:kern w:val="0"/>
          <w:rtl/>
          <w:lang w:val="en-CA"/>
        </w:rPr>
        <w:t>4-7</w:t>
      </w:r>
      <w:r w:rsidRPr="00AA537D">
        <w:rPr>
          <w:rFonts w:hint="cs"/>
          <w:spacing w:val="0"/>
          <w:kern w:val="0"/>
          <w:rtl/>
          <w:lang w:val="en-CA"/>
        </w:rPr>
        <w:tab/>
      </w:r>
      <w:r w:rsidRPr="00AA537D">
        <w:rPr>
          <w:spacing w:val="0"/>
          <w:kern w:val="0"/>
          <w:rtl/>
          <w:lang w:val="en-CA"/>
        </w:rPr>
        <w:t xml:space="preserve">وفيما يتعلق بالانتهاكات المزعومة للمادة 12، </w:t>
      </w:r>
      <w:r w:rsidRPr="00AA537D">
        <w:rPr>
          <w:rFonts w:hint="cs"/>
          <w:spacing w:val="0"/>
          <w:kern w:val="0"/>
          <w:rtl/>
          <w:lang w:val="en-CA"/>
        </w:rPr>
        <w:t xml:space="preserve">مقروءة بالاقتران مع </w:t>
      </w:r>
      <w:r w:rsidRPr="00AA537D">
        <w:rPr>
          <w:spacing w:val="0"/>
          <w:kern w:val="0"/>
          <w:rtl/>
          <w:lang w:val="en-CA"/>
        </w:rPr>
        <w:t xml:space="preserve">المادة 15 من الاتفاقية، </w:t>
      </w:r>
      <w:r w:rsidRPr="00AA537D">
        <w:rPr>
          <w:rFonts w:hint="cs"/>
          <w:spacing w:val="0"/>
          <w:kern w:val="0"/>
          <w:rtl/>
          <w:lang w:val="en-CA"/>
        </w:rPr>
        <w:t>أجرت</w:t>
      </w:r>
      <w:r w:rsidRPr="00AA537D">
        <w:rPr>
          <w:spacing w:val="0"/>
          <w:kern w:val="0"/>
          <w:rtl/>
          <w:lang w:val="en-CA"/>
        </w:rPr>
        <w:t xml:space="preserve"> المحاكم المحلية التحقيقات اللازمة و</w:t>
      </w:r>
      <w:r w:rsidRPr="00AA537D">
        <w:rPr>
          <w:rFonts w:hint="cs"/>
          <w:spacing w:val="0"/>
          <w:kern w:val="0"/>
          <w:rtl/>
          <w:lang w:val="en-CA"/>
        </w:rPr>
        <w:t>نظرت في</w:t>
      </w:r>
      <w:r w:rsidRPr="00AA537D">
        <w:rPr>
          <w:spacing w:val="0"/>
          <w:kern w:val="0"/>
          <w:rtl/>
          <w:lang w:val="en-CA"/>
        </w:rPr>
        <w:t xml:space="preserve"> التقارير </w:t>
      </w:r>
      <w:r w:rsidRPr="00AA537D">
        <w:rPr>
          <w:rFonts w:hint="cs"/>
          <w:spacing w:val="0"/>
          <w:kern w:val="0"/>
          <w:rtl/>
          <w:lang w:val="en-CA"/>
        </w:rPr>
        <w:t>الطبية منذ احتجاز المتهم</w:t>
      </w:r>
      <w:r w:rsidRPr="00AA537D">
        <w:rPr>
          <w:spacing w:val="0"/>
          <w:kern w:val="0"/>
          <w:rtl/>
          <w:lang w:val="en-CA"/>
        </w:rPr>
        <w:t xml:space="preserve">. ومع ذلك، لم </w:t>
      </w:r>
      <w:r w:rsidRPr="00AA537D">
        <w:rPr>
          <w:rFonts w:hint="cs"/>
          <w:spacing w:val="0"/>
          <w:kern w:val="0"/>
          <w:rtl/>
          <w:lang w:val="en-CA"/>
        </w:rPr>
        <w:t>ت</w:t>
      </w:r>
      <w:r w:rsidRPr="00AA537D">
        <w:rPr>
          <w:spacing w:val="0"/>
          <w:kern w:val="0"/>
          <w:rtl/>
          <w:lang w:val="en-CA"/>
        </w:rPr>
        <w:t xml:space="preserve">جد أدلة </w:t>
      </w:r>
      <w:r w:rsidRPr="00AA537D">
        <w:rPr>
          <w:rFonts w:hint="cs"/>
          <w:spacing w:val="0"/>
          <w:kern w:val="0"/>
          <w:rtl/>
          <w:lang w:val="en-CA"/>
        </w:rPr>
        <w:t xml:space="preserve">كافية تفيد بأن </w:t>
      </w:r>
      <w:r w:rsidRPr="00AA537D">
        <w:rPr>
          <w:spacing w:val="0"/>
          <w:kern w:val="0"/>
          <w:rtl/>
          <w:lang w:val="en-CA"/>
        </w:rPr>
        <w:t>الجريمة المزعومة</w:t>
      </w:r>
      <w:r w:rsidRPr="00AA537D">
        <w:rPr>
          <w:rFonts w:hint="cs"/>
          <w:spacing w:val="0"/>
          <w:kern w:val="0"/>
          <w:rtl/>
          <w:lang w:val="en-CA"/>
        </w:rPr>
        <w:t xml:space="preserve"> قد ارتكبت</w:t>
      </w:r>
      <w:r w:rsidRPr="00AA537D">
        <w:rPr>
          <w:spacing w:val="0"/>
          <w:kern w:val="0"/>
          <w:rtl/>
          <w:lang w:val="en-CA"/>
        </w:rPr>
        <w:t xml:space="preserve">. </w:t>
      </w:r>
      <w:r w:rsidRPr="00AA537D">
        <w:rPr>
          <w:rFonts w:hint="cs"/>
          <w:spacing w:val="0"/>
          <w:kern w:val="0"/>
          <w:rtl/>
          <w:lang w:val="en-CA"/>
        </w:rPr>
        <w:t>و</w:t>
      </w:r>
      <w:r w:rsidRPr="00AA537D">
        <w:rPr>
          <w:spacing w:val="0"/>
          <w:kern w:val="0"/>
          <w:rtl/>
          <w:lang w:val="en-CA"/>
        </w:rPr>
        <w:t xml:space="preserve">عندما </w:t>
      </w:r>
      <w:r w:rsidRPr="00AA537D">
        <w:rPr>
          <w:rFonts w:hint="cs"/>
          <w:spacing w:val="0"/>
          <w:kern w:val="0"/>
          <w:rtl/>
          <w:lang w:val="en-CA"/>
        </w:rPr>
        <w:t xml:space="preserve">حاكمت </w:t>
      </w:r>
      <w:r w:rsidRPr="00AA537D">
        <w:rPr>
          <w:spacing w:val="0"/>
          <w:kern w:val="0"/>
          <w:rtl/>
          <w:lang w:val="en-CA"/>
        </w:rPr>
        <w:t>المحكمة العليا الوطنية صاحب الشكوى، فإن</w:t>
      </w:r>
      <w:r w:rsidRPr="00AA537D">
        <w:rPr>
          <w:rFonts w:hint="cs"/>
          <w:spacing w:val="0"/>
          <w:kern w:val="0"/>
          <w:rtl/>
          <w:lang w:val="en-CA"/>
        </w:rPr>
        <w:t xml:space="preserve">ها </w:t>
      </w:r>
      <w:r w:rsidRPr="00AA537D">
        <w:rPr>
          <w:spacing w:val="0"/>
          <w:kern w:val="0"/>
          <w:rtl/>
          <w:lang w:val="en-CA"/>
        </w:rPr>
        <w:t>نظرت مرة أخرى في الظروف التي استجوب</w:t>
      </w:r>
      <w:r w:rsidRPr="00AA537D">
        <w:rPr>
          <w:rFonts w:hint="cs"/>
          <w:spacing w:val="0"/>
          <w:kern w:val="0"/>
          <w:rtl/>
          <w:lang w:val="en-CA"/>
        </w:rPr>
        <w:t xml:space="preserve"> فيها</w:t>
      </w:r>
      <w:r w:rsidRPr="00AA537D">
        <w:rPr>
          <w:spacing w:val="0"/>
          <w:kern w:val="0"/>
          <w:rtl/>
          <w:lang w:val="en-CA"/>
        </w:rPr>
        <w:t xml:space="preserve">. وكان محامي صاحب الشكوى، الذي اختاره </w:t>
      </w:r>
      <w:r w:rsidRPr="00AA537D">
        <w:rPr>
          <w:rFonts w:hint="cs"/>
          <w:spacing w:val="0"/>
          <w:kern w:val="0"/>
          <w:rtl/>
          <w:lang w:val="en-CA"/>
        </w:rPr>
        <w:t>بنفسه</w:t>
      </w:r>
      <w:r w:rsidRPr="00AA537D">
        <w:rPr>
          <w:spacing w:val="0"/>
          <w:kern w:val="0"/>
          <w:rtl/>
          <w:lang w:val="en-CA"/>
        </w:rPr>
        <w:t>، حاضرا</w:t>
      </w:r>
      <w:r w:rsidRPr="00AA537D">
        <w:rPr>
          <w:rFonts w:hint="cs"/>
          <w:spacing w:val="0"/>
          <w:kern w:val="0"/>
          <w:rtl/>
          <w:lang w:val="en-CA"/>
        </w:rPr>
        <w:t>ً</w:t>
      </w:r>
      <w:r w:rsidRPr="00AA537D">
        <w:rPr>
          <w:spacing w:val="0"/>
          <w:kern w:val="0"/>
          <w:rtl/>
          <w:lang w:val="en-CA"/>
        </w:rPr>
        <w:t xml:space="preserve"> أثناء الاستجواب ولكن</w:t>
      </w:r>
      <w:r w:rsidRPr="00AA537D">
        <w:rPr>
          <w:rFonts w:hint="cs"/>
          <w:spacing w:val="0"/>
          <w:kern w:val="0"/>
          <w:rtl/>
          <w:lang w:val="en-CA"/>
        </w:rPr>
        <w:t>ه لم يقدم</w:t>
      </w:r>
      <w:r w:rsidRPr="00AA537D">
        <w:rPr>
          <w:spacing w:val="0"/>
          <w:kern w:val="0"/>
          <w:rtl/>
          <w:lang w:val="en-CA"/>
        </w:rPr>
        <w:t xml:space="preserve"> أي </w:t>
      </w:r>
      <w:r w:rsidRPr="00AA537D">
        <w:rPr>
          <w:rFonts w:hint="cs"/>
          <w:spacing w:val="0"/>
          <w:kern w:val="0"/>
          <w:rtl/>
          <w:lang w:val="en-CA"/>
        </w:rPr>
        <w:t>دليل</w:t>
      </w:r>
      <w:r w:rsidRPr="00AA537D">
        <w:rPr>
          <w:spacing w:val="0"/>
          <w:kern w:val="0"/>
          <w:rtl/>
          <w:lang w:val="en-CA"/>
        </w:rPr>
        <w:t xml:space="preserve"> </w:t>
      </w:r>
      <w:r w:rsidRPr="00AA537D">
        <w:rPr>
          <w:rFonts w:hint="cs"/>
          <w:spacing w:val="0"/>
          <w:kern w:val="0"/>
          <w:rtl/>
          <w:lang w:val="en-CA"/>
        </w:rPr>
        <w:t>ي</w:t>
      </w:r>
      <w:r w:rsidRPr="00AA537D">
        <w:rPr>
          <w:spacing w:val="0"/>
          <w:kern w:val="0"/>
          <w:rtl/>
          <w:lang w:val="en-CA"/>
        </w:rPr>
        <w:t xml:space="preserve">دعم ادعاءات صاحب الشكوى. </w:t>
      </w:r>
      <w:r w:rsidRPr="00AA537D">
        <w:rPr>
          <w:rFonts w:hint="cs"/>
          <w:spacing w:val="0"/>
          <w:kern w:val="0"/>
          <w:rtl/>
          <w:lang w:val="en-CA"/>
        </w:rPr>
        <w:t xml:space="preserve">وتجدر الإشارة إلى أن </w:t>
      </w:r>
      <w:r w:rsidRPr="00AA537D">
        <w:rPr>
          <w:spacing w:val="0"/>
          <w:kern w:val="0"/>
          <w:rtl/>
          <w:lang w:val="en-CA"/>
        </w:rPr>
        <w:t xml:space="preserve">صاحب الشكوى قدم </w:t>
      </w:r>
      <w:r w:rsidRPr="00AA537D">
        <w:rPr>
          <w:rFonts w:hint="cs"/>
          <w:spacing w:val="0"/>
          <w:kern w:val="0"/>
          <w:rtl/>
          <w:lang w:val="en-CA"/>
        </w:rPr>
        <w:t>ادعا</w:t>
      </w:r>
      <w:r w:rsidR="001A08AE">
        <w:rPr>
          <w:rFonts w:hint="cs"/>
          <w:spacing w:val="0"/>
          <w:kern w:val="0"/>
          <w:rtl/>
          <w:lang w:val="en-CA"/>
        </w:rPr>
        <w:t>ءه</w:t>
      </w:r>
      <w:r w:rsidRPr="00AA537D">
        <w:rPr>
          <w:rFonts w:hint="cs"/>
          <w:spacing w:val="0"/>
          <w:kern w:val="0"/>
          <w:rtl/>
          <w:lang w:val="en-CA"/>
        </w:rPr>
        <w:t xml:space="preserve"> ب</w:t>
      </w:r>
      <w:r w:rsidRPr="00AA537D">
        <w:rPr>
          <w:spacing w:val="0"/>
          <w:kern w:val="0"/>
          <w:rtl/>
          <w:lang w:val="en-CA"/>
        </w:rPr>
        <w:t xml:space="preserve">تعرضه للتعذيب بعد ثلاثة </w:t>
      </w:r>
      <w:r w:rsidRPr="00AA537D">
        <w:rPr>
          <w:rFonts w:hint="cs"/>
          <w:spacing w:val="0"/>
          <w:kern w:val="0"/>
          <w:rtl/>
          <w:lang w:val="en-CA"/>
        </w:rPr>
        <w:t>شهور</w:t>
      </w:r>
      <w:r w:rsidRPr="00AA537D">
        <w:rPr>
          <w:spacing w:val="0"/>
          <w:kern w:val="0"/>
          <w:rtl/>
          <w:lang w:val="en-CA"/>
        </w:rPr>
        <w:t xml:space="preserve"> من </w:t>
      </w:r>
      <w:r w:rsidRPr="00AA537D">
        <w:rPr>
          <w:rFonts w:hint="cs"/>
          <w:spacing w:val="0"/>
          <w:kern w:val="0"/>
          <w:rtl/>
          <w:lang w:val="en-CA"/>
        </w:rPr>
        <w:t>إلقاء القبض عليه</w:t>
      </w:r>
      <w:r w:rsidRPr="00AA537D">
        <w:rPr>
          <w:spacing w:val="0"/>
          <w:kern w:val="0"/>
          <w:rtl/>
          <w:lang w:val="en-CA"/>
        </w:rPr>
        <w:t xml:space="preserve">، وأنه لم </w:t>
      </w:r>
      <w:r w:rsidRPr="00AA537D">
        <w:rPr>
          <w:rFonts w:hint="cs"/>
          <w:spacing w:val="0"/>
          <w:kern w:val="0"/>
          <w:rtl/>
          <w:lang w:val="en-CA"/>
        </w:rPr>
        <w:t>يلجأ</w:t>
      </w:r>
      <w:r w:rsidRPr="00AA537D">
        <w:rPr>
          <w:spacing w:val="0"/>
          <w:kern w:val="0"/>
          <w:rtl/>
          <w:lang w:val="en-CA"/>
        </w:rPr>
        <w:t xml:space="preserve"> إلى أي هيئة دولية </w:t>
      </w:r>
      <w:r w:rsidRPr="00AA537D">
        <w:rPr>
          <w:rFonts w:hint="cs"/>
          <w:spacing w:val="0"/>
          <w:kern w:val="0"/>
          <w:rtl/>
          <w:lang w:val="en-CA"/>
        </w:rPr>
        <w:t>إلا</w:t>
      </w:r>
      <w:r w:rsidRPr="00AA537D">
        <w:rPr>
          <w:spacing w:val="0"/>
          <w:kern w:val="0"/>
          <w:rtl/>
          <w:lang w:val="en-CA"/>
        </w:rPr>
        <w:t xml:space="preserve"> بعد </w:t>
      </w:r>
      <w:r w:rsidRPr="00AA537D">
        <w:rPr>
          <w:rFonts w:hint="cs"/>
          <w:spacing w:val="0"/>
          <w:kern w:val="0"/>
          <w:rtl/>
          <w:lang w:val="en-CA"/>
        </w:rPr>
        <w:t>إ</w:t>
      </w:r>
      <w:r w:rsidRPr="00AA537D">
        <w:rPr>
          <w:spacing w:val="0"/>
          <w:kern w:val="0"/>
          <w:rtl/>
          <w:lang w:val="en-CA"/>
        </w:rPr>
        <w:t>دانته بارتكاب جريمة إرهاب</w:t>
      </w:r>
      <w:r w:rsidRPr="00AA537D">
        <w:rPr>
          <w:rFonts w:hint="cs"/>
          <w:spacing w:val="0"/>
          <w:kern w:val="0"/>
          <w:rtl/>
          <w:lang w:val="en-CA"/>
        </w:rPr>
        <w:t>ية</w:t>
      </w:r>
      <w:r w:rsidRPr="00AA537D">
        <w:rPr>
          <w:spacing w:val="0"/>
          <w:kern w:val="0"/>
          <w:rtl/>
          <w:lang w:val="en-CA"/>
        </w:rPr>
        <w:t>.</w:t>
      </w:r>
    </w:p>
    <w:p w:rsidR="00FA6676" w:rsidRPr="00AA537D" w:rsidRDefault="00FA6676" w:rsidP="00E86FDB">
      <w:pPr>
        <w:pStyle w:val="SingleTxtGA"/>
        <w:jc w:val="lowKashida"/>
        <w:rPr>
          <w:rFonts w:hint="cs"/>
          <w:spacing w:val="0"/>
          <w:kern w:val="0"/>
          <w:rtl/>
          <w:lang w:val="en-CA"/>
        </w:rPr>
      </w:pPr>
      <w:r w:rsidRPr="00AA537D">
        <w:rPr>
          <w:rFonts w:hint="cs"/>
          <w:spacing w:val="0"/>
          <w:kern w:val="0"/>
          <w:rtl/>
          <w:lang w:val="en-CA"/>
        </w:rPr>
        <w:t>4-8</w:t>
      </w:r>
      <w:r w:rsidRPr="00AA537D">
        <w:rPr>
          <w:rFonts w:hint="cs"/>
          <w:spacing w:val="0"/>
          <w:kern w:val="0"/>
          <w:rtl/>
          <w:lang w:val="en-CA"/>
        </w:rPr>
        <w:tab/>
        <w:t xml:space="preserve">ولا يوضح </w:t>
      </w:r>
      <w:r w:rsidRPr="00AA537D">
        <w:rPr>
          <w:spacing w:val="0"/>
          <w:kern w:val="0"/>
          <w:rtl/>
          <w:lang w:val="en-CA"/>
        </w:rPr>
        <w:t xml:space="preserve">صاحب الشكوى كيف انتهكت المادة 14 من الاتفاقية. </w:t>
      </w:r>
      <w:r w:rsidRPr="00AA537D">
        <w:rPr>
          <w:rFonts w:hint="cs"/>
          <w:spacing w:val="0"/>
          <w:kern w:val="0"/>
          <w:rtl/>
          <w:lang w:val="en-CA"/>
        </w:rPr>
        <w:t>ول</w:t>
      </w:r>
      <w:r w:rsidRPr="00AA537D">
        <w:rPr>
          <w:spacing w:val="0"/>
          <w:kern w:val="0"/>
          <w:rtl/>
          <w:lang w:val="en-CA"/>
        </w:rPr>
        <w:t xml:space="preserve">م يطالب </w:t>
      </w:r>
      <w:r w:rsidRPr="00AA537D">
        <w:rPr>
          <w:rFonts w:hint="cs"/>
          <w:spacing w:val="0"/>
          <w:kern w:val="0"/>
          <w:rtl/>
          <w:lang w:val="en-CA"/>
        </w:rPr>
        <w:t>أبداً ب</w:t>
      </w:r>
      <w:r w:rsidRPr="00AA537D">
        <w:rPr>
          <w:spacing w:val="0"/>
          <w:kern w:val="0"/>
          <w:rtl/>
          <w:lang w:val="en-CA"/>
        </w:rPr>
        <w:t>الجبر أو التعويض من سلطات الدولة الطرف، على الرغم من أن</w:t>
      </w:r>
      <w:r w:rsidRPr="00AA537D">
        <w:rPr>
          <w:rFonts w:hint="cs"/>
          <w:spacing w:val="0"/>
          <w:kern w:val="0"/>
          <w:rtl/>
          <w:lang w:val="en-CA"/>
        </w:rPr>
        <w:t xml:space="preserve"> وقف </w:t>
      </w:r>
      <w:r w:rsidRPr="00AA537D">
        <w:rPr>
          <w:spacing w:val="0"/>
          <w:kern w:val="0"/>
          <w:rtl/>
          <w:lang w:val="en-CA"/>
        </w:rPr>
        <w:t>الإجراءات الجنائية لا</w:t>
      </w:r>
      <w:r w:rsidR="00E86FDB">
        <w:rPr>
          <w:rFonts w:hint="cs"/>
          <w:spacing w:val="0"/>
          <w:kern w:val="0"/>
          <w:rtl/>
          <w:lang w:val="en-CA"/>
        </w:rPr>
        <w:t> </w:t>
      </w:r>
      <w:r w:rsidRPr="00AA537D">
        <w:rPr>
          <w:spacing w:val="0"/>
          <w:kern w:val="0"/>
          <w:rtl/>
          <w:lang w:val="en-CA"/>
        </w:rPr>
        <w:t>يمنع</w:t>
      </w:r>
      <w:r w:rsidRPr="00AA537D">
        <w:rPr>
          <w:rFonts w:hint="cs"/>
          <w:spacing w:val="0"/>
          <w:kern w:val="0"/>
          <w:rtl/>
          <w:lang w:val="en-CA"/>
        </w:rPr>
        <w:t>، بموجب القانون،</w:t>
      </w:r>
      <w:r w:rsidRPr="00AA537D">
        <w:rPr>
          <w:spacing w:val="0"/>
          <w:kern w:val="0"/>
          <w:rtl/>
          <w:lang w:val="en-CA"/>
        </w:rPr>
        <w:t xml:space="preserve"> </w:t>
      </w:r>
      <w:r w:rsidRPr="00AA537D">
        <w:rPr>
          <w:rFonts w:hint="cs"/>
          <w:spacing w:val="0"/>
          <w:kern w:val="0"/>
          <w:rtl/>
          <w:lang w:val="en-CA"/>
        </w:rPr>
        <w:t>الإجراءات</w:t>
      </w:r>
      <w:r w:rsidRPr="00AA537D">
        <w:rPr>
          <w:spacing w:val="0"/>
          <w:kern w:val="0"/>
          <w:rtl/>
          <w:lang w:val="en-CA"/>
        </w:rPr>
        <w:t xml:space="preserve"> المدنية أو الإدارية للمطالبة بتعويض. وعلاوة على ذلك، حتى </w:t>
      </w:r>
      <w:r w:rsidRPr="00AA537D">
        <w:rPr>
          <w:rFonts w:hint="cs"/>
          <w:spacing w:val="0"/>
          <w:kern w:val="0"/>
          <w:rtl/>
          <w:lang w:val="en-CA"/>
        </w:rPr>
        <w:t>إذا استنتجت اللجنة وجود</w:t>
      </w:r>
      <w:r w:rsidRPr="00AA537D">
        <w:rPr>
          <w:spacing w:val="0"/>
          <w:kern w:val="0"/>
          <w:rtl/>
          <w:lang w:val="en-CA"/>
        </w:rPr>
        <w:t xml:space="preserve"> انتهاك للاتفاقية</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 xml:space="preserve">فليس </w:t>
      </w:r>
      <w:r w:rsidRPr="00AA537D">
        <w:rPr>
          <w:spacing w:val="0"/>
          <w:kern w:val="0"/>
          <w:rtl/>
          <w:lang w:val="en-CA"/>
        </w:rPr>
        <w:t>من صلاحيات</w:t>
      </w:r>
      <w:r w:rsidRPr="00AA537D">
        <w:rPr>
          <w:rFonts w:hint="cs"/>
          <w:spacing w:val="0"/>
          <w:kern w:val="0"/>
          <w:rtl/>
          <w:lang w:val="en-CA"/>
        </w:rPr>
        <w:t>ها</w:t>
      </w:r>
      <w:r w:rsidRPr="00AA537D">
        <w:rPr>
          <w:spacing w:val="0"/>
          <w:kern w:val="0"/>
          <w:rtl/>
          <w:lang w:val="en-CA"/>
        </w:rPr>
        <w:t xml:space="preserve"> </w:t>
      </w:r>
      <w:r w:rsidRPr="00AA537D">
        <w:rPr>
          <w:rFonts w:hint="cs"/>
          <w:spacing w:val="0"/>
          <w:kern w:val="0"/>
          <w:rtl/>
          <w:lang w:val="en-CA"/>
        </w:rPr>
        <w:t>تحديد مبلغ ال</w:t>
      </w:r>
      <w:r w:rsidRPr="00AA537D">
        <w:rPr>
          <w:spacing w:val="0"/>
          <w:kern w:val="0"/>
          <w:rtl/>
          <w:lang w:val="en-CA"/>
        </w:rPr>
        <w:t xml:space="preserve">تعويض </w:t>
      </w:r>
      <w:r w:rsidRPr="00AA537D">
        <w:rPr>
          <w:rFonts w:hint="cs"/>
          <w:spacing w:val="0"/>
          <w:kern w:val="0"/>
          <w:rtl/>
          <w:lang w:val="en-CA"/>
        </w:rPr>
        <w:t xml:space="preserve">المستحق </w:t>
      </w:r>
      <w:r w:rsidRPr="00AA537D">
        <w:rPr>
          <w:spacing w:val="0"/>
          <w:kern w:val="0"/>
          <w:rtl/>
          <w:lang w:val="en-CA"/>
        </w:rPr>
        <w:t>لصاحب الشكوى.</w:t>
      </w:r>
    </w:p>
    <w:p w:rsidR="00FA6676" w:rsidRPr="00AA537D" w:rsidRDefault="00FA6676" w:rsidP="00AA537D">
      <w:pPr>
        <w:pStyle w:val="H23GA"/>
        <w:jc w:val="lowKashida"/>
        <w:rPr>
          <w:spacing w:val="0"/>
          <w:kern w:val="0"/>
          <w:rtl/>
        </w:rPr>
      </w:pPr>
      <w:r w:rsidRPr="00AA537D">
        <w:rPr>
          <w:rFonts w:hint="cs"/>
          <w:spacing w:val="0"/>
          <w:kern w:val="0"/>
          <w:rtl/>
        </w:rPr>
        <w:tab/>
      </w:r>
      <w:r w:rsidRPr="00AA537D">
        <w:rPr>
          <w:rFonts w:hint="cs"/>
          <w:spacing w:val="0"/>
          <w:kern w:val="0"/>
          <w:rtl/>
        </w:rPr>
        <w:tab/>
      </w:r>
      <w:r w:rsidRPr="00AA537D">
        <w:rPr>
          <w:rFonts w:hint="eastAsia"/>
          <w:spacing w:val="0"/>
          <w:kern w:val="0"/>
          <w:rtl/>
        </w:rPr>
        <w:t>تعليقات</w:t>
      </w:r>
      <w:r w:rsidRPr="00AA537D">
        <w:rPr>
          <w:spacing w:val="0"/>
          <w:kern w:val="0"/>
          <w:rtl/>
        </w:rPr>
        <w:t xml:space="preserve"> </w:t>
      </w:r>
      <w:r w:rsidRPr="00AA537D">
        <w:rPr>
          <w:rFonts w:hint="cs"/>
          <w:spacing w:val="0"/>
          <w:kern w:val="0"/>
          <w:rtl/>
        </w:rPr>
        <w:t>صاحب الشكوى</w:t>
      </w:r>
      <w:r w:rsidRPr="00AA537D">
        <w:rPr>
          <w:spacing w:val="0"/>
          <w:kern w:val="0"/>
          <w:rtl/>
        </w:rPr>
        <w:t xml:space="preserve"> على ملاحظات الدولة الطرف</w:t>
      </w:r>
    </w:p>
    <w:p w:rsidR="00FA6676" w:rsidRPr="00AA537D" w:rsidRDefault="00FA6676" w:rsidP="00AA537D">
      <w:pPr>
        <w:pStyle w:val="SingleTxtGA"/>
        <w:jc w:val="lowKashida"/>
        <w:rPr>
          <w:rFonts w:hint="cs"/>
          <w:spacing w:val="0"/>
          <w:kern w:val="0"/>
          <w:rtl/>
          <w:lang w:val="en-CA"/>
        </w:rPr>
      </w:pPr>
      <w:r w:rsidRPr="00AA537D">
        <w:rPr>
          <w:spacing w:val="0"/>
          <w:kern w:val="0"/>
          <w:rtl/>
          <w:lang w:val="en-CA"/>
        </w:rPr>
        <w:t>5-1</w:t>
      </w:r>
      <w:r w:rsidRPr="00AA537D">
        <w:rPr>
          <w:spacing w:val="0"/>
          <w:kern w:val="0"/>
          <w:rtl/>
          <w:lang w:val="en-CA"/>
        </w:rPr>
        <w:tab/>
        <w:t>قدم صاحب الشكوى تعليق</w:t>
      </w:r>
      <w:r w:rsidRPr="00AA537D">
        <w:rPr>
          <w:rFonts w:hint="cs"/>
          <w:spacing w:val="0"/>
          <w:kern w:val="0"/>
          <w:rtl/>
          <w:lang w:val="en-CA"/>
        </w:rPr>
        <w:t>ات</w:t>
      </w:r>
      <w:r w:rsidRPr="00AA537D">
        <w:rPr>
          <w:spacing w:val="0"/>
          <w:kern w:val="0"/>
          <w:rtl/>
          <w:lang w:val="en-CA"/>
        </w:rPr>
        <w:t xml:space="preserve"> على ملاحظات الدولة الطرف في 29 تشرين الثاني</w:t>
      </w:r>
      <w:r w:rsidRPr="00AA537D">
        <w:rPr>
          <w:rFonts w:hint="cs"/>
          <w:spacing w:val="0"/>
          <w:kern w:val="0"/>
          <w:rtl/>
          <w:lang w:val="en-CA"/>
        </w:rPr>
        <w:t>/نوفمبر</w:t>
      </w:r>
      <w:r w:rsidRPr="00AA537D">
        <w:rPr>
          <w:spacing w:val="0"/>
          <w:kern w:val="0"/>
          <w:rtl/>
          <w:lang w:val="en-CA"/>
        </w:rPr>
        <w:t xml:space="preserve"> 2011.</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5-2</w:t>
      </w:r>
      <w:r w:rsidRPr="00AA537D">
        <w:rPr>
          <w:rFonts w:hint="cs"/>
          <w:spacing w:val="0"/>
          <w:kern w:val="0"/>
          <w:rtl/>
          <w:lang w:val="en-CA"/>
        </w:rPr>
        <w:tab/>
        <w:t xml:space="preserve">وذكر أن </w:t>
      </w:r>
      <w:r w:rsidRPr="00AA537D">
        <w:rPr>
          <w:spacing w:val="0"/>
          <w:kern w:val="0"/>
          <w:rtl/>
          <w:lang w:val="en-CA"/>
        </w:rPr>
        <w:t xml:space="preserve">انتهاكات </w:t>
      </w:r>
      <w:r w:rsidRPr="00AA537D">
        <w:rPr>
          <w:rFonts w:hint="cs"/>
          <w:spacing w:val="0"/>
          <w:kern w:val="0"/>
          <w:rtl/>
          <w:lang w:val="en-CA"/>
        </w:rPr>
        <w:t>ا</w:t>
      </w:r>
      <w:r w:rsidRPr="00AA537D">
        <w:rPr>
          <w:spacing w:val="0"/>
          <w:kern w:val="0"/>
          <w:rtl/>
          <w:lang w:val="en-CA"/>
        </w:rPr>
        <w:t xml:space="preserve">لمادتين 12 و15 من الاتفاقية </w:t>
      </w:r>
      <w:r w:rsidRPr="00AA537D">
        <w:rPr>
          <w:rFonts w:hint="cs"/>
          <w:spacing w:val="0"/>
          <w:kern w:val="0"/>
          <w:rtl/>
          <w:lang w:val="en-CA"/>
        </w:rPr>
        <w:t>يحتج بها جملة واحدة</w:t>
      </w:r>
      <w:r w:rsidRPr="00AA537D">
        <w:rPr>
          <w:spacing w:val="0"/>
          <w:kern w:val="0"/>
          <w:rtl/>
          <w:lang w:val="en-CA"/>
        </w:rPr>
        <w:t xml:space="preserve">. </w:t>
      </w:r>
      <w:r w:rsidRPr="00AA537D">
        <w:rPr>
          <w:rFonts w:hint="cs"/>
          <w:spacing w:val="0"/>
          <w:kern w:val="0"/>
          <w:rtl/>
          <w:lang w:val="en-CA"/>
        </w:rPr>
        <w:t>ذلك أن عدم التحقيق في ادعاء التعذيب ليس مجرد مسألة إجراء ولا حالة عارضة</w:t>
      </w:r>
      <w:r w:rsidRPr="00AA537D">
        <w:rPr>
          <w:spacing w:val="0"/>
          <w:kern w:val="0"/>
          <w:rtl/>
          <w:lang w:val="en-CA"/>
        </w:rPr>
        <w:t xml:space="preserve">. </w:t>
      </w:r>
      <w:r w:rsidRPr="00AA537D">
        <w:rPr>
          <w:rFonts w:hint="cs"/>
          <w:spacing w:val="0"/>
          <w:kern w:val="0"/>
          <w:rtl/>
          <w:lang w:val="en-CA"/>
        </w:rPr>
        <w:t xml:space="preserve">وانتهاك </w:t>
      </w:r>
      <w:r w:rsidRPr="00AA537D">
        <w:rPr>
          <w:spacing w:val="0"/>
          <w:kern w:val="0"/>
          <w:rtl/>
          <w:lang w:val="en-CA"/>
        </w:rPr>
        <w:t>الماد</w:t>
      </w:r>
      <w:r w:rsidRPr="00AA537D">
        <w:rPr>
          <w:rFonts w:hint="cs"/>
          <w:spacing w:val="0"/>
          <w:kern w:val="0"/>
          <w:rtl/>
          <w:lang w:val="en-CA"/>
        </w:rPr>
        <w:t>ة</w:t>
      </w:r>
      <w:r w:rsidRPr="00AA537D">
        <w:rPr>
          <w:spacing w:val="0"/>
          <w:kern w:val="0"/>
          <w:rtl/>
          <w:lang w:val="en-CA"/>
        </w:rPr>
        <w:t xml:space="preserve"> 12 </w:t>
      </w:r>
      <w:r w:rsidRPr="00AA537D">
        <w:rPr>
          <w:rFonts w:hint="cs"/>
          <w:spacing w:val="0"/>
          <w:kern w:val="0"/>
          <w:rtl/>
          <w:lang w:val="en-CA"/>
        </w:rPr>
        <w:t>ينجر عنها انته</w:t>
      </w:r>
      <w:r w:rsidR="001A08AE">
        <w:rPr>
          <w:rFonts w:hint="cs"/>
          <w:spacing w:val="0"/>
          <w:kern w:val="0"/>
          <w:rtl/>
          <w:lang w:val="en-CA"/>
        </w:rPr>
        <w:t>ا</w:t>
      </w:r>
      <w:r w:rsidRPr="00AA537D">
        <w:rPr>
          <w:rFonts w:hint="cs"/>
          <w:spacing w:val="0"/>
          <w:kern w:val="0"/>
          <w:rtl/>
          <w:lang w:val="en-CA"/>
        </w:rPr>
        <w:t>ك للمادة 15</w:t>
      </w:r>
      <w:r w:rsidRPr="00AA537D">
        <w:rPr>
          <w:spacing w:val="0"/>
          <w:kern w:val="0"/>
          <w:rtl/>
          <w:lang w:val="en-CA"/>
        </w:rPr>
        <w:t>.</w:t>
      </w:r>
    </w:p>
    <w:p w:rsidR="00FA6676" w:rsidRPr="00E86FDB" w:rsidRDefault="00FA6676" w:rsidP="00E86FDB">
      <w:pPr>
        <w:pStyle w:val="SingleTxtGA"/>
        <w:jc w:val="lowKashida"/>
        <w:rPr>
          <w:rFonts w:hint="cs"/>
          <w:spacing w:val="0"/>
          <w:kern w:val="0"/>
          <w:rtl/>
          <w:lang w:val="en-CA"/>
        </w:rPr>
      </w:pPr>
      <w:r w:rsidRPr="00E86FDB">
        <w:rPr>
          <w:rFonts w:hint="cs"/>
          <w:spacing w:val="0"/>
          <w:kern w:val="0"/>
          <w:rtl/>
          <w:lang w:val="en-CA"/>
        </w:rPr>
        <w:t>5-3</w:t>
      </w:r>
      <w:r w:rsidRPr="00E86FDB">
        <w:rPr>
          <w:rFonts w:hint="cs"/>
          <w:spacing w:val="0"/>
          <w:kern w:val="0"/>
          <w:rtl/>
          <w:lang w:val="en-CA"/>
        </w:rPr>
        <w:tab/>
        <w:t>وفيما يتعلق ب</w:t>
      </w:r>
      <w:r w:rsidRPr="00E86FDB">
        <w:rPr>
          <w:spacing w:val="0"/>
          <w:kern w:val="0"/>
          <w:rtl/>
          <w:lang w:val="en-CA"/>
        </w:rPr>
        <w:t xml:space="preserve">انتهاكات </w:t>
      </w:r>
      <w:r w:rsidRPr="00E86FDB">
        <w:rPr>
          <w:rFonts w:hint="cs"/>
          <w:spacing w:val="0"/>
          <w:kern w:val="0"/>
          <w:rtl/>
          <w:lang w:val="en-CA"/>
        </w:rPr>
        <w:t>ا</w:t>
      </w:r>
      <w:r w:rsidRPr="00E86FDB">
        <w:rPr>
          <w:spacing w:val="0"/>
          <w:kern w:val="0"/>
          <w:rtl/>
          <w:lang w:val="en-CA"/>
        </w:rPr>
        <w:t xml:space="preserve">لمادة 12 من الاتفاقية، </w:t>
      </w:r>
      <w:r w:rsidRPr="00E86FDB">
        <w:rPr>
          <w:rFonts w:hint="cs"/>
          <w:spacing w:val="0"/>
          <w:kern w:val="0"/>
          <w:rtl/>
          <w:lang w:val="en-CA"/>
        </w:rPr>
        <w:t>يدفع صاحب الشكوى ب</w:t>
      </w:r>
      <w:r w:rsidRPr="00E86FDB">
        <w:rPr>
          <w:spacing w:val="0"/>
          <w:kern w:val="0"/>
          <w:rtl/>
          <w:lang w:val="en-CA"/>
        </w:rPr>
        <w:t>أنه استنفد</w:t>
      </w:r>
      <w:r w:rsidR="00E86FDB">
        <w:rPr>
          <w:rFonts w:hint="cs"/>
          <w:spacing w:val="0"/>
          <w:kern w:val="0"/>
          <w:rtl/>
          <w:lang w:val="en-CA"/>
        </w:rPr>
        <w:t> </w:t>
      </w:r>
      <w:r w:rsidRPr="00E86FDB">
        <w:rPr>
          <w:spacing w:val="0"/>
          <w:kern w:val="0"/>
          <w:rtl/>
          <w:lang w:val="en-CA"/>
        </w:rPr>
        <w:t xml:space="preserve">جميع الخيارات القانونية المتاحة في الدولة الطرف </w:t>
      </w:r>
      <w:r w:rsidRPr="00E86FDB">
        <w:rPr>
          <w:rFonts w:hint="cs"/>
          <w:spacing w:val="0"/>
          <w:kern w:val="0"/>
          <w:rtl/>
          <w:lang w:val="en-CA"/>
        </w:rPr>
        <w:t>ل</w:t>
      </w:r>
      <w:r w:rsidRPr="00E86FDB">
        <w:rPr>
          <w:spacing w:val="0"/>
          <w:kern w:val="0"/>
          <w:rtl/>
          <w:lang w:val="en-CA"/>
        </w:rPr>
        <w:t>لتحقيق في ادعاءاته و</w:t>
      </w:r>
      <w:r w:rsidRPr="00E86FDB">
        <w:rPr>
          <w:rFonts w:hint="cs"/>
          <w:spacing w:val="0"/>
          <w:kern w:val="0"/>
          <w:rtl/>
          <w:lang w:val="en-CA"/>
        </w:rPr>
        <w:t>معاقبة</w:t>
      </w:r>
      <w:r w:rsidRPr="00E86FDB">
        <w:rPr>
          <w:spacing w:val="0"/>
          <w:kern w:val="0"/>
          <w:rtl/>
          <w:lang w:val="en-CA"/>
        </w:rPr>
        <w:t xml:space="preserve"> المسؤولين عن أ</w:t>
      </w:r>
      <w:r w:rsidRPr="00E86FDB">
        <w:rPr>
          <w:rFonts w:hint="cs"/>
          <w:spacing w:val="0"/>
          <w:kern w:val="0"/>
          <w:rtl/>
          <w:lang w:val="en-CA"/>
        </w:rPr>
        <w:t>فعال</w:t>
      </w:r>
      <w:r w:rsidRPr="00E86FDB">
        <w:rPr>
          <w:spacing w:val="0"/>
          <w:kern w:val="0"/>
          <w:rtl/>
          <w:lang w:val="en-CA"/>
        </w:rPr>
        <w:t xml:space="preserve"> التعذيب. </w:t>
      </w:r>
      <w:r w:rsidRPr="00E86FDB">
        <w:rPr>
          <w:rFonts w:hint="cs"/>
          <w:spacing w:val="0"/>
          <w:kern w:val="0"/>
          <w:rtl/>
          <w:lang w:val="en-CA"/>
        </w:rPr>
        <w:t xml:space="preserve">وعدم تقديم </w:t>
      </w:r>
      <w:r w:rsidRPr="00E86FDB">
        <w:rPr>
          <w:spacing w:val="0"/>
          <w:kern w:val="0"/>
          <w:rtl/>
          <w:lang w:val="en-CA"/>
        </w:rPr>
        <w:t xml:space="preserve">أدلة </w:t>
      </w:r>
      <w:r w:rsidRPr="00E86FDB">
        <w:rPr>
          <w:rFonts w:hint="cs"/>
          <w:spacing w:val="0"/>
          <w:kern w:val="0"/>
          <w:rtl/>
          <w:lang w:val="en-CA"/>
        </w:rPr>
        <w:t>كافية</w:t>
      </w:r>
      <w:r w:rsidRPr="00E86FDB">
        <w:rPr>
          <w:spacing w:val="0"/>
          <w:kern w:val="0"/>
          <w:rtl/>
          <w:lang w:val="en-CA"/>
        </w:rPr>
        <w:t xml:space="preserve"> </w:t>
      </w:r>
      <w:r w:rsidRPr="00E86FDB">
        <w:rPr>
          <w:rFonts w:hint="cs"/>
          <w:spacing w:val="0"/>
          <w:kern w:val="0"/>
          <w:rtl/>
          <w:lang w:val="en-CA"/>
        </w:rPr>
        <w:t xml:space="preserve">تثبت </w:t>
      </w:r>
      <w:r w:rsidRPr="00E86FDB">
        <w:rPr>
          <w:spacing w:val="0"/>
          <w:kern w:val="0"/>
          <w:rtl/>
          <w:lang w:val="en-CA"/>
        </w:rPr>
        <w:t>ارتك</w:t>
      </w:r>
      <w:r w:rsidRPr="00E86FDB">
        <w:rPr>
          <w:rFonts w:hint="cs"/>
          <w:spacing w:val="0"/>
          <w:kern w:val="0"/>
          <w:rtl/>
          <w:lang w:val="en-CA"/>
        </w:rPr>
        <w:t>ا</w:t>
      </w:r>
      <w:r w:rsidRPr="00E86FDB">
        <w:rPr>
          <w:spacing w:val="0"/>
          <w:kern w:val="0"/>
          <w:rtl/>
          <w:lang w:val="en-CA"/>
        </w:rPr>
        <w:t xml:space="preserve">ب </w:t>
      </w:r>
      <w:r w:rsidRPr="00E86FDB">
        <w:rPr>
          <w:rFonts w:hint="cs"/>
          <w:spacing w:val="0"/>
          <w:kern w:val="0"/>
          <w:rtl/>
          <w:lang w:val="en-CA"/>
        </w:rPr>
        <w:t>أفعال</w:t>
      </w:r>
      <w:r w:rsidRPr="00E86FDB">
        <w:rPr>
          <w:spacing w:val="0"/>
          <w:kern w:val="0"/>
          <w:rtl/>
          <w:lang w:val="en-CA"/>
        </w:rPr>
        <w:t xml:space="preserve"> التعذيب </w:t>
      </w:r>
      <w:r w:rsidRPr="00E86FDB">
        <w:rPr>
          <w:rFonts w:hint="cs"/>
          <w:spacing w:val="0"/>
          <w:kern w:val="0"/>
          <w:rtl/>
          <w:lang w:val="en-CA"/>
        </w:rPr>
        <w:t>وهو ما</w:t>
      </w:r>
      <w:r w:rsidR="00E86FDB">
        <w:rPr>
          <w:rFonts w:hint="eastAsia"/>
          <w:spacing w:val="0"/>
          <w:kern w:val="0"/>
          <w:rtl/>
          <w:lang w:val="en-CA"/>
        </w:rPr>
        <w:t> </w:t>
      </w:r>
      <w:r w:rsidRPr="00E86FDB">
        <w:rPr>
          <w:rFonts w:hint="cs"/>
          <w:spacing w:val="0"/>
          <w:kern w:val="0"/>
          <w:rtl/>
          <w:lang w:val="en-CA"/>
        </w:rPr>
        <w:t>تخلص إليه الدولة الطرف إنما يفسر بالقصور الذي اتسمت به السلطات القضائية التي لم</w:t>
      </w:r>
      <w:r w:rsidR="00E86FDB">
        <w:rPr>
          <w:rFonts w:hint="eastAsia"/>
          <w:spacing w:val="0"/>
          <w:kern w:val="0"/>
          <w:rtl/>
          <w:lang w:val="en-CA"/>
        </w:rPr>
        <w:t> </w:t>
      </w:r>
      <w:r w:rsidRPr="00E86FDB">
        <w:rPr>
          <w:rFonts w:hint="cs"/>
          <w:spacing w:val="0"/>
          <w:kern w:val="0"/>
          <w:rtl/>
          <w:lang w:val="en-CA"/>
        </w:rPr>
        <w:t>تحقق بعد تلقيها بلاغ صاحب الشكوى.</w:t>
      </w:r>
      <w:r w:rsidRPr="00E86FDB">
        <w:rPr>
          <w:spacing w:val="0"/>
          <w:kern w:val="0"/>
          <w:rtl/>
          <w:lang w:val="en-CA"/>
        </w:rPr>
        <w:t xml:space="preserve"> </w:t>
      </w:r>
      <w:r w:rsidRPr="00E86FDB">
        <w:rPr>
          <w:rFonts w:hint="cs"/>
          <w:spacing w:val="0"/>
          <w:kern w:val="0"/>
          <w:rtl/>
          <w:lang w:val="en-CA"/>
        </w:rPr>
        <w:t>ولم تقبل دائرة التحقيق</w:t>
      </w:r>
      <w:r w:rsidRPr="00E86FDB">
        <w:rPr>
          <w:spacing w:val="0"/>
          <w:kern w:val="0"/>
          <w:rtl/>
          <w:lang w:val="en-CA"/>
        </w:rPr>
        <w:t xml:space="preserve"> الثانية في فيتوريا غاستيز </w:t>
      </w:r>
      <w:r w:rsidRPr="00E86FDB">
        <w:rPr>
          <w:rFonts w:hint="cs"/>
          <w:spacing w:val="0"/>
          <w:kern w:val="0"/>
          <w:rtl/>
          <w:lang w:val="en-CA"/>
        </w:rPr>
        <w:t xml:space="preserve">تقارير الطب الشرعي كدليل إلا </w:t>
      </w:r>
      <w:r w:rsidRPr="00E86FDB">
        <w:rPr>
          <w:spacing w:val="0"/>
          <w:kern w:val="0"/>
          <w:rtl/>
          <w:lang w:val="en-CA"/>
        </w:rPr>
        <w:t xml:space="preserve">بناء على طلب صاحب الشكوى. ومع ذلك، رفضت المحكمة </w:t>
      </w:r>
      <w:r w:rsidRPr="00E86FDB">
        <w:rPr>
          <w:rFonts w:hint="cs"/>
          <w:spacing w:val="0"/>
          <w:kern w:val="0"/>
          <w:rtl/>
          <w:lang w:val="en-CA"/>
        </w:rPr>
        <w:t>التماسه</w:t>
      </w:r>
      <w:r w:rsidRPr="00E86FDB">
        <w:rPr>
          <w:spacing w:val="0"/>
          <w:kern w:val="0"/>
          <w:rtl/>
          <w:lang w:val="en-CA"/>
        </w:rPr>
        <w:t xml:space="preserve"> </w:t>
      </w:r>
      <w:r w:rsidRPr="00E86FDB">
        <w:rPr>
          <w:rFonts w:hint="cs"/>
          <w:spacing w:val="0"/>
          <w:kern w:val="0"/>
          <w:rtl/>
          <w:lang w:val="en-CA"/>
        </w:rPr>
        <w:t>با</w:t>
      </w:r>
      <w:r w:rsidRPr="00E86FDB">
        <w:rPr>
          <w:spacing w:val="0"/>
          <w:kern w:val="0"/>
          <w:rtl/>
          <w:lang w:val="en-CA"/>
        </w:rPr>
        <w:t xml:space="preserve">لسماح له </w:t>
      </w:r>
      <w:r w:rsidRPr="00E86FDB">
        <w:rPr>
          <w:rFonts w:hint="cs"/>
          <w:spacing w:val="0"/>
          <w:kern w:val="0"/>
          <w:rtl/>
          <w:lang w:val="en-CA"/>
        </w:rPr>
        <w:t>بالإ</w:t>
      </w:r>
      <w:r w:rsidRPr="00E86FDB">
        <w:rPr>
          <w:spacing w:val="0"/>
          <w:kern w:val="0"/>
          <w:rtl/>
          <w:lang w:val="en-CA"/>
        </w:rPr>
        <w:t xml:space="preserve">دلاء بشهادته وتحديد </w:t>
      </w:r>
      <w:r w:rsidRPr="00E86FDB">
        <w:rPr>
          <w:rFonts w:hint="cs"/>
          <w:spacing w:val="0"/>
          <w:kern w:val="0"/>
          <w:rtl/>
          <w:lang w:val="en-CA"/>
        </w:rPr>
        <w:t xml:space="preserve">هوية </w:t>
      </w:r>
      <w:r w:rsidRPr="00E86FDB">
        <w:rPr>
          <w:spacing w:val="0"/>
          <w:kern w:val="0"/>
          <w:rtl/>
          <w:lang w:val="en-CA"/>
        </w:rPr>
        <w:t>ضباط الشرطة المتورطين في</w:t>
      </w:r>
      <w:r w:rsidR="00E86FDB">
        <w:rPr>
          <w:rFonts w:hint="cs"/>
          <w:spacing w:val="0"/>
          <w:kern w:val="0"/>
          <w:rtl/>
          <w:lang w:val="en-CA"/>
        </w:rPr>
        <w:t> </w:t>
      </w:r>
      <w:r w:rsidRPr="00E86FDB">
        <w:rPr>
          <w:rFonts w:hint="cs"/>
          <w:spacing w:val="0"/>
          <w:kern w:val="0"/>
          <w:rtl/>
          <w:lang w:val="en-CA"/>
        </w:rPr>
        <w:t>المسألة</w:t>
      </w:r>
      <w:r w:rsidRPr="00E86FDB">
        <w:rPr>
          <w:spacing w:val="0"/>
          <w:kern w:val="0"/>
          <w:rtl/>
          <w:lang w:val="en-CA"/>
        </w:rPr>
        <w:t xml:space="preserve"> </w:t>
      </w:r>
      <w:r w:rsidRPr="00E86FDB">
        <w:rPr>
          <w:rFonts w:hint="cs"/>
          <w:spacing w:val="0"/>
          <w:kern w:val="0"/>
          <w:rtl/>
          <w:lang w:val="en-CA"/>
        </w:rPr>
        <w:t>ومطالبتهم ب</w:t>
      </w:r>
      <w:r w:rsidRPr="00E86FDB">
        <w:rPr>
          <w:spacing w:val="0"/>
          <w:kern w:val="0"/>
          <w:rtl/>
          <w:lang w:val="en-CA"/>
        </w:rPr>
        <w:t>الإدلاء بشهاداتهم</w:t>
      </w:r>
      <w:r w:rsidRPr="00E86FDB">
        <w:rPr>
          <w:rFonts w:hint="cs"/>
          <w:spacing w:val="0"/>
          <w:kern w:val="0"/>
          <w:rtl/>
          <w:lang w:val="en-CA"/>
        </w:rPr>
        <w:t>،</w:t>
      </w:r>
      <w:r w:rsidRPr="00E86FDB">
        <w:rPr>
          <w:spacing w:val="0"/>
          <w:kern w:val="0"/>
          <w:rtl/>
          <w:lang w:val="en-CA"/>
        </w:rPr>
        <w:t xml:space="preserve"> </w:t>
      </w:r>
      <w:r w:rsidRPr="00E86FDB">
        <w:rPr>
          <w:rFonts w:hint="cs"/>
          <w:spacing w:val="0"/>
          <w:kern w:val="0"/>
          <w:rtl/>
          <w:lang w:val="en-CA"/>
        </w:rPr>
        <w:t>وأغلقت</w:t>
      </w:r>
      <w:r w:rsidRPr="00E86FDB">
        <w:rPr>
          <w:spacing w:val="0"/>
          <w:kern w:val="0"/>
          <w:rtl/>
          <w:lang w:val="en-CA"/>
        </w:rPr>
        <w:t xml:space="preserve"> القضية </w:t>
      </w:r>
      <w:r w:rsidRPr="00E86FDB">
        <w:rPr>
          <w:rFonts w:hint="cs"/>
          <w:spacing w:val="0"/>
          <w:kern w:val="0"/>
          <w:rtl/>
          <w:lang w:val="en-CA"/>
        </w:rPr>
        <w:t>في وقت لاحق</w:t>
      </w:r>
      <w:r w:rsidRPr="00E86FDB">
        <w:rPr>
          <w:spacing w:val="0"/>
          <w:kern w:val="0"/>
          <w:rtl/>
          <w:lang w:val="en-CA"/>
        </w:rPr>
        <w:t xml:space="preserve">. وكان </w:t>
      </w:r>
      <w:r w:rsidRPr="00E86FDB">
        <w:rPr>
          <w:rFonts w:hint="cs"/>
          <w:spacing w:val="0"/>
          <w:kern w:val="0"/>
          <w:rtl/>
          <w:lang w:val="en-CA"/>
        </w:rPr>
        <w:t xml:space="preserve">حضور المحامي الذي كلفته </w:t>
      </w:r>
      <w:r w:rsidRPr="00E86FDB">
        <w:rPr>
          <w:spacing w:val="0"/>
          <w:kern w:val="0"/>
          <w:rtl/>
          <w:lang w:val="en-CA"/>
        </w:rPr>
        <w:t xml:space="preserve">الدولة الطرف </w:t>
      </w:r>
      <w:r w:rsidRPr="00E86FDB">
        <w:rPr>
          <w:rFonts w:hint="cs"/>
          <w:spacing w:val="0"/>
          <w:kern w:val="0"/>
          <w:rtl/>
          <w:lang w:val="en-CA"/>
        </w:rPr>
        <w:t>عندما أدلى بأقواله</w:t>
      </w:r>
      <w:r w:rsidRPr="00E86FDB">
        <w:rPr>
          <w:spacing w:val="0"/>
          <w:kern w:val="0"/>
          <w:rtl/>
          <w:lang w:val="en-CA"/>
        </w:rPr>
        <w:t xml:space="preserve"> أمام الشرطة مجرد إجراء شكلي. </w:t>
      </w:r>
      <w:r w:rsidRPr="00E86FDB">
        <w:rPr>
          <w:rFonts w:hint="cs"/>
          <w:spacing w:val="0"/>
          <w:kern w:val="0"/>
          <w:rtl/>
          <w:lang w:val="en-CA"/>
        </w:rPr>
        <w:t>ولم</w:t>
      </w:r>
      <w:r w:rsidR="00E86FDB">
        <w:rPr>
          <w:rFonts w:hint="eastAsia"/>
          <w:spacing w:val="0"/>
          <w:kern w:val="0"/>
          <w:rtl/>
          <w:lang w:val="en-CA"/>
        </w:rPr>
        <w:t> </w:t>
      </w:r>
      <w:r w:rsidRPr="00E86FDB">
        <w:rPr>
          <w:rFonts w:hint="cs"/>
          <w:spacing w:val="0"/>
          <w:kern w:val="0"/>
          <w:rtl/>
          <w:lang w:val="en-CA"/>
        </w:rPr>
        <w:t xml:space="preserve">يستطع </w:t>
      </w:r>
      <w:r w:rsidRPr="00E86FDB">
        <w:rPr>
          <w:spacing w:val="0"/>
          <w:kern w:val="0"/>
          <w:rtl/>
          <w:lang w:val="en-CA"/>
        </w:rPr>
        <w:t xml:space="preserve">اختيار </w:t>
      </w:r>
      <w:r w:rsidRPr="00E86FDB">
        <w:rPr>
          <w:rFonts w:hint="cs"/>
          <w:spacing w:val="0"/>
          <w:kern w:val="0"/>
          <w:rtl/>
          <w:lang w:val="en-CA"/>
        </w:rPr>
        <w:t>محام يثق فيه</w:t>
      </w:r>
      <w:r w:rsidRPr="00E86FDB">
        <w:rPr>
          <w:spacing w:val="0"/>
          <w:kern w:val="0"/>
          <w:rtl/>
          <w:lang w:val="en-CA"/>
        </w:rPr>
        <w:t xml:space="preserve"> وقت إلقاء القبض عليه </w:t>
      </w:r>
      <w:r w:rsidRPr="00E86FDB">
        <w:rPr>
          <w:rFonts w:hint="cs"/>
          <w:spacing w:val="0"/>
          <w:kern w:val="0"/>
          <w:rtl/>
          <w:lang w:val="en-CA"/>
        </w:rPr>
        <w:t>لأن</w:t>
      </w:r>
      <w:r w:rsidRPr="00E86FDB">
        <w:rPr>
          <w:spacing w:val="0"/>
          <w:kern w:val="0"/>
          <w:rtl/>
          <w:lang w:val="en-CA"/>
        </w:rPr>
        <w:t xml:space="preserve"> قوانين مكافحة الإرهاب ل</w:t>
      </w:r>
      <w:r w:rsidRPr="00E86FDB">
        <w:rPr>
          <w:rFonts w:hint="cs"/>
          <w:spacing w:val="0"/>
          <w:kern w:val="0"/>
          <w:rtl/>
          <w:lang w:val="en-CA"/>
        </w:rPr>
        <w:t>ا</w:t>
      </w:r>
      <w:r w:rsidR="00E86FDB">
        <w:rPr>
          <w:rFonts w:hint="cs"/>
          <w:spacing w:val="0"/>
          <w:kern w:val="0"/>
          <w:rtl/>
          <w:lang w:val="en-CA"/>
        </w:rPr>
        <w:t> </w:t>
      </w:r>
      <w:r w:rsidRPr="00E86FDB">
        <w:rPr>
          <w:spacing w:val="0"/>
          <w:kern w:val="0"/>
          <w:rtl/>
          <w:lang w:val="en-CA"/>
        </w:rPr>
        <w:t xml:space="preserve">تسمح بذلك. وذكرت المحكمة العليا </w:t>
      </w:r>
      <w:r w:rsidRPr="00E86FDB">
        <w:rPr>
          <w:rFonts w:hint="cs"/>
          <w:spacing w:val="0"/>
          <w:kern w:val="0"/>
          <w:rtl/>
          <w:lang w:val="en-CA"/>
        </w:rPr>
        <w:t>الإقليمية في ألافا أن ادعاءات صاحب الشكوى بتعرضه للتعذيب يجب أن تكون مسنودة ب</w:t>
      </w:r>
      <w:r w:rsidRPr="00E86FDB">
        <w:rPr>
          <w:spacing w:val="0"/>
          <w:kern w:val="0"/>
          <w:rtl/>
          <w:lang w:val="en-CA"/>
        </w:rPr>
        <w:t xml:space="preserve">أدلة. </w:t>
      </w:r>
      <w:r w:rsidRPr="00E86FDB">
        <w:rPr>
          <w:rFonts w:hint="cs"/>
          <w:spacing w:val="0"/>
          <w:kern w:val="0"/>
          <w:rtl/>
          <w:lang w:val="en-CA"/>
        </w:rPr>
        <w:t>غير أنها لم</w:t>
      </w:r>
      <w:r w:rsidR="00E86FDB" w:rsidRPr="00E86FDB">
        <w:rPr>
          <w:rFonts w:hint="eastAsia"/>
          <w:spacing w:val="0"/>
          <w:kern w:val="0"/>
          <w:rtl/>
          <w:lang w:val="en-CA"/>
        </w:rPr>
        <w:t> </w:t>
      </w:r>
      <w:r w:rsidRPr="00E86FDB">
        <w:rPr>
          <w:rFonts w:hint="cs"/>
          <w:spacing w:val="0"/>
          <w:kern w:val="0"/>
          <w:rtl/>
          <w:lang w:val="en-CA"/>
        </w:rPr>
        <w:t>تطلب</w:t>
      </w:r>
      <w:r w:rsidRPr="00E86FDB">
        <w:rPr>
          <w:spacing w:val="0"/>
          <w:kern w:val="0"/>
          <w:rtl/>
          <w:lang w:val="en-CA"/>
        </w:rPr>
        <w:t xml:space="preserve"> </w:t>
      </w:r>
      <w:r w:rsidRPr="00E86FDB">
        <w:rPr>
          <w:rFonts w:hint="cs"/>
          <w:spacing w:val="0"/>
          <w:kern w:val="0"/>
          <w:rtl/>
          <w:lang w:val="en-CA"/>
        </w:rPr>
        <w:t>من</w:t>
      </w:r>
      <w:r w:rsidRPr="00E86FDB">
        <w:rPr>
          <w:spacing w:val="0"/>
          <w:kern w:val="0"/>
          <w:rtl/>
          <w:lang w:val="en-CA"/>
        </w:rPr>
        <w:t xml:space="preserve"> </w:t>
      </w:r>
      <w:r w:rsidRPr="00E86FDB">
        <w:rPr>
          <w:rFonts w:hint="cs"/>
          <w:spacing w:val="0"/>
          <w:kern w:val="0"/>
          <w:rtl/>
          <w:lang w:val="en-CA"/>
        </w:rPr>
        <w:t>دائرة التحقيق</w:t>
      </w:r>
      <w:r w:rsidRPr="00E86FDB">
        <w:rPr>
          <w:spacing w:val="0"/>
          <w:kern w:val="0"/>
          <w:rtl/>
          <w:lang w:val="en-CA"/>
        </w:rPr>
        <w:t xml:space="preserve"> الثانية </w:t>
      </w:r>
      <w:r w:rsidRPr="00E86FDB">
        <w:rPr>
          <w:rFonts w:hint="cs"/>
          <w:spacing w:val="0"/>
          <w:kern w:val="0"/>
          <w:rtl/>
          <w:lang w:val="en-CA"/>
        </w:rPr>
        <w:t>في</w:t>
      </w:r>
      <w:r w:rsidRPr="00E86FDB">
        <w:rPr>
          <w:spacing w:val="0"/>
          <w:kern w:val="0"/>
          <w:rtl/>
          <w:lang w:val="en-CA"/>
        </w:rPr>
        <w:t xml:space="preserve"> فيتوريا غاستيز في أي وقت من الأوقات </w:t>
      </w:r>
      <w:r w:rsidRPr="00E86FDB">
        <w:rPr>
          <w:rFonts w:hint="cs"/>
          <w:spacing w:val="0"/>
          <w:kern w:val="0"/>
          <w:rtl/>
          <w:lang w:val="en-CA"/>
        </w:rPr>
        <w:t xml:space="preserve">إثبات </w:t>
      </w:r>
      <w:r w:rsidRPr="00E86FDB">
        <w:rPr>
          <w:spacing w:val="0"/>
          <w:kern w:val="0"/>
          <w:rtl/>
          <w:lang w:val="en-CA"/>
        </w:rPr>
        <w:t xml:space="preserve">الأدلة </w:t>
      </w:r>
      <w:r w:rsidRPr="00E86FDB">
        <w:rPr>
          <w:rFonts w:hint="cs"/>
          <w:spacing w:val="0"/>
          <w:kern w:val="0"/>
          <w:rtl/>
          <w:lang w:val="en-CA"/>
        </w:rPr>
        <w:t xml:space="preserve">الداعمة المطلوبة </w:t>
      </w:r>
      <w:r w:rsidRPr="00E86FDB">
        <w:rPr>
          <w:spacing w:val="0"/>
          <w:kern w:val="0"/>
          <w:rtl/>
          <w:lang w:val="en-CA"/>
        </w:rPr>
        <w:t xml:space="preserve">أو </w:t>
      </w:r>
      <w:r w:rsidRPr="00E86FDB">
        <w:rPr>
          <w:rFonts w:hint="cs"/>
          <w:spacing w:val="0"/>
          <w:kern w:val="0"/>
          <w:rtl/>
          <w:lang w:val="en-CA"/>
        </w:rPr>
        <w:t>تقديم وسائل الإثبات اللازمة لهذا الغرض</w:t>
      </w:r>
      <w:r w:rsidRPr="00E86FDB">
        <w:rPr>
          <w:rFonts w:hint="cs"/>
          <w:spacing w:val="0"/>
          <w:kern w:val="0"/>
          <w:vertAlign w:val="superscript"/>
          <w:rtl/>
          <w:lang w:val="fr-CH"/>
        </w:rPr>
        <w:t>(</w:t>
      </w:r>
      <w:r w:rsidRPr="00E86FDB">
        <w:rPr>
          <w:rStyle w:val="FootnoteReference"/>
          <w:spacing w:val="0"/>
          <w:sz w:val="26"/>
          <w:szCs w:val="26"/>
          <w:rtl/>
          <w:lang w:val="fr-CH"/>
        </w:rPr>
        <w:footnoteReference w:id="444"/>
      </w:r>
      <w:r w:rsidRPr="00E86FDB">
        <w:rPr>
          <w:rFonts w:hint="cs"/>
          <w:spacing w:val="0"/>
          <w:kern w:val="0"/>
          <w:vertAlign w:val="superscript"/>
          <w:rtl/>
          <w:lang w:val="fr-CH"/>
        </w:rPr>
        <w:t>)</w:t>
      </w:r>
      <w:r w:rsidRPr="00E86FDB">
        <w:rPr>
          <w:rFonts w:hint="cs"/>
          <w:spacing w:val="0"/>
          <w:kern w:val="0"/>
          <w:rtl/>
          <w:lang w:val="fr-CH"/>
        </w:rPr>
        <w:t>.</w:t>
      </w:r>
    </w:p>
    <w:p w:rsidR="00FA6676" w:rsidRPr="00E86FDB" w:rsidRDefault="00FA6676" w:rsidP="00AA537D">
      <w:pPr>
        <w:pStyle w:val="SingleTxtGA"/>
        <w:jc w:val="lowKashida"/>
        <w:rPr>
          <w:rFonts w:hint="cs"/>
          <w:spacing w:val="0"/>
          <w:kern w:val="0"/>
          <w:rtl/>
          <w:lang w:val="en-CA"/>
        </w:rPr>
      </w:pPr>
      <w:r w:rsidRPr="00E86FDB">
        <w:rPr>
          <w:rFonts w:hint="cs"/>
          <w:spacing w:val="0"/>
          <w:kern w:val="0"/>
          <w:rtl/>
          <w:lang w:val="en-CA"/>
        </w:rPr>
        <w:t>5-4</w:t>
      </w:r>
      <w:r w:rsidRPr="00E86FDB">
        <w:rPr>
          <w:rFonts w:hint="cs"/>
          <w:spacing w:val="0"/>
          <w:kern w:val="0"/>
          <w:rtl/>
          <w:lang w:val="en-CA"/>
        </w:rPr>
        <w:tab/>
      </w:r>
      <w:r w:rsidRPr="00E86FDB">
        <w:rPr>
          <w:spacing w:val="0"/>
          <w:kern w:val="0"/>
          <w:rtl/>
          <w:lang w:val="en-CA"/>
        </w:rPr>
        <w:t xml:space="preserve">وفيما يتعلق بالانتهاكات المزعومة للمادة 15 من الاتفاقية، صحيح أن </w:t>
      </w:r>
      <w:r w:rsidRPr="00E86FDB">
        <w:rPr>
          <w:rFonts w:hint="cs"/>
          <w:spacing w:val="0"/>
          <w:kern w:val="0"/>
          <w:rtl/>
          <w:lang w:val="en-CA"/>
        </w:rPr>
        <w:t>القاضيين</w:t>
      </w:r>
      <w:r w:rsidRPr="00E86FDB">
        <w:rPr>
          <w:spacing w:val="0"/>
          <w:kern w:val="0"/>
          <w:rtl/>
          <w:lang w:val="en-CA"/>
        </w:rPr>
        <w:t xml:space="preserve"> ال</w:t>
      </w:r>
      <w:r w:rsidRPr="00E86FDB">
        <w:rPr>
          <w:rFonts w:hint="cs"/>
          <w:spacing w:val="0"/>
          <w:kern w:val="0"/>
          <w:rtl/>
          <w:lang w:val="en-CA"/>
        </w:rPr>
        <w:t>ل</w:t>
      </w:r>
      <w:r w:rsidRPr="00E86FDB">
        <w:rPr>
          <w:spacing w:val="0"/>
          <w:kern w:val="0"/>
          <w:rtl/>
          <w:lang w:val="en-CA"/>
        </w:rPr>
        <w:t xml:space="preserve">ذين عبرا عن آراء مخالفة فيما يتعلق </w:t>
      </w:r>
      <w:r w:rsidRPr="00E86FDB">
        <w:rPr>
          <w:rFonts w:hint="cs"/>
          <w:spacing w:val="0"/>
          <w:kern w:val="0"/>
          <w:rtl/>
          <w:lang w:val="en-CA"/>
        </w:rPr>
        <w:t>ب</w:t>
      </w:r>
      <w:r w:rsidRPr="00E86FDB">
        <w:rPr>
          <w:spacing w:val="0"/>
          <w:kern w:val="0"/>
          <w:rtl/>
          <w:lang w:val="en-CA"/>
        </w:rPr>
        <w:t xml:space="preserve">قرار المحكمة العليا لا </w:t>
      </w:r>
      <w:r w:rsidRPr="00E86FDB">
        <w:rPr>
          <w:rFonts w:hint="cs"/>
          <w:spacing w:val="0"/>
          <w:kern w:val="0"/>
          <w:rtl/>
          <w:lang w:val="en-CA"/>
        </w:rPr>
        <w:t>يخلصان إلى</w:t>
      </w:r>
      <w:r w:rsidRPr="00E86FDB">
        <w:rPr>
          <w:spacing w:val="0"/>
          <w:kern w:val="0"/>
          <w:rtl/>
          <w:lang w:val="en-CA"/>
        </w:rPr>
        <w:t xml:space="preserve"> أن </w:t>
      </w:r>
      <w:r w:rsidRPr="00E86FDB">
        <w:rPr>
          <w:rFonts w:hint="cs"/>
          <w:spacing w:val="0"/>
          <w:kern w:val="0"/>
          <w:rtl/>
          <w:lang w:val="en-CA"/>
        </w:rPr>
        <w:t>الاعترافات</w:t>
      </w:r>
      <w:r w:rsidRPr="00E86FDB">
        <w:rPr>
          <w:spacing w:val="0"/>
          <w:kern w:val="0"/>
          <w:rtl/>
          <w:lang w:val="en-CA"/>
        </w:rPr>
        <w:t xml:space="preserve"> كان</w:t>
      </w:r>
      <w:r w:rsidRPr="00E86FDB">
        <w:rPr>
          <w:rFonts w:hint="cs"/>
          <w:spacing w:val="0"/>
          <w:kern w:val="0"/>
          <w:rtl/>
          <w:lang w:val="en-CA"/>
        </w:rPr>
        <w:t>ت</w:t>
      </w:r>
      <w:r w:rsidRPr="00E86FDB">
        <w:rPr>
          <w:spacing w:val="0"/>
          <w:kern w:val="0"/>
          <w:rtl/>
          <w:lang w:val="en-CA"/>
        </w:rPr>
        <w:t xml:space="preserve"> نتيجة للتعذيب الذي </w:t>
      </w:r>
      <w:r w:rsidRPr="00E86FDB">
        <w:rPr>
          <w:rFonts w:hint="cs"/>
          <w:spacing w:val="0"/>
          <w:kern w:val="0"/>
          <w:rtl/>
          <w:lang w:val="en-CA"/>
        </w:rPr>
        <w:t xml:space="preserve">تعرض له </w:t>
      </w:r>
      <w:r w:rsidRPr="00E86FDB">
        <w:rPr>
          <w:spacing w:val="0"/>
          <w:kern w:val="0"/>
          <w:rtl/>
          <w:lang w:val="en-CA"/>
        </w:rPr>
        <w:t>صاحب الشكوى، ولكن</w:t>
      </w:r>
      <w:r w:rsidRPr="00E86FDB">
        <w:rPr>
          <w:rFonts w:hint="cs"/>
          <w:spacing w:val="0"/>
          <w:kern w:val="0"/>
          <w:rtl/>
          <w:lang w:val="en-CA"/>
        </w:rPr>
        <w:t>هما</w:t>
      </w:r>
      <w:r w:rsidRPr="00E86FDB">
        <w:rPr>
          <w:spacing w:val="0"/>
          <w:kern w:val="0"/>
          <w:rtl/>
          <w:lang w:val="en-CA"/>
        </w:rPr>
        <w:t xml:space="preserve"> </w:t>
      </w:r>
      <w:r w:rsidRPr="00E86FDB">
        <w:rPr>
          <w:rFonts w:hint="cs"/>
          <w:spacing w:val="0"/>
          <w:kern w:val="0"/>
          <w:rtl/>
          <w:lang w:val="en-CA"/>
        </w:rPr>
        <w:t>لم</w:t>
      </w:r>
      <w:r w:rsidRPr="00E86FDB">
        <w:rPr>
          <w:spacing w:val="0"/>
          <w:kern w:val="0"/>
          <w:rtl/>
          <w:lang w:val="en-CA"/>
        </w:rPr>
        <w:t xml:space="preserve"> يستبعد</w:t>
      </w:r>
      <w:r w:rsidRPr="00E86FDB">
        <w:rPr>
          <w:rFonts w:hint="cs"/>
          <w:spacing w:val="0"/>
          <w:kern w:val="0"/>
          <w:rtl/>
          <w:lang w:val="en-CA"/>
        </w:rPr>
        <w:t>ا</w:t>
      </w:r>
      <w:r w:rsidRPr="00E86FDB">
        <w:rPr>
          <w:spacing w:val="0"/>
          <w:kern w:val="0"/>
          <w:rtl/>
          <w:lang w:val="en-CA"/>
        </w:rPr>
        <w:t xml:space="preserve"> ذلك. و</w:t>
      </w:r>
      <w:r w:rsidRPr="00E86FDB">
        <w:rPr>
          <w:rFonts w:hint="cs"/>
          <w:spacing w:val="0"/>
          <w:kern w:val="0"/>
          <w:rtl/>
          <w:lang w:val="en-CA"/>
        </w:rPr>
        <w:t>يشيران</w:t>
      </w:r>
      <w:r w:rsidRPr="00E86FDB">
        <w:rPr>
          <w:spacing w:val="0"/>
          <w:kern w:val="0"/>
          <w:rtl/>
          <w:lang w:val="en-CA"/>
        </w:rPr>
        <w:t xml:space="preserve"> إلى أن إدانته </w:t>
      </w:r>
      <w:r w:rsidRPr="00E86FDB">
        <w:rPr>
          <w:rFonts w:hint="cs"/>
          <w:spacing w:val="0"/>
          <w:kern w:val="0"/>
          <w:rtl/>
          <w:lang w:val="en-CA"/>
        </w:rPr>
        <w:t>لم تستند إلى أي</w:t>
      </w:r>
      <w:r w:rsidRPr="00E86FDB">
        <w:rPr>
          <w:spacing w:val="0"/>
          <w:kern w:val="0"/>
          <w:rtl/>
          <w:lang w:val="en-CA"/>
        </w:rPr>
        <w:t xml:space="preserve"> دليل آخر </w:t>
      </w:r>
      <w:r w:rsidRPr="00E86FDB">
        <w:rPr>
          <w:rFonts w:hint="cs"/>
          <w:spacing w:val="0"/>
          <w:kern w:val="0"/>
          <w:rtl/>
          <w:lang w:val="en-CA"/>
        </w:rPr>
        <w:t>بخلاف الاعترافات التي أدلى بها</w:t>
      </w:r>
      <w:r w:rsidRPr="00E86FDB">
        <w:rPr>
          <w:spacing w:val="0"/>
          <w:kern w:val="0"/>
          <w:rtl/>
          <w:lang w:val="en-CA"/>
        </w:rPr>
        <w:t xml:space="preserve">، </w:t>
      </w:r>
      <w:r w:rsidRPr="00E86FDB">
        <w:rPr>
          <w:rFonts w:hint="cs"/>
          <w:spacing w:val="0"/>
          <w:kern w:val="0"/>
          <w:rtl/>
          <w:lang w:val="en-CA"/>
        </w:rPr>
        <w:t xml:space="preserve">وأن الأقوال يمكن أن تكون </w:t>
      </w:r>
      <w:r w:rsidRPr="00E86FDB">
        <w:rPr>
          <w:spacing w:val="0"/>
          <w:kern w:val="0"/>
          <w:rtl/>
          <w:lang w:val="en-CA"/>
        </w:rPr>
        <w:t>مصدرا</w:t>
      </w:r>
      <w:r w:rsidRPr="00E86FDB">
        <w:rPr>
          <w:rFonts w:hint="cs"/>
          <w:spacing w:val="0"/>
          <w:kern w:val="0"/>
          <w:rtl/>
          <w:lang w:val="en-CA"/>
        </w:rPr>
        <w:t>ً</w:t>
      </w:r>
      <w:r w:rsidRPr="00E86FDB">
        <w:rPr>
          <w:spacing w:val="0"/>
          <w:kern w:val="0"/>
          <w:rtl/>
          <w:lang w:val="en-CA"/>
        </w:rPr>
        <w:t xml:space="preserve"> للأدلة </w:t>
      </w:r>
      <w:r w:rsidRPr="00E86FDB">
        <w:rPr>
          <w:rFonts w:hint="cs"/>
          <w:spacing w:val="0"/>
          <w:kern w:val="0"/>
          <w:rtl/>
          <w:lang w:val="en-CA"/>
        </w:rPr>
        <w:t xml:space="preserve">ولكنها لا تثبت أن </w:t>
      </w:r>
      <w:r w:rsidRPr="00E86FDB">
        <w:rPr>
          <w:spacing w:val="0"/>
          <w:kern w:val="0"/>
          <w:rtl/>
          <w:lang w:val="en-CA"/>
        </w:rPr>
        <w:t xml:space="preserve">الجرائم </w:t>
      </w:r>
      <w:r w:rsidRPr="00E86FDB">
        <w:rPr>
          <w:rFonts w:hint="cs"/>
          <w:spacing w:val="0"/>
          <w:kern w:val="0"/>
          <w:rtl/>
          <w:lang w:val="en-CA"/>
        </w:rPr>
        <w:t>قيد النظر قد ارتكبت</w:t>
      </w:r>
      <w:r w:rsidRPr="00E86FDB">
        <w:rPr>
          <w:spacing w:val="0"/>
          <w:kern w:val="0"/>
          <w:rtl/>
          <w:lang w:val="en-CA"/>
        </w:rPr>
        <w:t xml:space="preserve">، وأنه لا يمكن </w:t>
      </w:r>
      <w:r w:rsidRPr="00E86FDB">
        <w:rPr>
          <w:rFonts w:hint="cs"/>
          <w:spacing w:val="0"/>
          <w:kern w:val="0"/>
          <w:rtl/>
          <w:lang w:val="en-CA"/>
        </w:rPr>
        <w:t>تقديمها</w:t>
      </w:r>
      <w:r w:rsidRPr="00E86FDB">
        <w:rPr>
          <w:spacing w:val="0"/>
          <w:kern w:val="0"/>
          <w:rtl/>
          <w:lang w:val="en-CA"/>
        </w:rPr>
        <w:t xml:space="preserve"> في المحكمة </w:t>
      </w:r>
      <w:r w:rsidRPr="00E86FDB">
        <w:rPr>
          <w:rFonts w:hint="cs"/>
          <w:spacing w:val="0"/>
          <w:kern w:val="0"/>
          <w:rtl/>
          <w:lang w:val="en-CA"/>
        </w:rPr>
        <w:t>كشهادة على لسان</w:t>
      </w:r>
      <w:r w:rsidRPr="00E86FDB">
        <w:rPr>
          <w:spacing w:val="0"/>
          <w:kern w:val="0"/>
          <w:rtl/>
          <w:lang w:val="en-CA"/>
        </w:rPr>
        <w:t xml:space="preserve"> </w:t>
      </w:r>
      <w:r w:rsidRPr="00E86FDB">
        <w:rPr>
          <w:rFonts w:hint="cs"/>
          <w:spacing w:val="0"/>
          <w:kern w:val="0"/>
          <w:rtl/>
          <w:lang w:val="en-CA"/>
        </w:rPr>
        <w:t>ضباط</w:t>
      </w:r>
      <w:r w:rsidRPr="00E86FDB">
        <w:rPr>
          <w:spacing w:val="0"/>
          <w:kern w:val="0"/>
          <w:rtl/>
          <w:lang w:val="en-CA"/>
        </w:rPr>
        <w:t xml:space="preserve"> الشرطة الذين أخذوا </w:t>
      </w:r>
      <w:r w:rsidRPr="00E86FDB">
        <w:rPr>
          <w:rFonts w:hint="cs"/>
          <w:spacing w:val="0"/>
          <w:kern w:val="0"/>
          <w:rtl/>
          <w:lang w:val="en-CA"/>
        </w:rPr>
        <w:t xml:space="preserve">هذه الأقوال أو </w:t>
      </w:r>
      <w:r w:rsidRPr="00E86FDB">
        <w:rPr>
          <w:spacing w:val="0"/>
          <w:kern w:val="0"/>
          <w:rtl/>
          <w:lang w:val="en-CA"/>
        </w:rPr>
        <w:t>سمع</w:t>
      </w:r>
      <w:r w:rsidRPr="00E86FDB">
        <w:rPr>
          <w:rFonts w:hint="cs"/>
          <w:spacing w:val="0"/>
          <w:kern w:val="0"/>
          <w:rtl/>
          <w:lang w:val="en-CA"/>
        </w:rPr>
        <w:t>وها</w:t>
      </w:r>
      <w:r w:rsidRPr="00E86FDB">
        <w:rPr>
          <w:spacing w:val="0"/>
          <w:kern w:val="0"/>
          <w:rtl/>
          <w:lang w:val="en-CA"/>
        </w:rPr>
        <w:t xml:space="preserve"> </w:t>
      </w:r>
      <w:r w:rsidRPr="00E86FDB">
        <w:rPr>
          <w:rFonts w:hint="cs"/>
          <w:spacing w:val="0"/>
          <w:kern w:val="0"/>
          <w:rtl/>
          <w:lang w:val="en-CA"/>
        </w:rPr>
        <w:t>أثناء الإدلاء بها</w:t>
      </w:r>
      <w:r w:rsidRPr="00E86FDB">
        <w:rPr>
          <w:spacing w:val="0"/>
          <w:kern w:val="0"/>
          <w:rtl/>
          <w:lang w:val="en-CA"/>
        </w:rPr>
        <w:t xml:space="preserve">. </w:t>
      </w:r>
      <w:r w:rsidRPr="00E86FDB">
        <w:rPr>
          <w:rFonts w:hint="cs"/>
          <w:spacing w:val="0"/>
          <w:kern w:val="0"/>
          <w:rtl/>
          <w:lang w:val="en-CA"/>
        </w:rPr>
        <w:t>وبموجب</w:t>
      </w:r>
      <w:r w:rsidRPr="00E86FDB">
        <w:rPr>
          <w:spacing w:val="0"/>
          <w:kern w:val="0"/>
          <w:rtl/>
          <w:lang w:val="en-CA"/>
        </w:rPr>
        <w:t xml:space="preserve"> </w:t>
      </w:r>
      <w:r w:rsidRPr="00E86FDB">
        <w:rPr>
          <w:rFonts w:hint="cs"/>
          <w:spacing w:val="0"/>
          <w:kern w:val="0"/>
          <w:rtl/>
          <w:lang w:val="en-CA"/>
        </w:rPr>
        <w:t>الاجتهاد القضائي</w:t>
      </w:r>
      <w:r w:rsidRPr="00E86FDB">
        <w:rPr>
          <w:spacing w:val="0"/>
          <w:kern w:val="0"/>
          <w:rtl/>
          <w:lang w:val="en-CA"/>
        </w:rPr>
        <w:t xml:space="preserve"> </w:t>
      </w:r>
      <w:r w:rsidRPr="00E86FDB">
        <w:rPr>
          <w:rFonts w:hint="cs"/>
          <w:spacing w:val="0"/>
          <w:kern w:val="0"/>
          <w:rtl/>
          <w:lang w:val="en-CA"/>
        </w:rPr>
        <w:t>ل</w:t>
      </w:r>
      <w:r w:rsidRPr="00E86FDB">
        <w:rPr>
          <w:spacing w:val="0"/>
          <w:kern w:val="0"/>
          <w:rtl/>
          <w:lang w:val="en-CA"/>
        </w:rPr>
        <w:t xml:space="preserve">لمحكمة العليا، </w:t>
      </w:r>
      <w:r w:rsidRPr="00E86FDB">
        <w:rPr>
          <w:rFonts w:hint="cs"/>
          <w:spacing w:val="0"/>
          <w:kern w:val="0"/>
          <w:rtl/>
          <w:lang w:val="en-CA"/>
        </w:rPr>
        <w:t>فإن</w:t>
      </w:r>
      <w:r w:rsidRPr="00E86FDB">
        <w:rPr>
          <w:spacing w:val="0"/>
          <w:kern w:val="0"/>
          <w:rtl/>
          <w:lang w:val="en-CA"/>
        </w:rPr>
        <w:t xml:space="preserve"> </w:t>
      </w:r>
      <w:r w:rsidRPr="00E86FDB">
        <w:rPr>
          <w:rFonts w:hint="cs"/>
          <w:spacing w:val="0"/>
          <w:kern w:val="0"/>
          <w:rtl/>
          <w:lang w:val="en-CA"/>
        </w:rPr>
        <w:t>الأقوال التي يدلى بها</w:t>
      </w:r>
      <w:r w:rsidRPr="00E86FDB">
        <w:rPr>
          <w:spacing w:val="0"/>
          <w:kern w:val="0"/>
          <w:rtl/>
          <w:lang w:val="en-CA"/>
        </w:rPr>
        <w:t xml:space="preserve"> في مراكز الشرطة لا</w:t>
      </w:r>
      <w:r w:rsidRPr="00E86FDB">
        <w:rPr>
          <w:rFonts w:hint="cs"/>
          <w:spacing w:val="0"/>
          <w:kern w:val="0"/>
          <w:rtl/>
          <w:lang w:val="en-CA"/>
        </w:rPr>
        <w:t> </w:t>
      </w:r>
      <w:r w:rsidRPr="00E86FDB">
        <w:rPr>
          <w:spacing w:val="0"/>
          <w:kern w:val="0"/>
          <w:rtl/>
          <w:lang w:val="en-CA"/>
        </w:rPr>
        <w:t>تشكل في حد ذاتها دليلا</w:t>
      </w:r>
      <w:r w:rsidRPr="00E86FDB">
        <w:rPr>
          <w:rFonts w:hint="cs"/>
          <w:spacing w:val="0"/>
          <w:kern w:val="0"/>
          <w:rtl/>
          <w:lang w:val="en-CA"/>
        </w:rPr>
        <w:t>ً</w:t>
      </w:r>
      <w:r w:rsidRPr="00E86FDB">
        <w:rPr>
          <w:spacing w:val="0"/>
          <w:kern w:val="0"/>
          <w:rtl/>
          <w:lang w:val="en-CA"/>
        </w:rPr>
        <w:t xml:space="preserve"> كافيا</w:t>
      </w:r>
      <w:r w:rsidRPr="00E86FDB">
        <w:rPr>
          <w:rFonts w:hint="cs"/>
          <w:spacing w:val="0"/>
          <w:kern w:val="0"/>
          <w:rtl/>
          <w:lang w:val="en-CA"/>
        </w:rPr>
        <w:t>ً</w:t>
      </w:r>
      <w:r w:rsidRPr="00E86FDB">
        <w:rPr>
          <w:spacing w:val="0"/>
          <w:kern w:val="0"/>
          <w:rtl/>
          <w:lang w:val="en-CA"/>
        </w:rPr>
        <w:t xml:space="preserve">. </w:t>
      </w:r>
      <w:r w:rsidRPr="00E86FDB">
        <w:rPr>
          <w:rFonts w:hint="cs"/>
          <w:spacing w:val="0"/>
          <w:kern w:val="0"/>
          <w:rtl/>
          <w:lang w:val="en-CA"/>
        </w:rPr>
        <w:t>ومن</w:t>
      </w:r>
      <w:r w:rsidRPr="00E86FDB">
        <w:rPr>
          <w:spacing w:val="0"/>
          <w:kern w:val="0"/>
          <w:rtl/>
          <w:lang w:val="en-CA"/>
        </w:rPr>
        <w:t xml:space="preserve"> غير </w:t>
      </w:r>
      <w:r w:rsidRPr="00E86FDB">
        <w:rPr>
          <w:rFonts w:hint="cs"/>
          <w:spacing w:val="0"/>
          <w:kern w:val="0"/>
          <w:rtl/>
          <w:lang w:val="en-CA"/>
        </w:rPr>
        <w:t>ال</w:t>
      </w:r>
      <w:r w:rsidRPr="00E86FDB">
        <w:rPr>
          <w:spacing w:val="0"/>
          <w:kern w:val="0"/>
          <w:rtl/>
          <w:lang w:val="en-CA"/>
        </w:rPr>
        <w:t xml:space="preserve">منطقي أيضاً </w:t>
      </w:r>
      <w:r w:rsidRPr="00E86FDB">
        <w:rPr>
          <w:rFonts w:hint="cs"/>
          <w:spacing w:val="0"/>
          <w:kern w:val="0"/>
          <w:rtl/>
          <w:lang w:val="en-CA"/>
        </w:rPr>
        <w:t>أ</w:t>
      </w:r>
      <w:r w:rsidRPr="00E86FDB">
        <w:rPr>
          <w:spacing w:val="0"/>
          <w:kern w:val="0"/>
          <w:rtl/>
          <w:lang w:val="en-CA"/>
        </w:rPr>
        <w:t xml:space="preserve">ن </w:t>
      </w:r>
      <w:r w:rsidRPr="00E86FDB">
        <w:rPr>
          <w:rFonts w:hint="cs"/>
          <w:spacing w:val="0"/>
          <w:kern w:val="0"/>
          <w:rtl/>
          <w:lang w:val="en-CA"/>
        </w:rPr>
        <w:t xml:space="preserve">تخلص </w:t>
      </w:r>
      <w:r w:rsidRPr="00E86FDB">
        <w:rPr>
          <w:spacing w:val="0"/>
          <w:kern w:val="0"/>
          <w:rtl/>
          <w:lang w:val="en-CA"/>
        </w:rPr>
        <w:t>المحكمة العليا</w:t>
      </w:r>
      <w:r w:rsidRPr="00E86FDB">
        <w:rPr>
          <w:rFonts w:hint="cs"/>
          <w:spacing w:val="0"/>
          <w:kern w:val="0"/>
          <w:rtl/>
          <w:lang w:val="en-CA"/>
        </w:rPr>
        <w:t xml:space="preserve"> إلى أن أقوال</w:t>
      </w:r>
      <w:r w:rsidRPr="00E86FDB">
        <w:rPr>
          <w:spacing w:val="0"/>
          <w:kern w:val="0"/>
          <w:rtl/>
          <w:lang w:val="en-CA"/>
        </w:rPr>
        <w:t xml:space="preserve"> صاحب الشكوى و</w:t>
      </w:r>
      <w:r w:rsidRPr="00E86FDB">
        <w:rPr>
          <w:rFonts w:hint="cs"/>
          <w:spacing w:val="0"/>
          <w:kern w:val="0"/>
          <w:rtl/>
          <w:lang w:val="en-CA"/>
        </w:rPr>
        <w:t>ال</w:t>
      </w:r>
      <w:r w:rsidRPr="00E86FDB">
        <w:rPr>
          <w:spacing w:val="0"/>
          <w:kern w:val="0"/>
          <w:rtl/>
          <w:lang w:val="en-CA"/>
        </w:rPr>
        <w:t xml:space="preserve">صلات </w:t>
      </w:r>
      <w:r w:rsidRPr="00E86FDB">
        <w:rPr>
          <w:rFonts w:hint="cs"/>
          <w:spacing w:val="0"/>
          <w:kern w:val="0"/>
          <w:rtl/>
          <w:lang w:val="en-CA"/>
        </w:rPr>
        <w:t>ال</w:t>
      </w:r>
      <w:r w:rsidRPr="00E86FDB">
        <w:rPr>
          <w:spacing w:val="0"/>
          <w:kern w:val="0"/>
          <w:rtl/>
          <w:lang w:val="en-CA"/>
        </w:rPr>
        <w:t xml:space="preserve">مزعومة </w:t>
      </w:r>
      <w:r w:rsidRPr="00E86FDB">
        <w:rPr>
          <w:rFonts w:hint="cs"/>
          <w:spacing w:val="0"/>
          <w:kern w:val="0"/>
          <w:rtl/>
          <w:lang w:val="en-CA"/>
        </w:rPr>
        <w:t>ب</w:t>
      </w:r>
      <w:r w:rsidRPr="00E86FDB">
        <w:rPr>
          <w:spacing w:val="0"/>
          <w:kern w:val="0"/>
          <w:rtl/>
          <w:lang w:val="en-CA"/>
        </w:rPr>
        <w:t xml:space="preserve">عضو </w:t>
      </w:r>
      <w:r w:rsidRPr="00E86FDB">
        <w:rPr>
          <w:rFonts w:hint="cs"/>
          <w:spacing w:val="0"/>
          <w:kern w:val="0"/>
          <w:rtl/>
          <w:lang w:val="en-CA"/>
        </w:rPr>
        <w:t>منظمة إ</w:t>
      </w:r>
      <w:r w:rsidRPr="00E86FDB">
        <w:rPr>
          <w:spacing w:val="0"/>
          <w:kern w:val="0"/>
          <w:rtl/>
          <w:lang w:val="en-CA"/>
        </w:rPr>
        <w:t xml:space="preserve">يتا الذي </w:t>
      </w:r>
      <w:r w:rsidRPr="00E86FDB">
        <w:rPr>
          <w:rFonts w:hint="cs"/>
          <w:spacing w:val="0"/>
          <w:kern w:val="0"/>
          <w:rtl/>
          <w:lang w:val="en-CA"/>
        </w:rPr>
        <w:t>ي</w:t>
      </w:r>
      <w:r w:rsidRPr="00E86FDB">
        <w:rPr>
          <w:spacing w:val="0"/>
          <w:kern w:val="0"/>
          <w:rtl/>
          <w:lang w:val="en-CA"/>
        </w:rPr>
        <w:t xml:space="preserve">فترض </w:t>
      </w:r>
      <w:r w:rsidRPr="00E86FDB">
        <w:rPr>
          <w:rFonts w:hint="cs"/>
          <w:spacing w:val="0"/>
          <w:kern w:val="0"/>
          <w:rtl/>
          <w:lang w:val="en-CA"/>
        </w:rPr>
        <w:t xml:space="preserve">أن صاحب الشكوى نقل إليه </w:t>
      </w:r>
      <w:r w:rsidRPr="00E86FDB">
        <w:rPr>
          <w:spacing w:val="0"/>
          <w:kern w:val="0"/>
          <w:rtl/>
          <w:lang w:val="en-CA"/>
        </w:rPr>
        <w:t>معلومات حول تحركات القاضي</w:t>
      </w:r>
      <w:r w:rsidRPr="00E86FDB">
        <w:rPr>
          <w:rFonts w:hint="cs"/>
          <w:spacing w:val="0"/>
          <w:kern w:val="0"/>
          <w:rtl/>
          <w:lang w:val="en-CA"/>
        </w:rPr>
        <w:t xml:space="preserve"> ليدون كوربي </w:t>
      </w:r>
      <w:r w:rsidRPr="00E86FDB">
        <w:rPr>
          <w:spacing w:val="0"/>
          <w:kern w:val="0"/>
          <w:rtl/>
          <w:lang w:val="en-CA"/>
        </w:rPr>
        <w:t xml:space="preserve">غير كافية كدليل لإدانة </w:t>
      </w:r>
      <w:r w:rsidRPr="00E86FDB">
        <w:rPr>
          <w:rFonts w:hint="cs"/>
          <w:spacing w:val="0"/>
          <w:kern w:val="0"/>
          <w:rtl/>
          <w:lang w:val="en-CA"/>
        </w:rPr>
        <w:t>ذلك</w:t>
      </w:r>
      <w:r w:rsidRPr="00E86FDB">
        <w:rPr>
          <w:spacing w:val="0"/>
          <w:kern w:val="0"/>
          <w:rtl/>
          <w:lang w:val="en-CA"/>
        </w:rPr>
        <w:t xml:space="preserve"> الشخص.</w:t>
      </w:r>
    </w:p>
    <w:p w:rsidR="00FA6676" w:rsidRPr="00E86FDB" w:rsidRDefault="00FA6676" w:rsidP="00E86FDB">
      <w:pPr>
        <w:pStyle w:val="SingleTxtGA"/>
        <w:jc w:val="lowKashida"/>
        <w:rPr>
          <w:rFonts w:hint="cs"/>
          <w:spacing w:val="0"/>
          <w:kern w:val="0"/>
          <w:rtl/>
          <w:lang w:val="en-CA"/>
        </w:rPr>
      </w:pPr>
      <w:r w:rsidRPr="00E86FDB">
        <w:rPr>
          <w:rFonts w:hint="cs"/>
          <w:spacing w:val="0"/>
          <w:kern w:val="0"/>
          <w:rtl/>
          <w:lang w:val="en-CA"/>
        </w:rPr>
        <w:t>5-5</w:t>
      </w:r>
      <w:r w:rsidRPr="00E86FDB">
        <w:rPr>
          <w:rFonts w:hint="cs"/>
          <w:spacing w:val="0"/>
          <w:kern w:val="0"/>
          <w:rtl/>
          <w:lang w:val="en-CA"/>
        </w:rPr>
        <w:tab/>
        <w:t xml:space="preserve">وطلب صاحب الشكوى إلى </w:t>
      </w:r>
      <w:r w:rsidRPr="00E86FDB">
        <w:rPr>
          <w:spacing w:val="0"/>
          <w:kern w:val="0"/>
          <w:rtl/>
          <w:lang w:val="en-CA"/>
        </w:rPr>
        <w:t xml:space="preserve">اللجنة </w:t>
      </w:r>
      <w:r w:rsidRPr="00E86FDB">
        <w:rPr>
          <w:rFonts w:hint="cs"/>
          <w:spacing w:val="0"/>
          <w:kern w:val="0"/>
          <w:rtl/>
          <w:lang w:val="en-CA"/>
        </w:rPr>
        <w:t>أن تقر بحقه</w:t>
      </w:r>
      <w:r w:rsidRPr="00E86FDB">
        <w:rPr>
          <w:spacing w:val="0"/>
          <w:kern w:val="0"/>
          <w:rtl/>
          <w:lang w:val="en-CA"/>
        </w:rPr>
        <w:t xml:space="preserve"> </w:t>
      </w:r>
      <w:r w:rsidRPr="00E86FDB">
        <w:rPr>
          <w:rFonts w:hint="cs"/>
          <w:spacing w:val="0"/>
          <w:kern w:val="0"/>
          <w:rtl/>
          <w:lang w:val="en-CA"/>
        </w:rPr>
        <w:t>في</w:t>
      </w:r>
      <w:r w:rsidRPr="00E86FDB">
        <w:rPr>
          <w:spacing w:val="0"/>
          <w:kern w:val="0"/>
          <w:rtl/>
          <w:lang w:val="en-CA"/>
        </w:rPr>
        <w:t xml:space="preserve"> الحصول على </w:t>
      </w:r>
      <w:r w:rsidRPr="00E86FDB">
        <w:rPr>
          <w:rFonts w:hint="cs"/>
          <w:spacing w:val="0"/>
          <w:kern w:val="0"/>
          <w:rtl/>
          <w:lang w:val="en-CA"/>
        </w:rPr>
        <w:t>انتصاف</w:t>
      </w:r>
      <w:r w:rsidRPr="00E86FDB">
        <w:rPr>
          <w:spacing w:val="0"/>
          <w:kern w:val="0"/>
          <w:rtl/>
          <w:lang w:val="en-CA"/>
        </w:rPr>
        <w:t xml:space="preserve"> عادل، بما</w:t>
      </w:r>
      <w:r w:rsidR="00E86FDB">
        <w:rPr>
          <w:rFonts w:hint="cs"/>
          <w:spacing w:val="0"/>
          <w:kern w:val="0"/>
          <w:rtl/>
          <w:lang w:val="en-CA"/>
        </w:rPr>
        <w:t> </w:t>
      </w:r>
      <w:r w:rsidRPr="00E86FDB">
        <w:rPr>
          <w:spacing w:val="0"/>
          <w:kern w:val="0"/>
          <w:rtl/>
          <w:lang w:val="en-CA"/>
        </w:rPr>
        <w:t xml:space="preserve">في ذلك </w:t>
      </w:r>
      <w:r w:rsidRPr="00E86FDB">
        <w:rPr>
          <w:rFonts w:hint="cs"/>
          <w:spacing w:val="0"/>
          <w:kern w:val="0"/>
          <w:rtl/>
          <w:lang w:val="en-CA"/>
        </w:rPr>
        <w:t>ال</w:t>
      </w:r>
      <w:r w:rsidRPr="00E86FDB">
        <w:rPr>
          <w:spacing w:val="0"/>
          <w:kern w:val="0"/>
          <w:rtl/>
          <w:lang w:val="en-CA"/>
        </w:rPr>
        <w:t>تعويض، وفقاً للمادة 14 من الاتفاقية.</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المسائل والإجراءات المعروضة على اللجنة</w:t>
      </w:r>
    </w:p>
    <w:p w:rsidR="00FA6676" w:rsidRPr="00AA537D" w:rsidRDefault="00FA6676" w:rsidP="00AA537D">
      <w:pPr>
        <w:pStyle w:val="SingleTxtGA"/>
        <w:keepNext/>
        <w:jc w:val="lowKashida"/>
        <w:rPr>
          <w:rFonts w:hint="cs"/>
          <w:i/>
          <w:iCs/>
          <w:spacing w:val="0"/>
          <w:kern w:val="0"/>
          <w:rtl/>
          <w:lang w:val="en-CA"/>
        </w:rPr>
      </w:pPr>
      <w:r w:rsidRPr="00AA537D">
        <w:rPr>
          <w:rFonts w:hint="cs"/>
          <w:i/>
          <w:iCs/>
          <w:spacing w:val="0"/>
          <w:kern w:val="0"/>
          <w:rtl/>
          <w:lang w:val="en-CA"/>
        </w:rPr>
        <w:t>النظر في المقبولية</w:t>
      </w:r>
    </w:p>
    <w:p w:rsidR="00FA6676" w:rsidRPr="003A2D39" w:rsidRDefault="00FA6676" w:rsidP="003A2D39">
      <w:pPr>
        <w:pStyle w:val="SingleTxtGA"/>
        <w:jc w:val="lowKashida"/>
        <w:rPr>
          <w:rFonts w:hint="cs"/>
          <w:spacing w:val="-4"/>
          <w:kern w:val="0"/>
          <w:rtl/>
          <w:lang w:val="en-CA"/>
        </w:rPr>
      </w:pPr>
      <w:r w:rsidRPr="003A2D39">
        <w:rPr>
          <w:rFonts w:hint="cs"/>
          <w:spacing w:val="-4"/>
          <w:kern w:val="0"/>
          <w:rtl/>
          <w:lang w:val="en-CA"/>
        </w:rPr>
        <w:t>6-1</w:t>
      </w:r>
      <w:r w:rsidRPr="003A2D39">
        <w:rPr>
          <w:rFonts w:hint="cs"/>
          <w:spacing w:val="-4"/>
          <w:kern w:val="0"/>
          <w:rtl/>
          <w:lang w:val="en-CA"/>
        </w:rPr>
        <w:tab/>
      </w:r>
      <w:r w:rsidR="003A2D39" w:rsidRPr="003A2D39">
        <w:rPr>
          <w:spacing w:val="-4"/>
          <w:kern w:val="0"/>
          <w:sz w:val="20"/>
          <w:rtl/>
        </w:rPr>
        <w:t xml:space="preserve">قبل النظر في أية ادعاءات ترد في شكوى ما، </w:t>
      </w:r>
      <w:r w:rsidR="003A2D39" w:rsidRPr="003A2D39">
        <w:rPr>
          <w:rFonts w:hint="cs"/>
          <w:spacing w:val="-4"/>
          <w:kern w:val="0"/>
          <w:sz w:val="20"/>
          <w:rtl/>
        </w:rPr>
        <w:t>يتعين</w:t>
      </w:r>
      <w:r w:rsidR="003A2D39" w:rsidRPr="003A2D39">
        <w:rPr>
          <w:spacing w:val="-4"/>
          <w:kern w:val="0"/>
          <w:sz w:val="20"/>
          <w:rtl/>
        </w:rPr>
        <w:t xml:space="preserve"> على لجنة مناهضة التعذيب أن </w:t>
      </w:r>
      <w:r w:rsidR="003A2D39" w:rsidRPr="003A2D39">
        <w:rPr>
          <w:rFonts w:hint="cs"/>
          <w:spacing w:val="-4"/>
          <w:kern w:val="0"/>
          <w:sz w:val="20"/>
          <w:rtl/>
        </w:rPr>
        <w:t>تبت في</w:t>
      </w:r>
      <w:r w:rsidR="003A2D39" w:rsidRPr="003A2D39">
        <w:rPr>
          <w:spacing w:val="-4"/>
          <w:kern w:val="0"/>
          <w:sz w:val="20"/>
          <w:rtl/>
        </w:rPr>
        <w:t>ما إذا كانت الشكوى مقبولة أم لا</w:t>
      </w:r>
      <w:r w:rsidRPr="003A2D39">
        <w:rPr>
          <w:rFonts w:hint="cs"/>
          <w:spacing w:val="-4"/>
          <w:kern w:val="0"/>
          <w:rtl/>
          <w:lang w:val="en-CA"/>
        </w:rPr>
        <w:t xml:space="preserve"> بموجب المادة 22 من الاتفاقية. وقد تأكدت اللجنة، على النحو المطلوب منها وفقاً للفقرة 5(أ) من المادة 22 من الاتفاقية، من أن المسألة ذاتها لم تُبحث وليست قيد البحث في إطار أي إجراء آخر من إجراءات التحقيق الدولي أو التسوية الدولية.</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6-2</w:t>
      </w:r>
      <w:r w:rsidRPr="00AA537D">
        <w:rPr>
          <w:rFonts w:hint="cs"/>
          <w:spacing w:val="0"/>
          <w:kern w:val="0"/>
          <w:rtl/>
          <w:lang w:val="en-CA"/>
        </w:rPr>
        <w:tab/>
        <w:t>و</w:t>
      </w:r>
      <w:r w:rsidRPr="00AA537D">
        <w:rPr>
          <w:spacing w:val="0"/>
          <w:kern w:val="0"/>
          <w:rtl/>
          <w:lang w:val="en-CA"/>
        </w:rPr>
        <w:t xml:space="preserve">وفقاً </w:t>
      </w:r>
      <w:r w:rsidRPr="00AA537D">
        <w:rPr>
          <w:rFonts w:hint="cs"/>
          <w:spacing w:val="0"/>
          <w:kern w:val="0"/>
          <w:rtl/>
          <w:lang w:val="en-CA"/>
        </w:rPr>
        <w:t>ل</w:t>
      </w:r>
      <w:r w:rsidRPr="00AA537D">
        <w:rPr>
          <w:spacing w:val="0"/>
          <w:kern w:val="0"/>
          <w:rtl/>
          <w:lang w:val="en-CA"/>
        </w:rPr>
        <w:t xml:space="preserve">لفقرة 5(ب) </w:t>
      </w:r>
      <w:r w:rsidRPr="00AA537D">
        <w:rPr>
          <w:rFonts w:hint="cs"/>
          <w:spacing w:val="0"/>
          <w:kern w:val="0"/>
          <w:rtl/>
          <w:lang w:val="en-CA"/>
        </w:rPr>
        <w:t>من ا</w:t>
      </w:r>
      <w:r w:rsidRPr="00AA537D">
        <w:rPr>
          <w:spacing w:val="0"/>
          <w:kern w:val="0"/>
          <w:rtl/>
          <w:lang w:val="en-CA"/>
        </w:rPr>
        <w:t xml:space="preserve">لمادة 22 من الاتفاقية، فإن اللجنة لا تنظر في أي شكوى إلا إذا تأكدت من أن صاحب الشكوى قد استنفد جميع </w:t>
      </w:r>
      <w:r w:rsidRPr="00AA537D">
        <w:rPr>
          <w:rFonts w:hint="cs"/>
          <w:spacing w:val="0"/>
          <w:kern w:val="0"/>
          <w:rtl/>
          <w:lang w:val="en-CA"/>
        </w:rPr>
        <w:t>سبل الانتصاف</w:t>
      </w:r>
      <w:r w:rsidRPr="00AA537D">
        <w:rPr>
          <w:spacing w:val="0"/>
          <w:kern w:val="0"/>
          <w:rtl/>
          <w:lang w:val="en-CA"/>
        </w:rPr>
        <w:t xml:space="preserve"> المحلية المتاحة. </w:t>
      </w:r>
      <w:r w:rsidRPr="00AA537D">
        <w:rPr>
          <w:rFonts w:hint="cs"/>
          <w:spacing w:val="0"/>
          <w:kern w:val="0"/>
          <w:rtl/>
          <w:lang w:val="en-CA"/>
        </w:rPr>
        <w:t>و</w:t>
      </w:r>
      <w:r w:rsidRPr="00AA537D">
        <w:rPr>
          <w:spacing w:val="0"/>
          <w:kern w:val="0"/>
          <w:rtl/>
          <w:lang w:val="en-CA"/>
        </w:rPr>
        <w:t xml:space="preserve">في </w:t>
      </w:r>
      <w:r w:rsidRPr="00AA537D">
        <w:rPr>
          <w:rFonts w:hint="cs"/>
          <w:spacing w:val="0"/>
          <w:kern w:val="0"/>
          <w:rtl/>
          <w:lang w:val="en-CA"/>
        </w:rPr>
        <w:t xml:space="preserve">هذه </w:t>
      </w:r>
      <w:r w:rsidRPr="00AA537D">
        <w:rPr>
          <w:spacing w:val="0"/>
          <w:kern w:val="0"/>
          <w:rtl/>
          <w:lang w:val="en-CA"/>
        </w:rPr>
        <w:t>الحالة، تحيط اللجنة علما</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ب</w:t>
      </w:r>
      <w:r w:rsidRPr="00AA537D">
        <w:rPr>
          <w:spacing w:val="0"/>
          <w:kern w:val="0"/>
          <w:rtl/>
          <w:lang w:val="en-CA"/>
        </w:rPr>
        <w:t>شكوى التعذيب التي رفعها صاحب البلاغ في 29 كانون الثاني</w:t>
      </w:r>
      <w:r w:rsidRPr="00AA537D">
        <w:rPr>
          <w:rFonts w:hint="cs"/>
          <w:spacing w:val="0"/>
          <w:kern w:val="0"/>
          <w:rtl/>
          <w:lang w:val="en-CA"/>
        </w:rPr>
        <w:t>/يناير </w:t>
      </w:r>
      <w:r w:rsidRPr="00AA537D">
        <w:rPr>
          <w:spacing w:val="0"/>
          <w:kern w:val="0"/>
          <w:rtl/>
          <w:lang w:val="en-CA"/>
        </w:rPr>
        <w:t xml:space="preserve">2003، وقرار </w:t>
      </w:r>
      <w:r w:rsidRPr="00AA537D">
        <w:rPr>
          <w:rFonts w:hint="cs"/>
          <w:spacing w:val="0"/>
          <w:kern w:val="0"/>
          <w:rtl/>
          <w:lang w:val="en-CA"/>
        </w:rPr>
        <w:t>وقف</w:t>
      </w:r>
      <w:r w:rsidRPr="00AA537D">
        <w:rPr>
          <w:spacing w:val="0"/>
          <w:kern w:val="0"/>
          <w:rtl/>
          <w:lang w:val="en-CA"/>
        </w:rPr>
        <w:t xml:space="preserve"> الإجراءات، و</w:t>
      </w:r>
      <w:r w:rsidRPr="00AA537D">
        <w:rPr>
          <w:rFonts w:hint="cs"/>
          <w:spacing w:val="0"/>
          <w:kern w:val="0"/>
          <w:rtl/>
          <w:lang w:val="en-CA"/>
        </w:rPr>
        <w:t>الطعون</w:t>
      </w:r>
      <w:r w:rsidRPr="00AA537D">
        <w:rPr>
          <w:spacing w:val="0"/>
          <w:kern w:val="0"/>
          <w:rtl/>
          <w:lang w:val="en-CA"/>
        </w:rPr>
        <w:t xml:space="preserve"> اللاحقة ضد هذا القرار</w:t>
      </w:r>
      <w:r w:rsidRPr="00AA537D">
        <w:rPr>
          <w:rFonts w:hint="cs"/>
          <w:spacing w:val="0"/>
          <w:kern w:val="0"/>
          <w:rtl/>
          <w:lang w:val="en-CA"/>
        </w:rPr>
        <w:t>،</w:t>
      </w:r>
      <w:r w:rsidRPr="00AA537D">
        <w:rPr>
          <w:spacing w:val="0"/>
          <w:kern w:val="0"/>
          <w:rtl/>
          <w:lang w:val="en-CA"/>
        </w:rPr>
        <w:t xml:space="preserve"> وقرار المحكمة العليا </w:t>
      </w:r>
      <w:r w:rsidRPr="00AA537D">
        <w:rPr>
          <w:rFonts w:hint="cs"/>
          <w:spacing w:val="0"/>
          <w:kern w:val="0"/>
          <w:rtl/>
          <w:lang w:val="en-CA"/>
        </w:rPr>
        <w:t xml:space="preserve">الإقليمية </w:t>
      </w:r>
      <w:r w:rsidRPr="00AA537D">
        <w:rPr>
          <w:spacing w:val="0"/>
          <w:kern w:val="0"/>
          <w:rtl/>
          <w:lang w:val="en-CA"/>
        </w:rPr>
        <w:t>في ألافا</w:t>
      </w:r>
      <w:r w:rsidRPr="00AA537D">
        <w:rPr>
          <w:rFonts w:hint="cs"/>
          <w:spacing w:val="0"/>
          <w:kern w:val="0"/>
          <w:rtl/>
          <w:lang w:val="en-CA"/>
        </w:rPr>
        <w:t xml:space="preserve"> </w:t>
      </w:r>
      <w:r w:rsidRPr="00AA537D">
        <w:rPr>
          <w:spacing w:val="0"/>
          <w:kern w:val="0"/>
          <w:rtl/>
          <w:lang w:val="en-CA"/>
        </w:rPr>
        <w:t xml:space="preserve">في 30 </w:t>
      </w:r>
      <w:r w:rsidRPr="00AA537D">
        <w:rPr>
          <w:rFonts w:hint="cs"/>
          <w:spacing w:val="0"/>
          <w:kern w:val="0"/>
          <w:rtl/>
          <w:lang w:val="en-CA"/>
        </w:rPr>
        <w:t>آذار/</w:t>
      </w:r>
      <w:r w:rsidRPr="00AA537D">
        <w:rPr>
          <w:spacing w:val="0"/>
          <w:kern w:val="0"/>
          <w:rtl/>
          <w:lang w:val="en-CA"/>
        </w:rPr>
        <w:t xml:space="preserve">مارس 2004 </w:t>
      </w:r>
      <w:r w:rsidRPr="00AA537D">
        <w:rPr>
          <w:rFonts w:hint="cs"/>
          <w:spacing w:val="0"/>
          <w:kern w:val="0"/>
          <w:rtl/>
          <w:lang w:val="en-CA"/>
        </w:rPr>
        <w:t>برفض طعنه الفرعي</w:t>
      </w:r>
      <w:r w:rsidRPr="00AA537D">
        <w:rPr>
          <w:spacing w:val="0"/>
          <w:kern w:val="0"/>
          <w:rtl/>
          <w:lang w:val="en-CA"/>
        </w:rPr>
        <w:t>. كما تحيط اللجنة علما</w:t>
      </w:r>
      <w:r w:rsidRPr="00AA537D">
        <w:rPr>
          <w:rFonts w:hint="cs"/>
          <w:spacing w:val="0"/>
          <w:kern w:val="0"/>
          <w:rtl/>
          <w:lang w:val="en-CA"/>
        </w:rPr>
        <w:t>ً</w:t>
      </w:r>
      <w:r w:rsidRPr="00AA537D">
        <w:rPr>
          <w:spacing w:val="0"/>
          <w:kern w:val="0"/>
          <w:rtl/>
          <w:lang w:val="en-CA"/>
        </w:rPr>
        <w:t xml:space="preserve"> بطلب الحماية القضائية </w:t>
      </w:r>
      <w:r w:rsidRPr="00AA537D">
        <w:rPr>
          <w:rFonts w:hint="cs"/>
          <w:spacing w:val="0"/>
          <w:kern w:val="0"/>
          <w:rtl/>
          <w:lang w:val="en-CA"/>
        </w:rPr>
        <w:t xml:space="preserve">المتعلق بجملة </w:t>
      </w:r>
      <w:r w:rsidRPr="00AA537D">
        <w:rPr>
          <w:spacing w:val="0"/>
          <w:kern w:val="0"/>
          <w:rtl/>
          <w:lang w:val="en-CA"/>
        </w:rPr>
        <w:t>انتهاكات، من</w:t>
      </w:r>
      <w:r w:rsidRPr="00AA537D">
        <w:rPr>
          <w:rFonts w:hint="cs"/>
          <w:spacing w:val="0"/>
          <w:kern w:val="0"/>
          <w:rtl/>
          <w:lang w:val="en-CA"/>
        </w:rPr>
        <w:t>ها</w:t>
      </w:r>
      <w:r w:rsidRPr="00AA537D">
        <w:rPr>
          <w:spacing w:val="0"/>
          <w:kern w:val="0"/>
          <w:rtl/>
          <w:lang w:val="en-CA"/>
        </w:rPr>
        <w:t xml:space="preserve"> </w:t>
      </w:r>
      <w:r w:rsidRPr="00AA537D">
        <w:rPr>
          <w:rFonts w:hint="cs"/>
          <w:spacing w:val="0"/>
          <w:kern w:val="0"/>
          <w:rtl/>
          <w:lang w:val="en-CA"/>
        </w:rPr>
        <w:t xml:space="preserve">انتهاك </w:t>
      </w:r>
      <w:r w:rsidRPr="00AA537D">
        <w:rPr>
          <w:spacing w:val="0"/>
          <w:kern w:val="0"/>
          <w:rtl/>
          <w:lang w:val="en-CA"/>
        </w:rPr>
        <w:t>حقه في السلامة العقلية و</w:t>
      </w:r>
      <w:r w:rsidRPr="00AA537D">
        <w:rPr>
          <w:rFonts w:hint="cs"/>
          <w:spacing w:val="0"/>
          <w:kern w:val="0"/>
          <w:rtl/>
          <w:lang w:val="en-CA"/>
        </w:rPr>
        <w:t>البدنية</w:t>
      </w:r>
      <w:r w:rsidRPr="00AA537D">
        <w:rPr>
          <w:spacing w:val="0"/>
          <w:kern w:val="0"/>
          <w:rtl/>
          <w:lang w:val="en-CA"/>
        </w:rPr>
        <w:t xml:space="preserve">، </w:t>
      </w:r>
      <w:r w:rsidRPr="00AA537D">
        <w:rPr>
          <w:rFonts w:hint="cs"/>
          <w:spacing w:val="0"/>
          <w:kern w:val="0"/>
          <w:rtl/>
          <w:lang w:val="en-CA"/>
        </w:rPr>
        <w:t xml:space="preserve">وهو الطلب </w:t>
      </w:r>
      <w:r w:rsidRPr="00AA537D">
        <w:rPr>
          <w:spacing w:val="0"/>
          <w:kern w:val="0"/>
          <w:rtl/>
          <w:lang w:val="en-CA"/>
        </w:rPr>
        <w:t>ال</w:t>
      </w:r>
      <w:r w:rsidRPr="00AA537D">
        <w:rPr>
          <w:rFonts w:hint="cs"/>
          <w:spacing w:val="0"/>
          <w:kern w:val="0"/>
          <w:rtl/>
          <w:lang w:val="en-CA"/>
        </w:rPr>
        <w:t>ذ</w:t>
      </w:r>
      <w:r w:rsidRPr="00AA537D">
        <w:rPr>
          <w:spacing w:val="0"/>
          <w:kern w:val="0"/>
          <w:rtl/>
          <w:lang w:val="en-CA"/>
        </w:rPr>
        <w:t xml:space="preserve">ي </w:t>
      </w:r>
      <w:r w:rsidRPr="00AA537D">
        <w:rPr>
          <w:rFonts w:hint="cs"/>
          <w:spacing w:val="0"/>
          <w:kern w:val="0"/>
          <w:rtl/>
          <w:lang w:val="en-CA"/>
        </w:rPr>
        <w:t>قدمه</w:t>
      </w:r>
      <w:r w:rsidRPr="00AA537D">
        <w:rPr>
          <w:spacing w:val="0"/>
          <w:kern w:val="0"/>
          <w:rtl/>
          <w:lang w:val="en-CA"/>
        </w:rPr>
        <w:t xml:space="preserve"> </w:t>
      </w:r>
      <w:r w:rsidRPr="00AA537D">
        <w:rPr>
          <w:rFonts w:hint="cs"/>
          <w:spacing w:val="0"/>
          <w:kern w:val="0"/>
          <w:rtl/>
          <w:lang w:val="en-CA"/>
        </w:rPr>
        <w:t>صاحب الشكوى</w:t>
      </w:r>
      <w:r w:rsidRPr="00AA537D">
        <w:rPr>
          <w:spacing w:val="0"/>
          <w:kern w:val="0"/>
          <w:rtl/>
          <w:lang w:val="en-CA"/>
        </w:rPr>
        <w:t xml:space="preserve"> في 22 نيسان</w:t>
      </w:r>
      <w:r w:rsidRPr="00AA537D">
        <w:rPr>
          <w:rFonts w:hint="cs"/>
          <w:spacing w:val="0"/>
          <w:kern w:val="0"/>
          <w:rtl/>
          <w:lang w:val="en-CA"/>
        </w:rPr>
        <w:t>/أبريل</w:t>
      </w:r>
      <w:r w:rsidRPr="00AA537D">
        <w:rPr>
          <w:spacing w:val="0"/>
          <w:kern w:val="0"/>
          <w:rtl/>
          <w:lang w:val="en-CA"/>
        </w:rPr>
        <w:t xml:space="preserve"> 2004. </w:t>
      </w:r>
      <w:r w:rsidRPr="00AA537D">
        <w:rPr>
          <w:rFonts w:hint="cs"/>
          <w:spacing w:val="0"/>
          <w:kern w:val="0"/>
          <w:rtl/>
          <w:lang w:val="en-CA"/>
        </w:rPr>
        <w:t xml:space="preserve">وقد </w:t>
      </w:r>
      <w:r w:rsidRPr="00AA537D">
        <w:rPr>
          <w:spacing w:val="0"/>
          <w:kern w:val="0"/>
          <w:rtl/>
          <w:lang w:val="en-CA"/>
        </w:rPr>
        <w:t xml:space="preserve">حكمت المحكمة الدستورية </w:t>
      </w:r>
      <w:r w:rsidRPr="00AA537D">
        <w:rPr>
          <w:rFonts w:hint="cs"/>
          <w:spacing w:val="0"/>
          <w:kern w:val="0"/>
          <w:rtl/>
          <w:lang w:val="en-CA"/>
        </w:rPr>
        <w:t xml:space="preserve">بعدم مقبولية هذا الطلب </w:t>
      </w:r>
      <w:r w:rsidRPr="00AA537D">
        <w:rPr>
          <w:spacing w:val="0"/>
          <w:kern w:val="0"/>
          <w:rtl/>
          <w:lang w:val="en-CA"/>
        </w:rPr>
        <w:t xml:space="preserve">في 23 حزيران/يونيه 2005، لأن </w:t>
      </w:r>
      <w:r w:rsidRPr="00AA537D">
        <w:rPr>
          <w:rFonts w:hint="cs"/>
          <w:spacing w:val="0"/>
          <w:kern w:val="0"/>
          <w:rtl/>
          <w:lang w:val="en-CA"/>
        </w:rPr>
        <w:t>محامي</w:t>
      </w:r>
      <w:r w:rsidRPr="00AA537D">
        <w:rPr>
          <w:spacing w:val="0"/>
          <w:kern w:val="0"/>
          <w:rtl/>
          <w:lang w:val="en-CA"/>
        </w:rPr>
        <w:t xml:space="preserve"> صاحب الشكوى لم </w:t>
      </w:r>
      <w:r w:rsidRPr="00AA537D">
        <w:rPr>
          <w:rFonts w:hint="cs"/>
          <w:spacing w:val="0"/>
          <w:kern w:val="0"/>
          <w:rtl/>
          <w:lang w:val="en-CA"/>
        </w:rPr>
        <w:t>ي</w:t>
      </w:r>
      <w:r w:rsidRPr="00AA537D">
        <w:rPr>
          <w:spacing w:val="0"/>
          <w:kern w:val="0"/>
          <w:rtl/>
          <w:lang w:val="en-CA"/>
        </w:rPr>
        <w:t xml:space="preserve">متثل لشرط </w:t>
      </w:r>
      <w:r w:rsidRPr="00AA537D">
        <w:rPr>
          <w:rFonts w:hint="cs"/>
          <w:spacing w:val="0"/>
          <w:kern w:val="0"/>
          <w:rtl/>
          <w:lang w:val="en-CA"/>
        </w:rPr>
        <w:t>تقديم</w:t>
      </w:r>
      <w:r w:rsidRPr="00AA537D">
        <w:rPr>
          <w:spacing w:val="0"/>
          <w:kern w:val="0"/>
          <w:rtl/>
          <w:lang w:val="en-CA"/>
        </w:rPr>
        <w:t xml:space="preserve"> أوراق اعتماده ك</w:t>
      </w:r>
      <w:r w:rsidRPr="00AA537D">
        <w:rPr>
          <w:rFonts w:hint="cs"/>
          <w:spacing w:val="0"/>
          <w:kern w:val="0"/>
          <w:rtl/>
          <w:lang w:val="en-CA"/>
        </w:rPr>
        <w:t xml:space="preserve">محامي عن </w:t>
      </w:r>
      <w:r w:rsidRPr="00AA537D">
        <w:rPr>
          <w:spacing w:val="0"/>
          <w:kern w:val="0"/>
          <w:rtl/>
          <w:lang w:val="en-CA"/>
        </w:rPr>
        <w:t xml:space="preserve">صاحب الشكوى. </w:t>
      </w:r>
      <w:r w:rsidRPr="00AA537D">
        <w:rPr>
          <w:rFonts w:hint="cs"/>
          <w:spacing w:val="0"/>
          <w:kern w:val="0"/>
          <w:rtl/>
          <w:lang w:val="en-CA"/>
        </w:rPr>
        <w:t xml:space="preserve">ولم يقدم </w:t>
      </w:r>
      <w:r w:rsidRPr="00AA537D">
        <w:rPr>
          <w:spacing w:val="0"/>
          <w:kern w:val="0"/>
          <w:rtl/>
          <w:lang w:val="en-CA"/>
        </w:rPr>
        <w:t>صاحب الشكوى أي تفسير لعدم الامتثال لهذا</w:t>
      </w:r>
      <w:r w:rsidRPr="00AA537D">
        <w:rPr>
          <w:rFonts w:hint="cs"/>
          <w:spacing w:val="0"/>
          <w:kern w:val="0"/>
          <w:rtl/>
          <w:lang w:val="en-CA"/>
        </w:rPr>
        <w:t> </w:t>
      </w:r>
      <w:r w:rsidRPr="00AA537D">
        <w:rPr>
          <w:spacing w:val="0"/>
          <w:kern w:val="0"/>
          <w:rtl/>
          <w:lang w:val="en-CA"/>
        </w:rPr>
        <w:t>المطلب.</w:t>
      </w:r>
    </w:p>
    <w:p w:rsidR="00FA6676" w:rsidRPr="00AA537D" w:rsidRDefault="00FA6676" w:rsidP="001A08AE">
      <w:pPr>
        <w:pStyle w:val="SingleTxtGA"/>
        <w:jc w:val="lowKashida"/>
        <w:rPr>
          <w:rFonts w:hint="cs"/>
          <w:spacing w:val="0"/>
          <w:kern w:val="0"/>
          <w:rtl/>
          <w:lang w:val="en-CA"/>
        </w:rPr>
      </w:pPr>
      <w:r w:rsidRPr="00AA537D">
        <w:rPr>
          <w:rFonts w:hint="cs"/>
          <w:spacing w:val="0"/>
          <w:kern w:val="0"/>
          <w:rtl/>
          <w:lang w:val="en-CA"/>
        </w:rPr>
        <w:t>6-3</w:t>
      </w:r>
      <w:r w:rsidRPr="00AA537D">
        <w:rPr>
          <w:rFonts w:hint="cs"/>
          <w:spacing w:val="0"/>
          <w:kern w:val="0"/>
          <w:rtl/>
          <w:lang w:val="en-CA"/>
        </w:rPr>
        <w:tab/>
      </w:r>
      <w:r w:rsidRPr="00AA537D">
        <w:rPr>
          <w:spacing w:val="0"/>
          <w:kern w:val="0"/>
          <w:rtl/>
          <w:lang w:val="en-CA"/>
        </w:rPr>
        <w:t>وفيما يتعلق بالإجراءات الجنائية ضد صاحب الشكوى، تحيط اللجنة علما</w:t>
      </w:r>
      <w:r w:rsidRPr="00AA537D">
        <w:rPr>
          <w:rFonts w:hint="cs"/>
          <w:spacing w:val="0"/>
          <w:kern w:val="0"/>
          <w:rtl/>
          <w:lang w:val="en-CA"/>
        </w:rPr>
        <w:t>ً</w:t>
      </w:r>
      <w:r w:rsidRPr="00AA537D">
        <w:rPr>
          <w:spacing w:val="0"/>
          <w:kern w:val="0"/>
          <w:rtl/>
          <w:lang w:val="en-CA"/>
        </w:rPr>
        <w:t xml:space="preserve"> </w:t>
      </w:r>
      <w:r w:rsidRPr="00AA537D">
        <w:rPr>
          <w:rFonts w:hint="cs"/>
          <w:spacing w:val="0"/>
          <w:kern w:val="0"/>
          <w:rtl/>
          <w:lang w:val="en-CA"/>
        </w:rPr>
        <w:t>بالإدانة</w:t>
      </w:r>
      <w:r w:rsidRPr="00AA537D">
        <w:rPr>
          <w:spacing w:val="0"/>
          <w:kern w:val="0"/>
          <w:rtl/>
          <w:lang w:val="en-CA"/>
        </w:rPr>
        <w:t xml:space="preserve"> التي أصدرتها المحكمة العليا الوطنية في 12 كانون الأول</w:t>
      </w:r>
      <w:r w:rsidRPr="00AA537D">
        <w:rPr>
          <w:rFonts w:hint="cs"/>
          <w:spacing w:val="0"/>
          <w:kern w:val="0"/>
          <w:rtl/>
          <w:lang w:val="en-CA"/>
        </w:rPr>
        <w:t>/ديسمبر</w:t>
      </w:r>
      <w:r w:rsidRPr="00AA537D">
        <w:rPr>
          <w:spacing w:val="0"/>
          <w:kern w:val="0"/>
          <w:rtl/>
          <w:lang w:val="en-CA"/>
        </w:rPr>
        <w:t xml:space="preserve"> 2005 وحكم المحكمة العليا الصادر</w:t>
      </w:r>
      <w:r w:rsidRPr="00AA537D">
        <w:rPr>
          <w:rFonts w:hint="cs"/>
          <w:spacing w:val="0"/>
          <w:kern w:val="0"/>
          <w:rtl/>
          <w:lang w:val="en-CA"/>
        </w:rPr>
        <w:t xml:space="preserve"> ف</w:t>
      </w:r>
      <w:r w:rsidRPr="00AA537D">
        <w:rPr>
          <w:spacing w:val="0"/>
          <w:kern w:val="0"/>
          <w:rtl/>
          <w:lang w:val="en-CA"/>
        </w:rPr>
        <w:t xml:space="preserve">ي 4 </w:t>
      </w:r>
      <w:r w:rsidRPr="00AA537D">
        <w:rPr>
          <w:rFonts w:hint="cs"/>
          <w:spacing w:val="0"/>
          <w:kern w:val="0"/>
          <w:rtl/>
          <w:lang w:val="en-CA"/>
        </w:rPr>
        <w:t>كانون الأول/</w:t>
      </w:r>
      <w:r w:rsidRPr="00AA537D">
        <w:rPr>
          <w:spacing w:val="0"/>
          <w:kern w:val="0"/>
          <w:rtl/>
          <w:lang w:val="en-CA"/>
        </w:rPr>
        <w:t xml:space="preserve">ديسمبر 2006 </w:t>
      </w:r>
      <w:r w:rsidRPr="00AA537D">
        <w:rPr>
          <w:rFonts w:hint="cs"/>
          <w:spacing w:val="0"/>
          <w:kern w:val="0"/>
          <w:rtl/>
          <w:lang w:val="en-CA"/>
        </w:rPr>
        <w:t xml:space="preserve">بشأن </w:t>
      </w:r>
      <w:r w:rsidRPr="00AA537D">
        <w:rPr>
          <w:spacing w:val="0"/>
          <w:kern w:val="0"/>
          <w:rtl/>
          <w:lang w:val="en-CA"/>
        </w:rPr>
        <w:t xml:space="preserve">طلبه </w:t>
      </w:r>
      <w:r w:rsidRPr="00AA537D">
        <w:rPr>
          <w:rFonts w:hint="cs"/>
          <w:spacing w:val="0"/>
          <w:kern w:val="0"/>
          <w:rtl/>
          <w:lang w:val="en-CA"/>
        </w:rPr>
        <w:t>المتعلق ب</w:t>
      </w:r>
      <w:r w:rsidRPr="00AA537D">
        <w:rPr>
          <w:spacing w:val="0"/>
          <w:kern w:val="0"/>
          <w:rtl/>
          <w:lang w:val="en-CA"/>
        </w:rPr>
        <w:t>النقض، ال</w:t>
      </w:r>
      <w:r w:rsidRPr="00AA537D">
        <w:rPr>
          <w:rFonts w:hint="cs"/>
          <w:spacing w:val="0"/>
          <w:kern w:val="0"/>
          <w:rtl/>
          <w:lang w:val="en-CA"/>
        </w:rPr>
        <w:t>ذ</w:t>
      </w:r>
      <w:r w:rsidRPr="00AA537D">
        <w:rPr>
          <w:spacing w:val="0"/>
          <w:kern w:val="0"/>
          <w:rtl/>
          <w:lang w:val="en-CA"/>
        </w:rPr>
        <w:t xml:space="preserve">ي </w:t>
      </w:r>
      <w:r w:rsidRPr="00AA537D">
        <w:rPr>
          <w:rFonts w:hint="cs"/>
          <w:spacing w:val="0"/>
          <w:kern w:val="0"/>
          <w:rtl/>
          <w:lang w:val="en-CA"/>
        </w:rPr>
        <w:t xml:space="preserve">يشير إلى أن صاحب الشكوى ادَّعى في محاكمته أمام دائرة التحقيق </w:t>
      </w:r>
      <w:r w:rsidRPr="00AA537D">
        <w:rPr>
          <w:spacing w:val="0"/>
          <w:kern w:val="0"/>
          <w:rtl/>
          <w:lang w:val="en-CA"/>
        </w:rPr>
        <w:t>الرابع</w:t>
      </w:r>
      <w:r w:rsidRPr="00AA537D">
        <w:rPr>
          <w:rFonts w:hint="cs"/>
          <w:spacing w:val="0"/>
          <w:kern w:val="0"/>
          <w:rtl/>
          <w:lang w:val="en-CA"/>
        </w:rPr>
        <w:t>ة</w:t>
      </w:r>
      <w:r w:rsidRPr="00AA537D">
        <w:rPr>
          <w:spacing w:val="0"/>
          <w:kern w:val="0"/>
          <w:rtl/>
          <w:lang w:val="en-CA"/>
        </w:rPr>
        <w:t xml:space="preserve"> </w:t>
      </w:r>
      <w:r w:rsidRPr="00AA537D">
        <w:rPr>
          <w:rFonts w:hint="cs"/>
          <w:spacing w:val="0"/>
          <w:kern w:val="0"/>
          <w:rtl/>
          <w:lang w:val="en-CA"/>
        </w:rPr>
        <w:t>التابعة ل</w:t>
      </w:r>
      <w:r w:rsidRPr="00AA537D">
        <w:rPr>
          <w:spacing w:val="0"/>
          <w:kern w:val="0"/>
          <w:rtl/>
          <w:lang w:val="en-CA"/>
        </w:rPr>
        <w:t>لمحكمة العليا الوطنية و</w:t>
      </w:r>
      <w:r w:rsidRPr="00AA537D">
        <w:rPr>
          <w:rFonts w:hint="cs"/>
          <w:spacing w:val="0"/>
          <w:kern w:val="0"/>
          <w:rtl/>
          <w:lang w:val="en-CA"/>
        </w:rPr>
        <w:t xml:space="preserve">في </w:t>
      </w:r>
      <w:r w:rsidRPr="00AA537D">
        <w:rPr>
          <w:spacing w:val="0"/>
          <w:kern w:val="0"/>
          <w:rtl/>
          <w:lang w:val="en-CA"/>
        </w:rPr>
        <w:t xml:space="preserve">طلبه </w:t>
      </w:r>
      <w:r w:rsidRPr="00AA537D">
        <w:rPr>
          <w:rFonts w:hint="cs"/>
          <w:spacing w:val="0"/>
          <w:kern w:val="0"/>
          <w:rtl/>
          <w:lang w:val="en-CA"/>
        </w:rPr>
        <w:t>المتعلق با</w:t>
      </w:r>
      <w:r w:rsidRPr="00AA537D">
        <w:rPr>
          <w:spacing w:val="0"/>
          <w:kern w:val="0"/>
          <w:rtl/>
          <w:lang w:val="en-CA"/>
        </w:rPr>
        <w:t xml:space="preserve">لنقض أمام المحكمة العليا </w:t>
      </w:r>
      <w:r w:rsidR="001A08AE">
        <w:rPr>
          <w:rFonts w:hint="cs"/>
          <w:spacing w:val="0"/>
          <w:kern w:val="0"/>
          <w:rtl/>
          <w:lang w:val="en-CA"/>
        </w:rPr>
        <w:t xml:space="preserve">أنه </w:t>
      </w:r>
      <w:r w:rsidRPr="00AA537D">
        <w:rPr>
          <w:rFonts w:hint="cs"/>
          <w:spacing w:val="0"/>
          <w:kern w:val="0"/>
          <w:rtl/>
          <w:lang w:val="en-CA"/>
        </w:rPr>
        <w:t xml:space="preserve">اعترف بالجريمة </w:t>
      </w:r>
      <w:r w:rsidRPr="00AA537D">
        <w:rPr>
          <w:spacing w:val="0"/>
          <w:kern w:val="0"/>
          <w:rtl/>
          <w:lang w:val="en-CA"/>
        </w:rPr>
        <w:t xml:space="preserve">نتيجة تعرضه للتعذيب على يد الشرطة. </w:t>
      </w:r>
      <w:r w:rsidRPr="00AA537D">
        <w:rPr>
          <w:rFonts w:hint="cs"/>
          <w:spacing w:val="0"/>
          <w:kern w:val="0"/>
          <w:rtl/>
          <w:lang w:val="en-CA"/>
        </w:rPr>
        <w:t>و</w:t>
      </w:r>
      <w:r w:rsidRPr="00AA537D">
        <w:rPr>
          <w:spacing w:val="0"/>
          <w:kern w:val="0"/>
          <w:rtl/>
          <w:lang w:val="en-CA"/>
        </w:rPr>
        <w:t xml:space="preserve">في 31 </w:t>
      </w:r>
      <w:r w:rsidRPr="00AA537D">
        <w:rPr>
          <w:rFonts w:hint="cs"/>
          <w:spacing w:val="0"/>
          <w:kern w:val="0"/>
          <w:rtl/>
          <w:lang w:val="en-CA"/>
        </w:rPr>
        <w:t>آذار/</w:t>
      </w:r>
      <w:r w:rsidRPr="00AA537D">
        <w:rPr>
          <w:spacing w:val="0"/>
          <w:kern w:val="0"/>
          <w:rtl/>
          <w:lang w:val="en-CA"/>
        </w:rPr>
        <w:t>مارس 2008، رفضت المحكمة الدستورية طلب الحماية القضائية المرفوع استجابة لقرار المحكمة العليا.</w:t>
      </w:r>
    </w:p>
    <w:p w:rsidR="00FA6676" w:rsidRPr="00AA537D" w:rsidRDefault="00FA6676" w:rsidP="00AA537D">
      <w:pPr>
        <w:pStyle w:val="SingleTxtGA"/>
        <w:jc w:val="lowKashida"/>
        <w:rPr>
          <w:rFonts w:hint="cs"/>
          <w:spacing w:val="0"/>
          <w:kern w:val="0"/>
          <w:rtl/>
          <w:lang w:val="en-CA"/>
        </w:rPr>
      </w:pPr>
      <w:r w:rsidRPr="00AA537D">
        <w:rPr>
          <w:rFonts w:hint="cs"/>
          <w:spacing w:val="0"/>
          <w:kern w:val="0"/>
          <w:rtl/>
          <w:lang w:val="en-CA"/>
        </w:rPr>
        <w:t>6-4</w:t>
      </w:r>
      <w:r w:rsidRPr="00AA537D">
        <w:rPr>
          <w:rFonts w:hint="cs"/>
          <w:spacing w:val="0"/>
          <w:kern w:val="0"/>
          <w:rtl/>
          <w:lang w:val="en-CA"/>
        </w:rPr>
        <w:tab/>
      </w:r>
      <w:r w:rsidRPr="00AA537D">
        <w:rPr>
          <w:spacing w:val="0"/>
          <w:kern w:val="0"/>
          <w:rtl/>
          <w:lang w:val="en-CA"/>
        </w:rPr>
        <w:t xml:space="preserve">وتلاحظ اللجنة أن صاحب الشكوى لم يستنفد سبل الانتصاف المحلية فيما يتعلق بادعائه </w:t>
      </w:r>
      <w:r w:rsidRPr="00AA537D">
        <w:rPr>
          <w:rFonts w:hint="cs"/>
          <w:spacing w:val="0"/>
          <w:kern w:val="0"/>
          <w:rtl/>
          <w:lang w:val="en-CA"/>
        </w:rPr>
        <w:t>التعرض</w:t>
      </w:r>
      <w:r w:rsidRPr="00AA537D">
        <w:rPr>
          <w:spacing w:val="0"/>
          <w:kern w:val="0"/>
          <w:rtl/>
          <w:lang w:val="en-CA"/>
        </w:rPr>
        <w:t xml:space="preserve"> للتعذيب، لأنه لم يمتثل للشروط القانونية </w:t>
      </w:r>
      <w:r w:rsidRPr="00AA537D">
        <w:rPr>
          <w:rFonts w:hint="cs"/>
          <w:spacing w:val="0"/>
          <w:kern w:val="0"/>
          <w:rtl/>
          <w:lang w:val="en-CA"/>
        </w:rPr>
        <w:t>المتعلقة ب</w:t>
      </w:r>
      <w:r w:rsidRPr="00AA537D">
        <w:rPr>
          <w:spacing w:val="0"/>
          <w:kern w:val="0"/>
          <w:rtl/>
          <w:lang w:val="en-CA"/>
        </w:rPr>
        <w:t xml:space="preserve">طلب الحماية القضائية </w:t>
      </w:r>
      <w:r w:rsidRPr="00AA537D">
        <w:rPr>
          <w:rFonts w:hint="cs"/>
          <w:spacing w:val="0"/>
          <w:kern w:val="0"/>
          <w:rtl/>
          <w:lang w:val="en-CA"/>
        </w:rPr>
        <w:t xml:space="preserve">المقدم </w:t>
      </w:r>
      <w:r w:rsidRPr="00AA537D">
        <w:rPr>
          <w:spacing w:val="0"/>
          <w:kern w:val="0"/>
          <w:rtl/>
          <w:lang w:val="en-CA"/>
        </w:rPr>
        <w:t xml:space="preserve">إلى المحكمة الدستورية. ومع ذلك، تلاحظ اللجنة أن صاحب الشكوى أبلغ المحاكم المختصة خلال الإجراءات الجنائية ضده </w:t>
      </w:r>
      <w:r w:rsidRPr="00AA537D">
        <w:rPr>
          <w:rFonts w:hint="cs"/>
          <w:spacing w:val="0"/>
          <w:kern w:val="0"/>
          <w:rtl/>
          <w:lang w:val="en-CA"/>
        </w:rPr>
        <w:t>أنه</w:t>
      </w:r>
      <w:r w:rsidRPr="00AA537D">
        <w:rPr>
          <w:spacing w:val="0"/>
          <w:kern w:val="0"/>
          <w:rtl/>
          <w:lang w:val="en-CA"/>
        </w:rPr>
        <w:t xml:space="preserve"> تعرض للتعذيب. </w:t>
      </w:r>
      <w:r w:rsidRPr="00AA537D">
        <w:rPr>
          <w:rFonts w:hint="cs"/>
          <w:spacing w:val="0"/>
          <w:kern w:val="0"/>
          <w:rtl/>
          <w:lang w:val="en-CA"/>
        </w:rPr>
        <w:t>و</w:t>
      </w:r>
      <w:r w:rsidRPr="00AA537D">
        <w:rPr>
          <w:spacing w:val="0"/>
          <w:kern w:val="0"/>
          <w:rtl/>
          <w:lang w:val="en-CA"/>
        </w:rPr>
        <w:t xml:space="preserve">بالنظر إلى أن </w:t>
      </w:r>
      <w:r w:rsidRPr="00AA537D">
        <w:rPr>
          <w:rFonts w:hint="cs"/>
          <w:spacing w:val="0"/>
          <w:kern w:val="0"/>
          <w:rtl/>
          <w:lang w:val="en-CA"/>
        </w:rPr>
        <w:t xml:space="preserve">أي عمل من أعمال </w:t>
      </w:r>
      <w:r w:rsidRPr="00AA537D">
        <w:rPr>
          <w:spacing w:val="0"/>
          <w:kern w:val="0"/>
          <w:rtl/>
          <w:lang w:val="en-CA"/>
        </w:rPr>
        <w:t xml:space="preserve">التعذيب </w:t>
      </w:r>
      <w:r w:rsidRPr="00AA537D">
        <w:rPr>
          <w:rFonts w:hint="cs"/>
          <w:spacing w:val="0"/>
          <w:kern w:val="0"/>
          <w:rtl/>
          <w:lang w:val="en-CA"/>
        </w:rPr>
        <w:t>يجب أن يفضي تلقائيا</w:t>
      </w:r>
      <w:r w:rsidR="001A08AE">
        <w:rPr>
          <w:rFonts w:hint="cs"/>
          <w:spacing w:val="0"/>
          <w:kern w:val="0"/>
          <w:rtl/>
          <w:lang w:val="en-CA"/>
        </w:rPr>
        <w:t>ً</w:t>
      </w:r>
      <w:r w:rsidRPr="00AA537D">
        <w:rPr>
          <w:rFonts w:hint="cs"/>
          <w:spacing w:val="0"/>
          <w:kern w:val="0"/>
          <w:rtl/>
          <w:lang w:val="en-CA"/>
        </w:rPr>
        <w:t xml:space="preserve"> إلى إجراء تحقيق، </w:t>
      </w:r>
      <w:r w:rsidRPr="00AA537D">
        <w:rPr>
          <w:spacing w:val="0"/>
          <w:kern w:val="0"/>
          <w:rtl/>
          <w:lang w:val="en-CA"/>
        </w:rPr>
        <w:t xml:space="preserve">وفقاً للمادة 12 من الاتفاقية، فإن اللجنة ترى أنه لا يوجد أي عائق، بموجب الفقرة 5(ب) </w:t>
      </w:r>
      <w:r w:rsidRPr="00AA537D">
        <w:rPr>
          <w:rFonts w:hint="cs"/>
          <w:spacing w:val="0"/>
          <w:kern w:val="0"/>
          <w:rtl/>
          <w:lang w:val="en-CA"/>
        </w:rPr>
        <w:t xml:space="preserve">من </w:t>
      </w:r>
      <w:r w:rsidRPr="00AA537D">
        <w:rPr>
          <w:spacing w:val="0"/>
          <w:kern w:val="0"/>
          <w:rtl/>
          <w:lang w:val="en-CA"/>
        </w:rPr>
        <w:t xml:space="preserve">المادة 22 من الاتفاقية </w:t>
      </w:r>
      <w:r w:rsidRPr="00AA537D">
        <w:rPr>
          <w:rFonts w:hint="cs"/>
          <w:spacing w:val="0"/>
          <w:kern w:val="0"/>
          <w:rtl/>
          <w:lang w:val="en-CA"/>
        </w:rPr>
        <w:t>يمنع</w:t>
      </w:r>
      <w:r w:rsidRPr="00AA537D">
        <w:rPr>
          <w:spacing w:val="0"/>
          <w:kern w:val="0"/>
          <w:rtl/>
          <w:lang w:val="en-CA"/>
        </w:rPr>
        <w:t xml:space="preserve"> مقبولية البلاغ. ونظراً </w:t>
      </w:r>
      <w:r w:rsidRPr="00AA537D">
        <w:rPr>
          <w:rFonts w:hint="cs"/>
          <w:spacing w:val="0"/>
          <w:kern w:val="0"/>
          <w:rtl/>
          <w:lang w:val="en-CA"/>
        </w:rPr>
        <w:t>لاستيفاء</w:t>
      </w:r>
      <w:r w:rsidRPr="00AA537D">
        <w:rPr>
          <w:spacing w:val="0"/>
          <w:kern w:val="0"/>
          <w:rtl/>
          <w:lang w:val="en-CA"/>
        </w:rPr>
        <w:t xml:space="preserve"> </w:t>
      </w:r>
      <w:r w:rsidRPr="00AA537D">
        <w:rPr>
          <w:rFonts w:hint="cs"/>
          <w:spacing w:val="0"/>
          <w:kern w:val="0"/>
          <w:rtl/>
          <w:lang w:val="en-CA"/>
        </w:rPr>
        <w:t>ال</w:t>
      </w:r>
      <w:r w:rsidRPr="00AA537D">
        <w:rPr>
          <w:spacing w:val="0"/>
          <w:kern w:val="0"/>
          <w:rtl/>
          <w:lang w:val="en-CA"/>
        </w:rPr>
        <w:t xml:space="preserve">شروط الأخرى </w:t>
      </w:r>
      <w:r w:rsidRPr="00AA537D">
        <w:rPr>
          <w:rFonts w:hint="cs"/>
          <w:spacing w:val="0"/>
          <w:kern w:val="0"/>
          <w:rtl/>
          <w:lang w:val="en-CA"/>
        </w:rPr>
        <w:t>ل</w:t>
      </w:r>
      <w:r w:rsidRPr="00AA537D">
        <w:rPr>
          <w:spacing w:val="0"/>
          <w:kern w:val="0"/>
          <w:rtl/>
          <w:lang w:val="en-CA"/>
        </w:rPr>
        <w:t xml:space="preserve">لمقبولية، ترى اللجنة أن البلاغ مقبول وتشرع </w:t>
      </w:r>
      <w:r w:rsidRPr="00AA537D">
        <w:rPr>
          <w:rFonts w:hint="cs"/>
          <w:spacing w:val="0"/>
          <w:kern w:val="0"/>
          <w:rtl/>
          <w:lang w:val="en-CA"/>
        </w:rPr>
        <w:t xml:space="preserve">بالتالي </w:t>
      </w:r>
      <w:r w:rsidRPr="00AA537D">
        <w:rPr>
          <w:spacing w:val="0"/>
          <w:kern w:val="0"/>
          <w:rtl/>
          <w:lang w:val="en-CA"/>
        </w:rPr>
        <w:t xml:space="preserve">في النظر في </w:t>
      </w:r>
      <w:r w:rsidRPr="00AA537D">
        <w:rPr>
          <w:rFonts w:hint="cs"/>
          <w:spacing w:val="0"/>
          <w:kern w:val="0"/>
          <w:rtl/>
          <w:lang w:val="en-CA"/>
        </w:rPr>
        <w:t>أسسه ال</w:t>
      </w:r>
      <w:r w:rsidRPr="00AA537D">
        <w:rPr>
          <w:spacing w:val="0"/>
          <w:kern w:val="0"/>
          <w:rtl/>
          <w:lang w:val="en-CA"/>
        </w:rPr>
        <w:t>موضوع</w:t>
      </w:r>
      <w:r w:rsidRPr="00AA537D">
        <w:rPr>
          <w:rFonts w:hint="cs"/>
          <w:spacing w:val="0"/>
          <w:kern w:val="0"/>
          <w:rtl/>
          <w:lang w:val="en-CA"/>
        </w:rPr>
        <w:t>ية.</w:t>
      </w:r>
    </w:p>
    <w:p w:rsidR="00FA6676" w:rsidRPr="00AA537D" w:rsidRDefault="00FA6676" w:rsidP="00AA537D">
      <w:pPr>
        <w:pStyle w:val="SingleTxtGA"/>
        <w:keepNext/>
        <w:spacing w:after="60"/>
        <w:jc w:val="lowKashida"/>
        <w:rPr>
          <w:rFonts w:hint="cs"/>
          <w:i/>
          <w:iCs/>
          <w:spacing w:val="0"/>
          <w:kern w:val="0"/>
          <w:rtl/>
          <w:lang w:val="en-CA"/>
        </w:rPr>
      </w:pPr>
      <w:r w:rsidRPr="00AA537D">
        <w:rPr>
          <w:rFonts w:hint="cs"/>
          <w:i/>
          <w:iCs/>
          <w:spacing w:val="0"/>
          <w:kern w:val="0"/>
          <w:rtl/>
          <w:lang w:val="en-CA"/>
        </w:rPr>
        <w:t>النظر في الأسس الموضوعية</w:t>
      </w:r>
    </w:p>
    <w:p w:rsidR="00FA6676" w:rsidRPr="00AA537D" w:rsidRDefault="00FA6676" w:rsidP="00E86FDB">
      <w:pPr>
        <w:pStyle w:val="SingleTxtGA"/>
        <w:spacing w:after="60"/>
        <w:jc w:val="lowKashida"/>
        <w:rPr>
          <w:rFonts w:hint="cs"/>
          <w:spacing w:val="0"/>
          <w:kern w:val="0"/>
          <w:rtl/>
          <w:lang w:val="en-CA"/>
        </w:rPr>
      </w:pPr>
      <w:r w:rsidRPr="00AA537D">
        <w:rPr>
          <w:rFonts w:hint="cs"/>
          <w:spacing w:val="0"/>
          <w:kern w:val="0"/>
          <w:rtl/>
          <w:lang w:val="en-CA"/>
        </w:rPr>
        <w:t>7-1</w:t>
      </w:r>
      <w:r w:rsidRPr="00AA537D">
        <w:rPr>
          <w:rFonts w:hint="cs"/>
          <w:spacing w:val="0"/>
          <w:kern w:val="0"/>
          <w:rtl/>
          <w:lang w:val="en-CA"/>
        </w:rPr>
        <w:tab/>
      </w:r>
      <w:r w:rsidRPr="00AA537D">
        <w:rPr>
          <w:spacing w:val="0"/>
          <w:kern w:val="0"/>
          <w:rtl/>
          <w:lang w:val="en-CA"/>
        </w:rPr>
        <w:t xml:space="preserve">نظرت اللجنة في </w:t>
      </w:r>
      <w:r w:rsidRPr="00AA537D">
        <w:rPr>
          <w:rFonts w:hint="cs"/>
          <w:spacing w:val="0"/>
          <w:kern w:val="0"/>
          <w:rtl/>
          <w:lang w:val="en-CA"/>
        </w:rPr>
        <w:t xml:space="preserve">هذا </w:t>
      </w:r>
      <w:r w:rsidRPr="00AA537D">
        <w:rPr>
          <w:spacing w:val="0"/>
          <w:kern w:val="0"/>
          <w:rtl/>
          <w:lang w:val="en-CA"/>
        </w:rPr>
        <w:t>البلاغ آخذة في اعتبارها جميع المعلومات التي قدمها الطرفان</w:t>
      </w:r>
      <w:r w:rsidRPr="00AA537D">
        <w:rPr>
          <w:rFonts w:hint="cs"/>
          <w:spacing w:val="0"/>
          <w:kern w:val="0"/>
          <w:rtl/>
          <w:lang w:val="en-CA"/>
        </w:rPr>
        <w:t xml:space="preserve"> المعنيان</w:t>
      </w:r>
      <w:r w:rsidRPr="00AA537D">
        <w:rPr>
          <w:spacing w:val="0"/>
          <w:kern w:val="0"/>
          <w:rtl/>
          <w:lang w:val="en-CA"/>
        </w:rPr>
        <w:t>، وفقاً لأحكام الفقرة 4 من المادة 22 من الاتفاقية</w:t>
      </w:r>
      <w:r w:rsidRPr="00AA537D">
        <w:rPr>
          <w:rFonts w:hint="cs"/>
          <w:spacing w:val="0"/>
          <w:kern w:val="0"/>
          <w:rtl/>
          <w:lang w:val="en-CA"/>
        </w:rPr>
        <w:t>.</w:t>
      </w:r>
    </w:p>
    <w:p w:rsidR="00FA6676" w:rsidRPr="00E86FDB" w:rsidRDefault="00FA6676" w:rsidP="00E86FDB">
      <w:pPr>
        <w:pStyle w:val="SingleTxtGA"/>
        <w:spacing w:after="60"/>
        <w:jc w:val="lowKashida"/>
        <w:rPr>
          <w:rFonts w:hint="cs"/>
          <w:spacing w:val="-2"/>
          <w:w w:val="96"/>
          <w:kern w:val="0"/>
          <w:rtl/>
          <w:lang w:val="en-CA"/>
        </w:rPr>
      </w:pPr>
      <w:r w:rsidRPr="00AA537D">
        <w:rPr>
          <w:rFonts w:hint="cs"/>
          <w:spacing w:val="0"/>
          <w:w w:val="96"/>
          <w:kern w:val="0"/>
          <w:rtl/>
          <w:lang w:val="en-CA"/>
        </w:rPr>
        <w:t>7</w:t>
      </w:r>
      <w:r w:rsidRPr="00AA537D">
        <w:rPr>
          <w:spacing w:val="0"/>
          <w:w w:val="96"/>
          <w:kern w:val="0"/>
          <w:rtl/>
          <w:lang w:val="en-CA"/>
        </w:rPr>
        <w:t>-2</w:t>
      </w:r>
      <w:r w:rsidRPr="00AA537D">
        <w:rPr>
          <w:spacing w:val="0"/>
          <w:w w:val="96"/>
          <w:kern w:val="0"/>
          <w:rtl/>
          <w:lang w:val="en-CA"/>
        </w:rPr>
        <w:tab/>
      </w:r>
      <w:r w:rsidRPr="00AA537D">
        <w:rPr>
          <w:rFonts w:hint="cs"/>
          <w:spacing w:val="0"/>
          <w:w w:val="96"/>
          <w:kern w:val="0"/>
          <w:rtl/>
          <w:lang w:val="en-CA"/>
        </w:rPr>
        <w:t xml:space="preserve">ويدعي </w:t>
      </w:r>
      <w:r w:rsidRPr="00AA537D">
        <w:rPr>
          <w:spacing w:val="0"/>
          <w:w w:val="96"/>
          <w:kern w:val="0"/>
          <w:rtl/>
          <w:lang w:val="en-CA"/>
        </w:rPr>
        <w:t xml:space="preserve">صاحب الشكوى أنه ضحية انتهاك للمادة 12 من الاتفاقية لأن المزاعم التي </w:t>
      </w:r>
      <w:r w:rsidRPr="00AA537D">
        <w:rPr>
          <w:rFonts w:hint="cs"/>
          <w:spacing w:val="0"/>
          <w:w w:val="96"/>
          <w:kern w:val="0"/>
          <w:rtl/>
          <w:lang w:val="en-CA"/>
        </w:rPr>
        <w:t>تقدم</w:t>
      </w:r>
      <w:r w:rsidRPr="00AA537D">
        <w:rPr>
          <w:spacing w:val="0"/>
          <w:w w:val="96"/>
          <w:kern w:val="0"/>
          <w:rtl/>
          <w:lang w:val="en-CA"/>
        </w:rPr>
        <w:t xml:space="preserve"> بها إلى المحاكم </w:t>
      </w:r>
      <w:r w:rsidRPr="00AA537D">
        <w:rPr>
          <w:rFonts w:hint="cs"/>
          <w:spacing w:val="0"/>
          <w:w w:val="96"/>
          <w:kern w:val="0"/>
          <w:rtl/>
          <w:lang w:val="en-CA"/>
        </w:rPr>
        <w:t>ب</w:t>
      </w:r>
      <w:r w:rsidRPr="00AA537D">
        <w:rPr>
          <w:spacing w:val="0"/>
          <w:w w:val="96"/>
          <w:kern w:val="0"/>
          <w:rtl/>
          <w:lang w:val="en-CA"/>
        </w:rPr>
        <w:t>تعرض</w:t>
      </w:r>
      <w:r w:rsidRPr="00AA537D">
        <w:rPr>
          <w:rFonts w:hint="cs"/>
          <w:spacing w:val="0"/>
          <w:w w:val="96"/>
          <w:kern w:val="0"/>
          <w:rtl/>
          <w:lang w:val="en-CA"/>
        </w:rPr>
        <w:t>ه</w:t>
      </w:r>
      <w:r w:rsidRPr="00AA537D">
        <w:rPr>
          <w:spacing w:val="0"/>
          <w:w w:val="96"/>
          <w:kern w:val="0"/>
          <w:rtl/>
          <w:lang w:val="en-CA"/>
        </w:rPr>
        <w:t xml:space="preserve"> للتعذيب وسوء المعاملة أثناء احتجازه </w:t>
      </w:r>
      <w:r w:rsidRPr="00AA537D">
        <w:rPr>
          <w:rFonts w:hint="cs"/>
          <w:spacing w:val="0"/>
          <w:w w:val="96"/>
          <w:kern w:val="0"/>
          <w:rtl/>
          <w:lang w:val="en-CA"/>
        </w:rPr>
        <w:t>في الحبس الانفرادي</w:t>
      </w:r>
      <w:r w:rsidRPr="00AA537D">
        <w:rPr>
          <w:spacing w:val="0"/>
          <w:w w:val="96"/>
          <w:kern w:val="0"/>
          <w:rtl/>
          <w:lang w:val="en-CA"/>
        </w:rPr>
        <w:t xml:space="preserve"> لم تؤد إلى إجراء تحقيق سريع ومستقل و</w:t>
      </w:r>
      <w:r w:rsidRPr="00AA537D">
        <w:rPr>
          <w:rFonts w:hint="cs"/>
          <w:spacing w:val="0"/>
          <w:w w:val="96"/>
          <w:kern w:val="0"/>
          <w:rtl/>
          <w:lang w:val="en-CA"/>
        </w:rPr>
        <w:t>نزيه</w:t>
      </w:r>
      <w:r w:rsidRPr="00AA537D">
        <w:rPr>
          <w:spacing w:val="0"/>
          <w:w w:val="96"/>
          <w:kern w:val="0"/>
          <w:rtl/>
          <w:lang w:val="en-CA"/>
        </w:rPr>
        <w:t xml:space="preserve">. </w:t>
      </w:r>
      <w:r w:rsidRPr="00AA537D">
        <w:rPr>
          <w:rFonts w:hint="cs"/>
          <w:spacing w:val="0"/>
          <w:w w:val="96"/>
          <w:kern w:val="0"/>
          <w:rtl/>
          <w:lang w:val="en-CA"/>
        </w:rPr>
        <w:t xml:space="preserve">وتشير </w:t>
      </w:r>
      <w:r w:rsidRPr="00AA537D">
        <w:rPr>
          <w:spacing w:val="0"/>
          <w:w w:val="96"/>
          <w:kern w:val="0"/>
          <w:rtl/>
          <w:lang w:val="en-CA"/>
        </w:rPr>
        <w:t>الدولة الطرف إلى أن المحاكم أجرت التحقيقات اللازمة وفحص</w:t>
      </w:r>
      <w:r w:rsidRPr="00AA537D">
        <w:rPr>
          <w:rFonts w:hint="cs"/>
          <w:spacing w:val="0"/>
          <w:w w:val="96"/>
          <w:kern w:val="0"/>
          <w:rtl/>
          <w:lang w:val="en-CA"/>
        </w:rPr>
        <w:t>ت</w:t>
      </w:r>
      <w:r w:rsidRPr="00AA537D">
        <w:rPr>
          <w:spacing w:val="0"/>
          <w:w w:val="96"/>
          <w:kern w:val="0"/>
          <w:rtl/>
          <w:lang w:val="en-CA"/>
        </w:rPr>
        <w:t xml:space="preserve"> </w:t>
      </w:r>
      <w:r w:rsidRPr="00AA537D">
        <w:rPr>
          <w:rFonts w:hint="cs"/>
          <w:spacing w:val="0"/>
          <w:w w:val="96"/>
          <w:kern w:val="0"/>
          <w:rtl/>
          <w:lang w:val="en-CA"/>
        </w:rPr>
        <w:t>ال</w:t>
      </w:r>
      <w:r w:rsidRPr="00AA537D">
        <w:rPr>
          <w:spacing w:val="0"/>
          <w:w w:val="96"/>
          <w:kern w:val="0"/>
          <w:rtl/>
          <w:lang w:val="en-CA"/>
        </w:rPr>
        <w:t xml:space="preserve">تقارير </w:t>
      </w:r>
      <w:r w:rsidRPr="00AA537D">
        <w:rPr>
          <w:rFonts w:hint="cs"/>
          <w:spacing w:val="0"/>
          <w:w w:val="96"/>
          <w:kern w:val="0"/>
          <w:rtl/>
          <w:lang w:val="en-CA"/>
        </w:rPr>
        <w:t>ال</w:t>
      </w:r>
      <w:r w:rsidRPr="00AA537D">
        <w:rPr>
          <w:spacing w:val="0"/>
          <w:w w:val="96"/>
          <w:kern w:val="0"/>
          <w:rtl/>
          <w:lang w:val="en-CA"/>
        </w:rPr>
        <w:t xml:space="preserve">طبية </w:t>
      </w:r>
      <w:r w:rsidRPr="00AA537D">
        <w:rPr>
          <w:rFonts w:hint="cs"/>
          <w:spacing w:val="0"/>
          <w:w w:val="96"/>
          <w:kern w:val="0"/>
          <w:rtl/>
          <w:lang w:val="en-CA"/>
        </w:rPr>
        <w:t>الصادرة منذ احتجازه</w:t>
      </w:r>
      <w:r w:rsidRPr="00AA537D">
        <w:rPr>
          <w:spacing w:val="0"/>
          <w:w w:val="96"/>
          <w:kern w:val="0"/>
          <w:rtl/>
          <w:lang w:val="en-CA"/>
        </w:rPr>
        <w:t xml:space="preserve">، </w:t>
      </w:r>
      <w:r w:rsidRPr="00AA537D">
        <w:rPr>
          <w:rFonts w:hint="cs"/>
          <w:spacing w:val="0"/>
          <w:w w:val="96"/>
          <w:kern w:val="0"/>
          <w:rtl/>
          <w:lang w:val="en-CA"/>
        </w:rPr>
        <w:t>و</w:t>
      </w:r>
      <w:r w:rsidRPr="00AA537D">
        <w:rPr>
          <w:spacing w:val="0"/>
          <w:w w:val="96"/>
          <w:kern w:val="0"/>
          <w:rtl/>
          <w:lang w:val="en-CA"/>
        </w:rPr>
        <w:t xml:space="preserve">لكنها لم تجد أدلة كافية </w:t>
      </w:r>
      <w:r w:rsidRPr="00AA537D">
        <w:rPr>
          <w:rFonts w:hint="cs"/>
          <w:spacing w:val="0"/>
          <w:w w:val="96"/>
          <w:kern w:val="0"/>
          <w:rtl/>
          <w:lang w:val="en-CA"/>
        </w:rPr>
        <w:t>تفيد ب</w:t>
      </w:r>
      <w:r w:rsidRPr="00AA537D">
        <w:rPr>
          <w:spacing w:val="0"/>
          <w:w w:val="96"/>
          <w:kern w:val="0"/>
          <w:rtl/>
          <w:lang w:val="en-CA"/>
        </w:rPr>
        <w:t xml:space="preserve">أن التعذيب قد وقع. وتلاحظ اللجنة أن صاحب الشكوى </w:t>
      </w:r>
      <w:r w:rsidRPr="00AA537D">
        <w:rPr>
          <w:rFonts w:hint="cs"/>
          <w:spacing w:val="0"/>
          <w:w w:val="96"/>
          <w:kern w:val="0"/>
          <w:rtl/>
          <w:lang w:val="en-CA"/>
        </w:rPr>
        <w:t>تقدم ب</w:t>
      </w:r>
      <w:r w:rsidRPr="00AA537D">
        <w:rPr>
          <w:spacing w:val="0"/>
          <w:w w:val="96"/>
          <w:kern w:val="0"/>
          <w:rtl/>
          <w:lang w:val="en-CA"/>
        </w:rPr>
        <w:t xml:space="preserve">شكوى </w:t>
      </w:r>
      <w:r w:rsidRPr="00AA537D">
        <w:rPr>
          <w:rFonts w:hint="cs"/>
          <w:spacing w:val="0"/>
          <w:w w:val="96"/>
          <w:kern w:val="0"/>
          <w:rtl/>
          <w:lang w:val="en-CA"/>
        </w:rPr>
        <w:t>بتعرضه</w:t>
      </w:r>
      <w:r w:rsidRPr="00AA537D">
        <w:rPr>
          <w:spacing w:val="0"/>
          <w:w w:val="96"/>
          <w:kern w:val="0"/>
          <w:rtl/>
          <w:lang w:val="en-CA"/>
        </w:rPr>
        <w:t xml:space="preserve"> </w:t>
      </w:r>
      <w:r w:rsidRPr="00AA537D">
        <w:rPr>
          <w:rFonts w:hint="cs"/>
          <w:spacing w:val="0"/>
          <w:w w:val="96"/>
          <w:kern w:val="0"/>
          <w:rtl/>
          <w:lang w:val="en-CA"/>
        </w:rPr>
        <w:t>ل</w:t>
      </w:r>
      <w:r w:rsidRPr="00AA537D">
        <w:rPr>
          <w:spacing w:val="0"/>
          <w:w w:val="96"/>
          <w:kern w:val="0"/>
          <w:rtl/>
          <w:lang w:val="en-CA"/>
        </w:rPr>
        <w:t xml:space="preserve">لتعذيب وسوء المعاملة، </w:t>
      </w:r>
      <w:r w:rsidRPr="00AA537D">
        <w:rPr>
          <w:rFonts w:hint="cs"/>
          <w:spacing w:val="0"/>
          <w:w w:val="96"/>
          <w:kern w:val="0"/>
          <w:rtl/>
          <w:lang w:val="en-CA"/>
        </w:rPr>
        <w:t>و</w:t>
      </w:r>
      <w:r w:rsidRPr="00AA537D">
        <w:rPr>
          <w:spacing w:val="0"/>
          <w:w w:val="96"/>
          <w:kern w:val="0"/>
          <w:rtl/>
          <w:lang w:val="en-CA"/>
        </w:rPr>
        <w:t>نظرت في</w:t>
      </w:r>
      <w:r w:rsidRPr="00AA537D">
        <w:rPr>
          <w:rFonts w:hint="cs"/>
          <w:spacing w:val="0"/>
          <w:w w:val="96"/>
          <w:kern w:val="0"/>
          <w:rtl/>
          <w:lang w:val="en-CA"/>
        </w:rPr>
        <w:t>ها</w:t>
      </w:r>
      <w:r w:rsidRPr="00AA537D">
        <w:rPr>
          <w:spacing w:val="0"/>
          <w:w w:val="96"/>
          <w:kern w:val="0"/>
          <w:rtl/>
          <w:lang w:val="en-CA"/>
        </w:rPr>
        <w:t xml:space="preserve"> </w:t>
      </w:r>
      <w:r w:rsidRPr="00AA537D">
        <w:rPr>
          <w:rFonts w:hint="cs"/>
          <w:spacing w:val="0"/>
          <w:w w:val="96"/>
          <w:kern w:val="0"/>
          <w:rtl/>
          <w:lang w:val="en-CA"/>
        </w:rPr>
        <w:t>دائرة التحقيق</w:t>
      </w:r>
      <w:r w:rsidRPr="00AA537D">
        <w:rPr>
          <w:spacing w:val="0"/>
          <w:w w:val="96"/>
          <w:kern w:val="0"/>
          <w:rtl/>
          <w:lang w:val="en-CA"/>
        </w:rPr>
        <w:t xml:space="preserve"> الثانية </w:t>
      </w:r>
      <w:r w:rsidRPr="00AA537D">
        <w:rPr>
          <w:rFonts w:hint="cs"/>
          <w:spacing w:val="0"/>
          <w:w w:val="96"/>
          <w:kern w:val="0"/>
          <w:rtl/>
          <w:lang w:val="en-CA"/>
        </w:rPr>
        <w:t xml:space="preserve">في </w:t>
      </w:r>
      <w:r w:rsidRPr="00AA537D">
        <w:rPr>
          <w:spacing w:val="0"/>
          <w:w w:val="96"/>
          <w:kern w:val="0"/>
          <w:rtl/>
          <w:lang w:val="en-CA"/>
        </w:rPr>
        <w:t xml:space="preserve">فيتوريا غاستيز. </w:t>
      </w:r>
      <w:r w:rsidRPr="00AA537D">
        <w:rPr>
          <w:rFonts w:hint="cs"/>
          <w:spacing w:val="0"/>
          <w:w w:val="96"/>
          <w:kern w:val="0"/>
          <w:rtl/>
          <w:lang w:val="en-CA"/>
        </w:rPr>
        <w:t>و</w:t>
      </w:r>
      <w:r w:rsidRPr="00AA537D">
        <w:rPr>
          <w:spacing w:val="0"/>
          <w:w w:val="96"/>
          <w:kern w:val="0"/>
          <w:rtl/>
          <w:lang w:val="en-CA"/>
        </w:rPr>
        <w:t xml:space="preserve">على أساس تقارير الطب الشرعي، التي لم </w:t>
      </w:r>
      <w:r w:rsidRPr="00AA537D">
        <w:rPr>
          <w:rFonts w:hint="cs"/>
          <w:spacing w:val="0"/>
          <w:w w:val="96"/>
          <w:kern w:val="0"/>
          <w:rtl/>
          <w:lang w:val="en-CA"/>
        </w:rPr>
        <w:t>تؤيد</w:t>
      </w:r>
      <w:r w:rsidRPr="00AA537D">
        <w:rPr>
          <w:spacing w:val="0"/>
          <w:w w:val="96"/>
          <w:kern w:val="0"/>
          <w:rtl/>
          <w:lang w:val="en-CA"/>
        </w:rPr>
        <w:t xml:space="preserve"> ادعاءات صاحب الشكوى، أمرت المحكمة بوقف الإجراءات. </w:t>
      </w:r>
      <w:r w:rsidRPr="00AA537D">
        <w:rPr>
          <w:rFonts w:hint="cs"/>
          <w:spacing w:val="0"/>
          <w:w w:val="96"/>
          <w:kern w:val="0"/>
          <w:rtl/>
          <w:lang w:val="en-CA"/>
        </w:rPr>
        <w:t xml:space="preserve">ورفضت </w:t>
      </w:r>
      <w:r w:rsidRPr="00AA537D">
        <w:rPr>
          <w:spacing w:val="0"/>
          <w:w w:val="96"/>
          <w:kern w:val="0"/>
          <w:rtl/>
          <w:lang w:val="en-CA"/>
        </w:rPr>
        <w:t>المحكمة العليا</w:t>
      </w:r>
      <w:r w:rsidRPr="00AA537D">
        <w:rPr>
          <w:rFonts w:hint="cs"/>
          <w:spacing w:val="0"/>
          <w:w w:val="96"/>
          <w:kern w:val="0"/>
          <w:rtl/>
          <w:lang w:val="en-CA"/>
        </w:rPr>
        <w:t xml:space="preserve"> الإقليمية في </w:t>
      </w:r>
      <w:r w:rsidRPr="00AA537D">
        <w:rPr>
          <w:spacing w:val="0"/>
          <w:w w:val="96"/>
          <w:kern w:val="0"/>
          <w:rtl/>
          <w:lang w:val="en-CA"/>
        </w:rPr>
        <w:t xml:space="preserve">ألافا </w:t>
      </w:r>
      <w:r w:rsidRPr="00AA537D">
        <w:rPr>
          <w:rFonts w:hint="cs"/>
          <w:spacing w:val="0"/>
          <w:w w:val="96"/>
          <w:kern w:val="0"/>
          <w:rtl/>
          <w:lang w:val="en-CA"/>
        </w:rPr>
        <w:t>لاحقاً طعن</w:t>
      </w:r>
      <w:r w:rsidRPr="00AA537D">
        <w:rPr>
          <w:spacing w:val="0"/>
          <w:w w:val="96"/>
          <w:kern w:val="0"/>
          <w:rtl/>
          <w:lang w:val="en-CA"/>
        </w:rPr>
        <w:t xml:space="preserve"> صاحب الشكوى أيضاً على أساس تقارير الطب الشرعي. وتلاحظ اللجنة أيضاً أن صاحب الشكوى طلب </w:t>
      </w:r>
      <w:r w:rsidRPr="00AA537D">
        <w:rPr>
          <w:rFonts w:hint="cs"/>
          <w:spacing w:val="0"/>
          <w:w w:val="96"/>
          <w:kern w:val="0"/>
          <w:rtl/>
          <w:lang w:val="en-CA"/>
        </w:rPr>
        <w:t>أخذ</w:t>
      </w:r>
      <w:r w:rsidRPr="00AA537D">
        <w:rPr>
          <w:spacing w:val="0"/>
          <w:w w:val="96"/>
          <w:kern w:val="0"/>
          <w:rtl/>
          <w:lang w:val="en-CA"/>
        </w:rPr>
        <w:t xml:space="preserve"> </w:t>
      </w:r>
      <w:r w:rsidRPr="00AA537D">
        <w:rPr>
          <w:rFonts w:hint="cs"/>
          <w:spacing w:val="0"/>
          <w:w w:val="96"/>
          <w:kern w:val="0"/>
          <w:rtl/>
          <w:lang w:val="en-CA"/>
        </w:rPr>
        <w:t>ال</w:t>
      </w:r>
      <w:r w:rsidRPr="00AA537D">
        <w:rPr>
          <w:spacing w:val="0"/>
          <w:w w:val="96"/>
          <w:kern w:val="0"/>
          <w:rtl/>
          <w:lang w:val="en-CA"/>
        </w:rPr>
        <w:t>مزيد من الأدلة، ولكن رفض</w:t>
      </w:r>
      <w:r w:rsidRPr="00AA537D">
        <w:rPr>
          <w:rFonts w:hint="cs"/>
          <w:spacing w:val="0"/>
          <w:w w:val="96"/>
          <w:kern w:val="0"/>
          <w:rtl/>
          <w:lang w:val="en-CA"/>
        </w:rPr>
        <w:t xml:space="preserve">ت المحاكم </w:t>
      </w:r>
      <w:r w:rsidRPr="00AA537D">
        <w:rPr>
          <w:spacing w:val="0"/>
          <w:w w:val="96"/>
          <w:kern w:val="0"/>
          <w:rtl/>
          <w:lang w:val="en-CA"/>
        </w:rPr>
        <w:t xml:space="preserve">طلبه، </w:t>
      </w:r>
      <w:r w:rsidRPr="00AA537D">
        <w:rPr>
          <w:rFonts w:hint="cs"/>
          <w:spacing w:val="0"/>
          <w:w w:val="96"/>
          <w:kern w:val="0"/>
          <w:rtl/>
          <w:lang w:val="en-CA"/>
        </w:rPr>
        <w:t>حيث رأت أن ذلك غير ضروري</w:t>
      </w:r>
      <w:r w:rsidRPr="00AA537D">
        <w:rPr>
          <w:spacing w:val="0"/>
          <w:w w:val="96"/>
          <w:kern w:val="0"/>
          <w:rtl/>
          <w:lang w:val="en-CA"/>
        </w:rPr>
        <w:t xml:space="preserve">. وتلاحظ اللجنة </w:t>
      </w:r>
      <w:r w:rsidRPr="00AA537D">
        <w:rPr>
          <w:rFonts w:hint="cs"/>
          <w:spacing w:val="0"/>
          <w:w w:val="96"/>
          <w:kern w:val="0"/>
          <w:rtl/>
          <w:lang w:val="en-CA"/>
        </w:rPr>
        <w:t>كذلك</w:t>
      </w:r>
      <w:r w:rsidRPr="00AA537D">
        <w:rPr>
          <w:spacing w:val="0"/>
          <w:w w:val="96"/>
          <w:kern w:val="0"/>
          <w:rtl/>
          <w:lang w:val="en-CA"/>
        </w:rPr>
        <w:t xml:space="preserve"> أنه، أثناء إجراءات الإحالة ضد صاحب الشكوى من قبل </w:t>
      </w:r>
      <w:r w:rsidRPr="00AA537D">
        <w:rPr>
          <w:rFonts w:hint="cs"/>
          <w:spacing w:val="0"/>
          <w:w w:val="96"/>
          <w:kern w:val="0"/>
          <w:rtl/>
          <w:lang w:val="en-CA"/>
        </w:rPr>
        <w:t>دائرة التحقيق</w:t>
      </w:r>
      <w:r w:rsidRPr="00AA537D">
        <w:rPr>
          <w:spacing w:val="0"/>
          <w:w w:val="96"/>
          <w:kern w:val="0"/>
          <w:rtl/>
          <w:lang w:val="en-CA"/>
        </w:rPr>
        <w:t xml:space="preserve"> الرابع</w:t>
      </w:r>
      <w:r w:rsidRPr="00AA537D">
        <w:rPr>
          <w:rFonts w:hint="cs"/>
          <w:spacing w:val="0"/>
          <w:w w:val="96"/>
          <w:kern w:val="0"/>
          <w:rtl/>
          <w:lang w:val="en-CA"/>
        </w:rPr>
        <w:t>ة التابعة ل</w:t>
      </w:r>
      <w:r w:rsidRPr="00AA537D">
        <w:rPr>
          <w:spacing w:val="0"/>
          <w:w w:val="96"/>
          <w:kern w:val="0"/>
          <w:rtl/>
          <w:lang w:val="en-CA"/>
        </w:rPr>
        <w:t xml:space="preserve">لمحكمة </w:t>
      </w:r>
      <w:r w:rsidRPr="00AA537D">
        <w:rPr>
          <w:rFonts w:hint="cs"/>
          <w:spacing w:val="0"/>
          <w:w w:val="96"/>
          <w:kern w:val="0"/>
          <w:rtl/>
          <w:lang w:val="en-CA"/>
        </w:rPr>
        <w:t xml:space="preserve">العليا </w:t>
      </w:r>
      <w:r w:rsidRPr="00AA537D">
        <w:rPr>
          <w:spacing w:val="0"/>
          <w:w w:val="96"/>
          <w:kern w:val="0"/>
          <w:rtl/>
          <w:lang w:val="en-CA"/>
        </w:rPr>
        <w:t>الوطنية و</w:t>
      </w:r>
      <w:r w:rsidRPr="00AA537D">
        <w:rPr>
          <w:rFonts w:hint="cs"/>
          <w:spacing w:val="0"/>
          <w:w w:val="96"/>
          <w:kern w:val="0"/>
          <w:rtl/>
          <w:lang w:val="en-CA"/>
        </w:rPr>
        <w:t>ال</w:t>
      </w:r>
      <w:r w:rsidRPr="00AA537D">
        <w:rPr>
          <w:spacing w:val="0"/>
          <w:w w:val="96"/>
          <w:kern w:val="0"/>
          <w:rtl/>
          <w:lang w:val="en-CA"/>
        </w:rPr>
        <w:t xml:space="preserve">محاكمة </w:t>
      </w:r>
      <w:r w:rsidRPr="00AA537D">
        <w:rPr>
          <w:rFonts w:hint="cs"/>
          <w:spacing w:val="0"/>
          <w:w w:val="96"/>
          <w:kern w:val="0"/>
          <w:rtl/>
          <w:lang w:val="en-CA"/>
        </w:rPr>
        <w:t>ال</w:t>
      </w:r>
      <w:r w:rsidRPr="00AA537D">
        <w:rPr>
          <w:spacing w:val="0"/>
          <w:w w:val="96"/>
          <w:kern w:val="0"/>
          <w:rtl/>
          <w:lang w:val="en-CA"/>
        </w:rPr>
        <w:t xml:space="preserve">لاحقة في هذه المحكمة، </w:t>
      </w:r>
      <w:r w:rsidRPr="00AA537D">
        <w:rPr>
          <w:rFonts w:hint="cs"/>
          <w:spacing w:val="0"/>
          <w:w w:val="96"/>
          <w:kern w:val="0"/>
          <w:rtl/>
          <w:lang w:val="en-CA"/>
        </w:rPr>
        <w:t xml:space="preserve">ذكر </w:t>
      </w:r>
      <w:r w:rsidRPr="00AA537D">
        <w:rPr>
          <w:spacing w:val="0"/>
          <w:w w:val="96"/>
          <w:kern w:val="0"/>
          <w:rtl/>
          <w:lang w:val="en-CA"/>
        </w:rPr>
        <w:t xml:space="preserve">صاحب الشكوى </w:t>
      </w:r>
      <w:r w:rsidRPr="00AA537D">
        <w:rPr>
          <w:rFonts w:hint="cs"/>
          <w:spacing w:val="0"/>
          <w:w w:val="96"/>
          <w:kern w:val="0"/>
          <w:rtl/>
          <w:lang w:val="en-CA"/>
        </w:rPr>
        <w:t>أنه</w:t>
      </w:r>
      <w:r w:rsidRPr="00AA537D">
        <w:rPr>
          <w:spacing w:val="0"/>
          <w:w w:val="96"/>
          <w:kern w:val="0"/>
          <w:rtl/>
          <w:lang w:val="en-CA"/>
        </w:rPr>
        <w:t xml:space="preserve"> </w:t>
      </w:r>
      <w:r w:rsidRPr="00AA537D">
        <w:rPr>
          <w:rFonts w:hint="cs"/>
          <w:spacing w:val="0"/>
          <w:w w:val="96"/>
          <w:kern w:val="0"/>
          <w:rtl/>
          <w:lang w:val="en-CA"/>
        </w:rPr>
        <w:t>اعترف بالجريمة</w:t>
      </w:r>
      <w:r w:rsidRPr="00AA537D">
        <w:rPr>
          <w:spacing w:val="0"/>
          <w:w w:val="96"/>
          <w:kern w:val="0"/>
          <w:rtl/>
          <w:lang w:val="en-CA"/>
        </w:rPr>
        <w:t xml:space="preserve"> نتيجة للتعذيب وسوء المعاملة </w:t>
      </w:r>
      <w:r w:rsidRPr="00AA537D">
        <w:rPr>
          <w:rFonts w:hint="cs"/>
          <w:spacing w:val="0"/>
          <w:w w:val="96"/>
          <w:kern w:val="0"/>
          <w:rtl/>
          <w:lang w:val="en-CA"/>
        </w:rPr>
        <w:t>اللذين</w:t>
      </w:r>
      <w:r w:rsidRPr="00AA537D">
        <w:rPr>
          <w:spacing w:val="0"/>
          <w:w w:val="96"/>
          <w:kern w:val="0"/>
          <w:rtl/>
          <w:lang w:val="en-CA"/>
        </w:rPr>
        <w:t xml:space="preserve"> تعرض له</w:t>
      </w:r>
      <w:r w:rsidRPr="00AA537D">
        <w:rPr>
          <w:rFonts w:hint="cs"/>
          <w:spacing w:val="0"/>
          <w:w w:val="96"/>
          <w:kern w:val="0"/>
          <w:rtl/>
          <w:lang w:val="en-CA"/>
        </w:rPr>
        <w:t>ما</w:t>
      </w:r>
      <w:r w:rsidRPr="00AA537D">
        <w:rPr>
          <w:spacing w:val="0"/>
          <w:w w:val="96"/>
          <w:kern w:val="0"/>
          <w:rtl/>
          <w:lang w:val="en-CA"/>
        </w:rPr>
        <w:t xml:space="preserve">. </w:t>
      </w:r>
      <w:r w:rsidRPr="00AA537D">
        <w:rPr>
          <w:rFonts w:hint="cs"/>
          <w:spacing w:val="0"/>
          <w:w w:val="96"/>
          <w:kern w:val="0"/>
          <w:rtl/>
          <w:lang w:val="en-CA"/>
        </w:rPr>
        <w:t xml:space="preserve">ولا تشير </w:t>
      </w:r>
      <w:r w:rsidRPr="00AA537D">
        <w:rPr>
          <w:spacing w:val="0"/>
          <w:w w:val="96"/>
          <w:kern w:val="0"/>
          <w:rtl/>
          <w:lang w:val="en-CA"/>
        </w:rPr>
        <w:t xml:space="preserve">المعلومات الواردة في الملف المعروض </w:t>
      </w:r>
      <w:r w:rsidRPr="00AA537D">
        <w:rPr>
          <w:rFonts w:hint="cs"/>
          <w:spacing w:val="0"/>
          <w:w w:val="96"/>
          <w:kern w:val="0"/>
          <w:rtl/>
          <w:lang w:val="en-CA"/>
        </w:rPr>
        <w:t>أمام</w:t>
      </w:r>
      <w:r w:rsidRPr="00AA537D">
        <w:rPr>
          <w:spacing w:val="0"/>
          <w:w w:val="96"/>
          <w:kern w:val="0"/>
          <w:rtl/>
          <w:lang w:val="en-CA"/>
        </w:rPr>
        <w:t xml:space="preserve"> اللجنة ولا</w:t>
      </w:r>
      <w:r w:rsidR="00E86FDB">
        <w:rPr>
          <w:rFonts w:hint="cs"/>
          <w:spacing w:val="0"/>
          <w:w w:val="96"/>
          <w:kern w:val="0"/>
          <w:rtl/>
          <w:lang w:val="en-CA"/>
        </w:rPr>
        <w:t> </w:t>
      </w:r>
      <w:r w:rsidRPr="00AA537D">
        <w:rPr>
          <w:spacing w:val="0"/>
          <w:w w:val="96"/>
          <w:kern w:val="0"/>
          <w:rtl/>
          <w:lang w:val="en-CA"/>
        </w:rPr>
        <w:t xml:space="preserve">ملاحظات الدولة الطرف إلى أن المحاكم اتخذت تدابير للتحقيق في ادعاءات صاحب الشكوى. </w:t>
      </w:r>
      <w:r w:rsidRPr="00AA537D">
        <w:rPr>
          <w:rFonts w:hint="cs"/>
          <w:spacing w:val="0"/>
          <w:w w:val="96"/>
          <w:kern w:val="0"/>
          <w:rtl/>
          <w:lang w:val="en-CA"/>
        </w:rPr>
        <w:t xml:space="preserve">وقامت </w:t>
      </w:r>
      <w:r w:rsidRPr="00AA537D">
        <w:rPr>
          <w:spacing w:val="0"/>
          <w:w w:val="96"/>
          <w:kern w:val="0"/>
          <w:rtl/>
          <w:lang w:val="en-CA"/>
        </w:rPr>
        <w:t>المحكمة العليا</w:t>
      </w:r>
      <w:r w:rsidRPr="00AA537D">
        <w:rPr>
          <w:rFonts w:hint="cs"/>
          <w:spacing w:val="0"/>
          <w:w w:val="96"/>
          <w:kern w:val="0"/>
          <w:rtl/>
          <w:lang w:val="en-CA"/>
        </w:rPr>
        <w:t xml:space="preserve"> الوطنية</w:t>
      </w:r>
      <w:r w:rsidRPr="00AA537D">
        <w:rPr>
          <w:spacing w:val="0"/>
          <w:w w:val="96"/>
          <w:kern w:val="0"/>
          <w:rtl/>
          <w:lang w:val="en-CA"/>
        </w:rPr>
        <w:t xml:space="preserve">، </w:t>
      </w:r>
      <w:r w:rsidRPr="00AA537D">
        <w:rPr>
          <w:rFonts w:hint="cs"/>
          <w:spacing w:val="0"/>
          <w:w w:val="96"/>
          <w:kern w:val="0"/>
          <w:rtl/>
          <w:lang w:val="en-CA"/>
        </w:rPr>
        <w:t>بصفة خاصة</w:t>
      </w:r>
      <w:r w:rsidRPr="00AA537D">
        <w:rPr>
          <w:spacing w:val="0"/>
          <w:w w:val="96"/>
          <w:kern w:val="0"/>
          <w:rtl/>
          <w:lang w:val="en-CA"/>
        </w:rPr>
        <w:t xml:space="preserve">، </w:t>
      </w:r>
      <w:r w:rsidRPr="00AA537D">
        <w:rPr>
          <w:rFonts w:hint="cs"/>
          <w:spacing w:val="0"/>
          <w:w w:val="96"/>
          <w:kern w:val="0"/>
          <w:rtl/>
          <w:lang w:val="en-CA"/>
        </w:rPr>
        <w:t>ب</w:t>
      </w:r>
      <w:r w:rsidRPr="00AA537D">
        <w:rPr>
          <w:spacing w:val="0"/>
          <w:w w:val="96"/>
          <w:kern w:val="0"/>
          <w:rtl/>
          <w:lang w:val="en-CA"/>
        </w:rPr>
        <w:t xml:space="preserve">مجرد </w:t>
      </w:r>
      <w:r w:rsidRPr="00AA537D">
        <w:rPr>
          <w:rFonts w:hint="cs"/>
          <w:spacing w:val="0"/>
          <w:w w:val="96"/>
          <w:kern w:val="0"/>
          <w:rtl/>
          <w:lang w:val="en-CA"/>
        </w:rPr>
        <w:t xml:space="preserve">النظر في </w:t>
      </w:r>
      <w:r w:rsidRPr="00AA537D">
        <w:rPr>
          <w:spacing w:val="0"/>
          <w:w w:val="96"/>
          <w:kern w:val="0"/>
          <w:rtl/>
          <w:lang w:val="en-CA"/>
        </w:rPr>
        <w:t xml:space="preserve">الأدلة المعروضة عليها، </w:t>
      </w:r>
      <w:r w:rsidRPr="00E86FDB">
        <w:rPr>
          <w:spacing w:val="-2"/>
          <w:w w:val="96"/>
          <w:kern w:val="0"/>
          <w:rtl/>
          <w:lang w:val="en-CA"/>
        </w:rPr>
        <w:t>بما</w:t>
      </w:r>
      <w:r w:rsidR="00E86FDB" w:rsidRPr="00E86FDB">
        <w:rPr>
          <w:rFonts w:hint="cs"/>
          <w:spacing w:val="-2"/>
          <w:w w:val="96"/>
          <w:kern w:val="0"/>
          <w:rtl/>
          <w:lang w:val="en-CA"/>
        </w:rPr>
        <w:t> </w:t>
      </w:r>
      <w:r w:rsidRPr="00E86FDB">
        <w:rPr>
          <w:spacing w:val="-2"/>
          <w:w w:val="96"/>
          <w:kern w:val="0"/>
          <w:rtl/>
          <w:lang w:val="en-CA"/>
        </w:rPr>
        <w:t xml:space="preserve">في ذلك </w:t>
      </w:r>
      <w:r w:rsidRPr="00E86FDB">
        <w:rPr>
          <w:rFonts w:hint="cs"/>
          <w:spacing w:val="-2"/>
          <w:w w:val="96"/>
          <w:kern w:val="0"/>
          <w:rtl/>
          <w:lang w:val="en-CA"/>
        </w:rPr>
        <w:t>الاعترافات</w:t>
      </w:r>
      <w:r w:rsidRPr="00E86FDB">
        <w:rPr>
          <w:spacing w:val="-2"/>
          <w:w w:val="96"/>
          <w:kern w:val="0"/>
          <w:rtl/>
          <w:lang w:val="en-CA"/>
        </w:rPr>
        <w:t xml:space="preserve">، من أجل </w:t>
      </w:r>
      <w:r w:rsidRPr="00E86FDB">
        <w:rPr>
          <w:rFonts w:hint="cs"/>
          <w:spacing w:val="-2"/>
          <w:w w:val="96"/>
          <w:kern w:val="0"/>
          <w:rtl/>
          <w:lang w:val="en-CA"/>
        </w:rPr>
        <w:t>البت في</w:t>
      </w:r>
      <w:r w:rsidRPr="00E86FDB">
        <w:rPr>
          <w:spacing w:val="-2"/>
          <w:w w:val="96"/>
          <w:kern w:val="0"/>
          <w:rtl/>
          <w:lang w:val="en-CA"/>
        </w:rPr>
        <w:t xml:space="preserve"> مسؤولية صاحب الشكوى. </w:t>
      </w:r>
      <w:r w:rsidRPr="00E86FDB">
        <w:rPr>
          <w:rFonts w:hint="cs"/>
          <w:spacing w:val="-2"/>
          <w:w w:val="96"/>
          <w:kern w:val="0"/>
          <w:rtl/>
          <w:lang w:val="en-CA"/>
        </w:rPr>
        <w:t>ولم تقم المحكمة العليا أيضاً باتخاذ إجراء بشأن ادعاء</w:t>
      </w:r>
      <w:r w:rsidRPr="00E86FDB">
        <w:rPr>
          <w:spacing w:val="-2"/>
          <w:w w:val="96"/>
          <w:kern w:val="0"/>
          <w:rtl/>
          <w:lang w:val="en-CA"/>
        </w:rPr>
        <w:t xml:space="preserve"> </w:t>
      </w:r>
      <w:r w:rsidRPr="00E86FDB">
        <w:rPr>
          <w:rFonts w:hint="cs"/>
          <w:spacing w:val="-2"/>
          <w:w w:val="96"/>
          <w:kern w:val="0"/>
          <w:rtl/>
          <w:lang w:val="en-CA"/>
        </w:rPr>
        <w:t>التعرض ل</w:t>
      </w:r>
      <w:r w:rsidRPr="00E86FDB">
        <w:rPr>
          <w:spacing w:val="-2"/>
          <w:w w:val="96"/>
          <w:kern w:val="0"/>
          <w:rtl/>
          <w:lang w:val="en-CA"/>
        </w:rPr>
        <w:t>لتعذيب ال</w:t>
      </w:r>
      <w:r w:rsidRPr="00E86FDB">
        <w:rPr>
          <w:rFonts w:hint="cs"/>
          <w:spacing w:val="-2"/>
          <w:w w:val="96"/>
          <w:kern w:val="0"/>
          <w:rtl/>
          <w:lang w:val="en-CA"/>
        </w:rPr>
        <w:t>ذ</w:t>
      </w:r>
      <w:r w:rsidRPr="00E86FDB">
        <w:rPr>
          <w:spacing w:val="-2"/>
          <w:w w:val="96"/>
          <w:kern w:val="0"/>
          <w:rtl/>
          <w:lang w:val="en-CA"/>
        </w:rPr>
        <w:t xml:space="preserve">ي </w:t>
      </w:r>
      <w:r w:rsidRPr="00E86FDB">
        <w:rPr>
          <w:rFonts w:hint="cs"/>
          <w:spacing w:val="-2"/>
          <w:w w:val="96"/>
          <w:kern w:val="0"/>
          <w:rtl/>
          <w:lang w:val="en-CA"/>
        </w:rPr>
        <w:t>قدمه</w:t>
      </w:r>
      <w:r w:rsidRPr="00E86FDB">
        <w:rPr>
          <w:spacing w:val="-2"/>
          <w:w w:val="96"/>
          <w:kern w:val="0"/>
          <w:rtl/>
          <w:lang w:val="en-CA"/>
        </w:rPr>
        <w:t xml:space="preserve"> صاحب الشكوى كجزء من طلبه </w:t>
      </w:r>
      <w:r w:rsidRPr="00E86FDB">
        <w:rPr>
          <w:rFonts w:hint="cs"/>
          <w:spacing w:val="-2"/>
          <w:w w:val="96"/>
          <w:kern w:val="0"/>
          <w:rtl/>
          <w:lang w:val="en-CA"/>
        </w:rPr>
        <w:t>ل</w:t>
      </w:r>
      <w:r w:rsidRPr="00E86FDB">
        <w:rPr>
          <w:spacing w:val="-2"/>
          <w:w w:val="96"/>
          <w:kern w:val="0"/>
          <w:rtl/>
          <w:lang w:val="en-CA"/>
        </w:rPr>
        <w:t>لنقض.</w:t>
      </w:r>
    </w:p>
    <w:p w:rsidR="00FA6676" w:rsidRPr="00BC2BF0" w:rsidRDefault="00FA6676" w:rsidP="00BC2BF0">
      <w:pPr>
        <w:pStyle w:val="SingleTxtGA"/>
        <w:spacing w:after="60"/>
        <w:jc w:val="lowKashida"/>
        <w:rPr>
          <w:rFonts w:hint="cs"/>
          <w:spacing w:val="-2"/>
          <w:kern w:val="0"/>
          <w:rtl/>
          <w:lang w:val="en-CA"/>
        </w:rPr>
      </w:pPr>
      <w:r w:rsidRPr="00BC2BF0">
        <w:rPr>
          <w:rFonts w:hint="cs"/>
          <w:spacing w:val="-2"/>
          <w:kern w:val="0"/>
          <w:rtl/>
          <w:lang w:val="en-CA"/>
        </w:rPr>
        <w:t>7-3</w:t>
      </w:r>
      <w:r w:rsidRPr="00BC2BF0">
        <w:rPr>
          <w:rFonts w:hint="cs"/>
          <w:spacing w:val="-2"/>
          <w:kern w:val="0"/>
          <w:rtl/>
          <w:lang w:val="en-CA"/>
        </w:rPr>
        <w:tab/>
      </w:r>
      <w:r w:rsidRPr="00BC2BF0">
        <w:rPr>
          <w:spacing w:val="-2"/>
          <w:kern w:val="0"/>
          <w:rtl/>
          <w:lang w:val="en-CA"/>
        </w:rPr>
        <w:t xml:space="preserve">وترى اللجنة أن النقاط الواردة في الفقرة السابقة تشير إلى وجود قصور في التحقيق من جانب السلطات المذكورة في تلك </w:t>
      </w:r>
      <w:r w:rsidRPr="00BC2BF0">
        <w:rPr>
          <w:rFonts w:hint="cs"/>
          <w:spacing w:val="-2"/>
          <w:kern w:val="0"/>
          <w:rtl/>
          <w:lang w:val="en-CA"/>
        </w:rPr>
        <w:t xml:space="preserve">الفقرة </w:t>
      </w:r>
      <w:r w:rsidRPr="00BC2BF0">
        <w:rPr>
          <w:spacing w:val="-2"/>
          <w:kern w:val="0"/>
          <w:rtl/>
          <w:lang w:val="en-CA"/>
        </w:rPr>
        <w:t xml:space="preserve">لا </w:t>
      </w:r>
      <w:r w:rsidRPr="00BC2BF0">
        <w:rPr>
          <w:rFonts w:hint="cs"/>
          <w:spacing w:val="-2"/>
          <w:kern w:val="0"/>
          <w:rtl/>
          <w:lang w:val="en-CA"/>
        </w:rPr>
        <w:t>ي</w:t>
      </w:r>
      <w:r w:rsidRPr="00BC2BF0">
        <w:rPr>
          <w:spacing w:val="-2"/>
          <w:kern w:val="0"/>
          <w:rtl/>
          <w:lang w:val="en-CA"/>
        </w:rPr>
        <w:t xml:space="preserve">تفق مع التزام الدولة بموجب المادة 12 من الاتفاقية </w:t>
      </w:r>
      <w:r w:rsidRPr="00BC2BF0">
        <w:rPr>
          <w:rFonts w:hint="cs"/>
          <w:spacing w:val="-2"/>
          <w:kern w:val="0"/>
          <w:rtl/>
          <w:lang w:val="en-CA"/>
        </w:rPr>
        <w:t>ب</w:t>
      </w:r>
      <w:r w:rsidRPr="00BC2BF0">
        <w:rPr>
          <w:spacing w:val="-2"/>
          <w:kern w:val="0"/>
          <w:rtl/>
          <w:lang w:val="en-CA"/>
        </w:rPr>
        <w:t xml:space="preserve">ضمان قيام سلطاتها المختصة بإجراء تحقيق سريع ونزيه كلما </w:t>
      </w:r>
      <w:r w:rsidRPr="00BC2BF0">
        <w:rPr>
          <w:rFonts w:hint="cs"/>
          <w:spacing w:val="-2"/>
          <w:kern w:val="0"/>
          <w:rtl/>
          <w:lang w:val="en-CA"/>
        </w:rPr>
        <w:t>كانت هناك</w:t>
      </w:r>
      <w:r w:rsidRPr="00BC2BF0">
        <w:rPr>
          <w:spacing w:val="-2"/>
          <w:kern w:val="0"/>
          <w:rtl/>
          <w:lang w:val="en-CA"/>
        </w:rPr>
        <w:t xml:space="preserve"> أسباب معقولة تدعو للاعتقاد بأن </w:t>
      </w:r>
      <w:r w:rsidRPr="00BC2BF0">
        <w:rPr>
          <w:rFonts w:hint="cs"/>
          <w:spacing w:val="-2"/>
          <w:kern w:val="0"/>
          <w:rtl/>
          <w:lang w:val="en-CA"/>
        </w:rPr>
        <w:t>فعل من أفعال</w:t>
      </w:r>
      <w:r w:rsidRPr="00BC2BF0">
        <w:rPr>
          <w:spacing w:val="-2"/>
          <w:kern w:val="0"/>
          <w:rtl/>
          <w:lang w:val="en-CA"/>
        </w:rPr>
        <w:t xml:space="preserve"> التعذيب</w:t>
      </w:r>
      <w:r w:rsidRPr="00BC2BF0">
        <w:rPr>
          <w:rFonts w:hint="cs"/>
          <w:spacing w:val="-2"/>
          <w:kern w:val="0"/>
          <w:rtl/>
          <w:lang w:val="en-CA"/>
        </w:rPr>
        <w:t xml:space="preserve"> قد ارتكب</w:t>
      </w:r>
      <w:r w:rsidRPr="00BC2BF0">
        <w:rPr>
          <w:spacing w:val="-2"/>
          <w:kern w:val="0"/>
          <w:rtl/>
          <w:lang w:val="en-CA"/>
        </w:rPr>
        <w:t xml:space="preserve">. </w:t>
      </w:r>
      <w:r w:rsidRPr="00BC2BF0">
        <w:rPr>
          <w:rFonts w:hint="cs"/>
          <w:spacing w:val="-2"/>
          <w:kern w:val="0"/>
          <w:rtl/>
          <w:lang w:val="en-CA"/>
        </w:rPr>
        <w:t>ولا تجد</w:t>
      </w:r>
      <w:r w:rsidRPr="00BC2BF0">
        <w:rPr>
          <w:spacing w:val="-2"/>
          <w:kern w:val="0"/>
          <w:rtl/>
          <w:lang w:val="en-CA"/>
        </w:rPr>
        <w:t xml:space="preserve"> </w:t>
      </w:r>
      <w:r w:rsidRPr="00BC2BF0">
        <w:rPr>
          <w:rFonts w:hint="cs"/>
          <w:spacing w:val="-2"/>
          <w:kern w:val="0"/>
          <w:rtl/>
          <w:lang w:val="en-CA"/>
        </w:rPr>
        <w:t>ال</w:t>
      </w:r>
      <w:r w:rsidRPr="00BC2BF0">
        <w:rPr>
          <w:spacing w:val="-2"/>
          <w:kern w:val="0"/>
          <w:rtl/>
          <w:lang w:val="en-CA"/>
        </w:rPr>
        <w:t xml:space="preserve">لجنة في </w:t>
      </w:r>
      <w:r w:rsidRPr="00BC2BF0">
        <w:rPr>
          <w:rFonts w:hint="cs"/>
          <w:spacing w:val="-2"/>
          <w:kern w:val="0"/>
          <w:rtl/>
          <w:lang w:val="en-CA"/>
        </w:rPr>
        <w:t xml:space="preserve">عناصر </w:t>
      </w:r>
      <w:r w:rsidRPr="00BC2BF0">
        <w:rPr>
          <w:spacing w:val="-2"/>
          <w:kern w:val="0"/>
          <w:rtl/>
          <w:lang w:val="en-CA"/>
        </w:rPr>
        <w:t xml:space="preserve">الملف المعروض </w:t>
      </w:r>
      <w:r w:rsidRPr="00BC2BF0">
        <w:rPr>
          <w:rFonts w:hint="cs"/>
          <w:spacing w:val="-2"/>
          <w:kern w:val="0"/>
          <w:rtl/>
          <w:lang w:val="en-CA"/>
        </w:rPr>
        <w:t>عليها أسبابا</w:t>
      </w:r>
      <w:r w:rsidR="001A08AE">
        <w:rPr>
          <w:rFonts w:hint="cs"/>
          <w:spacing w:val="-2"/>
          <w:kern w:val="0"/>
          <w:rtl/>
          <w:lang w:val="en-CA"/>
        </w:rPr>
        <w:t>ً</w:t>
      </w:r>
      <w:r w:rsidRPr="00BC2BF0">
        <w:rPr>
          <w:rFonts w:hint="cs"/>
          <w:spacing w:val="-2"/>
          <w:kern w:val="0"/>
          <w:rtl/>
          <w:lang w:val="en-CA"/>
        </w:rPr>
        <w:t xml:space="preserve"> كافية</w:t>
      </w:r>
      <w:r w:rsidRPr="00BC2BF0">
        <w:rPr>
          <w:spacing w:val="-2"/>
          <w:kern w:val="0"/>
          <w:rtl/>
          <w:lang w:val="en-CA"/>
        </w:rPr>
        <w:t xml:space="preserve"> </w:t>
      </w:r>
      <w:r w:rsidR="004A1851">
        <w:rPr>
          <w:rFonts w:hint="cs"/>
          <w:spacing w:val="-2"/>
          <w:kern w:val="0"/>
          <w:rtl/>
          <w:lang w:val="en-CA"/>
        </w:rPr>
        <w:t>ل</w:t>
      </w:r>
      <w:r w:rsidRPr="00BC2BF0">
        <w:rPr>
          <w:spacing w:val="-2"/>
          <w:kern w:val="0"/>
          <w:rtl/>
          <w:lang w:val="en-CA"/>
        </w:rPr>
        <w:t xml:space="preserve">تبرير </w:t>
      </w:r>
      <w:r w:rsidRPr="00BC2BF0">
        <w:rPr>
          <w:rFonts w:hint="cs"/>
          <w:spacing w:val="-2"/>
          <w:kern w:val="0"/>
          <w:rtl/>
          <w:lang w:val="en-CA"/>
        </w:rPr>
        <w:t>عدم سعي السلطات القضائية</w:t>
      </w:r>
      <w:r w:rsidRPr="00BC2BF0">
        <w:rPr>
          <w:spacing w:val="-2"/>
          <w:kern w:val="0"/>
          <w:rtl/>
          <w:lang w:val="en-CA"/>
        </w:rPr>
        <w:t xml:space="preserve"> </w:t>
      </w:r>
      <w:r w:rsidRPr="00BC2BF0">
        <w:rPr>
          <w:rFonts w:hint="cs"/>
          <w:spacing w:val="-2"/>
          <w:kern w:val="0"/>
          <w:rtl/>
          <w:lang w:val="en-CA"/>
        </w:rPr>
        <w:t xml:space="preserve">لإيجاد </w:t>
      </w:r>
      <w:r w:rsidRPr="00BC2BF0">
        <w:rPr>
          <w:spacing w:val="-2"/>
          <w:kern w:val="0"/>
          <w:rtl/>
          <w:lang w:val="en-CA"/>
        </w:rPr>
        <w:t xml:space="preserve">أدلة أخرى </w:t>
      </w:r>
      <w:r w:rsidRPr="00BC2BF0">
        <w:rPr>
          <w:rFonts w:hint="cs"/>
          <w:spacing w:val="-2"/>
          <w:kern w:val="0"/>
          <w:rtl/>
          <w:lang w:val="en-CA"/>
        </w:rPr>
        <w:t xml:space="preserve">غير </w:t>
      </w:r>
      <w:r w:rsidRPr="00BC2BF0">
        <w:rPr>
          <w:spacing w:val="-2"/>
          <w:kern w:val="0"/>
          <w:rtl/>
          <w:lang w:val="en-CA"/>
        </w:rPr>
        <w:t xml:space="preserve">تقارير الطب الشرعي. </w:t>
      </w:r>
      <w:r w:rsidRPr="00BC2BF0">
        <w:rPr>
          <w:rFonts w:hint="cs"/>
          <w:spacing w:val="-2"/>
          <w:kern w:val="0"/>
          <w:rtl/>
          <w:lang w:val="en-CA"/>
        </w:rPr>
        <w:t>و</w:t>
      </w:r>
      <w:r w:rsidRPr="00BC2BF0">
        <w:rPr>
          <w:spacing w:val="-2"/>
          <w:kern w:val="0"/>
          <w:rtl/>
          <w:lang w:val="en-CA"/>
        </w:rPr>
        <w:t xml:space="preserve">ترى اللجنة أن مثل هذه الأدلة الإضافية </w:t>
      </w:r>
      <w:r w:rsidRPr="00BC2BF0">
        <w:rPr>
          <w:rFonts w:hint="cs"/>
          <w:spacing w:val="-2"/>
          <w:kern w:val="0"/>
          <w:rtl/>
          <w:lang w:val="en-CA"/>
        </w:rPr>
        <w:t>كانت مهمة نظراً لأنه برغم أهمية</w:t>
      </w:r>
      <w:r w:rsidRPr="00BC2BF0">
        <w:rPr>
          <w:spacing w:val="-2"/>
          <w:kern w:val="0"/>
          <w:rtl/>
          <w:lang w:val="en-CA"/>
        </w:rPr>
        <w:t xml:space="preserve"> تقارير الطب الشرعي </w:t>
      </w:r>
      <w:r w:rsidRPr="00BC2BF0">
        <w:rPr>
          <w:rFonts w:hint="cs"/>
          <w:spacing w:val="-2"/>
          <w:kern w:val="0"/>
          <w:rtl/>
          <w:lang w:val="en-CA"/>
        </w:rPr>
        <w:t>عموماً للبت في</w:t>
      </w:r>
      <w:r w:rsidRPr="00BC2BF0">
        <w:rPr>
          <w:spacing w:val="-2"/>
          <w:kern w:val="0"/>
          <w:rtl/>
          <w:lang w:val="en-CA"/>
        </w:rPr>
        <w:t>ما إذا كانت أ</w:t>
      </w:r>
      <w:r w:rsidRPr="00BC2BF0">
        <w:rPr>
          <w:rFonts w:hint="cs"/>
          <w:spacing w:val="-2"/>
          <w:kern w:val="0"/>
          <w:rtl/>
          <w:lang w:val="en-CA"/>
        </w:rPr>
        <w:t>فع</w:t>
      </w:r>
      <w:r w:rsidRPr="00BC2BF0">
        <w:rPr>
          <w:spacing w:val="-2"/>
          <w:kern w:val="0"/>
          <w:rtl/>
          <w:lang w:val="en-CA"/>
        </w:rPr>
        <w:t xml:space="preserve">ال التعذيب </w:t>
      </w:r>
      <w:r w:rsidRPr="00BC2BF0">
        <w:rPr>
          <w:rFonts w:hint="cs"/>
          <w:spacing w:val="-2"/>
          <w:kern w:val="0"/>
          <w:rtl/>
          <w:lang w:val="en-CA"/>
        </w:rPr>
        <w:t>قد و</w:t>
      </w:r>
      <w:r w:rsidRPr="00BC2BF0">
        <w:rPr>
          <w:spacing w:val="-2"/>
          <w:kern w:val="0"/>
          <w:rtl/>
          <w:lang w:val="en-CA"/>
        </w:rPr>
        <w:t xml:space="preserve">قعت، فإنها </w:t>
      </w:r>
      <w:r w:rsidRPr="00BC2BF0">
        <w:rPr>
          <w:rFonts w:hint="cs"/>
          <w:spacing w:val="-2"/>
          <w:kern w:val="0"/>
          <w:rtl/>
          <w:lang w:val="en-CA"/>
        </w:rPr>
        <w:t>عادة</w:t>
      </w:r>
      <w:r w:rsidRPr="00BC2BF0">
        <w:rPr>
          <w:spacing w:val="-2"/>
          <w:kern w:val="0"/>
          <w:rtl/>
          <w:lang w:val="en-CA"/>
        </w:rPr>
        <w:t xml:space="preserve"> ما</w:t>
      </w:r>
      <w:r w:rsidR="00BC2BF0">
        <w:rPr>
          <w:rFonts w:hint="cs"/>
          <w:spacing w:val="-2"/>
          <w:kern w:val="0"/>
          <w:rtl/>
          <w:lang w:val="en-CA"/>
        </w:rPr>
        <w:t> </w:t>
      </w:r>
      <w:r w:rsidRPr="00BC2BF0">
        <w:rPr>
          <w:spacing w:val="-2"/>
          <w:kern w:val="0"/>
          <w:rtl/>
          <w:lang w:val="en-CA"/>
        </w:rPr>
        <w:t xml:space="preserve">تكون غير كافية وتحتاج إلى مقارنة مع </w:t>
      </w:r>
      <w:r w:rsidRPr="00BC2BF0">
        <w:rPr>
          <w:rFonts w:hint="cs"/>
          <w:spacing w:val="-2"/>
          <w:kern w:val="0"/>
          <w:rtl/>
          <w:lang w:val="en-CA"/>
        </w:rPr>
        <w:t>مصادر أخرى للمعلومات</w:t>
      </w:r>
      <w:r w:rsidRPr="00BC2BF0">
        <w:rPr>
          <w:rFonts w:hint="cs"/>
          <w:spacing w:val="-2"/>
          <w:kern w:val="0"/>
          <w:vertAlign w:val="superscript"/>
          <w:rtl/>
          <w:lang w:val="fr-CH"/>
        </w:rPr>
        <w:t>(</w:t>
      </w:r>
      <w:r w:rsidRPr="00BC2BF0">
        <w:rPr>
          <w:rStyle w:val="FootnoteReference"/>
          <w:spacing w:val="-2"/>
          <w:sz w:val="26"/>
          <w:szCs w:val="26"/>
          <w:rtl/>
          <w:lang w:val="fr-CH"/>
        </w:rPr>
        <w:footnoteReference w:id="445"/>
      </w:r>
      <w:r w:rsidRPr="00BC2BF0">
        <w:rPr>
          <w:rFonts w:hint="cs"/>
          <w:spacing w:val="-2"/>
          <w:kern w:val="0"/>
          <w:vertAlign w:val="superscript"/>
          <w:rtl/>
          <w:lang w:val="fr-CH"/>
        </w:rPr>
        <w:t>)</w:t>
      </w:r>
      <w:r w:rsidRPr="00BC2BF0">
        <w:rPr>
          <w:rFonts w:hint="cs"/>
          <w:spacing w:val="-2"/>
          <w:kern w:val="0"/>
          <w:rtl/>
          <w:lang w:val="en-CA"/>
        </w:rPr>
        <w:t>.</w:t>
      </w:r>
      <w:r w:rsidRPr="00BC2BF0">
        <w:rPr>
          <w:spacing w:val="-2"/>
          <w:kern w:val="0"/>
          <w:rtl/>
          <w:lang w:val="en-CA"/>
        </w:rPr>
        <w:t xml:space="preserve"> </w:t>
      </w:r>
      <w:r w:rsidRPr="00BC2BF0">
        <w:rPr>
          <w:rFonts w:hint="cs"/>
          <w:spacing w:val="-2"/>
          <w:kern w:val="0"/>
          <w:rtl/>
          <w:lang w:val="en-CA"/>
        </w:rPr>
        <w:t xml:space="preserve">ولذلك </w:t>
      </w:r>
      <w:r w:rsidRPr="00BC2BF0">
        <w:rPr>
          <w:spacing w:val="-2"/>
          <w:kern w:val="0"/>
          <w:rtl/>
          <w:lang w:val="en-CA"/>
        </w:rPr>
        <w:t xml:space="preserve">تخلص اللجنة إلى أن الحقائق المعروضة </w:t>
      </w:r>
      <w:r w:rsidRPr="00BC2BF0">
        <w:rPr>
          <w:rFonts w:hint="cs"/>
          <w:spacing w:val="-2"/>
          <w:kern w:val="0"/>
          <w:rtl/>
          <w:lang w:val="en-CA"/>
        </w:rPr>
        <w:t>عليها</w:t>
      </w:r>
      <w:r w:rsidRPr="00BC2BF0">
        <w:rPr>
          <w:spacing w:val="-2"/>
          <w:kern w:val="0"/>
          <w:rtl/>
          <w:lang w:val="en-CA"/>
        </w:rPr>
        <w:t xml:space="preserve"> تكشف عن انتهاك الدولة الطرف للمادة 12 من الاتفاقية.</w:t>
      </w:r>
    </w:p>
    <w:p w:rsidR="00FA6676" w:rsidRPr="00AA537D" w:rsidRDefault="00FA6676" w:rsidP="00AA537D">
      <w:pPr>
        <w:pStyle w:val="SingleTxtGA"/>
        <w:spacing w:after="60" w:line="360" w:lineRule="exact"/>
        <w:jc w:val="lowKashida"/>
        <w:rPr>
          <w:rFonts w:hint="cs"/>
          <w:spacing w:val="0"/>
          <w:kern w:val="0"/>
          <w:rtl/>
          <w:lang w:val="en-CA"/>
        </w:rPr>
      </w:pPr>
      <w:r w:rsidRPr="00AA537D">
        <w:rPr>
          <w:rFonts w:hint="cs"/>
          <w:spacing w:val="0"/>
          <w:kern w:val="0"/>
          <w:rtl/>
          <w:lang w:val="en-CA"/>
        </w:rPr>
        <w:t>7-4</w:t>
      </w:r>
      <w:r w:rsidRPr="00AA537D">
        <w:rPr>
          <w:rFonts w:hint="cs"/>
          <w:spacing w:val="0"/>
          <w:kern w:val="0"/>
          <w:rtl/>
          <w:lang w:val="en-CA"/>
        </w:rPr>
        <w:tab/>
        <w:t>و</w:t>
      </w:r>
      <w:r w:rsidRPr="00AA537D">
        <w:rPr>
          <w:spacing w:val="0"/>
          <w:kern w:val="0"/>
          <w:rtl/>
          <w:lang w:val="en-CA"/>
        </w:rPr>
        <w:t xml:space="preserve">يدعي صاحب الشكوى أنه </w:t>
      </w:r>
      <w:r w:rsidRPr="00AA537D">
        <w:rPr>
          <w:rFonts w:hint="cs"/>
          <w:spacing w:val="0"/>
          <w:kern w:val="0"/>
          <w:rtl/>
          <w:lang w:val="en-CA"/>
        </w:rPr>
        <w:t xml:space="preserve">وقع </w:t>
      </w:r>
      <w:r w:rsidRPr="00AA537D">
        <w:rPr>
          <w:spacing w:val="0"/>
          <w:kern w:val="0"/>
          <w:rtl/>
          <w:lang w:val="en-CA"/>
        </w:rPr>
        <w:t xml:space="preserve">ضحية انتهاك المادة 15 من الاتفاقية </w:t>
      </w:r>
      <w:r w:rsidRPr="00AA537D">
        <w:rPr>
          <w:rFonts w:hint="cs"/>
          <w:spacing w:val="0"/>
          <w:kern w:val="0"/>
          <w:rtl/>
          <w:lang w:val="en-CA"/>
        </w:rPr>
        <w:t>بسبب</w:t>
      </w:r>
      <w:r w:rsidRPr="00AA537D">
        <w:rPr>
          <w:spacing w:val="0"/>
          <w:kern w:val="0"/>
          <w:rtl/>
          <w:lang w:val="en-CA"/>
        </w:rPr>
        <w:t xml:space="preserve"> </w:t>
      </w:r>
      <w:r w:rsidRPr="00AA537D">
        <w:rPr>
          <w:rFonts w:hint="cs"/>
          <w:spacing w:val="0"/>
          <w:kern w:val="0"/>
          <w:rtl/>
          <w:lang w:val="en-CA"/>
        </w:rPr>
        <w:t xml:space="preserve">استخدام اعترافاته التي </w:t>
      </w:r>
      <w:r w:rsidRPr="00AA537D">
        <w:rPr>
          <w:spacing w:val="0"/>
          <w:kern w:val="0"/>
          <w:rtl/>
          <w:lang w:val="en-CA"/>
        </w:rPr>
        <w:t xml:space="preserve">أدلى به تحت التعذيب في </w:t>
      </w:r>
      <w:r w:rsidRPr="00AA537D">
        <w:rPr>
          <w:rFonts w:hint="cs"/>
          <w:spacing w:val="0"/>
          <w:kern w:val="0"/>
          <w:rtl/>
          <w:lang w:val="en-CA"/>
        </w:rPr>
        <w:t>مركز</w:t>
      </w:r>
      <w:r w:rsidRPr="00AA537D">
        <w:rPr>
          <w:spacing w:val="0"/>
          <w:kern w:val="0"/>
          <w:rtl/>
          <w:lang w:val="en-CA"/>
        </w:rPr>
        <w:t xml:space="preserve"> الشرطة كدليل </w:t>
      </w:r>
      <w:r w:rsidRPr="00AA537D">
        <w:rPr>
          <w:rFonts w:hint="cs"/>
          <w:spacing w:val="0"/>
          <w:kern w:val="0"/>
          <w:rtl/>
          <w:lang w:val="en-CA"/>
        </w:rPr>
        <w:t>ل</w:t>
      </w:r>
      <w:r w:rsidRPr="00AA537D">
        <w:rPr>
          <w:spacing w:val="0"/>
          <w:kern w:val="0"/>
          <w:rtl/>
          <w:lang w:val="en-CA"/>
        </w:rPr>
        <w:t>إدانته. وت</w:t>
      </w:r>
      <w:r w:rsidRPr="00AA537D">
        <w:rPr>
          <w:rFonts w:hint="cs"/>
          <w:spacing w:val="0"/>
          <w:kern w:val="0"/>
          <w:rtl/>
          <w:lang w:val="en-CA"/>
        </w:rPr>
        <w:t>ذكر</w:t>
      </w:r>
      <w:r w:rsidRPr="00AA537D">
        <w:rPr>
          <w:spacing w:val="0"/>
          <w:kern w:val="0"/>
          <w:rtl/>
          <w:lang w:val="en-CA"/>
        </w:rPr>
        <w:t xml:space="preserve"> اللجنة أن</w:t>
      </w:r>
      <w:r w:rsidRPr="00AA537D">
        <w:rPr>
          <w:rFonts w:hint="cs"/>
          <w:spacing w:val="0"/>
          <w:kern w:val="0"/>
          <w:rtl/>
          <w:lang w:val="en-CA"/>
        </w:rPr>
        <w:t xml:space="preserve"> على الدولة الطرف،</w:t>
      </w:r>
      <w:r w:rsidRPr="00AA537D">
        <w:rPr>
          <w:spacing w:val="0"/>
          <w:kern w:val="0"/>
          <w:rtl/>
          <w:lang w:val="en-CA"/>
        </w:rPr>
        <w:t xml:space="preserve"> بموجب </w:t>
      </w:r>
      <w:r w:rsidRPr="00AA537D">
        <w:rPr>
          <w:rFonts w:hint="cs"/>
          <w:spacing w:val="0"/>
          <w:kern w:val="0"/>
          <w:rtl/>
          <w:lang w:val="en-CA"/>
        </w:rPr>
        <w:t>هذه المادة</w:t>
      </w:r>
      <w:r w:rsidRPr="00AA537D">
        <w:rPr>
          <w:spacing w:val="0"/>
          <w:kern w:val="0"/>
          <w:rtl/>
          <w:lang w:val="en-CA"/>
        </w:rPr>
        <w:t xml:space="preserve">، </w:t>
      </w:r>
      <w:r w:rsidRPr="00AA537D">
        <w:rPr>
          <w:rFonts w:hint="cs"/>
          <w:spacing w:val="0"/>
          <w:kern w:val="0"/>
          <w:rtl/>
          <w:lang w:val="en-CA"/>
        </w:rPr>
        <w:t xml:space="preserve">عدم الاستشهاد بأية </w:t>
      </w:r>
      <w:r w:rsidRPr="00AA537D">
        <w:rPr>
          <w:spacing w:val="0"/>
          <w:kern w:val="0"/>
          <w:rtl/>
          <w:lang w:val="en-CA"/>
        </w:rPr>
        <w:t>أقوال يثبت أنه</w:t>
      </w:r>
      <w:r w:rsidRPr="00AA537D">
        <w:rPr>
          <w:rFonts w:hint="cs"/>
          <w:spacing w:val="0"/>
          <w:kern w:val="0"/>
          <w:rtl/>
          <w:lang w:val="en-CA"/>
        </w:rPr>
        <w:t>ا انتزعت</w:t>
      </w:r>
      <w:r w:rsidRPr="00AA537D">
        <w:rPr>
          <w:spacing w:val="0"/>
          <w:kern w:val="0"/>
          <w:rtl/>
          <w:lang w:val="en-CA"/>
        </w:rPr>
        <w:t xml:space="preserve"> نتيجة للتعذيب كدليل في أي إجراءات. </w:t>
      </w:r>
      <w:r w:rsidRPr="00AA537D">
        <w:rPr>
          <w:rFonts w:hint="cs"/>
          <w:spacing w:val="0"/>
          <w:kern w:val="0"/>
          <w:rtl/>
          <w:lang w:val="en-CA"/>
        </w:rPr>
        <w:t xml:space="preserve">ومن وجهة نظر </w:t>
      </w:r>
      <w:r w:rsidRPr="00AA537D">
        <w:rPr>
          <w:spacing w:val="0"/>
          <w:kern w:val="0"/>
          <w:rtl/>
          <w:lang w:val="en-CA"/>
        </w:rPr>
        <w:t xml:space="preserve">اللجنة، فإن أحكام المحكمة العليا الوطنية والمحكمة العليا </w:t>
      </w:r>
      <w:r w:rsidRPr="00AA537D">
        <w:rPr>
          <w:rFonts w:hint="cs"/>
          <w:spacing w:val="0"/>
          <w:kern w:val="0"/>
          <w:rtl/>
          <w:lang w:val="en-CA"/>
        </w:rPr>
        <w:t>تبين أن</w:t>
      </w:r>
      <w:r w:rsidRPr="00AA537D">
        <w:rPr>
          <w:spacing w:val="0"/>
          <w:kern w:val="0"/>
          <w:rtl/>
          <w:lang w:val="en-CA"/>
        </w:rPr>
        <w:t xml:space="preserve"> </w:t>
      </w:r>
      <w:r w:rsidRPr="00AA537D">
        <w:rPr>
          <w:rFonts w:hint="cs"/>
          <w:spacing w:val="0"/>
          <w:kern w:val="0"/>
          <w:rtl/>
          <w:lang w:val="en-CA"/>
        </w:rPr>
        <w:t xml:space="preserve">اعترافات </w:t>
      </w:r>
      <w:r w:rsidRPr="00AA537D">
        <w:rPr>
          <w:spacing w:val="0"/>
          <w:kern w:val="0"/>
          <w:rtl/>
          <w:lang w:val="en-CA"/>
        </w:rPr>
        <w:t xml:space="preserve">صاحب الشكوى </w:t>
      </w:r>
      <w:r w:rsidRPr="00AA537D">
        <w:rPr>
          <w:rFonts w:hint="cs"/>
          <w:spacing w:val="0"/>
          <w:kern w:val="0"/>
          <w:rtl/>
          <w:lang w:val="en-CA"/>
        </w:rPr>
        <w:t xml:space="preserve">مُنحت أهمية </w:t>
      </w:r>
      <w:r w:rsidRPr="00AA537D">
        <w:rPr>
          <w:spacing w:val="0"/>
          <w:kern w:val="0"/>
          <w:rtl/>
          <w:lang w:val="en-CA"/>
        </w:rPr>
        <w:t>كبير</w:t>
      </w:r>
      <w:r w:rsidRPr="00AA537D">
        <w:rPr>
          <w:rFonts w:hint="cs"/>
          <w:spacing w:val="0"/>
          <w:kern w:val="0"/>
          <w:rtl/>
          <w:lang w:val="en-CA"/>
        </w:rPr>
        <w:t>ة</w:t>
      </w:r>
      <w:r w:rsidRPr="00AA537D">
        <w:rPr>
          <w:spacing w:val="0"/>
          <w:kern w:val="0"/>
          <w:rtl/>
          <w:lang w:val="en-CA"/>
        </w:rPr>
        <w:t xml:space="preserve"> في </w:t>
      </w:r>
      <w:r w:rsidRPr="00AA537D">
        <w:rPr>
          <w:rFonts w:hint="cs"/>
          <w:spacing w:val="0"/>
          <w:kern w:val="0"/>
          <w:rtl/>
          <w:lang w:val="en-CA"/>
        </w:rPr>
        <w:t>الحكم الذي صدر بإدانته</w:t>
      </w:r>
      <w:r w:rsidRPr="00AA537D">
        <w:rPr>
          <w:spacing w:val="0"/>
          <w:kern w:val="0"/>
          <w:rtl/>
          <w:lang w:val="en-CA"/>
        </w:rPr>
        <w:t xml:space="preserve">. ومع ذلك، ترى اللجنة أن صاحب الشكوى لم </w:t>
      </w:r>
      <w:r w:rsidRPr="00AA537D">
        <w:rPr>
          <w:rFonts w:hint="cs"/>
          <w:spacing w:val="0"/>
          <w:kern w:val="0"/>
          <w:rtl/>
          <w:lang w:val="en-CA"/>
        </w:rPr>
        <w:t>ي</w:t>
      </w:r>
      <w:r w:rsidRPr="00AA537D">
        <w:rPr>
          <w:spacing w:val="0"/>
          <w:kern w:val="0"/>
          <w:rtl/>
          <w:lang w:val="en-CA"/>
        </w:rPr>
        <w:t xml:space="preserve">قدم معلومات، مثل شهادات طبية إضافية صادرة على أساس فحوص طلبها </w:t>
      </w:r>
      <w:r w:rsidRPr="00AA537D">
        <w:rPr>
          <w:rFonts w:hint="cs"/>
          <w:spacing w:val="0"/>
          <w:kern w:val="0"/>
          <w:rtl/>
          <w:lang w:val="en-CA"/>
        </w:rPr>
        <w:t xml:space="preserve">بنفسه </w:t>
      </w:r>
      <w:r w:rsidRPr="00AA537D">
        <w:rPr>
          <w:spacing w:val="0"/>
          <w:kern w:val="0"/>
          <w:rtl/>
          <w:lang w:val="en-CA"/>
        </w:rPr>
        <w:t xml:space="preserve">أو أقوال شهود، من شأنها أن تسمح لها بأن </w:t>
      </w:r>
      <w:r w:rsidRPr="00AA537D">
        <w:rPr>
          <w:rFonts w:hint="cs"/>
          <w:spacing w:val="0"/>
          <w:kern w:val="0"/>
          <w:rtl/>
          <w:lang w:val="en-CA"/>
        </w:rPr>
        <w:t>تخلص إلى</w:t>
      </w:r>
      <w:r w:rsidRPr="00AA537D">
        <w:rPr>
          <w:spacing w:val="0"/>
          <w:kern w:val="0"/>
          <w:rtl/>
          <w:lang w:val="en-CA"/>
        </w:rPr>
        <w:t xml:space="preserve"> أن</w:t>
      </w:r>
      <w:r w:rsidRPr="00AA537D">
        <w:rPr>
          <w:rFonts w:hint="cs"/>
          <w:spacing w:val="0"/>
          <w:kern w:val="0"/>
          <w:rtl/>
          <w:lang w:val="en-CA"/>
        </w:rPr>
        <w:t>ه من المرجح أن تكون</w:t>
      </w:r>
      <w:r w:rsidRPr="00AA537D">
        <w:rPr>
          <w:spacing w:val="0"/>
          <w:kern w:val="0"/>
          <w:rtl/>
          <w:lang w:val="en-CA"/>
        </w:rPr>
        <w:t xml:space="preserve"> </w:t>
      </w:r>
      <w:r w:rsidRPr="00AA537D">
        <w:rPr>
          <w:rFonts w:hint="cs"/>
          <w:spacing w:val="0"/>
          <w:kern w:val="0"/>
          <w:rtl/>
          <w:lang w:val="en-CA"/>
        </w:rPr>
        <w:t>الاعترافات</w:t>
      </w:r>
      <w:r w:rsidRPr="00AA537D">
        <w:rPr>
          <w:spacing w:val="0"/>
          <w:kern w:val="0"/>
          <w:rtl/>
          <w:lang w:val="en-CA"/>
        </w:rPr>
        <w:t xml:space="preserve"> </w:t>
      </w:r>
      <w:r w:rsidRPr="00AA537D">
        <w:rPr>
          <w:rFonts w:hint="cs"/>
          <w:spacing w:val="0"/>
          <w:kern w:val="0"/>
          <w:rtl/>
          <w:lang w:val="en-CA"/>
        </w:rPr>
        <w:t xml:space="preserve">التي أدلى بها كانت </w:t>
      </w:r>
      <w:r w:rsidRPr="00AA537D">
        <w:rPr>
          <w:spacing w:val="0"/>
          <w:kern w:val="0"/>
          <w:rtl/>
          <w:lang w:val="en-CA"/>
        </w:rPr>
        <w:t>نتيجة للتعذيب</w:t>
      </w:r>
      <w:r w:rsidRPr="00AA537D">
        <w:rPr>
          <w:rFonts w:hint="cs"/>
          <w:spacing w:val="0"/>
          <w:kern w:val="0"/>
          <w:vertAlign w:val="superscript"/>
          <w:rtl/>
          <w:lang w:val="fr-CH"/>
        </w:rPr>
        <w:t>(</w:t>
      </w:r>
      <w:r w:rsidRPr="00AA537D">
        <w:rPr>
          <w:rStyle w:val="FootnoteReference"/>
          <w:spacing w:val="0"/>
          <w:sz w:val="26"/>
          <w:szCs w:val="26"/>
          <w:rtl/>
          <w:lang w:val="fr-CH"/>
        </w:rPr>
        <w:footnoteReference w:id="446"/>
      </w:r>
      <w:r w:rsidRPr="00AA537D">
        <w:rPr>
          <w:rFonts w:hint="cs"/>
          <w:spacing w:val="0"/>
          <w:kern w:val="0"/>
          <w:vertAlign w:val="superscript"/>
          <w:rtl/>
          <w:lang w:val="fr-CH"/>
        </w:rPr>
        <w:t>)</w:t>
      </w:r>
      <w:r w:rsidRPr="00AA537D">
        <w:rPr>
          <w:rFonts w:hint="cs"/>
          <w:spacing w:val="0"/>
          <w:kern w:val="0"/>
          <w:rtl/>
          <w:lang w:val="en-CA"/>
        </w:rPr>
        <w:t>.</w:t>
      </w:r>
      <w:r w:rsidRPr="00AA537D">
        <w:rPr>
          <w:spacing w:val="0"/>
          <w:kern w:val="0"/>
          <w:rtl/>
          <w:lang w:val="en-CA"/>
        </w:rPr>
        <w:t xml:space="preserve"> وبالتالي </w:t>
      </w:r>
      <w:r w:rsidRPr="00AA537D">
        <w:rPr>
          <w:rFonts w:hint="cs"/>
          <w:spacing w:val="0"/>
          <w:kern w:val="0"/>
          <w:rtl/>
          <w:lang w:val="en-CA"/>
        </w:rPr>
        <w:t>تخلص</w:t>
      </w:r>
      <w:r w:rsidRPr="00AA537D">
        <w:rPr>
          <w:spacing w:val="0"/>
          <w:kern w:val="0"/>
          <w:rtl/>
          <w:lang w:val="en-CA"/>
        </w:rPr>
        <w:t xml:space="preserve"> اللجنة </w:t>
      </w:r>
      <w:r w:rsidRPr="00AA537D">
        <w:rPr>
          <w:rFonts w:hint="cs"/>
          <w:spacing w:val="0"/>
          <w:kern w:val="0"/>
          <w:rtl/>
          <w:lang w:val="en-CA"/>
        </w:rPr>
        <w:t xml:space="preserve">إلى </w:t>
      </w:r>
      <w:r w:rsidRPr="00AA537D">
        <w:rPr>
          <w:spacing w:val="0"/>
          <w:kern w:val="0"/>
          <w:rtl/>
          <w:lang w:val="en-CA"/>
        </w:rPr>
        <w:t xml:space="preserve">أن المعلومات المعروضة </w:t>
      </w:r>
      <w:r w:rsidRPr="00AA537D">
        <w:rPr>
          <w:rFonts w:hint="cs"/>
          <w:spacing w:val="0"/>
          <w:kern w:val="0"/>
          <w:rtl/>
          <w:lang w:val="en-CA"/>
        </w:rPr>
        <w:t>عليها</w:t>
      </w:r>
      <w:r w:rsidRPr="00AA537D">
        <w:rPr>
          <w:spacing w:val="0"/>
          <w:kern w:val="0"/>
          <w:rtl/>
          <w:lang w:val="en-CA"/>
        </w:rPr>
        <w:t xml:space="preserve"> لا تكشف عن وجود انتهاك للمادة 15 من الاتفاقية.</w:t>
      </w:r>
    </w:p>
    <w:p w:rsidR="00FA6676" w:rsidRPr="00AA537D" w:rsidRDefault="00FA6676" w:rsidP="00AA537D">
      <w:pPr>
        <w:pStyle w:val="SingleTxtGA"/>
        <w:spacing w:after="60" w:line="360" w:lineRule="exact"/>
        <w:jc w:val="lowKashida"/>
        <w:rPr>
          <w:spacing w:val="0"/>
          <w:kern w:val="0"/>
          <w:lang w:val="en-CA"/>
        </w:rPr>
      </w:pPr>
      <w:r w:rsidRPr="00AA537D">
        <w:rPr>
          <w:rFonts w:hint="cs"/>
          <w:spacing w:val="0"/>
          <w:kern w:val="0"/>
          <w:rtl/>
          <w:lang w:val="en-CA"/>
        </w:rPr>
        <w:t>7-5</w:t>
      </w:r>
      <w:r w:rsidRPr="00AA537D">
        <w:rPr>
          <w:rFonts w:hint="cs"/>
          <w:spacing w:val="0"/>
          <w:kern w:val="0"/>
          <w:rtl/>
          <w:lang w:val="en-CA"/>
        </w:rPr>
        <w:tab/>
        <w:t>و</w:t>
      </w:r>
      <w:r w:rsidRPr="00AA537D">
        <w:rPr>
          <w:spacing w:val="0"/>
          <w:kern w:val="0"/>
          <w:rtl/>
          <w:lang w:val="en-CA"/>
        </w:rPr>
        <w:t xml:space="preserve">يدعي صاحب الشكوى أنه ضحية لانتهاك المادة 14، </w:t>
      </w:r>
      <w:r w:rsidRPr="00AA537D">
        <w:rPr>
          <w:rFonts w:hint="cs"/>
          <w:spacing w:val="0"/>
          <w:kern w:val="0"/>
          <w:rtl/>
          <w:lang w:val="en-CA"/>
        </w:rPr>
        <w:t>حيث</w:t>
      </w:r>
      <w:r w:rsidRPr="00AA537D">
        <w:rPr>
          <w:spacing w:val="0"/>
          <w:kern w:val="0"/>
          <w:rtl/>
          <w:lang w:val="en-CA"/>
        </w:rPr>
        <w:t xml:space="preserve"> </w:t>
      </w:r>
      <w:r w:rsidRPr="00AA537D">
        <w:rPr>
          <w:rFonts w:hint="cs"/>
          <w:spacing w:val="0"/>
          <w:kern w:val="0"/>
          <w:rtl/>
          <w:lang w:val="en-CA"/>
        </w:rPr>
        <w:t>إ</w:t>
      </w:r>
      <w:r w:rsidRPr="00AA537D">
        <w:rPr>
          <w:spacing w:val="0"/>
          <w:kern w:val="0"/>
          <w:rtl/>
          <w:lang w:val="en-CA"/>
        </w:rPr>
        <w:t xml:space="preserve">ن الدولة الطرف </w:t>
      </w:r>
      <w:r w:rsidRPr="00AA537D">
        <w:rPr>
          <w:rFonts w:hint="cs"/>
          <w:spacing w:val="0"/>
          <w:kern w:val="0"/>
          <w:rtl/>
          <w:lang w:val="en-CA"/>
        </w:rPr>
        <w:t>كان ينبغي أن تعمل على</w:t>
      </w:r>
      <w:r w:rsidRPr="00AA537D">
        <w:rPr>
          <w:spacing w:val="0"/>
          <w:kern w:val="0"/>
          <w:rtl/>
          <w:lang w:val="en-CA"/>
        </w:rPr>
        <w:t xml:space="preserve"> ضمان أن </w:t>
      </w:r>
      <w:r w:rsidRPr="00AA537D">
        <w:rPr>
          <w:rFonts w:hint="cs"/>
          <w:spacing w:val="0"/>
          <w:kern w:val="0"/>
          <w:rtl/>
          <w:lang w:val="en-CA"/>
        </w:rPr>
        <w:t>ي</w:t>
      </w:r>
      <w:r w:rsidRPr="00AA537D">
        <w:rPr>
          <w:spacing w:val="0"/>
          <w:kern w:val="0"/>
          <w:rtl/>
          <w:lang w:val="en-CA"/>
        </w:rPr>
        <w:t xml:space="preserve">حصل على </w:t>
      </w:r>
      <w:r w:rsidRPr="00AA537D">
        <w:rPr>
          <w:rFonts w:hint="cs"/>
          <w:spacing w:val="0"/>
          <w:kern w:val="0"/>
          <w:rtl/>
          <w:lang w:val="en-CA"/>
        </w:rPr>
        <w:t>جبر للأضرار التي لحقت به</w:t>
      </w:r>
      <w:r w:rsidRPr="00AA537D">
        <w:rPr>
          <w:spacing w:val="0"/>
          <w:kern w:val="0"/>
          <w:rtl/>
          <w:lang w:val="en-CA"/>
        </w:rPr>
        <w:t xml:space="preserve"> كضحية للتعذيب. </w:t>
      </w:r>
      <w:r w:rsidRPr="00AA537D">
        <w:rPr>
          <w:rFonts w:hint="cs"/>
          <w:spacing w:val="0"/>
          <w:kern w:val="0"/>
          <w:rtl/>
          <w:lang w:val="en-CA"/>
        </w:rPr>
        <w:t>و</w:t>
      </w:r>
      <w:r w:rsidRPr="00AA537D">
        <w:rPr>
          <w:spacing w:val="0"/>
          <w:kern w:val="0"/>
          <w:rtl/>
          <w:lang w:val="en-CA"/>
        </w:rPr>
        <w:t xml:space="preserve">فيما يتعلق بهذا الادعاء، </w:t>
      </w:r>
      <w:r w:rsidRPr="00AA537D">
        <w:rPr>
          <w:rFonts w:hint="cs"/>
          <w:spacing w:val="0"/>
          <w:kern w:val="0"/>
          <w:rtl/>
          <w:lang w:val="en-CA"/>
        </w:rPr>
        <w:t>ترى</w:t>
      </w:r>
      <w:r w:rsidRPr="00AA537D">
        <w:rPr>
          <w:spacing w:val="0"/>
          <w:kern w:val="0"/>
          <w:rtl/>
          <w:lang w:val="en-CA"/>
        </w:rPr>
        <w:t xml:space="preserve"> اللجنة أيضاً أن المعلومات التي قدمها صاحب الشكوى، </w:t>
      </w:r>
      <w:r w:rsidRPr="00AA537D">
        <w:rPr>
          <w:rFonts w:hint="cs"/>
          <w:spacing w:val="0"/>
          <w:kern w:val="0"/>
          <w:rtl/>
          <w:lang w:val="en-CA"/>
        </w:rPr>
        <w:t>على النحو الوارد</w:t>
      </w:r>
      <w:r w:rsidRPr="00AA537D">
        <w:rPr>
          <w:spacing w:val="0"/>
          <w:kern w:val="0"/>
          <w:rtl/>
          <w:lang w:val="en-CA"/>
        </w:rPr>
        <w:t xml:space="preserve"> في الفقرة السابقة، ليست كافية للسماح له</w:t>
      </w:r>
      <w:r w:rsidRPr="00AA537D">
        <w:rPr>
          <w:rFonts w:hint="cs"/>
          <w:spacing w:val="0"/>
          <w:kern w:val="0"/>
          <w:rtl/>
          <w:lang w:val="en-CA"/>
        </w:rPr>
        <w:t>ا</w:t>
      </w:r>
      <w:r w:rsidRPr="00AA537D">
        <w:rPr>
          <w:spacing w:val="0"/>
          <w:kern w:val="0"/>
          <w:rtl/>
          <w:lang w:val="en-CA"/>
        </w:rPr>
        <w:t xml:space="preserve"> </w:t>
      </w:r>
      <w:r w:rsidRPr="00AA537D">
        <w:rPr>
          <w:rFonts w:hint="cs"/>
          <w:spacing w:val="0"/>
          <w:kern w:val="0"/>
          <w:rtl/>
          <w:lang w:val="en-CA"/>
        </w:rPr>
        <w:t>ب</w:t>
      </w:r>
      <w:r w:rsidRPr="00AA537D">
        <w:rPr>
          <w:spacing w:val="0"/>
          <w:kern w:val="0"/>
          <w:rtl/>
          <w:lang w:val="en-CA"/>
        </w:rPr>
        <w:t xml:space="preserve">أن </w:t>
      </w:r>
      <w:r w:rsidRPr="00AA537D">
        <w:rPr>
          <w:rFonts w:hint="cs"/>
          <w:spacing w:val="0"/>
          <w:kern w:val="0"/>
          <w:rtl/>
          <w:lang w:val="en-CA"/>
        </w:rPr>
        <w:t>تخلص إلى</w:t>
      </w:r>
      <w:r w:rsidRPr="00AA537D">
        <w:rPr>
          <w:spacing w:val="0"/>
          <w:kern w:val="0"/>
          <w:rtl/>
          <w:lang w:val="en-CA"/>
        </w:rPr>
        <w:t xml:space="preserve"> أن</w:t>
      </w:r>
      <w:r w:rsidRPr="00AA537D">
        <w:rPr>
          <w:rFonts w:hint="cs"/>
          <w:spacing w:val="0"/>
          <w:kern w:val="0"/>
          <w:rtl/>
          <w:lang w:val="en-CA"/>
        </w:rPr>
        <w:t>ه من المرجح أن تكون</w:t>
      </w:r>
      <w:r w:rsidRPr="00AA537D">
        <w:rPr>
          <w:spacing w:val="0"/>
          <w:kern w:val="0"/>
          <w:rtl/>
          <w:lang w:val="en-CA"/>
        </w:rPr>
        <w:t xml:space="preserve"> </w:t>
      </w:r>
      <w:r w:rsidRPr="00AA537D">
        <w:rPr>
          <w:rFonts w:hint="cs"/>
          <w:spacing w:val="0"/>
          <w:kern w:val="0"/>
          <w:rtl/>
          <w:lang w:val="en-CA"/>
        </w:rPr>
        <w:t>الاعترافات</w:t>
      </w:r>
      <w:r w:rsidRPr="00AA537D">
        <w:rPr>
          <w:spacing w:val="0"/>
          <w:kern w:val="0"/>
          <w:rtl/>
          <w:lang w:val="en-CA"/>
        </w:rPr>
        <w:t xml:space="preserve"> </w:t>
      </w:r>
      <w:r w:rsidRPr="00AA537D">
        <w:rPr>
          <w:rFonts w:hint="cs"/>
          <w:spacing w:val="0"/>
          <w:kern w:val="0"/>
          <w:rtl/>
          <w:lang w:val="en-CA"/>
        </w:rPr>
        <w:t xml:space="preserve">التي أدلى بها كانت </w:t>
      </w:r>
      <w:r w:rsidRPr="00AA537D">
        <w:rPr>
          <w:spacing w:val="0"/>
          <w:kern w:val="0"/>
          <w:rtl/>
          <w:lang w:val="en-CA"/>
        </w:rPr>
        <w:t xml:space="preserve">نتيجة للتعذيب. </w:t>
      </w:r>
      <w:r w:rsidRPr="00AA537D">
        <w:rPr>
          <w:rFonts w:hint="cs"/>
          <w:spacing w:val="0"/>
          <w:kern w:val="0"/>
          <w:rtl/>
          <w:lang w:val="en-CA"/>
        </w:rPr>
        <w:t>ولذلك تخلص</w:t>
      </w:r>
      <w:r w:rsidRPr="00AA537D">
        <w:rPr>
          <w:spacing w:val="0"/>
          <w:kern w:val="0"/>
          <w:rtl/>
          <w:lang w:val="en-CA"/>
        </w:rPr>
        <w:t xml:space="preserve"> اللجنة </w:t>
      </w:r>
      <w:r w:rsidRPr="00AA537D">
        <w:rPr>
          <w:rFonts w:hint="cs"/>
          <w:spacing w:val="0"/>
          <w:kern w:val="0"/>
          <w:rtl/>
          <w:lang w:val="en-CA"/>
        </w:rPr>
        <w:t xml:space="preserve">إلى </w:t>
      </w:r>
      <w:r w:rsidRPr="00AA537D">
        <w:rPr>
          <w:spacing w:val="0"/>
          <w:kern w:val="0"/>
          <w:rtl/>
          <w:lang w:val="en-CA"/>
        </w:rPr>
        <w:t xml:space="preserve">أن المعلومات المعروضة </w:t>
      </w:r>
      <w:r w:rsidRPr="00AA537D">
        <w:rPr>
          <w:rFonts w:hint="cs"/>
          <w:spacing w:val="0"/>
          <w:kern w:val="0"/>
          <w:rtl/>
          <w:lang w:val="en-CA"/>
        </w:rPr>
        <w:t>عليها</w:t>
      </w:r>
      <w:r w:rsidRPr="00AA537D">
        <w:rPr>
          <w:spacing w:val="0"/>
          <w:kern w:val="0"/>
          <w:rtl/>
          <w:lang w:val="en-CA"/>
        </w:rPr>
        <w:t xml:space="preserve"> لا تكشف عن وجود انتهاك للمادة 14 من الاتفاقية</w:t>
      </w:r>
      <w:r w:rsidRPr="00AA537D">
        <w:rPr>
          <w:spacing w:val="0"/>
          <w:kern w:val="0"/>
          <w:rtl/>
          <w:lang w:val="fr-CH"/>
        </w:rPr>
        <w:t>.</w:t>
      </w:r>
    </w:p>
    <w:p w:rsidR="00FA6676" w:rsidRPr="00AA537D" w:rsidRDefault="00FA6676" w:rsidP="00AA537D">
      <w:pPr>
        <w:pStyle w:val="SingleTxtGA"/>
        <w:spacing w:after="60" w:line="360" w:lineRule="exact"/>
        <w:jc w:val="lowKashida"/>
        <w:rPr>
          <w:rFonts w:hint="cs"/>
          <w:spacing w:val="0"/>
          <w:kern w:val="0"/>
          <w:rtl/>
          <w:lang w:bidi="ar-SY"/>
        </w:rPr>
      </w:pPr>
      <w:r w:rsidRPr="00AA537D">
        <w:rPr>
          <w:rFonts w:hint="cs"/>
          <w:spacing w:val="0"/>
          <w:kern w:val="0"/>
          <w:rtl/>
          <w:lang w:val="en-CA"/>
        </w:rPr>
        <w:t>8-</w:t>
      </w:r>
      <w:r w:rsidRPr="00AA537D">
        <w:rPr>
          <w:rFonts w:hint="cs"/>
          <w:spacing w:val="0"/>
          <w:kern w:val="0"/>
          <w:rtl/>
          <w:lang w:val="en-CA"/>
        </w:rPr>
        <w:tab/>
      </w:r>
      <w:r w:rsidRPr="00AA537D">
        <w:rPr>
          <w:spacing w:val="0"/>
          <w:kern w:val="0"/>
          <w:rtl/>
          <w:lang w:val="en-CA"/>
        </w:rPr>
        <w:t xml:space="preserve">إن لجنة مناهضة التعذيب، إذ تتصرف بموجب الفقرة 7 من المادة 22 من اتفاقية مناهضة التعذيب وغيره من ضروب المعاملة أو العقوبة القاسية أو اللاإنسانية أو المهينة، </w:t>
      </w:r>
      <w:r w:rsidRPr="00AA537D">
        <w:rPr>
          <w:rFonts w:hint="cs"/>
          <w:spacing w:val="0"/>
          <w:kern w:val="0"/>
          <w:rtl/>
          <w:lang w:val="en-CA"/>
        </w:rPr>
        <w:t xml:space="preserve">ترى أن الوقائع المعروضة عليها تكشف عن </w:t>
      </w:r>
      <w:r w:rsidRPr="00AA537D">
        <w:rPr>
          <w:spacing w:val="0"/>
          <w:kern w:val="0"/>
          <w:rtl/>
          <w:lang w:val="en-CA"/>
        </w:rPr>
        <w:t xml:space="preserve">انتهاك </w:t>
      </w:r>
      <w:r w:rsidRPr="00AA537D">
        <w:rPr>
          <w:rFonts w:hint="cs"/>
          <w:spacing w:val="0"/>
          <w:kern w:val="0"/>
          <w:rtl/>
          <w:lang w:val="en-CA"/>
        </w:rPr>
        <w:t>ا</w:t>
      </w:r>
      <w:r w:rsidRPr="00AA537D">
        <w:rPr>
          <w:spacing w:val="0"/>
          <w:kern w:val="0"/>
          <w:rtl/>
          <w:lang w:val="en-CA"/>
        </w:rPr>
        <w:t xml:space="preserve">لمادة </w:t>
      </w:r>
      <w:r w:rsidRPr="00AA537D">
        <w:rPr>
          <w:rFonts w:hint="cs"/>
          <w:spacing w:val="0"/>
          <w:kern w:val="0"/>
          <w:rtl/>
          <w:lang w:val="en-CA"/>
        </w:rPr>
        <w:t>12</w:t>
      </w:r>
      <w:r w:rsidRPr="00AA537D">
        <w:rPr>
          <w:spacing w:val="0"/>
          <w:kern w:val="0"/>
          <w:rtl/>
          <w:lang w:val="en-CA"/>
        </w:rPr>
        <w:t xml:space="preserve"> من الاتفاقية</w:t>
      </w:r>
      <w:r w:rsidRPr="00AA537D">
        <w:rPr>
          <w:rFonts w:hint="cs"/>
          <w:spacing w:val="0"/>
          <w:kern w:val="0"/>
          <w:rtl/>
          <w:lang w:bidi="ar-SY"/>
        </w:rPr>
        <w:t>.</w:t>
      </w:r>
    </w:p>
    <w:p w:rsidR="00FA6676" w:rsidRPr="00AA537D" w:rsidRDefault="00FA6676" w:rsidP="00AA537D">
      <w:pPr>
        <w:pStyle w:val="SingleTxtGA"/>
        <w:spacing w:after="60" w:line="360" w:lineRule="exact"/>
        <w:jc w:val="lowKashida"/>
        <w:rPr>
          <w:rFonts w:hint="cs"/>
          <w:spacing w:val="0"/>
          <w:kern w:val="0"/>
          <w:rtl/>
          <w:lang w:bidi="ar-SY"/>
        </w:rPr>
      </w:pPr>
      <w:r w:rsidRPr="00AA537D">
        <w:rPr>
          <w:rFonts w:hint="cs"/>
          <w:spacing w:val="0"/>
          <w:kern w:val="0"/>
          <w:rtl/>
          <w:lang w:bidi="ar-SY"/>
        </w:rPr>
        <w:t>9-</w:t>
      </w:r>
      <w:r w:rsidRPr="00AA537D">
        <w:rPr>
          <w:rFonts w:hint="cs"/>
          <w:spacing w:val="0"/>
          <w:kern w:val="0"/>
          <w:rtl/>
          <w:lang w:bidi="ar-SY"/>
        </w:rPr>
        <w:tab/>
        <w:t>وعمل</w:t>
      </w:r>
      <w:r w:rsidRPr="00AA537D">
        <w:rPr>
          <w:spacing w:val="0"/>
          <w:kern w:val="0"/>
          <w:rtl/>
          <w:lang w:bidi="ar-SY"/>
        </w:rPr>
        <w:t xml:space="preserve">اً </w:t>
      </w:r>
      <w:r w:rsidRPr="00AA537D">
        <w:rPr>
          <w:rFonts w:hint="cs"/>
          <w:spacing w:val="0"/>
          <w:kern w:val="0"/>
          <w:rtl/>
          <w:lang w:bidi="ar-SY"/>
        </w:rPr>
        <w:t>با</w:t>
      </w:r>
      <w:r w:rsidRPr="00AA537D">
        <w:rPr>
          <w:spacing w:val="0"/>
          <w:kern w:val="0"/>
          <w:rtl/>
          <w:lang w:bidi="ar-SY"/>
        </w:rPr>
        <w:t xml:space="preserve">لمادة 12 من الاتفاقية، ترى اللجنة أن الدولة الطرف ملزمة </w:t>
      </w:r>
      <w:r w:rsidRPr="00AA537D">
        <w:rPr>
          <w:rFonts w:hint="cs"/>
          <w:spacing w:val="0"/>
          <w:kern w:val="0"/>
          <w:rtl/>
          <w:lang w:bidi="ar-SY"/>
        </w:rPr>
        <w:t xml:space="preserve">بأن تقدم إلى صاحب </w:t>
      </w:r>
      <w:r w:rsidRPr="00AA537D">
        <w:rPr>
          <w:spacing w:val="0"/>
          <w:kern w:val="0"/>
          <w:rtl/>
          <w:lang w:bidi="ar-SY"/>
        </w:rPr>
        <w:t xml:space="preserve">الشكوى </w:t>
      </w:r>
      <w:r w:rsidRPr="00AA537D">
        <w:rPr>
          <w:rFonts w:hint="cs"/>
          <w:spacing w:val="0"/>
          <w:kern w:val="0"/>
          <w:rtl/>
          <w:lang w:bidi="ar-SY"/>
        </w:rPr>
        <w:t>سبيل</w:t>
      </w:r>
      <w:r w:rsidRPr="00AA537D">
        <w:rPr>
          <w:spacing w:val="0"/>
          <w:kern w:val="0"/>
          <w:rtl/>
          <w:lang w:bidi="ar-SY"/>
        </w:rPr>
        <w:t xml:space="preserve"> انتصاف فعال، بما في ذلك إجراء تحقيق كامل وشامل </w:t>
      </w:r>
      <w:r w:rsidRPr="00AA537D">
        <w:rPr>
          <w:rFonts w:hint="cs"/>
          <w:spacing w:val="0"/>
          <w:kern w:val="0"/>
          <w:rtl/>
          <w:lang w:bidi="ar-SY"/>
        </w:rPr>
        <w:t>في</w:t>
      </w:r>
      <w:r w:rsidRPr="00AA537D">
        <w:rPr>
          <w:spacing w:val="0"/>
          <w:kern w:val="0"/>
          <w:rtl/>
          <w:lang w:bidi="ar-SY"/>
        </w:rPr>
        <w:t xml:space="preserve"> </w:t>
      </w:r>
      <w:r w:rsidRPr="00AA537D">
        <w:rPr>
          <w:rFonts w:hint="cs"/>
          <w:spacing w:val="0"/>
          <w:kern w:val="0"/>
          <w:rtl/>
          <w:lang w:bidi="ar-SY"/>
        </w:rPr>
        <w:t>ادعاءاته</w:t>
      </w:r>
      <w:r w:rsidRPr="00AA537D">
        <w:rPr>
          <w:spacing w:val="0"/>
          <w:kern w:val="0"/>
          <w:rtl/>
          <w:lang w:bidi="ar-SY"/>
        </w:rPr>
        <w:t xml:space="preserve">. </w:t>
      </w:r>
      <w:r w:rsidRPr="00AA537D">
        <w:rPr>
          <w:rFonts w:hint="cs"/>
          <w:spacing w:val="0"/>
          <w:kern w:val="0"/>
          <w:rtl/>
          <w:lang w:bidi="ar-SY"/>
        </w:rPr>
        <w:t xml:space="preserve">كما أن </w:t>
      </w:r>
      <w:r w:rsidRPr="00AA537D">
        <w:rPr>
          <w:spacing w:val="0"/>
          <w:kern w:val="0"/>
          <w:rtl/>
          <w:lang w:bidi="ar-SY"/>
        </w:rPr>
        <w:t xml:space="preserve">الدولة الطرف ملزمة </w:t>
      </w:r>
      <w:r w:rsidRPr="00AA537D">
        <w:rPr>
          <w:rFonts w:hint="cs"/>
          <w:spacing w:val="0"/>
          <w:kern w:val="0"/>
          <w:rtl/>
          <w:lang w:bidi="ar-SY"/>
        </w:rPr>
        <w:t>بم</w:t>
      </w:r>
      <w:r w:rsidRPr="00AA537D">
        <w:rPr>
          <w:spacing w:val="0"/>
          <w:kern w:val="0"/>
          <w:rtl/>
          <w:lang w:bidi="ar-SY"/>
        </w:rPr>
        <w:t>نع حدوث انتهاكات مماثلة في المستقبل.</w:t>
      </w:r>
    </w:p>
    <w:p w:rsidR="00FA6676" w:rsidRPr="00AA537D" w:rsidRDefault="00FA6676" w:rsidP="00AA537D">
      <w:pPr>
        <w:pStyle w:val="SingleTxtGA"/>
        <w:spacing w:after="60" w:line="360" w:lineRule="exact"/>
        <w:jc w:val="lowKashida"/>
        <w:rPr>
          <w:rFonts w:hint="cs"/>
          <w:spacing w:val="0"/>
          <w:kern w:val="0"/>
          <w:rtl/>
          <w:lang w:bidi="ar-SY"/>
        </w:rPr>
      </w:pPr>
      <w:r w:rsidRPr="00AA537D">
        <w:rPr>
          <w:rFonts w:hint="cs"/>
          <w:spacing w:val="0"/>
          <w:kern w:val="0"/>
          <w:rtl/>
          <w:lang w:bidi="ar-SY"/>
        </w:rPr>
        <w:t>10-</w:t>
      </w:r>
      <w:r w:rsidRPr="00AA537D">
        <w:rPr>
          <w:rFonts w:hint="cs"/>
          <w:spacing w:val="0"/>
          <w:kern w:val="0"/>
          <w:rtl/>
          <w:lang w:bidi="ar-SY"/>
        </w:rPr>
        <w:tab/>
        <w:t>و</w:t>
      </w:r>
      <w:r w:rsidRPr="00AA537D">
        <w:rPr>
          <w:spacing w:val="0"/>
          <w:kern w:val="0"/>
          <w:rtl/>
          <w:lang w:bidi="ar-SY"/>
        </w:rPr>
        <w:t xml:space="preserve">عملاً </w:t>
      </w:r>
      <w:r w:rsidRPr="00AA537D">
        <w:rPr>
          <w:rFonts w:hint="cs"/>
          <w:spacing w:val="0"/>
          <w:kern w:val="0"/>
          <w:rtl/>
          <w:lang w:bidi="ar-SY"/>
        </w:rPr>
        <w:t>ب</w:t>
      </w:r>
      <w:r w:rsidRPr="00AA537D">
        <w:rPr>
          <w:spacing w:val="0"/>
          <w:kern w:val="0"/>
          <w:rtl/>
          <w:lang w:bidi="ar-SY"/>
        </w:rPr>
        <w:t xml:space="preserve">الفقرة 5 </w:t>
      </w:r>
      <w:r w:rsidRPr="00AA537D">
        <w:rPr>
          <w:rFonts w:hint="cs"/>
          <w:spacing w:val="0"/>
          <w:kern w:val="0"/>
          <w:rtl/>
          <w:lang w:bidi="ar-SY"/>
        </w:rPr>
        <w:t>من</w:t>
      </w:r>
      <w:r w:rsidRPr="00AA537D">
        <w:rPr>
          <w:spacing w:val="0"/>
          <w:kern w:val="0"/>
          <w:rtl/>
          <w:lang w:bidi="ar-SY"/>
        </w:rPr>
        <w:t xml:space="preserve"> المادة 118 من نظامها الداخلي، تطلب اللجنة </w:t>
      </w:r>
      <w:r w:rsidRPr="00AA537D">
        <w:rPr>
          <w:rFonts w:hint="cs"/>
          <w:spacing w:val="0"/>
          <w:kern w:val="0"/>
          <w:rtl/>
          <w:lang w:bidi="ar-SY"/>
        </w:rPr>
        <w:t>إلى</w:t>
      </w:r>
      <w:r w:rsidRPr="00AA537D">
        <w:rPr>
          <w:spacing w:val="0"/>
          <w:kern w:val="0"/>
          <w:rtl/>
          <w:lang w:bidi="ar-SY"/>
        </w:rPr>
        <w:t xml:space="preserve"> الدولة الطرف أن تبلغها، في غضون 90 يوما</w:t>
      </w:r>
      <w:r w:rsidRPr="00AA537D">
        <w:rPr>
          <w:rFonts w:hint="cs"/>
          <w:spacing w:val="0"/>
          <w:kern w:val="0"/>
          <w:rtl/>
          <w:lang w:bidi="ar-SY"/>
        </w:rPr>
        <w:t>ً</w:t>
      </w:r>
      <w:r w:rsidRPr="00AA537D">
        <w:rPr>
          <w:spacing w:val="0"/>
          <w:kern w:val="0"/>
          <w:rtl/>
          <w:lang w:bidi="ar-SY"/>
        </w:rPr>
        <w:t xml:space="preserve"> من تاريخ تبليغه</w:t>
      </w:r>
      <w:r w:rsidRPr="00AA537D">
        <w:rPr>
          <w:rFonts w:hint="cs"/>
          <w:spacing w:val="0"/>
          <w:kern w:val="0"/>
          <w:rtl/>
          <w:lang w:bidi="ar-SY"/>
        </w:rPr>
        <w:t>ا</w:t>
      </w:r>
      <w:r w:rsidRPr="00AA537D">
        <w:rPr>
          <w:spacing w:val="0"/>
          <w:kern w:val="0"/>
          <w:rtl/>
          <w:lang w:bidi="ar-SY"/>
        </w:rPr>
        <w:t xml:space="preserve"> هذا القرار، </w:t>
      </w:r>
      <w:r w:rsidRPr="00AA537D">
        <w:rPr>
          <w:rFonts w:hint="cs"/>
          <w:spacing w:val="0"/>
          <w:kern w:val="0"/>
          <w:rtl/>
          <w:lang w:bidi="ar-SY"/>
        </w:rPr>
        <w:t>ب</w:t>
      </w:r>
      <w:r w:rsidRPr="00AA537D">
        <w:rPr>
          <w:spacing w:val="0"/>
          <w:kern w:val="0"/>
          <w:rtl/>
          <w:lang w:bidi="ar-SY"/>
        </w:rPr>
        <w:t xml:space="preserve">الإجراءات التي اتخذت </w:t>
      </w:r>
      <w:r w:rsidRPr="00AA537D">
        <w:rPr>
          <w:rFonts w:hint="cs"/>
          <w:spacing w:val="0"/>
          <w:kern w:val="0"/>
          <w:rtl/>
          <w:lang w:bidi="ar-SY"/>
        </w:rPr>
        <w:t>استجابة ل</w:t>
      </w:r>
      <w:r w:rsidRPr="00AA537D">
        <w:rPr>
          <w:spacing w:val="0"/>
          <w:kern w:val="0"/>
          <w:rtl/>
          <w:lang w:bidi="ar-SY"/>
        </w:rPr>
        <w:t>ذلك.</w:t>
      </w:r>
    </w:p>
    <w:p w:rsidR="0019752F" w:rsidRDefault="0019752F" w:rsidP="00A72124">
      <w:pPr>
        <w:pStyle w:val="H1GA"/>
        <w:spacing w:before="120"/>
        <w:rPr>
          <w:kern w:val="0"/>
          <w:rtl/>
        </w:rPr>
        <w:sectPr w:rsidR="0019752F"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pPr>
    </w:p>
    <w:p w:rsidR="00FA6676" w:rsidRPr="00AA537D" w:rsidRDefault="00A72124" w:rsidP="00A72124">
      <w:pPr>
        <w:pStyle w:val="H1GA"/>
        <w:spacing w:before="120"/>
        <w:rPr>
          <w:rFonts w:hint="cs"/>
          <w:kern w:val="0"/>
          <w:rtl/>
        </w:rPr>
      </w:pPr>
      <w:r>
        <w:rPr>
          <w:rFonts w:hint="cs"/>
          <w:kern w:val="0"/>
          <w:rtl/>
        </w:rPr>
        <w:tab/>
      </w:r>
      <w:r w:rsidR="00FA6676" w:rsidRPr="00AA537D">
        <w:rPr>
          <w:rFonts w:hint="cs"/>
          <w:kern w:val="0"/>
          <w:rtl/>
        </w:rPr>
        <w:t>باء</w:t>
      </w:r>
      <w:r>
        <w:rPr>
          <w:rFonts w:hint="cs"/>
          <w:kern w:val="0"/>
          <w:rtl/>
        </w:rPr>
        <w:t>-</w:t>
      </w:r>
      <w:r w:rsidR="00FA6676" w:rsidRPr="00AA537D">
        <w:rPr>
          <w:rFonts w:hint="cs"/>
          <w:kern w:val="0"/>
          <w:rtl/>
        </w:rPr>
        <w:tab/>
        <w:t>قرار بشأن المقبولية</w:t>
      </w:r>
    </w:p>
    <w:p w:rsidR="00FA6676" w:rsidRPr="00AA537D" w:rsidRDefault="00FA6676" w:rsidP="00A72124">
      <w:pPr>
        <w:pStyle w:val="H1GA"/>
        <w:rPr>
          <w:rFonts w:hint="cs"/>
          <w:kern w:val="0"/>
          <w:rtl/>
        </w:rPr>
      </w:pPr>
      <w:r w:rsidRPr="00AA537D">
        <w:rPr>
          <w:rFonts w:hint="cs"/>
          <w:kern w:val="0"/>
          <w:rtl/>
        </w:rPr>
        <w:tab/>
      </w:r>
      <w:r w:rsidRPr="00AA537D">
        <w:rPr>
          <w:rFonts w:hint="cs"/>
          <w:kern w:val="0"/>
          <w:rtl/>
        </w:rPr>
        <w:tab/>
        <w:t xml:space="preserve">البلاغ رقم 365/2008: </w:t>
      </w:r>
      <w:r w:rsidR="00F85F7C">
        <w:rPr>
          <w:rFonts w:hint="cs"/>
          <w:i/>
          <w:iCs/>
          <w:kern w:val="0"/>
          <w:rtl/>
        </w:rPr>
        <w:t>س. ك. و</w:t>
      </w:r>
      <w:r w:rsidRPr="00A72124">
        <w:rPr>
          <w:rFonts w:hint="cs"/>
          <w:i/>
          <w:iCs/>
          <w:kern w:val="0"/>
          <w:rtl/>
        </w:rPr>
        <w:t>ر. ك. ضد السويد</w:t>
      </w:r>
    </w:p>
    <w:p w:rsidR="00FA6676" w:rsidRPr="00AA537D" w:rsidRDefault="00FA6676" w:rsidP="00755AEC">
      <w:pPr>
        <w:pStyle w:val="SingleTxtGA"/>
        <w:tabs>
          <w:tab w:val="clear" w:pos="3969"/>
          <w:tab w:val="left" w:pos="4304"/>
        </w:tabs>
        <w:spacing w:line="360" w:lineRule="exact"/>
        <w:ind w:left="3628" w:hanging="2381"/>
        <w:jc w:val="lowKashida"/>
        <w:rPr>
          <w:rFonts w:hint="cs"/>
          <w:i/>
          <w:iCs/>
          <w:spacing w:val="0"/>
          <w:kern w:val="0"/>
          <w:rtl/>
        </w:rPr>
      </w:pPr>
      <w:r w:rsidRPr="00AA537D">
        <w:rPr>
          <w:rFonts w:hint="cs"/>
          <w:i/>
          <w:iCs/>
          <w:spacing w:val="0"/>
          <w:kern w:val="0"/>
          <w:rtl/>
        </w:rPr>
        <w:tab/>
      </w:r>
      <w:r w:rsidRPr="00AA537D">
        <w:rPr>
          <w:i/>
          <w:iCs/>
          <w:spacing w:val="0"/>
          <w:kern w:val="0"/>
          <w:rtl/>
        </w:rPr>
        <w:t>المقدم من:</w:t>
      </w:r>
      <w:r w:rsidRPr="00AA537D">
        <w:rPr>
          <w:i/>
          <w:iCs/>
          <w:spacing w:val="0"/>
          <w:kern w:val="0"/>
          <w:rtl/>
        </w:rPr>
        <w:tab/>
      </w:r>
      <w:r w:rsidRPr="00AA537D">
        <w:rPr>
          <w:i/>
          <w:iCs/>
          <w:spacing w:val="0"/>
          <w:kern w:val="0"/>
          <w:rtl/>
        </w:rPr>
        <w:tab/>
      </w:r>
      <w:r w:rsidRPr="00AA537D">
        <w:rPr>
          <w:rFonts w:hint="cs"/>
          <w:i/>
          <w:iCs/>
          <w:spacing w:val="0"/>
          <w:kern w:val="0"/>
          <w:rtl/>
        </w:rPr>
        <w:tab/>
      </w:r>
      <w:r w:rsidR="00F85F7C">
        <w:rPr>
          <w:rFonts w:hint="cs"/>
          <w:spacing w:val="0"/>
          <w:kern w:val="0"/>
          <w:rtl/>
        </w:rPr>
        <w:t>س. ك. و</w:t>
      </w:r>
      <w:r w:rsidRPr="00AA537D">
        <w:rPr>
          <w:rFonts w:hint="cs"/>
          <w:spacing w:val="0"/>
          <w:kern w:val="0"/>
          <w:rtl/>
        </w:rPr>
        <w:t>ر. ك. (لا يمثلهما محام)</w:t>
      </w:r>
    </w:p>
    <w:p w:rsidR="00FA6676" w:rsidRPr="00AA537D" w:rsidRDefault="00FA6676" w:rsidP="00755AEC">
      <w:pPr>
        <w:pStyle w:val="SingleTxtGA"/>
        <w:tabs>
          <w:tab w:val="clear" w:pos="3969"/>
          <w:tab w:val="left" w:pos="4304"/>
        </w:tabs>
        <w:spacing w:line="360" w:lineRule="exact"/>
        <w:ind w:left="3628" w:hanging="2381"/>
        <w:jc w:val="lowKashida"/>
        <w:rPr>
          <w:i/>
          <w:iCs/>
          <w:spacing w:val="0"/>
          <w:kern w:val="0"/>
          <w:rtl/>
        </w:rPr>
      </w:pPr>
      <w:r w:rsidRPr="00AA537D">
        <w:rPr>
          <w:rFonts w:hint="cs"/>
          <w:i/>
          <w:iCs/>
          <w:spacing w:val="0"/>
          <w:kern w:val="0"/>
          <w:rtl/>
        </w:rPr>
        <w:tab/>
      </w:r>
      <w:r w:rsidRPr="00AA537D">
        <w:rPr>
          <w:i/>
          <w:iCs/>
          <w:spacing w:val="0"/>
          <w:kern w:val="0"/>
          <w:rtl/>
        </w:rPr>
        <w:t>الشخص المدعى أنه ضحية:</w:t>
      </w:r>
      <w:r w:rsidRPr="00AA537D">
        <w:rPr>
          <w:i/>
          <w:iCs/>
          <w:spacing w:val="0"/>
          <w:kern w:val="0"/>
          <w:rtl/>
        </w:rPr>
        <w:tab/>
      </w:r>
      <w:r w:rsidRPr="00AA537D">
        <w:rPr>
          <w:spacing w:val="0"/>
          <w:kern w:val="0"/>
          <w:rtl/>
        </w:rPr>
        <w:t>صاحب</w:t>
      </w:r>
      <w:r w:rsidRPr="00AA537D">
        <w:rPr>
          <w:rFonts w:hint="cs"/>
          <w:spacing w:val="0"/>
          <w:kern w:val="0"/>
          <w:rtl/>
        </w:rPr>
        <w:t>ا الشكوى</w:t>
      </w:r>
    </w:p>
    <w:p w:rsidR="00FA6676" w:rsidRPr="00AA537D" w:rsidRDefault="00FA6676" w:rsidP="00755AEC">
      <w:pPr>
        <w:pStyle w:val="SingleTxtGA"/>
        <w:tabs>
          <w:tab w:val="clear" w:pos="3969"/>
          <w:tab w:val="left" w:pos="4304"/>
        </w:tabs>
        <w:spacing w:line="360" w:lineRule="exact"/>
        <w:ind w:left="3628" w:hanging="2381"/>
        <w:jc w:val="lowKashida"/>
        <w:rPr>
          <w:i/>
          <w:iCs/>
          <w:spacing w:val="0"/>
          <w:kern w:val="0"/>
          <w:rtl/>
        </w:rPr>
      </w:pPr>
      <w:r w:rsidRPr="00AA537D">
        <w:rPr>
          <w:rFonts w:hint="cs"/>
          <w:i/>
          <w:iCs/>
          <w:spacing w:val="0"/>
          <w:kern w:val="0"/>
          <w:rtl/>
        </w:rPr>
        <w:tab/>
      </w:r>
      <w:r w:rsidRPr="00AA537D">
        <w:rPr>
          <w:i/>
          <w:iCs/>
          <w:spacing w:val="0"/>
          <w:kern w:val="0"/>
          <w:rtl/>
        </w:rPr>
        <w:t>الدولة الطرف:</w:t>
      </w:r>
      <w:r w:rsidRPr="00AA537D">
        <w:rPr>
          <w:i/>
          <w:iCs/>
          <w:spacing w:val="0"/>
          <w:kern w:val="0"/>
          <w:rtl/>
        </w:rPr>
        <w:tab/>
      </w:r>
      <w:r w:rsidRPr="00AA537D">
        <w:rPr>
          <w:i/>
          <w:iCs/>
          <w:spacing w:val="0"/>
          <w:kern w:val="0"/>
          <w:rtl/>
        </w:rPr>
        <w:tab/>
      </w:r>
      <w:r w:rsidRPr="00AA537D">
        <w:rPr>
          <w:rFonts w:hint="cs"/>
          <w:i/>
          <w:iCs/>
          <w:spacing w:val="0"/>
          <w:kern w:val="0"/>
          <w:rtl/>
        </w:rPr>
        <w:tab/>
      </w:r>
      <w:r w:rsidRPr="00AA537D">
        <w:rPr>
          <w:rFonts w:hint="cs"/>
          <w:spacing w:val="0"/>
          <w:kern w:val="0"/>
          <w:rtl/>
        </w:rPr>
        <w:t>ال</w:t>
      </w:r>
      <w:r w:rsidRPr="00AA537D">
        <w:rPr>
          <w:spacing w:val="0"/>
          <w:kern w:val="0"/>
          <w:rtl/>
        </w:rPr>
        <w:t>سوي</w:t>
      </w:r>
      <w:r w:rsidRPr="00AA537D">
        <w:rPr>
          <w:rFonts w:hint="cs"/>
          <w:spacing w:val="0"/>
          <w:kern w:val="0"/>
          <w:rtl/>
        </w:rPr>
        <w:t>د</w:t>
      </w:r>
    </w:p>
    <w:p w:rsidR="00FA6676" w:rsidRPr="00B1101B" w:rsidRDefault="00FA6676" w:rsidP="00755AEC">
      <w:pPr>
        <w:pStyle w:val="SingleTxtGA"/>
        <w:tabs>
          <w:tab w:val="clear" w:pos="3969"/>
          <w:tab w:val="left" w:pos="4304"/>
        </w:tabs>
        <w:spacing w:line="360" w:lineRule="exact"/>
        <w:ind w:left="3628" w:hanging="2381"/>
        <w:jc w:val="lowKashida"/>
        <w:rPr>
          <w:rFonts w:hint="cs"/>
          <w:spacing w:val="-4"/>
          <w:kern w:val="0"/>
          <w:rtl/>
        </w:rPr>
      </w:pPr>
      <w:r w:rsidRPr="00B1101B">
        <w:rPr>
          <w:rFonts w:hint="cs"/>
          <w:i/>
          <w:iCs/>
          <w:spacing w:val="-4"/>
          <w:kern w:val="0"/>
          <w:rtl/>
        </w:rPr>
        <w:tab/>
      </w:r>
      <w:r w:rsidRPr="00B1101B">
        <w:rPr>
          <w:i/>
          <w:iCs/>
          <w:spacing w:val="-4"/>
          <w:kern w:val="0"/>
          <w:rtl/>
        </w:rPr>
        <w:t>تاريخ تقديم ال</w:t>
      </w:r>
      <w:r w:rsidRPr="00B1101B">
        <w:rPr>
          <w:rFonts w:hint="cs"/>
          <w:i/>
          <w:iCs/>
          <w:spacing w:val="-4"/>
          <w:kern w:val="0"/>
          <w:rtl/>
        </w:rPr>
        <w:t>شكوى</w:t>
      </w:r>
      <w:r w:rsidRPr="00B1101B">
        <w:rPr>
          <w:i/>
          <w:iCs/>
          <w:spacing w:val="-4"/>
          <w:kern w:val="0"/>
          <w:rtl/>
        </w:rPr>
        <w:t>:</w:t>
      </w:r>
      <w:r w:rsidRPr="00B1101B">
        <w:rPr>
          <w:rFonts w:hint="cs"/>
          <w:i/>
          <w:iCs/>
          <w:spacing w:val="-4"/>
          <w:kern w:val="0"/>
          <w:rtl/>
        </w:rPr>
        <w:tab/>
      </w:r>
      <w:r w:rsidRPr="00B1101B">
        <w:rPr>
          <w:i/>
          <w:iCs/>
          <w:spacing w:val="-4"/>
          <w:kern w:val="0"/>
          <w:rtl/>
        </w:rPr>
        <w:tab/>
      </w:r>
      <w:r w:rsidRPr="00B1101B">
        <w:rPr>
          <w:rFonts w:hint="cs"/>
          <w:spacing w:val="-4"/>
          <w:kern w:val="0"/>
          <w:rtl/>
        </w:rPr>
        <w:t>19 تشرين الثاني/نوفمبر 2008 (تاريخ الرسالة الأولى)</w:t>
      </w:r>
    </w:p>
    <w:p w:rsidR="00FA6676" w:rsidRPr="00AA537D" w:rsidRDefault="00FA6676" w:rsidP="00755AEC">
      <w:pPr>
        <w:pStyle w:val="SingleTxtGA"/>
        <w:spacing w:line="360" w:lineRule="exact"/>
        <w:jc w:val="lowKashida"/>
        <w:rPr>
          <w:rFonts w:hint="cs"/>
          <w:spacing w:val="0"/>
          <w:kern w:val="0"/>
          <w:rtl/>
        </w:rPr>
      </w:pPr>
      <w:r w:rsidRPr="00AA537D">
        <w:rPr>
          <w:rFonts w:hint="cs"/>
          <w:i/>
          <w:iCs/>
          <w:spacing w:val="0"/>
          <w:kern w:val="0"/>
          <w:rtl/>
        </w:rPr>
        <w:tab/>
        <w:t>إن لجنة مناهضة التعذيب</w:t>
      </w:r>
      <w:r w:rsidRPr="00AA537D">
        <w:rPr>
          <w:rFonts w:hint="cs"/>
          <w:spacing w:val="0"/>
          <w:kern w:val="0"/>
          <w:rtl/>
        </w:rPr>
        <w:t>، المنشأة بموجب المادة 17 من اتفاقية مناهضة التعذيب وغيره من ضروب المعاملة أو العقوبة القاسية أو اللاإنسانية أو المهينة،</w:t>
      </w:r>
    </w:p>
    <w:p w:rsidR="00FA6676" w:rsidRPr="00AA537D" w:rsidRDefault="00FA6676" w:rsidP="00755AEC">
      <w:pPr>
        <w:pStyle w:val="SingleTxtGA"/>
        <w:spacing w:line="360" w:lineRule="exact"/>
        <w:jc w:val="lowKashida"/>
        <w:rPr>
          <w:rFonts w:hint="cs"/>
          <w:spacing w:val="0"/>
          <w:kern w:val="0"/>
          <w:rtl/>
        </w:rPr>
      </w:pPr>
      <w:r w:rsidRPr="00AA537D">
        <w:rPr>
          <w:rFonts w:hint="cs"/>
          <w:i/>
          <w:iCs/>
          <w:spacing w:val="0"/>
          <w:kern w:val="0"/>
          <w:rtl/>
        </w:rPr>
        <w:tab/>
        <w:t>وقد اجتمعت</w:t>
      </w:r>
      <w:r w:rsidRPr="00AA537D">
        <w:rPr>
          <w:rFonts w:hint="cs"/>
          <w:spacing w:val="0"/>
          <w:kern w:val="0"/>
          <w:rtl/>
        </w:rPr>
        <w:t xml:space="preserve"> في 21 تشرين الثاني/نوفمبر 2011،</w:t>
      </w:r>
    </w:p>
    <w:p w:rsidR="00FA6676" w:rsidRPr="00AA537D" w:rsidRDefault="00FA6676" w:rsidP="00755AEC">
      <w:pPr>
        <w:pStyle w:val="SingleTxtGA"/>
        <w:spacing w:line="360" w:lineRule="exact"/>
        <w:jc w:val="lowKashida"/>
        <w:rPr>
          <w:rFonts w:hint="cs"/>
          <w:spacing w:val="0"/>
          <w:kern w:val="0"/>
          <w:rtl/>
        </w:rPr>
      </w:pPr>
      <w:r w:rsidRPr="00AA537D">
        <w:rPr>
          <w:rFonts w:hint="cs"/>
          <w:i/>
          <w:iCs/>
          <w:spacing w:val="0"/>
          <w:kern w:val="0"/>
          <w:rtl/>
        </w:rPr>
        <w:tab/>
        <w:t xml:space="preserve">وقد فرغت </w:t>
      </w:r>
      <w:r w:rsidRPr="00AA537D">
        <w:rPr>
          <w:rFonts w:hint="cs"/>
          <w:spacing w:val="0"/>
          <w:kern w:val="0"/>
          <w:rtl/>
        </w:rPr>
        <w:t xml:space="preserve">من النظر في البلاغ </w:t>
      </w:r>
      <w:r w:rsidR="00F85F7C">
        <w:rPr>
          <w:rFonts w:hint="cs"/>
          <w:spacing w:val="0"/>
          <w:kern w:val="0"/>
          <w:rtl/>
        </w:rPr>
        <w:t>رقم 365/2008، الذي قدمه س. ك. و</w:t>
      </w:r>
      <w:r w:rsidRPr="00AA537D">
        <w:rPr>
          <w:rFonts w:hint="cs"/>
          <w:spacing w:val="0"/>
          <w:kern w:val="0"/>
          <w:rtl/>
        </w:rPr>
        <w:t>ر. ك. إلى لجنة مناهضة التعذيب بموجب المادة 22 من اتفاقية مناهضة التعذيب وغيره من ضروب المعاملة أو العقوبة القاسية أو اللاإنسانية أو المهينة،</w:t>
      </w:r>
    </w:p>
    <w:p w:rsidR="00FA6676" w:rsidRPr="0050415C" w:rsidRDefault="00FA6676" w:rsidP="00755AEC">
      <w:pPr>
        <w:pStyle w:val="SingleTxtGA"/>
        <w:spacing w:line="360" w:lineRule="exact"/>
        <w:jc w:val="lowKashida"/>
        <w:rPr>
          <w:rFonts w:hint="cs"/>
          <w:spacing w:val="-4"/>
          <w:kern w:val="0"/>
          <w:rtl/>
        </w:rPr>
      </w:pPr>
      <w:r w:rsidRPr="0050415C">
        <w:rPr>
          <w:rFonts w:hint="cs"/>
          <w:i/>
          <w:iCs/>
          <w:spacing w:val="-4"/>
          <w:kern w:val="0"/>
          <w:rtl/>
        </w:rPr>
        <w:tab/>
        <w:t xml:space="preserve">وقد أخذت في اعتبارها </w:t>
      </w:r>
      <w:r w:rsidRPr="0050415C">
        <w:rPr>
          <w:rFonts w:hint="cs"/>
          <w:spacing w:val="-4"/>
          <w:kern w:val="0"/>
          <w:rtl/>
        </w:rPr>
        <w:t>جميع المعلومات التي أتاحها صاحبا الشكوى والدولة الطرف،</w:t>
      </w:r>
    </w:p>
    <w:p w:rsidR="00FA6676" w:rsidRPr="00AA537D" w:rsidRDefault="00FA6676" w:rsidP="00755AEC">
      <w:pPr>
        <w:pStyle w:val="SingleTxtGA"/>
        <w:spacing w:line="360" w:lineRule="exact"/>
        <w:jc w:val="lowKashida"/>
        <w:rPr>
          <w:rFonts w:hint="cs"/>
          <w:spacing w:val="0"/>
          <w:kern w:val="0"/>
          <w:rtl/>
        </w:rPr>
      </w:pPr>
      <w:r w:rsidRPr="00AA537D">
        <w:rPr>
          <w:rFonts w:hint="cs"/>
          <w:spacing w:val="0"/>
          <w:kern w:val="0"/>
          <w:rtl/>
        </w:rPr>
        <w:tab/>
      </w:r>
      <w:r w:rsidRPr="00AA537D">
        <w:rPr>
          <w:rFonts w:hint="cs"/>
          <w:i/>
          <w:iCs/>
          <w:spacing w:val="0"/>
          <w:kern w:val="0"/>
          <w:rtl/>
        </w:rPr>
        <w:t xml:space="preserve">تعتمد </w:t>
      </w:r>
      <w:r w:rsidRPr="00AA537D">
        <w:rPr>
          <w:rFonts w:hint="cs"/>
          <w:spacing w:val="0"/>
          <w:kern w:val="0"/>
          <w:rtl/>
        </w:rPr>
        <w:t>ما يلي:</w:t>
      </w:r>
    </w:p>
    <w:p w:rsidR="00FA6676" w:rsidRPr="00AA537D" w:rsidRDefault="00FA6676" w:rsidP="00AA537D">
      <w:pPr>
        <w:pStyle w:val="H1GA"/>
        <w:jc w:val="lowKashida"/>
        <w:rPr>
          <w:rFonts w:hint="cs"/>
          <w:spacing w:val="0"/>
          <w:kern w:val="0"/>
          <w:rtl/>
        </w:rPr>
      </w:pPr>
      <w:r w:rsidRPr="00AA537D">
        <w:rPr>
          <w:rFonts w:hint="cs"/>
          <w:spacing w:val="0"/>
          <w:kern w:val="0"/>
          <w:rtl/>
        </w:rPr>
        <w:tab/>
      </w:r>
      <w:r w:rsidRPr="00AA537D">
        <w:rPr>
          <w:rFonts w:hint="cs"/>
          <w:spacing w:val="0"/>
          <w:kern w:val="0"/>
          <w:rtl/>
        </w:rPr>
        <w:tab/>
        <w:t>قرار بموجب الفقرة 7 من المادة 22 من اتفاقية مناهضة التعذيب</w:t>
      </w:r>
    </w:p>
    <w:p w:rsidR="00FA6676" w:rsidRPr="0050415C" w:rsidRDefault="00FA6676" w:rsidP="00755AEC">
      <w:pPr>
        <w:pStyle w:val="SingleTxtGA"/>
        <w:spacing w:line="360" w:lineRule="exact"/>
        <w:jc w:val="lowKashida"/>
        <w:rPr>
          <w:rFonts w:hint="cs"/>
          <w:spacing w:val="0"/>
          <w:kern w:val="0"/>
          <w:rtl/>
        </w:rPr>
      </w:pPr>
      <w:r w:rsidRPr="0050415C">
        <w:rPr>
          <w:rFonts w:hint="cs"/>
          <w:spacing w:val="0"/>
          <w:kern w:val="0"/>
          <w:rtl/>
        </w:rPr>
        <w:t>1-1</w:t>
      </w:r>
      <w:r w:rsidRPr="0050415C">
        <w:rPr>
          <w:rFonts w:hint="cs"/>
          <w:spacing w:val="0"/>
          <w:kern w:val="0"/>
          <w:rtl/>
        </w:rPr>
        <w:tab/>
        <w:t>صاحبا الشكوى هما ر.ك. من مواليد عام 1981، وس. ك. من مواليد عام</w:t>
      </w:r>
      <w:r w:rsidR="0050415C">
        <w:rPr>
          <w:rFonts w:hint="eastAsia"/>
          <w:spacing w:val="0"/>
          <w:kern w:val="0"/>
          <w:rtl/>
        </w:rPr>
        <w:t> </w:t>
      </w:r>
      <w:r w:rsidRPr="0050415C">
        <w:rPr>
          <w:rFonts w:hint="cs"/>
          <w:spacing w:val="0"/>
          <w:kern w:val="0"/>
          <w:rtl/>
        </w:rPr>
        <w:t>1980، من مواطني أفغانستان، وينتظران الترحيل من السويد إلى أفغانستان. ويدعي صاحبا</w:t>
      </w:r>
      <w:r w:rsidR="0050415C">
        <w:rPr>
          <w:rFonts w:hint="eastAsia"/>
          <w:spacing w:val="0"/>
          <w:kern w:val="0"/>
          <w:rtl/>
        </w:rPr>
        <w:t> </w:t>
      </w:r>
      <w:r w:rsidRPr="0050415C">
        <w:rPr>
          <w:rFonts w:hint="cs"/>
          <w:spacing w:val="0"/>
          <w:kern w:val="0"/>
          <w:rtl/>
        </w:rPr>
        <w:t>البلاغ أن ترحيلهما إلى أفغانستان يشكل انتهاكاً من السويد للمادة 3 من اتفاقية مناهضة التعذيب وغيره من ضروب المعاملة أو العقوبة القاسية أو اللاإنسانية أو المهينة. ولا</w:t>
      </w:r>
      <w:r w:rsidR="0050415C">
        <w:rPr>
          <w:rFonts w:hint="eastAsia"/>
          <w:spacing w:val="0"/>
          <w:kern w:val="0"/>
          <w:rtl/>
        </w:rPr>
        <w:t> </w:t>
      </w:r>
      <w:r w:rsidRPr="0050415C">
        <w:rPr>
          <w:rFonts w:hint="cs"/>
          <w:spacing w:val="0"/>
          <w:kern w:val="0"/>
          <w:rtl/>
        </w:rPr>
        <w:t>يمثلهما محام.</w:t>
      </w:r>
    </w:p>
    <w:p w:rsidR="00FA6676" w:rsidRPr="00FB3C43" w:rsidRDefault="00FA6676" w:rsidP="00755AEC">
      <w:pPr>
        <w:pStyle w:val="SingleTxtGA"/>
        <w:spacing w:line="360" w:lineRule="exact"/>
        <w:jc w:val="lowKashida"/>
        <w:rPr>
          <w:rFonts w:hint="cs"/>
          <w:spacing w:val="0"/>
          <w:kern w:val="0"/>
          <w:sz w:val="20"/>
          <w:rtl/>
        </w:rPr>
      </w:pPr>
      <w:r w:rsidRPr="00FB3C43">
        <w:rPr>
          <w:rFonts w:hint="cs"/>
          <w:spacing w:val="0"/>
          <w:kern w:val="0"/>
          <w:sz w:val="20"/>
          <w:rtl/>
        </w:rPr>
        <w:t>1-2</w:t>
      </w:r>
      <w:r w:rsidRPr="00FB3C43">
        <w:rPr>
          <w:rFonts w:hint="cs"/>
          <w:spacing w:val="0"/>
          <w:kern w:val="0"/>
          <w:sz w:val="20"/>
          <w:rtl/>
        </w:rPr>
        <w:tab/>
        <w:t>وفي 21 كانون الثاني/يناير 2009، طلبت اللجنة إلى الدولة الطرف، عملاً بالفقرة</w:t>
      </w:r>
      <w:r w:rsidRPr="00FB3C43">
        <w:rPr>
          <w:rFonts w:hint="eastAsia"/>
          <w:spacing w:val="0"/>
          <w:kern w:val="0"/>
          <w:sz w:val="20"/>
          <w:rtl/>
        </w:rPr>
        <w:t> </w:t>
      </w:r>
      <w:r w:rsidRPr="00FB3C43">
        <w:rPr>
          <w:rFonts w:hint="cs"/>
          <w:spacing w:val="0"/>
          <w:kern w:val="0"/>
          <w:sz w:val="20"/>
          <w:rtl/>
        </w:rPr>
        <w:t xml:space="preserve">1 من المادة 115 (الفقرة 1 من المادة 108 سابقاً) من نظامها الأساسي </w:t>
      </w:r>
      <w:r w:rsidRPr="00FB3C43">
        <w:rPr>
          <w:rFonts w:eastAsia="SimSun"/>
          <w:spacing w:val="0"/>
          <w:kern w:val="0"/>
          <w:sz w:val="20"/>
          <w:lang w:eastAsia="zh-CN"/>
        </w:rPr>
        <w:t>(CAT/C/3/Rev.5)</w:t>
      </w:r>
      <w:r w:rsidRPr="00FB3C43">
        <w:rPr>
          <w:rFonts w:hint="cs"/>
          <w:spacing w:val="0"/>
          <w:kern w:val="0"/>
          <w:sz w:val="20"/>
          <w:rtl/>
        </w:rPr>
        <w:t>، عدم ترحيل صاحبي الشكوى أثناء النظر في شكواهما.</w:t>
      </w:r>
    </w:p>
    <w:p w:rsidR="00FA6676" w:rsidRPr="00AA537D" w:rsidRDefault="00FA6676" w:rsidP="0050415C">
      <w:pPr>
        <w:pStyle w:val="H23GA"/>
        <w:keepNext/>
        <w:jc w:val="lowKashida"/>
        <w:rPr>
          <w:rFonts w:hint="cs"/>
          <w:spacing w:val="0"/>
          <w:kern w:val="0"/>
          <w:rtl/>
        </w:rPr>
      </w:pPr>
      <w:r w:rsidRPr="00AA537D">
        <w:rPr>
          <w:rFonts w:hint="cs"/>
          <w:spacing w:val="0"/>
          <w:kern w:val="0"/>
          <w:rtl/>
        </w:rPr>
        <w:tab/>
      </w:r>
      <w:r w:rsidRPr="00AA537D">
        <w:rPr>
          <w:rFonts w:hint="cs"/>
          <w:spacing w:val="0"/>
          <w:kern w:val="0"/>
          <w:rtl/>
        </w:rPr>
        <w:tab/>
        <w:t>الوقائع كما عرضها صاحبا الشكوى</w:t>
      </w:r>
    </w:p>
    <w:p w:rsidR="00FA6676" w:rsidRPr="00AA537D" w:rsidRDefault="00FA6676" w:rsidP="0050415C">
      <w:pPr>
        <w:pStyle w:val="SingleTxtGA"/>
        <w:spacing w:line="370" w:lineRule="exact"/>
        <w:jc w:val="lowKashida"/>
        <w:rPr>
          <w:rFonts w:hint="cs"/>
          <w:spacing w:val="0"/>
          <w:kern w:val="0"/>
          <w:rtl/>
        </w:rPr>
      </w:pPr>
      <w:r w:rsidRPr="00AA537D">
        <w:rPr>
          <w:rFonts w:hint="cs"/>
          <w:spacing w:val="0"/>
          <w:kern w:val="0"/>
          <w:rtl/>
        </w:rPr>
        <w:t>2-1</w:t>
      </w:r>
      <w:r w:rsidRPr="00AA537D">
        <w:rPr>
          <w:rFonts w:hint="cs"/>
          <w:spacing w:val="0"/>
          <w:kern w:val="0"/>
          <w:rtl/>
        </w:rPr>
        <w:tab/>
        <w:t>في عام 1980، وأثناء الحرب مع اتحاد الجمهوريات الاشتراكية السوفياتية السابق،</w:t>
      </w:r>
      <w:r w:rsidR="0050415C">
        <w:rPr>
          <w:rFonts w:hint="eastAsia"/>
          <w:spacing w:val="0"/>
          <w:kern w:val="0"/>
          <w:rtl/>
        </w:rPr>
        <w:t> </w:t>
      </w:r>
      <w:r w:rsidRPr="00AA537D">
        <w:rPr>
          <w:rFonts w:hint="cs"/>
          <w:spacing w:val="0"/>
          <w:kern w:val="0"/>
          <w:rtl/>
        </w:rPr>
        <w:t>غادرت أسرة صاحبي الشكوى أفغانستان وتوجهت إلى جمهورية إيران الإسلامية. وكان س. ك. يبلغ عندئذ ستة أشهر من العمر، وولد شقيقه ر.</w:t>
      </w:r>
      <w:r w:rsidR="00755AEC">
        <w:rPr>
          <w:rFonts w:hint="cs"/>
          <w:spacing w:val="0"/>
          <w:kern w:val="0"/>
          <w:rtl/>
        </w:rPr>
        <w:t xml:space="preserve"> </w:t>
      </w:r>
      <w:r w:rsidRPr="00AA537D">
        <w:rPr>
          <w:rFonts w:hint="cs"/>
          <w:spacing w:val="0"/>
          <w:kern w:val="0"/>
          <w:rtl/>
        </w:rPr>
        <w:t>ك. في إيران.</w:t>
      </w:r>
    </w:p>
    <w:p w:rsidR="00FA6676" w:rsidRPr="00AA537D" w:rsidRDefault="00FA6676" w:rsidP="00755AEC">
      <w:pPr>
        <w:pStyle w:val="SingleTxtGA"/>
        <w:jc w:val="lowKashida"/>
        <w:rPr>
          <w:rFonts w:hint="cs"/>
          <w:spacing w:val="0"/>
          <w:kern w:val="0"/>
          <w:rtl/>
        </w:rPr>
      </w:pPr>
      <w:r w:rsidRPr="00AA537D">
        <w:rPr>
          <w:rFonts w:hint="cs"/>
          <w:spacing w:val="0"/>
          <w:kern w:val="0"/>
          <w:rtl/>
        </w:rPr>
        <w:t>2-2</w:t>
      </w:r>
      <w:r w:rsidRPr="00AA537D">
        <w:rPr>
          <w:rFonts w:hint="cs"/>
          <w:spacing w:val="0"/>
          <w:kern w:val="0"/>
          <w:rtl/>
        </w:rPr>
        <w:tab/>
        <w:t>وفي عام 1990، ونظراً للظروف المعيشية القاسية في جمهورية إيران الإسلامية، قررت الأسرة الرحيل إلى باكستان، وعاشت هناك في عداد اللاجئين بمدينة كويتا في الفترة من عام 1990 إلى عام 1995. وفي عام 1995، توفى والد صاحبي الشكوى نتيجة لإصابته بأزمة قلبية، وتركهما بدون مصدر للعيش. وفي نفس العام، عادت الأسرة إلى إيران وطلبت اللجوء في هذا البلد.</w:t>
      </w:r>
    </w:p>
    <w:p w:rsidR="00FA6676" w:rsidRPr="00AA537D" w:rsidRDefault="00FA6676" w:rsidP="00755AEC">
      <w:pPr>
        <w:pStyle w:val="SingleTxtGA"/>
        <w:jc w:val="lowKashida"/>
        <w:rPr>
          <w:rFonts w:hint="cs"/>
          <w:spacing w:val="0"/>
          <w:kern w:val="0"/>
          <w:rtl/>
        </w:rPr>
      </w:pPr>
      <w:r w:rsidRPr="00AA537D">
        <w:rPr>
          <w:rFonts w:hint="cs"/>
          <w:spacing w:val="0"/>
          <w:kern w:val="0"/>
          <w:rtl/>
        </w:rPr>
        <w:t>2-3</w:t>
      </w:r>
      <w:r w:rsidRPr="00AA537D">
        <w:rPr>
          <w:rFonts w:hint="cs"/>
          <w:spacing w:val="0"/>
          <w:kern w:val="0"/>
          <w:rtl/>
        </w:rPr>
        <w:tab/>
        <w:t>وفي عام 2000، بدأ صاحبا الشكوى العمل بدون تصريح في جمهورية إيران الإسلامية. ويدعيان أن إيران ترفض التصريح للاجئين الأفغان بالعمل. وفي أيلول/ سبتمبر</w:t>
      </w:r>
      <w:r w:rsidRPr="00AA537D">
        <w:rPr>
          <w:rFonts w:hint="eastAsia"/>
          <w:spacing w:val="0"/>
          <w:kern w:val="0"/>
          <w:rtl/>
        </w:rPr>
        <w:t> </w:t>
      </w:r>
      <w:r w:rsidRPr="00AA537D">
        <w:rPr>
          <w:rFonts w:hint="cs"/>
          <w:spacing w:val="0"/>
          <w:kern w:val="0"/>
          <w:rtl/>
        </w:rPr>
        <w:t>2000، ألقت الشرطة الإيرانية القبض على صاحبي الشكوى لعملهما بدون تصريح واحتجزتهما مدة 20 يوماً. ويدعيان أن الشرطة الإيرانية أساءت معاملتهما وقامت بتعذيبهما أثناء الاحتجاز.</w:t>
      </w:r>
    </w:p>
    <w:p w:rsidR="00FA6676" w:rsidRPr="00AA537D" w:rsidRDefault="00FA6676" w:rsidP="00755AEC">
      <w:pPr>
        <w:pStyle w:val="SingleTxtGA"/>
        <w:jc w:val="lowKashida"/>
        <w:rPr>
          <w:rFonts w:hint="cs"/>
          <w:spacing w:val="0"/>
          <w:kern w:val="0"/>
          <w:rtl/>
        </w:rPr>
      </w:pPr>
      <w:r w:rsidRPr="00AA537D">
        <w:rPr>
          <w:rFonts w:hint="cs"/>
          <w:spacing w:val="0"/>
          <w:kern w:val="0"/>
          <w:rtl/>
        </w:rPr>
        <w:t>2-4</w:t>
      </w:r>
      <w:r w:rsidRPr="00AA537D">
        <w:rPr>
          <w:rFonts w:hint="cs"/>
          <w:spacing w:val="0"/>
          <w:kern w:val="0"/>
          <w:rtl/>
        </w:rPr>
        <w:tab/>
        <w:t>وفي كانون الأول/ديسمبر 2000، تم ترحيل صاحبي الشكوى إلى أفغانستان وهددتهما الشرطة الإيرانية بالقتل في حالة عودتهما إلى جمهورية إيران الإسلامية. وبعد وصولهما إلى أفغانستان، ألق حركت طالبان القبض عليهما ونُقلا إلى قندهار حيث تعرضا للتعذيب والضرب وإساءة المعاملة والسب، حسب ادعائهما. واستمر التعذيب، الذي كان يمارس عليهما يومياً، أسبوعين تقريباً، وكان هذا التعذيب يشمل التعرض للصدمات الكهربائية على مستوى الأعضاء التناسلية، والبيات ليلاً بدون ملابس، والضرب والسير وهما معصوبي العينين في المناطق الجبلية، والتهديد بالقتل. ويدعيان أنهما لا يزالان يعانيان من آلام جسدية ونفسية نتيجة للتعذيب الذي تم توقيعه عليهما. وكانا في نظر حركة طالبان من أعداء الدولة، وأعداء الإسلام، والجواسيس بسبب نشأتهما في إيران وعدم تحدثهما بلغة الباشتو (اللغة السائدة في معظم المناطق في أفغانستان).</w:t>
      </w:r>
    </w:p>
    <w:p w:rsidR="00FA6676" w:rsidRPr="00AA537D" w:rsidRDefault="00FA6676" w:rsidP="00755AEC">
      <w:pPr>
        <w:pStyle w:val="SingleTxtGA"/>
        <w:jc w:val="lowKashida"/>
        <w:rPr>
          <w:rFonts w:hint="cs"/>
          <w:spacing w:val="0"/>
          <w:kern w:val="0"/>
          <w:rtl/>
        </w:rPr>
      </w:pPr>
      <w:r w:rsidRPr="00AA537D">
        <w:rPr>
          <w:rFonts w:hint="cs"/>
          <w:spacing w:val="0"/>
          <w:kern w:val="0"/>
          <w:rtl/>
        </w:rPr>
        <w:t>2-5</w:t>
      </w:r>
      <w:r w:rsidRPr="00AA537D">
        <w:rPr>
          <w:rFonts w:hint="cs"/>
          <w:spacing w:val="0"/>
          <w:kern w:val="0"/>
          <w:rtl/>
        </w:rPr>
        <w:tab/>
        <w:t xml:space="preserve">وتمكن صاحبا الشكوى من الفرار والذهاب إلى مدينة كويتا في أفغانستان حيث عاشا بعض الوقت مع أخت من أخواتهما وزوجها. وأثناء وجودهما في باكستان، علما أن والدتهما وأخواتهما الأخريات اللاتي كن يعشن في جمهورية إيران الإسلامية أصبحن من اللاجئات في السويد اعتباراً من 30 كانون الثاني/ديسمبر 2000. ونصحتهما والدتهما بالذهاب إلى طهران وتقديم طلب لجمع شمل الأسرة إلى السفارة السويدية. وتوجها فعلاً إلى طهران لتقديم هذا الطلب إلى السفارة السويدية. </w:t>
      </w:r>
    </w:p>
    <w:p w:rsidR="00FA6676" w:rsidRPr="00AA537D" w:rsidRDefault="00FA6676" w:rsidP="00755AEC">
      <w:pPr>
        <w:pStyle w:val="SingleTxtGA"/>
        <w:jc w:val="lowKashida"/>
        <w:rPr>
          <w:rFonts w:hint="cs"/>
          <w:spacing w:val="0"/>
          <w:kern w:val="0"/>
          <w:rtl/>
        </w:rPr>
      </w:pPr>
      <w:r w:rsidRPr="00AA537D">
        <w:rPr>
          <w:rFonts w:hint="cs"/>
          <w:spacing w:val="0"/>
          <w:kern w:val="0"/>
          <w:rtl/>
        </w:rPr>
        <w:t>2-6</w:t>
      </w:r>
      <w:r w:rsidRPr="00AA537D">
        <w:rPr>
          <w:rFonts w:hint="cs"/>
          <w:spacing w:val="0"/>
          <w:kern w:val="0"/>
          <w:rtl/>
        </w:rPr>
        <w:tab/>
        <w:t xml:space="preserve">وفي أيار/مايو 2001، أجرى صاحبا الشكوى أول مقابلة لهما في السفارة السويدية. وبعد سنة، أبلغتهما السفارة السويدية برفض طلبهما المقدم لجمع شمل الأسرة لبلوغهما سن الرشد. ويدعيان أن موظفاً مجهول الهوية في السفارة السويدية وموظفاً تابعاً لمفوضية الأمم المتحدة لشؤون اللاجئين في طهران نصحاهما بالسفر إلى السويد بصورة غير قانونية والتماس اللجوء هناك. </w:t>
      </w:r>
    </w:p>
    <w:p w:rsidR="00FA6676" w:rsidRPr="00755AEC" w:rsidRDefault="00FA6676" w:rsidP="00755AEC">
      <w:pPr>
        <w:pStyle w:val="SingleTxtGA"/>
        <w:spacing w:line="374" w:lineRule="exact"/>
        <w:jc w:val="lowKashida"/>
        <w:rPr>
          <w:rFonts w:hint="cs"/>
          <w:spacing w:val="0"/>
          <w:kern w:val="0"/>
          <w:rtl/>
        </w:rPr>
      </w:pPr>
      <w:r w:rsidRPr="00755AEC">
        <w:rPr>
          <w:rFonts w:hint="cs"/>
          <w:spacing w:val="0"/>
          <w:kern w:val="0"/>
          <w:rtl/>
        </w:rPr>
        <w:t>2-7</w:t>
      </w:r>
      <w:r w:rsidRPr="00755AEC">
        <w:rPr>
          <w:rFonts w:hint="cs"/>
          <w:spacing w:val="0"/>
          <w:kern w:val="0"/>
          <w:rtl/>
        </w:rPr>
        <w:tab/>
        <w:t xml:space="preserve">وفي جمهورية إيران الإسلامية، ألقت الشرطة الإيرانية القبض على ر. ك. في تاريخ غير محدد وأعادته إلى باكستان. ووفقاً لصاحب الشكوى، عندما رأت السلطات الأفغانية وثائق السفارة السويدية، كان رد فعلها عنيفاً، وتعرض للضرب على رأسه بمدفع كلاشنيكوف وكاد أن يفقد حياته. ويدّعي أنه تعرض للاحتجاز والضرب والتعذيب مرة أخرى في أفغانستان. وبعد بضعة أسابيع في السجن، تمكن من الفرار بعد دفع رشوة لحراس السجن وعاد إلى باكستان عند أخيه وأخته. وعاد س. ك. إلى كويتا، باكستان، أيضاً. </w:t>
      </w:r>
    </w:p>
    <w:p w:rsidR="00FA6676" w:rsidRPr="00755AEC" w:rsidRDefault="00FA6676" w:rsidP="00755AEC">
      <w:pPr>
        <w:pStyle w:val="SingleTxtGA"/>
        <w:spacing w:line="374" w:lineRule="exact"/>
        <w:jc w:val="lowKashida"/>
        <w:rPr>
          <w:rFonts w:hint="cs"/>
          <w:spacing w:val="0"/>
          <w:kern w:val="0"/>
          <w:rtl/>
        </w:rPr>
      </w:pPr>
      <w:r w:rsidRPr="00755AEC">
        <w:rPr>
          <w:rFonts w:hint="cs"/>
          <w:spacing w:val="0"/>
          <w:kern w:val="0"/>
          <w:rtl/>
        </w:rPr>
        <w:t>2-8</w:t>
      </w:r>
      <w:r w:rsidRPr="00755AEC">
        <w:rPr>
          <w:rFonts w:hint="cs"/>
          <w:spacing w:val="0"/>
          <w:kern w:val="0"/>
          <w:rtl/>
        </w:rPr>
        <w:tab/>
        <w:t>وفي تموز/يوليه 2003، قامت والدة صاحبي الشكوى وأختين من أخواتهما بزيارتهما في كويتا. وحصلت والدته على أوراق هوية مزورة لهما وقامت بتزويجهما لأختيهما لتمكينهما من السفر إلى السويد. وعند وصولهما إلى السويد اعترفا لمجلس الهجرة السويدي بأنهما يحملان هوية مزورة وبأن زوجتيهما أختين من أخواتهما. وفي تاريخ غير محدد، سحبت السلطات السويدية تصاريح إقامتهما في السويد وقدما طلباً للجوء بهويتهما الحقيقية.</w:t>
      </w:r>
    </w:p>
    <w:p w:rsidR="00FA6676" w:rsidRPr="00755AEC" w:rsidRDefault="00FA6676" w:rsidP="00755AEC">
      <w:pPr>
        <w:pStyle w:val="SingleTxtGA"/>
        <w:spacing w:line="374" w:lineRule="exact"/>
        <w:jc w:val="lowKashida"/>
        <w:rPr>
          <w:rFonts w:hint="cs"/>
          <w:spacing w:val="0"/>
          <w:kern w:val="0"/>
          <w:rtl/>
        </w:rPr>
      </w:pPr>
      <w:r w:rsidRPr="00755AEC">
        <w:rPr>
          <w:rFonts w:hint="cs"/>
          <w:spacing w:val="0"/>
          <w:kern w:val="0"/>
          <w:rtl/>
        </w:rPr>
        <w:t>2-9</w:t>
      </w:r>
      <w:r w:rsidRPr="00755AEC">
        <w:rPr>
          <w:rFonts w:hint="cs"/>
          <w:spacing w:val="0"/>
          <w:kern w:val="0"/>
          <w:rtl/>
        </w:rPr>
        <w:tab/>
        <w:t>وفي 31 آذار/مارس 2006، منح مجلس الهجرة السويدي لصاحبي الشكوى تصريحاً للإقامة لمدة سنة واحدة. وبعد سنة، لم تجدد تصاريح إقامتهما. وصدر في 3 تشرين الأول/أكتوبر 2008 قرار بطردهما.</w:t>
      </w:r>
    </w:p>
    <w:p w:rsidR="00FA6676" w:rsidRPr="00755AEC" w:rsidRDefault="00FA6676" w:rsidP="00755AEC">
      <w:pPr>
        <w:pStyle w:val="SingleTxtGA"/>
        <w:spacing w:line="374" w:lineRule="exact"/>
        <w:jc w:val="lowKashida"/>
        <w:rPr>
          <w:rFonts w:hint="cs"/>
          <w:spacing w:val="-2"/>
          <w:kern w:val="0"/>
          <w:rtl/>
        </w:rPr>
      </w:pPr>
      <w:r w:rsidRPr="00755AEC">
        <w:rPr>
          <w:rFonts w:hint="cs"/>
          <w:spacing w:val="-2"/>
          <w:kern w:val="0"/>
          <w:rtl/>
        </w:rPr>
        <w:t>2-10</w:t>
      </w:r>
      <w:r w:rsidRPr="00755AEC">
        <w:rPr>
          <w:rFonts w:hint="cs"/>
          <w:spacing w:val="-2"/>
          <w:kern w:val="0"/>
          <w:rtl/>
        </w:rPr>
        <w:tab/>
        <w:t>ويقول صاحبا الشكوى إنهما يخشيان على حياتهما لأنهما يعتبران من الخونة في أفغانستان. ويدعي ر. ك. أنه مدرج في "القائمة السوداء" في أفغانستان لعمله في وحدة الاندماج السويدية كمترجم للاجئين وملتمسي اللجوء، وكثيرين منهم من الأفغان. ويدعي أنه يتلقى مكالمات هاتفية من أشخاص مجهولين يسألونه عن عمله كمترجم والسبب الذي يدعوه إلى استجواب الأفغان في السويد. وقال إنه يرد على ذلك بأنه يترجم من اللغة الإيرانية فقط لأن معرفته بلغة الباشتو محدودة. ويدعي أنه تلقى عدة تهديدات هاتفية من أشخاص مجهولين. ويدعي صاحبا الشكوى أنهما على يقين من أنهما سيتم القبض عليهما في حالة ترحيلهما إلى أفغانستان بسبب التماسهما اللجوء في بلد آخر واعتبار ذلك جريمة في هذا البلد.</w:t>
      </w:r>
    </w:p>
    <w:p w:rsidR="00FA6676" w:rsidRPr="00755AEC" w:rsidRDefault="00FA6676" w:rsidP="00755AEC">
      <w:pPr>
        <w:pStyle w:val="SingleTxtGA"/>
        <w:spacing w:line="374" w:lineRule="exact"/>
        <w:jc w:val="lowKashida"/>
        <w:rPr>
          <w:rFonts w:hint="cs"/>
          <w:spacing w:val="0"/>
          <w:kern w:val="0"/>
          <w:rtl/>
        </w:rPr>
      </w:pPr>
      <w:r w:rsidRPr="00755AEC">
        <w:rPr>
          <w:rFonts w:hint="cs"/>
          <w:spacing w:val="0"/>
          <w:kern w:val="0"/>
          <w:rtl/>
        </w:rPr>
        <w:t>2-11</w:t>
      </w:r>
      <w:r w:rsidRPr="00755AEC">
        <w:rPr>
          <w:rFonts w:hint="cs"/>
          <w:spacing w:val="0"/>
          <w:kern w:val="0"/>
          <w:rtl/>
        </w:rPr>
        <w:tab/>
        <w:t>وفي 20 كانون الثاني/يناير 2009، أفاد صاحبا الشكوى بأن حالتهما المالية تزداد سوءاً في السويد بسبب فقدان عملهما وعدم وجود موارد للعيش لهما أو تمتعهما بالحق في الرعاية الصحية. ولاحظ صاحبا الشكوى أن من أسباب مغادرتهما جهورية إيران الإسلامية أن والدهما، الذي كان محامياً وعضواً في البرلمان، له أعداء كثيرون في أفغانستان، وأن هؤلاء الأعداء أصبحوا من كبار الموظفين في الحكومة الحالية، ويخشيان من قتلهما، بسبب اسمهما فقط، في حالة ترحيلهما.</w:t>
      </w:r>
    </w:p>
    <w:p w:rsidR="00FA6676" w:rsidRPr="00AA537D" w:rsidRDefault="00FA6676" w:rsidP="00755AEC">
      <w:pPr>
        <w:pStyle w:val="H23GA"/>
        <w:keepNext/>
        <w:jc w:val="lowKashida"/>
        <w:rPr>
          <w:rFonts w:hint="cs"/>
          <w:spacing w:val="0"/>
          <w:kern w:val="0"/>
          <w:rtl/>
        </w:rPr>
      </w:pPr>
      <w:r w:rsidRPr="00AA537D">
        <w:rPr>
          <w:rFonts w:hint="cs"/>
          <w:spacing w:val="0"/>
          <w:kern w:val="0"/>
          <w:rtl/>
        </w:rPr>
        <w:tab/>
      </w:r>
      <w:r w:rsidRPr="00AA537D">
        <w:rPr>
          <w:rFonts w:hint="cs"/>
          <w:spacing w:val="0"/>
          <w:kern w:val="0"/>
          <w:rtl/>
        </w:rPr>
        <w:tab/>
        <w:t>الشكوى</w:t>
      </w:r>
    </w:p>
    <w:p w:rsidR="00FA6676" w:rsidRPr="00AA537D" w:rsidRDefault="00FA6676" w:rsidP="00AA537D">
      <w:pPr>
        <w:pStyle w:val="SingleTxtGA"/>
        <w:jc w:val="lowKashida"/>
        <w:rPr>
          <w:rFonts w:hint="cs"/>
          <w:spacing w:val="0"/>
          <w:kern w:val="0"/>
          <w:rtl/>
        </w:rPr>
      </w:pPr>
      <w:r w:rsidRPr="00AA537D">
        <w:rPr>
          <w:rFonts w:hint="cs"/>
          <w:spacing w:val="0"/>
          <w:kern w:val="0"/>
          <w:rtl/>
        </w:rPr>
        <w:t>3-</w:t>
      </w:r>
      <w:r w:rsidRPr="00AA537D">
        <w:rPr>
          <w:rFonts w:hint="cs"/>
          <w:spacing w:val="0"/>
          <w:kern w:val="0"/>
          <w:rtl/>
        </w:rPr>
        <w:tab/>
        <w:t>يدعي صاحبا الشكوى أن ترحيلهما قسراً إلى أفغانستان، حيث يواجهان خطرا</w:t>
      </w:r>
      <w:r w:rsidR="00755AEC">
        <w:rPr>
          <w:rFonts w:hint="cs"/>
          <w:spacing w:val="0"/>
          <w:kern w:val="0"/>
          <w:rtl/>
        </w:rPr>
        <w:t>ً</w:t>
      </w:r>
      <w:r w:rsidRPr="00AA537D">
        <w:rPr>
          <w:rFonts w:hint="cs"/>
          <w:spacing w:val="0"/>
          <w:kern w:val="0"/>
          <w:rtl/>
        </w:rPr>
        <w:t xml:space="preserve"> حقيقيا</w:t>
      </w:r>
      <w:r w:rsidR="00755AEC">
        <w:rPr>
          <w:rFonts w:hint="cs"/>
          <w:spacing w:val="0"/>
          <w:kern w:val="0"/>
          <w:rtl/>
        </w:rPr>
        <w:t>ً</w:t>
      </w:r>
      <w:r w:rsidRPr="00AA537D">
        <w:rPr>
          <w:rFonts w:hint="cs"/>
          <w:spacing w:val="0"/>
          <w:kern w:val="0"/>
          <w:rtl/>
        </w:rPr>
        <w:t xml:space="preserve"> للتعرض للتعذيب، يشكل انتهاكاً من السويد لحقوقهما بموجب المادة 3 من اتفاقية مناهضة التعذيب وغيره من ضروب المعاملة أو العقوبة القاسية أو اللاإنسانية أو المهينة.</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ملاحظات الدولة الطرف بشأن المقبولية</w:t>
      </w:r>
    </w:p>
    <w:p w:rsidR="00FA6676" w:rsidRPr="00AA537D" w:rsidRDefault="00FA6676" w:rsidP="00755AEC">
      <w:pPr>
        <w:pStyle w:val="SingleTxtGA"/>
        <w:jc w:val="lowKashida"/>
        <w:rPr>
          <w:rFonts w:hint="cs"/>
          <w:spacing w:val="0"/>
          <w:kern w:val="0"/>
          <w:rtl/>
        </w:rPr>
      </w:pPr>
      <w:r w:rsidRPr="00AA537D">
        <w:rPr>
          <w:rFonts w:hint="cs"/>
          <w:spacing w:val="0"/>
          <w:kern w:val="0"/>
          <w:rtl/>
        </w:rPr>
        <w:t>4-1</w:t>
      </w:r>
      <w:r w:rsidRPr="00AA537D">
        <w:rPr>
          <w:rFonts w:hint="cs"/>
          <w:spacing w:val="0"/>
          <w:kern w:val="0"/>
          <w:rtl/>
        </w:rPr>
        <w:tab/>
        <w:t>في 26 كانون الثاني/يناير 2009، طعنت الدولة الطرف في مقبولية الشكوى على أساس عدم استنفاد سبل الانتصاف المحلية. وتفيد الدولة الطرف بأنه يجوز لمجلس الهجرة السويدي بموجب المادتين 18 و19 من الفصل الثاني من قانون الأجانب لعام 2005 أن يمنح الأجنبي تصريحاً للإقامة، حتى إذا اكتسب القرار الصادر بمنع دخوله أو طرده قوة القانون. وإذا ظهرت أثناء التنفيذ معلومات جديدة يمكنها أن تشكل مانعاً للتنفيذ، يجوز لمجلس الهجرة السويدي أن يمنح تصريحاً بالإقامة الدائمة إذا كان المانع دائماً بطبيعته، أو</w:t>
      </w:r>
      <w:r w:rsidR="00755AEC">
        <w:rPr>
          <w:rFonts w:hint="eastAsia"/>
          <w:spacing w:val="0"/>
          <w:kern w:val="0"/>
          <w:rtl/>
        </w:rPr>
        <w:t> </w:t>
      </w:r>
      <w:r w:rsidRPr="00AA537D">
        <w:rPr>
          <w:rFonts w:hint="cs"/>
          <w:spacing w:val="0"/>
          <w:kern w:val="0"/>
          <w:rtl/>
        </w:rPr>
        <w:t>تصريحاً بالإقامة المؤقتة إذا كان المانع مؤقتاً بطبيعته. وهذا هو الحال مثلاً عندما تظهر ظروف جديدة تدعو إلى الاعتقاد بأن تنفيذ الأمر سيعرض الأجنبي لخطر الحكم عليه بالإعدام أو العقاب البدني أو التعذيب أو المعاملة أو العقوبة اللاإنسانية أو المهينة. وفي هذه الحالات، يجوز لمجلس الهجرة أن يصدر أمراً بوقف تنفيذ الطرد.</w:t>
      </w:r>
    </w:p>
    <w:p w:rsidR="00FA6676" w:rsidRPr="00AA537D" w:rsidRDefault="00FA6676" w:rsidP="00AA537D">
      <w:pPr>
        <w:pStyle w:val="SingleTxtGA"/>
        <w:jc w:val="lowKashida"/>
        <w:rPr>
          <w:rFonts w:hint="cs"/>
          <w:spacing w:val="0"/>
          <w:kern w:val="0"/>
          <w:rtl/>
        </w:rPr>
      </w:pPr>
      <w:r w:rsidRPr="00AA537D">
        <w:rPr>
          <w:rFonts w:hint="cs"/>
          <w:spacing w:val="0"/>
          <w:kern w:val="0"/>
          <w:rtl/>
        </w:rPr>
        <w:t>4-2</w:t>
      </w:r>
      <w:r w:rsidRPr="00AA537D">
        <w:rPr>
          <w:rFonts w:hint="cs"/>
          <w:spacing w:val="0"/>
          <w:kern w:val="0"/>
          <w:rtl/>
        </w:rPr>
        <w:tab/>
        <w:t>وتفيد الدولة الطرف بأنه بموجب الفصلين 14 و16 من قانون الأجانب، يجوز الطعن في قرار مجلس الهجرة أمام محكمة الهجرة، ثم بعد ذلك أمام محكمة الاستئناف المعنية بشؤون الهجرة، شريطة الحصول على إذن بالاستئناف. وفي 6 آذار/مارس 2008، قررت محكمة الهجرة، في جملة أمور، الموافقة على الطلب المقدم من صاحبي الشكوى لإعادة النظر في الطلب المقدم منهما للحصول على تصاريح للإقامة بسبب تدهور الحالة في بلدهما الأصلي، وأحالت الموضوع إلى مجلس الهجرة. وفي 3 تشرين الأول/أكتوبر 2008، رفض مجلس الهجرة الطلب المقدم من صاحبي الشكوى للحصول على تصاريح للإقامة معتبرا</w:t>
      </w:r>
      <w:r w:rsidR="004A1851">
        <w:rPr>
          <w:rFonts w:hint="cs"/>
          <w:spacing w:val="0"/>
          <w:kern w:val="0"/>
          <w:rtl/>
        </w:rPr>
        <w:t>ً</w:t>
      </w:r>
      <w:r w:rsidRPr="00AA537D">
        <w:rPr>
          <w:rFonts w:hint="cs"/>
          <w:spacing w:val="0"/>
          <w:kern w:val="0"/>
          <w:rtl/>
        </w:rPr>
        <w:t xml:space="preserve"> أن بإمكانهم وجود جهة داخل بلدهما يلجآن إليها. وطعن صاحبا الشكوى في قرار مجلس الهجرة أمام محكمة الهجرة ورفضت هذه المحكمة الطعن في حكمين صادرين في 3 كانون الأول/ديسمبر 2008. ولم</w:t>
      </w:r>
      <w:r w:rsidRPr="00AA537D">
        <w:rPr>
          <w:rFonts w:hint="eastAsia"/>
          <w:spacing w:val="0"/>
          <w:kern w:val="0"/>
          <w:rtl/>
        </w:rPr>
        <w:t> </w:t>
      </w:r>
      <w:r w:rsidRPr="00AA537D">
        <w:rPr>
          <w:rFonts w:hint="cs"/>
          <w:spacing w:val="0"/>
          <w:kern w:val="0"/>
          <w:rtl/>
        </w:rPr>
        <w:t>يستأنف صاحبا الشكوى الحكمين وأصبحا قابلين للتنفيذ في 29 كانون الأول/ديسمبر 2008.</w:t>
      </w:r>
    </w:p>
    <w:p w:rsidR="00FA6676" w:rsidRPr="00AA537D" w:rsidRDefault="00FA6676" w:rsidP="00AA537D">
      <w:pPr>
        <w:pStyle w:val="SingleTxtGA"/>
        <w:jc w:val="lowKashida"/>
        <w:rPr>
          <w:rFonts w:hint="cs"/>
          <w:spacing w:val="0"/>
          <w:kern w:val="0"/>
          <w:rtl/>
        </w:rPr>
      </w:pPr>
      <w:r w:rsidRPr="00AA537D">
        <w:rPr>
          <w:rFonts w:hint="cs"/>
          <w:spacing w:val="0"/>
          <w:kern w:val="0"/>
          <w:rtl/>
        </w:rPr>
        <w:t>4-3</w:t>
      </w:r>
      <w:r w:rsidRPr="00AA537D">
        <w:rPr>
          <w:rFonts w:hint="cs"/>
          <w:spacing w:val="0"/>
          <w:kern w:val="0"/>
          <w:rtl/>
        </w:rPr>
        <w:tab/>
        <w:t>ووفقاً للدولة الطرف، قدم صاحبا الشكوى بلاغهما إلى اللجنة قبل صدور الحكمين المذكورين من محكمة الهجرة. وهكذا، لم تكن سبل الانتصاف المحلية قد استنفدت في ذلك الحين. كذلك، تدفع الدولة الطرف بأن صاحبي الشكوى لم يستأنفا الحكمين أمام محكمة الاستئناف المعنية بشؤون الهجرة، ولو قاما بذلك، وقُبل استئنافهما، لكانا قد حصلا على تصاريح للإقامة. ولم يمنح صاحبا الشكوى بالتالي الفرصة للسلطات المحلية للنظر بصورة كاملة في الظروف الجديدة المطروحة في هذين الحكمين. وفي ضوء ما سلف، تؤكد الدولة الطرف أن صاحبي الشكوى لم يستنفدا جميع سبل الانتصاف المحلية المتاحة لهما وأنه ينبغي بالتالي إعلان عدم مقبولية البلاغ، عملاً بالفقرة 5(ب) من المادة 22، لعدم استنفاد سبل الانتصاف المحلية.</w:t>
      </w:r>
    </w:p>
    <w:p w:rsidR="00FA6676" w:rsidRPr="00AA537D" w:rsidRDefault="00FA6676" w:rsidP="00755AEC">
      <w:pPr>
        <w:pStyle w:val="H23GA"/>
        <w:keepNext/>
        <w:jc w:val="lowKashida"/>
        <w:rPr>
          <w:rFonts w:hint="cs"/>
          <w:spacing w:val="0"/>
          <w:kern w:val="0"/>
          <w:rtl/>
        </w:rPr>
      </w:pPr>
      <w:r w:rsidRPr="00AA537D">
        <w:rPr>
          <w:rFonts w:hint="cs"/>
          <w:spacing w:val="0"/>
          <w:kern w:val="0"/>
          <w:rtl/>
        </w:rPr>
        <w:tab/>
      </w:r>
      <w:r w:rsidRPr="00AA537D">
        <w:rPr>
          <w:rFonts w:hint="cs"/>
          <w:spacing w:val="0"/>
          <w:kern w:val="0"/>
          <w:rtl/>
        </w:rPr>
        <w:tab/>
        <w:t>تعليقات صاحبي الشكوى على المقبولية</w:t>
      </w:r>
    </w:p>
    <w:p w:rsidR="00FA6676" w:rsidRPr="00AA537D" w:rsidRDefault="00FA6676" w:rsidP="00AA537D">
      <w:pPr>
        <w:pStyle w:val="SingleTxtGA"/>
        <w:jc w:val="lowKashida"/>
        <w:rPr>
          <w:rFonts w:hint="cs"/>
          <w:spacing w:val="0"/>
          <w:kern w:val="0"/>
          <w:rtl/>
        </w:rPr>
      </w:pPr>
      <w:r w:rsidRPr="00AA537D">
        <w:rPr>
          <w:rFonts w:hint="cs"/>
          <w:spacing w:val="0"/>
          <w:kern w:val="0"/>
          <w:rtl/>
        </w:rPr>
        <w:t>5-1</w:t>
      </w:r>
      <w:r w:rsidRPr="00AA537D">
        <w:rPr>
          <w:rFonts w:hint="cs"/>
          <w:spacing w:val="0"/>
          <w:kern w:val="0"/>
          <w:rtl/>
        </w:rPr>
        <w:tab/>
        <w:t xml:space="preserve">في 6 آذار/مارس 2009، أعرب صاحبا الشكوى عن دهشتهما لإدعاء الدولة الطرف أنهما لم يستنفدا سبل الانتصاف المحلية على أساس أنهما تلقيا، قبل منحهما تدابير الحماية المؤقتة، عدة أوامر بالحضور لتنظيم ترحيلهما. وفي رأيهما أنهما استنفدا سبل الانتصاف المحلية لأن الدولة الطرف كانت مهيأة لاتخاذ الإجراءات اللازمة لترحيلهما. وأشارا إلى خطورة الوضع في أفغانستان. وأعربا لذلك عن دهشتهما لادعاء مجلس الهجرة، بعد إعادة النظر في مسألة تصاريح الإقامة، أن هناك جهة داخل بلدهما يمكن أن يلجآن إليها، لا سيما في بلد يعاني من مثل هذا القدر الكبير من العنف. </w:t>
      </w:r>
    </w:p>
    <w:p w:rsidR="00FA6676" w:rsidRPr="00AA537D" w:rsidRDefault="00FA6676" w:rsidP="00AA537D">
      <w:pPr>
        <w:pStyle w:val="SingleTxtGA"/>
        <w:jc w:val="lowKashida"/>
        <w:rPr>
          <w:rFonts w:hint="cs"/>
          <w:spacing w:val="0"/>
          <w:kern w:val="0"/>
          <w:rtl/>
        </w:rPr>
      </w:pPr>
      <w:r w:rsidRPr="00AA537D">
        <w:rPr>
          <w:rFonts w:hint="cs"/>
          <w:spacing w:val="0"/>
          <w:kern w:val="0"/>
          <w:rtl/>
        </w:rPr>
        <w:t>5-2</w:t>
      </w:r>
      <w:r w:rsidRPr="00AA537D">
        <w:rPr>
          <w:rFonts w:hint="cs"/>
          <w:spacing w:val="0"/>
          <w:kern w:val="0"/>
          <w:rtl/>
        </w:rPr>
        <w:tab/>
        <w:t>ويعتقد صاحبا الشكوى أن لهما الحق في الحياة بأمان في السويد بدلاً من ترحيلهما إلى بلد سبق أن تعرضا فيه للتعذيب والسجن، وتعرض فيه والدهما للاضطهاد والأعمال الانتقامية على أيدي أعدائه الذين يملكون زمام السلطة الآن في أفغانستان. ويؤكد صاحبا الشكوى أن اسمهما مدرج في "القائمة السوداء" في أفغانستان بسبب الأنشطة السابقة لوالدهما، التي أوضحتها والدتهما اللاجئة الآن في السويد بالتفصيل.</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ملاحظات الدولة الطرف بشأن المقبولية والأسس الموضوعية</w:t>
      </w:r>
    </w:p>
    <w:p w:rsidR="00FA6676" w:rsidRPr="00AA537D" w:rsidRDefault="00FA6676" w:rsidP="0050415C">
      <w:pPr>
        <w:pStyle w:val="SingleTxtGA"/>
        <w:jc w:val="lowKashida"/>
        <w:rPr>
          <w:rFonts w:hint="cs"/>
          <w:spacing w:val="0"/>
          <w:kern w:val="0"/>
          <w:rtl/>
        </w:rPr>
      </w:pPr>
      <w:r w:rsidRPr="00AA537D">
        <w:rPr>
          <w:rFonts w:hint="cs"/>
          <w:spacing w:val="0"/>
          <w:kern w:val="0"/>
          <w:rtl/>
        </w:rPr>
        <w:t>6-1</w:t>
      </w:r>
      <w:r w:rsidRPr="00AA537D">
        <w:rPr>
          <w:rFonts w:hint="cs"/>
          <w:spacing w:val="0"/>
          <w:kern w:val="0"/>
          <w:rtl/>
        </w:rPr>
        <w:tab/>
        <w:t>في 30 أيلول/سبتمبر 2009، قدمت الدولة الطرف ملاحظاتها بشأن المقبولية والأسس الموضوعية. وتضمنت هذه الملاحظات معلومات تفصيلية عن قوانين اللجوء السويدية ذات الصلة كما تضمنت المعلومات التالية المتعلقة بوقائع الحالة الخاصة بصاحبي الشكوى المستمدة أساساً من ملفات الموضوع في مجلس الهجرة السويدي ومحاكم الهجرة. وقد بُحثت طلبات اللجوء المقدمة من صاحبي الشكوى في إطار مجموعات عديدة من الإجراءات، بما في ذلك في إطار قانون الأجانب لعام 1989، والتعديلات المؤقتة التي أدخلت على قانون الأجانب لعام 1989. وعلاوة على ذلك، قدم صاحبا الشكوى في عدة مناسبات طلبات للحصول على تصاريح للإقامة الدائمة بموجب قانون الأجانب لعام</w:t>
      </w:r>
      <w:r w:rsidR="0050415C">
        <w:rPr>
          <w:rFonts w:hint="eastAsia"/>
          <w:spacing w:val="0"/>
          <w:kern w:val="0"/>
          <w:rtl/>
        </w:rPr>
        <w:t> </w:t>
      </w:r>
      <w:r w:rsidRPr="00AA537D">
        <w:rPr>
          <w:rFonts w:hint="cs"/>
          <w:spacing w:val="0"/>
          <w:kern w:val="0"/>
          <w:rtl/>
        </w:rPr>
        <w:t>2005، بدعوى وجود معلومات جديدة تشكل مانعاً دائماً لتنفيذ أوامر الطرد. ونظر مجلس الهجرة في هذه الطلبات، كما نظرت محكمة الهجرة في طلب مقدم من صاحب الشكوى الثاني، ولم توافق على إعادة النظر في القرار الصادر من مجلس الهجرة. وبعد الطلب الأخير، وافقت محكمة الهجرة على إعادة النظر في مسألة تصاريح الإقامة. وشرع مجلس الهجرة ومحكمة الهجرة بعد ذلك في إعادة النظر في هذه المسألة.</w:t>
      </w:r>
    </w:p>
    <w:p w:rsidR="00FA6676" w:rsidRPr="00AA537D" w:rsidRDefault="00FA6676" w:rsidP="00AA537D">
      <w:pPr>
        <w:pStyle w:val="SingleTxtGA"/>
        <w:jc w:val="lowKashida"/>
        <w:rPr>
          <w:rFonts w:hint="cs"/>
          <w:spacing w:val="0"/>
          <w:kern w:val="0"/>
          <w:rtl/>
        </w:rPr>
      </w:pPr>
      <w:r w:rsidRPr="00AA537D">
        <w:rPr>
          <w:rFonts w:hint="cs"/>
          <w:spacing w:val="0"/>
          <w:kern w:val="0"/>
          <w:rtl/>
        </w:rPr>
        <w:t>6-2</w:t>
      </w:r>
      <w:r w:rsidRPr="00AA537D">
        <w:rPr>
          <w:rFonts w:hint="cs"/>
          <w:spacing w:val="0"/>
          <w:kern w:val="0"/>
          <w:rtl/>
        </w:rPr>
        <w:tab/>
        <w:t xml:space="preserve">وصاحبا الشكوى شقيقان مولودان في عام 1981 (صاحب الشكوى الأول)، وعام 1980 (صاحب الشكوى الثاني). وكلاهما من مواطني أفغانستان. وقدم صاحبا الشكوى في 25 نيسان/أبريل 2001 طلبات إلى سفارة السويد في طهران للحصول على تصاريح للإقامة في السويد. وتستند الطلبات إلى إقامة والدتهما وثمانية من أقاربهما في السويد. ورفض مجلس الهجرة في 29 كانون الثاني/يناير 2002 هذه الطلبات. واستند قرار المجلس إلى أنه لم تكن هناك علاقة تبعية خاصة بين صاحبي الشكوى وأقاربهما عند انتقال هؤلاء الأقارب إلى السويد. ورفض مجلس طعون الأجانب الطعن المقدم في هذا القرار. </w:t>
      </w:r>
    </w:p>
    <w:p w:rsidR="00FA6676" w:rsidRPr="00AA537D" w:rsidRDefault="00FA6676" w:rsidP="00AA537D">
      <w:pPr>
        <w:pStyle w:val="SingleTxtGA"/>
        <w:jc w:val="lowKashida"/>
        <w:rPr>
          <w:rFonts w:hint="cs"/>
          <w:spacing w:val="0"/>
          <w:kern w:val="0"/>
          <w:rtl/>
        </w:rPr>
      </w:pPr>
      <w:r w:rsidRPr="00AA537D">
        <w:rPr>
          <w:rFonts w:hint="cs"/>
          <w:spacing w:val="0"/>
          <w:kern w:val="0"/>
          <w:rtl/>
        </w:rPr>
        <w:t>6-3</w:t>
      </w:r>
      <w:r w:rsidRPr="00AA537D">
        <w:rPr>
          <w:rFonts w:hint="cs"/>
          <w:spacing w:val="0"/>
          <w:kern w:val="0"/>
          <w:rtl/>
        </w:rPr>
        <w:tab/>
        <w:t>وفي تموز/يوليه 2003، قدم صاحبا الشكوى طلباً للحصول على تصريح للإقامة في السويد بهوية مزورة. وادعيا في الطلبين أنهما متزوجين من امرأتين تملكان تصريحاً للإقامة. وفي 18 حزيران/يونيه 2004، منحا تصريحاً مؤقتاً للإقامة لمدة ستة أشهر بهويتهما المزورة. ووصلا إلى السويد في 30 حزيران/يونيه 2004. وأشارت الدولة الطرف إلى أن صاحبي الشكوى ذكرا كذباً في شكواهما أنهما كشفا طوعياً عن هويتهما الحقيقية لمجلس الهجرة فور وصولهما إلى السويد. ولدى النظر في تجديد إقامتهما المؤقتة، تبين لمجلس الهجرة أنهما حصلا على تصريح الإقامة المؤقتة بناء على هوية مزورة وأن زوجتيهما المزعومتين أختاهما في الواقع. ولم يعترفا بذلك إلا عند مواجهتهما بهذه المعلومات في مجلس الهجرة. ونتيجة لذلك، اتخذ مجلس الهجرة الإجراءات اللازمة للأمر بترحيلهما إلى بلدهما الأصلي وانتدب محامياً لهما، كما قام بتسليمهما للشرطة.</w:t>
      </w:r>
    </w:p>
    <w:p w:rsidR="00FA6676" w:rsidRPr="00AA537D" w:rsidRDefault="00FA6676" w:rsidP="00AA537D">
      <w:pPr>
        <w:pStyle w:val="SingleTxtGA"/>
        <w:jc w:val="lowKashida"/>
        <w:rPr>
          <w:rFonts w:hint="cs"/>
          <w:spacing w:val="0"/>
          <w:kern w:val="0"/>
          <w:rtl/>
        </w:rPr>
      </w:pPr>
      <w:r w:rsidRPr="00AA537D">
        <w:rPr>
          <w:rFonts w:hint="cs"/>
          <w:spacing w:val="0"/>
          <w:kern w:val="0"/>
          <w:rtl/>
        </w:rPr>
        <w:t>6-4</w:t>
      </w:r>
      <w:r w:rsidRPr="00AA537D">
        <w:rPr>
          <w:rFonts w:hint="cs"/>
          <w:spacing w:val="0"/>
          <w:kern w:val="0"/>
          <w:rtl/>
        </w:rPr>
        <w:tab/>
        <w:t xml:space="preserve">وقدم صاحبا الشكوى طلبات للجوء في 7 حزيران/يونيه 2005. وأجريت مقابلات معهما في 14 كانون الأول/ديسمبر 2005 بحضور محاميهما ومترجم شفوي. وقال صاحب الشكوى الأول إنه ولد في جمهورية إيران الإسلامية ولكنه مواطن أفغاني. وقد عاش طوال حياته في إيران باستثناء بضع سنوات عاشها في باكستان. ولكونه أفغاني الجنسية، لم يتمكن من الحصول على تصريح للعمل في إيران، ولم يسمح له بالالتحاق بالمدارس. وفي إيران، أُلقي عليه القبض مرتين لعدم حصوله على تصريح للعمل. وفي كلتا المرتين أمضى بضعة أشهر في مخيم للاجئين في إيران حيث تعرض لسوء المعاملة، وفي كلتا المرتين أيضاً أُرسل إلى أفغانستان وأمضى بضعة أسابيع هناك. ولم تكن له مشاكل على الإطلاق مع السلطات الأفغانية. ولم يواجه عقبات في الدخول إلى البلد. والسؤال الوحيد الذي طرحه عليه الأفغان هو ما إذا كان أفغانياً وما إذا كان قادماً من إيران. ولا يمكنه الرجوع إلى إيران أو باكستان. ولا يمكنه الرجوع إلى أفغانستان لعدم وجود صلة بينه وبين هذا البلد. والسبب الذي دعاه إلى الذهاب إلى السويد هو أن عائلته موجودة هناك. </w:t>
      </w:r>
    </w:p>
    <w:p w:rsidR="00FA6676" w:rsidRPr="00147D8C" w:rsidRDefault="00FA6676" w:rsidP="00147D8C">
      <w:pPr>
        <w:pStyle w:val="SingleTxtGA"/>
        <w:jc w:val="lowKashida"/>
        <w:rPr>
          <w:rFonts w:hint="cs"/>
          <w:spacing w:val="0"/>
          <w:kern w:val="0"/>
          <w:rtl/>
        </w:rPr>
      </w:pPr>
      <w:r w:rsidRPr="00147D8C">
        <w:rPr>
          <w:rFonts w:hint="cs"/>
          <w:spacing w:val="0"/>
          <w:kern w:val="0"/>
          <w:rtl/>
        </w:rPr>
        <w:t>6-5</w:t>
      </w:r>
      <w:r w:rsidRPr="00147D8C">
        <w:rPr>
          <w:rFonts w:hint="cs"/>
          <w:spacing w:val="0"/>
          <w:kern w:val="0"/>
          <w:rtl/>
        </w:rPr>
        <w:tab/>
        <w:t>وقال صاحب الشكوى الثاني إنه ولد في أفغانستان ثم ترك أفغانستان وتوجه إلى جمهورية إيران الإسلامية مع أسرته عندما كان عمره ستة أشهر بسبب الحرب ضد الاتحاد السوفياتي. وقد عاش طوال حياته في إيران باستثناء ست سنوات عاشها في باكستان. وكان</w:t>
      </w:r>
      <w:r w:rsidR="00147D8C" w:rsidRPr="00147D8C">
        <w:rPr>
          <w:rFonts w:hint="eastAsia"/>
          <w:spacing w:val="0"/>
          <w:kern w:val="0"/>
          <w:rtl/>
        </w:rPr>
        <w:t> </w:t>
      </w:r>
      <w:r w:rsidRPr="00147D8C">
        <w:rPr>
          <w:rFonts w:hint="cs"/>
          <w:spacing w:val="0"/>
          <w:kern w:val="0"/>
          <w:rtl/>
        </w:rPr>
        <w:t>يملك تصريحاً للإقامة المؤقتة في إيران وكان يعمل هناك في ظروف قاسية. وأودعته السلطات الإيرانية هو وشقيقه في مخيم للاجئين وضربه أحد الجنود هناك على إحدى ركبتيه ويشعر بآلام منذ ذلك الحين في هذه الركبة. ولا يعرف أحداً في أفغانستان ولا يتحدث اللغة</w:t>
      </w:r>
      <w:r w:rsidR="00147D8C">
        <w:rPr>
          <w:rFonts w:hint="eastAsia"/>
          <w:spacing w:val="0"/>
          <w:kern w:val="0"/>
          <w:rtl/>
        </w:rPr>
        <w:t> </w:t>
      </w:r>
      <w:r w:rsidRPr="00147D8C">
        <w:rPr>
          <w:rFonts w:hint="cs"/>
          <w:spacing w:val="0"/>
          <w:kern w:val="0"/>
          <w:rtl/>
        </w:rPr>
        <w:t>الأفغانية. ولا</w:t>
      </w:r>
      <w:r w:rsidRPr="00147D8C">
        <w:rPr>
          <w:rFonts w:hint="eastAsia"/>
          <w:spacing w:val="0"/>
          <w:kern w:val="0"/>
          <w:rtl/>
        </w:rPr>
        <w:t> </w:t>
      </w:r>
      <w:r w:rsidRPr="00147D8C">
        <w:rPr>
          <w:rFonts w:hint="cs"/>
          <w:spacing w:val="0"/>
          <w:kern w:val="0"/>
          <w:rtl/>
        </w:rPr>
        <w:t>يمكنه العودة إلى إيران أو باكستان لأنه لا يمكنه الحصول على تصريح للإقامة. والسبب الذي دعاه إلى تقديم معلومات مزورة عن هويته هو رغبته في اللحاق بأسرته في السويد.</w:t>
      </w:r>
    </w:p>
    <w:p w:rsidR="00FA6676" w:rsidRPr="00AA537D" w:rsidRDefault="00FA6676" w:rsidP="00AA537D">
      <w:pPr>
        <w:pStyle w:val="SingleTxtGA"/>
        <w:jc w:val="lowKashida"/>
        <w:rPr>
          <w:rFonts w:hint="cs"/>
          <w:spacing w:val="0"/>
          <w:kern w:val="0"/>
          <w:rtl/>
        </w:rPr>
      </w:pPr>
      <w:r w:rsidRPr="00AA537D">
        <w:rPr>
          <w:rFonts w:hint="cs"/>
          <w:spacing w:val="0"/>
          <w:kern w:val="0"/>
          <w:rtl/>
        </w:rPr>
        <w:t>6-6</w:t>
      </w:r>
      <w:r w:rsidRPr="00AA537D">
        <w:rPr>
          <w:rFonts w:hint="cs"/>
          <w:spacing w:val="0"/>
          <w:kern w:val="0"/>
          <w:rtl/>
        </w:rPr>
        <w:tab/>
        <w:t>وفي 19 كانون الأول/ديسمبر 2005، رفض مجلس الهجرة الطلبات المقدمة من صاحبي الشكوى للحصول على تصاريح للإقامة، وتصاريح للعمل، ومركز اللاجئين، ووثائق للسفر، وأمر بترحيلهما إلى أفغانستان ما لم يوافق بلد آخر على استقبالهما. ومنعاً من العودة إلى السويد بدون إذن من مجلس الهجرة لمدة سنتين من تاريخ صدور هذا القرار. وذكر مجلس الهجرة ابتداءً أن طلبات صاحبي الشكوى ينبغي النظر إليها من حيث علاقتهما بأفغانستان لأنهما يحملان الجنسية الأفغانية. ولم ير مجلس الهجرة سبباً للنظر إليها من حيث علاقتهما بباكستان أو جمهورية إيران الإسلامية لأنهما حسبما يدعيان لا يملكان تصاريح للإقامة بهما. ووفقاً للمجلس، ليس الوضع العام في أفغانستان في حد ذاته سبباً كافياً لمنح تصاريح الإقامة في السويد. ولم يقدم صاحبا الشكوى أسباباً جوهرية لاعتبارهما من اللاجئين أو ملتمسي اللجوء أو دليلاً على حاجتهما إلى الحماية وبالتالي على أحقيتهما في اللجوء. كذلك، لم ير مجلس الهجرة سبباً لمخالفة التقييم الذي أجراه هذا المجلس ومجلس طعون الأجانب بشأن الطلبات المتعلقة بتصريح العمل على أساس علاقتهما بوالدتهما وأقاربهما الذين يعيشون في السويد. ولا توجد أسباب إنسانية أو أسباب أخرى تدعو إلى منح صاحبي الشكوى تصاريح الإقامة. وبالنظر إلى أنهما قدما نفسيهما بهوية مختلفة، واستخدما أوراقاً مزورة، وأخفيا معلومات هامة، وقدما أسباباً غير صحيحة للحصول على تصاريح للإقامة، كان قرار الترحيل مشفوعاً بمنعهما من العودة إلى السويد لمدة سنتين. وطعن صاحبا الشكوى في هذا القرار أمام مجلس طعون الأجانب. وفي 28 آذار/مارس 2006 قرر مجلس طعون الأجانب شطب هذه الدعوى من قائمة الطعون بعدما سحب صاحبا الشكوى هذا الطعن. وأكتسب قرار مجلس الهجرة نتيجة لذلك قوة القانون.</w:t>
      </w:r>
    </w:p>
    <w:p w:rsidR="00FA6676" w:rsidRPr="00AA537D" w:rsidRDefault="00FA6676" w:rsidP="00AA537D">
      <w:pPr>
        <w:pStyle w:val="SingleTxtGA"/>
        <w:jc w:val="lowKashida"/>
        <w:rPr>
          <w:rFonts w:hint="cs"/>
          <w:spacing w:val="0"/>
          <w:kern w:val="0"/>
          <w:rtl/>
        </w:rPr>
      </w:pPr>
      <w:r w:rsidRPr="00AA537D">
        <w:rPr>
          <w:rFonts w:hint="cs"/>
          <w:spacing w:val="0"/>
          <w:kern w:val="0"/>
          <w:rtl/>
        </w:rPr>
        <w:t>6-7</w:t>
      </w:r>
      <w:r w:rsidRPr="00AA537D">
        <w:rPr>
          <w:rFonts w:hint="cs"/>
          <w:spacing w:val="0"/>
          <w:kern w:val="0"/>
          <w:rtl/>
        </w:rPr>
        <w:tab/>
        <w:t>وفي 31 آذار/مارس 2006، قرر مجلس الهجرة منح صاحبي الشكوى تصاريح إقامة مؤقتة صالحة لمدة سنة واحدة وفقاً للتعديلات المؤقتة التي أدخلت على قانون الأجانب لعام</w:t>
      </w:r>
      <w:r w:rsidRPr="00AA537D">
        <w:rPr>
          <w:rFonts w:hint="eastAsia"/>
          <w:spacing w:val="0"/>
          <w:kern w:val="0"/>
          <w:rtl/>
        </w:rPr>
        <w:t> </w:t>
      </w:r>
      <w:r w:rsidRPr="00AA537D">
        <w:rPr>
          <w:rFonts w:hint="cs"/>
          <w:spacing w:val="0"/>
          <w:kern w:val="0"/>
          <w:rtl/>
        </w:rPr>
        <w:t>1989، على أساس أن السويد لا تقوم، نظراً للأوضاع السائدة في أفغانستان، بترحيل الأشخاص إلى ذلك البلد بالقوة. بيد أنه من المتوقع أن يتاح في المستقبل القريب ترحيل الرجال غير المتزوجين إلى ذلك البلد لوجود فرص جيدة لاندماجهم في المجتمع الأفغاني. وأشار المجلس أيضاً إلى أن مفوضية الأمم المتحدة السامية لحقوق الإنسان لم تعترض على ترحيل الأشخاص بالقوة إلى أفغانستان. ولذلك لم تلغ الأوامر الصادرة بترحيل صاحبي الشكوى إلى أفغانستان.</w:t>
      </w:r>
    </w:p>
    <w:p w:rsidR="00FA6676" w:rsidRPr="00AA537D" w:rsidRDefault="00FA6676" w:rsidP="00AA537D">
      <w:pPr>
        <w:pStyle w:val="SingleTxtGA"/>
        <w:jc w:val="lowKashida"/>
        <w:rPr>
          <w:rFonts w:hint="cs"/>
          <w:spacing w:val="0"/>
          <w:kern w:val="0"/>
          <w:rtl/>
        </w:rPr>
      </w:pPr>
      <w:r w:rsidRPr="00AA537D">
        <w:rPr>
          <w:rFonts w:hint="cs"/>
          <w:spacing w:val="0"/>
          <w:kern w:val="0"/>
          <w:rtl/>
        </w:rPr>
        <w:t>6-8</w:t>
      </w:r>
      <w:r w:rsidRPr="00AA537D">
        <w:rPr>
          <w:rFonts w:hint="cs"/>
          <w:spacing w:val="0"/>
          <w:kern w:val="0"/>
          <w:rtl/>
        </w:rPr>
        <w:tab/>
        <w:t>وقدم صاحبا الشكوى طلبات لتجديد تصاريح الإقامة المؤقتة. ورفض مجلس الهجرة هذه الطلبات في 30 أيار/مايو و13 حزيران/يونيه 2007، على التوالي. ورأى المجلس أن الظروف التي أشار إليها صاحبا الشكوى لا تعتبر عقبات دائمة لإنفاذ أوامر الطرد.</w:t>
      </w:r>
    </w:p>
    <w:p w:rsidR="00FA6676" w:rsidRPr="00AA537D" w:rsidRDefault="00FA6676" w:rsidP="00755AEC">
      <w:pPr>
        <w:pStyle w:val="SingleTxtGA"/>
        <w:spacing w:line="374" w:lineRule="exact"/>
        <w:jc w:val="lowKashida"/>
        <w:rPr>
          <w:rFonts w:hint="cs"/>
          <w:spacing w:val="0"/>
          <w:kern w:val="0"/>
          <w:rtl/>
        </w:rPr>
      </w:pPr>
      <w:r w:rsidRPr="00AA537D">
        <w:rPr>
          <w:rFonts w:hint="cs"/>
          <w:spacing w:val="0"/>
          <w:kern w:val="0"/>
          <w:rtl/>
        </w:rPr>
        <w:t>6-9</w:t>
      </w:r>
      <w:r w:rsidRPr="00AA537D">
        <w:rPr>
          <w:rFonts w:hint="cs"/>
          <w:spacing w:val="0"/>
          <w:kern w:val="0"/>
          <w:rtl/>
        </w:rPr>
        <w:tab/>
        <w:t>وطلب صاحب الشكوى الأول في 14 حزيران/يونيه 2007 منحه تصريحاً للإقامة على أساس أنه استقر في السويد وأن أسرته بالكامل موجودة هناك. وقال إنه من الشيعة وإنه معرض بالتالي للخطر في أفغانستان. وعند عودته، سيضطر إلى الانضمام إلى الجيش بالقوة. وفي 21 حزيران/يونيه 2007، رفض مجلس الهجرة هذا الطلب. وطعن صاحب الشكوى الأول في هذا القرار أمام محكمة الهجرة. ورفضت محكمة الهجرة هذا الطعن في 6 تموز/ يوليه</w:t>
      </w:r>
      <w:r w:rsidRPr="00AA537D">
        <w:rPr>
          <w:rFonts w:hint="eastAsia"/>
          <w:spacing w:val="0"/>
          <w:kern w:val="0"/>
          <w:rtl/>
        </w:rPr>
        <w:t> </w:t>
      </w:r>
      <w:r w:rsidRPr="00AA537D">
        <w:rPr>
          <w:rFonts w:hint="cs"/>
          <w:spacing w:val="0"/>
          <w:kern w:val="0"/>
          <w:rtl/>
        </w:rPr>
        <w:t>2007 على أساس أن الظروف الخاصة لصاحب الطعن بُحثت من قبل، وفيما يتعلق بالحالة في أفغانستان، لم يقدم صاحب الطعن أي دليل على وجود ظروف جديدة من الممكن أن تعتبر عقبات دائمة لإنفاذ أمر الطرد.</w:t>
      </w:r>
    </w:p>
    <w:p w:rsidR="00FA6676" w:rsidRPr="00147D8C" w:rsidRDefault="00FA6676" w:rsidP="00755AEC">
      <w:pPr>
        <w:pStyle w:val="SingleTxtGA"/>
        <w:spacing w:line="374" w:lineRule="exact"/>
        <w:jc w:val="lowKashida"/>
        <w:rPr>
          <w:rFonts w:hint="cs"/>
          <w:spacing w:val="-2"/>
          <w:kern w:val="0"/>
          <w:rtl/>
        </w:rPr>
      </w:pPr>
      <w:r w:rsidRPr="00147D8C">
        <w:rPr>
          <w:rFonts w:hint="cs"/>
          <w:spacing w:val="-2"/>
          <w:kern w:val="0"/>
          <w:rtl/>
        </w:rPr>
        <w:t>6-10</w:t>
      </w:r>
      <w:r w:rsidRPr="00147D8C">
        <w:rPr>
          <w:rFonts w:hint="cs"/>
          <w:spacing w:val="-2"/>
          <w:kern w:val="0"/>
          <w:rtl/>
        </w:rPr>
        <w:tab/>
        <w:t>وفي طلبات لاحقة، طلب صاحبا الشكوى، من خلال محاميهما، منحهما تصاريح إقامة للأسباب المذكورة في طلباتهما السابقة ولأنهما قادمان من قندهار، وهو مكان خطير للغاية. وهناك أيضاً احتمال واضح لحملهما على أداء الخدمة العسكرية أو الانضمام إلى قوات الميليشيا بالقوة. وقالا إن والدتهما تعاني من خرف الشيخوخة بسبب المشاكل التي يواجهانها في الحصول على تصريح الإقامة. وأضاف صاحب الشكوى الثاني أنه أجريت له عملية جراحية في ركبته وأنه لم يشف تماماً بعد. وسيلزم على الأرجح جراحة أخرى لا يمكن إجراؤها في أفغانستان. ورفض مجلس الهجرة هذا الطلب في 25 أيلول/سبتمبر 2007.</w:t>
      </w:r>
    </w:p>
    <w:p w:rsidR="00FA6676" w:rsidRPr="00AA537D" w:rsidRDefault="00FA6676" w:rsidP="00755AEC">
      <w:pPr>
        <w:pStyle w:val="SingleTxtGA"/>
        <w:spacing w:line="374" w:lineRule="exact"/>
        <w:jc w:val="lowKashida"/>
        <w:rPr>
          <w:rFonts w:hint="cs"/>
          <w:spacing w:val="0"/>
          <w:kern w:val="0"/>
          <w:rtl/>
        </w:rPr>
      </w:pPr>
      <w:r w:rsidRPr="00AA537D">
        <w:rPr>
          <w:rFonts w:hint="cs"/>
          <w:spacing w:val="0"/>
          <w:kern w:val="0"/>
          <w:rtl/>
        </w:rPr>
        <w:t>6-11</w:t>
      </w:r>
      <w:r w:rsidRPr="00AA537D">
        <w:rPr>
          <w:rFonts w:hint="cs"/>
          <w:spacing w:val="0"/>
          <w:kern w:val="0"/>
          <w:rtl/>
        </w:rPr>
        <w:tab/>
        <w:t>وفي الطلبات المقدمة في 18 كانون الثاني/يناير 2008، كرر صاحبا الشكوى الادعاءات السابقة وأضافا أن صاحب الشكوى الثاني يعاني من الاكتئاب على النحو الموضح في الشهادة الطبية المرفقة بالطلبات. وأشارا أيضاً إلى تكيفهما مع الحياة في السويد وإلى الوضع السائد في أفغانستان وأكدا أنهما لن يسمح لهما بالدخول إلى أفغانستان في حالة تنفيذ الأمر الصادر بطردهما. وفي 30 كانون الثاني/يناير 2008، رفض مجلس الهجرة الطلبات المقدمة من صاحبي الشكوى وقرر عدم النظر فيها مرة أخرى. ولاحظ مجلس الهجرة أن مجال الأخذ بالموانع الطبية أو التكيف مع الحياة في السويد ضيق للغاية وينطبق على حالات استثنائية فقط. ورأى المجلس أن العودة إلى إقليم قندهار في جنوب أفغانستان ليس ممكناً في الوقت الحالي ولكن ليس هناك ما يحول دون مطالبة صاحبي الشكوى بالبحث عن جهة داخلية بديلة، في كابول مثلاً. وعلى الرغم من الصعوبات القائمة في كابول فيما يتعلق بالمعيشة والإسكان، فإنه ليس هناك ما يدل على أنهما لن يسمح لهما بالدخول إلى أفغانستان أو بالعمل في كابول. وطعن صاحبا الشكوى في هذا القرار أمام محكمة الهجرة ودفعا بوجود عقبة سياسية تحول دون إنفاذ أوامر الطرد وتتمثل في القرار العام الصادر من مجلس الهجرة بعدم طرد الأشخاص الذين ينتمون إلى جنوب أفغانستان.</w:t>
      </w:r>
    </w:p>
    <w:p w:rsidR="00FA6676" w:rsidRPr="00AA537D" w:rsidRDefault="00FA6676" w:rsidP="00755AEC">
      <w:pPr>
        <w:pStyle w:val="SingleTxtGA"/>
        <w:spacing w:line="374" w:lineRule="exact"/>
        <w:jc w:val="lowKashida"/>
        <w:rPr>
          <w:rFonts w:hint="cs"/>
          <w:spacing w:val="0"/>
          <w:kern w:val="0"/>
          <w:rtl/>
        </w:rPr>
      </w:pPr>
      <w:r w:rsidRPr="00AA537D">
        <w:rPr>
          <w:rFonts w:hint="cs"/>
          <w:spacing w:val="0"/>
          <w:kern w:val="0"/>
          <w:rtl/>
        </w:rPr>
        <w:t>6-12</w:t>
      </w:r>
      <w:r w:rsidRPr="00AA537D">
        <w:rPr>
          <w:rFonts w:hint="cs"/>
          <w:spacing w:val="0"/>
          <w:kern w:val="0"/>
          <w:rtl/>
        </w:rPr>
        <w:tab/>
        <w:t>وفي 6 آذار/مارس 2008، قررت محكمة الهجرة الإذن بإعادة النظر في موضوع تصاريح الإقامة وأحالت الموضع بالتالي إلى مجلس الهجرة. ورأت المحكمة أن الحالة في إقليم قندهار تشكل عقبة في إنفاذ أوامر الطرد إلى هذا الإقليم بالتحديد. وفي 13 آذار/ مارس</w:t>
      </w:r>
      <w:r w:rsidRPr="00AA537D">
        <w:rPr>
          <w:rFonts w:hint="eastAsia"/>
          <w:spacing w:val="0"/>
          <w:kern w:val="0"/>
          <w:rtl/>
        </w:rPr>
        <w:t> </w:t>
      </w:r>
      <w:r w:rsidRPr="00AA537D">
        <w:rPr>
          <w:rFonts w:hint="cs"/>
          <w:spacing w:val="0"/>
          <w:kern w:val="0"/>
          <w:rtl/>
        </w:rPr>
        <w:t>2008، قرر مجلس الهجرة وقف إنفاذ أوامر الطرد المتعلقة بصاحبي الشكوى.</w:t>
      </w:r>
    </w:p>
    <w:p w:rsidR="00FA6676" w:rsidRPr="00AA537D" w:rsidRDefault="00FA6676" w:rsidP="0084103D">
      <w:pPr>
        <w:pStyle w:val="SingleTxtGA"/>
        <w:spacing w:line="374" w:lineRule="exact"/>
        <w:jc w:val="lowKashida"/>
        <w:rPr>
          <w:rFonts w:hint="cs"/>
          <w:spacing w:val="0"/>
          <w:kern w:val="0"/>
          <w:rtl/>
        </w:rPr>
      </w:pPr>
      <w:r w:rsidRPr="00AA537D">
        <w:rPr>
          <w:rFonts w:hint="cs"/>
          <w:spacing w:val="0"/>
          <w:kern w:val="0"/>
          <w:rtl/>
        </w:rPr>
        <w:t>6-13</w:t>
      </w:r>
      <w:r w:rsidRPr="00AA537D">
        <w:rPr>
          <w:rFonts w:hint="cs"/>
          <w:spacing w:val="0"/>
          <w:kern w:val="0"/>
          <w:rtl/>
        </w:rPr>
        <w:tab/>
        <w:t>وأجرى مجلس الهجرة مقابلة إضافية مع صاحبي الشكوى في 3 أيلول/ سبتمبر</w:t>
      </w:r>
      <w:r w:rsidRPr="00AA537D">
        <w:rPr>
          <w:rFonts w:hint="eastAsia"/>
          <w:spacing w:val="0"/>
          <w:kern w:val="0"/>
          <w:rtl/>
        </w:rPr>
        <w:t> </w:t>
      </w:r>
      <w:r w:rsidRPr="00AA537D">
        <w:rPr>
          <w:rFonts w:hint="cs"/>
          <w:spacing w:val="0"/>
          <w:kern w:val="0"/>
          <w:rtl/>
        </w:rPr>
        <w:t>2008. وادعى صاحبا الشكوى أنهما لا يعرفان أحداً في أفغانستان، ولا يعرفان مكاناً للذهاب إليه في حالة العودة. وقالا إنهما سيتعرضان للجوع، وسيكونان بدون عمل وبدون مكان للعيش فيه. وللبقاء على قيد الحياة، قد يضطرا إلى الاشتراك في النزاع المسلح أو</w:t>
      </w:r>
      <w:r w:rsidR="00755AEC">
        <w:rPr>
          <w:rFonts w:hint="eastAsia"/>
          <w:spacing w:val="0"/>
          <w:kern w:val="0"/>
          <w:rtl/>
        </w:rPr>
        <w:t> </w:t>
      </w:r>
      <w:r w:rsidRPr="00AA537D">
        <w:rPr>
          <w:rFonts w:hint="cs"/>
          <w:spacing w:val="0"/>
          <w:kern w:val="0"/>
          <w:rtl/>
        </w:rPr>
        <w:t>بيع المخدرات. وقالا أيضاً إنهما لا يتحدثان اللغة الأفغانية ولكن بالداري، وهي لهجة مستخدمة في جمهورية إيران الإسلامية. ونتيجة لذلك، سيتعرضان للقتل. وقد تقتلهما حركة طالبان أيضاً لأنهما من الشيعة. وقالا إن والدتهما مريضة وستكون حياتها في خطر كبير إذا تم ترحيلهما إلى أفغانستان. وأضاف صاحب الشكوى الثاني أنه ليس على ما يرام، ولا ينام بالقدر الكافي، ويشعر بالإجهاد.</w:t>
      </w:r>
    </w:p>
    <w:p w:rsidR="00FA6676" w:rsidRPr="00FB3C43" w:rsidRDefault="00FA6676" w:rsidP="0084103D">
      <w:pPr>
        <w:pStyle w:val="SingleTxtGA"/>
        <w:spacing w:line="374" w:lineRule="exact"/>
        <w:jc w:val="lowKashida"/>
        <w:rPr>
          <w:rFonts w:hint="cs"/>
          <w:spacing w:val="-2"/>
          <w:kern w:val="0"/>
          <w:rtl/>
        </w:rPr>
      </w:pPr>
      <w:r w:rsidRPr="00FB3C43">
        <w:rPr>
          <w:rFonts w:hint="cs"/>
          <w:spacing w:val="-2"/>
          <w:kern w:val="0"/>
          <w:rtl/>
        </w:rPr>
        <w:t>6-14</w:t>
      </w:r>
      <w:r w:rsidRPr="00FB3C43">
        <w:rPr>
          <w:rFonts w:hint="cs"/>
          <w:spacing w:val="-2"/>
          <w:kern w:val="0"/>
          <w:rtl/>
        </w:rPr>
        <w:tab/>
        <w:t>وفي 3 تشرين الأول/أكتوبر 2008، رفض مجلس الهجرة الطلبات المقدمة من صاحبي الشكوى للحصول على تصاريح الإقامة. واستند المجلس في قراره إلى حكم صادر من محكمة الاستئناف المعنية بشؤون الهجرة في قضية مماثلة مفاده أن مجلس الهجرة هو الذي يحدد مدى استصواب تطبيق مفهوم الجهة الداخلية البديلة. والشرط المسبق لتطبيق هذا المفهوم هو استقبال الأجنبي في بلد العودة والسماح له بالحصول على عمل فيه. ولا يكون تطبيق المفهوم مستصوباً إذا كان سيؤدي إلى إرهاق الأجنبي بشكل مفرط. ويتم تحديد ما سلف بتحليل كل حالة على حدة. ولا ينبغي النظر إلى الحالة العامة في البلد فحسب، ولكن ينبغي النظر أيضاً إلى إمكانية استقرار الأجنبي في المكان الجديد الذي ليست له شبكة اجتماعية فيه. وقد يؤخذ نوع الجنس والسن والحالة الصحية في الاعتبار عند القيام بهذا التحديد. ورأت محكمة الاستئناف المعنية بشؤون الهجرة أن الحالة في كابول ليست سيئة بالقدر الذي يمكن معه القول بأن الشخص المعني سيكون معرضاً لضرر جسيم بسبب النزاع المسلح الداخلي أو نزاعات حادة أخرى. والحالة الأمنية في كابول أفضل بكثير من المناطق الريفية، أساساً لوجود قوة المساعدة الأمنية الدولية بها. وأنشئت عدة منظمات إنسانية وطنية ودولية فيها. وعقدت الحكومة السويدية والحكومة الأفغانية ومفوضية الأمم المتحدة لشؤون اللاجئين اتفاقاً لعودة المواطنين الأفغان. ووفقاً لهذا الاتفاق، يتلقى كل من يعود طوعاً إلى أفغانستان إعانة مالية عند وصوله إلى كابول. وبوضع ما سلف في الاعتبار، خلص مجلس الهجرة إلى أنه لا يمكن القول بأن صاحبي الشكوى سيكونان في خطر التعرض لإرهاق مفرط إذا عادا إلى أفغانستان. ولكونهما من الرجال، يمكنهما الانتقال بحرية داخل البلد ويمكنها اختيار مكان غير إقليم قندهار للإقامة فيه. وليس هناك ما يدعو إلى الاعتقاد بأنهما لن يتم قبولهما في أفغانستان أو أنهما سيطردان من البلد. وليس من المحتمل أن يواجها صعوبات في الحصول على وثائق للهوية. وأضاف المجلس أن المجال ضيق لمراعاة الحالة الصحية للأجنبي أو تكيفه مع السويد عند النظر في العقبات التي قد تحول دون إنفاذ أمر الطرد الذي اكتسب قوة القانون. ولذلك خلص المجلس إلى أن العقبات التي أشار إليها صاحبا الشكوى ليست عقبات دائمة وأن هناك مجال لإيجاد جهة داخلية بديلة. ولم</w:t>
      </w:r>
      <w:r w:rsidR="00FB3C43">
        <w:rPr>
          <w:rFonts w:hint="eastAsia"/>
          <w:spacing w:val="-2"/>
          <w:kern w:val="0"/>
          <w:rtl/>
        </w:rPr>
        <w:t> </w:t>
      </w:r>
      <w:r w:rsidRPr="00FB3C43">
        <w:rPr>
          <w:rFonts w:hint="cs"/>
          <w:spacing w:val="-2"/>
          <w:kern w:val="0"/>
          <w:rtl/>
        </w:rPr>
        <w:t>يقدم صاحبا الشكوى سبباً حقيقياً يدعو إلى الاعتقاد بأنهما سيعاملان كلاجئين أو أجانب أو أنهما في حاجة نتيجة لذلك إلى الحماية ويستحقان بالتالي اللجوء.</w:t>
      </w:r>
    </w:p>
    <w:p w:rsidR="00FA6676" w:rsidRPr="00AA537D" w:rsidRDefault="00FA6676" w:rsidP="00AA537D">
      <w:pPr>
        <w:pStyle w:val="SingleTxtGA"/>
        <w:jc w:val="lowKashida"/>
        <w:rPr>
          <w:rFonts w:hint="cs"/>
          <w:spacing w:val="0"/>
          <w:kern w:val="0"/>
          <w:rtl/>
        </w:rPr>
      </w:pPr>
      <w:r w:rsidRPr="00AA537D">
        <w:rPr>
          <w:rFonts w:hint="cs"/>
          <w:spacing w:val="0"/>
          <w:kern w:val="0"/>
          <w:rtl/>
        </w:rPr>
        <w:t>6-15</w:t>
      </w:r>
      <w:r w:rsidRPr="00AA537D">
        <w:rPr>
          <w:rFonts w:hint="cs"/>
          <w:spacing w:val="0"/>
          <w:kern w:val="0"/>
          <w:rtl/>
        </w:rPr>
        <w:tab/>
        <w:t>وطعن صاحبا الشكوى في قرار محكمة الهجرة. وكررا ادعاءاتهما السابقة وأضافا أنه لا توجد جهة داخلية بديلة. وأشارا إلى أنه وفقاً لتقرير صادر عن مفوضية الأمم المتحدة لشؤون اللاجئين في 5 تشرين الأول/أكتوبر 2008، لم يعد من المستصوب إرسال الناس إلى كابول، لا سيما الذين لا صلة لهم بكابول؛ وأن حركة طالبان على بعد بضعة كيلومترات فقط من كابول؛ وأن ترحيلهما سيشكل كارثة شخصية لوالدتهما. ورفضت محكمة الهجرة طعنهما في 3 كانون الأول/ديسمبر 2008. وقالت المحكمة إنه ليس هناك مجال للنظر، عند تقدير العقبات الدائمة، في الجوانب الإنسانية مثل صحة والدة صاحبي الشكوى أو تكيفهما مع السويد. وفيما يتعلق بالجهة الداخلية البديلة، استندت المحكمة إلى حكم صادر عن محكمة الاستئناف المعنية بشؤون الهجرة في قضية مماثلة (انظر الفقرة 6-14، أعلاه) وأشارت إلى أن صاحبي الشكوى في مقتبل العمر، بصحة جيدة، يمكنهما العمل، وكابول جهة داخلية بديلة معقولة. ولم يطعن صاحبا الشكوى في حكم محكمة الهجرة ونتيجة لذلك اكتسب الحكم قوة القانون في 29 كانون الأول/ديسمبر 2008.</w:t>
      </w:r>
    </w:p>
    <w:p w:rsidR="00FA6676" w:rsidRPr="00AA537D" w:rsidRDefault="00FA6676" w:rsidP="00AA537D">
      <w:pPr>
        <w:pStyle w:val="SingleTxtGA"/>
        <w:jc w:val="lowKashida"/>
        <w:rPr>
          <w:rFonts w:hint="cs"/>
          <w:spacing w:val="0"/>
          <w:kern w:val="0"/>
          <w:rtl/>
        </w:rPr>
      </w:pPr>
      <w:r w:rsidRPr="00AA537D">
        <w:rPr>
          <w:rFonts w:hint="cs"/>
          <w:spacing w:val="0"/>
          <w:kern w:val="0"/>
          <w:rtl/>
        </w:rPr>
        <w:t>6-16</w:t>
      </w:r>
      <w:r w:rsidRPr="00AA537D">
        <w:rPr>
          <w:rFonts w:hint="cs"/>
          <w:spacing w:val="0"/>
          <w:kern w:val="0"/>
          <w:rtl/>
        </w:rPr>
        <w:tab/>
        <w:t xml:space="preserve">وقدم صاحبا الشكوى بلاغهما إلى اللجنة في تشرين الثاني/نوفمبر 2008، أي قبل أن تصدر محكمة الهجرة أحكامها. وفي 26 كانون الثاني/يناير 2009، قرر مجلس الهجرة وقف تنفيذ أوامر الطرد المتعلقة بصاحبي الشكوى، بناء على طلب اللجنة. </w:t>
      </w:r>
    </w:p>
    <w:p w:rsidR="00FA6676" w:rsidRPr="00AA537D" w:rsidRDefault="00FA6676" w:rsidP="00AA537D">
      <w:pPr>
        <w:pStyle w:val="SingleTxtGA"/>
        <w:jc w:val="lowKashida"/>
        <w:rPr>
          <w:rFonts w:hint="cs"/>
          <w:spacing w:val="0"/>
          <w:kern w:val="0"/>
          <w:rtl/>
        </w:rPr>
      </w:pPr>
      <w:r w:rsidRPr="00AA537D">
        <w:rPr>
          <w:rFonts w:hint="cs"/>
          <w:spacing w:val="0"/>
          <w:kern w:val="0"/>
          <w:rtl/>
        </w:rPr>
        <w:t>6-17</w:t>
      </w:r>
      <w:r w:rsidRPr="00AA537D">
        <w:rPr>
          <w:rFonts w:hint="cs"/>
          <w:spacing w:val="0"/>
          <w:kern w:val="0"/>
          <w:rtl/>
        </w:rPr>
        <w:tab/>
        <w:t xml:space="preserve">وفيما يتعلق بمقبولية البلاغ، تدفع الدولة الطرف بأن مبلغ علمها هو أن </w:t>
      </w:r>
      <w:r w:rsidRPr="00AA537D">
        <w:rPr>
          <w:rFonts w:hint="cs"/>
          <w:spacing w:val="0"/>
          <w:kern w:val="0"/>
          <w:rtl/>
          <w:lang w:val="fr-CH"/>
        </w:rPr>
        <w:t>هذه المسألة لم تبحث وليست قيد البحث من قبل هيئة تحقيق أو تسوية دولية أخرى. وفيما يتعلق باستنفاد جميع سبل الانتصاف المحلية، على النحو المطلوب في</w:t>
      </w:r>
      <w:r w:rsidRPr="00AA537D">
        <w:rPr>
          <w:spacing w:val="0"/>
          <w:kern w:val="0"/>
          <w:rtl/>
          <w:lang w:val="fr-CH"/>
        </w:rPr>
        <w:t xml:space="preserve"> </w:t>
      </w:r>
      <w:r w:rsidRPr="00AA537D">
        <w:rPr>
          <w:rFonts w:hint="cs"/>
          <w:spacing w:val="0"/>
          <w:kern w:val="0"/>
          <w:rtl/>
          <w:lang w:val="fr-CH"/>
        </w:rPr>
        <w:t>ا</w:t>
      </w:r>
      <w:r w:rsidRPr="00AA537D">
        <w:rPr>
          <w:spacing w:val="0"/>
          <w:kern w:val="0"/>
          <w:rtl/>
          <w:lang w:val="fr-CH"/>
        </w:rPr>
        <w:t>لفقرة 5(ب) من المادة 22 من الاتفاقية</w:t>
      </w:r>
      <w:r w:rsidRPr="00AA537D">
        <w:rPr>
          <w:rFonts w:hint="cs"/>
          <w:spacing w:val="0"/>
          <w:kern w:val="0"/>
          <w:rtl/>
          <w:lang w:val="fr-CH"/>
        </w:rPr>
        <w:t xml:space="preserve">، تؤكد الدولة الطرف أن صاحبي الشكوى لم يستنفدا جميع سبل الانتصاف المحلية المتاحة لهما وأن الشكوى غير مقبولة بالتالي لعدم استنفاد سبل الانتصاف المحلية. وبغض النظر عن البحث الذي تقوم به اللجنة بموجب الفقرتين 5(أ) و(ب) من المادة 22 من الاتفاقية، </w:t>
      </w:r>
      <w:r w:rsidRPr="00AA537D">
        <w:rPr>
          <w:rFonts w:hint="cs"/>
          <w:spacing w:val="0"/>
          <w:kern w:val="0"/>
          <w:rtl/>
        </w:rPr>
        <w:t>تؤكد الدولة الطرف أن الأدلة المقدمة من صاحبي الشكوى لتأييد ادعاءهما بأنهما معرضان للمعاملة بطريقة مخالفة للاتفاقية لا ترقى إلى مستوى الأدلة المطلوبة لأغراض المقبولية وأن من الواضح أن البلاغ المقدم من صاحبي الشكوى غير مدعم بأدلة كافية وغير مقبول بموجب الفقرة 2 من المادة 22 من الاتفاقية</w:t>
      </w:r>
      <w:r w:rsidRPr="00AA537D">
        <w:rPr>
          <w:spacing w:val="0"/>
          <w:kern w:val="0"/>
          <w:vertAlign w:val="superscript"/>
          <w:rtl/>
        </w:rPr>
        <w:t>(</w:t>
      </w:r>
      <w:r w:rsidRPr="00AA537D">
        <w:rPr>
          <w:rStyle w:val="FootnoteReference"/>
          <w:spacing w:val="0"/>
          <w:rtl/>
        </w:rPr>
        <w:footnoteReference w:id="447"/>
      </w:r>
      <w:r w:rsidRPr="00AA537D">
        <w:rPr>
          <w:spacing w:val="0"/>
          <w:kern w:val="0"/>
          <w:vertAlign w:val="superscript"/>
          <w:rtl/>
        </w:rPr>
        <w:t>)</w:t>
      </w:r>
      <w:r w:rsidRPr="00AA537D">
        <w:rPr>
          <w:rFonts w:hint="cs"/>
          <w:spacing w:val="0"/>
          <w:kern w:val="0"/>
          <w:rtl/>
        </w:rPr>
        <w:t>.</w:t>
      </w:r>
    </w:p>
    <w:p w:rsidR="00FA6676" w:rsidRPr="00AA537D" w:rsidRDefault="00FA6676" w:rsidP="00721A9C">
      <w:pPr>
        <w:pStyle w:val="SingleTxtGA"/>
        <w:jc w:val="lowKashida"/>
        <w:rPr>
          <w:rFonts w:hint="cs"/>
          <w:spacing w:val="0"/>
          <w:kern w:val="0"/>
          <w:rtl/>
        </w:rPr>
      </w:pPr>
      <w:r w:rsidRPr="00AA537D">
        <w:rPr>
          <w:rFonts w:hint="cs"/>
          <w:spacing w:val="0"/>
          <w:kern w:val="0"/>
          <w:rtl/>
        </w:rPr>
        <w:t>6-18</w:t>
      </w:r>
      <w:r w:rsidRPr="00AA537D">
        <w:rPr>
          <w:rFonts w:hint="cs"/>
          <w:spacing w:val="0"/>
          <w:kern w:val="0"/>
          <w:rtl/>
        </w:rPr>
        <w:tab/>
        <w:t>وفيما يتعلق بالأسس الموضوعية، فإن المسألة المعروضة على اللجنة، إذا خلصت إلى مقبولية البلاغ، تتمثل فيما إذا كانت إعادة صاحبي الشكوى قسراً إلى أفغانستان تشكل انتهاكاً لالتزام الدولة الطرف بموجب المادة 3 من الاتفاقية بعدم طرد أي شخص أو إعادته إلى دولة أخرى إذا كانت هناك أسباب حقيقية تدعو إلى الاعتقاد بأنه سيكون في خطر التعرض للتعذيب. وتذكّر الدولة الطرف بأنه عند تقييم ما إذا كانت إعادة الشخص قسراً إلى بلد آخر تشكل انتهاكاً للمادة 3 من الاتفاقية، يجب على اللجنة أن تأخذ في الحسبان جميع الاعتبارات ذات الصلة، بما في ذلك وجود نمط ثابت من الانتهاكات الجسيمة أو</w:t>
      </w:r>
      <w:r w:rsidR="00721A9C">
        <w:rPr>
          <w:rFonts w:hint="eastAsia"/>
          <w:spacing w:val="0"/>
          <w:kern w:val="0"/>
          <w:rtl/>
        </w:rPr>
        <w:t> </w:t>
      </w:r>
      <w:r w:rsidRPr="00AA537D">
        <w:rPr>
          <w:rFonts w:hint="cs"/>
          <w:spacing w:val="0"/>
          <w:kern w:val="0"/>
          <w:rtl/>
        </w:rPr>
        <w:t xml:space="preserve">الصارخة أو الجماعية لحقوق الإنسان في ذلك البلد. بيد أن اللجنة أكدت مراراً أن الهدف من التقييم هو معرفة ما إذا كان الشخص المعني سيواجه شخصياً خطر التعرض للتعذيب في البلد الذي سيُعاد إليه. ولذلك فإن وجود </w:t>
      </w:r>
      <w:r w:rsidRPr="00AA537D">
        <w:rPr>
          <w:spacing w:val="0"/>
          <w:kern w:val="0"/>
          <w:rtl/>
        </w:rPr>
        <w:t xml:space="preserve">نمط </w:t>
      </w:r>
      <w:r w:rsidRPr="00AA537D">
        <w:rPr>
          <w:rFonts w:hint="cs"/>
          <w:spacing w:val="0"/>
          <w:kern w:val="0"/>
          <w:rtl/>
        </w:rPr>
        <w:t>ثابت</w:t>
      </w:r>
      <w:r w:rsidRPr="00AA537D">
        <w:rPr>
          <w:spacing w:val="0"/>
          <w:kern w:val="0"/>
          <w:rtl/>
        </w:rPr>
        <w:t xml:space="preserve"> من الانتهاكات الخطيرة أو الصارخة </w:t>
      </w:r>
      <w:r w:rsidRPr="00AA537D">
        <w:rPr>
          <w:rFonts w:hint="cs"/>
          <w:spacing w:val="0"/>
          <w:kern w:val="0"/>
          <w:rtl/>
        </w:rPr>
        <w:t>أو</w:t>
      </w:r>
      <w:r w:rsidR="00FB3C43">
        <w:rPr>
          <w:rFonts w:hint="eastAsia"/>
          <w:spacing w:val="0"/>
          <w:kern w:val="0"/>
          <w:rtl/>
        </w:rPr>
        <w:t> </w:t>
      </w:r>
      <w:r w:rsidRPr="00AA537D">
        <w:rPr>
          <w:rFonts w:hint="cs"/>
          <w:spacing w:val="0"/>
          <w:kern w:val="0"/>
          <w:rtl/>
        </w:rPr>
        <w:t xml:space="preserve">الجماعية لحقوق </w:t>
      </w:r>
      <w:r w:rsidRPr="00AA537D">
        <w:rPr>
          <w:spacing w:val="0"/>
          <w:kern w:val="0"/>
          <w:rtl/>
        </w:rPr>
        <w:t>الإنسان</w:t>
      </w:r>
      <w:r w:rsidRPr="00AA537D">
        <w:rPr>
          <w:rFonts w:hint="cs"/>
          <w:spacing w:val="0"/>
          <w:kern w:val="0"/>
          <w:rtl/>
        </w:rPr>
        <w:t xml:space="preserve"> في هذا البلد ليس سبباً كافياً للقول بأن الشخص سيكون معرضاً للتعذيب عند عودته إلى هذا البلد. ولثبوت انتهاك المادة 3 من الاتفاقية، يلزم وجود عناصر إضافية تدعو إلى الاعتقاد بأن الشخص المعني سيكون معرضاً شخصياً للخطر</w:t>
      </w:r>
      <w:r w:rsidRPr="00AA537D">
        <w:rPr>
          <w:spacing w:val="0"/>
          <w:kern w:val="0"/>
          <w:vertAlign w:val="superscript"/>
          <w:rtl/>
        </w:rPr>
        <w:t>(</w:t>
      </w:r>
      <w:r w:rsidRPr="00AA537D">
        <w:rPr>
          <w:rStyle w:val="FootnoteReference"/>
          <w:spacing w:val="0"/>
          <w:rtl/>
        </w:rPr>
        <w:footnoteReference w:id="448"/>
      </w:r>
      <w:r w:rsidRPr="00AA537D">
        <w:rPr>
          <w:spacing w:val="0"/>
          <w:kern w:val="0"/>
          <w:vertAlign w:val="superscript"/>
          <w:rtl/>
        </w:rPr>
        <w:t>)</w:t>
      </w:r>
      <w:r w:rsidRPr="00AA537D">
        <w:rPr>
          <w:rFonts w:hint="cs"/>
          <w:spacing w:val="0"/>
          <w:kern w:val="0"/>
          <w:rtl/>
        </w:rPr>
        <w:t xml:space="preserve">. </w:t>
      </w:r>
    </w:p>
    <w:p w:rsidR="00FA6676" w:rsidRPr="00147D8C" w:rsidRDefault="00FA6676" w:rsidP="00AA537D">
      <w:pPr>
        <w:pStyle w:val="SingleTxtGA"/>
        <w:jc w:val="lowKashida"/>
        <w:rPr>
          <w:rFonts w:hint="cs"/>
          <w:spacing w:val="-2"/>
          <w:kern w:val="0"/>
          <w:rtl/>
        </w:rPr>
      </w:pPr>
      <w:r w:rsidRPr="00AA537D">
        <w:rPr>
          <w:rFonts w:hint="cs"/>
          <w:spacing w:val="0"/>
          <w:kern w:val="0"/>
          <w:rtl/>
        </w:rPr>
        <w:t>6-19</w:t>
      </w:r>
      <w:r w:rsidRPr="00AA537D">
        <w:rPr>
          <w:rFonts w:hint="cs"/>
          <w:spacing w:val="0"/>
          <w:kern w:val="0"/>
          <w:rtl/>
        </w:rPr>
        <w:tab/>
        <w:t>وفيما يتعلق بحالة حقوق الإنسان في أفغانستان</w:t>
      </w:r>
      <w:r w:rsidRPr="00AA537D">
        <w:rPr>
          <w:spacing w:val="0"/>
          <w:kern w:val="0"/>
          <w:vertAlign w:val="superscript"/>
          <w:rtl/>
        </w:rPr>
        <w:t>(</w:t>
      </w:r>
      <w:r w:rsidRPr="00AA537D">
        <w:rPr>
          <w:rStyle w:val="FootnoteReference"/>
          <w:spacing w:val="0"/>
          <w:rtl/>
        </w:rPr>
        <w:footnoteReference w:id="449"/>
      </w:r>
      <w:r w:rsidRPr="00AA537D">
        <w:rPr>
          <w:spacing w:val="0"/>
          <w:kern w:val="0"/>
          <w:vertAlign w:val="superscript"/>
          <w:rtl/>
        </w:rPr>
        <w:t>)</w:t>
      </w:r>
      <w:r w:rsidRPr="00AA537D">
        <w:rPr>
          <w:rFonts w:hint="cs"/>
          <w:spacing w:val="0"/>
          <w:kern w:val="0"/>
          <w:rtl/>
        </w:rPr>
        <w:t>، تفيد الدولة الطرف بأن سجل حقوق الإنسان في هذا البلد لا يزال ضعيفاً بسبب التمرد، وضعف المؤسسات الحكومية والتقليدية، والفساد، والاتجار بالمخدرات. وتشمل انتهاكات حقوق الإنسان التعذيب والاغتيالات على أيدي الحكومة والوكلاء الحكوميين وحركة طالبان وغيرها من جماعات المتمردين</w:t>
      </w:r>
      <w:r w:rsidRPr="00AA537D">
        <w:rPr>
          <w:spacing w:val="0"/>
          <w:kern w:val="0"/>
          <w:vertAlign w:val="superscript"/>
          <w:rtl/>
        </w:rPr>
        <w:t>(</w:t>
      </w:r>
      <w:r w:rsidRPr="00AA537D">
        <w:rPr>
          <w:rStyle w:val="FootnoteReference"/>
          <w:spacing w:val="0"/>
          <w:rtl/>
        </w:rPr>
        <w:footnoteReference w:id="450"/>
      </w:r>
      <w:r w:rsidRPr="00AA537D">
        <w:rPr>
          <w:spacing w:val="0"/>
          <w:kern w:val="0"/>
          <w:vertAlign w:val="superscript"/>
          <w:rtl/>
        </w:rPr>
        <w:t>)</w:t>
      </w:r>
      <w:r w:rsidRPr="00AA537D">
        <w:rPr>
          <w:rFonts w:hint="cs"/>
          <w:spacing w:val="0"/>
          <w:kern w:val="0"/>
          <w:rtl/>
        </w:rPr>
        <w:t xml:space="preserve">. وفي عامي 2008 و2009، ساءت الأوضاع، وكان عام 2008 هو أعنف </w:t>
      </w:r>
      <w:r w:rsidRPr="00147D8C">
        <w:rPr>
          <w:rFonts w:hint="cs"/>
          <w:spacing w:val="-2"/>
          <w:kern w:val="0"/>
          <w:rtl/>
        </w:rPr>
        <w:t>الأعوام منذ عام 2001. وانتشر النزاع من المناطق الجنوبية، والجنوبية الشرقية، والشرقية إلى مناطق كانت مستقرة نسبياً في الماضي من بينها المنطقة الوسطى المحيطة بكابول، وكذلك المنطقتين الشمالية والغربية</w:t>
      </w:r>
      <w:r w:rsidRPr="00147D8C">
        <w:rPr>
          <w:spacing w:val="-2"/>
          <w:kern w:val="0"/>
          <w:vertAlign w:val="superscript"/>
          <w:rtl/>
        </w:rPr>
        <w:t>(</w:t>
      </w:r>
      <w:r w:rsidRPr="00FB3C43">
        <w:rPr>
          <w:rStyle w:val="FootnoteReference"/>
          <w:spacing w:val="-2"/>
          <w:sz w:val="2"/>
          <w:szCs w:val="2"/>
          <w:rtl/>
        </w:rPr>
        <w:footnoteReference w:id="451"/>
      </w:r>
      <w:r w:rsidR="00FB3C43" w:rsidRPr="00FB3C43">
        <w:rPr>
          <w:rFonts w:hint="cs"/>
          <w:spacing w:val="-2"/>
          <w:kern w:val="0"/>
          <w:sz w:val="30"/>
          <w:vertAlign w:val="superscript"/>
          <w:rtl/>
        </w:rPr>
        <w:t>ﻫ</w:t>
      </w:r>
      <w:r w:rsidRPr="00147D8C">
        <w:rPr>
          <w:spacing w:val="-2"/>
          <w:kern w:val="0"/>
          <w:vertAlign w:val="superscript"/>
          <w:rtl/>
        </w:rPr>
        <w:t>)</w:t>
      </w:r>
      <w:r w:rsidRPr="00147D8C">
        <w:rPr>
          <w:rFonts w:hint="cs"/>
          <w:spacing w:val="-2"/>
          <w:kern w:val="0"/>
          <w:rtl/>
        </w:rPr>
        <w:t>. بيد أن الحالة في كابول أفضل من مناطق أخرى. وفي كابول، تسعى قوات الشرطة عموماً إلى إنفاذ القانون، على الرغم من قلة الإمكانيات المتاحة لها ومواردها المحدودة، واعتمادها إلى حد ما على مدى ولاء أفرادها. وفي كابول، تساعد قوة المساعدة الأمنية الدولية (التابعة لمنظمة حلف شمال الأطلسي) الحكومة في توفير الأمن والحفاظ عليه. ونتيجة لوجود نظام قانوني وقضائي إلى حد ما، ورغبة قوات الشرطة في إنفاذ القانون، ووجود قوة المساعدة الأمنية الدولية، هناك عموماً قدر كاف من الحماية في كابول</w:t>
      </w:r>
      <w:r w:rsidRPr="00147D8C">
        <w:rPr>
          <w:spacing w:val="-2"/>
          <w:kern w:val="0"/>
          <w:vertAlign w:val="superscript"/>
          <w:rtl/>
        </w:rPr>
        <w:t>(</w:t>
      </w:r>
      <w:r w:rsidRPr="00147D8C">
        <w:rPr>
          <w:rStyle w:val="FootnoteReference"/>
          <w:spacing w:val="-2"/>
          <w:rtl/>
        </w:rPr>
        <w:footnoteReference w:id="452"/>
      </w:r>
      <w:r w:rsidRPr="00147D8C">
        <w:rPr>
          <w:spacing w:val="-2"/>
          <w:kern w:val="0"/>
          <w:vertAlign w:val="superscript"/>
          <w:rtl/>
        </w:rPr>
        <w:t>)</w:t>
      </w:r>
      <w:r w:rsidRPr="00147D8C">
        <w:rPr>
          <w:rFonts w:hint="cs"/>
          <w:spacing w:val="-2"/>
          <w:kern w:val="0"/>
          <w:rtl/>
        </w:rPr>
        <w:t>. وأنشئت لجنة مستقلة لحقوق الإنسان (اللجنة الأفغانية المستقلة لحقوق الإنسان)، وتعمل هذه اللجنة بنشاط على تحسين حالة حقوق الإنسان في أفغانستان</w:t>
      </w:r>
      <w:r w:rsidRPr="00147D8C">
        <w:rPr>
          <w:spacing w:val="-2"/>
          <w:kern w:val="0"/>
          <w:vertAlign w:val="superscript"/>
          <w:rtl/>
        </w:rPr>
        <w:t>(</w:t>
      </w:r>
      <w:r w:rsidRPr="00147D8C">
        <w:rPr>
          <w:rStyle w:val="FootnoteReference"/>
          <w:spacing w:val="-2"/>
          <w:rtl/>
        </w:rPr>
        <w:footnoteReference w:id="453"/>
      </w:r>
      <w:r w:rsidRPr="00147D8C">
        <w:rPr>
          <w:spacing w:val="-2"/>
          <w:kern w:val="0"/>
          <w:vertAlign w:val="superscript"/>
          <w:rtl/>
        </w:rPr>
        <w:t>)</w:t>
      </w:r>
      <w:r w:rsidRPr="00147D8C">
        <w:rPr>
          <w:rFonts w:hint="cs"/>
          <w:spacing w:val="-2"/>
          <w:kern w:val="0"/>
          <w:rtl/>
        </w:rPr>
        <w:t>. وفي 23 حزيران/يونيه 2007، وقعت حكومة السويد والحكومة الأفغانية ومفوضية الأمم المتحدة لشؤون اللاجئين على مذكرة تفاهم بشأن عودة المواطنين الأفغان من السويد إلى أفغانستان. والغرض الرئيسي من هذا الاتفاق هو تيسير العودة الطوعية لملتمسي اللجوء إلى أفغانستان، ولكن لا يمنع هذا الاتفاق الإعادة القسرية. وانتهي سريان هذا الاتفاق في 30 نيسان/أبريل</w:t>
      </w:r>
      <w:r w:rsidRPr="00147D8C">
        <w:rPr>
          <w:rFonts w:hint="eastAsia"/>
          <w:spacing w:val="-2"/>
          <w:kern w:val="0"/>
          <w:rtl/>
        </w:rPr>
        <w:t> </w:t>
      </w:r>
      <w:r w:rsidRPr="00147D8C">
        <w:rPr>
          <w:rFonts w:hint="cs"/>
          <w:spacing w:val="-2"/>
          <w:kern w:val="0"/>
          <w:rtl/>
        </w:rPr>
        <w:t>2009 ولم تجدد بعد.</w:t>
      </w:r>
    </w:p>
    <w:p w:rsidR="00FA6676" w:rsidRPr="00AA537D" w:rsidRDefault="00FA6676" w:rsidP="00AA537D">
      <w:pPr>
        <w:pStyle w:val="SingleTxtGA"/>
        <w:jc w:val="lowKashida"/>
        <w:rPr>
          <w:rFonts w:hint="cs"/>
          <w:spacing w:val="0"/>
          <w:kern w:val="0"/>
          <w:rtl/>
          <w:lang/>
        </w:rPr>
      </w:pPr>
      <w:r w:rsidRPr="00AA537D">
        <w:rPr>
          <w:rFonts w:hint="cs"/>
          <w:spacing w:val="0"/>
          <w:kern w:val="0"/>
          <w:rtl/>
        </w:rPr>
        <w:t>6-20</w:t>
      </w:r>
      <w:r w:rsidRPr="00AA537D">
        <w:rPr>
          <w:rFonts w:hint="cs"/>
          <w:spacing w:val="0"/>
          <w:kern w:val="0"/>
          <w:rtl/>
        </w:rPr>
        <w:tab/>
        <w:t>وفيما يتعلق باحتمال تعرض صاحبي الشكوى شخصياً للتعذيب لدى عودتهما إلى أفغانستان، تلاحظ الدولة الطرف أن الالتزام بعدم الطرد مرتبط مباشرة بتعريف التعذيب الوارد في المادة 1 من الاتفاقية</w:t>
      </w:r>
      <w:r w:rsidRPr="00AA537D">
        <w:rPr>
          <w:spacing w:val="0"/>
          <w:kern w:val="0"/>
          <w:vertAlign w:val="superscript"/>
          <w:rtl/>
        </w:rPr>
        <w:t>(</w:t>
      </w:r>
      <w:r w:rsidRPr="00AA537D">
        <w:rPr>
          <w:rStyle w:val="FootnoteReference"/>
          <w:spacing w:val="0"/>
          <w:rtl/>
        </w:rPr>
        <w:footnoteReference w:id="454"/>
      </w:r>
      <w:r w:rsidRPr="00AA537D">
        <w:rPr>
          <w:spacing w:val="0"/>
          <w:kern w:val="0"/>
          <w:vertAlign w:val="superscript"/>
          <w:rtl/>
        </w:rPr>
        <w:t>)</w:t>
      </w:r>
      <w:r w:rsidRPr="00AA537D">
        <w:rPr>
          <w:rFonts w:hint="cs"/>
          <w:spacing w:val="0"/>
          <w:kern w:val="0"/>
          <w:rtl/>
        </w:rPr>
        <w:t xml:space="preserve">، وتذكّر اللجنة بسوابقها القضائية التي تقضي بأن التزام الدولة الطرف </w:t>
      </w:r>
      <w:r w:rsidRPr="00AA537D">
        <w:rPr>
          <w:rFonts w:hint="cs"/>
          <w:spacing w:val="0"/>
          <w:kern w:val="0"/>
          <w:rtl/>
          <w:lang w:val="fr-CH"/>
        </w:rPr>
        <w:t>بالامتناع عن طرد شخص قد يتعرض لخطر الألم أو</w:t>
      </w:r>
      <w:r w:rsidRPr="00AA537D">
        <w:rPr>
          <w:rFonts w:hint="eastAsia"/>
          <w:spacing w:val="0"/>
          <w:kern w:val="0"/>
          <w:rtl/>
          <w:lang w:val="fr-CH"/>
        </w:rPr>
        <w:t> </w:t>
      </w:r>
      <w:r w:rsidRPr="00AA537D">
        <w:rPr>
          <w:rFonts w:hint="cs"/>
          <w:spacing w:val="0"/>
          <w:kern w:val="0"/>
          <w:rtl/>
          <w:lang w:val="fr-CH"/>
        </w:rPr>
        <w:t xml:space="preserve">المعاناة على أيدي كيان غير حكومي، دون رضا أو موافقة الحكومة، يخرج عن نطاق المادة 3 من الاتفاقية. </w:t>
      </w:r>
      <w:r w:rsidRPr="00AA537D">
        <w:rPr>
          <w:rFonts w:hint="cs"/>
          <w:spacing w:val="0"/>
          <w:kern w:val="0"/>
          <w:rtl/>
        </w:rPr>
        <w:t>كذلك، ووفقاً للسوابق القضائية للجنة، ينبغي، لأغراض المادة 3، أن يواجه الفرد المعني خطراً متوقعاً وحقيقياً وشخصياً للتعرض للتعذيب في البلد الذي سيُعاد إليه</w:t>
      </w:r>
      <w:r w:rsidRPr="00AA537D">
        <w:rPr>
          <w:spacing w:val="0"/>
          <w:kern w:val="0"/>
          <w:vertAlign w:val="superscript"/>
          <w:rtl/>
        </w:rPr>
        <w:t>(</w:t>
      </w:r>
      <w:r w:rsidRPr="00AA537D">
        <w:rPr>
          <w:rStyle w:val="FootnoteReference"/>
          <w:spacing w:val="0"/>
          <w:rtl/>
        </w:rPr>
        <w:footnoteReference w:id="455"/>
      </w:r>
      <w:r w:rsidRPr="00AA537D">
        <w:rPr>
          <w:rFonts w:hint="cs"/>
          <w:spacing w:val="0"/>
          <w:kern w:val="0"/>
          <w:vertAlign w:val="superscript"/>
          <w:rtl/>
        </w:rPr>
        <w:t>)</w:t>
      </w:r>
      <w:r w:rsidRPr="00AA537D">
        <w:rPr>
          <w:rFonts w:hint="cs"/>
          <w:spacing w:val="0"/>
          <w:kern w:val="0"/>
          <w:rtl/>
        </w:rPr>
        <w:t>. وينبغي تفسير الضرورة والقابلية للتنبؤ في ضوء التعليق العام رقم 1(1996) بشأن تنفيذ المادة 3 من الاتفاقية</w:t>
      </w:r>
      <w:r w:rsidRPr="00AA537D">
        <w:rPr>
          <w:rFonts w:hint="cs"/>
          <w:b/>
          <w:bCs/>
          <w:spacing w:val="0"/>
          <w:kern w:val="0"/>
          <w:rtl/>
        </w:rPr>
        <w:t xml:space="preserve"> </w:t>
      </w:r>
      <w:r w:rsidRPr="00AA537D">
        <w:rPr>
          <w:rFonts w:hint="cs"/>
          <w:spacing w:val="0"/>
          <w:kern w:val="0"/>
          <w:rtl/>
          <w:lang/>
        </w:rPr>
        <w:t xml:space="preserve">الذي يقضى بأن </w:t>
      </w:r>
      <w:r w:rsidRPr="00AA537D">
        <w:rPr>
          <w:spacing w:val="0"/>
          <w:kern w:val="0"/>
          <w:rtl/>
        </w:rPr>
        <w:t xml:space="preserve">على </w:t>
      </w:r>
      <w:r w:rsidRPr="00AA537D">
        <w:rPr>
          <w:rFonts w:hint="cs"/>
          <w:spacing w:val="0"/>
          <w:kern w:val="0"/>
          <w:rtl/>
        </w:rPr>
        <w:t xml:space="preserve">صاحب البلاغ </w:t>
      </w:r>
      <w:r w:rsidRPr="00AA537D">
        <w:rPr>
          <w:spacing w:val="0"/>
          <w:kern w:val="0"/>
          <w:rtl/>
        </w:rPr>
        <w:t>أن يقدم جميع المعلومات ذات الصلة</w:t>
      </w:r>
      <w:r w:rsidRPr="00AA537D">
        <w:rPr>
          <w:rFonts w:hint="cs"/>
          <w:spacing w:val="0"/>
          <w:kern w:val="0"/>
          <w:rtl/>
        </w:rPr>
        <w:t>،</w:t>
      </w:r>
      <w:r w:rsidRPr="00AA537D">
        <w:rPr>
          <w:spacing w:val="0"/>
          <w:kern w:val="0"/>
          <w:rtl/>
        </w:rPr>
        <w:t xml:space="preserve"> </w:t>
      </w:r>
      <w:r w:rsidRPr="00AA537D">
        <w:rPr>
          <w:rFonts w:hint="cs"/>
          <w:spacing w:val="0"/>
          <w:kern w:val="0"/>
          <w:rtl/>
          <w:lang/>
        </w:rPr>
        <w:t>أي أن يجمع وأن يقدم الأدلة التي تؤيد روايته للأحداث</w:t>
      </w:r>
      <w:r w:rsidRPr="00AA537D">
        <w:rPr>
          <w:spacing w:val="0"/>
          <w:kern w:val="0"/>
          <w:vertAlign w:val="superscript"/>
          <w:rtl/>
          <w:lang/>
        </w:rPr>
        <w:t>(</w:t>
      </w:r>
      <w:r w:rsidRPr="00AA537D">
        <w:rPr>
          <w:rStyle w:val="FootnoteReference"/>
          <w:spacing w:val="0"/>
          <w:rtl/>
          <w:lang/>
        </w:rPr>
        <w:footnoteReference w:id="456"/>
      </w:r>
      <w:r w:rsidRPr="00AA537D">
        <w:rPr>
          <w:spacing w:val="0"/>
          <w:kern w:val="0"/>
          <w:vertAlign w:val="superscript"/>
          <w:rtl/>
          <w:lang/>
        </w:rPr>
        <w:t>)</w:t>
      </w:r>
      <w:r w:rsidRPr="00AA537D">
        <w:rPr>
          <w:rFonts w:hint="cs"/>
          <w:spacing w:val="0"/>
          <w:kern w:val="0"/>
          <w:rtl/>
          <w:lang/>
        </w:rPr>
        <w:t>. وفي هذا الصدد، تفيد الدولة الطرف أن سلطات الهجرة السويدية تطبق عند النظر في التماس اللجوء بموجب قانون الأجانب نفس الاختبار الذي تطبقه اللجنة عند بحث أي شكوى مقدمة بموجب الاتفاقية. والهيئة الوطنية التي تجري المقابلات المتعلقة باللجوء مهيأة جداً لتقييم المعلومات التي يقدمها ملتمسو اللجوء وتقدير مدى مصداقية ادعاءاتهم. وفي القضية قيد البحث، أجرى مجلس الهجرة مقابلتين مع صاحبي الشكوى بشأن الطلبات المقدمة منهما وبالتالي جمع معلومات كافية، بالإضافة إلى الوقائع والمعلومات الواردة في الملف، لكي يكون لديه أساس قوي لتقييم حاجة صاحبي الشكوى إلى الحماية في السويد. وبحثت سلطات الهجرة طلبات الإقامة التي قدمها صاحبا الشكوى عدة مرات، فضلاً عن البحث الذي قامت به محكمة الهجرة في ستوكهولم. ولذلك ينبغي يُعطى التقييم الذي قامت به سلطات الهجرة السويدية وزناً كبيراً. وفيما يتعلق بالأسس الموضوعية للشكوى، تعتمد الدولة الطرف على القرارات الصادرة من مجلس الهجرة ومحكمة الهجرة.</w:t>
      </w:r>
    </w:p>
    <w:p w:rsidR="00FA6676" w:rsidRPr="00AA537D" w:rsidRDefault="00FA6676" w:rsidP="00AA537D">
      <w:pPr>
        <w:pStyle w:val="SingleTxtGA"/>
        <w:jc w:val="lowKashida"/>
        <w:rPr>
          <w:rFonts w:hint="cs"/>
          <w:spacing w:val="0"/>
          <w:kern w:val="0"/>
          <w:rtl/>
        </w:rPr>
      </w:pPr>
      <w:r w:rsidRPr="00AA537D">
        <w:rPr>
          <w:rFonts w:hint="cs"/>
          <w:spacing w:val="0"/>
          <w:kern w:val="0"/>
          <w:rtl/>
        </w:rPr>
        <w:t>6-21</w:t>
      </w:r>
      <w:r w:rsidRPr="00AA537D">
        <w:rPr>
          <w:rFonts w:hint="cs"/>
          <w:spacing w:val="0"/>
          <w:kern w:val="0"/>
          <w:rtl/>
        </w:rPr>
        <w:tab/>
        <w:t>ويدعي صاحبا الشكوى أنهما سيتعرضان في حالة ترحيلهما إلى أفغانستان لخطر التعذيب وربما القتل، واستندا إلى الحجج التالية: أنهما لا يتحدثان اللغة الأفغانية ولا</w:t>
      </w:r>
      <w:r w:rsidRPr="00AA537D">
        <w:rPr>
          <w:rFonts w:hint="eastAsia"/>
          <w:spacing w:val="0"/>
          <w:kern w:val="0"/>
          <w:rtl/>
        </w:rPr>
        <w:t> </w:t>
      </w:r>
      <w:r w:rsidRPr="00AA537D">
        <w:rPr>
          <w:rFonts w:hint="cs"/>
          <w:spacing w:val="0"/>
          <w:kern w:val="0"/>
          <w:rtl/>
        </w:rPr>
        <w:t>يشاركان في الثقافة الأفغانية؛ وأنهما سبق تعذيبهما في أفغانستان عندما قامت الشرطة الإيرانية بترحيلهما إليها؛ وأن ترحيلهما سيعرضهما لخطر التعذيب والقتل على أيدي "الميليشيات القبلية" وحركة طالبان، الذين يعتبرونهما من العملاء والخونة، وأن السلطات الأفغانية لن تضمن سلامتهما؛ وأنهما سيُقبض عليهما لأنهما التمسا اللجوء إلى السويد حيث يعتبر ذلك جريمة جسيمة في أفغانستان؛ وأن صاحب الشكوى الأول عمل مترجماً شفوياً لملتمسي اللجوء في السويد وأدرجت الشرطة السرية الأفغانية بالتالي اسمه في "القائمة السوداء"؛ وأن والدهما كان محامياً وعضواً في البرلمان وله أعداء كُثُر في أفغانستان بعضهم من كبار المسؤولين في الحكومة الحالية وسيتم قتلهما لأنهما يحملان نفس الاسم.</w:t>
      </w:r>
    </w:p>
    <w:p w:rsidR="00FA6676" w:rsidRPr="00AA537D" w:rsidRDefault="00FA6676" w:rsidP="00AA537D">
      <w:pPr>
        <w:pStyle w:val="SingleTxtGA"/>
        <w:jc w:val="lowKashida"/>
        <w:rPr>
          <w:rFonts w:hint="cs"/>
          <w:spacing w:val="0"/>
          <w:kern w:val="0"/>
          <w:rtl/>
        </w:rPr>
      </w:pPr>
      <w:r w:rsidRPr="00AA537D">
        <w:rPr>
          <w:rFonts w:hint="cs"/>
          <w:spacing w:val="0"/>
          <w:kern w:val="0"/>
          <w:rtl/>
        </w:rPr>
        <w:t>6-22</w:t>
      </w:r>
      <w:r w:rsidRPr="00AA537D">
        <w:rPr>
          <w:rFonts w:hint="cs"/>
          <w:spacing w:val="0"/>
          <w:kern w:val="0"/>
          <w:rtl/>
        </w:rPr>
        <w:tab/>
        <w:t>وتذكّر الدولة الطرف بأن على صاحبي الشكوى أن يقدما جميع الأدلة التي تؤيد دعواهما. وفي هذا الصدد، قدم صاحبا الشكوى معلومات عامة ومبهمة، ولم يقدما أي دليل على صحة أقوالهما. وعلاوة على ذلك، هناك تناقض واضح في رواية صاحب الشكوى الأول. ففي إجراءات اللجوء، قال إنه لم يتعرض لمشاكل مع السلطات الأفغانية عندما قامت السلطات الإيرانية بترحيله إلى أفغانستان، وحدث ذلك مرتين. وبالعكس، تعرض في جمهورية إيران الإسلامية لمعاملة وحشية. ويستفاد من أقواله أمام مجلس الهجرة أن السلطات الأفغانية لم توليه اهتماماً يذكر. ويتعارض هذا تماماً مع ما جاء في شكواه المقدمة إلى اللجنة حيث ذكر أن رد فعل الشرطة الأفغانية عندما رأت وثائق السفارة السويدية التي كانت معه كان عنيفاً إلى حد كاد معه أن يفقد حياته.</w:t>
      </w:r>
    </w:p>
    <w:p w:rsidR="00FA6676" w:rsidRPr="00AA537D" w:rsidRDefault="00FA6676" w:rsidP="004A1851">
      <w:pPr>
        <w:pStyle w:val="SingleTxtGA"/>
        <w:spacing w:line="370" w:lineRule="exact"/>
        <w:jc w:val="lowKashida"/>
        <w:rPr>
          <w:rFonts w:hint="cs"/>
          <w:spacing w:val="0"/>
          <w:kern w:val="0"/>
          <w:rtl/>
        </w:rPr>
      </w:pPr>
      <w:r w:rsidRPr="00AA537D">
        <w:rPr>
          <w:rFonts w:hint="cs"/>
          <w:spacing w:val="0"/>
          <w:kern w:val="0"/>
          <w:rtl/>
        </w:rPr>
        <w:t>6-23</w:t>
      </w:r>
      <w:r w:rsidRPr="00AA537D">
        <w:rPr>
          <w:rFonts w:hint="cs"/>
          <w:spacing w:val="0"/>
          <w:kern w:val="0"/>
          <w:rtl/>
        </w:rPr>
        <w:tab/>
        <w:t>وتوسعت رواية صاحبي الشكوى كثيراً بين المقابلات الأولى المتعلقة باللجوء التي أجريت في كانون الأول/ديسمبر 2005 والبلاغ قيد البحث المقدم إلى اللجنة في أواخر عام</w:t>
      </w:r>
      <w:r w:rsidRPr="00AA537D">
        <w:rPr>
          <w:rFonts w:hint="eastAsia"/>
          <w:spacing w:val="0"/>
          <w:kern w:val="0"/>
          <w:rtl/>
        </w:rPr>
        <w:t> </w:t>
      </w:r>
      <w:r w:rsidRPr="00AA537D">
        <w:rPr>
          <w:rFonts w:hint="cs"/>
          <w:spacing w:val="0"/>
          <w:kern w:val="0"/>
          <w:rtl/>
        </w:rPr>
        <w:t>2008 تقريباً. وتستند الطلبات المقدمة إلى السويد أساساً إلى سوء الأحوال الأمنية في أفغانستان، وعدم عيشهما في أي وقت هناك، وإقامة والدتهما وأقاربهما في السويد. وأشارا في البلاغ المقدم إلى اللجنة إلى ظروف جديدة تماماً. فأثناء المقابلات التي أجريت في كانون الثاني/ديسمبر 2005، لم يتحدثا عن تعذيبهما في أفغانستان، ولم يعربا عن خوفهما من الشرطة الأفغانية أو السلطات الأفغانية. وأثناء المقابلات التي أجريت في أيلول/سبتمبر 2008 (انظر الفقرة 6-13 أعلاه)، ذكرا كلاهما أنهما معرضان للقتل على أيدي الشرطة لأنهما يتحدثان بلهجة الداري المستخدمة في جمهورية إيران الإسلامية، وستقتلهما حركة طالبان لأنهما من الشيعة. وهناك توسع آخر في البلاغ المقدم إلى اللجنة حيث ذكرا في هذا البلاغ لأول مرة أنهما تعرضا للتعذيب في أفغانستان. ويدعى كلاهما أنهما تم تعذيبهما على أيد</w:t>
      </w:r>
      <w:r w:rsidR="004A1851">
        <w:rPr>
          <w:rFonts w:hint="cs"/>
          <w:spacing w:val="0"/>
          <w:kern w:val="0"/>
          <w:rtl/>
        </w:rPr>
        <w:t>ي</w:t>
      </w:r>
      <w:r w:rsidRPr="00AA537D">
        <w:rPr>
          <w:rFonts w:hint="cs"/>
          <w:spacing w:val="0"/>
          <w:kern w:val="0"/>
          <w:rtl/>
        </w:rPr>
        <w:t xml:space="preserve"> الطالبان، وبدعي صاحب الشكوى الأول أنهما تم تعذيبهما على أيدي الشرطة الأفغانية أيضاً. ويستند صاحبا الشكوى إلى أسباب جديدة تماماً لعدم ترحيلهما إلى أفغانستان: الأول، أنهما طلبا اللجوء إلى السويد وهذه جريمة جسيمة في أفغانستان؛ والثاني، أن صاحب الشكوى الأول مقيد في سجلات الشرطة السرية في أفغانستان لأنه عمل مترجماً شفوياً لملتمسي اللجوء إلى السويد؛ والثالث، أن بعض أعداء والده السابقين من كبار المسؤولين في الحكومة الحالية وأنهما سيقتلان لأن اسمهما معروف هناك.</w:t>
      </w:r>
    </w:p>
    <w:p w:rsidR="00FA6676" w:rsidRPr="00AA537D" w:rsidRDefault="00FA6676" w:rsidP="004A1851">
      <w:pPr>
        <w:pStyle w:val="SingleTxtGA"/>
        <w:spacing w:line="370" w:lineRule="exact"/>
        <w:jc w:val="lowKashida"/>
        <w:rPr>
          <w:rFonts w:hint="cs"/>
          <w:spacing w:val="0"/>
          <w:kern w:val="0"/>
          <w:rtl/>
        </w:rPr>
      </w:pPr>
      <w:r w:rsidRPr="00AA537D">
        <w:rPr>
          <w:rFonts w:hint="cs"/>
          <w:spacing w:val="0"/>
          <w:kern w:val="0"/>
          <w:rtl/>
        </w:rPr>
        <w:t>6-24</w:t>
      </w:r>
      <w:r w:rsidRPr="00AA537D">
        <w:rPr>
          <w:rFonts w:hint="cs"/>
          <w:spacing w:val="0"/>
          <w:kern w:val="0"/>
          <w:rtl/>
        </w:rPr>
        <w:tab/>
        <w:t>وبناءً على ما تقدم، هناك ما يدعو إلى التساؤل عن مدى مصداقية إدعاء صاحبي الشكوى أنهما سيتعرضان لخطر التعذيب في حالة ترحيلهما إلى أفغانستان. ومما يخل بالمصداقية أيضاً أنهما منحا تصاريح للإقامة في السويد بناء على هوية مزورة وبيانات كاذبة. ولا أساس من الصحة لما يدعيانه من أنهما اعترفا للسلطات السويدية من تلقاء أنفسهما بكذبهما بشأن هويتهما، فلم يعترفا بذلك إلا عند مواجهتهما بالحقيقة بعد أكثر من تسعة أشهر من وصولهما إلى السويد. ويخل هذا العنصر أيضاً بمصداقيتهما.</w:t>
      </w:r>
    </w:p>
    <w:p w:rsidR="00FA6676" w:rsidRPr="00DB4C15" w:rsidRDefault="00FA6676" w:rsidP="00DB4C15">
      <w:pPr>
        <w:pStyle w:val="SingleTxtGA"/>
        <w:spacing w:line="370" w:lineRule="exact"/>
        <w:jc w:val="lowKashida"/>
        <w:rPr>
          <w:rFonts w:hint="cs"/>
          <w:spacing w:val="-2"/>
          <w:kern w:val="0"/>
          <w:rtl/>
        </w:rPr>
      </w:pPr>
      <w:r w:rsidRPr="00DB4C15">
        <w:rPr>
          <w:rFonts w:hint="cs"/>
          <w:spacing w:val="-2"/>
          <w:kern w:val="0"/>
          <w:rtl/>
        </w:rPr>
        <w:t>6-25</w:t>
      </w:r>
      <w:r w:rsidRPr="00DB4C15">
        <w:rPr>
          <w:rFonts w:hint="cs"/>
          <w:spacing w:val="-2"/>
          <w:kern w:val="0"/>
          <w:rtl/>
        </w:rPr>
        <w:tab/>
        <w:t>وفيما يتعلق بإدعاء صاحبي الشكوى أنهما معرضان لخطر التعذيب والقتل على أيدي "الميليشيات القبلية" وحركة طالبان، يستفاد من المادة 1 من الاتفاقية وال</w:t>
      </w:r>
      <w:r w:rsidRPr="00DB4C15">
        <w:rPr>
          <w:spacing w:val="-2"/>
          <w:kern w:val="0"/>
          <w:rtl/>
        </w:rPr>
        <w:t xml:space="preserve">سوابق القضائية </w:t>
      </w:r>
      <w:r w:rsidRPr="00DB4C15">
        <w:rPr>
          <w:rFonts w:hint="cs"/>
          <w:spacing w:val="-2"/>
          <w:kern w:val="0"/>
          <w:rtl/>
        </w:rPr>
        <w:t xml:space="preserve">للجنة </w:t>
      </w:r>
      <w:r w:rsidRPr="00DB4C15">
        <w:rPr>
          <w:spacing w:val="-2"/>
          <w:kern w:val="0"/>
          <w:rtl/>
        </w:rPr>
        <w:t xml:space="preserve">أن التزام الدولة الطرف </w:t>
      </w:r>
      <w:r w:rsidRPr="00DB4C15">
        <w:rPr>
          <w:spacing w:val="-2"/>
          <w:kern w:val="0"/>
          <w:rtl/>
          <w:lang w:val="fr-CH"/>
        </w:rPr>
        <w:t>بالامتناع عن طرد شخص قد يتعرض لخطر الألم أو المعاناة على أيدي كيان غير حكومي، دون رضا أو موافقة الحكومة، يخرج عن نطاق المادة 3 من الاتفاقية.</w:t>
      </w:r>
      <w:r w:rsidRPr="00DB4C15">
        <w:rPr>
          <w:rFonts w:hint="cs"/>
          <w:spacing w:val="-2"/>
          <w:kern w:val="0"/>
          <w:rtl/>
          <w:lang w:val="fr-CH"/>
        </w:rPr>
        <w:t xml:space="preserve"> وفي</w:t>
      </w:r>
      <w:r w:rsidR="00DB4C15">
        <w:rPr>
          <w:rFonts w:hint="eastAsia"/>
          <w:spacing w:val="-2"/>
          <w:kern w:val="0"/>
          <w:rtl/>
          <w:lang w:val="fr-CH"/>
        </w:rPr>
        <w:t> </w:t>
      </w:r>
      <w:r w:rsidRPr="00DB4C15">
        <w:rPr>
          <w:rFonts w:hint="cs"/>
          <w:spacing w:val="-2"/>
          <w:kern w:val="0"/>
          <w:rtl/>
          <w:lang w:val="fr-CH"/>
        </w:rPr>
        <w:t>جميع الأحوال، لم يقدم صاحبا الشكوى أي دليل على أنهما سيتعرضان لمثل هذا الخطر.</w:t>
      </w:r>
    </w:p>
    <w:p w:rsidR="00FA6676" w:rsidRPr="004A1851" w:rsidRDefault="00FA6676" w:rsidP="004A1851">
      <w:pPr>
        <w:pStyle w:val="SingleTxtGA"/>
        <w:spacing w:line="370" w:lineRule="exact"/>
        <w:jc w:val="lowKashida"/>
        <w:rPr>
          <w:rFonts w:hint="cs"/>
          <w:spacing w:val="-2"/>
          <w:kern w:val="0"/>
          <w:rtl/>
        </w:rPr>
      </w:pPr>
      <w:r w:rsidRPr="004A1851">
        <w:rPr>
          <w:rFonts w:hint="cs"/>
          <w:spacing w:val="-2"/>
          <w:kern w:val="0"/>
          <w:rtl/>
        </w:rPr>
        <w:t>6-26</w:t>
      </w:r>
      <w:r w:rsidRPr="004A1851">
        <w:rPr>
          <w:rFonts w:hint="cs"/>
          <w:spacing w:val="-2"/>
          <w:kern w:val="0"/>
          <w:rtl/>
        </w:rPr>
        <w:tab/>
        <w:t>ولا يوجد ما يدل على اهتمام السلطات الأفغانية بصاحبي الشكوى. وعند تقييم المخاطر، ينبغي أن يؤخذ في الاعتبار أن صاحبي الشكوى لم يعيشا في أي وقت في أفغانستان، وأن والديهما تركا أفغانستان منذ أكثر من ثلاثين عاماً، وأنهما (شأنهما شأن أكثر من ستة ملايين أفغاني آخر) غادرا أفغانستان بسبب الحرب مع الاتحاد السوفياتي السابق. ومن الجدير بالذكر أن أكثر من مليون أفغاني عادوا من جمهورية إيران الإسلامية إلى أفغانستان. ولا يوجد في الروايات التي قدمها صاحبا الشكوى لسلطات الهجرة ما يوحي بأن السلطات الأفغانية تولي اهتماماً خاصاً لهما، وذكر صاحب الشكوى الأول صراحة أنه لم</w:t>
      </w:r>
      <w:r w:rsidR="00FB3C43" w:rsidRPr="004A1851">
        <w:rPr>
          <w:rFonts w:hint="eastAsia"/>
          <w:spacing w:val="-2"/>
          <w:kern w:val="0"/>
          <w:rtl/>
        </w:rPr>
        <w:t> </w:t>
      </w:r>
      <w:r w:rsidRPr="004A1851">
        <w:rPr>
          <w:rFonts w:hint="cs"/>
          <w:spacing w:val="-2"/>
          <w:kern w:val="0"/>
          <w:rtl/>
        </w:rPr>
        <w:t>يواجه مشاكل مع السلطات الأفغانية عند ترحيله إلى هذا البلد، ولم يذكر صاحب الشكوى الثاني في أقواله أنه ذهب إلى أفغانستان. وعلاوة على ذلك، فإن سببين من الأسباب</w:t>
      </w:r>
      <w:r w:rsidRPr="00AA537D">
        <w:rPr>
          <w:rFonts w:hint="cs"/>
          <w:spacing w:val="0"/>
          <w:kern w:val="0"/>
          <w:rtl/>
        </w:rPr>
        <w:t xml:space="preserve"> </w:t>
      </w:r>
      <w:r w:rsidRPr="004A1851">
        <w:rPr>
          <w:rFonts w:hint="cs"/>
          <w:spacing w:val="-2"/>
          <w:kern w:val="0"/>
          <w:rtl/>
        </w:rPr>
        <w:t xml:space="preserve">التي ذكراها بشأن اهتمام السلطات الأفغانية بهما - وهما تسجيل صاحب الشكوى الأول لدى الشرطة السرية والمناصب التي يشغلها أعداء والدهما في الحكومة الحالية - لا دليل عليها، وتفتقر إلى التفصيل، ولم تقدم للسلطات السويدية على الرغم من الفرص العديدة والوقت الكافي اللذين كانا متاحين لصاحبي الشكوى للقيام بذلك. وفيما يتعلق بالتبرير الذي قدمه صاحب الشكوى الأول على تسجيله لدى الشرطة السرية وهو عمله كمترجم شفوي لملتمسي اللجوء إلى السويد، فقد أفادت سفارة السويد في كابول بأنها لا علم لها بوجود جهاز أمن أفغاني مهمته "التجسس على طلبات اللجوء" أو بأن سجلات هذا الجهاز تحتوى على معلومات بشأن ملتمسي اللجوء الأفغان. والسبب الثالث، وهو أن التماس اللجوء إلى السويد يشكل جريمة جسيمة للغاية في أفغانستان، لم يقدم إلى السلطات السويدية أيضاً. </w:t>
      </w:r>
      <w:r w:rsidRPr="004A1851">
        <w:rPr>
          <w:spacing w:val="-2"/>
          <w:kern w:val="0"/>
          <w:rtl/>
        </w:rPr>
        <w:t>وأفادت سفارة السويد في كابول بأنها ليس لديها معلومات تفيد بأن التم</w:t>
      </w:r>
      <w:r w:rsidRPr="004A1851">
        <w:rPr>
          <w:rFonts w:hint="cs"/>
          <w:spacing w:val="-2"/>
          <w:kern w:val="0"/>
          <w:rtl/>
        </w:rPr>
        <w:t>ا</w:t>
      </w:r>
      <w:r w:rsidRPr="004A1851">
        <w:rPr>
          <w:spacing w:val="-2"/>
          <w:kern w:val="0"/>
          <w:rtl/>
        </w:rPr>
        <w:t>س اللجوء في بلد آخر يشكل جريمة جنا</w:t>
      </w:r>
      <w:r w:rsidRPr="004A1851">
        <w:rPr>
          <w:rFonts w:hint="cs"/>
          <w:spacing w:val="-2"/>
          <w:kern w:val="0"/>
          <w:rtl/>
        </w:rPr>
        <w:t>ئ</w:t>
      </w:r>
      <w:r w:rsidRPr="004A1851">
        <w:rPr>
          <w:spacing w:val="-2"/>
          <w:kern w:val="0"/>
          <w:rtl/>
        </w:rPr>
        <w:t xml:space="preserve">ية بموجب القانون الأفغاني. وفي هذا السياق، تذكر الدولة الطرف أن الحكومة السويدية والحكومة الأفغانية ومفوضية الأمم المتحدة لشؤون اللاجئين وقعت على مذكرة تفاهم </w:t>
      </w:r>
      <w:r w:rsidRPr="004A1851">
        <w:rPr>
          <w:rFonts w:hint="cs"/>
          <w:spacing w:val="-2"/>
          <w:kern w:val="0"/>
          <w:rtl/>
        </w:rPr>
        <w:t xml:space="preserve">بشأن </w:t>
      </w:r>
      <w:r w:rsidRPr="004A1851">
        <w:rPr>
          <w:spacing w:val="-2"/>
          <w:kern w:val="0"/>
          <w:rtl/>
        </w:rPr>
        <w:t xml:space="preserve">عودة </w:t>
      </w:r>
      <w:r w:rsidRPr="004A1851">
        <w:rPr>
          <w:rFonts w:hint="cs"/>
          <w:spacing w:val="-2"/>
          <w:kern w:val="0"/>
          <w:rtl/>
        </w:rPr>
        <w:t>ملتمسي اللجوء الأفغان، وما كان هذا الاتفاق ليتم لو كان التماس اللجوء جريمة جنائية.</w:t>
      </w:r>
    </w:p>
    <w:p w:rsidR="00FA6676" w:rsidRPr="00AA537D" w:rsidRDefault="00FA6676" w:rsidP="004A1851">
      <w:pPr>
        <w:pStyle w:val="SingleTxtGA"/>
        <w:spacing w:line="370" w:lineRule="exact"/>
        <w:jc w:val="lowKashida"/>
        <w:rPr>
          <w:rFonts w:hint="cs"/>
          <w:spacing w:val="0"/>
          <w:kern w:val="0"/>
          <w:rtl/>
        </w:rPr>
      </w:pPr>
      <w:r w:rsidRPr="00AA537D">
        <w:rPr>
          <w:rFonts w:hint="cs"/>
          <w:spacing w:val="0"/>
          <w:kern w:val="0"/>
          <w:rtl/>
        </w:rPr>
        <w:t>6-27</w:t>
      </w:r>
      <w:r w:rsidRPr="00AA537D">
        <w:rPr>
          <w:rFonts w:hint="cs"/>
          <w:spacing w:val="0"/>
          <w:kern w:val="0"/>
          <w:rtl/>
        </w:rPr>
        <w:tab/>
        <w:t>ويدعي صاحبا الشكوى أنهما تعرضا للتعذيب عند ترحيلهما إلى أفغانستان. ولا</w:t>
      </w:r>
      <w:r w:rsidRPr="00AA537D">
        <w:rPr>
          <w:rFonts w:hint="eastAsia"/>
          <w:spacing w:val="0"/>
          <w:kern w:val="0"/>
          <w:rtl/>
        </w:rPr>
        <w:t> </w:t>
      </w:r>
      <w:r w:rsidRPr="00AA537D">
        <w:rPr>
          <w:rFonts w:hint="cs"/>
          <w:spacing w:val="0"/>
          <w:kern w:val="0"/>
          <w:rtl/>
        </w:rPr>
        <w:t>دليل إطلاقاً على صحة هذا الإدعاء ولم يشيرا إلى ذلك في طلبهما المقدم إلى السلطات السويدية. وعلى أية حال، يذكر أن اللجنة لاحظت في سوابقها القضائية أن التعذيب الذي وقع في الماضي هو أحد العناصر التي ينبغي أن تأخذها اللجنة في الاعتبار عند فحص ادعاء يتعلق بالمادة 3 من الاتفاقية، ولكن هدف اللجنة من الفحص هو إقرار ما إذا كان أصحابه سيتعرضون لخطر التعذيب الآن، إن هم عادوا إلى بلدهم الأصلي</w:t>
      </w:r>
      <w:r w:rsidRPr="00AA537D">
        <w:rPr>
          <w:rFonts w:hint="cs"/>
          <w:spacing w:val="0"/>
          <w:kern w:val="0"/>
          <w:vertAlign w:val="superscript"/>
          <w:rtl/>
        </w:rPr>
        <w:t>(</w:t>
      </w:r>
      <w:r w:rsidRPr="00AA537D">
        <w:rPr>
          <w:rStyle w:val="FootnoteReference"/>
          <w:rFonts w:ascii="Traditional Arabic" w:hAnsi="Traditional Arabic"/>
          <w:spacing w:val="0"/>
          <w:sz w:val="30"/>
          <w:rtl/>
        </w:rPr>
        <w:footnoteReference w:id="457"/>
      </w:r>
      <w:r w:rsidRPr="00AA537D">
        <w:rPr>
          <w:rFonts w:hint="cs"/>
          <w:spacing w:val="0"/>
          <w:kern w:val="0"/>
          <w:vertAlign w:val="superscript"/>
          <w:rtl/>
        </w:rPr>
        <w:t>)</w:t>
      </w:r>
      <w:r w:rsidRPr="00AA537D">
        <w:rPr>
          <w:rFonts w:hint="cs"/>
          <w:spacing w:val="0"/>
          <w:kern w:val="0"/>
          <w:rtl/>
        </w:rPr>
        <w:t>.</w:t>
      </w:r>
    </w:p>
    <w:p w:rsidR="00FA6676" w:rsidRPr="00AA537D" w:rsidRDefault="00FA6676" w:rsidP="004A1851">
      <w:pPr>
        <w:pStyle w:val="SingleTxtGA"/>
        <w:spacing w:line="370" w:lineRule="exact"/>
        <w:jc w:val="lowKashida"/>
        <w:rPr>
          <w:rFonts w:hint="cs"/>
          <w:spacing w:val="0"/>
          <w:kern w:val="0"/>
          <w:rtl/>
        </w:rPr>
      </w:pPr>
      <w:r w:rsidRPr="00AA537D">
        <w:rPr>
          <w:rFonts w:hint="cs"/>
          <w:spacing w:val="0"/>
          <w:kern w:val="0"/>
          <w:rtl/>
        </w:rPr>
        <w:t>6-28</w:t>
      </w:r>
      <w:r w:rsidRPr="00AA537D">
        <w:rPr>
          <w:rFonts w:hint="cs"/>
          <w:spacing w:val="0"/>
          <w:kern w:val="0"/>
          <w:rtl/>
        </w:rPr>
        <w:tab/>
        <w:t>وفيما يتعلق بإدعاء صاحبي الشكوى أنهما لا يتحدثان اللغة الأفغانية، فمن الجدير بالذكر أن أفغانستان لديها لغتين رسميتين هما الداري والباشتو، وهما من مجموعة اللغات الإيرانية. ويتحدث نحو 50 في المائة من السكان بالداري، ونحو 35 في المائة بالباشتو، وفي كابول تتحدث أغلبية السكان بالداري. ولا شك في أن صاحبي الشكوى يتحدثان بالداري حيث أجريت المقابلات المتعلقة بطلب اللجوء بهذه اللغة. وهناك علاوة على ذلك بعض المعلومات التي تدل على أن صاحب الشكوى الأول، على الأقل، يتحدث بالباشتو. ففي المقابلة التي أجريت في إسلام أباد فيما يتعلق بطلبه تصريحاً للإقامة في السويد على أساس زواجه المزعوم بامرأة تعيش في السويد، ترجمت أقواله من الباشتو وإليها وذكر في تقرير المقابلة أنه يتحدث بالباشتو. وفي ضوء ما سلف، لم يكن صاحبا الشكوى سيواجهان مشاكل لغوية حقيقية في حالة عودتهما إلى أفغانستان. وليس هناك ما يشير بالتحديد إلى أنهما سيواجهان خطر التعرض للتعذيب أو القتل لأنهما يتحدثان بلهجة الداري المستخدمة في جمهورية إيران الإسلامية.</w:t>
      </w:r>
    </w:p>
    <w:p w:rsidR="00FA6676" w:rsidRDefault="00FA6676" w:rsidP="00DB4C15">
      <w:pPr>
        <w:pStyle w:val="SingleTxtGA"/>
        <w:spacing w:line="360" w:lineRule="exact"/>
        <w:jc w:val="lowKashida"/>
        <w:rPr>
          <w:rFonts w:hint="cs"/>
          <w:spacing w:val="-2"/>
          <w:kern w:val="0"/>
          <w:rtl/>
        </w:rPr>
      </w:pPr>
      <w:r w:rsidRPr="00985A4E">
        <w:rPr>
          <w:rFonts w:hint="cs"/>
          <w:spacing w:val="-2"/>
          <w:kern w:val="0"/>
          <w:rtl/>
        </w:rPr>
        <w:t>6-29</w:t>
      </w:r>
      <w:r w:rsidRPr="00985A4E">
        <w:rPr>
          <w:rFonts w:hint="cs"/>
          <w:spacing w:val="-2"/>
          <w:kern w:val="0"/>
          <w:rtl/>
        </w:rPr>
        <w:tab/>
        <w:t>وخلص كل من مجلس الهجرة ومحكمة الهجرة في ستوكهولم إلى وجود جهة داخلية بديلة لصاحبي الشكوى، وعلى وجه الخصوص في كابول. وحالة حقوق الإنسان في كابول أفضل من حالتها في أجزاء أخرى من البلد. وفي حالة العودة إلى البلد، يجوز لصاحبي الشكوى الحصول على مساعدة مالية بموجب القواعد المتعلقة بدعم الإقامة لبعض الأجانب. وتبلغ هذه المساعدة 000 30 كرونة سويدية لكل بالغ يتجاوز 18 سنة من العمر (ما يعادل 000 3 يورو تقريباً). ويجوز منح هذه المساعدة للأجانب الذين يعودون طوعياً إلى بلد ما للإقامة فيه عندما يصعب الاستقرار في هذا البلد بسبب الحالة السائدة فيه. وأفغانستان أحد هذه البلدان.</w:t>
      </w:r>
    </w:p>
    <w:p w:rsidR="00DB4C15" w:rsidRPr="00DB4C15" w:rsidRDefault="00DB4C15" w:rsidP="00DB4C15">
      <w:pPr>
        <w:pStyle w:val="SingleTxtGA"/>
        <w:spacing w:line="360" w:lineRule="exact"/>
        <w:jc w:val="lowKashida"/>
        <w:rPr>
          <w:rFonts w:eastAsia="SimSun" w:hint="cs"/>
          <w:spacing w:val="0"/>
          <w:kern w:val="0"/>
          <w:lang w:eastAsia="zh-CN"/>
        </w:rPr>
      </w:pPr>
      <w:r w:rsidRPr="00DB4C15">
        <w:rPr>
          <w:rFonts w:eastAsia="SimSun" w:hint="cs"/>
          <w:spacing w:val="-4"/>
          <w:kern w:val="0"/>
          <w:rtl/>
          <w:lang w:eastAsia="zh-CN"/>
        </w:rPr>
        <w:t>6-30</w:t>
      </w:r>
      <w:r w:rsidRPr="00DB4C15">
        <w:rPr>
          <w:rFonts w:eastAsia="SimSun" w:hint="cs"/>
          <w:spacing w:val="-4"/>
          <w:kern w:val="0"/>
          <w:rtl/>
          <w:lang w:eastAsia="zh-CN"/>
        </w:rPr>
        <w:tab/>
        <w:t>وفي الختام، دفعت الدولة الطرف بضرورة إعلان عدم مقبولية هذه الشكوى (أ) بموجب</w:t>
      </w:r>
      <w:r w:rsidRPr="00DB4C15">
        <w:rPr>
          <w:rFonts w:eastAsia="SimSun" w:hint="cs"/>
          <w:spacing w:val="0"/>
          <w:kern w:val="0"/>
          <w:rtl/>
          <w:lang w:eastAsia="zh-CN"/>
        </w:rPr>
        <w:t xml:space="preserve"> الفقرة 5(ب) من المادة 22 لعدم استنفاد جميع سبل الانتصاف المحلية؛ (ب) أو بموجب الفقرة 2 من المادة 22 لعدم استنادها بشكل صارخ إلى أي أساس سليم، نظرا</w:t>
      </w:r>
      <w:r>
        <w:rPr>
          <w:rFonts w:eastAsia="SimSun" w:hint="cs"/>
          <w:spacing w:val="0"/>
          <w:kern w:val="0"/>
          <w:rtl/>
          <w:lang w:eastAsia="zh-CN"/>
        </w:rPr>
        <w:t>ً</w:t>
      </w:r>
      <w:r w:rsidRPr="00DB4C15">
        <w:rPr>
          <w:rFonts w:eastAsia="SimSun" w:hint="cs"/>
          <w:spacing w:val="0"/>
          <w:kern w:val="0"/>
          <w:rtl/>
          <w:lang w:eastAsia="zh-CN"/>
        </w:rPr>
        <w:t xml:space="preserve"> لأن الظروف التي تذرع بها صاحبا الشكوى غير كافية بحيث يتبيّن أن خطر التعرض للتعذيب المزعوم يستوفي الشروط المتمثلة في أن يكون هذا الخطر متوقعا</w:t>
      </w:r>
      <w:r>
        <w:rPr>
          <w:rFonts w:eastAsia="SimSun" w:hint="cs"/>
          <w:spacing w:val="0"/>
          <w:kern w:val="0"/>
          <w:rtl/>
          <w:lang w:eastAsia="zh-CN"/>
        </w:rPr>
        <w:t>ً</w:t>
      </w:r>
      <w:r w:rsidRPr="00DB4C15">
        <w:rPr>
          <w:rFonts w:eastAsia="SimSun" w:hint="cs"/>
          <w:spacing w:val="0"/>
          <w:kern w:val="0"/>
          <w:rtl/>
          <w:lang w:eastAsia="zh-CN"/>
        </w:rPr>
        <w:t xml:space="preserve"> وحقيقيا</w:t>
      </w:r>
      <w:r>
        <w:rPr>
          <w:rFonts w:eastAsia="SimSun" w:hint="cs"/>
          <w:spacing w:val="0"/>
          <w:kern w:val="0"/>
          <w:rtl/>
          <w:lang w:eastAsia="zh-CN"/>
        </w:rPr>
        <w:t>ً</w:t>
      </w:r>
      <w:r w:rsidRPr="00DB4C15">
        <w:rPr>
          <w:rFonts w:eastAsia="SimSun" w:hint="cs"/>
          <w:spacing w:val="0"/>
          <w:kern w:val="0"/>
          <w:rtl/>
          <w:lang w:eastAsia="zh-CN"/>
        </w:rPr>
        <w:t xml:space="preserve"> وشخصيا</w:t>
      </w:r>
      <w:r>
        <w:rPr>
          <w:rFonts w:eastAsia="SimSun" w:hint="cs"/>
          <w:spacing w:val="0"/>
          <w:kern w:val="0"/>
          <w:rtl/>
          <w:lang w:eastAsia="zh-CN"/>
        </w:rPr>
        <w:t>ً</w:t>
      </w:r>
      <w:r w:rsidRPr="00DB4C15">
        <w:rPr>
          <w:rFonts w:eastAsia="SimSun" w:hint="cs"/>
          <w:spacing w:val="0"/>
          <w:kern w:val="0"/>
          <w:rtl/>
          <w:lang w:eastAsia="zh-CN"/>
        </w:rPr>
        <w:t>: فصاحبا الشكوى لم يقدما أسباباً حقيقية تدعو إلى الاعتقاد بأنهما سيواجهان خطرا</w:t>
      </w:r>
      <w:r>
        <w:rPr>
          <w:rFonts w:eastAsia="SimSun" w:hint="cs"/>
          <w:spacing w:val="0"/>
          <w:kern w:val="0"/>
          <w:rtl/>
          <w:lang w:eastAsia="zh-CN"/>
        </w:rPr>
        <w:t>ً</w:t>
      </w:r>
      <w:r w:rsidRPr="00DB4C15">
        <w:rPr>
          <w:rFonts w:eastAsia="SimSun" w:hint="cs"/>
          <w:spacing w:val="0"/>
          <w:kern w:val="0"/>
          <w:rtl/>
          <w:lang w:eastAsia="zh-CN"/>
        </w:rPr>
        <w:t xml:space="preserve"> حقيقيا</w:t>
      </w:r>
      <w:r>
        <w:rPr>
          <w:rFonts w:eastAsia="SimSun" w:hint="cs"/>
          <w:spacing w:val="0"/>
          <w:kern w:val="0"/>
          <w:rtl/>
          <w:lang w:eastAsia="zh-CN"/>
        </w:rPr>
        <w:t>ً</w:t>
      </w:r>
      <w:r w:rsidRPr="00DB4C15">
        <w:rPr>
          <w:rFonts w:eastAsia="SimSun" w:hint="cs"/>
          <w:spacing w:val="0"/>
          <w:kern w:val="0"/>
          <w:rtl/>
          <w:lang w:eastAsia="zh-CN"/>
        </w:rPr>
        <w:t xml:space="preserve"> بالتعرض شخصيا</w:t>
      </w:r>
      <w:r>
        <w:rPr>
          <w:rFonts w:eastAsia="SimSun" w:hint="cs"/>
          <w:spacing w:val="0"/>
          <w:kern w:val="0"/>
          <w:rtl/>
          <w:lang w:eastAsia="zh-CN"/>
        </w:rPr>
        <w:t>ً</w:t>
      </w:r>
      <w:r w:rsidRPr="00DB4C15">
        <w:rPr>
          <w:rFonts w:eastAsia="SimSun" w:hint="cs"/>
          <w:spacing w:val="0"/>
          <w:kern w:val="0"/>
          <w:rtl/>
          <w:lang w:eastAsia="zh-CN"/>
        </w:rPr>
        <w:t xml:space="preserve"> لمعاملة تتنافى مع المادة 3 من الاتفاقية إذا رحلا إلى أفغانستان؛ وبالتالي، تكون الشكوى قاصرة عن بلوغ مستوى التعليل الأساسي المطلوب لأغراض المقبولية.</w:t>
      </w:r>
    </w:p>
    <w:p w:rsidR="00FA6676" w:rsidRPr="00AA537D" w:rsidRDefault="00FA6676" w:rsidP="00DB4C15">
      <w:pPr>
        <w:pStyle w:val="H23GA"/>
        <w:spacing w:line="360" w:lineRule="exact"/>
        <w:jc w:val="lowKashida"/>
        <w:rPr>
          <w:rFonts w:hint="cs"/>
          <w:spacing w:val="0"/>
          <w:kern w:val="0"/>
          <w:rtl/>
        </w:rPr>
      </w:pPr>
      <w:r w:rsidRPr="00AA537D">
        <w:rPr>
          <w:rFonts w:hint="cs"/>
          <w:spacing w:val="0"/>
          <w:kern w:val="0"/>
          <w:rtl/>
        </w:rPr>
        <w:tab/>
      </w:r>
      <w:r w:rsidRPr="00AA537D">
        <w:rPr>
          <w:rFonts w:hint="cs"/>
          <w:spacing w:val="0"/>
          <w:kern w:val="0"/>
          <w:rtl/>
        </w:rPr>
        <w:tab/>
        <w:t>الملاحظات الإضافية للدولة الطرف</w:t>
      </w:r>
    </w:p>
    <w:p w:rsidR="00FA6676" w:rsidRPr="004A1851" w:rsidRDefault="00FA6676" w:rsidP="00DB4C15">
      <w:pPr>
        <w:pStyle w:val="SingleTxtGA"/>
        <w:spacing w:line="360" w:lineRule="exact"/>
        <w:jc w:val="lowKashida"/>
        <w:rPr>
          <w:rFonts w:hint="cs"/>
          <w:spacing w:val="0"/>
          <w:kern w:val="0"/>
          <w:rtl/>
        </w:rPr>
      </w:pPr>
      <w:r w:rsidRPr="004A1851">
        <w:rPr>
          <w:rFonts w:hint="cs"/>
          <w:spacing w:val="0"/>
          <w:kern w:val="0"/>
          <w:rtl/>
        </w:rPr>
        <w:t>7-1</w:t>
      </w:r>
      <w:r w:rsidRPr="004A1851">
        <w:rPr>
          <w:rFonts w:hint="cs"/>
          <w:spacing w:val="0"/>
          <w:kern w:val="0"/>
          <w:rtl/>
        </w:rPr>
        <w:tab/>
        <w:t>في مذكرة شفوية مؤرخة 19 نيسان/أبريل 2010، أبلغت الدولة الطرف اللجنة بأن المادة 22 من الفصل 12 من قانون الأجانب لعام 2005 تقضي بأن قرار الطرد الذي لم</w:t>
      </w:r>
      <w:r w:rsidR="001A08AE" w:rsidRPr="004A1851">
        <w:rPr>
          <w:rFonts w:hint="eastAsia"/>
          <w:spacing w:val="0"/>
          <w:kern w:val="0"/>
          <w:rtl/>
        </w:rPr>
        <w:t> </w:t>
      </w:r>
      <w:r w:rsidRPr="004A1851">
        <w:rPr>
          <w:rFonts w:hint="cs"/>
          <w:spacing w:val="0"/>
          <w:kern w:val="0"/>
          <w:rtl/>
        </w:rPr>
        <w:t>تتخذه محكمة عادية على أساس ارتكاب جريمة يسقط بعد مضي أربع سنوات من التاريخ الذي أصبح</w:t>
      </w:r>
      <w:r w:rsidR="004A1851" w:rsidRPr="004A1851">
        <w:rPr>
          <w:rFonts w:hint="eastAsia"/>
          <w:spacing w:val="0"/>
          <w:kern w:val="0"/>
          <w:rtl/>
        </w:rPr>
        <w:t> </w:t>
      </w:r>
      <w:r w:rsidRPr="004A1851">
        <w:rPr>
          <w:rFonts w:hint="cs"/>
          <w:spacing w:val="0"/>
          <w:kern w:val="0"/>
          <w:rtl/>
        </w:rPr>
        <w:t>فيه نهائياً وغير قابل للاستئناف. وأصبح القرار الصادر بطرد صاحبي الشكوى نهائياً وغير قابل للاستئناف في 28 آذار/مارس 2006، وهو التاريخ الذي قرر فيه مجلس طعون الأجانب شطب الدعوى من قائمة الدعاوى المعروضة عليه لقيام صاحبي الشكوى بسحب الاستئناف المرفوع في الدعوى. وبذلك أصبح قرار الطرد لاغياً بحكم القانون في 28 آذار/مارس 2010.</w:t>
      </w:r>
    </w:p>
    <w:p w:rsidR="00FA6676" w:rsidRPr="00985A4E" w:rsidRDefault="00FA6676" w:rsidP="00DB4C15">
      <w:pPr>
        <w:pStyle w:val="SingleTxtGA"/>
        <w:spacing w:line="360" w:lineRule="exact"/>
        <w:jc w:val="lowKashida"/>
        <w:rPr>
          <w:rFonts w:hint="cs"/>
          <w:spacing w:val="-2"/>
          <w:kern w:val="0"/>
          <w:rtl/>
        </w:rPr>
      </w:pPr>
      <w:r w:rsidRPr="00985A4E">
        <w:rPr>
          <w:rFonts w:hint="cs"/>
          <w:spacing w:val="-2"/>
          <w:kern w:val="0"/>
          <w:rtl/>
        </w:rPr>
        <w:t>7-2</w:t>
      </w:r>
      <w:r w:rsidRPr="00985A4E">
        <w:rPr>
          <w:rFonts w:hint="cs"/>
          <w:spacing w:val="-2"/>
          <w:kern w:val="0"/>
          <w:rtl/>
        </w:rPr>
        <w:tab/>
        <w:t>وعند سقوط قرار الطرد، يُدعى الأجنبي إلى حضور اجتماع في مجلس الهجرة. وفي الاجتماع، يحاط الأجنبي علماً بسقوط قرار الطرد ويشجع على تقديم طلب جديد للحصول على تصريح للإقامة. ويؤدي الطلب الجديد المقدم بعد سقوط قرار الطرد الأصلي بقوة القانون إلى فحص الأسباب المتعلقة بالتماس اللجوء أو طلب تصريح الإقامة بالكامل في الوقت الذي يتم فيه تقديم هذا الطلب وليس عند تقديم الطلب السابق. ومن حيث المبدأ، يوافق المجلس على طلب الإقامة عندما لا يكون الأجنبي مسؤولاً عن سقوط قرار الطرد بقوة القانون عن طريق قيامه، مثلاً، بالاختفاء لتجنب تنفيذ القرار. وفي حالة الرفض، يجوز الطعن</w:t>
      </w:r>
      <w:r w:rsidR="009C3C50" w:rsidRPr="00985A4E">
        <w:rPr>
          <w:rFonts w:hint="eastAsia"/>
          <w:spacing w:val="-2"/>
          <w:kern w:val="0"/>
          <w:rtl/>
        </w:rPr>
        <w:t> </w:t>
      </w:r>
      <w:r w:rsidRPr="00985A4E">
        <w:rPr>
          <w:rFonts w:hint="cs"/>
          <w:spacing w:val="-2"/>
          <w:kern w:val="0"/>
          <w:rtl/>
        </w:rPr>
        <w:t>في قرار المجلس أمام محكمة الهجرة المختصة وبعد ذلك أمام محكمة الاستئناف المعنية بشؤون الهجرة.</w:t>
      </w:r>
    </w:p>
    <w:p w:rsidR="00FA6676" w:rsidRPr="00AA537D" w:rsidRDefault="00FA6676" w:rsidP="00DB4C15">
      <w:pPr>
        <w:pStyle w:val="SingleTxtGA"/>
        <w:spacing w:line="360" w:lineRule="exact"/>
        <w:jc w:val="lowKashida"/>
        <w:rPr>
          <w:rFonts w:hint="cs"/>
          <w:spacing w:val="0"/>
          <w:kern w:val="0"/>
          <w:rtl/>
        </w:rPr>
      </w:pPr>
      <w:r w:rsidRPr="00AA537D">
        <w:rPr>
          <w:rFonts w:hint="cs"/>
          <w:spacing w:val="0"/>
          <w:kern w:val="0"/>
          <w:rtl/>
        </w:rPr>
        <w:t>7-3</w:t>
      </w:r>
      <w:r w:rsidRPr="00AA537D">
        <w:rPr>
          <w:rFonts w:hint="cs"/>
          <w:spacing w:val="0"/>
          <w:kern w:val="0"/>
          <w:rtl/>
        </w:rPr>
        <w:tab/>
        <w:t>وفي القضية قيد البحث، يعني سقوط قرار الطرد بقوة القانون شيئين: الأول أن القرار موضوع البلاغ المعروض على اللجنة لم يعد قابلاً للتنفيذ أي أن صاحبي الشكوى ليسا مهددين الآن بالطرد؛ وثانياً، أن طلبهما الجديد المتعلق بالتماس اللجوء وطلب تصريح الإقامة سيعاد النظر فيهما مع الأسباب الداعمة لهما بالكامل وأنه يجوز الطعن في القرار الصادر بالرفض أمام محكمة الهجرة.</w:t>
      </w:r>
    </w:p>
    <w:p w:rsidR="00FA6676" w:rsidRPr="00985A4E" w:rsidRDefault="00FA6676" w:rsidP="00985A4E">
      <w:pPr>
        <w:pStyle w:val="SingleTxtGA"/>
        <w:spacing w:line="376" w:lineRule="exact"/>
        <w:jc w:val="lowKashida"/>
        <w:rPr>
          <w:rFonts w:hint="cs"/>
          <w:spacing w:val="-2"/>
          <w:kern w:val="0"/>
          <w:rtl/>
        </w:rPr>
      </w:pPr>
      <w:r w:rsidRPr="00985A4E">
        <w:rPr>
          <w:rFonts w:hint="cs"/>
          <w:spacing w:val="-2"/>
          <w:kern w:val="0"/>
          <w:rtl/>
        </w:rPr>
        <w:t>7-4</w:t>
      </w:r>
      <w:r w:rsidRPr="00985A4E">
        <w:rPr>
          <w:rFonts w:hint="cs"/>
          <w:spacing w:val="-2"/>
          <w:kern w:val="0"/>
          <w:rtl/>
        </w:rPr>
        <w:tab/>
        <w:t>وفي ضوء ما سلف، تطلب الدولة الطرف إلى اللجنة أن توقف النظر في البلاغ، شريطة أن يسحب صاحبا الشكوى البلاغ المقدم إلى اللجنة. وإذا قرر صاحبا الشكوى عدم سحب البلاغ، تؤكد الدولة الطرف موقفها بشأن عدم مقبولة البلاغ لعدم استنفاد سبل الانتصاف المحلية. وترى الدولة الطرف أن سقوط قرار الطرد الأصلي بقوة القانون، وإمكانية تقديم طلب جديد إلى مجلس الهجرة، وقابلية قرار مجلس الهجرة للطعن أمام محكمة الهجرة كلها سبل انتصاف فعالة من الانتهاك المزعوم للمادة 3. وعلاوة على ذلك، تشير الدولة الطرف إلى الفقرة 2 من المادة 110 من النظام الداخلي للجنة</w:t>
      </w:r>
      <w:r w:rsidRPr="00985A4E">
        <w:rPr>
          <w:spacing w:val="-2"/>
          <w:kern w:val="0"/>
          <w:vertAlign w:val="superscript"/>
          <w:rtl/>
        </w:rPr>
        <w:t>(</w:t>
      </w:r>
      <w:r w:rsidRPr="00985A4E">
        <w:rPr>
          <w:rStyle w:val="FootnoteReference"/>
          <w:spacing w:val="-2"/>
          <w:rtl/>
        </w:rPr>
        <w:footnoteReference w:id="458"/>
      </w:r>
      <w:r w:rsidRPr="00985A4E">
        <w:rPr>
          <w:spacing w:val="-2"/>
          <w:kern w:val="0"/>
          <w:vertAlign w:val="superscript"/>
          <w:rtl/>
        </w:rPr>
        <w:t>)</w:t>
      </w:r>
      <w:r w:rsidRPr="00985A4E">
        <w:rPr>
          <w:rFonts w:hint="cs"/>
          <w:spacing w:val="-2"/>
          <w:kern w:val="0"/>
          <w:rtl/>
        </w:rPr>
        <w:t xml:space="preserve"> التي يجوز بموجبها أن تعيد اللجنة النظر في القرار الصادر بعدم مقبولية البلاغ لعدم استنفاد سبل الانتصاف المحلية بناء على طلب من أحد أعضاء اللجنة أو طلب خطي مقدم من الفرد المعني أو نيابة عنه يتضمن معلومات تفيد بأن أسباب عدم المقبولية لم تعد قائمة، وبالتالي يجوز لصاحبي الشكوى، إذا رفض طلبهما الجديد المتعلق بالتماس اللجوء وطلب تصاريح الإقامة، أن يطلبا إلى اللجنة أن تعيد النظر في الشكوى.</w:t>
      </w:r>
    </w:p>
    <w:p w:rsidR="00FA6676" w:rsidRPr="00AA537D" w:rsidRDefault="00FA6676" w:rsidP="00985A4E">
      <w:pPr>
        <w:pStyle w:val="H23GA"/>
        <w:jc w:val="lowKashida"/>
        <w:rPr>
          <w:rFonts w:hint="cs"/>
          <w:spacing w:val="0"/>
          <w:kern w:val="0"/>
          <w:rtl/>
        </w:rPr>
      </w:pPr>
      <w:r w:rsidRPr="00AA537D">
        <w:rPr>
          <w:rFonts w:hint="cs"/>
          <w:spacing w:val="0"/>
          <w:kern w:val="0"/>
          <w:rtl/>
        </w:rPr>
        <w:tab/>
      </w:r>
      <w:r w:rsidRPr="00AA537D">
        <w:rPr>
          <w:rFonts w:hint="cs"/>
          <w:spacing w:val="0"/>
          <w:kern w:val="0"/>
          <w:rtl/>
        </w:rPr>
        <w:tab/>
        <w:t>تعليقات صاحبي الشكوى على ملاحظات الدولة الطرف</w:t>
      </w:r>
    </w:p>
    <w:p w:rsidR="00FA6676" w:rsidRPr="004A1851" w:rsidRDefault="00FA6676" w:rsidP="004A1851">
      <w:pPr>
        <w:pStyle w:val="SingleTxtGA"/>
        <w:jc w:val="lowKashida"/>
        <w:rPr>
          <w:rFonts w:hint="cs"/>
          <w:spacing w:val="0"/>
          <w:kern w:val="0"/>
          <w:rtl/>
        </w:rPr>
      </w:pPr>
      <w:r w:rsidRPr="004A1851">
        <w:rPr>
          <w:rFonts w:hint="cs"/>
          <w:spacing w:val="0"/>
          <w:kern w:val="0"/>
          <w:rtl/>
        </w:rPr>
        <w:t>8-1</w:t>
      </w:r>
      <w:r w:rsidRPr="004A1851">
        <w:rPr>
          <w:rFonts w:hint="cs"/>
          <w:spacing w:val="0"/>
          <w:kern w:val="0"/>
          <w:rtl/>
        </w:rPr>
        <w:tab/>
        <w:t>في رسالة مؤرخة 11 آذار/مارس 2011، أشار صاحبا الشكوى إلى أن الحالة في أفغانستان تزداد سوءاً وأن المخاطر التي سيتعرضان لها في حالة ترحيلهما إلى هذا البلد معروفة</w:t>
      </w:r>
      <w:r w:rsidR="004A1851">
        <w:rPr>
          <w:rFonts w:hint="eastAsia"/>
          <w:spacing w:val="0"/>
          <w:kern w:val="0"/>
          <w:rtl/>
        </w:rPr>
        <w:t> </w:t>
      </w:r>
      <w:r w:rsidRPr="004A1851">
        <w:rPr>
          <w:rFonts w:hint="cs"/>
          <w:spacing w:val="0"/>
          <w:kern w:val="0"/>
          <w:rtl/>
        </w:rPr>
        <w:t xml:space="preserve">تماماً. وادعى صاحبا الشكوى أنهما سيسجنان وسيتم إعدامهما خارج نطاق القانون في حالة عودتهما إلى أفغانستان. وأضافا أنهما عاشا فترة قصيرة جداً في أفغانستان وأنهما تعرضا خلال هذه الفترة للاضطهاد وسوء المعاملة. وقالا إنهما عاشا فترة طويلة في جمهورية إيران الإسلامية بوصفهما من اللاجئين ولا صلة لهما بأفغانستان. ويدعيان </w:t>
      </w:r>
      <w:r w:rsidR="004A1851" w:rsidRPr="004A1851">
        <w:rPr>
          <w:rFonts w:hint="cs"/>
          <w:spacing w:val="0"/>
          <w:kern w:val="0"/>
          <w:rtl/>
        </w:rPr>
        <w:t>أ</w:t>
      </w:r>
      <w:r w:rsidRPr="004A1851">
        <w:rPr>
          <w:rFonts w:hint="cs"/>
          <w:spacing w:val="0"/>
          <w:kern w:val="0"/>
          <w:rtl/>
        </w:rPr>
        <w:t>نهما ينتميان إلى منطقة خطيرة جداً في أفغانستان لا تنقطع فيها النزاعات المسلحة بين الإرهابيين والجنود والمجموعات الأخرى المسلحة. وقالا إن والدتهما وأخواتهما وأقاربهما يعيشون في السويد و</w:t>
      </w:r>
      <w:r w:rsidR="004A1851" w:rsidRPr="004A1851">
        <w:rPr>
          <w:rFonts w:hint="cs"/>
          <w:spacing w:val="0"/>
          <w:kern w:val="0"/>
          <w:rtl/>
        </w:rPr>
        <w:t>إ</w:t>
      </w:r>
      <w:r w:rsidRPr="004A1851">
        <w:rPr>
          <w:rFonts w:hint="cs"/>
          <w:spacing w:val="0"/>
          <w:kern w:val="0"/>
          <w:rtl/>
        </w:rPr>
        <w:t>نهما يرغبان في الحياة بسلام في السويد بالقرب من أقاربهما كما يرغبان في مواصلة تعليمهما والتخطيط لمستقبلهما.</w:t>
      </w:r>
    </w:p>
    <w:p w:rsidR="00FA6676" w:rsidRPr="004A1851" w:rsidRDefault="00FA6676" w:rsidP="004A1851">
      <w:pPr>
        <w:pStyle w:val="SingleTxtGA"/>
        <w:jc w:val="lowKashida"/>
        <w:rPr>
          <w:rFonts w:hint="cs"/>
          <w:spacing w:val="0"/>
          <w:kern w:val="0"/>
          <w:rtl/>
        </w:rPr>
      </w:pPr>
      <w:r w:rsidRPr="004A1851">
        <w:rPr>
          <w:rFonts w:hint="cs"/>
          <w:spacing w:val="0"/>
          <w:kern w:val="0"/>
          <w:rtl/>
        </w:rPr>
        <w:t>8-2</w:t>
      </w:r>
      <w:r w:rsidRPr="004A1851">
        <w:rPr>
          <w:rFonts w:hint="cs"/>
          <w:spacing w:val="0"/>
          <w:kern w:val="0"/>
          <w:rtl/>
        </w:rPr>
        <w:tab/>
        <w:t xml:space="preserve">وفي 21 آذار/مارس 2011، علّق صاحبا الشكوى على رسالة الدولة الطرف المؤرخة 19 نيسان/أبريل 2010. ويدعيان أن السويد رفضت التماسات اللجوء المقدمة منهما على الرغم من استنادها إلى أسس سليمة. ويعتقدان أن السويد ترغب في ترحيلهما إلى بلد لا يعرفانه تقريباً وليس لهما أقارب فيه. وأضافا </w:t>
      </w:r>
      <w:r w:rsidR="004A1851" w:rsidRPr="004A1851">
        <w:rPr>
          <w:rFonts w:hint="cs"/>
          <w:spacing w:val="0"/>
          <w:kern w:val="0"/>
          <w:rtl/>
        </w:rPr>
        <w:t>أ</w:t>
      </w:r>
      <w:r w:rsidRPr="004A1851">
        <w:rPr>
          <w:rFonts w:hint="cs"/>
          <w:spacing w:val="0"/>
          <w:kern w:val="0"/>
          <w:rtl/>
        </w:rPr>
        <w:t xml:space="preserve">نهما فقدا ثقتهما في سلطات الهجرة السويدية ولذلك قررا عدم تقديم طلبات أخرى للجوء على النحو الذي أوصت به الدولة الطرف خوفاً من رفض طلبات اللجوء الجديدة تلقائياً وأن السويد ستبادر بترحيلهما إلى أفغانستان دون إشعار آخر. </w:t>
      </w:r>
    </w:p>
    <w:p w:rsidR="00FA6676" w:rsidRPr="00AA537D" w:rsidRDefault="00FA6676" w:rsidP="00FB3C43">
      <w:pPr>
        <w:pStyle w:val="H23GA"/>
        <w:keepNext/>
        <w:jc w:val="lowKashida"/>
        <w:rPr>
          <w:rFonts w:hint="cs"/>
          <w:spacing w:val="0"/>
          <w:kern w:val="0"/>
          <w:rtl/>
        </w:rPr>
      </w:pPr>
      <w:r w:rsidRPr="00AA537D">
        <w:rPr>
          <w:rFonts w:hint="cs"/>
          <w:spacing w:val="0"/>
          <w:kern w:val="0"/>
          <w:rtl/>
        </w:rPr>
        <w:tab/>
      </w:r>
      <w:r w:rsidRPr="00AA537D">
        <w:rPr>
          <w:rFonts w:hint="cs"/>
          <w:spacing w:val="0"/>
          <w:kern w:val="0"/>
          <w:rtl/>
        </w:rPr>
        <w:tab/>
        <w:t>المعلومات الإضافية المقدمة من الدولة الطرف</w:t>
      </w:r>
    </w:p>
    <w:p w:rsidR="00FA6676" w:rsidRPr="00AA537D" w:rsidRDefault="00FA6676" w:rsidP="00AA537D">
      <w:pPr>
        <w:pStyle w:val="SingleTxtGA"/>
        <w:jc w:val="lowKashida"/>
        <w:rPr>
          <w:rFonts w:hint="cs"/>
          <w:spacing w:val="0"/>
          <w:kern w:val="0"/>
          <w:rtl/>
        </w:rPr>
      </w:pPr>
      <w:r w:rsidRPr="00AA537D">
        <w:rPr>
          <w:rFonts w:hint="cs"/>
          <w:spacing w:val="0"/>
          <w:kern w:val="0"/>
          <w:rtl/>
        </w:rPr>
        <w:t>9-</w:t>
      </w:r>
      <w:r w:rsidRPr="00AA537D">
        <w:rPr>
          <w:rFonts w:hint="cs"/>
          <w:spacing w:val="0"/>
          <w:kern w:val="0"/>
          <w:rtl/>
        </w:rPr>
        <w:tab/>
        <w:t>في 27 نيسان/أبريل 2011، وفي ضوء الرسالة السابقة المؤرخة 19 نيسان/ أبريل</w:t>
      </w:r>
      <w:r w:rsidRPr="00AA537D">
        <w:rPr>
          <w:rFonts w:hint="eastAsia"/>
          <w:spacing w:val="0"/>
          <w:kern w:val="0"/>
          <w:rtl/>
        </w:rPr>
        <w:t> </w:t>
      </w:r>
      <w:r w:rsidRPr="00AA537D">
        <w:rPr>
          <w:rFonts w:hint="cs"/>
          <w:spacing w:val="0"/>
          <w:kern w:val="0"/>
          <w:rtl/>
        </w:rPr>
        <w:t>2010 (انظر الفقرات 7-1 إلى 7-4 أعلاه)، كررت الدولة الطرف موقفها المتعلق بوقف النظر في البلاغ قيد البحث أو إعلان عدم مقبوليته لعدم استنفاد سبل الانتصاف المحلية على أساس أن أمام صاحبي الشكوى الآن، بعد سقوط طلبات اللجوء السابقة بقوة القانون، الفرصة لتقديم التماسات لجوء جديدة إلى مجلس الهجرة، مع جواز الطعن في قرارات مجلس الهجرة أمام محكمة الهجرة وبعد ذلك أمام محكمة الاستئناف المعنية بشؤون الهجرة.</w:t>
      </w:r>
    </w:p>
    <w:p w:rsidR="00FA6676" w:rsidRPr="00AA537D" w:rsidRDefault="00FA6676" w:rsidP="00AA537D">
      <w:pPr>
        <w:pStyle w:val="H23GA"/>
        <w:jc w:val="lowKashida"/>
        <w:rPr>
          <w:rFonts w:hint="cs"/>
          <w:spacing w:val="0"/>
          <w:kern w:val="0"/>
          <w:rtl/>
        </w:rPr>
      </w:pPr>
      <w:r w:rsidRPr="00AA537D">
        <w:rPr>
          <w:rFonts w:hint="cs"/>
          <w:spacing w:val="0"/>
          <w:kern w:val="0"/>
          <w:rtl/>
        </w:rPr>
        <w:tab/>
      </w:r>
      <w:r w:rsidRPr="00AA537D">
        <w:rPr>
          <w:rFonts w:hint="cs"/>
          <w:spacing w:val="0"/>
          <w:kern w:val="0"/>
          <w:rtl/>
        </w:rPr>
        <w:tab/>
        <w:t>التعليقات الإضافية المقدمة من صاحبي الشكوى</w:t>
      </w:r>
    </w:p>
    <w:p w:rsidR="00FA6676" w:rsidRPr="00AA537D" w:rsidRDefault="00FA6676" w:rsidP="00AA537D">
      <w:pPr>
        <w:pStyle w:val="SingleTxtGA"/>
        <w:jc w:val="lowKashida"/>
        <w:rPr>
          <w:rFonts w:hint="cs"/>
          <w:spacing w:val="0"/>
          <w:kern w:val="0"/>
          <w:rtl/>
        </w:rPr>
      </w:pPr>
      <w:r w:rsidRPr="00AA537D">
        <w:rPr>
          <w:rFonts w:hint="cs"/>
          <w:spacing w:val="0"/>
          <w:kern w:val="0"/>
          <w:rtl/>
        </w:rPr>
        <w:t>10-</w:t>
      </w:r>
      <w:r w:rsidRPr="00AA537D">
        <w:rPr>
          <w:rFonts w:hint="cs"/>
          <w:spacing w:val="0"/>
          <w:kern w:val="0"/>
          <w:rtl/>
        </w:rPr>
        <w:tab/>
        <w:t>في رسالة مؤرخة 24 حزيران/يونيه 2011، أكد صاحبا الشكوى أن السويد تواصل ترحيل ملتمسي اللجوء إلى مناطق تمزقها الحروب في أفغانستان على الرغم من دعم التماسات اللجوء المقدمة منهما بأدلة موضوعية ودقيقة ولذلك فإنهما لا يثقان في سلطات الهجرة السويدية ولا يرغبان في مواصلة إجراءات اللجوء إلى السويد. وقالا أيضاً إنهما يخشيان، في حالة بدء الإجراءات مع مجلس الهجرة السويدي، من رفض طلباتهما وإحالة قضيتهما تلقائياً إلى الشرطة لاتخاذ إجراءات الطرد. وأكدا أنهما سيتعرضان لخطر المعاملة اللاإنسانية، والإعدام خارج نطاق القانون، والتعذيب في حالة ترحيلهما قسراً إلى أفغانستان.</w:t>
      </w:r>
    </w:p>
    <w:p w:rsidR="00FA6676" w:rsidRPr="00AA537D" w:rsidRDefault="00FA6676" w:rsidP="00AA537D">
      <w:pPr>
        <w:pStyle w:val="H23GA"/>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المسائل والإجراءات المعروضة على اللجنة</w:t>
      </w:r>
    </w:p>
    <w:p w:rsidR="00FA6676" w:rsidRPr="00AA537D" w:rsidRDefault="00FA6676" w:rsidP="00AA537D">
      <w:pPr>
        <w:pStyle w:val="H4GA"/>
        <w:jc w:val="lowKashida"/>
        <w:rPr>
          <w:rFonts w:hint="cs"/>
          <w:spacing w:val="0"/>
          <w:kern w:val="0"/>
          <w:rtl/>
          <w:lang w:val="fr-CH"/>
        </w:rPr>
      </w:pPr>
      <w:r w:rsidRPr="00AA537D">
        <w:rPr>
          <w:rFonts w:hint="cs"/>
          <w:spacing w:val="0"/>
          <w:kern w:val="0"/>
          <w:rtl/>
          <w:lang w:val="fr-CH"/>
        </w:rPr>
        <w:tab/>
      </w:r>
      <w:r w:rsidRPr="00AA537D">
        <w:rPr>
          <w:rFonts w:hint="cs"/>
          <w:spacing w:val="0"/>
          <w:kern w:val="0"/>
          <w:rtl/>
          <w:lang w:val="fr-CH"/>
        </w:rPr>
        <w:tab/>
        <w:t>النظر في المقبولية</w:t>
      </w:r>
    </w:p>
    <w:p w:rsidR="00FA6676" w:rsidRPr="00AA537D" w:rsidRDefault="00FA6676" w:rsidP="003A2D39">
      <w:pPr>
        <w:pStyle w:val="SingleTxtGA"/>
        <w:jc w:val="lowKashida"/>
        <w:rPr>
          <w:rFonts w:hint="cs"/>
          <w:spacing w:val="0"/>
          <w:kern w:val="0"/>
          <w:rtl/>
          <w:lang w:val="fr-CH"/>
        </w:rPr>
      </w:pPr>
      <w:r w:rsidRPr="00AA537D">
        <w:rPr>
          <w:rFonts w:hint="cs"/>
          <w:spacing w:val="0"/>
          <w:kern w:val="0"/>
          <w:rtl/>
          <w:lang w:val="fr-CH"/>
        </w:rPr>
        <w:t>11-1</w:t>
      </w:r>
      <w:r w:rsidRPr="00AA537D">
        <w:rPr>
          <w:rFonts w:hint="cs"/>
          <w:spacing w:val="0"/>
          <w:kern w:val="0"/>
          <w:rtl/>
          <w:lang w:val="fr-CH"/>
        </w:rPr>
        <w:tab/>
      </w:r>
      <w:r w:rsidR="003A2D39" w:rsidRPr="00ED6B1C">
        <w:rPr>
          <w:spacing w:val="-2"/>
          <w:kern w:val="0"/>
          <w:sz w:val="20"/>
          <w:rtl/>
        </w:rPr>
        <w:t xml:space="preserve">قبل النظر في أية ادعاءات ترد في شكوى ما، </w:t>
      </w:r>
      <w:r w:rsidR="003A2D39" w:rsidRPr="00ED6B1C">
        <w:rPr>
          <w:rFonts w:hint="cs"/>
          <w:spacing w:val="-2"/>
          <w:kern w:val="0"/>
          <w:sz w:val="20"/>
          <w:rtl/>
        </w:rPr>
        <w:t>يتعين</w:t>
      </w:r>
      <w:r w:rsidR="003A2D39" w:rsidRPr="00ED6B1C">
        <w:rPr>
          <w:spacing w:val="-2"/>
          <w:kern w:val="0"/>
          <w:sz w:val="20"/>
          <w:rtl/>
        </w:rPr>
        <w:t xml:space="preserve"> على لجنة مناهضة التعذيب أن </w:t>
      </w:r>
      <w:r w:rsidR="003A2D39" w:rsidRPr="00ED6B1C">
        <w:rPr>
          <w:rFonts w:hint="cs"/>
          <w:spacing w:val="-2"/>
          <w:kern w:val="0"/>
          <w:sz w:val="20"/>
          <w:rtl/>
        </w:rPr>
        <w:t>تبت في</w:t>
      </w:r>
      <w:r w:rsidR="003A2D39" w:rsidRPr="00ED6B1C">
        <w:rPr>
          <w:spacing w:val="-2"/>
          <w:kern w:val="0"/>
          <w:sz w:val="20"/>
          <w:rtl/>
        </w:rPr>
        <w:t>ما إذا كانت الشكوى مقبولة أم لا</w:t>
      </w:r>
      <w:r w:rsidRPr="00AA537D">
        <w:rPr>
          <w:spacing w:val="0"/>
          <w:kern w:val="0"/>
          <w:rtl/>
          <w:lang w:val="fr-CH"/>
        </w:rPr>
        <w:t xml:space="preserve"> </w:t>
      </w:r>
      <w:r w:rsidR="003A2D39">
        <w:rPr>
          <w:rFonts w:hint="cs"/>
          <w:spacing w:val="0"/>
          <w:kern w:val="0"/>
          <w:rtl/>
          <w:lang w:val="fr-CH"/>
        </w:rPr>
        <w:t xml:space="preserve">بموجب </w:t>
      </w:r>
      <w:r w:rsidRPr="00AA537D">
        <w:rPr>
          <w:spacing w:val="0"/>
          <w:kern w:val="0"/>
          <w:rtl/>
          <w:lang w:val="fr-CH"/>
        </w:rPr>
        <w:t>المادة 22 من الاتفاقية.</w:t>
      </w:r>
    </w:p>
    <w:p w:rsidR="00FA6676" w:rsidRPr="00AA537D" w:rsidRDefault="00FA6676" w:rsidP="00AA537D">
      <w:pPr>
        <w:pStyle w:val="SingleTxtGA"/>
        <w:jc w:val="lowKashida"/>
        <w:rPr>
          <w:rFonts w:hint="cs"/>
          <w:spacing w:val="0"/>
          <w:kern w:val="0"/>
          <w:rtl/>
          <w:lang w:val="fr-CH"/>
        </w:rPr>
      </w:pPr>
      <w:r w:rsidRPr="00AA537D">
        <w:rPr>
          <w:rFonts w:hint="cs"/>
          <w:spacing w:val="0"/>
          <w:kern w:val="0"/>
          <w:rtl/>
          <w:lang w:val="fr-CH"/>
        </w:rPr>
        <w:t>11-2</w:t>
      </w:r>
      <w:r w:rsidRPr="00AA537D">
        <w:rPr>
          <w:rFonts w:hint="cs"/>
          <w:spacing w:val="0"/>
          <w:kern w:val="0"/>
          <w:rtl/>
          <w:lang w:val="fr-CH"/>
        </w:rPr>
        <w:tab/>
      </w:r>
      <w:r w:rsidRPr="00AA537D">
        <w:rPr>
          <w:spacing w:val="0"/>
          <w:kern w:val="0"/>
          <w:rtl/>
          <w:lang w:val="fr-CH"/>
        </w:rPr>
        <w:t>ووفقاً لما تقتضيه أحكام الفقرة 5(أ) من المادة 22 من الاتفاقية، تأكدت اللجنة من أن المسألة ذاتها لم تنظر فيها ولا تنظر فيها حالياً هيئة دولية أخرى للتحقيق أو التسوية.</w:t>
      </w:r>
    </w:p>
    <w:p w:rsidR="00FA6676" w:rsidRPr="00985A4E" w:rsidRDefault="00FA6676" w:rsidP="00985A4E">
      <w:pPr>
        <w:pStyle w:val="SingleTxtGA"/>
        <w:jc w:val="lowKashida"/>
        <w:rPr>
          <w:rFonts w:hint="cs"/>
          <w:spacing w:val="-2"/>
          <w:kern w:val="0"/>
          <w:rtl/>
          <w:lang w:val="fr-CH"/>
        </w:rPr>
      </w:pPr>
      <w:r w:rsidRPr="00AA537D">
        <w:rPr>
          <w:rFonts w:hint="cs"/>
          <w:spacing w:val="0"/>
          <w:kern w:val="0"/>
          <w:rtl/>
          <w:lang w:val="fr-CH"/>
        </w:rPr>
        <w:t>11-3</w:t>
      </w:r>
      <w:r w:rsidRPr="00AA537D">
        <w:rPr>
          <w:rFonts w:hint="cs"/>
          <w:spacing w:val="0"/>
          <w:kern w:val="0"/>
          <w:rtl/>
          <w:lang w:val="fr-CH"/>
        </w:rPr>
        <w:tab/>
      </w:r>
      <w:r w:rsidRPr="00AA537D">
        <w:rPr>
          <w:spacing w:val="0"/>
          <w:kern w:val="0"/>
          <w:rtl/>
          <w:lang w:val="fr-CH"/>
        </w:rPr>
        <w:t>ووفقاً للفقرة 5(ب) من المادة 22 من الاتفاقية، لا تنظر اللجنة في أي بلاغ ما لم تتأكد من استنف</w:t>
      </w:r>
      <w:r w:rsidRPr="00AA537D">
        <w:rPr>
          <w:rFonts w:hint="cs"/>
          <w:spacing w:val="0"/>
          <w:kern w:val="0"/>
          <w:rtl/>
          <w:lang w:val="fr-CH"/>
        </w:rPr>
        <w:t>ا</w:t>
      </w:r>
      <w:r w:rsidRPr="00AA537D">
        <w:rPr>
          <w:spacing w:val="0"/>
          <w:kern w:val="0"/>
          <w:rtl/>
          <w:lang w:val="fr-CH"/>
        </w:rPr>
        <w:t>د جميع سبل الانتصاف المحلية المتاحة</w:t>
      </w:r>
      <w:r w:rsidRPr="00AA537D">
        <w:rPr>
          <w:rFonts w:hint="cs"/>
          <w:spacing w:val="0"/>
          <w:kern w:val="0"/>
          <w:rtl/>
          <w:lang w:val="fr-CH"/>
        </w:rPr>
        <w:t xml:space="preserve">؛ ولا تنطبق </w:t>
      </w:r>
      <w:r w:rsidRPr="00AA537D">
        <w:rPr>
          <w:rFonts w:hint="cs"/>
          <w:spacing w:val="0"/>
          <w:kern w:val="0"/>
          <w:rtl/>
        </w:rPr>
        <w:t xml:space="preserve">هذه القاعدة إذا ثبت أن تطبيق سبل الانتصاف المحلية قد استغرق أو سيستغرق وقتاً طويلاً على نحو غير معقول، أو أن </w:t>
      </w:r>
      <w:r w:rsidRPr="00985A4E">
        <w:rPr>
          <w:rFonts w:hint="cs"/>
          <w:spacing w:val="0"/>
          <w:kern w:val="0"/>
          <w:rtl/>
        </w:rPr>
        <w:t>من غير المحتمل أن يحقق هذا التطبيق إنصافاً فعالاً.</w:t>
      </w:r>
      <w:r w:rsidRPr="00985A4E">
        <w:rPr>
          <w:spacing w:val="0"/>
          <w:kern w:val="0"/>
          <w:rtl/>
          <w:lang w:val="fr-CH"/>
        </w:rPr>
        <w:t xml:space="preserve"> </w:t>
      </w:r>
      <w:r w:rsidRPr="00985A4E">
        <w:rPr>
          <w:rFonts w:hint="cs"/>
          <w:spacing w:val="0"/>
          <w:kern w:val="0"/>
          <w:rtl/>
          <w:lang w:val="fr-CH"/>
        </w:rPr>
        <w:t xml:space="preserve">وتشير اللجنة إلى الدفع المقدم من الدولة الطرف بأن صاحبي الشكوى لم يطعنا في قرار مجلس الهجرة الصادر في 3 كانون الأول/ ديسمبر 2008 (انظر الفقرة 6-15 أعلاه). ولم يقدم صاحبا الشكوى ما يدل على صحة ما يدعيانه من أن الطعن أمام محكمة الاستئناف المعنية بشؤون الهجرة لن يحقق لهما إنصافاً فعالاً ولكنهما ذكرا فقط أن سبل الانتصاف المحلية قد استنفدت بدليل شروع السلطات السويدية في اتخاذ الإجراءات اللازمة لترحيلهما. وتشير اللجنة أيضاً إلى المعلومات المؤكدة </w:t>
      </w:r>
      <w:r w:rsidRPr="00985A4E">
        <w:rPr>
          <w:rFonts w:hint="cs"/>
          <w:spacing w:val="-2"/>
          <w:kern w:val="0"/>
          <w:rtl/>
          <w:lang w:val="fr-CH"/>
        </w:rPr>
        <w:t xml:space="preserve">المقدمة من الدولة الطرف بأن صاحبي الشكوى لم يذكرا في إجراءات اللجوء أنهما قد تعرضا للتعذيب في أفغانستان وأن هذه المعلومات قدمت لأول مرة في البلاغ المقدم إلى اللجنة (انظر الفقرة 6-23 أعلاه). وتشير اللجنة كذلك إلى المعلومات المقدمة من الدولة الطرف بأن القرار الصادر بالطرد سقط بقوة القانون في 28 آذار/مارس 2010 وأصبح بالتالي غير قابل للتنفيذ، وبأنه لم يعد صاحبا البلاغ مهددين بالترحيل إلى أفغانستان، وبأن أمامهما الآن الفرصة لتقديم طلبات جديدة للجوء، وبأن مجلس الهجرة سينظر في هذه الطلبات بأكملها من جديد، وبأنه يجوز الطعن في قرار مجلس الهجرة، عند الاقتضاء، أمام محكمة الهجرة وبعد ذلك أمام محكمة الاستئناف المعنية بشؤون الهجرة. وتلاحظ اللجنة أن صاحبي الشكوى لم يقدما على الرغم من ذلك طلبات جديدة للجوء بدعوى أنها سترفض تلقائياً وأن السلطات السويدية ستتخذ الإجراءات اللازمة لترحيلهما دون إشعار آخر. وفي هذا الصدد، تشير اللجنة إلى سوابقها القضائية التي تقضي بأن </w:t>
      </w:r>
      <w:r w:rsidRPr="00985A4E">
        <w:rPr>
          <w:rFonts w:hint="cs"/>
          <w:spacing w:val="-2"/>
          <w:kern w:val="0"/>
          <w:rtl/>
        </w:rPr>
        <w:t>الشكوك وحدها إزاء فعالية سبيل من سبل الانتصاف لا تعفي صاحب الشكوى من استنفاد ذلك السبيل</w:t>
      </w:r>
      <w:r w:rsidRPr="00985A4E">
        <w:rPr>
          <w:spacing w:val="-2"/>
          <w:kern w:val="0"/>
          <w:vertAlign w:val="superscript"/>
          <w:rtl/>
          <w:lang w:val="fr-CH"/>
        </w:rPr>
        <w:t>(</w:t>
      </w:r>
      <w:r w:rsidRPr="00985A4E">
        <w:rPr>
          <w:rStyle w:val="FootnoteReference"/>
          <w:spacing w:val="-2"/>
          <w:rtl/>
          <w:lang w:val="fr-CH"/>
        </w:rPr>
        <w:footnoteReference w:id="459"/>
      </w:r>
      <w:r w:rsidRPr="00985A4E">
        <w:rPr>
          <w:spacing w:val="-2"/>
          <w:kern w:val="0"/>
          <w:vertAlign w:val="superscript"/>
          <w:rtl/>
          <w:lang w:val="fr-CH"/>
        </w:rPr>
        <w:t>)</w:t>
      </w:r>
      <w:r w:rsidRPr="00985A4E">
        <w:rPr>
          <w:rFonts w:hint="cs"/>
          <w:spacing w:val="-2"/>
          <w:kern w:val="0"/>
          <w:rtl/>
          <w:lang w:val="fr-CH"/>
        </w:rPr>
        <w:t>. وترى اللجنة أنه ليس هناك</w:t>
      </w:r>
      <w:r w:rsidR="00985A4E" w:rsidRPr="00985A4E">
        <w:rPr>
          <w:rFonts w:hint="eastAsia"/>
          <w:spacing w:val="-2"/>
          <w:kern w:val="0"/>
          <w:rtl/>
          <w:lang w:val="fr-CH"/>
        </w:rPr>
        <w:t> </w:t>
      </w:r>
      <w:r w:rsidRPr="00985A4E">
        <w:rPr>
          <w:rFonts w:hint="cs"/>
          <w:spacing w:val="-2"/>
          <w:kern w:val="0"/>
          <w:rtl/>
          <w:lang w:val="fr-CH"/>
        </w:rPr>
        <w:t>ما يدل على أن هذا السبيل من سبل الانتصاف لن يؤدي إلى انتصاف فعال لصاحبي</w:t>
      </w:r>
      <w:r w:rsidR="00985A4E" w:rsidRPr="00985A4E">
        <w:rPr>
          <w:rFonts w:hint="eastAsia"/>
          <w:spacing w:val="-2"/>
          <w:kern w:val="0"/>
          <w:rtl/>
          <w:lang w:val="fr-CH"/>
        </w:rPr>
        <w:t> </w:t>
      </w:r>
      <w:r w:rsidRPr="00985A4E">
        <w:rPr>
          <w:rFonts w:hint="cs"/>
          <w:spacing w:val="-2"/>
          <w:kern w:val="0"/>
          <w:rtl/>
          <w:lang w:val="fr-CH"/>
        </w:rPr>
        <w:t>الشكوى، لا سيما وأن بإمكانهما الآن أن يثيرا أمام سلطات الهجرة الإدعاء بأنهما تعرضا في الماضي للتعذيب في أفغانستان، الأمر الذي لم يشيرا إليه من قبل في الإجراءات المتعلقة باللجوء.</w:t>
      </w:r>
    </w:p>
    <w:p w:rsidR="00FA6676" w:rsidRPr="00985A4E" w:rsidRDefault="00FA6676" w:rsidP="00AA537D">
      <w:pPr>
        <w:pStyle w:val="SingleTxtGA"/>
        <w:jc w:val="lowKashida"/>
        <w:rPr>
          <w:rFonts w:hint="cs"/>
          <w:spacing w:val="0"/>
          <w:kern w:val="0"/>
          <w:rtl/>
        </w:rPr>
      </w:pPr>
      <w:r w:rsidRPr="00985A4E">
        <w:rPr>
          <w:rFonts w:hint="cs"/>
          <w:spacing w:val="0"/>
          <w:kern w:val="0"/>
          <w:rtl/>
          <w:lang w:val="fr-CH"/>
        </w:rPr>
        <w:t>11-4</w:t>
      </w:r>
      <w:r w:rsidRPr="00985A4E">
        <w:rPr>
          <w:rFonts w:hint="cs"/>
          <w:spacing w:val="0"/>
          <w:kern w:val="0"/>
          <w:rtl/>
          <w:lang w:val="fr-CH"/>
        </w:rPr>
        <w:tab/>
        <w:t xml:space="preserve">وفي ضوء ما سبق، </w:t>
      </w:r>
      <w:r w:rsidRPr="00985A4E">
        <w:rPr>
          <w:rFonts w:hint="cs"/>
          <w:spacing w:val="0"/>
          <w:kern w:val="0"/>
          <w:rtl/>
        </w:rPr>
        <w:t>تخلص اللجنة إلى عدم مقبولية الشكوى بموجب الفقرة 5(ب) من المادة 22 من الاتفاقية بسبب عدم استنفاد سبل الانتصاف المحلية: (أ) لأن صاحبي الشكوى لم يطعنا في قرار محكمة الهجرة الصادر في 3 كانون الأول/ديسمبر 2008 أمام محكمة الاستئ</w:t>
      </w:r>
      <w:r w:rsidR="00F85F7C">
        <w:rPr>
          <w:rFonts w:hint="cs"/>
          <w:spacing w:val="0"/>
          <w:kern w:val="0"/>
          <w:rtl/>
        </w:rPr>
        <w:t>ناف المعنية بشؤون الهجرة؛ (ب) و</w:t>
      </w:r>
      <w:r w:rsidRPr="00985A4E">
        <w:rPr>
          <w:rFonts w:hint="cs"/>
          <w:spacing w:val="0"/>
          <w:kern w:val="0"/>
          <w:rtl/>
        </w:rPr>
        <w:t>لأنهما لم يثيرا ادعاءهما المتعلق بالتعذيب في الإجراءات المحلية للهجرة؛ (ج) ولأنهما لم يتخذا إجراءات جديدة للجوء ما دام القرار الصادر بالطرد قد سقط بقوة القانون، على الرغم من إتاحة الفرصة لهما للقيام بذلك.</w:t>
      </w:r>
    </w:p>
    <w:p w:rsidR="00FA6676" w:rsidRPr="00985A4E" w:rsidRDefault="00FA6676" w:rsidP="00AA537D">
      <w:pPr>
        <w:pStyle w:val="SingleTxtGA"/>
        <w:jc w:val="lowKashida"/>
        <w:rPr>
          <w:rFonts w:hint="cs"/>
          <w:spacing w:val="0"/>
          <w:kern w:val="0"/>
          <w:rtl/>
        </w:rPr>
      </w:pPr>
      <w:r w:rsidRPr="00985A4E">
        <w:rPr>
          <w:rFonts w:hint="cs"/>
          <w:spacing w:val="0"/>
          <w:kern w:val="0"/>
          <w:rtl/>
        </w:rPr>
        <w:t>12-</w:t>
      </w:r>
      <w:r w:rsidRPr="00985A4E">
        <w:rPr>
          <w:rFonts w:hint="cs"/>
          <w:spacing w:val="0"/>
          <w:kern w:val="0"/>
          <w:rtl/>
        </w:rPr>
        <w:tab/>
        <w:t>وبناء عليه، تقرر اللجنة ما يلي:</w:t>
      </w:r>
    </w:p>
    <w:p w:rsidR="00FA6676" w:rsidRPr="00985A4E" w:rsidRDefault="00FA6676" w:rsidP="00AA537D">
      <w:pPr>
        <w:pStyle w:val="SingleTxtGA"/>
        <w:jc w:val="lowKashida"/>
        <w:rPr>
          <w:rFonts w:hint="cs"/>
          <w:spacing w:val="0"/>
          <w:kern w:val="0"/>
          <w:rtl/>
        </w:rPr>
      </w:pPr>
      <w:r w:rsidRPr="00985A4E">
        <w:rPr>
          <w:rFonts w:hint="cs"/>
          <w:spacing w:val="0"/>
          <w:kern w:val="0"/>
          <w:rtl/>
        </w:rPr>
        <w:tab/>
        <w:t>(أ)</w:t>
      </w:r>
      <w:r w:rsidRPr="00985A4E">
        <w:rPr>
          <w:rFonts w:hint="cs"/>
          <w:spacing w:val="0"/>
          <w:kern w:val="0"/>
          <w:rtl/>
        </w:rPr>
        <w:tab/>
        <w:t>عدم مقبولية البلاغ بموجب الفقرة 5(ب) من المادة 22 من الاتفاقية؛</w:t>
      </w:r>
    </w:p>
    <w:p w:rsidR="00FA6676" w:rsidRPr="00AA537D" w:rsidRDefault="00FA6676" w:rsidP="00AA537D">
      <w:pPr>
        <w:pStyle w:val="SingleTxtGA"/>
        <w:jc w:val="lowKashida"/>
        <w:rPr>
          <w:rFonts w:hint="cs"/>
          <w:spacing w:val="0"/>
          <w:kern w:val="0"/>
          <w:rtl/>
        </w:rPr>
      </w:pPr>
      <w:r w:rsidRPr="00AA537D">
        <w:rPr>
          <w:rFonts w:hint="cs"/>
          <w:spacing w:val="0"/>
          <w:kern w:val="0"/>
          <w:rtl/>
        </w:rPr>
        <w:tab/>
        <w:t>(ب)</w:t>
      </w:r>
      <w:r w:rsidRPr="00AA537D">
        <w:rPr>
          <w:rFonts w:hint="cs"/>
          <w:spacing w:val="0"/>
          <w:kern w:val="0"/>
          <w:rtl/>
        </w:rPr>
        <w:tab/>
        <w:t>يجوز إعادة النظر في هذا القرار بموجب الفقرة 2 من المادة 116 من النظام الداخلي للجنة لدى تلقي طلب من صاحبي الشكوى أو باسمهما يشتمل على معلومات تفيد أن أسباب عدم المقبولية لم تعد منطبقة؛</w:t>
      </w:r>
    </w:p>
    <w:p w:rsidR="001D3F00" w:rsidRDefault="00FA6676" w:rsidP="00AA537D">
      <w:pPr>
        <w:pStyle w:val="SingleTxtGA"/>
        <w:jc w:val="lowKashida"/>
        <w:rPr>
          <w:rFonts w:hint="cs"/>
          <w:spacing w:val="0"/>
          <w:kern w:val="0"/>
          <w:rtl/>
        </w:rPr>
      </w:pPr>
      <w:r w:rsidRPr="00AA537D">
        <w:rPr>
          <w:rFonts w:hint="cs"/>
          <w:spacing w:val="0"/>
          <w:kern w:val="0"/>
          <w:rtl/>
        </w:rPr>
        <w:tab/>
        <w:t>(ج)</w:t>
      </w:r>
      <w:r w:rsidRPr="00AA537D">
        <w:rPr>
          <w:rFonts w:hint="cs"/>
          <w:spacing w:val="0"/>
          <w:kern w:val="0"/>
          <w:rtl/>
        </w:rPr>
        <w:tab/>
        <w:t>يُرسَل هذا القرار إلى صاحبي الشكوى والدولة الطرف.</w:t>
      </w:r>
    </w:p>
    <w:p w:rsidR="00985A4E" w:rsidRPr="006501D7" w:rsidRDefault="006501D7" w:rsidP="006501D7">
      <w:pPr>
        <w:spacing w:before="120" w:line="240" w:lineRule="atLeast"/>
        <w:jc w:val="center"/>
        <w:rPr>
          <w:rFonts w:hint="cs"/>
          <w:kern w:val="0"/>
          <w:u w:val="single"/>
          <w:rtl/>
          <w:lang w:val="fr-CH" w:eastAsia="en-US"/>
        </w:rPr>
      </w:pPr>
      <w:r>
        <w:rPr>
          <w:kern w:val="0"/>
          <w:u w:val="single"/>
          <w:rtl/>
          <w:lang w:val="fr-CH" w:eastAsia="en-US"/>
        </w:rPr>
        <w:tab/>
      </w:r>
      <w:r>
        <w:rPr>
          <w:kern w:val="0"/>
          <w:u w:val="single"/>
          <w:rtl/>
          <w:lang w:val="fr-CH" w:eastAsia="en-US"/>
        </w:rPr>
        <w:tab/>
      </w:r>
      <w:r>
        <w:rPr>
          <w:kern w:val="0"/>
          <w:u w:val="single"/>
          <w:rtl/>
          <w:lang w:val="fr-CH" w:eastAsia="en-US"/>
        </w:rPr>
        <w:tab/>
      </w:r>
    </w:p>
    <w:sectPr w:rsidR="00985A4E" w:rsidRPr="006501D7" w:rsidSect="001D3F00">
      <w:footnotePr>
        <w:numFmt w:val="arabicAbjad"/>
        <w:numRestart w:val="eachSect"/>
      </w:footnotePr>
      <w:endnotePr>
        <w:numFmt w:val="decimal"/>
      </w:endnotePr>
      <w:pgSz w:w="11906" w:h="16838" w:code="9"/>
      <w:pgMar w:top="1701" w:right="1134" w:bottom="2268" w:left="1134" w:header="1134" w:footer="1701"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D4C" w:rsidRPr="00FE6865" w:rsidRDefault="00D64D4C" w:rsidP="00FE6865">
      <w:pPr>
        <w:pStyle w:val="Footer"/>
      </w:pPr>
    </w:p>
  </w:endnote>
  <w:endnote w:type="continuationSeparator" w:id="0">
    <w:p w:rsidR="00D64D4C" w:rsidRDefault="00D64D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4E0A37" w:rsidRDefault="00D64D4C" w:rsidP="006C3172">
    <w:pPr>
      <w:pStyle w:val="Footer"/>
      <w:tabs>
        <w:tab w:val="right" w:pos="9598"/>
      </w:tabs>
    </w:pPr>
    <w:r>
      <w:t>GE.12-44490</w:t>
    </w:r>
    <w:r>
      <w:tab/>
    </w:r>
    <w:r w:rsidRPr="004E0A37">
      <w:rPr>
        <w:b/>
        <w:sz w:val="18"/>
      </w:rPr>
      <w:fldChar w:fldCharType="begin"/>
    </w:r>
    <w:r w:rsidRPr="004E0A37">
      <w:rPr>
        <w:b/>
        <w:sz w:val="18"/>
      </w:rPr>
      <w:instrText xml:space="preserve"> PAGE  \* MERGEFORMAT </w:instrText>
    </w:r>
    <w:r w:rsidRPr="004E0A37">
      <w:rPr>
        <w:b/>
        <w:sz w:val="18"/>
      </w:rPr>
      <w:fldChar w:fldCharType="separate"/>
    </w:r>
    <w:r>
      <w:rPr>
        <w:b/>
        <w:noProof/>
        <w:sz w:val="18"/>
      </w:rPr>
      <w:t>592</w:t>
    </w:r>
    <w:r w:rsidRPr="004E0A37">
      <w:rPr>
        <w:b/>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4E0A37" w:rsidRDefault="00D64D4C" w:rsidP="003E0628">
    <w:pPr>
      <w:pStyle w:val="Footer"/>
      <w:tabs>
        <w:tab w:val="right" w:pos="9598"/>
      </w:tabs>
      <w:rPr>
        <w:b/>
        <w:sz w:val="18"/>
      </w:rPr>
    </w:pPr>
    <w:r w:rsidRPr="004E0A37">
      <w:rPr>
        <w:b/>
        <w:sz w:val="18"/>
      </w:rPr>
      <w:fldChar w:fldCharType="begin"/>
    </w:r>
    <w:r w:rsidRPr="004E0A37">
      <w:rPr>
        <w:b/>
        <w:sz w:val="18"/>
      </w:rPr>
      <w:instrText xml:space="preserve"> PAGE  \* MERGEFORMAT </w:instrText>
    </w:r>
    <w:r w:rsidRPr="004E0A37">
      <w:rPr>
        <w:b/>
        <w:sz w:val="18"/>
      </w:rPr>
      <w:fldChar w:fldCharType="separate"/>
    </w:r>
    <w:r>
      <w:rPr>
        <w:b/>
        <w:noProof/>
        <w:sz w:val="18"/>
      </w:rPr>
      <w:t>733</w:t>
    </w:r>
    <w:r w:rsidRPr="004E0A37">
      <w:rPr>
        <w:b/>
        <w:sz w:val="18"/>
      </w:rPr>
      <w:fldChar w:fldCharType="end"/>
    </w:r>
    <w:r>
      <w:rPr>
        <w:b/>
        <w:sz w:val="18"/>
      </w:rPr>
      <w:tab/>
    </w:r>
    <w:r>
      <w:t>GE.12-44490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AD7965" w:rsidRDefault="00D64D4C" w:rsidP="00AD796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AD7965" w:rsidRDefault="00D64D4C" w:rsidP="00AD796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CA7A57" w:rsidRDefault="00D64D4C" w:rsidP="001F1B2D">
    <w:pPr>
      <w:pStyle w:val="Footer"/>
      <w:tabs>
        <w:tab w:val="left" w:pos="6243"/>
      </w:tabs>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sz w:val="20"/>
      </w:rPr>
      <w:tab/>
      <w:t>(A)   GE.12-44490    300912    011012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9C5C40" w:rsidRDefault="00D64D4C" w:rsidP="009C5C40">
    <w:pPr>
      <w:pStyle w:val="Footer"/>
      <w:tabs>
        <w:tab w:val="right" w:pos="9598"/>
      </w:tabs>
      <w:jc w:val="lowKashida"/>
      <w:rPr>
        <w:szCs w:val="18"/>
      </w:rPr>
    </w:pPr>
    <w:r>
      <w:t>GE.12-</w:t>
    </w:r>
    <w:r>
      <w:rPr>
        <w:spacing w:val="0"/>
        <w:kern w:val="0"/>
        <w:lang w:eastAsia="en-US"/>
      </w:rPr>
      <w:t>44490</w:t>
    </w:r>
    <w:r>
      <w:tab/>
    </w:r>
    <w:r w:rsidRPr="00C67505">
      <w:rPr>
        <w:b/>
        <w:sz w:val="18"/>
      </w:rPr>
      <w:fldChar w:fldCharType="begin"/>
    </w:r>
    <w:r w:rsidRPr="00C67505">
      <w:rPr>
        <w:b/>
        <w:sz w:val="18"/>
      </w:rPr>
      <w:instrText xml:space="preserve"> PAGE  \* MERGEFORMAT </w:instrText>
    </w:r>
    <w:r w:rsidRPr="00C67505">
      <w:rPr>
        <w:b/>
        <w:sz w:val="18"/>
      </w:rPr>
      <w:fldChar w:fldCharType="separate"/>
    </w:r>
    <w:r>
      <w:rPr>
        <w:b/>
        <w:noProof/>
        <w:sz w:val="18"/>
      </w:rPr>
      <w:t>iv</w:t>
    </w:r>
    <w:r w:rsidRPr="00C67505">
      <w:rPr>
        <w:b/>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872DFB" w:rsidRDefault="00D64D4C" w:rsidP="00CA7A57">
    <w:pPr>
      <w:pStyle w:val="Footer"/>
      <w:tabs>
        <w:tab w:val="right" w:pos="9598"/>
      </w:tabs>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t>GE.12-4</w:t>
    </w:r>
    <w:r>
      <w:rPr>
        <w:lang w:val="en-US"/>
      </w:rPr>
      <w:t>4490</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872DFB" w:rsidRDefault="00D64D4C" w:rsidP="007D1EF4">
    <w:pPr>
      <w:pStyle w:val="Footer"/>
      <w:tabs>
        <w:tab w:val="right" w:pos="9598"/>
      </w:tabs>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313</w:t>
    </w:r>
    <w:r>
      <w:rPr>
        <w:rStyle w:val="PageNumber"/>
      </w:rPr>
      <w:fldChar w:fldCharType="end"/>
    </w:r>
    <w:r>
      <w:rPr>
        <w:rStyle w:val="PageNumber"/>
      </w:rPr>
      <w:tab/>
    </w:r>
    <w:r>
      <w:t>GE.12-4</w:t>
    </w:r>
    <w:r>
      <w:rPr>
        <w:lang w:val="en-US"/>
      </w:rPr>
      <w:t>4490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D4C" w:rsidRDefault="00D64D4C" w:rsidP="00CB643F">
      <w:pPr>
        <w:pStyle w:val="Footer"/>
        <w:bidi/>
        <w:spacing w:after="80" w:line="200" w:lineRule="exact"/>
        <w:ind w:left="680"/>
      </w:pPr>
      <w:r>
        <w:rPr>
          <w:rFonts w:hint="cs"/>
          <w:rtl/>
        </w:rPr>
        <w:t>__________</w:t>
      </w:r>
    </w:p>
  </w:footnote>
  <w:footnote w:type="continuationSeparator" w:id="0">
    <w:p w:rsidR="00D64D4C" w:rsidRDefault="00D64D4C" w:rsidP="00CB643F">
      <w:pPr>
        <w:pStyle w:val="Footer"/>
        <w:bidi/>
        <w:spacing w:after="80" w:line="200" w:lineRule="exact"/>
        <w:ind w:left="680"/>
      </w:pPr>
      <w:r>
        <w:rPr>
          <w:rFonts w:hint="cs"/>
          <w:rtl/>
        </w:rPr>
        <w:t>__________</w:t>
      </w:r>
    </w:p>
  </w:footnote>
  <w:footnote w:id="1">
    <w:p w:rsidR="00D64D4C" w:rsidRPr="00E60B6F" w:rsidRDefault="00D64D4C" w:rsidP="00F85F7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 xml:space="preserve">انظر </w:t>
      </w:r>
      <w:r w:rsidRPr="00E60B6F">
        <w:rPr>
          <w:rFonts w:hint="cs"/>
          <w:i/>
          <w:iCs/>
          <w:spacing w:val="0"/>
          <w:sz w:val="18"/>
          <w:szCs w:val="26"/>
          <w:rtl/>
        </w:rPr>
        <w:t>الوثائق الرسمية للجمعية العامة، الدورة الثانية والستون، الملحق رقم 44</w:t>
      </w:r>
      <w:r w:rsidRPr="00E60B6F">
        <w:rPr>
          <w:rFonts w:hint="cs"/>
          <w:spacing w:val="0"/>
          <w:sz w:val="18"/>
          <w:szCs w:val="26"/>
          <w:rtl/>
        </w:rPr>
        <w:t xml:space="preserve"> </w:t>
      </w:r>
      <w:r w:rsidRPr="00E60B6F">
        <w:rPr>
          <w:spacing w:val="0"/>
          <w:sz w:val="18"/>
          <w:szCs w:val="26"/>
        </w:rPr>
        <w:t>(A/65/44)</w:t>
      </w:r>
      <w:r w:rsidRPr="00E60B6F">
        <w:rPr>
          <w:rFonts w:hint="cs"/>
          <w:spacing w:val="0"/>
          <w:sz w:val="18"/>
          <w:szCs w:val="26"/>
          <w:rtl/>
        </w:rPr>
        <w:t>، الفصل أولاً، الفقرة</w:t>
      </w:r>
      <w:r>
        <w:rPr>
          <w:rFonts w:hint="eastAsia"/>
          <w:spacing w:val="0"/>
          <w:sz w:val="18"/>
          <w:szCs w:val="26"/>
          <w:rtl/>
        </w:rPr>
        <w:t> </w:t>
      </w:r>
      <w:r w:rsidRPr="00E60B6F">
        <w:rPr>
          <w:rFonts w:hint="cs"/>
          <w:spacing w:val="0"/>
          <w:sz w:val="18"/>
          <w:szCs w:val="26"/>
          <w:rtl/>
        </w:rPr>
        <w:t>27.</w:t>
      </w:r>
    </w:p>
  </w:footnote>
  <w:footnote w:id="2">
    <w:p w:rsidR="00D64D4C" w:rsidRPr="00E60B6F" w:rsidRDefault="00D64D4C" w:rsidP="00F85F7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المرجع نفسه، المرفق التاسع.</w:t>
      </w:r>
    </w:p>
  </w:footnote>
  <w:footnote w:id="3">
    <w:p w:rsidR="00D64D4C" w:rsidRPr="00E60B6F" w:rsidRDefault="00D64D4C" w:rsidP="00F85F7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 xml:space="preserve">انظر </w:t>
      </w:r>
      <w:r w:rsidRPr="00E60B6F">
        <w:rPr>
          <w:rFonts w:hint="cs"/>
          <w:i/>
          <w:iCs/>
          <w:spacing w:val="0"/>
          <w:sz w:val="18"/>
          <w:szCs w:val="26"/>
          <w:rtl/>
        </w:rPr>
        <w:t>الوثائق الرسمية للجمعية العامة، الدورة السادسة والستون، الملحق رقم 44</w:t>
      </w:r>
      <w:r w:rsidRPr="00E60B6F">
        <w:rPr>
          <w:rFonts w:hint="cs"/>
          <w:spacing w:val="0"/>
          <w:sz w:val="18"/>
          <w:szCs w:val="26"/>
          <w:rtl/>
        </w:rPr>
        <w:t xml:space="preserve"> </w:t>
      </w:r>
      <w:r w:rsidRPr="00E60B6F">
        <w:rPr>
          <w:spacing w:val="0"/>
          <w:sz w:val="18"/>
          <w:szCs w:val="26"/>
        </w:rPr>
        <w:t>(A/66/44)</w:t>
      </w:r>
      <w:r w:rsidRPr="00E60B6F">
        <w:rPr>
          <w:rFonts w:hint="cs"/>
          <w:spacing w:val="0"/>
          <w:sz w:val="18"/>
          <w:szCs w:val="26"/>
          <w:rtl/>
        </w:rPr>
        <w:t>، الفقرات من</w:t>
      </w:r>
      <w:r>
        <w:rPr>
          <w:rFonts w:hint="eastAsia"/>
          <w:spacing w:val="0"/>
          <w:sz w:val="18"/>
          <w:szCs w:val="26"/>
          <w:rtl/>
        </w:rPr>
        <w:t> </w:t>
      </w:r>
      <w:r w:rsidRPr="00E60B6F">
        <w:rPr>
          <w:rFonts w:hint="cs"/>
          <w:spacing w:val="0"/>
          <w:sz w:val="18"/>
          <w:szCs w:val="26"/>
          <w:rtl/>
        </w:rPr>
        <w:t>28 إلى 35.</w:t>
      </w:r>
    </w:p>
  </w:footnote>
  <w:footnote w:id="4">
    <w:p w:rsidR="00D64D4C" w:rsidRPr="00E60B6F" w:rsidRDefault="00D64D4C" w:rsidP="00C12184">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المرجع نفسه، الفصل أولاً، الفقرة 38.</w:t>
      </w:r>
    </w:p>
  </w:footnote>
  <w:footnote w:id="5">
    <w:p w:rsidR="00D64D4C" w:rsidRPr="00E60B6F" w:rsidRDefault="00D64D4C" w:rsidP="002E2361">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موروث عن التقاليد هدفه صون التماسك الاجتماعي من خلال إيجاد حلول للمنازعات المدنية في الأوساط</w:t>
      </w:r>
      <w:r w:rsidRPr="00E60B6F">
        <w:rPr>
          <w:rFonts w:hint="eastAsia"/>
          <w:spacing w:val="0"/>
          <w:sz w:val="18"/>
          <w:szCs w:val="26"/>
          <w:rtl/>
        </w:rPr>
        <w:t> </w:t>
      </w:r>
      <w:r w:rsidRPr="00E60B6F">
        <w:rPr>
          <w:rFonts w:hint="cs"/>
          <w:spacing w:val="0"/>
          <w:sz w:val="18"/>
          <w:szCs w:val="26"/>
          <w:rtl/>
        </w:rPr>
        <w:t>المجتمعية.</w:t>
      </w:r>
    </w:p>
  </w:footnote>
  <w:footnote w:id="6">
    <w:p w:rsidR="00D64D4C" w:rsidRPr="00E60B6F" w:rsidRDefault="00D64D4C" w:rsidP="002E2361">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 xml:space="preserve">التوصية 6(د)، </w:t>
      </w:r>
      <w:r w:rsidRPr="00E60B6F">
        <w:rPr>
          <w:spacing w:val="0"/>
          <w:sz w:val="18"/>
          <w:szCs w:val="26"/>
        </w:rPr>
        <w:t>CAT/C/CR/31/2</w:t>
      </w:r>
      <w:r w:rsidRPr="00E60B6F">
        <w:rPr>
          <w:rFonts w:hint="cs"/>
          <w:spacing w:val="0"/>
          <w:sz w:val="18"/>
          <w:szCs w:val="26"/>
          <w:rtl/>
        </w:rPr>
        <w:t>.</w:t>
      </w:r>
    </w:p>
  </w:footnote>
  <w:footnote w:id="7">
    <w:p w:rsidR="00D64D4C" w:rsidRPr="00E60B6F" w:rsidRDefault="00D64D4C" w:rsidP="002E2361">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لجنة مناهضة التعذيب المقرّر رقم 419/2010 المؤرخ 26 أيار/مايو 2011.</w:t>
      </w:r>
    </w:p>
  </w:footnote>
  <w:footnote w:id="8">
    <w:p w:rsidR="00D64D4C" w:rsidRPr="00E60B6F" w:rsidRDefault="00D64D4C" w:rsidP="002E2361">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قرارا المجلس الاقتصادي والاجتماعي 663-جيم (د-24) المؤرخ 31 تموز/يوليه 1957 و2076(د-62) المؤرخ 13 أيار/مايو 1977.</w:t>
      </w:r>
    </w:p>
  </w:footnote>
  <w:footnote w:id="9">
    <w:p w:rsidR="00D64D4C" w:rsidRPr="00E60B6F" w:rsidRDefault="00D64D4C" w:rsidP="002E2361">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الجمعية العامة للأمم المتحدة، القرار 45/110 المؤرخ 14 كانون الأول/ديسمبر 1990.</w:t>
      </w:r>
    </w:p>
  </w:footnote>
  <w:footnote w:id="10">
    <w:p w:rsidR="00D64D4C" w:rsidRPr="00E60B6F" w:rsidRDefault="00D64D4C" w:rsidP="002E2361">
      <w:pPr>
        <w:pStyle w:val="FootnoteText"/>
        <w:numPr>
          <w:ilvl w:val="0"/>
          <w:numId w:val="29"/>
        </w:numPr>
        <w:tabs>
          <w:tab w:val="clear" w:pos="1305"/>
          <w:tab w:val="left" w:pos="1239"/>
        </w:tabs>
        <w:spacing w:after="60" w:line="300" w:lineRule="exact"/>
        <w:ind w:left="1247" w:right="1247"/>
        <w:jc w:val="lowKashida"/>
        <w:rPr>
          <w:rFonts w:hint="cs"/>
          <w:spacing w:val="0"/>
          <w:sz w:val="18"/>
          <w:szCs w:val="26"/>
        </w:rPr>
      </w:pPr>
      <w:r w:rsidRPr="00E60B6F">
        <w:rPr>
          <w:spacing w:val="0"/>
          <w:sz w:val="18"/>
          <w:szCs w:val="26"/>
          <w:lang w:val="es-ES"/>
        </w:rPr>
        <w:t>CEDAW/C/MAR/CO/4</w:t>
      </w:r>
      <w:r w:rsidRPr="00E60B6F">
        <w:rPr>
          <w:rFonts w:hint="cs"/>
          <w:spacing w:val="0"/>
          <w:sz w:val="18"/>
          <w:szCs w:val="26"/>
          <w:rtl/>
        </w:rPr>
        <w:t>، الفقرة 21.</w:t>
      </w:r>
    </w:p>
  </w:footnote>
  <w:footnote w:id="11">
    <w:p w:rsidR="00D64D4C" w:rsidRPr="00E60B6F" w:rsidRDefault="00D64D4C" w:rsidP="00B65A46">
      <w:pPr>
        <w:pStyle w:val="FootnoteText"/>
        <w:numPr>
          <w:ilvl w:val="0"/>
          <w:numId w:val="29"/>
        </w:numPr>
        <w:tabs>
          <w:tab w:val="clear" w:pos="1305"/>
          <w:tab w:val="left" w:pos="1267"/>
        </w:tabs>
        <w:spacing w:after="60" w:line="300" w:lineRule="exact"/>
        <w:ind w:left="1247" w:right="1247"/>
        <w:jc w:val="lowKashida"/>
        <w:rPr>
          <w:rFonts w:hint="cs"/>
          <w:spacing w:val="0"/>
          <w:sz w:val="18"/>
          <w:szCs w:val="26"/>
        </w:rPr>
      </w:pPr>
      <w:r w:rsidRPr="00E60B6F">
        <w:rPr>
          <w:rFonts w:hint="cs"/>
          <w:spacing w:val="0"/>
          <w:sz w:val="18"/>
          <w:szCs w:val="26"/>
          <w:rtl/>
        </w:rPr>
        <w:t>"</w:t>
      </w:r>
      <w:r w:rsidRPr="00E60B6F">
        <w:rPr>
          <w:spacing w:val="0"/>
          <w:sz w:val="18"/>
          <w:szCs w:val="26"/>
          <w:rtl/>
        </w:rPr>
        <w:t xml:space="preserve">سوريا: تقول بيلاي إن </w:t>
      </w:r>
      <w:r w:rsidRPr="00E60B6F">
        <w:rPr>
          <w:rFonts w:hint="cs"/>
          <w:spacing w:val="0"/>
          <w:sz w:val="18"/>
          <w:szCs w:val="26"/>
          <w:rtl/>
        </w:rPr>
        <w:t xml:space="preserve">أعمال </w:t>
      </w:r>
      <w:r w:rsidRPr="00E60B6F">
        <w:rPr>
          <w:spacing w:val="0"/>
          <w:sz w:val="18"/>
          <w:szCs w:val="26"/>
          <w:rtl/>
        </w:rPr>
        <w:t xml:space="preserve">القتل في الحولة قد </w:t>
      </w:r>
      <w:r w:rsidRPr="00E60B6F">
        <w:rPr>
          <w:rFonts w:hint="cs"/>
          <w:spacing w:val="0"/>
          <w:sz w:val="18"/>
          <w:szCs w:val="26"/>
          <w:rtl/>
        </w:rPr>
        <w:t>ترقى</w:t>
      </w:r>
      <w:r w:rsidRPr="00E60B6F">
        <w:rPr>
          <w:spacing w:val="0"/>
          <w:sz w:val="18"/>
          <w:szCs w:val="26"/>
          <w:rtl/>
        </w:rPr>
        <w:t xml:space="preserve"> إلى جرائم دولية"، جنيف، 27 أيار/مايو 2012، بيان متاح على الموقع الإلكتروني التالي:</w:t>
      </w:r>
      <w:r w:rsidRPr="00E60B6F">
        <w:rPr>
          <w:rFonts w:hint="cs"/>
          <w:spacing w:val="0"/>
          <w:sz w:val="18"/>
          <w:szCs w:val="26"/>
          <w:rtl/>
        </w:rPr>
        <w:t xml:space="preserve"> </w:t>
      </w:r>
      <w:hyperlink r:id="rId1" w:history="1">
        <w:r w:rsidRPr="00E60B6F">
          <w:rPr>
            <w:spacing w:val="0"/>
            <w:sz w:val="18"/>
            <w:szCs w:val="26"/>
          </w:rPr>
          <w:t>www.ohchr.org</w:t>
        </w:r>
      </w:hyperlink>
      <w:r w:rsidRPr="00E60B6F">
        <w:rPr>
          <w:rFonts w:hint="cs"/>
          <w:spacing w:val="0"/>
          <w:sz w:val="18"/>
          <w:szCs w:val="26"/>
          <w:rtl/>
        </w:rPr>
        <w:t>.</w:t>
      </w:r>
    </w:p>
  </w:footnote>
  <w:footnote w:id="12">
    <w:p w:rsidR="00D64D4C" w:rsidRPr="00E60B6F" w:rsidRDefault="00D64D4C" w:rsidP="00F85F7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i/>
          <w:iCs/>
          <w:spacing w:val="0"/>
          <w:sz w:val="18"/>
          <w:szCs w:val="26"/>
          <w:rtl/>
          <w:lang/>
        </w:rPr>
        <w:t>الوثائق الرسمية للجمعية العامة، الدورة الحادية والستون، الملحق رقم 44</w:t>
      </w:r>
      <w:r w:rsidRPr="00E60B6F">
        <w:rPr>
          <w:rFonts w:hint="cs"/>
          <w:spacing w:val="0"/>
          <w:sz w:val="18"/>
          <w:szCs w:val="26"/>
          <w:rtl/>
          <w:lang/>
        </w:rPr>
        <w:t xml:space="preserve"> (</w:t>
      </w:r>
      <w:r w:rsidRPr="00E60B6F">
        <w:rPr>
          <w:spacing w:val="0"/>
          <w:sz w:val="18"/>
          <w:szCs w:val="26"/>
        </w:rPr>
        <w:t>A/61/44</w:t>
      </w:r>
      <w:r w:rsidRPr="00E60B6F">
        <w:rPr>
          <w:rFonts w:hint="cs"/>
          <w:spacing w:val="0"/>
          <w:sz w:val="18"/>
          <w:szCs w:val="26"/>
          <w:rtl/>
        </w:rPr>
        <w:t>).</w:t>
      </w:r>
    </w:p>
  </w:footnote>
  <w:footnote w:id="13">
    <w:p w:rsidR="00D64D4C" w:rsidRPr="00E60B6F" w:rsidRDefault="00D64D4C" w:rsidP="00B65A46">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أذربيجان، إكوادور، ألبانيا، ألمانيا، بلغاريا، البوسنة والهرسك، الجمهورية التشيكية، الجمهورية العربية السورية، جمهورية مولدوفا، سري لانكا، سلوفينيا، سويسرا، شيلي، فرنسا، فنلندا، الكاميرون، كمبوديا، كندا، كولومبيا، لاتفيا، ليتوانيا، المغرب، موناكو، النمسا، نيوزيلندا، اليمن، اليونان.</w:t>
      </w:r>
    </w:p>
  </w:footnote>
  <w:footnote w:id="14">
    <w:p w:rsidR="00D64D4C" w:rsidRPr="00E60B6F" w:rsidRDefault="00D64D4C" w:rsidP="00E60B6F">
      <w:pPr>
        <w:pStyle w:val="footnoteText0"/>
        <w:jc w:val="lowKashida"/>
        <w:rPr>
          <w:rFonts w:hint="cs"/>
          <w:spacing w:val="0"/>
          <w:rtl/>
        </w:rPr>
      </w:pPr>
      <w:r w:rsidRPr="00E60B6F">
        <w:rPr>
          <w:spacing w:val="0"/>
          <w:rtl/>
        </w:rPr>
        <w:tab/>
      </w:r>
      <w:r w:rsidRPr="00E60B6F">
        <w:rPr>
          <w:rStyle w:val="FootnoteReference"/>
          <w:spacing w:val="0"/>
          <w:szCs w:val="26"/>
          <w:vertAlign w:val="baseline"/>
          <w:rtl/>
        </w:rPr>
        <w:t>*</w:t>
      </w:r>
      <w:r w:rsidRPr="00E60B6F">
        <w:rPr>
          <w:spacing w:val="0"/>
          <w:rtl/>
        </w:rPr>
        <w:tab/>
      </w:r>
      <w:r w:rsidRPr="00E60B6F">
        <w:rPr>
          <w:rFonts w:hint="cs"/>
          <w:spacing w:val="0"/>
          <w:rtl/>
        </w:rPr>
        <w:t>يشار إلى التقارير المقدَّمة من الدول الأطراف بموجب الفقرة 3 من المادة 19 من الاتفاقية بوصفها "تعليقات" وتُدرج في التقرير الحالي عملاً بالفقرة 4 من المادة 19.</w:t>
      </w:r>
    </w:p>
  </w:footnote>
  <w:footnote w:id="15">
    <w:p w:rsidR="00D64D4C" w:rsidRPr="00E60B6F" w:rsidRDefault="00D64D4C" w:rsidP="00542FA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نُسبت الشكاوى التي بحثتها اللجنة فيما يخص جمهورية يوغوسلافيا الفدرالية، وكذلك صربيا والجبل الأسود، إلى صربيا لدواعي إحصائية.</w:t>
      </w:r>
    </w:p>
  </w:footnote>
  <w:footnote w:id="16">
    <w:p w:rsidR="00D64D4C" w:rsidRPr="00E60B6F" w:rsidRDefault="00D64D4C" w:rsidP="00F85F7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i/>
          <w:iCs/>
          <w:spacing w:val="0"/>
          <w:sz w:val="18"/>
          <w:szCs w:val="26"/>
          <w:rtl/>
          <w:lang/>
        </w:rPr>
        <w:t>الوثائق الرسمية للجمعية العامة، الدورة الثالثة والستون، الملحق رقم 44</w:t>
      </w:r>
      <w:r w:rsidRPr="00E60B6F">
        <w:rPr>
          <w:rFonts w:hint="cs"/>
          <w:spacing w:val="0"/>
          <w:sz w:val="18"/>
          <w:szCs w:val="26"/>
          <w:rtl/>
          <w:lang/>
        </w:rPr>
        <w:t xml:space="preserve"> (</w:t>
      </w:r>
      <w:r w:rsidRPr="00E60B6F">
        <w:rPr>
          <w:spacing w:val="0"/>
          <w:sz w:val="18"/>
          <w:szCs w:val="26"/>
        </w:rPr>
        <w:t>A/63/44</w:t>
      </w:r>
      <w:r w:rsidRPr="00E60B6F">
        <w:rPr>
          <w:rFonts w:hint="cs"/>
          <w:spacing w:val="0"/>
          <w:sz w:val="18"/>
          <w:szCs w:val="26"/>
          <w:rtl/>
        </w:rPr>
        <w:t>)، المرفق السادس، الفقرة</w:t>
      </w:r>
      <w:r w:rsidRPr="00E60B6F">
        <w:rPr>
          <w:rFonts w:hint="eastAsia"/>
          <w:spacing w:val="0"/>
          <w:sz w:val="18"/>
          <w:szCs w:val="26"/>
          <w:rtl/>
        </w:rPr>
        <w:t> </w:t>
      </w:r>
      <w:r w:rsidRPr="00E60B6F">
        <w:rPr>
          <w:rFonts w:hint="cs"/>
          <w:spacing w:val="0"/>
          <w:sz w:val="18"/>
          <w:szCs w:val="26"/>
          <w:rtl/>
        </w:rPr>
        <w:t>16.</w:t>
      </w:r>
    </w:p>
  </w:footnote>
  <w:footnote w:id="17">
    <w:p w:rsidR="00D64D4C" w:rsidRPr="00E60B6F" w:rsidRDefault="00D64D4C" w:rsidP="00542FA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اقترح الاتحاد الأفريقي على السلطات السنغالية أن تنشئ محكمة خاصة من أجل محاكمة السيد حبري، غير أن الدولة الطرف رفضت القيام بذلك حسب ما أفاد به صاحب الشكوى.</w:t>
      </w:r>
    </w:p>
  </w:footnote>
  <w:footnote w:id="18">
    <w:p w:rsidR="00D64D4C" w:rsidRPr="00E60B6F" w:rsidRDefault="00D64D4C" w:rsidP="00542FA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تشير الدولة الطرف إلى الرأي الفردي للسيدة فيليس غايير.</w:t>
      </w:r>
    </w:p>
  </w:footnote>
  <w:footnote w:id="19">
    <w:p w:rsidR="00D64D4C" w:rsidRPr="00E60B6F" w:rsidRDefault="00D64D4C" w:rsidP="00542FA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 xml:space="preserve">في عام 2009، بينت الدولة الطرف أن السلطات رفضت منح صاحب الشكوى تصريح إقامة نظراً لوجود أسباب استثنائية تتعلق بالأمن القومي تحول دون منح التصريح. واعتبرت الحكومة، في جملة أمور، أن "الأنشطة التي كان صاحب الشكوى ضالعاً فيها هي أنشطة من الخطورة ما يجعلها تخشى إمكانية ضلوعه في أنشطة مماثلة تهدد الأمن القومي في السويد في حال منحه تصريح إقامة" (انظر الوثيقة </w:t>
      </w:r>
      <w:r w:rsidRPr="00E60B6F">
        <w:rPr>
          <w:bCs/>
          <w:spacing w:val="0"/>
          <w:sz w:val="18"/>
          <w:szCs w:val="26"/>
        </w:rPr>
        <w:t>A/66/44</w:t>
      </w:r>
      <w:r w:rsidRPr="00E60B6F">
        <w:rPr>
          <w:rFonts w:hint="cs"/>
          <w:spacing w:val="0"/>
          <w:sz w:val="18"/>
          <w:szCs w:val="26"/>
          <w:rtl/>
        </w:rPr>
        <w:t>، صفحة</w:t>
      </w:r>
      <w:r w:rsidRPr="00E60B6F">
        <w:rPr>
          <w:rFonts w:hint="eastAsia"/>
          <w:spacing w:val="0"/>
          <w:sz w:val="18"/>
          <w:szCs w:val="26"/>
          <w:rtl/>
        </w:rPr>
        <w:t> </w:t>
      </w:r>
      <w:r w:rsidRPr="00E60B6F">
        <w:rPr>
          <w:rFonts w:hint="cs"/>
          <w:spacing w:val="0"/>
          <w:sz w:val="18"/>
          <w:szCs w:val="26"/>
          <w:rtl/>
        </w:rPr>
        <w:t>189 في النص الإنكليزي).</w:t>
      </w:r>
    </w:p>
  </w:footnote>
  <w:footnote w:id="20">
    <w:p w:rsidR="00D64D4C" w:rsidRPr="00E60B6F" w:rsidRDefault="00D64D4C" w:rsidP="007D1EF4">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يطلب صاحب الشكوى إلى اللجنة أن تخلص إلى انتهاكات إضافية في إطار هذه القضية، أي أن تخلص أيضاً إلى انتهاك المواد 2 و11 و14 من الاتفاقية، على النحو المزعوم في الرسالة الأولى. غير أن الانتهاكات التي خلصت إليها اللجنة فيما يتعلق بحقوق السيد بركات، تقتصر على المادتين 12 و13.</w:t>
      </w:r>
    </w:p>
  </w:footnote>
  <w:footnote w:id="21">
    <w:p w:rsidR="00D64D4C" w:rsidRPr="00E60B6F" w:rsidRDefault="00D64D4C" w:rsidP="00F85F7C">
      <w:pPr>
        <w:pStyle w:val="FootnoteText"/>
        <w:numPr>
          <w:ilvl w:val="0"/>
          <w:numId w:val="29"/>
        </w:numPr>
        <w:tabs>
          <w:tab w:val="clear" w:pos="1305"/>
          <w:tab w:val="left" w:pos="1253"/>
        </w:tabs>
        <w:spacing w:after="60" w:line="300" w:lineRule="exact"/>
        <w:ind w:left="1247" w:right="1247"/>
        <w:jc w:val="lowKashida"/>
        <w:rPr>
          <w:rFonts w:hint="cs"/>
          <w:spacing w:val="0"/>
          <w:sz w:val="18"/>
          <w:szCs w:val="26"/>
        </w:rPr>
      </w:pPr>
      <w:r w:rsidRPr="00E60B6F">
        <w:rPr>
          <w:rFonts w:hint="cs"/>
          <w:spacing w:val="0"/>
          <w:sz w:val="18"/>
          <w:szCs w:val="26"/>
          <w:rtl/>
        </w:rPr>
        <w:t xml:space="preserve">انظر </w:t>
      </w:r>
      <w:r w:rsidRPr="00E60B6F">
        <w:rPr>
          <w:rFonts w:hint="cs"/>
          <w:i/>
          <w:iCs/>
          <w:spacing w:val="0"/>
          <w:sz w:val="18"/>
          <w:szCs w:val="26"/>
          <w:rtl/>
          <w:lang/>
        </w:rPr>
        <w:t>الوثائق الرسمية للجمعية العامة، الدورة الخامسة والستون، الملحق رقم 44</w:t>
      </w:r>
      <w:r w:rsidRPr="00E60B6F">
        <w:rPr>
          <w:rFonts w:hint="cs"/>
          <w:spacing w:val="0"/>
          <w:sz w:val="18"/>
          <w:szCs w:val="26"/>
          <w:rtl/>
          <w:lang/>
        </w:rPr>
        <w:t xml:space="preserve"> (</w:t>
      </w:r>
      <w:r w:rsidRPr="00E60B6F">
        <w:rPr>
          <w:spacing w:val="0"/>
          <w:sz w:val="18"/>
          <w:szCs w:val="26"/>
        </w:rPr>
        <w:t>A/65/44</w:t>
      </w:r>
      <w:r w:rsidRPr="00E60B6F">
        <w:rPr>
          <w:rFonts w:hint="cs"/>
          <w:spacing w:val="0"/>
          <w:sz w:val="18"/>
          <w:szCs w:val="26"/>
          <w:rtl/>
          <w:lang/>
        </w:rPr>
        <w:t>)، المرفق التاسع.</w:t>
      </w:r>
    </w:p>
  </w:footnote>
  <w:footnote w:id="22">
    <w:p w:rsidR="00D64D4C" w:rsidRPr="00E60B6F" w:rsidRDefault="00D64D4C" w:rsidP="00E60B6F">
      <w:pPr>
        <w:pStyle w:val="footnoteText0"/>
        <w:rPr>
          <w:spacing w:val="0"/>
        </w:rPr>
      </w:pPr>
      <w:r w:rsidRPr="00E60B6F">
        <w:rPr>
          <w:spacing w:val="0"/>
          <w:rtl/>
        </w:rPr>
        <w:tab/>
      </w:r>
      <w:r w:rsidRPr="00E60B6F">
        <w:rPr>
          <w:rStyle w:val="FootnoteReference"/>
          <w:spacing w:val="0"/>
          <w:sz w:val="20"/>
          <w:vertAlign w:val="baseline"/>
          <w:rtl/>
        </w:rPr>
        <w:t>*</w:t>
      </w:r>
      <w:r w:rsidRPr="00E60B6F">
        <w:rPr>
          <w:spacing w:val="0"/>
          <w:rtl/>
        </w:rPr>
        <w:tab/>
        <w:t xml:space="preserve">صدر التقرير السنوي الخامس للجنة الفرعية بصورة مستقلة تحت الرمز </w:t>
      </w:r>
      <w:r w:rsidRPr="00E60B6F">
        <w:rPr>
          <w:spacing w:val="0"/>
        </w:rPr>
        <w:t>CAT/C/46/2</w:t>
      </w:r>
      <w:r w:rsidRPr="00E60B6F">
        <w:rPr>
          <w:spacing w:val="0"/>
          <w:rtl/>
        </w:rPr>
        <w:t>.</w:t>
      </w:r>
    </w:p>
  </w:footnote>
  <w:footnote w:id="23">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أُنشئت بعد دخول البروتوكول الاختياري لاتفاقية مناهضة التعذيب وغيره من ضروب المعاملة أو</w:t>
      </w:r>
      <w:r w:rsidRPr="00E60B6F">
        <w:rPr>
          <w:rFonts w:hint="eastAsia"/>
          <w:spacing w:val="0"/>
          <w:sz w:val="18"/>
          <w:szCs w:val="26"/>
          <w:rtl/>
        </w:rPr>
        <w:t> </w:t>
      </w:r>
      <w:r w:rsidRPr="00E60B6F">
        <w:rPr>
          <w:rFonts w:hint="cs"/>
          <w:spacing w:val="0"/>
          <w:sz w:val="18"/>
          <w:szCs w:val="26"/>
          <w:rtl/>
        </w:rPr>
        <w:t xml:space="preserve">العقوبة القاسية أو اللاإنسانية أو المهينة حيز النفاذ في حزيران/يونيه 2006. وللاطلاع على نص البروتوكول الاختياري، انظر </w:t>
      </w:r>
      <w:r w:rsidRPr="00E60B6F">
        <w:rPr>
          <w:spacing w:val="0"/>
          <w:sz w:val="18"/>
          <w:szCs w:val="26"/>
        </w:rPr>
        <w:t>www2.ohchr.org/english/law/cat-one.htm</w:t>
      </w:r>
      <w:r w:rsidRPr="00E60B6F">
        <w:rPr>
          <w:rFonts w:hint="cs"/>
          <w:spacing w:val="0"/>
          <w:sz w:val="18"/>
          <w:szCs w:val="26"/>
          <w:rtl/>
        </w:rPr>
        <w:t>. ووفقاً للبروتوكول الاختياري (الفقرة</w:t>
      </w:r>
      <w:r w:rsidRPr="00E60B6F">
        <w:rPr>
          <w:rFonts w:hint="eastAsia"/>
          <w:spacing w:val="0"/>
          <w:sz w:val="18"/>
          <w:szCs w:val="26"/>
          <w:rtl/>
        </w:rPr>
        <w:t> </w:t>
      </w:r>
      <w:r w:rsidRPr="00E60B6F">
        <w:rPr>
          <w:rFonts w:hint="cs"/>
          <w:spacing w:val="0"/>
          <w:sz w:val="18"/>
          <w:szCs w:val="26"/>
          <w:rtl/>
        </w:rPr>
        <w:t>3 من المادة</w:t>
      </w:r>
      <w:r w:rsidRPr="00E60B6F">
        <w:rPr>
          <w:rFonts w:hint="eastAsia"/>
          <w:spacing w:val="0"/>
          <w:sz w:val="18"/>
          <w:szCs w:val="26"/>
          <w:rtl/>
        </w:rPr>
        <w:t> </w:t>
      </w:r>
      <w:r w:rsidRPr="00E60B6F">
        <w:rPr>
          <w:rFonts w:hint="cs"/>
          <w:spacing w:val="0"/>
          <w:sz w:val="18"/>
          <w:szCs w:val="26"/>
          <w:rtl/>
        </w:rPr>
        <w:t>16)، تقدم اللجنة الفرعية تقاريرها السنوية العلنية إلى لجنة مناهضة التعذيب.</w:t>
      </w:r>
    </w:p>
  </w:footnote>
  <w:footnote w:id="24">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للاطلاع على قائمة الدول الأطراف في البروتوكول الاختياري، انظر الموقع الشبكي للجنة الفرعية.</w:t>
      </w:r>
    </w:p>
  </w:footnote>
  <w:footnote w:id="25">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للاطلاع على قائمة الأعضاء وفترة ولايتهم، انظر الموقع الشبكي للجنة الفرعية (</w:t>
      </w:r>
      <w:r w:rsidRPr="00E60B6F">
        <w:rPr>
          <w:spacing w:val="0"/>
          <w:sz w:val="18"/>
          <w:szCs w:val="26"/>
        </w:rPr>
        <w:t>www2.ohchr.org/english/bodies/cat/opcat/index.htm</w:t>
      </w:r>
      <w:r w:rsidRPr="00E60B6F">
        <w:rPr>
          <w:rFonts w:hint="cs"/>
          <w:spacing w:val="0"/>
          <w:sz w:val="18"/>
          <w:szCs w:val="26"/>
          <w:rtl/>
        </w:rPr>
        <w:t>).</w:t>
      </w:r>
    </w:p>
  </w:footnote>
  <w:footnote w:id="26">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للاطلاع على قائمة الأعضاء، انظر الموقع الشبكي للجنة الفرعية.</w:t>
      </w:r>
    </w:p>
  </w:footnote>
  <w:footnote w:id="27">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إعلان الأمم المتحدة بشأن الحق في التنمية (</w:t>
      </w:r>
      <w:r w:rsidRPr="00E60B6F">
        <w:rPr>
          <w:spacing w:val="0"/>
          <w:sz w:val="18"/>
          <w:szCs w:val="26"/>
          <w:lang w:val="fr-CH"/>
        </w:rPr>
        <w:t>A/Res/41/128</w:t>
      </w:r>
      <w:r w:rsidRPr="00E60B6F">
        <w:rPr>
          <w:rFonts w:hint="cs"/>
          <w:spacing w:val="0"/>
          <w:sz w:val="18"/>
          <w:szCs w:val="26"/>
          <w:rtl/>
          <w:lang w:val="fr-CH"/>
        </w:rPr>
        <w:t>)، المادة 1.</w:t>
      </w:r>
    </w:p>
  </w:footnote>
  <w:footnote w:id="28">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المرجع نفسه، الفقرة 1 من الديباجة.</w:t>
      </w:r>
    </w:p>
  </w:footnote>
  <w:footnote w:id="29">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بيان مشترك لرؤساء هيئات معاهدات حقوق الإنسان، 1 تموز/يوليه 2011.</w:t>
      </w:r>
    </w:p>
  </w:footnote>
  <w:footnote w:id="30">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spacing w:val="0"/>
          <w:sz w:val="18"/>
          <w:szCs w:val="26"/>
          <w:lang w:val="fr-CH"/>
        </w:rPr>
        <w:t>CAT/OP/12/6</w:t>
      </w:r>
      <w:r w:rsidRPr="00E60B6F">
        <w:rPr>
          <w:rFonts w:hint="cs"/>
          <w:spacing w:val="0"/>
          <w:sz w:val="18"/>
          <w:szCs w:val="26"/>
          <w:rtl/>
          <w:lang w:val="fr-CH"/>
        </w:rPr>
        <w:t>، الفقرة 3.</w:t>
      </w:r>
    </w:p>
  </w:footnote>
  <w:footnote w:id="31">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المادة 2-1 من إعلان الأمم المتحدة للتثقيف والتدريب في ميدان حقوق الإنسان، الذي اعتمده مجلس حقوق الإنسان في دورته السادسة عشرة (</w:t>
      </w:r>
      <w:r w:rsidRPr="00E60B6F">
        <w:rPr>
          <w:spacing w:val="0"/>
          <w:sz w:val="18"/>
          <w:szCs w:val="26"/>
          <w:lang w:val="fr-CH"/>
        </w:rPr>
        <w:t>A/HCR/16/L.1</w:t>
      </w:r>
      <w:r w:rsidRPr="00E60B6F">
        <w:rPr>
          <w:rFonts w:hint="cs"/>
          <w:spacing w:val="0"/>
          <w:sz w:val="18"/>
          <w:szCs w:val="26"/>
          <w:rtl/>
          <w:lang w:val="fr-CH"/>
        </w:rPr>
        <w:t>).</w:t>
      </w:r>
    </w:p>
  </w:footnote>
  <w:footnote w:id="32">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المرجع نفسه.</w:t>
      </w:r>
    </w:p>
  </w:footnote>
  <w:footnote w:id="33">
    <w:p w:rsidR="00D64D4C" w:rsidRPr="00E60B6F" w:rsidRDefault="00D64D4C" w:rsidP="007D1EF4">
      <w:pPr>
        <w:pStyle w:val="FootnoteText"/>
        <w:numPr>
          <w:ilvl w:val="0"/>
          <w:numId w:val="30"/>
        </w:numPr>
        <w:tabs>
          <w:tab w:val="clear" w:pos="1293"/>
          <w:tab w:val="left" w:pos="1253"/>
        </w:tabs>
        <w:spacing w:after="60" w:line="300" w:lineRule="exact"/>
        <w:ind w:left="1247" w:right="1247"/>
        <w:jc w:val="lowKashida"/>
        <w:rPr>
          <w:rFonts w:hint="cs"/>
          <w:spacing w:val="0"/>
        </w:rPr>
      </w:pPr>
      <w:r w:rsidRPr="00E60B6F">
        <w:rPr>
          <w:rFonts w:hint="cs"/>
          <w:spacing w:val="0"/>
          <w:sz w:val="18"/>
          <w:szCs w:val="26"/>
          <w:rtl/>
        </w:rPr>
        <w:t>انظر أيضاً الفقرة 8 من قرار الجمعية العامة 66/150، الذي يشجع الدول على النظر في إعداد سجلات.</w:t>
      </w:r>
    </w:p>
  </w:footnote>
  <w:footnote w:id="34">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Pr>
      </w:pPr>
      <w:r w:rsidRPr="00E60B6F">
        <w:rPr>
          <w:spacing w:val="0"/>
          <w:sz w:val="18"/>
          <w:szCs w:val="26"/>
        </w:rPr>
        <w:t>CAT/C/NPL/CO/2</w:t>
      </w:r>
      <w:r w:rsidRPr="00E60B6F">
        <w:rPr>
          <w:rFonts w:hint="cs"/>
          <w:spacing w:val="0"/>
          <w:sz w:val="18"/>
          <w:szCs w:val="26"/>
          <w:rtl/>
        </w:rPr>
        <w:t>، الفقرات 12 و13 و24 و25.</w:t>
      </w:r>
    </w:p>
  </w:footnote>
  <w:footnote w:id="35">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Pr>
      </w:pPr>
      <w:r w:rsidRPr="00E60B6F">
        <w:rPr>
          <w:rFonts w:hint="cs"/>
          <w:spacing w:val="0"/>
          <w:sz w:val="18"/>
          <w:szCs w:val="26"/>
          <w:rtl/>
        </w:rPr>
        <w:t>المرجع نفسه، الفقرة 14(ب).</w:t>
      </w:r>
    </w:p>
  </w:footnote>
  <w:footnote w:id="36">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الفقرة 16.</w:t>
      </w:r>
    </w:p>
  </w:footnote>
  <w:footnote w:id="37">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الفقرة 20.</w:t>
      </w:r>
    </w:p>
  </w:footnote>
  <w:footnote w:id="38">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الفقرة 13.</w:t>
      </w:r>
    </w:p>
  </w:footnote>
  <w:footnote w:id="39">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تقرير المقرر الخاص المعني ب</w:t>
      </w:r>
      <w:r w:rsidRPr="00E60B6F">
        <w:rPr>
          <w:spacing w:val="0"/>
          <w:sz w:val="18"/>
          <w:szCs w:val="26"/>
          <w:rtl/>
        </w:rPr>
        <w:t>مناهضة التعذيب وغيره من ضروب المعاملة أو العقوبة القاسية أو اللاإنسانية أو</w:t>
      </w:r>
      <w:r w:rsidRPr="00E60B6F">
        <w:rPr>
          <w:rFonts w:hint="cs"/>
          <w:spacing w:val="0"/>
          <w:sz w:val="18"/>
          <w:szCs w:val="26"/>
          <w:rtl/>
        </w:rPr>
        <w:t> </w:t>
      </w:r>
      <w:r w:rsidRPr="00E60B6F">
        <w:rPr>
          <w:spacing w:val="0"/>
          <w:sz w:val="18"/>
          <w:szCs w:val="26"/>
          <w:rtl/>
        </w:rPr>
        <w:t>المهينة</w:t>
      </w:r>
      <w:r w:rsidRPr="00E60B6F">
        <w:rPr>
          <w:rFonts w:hint="cs"/>
          <w:spacing w:val="0"/>
          <w:sz w:val="18"/>
          <w:szCs w:val="26"/>
          <w:rtl/>
        </w:rPr>
        <w:t>، مانفريد نواك (</w:t>
      </w:r>
      <w:r w:rsidRPr="00E60B6F">
        <w:rPr>
          <w:spacing w:val="0"/>
          <w:sz w:val="18"/>
          <w:szCs w:val="26"/>
        </w:rPr>
        <w:t>E/CN.4/2006/6/Add.5</w:t>
      </w:r>
      <w:r w:rsidRPr="00E60B6F">
        <w:rPr>
          <w:rFonts w:hint="cs"/>
          <w:spacing w:val="0"/>
          <w:sz w:val="18"/>
          <w:szCs w:val="26"/>
          <w:rtl/>
        </w:rPr>
        <w:t>) المؤرخ 9 كانون الثاني/يناير 2006، الفقرة 31.</w:t>
      </w:r>
    </w:p>
  </w:footnote>
  <w:footnote w:id="40">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spacing w:val="0"/>
          <w:sz w:val="18"/>
          <w:szCs w:val="26"/>
        </w:rPr>
        <w:t>CAT/C/3/Rev.5</w:t>
      </w:r>
      <w:r w:rsidRPr="00E60B6F">
        <w:rPr>
          <w:rFonts w:hint="cs"/>
          <w:spacing w:val="0"/>
          <w:sz w:val="18"/>
          <w:szCs w:val="26"/>
          <w:rtl/>
        </w:rPr>
        <w:t>.</w:t>
      </w:r>
    </w:p>
  </w:footnote>
  <w:footnote w:id="41">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كان الموعد الأقصى المحدد لصياغة الدستور في البداية هو 28 أيار/مايو 2010.</w:t>
      </w:r>
    </w:p>
  </w:footnote>
  <w:footnote w:id="42">
    <w:p w:rsidR="00D64D4C" w:rsidRPr="00E60B6F" w:rsidRDefault="00D64D4C" w:rsidP="00CF3B71">
      <w:pPr>
        <w:pStyle w:val="FootnoteText"/>
        <w:numPr>
          <w:ilvl w:val="0"/>
          <w:numId w:val="31"/>
        </w:numPr>
        <w:tabs>
          <w:tab w:val="clear" w:pos="1405"/>
          <w:tab w:val="num" w:pos="1281"/>
        </w:tabs>
        <w:spacing w:after="60" w:line="240" w:lineRule="exact"/>
        <w:ind w:left="1299" w:right="1247"/>
        <w:jc w:val="lowKashida"/>
        <w:rPr>
          <w:rFonts w:hint="cs"/>
          <w:spacing w:val="0"/>
          <w:sz w:val="18"/>
          <w:szCs w:val="26"/>
        </w:rPr>
      </w:pPr>
      <w:r w:rsidRPr="00E60B6F">
        <w:rPr>
          <w:spacing w:val="0"/>
          <w:sz w:val="18"/>
          <w:szCs w:val="26"/>
          <w:lang w:val="en-GB"/>
        </w:rPr>
        <w:t>“Submission to the Committee against torture under article 20”, Advocacy Forum and REDRESS, 5 March 2010</w:t>
      </w:r>
      <w:r w:rsidRPr="00E60B6F">
        <w:rPr>
          <w:rFonts w:hint="cs"/>
          <w:spacing w:val="0"/>
          <w:sz w:val="18"/>
          <w:szCs w:val="26"/>
          <w:rtl/>
        </w:rPr>
        <w:t>.</w:t>
      </w:r>
    </w:p>
  </w:footnote>
  <w:footnote w:id="43">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تقرير مفوضة الأمم المتحدة السامية لحقوق الإنسان عن حالة حقوق الإنسان وأنشطة مفوضيتها، بما فيها التعاون التقني، في نيبال (</w:t>
      </w:r>
      <w:r w:rsidRPr="00E60B6F">
        <w:rPr>
          <w:spacing w:val="0"/>
          <w:sz w:val="18"/>
          <w:szCs w:val="26"/>
        </w:rPr>
        <w:t>A/HRC/10/53</w:t>
      </w:r>
      <w:r w:rsidRPr="00E60B6F">
        <w:rPr>
          <w:rFonts w:hint="cs"/>
          <w:spacing w:val="0"/>
          <w:sz w:val="18"/>
          <w:szCs w:val="26"/>
          <w:rtl/>
        </w:rPr>
        <w:t xml:space="preserve">)، 3 آذار/مارس 2009. </w:t>
      </w:r>
    </w:p>
  </w:footnote>
  <w:footnote w:id="44">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تقرير المتابعة المقدم من المقرر الخاص المعني بمسألة التعذيب (</w:t>
      </w:r>
      <w:r w:rsidRPr="00E60B6F">
        <w:rPr>
          <w:spacing w:val="0"/>
          <w:sz w:val="18"/>
          <w:szCs w:val="26"/>
        </w:rPr>
        <w:t>A/HRC/16/52/Add.2</w:t>
      </w:r>
      <w:r w:rsidRPr="00E60B6F">
        <w:rPr>
          <w:rFonts w:hint="cs"/>
          <w:spacing w:val="0"/>
          <w:sz w:val="18"/>
          <w:szCs w:val="26"/>
          <w:rtl/>
        </w:rPr>
        <w:t xml:space="preserve">). </w:t>
      </w:r>
    </w:p>
  </w:footnote>
  <w:footnote w:id="45">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Pr>
      </w:pPr>
      <w:r w:rsidRPr="00E60B6F">
        <w:rPr>
          <w:rFonts w:hint="cs"/>
          <w:spacing w:val="0"/>
          <w:sz w:val="18"/>
          <w:szCs w:val="26"/>
          <w:rtl/>
        </w:rPr>
        <w:t>لا تحدد الدولة الطرف ما معنى "المصالح العامة" في هذا السياق على وجه التحديد.</w:t>
      </w:r>
    </w:p>
  </w:footnote>
  <w:footnote w:id="46">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تقرير مفوضة الأمم المتحدة السامية لحقوق الإنسان عن حالة حقوق الإنسان وأنشطة مفوضيتها، بما فيها التعاون التقني، في نيبال (</w:t>
      </w:r>
      <w:r w:rsidRPr="00E60B6F">
        <w:rPr>
          <w:spacing w:val="0"/>
          <w:sz w:val="18"/>
          <w:szCs w:val="26"/>
        </w:rPr>
        <w:t>A/HRC/10/53</w:t>
      </w:r>
      <w:r w:rsidRPr="00E60B6F">
        <w:rPr>
          <w:rFonts w:hint="cs"/>
          <w:spacing w:val="0"/>
          <w:sz w:val="18"/>
          <w:szCs w:val="26"/>
          <w:rtl/>
        </w:rPr>
        <w:t>)، 3 آذار/مارس 2009.</w:t>
      </w:r>
    </w:p>
  </w:footnote>
  <w:footnote w:id="47">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تقرير المتابعة المقدم من المقرر الخاص المعني بمسألة التعذيب (</w:t>
      </w:r>
      <w:r w:rsidRPr="00E60B6F">
        <w:rPr>
          <w:spacing w:val="0"/>
          <w:sz w:val="18"/>
          <w:szCs w:val="26"/>
        </w:rPr>
        <w:t>A/HRC/16/52/Add.2</w:t>
      </w:r>
      <w:r w:rsidRPr="00E60B6F">
        <w:rPr>
          <w:rFonts w:hint="cs"/>
          <w:spacing w:val="0"/>
          <w:sz w:val="18"/>
          <w:szCs w:val="26"/>
          <w:rtl/>
        </w:rPr>
        <w:t>).</w:t>
      </w:r>
    </w:p>
  </w:footnote>
  <w:footnote w:id="48">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170.</w:t>
      </w:r>
    </w:p>
  </w:footnote>
  <w:footnote w:id="49">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177.</w:t>
      </w:r>
    </w:p>
  </w:footnote>
  <w:footnote w:id="50">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Pr>
      </w:pPr>
      <w:r w:rsidRPr="00E60B6F">
        <w:rPr>
          <w:rFonts w:hint="cs"/>
          <w:spacing w:val="0"/>
          <w:sz w:val="18"/>
          <w:szCs w:val="26"/>
          <w:rtl/>
        </w:rPr>
        <w:t>المرجع نفسه، الصفحة 188.</w:t>
      </w:r>
    </w:p>
  </w:footnote>
  <w:footnote w:id="51">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spacing w:val="0"/>
          <w:sz w:val="18"/>
          <w:szCs w:val="26"/>
          <w:rtl/>
        </w:rPr>
        <w:t>دراسة مشتركة بشأن الممارسات العالمية فيما يتصل بالاحتجاز السري في سياق مكافحة الإرهاب أعدها المقرر الخاص المعني بتعزيز وحماية حقوق الإنسان والحريات الأساسية في سياق محاربة الإرهاب، مارتن شينين؛ والمقرر الخاص المعني بمسألة التعذيب وغيره من ضروب المعاملة أو العقوبة القاسية أو اللاإنسانية أو</w:t>
      </w:r>
      <w:r w:rsidRPr="00E60B6F">
        <w:rPr>
          <w:rFonts w:hint="cs"/>
          <w:spacing w:val="0"/>
          <w:sz w:val="18"/>
          <w:szCs w:val="26"/>
          <w:rtl/>
        </w:rPr>
        <w:t> </w:t>
      </w:r>
      <w:r w:rsidRPr="00E60B6F">
        <w:rPr>
          <w:spacing w:val="0"/>
          <w:sz w:val="18"/>
          <w:szCs w:val="26"/>
          <w:rtl/>
        </w:rPr>
        <w:t>المهينة، مانفريد نواك؛ والفريق العامل المعني بالاحتجاز التعسفي ويمثله نائب رئيس الفريق، شاهين سردار علي؛ والفريق العامل المعني بحالات الاختفاء القسري أو غير الطوعي ويمثله رئيس الفريق، جيرمي ساركين</w:t>
      </w:r>
      <w:r w:rsidRPr="00E60B6F">
        <w:rPr>
          <w:rFonts w:hint="cs"/>
          <w:spacing w:val="0"/>
          <w:sz w:val="18"/>
          <w:szCs w:val="26"/>
          <w:rtl/>
        </w:rPr>
        <w:t xml:space="preserve"> (</w:t>
      </w:r>
      <w:r w:rsidRPr="00E60B6F">
        <w:rPr>
          <w:spacing w:val="0"/>
          <w:sz w:val="18"/>
          <w:szCs w:val="26"/>
        </w:rPr>
        <w:t>A/HRC/13/42</w:t>
      </w:r>
      <w:r w:rsidRPr="00E60B6F">
        <w:rPr>
          <w:rFonts w:hint="cs"/>
          <w:spacing w:val="0"/>
          <w:sz w:val="18"/>
          <w:szCs w:val="26"/>
          <w:rtl/>
        </w:rPr>
        <w:t>)، الفقرة 182.</w:t>
      </w:r>
    </w:p>
  </w:footnote>
  <w:footnote w:id="52">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 xml:space="preserve">المرجع نفسه، الفقرة 186. </w:t>
      </w:r>
    </w:p>
  </w:footnote>
  <w:footnote w:id="53">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تقرير المتابعة المقدم من المقرر الخاص المعني بمسألة التعذيب (</w:t>
      </w:r>
      <w:r w:rsidRPr="00E60B6F">
        <w:rPr>
          <w:spacing w:val="0"/>
          <w:sz w:val="18"/>
          <w:szCs w:val="26"/>
        </w:rPr>
        <w:t>A/HRC/16/52/Add.2</w:t>
      </w:r>
      <w:r w:rsidRPr="00E60B6F">
        <w:rPr>
          <w:rFonts w:hint="cs"/>
          <w:spacing w:val="0"/>
          <w:sz w:val="18"/>
          <w:szCs w:val="26"/>
          <w:rtl/>
        </w:rPr>
        <w:t>)، الصفحة 170 من النسخة الإنكليزية.</w:t>
      </w:r>
    </w:p>
  </w:footnote>
  <w:footnote w:id="54">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spacing w:val="0"/>
          <w:sz w:val="18"/>
          <w:szCs w:val="26"/>
          <w:rtl/>
        </w:rPr>
        <w:t>وفقا</w:t>
      </w:r>
      <w:r w:rsidRPr="00E60B6F">
        <w:rPr>
          <w:rFonts w:hint="cs"/>
          <w:spacing w:val="0"/>
          <w:sz w:val="18"/>
          <w:szCs w:val="26"/>
          <w:rtl/>
        </w:rPr>
        <w:t>ً</w:t>
      </w:r>
      <w:r w:rsidRPr="00E60B6F">
        <w:rPr>
          <w:spacing w:val="0"/>
          <w:sz w:val="18"/>
          <w:szCs w:val="26"/>
          <w:rtl/>
        </w:rPr>
        <w:t xml:space="preserve"> </w:t>
      </w:r>
      <w:r w:rsidRPr="00E60B6F">
        <w:rPr>
          <w:rFonts w:hint="cs"/>
          <w:spacing w:val="0"/>
          <w:sz w:val="18"/>
          <w:szCs w:val="26"/>
          <w:rtl/>
        </w:rPr>
        <w:t>للمقرر</w:t>
      </w:r>
      <w:r w:rsidRPr="00E60B6F">
        <w:rPr>
          <w:spacing w:val="0"/>
          <w:sz w:val="18"/>
          <w:szCs w:val="26"/>
          <w:rtl/>
        </w:rPr>
        <w:t xml:space="preserve"> الخاص المعني </w:t>
      </w:r>
      <w:r w:rsidRPr="00E60B6F">
        <w:rPr>
          <w:rFonts w:hint="cs"/>
          <w:spacing w:val="0"/>
          <w:sz w:val="18"/>
          <w:szCs w:val="26"/>
          <w:rtl/>
        </w:rPr>
        <w:t xml:space="preserve">بحالات </w:t>
      </w:r>
      <w:r w:rsidRPr="00E60B6F">
        <w:rPr>
          <w:spacing w:val="0"/>
          <w:sz w:val="18"/>
          <w:szCs w:val="26"/>
          <w:rtl/>
        </w:rPr>
        <w:t xml:space="preserve">الإعدام خارج نطاق القضاء أو بإجراءات موجزة أو </w:t>
      </w:r>
      <w:r w:rsidRPr="00E60B6F">
        <w:rPr>
          <w:rFonts w:hint="cs"/>
          <w:spacing w:val="0"/>
          <w:sz w:val="18"/>
          <w:szCs w:val="26"/>
          <w:rtl/>
        </w:rPr>
        <w:t>تعسفاً</w:t>
      </w:r>
      <w:r w:rsidRPr="00E60B6F">
        <w:rPr>
          <w:spacing w:val="0"/>
          <w:sz w:val="18"/>
          <w:szCs w:val="26"/>
          <w:rtl/>
        </w:rPr>
        <w:t>، يمكن تعريف</w:t>
      </w:r>
      <w:r w:rsidRPr="00E60B6F">
        <w:rPr>
          <w:rFonts w:hint="cs"/>
          <w:spacing w:val="0"/>
          <w:sz w:val="18"/>
          <w:szCs w:val="26"/>
          <w:rtl/>
        </w:rPr>
        <w:t xml:space="preserve"> القتل خارج نطاق القضاء</w:t>
      </w:r>
      <w:r w:rsidRPr="00E60B6F">
        <w:rPr>
          <w:spacing w:val="0"/>
          <w:sz w:val="18"/>
          <w:szCs w:val="26"/>
          <w:rtl/>
        </w:rPr>
        <w:t xml:space="preserve"> بأنه أي </w:t>
      </w:r>
      <w:r w:rsidRPr="00E60B6F">
        <w:rPr>
          <w:rFonts w:hint="cs"/>
          <w:spacing w:val="0"/>
          <w:sz w:val="18"/>
          <w:szCs w:val="26"/>
          <w:rtl/>
        </w:rPr>
        <w:t xml:space="preserve">عملية </w:t>
      </w:r>
      <w:r w:rsidRPr="00E60B6F">
        <w:rPr>
          <w:spacing w:val="0"/>
          <w:sz w:val="18"/>
          <w:szCs w:val="26"/>
          <w:rtl/>
        </w:rPr>
        <w:t xml:space="preserve">قتل </w:t>
      </w:r>
      <w:r w:rsidRPr="00E60B6F">
        <w:rPr>
          <w:rFonts w:hint="cs"/>
          <w:spacing w:val="0"/>
          <w:sz w:val="18"/>
          <w:szCs w:val="26"/>
          <w:rtl/>
        </w:rPr>
        <w:t>تنتهك</w:t>
      </w:r>
      <w:r w:rsidRPr="00E60B6F">
        <w:rPr>
          <w:spacing w:val="0"/>
          <w:sz w:val="18"/>
          <w:szCs w:val="26"/>
          <w:rtl/>
        </w:rPr>
        <w:t xml:space="preserve"> حقوق الإنسان الدولية أو القانون الإنساني، بما</w:t>
      </w:r>
      <w:r w:rsidRPr="00E60B6F">
        <w:rPr>
          <w:rFonts w:hint="cs"/>
          <w:spacing w:val="0"/>
          <w:sz w:val="18"/>
          <w:szCs w:val="26"/>
          <w:rtl/>
        </w:rPr>
        <w:t> </w:t>
      </w:r>
      <w:r w:rsidRPr="00E60B6F">
        <w:rPr>
          <w:spacing w:val="0"/>
          <w:sz w:val="18"/>
          <w:szCs w:val="26"/>
          <w:rtl/>
        </w:rPr>
        <w:t>في ذلك "عمليات القتل غير القانونية من قبل الشرطة"، "</w:t>
      </w:r>
      <w:r w:rsidRPr="00E60B6F">
        <w:rPr>
          <w:rFonts w:hint="cs"/>
          <w:spacing w:val="0"/>
          <w:sz w:val="18"/>
          <w:szCs w:val="26"/>
          <w:rtl/>
        </w:rPr>
        <w:t>القتل في السجون المدنية أو</w:t>
      </w:r>
      <w:r w:rsidRPr="00E60B6F">
        <w:rPr>
          <w:spacing w:val="0"/>
          <w:sz w:val="18"/>
          <w:szCs w:val="26"/>
          <w:rtl/>
        </w:rPr>
        <w:t xml:space="preserve"> العسكرية</w:t>
      </w:r>
      <w:r w:rsidRPr="00E60B6F">
        <w:rPr>
          <w:rFonts w:hint="cs"/>
          <w:spacing w:val="0"/>
          <w:sz w:val="18"/>
          <w:szCs w:val="26"/>
          <w:rtl/>
        </w:rPr>
        <w:t>"</w:t>
      </w:r>
      <w:r w:rsidRPr="00E60B6F">
        <w:rPr>
          <w:spacing w:val="0"/>
          <w:sz w:val="18"/>
          <w:szCs w:val="26"/>
          <w:rtl/>
        </w:rPr>
        <w:t xml:space="preserve"> و"أنماط</w:t>
      </w:r>
      <w:r w:rsidRPr="00E60B6F">
        <w:rPr>
          <w:rFonts w:hint="cs"/>
          <w:spacing w:val="0"/>
          <w:sz w:val="18"/>
          <w:szCs w:val="26"/>
          <w:rtl/>
        </w:rPr>
        <w:t> </w:t>
      </w:r>
      <w:r w:rsidRPr="00E60B6F">
        <w:rPr>
          <w:spacing w:val="0"/>
          <w:sz w:val="18"/>
          <w:szCs w:val="26"/>
          <w:rtl/>
        </w:rPr>
        <w:t xml:space="preserve">عمليات القتل </w:t>
      </w:r>
      <w:r w:rsidRPr="00E60B6F">
        <w:rPr>
          <w:rFonts w:hint="cs"/>
          <w:spacing w:val="0"/>
          <w:sz w:val="18"/>
          <w:szCs w:val="26"/>
          <w:rtl/>
        </w:rPr>
        <w:t>على يد</w:t>
      </w:r>
      <w:r w:rsidRPr="00E60B6F">
        <w:rPr>
          <w:spacing w:val="0"/>
          <w:sz w:val="18"/>
          <w:szCs w:val="26"/>
          <w:rtl/>
        </w:rPr>
        <w:t xml:space="preserve"> أفراد </w:t>
      </w:r>
      <w:r w:rsidRPr="00E60B6F">
        <w:rPr>
          <w:rFonts w:hint="cs"/>
          <w:spacing w:val="0"/>
          <w:sz w:val="18"/>
          <w:szCs w:val="26"/>
          <w:rtl/>
        </w:rPr>
        <w:t>التي لا تقوم السلطات</w:t>
      </w:r>
      <w:r w:rsidRPr="00E60B6F">
        <w:rPr>
          <w:spacing w:val="0"/>
          <w:sz w:val="18"/>
          <w:szCs w:val="26"/>
          <w:rtl/>
        </w:rPr>
        <w:t xml:space="preserve"> </w:t>
      </w:r>
      <w:r w:rsidRPr="00E60B6F">
        <w:rPr>
          <w:rFonts w:hint="cs"/>
          <w:spacing w:val="0"/>
          <w:sz w:val="18"/>
          <w:szCs w:val="26"/>
          <w:rtl/>
        </w:rPr>
        <w:t>ب</w:t>
      </w:r>
      <w:r w:rsidRPr="00E60B6F">
        <w:rPr>
          <w:spacing w:val="0"/>
          <w:sz w:val="18"/>
          <w:szCs w:val="26"/>
          <w:rtl/>
        </w:rPr>
        <w:t>التحقيق فيها على نحو كاف ومحاكم</w:t>
      </w:r>
      <w:r w:rsidRPr="00E60B6F">
        <w:rPr>
          <w:rFonts w:hint="cs"/>
          <w:spacing w:val="0"/>
          <w:sz w:val="18"/>
          <w:szCs w:val="26"/>
          <w:rtl/>
        </w:rPr>
        <w:t>ة الجناة</w:t>
      </w:r>
      <w:r w:rsidRPr="00E60B6F">
        <w:rPr>
          <w:spacing w:val="0"/>
          <w:sz w:val="18"/>
          <w:szCs w:val="26"/>
          <w:rtl/>
        </w:rPr>
        <w:t xml:space="preserve">"، تقرير المقرر الخاص المعني </w:t>
      </w:r>
      <w:r w:rsidRPr="00E60B6F">
        <w:rPr>
          <w:rFonts w:hint="cs"/>
          <w:spacing w:val="0"/>
          <w:sz w:val="18"/>
          <w:szCs w:val="26"/>
          <w:rtl/>
        </w:rPr>
        <w:t xml:space="preserve">بحالات </w:t>
      </w:r>
      <w:r w:rsidRPr="00E60B6F">
        <w:rPr>
          <w:spacing w:val="0"/>
          <w:sz w:val="18"/>
          <w:szCs w:val="26"/>
          <w:rtl/>
        </w:rPr>
        <w:t xml:space="preserve">الإعدام خارج نطاق القضاء أو بإجراءات موجزة أو </w:t>
      </w:r>
      <w:r w:rsidRPr="00E60B6F">
        <w:rPr>
          <w:rFonts w:hint="cs"/>
          <w:spacing w:val="0"/>
          <w:sz w:val="18"/>
          <w:szCs w:val="26"/>
          <w:rtl/>
        </w:rPr>
        <w:t>تعسفاً</w:t>
      </w:r>
      <w:r w:rsidRPr="00E60B6F">
        <w:rPr>
          <w:spacing w:val="0"/>
          <w:sz w:val="18"/>
          <w:szCs w:val="26"/>
          <w:rtl/>
        </w:rPr>
        <w:t xml:space="preserve"> </w:t>
      </w:r>
      <w:r w:rsidRPr="00E60B6F">
        <w:rPr>
          <w:rFonts w:hint="cs"/>
          <w:spacing w:val="0"/>
          <w:sz w:val="18"/>
          <w:szCs w:val="26"/>
          <w:rtl/>
        </w:rPr>
        <w:t>بشأن</w:t>
      </w:r>
      <w:r w:rsidRPr="00E60B6F">
        <w:rPr>
          <w:spacing w:val="0"/>
          <w:sz w:val="18"/>
          <w:szCs w:val="26"/>
          <w:rtl/>
        </w:rPr>
        <w:t xml:space="preserve"> الوضع</w:t>
      </w:r>
      <w:r w:rsidRPr="00E60B6F">
        <w:rPr>
          <w:rFonts w:hint="cs"/>
          <w:spacing w:val="0"/>
          <w:sz w:val="18"/>
          <w:szCs w:val="26"/>
          <w:rtl/>
        </w:rPr>
        <w:t> </w:t>
      </w:r>
      <w:r w:rsidRPr="00E60B6F">
        <w:rPr>
          <w:spacing w:val="0"/>
          <w:sz w:val="18"/>
          <w:szCs w:val="26"/>
          <w:rtl/>
        </w:rPr>
        <w:t>في الولايات المتحدة الأمريكية (26</w:t>
      </w:r>
      <w:r w:rsidRPr="00E60B6F">
        <w:rPr>
          <w:rFonts w:hint="cs"/>
          <w:spacing w:val="0"/>
          <w:sz w:val="18"/>
          <w:szCs w:val="26"/>
          <w:rtl/>
        </w:rPr>
        <w:t xml:space="preserve"> أيار/</w:t>
      </w:r>
      <w:r w:rsidRPr="00E60B6F">
        <w:rPr>
          <w:spacing w:val="0"/>
          <w:sz w:val="18"/>
          <w:szCs w:val="26"/>
          <w:rtl/>
        </w:rPr>
        <w:t>مايو 2009)، (</w:t>
      </w:r>
      <w:r w:rsidRPr="00E60B6F">
        <w:rPr>
          <w:spacing w:val="0"/>
          <w:sz w:val="18"/>
          <w:szCs w:val="26"/>
        </w:rPr>
        <w:t>A/HRC/11/2/Add.5</w:t>
      </w:r>
      <w:r w:rsidRPr="00E60B6F">
        <w:rPr>
          <w:spacing w:val="0"/>
          <w:sz w:val="18"/>
          <w:szCs w:val="26"/>
          <w:rtl/>
        </w:rPr>
        <w:t>)، الفقرة 3.</w:t>
      </w:r>
      <w:r w:rsidRPr="00E60B6F">
        <w:rPr>
          <w:rFonts w:hint="cs"/>
          <w:spacing w:val="0"/>
          <w:sz w:val="18"/>
          <w:szCs w:val="26"/>
          <w:rtl/>
        </w:rPr>
        <w:t xml:space="preserve"> </w:t>
      </w:r>
    </w:p>
  </w:footnote>
  <w:footnote w:id="55">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 xml:space="preserve">تقرير المتابعة المقدم من المقرر الخاص المعني بمسألة التعذيب، </w:t>
      </w:r>
      <w:r w:rsidRPr="00E60B6F">
        <w:rPr>
          <w:spacing w:val="0"/>
          <w:sz w:val="18"/>
          <w:szCs w:val="26"/>
        </w:rPr>
        <w:t>A/HRC/16/52/Add.2</w:t>
      </w:r>
      <w:r w:rsidRPr="00E60B6F">
        <w:rPr>
          <w:rFonts w:hint="cs"/>
          <w:spacing w:val="0"/>
          <w:sz w:val="18"/>
          <w:szCs w:val="26"/>
          <w:rtl/>
        </w:rPr>
        <w:t>، الصفحة</w:t>
      </w:r>
      <w:r w:rsidRPr="00E60B6F">
        <w:rPr>
          <w:rFonts w:hint="eastAsia"/>
          <w:spacing w:val="0"/>
          <w:sz w:val="18"/>
          <w:szCs w:val="26"/>
          <w:rtl/>
        </w:rPr>
        <w:t> </w:t>
      </w:r>
      <w:r w:rsidRPr="00E60B6F">
        <w:rPr>
          <w:rFonts w:hint="cs"/>
          <w:spacing w:val="0"/>
          <w:sz w:val="18"/>
          <w:szCs w:val="26"/>
          <w:rtl/>
        </w:rPr>
        <w:t>174.</w:t>
      </w:r>
    </w:p>
  </w:footnote>
  <w:footnote w:id="56">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الصفحات 174-175.</w:t>
      </w:r>
    </w:p>
  </w:footnote>
  <w:footnote w:id="57">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الصفحات 175-176.</w:t>
      </w:r>
    </w:p>
  </w:footnote>
  <w:footnote w:id="58">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179.</w:t>
      </w:r>
    </w:p>
  </w:footnote>
  <w:footnote w:id="59">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177.</w:t>
      </w:r>
    </w:p>
  </w:footnote>
  <w:footnote w:id="60">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177.</w:t>
      </w:r>
    </w:p>
  </w:footnote>
  <w:footnote w:id="61">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178.</w:t>
      </w:r>
    </w:p>
  </w:footnote>
  <w:footnote w:id="62">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178.</w:t>
      </w:r>
    </w:p>
  </w:footnote>
  <w:footnote w:id="63">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التقرير المشترك للمؤسسات الوطنية لحقوق الإنسان، الفقرة 15.</w:t>
      </w:r>
    </w:p>
  </w:footnote>
  <w:footnote w:id="64">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 xml:space="preserve">انظر التقارير المقدمة من المنظمات غير الحكومية إلى عملية الاستعراض الدوري الشامل لمجلس حقوق الإنسان بشأن حالة حقوق الإنسان في نيبال: التقرير المقدم من المنظمتين غير الحكوميتين محفل الدفاع - </w:t>
      </w:r>
      <w:r w:rsidRPr="00E60B6F">
        <w:rPr>
          <w:spacing w:val="0"/>
          <w:sz w:val="18"/>
          <w:szCs w:val="26"/>
        </w:rPr>
        <w:t>Advocacy Forum</w:t>
      </w:r>
      <w:r w:rsidRPr="00E60B6F">
        <w:rPr>
          <w:rFonts w:hint="cs"/>
          <w:spacing w:val="0"/>
          <w:sz w:val="18"/>
          <w:szCs w:val="26"/>
          <w:rtl/>
        </w:rPr>
        <w:t xml:space="preserve"> وجمعية المساعدة على الجبر - </w:t>
      </w:r>
      <w:r w:rsidRPr="00E60B6F">
        <w:rPr>
          <w:spacing w:val="0"/>
          <w:sz w:val="18"/>
          <w:szCs w:val="26"/>
        </w:rPr>
        <w:t>REDRESS</w:t>
      </w:r>
      <w:r w:rsidRPr="00E60B6F">
        <w:rPr>
          <w:rFonts w:hint="cs"/>
          <w:spacing w:val="0"/>
          <w:sz w:val="18"/>
          <w:szCs w:val="26"/>
          <w:rtl/>
        </w:rPr>
        <w:t>، الفقرة 14، والتقرير المقدم من منظمة العفو</w:t>
      </w:r>
      <w:r w:rsidRPr="00E60B6F">
        <w:rPr>
          <w:rFonts w:hint="eastAsia"/>
          <w:spacing w:val="0"/>
          <w:sz w:val="18"/>
          <w:szCs w:val="26"/>
          <w:rtl/>
        </w:rPr>
        <w:t> </w:t>
      </w:r>
      <w:r w:rsidRPr="00E60B6F">
        <w:rPr>
          <w:rFonts w:hint="cs"/>
          <w:spacing w:val="0"/>
          <w:sz w:val="18"/>
          <w:szCs w:val="26"/>
          <w:rtl/>
        </w:rPr>
        <w:t>الدولية "التعذيب وغيره من ضروب سوء المعاملة"، الفقرة "جيم -5".</w:t>
      </w:r>
    </w:p>
  </w:footnote>
  <w:footnote w:id="65">
    <w:p w:rsidR="00D64D4C" w:rsidRPr="00E60B6F" w:rsidRDefault="00D64D4C" w:rsidP="00CF3B71">
      <w:pPr>
        <w:pStyle w:val="FootnoteText"/>
        <w:numPr>
          <w:ilvl w:val="0"/>
          <w:numId w:val="31"/>
        </w:numPr>
        <w:tabs>
          <w:tab w:val="clear" w:pos="1405"/>
          <w:tab w:val="num" w:pos="1281"/>
        </w:tabs>
        <w:spacing w:after="60" w:line="240" w:lineRule="exact"/>
        <w:ind w:left="1299" w:right="1247"/>
        <w:jc w:val="lowKashida"/>
        <w:rPr>
          <w:rFonts w:hint="cs"/>
          <w:spacing w:val="0"/>
          <w:sz w:val="18"/>
          <w:szCs w:val="26"/>
          <w:rtl/>
        </w:rPr>
      </w:pPr>
      <w:r w:rsidRPr="00E60B6F">
        <w:rPr>
          <w:spacing w:val="0"/>
          <w:sz w:val="18"/>
          <w:szCs w:val="26"/>
          <w:lang w:val="en-GB"/>
        </w:rPr>
        <w:t>“Submission to the Committee against Torture under article 20”, Update January-December 2010, Advocacy Forum and REDRESS, 29 April 2011, p. 1</w:t>
      </w:r>
      <w:r w:rsidRPr="00E60B6F">
        <w:rPr>
          <w:rFonts w:hint="cs"/>
          <w:spacing w:val="0"/>
          <w:sz w:val="18"/>
          <w:szCs w:val="26"/>
          <w:rtl/>
        </w:rPr>
        <w:t xml:space="preserve">. </w:t>
      </w:r>
    </w:p>
  </w:footnote>
  <w:footnote w:id="66">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tl/>
        </w:rPr>
      </w:pPr>
      <w:r w:rsidRPr="00E60B6F">
        <w:rPr>
          <w:rFonts w:hint="cs"/>
          <w:spacing w:val="0"/>
          <w:sz w:val="18"/>
          <w:szCs w:val="26"/>
          <w:rtl/>
        </w:rPr>
        <w:t>المرجع نفسه، الصفحة 1.</w:t>
      </w:r>
    </w:p>
  </w:footnote>
  <w:footnote w:id="67">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Pr>
      </w:pPr>
      <w:r w:rsidRPr="00E60B6F">
        <w:rPr>
          <w:rFonts w:hint="cs"/>
          <w:spacing w:val="0"/>
          <w:sz w:val="18"/>
          <w:szCs w:val="26"/>
          <w:rtl/>
        </w:rPr>
        <w:t>المرجع نفسه، الصفحة 2.</w:t>
      </w:r>
    </w:p>
  </w:footnote>
  <w:footnote w:id="68">
    <w:p w:rsidR="00D64D4C" w:rsidRPr="00E60B6F" w:rsidRDefault="00D64D4C" w:rsidP="00CF3B71">
      <w:pPr>
        <w:pStyle w:val="FootnoteText"/>
        <w:numPr>
          <w:ilvl w:val="0"/>
          <w:numId w:val="31"/>
        </w:numPr>
        <w:tabs>
          <w:tab w:val="clear" w:pos="1405"/>
          <w:tab w:val="num" w:pos="1281"/>
        </w:tabs>
        <w:spacing w:after="60" w:line="240" w:lineRule="exact"/>
        <w:ind w:left="1299" w:right="1247"/>
        <w:jc w:val="lowKashida"/>
        <w:rPr>
          <w:rFonts w:hint="cs"/>
          <w:spacing w:val="0"/>
          <w:sz w:val="18"/>
          <w:szCs w:val="26"/>
          <w:rtl/>
        </w:rPr>
      </w:pPr>
      <w:r w:rsidRPr="00E60B6F">
        <w:rPr>
          <w:spacing w:val="0"/>
          <w:sz w:val="18"/>
          <w:szCs w:val="26"/>
          <w:lang w:val="en-GB"/>
        </w:rPr>
        <w:t>“Submission to the Committee against Torture under article 20”, Advocacy Forum and REDRESS, 5 March 2010, p. 7</w:t>
      </w:r>
      <w:r w:rsidRPr="00E60B6F">
        <w:rPr>
          <w:rFonts w:hint="cs"/>
          <w:spacing w:val="0"/>
          <w:sz w:val="18"/>
          <w:szCs w:val="26"/>
          <w:rtl/>
        </w:rPr>
        <w:t>.</w:t>
      </w:r>
    </w:p>
  </w:footnote>
  <w:footnote w:id="69">
    <w:p w:rsidR="00D64D4C" w:rsidRPr="00E60B6F" w:rsidRDefault="00D64D4C" w:rsidP="00CF3B71">
      <w:pPr>
        <w:pStyle w:val="FootnoteText"/>
        <w:numPr>
          <w:ilvl w:val="0"/>
          <w:numId w:val="31"/>
        </w:numPr>
        <w:tabs>
          <w:tab w:val="clear" w:pos="1405"/>
          <w:tab w:val="num" w:pos="1281"/>
        </w:tabs>
        <w:spacing w:after="60" w:line="300" w:lineRule="exact"/>
        <w:ind w:left="1248" w:right="1247"/>
        <w:jc w:val="lowKashida"/>
        <w:rPr>
          <w:rFonts w:hint="cs"/>
          <w:spacing w:val="0"/>
          <w:sz w:val="18"/>
          <w:szCs w:val="26"/>
        </w:rPr>
      </w:pPr>
      <w:r w:rsidRPr="00E60B6F">
        <w:rPr>
          <w:rFonts w:hint="cs"/>
          <w:spacing w:val="0"/>
          <w:sz w:val="18"/>
          <w:szCs w:val="26"/>
          <w:rtl/>
        </w:rPr>
        <w:t xml:space="preserve">تجريم التعذيب، اتحاد مناهضة التعذيب في نيبال، 26 حزيران/يونيه 2009. وقد وردت هذه الادعاءات أيضاً في </w:t>
      </w:r>
      <w:r w:rsidRPr="00E60B6F">
        <w:rPr>
          <w:spacing w:val="0"/>
          <w:sz w:val="18"/>
          <w:szCs w:val="26"/>
          <w:lang w:val="en-GB"/>
        </w:rPr>
        <w:t>“Submission to the Committee against Torture under article 20”, Advocacy Forum and Redress, 5 March 2010</w:t>
      </w:r>
      <w:r w:rsidRPr="00E60B6F">
        <w:rPr>
          <w:rFonts w:hint="cs"/>
          <w:spacing w:val="0"/>
          <w:sz w:val="18"/>
          <w:szCs w:val="26"/>
          <w:rtl/>
        </w:rPr>
        <w:t>، الصفحة 9.</w:t>
      </w:r>
    </w:p>
  </w:footnote>
  <w:footnote w:id="70">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Update January-December 2010, Advocacy Forum and REDRESS, 29 April 2011, p. 6-7</w:t>
      </w:r>
      <w:r w:rsidRPr="00E60B6F">
        <w:rPr>
          <w:rFonts w:hint="cs"/>
          <w:spacing w:val="0"/>
          <w:sz w:val="18"/>
          <w:szCs w:val="26"/>
          <w:rtl/>
        </w:rPr>
        <w:t>.</w:t>
      </w:r>
    </w:p>
  </w:footnote>
  <w:footnote w:id="71">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المرجع نفسه، المرفقان 1 و2، الجدول 12.</w:t>
      </w:r>
    </w:p>
  </w:footnote>
  <w:footnote w:id="72">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“Review of the implementation of recommendations made by the Special Rapporteur on the question of torture, Manfred Nowak</w:t>
      </w:r>
      <w:r w:rsidRPr="00E60B6F">
        <w:rPr>
          <w:spacing w:val="0"/>
          <w:sz w:val="18"/>
          <w:szCs w:val="26"/>
          <w:lang w:val="en-GB"/>
        </w:rPr>
        <w:t>, after his mission to Nepal in 2005, Advocacy Forum, September 2010, p. 2</w:t>
      </w:r>
      <w:r w:rsidRPr="00E60B6F">
        <w:rPr>
          <w:spacing w:val="0"/>
          <w:sz w:val="18"/>
          <w:szCs w:val="26"/>
          <w:rtl/>
        </w:rPr>
        <w:t>.</w:t>
      </w:r>
    </w:p>
  </w:footnote>
  <w:footnote w:id="73">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20</w:t>
      </w:r>
      <w:r w:rsidRPr="00E60B6F">
        <w:rPr>
          <w:rFonts w:hint="cs"/>
          <w:spacing w:val="0"/>
          <w:sz w:val="18"/>
          <w:szCs w:val="26"/>
          <w:rtl/>
        </w:rPr>
        <w:t>.</w:t>
      </w:r>
    </w:p>
  </w:footnote>
  <w:footnote w:id="74">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“Centre for victims of torture Nepal’s report on the situation of torture in Nepal”, April 2010</w:t>
      </w:r>
      <w:r w:rsidRPr="00E60B6F">
        <w:rPr>
          <w:rFonts w:hint="cs"/>
          <w:spacing w:val="0"/>
          <w:sz w:val="18"/>
          <w:szCs w:val="26"/>
          <w:rtl/>
        </w:rPr>
        <w:t>.</w:t>
      </w:r>
    </w:p>
  </w:footnote>
  <w:footnote w:id="75">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Update January-December 2010, Advocacy Forum and Redress, 29 April 2011, p. 5 and 7.</w:t>
      </w:r>
      <w:r w:rsidRPr="00E60B6F">
        <w:rPr>
          <w:rFonts w:hint="cs"/>
          <w:spacing w:val="0"/>
          <w:sz w:val="18"/>
          <w:szCs w:val="26"/>
          <w:rtl/>
        </w:rPr>
        <w:t>.</w:t>
      </w:r>
    </w:p>
  </w:footnote>
  <w:footnote w:id="76">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7.</w:t>
      </w:r>
      <w:r w:rsidRPr="00E60B6F">
        <w:rPr>
          <w:spacing w:val="0"/>
          <w:sz w:val="18"/>
          <w:szCs w:val="26"/>
          <w:rtl/>
        </w:rPr>
        <w:t>.</w:t>
      </w:r>
    </w:p>
  </w:footnote>
  <w:footnote w:id="77">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Human Rights Council’s Universal Periodic Review concerning the human rights situation in Nepal, 2010, ALRC_AF, par. 17</w:t>
      </w:r>
      <w:r w:rsidRPr="00E60B6F">
        <w:rPr>
          <w:spacing w:val="0"/>
          <w:sz w:val="18"/>
          <w:szCs w:val="26"/>
          <w:rtl/>
        </w:rPr>
        <w:t>.</w:t>
      </w:r>
    </w:p>
  </w:footnote>
  <w:footnote w:id="78">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“Centre for victims of torture Nepal’s report on the situation of torture in Nepal”, April 2010</w:t>
      </w:r>
      <w:r w:rsidRPr="00E60B6F">
        <w:rPr>
          <w:spacing w:val="0"/>
          <w:sz w:val="18"/>
          <w:szCs w:val="26"/>
          <w:rtl/>
        </w:rPr>
        <w:t>.</w:t>
      </w:r>
    </w:p>
  </w:footnote>
  <w:footnote w:id="79">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21</w:t>
      </w:r>
      <w:r w:rsidRPr="00E60B6F">
        <w:rPr>
          <w:spacing w:val="0"/>
          <w:sz w:val="18"/>
          <w:szCs w:val="26"/>
          <w:rtl/>
        </w:rPr>
        <w:t>.</w:t>
      </w:r>
    </w:p>
  </w:footnote>
  <w:footnote w:id="80">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 الصفحة 20</w:t>
      </w:r>
      <w:r w:rsidRPr="00E60B6F">
        <w:rPr>
          <w:spacing w:val="0"/>
          <w:sz w:val="18"/>
          <w:szCs w:val="26"/>
          <w:rtl/>
        </w:rPr>
        <w:t>.</w:t>
      </w:r>
    </w:p>
  </w:footnote>
  <w:footnote w:id="81">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 الصفحة 20</w:t>
      </w:r>
      <w:r w:rsidRPr="00E60B6F">
        <w:rPr>
          <w:spacing w:val="0"/>
          <w:sz w:val="18"/>
          <w:szCs w:val="26"/>
          <w:rtl/>
        </w:rPr>
        <w:t>.</w:t>
      </w:r>
    </w:p>
  </w:footnote>
  <w:footnote w:id="82">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“Centre for victims of torture Nepal’s report on the situation of torture in Nepal”, April 2010</w:t>
      </w:r>
      <w:r w:rsidRPr="00E60B6F">
        <w:rPr>
          <w:spacing w:val="0"/>
          <w:sz w:val="18"/>
          <w:szCs w:val="26"/>
          <w:rtl/>
        </w:rPr>
        <w:t>.</w:t>
      </w:r>
    </w:p>
  </w:footnote>
  <w:footnote w:id="83">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21</w:t>
      </w:r>
      <w:r w:rsidRPr="00E60B6F">
        <w:rPr>
          <w:spacing w:val="0"/>
          <w:sz w:val="18"/>
          <w:szCs w:val="26"/>
          <w:rtl/>
        </w:rPr>
        <w:t>.</w:t>
      </w:r>
    </w:p>
  </w:footnote>
  <w:footnote w:id="84">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w:t>
      </w:r>
      <w:r w:rsidRPr="00E60B6F">
        <w:rPr>
          <w:spacing w:val="0"/>
          <w:sz w:val="18"/>
          <w:szCs w:val="26"/>
          <w:rtl/>
        </w:rPr>
        <w:t>.</w:t>
      </w:r>
    </w:p>
  </w:footnote>
  <w:footnote w:id="85">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22</w:t>
      </w:r>
      <w:r w:rsidRPr="00E60B6F">
        <w:rPr>
          <w:spacing w:val="0"/>
          <w:sz w:val="18"/>
          <w:szCs w:val="26"/>
          <w:rtl/>
        </w:rPr>
        <w:t>.</w:t>
      </w:r>
    </w:p>
  </w:footnote>
  <w:footnote w:id="86">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Update January-December 2010, Advocacy Forum and Redress, 29 April 2011, p. 10</w:t>
      </w:r>
      <w:r w:rsidRPr="00E60B6F">
        <w:rPr>
          <w:spacing w:val="0"/>
          <w:sz w:val="18"/>
          <w:szCs w:val="26"/>
          <w:rtl/>
        </w:rPr>
        <w:t>.</w:t>
      </w:r>
    </w:p>
  </w:footnote>
  <w:footnote w:id="87">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 xml:space="preserve">تقرير الأمين العام عن طلب نيبال المساعدة من الأمم المتحدة لدعم عملية السلام فيها، </w:t>
      </w:r>
      <w:r w:rsidRPr="00E60B6F">
        <w:rPr>
          <w:spacing w:val="0"/>
          <w:sz w:val="18"/>
          <w:szCs w:val="26"/>
        </w:rPr>
        <w:t>S/2010/17</w:t>
      </w:r>
      <w:r w:rsidRPr="00E60B6F">
        <w:rPr>
          <w:spacing w:val="0"/>
          <w:sz w:val="18"/>
          <w:szCs w:val="26"/>
          <w:rtl/>
        </w:rPr>
        <w:t xml:space="preserve">، </w:t>
      </w:r>
      <w:r w:rsidRPr="00E60B6F">
        <w:rPr>
          <w:rFonts w:hint="cs"/>
          <w:spacing w:val="0"/>
          <w:sz w:val="18"/>
          <w:szCs w:val="26"/>
          <w:rtl/>
        </w:rPr>
        <w:t xml:space="preserve">7 </w:t>
      </w:r>
      <w:r w:rsidRPr="00E60B6F">
        <w:rPr>
          <w:spacing w:val="0"/>
          <w:sz w:val="18"/>
          <w:szCs w:val="26"/>
          <w:rtl/>
        </w:rPr>
        <w:t>كانون الثاني/يناير 2010، الفقرة 27.</w:t>
      </w:r>
    </w:p>
  </w:footnote>
  <w:footnote w:id="88">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 xml:space="preserve">تقرير مفوضة الأمم المتحدة السامية لحقوق الإنسان عن حالة حقوق الإنسان وأنشطة مكتبها، بما في ذلك أنشطة التعاون التقني، في نيبال، </w:t>
      </w:r>
      <w:r w:rsidRPr="00E60B6F">
        <w:rPr>
          <w:spacing w:val="0"/>
          <w:sz w:val="18"/>
          <w:szCs w:val="26"/>
        </w:rPr>
        <w:t>A/HRC/13/73</w:t>
      </w:r>
      <w:r w:rsidRPr="00E60B6F">
        <w:rPr>
          <w:spacing w:val="0"/>
          <w:sz w:val="18"/>
          <w:szCs w:val="26"/>
          <w:rtl/>
        </w:rPr>
        <w:t>،</w:t>
      </w:r>
      <w:r w:rsidRPr="00E60B6F">
        <w:rPr>
          <w:rFonts w:hint="cs"/>
          <w:spacing w:val="0"/>
          <w:sz w:val="18"/>
          <w:szCs w:val="26"/>
          <w:rtl/>
        </w:rPr>
        <w:t xml:space="preserve"> 5 </w:t>
      </w:r>
      <w:r w:rsidRPr="00E60B6F">
        <w:rPr>
          <w:spacing w:val="0"/>
          <w:sz w:val="18"/>
          <w:szCs w:val="26"/>
          <w:rtl/>
        </w:rPr>
        <w:t>شباط/فبراير 2010، الفقرة 26.</w:t>
      </w:r>
    </w:p>
  </w:footnote>
  <w:footnote w:id="89">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 xml:space="preserve">تقرير المتابعة المقدم من المقرر الخاص المعني بمسألة التعذيب، </w:t>
      </w:r>
      <w:r w:rsidRPr="00E60B6F">
        <w:rPr>
          <w:spacing w:val="0"/>
          <w:sz w:val="18"/>
          <w:szCs w:val="26"/>
        </w:rPr>
        <w:t>A/HRC/16/52/Add.2</w:t>
      </w:r>
      <w:r w:rsidRPr="00E60B6F">
        <w:rPr>
          <w:rFonts w:hint="cs"/>
          <w:spacing w:val="0"/>
          <w:sz w:val="18"/>
          <w:szCs w:val="26"/>
          <w:rtl/>
        </w:rPr>
        <w:t>، الفقرة 77</w:t>
      </w:r>
      <w:r w:rsidRPr="00E60B6F">
        <w:rPr>
          <w:spacing w:val="0"/>
          <w:sz w:val="18"/>
          <w:szCs w:val="26"/>
          <w:rtl/>
        </w:rPr>
        <w:t>.</w:t>
      </w:r>
    </w:p>
  </w:footnote>
  <w:footnote w:id="90">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المرجع نفسه، الصفحتان 181-182.</w:t>
      </w:r>
    </w:p>
  </w:footnote>
  <w:footnote w:id="91">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المرجع نفسه، الصفحتان 181-182.</w:t>
      </w:r>
    </w:p>
  </w:footnote>
  <w:footnote w:id="92">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المرجع نفسه، ال</w:t>
      </w:r>
      <w:r w:rsidRPr="00E60B6F">
        <w:rPr>
          <w:rFonts w:hint="cs"/>
          <w:spacing w:val="0"/>
          <w:sz w:val="18"/>
          <w:szCs w:val="26"/>
          <w:rtl/>
        </w:rPr>
        <w:t>فقرة 77</w:t>
      </w:r>
      <w:r w:rsidRPr="00E60B6F">
        <w:rPr>
          <w:spacing w:val="0"/>
          <w:sz w:val="18"/>
          <w:szCs w:val="26"/>
          <w:rtl/>
        </w:rPr>
        <w:t>.</w:t>
      </w:r>
    </w:p>
  </w:footnote>
  <w:footnote w:id="93">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 xml:space="preserve">المرجع نفسه، </w:t>
      </w:r>
      <w:r w:rsidRPr="00E60B6F">
        <w:rPr>
          <w:rFonts w:hint="cs"/>
          <w:spacing w:val="0"/>
          <w:sz w:val="18"/>
          <w:szCs w:val="26"/>
          <w:rtl/>
        </w:rPr>
        <w:t>الصفحة</w:t>
      </w:r>
      <w:r w:rsidRPr="00E60B6F">
        <w:rPr>
          <w:spacing w:val="0"/>
          <w:sz w:val="18"/>
          <w:szCs w:val="26"/>
          <w:rtl/>
        </w:rPr>
        <w:t xml:space="preserve"> </w:t>
      </w:r>
      <w:r w:rsidRPr="00E60B6F">
        <w:rPr>
          <w:rFonts w:hint="cs"/>
          <w:spacing w:val="0"/>
          <w:sz w:val="18"/>
          <w:szCs w:val="26"/>
          <w:rtl/>
        </w:rPr>
        <w:t>171</w:t>
      </w:r>
      <w:r w:rsidRPr="00E60B6F">
        <w:rPr>
          <w:spacing w:val="0"/>
          <w:sz w:val="18"/>
          <w:szCs w:val="26"/>
          <w:rtl/>
        </w:rPr>
        <w:t>.</w:t>
      </w:r>
    </w:p>
  </w:footnote>
  <w:footnote w:id="94">
    <w:p w:rsidR="00D64D4C" w:rsidRPr="00E60B6F" w:rsidRDefault="00D64D4C" w:rsidP="00CF3B71">
      <w:pPr>
        <w:pStyle w:val="FootnoteText"/>
        <w:numPr>
          <w:ilvl w:val="0"/>
          <w:numId w:val="32"/>
        </w:numPr>
        <w:spacing w:after="60" w:line="300" w:lineRule="exact"/>
        <w:ind w:left="1299" w:right="1247"/>
        <w:jc w:val="lowKashida"/>
        <w:rPr>
          <w:rFonts w:hint="cs"/>
          <w:spacing w:val="0"/>
          <w:sz w:val="18"/>
          <w:szCs w:val="26"/>
        </w:rPr>
      </w:pPr>
      <w:r w:rsidRPr="00E60B6F">
        <w:rPr>
          <w:rFonts w:hint="cs"/>
          <w:spacing w:val="0"/>
          <w:sz w:val="18"/>
          <w:szCs w:val="26"/>
          <w:rtl/>
        </w:rPr>
        <w:t>تقرير المتابعة المقدم من المقرر الخاص المعني بمسألة التعذيب (</w:t>
      </w:r>
      <w:r w:rsidRPr="00E60B6F">
        <w:rPr>
          <w:spacing w:val="0"/>
          <w:sz w:val="18"/>
          <w:szCs w:val="26"/>
        </w:rPr>
        <w:t>A/HRC/16/52/Add.2</w:t>
      </w:r>
      <w:r w:rsidRPr="00E60B6F">
        <w:rPr>
          <w:rFonts w:hint="cs"/>
          <w:spacing w:val="0"/>
          <w:sz w:val="18"/>
          <w:szCs w:val="26"/>
          <w:rtl/>
        </w:rPr>
        <w:t>)، الفقرتان 186 و187</w:t>
      </w:r>
      <w:r w:rsidRPr="00E60B6F">
        <w:rPr>
          <w:spacing w:val="0"/>
          <w:sz w:val="18"/>
          <w:szCs w:val="26"/>
          <w:rtl/>
        </w:rPr>
        <w:t>.</w:t>
      </w:r>
    </w:p>
  </w:footnote>
  <w:footnote w:id="95">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تقرير مفوضة الأمم المتحدة السامية لحقوق الإنسان عن حالة حقوق الإنسان وأنشطة مكتبها، بما في ذلك أنشطة التعاون التقني، في نيبال،</w:t>
      </w:r>
      <w:r w:rsidRPr="00E60B6F">
        <w:rPr>
          <w:rFonts w:hint="cs"/>
          <w:spacing w:val="0"/>
          <w:sz w:val="18"/>
          <w:szCs w:val="26"/>
          <w:rtl/>
        </w:rPr>
        <w:t xml:space="preserve"> (</w:t>
      </w:r>
      <w:r w:rsidRPr="00E60B6F">
        <w:rPr>
          <w:spacing w:val="0"/>
          <w:sz w:val="18"/>
          <w:szCs w:val="26"/>
        </w:rPr>
        <w:t>A/HRC/13/73</w:t>
      </w:r>
      <w:r w:rsidRPr="00E60B6F">
        <w:rPr>
          <w:rFonts w:hint="cs"/>
          <w:spacing w:val="0"/>
          <w:sz w:val="18"/>
          <w:szCs w:val="26"/>
          <w:rtl/>
        </w:rPr>
        <w:t>)</w:t>
      </w:r>
      <w:r w:rsidRPr="00E60B6F">
        <w:rPr>
          <w:spacing w:val="0"/>
          <w:sz w:val="18"/>
          <w:szCs w:val="26"/>
          <w:rtl/>
        </w:rPr>
        <w:t xml:space="preserve">، </w:t>
      </w:r>
      <w:r w:rsidRPr="00E60B6F">
        <w:rPr>
          <w:rFonts w:hint="cs"/>
          <w:spacing w:val="0"/>
          <w:sz w:val="18"/>
          <w:szCs w:val="26"/>
          <w:rtl/>
        </w:rPr>
        <w:t>5</w:t>
      </w:r>
      <w:r w:rsidRPr="00E60B6F">
        <w:rPr>
          <w:spacing w:val="0"/>
          <w:sz w:val="18"/>
          <w:szCs w:val="26"/>
          <w:rtl/>
        </w:rPr>
        <w:t xml:space="preserve"> شباط/فبراير 2010، الفقرة 26.</w:t>
      </w:r>
    </w:p>
  </w:footnote>
  <w:footnote w:id="96">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تقرير الأمين العام عن طلب نيبال المساعدة من الأمم المتحدة في دعم عملية السلام فيها (</w:t>
      </w:r>
      <w:r w:rsidRPr="00E60B6F">
        <w:rPr>
          <w:spacing w:val="0"/>
          <w:sz w:val="18"/>
          <w:szCs w:val="26"/>
        </w:rPr>
        <w:t>S/2010/17</w:t>
      </w:r>
      <w:r w:rsidRPr="00E60B6F">
        <w:rPr>
          <w:spacing w:val="0"/>
          <w:sz w:val="18"/>
          <w:szCs w:val="26"/>
          <w:rtl/>
        </w:rPr>
        <w:t>)، كانون الثاني/يناير 2010، الفقرتان 27 و30.</w:t>
      </w:r>
    </w:p>
  </w:footnote>
  <w:footnote w:id="97">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 xml:space="preserve">تقرير مفوضة الأمم المتحدة السامية لحقوق الإنسان عن حالة حقوق الإنسان وأنشطة مكتبها، بما في ذلك أنشطة التعاون التقني، في نيبال، </w:t>
      </w:r>
      <w:r w:rsidRPr="00E60B6F">
        <w:rPr>
          <w:rFonts w:hint="cs"/>
          <w:spacing w:val="0"/>
          <w:sz w:val="18"/>
          <w:szCs w:val="26"/>
          <w:rtl/>
        </w:rPr>
        <w:t>(</w:t>
      </w:r>
      <w:r w:rsidRPr="00E60B6F">
        <w:rPr>
          <w:spacing w:val="0"/>
          <w:sz w:val="18"/>
          <w:szCs w:val="26"/>
        </w:rPr>
        <w:t>A/HRC/13/73</w:t>
      </w:r>
      <w:r w:rsidRPr="00E60B6F">
        <w:rPr>
          <w:rFonts w:hint="cs"/>
          <w:spacing w:val="0"/>
          <w:sz w:val="18"/>
          <w:szCs w:val="26"/>
          <w:rtl/>
        </w:rPr>
        <w:t>)</w:t>
      </w:r>
      <w:r w:rsidRPr="00E60B6F">
        <w:rPr>
          <w:spacing w:val="0"/>
          <w:sz w:val="18"/>
          <w:szCs w:val="26"/>
          <w:rtl/>
        </w:rPr>
        <w:t xml:space="preserve">، </w:t>
      </w:r>
      <w:r w:rsidRPr="00E60B6F">
        <w:rPr>
          <w:rFonts w:hint="cs"/>
          <w:spacing w:val="0"/>
          <w:sz w:val="18"/>
          <w:szCs w:val="26"/>
          <w:rtl/>
        </w:rPr>
        <w:t xml:space="preserve">5 </w:t>
      </w:r>
      <w:r w:rsidRPr="00E60B6F">
        <w:rPr>
          <w:spacing w:val="0"/>
          <w:sz w:val="18"/>
          <w:szCs w:val="26"/>
          <w:rtl/>
        </w:rPr>
        <w:t>شباط/فبراير 2010، الفقرة 27.</w:t>
      </w:r>
    </w:p>
  </w:footnote>
  <w:footnote w:id="98">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w:t>
      </w:r>
      <w:r w:rsidRPr="00E60B6F">
        <w:rPr>
          <w:spacing w:val="0"/>
          <w:sz w:val="18"/>
          <w:szCs w:val="26"/>
          <w:rtl/>
        </w:rPr>
        <w:t>، الفقرة 29.</w:t>
      </w:r>
    </w:p>
  </w:footnote>
  <w:footnote w:id="99">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w:t>
      </w:r>
      <w:r w:rsidRPr="00E60B6F">
        <w:rPr>
          <w:spacing w:val="0"/>
          <w:sz w:val="18"/>
          <w:szCs w:val="26"/>
          <w:rtl/>
        </w:rPr>
        <w:t>، الفقرتان 30-31.</w:t>
      </w:r>
    </w:p>
  </w:footnote>
  <w:footnote w:id="100">
    <w:p w:rsidR="00D64D4C" w:rsidRPr="00E60B6F" w:rsidRDefault="00D64D4C" w:rsidP="00CF3B71">
      <w:pPr>
        <w:pStyle w:val="FootnoteText"/>
        <w:numPr>
          <w:ilvl w:val="0"/>
          <w:numId w:val="32"/>
        </w:numPr>
        <w:spacing w:after="60" w:line="300" w:lineRule="exact"/>
        <w:ind w:left="1299" w:right="1247"/>
        <w:jc w:val="lowKashida"/>
        <w:rPr>
          <w:rFonts w:hint="cs"/>
          <w:spacing w:val="0"/>
          <w:sz w:val="18"/>
          <w:szCs w:val="26"/>
        </w:rPr>
      </w:pPr>
      <w:r w:rsidRPr="00E60B6F">
        <w:rPr>
          <w:rFonts w:hint="cs"/>
          <w:spacing w:val="0"/>
          <w:sz w:val="18"/>
          <w:szCs w:val="26"/>
          <w:rtl/>
        </w:rPr>
        <w:t xml:space="preserve"> تقرير المتابعة المقدم من المقرر الخاص المعني بمسألة التعذيب، </w:t>
      </w:r>
      <w:r w:rsidRPr="00E60B6F">
        <w:rPr>
          <w:spacing w:val="0"/>
          <w:sz w:val="18"/>
          <w:szCs w:val="26"/>
        </w:rPr>
        <w:t>A/HRC/16/52/Add.2</w:t>
      </w:r>
      <w:r w:rsidRPr="00E60B6F">
        <w:rPr>
          <w:rFonts w:hint="cs"/>
          <w:spacing w:val="0"/>
          <w:sz w:val="18"/>
          <w:szCs w:val="26"/>
          <w:rtl/>
        </w:rPr>
        <w:t xml:space="preserve">، الصفحة </w:t>
      </w:r>
      <w:r w:rsidRPr="00E60B6F">
        <w:rPr>
          <w:spacing w:val="0"/>
          <w:sz w:val="18"/>
          <w:szCs w:val="26"/>
        </w:rPr>
        <w:t>180</w:t>
      </w:r>
      <w:r w:rsidRPr="00E60B6F">
        <w:rPr>
          <w:spacing w:val="0"/>
          <w:sz w:val="18"/>
          <w:szCs w:val="26"/>
          <w:rtl/>
        </w:rPr>
        <w:t>.</w:t>
      </w:r>
    </w:p>
  </w:footnote>
  <w:footnote w:id="101">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 الصفحة 179</w:t>
      </w:r>
      <w:r w:rsidRPr="00E60B6F">
        <w:rPr>
          <w:spacing w:val="0"/>
          <w:sz w:val="18"/>
          <w:szCs w:val="26"/>
          <w:rtl/>
        </w:rPr>
        <w:t>.</w:t>
      </w:r>
    </w:p>
  </w:footnote>
  <w:footnote w:id="102">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 الصفحتان 180-181</w:t>
      </w:r>
      <w:r w:rsidRPr="00E60B6F">
        <w:rPr>
          <w:spacing w:val="0"/>
          <w:sz w:val="18"/>
          <w:szCs w:val="26"/>
          <w:rtl/>
        </w:rPr>
        <w:t>.</w:t>
      </w:r>
    </w:p>
  </w:footnote>
  <w:footnote w:id="103">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 الصفحة 180</w:t>
      </w:r>
      <w:r w:rsidRPr="00E60B6F">
        <w:rPr>
          <w:spacing w:val="0"/>
          <w:sz w:val="18"/>
          <w:szCs w:val="26"/>
          <w:rtl/>
        </w:rPr>
        <w:t>.</w:t>
      </w:r>
    </w:p>
  </w:footnote>
  <w:footnote w:id="104">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تقرير السيد منفرد نواك، المقرر الخاص المعني بمسألة التعذيب وغيره من ضروب المعاملة أو العقوبة القاسية</w:t>
      </w:r>
      <w:r w:rsidRPr="00E60B6F">
        <w:rPr>
          <w:rFonts w:hint="cs"/>
          <w:spacing w:val="0"/>
          <w:sz w:val="18"/>
          <w:szCs w:val="26"/>
          <w:rtl/>
        </w:rPr>
        <w:t> </w:t>
      </w:r>
      <w:r w:rsidRPr="00E60B6F">
        <w:rPr>
          <w:spacing w:val="0"/>
          <w:sz w:val="18"/>
          <w:szCs w:val="26"/>
          <w:rtl/>
        </w:rPr>
        <w:t xml:space="preserve">أو اللاإنسانية أو المهينة، </w:t>
      </w:r>
      <w:r w:rsidRPr="00E60B6F">
        <w:rPr>
          <w:rFonts w:hint="cs"/>
          <w:spacing w:val="0"/>
          <w:sz w:val="18"/>
          <w:szCs w:val="26"/>
          <w:rtl/>
        </w:rPr>
        <w:t>(</w:t>
      </w:r>
      <w:r w:rsidRPr="00E60B6F">
        <w:rPr>
          <w:spacing w:val="0"/>
          <w:sz w:val="18"/>
          <w:szCs w:val="26"/>
        </w:rPr>
        <w:t>E/CN.4/2006/6/Add.5</w:t>
      </w:r>
      <w:r w:rsidRPr="00E60B6F">
        <w:rPr>
          <w:rFonts w:hint="cs"/>
          <w:spacing w:val="0"/>
          <w:sz w:val="18"/>
          <w:szCs w:val="26"/>
          <w:rtl/>
        </w:rPr>
        <w:t xml:space="preserve">)، 9 </w:t>
      </w:r>
      <w:r w:rsidRPr="00E60B6F">
        <w:rPr>
          <w:spacing w:val="0"/>
          <w:sz w:val="18"/>
          <w:szCs w:val="26"/>
          <w:rtl/>
        </w:rPr>
        <w:t xml:space="preserve">كانون الثاني/يناير 2006، </w:t>
      </w:r>
      <w:r w:rsidRPr="00E60B6F">
        <w:rPr>
          <w:rFonts w:hint="cs"/>
          <w:spacing w:val="0"/>
          <w:sz w:val="18"/>
          <w:szCs w:val="26"/>
          <w:rtl/>
        </w:rPr>
        <w:t>الصفحة</w:t>
      </w:r>
      <w:r w:rsidRPr="00E60B6F">
        <w:rPr>
          <w:spacing w:val="0"/>
          <w:sz w:val="18"/>
          <w:szCs w:val="26"/>
          <w:rtl/>
        </w:rPr>
        <w:t xml:space="preserve"> 3.</w:t>
      </w:r>
    </w:p>
  </w:footnote>
  <w:footnote w:id="105">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 xml:space="preserve">تقرير مفوضة الأمم المتحدة السامية لحقوق الإنسان عن حالة حقوق الإنسان وأنشطة مكتبها، بما في ذلك أنشطة التعاون التقني، في نيبال </w:t>
      </w:r>
      <w:r w:rsidRPr="00E60B6F">
        <w:rPr>
          <w:rFonts w:hint="cs"/>
          <w:spacing w:val="0"/>
          <w:sz w:val="18"/>
          <w:szCs w:val="26"/>
          <w:rtl/>
        </w:rPr>
        <w:t>(</w:t>
      </w:r>
      <w:r w:rsidRPr="00E60B6F">
        <w:rPr>
          <w:spacing w:val="0"/>
          <w:sz w:val="18"/>
          <w:szCs w:val="26"/>
        </w:rPr>
        <w:t>A/HRC/13/73</w:t>
      </w:r>
      <w:r w:rsidRPr="00E60B6F">
        <w:rPr>
          <w:rFonts w:hint="cs"/>
          <w:spacing w:val="0"/>
          <w:sz w:val="18"/>
          <w:szCs w:val="26"/>
          <w:rtl/>
        </w:rPr>
        <w:t xml:space="preserve">)، 5 </w:t>
      </w:r>
      <w:r w:rsidRPr="00E60B6F">
        <w:rPr>
          <w:spacing w:val="0"/>
          <w:sz w:val="18"/>
          <w:szCs w:val="26"/>
          <w:rtl/>
        </w:rPr>
        <w:t>شباط/فبراير 2010، الفقرة 32.</w:t>
      </w:r>
    </w:p>
  </w:footnote>
  <w:footnote w:id="106">
    <w:p w:rsidR="00D64D4C" w:rsidRPr="003E7397" w:rsidRDefault="00D64D4C" w:rsidP="00E60B6F">
      <w:pPr>
        <w:pStyle w:val="FootnoteText"/>
        <w:numPr>
          <w:ilvl w:val="0"/>
          <w:numId w:val="32"/>
        </w:numPr>
        <w:spacing w:after="60" w:line="300" w:lineRule="exact"/>
        <w:ind w:right="1247"/>
        <w:jc w:val="lowKashida"/>
        <w:rPr>
          <w:rFonts w:hint="cs"/>
          <w:spacing w:val="-4"/>
          <w:sz w:val="18"/>
          <w:szCs w:val="26"/>
        </w:rPr>
      </w:pPr>
      <w:r w:rsidRPr="003E7397">
        <w:rPr>
          <w:spacing w:val="-4"/>
          <w:sz w:val="18"/>
          <w:szCs w:val="26"/>
          <w:rtl/>
        </w:rPr>
        <w:t xml:space="preserve">رسائل مقدمة إلى الاستعراض الدوري الشامل لمجلس حقوق الإنسان من ائتلاف منظمات غير حكومية </w:t>
      </w:r>
      <w:r w:rsidRPr="003E7397">
        <w:rPr>
          <w:rFonts w:hint="cs"/>
          <w:spacing w:val="-4"/>
          <w:sz w:val="18"/>
          <w:szCs w:val="26"/>
          <w:rtl/>
        </w:rPr>
        <w:t>ي</w:t>
      </w:r>
      <w:r w:rsidRPr="003E7397">
        <w:rPr>
          <w:spacing w:val="-4"/>
          <w:sz w:val="18"/>
          <w:szCs w:val="26"/>
          <w:rtl/>
        </w:rPr>
        <w:t xml:space="preserve">شمل </w:t>
      </w:r>
      <w:r w:rsidRPr="003E7397">
        <w:rPr>
          <w:rFonts w:hint="cs"/>
          <w:spacing w:val="-4"/>
          <w:sz w:val="18"/>
          <w:szCs w:val="26"/>
          <w:rtl/>
        </w:rPr>
        <w:t>منظمة</w:t>
      </w:r>
      <w:r w:rsidRPr="003E7397">
        <w:rPr>
          <w:spacing w:val="-4"/>
          <w:sz w:val="18"/>
          <w:szCs w:val="26"/>
          <w:rtl/>
        </w:rPr>
        <w:t xml:space="preserve"> العفو الدولية ولجنة الحقوقيين الدولية ومحفل الدفاع والمركز الآسيوي للموارد القانونية، 2010.</w:t>
      </w:r>
    </w:p>
  </w:footnote>
  <w:footnote w:id="107">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بمقتضى قانون قضايا الدولة وقواعده</w:t>
      </w:r>
      <w:r w:rsidRPr="00E60B6F">
        <w:rPr>
          <w:rFonts w:hint="cs"/>
          <w:spacing w:val="0"/>
          <w:sz w:val="18"/>
          <w:szCs w:val="26"/>
          <w:rtl/>
        </w:rPr>
        <w:t>،</w:t>
      </w:r>
      <w:r w:rsidRPr="00E60B6F">
        <w:rPr>
          <w:spacing w:val="0"/>
          <w:sz w:val="18"/>
          <w:szCs w:val="26"/>
          <w:rtl/>
        </w:rPr>
        <w:t xml:space="preserve"> لا يمكن سحب</w:t>
      </w:r>
      <w:r w:rsidRPr="00E60B6F">
        <w:rPr>
          <w:rFonts w:hint="cs"/>
          <w:spacing w:val="0"/>
          <w:sz w:val="18"/>
          <w:szCs w:val="26"/>
          <w:rtl/>
        </w:rPr>
        <w:t xml:space="preserve"> </w:t>
      </w:r>
      <w:r w:rsidRPr="00E60B6F">
        <w:rPr>
          <w:spacing w:val="0"/>
          <w:sz w:val="18"/>
          <w:szCs w:val="26"/>
          <w:rtl/>
        </w:rPr>
        <w:t xml:space="preserve">البلاغ </w:t>
      </w:r>
      <w:r w:rsidRPr="00E60B6F">
        <w:rPr>
          <w:rFonts w:hint="cs"/>
          <w:spacing w:val="0"/>
          <w:sz w:val="18"/>
          <w:szCs w:val="26"/>
          <w:rtl/>
        </w:rPr>
        <w:t>بعد تسجيله</w:t>
      </w:r>
      <w:r w:rsidRPr="00E60B6F">
        <w:rPr>
          <w:spacing w:val="0"/>
          <w:sz w:val="18"/>
          <w:szCs w:val="26"/>
          <w:rtl/>
        </w:rPr>
        <w:t xml:space="preserve"> إلا بقرار من المدعي العام.</w:t>
      </w:r>
    </w:p>
  </w:footnote>
  <w:footnote w:id="108">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“Indifference to duty, impunity for crimes committed in Nepal”, Human Rights Watch and Advocacy Forum, December 2010, p. 15</w:t>
      </w:r>
      <w:r w:rsidRPr="00E60B6F">
        <w:rPr>
          <w:spacing w:val="0"/>
          <w:sz w:val="18"/>
          <w:szCs w:val="26"/>
          <w:rtl/>
        </w:rPr>
        <w:t>.</w:t>
      </w:r>
    </w:p>
  </w:footnote>
  <w:footnote w:id="109">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“Indifference to duty, Impunity for Crimes Committed in Nepal”, Human Rights Watch and Advocacy Forum, December 2010, p. 15</w:t>
      </w:r>
      <w:r w:rsidRPr="00E60B6F">
        <w:rPr>
          <w:spacing w:val="0"/>
          <w:sz w:val="18"/>
          <w:szCs w:val="26"/>
          <w:rtl/>
        </w:rPr>
        <w:t>.</w:t>
      </w:r>
    </w:p>
  </w:footnote>
  <w:footnote w:id="110">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25</w:t>
      </w:r>
      <w:r w:rsidRPr="00E60B6F">
        <w:rPr>
          <w:spacing w:val="0"/>
          <w:sz w:val="18"/>
          <w:szCs w:val="26"/>
          <w:rtl/>
        </w:rPr>
        <w:t>.</w:t>
      </w:r>
    </w:p>
  </w:footnote>
  <w:footnote w:id="111">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“Indifference to duty, impunity for crimes committed in Nepal”, Human Rights Watch and Advocacy Forum, December 2010, p. 4</w:t>
      </w:r>
      <w:r w:rsidRPr="00E60B6F">
        <w:rPr>
          <w:spacing w:val="0"/>
          <w:sz w:val="18"/>
          <w:szCs w:val="26"/>
          <w:rtl/>
        </w:rPr>
        <w:t>.</w:t>
      </w:r>
    </w:p>
  </w:footnote>
  <w:footnote w:id="112">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 الصفحة 10</w:t>
      </w:r>
      <w:r w:rsidRPr="00E60B6F">
        <w:rPr>
          <w:spacing w:val="0"/>
          <w:sz w:val="18"/>
          <w:szCs w:val="26"/>
          <w:rtl/>
        </w:rPr>
        <w:t>.</w:t>
      </w:r>
    </w:p>
  </w:footnote>
  <w:footnote w:id="113">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 الصفحة 10</w:t>
      </w:r>
      <w:r w:rsidRPr="00E60B6F">
        <w:rPr>
          <w:spacing w:val="0"/>
          <w:sz w:val="18"/>
          <w:szCs w:val="26"/>
          <w:rtl/>
        </w:rPr>
        <w:t>.</w:t>
      </w:r>
    </w:p>
  </w:footnote>
  <w:footnote w:id="114">
    <w:p w:rsidR="00D64D4C" w:rsidRPr="003E7397" w:rsidRDefault="00D64D4C" w:rsidP="003E7397">
      <w:pPr>
        <w:pStyle w:val="FootnoteText"/>
        <w:numPr>
          <w:ilvl w:val="0"/>
          <w:numId w:val="32"/>
        </w:numPr>
        <w:spacing w:after="60" w:line="300" w:lineRule="exact"/>
        <w:ind w:right="1247"/>
        <w:jc w:val="lowKashida"/>
        <w:rPr>
          <w:rFonts w:hint="cs"/>
          <w:spacing w:val="-4"/>
          <w:sz w:val="18"/>
          <w:szCs w:val="26"/>
        </w:rPr>
      </w:pPr>
      <w:r w:rsidRPr="003E7397">
        <w:rPr>
          <w:spacing w:val="-4"/>
          <w:sz w:val="18"/>
          <w:szCs w:val="26"/>
          <w:rtl/>
        </w:rPr>
        <w:t xml:space="preserve">محكمة نيبال العليا، الحكم الصادر في 14 كانون الأول/ديسمبر 2009 في الأمر رقم 0339/2064(2007)، </w:t>
      </w:r>
      <w:r w:rsidRPr="003E7397">
        <w:rPr>
          <w:rFonts w:hint="cs"/>
          <w:spacing w:val="-4"/>
          <w:sz w:val="18"/>
          <w:szCs w:val="26"/>
          <w:rtl/>
        </w:rPr>
        <w:t>الصفحة</w:t>
      </w:r>
      <w:r w:rsidRPr="003E7397">
        <w:rPr>
          <w:spacing w:val="-4"/>
          <w:sz w:val="18"/>
          <w:szCs w:val="26"/>
          <w:rtl/>
        </w:rPr>
        <w:t xml:space="preserve"> 4.</w:t>
      </w:r>
    </w:p>
  </w:footnote>
  <w:footnote w:id="115">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“Indifference to duty, Impunity for Crimes Committed in Nepal”, Human Rights Watch and Advocacy Forum, December 2010, p. 7</w:t>
      </w:r>
      <w:r w:rsidRPr="00E60B6F">
        <w:rPr>
          <w:spacing w:val="0"/>
          <w:sz w:val="18"/>
          <w:szCs w:val="26"/>
          <w:rtl/>
        </w:rPr>
        <w:t>.</w:t>
      </w:r>
    </w:p>
  </w:footnote>
  <w:footnote w:id="116">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27</w:t>
      </w:r>
      <w:r w:rsidRPr="00E60B6F">
        <w:rPr>
          <w:spacing w:val="0"/>
          <w:sz w:val="18"/>
          <w:szCs w:val="26"/>
          <w:rtl/>
        </w:rPr>
        <w:t>.</w:t>
      </w:r>
    </w:p>
  </w:footnote>
  <w:footnote w:id="117">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حكم المحكمة العليا الصادر في 10 آذار/مارس 2008 في الأمر رقم 1231(2007).</w:t>
      </w:r>
    </w:p>
  </w:footnote>
  <w:footnote w:id="118">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 xml:space="preserve">اللجنة المعنية بحقوق الإنسان، </w:t>
      </w:r>
      <w:r w:rsidRPr="00E60B6F">
        <w:rPr>
          <w:i/>
          <w:iCs/>
          <w:spacing w:val="0"/>
          <w:sz w:val="18"/>
          <w:szCs w:val="26"/>
          <w:rtl/>
        </w:rPr>
        <w:t>ياسهودا شارما ضد نيبال</w:t>
      </w:r>
      <w:r w:rsidRPr="00E60B6F">
        <w:rPr>
          <w:spacing w:val="0"/>
          <w:sz w:val="18"/>
          <w:szCs w:val="26"/>
          <w:rtl/>
        </w:rPr>
        <w:t>، البلاغ رقم 1469/2006، الآراء المعتمدة في</w:t>
      </w:r>
      <w:r w:rsidRPr="00E60B6F">
        <w:rPr>
          <w:rFonts w:hint="cs"/>
          <w:spacing w:val="0"/>
          <w:sz w:val="18"/>
          <w:szCs w:val="26"/>
          <w:rtl/>
        </w:rPr>
        <w:t> </w:t>
      </w:r>
      <w:r w:rsidRPr="00E60B6F">
        <w:rPr>
          <w:spacing w:val="0"/>
          <w:sz w:val="18"/>
          <w:szCs w:val="26"/>
          <w:rtl/>
        </w:rPr>
        <w:t>28 تشرين الأول/أكتوبر 2008.</w:t>
      </w:r>
    </w:p>
  </w:footnote>
  <w:footnote w:id="119">
    <w:p w:rsidR="00D64D4C" w:rsidRPr="00E60B6F" w:rsidRDefault="00D64D4C" w:rsidP="00CF3B71">
      <w:pPr>
        <w:pStyle w:val="FootnoteText"/>
        <w:numPr>
          <w:ilvl w:val="0"/>
          <w:numId w:val="32"/>
        </w:numPr>
        <w:spacing w:after="60" w:line="30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27</w:t>
      </w:r>
      <w:r w:rsidRPr="00E60B6F">
        <w:rPr>
          <w:rFonts w:hint="cs"/>
          <w:spacing w:val="0"/>
          <w:sz w:val="18"/>
          <w:szCs w:val="26"/>
          <w:rtl/>
        </w:rPr>
        <w:t>. انظر أيضاً</w:t>
      </w:r>
      <w:r w:rsidRPr="00E60B6F">
        <w:rPr>
          <w:spacing w:val="0"/>
          <w:sz w:val="18"/>
          <w:szCs w:val="26"/>
        </w:rPr>
        <w:t>“Recipe for impunity at work in Bardiya National Park”, Asian Commission for Human Rights</w:t>
      </w:r>
      <w:r w:rsidRPr="00E60B6F">
        <w:rPr>
          <w:rFonts w:hint="cs"/>
          <w:spacing w:val="0"/>
          <w:sz w:val="18"/>
          <w:szCs w:val="26"/>
          <w:rtl/>
        </w:rPr>
        <w:t xml:space="preserve">؛ وانظر أيضاً الموقع التالي: </w:t>
      </w:r>
    </w:p>
    <w:p w:rsidR="00D64D4C" w:rsidRPr="00E60B6F" w:rsidRDefault="00D64D4C" w:rsidP="00E60B6F">
      <w:pPr>
        <w:pStyle w:val="FootnoteText"/>
        <w:spacing w:after="60" w:line="300" w:lineRule="exact"/>
        <w:ind w:left="556" w:right="1247" w:firstLine="743"/>
        <w:rPr>
          <w:rFonts w:hint="cs"/>
          <w:spacing w:val="0"/>
          <w:sz w:val="18"/>
          <w:szCs w:val="26"/>
        </w:rPr>
      </w:pPr>
      <w:r w:rsidRPr="00E60B6F">
        <w:rPr>
          <w:spacing w:val="0"/>
          <w:sz w:val="18"/>
          <w:szCs w:val="26"/>
        </w:rPr>
        <w:t>www.humanrights.asia/news/ahrc-news/AHRC-STM-081-2010/</w:t>
      </w:r>
      <w:r w:rsidRPr="00E60B6F">
        <w:rPr>
          <w:spacing w:val="0"/>
          <w:sz w:val="18"/>
          <w:szCs w:val="26"/>
          <w:rtl/>
        </w:rPr>
        <w:t>.</w:t>
      </w:r>
    </w:p>
  </w:footnote>
  <w:footnote w:id="120">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“Discrimination and Irregularities, The painful Tale of Interim Relief in Nepal”, A report, Advocacy Forum, 2010, p. 6</w:t>
      </w:r>
      <w:r w:rsidRPr="00E60B6F">
        <w:rPr>
          <w:spacing w:val="0"/>
          <w:sz w:val="18"/>
          <w:szCs w:val="26"/>
          <w:rtl/>
        </w:rPr>
        <w:t>.</w:t>
      </w:r>
    </w:p>
  </w:footnote>
  <w:footnote w:id="121">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التقرير السنوي للجنة الوطنية لحقوق الإنسان عن الفترة من تموز/يوليه 2008 إلى تموز/يوليه 2009 وهو</w:t>
      </w:r>
      <w:r w:rsidRPr="00E60B6F">
        <w:rPr>
          <w:rFonts w:hint="cs"/>
          <w:spacing w:val="0"/>
          <w:sz w:val="18"/>
          <w:szCs w:val="26"/>
          <w:rtl/>
        </w:rPr>
        <w:t> </w:t>
      </w:r>
      <w:r w:rsidRPr="00E60B6F">
        <w:rPr>
          <w:spacing w:val="0"/>
          <w:sz w:val="18"/>
          <w:szCs w:val="26"/>
          <w:rtl/>
        </w:rPr>
        <w:t>تقرير متاح باللغة النيبالية فقط ولذلك فقد أشير إليه في تقرير محفل الدفاع</w:t>
      </w:r>
      <w:r w:rsidRPr="00E60B6F">
        <w:rPr>
          <w:spacing w:val="0"/>
          <w:sz w:val="18"/>
          <w:szCs w:val="26"/>
        </w:rPr>
        <w:t>“Discrimination and Irregularities, The painful Tale of Interim Relief in Nepal”</w:t>
      </w:r>
      <w:r w:rsidRPr="00E60B6F">
        <w:rPr>
          <w:spacing w:val="0"/>
          <w:sz w:val="18"/>
          <w:szCs w:val="26"/>
          <w:rtl/>
        </w:rPr>
        <w:t xml:space="preserve">، </w:t>
      </w:r>
      <w:r w:rsidRPr="00E60B6F">
        <w:rPr>
          <w:rFonts w:hint="cs"/>
          <w:spacing w:val="0"/>
          <w:sz w:val="18"/>
          <w:szCs w:val="26"/>
          <w:rtl/>
        </w:rPr>
        <w:t>2010</w:t>
      </w:r>
      <w:r w:rsidRPr="00E60B6F">
        <w:rPr>
          <w:spacing w:val="0"/>
          <w:sz w:val="18"/>
          <w:szCs w:val="26"/>
          <w:rtl/>
        </w:rPr>
        <w:t xml:space="preserve">، </w:t>
      </w:r>
      <w:r w:rsidRPr="00E60B6F">
        <w:rPr>
          <w:rFonts w:hint="cs"/>
          <w:spacing w:val="0"/>
          <w:sz w:val="18"/>
          <w:szCs w:val="26"/>
          <w:rtl/>
        </w:rPr>
        <w:t>ال</w:t>
      </w:r>
      <w:r w:rsidRPr="00E60B6F">
        <w:rPr>
          <w:spacing w:val="0"/>
          <w:sz w:val="18"/>
          <w:szCs w:val="26"/>
          <w:rtl/>
        </w:rPr>
        <w:t>صفحة 6.</w:t>
      </w:r>
    </w:p>
  </w:footnote>
  <w:footnote w:id="122">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rFonts w:hint="cs"/>
          <w:spacing w:val="0"/>
          <w:sz w:val="18"/>
          <w:szCs w:val="26"/>
          <w:rtl/>
        </w:rPr>
        <w:t>المرجع نفسه</w:t>
      </w:r>
      <w:r w:rsidRPr="00E60B6F">
        <w:rPr>
          <w:spacing w:val="0"/>
          <w:sz w:val="18"/>
          <w:szCs w:val="26"/>
          <w:rtl/>
        </w:rPr>
        <w:t>.</w:t>
      </w:r>
    </w:p>
  </w:footnote>
  <w:footnote w:id="123">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NHRC, “Study on the insurgency related to torture and disability”, 2003</w:t>
      </w:r>
      <w:r w:rsidRPr="00E60B6F">
        <w:rPr>
          <w:spacing w:val="0"/>
          <w:sz w:val="18"/>
          <w:szCs w:val="26"/>
          <w:rtl/>
        </w:rPr>
        <w:t>.</w:t>
      </w:r>
    </w:p>
  </w:footnote>
  <w:footnote w:id="124">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“Discrimination and Irregularities, The painful tale of interim relief in Nepal”, A report, Advocacy Forum, 2010, p. 6</w:t>
      </w:r>
      <w:r w:rsidRPr="00E60B6F">
        <w:rPr>
          <w:spacing w:val="0"/>
          <w:sz w:val="18"/>
          <w:szCs w:val="26"/>
          <w:rtl/>
        </w:rPr>
        <w:t>.</w:t>
      </w:r>
    </w:p>
  </w:footnote>
  <w:footnote w:id="125">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Criminalize Torture, Advocacy Forum, 2009, p. 3</w:t>
      </w:r>
      <w:r w:rsidRPr="00E60B6F">
        <w:rPr>
          <w:rFonts w:hint="cs"/>
          <w:spacing w:val="0"/>
          <w:sz w:val="18"/>
          <w:szCs w:val="26"/>
          <w:rtl/>
        </w:rPr>
        <w:t>، و</w:t>
      </w:r>
      <w:r w:rsidRPr="00E60B6F">
        <w:rPr>
          <w:spacing w:val="0"/>
          <w:sz w:val="18"/>
          <w:szCs w:val="26"/>
        </w:rPr>
        <w:t>“Submission to the Committee against Torture under article 20”, Advocacy Forum and REDRESS, 5 March 2010, p. 25</w:t>
      </w:r>
      <w:r w:rsidRPr="00E60B6F">
        <w:rPr>
          <w:spacing w:val="0"/>
          <w:sz w:val="18"/>
          <w:szCs w:val="26"/>
          <w:rtl/>
        </w:rPr>
        <w:t>.</w:t>
      </w:r>
    </w:p>
  </w:footnote>
  <w:footnote w:id="126">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“Centre for victims of torture Nepal’s report on the situation of torture in Nepal”, April 2010</w:t>
      </w:r>
      <w:r w:rsidRPr="00E60B6F">
        <w:rPr>
          <w:spacing w:val="0"/>
          <w:sz w:val="18"/>
          <w:szCs w:val="26"/>
          <w:rtl/>
        </w:rPr>
        <w:t>.</w:t>
      </w:r>
    </w:p>
  </w:footnote>
  <w:footnote w:id="127">
    <w:p w:rsidR="00D64D4C" w:rsidRPr="00E60B6F" w:rsidRDefault="00D64D4C" w:rsidP="00CF3B71">
      <w:pPr>
        <w:pStyle w:val="FootnoteText"/>
        <w:numPr>
          <w:ilvl w:val="0"/>
          <w:numId w:val="32"/>
        </w:numPr>
        <w:spacing w:line="240" w:lineRule="exact"/>
        <w:ind w:left="1299" w:right="1247"/>
        <w:jc w:val="lowKashida"/>
        <w:rPr>
          <w:rFonts w:hint="cs"/>
          <w:spacing w:val="0"/>
          <w:sz w:val="18"/>
          <w:szCs w:val="26"/>
        </w:rPr>
      </w:pPr>
      <w:r w:rsidRPr="00E60B6F">
        <w:rPr>
          <w:spacing w:val="0"/>
          <w:sz w:val="18"/>
          <w:szCs w:val="26"/>
        </w:rPr>
        <w:t>“Submission to the Committee against Torture under article 20”, Advocacy Forum and REDRESS, 5 March 2010, p. 27</w:t>
      </w:r>
      <w:r w:rsidRPr="00E60B6F">
        <w:rPr>
          <w:rFonts w:hint="cs"/>
          <w:spacing w:val="0"/>
          <w:sz w:val="18"/>
          <w:szCs w:val="26"/>
          <w:rtl/>
        </w:rPr>
        <w:t xml:space="preserve">. انظر أيضاً </w:t>
      </w:r>
      <w:r w:rsidRPr="00E60B6F">
        <w:rPr>
          <w:spacing w:val="0"/>
          <w:sz w:val="18"/>
          <w:szCs w:val="26"/>
        </w:rPr>
        <w:t>“Recipe for impunity at work in Bardiya National Park”, Asian Commission for Human Rights</w:t>
      </w:r>
      <w:r w:rsidRPr="00E60B6F">
        <w:rPr>
          <w:rFonts w:hint="cs"/>
          <w:spacing w:val="0"/>
          <w:sz w:val="18"/>
          <w:szCs w:val="26"/>
          <w:rtl/>
        </w:rPr>
        <w:t xml:space="preserve">؛ وانظر الموقع التالي: </w:t>
      </w:r>
    </w:p>
    <w:p w:rsidR="00D64D4C" w:rsidRPr="00E60B6F" w:rsidRDefault="00D64D4C" w:rsidP="00E60B6F">
      <w:pPr>
        <w:pStyle w:val="FootnoteText"/>
        <w:spacing w:after="60" w:line="300" w:lineRule="exact"/>
        <w:ind w:left="556" w:right="1247" w:firstLine="743"/>
        <w:rPr>
          <w:rFonts w:hint="cs"/>
          <w:spacing w:val="0"/>
          <w:sz w:val="18"/>
          <w:szCs w:val="26"/>
        </w:rPr>
      </w:pPr>
      <w:r w:rsidRPr="00E60B6F">
        <w:rPr>
          <w:spacing w:val="0"/>
          <w:sz w:val="18"/>
          <w:szCs w:val="26"/>
        </w:rPr>
        <w:t>www.humanrights.asia/news/ahrc-news/AHRC-STM-081-2010/</w:t>
      </w:r>
      <w:r w:rsidRPr="00E60B6F">
        <w:rPr>
          <w:spacing w:val="0"/>
          <w:sz w:val="18"/>
          <w:szCs w:val="26"/>
          <w:rtl/>
        </w:rPr>
        <w:t>.</w:t>
      </w:r>
    </w:p>
  </w:footnote>
  <w:footnote w:id="128">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“Centre for victims of torture Nepal’s report on the situation of torture in Nepal”, April 2010</w:t>
      </w:r>
      <w:r w:rsidRPr="00E60B6F">
        <w:rPr>
          <w:spacing w:val="0"/>
          <w:sz w:val="18"/>
          <w:szCs w:val="26"/>
          <w:rtl/>
        </w:rPr>
        <w:t>.</w:t>
      </w:r>
    </w:p>
  </w:footnote>
  <w:footnote w:id="129">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A/48/44/Add.1</w:t>
      </w:r>
      <w:r w:rsidRPr="00E60B6F">
        <w:rPr>
          <w:spacing w:val="0"/>
          <w:sz w:val="18"/>
          <w:szCs w:val="26"/>
          <w:rtl/>
        </w:rPr>
        <w:t>، الفقرة 39 و</w:t>
      </w:r>
      <w:r w:rsidRPr="00E60B6F">
        <w:rPr>
          <w:spacing w:val="0"/>
          <w:sz w:val="18"/>
          <w:szCs w:val="26"/>
        </w:rPr>
        <w:t>A/56/44</w:t>
      </w:r>
      <w:r w:rsidRPr="00E60B6F">
        <w:rPr>
          <w:spacing w:val="0"/>
          <w:sz w:val="18"/>
          <w:szCs w:val="26"/>
          <w:rtl/>
        </w:rPr>
        <w:t>، الفقرة 163.</w:t>
      </w:r>
    </w:p>
  </w:footnote>
  <w:footnote w:id="130">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A/HRC/10/53</w:t>
      </w:r>
      <w:r w:rsidRPr="00E60B6F">
        <w:rPr>
          <w:spacing w:val="0"/>
          <w:sz w:val="18"/>
          <w:szCs w:val="26"/>
          <w:rtl/>
        </w:rPr>
        <w:t xml:space="preserve">، </w:t>
      </w:r>
      <w:r w:rsidRPr="00E60B6F">
        <w:rPr>
          <w:rFonts w:hint="cs"/>
          <w:spacing w:val="0"/>
          <w:sz w:val="18"/>
          <w:szCs w:val="26"/>
          <w:rtl/>
        </w:rPr>
        <w:t>3</w:t>
      </w:r>
      <w:r w:rsidRPr="00E60B6F">
        <w:rPr>
          <w:spacing w:val="0"/>
          <w:sz w:val="18"/>
          <w:szCs w:val="26"/>
          <w:rtl/>
        </w:rPr>
        <w:t xml:space="preserve"> آذار/مارس 2009.</w:t>
      </w:r>
    </w:p>
  </w:footnote>
  <w:footnote w:id="131">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A/48/44/Add.1</w:t>
      </w:r>
      <w:r w:rsidRPr="00E60B6F">
        <w:rPr>
          <w:spacing w:val="0"/>
          <w:sz w:val="18"/>
          <w:szCs w:val="26"/>
          <w:rtl/>
        </w:rPr>
        <w:t>، الفقرة 38.</w:t>
      </w:r>
    </w:p>
  </w:footnote>
  <w:footnote w:id="132">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A/56/44</w:t>
      </w:r>
      <w:r w:rsidRPr="00E60B6F">
        <w:rPr>
          <w:spacing w:val="0"/>
          <w:sz w:val="18"/>
          <w:szCs w:val="26"/>
          <w:rtl/>
        </w:rPr>
        <w:t>، الفق</w:t>
      </w:r>
      <w:r w:rsidRPr="00E60B6F">
        <w:rPr>
          <w:rFonts w:hint="cs"/>
          <w:spacing w:val="0"/>
          <w:sz w:val="18"/>
          <w:szCs w:val="26"/>
          <w:rtl/>
        </w:rPr>
        <w:t>رة</w:t>
      </w:r>
      <w:r w:rsidRPr="00E60B6F">
        <w:rPr>
          <w:spacing w:val="0"/>
          <w:sz w:val="18"/>
          <w:szCs w:val="26"/>
          <w:rtl/>
        </w:rPr>
        <w:t xml:space="preserve"> 160.</w:t>
      </w:r>
    </w:p>
  </w:footnote>
  <w:footnote w:id="133">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التعليق العام رقم 2 للجنة مناهضة التعذيب، الفقرة 18.</w:t>
      </w:r>
    </w:p>
  </w:footnote>
  <w:footnote w:id="134">
    <w:p w:rsidR="00D64D4C" w:rsidRPr="00E60B6F" w:rsidRDefault="00D64D4C" w:rsidP="00CF3B71">
      <w:pPr>
        <w:pStyle w:val="FootnoteText"/>
        <w:numPr>
          <w:ilvl w:val="0"/>
          <w:numId w:val="32"/>
        </w:numPr>
        <w:spacing w:after="60" w:line="240" w:lineRule="exact"/>
        <w:ind w:left="1299" w:right="1247"/>
        <w:jc w:val="lowKashida"/>
        <w:rPr>
          <w:rFonts w:hint="cs"/>
          <w:spacing w:val="0"/>
          <w:sz w:val="18"/>
          <w:szCs w:val="26"/>
        </w:rPr>
      </w:pPr>
      <w:r w:rsidRPr="00E60B6F">
        <w:rPr>
          <w:spacing w:val="0"/>
          <w:sz w:val="18"/>
          <w:szCs w:val="26"/>
        </w:rPr>
        <w:t>CAT/C/GC/2</w:t>
      </w:r>
      <w:r w:rsidRPr="00E60B6F">
        <w:rPr>
          <w:spacing w:val="0"/>
          <w:sz w:val="18"/>
          <w:szCs w:val="26"/>
          <w:rtl/>
        </w:rPr>
        <w:t>.</w:t>
      </w:r>
    </w:p>
  </w:footnote>
  <w:footnote w:id="135">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A/49/44</w:t>
      </w:r>
      <w:r w:rsidRPr="00E60B6F">
        <w:rPr>
          <w:spacing w:val="0"/>
          <w:sz w:val="18"/>
          <w:szCs w:val="26"/>
          <w:rtl/>
        </w:rPr>
        <w:t>، الفقرات من 138 إلى 147.</w:t>
      </w:r>
    </w:p>
  </w:footnote>
  <w:footnote w:id="136">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CAT/C/NPL/CO/2</w:t>
      </w:r>
      <w:r w:rsidRPr="00E60B6F">
        <w:rPr>
          <w:spacing w:val="0"/>
          <w:sz w:val="18"/>
          <w:szCs w:val="26"/>
          <w:rtl/>
        </w:rPr>
        <w:t>، الفقرة 12.</w:t>
      </w:r>
    </w:p>
  </w:footnote>
  <w:footnote w:id="137">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CAT/C/NPL/CO/2</w:t>
      </w:r>
      <w:r w:rsidRPr="00E60B6F">
        <w:rPr>
          <w:spacing w:val="0"/>
          <w:sz w:val="18"/>
          <w:szCs w:val="26"/>
          <w:rtl/>
        </w:rPr>
        <w:t>، الفقرة 13.</w:t>
      </w:r>
    </w:p>
  </w:footnote>
  <w:footnote w:id="138">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tl/>
        </w:rPr>
        <w:t>المرجع نفسه، الفقرة 12.</w:t>
      </w:r>
    </w:p>
  </w:footnote>
  <w:footnote w:id="139">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CAT/C/NPL/CO/2</w:t>
      </w:r>
      <w:r w:rsidRPr="00E60B6F">
        <w:rPr>
          <w:rFonts w:hint="cs"/>
          <w:spacing w:val="0"/>
          <w:sz w:val="18"/>
          <w:szCs w:val="26"/>
          <w:rtl/>
        </w:rPr>
        <w:t>،</w:t>
      </w:r>
      <w:r w:rsidRPr="00E60B6F">
        <w:rPr>
          <w:spacing w:val="0"/>
          <w:sz w:val="18"/>
          <w:szCs w:val="26"/>
          <w:rtl/>
        </w:rPr>
        <w:t xml:space="preserve"> الفقرة 24.</w:t>
      </w:r>
    </w:p>
  </w:footnote>
  <w:footnote w:id="140">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A/HRC/13/73</w:t>
      </w:r>
      <w:r w:rsidRPr="00E60B6F">
        <w:rPr>
          <w:spacing w:val="0"/>
          <w:sz w:val="18"/>
          <w:szCs w:val="26"/>
          <w:rtl/>
        </w:rPr>
        <w:t>، الفقرة 38.</w:t>
      </w:r>
    </w:p>
  </w:footnote>
  <w:footnote w:id="141">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A/HRC/13/42</w:t>
      </w:r>
      <w:r w:rsidRPr="00E60B6F">
        <w:rPr>
          <w:rFonts w:hint="cs"/>
          <w:spacing w:val="0"/>
          <w:sz w:val="18"/>
          <w:szCs w:val="26"/>
          <w:rtl/>
        </w:rPr>
        <w:t xml:space="preserve">، </w:t>
      </w:r>
      <w:r w:rsidRPr="00E60B6F">
        <w:rPr>
          <w:spacing w:val="0"/>
          <w:sz w:val="18"/>
          <w:szCs w:val="26"/>
          <w:rtl/>
        </w:rPr>
        <w:t>الفقرات 180-182.</w:t>
      </w:r>
    </w:p>
  </w:footnote>
  <w:footnote w:id="142">
    <w:p w:rsidR="00D64D4C" w:rsidRPr="00E60B6F" w:rsidRDefault="00D64D4C" w:rsidP="00E60B6F">
      <w:pPr>
        <w:pStyle w:val="FootnoteText"/>
        <w:numPr>
          <w:ilvl w:val="0"/>
          <w:numId w:val="32"/>
        </w:numPr>
        <w:spacing w:after="60" w:line="300" w:lineRule="exact"/>
        <w:ind w:right="1247"/>
        <w:jc w:val="lowKashida"/>
        <w:rPr>
          <w:rFonts w:hint="cs"/>
          <w:spacing w:val="0"/>
          <w:sz w:val="18"/>
          <w:szCs w:val="26"/>
        </w:rPr>
      </w:pPr>
      <w:r w:rsidRPr="00E60B6F">
        <w:rPr>
          <w:spacing w:val="0"/>
          <w:sz w:val="18"/>
          <w:szCs w:val="26"/>
        </w:rPr>
        <w:t>CAT/C/NPL/CO/2</w:t>
      </w:r>
      <w:r w:rsidRPr="00E60B6F">
        <w:rPr>
          <w:rFonts w:hint="cs"/>
          <w:spacing w:val="0"/>
          <w:sz w:val="18"/>
          <w:szCs w:val="26"/>
          <w:rtl/>
        </w:rPr>
        <w:t>، الفق</w:t>
      </w:r>
      <w:r w:rsidRPr="00E60B6F">
        <w:rPr>
          <w:spacing w:val="0"/>
          <w:sz w:val="18"/>
          <w:szCs w:val="26"/>
          <w:rtl/>
        </w:rPr>
        <w:t>رة 21، و</w:t>
      </w:r>
      <w:r w:rsidRPr="00E60B6F">
        <w:rPr>
          <w:spacing w:val="0"/>
          <w:sz w:val="18"/>
          <w:szCs w:val="26"/>
        </w:rPr>
        <w:t>CRC/C/15/Add.261</w:t>
      </w:r>
      <w:r w:rsidRPr="00E60B6F">
        <w:rPr>
          <w:rFonts w:hint="cs"/>
          <w:spacing w:val="0"/>
          <w:sz w:val="18"/>
          <w:szCs w:val="26"/>
          <w:rtl/>
        </w:rPr>
        <w:t>، الفقرة 97.</w:t>
      </w:r>
    </w:p>
  </w:footnote>
  <w:footnote w:id="143">
    <w:p w:rsidR="00D64D4C" w:rsidRPr="003E698F" w:rsidRDefault="00D64D4C" w:rsidP="00921F02">
      <w:pPr>
        <w:pStyle w:val="FootnoteText"/>
        <w:numPr>
          <w:ilvl w:val="0"/>
          <w:numId w:val="34"/>
        </w:numPr>
        <w:spacing w:after="60" w:line="300" w:lineRule="exact"/>
        <w:ind w:right="1247"/>
        <w:jc w:val="lowKashida"/>
        <w:rPr>
          <w:rFonts w:hint="cs"/>
          <w:spacing w:val="-4"/>
          <w:kern w:val="0"/>
          <w:sz w:val="18"/>
          <w:szCs w:val="26"/>
        </w:rPr>
      </w:pPr>
      <w:r w:rsidRPr="003E698F">
        <w:rPr>
          <w:rFonts w:hint="cs"/>
          <w:spacing w:val="-4"/>
          <w:kern w:val="0"/>
          <w:sz w:val="18"/>
          <w:szCs w:val="26"/>
          <w:rtl/>
        </w:rPr>
        <w:t xml:space="preserve">البلاغ رقم 238/2003، </w:t>
      </w:r>
      <w:r w:rsidRPr="003E698F">
        <w:rPr>
          <w:rFonts w:hint="cs"/>
          <w:i/>
          <w:iCs/>
          <w:spacing w:val="-4"/>
          <w:kern w:val="0"/>
          <w:sz w:val="18"/>
          <w:szCs w:val="26"/>
          <w:rtl/>
        </w:rPr>
        <w:t>ز. ت. (رقم 2) ضد النرويج</w:t>
      </w:r>
      <w:r w:rsidRPr="003E698F">
        <w:rPr>
          <w:rFonts w:hint="cs"/>
          <w:spacing w:val="-4"/>
          <w:kern w:val="0"/>
          <w:sz w:val="18"/>
          <w:szCs w:val="26"/>
          <w:rtl/>
        </w:rPr>
        <w:t>، القرار المعتمد في 14 تشرين الثاني/نوفمبر 2005.</w:t>
      </w:r>
    </w:p>
  </w:footnote>
  <w:footnote w:id="144">
    <w:p w:rsidR="00D64D4C" w:rsidRPr="003E698F" w:rsidRDefault="00D64D4C" w:rsidP="00293076">
      <w:pPr>
        <w:pStyle w:val="FootnoteText"/>
        <w:numPr>
          <w:ilvl w:val="0"/>
          <w:numId w:val="34"/>
        </w:numPr>
        <w:tabs>
          <w:tab w:val="clear" w:pos="1292"/>
          <w:tab w:val="left" w:pos="1253"/>
        </w:tabs>
        <w:spacing w:after="60" w:line="300" w:lineRule="exact"/>
        <w:ind w:left="1248" w:right="1247"/>
        <w:jc w:val="lowKashida"/>
        <w:rPr>
          <w:rFonts w:hint="cs"/>
          <w:spacing w:val="0"/>
          <w:kern w:val="0"/>
          <w:sz w:val="18"/>
          <w:szCs w:val="26"/>
        </w:rPr>
      </w:pPr>
      <w:r w:rsidRPr="003E698F">
        <w:rPr>
          <w:rFonts w:hint="cs"/>
          <w:spacing w:val="0"/>
          <w:kern w:val="0"/>
          <w:sz w:val="18"/>
          <w:szCs w:val="26"/>
          <w:rtl/>
        </w:rPr>
        <w:t xml:space="preserve">البلاغ رقم 233/2003، </w:t>
      </w:r>
      <w:r w:rsidRPr="003E698F">
        <w:rPr>
          <w:rFonts w:hint="cs"/>
          <w:i/>
          <w:iCs/>
          <w:spacing w:val="0"/>
          <w:kern w:val="0"/>
          <w:sz w:val="18"/>
          <w:szCs w:val="26"/>
          <w:rtl/>
        </w:rPr>
        <w:t>عجيزة ضد السويد</w:t>
      </w:r>
      <w:r w:rsidRPr="003E698F">
        <w:rPr>
          <w:rFonts w:hint="cs"/>
          <w:spacing w:val="0"/>
          <w:kern w:val="0"/>
          <w:sz w:val="18"/>
          <w:szCs w:val="26"/>
          <w:rtl/>
        </w:rPr>
        <w:t>، القرار المعتمد في 20 أيار/مايو 2005، والبلاغ رقم</w:t>
      </w:r>
      <w:r w:rsidRPr="003E698F">
        <w:rPr>
          <w:rFonts w:hint="eastAsia"/>
          <w:spacing w:val="0"/>
          <w:kern w:val="0"/>
          <w:sz w:val="18"/>
          <w:szCs w:val="26"/>
          <w:rtl/>
        </w:rPr>
        <w:t> </w:t>
      </w:r>
      <w:r w:rsidRPr="003E698F">
        <w:rPr>
          <w:rFonts w:hint="cs"/>
          <w:spacing w:val="0"/>
          <w:kern w:val="0"/>
          <w:sz w:val="18"/>
          <w:szCs w:val="26"/>
          <w:rtl/>
        </w:rPr>
        <w:t>282/2005</w:t>
      </w:r>
      <w:r w:rsidRPr="003E698F">
        <w:rPr>
          <w:rFonts w:hint="cs"/>
          <w:i/>
          <w:iCs/>
          <w:spacing w:val="0"/>
          <w:kern w:val="0"/>
          <w:sz w:val="18"/>
          <w:szCs w:val="26"/>
          <w:rtl/>
        </w:rPr>
        <w:t>، س. ب. أ. ضد كندا</w:t>
      </w:r>
      <w:r w:rsidRPr="003E698F">
        <w:rPr>
          <w:rFonts w:hint="cs"/>
          <w:spacing w:val="0"/>
          <w:kern w:val="0"/>
          <w:sz w:val="18"/>
          <w:szCs w:val="26"/>
          <w:rtl/>
        </w:rPr>
        <w:t>، القرار المعتمد في 27 تشرين الثاني/نوفمبر 2006.</w:t>
      </w:r>
    </w:p>
  </w:footnote>
  <w:footnote w:id="145">
    <w:p w:rsidR="00D64D4C" w:rsidRPr="006E2306" w:rsidRDefault="00D64D4C" w:rsidP="00293076">
      <w:pPr>
        <w:pStyle w:val="FootnoteText"/>
        <w:numPr>
          <w:ilvl w:val="0"/>
          <w:numId w:val="34"/>
        </w:numPr>
        <w:tabs>
          <w:tab w:val="clear" w:pos="1292"/>
          <w:tab w:val="left" w:pos="1253"/>
        </w:tabs>
        <w:spacing w:after="60" w:line="300" w:lineRule="exact"/>
        <w:ind w:left="1248" w:right="1247"/>
        <w:jc w:val="lowKashida"/>
        <w:rPr>
          <w:rFonts w:hint="cs"/>
          <w:sz w:val="18"/>
          <w:szCs w:val="26"/>
        </w:rPr>
      </w:pPr>
      <w:r w:rsidRPr="006E2306">
        <w:rPr>
          <w:rFonts w:hint="cs"/>
          <w:iCs/>
          <w:sz w:val="18"/>
          <w:szCs w:val="26"/>
          <w:rtl/>
        </w:rPr>
        <w:t>ز. ت. (رقم 2) ضد النرويج</w:t>
      </w:r>
      <w:r w:rsidRPr="006E2306">
        <w:rPr>
          <w:rFonts w:hint="cs"/>
          <w:sz w:val="18"/>
          <w:szCs w:val="26"/>
          <w:rtl/>
        </w:rPr>
        <w:t xml:space="preserve"> (الحاشية 1 أعلاه).</w:t>
      </w:r>
    </w:p>
  </w:footnote>
  <w:footnote w:id="146">
    <w:p w:rsidR="00D64D4C" w:rsidRPr="006E2306" w:rsidRDefault="00D64D4C" w:rsidP="00F85F7C">
      <w:pPr>
        <w:pStyle w:val="FootnoteText"/>
        <w:numPr>
          <w:ilvl w:val="0"/>
          <w:numId w:val="34"/>
        </w:numPr>
        <w:tabs>
          <w:tab w:val="clear" w:pos="1292"/>
          <w:tab w:val="left" w:pos="1239"/>
        </w:tabs>
        <w:spacing w:after="60" w:line="300" w:lineRule="exact"/>
        <w:ind w:left="1248" w:right="1247"/>
        <w:jc w:val="lowKashida"/>
        <w:rPr>
          <w:rFonts w:hint="cs"/>
          <w:sz w:val="18"/>
          <w:szCs w:val="26"/>
        </w:rPr>
      </w:pPr>
      <w:r w:rsidRPr="006E2306">
        <w:rPr>
          <w:rFonts w:hint="cs"/>
          <w:i/>
          <w:iCs/>
          <w:sz w:val="18"/>
          <w:szCs w:val="26"/>
          <w:rtl/>
        </w:rPr>
        <w:t>الوثائق الرسمية للجمعية العامة، الدورة الثالثة والخمسون، الملحق رقم 44</w:t>
      </w:r>
      <w:r w:rsidRPr="006E2306">
        <w:rPr>
          <w:rFonts w:hint="cs"/>
          <w:sz w:val="18"/>
          <w:szCs w:val="26"/>
          <w:rtl/>
        </w:rPr>
        <w:t xml:space="preserve"> (</w:t>
      </w:r>
      <w:r w:rsidRPr="006E2306">
        <w:rPr>
          <w:sz w:val="18"/>
          <w:szCs w:val="26"/>
        </w:rPr>
        <w:t>A/53/44</w:t>
      </w:r>
      <w:r w:rsidRPr="006E2306">
        <w:rPr>
          <w:rFonts w:hint="cs"/>
          <w:sz w:val="18"/>
          <w:szCs w:val="26"/>
          <w:rtl/>
        </w:rPr>
        <w:t xml:space="preserve"> و</w:t>
      </w:r>
      <w:r w:rsidRPr="006E2306">
        <w:rPr>
          <w:sz w:val="18"/>
          <w:szCs w:val="26"/>
        </w:rPr>
        <w:t>Corr.1</w:t>
      </w:r>
      <w:r w:rsidRPr="006E2306">
        <w:rPr>
          <w:rFonts w:hint="cs"/>
          <w:sz w:val="18"/>
          <w:szCs w:val="26"/>
          <w:rtl/>
        </w:rPr>
        <w:t>)، المرفق التاسع.</w:t>
      </w:r>
      <w:r>
        <w:rPr>
          <w:rFonts w:hint="cs"/>
          <w:sz w:val="18"/>
          <w:szCs w:val="26"/>
          <w:rtl/>
        </w:rPr>
        <w:t xml:space="preserve"> </w:t>
      </w:r>
    </w:p>
  </w:footnote>
  <w:footnote w:id="147">
    <w:p w:rsidR="00D64D4C" w:rsidRPr="006E2306" w:rsidRDefault="00D64D4C" w:rsidP="00503CA2">
      <w:pPr>
        <w:pStyle w:val="FootnoteText"/>
        <w:tabs>
          <w:tab w:val="left" w:pos="1239"/>
        </w:tabs>
        <w:spacing w:after="60" w:line="300" w:lineRule="exact"/>
        <w:ind w:left="1253" w:right="1247" w:hanging="448"/>
        <w:jc w:val="lowKashida"/>
        <w:rPr>
          <w:rFonts w:hint="cs"/>
          <w:sz w:val="18"/>
          <w:szCs w:val="26"/>
        </w:rPr>
      </w:pPr>
      <w:r>
        <w:rPr>
          <w:rFonts w:hint="cs"/>
          <w:sz w:val="18"/>
          <w:szCs w:val="26"/>
          <w:rtl/>
        </w:rPr>
        <w:t>(</w:t>
      </w:r>
      <w:r w:rsidRPr="000705BE">
        <w:rPr>
          <w:rFonts w:hint="cs"/>
          <w:sz w:val="26"/>
          <w:szCs w:val="26"/>
          <w:rtl/>
        </w:rPr>
        <w:t>ﻫ</w:t>
      </w:r>
      <w:r>
        <w:rPr>
          <w:rFonts w:hint="cs"/>
          <w:sz w:val="18"/>
          <w:szCs w:val="26"/>
          <w:rtl/>
        </w:rPr>
        <w:t>)</w:t>
      </w:r>
      <w:r>
        <w:rPr>
          <w:rFonts w:hint="cs"/>
          <w:sz w:val="18"/>
          <w:szCs w:val="26"/>
          <w:rtl/>
        </w:rPr>
        <w:tab/>
      </w:r>
      <w:r w:rsidRPr="006E2306">
        <w:rPr>
          <w:rFonts w:hint="cs"/>
          <w:sz w:val="18"/>
          <w:szCs w:val="26"/>
          <w:rtl/>
        </w:rPr>
        <w:t xml:space="preserve">انظر تعليق اللجنة العام رقم 1، والبلاغ رقم 203/2002، </w:t>
      </w:r>
      <w:r w:rsidRPr="006E2306">
        <w:rPr>
          <w:rFonts w:hint="cs"/>
          <w:i/>
          <w:iCs/>
          <w:sz w:val="18"/>
          <w:szCs w:val="26"/>
          <w:rtl/>
        </w:rPr>
        <w:t>أ. ر. ضد هولندا</w:t>
      </w:r>
      <w:r w:rsidRPr="006E2306">
        <w:rPr>
          <w:rFonts w:hint="cs"/>
          <w:sz w:val="18"/>
          <w:szCs w:val="26"/>
          <w:rtl/>
        </w:rPr>
        <w:t xml:space="preserve">، </w:t>
      </w:r>
      <w:r>
        <w:rPr>
          <w:rFonts w:hint="cs"/>
          <w:sz w:val="18"/>
          <w:szCs w:val="26"/>
          <w:rtl/>
        </w:rPr>
        <w:t>القرار المعتمد</w:t>
      </w:r>
      <w:r w:rsidRPr="006E2306">
        <w:rPr>
          <w:rFonts w:hint="cs"/>
          <w:sz w:val="18"/>
          <w:szCs w:val="26"/>
          <w:rtl/>
        </w:rPr>
        <w:t xml:space="preserve"> في</w:t>
      </w:r>
      <w:r>
        <w:rPr>
          <w:rFonts w:hint="eastAsia"/>
          <w:sz w:val="18"/>
          <w:szCs w:val="26"/>
          <w:rtl/>
        </w:rPr>
        <w:t> </w:t>
      </w:r>
      <w:r w:rsidRPr="006E2306">
        <w:rPr>
          <w:rFonts w:hint="cs"/>
          <w:sz w:val="18"/>
          <w:szCs w:val="26"/>
          <w:rtl/>
        </w:rPr>
        <w:t>14 تشرين الثاني/نوفمبر 2003، الفقرة 7-3.</w:t>
      </w:r>
    </w:p>
  </w:footnote>
  <w:footnote w:id="148">
    <w:p w:rsidR="00D64D4C" w:rsidRPr="006E2306" w:rsidRDefault="00D64D4C" w:rsidP="000705BE">
      <w:pPr>
        <w:pStyle w:val="FootnoteText"/>
        <w:tabs>
          <w:tab w:val="left" w:pos="1239"/>
        </w:tabs>
        <w:spacing w:after="60" w:line="300" w:lineRule="exact"/>
        <w:ind w:left="1253" w:right="1247" w:hanging="448"/>
        <w:jc w:val="lowKashida"/>
        <w:rPr>
          <w:rFonts w:hint="cs"/>
          <w:sz w:val="18"/>
          <w:szCs w:val="26"/>
        </w:rPr>
      </w:pPr>
      <w:r>
        <w:rPr>
          <w:rFonts w:hint="cs"/>
          <w:sz w:val="18"/>
          <w:szCs w:val="26"/>
          <w:rtl/>
        </w:rPr>
        <w:t>(و)</w:t>
      </w:r>
      <w:r>
        <w:rPr>
          <w:rFonts w:hint="cs"/>
          <w:sz w:val="18"/>
          <w:szCs w:val="26"/>
          <w:rtl/>
        </w:rPr>
        <w:tab/>
      </w:r>
      <w:r w:rsidRPr="006E2306">
        <w:rPr>
          <w:rFonts w:hint="cs"/>
          <w:sz w:val="18"/>
          <w:szCs w:val="26"/>
          <w:rtl/>
        </w:rPr>
        <w:t xml:space="preserve">انظر البلاغ رقم 357/2008، </w:t>
      </w:r>
      <w:r w:rsidRPr="006E2306">
        <w:rPr>
          <w:rFonts w:hint="cs"/>
          <w:i/>
          <w:iCs/>
          <w:sz w:val="18"/>
          <w:szCs w:val="26"/>
          <w:rtl/>
        </w:rPr>
        <w:t>جيهاني ضد سويسرا</w:t>
      </w:r>
      <w:r w:rsidRPr="006E2306">
        <w:rPr>
          <w:rFonts w:hint="cs"/>
          <w:sz w:val="18"/>
          <w:szCs w:val="26"/>
          <w:rtl/>
        </w:rPr>
        <w:t xml:space="preserve">، </w:t>
      </w:r>
      <w:r>
        <w:rPr>
          <w:rFonts w:hint="cs"/>
          <w:sz w:val="18"/>
          <w:szCs w:val="26"/>
          <w:rtl/>
        </w:rPr>
        <w:t>القرار المعتمد</w:t>
      </w:r>
      <w:r w:rsidRPr="006E2306">
        <w:rPr>
          <w:rFonts w:hint="cs"/>
          <w:sz w:val="18"/>
          <w:szCs w:val="26"/>
          <w:rtl/>
        </w:rPr>
        <w:t xml:space="preserve"> في 23 أيار/مايو 2011، الفقرة 9-4 والبلاغ رقم 381/2009، </w:t>
      </w:r>
      <w:r w:rsidRPr="006E2306">
        <w:rPr>
          <w:rFonts w:hint="cs"/>
          <w:i/>
          <w:iCs/>
          <w:sz w:val="18"/>
          <w:szCs w:val="26"/>
          <w:rtl/>
        </w:rPr>
        <w:t>فاراجولا وآخرون ضد سويسرا</w:t>
      </w:r>
      <w:r w:rsidRPr="006E2306">
        <w:rPr>
          <w:rFonts w:hint="cs"/>
          <w:sz w:val="18"/>
          <w:szCs w:val="26"/>
          <w:rtl/>
        </w:rPr>
        <w:t xml:space="preserve">، </w:t>
      </w:r>
      <w:r>
        <w:rPr>
          <w:rFonts w:hint="cs"/>
          <w:sz w:val="18"/>
          <w:szCs w:val="26"/>
          <w:rtl/>
        </w:rPr>
        <w:t>القرار المعتمد</w:t>
      </w:r>
      <w:r w:rsidRPr="006E2306">
        <w:rPr>
          <w:rFonts w:hint="cs"/>
          <w:sz w:val="18"/>
          <w:szCs w:val="26"/>
          <w:rtl/>
        </w:rPr>
        <w:t xml:space="preserve"> في 21 تشرين الثاني/نوفمبر 2011، الفقرة 9-4.</w:t>
      </w:r>
    </w:p>
  </w:footnote>
  <w:footnote w:id="149">
    <w:p w:rsidR="00D64D4C" w:rsidRPr="006E2306" w:rsidRDefault="00D64D4C" w:rsidP="000705BE">
      <w:pPr>
        <w:pStyle w:val="FootnoteText"/>
        <w:tabs>
          <w:tab w:val="left" w:pos="1239"/>
        </w:tabs>
        <w:spacing w:after="60" w:line="300" w:lineRule="exact"/>
        <w:ind w:left="1253" w:right="1247" w:hanging="448"/>
        <w:jc w:val="lowKashida"/>
        <w:rPr>
          <w:rFonts w:hint="cs"/>
          <w:sz w:val="18"/>
          <w:szCs w:val="26"/>
        </w:rPr>
      </w:pPr>
      <w:r>
        <w:rPr>
          <w:rFonts w:hint="cs"/>
          <w:sz w:val="18"/>
          <w:szCs w:val="26"/>
          <w:rtl/>
        </w:rPr>
        <w:t>(ز)</w:t>
      </w:r>
      <w:r>
        <w:rPr>
          <w:rFonts w:hint="cs"/>
          <w:sz w:val="18"/>
          <w:szCs w:val="26"/>
          <w:rtl/>
        </w:rPr>
        <w:tab/>
      </w:r>
      <w:r w:rsidRPr="006E2306">
        <w:rPr>
          <w:rFonts w:hint="cs"/>
          <w:sz w:val="18"/>
          <w:szCs w:val="26"/>
          <w:rtl/>
        </w:rPr>
        <w:t xml:space="preserve">انظر أيضاً </w:t>
      </w:r>
      <w:r>
        <w:rPr>
          <w:rFonts w:hint="cs"/>
          <w:sz w:val="18"/>
          <w:szCs w:val="26"/>
          <w:rtl/>
        </w:rPr>
        <w:t>الوثائق</w:t>
      </w:r>
      <w:r w:rsidRPr="006E2306">
        <w:rPr>
          <w:rFonts w:hint="cs"/>
          <w:sz w:val="18"/>
          <w:szCs w:val="26"/>
          <w:rtl/>
        </w:rPr>
        <w:t xml:space="preserve"> التي أعدتها مفوضية الأمم المتحدة السامية ل</w:t>
      </w:r>
      <w:r w:rsidRPr="006E2306">
        <w:rPr>
          <w:rFonts w:hint="cs"/>
          <w:sz w:val="18"/>
          <w:szCs w:val="26"/>
          <w:rtl/>
          <w:lang w:val="fr-CH"/>
        </w:rPr>
        <w:t xml:space="preserve">حقوق الإنسان للاستعراض </w:t>
      </w:r>
      <w:r w:rsidRPr="000705BE">
        <w:rPr>
          <w:rFonts w:hint="cs"/>
          <w:sz w:val="18"/>
          <w:szCs w:val="26"/>
          <w:rtl/>
        </w:rPr>
        <w:t>الدوري</w:t>
      </w:r>
      <w:r w:rsidRPr="006E2306">
        <w:rPr>
          <w:rFonts w:hint="cs"/>
          <w:sz w:val="18"/>
          <w:szCs w:val="26"/>
          <w:rtl/>
          <w:lang w:val="fr-CH"/>
        </w:rPr>
        <w:t xml:space="preserve"> </w:t>
      </w:r>
      <w:r w:rsidRPr="000705BE">
        <w:rPr>
          <w:rFonts w:hint="cs"/>
          <w:sz w:val="18"/>
          <w:szCs w:val="26"/>
          <w:rtl/>
        </w:rPr>
        <w:t>الشامل</w:t>
      </w:r>
      <w:r w:rsidRPr="006E2306">
        <w:rPr>
          <w:rFonts w:hint="cs"/>
          <w:sz w:val="18"/>
          <w:szCs w:val="26"/>
          <w:rtl/>
          <w:lang w:val="fr-CH"/>
        </w:rPr>
        <w:t xml:space="preserve"> المتعلق بجمهورية إيران الإسلامية</w:t>
      </w:r>
      <w:r w:rsidRPr="006E2306">
        <w:rPr>
          <w:rFonts w:hint="cs"/>
          <w:sz w:val="18"/>
          <w:szCs w:val="26"/>
          <w:rtl/>
        </w:rPr>
        <w:t xml:space="preserve">: </w:t>
      </w:r>
      <w:r w:rsidRPr="006E2306">
        <w:rPr>
          <w:sz w:val="18"/>
          <w:szCs w:val="26"/>
        </w:rPr>
        <w:t>A/HRC/WG.6/7/IRN/2</w:t>
      </w:r>
      <w:r w:rsidRPr="006E2306">
        <w:rPr>
          <w:rFonts w:hint="cs"/>
          <w:sz w:val="18"/>
          <w:szCs w:val="26"/>
          <w:rtl/>
        </w:rPr>
        <w:t>. الفقرات 28 و31 و56 على سبيل المثال؛ و</w:t>
      </w:r>
      <w:r w:rsidRPr="006E2306">
        <w:rPr>
          <w:sz w:val="18"/>
          <w:szCs w:val="26"/>
        </w:rPr>
        <w:t>A/HRC/WG.6/7/IRN/3</w:t>
      </w:r>
      <w:r w:rsidRPr="006E2306">
        <w:rPr>
          <w:rFonts w:hint="cs"/>
          <w:sz w:val="18"/>
          <w:szCs w:val="26"/>
          <w:rtl/>
        </w:rPr>
        <w:t xml:space="preserve"> و</w:t>
      </w:r>
      <w:r w:rsidRPr="006E2306">
        <w:rPr>
          <w:sz w:val="18"/>
          <w:szCs w:val="26"/>
        </w:rPr>
        <w:t>Corr.1</w:t>
      </w:r>
      <w:r w:rsidRPr="006E2306">
        <w:rPr>
          <w:rFonts w:hint="cs"/>
          <w:sz w:val="18"/>
          <w:szCs w:val="26"/>
          <w:rtl/>
        </w:rPr>
        <w:t>، الفقرتان 28-29. وأخيراً انظر أيضاً البيان الذي أدلت به المفوضة السامية لحقوق الإنسان في 2 شباط/فبراير 2001 عن إعدام ما لا يقل عن 66 شخصاً في شهر كانون الثاني/يناير 2011، بمن فيهم على أقل تقدير ثلاثة من السجناء السياسيين (متاح على الموقع</w:t>
      </w:r>
    </w:p>
    <w:p w:rsidR="00D64D4C" w:rsidRPr="006E2306" w:rsidRDefault="00D64D4C" w:rsidP="000705BE">
      <w:pPr>
        <w:pStyle w:val="FootnoteText"/>
        <w:tabs>
          <w:tab w:val="left" w:pos="1253"/>
        </w:tabs>
        <w:spacing w:after="60" w:line="300" w:lineRule="exact"/>
        <w:ind w:right="1247" w:firstLine="1253"/>
        <w:rPr>
          <w:rFonts w:hint="cs"/>
          <w:sz w:val="18"/>
          <w:szCs w:val="26"/>
          <w:rtl/>
        </w:rPr>
      </w:pPr>
      <w:r w:rsidRPr="006E2306">
        <w:rPr>
          <w:sz w:val="18"/>
          <w:szCs w:val="26"/>
        </w:rPr>
        <w:t>www.ohchr.org/EN/NewsEvents/Pages/DisplayNews.aspx?NewsID=10698&amp;LangID=E</w:t>
      </w:r>
      <w:r>
        <w:rPr>
          <w:rFonts w:hint="cs"/>
          <w:sz w:val="18"/>
          <w:szCs w:val="26"/>
          <w:rtl/>
        </w:rPr>
        <w:t>).</w:t>
      </w:r>
    </w:p>
  </w:footnote>
  <w:footnote w:id="150">
    <w:p w:rsidR="00D64D4C" w:rsidRPr="00256059" w:rsidRDefault="00D64D4C" w:rsidP="00921F02">
      <w:pPr>
        <w:pStyle w:val="FootnoteText"/>
        <w:numPr>
          <w:ilvl w:val="0"/>
          <w:numId w:val="39"/>
        </w:numPr>
        <w:spacing w:after="60" w:line="300" w:lineRule="exact"/>
        <w:ind w:right="1247"/>
        <w:jc w:val="lowKashida"/>
        <w:rPr>
          <w:rFonts w:hint="cs"/>
          <w:sz w:val="18"/>
          <w:szCs w:val="26"/>
        </w:rPr>
      </w:pPr>
      <w:r w:rsidRPr="00256059">
        <w:rPr>
          <w:rFonts w:hint="cs"/>
          <w:sz w:val="18"/>
          <w:szCs w:val="26"/>
          <w:rtl/>
        </w:rPr>
        <w:t xml:space="preserve">المادة 115 الجديدة، الفقرة 1 </w:t>
      </w:r>
      <w:r>
        <w:rPr>
          <w:sz w:val="18"/>
          <w:szCs w:val="26"/>
        </w:rPr>
        <w:t>(</w:t>
      </w:r>
      <w:r w:rsidRPr="00256059">
        <w:rPr>
          <w:sz w:val="18"/>
          <w:szCs w:val="26"/>
        </w:rPr>
        <w:t>CAT/C/3/Rev.5</w:t>
      </w:r>
      <w:r>
        <w:rPr>
          <w:sz w:val="18"/>
          <w:szCs w:val="26"/>
        </w:rPr>
        <w:t>)</w:t>
      </w:r>
      <w:r w:rsidRPr="00256059">
        <w:rPr>
          <w:rFonts w:hint="cs"/>
          <w:sz w:val="18"/>
          <w:szCs w:val="26"/>
          <w:rtl/>
        </w:rPr>
        <w:t>.</w:t>
      </w:r>
    </w:p>
  </w:footnote>
  <w:footnote w:id="151">
    <w:p w:rsidR="00D64D4C" w:rsidRPr="00B32542" w:rsidRDefault="00D64D4C" w:rsidP="00921F02">
      <w:pPr>
        <w:pStyle w:val="FootnoteText"/>
        <w:numPr>
          <w:ilvl w:val="0"/>
          <w:numId w:val="39"/>
        </w:numPr>
        <w:spacing w:after="60" w:line="300" w:lineRule="exact"/>
        <w:ind w:right="1247"/>
        <w:jc w:val="lowKashida"/>
        <w:rPr>
          <w:spacing w:val="0"/>
          <w:kern w:val="0"/>
          <w:sz w:val="18"/>
          <w:szCs w:val="26"/>
        </w:rPr>
      </w:pPr>
      <w:r w:rsidRPr="00B32542">
        <w:rPr>
          <w:rFonts w:hint="cs"/>
          <w:spacing w:val="0"/>
          <w:kern w:val="0"/>
          <w:sz w:val="18"/>
          <w:szCs w:val="26"/>
          <w:rtl/>
        </w:rPr>
        <w:t xml:space="preserve">انظر البلاغ رقم 133/1999، </w:t>
      </w:r>
      <w:r w:rsidRPr="00B32542">
        <w:rPr>
          <w:rFonts w:hint="cs"/>
          <w:i/>
          <w:iCs/>
          <w:spacing w:val="0"/>
          <w:kern w:val="0"/>
          <w:sz w:val="18"/>
          <w:szCs w:val="26"/>
          <w:rtl/>
        </w:rPr>
        <w:t>فالكون ريوس ضد كندا</w:t>
      </w:r>
      <w:r w:rsidRPr="00B32542">
        <w:rPr>
          <w:rFonts w:hint="cs"/>
          <w:spacing w:val="0"/>
          <w:kern w:val="0"/>
          <w:sz w:val="18"/>
          <w:szCs w:val="26"/>
          <w:rtl/>
        </w:rPr>
        <w:t>، القرار المعتمد في 23 تشرين الثاني/ نوفمبر</w:t>
      </w:r>
      <w:r w:rsidRPr="00B32542">
        <w:rPr>
          <w:rFonts w:hint="eastAsia"/>
          <w:spacing w:val="0"/>
          <w:kern w:val="0"/>
          <w:sz w:val="18"/>
          <w:szCs w:val="26"/>
          <w:rtl/>
        </w:rPr>
        <w:t> </w:t>
      </w:r>
      <w:r w:rsidRPr="00B32542">
        <w:rPr>
          <w:rFonts w:hint="cs"/>
          <w:spacing w:val="0"/>
          <w:kern w:val="0"/>
          <w:sz w:val="18"/>
          <w:szCs w:val="26"/>
          <w:rtl/>
        </w:rPr>
        <w:t>2004، الفقرة 8-6.</w:t>
      </w:r>
    </w:p>
  </w:footnote>
  <w:footnote w:id="152">
    <w:p w:rsidR="00D64D4C" w:rsidRPr="00B32542" w:rsidRDefault="00D64D4C" w:rsidP="00921F02">
      <w:pPr>
        <w:pStyle w:val="FootnoteText"/>
        <w:numPr>
          <w:ilvl w:val="0"/>
          <w:numId w:val="39"/>
        </w:numPr>
        <w:spacing w:after="60" w:line="300" w:lineRule="exact"/>
        <w:ind w:right="1247"/>
        <w:jc w:val="lowKashida"/>
        <w:rPr>
          <w:spacing w:val="0"/>
          <w:kern w:val="0"/>
          <w:sz w:val="18"/>
          <w:szCs w:val="26"/>
        </w:rPr>
      </w:pPr>
      <w:r w:rsidRPr="00B32542">
        <w:rPr>
          <w:rFonts w:hint="cs"/>
          <w:spacing w:val="0"/>
          <w:kern w:val="0"/>
          <w:sz w:val="18"/>
          <w:szCs w:val="26"/>
          <w:rtl/>
        </w:rPr>
        <w:t xml:space="preserve">انظر البلاغ رقم 233/2003، </w:t>
      </w:r>
      <w:r w:rsidRPr="00B32542">
        <w:rPr>
          <w:rFonts w:hint="cs"/>
          <w:i/>
          <w:iCs/>
          <w:spacing w:val="0"/>
          <w:kern w:val="0"/>
          <w:sz w:val="18"/>
          <w:szCs w:val="26"/>
          <w:rtl/>
        </w:rPr>
        <w:t>عجيزة ضد السويد</w:t>
      </w:r>
      <w:r w:rsidRPr="00B32542">
        <w:rPr>
          <w:rFonts w:hint="cs"/>
          <w:spacing w:val="0"/>
          <w:kern w:val="0"/>
          <w:sz w:val="18"/>
          <w:szCs w:val="26"/>
          <w:rtl/>
        </w:rPr>
        <w:t xml:space="preserve">، القرار المعتمد في 20 أيار/مايو 2005؛ انظر أيضاً البلاغ المقدم إلى اللجنة المعنية بحقوق الإنسان رقم 1416/2005، </w:t>
      </w:r>
      <w:r w:rsidRPr="00B32542">
        <w:rPr>
          <w:rFonts w:hint="cs"/>
          <w:i/>
          <w:iCs/>
          <w:spacing w:val="0"/>
          <w:kern w:val="0"/>
          <w:sz w:val="18"/>
          <w:szCs w:val="26"/>
          <w:rtl/>
        </w:rPr>
        <w:t>الزيري ضد السويد</w:t>
      </w:r>
      <w:r w:rsidRPr="00B32542">
        <w:rPr>
          <w:rFonts w:hint="cs"/>
          <w:spacing w:val="0"/>
          <w:kern w:val="0"/>
          <w:sz w:val="18"/>
          <w:szCs w:val="26"/>
          <w:rtl/>
        </w:rPr>
        <w:t>، الآراء المعتمدة في 25 تشرين الأول/أكتوبر 2006، الفقرتان 11-4 و11-5.</w:t>
      </w:r>
    </w:p>
  </w:footnote>
  <w:footnote w:id="153">
    <w:p w:rsidR="00D64D4C" w:rsidRPr="00B32542" w:rsidRDefault="00D64D4C" w:rsidP="00921F02">
      <w:pPr>
        <w:pStyle w:val="FootnoteText"/>
        <w:numPr>
          <w:ilvl w:val="0"/>
          <w:numId w:val="39"/>
        </w:numPr>
        <w:spacing w:after="60" w:line="300" w:lineRule="exact"/>
        <w:ind w:right="1247"/>
        <w:jc w:val="lowKashida"/>
        <w:rPr>
          <w:spacing w:val="0"/>
          <w:kern w:val="0"/>
          <w:sz w:val="18"/>
          <w:szCs w:val="26"/>
        </w:rPr>
      </w:pPr>
      <w:r w:rsidRPr="00B32542">
        <w:rPr>
          <w:rFonts w:hint="cs"/>
          <w:spacing w:val="0"/>
          <w:kern w:val="0"/>
          <w:sz w:val="18"/>
          <w:szCs w:val="26"/>
          <w:rtl/>
        </w:rPr>
        <w:t xml:space="preserve">انظر البلاغ رقم 203/2002، </w:t>
      </w:r>
      <w:r w:rsidRPr="00B32542">
        <w:rPr>
          <w:rFonts w:hint="cs"/>
          <w:i/>
          <w:iCs/>
          <w:spacing w:val="0"/>
          <w:kern w:val="0"/>
          <w:sz w:val="18"/>
          <w:szCs w:val="26"/>
          <w:rtl/>
        </w:rPr>
        <w:t>أ. ر. ضد هولندا</w:t>
      </w:r>
      <w:r w:rsidRPr="00B32542">
        <w:rPr>
          <w:rFonts w:hint="cs"/>
          <w:spacing w:val="0"/>
          <w:kern w:val="0"/>
          <w:sz w:val="18"/>
          <w:szCs w:val="26"/>
          <w:rtl/>
        </w:rPr>
        <w:t>، القرار المعتمد في 14 تشرين الثاني/نوفمبر 2003، الفقرة 7-3.</w:t>
      </w:r>
    </w:p>
  </w:footnote>
  <w:footnote w:id="154">
    <w:p w:rsidR="00D64D4C" w:rsidRPr="00B32542" w:rsidRDefault="00D64D4C" w:rsidP="00B32542">
      <w:pPr>
        <w:pStyle w:val="FootnoteText"/>
        <w:tabs>
          <w:tab w:val="left" w:pos="1239"/>
        </w:tabs>
        <w:spacing w:after="60" w:line="300" w:lineRule="exact"/>
        <w:ind w:left="1253" w:right="1247" w:hanging="448"/>
        <w:jc w:val="lowKashida"/>
        <w:rPr>
          <w:spacing w:val="-2"/>
          <w:kern w:val="0"/>
          <w:sz w:val="18"/>
          <w:szCs w:val="26"/>
        </w:rPr>
      </w:pPr>
      <w:r w:rsidRPr="00B32542">
        <w:rPr>
          <w:rFonts w:hint="cs"/>
          <w:spacing w:val="-2"/>
          <w:kern w:val="0"/>
          <w:sz w:val="18"/>
          <w:szCs w:val="26"/>
          <w:rtl/>
        </w:rPr>
        <w:t>(</w:t>
      </w:r>
      <w:r w:rsidRPr="00B32542">
        <w:rPr>
          <w:rFonts w:hint="cs"/>
          <w:spacing w:val="-2"/>
          <w:kern w:val="0"/>
          <w:sz w:val="26"/>
          <w:szCs w:val="26"/>
          <w:rtl/>
        </w:rPr>
        <w:t>ﻫ</w:t>
      </w:r>
      <w:r w:rsidRPr="00B32542">
        <w:rPr>
          <w:rFonts w:hint="cs"/>
          <w:spacing w:val="-2"/>
          <w:kern w:val="0"/>
          <w:sz w:val="18"/>
          <w:szCs w:val="26"/>
          <w:rtl/>
        </w:rPr>
        <w:t>)</w:t>
      </w:r>
      <w:r w:rsidRPr="00B32542">
        <w:rPr>
          <w:rFonts w:hint="cs"/>
          <w:spacing w:val="-2"/>
          <w:kern w:val="0"/>
          <w:sz w:val="18"/>
          <w:szCs w:val="26"/>
          <w:rtl/>
        </w:rPr>
        <w:tab/>
        <w:t>انظر البلاغات رقم 36/1995،</w:t>
      </w:r>
      <w:r>
        <w:rPr>
          <w:rFonts w:hint="cs"/>
          <w:spacing w:val="-2"/>
          <w:kern w:val="0"/>
          <w:sz w:val="18"/>
          <w:szCs w:val="26"/>
          <w:rtl/>
        </w:rPr>
        <w:t xml:space="preserve"> </w:t>
      </w:r>
      <w:r w:rsidRPr="00B32542">
        <w:rPr>
          <w:rFonts w:hint="cs"/>
          <w:i/>
          <w:iCs/>
          <w:spacing w:val="-2"/>
          <w:kern w:val="0"/>
          <w:sz w:val="18"/>
          <w:szCs w:val="26"/>
          <w:rtl/>
        </w:rPr>
        <w:t>س. ضد هولندا</w:t>
      </w:r>
      <w:r w:rsidRPr="00B32542">
        <w:rPr>
          <w:rFonts w:hint="cs"/>
          <w:spacing w:val="-2"/>
          <w:kern w:val="0"/>
          <w:sz w:val="18"/>
          <w:szCs w:val="26"/>
          <w:rtl/>
        </w:rPr>
        <w:t>، الآراء المعتمدة في 8 حزيران/يونيه 1996، الفقرة</w:t>
      </w:r>
      <w:r w:rsidRPr="00B32542">
        <w:rPr>
          <w:rFonts w:hint="eastAsia"/>
          <w:spacing w:val="-2"/>
          <w:kern w:val="0"/>
          <w:sz w:val="18"/>
          <w:szCs w:val="26"/>
          <w:rtl/>
        </w:rPr>
        <w:t> </w:t>
      </w:r>
      <w:r w:rsidRPr="00B32542">
        <w:rPr>
          <w:rFonts w:hint="cs"/>
          <w:spacing w:val="-2"/>
          <w:kern w:val="0"/>
          <w:sz w:val="18"/>
          <w:szCs w:val="26"/>
          <w:rtl/>
        </w:rPr>
        <w:t xml:space="preserve">7-2؛ ورقم </w:t>
      </w:r>
      <w:r w:rsidRPr="00B32542">
        <w:rPr>
          <w:rFonts w:hint="cs"/>
          <w:spacing w:val="-2"/>
          <w:kern w:val="0"/>
          <w:sz w:val="18"/>
          <w:szCs w:val="26"/>
          <w:rtl/>
          <w:lang w:val="fr-CH"/>
        </w:rPr>
        <w:t>15</w:t>
      </w:r>
      <w:r w:rsidRPr="00B32542">
        <w:rPr>
          <w:rFonts w:hint="cs"/>
          <w:spacing w:val="-2"/>
          <w:kern w:val="0"/>
          <w:sz w:val="18"/>
          <w:szCs w:val="26"/>
          <w:rtl/>
        </w:rPr>
        <w:t xml:space="preserve">/1994، </w:t>
      </w:r>
      <w:r w:rsidRPr="00B32542">
        <w:rPr>
          <w:rFonts w:hint="cs"/>
          <w:i/>
          <w:iCs/>
          <w:spacing w:val="-2"/>
          <w:kern w:val="0"/>
          <w:sz w:val="18"/>
          <w:szCs w:val="26"/>
          <w:rtl/>
        </w:rPr>
        <w:t>كاهن ضد كندا</w:t>
      </w:r>
      <w:r w:rsidRPr="00B32542">
        <w:rPr>
          <w:rFonts w:hint="cs"/>
          <w:spacing w:val="-2"/>
          <w:kern w:val="0"/>
          <w:sz w:val="18"/>
          <w:szCs w:val="26"/>
          <w:rtl/>
        </w:rPr>
        <w:t>، الآراء المعتمدة في 15 تشرين الثاني/نوفمبر</w:t>
      </w:r>
      <w:r w:rsidRPr="00B32542">
        <w:rPr>
          <w:rFonts w:hint="eastAsia"/>
          <w:spacing w:val="-2"/>
          <w:kern w:val="0"/>
          <w:sz w:val="18"/>
          <w:szCs w:val="26"/>
          <w:rtl/>
        </w:rPr>
        <w:t> </w:t>
      </w:r>
      <w:r w:rsidRPr="00B32542">
        <w:rPr>
          <w:rFonts w:hint="cs"/>
          <w:spacing w:val="-2"/>
          <w:kern w:val="0"/>
          <w:sz w:val="18"/>
          <w:szCs w:val="26"/>
          <w:rtl/>
        </w:rPr>
        <w:t>1994، الفقرة</w:t>
      </w:r>
      <w:r w:rsidRPr="00B32542">
        <w:rPr>
          <w:rFonts w:hint="eastAsia"/>
          <w:spacing w:val="-2"/>
          <w:kern w:val="0"/>
          <w:sz w:val="18"/>
          <w:szCs w:val="26"/>
          <w:rtl/>
        </w:rPr>
        <w:t> </w:t>
      </w:r>
      <w:r w:rsidRPr="00B32542">
        <w:rPr>
          <w:rFonts w:hint="cs"/>
          <w:spacing w:val="-2"/>
          <w:kern w:val="0"/>
          <w:sz w:val="18"/>
          <w:szCs w:val="26"/>
          <w:rtl/>
        </w:rPr>
        <w:t xml:space="preserve">12-2؛ ورقم 13/1993، </w:t>
      </w:r>
      <w:r w:rsidRPr="00B32542">
        <w:rPr>
          <w:rFonts w:hint="cs"/>
          <w:i/>
          <w:iCs/>
          <w:spacing w:val="-2"/>
          <w:kern w:val="0"/>
          <w:sz w:val="18"/>
          <w:szCs w:val="26"/>
          <w:rtl/>
        </w:rPr>
        <w:t>موتومبو ضد سويسرا</w:t>
      </w:r>
      <w:r w:rsidRPr="00B32542">
        <w:rPr>
          <w:rFonts w:hint="cs"/>
          <w:spacing w:val="-2"/>
          <w:kern w:val="0"/>
          <w:sz w:val="18"/>
          <w:szCs w:val="26"/>
          <w:rtl/>
        </w:rPr>
        <w:t>، الآراء المعتمدة في 27 نيسان</w:t>
      </w:r>
      <w:r>
        <w:rPr>
          <w:rFonts w:hint="cs"/>
          <w:spacing w:val="-2"/>
          <w:kern w:val="0"/>
          <w:sz w:val="18"/>
          <w:szCs w:val="26"/>
          <w:rtl/>
        </w:rPr>
        <w:t>/</w:t>
      </w:r>
      <w:r w:rsidRPr="00B32542">
        <w:rPr>
          <w:rFonts w:hint="cs"/>
          <w:spacing w:val="-2"/>
          <w:kern w:val="0"/>
          <w:sz w:val="18"/>
          <w:szCs w:val="26"/>
          <w:rtl/>
        </w:rPr>
        <w:t>أبريل</w:t>
      </w:r>
      <w:r w:rsidRPr="00B32542">
        <w:rPr>
          <w:rFonts w:hint="eastAsia"/>
          <w:spacing w:val="-2"/>
          <w:kern w:val="0"/>
          <w:sz w:val="18"/>
          <w:szCs w:val="26"/>
          <w:rtl/>
        </w:rPr>
        <w:t> </w:t>
      </w:r>
      <w:r w:rsidRPr="00B32542">
        <w:rPr>
          <w:rFonts w:hint="cs"/>
          <w:spacing w:val="-2"/>
          <w:kern w:val="0"/>
          <w:sz w:val="18"/>
          <w:szCs w:val="26"/>
          <w:rtl/>
        </w:rPr>
        <w:t>1994، الفقرة 9-3.</w:t>
      </w:r>
    </w:p>
  </w:footnote>
  <w:footnote w:id="155">
    <w:p w:rsidR="00D64D4C" w:rsidRPr="00B32542" w:rsidRDefault="00D64D4C" w:rsidP="000705BE">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(و)</w:t>
      </w:r>
      <w:r>
        <w:rPr>
          <w:rFonts w:hint="cs"/>
          <w:spacing w:val="0"/>
          <w:kern w:val="0"/>
          <w:sz w:val="18"/>
          <w:szCs w:val="26"/>
          <w:rtl/>
        </w:rPr>
        <w:tab/>
      </w:r>
      <w:r w:rsidRPr="00B32542">
        <w:rPr>
          <w:spacing w:val="0"/>
          <w:kern w:val="0"/>
          <w:sz w:val="18"/>
          <w:szCs w:val="26"/>
        </w:rPr>
        <w:t>CAT/C/MEX/CO/4</w:t>
      </w:r>
      <w:r w:rsidRPr="00B32542">
        <w:rPr>
          <w:rFonts w:hint="cs"/>
          <w:spacing w:val="0"/>
          <w:kern w:val="0"/>
          <w:sz w:val="18"/>
          <w:szCs w:val="26"/>
          <w:rtl/>
        </w:rPr>
        <w:t xml:space="preserve">، </w:t>
      </w:r>
      <w:r w:rsidRPr="00B32542">
        <w:rPr>
          <w:rFonts w:hint="cs"/>
          <w:spacing w:val="0"/>
          <w:kern w:val="0"/>
          <w:sz w:val="18"/>
          <w:szCs w:val="26"/>
          <w:rtl/>
          <w:lang w:val="fr-CH"/>
        </w:rPr>
        <w:t>اعتمدت</w:t>
      </w:r>
      <w:r w:rsidRPr="00B32542">
        <w:rPr>
          <w:rFonts w:hint="cs"/>
          <w:spacing w:val="0"/>
          <w:kern w:val="0"/>
          <w:sz w:val="18"/>
          <w:szCs w:val="26"/>
          <w:rtl/>
        </w:rPr>
        <w:t xml:space="preserve"> في 21 تشرين الثاني/نوفمبر 2006.</w:t>
      </w:r>
    </w:p>
  </w:footnote>
  <w:footnote w:id="156">
    <w:p w:rsidR="00D64D4C" w:rsidRPr="00B32542" w:rsidRDefault="00D64D4C" w:rsidP="000705BE">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(ز)</w:t>
      </w:r>
      <w:r>
        <w:rPr>
          <w:rFonts w:hint="cs"/>
          <w:spacing w:val="0"/>
          <w:kern w:val="0"/>
          <w:sz w:val="18"/>
          <w:szCs w:val="26"/>
          <w:rtl/>
        </w:rPr>
        <w:tab/>
      </w:r>
      <w:r w:rsidRPr="00B32542">
        <w:rPr>
          <w:rFonts w:hint="cs"/>
          <w:spacing w:val="0"/>
          <w:kern w:val="0"/>
          <w:sz w:val="18"/>
          <w:szCs w:val="26"/>
          <w:rtl/>
        </w:rPr>
        <w:t>عندما صدقت حكومة المكسيك على البروتوكول الاختياري لاتفاقية مناهضة التعذيب وغيره من ضروب المعاملة أو العقوبة القاسية أو اللاإنسانية أو المهينة، أنشأت اللجنة الوطنية لحقوق الإنسان التي تملك سلطة التحقيق في انتهاكات حقوق الإنسان، بما فيها التعذيب.</w:t>
      </w:r>
    </w:p>
  </w:footnote>
  <w:footnote w:id="157">
    <w:p w:rsidR="00D64D4C" w:rsidRPr="00B32542" w:rsidRDefault="00D64D4C" w:rsidP="000705BE">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(ح)</w:t>
      </w:r>
      <w:r>
        <w:rPr>
          <w:rFonts w:hint="cs"/>
          <w:spacing w:val="0"/>
          <w:kern w:val="0"/>
          <w:sz w:val="18"/>
          <w:szCs w:val="26"/>
          <w:rtl/>
        </w:rPr>
        <w:tab/>
      </w:r>
      <w:r w:rsidRPr="00B32542">
        <w:rPr>
          <w:rFonts w:hint="cs"/>
          <w:spacing w:val="0"/>
          <w:kern w:val="0"/>
          <w:sz w:val="18"/>
          <w:szCs w:val="26"/>
          <w:rtl/>
        </w:rPr>
        <w:t xml:space="preserve">انظر البلاغ رقم 199/2002، </w:t>
      </w:r>
      <w:r w:rsidRPr="00B32542">
        <w:rPr>
          <w:rFonts w:hint="cs"/>
          <w:i/>
          <w:iCs/>
          <w:spacing w:val="0"/>
          <w:kern w:val="0"/>
          <w:sz w:val="18"/>
          <w:szCs w:val="26"/>
          <w:rtl/>
        </w:rPr>
        <w:t>عطية ضد السويد</w:t>
      </w:r>
      <w:r w:rsidRPr="00B32542">
        <w:rPr>
          <w:rFonts w:hint="cs"/>
          <w:spacing w:val="0"/>
          <w:kern w:val="0"/>
          <w:sz w:val="18"/>
          <w:szCs w:val="26"/>
          <w:rtl/>
        </w:rPr>
        <w:t>، القرار المعتمد في 17 تشرين الثاني/نوفمبر 2003، الفقرة 12-3؛ و</w:t>
      </w:r>
      <w:r w:rsidRPr="00B32542">
        <w:rPr>
          <w:rFonts w:hint="cs"/>
          <w:i/>
          <w:iCs/>
          <w:spacing w:val="0"/>
          <w:kern w:val="0"/>
          <w:sz w:val="18"/>
          <w:szCs w:val="26"/>
          <w:rtl/>
        </w:rPr>
        <w:t>الزيري ضد السويد</w:t>
      </w:r>
      <w:r w:rsidRPr="00B32542">
        <w:rPr>
          <w:rFonts w:hint="cs"/>
          <w:spacing w:val="0"/>
          <w:kern w:val="0"/>
          <w:sz w:val="18"/>
          <w:szCs w:val="26"/>
          <w:rtl/>
        </w:rPr>
        <w:t xml:space="preserve"> (الحاشية ج أعلاه)، الفقرة 11-5.</w:t>
      </w:r>
    </w:p>
  </w:footnote>
  <w:footnote w:id="158">
    <w:p w:rsidR="00D64D4C" w:rsidRPr="00B32542" w:rsidRDefault="00D64D4C" w:rsidP="000705BE">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(ط)</w:t>
      </w:r>
      <w:r>
        <w:rPr>
          <w:rFonts w:hint="cs"/>
          <w:spacing w:val="0"/>
          <w:kern w:val="0"/>
          <w:sz w:val="18"/>
          <w:szCs w:val="26"/>
          <w:rtl/>
        </w:rPr>
        <w:tab/>
      </w:r>
      <w:r w:rsidRPr="00B32542">
        <w:rPr>
          <w:rFonts w:hint="cs"/>
          <w:spacing w:val="0"/>
          <w:kern w:val="0"/>
          <w:sz w:val="18"/>
          <w:szCs w:val="26"/>
          <w:rtl/>
        </w:rPr>
        <w:t xml:space="preserve">البلاغ رقم 282/2005، </w:t>
      </w:r>
      <w:r w:rsidRPr="00B32542">
        <w:rPr>
          <w:rFonts w:hint="cs"/>
          <w:i/>
          <w:iCs/>
          <w:spacing w:val="0"/>
          <w:kern w:val="0"/>
          <w:sz w:val="18"/>
          <w:szCs w:val="26"/>
          <w:rtl/>
        </w:rPr>
        <w:t>س. ب. أ. ضد كندا</w:t>
      </w:r>
      <w:r w:rsidRPr="00B32542">
        <w:rPr>
          <w:rFonts w:hint="cs"/>
          <w:spacing w:val="0"/>
          <w:kern w:val="0"/>
          <w:sz w:val="18"/>
          <w:szCs w:val="26"/>
          <w:rtl/>
        </w:rPr>
        <w:t>، القرار المتخذ في 7 تشرين الثاني/نوفمبر 2006، الفقرة</w:t>
      </w:r>
      <w:r w:rsidRPr="00B32542">
        <w:rPr>
          <w:rFonts w:hint="eastAsia"/>
          <w:spacing w:val="0"/>
          <w:kern w:val="0"/>
          <w:sz w:val="18"/>
          <w:szCs w:val="26"/>
          <w:rtl/>
        </w:rPr>
        <w:t> </w:t>
      </w:r>
      <w:r w:rsidRPr="00B32542">
        <w:rPr>
          <w:rFonts w:hint="cs"/>
          <w:spacing w:val="0"/>
          <w:kern w:val="0"/>
          <w:sz w:val="18"/>
          <w:szCs w:val="26"/>
          <w:rtl/>
        </w:rPr>
        <w:t xml:space="preserve">7-6؛ والبلاغ رقم 193/2001، </w:t>
      </w:r>
      <w:r w:rsidRPr="00B32542">
        <w:rPr>
          <w:rFonts w:hint="cs"/>
          <w:i/>
          <w:iCs/>
          <w:spacing w:val="0"/>
          <w:kern w:val="0"/>
          <w:sz w:val="18"/>
          <w:szCs w:val="26"/>
          <w:rtl/>
        </w:rPr>
        <w:t>ب. إ</w:t>
      </w:r>
      <w:r>
        <w:rPr>
          <w:rFonts w:hint="cs"/>
          <w:i/>
          <w:iCs/>
          <w:spacing w:val="0"/>
          <w:kern w:val="0"/>
          <w:sz w:val="18"/>
          <w:szCs w:val="26"/>
          <w:rtl/>
        </w:rPr>
        <w:t>.</w:t>
      </w:r>
      <w:r w:rsidRPr="00B32542">
        <w:rPr>
          <w:rFonts w:hint="cs"/>
          <w:i/>
          <w:iCs/>
          <w:spacing w:val="0"/>
          <w:kern w:val="0"/>
          <w:sz w:val="18"/>
          <w:szCs w:val="26"/>
          <w:rtl/>
        </w:rPr>
        <w:t xml:space="preserve"> ضد فرنسا</w:t>
      </w:r>
      <w:r w:rsidRPr="00B32542">
        <w:rPr>
          <w:rFonts w:hint="cs"/>
          <w:spacing w:val="0"/>
          <w:kern w:val="0"/>
          <w:sz w:val="18"/>
          <w:szCs w:val="26"/>
          <w:rtl/>
        </w:rPr>
        <w:t>، القرار المعتمد في 21 تشرين الثاني/ نوفمبر</w:t>
      </w:r>
      <w:r w:rsidRPr="00B32542">
        <w:rPr>
          <w:rFonts w:hint="eastAsia"/>
          <w:spacing w:val="0"/>
          <w:kern w:val="0"/>
          <w:sz w:val="18"/>
          <w:szCs w:val="26"/>
          <w:rtl/>
        </w:rPr>
        <w:t> </w:t>
      </w:r>
      <w:r w:rsidRPr="00B32542">
        <w:rPr>
          <w:rFonts w:hint="cs"/>
          <w:spacing w:val="0"/>
          <w:kern w:val="0"/>
          <w:sz w:val="18"/>
          <w:szCs w:val="26"/>
          <w:rtl/>
        </w:rPr>
        <w:t xml:space="preserve">2002، الفقرة 6-5؛ والبلاغ رقم 183/2001، </w:t>
      </w:r>
      <w:r w:rsidRPr="00B32542">
        <w:rPr>
          <w:rFonts w:hint="cs"/>
          <w:i/>
          <w:iCs/>
          <w:spacing w:val="0"/>
          <w:kern w:val="0"/>
          <w:sz w:val="18"/>
          <w:szCs w:val="26"/>
          <w:rtl/>
        </w:rPr>
        <w:t>ب. س. س. ضد كندا</w:t>
      </w:r>
      <w:r w:rsidRPr="00B32542">
        <w:rPr>
          <w:rFonts w:hint="cs"/>
          <w:spacing w:val="0"/>
          <w:kern w:val="0"/>
          <w:sz w:val="18"/>
          <w:szCs w:val="26"/>
          <w:rtl/>
        </w:rPr>
        <w:t>، القرار المعتمد في 12 أيار/ مايو</w:t>
      </w:r>
      <w:r w:rsidRPr="00B32542">
        <w:rPr>
          <w:rFonts w:hint="eastAsia"/>
          <w:spacing w:val="0"/>
          <w:kern w:val="0"/>
          <w:sz w:val="18"/>
          <w:szCs w:val="26"/>
          <w:rtl/>
        </w:rPr>
        <w:t> </w:t>
      </w:r>
      <w:r w:rsidRPr="00B32542">
        <w:rPr>
          <w:rFonts w:hint="cs"/>
          <w:spacing w:val="0"/>
          <w:kern w:val="0"/>
          <w:sz w:val="18"/>
          <w:szCs w:val="26"/>
          <w:rtl/>
        </w:rPr>
        <w:t>2004، الفقرة 11-6؛ و</w:t>
      </w:r>
      <w:r w:rsidRPr="00B32542">
        <w:rPr>
          <w:rFonts w:hint="cs"/>
          <w:i/>
          <w:iCs/>
          <w:spacing w:val="0"/>
          <w:kern w:val="0"/>
          <w:sz w:val="18"/>
          <w:szCs w:val="26"/>
          <w:rtl/>
        </w:rPr>
        <w:t>أ. ر. ضد هولندا</w:t>
      </w:r>
      <w:r w:rsidRPr="00B32542">
        <w:rPr>
          <w:rFonts w:hint="cs"/>
          <w:spacing w:val="0"/>
          <w:kern w:val="0"/>
          <w:sz w:val="18"/>
          <w:szCs w:val="26"/>
          <w:rtl/>
        </w:rPr>
        <w:t xml:space="preserve"> (الحاشية د أعلاه)، الفقرة 7-6.</w:t>
      </w:r>
    </w:p>
  </w:footnote>
  <w:footnote w:id="159">
    <w:p w:rsidR="00D64D4C" w:rsidRPr="00B32542" w:rsidRDefault="00D64D4C" w:rsidP="000705BE">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(ي)</w:t>
      </w:r>
      <w:r>
        <w:rPr>
          <w:rFonts w:hint="cs"/>
          <w:spacing w:val="0"/>
          <w:kern w:val="0"/>
          <w:sz w:val="18"/>
          <w:szCs w:val="26"/>
          <w:rtl/>
        </w:rPr>
        <w:tab/>
      </w:r>
      <w:r w:rsidRPr="00B32542">
        <w:rPr>
          <w:rFonts w:hint="cs"/>
          <w:spacing w:val="0"/>
          <w:kern w:val="0"/>
          <w:sz w:val="18"/>
          <w:szCs w:val="26"/>
          <w:rtl/>
        </w:rPr>
        <w:t>انظر تقرير المكسيك الدوري الرابع (</w:t>
      </w:r>
      <w:r w:rsidRPr="00B32542">
        <w:rPr>
          <w:spacing w:val="0"/>
          <w:kern w:val="0"/>
          <w:sz w:val="18"/>
          <w:szCs w:val="26"/>
        </w:rPr>
        <w:t>CAT/C/55/Add.12</w:t>
      </w:r>
      <w:r w:rsidRPr="00B32542">
        <w:rPr>
          <w:rFonts w:hint="cs"/>
          <w:spacing w:val="0"/>
          <w:kern w:val="0"/>
          <w:sz w:val="18"/>
          <w:szCs w:val="26"/>
          <w:rtl/>
        </w:rPr>
        <w:t>، الفقرة 299) الذي سلّمت فيه حكومة المكسيك بأن التعذيب لا يزال يشكل مشكلة في إقليمها رغم التشريعات القانونية المسنونة لمكافحته.</w:t>
      </w:r>
    </w:p>
  </w:footnote>
  <w:footnote w:id="160">
    <w:p w:rsidR="00D64D4C" w:rsidRPr="00B32542" w:rsidRDefault="00D64D4C" w:rsidP="000705BE">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(ك)</w:t>
      </w:r>
      <w:r>
        <w:rPr>
          <w:rFonts w:hint="cs"/>
          <w:spacing w:val="0"/>
          <w:kern w:val="0"/>
          <w:sz w:val="18"/>
          <w:szCs w:val="26"/>
          <w:rtl/>
        </w:rPr>
        <w:tab/>
      </w:r>
      <w:r w:rsidRPr="00B32542">
        <w:rPr>
          <w:rFonts w:hint="cs"/>
          <w:spacing w:val="0"/>
          <w:kern w:val="0"/>
          <w:sz w:val="18"/>
          <w:szCs w:val="26"/>
          <w:rtl/>
        </w:rPr>
        <w:t>يستند صاحب الشكوى في زعمه إلى تبادل لرسائل البريد إلكتروني بين مسؤولي السفارة ووزارة الخارجية والتجارة الدولية.</w:t>
      </w:r>
    </w:p>
  </w:footnote>
  <w:footnote w:id="161">
    <w:p w:rsidR="00D64D4C" w:rsidRPr="00B32542" w:rsidRDefault="00D64D4C" w:rsidP="00503CA2">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(ل)</w:t>
      </w:r>
      <w:r>
        <w:rPr>
          <w:rFonts w:hint="cs"/>
          <w:spacing w:val="0"/>
          <w:kern w:val="0"/>
          <w:sz w:val="18"/>
          <w:szCs w:val="26"/>
          <w:rtl/>
        </w:rPr>
        <w:tab/>
      </w:r>
      <w:r w:rsidRPr="00B32542">
        <w:rPr>
          <w:rFonts w:hint="cs"/>
          <w:spacing w:val="0"/>
          <w:kern w:val="0"/>
          <w:sz w:val="18"/>
          <w:szCs w:val="26"/>
          <w:rtl/>
        </w:rPr>
        <w:t>قدم صاحب الشكوى إقراراً من سجين آخر قيل إنه رأى حالة صاحب الشكوى بعد إعادته إلى زنزانته في</w:t>
      </w:r>
      <w:r>
        <w:rPr>
          <w:rFonts w:hint="eastAsia"/>
          <w:spacing w:val="0"/>
          <w:kern w:val="0"/>
          <w:sz w:val="18"/>
          <w:szCs w:val="26"/>
          <w:rtl/>
        </w:rPr>
        <w:t> </w:t>
      </w:r>
      <w:r w:rsidRPr="00B32542">
        <w:rPr>
          <w:rFonts w:hint="cs"/>
          <w:spacing w:val="0"/>
          <w:kern w:val="0"/>
          <w:sz w:val="18"/>
          <w:szCs w:val="26"/>
          <w:rtl/>
        </w:rPr>
        <w:t>17 آب/أغسطس 2007. وقال في الإقرار إن وجه صاحب الشكوى كان أحمر بالكامل، ولاحظ أنه كان يبكي. وأتي به حارسان محمولا إلى الزنزانة. وقيل إنه اتصل في اليوم التالي بمحامي صاحب الشكوى وأخته لإبلاغهما بالمعاملة التي عُومل بها صاحب الشكوى.</w:t>
      </w:r>
    </w:p>
  </w:footnote>
  <w:footnote w:id="162">
    <w:p w:rsidR="00D64D4C" w:rsidRPr="00B32542" w:rsidRDefault="00D64D4C" w:rsidP="002C2A9D">
      <w:pPr>
        <w:pStyle w:val="FootnoteText"/>
        <w:tabs>
          <w:tab w:val="left" w:pos="1239"/>
        </w:tabs>
        <w:spacing w:after="60" w:line="280" w:lineRule="exact"/>
        <w:ind w:left="1253" w:right="1247" w:hanging="448"/>
        <w:jc w:val="lowKashida"/>
        <w:rPr>
          <w:spacing w:val="0"/>
          <w:kern w:val="0"/>
          <w:sz w:val="18"/>
          <w:szCs w:val="26"/>
        </w:rPr>
      </w:pPr>
      <w:r>
        <w:rPr>
          <w:rFonts w:hint="cs"/>
          <w:spacing w:val="0"/>
          <w:kern w:val="0"/>
          <w:sz w:val="18"/>
          <w:szCs w:val="26"/>
          <w:rtl/>
        </w:rPr>
        <w:t>(م)</w:t>
      </w:r>
      <w:r>
        <w:rPr>
          <w:rFonts w:hint="cs"/>
          <w:spacing w:val="0"/>
          <w:kern w:val="0"/>
          <w:sz w:val="18"/>
          <w:szCs w:val="26"/>
          <w:rtl/>
        </w:rPr>
        <w:tab/>
      </w:r>
      <w:r w:rsidRPr="00B32542">
        <w:rPr>
          <w:rFonts w:hint="cs"/>
          <w:spacing w:val="0"/>
          <w:kern w:val="0"/>
          <w:sz w:val="18"/>
          <w:szCs w:val="26"/>
          <w:rtl/>
        </w:rPr>
        <w:t xml:space="preserve">انظر </w:t>
      </w:r>
      <w:r w:rsidRPr="00B32542">
        <w:rPr>
          <w:rFonts w:hint="cs"/>
          <w:i/>
          <w:iCs/>
          <w:spacing w:val="0"/>
          <w:kern w:val="0"/>
          <w:sz w:val="18"/>
          <w:szCs w:val="26"/>
          <w:rtl/>
        </w:rPr>
        <w:t>عجيزة ضد السويد</w:t>
      </w:r>
      <w:r w:rsidRPr="00B32542">
        <w:rPr>
          <w:rFonts w:hint="cs"/>
          <w:spacing w:val="0"/>
          <w:kern w:val="0"/>
          <w:sz w:val="18"/>
          <w:szCs w:val="26"/>
          <w:rtl/>
        </w:rPr>
        <w:t xml:space="preserve"> (الحاشية </w:t>
      </w:r>
      <w:r>
        <w:rPr>
          <w:rFonts w:hint="cs"/>
          <w:spacing w:val="0"/>
          <w:kern w:val="0"/>
          <w:sz w:val="18"/>
          <w:szCs w:val="26"/>
          <w:rtl/>
        </w:rPr>
        <w:t>ج</w:t>
      </w:r>
      <w:r w:rsidRPr="00B32542">
        <w:rPr>
          <w:rFonts w:hint="cs"/>
          <w:spacing w:val="0"/>
          <w:kern w:val="0"/>
          <w:sz w:val="18"/>
          <w:szCs w:val="26"/>
          <w:rtl/>
        </w:rPr>
        <w:t xml:space="preserve"> أعلاه)، الفقرة 13-2؛ والبلاغين رقم 194/2001، </w:t>
      </w:r>
      <w:r w:rsidRPr="00B32542">
        <w:rPr>
          <w:rFonts w:hint="cs"/>
          <w:i/>
          <w:iCs/>
          <w:spacing w:val="0"/>
          <w:kern w:val="0"/>
          <w:sz w:val="18"/>
          <w:szCs w:val="26"/>
          <w:rtl/>
        </w:rPr>
        <w:t>إ. س. د. ضد فرنسا</w:t>
      </w:r>
      <w:r w:rsidRPr="00B32542">
        <w:rPr>
          <w:rFonts w:hint="cs"/>
          <w:spacing w:val="0"/>
          <w:kern w:val="0"/>
          <w:sz w:val="18"/>
          <w:szCs w:val="26"/>
          <w:rtl/>
        </w:rPr>
        <w:t xml:space="preserve">، </w:t>
      </w:r>
      <w:r w:rsidRPr="00B32542">
        <w:rPr>
          <w:rFonts w:hint="cs"/>
          <w:spacing w:val="0"/>
          <w:kern w:val="0"/>
          <w:sz w:val="18"/>
          <w:szCs w:val="26"/>
          <w:rtl/>
          <w:lang w:val="fr-CH"/>
        </w:rPr>
        <w:t>القرار</w:t>
      </w:r>
      <w:r w:rsidRPr="00B32542">
        <w:rPr>
          <w:rFonts w:hint="cs"/>
          <w:spacing w:val="0"/>
          <w:kern w:val="0"/>
          <w:sz w:val="18"/>
          <w:szCs w:val="26"/>
          <w:rtl/>
        </w:rPr>
        <w:t xml:space="preserve"> المعتمد في 3 أيار/مايو 2005، الفقرة 9-3؛ ورقم 297/2006، </w:t>
      </w:r>
      <w:r w:rsidRPr="00B32542">
        <w:rPr>
          <w:rFonts w:hint="cs"/>
          <w:i/>
          <w:iCs/>
          <w:spacing w:val="0"/>
          <w:kern w:val="0"/>
          <w:sz w:val="18"/>
          <w:szCs w:val="26"/>
          <w:rtl/>
        </w:rPr>
        <w:t>سوجي ضد كندا</w:t>
      </w:r>
      <w:r w:rsidRPr="00B32542">
        <w:rPr>
          <w:rFonts w:hint="cs"/>
          <w:spacing w:val="0"/>
          <w:kern w:val="0"/>
          <w:sz w:val="18"/>
          <w:szCs w:val="26"/>
          <w:rtl/>
        </w:rPr>
        <w:t>، القرار المعتمد في 16 تشرين الثاني/نوفمبر 2007، الفقرة 10-6.</w:t>
      </w:r>
    </w:p>
  </w:footnote>
  <w:footnote w:id="163">
    <w:p w:rsidR="00D64D4C" w:rsidRPr="00B32542" w:rsidRDefault="00D64D4C" w:rsidP="000705BE">
      <w:pPr>
        <w:pStyle w:val="FootnoteText"/>
        <w:tabs>
          <w:tab w:val="left" w:pos="1239"/>
        </w:tabs>
        <w:spacing w:after="60" w:line="300" w:lineRule="exact"/>
        <w:ind w:left="1253" w:right="1247" w:hanging="448"/>
        <w:jc w:val="lowKashida"/>
        <w:rPr>
          <w:spacing w:val="0"/>
          <w:kern w:val="0"/>
          <w:sz w:val="18"/>
          <w:szCs w:val="26"/>
        </w:rPr>
      </w:pPr>
      <w:r>
        <w:rPr>
          <w:rFonts w:hint="cs"/>
          <w:spacing w:val="0"/>
          <w:kern w:val="0"/>
          <w:sz w:val="18"/>
          <w:szCs w:val="26"/>
          <w:rtl/>
        </w:rPr>
        <w:t>(ن)</w:t>
      </w:r>
      <w:r>
        <w:rPr>
          <w:rFonts w:hint="cs"/>
          <w:spacing w:val="0"/>
          <w:kern w:val="0"/>
          <w:sz w:val="18"/>
          <w:szCs w:val="26"/>
          <w:rtl/>
        </w:rPr>
        <w:tab/>
      </w:r>
      <w:r w:rsidRPr="00B32542">
        <w:rPr>
          <w:rFonts w:hint="cs"/>
          <w:spacing w:val="0"/>
          <w:kern w:val="0"/>
          <w:sz w:val="18"/>
          <w:szCs w:val="26"/>
          <w:rtl/>
        </w:rPr>
        <w:t xml:space="preserve">أشار صاحب </w:t>
      </w:r>
      <w:r w:rsidRPr="00B32542">
        <w:rPr>
          <w:rFonts w:hint="cs"/>
          <w:spacing w:val="0"/>
          <w:kern w:val="0"/>
          <w:sz w:val="18"/>
          <w:szCs w:val="26"/>
          <w:rtl/>
          <w:lang w:val="fr-CH"/>
        </w:rPr>
        <w:t>الشكوى</w:t>
      </w:r>
      <w:r w:rsidRPr="00B32542">
        <w:rPr>
          <w:rFonts w:hint="cs"/>
          <w:spacing w:val="0"/>
          <w:kern w:val="0"/>
          <w:sz w:val="18"/>
          <w:szCs w:val="26"/>
          <w:rtl/>
        </w:rPr>
        <w:t xml:space="preserve"> إلى قرار محكمة الاستئناف، </w:t>
      </w:r>
      <w:r w:rsidRPr="00B32542">
        <w:rPr>
          <w:rFonts w:hint="cs"/>
          <w:i/>
          <w:iCs/>
          <w:spacing w:val="0"/>
          <w:kern w:val="0"/>
          <w:sz w:val="18"/>
          <w:szCs w:val="26"/>
          <w:rtl/>
        </w:rPr>
        <w:t>بوالي ضد كندا (وزير العدل)</w:t>
      </w:r>
      <w:r w:rsidRPr="00B32542">
        <w:rPr>
          <w:rFonts w:hint="cs"/>
          <w:spacing w:val="0"/>
          <w:kern w:val="0"/>
          <w:sz w:val="18"/>
          <w:szCs w:val="26"/>
          <w:rtl/>
        </w:rPr>
        <w:t xml:space="preserve"> </w:t>
      </w:r>
      <w:r w:rsidRPr="00B32542">
        <w:rPr>
          <w:spacing w:val="0"/>
          <w:kern w:val="0"/>
          <w:sz w:val="18"/>
          <w:szCs w:val="26"/>
        </w:rPr>
        <w:t>2007 QCCA 250</w:t>
      </w:r>
      <w:r w:rsidRPr="00B32542">
        <w:rPr>
          <w:rFonts w:hint="cs"/>
          <w:spacing w:val="0"/>
          <w:kern w:val="0"/>
          <w:sz w:val="18"/>
          <w:szCs w:val="26"/>
          <w:rtl/>
        </w:rPr>
        <w:t>، الفقرتان 54 و55.</w:t>
      </w:r>
    </w:p>
  </w:footnote>
  <w:footnote w:id="164">
    <w:p w:rsidR="00D64D4C" w:rsidRPr="00B32542" w:rsidRDefault="00D64D4C" w:rsidP="00503CA2">
      <w:pPr>
        <w:pStyle w:val="FootnoteText"/>
        <w:tabs>
          <w:tab w:val="left" w:pos="1239"/>
        </w:tabs>
        <w:spacing w:after="60" w:line="300" w:lineRule="exact"/>
        <w:ind w:left="1253" w:right="1247" w:hanging="504"/>
        <w:jc w:val="lowKashida"/>
        <w:rPr>
          <w:spacing w:val="0"/>
          <w:kern w:val="0"/>
          <w:sz w:val="18"/>
          <w:szCs w:val="26"/>
        </w:rPr>
      </w:pPr>
      <w:r>
        <w:rPr>
          <w:rFonts w:hint="cs"/>
          <w:spacing w:val="0"/>
          <w:kern w:val="0"/>
          <w:sz w:val="18"/>
          <w:szCs w:val="26"/>
          <w:rtl/>
        </w:rPr>
        <w:t>(س)</w:t>
      </w:r>
      <w:r>
        <w:rPr>
          <w:rFonts w:hint="cs"/>
          <w:spacing w:val="0"/>
          <w:kern w:val="0"/>
          <w:sz w:val="18"/>
          <w:szCs w:val="26"/>
          <w:rtl/>
        </w:rPr>
        <w:tab/>
      </w:r>
      <w:r w:rsidRPr="00B32542">
        <w:rPr>
          <w:rFonts w:hint="cs"/>
          <w:spacing w:val="0"/>
          <w:kern w:val="0"/>
          <w:sz w:val="18"/>
          <w:szCs w:val="26"/>
          <w:rtl/>
        </w:rPr>
        <w:t xml:space="preserve">انظر تعليق اللجنة العام </w:t>
      </w:r>
      <w:r w:rsidRPr="00B32542">
        <w:rPr>
          <w:rFonts w:hint="cs"/>
          <w:spacing w:val="0"/>
          <w:kern w:val="0"/>
          <w:sz w:val="18"/>
          <w:szCs w:val="26"/>
          <w:rtl/>
          <w:lang w:val="fr-CH"/>
        </w:rPr>
        <w:t>رقم</w:t>
      </w:r>
      <w:r w:rsidRPr="00B32542">
        <w:rPr>
          <w:rFonts w:hint="cs"/>
          <w:spacing w:val="0"/>
          <w:kern w:val="0"/>
          <w:sz w:val="18"/>
          <w:szCs w:val="26"/>
          <w:rtl/>
        </w:rPr>
        <w:t xml:space="preserve"> 1(1996) بشأن تنفيذ المادة 3 (</w:t>
      </w:r>
      <w:r w:rsidRPr="00B32542">
        <w:rPr>
          <w:rFonts w:hint="cs"/>
          <w:i/>
          <w:iCs/>
          <w:spacing w:val="0"/>
          <w:kern w:val="0"/>
          <w:sz w:val="18"/>
          <w:szCs w:val="26"/>
          <w:rtl/>
        </w:rPr>
        <w:t>الوثائق الرسمية للجمعية العامة، الدورة الثالثة والخمسون، الملحق رقم 44</w:t>
      </w:r>
      <w:r w:rsidRPr="00B32542">
        <w:rPr>
          <w:rFonts w:hint="cs"/>
          <w:spacing w:val="0"/>
          <w:kern w:val="0"/>
          <w:sz w:val="18"/>
          <w:szCs w:val="26"/>
          <w:rtl/>
        </w:rPr>
        <w:t xml:space="preserve"> </w:t>
      </w:r>
      <w:r w:rsidRPr="00B32542">
        <w:rPr>
          <w:spacing w:val="0"/>
          <w:kern w:val="0"/>
          <w:sz w:val="18"/>
          <w:szCs w:val="26"/>
        </w:rPr>
        <w:t>(A/53/44 and Corr.1)</w:t>
      </w:r>
      <w:r w:rsidRPr="00B32542">
        <w:rPr>
          <w:rFonts w:hint="cs"/>
          <w:spacing w:val="0"/>
          <w:kern w:val="0"/>
          <w:sz w:val="18"/>
          <w:szCs w:val="26"/>
          <w:rtl/>
        </w:rPr>
        <w:t xml:space="preserve"> المرفق التاسع).</w:t>
      </w:r>
    </w:p>
  </w:footnote>
  <w:footnote w:id="165">
    <w:p w:rsidR="00D64D4C" w:rsidRPr="00B32542" w:rsidRDefault="00D64D4C" w:rsidP="00503CA2">
      <w:pPr>
        <w:pStyle w:val="FootnoteText"/>
        <w:tabs>
          <w:tab w:val="left" w:pos="1239"/>
        </w:tabs>
        <w:spacing w:after="60" w:line="300" w:lineRule="exact"/>
        <w:ind w:left="1253" w:right="1247" w:hanging="504"/>
        <w:jc w:val="lowKashida"/>
        <w:rPr>
          <w:spacing w:val="0"/>
          <w:kern w:val="0"/>
          <w:sz w:val="18"/>
          <w:szCs w:val="26"/>
        </w:rPr>
      </w:pPr>
      <w:r w:rsidRPr="00B32542">
        <w:rPr>
          <w:rFonts w:hint="cs"/>
          <w:spacing w:val="0"/>
          <w:kern w:val="0"/>
          <w:sz w:val="18"/>
          <w:szCs w:val="26"/>
          <w:rtl/>
        </w:rPr>
        <w:t>(ع)</w:t>
      </w:r>
      <w:r w:rsidRPr="00B32542">
        <w:rPr>
          <w:rFonts w:hint="cs"/>
          <w:spacing w:val="0"/>
          <w:kern w:val="0"/>
          <w:sz w:val="18"/>
          <w:szCs w:val="26"/>
          <w:rtl/>
        </w:rPr>
        <w:tab/>
      </w:r>
      <w:r w:rsidRPr="00B32542">
        <w:rPr>
          <w:rFonts w:hint="cs"/>
          <w:i/>
          <w:iCs/>
          <w:spacing w:val="0"/>
          <w:kern w:val="0"/>
          <w:sz w:val="18"/>
          <w:szCs w:val="26"/>
          <w:rtl/>
        </w:rPr>
        <w:t>أ. ر. ضد السويد</w:t>
      </w:r>
      <w:r w:rsidRPr="00B32542">
        <w:rPr>
          <w:rFonts w:hint="cs"/>
          <w:spacing w:val="0"/>
          <w:kern w:val="0"/>
          <w:sz w:val="18"/>
          <w:szCs w:val="26"/>
          <w:rtl/>
        </w:rPr>
        <w:t xml:space="preserve">، البلاغ رقم 170/2000، القرار </w:t>
      </w:r>
      <w:r w:rsidRPr="00B32542">
        <w:rPr>
          <w:rFonts w:hint="cs"/>
          <w:spacing w:val="0"/>
          <w:kern w:val="0"/>
          <w:sz w:val="18"/>
          <w:szCs w:val="26"/>
          <w:rtl/>
          <w:lang w:val="fr-CH"/>
        </w:rPr>
        <w:t>المعتمد</w:t>
      </w:r>
      <w:r w:rsidRPr="00B32542">
        <w:rPr>
          <w:rFonts w:hint="cs"/>
          <w:spacing w:val="0"/>
          <w:kern w:val="0"/>
          <w:sz w:val="18"/>
          <w:szCs w:val="26"/>
          <w:rtl/>
        </w:rPr>
        <w:t xml:space="preserve"> في 23 تشرين الثاني/نوفمبر 2001، الفقرة</w:t>
      </w:r>
      <w:r>
        <w:rPr>
          <w:rFonts w:hint="eastAsia"/>
          <w:spacing w:val="0"/>
          <w:kern w:val="0"/>
          <w:sz w:val="18"/>
          <w:szCs w:val="26"/>
          <w:rtl/>
        </w:rPr>
        <w:t> </w:t>
      </w:r>
      <w:r w:rsidRPr="00B32542">
        <w:rPr>
          <w:rFonts w:hint="cs"/>
          <w:spacing w:val="0"/>
          <w:kern w:val="0"/>
          <w:sz w:val="18"/>
          <w:szCs w:val="26"/>
          <w:rtl/>
        </w:rPr>
        <w:t>7-1.</w:t>
      </w:r>
    </w:p>
  </w:footnote>
  <w:footnote w:id="166">
    <w:p w:rsidR="00D64D4C" w:rsidRPr="00B32542" w:rsidRDefault="00D64D4C" w:rsidP="004C5EBE">
      <w:pPr>
        <w:pStyle w:val="FootnoteText"/>
        <w:tabs>
          <w:tab w:val="left" w:pos="1239"/>
        </w:tabs>
        <w:spacing w:after="60" w:line="300" w:lineRule="exact"/>
        <w:ind w:left="1253" w:right="1247" w:hanging="504"/>
        <w:jc w:val="lowKashida"/>
        <w:rPr>
          <w:spacing w:val="0"/>
          <w:kern w:val="0"/>
          <w:sz w:val="18"/>
          <w:szCs w:val="26"/>
        </w:rPr>
      </w:pPr>
      <w:r>
        <w:rPr>
          <w:rFonts w:hint="cs"/>
          <w:spacing w:val="0"/>
          <w:kern w:val="0"/>
          <w:sz w:val="18"/>
          <w:szCs w:val="26"/>
          <w:rtl/>
        </w:rPr>
        <w:t>(ف)</w:t>
      </w:r>
      <w:r>
        <w:rPr>
          <w:rFonts w:hint="cs"/>
          <w:spacing w:val="0"/>
          <w:kern w:val="0"/>
          <w:sz w:val="18"/>
          <w:szCs w:val="26"/>
          <w:rtl/>
        </w:rPr>
        <w:tab/>
      </w:r>
      <w:r w:rsidRPr="00B32542">
        <w:rPr>
          <w:rFonts w:hint="cs"/>
          <w:spacing w:val="0"/>
          <w:kern w:val="0"/>
          <w:sz w:val="18"/>
          <w:szCs w:val="26"/>
          <w:rtl/>
        </w:rPr>
        <w:t xml:space="preserve">التعليق العام رقم 1، </w:t>
      </w:r>
      <w:r w:rsidRPr="00B32542">
        <w:rPr>
          <w:rFonts w:hint="cs"/>
          <w:spacing w:val="0"/>
          <w:kern w:val="0"/>
          <w:sz w:val="18"/>
          <w:szCs w:val="26"/>
          <w:rtl/>
          <w:lang w:val="fr-CH"/>
        </w:rPr>
        <w:t>الفقرة</w:t>
      </w:r>
      <w:r w:rsidRPr="00B32542">
        <w:rPr>
          <w:rFonts w:hint="cs"/>
          <w:spacing w:val="0"/>
          <w:kern w:val="0"/>
          <w:sz w:val="18"/>
          <w:szCs w:val="26"/>
          <w:rtl/>
        </w:rPr>
        <w:t xml:space="preserve"> 6.</w:t>
      </w:r>
    </w:p>
  </w:footnote>
  <w:footnote w:id="167">
    <w:p w:rsidR="00D64D4C" w:rsidRPr="00B32542" w:rsidRDefault="00D64D4C" w:rsidP="00B32542">
      <w:pPr>
        <w:pStyle w:val="FootnoteText"/>
        <w:numPr>
          <w:ilvl w:val="0"/>
          <w:numId w:val="38"/>
        </w:numPr>
        <w:tabs>
          <w:tab w:val="clear" w:pos="1301"/>
          <w:tab w:val="num" w:pos="1267"/>
        </w:tabs>
        <w:spacing w:after="60" w:line="300" w:lineRule="exact"/>
        <w:ind w:left="1248" w:right="1247"/>
        <w:jc w:val="lowKashida"/>
        <w:rPr>
          <w:rFonts w:hint="cs"/>
          <w:spacing w:val="0"/>
          <w:kern w:val="0"/>
          <w:sz w:val="18"/>
          <w:szCs w:val="26"/>
        </w:rPr>
      </w:pPr>
      <w:r w:rsidRPr="00B32542">
        <w:rPr>
          <w:spacing w:val="0"/>
          <w:kern w:val="0"/>
          <w:sz w:val="18"/>
          <w:szCs w:val="26"/>
          <w:rtl/>
        </w:rPr>
        <w:t>وفقا</w:t>
      </w:r>
      <w:r w:rsidRPr="00B32542">
        <w:rPr>
          <w:rFonts w:hint="cs"/>
          <w:spacing w:val="0"/>
          <w:kern w:val="0"/>
          <w:sz w:val="18"/>
          <w:szCs w:val="26"/>
          <w:rtl/>
        </w:rPr>
        <w:t>ً</w:t>
      </w:r>
      <w:r w:rsidRPr="00B32542">
        <w:rPr>
          <w:spacing w:val="0"/>
          <w:kern w:val="0"/>
          <w:sz w:val="18"/>
          <w:szCs w:val="26"/>
          <w:rtl/>
        </w:rPr>
        <w:t xml:space="preserve"> </w:t>
      </w:r>
      <w:r w:rsidRPr="00B32542">
        <w:rPr>
          <w:rFonts w:hint="cs"/>
          <w:spacing w:val="0"/>
          <w:kern w:val="0"/>
          <w:sz w:val="18"/>
          <w:szCs w:val="26"/>
          <w:rtl/>
        </w:rPr>
        <w:t>للإقرار</w:t>
      </w:r>
      <w:r w:rsidRPr="00B32542">
        <w:rPr>
          <w:spacing w:val="0"/>
          <w:kern w:val="0"/>
          <w:sz w:val="18"/>
          <w:szCs w:val="26"/>
          <w:rtl/>
        </w:rPr>
        <w:t xml:space="preserve"> المؤرخ 4 حزيران/يونيه 2008 والمرفق بالملف، والد صاحب الشكوى، أندريه كالونزو إيلونجا، من مؤسسي حزب الاتحاد من أجل الديمقراطية والتقدم الاجتماعي، ويباشر الحزب نشاطه رسميا</w:t>
      </w:r>
      <w:r w:rsidRPr="00B32542">
        <w:rPr>
          <w:rFonts w:hint="cs"/>
          <w:spacing w:val="0"/>
          <w:kern w:val="0"/>
          <w:sz w:val="18"/>
          <w:szCs w:val="26"/>
          <w:rtl/>
        </w:rPr>
        <w:t>ً</w:t>
      </w:r>
      <w:r w:rsidRPr="00B32542">
        <w:rPr>
          <w:spacing w:val="0"/>
          <w:kern w:val="0"/>
          <w:sz w:val="18"/>
          <w:szCs w:val="26"/>
          <w:rtl/>
        </w:rPr>
        <w:t xml:space="preserve"> منذ 15 شباط/فبراير 1982.</w:t>
      </w:r>
    </w:p>
  </w:footnote>
  <w:footnote w:id="168">
    <w:p w:rsidR="00D64D4C" w:rsidRPr="00B32542" w:rsidRDefault="00D64D4C" w:rsidP="00B32542">
      <w:pPr>
        <w:pStyle w:val="FootnoteText"/>
        <w:numPr>
          <w:ilvl w:val="0"/>
          <w:numId w:val="38"/>
        </w:numPr>
        <w:tabs>
          <w:tab w:val="clear" w:pos="1301"/>
          <w:tab w:val="left" w:pos="1253"/>
        </w:tabs>
        <w:spacing w:after="60" w:line="300" w:lineRule="exact"/>
        <w:ind w:left="1248" w:right="1247"/>
        <w:jc w:val="lowKashida"/>
        <w:rPr>
          <w:rFonts w:hint="cs"/>
          <w:spacing w:val="0"/>
          <w:kern w:val="0"/>
          <w:sz w:val="18"/>
          <w:szCs w:val="26"/>
        </w:rPr>
      </w:pPr>
      <w:r w:rsidRPr="00B32542">
        <w:rPr>
          <w:spacing w:val="0"/>
          <w:kern w:val="0"/>
          <w:sz w:val="18"/>
          <w:szCs w:val="26"/>
          <w:rtl/>
        </w:rPr>
        <w:t>للاطلاع على تفاصيل المعاملة التي تعرض لها صاحب الشكوى، انظر البيانات المقدمة إلى السلطات الكندية والمرفقة بالملف.</w:t>
      </w:r>
    </w:p>
  </w:footnote>
  <w:footnote w:id="169">
    <w:p w:rsidR="00D64D4C" w:rsidRPr="00B32542" w:rsidRDefault="00D64D4C" w:rsidP="00CF3B71">
      <w:pPr>
        <w:pStyle w:val="FootnoteText"/>
        <w:numPr>
          <w:ilvl w:val="0"/>
          <w:numId w:val="38"/>
        </w:numPr>
        <w:tabs>
          <w:tab w:val="clear" w:pos="1301"/>
          <w:tab w:val="left" w:pos="1253"/>
        </w:tabs>
        <w:spacing w:after="60" w:line="300" w:lineRule="exact"/>
        <w:ind w:left="1247" w:right="1247"/>
        <w:jc w:val="lowKashida"/>
        <w:rPr>
          <w:rFonts w:hint="cs"/>
          <w:spacing w:val="-2"/>
          <w:kern w:val="0"/>
          <w:sz w:val="18"/>
          <w:szCs w:val="26"/>
        </w:rPr>
      </w:pPr>
      <w:r w:rsidRPr="00B32542">
        <w:rPr>
          <w:spacing w:val="-2"/>
          <w:kern w:val="0"/>
          <w:sz w:val="18"/>
          <w:szCs w:val="26"/>
          <w:rtl/>
        </w:rPr>
        <w:t xml:space="preserve">جاء في تقرير الطبيبة منى الجابري ما يلي: "عند الفحص البدني، لم أجد سوى أدلة مادية قليلة </w:t>
      </w:r>
      <w:r w:rsidRPr="00B32542">
        <w:rPr>
          <w:rFonts w:hint="cs"/>
          <w:spacing w:val="-2"/>
          <w:kern w:val="0"/>
          <w:sz w:val="18"/>
          <w:szCs w:val="26"/>
          <w:rtl/>
        </w:rPr>
        <w:t>على ا</w:t>
      </w:r>
      <w:r w:rsidRPr="00B32542">
        <w:rPr>
          <w:spacing w:val="-2"/>
          <w:kern w:val="0"/>
          <w:sz w:val="18"/>
          <w:szCs w:val="26"/>
          <w:rtl/>
        </w:rPr>
        <w:t>لتعذيب والاغتصاب اللذين تعرض لهما صاحب الشكوى، ولكن من الناحية الطبية، لا يتعارض هذا على الإطلاق مع روايته (...). ولاحظت أن هناك ندبة خطية ناقصة التصبغ بطول 1 سم على تاج رأسه، في خط الوسط، تتفق مع إصابته المزعومة بجرح مفتوح في هذ</w:t>
      </w:r>
      <w:r w:rsidRPr="00B32542">
        <w:rPr>
          <w:rFonts w:hint="cs"/>
          <w:spacing w:val="-2"/>
          <w:kern w:val="0"/>
          <w:sz w:val="18"/>
          <w:szCs w:val="26"/>
          <w:rtl/>
        </w:rPr>
        <w:t>ا</w:t>
      </w:r>
      <w:r w:rsidRPr="00B32542">
        <w:rPr>
          <w:spacing w:val="-2"/>
          <w:kern w:val="0"/>
          <w:sz w:val="18"/>
          <w:szCs w:val="26"/>
          <w:rtl/>
        </w:rPr>
        <w:t xml:space="preserve"> المكان. ولا توجد بالسيد كالونزو علامات خارجية لاغتصابه، ولكن نادرا ما توجد علامات خارجية للاغتصاب أو اللواط. ويشير السيد كالونزو إلي تعرضه لمعاملة وحشية وصدمات نفسية على أيدي السلطات الكونغولية. ولأنه كان شابا عند إصابته بهذه الجراح، و</w:t>
      </w:r>
      <w:r w:rsidRPr="00B32542">
        <w:rPr>
          <w:rFonts w:hint="cs"/>
          <w:spacing w:val="-2"/>
          <w:kern w:val="0"/>
          <w:sz w:val="18"/>
          <w:szCs w:val="26"/>
          <w:rtl/>
        </w:rPr>
        <w:t xml:space="preserve">لأنه </w:t>
      </w:r>
      <w:r w:rsidRPr="00B32542">
        <w:rPr>
          <w:spacing w:val="-2"/>
          <w:kern w:val="0"/>
          <w:sz w:val="18"/>
          <w:szCs w:val="26"/>
          <w:rtl/>
        </w:rPr>
        <w:t xml:space="preserve">حصل على رعاية طبية مناسبة فور الإفراج عنه من السجن في الكونغو، لا توجد سوى علامات مادية قليلة على تعرضه للتعذيب. والآثار النفسية لا تزال واضحة. واستنادا إلى ما يصفه السيد كالونزو عن أوضاعه المعيشية الراهنة، وبناء على تجربتي وخبرتي في تقييم ضحايا التعذيب، يبدو أنه يعاني من اضطرابات ما بعد </w:t>
      </w:r>
      <w:r w:rsidRPr="00B32542">
        <w:rPr>
          <w:rFonts w:hint="cs"/>
          <w:spacing w:val="-2"/>
          <w:kern w:val="0"/>
          <w:sz w:val="18"/>
          <w:szCs w:val="26"/>
          <w:rtl/>
        </w:rPr>
        <w:t>الصدمة</w:t>
      </w:r>
      <w:r w:rsidRPr="00B32542">
        <w:rPr>
          <w:spacing w:val="-2"/>
          <w:kern w:val="0"/>
          <w:sz w:val="18"/>
          <w:szCs w:val="26"/>
          <w:rtl/>
        </w:rPr>
        <w:t xml:space="preserve">. وعلاوة على ذلك، يبدو أن لديه مخاوف معقولة جداً لما ستكون عليه حياته في حالة إعادته إلى الكونغو". </w:t>
      </w:r>
    </w:p>
  </w:footnote>
  <w:footnote w:id="170">
    <w:p w:rsidR="00D64D4C" w:rsidRPr="00B32542" w:rsidRDefault="00D64D4C" w:rsidP="00CF3B71">
      <w:pPr>
        <w:pStyle w:val="FootnoteText"/>
        <w:numPr>
          <w:ilvl w:val="0"/>
          <w:numId w:val="38"/>
        </w:numPr>
        <w:tabs>
          <w:tab w:val="clear" w:pos="1301"/>
          <w:tab w:val="left" w:pos="1253"/>
        </w:tabs>
        <w:spacing w:after="60" w:line="300" w:lineRule="exact"/>
        <w:ind w:left="1247" w:right="1247"/>
        <w:jc w:val="lowKashida"/>
        <w:rPr>
          <w:rFonts w:hint="cs"/>
          <w:spacing w:val="0"/>
          <w:kern w:val="0"/>
          <w:sz w:val="18"/>
          <w:szCs w:val="26"/>
        </w:rPr>
      </w:pPr>
      <w:r w:rsidRPr="00B32542">
        <w:rPr>
          <w:spacing w:val="0"/>
          <w:kern w:val="0"/>
          <w:sz w:val="18"/>
          <w:szCs w:val="26"/>
          <w:rtl/>
        </w:rPr>
        <w:t>وفقا</w:t>
      </w:r>
      <w:r w:rsidRPr="00B32542">
        <w:rPr>
          <w:rFonts w:hint="cs"/>
          <w:spacing w:val="0"/>
          <w:kern w:val="0"/>
          <w:sz w:val="18"/>
          <w:szCs w:val="26"/>
          <w:rtl/>
        </w:rPr>
        <w:t>ً</w:t>
      </w:r>
      <w:r w:rsidRPr="00B32542">
        <w:rPr>
          <w:spacing w:val="0"/>
          <w:kern w:val="0"/>
          <w:sz w:val="18"/>
          <w:szCs w:val="26"/>
          <w:rtl/>
        </w:rPr>
        <w:t xml:space="preserve"> للمعلومات المقدمة من صاحب الشكوى، رأى القاضي الأمريكي أن هناك أدلة كافية لأن يخلص إلى احتمال تعرض صاحب الشكوى للتعذيب في حالة الترحيل، ليس بالضرورة على الفور، وليس بالتأكيد، ولكن الاحتمال لا يزال قائما</w:t>
      </w:r>
      <w:r w:rsidRPr="00B32542">
        <w:rPr>
          <w:rFonts w:hint="cs"/>
          <w:spacing w:val="0"/>
          <w:kern w:val="0"/>
          <w:sz w:val="18"/>
          <w:szCs w:val="26"/>
          <w:rtl/>
        </w:rPr>
        <w:t>ً</w:t>
      </w:r>
      <w:r w:rsidRPr="00B32542">
        <w:rPr>
          <w:spacing w:val="0"/>
          <w:kern w:val="0"/>
          <w:sz w:val="18"/>
          <w:szCs w:val="26"/>
          <w:rtl/>
        </w:rPr>
        <w:t>.</w:t>
      </w:r>
    </w:p>
  </w:footnote>
  <w:footnote w:id="171">
    <w:p w:rsidR="00D64D4C" w:rsidRPr="00B32542" w:rsidRDefault="00D64D4C" w:rsidP="00B32542">
      <w:pPr>
        <w:pStyle w:val="FootnoteText"/>
        <w:tabs>
          <w:tab w:val="left" w:pos="1253"/>
        </w:tabs>
        <w:spacing w:after="60" w:line="300" w:lineRule="exact"/>
        <w:ind w:left="1253" w:right="1247" w:hanging="476"/>
        <w:jc w:val="lowKashida"/>
        <w:rPr>
          <w:rFonts w:hint="cs"/>
          <w:spacing w:val="0"/>
          <w:kern w:val="0"/>
          <w:sz w:val="18"/>
          <w:szCs w:val="26"/>
        </w:rPr>
      </w:pPr>
      <w:r>
        <w:rPr>
          <w:rFonts w:hint="cs"/>
          <w:spacing w:val="0"/>
          <w:kern w:val="0"/>
          <w:sz w:val="18"/>
          <w:szCs w:val="26"/>
          <w:rtl/>
        </w:rPr>
        <w:t>(</w:t>
      </w:r>
      <w:r w:rsidRPr="00B32542">
        <w:rPr>
          <w:rFonts w:hint="cs"/>
          <w:spacing w:val="0"/>
          <w:kern w:val="0"/>
          <w:sz w:val="26"/>
          <w:szCs w:val="26"/>
          <w:rtl/>
        </w:rPr>
        <w:t>ﻫ</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يرد التقرير المتعلق بتقييم المخاطر قبل الترحيل في مرفقات الطلب. ويشير المسؤول عن التقييم، في جملة أمور، إلى أن صاحب الشكوى يفيد في استمارة المعلومات الذاتية المقدمة إلى مجلس الهجرة واللاجئين بأن والده توفي في عام 2002 نتيجة لسوء معاملته. بيد أن الوثائق التي اطلع عليها تفيد بأن الأب لا يزال على قيد الحياة. كذلك، لا يشير صاحب الشكوى إلى إقامته بالولايات المتحدة ولكنه يفيد بأنه عاش دائماً في جمهورية الكونغو الديمقراطية إلى حين وصوله إلى كندا في كانون الثاني/يناير 2003. ويشير التقرير كذلك إلى الاستماع لأقوال صاحب الشكوى في 17 كانون الأول/ديسمبر 2007، وأنه تناقض</w:t>
      </w:r>
      <w:r w:rsidRPr="00B32542">
        <w:rPr>
          <w:rFonts w:hint="cs"/>
          <w:spacing w:val="0"/>
          <w:kern w:val="0"/>
          <w:sz w:val="18"/>
          <w:szCs w:val="26"/>
          <w:rtl/>
        </w:rPr>
        <w:t xml:space="preserve"> مع نفسه</w:t>
      </w:r>
      <w:r w:rsidRPr="00B32542">
        <w:rPr>
          <w:spacing w:val="0"/>
          <w:kern w:val="0"/>
          <w:sz w:val="18"/>
          <w:szCs w:val="26"/>
          <w:rtl/>
        </w:rPr>
        <w:t xml:space="preserve"> مرارا</w:t>
      </w:r>
      <w:r w:rsidRPr="00B32542">
        <w:rPr>
          <w:rFonts w:hint="cs"/>
          <w:spacing w:val="0"/>
          <w:kern w:val="0"/>
          <w:sz w:val="18"/>
          <w:szCs w:val="26"/>
          <w:rtl/>
        </w:rPr>
        <w:t>ً</w:t>
      </w:r>
      <w:r w:rsidRPr="00B32542">
        <w:rPr>
          <w:spacing w:val="0"/>
          <w:kern w:val="0"/>
          <w:sz w:val="18"/>
          <w:szCs w:val="26"/>
          <w:rtl/>
        </w:rPr>
        <w:t xml:space="preserve"> كما أغفل أمورا</w:t>
      </w:r>
      <w:r w:rsidRPr="00B32542">
        <w:rPr>
          <w:rFonts w:hint="cs"/>
          <w:spacing w:val="0"/>
          <w:kern w:val="0"/>
          <w:sz w:val="18"/>
          <w:szCs w:val="26"/>
          <w:rtl/>
        </w:rPr>
        <w:t>ً</w:t>
      </w:r>
      <w:r w:rsidRPr="00B32542">
        <w:rPr>
          <w:spacing w:val="0"/>
          <w:kern w:val="0"/>
          <w:sz w:val="18"/>
          <w:szCs w:val="26"/>
          <w:rtl/>
        </w:rPr>
        <w:t xml:space="preserve"> هامة. فعلى سبيل المثال، </w:t>
      </w:r>
      <w:r w:rsidRPr="00B32542">
        <w:rPr>
          <w:rFonts w:hint="cs"/>
          <w:spacing w:val="0"/>
          <w:kern w:val="0"/>
          <w:sz w:val="18"/>
          <w:szCs w:val="26"/>
          <w:rtl/>
        </w:rPr>
        <w:t>ادعى</w:t>
      </w:r>
      <w:r w:rsidRPr="00B32542">
        <w:rPr>
          <w:spacing w:val="0"/>
          <w:kern w:val="0"/>
          <w:sz w:val="18"/>
          <w:szCs w:val="26"/>
          <w:rtl/>
        </w:rPr>
        <w:t xml:space="preserve"> صاحب الشكوى أنه لا يمكنه تقديم تفاصيل عن السجن الذي احتجز فيه، أو تقديم تفاصيل محددة عن احتجازه. ولم يتبين من أقواله </w:t>
      </w:r>
      <w:r w:rsidRPr="00B32542">
        <w:rPr>
          <w:rFonts w:hint="cs"/>
          <w:spacing w:val="0"/>
          <w:kern w:val="0"/>
          <w:sz w:val="18"/>
          <w:szCs w:val="26"/>
          <w:rtl/>
        </w:rPr>
        <w:t xml:space="preserve">ما </w:t>
      </w:r>
      <w:r w:rsidRPr="00B32542">
        <w:rPr>
          <w:spacing w:val="0"/>
          <w:kern w:val="0"/>
          <w:sz w:val="18"/>
          <w:szCs w:val="26"/>
          <w:rtl/>
        </w:rPr>
        <w:t xml:space="preserve">إذا </w:t>
      </w:r>
      <w:r w:rsidRPr="00B32542">
        <w:rPr>
          <w:rFonts w:hint="cs"/>
          <w:spacing w:val="0"/>
          <w:kern w:val="0"/>
          <w:sz w:val="18"/>
          <w:szCs w:val="26"/>
          <w:rtl/>
        </w:rPr>
        <w:t xml:space="preserve">كان قد </w:t>
      </w:r>
      <w:r w:rsidRPr="00B32542">
        <w:rPr>
          <w:spacing w:val="0"/>
          <w:kern w:val="0"/>
          <w:sz w:val="18"/>
          <w:szCs w:val="26"/>
          <w:rtl/>
        </w:rPr>
        <w:t>هرب من السجن أ</w:t>
      </w:r>
      <w:r w:rsidRPr="00B32542">
        <w:rPr>
          <w:rFonts w:hint="cs"/>
          <w:spacing w:val="0"/>
          <w:kern w:val="0"/>
          <w:sz w:val="18"/>
          <w:szCs w:val="26"/>
          <w:rtl/>
        </w:rPr>
        <w:t>م</w:t>
      </w:r>
      <w:r w:rsidRPr="00B32542">
        <w:rPr>
          <w:spacing w:val="0"/>
          <w:kern w:val="0"/>
          <w:sz w:val="18"/>
          <w:szCs w:val="26"/>
          <w:rtl/>
        </w:rPr>
        <w:t xml:space="preserve"> أخلى سبيله قانونا</w:t>
      </w:r>
      <w:r w:rsidRPr="00B32542">
        <w:rPr>
          <w:rFonts w:hint="cs"/>
          <w:spacing w:val="0"/>
          <w:kern w:val="0"/>
          <w:sz w:val="18"/>
          <w:szCs w:val="26"/>
          <w:rtl/>
        </w:rPr>
        <w:t>ً</w:t>
      </w:r>
      <w:r w:rsidRPr="00B32542">
        <w:rPr>
          <w:spacing w:val="0"/>
          <w:kern w:val="0"/>
          <w:sz w:val="18"/>
          <w:szCs w:val="26"/>
          <w:rtl/>
        </w:rPr>
        <w:t xml:space="preserve"> بمساعدة محاميه. ووفقا</w:t>
      </w:r>
      <w:r w:rsidRPr="00B32542">
        <w:rPr>
          <w:rFonts w:hint="cs"/>
          <w:spacing w:val="0"/>
          <w:kern w:val="0"/>
          <w:sz w:val="18"/>
          <w:szCs w:val="26"/>
          <w:rtl/>
        </w:rPr>
        <w:t>ً</w:t>
      </w:r>
      <w:r w:rsidRPr="00B32542">
        <w:rPr>
          <w:spacing w:val="0"/>
          <w:kern w:val="0"/>
          <w:sz w:val="18"/>
          <w:szCs w:val="26"/>
          <w:rtl/>
        </w:rPr>
        <w:t xml:space="preserve"> ل</w:t>
      </w:r>
      <w:r w:rsidRPr="00B32542">
        <w:rPr>
          <w:rFonts w:hint="cs"/>
          <w:spacing w:val="0"/>
          <w:kern w:val="0"/>
          <w:sz w:val="18"/>
          <w:szCs w:val="26"/>
          <w:rtl/>
        </w:rPr>
        <w:t xml:space="preserve">ما أدلى به من </w:t>
      </w:r>
      <w:r w:rsidRPr="00B32542">
        <w:rPr>
          <w:spacing w:val="0"/>
          <w:kern w:val="0"/>
          <w:sz w:val="18"/>
          <w:szCs w:val="26"/>
          <w:rtl/>
        </w:rPr>
        <w:t xml:space="preserve">بيانات مختلفة، </w:t>
      </w:r>
      <w:r w:rsidRPr="00B32542">
        <w:rPr>
          <w:rFonts w:hint="cs"/>
          <w:spacing w:val="0"/>
          <w:kern w:val="0"/>
          <w:sz w:val="18"/>
          <w:szCs w:val="26"/>
          <w:rtl/>
        </w:rPr>
        <w:t>ادعى أ</w:t>
      </w:r>
      <w:r w:rsidRPr="00B32542">
        <w:rPr>
          <w:spacing w:val="0"/>
          <w:kern w:val="0"/>
          <w:sz w:val="18"/>
          <w:szCs w:val="26"/>
          <w:rtl/>
        </w:rPr>
        <w:t>نه أخلي سبيله في تموز/يوليه 2002، وآب/</w:t>
      </w:r>
      <w:r w:rsidRPr="00B32542">
        <w:rPr>
          <w:rFonts w:hint="cs"/>
          <w:spacing w:val="0"/>
          <w:kern w:val="0"/>
          <w:sz w:val="18"/>
          <w:szCs w:val="26"/>
          <w:rtl/>
        </w:rPr>
        <w:t xml:space="preserve"> </w:t>
      </w:r>
      <w:r w:rsidRPr="00B32542">
        <w:rPr>
          <w:spacing w:val="0"/>
          <w:kern w:val="0"/>
          <w:sz w:val="18"/>
          <w:szCs w:val="26"/>
          <w:rtl/>
        </w:rPr>
        <w:t xml:space="preserve">أغسطس 2002 </w:t>
      </w:r>
      <w:r w:rsidRPr="00B32542">
        <w:rPr>
          <w:rFonts w:hint="cs"/>
          <w:spacing w:val="0"/>
          <w:kern w:val="0"/>
          <w:sz w:val="18"/>
          <w:szCs w:val="26"/>
          <w:rtl/>
        </w:rPr>
        <w:t>و</w:t>
      </w:r>
      <w:r w:rsidRPr="00B32542">
        <w:rPr>
          <w:spacing w:val="0"/>
          <w:kern w:val="0"/>
          <w:sz w:val="18"/>
          <w:szCs w:val="26"/>
          <w:rtl/>
        </w:rPr>
        <w:t>كانون الثاني/يناير 2003، أي بفاصل يتراوح بين 3 و9 أشهر. ووجدت تناقضات أيضا</w:t>
      </w:r>
      <w:r w:rsidRPr="00B32542">
        <w:rPr>
          <w:rFonts w:hint="cs"/>
          <w:spacing w:val="0"/>
          <w:kern w:val="0"/>
          <w:sz w:val="18"/>
          <w:szCs w:val="26"/>
          <w:rtl/>
        </w:rPr>
        <w:t>ً</w:t>
      </w:r>
      <w:r w:rsidRPr="00B32542">
        <w:rPr>
          <w:spacing w:val="0"/>
          <w:kern w:val="0"/>
          <w:sz w:val="18"/>
          <w:szCs w:val="26"/>
          <w:rtl/>
        </w:rPr>
        <w:t xml:space="preserve"> في تواريخ إقامة والده في جمهورية الكونغو الديمقراطية، وأسباب هذه الإقامة، وعضوية أو عدم عضوية والده حاليا</w:t>
      </w:r>
      <w:r w:rsidRPr="00B32542">
        <w:rPr>
          <w:rFonts w:hint="cs"/>
          <w:spacing w:val="0"/>
          <w:kern w:val="0"/>
          <w:sz w:val="18"/>
          <w:szCs w:val="26"/>
          <w:rtl/>
        </w:rPr>
        <w:t>ً</w:t>
      </w:r>
      <w:r w:rsidRPr="00B32542">
        <w:rPr>
          <w:spacing w:val="0"/>
          <w:kern w:val="0"/>
          <w:sz w:val="18"/>
          <w:szCs w:val="26"/>
          <w:rtl/>
        </w:rPr>
        <w:t xml:space="preserve"> في حزب الاتحاد من أجل الديمقراطية والتقدم الاجتماعي.</w:t>
      </w:r>
    </w:p>
  </w:footnote>
  <w:footnote w:id="172">
    <w:p w:rsidR="00D64D4C" w:rsidRPr="00B32542" w:rsidRDefault="00D64D4C" w:rsidP="00B32542">
      <w:pPr>
        <w:pStyle w:val="FootnoteText"/>
        <w:tabs>
          <w:tab w:val="left" w:pos="1253"/>
        </w:tabs>
        <w:spacing w:after="60" w:line="300" w:lineRule="exact"/>
        <w:ind w:left="1239" w:right="1247" w:hanging="518"/>
        <w:jc w:val="lowKashida"/>
        <w:rPr>
          <w:rFonts w:hint="cs"/>
          <w:spacing w:val="0"/>
          <w:kern w:val="0"/>
          <w:sz w:val="18"/>
          <w:szCs w:val="26"/>
        </w:rPr>
      </w:pPr>
      <w:r>
        <w:rPr>
          <w:rFonts w:hint="cs"/>
          <w:spacing w:val="0"/>
          <w:kern w:val="0"/>
          <w:sz w:val="18"/>
          <w:szCs w:val="26"/>
          <w:rtl/>
        </w:rPr>
        <w:t>(</w:t>
      </w:r>
      <w:r>
        <w:rPr>
          <w:rFonts w:hint="cs"/>
          <w:spacing w:val="0"/>
          <w:kern w:val="0"/>
          <w:sz w:val="26"/>
          <w:szCs w:val="26"/>
          <w:rtl/>
        </w:rPr>
        <w:t>و</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ترد نسخة من هذا الطلب بالملف. ويفيد الطلب، في جملة أمور، بأن جمهورية الكونغو الديمقراطية أحد البلدان الثمانية التي أعلنت كندا اختياريا</w:t>
      </w:r>
      <w:r w:rsidRPr="00B32542">
        <w:rPr>
          <w:rFonts w:hint="cs"/>
          <w:spacing w:val="0"/>
          <w:kern w:val="0"/>
          <w:sz w:val="18"/>
          <w:szCs w:val="26"/>
          <w:rtl/>
        </w:rPr>
        <w:t>ً</w:t>
      </w:r>
      <w:r w:rsidRPr="00B32542">
        <w:rPr>
          <w:spacing w:val="0"/>
          <w:kern w:val="0"/>
          <w:sz w:val="18"/>
          <w:szCs w:val="26"/>
          <w:rtl/>
        </w:rPr>
        <w:t xml:space="preserve"> وقف إعادة ملتمسي اللجوء الذين رفضت طلباتهم إليها بسبب العنف السائد في البلد. ولا ينطبق قرار الوقف على صاحب الشكوى لدخوله إلى الولايات المتحدة ثم كندا بوجه مخالف للقانون.</w:t>
      </w:r>
    </w:p>
  </w:footnote>
  <w:footnote w:id="173">
    <w:p w:rsidR="00D64D4C" w:rsidRPr="00B32542" w:rsidRDefault="00D64D4C" w:rsidP="009E31FC">
      <w:pPr>
        <w:pStyle w:val="FootnoteText"/>
        <w:tabs>
          <w:tab w:val="left" w:pos="1253"/>
        </w:tabs>
        <w:spacing w:after="60" w:line="300" w:lineRule="exact"/>
        <w:ind w:left="1253" w:right="1247" w:hanging="462"/>
        <w:jc w:val="lowKashida"/>
        <w:rPr>
          <w:rFonts w:hint="cs"/>
          <w:spacing w:val="0"/>
          <w:kern w:val="0"/>
          <w:sz w:val="18"/>
          <w:szCs w:val="26"/>
        </w:rPr>
      </w:pPr>
      <w:r>
        <w:rPr>
          <w:rFonts w:hint="cs"/>
          <w:spacing w:val="0"/>
          <w:kern w:val="0"/>
          <w:sz w:val="18"/>
          <w:szCs w:val="26"/>
          <w:rtl/>
        </w:rPr>
        <w:t>(</w:t>
      </w:r>
      <w:r>
        <w:rPr>
          <w:rFonts w:hint="cs"/>
          <w:spacing w:val="0"/>
          <w:kern w:val="0"/>
          <w:sz w:val="26"/>
          <w:szCs w:val="26"/>
          <w:rtl/>
        </w:rPr>
        <w:t>ز</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انظر البلاغ رقم 333/2007، </w:t>
      </w:r>
      <w:r w:rsidRPr="00B32542">
        <w:rPr>
          <w:i/>
          <w:iCs/>
          <w:spacing w:val="0"/>
          <w:kern w:val="0"/>
          <w:sz w:val="18"/>
          <w:szCs w:val="26"/>
          <w:rtl/>
        </w:rPr>
        <w:t>ت. إ. ضد كندا</w:t>
      </w:r>
      <w:r w:rsidRPr="00B32542">
        <w:rPr>
          <w:spacing w:val="0"/>
          <w:kern w:val="0"/>
          <w:sz w:val="18"/>
          <w:szCs w:val="26"/>
          <w:rtl/>
        </w:rPr>
        <w:t>، القرار المعتمد في 15 تشرين الثاني/نوفمبر 2010، الفقرة 6-3.</w:t>
      </w:r>
    </w:p>
  </w:footnote>
  <w:footnote w:id="174">
    <w:p w:rsidR="00D64D4C" w:rsidRPr="00B32542" w:rsidRDefault="00D64D4C" w:rsidP="009E31FC">
      <w:pPr>
        <w:pStyle w:val="FootnoteText"/>
        <w:tabs>
          <w:tab w:val="left" w:pos="1253"/>
        </w:tabs>
        <w:spacing w:after="60" w:line="300" w:lineRule="exact"/>
        <w:ind w:left="1253" w:right="1247" w:hanging="462"/>
        <w:jc w:val="lowKashida"/>
        <w:rPr>
          <w:rFonts w:hint="cs"/>
          <w:spacing w:val="0"/>
          <w:kern w:val="0"/>
          <w:sz w:val="18"/>
          <w:szCs w:val="26"/>
        </w:rPr>
      </w:pPr>
      <w:r>
        <w:rPr>
          <w:rFonts w:hint="cs"/>
          <w:spacing w:val="0"/>
          <w:kern w:val="0"/>
          <w:sz w:val="18"/>
          <w:szCs w:val="26"/>
          <w:rtl/>
        </w:rPr>
        <w:t>(</w:t>
      </w:r>
      <w:r>
        <w:rPr>
          <w:rFonts w:hint="cs"/>
          <w:spacing w:val="0"/>
          <w:kern w:val="0"/>
          <w:sz w:val="26"/>
          <w:szCs w:val="26"/>
          <w:rtl/>
        </w:rPr>
        <w:t>ح</w:t>
      </w:r>
      <w:r>
        <w:rPr>
          <w:rFonts w:hint="cs"/>
          <w:spacing w:val="0"/>
          <w:kern w:val="0"/>
          <w:sz w:val="18"/>
          <w:szCs w:val="26"/>
          <w:rtl/>
        </w:rPr>
        <w:t>)</w:t>
      </w:r>
      <w:r>
        <w:rPr>
          <w:rFonts w:hint="cs"/>
          <w:spacing w:val="0"/>
          <w:kern w:val="0"/>
          <w:sz w:val="18"/>
          <w:szCs w:val="26"/>
          <w:rtl/>
        </w:rPr>
        <w:tab/>
      </w:r>
      <w:r w:rsidRPr="00B32542">
        <w:rPr>
          <w:i/>
          <w:iCs/>
          <w:spacing w:val="0"/>
          <w:kern w:val="0"/>
          <w:sz w:val="18"/>
          <w:szCs w:val="26"/>
          <w:rtl/>
        </w:rPr>
        <w:t>الوثائق الرسمية لل</w:t>
      </w:r>
      <w:r w:rsidRPr="00B32542">
        <w:rPr>
          <w:rFonts w:hint="cs"/>
          <w:i/>
          <w:iCs/>
          <w:spacing w:val="0"/>
          <w:kern w:val="0"/>
          <w:sz w:val="18"/>
          <w:szCs w:val="26"/>
          <w:rtl/>
        </w:rPr>
        <w:t>ج</w:t>
      </w:r>
      <w:r w:rsidRPr="00B32542">
        <w:rPr>
          <w:i/>
          <w:iCs/>
          <w:spacing w:val="0"/>
          <w:kern w:val="0"/>
          <w:sz w:val="18"/>
          <w:szCs w:val="26"/>
          <w:rtl/>
        </w:rPr>
        <w:t>معية العامة، الدورة الثالثة والخمسون، الملحق رقم 44</w:t>
      </w:r>
      <w:r w:rsidRPr="00B32542">
        <w:rPr>
          <w:spacing w:val="0"/>
          <w:kern w:val="0"/>
          <w:sz w:val="18"/>
          <w:szCs w:val="26"/>
          <w:rtl/>
        </w:rPr>
        <w:t xml:space="preserve"> (</w:t>
      </w:r>
      <w:r w:rsidRPr="00B32542">
        <w:rPr>
          <w:spacing w:val="0"/>
          <w:kern w:val="0"/>
          <w:sz w:val="18"/>
          <w:szCs w:val="26"/>
        </w:rPr>
        <w:t>A/53/44</w:t>
      </w:r>
      <w:r w:rsidRPr="00B32542">
        <w:rPr>
          <w:rFonts w:hint="cs"/>
          <w:spacing w:val="0"/>
          <w:kern w:val="0"/>
          <w:sz w:val="18"/>
          <w:szCs w:val="26"/>
          <w:rtl/>
        </w:rPr>
        <w:t xml:space="preserve"> و</w:t>
      </w:r>
      <w:r w:rsidRPr="00B32542">
        <w:rPr>
          <w:spacing w:val="0"/>
          <w:kern w:val="0"/>
          <w:sz w:val="18"/>
          <w:szCs w:val="26"/>
        </w:rPr>
        <w:t>Corr.1</w:t>
      </w:r>
      <w:r w:rsidRPr="00B32542">
        <w:rPr>
          <w:spacing w:val="0"/>
          <w:kern w:val="0"/>
          <w:sz w:val="18"/>
          <w:szCs w:val="26"/>
          <w:rtl/>
        </w:rPr>
        <w:t>).</w:t>
      </w:r>
    </w:p>
  </w:footnote>
  <w:footnote w:id="175">
    <w:p w:rsidR="00D64D4C" w:rsidRPr="00B32542" w:rsidRDefault="00D64D4C" w:rsidP="009E31FC">
      <w:pPr>
        <w:pStyle w:val="FootnoteText"/>
        <w:tabs>
          <w:tab w:val="left" w:pos="1253"/>
        </w:tabs>
        <w:spacing w:after="60" w:line="300" w:lineRule="exact"/>
        <w:ind w:left="1253" w:right="1247" w:hanging="504"/>
        <w:jc w:val="lowKashida"/>
        <w:rPr>
          <w:rFonts w:hint="cs"/>
          <w:spacing w:val="0"/>
          <w:kern w:val="0"/>
          <w:sz w:val="18"/>
          <w:szCs w:val="26"/>
        </w:rPr>
      </w:pPr>
      <w:r>
        <w:rPr>
          <w:rFonts w:hint="cs"/>
          <w:spacing w:val="0"/>
          <w:kern w:val="0"/>
          <w:sz w:val="18"/>
          <w:szCs w:val="26"/>
          <w:rtl/>
        </w:rPr>
        <w:t>(</w:t>
      </w:r>
      <w:r>
        <w:rPr>
          <w:rFonts w:hint="cs"/>
          <w:spacing w:val="0"/>
          <w:kern w:val="0"/>
          <w:sz w:val="26"/>
          <w:szCs w:val="26"/>
          <w:rtl/>
        </w:rPr>
        <w:t>ط</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انظر البلاغ رقم 374/2009، </w:t>
      </w:r>
      <w:r w:rsidRPr="00B32542">
        <w:rPr>
          <w:i/>
          <w:iCs/>
          <w:spacing w:val="0"/>
          <w:kern w:val="0"/>
          <w:sz w:val="18"/>
          <w:szCs w:val="26"/>
          <w:rtl/>
        </w:rPr>
        <w:t>س. م. وآخرون ضد السويد</w:t>
      </w:r>
      <w:r w:rsidRPr="00B32542">
        <w:rPr>
          <w:spacing w:val="0"/>
          <w:kern w:val="0"/>
          <w:sz w:val="18"/>
          <w:szCs w:val="26"/>
          <w:rtl/>
        </w:rPr>
        <w:t>، القرار المعتمد في 21 تشرين الثاني/نوفمبر 2011، الفقرة 9-7.</w:t>
      </w:r>
    </w:p>
  </w:footnote>
  <w:footnote w:id="176">
    <w:p w:rsidR="00D64D4C" w:rsidRPr="00B32542" w:rsidRDefault="00D64D4C" w:rsidP="00B32542">
      <w:pPr>
        <w:pStyle w:val="FootnoteText"/>
        <w:tabs>
          <w:tab w:val="left" w:pos="1253"/>
        </w:tabs>
        <w:spacing w:after="60" w:line="300" w:lineRule="exact"/>
        <w:ind w:left="1253" w:right="1247" w:hanging="490"/>
        <w:jc w:val="lowKashida"/>
        <w:rPr>
          <w:rFonts w:hint="cs"/>
          <w:spacing w:val="-2"/>
          <w:kern w:val="0"/>
          <w:sz w:val="18"/>
          <w:szCs w:val="26"/>
        </w:rPr>
      </w:pPr>
      <w:r w:rsidRPr="00B32542">
        <w:rPr>
          <w:rFonts w:hint="cs"/>
          <w:spacing w:val="-2"/>
          <w:kern w:val="0"/>
          <w:sz w:val="18"/>
          <w:szCs w:val="26"/>
          <w:rtl/>
        </w:rPr>
        <w:t>(</w:t>
      </w:r>
      <w:r w:rsidRPr="00B32542">
        <w:rPr>
          <w:rFonts w:hint="cs"/>
          <w:spacing w:val="-2"/>
          <w:kern w:val="0"/>
          <w:sz w:val="26"/>
          <w:szCs w:val="26"/>
          <w:rtl/>
        </w:rPr>
        <w:t>ي</w:t>
      </w:r>
      <w:r w:rsidRPr="00B32542">
        <w:rPr>
          <w:rFonts w:hint="cs"/>
          <w:spacing w:val="-2"/>
          <w:kern w:val="0"/>
          <w:sz w:val="18"/>
          <w:szCs w:val="26"/>
          <w:rtl/>
        </w:rPr>
        <w:t>)</w:t>
      </w:r>
      <w:r w:rsidRPr="00B32542">
        <w:rPr>
          <w:rFonts w:hint="cs"/>
          <w:spacing w:val="-2"/>
          <w:kern w:val="0"/>
          <w:sz w:val="18"/>
          <w:szCs w:val="26"/>
          <w:rtl/>
        </w:rPr>
        <w:tab/>
        <w:t xml:space="preserve">انظر البلاغ رقم 338/2008، </w:t>
      </w:r>
      <w:r w:rsidRPr="00B32542">
        <w:rPr>
          <w:rFonts w:hint="cs"/>
          <w:i/>
          <w:iCs/>
          <w:spacing w:val="-2"/>
          <w:kern w:val="0"/>
          <w:sz w:val="18"/>
          <w:szCs w:val="26"/>
          <w:rtl/>
        </w:rPr>
        <w:t>موندال ضد السويد</w:t>
      </w:r>
      <w:r w:rsidRPr="00B32542">
        <w:rPr>
          <w:rFonts w:hint="cs"/>
          <w:spacing w:val="-2"/>
          <w:kern w:val="0"/>
          <w:sz w:val="18"/>
          <w:szCs w:val="26"/>
          <w:rtl/>
        </w:rPr>
        <w:t>، القرار المعتمد في 23 أيار/مايو 2011، الفقرة 7-4.</w:t>
      </w:r>
    </w:p>
  </w:footnote>
  <w:footnote w:id="177">
    <w:p w:rsidR="00D64D4C" w:rsidRPr="00B32542" w:rsidRDefault="00D64D4C" w:rsidP="00921F02">
      <w:pPr>
        <w:pStyle w:val="FootnoteText"/>
        <w:numPr>
          <w:ilvl w:val="0"/>
          <w:numId w:val="35"/>
        </w:numPr>
        <w:spacing w:after="60" w:line="300" w:lineRule="exact"/>
        <w:ind w:right="1247"/>
        <w:jc w:val="lowKashida"/>
        <w:rPr>
          <w:rFonts w:hint="cs"/>
          <w:spacing w:val="0"/>
          <w:kern w:val="0"/>
          <w:sz w:val="18"/>
          <w:szCs w:val="26"/>
        </w:rPr>
      </w:pPr>
      <w:r w:rsidRPr="00B32542">
        <w:rPr>
          <w:spacing w:val="0"/>
          <w:kern w:val="0"/>
          <w:sz w:val="18"/>
          <w:szCs w:val="26"/>
          <w:rtl/>
        </w:rPr>
        <w:t>حرصا</w:t>
      </w:r>
      <w:r w:rsidRPr="00B32542">
        <w:rPr>
          <w:rFonts w:hint="cs"/>
          <w:spacing w:val="0"/>
          <w:kern w:val="0"/>
          <w:sz w:val="18"/>
          <w:szCs w:val="26"/>
          <w:rtl/>
        </w:rPr>
        <w:t>ً</w:t>
      </w:r>
      <w:r w:rsidRPr="00B32542">
        <w:rPr>
          <w:spacing w:val="0"/>
          <w:kern w:val="0"/>
          <w:sz w:val="18"/>
          <w:szCs w:val="26"/>
          <w:rtl/>
        </w:rPr>
        <w:t xml:space="preserve"> على عرض الوقائع عرضا</w:t>
      </w:r>
      <w:r w:rsidRPr="00B32542">
        <w:rPr>
          <w:rFonts w:hint="cs"/>
          <w:spacing w:val="0"/>
          <w:kern w:val="0"/>
          <w:sz w:val="18"/>
          <w:szCs w:val="26"/>
          <w:rtl/>
        </w:rPr>
        <w:t>ً</w:t>
      </w:r>
      <w:r w:rsidRPr="00B32542">
        <w:rPr>
          <w:spacing w:val="0"/>
          <w:kern w:val="0"/>
          <w:sz w:val="18"/>
          <w:szCs w:val="26"/>
          <w:rtl/>
        </w:rPr>
        <w:t xml:space="preserve"> كاملا</w:t>
      </w:r>
      <w:r w:rsidRPr="00B32542">
        <w:rPr>
          <w:rFonts w:hint="cs"/>
          <w:spacing w:val="0"/>
          <w:kern w:val="0"/>
          <w:sz w:val="18"/>
          <w:szCs w:val="26"/>
          <w:rtl/>
        </w:rPr>
        <w:t>ً</w:t>
      </w:r>
      <w:r w:rsidRPr="00B32542">
        <w:rPr>
          <w:spacing w:val="0"/>
          <w:kern w:val="0"/>
          <w:sz w:val="18"/>
          <w:szCs w:val="26"/>
          <w:rtl/>
        </w:rPr>
        <w:t xml:space="preserve"> ومتسقا</w:t>
      </w:r>
      <w:r w:rsidRPr="00B32542">
        <w:rPr>
          <w:rFonts w:hint="cs"/>
          <w:spacing w:val="0"/>
          <w:kern w:val="0"/>
          <w:sz w:val="18"/>
          <w:szCs w:val="26"/>
          <w:rtl/>
        </w:rPr>
        <w:t>ً</w:t>
      </w:r>
      <w:r w:rsidRPr="00B32542">
        <w:rPr>
          <w:spacing w:val="0"/>
          <w:kern w:val="0"/>
          <w:sz w:val="18"/>
          <w:szCs w:val="26"/>
          <w:rtl/>
        </w:rPr>
        <w:t xml:space="preserve"> قدر الإمكان، تم الاستناد في هذا الجزء إلى رسائل صاحبة الشكوى و</w:t>
      </w:r>
      <w:r w:rsidRPr="00B32542">
        <w:rPr>
          <w:rFonts w:hint="cs"/>
          <w:spacing w:val="0"/>
          <w:kern w:val="0"/>
          <w:sz w:val="18"/>
          <w:szCs w:val="26"/>
          <w:rtl/>
        </w:rPr>
        <w:t xml:space="preserve">إلى </w:t>
      </w:r>
      <w:r w:rsidRPr="00B32542">
        <w:rPr>
          <w:spacing w:val="0"/>
          <w:kern w:val="0"/>
          <w:sz w:val="18"/>
          <w:szCs w:val="26"/>
          <w:rtl/>
        </w:rPr>
        <w:t>القرارات القضائية الصادرة بشأنها</w:t>
      </w:r>
      <w:r w:rsidRPr="00B32542">
        <w:rPr>
          <w:rFonts w:hint="cs"/>
          <w:spacing w:val="0"/>
          <w:kern w:val="0"/>
          <w:sz w:val="18"/>
          <w:szCs w:val="26"/>
          <w:rtl/>
        </w:rPr>
        <w:t>.</w:t>
      </w:r>
    </w:p>
  </w:footnote>
  <w:footnote w:id="178">
    <w:p w:rsidR="00D64D4C" w:rsidRPr="00B32542" w:rsidRDefault="00D64D4C" w:rsidP="00CF3B71">
      <w:pPr>
        <w:pStyle w:val="FootnoteText"/>
        <w:numPr>
          <w:ilvl w:val="0"/>
          <w:numId w:val="35"/>
        </w:numPr>
        <w:tabs>
          <w:tab w:val="clear" w:pos="1292"/>
        </w:tabs>
        <w:spacing w:after="60" w:line="300" w:lineRule="exact"/>
        <w:ind w:left="1247" w:right="1247"/>
        <w:jc w:val="lowKashida"/>
        <w:rPr>
          <w:spacing w:val="0"/>
          <w:kern w:val="0"/>
          <w:sz w:val="18"/>
          <w:szCs w:val="26"/>
          <w:rtl/>
        </w:rPr>
      </w:pPr>
      <w:r w:rsidRPr="00B32542">
        <w:rPr>
          <w:spacing w:val="0"/>
          <w:kern w:val="0"/>
          <w:sz w:val="18"/>
          <w:szCs w:val="26"/>
          <w:rtl/>
        </w:rPr>
        <w:t>العدد رقم 47 (</w:t>
      </w:r>
      <w:r w:rsidRPr="00B32542">
        <w:rPr>
          <w:rFonts w:hint="cs"/>
          <w:spacing w:val="0"/>
          <w:kern w:val="0"/>
          <w:sz w:val="18"/>
          <w:szCs w:val="26"/>
          <w:rtl/>
        </w:rPr>
        <w:t xml:space="preserve">من </w:t>
      </w:r>
      <w:r w:rsidRPr="00B32542">
        <w:rPr>
          <w:spacing w:val="0"/>
          <w:kern w:val="0"/>
          <w:sz w:val="18"/>
          <w:szCs w:val="26"/>
          <w:rtl/>
        </w:rPr>
        <w:t>25 نيسان/أبريل إلى 10 أيار/مايو 2005)</w:t>
      </w:r>
      <w:r w:rsidRPr="00B32542">
        <w:rPr>
          <w:rFonts w:hint="cs"/>
          <w:spacing w:val="0"/>
          <w:kern w:val="0"/>
          <w:sz w:val="18"/>
          <w:szCs w:val="26"/>
          <w:rtl/>
        </w:rPr>
        <w:t>.</w:t>
      </w:r>
    </w:p>
  </w:footnote>
  <w:footnote w:id="179">
    <w:p w:rsidR="00D64D4C" w:rsidRPr="00B32542" w:rsidRDefault="00D64D4C" w:rsidP="00B32542">
      <w:pPr>
        <w:pStyle w:val="FootnoteText"/>
        <w:numPr>
          <w:ilvl w:val="0"/>
          <w:numId w:val="35"/>
        </w:numPr>
        <w:tabs>
          <w:tab w:val="clear" w:pos="1292"/>
        </w:tabs>
        <w:spacing w:after="60" w:line="300" w:lineRule="exact"/>
        <w:ind w:left="1247" w:right="1247"/>
        <w:jc w:val="lowKashida"/>
        <w:rPr>
          <w:spacing w:val="-2"/>
          <w:kern w:val="0"/>
          <w:sz w:val="18"/>
          <w:szCs w:val="26"/>
          <w:rtl/>
        </w:rPr>
      </w:pPr>
      <w:r w:rsidRPr="00B32542">
        <w:rPr>
          <w:spacing w:val="-2"/>
          <w:kern w:val="0"/>
          <w:sz w:val="18"/>
          <w:szCs w:val="26"/>
        </w:rPr>
        <w:t>A/53/44</w:t>
      </w:r>
      <w:r w:rsidRPr="00B32542">
        <w:rPr>
          <w:rFonts w:hint="cs"/>
          <w:spacing w:val="-2"/>
          <w:kern w:val="0"/>
          <w:sz w:val="18"/>
          <w:szCs w:val="26"/>
          <w:rtl/>
        </w:rPr>
        <w:t xml:space="preserve"> و</w:t>
      </w:r>
      <w:r w:rsidRPr="00B32542">
        <w:rPr>
          <w:spacing w:val="-2"/>
          <w:kern w:val="0"/>
          <w:sz w:val="18"/>
          <w:szCs w:val="26"/>
        </w:rPr>
        <w:t>Corr.1</w:t>
      </w:r>
      <w:r w:rsidRPr="00B32542">
        <w:rPr>
          <w:spacing w:val="-2"/>
          <w:kern w:val="0"/>
          <w:sz w:val="18"/>
          <w:szCs w:val="26"/>
          <w:rtl/>
        </w:rPr>
        <w:t>، المرفق التاسع (21 تشرين الثاني/نوفمبر 1997). وتشير الدولة الطرف أيضا</w:t>
      </w:r>
      <w:r w:rsidRPr="00B32542">
        <w:rPr>
          <w:rFonts w:hint="cs"/>
          <w:spacing w:val="-2"/>
          <w:kern w:val="0"/>
          <w:sz w:val="18"/>
          <w:szCs w:val="26"/>
          <w:rtl/>
        </w:rPr>
        <w:t>ً</w:t>
      </w:r>
      <w:r w:rsidRPr="00B32542">
        <w:rPr>
          <w:spacing w:val="-2"/>
          <w:kern w:val="0"/>
          <w:sz w:val="18"/>
          <w:szCs w:val="26"/>
          <w:rtl/>
        </w:rPr>
        <w:t xml:space="preserve"> إلى البلاغ</w:t>
      </w:r>
      <w:r w:rsidRPr="00B32542">
        <w:rPr>
          <w:rFonts w:hint="cs"/>
          <w:spacing w:val="-2"/>
          <w:kern w:val="0"/>
          <w:sz w:val="18"/>
          <w:szCs w:val="26"/>
          <w:rtl/>
        </w:rPr>
        <w:t>ين</w:t>
      </w:r>
      <w:r w:rsidRPr="00B32542">
        <w:rPr>
          <w:spacing w:val="-2"/>
          <w:kern w:val="0"/>
          <w:sz w:val="18"/>
          <w:szCs w:val="26"/>
          <w:rtl/>
        </w:rPr>
        <w:t xml:space="preserve"> رقم 94/1997، </w:t>
      </w:r>
      <w:r w:rsidRPr="00B32542">
        <w:rPr>
          <w:i/>
          <w:iCs/>
          <w:spacing w:val="-2"/>
          <w:kern w:val="0"/>
          <w:sz w:val="18"/>
          <w:szCs w:val="26"/>
          <w:rtl/>
        </w:rPr>
        <w:t>ك.ن. ضد سويسرا</w:t>
      </w:r>
      <w:r w:rsidRPr="00B32542">
        <w:rPr>
          <w:spacing w:val="-2"/>
          <w:kern w:val="0"/>
          <w:sz w:val="18"/>
          <w:szCs w:val="26"/>
          <w:rtl/>
        </w:rPr>
        <w:t xml:space="preserve"> (</w:t>
      </w:r>
      <w:r w:rsidRPr="00B32542">
        <w:rPr>
          <w:rFonts w:hint="cs"/>
          <w:spacing w:val="-2"/>
          <w:kern w:val="0"/>
          <w:sz w:val="18"/>
          <w:szCs w:val="26"/>
          <w:rtl/>
        </w:rPr>
        <w:t>ال</w:t>
      </w:r>
      <w:r w:rsidRPr="00B32542">
        <w:rPr>
          <w:spacing w:val="-2"/>
          <w:kern w:val="0"/>
          <w:sz w:val="18"/>
          <w:szCs w:val="26"/>
          <w:rtl/>
        </w:rPr>
        <w:t xml:space="preserve">آراء </w:t>
      </w:r>
      <w:r w:rsidRPr="00B32542">
        <w:rPr>
          <w:rFonts w:hint="cs"/>
          <w:spacing w:val="-2"/>
          <w:kern w:val="0"/>
          <w:sz w:val="18"/>
          <w:szCs w:val="26"/>
          <w:rtl/>
        </w:rPr>
        <w:t>ال</w:t>
      </w:r>
      <w:r w:rsidRPr="00B32542">
        <w:rPr>
          <w:spacing w:val="-2"/>
          <w:kern w:val="0"/>
          <w:sz w:val="18"/>
          <w:szCs w:val="26"/>
          <w:rtl/>
        </w:rPr>
        <w:t xml:space="preserve">معتمدة في 19 أيار/مايو 1998) ورقم 100/1997، </w:t>
      </w:r>
      <w:r w:rsidRPr="00B32542">
        <w:rPr>
          <w:i/>
          <w:iCs/>
          <w:spacing w:val="-2"/>
          <w:kern w:val="0"/>
          <w:sz w:val="18"/>
          <w:szCs w:val="26"/>
          <w:rtl/>
        </w:rPr>
        <w:t>ج.</w:t>
      </w:r>
      <w:r>
        <w:rPr>
          <w:rFonts w:hint="eastAsia"/>
          <w:i/>
          <w:iCs/>
          <w:spacing w:val="-2"/>
          <w:kern w:val="0"/>
          <w:sz w:val="18"/>
          <w:szCs w:val="26"/>
          <w:rtl/>
        </w:rPr>
        <w:t> </w:t>
      </w:r>
      <w:r w:rsidRPr="00B32542">
        <w:rPr>
          <w:i/>
          <w:iCs/>
          <w:spacing w:val="-2"/>
          <w:kern w:val="0"/>
          <w:sz w:val="18"/>
          <w:szCs w:val="26"/>
          <w:rtl/>
        </w:rPr>
        <w:t>ي.</w:t>
      </w:r>
      <w:r w:rsidRPr="00B32542">
        <w:rPr>
          <w:rFonts w:hint="cs"/>
          <w:i/>
          <w:iCs/>
          <w:spacing w:val="-2"/>
          <w:kern w:val="0"/>
          <w:sz w:val="18"/>
          <w:szCs w:val="26"/>
          <w:rtl/>
        </w:rPr>
        <w:t xml:space="preserve"> </w:t>
      </w:r>
      <w:r w:rsidRPr="00B32542">
        <w:rPr>
          <w:i/>
          <w:iCs/>
          <w:spacing w:val="-2"/>
          <w:kern w:val="0"/>
          <w:sz w:val="18"/>
          <w:szCs w:val="26"/>
          <w:rtl/>
        </w:rPr>
        <w:t>أ</w:t>
      </w:r>
      <w:r w:rsidRPr="00B32542">
        <w:rPr>
          <w:rFonts w:hint="cs"/>
          <w:i/>
          <w:iCs/>
          <w:spacing w:val="-2"/>
          <w:kern w:val="0"/>
          <w:sz w:val="18"/>
          <w:szCs w:val="26"/>
          <w:rtl/>
        </w:rPr>
        <w:t>.</w:t>
      </w:r>
      <w:r w:rsidRPr="00B32542">
        <w:rPr>
          <w:i/>
          <w:iCs/>
          <w:spacing w:val="-2"/>
          <w:kern w:val="0"/>
          <w:sz w:val="18"/>
          <w:szCs w:val="26"/>
          <w:rtl/>
        </w:rPr>
        <w:t xml:space="preserve"> ضد سويسرا</w:t>
      </w:r>
      <w:r w:rsidRPr="00B32542">
        <w:rPr>
          <w:spacing w:val="-2"/>
          <w:kern w:val="0"/>
          <w:sz w:val="18"/>
          <w:szCs w:val="26"/>
          <w:rtl/>
        </w:rPr>
        <w:t xml:space="preserve"> (</w:t>
      </w:r>
      <w:r w:rsidRPr="00B32542">
        <w:rPr>
          <w:rFonts w:hint="cs"/>
          <w:spacing w:val="-2"/>
          <w:kern w:val="0"/>
          <w:sz w:val="18"/>
          <w:szCs w:val="26"/>
          <w:rtl/>
        </w:rPr>
        <w:t>ال</w:t>
      </w:r>
      <w:r w:rsidRPr="00B32542">
        <w:rPr>
          <w:spacing w:val="-2"/>
          <w:kern w:val="0"/>
          <w:sz w:val="18"/>
          <w:szCs w:val="26"/>
          <w:rtl/>
        </w:rPr>
        <w:t xml:space="preserve">آراء </w:t>
      </w:r>
      <w:r w:rsidRPr="00B32542">
        <w:rPr>
          <w:rFonts w:hint="cs"/>
          <w:spacing w:val="-2"/>
          <w:kern w:val="0"/>
          <w:sz w:val="18"/>
          <w:szCs w:val="26"/>
          <w:rtl/>
        </w:rPr>
        <w:t>ال</w:t>
      </w:r>
      <w:r w:rsidRPr="00B32542">
        <w:rPr>
          <w:spacing w:val="-2"/>
          <w:kern w:val="0"/>
          <w:sz w:val="18"/>
          <w:szCs w:val="26"/>
          <w:rtl/>
        </w:rPr>
        <w:t>معتمدة في 10 تشرين الثاني/نوفمبر 1998).</w:t>
      </w:r>
    </w:p>
  </w:footnote>
  <w:footnote w:id="180">
    <w:p w:rsidR="00D64D4C" w:rsidRPr="00B32542" w:rsidRDefault="00D64D4C" w:rsidP="00CF3B71">
      <w:pPr>
        <w:pStyle w:val="FootnoteText"/>
        <w:numPr>
          <w:ilvl w:val="0"/>
          <w:numId w:val="35"/>
        </w:numPr>
        <w:tabs>
          <w:tab w:val="clear" w:pos="1292"/>
        </w:tabs>
        <w:spacing w:line="300" w:lineRule="exact"/>
        <w:ind w:left="1248" w:right="1247"/>
        <w:jc w:val="lowKashida"/>
        <w:rPr>
          <w:spacing w:val="0"/>
          <w:kern w:val="0"/>
          <w:sz w:val="18"/>
          <w:szCs w:val="26"/>
          <w:rtl/>
        </w:rPr>
      </w:pPr>
      <w:r w:rsidRPr="00B32542">
        <w:rPr>
          <w:spacing w:val="0"/>
          <w:kern w:val="0"/>
          <w:sz w:val="18"/>
          <w:szCs w:val="26"/>
          <w:rtl/>
        </w:rPr>
        <w:t>تنص المادة 14</w:t>
      </w:r>
      <w:r>
        <w:rPr>
          <w:rFonts w:hint="cs"/>
          <w:spacing w:val="0"/>
          <w:kern w:val="0"/>
          <w:sz w:val="18"/>
          <w:szCs w:val="26"/>
          <w:rtl/>
        </w:rPr>
        <w:t>(2)</w:t>
      </w:r>
      <w:r w:rsidRPr="00B32542">
        <w:rPr>
          <w:spacing w:val="0"/>
          <w:kern w:val="0"/>
          <w:sz w:val="18"/>
          <w:szCs w:val="26"/>
          <w:rtl/>
        </w:rPr>
        <w:t xml:space="preserve"> من قانون اللجوء الاتحادي (26 حزيران/يونيه 1998) على ما</w:t>
      </w:r>
      <w:r w:rsidRPr="00B32542">
        <w:rPr>
          <w:rFonts w:hint="cs"/>
          <w:spacing w:val="0"/>
          <w:kern w:val="0"/>
          <w:sz w:val="18"/>
          <w:szCs w:val="26"/>
          <w:rtl/>
        </w:rPr>
        <w:t xml:space="preserve"> </w:t>
      </w:r>
      <w:r w:rsidRPr="00B32542">
        <w:rPr>
          <w:spacing w:val="0"/>
          <w:kern w:val="0"/>
          <w:sz w:val="18"/>
          <w:szCs w:val="26"/>
          <w:rtl/>
        </w:rPr>
        <w:t>يلي:</w:t>
      </w:r>
    </w:p>
    <w:p w:rsidR="00D64D4C" w:rsidRPr="00B32542" w:rsidRDefault="00D64D4C" w:rsidP="002C2A9D">
      <w:pPr>
        <w:pStyle w:val="FootnoteText"/>
        <w:tabs>
          <w:tab w:val="left" w:pos="1538"/>
        </w:tabs>
        <w:spacing w:line="300" w:lineRule="exact"/>
        <w:ind w:left="1253" w:right="1247" w:hanging="11"/>
        <w:jc w:val="lowKashida"/>
        <w:rPr>
          <w:rFonts w:hint="cs"/>
          <w:spacing w:val="0"/>
          <w:kern w:val="0"/>
          <w:sz w:val="18"/>
          <w:szCs w:val="26"/>
          <w:rtl/>
        </w:rPr>
      </w:pPr>
      <w:r w:rsidRPr="00B32542">
        <w:rPr>
          <w:rFonts w:hint="cs"/>
          <w:spacing w:val="0"/>
          <w:kern w:val="0"/>
          <w:sz w:val="18"/>
          <w:szCs w:val="26"/>
          <w:rtl/>
        </w:rPr>
        <w:tab/>
      </w:r>
      <w:r w:rsidRPr="00B32542">
        <w:rPr>
          <w:rFonts w:hint="cs"/>
          <w:spacing w:val="0"/>
          <w:kern w:val="0"/>
          <w:sz w:val="18"/>
          <w:szCs w:val="26"/>
          <w:rtl/>
        </w:rPr>
        <w:tab/>
      </w:r>
      <w:r>
        <w:rPr>
          <w:spacing w:val="0"/>
          <w:kern w:val="0"/>
          <w:sz w:val="18"/>
          <w:szCs w:val="26"/>
          <w:rtl/>
        </w:rPr>
        <w:t>"</w:t>
      </w:r>
      <w:r w:rsidRPr="00B32542">
        <w:rPr>
          <w:spacing w:val="0"/>
          <w:kern w:val="0"/>
          <w:sz w:val="18"/>
          <w:szCs w:val="26"/>
          <w:rtl/>
        </w:rPr>
        <w:t>يجوز للمقاطعة، رهنا</w:t>
      </w:r>
      <w:r w:rsidRPr="00B32542">
        <w:rPr>
          <w:rFonts w:hint="cs"/>
          <w:spacing w:val="0"/>
          <w:kern w:val="0"/>
          <w:sz w:val="18"/>
          <w:szCs w:val="26"/>
          <w:rtl/>
        </w:rPr>
        <w:t>ً</w:t>
      </w:r>
      <w:r w:rsidRPr="00B32542">
        <w:rPr>
          <w:spacing w:val="0"/>
          <w:kern w:val="0"/>
          <w:sz w:val="18"/>
          <w:szCs w:val="26"/>
          <w:rtl/>
        </w:rPr>
        <w:t xml:space="preserve"> بموافقة المكتب الاتحادي، منح تصريح إقامة لكل شخص يخوله هذا القانون ذلك، وفقا</w:t>
      </w:r>
      <w:r w:rsidRPr="00B32542">
        <w:rPr>
          <w:rFonts w:hint="cs"/>
          <w:spacing w:val="0"/>
          <w:kern w:val="0"/>
          <w:sz w:val="18"/>
          <w:szCs w:val="26"/>
          <w:rtl/>
        </w:rPr>
        <w:t>ً</w:t>
      </w:r>
      <w:r w:rsidRPr="00B32542">
        <w:rPr>
          <w:spacing w:val="0"/>
          <w:kern w:val="0"/>
          <w:sz w:val="18"/>
          <w:szCs w:val="26"/>
          <w:rtl/>
        </w:rPr>
        <w:t xml:space="preserve"> للشروط التالية:</w:t>
      </w:r>
    </w:p>
    <w:p w:rsidR="00D64D4C" w:rsidRPr="00B32542" w:rsidRDefault="00D64D4C" w:rsidP="002C2A9D">
      <w:pPr>
        <w:tabs>
          <w:tab w:val="left" w:pos="1538"/>
        </w:tabs>
        <w:spacing w:line="300" w:lineRule="exact"/>
        <w:ind w:left="2036" w:right="1247" w:hanging="794"/>
        <w:jc w:val="lowKashida"/>
        <w:rPr>
          <w:rFonts w:hint="cs"/>
          <w:spacing w:val="0"/>
          <w:kern w:val="0"/>
          <w:sz w:val="18"/>
          <w:szCs w:val="26"/>
        </w:rPr>
      </w:pPr>
      <w:r w:rsidRPr="00B32542">
        <w:rPr>
          <w:rFonts w:hint="cs"/>
          <w:spacing w:val="0"/>
          <w:kern w:val="0"/>
          <w:sz w:val="18"/>
          <w:szCs w:val="26"/>
          <w:rtl/>
        </w:rPr>
        <w:tab/>
      </w:r>
      <w:r w:rsidRPr="00B32542">
        <w:rPr>
          <w:spacing w:val="0"/>
          <w:kern w:val="0"/>
          <w:sz w:val="18"/>
          <w:szCs w:val="26"/>
          <w:rtl/>
        </w:rPr>
        <w:t>(أ)</w:t>
      </w:r>
      <w:r w:rsidRPr="00B32542">
        <w:rPr>
          <w:rFonts w:hint="cs"/>
          <w:spacing w:val="0"/>
          <w:kern w:val="0"/>
          <w:sz w:val="18"/>
          <w:szCs w:val="26"/>
          <w:rtl/>
        </w:rPr>
        <w:tab/>
      </w:r>
      <w:r w:rsidRPr="00B32542">
        <w:rPr>
          <w:spacing w:val="0"/>
          <w:kern w:val="0"/>
          <w:sz w:val="18"/>
          <w:szCs w:val="26"/>
          <w:rtl/>
        </w:rPr>
        <w:t>إذا كان الشخص المعني قد مضى على إقامته في سويسرا خمس سنوات على الأقل من تاريخ تقديم طلب اللجوء؛</w:t>
      </w:r>
    </w:p>
    <w:p w:rsidR="00D64D4C" w:rsidRPr="00B32542" w:rsidRDefault="00D64D4C" w:rsidP="002C2A9D">
      <w:pPr>
        <w:tabs>
          <w:tab w:val="left" w:pos="1538"/>
        </w:tabs>
        <w:spacing w:line="300" w:lineRule="exact"/>
        <w:ind w:left="2036" w:right="1247" w:hanging="794"/>
        <w:jc w:val="lowKashida"/>
        <w:rPr>
          <w:spacing w:val="0"/>
          <w:kern w:val="0"/>
          <w:sz w:val="18"/>
          <w:szCs w:val="26"/>
        </w:rPr>
      </w:pPr>
      <w:r w:rsidRPr="00B32542">
        <w:rPr>
          <w:rFonts w:hint="cs"/>
          <w:spacing w:val="0"/>
          <w:kern w:val="0"/>
          <w:sz w:val="18"/>
          <w:szCs w:val="26"/>
          <w:rtl/>
        </w:rPr>
        <w:tab/>
      </w:r>
      <w:r w:rsidRPr="00B32542">
        <w:rPr>
          <w:spacing w:val="0"/>
          <w:kern w:val="0"/>
          <w:sz w:val="18"/>
          <w:szCs w:val="26"/>
          <w:rtl/>
        </w:rPr>
        <w:t>(ب)</w:t>
      </w:r>
      <w:r w:rsidRPr="00B32542">
        <w:rPr>
          <w:rFonts w:hint="cs"/>
          <w:spacing w:val="0"/>
          <w:kern w:val="0"/>
          <w:sz w:val="18"/>
          <w:szCs w:val="26"/>
          <w:rtl/>
        </w:rPr>
        <w:tab/>
      </w:r>
      <w:r w:rsidRPr="00B32542">
        <w:rPr>
          <w:spacing w:val="0"/>
          <w:kern w:val="0"/>
          <w:sz w:val="18"/>
          <w:szCs w:val="26"/>
          <w:rtl/>
        </w:rPr>
        <w:t xml:space="preserve">إذا كانت السلطات تعلم منذ البداية بمكان إقامة الشخص المعني؛ </w:t>
      </w:r>
    </w:p>
    <w:p w:rsidR="00D64D4C" w:rsidRPr="00B32542" w:rsidRDefault="00D64D4C" w:rsidP="002C2A9D">
      <w:pPr>
        <w:pStyle w:val="FootnoteText"/>
        <w:tabs>
          <w:tab w:val="left" w:pos="1538"/>
        </w:tabs>
        <w:spacing w:after="60" w:line="300" w:lineRule="exact"/>
        <w:ind w:left="2037" w:right="1247" w:hanging="795"/>
        <w:jc w:val="lowKashida"/>
        <w:rPr>
          <w:rFonts w:hint="cs"/>
          <w:spacing w:val="0"/>
          <w:kern w:val="0"/>
          <w:sz w:val="18"/>
          <w:szCs w:val="26"/>
          <w:rtl/>
        </w:rPr>
      </w:pPr>
      <w:r w:rsidRPr="00B32542">
        <w:rPr>
          <w:rFonts w:hint="cs"/>
          <w:spacing w:val="0"/>
          <w:kern w:val="0"/>
          <w:sz w:val="18"/>
          <w:szCs w:val="26"/>
          <w:rtl/>
        </w:rPr>
        <w:tab/>
      </w:r>
      <w:r w:rsidRPr="00B32542">
        <w:rPr>
          <w:spacing w:val="0"/>
          <w:kern w:val="0"/>
          <w:sz w:val="18"/>
          <w:szCs w:val="26"/>
          <w:rtl/>
        </w:rPr>
        <w:t>(ج)</w:t>
      </w:r>
      <w:r w:rsidRPr="00B32542">
        <w:rPr>
          <w:rFonts w:hint="cs"/>
          <w:spacing w:val="0"/>
          <w:kern w:val="0"/>
          <w:sz w:val="18"/>
          <w:szCs w:val="26"/>
          <w:rtl/>
        </w:rPr>
        <w:tab/>
      </w:r>
      <w:r w:rsidRPr="00B32542">
        <w:rPr>
          <w:spacing w:val="0"/>
          <w:kern w:val="0"/>
          <w:sz w:val="18"/>
          <w:szCs w:val="26"/>
          <w:rtl/>
        </w:rPr>
        <w:t xml:space="preserve">إذا كان الأمر يتعلق بحالة ضيق </w:t>
      </w:r>
      <w:r w:rsidRPr="00B32542">
        <w:rPr>
          <w:rFonts w:hint="cs"/>
          <w:spacing w:val="0"/>
          <w:kern w:val="0"/>
          <w:sz w:val="18"/>
          <w:szCs w:val="26"/>
          <w:rtl/>
        </w:rPr>
        <w:t xml:space="preserve">خطيرة ناتجة </w:t>
      </w:r>
      <w:r w:rsidRPr="00B32542">
        <w:rPr>
          <w:spacing w:val="0"/>
          <w:kern w:val="0"/>
          <w:sz w:val="18"/>
          <w:szCs w:val="26"/>
          <w:rtl/>
        </w:rPr>
        <w:t>عن شدة اندماج الشخص المعني</w:t>
      </w:r>
      <w:r w:rsidRPr="00B32542">
        <w:rPr>
          <w:rFonts w:hint="cs"/>
          <w:spacing w:val="0"/>
          <w:kern w:val="0"/>
          <w:sz w:val="18"/>
          <w:szCs w:val="26"/>
          <w:rtl/>
        </w:rPr>
        <w:t>.</w:t>
      </w:r>
      <w:r w:rsidRPr="00B32542">
        <w:rPr>
          <w:spacing w:val="0"/>
          <w:kern w:val="0"/>
          <w:sz w:val="18"/>
          <w:szCs w:val="26"/>
          <w:rtl/>
        </w:rPr>
        <w:t>"</w:t>
      </w:r>
    </w:p>
  </w:footnote>
  <w:footnote w:id="181">
    <w:p w:rsidR="00D64D4C" w:rsidRPr="004A748F" w:rsidRDefault="00D64D4C" w:rsidP="004A748F">
      <w:pPr>
        <w:pStyle w:val="FootnoteText"/>
        <w:spacing w:after="60" w:line="300" w:lineRule="exact"/>
        <w:ind w:left="1239" w:right="1247" w:hanging="560"/>
        <w:jc w:val="lowKashida"/>
        <w:rPr>
          <w:rFonts w:hint="cs"/>
          <w:spacing w:val="-2"/>
          <w:kern w:val="0"/>
          <w:sz w:val="18"/>
          <w:szCs w:val="26"/>
        </w:rPr>
      </w:pPr>
      <w:r w:rsidRPr="004A748F">
        <w:rPr>
          <w:rFonts w:hint="cs"/>
          <w:spacing w:val="-2"/>
          <w:kern w:val="0"/>
          <w:sz w:val="18"/>
          <w:szCs w:val="26"/>
          <w:rtl/>
        </w:rPr>
        <w:t>(</w:t>
      </w:r>
      <w:r w:rsidRPr="004A748F">
        <w:rPr>
          <w:rFonts w:hint="cs"/>
          <w:spacing w:val="-2"/>
          <w:kern w:val="0"/>
          <w:sz w:val="26"/>
          <w:szCs w:val="26"/>
          <w:rtl/>
        </w:rPr>
        <w:t>ﻫ</w:t>
      </w:r>
      <w:r w:rsidRPr="004A748F">
        <w:rPr>
          <w:rFonts w:hint="cs"/>
          <w:spacing w:val="-2"/>
          <w:kern w:val="0"/>
          <w:sz w:val="18"/>
          <w:szCs w:val="26"/>
          <w:rtl/>
        </w:rPr>
        <w:t>)</w:t>
      </w:r>
      <w:r w:rsidRPr="004A748F">
        <w:rPr>
          <w:rFonts w:hint="cs"/>
          <w:spacing w:val="-2"/>
          <w:kern w:val="0"/>
          <w:sz w:val="18"/>
          <w:szCs w:val="26"/>
          <w:rtl/>
        </w:rPr>
        <w:tab/>
      </w:r>
      <w:r w:rsidRPr="004A748F">
        <w:rPr>
          <w:spacing w:val="-2"/>
          <w:kern w:val="0"/>
          <w:sz w:val="18"/>
          <w:szCs w:val="26"/>
          <w:rtl/>
        </w:rPr>
        <w:t>أرفقت صاحبة الشكوى التعليقات التي قدمتها إلى المحكمة</w:t>
      </w:r>
      <w:r w:rsidRPr="004A748F">
        <w:rPr>
          <w:rFonts w:hint="cs"/>
          <w:spacing w:val="-2"/>
          <w:kern w:val="0"/>
          <w:sz w:val="18"/>
          <w:szCs w:val="26"/>
          <w:rtl/>
        </w:rPr>
        <w:t xml:space="preserve"> الإدارية الاتحادية</w:t>
      </w:r>
      <w:r w:rsidRPr="004A748F">
        <w:rPr>
          <w:spacing w:val="-2"/>
          <w:kern w:val="0"/>
          <w:sz w:val="18"/>
          <w:szCs w:val="26"/>
          <w:rtl/>
        </w:rPr>
        <w:t xml:space="preserve"> </w:t>
      </w:r>
      <w:r w:rsidRPr="004A748F">
        <w:rPr>
          <w:rFonts w:hint="cs"/>
          <w:spacing w:val="-2"/>
          <w:kern w:val="0"/>
          <w:sz w:val="18"/>
          <w:szCs w:val="26"/>
          <w:rtl/>
        </w:rPr>
        <w:t xml:space="preserve">بتاريخ </w:t>
      </w:r>
      <w:r w:rsidRPr="004A748F">
        <w:rPr>
          <w:spacing w:val="-2"/>
          <w:kern w:val="0"/>
          <w:sz w:val="18"/>
          <w:szCs w:val="26"/>
          <w:rtl/>
        </w:rPr>
        <w:t>18 آب/أغسطس 2010</w:t>
      </w:r>
      <w:r w:rsidRPr="004A748F">
        <w:rPr>
          <w:rFonts w:hint="cs"/>
          <w:spacing w:val="-2"/>
          <w:kern w:val="0"/>
          <w:sz w:val="18"/>
          <w:szCs w:val="26"/>
          <w:rtl/>
        </w:rPr>
        <w:t>.</w:t>
      </w:r>
    </w:p>
  </w:footnote>
  <w:footnote w:id="182">
    <w:p w:rsidR="00D64D4C" w:rsidRPr="00B32542" w:rsidRDefault="00D64D4C" w:rsidP="004A748F">
      <w:pPr>
        <w:pStyle w:val="FootnoteText"/>
        <w:spacing w:after="60" w:line="300" w:lineRule="exact"/>
        <w:ind w:left="1239" w:right="1247" w:hanging="560"/>
        <w:jc w:val="lowKashida"/>
        <w:rPr>
          <w:spacing w:val="0"/>
          <w:kern w:val="0"/>
          <w:sz w:val="18"/>
          <w:szCs w:val="26"/>
          <w:rtl/>
        </w:rPr>
      </w:pPr>
      <w:r>
        <w:rPr>
          <w:rFonts w:hint="cs"/>
          <w:spacing w:val="0"/>
          <w:kern w:val="0"/>
          <w:sz w:val="18"/>
          <w:szCs w:val="26"/>
          <w:rtl/>
        </w:rPr>
        <w:t>(</w:t>
      </w:r>
      <w:r>
        <w:rPr>
          <w:rFonts w:hint="cs"/>
          <w:spacing w:val="0"/>
          <w:kern w:val="0"/>
          <w:sz w:val="26"/>
          <w:szCs w:val="26"/>
          <w:rtl/>
        </w:rPr>
        <w:t>و</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تشير الدولة الطرف إلى الفقرة 5 من التعليق العام </w:t>
      </w:r>
      <w:r w:rsidRPr="00B32542">
        <w:rPr>
          <w:rFonts w:hint="cs"/>
          <w:spacing w:val="0"/>
          <w:kern w:val="0"/>
          <w:sz w:val="18"/>
          <w:szCs w:val="26"/>
          <w:rtl/>
        </w:rPr>
        <w:t xml:space="preserve">للجنة </w:t>
      </w:r>
      <w:r w:rsidRPr="00B32542">
        <w:rPr>
          <w:spacing w:val="0"/>
          <w:kern w:val="0"/>
          <w:sz w:val="18"/>
          <w:szCs w:val="26"/>
          <w:rtl/>
        </w:rPr>
        <w:t>رقم 1.</w:t>
      </w:r>
    </w:p>
  </w:footnote>
  <w:footnote w:id="183">
    <w:p w:rsidR="00D64D4C" w:rsidRPr="00B32542" w:rsidRDefault="00D64D4C" w:rsidP="004A748F">
      <w:pPr>
        <w:pStyle w:val="FootnoteText"/>
        <w:spacing w:after="60" w:line="300" w:lineRule="exact"/>
        <w:ind w:left="1211" w:right="1247" w:hanging="532"/>
        <w:jc w:val="lowKashida"/>
        <w:rPr>
          <w:spacing w:val="0"/>
          <w:kern w:val="0"/>
          <w:sz w:val="18"/>
          <w:szCs w:val="26"/>
          <w:rtl/>
        </w:rPr>
      </w:pPr>
      <w:r>
        <w:rPr>
          <w:rFonts w:hint="cs"/>
          <w:spacing w:val="0"/>
          <w:kern w:val="0"/>
          <w:sz w:val="18"/>
          <w:szCs w:val="26"/>
          <w:rtl/>
        </w:rPr>
        <w:t>(</w:t>
      </w:r>
      <w:r>
        <w:rPr>
          <w:rFonts w:hint="cs"/>
          <w:spacing w:val="0"/>
          <w:kern w:val="0"/>
          <w:sz w:val="26"/>
          <w:szCs w:val="26"/>
          <w:rtl/>
        </w:rPr>
        <w:t>ز</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الفقرة 3 من المادة 29 </w:t>
      </w:r>
      <w:r w:rsidRPr="00B32542">
        <w:rPr>
          <w:rFonts w:hint="cs"/>
          <w:spacing w:val="0"/>
          <w:kern w:val="0"/>
          <w:sz w:val="18"/>
          <w:szCs w:val="26"/>
          <w:rtl/>
        </w:rPr>
        <w:t>من د</w:t>
      </w:r>
      <w:r w:rsidRPr="00B32542">
        <w:rPr>
          <w:spacing w:val="0"/>
          <w:kern w:val="0"/>
          <w:sz w:val="18"/>
          <w:szCs w:val="26"/>
          <w:rtl/>
        </w:rPr>
        <w:t>ستور الاتحاد السويسري الصادر في 18 نيسان/</w:t>
      </w:r>
      <w:r w:rsidRPr="00B32542">
        <w:rPr>
          <w:rFonts w:hint="cs"/>
          <w:spacing w:val="0"/>
          <w:kern w:val="0"/>
          <w:sz w:val="18"/>
          <w:szCs w:val="26"/>
          <w:rtl/>
        </w:rPr>
        <w:t>أ</w:t>
      </w:r>
      <w:r w:rsidRPr="00B32542">
        <w:rPr>
          <w:spacing w:val="0"/>
          <w:kern w:val="0"/>
          <w:sz w:val="18"/>
          <w:szCs w:val="26"/>
          <w:rtl/>
        </w:rPr>
        <w:t xml:space="preserve">بريل 1999 </w:t>
      </w:r>
      <w:r w:rsidRPr="00B32542">
        <w:rPr>
          <w:rFonts w:hint="cs"/>
          <w:spacing w:val="0"/>
          <w:kern w:val="0"/>
          <w:sz w:val="18"/>
          <w:szCs w:val="26"/>
          <w:rtl/>
        </w:rPr>
        <w:t>-</w:t>
      </w:r>
      <w:r w:rsidRPr="00B32542">
        <w:rPr>
          <w:spacing w:val="0"/>
          <w:kern w:val="0"/>
          <w:sz w:val="18"/>
          <w:szCs w:val="26"/>
          <w:rtl/>
        </w:rPr>
        <w:t xml:space="preserve"> (نشرة القوانين الاتحادية، </w:t>
      </w:r>
      <w:r w:rsidRPr="00B32542">
        <w:rPr>
          <w:spacing w:val="0"/>
          <w:kern w:val="0"/>
          <w:sz w:val="18"/>
          <w:szCs w:val="26"/>
        </w:rPr>
        <w:t>RS 101</w:t>
      </w:r>
      <w:r w:rsidRPr="00B32542">
        <w:rPr>
          <w:spacing w:val="0"/>
          <w:kern w:val="0"/>
          <w:sz w:val="18"/>
          <w:szCs w:val="26"/>
          <w:rtl/>
        </w:rPr>
        <w:t>)</w:t>
      </w:r>
      <w:r w:rsidRPr="00B32542">
        <w:rPr>
          <w:rFonts w:hint="cs"/>
          <w:spacing w:val="0"/>
          <w:kern w:val="0"/>
          <w:sz w:val="18"/>
          <w:szCs w:val="26"/>
          <w:rtl/>
        </w:rPr>
        <w:t>.</w:t>
      </w:r>
    </w:p>
  </w:footnote>
  <w:footnote w:id="184">
    <w:p w:rsidR="00D64D4C" w:rsidRPr="00B32542" w:rsidRDefault="00D64D4C" w:rsidP="004A748F">
      <w:pPr>
        <w:pStyle w:val="FootnoteText"/>
        <w:spacing w:after="60" w:line="300" w:lineRule="exact"/>
        <w:ind w:left="1211" w:right="1247" w:hanging="532"/>
        <w:jc w:val="lowKashida"/>
        <w:rPr>
          <w:rFonts w:hint="cs"/>
          <w:spacing w:val="0"/>
          <w:kern w:val="0"/>
          <w:sz w:val="18"/>
          <w:szCs w:val="26"/>
          <w:rtl/>
        </w:rPr>
      </w:pPr>
      <w:r>
        <w:rPr>
          <w:rFonts w:hint="cs"/>
          <w:spacing w:val="0"/>
          <w:kern w:val="0"/>
          <w:sz w:val="18"/>
          <w:szCs w:val="26"/>
          <w:rtl/>
        </w:rPr>
        <w:t>(</w:t>
      </w:r>
      <w:r>
        <w:rPr>
          <w:rFonts w:hint="cs"/>
          <w:spacing w:val="0"/>
          <w:kern w:val="0"/>
          <w:sz w:val="26"/>
          <w:szCs w:val="26"/>
          <w:rtl/>
        </w:rPr>
        <w:t>ح</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الفقرة 1 من المادة 17(ب)</w:t>
      </w:r>
      <w:r w:rsidRPr="00B32542">
        <w:rPr>
          <w:rFonts w:hint="cs"/>
          <w:spacing w:val="0"/>
          <w:kern w:val="0"/>
          <w:sz w:val="18"/>
          <w:szCs w:val="26"/>
          <w:rtl/>
        </w:rPr>
        <w:t xml:space="preserve"> من </w:t>
      </w:r>
      <w:r w:rsidRPr="00B32542">
        <w:rPr>
          <w:spacing w:val="0"/>
          <w:kern w:val="0"/>
          <w:sz w:val="18"/>
          <w:szCs w:val="26"/>
          <w:rtl/>
        </w:rPr>
        <w:t>قانون اللجوء الاتحادي</w:t>
      </w:r>
      <w:r w:rsidRPr="00B32542">
        <w:rPr>
          <w:rFonts w:hint="cs"/>
          <w:spacing w:val="0"/>
          <w:kern w:val="0"/>
          <w:sz w:val="18"/>
          <w:szCs w:val="26"/>
          <w:rtl/>
        </w:rPr>
        <w:t>.</w:t>
      </w:r>
    </w:p>
  </w:footnote>
  <w:footnote w:id="185">
    <w:p w:rsidR="00D64D4C" w:rsidRPr="00B32542" w:rsidRDefault="00D64D4C" w:rsidP="004A748F">
      <w:pPr>
        <w:pStyle w:val="FootnoteText"/>
        <w:spacing w:after="60" w:line="300" w:lineRule="exact"/>
        <w:ind w:left="1211" w:right="1247" w:hanging="532"/>
        <w:jc w:val="lowKashida"/>
        <w:rPr>
          <w:spacing w:val="0"/>
          <w:kern w:val="0"/>
          <w:sz w:val="18"/>
          <w:szCs w:val="26"/>
          <w:rtl/>
        </w:rPr>
      </w:pPr>
      <w:r>
        <w:rPr>
          <w:rFonts w:hint="cs"/>
          <w:spacing w:val="0"/>
          <w:kern w:val="0"/>
          <w:sz w:val="18"/>
          <w:szCs w:val="26"/>
          <w:rtl/>
        </w:rPr>
        <w:t>(</w:t>
      </w:r>
      <w:r>
        <w:rPr>
          <w:rFonts w:hint="cs"/>
          <w:spacing w:val="0"/>
          <w:kern w:val="0"/>
          <w:sz w:val="26"/>
          <w:szCs w:val="26"/>
          <w:rtl/>
        </w:rPr>
        <w:t>ط</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الفقرة 3 من المادة 17(ب)</w:t>
      </w:r>
      <w:r w:rsidRPr="00B32542">
        <w:rPr>
          <w:rFonts w:hint="cs"/>
          <w:spacing w:val="0"/>
          <w:kern w:val="0"/>
          <w:sz w:val="18"/>
          <w:szCs w:val="26"/>
          <w:rtl/>
        </w:rPr>
        <w:t xml:space="preserve"> من </w:t>
      </w:r>
      <w:r w:rsidRPr="00B32542">
        <w:rPr>
          <w:spacing w:val="0"/>
          <w:kern w:val="0"/>
          <w:sz w:val="18"/>
          <w:szCs w:val="26"/>
          <w:rtl/>
        </w:rPr>
        <w:t>قانون اللجوء الاتحادي</w:t>
      </w:r>
      <w:r w:rsidRPr="00B32542">
        <w:rPr>
          <w:rFonts w:hint="cs"/>
          <w:spacing w:val="0"/>
          <w:kern w:val="0"/>
          <w:sz w:val="18"/>
          <w:szCs w:val="26"/>
          <w:rtl/>
        </w:rPr>
        <w:t>.</w:t>
      </w:r>
    </w:p>
  </w:footnote>
  <w:footnote w:id="186">
    <w:p w:rsidR="00D64D4C" w:rsidRPr="00B32542" w:rsidRDefault="00D64D4C" w:rsidP="004A748F">
      <w:pPr>
        <w:pStyle w:val="FootnoteText"/>
        <w:spacing w:after="60" w:line="300" w:lineRule="exact"/>
        <w:ind w:left="1253" w:right="1247" w:hanging="504"/>
        <w:jc w:val="lowKashida"/>
        <w:rPr>
          <w:spacing w:val="0"/>
          <w:kern w:val="0"/>
          <w:sz w:val="18"/>
          <w:szCs w:val="26"/>
          <w:rtl/>
        </w:rPr>
      </w:pPr>
      <w:r>
        <w:rPr>
          <w:rFonts w:hint="cs"/>
          <w:spacing w:val="0"/>
          <w:kern w:val="0"/>
          <w:sz w:val="18"/>
          <w:szCs w:val="26"/>
          <w:rtl/>
        </w:rPr>
        <w:t>(</w:t>
      </w:r>
      <w:r>
        <w:rPr>
          <w:rFonts w:hint="cs"/>
          <w:spacing w:val="0"/>
          <w:kern w:val="0"/>
          <w:sz w:val="26"/>
          <w:szCs w:val="26"/>
          <w:rtl/>
        </w:rPr>
        <w:t>ي</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انظر الفقرة 7-1 أعلاه.</w:t>
      </w:r>
    </w:p>
  </w:footnote>
  <w:footnote w:id="187">
    <w:p w:rsidR="00D64D4C" w:rsidRPr="00B32542" w:rsidRDefault="00D64D4C" w:rsidP="004A748F">
      <w:pPr>
        <w:pStyle w:val="FootnoteText"/>
        <w:spacing w:after="60" w:line="300" w:lineRule="exact"/>
        <w:ind w:left="1239" w:right="1247" w:hanging="490"/>
        <w:jc w:val="lowKashida"/>
        <w:rPr>
          <w:rFonts w:hint="cs"/>
          <w:spacing w:val="0"/>
          <w:kern w:val="0"/>
          <w:sz w:val="18"/>
          <w:szCs w:val="26"/>
          <w:rtl/>
        </w:rPr>
      </w:pPr>
      <w:r>
        <w:rPr>
          <w:rFonts w:hint="cs"/>
          <w:spacing w:val="0"/>
          <w:kern w:val="0"/>
          <w:sz w:val="18"/>
          <w:szCs w:val="26"/>
          <w:rtl/>
        </w:rPr>
        <w:t>(</w:t>
      </w:r>
      <w:r>
        <w:rPr>
          <w:rFonts w:hint="cs"/>
          <w:spacing w:val="0"/>
          <w:kern w:val="0"/>
          <w:sz w:val="26"/>
          <w:szCs w:val="26"/>
          <w:rtl/>
        </w:rPr>
        <w:t>ك</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انظر الفقرة 6-1 والفقرات التي تليها</w:t>
      </w:r>
      <w:r w:rsidRPr="00B32542">
        <w:rPr>
          <w:rFonts w:hint="cs"/>
          <w:spacing w:val="0"/>
          <w:kern w:val="0"/>
          <w:sz w:val="18"/>
          <w:szCs w:val="26"/>
          <w:rtl/>
        </w:rPr>
        <w:t>.</w:t>
      </w:r>
    </w:p>
  </w:footnote>
  <w:footnote w:id="188">
    <w:p w:rsidR="00D64D4C" w:rsidRPr="00B32542" w:rsidRDefault="00D64D4C" w:rsidP="004A748F">
      <w:pPr>
        <w:pStyle w:val="FootnoteText"/>
        <w:spacing w:after="60" w:line="300" w:lineRule="exact"/>
        <w:ind w:left="1253" w:right="1247" w:hanging="532"/>
        <w:jc w:val="lowKashida"/>
        <w:rPr>
          <w:spacing w:val="0"/>
          <w:kern w:val="0"/>
          <w:sz w:val="18"/>
          <w:szCs w:val="26"/>
          <w:rtl/>
        </w:rPr>
      </w:pPr>
      <w:r>
        <w:rPr>
          <w:rFonts w:hint="cs"/>
          <w:spacing w:val="0"/>
          <w:kern w:val="0"/>
          <w:sz w:val="18"/>
          <w:szCs w:val="26"/>
          <w:rtl/>
        </w:rPr>
        <w:t>(</w:t>
      </w:r>
      <w:r>
        <w:rPr>
          <w:rFonts w:hint="cs"/>
          <w:spacing w:val="0"/>
          <w:kern w:val="0"/>
          <w:sz w:val="26"/>
          <w:szCs w:val="26"/>
          <w:rtl/>
        </w:rPr>
        <w:t>ل</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انظر</w:t>
      </w:r>
      <w:r w:rsidRPr="00B32542">
        <w:rPr>
          <w:rFonts w:hint="cs"/>
          <w:spacing w:val="0"/>
          <w:kern w:val="0"/>
          <w:sz w:val="18"/>
          <w:szCs w:val="26"/>
          <w:rtl/>
        </w:rPr>
        <w:t>،</w:t>
      </w:r>
      <w:r w:rsidRPr="00B32542">
        <w:rPr>
          <w:spacing w:val="0"/>
          <w:kern w:val="0"/>
          <w:sz w:val="18"/>
          <w:szCs w:val="26"/>
          <w:rtl/>
        </w:rPr>
        <w:t xml:space="preserve"> في جملة أمور، التقرير المشترك </w:t>
      </w:r>
      <w:r w:rsidRPr="00B32542">
        <w:rPr>
          <w:rFonts w:hint="cs"/>
          <w:spacing w:val="0"/>
          <w:kern w:val="0"/>
          <w:sz w:val="18"/>
          <w:szCs w:val="26"/>
          <w:rtl/>
        </w:rPr>
        <w:t xml:space="preserve">الثاني عن الحالة </w:t>
      </w:r>
      <w:r w:rsidRPr="00B32542">
        <w:rPr>
          <w:spacing w:val="0"/>
          <w:kern w:val="0"/>
          <w:sz w:val="18"/>
          <w:szCs w:val="26"/>
          <w:rtl/>
        </w:rPr>
        <w:t>في جمهورية الكونغو الديمقراطية</w:t>
      </w:r>
      <w:r w:rsidRPr="00B32542">
        <w:rPr>
          <w:rFonts w:hint="cs"/>
          <w:spacing w:val="0"/>
          <w:kern w:val="0"/>
          <w:sz w:val="18"/>
          <w:szCs w:val="26"/>
          <w:rtl/>
        </w:rPr>
        <w:t xml:space="preserve"> الذي أعده سبعة خبراء من الأمم المتحدة (</w:t>
      </w:r>
      <w:r w:rsidRPr="00B32542">
        <w:rPr>
          <w:spacing w:val="0"/>
          <w:kern w:val="0"/>
          <w:sz w:val="18"/>
          <w:szCs w:val="26"/>
          <w:lang w:val="fr-CH"/>
        </w:rPr>
        <w:t>A/HRC/13/63</w:t>
      </w:r>
      <w:r w:rsidRPr="00B32542">
        <w:rPr>
          <w:rFonts w:hint="cs"/>
          <w:spacing w:val="0"/>
          <w:kern w:val="0"/>
          <w:sz w:val="18"/>
          <w:szCs w:val="26"/>
          <w:rtl/>
          <w:lang w:val="fr-CH"/>
        </w:rPr>
        <w:t xml:space="preserve"> المؤرخ 8 آذار/مارس 2010</w:t>
      </w:r>
      <w:r w:rsidRPr="00B32542">
        <w:rPr>
          <w:rFonts w:hint="cs"/>
          <w:spacing w:val="0"/>
          <w:kern w:val="0"/>
          <w:sz w:val="18"/>
          <w:szCs w:val="26"/>
          <w:rtl/>
        </w:rPr>
        <w:t xml:space="preserve">)، </w:t>
      </w:r>
      <w:r w:rsidRPr="00B32542">
        <w:rPr>
          <w:spacing w:val="0"/>
          <w:kern w:val="0"/>
          <w:sz w:val="18"/>
          <w:szCs w:val="26"/>
          <w:rtl/>
        </w:rPr>
        <w:t>وتقرير مفوضة الأمم المتحدة السامية لحقوق الإنسان عن حالة حقوق الإنسان وأنشطة مكتبها في جمهورية الكونغو الديمقراطية</w:t>
      </w:r>
      <w:r w:rsidRPr="00B32542">
        <w:rPr>
          <w:rFonts w:hint="cs"/>
          <w:spacing w:val="0"/>
          <w:kern w:val="0"/>
          <w:sz w:val="18"/>
          <w:szCs w:val="26"/>
          <w:rtl/>
        </w:rPr>
        <w:t xml:space="preserve"> (</w:t>
      </w:r>
      <w:r w:rsidRPr="00B32542">
        <w:rPr>
          <w:spacing w:val="0"/>
          <w:kern w:val="0"/>
          <w:sz w:val="18"/>
          <w:szCs w:val="26"/>
          <w:lang w:val="fr-CH"/>
        </w:rPr>
        <w:t>A/HRC/13/64</w:t>
      </w:r>
      <w:r w:rsidRPr="00B32542">
        <w:rPr>
          <w:rFonts w:hint="cs"/>
          <w:spacing w:val="0"/>
          <w:kern w:val="0"/>
          <w:sz w:val="18"/>
          <w:szCs w:val="26"/>
          <w:rtl/>
          <w:lang w:val="fr-CH"/>
        </w:rPr>
        <w:t xml:space="preserve">، المؤرخ </w:t>
      </w:r>
      <w:r w:rsidRPr="00B32542">
        <w:rPr>
          <w:rFonts w:hint="cs"/>
          <w:spacing w:val="0"/>
          <w:kern w:val="0"/>
          <w:sz w:val="18"/>
          <w:szCs w:val="26"/>
          <w:rtl/>
        </w:rPr>
        <w:t>28 كانون الثاني/يناير 2010)</w:t>
      </w:r>
      <w:r w:rsidRPr="00B32542" w:rsidDel="00816016">
        <w:rPr>
          <w:rFonts w:hint="cs"/>
          <w:spacing w:val="0"/>
          <w:kern w:val="0"/>
          <w:sz w:val="18"/>
          <w:szCs w:val="26"/>
          <w:rtl/>
          <w:lang w:val="fr-CH"/>
        </w:rPr>
        <w:t xml:space="preserve"> </w:t>
      </w:r>
      <w:r w:rsidRPr="00B32542">
        <w:rPr>
          <w:rFonts w:hint="cs"/>
          <w:spacing w:val="0"/>
          <w:kern w:val="0"/>
          <w:sz w:val="18"/>
          <w:szCs w:val="26"/>
          <w:rtl/>
        </w:rPr>
        <w:t>.</w:t>
      </w:r>
    </w:p>
  </w:footnote>
  <w:footnote w:id="189">
    <w:p w:rsidR="00D64D4C" w:rsidRPr="00B32542" w:rsidRDefault="00D64D4C" w:rsidP="004A748F">
      <w:pPr>
        <w:pStyle w:val="FootnoteText"/>
        <w:spacing w:after="60" w:line="300" w:lineRule="exact"/>
        <w:ind w:left="1253" w:right="1247" w:hanging="532"/>
        <w:jc w:val="lowKashida"/>
        <w:rPr>
          <w:spacing w:val="0"/>
          <w:kern w:val="0"/>
          <w:sz w:val="18"/>
          <w:szCs w:val="26"/>
          <w:rtl/>
        </w:rPr>
      </w:pPr>
      <w:r>
        <w:rPr>
          <w:rFonts w:hint="cs"/>
          <w:spacing w:val="0"/>
          <w:kern w:val="0"/>
          <w:sz w:val="18"/>
          <w:szCs w:val="26"/>
          <w:rtl/>
        </w:rPr>
        <w:t>(</w:t>
      </w:r>
      <w:r>
        <w:rPr>
          <w:rFonts w:hint="cs"/>
          <w:spacing w:val="0"/>
          <w:kern w:val="0"/>
          <w:sz w:val="26"/>
          <w:szCs w:val="26"/>
          <w:rtl/>
        </w:rPr>
        <w:t>م</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البلاغ رقم 322/2007، </w:t>
      </w:r>
      <w:r w:rsidRPr="00B32542">
        <w:rPr>
          <w:i/>
          <w:iCs/>
          <w:spacing w:val="0"/>
          <w:kern w:val="0"/>
          <w:sz w:val="18"/>
          <w:szCs w:val="26"/>
          <w:rtl/>
        </w:rPr>
        <w:t>نجامبا ضد السويد</w:t>
      </w:r>
      <w:r w:rsidRPr="00B32542">
        <w:rPr>
          <w:spacing w:val="0"/>
          <w:kern w:val="0"/>
          <w:sz w:val="18"/>
          <w:szCs w:val="26"/>
          <w:rtl/>
        </w:rPr>
        <w:t xml:space="preserve">، </w:t>
      </w:r>
      <w:r w:rsidRPr="00B32542">
        <w:rPr>
          <w:rFonts w:hint="cs"/>
          <w:spacing w:val="0"/>
          <w:kern w:val="0"/>
          <w:sz w:val="18"/>
          <w:szCs w:val="26"/>
          <w:rtl/>
        </w:rPr>
        <w:t>ال</w:t>
      </w:r>
      <w:r w:rsidRPr="00B32542">
        <w:rPr>
          <w:spacing w:val="0"/>
          <w:kern w:val="0"/>
          <w:sz w:val="18"/>
          <w:szCs w:val="26"/>
          <w:rtl/>
        </w:rPr>
        <w:t xml:space="preserve">قرار </w:t>
      </w:r>
      <w:r w:rsidRPr="00B32542">
        <w:rPr>
          <w:rFonts w:hint="cs"/>
          <w:spacing w:val="0"/>
          <w:kern w:val="0"/>
          <w:sz w:val="18"/>
          <w:szCs w:val="26"/>
          <w:rtl/>
        </w:rPr>
        <w:t>ال</w:t>
      </w:r>
      <w:r w:rsidRPr="00B32542">
        <w:rPr>
          <w:spacing w:val="0"/>
          <w:kern w:val="0"/>
          <w:sz w:val="18"/>
          <w:szCs w:val="26"/>
          <w:rtl/>
        </w:rPr>
        <w:t>معتمد في 14 أيار/مايو 2010، الفقرة 9-5.</w:t>
      </w:r>
    </w:p>
  </w:footnote>
  <w:footnote w:id="190">
    <w:p w:rsidR="00D64D4C" w:rsidRPr="00B32542" w:rsidRDefault="00D64D4C" w:rsidP="002C2A9D">
      <w:pPr>
        <w:pStyle w:val="FootnoteText"/>
        <w:spacing w:after="60" w:line="300" w:lineRule="exact"/>
        <w:ind w:left="1253" w:right="1247" w:hanging="532"/>
        <w:jc w:val="lowKashida"/>
        <w:rPr>
          <w:spacing w:val="0"/>
          <w:kern w:val="0"/>
          <w:sz w:val="18"/>
          <w:szCs w:val="26"/>
          <w:rtl/>
        </w:rPr>
      </w:pPr>
      <w:r>
        <w:rPr>
          <w:rFonts w:hint="cs"/>
          <w:spacing w:val="0"/>
          <w:kern w:val="0"/>
          <w:sz w:val="18"/>
          <w:szCs w:val="26"/>
          <w:rtl/>
        </w:rPr>
        <w:t>(</w:t>
      </w:r>
      <w:r>
        <w:rPr>
          <w:rFonts w:hint="cs"/>
          <w:spacing w:val="0"/>
          <w:kern w:val="0"/>
          <w:sz w:val="26"/>
          <w:szCs w:val="26"/>
          <w:rtl/>
        </w:rPr>
        <w:t>ن</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طلبت اللجنة رأي مفوضية الأمم المتحدة لشؤون اللاجئين فيما يتعلق بإعادة طالبي اللجوء إلى جمهورية الكونغو الديمقراطية، بما في ذلك إلى كينشاسا. وتميز المفوضية في المبادئ التوجيهية التي أتاحتها للجنة في</w:t>
      </w:r>
      <w:r>
        <w:rPr>
          <w:rFonts w:hint="cs"/>
          <w:spacing w:val="0"/>
          <w:kern w:val="0"/>
          <w:sz w:val="18"/>
          <w:szCs w:val="26"/>
          <w:rtl/>
        </w:rPr>
        <w:t> </w:t>
      </w:r>
      <w:r w:rsidRPr="00B32542">
        <w:rPr>
          <w:spacing w:val="0"/>
          <w:kern w:val="0"/>
          <w:sz w:val="18"/>
          <w:szCs w:val="26"/>
          <w:rtl/>
        </w:rPr>
        <w:t>11 تشرين الثاني/نوفمبر 2009، بين حالات طالبي اللجوء بحسب مناطقهم الأصلية: وترى المفوضية أن أي لاجئ من ب</w:t>
      </w:r>
      <w:r w:rsidRPr="00B32542">
        <w:rPr>
          <w:rFonts w:hint="cs"/>
          <w:spacing w:val="0"/>
          <w:kern w:val="0"/>
          <w:sz w:val="18"/>
          <w:szCs w:val="26"/>
          <w:rtl/>
        </w:rPr>
        <w:t>ي</w:t>
      </w:r>
      <w:r w:rsidRPr="00B32542">
        <w:rPr>
          <w:spacing w:val="0"/>
          <w:kern w:val="0"/>
          <w:sz w:val="18"/>
          <w:szCs w:val="26"/>
          <w:rtl/>
        </w:rPr>
        <w:t>ن سكان شمال كيفو أو جنوب كيفو أو مانييما أو من المحافظات الشرقية (إيتوري، وأويلي السفلى وأويلي العليا) يحتاج إلى حماية دولية، في ضوء ما يُرتكب حاليا</w:t>
      </w:r>
      <w:r w:rsidRPr="00B32542">
        <w:rPr>
          <w:rFonts w:hint="cs"/>
          <w:spacing w:val="0"/>
          <w:kern w:val="0"/>
          <w:sz w:val="18"/>
          <w:szCs w:val="26"/>
          <w:rtl/>
        </w:rPr>
        <w:t>ً</w:t>
      </w:r>
      <w:r w:rsidRPr="00B32542">
        <w:rPr>
          <w:spacing w:val="0"/>
          <w:kern w:val="0"/>
          <w:sz w:val="18"/>
          <w:szCs w:val="26"/>
          <w:rtl/>
        </w:rPr>
        <w:t xml:space="preserve"> من انتهاكات جسيمة لحقوق الإنسان في مناطق النزاع تلك. وفيما يتعلق بالمناطق الأخرى من جمهورية الكونغو الديمقراطية (بما</w:t>
      </w:r>
      <w:r>
        <w:rPr>
          <w:rFonts w:hint="cs"/>
          <w:spacing w:val="0"/>
          <w:kern w:val="0"/>
          <w:sz w:val="18"/>
          <w:szCs w:val="26"/>
          <w:rtl/>
        </w:rPr>
        <w:t> </w:t>
      </w:r>
      <w:r w:rsidRPr="00B32542">
        <w:rPr>
          <w:spacing w:val="0"/>
          <w:kern w:val="0"/>
          <w:sz w:val="18"/>
          <w:szCs w:val="26"/>
          <w:rtl/>
        </w:rPr>
        <w:t xml:space="preserve">في ذلك كينشاسا) ترى المفوضية ضرورة دراسة كل حالة من حالات اللجوء على حدة لتحديد مدى مقبوليتها بموجب اتفاقية عام 1951 </w:t>
      </w:r>
      <w:r w:rsidRPr="00B32542">
        <w:rPr>
          <w:rFonts w:hint="cs"/>
          <w:spacing w:val="0"/>
          <w:kern w:val="0"/>
          <w:sz w:val="18"/>
          <w:szCs w:val="26"/>
          <w:rtl/>
        </w:rPr>
        <w:t>الخاصة</w:t>
      </w:r>
      <w:r w:rsidRPr="00B32542">
        <w:rPr>
          <w:spacing w:val="0"/>
          <w:kern w:val="0"/>
          <w:sz w:val="18"/>
          <w:szCs w:val="26"/>
          <w:rtl/>
        </w:rPr>
        <w:t xml:space="preserve"> </w:t>
      </w:r>
      <w:r w:rsidRPr="00B32542">
        <w:rPr>
          <w:rFonts w:hint="cs"/>
          <w:spacing w:val="0"/>
          <w:kern w:val="0"/>
          <w:sz w:val="18"/>
          <w:szCs w:val="26"/>
          <w:rtl/>
        </w:rPr>
        <w:t xml:space="preserve">بوضع </w:t>
      </w:r>
      <w:r w:rsidRPr="00B32542">
        <w:rPr>
          <w:spacing w:val="0"/>
          <w:kern w:val="0"/>
          <w:sz w:val="18"/>
          <w:szCs w:val="26"/>
          <w:rtl/>
        </w:rPr>
        <w:t>اللاجئين. وتدعو المفوضية مع ذلك الدول إلى مراعاة أي اعتبارات إنسانية ذات صلة، فضلا</w:t>
      </w:r>
      <w:r>
        <w:rPr>
          <w:rFonts w:hint="cs"/>
          <w:spacing w:val="0"/>
          <w:kern w:val="0"/>
          <w:sz w:val="18"/>
          <w:szCs w:val="26"/>
          <w:rtl/>
        </w:rPr>
        <w:t>ً</w:t>
      </w:r>
      <w:r w:rsidRPr="00B32542">
        <w:rPr>
          <w:spacing w:val="0"/>
          <w:kern w:val="0"/>
          <w:sz w:val="18"/>
          <w:szCs w:val="26"/>
          <w:rtl/>
        </w:rPr>
        <w:t xml:space="preserve"> عن الوفاء بالتزاماتها بموجب اتفاقيات حقوق الإنسان.</w:t>
      </w:r>
    </w:p>
  </w:footnote>
  <w:footnote w:id="191">
    <w:p w:rsidR="00D64D4C" w:rsidRPr="00B32542" w:rsidRDefault="00D64D4C" w:rsidP="004A748F">
      <w:pPr>
        <w:pStyle w:val="FootnoteText"/>
        <w:spacing w:after="60" w:line="300" w:lineRule="exact"/>
        <w:ind w:left="1239" w:right="1247" w:hanging="574"/>
        <w:jc w:val="lowKashida"/>
        <w:rPr>
          <w:spacing w:val="0"/>
          <w:kern w:val="0"/>
          <w:sz w:val="18"/>
          <w:szCs w:val="26"/>
          <w:rtl/>
        </w:rPr>
      </w:pPr>
      <w:r>
        <w:rPr>
          <w:rFonts w:hint="cs"/>
          <w:spacing w:val="0"/>
          <w:kern w:val="0"/>
          <w:sz w:val="18"/>
          <w:szCs w:val="26"/>
          <w:rtl/>
        </w:rPr>
        <w:t>(</w:t>
      </w:r>
      <w:r>
        <w:rPr>
          <w:rFonts w:hint="cs"/>
          <w:spacing w:val="0"/>
          <w:kern w:val="0"/>
          <w:sz w:val="26"/>
          <w:szCs w:val="26"/>
          <w:rtl/>
        </w:rPr>
        <w:t>س</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انظر الحاشية 9 أعلاه </w:t>
      </w:r>
      <w:r w:rsidRPr="00B32542">
        <w:rPr>
          <w:rFonts w:hint="cs"/>
          <w:spacing w:val="0"/>
          <w:kern w:val="0"/>
          <w:sz w:val="18"/>
          <w:szCs w:val="26"/>
          <w:rtl/>
        </w:rPr>
        <w:t>(</w:t>
      </w:r>
      <w:r w:rsidRPr="00B32542">
        <w:rPr>
          <w:spacing w:val="0"/>
          <w:kern w:val="0"/>
          <w:sz w:val="18"/>
          <w:szCs w:val="26"/>
          <w:rtl/>
        </w:rPr>
        <w:t>الفقرة 6-4</w:t>
      </w:r>
      <w:r w:rsidRPr="00B32542">
        <w:rPr>
          <w:rFonts w:hint="cs"/>
          <w:spacing w:val="0"/>
          <w:kern w:val="0"/>
          <w:sz w:val="18"/>
          <w:szCs w:val="26"/>
          <w:rtl/>
        </w:rPr>
        <w:t>)</w:t>
      </w:r>
      <w:r w:rsidRPr="00B32542">
        <w:rPr>
          <w:spacing w:val="0"/>
          <w:kern w:val="0"/>
          <w:sz w:val="18"/>
          <w:szCs w:val="26"/>
          <w:rtl/>
        </w:rPr>
        <w:t>.</w:t>
      </w:r>
    </w:p>
  </w:footnote>
  <w:footnote w:id="192">
    <w:p w:rsidR="00D64D4C" w:rsidRPr="00B32542" w:rsidRDefault="00D64D4C" w:rsidP="004A748F">
      <w:pPr>
        <w:pStyle w:val="FootnoteText"/>
        <w:spacing w:after="60" w:line="300" w:lineRule="exact"/>
        <w:ind w:left="1239" w:right="1247" w:hanging="574"/>
        <w:jc w:val="lowKashida"/>
        <w:rPr>
          <w:spacing w:val="0"/>
          <w:kern w:val="0"/>
          <w:sz w:val="18"/>
          <w:szCs w:val="26"/>
          <w:rtl/>
        </w:rPr>
      </w:pPr>
      <w:r>
        <w:rPr>
          <w:rFonts w:hint="cs"/>
          <w:spacing w:val="0"/>
          <w:kern w:val="0"/>
          <w:sz w:val="18"/>
          <w:szCs w:val="26"/>
          <w:rtl/>
        </w:rPr>
        <w:t>(</w:t>
      </w:r>
      <w:r>
        <w:rPr>
          <w:rFonts w:hint="cs"/>
          <w:spacing w:val="0"/>
          <w:kern w:val="0"/>
          <w:sz w:val="26"/>
          <w:szCs w:val="26"/>
          <w:rtl/>
        </w:rPr>
        <w:t>ع</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لا يرد هذا الادعاء إلا في الطلب الرابع الذي قدمته صاحبة الشكوى إلى اللجنة (</w:t>
      </w:r>
      <w:r w:rsidRPr="00B32542">
        <w:rPr>
          <w:rFonts w:hint="cs"/>
          <w:spacing w:val="0"/>
          <w:kern w:val="0"/>
          <w:sz w:val="18"/>
          <w:szCs w:val="26"/>
          <w:rtl/>
        </w:rPr>
        <w:t xml:space="preserve">المؤرخ </w:t>
      </w:r>
      <w:r w:rsidRPr="00B32542">
        <w:rPr>
          <w:spacing w:val="0"/>
          <w:kern w:val="0"/>
          <w:sz w:val="18"/>
          <w:szCs w:val="26"/>
          <w:rtl/>
        </w:rPr>
        <w:t>26 آذار/</w:t>
      </w:r>
      <w:r>
        <w:rPr>
          <w:rFonts w:hint="cs"/>
          <w:spacing w:val="0"/>
          <w:kern w:val="0"/>
          <w:sz w:val="18"/>
          <w:szCs w:val="26"/>
          <w:rtl/>
        </w:rPr>
        <w:t xml:space="preserve"> </w:t>
      </w:r>
      <w:r w:rsidRPr="00B32542">
        <w:rPr>
          <w:spacing w:val="0"/>
          <w:kern w:val="0"/>
          <w:sz w:val="18"/>
          <w:szCs w:val="26"/>
          <w:rtl/>
        </w:rPr>
        <w:t>مارس</w:t>
      </w:r>
      <w:r>
        <w:rPr>
          <w:rFonts w:hint="cs"/>
          <w:spacing w:val="0"/>
          <w:kern w:val="0"/>
          <w:sz w:val="18"/>
          <w:szCs w:val="26"/>
          <w:rtl/>
        </w:rPr>
        <w:t> </w:t>
      </w:r>
      <w:r w:rsidRPr="00B32542">
        <w:rPr>
          <w:spacing w:val="0"/>
          <w:kern w:val="0"/>
          <w:sz w:val="18"/>
          <w:szCs w:val="26"/>
          <w:rtl/>
        </w:rPr>
        <w:t>2009)</w:t>
      </w:r>
      <w:r w:rsidRPr="00B32542">
        <w:rPr>
          <w:rFonts w:hint="cs"/>
          <w:spacing w:val="0"/>
          <w:kern w:val="0"/>
          <w:sz w:val="18"/>
          <w:szCs w:val="26"/>
          <w:rtl/>
        </w:rPr>
        <w:t>.</w:t>
      </w:r>
    </w:p>
  </w:footnote>
  <w:footnote w:id="193">
    <w:p w:rsidR="00D64D4C" w:rsidRPr="00B32542" w:rsidRDefault="00D64D4C" w:rsidP="004A748F">
      <w:pPr>
        <w:pStyle w:val="FootnoteText"/>
        <w:spacing w:after="60" w:line="300" w:lineRule="exact"/>
        <w:ind w:left="1239" w:right="1247" w:hanging="574"/>
        <w:jc w:val="lowKashida"/>
        <w:rPr>
          <w:spacing w:val="0"/>
          <w:kern w:val="0"/>
          <w:sz w:val="18"/>
          <w:szCs w:val="26"/>
          <w:rtl/>
        </w:rPr>
      </w:pPr>
      <w:r>
        <w:rPr>
          <w:rFonts w:hint="cs"/>
          <w:spacing w:val="0"/>
          <w:kern w:val="0"/>
          <w:sz w:val="18"/>
          <w:szCs w:val="26"/>
          <w:rtl/>
        </w:rPr>
        <w:t>(</w:t>
      </w:r>
      <w:r>
        <w:rPr>
          <w:rFonts w:hint="cs"/>
          <w:spacing w:val="0"/>
          <w:kern w:val="0"/>
          <w:sz w:val="26"/>
          <w:szCs w:val="26"/>
          <w:rtl/>
        </w:rPr>
        <w:t>ف</w:t>
      </w:r>
      <w:r>
        <w:rPr>
          <w:rFonts w:hint="cs"/>
          <w:spacing w:val="0"/>
          <w:kern w:val="0"/>
          <w:sz w:val="18"/>
          <w:szCs w:val="26"/>
          <w:rtl/>
        </w:rPr>
        <w:t>)</w:t>
      </w:r>
      <w:r>
        <w:rPr>
          <w:rFonts w:hint="cs"/>
          <w:spacing w:val="0"/>
          <w:kern w:val="0"/>
          <w:sz w:val="18"/>
          <w:szCs w:val="26"/>
          <w:rtl/>
        </w:rPr>
        <w:tab/>
      </w:r>
      <w:r w:rsidRPr="00B32542">
        <w:rPr>
          <w:rFonts w:hint="cs"/>
          <w:spacing w:val="0"/>
          <w:kern w:val="0"/>
          <w:sz w:val="18"/>
          <w:szCs w:val="26"/>
          <w:rtl/>
        </w:rPr>
        <w:t xml:space="preserve">مؤرخة </w:t>
      </w:r>
      <w:r w:rsidRPr="00B32542">
        <w:rPr>
          <w:spacing w:val="0"/>
          <w:kern w:val="0"/>
          <w:sz w:val="18"/>
          <w:szCs w:val="26"/>
          <w:rtl/>
        </w:rPr>
        <w:t>24 تموز/يوليه 2008.</w:t>
      </w:r>
    </w:p>
  </w:footnote>
  <w:footnote w:id="194">
    <w:p w:rsidR="00D64D4C" w:rsidRPr="00B32542" w:rsidRDefault="00D64D4C" w:rsidP="00646E1E">
      <w:pPr>
        <w:pStyle w:val="FootnoteText"/>
        <w:spacing w:after="60" w:line="300" w:lineRule="exact"/>
        <w:ind w:left="1253" w:right="1247" w:hanging="476"/>
        <w:jc w:val="lowKashida"/>
        <w:rPr>
          <w:spacing w:val="0"/>
          <w:kern w:val="0"/>
          <w:sz w:val="18"/>
          <w:szCs w:val="26"/>
          <w:rtl/>
        </w:rPr>
      </w:pPr>
      <w:r>
        <w:rPr>
          <w:rFonts w:hint="cs"/>
          <w:spacing w:val="0"/>
          <w:kern w:val="0"/>
          <w:sz w:val="18"/>
          <w:szCs w:val="26"/>
          <w:rtl/>
        </w:rPr>
        <w:t>(</w:t>
      </w:r>
      <w:r>
        <w:rPr>
          <w:rFonts w:hint="cs"/>
          <w:spacing w:val="0"/>
          <w:kern w:val="0"/>
          <w:sz w:val="26"/>
          <w:szCs w:val="26"/>
          <w:rtl/>
        </w:rPr>
        <w:t>ص</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انظر على سبيل المثال، الملف الخاص بجمهورية الكونغو الديمقراطية المدرج في </w:t>
      </w:r>
      <w:r w:rsidRPr="00B32542">
        <w:rPr>
          <w:rFonts w:hint="cs"/>
          <w:spacing w:val="0"/>
          <w:kern w:val="0"/>
          <w:sz w:val="18"/>
          <w:szCs w:val="26"/>
          <w:rtl/>
        </w:rPr>
        <w:t>ال</w:t>
      </w:r>
      <w:r w:rsidRPr="00B32542">
        <w:rPr>
          <w:spacing w:val="0"/>
          <w:kern w:val="0"/>
          <w:sz w:val="18"/>
          <w:szCs w:val="26"/>
          <w:rtl/>
        </w:rPr>
        <w:t xml:space="preserve">مشروع "معلومات عن بلد العودة" (تشرين الثاني/نوفمبر 2008)، الفقرة 3-6-1، والتقرير الذي أعدته المنظمة السويسرية لمساعدة اللاجئين تحت عنوان " </w:t>
      </w:r>
      <w:r w:rsidRPr="00B32542">
        <w:rPr>
          <w:spacing w:val="0"/>
          <w:kern w:val="0"/>
          <w:sz w:val="18"/>
          <w:szCs w:val="26"/>
        </w:rPr>
        <w:t>Psychiatrische Versorgung</w:t>
      </w:r>
      <w:r w:rsidRPr="00B32542">
        <w:rPr>
          <w:spacing w:val="0"/>
          <w:kern w:val="0"/>
          <w:sz w:val="18"/>
          <w:szCs w:val="26"/>
          <w:rtl/>
        </w:rPr>
        <w:t>"، أ. غا</w:t>
      </w:r>
      <w:r w:rsidRPr="00B32542">
        <w:rPr>
          <w:rFonts w:hint="cs"/>
          <w:spacing w:val="0"/>
          <w:kern w:val="0"/>
          <w:sz w:val="18"/>
          <w:szCs w:val="26"/>
          <w:rtl/>
        </w:rPr>
        <w:t>يس</w:t>
      </w:r>
      <w:r w:rsidRPr="00B32542">
        <w:rPr>
          <w:spacing w:val="0"/>
          <w:kern w:val="0"/>
          <w:sz w:val="18"/>
          <w:szCs w:val="26"/>
          <w:rtl/>
        </w:rPr>
        <w:t xml:space="preserve">ر، 10 حزيران/يونيه 2009، الصفحة 2.  </w:t>
      </w:r>
    </w:p>
  </w:footnote>
  <w:footnote w:id="195">
    <w:p w:rsidR="00D64D4C" w:rsidRPr="00B32542" w:rsidRDefault="00D64D4C" w:rsidP="00646E1E">
      <w:pPr>
        <w:pStyle w:val="FootnoteText"/>
        <w:spacing w:after="60" w:line="300" w:lineRule="exact"/>
        <w:ind w:left="1253" w:right="1247" w:hanging="476"/>
        <w:jc w:val="lowKashida"/>
        <w:rPr>
          <w:spacing w:val="0"/>
          <w:kern w:val="0"/>
          <w:sz w:val="18"/>
          <w:szCs w:val="26"/>
          <w:rtl/>
        </w:rPr>
      </w:pPr>
      <w:r>
        <w:rPr>
          <w:rFonts w:hint="cs"/>
          <w:spacing w:val="0"/>
          <w:kern w:val="0"/>
          <w:sz w:val="18"/>
          <w:szCs w:val="26"/>
          <w:rtl/>
        </w:rPr>
        <w:t>(</w:t>
      </w:r>
      <w:r>
        <w:rPr>
          <w:rFonts w:hint="cs"/>
          <w:spacing w:val="0"/>
          <w:kern w:val="0"/>
          <w:sz w:val="26"/>
          <w:szCs w:val="26"/>
          <w:rtl/>
        </w:rPr>
        <w:t>ق</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انظر البلاغ رقم 186/2001، </w:t>
      </w:r>
      <w:r w:rsidRPr="00B32542">
        <w:rPr>
          <w:i/>
          <w:iCs/>
          <w:spacing w:val="0"/>
          <w:kern w:val="0"/>
          <w:sz w:val="18"/>
          <w:szCs w:val="26"/>
          <w:rtl/>
        </w:rPr>
        <w:t>ك.</w:t>
      </w:r>
      <w:r w:rsidRPr="00B32542">
        <w:rPr>
          <w:rFonts w:hint="cs"/>
          <w:i/>
          <w:iCs/>
          <w:spacing w:val="0"/>
          <w:kern w:val="0"/>
          <w:sz w:val="18"/>
          <w:szCs w:val="26"/>
          <w:rtl/>
        </w:rPr>
        <w:t xml:space="preserve"> </w:t>
      </w:r>
      <w:r w:rsidRPr="00B32542">
        <w:rPr>
          <w:i/>
          <w:iCs/>
          <w:spacing w:val="0"/>
          <w:kern w:val="0"/>
          <w:sz w:val="18"/>
          <w:szCs w:val="26"/>
          <w:rtl/>
        </w:rPr>
        <w:t>ك</w:t>
      </w:r>
      <w:r w:rsidRPr="00B32542">
        <w:rPr>
          <w:rFonts w:hint="cs"/>
          <w:i/>
          <w:iCs/>
          <w:spacing w:val="0"/>
          <w:kern w:val="0"/>
          <w:sz w:val="18"/>
          <w:szCs w:val="26"/>
          <w:rtl/>
        </w:rPr>
        <w:t>.</w:t>
      </w:r>
      <w:r w:rsidRPr="00B32542">
        <w:rPr>
          <w:i/>
          <w:iCs/>
          <w:spacing w:val="0"/>
          <w:kern w:val="0"/>
          <w:sz w:val="18"/>
          <w:szCs w:val="26"/>
          <w:rtl/>
        </w:rPr>
        <w:t xml:space="preserve"> ضد سويسرا</w:t>
      </w:r>
      <w:r w:rsidRPr="00B32542">
        <w:rPr>
          <w:spacing w:val="0"/>
          <w:kern w:val="0"/>
          <w:sz w:val="18"/>
          <w:szCs w:val="26"/>
          <w:rtl/>
        </w:rPr>
        <w:t xml:space="preserve">، </w:t>
      </w:r>
      <w:r w:rsidRPr="00B32542">
        <w:rPr>
          <w:rFonts w:hint="cs"/>
          <w:spacing w:val="0"/>
          <w:kern w:val="0"/>
          <w:sz w:val="18"/>
          <w:szCs w:val="26"/>
          <w:rtl/>
        </w:rPr>
        <w:t>ال</w:t>
      </w:r>
      <w:r w:rsidRPr="00B32542">
        <w:rPr>
          <w:spacing w:val="0"/>
          <w:kern w:val="0"/>
          <w:sz w:val="18"/>
          <w:szCs w:val="26"/>
          <w:rtl/>
        </w:rPr>
        <w:t xml:space="preserve">آراء </w:t>
      </w:r>
      <w:r w:rsidRPr="00B32542">
        <w:rPr>
          <w:rFonts w:hint="cs"/>
          <w:spacing w:val="0"/>
          <w:kern w:val="0"/>
          <w:sz w:val="18"/>
          <w:szCs w:val="26"/>
          <w:rtl/>
        </w:rPr>
        <w:t>ال</w:t>
      </w:r>
      <w:r w:rsidRPr="00B32542">
        <w:rPr>
          <w:spacing w:val="0"/>
          <w:kern w:val="0"/>
          <w:sz w:val="18"/>
          <w:szCs w:val="26"/>
          <w:rtl/>
        </w:rPr>
        <w:t xml:space="preserve">معتمدة في 11 تشرين الثاني/نوفمبر 2003، الفقرة 6-8؛ والبلاغ رقم 83/1997، </w:t>
      </w:r>
      <w:r w:rsidRPr="00B32542">
        <w:rPr>
          <w:i/>
          <w:iCs/>
          <w:spacing w:val="0"/>
          <w:kern w:val="0"/>
          <w:sz w:val="18"/>
          <w:szCs w:val="26"/>
          <w:rtl/>
        </w:rPr>
        <w:t>غ.</w:t>
      </w:r>
      <w:r w:rsidRPr="00B32542">
        <w:rPr>
          <w:rFonts w:hint="cs"/>
          <w:i/>
          <w:iCs/>
          <w:spacing w:val="0"/>
          <w:kern w:val="0"/>
          <w:sz w:val="18"/>
          <w:szCs w:val="26"/>
          <w:rtl/>
        </w:rPr>
        <w:t xml:space="preserve"> </w:t>
      </w:r>
      <w:r w:rsidRPr="00B32542">
        <w:rPr>
          <w:i/>
          <w:iCs/>
          <w:spacing w:val="0"/>
          <w:kern w:val="0"/>
          <w:sz w:val="18"/>
          <w:szCs w:val="26"/>
          <w:rtl/>
        </w:rPr>
        <w:t>ر.</w:t>
      </w:r>
      <w:r w:rsidRPr="00B32542">
        <w:rPr>
          <w:rFonts w:hint="cs"/>
          <w:i/>
          <w:iCs/>
          <w:spacing w:val="0"/>
          <w:kern w:val="0"/>
          <w:sz w:val="18"/>
          <w:szCs w:val="26"/>
          <w:rtl/>
        </w:rPr>
        <w:t xml:space="preserve"> </w:t>
      </w:r>
      <w:r w:rsidRPr="00B32542">
        <w:rPr>
          <w:i/>
          <w:iCs/>
          <w:spacing w:val="0"/>
          <w:kern w:val="0"/>
          <w:sz w:val="18"/>
          <w:szCs w:val="26"/>
          <w:rtl/>
        </w:rPr>
        <w:t>ب</w:t>
      </w:r>
      <w:r w:rsidRPr="00B32542">
        <w:rPr>
          <w:rFonts w:hint="cs"/>
          <w:i/>
          <w:iCs/>
          <w:spacing w:val="0"/>
          <w:kern w:val="0"/>
          <w:sz w:val="18"/>
          <w:szCs w:val="26"/>
          <w:rtl/>
        </w:rPr>
        <w:t>.</w:t>
      </w:r>
      <w:r w:rsidRPr="00B32542">
        <w:rPr>
          <w:i/>
          <w:iCs/>
          <w:spacing w:val="0"/>
          <w:kern w:val="0"/>
          <w:sz w:val="18"/>
          <w:szCs w:val="26"/>
          <w:rtl/>
        </w:rPr>
        <w:t xml:space="preserve"> ضد السويد</w:t>
      </w:r>
      <w:r w:rsidRPr="00B32542">
        <w:rPr>
          <w:spacing w:val="0"/>
          <w:kern w:val="0"/>
          <w:sz w:val="18"/>
          <w:szCs w:val="26"/>
          <w:rtl/>
        </w:rPr>
        <w:t xml:space="preserve">، </w:t>
      </w:r>
      <w:r w:rsidRPr="00B32542">
        <w:rPr>
          <w:rFonts w:hint="cs"/>
          <w:spacing w:val="0"/>
          <w:kern w:val="0"/>
          <w:sz w:val="18"/>
          <w:szCs w:val="26"/>
          <w:rtl/>
        </w:rPr>
        <w:t>ال</w:t>
      </w:r>
      <w:r w:rsidRPr="00B32542">
        <w:rPr>
          <w:spacing w:val="0"/>
          <w:kern w:val="0"/>
          <w:sz w:val="18"/>
          <w:szCs w:val="26"/>
          <w:rtl/>
        </w:rPr>
        <w:t xml:space="preserve">آراء </w:t>
      </w:r>
      <w:r w:rsidRPr="00B32542">
        <w:rPr>
          <w:rFonts w:hint="cs"/>
          <w:spacing w:val="0"/>
          <w:kern w:val="0"/>
          <w:sz w:val="18"/>
          <w:szCs w:val="26"/>
          <w:rtl/>
        </w:rPr>
        <w:t>ال</w:t>
      </w:r>
      <w:r w:rsidRPr="00B32542">
        <w:rPr>
          <w:spacing w:val="0"/>
          <w:kern w:val="0"/>
          <w:sz w:val="18"/>
          <w:szCs w:val="26"/>
          <w:rtl/>
        </w:rPr>
        <w:t>معتمدة في 15 أيار/مايو 1998، الفقرة 6-7.</w:t>
      </w:r>
    </w:p>
  </w:footnote>
  <w:footnote w:id="196">
    <w:p w:rsidR="00D64D4C" w:rsidRPr="00B32542" w:rsidRDefault="00D64D4C" w:rsidP="00646E1E">
      <w:pPr>
        <w:pStyle w:val="FootnoteText"/>
        <w:spacing w:after="60" w:line="300" w:lineRule="exact"/>
        <w:ind w:left="1253" w:right="1247" w:hanging="476"/>
        <w:jc w:val="lowKashida"/>
        <w:rPr>
          <w:rFonts w:hint="cs"/>
          <w:spacing w:val="0"/>
          <w:kern w:val="0"/>
          <w:sz w:val="18"/>
          <w:szCs w:val="26"/>
          <w:rtl/>
        </w:rPr>
      </w:pPr>
      <w:r>
        <w:rPr>
          <w:rFonts w:hint="cs"/>
          <w:spacing w:val="0"/>
          <w:kern w:val="0"/>
          <w:sz w:val="18"/>
          <w:szCs w:val="26"/>
          <w:rtl/>
        </w:rPr>
        <w:t>(</w:t>
      </w:r>
      <w:r>
        <w:rPr>
          <w:rFonts w:hint="cs"/>
          <w:spacing w:val="0"/>
          <w:kern w:val="0"/>
          <w:sz w:val="26"/>
          <w:szCs w:val="26"/>
          <w:rtl/>
        </w:rPr>
        <w:t>ر</w:t>
      </w:r>
      <w:r>
        <w:rPr>
          <w:rFonts w:hint="cs"/>
          <w:spacing w:val="0"/>
          <w:kern w:val="0"/>
          <w:sz w:val="18"/>
          <w:szCs w:val="26"/>
          <w:rtl/>
        </w:rPr>
        <w:t>)</w:t>
      </w:r>
      <w:r>
        <w:rPr>
          <w:rFonts w:hint="cs"/>
          <w:spacing w:val="0"/>
          <w:kern w:val="0"/>
          <w:sz w:val="18"/>
          <w:szCs w:val="26"/>
          <w:rtl/>
        </w:rPr>
        <w:tab/>
      </w:r>
      <w:r w:rsidRPr="00B32542">
        <w:rPr>
          <w:spacing w:val="0"/>
          <w:kern w:val="0"/>
          <w:sz w:val="18"/>
          <w:szCs w:val="26"/>
          <w:rtl/>
        </w:rPr>
        <w:t xml:space="preserve">انظر البلاغ رقم 298/2006، </w:t>
      </w:r>
      <w:r w:rsidRPr="00B32542">
        <w:rPr>
          <w:i/>
          <w:iCs/>
          <w:spacing w:val="0"/>
          <w:kern w:val="0"/>
          <w:sz w:val="18"/>
          <w:szCs w:val="26"/>
          <w:rtl/>
        </w:rPr>
        <w:t>ك.</w:t>
      </w:r>
      <w:r w:rsidRPr="00B32542">
        <w:rPr>
          <w:rFonts w:hint="cs"/>
          <w:i/>
          <w:iCs/>
          <w:spacing w:val="0"/>
          <w:kern w:val="0"/>
          <w:sz w:val="18"/>
          <w:szCs w:val="26"/>
          <w:rtl/>
        </w:rPr>
        <w:t xml:space="preserve"> </w:t>
      </w:r>
      <w:r w:rsidRPr="00B32542">
        <w:rPr>
          <w:i/>
          <w:iCs/>
          <w:spacing w:val="0"/>
          <w:kern w:val="0"/>
          <w:sz w:val="18"/>
          <w:szCs w:val="26"/>
          <w:rtl/>
        </w:rPr>
        <w:t>أ.</w:t>
      </w:r>
      <w:r w:rsidRPr="00B32542">
        <w:rPr>
          <w:rFonts w:hint="cs"/>
          <w:i/>
          <w:iCs/>
          <w:spacing w:val="0"/>
          <w:kern w:val="0"/>
          <w:sz w:val="18"/>
          <w:szCs w:val="26"/>
          <w:rtl/>
        </w:rPr>
        <w:t xml:space="preserve"> </w:t>
      </w:r>
      <w:r w:rsidRPr="00B32542">
        <w:rPr>
          <w:i/>
          <w:iCs/>
          <w:spacing w:val="0"/>
          <w:kern w:val="0"/>
          <w:sz w:val="18"/>
          <w:szCs w:val="26"/>
          <w:rtl/>
        </w:rPr>
        <w:t>ر.</w:t>
      </w:r>
      <w:r w:rsidRPr="00B32542">
        <w:rPr>
          <w:rFonts w:hint="cs"/>
          <w:i/>
          <w:iCs/>
          <w:spacing w:val="0"/>
          <w:kern w:val="0"/>
          <w:sz w:val="18"/>
          <w:szCs w:val="26"/>
          <w:rtl/>
        </w:rPr>
        <w:t xml:space="preserve"> </w:t>
      </w:r>
      <w:r w:rsidRPr="00B32542">
        <w:rPr>
          <w:i/>
          <w:iCs/>
          <w:spacing w:val="0"/>
          <w:kern w:val="0"/>
          <w:sz w:val="18"/>
          <w:szCs w:val="26"/>
          <w:rtl/>
        </w:rPr>
        <w:t>م</w:t>
      </w:r>
      <w:r w:rsidRPr="00B32542">
        <w:rPr>
          <w:rFonts w:hint="cs"/>
          <w:i/>
          <w:iCs/>
          <w:spacing w:val="0"/>
          <w:kern w:val="0"/>
          <w:sz w:val="18"/>
          <w:szCs w:val="26"/>
          <w:rtl/>
        </w:rPr>
        <w:t>.</w:t>
      </w:r>
      <w:r w:rsidRPr="00B32542">
        <w:rPr>
          <w:i/>
          <w:iCs/>
          <w:spacing w:val="0"/>
          <w:kern w:val="0"/>
          <w:sz w:val="18"/>
          <w:szCs w:val="26"/>
          <w:rtl/>
        </w:rPr>
        <w:t xml:space="preserve"> وآخرون ضد كندا</w:t>
      </w:r>
      <w:r w:rsidRPr="00B32542">
        <w:rPr>
          <w:spacing w:val="0"/>
          <w:kern w:val="0"/>
          <w:sz w:val="18"/>
          <w:szCs w:val="26"/>
          <w:rtl/>
        </w:rPr>
        <w:t xml:space="preserve">، </w:t>
      </w:r>
      <w:r w:rsidRPr="00B32542">
        <w:rPr>
          <w:rFonts w:hint="cs"/>
          <w:spacing w:val="0"/>
          <w:kern w:val="0"/>
          <w:sz w:val="18"/>
          <w:szCs w:val="26"/>
          <w:rtl/>
        </w:rPr>
        <w:t>ال</w:t>
      </w:r>
      <w:r w:rsidRPr="00B32542">
        <w:rPr>
          <w:spacing w:val="0"/>
          <w:kern w:val="0"/>
          <w:sz w:val="18"/>
          <w:szCs w:val="26"/>
          <w:rtl/>
        </w:rPr>
        <w:t xml:space="preserve">آراء </w:t>
      </w:r>
      <w:r w:rsidRPr="00B32542">
        <w:rPr>
          <w:rFonts w:hint="cs"/>
          <w:spacing w:val="0"/>
          <w:kern w:val="0"/>
          <w:sz w:val="18"/>
          <w:szCs w:val="26"/>
          <w:rtl/>
        </w:rPr>
        <w:t>ال</w:t>
      </w:r>
      <w:r w:rsidRPr="00B32542">
        <w:rPr>
          <w:spacing w:val="0"/>
          <w:kern w:val="0"/>
          <w:sz w:val="18"/>
          <w:szCs w:val="26"/>
          <w:rtl/>
        </w:rPr>
        <w:t xml:space="preserve">معتمدة في 18 أيار/مايو 2007، الفقرة 8-10؛ والبلاغ رقم 256/2004، </w:t>
      </w:r>
      <w:r w:rsidRPr="00B32542">
        <w:rPr>
          <w:i/>
          <w:iCs/>
          <w:spacing w:val="0"/>
          <w:kern w:val="0"/>
          <w:sz w:val="18"/>
          <w:szCs w:val="26"/>
          <w:rtl/>
        </w:rPr>
        <w:t>م. ز</w:t>
      </w:r>
      <w:r w:rsidRPr="00B32542">
        <w:rPr>
          <w:rFonts w:hint="cs"/>
          <w:i/>
          <w:iCs/>
          <w:spacing w:val="0"/>
          <w:kern w:val="0"/>
          <w:sz w:val="18"/>
          <w:szCs w:val="26"/>
          <w:rtl/>
        </w:rPr>
        <w:t>.</w:t>
      </w:r>
      <w:r w:rsidRPr="00B32542">
        <w:rPr>
          <w:i/>
          <w:iCs/>
          <w:spacing w:val="0"/>
          <w:kern w:val="0"/>
          <w:sz w:val="18"/>
          <w:szCs w:val="26"/>
          <w:rtl/>
        </w:rPr>
        <w:t xml:space="preserve"> ضد السويد</w:t>
      </w:r>
      <w:r w:rsidRPr="00B32542">
        <w:rPr>
          <w:spacing w:val="0"/>
          <w:kern w:val="0"/>
          <w:sz w:val="18"/>
          <w:szCs w:val="26"/>
          <w:rtl/>
        </w:rPr>
        <w:t xml:space="preserve">، </w:t>
      </w:r>
      <w:r w:rsidRPr="00B32542">
        <w:rPr>
          <w:rFonts w:hint="cs"/>
          <w:spacing w:val="0"/>
          <w:kern w:val="0"/>
          <w:sz w:val="18"/>
          <w:szCs w:val="26"/>
          <w:rtl/>
        </w:rPr>
        <w:t>ال</w:t>
      </w:r>
      <w:r w:rsidRPr="00B32542">
        <w:rPr>
          <w:spacing w:val="0"/>
          <w:kern w:val="0"/>
          <w:sz w:val="18"/>
          <w:szCs w:val="26"/>
          <w:rtl/>
        </w:rPr>
        <w:t xml:space="preserve">آراء </w:t>
      </w:r>
      <w:r w:rsidRPr="00B32542">
        <w:rPr>
          <w:rFonts w:hint="cs"/>
          <w:spacing w:val="0"/>
          <w:kern w:val="0"/>
          <w:sz w:val="18"/>
          <w:szCs w:val="26"/>
          <w:rtl/>
        </w:rPr>
        <w:t>ال</w:t>
      </w:r>
      <w:r w:rsidRPr="00B32542">
        <w:rPr>
          <w:spacing w:val="0"/>
          <w:kern w:val="0"/>
          <w:sz w:val="18"/>
          <w:szCs w:val="26"/>
          <w:rtl/>
        </w:rPr>
        <w:t xml:space="preserve">معتمدة في 12 أيار/مايو 2006، الفقرة 9-3؛ والبلاغ رقم 214/2002، </w:t>
      </w:r>
      <w:r w:rsidRPr="00B32542">
        <w:rPr>
          <w:i/>
          <w:iCs/>
          <w:spacing w:val="0"/>
          <w:kern w:val="0"/>
          <w:sz w:val="18"/>
          <w:szCs w:val="26"/>
          <w:rtl/>
        </w:rPr>
        <w:t>م.</w:t>
      </w:r>
      <w:r w:rsidRPr="00B32542">
        <w:rPr>
          <w:rFonts w:hint="cs"/>
          <w:i/>
          <w:iCs/>
          <w:spacing w:val="0"/>
          <w:kern w:val="0"/>
          <w:sz w:val="18"/>
          <w:szCs w:val="26"/>
          <w:rtl/>
        </w:rPr>
        <w:t xml:space="preserve"> </w:t>
      </w:r>
      <w:r w:rsidRPr="00B32542">
        <w:rPr>
          <w:i/>
          <w:iCs/>
          <w:spacing w:val="0"/>
          <w:kern w:val="0"/>
          <w:sz w:val="18"/>
          <w:szCs w:val="26"/>
          <w:rtl/>
        </w:rPr>
        <w:t>أ.</w:t>
      </w:r>
      <w:r w:rsidRPr="00B32542">
        <w:rPr>
          <w:rFonts w:hint="cs"/>
          <w:i/>
          <w:iCs/>
          <w:spacing w:val="0"/>
          <w:kern w:val="0"/>
          <w:sz w:val="18"/>
          <w:szCs w:val="26"/>
          <w:rtl/>
        </w:rPr>
        <w:t xml:space="preserve"> </w:t>
      </w:r>
      <w:r w:rsidRPr="00B32542">
        <w:rPr>
          <w:i/>
          <w:iCs/>
          <w:spacing w:val="0"/>
          <w:kern w:val="0"/>
          <w:sz w:val="18"/>
          <w:szCs w:val="26"/>
          <w:rtl/>
        </w:rPr>
        <w:t>ك</w:t>
      </w:r>
      <w:r w:rsidRPr="00B32542">
        <w:rPr>
          <w:rFonts w:hint="cs"/>
          <w:i/>
          <w:iCs/>
          <w:spacing w:val="0"/>
          <w:kern w:val="0"/>
          <w:sz w:val="18"/>
          <w:szCs w:val="26"/>
          <w:rtl/>
        </w:rPr>
        <w:t>.</w:t>
      </w:r>
      <w:r w:rsidRPr="00B32542">
        <w:rPr>
          <w:i/>
          <w:iCs/>
          <w:spacing w:val="0"/>
          <w:kern w:val="0"/>
          <w:sz w:val="18"/>
          <w:szCs w:val="26"/>
          <w:rtl/>
        </w:rPr>
        <w:t xml:space="preserve"> ضد ألمانيا</w:t>
      </w:r>
      <w:r w:rsidRPr="00B32542">
        <w:rPr>
          <w:spacing w:val="0"/>
          <w:kern w:val="0"/>
          <w:sz w:val="18"/>
          <w:szCs w:val="26"/>
          <w:rtl/>
        </w:rPr>
        <w:t xml:space="preserve">، </w:t>
      </w:r>
      <w:r w:rsidRPr="00B32542">
        <w:rPr>
          <w:rFonts w:hint="cs"/>
          <w:spacing w:val="0"/>
          <w:kern w:val="0"/>
          <w:sz w:val="18"/>
          <w:szCs w:val="26"/>
          <w:rtl/>
        </w:rPr>
        <w:t>ال</w:t>
      </w:r>
      <w:r w:rsidRPr="00B32542">
        <w:rPr>
          <w:spacing w:val="0"/>
          <w:kern w:val="0"/>
          <w:sz w:val="18"/>
          <w:szCs w:val="26"/>
          <w:rtl/>
        </w:rPr>
        <w:t xml:space="preserve">آراء </w:t>
      </w:r>
      <w:r w:rsidRPr="00B32542">
        <w:rPr>
          <w:rFonts w:hint="cs"/>
          <w:spacing w:val="0"/>
          <w:kern w:val="0"/>
          <w:sz w:val="18"/>
          <w:szCs w:val="26"/>
          <w:rtl/>
        </w:rPr>
        <w:t>ال</w:t>
      </w:r>
      <w:r w:rsidRPr="00B32542">
        <w:rPr>
          <w:spacing w:val="0"/>
          <w:kern w:val="0"/>
          <w:sz w:val="18"/>
          <w:szCs w:val="26"/>
          <w:rtl/>
        </w:rPr>
        <w:t>معتمدة في 12 أيار/مايو 2004،</w:t>
      </w:r>
      <w:r w:rsidRPr="00B32542">
        <w:rPr>
          <w:rFonts w:hint="cs"/>
          <w:spacing w:val="0"/>
          <w:kern w:val="0"/>
          <w:sz w:val="18"/>
          <w:szCs w:val="26"/>
          <w:rtl/>
        </w:rPr>
        <w:t xml:space="preserve">  </w:t>
      </w:r>
      <w:r w:rsidRPr="00B32542">
        <w:rPr>
          <w:spacing w:val="0"/>
          <w:kern w:val="0"/>
          <w:sz w:val="18"/>
          <w:szCs w:val="26"/>
          <w:rtl/>
        </w:rPr>
        <w:t xml:space="preserve"> الفقرة 13-5؛ والبلاغ رقم 150/1999؛ </w:t>
      </w:r>
      <w:r w:rsidRPr="00B32542">
        <w:rPr>
          <w:i/>
          <w:iCs/>
          <w:spacing w:val="0"/>
          <w:kern w:val="0"/>
          <w:sz w:val="18"/>
          <w:szCs w:val="26"/>
          <w:rtl/>
        </w:rPr>
        <w:t>س.</w:t>
      </w:r>
      <w:r w:rsidRPr="00B32542">
        <w:rPr>
          <w:rFonts w:hint="cs"/>
          <w:i/>
          <w:iCs/>
          <w:spacing w:val="0"/>
          <w:kern w:val="0"/>
          <w:sz w:val="18"/>
          <w:szCs w:val="26"/>
          <w:rtl/>
        </w:rPr>
        <w:t xml:space="preserve"> </w:t>
      </w:r>
      <w:r w:rsidRPr="00B32542">
        <w:rPr>
          <w:i/>
          <w:iCs/>
          <w:spacing w:val="0"/>
          <w:kern w:val="0"/>
          <w:sz w:val="18"/>
          <w:szCs w:val="26"/>
          <w:rtl/>
        </w:rPr>
        <w:t>ل</w:t>
      </w:r>
      <w:r w:rsidRPr="00B32542">
        <w:rPr>
          <w:rFonts w:hint="cs"/>
          <w:i/>
          <w:iCs/>
          <w:spacing w:val="0"/>
          <w:kern w:val="0"/>
          <w:sz w:val="18"/>
          <w:szCs w:val="26"/>
          <w:rtl/>
        </w:rPr>
        <w:t>.</w:t>
      </w:r>
      <w:r w:rsidRPr="00B32542">
        <w:rPr>
          <w:i/>
          <w:iCs/>
          <w:spacing w:val="0"/>
          <w:kern w:val="0"/>
          <w:sz w:val="18"/>
          <w:szCs w:val="26"/>
          <w:rtl/>
        </w:rPr>
        <w:t xml:space="preserve"> ضد السويد</w:t>
      </w:r>
      <w:r w:rsidRPr="00B32542">
        <w:rPr>
          <w:spacing w:val="0"/>
          <w:kern w:val="0"/>
          <w:sz w:val="18"/>
          <w:szCs w:val="26"/>
          <w:rtl/>
        </w:rPr>
        <w:t xml:space="preserve">، </w:t>
      </w:r>
      <w:r w:rsidRPr="00B32542">
        <w:rPr>
          <w:rFonts w:hint="cs"/>
          <w:spacing w:val="0"/>
          <w:kern w:val="0"/>
          <w:sz w:val="18"/>
          <w:szCs w:val="26"/>
          <w:rtl/>
        </w:rPr>
        <w:t>ال</w:t>
      </w:r>
      <w:r w:rsidRPr="00B32542">
        <w:rPr>
          <w:spacing w:val="0"/>
          <w:kern w:val="0"/>
          <w:sz w:val="18"/>
          <w:szCs w:val="26"/>
          <w:rtl/>
        </w:rPr>
        <w:t xml:space="preserve">آراء </w:t>
      </w:r>
      <w:r w:rsidRPr="00B32542">
        <w:rPr>
          <w:rFonts w:hint="cs"/>
          <w:spacing w:val="0"/>
          <w:kern w:val="0"/>
          <w:sz w:val="18"/>
          <w:szCs w:val="26"/>
          <w:rtl/>
        </w:rPr>
        <w:t>ال</w:t>
      </w:r>
      <w:r w:rsidRPr="00B32542">
        <w:rPr>
          <w:spacing w:val="0"/>
          <w:kern w:val="0"/>
          <w:sz w:val="18"/>
          <w:szCs w:val="26"/>
          <w:rtl/>
        </w:rPr>
        <w:t xml:space="preserve">معتمدة في 11 أيار/مايو 2001، </w:t>
      </w:r>
      <w:r w:rsidRPr="00B32542">
        <w:rPr>
          <w:rFonts w:hint="cs"/>
          <w:spacing w:val="0"/>
          <w:kern w:val="0"/>
          <w:sz w:val="18"/>
          <w:szCs w:val="26"/>
          <w:rtl/>
        </w:rPr>
        <w:t xml:space="preserve">  </w:t>
      </w:r>
      <w:r w:rsidRPr="00B32542">
        <w:rPr>
          <w:spacing w:val="0"/>
          <w:kern w:val="0"/>
          <w:sz w:val="18"/>
          <w:szCs w:val="26"/>
          <w:rtl/>
        </w:rPr>
        <w:t>الفقرة 6-3.</w:t>
      </w:r>
    </w:p>
  </w:footnote>
  <w:footnote w:id="197">
    <w:p w:rsidR="00D64D4C" w:rsidRPr="00B32542" w:rsidRDefault="00D64D4C" w:rsidP="00FE387B">
      <w:pPr>
        <w:pStyle w:val="FootnoteText"/>
        <w:numPr>
          <w:ilvl w:val="0"/>
          <w:numId w:val="36"/>
        </w:numPr>
        <w:tabs>
          <w:tab w:val="clear" w:pos="2494"/>
          <w:tab w:val="left" w:pos="1281"/>
        </w:tabs>
        <w:spacing w:after="60" w:line="280" w:lineRule="exact"/>
        <w:ind w:left="1276" w:right="1247"/>
        <w:jc w:val="lowKashida"/>
        <w:rPr>
          <w:rFonts w:hint="cs"/>
          <w:spacing w:val="0"/>
          <w:kern w:val="0"/>
          <w:sz w:val="18"/>
          <w:szCs w:val="26"/>
        </w:rPr>
      </w:pPr>
      <w:r w:rsidRPr="00B32542">
        <w:rPr>
          <w:rFonts w:hint="cs"/>
          <w:spacing w:val="0"/>
          <w:kern w:val="0"/>
          <w:sz w:val="18"/>
          <w:szCs w:val="26"/>
          <w:rtl/>
        </w:rPr>
        <w:t>تعتمد الوقائع المعروضة على ما قدمته صاحبة الشكوى من معلومات وعلى القرارات الصادرة في سياق طلب اللجوء إلى سويسرا.</w:t>
      </w:r>
    </w:p>
  </w:footnote>
  <w:footnote w:id="198">
    <w:p w:rsidR="00D64D4C" w:rsidRPr="00B32542" w:rsidRDefault="00D64D4C" w:rsidP="00FE387B">
      <w:pPr>
        <w:pStyle w:val="FootnoteText"/>
        <w:numPr>
          <w:ilvl w:val="0"/>
          <w:numId w:val="36"/>
        </w:numPr>
        <w:tabs>
          <w:tab w:val="clear" w:pos="2494"/>
          <w:tab w:val="left" w:pos="1253"/>
        </w:tabs>
        <w:spacing w:after="60" w:line="300" w:lineRule="exact"/>
        <w:ind w:left="1248" w:right="1247"/>
        <w:jc w:val="lowKashida"/>
        <w:rPr>
          <w:spacing w:val="0"/>
          <w:kern w:val="0"/>
          <w:sz w:val="18"/>
          <w:szCs w:val="26"/>
        </w:rPr>
      </w:pPr>
      <w:r w:rsidRPr="00B32542">
        <w:rPr>
          <w:rFonts w:hint="cs"/>
          <w:spacing w:val="0"/>
          <w:kern w:val="0"/>
          <w:sz w:val="18"/>
          <w:szCs w:val="26"/>
          <w:rtl/>
        </w:rPr>
        <w:t>لم تحدد صاحبة الشكوى تاريخ هذه المكالمة الهاتفية.</w:t>
      </w:r>
    </w:p>
  </w:footnote>
  <w:footnote w:id="199">
    <w:p w:rsidR="00D64D4C" w:rsidRPr="00B32542" w:rsidRDefault="00D64D4C" w:rsidP="00FE387B">
      <w:pPr>
        <w:pStyle w:val="FootnoteText"/>
        <w:numPr>
          <w:ilvl w:val="0"/>
          <w:numId w:val="36"/>
        </w:numPr>
        <w:tabs>
          <w:tab w:val="clear" w:pos="2494"/>
          <w:tab w:val="left" w:pos="1253"/>
        </w:tabs>
        <w:spacing w:after="60" w:line="300" w:lineRule="exact"/>
        <w:ind w:left="1248" w:right="1247"/>
        <w:jc w:val="lowKashida"/>
        <w:rPr>
          <w:spacing w:val="0"/>
          <w:kern w:val="0"/>
          <w:sz w:val="18"/>
          <w:szCs w:val="26"/>
        </w:rPr>
      </w:pPr>
      <w:r w:rsidRPr="00B32542">
        <w:rPr>
          <w:rFonts w:hint="cs"/>
          <w:spacing w:val="0"/>
          <w:kern w:val="0"/>
          <w:sz w:val="18"/>
          <w:szCs w:val="26"/>
          <w:rtl/>
        </w:rPr>
        <w:t>لم تحدد صاحبة الشكوى مضمون هذه المعلومات.</w:t>
      </w:r>
    </w:p>
  </w:footnote>
  <w:footnote w:id="200">
    <w:p w:rsidR="00D64D4C" w:rsidRPr="00B32542" w:rsidRDefault="00D64D4C" w:rsidP="00FE387B">
      <w:pPr>
        <w:pStyle w:val="FootnoteText"/>
        <w:numPr>
          <w:ilvl w:val="0"/>
          <w:numId w:val="36"/>
        </w:numPr>
        <w:tabs>
          <w:tab w:val="clear" w:pos="2494"/>
          <w:tab w:val="left" w:pos="1253"/>
        </w:tabs>
        <w:spacing w:after="60" w:line="300" w:lineRule="exact"/>
        <w:ind w:left="1248" w:right="1247"/>
        <w:jc w:val="lowKashida"/>
        <w:rPr>
          <w:rFonts w:hint="cs"/>
          <w:spacing w:val="0"/>
          <w:kern w:val="0"/>
          <w:sz w:val="18"/>
          <w:szCs w:val="26"/>
        </w:rPr>
      </w:pPr>
      <w:r w:rsidRPr="00B32542">
        <w:rPr>
          <w:rFonts w:hint="cs"/>
          <w:spacing w:val="0"/>
          <w:kern w:val="0"/>
          <w:sz w:val="18"/>
          <w:szCs w:val="26"/>
          <w:rtl/>
        </w:rPr>
        <w:t>تقوم وكالة الاستخبارات الوطنية في جمهورية الكونغو الديمقراطية بمهام الاستخبارات في كل من الداخل والخارج.</w:t>
      </w:r>
    </w:p>
  </w:footnote>
  <w:footnote w:id="201">
    <w:p w:rsidR="00D64D4C" w:rsidRPr="00B32542" w:rsidRDefault="00D64D4C" w:rsidP="00FE387B">
      <w:pPr>
        <w:pStyle w:val="FootnoteText"/>
        <w:tabs>
          <w:tab w:val="left" w:pos="1211"/>
        </w:tabs>
        <w:spacing w:after="60" w:line="300" w:lineRule="exact"/>
        <w:ind w:left="1211" w:right="1247" w:hanging="518"/>
        <w:jc w:val="lowKashida"/>
        <w:rPr>
          <w:spacing w:val="0"/>
          <w:kern w:val="0"/>
          <w:sz w:val="18"/>
          <w:szCs w:val="26"/>
        </w:rPr>
      </w:pPr>
      <w:r>
        <w:rPr>
          <w:rFonts w:hint="cs"/>
          <w:spacing w:val="0"/>
          <w:kern w:val="0"/>
          <w:sz w:val="18"/>
          <w:szCs w:val="26"/>
          <w:rtl/>
        </w:rPr>
        <w:t>(</w:t>
      </w:r>
      <w:r w:rsidRPr="00B32542">
        <w:rPr>
          <w:rFonts w:hint="cs"/>
          <w:spacing w:val="0"/>
          <w:kern w:val="0"/>
          <w:sz w:val="26"/>
          <w:szCs w:val="26"/>
          <w:rtl/>
        </w:rPr>
        <w:t>ﻫ</w:t>
      </w:r>
      <w:r>
        <w:rPr>
          <w:rFonts w:hint="cs"/>
          <w:spacing w:val="0"/>
          <w:kern w:val="0"/>
          <w:sz w:val="18"/>
          <w:szCs w:val="26"/>
          <w:rtl/>
        </w:rPr>
        <w:t>)</w:t>
      </w:r>
      <w:r>
        <w:rPr>
          <w:rFonts w:hint="cs"/>
          <w:spacing w:val="0"/>
          <w:kern w:val="0"/>
          <w:sz w:val="18"/>
          <w:szCs w:val="26"/>
          <w:rtl/>
        </w:rPr>
        <w:tab/>
      </w:r>
      <w:r w:rsidRPr="00B32542">
        <w:rPr>
          <w:rFonts w:hint="cs"/>
          <w:spacing w:val="0"/>
          <w:kern w:val="0"/>
          <w:sz w:val="18"/>
          <w:szCs w:val="26"/>
          <w:rtl/>
        </w:rPr>
        <w:t>مرفق نسخة من المقال المشار إليه بالشكوى الأصلية المقدمة من صاحبة الشكوى.</w:t>
      </w:r>
    </w:p>
  </w:footnote>
  <w:footnote w:id="202">
    <w:p w:rsidR="00D64D4C" w:rsidRPr="00B32542" w:rsidRDefault="00D64D4C" w:rsidP="00FE387B">
      <w:pPr>
        <w:pStyle w:val="FootnoteText"/>
        <w:spacing w:after="60" w:line="300" w:lineRule="exact"/>
        <w:ind w:left="1253" w:right="1247" w:hanging="490"/>
        <w:jc w:val="lowKashida"/>
        <w:rPr>
          <w:spacing w:val="0"/>
          <w:kern w:val="0"/>
          <w:sz w:val="18"/>
          <w:szCs w:val="26"/>
        </w:rPr>
      </w:pPr>
      <w:r>
        <w:rPr>
          <w:rFonts w:hint="cs"/>
          <w:spacing w:val="0"/>
          <w:kern w:val="0"/>
          <w:sz w:val="18"/>
          <w:szCs w:val="26"/>
          <w:rtl/>
        </w:rPr>
        <w:t>(</w:t>
      </w:r>
      <w:r>
        <w:rPr>
          <w:rFonts w:hint="cs"/>
          <w:spacing w:val="0"/>
          <w:kern w:val="0"/>
          <w:sz w:val="26"/>
          <w:szCs w:val="26"/>
          <w:rtl/>
        </w:rPr>
        <w:t>و</w:t>
      </w:r>
      <w:r>
        <w:rPr>
          <w:rFonts w:hint="cs"/>
          <w:spacing w:val="0"/>
          <w:kern w:val="0"/>
          <w:sz w:val="18"/>
          <w:szCs w:val="26"/>
          <w:rtl/>
        </w:rPr>
        <w:t>)</w:t>
      </w:r>
      <w:r>
        <w:rPr>
          <w:rFonts w:hint="cs"/>
          <w:spacing w:val="0"/>
          <w:kern w:val="0"/>
          <w:sz w:val="18"/>
          <w:szCs w:val="26"/>
          <w:rtl/>
        </w:rPr>
        <w:tab/>
      </w:r>
      <w:r w:rsidRPr="00B32542">
        <w:rPr>
          <w:rFonts w:hint="cs"/>
          <w:spacing w:val="0"/>
          <w:kern w:val="0"/>
          <w:sz w:val="18"/>
          <w:szCs w:val="26"/>
          <w:rtl/>
        </w:rPr>
        <w:t>انظر الفقرة 2-6.</w:t>
      </w:r>
    </w:p>
  </w:footnote>
  <w:footnote w:id="203">
    <w:p w:rsidR="00D64D4C" w:rsidRPr="00B32542" w:rsidRDefault="00D64D4C" w:rsidP="00FE387B">
      <w:pPr>
        <w:pStyle w:val="FootnoteText"/>
        <w:tabs>
          <w:tab w:val="left" w:pos="1253"/>
        </w:tabs>
        <w:spacing w:after="60" w:line="300" w:lineRule="exact"/>
        <w:ind w:left="1253" w:right="1247" w:hanging="420"/>
        <w:jc w:val="lowKashida"/>
        <w:rPr>
          <w:spacing w:val="0"/>
          <w:kern w:val="0"/>
          <w:sz w:val="18"/>
          <w:szCs w:val="26"/>
        </w:rPr>
      </w:pPr>
      <w:r>
        <w:rPr>
          <w:rFonts w:hint="cs"/>
          <w:spacing w:val="0"/>
          <w:kern w:val="0"/>
          <w:sz w:val="18"/>
          <w:szCs w:val="26"/>
          <w:rtl/>
        </w:rPr>
        <w:t>(</w:t>
      </w:r>
      <w:r>
        <w:rPr>
          <w:rFonts w:hint="cs"/>
          <w:spacing w:val="0"/>
          <w:kern w:val="0"/>
          <w:sz w:val="26"/>
          <w:szCs w:val="26"/>
          <w:rtl/>
        </w:rPr>
        <w:t>ز</w:t>
      </w:r>
      <w:r>
        <w:rPr>
          <w:rFonts w:hint="cs"/>
          <w:spacing w:val="0"/>
          <w:kern w:val="0"/>
          <w:sz w:val="18"/>
          <w:szCs w:val="26"/>
          <w:rtl/>
        </w:rPr>
        <w:t>)</w:t>
      </w:r>
      <w:r>
        <w:rPr>
          <w:rFonts w:hint="cs"/>
          <w:spacing w:val="0"/>
          <w:kern w:val="0"/>
          <w:sz w:val="18"/>
          <w:szCs w:val="26"/>
          <w:rtl/>
        </w:rPr>
        <w:tab/>
      </w:r>
      <w:r w:rsidRPr="00B32542">
        <w:rPr>
          <w:rFonts w:hint="cs"/>
          <w:spacing w:val="0"/>
          <w:kern w:val="0"/>
          <w:sz w:val="18"/>
          <w:szCs w:val="26"/>
          <w:rtl/>
        </w:rPr>
        <w:t xml:space="preserve">التعليق العام رقم 1، المرفق التاسع، الفقرة 6 (انظر </w:t>
      </w:r>
      <w:r w:rsidRPr="00B32542">
        <w:rPr>
          <w:spacing w:val="0"/>
          <w:kern w:val="0"/>
          <w:sz w:val="18"/>
          <w:szCs w:val="26"/>
        </w:rPr>
        <w:t>HRI/GEN/1/Rev.9</w:t>
      </w:r>
      <w:r w:rsidRPr="00B32542">
        <w:rPr>
          <w:rFonts w:hint="cs"/>
          <w:spacing w:val="0"/>
          <w:kern w:val="0"/>
          <w:sz w:val="18"/>
          <w:szCs w:val="26"/>
          <w:rtl/>
        </w:rPr>
        <w:t>، المجلد الثاني).</w:t>
      </w:r>
    </w:p>
  </w:footnote>
  <w:footnote w:id="204">
    <w:p w:rsidR="00D64D4C" w:rsidRPr="00B32542" w:rsidRDefault="00D64D4C" w:rsidP="00FE387B">
      <w:pPr>
        <w:pStyle w:val="FootnoteText"/>
        <w:tabs>
          <w:tab w:val="left" w:pos="1253"/>
        </w:tabs>
        <w:spacing w:after="60" w:line="300" w:lineRule="exact"/>
        <w:ind w:left="1253" w:right="1247" w:hanging="420"/>
        <w:jc w:val="lowKashida"/>
        <w:rPr>
          <w:rFonts w:hint="cs"/>
          <w:spacing w:val="0"/>
          <w:kern w:val="0"/>
          <w:sz w:val="18"/>
          <w:szCs w:val="26"/>
        </w:rPr>
      </w:pPr>
      <w:r>
        <w:rPr>
          <w:rFonts w:hint="cs"/>
          <w:spacing w:val="0"/>
          <w:kern w:val="0"/>
          <w:sz w:val="18"/>
          <w:szCs w:val="26"/>
          <w:rtl/>
        </w:rPr>
        <w:t>(</w:t>
      </w:r>
      <w:r>
        <w:rPr>
          <w:rFonts w:hint="cs"/>
          <w:spacing w:val="0"/>
          <w:kern w:val="0"/>
          <w:sz w:val="26"/>
          <w:szCs w:val="26"/>
          <w:rtl/>
        </w:rPr>
        <w:t>ح</w:t>
      </w:r>
      <w:r>
        <w:rPr>
          <w:rFonts w:hint="cs"/>
          <w:spacing w:val="0"/>
          <w:kern w:val="0"/>
          <w:sz w:val="18"/>
          <w:szCs w:val="26"/>
          <w:rtl/>
        </w:rPr>
        <w:t>)</w:t>
      </w:r>
      <w:r>
        <w:rPr>
          <w:rFonts w:hint="cs"/>
          <w:spacing w:val="0"/>
          <w:kern w:val="0"/>
          <w:sz w:val="18"/>
          <w:szCs w:val="26"/>
          <w:rtl/>
        </w:rPr>
        <w:tab/>
      </w:r>
      <w:r w:rsidRPr="00B32542">
        <w:rPr>
          <w:rFonts w:hint="cs"/>
          <w:spacing w:val="0"/>
          <w:kern w:val="0"/>
          <w:sz w:val="18"/>
          <w:szCs w:val="26"/>
          <w:rtl/>
        </w:rPr>
        <w:t xml:space="preserve">انظر على وجه التحديد قرارات اللجنة في قضية </w:t>
      </w:r>
      <w:r w:rsidRPr="00B32542">
        <w:rPr>
          <w:rFonts w:hint="cs"/>
          <w:i/>
          <w:iCs/>
          <w:spacing w:val="0"/>
          <w:kern w:val="0"/>
          <w:sz w:val="18"/>
          <w:szCs w:val="26"/>
          <w:rtl/>
        </w:rPr>
        <w:t>مصطفى دادار ضد كندا</w:t>
      </w:r>
      <w:r w:rsidRPr="00B32542">
        <w:rPr>
          <w:rFonts w:hint="cs"/>
          <w:spacing w:val="0"/>
          <w:kern w:val="0"/>
          <w:sz w:val="18"/>
          <w:szCs w:val="26"/>
          <w:rtl/>
        </w:rPr>
        <w:t xml:space="preserve"> (البلاغ رقم 258/2004)، المؤرخ 23 تشري</w:t>
      </w:r>
      <w:r>
        <w:rPr>
          <w:rFonts w:hint="cs"/>
          <w:spacing w:val="0"/>
          <w:kern w:val="0"/>
          <w:sz w:val="18"/>
          <w:szCs w:val="26"/>
          <w:rtl/>
        </w:rPr>
        <w:t>ن الثاني/نوفمبر 2005؛ و</w:t>
      </w:r>
      <w:r w:rsidRPr="00B32542">
        <w:rPr>
          <w:rFonts w:hint="cs"/>
          <w:i/>
          <w:iCs/>
          <w:spacing w:val="0"/>
          <w:kern w:val="0"/>
          <w:sz w:val="18"/>
          <w:szCs w:val="26"/>
          <w:rtl/>
        </w:rPr>
        <w:t>ت .أ ضد السويد</w:t>
      </w:r>
      <w:r w:rsidRPr="00B32542">
        <w:rPr>
          <w:rFonts w:hint="cs"/>
          <w:spacing w:val="0"/>
          <w:kern w:val="0"/>
          <w:sz w:val="18"/>
          <w:szCs w:val="26"/>
          <w:rtl/>
        </w:rPr>
        <w:t xml:space="preserve"> (البلاغ رقم 226/2003)، المؤرخ 6 أيار/ مايو 2005؛ و</w:t>
      </w:r>
      <w:r w:rsidRPr="00B32542">
        <w:rPr>
          <w:rFonts w:hint="cs"/>
          <w:i/>
          <w:iCs/>
          <w:spacing w:val="0"/>
          <w:kern w:val="0"/>
          <w:sz w:val="18"/>
          <w:szCs w:val="26"/>
          <w:rtl/>
        </w:rPr>
        <w:t>ن.س. ضد سويسرا</w:t>
      </w:r>
      <w:r w:rsidRPr="00B32542">
        <w:rPr>
          <w:rFonts w:hint="cs"/>
          <w:spacing w:val="0"/>
          <w:kern w:val="0"/>
          <w:sz w:val="18"/>
          <w:szCs w:val="26"/>
          <w:rtl/>
        </w:rPr>
        <w:t xml:space="preserve"> (البلاغ رقم 356/2008)، المؤرخ 6 أيار/مايو 2010.</w:t>
      </w:r>
    </w:p>
  </w:footnote>
  <w:footnote w:id="205">
    <w:p w:rsidR="00D64D4C" w:rsidRPr="00B32542" w:rsidRDefault="00D64D4C" w:rsidP="00FE387B">
      <w:pPr>
        <w:pStyle w:val="FootnoteText"/>
        <w:tabs>
          <w:tab w:val="left" w:pos="1253"/>
        </w:tabs>
        <w:spacing w:after="60" w:line="300" w:lineRule="exact"/>
        <w:ind w:left="1253" w:right="1247" w:hanging="420"/>
        <w:jc w:val="lowKashida"/>
        <w:rPr>
          <w:rFonts w:hint="cs"/>
          <w:spacing w:val="0"/>
          <w:kern w:val="0"/>
          <w:sz w:val="18"/>
          <w:szCs w:val="26"/>
        </w:rPr>
      </w:pPr>
      <w:r w:rsidRPr="00FE387B">
        <w:rPr>
          <w:rFonts w:hint="cs"/>
          <w:spacing w:val="-2"/>
          <w:kern w:val="0"/>
          <w:sz w:val="18"/>
          <w:szCs w:val="26"/>
          <w:rtl/>
        </w:rPr>
        <w:t>(</w:t>
      </w:r>
      <w:r w:rsidRPr="00FE387B">
        <w:rPr>
          <w:rFonts w:hint="cs"/>
          <w:spacing w:val="-2"/>
          <w:kern w:val="0"/>
          <w:sz w:val="26"/>
          <w:szCs w:val="26"/>
          <w:rtl/>
        </w:rPr>
        <w:t>ط</w:t>
      </w:r>
      <w:r w:rsidRPr="00FE387B">
        <w:rPr>
          <w:rFonts w:hint="cs"/>
          <w:spacing w:val="-2"/>
          <w:kern w:val="0"/>
          <w:sz w:val="18"/>
          <w:szCs w:val="26"/>
          <w:rtl/>
        </w:rPr>
        <w:t>)</w:t>
      </w:r>
      <w:r w:rsidRPr="00FE387B">
        <w:rPr>
          <w:rFonts w:hint="cs"/>
          <w:spacing w:val="-2"/>
          <w:kern w:val="0"/>
          <w:sz w:val="18"/>
          <w:szCs w:val="26"/>
          <w:rtl/>
        </w:rPr>
        <w:tab/>
        <w:t>انظر، في جملة أمور، تقرير مفوضة الأمم المتحدة السامية لحقوق الإنسان عن حالة حقوق الإنسان وأنشطة المفوضية في جمهورية الكونغو الديمقراطية</w:t>
      </w:r>
      <w:r w:rsidRPr="00FE387B">
        <w:rPr>
          <w:rFonts w:hint="cs"/>
          <w:b/>
          <w:spacing w:val="-2"/>
          <w:kern w:val="0"/>
          <w:sz w:val="18"/>
          <w:szCs w:val="26"/>
          <w:rtl/>
        </w:rPr>
        <w:t xml:space="preserve"> </w:t>
      </w:r>
      <w:r w:rsidRPr="00FE387B">
        <w:rPr>
          <w:rFonts w:hint="cs"/>
          <w:spacing w:val="-2"/>
          <w:kern w:val="0"/>
          <w:sz w:val="18"/>
          <w:szCs w:val="26"/>
          <w:rtl/>
        </w:rPr>
        <w:t>المؤرخ</w:t>
      </w:r>
      <w:r w:rsidRPr="00FE387B">
        <w:rPr>
          <w:rFonts w:hint="cs"/>
          <w:b/>
          <w:spacing w:val="-2"/>
          <w:kern w:val="0"/>
          <w:sz w:val="18"/>
          <w:szCs w:val="26"/>
          <w:rtl/>
        </w:rPr>
        <w:t xml:space="preserve"> </w:t>
      </w:r>
      <w:r w:rsidRPr="00FE387B">
        <w:rPr>
          <w:rFonts w:hint="cs"/>
          <w:spacing w:val="-2"/>
          <w:kern w:val="0"/>
          <w:sz w:val="18"/>
          <w:szCs w:val="26"/>
          <w:rtl/>
        </w:rPr>
        <w:t>10 كانون الثاني/يناير 2011</w:t>
      </w:r>
      <w:r w:rsidRPr="00FE387B">
        <w:rPr>
          <w:rFonts w:hint="cs"/>
          <w:b/>
          <w:spacing w:val="-2"/>
          <w:kern w:val="0"/>
          <w:sz w:val="18"/>
          <w:szCs w:val="26"/>
          <w:rtl/>
        </w:rPr>
        <w:t xml:space="preserve"> </w:t>
      </w:r>
      <w:r w:rsidRPr="00FE387B">
        <w:rPr>
          <w:spacing w:val="-2"/>
          <w:kern w:val="0"/>
          <w:sz w:val="18"/>
          <w:szCs w:val="26"/>
        </w:rPr>
        <w:t>(A/HRC/16/27)</w:t>
      </w:r>
      <w:r w:rsidRPr="00FE387B">
        <w:rPr>
          <w:rFonts w:hint="cs"/>
          <w:spacing w:val="-2"/>
          <w:kern w:val="0"/>
          <w:sz w:val="18"/>
          <w:szCs w:val="26"/>
          <w:rtl/>
        </w:rPr>
        <w:t xml:space="preserve">؛ وتقرير الأمين العام عن </w:t>
      </w:r>
      <w:r w:rsidRPr="00FE387B">
        <w:rPr>
          <w:spacing w:val="-2"/>
          <w:kern w:val="0"/>
          <w:sz w:val="18"/>
          <w:szCs w:val="26"/>
          <w:rtl/>
        </w:rPr>
        <w:t>بعثة منظمة الأمم المتحدة لتحقيق الاستقرار في</w:t>
      </w:r>
      <w:r w:rsidRPr="00FE387B">
        <w:rPr>
          <w:rFonts w:hint="cs"/>
          <w:spacing w:val="-2"/>
          <w:kern w:val="0"/>
          <w:sz w:val="18"/>
          <w:szCs w:val="26"/>
          <w:rtl/>
        </w:rPr>
        <w:t xml:space="preserve"> </w:t>
      </w:r>
      <w:r w:rsidRPr="00FE387B">
        <w:rPr>
          <w:spacing w:val="-2"/>
          <w:kern w:val="0"/>
          <w:sz w:val="18"/>
          <w:szCs w:val="26"/>
          <w:rtl/>
        </w:rPr>
        <w:t>جمهورية الكونغو الديمقراطي</w:t>
      </w:r>
      <w:r w:rsidRPr="00FE387B">
        <w:rPr>
          <w:rFonts w:hint="cs"/>
          <w:spacing w:val="-2"/>
          <w:kern w:val="0"/>
          <w:sz w:val="18"/>
          <w:szCs w:val="26"/>
          <w:rtl/>
        </w:rPr>
        <w:t xml:space="preserve">ة المؤرخ 17 كانون الثاني/يناير 2011 </w:t>
      </w:r>
      <w:r w:rsidRPr="00FE387B">
        <w:rPr>
          <w:spacing w:val="-2"/>
          <w:kern w:val="0"/>
          <w:sz w:val="18"/>
          <w:szCs w:val="26"/>
        </w:rPr>
        <w:t>(S/2011/20)</w:t>
      </w:r>
      <w:r w:rsidRPr="00FE387B">
        <w:rPr>
          <w:rFonts w:hint="cs"/>
          <w:spacing w:val="-2"/>
          <w:kern w:val="0"/>
          <w:sz w:val="18"/>
          <w:szCs w:val="26"/>
          <w:rtl/>
        </w:rPr>
        <w:t>؛ واستنتاجات اللجنة بشأن التقرير المقدم من جمهورية الكونغو</w:t>
      </w:r>
      <w:r w:rsidRPr="00B32542">
        <w:rPr>
          <w:rFonts w:hint="cs"/>
          <w:spacing w:val="0"/>
          <w:kern w:val="0"/>
          <w:sz w:val="18"/>
          <w:szCs w:val="26"/>
          <w:rtl/>
        </w:rPr>
        <w:t xml:space="preserve"> الديمقراطية بموجب اتفاقية مناهضة التعذيب وغيره من ضروب المعاملة أو العقوبة القاسية أو اللاإنسانية أو</w:t>
      </w:r>
      <w:r>
        <w:rPr>
          <w:rFonts w:hint="eastAsia"/>
          <w:spacing w:val="0"/>
          <w:kern w:val="0"/>
          <w:sz w:val="18"/>
          <w:szCs w:val="26"/>
          <w:rtl/>
        </w:rPr>
        <w:t> </w:t>
      </w:r>
      <w:r w:rsidRPr="00B32542">
        <w:rPr>
          <w:rFonts w:hint="cs"/>
          <w:spacing w:val="0"/>
          <w:kern w:val="0"/>
          <w:sz w:val="18"/>
          <w:szCs w:val="26"/>
          <w:rtl/>
        </w:rPr>
        <w:t xml:space="preserve">المهينة </w:t>
      </w:r>
      <w:r w:rsidRPr="00B32542">
        <w:rPr>
          <w:spacing w:val="0"/>
          <w:kern w:val="0"/>
          <w:sz w:val="18"/>
          <w:szCs w:val="26"/>
        </w:rPr>
        <w:t>(CAT/C/DRC/CO/1/CRP.1(2006))</w:t>
      </w:r>
      <w:r w:rsidRPr="00B32542">
        <w:rPr>
          <w:rFonts w:hint="cs"/>
          <w:spacing w:val="0"/>
          <w:kern w:val="0"/>
          <w:sz w:val="18"/>
          <w:szCs w:val="26"/>
          <w:rtl/>
        </w:rPr>
        <w:t xml:space="preserve">؛ والملاحظات الختامية للجنة المعنية بحقوق الإنسان بشأن التقارير المقدمة من الدول الأطراف بموجب العهد الدولي الخاص بالحقوق المدنية والسياسية </w:t>
      </w:r>
      <w:r w:rsidRPr="00B32542">
        <w:rPr>
          <w:spacing w:val="0"/>
          <w:kern w:val="0"/>
          <w:sz w:val="18"/>
          <w:szCs w:val="26"/>
        </w:rPr>
        <w:t>(CCPR/C/COD//CO/3(2006))</w:t>
      </w:r>
      <w:r w:rsidRPr="00B32542">
        <w:rPr>
          <w:rFonts w:hint="cs"/>
          <w:spacing w:val="0"/>
          <w:kern w:val="0"/>
          <w:sz w:val="18"/>
          <w:szCs w:val="26"/>
          <w:rtl/>
        </w:rPr>
        <w:t xml:space="preserve">؛ وتقرير"المساعدة التقنية وبناء القدرات: التقرير الموحد لسبعة إجراءات خاصة مواضيعية بشأن المساعدة التقنية المقدمة إلى حكومة جمهورية الكونغو الديمقراطية والنظر بصورة عاجلة في الأوضاع السائدة في شرق البلد" </w:t>
      </w:r>
      <w:r w:rsidRPr="00B32542">
        <w:rPr>
          <w:spacing w:val="0"/>
          <w:kern w:val="0"/>
          <w:sz w:val="18"/>
          <w:szCs w:val="26"/>
        </w:rPr>
        <w:t>(A/HRC/10/59)</w:t>
      </w:r>
      <w:r>
        <w:rPr>
          <w:rFonts w:hint="cs"/>
          <w:spacing w:val="0"/>
          <w:kern w:val="0"/>
          <w:sz w:val="18"/>
          <w:szCs w:val="26"/>
          <w:rtl/>
        </w:rPr>
        <w:t>.</w:t>
      </w:r>
    </w:p>
  </w:footnote>
  <w:footnote w:id="206">
    <w:p w:rsidR="00D64D4C" w:rsidRPr="00B32542" w:rsidRDefault="00D64D4C" w:rsidP="00FE387B">
      <w:pPr>
        <w:pStyle w:val="FootnoteText"/>
        <w:tabs>
          <w:tab w:val="left" w:pos="1253"/>
        </w:tabs>
        <w:spacing w:after="60" w:line="300" w:lineRule="exact"/>
        <w:ind w:left="1253" w:right="1247" w:hanging="420"/>
        <w:jc w:val="lowKashida"/>
        <w:rPr>
          <w:rFonts w:hint="cs"/>
          <w:spacing w:val="0"/>
          <w:kern w:val="0"/>
          <w:sz w:val="18"/>
          <w:szCs w:val="26"/>
        </w:rPr>
      </w:pPr>
      <w:r w:rsidRPr="00FE387B">
        <w:rPr>
          <w:rFonts w:hint="cs"/>
          <w:spacing w:val="-2"/>
          <w:kern w:val="0"/>
          <w:sz w:val="18"/>
          <w:szCs w:val="26"/>
          <w:rtl/>
        </w:rPr>
        <w:t>(</w:t>
      </w:r>
      <w:r>
        <w:rPr>
          <w:rFonts w:hint="cs"/>
          <w:spacing w:val="-2"/>
          <w:kern w:val="0"/>
          <w:sz w:val="26"/>
          <w:szCs w:val="26"/>
          <w:rtl/>
        </w:rPr>
        <w:t>ي</w:t>
      </w:r>
      <w:r w:rsidRPr="00FE387B">
        <w:rPr>
          <w:rFonts w:hint="cs"/>
          <w:spacing w:val="-2"/>
          <w:kern w:val="0"/>
          <w:sz w:val="18"/>
          <w:szCs w:val="26"/>
          <w:rtl/>
        </w:rPr>
        <w:t>)</w:t>
      </w:r>
      <w:r w:rsidRPr="00FE387B">
        <w:rPr>
          <w:rFonts w:hint="cs"/>
          <w:spacing w:val="-2"/>
          <w:kern w:val="0"/>
          <w:sz w:val="18"/>
          <w:szCs w:val="26"/>
          <w:rtl/>
        </w:rPr>
        <w:tab/>
      </w:r>
      <w:r w:rsidRPr="00B32542">
        <w:rPr>
          <w:rFonts w:hint="cs"/>
          <w:spacing w:val="0"/>
          <w:kern w:val="0"/>
          <w:sz w:val="18"/>
          <w:szCs w:val="26"/>
          <w:rtl/>
        </w:rPr>
        <w:t>انظر التعليق العام للجنة رقم 1، المرجع السابق، الفقرة 9. وانظر أيضاً، في جملة أمور، قرار اللجنة في قضية</w:t>
      </w:r>
      <w:r>
        <w:rPr>
          <w:rFonts w:hint="eastAsia"/>
          <w:spacing w:val="0"/>
          <w:kern w:val="0"/>
          <w:sz w:val="18"/>
          <w:szCs w:val="26"/>
          <w:rtl/>
        </w:rPr>
        <w:t> </w:t>
      </w:r>
      <w:r w:rsidRPr="00B32542">
        <w:rPr>
          <w:rFonts w:hint="cs"/>
          <w:i/>
          <w:iCs/>
          <w:spacing w:val="0"/>
          <w:kern w:val="0"/>
          <w:sz w:val="18"/>
          <w:szCs w:val="26"/>
          <w:rtl/>
        </w:rPr>
        <w:t>ن.س. ضد سويسرا</w:t>
      </w:r>
      <w:r w:rsidRPr="00B32542">
        <w:rPr>
          <w:rFonts w:hint="cs"/>
          <w:spacing w:val="0"/>
          <w:kern w:val="0"/>
          <w:sz w:val="18"/>
          <w:szCs w:val="26"/>
          <w:rtl/>
        </w:rPr>
        <w:t xml:space="preserve"> (البلاغ رقم 356/2008)، المؤرخ 6 أيار/مايو 2010، الفقرة 7-8.</w:t>
      </w:r>
    </w:p>
  </w:footnote>
  <w:footnote w:id="207">
    <w:p w:rsidR="00D64D4C" w:rsidRPr="00B32542" w:rsidRDefault="00D64D4C" w:rsidP="00FE387B">
      <w:pPr>
        <w:pStyle w:val="FootnoteText"/>
        <w:tabs>
          <w:tab w:val="left" w:pos="1253"/>
        </w:tabs>
        <w:spacing w:after="60" w:line="300" w:lineRule="exact"/>
        <w:ind w:left="1253" w:right="1247" w:hanging="420"/>
        <w:jc w:val="lowKashida"/>
        <w:rPr>
          <w:spacing w:val="0"/>
          <w:kern w:val="0"/>
          <w:sz w:val="18"/>
          <w:szCs w:val="26"/>
        </w:rPr>
      </w:pPr>
      <w:r w:rsidRPr="00FE387B">
        <w:rPr>
          <w:rFonts w:hint="cs"/>
          <w:spacing w:val="-2"/>
          <w:kern w:val="0"/>
          <w:sz w:val="18"/>
          <w:szCs w:val="26"/>
          <w:rtl/>
        </w:rPr>
        <w:t>(</w:t>
      </w:r>
      <w:r>
        <w:rPr>
          <w:rFonts w:hint="cs"/>
          <w:spacing w:val="-2"/>
          <w:kern w:val="0"/>
          <w:sz w:val="26"/>
          <w:szCs w:val="26"/>
          <w:rtl/>
        </w:rPr>
        <w:t>ك</w:t>
      </w:r>
      <w:r w:rsidRPr="00FE387B">
        <w:rPr>
          <w:rFonts w:hint="cs"/>
          <w:spacing w:val="-2"/>
          <w:kern w:val="0"/>
          <w:sz w:val="18"/>
          <w:szCs w:val="26"/>
          <w:rtl/>
        </w:rPr>
        <w:t>)</w:t>
      </w:r>
      <w:r w:rsidRPr="00FE387B">
        <w:rPr>
          <w:rFonts w:hint="cs"/>
          <w:spacing w:val="-2"/>
          <w:kern w:val="0"/>
          <w:sz w:val="18"/>
          <w:szCs w:val="26"/>
          <w:rtl/>
        </w:rPr>
        <w:tab/>
      </w:r>
      <w:r w:rsidRPr="00B32542">
        <w:rPr>
          <w:rFonts w:hint="cs"/>
          <w:spacing w:val="0"/>
          <w:kern w:val="0"/>
          <w:sz w:val="18"/>
          <w:szCs w:val="26"/>
          <w:rtl/>
        </w:rPr>
        <w:t xml:space="preserve">يتضمن هذا المقال، المرفق بالملف والمعنون </w:t>
      </w:r>
      <w:r w:rsidRPr="00B32542">
        <w:rPr>
          <w:rFonts w:hint="cs"/>
          <w:i/>
          <w:iCs/>
          <w:spacing w:val="0"/>
          <w:kern w:val="0"/>
          <w:sz w:val="18"/>
          <w:szCs w:val="26"/>
          <w:rtl/>
        </w:rPr>
        <w:t>"الشرطة السياسية تبحث عن [أي تتعقب] السيدة إ. ل."</w:t>
      </w:r>
      <w:r w:rsidRPr="00B32542">
        <w:rPr>
          <w:rFonts w:hint="cs"/>
          <w:spacing w:val="0"/>
          <w:kern w:val="0"/>
          <w:sz w:val="18"/>
          <w:szCs w:val="26"/>
          <w:rtl/>
        </w:rPr>
        <w:t xml:space="preserve"> حروفاً يختلف حجمها بوضوح عن حجم بقية الحروف في صفحة "الاقتصاد والمجتمع" بصحيفة لامانشيت (28 كانون الثاني/يناير 2005). ولاحظت اللجنة أيضاً أن عنوان الشهادة المقدمة لتأكيد صحة هذا المقال تتضمن خطأً إملائياً فادحاً ("</w:t>
      </w:r>
      <w:r w:rsidRPr="00B32542">
        <w:rPr>
          <w:rFonts w:hint="cs"/>
          <w:i/>
          <w:iCs/>
          <w:spacing w:val="0"/>
          <w:kern w:val="0"/>
          <w:sz w:val="18"/>
          <w:szCs w:val="26"/>
          <w:rtl/>
        </w:rPr>
        <w:t>لاماشيت</w:t>
      </w:r>
      <w:r w:rsidRPr="00B32542">
        <w:rPr>
          <w:rFonts w:hint="cs"/>
          <w:spacing w:val="0"/>
          <w:kern w:val="0"/>
          <w:sz w:val="18"/>
          <w:szCs w:val="26"/>
          <w:rtl/>
        </w:rPr>
        <w:t>" بدلاً من "</w:t>
      </w:r>
      <w:r w:rsidRPr="00B32542">
        <w:rPr>
          <w:rFonts w:hint="cs"/>
          <w:i/>
          <w:iCs/>
          <w:spacing w:val="0"/>
          <w:kern w:val="0"/>
          <w:sz w:val="18"/>
          <w:szCs w:val="26"/>
          <w:rtl/>
        </w:rPr>
        <w:t>لامانشيت</w:t>
      </w:r>
      <w:r w:rsidRPr="00B32542">
        <w:rPr>
          <w:rFonts w:hint="cs"/>
          <w:spacing w:val="0"/>
          <w:kern w:val="0"/>
          <w:sz w:val="18"/>
          <w:szCs w:val="26"/>
          <w:rtl/>
        </w:rPr>
        <w:t>").</w:t>
      </w:r>
    </w:p>
  </w:footnote>
  <w:footnote w:id="208">
    <w:p w:rsidR="00D64D4C" w:rsidRPr="00B32542" w:rsidRDefault="00D64D4C" w:rsidP="00921F02">
      <w:pPr>
        <w:pStyle w:val="FootnoteText"/>
        <w:numPr>
          <w:ilvl w:val="0"/>
          <w:numId w:val="37"/>
        </w:numPr>
        <w:spacing w:after="60" w:line="300" w:lineRule="exact"/>
        <w:ind w:right="1247"/>
        <w:jc w:val="lowKashida"/>
        <w:rPr>
          <w:rFonts w:hint="cs"/>
          <w:spacing w:val="0"/>
          <w:kern w:val="0"/>
          <w:sz w:val="18"/>
          <w:szCs w:val="26"/>
        </w:rPr>
      </w:pPr>
      <w:r w:rsidRPr="00B32542">
        <w:rPr>
          <w:rFonts w:hint="cs"/>
          <w:spacing w:val="0"/>
          <w:kern w:val="0"/>
          <w:sz w:val="18"/>
          <w:szCs w:val="26"/>
          <w:rtl/>
          <w:lang w:bidi="ar-SY"/>
        </w:rPr>
        <w:t>أفرج عن صاحب الشكوى في 27 شباط/فبراير 2006.</w:t>
      </w:r>
    </w:p>
  </w:footnote>
  <w:footnote w:id="209">
    <w:p w:rsidR="00D64D4C" w:rsidRPr="00B32542" w:rsidRDefault="00D64D4C" w:rsidP="00FE387B">
      <w:pPr>
        <w:pStyle w:val="FootnoteText"/>
        <w:numPr>
          <w:ilvl w:val="0"/>
          <w:numId w:val="37"/>
        </w:numPr>
        <w:tabs>
          <w:tab w:val="clear" w:pos="1299"/>
        </w:tabs>
        <w:spacing w:after="60" w:line="280" w:lineRule="exact"/>
        <w:ind w:left="1248" w:right="1247"/>
        <w:jc w:val="lowKashida"/>
        <w:rPr>
          <w:rFonts w:hint="cs"/>
          <w:spacing w:val="0"/>
          <w:kern w:val="0"/>
          <w:sz w:val="18"/>
          <w:szCs w:val="26"/>
        </w:rPr>
      </w:pPr>
      <w:r w:rsidRPr="00B32542">
        <w:rPr>
          <w:rFonts w:hint="cs"/>
          <w:spacing w:val="0"/>
          <w:kern w:val="0"/>
          <w:sz w:val="18"/>
          <w:szCs w:val="26"/>
          <w:rtl/>
          <w:lang w:bidi="ar-SY"/>
        </w:rPr>
        <w:t xml:space="preserve">البلاغ رقم 8/1991، </w:t>
      </w:r>
      <w:r w:rsidRPr="00B32542">
        <w:rPr>
          <w:rFonts w:hint="cs"/>
          <w:i/>
          <w:iCs/>
          <w:spacing w:val="0"/>
          <w:kern w:val="0"/>
          <w:sz w:val="18"/>
          <w:szCs w:val="26"/>
          <w:rtl/>
          <w:lang w:bidi="ar-SY"/>
        </w:rPr>
        <w:t>حليمي - ندزيبي ضد النمسا</w:t>
      </w:r>
      <w:r w:rsidRPr="00B32542">
        <w:rPr>
          <w:rFonts w:hint="cs"/>
          <w:spacing w:val="0"/>
          <w:kern w:val="0"/>
          <w:sz w:val="18"/>
          <w:szCs w:val="26"/>
          <w:rtl/>
          <w:lang w:bidi="ar-SY"/>
        </w:rPr>
        <w:t>، الآراء المعتمدة في 18 تشرين الثاني/نوفمبر 1993، الفقرة 13-5.</w:t>
      </w:r>
    </w:p>
  </w:footnote>
  <w:footnote w:id="210">
    <w:p w:rsidR="00D64D4C" w:rsidRPr="00B32542" w:rsidRDefault="00D64D4C" w:rsidP="00921F02">
      <w:pPr>
        <w:pStyle w:val="FootnoteText"/>
        <w:numPr>
          <w:ilvl w:val="0"/>
          <w:numId w:val="40"/>
        </w:numPr>
        <w:spacing w:after="60" w:line="300" w:lineRule="exact"/>
        <w:ind w:right="1247"/>
        <w:jc w:val="lowKashida"/>
        <w:rPr>
          <w:rFonts w:hint="cs"/>
          <w:spacing w:val="0"/>
          <w:kern w:val="0"/>
          <w:sz w:val="18"/>
          <w:szCs w:val="26"/>
        </w:rPr>
      </w:pPr>
      <w:r w:rsidRPr="00B32542">
        <w:rPr>
          <w:rFonts w:hint="cs"/>
          <w:spacing w:val="0"/>
          <w:kern w:val="0"/>
          <w:sz w:val="18"/>
          <w:szCs w:val="26"/>
          <w:rtl/>
        </w:rPr>
        <w:t>حرصاً على عرض الوقائع عرضاً كاملاً ومتسقاً قدر الإمكان، تم الاستناد في هذا الجزء إلى الشكوى الأولية وإلى القرارات القضائية وإلى وثائق أخرى تظهر في ملف صاحب الشكوى.</w:t>
      </w:r>
    </w:p>
  </w:footnote>
  <w:footnote w:id="211">
    <w:p w:rsidR="00D64D4C" w:rsidRPr="00B32542" w:rsidRDefault="00D64D4C" w:rsidP="00921F02">
      <w:pPr>
        <w:pStyle w:val="FootnoteText"/>
        <w:numPr>
          <w:ilvl w:val="0"/>
          <w:numId w:val="40"/>
        </w:numPr>
        <w:spacing w:after="60" w:line="300" w:lineRule="exact"/>
        <w:ind w:right="1247"/>
        <w:jc w:val="lowKashida"/>
        <w:rPr>
          <w:rFonts w:hint="cs"/>
          <w:spacing w:val="0"/>
          <w:kern w:val="0"/>
          <w:sz w:val="18"/>
          <w:szCs w:val="26"/>
        </w:rPr>
      </w:pPr>
      <w:r w:rsidRPr="00B32542">
        <w:rPr>
          <w:rFonts w:hint="cs"/>
          <w:i/>
          <w:iCs/>
          <w:spacing w:val="0"/>
          <w:kern w:val="0"/>
          <w:sz w:val="18"/>
          <w:szCs w:val="26"/>
          <w:rtl/>
        </w:rPr>
        <w:t>الوثائق الرسمية للجمعية العامة، الدورة الثالثة والخمسون، الملحق رقم 44</w:t>
      </w:r>
      <w:r w:rsidRPr="00B32542">
        <w:rPr>
          <w:rFonts w:hint="cs"/>
          <w:spacing w:val="0"/>
          <w:kern w:val="0"/>
          <w:sz w:val="18"/>
          <w:szCs w:val="26"/>
          <w:rtl/>
        </w:rPr>
        <w:t xml:space="preserve"> </w:t>
      </w:r>
      <w:r w:rsidRPr="00B32542">
        <w:rPr>
          <w:spacing w:val="0"/>
          <w:kern w:val="0"/>
          <w:sz w:val="18"/>
          <w:szCs w:val="26"/>
        </w:rPr>
        <w:t>(A/53/44)</w:t>
      </w:r>
      <w:r w:rsidRPr="00B32542">
        <w:rPr>
          <w:rFonts w:hint="cs"/>
          <w:spacing w:val="0"/>
          <w:kern w:val="0"/>
          <w:sz w:val="18"/>
          <w:szCs w:val="26"/>
          <w:rtl/>
        </w:rPr>
        <w:t>.</w:t>
      </w:r>
    </w:p>
  </w:footnote>
  <w:footnote w:id="212">
    <w:p w:rsidR="00D64D4C" w:rsidRPr="00B32542" w:rsidRDefault="00D64D4C" w:rsidP="00921F02">
      <w:pPr>
        <w:pStyle w:val="FootnoteText"/>
        <w:numPr>
          <w:ilvl w:val="0"/>
          <w:numId w:val="40"/>
        </w:numPr>
        <w:spacing w:after="60" w:line="300" w:lineRule="exact"/>
        <w:ind w:right="1247"/>
        <w:jc w:val="lowKashida"/>
        <w:rPr>
          <w:rFonts w:hint="cs"/>
          <w:spacing w:val="0"/>
          <w:kern w:val="0"/>
          <w:sz w:val="18"/>
          <w:szCs w:val="26"/>
        </w:rPr>
      </w:pPr>
      <w:r w:rsidRPr="00B32542">
        <w:rPr>
          <w:rFonts w:hint="cs"/>
          <w:spacing w:val="0"/>
          <w:kern w:val="0"/>
          <w:sz w:val="18"/>
          <w:szCs w:val="26"/>
          <w:rtl/>
          <w:lang w:val="fr-CH" w:bidi="ar-SY"/>
        </w:rPr>
        <w:t xml:space="preserve">تذكر الدولة الطرف </w:t>
      </w:r>
      <w:r w:rsidRPr="00B32542">
        <w:rPr>
          <w:rFonts w:hint="cs"/>
          <w:i/>
          <w:iCs/>
          <w:spacing w:val="0"/>
          <w:kern w:val="0"/>
          <w:sz w:val="18"/>
          <w:szCs w:val="26"/>
          <w:rtl/>
          <w:lang w:val="fr-CH" w:bidi="ar-SY"/>
        </w:rPr>
        <w:t>ع. أ. ش. ضد السويد</w:t>
      </w:r>
      <w:r w:rsidRPr="00B32542">
        <w:rPr>
          <w:rFonts w:hint="cs"/>
          <w:spacing w:val="0"/>
          <w:kern w:val="0"/>
          <w:sz w:val="18"/>
          <w:szCs w:val="26"/>
          <w:rtl/>
          <w:lang w:val="fr-CH" w:bidi="ar-SY"/>
        </w:rPr>
        <w:t>، البلاغ رقم 227/2003، القرار المعتمد في 16 تشرين الثاني/نوفمبر 2006، الفقرة 7-3.</w:t>
      </w:r>
    </w:p>
  </w:footnote>
  <w:footnote w:id="213">
    <w:p w:rsidR="00D64D4C" w:rsidRPr="0020182D" w:rsidRDefault="00D64D4C" w:rsidP="00772699">
      <w:pPr>
        <w:pStyle w:val="FootnoteText"/>
        <w:numPr>
          <w:ilvl w:val="0"/>
          <w:numId w:val="40"/>
        </w:numPr>
        <w:spacing w:after="60" w:line="280" w:lineRule="exact"/>
        <w:ind w:right="1247"/>
        <w:jc w:val="lowKashida"/>
        <w:rPr>
          <w:rFonts w:hint="cs"/>
          <w:spacing w:val="-2"/>
          <w:kern w:val="0"/>
          <w:sz w:val="18"/>
          <w:szCs w:val="26"/>
        </w:rPr>
      </w:pPr>
      <w:r w:rsidRPr="0020182D">
        <w:rPr>
          <w:rFonts w:hint="cs"/>
          <w:spacing w:val="-2"/>
          <w:kern w:val="0"/>
          <w:sz w:val="18"/>
          <w:szCs w:val="26"/>
          <w:rtl/>
        </w:rPr>
        <w:t xml:space="preserve">انظر </w:t>
      </w:r>
      <w:r w:rsidRPr="0020182D">
        <w:rPr>
          <w:spacing w:val="-2"/>
          <w:kern w:val="0"/>
          <w:sz w:val="18"/>
          <w:szCs w:val="26"/>
          <w:rtl/>
        </w:rPr>
        <w:t xml:space="preserve">البلاغ رقم </w:t>
      </w:r>
      <w:r w:rsidRPr="0020182D">
        <w:rPr>
          <w:rFonts w:hint="cs"/>
          <w:spacing w:val="-2"/>
          <w:kern w:val="0"/>
          <w:sz w:val="18"/>
          <w:szCs w:val="26"/>
          <w:rtl/>
        </w:rPr>
        <w:t>282</w:t>
      </w:r>
      <w:r w:rsidRPr="0020182D">
        <w:rPr>
          <w:spacing w:val="-2"/>
          <w:kern w:val="0"/>
          <w:sz w:val="18"/>
          <w:szCs w:val="26"/>
          <w:rtl/>
        </w:rPr>
        <w:t>/</w:t>
      </w:r>
      <w:r w:rsidRPr="0020182D">
        <w:rPr>
          <w:rFonts w:hint="cs"/>
          <w:spacing w:val="-2"/>
          <w:kern w:val="0"/>
          <w:sz w:val="18"/>
          <w:szCs w:val="26"/>
          <w:rtl/>
        </w:rPr>
        <w:t>2005</w:t>
      </w:r>
      <w:r w:rsidRPr="0020182D">
        <w:rPr>
          <w:spacing w:val="-2"/>
          <w:kern w:val="0"/>
          <w:sz w:val="18"/>
          <w:szCs w:val="26"/>
          <w:rtl/>
        </w:rPr>
        <w:t xml:space="preserve">، </w:t>
      </w:r>
      <w:r w:rsidRPr="0020182D">
        <w:rPr>
          <w:rFonts w:hint="cs"/>
          <w:i/>
          <w:iCs/>
          <w:spacing w:val="-2"/>
          <w:kern w:val="0"/>
          <w:sz w:val="18"/>
          <w:szCs w:val="26"/>
          <w:rtl/>
        </w:rPr>
        <w:t>س</w:t>
      </w:r>
      <w:r w:rsidRPr="0020182D">
        <w:rPr>
          <w:i/>
          <w:iCs/>
          <w:spacing w:val="-2"/>
          <w:kern w:val="0"/>
          <w:sz w:val="18"/>
          <w:szCs w:val="26"/>
          <w:rtl/>
        </w:rPr>
        <w:t>.</w:t>
      </w:r>
      <w:r w:rsidRPr="0020182D">
        <w:rPr>
          <w:rFonts w:hint="cs"/>
          <w:i/>
          <w:iCs/>
          <w:spacing w:val="-2"/>
          <w:kern w:val="0"/>
          <w:sz w:val="18"/>
          <w:szCs w:val="26"/>
          <w:rtl/>
        </w:rPr>
        <w:t xml:space="preserve"> ب</w:t>
      </w:r>
      <w:r w:rsidRPr="0020182D">
        <w:rPr>
          <w:i/>
          <w:iCs/>
          <w:spacing w:val="-2"/>
          <w:kern w:val="0"/>
          <w:sz w:val="18"/>
          <w:szCs w:val="26"/>
          <w:rtl/>
        </w:rPr>
        <w:t>.</w:t>
      </w:r>
      <w:r w:rsidRPr="0020182D">
        <w:rPr>
          <w:rFonts w:hint="cs"/>
          <w:i/>
          <w:iCs/>
          <w:spacing w:val="-2"/>
          <w:kern w:val="0"/>
          <w:sz w:val="18"/>
          <w:szCs w:val="26"/>
          <w:rtl/>
        </w:rPr>
        <w:t xml:space="preserve"> أ.</w:t>
      </w:r>
      <w:r w:rsidRPr="0020182D">
        <w:rPr>
          <w:i/>
          <w:iCs/>
          <w:spacing w:val="-2"/>
          <w:kern w:val="0"/>
          <w:sz w:val="18"/>
          <w:szCs w:val="26"/>
          <w:rtl/>
        </w:rPr>
        <w:t xml:space="preserve"> ضد </w:t>
      </w:r>
      <w:r w:rsidRPr="0020182D">
        <w:rPr>
          <w:rFonts w:hint="cs"/>
          <w:i/>
          <w:iCs/>
          <w:spacing w:val="-2"/>
          <w:kern w:val="0"/>
          <w:sz w:val="18"/>
          <w:szCs w:val="26"/>
          <w:rtl/>
        </w:rPr>
        <w:t>كندا</w:t>
      </w:r>
      <w:r w:rsidRPr="0020182D">
        <w:rPr>
          <w:i/>
          <w:iCs/>
          <w:spacing w:val="-2"/>
          <w:kern w:val="0"/>
          <w:sz w:val="18"/>
          <w:szCs w:val="26"/>
          <w:rtl/>
        </w:rPr>
        <w:t>،</w:t>
      </w:r>
      <w:r w:rsidRPr="0020182D">
        <w:rPr>
          <w:spacing w:val="-2"/>
          <w:kern w:val="0"/>
          <w:sz w:val="18"/>
          <w:szCs w:val="26"/>
          <w:rtl/>
        </w:rPr>
        <w:t xml:space="preserve"> ال</w:t>
      </w:r>
      <w:r w:rsidRPr="0020182D">
        <w:rPr>
          <w:rFonts w:hint="cs"/>
          <w:spacing w:val="-2"/>
          <w:kern w:val="0"/>
          <w:sz w:val="18"/>
          <w:szCs w:val="26"/>
          <w:rtl/>
        </w:rPr>
        <w:t xml:space="preserve">قرار المعتمد </w:t>
      </w:r>
      <w:r w:rsidRPr="0020182D">
        <w:rPr>
          <w:spacing w:val="-2"/>
          <w:kern w:val="0"/>
          <w:sz w:val="18"/>
          <w:szCs w:val="26"/>
          <w:rtl/>
        </w:rPr>
        <w:t xml:space="preserve">في </w:t>
      </w:r>
      <w:r w:rsidRPr="0020182D">
        <w:rPr>
          <w:rFonts w:hint="cs"/>
          <w:spacing w:val="-2"/>
          <w:kern w:val="0"/>
          <w:sz w:val="18"/>
          <w:szCs w:val="26"/>
          <w:rtl/>
        </w:rPr>
        <w:t>7</w:t>
      </w:r>
      <w:r w:rsidRPr="0020182D">
        <w:rPr>
          <w:spacing w:val="-2"/>
          <w:kern w:val="0"/>
          <w:sz w:val="18"/>
          <w:szCs w:val="26"/>
          <w:rtl/>
        </w:rPr>
        <w:t xml:space="preserve"> تشرين الثاني/نوفمبر </w:t>
      </w:r>
      <w:r w:rsidRPr="0020182D">
        <w:rPr>
          <w:rFonts w:hint="cs"/>
          <w:spacing w:val="-2"/>
          <w:kern w:val="0"/>
          <w:sz w:val="18"/>
          <w:szCs w:val="26"/>
          <w:rtl/>
        </w:rPr>
        <w:t xml:space="preserve">2006؛ انظر أيضاً </w:t>
      </w:r>
      <w:r w:rsidRPr="0020182D">
        <w:rPr>
          <w:spacing w:val="-2"/>
          <w:kern w:val="0"/>
          <w:sz w:val="18"/>
          <w:szCs w:val="26"/>
          <w:rtl/>
        </w:rPr>
        <w:t xml:space="preserve">البلاغ رقم </w:t>
      </w:r>
      <w:r w:rsidRPr="0020182D">
        <w:rPr>
          <w:rFonts w:hint="cs"/>
          <w:spacing w:val="-2"/>
          <w:kern w:val="0"/>
          <w:sz w:val="18"/>
          <w:szCs w:val="26"/>
          <w:rtl/>
        </w:rPr>
        <w:t>333</w:t>
      </w:r>
      <w:r w:rsidRPr="0020182D">
        <w:rPr>
          <w:spacing w:val="-2"/>
          <w:kern w:val="0"/>
          <w:sz w:val="18"/>
          <w:szCs w:val="26"/>
          <w:rtl/>
        </w:rPr>
        <w:t>/</w:t>
      </w:r>
      <w:r w:rsidRPr="0020182D">
        <w:rPr>
          <w:rFonts w:hint="cs"/>
          <w:spacing w:val="-2"/>
          <w:kern w:val="0"/>
          <w:sz w:val="18"/>
          <w:szCs w:val="26"/>
          <w:rtl/>
        </w:rPr>
        <w:t>2007</w:t>
      </w:r>
      <w:r w:rsidRPr="0020182D">
        <w:rPr>
          <w:spacing w:val="-2"/>
          <w:kern w:val="0"/>
          <w:sz w:val="18"/>
          <w:szCs w:val="26"/>
          <w:rtl/>
        </w:rPr>
        <w:t xml:space="preserve">، </w:t>
      </w:r>
      <w:r w:rsidRPr="0020182D">
        <w:rPr>
          <w:rFonts w:hint="cs"/>
          <w:i/>
          <w:iCs/>
          <w:spacing w:val="-2"/>
          <w:kern w:val="0"/>
          <w:sz w:val="18"/>
          <w:szCs w:val="26"/>
          <w:rtl/>
        </w:rPr>
        <w:t>ت. إ.</w:t>
      </w:r>
      <w:r w:rsidRPr="0020182D">
        <w:rPr>
          <w:i/>
          <w:iCs/>
          <w:spacing w:val="-2"/>
          <w:kern w:val="0"/>
          <w:sz w:val="18"/>
          <w:szCs w:val="26"/>
          <w:rtl/>
        </w:rPr>
        <w:t xml:space="preserve"> ضد </w:t>
      </w:r>
      <w:r w:rsidRPr="0020182D">
        <w:rPr>
          <w:rFonts w:hint="cs"/>
          <w:i/>
          <w:iCs/>
          <w:spacing w:val="-2"/>
          <w:kern w:val="0"/>
          <w:sz w:val="18"/>
          <w:szCs w:val="26"/>
          <w:rtl/>
        </w:rPr>
        <w:t>كندا</w:t>
      </w:r>
      <w:r w:rsidRPr="0020182D">
        <w:rPr>
          <w:i/>
          <w:iCs/>
          <w:spacing w:val="-2"/>
          <w:kern w:val="0"/>
          <w:sz w:val="18"/>
          <w:szCs w:val="26"/>
          <w:rtl/>
        </w:rPr>
        <w:t>،</w:t>
      </w:r>
      <w:r w:rsidRPr="0020182D">
        <w:rPr>
          <w:spacing w:val="-2"/>
          <w:kern w:val="0"/>
          <w:sz w:val="18"/>
          <w:szCs w:val="26"/>
          <w:rtl/>
        </w:rPr>
        <w:t xml:space="preserve"> ال</w:t>
      </w:r>
      <w:r w:rsidRPr="0020182D">
        <w:rPr>
          <w:rFonts w:hint="cs"/>
          <w:spacing w:val="-2"/>
          <w:kern w:val="0"/>
          <w:sz w:val="18"/>
          <w:szCs w:val="26"/>
          <w:rtl/>
        </w:rPr>
        <w:t>قرار</w:t>
      </w:r>
      <w:r w:rsidRPr="0020182D">
        <w:rPr>
          <w:spacing w:val="-2"/>
          <w:kern w:val="0"/>
          <w:sz w:val="18"/>
          <w:szCs w:val="26"/>
          <w:rtl/>
        </w:rPr>
        <w:t xml:space="preserve"> المعتمد في </w:t>
      </w:r>
      <w:r w:rsidRPr="0020182D">
        <w:rPr>
          <w:rFonts w:hint="cs"/>
          <w:spacing w:val="-2"/>
          <w:kern w:val="0"/>
          <w:sz w:val="18"/>
          <w:szCs w:val="26"/>
          <w:rtl/>
        </w:rPr>
        <w:t>15</w:t>
      </w:r>
      <w:r w:rsidRPr="0020182D">
        <w:rPr>
          <w:spacing w:val="-2"/>
          <w:kern w:val="0"/>
          <w:sz w:val="18"/>
          <w:szCs w:val="26"/>
          <w:rtl/>
        </w:rPr>
        <w:t xml:space="preserve"> تشرين الثاني/نوفمبر</w:t>
      </w:r>
      <w:r w:rsidRPr="0020182D">
        <w:rPr>
          <w:rFonts w:hint="cs"/>
          <w:spacing w:val="-2"/>
          <w:kern w:val="0"/>
          <w:sz w:val="18"/>
          <w:szCs w:val="26"/>
          <w:rtl/>
        </w:rPr>
        <w:t xml:space="preserve"> 2010؛ والبلاغ رقم 344/2008، </w:t>
      </w:r>
      <w:r w:rsidRPr="0020182D">
        <w:rPr>
          <w:rFonts w:hint="cs"/>
          <w:i/>
          <w:iCs/>
          <w:spacing w:val="-2"/>
          <w:kern w:val="0"/>
          <w:sz w:val="18"/>
          <w:szCs w:val="26"/>
          <w:rtl/>
        </w:rPr>
        <w:t>أ. م. أ. ضد سويسرا،</w:t>
      </w:r>
      <w:r w:rsidRPr="0020182D">
        <w:rPr>
          <w:rFonts w:hint="cs"/>
          <w:spacing w:val="-2"/>
          <w:kern w:val="0"/>
          <w:sz w:val="18"/>
          <w:szCs w:val="26"/>
          <w:rtl/>
        </w:rPr>
        <w:t xml:space="preserve"> </w:t>
      </w:r>
      <w:r w:rsidRPr="0020182D">
        <w:rPr>
          <w:spacing w:val="-2"/>
          <w:kern w:val="0"/>
          <w:sz w:val="18"/>
          <w:szCs w:val="26"/>
          <w:rtl/>
        </w:rPr>
        <w:t>ال</w:t>
      </w:r>
      <w:r w:rsidRPr="0020182D">
        <w:rPr>
          <w:rFonts w:hint="cs"/>
          <w:spacing w:val="-2"/>
          <w:kern w:val="0"/>
          <w:sz w:val="18"/>
          <w:szCs w:val="26"/>
          <w:rtl/>
        </w:rPr>
        <w:t>قرار</w:t>
      </w:r>
      <w:r w:rsidRPr="0020182D">
        <w:rPr>
          <w:spacing w:val="-2"/>
          <w:kern w:val="0"/>
          <w:sz w:val="18"/>
          <w:szCs w:val="26"/>
          <w:rtl/>
        </w:rPr>
        <w:t xml:space="preserve"> المعتمد في </w:t>
      </w:r>
      <w:r w:rsidRPr="0020182D">
        <w:rPr>
          <w:rFonts w:hint="cs"/>
          <w:spacing w:val="-2"/>
          <w:kern w:val="0"/>
          <w:sz w:val="18"/>
          <w:szCs w:val="26"/>
          <w:rtl/>
        </w:rPr>
        <w:t>12</w:t>
      </w:r>
      <w:r w:rsidRPr="0020182D">
        <w:rPr>
          <w:spacing w:val="-2"/>
          <w:kern w:val="0"/>
          <w:sz w:val="18"/>
          <w:szCs w:val="26"/>
          <w:rtl/>
        </w:rPr>
        <w:t xml:space="preserve"> تشرين الثاني/نوفمبر</w:t>
      </w:r>
      <w:r w:rsidRPr="0020182D">
        <w:rPr>
          <w:rFonts w:hint="cs"/>
          <w:spacing w:val="-2"/>
          <w:kern w:val="0"/>
          <w:sz w:val="18"/>
          <w:szCs w:val="26"/>
          <w:rtl/>
        </w:rPr>
        <w:t xml:space="preserve"> 2010</w:t>
      </w:r>
      <w:r w:rsidRPr="0020182D">
        <w:rPr>
          <w:rFonts w:hint="cs"/>
          <w:spacing w:val="-2"/>
          <w:kern w:val="0"/>
          <w:sz w:val="18"/>
          <w:szCs w:val="26"/>
          <w:rtl/>
          <w:lang w:val="fr-CH" w:bidi="ar-SY"/>
        </w:rPr>
        <w:t>.</w:t>
      </w:r>
    </w:p>
  </w:footnote>
  <w:footnote w:id="214">
    <w:p w:rsidR="00D64D4C" w:rsidRPr="00B32542" w:rsidRDefault="00D64D4C" w:rsidP="00BF3AE0">
      <w:pPr>
        <w:pStyle w:val="FootnoteText"/>
        <w:spacing w:after="60" w:line="280" w:lineRule="exact"/>
        <w:ind w:left="1211" w:right="1247" w:hanging="378"/>
        <w:jc w:val="lowKashida"/>
        <w:rPr>
          <w:rFonts w:hint="cs"/>
          <w:spacing w:val="0"/>
          <w:kern w:val="0"/>
          <w:sz w:val="18"/>
          <w:szCs w:val="26"/>
        </w:rPr>
      </w:pPr>
      <w:r w:rsidRPr="00FE387B">
        <w:rPr>
          <w:rFonts w:hint="cs"/>
          <w:spacing w:val="-2"/>
          <w:kern w:val="0"/>
          <w:sz w:val="18"/>
          <w:szCs w:val="26"/>
          <w:rtl/>
        </w:rPr>
        <w:t>(</w:t>
      </w:r>
      <w:r w:rsidRPr="00772699">
        <w:rPr>
          <w:rFonts w:hint="cs"/>
          <w:spacing w:val="-2"/>
          <w:kern w:val="0"/>
          <w:sz w:val="26"/>
          <w:szCs w:val="26"/>
          <w:rtl/>
        </w:rPr>
        <w:t>ﻫ</w:t>
      </w:r>
      <w:r w:rsidRPr="00FE387B">
        <w:rPr>
          <w:rFonts w:hint="cs"/>
          <w:spacing w:val="-2"/>
          <w:kern w:val="0"/>
          <w:sz w:val="18"/>
          <w:szCs w:val="26"/>
          <w:rtl/>
        </w:rPr>
        <w:t>)</w:t>
      </w:r>
      <w:r w:rsidRPr="00FE387B">
        <w:rPr>
          <w:rFonts w:hint="cs"/>
          <w:spacing w:val="-2"/>
          <w:kern w:val="0"/>
          <w:sz w:val="18"/>
          <w:szCs w:val="26"/>
          <w:rtl/>
        </w:rPr>
        <w:tab/>
      </w:r>
      <w:r w:rsidRPr="00B32542">
        <w:rPr>
          <w:rFonts w:hint="cs"/>
          <w:spacing w:val="0"/>
          <w:kern w:val="0"/>
          <w:sz w:val="18"/>
          <w:szCs w:val="26"/>
          <w:rtl/>
        </w:rPr>
        <w:t xml:space="preserve">انظر </w:t>
      </w:r>
      <w:r w:rsidRPr="00B32542">
        <w:rPr>
          <w:spacing w:val="0"/>
          <w:kern w:val="0"/>
          <w:sz w:val="18"/>
          <w:szCs w:val="26"/>
          <w:rtl/>
        </w:rPr>
        <w:t xml:space="preserve">البلاغ رقم 203/2002، </w:t>
      </w:r>
      <w:r w:rsidRPr="00B32542">
        <w:rPr>
          <w:i/>
          <w:iCs/>
          <w:spacing w:val="0"/>
          <w:kern w:val="0"/>
          <w:sz w:val="18"/>
          <w:szCs w:val="26"/>
          <w:rtl/>
        </w:rPr>
        <w:t>أ. ر. ضد هولندا،</w:t>
      </w:r>
      <w:r w:rsidRPr="00B32542">
        <w:rPr>
          <w:spacing w:val="0"/>
          <w:kern w:val="0"/>
          <w:sz w:val="18"/>
          <w:szCs w:val="26"/>
          <w:rtl/>
        </w:rPr>
        <w:t xml:space="preserve"> </w:t>
      </w:r>
      <w:r w:rsidRPr="00B32542">
        <w:rPr>
          <w:rFonts w:hint="cs"/>
          <w:spacing w:val="0"/>
          <w:kern w:val="0"/>
          <w:sz w:val="18"/>
          <w:szCs w:val="26"/>
          <w:rtl/>
        </w:rPr>
        <w:t xml:space="preserve">القرار المعتمد </w:t>
      </w:r>
      <w:r w:rsidRPr="00B32542">
        <w:rPr>
          <w:spacing w:val="0"/>
          <w:kern w:val="0"/>
          <w:sz w:val="18"/>
          <w:szCs w:val="26"/>
          <w:rtl/>
        </w:rPr>
        <w:t xml:space="preserve">في </w:t>
      </w:r>
      <w:r w:rsidRPr="00B32542">
        <w:rPr>
          <w:rFonts w:hint="cs"/>
          <w:spacing w:val="0"/>
          <w:kern w:val="0"/>
          <w:sz w:val="18"/>
          <w:szCs w:val="26"/>
          <w:rtl/>
        </w:rPr>
        <w:t>14</w:t>
      </w:r>
      <w:r w:rsidRPr="00B32542">
        <w:rPr>
          <w:spacing w:val="0"/>
          <w:kern w:val="0"/>
          <w:sz w:val="18"/>
          <w:szCs w:val="26"/>
          <w:rtl/>
        </w:rPr>
        <w:t xml:space="preserve"> تشرين الثاني/نوفمبر 2003</w:t>
      </w:r>
      <w:r w:rsidRPr="00B32542">
        <w:rPr>
          <w:rFonts w:hint="cs"/>
          <w:spacing w:val="0"/>
          <w:kern w:val="0"/>
          <w:sz w:val="18"/>
          <w:szCs w:val="26"/>
          <w:rtl/>
        </w:rPr>
        <w:t xml:space="preserve"> </w:t>
      </w:r>
      <w:r w:rsidRPr="00B32542">
        <w:rPr>
          <w:spacing w:val="0"/>
          <w:kern w:val="0"/>
          <w:sz w:val="18"/>
          <w:szCs w:val="26"/>
          <w:rtl/>
        </w:rPr>
        <w:t>الفقرة</w:t>
      </w:r>
      <w:r>
        <w:rPr>
          <w:rFonts w:hint="cs"/>
          <w:spacing w:val="0"/>
          <w:kern w:val="0"/>
          <w:sz w:val="18"/>
          <w:szCs w:val="26"/>
          <w:rtl/>
        </w:rPr>
        <w:t> </w:t>
      </w:r>
      <w:r w:rsidRPr="00B32542">
        <w:rPr>
          <w:spacing w:val="0"/>
          <w:kern w:val="0"/>
          <w:sz w:val="18"/>
          <w:szCs w:val="26"/>
          <w:rtl/>
        </w:rPr>
        <w:t xml:space="preserve">7-3؛ </w:t>
      </w:r>
      <w:r w:rsidRPr="00B32542">
        <w:rPr>
          <w:rFonts w:hint="cs"/>
          <w:spacing w:val="0"/>
          <w:kern w:val="0"/>
          <w:sz w:val="18"/>
          <w:szCs w:val="26"/>
          <w:rtl/>
        </w:rPr>
        <w:t>و</w:t>
      </w:r>
      <w:r w:rsidRPr="00B32542">
        <w:rPr>
          <w:spacing w:val="0"/>
          <w:kern w:val="0"/>
          <w:sz w:val="18"/>
          <w:szCs w:val="26"/>
          <w:rtl/>
        </w:rPr>
        <w:t>البلاغ رقم</w:t>
      </w:r>
      <w:r w:rsidRPr="00B32542">
        <w:rPr>
          <w:rFonts w:hint="cs"/>
          <w:spacing w:val="0"/>
          <w:kern w:val="0"/>
          <w:sz w:val="18"/>
          <w:szCs w:val="26"/>
          <w:rtl/>
        </w:rPr>
        <w:t xml:space="preserve"> </w:t>
      </w:r>
      <w:r w:rsidRPr="00B32542">
        <w:rPr>
          <w:spacing w:val="0"/>
          <w:kern w:val="0"/>
          <w:sz w:val="18"/>
          <w:szCs w:val="26"/>
          <w:rtl/>
        </w:rPr>
        <w:t xml:space="preserve">285/2006، </w:t>
      </w:r>
      <w:r w:rsidRPr="00B32542">
        <w:rPr>
          <w:i/>
          <w:iCs/>
          <w:spacing w:val="0"/>
          <w:kern w:val="0"/>
          <w:sz w:val="18"/>
          <w:szCs w:val="26"/>
          <w:rtl/>
        </w:rPr>
        <w:t>أ.</w:t>
      </w:r>
      <w:r w:rsidRPr="00B32542">
        <w:rPr>
          <w:rFonts w:hint="cs"/>
          <w:i/>
          <w:iCs/>
          <w:spacing w:val="0"/>
          <w:kern w:val="0"/>
          <w:sz w:val="18"/>
          <w:szCs w:val="26"/>
          <w:rtl/>
        </w:rPr>
        <w:t xml:space="preserve"> </w:t>
      </w:r>
      <w:r w:rsidRPr="00B32542">
        <w:rPr>
          <w:i/>
          <w:iCs/>
          <w:spacing w:val="0"/>
          <w:kern w:val="0"/>
          <w:sz w:val="18"/>
          <w:szCs w:val="26"/>
          <w:rtl/>
        </w:rPr>
        <w:t>أ. وآخرون ضد سويسرا،</w:t>
      </w:r>
      <w:r w:rsidRPr="00B32542">
        <w:rPr>
          <w:spacing w:val="0"/>
          <w:kern w:val="0"/>
          <w:sz w:val="18"/>
          <w:szCs w:val="26"/>
          <w:rtl/>
        </w:rPr>
        <w:t xml:space="preserve"> ال</w:t>
      </w:r>
      <w:r w:rsidRPr="00B32542">
        <w:rPr>
          <w:rFonts w:hint="cs"/>
          <w:spacing w:val="0"/>
          <w:kern w:val="0"/>
          <w:sz w:val="18"/>
          <w:szCs w:val="26"/>
          <w:rtl/>
        </w:rPr>
        <w:t>قرار</w:t>
      </w:r>
      <w:r w:rsidRPr="00B32542">
        <w:rPr>
          <w:spacing w:val="0"/>
          <w:kern w:val="0"/>
          <w:sz w:val="18"/>
          <w:szCs w:val="26"/>
          <w:rtl/>
        </w:rPr>
        <w:t xml:space="preserve"> المعتمد في 10 تشرين الثاني/</w:t>
      </w:r>
      <w:r>
        <w:rPr>
          <w:rFonts w:hint="cs"/>
          <w:spacing w:val="0"/>
          <w:kern w:val="0"/>
          <w:sz w:val="18"/>
          <w:szCs w:val="26"/>
          <w:rtl/>
        </w:rPr>
        <w:t xml:space="preserve"> </w:t>
      </w:r>
      <w:r w:rsidRPr="00B32542">
        <w:rPr>
          <w:spacing w:val="0"/>
          <w:kern w:val="0"/>
          <w:sz w:val="18"/>
          <w:szCs w:val="26"/>
          <w:rtl/>
        </w:rPr>
        <w:t>نوفمبر 2008 الفقرة 7-6</w:t>
      </w:r>
      <w:r w:rsidRPr="00B32542">
        <w:rPr>
          <w:rFonts w:hint="cs"/>
          <w:spacing w:val="0"/>
          <w:kern w:val="0"/>
          <w:sz w:val="18"/>
          <w:szCs w:val="26"/>
          <w:rtl/>
        </w:rPr>
        <w:t>، والبلاغ رقم 350/</w:t>
      </w:r>
      <w:r>
        <w:rPr>
          <w:rFonts w:hint="cs"/>
          <w:spacing w:val="0"/>
          <w:kern w:val="0"/>
          <w:sz w:val="18"/>
          <w:szCs w:val="26"/>
          <w:rtl/>
        </w:rPr>
        <w:t>2008</w:t>
      </w:r>
      <w:r w:rsidRPr="00B32542">
        <w:rPr>
          <w:rFonts w:hint="cs"/>
          <w:spacing w:val="0"/>
          <w:kern w:val="0"/>
          <w:sz w:val="18"/>
          <w:szCs w:val="26"/>
          <w:rtl/>
        </w:rPr>
        <w:t xml:space="preserve">، </w:t>
      </w:r>
      <w:r w:rsidRPr="00B32542">
        <w:rPr>
          <w:rFonts w:hint="cs"/>
          <w:i/>
          <w:iCs/>
          <w:spacing w:val="0"/>
          <w:kern w:val="0"/>
          <w:sz w:val="18"/>
          <w:szCs w:val="26"/>
          <w:rtl/>
        </w:rPr>
        <w:t>ر. ت. ن. ضد سويسرا</w:t>
      </w:r>
      <w:r w:rsidRPr="00B32542">
        <w:rPr>
          <w:rFonts w:hint="cs"/>
          <w:spacing w:val="0"/>
          <w:kern w:val="0"/>
          <w:sz w:val="18"/>
          <w:szCs w:val="26"/>
          <w:rtl/>
        </w:rPr>
        <w:t>، القرار المعتمد في 3 حزيران/يونيه 2011، الفقرة 8-4</w:t>
      </w:r>
      <w:r w:rsidRPr="00B32542">
        <w:rPr>
          <w:rFonts w:hint="cs"/>
          <w:spacing w:val="0"/>
          <w:kern w:val="0"/>
          <w:sz w:val="18"/>
          <w:szCs w:val="26"/>
          <w:rtl/>
          <w:lang w:val="fr-CH" w:bidi="ar-SY"/>
        </w:rPr>
        <w:t>.</w:t>
      </w:r>
    </w:p>
  </w:footnote>
  <w:footnote w:id="215">
    <w:p w:rsidR="00D64D4C" w:rsidRPr="00B32542" w:rsidRDefault="00D64D4C" w:rsidP="00772699">
      <w:pPr>
        <w:pStyle w:val="FootnoteText"/>
        <w:spacing w:after="60" w:line="280" w:lineRule="exact"/>
        <w:ind w:left="1211" w:right="1247" w:hanging="378"/>
        <w:jc w:val="lowKashida"/>
        <w:rPr>
          <w:rFonts w:hint="cs"/>
          <w:spacing w:val="0"/>
          <w:kern w:val="0"/>
          <w:sz w:val="18"/>
          <w:szCs w:val="26"/>
        </w:rPr>
      </w:pPr>
      <w:r w:rsidRPr="00FE387B">
        <w:rPr>
          <w:rFonts w:hint="cs"/>
          <w:spacing w:val="-2"/>
          <w:kern w:val="0"/>
          <w:sz w:val="18"/>
          <w:szCs w:val="26"/>
          <w:rtl/>
        </w:rPr>
        <w:t>(</w:t>
      </w:r>
      <w:r>
        <w:rPr>
          <w:rFonts w:hint="cs"/>
          <w:spacing w:val="-2"/>
          <w:kern w:val="0"/>
          <w:sz w:val="26"/>
          <w:szCs w:val="26"/>
          <w:rtl/>
        </w:rPr>
        <w:t>و</w:t>
      </w:r>
      <w:r w:rsidRPr="00FE387B">
        <w:rPr>
          <w:rFonts w:hint="cs"/>
          <w:spacing w:val="-2"/>
          <w:kern w:val="0"/>
          <w:sz w:val="18"/>
          <w:szCs w:val="26"/>
          <w:rtl/>
        </w:rPr>
        <w:t>)</w:t>
      </w:r>
      <w:r w:rsidRPr="00FE387B">
        <w:rPr>
          <w:rFonts w:hint="cs"/>
          <w:spacing w:val="-2"/>
          <w:kern w:val="0"/>
          <w:sz w:val="18"/>
          <w:szCs w:val="26"/>
          <w:rtl/>
        </w:rPr>
        <w:tab/>
      </w:r>
      <w:r w:rsidRPr="00B32542">
        <w:rPr>
          <w:spacing w:val="0"/>
          <w:kern w:val="0"/>
          <w:sz w:val="18"/>
          <w:szCs w:val="26"/>
          <w:rtl/>
        </w:rPr>
        <w:t>انظر، في جملة أمور، تقرير مفوضة الأمم المتحدة السامية لحقوق الإنسان عن حالة حقوق الإنسان وأنشطة المفوضية في جمهورية الكونغو الديمقراطية</w:t>
      </w:r>
      <w:r w:rsidRPr="00B32542">
        <w:rPr>
          <w:rFonts w:hint="cs"/>
          <w:spacing w:val="0"/>
          <w:kern w:val="0"/>
          <w:sz w:val="18"/>
          <w:szCs w:val="26"/>
          <w:rtl/>
        </w:rPr>
        <w:t xml:space="preserve"> </w:t>
      </w:r>
      <w:r w:rsidRPr="00B32542">
        <w:rPr>
          <w:rStyle w:val="FootnoteTextChar"/>
          <w:spacing w:val="0"/>
          <w:kern w:val="0"/>
          <w:sz w:val="18"/>
          <w:szCs w:val="26"/>
        </w:rPr>
        <w:t>(A/HRC/16/27)</w:t>
      </w:r>
      <w:r w:rsidRPr="00B32542">
        <w:rPr>
          <w:spacing w:val="0"/>
          <w:kern w:val="0"/>
          <w:sz w:val="18"/>
          <w:szCs w:val="26"/>
          <w:rtl/>
        </w:rPr>
        <w:t xml:space="preserve">؛ </w:t>
      </w:r>
      <w:r w:rsidRPr="00B32542">
        <w:rPr>
          <w:rFonts w:hint="cs"/>
          <w:spacing w:val="0"/>
          <w:kern w:val="0"/>
          <w:sz w:val="18"/>
          <w:szCs w:val="26"/>
          <w:rtl/>
        </w:rPr>
        <w:t>و</w:t>
      </w:r>
      <w:r w:rsidRPr="00B32542">
        <w:rPr>
          <w:spacing w:val="0"/>
          <w:kern w:val="0"/>
          <w:sz w:val="18"/>
          <w:szCs w:val="26"/>
          <w:rtl/>
        </w:rPr>
        <w:t>تقرير الأمين العام عن بعثة منظمة الأمم المتحدة لتحقيق الاستقرار في جمهورية الكونغو الديمقراطية</w:t>
      </w:r>
      <w:r w:rsidRPr="00B32542">
        <w:rPr>
          <w:rFonts w:hint="cs"/>
          <w:spacing w:val="0"/>
          <w:kern w:val="0"/>
          <w:sz w:val="18"/>
          <w:szCs w:val="26"/>
          <w:rtl/>
        </w:rPr>
        <w:t xml:space="preserve"> </w:t>
      </w:r>
      <w:r w:rsidRPr="00B32542">
        <w:rPr>
          <w:rStyle w:val="FootnoteTextChar"/>
          <w:spacing w:val="0"/>
          <w:kern w:val="0"/>
          <w:sz w:val="18"/>
          <w:szCs w:val="26"/>
        </w:rPr>
        <w:t>(S/2011/20)</w:t>
      </w:r>
      <w:r w:rsidRPr="00B32542">
        <w:rPr>
          <w:spacing w:val="0"/>
          <w:kern w:val="0"/>
          <w:sz w:val="18"/>
          <w:szCs w:val="26"/>
          <w:rtl/>
        </w:rPr>
        <w:t xml:space="preserve">؛ </w:t>
      </w:r>
      <w:r w:rsidRPr="00B32542">
        <w:rPr>
          <w:rFonts w:hint="cs"/>
          <w:spacing w:val="0"/>
          <w:kern w:val="0"/>
          <w:sz w:val="18"/>
          <w:szCs w:val="26"/>
          <w:rtl/>
        </w:rPr>
        <w:t>و</w:t>
      </w:r>
      <w:r w:rsidRPr="00B32542">
        <w:rPr>
          <w:spacing w:val="0"/>
          <w:kern w:val="0"/>
          <w:sz w:val="18"/>
          <w:szCs w:val="26"/>
          <w:rtl/>
        </w:rPr>
        <w:t>استنتاجات لجنة</w:t>
      </w:r>
      <w:r w:rsidRPr="00B32542">
        <w:rPr>
          <w:rFonts w:hint="cs"/>
          <w:spacing w:val="0"/>
          <w:kern w:val="0"/>
          <w:sz w:val="18"/>
          <w:szCs w:val="26"/>
          <w:rtl/>
        </w:rPr>
        <w:t xml:space="preserve"> مناهضة التعذيب بشأن </w:t>
      </w:r>
      <w:r w:rsidRPr="00B32542">
        <w:rPr>
          <w:spacing w:val="0"/>
          <w:kern w:val="0"/>
          <w:sz w:val="18"/>
          <w:szCs w:val="26"/>
          <w:rtl/>
        </w:rPr>
        <w:t>التقرير المقدم من جمهورية الكونغو الديمقراطية بموجب اتفاقية</w:t>
      </w:r>
      <w:r w:rsidRPr="00B32542">
        <w:rPr>
          <w:rFonts w:hint="cs"/>
          <w:spacing w:val="0"/>
          <w:kern w:val="0"/>
          <w:sz w:val="18"/>
          <w:szCs w:val="26"/>
          <w:rtl/>
        </w:rPr>
        <w:t xml:space="preserve"> </w:t>
      </w:r>
      <w:r w:rsidRPr="00B32542">
        <w:rPr>
          <w:spacing w:val="0"/>
          <w:kern w:val="0"/>
          <w:sz w:val="18"/>
          <w:szCs w:val="26"/>
          <w:rtl/>
        </w:rPr>
        <w:t>مناهضة التعذيب وغيره من ضروب المعاملة أو العقوبة القاسية أو اللاإنسانية أو المهينة</w:t>
      </w:r>
      <w:r w:rsidRPr="00B32542">
        <w:rPr>
          <w:rFonts w:hint="cs"/>
          <w:spacing w:val="0"/>
          <w:kern w:val="0"/>
          <w:sz w:val="18"/>
          <w:szCs w:val="26"/>
          <w:rtl/>
        </w:rPr>
        <w:t xml:space="preserve"> </w:t>
      </w:r>
      <w:r w:rsidRPr="00B32542">
        <w:rPr>
          <w:rStyle w:val="FootnoteTextChar"/>
          <w:spacing w:val="0"/>
          <w:kern w:val="0"/>
          <w:sz w:val="18"/>
          <w:szCs w:val="26"/>
        </w:rPr>
        <w:t>(CAT/C/DRC/CO/1/CRP.1)</w:t>
      </w:r>
      <w:r w:rsidRPr="00B32542">
        <w:rPr>
          <w:rFonts w:hint="cs"/>
          <w:spacing w:val="0"/>
          <w:kern w:val="0"/>
          <w:sz w:val="18"/>
          <w:szCs w:val="26"/>
          <w:rtl/>
        </w:rPr>
        <w:t>؛ و</w:t>
      </w:r>
      <w:r w:rsidRPr="00B32542">
        <w:rPr>
          <w:spacing w:val="0"/>
          <w:kern w:val="0"/>
          <w:sz w:val="18"/>
          <w:szCs w:val="26"/>
          <w:rtl/>
        </w:rPr>
        <w:t>الملاحظات الختامية للجنة</w:t>
      </w:r>
      <w:r w:rsidRPr="00B32542">
        <w:rPr>
          <w:rFonts w:hint="cs"/>
          <w:spacing w:val="0"/>
          <w:kern w:val="0"/>
          <w:sz w:val="18"/>
          <w:szCs w:val="26"/>
          <w:rtl/>
        </w:rPr>
        <w:t xml:space="preserve"> المعنية ب</w:t>
      </w:r>
      <w:r w:rsidRPr="00B32542">
        <w:rPr>
          <w:spacing w:val="0"/>
          <w:kern w:val="0"/>
          <w:sz w:val="18"/>
          <w:szCs w:val="26"/>
          <w:rtl/>
        </w:rPr>
        <w:t xml:space="preserve">حقوق الإنسان بشأن التقرير المقدم من الدولة الطرف بموجب العهد </w:t>
      </w:r>
      <w:r w:rsidRPr="00B32542">
        <w:rPr>
          <w:rFonts w:hint="cs"/>
          <w:spacing w:val="0"/>
          <w:kern w:val="0"/>
          <w:sz w:val="18"/>
          <w:szCs w:val="26"/>
          <w:rtl/>
        </w:rPr>
        <w:t>الدولي</w:t>
      </w:r>
      <w:r w:rsidRPr="00B32542">
        <w:rPr>
          <w:spacing w:val="0"/>
          <w:kern w:val="0"/>
          <w:sz w:val="18"/>
          <w:szCs w:val="26"/>
          <w:rtl/>
        </w:rPr>
        <w:t xml:space="preserve"> الخاص بالحقوق المدنية والسياسية</w:t>
      </w:r>
      <w:r w:rsidRPr="00B32542">
        <w:rPr>
          <w:rFonts w:hint="cs"/>
          <w:spacing w:val="0"/>
          <w:kern w:val="0"/>
          <w:sz w:val="18"/>
          <w:szCs w:val="26"/>
          <w:rtl/>
        </w:rPr>
        <w:t xml:space="preserve"> </w:t>
      </w:r>
      <w:r w:rsidRPr="00B32542">
        <w:rPr>
          <w:rStyle w:val="FootnoteTextChar"/>
          <w:spacing w:val="0"/>
          <w:kern w:val="0"/>
          <w:sz w:val="18"/>
          <w:szCs w:val="26"/>
        </w:rPr>
        <w:t>(CCPR/C/COD/CO/3)</w:t>
      </w:r>
      <w:r w:rsidRPr="00B32542">
        <w:rPr>
          <w:spacing w:val="0"/>
          <w:kern w:val="0"/>
          <w:sz w:val="18"/>
          <w:szCs w:val="26"/>
          <w:rtl/>
        </w:rPr>
        <w:t xml:space="preserve">؛ </w:t>
      </w:r>
      <w:r w:rsidRPr="00B32542">
        <w:rPr>
          <w:rFonts w:hint="cs"/>
          <w:spacing w:val="0"/>
          <w:kern w:val="0"/>
          <w:sz w:val="18"/>
          <w:szCs w:val="26"/>
          <w:rtl/>
        </w:rPr>
        <w:t xml:space="preserve">وتقرير "المساعدة التقنية وبناء القدرات: التقرير الموحد لسبعة إجراءات خاصة مواضيعية بشأن المساعدة التقنية المقدمة إلى حكومة جمهورية الكونغو الديمقراطية والنظر بصورة عاجلة في الأوضاع السائدة في شرق البلد" </w:t>
      </w:r>
      <w:r w:rsidRPr="00B32542">
        <w:rPr>
          <w:spacing w:val="0"/>
          <w:kern w:val="0"/>
          <w:sz w:val="18"/>
          <w:szCs w:val="26"/>
        </w:rPr>
        <w:t>(A/HRC/10/59)</w:t>
      </w:r>
      <w:r w:rsidRPr="00B32542">
        <w:rPr>
          <w:rFonts w:hint="cs"/>
          <w:spacing w:val="0"/>
          <w:kern w:val="0"/>
          <w:sz w:val="18"/>
          <w:szCs w:val="26"/>
          <w:rtl/>
          <w:lang w:val="fr-CH" w:bidi="ar-SY"/>
        </w:rPr>
        <w:t>.</w:t>
      </w:r>
    </w:p>
  </w:footnote>
  <w:footnote w:id="216">
    <w:p w:rsidR="00D64D4C" w:rsidRPr="00073364" w:rsidRDefault="00D64D4C" w:rsidP="00EA66E5">
      <w:pPr>
        <w:pStyle w:val="footnoteText0"/>
        <w:tabs>
          <w:tab w:val="left" w:pos="1239"/>
        </w:tabs>
        <w:rPr>
          <w:rFonts w:hint="cs"/>
          <w:rtl/>
        </w:rPr>
      </w:pPr>
      <w:r w:rsidRPr="00073364">
        <w:rPr>
          <w:rtl/>
        </w:rPr>
        <w:tab/>
      </w:r>
      <w:r w:rsidRPr="00073364">
        <w:rPr>
          <w:rStyle w:val="FootnoteReference"/>
          <w:sz w:val="20"/>
          <w:vertAlign w:val="baseline"/>
          <w:rtl/>
        </w:rPr>
        <w:t>*</w:t>
      </w:r>
      <w:r w:rsidRPr="00073364">
        <w:rPr>
          <w:rtl/>
        </w:rPr>
        <w:tab/>
      </w:r>
      <w:r w:rsidRPr="00073364">
        <w:rPr>
          <w:rFonts w:hint="cs"/>
          <w:sz w:val="26"/>
          <w:rtl/>
        </w:rPr>
        <w:t>مرفق بهذه الوثيقة نص الرأي الفردي (</w:t>
      </w:r>
      <w:r>
        <w:rPr>
          <w:rFonts w:hint="cs"/>
          <w:sz w:val="26"/>
          <w:rtl/>
        </w:rPr>
        <w:t>ال</w:t>
      </w:r>
      <w:r w:rsidRPr="00073364">
        <w:rPr>
          <w:rFonts w:hint="cs"/>
          <w:sz w:val="26"/>
          <w:rtl/>
        </w:rPr>
        <w:t>مخالف جزئياً) للسيدة فيليس غاير، عضو اللجنة.</w:t>
      </w:r>
    </w:p>
  </w:footnote>
  <w:footnote w:id="217">
    <w:p w:rsidR="00D64D4C" w:rsidRPr="00EA66E5" w:rsidRDefault="00D64D4C" w:rsidP="00EA66E5">
      <w:pPr>
        <w:pStyle w:val="FootnoteText"/>
        <w:numPr>
          <w:ilvl w:val="0"/>
          <w:numId w:val="50"/>
        </w:numPr>
        <w:tabs>
          <w:tab w:val="left" w:pos="1239"/>
        </w:tabs>
        <w:spacing w:after="60" w:line="300" w:lineRule="exact"/>
        <w:ind w:left="1248" w:right="1247" w:hanging="227"/>
        <w:jc w:val="lowKashida"/>
        <w:rPr>
          <w:spacing w:val="0"/>
          <w:kern w:val="0"/>
          <w:sz w:val="26"/>
          <w:szCs w:val="26"/>
          <w:rtl/>
          <w:lang w:val="en-CA"/>
        </w:rPr>
      </w:pPr>
      <w:r w:rsidRPr="00EA66E5">
        <w:rPr>
          <w:spacing w:val="0"/>
          <w:kern w:val="0"/>
          <w:sz w:val="26"/>
          <w:szCs w:val="26"/>
          <w:rtl/>
          <w:lang w:val="en-CA"/>
        </w:rPr>
        <w:t xml:space="preserve">وفقاً </w:t>
      </w:r>
      <w:r w:rsidRPr="00EA66E5">
        <w:rPr>
          <w:spacing w:val="0"/>
          <w:kern w:val="0"/>
          <w:sz w:val="18"/>
          <w:szCs w:val="26"/>
          <w:rtl/>
        </w:rPr>
        <w:t>لقانون</w:t>
      </w:r>
      <w:r w:rsidRPr="00EA66E5">
        <w:rPr>
          <w:spacing w:val="0"/>
          <w:kern w:val="0"/>
          <w:sz w:val="26"/>
          <w:szCs w:val="26"/>
          <w:rtl/>
          <w:lang w:val="en-CA"/>
        </w:rPr>
        <w:t xml:space="preserve"> الإجراءات الجنائية:</w:t>
      </w:r>
    </w:p>
    <w:p w:rsidR="00D64D4C" w:rsidRPr="00EA66E5" w:rsidRDefault="00D64D4C" w:rsidP="00EA66E5">
      <w:pPr>
        <w:pStyle w:val="FootnoteText"/>
        <w:tabs>
          <w:tab w:val="left" w:pos="1239"/>
        </w:tabs>
        <w:spacing w:after="60" w:line="300" w:lineRule="exact"/>
        <w:ind w:left="1239" w:right="1247"/>
        <w:rPr>
          <w:spacing w:val="0"/>
          <w:kern w:val="0"/>
          <w:sz w:val="26"/>
          <w:szCs w:val="26"/>
          <w:rtl/>
          <w:lang w:val="en-CA"/>
        </w:rPr>
      </w:pPr>
      <w:r w:rsidRPr="00EA66E5">
        <w:rPr>
          <w:spacing w:val="0"/>
          <w:kern w:val="0"/>
          <w:sz w:val="26"/>
          <w:szCs w:val="26"/>
          <w:rtl/>
          <w:lang w:val="en-CA"/>
        </w:rPr>
        <w:t>"المادة 637</w:t>
      </w:r>
      <w:r w:rsidRPr="00EA66E5">
        <w:rPr>
          <w:rFonts w:hint="cs"/>
          <w:spacing w:val="0"/>
          <w:kern w:val="0"/>
          <w:sz w:val="26"/>
          <w:szCs w:val="26"/>
          <w:rtl/>
          <w:lang w:val="en-CA"/>
        </w:rPr>
        <w:t>-</w:t>
      </w:r>
      <w:r w:rsidRPr="00EA66E5">
        <w:rPr>
          <w:spacing w:val="0"/>
          <w:kern w:val="0"/>
          <w:sz w:val="26"/>
          <w:szCs w:val="26"/>
          <w:rtl/>
          <w:lang w:val="en-CA"/>
        </w:rPr>
        <w:t xml:space="preserve"> </w:t>
      </w:r>
      <w:r w:rsidRPr="00EA66E5">
        <w:rPr>
          <w:rFonts w:hint="cs"/>
          <w:spacing w:val="0"/>
          <w:kern w:val="0"/>
          <w:sz w:val="26"/>
          <w:szCs w:val="26"/>
          <w:rtl/>
          <w:lang w:val="en-CA"/>
        </w:rPr>
        <w:t>تُرفض</w:t>
      </w:r>
      <w:r w:rsidRPr="00EA66E5">
        <w:rPr>
          <w:spacing w:val="0"/>
          <w:kern w:val="0"/>
          <w:sz w:val="26"/>
          <w:szCs w:val="26"/>
          <w:rtl/>
          <w:lang w:val="en-CA"/>
        </w:rPr>
        <w:t xml:space="preserve"> الدعوى:</w:t>
      </w:r>
    </w:p>
    <w:p w:rsidR="00D64D4C" w:rsidRPr="00EA66E5" w:rsidRDefault="00D64D4C" w:rsidP="00EA66E5">
      <w:pPr>
        <w:pStyle w:val="FootnoteText"/>
        <w:tabs>
          <w:tab w:val="left" w:pos="1239"/>
          <w:tab w:val="left" w:pos="1729"/>
          <w:tab w:val="left" w:pos="2191"/>
        </w:tabs>
        <w:spacing w:after="60" w:line="300" w:lineRule="exact"/>
        <w:ind w:left="1239" w:right="1247"/>
        <w:rPr>
          <w:spacing w:val="-2"/>
          <w:kern w:val="0"/>
          <w:sz w:val="26"/>
          <w:szCs w:val="26"/>
          <w:rtl/>
          <w:lang w:val="en-CA"/>
        </w:rPr>
      </w:pPr>
      <w:r w:rsidRPr="00EA66E5">
        <w:rPr>
          <w:rFonts w:hint="cs"/>
          <w:spacing w:val="-2"/>
          <w:kern w:val="0"/>
          <w:sz w:val="26"/>
          <w:szCs w:val="26"/>
          <w:rtl/>
          <w:lang w:val="en-CA"/>
        </w:rPr>
        <w:tab/>
        <w:t>(أ)</w:t>
      </w:r>
      <w:r w:rsidRPr="00EA66E5">
        <w:rPr>
          <w:rFonts w:hint="cs"/>
          <w:spacing w:val="-2"/>
          <w:kern w:val="0"/>
          <w:sz w:val="26"/>
          <w:szCs w:val="26"/>
          <w:rtl/>
          <w:lang w:val="en-CA"/>
        </w:rPr>
        <w:tab/>
      </w:r>
      <w:r w:rsidRPr="00EA66E5">
        <w:rPr>
          <w:spacing w:val="-2"/>
          <w:kern w:val="0"/>
          <w:sz w:val="26"/>
          <w:szCs w:val="26"/>
          <w:rtl/>
          <w:lang w:val="en-CA"/>
        </w:rPr>
        <w:t xml:space="preserve">عندما لا يوجد ما يشير بشكل معقول إلى أن الفعل الذي أدى إلى </w:t>
      </w:r>
      <w:r w:rsidRPr="00EA66E5">
        <w:rPr>
          <w:rFonts w:hint="cs"/>
          <w:spacing w:val="-2"/>
          <w:kern w:val="0"/>
          <w:sz w:val="26"/>
          <w:szCs w:val="26"/>
          <w:rtl/>
          <w:lang w:val="en-CA"/>
        </w:rPr>
        <w:t>رفع الدعوى</w:t>
      </w:r>
      <w:r w:rsidRPr="00EA66E5">
        <w:rPr>
          <w:spacing w:val="-2"/>
          <w:kern w:val="0"/>
          <w:sz w:val="26"/>
          <w:szCs w:val="26"/>
          <w:rtl/>
          <w:lang w:val="en-CA"/>
        </w:rPr>
        <w:t xml:space="preserve"> قد وقع </w:t>
      </w:r>
      <w:r w:rsidRPr="00EA66E5">
        <w:rPr>
          <w:rFonts w:hint="cs"/>
          <w:spacing w:val="-2"/>
          <w:kern w:val="0"/>
          <w:sz w:val="26"/>
          <w:szCs w:val="26"/>
          <w:rtl/>
          <w:lang w:val="en-CA"/>
        </w:rPr>
        <w:t>فعلياً</w:t>
      </w:r>
      <w:r w:rsidRPr="00EA66E5">
        <w:rPr>
          <w:spacing w:val="-2"/>
          <w:kern w:val="0"/>
          <w:sz w:val="26"/>
          <w:szCs w:val="26"/>
          <w:rtl/>
          <w:lang w:val="en-CA"/>
        </w:rPr>
        <w:t>.</w:t>
      </w:r>
    </w:p>
    <w:p w:rsidR="00D64D4C" w:rsidRPr="00EA66E5" w:rsidRDefault="00D64D4C" w:rsidP="00EA66E5">
      <w:pPr>
        <w:pStyle w:val="FootnoteText"/>
        <w:tabs>
          <w:tab w:val="left" w:pos="1239"/>
          <w:tab w:val="left" w:pos="1729"/>
          <w:tab w:val="left" w:pos="2191"/>
        </w:tabs>
        <w:spacing w:after="60" w:line="300" w:lineRule="exact"/>
        <w:ind w:left="1239" w:right="1247"/>
        <w:rPr>
          <w:spacing w:val="0"/>
          <w:kern w:val="0"/>
          <w:sz w:val="26"/>
          <w:szCs w:val="26"/>
          <w:rtl/>
          <w:lang w:val="en-CA"/>
        </w:rPr>
      </w:pPr>
      <w:r w:rsidRPr="00EA66E5">
        <w:rPr>
          <w:rFonts w:hint="cs"/>
          <w:spacing w:val="0"/>
          <w:kern w:val="0"/>
          <w:sz w:val="26"/>
          <w:szCs w:val="26"/>
          <w:rtl/>
          <w:lang w:val="en-CA"/>
        </w:rPr>
        <w:tab/>
        <w:t>(ب)</w:t>
      </w:r>
      <w:r w:rsidRPr="00EA66E5">
        <w:rPr>
          <w:spacing w:val="0"/>
          <w:kern w:val="0"/>
          <w:sz w:val="26"/>
          <w:szCs w:val="26"/>
          <w:rtl/>
          <w:lang w:val="en-CA"/>
        </w:rPr>
        <w:tab/>
        <w:t xml:space="preserve">عندما لا </w:t>
      </w:r>
      <w:r w:rsidRPr="00EA66E5">
        <w:rPr>
          <w:rFonts w:hint="cs"/>
          <w:spacing w:val="0"/>
          <w:kern w:val="0"/>
          <w:sz w:val="26"/>
          <w:szCs w:val="26"/>
          <w:rtl/>
          <w:lang w:val="en-CA"/>
        </w:rPr>
        <w:t>يشكل</w:t>
      </w:r>
      <w:r w:rsidRPr="00EA66E5">
        <w:rPr>
          <w:spacing w:val="0"/>
          <w:kern w:val="0"/>
          <w:sz w:val="26"/>
          <w:szCs w:val="26"/>
          <w:rtl/>
          <w:lang w:val="en-CA"/>
        </w:rPr>
        <w:t xml:space="preserve"> الفعل فعلاً جرمياً.</w:t>
      </w:r>
    </w:p>
    <w:p w:rsidR="00D64D4C" w:rsidRPr="00EA66E5" w:rsidRDefault="00D64D4C" w:rsidP="00EA66E5">
      <w:pPr>
        <w:pStyle w:val="FootnoteText"/>
        <w:tabs>
          <w:tab w:val="left" w:pos="1239"/>
          <w:tab w:val="left" w:pos="1729"/>
          <w:tab w:val="left" w:pos="2191"/>
        </w:tabs>
        <w:spacing w:after="60" w:line="300" w:lineRule="exact"/>
        <w:ind w:left="1239" w:right="1247"/>
        <w:rPr>
          <w:rFonts w:hint="cs"/>
          <w:spacing w:val="0"/>
          <w:kern w:val="0"/>
        </w:rPr>
      </w:pPr>
      <w:r w:rsidRPr="00EA66E5">
        <w:rPr>
          <w:rFonts w:hint="cs"/>
          <w:spacing w:val="0"/>
          <w:kern w:val="0"/>
          <w:sz w:val="26"/>
          <w:szCs w:val="26"/>
          <w:rtl/>
          <w:lang w:val="en-CA"/>
        </w:rPr>
        <w:tab/>
        <w:t>(ج)</w:t>
      </w:r>
      <w:r w:rsidRPr="00EA66E5">
        <w:rPr>
          <w:spacing w:val="0"/>
          <w:kern w:val="0"/>
          <w:sz w:val="26"/>
          <w:szCs w:val="26"/>
          <w:rtl/>
          <w:lang w:val="en-CA"/>
        </w:rPr>
        <w:tab/>
        <w:t>عندما يتبين أن الأشخاص الذين يحاكمون كمرتكبي</w:t>
      </w:r>
      <w:r w:rsidRPr="00EA66E5">
        <w:rPr>
          <w:rFonts w:hint="cs"/>
          <w:spacing w:val="0"/>
          <w:kern w:val="0"/>
          <w:sz w:val="26"/>
          <w:szCs w:val="26"/>
          <w:rtl/>
          <w:lang w:val="en-CA"/>
        </w:rPr>
        <w:t>ن</w:t>
      </w:r>
      <w:r w:rsidRPr="00EA66E5">
        <w:rPr>
          <w:spacing w:val="0"/>
          <w:kern w:val="0"/>
          <w:sz w:val="26"/>
          <w:szCs w:val="26"/>
          <w:rtl/>
          <w:lang w:val="en-CA"/>
        </w:rPr>
        <w:t xml:space="preserve"> </w:t>
      </w:r>
      <w:r w:rsidRPr="00EA66E5">
        <w:rPr>
          <w:rFonts w:hint="cs"/>
          <w:spacing w:val="0"/>
          <w:kern w:val="0"/>
          <w:sz w:val="26"/>
          <w:szCs w:val="26"/>
          <w:rtl/>
          <w:lang w:val="en-CA"/>
        </w:rPr>
        <w:t>لل</w:t>
      </w:r>
      <w:r w:rsidRPr="00EA66E5">
        <w:rPr>
          <w:spacing w:val="0"/>
          <w:kern w:val="0"/>
          <w:sz w:val="26"/>
          <w:szCs w:val="26"/>
          <w:rtl/>
          <w:lang w:val="en-CA"/>
        </w:rPr>
        <w:t xml:space="preserve">جريمة أو شركاء أو </w:t>
      </w:r>
      <w:r w:rsidRPr="00EA66E5">
        <w:rPr>
          <w:rFonts w:hint="cs"/>
          <w:spacing w:val="0"/>
          <w:kern w:val="0"/>
          <w:sz w:val="26"/>
          <w:szCs w:val="26"/>
          <w:rtl/>
          <w:lang w:val="en-CA"/>
        </w:rPr>
        <w:t>مساهمين فيها معافون من</w:t>
      </w:r>
      <w:r w:rsidRPr="00EA66E5">
        <w:rPr>
          <w:spacing w:val="0"/>
          <w:kern w:val="0"/>
          <w:sz w:val="26"/>
          <w:szCs w:val="26"/>
          <w:rtl/>
          <w:lang w:val="en-CA"/>
        </w:rPr>
        <w:t xml:space="preserve"> </w:t>
      </w:r>
      <w:r w:rsidRPr="00EA66E5">
        <w:rPr>
          <w:rFonts w:hint="cs"/>
          <w:spacing w:val="0"/>
          <w:kern w:val="0"/>
          <w:sz w:val="26"/>
          <w:szCs w:val="26"/>
          <w:rtl/>
          <w:lang w:val="en-CA"/>
        </w:rPr>
        <w:t>ال</w:t>
      </w:r>
      <w:r w:rsidRPr="00EA66E5">
        <w:rPr>
          <w:spacing w:val="0"/>
          <w:kern w:val="0"/>
          <w:sz w:val="26"/>
          <w:szCs w:val="26"/>
          <w:rtl/>
          <w:lang w:val="en-CA"/>
        </w:rPr>
        <w:t xml:space="preserve">مسؤولية </w:t>
      </w:r>
      <w:r w:rsidRPr="00EA66E5">
        <w:rPr>
          <w:rFonts w:hint="cs"/>
          <w:spacing w:val="0"/>
          <w:kern w:val="0"/>
          <w:sz w:val="26"/>
          <w:szCs w:val="26"/>
          <w:rtl/>
          <w:lang w:val="en-CA"/>
        </w:rPr>
        <w:t>ال</w:t>
      </w:r>
      <w:r w:rsidRPr="00EA66E5">
        <w:rPr>
          <w:spacing w:val="0"/>
          <w:kern w:val="0"/>
          <w:sz w:val="26"/>
          <w:szCs w:val="26"/>
          <w:rtl/>
          <w:lang w:val="en-CA"/>
        </w:rPr>
        <w:t>جنائية."</w:t>
      </w:r>
    </w:p>
  </w:footnote>
  <w:footnote w:id="218">
    <w:p w:rsidR="00D64D4C" w:rsidRPr="00DA4ADA" w:rsidRDefault="00D64D4C" w:rsidP="00350D2E">
      <w:pPr>
        <w:pStyle w:val="FootnoteText"/>
        <w:numPr>
          <w:ilvl w:val="0"/>
          <w:numId w:val="50"/>
        </w:numPr>
        <w:tabs>
          <w:tab w:val="left" w:pos="1239"/>
        </w:tabs>
        <w:spacing w:after="60" w:line="300" w:lineRule="exact"/>
        <w:ind w:left="1248" w:right="1247" w:hanging="227"/>
        <w:jc w:val="lowKashida"/>
        <w:rPr>
          <w:rFonts w:hint="cs"/>
          <w:spacing w:val="0"/>
          <w:kern w:val="0"/>
          <w:sz w:val="26"/>
          <w:szCs w:val="26"/>
          <w:rtl/>
          <w:lang w:val="en-CA"/>
        </w:rPr>
      </w:pPr>
      <w:r w:rsidRPr="00DA4ADA">
        <w:rPr>
          <w:spacing w:val="0"/>
          <w:kern w:val="0"/>
          <w:sz w:val="26"/>
          <w:szCs w:val="26"/>
          <w:rtl/>
          <w:lang w:val="en-CA"/>
        </w:rPr>
        <w:t xml:space="preserve">يشير أمين </w:t>
      </w:r>
      <w:r w:rsidRPr="00DA4ADA">
        <w:rPr>
          <w:spacing w:val="0"/>
          <w:kern w:val="0"/>
          <w:sz w:val="18"/>
          <w:szCs w:val="26"/>
          <w:rtl/>
        </w:rPr>
        <w:t>المظالم</w:t>
      </w:r>
      <w:r w:rsidRPr="00DA4ADA">
        <w:rPr>
          <w:spacing w:val="0"/>
          <w:kern w:val="0"/>
          <w:sz w:val="26"/>
          <w:szCs w:val="26"/>
          <w:rtl/>
          <w:lang w:val="en-CA"/>
        </w:rPr>
        <w:t xml:space="preserve"> في التقرير المشار إليه أعلا</w:t>
      </w:r>
      <w:r w:rsidRPr="00DA4ADA">
        <w:rPr>
          <w:rFonts w:hint="cs"/>
          <w:spacing w:val="0"/>
          <w:kern w:val="0"/>
          <w:sz w:val="26"/>
          <w:szCs w:val="26"/>
          <w:rtl/>
          <w:lang w:val="en-CA"/>
        </w:rPr>
        <w:t>ه</w:t>
      </w:r>
      <w:r w:rsidRPr="00DA4ADA">
        <w:rPr>
          <w:spacing w:val="0"/>
          <w:kern w:val="0"/>
          <w:sz w:val="26"/>
          <w:szCs w:val="26"/>
          <w:rtl/>
          <w:lang w:val="en-CA"/>
        </w:rPr>
        <w:t xml:space="preserve"> إلى أنه:</w:t>
      </w:r>
      <w:r w:rsidRPr="00DA4ADA">
        <w:rPr>
          <w:rFonts w:hint="cs"/>
          <w:spacing w:val="0"/>
          <w:kern w:val="0"/>
          <w:sz w:val="26"/>
          <w:szCs w:val="26"/>
          <w:rtl/>
          <w:lang w:val="en-CA"/>
        </w:rPr>
        <w:t xml:space="preserve"> "</w:t>
      </w:r>
      <w:r w:rsidRPr="00DA4ADA">
        <w:rPr>
          <w:spacing w:val="0"/>
          <w:kern w:val="0"/>
          <w:sz w:val="26"/>
          <w:szCs w:val="26"/>
          <w:rtl/>
          <w:lang w:val="en-CA"/>
        </w:rPr>
        <w:t xml:space="preserve">بالنظر إلى ما ذكر آنفاً، ومع التسليم بالعمل الضروري والكفء الذي قام به الحرس المدني في سبتة من أجل </w:t>
      </w:r>
      <w:r w:rsidRPr="00DA4ADA">
        <w:rPr>
          <w:rFonts w:hint="cs"/>
          <w:spacing w:val="0"/>
          <w:kern w:val="0"/>
          <w:sz w:val="26"/>
          <w:szCs w:val="26"/>
          <w:rtl/>
          <w:lang w:val="en-CA"/>
        </w:rPr>
        <w:t>‘</w:t>
      </w:r>
      <w:r w:rsidRPr="00DA4ADA">
        <w:rPr>
          <w:spacing w:val="0"/>
          <w:kern w:val="0"/>
          <w:sz w:val="26"/>
          <w:szCs w:val="26"/>
          <w:rtl/>
          <w:lang w:val="en-CA"/>
        </w:rPr>
        <w:t xml:space="preserve">إنقاذ أرواح عدد كبير من المهاجرين غير الشرعيين الذين يحاولون دخول إسبانيا بطريقة غير مشروعة عن طريق البحر، إما </w:t>
      </w:r>
      <w:r w:rsidRPr="00DA4ADA">
        <w:rPr>
          <w:rFonts w:hint="cs"/>
          <w:spacing w:val="0"/>
          <w:kern w:val="0"/>
          <w:sz w:val="26"/>
          <w:szCs w:val="26"/>
          <w:rtl/>
          <w:lang w:val="en-CA"/>
        </w:rPr>
        <w:t xml:space="preserve">عن طريق </w:t>
      </w:r>
      <w:r w:rsidRPr="00DA4ADA">
        <w:rPr>
          <w:spacing w:val="0"/>
          <w:kern w:val="0"/>
          <w:sz w:val="26"/>
          <w:szCs w:val="26"/>
          <w:rtl/>
          <w:lang w:val="en-CA"/>
        </w:rPr>
        <w:t>السباحة أو</w:t>
      </w:r>
      <w:r>
        <w:rPr>
          <w:rFonts w:hint="cs"/>
          <w:spacing w:val="0"/>
          <w:kern w:val="0"/>
          <w:sz w:val="26"/>
          <w:szCs w:val="26"/>
          <w:rtl/>
          <w:lang w:val="en-CA"/>
        </w:rPr>
        <w:t> </w:t>
      </w:r>
      <w:r w:rsidRPr="00DA4ADA">
        <w:rPr>
          <w:spacing w:val="0"/>
          <w:kern w:val="0"/>
          <w:sz w:val="26"/>
          <w:szCs w:val="26"/>
          <w:rtl/>
          <w:lang w:val="en-CA"/>
        </w:rPr>
        <w:t>تحت ظروف خاصة</w:t>
      </w:r>
      <w:r w:rsidRPr="00DA4ADA">
        <w:rPr>
          <w:rFonts w:hint="cs"/>
          <w:spacing w:val="0"/>
          <w:kern w:val="0"/>
          <w:sz w:val="26"/>
          <w:szCs w:val="26"/>
          <w:rtl/>
          <w:lang w:val="en-CA"/>
        </w:rPr>
        <w:t>‘،</w:t>
      </w:r>
      <w:r w:rsidRPr="00DA4ADA">
        <w:rPr>
          <w:spacing w:val="0"/>
          <w:kern w:val="0"/>
          <w:sz w:val="26"/>
          <w:szCs w:val="26"/>
          <w:rtl/>
          <w:lang w:val="en-CA"/>
        </w:rPr>
        <w:t xml:space="preserve"> </w:t>
      </w:r>
      <w:r w:rsidRPr="00DA4ADA">
        <w:rPr>
          <w:rFonts w:hint="cs"/>
          <w:spacing w:val="0"/>
          <w:kern w:val="0"/>
          <w:sz w:val="26"/>
          <w:szCs w:val="26"/>
          <w:rtl/>
          <w:lang w:val="en-CA"/>
        </w:rPr>
        <w:t xml:space="preserve">حسبما جاء في التقرير، </w:t>
      </w:r>
      <w:r w:rsidRPr="00DA4ADA">
        <w:rPr>
          <w:spacing w:val="0"/>
          <w:kern w:val="0"/>
          <w:sz w:val="26"/>
          <w:szCs w:val="26"/>
          <w:rtl/>
          <w:lang w:val="en-CA"/>
        </w:rPr>
        <w:t>فإن الإجراء المتبع يفتقر إلى أي نوع من أنواع الدعم. كما أن</w:t>
      </w:r>
      <w:r w:rsidRPr="00DA4ADA">
        <w:rPr>
          <w:rFonts w:hint="cs"/>
          <w:spacing w:val="0"/>
          <w:kern w:val="0"/>
          <w:sz w:val="26"/>
          <w:szCs w:val="26"/>
          <w:rtl/>
          <w:lang w:val="en-CA"/>
        </w:rPr>
        <w:t xml:space="preserve"> الإجراء</w:t>
      </w:r>
      <w:r w:rsidRPr="00DA4ADA">
        <w:rPr>
          <w:spacing w:val="0"/>
          <w:kern w:val="0"/>
          <w:sz w:val="26"/>
          <w:szCs w:val="26"/>
          <w:rtl/>
          <w:lang w:val="en-CA"/>
        </w:rPr>
        <w:t xml:space="preserve"> يجعل من المستحيل </w:t>
      </w:r>
      <w:r w:rsidRPr="00DA4ADA">
        <w:rPr>
          <w:rFonts w:hint="cs"/>
          <w:spacing w:val="0"/>
          <w:kern w:val="0"/>
          <w:sz w:val="26"/>
          <w:szCs w:val="26"/>
          <w:rtl/>
          <w:lang w:val="en-CA"/>
        </w:rPr>
        <w:t xml:space="preserve">الكشف عمّن </w:t>
      </w:r>
      <w:r w:rsidRPr="00DA4ADA">
        <w:rPr>
          <w:spacing w:val="0"/>
          <w:kern w:val="0"/>
          <w:sz w:val="26"/>
          <w:szCs w:val="26"/>
          <w:rtl/>
          <w:lang w:val="en-CA"/>
        </w:rPr>
        <w:t xml:space="preserve">قد يكون </w:t>
      </w:r>
      <w:r w:rsidRPr="00DA4ADA">
        <w:rPr>
          <w:rFonts w:hint="cs"/>
          <w:spacing w:val="0"/>
          <w:kern w:val="0"/>
          <w:sz w:val="26"/>
          <w:szCs w:val="26"/>
          <w:rtl/>
          <w:lang w:val="en-CA"/>
        </w:rPr>
        <w:t>ب</w:t>
      </w:r>
      <w:r w:rsidRPr="00DA4ADA">
        <w:rPr>
          <w:spacing w:val="0"/>
          <w:kern w:val="0"/>
          <w:sz w:val="26"/>
          <w:szCs w:val="26"/>
          <w:rtl/>
          <w:lang w:val="en-CA"/>
        </w:rPr>
        <w:t xml:space="preserve">حاجة إلى حماية دولية من </w:t>
      </w:r>
      <w:r w:rsidRPr="00DA4ADA">
        <w:rPr>
          <w:rFonts w:hint="cs"/>
          <w:spacing w:val="0"/>
          <w:kern w:val="0"/>
          <w:sz w:val="26"/>
          <w:szCs w:val="26"/>
          <w:rtl/>
          <w:lang w:val="en-CA"/>
        </w:rPr>
        <w:t xml:space="preserve">بين </w:t>
      </w:r>
      <w:r w:rsidRPr="00DA4ADA">
        <w:rPr>
          <w:spacing w:val="0"/>
          <w:kern w:val="0"/>
          <w:sz w:val="26"/>
          <w:szCs w:val="26"/>
          <w:rtl/>
          <w:lang w:val="en-CA"/>
        </w:rPr>
        <w:t xml:space="preserve">مختلف فئات المهاجرين </w:t>
      </w:r>
      <w:r w:rsidRPr="00DA4ADA">
        <w:rPr>
          <w:rFonts w:hint="cs"/>
          <w:spacing w:val="0"/>
          <w:kern w:val="0"/>
          <w:sz w:val="26"/>
          <w:szCs w:val="26"/>
          <w:rtl/>
          <w:lang w:val="en-CA"/>
        </w:rPr>
        <w:t xml:space="preserve">الذين </w:t>
      </w:r>
      <w:r w:rsidRPr="00DA4ADA">
        <w:rPr>
          <w:spacing w:val="0"/>
          <w:kern w:val="0"/>
          <w:sz w:val="26"/>
          <w:szCs w:val="26"/>
          <w:rtl/>
          <w:lang w:val="en-CA"/>
        </w:rPr>
        <w:t>يحاو</w:t>
      </w:r>
      <w:r w:rsidRPr="00DA4ADA">
        <w:rPr>
          <w:rFonts w:hint="cs"/>
          <w:spacing w:val="0"/>
          <w:kern w:val="0"/>
          <w:sz w:val="26"/>
          <w:szCs w:val="26"/>
          <w:rtl/>
          <w:lang w:val="en-CA"/>
        </w:rPr>
        <w:t>لون دخ</w:t>
      </w:r>
      <w:r w:rsidRPr="00DA4ADA">
        <w:rPr>
          <w:spacing w:val="0"/>
          <w:kern w:val="0"/>
          <w:sz w:val="26"/>
          <w:szCs w:val="26"/>
          <w:rtl/>
          <w:lang w:val="en-CA"/>
        </w:rPr>
        <w:t>ول إقليم</w:t>
      </w:r>
      <w:r w:rsidRPr="00DA4ADA">
        <w:rPr>
          <w:rFonts w:hint="cs"/>
          <w:spacing w:val="0"/>
          <w:kern w:val="0"/>
          <w:sz w:val="26"/>
          <w:szCs w:val="26"/>
          <w:rtl/>
          <w:lang w:val="en-CA"/>
        </w:rPr>
        <w:t>ن</w:t>
      </w:r>
      <w:r>
        <w:rPr>
          <w:spacing w:val="0"/>
          <w:kern w:val="0"/>
          <w:sz w:val="26"/>
          <w:szCs w:val="26"/>
          <w:rtl/>
          <w:lang w:val="en-CA"/>
        </w:rPr>
        <w:t xml:space="preserve">ا بطريقة غير مشروعة </w:t>
      </w:r>
      <w:r w:rsidRPr="00DA4ADA">
        <w:rPr>
          <w:spacing w:val="0"/>
          <w:kern w:val="0"/>
          <w:sz w:val="26"/>
          <w:szCs w:val="26"/>
          <w:rtl/>
          <w:lang w:val="en-CA"/>
        </w:rPr>
        <w:t>في انتهاك للمادة 33 من اتفاقية جنيف لعام</w:t>
      </w:r>
      <w:r>
        <w:rPr>
          <w:rFonts w:hint="cs"/>
          <w:spacing w:val="0"/>
          <w:kern w:val="0"/>
          <w:sz w:val="26"/>
          <w:szCs w:val="26"/>
          <w:rtl/>
          <w:lang w:val="en-CA"/>
        </w:rPr>
        <w:t> </w:t>
      </w:r>
      <w:r w:rsidRPr="00DA4ADA">
        <w:rPr>
          <w:spacing w:val="0"/>
          <w:kern w:val="0"/>
          <w:sz w:val="26"/>
          <w:szCs w:val="26"/>
          <w:rtl/>
          <w:lang w:val="en-CA"/>
        </w:rPr>
        <w:t xml:space="preserve">1951 </w:t>
      </w:r>
      <w:r w:rsidRPr="00DA4ADA">
        <w:rPr>
          <w:rFonts w:hint="cs"/>
          <w:spacing w:val="0"/>
          <w:kern w:val="0"/>
          <w:sz w:val="26"/>
          <w:szCs w:val="26"/>
          <w:rtl/>
          <w:lang w:val="en-CA"/>
        </w:rPr>
        <w:t xml:space="preserve">الخاصة بوضع </w:t>
      </w:r>
      <w:r w:rsidRPr="00DA4ADA">
        <w:rPr>
          <w:spacing w:val="0"/>
          <w:kern w:val="0"/>
          <w:sz w:val="26"/>
          <w:szCs w:val="26"/>
          <w:rtl/>
          <w:lang w:val="en-CA"/>
        </w:rPr>
        <w:t xml:space="preserve">اللاجئين، التي تلتزم إسبانيا بموجبها بتطبيق مبدأ عدم الرد </w:t>
      </w:r>
      <w:r w:rsidRPr="00DA4ADA">
        <w:rPr>
          <w:rFonts w:hint="cs"/>
          <w:spacing w:val="0"/>
          <w:kern w:val="0"/>
          <w:sz w:val="26"/>
          <w:szCs w:val="26"/>
          <w:rtl/>
          <w:lang w:val="en-CA"/>
        </w:rPr>
        <w:t xml:space="preserve">خارج </w:t>
      </w:r>
      <w:r w:rsidRPr="00DA4ADA">
        <w:rPr>
          <w:spacing w:val="0"/>
          <w:kern w:val="0"/>
          <w:sz w:val="26"/>
          <w:szCs w:val="26"/>
          <w:rtl/>
          <w:lang w:val="en-CA"/>
        </w:rPr>
        <w:t xml:space="preserve">حدودها في حالة </w:t>
      </w:r>
      <w:r w:rsidRPr="00DA4ADA">
        <w:rPr>
          <w:rFonts w:hint="cs"/>
          <w:spacing w:val="0"/>
          <w:kern w:val="0"/>
          <w:sz w:val="26"/>
          <w:szCs w:val="26"/>
          <w:rtl/>
          <w:lang w:val="en-CA"/>
        </w:rPr>
        <w:t xml:space="preserve">قيام سفينة </w:t>
      </w:r>
      <w:r w:rsidRPr="00DA4ADA">
        <w:rPr>
          <w:spacing w:val="0"/>
          <w:kern w:val="0"/>
          <w:sz w:val="26"/>
          <w:szCs w:val="26"/>
          <w:rtl/>
          <w:lang w:val="en-CA"/>
        </w:rPr>
        <w:t xml:space="preserve">ترفع العلم الإسباني </w:t>
      </w:r>
      <w:r w:rsidRPr="00DA4ADA">
        <w:rPr>
          <w:rFonts w:hint="cs"/>
          <w:spacing w:val="0"/>
          <w:kern w:val="0"/>
          <w:sz w:val="26"/>
          <w:szCs w:val="26"/>
          <w:rtl/>
          <w:lang w:val="en-CA"/>
        </w:rPr>
        <w:t xml:space="preserve">بإنقاذ </w:t>
      </w:r>
      <w:r w:rsidRPr="00DA4ADA">
        <w:rPr>
          <w:spacing w:val="0"/>
          <w:kern w:val="0"/>
          <w:sz w:val="26"/>
          <w:szCs w:val="26"/>
          <w:rtl/>
          <w:lang w:val="en-CA"/>
        </w:rPr>
        <w:t>مهاجرين خارج مياه</w:t>
      </w:r>
      <w:r w:rsidRPr="00DA4ADA">
        <w:rPr>
          <w:rFonts w:hint="cs"/>
          <w:spacing w:val="0"/>
          <w:kern w:val="0"/>
          <w:sz w:val="26"/>
          <w:szCs w:val="26"/>
          <w:rtl/>
          <w:lang w:val="en-CA"/>
        </w:rPr>
        <w:t>ن</w:t>
      </w:r>
      <w:r w:rsidRPr="00DA4ADA">
        <w:rPr>
          <w:spacing w:val="0"/>
          <w:kern w:val="0"/>
          <w:sz w:val="26"/>
          <w:szCs w:val="26"/>
          <w:rtl/>
          <w:lang w:val="en-CA"/>
        </w:rPr>
        <w:t>ا الإقليمية وكان من بينهم ملتمسو لجوء."</w:t>
      </w:r>
    </w:p>
    <w:p w:rsidR="00D64D4C" w:rsidRPr="00DA4ADA" w:rsidRDefault="00D64D4C" w:rsidP="00DA4ADA">
      <w:pPr>
        <w:pStyle w:val="FootnoteText"/>
        <w:tabs>
          <w:tab w:val="left" w:pos="1239"/>
        </w:tabs>
        <w:spacing w:after="60" w:line="300" w:lineRule="exact"/>
        <w:ind w:left="1247" w:right="1247"/>
        <w:jc w:val="lowKashida"/>
        <w:rPr>
          <w:spacing w:val="0"/>
          <w:kern w:val="0"/>
          <w:sz w:val="26"/>
          <w:szCs w:val="26"/>
          <w:rtl/>
          <w:lang w:val="en-CA"/>
        </w:rPr>
      </w:pPr>
      <w:r w:rsidRPr="00DA4ADA">
        <w:rPr>
          <w:spacing w:val="0"/>
          <w:kern w:val="0"/>
          <w:sz w:val="26"/>
          <w:szCs w:val="26"/>
          <w:rtl/>
          <w:lang w:val="en-CA"/>
        </w:rPr>
        <w:t>(...)</w:t>
      </w:r>
    </w:p>
    <w:p w:rsidR="00D64D4C" w:rsidRPr="00DA4ADA" w:rsidRDefault="00D64D4C" w:rsidP="00D3490C">
      <w:pPr>
        <w:pStyle w:val="FootnoteText"/>
        <w:spacing w:after="60" w:line="300" w:lineRule="exact"/>
        <w:ind w:left="1239" w:right="1247"/>
        <w:jc w:val="lowKashida"/>
        <w:rPr>
          <w:rFonts w:hint="cs"/>
          <w:spacing w:val="0"/>
          <w:kern w:val="0"/>
          <w:sz w:val="26"/>
          <w:szCs w:val="26"/>
          <w:lang w:val="en-CA"/>
        </w:rPr>
      </w:pPr>
      <w:r>
        <w:rPr>
          <w:rFonts w:hint="cs"/>
          <w:spacing w:val="0"/>
          <w:kern w:val="0"/>
          <w:sz w:val="26"/>
          <w:szCs w:val="26"/>
          <w:rtl/>
          <w:lang w:val="en-CA"/>
        </w:rPr>
        <w:tab/>
      </w:r>
      <w:r w:rsidRPr="00DA4ADA">
        <w:rPr>
          <w:spacing w:val="0"/>
          <w:kern w:val="0"/>
          <w:sz w:val="26"/>
          <w:szCs w:val="26"/>
          <w:rtl/>
          <w:lang w:val="en-CA"/>
        </w:rPr>
        <w:t>"بموجب اتفاقية مناهضة التعذيب وغيره من ضروب المعاملة أو العقوبة القاسية أو ا</w:t>
      </w:r>
      <w:r w:rsidRPr="00DA4ADA">
        <w:rPr>
          <w:rFonts w:hint="cs"/>
          <w:spacing w:val="0"/>
          <w:kern w:val="0"/>
          <w:sz w:val="26"/>
          <w:szCs w:val="26"/>
          <w:rtl/>
          <w:lang w:val="en-CA"/>
        </w:rPr>
        <w:t>ل</w:t>
      </w:r>
      <w:r w:rsidRPr="00DA4ADA">
        <w:rPr>
          <w:spacing w:val="0"/>
          <w:kern w:val="0"/>
          <w:sz w:val="26"/>
          <w:szCs w:val="26"/>
          <w:rtl/>
          <w:lang w:val="en-CA"/>
        </w:rPr>
        <w:t>لاإنسانية أو</w:t>
      </w:r>
      <w:r>
        <w:rPr>
          <w:rFonts w:hint="cs"/>
          <w:spacing w:val="0"/>
          <w:kern w:val="0"/>
          <w:sz w:val="26"/>
          <w:szCs w:val="26"/>
          <w:rtl/>
          <w:lang w:val="en-CA"/>
        </w:rPr>
        <w:t> </w:t>
      </w:r>
      <w:r w:rsidRPr="00DA4ADA">
        <w:rPr>
          <w:spacing w:val="0"/>
          <w:kern w:val="0"/>
          <w:sz w:val="26"/>
          <w:szCs w:val="26"/>
          <w:rtl/>
          <w:lang w:val="en-CA"/>
        </w:rPr>
        <w:t>المهينة،</w:t>
      </w:r>
      <w:r w:rsidRPr="00DA4ADA">
        <w:rPr>
          <w:rFonts w:hint="cs"/>
          <w:spacing w:val="0"/>
          <w:kern w:val="0"/>
          <w:sz w:val="26"/>
          <w:szCs w:val="26"/>
          <w:rtl/>
          <w:lang w:val="en-CA"/>
        </w:rPr>
        <w:t xml:space="preserve"> </w:t>
      </w:r>
      <w:r w:rsidRPr="00DA4ADA">
        <w:rPr>
          <w:spacing w:val="0"/>
          <w:kern w:val="0"/>
          <w:sz w:val="26"/>
          <w:szCs w:val="26"/>
          <w:rtl/>
          <w:lang w:val="en-CA"/>
        </w:rPr>
        <w:t>لا</w:t>
      </w:r>
      <w:r>
        <w:rPr>
          <w:rFonts w:hint="cs"/>
          <w:spacing w:val="0"/>
          <w:kern w:val="0"/>
          <w:sz w:val="26"/>
          <w:szCs w:val="26"/>
          <w:rtl/>
          <w:lang w:val="en-CA"/>
        </w:rPr>
        <w:t> </w:t>
      </w:r>
      <w:r w:rsidRPr="00DA4ADA">
        <w:rPr>
          <w:spacing w:val="0"/>
          <w:kern w:val="0"/>
          <w:sz w:val="26"/>
          <w:szCs w:val="26"/>
          <w:rtl/>
          <w:lang w:val="en-CA"/>
        </w:rPr>
        <w:t xml:space="preserve">يجوز في أي حال من الأحوال </w:t>
      </w:r>
      <w:r w:rsidRPr="00DA4ADA">
        <w:rPr>
          <w:rFonts w:hint="cs"/>
          <w:spacing w:val="0"/>
          <w:kern w:val="0"/>
          <w:sz w:val="26"/>
          <w:szCs w:val="26"/>
          <w:rtl/>
          <w:lang w:val="en-CA"/>
        </w:rPr>
        <w:t>توصيل</w:t>
      </w:r>
      <w:r w:rsidRPr="00DA4ADA">
        <w:rPr>
          <w:spacing w:val="0"/>
          <w:kern w:val="0"/>
          <w:sz w:val="26"/>
          <w:szCs w:val="26"/>
          <w:rtl/>
          <w:lang w:val="en-CA"/>
        </w:rPr>
        <w:t xml:space="preserve"> أشخاص </w:t>
      </w:r>
      <w:r w:rsidRPr="00DA4ADA">
        <w:rPr>
          <w:rFonts w:hint="cs"/>
          <w:spacing w:val="0"/>
          <w:kern w:val="0"/>
          <w:sz w:val="26"/>
          <w:szCs w:val="26"/>
          <w:rtl/>
          <w:lang w:val="en-CA"/>
        </w:rPr>
        <w:t>إ</w:t>
      </w:r>
      <w:r w:rsidRPr="00DA4ADA">
        <w:rPr>
          <w:spacing w:val="0"/>
          <w:kern w:val="0"/>
          <w:sz w:val="26"/>
          <w:szCs w:val="26"/>
          <w:rtl/>
          <w:lang w:val="en-CA"/>
        </w:rPr>
        <w:t xml:space="preserve">لى </w:t>
      </w:r>
      <w:r w:rsidRPr="00DA4ADA">
        <w:rPr>
          <w:rFonts w:hint="cs"/>
          <w:spacing w:val="0"/>
          <w:kern w:val="0"/>
          <w:sz w:val="26"/>
          <w:szCs w:val="26"/>
          <w:rtl/>
          <w:lang w:val="en-CA"/>
        </w:rPr>
        <w:t>ال</w:t>
      </w:r>
      <w:r w:rsidRPr="00DA4ADA">
        <w:rPr>
          <w:spacing w:val="0"/>
          <w:kern w:val="0"/>
          <w:sz w:val="26"/>
          <w:szCs w:val="26"/>
          <w:rtl/>
          <w:lang w:val="en-CA"/>
        </w:rPr>
        <w:t xml:space="preserve">شاطئ إذا كان هناك خوف </w:t>
      </w:r>
      <w:r w:rsidRPr="00DA4ADA">
        <w:rPr>
          <w:rFonts w:hint="cs"/>
          <w:spacing w:val="0"/>
          <w:kern w:val="0"/>
          <w:sz w:val="26"/>
          <w:szCs w:val="26"/>
          <w:rtl/>
          <w:lang w:val="en-CA"/>
        </w:rPr>
        <w:t xml:space="preserve">له ما يسوغه من </w:t>
      </w:r>
      <w:r w:rsidRPr="00DA4ADA">
        <w:rPr>
          <w:spacing w:val="0"/>
          <w:kern w:val="0"/>
          <w:sz w:val="26"/>
          <w:szCs w:val="26"/>
          <w:rtl/>
          <w:lang w:val="en-CA"/>
        </w:rPr>
        <w:t xml:space="preserve">أن هؤلاء الأشخاص يمكن أن يتعرضوا للتعذيب. ولا ينبغي أن </w:t>
      </w:r>
      <w:r w:rsidRPr="00DA4ADA">
        <w:rPr>
          <w:rFonts w:hint="cs"/>
          <w:spacing w:val="0"/>
          <w:kern w:val="0"/>
          <w:sz w:val="26"/>
          <w:szCs w:val="26"/>
          <w:rtl/>
          <w:lang w:val="en-CA"/>
        </w:rPr>
        <w:t xml:space="preserve">تُطلع </w:t>
      </w:r>
      <w:r w:rsidRPr="00DA4ADA">
        <w:rPr>
          <w:spacing w:val="0"/>
          <w:kern w:val="0"/>
          <w:sz w:val="26"/>
          <w:szCs w:val="26"/>
          <w:rtl/>
          <w:lang w:val="en-CA"/>
        </w:rPr>
        <w:t>السلطات الإسبانية سلطات البلد الفارين منه أو سلطات بلدان أخرى يمكن أن تحيل هذه المعلومات إلى تلك السلطات</w:t>
      </w:r>
      <w:r w:rsidRPr="00DA4ADA">
        <w:rPr>
          <w:rFonts w:hint="cs"/>
          <w:spacing w:val="0"/>
          <w:kern w:val="0"/>
          <w:sz w:val="26"/>
          <w:szCs w:val="26"/>
          <w:rtl/>
          <w:lang w:val="en-CA"/>
        </w:rPr>
        <w:t xml:space="preserve"> على </w:t>
      </w:r>
      <w:r w:rsidRPr="00DA4ADA">
        <w:rPr>
          <w:spacing w:val="0"/>
          <w:kern w:val="0"/>
          <w:sz w:val="26"/>
          <w:szCs w:val="26"/>
          <w:rtl/>
          <w:lang w:val="en-CA"/>
        </w:rPr>
        <w:t>معلومات شخصية عن ملتمسي اللجوء</w:t>
      </w:r>
      <w:r w:rsidRPr="00DA4ADA">
        <w:rPr>
          <w:rFonts w:hint="cs"/>
          <w:spacing w:val="0"/>
          <w:kern w:val="0"/>
          <w:sz w:val="26"/>
          <w:szCs w:val="26"/>
          <w:rtl/>
          <w:lang w:val="en-CA"/>
        </w:rPr>
        <w:t>.</w:t>
      </w:r>
      <w:r w:rsidRPr="00DA4ADA">
        <w:rPr>
          <w:spacing w:val="0"/>
          <w:kern w:val="0"/>
          <w:sz w:val="26"/>
          <w:szCs w:val="26"/>
          <w:rtl/>
          <w:lang w:val="en-CA"/>
        </w:rPr>
        <w:t>"</w:t>
      </w:r>
    </w:p>
  </w:footnote>
  <w:footnote w:id="219">
    <w:p w:rsidR="00D64D4C" w:rsidRPr="008D1B92" w:rsidRDefault="00D64D4C" w:rsidP="008D1B92">
      <w:pPr>
        <w:pStyle w:val="FootnoteText"/>
        <w:numPr>
          <w:ilvl w:val="0"/>
          <w:numId w:val="50"/>
        </w:numPr>
        <w:tabs>
          <w:tab w:val="left" w:pos="1239"/>
        </w:tabs>
        <w:spacing w:after="60" w:line="280" w:lineRule="exact"/>
        <w:ind w:left="1248" w:right="1247" w:hanging="227"/>
        <w:jc w:val="lowKashida"/>
        <w:rPr>
          <w:rFonts w:hint="cs"/>
          <w:spacing w:val="0"/>
          <w:kern w:val="0"/>
          <w:sz w:val="26"/>
          <w:szCs w:val="26"/>
          <w:lang w:val="en-CA"/>
        </w:rPr>
      </w:pPr>
      <w:r w:rsidRPr="008D1B92">
        <w:rPr>
          <w:spacing w:val="0"/>
          <w:kern w:val="0"/>
          <w:sz w:val="26"/>
          <w:szCs w:val="26"/>
          <w:rtl/>
          <w:lang w:val="en-CA"/>
        </w:rPr>
        <w:t xml:space="preserve">التعليق العام رقم 2 للجنة مناهضة التعذيب بشأن تنفيذ الدول الأطراف </w:t>
      </w:r>
      <w:r w:rsidRPr="008D1B92">
        <w:rPr>
          <w:rFonts w:hint="cs"/>
          <w:spacing w:val="0"/>
          <w:kern w:val="0"/>
          <w:sz w:val="26"/>
          <w:szCs w:val="26"/>
          <w:rtl/>
          <w:lang w:val="en-CA"/>
        </w:rPr>
        <w:t>ل</w:t>
      </w:r>
      <w:r w:rsidRPr="008D1B92">
        <w:rPr>
          <w:spacing w:val="0"/>
          <w:kern w:val="0"/>
          <w:sz w:val="26"/>
          <w:szCs w:val="26"/>
          <w:rtl/>
          <w:lang w:val="en-CA"/>
        </w:rPr>
        <w:t xml:space="preserve">لمادة 2 من الاتفاقية. </w:t>
      </w:r>
      <w:r w:rsidRPr="008D1B92">
        <w:rPr>
          <w:i/>
          <w:iCs/>
          <w:spacing w:val="0"/>
          <w:kern w:val="0"/>
          <w:sz w:val="26"/>
          <w:szCs w:val="26"/>
          <w:rtl/>
          <w:lang w:val="en-CA"/>
        </w:rPr>
        <w:t>الوثائق الرسمية للجمعية العامة، الدورة الثالثة والستون</w:t>
      </w:r>
      <w:r w:rsidRPr="008D1B92">
        <w:rPr>
          <w:spacing w:val="0"/>
          <w:kern w:val="0"/>
          <w:sz w:val="26"/>
          <w:szCs w:val="26"/>
          <w:rtl/>
          <w:lang w:val="en-CA"/>
        </w:rPr>
        <w:t xml:space="preserve">، </w:t>
      </w:r>
      <w:r w:rsidRPr="008D1B92">
        <w:rPr>
          <w:rFonts w:hint="cs"/>
          <w:spacing w:val="0"/>
          <w:kern w:val="0"/>
          <w:sz w:val="26"/>
          <w:szCs w:val="26"/>
          <w:rtl/>
          <w:lang w:val="en-CA"/>
        </w:rPr>
        <w:t>الملحق</w:t>
      </w:r>
      <w:r w:rsidRPr="008D1B92">
        <w:rPr>
          <w:spacing w:val="0"/>
          <w:kern w:val="0"/>
          <w:sz w:val="26"/>
          <w:szCs w:val="26"/>
          <w:rtl/>
          <w:lang w:val="en-CA"/>
        </w:rPr>
        <w:t xml:space="preserve"> رقم 44 (</w:t>
      </w:r>
      <w:r w:rsidRPr="008D1B92">
        <w:rPr>
          <w:spacing w:val="0"/>
          <w:kern w:val="0"/>
          <w:sz w:val="18"/>
          <w:szCs w:val="18"/>
          <w:lang w:val="en-CA"/>
        </w:rPr>
        <w:t>A/63/44</w:t>
      </w:r>
      <w:r w:rsidRPr="008D1B92">
        <w:rPr>
          <w:spacing w:val="0"/>
          <w:kern w:val="0"/>
          <w:sz w:val="26"/>
          <w:szCs w:val="26"/>
          <w:rtl/>
          <w:lang w:val="en-CA"/>
        </w:rPr>
        <w:t xml:space="preserve">) المرفق السادس، الفقرة 16. </w:t>
      </w:r>
    </w:p>
  </w:footnote>
  <w:footnote w:id="220">
    <w:p w:rsidR="00D64D4C" w:rsidRPr="008D1B92" w:rsidRDefault="00D64D4C" w:rsidP="008D1B92">
      <w:pPr>
        <w:pStyle w:val="FootnoteText"/>
        <w:numPr>
          <w:ilvl w:val="0"/>
          <w:numId w:val="50"/>
        </w:numPr>
        <w:tabs>
          <w:tab w:val="left" w:pos="1239"/>
        </w:tabs>
        <w:spacing w:after="60" w:line="280" w:lineRule="exact"/>
        <w:ind w:left="1248" w:right="1247" w:hanging="227"/>
        <w:jc w:val="lowKashida"/>
        <w:rPr>
          <w:rFonts w:hint="cs"/>
          <w:spacing w:val="0"/>
          <w:kern w:val="0"/>
        </w:rPr>
      </w:pPr>
      <w:r w:rsidRPr="008D1B92">
        <w:rPr>
          <w:spacing w:val="0"/>
          <w:kern w:val="0"/>
          <w:sz w:val="26"/>
          <w:szCs w:val="26"/>
          <w:rtl/>
          <w:lang w:val="en-CA"/>
        </w:rPr>
        <w:t xml:space="preserve">انظر البلاغ رقم 323/2007، </w:t>
      </w:r>
      <w:r w:rsidRPr="008D1B92">
        <w:rPr>
          <w:i/>
          <w:iCs/>
          <w:spacing w:val="0"/>
          <w:kern w:val="0"/>
          <w:sz w:val="26"/>
          <w:szCs w:val="26"/>
          <w:rtl/>
          <w:lang w:val="en-CA"/>
        </w:rPr>
        <w:t>ج.</w:t>
      </w:r>
      <w:r w:rsidRPr="008D1B92">
        <w:rPr>
          <w:rFonts w:hint="cs"/>
          <w:i/>
          <w:iCs/>
          <w:spacing w:val="0"/>
          <w:kern w:val="0"/>
          <w:sz w:val="26"/>
          <w:szCs w:val="26"/>
          <w:rtl/>
          <w:lang w:val="en-CA"/>
        </w:rPr>
        <w:t xml:space="preserve"> ﻫ</w:t>
      </w:r>
      <w:r w:rsidRPr="008D1B92">
        <w:rPr>
          <w:i/>
          <w:iCs/>
          <w:spacing w:val="0"/>
          <w:kern w:val="0"/>
          <w:sz w:val="26"/>
          <w:szCs w:val="26"/>
          <w:rtl/>
          <w:lang w:val="en-CA"/>
        </w:rPr>
        <w:t>.</w:t>
      </w:r>
      <w:r w:rsidRPr="008D1B92">
        <w:rPr>
          <w:rFonts w:hint="cs"/>
          <w:i/>
          <w:iCs/>
          <w:spacing w:val="0"/>
          <w:kern w:val="0"/>
          <w:sz w:val="26"/>
          <w:szCs w:val="26"/>
          <w:rtl/>
          <w:lang w:val="en-CA"/>
        </w:rPr>
        <w:t xml:space="preserve"> </w:t>
      </w:r>
      <w:r w:rsidRPr="008D1B92">
        <w:rPr>
          <w:i/>
          <w:iCs/>
          <w:spacing w:val="0"/>
          <w:kern w:val="0"/>
          <w:sz w:val="26"/>
          <w:szCs w:val="26"/>
          <w:rtl/>
          <w:lang w:val="en-CA"/>
        </w:rPr>
        <w:t>أ. ضد إسبانيا</w:t>
      </w:r>
      <w:r w:rsidRPr="008D1B92">
        <w:rPr>
          <w:spacing w:val="0"/>
          <w:kern w:val="0"/>
          <w:sz w:val="26"/>
          <w:szCs w:val="26"/>
          <w:rtl/>
          <w:lang w:val="en-CA"/>
        </w:rPr>
        <w:t xml:space="preserve">، القرار </w:t>
      </w:r>
      <w:r w:rsidRPr="008D1B92">
        <w:rPr>
          <w:rFonts w:hint="cs"/>
          <w:spacing w:val="0"/>
          <w:kern w:val="0"/>
          <w:sz w:val="26"/>
          <w:szCs w:val="26"/>
          <w:rtl/>
          <w:lang w:val="en-CA"/>
        </w:rPr>
        <w:t>الصادر في</w:t>
      </w:r>
      <w:r w:rsidRPr="008D1B92">
        <w:rPr>
          <w:spacing w:val="0"/>
          <w:kern w:val="0"/>
          <w:sz w:val="26"/>
          <w:szCs w:val="26"/>
          <w:rtl/>
          <w:lang w:val="en-CA"/>
        </w:rPr>
        <w:t xml:space="preserve"> 10 تشرين الثاني/نوفمبر 2008، الفقرة 8-2.</w:t>
      </w:r>
    </w:p>
  </w:footnote>
  <w:footnote w:id="221">
    <w:p w:rsidR="00D64D4C" w:rsidRPr="008D1B92" w:rsidRDefault="00D64D4C" w:rsidP="008D1B92">
      <w:pPr>
        <w:pStyle w:val="FootnoteText"/>
        <w:tabs>
          <w:tab w:val="left" w:pos="1239"/>
        </w:tabs>
        <w:spacing w:after="60" w:line="280" w:lineRule="exact"/>
        <w:ind w:left="1239" w:right="1247" w:hanging="518"/>
        <w:jc w:val="lowKashida"/>
        <w:rPr>
          <w:rFonts w:hint="cs"/>
          <w:spacing w:val="0"/>
          <w:kern w:val="0"/>
        </w:rPr>
      </w:pPr>
      <w:r w:rsidRPr="008D1B92">
        <w:rPr>
          <w:rFonts w:hint="cs"/>
          <w:spacing w:val="0"/>
          <w:kern w:val="0"/>
          <w:sz w:val="26"/>
          <w:szCs w:val="26"/>
          <w:rtl/>
          <w:lang w:val="en-CA"/>
        </w:rPr>
        <w:t>(ﻫ)</w:t>
      </w:r>
      <w:r w:rsidRPr="008D1B92">
        <w:rPr>
          <w:rFonts w:hint="cs"/>
          <w:spacing w:val="0"/>
          <w:kern w:val="0"/>
          <w:sz w:val="26"/>
          <w:szCs w:val="26"/>
          <w:rtl/>
          <w:lang w:val="en-CA"/>
        </w:rPr>
        <w:tab/>
      </w:r>
      <w:r w:rsidRPr="008D1B92">
        <w:rPr>
          <w:spacing w:val="0"/>
          <w:kern w:val="0"/>
          <w:sz w:val="26"/>
          <w:szCs w:val="26"/>
          <w:rtl/>
          <w:lang w:val="en-CA"/>
        </w:rPr>
        <w:t xml:space="preserve">تعليق </w:t>
      </w:r>
      <w:r w:rsidRPr="008D1B92">
        <w:rPr>
          <w:rFonts w:hint="cs"/>
          <w:spacing w:val="0"/>
          <w:kern w:val="0"/>
          <w:sz w:val="26"/>
          <w:szCs w:val="26"/>
          <w:rtl/>
          <w:lang w:val="en-CA"/>
        </w:rPr>
        <w:t xml:space="preserve">اللجنة </w:t>
      </w:r>
      <w:r w:rsidRPr="008D1B92">
        <w:rPr>
          <w:spacing w:val="0"/>
          <w:kern w:val="0"/>
          <w:sz w:val="26"/>
          <w:szCs w:val="26"/>
          <w:rtl/>
          <w:lang w:val="en-CA"/>
        </w:rPr>
        <w:t xml:space="preserve">العام رقم 2 (انظر الحاشية </w:t>
      </w:r>
      <w:r w:rsidRPr="008D1B92">
        <w:rPr>
          <w:rFonts w:hint="cs"/>
          <w:spacing w:val="0"/>
          <w:kern w:val="0"/>
          <w:sz w:val="26"/>
          <w:szCs w:val="26"/>
          <w:rtl/>
          <w:lang w:val="en-CA"/>
        </w:rPr>
        <w:t>ج</w:t>
      </w:r>
      <w:r w:rsidRPr="008D1B92">
        <w:rPr>
          <w:spacing w:val="0"/>
          <w:kern w:val="0"/>
          <w:sz w:val="26"/>
          <w:szCs w:val="26"/>
          <w:rtl/>
          <w:lang w:val="en-CA"/>
        </w:rPr>
        <w:t xml:space="preserve"> أعلاه)، الفقرة 3</w:t>
      </w:r>
      <w:r w:rsidRPr="008D1B92">
        <w:rPr>
          <w:rFonts w:hint="cs"/>
          <w:spacing w:val="0"/>
          <w:kern w:val="0"/>
          <w:sz w:val="26"/>
          <w:szCs w:val="26"/>
          <w:rtl/>
          <w:lang w:val="en-CA"/>
        </w:rPr>
        <w:t>.</w:t>
      </w:r>
    </w:p>
  </w:footnote>
  <w:footnote w:id="222">
    <w:p w:rsidR="00D64D4C" w:rsidRPr="008D1B92" w:rsidRDefault="00D64D4C" w:rsidP="008D1B92">
      <w:pPr>
        <w:pStyle w:val="FootnoteText"/>
        <w:tabs>
          <w:tab w:val="left" w:pos="1239"/>
        </w:tabs>
        <w:spacing w:after="60" w:line="280" w:lineRule="exact"/>
        <w:ind w:left="1253" w:right="1247" w:hanging="546"/>
        <w:jc w:val="lowKashida"/>
        <w:rPr>
          <w:rFonts w:hint="cs"/>
          <w:spacing w:val="0"/>
          <w:kern w:val="0"/>
        </w:rPr>
      </w:pPr>
      <w:r w:rsidRPr="008D1B92">
        <w:rPr>
          <w:rFonts w:hint="cs"/>
          <w:spacing w:val="0"/>
          <w:kern w:val="0"/>
          <w:sz w:val="26"/>
          <w:szCs w:val="26"/>
          <w:rtl/>
          <w:lang w:val="en-CA"/>
        </w:rPr>
        <w:t>(و)</w:t>
      </w:r>
      <w:r w:rsidRPr="008D1B92">
        <w:rPr>
          <w:rFonts w:hint="cs"/>
          <w:spacing w:val="0"/>
          <w:kern w:val="0"/>
          <w:sz w:val="26"/>
          <w:szCs w:val="26"/>
          <w:rtl/>
          <w:lang w:val="en-CA"/>
        </w:rPr>
        <w:tab/>
      </w:r>
      <w:r w:rsidRPr="008D1B92">
        <w:rPr>
          <w:spacing w:val="0"/>
          <w:kern w:val="0"/>
          <w:sz w:val="26"/>
          <w:szCs w:val="26"/>
          <w:rtl/>
          <w:lang w:val="en-CA"/>
        </w:rPr>
        <w:t xml:space="preserve">انظر البلاغ رقم 6/1990، </w:t>
      </w:r>
      <w:r w:rsidRPr="008D1B92">
        <w:rPr>
          <w:i/>
          <w:iCs/>
          <w:spacing w:val="0"/>
          <w:kern w:val="0"/>
          <w:sz w:val="26"/>
          <w:szCs w:val="26"/>
          <w:rtl/>
          <w:lang w:val="en-CA"/>
        </w:rPr>
        <w:t>هنري يوناي باروت ضد إسبانيا</w:t>
      </w:r>
      <w:r w:rsidRPr="008D1B92">
        <w:rPr>
          <w:spacing w:val="0"/>
          <w:kern w:val="0"/>
          <w:sz w:val="26"/>
          <w:szCs w:val="26"/>
          <w:rtl/>
          <w:lang w:val="en-CA"/>
        </w:rPr>
        <w:t xml:space="preserve">، القرار </w:t>
      </w:r>
      <w:r w:rsidRPr="008D1B92">
        <w:rPr>
          <w:rFonts w:hint="cs"/>
          <w:spacing w:val="0"/>
          <w:kern w:val="0"/>
          <w:sz w:val="26"/>
          <w:szCs w:val="26"/>
          <w:rtl/>
          <w:lang w:val="en-CA"/>
        </w:rPr>
        <w:t>الصادر في</w:t>
      </w:r>
      <w:r w:rsidRPr="008D1B92">
        <w:rPr>
          <w:spacing w:val="0"/>
          <w:kern w:val="0"/>
          <w:sz w:val="26"/>
          <w:szCs w:val="26"/>
          <w:rtl/>
          <w:lang w:val="en-CA"/>
        </w:rPr>
        <w:t xml:space="preserve"> 2 أيار/مايو 1995؛ والبلاغ رقم 59/1996، </w:t>
      </w:r>
      <w:r w:rsidRPr="008D1B92">
        <w:rPr>
          <w:i/>
          <w:iCs/>
          <w:spacing w:val="0"/>
          <w:kern w:val="0"/>
          <w:sz w:val="26"/>
          <w:szCs w:val="26"/>
          <w:rtl/>
          <w:lang w:val="en-CA"/>
        </w:rPr>
        <w:t>إنكارناثيون بلانكو أباد ضد إسبانيا</w:t>
      </w:r>
      <w:r w:rsidRPr="008D1B92">
        <w:rPr>
          <w:spacing w:val="0"/>
          <w:kern w:val="0"/>
          <w:sz w:val="26"/>
          <w:szCs w:val="26"/>
          <w:rtl/>
          <w:lang w:val="en-CA"/>
        </w:rPr>
        <w:t xml:space="preserve">، القرار </w:t>
      </w:r>
      <w:r w:rsidRPr="008D1B92">
        <w:rPr>
          <w:rFonts w:hint="cs"/>
          <w:spacing w:val="0"/>
          <w:kern w:val="0"/>
          <w:sz w:val="26"/>
          <w:szCs w:val="26"/>
          <w:rtl/>
          <w:lang w:val="en-CA"/>
        </w:rPr>
        <w:t>الصادر في</w:t>
      </w:r>
      <w:r w:rsidRPr="008D1B92">
        <w:rPr>
          <w:spacing w:val="0"/>
          <w:kern w:val="0"/>
          <w:sz w:val="26"/>
          <w:szCs w:val="26"/>
          <w:rtl/>
          <w:lang w:val="en-CA"/>
        </w:rPr>
        <w:t xml:space="preserve"> 14 أيار/مايو 1998.</w:t>
      </w:r>
    </w:p>
  </w:footnote>
  <w:footnote w:id="223">
    <w:p w:rsidR="00D64D4C" w:rsidRPr="00073364" w:rsidRDefault="00D64D4C" w:rsidP="008D1B92">
      <w:pPr>
        <w:pStyle w:val="FootnoteText"/>
        <w:tabs>
          <w:tab w:val="left" w:pos="1239"/>
        </w:tabs>
        <w:spacing w:after="60" w:line="300" w:lineRule="exact"/>
        <w:ind w:left="1239" w:right="1247" w:hanging="462"/>
        <w:jc w:val="lowKashida"/>
        <w:rPr>
          <w:rFonts w:hint="cs"/>
        </w:rPr>
      </w:pPr>
      <w:r>
        <w:rPr>
          <w:rFonts w:hint="cs"/>
          <w:sz w:val="26"/>
          <w:szCs w:val="26"/>
          <w:rtl/>
          <w:lang w:val="en-CA"/>
        </w:rPr>
        <w:t>(ز)</w:t>
      </w:r>
      <w:r>
        <w:rPr>
          <w:rFonts w:hint="cs"/>
          <w:sz w:val="26"/>
          <w:szCs w:val="26"/>
          <w:rtl/>
          <w:lang w:val="en-CA"/>
        </w:rPr>
        <w:tab/>
      </w:r>
      <w:r w:rsidRPr="00073364">
        <w:rPr>
          <w:sz w:val="26"/>
          <w:szCs w:val="26"/>
          <w:rtl/>
          <w:lang w:val="en-CA"/>
        </w:rPr>
        <w:t>انظر</w:t>
      </w:r>
      <w:r w:rsidRPr="00073364">
        <w:rPr>
          <w:rFonts w:hint="cs"/>
          <w:sz w:val="26"/>
          <w:szCs w:val="26"/>
          <w:rtl/>
          <w:lang w:val="en-CA"/>
        </w:rPr>
        <w:t>،</w:t>
      </w:r>
      <w:r w:rsidRPr="00073364">
        <w:rPr>
          <w:sz w:val="26"/>
          <w:szCs w:val="26"/>
          <w:rtl/>
          <w:lang w:val="en-CA"/>
        </w:rPr>
        <w:t xml:space="preserve"> على سبيل المثال، البلاغ رقم 261/2005، </w:t>
      </w:r>
      <w:r w:rsidRPr="00073364">
        <w:rPr>
          <w:i/>
          <w:iCs/>
          <w:sz w:val="26"/>
          <w:szCs w:val="26"/>
          <w:rtl/>
          <w:lang w:val="en-CA"/>
        </w:rPr>
        <w:t>بس</w:t>
      </w:r>
      <w:r w:rsidRPr="00073364">
        <w:rPr>
          <w:rFonts w:hint="cs"/>
          <w:i/>
          <w:iCs/>
          <w:sz w:val="26"/>
          <w:szCs w:val="26"/>
          <w:rtl/>
          <w:lang w:val="en-CA"/>
        </w:rPr>
        <w:t>ي</w:t>
      </w:r>
      <w:r>
        <w:rPr>
          <w:i/>
          <w:iCs/>
          <w:sz w:val="26"/>
          <w:szCs w:val="26"/>
          <w:rtl/>
          <w:lang w:val="en-CA"/>
        </w:rPr>
        <w:t>م ع</w:t>
      </w:r>
      <w:r>
        <w:rPr>
          <w:rFonts w:hint="cs"/>
          <w:i/>
          <w:iCs/>
          <w:sz w:val="26"/>
          <w:szCs w:val="26"/>
          <w:rtl/>
          <w:lang w:val="en-CA"/>
        </w:rPr>
        <w:t>ث</w:t>
      </w:r>
      <w:r w:rsidRPr="00073364">
        <w:rPr>
          <w:i/>
          <w:iCs/>
          <w:sz w:val="26"/>
          <w:szCs w:val="26"/>
          <w:rtl/>
          <w:lang w:val="en-CA"/>
        </w:rPr>
        <w:t>ماني ضد صربيا</w:t>
      </w:r>
      <w:r w:rsidRPr="00073364">
        <w:rPr>
          <w:sz w:val="26"/>
          <w:szCs w:val="26"/>
          <w:rtl/>
          <w:lang w:val="en-CA"/>
        </w:rPr>
        <w:t>، القرار الصادر في 8 أيار/مايو 2009، الفقرة 10-7.</w:t>
      </w:r>
    </w:p>
  </w:footnote>
  <w:footnote w:id="224">
    <w:p w:rsidR="00D64D4C" w:rsidRPr="008D1B92" w:rsidRDefault="00D64D4C" w:rsidP="006B489A">
      <w:pPr>
        <w:pStyle w:val="FootnoteText"/>
        <w:numPr>
          <w:ilvl w:val="0"/>
          <w:numId w:val="51"/>
        </w:numPr>
        <w:tabs>
          <w:tab w:val="clear" w:pos="3279"/>
          <w:tab w:val="left" w:pos="1253"/>
        </w:tabs>
        <w:spacing w:after="60" w:line="300" w:lineRule="exact"/>
        <w:ind w:left="1248" w:right="1276"/>
        <w:jc w:val="lowKashida"/>
        <w:rPr>
          <w:rFonts w:hint="cs"/>
          <w:spacing w:val="0"/>
          <w:kern w:val="0"/>
          <w:rtl/>
        </w:rPr>
      </w:pPr>
      <w:r w:rsidRPr="008D1B92">
        <w:rPr>
          <w:rFonts w:hint="cs"/>
          <w:spacing w:val="0"/>
          <w:kern w:val="0"/>
          <w:sz w:val="26"/>
          <w:szCs w:val="26"/>
          <w:rtl/>
          <w:lang w:val="en-CA"/>
        </w:rPr>
        <w:t>ل</w:t>
      </w:r>
      <w:r w:rsidRPr="008D1B92">
        <w:rPr>
          <w:spacing w:val="0"/>
          <w:kern w:val="0"/>
          <w:sz w:val="26"/>
          <w:szCs w:val="26"/>
          <w:rtl/>
          <w:lang w:val="en-CA"/>
        </w:rPr>
        <w:t xml:space="preserve">جنة مناهضة التعذيب، التعليق العام رقم 1، تنفيذ المادة 3 في سياق المادة 22، </w:t>
      </w:r>
      <w:r w:rsidRPr="008D1B92">
        <w:rPr>
          <w:i/>
          <w:iCs/>
          <w:spacing w:val="0"/>
          <w:kern w:val="0"/>
          <w:sz w:val="26"/>
          <w:szCs w:val="26"/>
          <w:rtl/>
          <w:lang w:val="en-CA"/>
        </w:rPr>
        <w:t>الوثائق الرسمية للجمعية العامة، الدورة الثالثة والخمسون</w:t>
      </w:r>
      <w:r w:rsidRPr="008D1B92">
        <w:rPr>
          <w:spacing w:val="0"/>
          <w:kern w:val="0"/>
          <w:sz w:val="26"/>
          <w:szCs w:val="26"/>
          <w:rtl/>
          <w:lang w:val="en-CA"/>
        </w:rPr>
        <w:t>. الإضافة رقم 44 (</w:t>
      </w:r>
      <w:r w:rsidRPr="008D1B92">
        <w:rPr>
          <w:spacing w:val="0"/>
          <w:kern w:val="0"/>
          <w:sz w:val="18"/>
          <w:szCs w:val="18"/>
          <w:lang w:val="en-CA"/>
        </w:rPr>
        <w:t>A/53/44</w:t>
      </w:r>
      <w:r w:rsidRPr="008D1B92">
        <w:rPr>
          <w:spacing w:val="0"/>
          <w:kern w:val="0"/>
          <w:sz w:val="26"/>
          <w:szCs w:val="26"/>
          <w:rtl/>
          <w:lang w:val="en-CA"/>
        </w:rPr>
        <w:t xml:space="preserve"> و</w:t>
      </w:r>
      <w:r w:rsidRPr="008D1B92">
        <w:rPr>
          <w:spacing w:val="0"/>
          <w:kern w:val="0"/>
        </w:rPr>
        <w:t>Corr.1</w:t>
      </w:r>
      <w:r w:rsidRPr="008D1B92">
        <w:rPr>
          <w:spacing w:val="0"/>
          <w:kern w:val="0"/>
          <w:sz w:val="26"/>
          <w:szCs w:val="26"/>
          <w:rtl/>
          <w:lang w:val="en-CA"/>
        </w:rPr>
        <w:t>)، المرفق التاسع.</w:t>
      </w:r>
    </w:p>
  </w:footnote>
  <w:footnote w:id="225">
    <w:p w:rsidR="00D64D4C" w:rsidRPr="008D1B92" w:rsidRDefault="00D64D4C" w:rsidP="006B489A">
      <w:pPr>
        <w:pStyle w:val="FootnoteText"/>
        <w:numPr>
          <w:ilvl w:val="0"/>
          <w:numId w:val="51"/>
        </w:numPr>
        <w:tabs>
          <w:tab w:val="clear" w:pos="3279"/>
          <w:tab w:val="left" w:pos="1253"/>
        </w:tabs>
        <w:spacing w:after="60" w:line="300" w:lineRule="exact"/>
        <w:ind w:left="1248" w:right="1276"/>
        <w:jc w:val="lowKashida"/>
        <w:rPr>
          <w:rFonts w:hint="cs"/>
          <w:spacing w:val="0"/>
          <w:kern w:val="0"/>
        </w:rPr>
      </w:pPr>
      <w:r w:rsidRPr="008D1B92">
        <w:rPr>
          <w:spacing w:val="0"/>
          <w:kern w:val="0"/>
          <w:sz w:val="26"/>
          <w:szCs w:val="26"/>
          <w:rtl/>
          <w:lang w:val="en-CA"/>
        </w:rPr>
        <w:t xml:space="preserve">البلاغ رقم 257/2004، </w:t>
      </w:r>
      <w:r w:rsidRPr="008D1B92">
        <w:rPr>
          <w:i/>
          <w:iCs/>
          <w:spacing w:val="0"/>
          <w:kern w:val="0"/>
          <w:sz w:val="26"/>
          <w:szCs w:val="26"/>
          <w:rtl/>
          <w:lang w:val="en-CA"/>
        </w:rPr>
        <w:t>كيريميدشييف ضد بلغاريا</w:t>
      </w:r>
      <w:r w:rsidRPr="008D1B92">
        <w:rPr>
          <w:spacing w:val="0"/>
          <w:kern w:val="0"/>
          <w:sz w:val="26"/>
          <w:szCs w:val="26"/>
          <w:rtl/>
          <w:lang w:val="en-CA"/>
        </w:rPr>
        <w:t>، القرار الصادر في 11 تشرين الثاني/نوفمبر</w:t>
      </w:r>
      <w:r>
        <w:rPr>
          <w:rFonts w:hint="cs"/>
          <w:spacing w:val="0"/>
          <w:kern w:val="0"/>
          <w:sz w:val="26"/>
          <w:szCs w:val="26"/>
          <w:rtl/>
          <w:lang w:val="en-CA"/>
        </w:rPr>
        <w:t> </w:t>
      </w:r>
      <w:r w:rsidRPr="008D1B92">
        <w:rPr>
          <w:spacing w:val="0"/>
          <w:kern w:val="0"/>
          <w:sz w:val="26"/>
          <w:szCs w:val="26"/>
          <w:rtl/>
          <w:lang w:val="en-CA"/>
        </w:rPr>
        <w:t>2008، الفقرة 9-3.</w:t>
      </w:r>
    </w:p>
  </w:footnote>
  <w:footnote w:id="226">
    <w:p w:rsidR="00D64D4C" w:rsidRPr="00BC2867" w:rsidRDefault="00D64D4C" w:rsidP="006B489A">
      <w:pPr>
        <w:pStyle w:val="FootnoteText"/>
        <w:numPr>
          <w:ilvl w:val="0"/>
          <w:numId w:val="52"/>
        </w:numPr>
        <w:tabs>
          <w:tab w:val="clear" w:pos="1861"/>
          <w:tab w:val="num" w:pos="1253"/>
        </w:tabs>
        <w:spacing w:after="60" w:line="300" w:lineRule="exact"/>
        <w:ind w:left="1248" w:right="1247"/>
        <w:jc w:val="lowKashida"/>
        <w:rPr>
          <w:rFonts w:hint="cs"/>
          <w:spacing w:val="0"/>
          <w:kern w:val="0"/>
          <w:sz w:val="18"/>
        </w:rPr>
      </w:pPr>
      <w:r w:rsidRPr="00BC2867">
        <w:rPr>
          <w:rFonts w:hint="cs"/>
          <w:spacing w:val="0"/>
          <w:kern w:val="0"/>
          <w:sz w:val="18"/>
          <w:szCs w:val="26"/>
          <w:rtl/>
        </w:rPr>
        <w:t>البلاغ رقم 367/2008، الذي شُطب من قائمة البلاغات المقدمة إلى اللجنة في 22 تشرين الثاني/</w:t>
      </w:r>
      <w:r>
        <w:rPr>
          <w:rFonts w:hint="cs"/>
          <w:spacing w:val="0"/>
          <w:kern w:val="0"/>
          <w:sz w:val="18"/>
          <w:szCs w:val="26"/>
          <w:rtl/>
        </w:rPr>
        <w:t xml:space="preserve"> </w:t>
      </w:r>
      <w:r w:rsidRPr="00BC2867">
        <w:rPr>
          <w:rFonts w:hint="cs"/>
          <w:spacing w:val="0"/>
          <w:kern w:val="0"/>
          <w:sz w:val="18"/>
          <w:szCs w:val="26"/>
          <w:rtl/>
        </w:rPr>
        <w:t>نوفمبر</w:t>
      </w:r>
      <w:r>
        <w:rPr>
          <w:rFonts w:hint="eastAsia"/>
          <w:spacing w:val="0"/>
          <w:kern w:val="0"/>
          <w:sz w:val="18"/>
          <w:szCs w:val="26"/>
          <w:rtl/>
        </w:rPr>
        <w:t> </w:t>
      </w:r>
      <w:r w:rsidRPr="00BC2867">
        <w:rPr>
          <w:rFonts w:hint="cs"/>
          <w:spacing w:val="0"/>
          <w:kern w:val="0"/>
          <w:sz w:val="18"/>
          <w:szCs w:val="26"/>
          <w:rtl/>
        </w:rPr>
        <w:t>2010.</w:t>
      </w:r>
    </w:p>
  </w:footnote>
  <w:footnote w:id="227">
    <w:p w:rsidR="00D64D4C" w:rsidRPr="00CA2D0E" w:rsidRDefault="00D64D4C" w:rsidP="00CA2D0E">
      <w:pPr>
        <w:pStyle w:val="FootnoteText"/>
        <w:numPr>
          <w:ilvl w:val="0"/>
          <w:numId w:val="52"/>
        </w:numPr>
        <w:tabs>
          <w:tab w:val="clear" w:pos="1861"/>
          <w:tab w:val="num" w:pos="1253"/>
        </w:tabs>
        <w:spacing w:after="60" w:line="300" w:lineRule="exact"/>
        <w:ind w:left="1248" w:right="1247"/>
        <w:jc w:val="lowKashida"/>
        <w:rPr>
          <w:spacing w:val="0"/>
          <w:kern w:val="0"/>
          <w:sz w:val="18"/>
          <w:lang w:val="en-CA"/>
        </w:rPr>
      </w:pPr>
      <w:r w:rsidRPr="00CA2D0E">
        <w:rPr>
          <w:rFonts w:hint="cs"/>
          <w:spacing w:val="0"/>
          <w:kern w:val="0"/>
          <w:sz w:val="18"/>
          <w:szCs w:val="26"/>
          <w:rtl/>
        </w:rPr>
        <w:t xml:space="preserve">تشير </w:t>
      </w:r>
      <w:r w:rsidRPr="00CA2D0E">
        <w:rPr>
          <w:rFonts w:hint="cs"/>
          <w:spacing w:val="0"/>
          <w:kern w:val="0"/>
          <w:sz w:val="18"/>
          <w:rtl/>
        </w:rPr>
        <w:t>الدولة</w:t>
      </w:r>
      <w:r w:rsidRPr="00CA2D0E">
        <w:rPr>
          <w:rFonts w:hint="cs"/>
          <w:spacing w:val="0"/>
          <w:kern w:val="0"/>
          <w:sz w:val="18"/>
          <w:szCs w:val="26"/>
          <w:rtl/>
        </w:rPr>
        <w:t xml:space="preserve"> الطرف إلى وثيقة الأمم المتحدة </w:t>
      </w:r>
      <w:r w:rsidRPr="00CA2D0E">
        <w:rPr>
          <w:spacing w:val="0"/>
          <w:kern w:val="0"/>
          <w:sz w:val="18"/>
          <w:szCs w:val="26"/>
        </w:rPr>
        <w:t>S/2009/129</w:t>
      </w:r>
      <w:r w:rsidRPr="00CA2D0E">
        <w:rPr>
          <w:rFonts w:hint="cs"/>
          <w:spacing w:val="0"/>
          <w:kern w:val="0"/>
          <w:sz w:val="18"/>
          <w:szCs w:val="26"/>
          <w:rtl/>
        </w:rPr>
        <w:t>، الفقرتان 17 و25.</w:t>
      </w:r>
    </w:p>
  </w:footnote>
  <w:footnote w:id="228">
    <w:p w:rsidR="00D64D4C" w:rsidRPr="00CA2D0E" w:rsidRDefault="00D64D4C" w:rsidP="00CA2D0E">
      <w:pPr>
        <w:pStyle w:val="FootnoteText"/>
        <w:numPr>
          <w:ilvl w:val="0"/>
          <w:numId w:val="52"/>
        </w:numPr>
        <w:tabs>
          <w:tab w:val="clear" w:pos="1861"/>
          <w:tab w:val="num" w:pos="1253"/>
        </w:tabs>
        <w:spacing w:after="60" w:line="300" w:lineRule="exact"/>
        <w:ind w:left="1248" w:right="1247"/>
        <w:jc w:val="lowKashida"/>
        <w:rPr>
          <w:rFonts w:hint="cs"/>
          <w:spacing w:val="0"/>
          <w:kern w:val="0"/>
          <w:sz w:val="18"/>
          <w:szCs w:val="26"/>
        </w:rPr>
      </w:pPr>
      <w:r w:rsidRPr="00CA2D0E">
        <w:rPr>
          <w:rFonts w:hint="cs"/>
          <w:spacing w:val="0"/>
          <w:kern w:val="0"/>
          <w:sz w:val="18"/>
          <w:szCs w:val="26"/>
          <w:rtl/>
        </w:rPr>
        <w:t xml:space="preserve">تشير الدولة الطرف إلى البلاغ رقم 571/1996، </w:t>
      </w:r>
      <w:r w:rsidRPr="00CA2D0E">
        <w:rPr>
          <w:rFonts w:hint="cs"/>
          <w:i/>
          <w:iCs/>
          <w:spacing w:val="0"/>
          <w:kern w:val="0"/>
          <w:sz w:val="18"/>
          <w:szCs w:val="26"/>
          <w:rtl/>
        </w:rPr>
        <w:t>ب. ك. ل. س. ضد كندا</w:t>
      </w:r>
      <w:r w:rsidRPr="00CA2D0E">
        <w:rPr>
          <w:rFonts w:hint="cs"/>
          <w:spacing w:val="0"/>
          <w:kern w:val="0"/>
          <w:sz w:val="18"/>
          <w:szCs w:val="26"/>
          <w:rtl/>
        </w:rPr>
        <w:t xml:space="preserve">، القرار </w:t>
      </w:r>
      <w:r w:rsidRPr="00CA2D0E">
        <w:rPr>
          <w:rFonts w:hint="cs"/>
          <w:spacing w:val="0"/>
          <w:kern w:val="0"/>
          <w:sz w:val="18"/>
          <w:rtl/>
        </w:rPr>
        <w:t>المعتمد</w:t>
      </w:r>
      <w:r w:rsidRPr="00CA2D0E">
        <w:rPr>
          <w:rFonts w:hint="cs"/>
          <w:spacing w:val="0"/>
          <w:kern w:val="0"/>
          <w:sz w:val="18"/>
          <w:szCs w:val="26"/>
          <w:rtl/>
        </w:rPr>
        <w:t xml:space="preserve"> في 17 تشرين الثاني/نوفمبر 1997.</w:t>
      </w:r>
    </w:p>
  </w:footnote>
  <w:footnote w:id="229">
    <w:p w:rsidR="00D64D4C" w:rsidRPr="00CA2D0E" w:rsidRDefault="00D64D4C" w:rsidP="00CA2D0E">
      <w:pPr>
        <w:pStyle w:val="FootnoteText"/>
        <w:numPr>
          <w:ilvl w:val="0"/>
          <w:numId w:val="52"/>
        </w:numPr>
        <w:tabs>
          <w:tab w:val="clear" w:pos="1861"/>
          <w:tab w:val="num" w:pos="1253"/>
        </w:tabs>
        <w:spacing w:after="60" w:line="300" w:lineRule="exact"/>
        <w:ind w:left="1248" w:right="1247"/>
        <w:jc w:val="lowKashida"/>
        <w:rPr>
          <w:rFonts w:hint="cs"/>
          <w:spacing w:val="0"/>
          <w:kern w:val="0"/>
          <w:sz w:val="18"/>
          <w:szCs w:val="26"/>
        </w:rPr>
      </w:pPr>
      <w:r w:rsidRPr="00CA2D0E">
        <w:rPr>
          <w:rFonts w:hint="cs"/>
          <w:spacing w:val="0"/>
          <w:kern w:val="0"/>
          <w:sz w:val="18"/>
          <w:szCs w:val="26"/>
          <w:rtl/>
        </w:rPr>
        <w:t xml:space="preserve">تشير الدولة الطرف إلى البلاغ رقم 245/2004، </w:t>
      </w:r>
      <w:r w:rsidRPr="00CA2D0E">
        <w:rPr>
          <w:rFonts w:hint="cs"/>
          <w:i/>
          <w:iCs/>
          <w:spacing w:val="0"/>
          <w:kern w:val="0"/>
          <w:sz w:val="18"/>
          <w:szCs w:val="26"/>
          <w:rtl/>
        </w:rPr>
        <w:t>س. س. س. ضد كندا</w:t>
      </w:r>
      <w:r w:rsidRPr="00CA2D0E">
        <w:rPr>
          <w:rFonts w:hint="cs"/>
          <w:spacing w:val="0"/>
          <w:kern w:val="0"/>
          <w:sz w:val="18"/>
          <w:szCs w:val="26"/>
          <w:rtl/>
        </w:rPr>
        <w:t xml:space="preserve">، القرار المعتمد في </w:t>
      </w:r>
      <w:r w:rsidRPr="00CA2D0E">
        <w:rPr>
          <w:rFonts w:hint="cs"/>
          <w:spacing w:val="0"/>
          <w:kern w:val="0"/>
          <w:sz w:val="18"/>
          <w:rtl/>
        </w:rPr>
        <w:t>16</w:t>
      </w:r>
      <w:r w:rsidRPr="00CA2D0E">
        <w:rPr>
          <w:rFonts w:hint="cs"/>
          <w:spacing w:val="0"/>
          <w:kern w:val="0"/>
          <w:sz w:val="18"/>
          <w:szCs w:val="26"/>
          <w:rtl/>
        </w:rPr>
        <w:t xml:space="preserve"> تشرين الثاني/نوفمبر 2005، الفقرة 7-3.</w:t>
      </w:r>
    </w:p>
  </w:footnote>
  <w:footnote w:id="230">
    <w:p w:rsidR="00D64D4C" w:rsidRPr="00CA2D0E" w:rsidRDefault="00D64D4C" w:rsidP="00CA2D0E">
      <w:pPr>
        <w:pStyle w:val="FootnoteText"/>
        <w:tabs>
          <w:tab w:val="left" w:pos="1239"/>
        </w:tabs>
        <w:spacing w:after="60" w:line="300" w:lineRule="exact"/>
        <w:ind w:left="1239" w:right="1247" w:hanging="490"/>
        <w:jc w:val="lowKashida"/>
        <w:rPr>
          <w:rFonts w:hint="cs"/>
          <w:spacing w:val="0"/>
          <w:kern w:val="0"/>
          <w:sz w:val="18"/>
          <w:szCs w:val="26"/>
        </w:rPr>
      </w:pPr>
      <w:r w:rsidRPr="00CA2D0E">
        <w:rPr>
          <w:rFonts w:hint="cs"/>
          <w:spacing w:val="0"/>
          <w:kern w:val="0"/>
          <w:sz w:val="18"/>
          <w:szCs w:val="26"/>
          <w:rtl/>
        </w:rPr>
        <w:t>(</w:t>
      </w:r>
      <w:r w:rsidRPr="00CA2D0E">
        <w:rPr>
          <w:rFonts w:hint="cs"/>
          <w:spacing w:val="0"/>
          <w:kern w:val="0"/>
          <w:sz w:val="26"/>
          <w:szCs w:val="26"/>
          <w:rtl/>
        </w:rPr>
        <w:t>ﻫ</w:t>
      </w:r>
      <w:r w:rsidRPr="00CA2D0E">
        <w:rPr>
          <w:rFonts w:hint="cs"/>
          <w:spacing w:val="0"/>
          <w:kern w:val="0"/>
          <w:sz w:val="18"/>
          <w:szCs w:val="26"/>
          <w:rtl/>
        </w:rPr>
        <w:t>)</w:t>
      </w:r>
      <w:r w:rsidRPr="00CA2D0E">
        <w:rPr>
          <w:rFonts w:hint="cs"/>
          <w:spacing w:val="0"/>
          <w:kern w:val="0"/>
          <w:sz w:val="18"/>
          <w:szCs w:val="26"/>
          <w:rtl/>
        </w:rPr>
        <w:tab/>
        <w:t xml:space="preserve">تشير الدولة الطرف إلى البلاغ رقم 228/2003، </w:t>
      </w:r>
      <w:r w:rsidRPr="00CA2D0E">
        <w:rPr>
          <w:rFonts w:hint="cs"/>
          <w:i/>
          <w:iCs/>
          <w:spacing w:val="0"/>
          <w:kern w:val="0"/>
          <w:sz w:val="18"/>
          <w:szCs w:val="26"/>
          <w:rtl/>
        </w:rPr>
        <w:t>ت. م. ضد السويد</w:t>
      </w:r>
      <w:r w:rsidRPr="00CA2D0E">
        <w:rPr>
          <w:rFonts w:hint="cs"/>
          <w:spacing w:val="0"/>
          <w:kern w:val="0"/>
          <w:sz w:val="18"/>
          <w:szCs w:val="26"/>
          <w:rtl/>
        </w:rPr>
        <w:t>، القرار المعتمد في 18 تشرين الثاني/نوفمبر 2003، الفقرة 6-2.</w:t>
      </w:r>
    </w:p>
  </w:footnote>
  <w:footnote w:id="231">
    <w:p w:rsidR="00D64D4C" w:rsidRPr="00CA2D0E" w:rsidRDefault="00D64D4C" w:rsidP="00CA2D0E">
      <w:pPr>
        <w:pStyle w:val="FootnoteText"/>
        <w:tabs>
          <w:tab w:val="left" w:pos="1239"/>
        </w:tabs>
        <w:spacing w:after="60" w:line="300" w:lineRule="exact"/>
        <w:ind w:left="1239" w:right="1247" w:hanging="490"/>
        <w:jc w:val="lowKashida"/>
        <w:rPr>
          <w:rFonts w:hint="cs"/>
          <w:spacing w:val="0"/>
          <w:kern w:val="0"/>
          <w:sz w:val="18"/>
          <w:szCs w:val="26"/>
        </w:rPr>
      </w:pPr>
      <w:r w:rsidRPr="00CA2D0E">
        <w:rPr>
          <w:rFonts w:hint="cs"/>
          <w:spacing w:val="0"/>
          <w:kern w:val="0"/>
          <w:sz w:val="18"/>
          <w:szCs w:val="26"/>
          <w:rtl/>
        </w:rPr>
        <w:t>(</w:t>
      </w:r>
      <w:r w:rsidRPr="00CA2D0E">
        <w:rPr>
          <w:rFonts w:hint="cs"/>
          <w:spacing w:val="0"/>
          <w:kern w:val="0"/>
          <w:sz w:val="26"/>
          <w:szCs w:val="26"/>
          <w:rtl/>
        </w:rPr>
        <w:t>و</w:t>
      </w:r>
      <w:r w:rsidRPr="00CA2D0E">
        <w:rPr>
          <w:rFonts w:hint="cs"/>
          <w:spacing w:val="0"/>
          <w:kern w:val="0"/>
          <w:sz w:val="18"/>
          <w:szCs w:val="26"/>
          <w:rtl/>
        </w:rPr>
        <w:t>)</w:t>
      </w:r>
      <w:r w:rsidRPr="00CA2D0E">
        <w:rPr>
          <w:rFonts w:hint="cs"/>
          <w:spacing w:val="0"/>
          <w:kern w:val="0"/>
          <w:sz w:val="18"/>
          <w:szCs w:val="26"/>
          <w:rtl/>
        </w:rPr>
        <w:tab/>
        <w:t xml:space="preserve">تشير الدولة الطرف إلى البلاغ رقم 193/2001، </w:t>
      </w:r>
      <w:r w:rsidRPr="00CA2D0E">
        <w:rPr>
          <w:rFonts w:hint="cs"/>
          <w:i/>
          <w:iCs/>
          <w:spacing w:val="0"/>
          <w:kern w:val="0"/>
          <w:sz w:val="18"/>
          <w:szCs w:val="26"/>
          <w:rtl/>
        </w:rPr>
        <w:t>ب. ي. ضد فرنسا</w:t>
      </w:r>
      <w:r w:rsidRPr="00CA2D0E">
        <w:rPr>
          <w:rFonts w:hint="cs"/>
          <w:spacing w:val="0"/>
          <w:kern w:val="0"/>
          <w:sz w:val="18"/>
          <w:szCs w:val="26"/>
          <w:rtl/>
        </w:rPr>
        <w:t xml:space="preserve">، القرار المعتمد في 21 تشرين الثاني/نوفمبر 2002، الفقرة 6-5؛ والبلاغ رقم 282/2005، </w:t>
      </w:r>
      <w:r w:rsidRPr="00CA2D0E">
        <w:rPr>
          <w:rFonts w:hint="cs"/>
          <w:i/>
          <w:iCs/>
          <w:spacing w:val="0"/>
          <w:kern w:val="0"/>
          <w:sz w:val="18"/>
          <w:szCs w:val="26"/>
          <w:rtl/>
        </w:rPr>
        <w:t>س. ب. أ. ضد كندا</w:t>
      </w:r>
      <w:r w:rsidRPr="00CA2D0E">
        <w:rPr>
          <w:rFonts w:hint="cs"/>
          <w:spacing w:val="0"/>
          <w:kern w:val="0"/>
          <w:sz w:val="18"/>
          <w:szCs w:val="26"/>
          <w:rtl/>
        </w:rPr>
        <w:t>، القرار المعتمد في</w:t>
      </w:r>
      <w:r w:rsidRPr="00CA2D0E">
        <w:rPr>
          <w:rFonts w:hint="eastAsia"/>
          <w:spacing w:val="0"/>
          <w:kern w:val="0"/>
          <w:sz w:val="18"/>
          <w:szCs w:val="26"/>
          <w:rtl/>
        </w:rPr>
        <w:t> </w:t>
      </w:r>
      <w:r w:rsidRPr="00CA2D0E">
        <w:rPr>
          <w:rFonts w:hint="cs"/>
          <w:spacing w:val="0"/>
          <w:kern w:val="0"/>
          <w:sz w:val="18"/>
          <w:szCs w:val="26"/>
          <w:rtl/>
        </w:rPr>
        <w:t xml:space="preserve">7 تشرين الثاني/نوفمبر 2006، الفقرة 7-6؛ والبلاغ رقم 148/1999، </w:t>
      </w:r>
      <w:r w:rsidRPr="00CA2D0E">
        <w:rPr>
          <w:rFonts w:hint="cs"/>
          <w:i/>
          <w:iCs/>
          <w:spacing w:val="0"/>
          <w:kern w:val="0"/>
          <w:sz w:val="18"/>
          <w:szCs w:val="26"/>
          <w:rtl/>
        </w:rPr>
        <w:t>أ. ك. ضد أستراليا</w:t>
      </w:r>
      <w:r w:rsidRPr="00CA2D0E">
        <w:rPr>
          <w:rFonts w:hint="cs"/>
          <w:spacing w:val="0"/>
          <w:kern w:val="0"/>
          <w:sz w:val="18"/>
          <w:szCs w:val="26"/>
          <w:rtl/>
        </w:rPr>
        <w:t>، القرار المعتمد في 5 أيار/مايو 2004، الفقرة 6-4.</w:t>
      </w:r>
    </w:p>
  </w:footnote>
  <w:footnote w:id="232">
    <w:p w:rsidR="00D64D4C" w:rsidRPr="00CA2D0E" w:rsidRDefault="00D64D4C" w:rsidP="00CA2D0E">
      <w:pPr>
        <w:pStyle w:val="FootnoteText"/>
        <w:tabs>
          <w:tab w:val="left" w:pos="1239"/>
        </w:tabs>
        <w:spacing w:after="60" w:line="300" w:lineRule="exact"/>
        <w:ind w:left="1239" w:right="1247" w:hanging="490"/>
        <w:jc w:val="lowKashida"/>
        <w:rPr>
          <w:rFonts w:hint="cs"/>
          <w:spacing w:val="-4"/>
          <w:kern w:val="0"/>
          <w:sz w:val="18"/>
        </w:rPr>
      </w:pPr>
      <w:r w:rsidRPr="00CA2D0E">
        <w:rPr>
          <w:rFonts w:hint="cs"/>
          <w:spacing w:val="-4"/>
          <w:kern w:val="0"/>
          <w:sz w:val="18"/>
          <w:szCs w:val="26"/>
          <w:rtl/>
        </w:rPr>
        <w:t>(</w:t>
      </w:r>
      <w:r w:rsidRPr="00CA2D0E">
        <w:rPr>
          <w:rFonts w:hint="cs"/>
          <w:spacing w:val="-4"/>
          <w:kern w:val="0"/>
          <w:sz w:val="26"/>
          <w:szCs w:val="26"/>
          <w:rtl/>
        </w:rPr>
        <w:t>ز</w:t>
      </w:r>
      <w:r w:rsidRPr="00CA2D0E">
        <w:rPr>
          <w:rFonts w:hint="cs"/>
          <w:spacing w:val="-4"/>
          <w:kern w:val="0"/>
          <w:sz w:val="18"/>
          <w:szCs w:val="26"/>
          <w:rtl/>
        </w:rPr>
        <w:t>)</w:t>
      </w:r>
      <w:r w:rsidRPr="00CA2D0E">
        <w:rPr>
          <w:rFonts w:hint="cs"/>
          <w:spacing w:val="-4"/>
          <w:kern w:val="0"/>
          <w:sz w:val="18"/>
          <w:szCs w:val="26"/>
          <w:rtl/>
        </w:rPr>
        <w:tab/>
        <w:t>على إثر</w:t>
      </w:r>
      <w:r w:rsidRPr="00CA2D0E">
        <w:rPr>
          <w:spacing w:val="-4"/>
          <w:kern w:val="0"/>
          <w:sz w:val="18"/>
          <w:szCs w:val="26"/>
          <w:rtl/>
        </w:rPr>
        <w:t xml:space="preserve"> تعليقات الدولة </w:t>
      </w:r>
      <w:r w:rsidRPr="00CA2D0E">
        <w:rPr>
          <w:rFonts w:hint="cs"/>
          <w:spacing w:val="-4"/>
          <w:kern w:val="0"/>
          <w:sz w:val="18"/>
          <w:szCs w:val="26"/>
          <w:rtl/>
        </w:rPr>
        <w:t>ال</w:t>
      </w:r>
      <w:r w:rsidRPr="00CA2D0E">
        <w:rPr>
          <w:spacing w:val="-4"/>
          <w:kern w:val="0"/>
          <w:sz w:val="18"/>
          <w:szCs w:val="26"/>
          <w:rtl/>
        </w:rPr>
        <w:t>طرف، قررت اللجنة أن تسحب طلبها باتخاذ تدابير مؤقتة</w:t>
      </w:r>
      <w:r w:rsidRPr="00CA2D0E">
        <w:rPr>
          <w:rFonts w:hint="cs"/>
          <w:spacing w:val="-4"/>
          <w:kern w:val="0"/>
          <w:sz w:val="18"/>
          <w:szCs w:val="26"/>
          <w:rtl/>
        </w:rPr>
        <w:t xml:space="preserve"> في</w:t>
      </w:r>
      <w:r w:rsidRPr="00CA2D0E">
        <w:rPr>
          <w:spacing w:val="-4"/>
          <w:kern w:val="0"/>
          <w:sz w:val="18"/>
          <w:szCs w:val="26"/>
          <w:rtl/>
        </w:rPr>
        <w:t xml:space="preserve"> 4 </w:t>
      </w:r>
      <w:r w:rsidRPr="00CA2D0E">
        <w:rPr>
          <w:rFonts w:hint="cs"/>
          <w:spacing w:val="-4"/>
          <w:kern w:val="0"/>
          <w:sz w:val="18"/>
          <w:szCs w:val="26"/>
          <w:rtl/>
        </w:rPr>
        <w:t>آب/</w:t>
      </w:r>
      <w:r w:rsidRPr="00CA2D0E">
        <w:rPr>
          <w:spacing w:val="-4"/>
          <w:kern w:val="0"/>
          <w:sz w:val="18"/>
          <w:szCs w:val="26"/>
          <w:rtl/>
        </w:rPr>
        <w:t>أغسطس 2009</w:t>
      </w:r>
      <w:r w:rsidRPr="00CA2D0E">
        <w:rPr>
          <w:rFonts w:hint="cs"/>
          <w:spacing w:val="-4"/>
          <w:kern w:val="0"/>
          <w:sz w:val="18"/>
          <w:szCs w:val="26"/>
          <w:rtl/>
        </w:rPr>
        <w:t>.</w:t>
      </w:r>
    </w:p>
  </w:footnote>
  <w:footnote w:id="233">
    <w:p w:rsidR="00D64D4C" w:rsidRPr="00DE469F" w:rsidRDefault="00D64D4C" w:rsidP="00CA2D0E">
      <w:pPr>
        <w:pStyle w:val="FootnoteText"/>
        <w:tabs>
          <w:tab w:val="left" w:pos="1253"/>
        </w:tabs>
        <w:spacing w:after="60" w:line="300" w:lineRule="exact"/>
        <w:ind w:left="1253" w:right="1247" w:hanging="490"/>
        <w:jc w:val="lowKashida"/>
        <w:rPr>
          <w:rFonts w:hint="cs"/>
          <w:spacing w:val="0"/>
          <w:kern w:val="0"/>
          <w:sz w:val="18"/>
          <w:szCs w:val="26"/>
        </w:rPr>
      </w:pPr>
      <w:r w:rsidRPr="00DE469F">
        <w:rPr>
          <w:rFonts w:hint="cs"/>
          <w:spacing w:val="0"/>
          <w:kern w:val="0"/>
          <w:sz w:val="18"/>
          <w:szCs w:val="26"/>
          <w:rtl/>
        </w:rPr>
        <w:t>(</w:t>
      </w:r>
      <w:r w:rsidRPr="00DE469F">
        <w:rPr>
          <w:rFonts w:hint="cs"/>
          <w:spacing w:val="0"/>
          <w:kern w:val="0"/>
          <w:sz w:val="26"/>
          <w:szCs w:val="26"/>
          <w:rtl/>
        </w:rPr>
        <w:t>ح</w:t>
      </w:r>
      <w:r w:rsidRPr="00DE469F">
        <w:rPr>
          <w:rFonts w:hint="cs"/>
          <w:spacing w:val="0"/>
          <w:kern w:val="0"/>
          <w:sz w:val="18"/>
          <w:szCs w:val="26"/>
          <w:rtl/>
        </w:rPr>
        <w:t>)</w:t>
      </w:r>
      <w:r w:rsidRPr="00DE469F">
        <w:rPr>
          <w:rFonts w:hint="cs"/>
          <w:spacing w:val="0"/>
          <w:kern w:val="0"/>
          <w:sz w:val="18"/>
          <w:szCs w:val="26"/>
          <w:rtl/>
        </w:rPr>
        <w:tab/>
        <w:t xml:space="preserve">بناء </w:t>
      </w:r>
      <w:r w:rsidRPr="00DE469F">
        <w:rPr>
          <w:spacing w:val="0"/>
          <w:kern w:val="0"/>
          <w:sz w:val="18"/>
          <w:szCs w:val="26"/>
          <w:rtl/>
        </w:rPr>
        <w:t xml:space="preserve">على </w:t>
      </w:r>
      <w:r w:rsidRPr="00DE469F">
        <w:rPr>
          <w:rFonts w:hint="cs"/>
          <w:spacing w:val="0"/>
          <w:kern w:val="0"/>
          <w:sz w:val="18"/>
          <w:szCs w:val="26"/>
          <w:rtl/>
        </w:rPr>
        <w:t>هذه ال</w:t>
      </w:r>
      <w:r w:rsidRPr="00DE469F">
        <w:rPr>
          <w:spacing w:val="0"/>
          <w:kern w:val="0"/>
          <w:sz w:val="18"/>
          <w:szCs w:val="26"/>
          <w:rtl/>
        </w:rPr>
        <w:t xml:space="preserve">معلومات </w:t>
      </w:r>
      <w:r w:rsidRPr="00DE469F">
        <w:rPr>
          <w:rFonts w:hint="cs"/>
          <w:spacing w:val="0"/>
          <w:kern w:val="0"/>
          <w:sz w:val="18"/>
          <w:szCs w:val="26"/>
          <w:rtl/>
        </w:rPr>
        <w:t>ال</w:t>
      </w:r>
      <w:r w:rsidRPr="00DE469F">
        <w:rPr>
          <w:spacing w:val="0"/>
          <w:kern w:val="0"/>
          <w:sz w:val="18"/>
          <w:szCs w:val="26"/>
          <w:rtl/>
        </w:rPr>
        <w:t xml:space="preserve">إضافية، طلبت اللجنة </w:t>
      </w:r>
      <w:r w:rsidRPr="00DE469F">
        <w:rPr>
          <w:rFonts w:hint="cs"/>
          <w:spacing w:val="0"/>
          <w:kern w:val="0"/>
          <w:sz w:val="18"/>
          <w:szCs w:val="26"/>
          <w:rtl/>
        </w:rPr>
        <w:t>إلى</w:t>
      </w:r>
      <w:r w:rsidRPr="00DE469F">
        <w:rPr>
          <w:spacing w:val="0"/>
          <w:kern w:val="0"/>
          <w:sz w:val="18"/>
          <w:szCs w:val="26"/>
          <w:rtl/>
        </w:rPr>
        <w:t xml:space="preserve"> الدولة الطرف،</w:t>
      </w:r>
      <w:r w:rsidRPr="00DE469F">
        <w:rPr>
          <w:rFonts w:hint="cs"/>
          <w:spacing w:val="0"/>
          <w:kern w:val="0"/>
          <w:sz w:val="18"/>
          <w:szCs w:val="26"/>
          <w:rtl/>
        </w:rPr>
        <w:t xml:space="preserve"> في</w:t>
      </w:r>
      <w:r w:rsidRPr="00DE469F">
        <w:rPr>
          <w:spacing w:val="0"/>
          <w:kern w:val="0"/>
          <w:sz w:val="18"/>
          <w:szCs w:val="26"/>
          <w:rtl/>
        </w:rPr>
        <w:t xml:space="preserve"> 15 </w:t>
      </w:r>
      <w:r w:rsidRPr="00DE469F">
        <w:rPr>
          <w:rFonts w:hint="cs"/>
          <w:spacing w:val="0"/>
          <w:kern w:val="0"/>
          <w:sz w:val="18"/>
          <w:szCs w:val="26"/>
          <w:rtl/>
        </w:rPr>
        <w:t>أيلول/</w:t>
      </w:r>
      <w:r w:rsidRPr="00DE469F">
        <w:rPr>
          <w:spacing w:val="0"/>
          <w:kern w:val="0"/>
          <w:sz w:val="18"/>
          <w:szCs w:val="26"/>
          <w:rtl/>
        </w:rPr>
        <w:t xml:space="preserve">سبتمبر 2009، </w:t>
      </w:r>
      <w:r w:rsidRPr="00DE469F">
        <w:rPr>
          <w:rFonts w:hint="cs"/>
          <w:spacing w:val="0"/>
          <w:kern w:val="0"/>
          <w:sz w:val="18"/>
          <w:szCs w:val="26"/>
          <w:rtl/>
        </w:rPr>
        <w:t xml:space="preserve">أن </w:t>
      </w:r>
      <w:r w:rsidRPr="00DE469F">
        <w:rPr>
          <w:spacing w:val="0"/>
          <w:kern w:val="0"/>
          <w:sz w:val="18"/>
          <w:szCs w:val="26"/>
          <w:rtl/>
        </w:rPr>
        <w:t xml:space="preserve">تقدم </w:t>
      </w:r>
      <w:r w:rsidRPr="00DE469F">
        <w:rPr>
          <w:rFonts w:hint="cs"/>
          <w:spacing w:val="0"/>
          <w:kern w:val="0"/>
          <w:sz w:val="18"/>
          <w:szCs w:val="26"/>
          <w:rtl/>
        </w:rPr>
        <w:t xml:space="preserve">إليها </w:t>
      </w:r>
      <w:r w:rsidRPr="00DE469F">
        <w:rPr>
          <w:spacing w:val="0"/>
          <w:kern w:val="0"/>
          <w:sz w:val="18"/>
          <w:szCs w:val="26"/>
          <w:rtl/>
        </w:rPr>
        <w:t xml:space="preserve">توضيحات </w:t>
      </w:r>
      <w:r w:rsidRPr="00DE469F">
        <w:rPr>
          <w:rFonts w:hint="cs"/>
          <w:spacing w:val="0"/>
          <w:kern w:val="0"/>
          <w:sz w:val="18"/>
          <w:szCs w:val="26"/>
          <w:rtl/>
        </w:rPr>
        <w:t xml:space="preserve">تمكن اللجنة من تحديد ما </w:t>
      </w:r>
      <w:r w:rsidRPr="00DE469F">
        <w:rPr>
          <w:spacing w:val="0"/>
          <w:kern w:val="0"/>
          <w:sz w:val="18"/>
          <w:szCs w:val="26"/>
          <w:rtl/>
        </w:rPr>
        <w:t xml:space="preserve">إذا كان الوضع الحالي للتكنولوجيا الطبية في هايتي </w:t>
      </w:r>
      <w:r w:rsidRPr="00DE469F">
        <w:rPr>
          <w:rFonts w:hint="cs"/>
          <w:spacing w:val="0"/>
          <w:kern w:val="0"/>
          <w:sz w:val="18"/>
          <w:szCs w:val="26"/>
          <w:rtl/>
        </w:rPr>
        <w:t xml:space="preserve">يتيح </w:t>
      </w:r>
      <w:r w:rsidRPr="00DE469F">
        <w:rPr>
          <w:spacing w:val="0"/>
          <w:kern w:val="0"/>
          <w:sz w:val="18"/>
          <w:szCs w:val="26"/>
          <w:rtl/>
        </w:rPr>
        <w:t xml:space="preserve">استبدال بطارية جهاز تنظيم ضربات القلب </w:t>
      </w:r>
      <w:r w:rsidRPr="00DE469F">
        <w:rPr>
          <w:rFonts w:hint="cs"/>
          <w:spacing w:val="0"/>
          <w:kern w:val="0"/>
          <w:sz w:val="18"/>
          <w:szCs w:val="26"/>
          <w:rtl/>
        </w:rPr>
        <w:t>الخاص بصاحب الشكوى؛</w:t>
      </w:r>
      <w:r w:rsidRPr="00DE469F">
        <w:rPr>
          <w:spacing w:val="0"/>
          <w:kern w:val="0"/>
          <w:sz w:val="18"/>
          <w:szCs w:val="26"/>
          <w:rtl/>
        </w:rPr>
        <w:t xml:space="preserve"> و</w:t>
      </w:r>
      <w:r w:rsidRPr="00DE469F">
        <w:rPr>
          <w:rFonts w:hint="cs"/>
          <w:spacing w:val="0"/>
          <w:kern w:val="0"/>
          <w:sz w:val="18"/>
          <w:szCs w:val="26"/>
          <w:rtl/>
        </w:rPr>
        <w:t xml:space="preserve">تطلب إلى </w:t>
      </w:r>
      <w:r w:rsidRPr="00DE469F">
        <w:rPr>
          <w:spacing w:val="0"/>
          <w:kern w:val="0"/>
          <w:sz w:val="18"/>
          <w:szCs w:val="26"/>
          <w:rtl/>
        </w:rPr>
        <w:t>الدولة الطرف</w:t>
      </w:r>
      <w:r w:rsidRPr="00DE469F">
        <w:rPr>
          <w:rFonts w:hint="cs"/>
          <w:spacing w:val="0"/>
          <w:kern w:val="0"/>
          <w:sz w:val="18"/>
          <w:szCs w:val="26"/>
          <w:rtl/>
        </w:rPr>
        <w:t xml:space="preserve"> </w:t>
      </w:r>
      <w:r w:rsidRPr="00DE469F">
        <w:rPr>
          <w:spacing w:val="0"/>
          <w:kern w:val="0"/>
          <w:sz w:val="18"/>
          <w:szCs w:val="26"/>
          <w:rtl/>
        </w:rPr>
        <w:t xml:space="preserve">عدم طرد </w:t>
      </w:r>
      <w:r w:rsidRPr="00DE469F">
        <w:rPr>
          <w:rFonts w:hint="cs"/>
          <w:spacing w:val="0"/>
          <w:kern w:val="0"/>
          <w:sz w:val="18"/>
          <w:szCs w:val="26"/>
          <w:rtl/>
        </w:rPr>
        <w:t>صاحب الشكوى</w:t>
      </w:r>
      <w:r w:rsidRPr="00DE469F">
        <w:rPr>
          <w:spacing w:val="0"/>
          <w:kern w:val="0"/>
          <w:sz w:val="18"/>
          <w:szCs w:val="26"/>
          <w:rtl/>
        </w:rPr>
        <w:t xml:space="preserve"> إلى هايتي</w:t>
      </w:r>
      <w:r w:rsidRPr="00DE469F">
        <w:rPr>
          <w:rFonts w:hint="cs"/>
          <w:spacing w:val="0"/>
          <w:kern w:val="0"/>
          <w:sz w:val="18"/>
          <w:szCs w:val="26"/>
          <w:rtl/>
        </w:rPr>
        <w:t>، حتى يصلها رد الدولة الطرف</w:t>
      </w:r>
      <w:r w:rsidRPr="00DE469F">
        <w:rPr>
          <w:spacing w:val="0"/>
          <w:kern w:val="0"/>
          <w:sz w:val="18"/>
          <w:szCs w:val="26"/>
          <w:rtl/>
        </w:rPr>
        <w:t>.</w:t>
      </w:r>
    </w:p>
  </w:footnote>
  <w:footnote w:id="234">
    <w:p w:rsidR="00D64D4C" w:rsidRPr="00DE469F" w:rsidRDefault="00D64D4C" w:rsidP="00CA2D0E">
      <w:pPr>
        <w:pStyle w:val="FootnoteText"/>
        <w:tabs>
          <w:tab w:val="left" w:pos="1253"/>
        </w:tabs>
        <w:spacing w:after="60" w:line="300" w:lineRule="exact"/>
        <w:ind w:left="1253" w:right="1247" w:hanging="490"/>
        <w:jc w:val="lowKashida"/>
        <w:rPr>
          <w:rFonts w:hint="cs"/>
          <w:spacing w:val="0"/>
          <w:kern w:val="0"/>
          <w:sz w:val="18"/>
          <w:szCs w:val="26"/>
        </w:rPr>
      </w:pPr>
      <w:r w:rsidRPr="00DE469F">
        <w:rPr>
          <w:rFonts w:hint="cs"/>
          <w:spacing w:val="0"/>
          <w:kern w:val="0"/>
          <w:sz w:val="18"/>
          <w:szCs w:val="26"/>
          <w:rtl/>
        </w:rPr>
        <w:t>(</w:t>
      </w:r>
      <w:r w:rsidRPr="00DE469F">
        <w:rPr>
          <w:rFonts w:hint="cs"/>
          <w:spacing w:val="0"/>
          <w:kern w:val="0"/>
          <w:sz w:val="26"/>
          <w:szCs w:val="26"/>
          <w:rtl/>
        </w:rPr>
        <w:t>ط</w:t>
      </w:r>
      <w:r w:rsidRPr="00DE469F">
        <w:rPr>
          <w:rFonts w:hint="cs"/>
          <w:spacing w:val="0"/>
          <w:kern w:val="0"/>
          <w:sz w:val="18"/>
          <w:szCs w:val="26"/>
          <w:rtl/>
        </w:rPr>
        <w:t>)</w:t>
      </w:r>
      <w:r w:rsidRPr="00DE469F">
        <w:rPr>
          <w:rFonts w:hint="cs"/>
          <w:spacing w:val="0"/>
          <w:kern w:val="0"/>
          <w:sz w:val="18"/>
          <w:szCs w:val="26"/>
          <w:rtl/>
        </w:rPr>
        <w:tab/>
        <w:t xml:space="preserve">الملاحظات الختامية بشأن كندا، </w:t>
      </w:r>
      <w:r w:rsidRPr="00DE469F">
        <w:rPr>
          <w:spacing w:val="0"/>
          <w:kern w:val="0"/>
          <w:sz w:val="18"/>
          <w:szCs w:val="26"/>
        </w:rPr>
        <w:t>CAT/C/CR/34/CAN</w:t>
      </w:r>
      <w:r w:rsidRPr="00DE469F">
        <w:rPr>
          <w:rFonts w:hint="cs"/>
          <w:spacing w:val="0"/>
          <w:kern w:val="0"/>
          <w:sz w:val="18"/>
          <w:szCs w:val="26"/>
          <w:rtl/>
        </w:rPr>
        <w:t>، 7 تموز/يوليه 2005، الفقرتان 4(د) و5(ب).</w:t>
      </w:r>
    </w:p>
  </w:footnote>
  <w:footnote w:id="235">
    <w:p w:rsidR="00D64D4C" w:rsidRPr="00DE469F" w:rsidRDefault="00D64D4C" w:rsidP="00DE469F">
      <w:pPr>
        <w:pStyle w:val="FootnoteText"/>
        <w:tabs>
          <w:tab w:val="left" w:pos="1253"/>
        </w:tabs>
        <w:spacing w:after="60" w:line="300" w:lineRule="exact"/>
        <w:ind w:left="1253" w:right="1247" w:hanging="532"/>
        <w:jc w:val="lowKashida"/>
        <w:rPr>
          <w:rFonts w:hint="cs"/>
          <w:spacing w:val="0"/>
          <w:kern w:val="0"/>
          <w:sz w:val="18"/>
          <w:szCs w:val="26"/>
        </w:rPr>
      </w:pPr>
      <w:r w:rsidRPr="00DE469F">
        <w:rPr>
          <w:rFonts w:hint="cs"/>
          <w:spacing w:val="0"/>
          <w:kern w:val="0"/>
          <w:sz w:val="18"/>
          <w:szCs w:val="26"/>
          <w:rtl/>
        </w:rPr>
        <w:t>(</w:t>
      </w:r>
      <w:r w:rsidRPr="00DE469F">
        <w:rPr>
          <w:rFonts w:hint="cs"/>
          <w:spacing w:val="0"/>
          <w:kern w:val="0"/>
          <w:sz w:val="26"/>
          <w:szCs w:val="26"/>
          <w:rtl/>
        </w:rPr>
        <w:t>ي</w:t>
      </w:r>
      <w:r w:rsidRPr="00DE469F">
        <w:rPr>
          <w:rFonts w:hint="cs"/>
          <w:spacing w:val="0"/>
          <w:kern w:val="0"/>
          <w:sz w:val="18"/>
          <w:szCs w:val="26"/>
          <w:rtl/>
        </w:rPr>
        <w:t>)</w:t>
      </w:r>
      <w:r w:rsidRPr="00DE469F">
        <w:rPr>
          <w:rFonts w:hint="cs"/>
          <w:spacing w:val="0"/>
          <w:kern w:val="0"/>
          <w:sz w:val="18"/>
          <w:szCs w:val="26"/>
          <w:rtl/>
        </w:rPr>
        <w:tab/>
      </w:r>
      <w:r w:rsidRPr="00DE469F">
        <w:rPr>
          <w:spacing w:val="0"/>
          <w:kern w:val="0"/>
          <w:sz w:val="18"/>
          <w:szCs w:val="26"/>
          <w:rtl/>
        </w:rPr>
        <w:t xml:space="preserve">لأسباب تتعلق </w:t>
      </w:r>
      <w:r w:rsidRPr="00DE469F">
        <w:rPr>
          <w:rFonts w:hint="cs"/>
          <w:spacing w:val="0"/>
          <w:kern w:val="0"/>
          <w:sz w:val="18"/>
          <w:szCs w:val="26"/>
          <w:rtl/>
        </w:rPr>
        <w:t>بالتزام السرية</w:t>
      </w:r>
      <w:r w:rsidRPr="00DE469F">
        <w:rPr>
          <w:spacing w:val="0"/>
          <w:kern w:val="0"/>
          <w:sz w:val="18"/>
          <w:szCs w:val="26"/>
          <w:rtl/>
        </w:rPr>
        <w:t xml:space="preserve">، لم </w:t>
      </w:r>
      <w:r w:rsidRPr="00DE469F">
        <w:rPr>
          <w:rFonts w:hint="cs"/>
          <w:spacing w:val="0"/>
          <w:kern w:val="0"/>
          <w:sz w:val="18"/>
          <w:szCs w:val="26"/>
          <w:rtl/>
        </w:rPr>
        <w:t xml:space="preserve">تذكر هوية </w:t>
      </w:r>
      <w:r w:rsidRPr="00DE469F">
        <w:rPr>
          <w:spacing w:val="0"/>
          <w:kern w:val="0"/>
          <w:sz w:val="18"/>
          <w:szCs w:val="26"/>
          <w:rtl/>
        </w:rPr>
        <w:t xml:space="preserve">الشخص </w:t>
      </w:r>
      <w:r w:rsidRPr="00DE469F">
        <w:rPr>
          <w:rFonts w:hint="cs"/>
          <w:spacing w:val="0"/>
          <w:kern w:val="0"/>
          <w:sz w:val="18"/>
          <w:szCs w:val="26"/>
          <w:rtl/>
        </w:rPr>
        <w:t>المذكور.</w:t>
      </w:r>
    </w:p>
  </w:footnote>
  <w:footnote w:id="236">
    <w:p w:rsidR="00D64D4C" w:rsidRPr="00DE469F" w:rsidRDefault="00D64D4C" w:rsidP="00DE469F">
      <w:pPr>
        <w:pStyle w:val="FootnoteText"/>
        <w:tabs>
          <w:tab w:val="left" w:pos="1253"/>
        </w:tabs>
        <w:spacing w:after="60" w:line="300" w:lineRule="exact"/>
        <w:ind w:left="1253" w:right="1247" w:hanging="532"/>
        <w:jc w:val="lowKashida"/>
        <w:rPr>
          <w:rFonts w:hint="cs"/>
          <w:spacing w:val="0"/>
          <w:kern w:val="0"/>
          <w:sz w:val="18"/>
          <w:szCs w:val="26"/>
        </w:rPr>
      </w:pPr>
      <w:r w:rsidRPr="00DE469F">
        <w:rPr>
          <w:rFonts w:hint="cs"/>
          <w:spacing w:val="0"/>
          <w:kern w:val="0"/>
          <w:sz w:val="18"/>
          <w:szCs w:val="26"/>
          <w:rtl/>
        </w:rPr>
        <w:t>(</w:t>
      </w:r>
      <w:r w:rsidRPr="00DE469F">
        <w:rPr>
          <w:rFonts w:hint="cs"/>
          <w:spacing w:val="0"/>
          <w:kern w:val="0"/>
          <w:sz w:val="26"/>
          <w:szCs w:val="26"/>
          <w:rtl/>
        </w:rPr>
        <w:t>ك</w:t>
      </w:r>
      <w:r w:rsidRPr="00DE469F">
        <w:rPr>
          <w:rFonts w:hint="cs"/>
          <w:spacing w:val="0"/>
          <w:kern w:val="0"/>
          <w:sz w:val="18"/>
          <w:szCs w:val="26"/>
          <w:rtl/>
        </w:rPr>
        <w:t>)</w:t>
      </w:r>
      <w:r w:rsidRPr="00DE469F">
        <w:rPr>
          <w:rFonts w:hint="cs"/>
          <w:spacing w:val="0"/>
          <w:kern w:val="0"/>
          <w:sz w:val="18"/>
          <w:szCs w:val="26"/>
          <w:rtl/>
        </w:rPr>
        <w:tab/>
      </w:r>
      <w:r w:rsidRPr="00DE469F">
        <w:rPr>
          <w:spacing w:val="0"/>
          <w:kern w:val="0"/>
          <w:sz w:val="18"/>
          <w:szCs w:val="26"/>
          <w:rtl/>
        </w:rPr>
        <w:t xml:space="preserve">وثيقة </w:t>
      </w:r>
      <w:r w:rsidRPr="00DE469F">
        <w:rPr>
          <w:rFonts w:hint="cs"/>
          <w:spacing w:val="0"/>
          <w:kern w:val="0"/>
          <w:sz w:val="18"/>
          <w:szCs w:val="26"/>
          <w:rtl/>
        </w:rPr>
        <w:t>معنونة</w:t>
      </w:r>
      <w:r w:rsidRPr="00DE469F">
        <w:rPr>
          <w:spacing w:val="0"/>
          <w:kern w:val="0"/>
          <w:sz w:val="18"/>
          <w:szCs w:val="26"/>
          <w:rtl/>
        </w:rPr>
        <w:t xml:space="preserve"> </w:t>
      </w:r>
      <w:r w:rsidRPr="00DE469F">
        <w:rPr>
          <w:spacing w:val="0"/>
          <w:kern w:val="0"/>
          <w:sz w:val="18"/>
          <w:szCs w:val="26"/>
          <w:lang w:val="en-GB"/>
        </w:rPr>
        <w:t xml:space="preserve">“Cases of respondents who fear imprisonment as criminal deportees to Haiti: updates in the law since </w:t>
      </w:r>
      <w:r w:rsidRPr="00DE469F">
        <w:rPr>
          <w:i/>
          <w:spacing w:val="0"/>
          <w:kern w:val="0"/>
          <w:sz w:val="18"/>
          <w:szCs w:val="26"/>
          <w:lang w:val="en-GB"/>
        </w:rPr>
        <w:t>Matter of J-E</w:t>
      </w:r>
      <w:r w:rsidRPr="00DE469F">
        <w:rPr>
          <w:spacing w:val="0"/>
          <w:kern w:val="0"/>
          <w:sz w:val="18"/>
          <w:szCs w:val="26"/>
          <w:lang w:val="en-GB"/>
        </w:rPr>
        <w:t>-”</w:t>
      </w:r>
      <w:r w:rsidRPr="00DE469F">
        <w:rPr>
          <w:rFonts w:hint="cs"/>
          <w:spacing w:val="0"/>
          <w:kern w:val="0"/>
          <w:sz w:val="18"/>
          <w:szCs w:val="26"/>
          <w:rtl/>
        </w:rPr>
        <w:t>(ح</w:t>
      </w:r>
      <w:r w:rsidRPr="00DE469F">
        <w:rPr>
          <w:spacing w:val="0"/>
          <w:kern w:val="0"/>
          <w:sz w:val="18"/>
          <w:szCs w:val="26"/>
          <w:rtl/>
        </w:rPr>
        <w:t xml:space="preserve">الات </w:t>
      </w:r>
      <w:r w:rsidRPr="00DE469F">
        <w:rPr>
          <w:rFonts w:hint="cs"/>
          <w:spacing w:val="0"/>
          <w:kern w:val="0"/>
          <w:sz w:val="18"/>
          <w:szCs w:val="26"/>
          <w:rtl/>
        </w:rPr>
        <w:t>المدعى عليهم</w:t>
      </w:r>
      <w:r w:rsidRPr="00DE469F">
        <w:rPr>
          <w:spacing w:val="0"/>
          <w:kern w:val="0"/>
          <w:sz w:val="18"/>
          <w:szCs w:val="26"/>
          <w:rtl/>
        </w:rPr>
        <w:t xml:space="preserve"> </w:t>
      </w:r>
      <w:r w:rsidRPr="00DE469F">
        <w:rPr>
          <w:rFonts w:hint="cs"/>
          <w:spacing w:val="0"/>
          <w:kern w:val="0"/>
          <w:sz w:val="18"/>
          <w:szCs w:val="26"/>
          <w:rtl/>
        </w:rPr>
        <w:t xml:space="preserve">الذين </w:t>
      </w:r>
      <w:r w:rsidRPr="00DE469F">
        <w:rPr>
          <w:spacing w:val="0"/>
          <w:kern w:val="0"/>
          <w:sz w:val="18"/>
          <w:szCs w:val="26"/>
          <w:rtl/>
        </w:rPr>
        <w:t xml:space="preserve">يخشون </w:t>
      </w:r>
      <w:r w:rsidRPr="00DE469F">
        <w:rPr>
          <w:rFonts w:hint="cs"/>
          <w:spacing w:val="0"/>
          <w:kern w:val="0"/>
          <w:sz w:val="18"/>
          <w:szCs w:val="26"/>
          <w:rtl/>
        </w:rPr>
        <w:t>السجن ك</w:t>
      </w:r>
      <w:r w:rsidRPr="00DE469F">
        <w:rPr>
          <w:spacing w:val="0"/>
          <w:kern w:val="0"/>
          <w:sz w:val="18"/>
          <w:szCs w:val="26"/>
          <w:rtl/>
        </w:rPr>
        <w:t xml:space="preserve">مرحلين </w:t>
      </w:r>
      <w:r w:rsidRPr="00DE469F">
        <w:rPr>
          <w:rFonts w:hint="cs"/>
          <w:spacing w:val="0"/>
          <w:kern w:val="0"/>
          <w:sz w:val="18"/>
          <w:szCs w:val="26"/>
          <w:rtl/>
        </w:rPr>
        <w:t>لأسباب جنائية إلى</w:t>
      </w:r>
      <w:r w:rsidRPr="00DE469F">
        <w:rPr>
          <w:spacing w:val="0"/>
          <w:kern w:val="0"/>
          <w:sz w:val="18"/>
          <w:szCs w:val="26"/>
          <w:rtl/>
        </w:rPr>
        <w:t xml:space="preserve"> هايتي: </w:t>
      </w:r>
      <w:r w:rsidRPr="00DE469F">
        <w:rPr>
          <w:rFonts w:hint="cs"/>
          <w:spacing w:val="0"/>
          <w:kern w:val="0"/>
          <w:sz w:val="18"/>
          <w:szCs w:val="26"/>
          <w:rtl/>
        </w:rPr>
        <w:t xml:space="preserve">المستجدات </w:t>
      </w:r>
      <w:r w:rsidRPr="00DE469F">
        <w:rPr>
          <w:spacing w:val="0"/>
          <w:kern w:val="0"/>
          <w:sz w:val="18"/>
          <w:szCs w:val="26"/>
          <w:rtl/>
        </w:rPr>
        <w:t xml:space="preserve">في القانون منذ </w:t>
      </w:r>
      <w:r w:rsidRPr="00DE469F">
        <w:rPr>
          <w:rFonts w:hint="cs"/>
          <w:i/>
          <w:iCs/>
          <w:spacing w:val="0"/>
          <w:kern w:val="0"/>
          <w:sz w:val="18"/>
          <w:szCs w:val="26"/>
          <w:rtl/>
        </w:rPr>
        <w:t>قضية ج. ي.</w:t>
      </w:r>
      <w:r w:rsidRPr="00DE469F">
        <w:rPr>
          <w:rFonts w:hint="cs"/>
          <w:spacing w:val="0"/>
          <w:kern w:val="0"/>
          <w:sz w:val="18"/>
          <w:szCs w:val="26"/>
          <w:rtl/>
        </w:rPr>
        <w:t>)،</w:t>
      </w:r>
      <w:r w:rsidRPr="00DE469F">
        <w:rPr>
          <w:spacing w:val="0"/>
          <w:kern w:val="0"/>
          <w:sz w:val="18"/>
          <w:szCs w:val="26"/>
          <w:rtl/>
        </w:rPr>
        <w:t xml:space="preserve"> على موقع</w:t>
      </w:r>
      <w:r w:rsidRPr="00DE469F">
        <w:rPr>
          <w:rFonts w:hint="cs"/>
          <w:spacing w:val="0"/>
          <w:kern w:val="0"/>
          <w:sz w:val="18"/>
          <w:szCs w:val="26"/>
          <w:rtl/>
        </w:rPr>
        <w:t xml:space="preserve"> الإنترنت</w:t>
      </w:r>
      <w:r w:rsidRPr="00DE469F">
        <w:rPr>
          <w:spacing w:val="0"/>
          <w:kern w:val="0"/>
          <w:sz w:val="18"/>
          <w:szCs w:val="26"/>
          <w:rtl/>
        </w:rPr>
        <w:t xml:space="preserve"> </w:t>
      </w:r>
      <w:r w:rsidRPr="00DE469F">
        <w:rPr>
          <w:spacing w:val="0"/>
          <w:kern w:val="0"/>
          <w:sz w:val="18"/>
          <w:szCs w:val="26"/>
        </w:rPr>
        <w:t>http://alternativechance.org</w:t>
      </w:r>
      <w:r w:rsidRPr="00DE469F">
        <w:rPr>
          <w:rFonts w:hint="cs"/>
          <w:spacing w:val="0"/>
          <w:kern w:val="0"/>
          <w:sz w:val="18"/>
          <w:szCs w:val="26"/>
          <w:rtl/>
        </w:rPr>
        <w:t>.</w:t>
      </w:r>
    </w:p>
  </w:footnote>
  <w:footnote w:id="237">
    <w:p w:rsidR="00D64D4C" w:rsidRPr="00DE469F" w:rsidRDefault="00D64D4C" w:rsidP="00DE469F">
      <w:pPr>
        <w:pStyle w:val="FootnoteText"/>
        <w:tabs>
          <w:tab w:val="left" w:pos="1253"/>
        </w:tabs>
        <w:spacing w:after="60" w:line="300" w:lineRule="exact"/>
        <w:ind w:left="1253" w:right="1247" w:hanging="532"/>
        <w:jc w:val="lowKashida"/>
        <w:rPr>
          <w:rFonts w:hint="cs"/>
          <w:spacing w:val="0"/>
          <w:kern w:val="0"/>
          <w:sz w:val="18"/>
        </w:rPr>
      </w:pPr>
      <w:r w:rsidRPr="00DE469F">
        <w:rPr>
          <w:rFonts w:hint="cs"/>
          <w:spacing w:val="0"/>
          <w:kern w:val="0"/>
          <w:sz w:val="18"/>
          <w:szCs w:val="26"/>
          <w:rtl/>
        </w:rPr>
        <w:t>(</w:t>
      </w:r>
      <w:r w:rsidRPr="00DE469F">
        <w:rPr>
          <w:rFonts w:hint="cs"/>
          <w:spacing w:val="0"/>
          <w:kern w:val="0"/>
          <w:sz w:val="26"/>
          <w:szCs w:val="26"/>
          <w:rtl/>
        </w:rPr>
        <w:t>ل</w:t>
      </w:r>
      <w:r w:rsidRPr="00DE469F">
        <w:rPr>
          <w:rFonts w:hint="cs"/>
          <w:spacing w:val="0"/>
          <w:kern w:val="0"/>
          <w:sz w:val="18"/>
          <w:szCs w:val="26"/>
          <w:rtl/>
        </w:rPr>
        <w:t>)</w:t>
      </w:r>
      <w:r w:rsidRPr="00DE469F">
        <w:rPr>
          <w:rFonts w:hint="cs"/>
          <w:spacing w:val="0"/>
          <w:kern w:val="0"/>
          <w:sz w:val="18"/>
          <w:szCs w:val="26"/>
          <w:rtl/>
        </w:rPr>
        <w:tab/>
      </w:r>
      <w:r w:rsidRPr="00DE469F">
        <w:rPr>
          <w:spacing w:val="0"/>
          <w:kern w:val="0"/>
          <w:sz w:val="18"/>
          <w:szCs w:val="26"/>
          <w:rtl/>
        </w:rPr>
        <w:t xml:space="preserve">أبلغ صاحب </w:t>
      </w:r>
      <w:r w:rsidRPr="00DE469F">
        <w:rPr>
          <w:rFonts w:hint="cs"/>
          <w:spacing w:val="0"/>
          <w:kern w:val="0"/>
          <w:sz w:val="18"/>
          <w:szCs w:val="26"/>
          <w:rtl/>
        </w:rPr>
        <w:t>الشكوى</w:t>
      </w:r>
      <w:r w:rsidRPr="00DE469F">
        <w:rPr>
          <w:spacing w:val="0"/>
          <w:kern w:val="0"/>
          <w:sz w:val="18"/>
          <w:szCs w:val="26"/>
          <w:rtl/>
        </w:rPr>
        <w:t xml:space="preserve"> اللجنة </w:t>
      </w:r>
      <w:r w:rsidRPr="00DE469F">
        <w:rPr>
          <w:rFonts w:hint="cs"/>
          <w:spacing w:val="0"/>
          <w:kern w:val="0"/>
          <w:sz w:val="18"/>
          <w:szCs w:val="26"/>
          <w:rtl/>
        </w:rPr>
        <w:t>ب</w:t>
      </w:r>
      <w:r w:rsidRPr="00DE469F">
        <w:rPr>
          <w:spacing w:val="0"/>
          <w:kern w:val="0"/>
          <w:sz w:val="18"/>
          <w:szCs w:val="26"/>
          <w:rtl/>
        </w:rPr>
        <w:t>أنه قدم طلبا</w:t>
      </w:r>
      <w:r w:rsidRPr="00DE469F">
        <w:rPr>
          <w:rFonts w:hint="cs"/>
          <w:spacing w:val="0"/>
          <w:kern w:val="0"/>
          <w:sz w:val="18"/>
          <w:szCs w:val="26"/>
          <w:rtl/>
        </w:rPr>
        <w:t>ً</w:t>
      </w:r>
      <w:r w:rsidRPr="00DE469F">
        <w:rPr>
          <w:spacing w:val="0"/>
          <w:kern w:val="0"/>
          <w:sz w:val="18"/>
          <w:szCs w:val="26"/>
          <w:rtl/>
        </w:rPr>
        <w:t xml:space="preserve"> </w:t>
      </w:r>
      <w:r w:rsidRPr="00DE469F">
        <w:rPr>
          <w:rFonts w:hint="cs"/>
          <w:spacing w:val="0"/>
          <w:kern w:val="0"/>
          <w:sz w:val="18"/>
          <w:szCs w:val="26"/>
          <w:rtl/>
        </w:rPr>
        <w:t>أمام</w:t>
      </w:r>
      <w:r w:rsidRPr="00DE469F">
        <w:rPr>
          <w:spacing w:val="0"/>
          <w:kern w:val="0"/>
          <w:sz w:val="18"/>
          <w:szCs w:val="26"/>
          <w:rtl/>
        </w:rPr>
        <w:t xml:space="preserve"> المحكمة الاتحادية </w:t>
      </w:r>
      <w:r w:rsidRPr="00DE469F">
        <w:rPr>
          <w:rFonts w:hint="cs"/>
          <w:spacing w:val="0"/>
          <w:kern w:val="0"/>
          <w:sz w:val="18"/>
          <w:szCs w:val="26"/>
          <w:rtl/>
        </w:rPr>
        <w:t>لإجراء</w:t>
      </w:r>
      <w:r w:rsidRPr="00DE469F">
        <w:rPr>
          <w:spacing w:val="0"/>
          <w:kern w:val="0"/>
          <w:sz w:val="18"/>
          <w:szCs w:val="26"/>
          <w:rtl/>
        </w:rPr>
        <w:t xml:space="preserve"> مراجعة قضائية </w:t>
      </w:r>
      <w:r w:rsidRPr="00DE469F">
        <w:rPr>
          <w:rFonts w:hint="cs"/>
          <w:spacing w:val="0"/>
          <w:kern w:val="0"/>
          <w:sz w:val="18"/>
          <w:szCs w:val="26"/>
          <w:rtl/>
        </w:rPr>
        <w:t>ل</w:t>
      </w:r>
      <w:r w:rsidRPr="00DE469F">
        <w:rPr>
          <w:spacing w:val="0"/>
          <w:kern w:val="0"/>
          <w:sz w:val="18"/>
          <w:szCs w:val="26"/>
          <w:rtl/>
        </w:rPr>
        <w:t xml:space="preserve">رفض </w:t>
      </w:r>
      <w:r w:rsidRPr="00DE469F">
        <w:rPr>
          <w:rFonts w:hint="cs"/>
          <w:spacing w:val="0"/>
          <w:kern w:val="0"/>
          <w:sz w:val="18"/>
          <w:szCs w:val="26"/>
          <w:rtl/>
        </w:rPr>
        <w:t>وقف تنفيذ</w:t>
      </w:r>
      <w:r w:rsidRPr="00DE469F">
        <w:rPr>
          <w:spacing w:val="0"/>
          <w:kern w:val="0"/>
          <w:sz w:val="18"/>
          <w:szCs w:val="26"/>
          <w:rtl/>
        </w:rPr>
        <w:t xml:space="preserve"> </w:t>
      </w:r>
      <w:r w:rsidRPr="00DE469F">
        <w:rPr>
          <w:rFonts w:hint="cs"/>
          <w:spacing w:val="0"/>
          <w:kern w:val="0"/>
          <w:sz w:val="18"/>
          <w:szCs w:val="26"/>
          <w:rtl/>
        </w:rPr>
        <w:t xml:space="preserve">الترحيل </w:t>
      </w:r>
      <w:r w:rsidRPr="00DE469F">
        <w:rPr>
          <w:spacing w:val="0"/>
          <w:kern w:val="0"/>
          <w:sz w:val="18"/>
          <w:szCs w:val="26"/>
          <w:rtl/>
        </w:rPr>
        <w:t>إداري</w:t>
      </w:r>
      <w:r w:rsidRPr="00DE469F">
        <w:rPr>
          <w:rFonts w:hint="cs"/>
          <w:spacing w:val="0"/>
          <w:kern w:val="0"/>
          <w:sz w:val="18"/>
          <w:szCs w:val="26"/>
          <w:rtl/>
        </w:rPr>
        <w:t xml:space="preserve">اً، زبأن الطلب كان لا يزال قيد النظر عندما قدم </w:t>
      </w:r>
      <w:r w:rsidRPr="00DE469F">
        <w:rPr>
          <w:spacing w:val="0"/>
          <w:kern w:val="0"/>
          <w:sz w:val="18"/>
          <w:szCs w:val="26"/>
          <w:rtl/>
        </w:rPr>
        <w:t>تعليقات</w:t>
      </w:r>
      <w:r w:rsidRPr="00DE469F">
        <w:rPr>
          <w:rFonts w:hint="cs"/>
          <w:spacing w:val="0"/>
          <w:kern w:val="0"/>
          <w:sz w:val="18"/>
          <w:szCs w:val="26"/>
          <w:rtl/>
        </w:rPr>
        <w:t>ه</w:t>
      </w:r>
      <w:r w:rsidRPr="00DE469F">
        <w:rPr>
          <w:spacing w:val="0"/>
          <w:kern w:val="0"/>
          <w:sz w:val="18"/>
          <w:szCs w:val="26"/>
          <w:rtl/>
        </w:rPr>
        <w:t xml:space="preserve"> إلى اللجنة.</w:t>
      </w:r>
    </w:p>
  </w:footnote>
  <w:footnote w:id="238">
    <w:p w:rsidR="00D64D4C" w:rsidRPr="00DE469F" w:rsidRDefault="00D64D4C" w:rsidP="00DE469F">
      <w:pPr>
        <w:pStyle w:val="FootnoteText"/>
        <w:tabs>
          <w:tab w:val="left" w:pos="1211"/>
        </w:tabs>
        <w:spacing w:after="60" w:line="300" w:lineRule="exact"/>
        <w:ind w:left="1239" w:right="1247" w:hanging="420"/>
        <w:jc w:val="lowKashida"/>
        <w:rPr>
          <w:rFonts w:hint="cs"/>
          <w:spacing w:val="0"/>
          <w:kern w:val="0"/>
          <w:sz w:val="18"/>
          <w:szCs w:val="26"/>
        </w:rPr>
      </w:pPr>
      <w:r w:rsidRPr="00DE469F">
        <w:rPr>
          <w:rFonts w:hint="cs"/>
          <w:spacing w:val="0"/>
          <w:kern w:val="0"/>
          <w:sz w:val="18"/>
          <w:szCs w:val="26"/>
          <w:rtl/>
        </w:rPr>
        <w:t>(</w:t>
      </w:r>
      <w:r w:rsidRPr="00DE469F">
        <w:rPr>
          <w:rFonts w:hint="cs"/>
          <w:spacing w:val="0"/>
          <w:kern w:val="0"/>
          <w:sz w:val="26"/>
          <w:szCs w:val="26"/>
          <w:rtl/>
        </w:rPr>
        <w:t>م</w:t>
      </w:r>
      <w:r w:rsidRPr="00DE469F">
        <w:rPr>
          <w:rFonts w:hint="cs"/>
          <w:spacing w:val="0"/>
          <w:kern w:val="0"/>
          <w:sz w:val="18"/>
          <w:szCs w:val="26"/>
          <w:rtl/>
        </w:rPr>
        <w:t>)</w:t>
      </w:r>
      <w:r w:rsidRPr="00DE469F">
        <w:rPr>
          <w:rFonts w:hint="cs"/>
          <w:spacing w:val="0"/>
          <w:kern w:val="0"/>
          <w:sz w:val="18"/>
          <w:szCs w:val="26"/>
          <w:rtl/>
        </w:rPr>
        <w:tab/>
        <w:t>انظر الفقرة 5-4 أعلاه.</w:t>
      </w:r>
    </w:p>
  </w:footnote>
  <w:footnote w:id="239">
    <w:p w:rsidR="00D64D4C" w:rsidRPr="00DE469F" w:rsidRDefault="00D64D4C" w:rsidP="00DE469F">
      <w:pPr>
        <w:pStyle w:val="FootnoteText"/>
        <w:tabs>
          <w:tab w:val="left" w:pos="1253"/>
        </w:tabs>
        <w:spacing w:after="60" w:line="300" w:lineRule="exact"/>
        <w:ind w:left="1267" w:right="1247" w:hanging="504"/>
        <w:jc w:val="lowKashida"/>
        <w:rPr>
          <w:rFonts w:hint="cs"/>
          <w:spacing w:val="-4"/>
          <w:kern w:val="0"/>
          <w:sz w:val="18"/>
          <w:szCs w:val="26"/>
        </w:rPr>
      </w:pPr>
      <w:r w:rsidRPr="00DE469F">
        <w:rPr>
          <w:rFonts w:hint="cs"/>
          <w:spacing w:val="-4"/>
          <w:kern w:val="0"/>
          <w:sz w:val="18"/>
          <w:szCs w:val="26"/>
          <w:rtl/>
        </w:rPr>
        <w:t>(</w:t>
      </w:r>
      <w:r w:rsidRPr="00DE469F">
        <w:rPr>
          <w:rFonts w:hint="cs"/>
          <w:spacing w:val="-4"/>
          <w:kern w:val="0"/>
          <w:sz w:val="26"/>
          <w:szCs w:val="26"/>
          <w:rtl/>
        </w:rPr>
        <w:t>ن</w:t>
      </w:r>
      <w:r w:rsidRPr="00DE469F">
        <w:rPr>
          <w:rFonts w:hint="cs"/>
          <w:spacing w:val="-4"/>
          <w:kern w:val="0"/>
          <w:sz w:val="18"/>
          <w:szCs w:val="26"/>
          <w:rtl/>
        </w:rPr>
        <w:t>)</w:t>
      </w:r>
      <w:r w:rsidRPr="00DE469F">
        <w:rPr>
          <w:rFonts w:hint="cs"/>
          <w:spacing w:val="-4"/>
          <w:kern w:val="0"/>
          <w:sz w:val="18"/>
          <w:szCs w:val="26"/>
          <w:rtl/>
        </w:rPr>
        <w:tab/>
      </w:r>
      <w:r w:rsidRPr="00DE469F">
        <w:rPr>
          <w:spacing w:val="-4"/>
          <w:kern w:val="0"/>
          <w:sz w:val="18"/>
          <w:szCs w:val="26"/>
          <w:rtl/>
        </w:rPr>
        <w:t>بعد توضيح</w:t>
      </w:r>
      <w:r w:rsidRPr="00DE469F">
        <w:rPr>
          <w:rFonts w:hint="cs"/>
          <w:spacing w:val="-4"/>
          <w:kern w:val="0"/>
          <w:sz w:val="18"/>
          <w:szCs w:val="26"/>
          <w:rtl/>
        </w:rPr>
        <w:t>ات</w:t>
      </w:r>
      <w:r w:rsidRPr="00DE469F">
        <w:rPr>
          <w:spacing w:val="-4"/>
          <w:kern w:val="0"/>
          <w:sz w:val="18"/>
          <w:szCs w:val="26"/>
          <w:rtl/>
        </w:rPr>
        <w:t xml:space="preserve"> الدولة الطرف، سحبت اللجنة طلبها </w:t>
      </w:r>
      <w:r w:rsidRPr="00DE469F">
        <w:rPr>
          <w:rFonts w:hint="cs"/>
          <w:spacing w:val="-4"/>
          <w:kern w:val="0"/>
          <w:sz w:val="18"/>
          <w:szCs w:val="26"/>
          <w:rtl/>
        </w:rPr>
        <w:t>بشأن</w:t>
      </w:r>
      <w:r w:rsidRPr="00DE469F">
        <w:rPr>
          <w:spacing w:val="-4"/>
          <w:kern w:val="0"/>
          <w:sz w:val="18"/>
          <w:szCs w:val="26"/>
          <w:rtl/>
        </w:rPr>
        <w:t xml:space="preserve"> التدابير المؤقتة</w:t>
      </w:r>
      <w:r w:rsidRPr="00DE469F">
        <w:rPr>
          <w:rFonts w:hint="cs"/>
          <w:spacing w:val="-4"/>
          <w:kern w:val="0"/>
          <w:sz w:val="18"/>
          <w:szCs w:val="26"/>
          <w:rtl/>
        </w:rPr>
        <w:t xml:space="preserve"> في</w:t>
      </w:r>
      <w:r w:rsidRPr="00DE469F">
        <w:rPr>
          <w:spacing w:val="-4"/>
          <w:kern w:val="0"/>
          <w:sz w:val="18"/>
          <w:szCs w:val="26"/>
          <w:rtl/>
        </w:rPr>
        <w:t xml:space="preserve"> 28 </w:t>
      </w:r>
      <w:r w:rsidRPr="00DE469F">
        <w:rPr>
          <w:rFonts w:hint="cs"/>
          <w:spacing w:val="-4"/>
          <w:kern w:val="0"/>
          <w:sz w:val="18"/>
          <w:szCs w:val="26"/>
          <w:rtl/>
        </w:rPr>
        <w:t>كانون الأول/</w:t>
      </w:r>
      <w:r w:rsidRPr="00DE469F">
        <w:rPr>
          <w:spacing w:val="-4"/>
          <w:kern w:val="0"/>
          <w:sz w:val="18"/>
          <w:szCs w:val="26"/>
          <w:rtl/>
        </w:rPr>
        <w:t>ديسمبر 2009.</w:t>
      </w:r>
    </w:p>
  </w:footnote>
  <w:footnote w:id="240">
    <w:p w:rsidR="00D64D4C" w:rsidRPr="00DE469F" w:rsidRDefault="00D64D4C" w:rsidP="00D3490C">
      <w:pPr>
        <w:pStyle w:val="FootnoteText"/>
        <w:tabs>
          <w:tab w:val="left" w:pos="1253"/>
        </w:tabs>
        <w:spacing w:after="60" w:line="300" w:lineRule="exact"/>
        <w:ind w:left="1239" w:right="1247" w:hanging="504"/>
        <w:jc w:val="lowKashida"/>
        <w:rPr>
          <w:rFonts w:hint="cs"/>
          <w:spacing w:val="0"/>
          <w:kern w:val="0"/>
          <w:sz w:val="18"/>
        </w:rPr>
      </w:pPr>
      <w:r w:rsidRPr="00DE469F">
        <w:rPr>
          <w:rFonts w:hint="cs"/>
          <w:spacing w:val="0"/>
          <w:kern w:val="0"/>
          <w:sz w:val="18"/>
          <w:szCs w:val="26"/>
          <w:rtl/>
        </w:rPr>
        <w:t>(</w:t>
      </w:r>
      <w:r w:rsidRPr="00DE469F">
        <w:rPr>
          <w:rFonts w:hint="cs"/>
          <w:spacing w:val="0"/>
          <w:kern w:val="0"/>
          <w:sz w:val="26"/>
          <w:szCs w:val="26"/>
          <w:rtl/>
        </w:rPr>
        <w:t>س</w:t>
      </w:r>
      <w:r w:rsidRPr="00DE469F">
        <w:rPr>
          <w:rFonts w:hint="cs"/>
          <w:spacing w:val="0"/>
          <w:kern w:val="0"/>
          <w:sz w:val="18"/>
          <w:szCs w:val="26"/>
          <w:rtl/>
        </w:rPr>
        <w:t>)</w:t>
      </w:r>
      <w:r w:rsidRPr="00DE469F">
        <w:rPr>
          <w:rFonts w:hint="cs"/>
          <w:spacing w:val="0"/>
          <w:kern w:val="0"/>
          <w:sz w:val="18"/>
          <w:szCs w:val="26"/>
          <w:rtl/>
        </w:rPr>
        <w:tab/>
        <w:t>قدم صاحب الشكوى</w:t>
      </w:r>
      <w:r w:rsidRPr="00DE469F">
        <w:rPr>
          <w:spacing w:val="0"/>
          <w:kern w:val="0"/>
          <w:sz w:val="18"/>
          <w:szCs w:val="26"/>
          <w:rtl/>
        </w:rPr>
        <w:t xml:space="preserve"> من خلال محاميه </w:t>
      </w:r>
      <w:r w:rsidRPr="00DE469F">
        <w:rPr>
          <w:rFonts w:hint="cs"/>
          <w:spacing w:val="0"/>
          <w:kern w:val="0"/>
          <w:sz w:val="18"/>
          <w:szCs w:val="26"/>
          <w:rtl/>
        </w:rPr>
        <w:t>ال</w:t>
      </w:r>
      <w:r w:rsidRPr="00DE469F">
        <w:rPr>
          <w:spacing w:val="0"/>
          <w:kern w:val="0"/>
          <w:sz w:val="18"/>
          <w:szCs w:val="26"/>
          <w:rtl/>
        </w:rPr>
        <w:t xml:space="preserve">مزيد من المعلومات </w:t>
      </w:r>
      <w:r w:rsidRPr="00DE469F">
        <w:rPr>
          <w:rFonts w:hint="cs"/>
          <w:spacing w:val="0"/>
          <w:kern w:val="0"/>
          <w:sz w:val="18"/>
          <w:szCs w:val="26"/>
          <w:rtl/>
        </w:rPr>
        <w:t xml:space="preserve">عن </w:t>
      </w:r>
      <w:r w:rsidRPr="00DE469F">
        <w:rPr>
          <w:spacing w:val="0"/>
          <w:kern w:val="0"/>
          <w:sz w:val="18"/>
          <w:szCs w:val="26"/>
          <w:rtl/>
        </w:rPr>
        <w:t xml:space="preserve">هذه المسألة إلى اللجنة. </w:t>
      </w:r>
      <w:r w:rsidRPr="00DE469F">
        <w:rPr>
          <w:rFonts w:hint="cs"/>
          <w:spacing w:val="0"/>
          <w:kern w:val="0"/>
          <w:sz w:val="18"/>
          <w:szCs w:val="26"/>
          <w:rtl/>
        </w:rPr>
        <w:t>و</w:t>
      </w:r>
      <w:r w:rsidRPr="00DE469F">
        <w:rPr>
          <w:spacing w:val="0"/>
          <w:kern w:val="0"/>
          <w:sz w:val="18"/>
          <w:szCs w:val="26"/>
          <w:rtl/>
        </w:rPr>
        <w:t xml:space="preserve">قدمت الأمانة </w:t>
      </w:r>
      <w:r w:rsidRPr="00DE469F">
        <w:rPr>
          <w:rFonts w:hint="cs"/>
          <w:spacing w:val="0"/>
          <w:kern w:val="0"/>
          <w:sz w:val="18"/>
          <w:szCs w:val="26"/>
          <w:rtl/>
        </w:rPr>
        <w:t>في</w:t>
      </w:r>
      <w:r>
        <w:rPr>
          <w:rFonts w:hint="cs"/>
          <w:spacing w:val="0"/>
          <w:kern w:val="0"/>
          <w:sz w:val="18"/>
          <w:szCs w:val="26"/>
          <w:rtl/>
        </w:rPr>
        <w:t> </w:t>
      </w:r>
      <w:r w:rsidRPr="00DE469F">
        <w:rPr>
          <w:spacing w:val="0"/>
          <w:kern w:val="0"/>
          <w:sz w:val="18"/>
          <w:szCs w:val="26"/>
          <w:rtl/>
        </w:rPr>
        <w:t xml:space="preserve">27 </w:t>
      </w:r>
      <w:r w:rsidRPr="00DE469F">
        <w:rPr>
          <w:rFonts w:hint="cs"/>
          <w:spacing w:val="0"/>
          <w:kern w:val="0"/>
          <w:sz w:val="18"/>
          <w:szCs w:val="26"/>
          <w:rtl/>
        </w:rPr>
        <w:t>شباط/</w:t>
      </w:r>
      <w:r w:rsidRPr="00DE469F">
        <w:rPr>
          <w:spacing w:val="0"/>
          <w:kern w:val="0"/>
          <w:sz w:val="18"/>
          <w:szCs w:val="26"/>
          <w:rtl/>
        </w:rPr>
        <w:t>فبراير 2012 طلبا</w:t>
      </w:r>
      <w:r w:rsidRPr="00DE469F">
        <w:rPr>
          <w:rFonts w:hint="cs"/>
          <w:spacing w:val="0"/>
          <w:kern w:val="0"/>
          <w:sz w:val="18"/>
          <w:szCs w:val="26"/>
          <w:rtl/>
        </w:rPr>
        <w:t>ً</w:t>
      </w:r>
      <w:r w:rsidRPr="00DE469F">
        <w:rPr>
          <w:spacing w:val="0"/>
          <w:kern w:val="0"/>
          <w:sz w:val="18"/>
          <w:szCs w:val="26"/>
          <w:rtl/>
        </w:rPr>
        <w:t xml:space="preserve"> لتحديث </w:t>
      </w:r>
      <w:r w:rsidRPr="00DE469F">
        <w:rPr>
          <w:rFonts w:hint="cs"/>
          <w:spacing w:val="0"/>
          <w:kern w:val="0"/>
          <w:sz w:val="18"/>
          <w:szCs w:val="26"/>
          <w:rtl/>
        </w:rPr>
        <w:t>المعلومات المتعلقة ب</w:t>
      </w:r>
      <w:r w:rsidRPr="00DE469F">
        <w:rPr>
          <w:spacing w:val="0"/>
          <w:kern w:val="0"/>
          <w:sz w:val="18"/>
          <w:szCs w:val="26"/>
          <w:rtl/>
        </w:rPr>
        <w:t xml:space="preserve">حالة </w:t>
      </w:r>
      <w:r w:rsidRPr="00DE469F">
        <w:rPr>
          <w:rFonts w:hint="cs"/>
          <w:spacing w:val="0"/>
          <w:kern w:val="0"/>
          <w:sz w:val="18"/>
          <w:szCs w:val="26"/>
          <w:rtl/>
        </w:rPr>
        <w:t>صاحب الشكوى</w:t>
      </w:r>
      <w:r w:rsidRPr="00DE469F">
        <w:rPr>
          <w:spacing w:val="0"/>
          <w:kern w:val="0"/>
          <w:sz w:val="18"/>
          <w:szCs w:val="26"/>
          <w:rtl/>
        </w:rPr>
        <w:t xml:space="preserve">. وفي اليوم نفسه، </w:t>
      </w:r>
      <w:r w:rsidRPr="00DE469F">
        <w:rPr>
          <w:rFonts w:hint="cs"/>
          <w:spacing w:val="0"/>
          <w:kern w:val="0"/>
          <w:sz w:val="18"/>
          <w:szCs w:val="26"/>
          <w:rtl/>
        </w:rPr>
        <w:t xml:space="preserve">أكد </w:t>
      </w:r>
      <w:r w:rsidRPr="00DE469F">
        <w:rPr>
          <w:spacing w:val="0"/>
          <w:kern w:val="0"/>
          <w:sz w:val="18"/>
          <w:szCs w:val="26"/>
          <w:rtl/>
        </w:rPr>
        <w:t xml:space="preserve">محامي </w:t>
      </w:r>
      <w:r w:rsidRPr="00DE469F">
        <w:rPr>
          <w:rFonts w:hint="cs"/>
          <w:spacing w:val="0"/>
          <w:kern w:val="0"/>
          <w:sz w:val="18"/>
          <w:szCs w:val="26"/>
          <w:rtl/>
        </w:rPr>
        <w:t>صاحب الشكوى</w:t>
      </w:r>
      <w:r w:rsidRPr="00DE469F">
        <w:rPr>
          <w:spacing w:val="0"/>
          <w:kern w:val="0"/>
          <w:sz w:val="18"/>
          <w:szCs w:val="26"/>
          <w:rtl/>
        </w:rPr>
        <w:t xml:space="preserve"> في اتصال هاتفي أن </w:t>
      </w:r>
      <w:r w:rsidRPr="00DE469F">
        <w:rPr>
          <w:rFonts w:hint="cs"/>
          <w:spacing w:val="0"/>
          <w:kern w:val="0"/>
          <w:sz w:val="18"/>
          <w:szCs w:val="26"/>
          <w:rtl/>
        </w:rPr>
        <w:t>صاحب الشكوى</w:t>
      </w:r>
      <w:r w:rsidRPr="00DE469F">
        <w:rPr>
          <w:spacing w:val="0"/>
          <w:kern w:val="0"/>
          <w:sz w:val="18"/>
          <w:szCs w:val="26"/>
          <w:rtl/>
        </w:rPr>
        <w:t xml:space="preserve"> لم يعد </w:t>
      </w:r>
      <w:r w:rsidRPr="00DE469F">
        <w:rPr>
          <w:rFonts w:hint="cs"/>
          <w:spacing w:val="0"/>
          <w:kern w:val="0"/>
          <w:sz w:val="18"/>
          <w:szCs w:val="26"/>
          <w:rtl/>
        </w:rPr>
        <w:t>يتصل بمحاميه</w:t>
      </w:r>
      <w:r w:rsidRPr="00DE469F">
        <w:rPr>
          <w:spacing w:val="0"/>
          <w:kern w:val="0"/>
          <w:sz w:val="18"/>
          <w:szCs w:val="26"/>
          <w:rtl/>
        </w:rPr>
        <w:t xml:space="preserve"> منذ ذلك </w:t>
      </w:r>
      <w:r w:rsidRPr="00DE469F">
        <w:rPr>
          <w:rFonts w:hint="cs"/>
          <w:spacing w:val="0"/>
          <w:kern w:val="0"/>
          <w:sz w:val="18"/>
          <w:szCs w:val="26"/>
          <w:rtl/>
        </w:rPr>
        <w:t>التاريخ</w:t>
      </w:r>
      <w:r w:rsidRPr="00DE469F">
        <w:rPr>
          <w:spacing w:val="0"/>
          <w:kern w:val="0"/>
          <w:sz w:val="18"/>
          <w:szCs w:val="26"/>
          <w:rtl/>
        </w:rPr>
        <w:t>.</w:t>
      </w:r>
    </w:p>
  </w:footnote>
  <w:footnote w:id="241">
    <w:p w:rsidR="00D64D4C" w:rsidRPr="00DE469F" w:rsidRDefault="00D64D4C" w:rsidP="00DE469F">
      <w:pPr>
        <w:pStyle w:val="FootnoteText"/>
        <w:tabs>
          <w:tab w:val="left" w:pos="1253"/>
        </w:tabs>
        <w:spacing w:after="60" w:line="300" w:lineRule="exact"/>
        <w:ind w:left="1239" w:right="1247" w:hanging="490"/>
        <w:jc w:val="lowKashida"/>
        <w:rPr>
          <w:rFonts w:hint="cs"/>
          <w:spacing w:val="0"/>
          <w:kern w:val="0"/>
          <w:sz w:val="18"/>
        </w:rPr>
      </w:pPr>
      <w:r w:rsidRPr="00DE469F">
        <w:rPr>
          <w:rFonts w:hint="cs"/>
          <w:spacing w:val="0"/>
          <w:kern w:val="0"/>
          <w:sz w:val="18"/>
          <w:szCs w:val="26"/>
          <w:rtl/>
        </w:rPr>
        <w:t>(</w:t>
      </w:r>
      <w:r w:rsidRPr="00DE469F">
        <w:rPr>
          <w:rFonts w:hint="cs"/>
          <w:spacing w:val="0"/>
          <w:kern w:val="0"/>
          <w:sz w:val="26"/>
          <w:szCs w:val="26"/>
          <w:rtl/>
        </w:rPr>
        <w:t>ع</w:t>
      </w:r>
      <w:r w:rsidRPr="00DE469F">
        <w:rPr>
          <w:rFonts w:hint="cs"/>
          <w:spacing w:val="0"/>
          <w:kern w:val="0"/>
          <w:sz w:val="18"/>
          <w:szCs w:val="26"/>
          <w:rtl/>
        </w:rPr>
        <w:t>)</w:t>
      </w:r>
      <w:r w:rsidRPr="00DE469F">
        <w:rPr>
          <w:rFonts w:hint="cs"/>
          <w:spacing w:val="0"/>
          <w:kern w:val="0"/>
          <w:sz w:val="18"/>
          <w:szCs w:val="26"/>
          <w:rtl/>
        </w:rPr>
        <w:tab/>
        <w:t xml:space="preserve">الملاحظات الختامية، كندا، </w:t>
      </w:r>
      <w:r w:rsidRPr="00DE469F">
        <w:rPr>
          <w:spacing w:val="0"/>
          <w:kern w:val="0"/>
          <w:sz w:val="18"/>
          <w:szCs w:val="26"/>
        </w:rPr>
        <w:t>CAT/C/CR/34/CAN</w:t>
      </w:r>
      <w:r w:rsidRPr="00DE469F">
        <w:rPr>
          <w:rFonts w:hint="cs"/>
          <w:spacing w:val="0"/>
          <w:kern w:val="0"/>
          <w:sz w:val="18"/>
          <w:szCs w:val="26"/>
          <w:rtl/>
        </w:rPr>
        <w:t>، الفقرتان 4(د) و5(ب).</w:t>
      </w:r>
    </w:p>
  </w:footnote>
  <w:footnote w:id="242">
    <w:p w:rsidR="00D64D4C" w:rsidRPr="00DE469F" w:rsidRDefault="00D64D4C" w:rsidP="00DE469F">
      <w:pPr>
        <w:pStyle w:val="FootnoteText"/>
        <w:tabs>
          <w:tab w:val="left" w:pos="1253"/>
        </w:tabs>
        <w:spacing w:after="60" w:line="300" w:lineRule="exact"/>
        <w:ind w:left="1239" w:right="1247" w:hanging="490"/>
        <w:jc w:val="lowKashida"/>
        <w:rPr>
          <w:spacing w:val="0"/>
          <w:kern w:val="0"/>
          <w:sz w:val="18"/>
          <w:szCs w:val="26"/>
        </w:rPr>
      </w:pPr>
      <w:r w:rsidRPr="00DE469F">
        <w:rPr>
          <w:rFonts w:hint="cs"/>
          <w:spacing w:val="0"/>
          <w:kern w:val="0"/>
          <w:sz w:val="18"/>
          <w:szCs w:val="26"/>
          <w:rtl/>
        </w:rPr>
        <w:t>(</w:t>
      </w:r>
      <w:r w:rsidRPr="00DE469F">
        <w:rPr>
          <w:rFonts w:hint="cs"/>
          <w:spacing w:val="0"/>
          <w:kern w:val="0"/>
          <w:sz w:val="26"/>
          <w:szCs w:val="26"/>
          <w:rtl/>
        </w:rPr>
        <w:t>ف</w:t>
      </w:r>
      <w:r w:rsidRPr="00DE469F">
        <w:rPr>
          <w:rFonts w:hint="cs"/>
          <w:spacing w:val="0"/>
          <w:kern w:val="0"/>
          <w:sz w:val="18"/>
          <w:szCs w:val="26"/>
          <w:rtl/>
        </w:rPr>
        <w:t>)</w:t>
      </w:r>
      <w:r w:rsidRPr="00DE469F">
        <w:rPr>
          <w:rFonts w:hint="cs"/>
          <w:spacing w:val="0"/>
          <w:kern w:val="0"/>
          <w:sz w:val="18"/>
          <w:szCs w:val="26"/>
          <w:rtl/>
        </w:rPr>
        <w:tab/>
      </w:r>
      <w:r w:rsidRPr="00DE469F">
        <w:rPr>
          <w:spacing w:val="0"/>
          <w:kern w:val="0"/>
          <w:sz w:val="18"/>
          <w:szCs w:val="26"/>
          <w:rtl/>
        </w:rPr>
        <w:t xml:space="preserve">البلاغ رقم </w:t>
      </w:r>
      <w:r w:rsidRPr="00DE469F">
        <w:rPr>
          <w:rFonts w:hint="cs"/>
          <w:spacing w:val="0"/>
          <w:kern w:val="0"/>
          <w:sz w:val="18"/>
          <w:szCs w:val="26"/>
          <w:rtl/>
        </w:rPr>
        <w:t>282</w:t>
      </w:r>
      <w:r w:rsidRPr="00DE469F">
        <w:rPr>
          <w:spacing w:val="0"/>
          <w:kern w:val="0"/>
          <w:sz w:val="18"/>
          <w:szCs w:val="26"/>
          <w:rtl/>
        </w:rPr>
        <w:t>/</w:t>
      </w:r>
      <w:r w:rsidRPr="00DE469F">
        <w:rPr>
          <w:rFonts w:hint="cs"/>
          <w:spacing w:val="0"/>
          <w:kern w:val="0"/>
          <w:sz w:val="18"/>
          <w:szCs w:val="26"/>
          <w:rtl/>
        </w:rPr>
        <w:t>2005</w:t>
      </w:r>
      <w:r w:rsidRPr="00DE469F">
        <w:rPr>
          <w:spacing w:val="0"/>
          <w:kern w:val="0"/>
          <w:sz w:val="18"/>
          <w:szCs w:val="26"/>
          <w:rtl/>
        </w:rPr>
        <w:t xml:space="preserve">، </w:t>
      </w:r>
      <w:r w:rsidRPr="00DE469F">
        <w:rPr>
          <w:rFonts w:hint="cs"/>
          <w:i/>
          <w:iCs/>
          <w:spacing w:val="0"/>
          <w:kern w:val="0"/>
          <w:sz w:val="18"/>
          <w:szCs w:val="26"/>
          <w:rtl/>
        </w:rPr>
        <w:t>س</w:t>
      </w:r>
      <w:r w:rsidRPr="00DE469F">
        <w:rPr>
          <w:i/>
          <w:iCs/>
          <w:spacing w:val="0"/>
          <w:kern w:val="0"/>
          <w:sz w:val="18"/>
          <w:szCs w:val="26"/>
          <w:rtl/>
        </w:rPr>
        <w:t>.</w:t>
      </w:r>
      <w:r w:rsidRPr="00DE469F">
        <w:rPr>
          <w:rFonts w:hint="cs"/>
          <w:i/>
          <w:iCs/>
          <w:spacing w:val="0"/>
          <w:kern w:val="0"/>
          <w:sz w:val="18"/>
          <w:szCs w:val="26"/>
          <w:rtl/>
        </w:rPr>
        <w:t xml:space="preserve"> ب</w:t>
      </w:r>
      <w:r w:rsidRPr="00DE469F">
        <w:rPr>
          <w:i/>
          <w:iCs/>
          <w:spacing w:val="0"/>
          <w:kern w:val="0"/>
          <w:sz w:val="18"/>
          <w:szCs w:val="26"/>
          <w:rtl/>
        </w:rPr>
        <w:t>.</w:t>
      </w:r>
      <w:r w:rsidRPr="00DE469F">
        <w:rPr>
          <w:rFonts w:hint="cs"/>
          <w:i/>
          <w:iCs/>
          <w:spacing w:val="0"/>
          <w:kern w:val="0"/>
          <w:sz w:val="18"/>
          <w:szCs w:val="26"/>
          <w:rtl/>
        </w:rPr>
        <w:t xml:space="preserve"> أ.</w:t>
      </w:r>
      <w:r w:rsidRPr="00DE469F">
        <w:rPr>
          <w:i/>
          <w:iCs/>
          <w:spacing w:val="0"/>
          <w:kern w:val="0"/>
          <w:sz w:val="18"/>
          <w:szCs w:val="26"/>
          <w:rtl/>
        </w:rPr>
        <w:t xml:space="preserve"> ضد </w:t>
      </w:r>
      <w:r w:rsidRPr="00DE469F">
        <w:rPr>
          <w:rFonts w:hint="cs"/>
          <w:i/>
          <w:iCs/>
          <w:spacing w:val="0"/>
          <w:kern w:val="0"/>
          <w:sz w:val="18"/>
          <w:szCs w:val="26"/>
          <w:rtl/>
        </w:rPr>
        <w:t>كندا</w:t>
      </w:r>
      <w:r w:rsidRPr="00DE469F">
        <w:rPr>
          <w:i/>
          <w:iCs/>
          <w:spacing w:val="0"/>
          <w:kern w:val="0"/>
          <w:sz w:val="18"/>
          <w:szCs w:val="26"/>
          <w:rtl/>
        </w:rPr>
        <w:t>،</w:t>
      </w:r>
      <w:r w:rsidRPr="00DE469F">
        <w:rPr>
          <w:spacing w:val="0"/>
          <w:kern w:val="0"/>
          <w:sz w:val="18"/>
          <w:szCs w:val="26"/>
          <w:rtl/>
        </w:rPr>
        <w:t xml:space="preserve"> القرار المعتمد</w:t>
      </w:r>
      <w:r w:rsidRPr="00DE469F">
        <w:rPr>
          <w:rFonts w:hint="cs"/>
          <w:spacing w:val="0"/>
          <w:kern w:val="0"/>
          <w:sz w:val="18"/>
          <w:szCs w:val="26"/>
          <w:rtl/>
        </w:rPr>
        <w:t xml:space="preserve"> </w:t>
      </w:r>
      <w:r w:rsidRPr="00DE469F">
        <w:rPr>
          <w:spacing w:val="0"/>
          <w:kern w:val="0"/>
          <w:sz w:val="18"/>
          <w:szCs w:val="26"/>
          <w:rtl/>
        </w:rPr>
        <w:t xml:space="preserve">في </w:t>
      </w:r>
      <w:r w:rsidRPr="00DE469F">
        <w:rPr>
          <w:rFonts w:hint="cs"/>
          <w:spacing w:val="0"/>
          <w:kern w:val="0"/>
          <w:sz w:val="18"/>
          <w:szCs w:val="26"/>
          <w:rtl/>
        </w:rPr>
        <w:t>7</w:t>
      </w:r>
      <w:r w:rsidRPr="00DE469F">
        <w:rPr>
          <w:spacing w:val="0"/>
          <w:kern w:val="0"/>
          <w:sz w:val="18"/>
          <w:szCs w:val="26"/>
          <w:rtl/>
        </w:rPr>
        <w:t xml:space="preserve"> تشرين الثاني/نوفمبر </w:t>
      </w:r>
      <w:r w:rsidRPr="00DE469F">
        <w:rPr>
          <w:rFonts w:hint="cs"/>
          <w:spacing w:val="0"/>
          <w:kern w:val="0"/>
          <w:sz w:val="18"/>
          <w:szCs w:val="26"/>
          <w:rtl/>
        </w:rPr>
        <w:t xml:space="preserve">2006؛ وانظر أيضاً </w:t>
      </w:r>
      <w:r w:rsidRPr="00DE469F">
        <w:rPr>
          <w:spacing w:val="0"/>
          <w:kern w:val="0"/>
          <w:sz w:val="18"/>
          <w:szCs w:val="26"/>
          <w:rtl/>
        </w:rPr>
        <w:t xml:space="preserve">البلاغ رقم </w:t>
      </w:r>
      <w:r w:rsidRPr="00DE469F">
        <w:rPr>
          <w:rFonts w:hint="cs"/>
          <w:spacing w:val="0"/>
          <w:kern w:val="0"/>
          <w:sz w:val="18"/>
          <w:szCs w:val="26"/>
          <w:rtl/>
        </w:rPr>
        <w:t>333</w:t>
      </w:r>
      <w:r w:rsidRPr="00DE469F">
        <w:rPr>
          <w:spacing w:val="0"/>
          <w:kern w:val="0"/>
          <w:sz w:val="18"/>
          <w:szCs w:val="26"/>
          <w:rtl/>
        </w:rPr>
        <w:t>/</w:t>
      </w:r>
      <w:r w:rsidRPr="00DE469F">
        <w:rPr>
          <w:rFonts w:hint="cs"/>
          <w:spacing w:val="0"/>
          <w:kern w:val="0"/>
          <w:sz w:val="18"/>
          <w:szCs w:val="26"/>
          <w:rtl/>
        </w:rPr>
        <w:t>2007</w:t>
      </w:r>
      <w:r w:rsidRPr="00DE469F">
        <w:rPr>
          <w:spacing w:val="0"/>
          <w:kern w:val="0"/>
          <w:sz w:val="18"/>
          <w:szCs w:val="26"/>
          <w:rtl/>
        </w:rPr>
        <w:t xml:space="preserve">، </w:t>
      </w:r>
      <w:r w:rsidRPr="00DE469F">
        <w:rPr>
          <w:rFonts w:hint="cs"/>
          <w:i/>
          <w:iCs/>
          <w:spacing w:val="0"/>
          <w:kern w:val="0"/>
          <w:sz w:val="18"/>
          <w:szCs w:val="26"/>
          <w:rtl/>
        </w:rPr>
        <w:t>ت. أ.</w:t>
      </w:r>
      <w:r w:rsidRPr="00DE469F">
        <w:rPr>
          <w:i/>
          <w:iCs/>
          <w:spacing w:val="0"/>
          <w:kern w:val="0"/>
          <w:sz w:val="18"/>
          <w:szCs w:val="26"/>
          <w:rtl/>
        </w:rPr>
        <w:t xml:space="preserve"> ضد </w:t>
      </w:r>
      <w:r w:rsidRPr="00DE469F">
        <w:rPr>
          <w:rFonts w:hint="cs"/>
          <w:i/>
          <w:iCs/>
          <w:spacing w:val="0"/>
          <w:kern w:val="0"/>
          <w:sz w:val="18"/>
          <w:szCs w:val="26"/>
          <w:rtl/>
        </w:rPr>
        <w:t>كندا</w:t>
      </w:r>
      <w:r w:rsidRPr="00DE469F">
        <w:rPr>
          <w:i/>
          <w:iCs/>
          <w:spacing w:val="0"/>
          <w:kern w:val="0"/>
          <w:sz w:val="18"/>
          <w:szCs w:val="26"/>
          <w:rtl/>
        </w:rPr>
        <w:t>،</w:t>
      </w:r>
      <w:r w:rsidRPr="00DE469F">
        <w:rPr>
          <w:spacing w:val="0"/>
          <w:kern w:val="0"/>
          <w:sz w:val="18"/>
          <w:szCs w:val="26"/>
          <w:rtl/>
        </w:rPr>
        <w:t xml:space="preserve"> القرار المعتمد في </w:t>
      </w:r>
      <w:r w:rsidRPr="00DE469F">
        <w:rPr>
          <w:rFonts w:hint="cs"/>
          <w:spacing w:val="0"/>
          <w:kern w:val="0"/>
          <w:sz w:val="18"/>
          <w:szCs w:val="26"/>
          <w:rtl/>
        </w:rPr>
        <w:t>15</w:t>
      </w:r>
      <w:r w:rsidRPr="00DE469F">
        <w:rPr>
          <w:spacing w:val="0"/>
          <w:kern w:val="0"/>
          <w:sz w:val="18"/>
          <w:szCs w:val="26"/>
          <w:rtl/>
        </w:rPr>
        <w:t xml:space="preserve"> تشرين الثاني/نوفمبر</w:t>
      </w:r>
      <w:r w:rsidRPr="00DE469F">
        <w:rPr>
          <w:rFonts w:hint="cs"/>
          <w:spacing w:val="0"/>
          <w:kern w:val="0"/>
          <w:sz w:val="18"/>
          <w:szCs w:val="26"/>
          <w:rtl/>
        </w:rPr>
        <w:t xml:space="preserve"> 2010؛ والبلاغ رقم 344/2008، </w:t>
      </w:r>
      <w:r w:rsidRPr="00DE469F">
        <w:rPr>
          <w:rFonts w:hint="cs"/>
          <w:i/>
          <w:iCs/>
          <w:spacing w:val="0"/>
          <w:kern w:val="0"/>
          <w:sz w:val="18"/>
          <w:szCs w:val="26"/>
          <w:rtl/>
        </w:rPr>
        <w:t>أ. م. أ. ضد سويسرا،</w:t>
      </w:r>
      <w:r w:rsidRPr="00DE469F">
        <w:rPr>
          <w:rFonts w:hint="cs"/>
          <w:spacing w:val="0"/>
          <w:kern w:val="0"/>
          <w:sz w:val="18"/>
          <w:szCs w:val="26"/>
          <w:rtl/>
        </w:rPr>
        <w:t xml:space="preserve"> </w:t>
      </w:r>
      <w:r w:rsidRPr="00DE469F">
        <w:rPr>
          <w:spacing w:val="0"/>
          <w:kern w:val="0"/>
          <w:sz w:val="18"/>
          <w:szCs w:val="26"/>
          <w:rtl/>
        </w:rPr>
        <w:t xml:space="preserve">القرار المعتمد في </w:t>
      </w:r>
      <w:r w:rsidRPr="00DE469F">
        <w:rPr>
          <w:rFonts w:hint="cs"/>
          <w:spacing w:val="0"/>
          <w:kern w:val="0"/>
          <w:sz w:val="18"/>
          <w:szCs w:val="26"/>
          <w:rtl/>
        </w:rPr>
        <w:t>12</w:t>
      </w:r>
      <w:r w:rsidRPr="00DE469F">
        <w:rPr>
          <w:spacing w:val="0"/>
          <w:kern w:val="0"/>
          <w:sz w:val="18"/>
          <w:szCs w:val="26"/>
          <w:rtl/>
        </w:rPr>
        <w:t xml:space="preserve"> تشرين الثاني/نوفمبر</w:t>
      </w:r>
      <w:r w:rsidRPr="00DE469F">
        <w:rPr>
          <w:rFonts w:hint="cs"/>
          <w:spacing w:val="0"/>
          <w:kern w:val="0"/>
          <w:sz w:val="18"/>
          <w:szCs w:val="26"/>
          <w:rtl/>
        </w:rPr>
        <w:t xml:space="preserve"> 2010.</w:t>
      </w:r>
    </w:p>
  </w:footnote>
  <w:footnote w:id="243">
    <w:p w:rsidR="00D64D4C" w:rsidRPr="00DE469F" w:rsidRDefault="00D64D4C" w:rsidP="00DE469F">
      <w:pPr>
        <w:pStyle w:val="FootnoteText"/>
        <w:tabs>
          <w:tab w:val="left" w:pos="1253"/>
        </w:tabs>
        <w:spacing w:after="60" w:line="300" w:lineRule="exact"/>
        <w:ind w:left="1253" w:right="1247" w:hanging="504"/>
        <w:jc w:val="lowKashida"/>
        <w:rPr>
          <w:spacing w:val="0"/>
          <w:kern w:val="0"/>
          <w:sz w:val="18"/>
          <w:szCs w:val="26"/>
        </w:rPr>
      </w:pPr>
      <w:r w:rsidRPr="00DE469F">
        <w:rPr>
          <w:rFonts w:hint="cs"/>
          <w:spacing w:val="0"/>
          <w:kern w:val="0"/>
          <w:sz w:val="18"/>
          <w:szCs w:val="26"/>
          <w:rtl/>
        </w:rPr>
        <w:t>(</w:t>
      </w:r>
      <w:r w:rsidRPr="00DE469F">
        <w:rPr>
          <w:rFonts w:hint="cs"/>
          <w:spacing w:val="0"/>
          <w:kern w:val="0"/>
          <w:sz w:val="26"/>
          <w:szCs w:val="26"/>
          <w:rtl/>
        </w:rPr>
        <w:t>ص</w:t>
      </w:r>
      <w:r w:rsidRPr="00DE469F">
        <w:rPr>
          <w:rFonts w:hint="cs"/>
          <w:spacing w:val="0"/>
          <w:kern w:val="0"/>
          <w:sz w:val="18"/>
          <w:szCs w:val="26"/>
          <w:rtl/>
        </w:rPr>
        <w:t>)</w:t>
      </w:r>
      <w:r w:rsidRPr="00DE469F">
        <w:rPr>
          <w:rFonts w:hint="cs"/>
          <w:spacing w:val="0"/>
          <w:kern w:val="0"/>
          <w:sz w:val="18"/>
          <w:szCs w:val="26"/>
          <w:rtl/>
        </w:rPr>
        <w:tab/>
      </w:r>
      <w:r w:rsidRPr="00DE469F">
        <w:rPr>
          <w:spacing w:val="0"/>
          <w:kern w:val="0"/>
          <w:sz w:val="18"/>
          <w:szCs w:val="26"/>
          <w:rtl/>
        </w:rPr>
        <w:t xml:space="preserve">البلاغ رقم 203/2002، </w:t>
      </w:r>
      <w:r w:rsidRPr="00DE469F">
        <w:rPr>
          <w:i/>
          <w:iCs/>
          <w:spacing w:val="0"/>
          <w:kern w:val="0"/>
          <w:sz w:val="18"/>
          <w:szCs w:val="26"/>
          <w:rtl/>
        </w:rPr>
        <w:t>أ. ر. ضد هولندا،</w:t>
      </w:r>
      <w:r w:rsidRPr="00DE469F">
        <w:rPr>
          <w:spacing w:val="0"/>
          <w:kern w:val="0"/>
          <w:sz w:val="18"/>
          <w:szCs w:val="26"/>
          <w:rtl/>
        </w:rPr>
        <w:t xml:space="preserve"> القرار المعتمد</w:t>
      </w:r>
      <w:r w:rsidRPr="00DE469F">
        <w:rPr>
          <w:rFonts w:hint="cs"/>
          <w:spacing w:val="0"/>
          <w:kern w:val="0"/>
          <w:sz w:val="18"/>
          <w:szCs w:val="26"/>
          <w:rtl/>
        </w:rPr>
        <w:t xml:space="preserve"> </w:t>
      </w:r>
      <w:r w:rsidRPr="00DE469F">
        <w:rPr>
          <w:spacing w:val="0"/>
          <w:kern w:val="0"/>
          <w:sz w:val="18"/>
          <w:szCs w:val="26"/>
          <w:rtl/>
        </w:rPr>
        <w:t xml:space="preserve">في </w:t>
      </w:r>
      <w:r w:rsidRPr="00DE469F">
        <w:rPr>
          <w:rFonts w:hint="cs"/>
          <w:spacing w:val="0"/>
          <w:kern w:val="0"/>
          <w:sz w:val="18"/>
          <w:szCs w:val="26"/>
          <w:rtl/>
        </w:rPr>
        <w:t>14</w:t>
      </w:r>
      <w:r w:rsidRPr="00DE469F">
        <w:rPr>
          <w:spacing w:val="0"/>
          <w:kern w:val="0"/>
          <w:sz w:val="18"/>
          <w:szCs w:val="26"/>
          <w:rtl/>
        </w:rPr>
        <w:t xml:space="preserve"> تشرين الثاني/نوفمبر 2003</w:t>
      </w:r>
      <w:r w:rsidRPr="00DE469F">
        <w:rPr>
          <w:rFonts w:hint="cs"/>
          <w:spacing w:val="0"/>
          <w:kern w:val="0"/>
          <w:sz w:val="18"/>
          <w:szCs w:val="26"/>
          <w:rtl/>
        </w:rPr>
        <w:t xml:space="preserve">، </w:t>
      </w:r>
      <w:r w:rsidRPr="00DE469F">
        <w:rPr>
          <w:spacing w:val="0"/>
          <w:kern w:val="0"/>
          <w:sz w:val="18"/>
          <w:szCs w:val="26"/>
          <w:rtl/>
        </w:rPr>
        <w:t>الفقرة</w:t>
      </w:r>
      <w:r w:rsidRPr="00DE469F">
        <w:rPr>
          <w:rFonts w:hint="cs"/>
          <w:spacing w:val="0"/>
          <w:kern w:val="0"/>
          <w:sz w:val="18"/>
          <w:szCs w:val="26"/>
          <w:rtl/>
        </w:rPr>
        <w:t> </w:t>
      </w:r>
      <w:r w:rsidRPr="00DE469F">
        <w:rPr>
          <w:spacing w:val="0"/>
          <w:kern w:val="0"/>
          <w:sz w:val="18"/>
          <w:szCs w:val="26"/>
          <w:rtl/>
        </w:rPr>
        <w:t>7</w:t>
      </w:r>
      <w:r w:rsidRPr="00DE469F">
        <w:rPr>
          <w:rFonts w:hint="cs"/>
          <w:spacing w:val="0"/>
          <w:kern w:val="0"/>
          <w:sz w:val="18"/>
          <w:szCs w:val="26"/>
          <w:rtl/>
        </w:rPr>
        <w:t>-</w:t>
      </w:r>
      <w:r w:rsidRPr="00DE469F">
        <w:rPr>
          <w:spacing w:val="0"/>
          <w:kern w:val="0"/>
          <w:sz w:val="18"/>
          <w:szCs w:val="26"/>
          <w:rtl/>
        </w:rPr>
        <w:t xml:space="preserve">3؛ </w:t>
      </w:r>
      <w:r w:rsidRPr="00DE469F">
        <w:rPr>
          <w:rFonts w:hint="cs"/>
          <w:spacing w:val="0"/>
          <w:kern w:val="0"/>
          <w:sz w:val="18"/>
          <w:szCs w:val="26"/>
          <w:rtl/>
        </w:rPr>
        <w:t>و</w:t>
      </w:r>
      <w:r w:rsidRPr="00DE469F">
        <w:rPr>
          <w:spacing w:val="0"/>
          <w:kern w:val="0"/>
          <w:sz w:val="18"/>
          <w:szCs w:val="26"/>
          <w:rtl/>
        </w:rPr>
        <w:t>البلاغ رقم</w:t>
      </w:r>
      <w:r w:rsidRPr="00DE469F">
        <w:rPr>
          <w:rFonts w:hint="cs"/>
          <w:spacing w:val="0"/>
          <w:kern w:val="0"/>
          <w:sz w:val="18"/>
          <w:szCs w:val="26"/>
          <w:rtl/>
        </w:rPr>
        <w:t xml:space="preserve"> </w:t>
      </w:r>
      <w:r w:rsidRPr="00DE469F">
        <w:rPr>
          <w:spacing w:val="0"/>
          <w:kern w:val="0"/>
          <w:sz w:val="18"/>
          <w:szCs w:val="26"/>
          <w:rtl/>
        </w:rPr>
        <w:t xml:space="preserve">285/2006، </w:t>
      </w:r>
      <w:r w:rsidRPr="00DE469F">
        <w:rPr>
          <w:i/>
          <w:iCs/>
          <w:spacing w:val="0"/>
          <w:kern w:val="0"/>
          <w:sz w:val="18"/>
          <w:szCs w:val="26"/>
          <w:rtl/>
        </w:rPr>
        <w:t>أ.</w:t>
      </w:r>
      <w:r w:rsidRPr="00DE469F">
        <w:rPr>
          <w:rFonts w:hint="cs"/>
          <w:i/>
          <w:iCs/>
          <w:spacing w:val="0"/>
          <w:kern w:val="0"/>
          <w:sz w:val="18"/>
          <w:szCs w:val="26"/>
          <w:rtl/>
        </w:rPr>
        <w:t xml:space="preserve"> </w:t>
      </w:r>
      <w:r w:rsidRPr="00DE469F">
        <w:rPr>
          <w:i/>
          <w:iCs/>
          <w:spacing w:val="0"/>
          <w:kern w:val="0"/>
          <w:sz w:val="18"/>
          <w:szCs w:val="26"/>
          <w:rtl/>
        </w:rPr>
        <w:t>أ. وآخرون ضد سويسرا،</w:t>
      </w:r>
      <w:r w:rsidRPr="00DE469F">
        <w:rPr>
          <w:spacing w:val="0"/>
          <w:kern w:val="0"/>
          <w:sz w:val="18"/>
          <w:szCs w:val="26"/>
          <w:rtl/>
        </w:rPr>
        <w:t xml:space="preserve"> القرار المعتمد في 10 تشرين الثاني/نوفمبر 2008</w:t>
      </w:r>
      <w:r w:rsidRPr="00DE469F">
        <w:rPr>
          <w:rFonts w:hint="cs"/>
          <w:spacing w:val="0"/>
          <w:kern w:val="0"/>
          <w:sz w:val="18"/>
          <w:szCs w:val="26"/>
          <w:rtl/>
        </w:rPr>
        <w:t>،</w:t>
      </w:r>
      <w:r w:rsidRPr="00DE469F">
        <w:rPr>
          <w:spacing w:val="0"/>
          <w:kern w:val="0"/>
          <w:sz w:val="18"/>
          <w:szCs w:val="26"/>
          <w:rtl/>
        </w:rPr>
        <w:t xml:space="preserve"> الفقرة 7-6</w:t>
      </w:r>
      <w:r w:rsidRPr="00DE469F">
        <w:rPr>
          <w:rFonts w:hint="cs"/>
          <w:spacing w:val="0"/>
          <w:kern w:val="0"/>
          <w:sz w:val="18"/>
          <w:szCs w:val="26"/>
          <w:rtl/>
        </w:rPr>
        <w:t xml:space="preserve">؛ والبلاغ رقم 350/2008، </w:t>
      </w:r>
      <w:r w:rsidRPr="00DE469F">
        <w:rPr>
          <w:rFonts w:hint="cs"/>
          <w:i/>
          <w:iCs/>
          <w:spacing w:val="0"/>
          <w:kern w:val="0"/>
          <w:sz w:val="18"/>
          <w:szCs w:val="26"/>
          <w:rtl/>
        </w:rPr>
        <w:t>ر. ت-ن. ضد سويسرا</w:t>
      </w:r>
      <w:r w:rsidRPr="00DE469F">
        <w:rPr>
          <w:rFonts w:hint="cs"/>
          <w:spacing w:val="0"/>
          <w:kern w:val="0"/>
          <w:sz w:val="18"/>
          <w:szCs w:val="26"/>
          <w:rtl/>
        </w:rPr>
        <w:t xml:space="preserve">، </w:t>
      </w:r>
      <w:r w:rsidRPr="00DE469F">
        <w:rPr>
          <w:spacing w:val="0"/>
          <w:kern w:val="0"/>
          <w:sz w:val="18"/>
          <w:szCs w:val="26"/>
          <w:rtl/>
        </w:rPr>
        <w:t>القرار المعتمد</w:t>
      </w:r>
      <w:r w:rsidRPr="00DE469F">
        <w:rPr>
          <w:rFonts w:hint="cs"/>
          <w:spacing w:val="0"/>
          <w:kern w:val="0"/>
          <w:sz w:val="18"/>
          <w:szCs w:val="26"/>
          <w:rtl/>
        </w:rPr>
        <w:t> </w:t>
      </w:r>
      <w:r w:rsidRPr="00DE469F">
        <w:rPr>
          <w:spacing w:val="0"/>
          <w:kern w:val="0"/>
          <w:sz w:val="18"/>
          <w:szCs w:val="26"/>
          <w:rtl/>
        </w:rPr>
        <w:t xml:space="preserve">في </w:t>
      </w:r>
      <w:r w:rsidRPr="00DE469F">
        <w:rPr>
          <w:rFonts w:hint="cs"/>
          <w:spacing w:val="0"/>
          <w:kern w:val="0"/>
          <w:sz w:val="18"/>
          <w:szCs w:val="26"/>
          <w:rtl/>
        </w:rPr>
        <w:t>3</w:t>
      </w:r>
      <w:r w:rsidRPr="00DE469F">
        <w:rPr>
          <w:spacing w:val="0"/>
          <w:kern w:val="0"/>
          <w:sz w:val="18"/>
          <w:szCs w:val="26"/>
          <w:rtl/>
        </w:rPr>
        <w:t xml:space="preserve"> </w:t>
      </w:r>
      <w:r w:rsidRPr="00DE469F">
        <w:rPr>
          <w:rFonts w:hint="cs"/>
          <w:spacing w:val="0"/>
          <w:kern w:val="0"/>
          <w:sz w:val="18"/>
          <w:szCs w:val="26"/>
          <w:rtl/>
        </w:rPr>
        <w:t>حزيران</w:t>
      </w:r>
      <w:r w:rsidRPr="00DE469F">
        <w:rPr>
          <w:spacing w:val="0"/>
          <w:kern w:val="0"/>
          <w:sz w:val="18"/>
          <w:szCs w:val="26"/>
          <w:rtl/>
        </w:rPr>
        <w:t>/</w:t>
      </w:r>
      <w:r w:rsidRPr="00DE469F">
        <w:rPr>
          <w:rFonts w:hint="cs"/>
          <w:spacing w:val="0"/>
          <w:kern w:val="0"/>
          <w:sz w:val="18"/>
          <w:szCs w:val="26"/>
          <w:rtl/>
        </w:rPr>
        <w:t>يونيه</w:t>
      </w:r>
      <w:r w:rsidRPr="00DE469F">
        <w:rPr>
          <w:spacing w:val="0"/>
          <w:kern w:val="0"/>
          <w:sz w:val="18"/>
          <w:szCs w:val="26"/>
          <w:rtl/>
        </w:rPr>
        <w:t xml:space="preserve"> 20</w:t>
      </w:r>
      <w:r w:rsidRPr="00DE469F">
        <w:rPr>
          <w:rFonts w:hint="cs"/>
          <w:spacing w:val="0"/>
          <w:kern w:val="0"/>
          <w:sz w:val="18"/>
          <w:szCs w:val="26"/>
          <w:rtl/>
        </w:rPr>
        <w:t>11،</w:t>
      </w:r>
      <w:r w:rsidRPr="00DE469F">
        <w:rPr>
          <w:spacing w:val="0"/>
          <w:kern w:val="0"/>
          <w:sz w:val="18"/>
          <w:szCs w:val="26"/>
          <w:rtl/>
        </w:rPr>
        <w:t xml:space="preserve"> الفقرة </w:t>
      </w:r>
      <w:r w:rsidRPr="00DE469F">
        <w:rPr>
          <w:rFonts w:hint="cs"/>
          <w:spacing w:val="0"/>
          <w:kern w:val="0"/>
          <w:sz w:val="18"/>
          <w:szCs w:val="26"/>
          <w:rtl/>
        </w:rPr>
        <w:t>8-4.</w:t>
      </w:r>
    </w:p>
  </w:footnote>
  <w:footnote w:id="244">
    <w:p w:rsidR="00D64D4C" w:rsidRPr="00DE469F" w:rsidRDefault="00D64D4C" w:rsidP="00DE469F">
      <w:pPr>
        <w:pStyle w:val="FootnoteText"/>
        <w:tabs>
          <w:tab w:val="left" w:pos="1253"/>
        </w:tabs>
        <w:spacing w:after="60" w:line="300" w:lineRule="exact"/>
        <w:ind w:left="1253" w:right="1247" w:hanging="504"/>
        <w:jc w:val="lowKashida"/>
        <w:rPr>
          <w:rFonts w:hint="cs"/>
          <w:spacing w:val="0"/>
          <w:kern w:val="0"/>
          <w:sz w:val="18"/>
        </w:rPr>
      </w:pPr>
      <w:r w:rsidRPr="00DE469F">
        <w:rPr>
          <w:rFonts w:hint="cs"/>
          <w:spacing w:val="0"/>
          <w:kern w:val="0"/>
          <w:sz w:val="18"/>
          <w:szCs w:val="26"/>
          <w:rtl/>
        </w:rPr>
        <w:t>(</w:t>
      </w:r>
      <w:r w:rsidRPr="00DE469F">
        <w:rPr>
          <w:rFonts w:hint="cs"/>
          <w:spacing w:val="0"/>
          <w:kern w:val="0"/>
          <w:sz w:val="26"/>
          <w:szCs w:val="26"/>
          <w:rtl/>
        </w:rPr>
        <w:t>ق</w:t>
      </w:r>
      <w:r w:rsidRPr="00DE469F">
        <w:rPr>
          <w:rFonts w:hint="cs"/>
          <w:spacing w:val="0"/>
          <w:kern w:val="0"/>
          <w:sz w:val="18"/>
          <w:szCs w:val="26"/>
          <w:rtl/>
        </w:rPr>
        <w:t>)</w:t>
      </w:r>
      <w:r w:rsidRPr="00DE469F">
        <w:rPr>
          <w:rFonts w:hint="cs"/>
          <w:spacing w:val="0"/>
          <w:kern w:val="0"/>
          <w:sz w:val="18"/>
          <w:szCs w:val="26"/>
          <w:rtl/>
        </w:rPr>
        <w:tab/>
        <w:t xml:space="preserve">البلاغ رقم 245/2004، </w:t>
      </w:r>
      <w:r w:rsidRPr="00DE469F">
        <w:rPr>
          <w:rFonts w:hint="cs"/>
          <w:i/>
          <w:iCs/>
          <w:spacing w:val="0"/>
          <w:kern w:val="0"/>
          <w:sz w:val="18"/>
          <w:szCs w:val="26"/>
          <w:rtl/>
        </w:rPr>
        <w:t>س. س. س. ضد كندا</w:t>
      </w:r>
      <w:r w:rsidRPr="00DE469F">
        <w:rPr>
          <w:rFonts w:hint="cs"/>
          <w:spacing w:val="0"/>
          <w:kern w:val="0"/>
          <w:sz w:val="18"/>
          <w:szCs w:val="26"/>
          <w:rtl/>
        </w:rPr>
        <w:t>، الفقرة 7-3.</w:t>
      </w:r>
    </w:p>
  </w:footnote>
  <w:footnote w:id="245">
    <w:p w:rsidR="00D64D4C" w:rsidRPr="00DE469F" w:rsidRDefault="00D64D4C" w:rsidP="00DE469F">
      <w:pPr>
        <w:pStyle w:val="FootnoteText"/>
        <w:tabs>
          <w:tab w:val="left" w:pos="1253"/>
        </w:tabs>
        <w:spacing w:after="60" w:line="300" w:lineRule="exact"/>
        <w:ind w:left="1253" w:right="1247" w:hanging="462"/>
        <w:jc w:val="lowKashida"/>
        <w:rPr>
          <w:rFonts w:hint="cs"/>
          <w:spacing w:val="0"/>
          <w:kern w:val="0"/>
          <w:sz w:val="18"/>
          <w:szCs w:val="26"/>
        </w:rPr>
      </w:pPr>
      <w:r w:rsidRPr="00DE469F">
        <w:rPr>
          <w:rFonts w:hint="cs"/>
          <w:spacing w:val="0"/>
          <w:kern w:val="0"/>
          <w:sz w:val="18"/>
          <w:szCs w:val="26"/>
          <w:rtl/>
        </w:rPr>
        <w:t>(</w:t>
      </w:r>
      <w:r w:rsidRPr="00DE469F">
        <w:rPr>
          <w:rFonts w:hint="cs"/>
          <w:spacing w:val="0"/>
          <w:kern w:val="0"/>
          <w:sz w:val="26"/>
          <w:szCs w:val="26"/>
          <w:rtl/>
        </w:rPr>
        <w:t>ر</w:t>
      </w:r>
      <w:r w:rsidRPr="00DE469F">
        <w:rPr>
          <w:rFonts w:hint="cs"/>
          <w:spacing w:val="0"/>
          <w:kern w:val="0"/>
          <w:sz w:val="18"/>
          <w:szCs w:val="26"/>
          <w:rtl/>
        </w:rPr>
        <w:t>)</w:t>
      </w:r>
      <w:r w:rsidRPr="00DE469F">
        <w:rPr>
          <w:rFonts w:hint="cs"/>
          <w:spacing w:val="0"/>
          <w:kern w:val="0"/>
          <w:sz w:val="18"/>
          <w:szCs w:val="26"/>
          <w:rtl/>
        </w:rPr>
        <w:tab/>
        <w:t xml:space="preserve">انظر التعليق العام رقم 1 (1996) بشأن تنفيذ المادة 3 من الاتفاقية في سياق المادة 22 (الإعادة القسرية والبلاغات)، الفقرات 6 و7 و9(أ)، وجملة أمور منها البلاغ رقم 356/2008، </w:t>
      </w:r>
      <w:r w:rsidRPr="00DE469F">
        <w:rPr>
          <w:rFonts w:hint="cs"/>
          <w:i/>
          <w:iCs/>
          <w:spacing w:val="0"/>
          <w:kern w:val="0"/>
          <w:sz w:val="18"/>
          <w:szCs w:val="26"/>
          <w:rtl/>
        </w:rPr>
        <w:t>ن. س. ضد سويسرا</w:t>
      </w:r>
      <w:r w:rsidRPr="00DE469F">
        <w:rPr>
          <w:rFonts w:hint="cs"/>
          <w:spacing w:val="0"/>
          <w:kern w:val="0"/>
          <w:sz w:val="18"/>
          <w:szCs w:val="26"/>
          <w:rtl/>
        </w:rPr>
        <w:t>، القرار المعتمد في 6 أيار/مايو 2010، الفقرة 7-3.</w:t>
      </w:r>
    </w:p>
  </w:footnote>
  <w:footnote w:id="246">
    <w:p w:rsidR="00D64D4C" w:rsidRPr="00C03ECB" w:rsidRDefault="00D64D4C" w:rsidP="00C03ECB">
      <w:pPr>
        <w:pStyle w:val="FootnoteText"/>
        <w:numPr>
          <w:ilvl w:val="0"/>
          <w:numId w:val="53"/>
        </w:numPr>
        <w:tabs>
          <w:tab w:val="left" w:pos="1253"/>
        </w:tabs>
        <w:spacing w:after="60" w:line="300" w:lineRule="exact"/>
        <w:ind w:left="1248" w:right="1247" w:hanging="227"/>
        <w:jc w:val="lowKashida"/>
        <w:rPr>
          <w:rFonts w:hint="cs"/>
          <w:spacing w:val="-2"/>
          <w:kern w:val="0"/>
          <w:sz w:val="18"/>
          <w:szCs w:val="26"/>
        </w:rPr>
      </w:pPr>
      <w:r w:rsidRPr="00C03ECB">
        <w:rPr>
          <w:spacing w:val="-2"/>
          <w:kern w:val="0"/>
          <w:sz w:val="18"/>
          <w:szCs w:val="26"/>
          <w:rtl/>
          <w:lang w:val="en-CA"/>
        </w:rPr>
        <w:t xml:space="preserve">تشير الوثيقة المؤرخة 22 أيار/مايو 2007 إلى أن "حالة الأشخاص ذوي الأصول الإثنية الأرمنية المقيمين في أذربيجان لم تتحسن </w:t>
      </w:r>
      <w:r w:rsidRPr="00C03ECB">
        <w:rPr>
          <w:rFonts w:hint="cs"/>
          <w:spacing w:val="-2"/>
          <w:kern w:val="0"/>
          <w:sz w:val="18"/>
          <w:szCs w:val="26"/>
          <w:rtl/>
          <w:lang w:val="en-CA"/>
        </w:rPr>
        <w:t xml:space="preserve"> </w:t>
      </w:r>
      <w:r w:rsidRPr="00C03ECB">
        <w:rPr>
          <w:spacing w:val="-2"/>
          <w:kern w:val="0"/>
          <w:sz w:val="18"/>
          <w:szCs w:val="26"/>
          <w:rtl/>
          <w:lang w:val="en-CA"/>
        </w:rPr>
        <w:t xml:space="preserve">منذ عام 2002. لذلك، فإن </w:t>
      </w:r>
      <w:r w:rsidRPr="00C03ECB">
        <w:rPr>
          <w:rFonts w:hint="cs"/>
          <w:spacing w:val="-2"/>
          <w:kern w:val="0"/>
          <w:sz w:val="18"/>
          <w:szCs w:val="26"/>
          <w:rtl/>
          <w:lang w:val="en-CA"/>
        </w:rPr>
        <w:t>الفرع</w:t>
      </w:r>
      <w:r w:rsidRPr="00C03ECB">
        <w:rPr>
          <w:spacing w:val="-2"/>
          <w:kern w:val="0"/>
          <w:sz w:val="18"/>
          <w:szCs w:val="26"/>
          <w:rtl/>
          <w:lang w:val="en-CA"/>
        </w:rPr>
        <w:t xml:space="preserve"> خامساً</w:t>
      </w:r>
      <w:r w:rsidRPr="00C03ECB">
        <w:rPr>
          <w:rFonts w:hint="cs"/>
          <w:spacing w:val="-2"/>
          <w:kern w:val="0"/>
          <w:sz w:val="18"/>
          <w:szCs w:val="26"/>
          <w:rtl/>
          <w:lang w:val="en-CA"/>
        </w:rPr>
        <w:t>-</w:t>
      </w:r>
      <w:r w:rsidRPr="00C03ECB">
        <w:rPr>
          <w:spacing w:val="-2"/>
          <w:kern w:val="0"/>
          <w:sz w:val="18"/>
          <w:szCs w:val="26"/>
          <w:rtl/>
          <w:lang w:val="en-CA"/>
        </w:rPr>
        <w:t xml:space="preserve">2 من ورقة موقف مفوضية الأمم </w:t>
      </w:r>
      <w:r w:rsidRPr="00C03ECB">
        <w:rPr>
          <w:rFonts w:hint="cs"/>
          <w:spacing w:val="-2"/>
          <w:kern w:val="0"/>
          <w:sz w:val="18"/>
          <w:szCs w:val="26"/>
          <w:rtl/>
          <w:lang w:val="en-CA"/>
        </w:rPr>
        <w:t xml:space="preserve">المتحدة </w:t>
      </w:r>
      <w:r w:rsidRPr="00C03ECB">
        <w:rPr>
          <w:spacing w:val="-2"/>
          <w:kern w:val="0"/>
          <w:sz w:val="18"/>
          <w:szCs w:val="26"/>
          <w:rtl/>
          <w:lang w:val="en-CA"/>
        </w:rPr>
        <w:t xml:space="preserve">لشؤون </w:t>
      </w:r>
      <w:r w:rsidRPr="00C03ECB">
        <w:rPr>
          <w:rFonts w:hint="cs"/>
          <w:spacing w:val="-2"/>
          <w:kern w:val="0"/>
          <w:sz w:val="18"/>
          <w:szCs w:val="26"/>
          <w:rtl/>
          <w:lang w:val="en-CA"/>
        </w:rPr>
        <w:t>اللاجئين،</w:t>
      </w:r>
      <w:r w:rsidRPr="00C03ECB">
        <w:rPr>
          <w:spacing w:val="-2"/>
          <w:kern w:val="0"/>
          <w:sz w:val="18"/>
          <w:szCs w:val="26"/>
          <w:rtl/>
          <w:lang w:val="en-CA"/>
        </w:rPr>
        <w:t xml:space="preserve"> المعنونة</w:t>
      </w:r>
      <w:r w:rsidRPr="00C03ECB">
        <w:rPr>
          <w:rFonts w:hint="cs"/>
          <w:spacing w:val="-2"/>
          <w:kern w:val="0"/>
          <w:sz w:val="18"/>
          <w:szCs w:val="26"/>
          <w:rtl/>
          <w:lang w:val="en-CA"/>
        </w:rPr>
        <w:t xml:space="preserve"> </w:t>
      </w:r>
      <w:r w:rsidRPr="00C03ECB">
        <w:rPr>
          <w:spacing w:val="-2"/>
          <w:kern w:val="0"/>
          <w:sz w:val="18"/>
          <w:szCs w:val="26"/>
          <w:rtl/>
          <w:lang w:val="en-CA"/>
        </w:rPr>
        <w:t xml:space="preserve">اعتبارات الحماية الدولية </w:t>
      </w:r>
      <w:r w:rsidRPr="00C03ECB">
        <w:rPr>
          <w:rFonts w:hint="eastAsia"/>
          <w:spacing w:val="-2"/>
          <w:kern w:val="0"/>
          <w:sz w:val="18"/>
          <w:szCs w:val="26"/>
          <w:rtl/>
          <w:lang w:val="en-CA"/>
        </w:rPr>
        <w:t>فيما</w:t>
      </w:r>
      <w:r w:rsidRPr="00C03ECB">
        <w:rPr>
          <w:spacing w:val="-2"/>
          <w:kern w:val="0"/>
          <w:sz w:val="18"/>
          <w:szCs w:val="26"/>
          <w:rtl/>
          <w:lang w:val="en-CA"/>
        </w:rPr>
        <w:t xml:space="preserve"> يتعلق </w:t>
      </w:r>
      <w:r w:rsidRPr="00C03ECB">
        <w:rPr>
          <w:rFonts w:hint="cs"/>
          <w:spacing w:val="-2"/>
          <w:kern w:val="0"/>
          <w:sz w:val="18"/>
          <w:szCs w:val="26"/>
          <w:rtl/>
          <w:lang w:val="en-CA"/>
        </w:rPr>
        <w:t>بملتمسي</w:t>
      </w:r>
      <w:r w:rsidRPr="00C03ECB">
        <w:rPr>
          <w:spacing w:val="-2"/>
          <w:kern w:val="0"/>
          <w:sz w:val="18"/>
          <w:szCs w:val="26"/>
          <w:rtl/>
          <w:lang w:val="en-CA"/>
        </w:rPr>
        <w:t xml:space="preserve"> اللجوء </w:t>
      </w:r>
      <w:r w:rsidRPr="00C03ECB">
        <w:rPr>
          <w:rFonts w:hint="cs"/>
          <w:spacing w:val="-2"/>
          <w:kern w:val="0"/>
          <w:sz w:val="18"/>
          <w:szCs w:val="26"/>
          <w:rtl/>
          <w:lang w:val="en-CA"/>
        </w:rPr>
        <w:t>واللاجئين</w:t>
      </w:r>
      <w:r w:rsidRPr="00C03ECB">
        <w:rPr>
          <w:spacing w:val="-2"/>
          <w:kern w:val="0"/>
          <w:sz w:val="18"/>
          <w:szCs w:val="26"/>
          <w:rtl/>
          <w:lang w:val="en-CA"/>
        </w:rPr>
        <w:t xml:space="preserve"> الأذربيجانيين المؤرخة أيلول/سبتمبر 2003</w:t>
      </w:r>
      <w:r w:rsidRPr="00C03ECB">
        <w:rPr>
          <w:rFonts w:hint="cs"/>
          <w:spacing w:val="-2"/>
          <w:kern w:val="0"/>
          <w:sz w:val="18"/>
          <w:szCs w:val="26"/>
          <w:rtl/>
          <w:lang w:val="en-CA"/>
        </w:rPr>
        <w:t>،</w:t>
      </w:r>
      <w:r w:rsidRPr="00C03ECB">
        <w:rPr>
          <w:spacing w:val="-2"/>
          <w:kern w:val="0"/>
          <w:sz w:val="18"/>
          <w:szCs w:val="26"/>
          <w:rtl/>
          <w:lang w:val="en-CA"/>
        </w:rPr>
        <w:t xml:space="preserve"> لا يزال سارياً و</w:t>
      </w:r>
      <w:r w:rsidRPr="00C03ECB">
        <w:rPr>
          <w:rFonts w:hint="cs"/>
          <w:spacing w:val="-2"/>
          <w:kern w:val="0"/>
          <w:sz w:val="18"/>
          <w:szCs w:val="26"/>
          <w:rtl/>
          <w:lang w:val="en-CA"/>
        </w:rPr>
        <w:t>ين</w:t>
      </w:r>
      <w:r w:rsidRPr="00C03ECB">
        <w:rPr>
          <w:spacing w:val="-2"/>
          <w:kern w:val="0"/>
          <w:sz w:val="18"/>
          <w:szCs w:val="26"/>
          <w:rtl/>
          <w:lang w:val="en-CA"/>
        </w:rPr>
        <w:t xml:space="preserve">طبق على هذه الحالة. وفيما يتعلق </w:t>
      </w:r>
      <w:r w:rsidRPr="00C03ECB">
        <w:rPr>
          <w:rFonts w:hint="cs"/>
          <w:spacing w:val="-2"/>
          <w:kern w:val="0"/>
          <w:sz w:val="18"/>
          <w:szCs w:val="26"/>
          <w:rtl/>
          <w:lang w:val="en-CA"/>
        </w:rPr>
        <w:t>بإعادة ملتمسي</w:t>
      </w:r>
      <w:r w:rsidRPr="00C03ECB">
        <w:rPr>
          <w:spacing w:val="-2"/>
          <w:kern w:val="0"/>
          <w:sz w:val="18"/>
          <w:szCs w:val="26"/>
          <w:rtl/>
          <w:lang w:val="en-CA"/>
        </w:rPr>
        <w:t xml:space="preserve"> اللجوء من الأصول الإثنية الأرمنية أو الأصول الإثنية المختلطة، فإن </w:t>
      </w:r>
      <w:r w:rsidRPr="00C03ECB">
        <w:rPr>
          <w:rFonts w:hint="cs"/>
          <w:spacing w:val="-2"/>
          <w:kern w:val="0"/>
          <w:sz w:val="18"/>
          <w:szCs w:val="26"/>
          <w:rtl/>
          <w:lang w:val="en-CA"/>
        </w:rPr>
        <w:t xml:space="preserve">هؤلاء الأشخاص </w:t>
      </w:r>
      <w:r w:rsidRPr="00C03ECB">
        <w:rPr>
          <w:spacing w:val="-2"/>
          <w:kern w:val="0"/>
          <w:sz w:val="18"/>
          <w:szCs w:val="26"/>
          <w:rtl/>
          <w:lang w:val="en-CA"/>
        </w:rPr>
        <w:t xml:space="preserve">يمكن أن </w:t>
      </w:r>
      <w:r w:rsidRPr="00C03ECB">
        <w:rPr>
          <w:rFonts w:hint="cs"/>
          <w:spacing w:val="-2"/>
          <w:kern w:val="0"/>
          <w:sz w:val="18"/>
          <w:szCs w:val="26"/>
          <w:rtl/>
          <w:lang w:val="en-CA"/>
        </w:rPr>
        <w:t>يتعرضوا لل</w:t>
      </w:r>
      <w:r w:rsidRPr="00C03ECB">
        <w:rPr>
          <w:spacing w:val="-2"/>
          <w:kern w:val="0"/>
          <w:sz w:val="18"/>
          <w:szCs w:val="26"/>
          <w:rtl/>
          <w:lang w:val="en-CA"/>
        </w:rPr>
        <w:t>خطر عند الوصول مرة أخرى إلى أذربيجان.</w:t>
      </w:r>
      <w:r w:rsidRPr="00C03ECB">
        <w:rPr>
          <w:rFonts w:hint="cs"/>
          <w:spacing w:val="-2"/>
          <w:kern w:val="0"/>
          <w:sz w:val="18"/>
          <w:szCs w:val="26"/>
          <w:rtl/>
          <w:lang w:val="en-CA"/>
        </w:rPr>
        <w:t xml:space="preserve"> </w:t>
      </w:r>
      <w:r w:rsidRPr="00C03ECB">
        <w:rPr>
          <w:rFonts w:hint="eastAsia"/>
          <w:spacing w:val="-2"/>
          <w:kern w:val="0"/>
          <w:sz w:val="18"/>
          <w:szCs w:val="26"/>
          <w:rtl/>
          <w:lang w:val="en-CA"/>
        </w:rPr>
        <w:t>وحسبما</w:t>
      </w:r>
      <w:r w:rsidRPr="00C03ECB">
        <w:rPr>
          <w:spacing w:val="-2"/>
          <w:kern w:val="0"/>
          <w:sz w:val="18"/>
          <w:szCs w:val="26"/>
          <w:rtl/>
          <w:lang w:val="en-CA"/>
        </w:rPr>
        <w:t xml:space="preserve"> </w:t>
      </w:r>
      <w:r w:rsidRPr="00C03ECB">
        <w:rPr>
          <w:rFonts w:hint="cs"/>
          <w:spacing w:val="-2"/>
          <w:kern w:val="0"/>
          <w:sz w:val="18"/>
          <w:szCs w:val="26"/>
          <w:rtl/>
          <w:lang w:val="en-CA"/>
        </w:rPr>
        <w:t xml:space="preserve">أوضحت </w:t>
      </w:r>
      <w:r w:rsidRPr="00C03ECB">
        <w:rPr>
          <w:spacing w:val="-2"/>
          <w:kern w:val="0"/>
          <w:sz w:val="18"/>
          <w:szCs w:val="26"/>
          <w:rtl/>
          <w:lang w:val="en-CA"/>
        </w:rPr>
        <w:t xml:space="preserve">المبادئ التوجيهية فيما يتعلق </w:t>
      </w:r>
      <w:r w:rsidRPr="00C03ECB">
        <w:rPr>
          <w:rFonts w:hint="cs"/>
          <w:spacing w:val="-2"/>
          <w:kern w:val="0"/>
          <w:sz w:val="18"/>
          <w:szCs w:val="26"/>
          <w:rtl/>
          <w:lang w:val="en-CA"/>
        </w:rPr>
        <w:t>بملتمسي</w:t>
      </w:r>
      <w:r w:rsidRPr="00C03ECB">
        <w:rPr>
          <w:spacing w:val="-2"/>
          <w:kern w:val="0"/>
          <w:sz w:val="18"/>
          <w:szCs w:val="26"/>
          <w:rtl/>
          <w:lang w:val="en-CA"/>
        </w:rPr>
        <w:t xml:space="preserve"> اللجوء الأذربيجانيين، فإن معظم الأرمن الذين يعيشون في أذربيجان يخفون هويتهم.</w:t>
      </w:r>
      <w:r w:rsidRPr="00C03ECB">
        <w:rPr>
          <w:rFonts w:hint="cs"/>
          <w:spacing w:val="-2"/>
          <w:kern w:val="0"/>
          <w:sz w:val="18"/>
          <w:szCs w:val="26"/>
          <w:rtl/>
          <w:lang w:val="en-CA"/>
        </w:rPr>
        <w:t xml:space="preserve"> </w:t>
      </w:r>
      <w:r w:rsidRPr="00C03ECB">
        <w:rPr>
          <w:rFonts w:hint="eastAsia"/>
          <w:spacing w:val="-2"/>
          <w:kern w:val="0"/>
          <w:sz w:val="18"/>
          <w:szCs w:val="26"/>
          <w:rtl/>
          <w:lang w:val="en-CA"/>
        </w:rPr>
        <w:t>وهناك</w:t>
      </w:r>
      <w:r w:rsidRPr="00C03ECB">
        <w:rPr>
          <w:spacing w:val="-2"/>
          <w:kern w:val="0"/>
          <w:sz w:val="18"/>
          <w:szCs w:val="26"/>
          <w:rtl/>
          <w:lang w:val="en-CA"/>
        </w:rPr>
        <w:t xml:space="preserve"> شكوك </w:t>
      </w:r>
      <w:r w:rsidRPr="00C03ECB">
        <w:rPr>
          <w:rFonts w:hint="cs"/>
          <w:spacing w:val="-2"/>
          <w:kern w:val="0"/>
          <w:sz w:val="18"/>
          <w:szCs w:val="26"/>
          <w:rtl/>
          <w:lang w:val="en-CA"/>
        </w:rPr>
        <w:t xml:space="preserve">بشأن </w:t>
      </w:r>
      <w:r w:rsidRPr="00C03ECB">
        <w:rPr>
          <w:spacing w:val="-2"/>
          <w:kern w:val="0"/>
          <w:sz w:val="18"/>
          <w:szCs w:val="26"/>
          <w:rtl/>
          <w:lang w:val="en-CA"/>
        </w:rPr>
        <w:t>مدى إمكانية قبولهم مرة أخرى في أذربيجان</w:t>
      </w:r>
      <w:r w:rsidRPr="00C03ECB">
        <w:rPr>
          <w:rFonts w:hint="cs"/>
          <w:spacing w:val="-2"/>
          <w:kern w:val="0"/>
          <w:sz w:val="18"/>
          <w:szCs w:val="26"/>
          <w:rtl/>
          <w:lang w:val="en-CA"/>
        </w:rPr>
        <w:t xml:space="preserve">، وإذا تم قبولهم، فإن </w:t>
      </w:r>
      <w:r w:rsidRPr="00C03ECB">
        <w:rPr>
          <w:spacing w:val="-2"/>
          <w:kern w:val="0"/>
          <w:sz w:val="18"/>
          <w:szCs w:val="26"/>
          <w:rtl/>
          <w:lang w:val="en-CA"/>
        </w:rPr>
        <w:t xml:space="preserve">مفوضية الأمم المتحدة لشؤون </w:t>
      </w:r>
      <w:r w:rsidRPr="00C03ECB">
        <w:rPr>
          <w:rFonts w:hint="cs"/>
          <w:spacing w:val="-2"/>
          <w:kern w:val="0"/>
          <w:sz w:val="18"/>
          <w:szCs w:val="26"/>
          <w:rtl/>
          <w:lang w:val="en-CA"/>
        </w:rPr>
        <w:t>اللاجئين</w:t>
      </w:r>
      <w:r w:rsidRPr="00C03ECB">
        <w:rPr>
          <w:spacing w:val="-2"/>
          <w:kern w:val="0"/>
          <w:sz w:val="18"/>
          <w:szCs w:val="26"/>
          <w:rtl/>
          <w:lang w:val="en-CA"/>
        </w:rPr>
        <w:t xml:space="preserve"> </w:t>
      </w:r>
      <w:r w:rsidRPr="00C03ECB">
        <w:rPr>
          <w:rFonts w:hint="cs"/>
          <w:spacing w:val="-2"/>
          <w:kern w:val="0"/>
          <w:sz w:val="18"/>
          <w:szCs w:val="26"/>
          <w:rtl/>
          <w:lang w:val="en-CA"/>
        </w:rPr>
        <w:t>ترى أنهم</w:t>
      </w:r>
      <w:r w:rsidRPr="00C03ECB">
        <w:rPr>
          <w:spacing w:val="-2"/>
          <w:kern w:val="0"/>
          <w:sz w:val="18"/>
          <w:szCs w:val="26"/>
          <w:rtl/>
          <w:lang w:val="en-CA"/>
        </w:rPr>
        <w:t xml:space="preserve"> </w:t>
      </w:r>
      <w:r w:rsidRPr="00C03ECB">
        <w:rPr>
          <w:rFonts w:hint="cs"/>
          <w:spacing w:val="-2"/>
          <w:kern w:val="0"/>
          <w:sz w:val="18"/>
          <w:szCs w:val="26"/>
          <w:rtl/>
          <w:lang w:val="en-CA"/>
        </w:rPr>
        <w:t xml:space="preserve">سيواجهون </w:t>
      </w:r>
      <w:r w:rsidRPr="00C03ECB">
        <w:rPr>
          <w:spacing w:val="-2"/>
          <w:kern w:val="0"/>
          <w:sz w:val="18"/>
          <w:szCs w:val="26"/>
          <w:rtl/>
          <w:lang w:val="en-CA"/>
        </w:rPr>
        <w:t>خطر</w:t>
      </w:r>
      <w:r w:rsidRPr="00C03ECB">
        <w:rPr>
          <w:rFonts w:hint="cs"/>
          <w:spacing w:val="-2"/>
          <w:kern w:val="0"/>
          <w:sz w:val="18"/>
          <w:szCs w:val="26"/>
          <w:rtl/>
          <w:lang w:val="en-CA"/>
        </w:rPr>
        <w:t>ا</w:t>
      </w:r>
      <w:r>
        <w:rPr>
          <w:rFonts w:hint="cs"/>
          <w:spacing w:val="-2"/>
          <w:kern w:val="0"/>
          <w:sz w:val="18"/>
          <w:szCs w:val="26"/>
          <w:rtl/>
          <w:lang w:val="en-CA"/>
        </w:rPr>
        <w:t>ً</w:t>
      </w:r>
      <w:r w:rsidRPr="00C03ECB">
        <w:rPr>
          <w:spacing w:val="-2"/>
          <w:kern w:val="0"/>
          <w:sz w:val="18"/>
          <w:szCs w:val="26"/>
          <w:rtl/>
          <w:lang w:val="en-CA"/>
        </w:rPr>
        <w:t xml:space="preserve"> كبير</w:t>
      </w:r>
      <w:r w:rsidRPr="00C03ECB">
        <w:rPr>
          <w:rFonts w:hint="cs"/>
          <w:spacing w:val="-2"/>
          <w:kern w:val="0"/>
          <w:sz w:val="18"/>
          <w:szCs w:val="26"/>
          <w:rtl/>
          <w:lang w:val="en-CA"/>
        </w:rPr>
        <w:t>ا</w:t>
      </w:r>
      <w:r>
        <w:rPr>
          <w:rFonts w:hint="cs"/>
          <w:spacing w:val="-2"/>
          <w:kern w:val="0"/>
          <w:sz w:val="18"/>
          <w:szCs w:val="26"/>
          <w:rtl/>
          <w:lang w:val="en-CA"/>
        </w:rPr>
        <w:t>ً</w:t>
      </w:r>
      <w:r w:rsidRPr="00C03ECB">
        <w:rPr>
          <w:spacing w:val="-2"/>
          <w:kern w:val="0"/>
          <w:sz w:val="18"/>
          <w:szCs w:val="26"/>
          <w:rtl/>
          <w:lang w:val="en-CA"/>
        </w:rPr>
        <w:t xml:space="preserve"> </w:t>
      </w:r>
      <w:r w:rsidRPr="00C03ECB">
        <w:rPr>
          <w:rFonts w:hint="cs"/>
          <w:spacing w:val="-2"/>
          <w:kern w:val="0"/>
          <w:sz w:val="18"/>
          <w:szCs w:val="26"/>
          <w:rtl/>
          <w:lang w:val="en-CA"/>
        </w:rPr>
        <w:t>با</w:t>
      </w:r>
      <w:r w:rsidRPr="00C03ECB">
        <w:rPr>
          <w:spacing w:val="-2"/>
          <w:kern w:val="0"/>
          <w:sz w:val="18"/>
          <w:szCs w:val="26"/>
          <w:rtl/>
          <w:lang w:val="en-CA"/>
        </w:rPr>
        <w:t xml:space="preserve">لتعرض </w:t>
      </w:r>
      <w:r w:rsidRPr="00C03ECB">
        <w:rPr>
          <w:rFonts w:hint="cs"/>
          <w:spacing w:val="-2"/>
          <w:kern w:val="0"/>
          <w:sz w:val="18"/>
          <w:szCs w:val="26"/>
          <w:rtl/>
          <w:lang w:val="en-CA"/>
        </w:rPr>
        <w:t xml:space="preserve">لضغوط </w:t>
      </w:r>
      <w:r w:rsidRPr="00C03ECB">
        <w:rPr>
          <w:spacing w:val="-2"/>
          <w:kern w:val="0"/>
          <w:sz w:val="18"/>
          <w:szCs w:val="26"/>
          <w:rtl/>
          <w:lang w:val="en-CA"/>
        </w:rPr>
        <w:t xml:space="preserve">من قبل </w:t>
      </w:r>
      <w:r w:rsidRPr="00C03ECB">
        <w:rPr>
          <w:rFonts w:hint="cs"/>
          <w:spacing w:val="-2"/>
          <w:kern w:val="0"/>
          <w:sz w:val="18"/>
          <w:szCs w:val="26"/>
          <w:rtl/>
          <w:lang w:val="en-CA"/>
        </w:rPr>
        <w:t xml:space="preserve">دوائر </w:t>
      </w:r>
      <w:r w:rsidRPr="00C03ECB">
        <w:rPr>
          <w:spacing w:val="-2"/>
          <w:kern w:val="0"/>
          <w:sz w:val="18"/>
          <w:szCs w:val="26"/>
          <w:rtl/>
          <w:lang w:val="en-CA"/>
        </w:rPr>
        <w:t xml:space="preserve">الأمن أو </w:t>
      </w:r>
      <w:r w:rsidRPr="00C03ECB">
        <w:rPr>
          <w:rFonts w:hint="cs"/>
          <w:spacing w:val="-2"/>
          <w:kern w:val="0"/>
          <w:sz w:val="18"/>
          <w:szCs w:val="26"/>
          <w:rtl/>
          <w:lang w:val="en-CA"/>
        </w:rPr>
        <w:t xml:space="preserve">المعاملة </w:t>
      </w:r>
      <w:r w:rsidRPr="00C03ECB">
        <w:rPr>
          <w:spacing w:val="-2"/>
          <w:kern w:val="0"/>
          <w:sz w:val="18"/>
          <w:szCs w:val="26"/>
          <w:rtl/>
          <w:lang w:val="en-CA"/>
        </w:rPr>
        <w:t>بدون رأفة من قبل غالبية السكان. وأي شخص</w:t>
      </w:r>
      <w:r w:rsidRPr="00C03ECB">
        <w:rPr>
          <w:rFonts w:hint="cs"/>
          <w:spacing w:val="-2"/>
          <w:kern w:val="0"/>
          <w:sz w:val="18"/>
          <w:szCs w:val="26"/>
          <w:rtl/>
          <w:lang w:val="en-CA"/>
        </w:rPr>
        <w:t xml:space="preserve"> مُرحّل</w:t>
      </w:r>
      <w:r w:rsidRPr="00C03ECB">
        <w:rPr>
          <w:spacing w:val="-2"/>
          <w:kern w:val="0"/>
          <w:sz w:val="18"/>
          <w:szCs w:val="26"/>
          <w:rtl/>
          <w:lang w:val="en-CA"/>
        </w:rPr>
        <w:t xml:space="preserve"> يحال </w:t>
      </w:r>
      <w:r w:rsidRPr="00C03ECB">
        <w:rPr>
          <w:rFonts w:hint="cs"/>
          <w:spacing w:val="-2"/>
          <w:kern w:val="0"/>
          <w:sz w:val="18"/>
          <w:szCs w:val="26"/>
          <w:rtl/>
          <w:lang w:val="en-CA"/>
        </w:rPr>
        <w:t xml:space="preserve">عند </w:t>
      </w:r>
      <w:r w:rsidRPr="00C03ECB">
        <w:rPr>
          <w:spacing w:val="-2"/>
          <w:kern w:val="0"/>
          <w:sz w:val="18"/>
          <w:szCs w:val="26"/>
          <w:rtl/>
          <w:lang w:val="en-CA"/>
        </w:rPr>
        <w:t xml:space="preserve">عودته إلى أحد </w:t>
      </w:r>
      <w:r w:rsidRPr="00C03ECB">
        <w:rPr>
          <w:rFonts w:hint="cs"/>
          <w:spacing w:val="-2"/>
          <w:kern w:val="0"/>
          <w:sz w:val="18"/>
          <w:szCs w:val="26"/>
          <w:rtl/>
          <w:lang w:val="en-CA"/>
        </w:rPr>
        <w:t xml:space="preserve">موظفي </w:t>
      </w:r>
      <w:r w:rsidRPr="00C03ECB">
        <w:rPr>
          <w:spacing w:val="-2"/>
          <w:kern w:val="0"/>
          <w:sz w:val="18"/>
          <w:szCs w:val="26"/>
          <w:rtl/>
          <w:lang w:val="en-CA"/>
        </w:rPr>
        <w:t>وزارة الأ</w:t>
      </w:r>
      <w:r w:rsidRPr="00C03ECB">
        <w:rPr>
          <w:rFonts w:hint="eastAsia"/>
          <w:spacing w:val="-2"/>
          <w:kern w:val="0"/>
          <w:sz w:val="18"/>
          <w:szCs w:val="26"/>
          <w:rtl/>
          <w:lang w:val="en-CA"/>
        </w:rPr>
        <w:t>من</w:t>
      </w:r>
      <w:r w:rsidRPr="00C03ECB">
        <w:rPr>
          <w:spacing w:val="-2"/>
          <w:kern w:val="0"/>
          <w:sz w:val="18"/>
          <w:szCs w:val="26"/>
          <w:rtl/>
          <w:lang w:val="en-CA"/>
        </w:rPr>
        <w:t xml:space="preserve"> الوطني في المطار للتحقق من هويته واستجوابه [...]</w:t>
      </w:r>
      <w:r w:rsidRPr="00C03ECB">
        <w:rPr>
          <w:rFonts w:hint="cs"/>
          <w:spacing w:val="-2"/>
          <w:kern w:val="0"/>
          <w:sz w:val="18"/>
          <w:szCs w:val="26"/>
          <w:rtl/>
          <w:lang w:val="en-CA"/>
        </w:rPr>
        <w:t>،</w:t>
      </w:r>
      <w:r w:rsidRPr="00C03ECB">
        <w:rPr>
          <w:spacing w:val="-2"/>
          <w:kern w:val="0"/>
          <w:sz w:val="18"/>
          <w:szCs w:val="26"/>
          <w:rtl/>
          <w:lang w:val="en-CA"/>
        </w:rPr>
        <w:t xml:space="preserve"> وإذا </w:t>
      </w:r>
      <w:r w:rsidRPr="00C03ECB">
        <w:rPr>
          <w:rFonts w:hint="cs"/>
          <w:spacing w:val="-2"/>
          <w:kern w:val="0"/>
          <w:sz w:val="18"/>
          <w:szCs w:val="26"/>
          <w:rtl/>
          <w:lang w:val="en-CA"/>
        </w:rPr>
        <w:t xml:space="preserve">لزم </w:t>
      </w:r>
      <w:r w:rsidRPr="00C03ECB">
        <w:rPr>
          <w:spacing w:val="-2"/>
          <w:kern w:val="0"/>
          <w:sz w:val="18"/>
          <w:szCs w:val="26"/>
          <w:rtl/>
          <w:lang w:val="en-CA"/>
        </w:rPr>
        <w:t>الأمر، يحال الشخص الم</w:t>
      </w:r>
      <w:r w:rsidRPr="00C03ECB">
        <w:rPr>
          <w:rFonts w:hint="cs"/>
          <w:spacing w:val="-2"/>
          <w:kern w:val="0"/>
          <w:sz w:val="18"/>
          <w:szCs w:val="26"/>
          <w:rtl/>
          <w:lang w:val="en-CA"/>
        </w:rPr>
        <w:t>ُ</w:t>
      </w:r>
      <w:r w:rsidRPr="00C03ECB">
        <w:rPr>
          <w:spacing w:val="-2"/>
          <w:kern w:val="0"/>
          <w:sz w:val="18"/>
          <w:szCs w:val="26"/>
          <w:rtl/>
          <w:lang w:val="en-CA"/>
        </w:rPr>
        <w:t>رح</w:t>
      </w:r>
      <w:r w:rsidRPr="00C03ECB">
        <w:rPr>
          <w:rFonts w:hint="cs"/>
          <w:spacing w:val="-2"/>
          <w:kern w:val="0"/>
          <w:sz w:val="18"/>
          <w:szCs w:val="26"/>
          <w:rtl/>
          <w:lang w:val="en-CA"/>
        </w:rPr>
        <w:t>ّ</w:t>
      </w:r>
      <w:r w:rsidRPr="00C03ECB">
        <w:rPr>
          <w:spacing w:val="-2"/>
          <w:kern w:val="0"/>
          <w:sz w:val="18"/>
          <w:szCs w:val="26"/>
          <w:rtl/>
          <w:lang w:val="en-CA"/>
        </w:rPr>
        <w:t xml:space="preserve">ل إلى وزارة الأمن الوطني </w:t>
      </w:r>
      <w:r w:rsidRPr="00C03ECB">
        <w:rPr>
          <w:rFonts w:hint="cs"/>
          <w:spacing w:val="-2"/>
          <w:kern w:val="0"/>
          <w:sz w:val="18"/>
          <w:szCs w:val="26"/>
          <w:rtl/>
          <w:lang w:val="en-CA"/>
        </w:rPr>
        <w:t>لمزيد من الاستجواب</w:t>
      </w:r>
      <w:r>
        <w:rPr>
          <w:rFonts w:hint="cs"/>
          <w:spacing w:val="-2"/>
          <w:kern w:val="0"/>
          <w:sz w:val="18"/>
          <w:szCs w:val="26"/>
          <w:rtl/>
          <w:lang w:val="en-CA"/>
        </w:rPr>
        <w:t>".</w:t>
      </w:r>
    </w:p>
  </w:footnote>
  <w:footnote w:id="247">
    <w:p w:rsidR="00D64D4C" w:rsidRPr="00C03ECB" w:rsidRDefault="00D64D4C" w:rsidP="00C03ECB">
      <w:pPr>
        <w:pStyle w:val="FootnoteText"/>
        <w:numPr>
          <w:ilvl w:val="0"/>
          <w:numId w:val="53"/>
        </w:numPr>
        <w:tabs>
          <w:tab w:val="left" w:pos="1253"/>
        </w:tabs>
        <w:spacing w:after="60" w:line="300" w:lineRule="exact"/>
        <w:ind w:left="1248" w:right="1247" w:hanging="227"/>
        <w:jc w:val="lowKashida"/>
        <w:rPr>
          <w:rFonts w:hint="cs"/>
          <w:spacing w:val="0"/>
          <w:kern w:val="0"/>
          <w:sz w:val="18"/>
          <w:szCs w:val="26"/>
        </w:rPr>
      </w:pPr>
      <w:r w:rsidRPr="00C03ECB">
        <w:rPr>
          <w:spacing w:val="0"/>
          <w:kern w:val="0"/>
          <w:sz w:val="18"/>
          <w:szCs w:val="26"/>
          <w:rtl/>
          <w:lang w:val="en-CA"/>
        </w:rPr>
        <w:t>انظر البلاغ رقم 216/2002</w:t>
      </w:r>
      <w:r w:rsidRPr="00C03ECB">
        <w:rPr>
          <w:rFonts w:hint="cs"/>
          <w:spacing w:val="0"/>
          <w:kern w:val="0"/>
          <w:sz w:val="18"/>
          <w:szCs w:val="26"/>
          <w:rtl/>
          <w:lang w:val="en-CA"/>
        </w:rPr>
        <w:t>،</w:t>
      </w:r>
      <w:r w:rsidRPr="00C03ECB">
        <w:rPr>
          <w:spacing w:val="0"/>
          <w:kern w:val="0"/>
          <w:sz w:val="18"/>
          <w:szCs w:val="26"/>
          <w:rtl/>
          <w:lang w:val="en-CA"/>
        </w:rPr>
        <w:t xml:space="preserve"> </w:t>
      </w:r>
      <w:r w:rsidRPr="00C03ECB">
        <w:rPr>
          <w:rFonts w:hint="cs"/>
          <w:i/>
          <w:iCs/>
          <w:spacing w:val="0"/>
          <w:kern w:val="0"/>
          <w:sz w:val="18"/>
          <w:szCs w:val="26"/>
          <w:rtl/>
          <w:lang w:val="en-CA"/>
        </w:rPr>
        <w:t>ﻫ</w:t>
      </w:r>
      <w:r w:rsidRPr="00C03ECB">
        <w:rPr>
          <w:i/>
          <w:iCs/>
          <w:spacing w:val="0"/>
          <w:kern w:val="0"/>
          <w:sz w:val="18"/>
          <w:szCs w:val="26"/>
          <w:rtl/>
          <w:lang w:val="en-CA"/>
        </w:rPr>
        <w:t>.</w:t>
      </w:r>
      <w:r w:rsidRPr="00C03ECB">
        <w:rPr>
          <w:rFonts w:hint="cs"/>
          <w:i/>
          <w:iCs/>
          <w:spacing w:val="0"/>
          <w:kern w:val="0"/>
          <w:sz w:val="18"/>
          <w:szCs w:val="26"/>
          <w:rtl/>
          <w:lang w:val="en-CA"/>
        </w:rPr>
        <w:t xml:space="preserve"> </w:t>
      </w:r>
      <w:r w:rsidRPr="00C03ECB">
        <w:rPr>
          <w:i/>
          <w:iCs/>
          <w:spacing w:val="0"/>
          <w:kern w:val="0"/>
          <w:sz w:val="18"/>
          <w:szCs w:val="26"/>
          <w:rtl/>
          <w:lang w:val="en-CA"/>
        </w:rPr>
        <w:t>إ.</w:t>
      </w:r>
      <w:r w:rsidRPr="00C03ECB">
        <w:rPr>
          <w:rFonts w:hint="cs"/>
          <w:i/>
          <w:iCs/>
          <w:spacing w:val="0"/>
          <w:kern w:val="0"/>
          <w:sz w:val="18"/>
          <w:szCs w:val="26"/>
          <w:rtl/>
          <w:lang w:val="en-CA"/>
        </w:rPr>
        <w:t xml:space="preserve"> </w:t>
      </w:r>
      <w:r w:rsidRPr="00C03ECB">
        <w:rPr>
          <w:i/>
          <w:iCs/>
          <w:spacing w:val="0"/>
          <w:kern w:val="0"/>
          <w:sz w:val="18"/>
          <w:szCs w:val="26"/>
          <w:rtl/>
          <w:lang w:val="en-CA"/>
        </w:rPr>
        <w:t>أ. ضد السويد</w:t>
      </w:r>
      <w:r w:rsidRPr="00C03ECB">
        <w:rPr>
          <w:spacing w:val="0"/>
          <w:kern w:val="0"/>
          <w:sz w:val="18"/>
          <w:szCs w:val="26"/>
          <w:rtl/>
          <w:lang w:val="en-CA"/>
        </w:rPr>
        <w:t xml:space="preserve">، القرار المعتمد في 2 أيار/مايو </w:t>
      </w:r>
      <w:r w:rsidRPr="00C03ECB">
        <w:rPr>
          <w:spacing w:val="0"/>
          <w:kern w:val="0"/>
          <w:sz w:val="18"/>
          <w:szCs w:val="26"/>
          <w:rtl/>
        </w:rPr>
        <w:t>2003</w:t>
      </w:r>
      <w:r w:rsidRPr="00C03ECB">
        <w:rPr>
          <w:spacing w:val="0"/>
          <w:kern w:val="0"/>
          <w:sz w:val="18"/>
          <w:szCs w:val="26"/>
          <w:rtl/>
          <w:lang w:val="en-CA"/>
        </w:rPr>
        <w:t>، الفقرة 6-2.</w:t>
      </w:r>
    </w:p>
  </w:footnote>
  <w:footnote w:id="248">
    <w:p w:rsidR="00D64D4C" w:rsidRPr="00C03ECB" w:rsidRDefault="00D64D4C" w:rsidP="00C03ECB">
      <w:pPr>
        <w:pStyle w:val="FootnoteText"/>
        <w:numPr>
          <w:ilvl w:val="0"/>
          <w:numId w:val="53"/>
        </w:numPr>
        <w:tabs>
          <w:tab w:val="left" w:pos="1253"/>
        </w:tabs>
        <w:spacing w:after="60" w:line="300" w:lineRule="exact"/>
        <w:ind w:left="1248" w:right="1247" w:hanging="227"/>
        <w:jc w:val="lowKashida"/>
        <w:rPr>
          <w:rFonts w:hint="cs"/>
          <w:spacing w:val="0"/>
          <w:kern w:val="0"/>
          <w:sz w:val="18"/>
          <w:szCs w:val="26"/>
        </w:rPr>
      </w:pPr>
      <w:r w:rsidRPr="00C03ECB">
        <w:rPr>
          <w:spacing w:val="-2"/>
          <w:kern w:val="0"/>
          <w:sz w:val="18"/>
          <w:szCs w:val="26"/>
          <w:rtl/>
          <w:lang w:val="en-CA"/>
        </w:rPr>
        <w:t xml:space="preserve">انظر البلاغين رقم 150/1999، </w:t>
      </w:r>
      <w:r w:rsidRPr="00C03ECB">
        <w:rPr>
          <w:i/>
          <w:iCs/>
          <w:spacing w:val="-2"/>
          <w:kern w:val="0"/>
          <w:sz w:val="18"/>
          <w:szCs w:val="26"/>
          <w:rtl/>
          <w:lang w:val="en-CA"/>
        </w:rPr>
        <w:t>س.</w:t>
      </w:r>
      <w:r w:rsidRPr="00C03ECB">
        <w:rPr>
          <w:rFonts w:hint="cs"/>
          <w:i/>
          <w:iCs/>
          <w:spacing w:val="-2"/>
          <w:kern w:val="0"/>
          <w:sz w:val="18"/>
          <w:szCs w:val="26"/>
          <w:rtl/>
          <w:lang w:val="en-CA"/>
        </w:rPr>
        <w:t xml:space="preserve"> </w:t>
      </w:r>
      <w:r w:rsidRPr="00C03ECB">
        <w:rPr>
          <w:i/>
          <w:iCs/>
          <w:spacing w:val="-2"/>
          <w:kern w:val="0"/>
          <w:sz w:val="18"/>
          <w:szCs w:val="26"/>
          <w:rtl/>
          <w:lang w:val="en-CA"/>
        </w:rPr>
        <w:t>ل. ضد السويد</w:t>
      </w:r>
      <w:r w:rsidRPr="00C03ECB">
        <w:rPr>
          <w:spacing w:val="-2"/>
          <w:kern w:val="0"/>
          <w:sz w:val="18"/>
          <w:szCs w:val="26"/>
          <w:rtl/>
          <w:lang w:val="en-CA"/>
        </w:rPr>
        <w:t xml:space="preserve">، </w:t>
      </w:r>
      <w:r w:rsidRPr="00C03ECB">
        <w:rPr>
          <w:rFonts w:hint="cs"/>
          <w:spacing w:val="-2"/>
          <w:kern w:val="0"/>
          <w:sz w:val="18"/>
          <w:szCs w:val="26"/>
          <w:rtl/>
          <w:lang w:val="en-CA"/>
        </w:rPr>
        <w:t xml:space="preserve">القرار </w:t>
      </w:r>
      <w:r w:rsidRPr="00C03ECB">
        <w:rPr>
          <w:spacing w:val="-2"/>
          <w:kern w:val="0"/>
          <w:sz w:val="18"/>
          <w:szCs w:val="26"/>
          <w:rtl/>
          <w:lang w:val="en-CA"/>
        </w:rPr>
        <w:t xml:space="preserve">المعتمد في 11 أيار/مايو 2001، الفقرة 6-3؛ ورقم 213/2002، </w:t>
      </w:r>
      <w:r w:rsidRPr="00C03ECB">
        <w:rPr>
          <w:i/>
          <w:iCs/>
          <w:spacing w:val="-2"/>
          <w:kern w:val="0"/>
          <w:sz w:val="18"/>
          <w:szCs w:val="26"/>
          <w:rtl/>
          <w:lang w:val="en-CA"/>
        </w:rPr>
        <w:t>إ.</w:t>
      </w:r>
      <w:r w:rsidRPr="00C03ECB">
        <w:rPr>
          <w:rFonts w:hint="cs"/>
          <w:i/>
          <w:iCs/>
          <w:spacing w:val="-2"/>
          <w:kern w:val="0"/>
          <w:sz w:val="18"/>
          <w:szCs w:val="26"/>
          <w:rtl/>
          <w:lang w:val="en-CA"/>
        </w:rPr>
        <w:t xml:space="preserve"> </w:t>
      </w:r>
      <w:r w:rsidRPr="00C03ECB">
        <w:rPr>
          <w:i/>
          <w:iCs/>
          <w:spacing w:val="-2"/>
          <w:kern w:val="0"/>
          <w:sz w:val="18"/>
          <w:szCs w:val="26"/>
          <w:rtl/>
          <w:lang w:val="en-CA"/>
        </w:rPr>
        <w:t>ج.</w:t>
      </w:r>
      <w:r w:rsidRPr="00C03ECB">
        <w:rPr>
          <w:rFonts w:hint="cs"/>
          <w:i/>
          <w:iCs/>
          <w:spacing w:val="-2"/>
          <w:kern w:val="0"/>
          <w:sz w:val="18"/>
          <w:szCs w:val="26"/>
          <w:rtl/>
          <w:lang w:val="en-CA"/>
        </w:rPr>
        <w:t xml:space="preserve"> </w:t>
      </w:r>
      <w:r w:rsidRPr="00C03ECB">
        <w:rPr>
          <w:i/>
          <w:iCs/>
          <w:spacing w:val="-2"/>
          <w:kern w:val="0"/>
          <w:sz w:val="18"/>
          <w:szCs w:val="26"/>
          <w:rtl/>
          <w:lang w:val="en-CA"/>
        </w:rPr>
        <w:t>ف.</w:t>
      </w:r>
      <w:r w:rsidRPr="00C03ECB">
        <w:rPr>
          <w:rFonts w:hint="cs"/>
          <w:i/>
          <w:iCs/>
          <w:spacing w:val="-2"/>
          <w:kern w:val="0"/>
          <w:sz w:val="18"/>
          <w:szCs w:val="26"/>
          <w:rtl/>
          <w:lang w:val="en-CA"/>
        </w:rPr>
        <w:t xml:space="preserve"> </w:t>
      </w:r>
      <w:r w:rsidRPr="00C03ECB">
        <w:rPr>
          <w:i/>
          <w:iCs/>
          <w:spacing w:val="-2"/>
          <w:kern w:val="0"/>
          <w:sz w:val="18"/>
          <w:szCs w:val="26"/>
          <w:rtl/>
          <w:lang w:val="en-CA"/>
        </w:rPr>
        <w:t>م. ضد السويد</w:t>
      </w:r>
      <w:r w:rsidRPr="00C03ECB">
        <w:rPr>
          <w:spacing w:val="-2"/>
          <w:kern w:val="0"/>
          <w:sz w:val="18"/>
          <w:szCs w:val="26"/>
          <w:rtl/>
          <w:lang w:val="en-CA"/>
        </w:rPr>
        <w:t>، القرار المعتمد في 14 تشرين الثاني/نوفمبر 2003،</w:t>
      </w:r>
      <w:r w:rsidRPr="00C03ECB">
        <w:rPr>
          <w:rFonts w:hint="cs"/>
          <w:spacing w:val="0"/>
          <w:kern w:val="0"/>
          <w:sz w:val="18"/>
          <w:szCs w:val="26"/>
          <w:rtl/>
          <w:lang w:val="en-CA"/>
        </w:rPr>
        <w:t xml:space="preserve"> </w:t>
      </w:r>
      <w:r w:rsidRPr="00C03ECB">
        <w:rPr>
          <w:spacing w:val="0"/>
          <w:kern w:val="0"/>
          <w:sz w:val="18"/>
          <w:szCs w:val="26"/>
          <w:rtl/>
          <w:lang w:val="en-CA"/>
        </w:rPr>
        <w:t>الفقرة</w:t>
      </w:r>
      <w:r>
        <w:rPr>
          <w:rFonts w:hint="cs"/>
          <w:spacing w:val="0"/>
          <w:kern w:val="0"/>
          <w:sz w:val="18"/>
          <w:szCs w:val="26"/>
          <w:rtl/>
          <w:lang w:val="en-CA"/>
        </w:rPr>
        <w:t> </w:t>
      </w:r>
      <w:r w:rsidRPr="00C03ECB">
        <w:rPr>
          <w:spacing w:val="0"/>
          <w:kern w:val="0"/>
          <w:sz w:val="18"/>
          <w:szCs w:val="26"/>
          <w:rtl/>
          <w:lang w:val="en-CA"/>
        </w:rPr>
        <w:t>8-3.</w:t>
      </w:r>
    </w:p>
  </w:footnote>
  <w:footnote w:id="249">
    <w:p w:rsidR="00D64D4C" w:rsidRPr="00C03ECB" w:rsidRDefault="00D64D4C" w:rsidP="00C03ECB">
      <w:pPr>
        <w:pStyle w:val="FootnoteText"/>
        <w:numPr>
          <w:ilvl w:val="0"/>
          <w:numId w:val="53"/>
        </w:numPr>
        <w:tabs>
          <w:tab w:val="left" w:pos="1253"/>
        </w:tabs>
        <w:spacing w:after="60" w:line="300" w:lineRule="exact"/>
        <w:ind w:left="1248" w:right="1247" w:hanging="227"/>
        <w:jc w:val="lowKashida"/>
        <w:rPr>
          <w:rFonts w:hint="cs"/>
          <w:spacing w:val="0"/>
          <w:kern w:val="0"/>
          <w:sz w:val="18"/>
          <w:szCs w:val="26"/>
        </w:rPr>
      </w:pPr>
      <w:r w:rsidRPr="00C03ECB">
        <w:rPr>
          <w:spacing w:val="0"/>
          <w:kern w:val="0"/>
          <w:sz w:val="18"/>
          <w:szCs w:val="26"/>
          <w:rtl/>
          <w:lang w:val="en-CA"/>
        </w:rPr>
        <w:t>وزارة الخارجية السويدية، تقرير حقوق الإنسان بشأن أذربيجان</w:t>
      </w:r>
      <w:r w:rsidRPr="00C03ECB">
        <w:rPr>
          <w:rFonts w:hint="cs"/>
          <w:spacing w:val="0"/>
          <w:kern w:val="0"/>
          <w:sz w:val="18"/>
          <w:szCs w:val="26"/>
          <w:rtl/>
          <w:lang w:val="en-CA"/>
        </w:rPr>
        <w:t xml:space="preserve"> </w:t>
      </w:r>
      <w:r w:rsidRPr="00C03ECB">
        <w:rPr>
          <w:spacing w:val="0"/>
          <w:kern w:val="0"/>
          <w:sz w:val="18"/>
          <w:szCs w:val="26"/>
          <w:rtl/>
          <w:lang w:val="en-CA"/>
        </w:rPr>
        <w:t>لعام 2007.</w:t>
      </w:r>
    </w:p>
  </w:footnote>
  <w:footnote w:id="250">
    <w:p w:rsidR="00D64D4C" w:rsidRPr="00C03ECB" w:rsidRDefault="00D64D4C" w:rsidP="00C03ECB">
      <w:pPr>
        <w:pStyle w:val="FootnoteText"/>
        <w:tabs>
          <w:tab w:val="left" w:pos="1253"/>
        </w:tabs>
        <w:spacing w:after="60" w:line="300" w:lineRule="exact"/>
        <w:ind w:left="1239" w:right="1247" w:hanging="476"/>
        <w:jc w:val="lowKashida"/>
        <w:rPr>
          <w:rFonts w:hint="cs"/>
          <w:spacing w:val="0"/>
          <w:kern w:val="0"/>
          <w:sz w:val="18"/>
          <w:szCs w:val="26"/>
        </w:rPr>
      </w:pPr>
      <w:r w:rsidRPr="00C03ECB">
        <w:rPr>
          <w:rFonts w:hint="cs"/>
          <w:spacing w:val="0"/>
          <w:kern w:val="0"/>
          <w:sz w:val="18"/>
          <w:szCs w:val="26"/>
          <w:rtl/>
        </w:rPr>
        <w:t>(</w:t>
      </w:r>
      <w:r w:rsidRPr="00C03ECB">
        <w:rPr>
          <w:rFonts w:hint="cs"/>
          <w:spacing w:val="0"/>
          <w:kern w:val="0"/>
          <w:sz w:val="26"/>
          <w:szCs w:val="26"/>
          <w:rtl/>
        </w:rPr>
        <w:t>ﻫ</w:t>
      </w:r>
      <w:r w:rsidRPr="00C03ECB">
        <w:rPr>
          <w:rFonts w:hint="cs"/>
          <w:spacing w:val="0"/>
          <w:kern w:val="0"/>
          <w:sz w:val="18"/>
          <w:szCs w:val="26"/>
          <w:rtl/>
        </w:rPr>
        <w:t>)</w:t>
      </w:r>
      <w:r w:rsidRPr="00C03ECB">
        <w:rPr>
          <w:rFonts w:hint="cs"/>
          <w:spacing w:val="0"/>
          <w:kern w:val="0"/>
          <w:sz w:val="18"/>
          <w:szCs w:val="26"/>
          <w:rtl/>
        </w:rPr>
        <w:tab/>
      </w:r>
      <w:r w:rsidRPr="00C03ECB">
        <w:rPr>
          <w:spacing w:val="0"/>
          <w:kern w:val="0"/>
          <w:sz w:val="18"/>
          <w:szCs w:val="26"/>
        </w:rPr>
        <w:t xml:space="preserve">United Kingdom Home Office, </w:t>
      </w:r>
      <w:r w:rsidRPr="00C03ECB">
        <w:rPr>
          <w:i/>
          <w:spacing w:val="0"/>
          <w:kern w:val="0"/>
          <w:sz w:val="18"/>
          <w:szCs w:val="26"/>
        </w:rPr>
        <w:t>Operational Guidance Note: Azerbaijan</w:t>
      </w:r>
      <w:r w:rsidRPr="00C03ECB">
        <w:rPr>
          <w:spacing w:val="0"/>
          <w:kern w:val="0"/>
          <w:sz w:val="18"/>
          <w:szCs w:val="26"/>
        </w:rPr>
        <w:t>, 26 April 2007, paras. 3.6.2-3.6.3</w:t>
      </w:r>
      <w:r w:rsidRPr="00C03ECB">
        <w:rPr>
          <w:spacing w:val="0"/>
          <w:kern w:val="0"/>
          <w:sz w:val="18"/>
          <w:szCs w:val="26"/>
          <w:rtl/>
          <w:lang w:val="en-CA"/>
        </w:rPr>
        <w:t>.</w:t>
      </w:r>
    </w:p>
  </w:footnote>
  <w:footnote w:id="251">
    <w:p w:rsidR="00D64D4C" w:rsidRPr="00C03ECB" w:rsidRDefault="00D64D4C" w:rsidP="00C03ECB">
      <w:pPr>
        <w:pStyle w:val="FootnoteText"/>
        <w:tabs>
          <w:tab w:val="left" w:pos="1253"/>
        </w:tabs>
        <w:spacing w:after="60" w:line="300" w:lineRule="exact"/>
        <w:ind w:left="1239" w:right="1247" w:hanging="476"/>
        <w:jc w:val="lowKashida"/>
        <w:rPr>
          <w:rFonts w:hint="cs"/>
          <w:spacing w:val="0"/>
          <w:kern w:val="0"/>
          <w:sz w:val="18"/>
          <w:szCs w:val="26"/>
        </w:rPr>
      </w:pPr>
      <w:r w:rsidRPr="00C03ECB">
        <w:rPr>
          <w:rFonts w:hint="cs"/>
          <w:spacing w:val="0"/>
          <w:kern w:val="0"/>
          <w:sz w:val="18"/>
          <w:szCs w:val="26"/>
          <w:rtl/>
        </w:rPr>
        <w:t>(</w:t>
      </w:r>
      <w:r>
        <w:rPr>
          <w:rFonts w:hint="cs"/>
          <w:spacing w:val="0"/>
          <w:kern w:val="0"/>
          <w:sz w:val="26"/>
          <w:szCs w:val="26"/>
          <w:rtl/>
        </w:rPr>
        <w:t>و</w:t>
      </w:r>
      <w:r w:rsidRPr="00C03ECB">
        <w:rPr>
          <w:rFonts w:hint="cs"/>
          <w:spacing w:val="0"/>
          <w:kern w:val="0"/>
          <w:sz w:val="18"/>
          <w:szCs w:val="26"/>
          <w:rtl/>
        </w:rPr>
        <w:t>)</w:t>
      </w:r>
      <w:r w:rsidRPr="00C03ECB">
        <w:rPr>
          <w:rFonts w:hint="cs"/>
          <w:spacing w:val="0"/>
          <w:kern w:val="0"/>
          <w:sz w:val="18"/>
          <w:szCs w:val="26"/>
          <w:rtl/>
        </w:rPr>
        <w:tab/>
      </w:r>
      <w:r w:rsidRPr="00C03ECB">
        <w:rPr>
          <w:spacing w:val="0"/>
          <w:kern w:val="0"/>
          <w:sz w:val="18"/>
          <w:szCs w:val="26"/>
          <w:rtl/>
          <w:lang w:val="en-CA"/>
        </w:rPr>
        <w:t>مجلس أوروبا، تقرير أعده مفوض حقوق الإنسان السيد توماس هامابرغ عن زيارته لأذربيجان، 3-7 أيلول/سبتمبر 2007 (20 شباط/فبراير 2008)، الفقرة 91.</w:t>
      </w:r>
    </w:p>
  </w:footnote>
  <w:footnote w:id="252">
    <w:p w:rsidR="00D64D4C" w:rsidRPr="00C03ECB" w:rsidRDefault="00D64D4C" w:rsidP="00C03ECB">
      <w:pPr>
        <w:pStyle w:val="FootnoteText"/>
        <w:tabs>
          <w:tab w:val="left" w:pos="1253"/>
        </w:tabs>
        <w:spacing w:after="60" w:line="300" w:lineRule="exact"/>
        <w:ind w:left="1239" w:right="1247" w:hanging="476"/>
        <w:jc w:val="lowKashida"/>
        <w:rPr>
          <w:rFonts w:hint="cs"/>
          <w:spacing w:val="0"/>
          <w:kern w:val="0"/>
          <w:sz w:val="18"/>
          <w:szCs w:val="26"/>
        </w:rPr>
      </w:pPr>
      <w:r w:rsidRPr="00C03ECB">
        <w:rPr>
          <w:rFonts w:hint="cs"/>
          <w:spacing w:val="0"/>
          <w:kern w:val="0"/>
          <w:sz w:val="18"/>
          <w:szCs w:val="26"/>
          <w:rtl/>
        </w:rPr>
        <w:t>(</w:t>
      </w:r>
      <w:r>
        <w:rPr>
          <w:rFonts w:hint="cs"/>
          <w:spacing w:val="0"/>
          <w:kern w:val="0"/>
          <w:sz w:val="26"/>
          <w:szCs w:val="26"/>
          <w:rtl/>
        </w:rPr>
        <w:t>ز</w:t>
      </w:r>
      <w:r w:rsidRPr="00C03ECB">
        <w:rPr>
          <w:rFonts w:hint="cs"/>
          <w:spacing w:val="0"/>
          <w:kern w:val="0"/>
          <w:sz w:val="18"/>
          <w:szCs w:val="26"/>
          <w:rtl/>
        </w:rPr>
        <w:t>)</w:t>
      </w:r>
      <w:r w:rsidRPr="00C03ECB">
        <w:rPr>
          <w:rFonts w:hint="cs"/>
          <w:spacing w:val="0"/>
          <w:kern w:val="0"/>
          <w:sz w:val="18"/>
          <w:szCs w:val="26"/>
          <w:rtl/>
        </w:rPr>
        <w:tab/>
      </w:r>
      <w:r w:rsidRPr="00C03ECB">
        <w:rPr>
          <w:spacing w:val="0"/>
          <w:kern w:val="0"/>
          <w:sz w:val="18"/>
          <w:szCs w:val="26"/>
          <w:rtl/>
          <w:lang w:val="en-CA"/>
        </w:rPr>
        <w:t xml:space="preserve">مفوضية الأمم المتحدة لشؤون </w:t>
      </w:r>
      <w:r w:rsidRPr="00C03ECB">
        <w:rPr>
          <w:rFonts w:hint="cs"/>
          <w:spacing w:val="0"/>
          <w:kern w:val="0"/>
          <w:sz w:val="18"/>
          <w:szCs w:val="26"/>
          <w:rtl/>
          <w:lang w:val="en-CA"/>
        </w:rPr>
        <w:t>اللاجئين</w:t>
      </w:r>
      <w:r w:rsidRPr="00C03ECB">
        <w:rPr>
          <w:spacing w:val="0"/>
          <w:kern w:val="0"/>
          <w:sz w:val="18"/>
          <w:szCs w:val="26"/>
          <w:rtl/>
          <w:lang w:val="en-CA"/>
        </w:rPr>
        <w:t xml:space="preserve"> "اعتبارات الحماية الدولية </w:t>
      </w:r>
      <w:r w:rsidRPr="00C03ECB">
        <w:rPr>
          <w:rFonts w:hint="eastAsia"/>
          <w:spacing w:val="0"/>
          <w:kern w:val="0"/>
          <w:sz w:val="18"/>
          <w:szCs w:val="26"/>
          <w:rtl/>
          <w:lang w:val="en-CA"/>
        </w:rPr>
        <w:t>فيما</w:t>
      </w:r>
      <w:r w:rsidRPr="00C03ECB">
        <w:rPr>
          <w:spacing w:val="0"/>
          <w:kern w:val="0"/>
          <w:sz w:val="18"/>
          <w:szCs w:val="26"/>
          <w:rtl/>
          <w:lang w:val="en-CA"/>
        </w:rPr>
        <w:t xml:space="preserve"> يتعلق ب</w:t>
      </w:r>
      <w:r w:rsidRPr="00C03ECB">
        <w:rPr>
          <w:rFonts w:hint="cs"/>
          <w:spacing w:val="0"/>
          <w:kern w:val="0"/>
          <w:sz w:val="18"/>
          <w:szCs w:val="26"/>
          <w:rtl/>
          <w:lang w:val="en-CA"/>
        </w:rPr>
        <w:t>ملتمسي</w:t>
      </w:r>
      <w:r w:rsidRPr="00C03ECB">
        <w:rPr>
          <w:spacing w:val="0"/>
          <w:kern w:val="0"/>
          <w:sz w:val="18"/>
          <w:szCs w:val="26"/>
          <w:rtl/>
          <w:lang w:val="en-CA"/>
        </w:rPr>
        <w:t xml:space="preserve"> اللجوء </w:t>
      </w:r>
      <w:r w:rsidRPr="00C03ECB">
        <w:rPr>
          <w:rFonts w:hint="cs"/>
          <w:spacing w:val="0"/>
          <w:kern w:val="0"/>
          <w:sz w:val="18"/>
          <w:szCs w:val="26"/>
          <w:rtl/>
          <w:lang w:val="en-CA"/>
        </w:rPr>
        <w:t>واللاجئين</w:t>
      </w:r>
      <w:r w:rsidRPr="00C03ECB">
        <w:rPr>
          <w:spacing w:val="0"/>
          <w:kern w:val="0"/>
          <w:sz w:val="18"/>
          <w:szCs w:val="26"/>
          <w:rtl/>
          <w:lang w:val="en-CA"/>
        </w:rPr>
        <w:t xml:space="preserve"> الأذربيجانيين"</w:t>
      </w:r>
      <w:r w:rsidRPr="00C03ECB">
        <w:rPr>
          <w:rFonts w:hint="cs"/>
          <w:spacing w:val="0"/>
          <w:kern w:val="0"/>
          <w:sz w:val="18"/>
          <w:szCs w:val="26"/>
          <w:rtl/>
          <w:lang w:val="en-CA"/>
        </w:rPr>
        <w:t xml:space="preserve"> </w:t>
      </w:r>
      <w:r w:rsidRPr="00C03ECB">
        <w:rPr>
          <w:rFonts w:hint="eastAsia"/>
          <w:spacing w:val="0"/>
          <w:kern w:val="0"/>
          <w:sz w:val="18"/>
          <w:szCs w:val="26"/>
          <w:rtl/>
          <w:lang w:val="en-CA"/>
        </w:rPr>
        <w:t>أيلول</w:t>
      </w:r>
      <w:r w:rsidRPr="00C03ECB">
        <w:rPr>
          <w:spacing w:val="0"/>
          <w:kern w:val="0"/>
          <w:sz w:val="18"/>
          <w:szCs w:val="26"/>
          <w:rtl/>
          <w:lang w:val="en-CA"/>
        </w:rPr>
        <w:t>/سبتمبر 2003، الفقرة 124.</w:t>
      </w:r>
    </w:p>
  </w:footnote>
  <w:footnote w:id="253">
    <w:p w:rsidR="00D64D4C" w:rsidRPr="00C03ECB" w:rsidRDefault="00D64D4C" w:rsidP="00C03ECB">
      <w:pPr>
        <w:pStyle w:val="FootnoteText"/>
        <w:tabs>
          <w:tab w:val="left" w:pos="1211"/>
        </w:tabs>
        <w:spacing w:after="60" w:line="300" w:lineRule="exact"/>
        <w:ind w:left="1208" w:right="1247" w:hanging="488"/>
        <w:jc w:val="lowKashida"/>
        <w:rPr>
          <w:rFonts w:hint="cs"/>
          <w:spacing w:val="0"/>
          <w:kern w:val="0"/>
          <w:sz w:val="18"/>
          <w:szCs w:val="26"/>
        </w:rPr>
      </w:pPr>
      <w:r w:rsidRPr="00C03ECB">
        <w:rPr>
          <w:rFonts w:hint="cs"/>
          <w:spacing w:val="0"/>
          <w:kern w:val="0"/>
          <w:sz w:val="18"/>
          <w:szCs w:val="26"/>
          <w:rtl/>
        </w:rPr>
        <w:t>(</w:t>
      </w:r>
      <w:r w:rsidRPr="00C03ECB">
        <w:rPr>
          <w:rFonts w:hint="cs"/>
          <w:spacing w:val="0"/>
          <w:kern w:val="0"/>
          <w:sz w:val="26"/>
          <w:szCs w:val="26"/>
          <w:rtl/>
        </w:rPr>
        <w:t>ح</w:t>
      </w:r>
      <w:r w:rsidRPr="00C03ECB">
        <w:rPr>
          <w:rFonts w:hint="cs"/>
          <w:spacing w:val="0"/>
          <w:kern w:val="0"/>
          <w:sz w:val="18"/>
          <w:szCs w:val="26"/>
          <w:rtl/>
        </w:rPr>
        <w:t>)</w:t>
      </w:r>
      <w:r w:rsidRPr="00C03ECB">
        <w:rPr>
          <w:rFonts w:hint="cs"/>
          <w:spacing w:val="0"/>
          <w:kern w:val="0"/>
          <w:sz w:val="18"/>
          <w:szCs w:val="26"/>
          <w:rtl/>
        </w:rPr>
        <w:tab/>
      </w:r>
      <w:r w:rsidRPr="00C03ECB">
        <w:rPr>
          <w:spacing w:val="0"/>
          <w:kern w:val="0"/>
          <w:sz w:val="18"/>
          <w:szCs w:val="26"/>
          <w:rtl/>
          <w:lang w:val="en-CA"/>
        </w:rPr>
        <w:t xml:space="preserve">البلاغ رقم 103/1998، </w:t>
      </w:r>
      <w:r w:rsidRPr="00C03ECB">
        <w:rPr>
          <w:rFonts w:hint="cs"/>
          <w:i/>
          <w:iCs/>
          <w:spacing w:val="0"/>
          <w:kern w:val="0"/>
          <w:sz w:val="18"/>
          <w:szCs w:val="26"/>
          <w:rtl/>
          <w:lang w:val="en-CA"/>
        </w:rPr>
        <w:t>س</w:t>
      </w:r>
      <w:r w:rsidRPr="00C03ECB">
        <w:rPr>
          <w:i/>
          <w:iCs/>
          <w:spacing w:val="0"/>
          <w:kern w:val="0"/>
          <w:sz w:val="18"/>
          <w:szCs w:val="26"/>
          <w:rtl/>
          <w:lang w:val="en-CA"/>
        </w:rPr>
        <w:t>.</w:t>
      </w:r>
      <w:r w:rsidRPr="00C03ECB">
        <w:rPr>
          <w:rFonts w:hint="cs"/>
          <w:i/>
          <w:iCs/>
          <w:spacing w:val="0"/>
          <w:kern w:val="0"/>
          <w:sz w:val="18"/>
          <w:szCs w:val="26"/>
          <w:rtl/>
          <w:lang w:val="en-CA"/>
        </w:rPr>
        <w:t xml:space="preserve"> م.</w:t>
      </w:r>
      <w:r w:rsidRPr="00C03ECB">
        <w:rPr>
          <w:i/>
          <w:iCs/>
          <w:spacing w:val="0"/>
          <w:kern w:val="0"/>
          <w:sz w:val="18"/>
          <w:szCs w:val="26"/>
          <w:lang w:val="en-CA"/>
        </w:rPr>
        <w:t xml:space="preserve"> </w:t>
      </w:r>
      <w:r w:rsidRPr="00C03ECB">
        <w:rPr>
          <w:i/>
          <w:iCs/>
          <w:spacing w:val="0"/>
          <w:kern w:val="0"/>
          <w:sz w:val="18"/>
          <w:szCs w:val="26"/>
          <w:rtl/>
          <w:lang w:val="en-CA"/>
        </w:rPr>
        <w:t>ر. و</w:t>
      </w:r>
      <w:r w:rsidRPr="00C03ECB">
        <w:rPr>
          <w:rFonts w:hint="cs"/>
          <w:i/>
          <w:iCs/>
          <w:spacing w:val="0"/>
          <w:kern w:val="0"/>
          <w:sz w:val="18"/>
          <w:szCs w:val="26"/>
          <w:rtl/>
          <w:lang w:val="en-CA"/>
        </w:rPr>
        <w:t xml:space="preserve">م. </w:t>
      </w:r>
      <w:r w:rsidRPr="00C03ECB">
        <w:rPr>
          <w:i/>
          <w:iCs/>
          <w:spacing w:val="0"/>
          <w:kern w:val="0"/>
          <w:sz w:val="18"/>
          <w:szCs w:val="26"/>
          <w:rtl/>
          <w:lang w:val="en-CA"/>
        </w:rPr>
        <w:t>م.</w:t>
      </w:r>
      <w:r w:rsidRPr="00C03ECB">
        <w:rPr>
          <w:i/>
          <w:iCs/>
          <w:spacing w:val="0"/>
          <w:kern w:val="0"/>
          <w:sz w:val="18"/>
          <w:szCs w:val="26"/>
          <w:lang w:val="en-CA"/>
        </w:rPr>
        <w:t xml:space="preserve"> </w:t>
      </w:r>
      <w:r w:rsidRPr="00C03ECB">
        <w:rPr>
          <w:i/>
          <w:iCs/>
          <w:spacing w:val="0"/>
          <w:kern w:val="0"/>
          <w:sz w:val="18"/>
          <w:szCs w:val="26"/>
          <w:rtl/>
          <w:lang w:val="en-CA"/>
        </w:rPr>
        <w:t>ر. ضد السويد</w:t>
      </w:r>
      <w:r w:rsidRPr="00C03ECB">
        <w:rPr>
          <w:spacing w:val="0"/>
          <w:kern w:val="0"/>
          <w:sz w:val="18"/>
          <w:szCs w:val="26"/>
          <w:rtl/>
          <w:lang w:val="en-CA"/>
        </w:rPr>
        <w:t xml:space="preserve">، القرار المعتمد في 5 أيار/مايو 1999، </w:t>
      </w:r>
      <w:r w:rsidRPr="00C03ECB">
        <w:rPr>
          <w:spacing w:val="0"/>
          <w:kern w:val="0"/>
          <w:sz w:val="18"/>
          <w:szCs w:val="26"/>
          <w:rtl/>
        </w:rPr>
        <w:t>الفقرة</w:t>
      </w:r>
      <w:r>
        <w:rPr>
          <w:rFonts w:hint="cs"/>
          <w:spacing w:val="0"/>
          <w:kern w:val="0"/>
          <w:sz w:val="18"/>
          <w:szCs w:val="26"/>
          <w:rtl/>
        </w:rPr>
        <w:t> </w:t>
      </w:r>
      <w:r w:rsidRPr="00C03ECB">
        <w:rPr>
          <w:spacing w:val="0"/>
          <w:kern w:val="0"/>
          <w:sz w:val="18"/>
          <w:szCs w:val="26"/>
          <w:rtl/>
        </w:rPr>
        <w:t>9-7.</w:t>
      </w:r>
    </w:p>
  </w:footnote>
  <w:footnote w:id="254">
    <w:p w:rsidR="00D64D4C" w:rsidRPr="00C03ECB" w:rsidRDefault="00D64D4C" w:rsidP="00C03ECB">
      <w:pPr>
        <w:pStyle w:val="FootnoteText"/>
        <w:tabs>
          <w:tab w:val="left" w:pos="1211"/>
        </w:tabs>
        <w:spacing w:after="60" w:line="300" w:lineRule="exact"/>
        <w:ind w:left="1208" w:right="1247" w:hanging="488"/>
        <w:jc w:val="lowKashida"/>
        <w:rPr>
          <w:rFonts w:hint="cs"/>
          <w:spacing w:val="0"/>
          <w:kern w:val="0"/>
          <w:sz w:val="18"/>
          <w:szCs w:val="26"/>
        </w:rPr>
      </w:pPr>
      <w:r w:rsidRPr="00C03ECB">
        <w:rPr>
          <w:rFonts w:hint="cs"/>
          <w:spacing w:val="0"/>
          <w:kern w:val="0"/>
          <w:sz w:val="18"/>
          <w:szCs w:val="26"/>
          <w:rtl/>
        </w:rPr>
        <w:t>(</w:t>
      </w:r>
      <w:r w:rsidRPr="00C03ECB">
        <w:rPr>
          <w:rFonts w:hint="cs"/>
          <w:spacing w:val="0"/>
          <w:kern w:val="0"/>
          <w:sz w:val="26"/>
          <w:szCs w:val="26"/>
          <w:rtl/>
        </w:rPr>
        <w:t>ط</w:t>
      </w:r>
      <w:r w:rsidRPr="00C03ECB">
        <w:rPr>
          <w:rFonts w:hint="cs"/>
          <w:spacing w:val="0"/>
          <w:kern w:val="0"/>
          <w:sz w:val="18"/>
          <w:szCs w:val="26"/>
          <w:rtl/>
        </w:rPr>
        <w:t>)</w:t>
      </w:r>
      <w:r w:rsidRPr="00C03ECB">
        <w:rPr>
          <w:rFonts w:hint="cs"/>
          <w:spacing w:val="0"/>
          <w:kern w:val="0"/>
          <w:sz w:val="18"/>
          <w:szCs w:val="26"/>
          <w:rtl/>
        </w:rPr>
        <w:tab/>
      </w:r>
      <w:r w:rsidRPr="00C03ECB">
        <w:rPr>
          <w:spacing w:val="0"/>
          <w:kern w:val="0"/>
          <w:sz w:val="18"/>
          <w:szCs w:val="26"/>
          <w:rtl/>
          <w:lang w:val="en-CA"/>
        </w:rPr>
        <w:t>البلاغان رقم 150/1999، س</w:t>
      </w:r>
      <w:r w:rsidRPr="00C03ECB">
        <w:rPr>
          <w:i/>
          <w:iCs/>
          <w:spacing w:val="0"/>
          <w:kern w:val="0"/>
          <w:sz w:val="18"/>
          <w:szCs w:val="26"/>
          <w:rtl/>
          <w:lang w:val="en-CA"/>
        </w:rPr>
        <w:t>.</w:t>
      </w:r>
      <w:r w:rsidRPr="00C03ECB">
        <w:rPr>
          <w:i/>
          <w:iCs/>
          <w:spacing w:val="0"/>
          <w:kern w:val="0"/>
          <w:sz w:val="18"/>
          <w:szCs w:val="26"/>
          <w:lang w:val="en-CA"/>
        </w:rPr>
        <w:t xml:space="preserve"> </w:t>
      </w:r>
      <w:r w:rsidRPr="00C03ECB">
        <w:rPr>
          <w:i/>
          <w:iCs/>
          <w:spacing w:val="0"/>
          <w:kern w:val="0"/>
          <w:sz w:val="18"/>
          <w:szCs w:val="26"/>
          <w:rtl/>
          <w:lang w:val="en-CA"/>
        </w:rPr>
        <w:t>ل. ضد السويد</w:t>
      </w:r>
      <w:r w:rsidRPr="00C03ECB">
        <w:rPr>
          <w:spacing w:val="0"/>
          <w:kern w:val="0"/>
          <w:sz w:val="18"/>
          <w:szCs w:val="26"/>
          <w:rtl/>
          <w:lang w:val="en-CA"/>
        </w:rPr>
        <w:t xml:space="preserve">، القرار المعتمد في 11 أيار/مايو 2001، الفقرة 6-4؛ ورقم 265/2005، </w:t>
      </w:r>
      <w:r w:rsidRPr="00C03ECB">
        <w:rPr>
          <w:i/>
          <w:iCs/>
          <w:spacing w:val="0"/>
          <w:kern w:val="0"/>
          <w:sz w:val="18"/>
          <w:szCs w:val="26"/>
          <w:rtl/>
          <w:lang w:val="en-CA"/>
        </w:rPr>
        <w:t>أ.</w:t>
      </w:r>
      <w:r w:rsidRPr="00C03ECB">
        <w:rPr>
          <w:i/>
          <w:iCs/>
          <w:spacing w:val="0"/>
          <w:kern w:val="0"/>
          <w:sz w:val="18"/>
          <w:szCs w:val="26"/>
          <w:lang w:val="en-CA"/>
        </w:rPr>
        <w:t xml:space="preserve"> </w:t>
      </w:r>
      <w:r w:rsidRPr="00C03ECB">
        <w:rPr>
          <w:rFonts w:hint="cs"/>
          <w:i/>
          <w:iCs/>
          <w:spacing w:val="0"/>
          <w:kern w:val="0"/>
          <w:sz w:val="18"/>
          <w:szCs w:val="26"/>
          <w:rtl/>
          <w:lang w:val="en-CA"/>
        </w:rPr>
        <w:t>ﻫ</w:t>
      </w:r>
      <w:r w:rsidRPr="00C03ECB">
        <w:rPr>
          <w:i/>
          <w:iCs/>
          <w:spacing w:val="0"/>
          <w:kern w:val="0"/>
          <w:sz w:val="18"/>
          <w:szCs w:val="26"/>
          <w:rtl/>
          <w:lang w:val="en-CA"/>
        </w:rPr>
        <w:t>. ضد السويد</w:t>
      </w:r>
      <w:r w:rsidRPr="00C03ECB">
        <w:rPr>
          <w:spacing w:val="0"/>
          <w:kern w:val="0"/>
          <w:sz w:val="18"/>
          <w:szCs w:val="26"/>
          <w:rtl/>
          <w:lang w:val="en-CA"/>
        </w:rPr>
        <w:t>، القرار المعتمد في 16 تشرين الثاني/نوفمبر 2006، الفقرة 11-6.</w:t>
      </w:r>
    </w:p>
  </w:footnote>
  <w:footnote w:id="255">
    <w:p w:rsidR="00D64D4C" w:rsidRPr="00EA71E8" w:rsidRDefault="00D64D4C" w:rsidP="00EA71E8">
      <w:pPr>
        <w:pStyle w:val="FootnoteText"/>
        <w:tabs>
          <w:tab w:val="left" w:pos="1211"/>
        </w:tabs>
        <w:spacing w:after="60" w:line="280" w:lineRule="exact"/>
        <w:ind w:left="1213" w:right="1247" w:hanging="448"/>
        <w:jc w:val="lowKashida"/>
        <w:rPr>
          <w:rFonts w:hint="cs"/>
          <w:spacing w:val="0"/>
          <w:kern w:val="0"/>
          <w:sz w:val="18"/>
          <w:szCs w:val="26"/>
          <w:rtl/>
          <w:lang w:val="en-CA"/>
        </w:rPr>
      </w:pPr>
      <w:r w:rsidRPr="00EA71E8">
        <w:rPr>
          <w:rFonts w:hint="cs"/>
          <w:spacing w:val="0"/>
          <w:kern w:val="0"/>
          <w:sz w:val="18"/>
          <w:szCs w:val="26"/>
          <w:rtl/>
        </w:rPr>
        <w:t>(</w:t>
      </w:r>
      <w:r w:rsidRPr="00EA71E8">
        <w:rPr>
          <w:rFonts w:hint="cs"/>
          <w:spacing w:val="0"/>
          <w:kern w:val="0"/>
          <w:sz w:val="26"/>
          <w:szCs w:val="26"/>
          <w:rtl/>
        </w:rPr>
        <w:t>ي</w:t>
      </w:r>
      <w:r w:rsidRPr="00EA71E8">
        <w:rPr>
          <w:rFonts w:hint="cs"/>
          <w:spacing w:val="0"/>
          <w:kern w:val="0"/>
          <w:sz w:val="18"/>
          <w:szCs w:val="26"/>
          <w:rtl/>
        </w:rPr>
        <w:t>)</w:t>
      </w:r>
      <w:r w:rsidRPr="00EA71E8">
        <w:rPr>
          <w:rFonts w:hint="cs"/>
          <w:spacing w:val="0"/>
          <w:kern w:val="0"/>
          <w:sz w:val="18"/>
          <w:szCs w:val="26"/>
          <w:rtl/>
        </w:rPr>
        <w:tab/>
        <w:t xml:space="preserve">تعليق اللجنة العام رقم 1(1996) بشأن تنفيذ المادة 3 من الاتفاقية، </w:t>
      </w:r>
      <w:r w:rsidRPr="00EA71E8">
        <w:rPr>
          <w:rFonts w:hint="cs"/>
          <w:i/>
          <w:iCs/>
          <w:spacing w:val="0"/>
          <w:kern w:val="0"/>
          <w:sz w:val="18"/>
          <w:szCs w:val="26"/>
          <w:rtl/>
        </w:rPr>
        <w:t>الوثائق الرسمية للجمعية العامة، الدورة الثالثة والخمسون، الملحق رقم 44</w:t>
      </w:r>
      <w:r w:rsidRPr="00EA71E8">
        <w:rPr>
          <w:rFonts w:hint="cs"/>
          <w:spacing w:val="0"/>
          <w:kern w:val="0"/>
          <w:sz w:val="18"/>
          <w:szCs w:val="26"/>
          <w:rtl/>
        </w:rPr>
        <w:t xml:space="preserve"> (</w:t>
      </w:r>
      <w:r w:rsidRPr="00EA71E8">
        <w:rPr>
          <w:spacing w:val="0"/>
          <w:kern w:val="0"/>
          <w:sz w:val="18"/>
          <w:szCs w:val="26"/>
          <w:lang w:val="en-CA"/>
        </w:rPr>
        <w:t>A/53/44</w:t>
      </w:r>
      <w:r w:rsidRPr="00EA71E8">
        <w:rPr>
          <w:rFonts w:hint="cs"/>
          <w:spacing w:val="0"/>
          <w:kern w:val="0"/>
          <w:sz w:val="18"/>
          <w:szCs w:val="26"/>
          <w:rtl/>
          <w:lang w:val="en-CA"/>
        </w:rPr>
        <w:t xml:space="preserve"> و</w:t>
      </w:r>
      <w:r w:rsidRPr="00EA71E8">
        <w:rPr>
          <w:spacing w:val="0"/>
          <w:kern w:val="0"/>
          <w:sz w:val="18"/>
          <w:szCs w:val="26"/>
          <w:lang w:val="en-CA"/>
        </w:rPr>
        <w:t>Corr.1</w:t>
      </w:r>
      <w:r w:rsidRPr="00EA71E8">
        <w:rPr>
          <w:rFonts w:hint="cs"/>
          <w:spacing w:val="0"/>
          <w:kern w:val="0"/>
          <w:sz w:val="18"/>
          <w:szCs w:val="26"/>
          <w:rtl/>
          <w:lang w:val="en-CA"/>
        </w:rPr>
        <w:t>)، المرفق التاسع.</w:t>
      </w:r>
    </w:p>
  </w:footnote>
  <w:footnote w:id="256">
    <w:p w:rsidR="00D64D4C" w:rsidRPr="00EA71E8" w:rsidRDefault="00D64D4C" w:rsidP="00EA71E8">
      <w:pPr>
        <w:pStyle w:val="FootnoteText"/>
        <w:tabs>
          <w:tab w:val="left" w:pos="1211"/>
        </w:tabs>
        <w:spacing w:after="60" w:line="280" w:lineRule="exact"/>
        <w:ind w:left="1213" w:right="1247" w:hanging="448"/>
        <w:jc w:val="lowKashida"/>
        <w:rPr>
          <w:spacing w:val="-2"/>
          <w:kern w:val="0"/>
          <w:sz w:val="18"/>
          <w:szCs w:val="26"/>
          <w:lang w:val="en-CA"/>
        </w:rPr>
      </w:pPr>
      <w:r w:rsidRPr="00EA71E8">
        <w:rPr>
          <w:rFonts w:hint="cs"/>
          <w:spacing w:val="-2"/>
          <w:kern w:val="0"/>
          <w:sz w:val="18"/>
          <w:szCs w:val="26"/>
          <w:rtl/>
        </w:rPr>
        <w:t>(</w:t>
      </w:r>
      <w:r w:rsidRPr="00EA71E8">
        <w:rPr>
          <w:rFonts w:hint="cs"/>
          <w:spacing w:val="-2"/>
          <w:kern w:val="0"/>
          <w:sz w:val="26"/>
          <w:szCs w:val="26"/>
          <w:rtl/>
        </w:rPr>
        <w:t>ك</w:t>
      </w:r>
      <w:r w:rsidRPr="00EA71E8">
        <w:rPr>
          <w:rFonts w:hint="cs"/>
          <w:spacing w:val="-2"/>
          <w:kern w:val="0"/>
          <w:sz w:val="18"/>
          <w:szCs w:val="26"/>
          <w:rtl/>
        </w:rPr>
        <w:t>)</w:t>
      </w:r>
      <w:r w:rsidRPr="00EA71E8">
        <w:rPr>
          <w:rFonts w:hint="cs"/>
          <w:spacing w:val="-2"/>
          <w:kern w:val="0"/>
          <w:sz w:val="18"/>
          <w:szCs w:val="26"/>
          <w:rtl/>
        </w:rPr>
        <w:tab/>
        <w:t xml:space="preserve">انظر، ضمن جملة أمور، البلاغات رقم 203/2002، </w:t>
      </w:r>
      <w:r w:rsidRPr="00EA71E8">
        <w:rPr>
          <w:rFonts w:hint="cs"/>
          <w:i/>
          <w:iCs/>
          <w:spacing w:val="-2"/>
          <w:kern w:val="0"/>
          <w:sz w:val="18"/>
          <w:szCs w:val="26"/>
          <w:rtl/>
        </w:rPr>
        <w:t>أ. ر. ضد هولندا</w:t>
      </w:r>
      <w:r w:rsidRPr="00EA71E8">
        <w:rPr>
          <w:rFonts w:hint="cs"/>
          <w:spacing w:val="-2"/>
          <w:kern w:val="0"/>
          <w:sz w:val="18"/>
          <w:szCs w:val="26"/>
          <w:rtl/>
        </w:rPr>
        <w:t xml:space="preserve">، القرار المعتمد في 14 تشرين الثاني/نوفمبر 2003، الفقرة 7-3؛ ورقم 285/2006، </w:t>
      </w:r>
      <w:r w:rsidRPr="00EA71E8">
        <w:rPr>
          <w:rFonts w:hint="cs"/>
          <w:i/>
          <w:iCs/>
          <w:spacing w:val="-2"/>
          <w:kern w:val="0"/>
          <w:sz w:val="18"/>
          <w:szCs w:val="26"/>
          <w:rtl/>
        </w:rPr>
        <w:t>أ. أ. وآخرون ضد سويسرا</w:t>
      </w:r>
      <w:r w:rsidRPr="00EA71E8">
        <w:rPr>
          <w:rFonts w:hint="cs"/>
          <w:spacing w:val="-2"/>
          <w:kern w:val="0"/>
          <w:sz w:val="18"/>
          <w:szCs w:val="26"/>
          <w:rtl/>
        </w:rPr>
        <w:t xml:space="preserve">، الآراء المعتمدة في 10 تشرين الثاني/نوفمبر 2008، الفقرة 7-6؛ ورقم 322/2007، </w:t>
      </w:r>
      <w:r w:rsidRPr="00EA71E8">
        <w:rPr>
          <w:rFonts w:hint="cs"/>
          <w:i/>
          <w:iCs/>
          <w:spacing w:val="-2"/>
          <w:kern w:val="0"/>
          <w:sz w:val="18"/>
          <w:szCs w:val="26"/>
          <w:rtl/>
        </w:rPr>
        <w:t>نجامبا ضد السويد</w:t>
      </w:r>
      <w:r w:rsidRPr="00EA71E8">
        <w:rPr>
          <w:rFonts w:hint="cs"/>
          <w:spacing w:val="-2"/>
          <w:kern w:val="0"/>
          <w:sz w:val="18"/>
          <w:szCs w:val="26"/>
          <w:rtl/>
        </w:rPr>
        <w:t>، القرار المعتمد في 14 أيار/مايو 2010، الفقرة 9-4.</w:t>
      </w:r>
    </w:p>
  </w:footnote>
  <w:footnote w:id="257">
    <w:p w:rsidR="00D64D4C" w:rsidRPr="00EA71E8" w:rsidRDefault="00D64D4C" w:rsidP="00EA71E8">
      <w:pPr>
        <w:pStyle w:val="FootnoteText"/>
        <w:tabs>
          <w:tab w:val="left" w:pos="1211"/>
        </w:tabs>
        <w:spacing w:after="60" w:line="280" w:lineRule="exact"/>
        <w:ind w:left="1213" w:right="1247" w:hanging="448"/>
        <w:jc w:val="lowKashida"/>
        <w:rPr>
          <w:rFonts w:hint="cs"/>
          <w:spacing w:val="0"/>
          <w:kern w:val="0"/>
          <w:sz w:val="18"/>
          <w:szCs w:val="26"/>
        </w:rPr>
      </w:pPr>
      <w:r w:rsidRPr="00EA71E8">
        <w:rPr>
          <w:rFonts w:hint="cs"/>
          <w:spacing w:val="0"/>
          <w:kern w:val="0"/>
          <w:sz w:val="18"/>
          <w:szCs w:val="26"/>
          <w:rtl/>
        </w:rPr>
        <w:t>(</w:t>
      </w:r>
      <w:r w:rsidRPr="00EA71E8">
        <w:rPr>
          <w:rFonts w:hint="cs"/>
          <w:spacing w:val="0"/>
          <w:kern w:val="0"/>
          <w:sz w:val="26"/>
          <w:szCs w:val="26"/>
          <w:rtl/>
        </w:rPr>
        <w:t>ل</w:t>
      </w:r>
      <w:r w:rsidRPr="00EA71E8">
        <w:rPr>
          <w:rFonts w:hint="cs"/>
          <w:spacing w:val="0"/>
          <w:kern w:val="0"/>
          <w:sz w:val="18"/>
          <w:szCs w:val="26"/>
          <w:rtl/>
        </w:rPr>
        <w:t>)</w:t>
      </w:r>
      <w:r w:rsidRPr="00EA71E8">
        <w:rPr>
          <w:rFonts w:hint="cs"/>
          <w:spacing w:val="0"/>
          <w:kern w:val="0"/>
          <w:sz w:val="18"/>
          <w:szCs w:val="26"/>
          <w:rtl/>
        </w:rPr>
        <w:tab/>
        <w:t>التعليق العام رقم 1 للجنة (الحاشية ح أعلاه)، الفقرة 9.</w:t>
      </w:r>
    </w:p>
  </w:footnote>
  <w:footnote w:id="258">
    <w:p w:rsidR="00D64D4C" w:rsidRPr="00EA71E8" w:rsidRDefault="00D64D4C" w:rsidP="00EA71E8">
      <w:pPr>
        <w:pStyle w:val="FootnoteText"/>
        <w:tabs>
          <w:tab w:val="left" w:pos="1211"/>
        </w:tabs>
        <w:spacing w:after="60" w:line="300" w:lineRule="exact"/>
        <w:ind w:left="1213" w:right="1247" w:hanging="476"/>
        <w:jc w:val="lowKashida"/>
        <w:rPr>
          <w:rFonts w:hint="cs"/>
          <w:spacing w:val="0"/>
          <w:kern w:val="0"/>
          <w:sz w:val="18"/>
          <w:szCs w:val="26"/>
        </w:rPr>
      </w:pPr>
      <w:r w:rsidRPr="00EA71E8">
        <w:rPr>
          <w:rFonts w:hint="cs"/>
          <w:spacing w:val="0"/>
          <w:kern w:val="0"/>
          <w:sz w:val="18"/>
          <w:szCs w:val="26"/>
          <w:rtl/>
        </w:rPr>
        <w:t>(م)</w:t>
      </w:r>
      <w:r w:rsidRPr="00EA71E8">
        <w:rPr>
          <w:rFonts w:hint="cs"/>
          <w:spacing w:val="0"/>
          <w:kern w:val="0"/>
          <w:sz w:val="18"/>
          <w:szCs w:val="26"/>
          <w:rtl/>
        </w:rPr>
        <w:tab/>
        <w:t>انظر الملاحظات الختامية للجنة القضاء على التمييز العنصري بشأن التقريرين الخامس والسادس لأذربيجان (</w:t>
      </w:r>
      <w:r w:rsidRPr="00EA71E8">
        <w:rPr>
          <w:spacing w:val="0"/>
          <w:kern w:val="0"/>
          <w:sz w:val="18"/>
          <w:szCs w:val="26"/>
          <w:lang w:val="en-CA"/>
        </w:rPr>
        <w:t>CERD/C/AZE/CO/6</w:t>
      </w:r>
      <w:r w:rsidRPr="00EA71E8">
        <w:rPr>
          <w:rFonts w:hint="cs"/>
          <w:spacing w:val="0"/>
          <w:kern w:val="0"/>
          <w:sz w:val="18"/>
          <w:szCs w:val="26"/>
          <w:rtl/>
        </w:rPr>
        <w:t>)، الفقرة 15.</w:t>
      </w:r>
    </w:p>
  </w:footnote>
  <w:footnote w:id="259">
    <w:p w:rsidR="00D64D4C" w:rsidRPr="00EA71E8" w:rsidRDefault="00D64D4C" w:rsidP="00EA71E8">
      <w:pPr>
        <w:pStyle w:val="FootnoteText"/>
        <w:tabs>
          <w:tab w:val="left" w:pos="1211"/>
        </w:tabs>
        <w:spacing w:after="60" w:line="300" w:lineRule="exact"/>
        <w:ind w:left="1213" w:right="1247" w:hanging="476"/>
        <w:jc w:val="lowKashida"/>
        <w:rPr>
          <w:rFonts w:hint="cs"/>
          <w:spacing w:val="-2"/>
          <w:kern w:val="0"/>
          <w:sz w:val="18"/>
          <w:szCs w:val="26"/>
          <w:rtl/>
        </w:rPr>
      </w:pPr>
      <w:r w:rsidRPr="00EA71E8">
        <w:rPr>
          <w:rFonts w:hint="cs"/>
          <w:spacing w:val="-2"/>
          <w:kern w:val="0"/>
          <w:sz w:val="18"/>
          <w:szCs w:val="26"/>
          <w:rtl/>
        </w:rPr>
        <w:t>(ن)</w:t>
      </w:r>
      <w:r w:rsidRPr="00EA71E8">
        <w:rPr>
          <w:rFonts w:hint="cs"/>
          <w:spacing w:val="-2"/>
          <w:kern w:val="0"/>
          <w:sz w:val="18"/>
          <w:szCs w:val="26"/>
          <w:rtl/>
        </w:rPr>
        <w:tab/>
      </w:r>
      <w:r w:rsidRPr="00EA71E8">
        <w:rPr>
          <w:rFonts w:hint="cs"/>
          <w:spacing w:val="-2"/>
          <w:kern w:val="0"/>
          <w:sz w:val="18"/>
          <w:szCs w:val="26"/>
          <w:rtl/>
          <w:lang w:val="en-CA"/>
        </w:rPr>
        <w:t>مجلس أوروبا، اللجنة الأوروبية</w:t>
      </w:r>
      <w:r w:rsidRPr="00EA71E8">
        <w:rPr>
          <w:spacing w:val="-2"/>
          <w:kern w:val="0"/>
          <w:sz w:val="18"/>
          <w:szCs w:val="26"/>
          <w:rtl/>
          <w:lang w:val="en-CA"/>
        </w:rPr>
        <w:t xml:space="preserve"> </w:t>
      </w:r>
      <w:r w:rsidRPr="00EA71E8">
        <w:rPr>
          <w:rFonts w:hint="cs"/>
          <w:spacing w:val="-2"/>
          <w:kern w:val="0"/>
          <w:sz w:val="18"/>
          <w:szCs w:val="26"/>
          <w:rtl/>
          <w:lang w:val="en-CA"/>
        </w:rPr>
        <w:t>لمكافحة العنصرية والتعصب. التقرير عن أذربيجان (23 آذار/مارس 2011)، الفقرة 98.</w:t>
      </w:r>
    </w:p>
  </w:footnote>
  <w:footnote w:id="260">
    <w:p w:rsidR="00D64D4C" w:rsidRPr="000203D9" w:rsidRDefault="00D64D4C" w:rsidP="008655A1">
      <w:pPr>
        <w:pStyle w:val="FootnoteText"/>
        <w:numPr>
          <w:ilvl w:val="0"/>
          <w:numId w:val="54"/>
        </w:numPr>
        <w:tabs>
          <w:tab w:val="clear" w:pos="1295"/>
          <w:tab w:val="num" w:pos="1253"/>
        </w:tabs>
        <w:spacing w:after="60" w:line="300" w:lineRule="exact"/>
        <w:ind w:left="1248" w:right="1247"/>
        <w:jc w:val="lowKashida"/>
        <w:rPr>
          <w:rFonts w:hint="cs"/>
          <w:spacing w:val="-2"/>
          <w:kern w:val="0"/>
          <w:sz w:val="18"/>
          <w:szCs w:val="26"/>
          <w:rtl/>
        </w:rPr>
      </w:pPr>
      <w:r w:rsidRPr="000203D9">
        <w:rPr>
          <w:rFonts w:hint="cs"/>
          <w:spacing w:val="-2"/>
          <w:kern w:val="0"/>
          <w:sz w:val="18"/>
          <w:szCs w:val="26"/>
          <w:rtl/>
        </w:rPr>
        <w:t>يتضح من الملف أن لصاحب الشكوى ابناً بالغاً آخر، هو أراش فرج الله المولود في 19 أيلول/سبتمبر 1983، ولم يُضم إلى الرسالة الأولى.</w:t>
      </w:r>
    </w:p>
  </w:footnote>
  <w:footnote w:id="261">
    <w:p w:rsidR="00D64D4C" w:rsidRPr="000203D9" w:rsidRDefault="00D64D4C" w:rsidP="008655A1">
      <w:pPr>
        <w:pStyle w:val="FootnoteText"/>
        <w:numPr>
          <w:ilvl w:val="0"/>
          <w:numId w:val="54"/>
        </w:numPr>
        <w:tabs>
          <w:tab w:val="clear" w:pos="1295"/>
          <w:tab w:val="left" w:pos="1253"/>
        </w:tabs>
        <w:spacing w:after="60" w:line="300" w:lineRule="exact"/>
        <w:ind w:left="1247" w:right="1247"/>
        <w:jc w:val="lowKashida"/>
        <w:rPr>
          <w:spacing w:val="0"/>
          <w:kern w:val="0"/>
          <w:sz w:val="18"/>
          <w:szCs w:val="26"/>
          <w:rtl/>
        </w:rPr>
      </w:pPr>
      <w:r w:rsidRPr="000203D9">
        <w:rPr>
          <w:rFonts w:hint="cs"/>
          <w:spacing w:val="0"/>
          <w:kern w:val="0"/>
          <w:sz w:val="18"/>
          <w:szCs w:val="26"/>
          <w:rtl/>
        </w:rPr>
        <w:t>لا يتضمن الملف أي معلومات أخرى عن "الأسباب السياسية" الكامنة وراء مغادرة صاحب الشكوى وأسرته جمهورية إيران الإسلامية.</w:t>
      </w:r>
    </w:p>
  </w:footnote>
  <w:footnote w:id="262">
    <w:p w:rsidR="00D64D4C" w:rsidRPr="000203D9" w:rsidRDefault="00D64D4C" w:rsidP="008655A1">
      <w:pPr>
        <w:pStyle w:val="FootnoteText"/>
        <w:numPr>
          <w:ilvl w:val="0"/>
          <w:numId w:val="54"/>
        </w:numPr>
        <w:tabs>
          <w:tab w:val="clear" w:pos="1295"/>
          <w:tab w:val="left" w:pos="1253"/>
        </w:tabs>
        <w:spacing w:after="60" w:line="300" w:lineRule="exact"/>
        <w:ind w:left="1247" w:right="1247"/>
        <w:jc w:val="lowKashida"/>
        <w:rPr>
          <w:spacing w:val="0"/>
          <w:kern w:val="0"/>
          <w:sz w:val="18"/>
          <w:szCs w:val="26"/>
          <w:rtl/>
        </w:rPr>
      </w:pPr>
      <w:r w:rsidRPr="000203D9">
        <w:rPr>
          <w:rFonts w:hint="cs"/>
          <w:spacing w:val="0"/>
          <w:kern w:val="0"/>
          <w:sz w:val="18"/>
          <w:szCs w:val="26"/>
          <w:rtl/>
        </w:rPr>
        <w:t>تعتبر الدولة الطرف أن تاريخ هذا الطلب هو 20 شباط/فبراير 2003.</w:t>
      </w:r>
    </w:p>
  </w:footnote>
  <w:footnote w:id="263">
    <w:p w:rsidR="00D64D4C" w:rsidRPr="000203D9" w:rsidRDefault="00D64D4C" w:rsidP="008655A1">
      <w:pPr>
        <w:pStyle w:val="FootnoteText"/>
        <w:numPr>
          <w:ilvl w:val="0"/>
          <w:numId w:val="54"/>
        </w:numPr>
        <w:tabs>
          <w:tab w:val="clear" w:pos="1295"/>
          <w:tab w:val="left" w:pos="1253"/>
        </w:tabs>
        <w:spacing w:after="60" w:line="300" w:lineRule="exact"/>
        <w:ind w:left="1247" w:right="1247"/>
        <w:jc w:val="lowKashida"/>
        <w:rPr>
          <w:rFonts w:hint="cs"/>
          <w:spacing w:val="0"/>
          <w:kern w:val="0"/>
          <w:sz w:val="18"/>
          <w:szCs w:val="26"/>
          <w:rtl/>
        </w:rPr>
      </w:pPr>
      <w:r w:rsidRPr="000203D9">
        <w:rPr>
          <w:rFonts w:hint="cs"/>
          <w:spacing w:val="0"/>
          <w:kern w:val="0"/>
          <w:sz w:val="18"/>
          <w:szCs w:val="26"/>
          <w:rtl/>
        </w:rPr>
        <w:t>يشير صاحب الشكوى إلى قرار اتخذته المحكمة في 29 آب/أغسطس 2007، يدعي فيه أنها تعترف بأن السلطات الإيرانية تراقب الأنشطة السياسية التي يمارسها المعارضون السياسيون الإيرانيون في الخارج، وتسجل الأنشطة التي تعتبر تخريبية عن طريق البحث في شبكة الإنترنت. واعترفت المحكمة في القرار نفسه، بأن الرابطة هي أهم مجموعة معارضة في سويسرا وأنشطها، وأن مديرها السابق معروف جيداً لدى السلطات الإيرانية. وعليه، خلصت المحكمة إلى أن الشخص الذي يكون على اتصال منتظم به قد يتعرض إلى إدراج اسمه في القوائم التي تعدها السلطات الإيرانية.</w:t>
      </w:r>
    </w:p>
  </w:footnote>
  <w:footnote w:id="264">
    <w:p w:rsidR="00D64D4C" w:rsidRPr="000203D9" w:rsidRDefault="00D64D4C" w:rsidP="000203D9">
      <w:pPr>
        <w:pStyle w:val="FootnoteText"/>
        <w:tabs>
          <w:tab w:val="left" w:pos="1211"/>
        </w:tabs>
        <w:spacing w:after="60" w:line="300" w:lineRule="exact"/>
        <w:ind w:left="1211" w:right="1247" w:hanging="434"/>
        <w:jc w:val="lowKashida"/>
        <w:rPr>
          <w:spacing w:val="0"/>
          <w:kern w:val="0"/>
          <w:sz w:val="18"/>
          <w:szCs w:val="26"/>
        </w:rPr>
      </w:pPr>
      <w:r w:rsidRPr="000203D9">
        <w:rPr>
          <w:rFonts w:hint="cs"/>
          <w:spacing w:val="0"/>
          <w:kern w:val="0"/>
          <w:sz w:val="18"/>
          <w:szCs w:val="26"/>
          <w:rtl/>
        </w:rPr>
        <w:t>(</w:t>
      </w:r>
      <w:r w:rsidRPr="000203D9">
        <w:rPr>
          <w:rFonts w:hint="cs"/>
          <w:spacing w:val="0"/>
          <w:kern w:val="0"/>
          <w:sz w:val="26"/>
          <w:szCs w:val="26"/>
          <w:rtl/>
        </w:rPr>
        <w:t>ﻫ</w:t>
      </w:r>
      <w:r w:rsidRPr="000203D9">
        <w:rPr>
          <w:rFonts w:hint="cs"/>
          <w:spacing w:val="0"/>
          <w:kern w:val="0"/>
          <w:sz w:val="18"/>
          <w:szCs w:val="26"/>
          <w:rtl/>
        </w:rPr>
        <w:t>)</w:t>
      </w:r>
      <w:r w:rsidRPr="000203D9">
        <w:rPr>
          <w:rFonts w:hint="cs"/>
          <w:spacing w:val="0"/>
          <w:kern w:val="0"/>
          <w:sz w:val="18"/>
          <w:szCs w:val="26"/>
          <w:rtl/>
        </w:rPr>
        <w:tab/>
        <w:t>يشير صاحب الشكوى إلى القضايا رقم 341 440، تموز/يوليه 2006 ورقم 182 409، تشرين الثاني/نوفمبر 2006، و</w:t>
      </w:r>
      <w:r>
        <w:rPr>
          <w:rFonts w:hint="cs"/>
          <w:spacing w:val="0"/>
          <w:kern w:val="0"/>
          <w:sz w:val="18"/>
          <w:szCs w:val="26"/>
          <w:rtl/>
        </w:rPr>
        <w:t>رقم 027 397، شباط/فبراير 2007 و</w:t>
      </w:r>
      <w:r w:rsidRPr="000203D9">
        <w:rPr>
          <w:rFonts w:hint="cs"/>
          <w:spacing w:val="0"/>
          <w:kern w:val="0"/>
          <w:sz w:val="18"/>
          <w:szCs w:val="26"/>
          <w:rtl/>
        </w:rPr>
        <w:t>رقم 499 404، شباط/فبراير 2009.</w:t>
      </w:r>
    </w:p>
  </w:footnote>
  <w:footnote w:id="265">
    <w:p w:rsidR="00D64D4C" w:rsidRPr="000203D9" w:rsidRDefault="00D64D4C" w:rsidP="000203D9">
      <w:pPr>
        <w:pStyle w:val="FootnoteText"/>
        <w:tabs>
          <w:tab w:val="left" w:pos="1239"/>
        </w:tabs>
        <w:spacing w:after="60" w:line="300" w:lineRule="exact"/>
        <w:ind w:left="1239" w:right="1247" w:hanging="490"/>
        <w:jc w:val="lowKashida"/>
        <w:rPr>
          <w:spacing w:val="-4"/>
          <w:kern w:val="0"/>
          <w:sz w:val="18"/>
          <w:szCs w:val="26"/>
        </w:rPr>
      </w:pPr>
      <w:r w:rsidRPr="000203D9">
        <w:rPr>
          <w:rFonts w:hint="cs"/>
          <w:spacing w:val="-4"/>
          <w:kern w:val="0"/>
          <w:sz w:val="18"/>
          <w:szCs w:val="26"/>
          <w:rtl/>
        </w:rPr>
        <w:t>(</w:t>
      </w:r>
      <w:r w:rsidRPr="000203D9">
        <w:rPr>
          <w:rFonts w:hint="cs"/>
          <w:spacing w:val="-4"/>
          <w:kern w:val="0"/>
          <w:sz w:val="26"/>
          <w:szCs w:val="26"/>
          <w:rtl/>
        </w:rPr>
        <w:t>و</w:t>
      </w:r>
      <w:r w:rsidRPr="000203D9">
        <w:rPr>
          <w:rFonts w:hint="cs"/>
          <w:spacing w:val="-4"/>
          <w:kern w:val="0"/>
          <w:sz w:val="18"/>
          <w:szCs w:val="26"/>
          <w:rtl/>
        </w:rPr>
        <w:t>)</w:t>
      </w:r>
      <w:r w:rsidRPr="000203D9">
        <w:rPr>
          <w:rFonts w:hint="cs"/>
          <w:spacing w:val="-4"/>
          <w:kern w:val="0"/>
          <w:sz w:val="18"/>
          <w:szCs w:val="26"/>
          <w:rtl/>
        </w:rPr>
        <w:tab/>
        <w:t xml:space="preserve">القرار رقم دال-6849/2006 المؤرخ </w:t>
      </w:r>
      <w:r>
        <w:rPr>
          <w:rFonts w:hint="cs"/>
          <w:spacing w:val="-4"/>
          <w:kern w:val="0"/>
          <w:sz w:val="18"/>
          <w:szCs w:val="26"/>
          <w:rtl/>
        </w:rPr>
        <w:t>26 آب/أغسطس 2008، الصفحتان 12 و</w:t>
      </w:r>
      <w:r w:rsidRPr="000203D9">
        <w:rPr>
          <w:rFonts w:hint="cs"/>
          <w:spacing w:val="-4"/>
          <w:kern w:val="0"/>
          <w:sz w:val="18"/>
          <w:szCs w:val="26"/>
          <w:rtl/>
        </w:rPr>
        <w:t>13، الفقرة 4-2-2-2.</w:t>
      </w:r>
    </w:p>
  </w:footnote>
  <w:footnote w:id="266">
    <w:p w:rsidR="00D64D4C" w:rsidRPr="000203D9" w:rsidRDefault="00D64D4C" w:rsidP="000203D9">
      <w:pPr>
        <w:pStyle w:val="FootnoteText"/>
        <w:tabs>
          <w:tab w:val="left" w:pos="1239"/>
        </w:tabs>
        <w:spacing w:after="60" w:line="300" w:lineRule="exact"/>
        <w:ind w:left="1239" w:right="1247" w:hanging="490"/>
        <w:jc w:val="lowKashida"/>
        <w:rPr>
          <w:spacing w:val="0"/>
          <w:kern w:val="0"/>
          <w:sz w:val="18"/>
          <w:szCs w:val="26"/>
        </w:rPr>
      </w:pPr>
      <w:r w:rsidRPr="000203D9">
        <w:rPr>
          <w:rFonts w:hint="cs"/>
          <w:spacing w:val="0"/>
          <w:kern w:val="0"/>
          <w:sz w:val="18"/>
          <w:szCs w:val="26"/>
          <w:rtl/>
        </w:rPr>
        <w:t>(</w:t>
      </w:r>
      <w:r>
        <w:rPr>
          <w:rFonts w:hint="cs"/>
          <w:spacing w:val="0"/>
          <w:kern w:val="0"/>
          <w:sz w:val="26"/>
          <w:szCs w:val="26"/>
          <w:rtl/>
        </w:rPr>
        <w:t>ز</w:t>
      </w:r>
      <w:r w:rsidRPr="000203D9">
        <w:rPr>
          <w:rFonts w:hint="cs"/>
          <w:spacing w:val="0"/>
          <w:kern w:val="0"/>
          <w:sz w:val="18"/>
          <w:szCs w:val="26"/>
          <w:rtl/>
        </w:rPr>
        <w:t>)</w:t>
      </w:r>
      <w:r w:rsidRPr="000203D9">
        <w:rPr>
          <w:rFonts w:hint="cs"/>
          <w:spacing w:val="0"/>
          <w:kern w:val="0"/>
          <w:sz w:val="18"/>
          <w:szCs w:val="26"/>
          <w:rtl/>
        </w:rPr>
        <w:tab/>
        <w:t>القرار رقم دال-4581/2006 المؤرخ 19 شباط/فبراير 2009، الصفحتان 8 و9، الفقرة 4-3.</w:t>
      </w:r>
    </w:p>
  </w:footnote>
  <w:footnote w:id="267">
    <w:p w:rsidR="00D64D4C" w:rsidRPr="000203D9" w:rsidRDefault="00D64D4C" w:rsidP="000203D9">
      <w:pPr>
        <w:pStyle w:val="FootnoteText"/>
        <w:tabs>
          <w:tab w:val="left" w:pos="1239"/>
        </w:tabs>
        <w:spacing w:after="60" w:line="300" w:lineRule="exact"/>
        <w:ind w:left="1239" w:right="1247" w:hanging="490"/>
        <w:jc w:val="lowKashida"/>
        <w:rPr>
          <w:spacing w:val="-2"/>
          <w:kern w:val="0"/>
          <w:sz w:val="18"/>
          <w:szCs w:val="26"/>
        </w:rPr>
      </w:pPr>
      <w:r w:rsidRPr="000203D9">
        <w:rPr>
          <w:rFonts w:hint="cs"/>
          <w:spacing w:val="-2"/>
          <w:kern w:val="0"/>
          <w:sz w:val="18"/>
          <w:szCs w:val="26"/>
          <w:rtl/>
        </w:rPr>
        <w:t>(</w:t>
      </w:r>
      <w:r w:rsidRPr="000203D9">
        <w:rPr>
          <w:rFonts w:hint="cs"/>
          <w:spacing w:val="-2"/>
          <w:kern w:val="0"/>
          <w:sz w:val="26"/>
          <w:szCs w:val="26"/>
          <w:rtl/>
        </w:rPr>
        <w:t>ح</w:t>
      </w:r>
      <w:r w:rsidRPr="000203D9">
        <w:rPr>
          <w:rFonts w:hint="cs"/>
          <w:spacing w:val="-2"/>
          <w:kern w:val="0"/>
          <w:sz w:val="18"/>
          <w:szCs w:val="26"/>
          <w:rtl/>
        </w:rPr>
        <w:t>)</w:t>
      </w:r>
      <w:r w:rsidRPr="000203D9">
        <w:rPr>
          <w:rFonts w:hint="cs"/>
          <w:spacing w:val="-2"/>
          <w:kern w:val="0"/>
          <w:sz w:val="18"/>
          <w:szCs w:val="26"/>
          <w:rtl/>
        </w:rPr>
        <w:tab/>
        <w:t>يشير صاحب الشكوى إلى تقرير صادر عن وزارة الداخلية الاتحادية في ألمانيا، (</w:t>
      </w:r>
      <w:r w:rsidRPr="000203D9">
        <w:rPr>
          <w:i/>
          <w:spacing w:val="-2"/>
          <w:kern w:val="0"/>
          <w:sz w:val="18"/>
          <w:szCs w:val="26"/>
          <w:lang w:val="en-GB"/>
        </w:rPr>
        <w:t>Verfassungsschutzbericht</w:t>
      </w:r>
      <w:r w:rsidRPr="000203D9">
        <w:rPr>
          <w:spacing w:val="-2"/>
          <w:kern w:val="0"/>
          <w:sz w:val="18"/>
          <w:szCs w:val="26"/>
          <w:lang w:val="en-GB"/>
        </w:rPr>
        <w:t>, 2007, p. 297</w:t>
      </w:r>
      <w:r w:rsidRPr="000203D9">
        <w:rPr>
          <w:rFonts w:hint="cs"/>
          <w:spacing w:val="-2"/>
          <w:kern w:val="0"/>
          <w:sz w:val="18"/>
          <w:szCs w:val="26"/>
          <w:rtl/>
        </w:rPr>
        <w:t xml:space="preserve">)، وإلى تقرير آخر صادر عن المجلس السويسري للاجئين، بعنوان </w:t>
      </w:r>
      <w:r w:rsidRPr="000203D9">
        <w:rPr>
          <w:spacing w:val="-2"/>
          <w:kern w:val="0"/>
          <w:sz w:val="18"/>
          <w:szCs w:val="26"/>
          <w:lang w:val="en-GB"/>
        </w:rPr>
        <w:t>“</w:t>
      </w:r>
      <w:r w:rsidRPr="000203D9">
        <w:rPr>
          <w:i/>
          <w:spacing w:val="-2"/>
          <w:kern w:val="0"/>
          <w:sz w:val="18"/>
          <w:szCs w:val="26"/>
          <w:lang w:val="en-GB"/>
        </w:rPr>
        <w:t>Iran:</w:t>
      </w:r>
      <w:r w:rsidRPr="000203D9">
        <w:rPr>
          <w:spacing w:val="-2"/>
          <w:kern w:val="0"/>
          <w:sz w:val="18"/>
          <w:szCs w:val="26"/>
          <w:lang w:val="en-GB"/>
        </w:rPr>
        <w:t xml:space="preserve"> </w:t>
      </w:r>
      <w:r w:rsidRPr="000203D9">
        <w:rPr>
          <w:i/>
          <w:spacing w:val="-2"/>
          <w:kern w:val="0"/>
          <w:sz w:val="18"/>
          <w:szCs w:val="26"/>
          <w:lang w:val="en-GB"/>
        </w:rPr>
        <w:t>Dangers encourus par les activistes et membres des organisations politiques en exil de retour dans leur pays. Moyens d’accès à l’information des autorités iraniennes</w:t>
      </w:r>
      <w:r w:rsidRPr="000203D9">
        <w:rPr>
          <w:spacing w:val="-2"/>
          <w:kern w:val="0"/>
          <w:sz w:val="18"/>
          <w:szCs w:val="26"/>
          <w:lang w:val="en-GB"/>
        </w:rPr>
        <w:t>” (Michael Kirschner, 4 April 2006)</w:t>
      </w:r>
      <w:r w:rsidRPr="000203D9">
        <w:rPr>
          <w:rFonts w:hint="cs"/>
          <w:spacing w:val="-2"/>
          <w:kern w:val="0"/>
          <w:sz w:val="18"/>
          <w:szCs w:val="26"/>
          <w:rtl/>
        </w:rPr>
        <w:t>(إيران: المخاطر التي يتعرض لها الناشطون وأعضاء المنظمات السياسية في المهجر عند العودة إلى بلدهم. وسائل حصول السلطات الإيرانية على المعلومات)، والتقرير مرفق بالملف، ويؤكد أن المواطنين الإيرانيين الذين يقيمون في سويسرا، والذين يشغلون مراكز هامة في الرابطة، معرّضون لمواجهة خطر الاضطهاد.</w:t>
      </w:r>
    </w:p>
  </w:footnote>
  <w:footnote w:id="268">
    <w:p w:rsidR="00D64D4C" w:rsidRPr="000203D9" w:rsidRDefault="00D64D4C" w:rsidP="000203D9">
      <w:pPr>
        <w:pStyle w:val="FootnoteText"/>
        <w:tabs>
          <w:tab w:val="left" w:pos="1239"/>
        </w:tabs>
        <w:spacing w:after="60" w:line="300" w:lineRule="exact"/>
        <w:ind w:left="1239" w:right="1247" w:hanging="490"/>
        <w:jc w:val="lowKashida"/>
        <w:rPr>
          <w:spacing w:val="0"/>
          <w:kern w:val="0"/>
          <w:sz w:val="18"/>
          <w:szCs w:val="26"/>
        </w:rPr>
      </w:pPr>
      <w:r w:rsidRPr="000203D9">
        <w:rPr>
          <w:rFonts w:hint="cs"/>
          <w:spacing w:val="0"/>
          <w:kern w:val="0"/>
          <w:sz w:val="18"/>
          <w:szCs w:val="26"/>
          <w:rtl/>
        </w:rPr>
        <w:t>(</w:t>
      </w:r>
      <w:r w:rsidRPr="000203D9">
        <w:rPr>
          <w:rFonts w:hint="cs"/>
          <w:spacing w:val="0"/>
          <w:kern w:val="0"/>
          <w:sz w:val="26"/>
          <w:szCs w:val="26"/>
          <w:rtl/>
        </w:rPr>
        <w:t>ط</w:t>
      </w:r>
      <w:r w:rsidRPr="000203D9">
        <w:rPr>
          <w:rFonts w:hint="cs"/>
          <w:spacing w:val="0"/>
          <w:kern w:val="0"/>
          <w:sz w:val="18"/>
          <w:szCs w:val="26"/>
          <w:rtl/>
        </w:rPr>
        <w:t>)</w:t>
      </w:r>
      <w:r w:rsidRPr="000203D9">
        <w:rPr>
          <w:rFonts w:hint="cs"/>
          <w:spacing w:val="0"/>
          <w:kern w:val="0"/>
          <w:sz w:val="18"/>
          <w:szCs w:val="26"/>
          <w:rtl/>
        </w:rPr>
        <w:tab/>
        <w:t xml:space="preserve">المجلة الشهرية </w:t>
      </w:r>
      <w:r w:rsidRPr="000203D9">
        <w:rPr>
          <w:i/>
          <w:iCs/>
          <w:spacing w:val="0"/>
          <w:kern w:val="0"/>
          <w:sz w:val="18"/>
          <w:szCs w:val="26"/>
        </w:rPr>
        <w:t>Kanoun</w:t>
      </w:r>
      <w:r w:rsidRPr="000203D9">
        <w:rPr>
          <w:rFonts w:hint="cs"/>
          <w:spacing w:val="0"/>
          <w:kern w:val="0"/>
          <w:sz w:val="18"/>
          <w:szCs w:val="26"/>
          <w:rtl/>
        </w:rPr>
        <w:t xml:space="preserve"> (قانون) الصادرة عن الرابط</w:t>
      </w:r>
      <w:r>
        <w:rPr>
          <w:rFonts w:hint="cs"/>
          <w:spacing w:val="0"/>
          <w:kern w:val="0"/>
          <w:sz w:val="18"/>
          <w:szCs w:val="26"/>
          <w:rtl/>
        </w:rPr>
        <w:t>ـ</w:t>
      </w:r>
      <w:r w:rsidRPr="000203D9">
        <w:rPr>
          <w:rFonts w:hint="cs"/>
          <w:spacing w:val="0"/>
          <w:kern w:val="0"/>
          <w:sz w:val="18"/>
          <w:szCs w:val="26"/>
          <w:rtl/>
        </w:rPr>
        <w:t>ة الديمقراطية لشؤون اللاجئين، العدد 4، نيسان/</w:t>
      </w:r>
      <w:r>
        <w:rPr>
          <w:rFonts w:hint="cs"/>
          <w:spacing w:val="0"/>
          <w:kern w:val="0"/>
          <w:sz w:val="18"/>
          <w:szCs w:val="26"/>
          <w:rtl/>
        </w:rPr>
        <w:t xml:space="preserve"> </w:t>
      </w:r>
      <w:r w:rsidRPr="000203D9">
        <w:rPr>
          <w:rFonts w:hint="cs"/>
          <w:spacing w:val="0"/>
          <w:kern w:val="0"/>
          <w:sz w:val="18"/>
          <w:szCs w:val="26"/>
          <w:rtl/>
        </w:rPr>
        <w:t>أبريل 2009، ص-8.</w:t>
      </w:r>
    </w:p>
  </w:footnote>
  <w:footnote w:id="269">
    <w:p w:rsidR="00D64D4C" w:rsidRPr="000203D9" w:rsidRDefault="00D64D4C" w:rsidP="000203D9">
      <w:pPr>
        <w:pStyle w:val="FootnoteText"/>
        <w:tabs>
          <w:tab w:val="left" w:pos="1253"/>
        </w:tabs>
        <w:spacing w:after="60" w:line="300" w:lineRule="exact"/>
        <w:ind w:left="1253" w:right="1247" w:hanging="490"/>
        <w:jc w:val="lowKashida"/>
        <w:rPr>
          <w:rFonts w:hint="cs"/>
          <w:spacing w:val="-4"/>
          <w:kern w:val="0"/>
          <w:sz w:val="18"/>
          <w:szCs w:val="26"/>
        </w:rPr>
      </w:pPr>
      <w:r w:rsidRPr="000203D9">
        <w:rPr>
          <w:rFonts w:hint="cs"/>
          <w:spacing w:val="0"/>
          <w:kern w:val="0"/>
          <w:sz w:val="18"/>
          <w:szCs w:val="26"/>
          <w:rtl/>
        </w:rPr>
        <w:t>(</w:t>
      </w:r>
      <w:r w:rsidRPr="000203D9">
        <w:rPr>
          <w:rFonts w:hint="cs"/>
          <w:spacing w:val="0"/>
          <w:kern w:val="0"/>
          <w:sz w:val="26"/>
          <w:szCs w:val="26"/>
          <w:rtl/>
        </w:rPr>
        <w:t>ي</w:t>
      </w:r>
      <w:r w:rsidRPr="000203D9">
        <w:rPr>
          <w:rFonts w:hint="cs"/>
          <w:spacing w:val="0"/>
          <w:kern w:val="0"/>
          <w:sz w:val="18"/>
          <w:szCs w:val="26"/>
          <w:rtl/>
        </w:rPr>
        <w:t>)</w:t>
      </w:r>
      <w:r w:rsidRPr="000203D9">
        <w:rPr>
          <w:rFonts w:hint="cs"/>
          <w:spacing w:val="0"/>
          <w:kern w:val="0"/>
          <w:sz w:val="18"/>
          <w:szCs w:val="26"/>
          <w:rtl/>
        </w:rPr>
        <w:tab/>
        <w:t xml:space="preserve">التعليق العام رقم 1، </w:t>
      </w:r>
      <w:r w:rsidRPr="000203D9">
        <w:rPr>
          <w:spacing w:val="0"/>
          <w:kern w:val="0"/>
          <w:sz w:val="18"/>
          <w:szCs w:val="26"/>
          <w:lang w:val="en-GB"/>
        </w:rPr>
        <w:t>A/53/44</w:t>
      </w:r>
      <w:r w:rsidRPr="000203D9">
        <w:rPr>
          <w:rFonts w:hint="cs"/>
          <w:spacing w:val="0"/>
          <w:kern w:val="0"/>
          <w:sz w:val="18"/>
          <w:szCs w:val="26"/>
          <w:rtl/>
          <w:lang w:val="en-GB"/>
        </w:rPr>
        <w:t xml:space="preserve"> و</w:t>
      </w:r>
      <w:r w:rsidRPr="000203D9">
        <w:rPr>
          <w:spacing w:val="0"/>
          <w:kern w:val="0"/>
          <w:sz w:val="18"/>
          <w:szCs w:val="26"/>
          <w:lang w:val="en-GB"/>
        </w:rPr>
        <w:t>Corr.1</w:t>
      </w:r>
      <w:r w:rsidRPr="000203D9">
        <w:rPr>
          <w:rFonts w:hint="cs"/>
          <w:spacing w:val="0"/>
          <w:kern w:val="0"/>
          <w:sz w:val="18"/>
          <w:szCs w:val="26"/>
          <w:rtl/>
          <w:lang w:val="en-GB"/>
        </w:rPr>
        <w:t xml:space="preserve"> </w:t>
      </w:r>
      <w:r w:rsidRPr="000203D9">
        <w:rPr>
          <w:rFonts w:hint="cs"/>
          <w:spacing w:val="0"/>
          <w:kern w:val="0"/>
          <w:sz w:val="18"/>
          <w:szCs w:val="26"/>
          <w:rtl/>
        </w:rPr>
        <w:t xml:space="preserve">المرفق التاسع، (انظر </w:t>
      </w:r>
      <w:r w:rsidRPr="000203D9">
        <w:rPr>
          <w:spacing w:val="0"/>
          <w:kern w:val="0"/>
          <w:sz w:val="18"/>
          <w:szCs w:val="26"/>
          <w:lang w:val="fr-CH"/>
        </w:rPr>
        <w:t>HRI/GEN/1/Rev.9</w:t>
      </w:r>
      <w:r w:rsidRPr="000203D9">
        <w:rPr>
          <w:rFonts w:hint="cs"/>
          <w:spacing w:val="0"/>
          <w:kern w:val="0"/>
          <w:sz w:val="18"/>
          <w:szCs w:val="26"/>
          <w:rtl/>
          <w:lang w:val="fr-CH"/>
        </w:rPr>
        <w:t>، المجلد الثاني). وتشير الدولة الطرف أيضاً</w:t>
      </w:r>
      <w:r w:rsidRPr="000203D9">
        <w:rPr>
          <w:rFonts w:hint="eastAsia"/>
          <w:spacing w:val="0"/>
          <w:kern w:val="0"/>
          <w:sz w:val="18"/>
          <w:szCs w:val="26"/>
          <w:rtl/>
          <w:lang w:val="fr-CH"/>
        </w:rPr>
        <w:t> </w:t>
      </w:r>
      <w:r w:rsidRPr="000203D9">
        <w:rPr>
          <w:rFonts w:hint="cs"/>
          <w:spacing w:val="0"/>
          <w:kern w:val="0"/>
          <w:sz w:val="18"/>
          <w:szCs w:val="26"/>
          <w:rtl/>
          <w:lang w:val="fr-CH"/>
        </w:rPr>
        <w:t xml:space="preserve">إلى البلاغين رقم 94/1997، </w:t>
      </w:r>
      <w:r w:rsidRPr="000203D9">
        <w:rPr>
          <w:rFonts w:hint="cs"/>
          <w:i/>
          <w:iCs/>
          <w:spacing w:val="0"/>
          <w:kern w:val="0"/>
          <w:sz w:val="18"/>
          <w:szCs w:val="26"/>
          <w:rtl/>
          <w:lang w:val="fr-CH"/>
        </w:rPr>
        <w:t>ك. ن. ضد سويسرا</w:t>
      </w:r>
      <w:r w:rsidRPr="000203D9">
        <w:rPr>
          <w:rFonts w:hint="cs"/>
          <w:spacing w:val="0"/>
          <w:kern w:val="0"/>
          <w:sz w:val="18"/>
          <w:szCs w:val="26"/>
          <w:rtl/>
          <w:lang w:val="fr-CH"/>
        </w:rPr>
        <w:t xml:space="preserve"> القرار المعتمد في 19 أيار/</w:t>
      </w:r>
      <w:r>
        <w:rPr>
          <w:rFonts w:hint="cs"/>
          <w:spacing w:val="0"/>
          <w:kern w:val="0"/>
          <w:sz w:val="18"/>
          <w:szCs w:val="26"/>
          <w:rtl/>
          <w:lang w:val="fr-CH"/>
        </w:rPr>
        <w:t xml:space="preserve"> </w:t>
      </w:r>
      <w:r w:rsidRPr="000203D9">
        <w:rPr>
          <w:rFonts w:hint="cs"/>
          <w:spacing w:val="-4"/>
          <w:kern w:val="0"/>
          <w:sz w:val="18"/>
          <w:szCs w:val="26"/>
          <w:rtl/>
          <w:lang w:val="fr-CH"/>
        </w:rPr>
        <w:t>مايو</w:t>
      </w:r>
      <w:r w:rsidRPr="000203D9">
        <w:rPr>
          <w:rFonts w:hint="eastAsia"/>
          <w:spacing w:val="-4"/>
          <w:kern w:val="0"/>
          <w:sz w:val="18"/>
          <w:szCs w:val="26"/>
          <w:rtl/>
          <w:lang w:val="fr-CH"/>
        </w:rPr>
        <w:t> </w:t>
      </w:r>
      <w:r w:rsidRPr="000203D9">
        <w:rPr>
          <w:rFonts w:hint="cs"/>
          <w:spacing w:val="-4"/>
          <w:kern w:val="0"/>
          <w:sz w:val="18"/>
          <w:szCs w:val="26"/>
          <w:rtl/>
          <w:lang w:val="fr-CH"/>
        </w:rPr>
        <w:t>1998، ورقم</w:t>
      </w:r>
      <w:r w:rsidRPr="000203D9">
        <w:rPr>
          <w:rFonts w:hint="eastAsia"/>
          <w:spacing w:val="-4"/>
          <w:kern w:val="0"/>
          <w:sz w:val="18"/>
          <w:szCs w:val="26"/>
          <w:rtl/>
          <w:lang w:val="fr-CH"/>
        </w:rPr>
        <w:t> </w:t>
      </w:r>
      <w:r w:rsidRPr="000203D9">
        <w:rPr>
          <w:rFonts w:hint="cs"/>
          <w:spacing w:val="-4"/>
          <w:kern w:val="0"/>
          <w:sz w:val="18"/>
          <w:szCs w:val="26"/>
          <w:rtl/>
          <w:lang w:val="fr-CH"/>
        </w:rPr>
        <w:t xml:space="preserve">100/1997، </w:t>
      </w:r>
      <w:r w:rsidRPr="000203D9">
        <w:rPr>
          <w:rFonts w:hint="cs"/>
          <w:i/>
          <w:iCs/>
          <w:spacing w:val="-4"/>
          <w:kern w:val="0"/>
          <w:sz w:val="18"/>
          <w:szCs w:val="26"/>
          <w:rtl/>
          <w:lang w:val="fr-CH"/>
        </w:rPr>
        <w:t>ج. يو. أ. ضد سويسرا</w:t>
      </w:r>
      <w:r w:rsidRPr="000203D9">
        <w:rPr>
          <w:rFonts w:hint="cs"/>
          <w:spacing w:val="-4"/>
          <w:kern w:val="0"/>
          <w:sz w:val="18"/>
          <w:szCs w:val="26"/>
          <w:rtl/>
          <w:lang w:val="fr-CH"/>
        </w:rPr>
        <w:t xml:space="preserve"> القرار المعتمد في 10 تشرين الثاني/نوفمبر 1998.</w:t>
      </w:r>
    </w:p>
  </w:footnote>
  <w:footnote w:id="270">
    <w:p w:rsidR="00D64D4C" w:rsidRPr="000203D9" w:rsidRDefault="00D64D4C" w:rsidP="000203D9">
      <w:pPr>
        <w:pStyle w:val="FootnoteText"/>
        <w:tabs>
          <w:tab w:val="left" w:pos="1253"/>
        </w:tabs>
        <w:spacing w:after="60" w:line="300" w:lineRule="exact"/>
        <w:ind w:left="1253" w:right="1247" w:hanging="490"/>
        <w:jc w:val="lowKashida"/>
        <w:rPr>
          <w:rFonts w:hint="cs"/>
          <w:spacing w:val="0"/>
          <w:kern w:val="0"/>
          <w:sz w:val="18"/>
          <w:szCs w:val="26"/>
        </w:rPr>
      </w:pPr>
      <w:r w:rsidRPr="000203D9">
        <w:rPr>
          <w:rFonts w:hint="cs"/>
          <w:spacing w:val="0"/>
          <w:kern w:val="0"/>
          <w:sz w:val="18"/>
          <w:szCs w:val="26"/>
          <w:rtl/>
        </w:rPr>
        <w:t>(</w:t>
      </w:r>
      <w:r w:rsidRPr="000203D9">
        <w:rPr>
          <w:rFonts w:hint="cs"/>
          <w:spacing w:val="0"/>
          <w:kern w:val="0"/>
          <w:sz w:val="26"/>
          <w:szCs w:val="26"/>
          <w:rtl/>
        </w:rPr>
        <w:t>ك</w:t>
      </w:r>
      <w:r w:rsidRPr="000203D9">
        <w:rPr>
          <w:rFonts w:hint="cs"/>
          <w:spacing w:val="0"/>
          <w:kern w:val="0"/>
          <w:sz w:val="18"/>
          <w:szCs w:val="26"/>
          <w:rtl/>
        </w:rPr>
        <w:t>)</w:t>
      </w:r>
      <w:r w:rsidRPr="000203D9">
        <w:rPr>
          <w:rFonts w:hint="cs"/>
          <w:spacing w:val="0"/>
          <w:kern w:val="0"/>
          <w:sz w:val="18"/>
          <w:szCs w:val="26"/>
          <w:rtl/>
        </w:rPr>
        <w:tab/>
        <w:t>تشير الدولة الطرف إلى الحكم الصادر عن المحكمة الإدارية الاتحادية في 26 آب/أغسطس 2008، الفقرة</w:t>
      </w:r>
      <w:r>
        <w:rPr>
          <w:rFonts w:hint="eastAsia"/>
          <w:spacing w:val="0"/>
          <w:kern w:val="0"/>
          <w:sz w:val="18"/>
          <w:szCs w:val="26"/>
          <w:rtl/>
        </w:rPr>
        <w:t> </w:t>
      </w:r>
      <w:r>
        <w:rPr>
          <w:rFonts w:hint="cs"/>
          <w:spacing w:val="0"/>
          <w:kern w:val="0"/>
          <w:sz w:val="18"/>
          <w:szCs w:val="26"/>
          <w:rtl/>
        </w:rPr>
        <w:t>4-2-2-1؛ انظر الحاشية و</w:t>
      </w:r>
      <w:r w:rsidRPr="000203D9">
        <w:rPr>
          <w:rFonts w:hint="cs"/>
          <w:spacing w:val="0"/>
          <w:kern w:val="0"/>
          <w:sz w:val="18"/>
          <w:szCs w:val="26"/>
          <w:rtl/>
        </w:rPr>
        <w:t>أعلاه،.</w:t>
      </w:r>
    </w:p>
  </w:footnote>
  <w:footnote w:id="271">
    <w:p w:rsidR="00D64D4C" w:rsidRPr="001E3521" w:rsidRDefault="00D64D4C" w:rsidP="001E3521">
      <w:pPr>
        <w:pStyle w:val="FootnoteText"/>
        <w:tabs>
          <w:tab w:val="left" w:pos="1211"/>
        </w:tabs>
        <w:spacing w:after="60" w:line="300" w:lineRule="exact"/>
        <w:ind w:left="1211" w:right="1247" w:hanging="476"/>
        <w:jc w:val="lowKashida"/>
        <w:rPr>
          <w:spacing w:val="0"/>
          <w:kern w:val="0"/>
          <w:sz w:val="18"/>
          <w:szCs w:val="26"/>
        </w:rPr>
      </w:pPr>
      <w:r w:rsidRPr="001E3521">
        <w:rPr>
          <w:rFonts w:hint="cs"/>
          <w:spacing w:val="0"/>
          <w:kern w:val="0"/>
          <w:sz w:val="18"/>
          <w:szCs w:val="26"/>
          <w:rtl/>
        </w:rPr>
        <w:t>(</w:t>
      </w:r>
      <w:r w:rsidRPr="001E3521">
        <w:rPr>
          <w:rFonts w:hint="cs"/>
          <w:spacing w:val="0"/>
          <w:kern w:val="0"/>
          <w:sz w:val="26"/>
          <w:szCs w:val="26"/>
          <w:rtl/>
        </w:rPr>
        <w:t>ل</w:t>
      </w:r>
      <w:r w:rsidRPr="001E3521">
        <w:rPr>
          <w:rFonts w:hint="cs"/>
          <w:spacing w:val="0"/>
          <w:kern w:val="0"/>
          <w:sz w:val="18"/>
          <w:szCs w:val="26"/>
          <w:rtl/>
        </w:rPr>
        <w:t>)</w:t>
      </w:r>
      <w:r w:rsidRPr="001E3521">
        <w:rPr>
          <w:rFonts w:hint="cs"/>
          <w:spacing w:val="0"/>
          <w:kern w:val="0"/>
          <w:sz w:val="18"/>
          <w:szCs w:val="26"/>
          <w:rtl/>
        </w:rPr>
        <w:tab/>
        <w:t>تشير الدولة الطرف إلى تقرير المجلس السويسري للاجئين السالف الذكر؛ انظر الحاشية ح أعلاه.</w:t>
      </w:r>
    </w:p>
  </w:footnote>
  <w:footnote w:id="272">
    <w:p w:rsidR="00D64D4C" w:rsidRPr="001E3521" w:rsidRDefault="00D64D4C" w:rsidP="001E3521">
      <w:pPr>
        <w:pStyle w:val="FootnoteText"/>
        <w:tabs>
          <w:tab w:val="left" w:pos="1211"/>
        </w:tabs>
        <w:spacing w:after="60" w:line="300" w:lineRule="exact"/>
        <w:ind w:left="1211" w:right="1247" w:hanging="476"/>
        <w:jc w:val="lowKashida"/>
        <w:rPr>
          <w:rFonts w:hint="cs"/>
          <w:spacing w:val="0"/>
          <w:kern w:val="0"/>
          <w:sz w:val="18"/>
          <w:szCs w:val="26"/>
        </w:rPr>
      </w:pPr>
      <w:r w:rsidRPr="001E3521">
        <w:rPr>
          <w:rFonts w:hint="cs"/>
          <w:spacing w:val="0"/>
          <w:kern w:val="0"/>
          <w:sz w:val="18"/>
          <w:szCs w:val="26"/>
          <w:rtl/>
        </w:rPr>
        <w:t>(</w:t>
      </w:r>
      <w:r w:rsidRPr="001E3521">
        <w:rPr>
          <w:rFonts w:hint="cs"/>
          <w:spacing w:val="0"/>
          <w:kern w:val="0"/>
          <w:sz w:val="26"/>
          <w:szCs w:val="26"/>
          <w:rtl/>
        </w:rPr>
        <w:t>م</w:t>
      </w:r>
      <w:r w:rsidRPr="001E3521">
        <w:rPr>
          <w:rFonts w:hint="cs"/>
          <w:spacing w:val="0"/>
          <w:kern w:val="0"/>
          <w:sz w:val="18"/>
          <w:szCs w:val="26"/>
          <w:rtl/>
        </w:rPr>
        <w:t>)</w:t>
      </w:r>
      <w:r w:rsidRPr="001E3521">
        <w:rPr>
          <w:rFonts w:hint="cs"/>
          <w:spacing w:val="0"/>
          <w:kern w:val="0"/>
          <w:sz w:val="18"/>
          <w:szCs w:val="26"/>
          <w:rtl/>
        </w:rPr>
        <w:tab/>
        <w:t>تشير الدولة الطرف إلى أحكام مختلفة صدرت عن المحكمة، وأرفقت هذه الأحكام.</w:t>
      </w:r>
    </w:p>
  </w:footnote>
  <w:footnote w:id="273">
    <w:p w:rsidR="00D64D4C" w:rsidRPr="001924C3" w:rsidRDefault="00D64D4C" w:rsidP="001924C3">
      <w:pPr>
        <w:pStyle w:val="FootnoteText"/>
        <w:tabs>
          <w:tab w:val="left" w:pos="1211"/>
        </w:tabs>
        <w:spacing w:after="60" w:line="300" w:lineRule="exact"/>
        <w:ind w:left="1211" w:right="1247" w:hanging="518"/>
        <w:jc w:val="lowKashida"/>
        <w:rPr>
          <w:rFonts w:hint="cs"/>
          <w:spacing w:val="0"/>
          <w:kern w:val="0"/>
          <w:sz w:val="18"/>
          <w:szCs w:val="26"/>
        </w:rPr>
      </w:pPr>
      <w:r w:rsidRPr="001924C3">
        <w:rPr>
          <w:rFonts w:hint="cs"/>
          <w:spacing w:val="0"/>
          <w:kern w:val="0"/>
          <w:sz w:val="18"/>
          <w:szCs w:val="26"/>
          <w:rtl/>
        </w:rPr>
        <w:t>(</w:t>
      </w:r>
      <w:r w:rsidRPr="001924C3">
        <w:rPr>
          <w:rFonts w:hint="cs"/>
          <w:spacing w:val="0"/>
          <w:kern w:val="0"/>
          <w:sz w:val="26"/>
          <w:szCs w:val="26"/>
          <w:rtl/>
        </w:rPr>
        <w:t>ن</w:t>
      </w:r>
      <w:r w:rsidRPr="001924C3">
        <w:rPr>
          <w:rFonts w:hint="cs"/>
          <w:spacing w:val="0"/>
          <w:kern w:val="0"/>
          <w:sz w:val="18"/>
          <w:szCs w:val="26"/>
          <w:rtl/>
        </w:rPr>
        <w:t>)</w:t>
      </w:r>
      <w:r w:rsidRPr="001924C3">
        <w:rPr>
          <w:rFonts w:hint="cs"/>
          <w:spacing w:val="0"/>
          <w:kern w:val="0"/>
          <w:sz w:val="18"/>
          <w:szCs w:val="26"/>
          <w:rtl/>
        </w:rPr>
        <w:tab/>
        <w:t>القرارات الصادرة في 2 تموز/يوليه 2007 و21 كانون الثاني/يناير 2008 و18 أيلول/سبتمبر 2008 و16 كانون الثاني/يناير 2009.</w:t>
      </w:r>
    </w:p>
  </w:footnote>
  <w:footnote w:id="274">
    <w:p w:rsidR="00D64D4C" w:rsidRPr="001924C3" w:rsidRDefault="00D64D4C" w:rsidP="001924C3">
      <w:pPr>
        <w:pStyle w:val="FootnoteText"/>
        <w:tabs>
          <w:tab w:val="left" w:pos="1211"/>
        </w:tabs>
        <w:spacing w:after="60" w:line="300" w:lineRule="exact"/>
        <w:ind w:left="1211" w:right="1247" w:hanging="518"/>
        <w:jc w:val="lowKashida"/>
        <w:rPr>
          <w:rFonts w:hint="cs"/>
          <w:spacing w:val="0"/>
          <w:kern w:val="0"/>
          <w:sz w:val="18"/>
          <w:szCs w:val="26"/>
        </w:rPr>
      </w:pPr>
      <w:r w:rsidRPr="001924C3">
        <w:rPr>
          <w:rFonts w:hint="cs"/>
          <w:spacing w:val="0"/>
          <w:kern w:val="0"/>
          <w:sz w:val="18"/>
          <w:szCs w:val="26"/>
          <w:rtl/>
        </w:rPr>
        <w:t>(</w:t>
      </w:r>
      <w:r w:rsidRPr="001924C3">
        <w:rPr>
          <w:rFonts w:hint="cs"/>
          <w:spacing w:val="0"/>
          <w:kern w:val="0"/>
          <w:sz w:val="26"/>
          <w:szCs w:val="26"/>
          <w:rtl/>
        </w:rPr>
        <w:t>ص</w:t>
      </w:r>
      <w:r w:rsidRPr="001924C3">
        <w:rPr>
          <w:rFonts w:hint="cs"/>
          <w:spacing w:val="0"/>
          <w:kern w:val="0"/>
          <w:sz w:val="18"/>
          <w:szCs w:val="26"/>
          <w:rtl/>
        </w:rPr>
        <w:t>)</w:t>
      </w:r>
      <w:r w:rsidRPr="001924C3">
        <w:rPr>
          <w:rFonts w:hint="cs"/>
          <w:spacing w:val="0"/>
          <w:kern w:val="0"/>
          <w:sz w:val="18"/>
          <w:szCs w:val="26"/>
          <w:rtl/>
        </w:rPr>
        <w:tab/>
        <w:t>يشير صاحب الشكوى إلى القرارات الصادرة عن المكتب الاتحادي للهجرة رقم 341 440، الصادر في تموز/يوليه 2006، ورقم 182</w:t>
      </w:r>
      <w:r w:rsidRPr="001924C3">
        <w:rPr>
          <w:rFonts w:hint="eastAsia"/>
          <w:spacing w:val="0"/>
          <w:kern w:val="0"/>
          <w:sz w:val="18"/>
          <w:szCs w:val="26"/>
          <w:rtl/>
        </w:rPr>
        <w:t> </w:t>
      </w:r>
      <w:r w:rsidRPr="001924C3">
        <w:rPr>
          <w:rFonts w:hint="cs"/>
          <w:spacing w:val="0"/>
          <w:kern w:val="0"/>
          <w:sz w:val="18"/>
          <w:szCs w:val="26"/>
          <w:rtl/>
        </w:rPr>
        <w:t>409، الصادر في تشرين الثاني/نوفمبر 2006، ورقم 027</w:t>
      </w:r>
      <w:r w:rsidRPr="001924C3">
        <w:rPr>
          <w:rFonts w:hint="eastAsia"/>
          <w:spacing w:val="0"/>
          <w:kern w:val="0"/>
          <w:sz w:val="18"/>
          <w:szCs w:val="26"/>
          <w:rtl/>
        </w:rPr>
        <w:t> </w:t>
      </w:r>
      <w:r w:rsidRPr="001924C3">
        <w:rPr>
          <w:rFonts w:hint="cs"/>
          <w:spacing w:val="0"/>
          <w:kern w:val="0"/>
          <w:sz w:val="18"/>
          <w:szCs w:val="26"/>
          <w:rtl/>
        </w:rPr>
        <w:t>397، الصادر في شباط/فبراير 2007، ورقم 499</w:t>
      </w:r>
      <w:r w:rsidRPr="001924C3">
        <w:rPr>
          <w:rFonts w:hint="eastAsia"/>
          <w:spacing w:val="0"/>
          <w:kern w:val="0"/>
          <w:sz w:val="18"/>
          <w:szCs w:val="26"/>
          <w:rtl/>
        </w:rPr>
        <w:t> </w:t>
      </w:r>
      <w:r w:rsidRPr="001924C3">
        <w:rPr>
          <w:rFonts w:hint="cs"/>
          <w:spacing w:val="0"/>
          <w:kern w:val="0"/>
          <w:sz w:val="18"/>
          <w:szCs w:val="26"/>
          <w:rtl/>
        </w:rPr>
        <w:t>404، الصادر في شباط/فبراير 2009.</w:t>
      </w:r>
    </w:p>
  </w:footnote>
  <w:footnote w:id="275">
    <w:p w:rsidR="00D64D4C" w:rsidRPr="001924C3" w:rsidRDefault="00D64D4C" w:rsidP="001924C3">
      <w:pPr>
        <w:pStyle w:val="FootnoteText"/>
        <w:tabs>
          <w:tab w:val="left" w:pos="1211"/>
        </w:tabs>
        <w:spacing w:after="60" w:line="300" w:lineRule="exact"/>
        <w:ind w:left="1211" w:right="1247" w:hanging="518"/>
        <w:jc w:val="lowKashida"/>
        <w:rPr>
          <w:rFonts w:hint="cs"/>
          <w:spacing w:val="-4"/>
          <w:kern w:val="0"/>
          <w:sz w:val="18"/>
          <w:szCs w:val="26"/>
        </w:rPr>
      </w:pPr>
      <w:r w:rsidRPr="001924C3">
        <w:rPr>
          <w:rFonts w:hint="cs"/>
          <w:spacing w:val="-4"/>
          <w:kern w:val="0"/>
          <w:sz w:val="18"/>
          <w:szCs w:val="26"/>
          <w:rtl/>
        </w:rPr>
        <w:t>(</w:t>
      </w:r>
      <w:r w:rsidRPr="001924C3">
        <w:rPr>
          <w:rFonts w:hint="cs"/>
          <w:spacing w:val="-4"/>
          <w:kern w:val="0"/>
          <w:sz w:val="26"/>
          <w:szCs w:val="26"/>
          <w:rtl/>
        </w:rPr>
        <w:t>ع</w:t>
      </w:r>
      <w:r w:rsidRPr="001924C3">
        <w:rPr>
          <w:rFonts w:hint="cs"/>
          <w:spacing w:val="-4"/>
          <w:kern w:val="0"/>
          <w:sz w:val="18"/>
          <w:szCs w:val="26"/>
          <w:rtl/>
        </w:rPr>
        <w:t>)</w:t>
      </w:r>
      <w:r w:rsidRPr="001924C3">
        <w:rPr>
          <w:rFonts w:hint="cs"/>
          <w:spacing w:val="-4"/>
          <w:kern w:val="0"/>
          <w:sz w:val="18"/>
          <w:szCs w:val="26"/>
          <w:rtl/>
        </w:rPr>
        <w:tab/>
        <w:t>يشير صاحب الشكوى إلى قرار المحكمة الإدارية الاتحادية الصادر في 9 تموز/يوليه 2009، الصفحات 25-27.</w:t>
      </w:r>
    </w:p>
  </w:footnote>
  <w:footnote w:id="276">
    <w:p w:rsidR="00D64D4C" w:rsidRPr="001924C3" w:rsidRDefault="00D64D4C" w:rsidP="001924C3">
      <w:pPr>
        <w:pStyle w:val="FootnoteText"/>
        <w:spacing w:after="60" w:line="300" w:lineRule="exact"/>
        <w:ind w:left="1239" w:right="1247" w:hanging="476"/>
        <w:jc w:val="lowKashida"/>
        <w:rPr>
          <w:rFonts w:hint="cs"/>
          <w:spacing w:val="0"/>
          <w:kern w:val="0"/>
          <w:sz w:val="18"/>
          <w:szCs w:val="26"/>
        </w:rPr>
      </w:pPr>
      <w:r w:rsidRPr="001924C3">
        <w:rPr>
          <w:rFonts w:hint="cs"/>
          <w:spacing w:val="0"/>
          <w:kern w:val="0"/>
          <w:sz w:val="18"/>
          <w:szCs w:val="26"/>
          <w:rtl/>
        </w:rPr>
        <w:t>(</w:t>
      </w:r>
      <w:r w:rsidRPr="001924C3">
        <w:rPr>
          <w:rFonts w:hint="cs"/>
          <w:spacing w:val="0"/>
          <w:kern w:val="0"/>
          <w:sz w:val="26"/>
          <w:szCs w:val="26"/>
          <w:rtl/>
        </w:rPr>
        <w:t>ف</w:t>
      </w:r>
      <w:r w:rsidRPr="001924C3">
        <w:rPr>
          <w:rFonts w:hint="cs"/>
          <w:spacing w:val="0"/>
          <w:kern w:val="0"/>
          <w:sz w:val="18"/>
          <w:szCs w:val="26"/>
          <w:rtl/>
        </w:rPr>
        <w:t>)</w:t>
      </w:r>
      <w:r w:rsidRPr="001924C3">
        <w:rPr>
          <w:rFonts w:hint="cs"/>
          <w:spacing w:val="0"/>
          <w:kern w:val="0"/>
          <w:sz w:val="18"/>
          <w:szCs w:val="26"/>
          <w:rtl/>
        </w:rPr>
        <w:tab/>
        <w:t>أُحيلت هذه المعلومات إلى الدولة الطرف في 23 حزيران/يونيه 2010.</w:t>
      </w:r>
    </w:p>
  </w:footnote>
  <w:footnote w:id="277">
    <w:p w:rsidR="00D64D4C" w:rsidRPr="001924C3" w:rsidRDefault="00D64D4C" w:rsidP="001924C3">
      <w:pPr>
        <w:pStyle w:val="FootnoteText"/>
        <w:tabs>
          <w:tab w:val="left" w:pos="1239"/>
        </w:tabs>
        <w:spacing w:after="60" w:line="300" w:lineRule="exact"/>
        <w:ind w:left="1239" w:right="1247" w:hanging="476"/>
        <w:jc w:val="lowKashida"/>
        <w:rPr>
          <w:rFonts w:hint="cs"/>
          <w:spacing w:val="0"/>
          <w:kern w:val="0"/>
          <w:sz w:val="18"/>
          <w:szCs w:val="26"/>
        </w:rPr>
      </w:pPr>
      <w:r w:rsidRPr="001924C3">
        <w:rPr>
          <w:rFonts w:hint="cs"/>
          <w:spacing w:val="0"/>
          <w:kern w:val="0"/>
          <w:sz w:val="18"/>
          <w:szCs w:val="26"/>
          <w:rtl/>
        </w:rPr>
        <w:t>(</w:t>
      </w:r>
      <w:r w:rsidRPr="001924C3">
        <w:rPr>
          <w:rFonts w:hint="cs"/>
          <w:spacing w:val="0"/>
          <w:kern w:val="0"/>
          <w:sz w:val="26"/>
          <w:szCs w:val="26"/>
          <w:rtl/>
        </w:rPr>
        <w:t>ص</w:t>
      </w:r>
      <w:r w:rsidRPr="001924C3">
        <w:rPr>
          <w:rFonts w:hint="cs"/>
          <w:spacing w:val="0"/>
          <w:kern w:val="0"/>
          <w:sz w:val="18"/>
          <w:szCs w:val="26"/>
          <w:rtl/>
        </w:rPr>
        <w:t>)</w:t>
      </w:r>
      <w:r w:rsidRPr="001924C3">
        <w:rPr>
          <w:rFonts w:hint="cs"/>
          <w:spacing w:val="0"/>
          <w:kern w:val="0"/>
          <w:sz w:val="18"/>
          <w:szCs w:val="26"/>
          <w:rtl/>
        </w:rPr>
        <w:tab/>
      </w:r>
      <w:r w:rsidRPr="001924C3">
        <w:rPr>
          <w:rFonts w:hint="cs"/>
          <w:i/>
          <w:iCs/>
          <w:spacing w:val="0"/>
          <w:kern w:val="0"/>
          <w:sz w:val="18"/>
          <w:szCs w:val="26"/>
          <w:rtl/>
        </w:rPr>
        <w:t>انظر</w:t>
      </w:r>
      <w:r w:rsidRPr="001924C3">
        <w:rPr>
          <w:rFonts w:hint="cs"/>
          <w:spacing w:val="0"/>
          <w:kern w:val="0"/>
          <w:sz w:val="18"/>
          <w:szCs w:val="26"/>
          <w:rtl/>
        </w:rPr>
        <w:t xml:space="preserve"> تعليق اللجنة العام رقم 1، الحاشية ي أعلاه، والبلاغ رقم 203/2002، </w:t>
      </w:r>
      <w:r w:rsidRPr="001924C3">
        <w:rPr>
          <w:rFonts w:hint="cs"/>
          <w:i/>
          <w:iCs/>
          <w:spacing w:val="0"/>
          <w:kern w:val="0"/>
          <w:sz w:val="18"/>
          <w:szCs w:val="26"/>
          <w:rtl/>
        </w:rPr>
        <w:t>أ. ر. ضد هولندا</w:t>
      </w:r>
      <w:r w:rsidRPr="001924C3">
        <w:rPr>
          <w:rFonts w:hint="cs"/>
          <w:spacing w:val="0"/>
          <w:kern w:val="0"/>
          <w:sz w:val="18"/>
          <w:szCs w:val="26"/>
          <w:rtl/>
        </w:rPr>
        <w:t>، القرار المعتمَد في 21 تشرين الثاني/نوفمبر 2003، الفقرة 7-3.</w:t>
      </w:r>
    </w:p>
  </w:footnote>
  <w:footnote w:id="278">
    <w:p w:rsidR="00D64D4C" w:rsidRPr="001924C3" w:rsidRDefault="00D64D4C" w:rsidP="001924C3">
      <w:pPr>
        <w:pStyle w:val="FootnoteText"/>
        <w:tabs>
          <w:tab w:val="left" w:pos="1239"/>
        </w:tabs>
        <w:spacing w:after="60" w:line="300" w:lineRule="exact"/>
        <w:ind w:left="1239" w:right="1247" w:hanging="476"/>
        <w:jc w:val="lowKashida"/>
        <w:rPr>
          <w:rFonts w:hint="cs"/>
          <w:spacing w:val="0"/>
          <w:kern w:val="0"/>
          <w:sz w:val="18"/>
          <w:szCs w:val="26"/>
        </w:rPr>
      </w:pPr>
      <w:r w:rsidRPr="001924C3">
        <w:rPr>
          <w:rFonts w:hint="cs"/>
          <w:spacing w:val="0"/>
          <w:kern w:val="0"/>
          <w:sz w:val="18"/>
          <w:szCs w:val="26"/>
          <w:rtl/>
        </w:rPr>
        <w:t>(</w:t>
      </w:r>
      <w:r w:rsidRPr="001924C3">
        <w:rPr>
          <w:rFonts w:hint="cs"/>
          <w:spacing w:val="0"/>
          <w:kern w:val="0"/>
          <w:sz w:val="26"/>
          <w:szCs w:val="26"/>
          <w:rtl/>
        </w:rPr>
        <w:t>ق</w:t>
      </w:r>
      <w:r w:rsidRPr="001924C3">
        <w:rPr>
          <w:rFonts w:hint="cs"/>
          <w:spacing w:val="0"/>
          <w:kern w:val="0"/>
          <w:sz w:val="18"/>
          <w:szCs w:val="26"/>
          <w:rtl/>
        </w:rPr>
        <w:t>)</w:t>
      </w:r>
      <w:r w:rsidRPr="001924C3">
        <w:rPr>
          <w:rFonts w:hint="cs"/>
          <w:spacing w:val="0"/>
          <w:kern w:val="0"/>
          <w:sz w:val="18"/>
          <w:szCs w:val="26"/>
          <w:rtl/>
        </w:rPr>
        <w:tab/>
        <w:t xml:space="preserve">التعليق العام رقم 1، </w:t>
      </w:r>
      <w:r w:rsidRPr="001924C3">
        <w:rPr>
          <w:rFonts w:hint="cs"/>
          <w:i/>
          <w:iCs/>
          <w:spacing w:val="0"/>
          <w:kern w:val="0"/>
          <w:sz w:val="18"/>
          <w:szCs w:val="26"/>
          <w:rtl/>
        </w:rPr>
        <w:t>المرجع نفسه</w:t>
      </w:r>
      <w:r w:rsidRPr="001924C3">
        <w:rPr>
          <w:rFonts w:hint="cs"/>
          <w:spacing w:val="0"/>
          <w:kern w:val="0"/>
          <w:sz w:val="18"/>
          <w:szCs w:val="26"/>
          <w:rtl/>
        </w:rPr>
        <w:t>، الفقرة 8(ﻫ).</w:t>
      </w:r>
    </w:p>
  </w:footnote>
  <w:footnote w:id="279">
    <w:p w:rsidR="00D64D4C" w:rsidRPr="001924C3" w:rsidRDefault="00D64D4C" w:rsidP="001924C3">
      <w:pPr>
        <w:pStyle w:val="FootnoteText"/>
        <w:tabs>
          <w:tab w:val="left" w:pos="1239"/>
        </w:tabs>
        <w:spacing w:after="60" w:line="300" w:lineRule="exact"/>
        <w:ind w:left="1239" w:right="1247" w:hanging="476"/>
        <w:jc w:val="lowKashida"/>
        <w:rPr>
          <w:rFonts w:hint="cs"/>
          <w:spacing w:val="-2"/>
          <w:kern w:val="0"/>
          <w:sz w:val="18"/>
          <w:szCs w:val="26"/>
        </w:rPr>
      </w:pPr>
      <w:r w:rsidRPr="001924C3">
        <w:rPr>
          <w:rFonts w:hint="cs"/>
          <w:spacing w:val="-2"/>
          <w:kern w:val="0"/>
          <w:sz w:val="18"/>
          <w:szCs w:val="26"/>
          <w:rtl/>
        </w:rPr>
        <w:t>(</w:t>
      </w:r>
      <w:r w:rsidRPr="001924C3">
        <w:rPr>
          <w:rFonts w:hint="cs"/>
          <w:spacing w:val="-2"/>
          <w:kern w:val="0"/>
          <w:sz w:val="26"/>
          <w:szCs w:val="26"/>
          <w:rtl/>
        </w:rPr>
        <w:t>ر</w:t>
      </w:r>
      <w:r w:rsidRPr="001924C3">
        <w:rPr>
          <w:rFonts w:hint="cs"/>
          <w:spacing w:val="-2"/>
          <w:kern w:val="0"/>
          <w:sz w:val="18"/>
          <w:szCs w:val="26"/>
          <w:rtl/>
        </w:rPr>
        <w:t>)</w:t>
      </w:r>
      <w:r w:rsidRPr="001924C3">
        <w:rPr>
          <w:rFonts w:hint="cs"/>
          <w:spacing w:val="-2"/>
          <w:kern w:val="0"/>
          <w:sz w:val="18"/>
          <w:szCs w:val="26"/>
          <w:rtl/>
        </w:rPr>
        <w:tab/>
      </w:r>
      <w:r w:rsidRPr="001924C3">
        <w:rPr>
          <w:rFonts w:hint="cs"/>
          <w:i/>
          <w:iCs/>
          <w:spacing w:val="-2"/>
          <w:kern w:val="0"/>
          <w:sz w:val="18"/>
          <w:szCs w:val="26"/>
          <w:rtl/>
        </w:rPr>
        <w:t>انظر</w:t>
      </w:r>
      <w:r w:rsidRPr="001924C3">
        <w:rPr>
          <w:rFonts w:hint="cs"/>
          <w:spacing w:val="-2"/>
          <w:kern w:val="0"/>
          <w:sz w:val="18"/>
          <w:szCs w:val="26"/>
          <w:rtl/>
        </w:rPr>
        <w:t xml:space="preserve"> البلاغ رقم 357/2008، </w:t>
      </w:r>
      <w:r w:rsidRPr="001924C3">
        <w:rPr>
          <w:rFonts w:hint="cs"/>
          <w:i/>
          <w:iCs/>
          <w:spacing w:val="-2"/>
          <w:kern w:val="0"/>
          <w:sz w:val="18"/>
          <w:szCs w:val="26"/>
          <w:rtl/>
        </w:rPr>
        <w:t>جاهاني</w:t>
      </w:r>
      <w:r w:rsidRPr="001924C3">
        <w:rPr>
          <w:rFonts w:hint="cs"/>
          <w:spacing w:val="-2"/>
          <w:kern w:val="0"/>
          <w:sz w:val="18"/>
          <w:szCs w:val="26"/>
          <w:rtl/>
        </w:rPr>
        <w:t xml:space="preserve"> </w:t>
      </w:r>
      <w:r w:rsidRPr="001924C3">
        <w:rPr>
          <w:rFonts w:hint="cs"/>
          <w:i/>
          <w:iCs/>
          <w:spacing w:val="-2"/>
          <w:kern w:val="0"/>
          <w:sz w:val="18"/>
          <w:szCs w:val="26"/>
          <w:rtl/>
        </w:rPr>
        <w:t>ضد سويسرا</w:t>
      </w:r>
      <w:r w:rsidRPr="001924C3">
        <w:rPr>
          <w:rFonts w:hint="cs"/>
          <w:spacing w:val="-2"/>
          <w:kern w:val="0"/>
          <w:sz w:val="18"/>
          <w:szCs w:val="26"/>
          <w:rtl/>
        </w:rPr>
        <w:t>، القرار المعتمد في 23 أيار/مايو 2011، الفقرة 9-4.</w:t>
      </w:r>
    </w:p>
  </w:footnote>
  <w:footnote w:id="280">
    <w:p w:rsidR="00D64D4C" w:rsidRPr="001924C3" w:rsidRDefault="00D64D4C" w:rsidP="00141C90">
      <w:pPr>
        <w:pStyle w:val="FootnoteText"/>
        <w:tabs>
          <w:tab w:val="left" w:pos="1239"/>
        </w:tabs>
        <w:spacing w:line="300" w:lineRule="exact"/>
        <w:ind w:left="1241" w:right="1247" w:hanging="476"/>
        <w:jc w:val="lowKashida"/>
        <w:rPr>
          <w:spacing w:val="0"/>
          <w:kern w:val="0"/>
          <w:sz w:val="18"/>
          <w:szCs w:val="26"/>
        </w:rPr>
      </w:pPr>
      <w:r w:rsidRPr="001924C3">
        <w:rPr>
          <w:rFonts w:hint="cs"/>
          <w:spacing w:val="0"/>
          <w:kern w:val="0"/>
          <w:sz w:val="18"/>
          <w:szCs w:val="26"/>
          <w:rtl/>
        </w:rPr>
        <w:t>(</w:t>
      </w:r>
      <w:r w:rsidRPr="001924C3">
        <w:rPr>
          <w:rFonts w:hint="cs"/>
          <w:spacing w:val="0"/>
          <w:kern w:val="0"/>
          <w:sz w:val="26"/>
          <w:szCs w:val="26"/>
          <w:rtl/>
        </w:rPr>
        <w:t>ش</w:t>
      </w:r>
      <w:r w:rsidRPr="001924C3">
        <w:rPr>
          <w:rFonts w:hint="cs"/>
          <w:spacing w:val="0"/>
          <w:kern w:val="0"/>
          <w:sz w:val="18"/>
          <w:szCs w:val="26"/>
          <w:rtl/>
        </w:rPr>
        <w:t>)</w:t>
      </w:r>
      <w:r w:rsidRPr="001924C3">
        <w:rPr>
          <w:rFonts w:hint="cs"/>
          <w:spacing w:val="0"/>
          <w:kern w:val="0"/>
          <w:sz w:val="18"/>
          <w:szCs w:val="26"/>
          <w:rtl/>
        </w:rPr>
        <w:tab/>
        <w:t xml:space="preserve">في 7 تموز/يوليه 2009 مثلاً، أعرب ستة من المكلفين بولايات في إطار </w:t>
      </w:r>
      <w:r w:rsidRPr="001924C3">
        <w:rPr>
          <w:spacing w:val="0"/>
          <w:kern w:val="0"/>
          <w:sz w:val="18"/>
          <w:szCs w:val="26"/>
          <w:rtl/>
        </w:rPr>
        <w:t xml:space="preserve">الإجراءات الخاصة </w:t>
      </w:r>
      <w:r w:rsidRPr="001924C3">
        <w:rPr>
          <w:rFonts w:hint="cs"/>
          <w:spacing w:val="0"/>
          <w:kern w:val="0"/>
          <w:sz w:val="18"/>
          <w:szCs w:val="26"/>
          <w:rtl/>
        </w:rPr>
        <w:t xml:space="preserve">لمجلس </w:t>
      </w:r>
      <w:r w:rsidRPr="001924C3">
        <w:rPr>
          <w:spacing w:val="0"/>
          <w:kern w:val="0"/>
          <w:sz w:val="18"/>
          <w:szCs w:val="26"/>
          <w:rtl/>
        </w:rPr>
        <w:t>حقوق الإنسان</w:t>
      </w:r>
      <w:r w:rsidRPr="001924C3">
        <w:rPr>
          <w:rFonts w:hint="cs"/>
          <w:spacing w:val="0"/>
          <w:kern w:val="0"/>
          <w:sz w:val="18"/>
          <w:szCs w:val="26"/>
          <w:rtl/>
        </w:rPr>
        <w:t xml:space="preserve"> </w:t>
      </w:r>
      <w:r w:rsidRPr="001924C3">
        <w:rPr>
          <w:spacing w:val="0"/>
          <w:kern w:val="0"/>
          <w:sz w:val="18"/>
          <w:szCs w:val="26"/>
          <w:rtl/>
        </w:rPr>
        <w:t>(</w:t>
      </w:r>
      <w:r w:rsidRPr="001924C3">
        <w:rPr>
          <w:rFonts w:hint="cs"/>
          <w:spacing w:val="0"/>
          <w:kern w:val="0"/>
          <w:sz w:val="18"/>
          <w:szCs w:val="26"/>
          <w:rtl/>
        </w:rPr>
        <w:t>الاحتجاز ا</w:t>
      </w:r>
      <w:r w:rsidRPr="001924C3">
        <w:rPr>
          <w:spacing w:val="0"/>
          <w:kern w:val="0"/>
          <w:sz w:val="18"/>
          <w:szCs w:val="26"/>
          <w:rtl/>
        </w:rPr>
        <w:t>لتعسفي</w:t>
      </w:r>
      <w:r w:rsidRPr="001924C3">
        <w:rPr>
          <w:rFonts w:hint="cs"/>
          <w:spacing w:val="0"/>
          <w:kern w:val="0"/>
          <w:sz w:val="18"/>
          <w:szCs w:val="26"/>
          <w:rtl/>
        </w:rPr>
        <w:t>؛</w:t>
      </w:r>
      <w:r w:rsidRPr="001924C3">
        <w:rPr>
          <w:spacing w:val="0"/>
          <w:kern w:val="0"/>
          <w:sz w:val="18"/>
          <w:szCs w:val="26"/>
          <w:rtl/>
        </w:rPr>
        <w:t xml:space="preserve"> </w:t>
      </w:r>
      <w:r w:rsidRPr="001924C3">
        <w:rPr>
          <w:rFonts w:hint="cs"/>
          <w:spacing w:val="0"/>
          <w:kern w:val="0"/>
          <w:sz w:val="18"/>
          <w:szCs w:val="26"/>
          <w:rtl/>
        </w:rPr>
        <w:t>و</w:t>
      </w:r>
      <w:r w:rsidRPr="001924C3">
        <w:rPr>
          <w:rFonts w:hint="cs"/>
          <w:spacing w:val="0"/>
          <w:kern w:val="0"/>
          <w:sz w:val="18"/>
          <w:szCs w:val="26"/>
          <w:rtl/>
          <w:lang/>
        </w:rPr>
        <w:t>حالات الإعدام خارج نطاق القضاء أو بإجراءات موجزة أو تعسفاً؛</w:t>
      </w:r>
      <w:r w:rsidRPr="001924C3">
        <w:rPr>
          <w:rFonts w:hint="cs"/>
          <w:spacing w:val="0"/>
          <w:kern w:val="0"/>
          <w:sz w:val="18"/>
          <w:szCs w:val="26"/>
          <w:rtl/>
        </w:rPr>
        <w:t xml:space="preserve"> </w:t>
      </w:r>
      <w:r w:rsidRPr="001924C3">
        <w:rPr>
          <w:spacing w:val="0"/>
          <w:kern w:val="0"/>
          <w:sz w:val="18"/>
          <w:szCs w:val="26"/>
          <w:rtl/>
        </w:rPr>
        <w:t>والحق في حرية الرأي والتعبير</w:t>
      </w:r>
      <w:r w:rsidRPr="001924C3">
        <w:rPr>
          <w:rFonts w:hint="cs"/>
          <w:spacing w:val="0"/>
          <w:kern w:val="0"/>
          <w:sz w:val="18"/>
          <w:szCs w:val="26"/>
          <w:rtl/>
        </w:rPr>
        <w:t xml:space="preserve">؛ </w:t>
      </w:r>
      <w:r w:rsidRPr="001924C3">
        <w:rPr>
          <w:spacing w:val="0"/>
          <w:kern w:val="0"/>
          <w:sz w:val="18"/>
          <w:szCs w:val="26"/>
          <w:rtl/>
        </w:rPr>
        <w:t xml:space="preserve">والتعذيب وغيره من ضروب المعاملة أو العقوبة القاسية أو اللاإنسانية أو المهينة؛ </w:t>
      </w:r>
      <w:r w:rsidRPr="001924C3">
        <w:rPr>
          <w:rFonts w:hint="cs"/>
          <w:spacing w:val="0"/>
          <w:kern w:val="0"/>
          <w:sz w:val="18"/>
          <w:szCs w:val="26"/>
          <w:rtl/>
        </w:rPr>
        <w:t xml:space="preserve">وحالة </w:t>
      </w:r>
      <w:r w:rsidRPr="001924C3">
        <w:rPr>
          <w:spacing w:val="0"/>
          <w:kern w:val="0"/>
          <w:sz w:val="18"/>
          <w:szCs w:val="26"/>
          <w:rtl/>
        </w:rPr>
        <w:t>المدافعين عن حقوق الإنسان</w:t>
      </w:r>
      <w:r w:rsidRPr="001924C3">
        <w:rPr>
          <w:rFonts w:hint="cs"/>
          <w:spacing w:val="0"/>
          <w:kern w:val="0"/>
          <w:sz w:val="18"/>
          <w:szCs w:val="26"/>
          <w:rtl/>
        </w:rPr>
        <w:t xml:space="preserve">؛ </w:t>
      </w:r>
      <w:r w:rsidRPr="001924C3">
        <w:rPr>
          <w:spacing w:val="0"/>
          <w:kern w:val="0"/>
          <w:sz w:val="18"/>
          <w:szCs w:val="26"/>
          <w:rtl/>
        </w:rPr>
        <w:t xml:space="preserve">وحالات الاختفاء القسري) عن قلقهم بشأن </w:t>
      </w:r>
      <w:r w:rsidRPr="001924C3">
        <w:rPr>
          <w:rFonts w:hint="cs"/>
          <w:spacing w:val="0"/>
          <w:kern w:val="0"/>
          <w:sz w:val="18"/>
          <w:szCs w:val="26"/>
          <w:rtl/>
        </w:rPr>
        <w:t>ال</w:t>
      </w:r>
      <w:r w:rsidRPr="001924C3">
        <w:rPr>
          <w:spacing w:val="0"/>
          <w:kern w:val="0"/>
          <w:sz w:val="18"/>
          <w:szCs w:val="26"/>
          <w:rtl/>
        </w:rPr>
        <w:t xml:space="preserve">احتجاجات </w:t>
      </w:r>
      <w:r w:rsidRPr="001924C3">
        <w:rPr>
          <w:rFonts w:hint="cs"/>
          <w:spacing w:val="0"/>
          <w:kern w:val="0"/>
          <w:sz w:val="18"/>
          <w:szCs w:val="26"/>
          <w:rtl/>
        </w:rPr>
        <w:t>ال</w:t>
      </w:r>
      <w:r w:rsidRPr="001924C3">
        <w:rPr>
          <w:spacing w:val="0"/>
          <w:kern w:val="0"/>
          <w:sz w:val="18"/>
          <w:szCs w:val="26"/>
          <w:rtl/>
        </w:rPr>
        <w:t xml:space="preserve">مرتبطة </w:t>
      </w:r>
      <w:r w:rsidRPr="001924C3">
        <w:rPr>
          <w:rFonts w:hint="cs"/>
          <w:spacing w:val="0"/>
          <w:kern w:val="0"/>
          <w:sz w:val="18"/>
          <w:szCs w:val="26"/>
          <w:rtl/>
        </w:rPr>
        <w:t>ب</w:t>
      </w:r>
      <w:r w:rsidRPr="001924C3">
        <w:rPr>
          <w:spacing w:val="0"/>
          <w:kern w:val="0"/>
          <w:sz w:val="18"/>
          <w:szCs w:val="26"/>
          <w:rtl/>
        </w:rPr>
        <w:t xml:space="preserve">الانتخابات الرئاسية الإيرانية </w:t>
      </w:r>
      <w:r w:rsidRPr="001924C3">
        <w:rPr>
          <w:rFonts w:hint="cs"/>
          <w:spacing w:val="0"/>
          <w:kern w:val="0"/>
          <w:sz w:val="18"/>
          <w:szCs w:val="26"/>
          <w:rtl/>
        </w:rPr>
        <w:t xml:space="preserve">في </w:t>
      </w:r>
      <w:r w:rsidRPr="001924C3">
        <w:rPr>
          <w:spacing w:val="0"/>
          <w:kern w:val="0"/>
          <w:sz w:val="18"/>
          <w:szCs w:val="26"/>
          <w:rtl/>
        </w:rPr>
        <w:t>عام 2009</w:t>
      </w:r>
      <w:r w:rsidRPr="001924C3">
        <w:rPr>
          <w:rFonts w:hint="cs"/>
          <w:spacing w:val="0"/>
          <w:kern w:val="0"/>
          <w:sz w:val="18"/>
          <w:szCs w:val="26"/>
          <w:rtl/>
        </w:rPr>
        <w:t xml:space="preserve">، التي قُتِل على أثرها </w:t>
      </w:r>
      <w:r w:rsidRPr="001924C3">
        <w:rPr>
          <w:spacing w:val="0"/>
          <w:kern w:val="0"/>
          <w:sz w:val="18"/>
          <w:szCs w:val="26"/>
          <w:rtl/>
        </w:rPr>
        <w:t>20 شخصا</w:t>
      </w:r>
      <w:r w:rsidRPr="001924C3">
        <w:rPr>
          <w:rFonts w:hint="cs"/>
          <w:spacing w:val="0"/>
          <w:kern w:val="0"/>
          <w:sz w:val="18"/>
          <w:szCs w:val="26"/>
          <w:rtl/>
        </w:rPr>
        <w:t>ً</w:t>
      </w:r>
      <w:r w:rsidRPr="001924C3">
        <w:rPr>
          <w:spacing w:val="0"/>
          <w:kern w:val="0"/>
          <w:sz w:val="18"/>
          <w:szCs w:val="26"/>
          <w:rtl/>
        </w:rPr>
        <w:t xml:space="preserve"> على ال</w:t>
      </w:r>
      <w:r w:rsidRPr="001924C3">
        <w:rPr>
          <w:rFonts w:hint="cs"/>
          <w:spacing w:val="0"/>
          <w:kern w:val="0"/>
          <w:sz w:val="18"/>
          <w:szCs w:val="26"/>
          <w:rtl/>
        </w:rPr>
        <w:t>أ</w:t>
      </w:r>
      <w:r w:rsidRPr="001924C3">
        <w:rPr>
          <w:spacing w:val="0"/>
          <w:kern w:val="0"/>
          <w:sz w:val="18"/>
          <w:szCs w:val="26"/>
          <w:rtl/>
        </w:rPr>
        <w:t>قل و</w:t>
      </w:r>
      <w:r w:rsidRPr="001924C3">
        <w:rPr>
          <w:rFonts w:hint="cs"/>
          <w:spacing w:val="0"/>
          <w:kern w:val="0"/>
          <w:sz w:val="18"/>
          <w:szCs w:val="26"/>
          <w:rtl/>
        </w:rPr>
        <w:t xml:space="preserve">أُصِيب </w:t>
      </w:r>
      <w:r w:rsidRPr="001924C3">
        <w:rPr>
          <w:spacing w:val="0"/>
          <w:kern w:val="0"/>
          <w:sz w:val="18"/>
          <w:szCs w:val="26"/>
          <w:rtl/>
        </w:rPr>
        <w:t>مئات</w:t>
      </w:r>
      <w:r w:rsidRPr="001924C3">
        <w:rPr>
          <w:rFonts w:hint="cs"/>
          <w:spacing w:val="0"/>
          <w:kern w:val="0"/>
          <w:sz w:val="18"/>
          <w:szCs w:val="26"/>
          <w:rtl/>
        </w:rPr>
        <w:t> </w:t>
      </w:r>
      <w:r w:rsidRPr="001924C3">
        <w:rPr>
          <w:spacing w:val="0"/>
          <w:kern w:val="0"/>
          <w:sz w:val="18"/>
          <w:szCs w:val="26"/>
          <w:rtl/>
        </w:rPr>
        <w:t>آخر</w:t>
      </w:r>
      <w:r w:rsidRPr="001924C3">
        <w:rPr>
          <w:rFonts w:hint="cs"/>
          <w:spacing w:val="0"/>
          <w:kern w:val="0"/>
          <w:sz w:val="18"/>
          <w:szCs w:val="26"/>
          <w:rtl/>
        </w:rPr>
        <w:t>و</w:t>
      </w:r>
      <w:r w:rsidRPr="001924C3">
        <w:rPr>
          <w:spacing w:val="0"/>
          <w:kern w:val="0"/>
          <w:sz w:val="18"/>
          <w:szCs w:val="26"/>
          <w:rtl/>
        </w:rPr>
        <w:t>ن بجروح خطيرة في اشتباكات مع قوات الأمن</w:t>
      </w:r>
      <w:r w:rsidRPr="001924C3">
        <w:rPr>
          <w:rFonts w:hint="cs"/>
          <w:spacing w:val="0"/>
          <w:kern w:val="0"/>
          <w:sz w:val="18"/>
          <w:szCs w:val="26"/>
          <w:rtl/>
        </w:rPr>
        <w:t xml:space="preserve"> التي زُعِم أنها استخدمت </w:t>
      </w:r>
      <w:r w:rsidRPr="001924C3">
        <w:rPr>
          <w:spacing w:val="0"/>
          <w:kern w:val="0"/>
          <w:sz w:val="18"/>
          <w:szCs w:val="26"/>
          <w:rtl/>
        </w:rPr>
        <w:t>الذخيرة</w:t>
      </w:r>
      <w:r w:rsidRPr="001924C3">
        <w:rPr>
          <w:rFonts w:hint="cs"/>
          <w:spacing w:val="0"/>
          <w:kern w:val="0"/>
          <w:sz w:val="18"/>
          <w:szCs w:val="26"/>
          <w:rtl/>
        </w:rPr>
        <w:t xml:space="preserve"> الحيّة </w:t>
      </w:r>
      <w:r w:rsidRPr="001924C3">
        <w:rPr>
          <w:spacing w:val="0"/>
          <w:kern w:val="0"/>
          <w:sz w:val="18"/>
          <w:szCs w:val="26"/>
          <w:rtl/>
        </w:rPr>
        <w:t>والطلقات</w:t>
      </w:r>
      <w:r w:rsidRPr="001924C3">
        <w:rPr>
          <w:rFonts w:hint="cs"/>
          <w:spacing w:val="0"/>
          <w:kern w:val="0"/>
          <w:sz w:val="18"/>
          <w:szCs w:val="26"/>
          <w:rtl/>
        </w:rPr>
        <w:t> </w:t>
      </w:r>
      <w:r w:rsidRPr="001924C3">
        <w:rPr>
          <w:spacing w:val="0"/>
          <w:kern w:val="0"/>
          <w:sz w:val="18"/>
          <w:szCs w:val="26"/>
          <w:rtl/>
        </w:rPr>
        <w:t>المطاطية</w:t>
      </w:r>
      <w:r w:rsidRPr="001924C3">
        <w:rPr>
          <w:rFonts w:hint="cs"/>
          <w:spacing w:val="0"/>
          <w:kern w:val="0"/>
          <w:sz w:val="18"/>
          <w:szCs w:val="26"/>
          <w:rtl/>
        </w:rPr>
        <w:t xml:space="preserve"> ضد المحتجين</w:t>
      </w:r>
      <w:r w:rsidRPr="001924C3">
        <w:rPr>
          <w:spacing w:val="0"/>
          <w:kern w:val="0"/>
          <w:sz w:val="18"/>
          <w:szCs w:val="26"/>
          <w:rtl/>
        </w:rPr>
        <w:t xml:space="preserve">. </w:t>
      </w:r>
      <w:r w:rsidRPr="001924C3">
        <w:rPr>
          <w:rFonts w:hint="cs"/>
          <w:spacing w:val="0"/>
          <w:kern w:val="0"/>
          <w:sz w:val="18"/>
          <w:szCs w:val="26"/>
          <w:rtl/>
        </w:rPr>
        <w:t xml:space="preserve">كما أعرب الخبراء أنفسهم </w:t>
      </w:r>
      <w:r w:rsidRPr="001924C3">
        <w:rPr>
          <w:spacing w:val="0"/>
          <w:kern w:val="0"/>
          <w:sz w:val="18"/>
          <w:szCs w:val="26"/>
          <w:rtl/>
        </w:rPr>
        <w:t xml:space="preserve">عن قلقهم إزاء </w:t>
      </w:r>
      <w:r w:rsidRPr="001924C3">
        <w:rPr>
          <w:rFonts w:hint="cs"/>
          <w:spacing w:val="0"/>
          <w:kern w:val="0"/>
          <w:sz w:val="18"/>
          <w:szCs w:val="26"/>
          <w:rtl/>
        </w:rPr>
        <w:t xml:space="preserve">ورود </w:t>
      </w:r>
      <w:r w:rsidRPr="001924C3">
        <w:rPr>
          <w:spacing w:val="0"/>
          <w:kern w:val="0"/>
          <w:sz w:val="18"/>
          <w:szCs w:val="26"/>
          <w:rtl/>
        </w:rPr>
        <w:t>تقارير</w:t>
      </w:r>
      <w:r w:rsidRPr="001924C3">
        <w:rPr>
          <w:rFonts w:hint="cs"/>
          <w:spacing w:val="0"/>
          <w:kern w:val="0"/>
          <w:sz w:val="18"/>
          <w:szCs w:val="26"/>
          <w:rtl/>
        </w:rPr>
        <w:t xml:space="preserve"> تفيد باعتقال</w:t>
      </w:r>
      <w:r w:rsidRPr="001924C3">
        <w:rPr>
          <w:rFonts w:hint="eastAsia"/>
          <w:spacing w:val="0"/>
          <w:kern w:val="0"/>
          <w:sz w:val="18"/>
          <w:szCs w:val="26"/>
          <w:rtl/>
        </w:rPr>
        <w:t> </w:t>
      </w:r>
      <w:r w:rsidRPr="001924C3">
        <w:rPr>
          <w:rFonts w:hint="cs"/>
          <w:spacing w:val="0"/>
          <w:kern w:val="0"/>
          <w:sz w:val="18"/>
          <w:szCs w:val="26"/>
          <w:rtl/>
        </w:rPr>
        <w:t>الأفراد و</w:t>
      </w:r>
      <w:r w:rsidRPr="001924C3">
        <w:rPr>
          <w:spacing w:val="0"/>
          <w:kern w:val="0"/>
          <w:sz w:val="18"/>
          <w:szCs w:val="26"/>
          <w:rtl/>
        </w:rPr>
        <w:t>احتجاز</w:t>
      </w:r>
      <w:r w:rsidRPr="001924C3">
        <w:rPr>
          <w:rFonts w:hint="cs"/>
          <w:spacing w:val="0"/>
          <w:kern w:val="0"/>
          <w:sz w:val="18"/>
          <w:szCs w:val="26"/>
          <w:rtl/>
        </w:rPr>
        <w:t xml:space="preserve">هم من </w:t>
      </w:r>
      <w:r w:rsidRPr="001924C3">
        <w:rPr>
          <w:spacing w:val="0"/>
          <w:kern w:val="0"/>
          <w:sz w:val="18"/>
          <w:szCs w:val="26"/>
          <w:rtl/>
        </w:rPr>
        <w:t>دون تهمة و</w:t>
      </w:r>
      <w:r w:rsidRPr="001924C3">
        <w:rPr>
          <w:rFonts w:hint="cs"/>
          <w:spacing w:val="0"/>
          <w:kern w:val="0"/>
          <w:sz w:val="18"/>
          <w:szCs w:val="26"/>
          <w:rtl/>
        </w:rPr>
        <w:t>إساءة معاملة المحتجزين.</w:t>
      </w:r>
      <w:r w:rsidRPr="001924C3">
        <w:rPr>
          <w:spacing w:val="0"/>
          <w:kern w:val="0"/>
          <w:sz w:val="18"/>
          <w:szCs w:val="26"/>
          <w:rtl/>
        </w:rPr>
        <w:t xml:space="preserve"> انظر</w:t>
      </w:r>
      <w:r w:rsidRPr="001924C3">
        <w:rPr>
          <w:rFonts w:hint="cs"/>
          <w:spacing w:val="0"/>
          <w:kern w:val="0"/>
          <w:sz w:val="18"/>
          <w:szCs w:val="26"/>
          <w:rtl/>
        </w:rPr>
        <w:t xml:space="preserve"> العنوان التالي:</w:t>
      </w:r>
      <w:r w:rsidRPr="001924C3">
        <w:rPr>
          <w:spacing w:val="0"/>
          <w:kern w:val="0"/>
          <w:sz w:val="18"/>
          <w:szCs w:val="26"/>
          <w:rtl/>
        </w:rPr>
        <w:t xml:space="preserve"> </w:t>
      </w:r>
      <w:r w:rsidRPr="001924C3">
        <w:rPr>
          <w:spacing w:val="-2"/>
          <w:kern w:val="0"/>
          <w:sz w:val="18"/>
          <w:szCs w:val="26"/>
        </w:rPr>
        <w:t>http://www.ohchr.org/EN/NewsEvents/Pages/DisplayNews.aspx?NewsID=8383&amp;LangID=E</w:t>
      </w:r>
      <w:r w:rsidRPr="001924C3">
        <w:rPr>
          <w:rFonts w:hint="cs"/>
          <w:spacing w:val="-2"/>
          <w:kern w:val="0"/>
          <w:sz w:val="18"/>
          <w:szCs w:val="26"/>
          <w:rtl/>
        </w:rPr>
        <w:t xml:space="preserve">؛ </w:t>
      </w:r>
      <w:r w:rsidRPr="001924C3">
        <w:rPr>
          <w:spacing w:val="-2"/>
          <w:kern w:val="0"/>
          <w:sz w:val="18"/>
          <w:szCs w:val="26"/>
          <w:rtl/>
        </w:rPr>
        <w:t xml:space="preserve">وانظر </w:t>
      </w:r>
      <w:r w:rsidRPr="00873F49">
        <w:rPr>
          <w:spacing w:val="-2"/>
          <w:kern w:val="0"/>
          <w:sz w:val="18"/>
          <w:szCs w:val="26"/>
          <w:rtl/>
        </w:rPr>
        <w:t>أيضا</w:t>
      </w:r>
      <w:r w:rsidRPr="00873F49">
        <w:rPr>
          <w:rFonts w:hint="cs"/>
          <w:spacing w:val="-2"/>
          <w:kern w:val="0"/>
          <w:sz w:val="18"/>
          <w:szCs w:val="26"/>
          <w:rtl/>
        </w:rPr>
        <w:t>ً</w:t>
      </w:r>
      <w:r w:rsidRPr="00873F49">
        <w:rPr>
          <w:spacing w:val="-2"/>
          <w:kern w:val="0"/>
          <w:sz w:val="18"/>
          <w:szCs w:val="26"/>
          <w:rtl/>
        </w:rPr>
        <w:t xml:space="preserve"> الو</w:t>
      </w:r>
      <w:r w:rsidRPr="00873F49">
        <w:rPr>
          <w:rFonts w:hint="cs"/>
          <w:spacing w:val="-2"/>
          <w:kern w:val="0"/>
          <w:sz w:val="18"/>
          <w:szCs w:val="26"/>
          <w:rtl/>
        </w:rPr>
        <w:t xml:space="preserve">ثيقتين اللتين </w:t>
      </w:r>
      <w:r w:rsidRPr="00873F49">
        <w:rPr>
          <w:spacing w:val="-2"/>
          <w:kern w:val="0"/>
          <w:sz w:val="18"/>
          <w:szCs w:val="26"/>
          <w:rtl/>
        </w:rPr>
        <w:t>أعدته</w:t>
      </w:r>
      <w:r w:rsidRPr="00873F49">
        <w:rPr>
          <w:rFonts w:hint="cs"/>
          <w:spacing w:val="-2"/>
          <w:kern w:val="0"/>
          <w:sz w:val="18"/>
          <w:szCs w:val="26"/>
          <w:rtl/>
        </w:rPr>
        <w:t>م</w:t>
      </w:r>
      <w:r w:rsidRPr="00873F49">
        <w:rPr>
          <w:spacing w:val="-2"/>
          <w:kern w:val="0"/>
          <w:sz w:val="18"/>
          <w:szCs w:val="26"/>
          <w:rtl/>
        </w:rPr>
        <w:t xml:space="preserve">ا مفوضية </w:t>
      </w:r>
      <w:r w:rsidRPr="00873F49">
        <w:rPr>
          <w:rFonts w:hint="cs"/>
          <w:spacing w:val="-2"/>
          <w:kern w:val="0"/>
          <w:sz w:val="18"/>
          <w:szCs w:val="26"/>
          <w:rtl/>
        </w:rPr>
        <w:t xml:space="preserve">الأمم المتحدة </w:t>
      </w:r>
      <w:r w:rsidRPr="00873F49">
        <w:rPr>
          <w:spacing w:val="-2"/>
          <w:kern w:val="0"/>
          <w:sz w:val="18"/>
          <w:szCs w:val="26"/>
          <w:rtl/>
        </w:rPr>
        <w:t>السامية ل</w:t>
      </w:r>
      <w:r w:rsidRPr="00873F49">
        <w:rPr>
          <w:rFonts w:hint="cs"/>
          <w:spacing w:val="-2"/>
          <w:kern w:val="0"/>
          <w:sz w:val="18"/>
          <w:szCs w:val="26"/>
          <w:rtl/>
        </w:rPr>
        <w:t xml:space="preserve">حقوق الإنسان بشأن الاستعراض </w:t>
      </w:r>
      <w:r w:rsidRPr="00873F49">
        <w:rPr>
          <w:spacing w:val="-2"/>
          <w:kern w:val="0"/>
          <w:sz w:val="18"/>
          <w:szCs w:val="26"/>
          <w:rtl/>
        </w:rPr>
        <w:t>الدوري الشامل</w:t>
      </w:r>
      <w:r w:rsidRPr="00873F49">
        <w:rPr>
          <w:rFonts w:hint="cs"/>
          <w:spacing w:val="-2"/>
          <w:kern w:val="0"/>
          <w:sz w:val="18"/>
          <w:szCs w:val="26"/>
          <w:rtl/>
        </w:rPr>
        <w:t xml:space="preserve"> فيما يخص </w:t>
      </w:r>
      <w:r w:rsidRPr="00873F49">
        <w:rPr>
          <w:spacing w:val="-2"/>
          <w:kern w:val="0"/>
          <w:sz w:val="18"/>
          <w:szCs w:val="26"/>
          <w:rtl/>
        </w:rPr>
        <w:t>جمهورية إيران الإسلامية:</w:t>
      </w:r>
      <w:r w:rsidRPr="00873F49">
        <w:rPr>
          <w:rFonts w:hint="cs"/>
          <w:spacing w:val="-2"/>
          <w:kern w:val="0"/>
          <w:sz w:val="18"/>
          <w:szCs w:val="26"/>
          <w:rtl/>
        </w:rPr>
        <w:t xml:space="preserve"> الوثيقة </w:t>
      </w:r>
      <w:r w:rsidRPr="00873F49">
        <w:rPr>
          <w:spacing w:val="-2"/>
          <w:kern w:val="0"/>
          <w:sz w:val="18"/>
          <w:szCs w:val="26"/>
          <w:lang w:val="en-GB"/>
        </w:rPr>
        <w:t>A/HRC/WG.6/7/IRN/2</w:t>
      </w:r>
      <w:r w:rsidRPr="00873F49">
        <w:rPr>
          <w:rFonts w:hint="cs"/>
          <w:spacing w:val="-2"/>
          <w:kern w:val="0"/>
          <w:sz w:val="18"/>
          <w:szCs w:val="26"/>
          <w:rtl/>
        </w:rPr>
        <w:t>، (25 تشرين الثاني/</w:t>
      </w:r>
      <w:r w:rsidRPr="00873F49">
        <w:rPr>
          <w:spacing w:val="-2"/>
          <w:kern w:val="0"/>
          <w:sz w:val="18"/>
          <w:szCs w:val="26"/>
          <w:rtl/>
        </w:rPr>
        <w:t xml:space="preserve">نوفمبر 2009)، </w:t>
      </w:r>
      <w:r w:rsidRPr="00873F49">
        <w:rPr>
          <w:rFonts w:hint="cs"/>
          <w:spacing w:val="-2"/>
          <w:kern w:val="0"/>
          <w:sz w:val="18"/>
          <w:szCs w:val="26"/>
          <w:rtl/>
        </w:rPr>
        <w:t xml:space="preserve">الفقرات 28 و31 و56 مثلاً؛ والوثيقة </w:t>
      </w:r>
      <w:r w:rsidRPr="00873F49">
        <w:rPr>
          <w:spacing w:val="-2"/>
          <w:kern w:val="0"/>
          <w:sz w:val="18"/>
          <w:szCs w:val="26"/>
          <w:lang w:val="en-GB"/>
        </w:rPr>
        <w:t>A/HRC/WG.6/7/IRN/3</w:t>
      </w:r>
      <w:r w:rsidRPr="00873F49">
        <w:rPr>
          <w:rFonts w:hint="cs"/>
          <w:spacing w:val="-2"/>
          <w:kern w:val="0"/>
          <w:sz w:val="18"/>
          <w:szCs w:val="26"/>
          <w:rtl/>
        </w:rPr>
        <w:t>، (30 تشرين الثاني/ن</w:t>
      </w:r>
      <w:r w:rsidRPr="00873F49">
        <w:rPr>
          <w:spacing w:val="-2"/>
          <w:kern w:val="0"/>
          <w:sz w:val="18"/>
          <w:szCs w:val="26"/>
          <w:rtl/>
        </w:rPr>
        <w:t>وفمبر 2009)، الفقر</w:t>
      </w:r>
      <w:r w:rsidRPr="00873F49">
        <w:rPr>
          <w:rFonts w:hint="cs"/>
          <w:spacing w:val="-2"/>
          <w:kern w:val="0"/>
          <w:sz w:val="18"/>
          <w:szCs w:val="26"/>
          <w:rtl/>
        </w:rPr>
        <w:t>ت</w:t>
      </w:r>
      <w:r w:rsidRPr="00873F49">
        <w:rPr>
          <w:spacing w:val="-2"/>
          <w:kern w:val="0"/>
          <w:sz w:val="18"/>
          <w:szCs w:val="26"/>
          <w:rtl/>
        </w:rPr>
        <w:t>ا</w:t>
      </w:r>
      <w:r w:rsidRPr="00873F49">
        <w:rPr>
          <w:rFonts w:hint="cs"/>
          <w:spacing w:val="-2"/>
          <w:kern w:val="0"/>
          <w:sz w:val="18"/>
          <w:szCs w:val="26"/>
          <w:rtl/>
        </w:rPr>
        <w:t>ن 28 و29. وا</w:t>
      </w:r>
      <w:r w:rsidRPr="00873F49">
        <w:rPr>
          <w:spacing w:val="-2"/>
          <w:kern w:val="0"/>
          <w:sz w:val="18"/>
          <w:szCs w:val="26"/>
          <w:rtl/>
        </w:rPr>
        <w:t>نظر</w:t>
      </w:r>
      <w:r w:rsidRPr="00873F49">
        <w:rPr>
          <w:rFonts w:hint="cs"/>
          <w:spacing w:val="-2"/>
          <w:kern w:val="0"/>
          <w:sz w:val="18"/>
          <w:szCs w:val="26"/>
          <w:rtl/>
        </w:rPr>
        <w:t xml:space="preserve"> كذلك </w:t>
      </w:r>
      <w:r w:rsidRPr="00873F49">
        <w:rPr>
          <w:spacing w:val="-2"/>
          <w:kern w:val="0"/>
          <w:sz w:val="18"/>
          <w:szCs w:val="26"/>
          <w:rtl/>
        </w:rPr>
        <w:t>البيان الذي أدل</w:t>
      </w:r>
      <w:r w:rsidRPr="00873F49">
        <w:rPr>
          <w:rFonts w:hint="cs"/>
          <w:spacing w:val="-2"/>
          <w:kern w:val="0"/>
          <w:sz w:val="18"/>
          <w:szCs w:val="26"/>
          <w:rtl/>
        </w:rPr>
        <w:t>ت</w:t>
      </w:r>
      <w:r w:rsidRPr="00873F49">
        <w:rPr>
          <w:spacing w:val="-2"/>
          <w:kern w:val="0"/>
          <w:sz w:val="18"/>
          <w:szCs w:val="26"/>
          <w:rtl/>
        </w:rPr>
        <w:t xml:space="preserve"> به المفوض</w:t>
      </w:r>
      <w:r w:rsidRPr="00873F49">
        <w:rPr>
          <w:rFonts w:hint="cs"/>
          <w:spacing w:val="-2"/>
          <w:kern w:val="0"/>
          <w:sz w:val="18"/>
          <w:szCs w:val="26"/>
          <w:rtl/>
        </w:rPr>
        <w:t>ة</w:t>
      </w:r>
      <w:r w:rsidRPr="00873F49">
        <w:rPr>
          <w:spacing w:val="-2"/>
          <w:kern w:val="0"/>
          <w:sz w:val="18"/>
          <w:szCs w:val="26"/>
          <w:rtl/>
        </w:rPr>
        <w:t xml:space="preserve"> السامي</w:t>
      </w:r>
      <w:r w:rsidRPr="00873F49">
        <w:rPr>
          <w:rFonts w:hint="cs"/>
          <w:spacing w:val="-2"/>
          <w:kern w:val="0"/>
          <w:sz w:val="18"/>
          <w:szCs w:val="26"/>
          <w:rtl/>
        </w:rPr>
        <w:t>ة</w:t>
      </w:r>
      <w:r w:rsidRPr="00873F49">
        <w:rPr>
          <w:spacing w:val="-2"/>
          <w:kern w:val="0"/>
          <w:sz w:val="18"/>
          <w:szCs w:val="26"/>
          <w:rtl/>
        </w:rPr>
        <w:t xml:space="preserve"> لحقوق الإنسان في 2</w:t>
      </w:r>
      <w:r w:rsidRPr="001924C3">
        <w:rPr>
          <w:spacing w:val="0"/>
          <w:kern w:val="0"/>
          <w:sz w:val="18"/>
          <w:szCs w:val="26"/>
          <w:rtl/>
        </w:rPr>
        <w:t xml:space="preserve"> شباط</w:t>
      </w:r>
      <w:r w:rsidRPr="001924C3">
        <w:rPr>
          <w:rFonts w:hint="cs"/>
          <w:spacing w:val="0"/>
          <w:kern w:val="0"/>
          <w:sz w:val="18"/>
          <w:szCs w:val="26"/>
          <w:rtl/>
        </w:rPr>
        <w:t>/</w:t>
      </w:r>
      <w:r>
        <w:rPr>
          <w:rFonts w:hint="cs"/>
          <w:spacing w:val="0"/>
          <w:kern w:val="0"/>
          <w:sz w:val="18"/>
          <w:szCs w:val="26"/>
          <w:rtl/>
        </w:rPr>
        <w:t xml:space="preserve"> </w:t>
      </w:r>
      <w:r w:rsidRPr="001924C3">
        <w:rPr>
          <w:rFonts w:hint="cs"/>
          <w:spacing w:val="0"/>
          <w:kern w:val="0"/>
          <w:sz w:val="18"/>
          <w:szCs w:val="26"/>
          <w:rtl/>
        </w:rPr>
        <w:t>فبراير</w:t>
      </w:r>
      <w:r>
        <w:rPr>
          <w:rFonts w:hint="cs"/>
          <w:spacing w:val="0"/>
          <w:kern w:val="0"/>
          <w:sz w:val="18"/>
          <w:szCs w:val="26"/>
          <w:rtl/>
        </w:rPr>
        <w:t> </w:t>
      </w:r>
      <w:r w:rsidRPr="001924C3">
        <w:rPr>
          <w:spacing w:val="0"/>
          <w:kern w:val="0"/>
          <w:sz w:val="18"/>
          <w:szCs w:val="26"/>
          <w:rtl/>
        </w:rPr>
        <w:t xml:space="preserve">2011 </w:t>
      </w:r>
      <w:r w:rsidRPr="001924C3">
        <w:rPr>
          <w:rFonts w:hint="cs"/>
          <w:spacing w:val="0"/>
          <w:kern w:val="0"/>
          <w:sz w:val="18"/>
          <w:szCs w:val="26"/>
          <w:rtl/>
        </w:rPr>
        <w:t xml:space="preserve">بشأن إعدام ما لا يقل عن </w:t>
      </w:r>
      <w:r w:rsidRPr="001924C3">
        <w:rPr>
          <w:spacing w:val="0"/>
          <w:kern w:val="0"/>
          <w:sz w:val="18"/>
          <w:szCs w:val="26"/>
          <w:rtl/>
        </w:rPr>
        <w:t>66 شخصا</w:t>
      </w:r>
      <w:r w:rsidRPr="001924C3">
        <w:rPr>
          <w:rFonts w:hint="cs"/>
          <w:spacing w:val="0"/>
          <w:kern w:val="0"/>
          <w:sz w:val="18"/>
          <w:szCs w:val="26"/>
          <w:rtl/>
        </w:rPr>
        <w:t>ً</w:t>
      </w:r>
      <w:r w:rsidRPr="001924C3">
        <w:rPr>
          <w:spacing w:val="0"/>
          <w:kern w:val="0"/>
          <w:sz w:val="18"/>
          <w:szCs w:val="26"/>
          <w:rtl/>
        </w:rPr>
        <w:t xml:space="preserve"> في شهر كانون الثاني</w:t>
      </w:r>
      <w:r w:rsidRPr="001924C3">
        <w:rPr>
          <w:rFonts w:hint="cs"/>
          <w:spacing w:val="0"/>
          <w:kern w:val="0"/>
          <w:sz w:val="18"/>
          <w:szCs w:val="26"/>
          <w:rtl/>
        </w:rPr>
        <w:t>/يناير</w:t>
      </w:r>
      <w:r w:rsidRPr="001924C3">
        <w:rPr>
          <w:spacing w:val="0"/>
          <w:kern w:val="0"/>
          <w:sz w:val="18"/>
          <w:szCs w:val="26"/>
          <w:rtl/>
        </w:rPr>
        <w:t xml:space="preserve"> 2011،</w:t>
      </w:r>
      <w:r w:rsidRPr="001924C3">
        <w:rPr>
          <w:rFonts w:hint="cs"/>
          <w:spacing w:val="0"/>
          <w:kern w:val="0"/>
          <w:sz w:val="18"/>
          <w:szCs w:val="26"/>
          <w:rtl/>
        </w:rPr>
        <w:t xml:space="preserve"> منهم ثلاثة سجناء سياسيين على الأقل، </w:t>
      </w:r>
    </w:p>
    <w:p w:rsidR="00D64D4C" w:rsidRPr="009807E3" w:rsidRDefault="00D64D4C" w:rsidP="001924C3">
      <w:pPr>
        <w:pStyle w:val="FootnoteText"/>
        <w:spacing w:after="60" w:line="300" w:lineRule="exact"/>
        <w:ind w:left="1358" w:right="1247"/>
        <w:rPr>
          <w:rFonts w:hint="cs"/>
          <w:spacing w:val="-2"/>
          <w:sz w:val="18"/>
          <w:szCs w:val="26"/>
        </w:rPr>
      </w:pPr>
      <w:r>
        <w:rPr>
          <w:rFonts w:hint="cs"/>
          <w:spacing w:val="-2"/>
          <w:sz w:val="18"/>
          <w:szCs w:val="26"/>
          <w:rtl/>
        </w:rPr>
        <w:t>(</w:t>
      </w:r>
      <w:r w:rsidRPr="001924C3">
        <w:rPr>
          <w:spacing w:val="-2"/>
          <w:sz w:val="18"/>
          <w:szCs w:val="26"/>
        </w:rPr>
        <w:t>http://www.ohchr.org/en/NewsEvents/Pages/DisplayNews.aspx?NewsID=10698&amp;LangID=E</w:t>
      </w:r>
      <w:r>
        <w:rPr>
          <w:rFonts w:hint="cs"/>
          <w:spacing w:val="-2"/>
          <w:sz w:val="18"/>
          <w:szCs w:val="26"/>
          <w:rtl/>
        </w:rPr>
        <w:t>)</w:t>
      </w:r>
      <w:r w:rsidRPr="009807E3">
        <w:rPr>
          <w:rFonts w:hint="cs"/>
          <w:spacing w:val="-2"/>
          <w:sz w:val="18"/>
          <w:szCs w:val="26"/>
          <w:rtl/>
        </w:rPr>
        <w:t>.</w:t>
      </w:r>
    </w:p>
  </w:footnote>
  <w:footnote w:id="281">
    <w:p w:rsidR="00D64D4C" w:rsidRPr="00250FA4" w:rsidRDefault="00D64D4C" w:rsidP="00141C90">
      <w:pPr>
        <w:pStyle w:val="FootnoteText"/>
        <w:spacing w:after="60" w:line="300" w:lineRule="exact"/>
        <w:ind w:left="1239" w:right="1247" w:hanging="476"/>
        <w:jc w:val="lowKashida"/>
        <w:rPr>
          <w:rFonts w:hint="cs"/>
          <w:spacing w:val="-2"/>
          <w:kern w:val="0"/>
          <w:sz w:val="18"/>
          <w:szCs w:val="26"/>
        </w:rPr>
      </w:pPr>
      <w:r w:rsidRPr="00250FA4">
        <w:rPr>
          <w:rFonts w:hint="cs"/>
          <w:spacing w:val="-2"/>
          <w:kern w:val="0"/>
          <w:sz w:val="18"/>
          <w:szCs w:val="26"/>
          <w:rtl/>
        </w:rPr>
        <w:t>(ت)</w:t>
      </w:r>
      <w:r w:rsidRPr="00250FA4">
        <w:rPr>
          <w:rFonts w:hint="cs"/>
          <w:spacing w:val="-2"/>
          <w:kern w:val="0"/>
          <w:sz w:val="18"/>
          <w:szCs w:val="26"/>
          <w:rtl/>
        </w:rPr>
        <w:tab/>
        <w:t xml:space="preserve">انظر بلاغي اللجنة رقم 339/2008، </w:t>
      </w:r>
      <w:r w:rsidRPr="00250FA4">
        <w:rPr>
          <w:rFonts w:hint="cs"/>
          <w:i/>
          <w:iCs/>
          <w:spacing w:val="-2"/>
          <w:kern w:val="0"/>
          <w:sz w:val="18"/>
          <w:szCs w:val="26"/>
          <w:rtl/>
        </w:rPr>
        <w:t>أميني ضد الدانمرك</w:t>
      </w:r>
      <w:r w:rsidRPr="00250FA4">
        <w:rPr>
          <w:rFonts w:hint="cs"/>
          <w:spacing w:val="-2"/>
          <w:kern w:val="0"/>
          <w:sz w:val="18"/>
          <w:szCs w:val="26"/>
          <w:rtl/>
        </w:rPr>
        <w:t xml:space="preserve">، القرار المعتمد في 15 تشرين الثاني/نوفمبر 2010، الفقرة 9-8، ورقم 357/2008، </w:t>
      </w:r>
      <w:r w:rsidRPr="00250FA4">
        <w:rPr>
          <w:rFonts w:hint="cs"/>
          <w:i/>
          <w:iCs/>
          <w:spacing w:val="-2"/>
          <w:kern w:val="0"/>
          <w:sz w:val="18"/>
          <w:szCs w:val="26"/>
          <w:rtl/>
        </w:rPr>
        <w:t>جاهاني ضد سويسرا</w:t>
      </w:r>
      <w:r w:rsidRPr="00250FA4">
        <w:rPr>
          <w:rFonts w:hint="cs"/>
          <w:spacing w:val="-2"/>
          <w:kern w:val="0"/>
          <w:sz w:val="18"/>
          <w:szCs w:val="26"/>
          <w:rtl/>
        </w:rPr>
        <w:t>، الحاشية ر أعلاه، الفقرة 9-4.</w:t>
      </w:r>
    </w:p>
  </w:footnote>
  <w:footnote w:id="282">
    <w:p w:rsidR="00D64D4C" w:rsidRPr="008655A1" w:rsidRDefault="00D64D4C" w:rsidP="008655A1">
      <w:pPr>
        <w:pStyle w:val="FootnoteText"/>
        <w:numPr>
          <w:ilvl w:val="0"/>
          <w:numId w:val="56"/>
        </w:numPr>
        <w:tabs>
          <w:tab w:val="left" w:pos="1253"/>
        </w:tabs>
        <w:spacing w:after="60" w:line="300" w:lineRule="exact"/>
        <w:ind w:left="1248" w:right="1247" w:hanging="227"/>
        <w:jc w:val="lowKashida"/>
        <w:rPr>
          <w:spacing w:val="0"/>
          <w:kern w:val="0"/>
          <w:sz w:val="18"/>
          <w:szCs w:val="26"/>
        </w:rPr>
      </w:pPr>
      <w:r w:rsidRPr="008655A1">
        <w:rPr>
          <w:spacing w:val="0"/>
          <w:kern w:val="0"/>
          <w:sz w:val="18"/>
          <w:szCs w:val="26"/>
          <w:rtl/>
        </w:rPr>
        <w:t>تشير الدولة الطرف أيضا</w:t>
      </w:r>
      <w:r w:rsidRPr="008655A1">
        <w:rPr>
          <w:rFonts w:hint="cs"/>
          <w:spacing w:val="0"/>
          <w:kern w:val="0"/>
          <w:sz w:val="18"/>
          <w:szCs w:val="26"/>
          <w:rtl/>
        </w:rPr>
        <w:t>ً</w:t>
      </w:r>
      <w:r w:rsidRPr="008655A1">
        <w:rPr>
          <w:spacing w:val="0"/>
          <w:kern w:val="0"/>
          <w:sz w:val="18"/>
          <w:szCs w:val="26"/>
          <w:rtl/>
        </w:rPr>
        <w:t xml:space="preserve"> إلى البلاغ رقم 94/1997، </w:t>
      </w:r>
      <w:r w:rsidRPr="008655A1">
        <w:rPr>
          <w:i/>
          <w:iCs/>
          <w:spacing w:val="0"/>
          <w:kern w:val="0"/>
          <w:sz w:val="18"/>
          <w:szCs w:val="26"/>
          <w:rtl/>
        </w:rPr>
        <w:t>ك.</w:t>
      </w:r>
      <w:r w:rsidRPr="008655A1">
        <w:rPr>
          <w:rFonts w:hint="cs"/>
          <w:i/>
          <w:iCs/>
          <w:spacing w:val="0"/>
          <w:kern w:val="0"/>
          <w:sz w:val="18"/>
          <w:szCs w:val="26"/>
          <w:rtl/>
        </w:rPr>
        <w:t xml:space="preserve"> </w:t>
      </w:r>
      <w:r w:rsidRPr="008655A1">
        <w:rPr>
          <w:i/>
          <w:iCs/>
          <w:spacing w:val="0"/>
          <w:kern w:val="0"/>
          <w:sz w:val="18"/>
          <w:szCs w:val="26"/>
          <w:rtl/>
        </w:rPr>
        <w:t>ن. ضد سويسرا</w:t>
      </w:r>
      <w:r w:rsidRPr="008655A1">
        <w:rPr>
          <w:spacing w:val="0"/>
          <w:kern w:val="0"/>
          <w:sz w:val="18"/>
          <w:szCs w:val="26"/>
          <w:rtl/>
        </w:rPr>
        <w:t xml:space="preserve">، </w:t>
      </w:r>
      <w:r w:rsidRPr="008655A1">
        <w:rPr>
          <w:rFonts w:hint="cs"/>
          <w:spacing w:val="0"/>
          <w:kern w:val="0"/>
          <w:sz w:val="18"/>
          <w:szCs w:val="26"/>
          <w:rtl/>
        </w:rPr>
        <w:t>ال</w:t>
      </w:r>
      <w:r w:rsidRPr="008655A1">
        <w:rPr>
          <w:spacing w:val="0"/>
          <w:kern w:val="0"/>
          <w:sz w:val="18"/>
          <w:szCs w:val="26"/>
          <w:rtl/>
        </w:rPr>
        <w:t xml:space="preserve">آراء </w:t>
      </w:r>
      <w:r w:rsidRPr="008655A1">
        <w:rPr>
          <w:rFonts w:hint="cs"/>
          <w:spacing w:val="0"/>
          <w:kern w:val="0"/>
          <w:sz w:val="18"/>
          <w:szCs w:val="26"/>
          <w:rtl/>
        </w:rPr>
        <w:t xml:space="preserve">المعتمدة </w:t>
      </w:r>
      <w:r w:rsidRPr="008655A1">
        <w:rPr>
          <w:spacing w:val="0"/>
          <w:kern w:val="0"/>
          <w:sz w:val="18"/>
          <w:szCs w:val="26"/>
          <w:rtl/>
        </w:rPr>
        <w:t>في 19 أيار/</w:t>
      </w:r>
      <w:r w:rsidRPr="008655A1">
        <w:rPr>
          <w:rFonts w:hint="cs"/>
          <w:spacing w:val="0"/>
          <w:kern w:val="0"/>
          <w:sz w:val="18"/>
          <w:szCs w:val="26"/>
          <w:rtl/>
        </w:rPr>
        <w:t xml:space="preserve"> </w:t>
      </w:r>
      <w:r w:rsidRPr="008655A1">
        <w:rPr>
          <w:spacing w:val="0"/>
          <w:kern w:val="0"/>
          <w:sz w:val="18"/>
          <w:szCs w:val="26"/>
          <w:rtl/>
        </w:rPr>
        <w:t>مايو</w:t>
      </w:r>
      <w:r w:rsidRPr="008655A1">
        <w:rPr>
          <w:rFonts w:hint="cs"/>
          <w:spacing w:val="0"/>
          <w:kern w:val="0"/>
          <w:sz w:val="18"/>
          <w:szCs w:val="26"/>
          <w:rtl/>
        </w:rPr>
        <w:t> </w:t>
      </w:r>
      <w:r w:rsidRPr="008655A1">
        <w:rPr>
          <w:spacing w:val="0"/>
          <w:kern w:val="0"/>
          <w:sz w:val="18"/>
          <w:szCs w:val="26"/>
          <w:rtl/>
        </w:rPr>
        <w:t>1998، الفقرتان 10-2 و10-5، و</w:t>
      </w:r>
      <w:r w:rsidRPr="008655A1">
        <w:rPr>
          <w:rFonts w:hint="cs"/>
          <w:spacing w:val="0"/>
          <w:kern w:val="0"/>
          <w:sz w:val="18"/>
          <w:szCs w:val="26"/>
          <w:rtl/>
        </w:rPr>
        <w:t xml:space="preserve">البلاغ </w:t>
      </w:r>
      <w:r w:rsidRPr="008655A1">
        <w:rPr>
          <w:spacing w:val="0"/>
          <w:kern w:val="0"/>
          <w:sz w:val="18"/>
          <w:szCs w:val="26"/>
          <w:rtl/>
        </w:rPr>
        <w:t xml:space="preserve">رقم 100/1997، </w:t>
      </w:r>
      <w:r w:rsidRPr="008655A1">
        <w:rPr>
          <w:i/>
          <w:iCs/>
          <w:spacing w:val="0"/>
          <w:kern w:val="0"/>
          <w:sz w:val="18"/>
          <w:szCs w:val="26"/>
          <w:rtl/>
        </w:rPr>
        <w:t>ج.</w:t>
      </w:r>
      <w:r w:rsidRPr="008655A1">
        <w:rPr>
          <w:rFonts w:hint="cs"/>
          <w:i/>
          <w:iCs/>
          <w:spacing w:val="0"/>
          <w:kern w:val="0"/>
          <w:sz w:val="18"/>
          <w:szCs w:val="26"/>
          <w:rtl/>
        </w:rPr>
        <w:t xml:space="preserve"> </w:t>
      </w:r>
      <w:r w:rsidRPr="008655A1">
        <w:rPr>
          <w:i/>
          <w:iCs/>
          <w:spacing w:val="0"/>
          <w:kern w:val="0"/>
          <w:sz w:val="18"/>
          <w:szCs w:val="26"/>
          <w:rtl/>
        </w:rPr>
        <w:t>ي.</w:t>
      </w:r>
      <w:r w:rsidRPr="008655A1">
        <w:rPr>
          <w:rFonts w:hint="cs"/>
          <w:i/>
          <w:iCs/>
          <w:spacing w:val="0"/>
          <w:kern w:val="0"/>
          <w:sz w:val="18"/>
          <w:szCs w:val="26"/>
          <w:rtl/>
        </w:rPr>
        <w:t xml:space="preserve"> </w:t>
      </w:r>
      <w:r w:rsidRPr="008655A1">
        <w:rPr>
          <w:i/>
          <w:iCs/>
          <w:spacing w:val="0"/>
          <w:kern w:val="0"/>
          <w:sz w:val="18"/>
          <w:szCs w:val="26"/>
          <w:rtl/>
        </w:rPr>
        <w:t>أ. ضد سويسرا</w:t>
      </w:r>
      <w:r w:rsidRPr="008655A1">
        <w:rPr>
          <w:spacing w:val="0"/>
          <w:kern w:val="0"/>
          <w:sz w:val="18"/>
          <w:szCs w:val="26"/>
          <w:rtl/>
        </w:rPr>
        <w:t xml:space="preserve">، </w:t>
      </w:r>
      <w:r w:rsidRPr="008655A1">
        <w:rPr>
          <w:rFonts w:hint="cs"/>
          <w:spacing w:val="0"/>
          <w:kern w:val="0"/>
          <w:sz w:val="18"/>
          <w:szCs w:val="26"/>
          <w:rtl/>
        </w:rPr>
        <w:t>ال</w:t>
      </w:r>
      <w:r w:rsidRPr="008655A1">
        <w:rPr>
          <w:spacing w:val="0"/>
          <w:kern w:val="0"/>
          <w:sz w:val="18"/>
          <w:szCs w:val="26"/>
          <w:rtl/>
        </w:rPr>
        <w:t xml:space="preserve">آراء </w:t>
      </w:r>
      <w:r w:rsidRPr="008655A1">
        <w:rPr>
          <w:rFonts w:hint="cs"/>
          <w:spacing w:val="0"/>
          <w:kern w:val="0"/>
          <w:sz w:val="18"/>
          <w:szCs w:val="26"/>
          <w:rtl/>
        </w:rPr>
        <w:t xml:space="preserve">المعتمدة </w:t>
      </w:r>
      <w:r w:rsidRPr="008655A1">
        <w:rPr>
          <w:spacing w:val="0"/>
          <w:kern w:val="0"/>
          <w:sz w:val="18"/>
          <w:szCs w:val="26"/>
          <w:rtl/>
        </w:rPr>
        <w:t>في 10 تشرين الثاني/نوفمبر 1998، الفقرتان 6-3 و6-5.</w:t>
      </w:r>
    </w:p>
  </w:footnote>
  <w:footnote w:id="283">
    <w:p w:rsidR="00D64D4C" w:rsidRPr="007C1878" w:rsidRDefault="00D64D4C" w:rsidP="008655A1">
      <w:pPr>
        <w:pStyle w:val="FootnoteText"/>
        <w:numPr>
          <w:ilvl w:val="0"/>
          <w:numId w:val="56"/>
        </w:numPr>
        <w:tabs>
          <w:tab w:val="left" w:pos="1267"/>
        </w:tabs>
        <w:spacing w:after="60" w:line="300" w:lineRule="exact"/>
        <w:ind w:left="1248" w:right="1247" w:hanging="227"/>
        <w:jc w:val="lowKashida"/>
        <w:rPr>
          <w:spacing w:val="0"/>
          <w:kern w:val="0"/>
          <w:sz w:val="18"/>
          <w:szCs w:val="26"/>
        </w:rPr>
      </w:pPr>
      <w:r w:rsidRPr="007C1878">
        <w:rPr>
          <w:i/>
          <w:iCs/>
          <w:spacing w:val="0"/>
          <w:kern w:val="0"/>
          <w:sz w:val="18"/>
          <w:szCs w:val="26"/>
          <w:rtl/>
        </w:rPr>
        <w:t>ال</w:t>
      </w:r>
      <w:r w:rsidRPr="007C1878">
        <w:rPr>
          <w:rFonts w:hint="cs"/>
          <w:i/>
          <w:iCs/>
          <w:spacing w:val="0"/>
          <w:kern w:val="0"/>
          <w:sz w:val="18"/>
          <w:szCs w:val="26"/>
          <w:rtl/>
        </w:rPr>
        <w:t>وثائق</w:t>
      </w:r>
      <w:r w:rsidRPr="007C1878">
        <w:rPr>
          <w:i/>
          <w:iCs/>
          <w:spacing w:val="0"/>
          <w:kern w:val="0"/>
          <w:sz w:val="18"/>
          <w:szCs w:val="26"/>
          <w:rtl/>
        </w:rPr>
        <w:t xml:space="preserve"> الرسمية للجمعية العامة، الدورة ال</w:t>
      </w:r>
      <w:r w:rsidRPr="007C1878">
        <w:rPr>
          <w:rFonts w:hint="cs"/>
          <w:i/>
          <w:iCs/>
          <w:spacing w:val="0"/>
          <w:kern w:val="0"/>
          <w:sz w:val="18"/>
          <w:szCs w:val="26"/>
          <w:rtl/>
        </w:rPr>
        <w:t>سابعة</w:t>
      </w:r>
      <w:r w:rsidRPr="007C1878">
        <w:rPr>
          <w:i/>
          <w:iCs/>
          <w:spacing w:val="0"/>
          <w:kern w:val="0"/>
          <w:sz w:val="18"/>
          <w:szCs w:val="26"/>
          <w:rtl/>
        </w:rPr>
        <w:t xml:space="preserve"> والثلاثون، الملحق رقم 40 </w:t>
      </w:r>
      <w:r w:rsidRPr="007C1878">
        <w:rPr>
          <w:spacing w:val="0"/>
          <w:kern w:val="0"/>
          <w:sz w:val="18"/>
          <w:szCs w:val="26"/>
          <w:rtl/>
        </w:rPr>
        <w:t>(</w:t>
      </w:r>
      <w:r w:rsidRPr="007C1878">
        <w:rPr>
          <w:spacing w:val="0"/>
          <w:kern w:val="0"/>
          <w:sz w:val="18"/>
          <w:szCs w:val="26"/>
        </w:rPr>
        <w:t>A/53/44</w:t>
      </w:r>
      <w:r w:rsidRPr="007C1878">
        <w:rPr>
          <w:rFonts w:hint="cs"/>
          <w:spacing w:val="0"/>
          <w:kern w:val="0"/>
          <w:sz w:val="18"/>
          <w:szCs w:val="26"/>
          <w:rtl/>
        </w:rPr>
        <w:t xml:space="preserve"> و</w:t>
      </w:r>
      <w:r w:rsidRPr="007C1878">
        <w:rPr>
          <w:spacing w:val="0"/>
          <w:kern w:val="0"/>
          <w:sz w:val="18"/>
          <w:szCs w:val="26"/>
        </w:rPr>
        <w:t>Corr.1</w:t>
      </w:r>
      <w:r w:rsidRPr="007C1878">
        <w:rPr>
          <w:spacing w:val="0"/>
          <w:kern w:val="0"/>
          <w:sz w:val="18"/>
          <w:szCs w:val="26"/>
          <w:rtl/>
        </w:rPr>
        <w:t>)، المرفق التاسع، الفقرة 6.</w:t>
      </w:r>
    </w:p>
  </w:footnote>
  <w:footnote w:id="284">
    <w:p w:rsidR="00D64D4C" w:rsidRPr="007C1878" w:rsidRDefault="00D64D4C" w:rsidP="007C1878">
      <w:pPr>
        <w:pStyle w:val="FootnoteText"/>
        <w:numPr>
          <w:ilvl w:val="0"/>
          <w:numId w:val="56"/>
        </w:numPr>
        <w:tabs>
          <w:tab w:val="left" w:pos="1267"/>
        </w:tabs>
        <w:spacing w:after="60" w:line="300" w:lineRule="exact"/>
        <w:ind w:left="1248" w:right="1247" w:hanging="227"/>
        <w:jc w:val="lowKashida"/>
        <w:rPr>
          <w:spacing w:val="0"/>
          <w:kern w:val="0"/>
          <w:szCs w:val="26"/>
        </w:rPr>
      </w:pPr>
      <w:r w:rsidRPr="007C1878">
        <w:rPr>
          <w:spacing w:val="0"/>
          <w:kern w:val="0"/>
          <w:szCs w:val="26"/>
          <w:rtl/>
        </w:rPr>
        <w:t xml:space="preserve">انظر، </w:t>
      </w:r>
      <w:r w:rsidRPr="007C1878">
        <w:rPr>
          <w:rFonts w:hint="cs"/>
          <w:spacing w:val="0"/>
          <w:kern w:val="0"/>
          <w:szCs w:val="26"/>
          <w:rtl/>
        </w:rPr>
        <w:t>في جملة أمور</w:t>
      </w:r>
      <w:r w:rsidRPr="007C1878">
        <w:rPr>
          <w:spacing w:val="0"/>
          <w:kern w:val="0"/>
          <w:szCs w:val="26"/>
          <w:rtl/>
        </w:rPr>
        <w:t xml:space="preserve">، البلاغ رقم 94/1997، </w:t>
      </w:r>
      <w:r w:rsidRPr="007C1878">
        <w:rPr>
          <w:i/>
          <w:iCs/>
          <w:spacing w:val="0"/>
          <w:kern w:val="0"/>
          <w:szCs w:val="26"/>
          <w:rtl/>
        </w:rPr>
        <w:t>ك.</w:t>
      </w:r>
      <w:r w:rsidRPr="007C1878">
        <w:rPr>
          <w:rFonts w:hint="cs"/>
          <w:i/>
          <w:iCs/>
          <w:spacing w:val="0"/>
          <w:kern w:val="0"/>
          <w:szCs w:val="26"/>
          <w:rtl/>
        </w:rPr>
        <w:t xml:space="preserve"> </w:t>
      </w:r>
      <w:r w:rsidRPr="007C1878">
        <w:rPr>
          <w:i/>
          <w:iCs/>
          <w:spacing w:val="0"/>
          <w:kern w:val="0"/>
          <w:szCs w:val="26"/>
          <w:rtl/>
        </w:rPr>
        <w:t>ن. ضد سويسرا</w:t>
      </w:r>
      <w:r w:rsidRPr="007C1878">
        <w:rPr>
          <w:spacing w:val="0"/>
          <w:kern w:val="0"/>
          <w:szCs w:val="26"/>
          <w:rtl/>
        </w:rPr>
        <w:t xml:space="preserve">، </w:t>
      </w:r>
      <w:r w:rsidRPr="007C1878">
        <w:rPr>
          <w:rFonts w:hint="cs"/>
          <w:spacing w:val="0"/>
          <w:kern w:val="0"/>
          <w:szCs w:val="26"/>
          <w:rtl/>
        </w:rPr>
        <w:t>ال</w:t>
      </w:r>
      <w:r w:rsidRPr="007C1878">
        <w:rPr>
          <w:spacing w:val="0"/>
          <w:kern w:val="0"/>
          <w:szCs w:val="26"/>
          <w:rtl/>
        </w:rPr>
        <w:t xml:space="preserve">آراء </w:t>
      </w:r>
      <w:r w:rsidRPr="007C1878">
        <w:rPr>
          <w:rFonts w:hint="cs"/>
          <w:spacing w:val="0"/>
          <w:kern w:val="0"/>
          <w:szCs w:val="26"/>
          <w:rtl/>
        </w:rPr>
        <w:t xml:space="preserve">المعتمدة </w:t>
      </w:r>
      <w:r w:rsidRPr="007C1878">
        <w:rPr>
          <w:spacing w:val="0"/>
          <w:kern w:val="0"/>
          <w:szCs w:val="26"/>
          <w:rtl/>
        </w:rPr>
        <w:t>في 19 أيار/</w:t>
      </w:r>
      <w:r w:rsidRPr="007C1878">
        <w:rPr>
          <w:rFonts w:hint="cs"/>
          <w:spacing w:val="0"/>
          <w:kern w:val="0"/>
          <w:szCs w:val="26"/>
          <w:rtl/>
        </w:rPr>
        <w:t xml:space="preserve"> </w:t>
      </w:r>
      <w:r w:rsidRPr="007C1878">
        <w:rPr>
          <w:spacing w:val="0"/>
          <w:kern w:val="0"/>
          <w:szCs w:val="26"/>
          <w:rtl/>
        </w:rPr>
        <w:t>مايو</w:t>
      </w:r>
      <w:r w:rsidRPr="007C1878">
        <w:rPr>
          <w:rFonts w:hint="cs"/>
          <w:spacing w:val="0"/>
          <w:kern w:val="0"/>
          <w:szCs w:val="26"/>
          <w:rtl/>
        </w:rPr>
        <w:t> </w:t>
      </w:r>
      <w:r w:rsidRPr="007C1878">
        <w:rPr>
          <w:spacing w:val="0"/>
          <w:kern w:val="0"/>
          <w:szCs w:val="26"/>
          <w:rtl/>
        </w:rPr>
        <w:t>1998، الفقرتان 10-2 و10-5، و</w:t>
      </w:r>
      <w:r w:rsidRPr="007C1878">
        <w:rPr>
          <w:rFonts w:hint="cs"/>
          <w:spacing w:val="0"/>
          <w:kern w:val="0"/>
          <w:szCs w:val="26"/>
          <w:rtl/>
        </w:rPr>
        <w:t xml:space="preserve">البلاغ </w:t>
      </w:r>
      <w:r w:rsidRPr="007C1878">
        <w:rPr>
          <w:spacing w:val="0"/>
          <w:kern w:val="0"/>
          <w:szCs w:val="26"/>
          <w:rtl/>
        </w:rPr>
        <w:t xml:space="preserve">رقم 100/1997، </w:t>
      </w:r>
      <w:r w:rsidRPr="007C1878">
        <w:rPr>
          <w:i/>
          <w:iCs/>
          <w:spacing w:val="0"/>
          <w:kern w:val="0"/>
          <w:szCs w:val="26"/>
          <w:rtl/>
        </w:rPr>
        <w:t>ج.</w:t>
      </w:r>
      <w:r w:rsidRPr="007C1878">
        <w:rPr>
          <w:rFonts w:hint="cs"/>
          <w:i/>
          <w:iCs/>
          <w:spacing w:val="0"/>
          <w:kern w:val="0"/>
          <w:szCs w:val="26"/>
          <w:rtl/>
        </w:rPr>
        <w:t xml:space="preserve"> </w:t>
      </w:r>
      <w:r w:rsidRPr="007C1878">
        <w:rPr>
          <w:i/>
          <w:iCs/>
          <w:spacing w:val="0"/>
          <w:kern w:val="0"/>
          <w:szCs w:val="26"/>
          <w:rtl/>
        </w:rPr>
        <w:t>ي.</w:t>
      </w:r>
      <w:r w:rsidRPr="007C1878">
        <w:rPr>
          <w:rFonts w:hint="cs"/>
          <w:i/>
          <w:iCs/>
          <w:spacing w:val="0"/>
          <w:kern w:val="0"/>
          <w:szCs w:val="26"/>
          <w:rtl/>
        </w:rPr>
        <w:t xml:space="preserve"> </w:t>
      </w:r>
      <w:r w:rsidRPr="007C1878">
        <w:rPr>
          <w:i/>
          <w:iCs/>
          <w:spacing w:val="0"/>
          <w:kern w:val="0"/>
          <w:szCs w:val="26"/>
          <w:rtl/>
        </w:rPr>
        <w:t>أ. ضد سويسرا</w:t>
      </w:r>
      <w:r w:rsidRPr="007C1878">
        <w:rPr>
          <w:spacing w:val="0"/>
          <w:kern w:val="0"/>
          <w:szCs w:val="26"/>
          <w:rtl/>
        </w:rPr>
        <w:t xml:space="preserve">، </w:t>
      </w:r>
      <w:r w:rsidRPr="007C1878">
        <w:rPr>
          <w:rFonts w:hint="cs"/>
          <w:spacing w:val="0"/>
          <w:kern w:val="0"/>
          <w:szCs w:val="26"/>
          <w:rtl/>
        </w:rPr>
        <w:t>ال</w:t>
      </w:r>
      <w:r w:rsidRPr="007C1878">
        <w:rPr>
          <w:spacing w:val="0"/>
          <w:kern w:val="0"/>
          <w:szCs w:val="26"/>
          <w:rtl/>
        </w:rPr>
        <w:t xml:space="preserve">آراء </w:t>
      </w:r>
      <w:r w:rsidRPr="007C1878">
        <w:rPr>
          <w:rFonts w:hint="cs"/>
          <w:spacing w:val="0"/>
          <w:kern w:val="0"/>
          <w:szCs w:val="26"/>
          <w:rtl/>
        </w:rPr>
        <w:t xml:space="preserve">المعتمدة </w:t>
      </w:r>
      <w:r w:rsidRPr="007C1878">
        <w:rPr>
          <w:spacing w:val="0"/>
          <w:kern w:val="0"/>
          <w:szCs w:val="26"/>
          <w:rtl/>
        </w:rPr>
        <w:t>في 10 تشرين الثاني/نوفمبر 1998، الفقرتان 6-3 و6-5.</w:t>
      </w:r>
    </w:p>
  </w:footnote>
  <w:footnote w:id="285">
    <w:p w:rsidR="00D64D4C" w:rsidRPr="007C1878" w:rsidRDefault="00D64D4C" w:rsidP="007C1878">
      <w:pPr>
        <w:pStyle w:val="FootnoteText"/>
        <w:numPr>
          <w:ilvl w:val="0"/>
          <w:numId w:val="56"/>
        </w:numPr>
        <w:tabs>
          <w:tab w:val="left" w:pos="1267"/>
        </w:tabs>
        <w:spacing w:after="60" w:line="300" w:lineRule="exact"/>
        <w:ind w:left="1248" w:right="1247" w:hanging="227"/>
        <w:jc w:val="lowKashida"/>
        <w:rPr>
          <w:spacing w:val="0"/>
          <w:kern w:val="0"/>
          <w:szCs w:val="26"/>
        </w:rPr>
      </w:pPr>
      <w:r w:rsidRPr="007C1878">
        <w:rPr>
          <w:spacing w:val="0"/>
          <w:kern w:val="0"/>
          <w:szCs w:val="26"/>
          <w:rtl/>
        </w:rPr>
        <w:t xml:space="preserve">انظر، </w:t>
      </w:r>
      <w:r w:rsidRPr="007C1878">
        <w:rPr>
          <w:rFonts w:hint="cs"/>
          <w:spacing w:val="0"/>
          <w:kern w:val="0"/>
          <w:szCs w:val="26"/>
          <w:rtl/>
        </w:rPr>
        <w:t xml:space="preserve">في جملة </w:t>
      </w:r>
      <w:r w:rsidRPr="007C1878">
        <w:rPr>
          <w:rFonts w:hint="cs"/>
          <w:spacing w:val="0"/>
          <w:kern w:val="0"/>
          <w:sz w:val="18"/>
          <w:szCs w:val="26"/>
          <w:rtl/>
        </w:rPr>
        <w:t>أمور</w:t>
      </w:r>
      <w:r w:rsidRPr="007C1878">
        <w:rPr>
          <w:spacing w:val="0"/>
          <w:kern w:val="0"/>
          <w:szCs w:val="26"/>
          <w:rtl/>
        </w:rPr>
        <w:t xml:space="preserve">، البلاغ رقم 258/2004، </w:t>
      </w:r>
      <w:r w:rsidRPr="007C1878">
        <w:rPr>
          <w:i/>
          <w:iCs/>
          <w:spacing w:val="0"/>
          <w:kern w:val="0"/>
          <w:szCs w:val="26"/>
          <w:rtl/>
        </w:rPr>
        <w:t>دادار ضد كندا</w:t>
      </w:r>
      <w:r w:rsidRPr="007C1878">
        <w:rPr>
          <w:spacing w:val="0"/>
          <w:kern w:val="0"/>
          <w:szCs w:val="26"/>
          <w:rtl/>
        </w:rPr>
        <w:t xml:space="preserve">، </w:t>
      </w:r>
      <w:r w:rsidRPr="007C1878">
        <w:rPr>
          <w:rFonts w:hint="cs"/>
          <w:spacing w:val="0"/>
          <w:kern w:val="0"/>
          <w:szCs w:val="26"/>
          <w:rtl/>
        </w:rPr>
        <w:t>ال</w:t>
      </w:r>
      <w:r w:rsidRPr="007C1878">
        <w:rPr>
          <w:spacing w:val="0"/>
          <w:kern w:val="0"/>
          <w:szCs w:val="26"/>
          <w:rtl/>
        </w:rPr>
        <w:t xml:space="preserve">قرار </w:t>
      </w:r>
      <w:r w:rsidRPr="007C1878">
        <w:rPr>
          <w:rFonts w:hint="cs"/>
          <w:spacing w:val="0"/>
          <w:kern w:val="0"/>
          <w:szCs w:val="26"/>
          <w:rtl/>
        </w:rPr>
        <w:t xml:space="preserve">المعتمد </w:t>
      </w:r>
      <w:r w:rsidRPr="007C1878">
        <w:rPr>
          <w:spacing w:val="0"/>
          <w:kern w:val="0"/>
          <w:szCs w:val="26"/>
          <w:rtl/>
        </w:rPr>
        <w:t>في 23 تشرين الثاني/</w:t>
      </w:r>
      <w:r w:rsidRPr="007C1878">
        <w:rPr>
          <w:rFonts w:hint="cs"/>
          <w:spacing w:val="0"/>
          <w:kern w:val="0"/>
          <w:szCs w:val="26"/>
          <w:rtl/>
        </w:rPr>
        <w:t xml:space="preserve"> </w:t>
      </w:r>
      <w:r w:rsidRPr="007C1878">
        <w:rPr>
          <w:spacing w:val="0"/>
          <w:kern w:val="0"/>
          <w:szCs w:val="26"/>
          <w:rtl/>
        </w:rPr>
        <w:t>نوفمبر</w:t>
      </w:r>
      <w:r w:rsidRPr="007C1878">
        <w:rPr>
          <w:rFonts w:hint="cs"/>
          <w:spacing w:val="0"/>
          <w:kern w:val="0"/>
          <w:szCs w:val="26"/>
          <w:rtl/>
        </w:rPr>
        <w:t> </w:t>
      </w:r>
      <w:r w:rsidRPr="007C1878">
        <w:rPr>
          <w:spacing w:val="0"/>
          <w:kern w:val="0"/>
          <w:szCs w:val="26"/>
          <w:rtl/>
        </w:rPr>
        <w:t>2005، و</w:t>
      </w:r>
      <w:r w:rsidRPr="007C1878">
        <w:rPr>
          <w:rFonts w:hint="cs"/>
          <w:spacing w:val="0"/>
          <w:kern w:val="0"/>
          <w:szCs w:val="26"/>
          <w:rtl/>
        </w:rPr>
        <w:t xml:space="preserve">البلاغ </w:t>
      </w:r>
      <w:r w:rsidRPr="007C1878">
        <w:rPr>
          <w:spacing w:val="0"/>
          <w:kern w:val="0"/>
          <w:szCs w:val="26"/>
          <w:rtl/>
        </w:rPr>
        <w:t xml:space="preserve">رقم 226/2003، </w:t>
      </w:r>
      <w:r w:rsidRPr="007C1878">
        <w:rPr>
          <w:i/>
          <w:iCs/>
          <w:spacing w:val="0"/>
          <w:kern w:val="0"/>
          <w:szCs w:val="26"/>
          <w:rtl/>
        </w:rPr>
        <w:t>ت.</w:t>
      </w:r>
      <w:r w:rsidRPr="007C1878">
        <w:rPr>
          <w:rFonts w:hint="cs"/>
          <w:i/>
          <w:iCs/>
          <w:spacing w:val="0"/>
          <w:kern w:val="0"/>
          <w:szCs w:val="26"/>
          <w:rtl/>
        </w:rPr>
        <w:t xml:space="preserve"> </w:t>
      </w:r>
      <w:r w:rsidRPr="007C1878">
        <w:rPr>
          <w:i/>
          <w:iCs/>
          <w:spacing w:val="0"/>
          <w:kern w:val="0"/>
          <w:szCs w:val="26"/>
          <w:rtl/>
        </w:rPr>
        <w:t>أ. ضد السويد</w:t>
      </w:r>
      <w:r w:rsidRPr="007C1878">
        <w:rPr>
          <w:spacing w:val="0"/>
          <w:kern w:val="0"/>
          <w:szCs w:val="26"/>
          <w:rtl/>
        </w:rPr>
        <w:t xml:space="preserve">، </w:t>
      </w:r>
      <w:r w:rsidRPr="007C1878">
        <w:rPr>
          <w:rFonts w:hint="cs"/>
          <w:spacing w:val="0"/>
          <w:kern w:val="0"/>
          <w:szCs w:val="26"/>
          <w:rtl/>
        </w:rPr>
        <w:t>ال</w:t>
      </w:r>
      <w:r w:rsidRPr="007C1878">
        <w:rPr>
          <w:spacing w:val="0"/>
          <w:kern w:val="0"/>
          <w:szCs w:val="26"/>
          <w:rtl/>
        </w:rPr>
        <w:t xml:space="preserve">قرار </w:t>
      </w:r>
      <w:r w:rsidRPr="007C1878">
        <w:rPr>
          <w:rFonts w:hint="cs"/>
          <w:spacing w:val="0"/>
          <w:kern w:val="0"/>
          <w:szCs w:val="26"/>
          <w:rtl/>
        </w:rPr>
        <w:t xml:space="preserve">المعتمد </w:t>
      </w:r>
      <w:r w:rsidRPr="007C1878">
        <w:rPr>
          <w:spacing w:val="0"/>
          <w:kern w:val="0"/>
          <w:szCs w:val="26"/>
          <w:rtl/>
        </w:rPr>
        <w:t>في 6 أيار/مايو 2005.</w:t>
      </w:r>
    </w:p>
  </w:footnote>
  <w:footnote w:id="286">
    <w:p w:rsidR="00D64D4C" w:rsidRPr="007C1878" w:rsidRDefault="00D64D4C" w:rsidP="007C1878">
      <w:pPr>
        <w:pStyle w:val="FootnoteText"/>
        <w:tabs>
          <w:tab w:val="left" w:pos="1253"/>
        </w:tabs>
        <w:spacing w:after="60" w:line="300" w:lineRule="exact"/>
        <w:ind w:left="1211" w:right="1247" w:hanging="420"/>
        <w:jc w:val="lowKashida"/>
        <w:rPr>
          <w:spacing w:val="-2"/>
          <w:kern w:val="0"/>
          <w:szCs w:val="26"/>
        </w:rPr>
      </w:pPr>
      <w:r w:rsidRPr="007C1878">
        <w:rPr>
          <w:rFonts w:hint="cs"/>
          <w:spacing w:val="-2"/>
          <w:kern w:val="0"/>
          <w:szCs w:val="26"/>
          <w:rtl/>
        </w:rPr>
        <w:t>(</w:t>
      </w:r>
      <w:r w:rsidRPr="007C1878">
        <w:rPr>
          <w:rFonts w:hint="cs"/>
          <w:spacing w:val="-2"/>
          <w:kern w:val="0"/>
          <w:sz w:val="30"/>
          <w:szCs w:val="30"/>
          <w:rtl/>
        </w:rPr>
        <w:t>ﻫ</w:t>
      </w:r>
      <w:r w:rsidRPr="007C1878">
        <w:rPr>
          <w:rFonts w:hint="cs"/>
          <w:spacing w:val="-2"/>
          <w:kern w:val="0"/>
          <w:szCs w:val="26"/>
          <w:rtl/>
        </w:rPr>
        <w:t>)</w:t>
      </w:r>
      <w:r w:rsidRPr="007C1878">
        <w:rPr>
          <w:rFonts w:hint="cs"/>
          <w:spacing w:val="-2"/>
          <w:kern w:val="0"/>
          <w:szCs w:val="26"/>
          <w:rtl/>
        </w:rPr>
        <w:tab/>
      </w:r>
      <w:r w:rsidRPr="007C1878">
        <w:rPr>
          <w:spacing w:val="-2"/>
          <w:kern w:val="0"/>
          <w:szCs w:val="26"/>
          <w:rtl/>
        </w:rPr>
        <w:t xml:space="preserve">انظر، </w:t>
      </w:r>
      <w:r w:rsidRPr="007C1878">
        <w:rPr>
          <w:rFonts w:hint="cs"/>
          <w:spacing w:val="-2"/>
          <w:kern w:val="0"/>
          <w:szCs w:val="26"/>
          <w:rtl/>
        </w:rPr>
        <w:t>في جملة أمور</w:t>
      </w:r>
      <w:r w:rsidRPr="007C1878">
        <w:rPr>
          <w:spacing w:val="-2"/>
          <w:kern w:val="0"/>
          <w:szCs w:val="26"/>
          <w:rtl/>
        </w:rPr>
        <w:t xml:space="preserve">، البلاغ رقم 356/2008، </w:t>
      </w:r>
      <w:r w:rsidRPr="007C1878">
        <w:rPr>
          <w:i/>
          <w:iCs/>
          <w:spacing w:val="-2"/>
          <w:kern w:val="0"/>
          <w:szCs w:val="26"/>
          <w:rtl/>
        </w:rPr>
        <w:t>ن.</w:t>
      </w:r>
      <w:r w:rsidRPr="007C1878">
        <w:rPr>
          <w:rFonts w:hint="cs"/>
          <w:i/>
          <w:iCs/>
          <w:spacing w:val="-2"/>
          <w:kern w:val="0"/>
          <w:szCs w:val="26"/>
          <w:rtl/>
        </w:rPr>
        <w:t xml:space="preserve"> </w:t>
      </w:r>
      <w:r w:rsidRPr="007C1878">
        <w:rPr>
          <w:i/>
          <w:iCs/>
          <w:spacing w:val="-2"/>
          <w:kern w:val="0"/>
          <w:szCs w:val="26"/>
          <w:rtl/>
        </w:rPr>
        <w:t>س. ضد سويسرا</w:t>
      </w:r>
      <w:r w:rsidRPr="007C1878">
        <w:rPr>
          <w:spacing w:val="-2"/>
          <w:kern w:val="0"/>
          <w:szCs w:val="26"/>
          <w:rtl/>
        </w:rPr>
        <w:t xml:space="preserve">، </w:t>
      </w:r>
      <w:r w:rsidRPr="007C1878">
        <w:rPr>
          <w:rFonts w:hint="cs"/>
          <w:spacing w:val="-2"/>
          <w:kern w:val="0"/>
          <w:szCs w:val="26"/>
          <w:rtl/>
        </w:rPr>
        <w:t>ال</w:t>
      </w:r>
      <w:r w:rsidRPr="007C1878">
        <w:rPr>
          <w:spacing w:val="-2"/>
          <w:kern w:val="0"/>
          <w:szCs w:val="26"/>
          <w:rtl/>
        </w:rPr>
        <w:t xml:space="preserve">قرار </w:t>
      </w:r>
      <w:r w:rsidRPr="007C1878">
        <w:rPr>
          <w:rFonts w:hint="cs"/>
          <w:spacing w:val="-2"/>
          <w:kern w:val="0"/>
          <w:szCs w:val="26"/>
          <w:rtl/>
        </w:rPr>
        <w:t xml:space="preserve">المعتمد </w:t>
      </w:r>
      <w:r w:rsidRPr="007C1878">
        <w:rPr>
          <w:spacing w:val="-2"/>
          <w:kern w:val="0"/>
          <w:szCs w:val="26"/>
          <w:rtl/>
        </w:rPr>
        <w:t>في 6 أيار/مايو 2010.</w:t>
      </w:r>
    </w:p>
  </w:footnote>
  <w:footnote w:id="287">
    <w:p w:rsidR="00D64D4C" w:rsidRPr="007C1878" w:rsidRDefault="00D64D4C" w:rsidP="007C1878">
      <w:pPr>
        <w:pStyle w:val="FootnoteText"/>
        <w:numPr>
          <w:ilvl w:val="0"/>
          <w:numId w:val="55"/>
        </w:numPr>
        <w:tabs>
          <w:tab w:val="clear" w:pos="1292"/>
          <w:tab w:val="num" w:pos="1253"/>
        </w:tabs>
        <w:spacing w:after="60" w:line="300" w:lineRule="exact"/>
        <w:ind w:left="1248" w:right="1247"/>
        <w:jc w:val="lowKashida"/>
        <w:rPr>
          <w:rFonts w:hint="cs"/>
          <w:spacing w:val="0"/>
          <w:kern w:val="0"/>
          <w:sz w:val="18"/>
          <w:szCs w:val="26"/>
        </w:rPr>
      </w:pPr>
      <w:r w:rsidRPr="007C1878">
        <w:rPr>
          <w:spacing w:val="0"/>
          <w:kern w:val="0"/>
          <w:sz w:val="18"/>
          <w:szCs w:val="26"/>
          <w:rtl/>
        </w:rPr>
        <w:t>انضمت مصر إلى الاتفاقية في 25 حزيران/يونيه 1986 لكنها لم توافق على اختصاص اللجنة بتلقي البلاغات والنظر فيها وفقا</w:t>
      </w:r>
      <w:r w:rsidRPr="007C1878">
        <w:rPr>
          <w:rFonts w:hint="cs"/>
          <w:spacing w:val="0"/>
          <w:kern w:val="0"/>
          <w:sz w:val="18"/>
          <w:szCs w:val="26"/>
          <w:rtl/>
        </w:rPr>
        <w:t>ً</w:t>
      </w:r>
      <w:r w:rsidRPr="007C1878">
        <w:rPr>
          <w:spacing w:val="0"/>
          <w:kern w:val="0"/>
          <w:sz w:val="18"/>
          <w:szCs w:val="26"/>
          <w:rtl/>
        </w:rPr>
        <w:t xml:space="preserve"> للمادة 22 من الاتفاقية.</w:t>
      </w:r>
    </w:p>
  </w:footnote>
  <w:footnote w:id="288">
    <w:p w:rsidR="00D64D4C" w:rsidRPr="007C1878" w:rsidRDefault="00D64D4C" w:rsidP="008655A1">
      <w:pPr>
        <w:pStyle w:val="FootnoteText"/>
        <w:numPr>
          <w:ilvl w:val="0"/>
          <w:numId w:val="55"/>
        </w:numPr>
        <w:tabs>
          <w:tab w:val="clear" w:pos="1292"/>
          <w:tab w:val="left" w:pos="1253"/>
        </w:tabs>
        <w:spacing w:after="60" w:line="300" w:lineRule="exact"/>
        <w:ind w:left="1248" w:right="1247"/>
        <w:jc w:val="lowKashida"/>
        <w:rPr>
          <w:rFonts w:hint="cs"/>
          <w:spacing w:val="0"/>
          <w:kern w:val="0"/>
          <w:sz w:val="18"/>
          <w:szCs w:val="26"/>
        </w:rPr>
      </w:pPr>
      <w:r>
        <w:rPr>
          <w:rFonts w:hint="cs"/>
          <w:spacing w:val="0"/>
          <w:kern w:val="0"/>
          <w:sz w:val="18"/>
          <w:szCs w:val="26"/>
          <w:rtl/>
        </w:rPr>
        <w:t xml:space="preserve">يمكن </w:t>
      </w:r>
      <w:r w:rsidRPr="007C1878">
        <w:rPr>
          <w:rFonts w:hint="cs"/>
          <w:spacing w:val="0"/>
          <w:kern w:val="0"/>
          <w:sz w:val="18"/>
          <w:szCs w:val="26"/>
          <w:rtl/>
        </w:rPr>
        <w:t>الرجوع</w:t>
      </w:r>
      <w:r w:rsidRPr="007C1878">
        <w:rPr>
          <w:spacing w:val="0"/>
          <w:kern w:val="0"/>
          <w:sz w:val="18"/>
          <w:szCs w:val="26"/>
          <w:rtl/>
        </w:rPr>
        <w:t xml:space="preserve"> إلى المادة 12 من الفصل 16 من قانون الأجانب السويدي الذي ينص على جواز قبول محكمة الاستئناف الخاصة بالهجرة للطعون إذا كان النظر فيها من قبل محكمة الاستئناف مهماًّ لتطبيق القانون أو كانت هناك أسباب استثنائية أخرى تدعو إلى النظر في الطعن</w:t>
      </w:r>
      <w:r w:rsidRPr="007C1878">
        <w:rPr>
          <w:rFonts w:hint="cs"/>
          <w:spacing w:val="0"/>
          <w:kern w:val="0"/>
          <w:sz w:val="18"/>
          <w:szCs w:val="26"/>
          <w:rtl/>
        </w:rPr>
        <w:t>.</w:t>
      </w:r>
    </w:p>
  </w:footnote>
  <w:footnote w:id="289">
    <w:p w:rsidR="00D64D4C" w:rsidRPr="007C1878" w:rsidRDefault="00D64D4C" w:rsidP="004930E5">
      <w:pPr>
        <w:pStyle w:val="FootnoteText"/>
        <w:numPr>
          <w:ilvl w:val="0"/>
          <w:numId w:val="55"/>
        </w:numPr>
        <w:tabs>
          <w:tab w:val="clear" w:pos="1292"/>
          <w:tab w:val="left" w:pos="1253"/>
        </w:tabs>
        <w:spacing w:after="60" w:line="300" w:lineRule="exact"/>
        <w:ind w:left="1248" w:right="1247"/>
        <w:jc w:val="lowKashida"/>
        <w:rPr>
          <w:rFonts w:hint="cs"/>
          <w:spacing w:val="0"/>
          <w:kern w:val="0"/>
          <w:sz w:val="18"/>
          <w:szCs w:val="26"/>
        </w:rPr>
      </w:pPr>
      <w:r w:rsidRPr="007C1878">
        <w:rPr>
          <w:spacing w:val="0"/>
          <w:kern w:val="0"/>
          <w:sz w:val="18"/>
          <w:szCs w:val="26"/>
          <w:rtl/>
        </w:rPr>
        <w:t>ترد القواعد المتعلقة بال</w:t>
      </w:r>
      <w:r>
        <w:rPr>
          <w:rFonts w:hint="cs"/>
          <w:spacing w:val="0"/>
          <w:kern w:val="0"/>
          <w:sz w:val="18"/>
          <w:szCs w:val="26"/>
          <w:rtl/>
        </w:rPr>
        <w:t>عوائق</w:t>
      </w:r>
      <w:r w:rsidRPr="007C1878">
        <w:rPr>
          <w:spacing w:val="0"/>
          <w:kern w:val="0"/>
          <w:sz w:val="18"/>
          <w:szCs w:val="26"/>
          <w:rtl/>
        </w:rPr>
        <w:t xml:space="preserve"> الدائمة التي تحول دون تنفيذ الأوامر الصادرة بعدم السماح بدخول البلد والطرد منه التي أصبحت نهائية وغير قابلة للاستئناف في المادتين 18 و19 من الفصل 12، مقروء</w:t>
      </w:r>
      <w:r w:rsidRPr="007C1878">
        <w:rPr>
          <w:rFonts w:hint="cs"/>
          <w:spacing w:val="0"/>
          <w:kern w:val="0"/>
          <w:sz w:val="18"/>
          <w:szCs w:val="26"/>
          <w:rtl/>
        </w:rPr>
        <w:t>ت</w:t>
      </w:r>
      <w:r w:rsidRPr="007C1878">
        <w:rPr>
          <w:spacing w:val="0"/>
          <w:kern w:val="0"/>
          <w:sz w:val="18"/>
          <w:szCs w:val="26"/>
          <w:rtl/>
        </w:rPr>
        <w:t>ين بالاقتران مع المواد 1-3 من الفصل 12 من القانون.</w:t>
      </w:r>
    </w:p>
  </w:footnote>
  <w:footnote w:id="290">
    <w:p w:rsidR="00D64D4C" w:rsidRPr="00ED6B1C" w:rsidRDefault="00D64D4C" w:rsidP="008655A1">
      <w:pPr>
        <w:pStyle w:val="FootnoteText"/>
        <w:numPr>
          <w:ilvl w:val="0"/>
          <w:numId w:val="55"/>
        </w:numPr>
        <w:tabs>
          <w:tab w:val="clear" w:pos="1292"/>
          <w:tab w:val="left" w:pos="1253"/>
        </w:tabs>
        <w:spacing w:after="60" w:line="300" w:lineRule="exact"/>
        <w:ind w:left="1248" w:right="1247"/>
        <w:jc w:val="lowKashida"/>
        <w:rPr>
          <w:rFonts w:hint="cs"/>
          <w:spacing w:val="0"/>
          <w:kern w:val="0"/>
          <w:sz w:val="18"/>
          <w:szCs w:val="26"/>
        </w:rPr>
      </w:pPr>
      <w:r w:rsidRPr="00ED6B1C">
        <w:rPr>
          <w:spacing w:val="0"/>
          <w:kern w:val="0"/>
          <w:sz w:val="18"/>
          <w:szCs w:val="26"/>
          <w:rtl/>
        </w:rPr>
        <w:t xml:space="preserve">هذا </w:t>
      </w:r>
      <w:r w:rsidRPr="00ED6B1C">
        <w:rPr>
          <w:rFonts w:hint="cs"/>
          <w:spacing w:val="0"/>
          <w:kern w:val="0"/>
          <w:sz w:val="18"/>
          <w:szCs w:val="26"/>
          <w:rtl/>
        </w:rPr>
        <w:t>التأكيد</w:t>
      </w:r>
      <w:r w:rsidRPr="00ED6B1C">
        <w:rPr>
          <w:spacing w:val="0"/>
          <w:kern w:val="0"/>
          <w:sz w:val="18"/>
          <w:szCs w:val="26"/>
          <w:rtl/>
        </w:rPr>
        <w:t xml:space="preserve"> أضافته الدولة الطرف.</w:t>
      </w:r>
    </w:p>
  </w:footnote>
  <w:footnote w:id="291">
    <w:p w:rsidR="00D64D4C" w:rsidRPr="00ED6B1C" w:rsidRDefault="00D64D4C" w:rsidP="00ED6B1C">
      <w:pPr>
        <w:pStyle w:val="FootnoteText"/>
        <w:tabs>
          <w:tab w:val="left" w:pos="1253"/>
        </w:tabs>
        <w:spacing w:after="60" w:line="300" w:lineRule="exact"/>
        <w:ind w:left="1239" w:right="1247" w:hanging="490"/>
        <w:jc w:val="lowKashida"/>
        <w:rPr>
          <w:rFonts w:hint="cs"/>
          <w:spacing w:val="-2"/>
          <w:kern w:val="0"/>
          <w:sz w:val="18"/>
          <w:szCs w:val="26"/>
        </w:rPr>
      </w:pPr>
      <w:r w:rsidRPr="00ED6B1C">
        <w:rPr>
          <w:rFonts w:hint="cs"/>
          <w:spacing w:val="-2"/>
          <w:kern w:val="0"/>
          <w:sz w:val="18"/>
          <w:szCs w:val="26"/>
          <w:rtl/>
        </w:rPr>
        <w:t>(</w:t>
      </w:r>
      <w:r w:rsidRPr="00ED6B1C">
        <w:rPr>
          <w:rFonts w:hint="cs"/>
          <w:spacing w:val="-2"/>
          <w:kern w:val="0"/>
          <w:sz w:val="26"/>
          <w:szCs w:val="26"/>
          <w:rtl/>
        </w:rPr>
        <w:t>ﻫ</w:t>
      </w:r>
      <w:r w:rsidRPr="00ED6B1C">
        <w:rPr>
          <w:rFonts w:hint="cs"/>
          <w:spacing w:val="-2"/>
          <w:kern w:val="0"/>
          <w:sz w:val="18"/>
          <w:szCs w:val="26"/>
          <w:rtl/>
        </w:rPr>
        <w:t>)</w:t>
      </w:r>
      <w:r w:rsidRPr="00ED6B1C">
        <w:rPr>
          <w:rFonts w:hint="cs"/>
          <w:spacing w:val="-2"/>
          <w:kern w:val="0"/>
          <w:sz w:val="18"/>
          <w:szCs w:val="26"/>
          <w:rtl/>
        </w:rPr>
        <w:tab/>
      </w:r>
      <w:r w:rsidRPr="00ED6B1C">
        <w:rPr>
          <w:spacing w:val="-2"/>
          <w:kern w:val="0"/>
          <w:sz w:val="18"/>
          <w:szCs w:val="26"/>
          <w:rtl/>
        </w:rPr>
        <w:t xml:space="preserve">البلاغ رقم 150/1999، </w:t>
      </w:r>
      <w:r w:rsidRPr="00ED6B1C">
        <w:rPr>
          <w:i/>
          <w:iCs/>
          <w:spacing w:val="-2"/>
          <w:kern w:val="0"/>
          <w:sz w:val="18"/>
          <w:szCs w:val="26"/>
          <w:rtl/>
        </w:rPr>
        <w:t>س. ل. ضد السويد</w:t>
      </w:r>
      <w:r w:rsidRPr="00ED6B1C">
        <w:rPr>
          <w:spacing w:val="-2"/>
          <w:kern w:val="0"/>
          <w:sz w:val="18"/>
          <w:szCs w:val="26"/>
          <w:rtl/>
        </w:rPr>
        <w:t xml:space="preserve">، الآراء المعتمدة في 11 أيار/مايو 2001، الفقرة 6-3، والبلاغ رقم 213/2002، </w:t>
      </w:r>
      <w:r w:rsidRPr="00ED6B1C">
        <w:rPr>
          <w:i/>
          <w:iCs/>
          <w:spacing w:val="-2"/>
          <w:kern w:val="0"/>
          <w:sz w:val="18"/>
          <w:szCs w:val="26"/>
          <w:rtl/>
        </w:rPr>
        <w:t>إ. ج.</w:t>
      </w:r>
      <w:r w:rsidRPr="00ED6B1C">
        <w:rPr>
          <w:rFonts w:hint="cs"/>
          <w:i/>
          <w:iCs/>
          <w:spacing w:val="-2"/>
          <w:kern w:val="0"/>
          <w:sz w:val="18"/>
          <w:szCs w:val="26"/>
          <w:rtl/>
        </w:rPr>
        <w:t xml:space="preserve"> </w:t>
      </w:r>
      <w:r w:rsidRPr="00ED6B1C">
        <w:rPr>
          <w:i/>
          <w:iCs/>
          <w:spacing w:val="-2"/>
          <w:kern w:val="0"/>
          <w:sz w:val="18"/>
          <w:szCs w:val="26"/>
          <w:rtl/>
        </w:rPr>
        <w:t>ف.</w:t>
      </w:r>
      <w:r w:rsidRPr="00ED6B1C">
        <w:rPr>
          <w:rFonts w:hint="cs"/>
          <w:i/>
          <w:iCs/>
          <w:spacing w:val="-2"/>
          <w:kern w:val="0"/>
          <w:sz w:val="18"/>
          <w:szCs w:val="26"/>
          <w:rtl/>
        </w:rPr>
        <w:t xml:space="preserve"> </w:t>
      </w:r>
      <w:r w:rsidRPr="00ED6B1C">
        <w:rPr>
          <w:i/>
          <w:iCs/>
          <w:spacing w:val="-2"/>
          <w:kern w:val="0"/>
          <w:sz w:val="18"/>
          <w:szCs w:val="26"/>
          <w:rtl/>
        </w:rPr>
        <w:t>م. ضد السويد</w:t>
      </w:r>
      <w:r w:rsidRPr="00ED6B1C">
        <w:rPr>
          <w:spacing w:val="-2"/>
          <w:kern w:val="0"/>
          <w:sz w:val="18"/>
          <w:szCs w:val="26"/>
          <w:rtl/>
        </w:rPr>
        <w:t>، الآراء المعتمدة في 14 تشرين الثاني/نوفمبر 2003، الفقرة 8-3.</w:t>
      </w:r>
    </w:p>
  </w:footnote>
  <w:footnote w:id="292">
    <w:p w:rsidR="00D64D4C" w:rsidRPr="00ED6B1C" w:rsidRDefault="00D64D4C" w:rsidP="00ED6B1C">
      <w:pPr>
        <w:pStyle w:val="FootnoteText"/>
        <w:tabs>
          <w:tab w:val="left" w:pos="1253"/>
        </w:tabs>
        <w:spacing w:after="60" w:line="300" w:lineRule="exact"/>
        <w:ind w:left="1239" w:right="1247" w:hanging="490"/>
        <w:jc w:val="lowKashida"/>
        <w:rPr>
          <w:rFonts w:hint="cs"/>
          <w:spacing w:val="0"/>
          <w:kern w:val="0"/>
          <w:sz w:val="18"/>
          <w:szCs w:val="26"/>
        </w:rPr>
      </w:pPr>
      <w:r w:rsidRPr="00ED6B1C">
        <w:rPr>
          <w:rFonts w:hint="cs"/>
          <w:spacing w:val="0"/>
          <w:kern w:val="0"/>
          <w:sz w:val="18"/>
          <w:szCs w:val="26"/>
          <w:rtl/>
        </w:rPr>
        <w:t>(</w:t>
      </w:r>
      <w:r w:rsidRPr="00ED6B1C">
        <w:rPr>
          <w:rFonts w:hint="cs"/>
          <w:spacing w:val="0"/>
          <w:kern w:val="0"/>
          <w:sz w:val="26"/>
          <w:szCs w:val="26"/>
          <w:rtl/>
        </w:rPr>
        <w:t>و</w:t>
      </w:r>
      <w:r w:rsidRPr="00ED6B1C">
        <w:rPr>
          <w:rFonts w:hint="cs"/>
          <w:spacing w:val="0"/>
          <w:kern w:val="0"/>
          <w:sz w:val="18"/>
          <w:szCs w:val="26"/>
          <w:rtl/>
        </w:rPr>
        <w:t>)</w:t>
      </w:r>
      <w:r w:rsidRPr="00ED6B1C">
        <w:rPr>
          <w:rFonts w:hint="cs"/>
          <w:spacing w:val="0"/>
          <w:kern w:val="0"/>
          <w:sz w:val="18"/>
          <w:szCs w:val="26"/>
          <w:rtl/>
        </w:rPr>
        <w:tab/>
      </w:r>
      <w:r w:rsidRPr="00ED6B1C">
        <w:rPr>
          <w:spacing w:val="0"/>
          <w:kern w:val="0"/>
          <w:sz w:val="18"/>
          <w:szCs w:val="26"/>
          <w:rtl/>
        </w:rPr>
        <w:t xml:space="preserve">هذا </w:t>
      </w:r>
      <w:r w:rsidRPr="00ED6B1C">
        <w:rPr>
          <w:rFonts w:hint="cs"/>
          <w:spacing w:val="0"/>
          <w:kern w:val="0"/>
          <w:sz w:val="18"/>
          <w:szCs w:val="26"/>
          <w:rtl/>
        </w:rPr>
        <w:t xml:space="preserve">التأكيد </w:t>
      </w:r>
      <w:r w:rsidRPr="00ED6B1C">
        <w:rPr>
          <w:spacing w:val="0"/>
          <w:kern w:val="0"/>
          <w:sz w:val="18"/>
          <w:szCs w:val="26"/>
          <w:rtl/>
        </w:rPr>
        <w:t>أضافته الدولة الطرف.</w:t>
      </w:r>
    </w:p>
  </w:footnote>
  <w:footnote w:id="293">
    <w:p w:rsidR="00D64D4C" w:rsidRPr="00596DD7" w:rsidRDefault="00D64D4C" w:rsidP="00596DD7">
      <w:pPr>
        <w:pStyle w:val="FootnoteText"/>
        <w:tabs>
          <w:tab w:val="left" w:pos="1253"/>
        </w:tabs>
        <w:spacing w:after="60" w:line="280" w:lineRule="exact"/>
        <w:ind w:left="1236" w:right="1247" w:hanging="488"/>
        <w:jc w:val="lowKashida"/>
        <w:rPr>
          <w:rFonts w:hint="cs"/>
          <w:spacing w:val="0"/>
          <w:kern w:val="0"/>
          <w:sz w:val="18"/>
          <w:szCs w:val="26"/>
        </w:rPr>
      </w:pPr>
      <w:r w:rsidRPr="00596DD7">
        <w:rPr>
          <w:rFonts w:hint="cs"/>
          <w:spacing w:val="0"/>
          <w:kern w:val="0"/>
          <w:sz w:val="18"/>
          <w:szCs w:val="26"/>
          <w:rtl/>
        </w:rPr>
        <w:t>(</w:t>
      </w:r>
      <w:r w:rsidRPr="00596DD7">
        <w:rPr>
          <w:rFonts w:hint="cs"/>
          <w:spacing w:val="0"/>
          <w:kern w:val="0"/>
          <w:sz w:val="26"/>
          <w:szCs w:val="26"/>
          <w:rtl/>
        </w:rPr>
        <w:t>ز</w:t>
      </w:r>
      <w:r w:rsidRPr="00596DD7">
        <w:rPr>
          <w:rFonts w:hint="cs"/>
          <w:spacing w:val="0"/>
          <w:kern w:val="0"/>
          <w:sz w:val="18"/>
          <w:szCs w:val="26"/>
          <w:rtl/>
        </w:rPr>
        <w:t>)</w:t>
      </w:r>
      <w:r w:rsidRPr="00596DD7">
        <w:rPr>
          <w:rFonts w:hint="cs"/>
          <w:spacing w:val="0"/>
          <w:kern w:val="0"/>
          <w:sz w:val="18"/>
          <w:szCs w:val="26"/>
          <w:rtl/>
        </w:rPr>
        <w:tab/>
        <w:t xml:space="preserve">يمكن الرجوع إلى </w:t>
      </w:r>
      <w:r w:rsidRPr="00596DD7">
        <w:rPr>
          <w:spacing w:val="0"/>
          <w:kern w:val="0"/>
          <w:sz w:val="18"/>
          <w:szCs w:val="26"/>
        </w:rPr>
        <w:t>the UK Border Agency, Arab Republic of Egypt (Home Office, 2009)</w:t>
      </w:r>
      <w:r w:rsidRPr="00596DD7">
        <w:rPr>
          <w:rFonts w:hint="cs"/>
          <w:spacing w:val="0"/>
          <w:kern w:val="0"/>
          <w:sz w:val="18"/>
          <w:szCs w:val="26"/>
          <w:rtl/>
        </w:rPr>
        <w:t>؛و</w:t>
      </w:r>
      <w:r w:rsidRPr="00596DD7">
        <w:rPr>
          <w:spacing w:val="0"/>
          <w:kern w:val="0"/>
          <w:sz w:val="18"/>
          <w:szCs w:val="26"/>
        </w:rPr>
        <w:t>U.S. Department of State, 2008 Country Report on Human Rights Practices – Egypt (Bureau of Democracy, Human Rights and Labour, 2009)</w:t>
      </w:r>
      <w:r w:rsidRPr="00596DD7">
        <w:rPr>
          <w:rFonts w:hint="cs"/>
          <w:spacing w:val="0"/>
          <w:kern w:val="0"/>
          <w:sz w:val="18"/>
          <w:szCs w:val="26"/>
          <w:rtl/>
        </w:rPr>
        <w:t>؛ و</w:t>
      </w:r>
      <w:r w:rsidRPr="00596DD7">
        <w:rPr>
          <w:spacing w:val="0"/>
          <w:kern w:val="0"/>
          <w:sz w:val="18"/>
          <w:szCs w:val="26"/>
        </w:rPr>
        <w:t>Human Rights Watch, World Report 2009</w:t>
      </w:r>
      <w:r w:rsidRPr="00596DD7">
        <w:rPr>
          <w:rFonts w:hint="cs"/>
          <w:spacing w:val="0"/>
          <w:kern w:val="0"/>
          <w:sz w:val="18"/>
          <w:szCs w:val="26"/>
          <w:rtl/>
        </w:rPr>
        <w:t>؛ و</w:t>
      </w:r>
      <w:r w:rsidRPr="00596DD7">
        <w:rPr>
          <w:spacing w:val="0"/>
          <w:kern w:val="0"/>
          <w:sz w:val="18"/>
          <w:szCs w:val="26"/>
        </w:rPr>
        <w:t>the Swedish Ministry for Foreign Affairs report on human rights in Egypt in 2007 (2008</w:t>
      </w:r>
      <w:r w:rsidRPr="00596DD7">
        <w:rPr>
          <w:spacing w:val="0"/>
          <w:kern w:val="0"/>
          <w:sz w:val="18"/>
          <w:szCs w:val="26"/>
          <w:rtl/>
        </w:rPr>
        <w:t>).</w:t>
      </w:r>
    </w:p>
  </w:footnote>
  <w:footnote w:id="294">
    <w:p w:rsidR="00D64D4C" w:rsidRPr="00ED6B1C" w:rsidRDefault="00D64D4C" w:rsidP="004930E5">
      <w:pPr>
        <w:pStyle w:val="FootnoteText"/>
        <w:tabs>
          <w:tab w:val="left" w:pos="1253"/>
        </w:tabs>
        <w:spacing w:after="60" w:line="300" w:lineRule="exact"/>
        <w:ind w:left="1239" w:right="1247" w:hanging="462"/>
        <w:jc w:val="lowKashida"/>
        <w:rPr>
          <w:rFonts w:hint="cs"/>
          <w:spacing w:val="0"/>
          <w:kern w:val="0"/>
          <w:sz w:val="18"/>
          <w:szCs w:val="26"/>
        </w:rPr>
      </w:pPr>
      <w:r w:rsidRPr="00ED6B1C">
        <w:rPr>
          <w:rFonts w:hint="cs"/>
          <w:spacing w:val="0"/>
          <w:kern w:val="0"/>
          <w:sz w:val="18"/>
          <w:szCs w:val="26"/>
          <w:rtl/>
        </w:rPr>
        <w:t>(</w:t>
      </w:r>
      <w:r w:rsidRPr="00ED6B1C">
        <w:rPr>
          <w:rFonts w:hint="cs"/>
          <w:spacing w:val="0"/>
          <w:kern w:val="0"/>
          <w:sz w:val="26"/>
          <w:szCs w:val="26"/>
          <w:rtl/>
        </w:rPr>
        <w:t>ح</w:t>
      </w:r>
      <w:r w:rsidRPr="00ED6B1C">
        <w:rPr>
          <w:rFonts w:hint="cs"/>
          <w:spacing w:val="0"/>
          <w:kern w:val="0"/>
          <w:sz w:val="18"/>
          <w:szCs w:val="26"/>
          <w:rtl/>
        </w:rPr>
        <w:t>)</w:t>
      </w:r>
      <w:r w:rsidRPr="00ED6B1C">
        <w:rPr>
          <w:rFonts w:hint="cs"/>
          <w:spacing w:val="0"/>
          <w:kern w:val="0"/>
          <w:sz w:val="18"/>
          <w:szCs w:val="26"/>
          <w:rtl/>
        </w:rPr>
        <w:tab/>
      </w:r>
      <w:r>
        <w:rPr>
          <w:rFonts w:hint="cs"/>
          <w:spacing w:val="0"/>
          <w:kern w:val="0"/>
          <w:sz w:val="18"/>
          <w:szCs w:val="26"/>
          <w:rtl/>
        </w:rPr>
        <w:t>يمكن</w:t>
      </w:r>
      <w:r w:rsidRPr="00ED6B1C">
        <w:rPr>
          <w:rFonts w:hint="cs"/>
          <w:spacing w:val="0"/>
          <w:kern w:val="0"/>
          <w:sz w:val="18"/>
          <w:szCs w:val="26"/>
          <w:rtl/>
        </w:rPr>
        <w:t xml:space="preserve"> الرجوع إلى </w:t>
      </w:r>
      <w:r w:rsidRPr="00ED6B1C">
        <w:rPr>
          <w:spacing w:val="0"/>
          <w:kern w:val="0"/>
          <w:sz w:val="18"/>
          <w:szCs w:val="26"/>
        </w:rPr>
        <w:t xml:space="preserve">Human Rights Watch, </w:t>
      </w:r>
      <w:r w:rsidRPr="00ED6B1C">
        <w:rPr>
          <w:i/>
          <w:iCs/>
          <w:spacing w:val="0"/>
          <w:kern w:val="0"/>
          <w:sz w:val="18"/>
          <w:szCs w:val="26"/>
        </w:rPr>
        <w:t>World Report 2009</w:t>
      </w:r>
      <w:r w:rsidRPr="00ED6B1C">
        <w:rPr>
          <w:rFonts w:hint="cs"/>
          <w:spacing w:val="0"/>
          <w:kern w:val="0"/>
          <w:sz w:val="18"/>
          <w:szCs w:val="26"/>
          <w:rtl/>
        </w:rPr>
        <w:t>؛ و</w:t>
      </w:r>
      <w:r w:rsidRPr="00ED6B1C">
        <w:rPr>
          <w:spacing w:val="0"/>
          <w:kern w:val="0"/>
          <w:sz w:val="18"/>
          <w:szCs w:val="26"/>
        </w:rPr>
        <w:t>Research Response prepared by the Research and Information Services Section of the Refugee Review Tribunal (Australia) on the attitude of the Egyptian authorities towards the Muslim Brotherhood, dated 30 June 2009</w:t>
      </w:r>
      <w:r w:rsidRPr="00ED6B1C">
        <w:rPr>
          <w:rFonts w:hint="cs"/>
          <w:spacing w:val="0"/>
          <w:kern w:val="0"/>
          <w:sz w:val="18"/>
          <w:szCs w:val="26"/>
          <w:rtl/>
        </w:rPr>
        <w:t xml:space="preserve">؛ ومنظمة العفو الدولية، </w:t>
      </w:r>
      <w:r w:rsidRPr="00ED6B1C">
        <w:rPr>
          <w:rFonts w:hint="cs"/>
          <w:i/>
          <w:iCs/>
          <w:spacing w:val="0"/>
          <w:kern w:val="0"/>
          <w:sz w:val="18"/>
          <w:szCs w:val="26"/>
          <w:rtl/>
        </w:rPr>
        <w:t>مصر: انتهاكات منهجية باسم الأمن</w:t>
      </w:r>
      <w:r w:rsidRPr="00ED6B1C">
        <w:rPr>
          <w:rFonts w:hint="cs"/>
          <w:spacing w:val="0"/>
          <w:kern w:val="0"/>
          <w:sz w:val="18"/>
          <w:szCs w:val="26"/>
          <w:rtl/>
        </w:rPr>
        <w:t xml:space="preserve"> (لندن، 2007)؛ والفدرالية الدولية لحقوق الإنسان، </w:t>
      </w:r>
      <w:r w:rsidRPr="00ED6B1C">
        <w:rPr>
          <w:rFonts w:hint="cs"/>
          <w:i/>
          <w:iCs/>
          <w:spacing w:val="0"/>
          <w:kern w:val="0"/>
          <w:sz w:val="18"/>
          <w:szCs w:val="26"/>
          <w:rtl/>
        </w:rPr>
        <w:t>مصر: مكافحة الإرهاب في إطار حالة طوارئ لا تنتهي</w:t>
      </w:r>
      <w:r w:rsidRPr="00ED6B1C">
        <w:rPr>
          <w:rFonts w:hint="cs"/>
          <w:spacing w:val="0"/>
          <w:kern w:val="0"/>
          <w:sz w:val="18"/>
          <w:szCs w:val="26"/>
          <w:rtl/>
        </w:rPr>
        <w:t xml:space="preserve"> (2010)؛ ومرصد حقوق الإنسان، "يجب الإفراج عن أعضاء جماعة الإخوان المسلمين المحتجزين تعسفاً"، 10 شباط/فبراير 2010؛ و</w:t>
      </w:r>
      <w:r w:rsidRPr="00ED6B1C">
        <w:rPr>
          <w:spacing w:val="0"/>
          <w:kern w:val="0"/>
          <w:sz w:val="18"/>
          <w:szCs w:val="26"/>
        </w:rPr>
        <w:t xml:space="preserve">U.S. Department of State, </w:t>
      </w:r>
      <w:r w:rsidRPr="00ED6B1C">
        <w:rPr>
          <w:i/>
          <w:iCs/>
          <w:spacing w:val="0"/>
          <w:kern w:val="0"/>
          <w:sz w:val="18"/>
          <w:szCs w:val="26"/>
        </w:rPr>
        <w:t>2009 Country Report on Human Rights Practices – Egypt</w:t>
      </w:r>
      <w:r w:rsidRPr="00ED6B1C">
        <w:rPr>
          <w:spacing w:val="0"/>
          <w:kern w:val="0"/>
          <w:sz w:val="18"/>
          <w:szCs w:val="26"/>
        </w:rPr>
        <w:t>, (Bureau of Democracy, Human Rights and Labour, 2010</w:t>
      </w:r>
      <w:r w:rsidRPr="00ED6B1C">
        <w:rPr>
          <w:spacing w:val="0"/>
          <w:kern w:val="0"/>
          <w:sz w:val="18"/>
          <w:szCs w:val="26"/>
          <w:rtl/>
        </w:rPr>
        <w:t>).</w:t>
      </w:r>
    </w:p>
  </w:footnote>
  <w:footnote w:id="295">
    <w:p w:rsidR="00D64D4C" w:rsidRPr="00A642B8" w:rsidRDefault="00D64D4C" w:rsidP="004930E5">
      <w:pPr>
        <w:pStyle w:val="FootnoteText"/>
        <w:tabs>
          <w:tab w:val="left" w:pos="1253"/>
        </w:tabs>
        <w:spacing w:after="60" w:line="300" w:lineRule="exact"/>
        <w:ind w:left="1253" w:right="1247" w:hanging="462"/>
        <w:jc w:val="lowKashida"/>
        <w:rPr>
          <w:rFonts w:hint="cs"/>
          <w:sz w:val="18"/>
          <w:szCs w:val="26"/>
        </w:rPr>
      </w:pPr>
      <w:r>
        <w:rPr>
          <w:rFonts w:hint="cs"/>
          <w:sz w:val="18"/>
          <w:szCs w:val="26"/>
          <w:rtl/>
        </w:rPr>
        <w:t>(</w:t>
      </w:r>
      <w:r>
        <w:rPr>
          <w:rFonts w:hint="cs"/>
          <w:sz w:val="26"/>
          <w:szCs w:val="26"/>
          <w:rtl/>
        </w:rPr>
        <w:t>ط</w:t>
      </w:r>
      <w:r>
        <w:rPr>
          <w:rFonts w:hint="cs"/>
          <w:sz w:val="18"/>
          <w:szCs w:val="26"/>
          <w:rtl/>
        </w:rPr>
        <w:t>)</w:t>
      </w:r>
      <w:r>
        <w:rPr>
          <w:rFonts w:hint="cs"/>
          <w:sz w:val="18"/>
          <w:szCs w:val="26"/>
          <w:rtl/>
        </w:rPr>
        <w:tab/>
        <w:t>يمكن</w:t>
      </w:r>
      <w:r w:rsidRPr="00A642B8">
        <w:rPr>
          <w:rFonts w:hint="cs"/>
          <w:sz w:val="18"/>
          <w:szCs w:val="26"/>
          <w:rtl/>
        </w:rPr>
        <w:t xml:space="preserve"> الرجوع إلى </w:t>
      </w:r>
      <w:r w:rsidRPr="00A642B8">
        <w:rPr>
          <w:sz w:val="18"/>
          <w:szCs w:val="26"/>
        </w:rPr>
        <w:t>Congressional Research Service, 17 June 2011</w:t>
      </w:r>
      <w:r w:rsidRPr="00A642B8">
        <w:rPr>
          <w:sz w:val="18"/>
          <w:szCs w:val="26"/>
          <w:rtl/>
        </w:rPr>
        <w:t>.</w:t>
      </w:r>
    </w:p>
  </w:footnote>
  <w:footnote w:id="296">
    <w:p w:rsidR="00D64D4C" w:rsidRPr="00A642B8" w:rsidRDefault="00D64D4C" w:rsidP="00ED6B1C">
      <w:pPr>
        <w:pStyle w:val="FootnoteText"/>
        <w:tabs>
          <w:tab w:val="left" w:pos="1253"/>
        </w:tabs>
        <w:spacing w:after="60" w:line="300" w:lineRule="exact"/>
        <w:ind w:left="1253" w:right="1247" w:hanging="462"/>
        <w:jc w:val="lowKashida"/>
        <w:rPr>
          <w:rFonts w:hint="cs"/>
          <w:sz w:val="18"/>
          <w:szCs w:val="26"/>
        </w:rPr>
      </w:pPr>
      <w:r>
        <w:rPr>
          <w:rFonts w:hint="cs"/>
          <w:sz w:val="18"/>
          <w:szCs w:val="26"/>
          <w:rtl/>
        </w:rPr>
        <w:t>(</w:t>
      </w:r>
      <w:r>
        <w:rPr>
          <w:rFonts w:hint="cs"/>
          <w:sz w:val="26"/>
          <w:szCs w:val="26"/>
          <w:rtl/>
        </w:rPr>
        <w:t>ي</w:t>
      </w:r>
      <w:r>
        <w:rPr>
          <w:rFonts w:hint="cs"/>
          <w:sz w:val="18"/>
          <w:szCs w:val="26"/>
          <w:rtl/>
        </w:rPr>
        <w:t>)</w:t>
      </w:r>
      <w:r>
        <w:rPr>
          <w:rFonts w:hint="cs"/>
          <w:sz w:val="18"/>
          <w:szCs w:val="26"/>
          <w:rtl/>
        </w:rPr>
        <w:tab/>
      </w:r>
      <w:r w:rsidRPr="00A642B8">
        <w:rPr>
          <w:sz w:val="18"/>
          <w:szCs w:val="26"/>
          <w:rtl/>
        </w:rPr>
        <w:t>انظر الحاشية 3.</w:t>
      </w:r>
    </w:p>
  </w:footnote>
  <w:footnote w:id="297">
    <w:p w:rsidR="00D64D4C" w:rsidRPr="00ED6B1C" w:rsidRDefault="00D64D4C" w:rsidP="00ED6B1C">
      <w:pPr>
        <w:pStyle w:val="FootnoteText"/>
        <w:tabs>
          <w:tab w:val="left" w:pos="1253"/>
        </w:tabs>
        <w:spacing w:after="60" w:line="300" w:lineRule="exact"/>
        <w:ind w:left="1239" w:right="1247" w:hanging="490"/>
        <w:jc w:val="lowKashida"/>
        <w:rPr>
          <w:rFonts w:hint="cs"/>
          <w:spacing w:val="0"/>
          <w:kern w:val="0"/>
          <w:sz w:val="18"/>
          <w:szCs w:val="26"/>
        </w:rPr>
      </w:pPr>
      <w:r w:rsidRPr="00ED6B1C">
        <w:rPr>
          <w:rFonts w:hint="cs"/>
          <w:spacing w:val="0"/>
          <w:kern w:val="0"/>
          <w:sz w:val="18"/>
          <w:szCs w:val="26"/>
          <w:rtl/>
        </w:rPr>
        <w:t>(</w:t>
      </w:r>
      <w:r w:rsidRPr="00ED6B1C">
        <w:rPr>
          <w:rFonts w:hint="cs"/>
          <w:spacing w:val="0"/>
          <w:kern w:val="0"/>
          <w:sz w:val="26"/>
          <w:szCs w:val="26"/>
          <w:rtl/>
        </w:rPr>
        <w:t>ك</w:t>
      </w:r>
      <w:r w:rsidRPr="00ED6B1C">
        <w:rPr>
          <w:rFonts w:hint="cs"/>
          <w:spacing w:val="0"/>
          <w:kern w:val="0"/>
          <w:sz w:val="18"/>
          <w:szCs w:val="26"/>
          <w:rtl/>
        </w:rPr>
        <w:t>)</w:t>
      </w:r>
      <w:r w:rsidRPr="00ED6B1C">
        <w:rPr>
          <w:rFonts w:hint="cs"/>
          <w:spacing w:val="0"/>
          <w:kern w:val="0"/>
          <w:sz w:val="18"/>
          <w:szCs w:val="26"/>
          <w:rtl/>
        </w:rPr>
        <w:tab/>
      </w:r>
      <w:r w:rsidRPr="00ED6B1C">
        <w:rPr>
          <w:spacing w:val="0"/>
          <w:kern w:val="0"/>
          <w:sz w:val="18"/>
          <w:szCs w:val="26"/>
          <w:rtl/>
        </w:rPr>
        <w:t xml:space="preserve">تعليق اللجنة العام رقم 1(1996) بشأن تنفيذ المادة 3 من الاتفاقية، </w:t>
      </w:r>
      <w:r w:rsidRPr="00ED6B1C">
        <w:rPr>
          <w:i/>
          <w:iCs/>
          <w:spacing w:val="0"/>
          <w:kern w:val="0"/>
          <w:sz w:val="18"/>
          <w:szCs w:val="26"/>
          <w:rtl/>
        </w:rPr>
        <w:t>الوثائق الرسمية للجمعية العامة، الدورة الثالثة والخمسون، الملحق رقم 44</w:t>
      </w:r>
      <w:r w:rsidRPr="00ED6B1C">
        <w:rPr>
          <w:spacing w:val="0"/>
          <w:kern w:val="0"/>
          <w:sz w:val="18"/>
          <w:szCs w:val="26"/>
          <w:rtl/>
        </w:rPr>
        <w:t xml:space="preserve"> (</w:t>
      </w:r>
      <w:r w:rsidRPr="00ED6B1C">
        <w:rPr>
          <w:spacing w:val="0"/>
          <w:kern w:val="0"/>
          <w:sz w:val="18"/>
          <w:szCs w:val="26"/>
        </w:rPr>
        <w:t>A/53/44</w:t>
      </w:r>
      <w:r w:rsidRPr="00ED6B1C">
        <w:rPr>
          <w:spacing w:val="0"/>
          <w:kern w:val="0"/>
          <w:sz w:val="18"/>
          <w:szCs w:val="26"/>
          <w:rtl/>
        </w:rPr>
        <w:t>، و</w:t>
      </w:r>
      <w:r w:rsidRPr="00ED6B1C">
        <w:rPr>
          <w:spacing w:val="0"/>
          <w:kern w:val="0"/>
          <w:sz w:val="18"/>
          <w:szCs w:val="26"/>
        </w:rPr>
        <w:t>Corr.1</w:t>
      </w:r>
      <w:r w:rsidRPr="00ED6B1C">
        <w:rPr>
          <w:spacing w:val="0"/>
          <w:kern w:val="0"/>
          <w:sz w:val="18"/>
          <w:szCs w:val="26"/>
          <w:rtl/>
        </w:rPr>
        <w:t>)، المرفق التاسع، الفقرة 6.</w:t>
      </w:r>
    </w:p>
  </w:footnote>
  <w:footnote w:id="298">
    <w:p w:rsidR="00D64D4C" w:rsidRPr="00ED6B1C" w:rsidRDefault="00D64D4C" w:rsidP="00ED6B1C">
      <w:pPr>
        <w:pStyle w:val="FootnoteText"/>
        <w:tabs>
          <w:tab w:val="left" w:pos="1253"/>
        </w:tabs>
        <w:spacing w:after="60" w:line="300" w:lineRule="exact"/>
        <w:ind w:left="1239" w:right="1247" w:hanging="490"/>
        <w:jc w:val="lowKashida"/>
        <w:rPr>
          <w:rFonts w:hint="cs"/>
          <w:spacing w:val="0"/>
          <w:kern w:val="0"/>
          <w:sz w:val="18"/>
          <w:szCs w:val="26"/>
        </w:rPr>
      </w:pPr>
      <w:r w:rsidRPr="00ED6B1C">
        <w:rPr>
          <w:rFonts w:hint="cs"/>
          <w:spacing w:val="0"/>
          <w:kern w:val="0"/>
          <w:sz w:val="18"/>
          <w:szCs w:val="26"/>
          <w:rtl/>
        </w:rPr>
        <w:t>(</w:t>
      </w:r>
      <w:r w:rsidRPr="00ED6B1C">
        <w:rPr>
          <w:rFonts w:hint="cs"/>
          <w:spacing w:val="0"/>
          <w:kern w:val="0"/>
          <w:sz w:val="26"/>
          <w:szCs w:val="26"/>
          <w:rtl/>
        </w:rPr>
        <w:t>ل</w:t>
      </w:r>
      <w:r w:rsidRPr="00ED6B1C">
        <w:rPr>
          <w:rFonts w:hint="cs"/>
          <w:spacing w:val="0"/>
          <w:kern w:val="0"/>
          <w:sz w:val="18"/>
          <w:szCs w:val="26"/>
          <w:rtl/>
        </w:rPr>
        <w:t>)</w:t>
      </w:r>
      <w:r w:rsidRPr="00ED6B1C">
        <w:rPr>
          <w:rFonts w:hint="cs"/>
          <w:spacing w:val="0"/>
          <w:kern w:val="0"/>
          <w:sz w:val="18"/>
          <w:szCs w:val="26"/>
          <w:rtl/>
        </w:rPr>
        <w:tab/>
      </w:r>
      <w:r w:rsidRPr="00ED6B1C">
        <w:rPr>
          <w:spacing w:val="0"/>
          <w:kern w:val="0"/>
          <w:sz w:val="18"/>
          <w:szCs w:val="26"/>
          <w:rtl/>
        </w:rPr>
        <w:t>المرجع نفسه</w:t>
      </w:r>
      <w:r w:rsidRPr="00ED6B1C">
        <w:rPr>
          <w:rFonts w:hint="cs"/>
          <w:spacing w:val="0"/>
          <w:kern w:val="0"/>
          <w:sz w:val="18"/>
          <w:szCs w:val="26"/>
          <w:rtl/>
        </w:rPr>
        <w:t>. انظر أيضاً</w:t>
      </w:r>
      <w:r w:rsidRPr="00ED6B1C">
        <w:rPr>
          <w:spacing w:val="0"/>
          <w:kern w:val="0"/>
          <w:sz w:val="18"/>
          <w:szCs w:val="26"/>
          <w:rtl/>
        </w:rPr>
        <w:t xml:space="preserve"> البلاغ رقم 203/2002، </w:t>
      </w:r>
      <w:r w:rsidRPr="00ED6B1C">
        <w:rPr>
          <w:i/>
          <w:iCs/>
          <w:spacing w:val="0"/>
          <w:kern w:val="0"/>
          <w:sz w:val="18"/>
          <w:szCs w:val="26"/>
          <w:rtl/>
        </w:rPr>
        <w:t>أ.</w:t>
      </w:r>
      <w:r w:rsidRPr="00ED6B1C">
        <w:rPr>
          <w:rFonts w:hint="cs"/>
          <w:i/>
          <w:iCs/>
          <w:spacing w:val="0"/>
          <w:kern w:val="0"/>
          <w:sz w:val="18"/>
          <w:szCs w:val="26"/>
          <w:rtl/>
        </w:rPr>
        <w:t xml:space="preserve"> </w:t>
      </w:r>
      <w:r w:rsidRPr="00ED6B1C">
        <w:rPr>
          <w:i/>
          <w:iCs/>
          <w:spacing w:val="0"/>
          <w:kern w:val="0"/>
          <w:sz w:val="18"/>
          <w:szCs w:val="26"/>
          <w:rtl/>
        </w:rPr>
        <w:t>ر</w:t>
      </w:r>
      <w:r w:rsidRPr="00ED6B1C">
        <w:rPr>
          <w:rFonts w:hint="cs"/>
          <w:i/>
          <w:iCs/>
          <w:spacing w:val="0"/>
          <w:kern w:val="0"/>
          <w:sz w:val="18"/>
          <w:szCs w:val="26"/>
          <w:rtl/>
        </w:rPr>
        <w:t>.</w:t>
      </w:r>
      <w:r w:rsidRPr="00ED6B1C">
        <w:rPr>
          <w:i/>
          <w:iCs/>
          <w:spacing w:val="0"/>
          <w:kern w:val="0"/>
          <w:sz w:val="18"/>
          <w:szCs w:val="26"/>
          <w:rtl/>
        </w:rPr>
        <w:t xml:space="preserve"> ضد هولندا</w:t>
      </w:r>
      <w:r w:rsidRPr="00ED6B1C">
        <w:rPr>
          <w:spacing w:val="0"/>
          <w:kern w:val="0"/>
          <w:sz w:val="18"/>
          <w:szCs w:val="26"/>
          <w:rtl/>
        </w:rPr>
        <w:t>، الآراء المعتمدة في 14 تشرين الثاني/نوفمبر 2003، الفقرة 7-3.</w:t>
      </w:r>
    </w:p>
  </w:footnote>
  <w:footnote w:id="299">
    <w:p w:rsidR="00D64D4C" w:rsidRPr="00ED6B1C" w:rsidRDefault="00D64D4C" w:rsidP="00ED6B1C">
      <w:pPr>
        <w:pStyle w:val="FootnoteText"/>
        <w:tabs>
          <w:tab w:val="left" w:pos="1253"/>
        </w:tabs>
        <w:spacing w:after="60" w:line="300" w:lineRule="exact"/>
        <w:ind w:left="1239" w:right="1247" w:hanging="490"/>
        <w:jc w:val="lowKashida"/>
        <w:rPr>
          <w:rFonts w:hint="cs"/>
          <w:spacing w:val="0"/>
          <w:kern w:val="0"/>
          <w:sz w:val="18"/>
          <w:szCs w:val="26"/>
        </w:rPr>
      </w:pPr>
      <w:r w:rsidRPr="00ED6B1C">
        <w:rPr>
          <w:rFonts w:hint="cs"/>
          <w:spacing w:val="0"/>
          <w:kern w:val="0"/>
          <w:sz w:val="18"/>
          <w:szCs w:val="26"/>
          <w:rtl/>
        </w:rPr>
        <w:t>(</w:t>
      </w:r>
      <w:r w:rsidRPr="00ED6B1C">
        <w:rPr>
          <w:rFonts w:hint="cs"/>
          <w:spacing w:val="0"/>
          <w:kern w:val="0"/>
          <w:sz w:val="26"/>
          <w:szCs w:val="26"/>
          <w:rtl/>
        </w:rPr>
        <w:t>م</w:t>
      </w:r>
      <w:r w:rsidRPr="00ED6B1C">
        <w:rPr>
          <w:rFonts w:hint="cs"/>
          <w:spacing w:val="0"/>
          <w:kern w:val="0"/>
          <w:sz w:val="18"/>
          <w:szCs w:val="26"/>
          <w:rtl/>
        </w:rPr>
        <w:t>)</w:t>
      </w:r>
      <w:r w:rsidRPr="00ED6B1C">
        <w:rPr>
          <w:rFonts w:hint="cs"/>
          <w:spacing w:val="0"/>
          <w:kern w:val="0"/>
          <w:sz w:val="18"/>
          <w:szCs w:val="26"/>
          <w:rtl/>
        </w:rPr>
        <w:tab/>
      </w:r>
      <w:r w:rsidRPr="00ED6B1C">
        <w:rPr>
          <w:spacing w:val="0"/>
          <w:kern w:val="0"/>
          <w:sz w:val="18"/>
          <w:szCs w:val="26"/>
          <w:rtl/>
        </w:rPr>
        <w:t xml:space="preserve">انظر، ضمن بلاغات أخرى، البلاغ رقم 356/2008، </w:t>
      </w:r>
      <w:r w:rsidRPr="00ED6B1C">
        <w:rPr>
          <w:i/>
          <w:iCs/>
          <w:spacing w:val="0"/>
          <w:kern w:val="0"/>
          <w:sz w:val="18"/>
          <w:szCs w:val="26"/>
          <w:rtl/>
        </w:rPr>
        <w:t>ن. س. ضد سويسرا</w:t>
      </w:r>
      <w:r w:rsidRPr="00ED6B1C">
        <w:rPr>
          <w:spacing w:val="0"/>
          <w:kern w:val="0"/>
          <w:sz w:val="18"/>
          <w:szCs w:val="26"/>
          <w:rtl/>
        </w:rPr>
        <w:t>، القرار المعتمد في 6 أيار/</w:t>
      </w:r>
      <w:r w:rsidRPr="00ED6B1C">
        <w:rPr>
          <w:rFonts w:hint="cs"/>
          <w:spacing w:val="0"/>
          <w:kern w:val="0"/>
          <w:sz w:val="18"/>
          <w:szCs w:val="26"/>
          <w:rtl/>
        </w:rPr>
        <w:t xml:space="preserve"> </w:t>
      </w:r>
      <w:r w:rsidRPr="00ED6B1C">
        <w:rPr>
          <w:spacing w:val="0"/>
          <w:kern w:val="0"/>
          <w:sz w:val="18"/>
          <w:szCs w:val="26"/>
          <w:rtl/>
        </w:rPr>
        <w:t>مايو 2010، الفقرة 7-3.</w:t>
      </w:r>
    </w:p>
  </w:footnote>
  <w:footnote w:id="300">
    <w:p w:rsidR="00D64D4C" w:rsidRPr="00523D40" w:rsidRDefault="00D64D4C" w:rsidP="00523D40">
      <w:pPr>
        <w:pStyle w:val="FootnoteText"/>
        <w:numPr>
          <w:ilvl w:val="0"/>
          <w:numId w:val="57"/>
        </w:numPr>
        <w:tabs>
          <w:tab w:val="clear" w:pos="1297"/>
          <w:tab w:val="left" w:pos="1253"/>
        </w:tabs>
        <w:spacing w:after="60" w:line="300" w:lineRule="exact"/>
        <w:ind w:left="1248" w:right="1247"/>
        <w:jc w:val="lowKashida"/>
        <w:rPr>
          <w:rFonts w:hint="cs"/>
          <w:spacing w:val="0"/>
          <w:kern w:val="0"/>
          <w:sz w:val="18"/>
          <w:szCs w:val="26"/>
        </w:rPr>
      </w:pPr>
      <w:r w:rsidRPr="00523D40">
        <w:rPr>
          <w:rFonts w:hint="cs"/>
          <w:spacing w:val="0"/>
          <w:kern w:val="0"/>
          <w:sz w:val="18"/>
          <w:szCs w:val="26"/>
          <w:rtl/>
        </w:rPr>
        <w:t xml:space="preserve">المحكمة الإدارية الاتحادية في سويسرا، الحكم </w:t>
      </w:r>
      <w:r w:rsidRPr="00523D40">
        <w:rPr>
          <w:spacing w:val="0"/>
          <w:kern w:val="0"/>
          <w:sz w:val="18"/>
          <w:szCs w:val="26"/>
          <w:lang w:val="es-ES"/>
        </w:rPr>
        <w:t>E-368/2009</w:t>
      </w:r>
      <w:r w:rsidRPr="00523D40">
        <w:rPr>
          <w:rFonts w:hint="cs"/>
          <w:spacing w:val="0"/>
          <w:kern w:val="0"/>
          <w:sz w:val="18"/>
          <w:szCs w:val="26"/>
          <w:rtl/>
        </w:rPr>
        <w:t xml:space="preserve"> غير المنشور المؤرخ 12 شباط/فبراير 2009.</w:t>
      </w:r>
    </w:p>
  </w:footnote>
  <w:footnote w:id="301">
    <w:p w:rsidR="00D64D4C" w:rsidRPr="00523D40" w:rsidRDefault="00D64D4C" w:rsidP="00523D40">
      <w:pPr>
        <w:pStyle w:val="FootnoteText"/>
        <w:numPr>
          <w:ilvl w:val="0"/>
          <w:numId w:val="57"/>
        </w:numPr>
        <w:tabs>
          <w:tab w:val="clear" w:pos="1297"/>
          <w:tab w:val="left" w:pos="1253"/>
        </w:tabs>
        <w:spacing w:after="60" w:line="300" w:lineRule="exact"/>
        <w:ind w:left="1248" w:right="1247"/>
        <w:jc w:val="lowKashida"/>
        <w:rPr>
          <w:rFonts w:hint="cs"/>
          <w:spacing w:val="0"/>
          <w:kern w:val="0"/>
          <w:sz w:val="18"/>
          <w:szCs w:val="26"/>
        </w:rPr>
      </w:pPr>
      <w:r w:rsidRPr="00523D40">
        <w:rPr>
          <w:rFonts w:hint="cs"/>
          <w:spacing w:val="0"/>
          <w:kern w:val="0"/>
          <w:sz w:val="18"/>
          <w:szCs w:val="26"/>
          <w:rtl/>
        </w:rPr>
        <w:t>تقرير منظمة العفو الدولية 2009، إثيوبيا.</w:t>
      </w:r>
    </w:p>
  </w:footnote>
  <w:footnote w:id="302">
    <w:p w:rsidR="00D64D4C" w:rsidRPr="00523D40" w:rsidRDefault="00D64D4C" w:rsidP="00523D40">
      <w:pPr>
        <w:pStyle w:val="FootnoteText"/>
        <w:numPr>
          <w:ilvl w:val="0"/>
          <w:numId w:val="57"/>
        </w:numPr>
        <w:tabs>
          <w:tab w:val="clear" w:pos="1297"/>
          <w:tab w:val="left" w:pos="1253"/>
        </w:tabs>
        <w:spacing w:after="60" w:line="300" w:lineRule="exact"/>
        <w:ind w:left="1248" w:right="1247"/>
        <w:jc w:val="lowKashida"/>
        <w:rPr>
          <w:rFonts w:hint="cs"/>
          <w:spacing w:val="0"/>
          <w:kern w:val="0"/>
          <w:sz w:val="18"/>
          <w:szCs w:val="26"/>
        </w:rPr>
      </w:pPr>
      <w:r w:rsidRPr="00523D40">
        <w:rPr>
          <w:spacing w:val="0"/>
          <w:kern w:val="0"/>
          <w:sz w:val="18"/>
          <w:szCs w:val="26"/>
        </w:rPr>
        <w:t>Human Rights Watch, “An analysis of Ethiopia’s draft anti-terrorism law,” updated 30 June 2009</w:t>
      </w:r>
      <w:r w:rsidRPr="00523D40">
        <w:rPr>
          <w:spacing w:val="0"/>
          <w:kern w:val="0"/>
          <w:sz w:val="18"/>
          <w:szCs w:val="26"/>
          <w:rtl/>
        </w:rPr>
        <w:t>.</w:t>
      </w:r>
    </w:p>
  </w:footnote>
  <w:footnote w:id="303">
    <w:p w:rsidR="00D64D4C" w:rsidRPr="00523D40" w:rsidRDefault="00D64D4C" w:rsidP="00523D40">
      <w:pPr>
        <w:pStyle w:val="FootnoteText"/>
        <w:numPr>
          <w:ilvl w:val="0"/>
          <w:numId w:val="57"/>
        </w:numPr>
        <w:tabs>
          <w:tab w:val="clear" w:pos="1297"/>
          <w:tab w:val="left" w:pos="1253"/>
        </w:tabs>
        <w:spacing w:after="60" w:line="300" w:lineRule="exact"/>
        <w:ind w:left="1247" w:right="1247"/>
        <w:jc w:val="lowKashida"/>
        <w:rPr>
          <w:rFonts w:hint="cs"/>
          <w:spacing w:val="0"/>
          <w:kern w:val="0"/>
          <w:sz w:val="18"/>
          <w:szCs w:val="26"/>
        </w:rPr>
      </w:pPr>
      <w:r w:rsidRPr="00523D40">
        <w:rPr>
          <w:rFonts w:hint="cs"/>
          <w:spacing w:val="0"/>
          <w:kern w:val="0"/>
          <w:sz w:val="18"/>
          <w:szCs w:val="26"/>
          <w:rtl/>
        </w:rPr>
        <w:t>تشير الدولة الطرف إلى تعليق اللجنة العام رقم 1(1996) والبلاغين رقم 94/1997</w:t>
      </w:r>
      <w:r w:rsidRPr="00523D40">
        <w:rPr>
          <w:rFonts w:hint="cs"/>
          <w:i/>
          <w:iCs/>
          <w:spacing w:val="0"/>
          <w:kern w:val="0"/>
          <w:sz w:val="18"/>
          <w:szCs w:val="26"/>
          <w:rtl/>
        </w:rPr>
        <w:t>، ك. ن. ضد سويسرا</w:t>
      </w:r>
      <w:r w:rsidRPr="00523D40">
        <w:rPr>
          <w:rFonts w:hint="cs"/>
          <w:spacing w:val="0"/>
          <w:kern w:val="0"/>
          <w:sz w:val="18"/>
          <w:szCs w:val="26"/>
          <w:rtl/>
        </w:rPr>
        <w:t>، الفقرة 10-2، ورقم</w:t>
      </w:r>
      <w:r w:rsidRPr="00523D40">
        <w:rPr>
          <w:rFonts w:hint="eastAsia"/>
          <w:spacing w:val="0"/>
          <w:kern w:val="0"/>
          <w:sz w:val="18"/>
          <w:szCs w:val="26"/>
          <w:rtl/>
        </w:rPr>
        <w:t> </w:t>
      </w:r>
      <w:r w:rsidRPr="00523D40">
        <w:rPr>
          <w:rFonts w:hint="cs"/>
          <w:spacing w:val="0"/>
          <w:kern w:val="0"/>
          <w:sz w:val="18"/>
          <w:szCs w:val="26"/>
          <w:rtl/>
        </w:rPr>
        <w:t xml:space="preserve">100/1997، </w:t>
      </w:r>
      <w:r w:rsidRPr="00523D40">
        <w:rPr>
          <w:rFonts w:hint="cs"/>
          <w:i/>
          <w:iCs/>
          <w:spacing w:val="0"/>
          <w:kern w:val="0"/>
          <w:sz w:val="18"/>
          <w:szCs w:val="26"/>
          <w:rtl/>
        </w:rPr>
        <w:t>ج. ي. أ. ضد سويسرا</w:t>
      </w:r>
      <w:r w:rsidRPr="00523D40">
        <w:rPr>
          <w:rFonts w:hint="cs"/>
          <w:spacing w:val="0"/>
          <w:kern w:val="0"/>
          <w:sz w:val="18"/>
          <w:szCs w:val="26"/>
          <w:rtl/>
        </w:rPr>
        <w:t>، الفقرتان 6-3 و6-5.</w:t>
      </w:r>
    </w:p>
  </w:footnote>
  <w:footnote w:id="304">
    <w:p w:rsidR="00D64D4C" w:rsidRPr="00523D40" w:rsidRDefault="00D64D4C" w:rsidP="00523D40">
      <w:pPr>
        <w:pStyle w:val="FootnoteText"/>
        <w:tabs>
          <w:tab w:val="left" w:pos="1253"/>
        </w:tabs>
        <w:spacing w:after="60" w:line="300" w:lineRule="exact"/>
        <w:ind w:left="1253" w:right="1247" w:hanging="504"/>
        <w:jc w:val="lowKashida"/>
        <w:rPr>
          <w:rFonts w:hint="cs"/>
          <w:spacing w:val="0"/>
          <w:kern w:val="0"/>
          <w:sz w:val="18"/>
          <w:szCs w:val="26"/>
        </w:rPr>
      </w:pPr>
      <w:r w:rsidRPr="00523D40">
        <w:rPr>
          <w:rFonts w:hint="cs"/>
          <w:spacing w:val="0"/>
          <w:kern w:val="0"/>
          <w:sz w:val="18"/>
          <w:szCs w:val="26"/>
          <w:rtl/>
        </w:rPr>
        <w:t>(</w:t>
      </w:r>
      <w:r w:rsidRPr="00523D40">
        <w:rPr>
          <w:rFonts w:hint="cs"/>
          <w:spacing w:val="0"/>
          <w:kern w:val="0"/>
          <w:sz w:val="26"/>
          <w:szCs w:val="26"/>
          <w:rtl/>
        </w:rPr>
        <w:t>ﻫ</w:t>
      </w:r>
      <w:r w:rsidRPr="00523D40">
        <w:rPr>
          <w:rFonts w:hint="cs"/>
          <w:spacing w:val="0"/>
          <w:kern w:val="0"/>
          <w:sz w:val="18"/>
          <w:szCs w:val="26"/>
          <w:rtl/>
        </w:rPr>
        <w:t>)</w:t>
      </w:r>
      <w:r w:rsidRPr="00523D40">
        <w:rPr>
          <w:rFonts w:hint="cs"/>
          <w:spacing w:val="0"/>
          <w:kern w:val="0"/>
          <w:sz w:val="18"/>
          <w:szCs w:val="26"/>
          <w:rtl/>
        </w:rPr>
        <w:tab/>
        <w:t>تشير الدولة الطرف إلى</w:t>
      </w:r>
      <w:r w:rsidRPr="00523D40">
        <w:rPr>
          <w:spacing w:val="0"/>
          <w:kern w:val="0"/>
          <w:sz w:val="18"/>
          <w:szCs w:val="26"/>
        </w:rPr>
        <w:t>United Kingdom Border Agency, “Operational Guidance Note: Ethiopia," issued March 2009, para. 3.7.9"</w:t>
      </w:r>
      <w:r w:rsidRPr="00523D40">
        <w:rPr>
          <w:spacing w:val="0"/>
          <w:kern w:val="0"/>
          <w:sz w:val="18"/>
          <w:szCs w:val="26"/>
          <w:rtl/>
        </w:rPr>
        <w:t>.</w:t>
      </w:r>
    </w:p>
  </w:footnote>
  <w:footnote w:id="305">
    <w:p w:rsidR="00D64D4C" w:rsidRPr="00523D40" w:rsidRDefault="00D64D4C" w:rsidP="00523D40">
      <w:pPr>
        <w:pStyle w:val="FootnoteText"/>
        <w:tabs>
          <w:tab w:val="left" w:pos="1211"/>
        </w:tabs>
        <w:spacing w:after="60" w:line="300" w:lineRule="exact"/>
        <w:ind w:left="1211" w:right="1247" w:hanging="434"/>
        <w:jc w:val="lowKashida"/>
        <w:rPr>
          <w:rFonts w:hint="cs"/>
          <w:spacing w:val="0"/>
          <w:kern w:val="0"/>
          <w:sz w:val="18"/>
          <w:szCs w:val="26"/>
        </w:rPr>
      </w:pPr>
      <w:r w:rsidRPr="00523D40">
        <w:rPr>
          <w:rFonts w:hint="cs"/>
          <w:spacing w:val="0"/>
          <w:kern w:val="0"/>
          <w:sz w:val="18"/>
          <w:szCs w:val="26"/>
          <w:rtl/>
        </w:rPr>
        <w:t>(</w:t>
      </w:r>
      <w:r w:rsidRPr="00523D40">
        <w:rPr>
          <w:rFonts w:hint="cs"/>
          <w:spacing w:val="0"/>
          <w:kern w:val="0"/>
          <w:sz w:val="26"/>
          <w:szCs w:val="26"/>
          <w:rtl/>
        </w:rPr>
        <w:t>و</w:t>
      </w:r>
      <w:r w:rsidRPr="00523D40">
        <w:rPr>
          <w:rFonts w:hint="cs"/>
          <w:spacing w:val="0"/>
          <w:kern w:val="0"/>
          <w:sz w:val="18"/>
          <w:szCs w:val="26"/>
          <w:rtl/>
        </w:rPr>
        <w:t>)</w:t>
      </w:r>
      <w:r w:rsidRPr="00523D40">
        <w:rPr>
          <w:rFonts w:hint="cs"/>
          <w:spacing w:val="0"/>
          <w:kern w:val="0"/>
          <w:sz w:val="18"/>
          <w:szCs w:val="26"/>
          <w:rtl/>
        </w:rPr>
        <w:tab/>
      </w:r>
      <w:r w:rsidRPr="00523D40">
        <w:rPr>
          <w:rStyle w:val="FootnoteReference"/>
          <w:b w:val="0"/>
          <w:bCs/>
          <w:spacing w:val="0"/>
          <w:szCs w:val="26"/>
          <w:vertAlign w:val="baseline"/>
        </w:rPr>
        <w:t>Human Rights Watch</w:t>
      </w:r>
      <w:r w:rsidRPr="00523D40">
        <w:rPr>
          <w:b/>
          <w:bCs/>
          <w:spacing w:val="0"/>
          <w:kern w:val="0"/>
          <w:sz w:val="18"/>
          <w:szCs w:val="26"/>
        </w:rPr>
        <w:t>, “</w:t>
      </w:r>
      <w:r w:rsidRPr="00523D40">
        <w:rPr>
          <w:rStyle w:val="FootnoteReference"/>
          <w:b w:val="0"/>
          <w:bCs/>
          <w:spacing w:val="0"/>
          <w:szCs w:val="26"/>
          <w:vertAlign w:val="baseline"/>
        </w:rPr>
        <w:t>One hundred ways of putting pressure</w:t>
      </w:r>
      <w:r w:rsidRPr="00523D40">
        <w:rPr>
          <w:spacing w:val="0"/>
          <w:kern w:val="0"/>
          <w:sz w:val="18"/>
          <w:szCs w:val="26"/>
        </w:rPr>
        <w:t>: Violations of freedom of expression and association in Ethiopia</w:t>
      </w:r>
      <w:r w:rsidRPr="00523D40">
        <w:rPr>
          <w:rStyle w:val="FootnoteReference"/>
          <w:spacing w:val="0"/>
          <w:szCs w:val="26"/>
          <w:vertAlign w:val="baseline"/>
        </w:rPr>
        <w:t>,</w:t>
      </w:r>
      <w:r w:rsidRPr="00523D40">
        <w:rPr>
          <w:spacing w:val="0"/>
          <w:kern w:val="0"/>
          <w:sz w:val="18"/>
          <w:szCs w:val="26"/>
        </w:rPr>
        <w:t>”</w:t>
      </w:r>
      <w:r w:rsidRPr="00523D40">
        <w:rPr>
          <w:rStyle w:val="FootnoteReference"/>
          <w:spacing w:val="0"/>
          <w:szCs w:val="26"/>
          <w:vertAlign w:val="baseline"/>
        </w:rPr>
        <w:t xml:space="preserve"> </w:t>
      </w:r>
      <w:r w:rsidRPr="00523D40">
        <w:rPr>
          <w:rStyle w:val="FootnoteReference"/>
          <w:b w:val="0"/>
          <w:bCs/>
          <w:spacing w:val="0"/>
          <w:szCs w:val="26"/>
          <w:vertAlign w:val="baseline"/>
        </w:rPr>
        <w:t>March 2010</w:t>
      </w:r>
      <w:r w:rsidRPr="00523D40">
        <w:rPr>
          <w:rFonts w:hint="cs"/>
          <w:bCs/>
          <w:spacing w:val="0"/>
          <w:kern w:val="0"/>
          <w:sz w:val="18"/>
          <w:szCs w:val="26"/>
          <w:rtl/>
        </w:rPr>
        <w:t>.</w:t>
      </w:r>
    </w:p>
  </w:footnote>
  <w:footnote w:id="306">
    <w:p w:rsidR="00D64D4C" w:rsidRPr="00523D40" w:rsidRDefault="00D64D4C" w:rsidP="00523D40">
      <w:pPr>
        <w:pStyle w:val="FootnoteText"/>
        <w:spacing w:after="60" w:line="300" w:lineRule="exact"/>
        <w:ind w:left="1239" w:right="1247" w:hanging="504"/>
        <w:jc w:val="lowKashida"/>
        <w:rPr>
          <w:rFonts w:hint="cs"/>
          <w:spacing w:val="0"/>
          <w:kern w:val="0"/>
        </w:rPr>
      </w:pPr>
      <w:r w:rsidRPr="00523D40">
        <w:rPr>
          <w:rFonts w:hint="cs"/>
          <w:spacing w:val="0"/>
          <w:kern w:val="0"/>
          <w:sz w:val="18"/>
          <w:szCs w:val="26"/>
          <w:rtl/>
        </w:rPr>
        <w:t>(</w:t>
      </w:r>
      <w:r w:rsidRPr="00523D40">
        <w:rPr>
          <w:rFonts w:hint="cs"/>
          <w:spacing w:val="0"/>
          <w:kern w:val="0"/>
          <w:sz w:val="26"/>
          <w:szCs w:val="26"/>
          <w:rtl/>
        </w:rPr>
        <w:t>ز</w:t>
      </w:r>
      <w:r w:rsidRPr="00523D40">
        <w:rPr>
          <w:rFonts w:hint="cs"/>
          <w:spacing w:val="0"/>
          <w:kern w:val="0"/>
          <w:sz w:val="18"/>
          <w:szCs w:val="26"/>
          <w:rtl/>
        </w:rPr>
        <w:t>)</w:t>
      </w:r>
      <w:r w:rsidRPr="00523D40">
        <w:rPr>
          <w:rFonts w:hint="cs"/>
          <w:spacing w:val="0"/>
          <w:kern w:val="0"/>
          <w:sz w:val="18"/>
          <w:szCs w:val="26"/>
          <w:rtl/>
        </w:rPr>
        <w:tab/>
        <w:t xml:space="preserve">انظر </w:t>
      </w:r>
      <w:r w:rsidRPr="00523D40">
        <w:rPr>
          <w:spacing w:val="0"/>
          <w:kern w:val="0"/>
          <w:sz w:val="18"/>
          <w:szCs w:val="26"/>
        </w:rPr>
        <w:t>HRI/GEN/Rev.9</w:t>
      </w:r>
      <w:r w:rsidRPr="00523D40">
        <w:rPr>
          <w:rFonts w:hint="cs"/>
          <w:spacing w:val="0"/>
          <w:kern w:val="0"/>
          <w:sz w:val="18"/>
          <w:szCs w:val="26"/>
          <w:rtl/>
        </w:rPr>
        <w:t>.</w:t>
      </w:r>
    </w:p>
  </w:footnote>
  <w:footnote w:id="307">
    <w:p w:rsidR="00D64D4C" w:rsidRPr="00523D40" w:rsidRDefault="00D64D4C" w:rsidP="00523D40">
      <w:pPr>
        <w:pStyle w:val="FootnoteText"/>
        <w:tabs>
          <w:tab w:val="left" w:pos="1253"/>
        </w:tabs>
        <w:spacing w:after="60" w:line="300" w:lineRule="exact"/>
        <w:ind w:left="1253" w:right="1247" w:hanging="406"/>
        <w:jc w:val="lowKashida"/>
        <w:rPr>
          <w:rFonts w:hint="cs"/>
          <w:spacing w:val="0"/>
          <w:kern w:val="0"/>
          <w:sz w:val="18"/>
          <w:szCs w:val="26"/>
        </w:rPr>
      </w:pPr>
      <w:r w:rsidRPr="00523D40">
        <w:rPr>
          <w:rFonts w:hint="cs"/>
          <w:spacing w:val="0"/>
          <w:kern w:val="0"/>
          <w:sz w:val="18"/>
          <w:szCs w:val="26"/>
          <w:rtl/>
        </w:rPr>
        <w:t>(</w:t>
      </w:r>
      <w:r w:rsidRPr="00523D40">
        <w:rPr>
          <w:rFonts w:hint="cs"/>
          <w:spacing w:val="0"/>
          <w:kern w:val="0"/>
          <w:sz w:val="26"/>
          <w:szCs w:val="26"/>
          <w:rtl/>
        </w:rPr>
        <w:t>ح</w:t>
      </w:r>
      <w:r w:rsidRPr="00523D40">
        <w:rPr>
          <w:rFonts w:hint="cs"/>
          <w:spacing w:val="0"/>
          <w:kern w:val="0"/>
          <w:sz w:val="18"/>
          <w:szCs w:val="26"/>
          <w:rtl/>
        </w:rPr>
        <w:t>)</w:t>
      </w:r>
      <w:r w:rsidRPr="00523D40">
        <w:rPr>
          <w:rFonts w:hint="cs"/>
          <w:spacing w:val="0"/>
          <w:kern w:val="0"/>
          <w:sz w:val="18"/>
          <w:szCs w:val="26"/>
          <w:rtl/>
        </w:rPr>
        <w:tab/>
        <w:t xml:space="preserve">انظر، في جملة أمور، البلاغين رقم 258/2004، </w:t>
      </w:r>
      <w:r w:rsidRPr="00523D40">
        <w:rPr>
          <w:rFonts w:hint="cs"/>
          <w:i/>
          <w:iCs/>
          <w:spacing w:val="0"/>
          <w:kern w:val="0"/>
          <w:sz w:val="18"/>
          <w:szCs w:val="26"/>
          <w:rtl/>
        </w:rPr>
        <w:t>دادار ضد كندا</w:t>
      </w:r>
      <w:r w:rsidRPr="00523D40">
        <w:rPr>
          <w:rFonts w:hint="cs"/>
          <w:spacing w:val="0"/>
          <w:kern w:val="0"/>
          <w:sz w:val="18"/>
          <w:szCs w:val="26"/>
          <w:rtl/>
        </w:rPr>
        <w:t xml:space="preserve">، القرار المعتمد في 23 تشرين الثاني/نوفمبر 2005؛ ورقم 226/2003، </w:t>
      </w:r>
      <w:r w:rsidRPr="00523D40">
        <w:rPr>
          <w:rFonts w:hint="cs"/>
          <w:i/>
          <w:iCs/>
          <w:spacing w:val="0"/>
          <w:kern w:val="0"/>
          <w:sz w:val="18"/>
          <w:szCs w:val="26"/>
          <w:rtl/>
        </w:rPr>
        <w:t>ث. أ. ضد السويد،</w:t>
      </w:r>
      <w:r w:rsidRPr="00523D40">
        <w:rPr>
          <w:rFonts w:hint="cs"/>
          <w:spacing w:val="0"/>
          <w:kern w:val="0"/>
          <w:sz w:val="18"/>
          <w:szCs w:val="26"/>
          <w:rtl/>
        </w:rPr>
        <w:t xml:space="preserve"> القرار المعتمد في 6 أيار/مايو 2005.</w:t>
      </w:r>
    </w:p>
  </w:footnote>
  <w:footnote w:id="308">
    <w:p w:rsidR="00D64D4C" w:rsidRPr="00523D40" w:rsidRDefault="00D64D4C" w:rsidP="00523D40">
      <w:pPr>
        <w:pStyle w:val="FootnoteText"/>
        <w:tabs>
          <w:tab w:val="left" w:pos="1253"/>
        </w:tabs>
        <w:spacing w:after="60" w:line="300" w:lineRule="exact"/>
        <w:ind w:left="1253" w:right="1247" w:hanging="406"/>
        <w:jc w:val="lowKashida"/>
        <w:rPr>
          <w:rFonts w:hint="cs"/>
          <w:spacing w:val="0"/>
          <w:kern w:val="0"/>
          <w:sz w:val="18"/>
        </w:rPr>
      </w:pPr>
      <w:r w:rsidRPr="00523D40">
        <w:rPr>
          <w:rFonts w:hint="cs"/>
          <w:spacing w:val="0"/>
          <w:kern w:val="0"/>
          <w:sz w:val="18"/>
          <w:szCs w:val="26"/>
          <w:rtl/>
        </w:rPr>
        <w:t>(</w:t>
      </w:r>
      <w:r w:rsidRPr="00523D40">
        <w:rPr>
          <w:rFonts w:hint="cs"/>
          <w:spacing w:val="0"/>
          <w:kern w:val="0"/>
          <w:sz w:val="26"/>
          <w:szCs w:val="26"/>
          <w:rtl/>
        </w:rPr>
        <w:t>ط</w:t>
      </w:r>
      <w:r w:rsidRPr="00523D40">
        <w:rPr>
          <w:rFonts w:hint="cs"/>
          <w:spacing w:val="0"/>
          <w:kern w:val="0"/>
          <w:sz w:val="18"/>
          <w:szCs w:val="26"/>
          <w:rtl/>
        </w:rPr>
        <w:t>)</w:t>
      </w:r>
      <w:r w:rsidRPr="00523D40">
        <w:rPr>
          <w:rFonts w:hint="cs"/>
          <w:spacing w:val="0"/>
          <w:kern w:val="0"/>
          <w:sz w:val="18"/>
          <w:szCs w:val="26"/>
          <w:rtl/>
        </w:rPr>
        <w:tab/>
        <w:t>تشير اللجنة إلى أن إثيوبيا هي أيضاً دولة طرف في اتفاقية مناهضة التعذيب وغيره من ضروب المعاملة أو</w:t>
      </w:r>
      <w:r>
        <w:rPr>
          <w:rFonts w:hint="eastAsia"/>
          <w:spacing w:val="0"/>
          <w:kern w:val="0"/>
          <w:sz w:val="18"/>
          <w:szCs w:val="26"/>
          <w:rtl/>
        </w:rPr>
        <w:t> </w:t>
      </w:r>
      <w:r w:rsidRPr="00523D40">
        <w:rPr>
          <w:rFonts w:hint="cs"/>
          <w:spacing w:val="0"/>
          <w:kern w:val="0"/>
          <w:sz w:val="18"/>
          <w:szCs w:val="26"/>
          <w:rtl/>
        </w:rPr>
        <w:t xml:space="preserve">العقوبة القاسية أو اللاإنسانية أو المهينة، وتذكّر بملاحظاتها الختامية لعام 2011 </w:t>
      </w:r>
      <w:r w:rsidRPr="00523D40">
        <w:rPr>
          <w:spacing w:val="0"/>
          <w:kern w:val="0"/>
          <w:sz w:val="18"/>
          <w:szCs w:val="26"/>
        </w:rPr>
        <w:t>(CAT/C/ETH/CO/1)</w:t>
      </w:r>
      <w:r w:rsidRPr="00523D40">
        <w:rPr>
          <w:rFonts w:hint="cs"/>
          <w:spacing w:val="0"/>
          <w:kern w:val="0"/>
          <w:sz w:val="18"/>
          <w:szCs w:val="26"/>
          <w:rtl/>
        </w:rPr>
        <w:t>، الفقرات من 10 إلى 14.</w:t>
      </w:r>
    </w:p>
  </w:footnote>
  <w:footnote w:id="309">
    <w:p w:rsidR="00D64D4C" w:rsidRPr="00F040E7" w:rsidRDefault="00D64D4C" w:rsidP="00F040E7">
      <w:pPr>
        <w:pStyle w:val="FootnoteText"/>
        <w:numPr>
          <w:ilvl w:val="0"/>
          <w:numId w:val="58"/>
        </w:numPr>
        <w:tabs>
          <w:tab w:val="clear" w:pos="1293"/>
          <w:tab w:val="num" w:pos="1253"/>
        </w:tabs>
        <w:spacing w:after="60" w:line="300" w:lineRule="exact"/>
        <w:ind w:left="1248" w:right="1247"/>
        <w:jc w:val="lowKashida"/>
        <w:rPr>
          <w:spacing w:val="-4"/>
          <w:kern w:val="0"/>
          <w:sz w:val="18"/>
          <w:szCs w:val="26"/>
        </w:rPr>
      </w:pPr>
      <w:r w:rsidRPr="00F040E7">
        <w:rPr>
          <w:rFonts w:hint="cs"/>
          <w:spacing w:val="-4"/>
          <w:kern w:val="0"/>
          <w:sz w:val="18"/>
          <w:szCs w:val="26"/>
          <w:rtl/>
        </w:rPr>
        <w:t>تلقت</w:t>
      </w:r>
      <w:r w:rsidRPr="00F040E7">
        <w:rPr>
          <w:rFonts w:hint="cs"/>
          <w:spacing w:val="-4"/>
          <w:kern w:val="0"/>
          <w:sz w:val="18"/>
          <w:szCs w:val="26"/>
          <w:rtl/>
          <w:lang w:val="fr-CH"/>
        </w:rPr>
        <w:t xml:space="preserve"> السلطات السويسرية تقريراً طبياً من قسم الأمراض النفسية بمستشفى سولير بتاريخ 29 أيار/مايو 2009 دعما لهذا الطعن. </w:t>
      </w:r>
    </w:p>
  </w:footnote>
  <w:footnote w:id="310">
    <w:p w:rsidR="00D64D4C" w:rsidRPr="00F040E7" w:rsidRDefault="00D64D4C" w:rsidP="00F040E7">
      <w:pPr>
        <w:pStyle w:val="FootnoteText"/>
        <w:numPr>
          <w:ilvl w:val="0"/>
          <w:numId w:val="58"/>
        </w:numPr>
        <w:tabs>
          <w:tab w:val="clear" w:pos="1293"/>
          <w:tab w:val="num" w:pos="1253"/>
        </w:tabs>
        <w:spacing w:after="60" w:line="300" w:lineRule="exact"/>
        <w:ind w:left="1248" w:right="1247"/>
        <w:jc w:val="lowKashida"/>
        <w:rPr>
          <w:rFonts w:hint="cs"/>
          <w:spacing w:val="0"/>
          <w:kern w:val="0"/>
          <w:sz w:val="18"/>
          <w:szCs w:val="26"/>
          <w:rtl/>
          <w:lang w:val="fr-FR"/>
        </w:rPr>
      </w:pPr>
      <w:r w:rsidRPr="00F040E7">
        <w:rPr>
          <w:rFonts w:hint="cs"/>
          <w:spacing w:val="0"/>
          <w:kern w:val="0"/>
          <w:sz w:val="18"/>
          <w:szCs w:val="26"/>
          <w:rtl/>
        </w:rPr>
        <w:t>يفيد تقرير</w:t>
      </w:r>
      <w:r w:rsidRPr="00F040E7">
        <w:rPr>
          <w:rFonts w:hint="cs"/>
          <w:spacing w:val="0"/>
          <w:kern w:val="0"/>
          <w:sz w:val="18"/>
          <w:szCs w:val="26"/>
          <w:rtl/>
          <w:lang w:val="fr-CH"/>
        </w:rPr>
        <w:t xml:space="preserve"> </w:t>
      </w:r>
      <w:r w:rsidRPr="00F040E7">
        <w:rPr>
          <w:rFonts w:hint="cs"/>
          <w:spacing w:val="0"/>
          <w:kern w:val="0"/>
          <w:sz w:val="18"/>
          <w:szCs w:val="26"/>
          <w:rtl/>
          <w:lang/>
        </w:rPr>
        <w:t>المنظمة السويسرية لمساعدة اللاجئين</w:t>
      </w:r>
      <w:r w:rsidRPr="00F040E7">
        <w:rPr>
          <w:rFonts w:hint="cs"/>
          <w:spacing w:val="0"/>
          <w:kern w:val="0"/>
          <w:sz w:val="18"/>
          <w:szCs w:val="26"/>
          <w:rtl/>
        </w:rPr>
        <w:t xml:space="preserve"> بأن المعارضين التابعين لحزب اتحاد القوى من أجل التغيير الذين لا يمارسون نشاطا</w:t>
      </w:r>
      <w:r w:rsidRPr="00F040E7">
        <w:rPr>
          <w:rFonts w:hint="cs"/>
          <w:spacing w:val="0"/>
          <w:kern w:val="0"/>
          <w:sz w:val="18"/>
          <w:szCs w:val="26"/>
          <w:rtl/>
          <w:lang w:val="fr-CH"/>
        </w:rPr>
        <w:t>ً</w:t>
      </w:r>
      <w:r w:rsidRPr="00F040E7">
        <w:rPr>
          <w:rFonts w:hint="cs"/>
          <w:spacing w:val="0"/>
          <w:kern w:val="0"/>
          <w:sz w:val="18"/>
          <w:szCs w:val="26"/>
          <w:rtl/>
        </w:rPr>
        <w:t xml:space="preserve"> سياسيا</w:t>
      </w:r>
      <w:r w:rsidRPr="00F040E7">
        <w:rPr>
          <w:rFonts w:hint="cs"/>
          <w:spacing w:val="0"/>
          <w:kern w:val="0"/>
          <w:sz w:val="18"/>
          <w:szCs w:val="26"/>
          <w:rtl/>
          <w:lang w:val="fr-CH"/>
        </w:rPr>
        <w:t>ً</w:t>
      </w:r>
      <w:r w:rsidRPr="00F040E7">
        <w:rPr>
          <w:rFonts w:hint="cs"/>
          <w:spacing w:val="0"/>
          <w:kern w:val="0"/>
          <w:sz w:val="18"/>
          <w:szCs w:val="26"/>
          <w:rtl/>
        </w:rPr>
        <w:t xml:space="preserve"> يتعرضون لأعمال انتقامية من جانب الحكومة وأن الذين هربوا من توغو إلى بنن أو غانا يخضعون للمراقبة بمزيد من الارتياب، انظر تقرير </w:t>
      </w:r>
      <w:r w:rsidRPr="00F040E7">
        <w:rPr>
          <w:rFonts w:hint="cs"/>
          <w:spacing w:val="0"/>
          <w:kern w:val="0"/>
          <w:sz w:val="18"/>
          <w:szCs w:val="26"/>
          <w:rtl/>
          <w:lang/>
        </w:rPr>
        <w:t>المنظمة السويسرية لمساعدة اللاجئين:</w:t>
      </w:r>
      <w:r w:rsidRPr="00F040E7">
        <w:rPr>
          <w:color w:val="000000"/>
          <w:spacing w:val="0"/>
          <w:kern w:val="0"/>
          <w:sz w:val="18"/>
          <w:szCs w:val="26"/>
          <w:lang w:val="fr-FR" w:eastAsia="en-GB"/>
        </w:rPr>
        <w:t>« Togo : Mitgliedschaft bei der Union des Forces du Changement (UFC), Auskunft der SFH-Länderanalyse », Alexandra Geiser (Bern, 18 mai 2009), p. 6</w:t>
      </w:r>
      <w:r w:rsidRPr="00F040E7">
        <w:rPr>
          <w:rFonts w:hint="cs"/>
          <w:spacing w:val="0"/>
          <w:kern w:val="0"/>
          <w:sz w:val="18"/>
          <w:szCs w:val="26"/>
          <w:rtl/>
          <w:lang w:val="fr-FR"/>
        </w:rPr>
        <w:t>.</w:t>
      </w:r>
    </w:p>
  </w:footnote>
  <w:footnote w:id="311">
    <w:p w:rsidR="00D64D4C" w:rsidRPr="00F040E7" w:rsidRDefault="00D64D4C" w:rsidP="00F040E7">
      <w:pPr>
        <w:pStyle w:val="FootnoteText"/>
        <w:numPr>
          <w:ilvl w:val="0"/>
          <w:numId w:val="58"/>
        </w:numPr>
        <w:tabs>
          <w:tab w:val="clear" w:pos="1293"/>
          <w:tab w:val="num" w:pos="1253"/>
        </w:tabs>
        <w:spacing w:after="60" w:line="300" w:lineRule="exact"/>
        <w:ind w:left="1248" w:right="1247"/>
        <w:jc w:val="lowKashida"/>
        <w:rPr>
          <w:spacing w:val="0"/>
          <w:kern w:val="0"/>
          <w:sz w:val="18"/>
          <w:szCs w:val="26"/>
        </w:rPr>
      </w:pPr>
      <w:r w:rsidRPr="00F040E7">
        <w:rPr>
          <w:rFonts w:hint="cs"/>
          <w:spacing w:val="0"/>
          <w:kern w:val="0"/>
          <w:sz w:val="18"/>
          <w:szCs w:val="26"/>
          <w:rtl/>
        </w:rPr>
        <w:t>يتعلق الحكم</w:t>
      </w:r>
      <w:r w:rsidRPr="00F040E7">
        <w:rPr>
          <w:rFonts w:hint="cs"/>
          <w:spacing w:val="0"/>
          <w:kern w:val="0"/>
          <w:sz w:val="18"/>
          <w:szCs w:val="26"/>
          <w:rtl/>
          <w:lang w:val="fr-CH"/>
        </w:rPr>
        <w:t xml:space="preserve"> الصادر من المحكمة الإدارية في براونشفايغ في 25 شباط/فبراير 2009 والحكم الصادر من المحكمة الإدارية العليا في نيدرساخن (ألمانيا) في 22 حزيران/يونيه 2009 </w:t>
      </w:r>
      <w:r w:rsidRPr="00F040E7">
        <w:rPr>
          <w:rFonts w:hint="cs"/>
          <w:spacing w:val="0"/>
          <w:kern w:val="0"/>
          <w:sz w:val="18"/>
          <w:szCs w:val="26"/>
          <w:rtl/>
        </w:rPr>
        <w:t>بشخص التمس اللجوء ويخشى الترحيل إلى توغو (مرفقان بالشكوى المعروضة على اللجنة).</w:t>
      </w:r>
    </w:p>
  </w:footnote>
  <w:footnote w:id="312">
    <w:p w:rsidR="00D64D4C" w:rsidRPr="00F040E7" w:rsidRDefault="00D64D4C" w:rsidP="00523D40">
      <w:pPr>
        <w:pStyle w:val="FootnoteText"/>
        <w:numPr>
          <w:ilvl w:val="0"/>
          <w:numId w:val="58"/>
        </w:numPr>
        <w:tabs>
          <w:tab w:val="left" w:pos="1239"/>
        </w:tabs>
        <w:spacing w:after="60" w:line="300" w:lineRule="exact"/>
        <w:ind w:right="1247"/>
        <w:jc w:val="lowKashida"/>
        <w:rPr>
          <w:spacing w:val="0"/>
          <w:kern w:val="0"/>
          <w:sz w:val="18"/>
          <w:szCs w:val="26"/>
        </w:rPr>
      </w:pPr>
      <w:r w:rsidRPr="00F040E7">
        <w:rPr>
          <w:rFonts w:hint="cs"/>
          <w:spacing w:val="0"/>
          <w:kern w:val="0"/>
          <w:sz w:val="18"/>
          <w:szCs w:val="26"/>
          <w:rtl/>
        </w:rPr>
        <w:t>لا يشير صاحب الشكوى إلى سوابق قضائية معينة بالتحديد.</w:t>
      </w:r>
    </w:p>
  </w:footnote>
  <w:footnote w:id="313">
    <w:p w:rsidR="00D64D4C" w:rsidRPr="00F040E7" w:rsidRDefault="00D64D4C" w:rsidP="00F040E7">
      <w:pPr>
        <w:pStyle w:val="FootnoteText"/>
        <w:tabs>
          <w:tab w:val="left" w:pos="1239"/>
        </w:tabs>
        <w:spacing w:after="60" w:line="300" w:lineRule="exact"/>
        <w:ind w:left="1211" w:right="1247" w:hanging="420"/>
        <w:jc w:val="lowKashida"/>
        <w:rPr>
          <w:spacing w:val="0"/>
          <w:kern w:val="0"/>
          <w:sz w:val="18"/>
          <w:szCs w:val="26"/>
        </w:rPr>
      </w:pPr>
      <w:r w:rsidRPr="00F040E7">
        <w:rPr>
          <w:rFonts w:hint="cs"/>
          <w:spacing w:val="0"/>
          <w:kern w:val="0"/>
          <w:sz w:val="18"/>
          <w:szCs w:val="26"/>
          <w:rtl/>
        </w:rPr>
        <w:t>(</w:t>
      </w:r>
      <w:r w:rsidRPr="00F040E7">
        <w:rPr>
          <w:rFonts w:hint="cs"/>
          <w:spacing w:val="0"/>
          <w:kern w:val="0"/>
          <w:sz w:val="26"/>
          <w:szCs w:val="26"/>
          <w:rtl/>
        </w:rPr>
        <w:t>ﻫ</w:t>
      </w:r>
      <w:r w:rsidRPr="00F040E7">
        <w:rPr>
          <w:rFonts w:hint="cs"/>
          <w:spacing w:val="0"/>
          <w:kern w:val="0"/>
          <w:sz w:val="18"/>
          <w:szCs w:val="26"/>
          <w:rtl/>
        </w:rPr>
        <w:t>)</w:t>
      </w:r>
      <w:r w:rsidRPr="00F040E7">
        <w:rPr>
          <w:rFonts w:hint="cs"/>
          <w:spacing w:val="0"/>
          <w:kern w:val="0"/>
          <w:sz w:val="18"/>
          <w:szCs w:val="26"/>
          <w:rtl/>
        </w:rPr>
        <w:tab/>
      </w:r>
      <w:r w:rsidRPr="00F040E7">
        <w:rPr>
          <w:rFonts w:hint="cs"/>
          <w:i/>
          <w:iCs/>
          <w:spacing w:val="0"/>
          <w:kern w:val="0"/>
          <w:sz w:val="18"/>
          <w:szCs w:val="26"/>
          <w:rtl/>
        </w:rPr>
        <w:t>الوثائق الرسمية للجمعية العامة، الدورة الثالثة والخمسون، الملحق رقم 44</w:t>
      </w:r>
      <w:r w:rsidRPr="00F040E7">
        <w:rPr>
          <w:rFonts w:hint="cs"/>
          <w:spacing w:val="0"/>
          <w:kern w:val="0"/>
          <w:sz w:val="18"/>
          <w:szCs w:val="26"/>
          <w:rtl/>
        </w:rPr>
        <w:t xml:space="preserve"> </w:t>
      </w:r>
      <w:r w:rsidRPr="00F040E7">
        <w:rPr>
          <w:spacing w:val="0"/>
          <w:kern w:val="0"/>
          <w:sz w:val="18"/>
          <w:szCs w:val="26"/>
        </w:rPr>
        <w:t>(A/53/44)</w:t>
      </w:r>
      <w:r w:rsidRPr="00F040E7">
        <w:rPr>
          <w:rFonts w:hint="cs"/>
          <w:spacing w:val="0"/>
          <w:kern w:val="0"/>
          <w:sz w:val="18"/>
          <w:szCs w:val="26"/>
          <w:rtl/>
        </w:rPr>
        <w:t>.</w:t>
      </w:r>
    </w:p>
  </w:footnote>
  <w:footnote w:id="314">
    <w:p w:rsidR="00D64D4C" w:rsidRPr="007E24CC" w:rsidRDefault="00D64D4C" w:rsidP="00F040E7">
      <w:pPr>
        <w:pStyle w:val="FootnoteText"/>
        <w:tabs>
          <w:tab w:val="left" w:pos="1239"/>
        </w:tabs>
        <w:spacing w:after="60" w:line="300" w:lineRule="exact"/>
        <w:ind w:left="1239" w:right="1247" w:hanging="406"/>
        <w:jc w:val="lowKashida"/>
        <w:rPr>
          <w:sz w:val="18"/>
          <w:szCs w:val="26"/>
        </w:rPr>
      </w:pPr>
      <w:r>
        <w:rPr>
          <w:rFonts w:hint="cs"/>
          <w:sz w:val="18"/>
          <w:szCs w:val="26"/>
          <w:rtl/>
        </w:rPr>
        <w:t>(</w:t>
      </w:r>
      <w:r>
        <w:rPr>
          <w:rFonts w:hint="cs"/>
          <w:sz w:val="26"/>
          <w:szCs w:val="26"/>
          <w:rtl/>
        </w:rPr>
        <w:t>و</w:t>
      </w:r>
      <w:r>
        <w:rPr>
          <w:rFonts w:hint="cs"/>
          <w:sz w:val="18"/>
          <w:szCs w:val="26"/>
          <w:rtl/>
        </w:rPr>
        <w:t>)</w:t>
      </w:r>
      <w:r>
        <w:rPr>
          <w:rFonts w:hint="cs"/>
          <w:sz w:val="18"/>
          <w:szCs w:val="26"/>
          <w:rtl/>
        </w:rPr>
        <w:tab/>
      </w:r>
      <w:r w:rsidRPr="007E24CC">
        <w:rPr>
          <w:rFonts w:hint="cs"/>
          <w:sz w:val="18"/>
          <w:szCs w:val="26"/>
          <w:rtl/>
        </w:rPr>
        <w:t>المرجع نفسه.</w:t>
      </w:r>
    </w:p>
  </w:footnote>
  <w:footnote w:id="315">
    <w:p w:rsidR="00D64D4C" w:rsidRPr="00F040E7" w:rsidRDefault="00D64D4C" w:rsidP="00F040E7">
      <w:pPr>
        <w:pStyle w:val="FootnoteText"/>
        <w:tabs>
          <w:tab w:val="left" w:pos="1239"/>
        </w:tabs>
        <w:spacing w:after="60" w:line="300" w:lineRule="exact"/>
        <w:ind w:left="1239" w:right="1247" w:hanging="462"/>
        <w:jc w:val="lowKashida"/>
        <w:rPr>
          <w:spacing w:val="0"/>
          <w:kern w:val="0"/>
          <w:sz w:val="18"/>
          <w:szCs w:val="26"/>
        </w:rPr>
      </w:pPr>
      <w:r w:rsidRPr="00F040E7">
        <w:rPr>
          <w:rFonts w:hint="cs"/>
          <w:spacing w:val="0"/>
          <w:kern w:val="0"/>
          <w:sz w:val="18"/>
          <w:szCs w:val="26"/>
          <w:rtl/>
        </w:rPr>
        <w:t>(</w:t>
      </w:r>
      <w:r w:rsidRPr="00F040E7">
        <w:rPr>
          <w:rFonts w:hint="cs"/>
          <w:spacing w:val="0"/>
          <w:kern w:val="0"/>
          <w:sz w:val="26"/>
          <w:szCs w:val="26"/>
          <w:rtl/>
        </w:rPr>
        <w:t>ز</w:t>
      </w:r>
      <w:r w:rsidRPr="00F040E7">
        <w:rPr>
          <w:rFonts w:hint="cs"/>
          <w:spacing w:val="0"/>
          <w:kern w:val="0"/>
          <w:sz w:val="18"/>
          <w:szCs w:val="26"/>
          <w:rtl/>
        </w:rPr>
        <w:t>)</w:t>
      </w:r>
      <w:r w:rsidRPr="00F040E7">
        <w:rPr>
          <w:rFonts w:hint="cs"/>
          <w:spacing w:val="0"/>
          <w:kern w:val="0"/>
          <w:sz w:val="18"/>
          <w:szCs w:val="26"/>
          <w:rtl/>
        </w:rPr>
        <w:tab/>
      </w:r>
      <w:r w:rsidRPr="00F040E7">
        <w:rPr>
          <w:spacing w:val="0"/>
          <w:kern w:val="0"/>
          <w:sz w:val="18"/>
          <w:szCs w:val="26"/>
          <w:rtl/>
        </w:rPr>
        <w:t xml:space="preserve">البلاغ رقم </w:t>
      </w:r>
      <w:r w:rsidRPr="00F040E7">
        <w:rPr>
          <w:rFonts w:hint="cs"/>
          <w:spacing w:val="0"/>
          <w:kern w:val="0"/>
          <w:sz w:val="18"/>
          <w:szCs w:val="26"/>
          <w:rtl/>
        </w:rPr>
        <w:t>282</w:t>
      </w:r>
      <w:r w:rsidRPr="00F040E7">
        <w:rPr>
          <w:spacing w:val="0"/>
          <w:kern w:val="0"/>
          <w:sz w:val="18"/>
          <w:szCs w:val="26"/>
          <w:rtl/>
        </w:rPr>
        <w:t>/</w:t>
      </w:r>
      <w:r w:rsidRPr="00F040E7">
        <w:rPr>
          <w:rFonts w:hint="cs"/>
          <w:spacing w:val="0"/>
          <w:kern w:val="0"/>
          <w:sz w:val="18"/>
          <w:szCs w:val="26"/>
          <w:rtl/>
        </w:rPr>
        <w:t>2005</w:t>
      </w:r>
      <w:r w:rsidRPr="00F040E7">
        <w:rPr>
          <w:spacing w:val="0"/>
          <w:kern w:val="0"/>
          <w:sz w:val="18"/>
          <w:szCs w:val="26"/>
          <w:rtl/>
        </w:rPr>
        <w:t xml:space="preserve">، </w:t>
      </w:r>
      <w:r w:rsidRPr="00F040E7">
        <w:rPr>
          <w:rFonts w:hint="cs"/>
          <w:i/>
          <w:iCs/>
          <w:spacing w:val="0"/>
          <w:kern w:val="0"/>
          <w:sz w:val="18"/>
          <w:szCs w:val="26"/>
          <w:rtl/>
        </w:rPr>
        <w:t>س</w:t>
      </w:r>
      <w:r w:rsidRPr="00F040E7">
        <w:rPr>
          <w:i/>
          <w:iCs/>
          <w:spacing w:val="0"/>
          <w:kern w:val="0"/>
          <w:sz w:val="18"/>
          <w:szCs w:val="26"/>
          <w:rtl/>
        </w:rPr>
        <w:t>.</w:t>
      </w:r>
      <w:r w:rsidRPr="00F040E7">
        <w:rPr>
          <w:rFonts w:hint="cs"/>
          <w:i/>
          <w:iCs/>
          <w:spacing w:val="0"/>
          <w:kern w:val="0"/>
          <w:sz w:val="18"/>
          <w:szCs w:val="26"/>
          <w:rtl/>
        </w:rPr>
        <w:t xml:space="preserve"> ب</w:t>
      </w:r>
      <w:r w:rsidRPr="00F040E7">
        <w:rPr>
          <w:i/>
          <w:iCs/>
          <w:spacing w:val="0"/>
          <w:kern w:val="0"/>
          <w:sz w:val="18"/>
          <w:szCs w:val="26"/>
          <w:rtl/>
        </w:rPr>
        <w:t>.</w:t>
      </w:r>
      <w:r w:rsidRPr="00F040E7">
        <w:rPr>
          <w:rFonts w:hint="cs"/>
          <w:i/>
          <w:iCs/>
          <w:spacing w:val="0"/>
          <w:kern w:val="0"/>
          <w:sz w:val="18"/>
          <w:szCs w:val="26"/>
          <w:rtl/>
        </w:rPr>
        <w:t xml:space="preserve"> أ</w:t>
      </w:r>
      <w:r>
        <w:rPr>
          <w:rFonts w:hint="cs"/>
          <w:i/>
          <w:iCs/>
          <w:spacing w:val="0"/>
          <w:kern w:val="0"/>
          <w:sz w:val="18"/>
          <w:szCs w:val="26"/>
          <w:rtl/>
        </w:rPr>
        <w:t>.</w:t>
      </w:r>
      <w:r w:rsidRPr="00F040E7">
        <w:rPr>
          <w:i/>
          <w:iCs/>
          <w:spacing w:val="0"/>
          <w:kern w:val="0"/>
          <w:sz w:val="18"/>
          <w:szCs w:val="26"/>
          <w:rtl/>
        </w:rPr>
        <w:t xml:space="preserve"> ضد </w:t>
      </w:r>
      <w:r w:rsidRPr="00F040E7">
        <w:rPr>
          <w:rFonts w:hint="cs"/>
          <w:i/>
          <w:iCs/>
          <w:spacing w:val="0"/>
          <w:kern w:val="0"/>
          <w:sz w:val="18"/>
          <w:szCs w:val="26"/>
          <w:rtl/>
        </w:rPr>
        <w:t>كندا</w:t>
      </w:r>
      <w:r w:rsidRPr="00F040E7">
        <w:rPr>
          <w:i/>
          <w:iCs/>
          <w:spacing w:val="0"/>
          <w:kern w:val="0"/>
          <w:sz w:val="18"/>
          <w:szCs w:val="26"/>
          <w:rtl/>
        </w:rPr>
        <w:t>،</w:t>
      </w:r>
      <w:r w:rsidRPr="00F040E7">
        <w:rPr>
          <w:spacing w:val="0"/>
          <w:kern w:val="0"/>
          <w:sz w:val="18"/>
          <w:szCs w:val="26"/>
          <w:rtl/>
        </w:rPr>
        <w:t xml:space="preserve"> </w:t>
      </w:r>
      <w:r w:rsidRPr="00F040E7">
        <w:rPr>
          <w:rFonts w:hint="cs"/>
          <w:spacing w:val="0"/>
          <w:kern w:val="0"/>
          <w:sz w:val="18"/>
          <w:szCs w:val="26"/>
          <w:rtl/>
        </w:rPr>
        <w:t xml:space="preserve">القرار المعتمد </w:t>
      </w:r>
      <w:r w:rsidRPr="00F040E7">
        <w:rPr>
          <w:spacing w:val="0"/>
          <w:kern w:val="0"/>
          <w:sz w:val="18"/>
          <w:szCs w:val="26"/>
          <w:rtl/>
        </w:rPr>
        <w:t xml:space="preserve">في </w:t>
      </w:r>
      <w:r w:rsidRPr="00F040E7">
        <w:rPr>
          <w:rFonts w:hint="cs"/>
          <w:spacing w:val="0"/>
          <w:kern w:val="0"/>
          <w:sz w:val="18"/>
          <w:szCs w:val="26"/>
          <w:rtl/>
        </w:rPr>
        <w:t>7</w:t>
      </w:r>
      <w:r w:rsidRPr="00F040E7">
        <w:rPr>
          <w:spacing w:val="0"/>
          <w:kern w:val="0"/>
          <w:sz w:val="18"/>
          <w:szCs w:val="26"/>
          <w:rtl/>
        </w:rPr>
        <w:t xml:space="preserve"> تشرين الثاني/نوفمبر </w:t>
      </w:r>
      <w:r w:rsidRPr="00F040E7">
        <w:rPr>
          <w:rFonts w:hint="cs"/>
          <w:spacing w:val="0"/>
          <w:kern w:val="0"/>
          <w:sz w:val="18"/>
          <w:szCs w:val="26"/>
          <w:rtl/>
        </w:rPr>
        <w:t>2006؛ و</w:t>
      </w:r>
      <w:r w:rsidRPr="00F040E7">
        <w:rPr>
          <w:spacing w:val="0"/>
          <w:kern w:val="0"/>
          <w:sz w:val="18"/>
          <w:szCs w:val="26"/>
          <w:rtl/>
        </w:rPr>
        <w:t xml:space="preserve">البلاغ رقم </w:t>
      </w:r>
      <w:r w:rsidRPr="00F040E7">
        <w:rPr>
          <w:rFonts w:hint="cs"/>
          <w:spacing w:val="0"/>
          <w:kern w:val="0"/>
          <w:sz w:val="18"/>
          <w:szCs w:val="26"/>
          <w:rtl/>
        </w:rPr>
        <w:t>333</w:t>
      </w:r>
      <w:r w:rsidRPr="00F040E7">
        <w:rPr>
          <w:spacing w:val="0"/>
          <w:kern w:val="0"/>
          <w:sz w:val="18"/>
          <w:szCs w:val="26"/>
          <w:rtl/>
        </w:rPr>
        <w:t>/</w:t>
      </w:r>
      <w:r w:rsidRPr="00F040E7">
        <w:rPr>
          <w:rFonts w:hint="cs"/>
          <w:spacing w:val="0"/>
          <w:kern w:val="0"/>
          <w:sz w:val="18"/>
          <w:szCs w:val="26"/>
          <w:rtl/>
        </w:rPr>
        <w:t>2007</w:t>
      </w:r>
      <w:r w:rsidRPr="00F040E7">
        <w:rPr>
          <w:spacing w:val="0"/>
          <w:kern w:val="0"/>
          <w:sz w:val="18"/>
          <w:szCs w:val="26"/>
          <w:rtl/>
        </w:rPr>
        <w:t xml:space="preserve">، </w:t>
      </w:r>
      <w:r w:rsidRPr="00F040E7">
        <w:rPr>
          <w:rFonts w:hint="cs"/>
          <w:i/>
          <w:iCs/>
          <w:spacing w:val="0"/>
          <w:kern w:val="0"/>
          <w:sz w:val="18"/>
          <w:szCs w:val="26"/>
          <w:rtl/>
        </w:rPr>
        <w:t>ت. أ</w:t>
      </w:r>
      <w:r>
        <w:rPr>
          <w:rFonts w:hint="cs"/>
          <w:i/>
          <w:iCs/>
          <w:spacing w:val="0"/>
          <w:kern w:val="0"/>
          <w:sz w:val="18"/>
          <w:szCs w:val="26"/>
          <w:rtl/>
        </w:rPr>
        <w:t>.</w:t>
      </w:r>
      <w:r w:rsidRPr="00F040E7">
        <w:rPr>
          <w:i/>
          <w:iCs/>
          <w:spacing w:val="0"/>
          <w:kern w:val="0"/>
          <w:sz w:val="18"/>
          <w:szCs w:val="26"/>
          <w:rtl/>
        </w:rPr>
        <w:t xml:space="preserve"> ضد </w:t>
      </w:r>
      <w:r w:rsidRPr="00F040E7">
        <w:rPr>
          <w:rFonts w:hint="cs"/>
          <w:i/>
          <w:iCs/>
          <w:spacing w:val="0"/>
          <w:kern w:val="0"/>
          <w:sz w:val="18"/>
          <w:szCs w:val="26"/>
          <w:rtl/>
        </w:rPr>
        <w:t>كندا</w:t>
      </w:r>
      <w:r w:rsidRPr="00F040E7">
        <w:rPr>
          <w:i/>
          <w:iCs/>
          <w:spacing w:val="0"/>
          <w:kern w:val="0"/>
          <w:sz w:val="18"/>
          <w:szCs w:val="26"/>
          <w:rtl/>
        </w:rPr>
        <w:t>،</w:t>
      </w:r>
      <w:r w:rsidRPr="00F040E7">
        <w:rPr>
          <w:spacing w:val="0"/>
          <w:kern w:val="0"/>
          <w:sz w:val="18"/>
          <w:szCs w:val="26"/>
          <w:rtl/>
        </w:rPr>
        <w:t xml:space="preserve"> ال</w:t>
      </w:r>
      <w:r w:rsidRPr="00F040E7">
        <w:rPr>
          <w:rFonts w:hint="cs"/>
          <w:spacing w:val="0"/>
          <w:kern w:val="0"/>
          <w:sz w:val="18"/>
          <w:szCs w:val="26"/>
          <w:rtl/>
        </w:rPr>
        <w:t>قرار</w:t>
      </w:r>
      <w:r w:rsidRPr="00F040E7">
        <w:rPr>
          <w:spacing w:val="0"/>
          <w:kern w:val="0"/>
          <w:sz w:val="18"/>
          <w:szCs w:val="26"/>
          <w:rtl/>
        </w:rPr>
        <w:t xml:space="preserve"> المعتمد في </w:t>
      </w:r>
      <w:r w:rsidRPr="00F040E7">
        <w:rPr>
          <w:rFonts w:hint="cs"/>
          <w:spacing w:val="0"/>
          <w:kern w:val="0"/>
          <w:sz w:val="18"/>
          <w:szCs w:val="26"/>
          <w:rtl/>
        </w:rPr>
        <w:t>15</w:t>
      </w:r>
      <w:r w:rsidRPr="00F040E7">
        <w:rPr>
          <w:spacing w:val="0"/>
          <w:kern w:val="0"/>
          <w:sz w:val="18"/>
          <w:szCs w:val="26"/>
          <w:rtl/>
        </w:rPr>
        <w:t xml:space="preserve"> تشرين الثاني/نوفمبر</w:t>
      </w:r>
      <w:r w:rsidRPr="00F040E7">
        <w:rPr>
          <w:rFonts w:hint="cs"/>
          <w:spacing w:val="0"/>
          <w:kern w:val="0"/>
          <w:sz w:val="18"/>
          <w:szCs w:val="26"/>
          <w:rtl/>
        </w:rPr>
        <w:t xml:space="preserve"> 2010؛ والبلاغ رقم</w:t>
      </w:r>
      <w:r>
        <w:rPr>
          <w:rFonts w:hint="eastAsia"/>
          <w:spacing w:val="0"/>
          <w:kern w:val="0"/>
          <w:sz w:val="18"/>
          <w:szCs w:val="26"/>
          <w:rtl/>
        </w:rPr>
        <w:t> </w:t>
      </w:r>
      <w:r w:rsidRPr="00F040E7">
        <w:rPr>
          <w:rFonts w:hint="cs"/>
          <w:spacing w:val="0"/>
          <w:kern w:val="0"/>
          <w:sz w:val="18"/>
          <w:szCs w:val="26"/>
          <w:rtl/>
        </w:rPr>
        <w:t xml:space="preserve">344/2008، </w:t>
      </w:r>
      <w:r w:rsidRPr="00F040E7">
        <w:rPr>
          <w:rFonts w:hint="cs"/>
          <w:i/>
          <w:iCs/>
          <w:spacing w:val="0"/>
          <w:kern w:val="0"/>
          <w:sz w:val="18"/>
          <w:szCs w:val="26"/>
          <w:rtl/>
        </w:rPr>
        <w:t>أ. م. أ. ضد سويسرا،</w:t>
      </w:r>
      <w:r w:rsidRPr="00F040E7">
        <w:rPr>
          <w:rFonts w:hint="cs"/>
          <w:spacing w:val="0"/>
          <w:kern w:val="0"/>
          <w:sz w:val="18"/>
          <w:szCs w:val="26"/>
          <w:rtl/>
        </w:rPr>
        <w:t xml:space="preserve"> </w:t>
      </w:r>
      <w:r w:rsidRPr="00F040E7">
        <w:rPr>
          <w:spacing w:val="0"/>
          <w:kern w:val="0"/>
          <w:sz w:val="18"/>
          <w:szCs w:val="26"/>
          <w:rtl/>
        </w:rPr>
        <w:t>ال</w:t>
      </w:r>
      <w:r w:rsidRPr="00F040E7">
        <w:rPr>
          <w:rFonts w:hint="cs"/>
          <w:spacing w:val="0"/>
          <w:kern w:val="0"/>
          <w:sz w:val="18"/>
          <w:szCs w:val="26"/>
          <w:rtl/>
        </w:rPr>
        <w:t>قرار</w:t>
      </w:r>
      <w:r w:rsidRPr="00F040E7">
        <w:rPr>
          <w:spacing w:val="0"/>
          <w:kern w:val="0"/>
          <w:sz w:val="18"/>
          <w:szCs w:val="26"/>
          <w:rtl/>
        </w:rPr>
        <w:t xml:space="preserve"> المعتمد في </w:t>
      </w:r>
      <w:r w:rsidRPr="00F040E7">
        <w:rPr>
          <w:rFonts w:hint="cs"/>
          <w:spacing w:val="0"/>
          <w:kern w:val="0"/>
          <w:sz w:val="18"/>
          <w:szCs w:val="26"/>
          <w:rtl/>
        </w:rPr>
        <w:t>12</w:t>
      </w:r>
      <w:r w:rsidRPr="00F040E7">
        <w:rPr>
          <w:spacing w:val="0"/>
          <w:kern w:val="0"/>
          <w:sz w:val="18"/>
          <w:szCs w:val="26"/>
          <w:rtl/>
        </w:rPr>
        <w:t xml:space="preserve"> تشرين الثاني/نوفمبر</w:t>
      </w:r>
      <w:r w:rsidRPr="00F040E7">
        <w:rPr>
          <w:rFonts w:hint="cs"/>
          <w:spacing w:val="0"/>
          <w:kern w:val="0"/>
          <w:sz w:val="18"/>
          <w:szCs w:val="26"/>
          <w:rtl/>
        </w:rPr>
        <w:t xml:space="preserve"> 2010.</w:t>
      </w:r>
    </w:p>
  </w:footnote>
  <w:footnote w:id="316">
    <w:p w:rsidR="00D64D4C" w:rsidRPr="00F040E7" w:rsidRDefault="00D64D4C" w:rsidP="006748CB">
      <w:pPr>
        <w:pStyle w:val="FootnoteText"/>
        <w:tabs>
          <w:tab w:val="left" w:pos="1239"/>
        </w:tabs>
        <w:spacing w:after="60" w:line="300" w:lineRule="exact"/>
        <w:ind w:left="1239" w:right="1247" w:hanging="462"/>
        <w:jc w:val="lowKashida"/>
        <w:rPr>
          <w:spacing w:val="0"/>
          <w:kern w:val="0"/>
          <w:sz w:val="18"/>
          <w:szCs w:val="26"/>
        </w:rPr>
      </w:pPr>
      <w:r w:rsidRPr="006748CB">
        <w:rPr>
          <w:rFonts w:hint="cs"/>
          <w:spacing w:val="-2"/>
          <w:kern w:val="0"/>
          <w:sz w:val="18"/>
          <w:szCs w:val="26"/>
          <w:rtl/>
        </w:rPr>
        <w:t>(</w:t>
      </w:r>
      <w:r w:rsidRPr="006748CB">
        <w:rPr>
          <w:rFonts w:hint="cs"/>
          <w:spacing w:val="-2"/>
          <w:kern w:val="0"/>
          <w:sz w:val="26"/>
          <w:szCs w:val="26"/>
          <w:rtl/>
        </w:rPr>
        <w:t>ح</w:t>
      </w:r>
      <w:r w:rsidRPr="006748CB">
        <w:rPr>
          <w:rFonts w:hint="cs"/>
          <w:spacing w:val="-2"/>
          <w:kern w:val="0"/>
          <w:sz w:val="18"/>
          <w:szCs w:val="26"/>
          <w:rtl/>
        </w:rPr>
        <w:t>)</w:t>
      </w:r>
      <w:r w:rsidRPr="006748CB">
        <w:rPr>
          <w:rFonts w:hint="cs"/>
          <w:spacing w:val="-2"/>
          <w:kern w:val="0"/>
          <w:sz w:val="18"/>
          <w:szCs w:val="26"/>
          <w:rtl/>
        </w:rPr>
        <w:tab/>
      </w:r>
      <w:r w:rsidRPr="006748CB">
        <w:rPr>
          <w:spacing w:val="-2"/>
          <w:kern w:val="0"/>
          <w:sz w:val="18"/>
          <w:szCs w:val="26"/>
          <w:rtl/>
        </w:rPr>
        <w:t xml:space="preserve">البلاغ رقم 203/2002، </w:t>
      </w:r>
      <w:r w:rsidRPr="006748CB">
        <w:rPr>
          <w:i/>
          <w:iCs/>
          <w:spacing w:val="-2"/>
          <w:kern w:val="0"/>
          <w:sz w:val="18"/>
          <w:szCs w:val="26"/>
          <w:rtl/>
        </w:rPr>
        <w:t>أ. ر. ضد هولندا،</w:t>
      </w:r>
      <w:r w:rsidRPr="006748CB">
        <w:rPr>
          <w:spacing w:val="-2"/>
          <w:kern w:val="0"/>
          <w:sz w:val="18"/>
          <w:szCs w:val="26"/>
          <w:rtl/>
        </w:rPr>
        <w:t xml:space="preserve"> ال</w:t>
      </w:r>
      <w:r w:rsidRPr="006748CB">
        <w:rPr>
          <w:rFonts w:hint="cs"/>
          <w:spacing w:val="-2"/>
          <w:kern w:val="0"/>
          <w:sz w:val="18"/>
          <w:szCs w:val="26"/>
          <w:rtl/>
        </w:rPr>
        <w:t xml:space="preserve">قرار المعتمد </w:t>
      </w:r>
      <w:r w:rsidRPr="006748CB">
        <w:rPr>
          <w:spacing w:val="-2"/>
          <w:kern w:val="0"/>
          <w:sz w:val="18"/>
          <w:szCs w:val="26"/>
          <w:rtl/>
        </w:rPr>
        <w:t>في 21 تشرين الثاني/نوفمبر 2003 الفقرة 7-3؛</w:t>
      </w:r>
      <w:r w:rsidRPr="00F040E7">
        <w:rPr>
          <w:spacing w:val="0"/>
          <w:kern w:val="0"/>
          <w:sz w:val="18"/>
          <w:szCs w:val="26"/>
          <w:rtl/>
        </w:rPr>
        <w:t xml:space="preserve"> </w:t>
      </w:r>
      <w:r w:rsidRPr="006748CB">
        <w:rPr>
          <w:rFonts w:hint="cs"/>
          <w:spacing w:val="-2"/>
          <w:kern w:val="0"/>
          <w:sz w:val="18"/>
          <w:szCs w:val="26"/>
          <w:rtl/>
        </w:rPr>
        <w:t>و</w:t>
      </w:r>
      <w:r w:rsidRPr="006748CB">
        <w:rPr>
          <w:spacing w:val="-2"/>
          <w:kern w:val="0"/>
          <w:sz w:val="18"/>
          <w:szCs w:val="26"/>
          <w:rtl/>
        </w:rPr>
        <w:t>البلاغ رقم</w:t>
      </w:r>
      <w:r w:rsidRPr="006748CB">
        <w:rPr>
          <w:rFonts w:hint="cs"/>
          <w:spacing w:val="-2"/>
          <w:kern w:val="0"/>
          <w:sz w:val="18"/>
          <w:szCs w:val="26"/>
          <w:rtl/>
        </w:rPr>
        <w:t xml:space="preserve"> </w:t>
      </w:r>
      <w:r w:rsidRPr="006748CB">
        <w:rPr>
          <w:spacing w:val="-2"/>
          <w:kern w:val="0"/>
          <w:sz w:val="18"/>
          <w:szCs w:val="26"/>
          <w:rtl/>
        </w:rPr>
        <w:t xml:space="preserve">285/2006، </w:t>
      </w:r>
      <w:r w:rsidRPr="006748CB">
        <w:rPr>
          <w:i/>
          <w:iCs/>
          <w:spacing w:val="-2"/>
          <w:kern w:val="0"/>
          <w:sz w:val="18"/>
          <w:szCs w:val="26"/>
          <w:rtl/>
        </w:rPr>
        <w:t>أ.</w:t>
      </w:r>
      <w:r w:rsidRPr="006748CB">
        <w:rPr>
          <w:rFonts w:hint="cs"/>
          <w:i/>
          <w:iCs/>
          <w:spacing w:val="-2"/>
          <w:kern w:val="0"/>
          <w:sz w:val="18"/>
          <w:szCs w:val="26"/>
          <w:rtl/>
        </w:rPr>
        <w:t xml:space="preserve"> </w:t>
      </w:r>
      <w:r w:rsidRPr="006748CB">
        <w:rPr>
          <w:i/>
          <w:iCs/>
          <w:spacing w:val="-2"/>
          <w:kern w:val="0"/>
          <w:sz w:val="18"/>
          <w:szCs w:val="26"/>
          <w:rtl/>
        </w:rPr>
        <w:t>أ. وآخرون ضد سويسرا،</w:t>
      </w:r>
      <w:r w:rsidRPr="006748CB">
        <w:rPr>
          <w:spacing w:val="-2"/>
          <w:kern w:val="0"/>
          <w:sz w:val="18"/>
          <w:szCs w:val="26"/>
          <w:rtl/>
        </w:rPr>
        <w:t xml:space="preserve"> ال</w:t>
      </w:r>
      <w:r w:rsidRPr="006748CB">
        <w:rPr>
          <w:rFonts w:hint="cs"/>
          <w:spacing w:val="-2"/>
          <w:kern w:val="0"/>
          <w:sz w:val="18"/>
          <w:szCs w:val="26"/>
          <w:rtl/>
        </w:rPr>
        <w:t>قرار</w:t>
      </w:r>
      <w:r w:rsidRPr="006748CB">
        <w:rPr>
          <w:spacing w:val="-2"/>
          <w:kern w:val="0"/>
          <w:sz w:val="18"/>
          <w:szCs w:val="26"/>
          <w:rtl/>
        </w:rPr>
        <w:t xml:space="preserve"> المعتمد في 10 تشرين الثاني/نوفمبر 2008</w:t>
      </w:r>
      <w:r w:rsidRPr="006748CB">
        <w:rPr>
          <w:rFonts w:hint="cs"/>
          <w:spacing w:val="-2"/>
          <w:kern w:val="0"/>
          <w:sz w:val="18"/>
          <w:szCs w:val="26"/>
          <w:rtl/>
        </w:rPr>
        <w:t>،</w:t>
      </w:r>
      <w:r w:rsidRPr="006748CB">
        <w:rPr>
          <w:spacing w:val="-2"/>
          <w:kern w:val="0"/>
          <w:sz w:val="18"/>
          <w:szCs w:val="26"/>
          <w:rtl/>
        </w:rPr>
        <w:t xml:space="preserve"> </w:t>
      </w:r>
      <w:r w:rsidRPr="00F040E7">
        <w:rPr>
          <w:spacing w:val="0"/>
          <w:kern w:val="0"/>
          <w:sz w:val="18"/>
          <w:szCs w:val="26"/>
          <w:rtl/>
        </w:rPr>
        <w:t>الفقرة 7-6</w:t>
      </w:r>
      <w:r w:rsidRPr="00F040E7">
        <w:rPr>
          <w:rFonts w:hint="cs"/>
          <w:spacing w:val="0"/>
          <w:kern w:val="0"/>
          <w:sz w:val="18"/>
          <w:szCs w:val="26"/>
          <w:rtl/>
        </w:rPr>
        <w:t xml:space="preserve">؛ والبلاغ رقم 350/2008، </w:t>
      </w:r>
      <w:r w:rsidRPr="00F040E7">
        <w:rPr>
          <w:rFonts w:hint="cs"/>
          <w:i/>
          <w:iCs/>
          <w:spacing w:val="0"/>
          <w:kern w:val="0"/>
          <w:sz w:val="18"/>
          <w:szCs w:val="26"/>
          <w:rtl/>
        </w:rPr>
        <w:t>ر. ت - ن. ضد سويسرا</w:t>
      </w:r>
      <w:r w:rsidRPr="00F040E7">
        <w:rPr>
          <w:rFonts w:hint="cs"/>
          <w:spacing w:val="0"/>
          <w:kern w:val="0"/>
          <w:sz w:val="18"/>
          <w:szCs w:val="26"/>
          <w:rtl/>
        </w:rPr>
        <w:t>، القرار المعتمد في 3 حزيران/ يونيه</w:t>
      </w:r>
      <w:r>
        <w:rPr>
          <w:rFonts w:hint="eastAsia"/>
          <w:spacing w:val="0"/>
          <w:kern w:val="0"/>
          <w:sz w:val="18"/>
          <w:szCs w:val="26"/>
          <w:rtl/>
        </w:rPr>
        <w:t> </w:t>
      </w:r>
      <w:r w:rsidRPr="00F040E7">
        <w:rPr>
          <w:rFonts w:hint="cs"/>
          <w:spacing w:val="0"/>
          <w:kern w:val="0"/>
          <w:sz w:val="18"/>
          <w:szCs w:val="26"/>
          <w:rtl/>
        </w:rPr>
        <w:t>2011، الفقرة 8-4.</w:t>
      </w:r>
    </w:p>
  </w:footnote>
  <w:footnote w:id="317">
    <w:p w:rsidR="00D64D4C" w:rsidRPr="007E24CC" w:rsidRDefault="00D64D4C" w:rsidP="00F040E7">
      <w:pPr>
        <w:pStyle w:val="FootnoteText"/>
        <w:tabs>
          <w:tab w:val="left" w:pos="1239"/>
        </w:tabs>
        <w:spacing w:after="60" w:line="300" w:lineRule="exact"/>
        <w:ind w:left="1239" w:right="1247" w:hanging="462"/>
        <w:jc w:val="lowKashida"/>
        <w:rPr>
          <w:sz w:val="18"/>
          <w:szCs w:val="26"/>
        </w:rPr>
      </w:pPr>
      <w:r>
        <w:rPr>
          <w:rFonts w:hint="cs"/>
          <w:sz w:val="18"/>
          <w:szCs w:val="26"/>
          <w:rtl/>
        </w:rPr>
        <w:t>(</w:t>
      </w:r>
      <w:r>
        <w:rPr>
          <w:rFonts w:hint="cs"/>
          <w:sz w:val="26"/>
          <w:szCs w:val="26"/>
          <w:rtl/>
        </w:rPr>
        <w:t>ط</w:t>
      </w:r>
      <w:r>
        <w:rPr>
          <w:rFonts w:hint="cs"/>
          <w:sz w:val="18"/>
          <w:szCs w:val="26"/>
          <w:rtl/>
        </w:rPr>
        <w:t>)</w:t>
      </w:r>
      <w:r>
        <w:rPr>
          <w:rFonts w:hint="cs"/>
          <w:sz w:val="18"/>
          <w:szCs w:val="26"/>
          <w:rtl/>
        </w:rPr>
        <w:tab/>
      </w:r>
      <w:r w:rsidRPr="007E24CC">
        <w:rPr>
          <w:rFonts w:hint="cs"/>
          <w:sz w:val="18"/>
          <w:szCs w:val="26"/>
          <w:rtl/>
          <w:lang w:val="fr-CH"/>
        </w:rPr>
        <w:t xml:space="preserve">الملاحظات </w:t>
      </w:r>
      <w:r w:rsidRPr="007E24CC">
        <w:rPr>
          <w:rFonts w:hint="cs"/>
          <w:sz w:val="18"/>
          <w:szCs w:val="26"/>
          <w:rtl/>
        </w:rPr>
        <w:t>الختامية</w:t>
      </w:r>
      <w:r w:rsidRPr="007E24CC">
        <w:rPr>
          <w:rFonts w:hint="cs"/>
          <w:sz w:val="18"/>
          <w:szCs w:val="26"/>
          <w:rtl/>
          <w:lang w:val="fr-CH"/>
        </w:rPr>
        <w:t xml:space="preserve"> للجنة المعنية بحقوق الإنسان</w:t>
      </w:r>
      <w:r w:rsidRPr="007E24CC">
        <w:rPr>
          <w:rFonts w:hint="cs"/>
          <w:sz w:val="18"/>
          <w:szCs w:val="26"/>
          <w:rtl/>
        </w:rPr>
        <w:t xml:space="preserve"> </w:t>
      </w:r>
      <w:r w:rsidRPr="007E24CC">
        <w:rPr>
          <w:sz w:val="18"/>
          <w:szCs w:val="26"/>
        </w:rPr>
        <w:t>(CCPR/C/TGO/CO/4)</w:t>
      </w:r>
      <w:r w:rsidRPr="007E24CC">
        <w:rPr>
          <w:rFonts w:hint="cs"/>
          <w:sz w:val="18"/>
          <w:szCs w:val="26"/>
          <w:rtl/>
        </w:rPr>
        <w:t>، الفقرة 10.</w:t>
      </w:r>
    </w:p>
  </w:footnote>
  <w:footnote w:id="318">
    <w:p w:rsidR="00D64D4C" w:rsidRPr="007E24CC" w:rsidRDefault="00D64D4C" w:rsidP="00F040E7">
      <w:pPr>
        <w:pStyle w:val="FootnoteText"/>
        <w:tabs>
          <w:tab w:val="left" w:pos="1239"/>
        </w:tabs>
        <w:spacing w:after="60" w:line="300" w:lineRule="exact"/>
        <w:ind w:left="1239" w:right="1247" w:hanging="462"/>
        <w:jc w:val="lowKashida"/>
        <w:rPr>
          <w:sz w:val="18"/>
          <w:szCs w:val="26"/>
        </w:rPr>
      </w:pPr>
      <w:r>
        <w:rPr>
          <w:rFonts w:hint="cs"/>
          <w:sz w:val="18"/>
          <w:szCs w:val="26"/>
          <w:rtl/>
        </w:rPr>
        <w:t>(</w:t>
      </w:r>
      <w:r>
        <w:rPr>
          <w:rFonts w:hint="cs"/>
          <w:sz w:val="26"/>
          <w:szCs w:val="26"/>
          <w:rtl/>
        </w:rPr>
        <w:t>ي</w:t>
      </w:r>
      <w:r>
        <w:rPr>
          <w:rFonts w:hint="cs"/>
          <w:sz w:val="18"/>
          <w:szCs w:val="26"/>
          <w:rtl/>
        </w:rPr>
        <w:t>)</w:t>
      </w:r>
      <w:r>
        <w:rPr>
          <w:rFonts w:hint="cs"/>
          <w:sz w:val="18"/>
          <w:szCs w:val="26"/>
          <w:rtl/>
        </w:rPr>
        <w:tab/>
      </w:r>
      <w:r w:rsidRPr="007E24CC">
        <w:rPr>
          <w:rFonts w:hint="cs"/>
          <w:sz w:val="18"/>
          <w:szCs w:val="26"/>
          <w:rtl/>
          <w:lang w:val="fr-CH"/>
        </w:rPr>
        <w:t xml:space="preserve">الملاحظات </w:t>
      </w:r>
      <w:r w:rsidRPr="007E24CC">
        <w:rPr>
          <w:rFonts w:hint="cs"/>
          <w:sz w:val="18"/>
          <w:szCs w:val="26"/>
          <w:rtl/>
        </w:rPr>
        <w:t>الختامية</w:t>
      </w:r>
      <w:r w:rsidRPr="007E24CC">
        <w:rPr>
          <w:rFonts w:hint="cs"/>
          <w:sz w:val="18"/>
          <w:szCs w:val="26"/>
          <w:rtl/>
          <w:lang w:val="fr-CH"/>
        </w:rPr>
        <w:t xml:space="preserve"> للجنة مناهضة التعذيب</w:t>
      </w:r>
      <w:r w:rsidRPr="007E24CC">
        <w:rPr>
          <w:rFonts w:hint="cs"/>
          <w:sz w:val="18"/>
          <w:szCs w:val="26"/>
          <w:rtl/>
        </w:rPr>
        <w:t xml:space="preserve"> </w:t>
      </w:r>
      <w:r w:rsidRPr="007E24CC">
        <w:rPr>
          <w:sz w:val="18"/>
          <w:szCs w:val="26"/>
        </w:rPr>
        <w:t>(CAT/C/TGO/CO/1)</w:t>
      </w:r>
      <w:r>
        <w:rPr>
          <w:rFonts w:hint="cs"/>
          <w:sz w:val="18"/>
          <w:szCs w:val="26"/>
          <w:rtl/>
        </w:rPr>
        <w:t>، الفقرة 10؛ و</w:t>
      </w:r>
      <w:r w:rsidRPr="007E24CC">
        <w:rPr>
          <w:rFonts w:hint="cs"/>
          <w:sz w:val="18"/>
          <w:szCs w:val="26"/>
          <w:rtl/>
          <w:lang w:val="fr-CH"/>
        </w:rPr>
        <w:t>الملاحظات الختامية للجنة المعنية بحقوق الإنسان</w:t>
      </w:r>
      <w:r w:rsidRPr="007E24CC">
        <w:rPr>
          <w:rFonts w:hint="cs"/>
          <w:sz w:val="18"/>
          <w:szCs w:val="26"/>
          <w:rtl/>
        </w:rPr>
        <w:t xml:space="preserve"> </w:t>
      </w:r>
      <w:r w:rsidRPr="007E24CC">
        <w:rPr>
          <w:sz w:val="18"/>
          <w:szCs w:val="26"/>
        </w:rPr>
        <w:t>(CCPR/C/TGO/CO/4)</w:t>
      </w:r>
      <w:r w:rsidRPr="007E24CC">
        <w:rPr>
          <w:rFonts w:hint="cs"/>
          <w:sz w:val="18"/>
          <w:szCs w:val="26"/>
          <w:rtl/>
        </w:rPr>
        <w:t>، الفقرة 15.</w:t>
      </w:r>
    </w:p>
  </w:footnote>
  <w:footnote w:id="319">
    <w:p w:rsidR="00D64D4C" w:rsidRPr="00F040E7" w:rsidRDefault="00D64D4C" w:rsidP="00F040E7">
      <w:pPr>
        <w:pStyle w:val="FootnoteText"/>
        <w:numPr>
          <w:ilvl w:val="0"/>
          <w:numId w:val="60"/>
        </w:numPr>
        <w:tabs>
          <w:tab w:val="left" w:pos="1253"/>
        </w:tabs>
        <w:spacing w:after="60" w:line="300" w:lineRule="exact"/>
        <w:ind w:left="1248" w:right="1247" w:hanging="227"/>
        <w:jc w:val="lowKashida"/>
        <w:rPr>
          <w:rFonts w:hint="cs"/>
          <w:spacing w:val="0"/>
          <w:kern w:val="0"/>
          <w:sz w:val="18"/>
          <w:szCs w:val="26"/>
        </w:rPr>
      </w:pPr>
      <w:r w:rsidRPr="00F040E7">
        <w:rPr>
          <w:rFonts w:hint="cs"/>
          <w:spacing w:val="0"/>
          <w:kern w:val="0"/>
          <w:sz w:val="18"/>
          <w:szCs w:val="26"/>
          <w:rtl/>
          <w:lang w:val="en-CA"/>
        </w:rPr>
        <w:t>انضمت بوروندي إلى الاتفاقية في 18 شباط/فبراير 1993 واعترفت باختصاص اللجنة في تسلم ودراسة البلاغات الواردة من الأفراد وفقاً للمادة 22 من الاتفاقية في 10 حزيران/يونيه 2003.</w:t>
      </w:r>
    </w:p>
  </w:footnote>
  <w:footnote w:id="320">
    <w:p w:rsidR="00D64D4C" w:rsidRPr="00A85948" w:rsidRDefault="00D64D4C" w:rsidP="00F040E7">
      <w:pPr>
        <w:pStyle w:val="FootnoteText"/>
        <w:numPr>
          <w:ilvl w:val="0"/>
          <w:numId w:val="60"/>
        </w:numPr>
        <w:tabs>
          <w:tab w:val="left" w:pos="1253"/>
        </w:tabs>
        <w:spacing w:after="60" w:line="300" w:lineRule="exact"/>
        <w:ind w:left="1248" w:right="1247" w:hanging="227"/>
        <w:jc w:val="lowKashida"/>
        <w:rPr>
          <w:rFonts w:hint="cs"/>
          <w:spacing w:val="0"/>
          <w:kern w:val="0"/>
          <w:sz w:val="18"/>
          <w:szCs w:val="26"/>
        </w:rPr>
      </w:pPr>
      <w:r w:rsidRPr="00A85948">
        <w:rPr>
          <w:rFonts w:hint="cs"/>
          <w:spacing w:val="0"/>
          <w:kern w:val="0"/>
          <w:sz w:val="18"/>
          <w:szCs w:val="26"/>
          <w:rtl/>
          <w:lang w:val="en-CA"/>
        </w:rPr>
        <w:t>وقعت الطلب الموجه إلى صاحبة الشكوى للمثول من أجل استجوابها بشأن اشتراكها في أعمال السرقة موقع من الشرطة الجنائية في بوجمبورا ببوروندي.</w:t>
      </w:r>
    </w:p>
  </w:footnote>
  <w:footnote w:id="321">
    <w:p w:rsidR="00D64D4C" w:rsidRPr="00A85948" w:rsidRDefault="00D64D4C" w:rsidP="00F040E7">
      <w:pPr>
        <w:pStyle w:val="FootnoteText"/>
        <w:numPr>
          <w:ilvl w:val="0"/>
          <w:numId w:val="60"/>
        </w:numPr>
        <w:tabs>
          <w:tab w:val="left" w:pos="1253"/>
        </w:tabs>
        <w:spacing w:after="60" w:line="300" w:lineRule="exact"/>
        <w:ind w:left="1248" w:right="1247" w:hanging="227"/>
        <w:jc w:val="lowKashida"/>
        <w:rPr>
          <w:rFonts w:hint="cs"/>
          <w:spacing w:val="0"/>
          <w:kern w:val="0"/>
          <w:sz w:val="18"/>
          <w:szCs w:val="26"/>
        </w:rPr>
      </w:pPr>
      <w:r w:rsidRPr="00A85948">
        <w:rPr>
          <w:rFonts w:hint="cs"/>
          <w:spacing w:val="0"/>
          <w:kern w:val="0"/>
          <w:sz w:val="18"/>
          <w:szCs w:val="26"/>
          <w:rtl/>
          <w:lang w:val="en-CA"/>
        </w:rPr>
        <w:t xml:space="preserve">طلب التحقيق </w:t>
      </w:r>
      <w:r w:rsidRPr="00A85948">
        <w:rPr>
          <w:rFonts w:hint="cs"/>
          <w:spacing w:val="0"/>
          <w:kern w:val="0"/>
          <w:sz w:val="18"/>
          <w:szCs w:val="26"/>
          <w:rtl/>
        </w:rPr>
        <w:t xml:space="preserve">في مسألة </w:t>
      </w:r>
      <w:r w:rsidRPr="00A85948">
        <w:rPr>
          <w:rFonts w:hint="cs"/>
          <w:spacing w:val="0"/>
          <w:kern w:val="0"/>
          <w:sz w:val="18"/>
          <w:szCs w:val="26"/>
          <w:rtl/>
          <w:lang w:val="en-CA"/>
        </w:rPr>
        <w:t>الاشتباه</w:t>
      </w:r>
      <w:r w:rsidRPr="00A85948">
        <w:rPr>
          <w:rFonts w:hint="cs"/>
          <w:spacing w:val="0"/>
          <w:kern w:val="0"/>
          <w:sz w:val="18"/>
          <w:szCs w:val="26"/>
          <w:rtl/>
        </w:rPr>
        <w:t xml:space="preserve"> في اشتراك صاحبة الشكوى في أعمال القتل والسرقة، وكذلك في أسباب عدم مثولها للاستجواب</w:t>
      </w:r>
      <w:r w:rsidRPr="00A85948">
        <w:rPr>
          <w:rFonts w:hint="cs"/>
          <w:spacing w:val="0"/>
          <w:kern w:val="0"/>
          <w:sz w:val="18"/>
          <w:szCs w:val="26"/>
          <w:rtl/>
          <w:lang w:val="en-CA"/>
        </w:rPr>
        <w:t xml:space="preserve"> موقع من أحد ضباط الشرطة الجنائية في بوجمبورا ببوروندي</w:t>
      </w:r>
      <w:r w:rsidRPr="00A85948">
        <w:rPr>
          <w:rFonts w:hint="cs"/>
          <w:spacing w:val="0"/>
          <w:kern w:val="0"/>
          <w:sz w:val="18"/>
          <w:szCs w:val="26"/>
          <w:rtl/>
        </w:rPr>
        <w:t xml:space="preserve">. </w:t>
      </w:r>
    </w:p>
  </w:footnote>
  <w:footnote w:id="322">
    <w:p w:rsidR="00D64D4C" w:rsidRPr="00A85948" w:rsidRDefault="00D64D4C" w:rsidP="00F040E7">
      <w:pPr>
        <w:pStyle w:val="FootnoteText"/>
        <w:numPr>
          <w:ilvl w:val="0"/>
          <w:numId w:val="60"/>
        </w:numPr>
        <w:tabs>
          <w:tab w:val="left" w:pos="1253"/>
        </w:tabs>
        <w:spacing w:after="60" w:line="300" w:lineRule="exact"/>
        <w:ind w:left="1248" w:right="1247" w:hanging="227"/>
        <w:jc w:val="lowKashida"/>
        <w:rPr>
          <w:rFonts w:hint="cs"/>
          <w:spacing w:val="0"/>
          <w:kern w:val="0"/>
          <w:sz w:val="18"/>
          <w:szCs w:val="26"/>
        </w:rPr>
      </w:pPr>
      <w:r w:rsidRPr="00A85948">
        <w:rPr>
          <w:rFonts w:hint="cs"/>
          <w:spacing w:val="0"/>
          <w:kern w:val="0"/>
          <w:sz w:val="18"/>
          <w:szCs w:val="26"/>
          <w:rtl/>
          <w:lang w:val="en-CA"/>
        </w:rPr>
        <w:t>أُدينت صاحبة الشكوى بتهمة المساعدة في أعمال قتل وسرقة.</w:t>
      </w:r>
    </w:p>
  </w:footnote>
  <w:footnote w:id="323">
    <w:p w:rsidR="00D64D4C" w:rsidRPr="00F040E7" w:rsidRDefault="00D64D4C" w:rsidP="00F040E7">
      <w:pPr>
        <w:pStyle w:val="FootnoteText"/>
        <w:tabs>
          <w:tab w:val="left" w:pos="1253"/>
        </w:tabs>
        <w:spacing w:after="60" w:line="300" w:lineRule="exact"/>
        <w:ind w:left="1239" w:right="1247" w:hanging="476"/>
        <w:jc w:val="lowKashida"/>
        <w:rPr>
          <w:rFonts w:hint="cs"/>
          <w:spacing w:val="0"/>
          <w:kern w:val="0"/>
          <w:sz w:val="18"/>
          <w:szCs w:val="26"/>
        </w:rPr>
      </w:pPr>
      <w:r w:rsidRPr="00F040E7">
        <w:rPr>
          <w:rFonts w:hint="cs"/>
          <w:spacing w:val="0"/>
          <w:kern w:val="0"/>
          <w:sz w:val="18"/>
          <w:szCs w:val="26"/>
          <w:rtl/>
        </w:rPr>
        <w:t>(</w:t>
      </w:r>
      <w:r w:rsidRPr="00F040E7">
        <w:rPr>
          <w:rFonts w:hint="cs"/>
          <w:spacing w:val="0"/>
          <w:kern w:val="0"/>
          <w:sz w:val="26"/>
          <w:szCs w:val="26"/>
          <w:rtl/>
        </w:rPr>
        <w:t>ﻫ</w:t>
      </w:r>
      <w:r w:rsidRPr="00F040E7">
        <w:rPr>
          <w:rFonts w:hint="cs"/>
          <w:spacing w:val="0"/>
          <w:kern w:val="0"/>
          <w:sz w:val="18"/>
          <w:szCs w:val="26"/>
          <w:rtl/>
        </w:rPr>
        <w:t>)</w:t>
      </w:r>
      <w:r w:rsidRPr="00F040E7">
        <w:rPr>
          <w:rFonts w:hint="cs"/>
          <w:spacing w:val="0"/>
          <w:kern w:val="0"/>
          <w:sz w:val="18"/>
          <w:szCs w:val="26"/>
          <w:rtl/>
        </w:rPr>
        <w:tab/>
      </w:r>
      <w:r w:rsidRPr="00F040E7">
        <w:rPr>
          <w:rFonts w:hint="cs"/>
          <w:spacing w:val="0"/>
          <w:kern w:val="0"/>
          <w:sz w:val="18"/>
          <w:szCs w:val="26"/>
          <w:rtl/>
          <w:lang w:val="en-CA"/>
        </w:rPr>
        <w:t xml:space="preserve">ترد القواعد المتعلقة بالعوائق الدائمة أمام إنفاذ أوامر رفض الدخول أو الطرد والتي تصبح نهائية وغير قابلة للاستئناف </w:t>
      </w:r>
      <w:r w:rsidRPr="00F040E7">
        <w:rPr>
          <w:rFonts w:hint="cs"/>
          <w:spacing w:val="0"/>
          <w:kern w:val="0"/>
          <w:sz w:val="18"/>
          <w:szCs w:val="26"/>
          <w:rtl/>
        </w:rPr>
        <w:t xml:space="preserve">في المادتين 18 و19 مقروءتين بالاقتران مع المواد من 1 إلى 3 من الفصل 12 من هذا القانون. </w:t>
      </w:r>
    </w:p>
  </w:footnote>
  <w:footnote w:id="324">
    <w:p w:rsidR="00D64D4C" w:rsidRPr="00A85948" w:rsidRDefault="00D64D4C" w:rsidP="00A85948">
      <w:pPr>
        <w:pStyle w:val="FootnoteText"/>
        <w:tabs>
          <w:tab w:val="left" w:pos="1211"/>
        </w:tabs>
        <w:spacing w:after="60" w:line="300" w:lineRule="exact"/>
        <w:ind w:left="1211" w:right="1247" w:hanging="476"/>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و</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أضافت الدولة الطرف</w:t>
      </w:r>
      <w:r w:rsidRPr="00A85948">
        <w:rPr>
          <w:rFonts w:hint="cs"/>
          <w:spacing w:val="0"/>
          <w:kern w:val="0"/>
          <w:sz w:val="18"/>
          <w:szCs w:val="26"/>
          <w:rtl/>
        </w:rPr>
        <w:t xml:space="preserve"> التأكيد. </w:t>
      </w:r>
    </w:p>
  </w:footnote>
  <w:footnote w:id="325">
    <w:p w:rsidR="00D64D4C" w:rsidRPr="00A85948" w:rsidRDefault="00D64D4C" w:rsidP="00A85948">
      <w:pPr>
        <w:pStyle w:val="FootnoteText"/>
        <w:tabs>
          <w:tab w:val="left" w:pos="1211"/>
        </w:tabs>
        <w:spacing w:after="60" w:line="300" w:lineRule="exact"/>
        <w:ind w:left="1211" w:right="1247" w:hanging="476"/>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ز</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 xml:space="preserve">البلاغان رقم 150/1999، </w:t>
      </w:r>
      <w:r w:rsidRPr="00A85948">
        <w:rPr>
          <w:rFonts w:hint="cs"/>
          <w:i/>
          <w:iCs/>
          <w:spacing w:val="0"/>
          <w:kern w:val="0"/>
          <w:sz w:val="18"/>
          <w:szCs w:val="26"/>
          <w:rtl/>
          <w:lang w:val="en-CA"/>
        </w:rPr>
        <w:t>س. ل. ضد السويد</w:t>
      </w:r>
      <w:r w:rsidRPr="00A85948">
        <w:rPr>
          <w:rFonts w:hint="cs"/>
          <w:spacing w:val="0"/>
          <w:kern w:val="0"/>
          <w:sz w:val="18"/>
          <w:szCs w:val="26"/>
          <w:rtl/>
          <w:lang w:val="en-CA"/>
        </w:rPr>
        <w:t xml:space="preserve">، الآراء المعتمدة في 11 أيار/مايو 2001، الفقرة 6-3؛ ورقم 213/2002، </w:t>
      </w:r>
      <w:r w:rsidRPr="00A85948">
        <w:rPr>
          <w:rFonts w:hint="cs"/>
          <w:i/>
          <w:iCs/>
          <w:spacing w:val="0"/>
          <w:kern w:val="0"/>
          <w:sz w:val="18"/>
          <w:szCs w:val="26"/>
          <w:rtl/>
          <w:lang w:val="en-CA"/>
        </w:rPr>
        <w:t>إ. ج. ف. م. ضد السويد</w:t>
      </w:r>
      <w:r w:rsidRPr="00A85948">
        <w:rPr>
          <w:rFonts w:hint="cs"/>
          <w:spacing w:val="0"/>
          <w:kern w:val="0"/>
          <w:sz w:val="18"/>
          <w:szCs w:val="26"/>
          <w:rtl/>
          <w:lang w:val="en-CA"/>
        </w:rPr>
        <w:t xml:space="preserve">، الآراء المعتمدة في 14 تشرين الثاني/نوفمبر 2003، الفقرة 8-3. </w:t>
      </w:r>
    </w:p>
  </w:footnote>
  <w:footnote w:id="326">
    <w:p w:rsidR="00D64D4C" w:rsidRPr="00A85948" w:rsidRDefault="00D64D4C" w:rsidP="00A85948">
      <w:pPr>
        <w:pStyle w:val="FootnoteText"/>
        <w:tabs>
          <w:tab w:val="left" w:pos="1211"/>
        </w:tabs>
        <w:spacing w:after="60" w:line="300" w:lineRule="exact"/>
        <w:ind w:left="1211" w:right="1247" w:hanging="476"/>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ح</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أضافت الدولة الطرف</w:t>
      </w:r>
      <w:r w:rsidRPr="00A85948">
        <w:rPr>
          <w:rFonts w:hint="cs"/>
          <w:spacing w:val="0"/>
          <w:kern w:val="0"/>
          <w:sz w:val="18"/>
          <w:szCs w:val="26"/>
          <w:rtl/>
        </w:rPr>
        <w:t xml:space="preserve"> التأكيد.</w:t>
      </w:r>
    </w:p>
  </w:footnote>
  <w:footnote w:id="327">
    <w:p w:rsidR="00D64D4C" w:rsidRPr="00A85948" w:rsidRDefault="00D64D4C" w:rsidP="00A85948">
      <w:pPr>
        <w:pStyle w:val="FootnoteText"/>
        <w:tabs>
          <w:tab w:val="left" w:pos="1211"/>
        </w:tabs>
        <w:spacing w:after="60" w:line="300" w:lineRule="exact"/>
        <w:ind w:left="1211" w:right="1247" w:hanging="476"/>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ط</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 xml:space="preserve">يمكن الرجوع إلى البلاغ رقم 83/1997، </w:t>
      </w:r>
      <w:r w:rsidRPr="00A85948">
        <w:rPr>
          <w:rFonts w:hint="cs"/>
          <w:i/>
          <w:iCs/>
          <w:spacing w:val="0"/>
          <w:kern w:val="0"/>
          <w:sz w:val="18"/>
          <w:szCs w:val="26"/>
          <w:rtl/>
          <w:lang w:val="en-CA"/>
        </w:rPr>
        <w:t>ج. ر. ب. ضد السويد</w:t>
      </w:r>
      <w:r w:rsidRPr="00A85948">
        <w:rPr>
          <w:rFonts w:hint="cs"/>
          <w:spacing w:val="0"/>
          <w:kern w:val="0"/>
          <w:sz w:val="18"/>
          <w:szCs w:val="26"/>
          <w:rtl/>
          <w:lang w:val="en-CA"/>
        </w:rPr>
        <w:t xml:space="preserve">، الآراء المعتمدة في 15 أيار/مايو 1998، الفقرة 6-5 </w:t>
      </w:r>
      <w:r w:rsidRPr="00A85948">
        <w:rPr>
          <w:rFonts w:hint="cs"/>
          <w:spacing w:val="0"/>
          <w:kern w:val="0"/>
          <w:sz w:val="18"/>
          <w:szCs w:val="26"/>
          <w:rtl/>
        </w:rPr>
        <w:t xml:space="preserve">. </w:t>
      </w:r>
    </w:p>
  </w:footnote>
  <w:footnote w:id="328">
    <w:p w:rsidR="00D64D4C" w:rsidRPr="00A85948" w:rsidRDefault="00D64D4C" w:rsidP="00A85948">
      <w:pPr>
        <w:pStyle w:val="FootnoteText"/>
        <w:tabs>
          <w:tab w:val="left" w:pos="1211"/>
        </w:tabs>
        <w:spacing w:after="60" w:line="300" w:lineRule="exact"/>
        <w:ind w:left="1211" w:right="1247" w:hanging="434"/>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ي</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حزب تحرير شعب الهوتو سابقاً.</w:t>
      </w:r>
    </w:p>
  </w:footnote>
  <w:footnote w:id="329">
    <w:p w:rsidR="00D64D4C" w:rsidRPr="00A85948" w:rsidRDefault="00D64D4C" w:rsidP="00A85948">
      <w:pPr>
        <w:pStyle w:val="FootnoteText"/>
        <w:tabs>
          <w:tab w:val="left" w:pos="1211"/>
        </w:tabs>
        <w:spacing w:after="60" w:line="300" w:lineRule="exact"/>
        <w:ind w:left="1211" w:right="1247" w:hanging="434"/>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ك</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 xml:space="preserve">يمكن الرجوع إلى </w:t>
      </w:r>
      <w:r w:rsidRPr="00A85948">
        <w:rPr>
          <w:spacing w:val="0"/>
          <w:kern w:val="0"/>
          <w:sz w:val="18"/>
          <w:szCs w:val="26"/>
          <w:lang w:val="en-GB"/>
        </w:rPr>
        <w:t>“Human rights report: Burundi”</w:t>
      </w:r>
      <w:r w:rsidRPr="00A85948">
        <w:rPr>
          <w:rFonts w:hint="cs"/>
          <w:spacing w:val="0"/>
          <w:kern w:val="0"/>
          <w:sz w:val="18"/>
          <w:szCs w:val="26"/>
          <w:rtl/>
          <w:lang w:val="en-CA"/>
        </w:rPr>
        <w:t xml:space="preserve"> (تقرير حقوق الإنسان: بوروندي) الذي أصدرته وزارة الخارجية الأمريكية في عام 2008، والفرع 1 من </w:t>
      </w:r>
      <w:r w:rsidRPr="00A85948">
        <w:rPr>
          <w:spacing w:val="0"/>
          <w:kern w:val="0"/>
          <w:sz w:val="18"/>
          <w:szCs w:val="26"/>
          <w:lang w:val="en-GB"/>
        </w:rPr>
        <w:t>“Country report on human rights practices in Burundi”</w:t>
      </w:r>
      <w:r w:rsidRPr="00A85948">
        <w:rPr>
          <w:rFonts w:hint="cs"/>
          <w:spacing w:val="0"/>
          <w:kern w:val="0"/>
          <w:sz w:val="18"/>
          <w:szCs w:val="26"/>
          <w:rtl/>
          <w:lang w:val="en-CA"/>
        </w:rPr>
        <w:t xml:space="preserve"> (التقرير القطري بشأن ممارسات حقوق الإنسان في بوروندي) لعام 2007 الذي قدمته وزارة الخارجية السويدية.</w:t>
      </w:r>
      <w:r w:rsidRPr="00A85948">
        <w:rPr>
          <w:rFonts w:hint="cs"/>
          <w:spacing w:val="0"/>
          <w:kern w:val="0"/>
          <w:sz w:val="18"/>
          <w:szCs w:val="26"/>
          <w:rtl/>
        </w:rPr>
        <w:t xml:space="preserve"> </w:t>
      </w:r>
    </w:p>
  </w:footnote>
  <w:footnote w:id="330">
    <w:p w:rsidR="00D64D4C" w:rsidRPr="00A85948" w:rsidRDefault="00D64D4C" w:rsidP="00A85948">
      <w:pPr>
        <w:pStyle w:val="FootnoteText"/>
        <w:tabs>
          <w:tab w:val="left" w:pos="1211"/>
        </w:tabs>
        <w:spacing w:after="60" w:line="300" w:lineRule="exact"/>
        <w:ind w:left="1211" w:right="1247" w:hanging="434"/>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ل</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يمكن الرجوع إلى تقرير</w:t>
      </w:r>
      <w:r w:rsidRPr="00A85948">
        <w:rPr>
          <w:rFonts w:hint="cs"/>
          <w:spacing w:val="0"/>
          <w:kern w:val="0"/>
          <w:sz w:val="26"/>
          <w:szCs w:val="26"/>
          <w:rtl/>
        </w:rPr>
        <w:t xml:space="preserve"> مفوضة الأمم المتحدة السامية لحقوق الإنسان </w:t>
      </w:r>
      <w:r w:rsidRPr="00A85948">
        <w:rPr>
          <w:rFonts w:hint="cs"/>
          <w:spacing w:val="0"/>
          <w:kern w:val="0"/>
          <w:sz w:val="18"/>
          <w:szCs w:val="26"/>
          <w:rtl/>
          <w:lang w:val="en-CA"/>
        </w:rPr>
        <w:t>عن</w:t>
      </w:r>
      <w:r w:rsidRPr="00A85948">
        <w:rPr>
          <w:rFonts w:hint="cs"/>
          <w:spacing w:val="0"/>
          <w:kern w:val="0"/>
          <w:sz w:val="18"/>
          <w:szCs w:val="26"/>
          <w:rtl/>
        </w:rPr>
        <w:t xml:space="preserve"> </w:t>
      </w:r>
      <w:r w:rsidRPr="00A85948">
        <w:rPr>
          <w:rFonts w:hint="cs"/>
          <w:spacing w:val="0"/>
          <w:kern w:val="0"/>
          <w:sz w:val="26"/>
          <w:szCs w:val="26"/>
          <w:rtl/>
        </w:rPr>
        <w:t>حالة حقوق الإنسان وعن أنشطة المفوضية في بوروندي (</w:t>
      </w:r>
      <w:r w:rsidRPr="00A85948">
        <w:rPr>
          <w:spacing w:val="0"/>
          <w:kern w:val="0"/>
          <w:sz w:val="18"/>
          <w:szCs w:val="18"/>
        </w:rPr>
        <w:t>A/HRC/12/43</w:t>
      </w:r>
      <w:r w:rsidRPr="00A85948">
        <w:rPr>
          <w:rFonts w:hint="cs"/>
          <w:spacing w:val="0"/>
          <w:kern w:val="0"/>
          <w:sz w:val="26"/>
          <w:szCs w:val="26"/>
          <w:rtl/>
        </w:rPr>
        <w:t>)، الفقرة 22.</w:t>
      </w:r>
    </w:p>
  </w:footnote>
  <w:footnote w:id="331">
    <w:p w:rsidR="00D64D4C" w:rsidRPr="00A85948" w:rsidRDefault="00D64D4C" w:rsidP="00A85948">
      <w:pPr>
        <w:pStyle w:val="FootnoteText"/>
        <w:tabs>
          <w:tab w:val="left" w:pos="1211"/>
        </w:tabs>
        <w:spacing w:after="60" w:line="300" w:lineRule="exact"/>
        <w:ind w:left="1211" w:right="1247" w:hanging="434"/>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م</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المرجع نفسه،</w:t>
      </w:r>
      <w:r w:rsidRPr="00A85948">
        <w:rPr>
          <w:rFonts w:hint="cs"/>
          <w:spacing w:val="0"/>
          <w:kern w:val="0"/>
          <w:sz w:val="26"/>
          <w:szCs w:val="26"/>
          <w:rtl/>
        </w:rPr>
        <w:t xml:space="preserve"> الفقرة 68.</w:t>
      </w:r>
    </w:p>
  </w:footnote>
  <w:footnote w:id="332">
    <w:p w:rsidR="00D64D4C" w:rsidRPr="00A85948" w:rsidRDefault="00D64D4C" w:rsidP="00A85948">
      <w:pPr>
        <w:pStyle w:val="FootnoteText"/>
        <w:tabs>
          <w:tab w:val="left" w:pos="1211"/>
        </w:tabs>
        <w:spacing w:after="60" w:line="300" w:lineRule="exact"/>
        <w:ind w:left="1211" w:right="1247" w:hanging="420"/>
        <w:jc w:val="lowKashida"/>
        <w:rPr>
          <w:rFonts w:hint="cs"/>
          <w:spacing w:val="0"/>
          <w:kern w:val="0"/>
          <w:sz w:val="26"/>
          <w:szCs w:val="26"/>
        </w:rPr>
      </w:pPr>
      <w:r w:rsidRPr="00A85948">
        <w:rPr>
          <w:rFonts w:hint="cs"/>
          <w:spacing w:val="0"/>
          <w:kern w:val="0"/>
          <w:sz w:val="18"/>
          <w:szCs w:val="26"/>
          <w:rtl/>
        </w:rPr>
        <w:t>(</w:t>
      </w:r>
      <w:r w:rsidRPr="00A85948">
        <w:rPr>
          <w:rFonts w:hint="cs"/>
          <w:spacing w:val="0"/>
          <w:kern w:val="0"/>
          <w:sz w:val="26"/>
          <w:szCs w:val="26"/>
          <w:rtl/>
        </w:rPr>
        <w:t>ن</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26"/>
          <w:szCs w:val="26"/>
          <w:rtl/>
          <w:lang w:val="en-CA"/>
        </w:rPr>
        <w:t>يمكن الرجوع إلى</w:t>
      </w:r>
      <w:r w:rsidRPr="00A85948">
        <w:rPr>
          <w:rFonts w:hint="cs"/>
          <w:spacing w:val="0"/>
          <w:kern w:val="0"/>
          <w:sz w:val="26"/>
          <w:szCs w:val="26"/>
          <w:rtl/>
        </w:rPr>
        <w:t xml:space="preserve"> المادتين 1 و2 من الفصل 4 من قانون الأجانب وتعليق اللجنة العام رقم 1(1996) بشأن تنفيذ المادة 3 من الاتفاقية </w:t>
      </w:r>
      <w:r w:rsidRPr="00A85948">
        <w:rPr>
          <w:rFonts w:hint="cs"/>
          <w:i/>
          <w:iCs/>
          <w:spacing w:val="0"/>
          <w:kern w:val="0"/>
          <w:sz w:val="26"/>
          <w:szCs w:val="26"/>
          <w:rtl/>
          <w:lang/>
        </w:rPr>
        <w:t xml:space="preserve">(الوثائق الرسمية للجمعية العامة، الدورة الثالثة والخمسون، الملحق رقم 44 </w:t>
      </w:r>
      <w:r w:rsidRPr="00A85948">
        <w:rPr>
          <w:rFonts w:hint="cs"/>
          <w:spacing w:val="0"/>
          <w:kern w:val="0"/>
          <w:sz w:val="26"/>
          <w:szCs w:val="26"/>
          <w:rtl/>
          <w:lang/>
        </w:rPr>
        <w:t>(</w:t>
      </w:r>
      <w:r w:rsidRPr="00A85948">
        <w:rPr>
          <w:rFonts w:hint="cs"/>
          <w:spacing w:val="0"/>
          <w:kern w:val="0"/>
          <w:sz w:val="18"/>
          <w:szCs w:val="18"/>
          <w:lang/>
        </w:rPr>
        <w:t>A/53/44</w:t>
      </w:r>
      <w:r w:rsidRPr="00A85948">
        <w:rPr>
          <w:rFonts w:hint="cs"/>
          <w:i/>
          <w:iCs/>
          <w:spacing w:val="0"/>
          <w:kern w:val="0"/>
          <w:sz w:val="26"/>
          <w:szCs w:val="26"/>
          <w:rtl/>
          <w:lang/>
        </w:rPr>
        <w:t xml:space="preserve">، </w:t>
      </w:r>
      <w:r w:rsidRPr="00A85948">
        <w:rPr>
          <w:rFonts w:hint="cs"/>
          <w:spacing w:val="0"/>
          <w:kern w:val="0"/>
          <w:sz w:val="26"/>
          <w:szCs w:val="26"/>
          <w:rtl/>
          <w:lang/>
        </w:rPr>
        <w:t>و</w:t>
      </w:r>
      <w:r w:rsidRPr="00A85948">
        <w:rPr>
          <w:spacing w:val="0"/>
          <w:kern w:val="0"/>
          <w:sz w:val="18"/>
          <w:szCs w:val="18"/>
          <w:lang/>
        </w:rPr>
        <w:t>Corr.1</w:t>
      </w:r>
      <w:r w:rsidRPr="00A85948">
        <w:rPr>
          <w:rFonts w:hint="cs"/>
          <w:spacing w:val="0"/>
          <w:kern w:val="0"/>
          <w:sz w:val="26"/>
          <w:szCs w:val="26"/>
          <w:rtl/>
          <w:lang/>
        </w:rPr>
        <w:t>)، المرفق التاسع)</w:t>
      </w:r>
      <w:r w:rsidRPr="00A85948">
        <w:rPr>
          <w:rFonts w:hint="cs"/>
          <w:spacing w:val="0"/>
          <w:kern w:val="0"/>
          <w:sz w:val="26"/>
          <w:szCs w:val="26"/>
          <w:rtl/>
        </w:rPr>
        <w:t>.</w:t>
      </w:r>
    </w:p>
  </w:footnote>
  <w:footnote w:id="333">
    <w:p w:rsidR="00D64D4C" w:rsidRPr="00A85948" w:rsidRDefault="00D64D4C" w:rsidP="00A85948">
      <w:pPr>
        <w:pStyle w:val="FootnoteText"/>
        <w:tabs>
          <w:tab w:val="left" w:pos="1211"/>
        </w:tabs>
        <w:spacing w:after="60" w:line="300" w:lineRule="exact"/>
        <w:ind w:left="1211" w:right="1247" w:hanging="490"/>
        <w:jc w:val="lowKashida"/>
        <w:rPr>
          <w:rFonts w:hint="cs"/>
          <w:spacing w:val="0"/>
          <w:kern w:val="0"/>
          <w:sz w:val="18"/>
          <w:szCs w:val="26"/>
        </w:rPr>
      </w:pPr>
      <w:r w:rsidRPr="00A85948">
        <w:rPr>
          <w:rFonts w:hint="cs"/>
          <w:spacing w:val="0"/>
          <w:kern w:val="0"/>
          <w:sz w:val="18"/>
          <w:szCs w:val="26"/>
          <w:rtl/>
        </w:rPr>
        <w:t>(</w:t>
      </w:r>
      <w:r w:rsidRPr="00A85948">
        <w:rPr>
          <w:rFonts w:hint="cs"/>
          <w:spacing w:val="0"/>
          <w:kern w:val="0"/>
          <w:sz w:val="26"/>
          <w:szCs w:val="26"/>
          <w:rtl/>
        </w:rPr>
        <w:t>س</w:t>
      </w:r>
      <w:r w:rsidRPr="00A85948">
        <w:rPr>
          <w:rFonts w:hint="cs"/>
          <w:spacing w:val="0"/>
          <w:kern w:val="0"/>
          <w:sz w:val="18"/>
          <w:szCs w:val="26"/>
          <w:rtl/>
        </w:rPr>
        <w:t>)</w:t>
      </w:r>
      <w:r w:rsidRPr="00A85948">
        <w:rPr>
          <w:rFonts w:hint="cs"/>
          <w:spacing w:val="0"/>
          <w:kern w:val="0"/>
          <w:sz w:val="18"/>
          <w:szCs w:val="26"/>
          <w:rtl/>
        </w:rPr>
        <w:tab/>
      </w:r>
      <w:r w:rsidRPr="00A85948">
        <w:rPr>
          <w:rFonts w:hint="cs"/>
          <w:spacing w:val="0"/>
          <w:kern w:val="0"/>
          <w:sz w:val="18"/>
          <w:szCs w:val="26"/>
          <w:rtl/>
          <w:lang w:val="en-CA"/>
        </w:rPr>
        <w:t xml:space="preserve">يمكن الرجوع إلى البلاغ رقم 149/1999، </w:t>
      </w:r>
      <w:r w:rsidRPr="00A85948">
        <w:rPr>
          <w:rFonts w:hint="cs"/>
          <w:i/>
          <w:iCs/>
          <w:spacing w:val="0"/>
          <w:kern w:val="0"/>
          <w:sz w:val="18"/>
          <w:szCs w:val="26"/>
          <w:rtl/>
          <w:lang w:val="en-CA"/>
        </w:rPr>
        <w:t>أ. س. ضد السويد</w:t>
      </w:r>
      <w:r w:rsidRPr="00A85948">
        <w:rPr>
          <w:rFonts w:hint="cs"/>
          <w:spacing w:val="0"/>
          <w:kern w:val="0"/>
          <w:sz w:val="18"/>
          <w:szCs w:val="26"/>
          <w:rtl/>
          <w:lang w:val="en-CA"/>
        </w:rPr>
        <w:t>، الآراء المعتمدة في 24 تشرين الثاني/</w:t>
      </w:r>
      <w:r>
        <w:rPr>
          <w:rFonts w:hint="cs"/>
          <w:spacing w:val="0"/>
          <w:kern w:val="0"/>
          <w:sz w:val="18"/>
          <w:szCs w:val="26"/>
          <w:rtl/>
          <w:lang w:val="en-CA"/>
        </w:rPr>
        <w:t xml:space="preserve"> </w:t>
      </w:r>
      <w:r w:rsidRPr="00A85948">
        <w:rPr>
          <w:rFonts w:hint="cs"/>
          <w:spacing w:val="0"/>
          <w:kern w:val="0"/>
          <w:sz w:val="18"/>
          <w:szCs w:val="26"/>
          <w:rtl/>
          <w:lang w:val="en-CA"/>
        </w:rPr>
        <w:t>نوفمبر 2000، الفقرة 8-6.</w:t>
      </w:r>
    </w:p>
  </w:footnote>
  <w:footnote w:id="334">
    <w:p w:rsidR="00D64D4C" w:rsidRPr="00A85948" w:rsidRDefault="00D64D4C" w:rsidP="00A85948">
      <w:pPr>
        <w:pStyle w:val="FootnoteText"/>
        <w:tabs>
          <w:tab w:val="left" w:pos="1211"/>
        </w:tabs>
        <w:spacing w:after="60" w:line="300" w:lineRule="exact"/>
        <w:ind w:left="1211" w:right="1247" w:hanging="476"/>
        <w:jc w:val="lowKashida"/>
        <w:rPr>
          <w:rFonts w:hint="cs"/>
          <w:spacing w:val="0"/>
          <w:kern w:val="0"/>
          <w:sz w:val="18"/>
          <w:szCs w:val="26"/>
        </w:rPr>
      </w:pPr>
      <w:r w:rsidRPr="00A85948">
        <w:rPr>
          <w:rFonts w:hint="cs"/>
          <w:spacing w:val="0"/>
          <w:kern w:val="0"/>
          <w:sz w:val="18"/>
          <w:szCs w:val="26"/>
          <w:rtl/>
        </w:rPr>
        <w:t>(ع)</w:t>
      </w:r>
      <w:r w:rsidRPr="00A85948">
        <w:rPr>
          <w:rFonts w:hint="cs"/>
          <w:spacing w:val="0"/>
          <w:kern w:val="0"/>
          <w:sz w:val="18"/>
          <w:szCs w:val="26"/>
          <w:rtl/>
        </w:rPr>
        <w:tab/>
      </w:r>
      <w:r w:rsidRPr="00A85948">
        <w:rPr>
          <w:rFonts w:hint="cs"/>
          <w:spacing w:val="0"/>
          <w:kern w:val="0"/>
          <w:sz w:val="18"/>
          <w:szCs w:val="26"/>
          <w:rtl/>
          <w:lang w:val="en-CA"/>
        </w:rPr>
        <w:t xml:space="preserve">في هذا الصدد، تشير اللجنة إلى رأيها السابق، حسبما ورد في تعليقها العام رقم 2(2007) بشأن تنفيذ الدول الأطراف للمادة 2 من الاتفاقية </w:t>
      </w:r>
      <w:r w:rsidRPr="00A85948">
        <w:rPr>
          <w:rFonts w:hint="cs"/>
          <w:i/>
          <w:iCs/>
          <w:spacing w:val="0"/>
          <w:kern w:val="0"/>
          <w:sz w:val="18"/>
          <w:szCs w:val="26"/>
          <w:rtl/>
          <w:lang/>
        </w:rPr>
        <w:t>(الوثائق الرسمية للجمعية العامة، الدورة الثالثة والستون، الملحق رقم</w:t>
      </w:r>
      <w:r>
        <w:rPr>
          <w:rFonts w:hint="eastAsia"/>
          <w:i/>
          <w:iCs/>
          <w:spacing w:val="0"/>
          <w:kern w:val="0"/>
          <w:sz w:val="18"/>
          <w:szCs w:val="26"/>
          <w:rtl/>
          <w:lang/>
        </w:rPr>
        <w:t> </w:t>
      </w:r>
      <w:r w:rsidRPr="00A85948">
        <w:rPr>
          <w:rFonts w:hint="cs"/>
          <w:i/>
          <w:iCs/>
          <w:spacing w:val="0"/>
          <w:kern w:val="0"/>
          <w:sz w:val="18"/>
          <w:szCs w:val="26"/>
          <w:rtl/>
          <w:lang/>
        </w:rPr>
        <w:t>44 (</w:t>
      </w:r>
      <w:r w:rsidRPr="00A85948">
        <w:rPr>
          <w:rFonts w:eastAsia="SimSun"/>
          <w:spacing w:val="0"/>
          <w:kern w:val="0"/>
          <w:sz w:val="18"/>
          <w:szCs w:val="26"/>
          <w:lang w:val="en-CA" w:eastAsia="zh-CN"/>
        </w:rPr>
        <w:t>A/63/44</w:t>
      </w:r>
      <w:r w:rsidRPr="00A85948">
        <w:rPr>
          <w:rFonts w:hint="cs"/>
          <w:i/>
          <w:iCs/>
          <w:spacing w:val="0"/>
          <w:kern w:val="0"/>
          <w:sz w:val="18"/>
          <w:szCs w:val="26"/>
          <w:rtl/>
          <w:lang/>
        </w:rPr>
        <w:t xml:space="preserve">)، </w:t>
      </w:r>
      <w:r w:rsidRPr="00A85948">
        <w:rPr>
          <w:rFonts w:hint="cs"/>
          <w:spacing w:val="0"/>
          <w:kern w:val="0"/>
          <w:sz w:val="18"/>
          <w:szCs w:val="26"/>
          <w:rtl/>
          <w:lang/>
        </w:rPr>
        <w:t>المرفق السادس، الفقرة 18)</w:t>
      </w:r>
      <w:r w:rsidRPr="00A85948">
        <w:rPr>
          <w:rFonts w:hint="cs"/>
          <w:spacing w:val="0"/>
          <w:kern w:val="0"/>
          <w:sz w:val="18"/>
          <w:szCs w:val="26"/>
          <w:rtl/>
        </w:rPr>
        <w:t>، والذي يفيد بأن الدول الأطراف تتحمل المسؤولية عن أعمال التعذيب أو سوء المعاملة التي ترتكبها جهات فاعلة خاصة استناداً إلى موافقتها على هذا التعذيب أو</w:t>
      </w:r>
      <w:r>
        <w:rPr>
          <w:rFonts w:hint="eastAsia"/>
          <w:spacing w:val="0"/>
          <w:kern w:val="0"/>
          <w:sz w:val="18"/>
          <w:szCs w:val="26"/>
          <w:rtl/>
        </w:rPr>
        <w:t> </w:t>
      </w:r>
      <w:r w:rsidRPr="00A85948">
        <w:rPr>
          <w:rFonts w:hint="cs"/>
          <w:spacing w:val="0"/>
          <w:kern w:val="0"/>
          <w:sz w:val="18"/>
          <w:szCs w:val="26"/>
          <w:rtl/>
        </w:rPr>
        <w:t>قبولها به، وذلك حينما تكون السلطات على علم به ولديها أسباب معقولة تدفع إلى الاعتقاد بارتكاب هذه الأعمال وعجزت عن ممارسة الحماية الواجبة لمنع وقوعها والتحقيق مع الجناة ومقاضاتهم ومعاقبتهم.</w:t>
      </w:r>
    </w:p>
  </w:footnote>
  <w:footnote w:id="335">
    <w:p w:rsidR="00D64D4C" w:rsidRPr="00A85948" w:rsidRDefault="00D64D4C" w:rsidP="00A85948">
      <w:pPr>
        <w:pStyle w:val="FootnoteText"/>
        <w:tabs>
          <w:tab w:val="left" w:pos="1211"/>
        </w:tabs>
        <w:spacing w:after="60" w:line="300" w:lineRule="exact"/>
        <w:ind w:left="1211" w:right="1247" w:hanging="476"/>
        <w:jc w:val="lowKashida"/>
        <w:rPr>
          <w:rFonts w:hint="cs"/>
          <w:spacing w:val="0"/>
          <w:kern w:val="0"/>
          <w:sz w:val="18"/>
          <w:szCs w:val="26"/>
        </w:rPr>
      </w:pPr>
      <w:r w:rsidRPr="00A85948">
        <w:rPr>
          <w:rFonts w:hint="cs"/>
          <w:spacing w:val="0"/>
          <w:kern w:val="0"/>
          <w:sz w:val="18"/>
          <w:szCs w:val="26"/>
          <w:rtl/>
        </w:rPr>
        <w:t>(ف)</w:t>
      </w:r>
      <w:r w:rsidRPr="00A85948">
        <w:rPr>
          <w:rFonts w:hint="cs"/>
          <w:spacing w:val="0"/>
          <w:kern w:val="0"/>
          <w:sz w:val="18"/>
          <w:szCs w:val="26"/>
          <w:rtl/>
        </w:rPr>
        <w:tab/>
      </w:r>
      <w:r w:rsidRPr="00A85948">
        <w:rPr>
          <w:rFonts w:hint="cs"/>
          <w:spacing w:val="0"/>
          <w:kern w:val="0"/>
          <w:sz w:val="18"/>
          <w:szCs w:val="26"/>
          <w:rtl/>
          <w:lang w:val="en-CA"/>
        </w:rPr>
        <w:t>تعليق اللجنة العام رقم 1، الفقرة 6.</w:t>
      </w:r>
    </w:p>
  </w:footnote>
  <w:footnote w:id="336">
    <w:p w:rsidR="00D64D4C" w:rsidRPr="00A85948" w:rsidRDefault="00D64D4C" w:rsidP="00A85948">
      <w:pPr>
        <w:pStyle w:val="FootnoteText"/>
        <w:tabs>
          <w:tab w:val="left" w:pos="1211"/>
        </w:tabs>
        <w:spacing w:after="60" w:line="300" w:lineRule="exact"/>
        <w:ind w:left="1211" w:right="1247" w:hanging="476"/>
        <w:jc w:val="lowKashida"/>
        <w:rPr>
          <w:rFonts w:hint="cs"/>
          <w:spacing w:val="0"/>
          <w:kern w:val="0"/>
          <w:sz w:val="18"/>
          <w:szCs w:val="26"/>
        </w:rPr>
      </w:pPr>
      <w:r w:rsidRPr="00A85948">
        <w:rPr>
          <w:rFonts w:hint="cs"/>
          <w:spacing w:val="0"/>
          <w:kern w:val="0"/>
          <w:sz w:val="18"/>
          <w:szCs w:val="26"/>
          <w:rtl/>
        </w:rPr>
        <w:t>(ص)</w:t>
      </w:r>
      <w:r w:rsidRPr="00A85948">
        <w:rPr>
          <w:rFonts w:hint="cs"/>
          <w:spacing w:val="0"/>
          <w:kern w:val="0"/>
          <w:sz w:val="18"/>
          <w:szCs w:val="26"/>
          <w:rtl/>
        </w:rPr>
        <w:tab/>
      </w:r>
      <w:r w:rsidRPr="00A85948">
        <w:rPr>
          <w:rFonts w:hint="cs"/>
          <w:spacing w:val="0"/>
          <w:kern w:val="0"/>
          <w:sz w:val="18"/>
          <w:szCs w:val="26"/>
          <w:rtl/>
          <w:lang w:val="en-CA"/>
        </w:rPr>
        <w:t>انظر على سبيل المثال</w:t>
      </w:r>
      <w:r w:rsidRPr="00A85948">
        <w:rPr>
          <w:rFonts w:hint="cs"/>
          <w:spacing w:val="0"/>
          <w:kern w:val="0"/>
          <w:sz w:val="18"/>
          <w:szCs w:val="26"/>
          <w:rtl/>
        </w:rPr>
        <w:t xml:space="preserve"> البلاغ رقم 203/2002، </w:t>
      </w:r>
      <w:r w:rsidRPr="00A85948">
        <w:rPr>
          <w:rFonts w:hint="cs"/>
          <w:i/>
          <w:iCs/>
          <w:spacing w:val="0"/>
          <w:kern w:val="0"/>
          <w:sz w:val="18"/>
          <w:szCs w:val="26"/>
          <w:rtl/>
        </w:rPr>
        <w:t>أ. ر. ضد هولندا</w:t>
      </w:r>
      <w:r w:rsidRPr="00A85948">
        <w:rPr>
          <w:rFonts w:hint="cs"/>
          <w:spacing w:val="0"/>
          <w:kern w:val="0"/>
          <w:sz w:val="18"/>
          <w:szCs w:val="26"/>
          <w:rtl/>
        </w:rPr>
        <w:t>، القرار المعتمد في 14 تشرين الثاني/نوفمبر 2003، الفقرة 7-3.</w:t>
      </w:r>
    </w:p>
  </w:footnote>
  <w:footnote w:id="337">
    <w:p w:rsidR="00D64D4C" w:rsidRPr="00A85948" w:rsidRDefault="00D64D4C" w:rsidP="00A85948">
      <w:pPr>
        <w:pStyle w:val="FootnoteText"/>
        <w:tabs>
          <w:tab w:val="left" w:pos="1211"/>
        </w:tabs>
        <w:spacing w:after="60" w:line="300" w:lineRule="exact"/>
        <w:ind w:left="1211" w:right="1247" w:hanging="434"/>
        <w:jc w:val="lowKashida"/>
        <w:rPr>
          <w:rFonts w:hint="cs"/>
          <w:spacing w:val="0"/>
          <w:kern w:val="0"/>
          <w:sz w:val="18"/>
          <w:szCs w:val="26"/>
          <w:rtl/>
          <w:lang w:val="en-CA"/>
        </w:rPr>
      </w:pPr>
      <w:r w:rsidRPr="00A85948">
        <w:rPr>
          <w:rFonts w:hint="cs"/>
          <w:spacing w:val="0"/>
          <w:kern w:val="0"/>
          <w:sz w:val="18"/>
          <w:szCs w:val="26"/>
          <w:rtl/>
        </w:rPr>
        <w:t>(</w:t>
      </w:r>
      <w:r w:rsidRPr="00A85948">
        <w:rPr>
          <w:rFonts w:hint="cs"/>
          <w:spacing w:val="0"/>
          <w:kern w:val="0"/>
          <w:sz w:val="26"/>
          <w:szCs w:val="26"/>
          <w:rtl/>
        </w:rPr>
        <w:t>ق</w:t>
      </w:r>
      <w:r w:rsidRPr="00A85948">
        <w:rPr>
          <w:rFonts w:hint="cs"/>
          <w:spacing w:val="0"/>
          <w:kern w:val="0"/>
          <w:sz w:val="18"/>
          <w:szCs w:val="26"/>
          <w:rtl/>
        </w:rPr>
        <w:t>)</w:t>
      </w:r>
      <w:r w:rsidRPr="00A85948">
        <w:rPr>
          <w:rFonts w:hint="cs"/>
          <w:spacing w:val="0"/>
          <w:kern w:val="0"/>
          <w:sz w:val="18"/>
          <w:szCs w:val="26"/>
          <w:rtl/>
        </w:rPr>
        <w:tab/>
        <w:t xml:space="preserve">انظر، في جملة أمور، البلاغ رقم 356/2008، </w:t>
      </w:r>
      <w:r w:rsidRPr="00A85948">
        <w:rPr>
          <w:rFonts w:hint="cs"/>
          <w:i/>
          <w:iCs/>
          <w:spacing w:val="0"/>
          <w:kern w:val="0"/>
          <w:sz w:val="18"/>
          <w:szCs w:val="26"/>
          <w:rtl/>
        </w:rPr>
        <w:t>ن. س. ضد سويسرا</w:t>
      </w:r>
      <w:r w:rsidRPr="00A85948">
        <w:rPr>
          <w:rFonts w:hint="cs"/>
          <w:spacing w:val="0"/>
          <w:kern w:val="0"/>
          <w:sz w:val="18"/>
          <w:szCs w:val="26"/>
          <w:rtl/>
        </w:rPr>
        <w:t>، القرار المعتمد في 6 أيار/         مايو 2010، الفقرة 7-3.</w:t>
      </w:r>
    </w:p>
  </w:footnote>
  <w:footnote w:id="338">
    <w:p w:rsidR="00D64D4C" w:rsidRPr="00A85948" w:rsidRDefault="00D64D4C" w:rsidP="00A85948">
      <w:pPr>
        <w:pStyle w:val="FootnoteText"/>
        <w:tabs>
          <w:tab w:val="left" w:pos="1211"/>
        </w:tabs>
        <w:spacing w:after="60" w:line="300" w:lineRule="exact"/>
        <w:ind w:left="1211" w:right="1247" w:hanging="434"/>
        <w:jc w:val="lowKashida"/>
        <w:rPr>
          <w:rFonts w:hint="cs"/>
          <w:spacing w:val="0"/>
          <w:kern w:val="0"/>
          <w:sz w:val="18"/>
          <w:szCs w:val="26"/>
          <w:rtl/>
          <w:lang w:val="en-CA"/>
        </w:rPr>
      </w:pPr>
      <w:r w:rsidRPr="00A85948">
        <w:rPr>
          <w:rFonts w:hint="cs"/>
          <w:spacing w:val="0"/>
          <w:kern w:val="0"/>
          <w:sz w:val="18"/>
          <w:szCs w:val="26"/>
          <w:rtl/>
        </w:rPr>
        <w:t>(</w:t>
      </w:r>
      <w:r w:rsidRPr="00A85948">
        <w:rPr>
          <w:rFonts w:hint="cs"/>
          <w:spacing w:val="0"/>
          <w:kern w:val="0"/>
          <w:sz w:val="26"/>
          <w:szCs w:val="26"/>
          <w:rtl/>
        </w:rPr>
        <w:t>ر</w:t>
      </w:r>
      <w:r w:rsidRPr="00A85948">
        <w:rPr>
          <w:rFonts w:hint="cs"/>
          <w:spacing w:val="0"/>
          <w:kern w:val="0"/>
          <w:sz w:val="18"/>
          <w:szCs w:val="26"/>
          <w:rtl/>
        </w:rPr>
        <w:t>)</w:t>
      </w:r>
      <w:r w:rsidRPr="00A85948">
        <w:rPr>
          <w:rFonts w:hint="cs"/>
          <w:spacing w:val="0"/>
          <w:kern w:val="0"/>
          <w:sz w:val="18"/>
          <w:szCs w:val="26"/>
          <w:rtl/>
        </w:rPr>
        <w:tab/>
        <w:t>استنتاجات لجنة مناهضة التعذيب وتوصياتها: بوروندي (</w:t>
      </w:r>
      <w:r w:rsidRPr="00A85948">
        <w:rPr>
          <w:spacing w:val="0"/>
          <w:kern w:val="0"/>
          <w:sz w:val="18"/>
          <w:szCs w:val="18"/>
        </w:rPr>
        <w:t>CAT/C/BDI/CO/1</w:t>
      </w:r>
      <w:r w:rsidRPr="00A85948">
        <w:rPr>
          <w:rFonts w:hint="cs"/>
          <w:spacing w:val="0"/>
          <w:kern w:val="0"/>
          <w:sz w:val="18"/>
          <w:szCs w:val="26"/>
          <w:rtl/>
        </w:rPr>
        <w:t>).</w:t>
      </w:r>
    </w:p>
  </w:footnote>
  <w:footnote w:id="339">
    <w:p w:rsidR="00D64D4C" w:rsidRPr="00AA537D" w:rsidRDefault="00D64D4C" w:rsidP="00325C94">
      <w:pPr>
        <w:pStyle w:val="FootnoteText"/>
        <w:numPr>
          <w:ilvl w:val="0"/>
          <w:numId w:val="41"/>
        </w:numPr>
        <w:tabs>
          <w:tab w:val="clear" w:pos="7904"/>
          <w:tab w:val="num" w:pos="1239"/>
        </w:tabs>
        <w:spacing w:after="60" w:line="280" w:lineRule="exact"/>
        <w:ind w:left="1248" w:right="1247" w:hanging="227"/>
        <w:jc w:val="lowKashida"/>
        <w:rPr>
          <w:rFonts w:hint="cs"/>
          <w:spacing w:val="0"/>
          <w:kern w:val="0"/>
          <w:sz w:val="18"/>
        </w:rPr>
      </w:pPr>
      <w:r w:rsidRPr="00AA537D">
        <w:rPr>
          <w:rFonts w:hint="cs"/>
          <w:spacing w:val="0"/>
          <w:kern w:val="0"/>
          <w:sz w:val="18"/>
          <w:szCs w:val="26"/>
          <w:rtl/>
        </w:rPr>
        <w:t xml:space="preserve">الفقرة 1 من المادة 114 من النظام الداخلي الحالي </w:t>
      </w:r>
      <w:r w:rsidRPr="00AA537D">
        <w:rPr>
          <w:spacing w:val="0"/>
          <w:kern w:val="0"/>
          <w:sz w:val="18"/>
          <w:szCs w:val="26"/>
        </w:rPr>
        <w:t>(CAT/C/3/Rev.5)</w:t>
      </w:r>
      <w:r w:rsidRPr="00AA537D">
        <w:rPr>
          <w:rFonts w:hint="cs"/>
          <w:spacing w:val="0"/>
          <w:kern w:val="0"/>
          <w:sz w:val="18"/>
          <w:szCs w:val="26"/>
          <w:rtl/>
        </w:rPr>
        <w:t>.</w:t>
      </w:r>
    </w:p>
  </w:footnote>
  <w:footnote w:id="340">
    <w:p w:rsidR="00D64D4C" w:rsidRPr="00DF61FC" w:rsidRDefault="00D64D4C" w:rsidP="00AA537D">
      <w:pPr>
        <w:pStyle w:val="FootnoteText"/>
        <w:numPr>
          <w:ilvl w:val="0"/>
          <w:numId w:val="41"/>
        </w:numPr>
        <w:tabs>
          <w:tab w:val="clear" w:pos="7904"/>
          <w:tab w:val="num" w:pos="1239"/>
        </w:tabs>
        <w:spacing w:after="60" w:line="280" w:lineRule="exact"/>
        <w:ind w:left="1248" w:right="1247" w:hanging="227"/>
        <w:jc w:val="lowKashida"/>
        <w:rPr>
          <w:rFonts w:hint="cs"/>
          <w:spacing w:val="0"/>
          <w:kern w:val="0"/>
          <w:sz w:val="26"/>
          <w:szCs w:val="26"/>
        </w:rPr>
      </w:pPr>
      <w:r w:rsidRPr="00DF61FC">
        <w:rPr>
          <w:rFonts w:hint="cs"/>
          <w:spacing w:val="0"/>
          <w:kern w:val="0"/>
          <w:sz w:val="26"/>
          <w:szCs w:val="26"/>
          <w:rtl/>
        </w:rPr>
        <w:t>يشير صاحب الشكوى إلى</w:t>
      </w:r>
      <w:r w:rsidRPr="00DF61FC">
        <w:rPr>
          <w:rFonts w:hint="cs"/>
          <w:spacing w:val="0"/>
          <w:kern w:val="0"/>
          <w:rtl/>
        </w:rPr>
        <w:t>:</w:t>
      </w:r>
      <w:r w:rsidRPr="00DF61FC">
        <w:rPr>
          <w:spacing w:val="0"/>
          <w:kern w:val="0"/>
          <w:sz w:val="18"/>
          <w:szCs w:val="18"/>
        </w:rPr>
        <w:t>United States Department of State 2009 Country Reports on Human Rights Practices: Ethiopia</w:t>
      </w:r>
      <w:r w:rsidRPr="00DF61FC">
        <w:rPr>
          <w:rFonts w:hint="cs"/>
          <w:spacing w:val="0"/>
          <w:kern w:val="0"/>
          <w:sz w:val="18"/>
          <w:szCs w:val="26"/>
          <w:rtl/>
        </w:rPr>
        <w:t xml:space="preserve"> </w:t>
      </w:r>
      <w:r w:rsidRPr="00DF61FC">
        <w:rPr>
          <w:rFonts w:hint="cs"/>
          <w:spacing w:val="0"/>
          <w:kern w:val="0"/>
          <w:sz w:val="26"/>
          <w:szCs w:val="26"/>
          <w:rtl/>
        </w:rPr>
        <w:t>(التقارير القطرية بشأن ممارسات حقوق الإنسان لعام 2009، الصادرة عن وزارة الخارجية الأمريكية، بشأن إثيوبيا).</w:t>
      </w:r>
    </w:p>
  </w:footnote>
  <w:footnote w:id="341">
    <w:p w:rsidR="00D64D4C" w:rsidRPr="00DF61FC" w:rsidRDefault="00D64D4C" w:rsidP="00AA537D">
      <w:pPr>
        <w:pStyle w:val="FootnoteText"/>
        <w:numPr>
          <w:ilvl w:val="0"/>
          <w:numId w:val="41"/>
        </w:numPr>
        <w:tabs>
          <w:tab w:val="clear" w:pos="7904"/>
          <w:tab w:val="num" w:pos="1239"/>
        </w:tabs>
        <w:spacing w:after="60" w:line="280" w:lineRule="exact"/>
        <w:ind w:left="1248" w:right="1247" w:hanging="227"/>
        <w:jc w:val="lowKashida"/>
        <w:rPr>
          <w:rFonts w:hint="cs"/>
          <w:spacing w:val="0"/>
          <w:kern w:val="0"/>
          <w:sz w:val="18"/>
          <w:szCs w:val="26"/>
        </w:rPr>
      </w:pPr>
      <w:r w:rsidRPr="00DF61FC">
        <w:rPr>
          <w:rFonts w:hint="cs"/>
          <w:spacing w:val="0"/>
          <w:kern w:val="0"/>
          <w:sz w:val="26"/>
          <w:szCs w:val="26"/>
          <w:rtl/>
        </w:rPr>
        <w:t xml:space="preserve">يشير صاحب </w:t>
      </w:r>
      <w:r w:rsidRPr="00DF61FC">
        <w:rPr>
          <w:rFonts w:hint="cs"/>
          <w:spacing w:val="0"/>
          <w:kern w:val="0"/>
          <w:sz w:val="18"/>
          <w:szCs w:val="26"/>
          <w:rtl/>
        </w:rPr>
        <w:t>الشكوى</w:t>
      </w:r>
      <w:r w:rsidRPr="00DF61FC">
        <w:rPr>
          <w:rFonts w:hint="cs"/>
          <w:spacing w:val="0"/>
          <w:kern w:val="0"/>
          <w:sz w:val="26"/>
          <w:szCs w:val="26"/>
          <w:rtl/>
        </w:rPr>
        <w:t xml:space="preserve"> إلى:</w:t>
      </w:r>
      <w:r w:rsidRPr="00DF61FC">
        <w:rPr>
          <w:rFonts w:hint="cs"/>
          <w:spacing w:val="0"/>
          <w:kern w:val="0"/>
          <w:sz w:val="18"/>
          <w:szCs w:val="26"/>
          <w:rtl/>
        </w:rPr>
        <w:t xml:space="preserve"> </w:t>
      </w:r>
      <w:r w:rsidRPr="00DF61FC">
        <w:rPr>
          <w:spacing w:val="0"/>
          <w:kern w:val="0"/>
        </w:rPr>
        <w:t>C</w:t>
      </w:r>
      <w:r w:rsidRPr="00DF61FC">
        <w:rPr>
          <w:spacing w:val="0"/>
          <w:kern w:val="0"/>
          <w:sz w:val="18"/>
          <w:szCs w:val="18"/>
        </w:rPr>
        <w:t>ommittee to Protect Journalists, “Attacks on the press 2009: Ethiopia”</w:t>
      </w:r>
      <w:r w:rsidRPr="00DF61FC">
        <w:rPr>
          <w:rFonts w:hint="cs"/>
          <w:spacing w:val="0"/>
          <w:kern w:val="0"/>
          <w:sz w:val="18"/>
          <w:szCs w:val="26"/>
          <w:rtl/>
        </w:rPr>
        <w:t xml:space="preserve"> </w:t>
      </w:r>
      <w:r w:rsidRPr="00DF61FC">
        <w:rPr>
          <w:rFonts w:hint="cs"/>
          <w:spacing w:val="0"/>
          <w:kern w:val="0"/>
          <w:sz w:val="26"/>
          <w:szCs w:val="26"/>
          <w:rtl/>
        </w:rPr>
        <w:t>(تقرير لجنة حماية الصحفيين "الاعتداءات على الصحافة، 2009: إثيوبيا").</w:t>
      </w:r>
    </w:p>
  </w:footnote>
  <w:footnote w:id="342">
    <w:p w:rsidR="00D64D4C" w:rsidRPr="00DF61FC" w:rsidRDefault="00D64D4C" w:rsidP="00AA537D">
      <w:pPr>
        <w:pStyle w:val="FootnoteText"/>
        <w:numPr>
          <w:ilvl w:val="0"/>
          <w:numId w:val="41"/>
        </w:numPr>
        <w:tabs>
          <w:tab w:val="clear" w:pos="7904"/>
          <w:tab w:val="num" w:pos="1239"/>
        </w:tabs>
        <w:spacing w:after="60" w:line="280" w:lineRule="exact"/>
        <w:ind w:left="1248" w:right="1247" w:hanging="227"/>
        <w:jc w:val="lowKashida"/>
        <w:rPr>
          <w:rFonts w:hint="cs"/>
          <w:spacing w:val="0"/>
          <w:kern w:val="0"/>
          <w:sz w:val="26"/>
          <w:szCs w:val="26"/>
        </w:rPr>
      </w:pPr>
      <w:r w:rsidRPr="00DF61FC">
        <w:rPr>
          <w:rFonts w:hint="cs"/>
          <w:spacing w:val="0"/>
          <w:kern w:val="0"/>
          <w:sz w:val="26"/>
          <w:szCs w:val="26"/>
          <w:rtl/>
        </w:rPr>
        <w:t xml:space="preserve">المرجع </w:t>
      </w:r>
      <w:r w:rsidRPr="00DF61FC">
        <w:rPr>
          <w:rFonts w:hint="cs"/>
          <w:spacing w:val="0"/>
          <w:kern w:val="0"/>
          <w:sz w:val="18"/>
          <w:szCs w:val="26"/>
          <w:rtl/>
        </w:rPr>
        <w:t>نفسه</w:t>
      </w:r>
      <w:r w:rsidRPr="00DF61FC">
        <w:rPr>
          <w:rFonts w:hint="cs"/>
          <w:spacing w:val="0"/>
          <w:kern w:val="0"/>
          <w:sz w:val="26"/>
          <w:szCs w:val="26"/>
          <w:rtl/>
        </w:rPr>
        <w:t>.</w:t>
      </w:r>
    </w:p>
  </w:footnote>
  <w:footnote w:id="343">
    <w:p w:rsidR="00D64D4C" w:rsidRPr="00DF61FC" w:rsidRDefault="00D64D4C" w:rsidP="00AA537D">
      <w:pPr>
        <w:pStyle w:val="FootnoteText"/>
        <w:spacing w:after="60" w:line="280" w:lineRule="exact"/>
        <w:ind w:left="1211" w:right="1247" w:hanging="476"/>
        <w:jc w:val="lowKashida"/>
        <w:rPr>
          <w:rFonts w:hint="cs"/>
          <w:spacing w:val="0"/>
          <w:kern w:val="0"/>
          <w:sz w:val="26"/>
          <w:szCs w:val="26"/>
        </w:rPr>
      </w:pPr>
      <w:r w:rsidRPr="00DF61FC">
        <w:rPr>
          <w:rFonts w:hint="cs"/>
          <w:spacing w:val="0"/>
          <w:kern w:val="0"/>
          <w:sz w:val="26"/>
          <w:szCs w:val="26"/>
          <w:rtl/>
        </w:rPr>
        <w:t>(ﻫ)</w:t>
      </w:r>
      <w:r w:rsidRPr="00DF61FC">
        <w:rPr>
          <w:rFonts w:hint="cs"/>
          <w:spacing w:val="0"/>
          <w:kern w:val="0"/>
          <w:sz w:val="26"/>
          <w:szCs w:val="26"/>
          <w:rtl/>
        </w:rPr>
        <w:tab/>
        <w:t>يشير صاحب الشكوى إلى:</w:t>
      </w:r>
      <w:r w:rsidRPr="00DF61FC">
        <w:rPr>
          <w:rFonts w:hint="cs"/>
          <w:spacing w:val="0"/>
          <w:kern w:val="0"/>
          <w:sz w:val="18"/>
          <w:szCs w:val="26"/>
          <w:rtl/>
        </w:rPr>
        <w:t xml:space="preserve"> </w:t>
      </w:r>
      <w:r w:rsidRPr="00DF61FC">
        <w:rPr>
          <w:spacing w:val="0"/>
          <w:kern w:val="0"/>
          <w:sz w:val="18"/>
          <w:szCs w:val="18"/>
        </w:rPr>
        <w:t xml:space="preserve">Human Rights Watch, </w:t>
      </w:r>
      <w:r w:rsidRPr="00DF61FC">
        <w:rPr>
          <w:i/>
          <w:spacing w:val="0"/>
          <w:kern w:val="0"/>
          <w:sz w:val="18"/>
          <w:szCs w:val="18"/>
        </w:rPr>
        <w:t>World Report 2009</w:t>
      </w:r>
      <w:r w:rsidRPr="00DF61FC">
        <w:rPr>
          <w:spacing w:val="0"/>
          <w:kern w:val="0"/>
          <w:sz w:val="18"/>
          <w:szCs w:val="18"/>
        </w:rPr>
        <w:t xml:space="preserve"> (New York, 2009), p. 71</w:t>
      </w:r>
      <w:r w:rsidRPr="00DF61FC">
        <w:rPr>
          <w:rFonts w:hint="cs"/>
          <w:spacing w:val="0"/>
          <w:kern w:val="0"/>
          <w:sz w:val="18"/>
          <w:szCs w:val="26"/>
          <w:rtl/>
        </w:rPr>
        <w:t xml:space="preserve"> </w:t>
      </w:r>
      <w:r w:rsidRPr="00DF61FC">
        <w:rPr>
          <w:rFonts w:hint="cs"/>
          <w:spacing w:val="0"/>
          <w:kern w:val="0"/>
          <w:sz w:val="26"/>
          <w:szCs w:val="26"/>
          <w:rtl/>
        </w:rPr>
        <w:t>(منظمة هيومن رايتس ووتش، التقرير العالمي لعام 2009 (نيويورك، 2009)، الصفحة 71 من النص الإنكليزي).</w:t>
      </w:r>
    </w:p>
  </w:footnote>
  <w:footnote w:id="344">
    <w:p w:rsidR="00D64D4C" w:rsidRPr="00DF61FC" w:rsidRDefault="00D64D4C" w:rsidP="00AA537D">
      <w:pPr>
        <w:pStyle w:val="FootnoteText"/>
        <w:spacing w:after="60" w:line="280" w:lineRule="exact"/>
        <w:ind w:left="1211" w:right="1247" w:hanging="476"/>
        <w:jc w:val="lowKashida"/>
        <w:rPr>
          <w:rFonts w:hint="cs"/>
          <w:spacing w:val="0"/>
          <w:kern w:val="0"/>
          <w:sz w:val="18"/>
          <w:szCs w:val="26"/>
        </w:rPr>
      </w:pPr>
      <w:r w:rsidRPr="00DF61FC">
        <w:rPr>
          <w:rFonts w:hint="cs"/>
          <w:spacing w:val="0"/>
          <w:kern w:val="0"/>
          <w:sz w:val="26"/>
          <w:szCs w:val="26"/>
          <w:rtl/>
        </w:rPr>
        <w:t>(و)</w:t>
      </w:r>
      <w:r w:rsidRPr="00DF61FC">
        <w:rPr>
          <w:rFonts w:hint="cs"/>
          <w:spacing w:val="0"/>
          <w:kern w:val="0"/>
          <w:sz w:val="26"/>
          <w:szCs w:val="26"/>
          <w:rtl/>
        </w:rPr>
        <w:tab/>
        <w:t xml:space="preserve">يشير </w:t>
      </w:r>
      <w:r w:rsidRPr="00DF61FC">
        <w:rPr>
          <w:rFonts w:hint="cs"/>
          <w:spacing w:val="0"/>
          <w:kern w:val="0"/>
          <w:sz w:val="18"/>
          <w:szCs w:val="26"/>
          <w:rtl/>
        </w:rPr>
        <w:t>صاحب</w:t>
      </w:r>
      <w:r w:rsidRPr="00DF61FC">
        <w:rPr>
          <w:rFonts w:hint="cs"/>
          <w:spacing w:val="0"/>
          <w:kern w:val="0"/>
          <w:sz w:val="26"/>
          <w:szCs w:val="26"/>
          <w:rtl/>
        </w:rPr>
        <w:t xml:space="preserve"> الشكوى إلى: </w:t>
      </w:r>
      <w:r w:rsidRPr="00DF61FC">
        <w:rPr>
          <w:spacing w:val="0"/>
          <w:kern w:val="0"/>
          <w:sz w:val="18"/>
          <w:szCs w:val="18"/>
        </w:rPr>
        <w:t>Committee to Protect Journalists, “Attacks on the press 2009: Ethiopia”</w:t>
      </w:r>
      <w:r w:rsidRPr="00DF61FC">
        <w:rPr>
          <w:rFonts w:hint="cs"/>
          <w:spacing w:val="0"/>
          <w:kern w:val="0"/>
          <w:sz w:val="18"/>
          <w:szCs w:val="26"/>
          <w:rtl/>
        </w:rPr>
        <w:t xml:space="preserve"> </w:t>
      </w:r>
      <w:r w:rsidRPr="00DF61FC">
        <w:rPr>
          <w:rFonts w:hint="cs"/>
          <w:spacing w:val="0"/>
          <w:kern w:val="0"/>
          <w:sz w:val="26"/>
          <w:szCs w:val="26"/>
          <w:rtl/>
        </w:rPr>
        <w:t>(تقرير لجنة حماية الصحفيين "الاعتداءات على الصحافة، 2009: إثيوبيا").</w:t>
      </w:r>
    </w:p>
  </w:footnote>
  <w:footnote w:id="345">
    <w:p w:rsidR="00D64D4C" w:rsidRPr="00DF61FC" w:rsidRDefault="00D64D4C" w:rsidP="00DF61FC">
      <w:pPr>
        <w:pStyle w:val="FootnoteText"/>
        <w:tabs>
          <w:tab w:val="left" w:pos="1247"/>
        </w:tabs>
        <w:spacing w:after="60" w:line="300" w:lineRule="exact"/>
        <w:ind w:left="1241" w:right="1247" w:hanging="476"/>
        <w:jc w:val="lowKashida"/>
        <w:rPr>
          <w:rFonts w:hint="cs"/>
          <w:spacing w:val="0"/>
          <w:kern w:val="0"/>
          <w:sz w:val="18"/>
          <w:szCs w:val="26"/>
        </w:rPr>
      </w:pPr>
      <w:r w:rsidRPr="00DF61FC">
        <w:rPr>
          <w:rFonts w:hint="cs"/>
          <w:spacing w:val="0"/>
          <w:kern w:val="0"/>
          <w:sz w:val="18"/>
          <w:szCs w:val="26"/>
          <w:rtl/>
        </w:rPr>
        <w:t>(ز)</w:t>
      </w:r>
      <w:r w:rsidRPr="00DF61FC">
        <w:rPr>
          <w:rFonts w:hint="cs"/>
          <w:spacing w:val="0"/>
          <w:kern w:val="0"/>
          <w:sz w:val="18"/>
          <w:szCs w:val="26"/>
          <w:rtl/>
        </w:rPr>
        <w:tab/>
        <w:t>تشير الدولة الطرف إلى تعليق اللجنة العام رقم 1(1997) بشأن تنفيذ المادة 3 من الاتفاقية في إطـار المادة</w:t>
      </w:r>
      <w:r>
        <w:rPr>
          <w:rFonts w:hint="eastAsia"/>
          <w:spacing w:val="0"/>
          <w:kern w:val="0"/>
          <w:sz w:val="18"/>
          <w:szCs w:val="26"/>
          <w:rtl/>
        </w:rPr>
        <w:t> </w:t>
      </w:r>
      <w:r w:rsidRPr="00DF61FC">
        <w:rPr>
          <w:rFonts w:hint="cs"/>
          <w:spacing w:val="0"/>
          <w:kern w:val="0"/>
          <w:sz w:val="18"/>
          <w:szCs w:val="26"/>
          <w:rtl/>
        </w:rPr>
        <w:t xml:space="preserve">22 </w:t>
      </w:r>
      <w:r w:rsidRPr="00DF61FC">
        <w:rPr>
          <w:rFonts w:hint="cs"/>
          <w:i/>
          <w:iCs/>
          <w:spacing w:val="0"/>
          <w:kern w:val="0"/>
          <w:sz w:val="18"/>
          <w:szCs w:val="26"/>
          <w:rtl/>
        </w:rPr>
        <w:t>(الوثائق الرسمية للجمعية العامة، الدورة الثالثة والخمسون، الملحق رقم 44</w:t>
      </w:r>
      <w:r w:rsidRPr="00DF61FC">
        <w:rPr>
          <w:rFonts w:hint="cs"/>
          <w:spacing w:val="0"/>
          <w:kern w:val="0"/>
          <w:sz w:val="18"/>
          <w:szCs w:val="26"/>
          <w:rtl/>
        </w:rPr>
        <w:t xml:space="preserve"> (</w:t>
      </w:r>
      <w:r w:rsidRPr="00DF61FC">
        <w:rPr>
          <w:spacing w:val="0"/>
          <w:kern w:val="0"/>
          <w:sz w:val="18"/>
          <w:szCs w:val="26"/>
        </w:rPr>
        <w:t>A/53/44</w:t>
      </w:r>
      <w:r>
        <w:rPr>
          <w:rFonts w:hint="cs"/>
          <w:spacing w:val="0"/>
          <w:kern w:val="0"/>
          <w:sz w:val="18"/>
          <w:szCs w:val="26"/>
          <w:rtl/>
        </w:rPr>
        <w:t xml:space="preserve"> و</w:t>
      </w:r>
      <w:r>
        <w:rPr>
          <w:spacing w:val="0"/>
          <w:kern w:val="0"/>
          <w:sz w:val="18"/>
          <w:szCs w:val="26"/>
        </w:rPr>
        <w:t>Corr.1</w:t>
      </w:r>
      <w:r w:rsidRPr="00DF61FC">
        <w:rPr>
          <w:rFonts w:hint="cs"/>
          <w:spacing w:val="0"/>
          <w:kern w:val="0"/>
          <w:sz w:val="18"/>
          <w:szCs w:val="26"/>
          <w:rtl/>
        </w:rPr>
        <w:t xml:space="preserve">)، المرفق التاسع)، الفقرتان 6 و8، والاجتهاد القضائي للجنة في البلاغ رقم 94/1997، </w:t>
      </w:r>
      <w:r w:rsidRPr="00DF61FC">
        <w:rPr>
          <w:rFonts w:hint="cs"/>
          <w:i/>
          <w:iCs/>
          <w:spacing w:val="0"/>
          <w:kern w:val="0"/>
          <w:sz w:val="18"/>
          <w:szCs w:val="26"/>
          <w:rtl/>
        </w:rPr>
        <w:t>ك. ن. ضد سويسرا</w:t>
      </w:r>
      <w:r w:rsidRPr="00DF61FC">
        <w:rPr>
          <w:rFonts w:hint="cs"/>
          <w:spacing w:val="0"/>
          <w:kern w:val="0"/>
          <w:sz w:val="18"/>
          <w:szCs w:val="26"/>
          <w:rtl/>
        </w:rPr>
        <w:t xml:space="preserve">، الآراء المعتمدة في 19 أيار/مايو 1998، الفقرة 10-2، والبلاغ رقم 100/1997، </w:t>
      </w:r>
      <w:r w:rsidRPr="00DF61FC">
        <w:rPr>
          <w:rFonts w:hint="cs"/>
          <w:i/>
          <w:iCs/>
          <w:spacing w:val="0"/>
          <w:kern w:val="0"/>
          <w:sz w:val="18"/>
          <w:szCs w:val="26"/>
          <w:rtl/>
        </w:rPr>
        <w:t>ج. يو. أ. ضد سويسرا</w:t>
      </w:r>
      <w:r w:rsidRPr="00DF61FC">
        <w:rPr>
          <w:rFonts w:hint="cs"/>
          <w:spacing w:val="0"/>
          <w:kern w:val="0"/>
          <w:sz w:val="18"/>
          <w:szCs w:val="26"/>
          <w:rtl/>
        </w:rPr>
        <w:t>، الآراء المعتمدة في 10 تشرين الثاني/نوفمبر 1998، الفقرتان 6-3 و6-5.</w:t>
      </w:r>
    </w:p>
  </w:footnote>
  <w:footnote w:id="346">
    <w:p w:rsidR="00D64D4C" w:rsidRPr="00DF61FC" w:rsidRDefault="00D64D4C" w:rsidP="00DF61FC">
      <w:pPr>
        <w:pStyle w:val="FootnoteText"/>
        <w:tabs>
          <w:tab w:val="left" w:pos="1247"/>
        </w:tabs>
        <w:spacing w:after="60" w:line="300" w:lineRule="exact"/>
        <w:ind w:left="1241" w:right="1247" w:hanging="476"/>
        <w:jc w:val="lowKashida"/>
        <w:rPr>
          <w:rFonts w:hint="cs"/>
          <w:spacing w:val="0"/>
          <w:kern w:val="0"/>
          <w:sz w:val="18"/>
          <w:szCs w:val="26"/>
        </w:rPr>
      </w:pPr>
      <w:r w:rsidRPr="00DF61FC">
        <w:rPr>
          <w:rFonts w:hint="cs"/>
          <w:spacing w:val="0"/>
          <w:kern w:val="0"/>
          <w:sz w:val="18"/>
          <w:szCs w:val="26"/>
          <w:rtl/>
        </w:rPr>
        <w:t>(ح)</w:t>
      </w:r>
      <w:r w:rsidRPr="00DF61FC">
        <w:rPr>
          <w:rFonts w:hint="cs"/>
          <w:spacing w:val="0"/>
          <w:kern w:val="0"/>
          <w:sz w:val="18"/>
          <w:szCs w:val="26"/>
          <w:rtl/>
        </w:rPr>
        <w:tab/>
        <w:t xml:space="preserve">تشير الدولة الطرف إلى: </w:t>
      </w:r>
      <w:r w:rsidRPr="00DF61FC">
        <w:rPr>
          <w:color w:val="000000"/>
          <w:spacing w:val="0"/>
          <w:kern w:val="0"/>
          <w:sz w:val="18"/>
          <w:szCs w:val="26"/>
        </w:rPr>
        <w:t>UK Border and Immigration Agency’s Operational Guidance Note on Ethiopia of March 2009, para. 3.7.9</w:t>
      </w:r>
      <w:r w:rsidRPr="00DF61FC">
        <w:rPr>
          <w:rFonts w:hint="cs"/>
          <w:spacing w:val="0"/>
          <w:kern w:val="0"/>
          <w:sz w:val="18"/>
          <w:szCs w:val="26"/>
          <w:rtl/>
        </w:rPr>
        <w:t>. (مذكرة التوجيه التنفيذي لوكالة الحدود والهجرة في المملكة المتحدة، بشأن إثيوبيا الصادرة في آذار/مارس 2009، الفقرة 3-7-9 من النص الإنكليزي).</w:t>
      </w:r>
    </w:p>
  </w:footnote>
  <w:footnote w:id="347">
    <w:p w:rsidR="00D64D4C" w:rsidRPr="00AA537D" w:rsidRDefault="00D64D4C" w:rsidP="00AA537D">
      <w:pPr>
        <w:pStyle w:val="FootnoteText"/>
        <w:tabs>
          <w:tab w:val="left" w:pos="1247"/>
        </w:tabs>
        <w:spacing w:after="60" w:line="280" w:lineRule="exact"/>
        <w:ind w:left="1253" w:right="1247" w:hanging="518"/>
        <w:jc w:val="lowKashida"/>
        <w:rPr>
          <w:rFonts w:hint="cs"/>
          <w:spacing w:val="0"/>
          <w:kern w:val="0"/>
          <w:sz w:val="18"/>
          <w:szCs w:val="26"/>
        </w:rPr>
      </w:pPr>
      <w:r w:rsidRPr="00AA537D">
        <w:rPr>
          <w:rFonts w:hint="cs"/>
          <w:spacing w:val="0"/>
          <w:kern w:val="0"/>
          <w:sz w:val="26"/>
          <w:szCs w:val="26"/>
          <w:rtl/>
        </w:rPr>
        <w:t>(ط)</w:t>
      </w:r>
      <w:r w:rsidRPr="00AA537D">
        <w:rPr>
          <w:rFonts w:hint="cs"/>
          <w:spacing w:val="0"/>
          <w:kern w:val="0"/>
          <w:sz w:val="26"/>
          <w:szCs w:val="26"/>
          <w:rtl/>
        </w:rPr>
        <w:tab/>
        <w:t xml:space="preserve">يتبين من المرفقات لرسالة الدولة الطرف أن صاحب الشكوى قدم معلومات متضاربة تتعلـق بمشاركتـه في الحياة السياسية </w:t>
      </w:r>
      <w:r w:rsidRPr="00AA537D">
        <w:rPr>
          <w:rFonts w:hint="cs"/>
          <w:spacing w:val="0"/>
          <w:kern w:val="0"/>
          <w:sz w:val="18"/>
          <w:szCs w:val="26"/>
          <w:rtl/>
        </w:rPr>
        <w:t>وبالأسباب</w:t>
      </w:r>
      <w:r w:rsidRPr="00AA537D">
        <w:rPr>
          <w:rFonts w:hint="cs"/>
          <w:spacing w:val="0"/>
          <w:kern w:val="0"/>
          <w:sz w:val="26"/>
          <w:szCs w:val="26"/>
          <w:rtl/>
        </w:rPr>
        <w:t xml:space="preserve"> التي تدعو إلى البحث عنه والجهة التي ترغب في ذلك (أفراد حـزب سياسي أم</w:t>
      </w:r>
      <w:r w:rsidRPr="00AA537D">
        <w:rPr>
          <w:rFonts w:hint="eastAsia"/>
          <w:spacing w:val="0"/>
          <w:kern w:val="0"/>
          <w:sz w:val="26"/>
          <w:szCs w:val="26"/>
          <w:rtl/>
        </w:rPr>
        <w:t> </w:t>
      </w:r>
      <w:r w:rsidRPr="00AA537D">
        <w:rPr>
          <w:rFonts w:hint="cs"/>
          <w:spacing w:val="0"/>
          <w:kern w:val="0"/>
          <w:sz w:val="26"/>
          <w:szCs w:val="26"/>
          <w:rtl/>
        </w:rPr>
        <w:t>الشرطة).</w:t>
      </w:r>
    </w:p>
  </w:footnote>
  <w:footnote w:id="348">
    <w:p w:rsidR="00D64D4C" w:rsidRPr="00DF61FC" w:rsidRDefault="00D64D4C" w:rsidP="00ED61B0">
      <w:pPr>
        <w:pStyle w:val="FootnoteText"/>
        <w:spacing w:after="60" w:line="280" w:lineRule="exact"/>
        <w:ind w:left="1211" w:right="1247" w:hanging="434"/>
        <w:jc w:val="lowKashida"/>
        <w:rPr>
          <w:rFonts w:hint="cs"/>
          <w:spacing w:val="0"/>
          <w:kern w:val="0"/>
          <w:sz w:val="18"/>
          <w:szCs w:val="26"/>
        </w:rPr>
      </w:pPr>
      <w:r w:rsidRPr="00DF61FC">
        <w:rPr>
          <w:rFonts w:hint="cs"/>
          <w:spacing w:val="0"/>
          <w:kern w:val="0"/>
          <w:sz w:val="26"/>
          <w:szCs w:val="26"/>
          <w:rtl/>
        </w:rPr>
        <w:t>(ي)</w:t>
      </w:r>
      <w:r w:rsidRPr="00DF61FC">
        <w:rPr>
          <w:rFonts w:hint="cs"/>
          <w:spacing w:val="0"/>
          <w:kern w:val="0"/>
          <w:sz w:val="26"/>
          <w:szCs w:val="26"/>
          <w:rtl/>
        </w:rPr>
        <w:tab/>
        <w:t xml:space="preserve">انظر، في جملة أمور، البلاغ رقم 258/2004، </w:t>
      </w:r>
      <w:r w:rsidRPr="00DF61FC">
        <w:rPr>
          <w:rFonts w:hint="cs"/>
          <w:i/>
          <w:iCs/>
          <w:spacing w:val="0"/>
          <w:kern w:val="0"/>
          <w:sz w:val="26"/>
          <w:szCs w:val="26"/>
          <w:rtl/>
        </w:rPr>
        <w:t>دادار ضد كندا</w:t>
      </w:r>
      <w:r w:rsidRPr="00DF61FC">
        <w:rPr>
          <w:rFonts w:hint="cs"/>
          <w:spacing w:val="0"/>
          <w:kern w:val="0"/>
          <w:sz w:val="26"/>
          <w:szCs w:val="26"/>
          <w:rtl/>
        </w:rPr>
        <w:t>، قرار اعتُمد في 23 تشرين الثاني/</w:t>
      </w:r>
      <w:r>
        <w:rPr>
          <w:rFonts w:hint="cs"/>
          <w:spacing w:val="0"/>
          <w:kern w:val="0"/>
          <w:sz w:val="26"/>
          <w:szCs w:val="26"/>
          <w:rtl/>
        </w:rPr>
        <w:t xml:space="preserve"> </w:t>
      </w:r>
      <w:r w:rsidRPr="00DF61FC">
        <w:rPr>
          <w:rFonts w:hint="cs"/>
          <w:spacing w:val="0"/>
          <w:kern w:val="0"/>
          <w:sz w:val="26"/>
          <w:szCs w:val="26"/>
          <w:rtl/>
        </w:rPr>
        <w:t>نوفمبر</w:t>
      </w:r>
      <w:r>
        <w:rPr>
          <w:rFonts w:hint="eastAsia"/>
          <w:spacing w:val="0"/>
          <w:kern w:val="0"/>
          <w:sz w:val="26"/>
          <w:szCs w:val="26"/>
          <w:rtl/>
        </w:rPr>
        <w:t> </w:t>
      </w:r>
      <w:r w:rsidRPr="00DF61FC">
        <w:rPr>
          <w:rFonts w:hint="cs"/>
          <w:spacing w:val="0"/>
          <w:kern w:val="0"/>
          <w:sz w:val="26"/>
          <w:szCs w:val="26"/>
          <w:rtl/>
        </w:rPr>
        <w:t xml:space="preserve">2005، والبلاغ رقم 226/2003، </w:t>
      </w:r>
      <w:r w:rsidRPr="00ED61B0">
        <w:rPr>
          <w:rFonts w:hint="cs"/>
          <w:i/>
          <w:iCs/>
          <w:spacing w:val="0"/>
          <w:kern w:val="0"/>
          <w:sz w:val="26"/>
          <w:szCs w:val="26"/>
          <w:rtl/>
        </w:rPr>
        <w:t>ت. أ. ضد السويد</w:t>
      </w:r>
      <w:r w:rsidRPr="00DF61FC">
        <w:rPr>
          <w:rFonts w:hint="cs"/>
          <w:spacing w:val="0"/>
          <w:kern w:val="0"/>
          <w:sz w:val="26"/>
          <w:szCs w:val="26"/>
          <w:rtl/>
        </w:rPr>
        <w:t>، قرار اعتُمد في 6 أيار/مايو 2005.</w:t>
      </w:r>
    </w:p>
  </w:footnote>
  <w:footnote w:id="349">
    <w:p w:rsidR="00D64D4C" w:rsidRPr="00E27835" w:rsidRDefault="00D64D4C" w:rsidP="00ED61B0">
      <w:pPr>
        <w:pStyle w:val="FootnoteText"/>
        <w:spacing w:after="60" w:line="300" w:lineRule="exact"/>
        <w:ind w:left="1214" w:right="1247" w:hanging="505"/>
        <w:jc w:val="lowKashida"/>
        <w:rPr>
          <w:rFonts w:hint="cs"/>
          <w:spacing w:val="0"/>
          <w:kern w:val="0"/>
          <w:sz w:val="18"/>
        </w:rPr>
      </w:pPr>
      <w:r w:rsidRPr="00E27835">
        <w:rPr>
          <w:rFonts w:hint="cs"/>
          <w:spacing w:val="0"/>
          <w:kern w:val="0"/>
          <w:sz w:val="18"/>
          <w:szCs w:val="26"/>
          <w:rtl/>
        </w:rPr>
        <w:t>(ك)</w:t>
      </w:r>
      <w:r w:rsidRPr="00E27835">
        <w:rPr>
          <w:rFonts w:hint="cs"/>
          <w:spacing w:val="0"/>
          <w:kern w:val="0"/>
          <w:sz w:val="18"/>
          <w:szCs w:val="26"/>
          <w:rtl/>
        </w:rPr>
        <w:tab/>
        <w:t>تلاحظ اللجنة أن إثيوبيا هي أيضاً دولة طرف في اتفاقية مناهضة التعذيب وغيره من ضروب المعاملة أو</w:t>
      </w:r>
      <w:r>
        <w:rPr>
          <w:rFonts w:hint="eastAsia"/>
          <w:spacing w:val="0"/>
          <w:kern w:val="0"/>
          <w:sz w:val="18"/>
          <w:szCs w:val="26"/>
          <w:rtl/>
        </w:rPr>
        <w:t> </w:t>
      </w:r>
      <w:r w:rsidRPr="00E27835">
        <w:rPr>
          <w:rFonts w:hint="cs"/>
          <w:spacing w:val="0"/>
          <w:kern w:val="0"/>
          <w:sz w:val="18"/>
          <w:szCs w:val="26"/>
          <w:rtl/>
        </w:rPr>
        <w:t>العقوبة القاسية أو اللاإنسانية أو المهينة، وتذكّر بملاحظاتها الختامية لعام 2011 (</w:t>
      </w:r>
      <w:r w:rsidRPr="00E27835">
        <w:rPr>
          <w:spacing w:val="0"/>
          <w:kern w:val="0"/>
          <w:sz w:val="18"/>
          <w:szCs w:val="26"/>
        </w:rPr>
        <w:t>CAT/C/ETH/CO/1</w:t>
      </w:r>
      <w:r w:rsidRPr="00E27835">
        <w:rPr>
          <w:rFonts w:hint="cs"/>
          <w:spacing w:val="0"/>
          <w:kern w:val="0"/>
          <w:sz w:val="18"/>
          <w:szCs w:val="26"/>
          <w:rtl/>
        </w:rPr>
        <w:t>، الفقرات 10-14).</w:t>
      </w:r>
    </w:p>
  </w:footnote>
  <w:footnote w:id="350">
    <w:p w:rsidR="00D64D4C" w:rsidRPr="00ED61B0" w:rsidRDefault="00D64D4C" w:rsidP="0057643A">
      <w:pPr>
        <w:pStyle w:val="FootnoteText"/>
        <w:numPr>
          <w:ilvl w:val="0"/>
          <w:numId w:val="44"/>
        </w:numPr>
        <w:tabs>
          <w:tab w:val="clear" w:pos="7904"/>
          <w:tab w:val="left" w:pos="1253"/>
        </w:tabs>
        <w:spacing w:after="60" w:line="300" w:lineRule="exact"/>
        <w:ind w:left="1248" w:right="1247" w:hanging="227"/>
        <w:jc w:val="lowKashida"/>
        <w:rPr>
          <w:rFonts w:hint="cs"/>
          <w:spacing w:val="-2"/>
          <w:kern w:val="0"/>
          <w:sz w:val="26"/>
          <w:szCs w:val="26"/>
        </w:rPr>
      </w:pPr>
      <w:r w:rsidRPr="00ED61B0">
        <w:rPr>
          <w:rFonts w:hint="cs"/>
          <w:spacing w:val="-2"/>
          <w:kern w:val="0"/>
          <w:sz w:val="26"/>
          <w:szCs w:val="26"/>
          <w:rtl/>
        </w:rPr>
        <w:t>لا يحدد صاحب الشكوى مكان وجود أسرته حالياً؛ كما لا يحدد كيف ومتى سافر من داغستان إلى موسكو. ويدعي أنه لم يكن بوسعه البقاء في موسكو نظراً لوجود معاهدة تسليم مبرمة بين روسيا وأذربيجان.</w:t>
      </w:r>
    </w:p>
  </w:footnote>
  <w:footnote w:id="351">
    <w:p w:rsidR="00D64D4C" w:rsidRPr="00ED61B0" w:rsidRDefault="00D64D4C" w:rsidP="00ED61B0">
      <w:pPr>
        <w:pStyle w:val="FootnoteText"/>
        <w:numPr>
          <w:ilvl w:val="0"/>
          <w:numId w:val="44"/>
        </w:numPr>
        <w:tabs>
          <w:tab w:val="clear" w:pos="7904"/>
          <w:tab w:val="left" w:pos="1253"/>
        </w:tabs>
        <w:spacing w:after="60" w:line="300" w:lineRule="exact"/>
        <w:ind w:left="1248" w:right="1247" w:hanging="227"/>
        <w:jc w:val="lowKashida"/>
        <w:rPr>
          <w:rFonts w:hint="cs"/>
          <w:spacing w:val="0"/>
          <w:kern w:val="0"/>
          <w:sz w:val="18"/>
          <w:szCs w:val="26"/>
        </w:rPr>
      </w:pPr>
      <w:r w:rsidRPr="00ED61B0">
        <w:rPr>
          <w:rFonts w:hint="cs"/>
          <w:spacing w:val="0"/>
          <w:kern w:val="0"/>
          <w:sz w:val="26"/>
          <w:szCs w:val="26"/>
          <w:rtl/>
        </w:rPr>
        <w:t xml:space="preserve">تشير الدولة الطرف إلى البلاغ رقم 150/1999، </w:t>
      </w:r>
      <w:r w:rsidRPr="00ED61B0">
        <w:rPr>
          <w:rFonts w:hint="cs"/>
          <w:i/>
          <w:iCs/>
          <w:spacing w:val="0"/>
          <w:kern w:val="0"/>
          <w:sz w:val="26"/>
          <w:szCs w:val="26"/>
          <w:rtl/>
        </w:rPr>
        <w:t>س. ل. ضد السويد</w:t>
      </w:r>
      <w:r w:rsidRPr="00ED61B0">
        <w:rPr>
          <w:rFonts w:hint="cs"/>
          <w:spacing w:val="0"/>
          <w:kern w:val="0"/>
          <w:sz w:val="26"/>
          <w:szCs w:val="26"/>
          <w:rtl/>
        </w:rPr>
        <w:t>، الآراء المعتمدة في 11 أيار/</w:t>
      </w:r>
      <w:r>
        <w:rPr>
          <w:rFonts w:hint="cs"/>
          <w:spacing w:val="0"/>
          <w:kern w:val="0"/>
          <w:sz w:val="26"/>
          <w:szCs w:val="26"/>
          <w:rtl/>
        </w:rPr>
        <w:t xml:space="preserve"> </w:t>
      </w:r>
      <w:r w:rsidRPr="00ED61B0">
        <w:rPr>
          <w:rFonts w:hint="cs"/>
          <w:spacing w:val="0"/>
          <w:kern w:val="0"/>
          <w:sz w:val="26"/>
          <w:szCs w:val="26"/>
          <w:rtl/>
        </w:rPr>
        <w:t>مايو</w:t>
      </w:r>
      <w:r>
        <w:rPr>
          <w:rFonts w:hint="eastAsia"/>
          <w:spacing w:val="0"/>
          <w:kern w:val="0"/>
          <w:sz w:val="26"/>
          <w:szCs w:val="26"/>
          <w:rtl/>
        </w:rPr>
        <w:t> </w:t>
      </w:r>
      <w:r w:rsidRPr="00ED61B0">
        <w:rPr>
          <w:rFonts w:hint="cs"/>
          <w:spacing w:val="0"/>
          <w:kern w:val="0"/>
          <w:sz w:val="26"/>
          <w:szCs w:val="26"/>
          <w:rtl/>
        </w:rPr>
        <w:t xml:space="preserve">2001، الفقرة 6-3؛ والبلاغ رقم 213/2002، </w:t>
      </w:r>
      <w:r w:rsidRPr="00ED61B0">
        <w:rPr>
          <w:rFonts w:hint="cs"/>
          <w:i/>
          <w:iCs/>
          <w:spacing w:val="0"/>
          <w:kern w:val="0"/>
          <w:sz w:val="26"/>
          <w:szCs w:val="26"/>
          <w:rtl/>
        </w:rPr>
        <w:t>إ. ج. ف. م. ضد السويد</w:t>
      </w:r>
      <w:r w:rsidRPr="00ED61B0">
        <w:rPr>
          <w:rFonts w:hint="cs"/>
          <w:spacing w:val="0"/>
          <w:kern w:val="0"/>
          <w:sz w:val="26"/>
          <w:szCs w:val="26"/>
          <w:rtl/>
        </w:rPr>
        <w:t>، القرار المعتمد في 14 تشرين الثاني/نوفمبر 2003، الفقرة 8-3.</w:t>
      </w:r>
    </w:p>
  </w:footnote>
  <w:footnote w:id="352">
    <w:p w:rsidR="00D64D4C" w:rsidRPr="00ED61B0" w:rsidRDefault="00D64D4C" w:rsidP="00E27835">
      <w:pPr>
        <w:pStyle w:val="FootnoteText"/>
        <w:numPr>
          <w:ilvl w:val="0"/>
          <w:numId w:val="44"/>
        </w:numPr>
        <w:tabs>
          <w:tab w:val="clear" w:pos="7904"/>
          <w:tab w:val="left" w:pos="1253"/>
        </w:tabs>
        <w:spacing w:after="60" w:line="260" w:lineRule="exact"/>
        <w:ind w:left="1248" w:right="1247" w:hanging="227"/>
        <w:jc w:val="lowKashida"/>
        <w:rPr>
          <w:rFonts w:hint="cs"/>
          <w:spacing w:val="-2"/>
          <w:kern w:val="0"/>
          <w:sz w:val="18"/>
          <w:szCs w:val="26"/>
        </w:rPr>
      </w:pPr>
      <w:r w:rsidRPr="00ED61B0">
        <w:rPr>
          <w:spacing w:val="-2"/>
          <w:kern w:val="0"/>
          <w:sz w:val="18"/>
          <w:szCs w:val="26"/>
        </w:rPr>
        <w:t xml:space="preserve">Swedish Ministry for Foreign Affairs, “2007 country report on human rights: Azerbaijan”; United States Department of State, “2009 human rights report: Azerbaijan”; Human Rights Watch, </w:t>
      </w:r>
      <w:r w:rsidRPr="00ED61B0">
        <w:rPr>
          <w:i/>
          <w:spacing w:val="-2"/>
          <w:kern w:val="0"/>
          <w:sz w:val="18"/>
          <w:szCs w:val="26"/>
        </w:rPr>
        <w:t>World Report 2010</w:t>
      </w:r>
      <w:r w:rsidRPr="00ED61B0">
        <w:rPr>
          <w:spacing w:val="-2"/>
          <w:kern w:val="0"/>
          <w:sz w:val="18"/>
          <w:szCs w:val="26"/>
        </w:rPr>
        <w:t xml:space="preserve"> (New York, 2010); “Report by Thomas Hammarberg, Commissioner for Human Rights of the Council of Europe, following his visit to Azerbaijan 1-5 March 2010” (29 June 2010)</w:t>
      </w:r>
      <w:r w:rsidRPr="00ED61B0">
        <w:rPr>
          <w:rFonts w:hint="cs"/>
          <w:spacing w:val="-2"/>
          <w:kern w:val="0"/>
          <w:sz w:val="18"/>
          <w:szCs w:val="26"/>
          <w:rtl/>
        </w:rPr>
        <w:t>.</w:t>
      </w:r>
    </w:p>
  </w:footnote>
  <w:footnote w:id="353">
    <w:p w:rsidR="00D64D4C" w:rsidRPr="00EC7B66" w:rsidRDefault="00D64D4C" w:rsidP="0057643A">
      <w:pPr>
        <w:pStyle w:val="FootnoteText"/>
        <w:numPr>
          <w:ilvl w:val="0"/>
          <w:numId w:val="44"/>
        </w:numPr>
        <w:tabs>
          <w:tab w:val="clear" w:pos="7904"/>
          <w:tab w:val="left" w:pos="1253"/>
        </w:tabs>
        <w:spacing w:after="60" w:line="300" w:lineRule="exact"/>
        <w:ind w:left="1248" w:right="1247" w:hanging="227"/>
        <w:jc w:val="lowKashida"/>
        <w:rPr>
          <w:rFonts w:hint="cs"/>
          <w:spacing w:val="-4"/>
          <w:sz w:val="26"/>
          <w:szCs w:val="26"/>
        </w:rPr>
      </w:pPr>
      <w:r w:rsidRPr="00EC7B66">
        <w:rPr>
          <w:rFonts w:hint="cs"/>
          <w:spacing w:val="-4"/>
          <w:sz w:val="26"/>
          <w:szCs w:val="26"/>
          <w:rtl/>
        </w:rPr>
        <w:t xml:space="preserve">تشير الدولة الطرف إلى البلاغ رقم 103/1998، </w:t>
      </w:r>
      <w:r w:rsidRPr="00ED61B0">
        <w:rPr>
          <w:rFonts w:hint="cs"/>
          <w:i/>
          <w:iCs/>
          <w:spacing w:val="-4"/>
          <w:sz w:val="26"/>
          <w:szCs w:val="26"/>
          <w:rtl/>
        </w:rPr>
        <w:t>س. م. ر. وم. م. ر. ضد السويد</w:t>
      </w:r>
      <w:r w:rsidRPr="00EC7B66">
        <w:rPr>
          <w:rFonts w:hint="cs"/>
          <w:spacing w:val="-4"/>
          <w:sz w:val="26"/>
          <w:szCs w:val="26"/>
          <w:rtl/>
        </w:rPr>
        <w:t>، الآراء المعتمدة في 5 أيار/مايو 1999، الفقرة 9-7.</w:t>
      </w:r>
    </w:p>
  </w:footnote>
  <w:footnote w:id="354">
    <w:p w:rsidR="00D64D4C" w:rsidRPr="00D36217" w:rsidRDefault="00D64D4C" w:rsidP="00ED61B0">
      <w:pPr>
        <w:pStyle w:val="FootnoteText"/>
        <w:tabs>
          <w:tab w:val="left" w:pos="1253"/>
        </w:tabs>
        <w:spacing w:after="60" w:line="300" w:lineRule="exact"/>
        <w:ind w:left="1267" w:right="1247" w:hanging="476"/>
        <w:jc w:val="lowKashida"/>
        <w:rPr>
          <w:rFonts w:hint="cs"/>
          <w:sz w:val="18"/>
          <w:szCs w:val="26"/>
        </w:rPr>
      </w:pPr>
      <w:r>
        <w:rPr>
          <w:rFonts w:hint="cs"/>
          <w:spacing w:val="-4"/>
          <w:sz w:val="26"/>
          <w:szCs w:val="26"/>
          <w:rtl/>
        </w:rPr>
        <w:t>(</w:t>
      </w:r>
      <w:r w:rsidRPr="00E27835">
        <w:rPr>
          <w:rFonts w:hint="cs"/>
          <w:spacing w:val="-4"/>
          <w:sz w:val="26"/>
          <w:szCs w:val="26"/>
          <w:rtl/>
        </w:rPr>
        <w:t>ﻫ</w:t>
      </w:r>
      <w:r>
        <w:rPr>
          <w:rFonts w:hint="cs"/>
          <w:spacing w:val="-4"/>
          <w:sz w:val="26"/>
          <w:szCs w:val="26"/>
          <w:rtl/>
        </w:rPr>
        <w:t>)</w:t>
      </w:r>
      <w:r>
        <w:rPr>
          <w:rFonts w:hint="cs"/>
          <w:spacing w:val="-4"/>
          <w:sz w:val="26"/>
          <w:szCs w:val="26"/>
          <w:rtl/>
        </w:rPr>
        <w:tab/>
      </w:r>
      <w:r w:rsidRPr="00E27835">
        <w:rPr>
          <w:rFonts w:hint="cs"/>
          <w:i/>
          <w:iCs/>
          <w:spacing w:val="-4"/>
          <w:sz w:val="26"/>
          <w:szCs w:val="26"/>
          <w:rtl/>
        </w:rPr>
        <w:t>الوثائق الرسمية للجمعية العامة، الدورة الثالثة والخمسون، الملحق رقم 44</w:t>
      </w:r>
      <w:r w:rsidRPr="00D36217">
        <w:rPr>
          <w:rFonts w:hint="cs"/>
          <w:sz w:val="18"/>
          <w:szCs w:val="26"/>
          <w:rtl/>
        </w:rPr>
        <w:t xml:space="preserve"> (</w:t>
      </w:r>
      <w:r w:rsidRPr="00D36217">
        <w:rPr>
          <w:sz w:val="18"/>
          <w:szCs w:val="26"/>
          <w:lang w:val="fr-CH"/>
        </w:rPr>
        <w:t>A/53/44</w:t>
      </w:r>
      <w:r>
        <w:rPr>
          <w:rFonts w:hint="cs"/>
          <w:sz w:val="18"/>
          <w:szCs w:val="26"/>
          <w:rtl/>
        </w:rPr>
        <w:t xml:space="preserve"> و</w:t>
      </w:r>
      <w:r>
        <w:rPr>
          <w:sz w:val="18"/>
          <w:szCs w:val="26"/>
        </w:rPr>
        <w:t>Corr.1</w:t>
      </w:r>
      <w:r w:rsidRPr="00D36217">
        <w:rPr>
          <w:rFonts w:hint="cs"/>
          <w:sz w:val="18"/>
          <w:szCs w:val="26"/>
          <w:rtl/>
        </w:rPr>
        <w:t>)،</w:t>
      </w:r>
      <w:r w:rsidRPr="00EC7B66">
        <w:rPr>
          <w:rFonts w:hint="cs"/>
          <w:spacing w:val="-4"/>
          <w:sz w:val="26"/>
          <w:szCs w:val="26"/>
          <w:rtl/>
        </w:rPr>
        <w:t xml:space="preserve"> المرفق</w:t>
      </w:r>
      <w:r w:rsidRPr="00D36217">
        <w:rPr>
          <w:rFonts w:hint="cs"/>
          <w:sz w:val="18"/>
          <w:szCs w:val="26"/>
          <w:rtl/>
        </w:rPr>
        <w:t xml:space="preserve"> </w:t>
      </w:r>
      <w:r w:rsidRPr="00EC7B66">
        <w:rPr>
          <w:rFonts w:hint="cs"/>
          <w:spacing w:val="-4"/>
          <w:sz w:val="26"/>
          <w:szCs w:val="26"/>
          <w:rtl/>
        </w:rPr>
        <w:t>التاسع.</w:t>
      </w:r>
    </w:p>
  </w:footnote>
  <w:footnote w:id="355">
    <w:p w:rsidR="00D64D4C" w:rsidRPr="00EC7B66" w:rsidRDefault="00D64D4C" w:rsidP="00ED61B0">
      <w:pPr>
        <w:pStyle w:val="FootnoteText"/>
        <w:tabs>
          <w:tab w:val="left" w:pos="1253"/>
        </w:tabs>
        <w:spacing w:after="60" w:line="300" w:lineRule="exact"/>
        <w:ind w:left="1267" w:right="1247" w:hanging="476"/>
        <w:jc w:val="lowKashida"/>
        <w:rPr>
          <w:rFonts w:hint="cs"/>
          <w:spacing w:val="-4"/>
          <w:sz w:val="26"/>
          <w:szCs w:val="26"/>
        </w:rPr>
      </w:pPr>
      <w:r>
        <w:rPr>
          <w:rFonts w:hint="cs"/>
          <w:spacing w:val="-4"/>
          <w:sz w:val="26"/>
          <w:szCs w:val="26"/>
          <w:rtl/>
        </w:rPr>
        <w:t>(و)</w:t>
      </w:r>
      <w:r>
        <w:rPr>
          <w:rFonts w:hint="cs"/>
          <w:spacing w:val="-4"/>
          <w:sz w:val="26"/>
          <w:szCs w:val="26"/>
          <w:rtl/>
        </w:rPr>
        <w:tab/>
      </w:r>
      <w:r w:rsidRPr="00EC7B66">
        <w:rPr>
          <w:rFonts w:hint="cs"/>
          <w:spacing w:val="-4"/>
          <w:sz w:val="26"/>
          <w:szCs w:val="26"/>
          <w:rtl/>
        </w:rPr>
        <w:t xml:space="preserve">يشير صاحب الشكوى إلى البلاغ رقم 149/1999، </w:t>
      </w:r>
      <w:r w:rsidRPr="00E27835">
        <w:rPr>
          <w:rFonts w:hint="cs"/>
          <w:i/>
          <w:iCs/>
          <w:spacing w:val="-4"/>
          <w:sz w:val="26"/>
          <w:szCs w:val="26"/>
          <w:rtl/>
        </w:rPr>
        <w:t>أ. س. ضد السويد</w:t>
      </w:r>
      <w:r w:rsidRPr="00EC7B66">
        <w:rPr>
          <w:rFonts w:hint="cs"/>
          <w:spacing w:val="-4"/>
          <w:sz w:val="26"/>
          <w:szCs w:val="26"/>
          <w:rtl/>
        </w:rPr>
        <w:t>، الآراء المعتمدة في 24 تشرين الثاني/ نوفمبر 2000.</w:t>
      </w:r>
    </w:p>
  </w:footnote>
  <w:footnote w:id="356">
    <w:p w:rsidR="00D64D4C" w:rsidRPr="00EC7B66" w:rsidRDefault="00D64D4C" w:rsidP="00ED61B0">
      <w:pPr>
        <w:pStyle w:val="FootnoteText"/>
        <w:tabs>
          <w:tab w:val="left" w:pos="1253"/>
        </w:tabs>
        <w:spacing w:after="60" w:line="300" w:lineRule="exact"/>
        <w:ind w:left="1239" w:right="1247" w:hanging="490"/>
        <w:jc w:val="lowKashida"/>
        <w:rPr>
          <w:rFonts w:hint="cs"/>
          <w:spacing w:val="-4"/>
          <w:sz w:val="26"/>
          <w:szCs w:val="26"/>
        </w:rPr>
      </w:pPr>
      <w:r>
        <w:rPr>
          <w:rFonts w:hint="cs"/>
          <w:spacing w:val="-4"/>
          <w:sz w:val="26"/>
          <w:szCs w:val="26"/>
          <w:rtl/>
        </w:rPr>
        <w:t>(ز)</w:t>
      </w:r>
      <w:r>
        <w:rPr>
          <w:rFonts w:hint="cs"/>
          <w:spacing w:val="-4"/>
          <w:sz w:val="26"/>
          <w:szCs w:val="26"/>
          <w:rtl/>
        </w:rPr>
        <w:tab/>
      </w:r>
      <w:r w:rsidRPr="00EC7B66">
        <w:rPr>
          <w:rFonts w:hint="cs"/>
          <w:spacing w:val="-4"/>
          <w:sz w:val="26"/>
          <w:szCs w:val="26"/>
          <w:rtl/>
        </w:rPr>
        <w:t>قبلت أذربيجان اختصاص اللجنة بموجب المادة 22 من الاتفاقية وصدقت البروتوكول الاختياري للاتفاقية.</w:t>
      </w:r>
    </w:p>
  </w:footnote>
  <w:footnote w:id="357">
    <w:p w:rsidR="00D64D4C" w:rsidRPr="00EC7B66" w:rsidRDefault="00D64D4C" w:rsidP="00ED61B0">
      <w:pPr>
        <w:pStyle w:val="FootnoteText"/>
        <w:tabs>
          <w:tab w:val="left" w:pos="1253"/>
        </w:tabs>
        <w:spacing w:after="60" w:line="300" w:lineRule="exact"/>
        <w:ind w:left="1239" w:right="1247" w:hanging="490"/>
        <w:jc w:val="lowKashida"/>
        <w:rPr>
          <w:rFonts w:hint="cs"/>
          <w:spacing w:val="-4"/>
          <w:sz w:val="26"/>
          <w:szCs w:val="26"/>
        </w:rPr>
      </w:pPr>
      <w:r>
        <w:rPr>
          <w:rFonts w:hint="cs"/>
          <w:spacing w:val="-4"/>
          <w:sz w:val="26"/>
          <w:szCs w:val="26"/>
          <w:rtl/>
        </w:rPr>
        <w:t>(ح)</w:t>
      </w:r>
      <w:r>
        <w:rPr>
          <w:rFonts w:hint="cs"/>
          <w:spacing w:val="-4"/>
          <w:sz w:val="26"/>
          <w:szCs w:val="26"/>
          <w:rtl/>
        </w:rPr>
        <w:tab/>
      </w:r>
      <w:r w:rsidRPr="00EC7B66">
        <w:rPr>
          <w:rFonts w:hint="cs"/>
          <w:spacing w:val="-4"/>
          <w:sz w:val="26"/>
          <w:szCs w:val="26"/>
          <w:rtl/>
        </w:rPr>
        <w:t xml:space="preserve">انظر، في جملة أمور، البلاغ رقم 296/2006، </w:t>
      </w:r>
      <w:r w:rsidRPr="00E27835">
        <w:rPr>
          <w:rFonts w:hint="cs"/>
          <w:i/>
          <w:iCs/>
          <w:spacing w:val="-4"/>
          <w:sz w:val="26"/>
          <w:szCs w:val="26"/>
          <w:rtl/>
        </w:rPr>
        <w:t>إ. ف. إ. ضد السويد</w:t>
      </w:r>
      <w:r w:rsidRPr="00EC7B66">
        <w:rPr>
          <w:rFonts w:hint="cs"/>
          <w:spacing w:val="-4"/>
          <w:sz w:val="26"/>
          <w:szCs w:val="26"/>
          <w:rtl/>
        </w:rPr>
        <w:t xml:space="preserve">، القرار المعتمد في 1 أيار/مايو 2007، والبلاغين رقم 270/2005 و271/2005، </w:t>
      </w:r>
      <w:r w:rsidRPr="00E27835">
        <w:rPr>
          <w:rFonts w:hint="cs"/>
          <w:i/>
          <w:iCs/>
          <w:spacing w:val="-4"/>
          <w:sz w:val="26"/>
          <w:szCs w:val="26"/>
          <w:rtl/>
        </w:rPr>
        <w:t>إ. ر. ك. وي. ك. ضد السويد</w:t>
      </w:r>
      <w:r w:rsidRPr="00EC7B66">
        <w:rPr>
          <w:rFonts w:hint="cs"/>
          <w:spacing w:val="-4"/>
          <w:sz w:val="26"/>
          <w:szCs w:val="26"/>
          <w:rtl/>
        </w:rPr>
        <w:t>، القرار المعتمد في 30 نيسان/أبريل 2007.</w:t>
      </w:r>
    </w:p>
  </w:footnote>
  <w:footnote w:id="358">
    <w:p w:rsidR="00D64D4C" w:rsidRPr="00ED61B0" w:rsidRDefault="00D64D4C" w:rsidP="00EA66E5">
      <w:pPr>
        <w:pStyle w:val="FootnoteText"/>
        <w:numPr>
          <w:ilvl w:val="0"/>
          <w:numId w:val="45"/>
        </w:numPr>
        <w:tabs>
          <w:tab w:val="clear" w:pos="7904"/>
          <w:tab w:val="left" w:pos="1253"/>
        </w:tabs>
        <w:spacing w:after="60" w:line="300" w:lineRule="exact"/>
        <w:ind w:left="1248" w:right="1247" w:hanging="227"/>
        <w:jc w:val="lowKashida"/>
        <w:rPr>
          <w:rFonts w:hint="cs"/>
          <w:spacing w:val="0"/>
          <w:kern w:val="0"/>
        </w:rPr>
      </w:pPr>
      <w:r w:rsidRPr="00ED61B0">
        <w:rPr>
          <w:rFonts w:hint="cs"/>
          <w:spacing w:val="0"/>
          <w:kern w:val="0"/>
          <w:sz w:val="26"/>
          <w:szCs w:val="26"/>
          <w:rtl/>
        </w:rPr>
        <w:t>في 19 تشرين الأول/أكتوبر 2006 قبلت المغرب ولاية لجنة مناهضة التعذيب في تلقي الشكاوى بموجب المادة</w:t>
      </w:r>
      <w:r w:rsidRPr="00ED61B0">
        <w:rPr>
          <w:rFonts w:hint="eastAsia"/>
          <w:spacing w:val="0"/>
          <w:kern w:val="0"/>
          <w:sz w:val="26"/>
          <w:szCs w:val="26"/>
          <w:rtl/>
        </w:rPr>
        <w:t> </w:t>
      </w:r>
      <w:r w:rsidRPr="00ED61B0">
        <w:rPr>
          <w:rFonts w:hint="cs"/>
          <w:spacing w:val="0"/>
          <w:kern w:val="0"/>
          <w:sz w:val="26"/>
          <w:szCs w:val="26"/>
          <w:rtl/>
        </w:rPr>
        <w:t>22 من الاتفاقية.</w:t>
      </w:r>
    </w:p>
  </w:footnote>
  <w:footnote w:id="359">
    <w:p w:rsidR="00D64D4C" w:rsidRPr="00ED61B0" w:rsidRDefault="00D64D4C" w:rsidP="00EA66E5">
      <w:pPr>
        <w:pStyle w:val="FootnoteText"/>
        <w:numPr>
          <w:ilvl w:val="0"/>
          <w:numId w:val="45"/>
        </w:numPr>
        <w:tabs>
          <w:tab w:val="clear" w:pos="7904"/>
          <w:tab w:val="left" w:pos="1253"/>
        </w:tabs>
        <w:spacing w:after="60" w:line="300" w:lineRule="exact"/>
        <w:ind w:left="1248" w:right="1247" w:hanging="227"/>
        <w:jc w:val="lowKashida"/>
        <w:rPr>
          <w:rFonts w:hint="cs"/>
          <w:spacing w:val="0"/>
          <w:kern w:val="0"/>
          <w:sz w:val="26"/>
          <w:szCs w:val="26"/>
        </w:rPr>
      </w:pPr>
      <w:r w:rsidRPr="00ED61B0">
        <w:rPr>
          <w:rFonts w:hint="cs"/>
          <w:spacing w:val="0"/>
          <w:kern w:val="0"/>
          <w:sz w:val="26"/>
          <w:szCs w:val="26"/>
          <w:rtl/>
        </w:rPr>
        <w:t>يشير صاحب الشكوى إلى أن النظام القانوني الروسي يشترط لإتمام أية عملية لتحويل الأسهم الحضور الفعلي للمتعاقدَيْن، وهما الوكيل المحلي للمصرف المركزي للاتحاد الروسي وكاتب عدل.</w:t>
      </w:r>
    </w:p>
  </w:footnote>
  <w:footnote w:id="360">
    <w:p w:rsidR="00D64D4C" w:rsidRPr="00ED61B0" w:rsidRDefault="00D64D4C" w:rsidP="00EA66E5">
      <w:pPr>
        <w:pStyle w:val="FootnoteText"/>
        <w:numPr>
          <w:ilvl w:val="0"/>
          <w:numId w:val="45"/>
        </w:numPr>
        <w:tabs>
          <w:tab w:val="clear" w:pos="7904"/>
          <w:tab w:val="left" w:pos="1253"/>
        </w:tabs>
        <w:spacing w:after="60" w:line="300" w:lineRule="exact"/>
        <w:ind w:left="1248" w:right="1247" w:hanging="227"/>
        <w:jc w:val="lowKashida"/>
        <w:rPr>
          <w:rFonts w:hint="cs"/>
          <w:spacing w:val="0"/>
          <w:kern w:val="0"/>
        </w:rPr>
      </w:pPr>
      <w:r w:rsidRPr="00ED61B0">
        <w:rPr>
          <w:rFonts w:hint="cs"/>
          <w:spacing w:val="0"/>
          <w:kern w:val="0"/>
          <w:sz w:val="26"/>
          <w:szCs w:val="26"/>
          <w:rtl/>
        </w:rPr>
        <w:t>يؤكد صاحب الشكوى أنه لو كان قد اختلس بالفعل أموال عملاء شركة غلوبال غامين إكسبو، لما كان هناك سبب منطقي لأن يصبح هو المدير الوحيد لتلك الشركة ومالك أسهمها.</w:t>
      </w:r>
    </w:p>
  </w:footnote>
  <w:footnote w:id="361">
    <w:p w:rsidR="00D64D4C" w:rsidRPr="008E0530" w:rsidRDefault="00D64D4C" w:rsidP="00EA66E5">
      <w:pPr>
        <w:pStyle w:val="FootnoteText"/>
        <w:numPr>
          <w:ilvl w:val="0"/>
          <w:numId w:val="45"/>
        </w:numPr>
        <w:tabs>
          <w:tab w:val="clear" w:pos="7904"/>
          <w:tab w:val="left" w:pos="1253"/>
        </w:tabs>
        <w:spacing w:after="60" w:line="300" w:lineRule="exact"/>
        <w:ind w:left="1248" w:right="1247" w:hanging="227"/>
        <w:jc w:val="lowKashida"/>
        <w:rPr>
          <w:rFonts w:hint="cs"/>
          <w:sz w:val="26"/>
          <w:szCs w:val="26"/>
        </w:rPr>
      </w:pPr>
      <w:r w:rsidRPr="00EC7B66">
        <w:rPr>
          <w:rFonts w:hint="cs"/>
          <w:spacing w:val="-4"/>
          <w:sz w:val="26"/>
          <w:szCs w:val="26"/>
          <w:rtl/>
        </w:rPr>
        <w:t>التاريخ مختوم من قبل السلطات الإيطالية.</w:t>
      </w:r>
    </w:p>
  </w:footnote>
  <w:footnote w:id="362">
    <w:p w:rsidR="00D64D4C" w:rsidRPr="00EC7B66" w:rsidRDefault="00D64D4C" w:rsidP="00466B80">
      <w:pPr>
        <w:pStyle w:val="FootnoteText"/>
        <w:tabs>
          <w:tab w:val="left" w:pos="1253"/>
        </w:tabs>
        <w:spacing w:after="60" w:line="300" w:lineRule="exact"/>
        <w:ind w:left="1253" w:right="1247" w:hanging="476"/>
        <w:jc w:val="lowKashida"/>
        <w:rPr>
          <w:rFonts w:hint="cs"/>
          <w:spacing w:val="-4"/>
          <w:sz w:val="26"/>
          <w:szCs w:val="26"/>
        </w:rPr>
      </w:pPr>
      <w:r>
        <w:rPr>
          <w:rFonts w:hint="cs"/>
          <w:spacing w:val="-4"/>
          <w:sz w:val="26"/>
          <w:szCs w:val="26"/>
          <w:rtl/>
        </w:rPr>
        <w:t>(</w:t>
      </w:r>
      <w:r w:rsidRPr="00E27835">
        <w:rPr>
          <w:rFonts w:hint="cs"/>
          <w:spacing w:val="-4"/>
          <w:sz w:val="26"/>
          <w:szCs w:val="26"/>
          <w:rtl/>
        </w:rPr>
        <w:t>ﻫ</w:t>
      </w:r>
      <w:r>
        <w:rPr>
          <w:rFonts w:hint="cs"/>
          <w:spacing w:val="-4"/>
          <w:sz w:val="26"/>
          <w:szCs w:val="26"/>
          <w:rtl/>
        </w:rPr>
        <w:t>)</w:t>
      </w:r>
      <w:r>
        <w:rPr>
          <w:rFonts w:hint="cs"/>
          <w:spacing w:val="-4"/>
          <w:sz w:val="26"/>
          <w:szCs w:val="26"/>
          <w:rtl/>
        </w:rPr>
        <w:tab/>
      </w:r>
      <w:r w:rsidRPr="00EC7B66">
        <w:rPr>
          <w:rFonts w:hint="cs"/>
          <w:spacing w:val="-4"/>
          <w:sz w:val="26"/>
          <w:szCs w:val="26"/>
          <w:rtl/>
        </w:rPr>
        <w:t>المادة 152.</w:t>
      </w:r>
    </w:p>
  </w:footnote>
  <w:footnote w:id="363">
    <w:p w:rsidR="00D64D4C" w:rsidRDefault="00D64D4C" w:rsidP="00466B80">
      <w:pPr>
        <w:pStyle w:val="FootnoteText"/>
        <w:tabs>
          <w:tab w:val="left" w:pos="1253"/>
        </w:tabs>
        <w:spacing w:after="60" w:line="300" w:lineRule="exact"/>
        <w:ind w:left="1239" w:right="1247" w:hanging="462"/>
        <w:jc w:val="lowKashida"/>
        <w:rPr>
          <w:rFonts w:hint="cs"/>
        </w:rPr>
      </w:pPr>
      <w:r>
        <w:rPr>
          <w:rFonts w:hint="cs"/>
          <w:spacing w:val="-4"/>
          <w:sz w:val="26"/>
          <w:szCs w:val="26"/>
          <w:rtl/>
        </w:rPr>
        <w:t>(و)</w:t>
      </w:r>
      <w:r>
        <w:rPr>
          <w:rFonts w:hint="cs"/>
          <w:spacing w:val="-4"/>
          <w:sz w:val="26"/>
          <w:szCs w:val="26"/>
          <w:rtl/>
        </w:rPr>
        <w:tab/>
      </w:r>
      <w:r w:rsidRPr="00EC7B66">
        <w:rPr>
          <w:rFonts w:hint="cs"/>
          <w:spacing w:val="-4"/>
          <w:sz w:val="26"/>
          <w:szCs w:val="26"/>
          <w:rtl/>
        </w:rPr>
        <w:t>المادة 198.</w:t>
      </w:r>
    </w:p>
  </w:footnote>
  <w:footnote w:id="364">
    <w:p w:rsidR="00D64D4C" w:rsidRPr="00ED61B0" w:rsidRDefault="00D64D4C" w:rsidP="00171FB4">
      <w:pPr>
        <w:pStyle w:val="FootnoteText"/>
        <w:tabs>
          <w:tab w:val="left" w:pos="1253"/>
        </w:tabs>
        <w:spacing w:after="60" w:line="240" w:lineRule="exact"/>
        <w:ind w:left="1236" w:right="1247" w:hanging="459"/>
        <w:jc w:val="lowKashida"/>
        <w:rPr>
          <w:rFonts w:hint="cs"/>
          <w:spacing w:val="0"/>
          <w:kern w:val="0"/>
          <w:sz w:val="18"/>
          <w:szCs w:val="26"/>
        </w:rPr>
      </w:pPr>
      <w:r w:rsidRPr="00ED61B0">
        <w:rPr>
          <w:rFonts w:hint="cs"/>
          <w:spacing w:val="0"/>
          <w:kern w:val="0"/>
          <w:sz w:val="18"/>
          <w:szCs w:val="26"/>
          <w:rtl/>
        </w:rPr>
        <w:t>(ز)</w:t>
      </w:r>
      <w:r w:rsidRPr="00ED61B0">
        <w:rPr>
          <w:rFonts w:hint="cs"/>
          <w:spacing w:val="0"/>
          <w:kern w:val="0"/>
          <w:sz w:val="18"/>
          <w:szCs w:val="26"/>
          <w:rtl/>
        </w:rPr>
        <w:tab/>
        <w:t>انظر</w:t>
      </w:r>
      <w:r w:rsidRPr="00ED61B0">
        <w:rPr>
          <w:spacing w:val="0"/>
          <w:kern w:val="0"/>
          <w:sz w:val="18"/>
          <w:szCs w:val="26"/>
        </w:rPr>
        <w:t>United States Department of State, 2009 Country Reports on Human Rights Practices – Russia (11 March 2010); Council of Europe, Commissioner for Human Rights, report by  homas Hammarberg following his visit to the Russian Federation on 2-11 September 2009 (24  November 2009); United Kingdom of Great Britain and Northern Ireland, Home Office, Country of Origin Information Key documents: Russia (19 January 2007)</w:t>
      </w:r>
      <w:r w:rsidRPr="00ED61B0">
        <w:rPr>
          <w:rFonts w:hint="cs"/>
          <w:spacing w:val="0"/>
          <w:kern w:val="0"/>
          <w:sz w:val="18"/>
          <w:szCs w:val="26"/>
          <w:rtl/>
        </w:rPr>
        <w:t>.</w:t>
      </w:r>
    </w:p>
  </w:footnote>
  <w:footnote w:id="365">
    <w:p w:rsidR="00D64D4C" w:rsidRDefault="00D64D4C" w:rsidP="00466B80">
      <w:pPr>
        <w:pStyle w:val="FootnoteText"/>
        <w:tabs>
          <w:tab w:val="left" w:pos="1253"/>
        </w:tabs>
        <w:spacing w:after="60" w:line="300" w:lineRule="exact"/>
        <w:ind w:left="1239" w:right="1247" w:hanging="462"/>
        <w:jc w:val="lowKashida"/>
        <w:rPr>
          <w:rFonts w:hint="cs"/>
        </w:rPr>
      </w:pPr>
      <w:r>
        <w:rPr>
          <w:rFonts w:hint="cs"/>
          <w:spacing w:val="-4"/>
          <w:sz w:val="26"/>
          <w:szCs w:val="26"/>
          <w:rtl/>
        </w:rPr>
        <w:t>(ح)</w:t>
      </w:r>
      <w:r>
        <w:rPr>
          <w:rFonts w:hint="cs"/>
          <w:spacing w:val="-4"/>
          <w:sz w:val="26"/>
          <w:szCs w:val="26"/>
          <w:rtl/>
        </w:rPr>
        <w:tab/>
      </w:r>
      <w:r w:rsidRPr="00EC7B66">
        <w:rPr>
          <w:rFonts w:hint="cs"/>
          <w:spacing w:val="-4"/>
          <w:sz w:val="26"/>
          <w:szCs w:val="26"/>
          <w:rtl/>
        </w:rPr>
        <w:t>يستشهد صاحب الشكوى بقضيتين مماثلتين، إحداهما أبلغت عنها المنظمة العالمية لمناهضة التعذيب ("الاعتداء العنيف والمضايقة القضائية ضد السيد فاديم كاراستيلوف"، 16 آذار/مارس 2010)، والأخرى أبلغت عنها وزارة الخارجية الأمريكية.</w:t>
      </w:r>
    </w:p>
  </w:footnote>
  <w:footnote w:id="366">
    <w:p w:rsidR="00D64D4C" w:rsidRPr="00262501" w:rsidRDefault="00D64D4C" w:rsidP="00466B80">
      <w:pPr>
        <w:pStyle w:val="FootnoteText"/>
        <w:tabs>
          <w:tab w:val="left" w:pos="1253"/>
        </w:tabs>
        <w:spacing w:after="60" w:line="300" w:lineRule="exact"/>
        <w:ind w:left="1236" w:right="1247" w:hanging="459"/>
        <w:jc w:val="lowKashida"/>
        <w:rPr>
          <w:rFonts w:hint="cs"/>
          <w:sz w:val="18"/>
          <w:szCs w:val="26"/>
        </w:rPr>
      </w:pPr>
      <w:r>
        <w:rPr>
          <w:rFonts w:hint="cs"/>
          <w:spacing w:val="-4"/>
          <w:sz w:val="26"/>
          <w:szCs w:val="26"/>
          <w:rtl/>
        </w:rPr>
        <w:t>(ط)</w:t>
      </w:r>
      <w:r>
        <w:rPr>
          <w:rFonts w:hint="cs"/>
          <w:spacing w:val="-4"/>
          <w:sz w:val="26"/>
          <w:szCs w:val="26"/>
          <w:rtl/>
        </w:rPr>
        <w:tab/>
        <w:t>انظر</w:t>
      </w:r>
      <w:r w:rsidRPr="00262501">
        <w:rPr>
          <w:sz w:val="18"/>
          <w:szCs w:val="26"/>
        </w:rPr>
        <w:t xml:space="preserve">United Kingdom, Foreign and Commonwealth Office, </w:t>
      </w:r>
      <w:r w:rsidRPr="00262501">
        <w:rPr>
          <w:i/>
          <w:sz w:val="18"/>
          <w:szCs w:val="26"/>
        </w:rPr>
        <w:t>Annual Report on Human Rights 2009</w:t>
      </w:r>
      <w:r w:rsidRPr="00262501">
        <w:rPr>
          <w:sz w:val="18"/>
          <w:szCs w:val="26"/>
        </w:rPr>
        <w:t xml:space="preserve"> (March 2010), pp. 136-141</w:t>
      </w:r>
      <w:r w:rsidRPr="00262501">
        <w:rPr>
          <w:rFonts w:hint="cs"/>
          <w:sz w:val="18"/>
          <w:szCs w:val="26"/>
          <w:rtl/>
        </w:rPr>
        <w:t>.</w:t>
      </w:r>
    </w:p>
  </w:footnote>
  <w:footnote w:id="367">
    <w:p w:rsidR="00D64D4C" w:rsidRPr="00EC7B66" w:rsidRDefault="00D64D4C" w:rsidP="00466B80">
      <w:pPr>
        <w:pStyle w:val="FootnoteText"/>
        <w:tabs>
          <w:tab w:val="left" w:pos="1253"/>
        </w:tabs>
        <w:spacing w:after="60" w:line="300" w:lineRule="exact"/>
        <w:ind w:left="1239" w:right="1247" w:hanging="462"/>
        <w:jc w:val="lowKashida"/>
        <w:rPr>
          <w:rFonts w:hint="cs"/>
          <w:spacing w:val="-4"/>
          <w:sz w:val="26"/>
          <w:szCs w:val="26"/>
        </w:rPr>
      </w:pPr>
      <w:r>
        <w:rPr>
          <w:rFonts w:hint="cs"/>
          <w:spacing w:val="-4"/>
          <w:sz w:val="26"/>
          <w:szCs w:val="26"/>
          <w:rtl/>
        </w:rPr>
        <w:t>(ي)</w:t>
      </w:r>
      <w:r>
        <w:rPr>
          <w:rFonts w:hint="cs"/>
          <w:spacing w:val="-4"/>
          <w:sz w:val="26"/>
          <w:szCs w:val="26"/>
          <w:rtl/>
        </w:rPr>
        <w:tab/>
      </w:r>
      <w:r w:rsidRPr="00EC7B66">
        <w:rPr>
          <w:rFonts w:hint="cs"/>
          <w:spacing w:val="-4"/>
          <w:sz w:val="26"/>
          <w:szCs w:val="26"/>
          <w:rtl/>
        </w:rPr>
        <w:t xml:space="preserve">انظر البلاغ رقم 233/2003، </w:t>
      </w:r>
      <w:r w:rsidRPr="00ED61B0">
        <w:rPr>
          <w:rFonts w:hint="cs"/>
          <w:i/>
          <w:iCs/>
          <w:spacing w:val="-4"/>
          <w:sz w:val="26"/>
          <w:szCs w:val="26"/>
          <w:rtl/>
        </w:rPr>
        <w:t>عجيزة ضد السويد</w:t>
      </w:r>
      <w:r w:rsidRPr="00EC7B66">
        <w:rPr>
          <w:rFonts w:hint="cs"/>
          <w:spacing w:val="-4"/>
          <w:sz w:val="26"/>
          <w:szCs w:val="26"/>
          <w:rtl/>
        </w:rPr>
        <w:t>، القرار المعتمد في 20 أيار/مايو 2005، الفقرتان</w:t>
      </w:r>
      <w:r w:rsidRPr="00EC7B66">
        <w:rPr>
          <w:rFonts w:hint="eastAsia"/>
          <w:spacing w:val="-4"/>
          <w:sz w:val="26"/>
          <w:szCs w:val="26"/>
          <w:rtl/>
        </w:rPr>
        <w:t> </w:t>
      </w:r>
      <w:r w:rsidRPr="00EC7B66">
        <w:rPr>
          <w:rFonts w:hint="cs"/>
          <w:spacing w:val="-4"/>
          <w:sz w:val="26"/>
          <w:szCs w:val="26"/>
          <w:rtl/>
        </w:rPr>
        <w:t>13-6 و13-7.</w:t>
      </w:r>
    </w:p>
  </w:footnote>
  <w:footnote w:id="368">
    <w:p w:rsidR="00D64D4C" w:rsidRPr="00466B80" w:rsidRDefault="00D64D4C" w:rsidP="00466B80">
      <w:pPr>
        <w:pStyle w:val="FootnoteText"/>
        <w:tabs>
          <w:tab w:val="left" w:pos="1253"/>
        </w:tabs>
        <w:spacing w:after="60" w:line="300" w:lineRule="exact"/>
        <w:ind w:left="1239" w:right="1247" w:hanging="490"/>
        <w:jc w:val="lowKashida"/>
        <w:rPr>
          <w:rFonts w:hint="cs"/>
          <w:spacing w:val="0"/>
          <w:kern w:val="0"/>
          <w:sz w:val="26"/>
          <w:szCs w:val="26"/>
        </w:rPr>
      </w:pPr>
      <w:r w:rsidRPr="00466B80">
        <w:rPr>
          <w:rFonts w:hint="cs"/>
          <w:spacing w:val="0"/>
          <w:kern w:val="0"/>
          <w:sz w:val="26"/>
          <w:szCs w:val="26"/>
          <w:rtl/>
        </w:rPr>
        <w:t>(ك)</w:t>
      </w:r>
      <w:r w:rsidRPr="00466B80">
        <w:rPr>
          <w:rFonts w:hint="cs"/>
          <w:spacing w:val="0"/>
          <w:kern w:val="0"/>
          <w:sz w:val="26"/>
          <w:szCs w:val="26"/>
          <w:rtl/>
        </w:rPr>
        <w:tab/>
        <w:t xml:space="preserve">انظر البلاغ رقم 63/1997، </w:t>
      </w:r>
      <w:r w:rsidRPr="00466B80">
        <w:rPr>
          <w:rFonts w:hint="cs"/>
          <w:i/>
          <w:iCs/>
          <w:spacing w:val="0"/>
          <w:kern w:val="0"/>
          <w:sz w:val="26"/>
          <w:szCs w:val="26"/>
          <w:rtl/>
        </w:rPr>
        <w:t>أركوز آرانا ضد فرنسا</w:t>
      </w:r>
      <w:r w:rsidRPr="00466B80">
        <w:rPr>
          <w:rFonts w:hint="cs"/>
          <w:spacing w:val="0"/>
          <w:kern w:val="0"/>
          <w:sz w:val="26"/>
          <w:szCs w:val="26"/>
          <w:rtl/>
        </w:rPr>
        <w:t xml:space="preserve">، القرار المعتمد في 9 تشرين الثاني/نوفمبر 1999، الفقرة 6-1؛ والبلاغ رقم 99/1997، </w:t>
      </w:r>
      <w:r w:rsidRPr="00466B80">
        <w:rPr>
          <w:rFonts w:hint="cs"/>
          <w:i/>
          <w:iCs/>
          <w:spacing w:val="0"/>
          <w:kern w:val="0"/>
          <w:sz w:val="26"/>
          <w:szCs w:val="26"/>
          <w:rtl/>
        </w:rPr>
        <w:t>ت. ب. س. ضد كندا</w:t>
      </w:r>
      <w:r w:rsidRPr="00466B80">
        <w:rPr>
          <w:rFonts w:hint="cs"/>
          <w:spacing w:val="0"/>
          <w:kern w:val="0"/>
          <w:sz w:val="26"/>
          <w:szCs w:val="26"/>
          <w:rtl/>
        </w:rPr>
        <w:t xml:space="preserve">، الآراء المعتمدة في 16 أيار/مايو 2000، الفقرة 10-1؛ وانظر أيضاً اللجنة المعنية بحقوق الإنسان، البلاغ رقم 1086/2002، </w:t>
      </w:r>
      <w:r w:rsidRPr="00466B80">
        <w:rPr>
          <w:rFonts w:hint="cs"/>
          <w:i/>
          <w:iCs/>
          <w:spacing w:val="0"/>
          <w:kern w:val="0"/>
          <w:sz w:val="26"/>
          <w:szCs w:val="26"/>
          <w:rtl/>
        </w:rPr>
        <w:t>فيتز ضد النمسا</w:t>
      </w:r>
      <w:r w:rsidRPr="00466B80">
        <w:rPr>
          <w:rFonts w:hint="cs"/>
          <w:spacing w:val="0"/>
          <w:kern w:val="0"/>
          <w:sz w:val="26"/>
          <w:szCs w:val="26"/>
          <w:rtl/>
        </w:rPr>
        <w:t>، الآراء المعتمدة في 3 نيسان/أبريل 2003، الفقرة 8-2.</w:t>
      </w:r>
    </w:p>
  </w:footnote>
  <w:footnote w:id="369">
    <w:p w:rsidR="00D64D4C" w:rsidRPr="00466B80" w:rsidRDefault="00D64D4C" w:rsidP="00ED61B0">
      <w:pPr>
        <w:pStyle w:val="FootnoteText"/>
        <w:tabs>
          <w:tab w:val="left" w:pos="1253"/>
        </w:tabs>
        <w:spacing w:after="60" w:line="300" w:lineRule="exact"/>
        <w:ind w:left="1239" w:right="1247" w:hanging="490"/>
        <w:jc w:val="lowKashida"/>
        <w:rPr>
          <w:rFonts w:hint="cs"/>
          <w:spacing w:val="0"/>
          <w:kern w:val="0"/>
          <w:sz w:val="26"/>
          <w:szCs w:val="26"/>
        </w:rPr>
      </w:pPr>
      <w:r w:rsidRPr="00466B80">
        <w:rPr>
          <w:rFonts w:hint="cs"/>
          <w:spacing w:val="0"/>
          <w:kern w:val="0"/>
          <w:sz w:val="26"/>
          <w:szCs w:val="26"/>
          <w:rtl/>
        </w:rPr>
        <w:t>(ل)</w:t>
      </w:r>
      <w:r w:rsidRPr="00466B80">
        <w:rPr>
          <w:rFonts w:hint="cs"/>
          <w:spacing w:val="0"/>
          <w:kern w:val="0"/>
          <w:sz w:val="26"/>
          <w:szCs w:val="26"/>
          <w:rtl/>
        </w:rPr>
        <w:tab/>
        <w:t xml:space="preserve">انظر </w:t>
      </w:r>
      <w:r w:rsidRPr="00466B80">
        <w:rPr>
          <w:rFonts w:hint="cs"/>
          <w:i/>
          <w:iCs/>
          <w:spacing w:val="0"/>
          <w:kern w:val="0"/>
          <w:sz w:val="26"/>
          <w:szCs w:val="26"/>
          <w:rtl/>
        </w:rPr>
        <w:t>عجيزة ضد السويد</w:t>
      </w:r>
      <w:r w:rsidRPr="00466B80">
        <w:rPr>
          <w:rFonts w:hint="cs"/>
          <w:spacing w:val="0"/>
          <w:kern w:val="0"/>
          <w:sz w:val="26"/>
          <w:szCs w:val="26"/>
          <w:rtl/>
        </w:rPr>
        <w:t xml:space="preserve"> (الحاشية 10 أعلاه)، الفقرتان 13-4 و13-5؛ انظر أيضاً بلاغ اللجنة المعنية</w:t>
      </w:r>
      <w:r>
        <w:rPr>
          <w:rFonts w:hint="eastAsia"/>
          <w:spacing w:val="0"/>
          <w:kern w:val="0"/>
          <w:sz w:val="26"/>
          <w:szCs w:val="26"/>
          <w:rtl/>
        </w:rPr>
        <w:t> </w:t>
      </w:r>
      <w:r w:rsidRPr="00466B80">
        <w:rPr>
          <w:rFonts w:hint="cs"/>
          <w:spacing w:val="0"/>
          <w:kern w:val="0"/>
          <w:sz w:val="26"/>
          <w:szCs w:val="26"/>
          <w:rtl/>
        </w:rPr>
        <w:t xml:space="preserve">بحقوق الإنسان رقم 1416/2005، </w:t>
      </w:r>
      <w:r w:rsidRPr="00466B80">
        <w:rPr>
          <w:rFonts w:hint="cs"/>
          <w:i/>
          <w:iCs/>
          <w:spacing w:val="0"/>
          <w:kern w:val="0"/>
          <w:sz w:val="26"/>
          <w:szCs w:val="26"/>
          <w:rtl/>
        </w:rPr>
        <w:t>الزيري ضد السويد</w:t>
      </w:r>
      <w:r w:rsidRPr="00466B80">
        <w:rPr>
          <w:rFonts w:hint="cs"/>
          <w:spacing w:val="0"/>
          <w:kern w:val="0"/>
          <w:sz w:val="26"/>
          <w:szCs w:val="26"/>
          <w:rtl/>
        </w:rPr>
        <w:t>، الآراء المعتمدة في 25 تشرين الأول/</w:t>
      </w:r>
      <w:r>
        <w:rPr>
          <w:rFonts w:hint="cs"/>
          <w:spacing w:val="0"/>
          <w:kern w:val="0"/>
          <w:sz w:val="26"/>
          <w:szCs w:val="26"/>
          <w:rtl/>
        </w:rPr>
        <w:t xml:space="preserve"> </w:t>
      </w:r>
      <w:r w:rsidRPr="00466B80">
        <w:rPr>
          <w:rFonts w:hint="cs"/>
          <w:spacing w:val="0"/>
          <w:kern w:val="0"/>
          <w:sz w:val="26"/>
          <w:szCs w:val="26"/>
          <w:rtl/>
        </w:rPr>
        <w:t>أكتوبر 2006، الفقرة 11-5.</w:t>
      </w:r>
    </w:p>
  </w:footnote>
  <w:footnote w:id="370">
    <w:p w:rsidR="00D64D4C" w:rsidRPr="00625F82" w:rsidRDefault="00D64D4C" w:rsidP="00466B80">
      <w:pPr>
        <w:pStyle w:val="FootnoteText"/>
        <w:tabs>
          <w:tab w:val="left" w:pos="1253"/>
        </w:tabs>
        <w:spacing w:after="60" w:line="260" w:lineRule="exact"/>
        <w:ind w:left="1236" w:right="1247" w:hanging="490"/>
        <w:jc w:val="lowKashida"/>
        <w:rPr>
          <w:rFonts w:hint="cs"/>
          <w:sz w:val="18"/>
          <w:szCs w:val="26"/>
        </w:rPr>
      </w:pPr>
      <w:r>
        <w:rPr>
          <w:rFonts w:hint="cs"/>
          <w:spacing w:val="-4"/>
          <w:sz w:val="26"/>
          <w:szCs w:val="26"/>
          <w:rtl/>
        </w:rPr>
        <w:t>(م)</w:t>
      </w:r>
      <w:r>
        <w:rPr>
          <w:rFonts w:hint="cs"/>
          <w:spacing w:val="-4"/>
          <w:sz w:val="26"/>
          <w:szCs w:val="26"/>
          <w:rtl/>
        </w:rPr>
        <w:tab/>
        <w:t>انظر</w:t>
      </w:r>
      <w:r w:rsidRPr="00625F82">
        <w:rPr>
          <w:sz w:val="18"/>
          <w:szCs w:val="26"/>
        </w:rPr>
        <w:t>the report by Alvaro Gil-Robles, Commissioner for Human Rights, on his visit to Sweden on 21-23 April 2004 (8 July 2004), paras. 17-19</w:t>
      </w:r>
      <w:r>
        <w:rPr>
          <w:rFonts w:hint="cs"/>
          <w:sz w:val="26"/>
          <w:szCs w:val="26"/>
          <w:rtl/>
        </w:rPr>
        <w:t>.</w:t>
      </w:r>
    </w:p>
  </w:footnote>
  <w:footnote w:id="371">
    <w:p w:rsidR="00D64D4C" w:rsidRPr="00EC7B66" w:rsidRDefault="00D64D4C" w:rsidP="00466B80">
      <w:pPr>
        <w:pStyle w:val="FootnoteText"/>
        <w:tabs>
          <w:tab w:val="left" w:pos="1253"/>
        </w:tabs>
        <w:spacing w:after="60" w:line="300" w:lineRule="exact"/>
        <w:ind w:left="1239" w:right="1247" w:hanging="392"/>
        <w:jc w:val="lowKashida"/>
        <w:rPr>
          <w:rFonts w:hint="cs"/>
          <w:spacing w:val="-4"/>
          <w:sz w:val="26"/>
          <w:szCs w:val="26"/>
        </w:rPr>
      </w:pPr>
      <w:r>
        <w:rPr>
          <w:rFonts w:hint="cs"/>
          <w:spacing w:val="-4"/>
          <w:sz w:val="26"/>
          <w:szCs w:val="26"/>
          <w:rtl/>
        </w:rPr>
        <w:t>(ن)</w:t>
      </w:r>
      <w:r>
        <w:rPr>
          <w:rFonts w:hint="cs"/>
          <w:spacing w:val="-4"/>
          <w:sz w:val="26"/>
          <w:szCs w:val="26"/>
          <w:rtl/>
        </w:rPr>
        <w:tab/>
      </w:r>
      <w:r w:rsidRPr="00EC7B66">
        <w:rPr>
          <w:rFonts w:hint="cs"/>
          <w:spacing w:val="-4"/>
          <w:sz w:val="26"/>
          <w:szCs w:val="26"/>
          <w:rtl/>
        </w:rPr>
        <w:t xml:space="preserve">انظر البلاغ رقم 110/1998، </w:t>
      </w:r>
      <w:r w:rsidRPr="00466B80">
        <w:rPr>
          <w:rFonts w:hint="cs"/>
          <w:i/>
          <w:iCs/>
          <w:spacing w:val="-4"/>
          <w:sz w:val="26"/>
          <w:szCs w:val="26"/>
          <w:rtl/>
        </w:rPr>
        <w:t>نونييز شيبانا ضد فنزويلا</w:t>
      </w:r>
      <w:r w:rsidRPr="00EC7B66">
        <w:rPr>
          <w:rFonts w:hint="cs"/>
          <w:spacing w:val="-4"/>
          <w:sz w:val="26"/>
          <w:szCs w:val="26"/>
          <w:rtl/>
        </w:rPr>
        <w:t xml:space="preserve">، الآراء المعتمدة في 10 تشرين الثاني/نوفمبر 1998، الفقرة 8؛ وبلاغ </w:t>
      </w:r>
      <w:r w:rsidRPr="00466B80">
        <w:rPr>
          <w:rFonts w:hint="cs"/>
          <w:i/>
          <w:iCs/>
          <w:spacing w:val="-4"/>
          <w:sz w:val="26"/>
          <w:szCs w:val="26"/>
          <w:rtl/>
        </w:rPr>
        <w:t>ت. ب. س. ضد كندا</w:t>
      </w:r>
      <w:r w:rsidRPr="00EC7B66">
        <w:rPr>
          <w:rFonts w:hint="cs"/>
          <w:spacing w:val="-4"/>
          <w:sz w:val="26"/>
          <w:szCs w:val="26"/>
          <w:rtl/>
        </w:rPr>
        <w:t xml:space="preserve"> (الحاشية 11 أعلاه)، الفقرة 15-6.</w:t>
      </w:r>
    </w:p>
  </w:footnote>
  <w:footnote w:id="372">
    <w:p w:rsidR="00D64D4C" w:rsidRPr="00466B80" w:rsidRDefault="00D64D4C" w:rsidP="00ED61B0">
      <w:pPr>
        <w:pStyle w:val="FootnoteText"/>
        <w:tabs>
          <w:tab w:val="left" w:pos="1253"/>
        </w:tabs>
        <w:spacing w:after="60" w:line="300" w:lineRule="exact"/>
        <w:ind w:left="1239" w:right="1247" w:hanging="518"/>
        <w:jc w:val="lowKashida"/>
        <w:rPr>
          <w:rFonts w:hint="cs"/>
          <w:spacing w:val="0"/>
          <w:sz w:val="26"/>
          <w:szCs w:val="26"/>
        </w:rPr>
      </w:pPr>
      <w:r w:rsidRPr="00466B80">
        <w:rPr>
          <w:rFonts w:hint="cs"/>
          <w:spacing w:val="0"/>
          <w:sz w:val="26"/>
          <w:szCs w:val="26"/>
          <w:rtl/>
        </w:rPr>
        <w:t>(س)</w:t>
      </w:r>
      <w:r w:rsidRPr="00466B80">
        <w:rPr>
          <w:rFonts w:hint="cs"/>
          <w:spacing w:val="0"/>
          <w:sz w:val="26"/>
          <w:szCs w:val="26"/>
          <w:rtl/>
        </w:rPr>
        <w:tab/>
        <w:t xml:space="preserve">انظر البلاغ رقم 195/2002، </w:t>
      </w:r>
      <w:r w:rsidRPr="00466B80">
        <w:rPr>
          <w:rFonts w:hint="cs"/>
          <w:i/>
          <w:iCs/>
          <w:spacing w:val="0"/>
          <w:sz w:val="26"/>
          <w:szCs w:val="26"/>
          <w:rtl/>
        </w:rPr>
        <w:t>برادة ضد فرنسا</w:t>
      </w:r>
      <w:r w:rsidRPr="00466B80">
        <w:rPr>
          <w:rFonts w:hint="cs"/>
          <w:spacing w:val="0"/>
          <w:sz w:val="26"/>
          <w:szCs w:val="26"/>
          <w:rtl/>
        </w:rPr>
        <w:t>، القرار المعتمد في 17 أيار/مايو 2005، الفقرتان 6-1 و6-2.</w:t>
      </w:r>
    </w:p>
  </w:footnote>
  <w:footnote w:id="373">
    <w:p w:rsidR="00D64D4C" w:rsidRDefault="00D64D4C" w:rsidP="00ED61B0">
      <w:pPr>
        <w:pStyle w:val="FootnoteText"/>
        <w:tabs>
          <w:tab w:val="left" w:pos="1253"/>
        </w:tabs>
        <w:spacing w:after="60" w:line="300" w:lineRule="exact"/>
        <w:ind w:left="1239" w:right="1247" w:hanging="476"/>
        <w:jc w:val="lowKashida"/>
        <w:rPr>
          <w:rFonts w:hint="cs"/>
        </w:rPr>
      </w:pPr>
      <w:r>
        <w:rPr>
          <w:rFonts w:hint="cs"/>
          <w:spacing w:val="-4"/>
          <w:sz w:val="26"/>
          <w:szCs w:val="26"/>
          <w:rtl/>
        </w:rPr>
        <w:t>(ع)</w:t>
      </w:r>
      <w:r>
        <w:rPr>
          <w:rFonts w:hint="cs"/>
          <w:spacing w:val="-4"/>
          <w:sz w:val="26"/>
          <w:szCs w:val="26"/>
          <w:rtl/>
        </w:rPr>
        <w:tab/>
      </w:r>
      <w:r w:rsidRPr="00EC7B66">
        <w:rPr>
          <w:rFonts w:hint="cs"/>
          <w:spacing w:val="-4"/>
          <w:sz w:val="26"/>
          <w:szCs w:val="26"/>
          <w:rtl/>
        </w:rPr>
        <w:t xml:space="preserve">البلاغ رقم 170/2000، </w:t>
      </w:r>
      <w:r w:rsidRPr="00AB031D">
        <w:rPr>
          <w:rFonts w:hint="cs"/>
          <w:i/>
          <w:iCs/>
          <w:spacing w:val="-4"/>
          <w:sz w:val="26"/>
          <w:szCs w:val="26"/>
          <w:rtl/>
        </w:rPr>
        <w:t>أ. ر. ضد السويد</w:t>
      </w:r>
      <w:r w:rsidRPr="00EC7B66">
        <w:rPr>
          <w:rFonts w:hint="cs"/>
          <w:spacing w:val="-4"/>
          <w:sz w:val="26"/>
          <w:szCs w:val="26"/>
          <w:rtl/>
        </w:rPr>
        <w:t>، القرار المعتمد في 23 تشرين الثاني/نوفمبر 2001، الفقرة</w:t>
      </w:r>
      <w:r w:rsidRPr="00EC7B66">
        <w:rPr>
          <w:rFonts w:hint="eastAsia"/>
          <w:spacing w:val="-4"/>
          <w:sz w:val="26"/>
          <w:szCs w:val="26"/>
          <w:rtl/>
        </w:rPr>
        <w:t> </w:t>
      </w:r>
      <w:r w:rsidRPr="00EC7B66">
        <w:rPr>
          <w:rFonts w:hint="cs"/>
          <w:spacing w:val="-4"/>
          <w:sz w:val="26"/>
          <w:szCs w:val="26"/>
          <w:rtl/>
        </w:rPr>
        <w:t>7-1.</w:t>
      </w:r>
    </w:p>
  </w:footnote>
  <w:footnote w:id="374">
    <w:p w:rsidR="00D64D4C" w:rsidRDefault="00D64D4C" w:rsidP="00ED61B0">
      <w:pPr>
        <w:pStyle w:val="FootnoteText"/>
        <w:tabs>
          <w:tab w:val="left" w:pos="1253"/>
        </w:tabs>
        <w:spacing w:after="60" w:line="300" w:lineRule="exact"/>
        <w:ind w:left="1253" w:right="1247" w:hanging="532"/>
        <w:jc w:val="lowKashida"/>
        <w:rPr>
          <w:rFonts w:hint="cs"/>
        </w:rPr>
      </w:pPr>
      <w:r>
        <w:rPr>
          <w:rFonts w:hint="cs"/>
          <w:spacing w:val="-4"/>
          <w:sz w:val="26"/>
          <w:szCs w:val="26"/>
          <w:rtl/>
        </w:rPr>
        <w:t>(ف)</w:t>
      </w:r>
      <w:r>
        <w:rPr>
          <w:rFonts w:hint="cs"/>
          <w:spacing w:val="-4"/>
          <w:sz w:val="26"/>
          <w:szCs w:val="26"/>
          <w:rtl/>
        </w:rPr>
        <w:tab/>
      </w:r>
      <w:r w:rsidRPr="00466B80">
        <w:rPr>
          <w:rFonts w:hint="cs"/>
          <w:i/>
          <w:iCs/>
          <w:spacing w:val="-4"/>
          <w:sz w:val="26"/>
          <w:szCs w:val="26"/>
          <w:rtl/>
        </w:rPr>
        <w:t>الوثائق الرسمية للجمعية العامة، الدورة الثالثة والخمسون، الملحق رقم 44</w:t>
      </w:r>
      <w:r w:rsidRPr="00EC7B66">
        <w:rPr>
          <w:rFonts w:hint="cs"/>
          <w:spacing w:val="-4"/>
          <w:sz w:val="26"/>
          <w:szCs w:val="26"/>
          <w:rtl/>
        </w:rPr>
        <w:t xml:space="preserve"> </w:t>
      </w:r>
      <w:r w:rsidRPr="009D1B6C">
        <w:rPr>
          <w:rFonts w:hint="cs"/>
          <w:sz w:val="18"/>
          <w:szCs w:val="26"/>
          <w:rtl/>
        </w:rPr>
        <w:t>(</w:t>
      </w:r>
      <w:r w:rsidRPr="009D1B6C">
        <w:rPr>
          <w:sz w:val="18"/>
          <w:szCs w:val="26"/>
        </w:rPr>
        <w:t>A/53/44</w:t>
      </w:r>
      <w:r w:rsidRPr="009D1B6C">
        <w:rPr>
          <w:rFonts w:hint="cs"/>
          <w:sz w:val="18"/>
          <w:szCs w:val="26"/>
          <w:rtl/>
        </w:rPr>
        <w:t xml:space="preserve"> </w:t>
      </w:r>
      <w:r w:rsidRPr="00EC7B66">
        <w:rPr>
          <w:rFonts w:hint="cs"/>
          <w:spacing w:val="-4"/>
          <w:sz w:val="26"/>
          <w:szCs w:val="26"/>
          <w:rtl/>
        </w:rPr>
        <w:t>و</w:t>
      </w:r>
      <w:r w:rsidRPr="009D1B6C">
        <w:rPr>
          <w:sz w:val="18"/>
          <w:szCs w:val="26"/>
        </w:rPr>
        <w:t>Corr.1</w:t>
      </w:r>
      <w:r w:rsidRPr="009D1B6C">
        <w:rPr>
          <w:rFonts w:hint="cs"/>
          <w:sz w:val="18"/>
          <w:szCs w:val="26"/>
          <w:rtl/>
        </w:rPr>
        <w:t>)</w:t>
      </w:r>
      <w:r w:rsidRPr="00EC7B66">
        <w:rPr>
          <w:rFonts w:hint="cs"/>
          <w:spacing w:val="-4"/>
          <w:sz w:val="26"/>
          <w:szCs w:val="26"/>
          <w:rtl/>
        </w:rPr>
        <w:t>، المرفق التاسع، الفقرة 6.</w:t>
      </w:r>
    </w:p>
  </w:footnote>
  <w:footnote w:id="375">
    <w:p w:rsidR="00D64D4C" w:rsidRPr="00EC7B66" w:rsidRDefault="00D64D4C" w:rsidP="00171FB4">
      <w:pPr>
        <w:pStyle w:val="FootnoteText"/>
        <w:tabs>
          <w:tab w:val="left" w:pos="1253"/>
        </w:tabs>
        <w:spacing w:after="60" w:line="300" w:lineRule="exact"/>
        <w:ind w:left="1253" w:right="1247" w:hanging="532"/>
        <w:jc w:val="lowKashida"/>
        <w:rPr>
          <w:rFonts w:hint="cs"/>
          <w:spacing w:val="-4"/>
          <w:sz w:val="26"/>
          <w:szCs w:val="26"/>
        </w:rPr>
      </w:pPr>
      <w:r>
        <w:rPr>
          <w:rFonts w:hint="cs"/>
          <w:spacing w:val="-4"/>
          <w:sz w:val="26"/>
          <w:szCs w:val="26"/>
          <w:rtl/>
        </w:rPr>
        <w:t>(ص)</w:t>
      </w:r>
      <w:r>
        <w:rPr>
          <w:rFonts w:hint="cs"/>
          <w:spacing w:val="-4"/>
          <w:sz w:val="26"/>
          <w:szCs w:val="26"/>
          <w:rtl/>
        </w:rPr>
        <w:tab/>
      </w:r>
      <w:r w:rsidRPr="00EC7B66">
        <w:rPr>
          <w:rFonts w:hint="cs"/>
          <w:spacing w:val="-4"/>
          <w:sz w:val="26"/>
          <w:szCs w:val="26"/>
          <w:rtl/>
        </w:rPr>
        <w:t xml:space="preserve">انظر، مثلاً، البلاغات أرقام 258/2004، </w:t>
      </w:r>
      <w:r w:rsidRPr="00466B80">
        <w:rPr>
          <w:rFonts w:hint="cs"/>
          <w:i/>
          <w:iCs/>
          <w:spacing w:val="-4"/>
          <w:sz w:val="26"/>
          <w:szCs w:val="26"/>
          <w:rtl/>
        </w:rPr>
        <w:t>دادار ضد كندا</w:t>
      </w:r>
      <w:r w:rsidRPr="00EC7B66">
        <w:rPr>
          <w:rFonts w:hint="cs"/>
          <w:spacing w:val="-4"/>
          <w:sz w:val="26"/>
          <w:szCs w:val="26"/>
          <w:rtl/>
        </w:rPr>
        <w:t>، القرار المعتمد في 23 تشرين الثاني/نوفمبر 2005؛ و</w:t>
      </w:r>
      <w:r>
        <w:rPr>
          <w:rFonts w:hint="cs"/>
          <w:spacing w:val="-4"/>
          <w:sz w:val="26"/>
          <w:szCs w:val="26"/>
          <w:rtl/>
        </w:rPr>
        <w:t>226</w:t>
      </w:r>
      <w:r w:rsidRPr="00EC7B66">
        <w:rPr>
          <w:rFonts w:hint="cs"/>
          <w:spacing w:val="-4"/>
          <w:sz w:val="26"/>
          <w:szCs w:val="26"/>
          <w:rtl/>
        </w:rPr>
        <w:t xml:space="preserve">/2003، </w:t>
      </w:r>
      <w:r w:rsidRPr="00466B80">
        <w:rPr>
          <w:rFonts w:hint="cs"/>
          <w:i/>
          <w:iCs/>
          <w:spacing w:val="-4"/>
          <w:sz w:val="26"/>
          <w:szCs w:val="26"/>
          <w:rtl/>
        </w:rPr>
        <w:t>ت. أ. ضد السويد</w:t>
      </w:r>
      <w:r w:rsidRPr="00EC7B66">
        <w:rPr>
          <w:rFonts w:hint="cs"/>
          <w:spacing w:val="-4"/>
          <w:sz w:val="26"/>
          <w:szCs w:val="26"/>
          <w:rtl/>
        </w:rPr>
        <w:t xml:space="preserve">، القرار المعتمد في 6 أيار/مايو 2005؛ و356/2008، </w:t>
      </w:r>
      <w:r w:rsidRPr="00466B80">
        <w:rPr>
          <w:rFonts w:hint="cs"/>
          <w:i/>
          <w:iCs/>
          <w:spacing w:val="-4"/>
          <w:sz w:val="26"/>
          <w:szCs w:val="26"/>
          <w:rtl/>
        </w:rPr>
        <w:t>ن. س. ضد سويسرا</w:t>
      </w:r>
      <w:r w:rsidRPr="00EC7B66">
        <w:rPr>
          <w:rFonts w:hint="cs"/>
          <w:spacing w:val="-4"/>
          <w:sz w:val="26"/>
          <w:szCs w:val="26"/>
          <w:rtl/>
        </w:rPr>
        <w:t>، القرار المعتمد في 6 أيار/مايو 2010.</w:t>
      </w:r>
    </w:p>
  </w:footnote>
  <w:footnote w:id="376">
    <w:p w:rsidR="00D64D4C" w:rsidRPr="00EC7B66" w:rsidRDefault="00D64D4C" w:rsidP="00ED61B0">
      <w:pPr>
        <w:pStyle w:val="FootnoteText"/>
        <w:tabs>
          <w:tab w:val="left" w:pos="1253"/>
        </w:tabs>
        <w:spacing w:after="60" w:line="300" w:lineRule="exact"/>
        <w:ind w:left="1253" w:right="1247" w:hanging="532"/>
        <w:jc w:val="lowKashida"/>
        <w:rPr>
          <w:rFonts w:hint="cs"/>
          <w:spacing w:val="-4"/>
          <w:sz w:val="26"/>
          <w:szCs w:val="26"/>
        </w:rPr>
      </w:pPr>
      <w:r>
        <w:rPr>
          <w:rFonts w:hint="cs"/>
          <w:spacing w:val="-4"/>
          <w:sz w:val="26"/>
          <w:szCs w:val="26"/>
          <w:rtl/>
        </w:rPr>
        <w:t>(ق)</w:t>
      </w:r>
      <w:r>
        <w:rPr>
          <w:rFonts w:hint="cs"/>
          <w:spacing w:val="-4"/>
          <w:sz w:val="26"/>
          <w:szCs w:val="26"/>
          <w:rtl/>
        </w:rPr>
        <w:tab/>
      </w:r>
      <w:r w:rsidRPr="00EC7B66">
        <w:rPr>
          <w:rFonts w:hint="cs"/>
          <w:spacing w:val="-4"/>
          <w:sz w:val="26"/>
          <w:szCs w:val="26"/>
          <w:rtl/>
        </w:rPr>
        <w:t xml:space="preserve">انظر التعليق العام رقم 2(2007) للجنة مناهضة التعذيب المتعلق بتنفيذ الدول الأطراف للمادة 2، </w:t>
      </w:r>
      <w:r w:rsidRPr="00466B80">
        <w:rPr>
          <w:rFonts w:hint="cs"/>
          <w:i/>
          <w:iCs/>
          <w:spacing w:val="-4"/>
          <w:sz w:val="26"/>
          <w:szCs w:val="26"/>
          <w:rtl/>
        </w:rPr>
        <w:t>الوثائق الرسمية للجمعية العامة، الدورة الثالثة والستون، الملحق رقم 44</w:t>
      </w:r>
      <w:r w:rsidRPr="00EC7B66">
        <w:rPr>
          <w:rFonts w:hint="cs"/>
          <w:spacing w:val="-4"/>
          <w:sz w:val="26"/>
          <w:szCs w:val="26"/>
          <w:rtl/>
        </w:rPr>
        <w:t xml:space="preserve"> </w:t>
      </w:r>
      <w:r>
        <w:rPr>
          <w:rFonts w:hint="cs"/>
          <w:sz w:val="18"/>
          <w:rtl/>
        </w:rPr>
        <w:t>(</w:t>
      </w:r>
      <w:r>
        <w:rPr>
          <w:sz w:val="18"/>
        </w:rPr>
        <w:t>A/63/44</w:t>
      </w:r>
      <w:r>
        <w:rPr>
          <w:rFonts w:hint="cs"/>
          <w:sz w:val="18"/>
          <w:rtl/>
        </w:rPr>
        <w:t>)</w:t>
      </w:r>
      <w:r w:rsidRPr="004E36B5">
        <w:rPr>
          <w:rFonts w:hint="cs"/>
          <w:sz w:val="24"/>
          <w:szCs w:val="26"/>
          <w:rtl/>
        </w:rPr>
        <w:t xml:space="preserve">، </w:t>
      </w:r>
      <w:r w:rsidRPr="00EC7B66">
        <w:rPr>
          <w:rFonts w:hint="cs"/>
          <w:spacing w:val="-4"/>
          <w:sz w:val="26"/>
          <w:szCs w:val="26"/>
          <w:rtl/>
        </w:rPr>
        <w:t>المرفق السادس، الفقرة 5.</w:t>
      </w:r>
    </w:p>
  </w:footnote>
  <w:footnote w:id="377">
    <w:p w:rsidR="00D64D4C" w:rsidRPr="00191A6F" w:rsidRDefault="00D64D4C" w:rsidP="00FA6676">
      <w:pPr>
        <w:pStyle w:val="footnoteText0"/>
        <w:rPr>
          <w:spacing w:val="-4"/>
        </w:rPr>
      </w:pPr>
      <w:r>
        <w:rPr>
          <w:rtl/>
        </w:rPr>
        <w:tab/>
      </w:r>
      <w:r w:rsidRPr="00466B80">
        <w:rPr>
          <w:rStyle w:val="FootnoteReference"/>
          <w:sz w:val="20"/>
          <w:vertAlign w:val="baseline"/>
          <w:rtl/>
        </w:rPr>
        <w:t>*</w:t>
      </w:r>
      <w:r>
        <w:rPr>
          <w:rtl/>
        </w:rPr>
        <w:tab/>
      </w:r>
      <w:r w:rsidRPr="00191A6F">
        <w:rPr>
          <w:rFonts w:hint="cs"/>
          <w:spacing w:val="-4"/>
          <w:sz w:val="26"/>
          <w:rtl/>
        </w:rPr>
        <w:t>اعتمد القرار بالتصويت. وأيد تسعة أعضاء القرار وامتنع عض</w:t>
      </w:r>
      <w:r>
        <w:rPr>
          <w:rFonts w:hint="cs"/>
          <w:spacing w:val="-4"/>
          <w:sz w:val="26"/>
          <w:rtl/>
        </w:rPr>
        <w:t xml:space="preserve">و واحد </w:t>
      </w:r>
      <w:r w:rsidRPr="00191A6F">
        <w:rPr>
          <w:rFonts w:hint="cs"/>
          <w:spacing w:val="-4"/>
          <w:sz w:val="26"/>
          <w:rtl/>
        </w:rPr>
        <w:t>عن التصويت</w:t>
      </w:r>
      <w:r>
        <w:rPr>
          <w:rFonts w:hint="cs"/>
          <w:spacing w:val="-4"/>
          <w:sz w:val="26"/>
          <w:rtl/>
        </w:rPr>
        <w:t xml:space="preserve"> هو السيد سويسيان وانغ</w:t>
      </w:r>
      <w:r w:rsidRPr="00191A6F">
        <w:rPr>
          <w:rFonts w:hint="cs"/>
          <w:spacing w:val="-4"/>
          <w:sz w:val="26"/>
          <w:rtl/>
        </w:rPr>
        <w:t>.</w:t>
      </w:r>
    </w:p>
  </w:footnote>
  <w:footnote w:id="378">
    <w:p w:rsidR="00D64D4C" w:rsidRPr="00466B80" w:rsidRDefault="00D64D4C" w:rsidP="00EA66E5">
      <w:pPr>
        <w:pStyle w:val="FootnoteText"/>
        <w:numPr>
          <w:ilvl w:val="0"/>
          <w:numId w:val="46"/>
        </w:numPr>
        <w:tabs>
          <w:tab w:val="left" w:pos="1253"/>
        </w:tabs>
        <w:spacing w:after="60" w:line="300" w:lineRule="exact"/>
        <w:ind w:left="1248" w:right="1247" w:hanging="227"/>
        <w:jc w:val="lowKashida"/>
        <w:rPr>
          <w:rFonts w:hint="cs"/>
          <w:spacing w:val="0"/>
          <w:kern w:val="0"/>
          <w:sz w:val="26"/>
          <w:szCs w:val="26"/>
        </w:rPr>
      </w:pPr>
      <w:r w:rsidRPr="00466B80">
        <w:rPr>
          <w:rFonts w:hint="cs"/>
          <w:spacing w:val="0"/>
          <w:kern w:val="0"/>
          <w:sz w:val="26"/>
          <w:szCs w:val="26"/>
          <w:rtl/>
        </w:rPr>
        <w:t>أصدرت كازاخستان الإعلان المنصوص عليه في المادة 22 من اتفاقية مناهضة التعذيب في 21 شباط/ فبراير 2008.</w:t>
      </w:r>
    </w:p>
  </w:footnote>
  <w:footnote w:id="379">
    <w:p w:rsidR="00D64D4C" w:rsidRPr="00466B80" w:rsidRDefault="00D64D4C" w:rsidP="00EA66E5">
      <w:pPr>
        <w:pStyle w:val="FootnoteText"/>
        <w:numPr>
          <w:ilvl w:val="0"/>
          <w:numId w:val="46"/>
        </w:numPr>
        <w:tabs>
          <w:tab w:val="left" w:pos="1253"/>
        </w:tabs>
        <w:spacing w:after="60" w:line="300" w:lineRule="exact"/>
        <w:ind w:left="1248" w:right="1247" w:hanging="227"/>
        <w:jc w:val="lowKashida"/>
        <w:rPr>
          <w:spacing w:val="0"/>
          <w:kern w:val="0"/>
          <w:sz w:val="26"/>
          <w:szCs w:val="26"/>
        </w:rPr>
      </w:pPr>
      <w:r w:rsidRPr="00466B80">
        <w:rPr>
          <w:rFonts w:hint="cs"/>
          <w:spacing w:val="0"/>
          <w:kern w:val="0"/>
          <w:sz w:val="26"/>
          <w:szCs w:val="26"/>
          <w:rtl/>
        </w:rPr>
        <w:t>مرفق بالشكوى توكيل رسمي مؤرخ 22 شباط/فبراير 2010 وموقع عليه من صاحب الشكوى.</w:t>
      </w:r>
    </w:p>
  </w:footnote>
  <w:footnote w:id="380">
    <w:p w:rsidR="00D64D4C" w:rsidRPr="00D642C7" w:rsidRDefault="00D64D4C" w:rsidP="00EA66E5">
      <w:pPr>
        <w:pStyle w:val="FootnoteText"/>
        <w:numPr>
          <w:ilvl w:val="0"/>
          <w:numId w:val="46"/>
        </w:numPr>
        <w:tabs>
          <w:tab w:val="left" w:pos="1253"/>
        </w:tabs>
        <w:spacing w:after="60" w:line="300" w:lineRule="exact"/>
        <w:ind w:left="1248" w:right="1247" w:hanging="227"/>
        <w:jc w:val="lowKashida"/>
        <w:rPr>
          <w:spacing w:val="0"/>
          <w:kern w:val="0"/>
          <w:sz w:val="26"/>
          <w:szCs w:val="26"/>
        </w:rPr>
      </w:pPr>
      <w:r w:rsidRPr="00D642C7">
        <w:rPr>
          <w:rFonts w:hint="cs"/>
          <w:spacing w:val="0"/>
          <w:kern w:val="0"/>
          <w:sz w:val="26"/>
          <w:szCs w:val="26"/>
          <w:rtl/>
        </w:rPr>
        <w:t>مذكرة الخروج مرفقة بالملف. وتظهر إصابات صاحب الشكوى بالصور الفوتوغرافية المقدمة من صاحب</w:t>
      </w:r>
      <w:r w:rsidRPr="00D642C7">
        <w:rPr>
          <w:rFonts w:hint="eastAsia"/>
          <w:spacing w:val="0"/>
          <w:kern w:val="0"/>
          <w:sz w:val="26"/>
          <w:szCs w:val="26"/>
          <w:rtl/>
        </w:rPr>
        <w:t> </w:t>
      </w:r>
      <w:r w:rsidRPr="00D642C7">
        <w:rPr>
          <w:rFonts w:hint="cs"/>
          <w:spacing w:val="0"/>
          <w:kern w:val="0"/>
          <w:sz w:val="26"/>
          <w:szCs w:val="26"/>
          <w:rtl/>
        </w:rPr>
        <w:t>الشكوى. ويوجد بالملف أيضاً قرص فيديو رقمي يحتوي على شهادة صاحب الشكوى الشفوية المتعلقة بتعذيبه.</w:t>
      </w:r>
    </w:p>
  </w:footnote>
  <w:footnote w:id="381">
    <w:p w:rsidR="00D64D4C" w:rsidRPr="00ED61B0" w:rsidRDefault="00D64D4C" w:rsidP="00EA66E5">
      <w:pPr>
        <w:pStyle w:val="FootnoteText"/>
        <w:numPr>
          <w:ilvl w:val="0"/>
          <w:numId w:val="46"/>
        </w:numPr>
        <w:tabs>
          <w:tab w:val="left" w:pos="1253"/>
        </w:tabs>
        <w:spacing w:after="60" w:line="300" w:lineRule="exact"/>
        <w:ind w:left="1248" w:right="1247" w:hanging="227"/>
        <w:jc w:val="lowKashida"/>
        <w:rPr>
          <w:spacing w:val="0"/>
          <w:kern w:val="0"/>
          <w:sz w:val="26"/>
          <w:szCs w:val="26"/>
        </w:rPr>
      </w:pPr>
      <w:r w:rsidRPr="00ED61B0">
        <w:rPr>
          <w:rFonts w:hint="cs"/>
          <w:spacing w:val="0"/>
          <w:kern w:val="0"/>
          <w:sz w:val="26"/>
          <w:szCs w:val="26"/>
          <w:rtl/>
        </w:rPr>
        <w:t>يبدو أن هذه الاتهامات حفظت عندما أحيلت الدعوى إلى إدارة مكافحة الجرائم الاقتصادية والفساد في أيلول/سبتمبر 2007.</w:t>
      </w:r>
    </w:p>
  </w:footnote>
  <w:footnote w:id="382">
    <w:p w:rsidR="00D64D4C" w:rsidRPr="00ED61B0" w:rsidRDefault="00D64D4C" w:rsidP="00D642C7">
      <w:pPr>
        <w:pStyle w:val="FootnoteText"/>
        <w:tabs>
          <w:tab w:val="left" w:pos="1253"/>
        </w:tabs>
        <w:spacing w:after="60" w:line="300" w:lineRule="exact"/>
        <w:ind w:left="1239" w:right="1247" w:hanging="420"/>
        <w:jc w:val="lowKashida"/>
        <w:rPr>
          <w:rFonts w:hint="cs"/>
          <w:spacing w:val="0"/>
          <w:kern w:val="0"/>
          <w:sz w:val="26"/>
          <w:szCs w:val="26"/>
        </w:rPr>
      </w:pPr>
      <w:r w:rsidRPr="00ED61B0">
        <w:rPr>
          <w:rFonts w:hint="cs"/>
          <w:spacing w:val="-2"/>
          <w:kern w:val="0"/>
          <w:sz w:val="26"/>
          <w:szCs w:val="26"/>
          <w:rtl/>
        </w:rPr>
        <w:t>(ﻫ)</w:t>
      </w:r>
      <w:r w:rsidRPr="00ED61B0">
        <w:rPr>
          <w:rFonts w:hint="cs"/>
          <w:spacing w:val="-2"/>
          <w:kern w:val="0"/>
          <w:sz w:val="26"/>
          <w:szCs w:val="26"/>
          <w:rtl/>
        </w:rPr>
        <w:tab/>
        <w:t xml:space="preserve">احتج محامي </w:t>
      </w:r>
      <w:r w:rsidRPr="00ED61B0">
        <w:rPr>
          <w:spacing w:val="-2"/>
          <w:kern w:val="0"/>
          <w:sz w:val="26"/>
          <w:szCs w:val="26"/>
          <w:rtl/>
        </w:rPr>
        <w:t>صاحب الشكوى ب</w:t>
      </w:r>
      <w:r w:rsidRPr="00ED61B0">
        <w:rPr>
          <w:rFonts w:hint="cs"/>
          <w:spacing w:val="-2"/>
          <w:kern w:val="0"/>
          <w:sz w:val="26"/>
          <w:szCs w:val="26"/>
          <w:rtl/>
        </w:rPr>
        <w:t>ما يلي</w:t>
      </w:r>
      <w:r w:rsidRPr="00ED61B0">
        <w:rPr>
          <w:spacing w:val="-2"/>
          <w:kern w:val="0"/>
          <w:sz w:val="26"/>
          <w:szCs w:val="26"/>
          <w:rtl/>
        </w:rPr>
        <w:t xml:space="preserve">: (أ) </w:t>
      </w:r>
      <w:r w:rsidRPr="00ED61B0">
        <w:rPr>
          <w:rFonts w:hint="cs"/>
          <w:spacing w:val="-2"/>
          <w:kern w:val="0"/>
          <w:sz w:val="26"/>
          <w:szCs w:val="26"/>
          <w:rtl/>
        </w:rPr>
        <w:t xml:space="preserve">أن </w:t>
      </w:r>
      <w:r w:rsidRPr="00ED61B0">
        <w:rPr>
          <w:spacing w:val="-2"/>
          <w:kern w:val="0"/>
          <w:sz w:val="26"/>
          <w:szCs w:val="26"/>
          <w:rtl/>
        </w:rPr>
        <w:t>النظر في الشكوى كان سطحي</w:t>
      </w:r>
      <w:r w:rsidRPr="00ED61B0">
        <w:rPr>
          <w:rFonts w:hint="cs"/>
          <w:spacing w:val="-2"/>
          <w:kern w:val="0"/>
          <w:sz w:val="26"/>
          <w:szCs w:val="26"/>
          <w:rtl/>
        </w:rPr>
        <w:t>اً</w:t>
      </w:r>
      <w:r w:rsidRPr="00ED61B0">
        <w:rPr>
          <w:spacing w:val="-2"/>
          <w:kern w:val="0"/>
          <w:sz w:val="26"/>
          <w:szCs w:val="26"/>
          <w:rtl/>
        </w:rPr>
        <w:t xml:space="preserve"> ومتحيز</w:t>
      </w:r>
      <w:r w:rsidRPr="00ED61B0">
        <w:rPr>
          <w:rFonts w:hint="cs"/>
          <w:spacing w:val="-2"/>
          <w:kern w:val="0"/>
          <w:sz w:val="26"/>
          <w:szCs w:val="26"/>
          <w:rtl/>
        </w:rPr>
        <w:t>اً</w:t>
      </w:r>
      <w:r w:rsidRPr="00ED61B0">
        <w:rPr>
          <w:spacing w:val="-2"/>
          <w:kern w:val="0"/>
          <w:sz w:val="26"/>
          <w:szCs w:val="26"/>
          <w:rtl/>
        </w:rPr>
        <w:t xml:space="preserve">؛ </w:t>
      </w:r>
      <w:r w:rsidRPr="00ED61B0">
        <w:rPr>
          <w:rFonts w:hint="cs"/>
          <w:spacing w:val="-2"/>
          <w:kern w:val="0"/>
          <w:sz w:val="26"/>
          <w:szCs w:val="26"/>
          <w:rtl/>
        </w:rPr>
        <w:t>و</w:t>
      </w:r>
      <w:r w:rsidRPr="00ED61B0">
        <w:rPr>
          <w:spacing w:val="-2"/>
          <w:kern w:val="0"/>
          <w:sz w:val="26"/>
          <w:szCs w:val="26"/>
          <w:rtl/>
        </w:rPr>
        <w:t xml:space="preserve">(ب) </w:t>
      </w:r>
      <w:r w:rsidRPr="00ED61B0">
        <w:rPr>
          <w:rFonts w:hint="cs"/>
          <w:spacing w:val="-2"/>
          <w:kern w:val="0"/>
          <w:sz w:val="26"/>
          <w:szCs w:val="26"/>
          <w:rtl/>
        </w:rPr>
        <w:t xml:space="preserve">أن </w:t>
      </w:r>
      <w:r w:rsidRPr="00ED61B0">
        <w:rPr>
          <w:spacing w:val="-2"/>
          <w:kern w:val="0"/>
          <w:sz w:val="26"/>
          <w:szCs w:val="26"/>
          <w:rtl/>
        </w:rPr>
        <w:t>الفحص الطبي الشرعي</w:t>
      </w:r>
      <w:r w:rsidRPr="00ED61B0">
        <w:rPr>
          <w:rFonts w:hint="cs"/>
          <w:spacing w:val="-2"/>
          <w:kern w:val="0"/>
          <w:sz w:val="26"/>
          <w:szCs w:val="26"/>
          <w:rtl/>
        </w:rPr>
        <w:t xml:space="preserve"> لم يأخذ في الاعتبار العلاج الطبي الخارجي اللاحق </w:t>
      </w:r>
      <w:r w:rsidRPr="00ED61B0">
        <w:rPr>
          <w:spacing w:val="-2"/>
          <w:kern w:val="0"/>
          <w:sz w:val="26"/>
          <w:szCs w:val="26"/>
          <w:rtl/>
        </w:rPr>
        <w:t xml:space="preserve">لصاحب الشكوى؛ </w:t>
      </w:r>
      <w:r w:rsidRPr="00ED61B0">
        <w:rPr>
          <w:rFonts w:hint="cs"/>
          <w:spacing w:val="-2"/>
          <w:kern w:val="0"/>
          <w:sz w:val="26"/>
          <w:szCs w:val="26"/>
          <w:rtl/>
        </w:rPr>
        <w:t>و</w:t>
      </w:r>
      <w:r w:rsidRPr="00ED61B0">
        <w:rPr>
          <w:spacing w:val="-2"/>
          <w:kern w:val="0"/>
          <w:sz w:val="26"/>
          <w:szCs w:val="26"/>
          <w:rtl/>
        </w:rPr>
        <w:t xml:space="preserve">(ج) </w:t>
      </w:r>
      <w:r w:rsidRPr="00ED61B0">
        <w:rPr>
          <w:rFonts w:hint="cs"/>
          <w:spacing w:val="-2"/>
          <w:kern w:val="0"/>
          <w:sz w:val="26"/>
          <w:szCs w:val="26"/>
          <w:rtl/>
        </w:rPr>
        <w:t xml:space="preserve">أنه </w:t>
      </w:r>
      <w:r w:rsidRPr="00ED61B0">
        <w:rPr>
          <w:spacing w:val="-2"/>
          <w:kern w:val="0"/>
          <w:sz w:val="26"/>
          <w:szCs w:val="26"/>
          <w:rtl/>
        </w:rPr>
        <w:t xml:space="preserve">حتى لو كانت إصابات صاحب الشكوى </w:t>
      </w:r>
      <w:r w:rsidRPr="00ED61B0">
        <w:rPr>
          <w:rFonts w:hint="cs"/>
          <w:spacing w:val="-2"/>
          <w:kern w:val="0"/>
          <w:sz w:val="26"/>
          <w:szCs w:val="26"/>
          <w:rtl/>
        </w:rPr>
        <w:t>"خفيفة"، فإن ذلك لا</w:t>
      </w:r>
      <w:r w:rsidRPr="00ED61B0">
        <w:rPr>
          <w:spacing w:val="-2"/>
          <w:kern w:val="0"/>
          <w:sz w:val="26"/>
          <w:szCs w:val="26"/>
          <w:rtl/>
        </w:rPr>
        <w:t xml:space="preserve"> يستبعد </w:t>
      </w:r>
      <w:r w:rsidRPr="00ED61B0">
        <w:rPr>
          <w:rFonts w:hint="cs"/>
          <w:spacing w:val="-2"/>
          <w:kern w:val="0"/>
          <w:sz w:val="26"/>
          <w:szCs w:val="26"/>
          <w:rtl/>
        </w:rPr>
        <w:t xml:space="preserve">إمكانية تعرضه </w:t>
      </w:r>
      <w:r w:rsidRPr="00ED61B0">
        <w:rPr>
          <w:spacing w:val="-2"/>
          <w:kern w:val="0"/>
          <w:sz w:val="26"/>
          <w:szCs w:val="26"/>
          <w:rtl/>
        </w:rPr>
        <w:t xml:space="preserve">للتعذيب؛ </w:t>
      </w:r>
      <w:r w:rsidRPr="00ED61B0">
        <w:rPr>
          <w:rFonts w:hint="cs"/>
          <w:spacing w:val="-2"/>
          <w:kern w:val="0"/>
          <w:sz w:val="26"/>
          <w:szCs w:val="26"/>
          <w:rtl/>
        </w:rPr>
        <w:t>و</w:t>
      </w:r>
      <w:r w:rsidRPr="00ED61B0">
        <w:rPr>
          <w:spacing w:val="-2"/>
          <w:kern w:val="0"/>
          <w:sz w:val="26"/>
          <w:szCs w:val="26"/>
          <w:rtl/>
        </w:rPr>
        <w:t xml:space="preserve">(د) </w:t>
      </w:r>
      <w:r w:rsidRPr="00ED61B0">
        <w:rPr>
          <w:rFonts w:hint="cs"/>
          <w:spacing w:val="-2"/>
          <w:kern w:val="0"/>
          <w:sz w:val="26"/>
          <w:szCs w:val="26"/>
          <w:rtl/>
        </w:rPr>
        <w:t xml:space="preserve">أن </w:t>
      </w:r>
      <w:r w:rsidRPr="00ED61B0">
        <w:rPr>
          <w:spacing w:val="-2"/>
          <w:kern w:val="0"/>
          <w:sz w:val="26"/>
          <w:szCs w:val="26"/>
          <w:rtl/>
        </w:rPr>
        <w:t xml:space="preserve">التحقيق </w:t>
      </w:r>
      <w:r w:rsidRPr="00ED61B0">
        <w:rPr>
          <w:rFonts w:hint="cs"/>
          <w:spacing w:val="-2"/>
          <w:kern w:val="0"/>
          <w:sz w:val="26"/>
          <w:szCs w:val="26"/>
          <w:rtl/>
        </w:rPr>
        <w:t>ي</w:t>
      </w:r>
      <w:r w:rsidRPr="00ED61B0">
        <w:rPr>
          <w:spacing w:val="-2"/>
          <w:kern w:val="0"/>
          <w:sz w:val="26"/>
          <w:szCs w:val="26"/>
          <w:rtl/>
        </w:rPr>
        <w:t xml:space="preserve">تجاهل التناقضات الهامة في شهادات أفراد الشرطة؛ </w:t>
      </w:r>
      <w:r w:rsidRPr="00ED61B0">
        <w:rPr>
          <w:rFonts w:hint="cs"/>
          <w:spacing w:val="-2"/>
          <w:kern w:val="0"/>
          <w:sz w:val="26"/>
          <w:szCs w:val="26"/>
          <w:rtl/>
        </w:rPr>
        <w:t>و</w:t>
      </w:r>
      <w:r w:rsidRPr="00ED61B0">
        <w:rPr>
          <w:spacing w:val="-2"/>
          <w:kern w:val="0"/>
          <w:sz w:val="26"/>
          <w:szCs w:val="26"/>
          <w:rtl/>
        </w:rPr>
        <w:t>(</w:t>
      </w:r>
      <w:r w:rsidRPr="00ED61B0">
        <w:rPr>
          <w:rFonts w:hint="cs"/>
          <w:spacing w:val="-2"/>
          <w:kern w:val="0"/>
          <w:sz w:val="26"/>
          <w:szCs w:val="26"/>
          <w:rtl/>
        </w:rPr>
        <w:t>ﻫ</w:t>
      </w:r>
      <w:r w:rsidRPr="00ED61B0">
        <w:rPr>
          <w:spacing w:val="-2"/>
          <w:kern w:val="0"/>
          <w:sz w:val="26"/>
          <w:szCs w:val="26"/>
          <w:rtl/>
        </w:rPr>
        <w:t xml:space="preserve">) أن اثنين من </w:t>
      </w:r>
      <w:r w:rsidRPr="00ED61B0">
        <w:rPr>
          <w:rFonts w:hint="cs"/>
          <w:spacing w:val="-2"/>
          <w:kern w:val="0"/>
          <w:sz w:val="26"/>
          <w:szCs w:val="26"/>
          <w:rtl/>
        </w:rPr>
        <w:t xml:space="preserve">أفراد </w:t>
      </w:r>
      <w:r w:rsidRPr="00ED61B0">
        <w:rPr>
          <w:spacing w:val="-2"/>
          <w:kern w:val="0"/>
          <w:sz w:val="26"/>
          <w:szCs w:val="26"/>
          <w:rtl/>
        </w:rPr>
        <w:t xml:space="preserve">الشرطة </w:t>
      </w:r>
      <w:r w:rsidRPr="00ED61B0">
        <w:rPr>
          <w:rFonts w:hint="cs"/>
          <w:spacing w:val="-2"/>
          <w:kern w:val="0"/>
          <w:sz w:val="26"/>
          <w:szCs w:val="26"/>
          <w:rtl/>
        </w:rPr>
        <w:t>أيدا احتجاز</w:t>
      </w:r>
      <w:r w:rsidRPr="00ED61B0">
        <w:rPr>
          <w:rFonts w:hint="cs"/>
          <w:spacing w:val="0"/>
          <w:kern w:val="0"/>
          <w:sz w:val="26"/>
          <w:szCs w:val="26"/>
          <w:rtl/>
        </w:rPr>
        <w:t xml:space="preserve"> واستجواب </w:t>
      </w:r>
      <w:r w:rsidRPr="00ED61B0">
        <w:rPr>
          <w:spacing w:val="0"/>
          <w:kern w:val="0"/>
          <w:sz w:val="26"/>
          <w:szCs w:val="26"/>
          <w:rtl/>
        </w:rPr>
        <w:t>صاحب الشكوى</w:t>
      </w:r>
      <w:r w:rsidRPr="00ED61B0">
        <w:rPr>
          <w:rFonts w:hint="cs"/>
          <w:spacing w:val="0"/>
          <w:kern w:val="0"/>
          <w:sz w:val="26"/>
          <w:szCs w:val="26"/>
          <w:rtl/>
        </w:rPr>
        <w:t>، وأن استجوابه مسجل ب</w:t>
      </w:r>
      <w:r w:rsidRPr="00ED61B0">
        <w:rPr>
          <w:spacing w:val="0"/>
          <w:kern w:val="0"/>
          <w:sz w:val="26"/>
          <w:szCs w:val="26"/>
          <w:rtl/>
        </w:rPr>
        <w:t>الإدارة الإقليمية للشؤون الداخلية</w:t>
      </w:r>
      <w:r w:rsidRPr="00ED61B0">
        <w:rPr>
          <w:rFonts w:hint="cs"/>
          <w:spacing w:val="0"/>
          <w:kern w:val="0"/>
          <w:sz w:val="26"/>
          <w:szCs w:val="26"/>
          <w:rtl/>
        </w:rPr>
        <w:t xml:space="preserve"> في </w:t>
      </w:r>
      <w:r w:rsidRPr="00ED61B0">
        <w:rPr>
          <w:spacing w:val="0"/>
          <w:kern w:val="0"/>
          <w:sz w:val="26"/>
          <w:szCs w:val="26"/>
          <w:rtl/>
        </w:rPr>
        <w:t xml:space="preserve">28 </w:t>
      </w:r>
      <w:r w:rsidRPr="00ED61B0">
        <w:rPr>
          <w:rFonts w:hint="cs"/>
          <w:spacing w:val="0"/>
          <w:kern w:val="0"/>
          <w:sz w:val="26"/>
          <w:szCs w:val="26"/>
          <w:rtl/>
        </w:rPr>
        <w:t>آذار/</w:t>
      </w:r>
      <w:r w:rsidRPr="00ED61B0">
        <w:rPr>
          <w:spacing w:val="0"/>
          <w:kern w:val="0"/>
          <w:sz w:val="26"/>
          <w:szCs w:val="26"/>
          <w:rtl/>
        </w:rPr>
        <w:t>مارس 2007</w:t>
      </w:r>
      <w:r w:rsidRPr="00ED61B0">
        <w:rPr>
          <w:rFonts w:hint="cs"/>
          <w:spacing w:val="0"/>
          <w:kern w:val="0"/>
          <w:sz w:val="26"/>
          <w:szCs w:val="26"/>
          <w:rtl/>
        </w:rPr>
        <w:t xml:space="preserve">، وأن زيارة </w:t>
      </w:r>
      <w:r w:rsidRPr="00ED61B0">
        <w:rPr>
          <w:spacing w:val="0"/>
          <w:kern w:val="0"/>
          <w:sz w:val="26"/>
          <w:szCs w:val="26"/>
          <w:rtl/>
        </w:rPr>
        <w:t>زوج</w:t>
      </w:r>
      <w:r w:rsidRPr="00ED61B0">
        <w:rPr>
          <w:rFonts w:hint="cs"/>
          <w:spacing w:val="0"/>
          <w:kern w:val="0"/>
          <w:sz w:val="26"/>
          <w:szCs w:val="26"/>
          <w:rtl/>
        </w:rPr>
        <w:t xml:space="preserve">ة صاحب الشكوى مسجلة </w:t>
      </w:r>
      <w:r w:rsidRPr="00ED61B0">
        <w:rPr>
          <w:spacing w:val="0"/>
          <w:kern w:val="0"/>
          <w:sz w:val="26"/>
          <w:szCs w:val="26"/>
          <w:rtl/>
        </w:rPr>
        <w:t xml:space="preserve">في </w:t>
      </w:r>
      <w:r w:rsidRPr="00ED61B0">
        <w:rPr>
          <w:rFonts w:hint="cs"/>
          <w:spacing w:val="0"/>
          <w:kern w:val="0"/>
          <w:sz w:val="26"/>
          <w:szCs w:val="26"/>
          <w:rtl/>
        </w:rPr>
        <w:t>دفتر</w:t>
      </w:r>
      <w:r w:rsidRPr="00ED61B0">
        <w:rPr>
          <w:spacing w:val="0"/>
          <w:kern w:val="0"/>
          <w:sz w:val="26"/>
          <w:szCs w:val="26"/>
          <w:rtl/>
        </w:rPr>
        <w:t xml:space="preserve"> ال</w:t>
      </w:r>
      <w:r w:rsidRPr="00ED61B0">
        <w:rPr>
          <w:rFonts w:hint="cs"/>
          <w:spacing w:val="0"/>
          <w:kern w:val="0"/>
          <w:sz w:val="26"/>
          <w:szCs w:val="26"/>
          <w:rtl/>
        </w:rPr>
        <w:t>دخول</w:t>
      </w:r>
      <w:r w:rsidRPr="00ED61B0">
        <w:rPr>
          <w:spacing w:val="0"/>
          <w:kern w:val="0"/>
          <w:sz w:val="26"/>
          <w:szCs w:val="26"/>
          <w:rtl/>
        </w:rPr>
        <w:t xml:space="preserve">؛ </w:t>
      </w:r>
      <w:r w:rsidRPr="00ED61B0">
        <w:rPr>
          <w:rFonts w:hint="cs"/>
          <w:spacing w:val="0"/>
          <w:kern w:val="0"/>
          <w:sz w:val="26"/>
          <w:szCs w:val="26"/>
          <w:rtl/>
        </w:rPr>
        <w:t>و</w:t>
      </w:r>
      <w:r w:rsidRPr="00ED61B0">
        <w:rPr>
          <w:spacing w:val="0"/>
          <w:kern w:val="0"/>
          <w:sz w:val="26"/>
          <w:szCs w:val="26"/>
          <w:rtl/>
        </w:rPr>
        <w:t xml:space="preserve">(و) </w:t>
      </w:r>
      <w:r w:rsidRPr="00ED61B0">
        <w:rPr>
          <w:rFonts w:hint="cs"/>
          <w:spacing w:val="0"/>
          <w:kern w:val="0"/>
          <w:sz w:val="26"/>
          <w:szCs w:val="26"/>
          <w:rtl/>
        </w:rPr>
        <w:t xml:space="preserve">أن </w:t>
      </w:r>
      <w:r w:rsidRPr="00ED61B0">
        <w:rPr>
          <w:spacing w:val="0"/>
          <w:kern w:val="0"/>
          <w:sz w:val="26"/>
          <w:szCs w:val="26"/>
          <w:rtl/>
        </w:rPr>
        <w:t xml:space="preserve">التحقيق </w:t>
      </w:r>
      <w:r w:rsidRPr="00ED61B0">
        <w:rPr>
          <w:rFonts w:hint="cs"/>
          <w:spacing w:val="0"/>
          <w:kern w:val="0"/>
          <w:sz w:val="26"/>
          <w:szCs w:val="26"/>
          <w:rtl/>
        </w:rPr>
        <w:t>لم</w:t>
      </w:r>
      <w:r w:rsidRPr="00ED61B0">
        <w:rPr>
          <w:rFonts w:hint="eastAsia"/>
          <w:spacing w:val="0"/>
          <w:kern w:val="0"/>
          <w:sz w:val="26"/>
          <w:szCs w:val="26"/>
          <w:rtl/>
        </w:rPr>
        <w:t> </w:t>
      </w:r>
      <w:r w:rsidRPr="00ED61B0">
        <w:rPr>
          <w:rFonts w:hint="cs"/>
          <w:spacing w:val="0"/>
          <w:kern w:val="0"/>
          <w:sz w:val="26"/>
          <w:szCs w:val="26"/>
          <w:rtl/>
        </w:rPr>
        <w:t>ي</w:t>
      </w:r>
      <w:r w:rsidRPr="00ED61B0">
        <w:rPr>
          <w:spacing w:val="0"/>
          <w:kern w:val="0"/>
          <w:sz w:val="26"/>
          <w:szCs w:val="26"/>
          <w:rtl/>
        </w:rPr>
        <w:t xml:space="preserve">ستنفد جميع السبل </w:t>
      </w:r>
      <w:r w:rsidRPr="00ED61B0">
        <w:rPr>
          <w:rFonts w:hint="cs"/>
          <w:spacing w:val="0"/>
          <w:kern w:val="0"/>
          <w:sz w:val="26"/>
          <w:szCs w:val="26"/>
          <w:rtl/>
        </w:rPr>
        <w:t xml:space="preserve">المتاحة لمعرفة </w:t>
      </w:r>
      <w:r w:rsidRPr="00ED61B0">
        <w:rPr>
          <w:spacing w:val="0"/>
          <w:kern w:val="0"/>
          <w:sz w:val="26"/>
          <w:szCs w:val="26"/>
          <w:rtl/>
        </w:rPr>
        <w:t>الأشخاص الذين ألحق</w:t>
      </w:r>
      <w:r w:rsidRPr="00ED61B0">
        <w:rPr>
          <w:rFonts w:hint="cs"/>
          <w:spacing w:val="0"/>
          <w:kern w:val="0"/>
          <w:sz w:val="26"/>
          <w:szCs w:val="26"/>
          <w:rtl/>
        </w:rPr>
        <w:t>وا الإ</w:t>
      </w:r>
      <w:r w:rsidRPr="00ED61B0">
        <w:rPr>
          <w:spacing w:val="0"/>
          <w:kern w:val="0"/>
          <w:sz w:val="26"/>
          <w:szCs w:val="26"/>
          <w:rtl/>
        </w:rPr>
        <w:t xml:space="preserve">صابات </w:t>
      </w:r>
      <w:r w:rsidRPr="00ED61B0">
        <w:rPr>
          <w:rFonts w:hint="cs"/>
          <w:spacing w:val="0"/>
          <w:kern w:val="0"/>
          <w:sz w:val="26"/>
          <w:szCs w:val="26"/>
          <w:rtl/>
        </w:rPr>
        <w:t>ب</w:t>
      </w:r>
      <w:r w:rsidRPr="00ED61B0">
        <w:rPr>
          <w:spacing w:val="0"/>
          <w:kern w:val="0"/>
          <w:sz w:val="26"/>
          <w:szCs w:val="26"/>
          <w:rtl/>
        </w:rPr>
        <w:t xml:space="preserve">صاحب الشكوى. </w:t>
      </w:r>
      <w:r w:rsidRPr="00ED61B0">
        <w:rPr>
          <w:rFonts w:hint="cs"/>
          <w:spacing w:val="0"/>
          <w:kern w:val="0"/>
          <w:sz w:val="26"/>
          <w:szCs w:val="26"/>
          <w:rtl/>
        </w:rPr>
        <w:t>وبالتحديد</w:t>
      </w:r>
      <w:r w:rsidRPr="00ED61B0">
        <w:rPr>
          <w:spacing w:val="0"/>
          <w:kern w:val="0"/>
          <w:sz w:val="26"/>
          <w:szCs w:val="26"/>
          <w:rtl/>
        </w:rPr>
        <w:t>، لم</w:t>
      </w:r>
      <w:r w:rsidRPr="00ED61B0">
        <w:rPr>
          <w:rFonts w:hint="cs"/>
          <w:spacing w:val="0"/>
          <w:kern w:val="0"/>
          <w:sz w:val="26"/>
          <w:szCs w:val="26"/>
          <w:rtl/>
        </w:rPr>
        <w:t> </w:t>
      </w:r>
      <w:r w:rsidRPr="00ED61B0">
        <w:rPr>
          <w:spacing w:val="0"/>
          <w:kern w:val="0"/>
          <w:sz w:val="26"/>
          <w:szCs w:val="26"/>
          <w:rtl/>
        </w:rPr>
        <w:t>تستجوب الشرطة: زملاء صاحب الشكوى</w:t>
      </w:r>
      <w:r w:rsidRPr="00ED61B0">
        <w:rPr>
          <w:rFonts w:hint="cs"/>
          <w:spacing w:val="0"/>
          <w:kern w:val="0"/>
          <w:sz w:val="26"/>
          <w:szCs w:val="26"/>
          <w:rtl/>
        </w:rPr>
        <w:t xml:space="preserve"> في العمل</w:t>
      </w:r>
      <w:r w:rsidRPr="00ED61B0">
        <w:rPr>
          <w:spacing w:val="0"/>
          <w:kern w:val="0"/>
          <w:sz w:val="26"/>
          <w:szCs w:val="26"/>
          <w:rtl/>
        </w:rPr>
        <w:t xml:space="preserve">؛ </w:t>
      </w:r>
      <w:r w:rsidRPr="00ED61B0">
        <w:rPr>
          <w:rFonts w:hint="cs"/>
          <w:spacing w:val="0"/>
          <w:kern w:val="0"/>
          <w:sz w:val="26"/>
          <w:szCs w:val="26"/>
          <w:rtl/>
        </w:rPr>
        <w:t>و</w:t>
      </w:r>
      <w:r w:rsidRPr="00ED61B0">
        <w:rPr>
          <w:spacing w:val="0"/>
          <w:kern w:val="0"/>
          <w:sz w:val="26"/>
          <w:szCs w:val="26"/>
          <w:rtl/>
        </w:rPr>
        <w:t>ف</w:t>
      </w:r>
      <w:r w:rsidRPr="00ED61B0">
        <w:rPr>
          <w:rFonts w:hint="cs"/>
          <w:spacing w:val="0"/>
          <w:kern w:val="0"/>
          <w:sz w:val="26"/>
          <w:szCs w:val="26"/>
          <w:rtl/>
        </w:rPr>
        <w:t xml:space="preserve">. ب. الذي أبلغ </w:t>
      </w:r>
      <w:r w:rsidRPr="00ED61B0">
        <w:rPr>
          <w:spacing w:val="0"/>
          <w:kern w:val="0"/>
          <w:sz w:val="26"/>
          <w:szCs w:val="26"/>
          <w:rtl/>
        </w:rPr>
        <w:t xml:space="preserve">زوجة صاحب الشكوى </w:t>
      </w:r>
      <w:r w:rsidRPr="00ED61B0">
        <w:rPr>
          <w:rFonts w:hint="cs"/>
          <w:spacing w:val="0"/>
          <w:kern w:val="0"/>
          <w:sz w:val="26"/>
          <w:szCs w:val="26"/>
          <w:rtl/>
        </w:rPr>
        <w:t xml:space="preserve">باحتجاز </w:t>
      </w:r>
      <w:r w:rsidRPr="00ED61B0">
        <w:rPr>
          <w:spacing w:val="0"/>
          <w:kern w:val="0"/>
          <w:sz w:val="26"/>
          <w:szCs w:val="26"/>
          <w:rtl/>
        </w:rPr>
        <w:t xml:space="preserve">ابنها؛ </w:t>
      </w:r>
      <w:r w:rsidRPr="00ED61B0">
        <w:rPr>
          <w:rFonts w:hint="cs"/>
          <w:spacing w:val="0"/>
          <w:kern w:val="0"/>
          <w:sz w:val="26"/>
          <w:szCs w:val="26"/>
          <w:rtl/>
        </w:rPr>
        <w:t>والموظفون الطبيون ب</w:t>
      </w:r>
      <w:r w:rsidRPr="00ED61B0">
        <w:rPr>
          <w:spacing w:val="0"/>
          <w:kern w:val="0"/>
          <w:sz w:val="26"/>
          <w:szCs w:val="26"/>
          <w:rtl/>
        </w:rPr>
        <w:t>مستشفى المدين</w:t>
      </w:r>
      <w:r w:rsidRPr="00ED61B0">
        <w:rPr>
          <w:rFonts w:hint="cs"/>
          <w:spacing w:val="0"/>
          <w:kern w:val="0"/>
          <w:sz w:val="26"/>
          <w:szCs w:val="26"/>
          <w:rtl/>
        </w:rPr>
        <w:t>ة</w:t>
      </w:r>
      <w:r w:rsidRPr="00ED61B0">
        <w:rPr>
          <w:spacing w:val="0"/>
          <w:kern w:val="0"/>
          <w:sz w:val="26"/>
          <w:szCs w:val="26"/>
          <w:rtl/>
        </w:rPr>
        <w:t xml:space="preserve"> </w:t>
      </w:r>
      <w:r w:rsidRPr="00ED61B0">
        <w:rPr>
          <w:rFonts w:hint="cs"/>
          <w:spacing w:val="0"/>
          <w:kern w:val="0"/>
          <w:sz w:val="26"/>
          <w:szCs w:val="26"/>
          <w:rtl/>
        </w:rPr>
        <w:t xml:space="preserve">الذي عولج فيه </w:t>
      </w:r>
      <w:r w:rsidRPr="00ED61B0">
        <w:rPr>
          <w:spacing w:val="0"/>
          <w:kern w:val="0"/>
          <w:sz w:val="26"/>
          <w:szCs w:val="26"/>
          <w:rtl/>
        </w:rPr>
        <w:t>صاحب الشكوى</w:t>
      </w:r>
      <w:r w:rsidRPr="00ED61B0">
        <w:rPr>
          <w:rFonts w:hint="cs"/>
          <w:spacing w:val="0"/>
          <w:kern w:val="0"/>
          <w:sz w:val="26"/>
          <w:szCs w:val="26"/>
          <w:rtl/>
        </w:rPr>
        <w:t>،</w:t>
      </w:r>
      <w:r w:rsidRPr="00ED61B0">
        <w:rPr>
          <w:spacing w:val="0"/>
          <w:kern w:val="0"/>
          <w:sz w:val="26"/>
          <w:szCs w:val="26"/>
          <w:rtl/>
        </w:rPr>
        <w:t xml:space="preserve"> </w:t>
      </w:r>
      <w:r w:rsidRPr="00ED61B0">
        <w:rPr>
          <w:rFonts w:hint="cs"/>
          <w:spacing w:val="0"/>
          <w:kern w:val="0"/>
          <w:sz w:val="26"/>
          <w:szCs w:val="26"/>
          <w:rtl/>
        </w:rPr>
        <w:t>والمرضي الآخرون الذي كانوا معه في نفس العنبر والذين حضروا زيارة أفراد الشرطة لصاحب الشكوى.</w:t>
      </w:r>
    </w:p>
  </w:footnote>
  <w:footnote w:id="383">
    <w:p w:rsidR="00D64D4C" w:rsidRPr="00ED61B0" w:rsidRDefault="00D64D4C" w:rsidP="00D642C7">
      <w:pPr>
        <w:pStyle w:val="FootnoteText"/>
        <w:tabs>
          <w:tab w:val="left" w:pos="1239"/>
        </w:tabs>
        <w:spacing w:after="60" w:line="300" w:lineRule="exact"/>
        <w:ind w:left="1239" w:right="1247" w:hanging="504"/>
        <w:jc w:val="lowKashida"/>
        <w:rPr>
          <w:spacing w:val="-4"/>
          <w:kern w:val="0"/>
          <w:sz w:val="26"/>
          <w:szCs w:val="26"/>
        </w:rPr>
      </w:pPr>
      <w:r w:rsidRPr="00ED61B0">
        <w:rPr>
          <w:rFonts w:hint="cs"/>
          <w:spacing w:val="-4"/>
          <w:kern w:val="0"/>
          <w:sz w:val="26"/>
          <w:szCs w:val="26"/>
          <w:rtl/>
        </w:rPr>
        <w:t>(و)</w:t>
      </w:r>
      <w:r w:rsidRPr="00ED61B0">
        <w:rPr>
          <w:rFonts w:hint="cs"/>
          <w:spacing w:val="-4"/>
          <w:kern w:val="0"/>
          <w:sz w:val="26"/>
          <w:szCs w:val="26"/>
          <w:rtl/>
        </w:rPr>
        <w:tab/>
        <w:t xml:space="preserve">البلاغ رقم 247/2004، </w:t>
      </w:r>
      <w:r w:rsidRPr="00ED61B0">
        <w:rPr>
          <w:rFonts w:hint="cs"/>
          <w:i/>
          <w:iCs/>
          <w:spacing w:val="-4"/>
          <w:kern w:val="0"/>
          <w:sz w:val="26"/>
          <w:szCs w:val="26"/>
          <w:rtl/>
        </w:rPr>
        <w:t>أ. أ. ضد أذربيجان</w:t>
      </w:r>
      <w:r w:rsidRPr="00ED61B0">
        <w:rPr>
          <w:rFonts w:hint="cs"/>
          <w:spacing w:val="-4"/>
          <w:kern w:val="0"/>
          <w:sz w:val="26"/>
          <w:szCs w:val="26"/>
          <w:rtl/>
        </w:rPr>
        <w:t>، عدم مقبولية القرار المعتمد في 25 تشرين الثاني/نوفمبر 2005.</w:t>
      </w:r>
    </w:p>
  </w:footnote>
  <w:footnote w:id="384">
    <w:p w:rsidR="00D64D4C" w:rsidRPr="00102BB5" w:rsidRDefault="00D64D4C" w:rsidP="00D642C7">
      <w:pPr>
        <w:pStyle w:val="FootnoteText"/>
        <w:tabs>
          <w:tab w:val="left" w:pos="1253"/>
        </w:tabs>
        <w:spacing w:after="60" w:line="300" w:lineRule="exact"/>
        <w:ind w:left="1211" w:right="1247" w:hanging="420"/>
        <w:jc w:val="lowKashida"/>
        <w:rPr>
          <w:sz w:val="26"/>
          <w:szCs w:val="26"/>
        </w:rPr>
      </w:pPr>
      <w:r>
        <w:rPr>
          <w:rFonts w:hint="cs"/>
          <w:spacing w:val="-4"/>
          <w:sz w:val="26"/>
          <w:szCs w:val="26"/>
          <w:rtl/>
        </w:rPr>
        <w:t>(ز)</w:t>
      </w:r>
      <w:r>
        <w:rPr>
          <w:rFonts w:hint="cs"/>
          <w:spacing w:val="-4"/>
          <w:sz w:val="26"/>
          <w:szCs w:val="26"/>
          <w:rtl/>
        </w:rPr>
        <w:tab/>
      </w:r>
      <w:r w:rsidRPr="000E6982">
        <w:rPr>
          <w:rFonts w:hint="cs"/>
          <w:spacing w:val="-4"/>
          <w:sz w:val="26"/>
          <w:szCs w:val="26"/>
          <w:rtl/>
        </w:rPr>
        <w:t>ترد نسخة من القرار الصادر في 6 كانون الأول/ديسمبر 2010 بالملف.</w:t>
      </w:r>
    </w:p>
  </w:footnote>
  <w:footnote w:id="385">
    <w:p w:rsidR="00D64D4C" w:rsidRPr="000E6982" w:rsidRDefault="00D64D4C" w:rsidP="008C1013">
      <w:pPr>
        <w:pStyle w:val="FootnoteText"/>
        <w:tabs>
          <w:tab w:val="left" w:pos="1239"/>
        </w:tabs>
        <w:spacing w:after="60" w:line="300" w:lineRule="exact"/>
        <w:ind w:left="1211" w:right="1247" w:hanging="476"/>
        <w:jc w:val="lowKashida"/>
        <w:rPr>
          <w:spacing w:val="-4"/>
          <w:sz w:val="26"/>
          <w:szCs w:val="26"/>
        </w:rPr>
      </w:pPr>
      <w:r>
        <w:rPr>
          <w:rFonts w:hint="cs"/>
          <w:spacing w:val="-4"/>
          <w:sz w:val="26"/>
          <w:szCs w:val="26"/>
          <w:rtl/>
        </w:rPr>
        <w:t>(ح)</w:t>
      </w:r>
      <w:r>
        <w:rPr>
          <w:rFonts w:hint="cs"/>
          <w:spacing w:val="-4"/>
          <w:sz w:val="26"/>
          <w:szCs w:val="26"/>
          <w:rtl/>
        </w:rPr>
        <w:tab/>
      </w:r>
      <w:r w:rsidRPr="00466B80">
        <w:rPr>
          <w:rFonts w:hint="cs"/>
          <w:spacing w:val="0"/>
          <w:kern w:val="0"/>
          <w:sz w:val="26"/>
          <w:szCs w:val="26"/>
          <w:rtl/>
        </w:rPr>
        <w:t>البلاغ</w:t>
      </w:r>
      <w:r w:rsidRPr="000E6982">
        <w:rPr>
          <w:rFonts w:hint="cs"/>
          <w:spacing w:val="-4"/>
          <w:sz w:val="26"/>
          <w:szCs w:val="26"/>
          <w:rtl/>
        </w:rPr>
        <w:t xml:space="preserve"> رقم 59/1996، </w:t>
      </w:r>
      <w:r w:rsidRPr="00AB031D">
        <w:rPr>
          <w:rFonts w:hint="cs"/>
          <w:i/>
          <w:iCs/>
          <w:spacing w:val="-4"/>
          <w:sz w:val="26"/>
          <w:szCs w:val="26"/>
          <w:rtl/>
        </w:rPr>
        <w:t>بلانكو أباد ضد إسبانيا</w:t>
      </w:r>
      <w:r w:rsidRPr="000E6982">
        <w:rPr>
          <w:rFonts w:hint="cs"/>
          <w:spacing w:val="-4"/>
          <w:sz w:val="26"/>
          <w:szCs w:val="26"/>
          <w:rtl/>
        </w:rPr>
        <w:t>، الآراء المعتمدة في 14 أيار/مايو 1998، الفقرة 8-7.</w:t>
      </w:r>
    </w:p>
  </w:footnote>
  <w:footnote w:id="386">
    <w:p w:rsidR="00D64D4C" w:rsidRPr="000E6982" w:rsidRDefault="00D64D4C" w:rsidP="008C1013">
      <w:pPr>
        <w:pStyle w:val="FootnoteText"/>
        <w:tabs>
          <w:tab w:val="left" w:pos="1239"/>
        </w:tabs>
        <w:spacing w:after="60" w:line="300" w:lineRule="exact"/>
        <w:ind w:left="1211" w:right="1247" w:hanging="476"/>
        <w:jc w:val="lowKashida"/>
        <w:rPr>
          <w:spacing w:val="-4"/>
          <w:sz w:val="26"/>
          <w:szCs w:val="26"/>
        </w:rPr>
      </w:pPr>
      <w:r>
        <w:rPr>
          <w:rFonts w:hint="cs"/>
          <w:spacing w:val="-4"/>
          <w:sz w:val="26"/>
          <w:szCs w:val="26"/>
          <w:rtl/>
        </w:rPr>
        <w:t>(ط)</w:t>
      </w:r>
      <w:r>
        <w:rPr>
          <w:rFonts w:hint="cs"/>
          <w:spacing w:val="-4"/>
          <w:sz w:val="26"/>
          <w:szCs w:val="26"/>
          <w:rtl/>
        </w:rPr>
        <w:tab/>
      </w:r>
      <w:r w:rsidRPr="000E6982">
        <w:rPr>
          <w:rFonts w:hint="cs"/>
          <w:spacing w:val="-4"/>
          <w:sz w:val="26"/>
          <w:szCs w:val="26"/>
          <w:rtl/>
        </w:rPr>
        <w:t xml:space="preserve">لجنة </w:t>
      </w:r>
      <w:r w:rsidRPr="00466B80">
        <w:rPr>
          <w:rFonts w:hint="cs"/>
          <w:spacing w:val="0"/>
          <w:kern w:val="0"/>
          <w:sz w:val="26"/>
          <w:szCs w:val="26"/>
          <w:rtl/>
        </w:rPr>
        <w:t>مناهضة</w:t>
      </w:r>
      <w:r w:rsidRPr="000E6982">
        <w:rPr>
          <w:rFonts w:hint="cs"/>
          <w:spacing w:val="-4"/>
          <w:sz w:val="26"/>
          <w:szCs w:val="26"/>
          <w:rtl/>
        </w:rPr>
        <w:t xml:space="preserve"> التعذيب، الملاحظات الختامية بشأن كازاخستان،</w:t>
      </w:r>
      <w:r>
        <w:rPr>
          <w:rFonts w:hint="cs"/>
          <w:rtl/>
        </w:rPr>
        <w:t xml:space="preserve"> </w:t>
      </w:r>
      <w:r>
        <w:rPr>
          <w:sz w:val="18"/>
          <w:szCs w:val="18"/>
        </w:rPr>
        <w:t>CAT/C/KAZ/CO/2</w:t>
      </w:r>
      <w:r w:rsidRPr="000E6982">
        <w:rPr>
          <w:rFonts w:hint="cs"/>
          <w:spacing w:val="-4"/>
          <w:sz w:val="26"/>
          <w:szCs w:val="26"/>
          <w:rtl/>
        </w:rPr>
        <w:t>، الفقرة 24.</w:t>
      </w:r>
    </w:p>
  </w:footnote>
  <w:footnote w:id="387">
    <w:p w:rsidR="00D64D4C" w:rsidRPr="00AE0AC2" w:rsidRDefault="00D64D4C" w:rsidP="008C1013">
      <w:pPr>
        <w:pStyle w:val="FootnoteText"/>
        <w:tabs>
          <w:tab w:val="left" w:pos="1239"/>
        </w:tabs>
        <w:spacing w:after="60" w:line="300" w:lineRule="exact"/>
        <w:ind w:left="1211" w:right="1247" w:hanging="476"/>
        <w:jc w:val="lowKashida"/>
        <w:rPr>
          <w:spacing w:val="-4"/>
          <w:sz w:val="26"/>
          <w:szCs w:val="26"/>
        </w:rPr>
      </w:pPr>
      <w:r>
        <w:rPr>
          <w:rFonts w:hint="cs"/>
          <w:spacing w:val="-4"/>
          <w:sz w:val="26"/>
          <w:szCs w:val="26"/>
          <w:rtl/>
        </w:rPr>
        <w:t>(ي)</w:t>
      </w:r>
      <w:r>
        <w:rPr>
          <w:rFonts w:hint="cs"/>
          <w:spacing w:val="-4"/>
          <w:sz w:val="26"/>
          <w:szCs w:val="26"/>
          <w:rtl/>
        </w:rPr>
        <w:tab/>
      </w:r>
      <w:r w:rsidRPr="00AE0AC2">
        <w:rPr>
          <w:spacing w:val="-4"/>
          <w:sz w:val="26"/>
          <w:szCs w:val="26"/>
          <w:rtl/>
        </w:rPr>
        <w:t xml:space="preserve">تقرير </w:t>
      </w:r>
      <w:r w:rsidRPr="00466B80">
        <w:rPr>
          <w:spacing w:val="0"/>
          <w:kern w:val="0"/>
          <w:sz w:val="26"/>
          <w:szCs w:val="26"/>
          <w:rtl/>
        </w:rPr>
        <w:t>المقرر</w:t>
      </w:r>
      <w:r w:rsidRPr="00AE0AC2">
        <w:rPr>
          <w:spacing w:val="-4"/>
          <w:sz w:val="26"/>
          <w:szCs w:val="26"/>
          <w:rtl/>
        </w:rPr>
        <w:t xml:space="preserve"> الخاص المعني بالتعذيب والمعاملة أو العقوبة القاسية أو اللاإنسانية أو المهينة، مانفريد نواك، بشأن بعثته إلى كازاخستان،</w:t>
      </w:r>
      <w:r w:rsidRPr="00794D4F">
        <w:rPr>
          <w:rFonts w:ascii="Traditional Arabic" w:hAnsi="Traditional Arabic"/>
          <w:sz w:val="26"/>
          <w:szCs w:val="26"/>
          <w:rtl/>
        </w:rPr>
        <w:t xml:space="preserve"> </w:t>
      </w:r>
      <w:r w:rsidRPr="00794D4F">
        <w:rPr>
          <w:sz w:val="18"/>
          <w:szCs w:val="18"/>
        </w:rPr>
        <w:t>A/HRC/13/39/Add.3</w:t>
      </w:r>
      <w:r w:rsidRPr="00AE0AC2">
        <w:rPr>
          <w:spacing w:val="-4"/>
          <w:sz w:val="26"/>
          <w:szCs w:val="26"/>
          <w:rtl/>
        </w:rPr>
        <w:t>. ويشكل نمط التخويف الذي يمارس على الأشخاص الذين يقدمون شكاوى بشأن التعذيب مشكلة خاصة في كازاخستان: "أشار عدد كبير من المحتجزين الذي التقى المقرر الخاص بهم إلى أنهم يتعرضون للتهديد بتوجيه اتهامات أخرى إليهم، وسجنهم مددا</w:t>
      </w:r>
      <w:r w:rsidRPr="00AE0AC2">
        <w:rPr>
          <w:rFonts w:hint="cs"/>
          <w:spacing w:val="-4"/>
          <w:sz w:val="26"/>
          <w:szCs w:val="26"/>
          <w:rtl/>
        </w:rPr>
        <w:t>ً</w:t>
      </w:r>
      <w:r w:rsidRPr="00AE0AC2">
        <w:rPr>
          <w:spacing w:val="-4"/>
          <w:sz w:val="26"/>
          <w:szCs w:val="26"/>
          <w:rtl/>
        </w:rPr>
        <w:t xml:space="preserve"> أطول، وفي بعض الحالات بالعنف الجنسي على أيدي زملائهم في السجن لحملهم على سحب شكواهم أو التوقيع على إقرارات بأنهم ليست لديهم شكاوى أو أقوال بشأن تعرضهم للإصابة أثناء مقاومتهم للقبض عليهم ... . وهذا السلوك، إلى جانب مخالفته للمعايير الدولية، يجرد أي نظام للشكوى من معناه وينبغي التصدي له بطريقة حازمة". (الفقرة 59)؛ "ويبدو أن معظم المعتقلين يمتنعون عن تقديم الشكاوى لعدم ثقتهم في النظام أو خوفهم من الانتقام" (الفقرة 51)، ولقد تعرض المحتجزون للتخويف استعدادا</w:t>
      </w:r>
      <w:r w:rsidRPr="00AE0AC2">
        <w:rPr>
          <w:rFonts w:hint="cs"/>
          <w:spacing w:val="-4"/>
          <w:sz w:val="26"/>
          <w:szCs w:val="26"/>
          <w:rtl/>
        </w:rPr>
        <w:t>ً</w:t>
      </w:r>
      <w:r w:rsidRPr="00AE0AC2">
        <w:rPr>
          <w:spacing w:val="-4"/>
          <w:sz w:val="26"/>
          <w:szCs w:val="26"/>
          <w:rtl/>
        </w:rPr>
        <w:t xml:space="preserve"> لزيارته (الفقرتان 22 و73). ونتيجة لذلك، خلص المقرر الخاص إلى ضرورة أن تتخذ الدولة تدابير "لحماية أصحاب الشكاوى من الأعمال الانتقامية" (الفقرة 80(ج)).</w:t>
      </w:r>
    </w:p>
  </w:footnote>
  <w:footnote w:id="388">
    <w:p w:rsidR="00D64D4C" w:rsidRPr="00AE0AC2" w:rsidRDefault="00D64D4C" w:rsidP="008C1013">
      <w:pPr>
        <w:pStyle w:val="FootnoteText"/>
        <w:tabs>
          <w:tab w:val="left" w:pos="1239"/>
        </w:tabs>
        <w:spacing w:after="60" w:line="280" w:lineRule="exact"/>
        <w:ind w:left="1242" w:right="1247" w:hanging="448"/>
        <w:jc w:val="lowKashida"/>
        <w:rPr>
          <w:spacing w:val="-4"/>
          <w:sz w:val="26"/>
          <w:szCs w:val="26"/>
        </w:rPr>
      </w:pPr>
      <w:r>
        <w:rPr>
          <w:rFonts w:hint="cs"/>
          <w:spacing w:val="-4"/>
          <w:sz w:val="26"/>
          <w:szCs w:val="26"/>
          <w:rtl/>
        </w:rPr>
        <w:t>(ك)</w:t>
      </w:r>
      <w:r>
        <w:rPr>
          <w:rFonts w:hint="cs"/>
          <w:spacing w:val="-4"/>
          <w:sz w:val="26"/>
          <w:szCs w:val="26"/>
          <w:rtl/>
        </w:rPr>
        <w:tab/>
      </w:r>
      <w:r w:rsidRPr="00AE0AC2">
        <w:rPr>
          <w:rFonts w:hint="cs"/>
          <w:spacing w:val="-4"/>
          <w:sz w:val="26"/>
          <w:szCs w:val="26"/>
          <w:rtl/>
        </w:rPr>
        <w:t>القرار المؤرخ 8 كانون الثاني/يناير 2011 بشأن إجراء فحص طبي نفساني (متاح بالملف).</w:t>
      </w:r>
    </w:p>
  </w:footnote>
  <w:footnote w:id="389">
    <w:p w:rsidR="00D64D4C" w:rsidRPr="00784920" w:rsidRDefault="00D64D4C" w:rsidP="00171FB4">
      <w:pPr>
        <w:pStyle w:val="FootnoteText"/>
        <w:tabs>
          <w:tab w:val="left" w:pos="1239"/>
        </w:tabs>
        <w:spacing w:after="60" w:line="280" w:lineRule="exact"/>
        <w:ind w:left="1242" w:right="1247" w:hanging="448"/>
        <w:jc w:val="lowKashida"/>
        <w:rPr>
          <w:spacing w:val="-4"/>
          <w:sz w:val="26"/>
          <w:szCs w:val="26"/>
        </w:rPr>
      </w:pPr>
      <w:r>
        <w:rPr>
          <w:rFonts w:hint="cs"/>
          <w:spacing w:val="-4"/>
          <w:sz w:val="26"/>
          <w:szCs w:val="26"/>
          <w:rtl/>
        </w:rPr>
        <w:t>(ل)</w:t>
      </w:r>
      <w:r>
        <w:rPr>
          <w:rFonts w:hint="cs"/>
          <w:spacing w:val="-4"/>
          <w:sz w:val="26"/>
          <w:szCs w:val="26"/>
          <w:rtl/>
        </w:rPr>
        <w:tab/>
      </w:r>
      <w:r w:rsidRPr="00784920">
        <w:rPr>
          <w:rFonts w:hint="cs"/>
          <w:spacing w:val="-4"/>
          <w:sz w:val="26"/>
          <w:szCs w:val="26"/>
          <w:rtl/>
        </w:rPr>
        <w:t xml:space="preserve">انظر </w:t>
      </w:r>
      <w:r w:rsidRPr="00466B80">
        <w:rPr>
          <w:rFonts w:hint="cs"/>
          <w:spacing w:val="0"/>
          <w:kern w:val="0"/>
          <w:sz w:val="26"/>
          <w:szCs w:val="26"/>
          <w:rtl/>
        </w:rPr>
        <w:t>الحاشية</w:t>
      </w:r>
      <w:r w:rsidRPr="00784920">
        <w:rPr>
          <w:rFonts w:hint="cs"/>
          <w:spacing w:val="-4"/>
          <w:sz w:val="26"/>
          <w:szCs w:val="26"/>
          <w:rtl/>
        </w:rPr>
        <w:t xml:space="preserve"> </w:t>
      </w:r>
      <w:r>
        <w:rPr>
          <w:rFonts w:hint="cs"/>
          <w:spacing w:val="-4"/>
          <w:sz w:val="26"/>
          <w:szCs w:val="26"/>
          <w:rtl/>
        </w:rPr>
        <w:t>ب</w:t>
      </w:r>
      <w:r w:rsidRPr="00784920">
        <w:rPr>
          <w:rFonts w:hint="cs"/>
          <w:spacing w:val="-4"/>
          <w:sz w:val="26"/>
          <w:szCs w:val="26"/>
          <w:rtl/>
        </w:rPr>
        <w:t xml:space="preserve"> أعلاه.</w:t>
      </w:r>
    </w:p>
  </w:footnote>
  <w:footnote w:id="390">
    <w:p w:rsidR="00D64D4C" w:rsidRPr="00784920" w:rsidRDefault="00D64D4C" w:rsidP="008C1013">
      <w:pPr>
        <w:pStyle w:val="FootnoteText"/>
        <w:tabs>
          <w:tab w:val="left" w:pos="1239"/>
        </w:tabs>
        <w:spacing w:after="60" w:line="280" w:lineRule="exact"/>
        <w:ind w:left="1242" w:right="1247" w:hanging="448"/>
        <w:jc w:val="lowKashida"/>
        <w:rPr>
          <w:spacing w:val="-4"/>
          <w:sz w:val="26"/>
          <w:szCs w:val="26"/>
        </w:rPr>
      </w:pPr>
      <w:r>
        <w:rPr>
          <w:rFonts w:hint="cs"/>
          <w:spacing w:val="-4"/>
          <w:sz w:val="26"/>
          <w:szCs w:val="26"/>
          <w:rtl/>
        </w:rPr>
        <w:t>(م)</w:t>
      </w:r>
      <w:r>
        <w:rPr>
          <w:rFonts w:hint="cs"/>
          <w:spacing w:val="-4"/>
          <w:sz w:val="26"/>
          <w:szCs w:val="26"/>
          <w:rtl/>
        </w:rPr>
        <w:tab/>
      </w:r>
      <w:r w:rsidRPr="00784920">
        <w:rPr>
          <w:rFonts w:hint="cs"/>
          <w:spacing w:val="-4"/>
          <w:sz w:val="26"/>
          <w:szCs w:val="26"/>
          <w:rtl/>
        </w:rPr>
        <w:t>الرسالة الموثقة مؤرخة 18 شباط/فبراير 2011 وموقع عليها من صاحب الشكوى.</w:t>
      </w:r>
    </w:p>
  </w:footnote>
  <w:footnote w:id="391">
    <w:p w:rsidR="00D64D4C" w:rsidRPr="007C45F6" w:rsidRDefault="00D64D4C" w:rsidP="008C1013">
      <w:pPr>
        <w:pStyle w:val="FootnoteText"/>
        <w:tabs>
          <w:tab w:val="left" w:pos="1239"/>
        </w:tabs>
        <w:spacing w:after="60" w:line="300" w:lineRule="exact"/>
        <w:ind w:left="1239" w:right="1247" w:hanging="504"/>
        <w:jc w:val="lowKashida"/>
        <w:rPr>
          <w:spacing w:val="-4"/>
          <w:sz w:val="26"/>
          <w:szCs w:val="26"/>
        </w:rPr>
      </w:pPr>
      <w:r>
        <w:rPr>
          <w:rFonts w:hint="cs"/>
          <w:spacing w:val="-4"/>
          <w:sz w:val="26"/>
          <w:szCs w:val="26"/>
          <w:rtl/>
        </w:rPr>
        <w:t>(ن)</w:t>
      </w:r>
      <w:r>
        <w:rPr>
          <w:rFonts w:hint="cs"/>
          <w:spacing w:val="-4"/>
          <w:sz w:val="26"/>
          <w:szCs w:val="26"/>
          <w:rtl/>
        </w:rPr>
        <w:tab/>
      </w:r>
      <w:r w:rsidRPr="007C45F6">
        <w:rPr>
          <w:rFonts w:hint="cs"/>
          <w:spacing w:val="-4"/>
          <w:sz w:val="26"/>
          <w:szCs w:val="26"/>
          <w:rtl/>
        </w:rPr>
        <w:t xml:space="preserve">ترد </w:t>
      </w:r>
      <w:r w:rsidRPr="00466B80">
        <w:rPr>
          <w:rFonts w:hint="cs"/>
          <w:spacing w:val="0"/>
          <w:kern w:val="0"/>
          <w:sz w:val="26"/>
          <w:szCs w:val="26"/>
          <w:rtl/>
        </w:rPr>
        <w:t>نسخة</w:t>
      </w:r>
      <w:r w:rsidRPr="007C45F6">
        <w:rPr>
          <w:rFonts w:hint="cs"/>
          <w:spacing w:val="-4"/>
          <w:sz w:val="26"/>
          <w:szCs w:val="26"/>
          <w:rtl/>
        </w:rPr>
        <w:t xml:space="preserve"> من الإقرار </w:t>
      </w:r>
      <w:r>
        <w:rPr>
          <w:rFonts w:hint="cs"/>
          <w:spacing w:val="-4"/>
          <w:sz w:val="26"/>
          <w:szCs w:val="26"/>
          <w:rtl/>
        </w:rPr>
        <w:t xml:space="preserve">في </w:t>
      </w:r>
      <w:r w:rsidRPr="007C45F6">
        <w:rPr>
          <w:rFonts w:hint="cs"/>
          <w:spacing w:val="-4"/>
          <w:sz w:val="26"/>
          <w:szCs w:val="26"/>
          <w:rtl/>
        </w:rPr>
        <w:t>الملف.</w:t>
      </w:r>
    </w:p>
  </w:footnote>
  <w:footnote w:id="392">
    <w:p w:rsidR="00D64D4C" w:rsidRPr="00566528" w:rsidRDefault="00D64D4C" w:rsidP="008C1013">
      <w:pPr>
        <w:pStyle w:val="FootnoteText"/>
        <w:tabs>
          <w:tab w:val="left" w:pos="1239"/>
        </w:tabs>
        <w:spacing w:after="60" w:line="300" w:lineRule="exact"/>
        <w:ind w:left="1239" w:right="1247" w:hanging="504"/>
        <w:jc w:val="lowKashida"/>
        <w:rPr>
          <w:spacing w:val="-4"/>
          <w:sz w:val="26"/>
          <w:szCs w:val="26"/>
        </w:rPr>
      </w:pPr>
      <w:r>
        <w:rPr>
          <w:rFonts w:hint="cs"/>
          <w:spacing w:val="-4"/>
          <w:sz w:val="26"/>
          <w:szCs w:val="26"/>
          <w:rtl/>
        </w:rPr>
        <w:t>(س)</w:t>
      </w:r>
      <w:r>
        <w:rPr>
          <w:rFonts w:hint="cs"/>
          <w:spacing w:val="-4"/>
          <w:sz w:val="26"/>
          <w:szCs w:val="26"/>
          <w:rtl/>
        </w:rPr>
        <w:tab/>
      </w:r>
      <w:r w:rsidRPr="00466B80">
        <w:rPr>
          <w:rFonts w:hint="cs"/>
          <w:spacing w:val="0"/>
          <w:kern w:val="0"/>
          <w:sz w:val="26"/>
          <w:szCs w:val="26"/>
          <w:rtl/>
        </w:rPr>
        <w:t>المرجع</w:t>
      </w:r>
      <w:r w:rsidRPr="00566528">
        <w:rPr>
          <w:rFonts w:hint="cs"/>
          <w:spacing w:val="-4"/>
          <w:sz w:val="26"/>
          <w:szCs w:val="26"/>
          <w:rtl/>
        </w:rPr>
        <w:t xml:space="preserve"> نفسه.</w:t>
      </w:r>
    </w:p>
  </w:footnote>
  <w:footnote w:id="393">
    <w:p w:rsidR="00D64D4C" w:rsidRPr="00566528" w:rsidRDefault="00D64D4C" w:rsidP="008C1013">
      <w:pPr>
        <w:pStyle w:val="FootnoteText"/>
        <w:tabs>
          <w:tab w:val="left" w:pos="1239"/>
        </w:tabs>
        <w:spacing w:after="60" w:line="300" w:lineRule="exact"/>
        <w:ind w:left="1239" w:right="1247" w:hanging="504"/>
        <w:jc w:val="lowKashida"/>
        <w:rPr>
          <w:spacing w:val="-4"/>
          <w:sz w:val="26"/>
          <w:szCs w:val="26"/>
        </w:rPr>
      </w:pPr>
      <w:r>
        <w:rPr>
          <w:rFonts w:hint="cs"/>
          <w:spacing w:val="-4"/>
          <w:sz w:val="26"/>
          <w:szCs w:val="26"/>
          <w:rtl/>
        </w:rPr>
        <w:t>(ع)</w:t>
      </w:r>
      <w:r>
        <w:rPr>
          <w:rFonts w:hint="cs"/>
          <w:spacing w:val="-4"/>
          <w:sz w:val="26"/>
          <w:szCs w:val="26"/>
          <w:rtl/>
        </w:rPr>
        <w:tab/>
      </w:r>
      <w:r w:rsidRPr="00566528">
        <w:rPr>
          <w:rFonts w:hint="cs"/>
          <w:spacing w:val="-4"/>
          <w:sz w:val="26"/>
          <w:szCs w:val="26"/>
          <w:rtl/>
        </w:rPr>
        <w:t>المرجع نفسه.</w:t>
      </w:r>
    </w:p>
  </w:footnote>
  <w:footnote w:id="394">
    <w:p w:rsidR="00D64D4C" w:rsidRPr="00566528" w:rsidRDefault="00D64D4C" w:rsidP="008C1013">
      <w:pPr>
        <w:pStyle w:val="FootnoteText"/>
        <w:tabs>
          <w:tab w:val="left" w:pos="1239"/>
        </w:tabs>
        <w:spacing w:after="60" w:line="300" w:lineRule="exact"/>
        <w:ind w:left="1239" w:right="1247" w:hanging="504"/>
        <w:jc w:val="lowKashida"/>
        <w:rPr>
          <w:spacing w:val="-4"/>
          <w:sz w:val="26"/>
          <w:szCs w:val="26"/>
        </w:rPr>
      </w:pPr>
      <w:r>
        <w:rPr>
          <w:rFonts w:hint="cs"/>
          <w:spacing w:val="-4"/>
          <w:sz w:val="26"/>
          <w:szCs w:val="26"/>
          <w:rtl/>
        </w:rPr>
        <w:t>(ف)</w:t>
      </w:r>
      <w:r>
        <w:rPr>
          <w:rFonts w:hint="cs"/>
          <w:spacing w:val="-4"/>
          <w:sz w:val="26"/>
          <w:szCs w:val="26"/>
          <w:rtl/>
        </w:rPr>
        <w:tab/>
      </w:r>
      <w:r w:rsidRPr="00566528">
        <w:rPr>
          <w:rFonts w:hint="cs"/>
          <w:spacing w:val="-4"/>
          <w:sz w:val="26"/>
          <w:szCs w:val="26"/>
          <w:rtl/>
        </w:rPr>
        <w:t xml:space="preserve">المرجع </w:t>
      </w:r>
      <w:r w:rsidRPr="00466B80">
        <w:rPr>
          <w:rFonts w:hint="cs"/>
          <w:spacing w:val="0"/>
          <w:kern w:val="0"/>
          <w:sz w:val="26"/>
          <w:szCs w:val="26"/>
          <w:rtl/>
        </w:rPr>
        <w:t>نفسه</w:t>
      </w:r>
      <w:r w:rsidRPr="00566528">
        <w:rPr>
          <w:rFonts w:hint="cs"/>
          <w:spacing w:val="-4"/>
          <w:sz w:val="26"/>
          <w:szCs w:val="26"/>
          <w:rtl/>
        </w:rPr>
        <w:t>.</w:t>
      </w:r>
    </w:p>
  </w:footnote>
  <w:footnote w:id="395">
    <w:p w:rsidR="00D64D4C" w:rsidRPr="009E51E4" w:rsidRDefault="00D64D4C" w:rsidP="008C1013">
      <w:pPr>
        <w:pStyle w:val="FootnoteText"/>
        <w:tabs>
          <w:tab w:val="left" w:pos="1239"/>
        </w:tabs>
        <w:spacing w:after="60" w:line="300" w:lineRule="exact"/>
        <w:ind w:left="1239" w:right="1247" w:hanging="518"/>
        <w:jc w:val="lowKashida"/>
        <w:rPr>
          <w:sz w:val="26"/>
          <w:szCs w:val="26"/>
        </w:rPr>
      </w:pPr>
      <w:r>
        <w:rPr>
          <w:rFonts w:hint="cs"/>
          <w:spacing w:val="-4"/>
          <w:sz w:val="26"/>
          <w:szCs w:val="26"/>
          <w:rtl/>
        </w:rPr>
        <w:t>(ص)</w:t>
      </w:r>
      <w:r>
        <w:rPr>
          <w:rFonts w:hint="cs"/>
          <w:spacing w:val="-4"/>
          <w:sz w:val="26"/>
          <w:szCs w:val="26"/>
          <w:rtl/>
        </w:rPr>
        <w:tab/>
      </w:r>
      <w:r w:rsidRPr="00292CC0">
        <w:rPr>
          <w:rFonts w:hint="cs"/>
          <w:spacing w:val="-4"/>
          <w:sz w:val="26"/>
          <w:szCs w:val="26"/>
          <w:rtl/>
        </w:rPr>
        <w:t>وقع صاحب الشكوى فعلاً على كل صفحة من النسخة الروسية من الشكوى المقدمة إلى اللجنة.</w:t>
      </w:r>
    </w:p>
  </w:footnote>
  <w:footnote w:id="396">
    <w:p w:rsidR="00D64D4C" w:rsidRPr="00402F18" w:rsidRDefault="00D64D4C" w:rsidP="00602FFF">
      <w:pPr>
        <w:pStyle w:val="FootnoteText"/>
        <w:tabs>
          <w:tab w:val="left" w:pos="1239"/>
        </w:tabs>
        <w:spacing w:after="60" w:line="300" w:lineRule="exact"/>
        <w:ind w:left="1239" w:right="1247" w:hanging="462"/>
        <w:jc w:val="lowKashida"/>
        <w:rPr>
          <w:spacing w:val="0"/>
          <w:kern w:val="0"/>
          <w:sz w:val="26"/>
          <w:szCs w:val="26"/>
        </w:rPr>
      </w:pPr>
      <w:r w:rsidRPr="00402F18">
        <w:rPr>
          <w:rFonts w:hint="cs"/>
          <w:spacing w:val="0"/>
          <w:kern w:val="0"/>
          <w:sz w:val="26"/>
          <w:szCs w:val="26"/>
          <w:rtl/>
        </w:rPr>
        <w:t>(ق)</w:t>
      </w:r>
      <w:r w:rsidRPr="00402F18">
        <w:rPr>
          <w:rFonts w:hint="cs"/>
          <w:spacing w:val="0"/>
          <w:kern w:val="0"/>
          <w:sz w:val="26"/>
          <w:szCs w:val="26"/>
          <w:rtl/>
        </w:rPr>
        <w:tab/>
        <w:t xml:space="preserve">انظر البلاغ رقم 247/2004، </w:t>
      </w:r>
      <w:r w:rsidRPr="00402F18">
        <w:rPr>
          <w:rFonts w:hint="cs"/>
          <w:i/>
          <w:iCs/>
          <w:spacing w:val="0"/>
          <w:kern w:val="0"/>
          <w:sz w:val="26"/>
          <w:szCs w:val="26"/>
          <w:rtl/>
        </w:rPr>
        <w:t>أ. أ. ضد أذربيجان</w:t>
      </w:r>
      <w:r w:rsidRPr="00402F18">
        <w:rPr>
          <w:rFonts w:hint="cs"/>
          <w:spacing w:val="0"/>
          <w:kern w:val="0"/>
          <w:sz w:val="26"/>
          <w:szCs w:val="26"/>
          <w:rtl/>
        </w:rPr>
        <w:t>، قرار عدم المقبولية المعتمد في 25 تشرين الثاني/ نوفمبر 2005، الفقرة 6-4.</w:t>
      </w:r>
    </w:p>
  </w:footnote>
  <w:footnote w:id="397">
    <w:p w:rsidR="00D64D4C" w:rsidRPr="00602FFF" w:rsidRDefault="00D64D4C" w:rsidP="00402F18">
      <w:pPr>
        <w:pStyle w:val="FootnoteText"/>
        <w:tabs>
          <w:tab w:val="left" w:pos="1239"/>
        </w:tabs>
        <w:spacing w:after="60" w:line="300" w:lineRule="exact"/>
        <w:ind w:left="1239" w:right="1247" w:hanging="448"/>
        <w:jc w:val="lowKashida"/>
        <w:rPr>
          <w:spacing w:val="0"/>
          <w:kern w:val="0"/>
          <w:sz w:val="26"/>
          <w:szCs w:val="26"/>
        </w:rPr>
      </w:pPr>
      <w:r w:rsidRPr="00602FFF">
        <w:rPr>
          <w:rFonts w:hint="cs"/>
          <w:spacing w:val="0"/>
          <w:kern w:val="0"/>
          <w:sz w:val="26"/>
          <w:szCs w:val="26"/>
          <w:rtl/>
        </w:rPr>
        <w:t>(ر)</w:t>
      </w:r>
      <w:r w:rsidRPr="00602FFF">
        <w:rPr>
          <w:rFonts w:hint="cs"/>
          <w:spacing w:val="0"/>
          <w:kern w:val="0"/>
          <w:sz w:val="26"/>
          <w:szCs w:val="26"/>
          <w:rtl/>
        </w:rPr>
        <w:tab/>
        <w:t xml:space="preserve">انظر أيضاً التعليق العام للجنة رقم 1(1996) بشأن تنفيذ المادة 3 من الاتفاقية، </w:t>
      </w:r>
      <w:r w:rsidRPr="00602FFF">
        <w:rPr>
          <w:rFonts w:hint="cs"/>
          <w:i/>
          <w:iCs/>
          <w:spacing w:val="0"/>
          <w:kern w:val="0"/>
          <w:sz w:val="26"/>
          <w:szCs w:val="26"/>
          <w:rtl/>
        </w:rPr>
        <w:t>الوثائق الرسمية للجمعية العامة، الدورة الثالثة والخمسون، الملحق رقم 44</w:t>
      </w:r>
      <w:r w:rsidRPr="00602FFF">
        <w:rPr>
          <w:rFonts w:hint="cs"/>
          <w:i/>
          <w:iCs/>
          <w:spacing w:val="0"/>
          <w:kern w:val="0"/>
          <w:sz w:val="18"/>
          <w:szCs w:val="26"/>
          <w:rtl/>
        </w:rPr>
        <w:t xml:space="preserve"> </w:t>
      </w:r>
      <w:r w:rsidRPr="00602FFF">
        <w:rPr>
          <w:rFonts w:hint="cs"/>
          <w:spacing w:val="0"/>
          <w:kern w:val="0"/>
          <w:sz w:val="18"/>
          <w:szCs w:val="26"/>
          <w:rtl/>
        </w:rPr>
        <w:t>(</w:t>
      </w:r>
      <w:r w:rsidRPr="00602FFF">
        <w:rPr>
          <w:spacing w:val="0"/>
          <w:kern w:val="0"/>
          <w:sz w:val="18"/>
          <w:szCs w:val="26"/>
        </w:rPr>
        <w:t>A/53/44</w:t>
      </w:r>
      <w:r w:rsidRPr="00602FFF">
        <w:rPr>
          <w:rFonts w:hint="cs"/>
          <w:spacing w:val="0"/>
          <w:kern w:val="0"/>
          <w:sz w:val="26"/>
          <w:szCs w:val="26"/>
          <w:rtl/>
        </w:rPr>
        <w:t xml:space="preserve"> و</w:t>
      </w:r>
      <w:r w:rsidRPr="00602FFF">
        <w:rPr>
          <w:spacing w:val="0"/>
          <w:kern w:val="0"/>
          <w:sz w:val="18"/>
          <w:szCs w:val="26"/>
        </w:rPr>
        <w:t>(Corr.1</w:t>
      </w:r>
      <w:r w:rsidRPr="00602FFF">
        <w:rPr>
          <w:rFonts w:hint="cs"/>
          <w:spacing w:val="0"/>
          <w:kern w:val="0"/>
          <w:sz w:val="26"/>
          <w:szCs w:val="26"/>
          <w:rtl/>
        </w:rPr>
        <w:t>، المرفق التاسع، الفقرة 9(ب).</w:t>
      </w:r>
    </w:p>
  </w:footnote>
  <w:footnote w:id="398">
    <w:p w:rsidR="00D64D4C" w:rsidRPr="00602FFF" w:rsidRDefault="00D64D4C" w:rsidP="00402F18">
      <w:pPr>
        <w:pStyle w:val="FootnoteText"/>
        <w:tabs>
          <w:tab w:val="left" w:pos="1239"/>
        </w:tabs>
        <w:spacing w:after="60" w:line="300" w:lineRule="exact"/>
        <w:ind w:left="1239" w:right="1247" w:hanging="448"/>
        <w:jc w:val="lowKashida"/>
        <w:rPr>
          <w:spacing w:val="-4"/>
          <w:kern w:val="0"/>
          <w:sz w:val="26"/>
          <w:szCs w:val="26"/>
        </w:rPr>
      </w:pPr>
      <w:r w:rsidRPr="00602FFF">
        <w:rPr>
          <w:rFonts w:hint="cs"/>
          <w:spacing w:val="-4"/>
          <w:kern w:val="0"/>
          <w:sz w:val="26"/>
          <w:szCs w:val="26"/>
          <w:rtl/>
        </w:rPr>
        <w:t>(ش)</w:t>
      </w:r>
      <w:r w:rsidRPr="00602FFF">
        <w:rPr>
          <w:rFonts w:hint="cs"/>
          <w:spacing w:val="-4"/>
          <w:kern w:val="0"/>
          <w:sz w:val="26"/>
          <w:szCs w:val="26"/>
          <w:rtl/>
        </w:rPr>
        <w:tab/>
        <w:t xml:space="preserve">انظر البلاغ رقم 119/1998، </w:t>
      </w:r>
      <w:r w:rsidRPr="00602FFF">
        <w:rPr>
          <w:rFonts w:hint="cs"/>
          <w:i/>
          <w:iCs/>
          <w:spacing w:val="-4"/>
          <w:kern w:val="0"/>
          <w:sz w:val="26"/>
          <w:szCs w:val="26"/>
          <w:rtl/>
        </w:rPr>
        <w:t>ف. ن. إ. م. ضد كندا</w:t>
      </w:r>
      <w:r w:rsidRPr="00602FFF">
        <w:rPr>
          <w:rFonts w:hint="cs"/>
          <w:spacing w:val="-4"/>
          <w:kern w:val="0"/>
          <w:sz w:val="26"/>
          <w:szCs w:val="26"/>
          <w:rtl/>
        </w:rPr>
        <w:t>، القرار المعتمد في 12 تشرين الثاني/نوفمبر 2002، الفقرة 6-2.</w:t>
      </w:r>
    </w:p>
  </w:footnote>
  <w:footnote w:id="399">
    <w:p w:rsidR="00D64D4C" w:rsidRPr="00402F18" w:rsidRDefault="00D64D4C" w:rsidP="00402F18">
      <w:pPr>
        <w:pStyle w:val="FootnoteText"/>
        <w:tabs>
          <w:tab w:val="left" w:pos="1239"/>
        </w:tabs>
        <w:spacing w:after="60" w:line="300" w:lineRule="exact"/>
        <w:ind w:left="1239" w:right="1247" w:hanging="462"/>
        <w:jc w:val="lowKashida"/>
        <w:rPr>
          <w:rFonts w:hint="cs"/>
          <w:spacing w:val="0"/>
          <w:kern w:val="0"/>
          <w:sz w:val="26"/>
          <w:szCs w:val="26"/>
        </w:rPr>
      </w:pPr>
      <w:r>
        <w:rPr>
          <w:rFonts w:hint="cs"/>
          <w:spacing w:val="-4"/>
          <w:sz w:val="26"/>
          <w:szCs w:val="26"/>
          <w:rtl/>
        </w:rPr>
        <w:t>(ت)</w:t>
      </w:r>
      <w:r>
        <w:rPr>
          <w:rFonts w:hint="cs"/>
          <w:spacing w:val="-4"/>
          <w:sz w:val="26"/>
          <w:szCs w:val="26"/>
          <w:rtl/>
        </w:rPr>
        <w:tab/>
      </w:r>
      <w:r w:rsidRPr="00402F18">
        <w:rPr>
          <w:rFonts w:hint="cs"/>
          <w:spacing w:val="0"/>
          <w:kern w:val="0"/>
          <w:sz w:val="26"/>
          <w:szCs w:val="26"/>
          <w:rtl/>
        </w:rPr>
        <w:t xml:space="preserve">انظر البلاغ رقم 269/2005، </w:t>
      </w:r>
      <w:r w:rsidRPr="00402F18">
        <w:rPr>
          <w:rFonts w:hint="cs"/>
          <w:i/>
          <w:iCs/>
          <w:spacing w:val="0"/>
          <w:kern w:val="0"/>
          <w:sz w:val="26"/>
          <w:szCs w:val="26"/>
          <w:rtl/>
        </w:rPr>
        <w:t>سالم ضد تونس</w:t>
      </w:r>
      <w:r w:rsidRPr="00402F18">
        <w:rPr>
          <w:rFonts w:hint="cs"/>
          <w:spacing w:val="0"/>
          <w:kern w:val="0"/>
          <w:sz w:val="26"/>
          <w:szCs w:val="26"/>
          <w:rtl/>
        </w:rPr>
        <w:t>، القرار المعتمد في 7 تشرين الثاني/نوفمبر 2007، الفقرة</w:t>
      </w:r>
      <w:r w:rsidRPr="00402F18">
        <w:rPr>
          <w:rFonts w:hint="eastAsia"/>
          <w:spacing w:val="0"/>
          <w:kern w:val="0"/>
          <w:sz w:val="26"/>
          <w:szCs w:val="26"/>
          <w:rtl/>
        </w:rPr>
        <w:t> </w:t>
      </w:r>
      <w:r w:rsidRPr="00402F18">
        <w:rPr>
          <w:rFonts w:hint="cs"/>
          <w:spacing w:val="0"/>
          <w:kern w:val="0"/>
          <w:sz w:val="26"/>
          <w:szCs w:val="26"/>
          <w:rtl/>
        </w:rPr>
        <w:t>16-4.</w:t>
      </w:r>
    </w:p>
  </w:footnote>
  <w:footnote w:id="400">
    <w:p w:rsidR="00D64D4C" w:rsidRPr="00602FFF" w:rsidRDefault="00D64D4C" w:rsidP="00402F18">
      <w:pPr>
        <w:pStyle w:val="FootnoteText"/>
        <w:tabs>
          <w:tab w:val="left" w:pos="1239"/>
        </w:tabs>
        <w:spacing w:after="60" w:line="300" w:lineRule="exact"/>
        <w:ind w:left="1239" w:right="1247" w:hanging="462"/>
        <w:jc w:val="lowKashida"/>
        <w:rPr>
          <w:spacing w:val="0"/>
          <w:kern w:val="0"/>
          <w:sz w:val="18"/>
          <w:szCs w:val="26"/>
        </w:rPr>
      </w:pPr>
      <w:r w:rsidRPr="00602FFF">
        <w:rPr>
          <w:rFonts w:hint="cs"/>
          <w:spacing w:val="0"/>
          <w:kern w:val="0"/>
          <w:sz w:val="18"/>
          <w:szCs w:val="26"/>
          <w:rtl/>
        </w:rPr>
        <w:t>(ث)</w:t>
      </w:r>
      <w:r w:rsidRPr="00602FFF">
        <w:rPr>
          <w:rFonts w:hint="cs"/>
          <w:spacing w:val="0"/>
          <w:kern w:val="0"/>
          <w:sz w:val="18"/>
          <w:szCs w:val="26"/>
          <w:rtl/>
        </w:rPr>
        <w:tab/>
        <w:t>أعربت اللجنة عن قلقها إزاء عدم توفير الضمانات الكافية لمنع تعذيب المحتجزين في ملاحظاتها الختامية المتعلقة بالتقرير الدوري الثاني للدولة الطرف (</w:t>
      </w:r>
      <w:r w:rsidRPr="00602FFF">
        <w:rPr>
          <w:spacing w:val="0"/>
          <w:kern w:val="0"/>
          <w:sz w:val="18"/>
          <w:szCs w:val="26"/>
        </w:rPr>
        <w:t>CAT/C/KAZ/CO/2</w:t>
      </w:r>
      <w:r w:rsidRPr="00602FFF">
        <w:rPr>
          <w:rFonts w:hint="cs"/>
          <w:spacing w:val="0"/>
          <w:kern w:val="0"/>
          <w:sz w:val="18"/>
          <w:szCs w:val="26"/>
          <w:rtl/>
        </w:rPr>
        <w:t>، الفقرة 9).</w:t>
      </w:r>
    </w:p>
  </w:footnote>
  <w:footnote w:id="401">
    <w:p w:rsidR="00D64D4C" w:rsidRPr="005B30FC" w:rsidRDefault="00D64D4C" w:rsidP="00171FB4">
      <w:pPr>
        <w:pStyle w:val="FootnoteText"/>
        <w:tabs>
          <w:tab w:val="left" w:pos="1239"/>
        </w:tabs>
        <w:spacing w:after="60" w:line="300" w:lineRule="exact"/>
        <w:ind w:left="1239" w:right="1247" w:hanging="490"/>
        <w:jc w:val="lowKashida"/>
        <w:rPr>
          <w:rFonts w:hint="cs"/>
          <w:spacing w:val="-4"/>
          <w:sz w:val="26"/>
          <w:szCs w:val="26"/>
        </w:rPr>
      </w:pPr>
      <w:r>
        <w:rPr>
          <w:rFonts w:hint="cs"/>
          <w:spacing w:val="-4"/>
          <w:sz w:val="26"/>
          <w:szCs w:val="26"/>
          <w:rtl/>
        </w:rPr>
        <w:t>(خ)</w:t>
      </w:r>
      <w:r>
        <w:rPr>
          <w:rFonts w:hint="cs"/>
          <w:spacing w:val="-4"/>
          <w:sz w:val="26"/>
          <w:szCs w:val="26"/>
          <w:rtl/>
        </w:rPr>
        <w:tab/>
      </w:r>
      <w:r w:rsidRPr="005B30FC">
        <w:rPr>
          <w:rFonts w:hint="cs"/>
          <w:spacing w:val="-4"/>
          <w:sz w:val="26"/>
          <w:szCs w:val="26"/>
          <w:rtl/>
        </w:rPr>
        <w:t xml:space="preserve">انظر البلاغ رقم 257/2004، </w:t>
      </w:r>
      <w:r w:rsidRPr="00402F18">
        <w:rPr>
          <w:rFonts w:hint="cs"/>
          <w:i/>
          <w:iCs/>
          <w:spacing w:val="-4"/>
          <w:sz w:val="26"/>
          <w:szCs w:val="26"/>
          <w:rtl/>
        </w:rPr>
        <w:t>كيريميدتشيف ضد بلغاريا</w:t>
      </w:r>
      <w:r w:rsidRPr="005B30FC">
        <w:rPr>
          <w:rFonts w:hint="cs"/>
          <w:spacing w:val="-4"/>
          <w:sz w:val="26"/>
          <w:szCs w:val="26"/>
          <w:rtl/>
        </w:rPr>
        <w:t>، القرار المعتمد في 11 تشرين الثاني/نوفمبر 2008، الفقرة 9-4.</w:t>
      </w:r>
    </w:p>
  </w:footnote>
  <w:footnote w:id="402">
    <w:p w:rsidR="00D64D4C" w:rsidRPr="004A793E" w:rsidRDefault="00D64D4C" w:rsidP="00171FB4">
      <w:pPr>
        <w:pStyle w:val="FootnoteText"/>
        <w:tabs>
          <w:tab w:val="left" w:pos="1239"/>
        </w:tabs>
        <w:spacing w:after="60" w:line="300" w:lineRule="exact"/>
        <w:ind w:left="1239" w:right="1247" w:hanging="490"/>
        <w:jc w:val="lowKashida"/>
        <w:rPr>
          <w:spacing w:val="-4"/>
          <w:sz w:val="26"/>
          <w:szCs w:val="26"/>
        </w:rPr>
      </w:pPr>
      <w:r>
        <w:rPr>
          <w:rFonts w:hint="cs"/>
          <w:spacing w:val="-4"/>
          <w:sz w:val="26"/>
          <w:szCs w:val="26"/>
          <w:rtl/>
        </w:rPr>
        <w:t>(ذ)</w:t>
      </w:r>
      <w:r>
        <w:rPr>
          <w:rFonts w:hint="cs"/>
          <w:spacing w:val="-4"/>
          <w:sz w:val="26"/>
          <w:szCs w:val="26"/>
          <w:rtl/>
        </w:rPr>
        <w:tab/>
      </w:r>
      <w:r w:rsidRPr="004A793E">
        <w:rPr>
          <w:rFonts w:hint="cs"/>
          <w:spacing w:val="-4"/>
          <w:sz w:val="26"/>
          <w:szCs w:val="26"/>
          <w:rtl/>
        </w:rPr>
        <w:t>انظر الملاحظات الختامية للجنة بشأن كازاخستان</w:t>
      </w:r>
      <w:r>
        <w:rPr>
          <w:rFonts w:hint="cs"/>
          <w:sz w:val="26"/>
          <w:szCs w:val="26"/>
          <w:rtl/>
        </w:rPr>
        <w:t xml:space="preserve"> </w:t>
      </w:r>
      <w:r w:rsidRPr="00493EF9">
        <w:rPr>
          <w:sz w:val="18"/>
          <w:szCs w:val="18"/>
        </w:rPr>
        <w:t>CAT/C/KAZ/CO/2</w:t>
      </w:r>
      <w:r w:rsidRPr="004A793E">
        <w:rPr>
          <w:rFonts w:hint="cs"/>
          <w:spacing w:val="-4"/>
          <w:sz w:val="26"/>
          <w:szCs w:val="26"/>
          <w:rtl/>
        </w:rPr>
        <w:t>، الفقرة 24.</w:t>
      </w:r>
    </w:p>
  </w:footnote>
  <w:footnote w:id="403">
    <w:p w:rsidR="00D64D4C" w:rsidRPr="004A793E" w:rsidRDefault="00D64D4C" w:rsidP="00171FB4">
      <w:pPr>
        <w:pStyle w:val="FootnoteText"/>
        <w:tabs>
          <w:tab w:val="left" w:pos="1239"/>
        </w:tabs>
        <w:spacing w:after="60" w:line="300" w:lineRule="exact"/>
        <w:ind w:left="1239" w:right="1247" w:hanging="490"/>
        <w:jc w:val="lowKashida"/>
        <w:rPr>
          <w:rFonts w:hint="cs"/>
          <w:spacing w:val="-4"/>
          <w:sz w:val="26"/>
          <w:szCs w:val="26"/>
        </w:rPr>
      </w:pPr>
      <w:r>
        <w:rPr>
          <w:rFonts w:hint="cs"/>
          <w:spacing w:val="-4"/>
          <w:sz w:val="26"/>
          <w:szCs w:val="26"/>
          <w:rtl/>
        </w:rPr>
        <w:t>(ض)</w:t>
      </w:r>
      <w:r>
        <w:rPr>
          <w:rFonts w:hint="cs"/>
          <w:spacing w:val="-4"/>
          <w:sz w:val="26"/>
          <w:szCs w:val="26"/>
          <w:rtl/>
        </w:rPr>
        <w:tab/>
      </w:r>
      <w:r w:rsidRPr="004A793E">
        <w:rPr>
          <w:rFonts w:hint="cs"/>
          <w:spacing w:val="-4"/>
          <w:sz w:val="26"/>
          <w:szCs w:val="26"/>
          <w:rtl/>
        </w:rPr>
        <w:t xml:space="preserve">البلاغ رقم 59/1996، </w:t>
      </w:r>
      <w:r w:rsidRPr="00402F18">
        <w:rPr>
          <w:rFonts w:hint="cs"/>
          <w:i/>
          <w:iCs/>
          <w:spacing w:val="-4"/>
          <w:sz w:val="26"/>
          <w:szCs w:val="26"/>
          <w:rtl/>
        </w:rPr>
        <w:t>بلانكو عباد ضد إسبانيا</w:t>
      </w:r>
      <w:r w:rsidRPr="004A793E">
        <w:rPr>
          <w:rFonts w:hint="cs"/>
          <w:spacing w:val="-4"/>
          <w:sz w:val="26"/>
          <w:szCs w:val="26"/>
          <w:rtl/>
        </w:rPr>
        <w:t>، الآراء المعتمدة في</w:t>
      </w:r>
      <w:r>
        <w:rPr>
          <w:rFonts w:hint="cs"/>
          <w:spacing w:val="-4"/>
          <w:sz w:val="26"/>
          <w:szCs w:val="26"/>
          <w:rtl/>
        </w:rPr>
        <w:t xml:space="preserve"> </w:t>
      </w:r>
      <w:r w:rsidRPr="004A793E">
        <w:rPr>
          <w:rFonts w:hint="cs"/>
          <w:spacing w:val="-4"/>
          <w:sz w:val="26"/>
          <w:szCs w:val="26"/>
          <w:rtl/>
        </w:rPr>
        <w:t>14 أيار/مايو 1998، الفقرة 8-2.</w:t>
      </w:r>
    </w:p>
  </w:footnote>
  <w:footnote w:id="404">
    <w:p w:rsidR="00D64D4C" w:rsidRPr="00602FFF" w:rsidRDefault="00D64D4C" w:rsidP="00CA5735">
      <w:pPr>
        <w:pStyle w:val="FootnoteText"/>
        <w:tabs>
          <w:tab w:val="left" w:pos="1239"/>
        </w:tabs>
        <w:spacing w:after="60" w:line="300" w:lineRule="exact"/>
        <w:ind w:left="1239" w:right="1247" w:hanging="406"/>
        <w:jc w:val="lowKashida"/>
        <w:rPr>
          <w:rFonts w:hint="cs"/>
          <w:spacing w:val="0"/>
          <w:kern w:val="0"/>
          <w:sz w:val="26"/>
          <w:szCs w:val="26"/>
        </w:rPr>
      </w:pPr>
      <w:r w:rsidRPr="00602FFF">
        <w:rPr>
          <w:rFonts w:hint="cs"/>
          <w:spacing w:val="0"/>
          <w:kern w:val="0"/>
          <w:sz w:val="26"/>
          <w:szCs w:val="26"/>
          <w:rtl/>
        </w:rPr>
        <w:t>(أأ)</w:t>
      </w:r>
      <w:r w:rsidRPr="00602FFF">
        <w:rPr>
          <w:rFonts w:hint="cs"/>
          <w:spacing w:val="0"/>
          <w:kern w:val="0"/>
          <w:sz w:val="26"/>
          <w:szCs w:val="26"/>
          <w:rtl/>
        </w:rPr>
        <w:tab/>
        <w:t xml:space="preserve">انظر </w:t>
      </w:r>
      <w:r w:rsidRPr="00602FFF">
        <w:rPr>
          <w:spacing w:val="0"/>
          <w:kern w:val="0"/>
          <w:sz w:val="26"/>
          <w:szCs w:val="26"/>
          <w:rtl/>
        </w:rPr>
        <w:t>تقرير المقرر الخاص المعني بالتعذيب والمعاملة أو العقوبة القاسية أو اللاإنسانية أو المهينة، مانفريد نواك، بشأن بعثته إلى كازاخستان،</w:t>
      </w:r>
      <w:r w:rsidRPr="00602FFF">
        <w:rPr>
          <w:rFonts w:ascii="Traditional Arabic" w:hAnsi="Traditional Arabic"/>
          <w:spacing w:val="0"/>
          <w:kern w:val="0"/>
          <w:sz w:val="26"/>
          <w:szCs w:val="26"/>
          <w:rtl/>
        </w:rPr>
        <w:t xml:space="preserve"> </w:t>
      </w:r>
      <w:r w:rsidRPr="00602FFF">
        <w:rPr>
          <w:spacing w:val="0"/>
          <w:kern w:val="0"/>
          <w:sz w:val="18"/>
          <w:szCs w:val="18"/>
        </w:rPr>
        <w:t>A/HRC/13/39/Add.3</w:t>
      </w:r>
      <w:r w:rsidRPr="00602FFF">
        <w:rPr>
          <w:rFonts w:hint="cs"/>
          <w:spacing w:val="0"/>
          <w:kern w:val="0"/>
          <w:sz w:val="26"/>
          <w:szCs w:val="26"/>
          <w:rtl/>
        </w:rPr>
        <w:t>، الفقرتان 51 و59.</w:t>
      </w:r>
    </w:p>
  </w:footnote>
  <w:footnote w:id="405">
    <w:p w:rsidR="00D64D4C" w:rsidRPr="00602FFF" w:rsidRDefault="00D64D4C" w:rsidP="00602FFF">
      <w:pPr>
        <w:pStyle w:val="FootnoteText"/>
        <w:tabs>
          <w:tab w:val="left" w:pos="1239"/>
        </w:tabs>
        <w:spacing w:after="60" w:line="300" w:lineRule="exact"/>
        <w:ind w:left="1239" w:right="1247" w:hanging="700"/>
        <w:jc w:val="lowKashida"/>
        <w:rPr>
          <w:rFonts w:hint="cs"/>
          <w:spacing w:val="0"/>
          <w:kern w:val="0"/>
          <w:sz w:val="26"/>
          <w:szCs w:val="26"/>
        </w:rPr>
      </w:pPr>
      <w:r w:rsidRPr="00602FFF">
        <w:rPr>
          <w:rFonts w:hint="cs"/>
          <w:spacing w:val="0"/>
          <w:kern w:val="0"/>
          <w:sz w:val="26"/>
          <w:szCs w:val="26"/>
          <w:rtl/>
        </w:rPr>
        <w:t>(ب ب)</w:t>
      </w:r>
      <w:r w:rsidRPr="00602FFF">
        <w:rPr>
          <w:rFonts w:hint="cs"/>
          <w:spacing w:val="0"/>
          <w:kern w:val="0"/>
          <w:sz w:val="26"/>
          <w:szCs w:val="26"/>
          <w:rtl/>
        </w:rPr>
        <w:tab/>
        <w:t xml:space="preserve">انظر البلاغ رقم 269/2005، </w:t>
      </w:r>
      <w:r w:rsidRPr="00602FFF">
        <w:rPr>
          <w:rFonts w:hint="cs"/>
          <w:i/>
          <w:iCs/>
          <w:spacing w:val="0"/>
          <w:kern w:val="0"/>
          <w:sz w:val="26"/>
          <w:szCs w:val="26"/>
          <w:rtl/>
        </w:rPr>
        <w:t>سالم ضد تونس</w:t>
      </w:r>
      <w:r w:rsidRPr="00602FFF">
        <w:rPr>
          <w:rFonts w:hint="cs"/>
          <w:spacing w:val="0"/>
          <w:kern w:val="0"/>
          <w:sz w:val="26"/>
          <w:szCs w:val="26"/>
          <w:rtl/>
        </w:rPr>
        <w:t>، القرار المعتمد في7 تشرين الثاني/نوفمبر 2007، الفقرة</w:t>
      </w:r>
      <w:r w:rsidRPr="00602FFF">
        <w:rPr>
          <w:rFonts w:hint="eastAsia"/>
          <w:spacing w:val="0"/>
          <w:kern w:val="0"/>
          <w:sz w:val="26"/>
          <w:szCs w:val="26"/>
          <w:rtl/>
        </w:rPr>
        <w:t> </w:t>
      </w:r>
      <w:r w:rsidRPr="00602FFF">
        <w:rPr>
          <w:rFonts w:hint="cs"/>
          <w:spacing w:val="0"/>
          <w:kern w:val="0"/>
          <w:sz w:val="26"/>
          <w:szCs w:val="26"/>
          <w:rtl/>
        </w:rPr>
        <w:t>16-8.</w:t>
      </w:r>
    </w:p>
  </w:footnote>
  <w:footnote w:id="406">
    <w:p w:rsidR="00D64D4C" w:rsidRPr="00602FFF" w:rsidRDefault="00D64D4C" w:rsidP="00CA5735">
      <w:pPr>
        <w:pStyle w:val="FootnoteText"/>
        <w:tabs>
          <w:tab w:val="left" w:pos="1239"/>
        </w:tabs>
        <w:spacing w:after="60" w:line="300" w:lineRule="exact"/>
        <w:ind w:left="1239" w:right="1247" w:hanging="630"/>
        <w:jc w:val="lowKashida"/>
        <w:rPr>
          <w:rFonts w:hint="cs"/>
          <w:spacing w:val="0"/>
          <w:kern w:val="0"/>
          <w:sz w:val="26"/>
          <w:szCs w:val="26"/>
        </w:rPr>
      </w:pPr>
      <w:r w:rsidRPr="00602FFF">
        <w:rPr>
          <w:rFonts w:hint="cs"/>
          <w:spacing w:val="0"/>
          <w:kern w:val="0"/>
          <w:sz w:val="26"/>
          <w:szCs w:val="26"/>
          <w:rtl/>
        </w:rPr>
        <w:t>(ج ج)</w:t>
      </w:r>
      <w:r w:rsidRPr="00602FFF">
        <w:rPr>
          <w:rFonts w:hint="cs"/>
          <w:spacing w:val="0"/>
          <w:kern w:val="0"/>
          <w:sz w:val="26"/>
          <w:szCs w:val="26"/>
          <w:rtl/>
        </w:rPr>
        <w:tab/>
        <w:t xml:space="preserve">انظر مثلاً البلاغ رقم 207/2002، </w:t>
      </w:r>
      <w:r w:rsidRPr="00602FFF">
        <w:rPr>
          <w:rFonts w:hint="cs"/>
          <w:i/>
          <w:iCs/>
          <w:spacing w:val="0"/>
          <w:kern w:val="0"/>
          <w:sz w:val="26"/>
          <w:szCs w:val="26"/>
          <w:rtl/>
        </w:rPr>
        <w:t>ديميتريفتتش ضد صربيا والجبل الأسود</w:t>
      </w:r>
      <w:r w:rsidRPr="00602FFF">
        <w:rPr>
          <w:rFonts w:hint="cs"/>
          <w:spacing w:val="0"/>
          <w:kern w:val="0"/>
          <w:sz w:val="26"/>
          <w:szCs w:val="26"/>
          <w:rtl/>
        </w:rPr>
        <w:t>، القرار المعتمد في24 تشرين الثاني/نوفمبر 2004، الفقرة 5-5.</w:t>
      </w:r>
    </w:p>
  </w:footnote>
  <w:footnote w:id="407">
    <w:p w:rsidR="00D64D4C" w:rsidRPr="00602FFF" w:rsidRDefault="00D64D4C" w:rsidP="00CA5735">
      <w:pPr>
        <w:pStyle w:val="FootnoteText"/>
        <w:tabs>
          <w:tab w:val="left" w:pos="1239"/>
        </w:tabs>
        <w:spacing w:after="60" w:line="300" w:lineRule="exact"/>
        <w:ind w:left="1239" w:right="1247" w:hanging="532"/>
        <w:jc w:val="lowKashida"/>
        <w:rPr>
          <w:rFonts w:hint="cs"/>
          <w:spacing w:val="-2"/>
          <w:kern w:val="0"/>
          <w:sz w:val="26"/>
          <w:szCs w:val="26"/>
        </w:rPr>
      </w:pPr>
      <w:r w:rsidRPr="00602FFF">
        <w:rPr>
          <w:rFonts w:hint="cs"/>
          <w:spacing w:val="-2"/>
          <w:kern w:val="0"/>
          <w:sz w:val="26"/>
          <w:szCs w:val="26"/>
          <w:rtl/>
        </w:rPr>
        <w:t>(د د)</w:t>
      </w:r>
      <w:r w:rsidRPr="00602FFF">
        <w:rPr>
          <w:rFonts w:hint="cs"/>
          <w:spacing w:val="-2"/>
          <w:kern w:val="0"/>
          <w:sz w:val="26"/>
          <w:szCs w:val="26"/>
          <w:rtl/>
        </w:rPr>
        <w:tab/>
        <w:t>انظر البلاغ رقم 341/2008، حنفي ضد الجزائر، القرار المعتمد في 3 حزيران/يونيه 2011، الفقرة 9-8.</w:t>
      </w:r>
    </w:p>
  </w:footnote>
  <w:footnote w:id="408">
    <w:p w:rsidR="00D64D4C" w:rsidRPr="0078289E" w:rsidRDefault="00D64D4C" w:rsidP="00EA66E5">
      <w:pPr>
        <w:pStyle w:val="FootnoteText"/>
        <w:numPr>
          <w:ilvl w:val="0"/>
          <w:numId w:val="47"/>
        </w:numPr>
        <w:tabs>
          <w:tab w:val="clear" w:pos="7904"/>
          <w:tab w:val="left" w:pos="1239"/>
        </w:tabs>
        <w:spacing w:after="60" w:line="300" w:lineRule="exact"/>
        <w:ind w:left="1248" w:right="1247" w:hanging="227"/>
        <w:jc w:val="lowKashida"/>
        <w:rPr>
          <w:sz w:val="18"/>
          <w:szCs w:val="26"/>
        </w:rPr>
      </w:pPr>
      <w:r w:rsidRPr="00D4719A">
        <w:rPr>
          <w:rFonts w:hint="cs"/>
          <w:spacing w:val="-4"/>
          <w:sz w:val="26"/>
          <w:szCs w:val="26"/>
          <w:rtl/>
        </w:rPr>
        <w:t>قام جميع أصحاب الشكوى بتوكيل المحامية للدفاع عنهم أثناء وجودهم في كازاخستان.</w:t>
      </w:r>
      <w:r w:rsidRPr="0078289E">
        <w:rPr>
          <w:rFonts w:hint="cs"/>
          <w:sz w:val="18"/>
          <w:szCs w:val="26"/>
          <w:rtl/>
        </w:rPr>
        <w:t xml:space="preserve"> </w:t>
      </w:r>
    </w:p>
  </w:footnote>
  <w:footnote w:id="409">
    <w:p w:rsidR="00D64D4C" w:rsidRPr="0078289E" w:rsidRDefault="00D64D4C" w:rsidP="00EA66E5">
      <w:pPr>
        <w:pStyle w:val="FootnoteText"/>
        <w:numPr>
          <w:ilvl w:val="0"/>
          <w:numId w:val="47"/>
        </w:numPr>
        <w:tabs>
          <w:tab w:val="clear" w:pos="7904"/>
          <w:tab w:val="left" w:pos="1239"/>
        </w:tabs>
        <w:spacing w:after="60" w:line="300" w:lineRule="exact"/>
        <w:ind w:left="1248" w:right="1247" w:hanging="227"/>
        <w:jc w:val="lowKashida"/>
        <w:rPr>
          <w:sz w:val="18"/>
          <w:szCs w:val="26"/>
        </w:rPr>
      </w:pPr>
      <w:r w:rsidRPr="00F5088E">
        <w:rPr>
          <w:sz w:val="18"/>
          <w:szCs w:val="26"/>
        </w:rPr>
        <w:t>CCPR/CO/83/UZB</w:t>
      </w:r>
      <w:r w:rsidRPr="008B149E">
        <w:rPr>
          <w:spacing w:val="-4"/>
          <w:sz w:val="26"/>
          <w:szCs w:val="26"/>
          <w:rtl/>
        </w:rPr>
        <w:t>، الفقرة 22 و</w:t>
      </w:r>
      <w:r w:rsidRPr="00F5088E">
        <w:rPr>
          <w:sz w:val="18"/>
          <w:szCs w:val="26"/>
        </w:rPr>
        <w:t>CCPR/C/UZB/CO/3</w:t>
      </w:r>
      <w:r w:rsidRPr="008B149E">
        <w:rPr>
          <w:spacing w:val="-4"/>
          <w:sz w:val="26"/>
          <w:szCs w:val="26"/>
          <w:rtl/>
        </w:rPr>
        <w:t>، الفقرة 19.</w:t>
      </w:r>
    </w:p>
  </w:footnote>
  <w:footnote w:id="410">
    <w:p w:rsidR="00D64D4C" w:rsidRPr="0035623A" w:rsidRDefault="00D64D4C" w:rsidP="00171FB4">
      <w:pPr>
        <w:pStyle w:val="FootnoteText"/>
        <w:numPr>
          <w:ilvl w:val="0"/>
          <w:numId w:val="47"/>
        </w:numPr>
        <w:tabs>
          <w:tab w:val="clear" w:pos="7904"/>
          <w:tab w:val="left" w:pos="1239"/>
        </w:tabs>
        <w:spacing w:after="60" w:line="300" w:lineRule="exact"/>
        <w:ind w:left="1248" w:right="1247" w:hanging="227"/>
        <w:jc w:val="lowKashida"/>
        <w:rPr>
          <w:spacing w:val="-2"/>
          <w:sz w:val="18"/>
          <w:szCs w:val="26"/>
        </w:rPr>
      </w:pPr>
      <w:r w:rsidRPr="008B149E">
        <w:rPr>
          <w:spacing w:val="-4"/>
          <w:sz w:val="26"/>
          <w:szCs w:val="26"/>
          <w:rtl/>
        </w:rPr>
        <w:t>تقرير مرصد حقوق الإنسان، اختلاق أعداء للدولة - الاضطهاد الديني في أوزبكستان (2004)، متاح</w:t>
      </w:r>
      <w:r w:rsidRPr="008B149E">
        <w:rPr>
          <w:rFonts w:hint="cs"/>
          <w:spacing w:val="-4"/>
          <w:sz w:val="26"/>
          <w:szCs w:val="26"/>
          <w:rtl/>
        </w:rPr>
        <w:t xml:space="preserve"> </w:t>
      </w:r>
      <w:r w:rsidRPr="008B149E">
        <w:rPr>
          <w:spacing w:val="-4"/>
          <w:sz w:val="26"/>
          <w:szCs w:val="26"/>
          <w:rtl/>
        </w:rPr>
        <w:t>على الإنترنت في العنوان التالي</w:t>
      </w:r>
      <w:r w:rsidRPr="0035623A">
        <w:rPr>
          <w:rFonts w:hint="cs"/>
          <w:spacing w:val="-2"/>
          <w:sz w:val="18"/>
          <w:szCs w:val="26"/>
          <w:rtl/>
        </w:rPr>
        <w:t xml:space="preserve"> </w:t>
      </w:r>
      <w:r w:rsidRPr="0035623A">
        <w:rPr>
          <w:spacing w:val="-2"/>
          <w:sz w:val="18"/>
          <w:szCs w:val="26"/>
          <w:rtl/>
        </w:rPr>
        <w:t>:</w:t>
      </w:r>
      <w:r w:rsidRPr="0035623A">
        <w:rPr>
          <w:spacing w:val="-2"/>
          <w:sz w:val="18"/>
          <w:szCs w:val="26"/>
        </w:rPr>
        <w:t>http://www.hrw.org/en/reports/2004/03/29/creating-enemies-state-0</w:t>
      </w:r>
      <w:r w:rsidRPr="0035623A">
        <w:rPr>
          <w:spacing w:val="-2"/>
          <w:sz w:val="18"/>
          <w:szCs w:val="26"/>
          <w:rtl/>
        </w:rPr>
        <w:t>.</w:t>
      </w:r>
    </w:p>
  </w:footnote>
  <w:footnote w:id="411">
    <w:p w:rsidR="00D64D4C" w:rsidRPr="0078289E" w:rsidRDefault="00D64D4C" w:rsidP="00EA66E5">
      <w:pPr>
        <w:pStyle w:val="FootnoteText"/>
        <w:numPr>
          <w:ilvl w:val="0"/>
          <w:numId w:val="47"/>
        </w:numPr>
        <w:tabs>
          <w:tab w:val="clear" w:pos="7904"/>
          <w:tab w:val="left" w:pos="1239"/>
        </w:tabs>
        <w:spacing w:after="60" w:line="300" w:lineRule="exact"/>
        <w:ind w:left="1248" w:right="1247" w:hanging="227"/>
        <w:jc w:val="lowKashida"/>
        <w:rPr>
          <w:sz w:val="18"/>
          <w:szCs w:val="26"/>
        </w:rPr>
      </w:pPr>
      <w:r w:rsidRPr="0078289E">
        <w:rPr>
          <w:sz w:val="18"/>
          <w:szCs w:val="26"/>
        </w:rPr>
        <w:t>CCPR/C/UZB/CO/3</w:t>
      </w:r>
      <w:r w:rsidRPr="008B149E">
        <w:rPr>
          <w:spacing w:val="-4"/>
          <w:sz w:val="26"/>
          <w:szCs w:val="26"/>
          <w:rtl/>
        </w:rPr>
        <w:t>، الفقرة 11</w:t>
      </w:r>
      <w:r w:rsidRPr="0078289E">
        <w:rPr>
          <w:sz w:val="18"/>
          <w:szCs w:val="26"/>
          <w:rtl/>
        </w:rPr>
        <w:t>.</w:t>
      </w:r>
    </w:p>
  </w:footnote>
  <w:footnote w:id="412">
    <w:p w:rsidR="00D64D4C" w:rsidRPr="00EB70BE" w:rsidRDefault="00D64D4C" w:rsidP="00EB70BE">
      <w:pPr>
        <w:pStyle w:val="FootnoteText"/>
        <w:tabs>
          <w:tab w:val="left" w:pos="1239"/>
        </w:tabs>
        <w:spacing w:after="60" w:line="300" w:lineRule="exact"/>
        <w:ind w:left="1239" w:right="1247" w:hanging="462"/>
        <w:jc w:val="lowKashida"/>
        <w:rPr>
          <w:spacing w:val="0"/>
          <w:kern w:val="0"/>
          <w:sz w:val="18"/>
          <w:szCs w:val="26"/>
        </w:rPr>
      </w:pPr>
      <w:r w:rsidRPr="00EB70BE">
        <w:rPr>
          <w:rFonts w:hint="cs"/>
          <w:spacing w:val="0"/>
          <w:kern w:val="0"/>
          <w:sz w:val="26"/>
          <w:szCs w:val="26"/>
          <w:rtl/>
        </w:rPr>
        <w:t>(ﻫ)</w:t>
      </w:r>
      <w:r w:rsidRPr="00EB70BE">
        <w:rPr>
          <w:rFonts w:hint="cs"/>
          <w:spacing w:val="0"/>
          <w:kern w:val="0"/>
          <w:sz w:val="26"/>
          <w:szCs w:val="26"/>
          <w:rtl/>
        </w:rPr>
        <w:tab/>
      </w:r>
      <w:r w:rsidRPr="00EB70BE">
        <w:rPr>
          <w:spacing w:val="0"/>
          <w:kern w:val="0"/>
          <w:sz w:val="26"/>
          <w:szCs w:val="26"/>
          <w:rtl/>
        </w:rPr>
        <w:t>ليس واضحاً من ملاحظات الدولة الطرف ما إذا كانت تتناول فقط 19 من أصحاب الشكوى (ليس من الواضح أيهم) أو إذا كانت تتناول 28 من أصحاب الشكوى، وفي هذه الحالة ليس واضحاً ما حدث لصاحب الشكوى المتبقي.</w:t>
      </w:r>
    </w:p>
  </w:footnote>
  <w:footnote w:id="413">
    <w:p w:rsidR="00D64D4C" w:rsidRPr="00EB70BE" w:rsidRDefault="00D64D4C" w:rsidP="00EB70BE">
      <w:pPr>
        <w:pStyle w:val="FootnoteText"/>
        <w:tabs>
          <w:tab w:val="left" w:pos="1239"/>
        </w:tabs>
        <w:spacing w:after="60" w:line="300" w:lineRule="exact"/>
        <w:ind w:left="1211" w:right="1247" w:hanging="448"/>
        <w:jc w:val="lowKashida"/>
        <w:rPr>
          <w:rFonts w:hint="cs"/>
          <w:spacing w:val="0"/>
          <w:kern w:val="0"/>
          <w:sz w:val="18"/>
          <w:szCs w:val="26"/>
        </w:rPr>
      </w:pPr>
      <w:r w:rsidRPr="00EB70BE">
        <w:rPr>
          <w:rFonts w:hint="cs"/>
          <w:spacing w:val="0"/>
          <w:kern w:val="0"/>
          <w:sz w:val="26"/>
          <w:szCs w:val="26"/>
          <w:rtl/>
        </w:rPr>
        <w:t>(و)</w:t>
      </w:r>
      <w:r w:rsidRPr="00EB70BE">
        <w:rPr>
          <w:rFonts w:hint="cs"/>
          <w:spacing w:val="0"/>
          <w:kern w:val="0"/>
          <w:sz w:val="26"/>
          <w:szCs w:val="26"/>
          <w:rtl/>
        </w:rPr>
        <w:tab/>
        <w:t xml:space="preserve">في هذا السياق، </w:t>
      </w:r>
      <w:r w:rsidRPr="00EB70BE">
        <w:rPr>
          <w:spacing w:val="0"/>
          <w:kern w:val="0"/>
          <w:sz w:val="26"/>
          <w:szCs w:val="26"/>
          <w:rtl/>
        </w:rPr>
        <w:t>تشير المحامية إلى الفقرة 19 من الملاحظات الختا</w:t>
      </w:r>
      <w:r w:rsidRPr="00EB70BE">
        <w:rPr>
          <w:rFonts w:hint="cs"/>
          <w:spacing w:val="0"/>
          <w:kern w:val="0"/>
          <w:sz w:val="26"/>
          <w:szCs w:val="26"/>
          <w:rtl/>
        </w:rPr>
        <w:t>م</w:t>
      </w:r>
      <w:r w:rsidRPr="00EB70BE">
        <w:rPr>
          <w:spacing w:val="0"/>
          <w:kern w:val="0"/>
          <w:sz w:val="26"/>
          <w:szCs w:val="26"/>
          <w:rtl/>
        </w:rPr>
        <w:t xml:space="preserve">ية للجنة المعنية بحقوق الإنسان فيما يتعلق بفحص التقرير الأولي لكازاخستان في تموز/يوليه 2011 </w:t>
      </w:r>
      <w:r w:rsidRPr="00EB70BE">
        <w:rPr>
          <w:spacing w:val="0"/>
          <w:kern w:val="0"/>
          <w:sz w:val="18"/>
          <w:szCs w:val="26"/>
        </w:rPr>
        <w:t>(CCPR/C/KAZ/CO/1)</w:t>
      </w:r>
      <w:r w:rsidRPr="00EB70BE">
        <w:rPr>
          <w:rFonts w:hint="cs"/>
          <w:spacing w:val="0"/>
          <w:kern w:val="0"/>
          <w:sz w:val="18"/>
          <w:szCs w:val="26"/>
          <w:rtl/>
        </w:rPr>
        <w:t xml:space="preserve"> </w:t>
      </w:r>
      <w:r w:rsidRPr="00EB70BE">
        <w:rPr>
          <w:rFonts w:hint="cs"/>
          <w:spacing w:val="0"/>
          <w:kern w:val="0"/>
          <w:sz w:val="26"/>
          <w:szCs w:val="26"/>
          <w:rtl/>
        </w:rPr>
        <w:t>التي ت</w:t>
      </w:r>
      <w:r w:rsidRPr="00EB70BE">
        <w:rPr>
          <w:spacing w:val="0"/>
          <w:kern w:val="0"/>
          <w:sz w:val="26"/>
          <w:szCs w:val="26"/>
          <w:rtl/>
        </w:rPr>
        <w:t>لاحظ مع القلق</w:t>
      </w:r>
      <w:r w:rsidRPr="00EB70BE">
        <w:rPr>
          <w:rFonts w:hint="cs"/>
          <w:spacing w:val="0"/>
          <w:kern w:val="0"/>
          <w:sz w:val="26"/>
          <w:szCs w:val="26"/>
          <w:rtl/>
        </w:rPr>
        <w:t xml:space="preserve"> أنه</w:t>
      </w:r>
      <w:r>
        <w:rPr>
          <w:rFonts w:hint="eastAsia"/>
          <w:spacing w:val="0"/>
          <w:kern w:val="0"/>
          <w:sz w:val="26"/>
          <w:szCs w:val="26"/>
          <w:rtl/>
        </w:rPr>
        <w:t> </w:t>
      </w:r>
      <w:r w:rsidRPr="00EB70BE">
        <w:rPr>
          <w:rFonts w:hint="cs"/>
          <w:spacing w:val="0"/>
          <w:kern w:val="0"/>
          <w:sz w:val="26"/>
          <w:szCs w:val="26"/>
          <w:rtl/>
        </w:rPr>
        <w:t>على ال</w:t>
      </w:r>
      <w:r w:rsidRPr="00EB70BE">
        <w:rPr>
          <w:spacing w:val="0"/>
          <w:kern w:val="0"/>
          <w:sz w:val="26"/>
          <w:szCs w:val="26"/>
          <w:rtl/>
        </w:rPr>
        <w:t xml:space="preserve">رغم </w:t>
      </w:r>
      <w:r w:rsidRPr="00EB70BE">
        <w:rPr>
          <w:rFonts w:hint="cs"/>
          <w:spacing w:val="0"/>
          <w:kern w:val="0"/>
          <w:sz w:val="26"/>
          <w:szCs w:val="26"/>
          <w:rtl/>
        </w:rPr>
        <w:t xml:space="preserve">من </w:t>
      </w:r>
      <w:r w:rsidRPr="00EB70BE">
        <w:rPr>
          <w:spacing w:val="0"/>
          <w:kern w:val="0"/>
          <w:sz w:val="26"/>
          <w:szCs w:val="26"/>
          <w:rtl/>
        </w:rPr>
        <w:t xml:space="preserve">سن تشريعات جديدة بشأن اللاجئين، </w:t>
      </w:r>
      <w:r w:rsidRPr="00EB70BE">
        <w:rPr>
          <w:rFonts w:hint="cs"/>
          <w:spacing w:val="0"/>
          <w:kern w:val="0"/>
          <w:sz w:val="26"/>
          <w:szCs w:val="26"/>
          <w:rtl/>
        </w:rPr>
        <w:t xml:space="preserve">فإن تطبيقها </w:t>
      </w:r>
      <w:r w:rsidRPr="00EB70BE">
        <w:rPr>
          <w:spacing w:val="0"/>
          <w:kern w:val="0"/>
          <w:sz w:val="26"/>
          <w:szCs w:val="26"/>
          <w:rtl/>
        </w:rPr>
        <w:t>لا</w:t>
      </w:r>
      <w:r w:rsidRPr="00EB70BE">
        <w:rPr>
          <w:rFonts w:hint="cs"/>
          <w:spacing w:val="0"/>
          <w:kern w:val="0"/>
          <w:sz w:val="26"/>
          <w:szCs w:val="26"/>
          <w:rtl/>
        </w:rPr>
        <w:t xml:space="preserve"> </w:t>
      </w:r>
      <w:r w:rsidRPr="00EB70BE">
        <w:rPr>
          <w:spacing w:val="0"/>
          <w:kern w:val="0"/>
          <w:sz w:val="26"/>
          <w:szCs w:val="26"/>
          <w:rtl/>
        </w:rPr>
        <w:t>يضمن الحقوق المحمية بموجب</w:t>
      </w:r>
      <w:r>
        <w:rPr>
          <w:rFonts w:hint="cs"/>
          <w:spacing w:val="0"/>
          <w:kern w:val="0"/>
          <w:sz w:val="26"/>
          <w:szCs w:val="26"/>
          <w:rtl/>
        </w:rPr>
        <w:t> </w:t>
      </w:r>
      <w:r w:rsidRPr="00EB70BE">
        <w:rPr>
          <w:spacing w:val="0"/>
          <w:kern w:val="0"/>
          <w:sz w:val="26"/>
          <w:szCs w:val="26"/>
          <w:rtl/>
        </w:rPr>
        <w:t>العهد، وأن الأفراد، وبخاصة مواطنو أوزبكستان</w:t>
      </w:r>
      <w:r w:rsidRPr="00EB70BE">
        <w:rPr>
          <w:rFonts w:hint="cs"/>
          <w:spacing w:val="0"/>
          <w:kern w:val="0"/>
          <w:sz w:val="26"/>
          <w:szCs w:val="26"/>
          <w:rtl/>
        </w:rPr>
        <w:t xml:space="preserve"> [...]</w:t>
      </w:r>
      <w:r w:rsidRPr="00EB70BE">
        <w:rPr>
          <w:spacing w:val="0"/>
          <w:kern w:val="0"/>
          <w:sz w:val="26"/>
          <w:szCs w:val="26"/>
          <w:rtl/>
        </w:rPr>
        <w:t>، لا يتمتعون بأي حماية بموجب مبدأ عدم الرد. وتشير المحامية أيضاً إلى تقرير قدمته عدة منظمات غير حكومية من كازاخستان في حزيران/</w:t>
      </w:r>
      <w:r>
        <w:rPr>
          <w:rFonts w:hint="cs"/>
          <w:spacing w:val="0"/>
          <w:kern w:val="0"/>
          <w:sz w:val="26"/>
          <w:szCs w:val="26"/>
          <w:rtl/>
        </w:rPr>
        <w:t xml:space="preserve"> </w:t>
      </w:r>
      <w:r w:rsidRPr="00EB70BE">
        <w:rPr>
          <w:spacing w:val="0"/>
          <w:kern w:val="0"/>
          <w:sz w:val="26"/>
          <w:szCs w:val="26"/>
          <w:rtl/>
        </w:rPr>
        <w:t>يونيه</w:t>
      </w:r>
      <w:r>
        <w:rPr>
          <w:rFonts w:hint="cs"/>
          <w:spacing w:val="0"/>
          <w:kern w:val="0"/>
          <w:sz w:val="26"/>
          <w:szCs w:val="26"/>
          <w:rtl/>
        </w:rPr>
        <w:t> </w:t>
      </w:r>
      <w:r w:rsidRPr="00EB70BE">
        <w:rPr>
          <w:spacing w:val="0"/>
          <w:kern w:val="0"/>
          <w:sz w:val="26"/>
          <w:szCs w:val="26"/>
          <w:rtl/>
        </w:rPr>
        <w:t>2011 تعبر فيه عن شواغل مماثلة وتشير صراحة إلى حالة أصحاب الشكوى في هذه القضية (التقرير</w:t>
      </w:r>
      <w:r>
        <w:rPr>
          <w:rFonts w:hint="cs"/>
          <w:spacing w:val="0"/>
          <w:kern w:val="0"/>
          <w:sz w:val="26"/>
          <w:szCs w:val="26"/>
          <w:rtl/>
        </w:rPr>
        <w:t> </w:t>
      </w:r>
      <w:r w:rsidRPr="00EB70BE">
        <w:rPr>
          <w:spacing w:val="0"/>
          <w:kern w:val="0"/>
          <w:sz w:val="26"/>
          <w:szCs w:val="26"/>
          <w:rtl/>
        </w:rPr>
        <w:t>المشترك الذي قدمته المنظمات غير الحكومية في كازاخستان إلى اللجنة المعنية بحقوق الإنسان،</w:t>
      </w:r>
      <w:r w:rsidRPr="00EB70BE">
        <w:rPr>
          <w:rFonts w:hint="cs"/>
          <w:spacing w:val="0"/>
          <w:kern w:val="0"/>
          <w:sz w:val="18"/>
          <w:szCs w:val="26"/>
          <w:rtl/>
        </w:rPr>
        <w:t xml:space="preserve"> </w:t>
      </w:r>
      <w:r w:rsidRPr="00EB70BE">
        <w:rPr>
          <w:spacing w:val="0"/>
          <w:kern w:val="0"/>
          <w:sz w:val="18"/>
          <w:szCs w:val="26"/>
        </w:rPr>
        <w:t>http://www2.ohchr.org/english/bodies/hrc/docs/ngos/Almaty_report_HRC102.pdf</w:t>
      </w:r>
      <w:r w:rsidRPr="00EB70BE">
        <w:rPr>
          <w:spacing w:val="0"/>
          <w:kern w:val="0"/>
          <w:sz w:val="18"/>
          <w:szCs w:val="26"/>
          <w:rtl/>
        </w:rPr>
        <w:t>).</w:t>
      </w:r>
    </w:p>
  </w:footnote>
  <w:footnote w:id="414">
    <w:p w:rsidR="00D64D4C" w:rsidRPr="00BF76DD" w:rsidRDefault="00D64D4C" w:rsidP="00EB70BE">
      <w:pPr>
        <w:pStyle w:val="FootnoteText"/>
        <w:tabs>
          <w:tab w:val="left" w:pos="1239"/>
        </w:tabs>
        <w:spacing w:after="60" w:line="300" w:lineRule="exact"/>
        <w:ind w:left="1239" w:right="1247" w:hanging="392"/>
        <w:jc w:val="lowKashida"/>
        <w:rPr>
          <w:spacing w:val="-4"/>
          <w:sz w:val="26"/>
          <w:szCs w:val="26"/>
        </w:rPr>
      </w:pPr>
      <w:r w:rsidRPr="00EB70BE">
        <w:rPr>
          <w:rFonts w:hint="cs"/>
          <w:spacing w:val="0"/>
          <w:kern w:val="0"/>
          <w:sz w:val="26"/>
          <w:szCs w:val="26"/>
          <w:rtl/>
        </w:rPr>
        <w:t>(</w:t>
      </w:r>
      <w:r>
        <w:rPr>
          <w:rFonts w:hint="cs"/>
          <w:spacing w:val="0"/>
          <w:kern w:val="0"/>
          <w:sz w:val="26"/>
          <w:szCs w:val="26"/>
          <w:rtl/>
        </w:rPr>
        <w:t>ز</w:t>
      </w:r>
      <w:r w:rsidRPr="00EB70BE">
        <w:rPr>
          <w:rFonts w:hint="cs"/>
          <w:spacing w:val="0"/>
          <w:kern w:val="0"/>
          <w:sz w:val="26"/>
          <w:szCs w:val="26"/>
          <w:rtl/>
        </w:rPr>
        <w:t>)</w:t>
      </w:r>
      <w:r w:rsidRPr="00EB70BE">
        <w:rPr>
          <w:rFonts w:hint="cs"/>
          <w:spacing w:val="0"/>
          <w:kern w:val="0"/>
          <w:sz w:val="26"/>
          <w:szCs w:val="26"/>
          <w:rtl/>
        </w:rPr>
        <w:tab/>
      </w:r>
      <w:r w:rsidRPr="00BF76DD">
        <w:rPr>
          <w:spacing w:val="-4"/>
          <w:sz w:val="26"/>
          <w:szCs w:val="26"/>
          <w:rtl/>
        </w:rPr>
        <w:t>تشير المحامية إلى تقرير أعده الاتحاد الدولي لحقوق الإنسان في تشرين الأول/أكتوبر 2009: "كازاخستان/قيرغيزستان: استغلال العمال المهاجرين، ورفض حماية طالبي اللجوء واللاجئين". وأخيراً، أوضحت المحامية أن المنظمات غير الحكومية في كازاخستان تنتقد دور المفوضية على أنه مشاركة في تحديد مركز اللاجئ في الدولة العضو (اتحاد المنظمات غير الحكومية ضد التعذيب في كازاخستان، تقرير عام</w:t>
      </w:r>
      <w:r w:rsidRPr="00BF76DD">
        <w:rPr>
          <w:rFonts w:hint="cs"/>
          <w:spacing w:val="-4"/>
          <w:sz w:val="26"/>
          <w:szCs w:val="26"/>
          <w:rtl/>
        </w:rPr>
        <w:t> </w:t>
      </w:r>
      <w:r w:rsidRPr="00BF76DD">
        <w:rPr>
          <w:spacing w:val="-4"/>
          <w:sz w:val="26"/>
          <w:szCs w:val="26"/>
          <w:rtl/>
        </w:rPr>
        <w:t>2010، الصفحة 11،</w:t>
      </w:r>
      <w:r>
        <w:rPr>
          <w:sz w:val="18"/>
          <w:szCs w:val="26"/>
          <w:rtl/>
        </w:rPr>
        <w:t xml:space="preserve"> </w:t>
      </w:r>
      <w:r w:rsidRPr="0078289E">
        <w:rPr>
          <w:sz w:val="18"/>
          <w:szCs w:val="26"/>
        </w:rPr>
        <w:t>(http://www.bureau.kz/news/download/175.pdf</w:t>
      </w:r>
      <w:r>
        <w:rPr>
          <w:sz w:val="18"/>
          <w:szCs w:val="26"/>
          <w:rtl/>
        </w:rPr>
        <w:t xml:space="preserve"> </w:t>
      </w:r>
      <w:r w:rsidRPr="00BF76DD">
        <w:rPr>
          <w:spacing w:val="-4"/>
          <w:sz w:val="26"/>
          <w:szCs w:val="26"/>
          <w:rtl/>
        </w:rPr>
        <w:t>وتلاحظ أن اللجنة المعنية بحقوق الإنسان أعربت عن شواغل مماثلة في ملاحظاتها الختامية بشأن كازاخستان في تموز/يوليه 2011.</w:t>
      </w:r>
    </w:p>
  </w:footnote>
  <w:footnote w:id="415">
    <w:p w:rsidR="00D64D4C" w:rsidRPr="0078289E" w:rsidRDefault="00D64D4C" w:rsidP="00EB70BE">
      <w:pPr>
        <w:pStyle w:val="FootnoteText"/>
        <w:tabs>
          <w:tab w:val="left" w:pos="1239"/>
        </w:tabs>
        <w:spacing w:after="60" w:line="300" w:lineRule="exact"/>
        <w:ind w:left="1239" w:right="1247" w:hanging="392"/>
        <w:jc w:val="lowKashida"/>
        <w:rPr>
          <w:sz w:val="18"/>
          <w:szCs w:val="26"/>
        </w:rPr>
      </w:pPr>
      <w:r w:rsidRPr="00EB70BE">
        <w:rPr>
          <w:rFonts w:hint="cs"/>
          <w:spacing w:val="0"/>
          <w:kern w:val="0"/>
          <w:sz w:val="26"/>
          <w:szCs w:val="26"/>
          <w:rtl/>
        </w:rPr>
        <w:t>(</w:t>
      </w:r>
      <w:r>
        <w:rPr>
          <w:rFonts w:hint="cs"/>
          <w:spacing w:val="0"/>
          <w:kern w:val="0"/>
          <w:sz w:val="26"/>
          <w:szCs w:val="26"/>
          <w:rtl/>
        </w:rPr>
        <w:t>ح</w:t>
      </w:r>
      <w:r w:rsidRPr="00EB70BE">
        <w:rPr>
          <w:rFonts w:hint="cs"/>
          <w:spacing w:val="0"/>
          <w:kern w:val="0"/>
          <w:sz w:val="26"/>
          <w:szCs w:val="26"/>
          <w:rtl/>
        </w:rPr>
        <w:t>)</w:t>
      </w:r>
      <w:r w:rsidRPr="00EB70BE">
        <w:rPr>
          <w:rFonts w:hint="cs"/>
          <w:spacing w:val="0"/>
          <w:kern w:val="0"/>
          <w:sz w:val="26"/>
          <w:szCs w:val="26"/>
          <w:rtl/>
        </w:rPr>
        <w:tab/>
      </w:r>
      <w:r w:rsidRPr="00BF76DD">
        <w:rPr>
          <w:rFonts w:hint="cs"/>
          <w:spacing w:val="-4"/>
          <w:sz w:val="26"/>
          <w:szCs w:val="26"/>
          <w:rtl/>
        </w:rPr>
        <w:t>تشير المحامية</w:t>
      </w:r>
      <w:r w:rsidRPr="00BF76DD">
        <w:rPr>
          <w:spacing w:val="-4"/>
          <w:sz w:val="26"/>
          <w:szCs w:val="26"/>
          <w:rtl/>
        </w:rPr>
        <w:t xml:space="preserve"> إلى</w:t>
      </w:r>
      <w:r w:rsidRPr="00BF76DD">
        <w:rPr>
          <w:rFonts w:hint="cs"/>
          <w:spacing w:val="-4"/>
          <w:sz w:val="26"/>
          <w:szCs w:val="26"/>
          <w:rtl/>
        </w:rPr>
        <w:t xml:space="preserve"> </w:t>
      </w:r>
      <w:r w:rsidRPr="00BF76DD">
        <w:rPr>
          <w:spacing w:val="-4"/>
          <w:sz w:val="26"/>
          <w:szCs w:val="26"/>
          <w:rtl/>
        </w:rPr>
        <w:t>الملاحظات الختا</w:t>
      </w:r>
      <w:r w:rsidRPr="00BF76DD">
        <w:rPr>
          <w:rFonts w:hint="cs"/>
          <w:spacing w:val="-4"/>
          <w:sz w:val="26"/>
          <w:szCs w:val="26"/>
          <w:rtl/>
        </w:rPr>
        <w:t>م</w:t>
      </w:r>
      <w:r w:rsidRPr="00BF76DD">
        <w:rPr>
          <w:spacing w:val="-4"/>
          <w:sz w:val="26"/>
          <w:szCs w:val="26"/>
          <w:rtl/>
        </w:rPr>
        <w:t xml:space="preserve">ية الصادرة عن لجنة مناهضة التعذيب فيما يتعلق </w:t>
      </w:r>
      <w:r w:rsidRPr="00BF76DD">
        <w:rPr>
          <w:rFonts w:hint="cs"/>
          <w:spacing w:val="-4"/>
          <w:sz w:val="26"/>
          <w:szCs w:val="26"/>
          <w:rtl/>
        </w:rPr>
        <w:t>ب</w:t>
      </w:r>
      <w:r w:rsidRPr="00BF76DD">
        <w:rPr>
          <w:spacing w:val="-4"/>
          <w:sz w:val="26"/>
          <w:szCs w:val="26"/>
          <w:rtl/>
        </w:rPr>
        <w:t>كازاخستان</w:t>
      </w:r>
      <w:r w:rsidRPr="00116422">
        <w:rPr>
          <w:sz w:val="18"/>
          <w:szCs w:val="26"/>
          <w:rtl/>
        </w:rPr>
        <w:t xml:space="preserve"> </w:t>
      </w:r>
      <w:r w:rsidRPr="00116422">
        <w:rPr>
          <w:sz w:val="18"/>
          <w:szCs w:val="26"/>
        </w:rPr>
        <w:t>CAT/C/UZB/CO/3</w:t>
      </w:r>
      <w:r w:rsidRPr="00BF76DD">
        <w:rPr>
          <w:spacing w:val="-4"/>
          <w:sz w:val="26"/>
          <w:szCs w:val="26"/>
          <w:rtl/>
        </w:rPr>
        <w:t>، والملاحظات الختا</w:t>
      </w:r>
      <w:r w:rsidRPr="00BF76DD">
        <w:rPr>
          <w:rFonts w:hint="cs"/>
          <w:spacing w:val="-4"/>
          <w:sz w:val="26"/>
          <w:szCs w:val="26"/>
          <w:rtl/>
        </w:rPr>
        <w:t>م</w:t>
      </w:r>
      <w:r w:rsidRPr="00BF76DD">
        <w:rPr>
          <w:spacing w:val="-4"/>
          <w:sz w:val="26"/>
          <w:szCs w:val="26"/>
          <w:rtl/>
        </w:rPr>
        <w:t>ية الصادرة عن اللجنة المعنية بحقوق الإنسان،</w:t>
      </w:r>
      <w:r w:rsidRPr="00116422">
        <w:rPr>
          <w:sz w:val="18"/>
          <w:szCs w:val="26"/>
          <w:rtl/>
        </w:rPr>
        <w:t xml:space="preserve"> </w:t>
      </w:r>
      <w:r w:rsidRPr="00116422">
        <w:rPr>
          <w:sz w:val="18"/>
          <w:szCs w:val="26"/>
        </w:rPr>
        <w:t>CCPR/CO/83/UZB</w:t>
      </w:r>
      <w:r w:rsidRPr="00BF76DD">
        <w:rPr>
          <w:spacing w:val="-4"/>
          <w:sz w:val="26"/>
          <w:szCs w:val="26"/>
          <w:rtl/>
        </w:rPr>
        <w:t>، وإلى تقرير أعده المقرر الخاص المعني بمسألة التعذيب</w:t>
      </w:r>
      <w:r w:rsidRPr="00116422">
        <w:rPr>
          <w:sz w:val="18"/>
          <w:szCs w:val="26"/>
          <w:rtl/>
        </w:rPr>
        <w:t xml:space="preserve"> (</w:t>
      </w:r>
      <w:r w:rsidRPr="00116422">
        <w:rPr>
          <w:sz w:val="18"/>
          <w:szCs w:val="26"/>
        </w:rPr>
        <w:t>A/HRC/13/39/Add.6</w:t>
      </w:r>
      <w:r w:rsidRPr="00116422">
        <w:rPr>
          <w:sz w:val="18"/>
          <w:szCs w:val="26"/>
          <w:rtl/>
        </w:rPr>
        <w:t>)</w:t>
      </w:r>
      <w:r w:rsidRPr="00BF76DD">
        <w:rPr>
          <w:spacing w:val="-4"/>
          <w:sz w:val="26"/>
          <w:szCs w:val="26"/>
          <w:rtl/>
        </w:rPr>
        <w:t>، وكذلك تقارير علنية تتعلق بأوزبكستان أعدتها الجماعة المسيحية للعمل على إلغاء التعذيب</w:t>
      </w:r>
      <w:r w:rsidRPr="00BF76DD">
        <w:rPr>
          <w:rFonts w:hint="cs"/>
          <w:spacing w:val="-4"/>
          <w:sz w:val="26"/>
          <w:szCs w:val="26"/>
          <w:rtl/>
        </w:rPr>
        <w:t xml:space="preserve"> </w:t>
      </w:r>
      <w:r w:rsidRPr="00BF76DD">
        <w:rPr>
          <w:spacing w:val="-4"/>
          <w:sz w:val="26"/>
          <w:szCs w:val="26"/>
          <w:rtl/>
        </w:rPr>
        <w:t>-</w:t>
      </w:r>
      <w:r w:rsidRPr="00BF76DD">
        <w:rPr>
          <w:rFonts w:hint="cs"/>
          <w:spacing w:val="-4"/>
          <w:sz w:val="26"/>
          <w:szCs w:val="26"/>
          <w:rtl/>
        </w:rPr>
        <w:t xml:space="preserve"> </w:t>
      </w:r>
      <w:r w:rsidRPr="00BF76DD">
        <w:rPr>
          <w:spacing w:val="-4"/>
          <w:sz w:val="26"/>
          <w:szCs w:val="26"/>
          <w:rtl/>
        </w:rPr>
        <w:t>فرنسا، ومنظمة العفو الدولية، ومرصد حقوق الإنسان، والمنظمات غير الحكومية في أوزبكستان.</w:t>
      </w:r>
    </w:p>
  </w:footnote>
  <w:footnote w:id="416">
    <w:p w:rsidR="00D64D4C" w:rsidRPr="0078289E" w:rsidRDefault="00D64D4C" w:rsidP="007C1D2D">
      <w:pPr>
        <w:pStyle w:val="FootnoteText"/>
        <w:tabs>
          <w:tab w:val="left" w:pos="1239"/>
        </w:tabs>
        <w:spacing w:after="60" w:line="300" w:lineRule="exact"/>
        <w:ind w:left="1211" w:right="1247" w:hanging="476"/>
        <w:jc w:val="lowKashida"/>
        <w:rPr>
          <w:sz w:val="18"/>
          <w:szCs w:val="26"/>
        </w:rPr>
      </w:pPr>
      <w:r w:rsidRPr="00EB70BE">
        <w:rPr>
          <w:rFonts w:hint="cs"/>
          <w:spacing w:val="0"/>
          <w:kern w:val="0"/>
          <w:sz w:val="26"/>
          <w:szCs w:val="26"/>
          <w:rtl/>
        </w:rPr>
        <w:t>(</w:t>
      </w:r>
      <w:r>
        <w:rPr>
          <w:rFonts w:hint="cs"/>
          <w:spacing w:val="0"/>
          <w:kern w:val="0"/>
          <w:sz w:val="26"/>
          <w:szCs w:val="26"/>
          <w:rtl/>
        </w:rPr>
        <w:t>ط</w:t>
      </w:r>
      <w:r w:rsidRPr="00EB70BE">
        <w:rPr>
          <w:rFonts w:hint="cs"/>
          <w:spacing w:val="0"/>
          <w:kern w:val="0"/>
          <w:sz w:val="26"/>
          <w:szCs w:val="26"/>
          <w:rtl/>
        </w:rPr>
        <w:t>)</w:t>
      </w:r>
      <w:r w:rsidRPr="00EB70BE">
        <w:rPr>
          <w:rFonts w:hint="cs"/>
          <w:spacing w:val="0"/>
          <w:kern w:val="0"/>
          <w:sz w:val="26"/>
          <w:szCs w:val="26"/>
          <w:rtl/>
        </w:rPr>
        <w:tab/>
      </w:r>
      <w:r w:rsidRPr="00BE3695">
        <w:rPr>
          <w:rFonts w:hint="cs"/>
          <w:spacing w:val="-4"/>
          <w:sz w:val="26"/>
          <w:szCs w:val="26"/>
          <w:rtl/>
        </w:rPr>
        <w:t xml:space="preserve">انظر البلاغ رقم 249/2004، </w:t>
      </w:r>
      <w:r w:rsidRPr="007C1D2D">
        <w:rPr>
          <w:rFonts w:hint="cs"/>
          <w:i/>
          <w:iCs/>
          <w:spacing w:val="-4"/>
          <w:sz w:val="26"/>
          <w:szCs w:val="26"/>
          <w:rtl/>
        </w:rPr>
        <w:t>دار ضد النرويج</w:t>
      </w:r>
      <w:r w:rsidRPr="00BE3695">
        <w:rPr>
          <w:rFonts w:hint="cs"/>
          <w:spacing w:val="-4"/>
          <w:sz w:val="26"/>
          <w:szCs w:val="26"/>
          <w:rtl/>
        </w:rPr>
        <w:t xml:space="preserve">، القرار المعتمد في 11 أيار/مايو 2007، الفقرة 16-4. </w:t>
      </w:r>
    </w:p>
  </w:footnote>
  <w:footnote w:id="417">
    <w:p w:rsidR="00D64D4C" w:rsidRPr="0078289E" w:rsidRDefault="00D64D4C" w:rsidP="007C1D2D">
      <w:pPr>
        <w:pStyle w:val="FootnoteText"/>
        <w:tabs>
          <w:tab w:val="left" w:pos="1239"/>
        </w:tabs>
        <w:spacing w:after="60" w:line="300" w:lineRule="exact"/>
        <w:ind w:left="1211" w:right="1247" w:hanging="476"/>
        <w:jc w:val="lowKashida"/>
        <w:rPr>
          <w:sz w:val="18"/>
          <w:szCs w:val="26"/>
        </w:rPr>
      </w:pPr>
      <w:r w:rsidRPr="00EB70BE">
        <w:rPr>
          <w:rFonts w:hint="cs"/>
          <w:spacing w:val="0"/>
          <w:kern w:val="0"/>
          <w:sz w:val="26"/>
          <w:szCs w:val="26"/>
          <w:rtl/>
        </w:rPr>
        <w:t>(</w:t>
      </w:r>
      <w:r>
        <w:rPr>
          <w:rFonts w:hint="cs"/>
          <w:spacing w:val="0"/>
          <w:kern w:val="0"/>
          <w:sz w:val="26"/>
          <w:szCs w:val="26"/>
          <w:rtl/>
        </w:rPr>
        <w:t>ي</w:t>
      </w:r>
      <w:r w:rsidRPr="00EB70BE">
        <w:rPr>
          <w:rFonts w:hint="cs"/>
          <w:spacing w:val="0"/>
          <w:kern w:val="0"/>
          <w:sz w:val="26"/>
          <w:szCs w:val="26"/>
          <w:rtl/>
        </w:rPr>
        <w:t>)</w:t>
      </w:r>
      <w:r w:rsidRPr="00EB70BE">
        <w:rPr>
          <w:rFonts w:hint="cs"/>
          <w:spacing w:val="0"/>
          <w:kern w:val="0"/>
          <w:sz w:val="26"/>
          <w:szCs w:val="26"/>
          <w:rtl/>
        </w:rPr>
        <w:tab/>
      </w:r>
      <w:r w:rsidRPr="0078289E">
        <w:rPr>
          <w:sz w:val="18"/>
          <w:szCs w:val="26"/>
        </w:rPr>
        <w:t>Human Rights Watch, “Nowhere to turn: torture and ill-treatment in Uzbekistan”, 2007</w:t>
      </w:r>
      <w:r>
        <w:rPr>
          <w:rFonts w:hint="cs"/>
          <w:sz w:val="18"/>
          <w:szCs w:val="26"/>
          <w:rtl/>
        </w:rPr>
        <w:t>.</w:t>
      </w:r>
    </w:p>
  </w:footnote>
  <w:footnote w:id="418">
    <w:p w:rsidR="00D64D4C" w:rsidRPr="0078289E" w:rsidRDefault="00D64D4C" w:rsidP="007C1D2D">
      <w:pPr>
        <w:pStyle w:val="FootnoteText"/>
        <w:tabs>
          <w:tab w:val="left" w:pos="1239"/>
        </w:tabs>
        <w:spacing w:after="60" w:line="300" w:lineRule="exact"/>
        <w:ind w:left="1211" w:right="1247" w:hanging="476"/>
        <w:jc w:val="lowKashida"/>
        <w:rPr>
          <w:sz w:val="18"/>
          <w:szCs w:val="26"/>
        </w:rPr>
      </w:pPr>
      <w:r w:rsidRPr="00EB70BE">
        <w:rPr>
          <w:rFonts w:hint="cs"/>
          <w:spacing w:val="0"/>
          <w:kern w:val="0"/>
          <w:sz w:val="26"/>
          <w:szCs w:val="26"/>
          <w:rtl/>
        </w:rPr>
        <w:t>(</w:t>
      </w:r>
      <w:r>
        <w:rPr>
          <w:rFonts w:hint="cs"/>
          <w:spacing w:val="0"/>
          <w:kern w:val="0"/>
          <w:sz w:val="26"/>
          <w:szCs w:val="26"/>
          <w:rtl/>
        </w:rPr>
        <w:t>ك</w:t>
      </w:r>
      <w:r w:rsidRPr="00EB70BE">
        <w:rPr>
          <w:rFonts w:hint="cs"/>
          <w:spacing w:val="0"/>
          <w:kern w:val="0"/>
          <w:sz w:val="26"/>
          <w:szCs w:val="26"/>
          <w:rtl/>
        </w:rPr>
        <w:t>)</w:t>
      </w:r>
      <w:r w:rsidRPr="00EB70BE">
        <w:rPr>
          <w:rFonts w:hint="cs"/>
          <w:spacing w:val="0"/>
          <w:kern w:val="0"/>
          <w:sz w:val="26"/>
          <w:szCs w:val="26"/>
          <w:rtl/>
        </w:rPr>
        <w:tab/>
      </w:r>
      <w:r w:rsidRPr="00BE3695">
        <w:rPr>
          <w:spacing w:val="-4"/>
          <w:sz w:val="26"/>
          <w:szCs w:val="26"/>
          <w:rtl/>
        </w:rPr>
        <w:t xml:space="preserve">المحكمة الأوروبية لحقوق الإنسان، </w:t>
      </w:r>
      <w:r w:rsidRPr="007C1D2D">
        <w:rPr>
          <w:i/>
          <w:iCs/>
          <w:spacing w:val="-4"/>
          <w:sz w:val="26"/>
          <w:szCs w:val="26"/>
          <w:rtl/>
        </w:rPr>
        <w:t>إسماعيلوف وآخرون ضد روسيا</w:t>
      </w:r>
      <w:r w:rsidRPr="00BE3695">
        <w:rPr>
          <w:spacing w:val="-4"/>
          <w:sz w:val="26"/>
          <w:szCs w:val="26"/>
          <w:rtl/>
        </w:rPr>
        <w:t>، الطلب رقم 30352/03</w:t>
      </w:r>
      <w:r w:rsidRPr="00BE3695">
        <w:rPr>
          <w:rFonts w:hint="cs"/>
          <w:spacing w:val="-4"/>
          <w:sz w:val="26"/>
          <w:szCs w:val="26"/>
          <w:rtl/>
        </w:rPr>
        <w:t>،</w:t>
      </w:r>
      <w:r w:rsidRPr="00BE3695">
        <w:rPr>
          <w:spacing w:val="-4"/>
          <w:sz w:val="26"/>
          <w:szCs w:val="26"/>
          <w:rtl/>
        </w:rPr>
        <w:t xml:space="preserve"> 6 تشرين الثاني/نوفمبر 2008</w:t>
      </w:r>
      <w:r w:rsidRPr="00BE3695">
        <w:rPr>
          <w:rFonts w:hint="cs"/>
          <w:spacing w:val="-4"/>
          <w:sz w:val="26"/>
          <w:szCs w:val="26"/>
          <w:rtl/>
        </w:rPr>
        <w:t xml:space="preserve">؛ </w:t>
      </w:r>
      <w:r w:rsidRPr="007C1D2D">
        <w:rPr>
          <w:rFonts w:hint="cs"/>
          <w:i/>
          <w:iCs/>
          <w:spacing w:val="-4"/>
          <w:sz w:val="26"/>
          <w:szCs w:val="26"/>
          <w:rtl/>
        </w:rPr>
        <w:t>وسلطانوف ضد روسيا</w:t>
      </w:r>
      <w:r w:rsidRPr="00BE3695">
        <w:rPr>
          <w:rFonts w:hint="cs"/>
          <w:spacing w:val="-4"/>
          <w:sz w:val="26"/>
          <w:szCs w:val="26"/>
          <w:rtl/>
        </w:rPr>
        <w:t>، الطلب رقم 15303/09، 4 تشرين الثاني/نوفمبر 2010.</w:t>
      </w:r>
    </w:p>
  </w:footnote>
  <w:footnote w:id="419">
    <w:p w:rsidR="00D64D4C" w:rsidRPr="00BE3695" w:rsidRDefault="00D64D4C" w:rsidP="00B0061F">
      <w:pPr>
        <w:pStyle w:val="FootnoteText"/>
        <w:tabs>
          <w:tab w:val="left" w:pos="1239"/>
        </w:tabs>
        <w:spacing w:after="60" w:line="300" w:lineRule="exact"/>
        <w:ind w:left="1211" w:right="1247" w:hanging="434"/>
        <w:jc w:val="lowKashida"/>
        <w:rPr>
          <w:spacing w:val="-4"/>
          <w:sz w:val="26"/>
          <w:szCs w:val="26"/>
        </w:rPr>
      </w:pPr>
      <w:r w:rsidRPr="00EB70BE">
        <w:rPr>
          <w:rFonts w:hint="cs"/>
          <w:spacing w:val="0"/>
          <w:kern w:val="0"/>
          <w:sz w:val="26"/>
          <w:szCs w:val="26"/>
          <w:rtl/>
        </w:rPr>
        <w:t>(</w:t>
      </w:r>
      <w:r>
        <w:rPr>
          <w:rFonts w:hint="cs"/>
          <w:spacing w:val="0"/>
          <w:kern w:val="0"/>
          <w:sz w:val="26"/>
          <w:szCs w:val="26"/>
          <w:rtl/>
        </w:rPr>
        <w:t>ل</w:t>
      </w:r>
      <w:r w:rsidRPr="00EB70BE">
        <w:rPr>
          <w:rFonts w:hint="cs"/>
          <w:spacing w:val="0"/>
          <w:kern w:val="0"/>
          <w:sz w:val="26"/>
          <w:szCs w:val="26"/>
          <w:rtl/>
        </w:rPr>
        <w:t>)</w:t>
      </w:r>
      <w:r w:rsidRPr="00EB70BE">
        <w:rPr>
          <w:rFonts w:hint="cs"/>
          <w:spacing w:val="0"/>
          <w:kern w:val="0"/>
          <w:sz w:val="26"/>
          <w:szCs w:val="26"/>
          <w:rtl/>
        </w:rPr>
        <w:tab/>
      </w:r>
      <w:r w:rsidRPr="00BE3695">
        <w:rPr>
          <w:spacing w:val="-4"/>
          <w:sz w:val="26"/>
          <w:szCs w:val="26"/>
          <w:rtl/>
        </w:rPr>
        <w:t xml:space="preserve">المحكمة الأوروبية لحقوق الإنسان، </w:t>
      </w:r>
      <w:r w:rsidRPr="00AB7E73">
        <w:rPr>
          <w:rFonts w:hint="cs"/>
          <w:i/>
          <w:iCs/>
          <w:spacing w:val="-4"/>
          <w:sz w:val="26"/>
          <w:szCs w:val="26"/>
          <w:rtl/>
        </w:rPr>
        <w:t>إرغاتشيف</w:t>
      </w:r>
      <w:r w:rsidRPr="00AB7E73">
        <w:rPr>
          <w:i/>
          <w:iCs/>
          <w:spacing w:val="-4"/>
          <w:sz w:val="26"/>
          <w:szCs w:val="26"/>
          <w:rtl/>
        </w:rPr>
        <w:t xml:space="preserve"> ضد روسيا</w:t>
      </w:r>
      <w:r w:rsidRPr="00BE3695">
        <w:rPr>
          <w:spacing w:val="-4"/>
          <w:sz w:val="26"/>
          <w:szCs w:val="26"/>
          <w:rtl/>
        </w:rPr>
        <w:t xml:space="preserve">، الطلب رقم </w:t>
      </w:r>
      <w:r w:rsidRPr="00BE3695">
        <w:rPr>
          <w:rFonts w:hint="cs"/>
          <w:spacing w:val="-4"/>
          <w:sz w:val="26"/>
          <w:szCs w:val="26"/>
          <w:rtl/>
        </w:rPr>
        <w:t>12106/09،</w:t>
      </w:r>
      <w:r w:rsidRPr="00BE3695">
        <w:rPr>
          <w:spacing w:val="-4"/>
          <w:sz w:val="26"/>
          <w:szCs w:val="26"/>
          <w:rtl/>
        </w:rPr>
        <w:t xml:space="preserve"> </w:t>
      </w:r>
      <w:r w:rsidRPr="00BE3695">
        <w:rPr>
          <w:rFonts w:hint="cs"/>
          <w:spacing w:val="-4"/>
          <w:sz w:val="26"/>
          <w:szCs w:val="26"/>
          <w:rtl/>
        </w:rPr>
        <w:t>20 كانون الأول/ ديسمبر 2011، الفقرة 114.</w:t>
      </w:r>
    </w:p>
  </w:footnote>
  <w:footnote w:id="420">
    <w:p w:rsidR="00D64D4C" w:rsidRPr="0078289E" w:rsidRDefault="00D64D4C" w:rsidP="00B0061F">
      <w:pPr>
        <w:pStyle w:val="FootnoteText"/>
        <w:tabs>
          <w:tab w:val="left" w:pos="1239"/>
        </w:tabs>
        <w:spacing w:after="60" w:line="300" w:lineRule="exact"/>
        <w:ind w:left="1211" w:right="1247" w:hanging="434"/>
        <w:jc w:val="lowKashida"/>
        <w:rPr>
          <w:sz w:val="18"/>
          <w:szCs w:val="26"/>
        </w:rPr>
      </w:pPr>
      <w:r w:rsidRPr="00EB70BE">
        <w:rPr>
          <w:rFonts w:hint="cs"/>
          <w:spacing w:val="0"/>
          <w:kern w:val="0"/>
          <w:sz w:val="26"/>
          <w:szCs w:val="26"/>
          <w:rtl/>
        </w:rPr>
        <w:t>(</w:t>
      </w:r>
      <w:r>
        <w:rPr>
          <w:rFonts w:hint="cs"/>
          <w:spacing w:val="0"/>
          <w:kern w:val="0"/>
          <w:sz w:val="26"/>
          <w:szCs w:val="26"/>
          <w:rtl/>
        </w:rPr>
        <w:t>م</w:t>
      </w:r>
      <w:r w:rsidRPr="00EB70BE">
        <w:rPr>
          <w:rFonts w:hint="cs"/>
          <w:spacing w:val="0"/>
          <w:kern w:val="0"/>
          <w:sz w:val="26"/>
          <w:szCs w:val="26"/>
          <w:rtl/>
        </w:rPr>
        <w:t>)</w:t>
      </w:r>
      <w:r w:rsidRPr="00EB70BE">
        <w:rPr>
          <w:rFonts w:hint="cs"/>
          <w:spacing w:val="0"/>
          <w:kern w:val="0"/>
          <w:sz w:val="26"/>
          <w:szCs w:val="26"/>
          <w:rtl/>
        </w:rPr>
        <w:tab/>
      </w:r>
      <w:r w:rsidRPr="00450A62">
        <w:rPr>
          <w:rFonts w:hint="cs"/>
          <w:spacing w:val="-4"/>
          <w:sz w:val="26"/>
          <w:szCs w:val="26"/>
          <w:rtl/>
        </w:rPr>
        <w:t>كانت منظمة رصد حقوق الإنسان المنظمة غير الحكومية الدولية الأخيرة العاملة في أوزبكستان، وألغت الحكومة مكتبها في حزيران/يونيه 2011.</w:t>
      </w:r>
      <w:r>
        <w:rPr>
          <w:rFonts w:hint="cs"/>
          <w:sz w:val="18"/>
          <w:szCs w:val="26"/>
          <w:rtl/>
        </w:rPr>
        <w:t xml:space="preserve"> </w:t>
      </w:r>
    </w:p>
  </w:footnote>
  <w:footnote w:id="421">
    <w:p w:rsidR="00D64D4C" w:rsidRPr="00B0061F" w:rsidRDefault="00D64D4C" w:rsidP="00B0061F">
      <w:pPr>
        <w:pStyle w:val="FootnoteText"/>
        <w:tabs>
          <w:tab w:val="left" w:pos="1239"/>
        </w:tabs>
        <w:spacing w:after="60" w:line="260" w:lineRule="exact"/>
        <w:ind w:left="1213" w:right="1247" w:hanging="448"/>
        <w:jc w:val="lowKashida"/>
        <w:rPr>
          <w:rFonts w:hint="cs"/>
          <w:spacing w:val="-2"/>
          <w:kern w:val="0"/>
          <w:sz w:val="18"/>
          <w:szCs w:val="26"/>
          <w:rtl/>
        </w:rPr>
      </w:pPr>
      <w:r w:rsidRPr="00B0061F">
        <w:rPr>
          <w:rFonts w:hint="cs"/>
          <w:spacing w:val="-2"/>
          <w:kern w:val="0"/>
          <w:sz w:val="26"/>
          <w:szCs w:val="26"/>
          <w:rtl/>
        </w:rPr>
        <w:t>(</w:t>
      </w:r>
      <w:r>
        <w:rPr>
          <w:rFonts w:hint="cs"/>
          <w:spacing w:val="-2"/>
          <w:kern w:val="0"/>
          <w:sz w:val="26"/>
          <w:szCs w:val="26"/>
          <w:rtl/>
        </w:rPr>
        <w:t>ن</w:t>
      </w:r>
      <w:r w:rsidRPr="00B0061F">
        <w:rPr>
          <w:rFonts w:hint="cs"/>
          <w:spacing w:val="-2"/>
          <w:kern w:val="0"/>
          <w:sz w:val="26"/>
          <w:szCs w:val="26"/>
          <w:rtl/>
        </w:rPr>
        <w:t>)</w:t>
      </w:r>
      <w:r w:rsidRPr="00B0061F">
        <w:rPr>
          <w:rFonts w:hint="cs"/>
          <w:spacing w:val="-2"/>
          <w:kern w:val="0"/>
          <w:sz w:val="26"/>
          <w:szCs w:val="26"/>
          <w:rtl/>
        </w:rPr>
        <w:tab/>
      </w:r>
      <w:r w:rsidRPr="00B0061F">
        <w:rPr>
          <w:spacing w:val="-2"/>
          <w:kern w:val="0"/>
          <w:sz w:val="18"/>
          <w:szCs w:val="26"/>
        </w:rPr>
        <w:t>Ozodlik, 18 August 2011, Ўзбекистонга экстрадиция қилинган қочқинлар устидан ҳукм ўқилди (in Uzbek) ; http://www.ozodlik.org/content/article/24301128.html; Radio Free Europe, 23 August 2011, Uzbeks Extradited From Kazakhstan Stand Trial For Extremism (in English) http://www.rferl.org/content/extradited_uzbeks_tried_for_extremism/24305622.html; Radio Ozodlik, 30 September 2011, Ўзбекистонга қайтарилган уч қочқинга ҳукм ўқилди (in Uzbek), http://www.ozodlik.org/content/article/24344491.html</w:t>
      </w:r>
      <w:r w:rsidRPr="00B0061F">
        <w:rPr>
          <w:rFonts w:hint="cs"/>
          <w:spacing w:val="-2"/>
          <w:kern w:val="0"/>
          <w:sz w:val="18"/>
          <w:szCs w:val="26"/>
          <w:rtl/>
        </w:rPr>
        <w:t>.</w:t>
      </w:r>
    </w:p>
  </w:footnote>
  <w:footnote w:id="422">
    <w:p w:rsidR="00D64D4C" w:rsidRPr="00450A62" w:rsidRDefault="00D64D4C" w:rsidP="00B0061F">
      <w:pPr>
        <w:pStyle w:val="FootnoteText"/>
        <w:tabs>
          <w:tab w:val="left" w:pos="1239"/>
        </w:tabs>
        <w:spacing w:after="60" w:line="300" w:lineRule="exact"/>
        <w:ind w:left="1211" w:right="1247" w:hanging="448"/>
        <w:jc w:val="lowKashida"/>
        <w:rPr>
          <w:rFonts w:hint="cs"/>
          <w:spacing w:val="-4"/>
          <w:sz w:val="26"/>
          <w:szCs w:val="26"/>
        </w:rPr>
      </w:pPr>
      <w:r w:rsidRPr="00EB70BE">
        <w:rPr>
          <w:rFonts w:hint="cs"/>
          <w:spacing w:val="0"/>
          <w:kern w:val="0"/>
          <w:sz w:val="26"/>
          <w:szCs w:val="26"/>
          <w:rtl/>
        </w:rPr>
        <w:t>(</w:t>
      </w:r>
      <w:r>
        <w:rPr>
          <w:rFonts w:hint="cs"/>
          <w:spacing w:val="0"/>
          <w:kern w:val="0"/>
          <w:sz w:val="26"/>
          <w:szCs w:val="26"/>
          <w:rtl/>
        </w:rPr>
        <w:t>س</w:t>
      </w:r>
      <w:r w:rsidRPr="00EB70BE">
        <w:rPr>
          <w:rFonts w:hint="cs"/>
          <w:spacing w:val="0"/>
          <w:kern w:val="0"/>
          <w:sz w:val="26"/>
          <w:szCs w:val="26"/>
          <w:rtl/>
        </w:rPr>
        <w:t>)</w:t>
      </w:r>
      <w:r w:rsidRPr="00EB70BE">
        <w:rPr>
          <w:rFonts w:hint="cs"/>
          <w:spacing w:val="0"/>
          <w:kern w:val="0"/>
          <w:sz w:val="26"/>
          <w:szCs w:val="26"/>
          <w:rtl/>
        </w:rPr>
        <w:tab/>
      </w:r>
      <w:r w:rsidRPr="00450A62">
        <w:rPr>
          <w:rFonts w:hint="cs"/>
          <w:spacing w:val="-4"/>
          <w:sz w:val="26"/>
          <w:szCs w:val="26"/>
          <w:rtl/>
        </w:rPr>
        <w:t xml:space="preserve">انظر البلاغ رقم 319/2007، </w:t>
      </w:r>
      <w:r w:rsidRPr="00B0061F">
        <w:rPr>
          <w:rFonts w:hint="cs"/>
          <w:i/>
          <w:iCs/>
          <w:spacing w:val="-4"/>
          <w:sz w:val="26"/>
          <w:szCs w:val="26"/>
          <w:rtl/>
        </w:rPr>
        <w:t>سينغ ضد كندا</w:t>
      </w:r>
      <w:r w:rsidRPr="00450A62">
        <w:rPr>
          <w:rFonts w:hint="cs"/>
          <w:spacing w:val="-4"/>
          <w:sz w:val="26"/>
          <w:szCs w:val="26"/>
          <w:rtl/>
        </w:rPr>
        <w:t xml:space="preserve">، القرار المعتمد في 30 أيار/مايو 2011، الفقرة 8. </w:t>
      </w:r>
    </w:p>
  </w:footnote>
  <w:footnote w:id="423">
    <w:p w:rsidR="00D64D4C" w:rsidRPr="00450A62" w:rsidRDefault="00D64D4C" w:rsidP="006748CB">
      <w:pPr>
        <w:pStyle w:val="FootnoteText"/>
        <w:tabs>
          <w:tab w:val="left" w:pos="1239"/>
        </w:tabs>
        <w:spacing w:after="60" w:line="300" w:lineRule="exact"/>
        <w:ind w:left="1211" w:right="1247" w:hanging="448"/>
        <w:jc w:val="lowKashida"/>
        <w:rPr>
          <w:spacing w:val="-4"/>
          <w:sz w:val="26"/>
          <w:szCs w:val="26"/>
        </w:rPr>
      </w:pPr>
      <w:r w:rsidRPr="00EB70BE">
        <w:rPr>
          <w:rFonts w:hint="cs"/>
          <w:spacing w:val="0"/>
          <w:kern w:val="0"/>
          <w:sz w:val="26"/>
          <w:szCs w:val="26"/>
          <w:rtl/>
        </w:rPr>
        <w:t>(</w:t>
      </w:r>
      <w:r>
        <w:rPr>
          <w:rFonts w:hint="cs"/>
          <w:spacing w:val="0"/>
          <w:kern w:val="0"/>
          <w:sz w:val="26"/>
          <w:szCs w:val="26"/>
          <w:rtl/>
        </w:rPr>
        <w:t>ع</w:t>
      </w:r>
      <w:r w:rsidRPr="00EB70BE">
        <w:rPr>
          <w:rFonts w:hint="cs"/>
          <w:spacing w:val="0"/>
          <w:kern w:val="0"/>
          <w:sz w:val="26"/>
          <w:szCs w:val="26"/>
          <w:rtl/>
        </w:rPr>
        <w:t>)</w:t>
      </w:r>
      <w:r w:rsidRPr="00EB70BE">
        <w:rPr>
          <w:rFonts w:hint="cs"/>
          <w:spacing w:val="0"/>
          <w:kern w:val="0"/>
          <w:sz w:val="26"/>
          <w:szCs w:val="26"/>
          <w:rtl/>
        </w:rPr>
        <w:tab/>
      </w:r>
      <w:r w:rsidRPr="00450A62">
        <w:rPr>
          <w:rFonts w:hint="cs"/>
          <w:spacing w:val="-4"/>
          <w:sz w:val="26"/>
          <w:szCs w:val="26"/>
          <w:rtl/>
        </w:rPr>
        <w:t>تقرير المقرر الخاص المعني بتعزيز وحماية حقوق الإنسان والحقوق الأساسية في سياق مكافحة الإرهاب: عشرة مجالات للممارسات الفضلى في مكافحة الإرهاب</w:t>
      </w:r>
      <w:r w:rsidRPr="0078289E">
        <w:rPr>
          <w:rFonts w:hint="cs"/>
          <w:sz w:val="18"/>
          <w:szCs w:val="26"/>
          <w:rtl/>
        </w:rPr>
        <w:t xml:space="preserve"> </w:t>
      </w:r>
      <w:r>
        <w:rPr>
          <w:rFonts w:hint="cs"/>
          <w:sz w:val="18"/>
          <w:szCs w:val="26"/>
          <w:rtl/>
        </w:rPr>
        <w:t>(</w:t>
      </w:r>
      <w:r w:rsidRPr="0078289E">
        <w:rPr>
          <w:sz w:val="18"/>
          <w:szCs w:val="26"/>
        </w:rPr>
        <w:t>A/HRC/16/51</w:t>
      </w:r>
      <w:r>
        <w:rPr>
          <w:rFonts w:hint="cs"/>
          <w:spacing w:val="-4"/>
          <w:sz w:val="26"/>
          <w:szCs w:val="26"/>
          <w:rtl/>
        </w:rPr>
        <w:t>)</w:t>
      </w:r>
      <w:r w:rsidRPr="00450A62">
        <w:rPr>
          <w:rFonts w:hint="cs"/>
          <w:spacing w:val="-4"/>
          <w:sz w:val="26"/>
          <w:szCs w:val="26"/>
          <w:rtl/>
        </w:rPr>
        <w:t>، المبدأ 1.</w:t>
      </w:r>
    </w:p>
  </w:footnote>
  <w:footnote w:id="424">
    <w:p w:rsidR="00D64D4C" w:rsidRPr="00450A62" w:rsidRDefault="00D64D4C" w:rsidP="00B0061F">
      <w:pPr>
        <w:pStyle w:val="FootnoteText"/>
        <w:tabs>
          <w:tab w:val="left" w:pos="1239"/>
        </w:tabs>
        <w:spacing w:after="60" w:line="300" w:lineRule="exact"/>
        <w:ind w:left="1211" w:right="1247" w:hanging="448"/>
        <w:jc w:val="lowKashida"/>
        <w:rPr>
          <w:spacing w:val="-4"/>
          <w:sz w:val="26"/>
          <w:szCs w:val="26"/>
        </w:rPr>
      </w:pPr>
      <w:r w:rsidRPr="00EB70BE">
        <w:rPr>
          <w:rFonts w:hint="cs"/>
          <w:spacing w:val="0"/>
          <w:kern w:val="0"/>
          <w:sz w:val="26"/>
          <w:szCs w:val="26"/>
          <w:rtl/>
        </w:rPr>
        <w:t>(</w:t>
      </w:r>
      <w:r>
        <w:rPr>
          <w:rFonts w:hint="cs"/>
          <w:spacing w:val="0"/>
          <w:kern w:val="0"/>
          <w:sz w:val="26"/>
          <w:szCs w:val="26"/>
          <w:rtl/>
        </w:rPr>
        <w:t>ف</w:t>
      </w:r>
      <w:r w:rsidRPr="00EB70BE">
        <w:rPr>
          <w:rFonts w:hint="cs"/>
          <w:spacing w:val="0"/>
          <w:kern w:val="0"/>
          <w:sz w:val="26"/>
          <w:szCs w:val="26"/>
          <w:rtl/>
        </w:rPr>
        <w:t>)</w:t>
      </w:r>
      <w:r w:rsidRPr="00EB70BE">
        <w:rPr>
          <w:rFonts w:hint="cs"/>
          <w:spacing w:val="0"/>
          <w:kern w:val="0"/>
          <w:sz w:val="26"/>
          <w:szCs w:val="26"/>
          <w:rtl/>
        </w:rPr>
        <w:tab/>
      </w:r>
      <w:r w:rsidRPr="00450A62">
        <w:rPr>
          <w:rFonts w:hint="cs"/>
          <w:spacing w:val="-4"/>
          <w:sz w:val="26"/>
          <w:szCs w:val="26"/>
          <w:rtl/>
        </w:rPr>
        <w:t>قرار الجمعية العامة 60/147.</w:t>
      </w:r>
    </w:p>
  </w:footnote>
  <w:footnote w:id="425">
    <w:p w:rsidR="00D64D4C" w:rsidRPr="00450A62" w:rsidRDefault="00D64D4C" w:rsidP="00B0061F">
      <w:pPr>
        <w:pStyle w:val="FootnoteText"/>
        <w:tabs>
          <w:tab w:val="left" w:pos="1239"/>
        </w:tabs>
        <w:spacing w:after="60" w:line="300" w:lineRule="exact"/>
        <w:ind w:left="1211" w:right="1247" w:hanging="448"/>
        <w:jc w:val="lowKashida"/>
        <w:rPr>
          <w:spacing w:val="-4"/>
          <w:sz w:val="26"/>
          <w:szCs w:val="26"/>
        </w:rPr>
      </w:pPr>
      <w:r w:rsidRPr="00EB70BE">
        <w:rPr>
          <w:rFonts w:hint="cs"/>
          <w:spacing w:val="0"/>
          <w:kern w:val="0"/>
          <w:sz w:val="26"/>
          <w:szCs w:val="26"/>
          <w:rtl/>
        </w:rPr>
        <w:t>(</w:t>
      </w:r>
      <w:r>
        <w:rPr>
          <w:rFonts w:hint="cs"/>
          <w:spacing w:val="0"/>
          <w:kern w:val="0"/>
          <w:sz w:val="26"/>
          <w:szCs w:val="26"/>
          <w:rtl/>
        </w:rPr>
        <w:t>ص</w:t>
      </w:r>
      <w:r w:rsidRPr="00EB70BE">
        <w:rPr>
          <w:rFonts w:hint="cs"/>
          <w:spacing w:val="0"/>
          <w:kern w:val="0"/>
          <w:sz w:val="26"/>
          <w:szCs w:val="26"/>
          <w:rtl/>
        </w:rPr>
        <w:t>)</w:t>
      </w:r>
      <w:r w:rsidRPr="00EB70BE">
        <w:rPr>
          <w:rFonts w:hint="cs"/>
          <w:spacing w:val="0"/>
          <w:kern w:val="0"/>
          <w:sz w:val="26"/>
          <w:szCs w:val="26"/>
          <w:rtl/>
        </w:rPr>
        <w:tab/>
      </w:r>
      <w:r w:rsidRPr="00450A62">
        <w:rPr>
          <w:rFonts w:hint="cs"/>
          <w:spacing w:val="-4"/>
          <w:sz w:val="26"/>
          <w:szCs w:val="26"/>
          <w:rtl/>
        </w:rPr>
        <w:t xml:space="preserve">انظر البلاغ رقم 249/2004، </w:t>
      </w:r>
      <w:r w:rsidRPr="00B0061F">
        <w:rPr>
          <w:rFonts w:hint="cs"/>
          <w:i/>
          <w:iCs/>
          <w:spacing w:val="-4"/>
          <w:sz w:val="26"/>
          <w:szCs w:val="26"/>
          <w:rtl/>
        </w:rPr>
        <w:t>دار ضد النرويج</w:t>
      </w:r>
      <w:r w:rsidRPr="00450A62">
        <w:rPr>
          <w:rFonts w:hint="cs"/>
          <w:spacing w:val="-4"/>
          <w:sz w:val="26"/>
          <w:szCs w:val="26"/>
          <w:rtl/>
        </w:rPr>
        <w:t>، القرار المعتمد في 11 أيار/مايو 2007.</w:t>
      </w:r>
    </w:p>
  </w:footnote>
  <w:footnote w:id="426">
    <w:p w:rsidR="00D64D4C" w:rsidRPr="00450A62" w:rsidRDefault="00D64D4C" w:rsidP="00B0061F">
      <w:pPr>
        <w:pStyle w:val="FootnoteText"/>
        <w:tabs>
          <w:tab w:val="left" w:pos="1239"/>
        </w:tabs>
        <w:spacing w:after="60" w:line="300" w:lineRule="exact"/>
        <w:ind w:left="1211" w:right="1247" w:hanging="448"/>
        <w:jc w:val="lowKashida"/>
        <w:rPr>
          <w:spacing w:val="-4"/>
          <w:sz w:val="26"/>
          <w:szCs w:val="26"/>
        </w:rPr>
      </w:pPr>
      <w:r w:rsidRPr="00EB70BE">
        <w:rPr>
          <w:rFonts w:hint="cs"/>
          <w:spacing w:val="0"/>
          <w:kern w:val="0"/>
          <w:sz w:val="26"/>
          <w:szCs w:val="26"/>
          <w:rtl/>
        </w:rPr>
        <w:t>(</w:t>
      </w:r>
      <w:r>
        <w:rPr>
          <w:rFonts w:hint="cs"/>
          <w:spacing w:val="0"/>
          <w:kern w:val="0"/>
          <w:sz w:val="26"/>
          <w:szCs w:val="26"/>
          <w:rtl/>
        </w:rPr>
        <w:t>ق</w:t>
      </w:r>
      <w:r w:rsidRPr="00EB70BE">
        <w:rPr>
          <w:rFonts w:hint="cs"/>
          <w:spacing w:val="0"/>
          <w:kern w:val="0"/>
          <w:sz w:val="26"/>
          <w:szCs w:val="26"/>
          <w:rtl/>
        </w:rPr>
        <w:t>)</w:t>
      </w:r>
      <w:r w:rsidRPr="00EB70BE">
        <w:rPr>
          <w:rFonts w:hint="cs"/>
          <w:spacing w:val="0"/>
          <w:kern w:val="0"/>
          <w:sz w:val="26"/>
          <w:szCs w:val="26"/>
          <w:rtl/>
        </w:rPr>
        <w:tab/>
      </w:r>
      <w:r w:rsidRPr="00450A62">
        <w:rPr>
          <w:rFonts w:hint="cs"/>
          <w:spacing w:val="-4"/>
          <w:sz w:val="26"/>
          <w:szCs w:val="26"/>
          <w:rtl/>
        </w:rPr>
        <w:t xml:space="preserve">انظر البلاغ رقم 327/2007، </w:t>
      </w:r>
      <w:r w:rsidRPr="00B0061F">
        <w:rPr>
          <w:rFonts w:hint="cs"/>
          <w:i/>
          <w:iCs/>
          <w:spacing w:val="-4"/>
          <w:sz w:val="26"/>
          <w:szCs w:val="26"/>
          <w:rtl/>
        </w:rPr>
        <w:t>بويلي ضد كندا</w:t>
      </w:r>
      <w:r w:rsidRPr="00450A62">
        <w:rPr>
          <w:rFonts w:hint="cs"/>
          <w:spacing w:val="-4"/>
          <w:sz w:val="26"/>
          <w:szCs w:val="26"/>
          <w:rtl/>
        </w:rPr>
        <w:t>، القرار المعتمد في 14 تشرين الثاني/نوفمبر 2011، الفقرة 15.</w:t>
      </w:r>
    </w:p>
  </w:footnote>
  <w:footnote w:id="427">
    <w:p w:rsidR="00D64D4C" w:rsidRPr="00450A62" w:rsidRDefault="00D64D4C" w:rsidP="00AB7E73">
      <w:pPr>
        <w:pStyle w:val="FootnoteText"/>
        <w:tabs>
          <w:tab w:val="left" w:pos="1239"/>
        </w:tabs>
        <w:spacing w:after="60" w:line="300" w:lineRule="exact"/>
        <w:ind w:left="1239" w:right="1247" w:hanging="504"/>
        <w:jc w:val="lowKashida"/>
        <w:rPr>
          <w:spacing w:val="-4"/>
          <w:sz w:val="26"/>
          <w:szCs w:val="26"/>
        </w:rPr>
      </w:pPr>
      <w:r w:rsidRPr="00EB70BE">
        <w:rPr>
          <w:rFonts w:hint="cs"/>
          <w:spacing w:val="0"/>
          <w:kern w:val="0"/>
          <w:sz w:val="26"/>
          <w:szCs w:val="26"/>
          <w:rtl/>
        </w:rPr>
        <w:t>(</w:t>
      </w:r>
      <w:r>
        <w:rPr>
          <w:rFonts w:hint="cs"/>
          <w:spacing w:val="0"/>
          <w:kern w:val="0"/>
          <w:sz w:val="26"/>
          <w:szCs w:val="26"/>
          <w:rtl/>
        </w:rPr>
        <w:t>ر</w:t>
      </w:r>
      <w:r w:rsidRPr="00EB70BE">
        <w:rPr>
          <w:rFonts w:hint="cs"/>
          <w:spacing w:val="0"/>
          <w:kern w:val="0"/>
          <w:sz w:val="26"/>
          <w:szCs w:val="26"/>
          <w:rtl/>
        </w:rPr>
        <w:t>)</w:t>
      </w:r>
      <w:r w:rsidRPr="00EB70BE">
        <w:rPr>
          <w:rFonts w:hint="cs"/>
          <w:spacing w:val="0"/>
          <w:kern w:val="0"/>
          <w:sz w:val="26"/>
          <w:szCs w:val="26"/>
          <w:rtl/>
        </w:rPr>
        <w:tab/>
      </w:r>
      <w:r w:rsidRPr="00450A62">
        <w:rPr>
          <w:rFonts w:hint="cs"/>
          <w:spacing w:val="-4"/>
          <w:sz w:val="26"/>
          <w:szCs w:val="26"/>
          <w:rtl/>
        </w:rPr>
        <w:t xml:space="preserve">قدمت الدولة الطرف الأحكام الصادرة من محاكم أول درجة بشأن 11 من أصحاب البلاغ. </w:t>
      </w:r>
    </w:p>
  </w:footnote>
  <w:footnote w:id="428">
    <w:p w:rsidR="00D64D4C" w:rsidRPr="00354E2A" w:rsidRDefault="00D64D4C" w:rsidP="00AB7E73">
      <w:pPr>
        <w:pStyle w:val="FootnoteText"/>
        <w:tabs>
          <w:tab w:val="left" w:pos="1239"/>
        </w:tabs>
        <w:spacing w:after="60" w:line="300" w:lineRule="exact"/>
        <w:ind w:left="1239" w:right="1247" w:hanging="504"/>
        <w:jc w:val="lowKashida"/>
        <w:rPr>
          <w:spacing w:val="-4"/>
          <w:sz w:val="26"/>
          <w:szCs w:val="26"/>
        </w:rPr>
      </w:pPr>
      <w:r w:rsidRPr="00EB70BE">
        <w:rPr>
          <w:rFonts w:hint="cs"/>
          <w:spacing w:val="0"/>
          <w:kern w:val="0"/>
          <w:sz w:val="26"/>
          <w:szCs w:val="26"/>
          <w:rtl/>
        </w:rPr>
        <w:t>(</w:t>
      </w:r>
      <w:r>
        <w:rPr>
          <w:rFonts w:hint="cs"/>
          <w:spacing w:val="0"/>
          <w:kern w:val="0"/>
          <w:sz w:val="26"/>
          <w:szCs w:val="26"/>
          <w:rtl/>
        </w:rPr>
        <w:t>ش</w:t>
      </w:r>
      <w:r w:rsidRPr="00EB70BE">
        <w:rPr>
          <w:rFonts w:hint="cs"/>
          <w:spacing w:val="0"/>
          <w:kern w:val="0"/>
          <w:sz w:val="26"/>
          <w:szCs w:val="26"/>
          <w:rtl/>
        </w:rPr>
        <w:t>)</w:t>
      </w:r>
      <w:r w:rsidRPr="00EB70BE">
        <w:rPr>
          <w:rFonts w:hint="cs"/>
          <w:spacing w:val="0"/>
          <w:kern w:val="0"/>
          <w:sz w:val="26"/>
          <w:szCs w:val="26"/>
          <w:rtl/>
        </w:rPr>
        <w:tab/>
      </w:r>
      <w:r w:rsidRPr="00354E2A">
        <w:rPr>
          <w:rFonts w:hint="cs"/>
          <w:spacing w:val="-4"/>
          <w:sz w:val="26"/>
          <w:szCs w:val="26"/>
          <w:rtl/>
        </w:rPr>
        <w:t>لم تقدم الدولة الطرف معلومات بشأن العقوبات التي تم توقيعها على أصحاب الشكوى اﻟ 23 الباقين.</w:t>
      </w:r>
    </w:p>
  </w:footnote>
  <w:footnote w:id="429">
    <w:p w:rsidR="00D64D4C" w:rsidRPr="00354E2A" w:rsidRDefault="00D64D4C" w:rsidP="00AB7E73">
      <w:pPr>
        <w:pStyle w:val="FootnoteText"/>
        <w:tabs>
          <w:tab w:val="left" w:pos="1239"/>
        </w:tabs>
        <w:spacing w:after="60" w:line="300" w:lineRule="exact"/>
        <w:ind w:left="1239" w:right="1247" w:hanging="504"/>
        <w:jc w:val="lowKashida"/>
        <w:rPr>
          <w:spacing w:val="-4"/>
          <w:sz w:val="26"/>
          <w:szCs w:val="26"/>
        </w:rPr>
      </w:pPr>
      <w:r w:rsidRPr="00EB70BE">
        <w:rPr>
          <w:rFonts w:hint="cs"/>
          <w:spacing w:val="0"/>
          <w:kern w:val="0"/>
          <w:sz w:val="26"/>
          <w:szCs w:val="26"/>
          <w:rtl/>
        </w:rPr>
        <w:t>(</w:t>
      </w:r>
      <w:r>
        <w:rPr>
          <w:rFonts w:hint="cs"/>
          <w:spacing w:val="0"/>
          <w:kern w:val="0"/>
          <w:sz w:val="26"/>
          <w:szCs w:val="26"/>
          <w:rtl/>
        </w:rPr>
        <w:t>ت</w:t>
      </w:r>
      <w:r w:rsidRPr="00EB70BE">
        <w:rPr>
          <w:rFonts w:hint="cs"/>
          <w:spacing w:val="0"/>
          <w:kern w:val="0"/>
          <w:sz w:val="26"/>
          <w:szCs w:val="26"/>
          <w:rtl/>
        </w:rPr>
        <w:t>)</w:t>
      </w:r>
      <w:r w:rsidRPr="00EB70BE">
        <w:rPr>
          <w:rFonts w:hint="cs"/>
          <w:spacing w:val="0"/>
          <w:kern w:val="0"/>
          <w:sz w:val="26"/>
          <w:szCs w:val="26"/>
          <w:rtl/>
        </w:rPr>
        <w:tab/>
      </w:r>
      <w:r w:rsidRPr="00354E2A">
        <w:rPr>
          <w:rFonts w:hint="cs"/>
          <w:spacing w:val="-4"/>
          <w:sz w:val="26"/>
          <w:szCs w:val="26"/>
          <w:rtl/>
        </w:rPr>
        <w:t>لم يذكر اسمه.</w:t>
      </w:r>
    </w:p>
  </w:footnote>
  <w:footnote w:id="430">
    <w:p w:rsidR="00D64D4C" w:rsidRPr="0035623A" w:rsidRDefault="00D64D4C" w:rsidP="00AB7E73">
      <w:pPr>
        <w:pStyle w:val="FootnoteText"/>
        <w:tabs>
          <w:tab w:val="left" w:pos="1239"/>
        </w:tabs>
        <w:spacing w:after="60" w:line="300" w:lineRule="exact"/>
        <w:ind w:left="1239" w:right="1247" w:hanging="518"/>
        <w:jc w:val="lowKashida"/>
        <w:rPr>
          <w:spacing w:val="-4"/>
          <w:sz w:val="18"/>
          <w:szCs w:val="26"/>
        </w:rPr>
      </w:pPr>
      <w:r w:rsidRPr="00EB70BE">
        <w:rPr>
          <w:rFonts w:hint="cs"/>
          <w:spacing w:val="0"/>
          <w:kern w:val="0"/>
          <w:sz w:val="26"/>
          <w:szCs w:val="26"/>
          <w:rtl/>
        </w:rPr>
        <w:t>(</w:t>
      </w:r>
      <w:r>
        <w:rPr>
          <w:rFonts w:hint="cs"/>
          <w:spacing w:val="0"/>
          <w:kern w:val="0"/>
          <w:sz w:val="26"/>
          <w:szCs w:val="26"/>
          <w:rtl/>
        </w:rPr>
        <w:t>ث</w:t>
      </w:r>
      <w:r w:rsidRPr="00EB70BE">
        <w:rPr>
          <w:rFonts w:hint="cs"/>
          <w:spacing w:val="0"/>
          <w:kern w:val="0"/>
          <w:sz w:val="26"/>
          <w:szCs w:val="26"/>
          <w:rtl/>
        </w:rPr>
        <w:t>)</w:t>
      </w:r>
      <w:r w:rsidRPr="00EB70BE">
        <w:rPr>
          <w:rFonts w:hint="cs"/>
          <w:spacing w:val="0"/>
          <w:kern w:val="0"/>
          <w:sz w:val="26"/>
          <w:szCs w:val="26"/>
          <w:rtl/>
        </w:rPr>
        <w:tab/>
      </w:r>
      <w:r w:rsidRPr="0083449A">
        <w:rPr>
          <w:rFonts w:hint="cs"/>
          <w:spacing w:val="-4"/>
          <w:sz w:val="26"/>
          <w:szCs w:val="26"/>
          <w:rtl/>
        </w:rPr>
        <w:t xml:space="preserve">المحكمة الأوروبية لحقوق الإنسان، </w:t>
      </w:r>
      <w:r w:rsidRPr="00B0061F">
        <w:rPr>
          <w:rFonts w:hint="cs"/>
          <w:i/>
          <w:iCs/>
          <w:spacing w:val="-4"/>
          <w:sz w:val="26"/>
          <w:szCs w:val="26"/>
          <w:rtl/>
        </w:rPr>
        <w:t>عثمان ضد المملكة المتحدة</w:t>
      </w:r>
      <w:r w:rsidRPr="0083449A">
        <w:rPr>
          <w:rFonts w:hint="cs"/>
          <w:spacing w:val="-4"/>
          <w:sz w:val="26"/>
          <w:szCs w:val="26"/>
          <w:rtl/>
        </w:rPr>
        <w:t>، الحكم الصادر في 17 كانون الثاني/يناير 2012.</w:t>
      </w:r>
    </w:p>
  </w:footnote>
  <w:footnote w:id="431">
    <w:p w:rsidR="00D64D4C" w:rsidRPr="0078289E" w:rsidRDefault="00D64D4C" w:rsidP="00B0061F">
      <w:pPr>
        <w:pStyle w:val="FootnoteText"/>
        <w:tabs>
          <w:tab w:val="left" w:pos="1239"/>
        </w:tabs>
        <w:spacing w:after="60" w:line="300" w:lineRule="exact"/>
        <w:ind w:left="1239" w:right="1247" w:hanging="462"/>
        <w:jc w:val="lowKashida"/>
        <w:rPr>
          <w:sz w:val="18"/>
          <w:szCs w:val="26"/>
        </w:rPr>
      </w:pPr>
      <w:r w:rsidRPr="00EB70BE">
        <w:rPr>
          <w:rFonts w:hint="cs"/>
          <w:spacing w:val="0"/>
          <w:kern w:val="0"/>
          <w:sz w:val="26"/>
          <w:szCs w:val="26"/>
          <w:rtl/>
        </w:rPr>
        <w:t>(</w:t>
      </w:r>
      <w:r>
        <w:rPr>
          <w:rFonts w:hint="cs"/>
          <w:spacing w:val="0"/>
          <w:kern w:val="0"/>
          <w:sz w:val="26"/>
          <w:szCs w:val="26"/>
          <w:rtl/>
        </w:rPr>
        <w:t>خ</w:t>
      </w:r>
      <w:r w:rsidRPr="00EB70BE">
        <w:rPr>
          <w:rFonts w:hint="cs"/>
          <w:spacing w:val="0"/>
          <w:kern w:val="0"/>
          <w:sz w:val="26"/>
          <w:szCs w:val="26"/>
          <w:rtl/>
        </w:rPr>
        <w:t>)</w:t>
      </w:r>
      <w:r w:rsidRPr="00EB70BE">
        <w:rPr>
          <w:rFonts w:hint="cs"/>
          <w:spacing w:val="0"/>
          <w:kern w:val="0"/>
          <w:sz w:val="26"/>
          <w:szCs w:val="26"/>
          <w:rtl/>
        </w:rPr>
        <w:tab/>
      </w:r>
      <w:r w:rsidRPr="0083449A">
        <w:rPr>
          <w:rFonts w:hint="cs"/>
          <w:spacing w:val="-4"/>
          <w:sz w:val="26"/>
          <w:szCs w:val="26"/>
          <w:rtl/>
        </w:rPr>
        <w:t xml:space="preserve">التعليق العام رقم 1، </w:t>
      </w:r>
      <w:r w:rsidRPr="00B0061F">
        <w:rPr>
          <w:rFonts w:hint="cs"/>
          <w:i/>
          <w:iCs/>
          <w:spacing w:val="-4"/>
          <w:sz w:val="26"/>
          <w:szCs w:val="26"/>
          <w:rtl/>
        </w:rPr>
        <w:t>الوثائق الرسمية للجمعية العامة، الدورة الثالثة والخمسون، الملحق رقم 44</w:t>
      </w:r>
      <w:r w:rsidRPr="009D1B6C">
        <w:rPr>
          <w:rFonts w:hint="cs"/>
          <w:sz w:val="18"/>
          <w:szCs w:val="26"/>
          <w:rtl/>
        </w:rPr>
        <w:t xml:space="preserve"> (</w:t>
      </w:r>
      <w:r w:rsidRPr="009D1B6C">
        <w:rPr>
          <w:sz w:val="18"/>
          <w:szCs w:val="26"/>
        </w:rPr>
        <w:t>A/53/44</w:t>
      </w:r>
      <w:r w:rsidRPr="0083449A">
        <w:rPr>
          <w:rFonts w:hint="cs"/>
          <w:spacing w:val="-4"/>
          <w:sz w:val="26"/>
          <w:szCs w:val="26"/>
          <w:rtl/>
        </w:rPr>
        <w:t xml:space="preserve"> و</w:t>
      </w:r>
      <w:r w:rsidRPr="009D1B6C">
        <w:rPr>
          <w:sz w:val="18"/>
          <w:szCs w:val="26"/>
        </w:rPr>
        <w:t>Corr.1</w:t>
      </w:r>
      <w:r w:rsidRPr="009D1B6C">
        <w:rPr>
          <w:rFonts w:hint="cs"/>
          <w:sz w:val="18"/>
          <w:szCs w:val="26"/>
          <w:rtl/>
        </w:rPr>
        <w:t>)</w:t>
      </w:r>
      <w:r w:rsidRPr="0083449A">
        <w:rPr>
          <w:rFonts w:hint="cs"/>
          <w:spacing w:val="-4"/>
          <w:sz w:val="26"/>
          <w:szCs w:val="26"/>
          <w:rtl/>
        </w:rPr>
        <w:t>،</w:t>
      </w:r>
      <w:r w:rsidRPr="009D1B6C">
        <w:rPr>
          <w:rFonts w:hint="cs"/>
          <w:sz w:val="18"/>
          <w:szCs w:val="26"/>
          <w:rtl/>
        </w:rPr>
        <w:t xml:space="preserve"> </w:t>
      </w:r>
      <w:r w:rsidRPr="0083449A">
        <w:rPr>
          <w:rFonts w:hint="cs"/>
          <w:spacing w:val="-4"/>
          <w:sz w:val="26"/>
          <w:szCs w:val="26"/>
          <w:rtl/>
        </w:rPr>
        <w:t>المرفق التاسع، الفقرة 6.</w:t>
      </w:r>
    </w:p>
  </w:footnote>
  <w:footnote w:id="432">
    <w:p w:rsidR="00D64D4C" w:rsidRPr="0035623A" w:rsidRDefault="00D64D4C" w:rsidP="00B0061F">
      <w:pPr>
        <w:pStyle w:val="FootnoteText"/>
        <w:tabs>
          <w:tab w:val="left" w:pos="1239"/>
        </w:tabs>
        <w:spacing w:after="60" w:line="300" w:lineRule="exact"/>
        <w:ind w:left="1239" w:right="1247" w:hanging="462"/>
        <w:jc w:val="lowKashida"/>
        <w:rPr>
          <w:spacing w:val="-4"/>
          <w:sz w:val="18"/>
          <w:szCs w:val="26"/>
        </w:rPr>
      </w:pPr>
      <w:r w:rsidRPr="00EB70BE">
        <w:rPr>
          <w:rFonts w:hint="cs"/>
          <w:spacing w:val="0"/>
          <w:kern w:val="0"/>
          <w:sz w:val="26"/>
          <w:szCs w:val="26"/>
          <w:rtl/>
        </w:rPr>
        <w:t>(</w:t>
      </w:r>
      <w:r>
        <w:rPr>
          <w:rFonts w:hint="cs"/>
          <w:spacing w:val="0"/>
          <w:kern w:val="0"/>
          <w:sz w:val="26"/>
          <w:szCs w:val="26"/>
          <w:rtl/>
        </w:rPr>
        <w:t>ذ</w:t>
      </w:r>
      <w:r w:rsidRPr="00EB70BE">
        <w:rPr>
          <w:rFonts w:hint="cs"/>
          <w:spacing w:val="0"/>
          <w:kern w:val="0"/>
          <w:sz w:val="26"/>
          <w:szCs w:val="26"/>
          <w:rtl/>
        </w:rPr>
        <w:t>)</w:t>
      </w:r>
      <w:r w:rsidRPr="00EB70BE">
        <w:rPr>
          <w:rFonts w:hint="cs"/>
          <w:spacing w:val="0"/>
          <w:kern w:val="0"/>
          <w:sz w:val="26"/>
          <w:szCs w:val="26"/>
          <w:rtl/>
        </w:rPr>
        <w:tab/>
      </w:r>
      <w:r w:rsidRPr="0083449A">
        <w:rPr>
          <w:rFonts w:hint="cs"/>
          <w:spacing w:val="-4"/>
          <w:sz w:val="26"/>
          <w:szCs w:val="26"/>
          <w:rtl/>
        </w:rPr>
        <w:t>كان 12 من أصحاب الشكوى يتمتعون ب</w:t>
      </w:r>
      <w:r w:rsidRPr="0083449A">
        <w:rPr>
          <w:spacing w:val="-4"/>
          <w:sz w:val="26"/>
          <w:szCs w:val="26"/>
          <w:rtl/>
        </w:rPr>
        <w:t xml:space="preserve">مركز اللاجئين المشمولين بولاية المفوضية </w:t>
      </w:r>
      <w:r w:rsidRPr="0083449A">
        <w:rPr>
          <w:rFonts w:hint="cs"/>
          <w:spacing w:val="-4"/>
          <w:sz w:val="26"/>
          <w:szCs w:val="26"/>
          <w:rtl/>
        </w:rPr>
        <w:t>حتى آب/أغسطس 2010.</w:t>
      </w:r>
    </w:p>
  </w:footnote>
  <w:footnote w:id="433">
    <w:p w:rsidR="00D64D4C" w:rsidRPr="0078289E" w:rsidRDefault="00D64D4C" w:rsidP="0019752F">
      <w:pPr>
        <w:pStyle w:val="FootnoteText"/>
        <w:tabs>
          <w:tab w:val="left" w:pos="1239"/>
        </w:tabs>
        <w:spacing w:after="60" w:line="300" w:lineRule="exact"/>
        <w:ind w:left="1239" w:right="1247" w:hanging="518"/>
        <w:jc w:val="lowKashida"/>
        <w:rPr>
          <w:sz w:val="18"/>
          <w:szCs w:val="26"/>
        </w:rPr>
      </w:pPr>
      <w:r w:rsidRPr="00EB70BE">
        <w:rPr>
          <w:rFonts w:hint="cs"/>
          <w:spacing w:val="0"/>
          <w:kern w:val="0"/>
          <w:sz w:val="26"/>
          <w:szCs w:val="26"/>
          <w:rtl/>
        </w:rPr>
        <w:t>(</w:t>
      </w:r>
      <w:r>
        <w:rPr>
          <w:rFonts w:hint="cs"/>
          <w:spacing w:val="0"/>
          <w:kern w:val="0"/>
          <w:sz w:val="26"/>
          <w:szCs w:val="26"/>
          <w:rtl/>
        </w:rPr>
        <w:t>ض</w:t>
      </w:r>
      <w:r w:rsidRPr="00EB70BE">
        <w:rPr>
          <w:rFonts w:hint="cs"/>
          <w:spacing w:val="0"/>
          <w:kern w:val="0"/>
          <w:sz w:val="26"/>
          <w:szCs w:val="26"/>
          <w:rtl/>
        </w:rPr>
        <w:t>)</w:t>
      </w:r>
      <w:r w:rsidRPr="00EB70BE">
        <w:rPr>
          <w:rFonts w:hint="cs"/>
          <w:spacing w:val="0"/>
          <w:kern w:val="0"/>
          <w:sz w:val="26"/>
          <w:szCs w:val="26"/>
          <w:rtl/>
        </w:rPr>
        <w:tab/>
      </w:r>
      <w:r w:rsidRPr="0078289E">
        <w:rPr>
          <w:sz w:val="18"/>
          <w:szCs w:val="26"/>
        </w:rPr>
        <w:t>CAT/C/UZB/CO/3</w:t>
      </w:r>
      <w:r w:rsidRPr="0078289E">
        <w:rPr>
          <w:rFonts w:hint="cs"/>
          <w:sz w:val="18"/>
          <w:szCs w:val="26"/>
          <w:rtl/>
        </w:rPr>
        <w:t>.</w:t>
      </w:r>
    </w:p>
  </w:footnote>
  <w:footnote w:id="434">
    <w:p w:rsidR="00D64D4C" w:rsidRPr="0078289E" w:rsidRDefault="00D64D4C" w:rsidP="0019752F">
      <w:pPr>
        <w:pStyle w:val="FootnoteText"/>
        <w:tabs>
          <w:tab w:val="left" w:pos="1239"/>
        </w:tabs>
        <w:spacing w:after="60" w:line="300" w:lineRule="exact"/>
        <w:ind w:left="1239" w:right="1247" w:hanging="518"/>
        <w:jc w:val="lowKashida"/>
        <w:rPr>
          <w:sz w:val="18"/>
          <w:szCs w:val="26"/>
        </w:rPr>
      </w:pPr>
      <w:r w:rsidRPr="00EB70BE">
        <w:rPr>
          <w:rFonts w:hint="cs"/>
          <w:spacing w:val="0"/>
          <w:kern w:val="0"/>
          <w:sz w:val="26"/>
          <w:szCs w:val="26"/>
          <w:rtl/>
        </w:rPr>
        <w:t>(</w:t>
      </w:r>
      <w:r>
        <w:rPr>
          <w:rFonts w:hint="cs"/>
          <w:spacing w:val="0"/>
          <w:kern w:val="0"/>
          <w:sz w:val="26"/>
          <w:szCs w:val="26"/>
          <w:rtl/>
        </w:rPr>
        <w:t>أأ</w:t>
      </w:r>
      <w:r w:rsidRPr="00EB70BE">
        <w:rPr>
          <w:rFonts w:hint="cs"/>
          <w:spacing w:val="0"/>
          <w:kern w:val="0"/>
          <w:sz w:val="26"/>
          <w:szCs w:val="26"/>
          <w:rtl/>
        </w:rPr>
        <w:t>)</w:t>
      </w:r>
      <w:r w:rsidRPr="00EB70BE">
        <w:rPr>
          <w:rFonts w:hint="cs"/>
          <w:spacing w:val="0"/>
          <w:kern w:val="0"/>
          <w:sz w:val="26"/>
          <w:szCs w:val="26"/>
          <w:rtl/>
        </w:rPr>
        <w:tab/>
      </w:r>
      <w:r w:rsidRPr="0078289E">
        <w:rPr>
          <w:sz w:val="18"/>
          <w:szCs w:val="26"/>
        </w:rPr>
        <w:t>CAT/C/KAZ/CO/2</w:t>
      </w:r>
      <w:r w:rsidRPr="00E568A7">
        <w:rPr>
          <w:rFonts w:hint="cs"/>
          <w:spacing w:val="-4"/>
          <w:sz w:val="26"/>
          <w:szCs w:val="26"/>
          <w:rtl/>
        </w:rPr>
        <w:t>، الفقرة 15.</w:t>
      </w:r>
    </w:p>
  </w:footnote>
  <w:footnote w:id="435">
    <w:p w:rsidR="00D64D4C" w:rsidRPr="00B0061F" w:rsidRDefault="00D64D4C" w:rsidP="00B0061F">
      <w:pPr>
        <w:pStyle w:val="FootnoteText"/>
        <w:tabs>
          <w:tab w:val="left" w:pos="1239"/>
        </w:tabs>
        <w:spacing w:after="60" w:line="300" w:lineRule="exact"/>
        <w:ind w:left="1239" w:right="1247" w:hanging="700"/>
        <w:jc w:val="lowKashida"/>
        <w:rPr>
          <w:spacing w:val="-2"/>
          <w:kern w:val="0"/>
          <w:sz w:val="18"/>
          <w:szCs w:val="26"/>
        </w:rPr>
      </w:pPr>
      <w:r w:rsidRPr="00B0061F">
        <w:rPr>
          <w:rFonts w:hint="cs"/>
          <w:spacing w:val="-2"/>
          <w:kern w:val="0"/>
          <w:sz w:val="26"/>
          <w:szCs w:val="26"/>
          <w:rtl/>
        </w:rPr>
        <w:t>(ب ب)</w:t>
      </w:r>
      <w:r w:rsidRPr="00B0061F">
        <w:rPr>
          <w:rFonts w:hint="cs"/>
          <w:spacing w:val="-2"/>
          <w:kern w:val="0"/>
          <w:sz w:val="26"/>
          <w:szCs w:val="26"/>
          <w:rtl/>
        </w:rPr>
        <w:tab/>
        <w:t xml:space="preserve">انظر البلاغ رقم 39/1996، </w:t>
      </w:r>
      <w:r w:rsidRPr="00B0061F">
        <w:rPr>
          <w:rFonts w:hint="cs"/>
          <w:i/>
          <w:iCs/>
          <w:spacing w:val="-2"/>
          <w:kern w:val="0"/>
          <w:sz w:val="26"/>
          <w:szCs w:val="26"/>
          <w:rtl/>
        </w:rPr>
        <w:t>بايز ضد السويد</w:t>
      </w:r>
      <w:r w:rsidRPr="00B0061F">
        <w:rPr>
          <w:rFonts w:hint="cs"/>
          <w:spacing w:val="-2"/>
          <w:kern w:val="0"/>
          <w:sz w:val="26"/>
          <w:szCs w:val="26"/>
          <w:rtl/>
        </w:rPr>
        <w:t>، القرار المعتمد في 28 نيسان/أبريل 1997؛ والبلاغ رقم</w:t>
      </w:r>
      <w:r w:rsidRPr="00B0061F">
        <w:rPr>
          <w:rFonts w:hint="eastAsia"/>
          <w:spacing w:val="-2"/>
          <w:kern w:val="0"/>
          <w:sz w:val="26"/>
          <w:szCs w:val="26"/>
          <w:rtl/>
        </w:rPr>
        <w:t> </w:t>
      </w:r>
      <w:r w:rsidRPr="00B0061F">
        <w:rPr>
          <w:rFonts w:hint="cs"/>
          <w:spacing w:val="-2"/>
          <w:kern w:val="0"/>
          <w:sz w:val="26"/>
          <w:szCs w:val="26"/>
          <w:rtl/>
        </w:rPr>
        <w:t xml:space="preserve">110/1998، </w:t>
      </w:r>
      <w:r w:rsidRPr="00B0061F">
        <w:rPr>
          <w:rFonts w:hint="cs"/>
          <w:i/>
          <w:iCs/>
          <w:spacing w:val="-2"/>
          <w:kern w:val="0"/>
          <w:sz w:val="26"/>
          <w:szCs w:val="26"/>
          <w:rtl/>
        </w:rPr>
        <w:t>نونييز تشيبانا ضد فنزويلا</w:t>
      </w:r>
      <w:r w:rsidRPr="00B0061F">
        <w:rPr>
          <w:rFonts w:hint="cs"/>
          <w:spacing w:val="-2"/>
          <w:kern w:val="0"/>
          <w:sz w:val="26"/>
          <w:szCs w:val="26"/>
          <w:rtl/>
        </w:rPr>
        <w:t>، الآراء المعتمدة في 10 تشرين الثاني/نوفمبر 1998، الفقرة</w:t>
      </w:r>
      <w:r w:rsidRPr="00B0061F">
        <w:rPr>
          <w:rFonts w:hint="eastAsia"/>
          <w:spacing w:val="-2"/>
          <w:kern w:val="0"/>
          <w:sz w:val="26"/>
          <w:szCs w:val="26"/>
          <w:rtl/>
        </w:rPr>
        <w:t> </w:t>
      </w:r>
      <w:r w:rsidRPr="00B0061F">
        <w:rPr>
          <w:rFonts w:hint="cs"/>
          <w:spacing w:val="-2"/>
          <w:kern w:val="0"/>
          <w:sz w:val="26"/>
          <w:szCs w:val="26"/>
          <w:rtl/>
        </w:rPr>
        <w:t xml:space="preserve">5-6؛ والبلاغ رقم 297/2006، </w:t>
      </w:r>
      <w:r w:rsidRPr="00421AD5">
        <w:rPr>
          <w:rFonts w:hint="cs"/>
          <w:i/>
          <w:iCs/>
          <w:spacing w:val="-2"/>
          <w:kern w:val="0"/>
          <w:sz w:val="26"/>
          <w:szCs w:val="26"/>
          <w:rtl/>
        </w:rPr>
        <w:t>سينغ سوغي ضد كندا</w:t>
      </w:r>
      <w:r w:rsidRPr="00B0061F">
        <w:rPr>
          <w:rFonts w:hint="cs"/>
          <w:spacing w:val="-2"/>
          <w:kern w:val="0"/>
          <w:sz w:val="26"/>
          <w:szCs w:val="26"/>
          <w:rtl/>
        </w:rPr>
        <w:t>، الآراء المعتمدة في 16 تشرين الثاني/ نوفمبر 2007.</w:t>
      </w:r>
    </w:p>
  </w:footnote>
  <w:footnote w:id="436">
    <w:p w:rsidR="00D64D4C" w:rsidRPr="004958E2" w:rsidRDefault="00D64D4C" w:rsidP="00421AD5">
      <w:pPr>
        <w:pStyle w:val="FootnoteText"/>
        <w:tabs>
          <w:tab w:val="left" w:pos="1239"/>
        </w:tabs>
        <w:spacing w:after="60" w:line="300" w:lineRule="exact"/>
        <w:ind w:left="1239" w:right="1247" w:hanging="630"/>
        <w:jc w:val="lowKashida"/>
        <w:rPr>
          <w:spacing w:val="-4"/>
          <w:sz w:val="26"/>
          <w:szCs w:val="26"/>
        </w:rPr>
      </w:pPr>
      <w:r w:rsidRPr="00EB70BE">
        <w:rPr>
          <w:rFonts w:hint="cs"/>
          <w:spacing w:val="0"/>
          <w:kern w:val="0"/>
          <w:sz w:val="26"/>
          <w:szCs w:val="26"/>
          <w:rtl/>
        </w:rPr>
        <w:t>(</w:t>
      </w:r>
      <w:r>
        <w:rPr>
          <w:rFonts w:hint="cs"/>
          <w:spacing w:val="0"/>
          <w:kern w:val="0"/>
          <w:sz w:val="26"/>
          <w:szCs w:val="26"/>
          <w:rtl/>
        </w:rPr>
        <w:t>ج ج</w:t>
      </w:r>
      <w:r w:rsidRPr="00EB70BE">
        <w:rPr>
          <w:rFonts w:hint="cs"/>
          <w:spacing w:val="0"/>
          <w:kern w:val="0"/>
          <w:sz w:val="26"/>
          <w:szCs w:val="26"/>
          <w:rtl/>
        </w:rPr>
        <w:t>)</w:t>
      </w:r>
      <w:r w:rsidRPr="00EB70BE">
        <w:rPr>
          <w:rFonts w:hint="cs"/>
          <w:spacing w:val="0"/>
          <w:kern w:val="0"/>
          <w:sz w:val="26"/>
          <w:szCs w:val="26"/>
          <w:rtl/>
        </w:rPr>
        <w:tab/>
      </w:r>
      <w:r w:rsidRPr="004958E2">
        <w:rPr>
          <w:rFonts w:hint="cs"/>
          <w:spacing w:val="-4"/>
          <w:sz w:val="26"/>
          <w:szCs w:val="26"/>
          <w:rtl/>
        </w:rPr>
        <w:t xml:space="preserve">التعليق العام رقم 1 (انظر الحاشية 24 أعلاه)، وفي جملة أمور، البلاغ رقم 356/2008، </w:t>
      </w:r>
      <w:r w:rsidRPr="00421AD5">
        <w:rPr>
          <w:rFonts w:hint="cs"/>
          <w:i/>
          <w:iCs/>
          <w:spacing w:val="-4"/>
          <w:sz w:val="26"/>
          <w:szCs w:val="26"/>
          <w:rtl/>
        </w:rPr>
        <w:t>ن. س. ضد سويسرا</w:t>
      </w:r>
      <w:r w:rsidRPr="004958E2">
        <w:rPr>
          <w:rFonts w:hint="cs"/>
          <w:spacing w:val="-4"/>
          <w:sz w:val="26"/>
          <w:szCs w:val="26"/>
          <w:rtl/>
        </w:rPr>
        <w:t>، القرار المعتمد في 6 أيار/مايو 2010.</w:t>
      </w:r>
    </w:p>
  </w:footnote>
  <w:footnote w:id="437">
    <w:p w:rsidR="00D64D4C" w:rsidRPr="00E86FDB" w:rsidRDefault="00D64D4C" w:rsidP="00EA66E5">
      <w:pPr>
        <w:pStyle w:val="FootnoteText"/>
        <w:numPr>
          <w:ilvl w:val="0"/>
          <w:numId w:val="48"/>
        </w:numPr>
        <w:tabs>
          <w:tab w:val="clear" w:pos="8925"/>
          <w:tab w:val="left" w:pos="1239"/>
        </w:tabs>
        <w:spacing w:after="60" w:line="300" w:lineRule="exact"/>
        <w:ind w:left="1248" w:right="1247" w:hanging="227"/>
        <w:jc w:val="lowKashida"/>
        <w:rPr>
          <w:rFonts w:hint="cs"/>
          <w:spacing w:val="0"/>
          <w:kern w:val="0"/>
          <w:sz w:val="26"/>
          <w:szCs w:val="26"/>
        </w:rPr>
      </w:pPr>
      <w:r w:rsidRPr="00E86FDB">
        <w:rPr>
          <w:spacing w:val="0"/>
          <w:kern w:val="0"/>
          <w:sz w:val="26"/>
          <w:szCs w:val="26"/>
          <w:rtl/>
        </w:rPr>
        <w:t>تلاحظ اللجنة أنه وفقا</w:t>
      </w:r>
      <w:r w:rsidRPr="00E86FDB">
        <w:rPr>
          <w:rFonts w:hint="cs"/>
          <w:spacing w:val="0"/>
          <w:kern w:val="0"/>
          <w:sz w:val="26"/>
          <w:szCs w:val="26"/>
          <w:rtl/>
        </w:rPr>
        <w:t>ً</w:t>
      </w:r>
      <w:r w:rsidRPr="00E86FDB">
        <w:rPr>
          <w:spacing w:val="0"/>
          <w:kern w:val="0"/>
          <w:sz w:val="26"/>
          <w:szCs w:val="26"/>
          <w:rtl/>
        </w:rPr>
        <w:t xml:space="preserve"> لبيان </w:t>
      </w:r>
      <w:r w:rsidRPr="00E86FDB">
        <w:rPr>
          <w:rFonts w:hint="cs"/>
          <w:spacing w:val="0"/>
          <w:kern w:val="0"/>
          <w:sz w:val="26"/>
          <w:szCs w:val="26"/>
          <w:rtl/>
        </w:rPr>
        <w:t>خطي</w:t>
      </w:r>
      <w:r w:rsidRPr="00E86FDB">
        <w:rPr>
          <w:spacing w:val="0"/>
          <w:kern w:val="0"/>
          <w:sz w:val="26"/>
          <w:szCs w:val="26"/>
          <w:rtl/>
        </w:rPr>
        <w:t xml:space="preserve"> قدم</w:t>
      </w:r>
      <w:r w:rsidRPr="00E86FDB">
        <w:rPr>
          <w:rFonts w:hint="cs"/>
          <w:spacing w:val="0"/>
          <w:kern w:val="0"/>
          <w:sz w:val="26"/>
          <w:szCs w:val="26"/>
          <w:rtl/>
        </w:rPr>
        <w:t>ه</w:t>
      </w:r>
      <w:r w:rsidRPr="00E86FDB">
        <w:rPr>
          <w:spacing w:val="0"/>
          <w:kern w:val="0"/>
          <w:sz w:val="26"/>
          <w:szCs w:val="26"/>
          <w:rtl/>
        </w:rPr>
        <w:t xml:space="preserve"> صاحب الشكوى إلى محكمة</w:t>
      </w:r>
      <w:r w:rsidRPr="00E86FDB">
        <w:rPr>
          <w:rFonts w:hint="cs"/>
          <w:spacing w:val="0"/>
          <w:kern w:val="0"/>
          <w:sz w:val="26"/>
          <w:szCs w:val="26"/>
          <w:rtl/>
        </w:rPr>
        <w:t xml:space="preserve"> الشرطة في </w:t>
      </w:r>
      <w:r w:rsidRPr="00E86FDB">
        <w:rPr>
          <w:spacing w:val="0"/>
          <w:kern w:val="0"/>
          <w:sz w:val="26"/>
          <w:szCs w:val="26"/>
          <w:rtl/>
        </w:rPr>
        <w:t>دونوستيا سان سيباستيان في 29 كانون الثاني</w:t>
      </w:r>
      <w:r w:rsidRPr="00E86FDB">
        <w:rPr>
          <w:rFonts w:hint="cs"/>
          <w:spacing w:val="0"/>
          <w:kern w:val="0"/>
          <w:sz w:val="26"/>
          <w:szCs w:val="26"/>
          <w:rtl/>
        </w:rPr>
        <w:t>/يناير</w:t>
      </w:r>
      <w:r w:rsidRPr="00E86FDB">
        <w:rPr>
          <w:spacing w:val="0"/>
          <w:kern w:val="0"/>
          <w:sz w:val="26"/>
          <w:szCs w:val="26"/>
          <w:rtl/>
        </w:rPr>
        <w:t xml:space="preserve"> 2003، </w:t>
      </w:r>
      <w:r w:rsidRPr="00E86FDB">
        <w:rPr>
          <w:rFonts w:hint="cs"/>
          <w:spacing w:val="0"/>
          <w:kern w:val="0"/>
          <w:sz w:val="26"/>
          <w:szCs w:val="26"/>
          <w:rtl/>
        </w:rPr>
        <w:t xml:space="preserve">فقد ظهر أمين </w:t>
      </w:r>
      <w:r w:rsidRPr="00E86FDB">
        <w:rPr>
          <w:spacing w:val="0"/>
          <w:kern w:val="0"/>
          <w:sz w:val="26"/>
          <w:szCs w:val="26"/>
          <w:rtl/>
        </w:rPr>
        <w:t xml:space="preserve">سجل </w:t>
      </w:r>
      <w:r w:rsidRPr="00E86FDB">
        <w:rPr>
          <w:rFonts w:hint="cs"/>
          <w:spacing w:val="0"/>
          <w:kern w:val="0"/>
          <w:sz w:val="26"/>
          <w:szCs w:val="26"/>
          <w:rtl/>
        </w:rPr>
        <w:t>ال</w:t>
      </w:r>
      <w:r w:rsidRPr="00E86FDB">
        <w:rPr>
          <w:spacing w:val="0"/>
          <w:kern w:val="0"/>
          <w:sz w:val="26"/>
          <w:szCs w:val="26"/>
          <w:rtl/>
        </w:rPr>
        <w:t xml:space="preserve">محكمة </w:t>
      </w:r>
      <w:r w:rsidRPr="00E86FDB">
        <w:rPr>
          <w:rFonts w:hint="cs"/>
          <w:spacing w:val="0"/>
          <w:kern w:val="0"/>
          <w:sz w:val="26"/>
          <w:szCs w:val="26"/>
          <w:rtl/>
        </w:rPr>
        <w:t>أثناء</w:t>
      </w:r>
      <w:r w:rsidRPr="00E86FDB">
        <w:rPr>
          <w:spacing w:val="0"/>
          <w:kern w:val="0"/>
          <w:sz w:val="26"/>
          <w:szCs w:val="26"/>
          <w:rtl/>
        </w:rPr>
        <w:t xml:space="preserve"> عملية </w:t>
      </w:r>
      <w:r w:rsidRPr="00E86FDB">
        <w:rPr>
          <w:rFonts w:hint="cs"/>
          <w:spacing w:val="0"/>
          <w:kern w:val="0"/>
          <w:sz w:val="26"/>
          <w:szCs w:val="26"/>
          <w:rtl/>
        </w:rPr>
        <w:t>ا</w:t>
      </w:r>
      <w:r w:rsidRPr="00E86FDB">
        <w:rPr>
          <w:spacing w:val="0"/>
          <w:kern w:val="0"/>
          <w:sz w:val="26"/>
          <w:szCs w:val="26"/>
          <w:rtl/>
        </w:rPr>
        <w:t>لشرطة، و</w:t>
      </w:r>
      <w:r w:rsidRPr="00E86FDB">
        <w:rPr>
          <w:rFonts w:hint="cs"/>
          <w:spacing w:val="0"/>
          <w:kern w:val="0"/>
          <w:sz w:val="26"/>
          <w:szCs w:val="26"/>
          <w:rtl/>
        </w:rPr>
        <w:t>أطلعه</w:t>
      </w:r>
      <w:r w:rsidRPr="00E86FDB">
        <w:rPr>
          <w:spacing w:val="0"/>
          <w:kern w:val="0"/>
          <w:sz w:val="26"/>
          <w:szCs w:val="26"/>
          <w:rtl/>
        </w:rPr>
        <w:t xml:space="preserve"> </w:t>
      </w:r>
      <w:r w:rsidRPr="00E86FDB">
        <w:rPr>
          <w:rFonts w:hint="cs"/>
          <w:spacing w:val="0"/>
          <w:kern w:val="0"/>
          <w:sz w:val="26"/>
          <w:szCs w:val="26"/>
          <w:rtl/>
        </w:rPr>
        <w:t xml:space="preserve">على أمر </w:t>
      </w:r>
      <w:r w:rsidRPr="00E86FDB">
        <w:rPr>
          <w:spacing w:val="0"/>
          <w:kern w:val="0"/>
          <w:sz w:val="26"/>
          <w:szCs w:val="26"/>
          <w:rtl/>
        </w:rPr>
        <w:t xml:space="preserve">القبض عليه وأخبره بأنه </w:t>
      </w:r>
      <w:r w:rsidRPr="00E86FDB">
        <w:rPr>
          <w:rFonts w:hint="cs"/>
          <w:spacing w:val="0"/>
          <w:kern w:val="0"/>
          <w:sz w:val="26"/>
          <w:szCs w:val="26"/>
          <w:rtl/>
        </w:rPr>
        <w:t>ستوجه إليه تهمة</w:t>
      </w:r>
      <w:r w:rsidRPr="00E86FDB">
        <w:rPr>
          <w:spacing w:val="0"/>
          <w:kern w:val="0"/>
          <w:sz w:val="26"/>
          <w:szCs w:val="26"/>
          <w:rtl/>
        </w:rPr>
        <w:t xml:space="preserve"> ارتكاب جريمة إرهاب</w:t>
      </w:r>
      <w:r w:rsidRPr="00E86FDB">
        <w:rPr>
          <w:rFonts w:hint="cs"/>
          <w:spacing w:val="0"/>
          <w:kern w:val="0"/>
          <w:sz w:val="26"/>
          <w:szCs w:val="26"/>
          <w:rtl/>
        </w:rPr>
        <w:t>ية</w:t>
      </w:r>
      <w:r w:rsidRPr="00E86FDB">
        <w:rPr>
          <w:spacing w:val="0"/>
          <w:kern w:val="0"/>
          <w:sz w:val="26"/>
          <w:szCs w:val="26"/>
          <w:rtl/>
        </w:rPr>
        <w:t xml:space="preserve">. </w:t>
      </w:r>
      <w:r w:rsidRPr="00E86FDB">
        <w:rPr>
          <w:rFonts w:hint="cs"/>
          <w:spacing w:val="0"/>
          <w:kern w:val="0"/>
          <w:sz w:val="26"/>
          <w:szCs w:val="26"/>
          <w:rtl/>
        </w:rPr>
        <w:t>وفي وقت لاحق</w:t>
      </w:r>
      <w:r w:rsidRPr="00E86FDB">
        <w:rPr>
          <w:spacing w:val="0"/>
          <w:kern w:val="0"/>
          <w:sz w:val="26"/>
          <w:szCs w:val="26"/>
          <w:rtl/>
        </w:rPr>
        <w:t xml:space="preserve">، بدأ </w:t>
      </w:r>
      <w:r w:rsidRPr="00E86FDB">
        <w:rPr>
          <w:rFonts w:hint="cs"/>
          <w:spacing w:val="0"/>
          <w:kern w:val="0"/>
          <w:sz w:val="26"/>
          <w:szCs w:val="26"/>
          <w:rtl/>
        </w:rPr>
        <w:t>تفتيش</w:t>
      </w:r>
      <w:r w:rsidRPr="00E86FDB">
        <w:rPr>
          <w:rFonts w:hint="eastAsia"/>
          <w:spacing w:val="0"/>
          <w:kern w:val="0"/>
          <w:sz w:val="26"/>
          <w:szCs w:val="26"/>
          <w:rtl/>
        </w:rPr>
        <w:t> </w:t>
      </w:r>
      <w:r w:rsidRPr="00E86FDB">
        <w:rPr>
          <w:rFonts w:hint="cs"/>
          <w:spacing w:val="0"/>
          <w:kern w:val="0"/>
          <w:sz w:val="26"/>
          <w:szCs w:val="26"/>
          <w:rtl/>
        </w:rPr>
        <w:t>ال</w:t>
      </w:r>
      <w:r w:rsidRPr="00E86FDB">
        <w:rPr>
          <w:spacing w:val="0"/>
          <w:kern w:val="0"/>
          <w:sz w:val="26"/>
          <w:szCs w:val="26"/>
          <w:rtl/>
        </w:rPr>
        <w:t>منزل</w:t>
      </w:r>
      <w:r w:rsidRPr="00E86FDB">
        <w:rPr>
          <w:rFonts w:hint="cs"/>
          <w:spacing w:val="0"/>
          <w:kern w:val="0"/>
          <w:sz w:val="26"/>
          <w:szCs w:val="26"/>
          <w:rtl/>
        </w:rPr>
        <w:t>.</w:t>
      </w:r>
    </w:p>
  </w:footnote>
  <w:footnote w:id="438">
    <w:p w:rsidR="00D64D4C" w:rsidRPr="00E86FDB" w:rsidRDefault="00D64D4C" w:rsidP="00EA66E5">
      <w:pPr>
        <w:pStyle w:val="FootnoteText"/>
        <w:numPr>
          <w:ilvl w:val="0"/>
          <w:numId w:val="48"/>
        </w:numPr>
        <w:tabs>
          <w:tab w:val="clear" w:pos="8925"/>
          <w:tab w:val="left" w:pos="1239"/>
        </w:tabs>
        <w:spacing w:after="60" w:line="300" w:lineRule="exact"/>
        <w:ind w:left="1248" w:right="1247" w:hanging="227"/>
        <w:jc w:val="lowKashida"/>
        <w:rPr>
          <w:rFonts w:hint="cs"/>
          <w:spacing w:val="0"/>
          <w:kern w:val="0"/>
          <w:sz w:val="26"/>
          <w:szCs w:val="26"/>
        </w:rPr>
      </w:pPr>
      <w:r w:rsidRPr="00E86FDB">
        <w:rPr>
          <w:rFonts w:hint="cs"/>
          <w:spacing w:val="0"/>
          <w:kern w:val="0"/>
          <w:sz w:val="26"/>
          <w:szCs w:val="26"/>
          <w:rtl/>
        </w:rPr>
        <w:t xml:space="preserve">يشير طلب </w:t>
      </w:r>
      <w:r w:rsidRPr="00E86FDB">
        <w:rPr>
          <w:spacing w:val="0"/>
          <w:kern w:val="0"/>
          <w:sz w:val="26"/>
          <w:szCs w:val="26"/>
          <w:rtl/>
        </w:rPr>
        <w:t>الحماية القضائية الدستورية ال</w:t>
      </w:r>
      <w:r w:rsidRPr="00E86FDB">
        <w:rPr>
          <w:rFonts w:hint="cs"/>
          <w:spacing w:val="0"/>
          <w:kern w:val="0"/>
          <w:sz w:val="26"/>
          <w:szCs w:val="26"/>
          <w:rtl/>
        </w:rPr>
        <w:t>ذ</w:t>
      </w:r>
      <w:r w:rsidRPr="00E86FDB">
        <w:rPr>
          <w:spacing w:val="0"/>
          <w:kern w:val="0"/>
          <w:sz w:val="26"/>
          <w:szCs w:val="26"/>
          <w:rtl/>
        </w:rPr>
        <w:t>ي قدمه صاحب الشكوى إلى المحكمة الدستورية في 22 نيسان</w:t>
      </w:r>
      <w:r w:rsidRPr="00E86FDB">
        <w:rPr>
          <w:rFonts w:hint="cs"/>
          <w:spacing w:val="0"/>
          <w:kern w:val="0"/>
          <w:sz w:val="26"/>
          <w:szCs w:val="26"/>
          <w:rtl/>
        </w:rPr>
        <w:t>/أبريل</w:t>
      </w:r>
      <w:r w:rsidRPr="00E86FDB">
        <w:rPr>
          <w:spacing w:val="0"/>
          <w:kern w:val="0"/>
          <w:sz w:val="26"/>
          <w:szCs w:val="26"/>
          <w:rtl/>
        </w:rPr>
        <w:t xml:space="preserve"> 2004 </w:t>
      </w:r>
      <w:r w:rsidRPr="00E86FDB">
        <w:rPr>
          <w:rFonts w:hint="cs"/>
          <w:spacing w:val="0"/>
          <w:kern w:val="0"/>
          <w:sz w:val="26"/>
          <w:szCs w:val="26"/>
          <w:rtl/>
        </w:rPr>
        <w:t xml:space="preserve">إلى </w:t>
      </w:r>
      <w:r w:rsidRPr="00E86FDB">
        <w:rPr>
          <w:spacing w:val="0"/>
          <w:kern w:val="0"/>
          <w:sz w:val="26"/>
          <w:szCs w:val="26"/>
          <w:rtl/>
        </w:rPr>
        <w:t>أن</w:t>
      </w:r>
      <w:r w:rsidRPr="00E86FDB">
        <w:rPr>
          <w:rFonts w:hint="cs"/>
          <w:spacing w:val="0"/>
          <w:kern w:val="0"/>
          <w:sz w:val="26"/>
          <w:szCs w:val="26"/>
          <w:rtl/>
        </w:rPr>
        <w:t>ه هدد أيضاً ب</w:t>
      </w:r>
      <w:r w:rsidRPr="00E86FDB">
        <w:rPr>
          <w:spacing w:val="0"/>
          <w:kern w:val="0"/>
          <w:sz w:val="26"/>
          <w:szCs w:val="26"/>
          <w:rtl/>
        </w:rPr>
        <w:t>الاعتداء الجنسي</w:t>
      </w:r>
      <w:r w:rsidRPr="00E86FDB">
        <w:rPr>
          <w:rFonts w:hint="cs"/>
          <w:spacing w:val="0"/>
          <w:kern w:val="0"/>
          <w:sz w:val="26"/>
          <w:szCs w:val="26"/>
          <w:rtl/>
        </w:rPr>
        <w:t>.</w:t>
      </w:r>
    </w:p>
  </w:footnote>
  <w:footnote w:id="439">
    <w:p w:rsidR="00D64D4C" w:rsidRPr="00E86FDB" w:rsidRDefault="00D64D4C" w:rsidP="00EA66E5">
      <w:pPr>
        <w:pStyle w:val="FootnoteText"/>
        <w:numPr>
          <w:ilvl w:val="0"/>
          <w:numId w:val="48"/>
        </w:numPr>
        <w:tabs>
          <w:tab w:val="clear" w:pos="8925"/>
          <w:tab w:val="left" w:pos="1239"/>
        </w:tabs>
        <w:spacing w:after="60" w:line="300" w:lineRule="exact"/>
        <w:ind w:left="1248" w:right="1247" w:hanging="227"/>
        <w:jc w:val="lowKashida"/>
        <w:rPr>
          <w:rFonts w:hint="cs"/>
          <w:spacing w:val="0"/>
          <w:kern w:val="0"/>
          <w:sz w:val="26"/>
          <w:szCs w:val="26"/>
        </w:rPr>
      </w:pPr>
      <w:r w:rsidRPr="00E86FDB">
        <w:rPr>
          <w:spacing w:val="0"/>
          <w:kern w:val="0"/>
          <w:sz w:val="26"/>
          <w:szCs w:val="26"/>
          <w:rtl/>
        </w:rPr>
        <w:t>في بيان</w:t>
      </w:r>
      <w:r w:rsidRPr="00E86FDB">
        <w:rPr>
          <w:rFonts w:hint="cs"/>
          <w:spacing w:val="0"/>
          <w:kern w:val="0"/>
          <w:sz w:val="26"/>
          <w:szCs w:val="26"/>
          <w:rtl/>
        </w:rPr>
        <w:t>ه</w:t>
      </w:r>
      <w:r w:rsidRPr="00E86FDB">
        <w:rPr>
          <w:spacing w:val="0"/>
          <w:kern w:val="0"/>
          <w:sz w:val="26"/>
          <w:szCs w:val="26"/>
          <w:rtl/>
        </w:rPr>
        <w:t xml:space="preserve"> </w:t>
      </w:r>
      <w:r w:rsidRPr="00E86FDB">
        <w:rPr>
          <w:rFonts w:hint="cs"/>
          <w:spacing w:val="0"/>
          <w:kern w:val="0"/>
          <w:sz w:val="26"/>
          <w:szCs w:val="26"/>
          <w:rtl/>
        </w:rPr>
        <w:t>الخطي المؤرخ</w:t>
      </w:r>
      <w:r w:rsidRPr="00E86FDB">
        <w:rPr>
          <w:spacing w:val="0"/>
          <w:kern w:val="0"/>
          <w:sz w:val="26"/>
          <w:szCs w:val="26"/>
          <w:rtl/>
        </w:rPr>
        <w:t xml:space="preserve"> 29 </w:t>
      </w:r>
      <w:r w:rsidRPr="00E86FDB">
        <w:rPr>
          <w:rFonts w:hint="cs"/>
          <w:spacing w:val="0"/>
          <w:kern w:val="0"/>
          <w:sz w:val="26"/>
          <w:szCs w:val="26"/>
          <w:rtl/>
        </w:rPr>
        <w:t>كانون الثاني/</w:t>
      </w:r>
      <w:r w:rsidRPr="00E86FDB">
        <w:rPr>
          <w:spacing w:val="0"/>
          <w:kern w:val="0"/>
          <w:sz w:val="26"/>
          <w:szCs w:val="26"/>
          <w:rtl/>
        </w:rPr>
        <w:t xml:space="preserve">يناير 2003 </w:t>
      </w:r>
      <w:r w:rsidRPr="00E86FDB">
        <w:rPr>
          <w:rFonts w:hint="cs"/>
          <w:spacing w:val="0"/>
          <w:kern w:val="0"/>
          <w:sz w:val="26"/>
          <w:szCs w:val="26"/>
          <w:rtl/>
        </w:rPr>
        <w:t xml:space="preserve">المقدم </w:t>
      </w:r>
      <w:r w:rsidRPr="00E86FDB">
        <w:rPr>
          <w:spacing w:val="0"/>
          <w:kern w:val="0"/>
          <w:sz w:val="26"/>
          <w:szCs w:val="26"/>
          <w:rtl/>
        </w:rPr>
        <w:t xml:space="preserve">إلى محكمة </w:t>
      </w:r>
      <w:r w:rsidRPr="00E86FDB">
        <w:rPr>
          <w:rFonts w:hint="cs"/>
          <w:spacing w:val="0"/>
          <w:kern w:val="0"/>
          <w:sz w:val="26"/>
          <w:szCs w:val="26"/>
          <w:rtl/>
        </w:rPr>
        <w:t xml:space="preserve">الشرطة في </w:t>
      </w:r>
      <w:r w:rsidRPr="00E86FDB">
        <w:rPr>
          <w:spacing w:val="0"/>
          <w:kern w:val="0"/>
          <w:sz w:val="26"/>
          <w:szCs w:val="26"/>
          <w:rtl/>
        </w:rPr>
        <w:t>دونوستيا سان سيباستيان، يروي صاحب الشكوى</w:t>
      </w:r>
      <w:r w:rsidRPr="00E86FDB">
        <w:rPr>
          <w:rFonts w:hint="cs"/>
          <w:spacing w:val="0"/>
          <w:kern w:val="0"/>
          <w:sz w:val="26"/>
          <w:szCs w:val="26"/>
          <w:rtl/>
        </w:rPr>
        <w:t xml:space="preserve"> ما يلي</w:t>
      </w:r>
      <w:r w:rsidRPr="00E86FDB">
        <w:rPr>
          <w:spacing w:val="0"/>
          <w:kern w:val="0"/>
          <w:sz w:val="26"/>
          <w:szCs w:val="26"/>
          <w:rtl/>
        </w:rPr>
        <w:t>: "</w:t>
      </w:r>
      <w:r w:rsidRPr="00E86FDB">
        <w:rPr>
          <w:rFonts w:hint="cs"/>
          <w:spacing w:val="0"/>
          <w:kern w:val="0"/>
          <w:sz w:val="26"/>
          <w:szCs w:val="26"/>
          <w:rtl/>
        </w:rPr>
        <w:t>نُقلت</w:t>
      </w:r>
      <w:r w:rsidRPr="00E86FDB">
        <w:rPr>
          <w:spacing w:val="0"/>
          <w:kern w:val="0"/>
          <w:sz w:val="26"/>
          <w:szCs w:val="26"/>
          <w:rtl/>
        </w:rPr>
        <w:t xml:space="preserve"> مرتين </w:t>
      </w:r>
      <w:r w:rsidRPr="00E86FDB">
        <w:rPr>
          <w:rFonts w:hint="cs"/>
          <w:spacing w:val="0"/>
          <w:kern w:val="0"/>
          <w:sz w:val="26"/>
          <w:szCs w:val="26"/>
          <w:rtl/>
        </w:rPr>
        <w:t xml:space="preserve">للعرض على </w:t>
      </w:r>
      <w:r w:rsidRPr="00E86FDB">
        <w:rPr>
          <w:spacing w:val="0"/>
          <w:kern w:val="0"/>
          <w:sz w:val="26"/>
          <w:szCs w:val="26"/>
          <w:rtl/>
        </w:rPr>
        <w:t xml:space="preserve">الطبيب الشرعي، </w:t>
      </w:r>
      <w:r w:rsidRPr="00E86FDB">
        <w:rPr>
          <w:rFonts w:hint="cs"/>
          <w:spacing w:val="0"/>
          <w:kern w:val="0"/>
          <w:sz w:val="26"/>
          <w:szCs w:val="26"/>
          <w:rtl/>
        </w:rPr>
        <w:t>حيث كانت ا</w:t>
      </w:r>
      <w:r w:rsidRPr="00E86FDB">
        <w:rPr>
          <w:spacing w:val="0"/>
          <w:kern w:val="0"/>
          <w:sz w:val="26"/>
          <w:szCs w:val="26"/>
          <w:rtl/>
        </w:rPr>
        <w:t xml:space="preserve">لمرة الأولى بسبب آلام </w:t>
      </w:r>
      <w:r w:rsidRPr="00E86FDB">
        <w:rPr>
          <w:rFonts w:hint="cs"/>
          <w:spacing w:val="0"/>
          <w:kern w:val="0"/>
          <w:sz w:val="26"/>
          <w:szCs w:val="26"/>
          <w:rtl/>
        </w:rPr>
        <w:t xml:space="preserve">في </w:t>
      </w:r>
      <w:r w:rsidRPr="00E86FDB">
        <w:rPr>
          <w:spacing w:val="0"/>
          <w:kern w:val="0"/>
          <w:sz w:val="26"/>
          <w:szCs w:val="26"/>
          <w:rtl/>
        </w:rPr>
        <w:t>الظهر، والثاني</w:t>
      </w:r>
      <w:r w:rsidRPr="00E86FDB">
        <w:rPr>
          <w:rFonts w:hint="cs"/>
          <w:spacing w:val="0"/>
          <w:kern w:val="0"/>
          <w:sz w:val="26"/>
          <w:szCs w:val="26"/>
          <w:rtl/>
        </w:rPr>
        <w:t>ة</w:t>
      </w:r>
      <w:r w:rsidRPr="00E86FDB">
        <w:rPr>
          <w:spacing w:val="0"/>
          <w:kern w:val="0"/>
          <w:sz w:val="26"/>
          <w:szCs w:val="26"/>
          <w:rtl/>
        </w:rPr>
        <w:t xml:space="preserve"> بسبب </w:t>
      </w:r>
      <w:r w:rsidRPr="00E86FDB">
        <w:rPr>
          <w:rFonts w:hint="cs"/>
          <w:spacing w:val="0"/>
          <w:kern w:val="0"/>
          <w:sz w:val="26"/>
          <w:szCs w:val="26"/>
          <w:rtl/>
        </w:rPr>
        <w:t>إ</w:t>
      </w:r>
      <w:r w:rsidRPr="00E86FDB">
        <w:rPr>
          <w:spacing w:val="0"/>
          <w:kern w:val="0"/>
          <w:sz w:val="26"/>
          <w:szCs w:val="26"/>
          <w:rtl/>
        </w:rPr>
        <w:t xml:space="preserve">صابة في الركبة [...]. </w:t>
      </w:r>
      <w:r w:rsidRPr="00E86FDB">
        <w:rPr>
          <w:rFonts w:hint="cs"/>
          <w:spacing w:val="0"/>
          <w:kern w:val="0"/>
          <w:sz w:val="26"/>
          <w:szCs w:val="26"/>
          <w:rtl/>
        </w:rPr>
        <w:t>وأخبروني ب</w:t>
      </w:r>
      <w:r w:rsidRPr="00E86FDB">
        <w:rPr>
          <w:spacing w:val="0"/>
          <w:kern w:val="0"/>
          <w:sz w:val="26"/>
          <w:szCs w:val="26"/>
          <w:rtl/>
        </w:rPr>
        <w:t>أنهم سيأخذ</w:t>
      </w:r>
      <w:r w:rsidRPr="00E86FDB">
        <w:rPr>
          <w:rFonts w:hint="cs"/>
          <w:spacing w:val="0"/>
          <w:kern w:val="0"/>
          <w:sz w:val="26"/>
          <w:szCs w:val="26"/>
          <w:rtl/>
        </w:rPr>
        <w:t>ون</w:t>
      </w:r>
      <w:r w:rsidRPr="00E86FDB">
        <w:rPr>
          <w:spacing w:val="0"/>
          <w:kern w:val="0"/>
          <w:sz w:val="26"/>
          <w:szCs w:val="26"/>
          <w:rtl/>
        </w:rPr>
        <w:t xml:space="preserve">ني إلى المستشفى، </w:t>
      </w:r>
      <w:r w:rsidRPr="00E86FDB">
        <w:rPr>
          <w:rFonts w:hint="cs"/>
          <w:spacing w:val="0"/>
          <w:kern w:val="0"/>
          <w:sz w:val="26"/>
          <w:szCs w:val="26"/>
          <w:rtl/>
        </w:rPr>
        <w:t>و</w:t>
      </w:r>
      <w:r w:rsidRPr="00E86FDB">
        <w:rPr>
          <w:spacing w:val="0"/>
          <w:kern w:val="0"/>
          <w:sz w:val="26"/>
          <w:szCs w:val="26"/>
          <w:rtl/>
        </w:rPr>
        <w:t>لكن لم يحدث ذلك. وكنت آمل أن</w:t>
      </w:r>
      <w:r w:rsidRPr="00E86FDB">
        <w:rPr>
          <w:rFonts w:hint="cs"/>
          <w:spacing w:val="0"/>
          <w:kern w:val="0"/>
          <w:sz w:val="26"/>
          <w:szCs w:val="26"/>
          <w:rtl/>
        </w:rPr>
        <w:t xml:space="preserve"> يعرضونني لإصابة بالغة بما يكفي </w:t>
      </w:r>
      <w:r w:rsidRPr="00E86FDB">
        <w:rPr>
          <w:spacing w:val="0"/>
          <w:kern w:val="0"/>
          <w:sz w:val="26"/>
          <w:szCs w:val="26"/>
          <w:rtl/>
        </w:rPr>
        <w:t>لنقل</w:t>
      </w:r>
      <w:r w:rsidRPr="00E86FDB">
        <w:rPr>
          <w:rFonts w:hint="cs"/>
          <w:spacing w:val="0"/>
          <w:kern w:val="0"/>
          <w:sz w:val="26"/>
          <w:szCs w:val="26"/>
          <w:rtl/>
        </w:rPr>
        <w:t>ي</w:t>
      </w:r>
      <w:r w:rsidRPr="00E86FDB">
        <w:rPr>
          <w:spacing w:val="0"/>
          <w:kern w:val="0"/>
          <w:sz w:val="26"/>
          <w:szCs w:val="26"/>
          <w:rtl/>
        </w:rPr>
        <w:t xml:space="preserve"> </w:t>
      </w:r>
      <w:r w:rsidRPr="00E86FDB">
        <w:rPr>
          <w:rFonts w:hint="cs"/>
          <w:spacing w:val="0"/>
          <w:kern w:val="0"/>
          <w:sz w:val="26"/>
          <w:szCs w:val="26"/>
          <w:rtl/>
        </w:rPr>
        <w:t>إ</w:t>
      </w:r>
      <w:r w:rsidRPr="00E86FDB">
        <w:rPr>
          <w:spacing w:val="0"/>
          <w:kern w:val="0"/>
          <w:sz w:val="26"/>
          <w:szCs w:val="26"/>
          <w:rtl/>
        </w:rPr>
        <w:t xml:space="preserve">لى المستشفى </w:t>
      </w:r>
      <w:r w:rsidRPr="00E86FDB">
        <w:rPr>
          <w:rFonts w:hint="cs"/>
          <w:spacing w:val="0"/>
          <w:kern w:val="0"/>
          <w:sz w:val="26"/>
          <w:szCs w:val="26"/>
          <w:rtl/>
        </w:rPr>
        <w:t xml:space="preserve">ويتركونني </w:t>
      </w:r>
      <w:r w:rsidRPr="00E86FDB">
        <w:rPr>
          <w:spacing w:val="0"/>
          <w:kern w:val="0"/>
          <w:sz w:val="26"/>
          <w:szCs w:val="26"/>
          <w:rtl/>
        </w:rPr>
        <w:t>في سلام ل</w:t>
      </w:r>
      <w:r w:rsidRPr="00E86FDB">
        <w:rPr>
          <w:rFonts w:hint="cs"/>
          <w:spacing w:val="0"/>
          <w:kern w:val="0"/>
          <w:sz w:val="26"/>
          <w:szCs w:val="26"/>
          <w:rtl/>
        </w:rPr>
        <w:t>بعض</w:t>
      </w:r>
      <w:r w:rsidRPr="00E86FDB">
        <w:rPr>
          <w:spacing w:val="0"/>
          <w:kern w:val="0"/>
          <w:sz w:val="26"/>
          <w:szCs w:val="26"/>
          <w:rtl/>
        </w:rPr>
        <w:t xml:space="preserve"> الوقت. ولكن</w:t>
      </w:r>
      <w:r w:rsidRPr="00E86FDB">
        <w:rPr>
          <w:rFonts w:hint="cs"/>
          <w:spacing w:val="0"/>
          <w:kern w:val="0"/>
          <w:sz w:val="26"/>
          <w:szCs w:val="26"/>
          <w:rtl/>
        </w:rPr>
        <w:t xml:space="preserve">هم دبروا </w:t>
      </w:r>
      <w:r w:rsidRPr="00E86FDB">
        <w:rPr>
          <w:spacing w:val="0"/>
          <w:kern w:val="0"/>
          <w:sz w:val="26"/>
          <w:szCs w:val="26"/>
          <w:rtl/>
        </w:rPr>
        <w:t>كل شيء</w:t>
      </w:r>
      <w:r w:rsidRPr="00E86FDB">
        <w:rPr>
          <w:rFonts w:hint="cs"/>
          <w:spacing w:val="0"/>
          <w:kern w:val="0"/>
          <w:sz w:val="26"/>
          <w:szCs w:val="26"/>
          <w:rtl/>
        </w:rPr>
        <w:t xml:space="preserve">، وكانوا يعرفون كيف يتصرفون ومتى وماذا يفعلون </w:t>
      </w:r>
      <w:r w:rsidRPr="00E86FDB">
        <w:rPr>
          <w:spacing w:val="0"/>
          <w:kern w:val="0"/>
          <w:sz w:val="26"/>
          <w:szCs w:val="26"/>
          <w:rtl/>
        </w:rPr>
        <w:t xml:space="preserve">في أي وقت معين. </w:t>
      </w:r>
      <w:r w:rsidRPr="00E86FDB">
        <w:rPr>
          <w:rFonts w:hint="cs"/>
          <w:spacing w:val="0"/>
          <w:kern w:val="0"/>
          <w:sz w:val="26"/>
          <w:szCs w:val="26"/>
          <w:rtl/>
        </w:rPr>
        <w:t>و</w:t>
      </w:r>
      <w:r w:rsidRPr="00E86FDB">
        <w:rPr>
          <w:spacing w:val="0"/>
          <w:kern w:val="0"/>
          <w:sz w:val="26"/>
          <w:szCs w:val="26"/>
          <w:rtl/>
        </w:rPr>
        <w:t xml:space="preserve">مع ذلك، أدركت في بعض المناسبات </w:t>
      </w:r>
      <w:r w:rsidRPr="00E86FDB">
        <w:rPr>
          <w:rFonts w:hint="cs"/>
          <w:spacing w:val="0"/>
          <w:kern w:val="0"/>
          <w:sz w:val="26"/>
          <w:szCs w:val="26"/>
          <w:rtl/>
        </w:rPr>
        <w:t xml:space="preserve">أنهم </w:t>
      </w:r>
      <w:r w:rsidRPr="00E86FDB">
        <w:rPr>
          <w:spacing w:val="0"/>
          <w:kern w:val="0"/>
          <w:sz w:val="26"/>
          <w:szCs w:val="26"/>
          <w:rtl/>
        </w:rPr>
        <w:t xml:space="preserve">كانوا يشعرون بالقلق بشأن </w:t>
      </w:r>
      <w:r w:rsidRPr="00E86FDB">
        <w:rPr>
          <w:rFonts w:hint="cs"/>
          <w:spacing w:val="0"/>
          <w:kern w:val="0"/>
          <w:sz w:val="26"/>
          <w:szCs w:val="26"/>
          <w:rtl/>
        </w:rPr>
        <w:t>ال</w:t>
      </w:r>
      <w:r w:rsidRPr="00E86FDB">
        <w:rPr>
          <w:spacing w:val="0"/>
          <w:kern w:val="0"/>
          <w:sz w:val="26"/>
          <w:szCs w:val="26"/>
          <w:rtl/>
        </w:rPr>
        <w:t xml:space="preserve">حالة </w:t>
      </w:r>
      <w:r w:rsidRPr="00E86FDB">
        <w:rPr>
          <w:rFonts w:hint="cs"/>
          <w:spacing w:val="0"/>
          <w:kern w:val="0"/>
          <w:sz w:val="26"/>
          <w:szCs w:val="26"/>
          <w:rtl/>
        </w:rPr>
        <w:t xml:space="preserve">التي </w:t>
      </w:r>
      <w:r w:rsidRPr="00E86FDB">
        <w:rPr>
          <w:spacing w:val="0"/>
          <w:kern w:val="0"/>
          <w:sz w:val="26"/>
          <w:szCs w:val="26"/>
          <w:rtl/>
        </w:rPr>
        <w:t xml:space="preserve">كنت </w:t>
      </w:r>
      <w:r w:rsidRPr="00E86FDB">
        <w:rPr>
          <w:rFonts w:hint="cs"/>
          <w:spacing w:val="0"/>
          <w:kern w:val="0"/>
          <w:sz w:val="26"/>
          <w:szCs w:val="26"/>
          <w:rtl/>
        </w:rPr>
        <w:t>عليها. و</w:t>
      </w:r>
      <w:r w:rsidRPr="00E86FDB">
        <w:rPr>
          <w:spacing w:val="0"/>
          <w:kern w:val="0"/>
          <w:sz w:val="26"/>
          <w:szCs w:val="26"/>
          <w:rtl/>
        </w:rPr>
        <w:t xml:space="preserve">من ناحية أخرى، في بيان </w:t>
      </w:r>
      <w:r w:rsidRPr="00E86FDB">
        <w:rPr>
          <w:rFonts w:hint="cs"/>
          <w:spacing w:val="0"/>
          <w:kern w:val="0"/>
          <w:sz w:val="26"/>
          <w:szCs w:val="26"/>
          <w:rtl/>
        </w:rPr>
        <w:t>خطي</w:t>
      </w:r>
      <w:r w:rsidRPr="00E86FDB">
        <w:rPr>
          <w:spacing w:val="0"/>
          <w:kern w:val="0"/>
          <w:sz w:val="26"/>
          <w:szCs w:val="26"/>
          <w:rtl/>
        </w:rPr>
        <w:t xml:space="preserve"> قدم إلى </w:t>
      </w:r>
      <w:r w:rsidRPr="00E86FDB">
        <w:rPr>
          <w:rFonts w:hint="cs"/>
          <w:spacing w:val="0"/>
          <w:kern w:val="0"/>
          <w:sz w:val="26"/>
          <w:szCs w:val="26"/>
          <w:rtl/>
        </w:rPr>
        <w:t>دائرة التحقيق</w:t>
      </w:r>
      <w:r w:rsidRPr="00E86FDB">
        <w:rPr>
          <w:spacing w:val="0"/>
          <w:kern w:val="0"/>
          <w:sz w:val="26"/>
          <w:szCs w:val="26"/>
          <w:rtl/>
        </w:rPr>
        <w:t xml:space="preserve"> الثانية </w:t>
      </w:r>
      <w:r w:rsidRPr="00E86FDB">
        <w:rPr>
          <w:rFonts w:hint="cs"/>
          <w:spacing w:val="0"/>
          <w:kern w:val="0"/>
          <w:sz w:val="26"/>
          <w:szCs w:val="26"/>
          <w:rtl/>
        </w:rPr>
        <w:t>في</w:t>
      </w:r>
      <w:r w:rsidRPr="00E86FDB">
        <w:rPr>
          <w:spacing w:val="0"/>
          <w:kern w:val="0"/>
          <w:sz w:val="26"/>
          <w:szCs w:val="26"/>
          <w:rtl/>
        </w:rPr>
        <w:t xml:space="preserve"> فيتوريا غاستيز في 10 </w:t>
      </w:r>
      <w:r w:rsidRPr="00E86FDB">
        <w:rPr>
          <w:rFonts w:hint="cs"/>
          <w:spacing w:val="0"/>
          <w:kern w:val="0"/>
          <w:sz w:val="26"/>
          <w:szCs w:val="26"/>
          <w:rtl/>
        </w:rPr>
        <w:t>شباط/</w:t>
      </w:r>
      <w:r w:rsidRPr="00E86FDB">
        <w:rPr>
          <w:spacing w:val="0"/>
          <w:kern w:val="0"/>
          <w:sz w:val="26"/>
          <w:szCs w:val="26"/>
          <w:rtl/>
        </w:rPr>
        <w:t>فبراير 2004، جاء ما يلي: "</w:t>
      </w:r>
      <w:r w:rsidRPr="00E86FDB">
        <w:rPr>
          <w:rFonts w:hint="cs"/>
          <w:spacing w:val="0"/>
          <w:kern w:val="0"/>
          <w:sz w:val="26"/>
          <w:szCs w:val="26"/>
          <w:rtl/>
        </w:rPr>
        <w:t>ال</w:t>
      </w:r>
      <w:r w:rsidRPr="00E86FDB">
        <w:rPr>
          <w:spacing w:val="0"/>
          <w:kern w:val="0"/>
          <w:sz w:val="26"/>
          <w:szCs w:val="26"/>
          <w:rtl/>
        </w:rPr>
        <w:t xml:space="preserve">سيد </w:t>
      </w:r>
      <w:r w:rsidRPr="00E86FDB">
        <w:rPr>
          <w:rFonts w:hint="cs"/>
          <w:spacing w:val="0"/>
          <w:kern w:val="0"/>
          <w:sz w:val="26"/>
          <w:szCs w:val="26"/>
          <w:rtl/>
        </w:rPr>
        <w:t xml:space="preserve">غالاستيغي </w:t>
      </w:r>
      <w:r w:rsidRPr="00E86FDB">
        <w:rPr>
          <w:spacing w:val="0"/>
          <w:kern w:val="0"/>
          <w:sz w:val="26"/>
          <w:szCs w:val="26"/>
          <w:rtl/>
        </w:rPr>
        <w:t xml:space="preserve">لم </w:t>
      </w:r>
      <w:r w:rsidRPr="00E86FDB">
        <w:rPr>
          <w:rFonts w:hint="cs"/>
          <w:spacing w:val="0"/>
          <w:kern w:val="0"/>
          <w:sz w:val="26"/>
          <w:szCs w:val="26"/>
          <w:rtl/>
        </w:rPr>
        <w:t>ي</w:t>
      </w:r>
      <w:r w:rsidRPr="00E86FDB">
        <w:rPr>
          <w:spacing w:val="0"/>
          <w:kern w:val="0"/>
          <w:sz w:val="26"/>
          <w:szCs w:val="26"/>
          <w:rtl/>
        </w:rPr>
        <w:t>خ</w:t>
      </w:r>
      <w:r w:rsidRPr="00E86FDB">
        <w:rPr>
          <w:rFonts w:hint="cs"/>
          <w:spacing w:val="0"/>
          <w:kern w:val="0"/>
          <w:sz w:val="26"/>
          <w:szCs w:val="26"/>
          <w:rtl/>
        </w:rPr>
        <w:t>ب</w:t>
      </w:r>
      <w:r w:rsidRPr="00E86FDB">
        <w:rPr>
          <w:spacing w:val="0"/>
          <w:kern w:val="0"/>
          <w:sz w:val="26"/>
          <w:szCs w:val="26"/>
          <w:rtl/>
        </w:rPr>
        <w:t>ر الطبيب الشرعي الذي فحصه في</w:t>
      </w:r>
      <w:r w:rsidRPr="00E86FDB">
        <w:rPr>
          <w:rFonts w:hint="cs"/>
          <w:spacing w:val="0"/>
          <w:kern w:val="0"/>
          <w:sz w:val="26"/>
          <w:szCs w:val="26"/>
          <w:rtl/>
        </w:rPr>
        <w:t xml:space="preserve"> أركوتي بالمعاملة التي يتعرض لها في الاحتجاز لدى شرطة الباسك. ولم يتجرأ إلا </w:t>
      </w:r>
      <w:r w:rsidRPr="00E86FDB">
        <w:rPr>
          <w:spacing w:val="0"/>
          <w:kern w:val="0"/>
          <w:sz w:val="26"/>
          <w:szCs w:val="26"/>
          <w:rtl/>
        </w:rPr>
        <w:t xml:space="preserve">في وقت لاحق، عندما كان </w:t>
      </w:r>
      <w:r w:rsidRPr="00E86FDB">
        <w:rPr>
          <w:rFonts w:hint="cs"/>
          <w:spacing w:val="0"/>
          <w:kern w:val="0"/>
          <w:sz w:val="26"/>
          <w:szCs w:val="26"/>
          <w:rtl/>
        </w:rPr>
        <w:t>بعيداً</w:t>
      </w:r>
      <w:r w:rsidRPr="00E86FDB">
        <w:rPr>
          <w:spacing w:val="0"/>
          <w:kern w:val="0"/>
          <w:sz w:val="26"/>
          <w:szCs w:val="26"/>
          <w:rtl/>
        </w:rPr>
        <w:t xml:space="preserve"> </w:t>
      </w:r>
      <w:r w:rsidRPr="00E86FDB">
        <w:rPr>
          <w:rFonts w:hint="cs"/>
          <w:spacing w:val="0"/>
          <w:kern w:val="0"/>
          <w:sz w:val="26"/>
          <w:szCs w:val="26"/>
          <w:rtl/>
        </w:rPr>
        <w:t xml:space="preserve">عن </w:t>
      </w:r>
      <w:r w:rsidRPr="00E86FDB">
        <w:rPr>
          <w:spacing w:val="0"/>
          <w:kern w:val="0"/>
          <w:sz w:val="26"/>
          <w:szCs w:val="26"/>
          <w:rtl/>
        </w:rPr>
        <w:t xml:space="preserve">متناول أيديهم، على أن </w:t>
      </w:r>
      <w:r w:rsidRPr="00E86FDB">
        <w:rPr>
          <w:rFonts w:hint="cs"/>
          <w:spacing w:val="0"/>
          <w:kern w:val="0"/>
          <w:sz w:val="26"/>
          <w:szCs w:val="26"/>
          <w:rtl/>
        </w:rPr>
        <w:t>ي</w:t>
      </w:r>
      <w:r w:rsidRPr="00E86FDB">
        <w:rPr>
          <w:spacing w:val="0"/>
          <w:kern w:val="0"/>
          <w:sz w:val="26"/>
          <w:szCs w:val="26"/>
          <w:rtl/>
        </w:rPr>
        <w:t xml:space="preserve">فعل ذلك </w:t>
      </w:r>
      <w:r w:rsidRPr="00E86FDB">
        <w:rPr>
          <w:rFonts w:hint="cs"/>
          <w:spacing w:val="0"/>
          <w:kern w:val="0"/>
          <w:sz w:val="26"/>
          <w:szCs w:val="26"/>
          <w:rtl/>
        </w:rPr>
        <w:t>أمام</w:t>
      </w:r>
      <w:r w:rsidRPr="00E86FDB">
        <w:rPr>
          <w:spacing w:val="0"/>
          <w:kern w:val="0"/>
          <w:sz w:val="26"/>
          <w:szCs w:val="26"/>
          <w:rtl/>
        </w:rPr>
        <w:t xml:space="preserve"> القاضي والطبيب الشرعي </w:t>
      </w:r>
      <w:r w:rsidRPr="00E86FDB">
        <w:rPr>
          <w:rFonts w:hint="cs"/>
          <w:spacing w:val="0"/>
          <w:kern w:val="0"/>
          <w:sz w:val="26"/>
          <w:szCs w:val="26"/>
          <w:rtl/>
        </w:rPr>
        <w:t>ل</w:t>
      </w:r>
      <w:r w:rsidRPr="00E86FDB">
        <w:rPr>
          <w:spacing w:val="0"/>
          <w:kern w:val="0"/>
          <w:sz w:val="26"/>
          <w:szCs w:val="26"/>
          <w:rtl/>
        </w:rPr>
        <w:t xml:space="preserve">لمحكمة العليا الوطنية". </w:t>
      </w:r>
      <w:r w:rsidRPr="00E86FDB">
        <w:rPr>
          <w:rFonts w:hint="cs"/>
          <w:spacing w:val="0"/>
          <w:kern w:val="0"/>
          <w:sz w:val="26"/>
          <w:szCs w:val="26"/>
          <w:rtl/>
        </w:rPr>
        <w:t xml:space="preserve">ولا توجد إشارة في </w:t>
      </w:r>
      <w:r w:rsidRPr="00E86FDB">
        <w:rPr>
          <w:spacing w:val="0"/>
          <w:kern w:val="0"/>
          <w:sz w:val="26"/>
          <w:szCs w:val="26"/>
          <w:rtl/>
        </w:rPr>
        <w:t>الشكوى المقدمة إلى اللجنة</w:t>
      </w:r>
      <w:r w:rsidRPr="00E86FDB">
        <w:rPr>
          <w:rFonts w:hint="cs"/>
          <w:spacing w:val="0"/>
          <w:kern w:val="0"/>
          <w:sz w:val="26"/>
          <w:szCs w:val="26"/>
          <w:rtl/>
        </w:rPr>
        <w:t xml:space="preserve"> إلى هذا الفحص </w:t>
      </w:r>
      <w:r w:rsidRPr="00E86FDB">
        <w:rPr>
          <w:spacing w:val="0"/>
          <w:kern w:val="0"/>
          <w:sz w:val="26"/>
          <w:szCs w:val="26"/>
          <w:rtl/>
        </w:rPr>
        <w:t xml:space="preserve">الطبي </w:t>
      </w:r>
      <w:r w:rsidRPr="00E86FDB">
        <w:rPr>
          <w:rFonts w:hint="cs"/>
          <w:spacing w:val="0"/>
          <w:kern w:val="0"/>
          <w:sz w:val="26"/>
          <w:szCs w:val="26"/>
          <w:rtl/>
        </w:rPr>
        <w:t>الأخير</w:t>
      </w:r>
      <w:r w:rsidRPr="00E86FDB">
        <w:rPr>
          <w:spacing w:val="0"/>
          <w:kern w:val="0"/>
          <w:sz w:val="26"/>
          <w:szCs w:val="26"/>
          <w:rtl/>
        </w:rPr>
        <w:t xml:space="preserve">. </w:t>
      </w:r>
      <w:r w:rsidRPr="00E86FDB">
        <w:rPr>
          <w:rFonts w:hint="cs"/>
          <w:spacing w:val="0"/>
          <w:kern w:val="0"/>
          <w:sz w:val="26"/>
          <w:szCs w:val="26"/>
          <w:rtl/>
        </w:rPr>
        <w:t>و</w:t>
      </w:r>
      <w:r w:rsidRPr="00E86FDB">
        <w:rPr>
          <w:spacing w:val="0"/>
          <w:kern w:val="0"/>
          <w:sz w:val="26"/>
          <w:szCs w:val="26"/>
          <w:rtl/>
        </w:rPr>
        <w:t>وفقا</w:t>
      </w:r>
      <w:r w:rsidRPr="00E86FDB">
        <w:rPr>
          <w:rFonts w:hint="cs"/>
          <w:spacing w:val="0"/>
          <w:kern w:val="0"/>
          <w:sz w:val="26"/>
          <w:szCs w:val="26"/>
          <w:rtl/>
        </w:rPr>
        <w:t>ً لحكم الدائرة الثانية للقضايا الجنائية التابعة ل</w:t>
      </w:r>
      <w:r w:rsidRPr="00E86FDB">
        <w:rPr>
          <w:spacing w:val="0"/>
          <w:kern w:val="0"/>
          <w:sz w:val="26"/>
          <w:szCs w:val="26"/>
          <w:rtl/>
        </w:rPr>
        <w:t>لمحكمة العليا</w:t>
      </w:r>
      <w:r w:rsidRPr="00E86FDB">
        <w:rPr>
          <w:rFonts w:hint="cs"/>
          <w:spacing w:val="0"/>
          <w:kern w:val="0"/>
          <w:sz w:val="26"/>
          <w:szCs w:val="26"/>
          <w:rtl/>
        </w:rPr>
        <w:t xml:space="preserve"> الصادر في </w:t>
      </w:r>
      <w:r w:rsidRPr="00E86FDB">
        <w:rPr>
          <w:spacing w:val="0"/>
          <w:kern w:val="0"/>
          <w:sz w:val="26"/>
          <w:szCs w:val="26"/>
          <w:rtl/>
        </w:rPr>
        <w:t>4 كانون الأول</w:t>
      </w:r>
      <w:r w:rsidRPr="00E86FDB">
        <w:rPr>
          <w:rFonts w:hint="cs"/>
          <w:spacing w:val="0"/>
          <w:kern w:val="0"/>
          <w:sz w:val="26"/>
          <w:szCs w:val="26"/>
          <w:rtl/>
        </w:rPr>
        <w:t>/ديسمبر</w:t>
      </w:r>
      <w:r w:rsidRPr="00E86FDB">
        <w:rPr>
          <w:spacing w:val="0"/>
          <w:kern w:val="0"/>
          <w:sz w:val="26"/>
          <w:szCs w:val="26"/>
          <w:rtl/>
        </w:rPr>
        <w:t xml:space="preserve"> 2006، </w:t>
      </w:r>
      <w:r w:rsidRPr="00E86FDB">
        <w:rPr>
          <w:rFonts w:hint="cs"/>
          <w:spacing w:val="0"/>
          <w:kern w:val="0"/>
          <w:sz w:val="26"/>
          <w:szCs w:val="26"/>
          <w:rtl/>
        </w:rPr>
        <w:t xml:space="preserve">فُحص صاحب </w:t>
      </w:r>
      <w:r w:rsidRPr="00E86FDB">
        <w:rPr>
          <w:spacing w:val="0"/>
          <w:kern w:val="0"/>
          <w:sz w:val="26"/>
          <w:szCs w:val="26"/>
          <w:rtl/>
        </w:rPr>
        <w:t>الشكوى للمرة الثالثة من قبل طبيب شرعي</w:t>
      </w:r>
      <w:r w:rsidRPr="00E86FDB">
        <w:rPr>
          <w:rFonts w:hint="cs"/>
          <w:spacing w:val="0"/>
          <w:kern w:val="0"/>
          <w:sz w:val="26"/>
          <w:szCs w:val="26"/>
          <w:rtl/>
        </w:rPr>
        <w:t xml:space="preserve"> معتمد لدى</w:t>
      </w:r>
      <w:r w:rsidRPr="00E86FDB">
        <w:rPr>
          <w:spacing w:val="0"/>
          <w:kern w:val="0"/>
          <w:sz w:val="26"/>
          <w:szCs w:val="26"/>
          <w:rtl/>
        </w:rPr>
        <w:t xml:space="preserve"> </w:t>
      </w:r>
      <w:r w:rsidRPr="00E86FDB">
        <w:rPr>
          <w:rFonts w:hint="cs"/>
          <w:spacing w:val="0"/>
          <w:kern w:val="0"/>
          <w:sz w:val="26"/>
          <w:szCs w:val="26"/>
          <w:rtl/>
        </w:rPr>
        <w:t xml:space="preserve">دائرة التحقيق </w:t>
      </w:r>
      <w:r w:rsidRPr="00E86FDB">
        <w:rPr>
          <w:spacing w:val="0"/>
          <w:kern w:val="0"/>
          <w:sz w:val="26"/>
          <w:szCs w:val="26"/>
          <w:rtl/>
        </w:rPr>
        <w:t xml:space="preserve">المركزية الأولى </w:t>
      </w:r>
      <w:r w:rsidRPr="00E86FDB">
        <w:rPr>
          <w:rFonts w:hint="cs"/>
          <w:spacing w:val="0"/>
          <w:kern w:val="0"/>
          <w:sz w:val="26"/>
          <w:szCs w:val="26"/>
          <w:rtl/>
        </w:rPr>
        <w:t>التابعة لل</w:t>
      </w:r>
      <w:r w:rsidRPr="00E86FDB">
        <w:rPr>
          <w:spacing w:val="0"/>
          <w:kern w:val="0"/>
          <w:sz w:val="26"/>
          <w:szCs w:val="26"/>
          <w:rtl/>
        </w:rPr>
        <w:t>محكمة العليا الوطنية في</w:t>
      </w:r>
      <w:r>
        <w:rPr>
          <w:rFonts w:hint="cs"/>
          <w:spacing w:val="0"/>
          <w:kern w:val="0"/>
          <w:sz w:val="26"/>
          <w:szCs w:val="26"/>
          <w:rtl/>
        </w:rPr>
        <w:t> </w:t>
      </w:r>
      <w:r w:rsidRPr="00E86FDB">
        <w:rPr>
          <w:spacing w:val="0"/>
          <w:kern w:val="0"/>
          <w:sz w:val="26"/>
          <w:szCs w:val="26"/>
          <w:rtl/>
        </w:rPr>
        <w:t>28 تشرين الأول</w:t>
      </w:r>
      <w:r w:rsidRPr="00E86FDB">
        <w:rPr>
          <w:rFonts w:hint="cs"/>
          <w:spacing w:val="0"/>
          <w:kern w:val="0"/>
          <w:sz w:val="26"/>
          <w:szCs w:val="26"/>
          <w:rtl/>
        </w:rPr>
        <w:t>/أكتوبر</w:t>
      </w:r>
      <w:r w:rsidRPr="00E86FDB">
        <w:rPr>
          <w:spacing w:val="0"/>
          <w:kern w:val="0"/>
          <w:sz w:val="26"/>
          <w:szCs w:val="26"/>
          <w:rtl/>
        </w:rPr>
        <w:t xml:space="preserve"> 2002. </w:t>
      </w:r>
      <w:r w:rsidRPr="00E86FDB">
        <w:rPr>
          <w:rFonts w:hint="cs"/>
          <w:spacing w:val="0"/>
          <w:kern w:val="0"/>
          <w:sz w:val="26"/>
          <w:szCs w:val="26"/>
          <w:rtl/>
        </w:rPr>
        <w:t>و</w:t>
      </w:r>
      <w:r w:rsidRPr="00E86FDB">
        <w:rPr>
          <w:spacing w:val="0"/>
          <w:kern w:val="0"/>
          <w:sz w:val="26"/>
          <w:szCs w:val="26"/>
          <w:rtl/>
        </w:rPr>
        <w:t xml:space="preserve">في تلك المناسبة، </w:t>
      </w:r>
      <w:r w:rsidRPr="00E86FDB">
        <w:rPr>
          <w:rFonts w:hint="cs"/>
          <w:spacing w:val="0"/>
          <w:kern w:val="0"/>
          <w:sz w:val="26"/>
          <w:szCs w:val="26"/>
          <w:rtl/>
        </w:rPr>
        <w:t xml:space="preserve">يزعم أن صاحب </w:t>
      </w:r>
      <w:r w:rsidRPr="00E86FDB">
        <w:rPr>
          <w:spacing w:val="0"/>
          <w:kern w:val="0"/>
          <w:sz w:val="26"/>
          <w:szCs w:val="26"/>
          <w:rtl/>
        </w:rPr>
        <w:t>الشكوى رفض خلع ملابسه، وذكر أن</w:t>
      </w:r>
      <w:r w:rsidRPr="00E86FDB">
        <w:rPr>
          <w:rFonts w:hint="cs"/>
          <w:spacing w:val="0"/>
          <w:kern w:val="0"/>
          <w:sz w:val="26"/>
          <w:szCs w:val="26"/>
          <w:rtl/>
        </w:rPr>
        <w:t xml:space="preserve">ه لا يعاني من أي </w:t>
      </w:r>
      <w:r w:rsidRPr="00E86FDB">
        <w:rPr>
          <w:spacing w:val="0"/>
          <w:kern w:val="0"/>
          <w:sz w:val="26"/>
          <w:szCs w:val="26"/>
          <w:rtl/>
        </w:rPr>
        <w:t>شيء.</w:t>
      </w:r>
    </w:p>
  </w:footnote>
  <w:footnote w:id="440">
    <w:p w:rsidR="00D64D4C" w:rsidRPr="00E86FDB" w:rsidRDefault="00D64D4C" w:rsidP="00EA66E5">
      <w:pPr>
        <w:pStyle w:val="FootnoteText"/>
        <w:numPr>
          <w:ilvl w:val="0"/>
          <w:numId w:val="48"/>
        </w:numPr>
        <w:tabs>
          <w:tab w:val="clear" w:pos="8925"/>
          <w:tab w:val="left" w:pos="1239"/>
        </w:tabs>
        <w:spacing w:after="60" w:line="300" w:lineRule="exact"/>
        <w:ind w:left="1248" w:right="1247" w:hanging="227"/>
        <w:jc w:val="lowKashida"/>
        <w:rPr>
          <w:rFonts w:hint="cs"/>
          <w:spacing w:val="0"/>
          <w:kern w:val="0"/>
          <w:sz w:val="26"/>
          <w:szCs w:val="26"/>
        </w:rPr>
      </w:pPr>
      <w:r w:rsidRPr="00E86FDB">
        <w:rPr>
          <w:spacing w:val="0"/>
          <w:kern w:val="0"/>
          <w:sz w:val="26"/>
          <w:szCs w:val="26"/>
          <w:rtl/>
        </w:rPr>
        <w:t>في بيان</w:t>
      </w:r>
      <w:r w:rsidRPr="00E86FDB">
        <w:rPr>
          <w:rFonts w:hint="cs"/>
          <w:spacing w:val="0"/>
          <w:kern w:val="0"/>
          <w:sz w:val="26"/>
          <w:szCs w:val="26"/>
          <w:rtl/>
        </w:rPr>
        <w:t xml:space="preserve">ه الخطي المؤرخ </w:t>
      </w:r>
      <w:r w:rsidRPr="00E86FDB">
        <w:rPr>
          <w:spacing w:val="0"/>
          <w:kern w:val="0"/>
          <w:sz w:val="26"/>
          <w:szCs w:val="26"/>
          <w:rtl/>
        </w:rPr>
        <w:t xml:space="preserve">29 </w:t>
      </w:r>
      <w:r w:rsidRPr="00E86FDB">
        <w:rPr>
          <w:rFonts w:hint="cs"/>
          <w:spacing w:val="0"/>
          <w:kern w:val="0"/>
          <w:sz w:val="26"/>
          <w:szCs w:val="26"/>
          <w:rtl/>
        </w:rPr>
        <w:t>كانون الثاني/</w:t>
      </w:r>
      <w:r w:rsidRPr="00E86FDB">
        <w:rPr>
          <w:spacing w:val="0"/>
          <w:kern w:val="0"/>
          <w:sz w:val="26"/>
          <w:szCs w:val="26"/>
          <w:rtl/>
        </w:rPr>
        <w:t xml:space="preserve">يناير 2003 </w:t>
      </w:r>
      <w:r w:rsidRPr="00E86FDB">
        <w:rPr>
          <w:rFonts w:hint="cs"/>
          <w:spacing w:val="0"/>
          <w:kern w:val="0"/>
          <w:sz w:val="26"/>
          <w:szCs w:val="26"/>
          <w:rtl/>
        </w:rPr>
        <w:t xml:space="preserve">المقدم </w:t>
      </w:r>
      <w:r w:rsidRPr="00E86FDB">
        <w:rPr>
          <w:spacing w:val="0"/>
          <w:kern w:val="0"/>
          <w:sz w:val="26"/>
          <w:szCs w:val="26"/>
          <w:rtl/>
        </w:rPr>
        <w:t xml:space="preserve">إلى محكمة شرطة دونوستيا سان سيباستيان، </w:t>
      </w:r>
      <w:r w:rsidRPr="00E86FDB">
        <w:rPr>
          <w:rFonts w:hint="cs"/>
          <w:spacing w:val="0"/>
          <w:kern w:val="0"/>
          <w:sz w:val="26"/>
          <w:szCs w:val="26"/>
          <w:rtl/>
        </w:rPr>
        <w:t>يشير صاحب</w:t>
      </w:r>
      <w:r w:rsidRPr="00E86FDB">
        <w:rPr>
          <w:spacing w:val="0"/>
          <w:kern w:val="0"/>
          <w:sz w:val="26"/>
          <w:szCs w:val="26"/>
          <w:rtl/>
        </w:rPr>
        <w:t xml:space="preserve"> الشكوى </w:t>
      </w:r>
      <w:r w:rsidRPr="00E86FDB">
        <w:rPr>
          <w:rFonts w:hint="cs"/>
          <w:spacing w:val="0"/>
          <w:kern w:val="0"/>
          <w:sz w:val="26"/>
          <w:szCs w:val="26"/>
          <w:rtl/>
        </w:rPr>
        <w:t xml:space="preserve">إلى </w:t>
      </w:r>
      <w:r w:rsidRPr="00E86FDB">
        <w:rPr>
          <w:spacing w:val="0"/>
          <w:kern w:val="0"/>
          <w:sz w:val="26"/>
          <w:szCs w:val="26"/>
          <w:rtl/>
        </w:rPr>
        <w:t>أن المحامي المعين "ظل صامت</w:t>
      </w:r>
      <w:r w:rsidRPr="00E86FDB">
        <w:rPr>
          <w:rFonts w:hint="cs"/>
          <w:spacing w:val="0"/>
          <w:kern w:val="0"/>
          <w:sz w:val="26"/>
          <w:szCs w:val="26"/>
          <w:rtl/>
        </w:rPr>
        <w:t>اً</w:t>
      </w:r>
      <w:r w:rsidRPr="00E86FDB">
        <w:rPr>
          <w:spacing w:val="0"/>
          <w:kern w:val="0"/>
          <w:sz w:val="26"/>
          <w:szCs w:val="26"/>
          <w:rtl/>
        </w:rPr>
        <w:t>، حتى عندما قل</w:t>
      </w:r>
      <w:r w:rsidRPr="00E86FDB">
        <w:rPr>
          <w:rFonts w:hint="cs"/>
          <w:spacing w:val="0"/>
          <w:kern w:val="0"/>
          <w:sz w:val="26"/>
          <w:szCs w:val="26"/>
          <w:rtl/>
        </w:rPr>
        <w:t>ت</w:t>
      </w:r>
      <w:r w:rsidRPr="00E86FDB">
        <w:rPr>
          <w:spacing w:val="0"/>
          <w:kern w:val="0"/>
          <w:sz w:val="26"/>
          <w:szCs w:val="26"/>
          <w:rtl/>
        </w:rPr>
        <w:t xml:space="preserve"> </w:t>
      </w:r>
      <w:r w:rsidRPr="00E86FDB">
        <w:rPr>
          <w:rFonts w:hint="cs"/>
          <w:spacing w:val="0"/>
          <w:kern w:val="0"/>
          <w:sz w:val="26"/>
          <w:szCs w:val="26"/>
          <w:rtl/>
        </w:rPr>
        <w:t>إنني</w:t>
      </w:r>
      <w:r w:rsidRPr="00E86FDB">
        <w:rPr>
          <w:spacing w:val="0"/>
          <w:kern w:val="0"/>
          <w:sz w:val="26"/>
          <w:szCs w:val="26"/>
          <w:rtl/>
        </w:rPr>
        <w:t xml:space="preserve"> تعرض</w:t>
      </w:r>
      <w:r w:rsidRPr="00E86FDB">
        <w:rPr>
          <w:rFonts w:hint="cs"/>
          <w:spacing w:val="0"/>
          <w:kern w:val="0"/>
          <w:sz w:val="26"/>
          <w:szCs w:val="26"/>
          <w:rtl/>
        </w:rPr>
        <w:t>ت</w:t>
      </w:r>
      <w:r w:rsidRPr="00E86FDB">
        <w:rPr>
          <w:spacing w:val="0"/>
          <w:kern w:val="0"/>
          <w:sz w:val="26"/>
          <w:szCs w:val="26"/>
          <w:rtl/>
        </w:rPr>
        <w:t xml:space="preserve"> للتعذيب".</w:t>
      </w:r>
    </w:p>
  </w:footnote>
  <w:footnote w:id="441">
    <w:p w:rsidR="00D64D4C" w:rsidRPr="00E86FDB" w:rsidRDefault="00D64D4C" w:rsidP="001A08AE">
      <w:pPr>
        <w:pStyle w:val="FootnoteText"/>
        <w:tabs>
          <w:tab w:val="left" w:pos="1239"/>
        </w:tabs>
        <w:spacing w:after="60" w:line="300" w:lineRule="exact"/>
        <w:ind w:left="1239" w:right="1247" w:hanging="462"/>
        <w:jc w:val="lowKashida"/>
        <w:rPr>
          <w:rFonts w:hint="cs"/>
          <w:b/>
          <w:spacing w:val="0"/>
          <w:kern w:val="0"/>
          <w:szCs w:val="26"/>
        </w:rPr>
      </w:pPr>
      <w:r w:rsidRPr="00E86FDB">
        <w:rPr>
          <w:rFonts w:hint="cs"/>
          <w:spacing w:val="0"/>
          <w:kern w:val="0"/>
          <w:sz w:val="26"/>
          <w:szCs w:val="26"/>
          <w:rtl/>
        </w:rPr>
        <w:t>(ﻫ)</w:t>
      </w:r>
      <w:r w:rsidRPr="00E86FDB">
        <w:rPr>
          <w:rFonts w:hint="cs"/>
          <w:spacing w:val="0"/>
          <w:kern w:val="0"/>
          <w:sz w:val="26"/>
          <w:szCs w:val="26"/>
          <w:rtl/>
        </w:rPr>
        <w:tab/>
        <w:t>يشار في هذا القرار إلى أنه:</w:t>
      </w:r>
      <w:r w:rsidRPr="00E86FDB">
        <w:rPr>
          <w:spacing w:val="0"/>
          <w:kern w:val="0"/>
          <w:sz w:val="26"/>
          <w:szCs w:val="26"/>
          <w:rtl/>
        </w:rPr>
        <w:t xml:space="preserve"> "</w:t>
      </w:r>
      <w:r w:rsidRPr="00E86FDB">
        <w:rPr>
          <w:rFonts w:hint="cs"/>
          <w:spacing w:val="0"/>
          <w:kern w:val="0"/>
          <w:sz w:val="26"/>
          <w:szCs w:val="26"/>
          <w:rtl/>
        </w:rPr>
        <w:t>حسبما سُجل</w:t>
      </w:r>
      <w:r w:rsidRPr="00E86FDB">
        <w:rPr>
          <w:spacing w:val="0"/>
          <w:kern w:val="0"/>
          <w:sz w:val="26"/>
          <w:szCs w:val="26"/>
          <w:rtl/>
        </w:rPr>
        <w:t xml:space="preserve"> بأمانة في الحكم المستأنف، </w:t>
      </w:r>
      <w:r w:rsidRPr="00E86FDB">
        <w:rPr>
          <w:rFonts w:hint="cs"/>
          <w:spacing w:val="0"/>
          <w:kern w:val="0"/>
          <w:sz w:val="26"/>
          <w:szCs w:val="26"/>
          <w:rtl/>
        </w:rPr>
        <w:t xml:space="preserve">سحب المتهم أقواله أمام </w:t>
      </w:r>
      <w:r w:rsidRPr="00E86FDB">
        <w:rPr>
          <w:spacing w:val="0"/>
          <w:kern w:val="0"/>
          <w:sz w:val="26"/>
          <w:szCs w:val="26"/>
          <w:rtl/>
        </w:rPr>
        <w:t>قاضي التحقيق</w:t>
      </w:r>
      <w:r w:rsidRPr="00E86FDB">
        <w:rPr>
          <w:rFonts w:hint="cs"/>
          <w:spacing w:val="0"/>
          <w:kern w:val="0"/>
          <w:sz w:val="26"/>
          <w:szCs w:val="26"/>
          <w:rtl/>
        </w:rPr>
        <w:t>ات</w:t>
      </w:r>
      <w:r w:rsidRPr="00E86FDB">
        <w:rPr>
          <w:spacing w:val="0"/>
          <w:kern w:val="0"/>
          <w:sz w:val="26"/>
          <w:szCs w:val="26"/>
          <w:rtl/>
        </w:rPr>
        <w:t xml:space="preserve"> </w:t>
      </w:r>
      <w:r>
        <w:rPr>
          <w:rFonts w:hint="cs"/>
          <w:spacing w:val="0"/>
          <w:kern w:val="0"/>
          <w:sz w:val="26"/>
          <w:szCs w:val="26"/>
          <w:rtl/>
        </w:rPr>
        <w:t>[</w:t>
      </w:r>
      <w:r w:rsidRPr="00E86FDB">
        <w:rPr>
          <w:spacing w:val="0"/>
          <w:kern w:val="0"/>
          <w:sz w:val="26"/>
          <w:szCs w:val="26"/>
          <w:rtl/>
        </w:rPr>
        <w:t>...</w:t>
      </w:r>
      <w:r>
        <w:rPr>
          <w:rFonts w:hint="cs"/>
          <w:spacing w:val="0"/>
          <w:kern w:val="0"/>
          <w:sz w:val="26"/>
          <w:szCs w:val="26"/>
          <w:rtl/>
        </w:rPr>
        <w:t>]</w:t>
      </w:r>
      <w:r w:rsidRPr="00E86FDB">
        <w:rPr>
          <w:spacing w:val="0"/>
          <w:kern w:val="0"/>
          <w:sz w:val="26"/>
          <w:szCs w:val="26"/>
          <w:rtl/>
        </w:rPr>
        <w:t xml:space="preserve"> </w:t>
      </w:r>
      <w:r w:rsidRPr="00E86FDB">
        <w:rPr>
          <w:rFonts w:hint="cs"/>
          <w:spacing w:val="0"/>
          <w:kern w:val="0"/>
          <w:sz w:val="26"/>
          <w:szCs w:val="26"/>
          <w:rtl/>
        </w:rPr>
        <w:t>مدعياً</w:t>
      </w:r>
      <w:r w:rsidRPr="00E86FDB">
        <w:rPr>
          <w:spacing w:val="0"/>
          <w:kern w:val="0"/>
          <w:sz w:val="26"/>
          <w:szCs w:val="26"/>
          <w:rtl/>
        </w:rPr>
        <w:t xml:space="preserve"> أنه تعرض للعنف النفسي و</w:t>
      </w:r>
      <w:r w:rsidRPr="00E86FDB">
        <w:rPr>
          <w:rFonts w:hint="cs"/>
          <w:spacing w:val="0"/>
          <w:kern w:val="0"/>
          <w:sz w:val="26"/>
          <w:szCs w:val="26"/>
          <w:rtl/>
        </w:rPr>
        <w:t xml:space="preserve">البدني </w:t>
      </w:r>
      <w:r w:rsidRPr="00E86FDB">
        <w:rPr>
          <w:spacing w:val="0"/>
          <w:kern w:val="0"/>
          <w:sz w:val="26"/>
          <w:szCs w:val="26"/>
          <w:rtl/>
        </w:rPr>
        <w:t>أثناء القبض عليه</w:t>
      </w:r>
      <w:r w:rsidRPr="00E86FDB">
        <w:rPr>
          <w:rFonts w:hint="cs"/>
          <w:spacing w:val="0"/>
          <w:kern w:val="0"/>
          <w:sz w:val="26"/>
          <w:szCs w:val="26"/>
          <w:rtl/>
        </w:rPr>
        <w:t xml:space="preserve"> وأنه </w:t>
      </w:r>
      <w:r w:rsidRPr="00E86FDB">
        <w:rPr>
          <w:spacing w:val="0"/>
          <w:kern w:val="0"/>
          <w:sz w:val="26"/>
          <w:szCs w:val="26"/>
          <w:rtl/>
        </w:rPr>
        <w:t xml:space="preserve">أبلغ الطبيب الشرعي </w:t>
      </w:r>
      <w:r w:rsidRPr="00E86FDB">
        <w:rPr>
          <w:rFonts w:hint="cs"/>
          <w:spacing w:val="0"/>
          <w:kern w:val="0"/>
          <w:sz w:val="26"/>
          <w:szCs w:val="26"/>
          <w:rtl/>
        </w:rPr>
        <w:t xml:space="preserve">بذلك </w:t>
      </w:r>
      <w:r w:rsidRPr="00E86FDB">
        <w:rPr>
          <w:spacing w:val="0"/>
          <w:kern w:val="0"/>
          <w:sz w:val="26"/>
          <w:szCs w:val="26"/>
          <w:rtl/>
        </w:rPr>
        <w:t xml:space="preserve">[...] </w:t>
      </w:r>
      <w:r w:rsidRPr="00E86FDB">
        <w:rPr>
          <w:rFonts w:hint="cs"/>
          <w:spacing w:val="0"/>
          <w:kern w:val="0"/>
          <w:sz w:val="26"/>
          <w:szCs w:val="26"/>
          <w:rtl/>
        </w:rPr>
        <w:t xml:space="preserve">وأنكر في </w:t>
      </w:r>
      <w:r w:rsidRPr="00E86FDB">
        <w:rPr>
          <w:spacing w:val="0"/>
          <w:kern w:val="0"/>
          <w:sz w:val="26"/>
          <w:szCs w:val="26"/>
          <w:rtl/>
        </w:rPr>
        <w:t>المحاكمة أيضا</w:t>
      </w:r>
      <w:r w:rsidRPr="00E86FDB">
        <w:rPr>
          <w:rFonts w:hint="cs"/>
          <w:spacing w:val="0"/>
          <w:kern w:val="0"/>
          <w:sz w:val="26"/>
          <w:szCs w:val="26"/>
          <w:rtl/>
        </w:rPr>
        <w:t>ً</w:t>
      </w:r>
      <w:r w:rsidRPr="00E86FDB">
        <w:rPr>
          <w:spacing w:val="0"/>
          <w:kern w:val="0"/>
          <w:sz w:val="26"/>
          <w:szCs w:val="26"/>
          <w:rtl/>
        </w:rPr>
        <w:t xml:space="preserve"> </w:t>
      </w:r>
      <w:r w:rsidRPr="00E86FDB">
        <w:rPr>
          <w:rFonts w:hint="cs"/>
          <w:spacing w:val="0"/>
          <w:kern w:val="0"/>
          <w:sz w:val="26"/>
          <w:szCs w:val="26"/>
          <w:rtl/>
        </w:rPr>
        <w:t>ال</w:t>
      </w:r>
      <w:r w:rsidRPr="00E86FDB">
        <w:rPr>
          <w:spacing w:val="0"/>
          <w:kern w:val="0"/>
          <w:sz w:val="26"/>
          <w:szCs w:val="26"/>
          <w:rtl/>
        </w:rPr>
        <w:t xml:space="preserve">وقائع </w:t>
      </w:r>
      <w:r w:rsidRPr="00E86FDB">
        <w:rPr>
          <w:rFonts w:hint="cs"/>
          <w:spacing w:val="0"/>
          <w:kern w:val="0"/>
          <w:sz w:val="26"/>
          <w:szCs w:val="26"/>
          <w:rtl/>
        </w:rPr>
        <w:t>التي اعترف بها".</w:t>
      </w:r>
    </w:p>
  </w:footnote>
  <w:footnote w:id="442">
    <w:p w:rsidR="00D64D4C" w:rsidRPr="00E86FDB" w:rsidRDefault="00D64D4C" w:rsidP="00E86FDB">
      <w:pPr>
        <w:pStyle w:val="FootnoteText"/>
        <w:tabs>
          <w:tab w:val="left" w:pos="1239"/>
        </w:tabs>
        <w:spacing w:after="60" w:line="300" w:lineRule="exact"/>
        <w:ind w:left="1239" w:right="1247" w:hanging="490"/>
        <w:jc w:val="lowKashida"/>
        <w:rPr>
          <w:rFonts w:hint="cs"/>
          <w:b/>
          <w:spacing w:val="0"/>
          <w:kern w:val="0"/>
          <w:sz w:val="18"/>
          <w:szCs w:val="26"/>
        </w:rPr>
      </w:pPr>
      <w:r w:rsidRPr="00E86FDB">
        <w:rPr>
          <w:rFonts w:hint="cs"/>
          <w:spacing w:val="0"/>
          <w:kern w:val="0"/>
          <w:sz w:val="18"/>
          <w:szCs w:val="26"/>
          <w:rtl/>
        </w:rPr>
        <w:t>(و)</w:t>
      </w:r>
      <w:r w:rsidRPr="00E86FDB">
        <w:rPr>
          <w:rFonts w:hint="cs"/>
          <w:spacing w:val="0"/>
          <w:kern w:val="0"/>
          <w:sz w:val="18"/>
          <w:szCs w:val="26"/>
          <w:rtl/>
        </w:rPr>
        <w:tab/>
        <w:t>يشير صاحب الشكوى إلى الملاحظات الختامية للجنة بشأن التقريرين الدوريين الرابع والخامس لإسبانيا</w:t>
      </w:r>
      <w:r w:rsidRPr="00E86FDB">
        <w:rPr>
          <w:rFonts w:hint="cs"/>
          <w:b/>
          <w:spacing w:val="0"/>
          <w:kern w:val="0"/>
          <w:sz w:val="18"/>
          <w:szCs w:val="26"/>
          <w:rtl/>
        </w:rPr>
        <w:t xml:space="preserve"> (</w:t>
      </w:r>
      <w:r w:rsidRPr="00E86FDB">
        <w:rPr>
          <w:bCs/>
          <w:spacing w:val="0"/>
          <w:kern w:val="0"/>
          <w:sz w:val="18"/>
          <w:szCs w:val="26"/>
          <w:lang w:val="en-CA"/>
        </w:rPr>
        <w:t>CAT/C/CR/29/3</w:t>
      </w:r>
      <w:r w:rsidRPr="00E86FDB">
        <w:rPr>
          <w:rFonts w:hint="cs"/>
          <w:b/>
          <w:spacing w:val="0"/>
          <w:kern w:val="0"/>
          <w:sz w:val="18"/>
          <w:szCs w:val="26"/>
          <w:rtl/>
          <w:lang w:val="en-CA"/>
        </w:rPr>
        <w:t xml:space="preserve"> و</w:t>
      </w:r>
      <w:r w:rsidRPr="00E86FDB">
        <w:rPr>
          <w:bCs/>
          <w:spacing w:val="0"/>
          <w:kern w:val="0"/>
          <w:sz w:val="18"/>
          <w:szCs w:val="26"/>
          <w:lang w:val="en-CA"/>
        </w:rPr>
        <w:t>CAT/C/ESP/CO/5</w:t>
      </w:r>
      <w:r w:rsidRPr="00E86FDB">
        <w:rPr>
          <w:rFonts w:hint="cs"/>
          <w:spacing w:val="0"/>
          <w:kern w:val="0"/>
          <w:sz w:val="18"/>
          <w:szCs w:val="26"/>
          <w:rtl/>
        </w:rPr>
        <w:t>، على التوالي).</w:t>
      </w:r>
    </w:p>
  </w:footnote>
  <w:footnote w:id="443">
    <w:p w:rsidR="00D64D4C" w:rsidRPr="00E86FDB" w:rsidRDefault="00D64D4C" w:rsidP="00E86FDB">
      <w:pPr>
        <w:pStyle w:val="FootnoteText"/>
        <w:tabs>
          <w:tab w:val="left" w:pos="1239"/>
        </w:tabs>
        <w:spacing w:after="60" w:line="300" w:lineRule="exact"/>
        <w:ind w:left="1239" w:right="1247" w:hanging="490"/>
        <w:jc w:val="lowKashida"/>
        <w:rPr>
          <w:rFonts w:hint="cs"/>
          <w:spacing w:val="0"/>
          <w:kern w:val="0"/>
          <w:sz w:val="18"/>
          <w:szCs w:val="26"/>
        </w:rPr>
      </w:pPr>
      <w:r w:rsidRPr="00E86FDB">
        <w:rPr>
          <w:rFonts w:hint="cs"/>
          <w:spacing w:val="0"/>
          <w:kern w:val="0"/>
          <w:sz w:val="18"/>
          <w:szCs w:val="26"/>
          <w:rtl/>
        </w:rPr>
        <w:t>(ز)</w:t>
      </w:r>
      <w:r w:rsidRPr="00E86FDB">
        <w:rPr>
          <w:rFonts w:hint="cs"/>
          <w:spacing w:val="0"/>
          <w:kern w:val="0"/>
          <w:sz w:val="18"/>
          <w:szCs w:val="26"/>
          <w:rtl/>
        </w:rPr>
        <w:tab/>
        <w:t>يشير صاحب الشكوى إلى الملاحظات الختامية للجنة المعنية بحقوق الإنسان بشأن التقريرين الدوريين الرابع والخامس لإسبانيا</w:t>
      </w:r>
      <w:r w:rsidRPr="00E86FDB">
        <w:rPr>
          <w:rFonts w:hint="cs"/>
          <w:b/>
          <w:spacing w:val="0"/>
          <w:kern w:val="0"/>
          <w:sz w:val="18"/>
          <w:szCs w:val="26"/>
          <w:rtl/>
        </w:rPr>
        <w:t xml:space="preserve"> (</w:t>
      </w:r>
      <w:r w:rsidRPr="00E86FDB">
        <w:rPr>
          <w:bCs/>
          <w:spacing w:val="0"/>
          <w:kern w:val="0"/>
          <w:sz w:val="18"/>
          <w:szCs w:val="26"/>
          <w:lang w:val="en-CA"/>
        </w:rPr>
        <w:t>CCPR/C/79/Add.61</w:t>
      </w:r>
      <w:r w:rsidRPr="00E86FDB">
        <w:rPr>
          <w:rFonts w:hint="cs"/>
          <w:b/>
          <w:spacing w:val="0"/>
          <w:kern w:val="0"/>
          <w:sz w:val="18"/>
          <w:szCs w:val="26"/>
          <w:rtl/>
          <w:lang w:val="en-CA"/>
        </w:rPr>
        <w:t xml:space="preserve"> و</w:t>
      </w:r>
      <w:r w:rsidRPr="00E86FDB">
        <w:rPr>
          <w:bCs/>
          <w:spacing w:val="0"/>
          <w:kern w:val="0"/>
          <w:sz w:val="18"/>
          <w:szCs w:val="26"/>
          <w:lang w:val="en-CA"/>
        </w:rPr>
        <w:t>CCPR/C/ESP/CO/5</w:t>
      </w:r>
      <w:r w:rsidRPr="00E86FDB">
        <w:rPr>
          <w:rFonts w:hint="cs"/>
          <w:spacing w:val="0"/>
          <w:kern w:val="0"/>
          <w:sz w:val="18"/>
          <w:szCs w:val="26"/>
          <w:rtl/>
        </w:rPr>
        <w:t>، على التوالي).</w:t>
      </w:r>
    </w:p>
  </w:footnote>
  <w:footnote w:id="444">
    <w:p w:rsidR="00D64D4C" w:rsidRPr="00E86FDB" w:rsidRDefault="00D64D4C" w:rsidP="00E86FDB">
      <w:pPr>
        <w:pStyle w:val="FootnoteText"/>
        <w:tabs>
          <w:tab w:val="left" w:pos="1239"/>
        </w:tabs>
        <w:spacing w:after="60" w:line="300" w:lineRule="exact"/>
        <w:ind w:left="1239" w:right="1247" w:hanging="448"/>
        <w:jc w:val="lowKashida"/>
        <w:rPr>
          <w:rFonts w:hint="cs"/>
          <w:spacing w:val="0"/>
          <w:kern w:val="0"/>
          <w:sz w:val="26"/>
          <w:szCs w:val="26"/>
        </w:rPr>
      </w:pPr>
      <w:r w:rsidRPr="00E86FDB">
        <w:rPr>
          <w:rFonts w:hint="cs"/>
          <w:spacing w:val="0"/>
          <w:kern w:val="0"/>
          <w:sz w:val="26"/>
          <w:szCs w:val="26"/>
          <w:rtl/>
        </w:rPr>
        <w:t>(ح)</w:t>
      </w:r>
      <w:r w:rsidRPr="00E86FDB">
        <w:rPr>
          <w:rFonts w:hint="cs"/>
          <w:spacing w:val="0"/>
          <w:kern w:val="0"/>
          <w:sz w:val="26"/>
          <w:szCs w:val="26"/>
          <w:rtl/>
        </w:rPr>
        <w:tab/>
      </w:r>
      <w:r w:rsidRPr="00E86FDB">
        <w:rPr>
          <w:spacing w:val="0"/>
          <w:kern w:val="0"/>
          <w:sz w:val="26"/>
          <w:szCs w:val="26"/>
          <w:rtl/>
        </w:rPr>
        <w:t xml:space="preserve">أشارت المحكمة العليا </w:t>
      </w:r>
      <w:r w:rsidRPr="00E86FDB">
        <w:rPr>
          <w:rFonts w:hint="cs"/>
          <w:spacing w:val="0"/>
          <w:kern w:val="0"/>
          <w:sz w:val="26"/>
          <w:szCs w:val="26"/>
          <w:rtl/>
        </w:rPr>
        <w:t>الإقليمية في</w:t>
      </w:r>
      <w:r w:rsidRPr="00E86FDB">
        <w:rPr>
          <w:spacing w:val="0"/>
          <w:kern w:val="0"/>
          <w:sz w:val="26"/>
          <w:szCs w:val="26"/>
          <w:rtl/>
        </w:rPr>
        <w:t xml:space="preserve"> ألافا </w:t>
      </w:r>
      <w:r w:rsidRPr="00E86FDB">
        <w:rPr>
          <w:rFonts w:hint="cs"/>
          <w:spacing w:val="0"/>
          <w:kern w:val="0"/>
          <w:sz w:val="26"/>
          <w:szCs w:val="26"/>
          <w:rtl/>
        </w:rPr>
        <w:t>إلى أنه يمكن اعتبار أقوال الضحية كدليل للمحاكمة</w:t>
      </w:r>
      <w:r w:rsidRPr="00E86FDB">
        <w:rPr>
          <w:spacing w:val="0"/>
          <w:kern w:val="0"/>
          <w:sz w:val="26"/>
          <w:szCs w:val="26"/>
          <w:rtl/>
        </w:rPr>
        <w:t xml:space="preserve">، ولكن </w:t>
      </w:r>
      <w:r w:rsidRPr="00E86FDB">
        <w:rPr>
          <w:rFonts w:hint="cs"/>
          <w:spacing w:val="0"/>
          <w:kern w:val="0"/>
          <w:sz w:val="26"/>
          <w:szCs w:val="26"/>
          <w:rtl/>
        </w:rPr>
        <w:t xml:space="preserve">يجب تأييد </w:t>
      </w:r>
      <w:r w:rsidRPr="00E86FDB">
        <w:rPr>
          <w:spacing w:val="0"/>
          <w:kern w:val="0"/>
          <w:sz w:val="26"/>
          <w:szCs w:val="26"/>
          <w:rtl/>
        </w:rPr>
        <w:t xml:space="preserve">ادعاءاته </w:t>
      </w:r>
      <w:r w:rsidRPr="00E86FDB">
        <w:rPr>
          <w:rFonts w:hint="cs"/>
          <w:spacing w:val="0"/>
          <w:kern w:val="0"/>
          <w:sz w:val="26"/>
          <w:szCs w:val="26"/>
          <w:rtl/>
        </w:rPr>
        <w:t>ب</w:t>
      </w:r>
      <w:r w:rsidRPr="00E86FDB">
        <w:rPr>
          <w:spacing w:val="0"/>
          <w:kern w:val="0"/>
          <w:sz w:val="26"/>
          <w:szCs w:val="26"/>
          <w:rtl/>
        </w:rPr>
        <w:t xml:space="preserve">أدلة داعمة، والتي </w:t>
      </w:r>
      <w:r w:rsidRPr="00E86FDB">
        <w:rPr>
          <w:rFonts w:hint="cs"/>
          <w:spacing w:val="0"/>
          <w:kern w:val="0"/>
          <w:sz w:val="26"/>
          <w:szCs w:val="26"/>
          <w:rtl/>
        </w:rPr>
        <w:t>لم تكن في هذه الحالة غير متوفرة فحسب،</w:t>
      </w:r>
      <w:r w:rsidRPr="00E86FDB">
        <w:rPr>
          <w:spacing w:val="0"/>
          <w:kern w:val="0"/>
          <w:sz w:val="26"/>
          <w:szCs w:val="26"/>
          <w:rtl/>
        </w:rPr>
        <w:t xml:space="preserve"> </w:t>
      </w:r>
      <w:r w:rsidRPr="00E86FDB">
        <w:rPr>
          <w:rFonts w:hint="cs"/>
          <w:spacing w:val="0"/>
          <w:kern w:val="0"/>
          <w:sz w:val="26"/>
          <w:szCs w:val="26"/>
          <w:rtl/>
        </w:rPr>
        <w:t xml:space="preserve">بل إنها استبعدت في </w:t>
      </w:r>
      <w:r w:rsidRPr="00E86FDB">
        <w:rPr>
          <w:spacing w:val="0"/>
          <w:kern w:val="0"/>
          <w:sz w:val="26"/>
          <w:szCs w:val="26"/>
          <w:rtl/>
        </w:rPr>
        <w:t xml:space="preserve">تقارير الطب الشرعي. ونتيجة لذلك، </w:t>
      </w:r>
      <w:r w:rsidRPr="00E86FDB">
        <w:rPr>
          <w:rFonts w:hint="cs"/>
          <w:spacing w:val="0"/>
          <w:kern w:val="0"/>
          <w:sz w:val="26"/>
          <w:szCs w:val="26"/>
          <w:rtl/>
        </w:rPr>
        <w:t>لم يكن</w:t>
      </w:r>
      <w:r w:rsidRPr="00E86FDB">
        <w:rPr>
          <w:spacing w:val="0"/>
          <w:kern w:val="0"/>
          <w:sz w:val="26"/>
          <w:szCs w:val="26"/>
          <w:rtl/>
        </w:rPr>
        <w:t xml:space="preserve"> من الضروري </w:t>
      </w:r>
      <w:r w:rsidRPr="00E86FDB">
        <w:rPr>
          <w:rFonts w:hint="cs"/>
          <w:spacing w:val="0"/>
          <w:kern w:val="0"/>
          <w:sz w:val="26"/>
          <w:szCs w:val="26"/>
          <w:rtl/>
        </w:rPr>
        <w:t>مطالبة شرطة الباسك ب</w:t>
      </w:r>
      <w:r w:rsidRPr="00E86FDB">
        <w:rPr>
          <w:spacing w:val="0"/>
          <w:kern w:val="0"/>
          <w:sz w:val="26"/>
          <w:szCs w:val="26"/>
          <w:rtl/>
        </w:rPr>
        <w:t xml:space="preserve">تحديد </w:t>
      </w:r>
      <w:r w:rsidRPr="00E86FDB">
        <w:rPr>
          <w:rFonts w:hint="cs"/>
          <w:spacing w:val="0"/>
          <w:kern w:val="0"/>
          <w:sz w:val="26"/>
          <w:szCs w:val="26"/>
          <w:rtl/>
        </w:rPr>
        <w:t xml:space="preserve">هوية </w:t>
      </w:r>
      <w:r w:rsidRPr="00E86FDB">
        <w:rPr>
          <w:spacing w:val="0"/>
          <w:kern w:val="0"/>
          <w:sz w:val="26"/>
          <w:szCs w:val="26"/>
          <w:rtl/>
        </w:rPr>
        <w:t xml:space="preserve">الأشخاص </w:t>
      </w:r>
      <w:r w:rsidRPr="00E86FDB">
        <w:rPr>
          <w:rFonts w:hint="cs"/>
          <w:spacing w:val="0"/>
          <w:kern w:val="0"/>
          <w:sz w:val="26"/>
          <w:szCs w:val="26"/>
          <w:rtl/>
        </w:rPr>
        <w:t>المشاركين</w:t>
      </w:r>
      <w:r w:rsidRPr="00E86FDB">
        <w:rPr>
          <w:spacing w:val="0"/>
          <w:kern w:val="0"/>
          <w:sz w:val="26"/>
          <w:szCs w:val="26"/>
          <w:rtl/>
        </w:rPr>
        <w:t xml:space="preserve"> في استجواب </w:t>
      </w:r>
      <w:r w:rsidRPr="00E86FDB">
        <w:rPr>
          <w:rFonts w:hint="cs"/>
          <w:spacing w:val="0"/>
          <w:kern w:val="0"/>
          <w:sz w:val="26"/>
          <w:szCs w:val="26"/>
          <w:rtl/>
        </w:rPr>
        <w:t>صاحب</w:t>
      </w:r>
      <w:r w:rsidRPr="00E86FDB">
        <w:rPr>
          <w:spacing w:val="0"/>
          <w:kern w:val="0"/>
          <w:sz w:val="26"/>
          <w:szCs w:val="26"/>
          <w:rtl/>
        </w:rPr>
        <w:t xml:space="preserve"> الشكوى، وخاصة بالنظر إلى التهديد المحتمل </w:t>
      </w:r>
      <w:r w:rsidRPr="00E86FDB">
        <w:rPr>
          <w:rFonts w:hint="cs"/>
          <w:spacing w:val="0"/>
          <w:kern w:val="0"/>
          <w:sz w:val="26"/>
          <w:szCs w:val="26"/>
          <w:rtl/>
        </w:rPr>
        <w:t>ل</w:t>
      </w:r>
      <w:r w:rsidRPr="00E86FDB">
        <w:rPr>
          <w:spacing w:val="0"/>
          <w:kern w:val="0"/>
          <w:sz w:val="26"/>
          <w:szCs w:val="26"/>
          <w:rtl/>
        </w:rPr>
        <w:t xml:space="preserve">سلامة هؤلاء الضباط، الذين </w:t>
      </w:r>
      <w:r w:rsidRPr="00E86FDB">
        <w:rPr>
          <w:rFonts w:hint="cs"/>
          <w:spacing w:val="0"/>
          <w:kern w:val="0"/>
          <w:sz w:val="26"/>
          <w:szCs w:val="26"/>
          <w:rtl/>
        </w:rPr>
        <w:t>يجب على المحكمة أن تضمن سلامتهم أيضاً.</w:t>
      </w:r>
    </w:p>
  </w:footnote>
  <w:footnote w:id="445">
    <w:p w:rsidR="00D64D4C" w:rsidRPr="00E86FDB" w:rsidRDefault="00D64D4C" w:rsidP="00E86FDB">
      <w:pPr>
        <w:pStyle w:val="FootnoteText"/>
        <w:tabs>
          <w:tab w:val="left" w:pos="1239"/>
        </w:tabs>
        <w:spacing w:after="60" w:line="300" w:lineRule="exact"/>
        <w:ind w:left="1211" w:right="1247" w:hanging="490"/>
        <w:jc w:val="lowKashida"/>
        <w:rPr>
          <w:rFonts w:hint="cs"/>
          <w:b/>
          <w:spacing w:val="0"/>
          <w:kern w:val="0"/>
          <w:sz w:val="18"/>
          <w:szCs w:val="26"/>
        </w:rPr>
      </w:pPr>
      <w:r w:rsidRPr="00E86FDB">
        <w:rPr>
          <w:rFonts w:hint="cs"/>
          <w:spacing w:val="-2"/>
          <w:kern w:val="0"/>
          <w:sz w:val="18"/>
          <w:szCs w:val="26"/>
          <w:rtl/>
        </w:rPr>
        <w:t>(ط)</w:t>
      </w:r>
      <w:r w:rsidRPr="00E86FDB">
        <w:rPr>
          <w:rFonts w:hint="cs"/>
          <w:spacing w:val="-2"/>
          <w:kern w:val="0"/>
          <w:sz w:val="18"/>
          <w:szCs w:val="26"/>
          <w:rtl/>
        </w:rPr>
        <w:tab/>
        <w:t xml:space="preserve">انظر البلاغ رقم 59/1996، </w:t>
      </w:r>
      <w:r w:rsidRPr="00E86FDB">
        <w:rPr>
          <w:rFonts w:hint="cs"/>
          <w:i/>
          <w:iCs/>
          <w:spacing w:val="-2"/>
          <w:kern w:val="0"/>
          <w:sz w:val="18"/>
          <w:szCs w:val="26"/>
          <w:rtl/>
        </w:rPr>
        <w:t>بلانكو أباد ضد إسبانيا</w:t>
      </w:r>
      <w:r w:rsidRPr="00E86FDB">
        <w:rPr>
          <w:rFonts w:hint="cs"/>
          <w:spacing w:val="-2"/>
          <w:kern w:val="0"/>
          <w:sz w:val="18"/>
          <w:szCs w:val="26"/>
          <w:rtl/>
        </w:rPr>
        <w:t>، القرار الصادر في 14 أيار/مايو 1998، الفقرة 8-8.</w:t>
      </w:r>
      <w:r w:rsidRPr="00E86FDB">
        <w:rPr>
          <w:rFonts w:hint="cs"/>
          <w:spacing w:val="0"/>
          <w:kern w:val="0"/>
          <w:sz w:val="18"/>
          <w:szCs w:val="26"/>
          <w:rtl/>
        </w:rPr>
        <w:t xml:space="preserve"> و</w:t>
      </w:r>
      <w:r>
        <w:rPr>
          <w:rFonts w:hint="cs"/>
          <w:spacing w:val="0"/>
          <w:kern w:val="0"/>
          <w:sz w:val="18"/>
          <w:szCs w:val="26"/>
          <w:rtl/>
        </w:rPr>
        <w:t>انظر أيضاً التعليق العام رقم 32</w:t>
      </w:r>
      <w:r w:rsidRPr="00E86FDB">
        <w:rPr>
          <w:rFonts w:hint="cs"/>
          <w:spacing w:val="0"/>
          <w:kern w:val="0"/>
          <w:sz w:val="18"/>
          <w:szCs w:val="26"/>
          <w:rtl/>
        </w:rPr>
        <w:t xml:space="preserve">(2007) للجنة المعنية بحقوق الإنسان بشأن الحق في المساواة أمام المحاكم والهيئات القضائية وفي محاكمة عادلة (المادة 14 من العهد) </w:t>
      </w:r>
      <w:r w:rsidRPr="00E86FDB">
        <w:rPr>
          <w:rFonts w:hint="cs"/>
          <w:i/>
          <w:iCs/>
          <w:spacing w:val="0"/>
          <w:kern w:val="0"/>
          <w:sz w:val="18"/>
          <w:szCs w:val="26"/>
          <w:rtl/>
        </w:rPr>
        <w:t>(الوثائق الرسمية للجمعية العامة، الدورة الثانية والستون، الملحق رقم 40</w:t>
      </w:r>
      <w:r w:rsidRPr="00E86FDB">
        <w:rPr>
          <w:rFonts w:hint="cs"/>
          <w:spacing w:val="0"/>
          <w:kern w:val="0"/>
          <w:sz w:val="18"/>
          <w:szCs w:val="26"/>
          <w:rtl/>
        </w:rPr>
        <w:t>، المجلد الأول</w:t>
      </w:r>
      <w:r w:rsidRPr="00E86FDB">
        <w:rPr>
          <w:rFonts w:hint="cs"/>
          <w:b/>
          <w:spacing w:val="0"/>
          <w:kern w:val="0"/>
          <w:sz w:val="18"/>
          <w:szCs w:val="26"/>
          <w:rtl/>
        </w:rPr>
        <w:t xml:space="preserve"> [</w:t>
      </w:r>
      <w:r w:rsidRPr="00E86FDB">
        <w:rPr>
          <w:bCs/>
          <w:spacing w:val="0"/>
          <w:kern w:val="0"/>
          <w:sz w:val="18"/>
          <w:szCs w:val="26"/>
          <w:lang w:val="en-CA"/>
        </w:rPr>
        <w:t>A/62/40 (vol. I)</w:t>
      </w:r>
      <w:r w:rsidRPr="00E86FDB">
        <w:rPr>
          <w:rFonts w:hint="cs"/>
          <w:b/>
          <w:spacing w:val="0"/>
          <w:kern w:val="0"/>
          <w:sz w:val="18"/>
          <w:szCs w:val="26"/>
          <w:rtl/>
        </w:rPr>
        <w:t>]</w:t>
      </w:r>
      <w:r w:rsidRPr="00E86FDB">
        <w:rPr>
          <w:rFonts w:hint="cs"/>
          <w:spacing w:val="0"/>
          <w:kern w:val="0"/>
          <w:sz w:val="18"/>
          <w:szCs w:val="26"/>
          <w:rtl/>
        </w:rPr>
        <w:t>،</w:t>
      </w:r>
      <w:r w:rsidRPr="00E86FDB">
        <w:rPr>
          <w:rFonts w:hint="cs"/>
          <w:b/>
          <w:spacing w:val="0"/>
          <w:kern w:val="0"/>
          <w:sz w:val="18"/>
          <w:szCs w:val="26"/>
          <w:rtl/>
        </w:rPr>
        <w:t xml:space="preserve"> </w:t>
      </w:r>
      <w:r w:rsidRPr="00E86FDB">
        <w:rPr>
          <w:rFonts w:hint="cs"/>
          <w:spacing w:val="0"/>
          <w:kern w:val="0"/>
          <w:sz w:val="18"/>
          <w:szCs w:val="26"/>
          <w:rtl/>
        </w:rPr>
        <w:t>المرفق السادس)، الفقرة 41</w:t>
      </w:r>
      <w:r w:rsidRPr="00E86FDB">
        <w:rPr>
          <w:rFonts w:hint="cs"/>
          <w:b/>
          <w:spacing w:val="0"/>
          <w:kern w:val="0"/>
          <w:sz w:val="18"/>
          <w:szCs w:val="26"/>
          <w:rtl/>
        </w:rPr>
        <w:t>.</w:t>
      </w:r>
    </w:p>
  </w:footnote>
  <w:footnote w:id="446">
    <w:p w:rsidR="00D64D4C" w:rsidRPr="00BC2BF0" w:rsidRDefault="00D64D4C" w:rsidP="00BC2BF0">
      <w:pPr>
        <w:pStyle w:val="FootnoteText"/>
        <w:tabs>
          <w:tab w:val="left" w:pos="1239"/>
        </w:tabs>
        <w:spacing w:after="60" w:line="300" w:lineRule="exact"/>
        <w:ind w:left="1211" w:right="1247" w:hanging="434"/>
        <w:jc w:val="lowKashida"/>
        <w:rPr>
          <w:rFonts w:hint="cs"/>
          <w:b/>
          <w:spacing w:val="0"/>
          <w:kern w:val="0"/>
          <w:szCs w:val="26"/>
        </w:rPr>
      </w:pPr>
      <w:r w:rsidRPr="00BC2BF0">
        <w:rPr>
          <w:rFonts w:hint="cs"/>
          <w:spacing w:val="0"/>
          <w:kern w:val="0"/>
          <w:sz w:val="26"/>
          <w:szCs w:val="26"/>
          <w:rtl/>
        </w:rPr>
        <w:t>(ي)</w:t>
      </w:r>
      <w:r w:rsidRPr="00BC2BF0">
        <w:rPr>
          <w:rFonts w:hint="cs"/>
          <w:spacing w:val="0"/>
          <w:kern w:val="0"/>
          <w:sz w:val="26"/>
          <w:szCs w:val="26"/>
          <w:rtl/>
        </w:rPr>
        <w:tab/>
        <w:t xml:space="preserve">البلاغ رقم 219/2002، </w:t>
      </w:r>
      <w:r w:rsidRPr="00BC2BF0">
        <w:rPr>
          <w:rFonts w:hint="cs"/>
          <w:i/>
          <w:iCs/>
          <w:spacing w:val="0"/>
          <w:kern w:val="0"/>
          <w:sz w:val="26"/>
          <w:szCs w:val="26"/>
          <w:rtl/>
        </w:rPr>
        <w:t>غ. ك. ضد سويسرا</w:t>
      </w:r>
      <w:r w:rsidRPr="00BC2BF0">
        <w:rPr>
          <w:rFonts w:hint="cs"/>
          <w:spacing w:val="0"/>
          <w:kern w:val="0"/>
          <w:sz w:val="26"/>
          <w:szCs w:val="26"/>
          <w:rtl/>
        </w:rPr>
        <w:t>، القرار الصادر في 7 أيار/مايو 2003،</w:t>
      </w:r>
      <w:r>
        <w:rPr>
          <w:rFonts w:hint="cs"/>
          <w:spacing w:val="0"/>
          <w:kern w:val="0"/>
          <w:sz w:val="26"/>
          <w:szCs w:val="26"/>
          <w:rtl/>
        </w:rPr>
        <w:t xml:space="preserve"> </w:t>
      </w:r>
      <w:r w:rsidRPr="00BC2BF0">
        <w:rPr>
          <w:rFonts w:hint="cs"/>
          <w:spacing w:val="0"/>
          <w:kern w:val="0"/>
          <w:sz w:val="26"/>
          <w:szCs w:val="26"/>
          <w:rtl/>
        </w:rPr>
        <w:t>الفقرة</w:t>
      </w:r>
      <w:r>
        <w:rPr>
          <w:rFonts w:hint="cs"/>
          <w:spacing w:val="0"/>
          <w:kern w:val="0"/>
          <w:sz w:val="26"/>
          <w:szCs w:val="26"/>
          <w:rtl/>
        </w:rPr>
        <w:t xml:space="preserve"> </w:t>
      </w:r>
      <w:r w:rsidRPr="00BC2BF0">
        <w:rPr>
          <w:rFonts w:hint="cs"/>
          <w:spacing w:val="0"/>
          <w:kern w:val="0"/>
          <w:sz w:val="26"/>
          <w:szCs w:val="26"/>
          <w:rtl/>
        </w:rPr>
        <w:t>6</w:t>
      </w:r>
      <w:r>
        <w:rPr>
          <w:rFonts w:hint="cs"/>
          <w:spacing w:val="0"/>
          <w:kern w:val="0"/>
          <w:sz w:val="26"/>
          <w:szCs w:val="26"/>
          <w:rtl/>
        </w:rPr>
        <w:t>-</w:t>
      </w:r>
      <w:r w:rsidRPr="00BC2BF0">
        <w:rPr>
          <w:rFonts w:hint="cs"/>
          <w:spacing w:val="0"/>
          <w:kern w:val="0"/>
          <w:sz w:val="26"/>
          <w:szCs w:val="26"/>
          <w:rtl/>
        </w:rPr>
        <w:t>11.</w:t>
      </w:r>
    </w:p>
  </w:footnote>
  <w:footnote w:id="447">
    <w:p w:rsidR="00D64D4C" w:rsidRPr="00147D8C" w:rsidRDefault="00D64D4C" w:rsidP="00147D8C">
      <w:pPr>
        <w:pStyle w:val="FootnoteText"/>
        <w:numPr>
          <w:ilvl w:val="0"/>
          <w:numId w:val="49"/>
        </w:numPr>
        <w:tabs>
          <w:tab w:val="left" w:pos="1239"/>
        </w:tabs>
        <w:spacing w:after="60" w:line="300" w:lineRule="exact"/>
        <w:ind w:left="1248" w:right="1247" w:hanging="227"/>
        <w:jc w:val="lowKashida"/>
        <w:rPr>
          <w:spacing w:val="0"/>
          <w:kern w:val="0"/>
          <w:sz w:val="26"/>
          <w:szCs w:val="26"/>
        </w:rPr>
      </w:pPr>
      <w:r w:rsidRPr="00147D8C">
        <w:rPr>
          <w:rFonts w:hint="cs"/>
          <w:spacing w:val="0"/>
          <w:kern w:val="0"/>
          <w:sz w:val="26"/>
          <w:szCs w:val="26"/>
          <w:rtl/>
        </w:rPr>
        <w:t xml:space="preserve">تشير الدولة الطرف إلى البلاغ رقم 216/2002، </w:t>
      </w:r>
      <w:r w:rsidRPr="00147D8C">
        <w:rPr>
          <w:rFonts w:hint="cs"/>
          <w:i/>
          <w:iCs/>
          <w:spacing w:val="0"/>
          <w:kern w:val="0"/>
          <w:sz w:val="26"/>
          <w:szCs w:val="26"/>
          <w:rtl/>
        </w:rPr>
        <w:t>ﻫ. إ. أ. ضد السويد</w:t>
      </w:r>
      <w:r w:rsidRPr="00147D8C">
        <w:rPr>
          <w:rFonts w:hint="cs"/>
          <w:spacing w:val="0"/>
          <w:kern w:val="0"/>
          <w:sz w:val="26"/>
          <w:szCs w:val="26"/>
          <w:rtl/>
        </w:rPr>
        <w:t>، القرار المعتمد في 2 أيار/ مايو</w:t>
      </w:r>
      <w:r w:rsidRPr="00147D8C">
        <w:rPr>
          <w:rFonts w:hint="eastAsia"/>
          <w:spacing w:val="0"/>
          <w:kern w:val="0"/>
          <w:sz w:val="26"/>
          <w:szCs w:val="26"/>
          <w:rtl/>
        </w:rPr>
        <w:t> </w:t>
      </w:r>
      <w:r w:rsidRPr="00147D8C">
        <w:rPr>
          <w:rFonts w:hint="cs"/>
          <w:spacing w:val="0"/>
          <w:kern w:val="0"/>
          <w:sz w:val="26"/>
          <w:szCs w:val="26"/>
          <w:rtl/>
        </w:rPr>
        <w:t>2003، الفقرة 6-2.</w:t>
      </w:r>
    </w:p>
  </w:footnote>
  <w:footnote w:id="448">
    <w:p w:rsidR="00D64D4C" w:rsidRPr="00147D8C" w:rsidRDefault="00D64D4C" w:rsidP="00721A9C">
      <w:pPr>
        <w:pStyle w:val="FootnoteText"/>
        <w:numPr>
          <w:ilvl w:val="0"/>
          <w:numId w:val="49"/>
        </w:numPr>
        <w:tabs>
          <w:tab w:val="left" w:pos="1239"/>
        </w:tabs>
        <w:spacing w:after="60" w:line="280" w:lineRule="exact"/>
        <w:ind w:left="1248" w:right="1247" w:hanging="227"/>
        <w:jc w:val="lowKashida"/>
        <w:rPr>
          <w:rFonts w:hint="cs"/>
          <w:spacing w:val="0"/>
          <w:kern w:val="0"/>
          <w:sz w:val="26"/>
          <w:szCs w:val="26"/>
        </w:rPr>
      </w:pPr>
      <w:r w:rsidRPr="00147D8C">
        <w:rPr>
          <w:rFonts w:hint="cs"/>
          <w:spacing w:val="0"/>
          <w:kern w:val="0"/>
          <w:sz w:val="26"/>
          <w:szCs w:val="26"/>
          <w:rtl/>
        </w:rPr>
        <w:t xml:space="preserve">البلاغان رقم 150/1999، </w:t>
      </w:r>
      <w:r w:rsidRPr="00147D8C">
        <w:rPr>
          <w:rFonts w:hint="cs"/>
          <w:i/>
          <w:iCs/>
          <w:spacing w:val="0"/>
          <w:kern w:val="0"/>
          <w:sz w:val="26"/>
          <w:szCs w:val="26"/>
          <w:rtl/>
        </w:rPr>
        <w:t>س. ل. ضد السويد</w:t>
      </w:r>
      <w:r w:rsidRPr="00147D8C">
        <w:rPr>
          <w:rFonts w:hint="cs"/>
          <w:spacing w:val="0"/>
          <w:kern w:val="0"/>
          <w:sz w:val="26"/>
          <w:szCs w:val="26"/>
          <w:rtl/>
        </w:rPr>
        <w:t xml:space="preserve">، الآراء المعتمدة في 11 أيار/مايو2001، الفقرة 6-3؛ ورقم 213/2002، </w:t>
      </w:r>
      <w:r w:rsidRPr="00147D8C">
        <w:rPr>
          <w:rFonts w:hint="cs"/>
          <w:i/>
          <w:iCs/>
          <w:spacing w:val="0"/>
          <w:kern w:val="0"/>
          <w:sz w:val="26"/>
          <w:szCs w:val="26"/>
          <w:rtl/>
        </w:rPr>
        <w:t>إ. ي. ف. م. ضد السويد</w:t>
      </w:r>
      <w:r w:rsidRPr="00147D8C">
        <w:rPr>
          <w:rFonts w:hint="cs"/>
          <w:spacing w:val="0"/>
          <w:kern w:val="0"/>
          <w:sz w:val="26"/>
          <w:szCs w:val="26"/>
          <w:rtl/>
        </w:rPr>
        <w:t>، القرار المعتمد في 14 تشرين الثاني/نوفمبر 2003، الفقرة 8-3.</w:t>
      </w:r>
    </w:p>
  </w:footnote>
  <w:footnote w:id="449">
    <w:p w:rsidR="00D64D4C" w:rsidRPr="00147D8C" w:rsidRDefault="00D64D4C" w:rsidP="00721A9C">
      <w:pPr>
        <w:pStyle w:val="FootnoteText"/>
        <w:numPr>
          <w:ilvl w:val="0"/>
          <w:numId w:val="49"/>
        </w:numPr>
        <w:tabs>
          <w:tab w:val="left" w:pos="1239"/>
        </w:tabs>
        <w:spacing w:after="60" w:line="280" w:lineRule="exact"/>
        <w:ind w:left="1248" w:right="1247" w:hanging="227"/>
        <w:jc w:val="lowKashida"/>
        <w:rPr>
          <w:rFonts w:hint="cs"/>
          <w:spacing w:val="0"/>
          <w:kern w:val="0"/>
          <w:sz w:val="26"/>
          <w:szCs w:val="26"/>
        </w:rPr>
      </w:pPr>
      <w:r w:rsidRPr="00147D8C">
        <w:rPr>
          <w:rFonts w:hint="cs"/>
          <w:spacing w:val="0"/>
          <w:kern w:val="0"/>
          <w:sz w:val="26"/>
          <w:szCs w:val="26"/>
          <w:rtl/>
        </w:rPr>
        <w:t>تشير الدولة الطرف إلى التقرير عن حقوق الإنسان الصادر عن وزارة الخارجية السويدية؛ والتقرير القطري الصادر عن وزارة خارجية الولايات المتحدة عن الممارسات في مجال حقوق الإنسان في أفغانستان في عام</w:t>
      </w:r>
      <w:r w:rsidRPr="00147D8C">
        <w:rPr>
          <w:rFonts w:hint="eastAsia"/>
          <w:spacing w:val="0"/>
          <w:kern w:val="0"/>
          <w:sz w:val="26"/>
          <w:szCs w:val="26"/>
          <w:rtl/>
        </w:rPr>
        <w:t> </w:t>
      </w:r>
      <w:r w:rsidRPr="00147D8C">
        <w:rPr>
          <w:rFonts w:hint="cs"/>
          <w:spacing w:val="0"/>
          <w:kern w:val="0"/>
          <w:sz w:val="26"/>
          <w:szCs w:val="26"/>
          <w:rtl/>
        </w:rPr>
        <w:t>2008 (25 شباط/فبراير 2009)؛ وتقرير وزارة الداخلية البريطانية الإعلامي لبلد المنشأ فيما يتعلق بأفغانستان (26 حزيران/يونيه 2009)؛ والمذكرة التوجيهية الصادرة عن وزارة الداخلية البريطانية بشأن أفغانستان (8 نيسان/أبريل 2009)؛ وتقرير منظمة العفو الدولية، والتقرير العالمي لمنظمة رصد حقوق الإنسان؛ وتقرير المرصد العالمي لحقوق الإنسان؛ والمبادئ التوجيهية للأهلية الصادرة عن مفوضية الأمم المتحدة السامية الشؤون اللاجئين بشأن تقييم احتياجات الحماية الدولية لملتمسي اللجوء من أفغانستان تموز/يوليه 2009).</w:t>
      </w:r>
    </w:p>
  </w:footnote>
  <w:footnote w:id="450">
    <w:p w:rsidR="00D64D4C" w:rsidRPr="00147D8C" w:rsidRDefault="00D64D4C" w:rsidP="00721A9C">
      <w:pPr>
        <w:pStyle w:val="FootnoteText"/>
        <w:numPr>
          <w:ilvl w:val="0"/>
          <w:numId w:val="49"/>
        </w:numPr>
        <w:tabs>
          <w:tab w:val="left" w:pos="1239"/>
        </w:tabs>
        <w:spacing w:after="60" w:line="280" w:lineRule="exact"/>
        <w:ind w:left="1248" w:right="1247" w:hanging="227"/>
        <w:jc w:val="lowKashida"/>
        <w:rPr>
          <w:rFonts w:hint="cs"/>
          <w:spacing w:val="0"/>
          <w:kern w:val="0"/>
          <w:sz w:val="26"/>
          <w:szCs w:val="26"/>
        </w:rPr>
      </w:pPr>
      <w:r w:rsidRPr="00147D8C">
        <w:rPr>
          <w:rFonts w:hint="cs"/>
          <w:spacing w:val="0"/>
          <w:kern w:val="0"/>
          <w:sz w:val="26"/>
          <w:szCs w:val="26"/>
          <w:rtl/>
        </w:rPr>
        <w:t>المملكة المتحدة، والمذكرة التوجيهية الصادرة عن وزارة الداخلية البريطانية، الفقرة 2-11.</w:t>
      </w:r>
    </w:p>
  </w:footnote>
  <w:footnote w:id="451">
    <w:p w:rsidR="00D64D4C" w:rsidRPr="00147D8C" w:rsidRDefault="00D64D4C" w:rsidP="00721A9C">
      <w:pPr>
        <w:pStyle w:val="FootnoteText"/>
        <w:tabs>
          <w:tab w:val="left" w:pos="1239"/>
        </w:tabs>
        <w:spacing w:after="60" w:line="280" w:lineRule="exact"/>
        <w:ind w:left="1239" w:right="1247" w:hanging="504"/>
        <w:jc w:val="lowKashida"/>
        <w:rPr>
          <w:rFonts w:hint="cs"/>
          <w:spacing w:val="0"/>
          <w:kern w:val="0"/>
          <w:sz w:val="26"/>
          <w:szCs w:val="26"/>
        </w:rPr>
      </w:pPr>
      <w:r w:rsidRPr="00147D8C">
        <w:rPr>
          <w:rFonts w:hint="cs"/>
          <w:spacing w:val="0"/>
          <w:kern w:val="0"/>
          <w:sz w:val="26"/>
          <w:szCs w:val="26"/>
          <w:rtl/>
        </w:rPr>
        <w:t>(ﻫ)</w:t>
      </w:r>
      <w:r w:rsidRPr="00147D8C">
        <w:rPr>
          <w:rFonts w:hint="cs"/>
          <w:spacing w:val="0"/>
          <w:kern w:val="0"/>
          <w:sz w:val="26"/>
          <w:szCs w:val="26"/>
          <w:rtl/>
        </w:rPr>
        <w:tab/>
        <w:t>والمبادئ التوجيهية للأهلية الصادرة عن مفوضية الأمم المتحدة السامية لشؤون اللاجئين.</w:t>
      </w:r>
    </w:p>
  </w:footnote>
  <w:footnote w:id="452">
    <w:p w:rsidR="00D64D4C" w:rsidRPr="00147D8C" w:rsidRDefault="00D64D4C" w:rsidP="00721A9C">
      <w:pPr>
        <w:pStyle w:val="FootnoteText"/>
        <w:tabs>
          <w:tab w:val="left" w:pos="1239"/>
        </w:tabs>
        <w:spacing w:after="60" w:line="280" w:lineRule="exact"/>
        <w:ind w:left="1242" w:right="1247" w:hanging="505"/>
        <w:jc w:val="lowKashida"/>
        <w:rPr>
          <w:rFonts w:hint="cs"/>
          <w:spacing w:val="0"/>
          <w:kern w:val="0"/>
          <w:sz w:val="26"/>
          <w:szCs w:val="26"/>
        </w:rPr>
      </w:pPr>
      <w:r w:rsidRPr="00147D8C">
        <w:rPr>
          <w:rFonts w:hint="cs"/>
          <w:spacing w:val="0"/>
          <w:kern w:val="0"/>
          <w:sz w:val="26"/>
          <w:szCs w:val="26"/>
          <w:rtl/>
        </w:rPr>
        <w:t>(و)</w:t>
      </w:r>
      <w:r w:rsidRPr="00147D8C">
        <w:rPr>
          <w:rFonts w:hint="cs"/>
          <w:spacing w:val="0"/>
          <w:kern w:val="0"/>
          <w:sz w:val="26"/>
          <w:szCs w:val="26"/>
          <w:rtl/>
        </w:rPr>
        <w:tab/>
        <w:t>المملكة المتحدة، والمذكرة التوجيهية الصادرة عن وزارة الداخلية البريطانية، الفقرة 3-6-6.</w:t>
      </w:r>
    </w:p>
  </w:footnote>
  <w:footnote w:id="453">
    <w:p w:rsidR="00D64D4C" w:rsidRPr="00147D8C" w:rsidRDefault="00D64D4C" w:rsidP="00DB4C15">
      <w:pPr>
        <w:pStyle w:val="FootnoteText"/>
        <w:tabs>
          <w:tab w:val="left" w:pos="1239"/>
        </w:tabs>
        <w:spacing w:after="60" w:line="280" w:lineRule="exact"/>
        <w:ind w:left="1242" w:right="1247" w:hanging="505"/>
        <w:jc w:val="lowKashida"/>
        <w:rPr>
          <w:rFonts w:hint="cs"/>
          <w:spacing w:val="0"/>
          <w:kern w:val="0"/>
          <w:sz w:val="26"/>
          <w:szCs w:val="26"/>
        </w:rPr>
      </w:pPr>
      <w:r w:rsidRPr="00147D8C">
        <w:rPr>
          <w:rFonts w:hint="cs"/>
          <w:spacing w:val="0"/>
          <w:kern w:val="0"/>
          <w:sz w:val="26"/>
          <w:szCs w:val="26"/>
          <w:rtl/>
        </w:rPr>
        <w:t>(ز)</w:t>
      </w:r>
      <w:r w:rsidRPr="00147D8C">
        <w:rPr>
          <w:rFonts w:hint="cs"/>
          <w:spacing w:val="0"/>
          <w:kern w:val="0"/>
          <w:sz w:val="26"/>
          <w:szCs w:val="26"/>
          <w:rtl/>
        </w:rPr>
        <w:tab/>
        <w:t>إلى التقرير عن حقوق الإنسان الصادر عن وزارة الخارجية السويدية.</w:t>
      </w:r>
    </w:p>
  </w:footnote>
  <w:footnote w:id="454">
    <w:p w:rsidR="00D64D4C" w:rsidRPr="00147D8C" w:rsidRDefault="00D64D4C" w:rsidP="00DB4C15">
      <w:pPr>
        <w:pStyle w:val="FootnoteText"/>
        <w:tabs>
          <w:tab w:val="left" w:pos="1239"/>
        </w:tabs>
        <w:spacing w:after="60" w:line="280" w:lineRule="exact"/>
        <w:ind w:left="1242" w:right="1247" w:hanging="505"/>
        <w:jc w:val="lowKashida"/>
        <w:rPr>
          <w:rFonts w:hint="cs"/>
          <w:spacing w:val="0"/>
          <w:kern w:val="0"/>
          <w:sz w:val="26"/>
          <w:szCs w:val="26"/>
          <w:rtl/>
        </w:rPr>
      </w:pPr>
      <w:r w:rsidRPr="00147D8C">
        <w:rPr>
          <w:rFonts w:hint="cs"/>
          <w:spacing w:val="0"/>
          <w:kern w:val="0"/>
          <w:sz w:val="26"/>
          <w:szCs w:val="26"/>
          <w:rtl/>
        </w:rPr>
        <w:t>(ح)</w:t>
      </w:r>
      <w:r w:rsidRPr="00147D8C">
        <w:rPr>
          <w:rFonts w:hint="cs"/>
          <w:spacing w:val="0"/>
          <w:kern w:val="0"/>
          <w:sz w:val="26"/>
          <w:szCs w:val="26"/>
          <w:rtl/>
        </w:rPr>
        <w:tab/>
        <w:t xml:space="preserve">البلاغ رقم 83/1997، </w:t>
      </w:r>
      <w:r w:rsidRPr="00147D8C">
        <w:rPr>
          <w:rFonts w:hint="cs"/>
          <w:i/>
          <w:iCs/>
          <w:spacing w:val="0"/>
          <w:kern w:val="0"/>
          <w:sz w:val="26"/>
          <w:szCs w:val="26"/>
          <w:rtl/>
        </w:rPr>
        <w:t>غ. ر. ب. ضد السويد</w:t>
      </w:r>
      <w:r w:rsidRPr="00147D8C">
        <w:rPr>
          <w:rFonts w:hint="cs"/>
          <w:spacing w:val="0"/>
          <w:kern w:val="0"/>
          <w:sz w:val="26"/>
          <w:szCs w:val="26"/>
          <w:rtl/>
        </w:rPr>
        <w:t>، القرار المعتمد في 15 أيار/مايو 1998، الفقرة 6-5.</w:t>
      </w:r>
    </w:p>
  </w:footnote>
  <w:footnote w:id="455">
    <w:p w:rsidR="00D64D4C" w:rsidRPr="00147D8C" w:rsidRDefault="00D64D4C" w:rsidP="00DB4C15">
      <w:pPr>
        <w:pStyle w:val="FootnoteText"/>
        <w:tabs>
          <w:tab w:val="left" w:pos="1239"/>
        </w:tabs>
        <w:spacing w:after="60" w:line="280" w:lineRule="exact"/>
        <w:ind w:left="1242" w:right="1247" w:hanging="505"/>
        <w:jc w:val="lowKashida"/>
        <w:rPr>
          <w:rFonts w:hint="cs"/>
          <w:spacing w:val="0"/>
          <w:kern w:val="0"/>
          <w:sz w:val="26"/>
          <w:szCs w:val="26"/>
          <w:rtl/>
        </w:rPr>
      </w:pPr>
      <w:r w:rsidRPr="00147D8C">
        <w:rPr>
          <w:rFonts w:hint="cs"/>
          <w:spacing w:val="0"/>
          <w:kern w:val="0"/>
          <w:sz w:val="26"/>
          <w:szCs w:val="26"/>
          <w:rtl/>
        </w:rPr>
        <w:t>(ط)</w:t>
      </w:r>
      <w:r w:rsidRPr="00147D8C">
        <w:rPr>
          <w:rFonts w:hint="cs"/>
          <w:spacing w:val="0"/>
          <w:kern w:val="0"/>
          <w:sz w:val="26"/>
          <w:szCs w:val="26"/>
          <w:rtl/>
        </w:rPr>
        <w:tab/>
        <w:t xml:space="preserve">انظر البلاغ رقم 103/1998، </w:t>
      </w:r>
      <w:r>
        <w:rPr>
          <w:rFonts w:hint="cs"/>
          <w:i/>
          <w:iCs/>
          <w:spacing w:val="0"/>
          <w:kern w:val="0"/>
          <w:sz w:val="26"/>
          <w:szCs w:val="26"/>
          <w:rtl/>
        </w:rPr>
        <w:t>س. م. ر. و</w:t>
      </w:r>
      <w:r w:rsidRPr="00147D8C">
        <w:rPr>
          <w:rFonts w:hint="cs"/>
          <w:i/>
          <w:iCs/>
          <w:spacing w:val="0"/>
          <w:kern w:val="0"/>
          <w:sz w:val="26"/>
          <w:szCs w:val="26"/>
          <w:rtl/>
        </w:rPr>
        <w:t>م. م. ر. ضد السويد</w:t>
      </w:r>
      <w:r w:rsidRPr="00147D8C">
        <w:rPr>
          <w:rFonts w:hint="cs"/>
          <w:spacing w:val="0"/>
          <w:kern w:val="0"/>
          <w:sz w:val="26"/>
          <w:szCs w:val="26"/>
          <w:rtl/>
        </w:rPr>
        <w:t>، القرار المعتمد في 5 أيار/مايو 1999، الفقرة 9-7.</w:t>
      </w:r>
    </w:p>
  </w:footnote>
  <w:footnote w:id="456">
    <w:p w:rsidR="00D64D4C" w:rsidRPr="00007EC8" w:rsidRDefault="00D64D4C" w:rsidP="00DB4C15">
      <w:pPr>
        <w:pStyle w:val="FootnoteText"/>
        <w:tabs>
          <w:tab w:val="left" w:pos="1239"/>
        </w:tabs>
        <w:spacing w:after="60" w:line="280" w:lineRule="exact"/>
        <w:ind w:left="1242" w:right="1247" w:hanging="505"/>
        <w:jc w:val="lowKashida"/>
        <w:rPr>
          <w:rFonts w:hint="cs"/>
          <w:spacing w:val="-4"/>
          <w:sz w:val="26"/>
          <w:szCs w:val="26"/>
        </w:rPr>
      </w:pPr>
      <w:r w:rsidRPr="00147D8C">
        <w:rPr>
          <w:rFonts w:hint="cs"/>
          <w:spacing w:val="0"/>
          <w:kern w:val="0"/>
          <w:sz w:val="26"/>
          <w:szCs w:val="26"/>
          <w:rtl/>
        </w:rPr>
        <w:t>(ي)</w:t>
      </w:r>
      <w:r w:rsidRPr="00147D8C">
        <w:rPr>
          <w:rFonts w:hint="cs"/>
          <w:spacing w:val="0"/>
          <w:kern w:val="0"/>
          <w:sz w:val="26"/>
          <w:szCs w:val="26"/>
          <w:rtl/>
        </w:rPr>
        <w:tab/>
      </w:r>
      <w:r w:rsidRPr="00147D8C">
        <w:rPr>
          <w:rFonts w:hint="cs"/>
          <w:i/>
          <w:iCs/>
          <w:spacing w:val="0"/>
          <w:kern w:val="0"/>
          <w:sz w:val="26"/>
          <w:szCs w:val="26"/>
          <w:rtl/>
        </w:rPr>
        <w:t>الوثائق الرسمية للجمعية العامة، الدورة الثالثة والخمسون، الملحق ر</w:t>
      </w:r>
      <w:r w:rsidRPr="004A1851">
        <w:rPr>
          <w:rFonts w:hint="cs"/>
          <w:i/>
          <w:iCs/>
          <w:spacing w:val="0"/>
          <w:kern w:val="0"/>
          <w:sz w:val="18"/>
          <w:szCs w:val="26"/>
          <w:rtl/>
        </w:rPr>
        <w:t>قم 44</w:t>
      </w:r>
      <w:r w:rsidRPr="004A1851">
        <w:rPr>
          <w:rFonts w:hint="cs"/>
          <w:spacing w:val="0"/>
          <w:kern w:val="0"/>
          <w:sz w:val="18"/>
          <w:szCs w:val="26"/>
          <w:rtl/>
        </w:rPr>
        <w:t xml:space="preserve"> </w:t>
      </w:r>
      <w:r w:rsidRPr="004A1851">
        <w:rPr>
          <w:spacing w:val="0"/>
          <w:kern w:val="0"/>
          <w:sz w:val="18"/>
          <w:szCs w:val="26"/>
        </w:rPr>
        <w:t>A/53/44)</w:t>
      </w:r>
      <w:r>
        <w:rPr>
          <w:rFonts w:hint="cs"/>
          <w:spacing w:val="0"/>
          <w:kern w:val="0"/>
          <w:sz w:val="18"/>
          <w:szCs w:val="26"/>
          <w:rtl/>
        </w:rPr>
        <w:t xml:space="preserve"> و</w:t>
      </w:r>
      <w:r>
        <w:rPr>
          <w:spacing w:val="0"/>
          <w:kern w:val="0"/>
          <w:sz w:val="18"/>
          <w:szCs w:val="26"/>
        </w:rPr>
        <w:t>Corr.1</w:t>
      </w:r>
      <w:r w:rsidRPr="004A1851">
        <w:rPr>
          <w:rFonts w:hint="cs"/>
          <w:spacing w:val="0"/>
          <w:kern w:val="0"/>
          <w:sz w:val="18"/>
          <w:szCs w:val="26"/>
          <w:rtl/>
        </w:rPr>
        <w:t>، المرفق</w:t>
      </w:r>
      <w:r w:rsidRPr="00147D8C">
        <w:rPr>
          <w:rFonts w:hint="cs"/>
          <w:spacing w:val="0"/>
          <w:kern w:val="0"/>
          <w:sz w:val="26"/>
          <w:szCs w:val="26"/>
          <w:rtl/>
        </w:rPr>
        <w:t xml:space="preserve"> التاسع، الفقرة 5. وانظر البلاغين رقم 150/1999، </w:t>
      </w:r>
      <w:r w:rsidRPr="00147D8C">
        <w:rPr>
          <w:rFonts w:hint="cs"/>
          <w:i/>
          <w:iCs/>
          <w:spacing w:val="0"/>
          <w:kern w:val="0"/>
          <w:sz w:val="26"/>
          <w:szCs w:val="26"/>
          <w:rtl/>
        </w:rPr>
        <w:t>س. ل. ضد السويد</w:t>
      </w:r>
      <w:r w:rsidRPr="00147D8C">
        <w:rPr>
          <w:rFonts w:hint="cs"/>
          <w:spacing w:val="0"/>
          <w:kern w:val="0"/>
          <w:sz w:val="26"/>
          <w:szCs w:val="26"/>
          <w:rtl/>
        </w:rPr>
        <w:t>، القرار المعتمد في 11 أيار/ مايو</w:t>
      </w:r>
      <w:r w:rsidRPr="00147D8C">
        <w:rPr>
          <w:rFonts w:hint="eastAsia"/>
          <w:spacing w:val="0"/>
          <w:kern w:val="0"/>
          <w:sz w:val="26"/>
          <w:szCs w:val="26"/>
          <w:rtl/>
        </w:rPr>
        <w:t> </w:t>
      </w:r>
      <w:r w:rsidRPr="00147D8C">
        <w:rPr>
          <w:rFonts w:hint="cs"/>
          <w:spacing w:val="0"/>
          <w:kern w:val="0"/>
          <w:sz w:val="26"/>
          <w:szCs w:val="26"/>
          <w:rtl/>
        </w:rPr>
        <w:t>2001،</w:t>
      </w:r>
      <w:r w:rsidRPr="00007EC8">
        <w:rPr>
          <w:rFonts w:hint="cs"/>
          <w:spacing w:val="-4"/>
          <w:sz w:val="26"/>
          <w:szCs w:val="26"/>
          <w:rtl/>
        </w:rPr>
        <w:t xml:space="preserve"> الفقرة 6-4؛ ورقم 265/2005، </w:t>
      </w:r>
      <w:r w:rsidRPr="00147D8C">
        <w:rPr>
          <w:rFonts w:hint="cs"/>
          <w:i/>
          <w:iCs/>
          <w:spacing w:val="-4"/>
          <w:sz w:val="26"/>
          <w:szCs w:val="26"/>
          <w:rtl/>
        </w:rPr>
        <w:t>أ. ﻫ. ضد السويد</w:t>
      </w:r>
      <w:r w:rsidRPr="00007EC8">
        <w:rPr>
          <w:rFonts w:hint="cs"/>
          <w:spacing w:val="-4"/>
          <w:sz w:val="26"/>
          <w:szCs w:val="26"/>
          <w:rtl/>
        </w:rPr>
        <w:t>، القرار المعتمد في 16 تشرين الثاني/ نوفمبر</w:t>
      </w:r>
      <w:r>
        <w:rPr>
          <w:rFonts w:hint="eastAsia"/>
          <w:spacing w:val="-4"/>
          <w:sz w:val="26"/>
          <w:szCs w:val="26"/>
          <w:rtl/>
        </w:rPr>
        <w:t> </w:t>
      </w:r>
      <w:r w:rsidRPr="00007EC8">
        <w:rPr>
          <w:rFonts w:hint="cs"/>
          <w:spacing w:val="-4"/>
          <w:sz w:val="26"/>
          <w:szCs w:val="26"/>
          <w:rtl/>
        </w:rPr>
        <w:t>2006، الفقرة 11-6.</w:t>
      </w:r>
    </w:p>
  </w:footnote>
  <w:footnote w:id="457">
    <w:p w:rsidR="00D64D4C" w:rsidRPr="00E06299" w:rsidRDefault="00D64D4C" w:rsidP="00E06299">
      <w:pPr>
        <w:pStyle w:val="FootnoteText"/>
        <w:tabs>
          <w:tab w:val="left" w:pos="1239"/>
        </w:tabs>
        <w:spacing w:after="60" w:line="300" w:lineRule="exact"/>
        <w:ind w:left="1239" w:right="1247" w:hanging="504"/>
        <w:jc w:val="lowKashida"/>
        <w:rPr>
          <w:spacing w:val="0"/>
          <w:kern w:val="0"/>
          <w:sz w:val="26"/>
          <w:szCs w:val="26"/>
          <w:rtl/>
        </w:rPr>
      </w:pPr>
      <w:r w:rsidRPr="00E06299">
        <w:rPr>
          <w:rFonts w:hint="cs"/>
          <w:spacing w:val="0"/>
          <w:kern w:val="0"/>
          <w:sz w:val="26"/>
          <w:szCs w:val="26"/>
          <w:rtl/>
        </w:rPr>
        <w:t>(ك)</w:t>
      </w:r>
      <w:r w:rsidRPr="00E06299">
        <w:rPr>
          <w:rFonts w:hint="cs"/>
          <w:spacing w:val="0"/>
          <w:kern w:val="0"/>
          <w:sz w:val="26"/>
          <w:szCs w:val="26"/>
          <w:rtl/>
        </w:rPr>
        <w:tab/>
      </w:r>
      <w:r w:rsidRPr="00E06299">
        <w:rPr>
          <w:spacing w:val="0"/>
          <w:kern w:val="0"/>
          <w:sz w:val="26"/>
          <w:szCs w:val="26"/>
          <w:rtl/>
        </w:rPr>
        <w:t xml:space="preserve">البلاغ رقم 61/1996، </w:t>
      </w:r>
      <w:r w:rsidRPr="00E06299">
        <w:rPr>
          <w:i/>
          <w:iCs/>
          <w:spacing w:val="0"/>
          <w:kern w:val="0"/>
          <w:sz w:val="26"/>
          <w:szCs w:val="26"/>
          <w:rtl/>
        </w:rPr>
        <w:t>س. وص. وع. ضد السويد</w:t>
      </w:r>
      <w:r w:rsidRPr="00E06299">
        <w:rPr>
          <w:spacing w:val="0"/>
          <w:kern w:val="0"/>
          <w:sz w:val="26"/>
          <w:szCs w:val="26"/>
          <w:rtl/>
        </w:rPr>
        <w:t>، القرار الذي اعتمد في 6 أيار/مايو 1998، الفقرة</w:t>
      </w:r>
      <w:r w:rsidRPr="00E06299">
        <w:rPr>
          <w:rFonts w:hint="cs"/>
          <w:spacing w:val="0"/>
          <w:kern w:val="0"/>
          <w:sz w:val="26"/>
          <w:szCs w:val="26"/>
          <w:rtl/>
        </w:rPr>
        <w:t> </w:t>
      </w:r>
      <w:r w:rsidRPr="00E06299">
        <w:rPr>
          <w:spacing w:val="0"/>
          <w:kern w:val="0"/>
          <w:sz w:val="26"/>
          <w:szCs w:val="26"/>
          <w:rtl/>
        </w:rPr>
        <w:t>11-2.</w:t>
      </w:r>
    </w:p>
  </w:footnote>
  <w:footnote w:id="458">
    <w:p w:rsidR="00D64D4C" w:rsidRPr="00007EC8" w:rsidRDefault="00D64D4C" w:rsidP="00721A9C">
      <w:pPr>
        <w:pStyle w:val="FootnoteText"/>
        <w:tabs>
          <w:tab w:val="left" w:pos="1239"/>
        </w:tabs>
        <w:spacing w:after="60" w:line="280" w:lineRule="exact"/>
        <w:ind w:left="1213" w:right="1247" w:hanging="476"/>
        <w:jc w:val="lowKashida"/>
        <w:rPr>
          <w:rFonts w:hint="cs"/>
          <w:spacing w:val="-4"/>
          <w:sz w:val="26"/>
          <w:szCs w:val="26"/>
        </w:rPr>
      </w:pPr>
      <w:r>
        <w:rPr>
          <w:rFonts w:hint="cs"/>
          <w:spacing w:val="-4"/>
          <w:sz w:val="26"/>
          <w:szCs w:val="26"/>
          <w:rtl/>
        </w:rPr>
        <w:t>(ل)</w:t>
      </w:r>
      <w:r>
        <w:rPr>
          <w:rFonts w:hint="cs"/>
          <w:spacing w:val="-4"/>
          <w:sz w:val="26"/>
          <w:szCs w:val="26"/>
          <w:rtl/>
        </w:rPr>
        <w:tab/>
      </w:r>
      <w:r w:rsidRPr="00007EC8">
        <w:rPr>
          <w:rFonts w:hint="cs"/>
          <w:spacing w:val="-4"/>
          <w:sz w:val="26"/>
          <w:szCs w:val="26"/>
          <w:rtl/>
        </w:rPr>
        <w:t>الفقرة 2 من المادة 116 الجديدة.</w:t>
      </w:r>
    </w:p>
  </w:footnote>
  <w:footnote w:id="459">
    <w:p w:rsidR="00D64D4C" w:rsidRPr="00985A4E" w:rsidRDefault="00D64D4C" w:rsidP="009C3C50">
      <w:pPr>
        <w:pStyle w:val="FootnoteText"/>
        <w:tabs>
          <w:tab w:val="left" w:pos="1239"/>
        </w:tabs>
        <w:spacing w:after="60" w:line="300" w:lineRule="exact"/>
        <w:ind w:left="1211" w:right="1247" w:hanging="392"/>
        <w:jc w:val="lowKashida"/>
        <w:rPr>
          <w:rFonts w:hint="cs"/>
          <w:spacing w:val="0"/>
          <w:kern w:val="0"/>
          <w:sz w:val="18"/>
          <w:szCs w:val="26"/>
          <w:rtl/>
        </w:rPr>
      </w:pPr>
      <w:r w:rsidRPr="00985A4E">
        <w:rPr>
          <w:rFonts w:hint="cs"/>
          <w:spacing w:val="0"/>
          <w:kern w:val="0"/>
          <w:sz w:val="26"/>
          <w:szCs w:val="26"/>
          <w:rtl/>
        </w:rPr>
        <w:t>(م)</w:t>
      </w:r>
      <w:r w:rsidRPr="00985A4E">
        <w:rPr>
          <w:rFonts w:hint="cs"/>
          <w:spacing w:val="0"/>
          <w:kern w:val="0"/>
          <w:sz w:val="26"/>
          <w:szCs w:val="26"/>
          <w:rtl/>
        </w:rPr>
        <w:tab/>
        <w:t xml:space="preserve">انظر البلاغ رقم 202/2002، </w:t>
      </w:r>
      <w:r w:rsidRPr="00985A4E">
        <w:rPr>
          <w:rFonts w:hint="cs"/>
          <w:i/>
          <w:iCs/>
          <w:spacing w:val="0"/>
          <w:kern w:val="0"/>
          <w:sz w:val="26"/>
          <w:szCs w:val="26"/>
          <w:rtl/>
        </w:rPr>
        <w:t>جنسن ضد الدانمرك</w:t>
      </w:r>
      <w:r w:rsidRPr="00985A4E">
        <w:rPr>
          <w:rFonts w:hint="cs"/>
          <w:spacing w:val="0"/>
          <w:kern w:val="0"/>
          <w:sz w:val="26"/>
          <w:szCs w:val="26"/>
          <w:rtl/>
        </w:rPr>
        <w:t>، القرار المتعلق بالمقبولية المعتمد في 5 أيار/ مايو</w:t>
      </w:r>
      <w:r w:rsidRPr="00985A4E">
        <w:rPr>
          <w:rFonts w:hint="eastAsia"/>
          <w:spacing w:val="0"/>
          <w:kern w:val="0"/>
          <w:sz w:val="26"/>
          <w:szCs w:val="26"/>
          <w:rtl/>
        </w:rPr>
        <w:t> </w:t>
      </w:r>
      <w:r w:rsidRPr="00985A4E">
        <w:rPr>
          <w:rFonts w:hint="cs"/>
          <w:spacing w:val="0"/>
          <w:kern w:val="0"/>
          <w:sz w:val="26"/>
          <w:szCs w:val="26"/>
          <w:rtl/>
        </w:rPr>
        <w:t>2004، الفقرة 6-3.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4E0A37" w:rsidRDefault="00D64D4C" w:rsidP="007400F4">
    <w:pPr>
      <w:pStyle w:val="Header"/>
      <w:spacing w:line="240" w:lineRule="atLeast"/>
      <w:jc w:val="right"/>
    </w:pPr>
    <w:r w:rsidRPr="004E0A37">
      <w:t>A/67/44</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4E0A37" w:rsidRDefault="00D64D4C" w:rsidP="007D1EF4">
    <w:pPr>
      <w:pStyle w:val="Header"/>
    </w:pPr>
    <w:r w:rsidRPr="004E0A37">
      <w:t>A/67/44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Default="00D64D4C" w:rsidP="00523D40">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4E0A37" w:rsidRDefault="00D64D4C" w:rsidP="00503CA2">
    <w:pPr>
      <w:pStyle w:val="Header"/>
      <w:spacing w:line="240" w:lineRule="atLeast"/>
    </w:pPr>
    <w:r w:rsidRPr="004E0A37">
      <w:t>A/67/44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AD7965" w:rsidRDefault="00D64D4C" w:rsidP="007400F4">
    <w:pPr>
      <w:pStyle w:val="Header"/>
      <w:pBdr>
        <w:bottom w:val="none" w:sz="0" w:space="0" w:color="auto"/>
      </w:pBdr>
      <w:spacing w:line="240" w:lineRule="atLeast"/>
    </w:pPr>
    <w:r>
      <w:t>A/67/44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AD7965" w:rsidRDefault="00D64D4C" w:rsidP="00AD7965">
    <w:pPr>
      <w:pStyle w:val="Header"/>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7400F4" w:rsidRDefault="00D64D4C" w:rsidP="007400F4">
    <w:pPr>
      <w:pStyle w:val="Header"/>
      <w:pBdr>
        <w:bottom w:val="none" w:sz="0" w:space="0" w:color="auto"/>
      </w:pBdr>
      <w:spacing w:line="240" w:lineRule="atLeast"/>
    </w:pPr>
    <w:r w:rsidRPr="007400F4">
      <w:rPr>
        <w:lang w:eastAsia="en-US"/>
      </w:rPr>
      <w:t>A/67/44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AD7965" w:rsidRDefault="00D64D4C" w:rsidP="00AD7965">
    <w:pPr>
      <w:pStyle w:val="Header"/>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9C5C40" w:rsidRDefault="00D64D4C" w:rsidP="007400F4">
    <w:pPr>
      <w:pStyle w:val="Header"/>
      <w:spacing w:line="240" w:lineRule="atLeast"/>
      <w:rPr>
        <w:rtl/>
      </w:rPr>
    </w:pPr>
    <w:r w:rsidRPr="004E0A37">
      <w:t>A/67/44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9C5C40" w:rsidRDefault="00D64D4C" w:rsidP="007400F4">
    <w:pPr>
      <w:pStyle w:val="Header"/>
      <w:spacing w:line="240" w:lineRule="atLeast"/>
      <w:jc w:val="right"/>
      <w:rPr>
        <w:rtl/>
      </w:rPr>
    </w:pPr>
    <w:r w:rsidRPr="004E0A37">
      <w:t>A/67/44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4C" w:rsidRPr="004E0A37" w:rsidRDefault="00D64D4C" w:rsidP="007400F4">
    <w:pPr>
      <w:pStyle w:val="Header"/>
      <w:spacing w:line="240" w:lineRule="atLeast"/>
    </w:pPr>
    <w:r w:rsidRPr="004E0A37">
      <w:t>A/67/44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FEC362"/>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96FEA"/>
    <w:multiLevelType w:val="hybridMultilevel"/>
    <w:tmpl w:val="62E43D62"/>
    <w:lvl w:ilvl="0" w:tplc="65AC0AD0">
      <w:start w:val="1"/>
      <w:numFmt w:val="arabicAbjad"/>
      <w:lvlRestart w:val="0"/>
      <w:lvlText w:val="(%1)"/>
      <w:lvlJc w:val="right"/>
      <w:pPr>
        <w:tabs>
          <w:tab w:val="num" w:pos="1292"/>
        </w:tabs>
        <w:ind w:left="1292" w:hanging="227"/>
      </w:pPr>
      <w:rPr>
        <w:rFonts w:ascii="Traditional Arabic" w:hAnsi="Traditional Arabic" w:cs="Traditional Arabic" w:hint="default"/>
        <w:sz w:val="26"/>
        <w:szCs w:val="26"/>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2911CB4"/>
    <w:multiLevelType w:val="hybridMultilevel"/>
    <w:tmpl w:val="A66AD66A"/>
    <w:lvl w:ilvl="0" w:tplc="06788122">
      <w:start w:val="1"/>
      <w:numFmt w:val="arabicAbjad"/>
      <w:lvlRestart w:val="0"/>
      <w:lvlText w:val="(%1)"/>
      <w:lvlJc w:val="right"/>
      <w:pPr>
        <w:tabs>
          <w:tab w:val="num" w:pos="12053"/>
        </w:tabs>
        <w:ind w:left="12053" w:hanging="11032"/>
      </w:pPr>
      <w:rPr>
        <w:rFonts w:ascii="Traditional Arabic" w:hAnsi="Traditional Arabic" w:cs="Traditional Arabic" w:hint="cs"/>
        <w:sz w:val="18"/>
        <w:szCs w:val="24"/>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12">
    <w:nsid w:val="02B91CB6"/>
    <w:multiLevelType w:val="hybridMultilevel"/>
    <w:tmpl w:val="E4EE165C"/>
    <w:styleLink w:val="ArticleSection2"/>
    <w:lvl w:ilvl="0" w:tplc="2FB47626">
      <w:start w:val="1"/>
      <w:numFmt w:val="arabicAbjad"/>
      <w:pStyle w:val="a"/>
      <w:lvlText w:val="(%1)"/>
      <w:lvlJc w:val="left"/>
      <w:pPr>
        <w:tabs>
          <w:tab w:val="num" w:pos="1440"/>
        </w:tabs>
        <w:ind w:left="1440" w:right="1440" w:hanging="720"/>
      </w:pPr>
      <w:rPr>
        <w:rFonts w:ascii="Times New Roman" w:hAnsi="Times New Roman" w:cs="Traditional Arabic" w:hint="default"/>
        <w:b w:val="0"/>
        <w:bCs w:val="0"/>
        <w:i w:val="0"/>
        <w:iCs w:val="0"/>
        <w:caps w:val="0"/>
        <w:sz w:val="22"/>
        <w:szCs w:val="3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3">
    <w:nsid w:val="03B73430"/>
    <w:multiLevelType w:val="hybridMultilevel"/>
    <w:tmpl w:val="54EC3E20"/>
    <w:lvl w:ilvl="0" w:tplc="C382CE84">
      <w:start w:val="1"/>
      <w:numFmt w:val="arabicAbjad"/>
      <w:lvlRestart w:val="0"/>
      <w:lvlText w:val="(%1)"/>
      <w:lvlJc w:val="right"/>
      <w:pPr>
        <w:tabs>
          <w:tab w:val="num" w:pos="1295"/>
        </w:tabs>
        <w:ind w:left="1295" w:hanging="227"/>
      </w:pPr>
      <w:rPr>
        <w:rFonts w:ascii="Traditional Arabic" w:hAnsi="Traditional Arabic" w:cs="Traditional Arabic" w:hint="default"/>
        <w:sz w:val="26"/>
        <w:szCs w:val="26"/>
        <w:lang w:val="en-US"/>
      </w:rPr>
    </w:lvl>
    <w:lvl w:ilvl="1" w:tplc="04090019" w:tentative="1">
      <w:start w:val="1"/>
      <w:numFmt w:val="lowerLetter"/>
      <w:lvlText w:val="%2."/>
      <w:lvlJc w:val="left"/>
      <w:pPr>
        <w:tabs>
          <w:tab w:val="num" w:pos="1488"/>
        </w:tabs>
        <w:ind w:left="1488" w:hanging="360"/>
      </w:pPr>
    </w:lvl>
    <w:lvl w:ilvl="2" w:tplc="0409001B" w:tentative="1">
      <w:start w:val="1"/>
      <w:numFmt w:val="lowerRoman"/>
      <w:lvlText w:val="%3."/>
      <w:lvlJc w:val="right"/>
      <w:pPr>
        <w:tabs>
          <w:tab w:val="num" w:pos="2208"/>
        </w:tabs>
        <w:ind w:left="2208" w:hanging="180"/>
      </w:pPr>
    </w:lvl>
    <w:lvl w:ilvl="3" w:tplc="0409000F" w:tentative="1">
      <w:start w:val="1"/>
      <w:numFmt w:val="decimal"/>
      <w:lvlText w:val="%4."/>
      <w:lvlJc w:val="left"/>
      <w:pPr>
        <w:tabs>
          <w:tab w:val="num" w:pos="2928"/>
        </w:tabs>
        <w:ind w:left="2928" w:hanging="360"/>
      </w:pPr>
    </w:lvl>
    <w:lvl w:ilvl="4" w:tplc="04090019" w:tentative="1">
      <w:start w:val="1"/>
      <w:numFmt w:val="lowerLetter"/>
      <w:lvlText w:val="%5."/>
      <w:lvlJc w:val="left"/>
      <w:pPr>
        <w:tabs>
          <w:tab w:val="num" w:pos="3648"/>
        </w:tabs>
        <w:ind w:left="3648" w:hanging="360"/>
      </w:pPr>
    </w:lvl>
    <w:lvl w:ilvl="5" w:tplc="0409001B" w:tentative="1">
      <w:start w:val="1"/>
      <w:numFmt w:val="lowerRoman"/>
      <w:lvlText w:val="%6."/>
      <w:lvlJc w:val="right"/>
      <w:pPr>
        <w:tabs>
          <w:tab w:val="num" w:pos="4368"/>
        </w:tabs>
        <w:ind w:left="4368" w:hanging="180"/>
      </w:pPr>
    </w:lvl>
    <w:lvl w:ilvl="6" w:tplc="0409000F" w:tentative="1">
      <w:start w:val="1"/>
      <w:numFmt w:val="decimal"/>
      <w:lvlText w:val="%7."/>
      <w:lvlJc w:val="left"/>
      <w:pPr>
        <w:tabs>
          <w:tab w:val="num" w:pos="5088"/>
        </w:tabs>
        <w:ind w:left="5088" w:hanging="360"/>
      </w:pPr>
    </w:lvl>
    <w:lvl w:ilvl="7" w:tplc="04090019" w:tentative="1">
      <w:start w:val="1"/>
      <w:numFmt w:val="lowerLetter"/>
      <w:lvlText w:val="%8."/>
      <w:lvlJc w:val="left"/>
      <w:pPr>
        <w:tabs>
          <w:tab w:val="num" w:pos="5808"/>
        </w:tabs>
        <w:ind w:left="5808" w:hanging="360"/>
      </w:pPr>
    </w:lvl>
    <w:lvl w:ilvl="8" w:tplc="0409001B" w:tentative="1">
      <w:start w:val="1"/>
      <w:numFmt w:val="lowerRoman"/>
      <w:lvlText w:val="%9."/>
      <w:lvlJc w:val="right"/>
      <w:pPr>
        <w:tabs>
          <w:tab w:val="num" w:pos="6528"/>
        </w:tabs>
        <w:ind w:left="6528" w:hanging="180"/>
      </w:pPr>
    </w:lvl>
  </w:abstractNum>
  <w:abstractNum w:abstractNumId="14">
    <w:nsid w:val="075213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098F621C"/>
    <w:multiLevelType w:val="hybridMultilevel"/>
    <w:tmpl w:val="DCA098B8"/>
    <w:lvl w:ilvl="0" w:tplc="2E26B95C">
      <w:start w:val="1"/>
      <w:numFmt w:val="arabicAbjad"/>
      <w:lvlRestart w:val="0"/>
      <w:lvlText w:val="(%1)"/>
      <w:lvlJc w:val="right"/>
      <w:pPr>
        <w:tabs>
          <w:tab w:val="num" w:pos="1299"/>
        </w:tabs>
        <w:ind w:left="1299" w:hanging="227"/>
      </w:pPr>
      <w:rPr>
        <w:rFonts w:ascii="Traditional Arabic" w:hAnsi="Traditional Arabic" w:cs="Traditional Arabic" w:hint="default"/>
        <w:sz w:val="26"/>
        <w:szCs w:val="2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AC25DFD"/>
    <w:multiLevelType w:val="hybridMultilevel"/>
    <w:tmpl w:val="C002AD14"/>
    <w:lvl w:ilvl="0" w:tplc="DA1030AE">
      <w:start w:val="1"/>
      <w:numFmt w:val="arabicAbjad"/>
      <w:lvlRestart w:val="0"/>
      <w:lvlText w:val="(%1)"/>
      <w:lvlJc w:val="right"/>
      <w:pPr>
        <w:tabs>
          <w:tab w:val="num" w:pos="1297"/>
        </w:tabs>
        <w:ind w:left="1297" w:hanging="227"/>
      </w:pPr>
      <w:rPr>
        <w:rFonts w:ascii="Traditional Arabic" w:hAnsi="Traditional Arabic" w:cs="Traditional Arabic" w:hint="default"/>
        <w:sz w:val="26"/>
        <w:szCs w:val="26"/>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17">
    <w:nsid w:val="0B851AF4"/>
    <w:multiLevelType w:val="hybridMultilevel"/>
    <w:tmpl w:val="DAE891C4"/>
    <w:styleLink w:val="1ai12"/>
    <w:lvl w:ilvl="0" w:tplc="A82E9430">
      <w:start w:val="1"/>
      <w:numFmt w:val="bullet"/>
      <w:pStyle w:val="Bullet1GA"/>
      <w:lvlText w:val=""/>
      <w:lvlJc w:val="left"/>
      <w:pPr>
        <w:tabs>
          <w:tab w:val="num" w:pos="2041"/>
        </w:tabs>
        <w:ind w:left="2041"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0C09646D"/>
    <w:multiLevelType w:val="hybridMultilevel"/>
    <w:tmpl w:val="BE02ED54"/>
    <w:lvl w:ilvl="0" w:tplc="810655FA">
      <w:start w:val="1"/>
      <w:numFmt w:val="arabicAbjad"/>
      <w:lvlRestart w:val="0"/>
      <w:lvlText w:val="(%1)"/>
      <w:lvlJc w:val="right"/>
      <w:pPr>
        <w:tabs>
          <w:tab w:val="num" w:pos="1299"/>
        </w:tabs>
        <w:ind w:left="1299" w:hanging="227"/>
      </w:pPr>
      <w:rPr>
        <w:rFonts w:ascii="Traditional Arabic" w:hAnsi="Traditional Arabic" w:cs="Traditional Arabic" w:hint="default"/>
        <w:sz w:val="26"/>
        <w:szCs w:val="26"/>
      </w:rPr>
    </w:lvl>
    <w:lvl w:ilvl="1" w:tplc="04090003">
      <w:start w:val="1"/>
      <w:numFmt w:val="decimal"/>
      <w:lvlRestart w:val="0"/>
      <w:lvlText w:val="(%2)"/>
      <w:lvlJc w:val="right"/>
      <w:pPr>
        <w:tabs>
          <w:tab w:val="num" w:pos="1359"/>
        </w:tabs>
        <w:ind w:left="1359" w:hanging="227"/>
      </w:pPr>
      <w:rPr>
        <w:rFonts w:ascii="Times New Roman" w:hAnsi="Times New Roman" w:cs="Traditional Arabic" w:hint="default"/>
        <w:sz w:val="18"/>
        <w:szCs w:val="26"/>
      </w:rPr>
    </w:lvl>
    <w:lvl w:ilvl="2" w:tplc="551A5E72">
      <w:start w:val="1"/>
      <w:numFmt w:val="arabicAlpha"/>
      <w:lvlText w:val="(%3)"/>
      <w:lvlJc w:val="left"/>
      <w:pPr>
        <w:tabs>
          <w:tab w:val="num" w:pos="2392"/>
        </w:tabs>
        <w:ind w:left="2392" w:hanging="360"/>
      </w:pPr>
      <w:rPr>
        <w:rFonts w:hint="default"/>
        <w:sz w:val="26"/>
      </w:rPr>
    </w:lvl>
    <w:lvl w:ilvl="3" w:tplc="04090001" w:tentative="1">
      <w:start w:val="1"/>
      <w:numFmt w:val="decimal"/>
      <w:lvlText w:val="%4."/>
      <w:lvlJc w:val="left"/>
      <w:pPr>
        <w:tabs>
          <w:tab w:val="num" w:pos="2932"/>
        </w:tabs>
        <w:ind w:left="2932" w:hanging="360"/>
      </w:pPr>
    </w:lvl>
    <w:lvl w:ilvl="4" w:tplc="04090003" w:tentative="1">
      <w:start w:val="1"/>
      <w:numFmt w:val="lowerLetter"/>
      <w:lvlText w:val="%5."/>
      <w:lvlJc w:val="left"/>
      <w:pPr>
        <w:tabs>
          <w:tab w:val="num" w:pos="3652"/>
        </w:tabs>
        <w:ind w:left="3652" w:hanging="360"/>
      </w:pPr>
    </w:lvl>
    <w:lvl w:ilvl="5" w:tplc="04090005" w:tentative="1">
      <w:start w:val="1"/>
      <w:numFmt w:val="lowerRoman"/>
      <w:lvlText w:val="%6."/>
      <w:lvlJc w:val="right"/>
      <w:pPr>
        <w:tabs>
          <w:tab w:val="num" w:pos="4372"/>
        </w:tabs>
        <w:ind w:left="4372" w:hanging="180"/>
      </w:pPr>
    </w:lvl>
    <w:lvl w:ilvl="6" w:tplc="04090001" w:tentative="1">
      <w:start w:val="1"/>
      <w:numFmt w:val="decimal"/>
      <w:lvlText w:val="%7."/>
      <w:lvlJc w:val="left"/>
      <w:pPr>
        <w:tabs>
          <w:tab w:val="num" w:pos="5092"/>
        </w:tabs>
        <w:ind w:left="5092" w:hanging="360"/>
      </w:pPr>
    </w:lvl>
    <w:lvl w:ilvl="7" w:tplc="04090003" w:tentative="1">
      <w:start w:val="1"/>
      <w:numFmt w:val="lowerLetter"/>
      <w:lvlText w:val="%8."/>
      <w:lvlJc w:val="left"/>
      <w:pPr>
        <w:tabs>
          <w:tab w:val="num" w:pos="5812"/>
        </w:tabs>
        <w:ind w:left="5812" w:hanging="360"/>
      </w:pPr>
    </w:lvl>
    <w:lvl w:ilvl="8" w:tplc="04090005" w:tentative="1">
      <w:start w:val="1"/>
      <w:numFmt w:val="lowerRoman"/>
      <w:lvlText w:val="%9."/>
      <w:lvlJc w:val="right"/>
      <w:pPr>
        <w:tabs>
          <w:tab w:val="num" w:pos="6532"/>
        </w:tabs>
        <w:ind w:left="6532" w:hanging="180"/>
      </w:pPr>
    </w:lvl>
  </w:abstractNum>
  <w:abstractNum w:abstractNumId="19">
    <w:nsid w:val="0C91531A"/>
    <w:multiLevelType w:val="multilevel"/>
    <w:tmpl w:val="0409001D"/>
    <w:styleLink w:val="111111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E4111FC"/>
    <w:multiLevelType w:val="hybridMultilevel"/>
    <w:tmpl w:val="43CC51D4"/>
    <w:lvl w:ilvl="0" w:tplc="7D4649FE">
      <w:start w:val="1"/>
      <w:numFmt w:val="arabicAbjad"/>
      <w:lvlRestart w:val="0"/>
      <w:lvlText w:val="(%1)"/>
      <w:lvlJc w:val="right"/>
      <w:pPr>
        <w:tabs>
          <w:tab w:val="num" w:pos="7904"/>
        </w:tabs>
        <w:ind w:left="7904" w:hanging="6883"/>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0066FFC"/>
    <w:multiLevelType w:val="multilevel"/>
    <w:tmpl w:val="0409001D"/>
    <w:styleLink w:val="1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9771E95"/>
    <w:multiLevelType w:val="hybridMultilevel"/>
    <w:tmpl w:val="8ECE1934"/>
    <w:lvl w:ilvl="0">
      <w:start w:val="1"/>
      <w:numFmt w:val="decimal"/>
      <w:lvlRestart w:val="0"/>
      <w:lvlText w:val="(%1)"/>
      <w:lvlJc w:val="right"/>
      <w:pPr>
        <w:tabs>
          <w:tab w:val="num" w:pos="1405"/>
        </w:tabs>
        <w:ind w:left="1405" w:hanging="227"/>
      </w:pPr>
      <w:rPr>
        <w:rFonts w:ascii="Traditional Arabic" w:hAnsi="Traditional Arabic" w:cs="Traditional Arabic" w:hint="default"/>
        <w:sz w:val="26"/>
        <w:szCs w:val="26"/>
        <w:lang w:val="en-US"/>
      </w:rPr>
    </w:lvl>
    <w:lvl w:ilvl="1">
      <w:start w:val="1"/>
      <w:numFmt w:val="lowerLetter"/>
      <w:lvlText w:val="%2."/>
      <w:lvlJc w:val="left"/>
      <w:pPr>
        <w:tabs>
          <w:tab w:val="num" w:pos="1598"/>
        </w:tabs>
        <w:ind w:left="1598" w:hanging="360"/>
      </w:pPr>
    </w:lvl>
    <w:lvl w:ilvl="2" w:tentative="1">
      <w:start w:val="1"/>
      <w:numFmt w:val="lowerRoman"/>
      <w:lvlText w:val="%3."/>
      <w:lvlJc w:val="right"/>
      <w:pPr>
        <w:tabs>
          <w:tab w:val="num" w:pos="2318"/>
        </w:tabs>
        <w:ind w:left="2318" w:hanging="180"/>
      </w:pPr>
    </w:lvl>
    <w:lvl w:ilvl="3" w:tentative="1">
      <w:start w:val="1"/>
      <w:numFmt w:val="decimal"/>
      <w:lvlText w:val="%4."/>
      <w:lvlJc w:val="left"/>
      <w:pPr>
        <w:tabs>
          <w:tab w:val="num" w:pos="3038"/>
        </w:tabs>
        <w:ind w:left="3038" w:hanging="360"/>
      </w:pPr>
    </w:lvl>
    <w:lvl w:ilvl="4" w:tentative="1">
      <w:start w:val="1"/>
      <w:numFmt w:val="lowerLetter"/>
      <w:lvlText w:val="%5."/>
      <w:lvlJc w:val="left"/>
      <w:pPr>
        <w:tabs>
          <w:tab w:val="num" w:pos="3758"/>
        </w:tabs>
        <w:ind w:left="3758" w:hanging="360"/>
      </w:pPr>
    </w:lvl>
    <w:lvl w:ilvl="5" w:tentative="1">
      <w:start w:val="1"/>
      <w:numFmt w:val="lowerRoman"/>
      <w:lvlText w:val="%6."/>
      <w:lvlJc w:val="right"/>
      <w:pPr>
        <w:tabs>
          <w:tab w:val="num" w:pos="4478"/>
        </w:tabs>
        <w:ind w:left="4478" w:hanging="180"/>
      </w:pPr>
    </w:lvl>
    <w:lvl w:ilvl="6" w:tentative="1">
      <w:start w:val="1"/>
      <w:numFmt w:val="decimal"/>
      <w:lvlText w:val="%7."/>
      <w:lvlJc w:val="left"/>
      <w:pPr>
        <w:tabs>
          <w:tab w:val="num" w:pos="5198"/>
        </w:tabs>
        <w:ind w:left="5198" w:hanging="360"/>
      </w:pPr>
    </w:lvl>
    <w:lvl w:ilvl="7" w:tentative="1">
      <w:start w:val="1"/>
      <w:numFmt w:val="lowerLetter"/>
      <w:lvlText w:val="%8."/>
      <w:lvlJc w:val="left"/>
      <w:pPr>
        <w:tabs>
          <w:tab w:val="num" w:pos="5918"/>
        </w:tabs>
        <w:ind w:left="5918" w:hanging="360"/>
      </w:pPr>
    </w:lvl>
    <w:lvl w:ilvl="8" w:tentative="1">
      <w:start w:val="1"/>
      <w:numFmt w:val="lowerRoman"/>
      <w:lvlText w:val="%9."/>
      <w:lvlJc w:val="right"/>
      <w:pPr>
        <w:tabs>
          <w:tab w:val="num" w:pos="6638"/>
        </w:tabs>
        <w:ind w:left="6638" w:hanging="180"/>
      </w:pPr>
    </w:lvl>
  </w:abstractNum>
  <w:abstractNum w:abstractNumId="23">
    <w:nsid w:val="1C830610"/>
    <w:multiLevelType w:val="hybridMultilevel"/>
    <w:tmpl w:val="D2DC0266"/>
    <w:lvl w:ilvl="0" w:tplc="38C2DAB6">
      <w:start w:val="1"/>
      <w:numFmt w:val="decimal"/>
      <w:lvlRestart w:val="0"/>
      <w:pStyle w:val="FootnoteText2"/>
      <w:lvlText w:val="(%1)"/>
      <w:lvlJc w:val="left"/>
      <w:pPr>
        <w:tabs>
          <w:tab w:val="num" w:pos="0"/>
        </w:tabs>
        <w:ind w:left="0" w:firstLine="0"/>
      </w:pPr>
      <w:rPr>
        <w:rFonts w:hint="default"/>
      </w:rPr>
    </w:lvl>
    <w:lvl w:ilvl="1" w:tplc="04090019">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D626866"/>
    <w:multiLevelType w:val="hybridMultilevel"/>
    <w:tmpl w:val="99D4D348"/>
    <w:lvl w:ilvl="0" w:tplc="2F8463AE">
      <w:start w:val="1"/>
      <w:numFmt w:val="arabicAbjad"/>
      <w:lvlRestart w:val="0"/>
      <w:lvlText w:val="(%1)"/>
      <w:lvlJc w:val="right"/>
      <w:pPr>
        <w:tabs>
          <w:tab w:val="num" w:pos="12097"/>
        </w:tabs>
        <w:ind w:left="12097" w:hanging="11076"/>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5F272F0"/>
    <w:multiLevelType w:val="hybridMultilevel"/>
    <w:tmpl w:val="F88E26C4"/>
    <w:lvl w:ilvl="0" w:tplc="A3E86A26">
      <w:start w:val="1"/>
      <w:numFmt w:val="decimal"/>
      <w:pStyle w:val="Roman1GA"/>
      <w:lvlText w:val="'%1'"/>
      <w:lvlJc w:val="right"/>
      <w:pPr>
        <w:tabs>
          <w:tab w:val="num" w:pos="2041"/>
        </w:tabs>
        <w:ind w:left="2041" w:hanging="397"/>
      </w:pPr>
      <w:rPr>
        <w:rFonts w:ascii="Times New Roman" w:hAnsi="Times New Roman" w:cs="Traditional Arabic" w:hint="default"/>
        <w:sz w:val="20"/>
        <w:szCs w:val="28"/>
      </w:rPr>
    </w:lvl>
    <w:lvl w:ilvl="1" w:tplc="04090019" w:tentative="1">
      <w:start w:val="1"/>
      <w:numFmt w:val="bullet"/>
      <w:lvlText w:val="o"/>
      <w:lvlJc w:val="left"/>
      <w:pPr>
        <w:tabs>
          <w:tab w:val="num" w:pos="3028"/>
        </w:tabs>
        <w:ind w:left="3028" w:hanging="360"/>
      </w:pPr>
      <w:rPr>
        <w:rFonts w:ascii="Courier New" w:hAnsi="Courier New" w:cs="Courier New" w:hint="default"/>
      </w:rPr>
    </w:lvl>
    <w:lvl w:ilvl="2" w:tplc="0409001B" w:tentative="1">
      <w:start w:val="1"/>
      <w:numFmt w:val="bullet"/>
      <w:lvlText w:val=""/>
      <w:lvlJc w:val="left"/>
      <w:pPr>
        <w:tabs>
          <w:tab w:val="num" w:pos="3748"/>
        </w:tabs>
        <w:ind w:left="3748" w:hanging="360"/>
      </w:pPr>
      <w:rPr>
        <w:rFonts w:ascii="Wingdings" w:hAnsi="Wingdings" w:hint="default"/>
      </w:rPr>
    </w:lvl>
    <w:lvl w:ilvl="3" w:tplc="0409000F" w:tentative="1">
      <w:start w:val="1"/>
      <w:numFmt w:val="bullet"/>
      <w:lvlText w:val=""/>
      <w:lvlJc w:val="left"/>
      <w:pPr>
        <w:tabs>
          <w:tab w:val="num" w:pos="4468"/>
        </w:tabs>
        <w:ind w:left="4468" w:hanging="360"/>
      </w:pPr>
      <w:rPr>
        <w:rFonts w:ascii="Symbol" w:hAnsi="Symbol" w:hint="default"/>
      </w:rPr>
    </w:lvl>
    <w:lvl w:ilvl="4" w:tplc="04090019" w:tentative="1">
      <w:start w:val="1"/>
      <w:numFmt w:val="bullet"/>
      <w:lvlText w:val="o"/>
      <w:lvlJc w:val="left"/>
      <w:pPr>
        <w:tabs>
          <w:tab w:val="num" w:pos="5188"/>
        </w:tabs>
        <w:ind w:left="5188" w:hanging="360"/>
      </w:pPr>
      <w:rPr>
        <w:rFonts w:ascii="Courier New" w:hAnsi="Courier New" w:cs="Courier New" w:hint="default"/>
      </w:rPr>
    </w:lvl>
    <w:lvl w:ilvl="5" w:tplc="0409001B" w:tentative="1">
      <w:start w:val="1"/>
      <w:numFmt w:val="bullet"/>
      <w:lvlText w:val=""/>
      <w:lvlJc w:val="left"/>
      <w:pPr>
        <w:tabs>
          <w:tab w:val="num" w:pos="5908"/>
        </w:tabs>
        <w:ind w:left="5908" w:hanging="360"/>
      </w:pPr>
      <w:rPr>
        <w:rFonts w:ascii="Wingdings" w:hAnsi="Wingdings" w:hint="default"/>
      </w:rPr>
    </w:lvl>
    <w:lvl w:ilvl="6" w:tplc="0409000F" w:tentative="1">
      <w:start w:val="1"/>
      <w:numFmt w:val="bullet"/>
      <w:lvlText w:val=""/>
      <w:lvlJc w:val="left"/>
      <w:pPr>
        <w:tabs>
          <w:tab w:val="num" w:pos="6628"/>
        </w:tabs>
        <w:ind w:left="6628" w:hanging="360"/>
      </w:pPr>
      <w:rPr>
        <w:rFonts w:ascii="Symbol" w:hAnsi="Symbol" w:hint="default"/>
      </w:rPr>
    </w:lvl>
    <w:lvl w:ilvl="7" w:tplc="04090019" w:tentative="1">
      <w:start w:val="1"/>
      <w:numFmt w:val="bullet"/>
      <w:lvlText w:val="o"/>
      <w:lvlJc w:val="left"/>
      <w:pPr>
        <w:tabs>
          <w:tab w:val="num" w:pos="7348"/>
        </w:tabs>
        <w:ind w:left="7348" w:hanging="360"/>
      </w:pPr>
      <w:rPr>
        <w:rFonts w:ascii="Courier New" w:hAnsi="Courier New" w:cs="Courier New" w:hint="default"/>
      </w:rPr>
    </w:lvl>
    <w:lvl w:ilvl="8" w:tplc="0409001B" w:tentative="1">
      <w:start w:val="1"/>
      <w:numFmt w:val="bullet"/>
      <w:lvlText w:val=""/>
      <w:lvlJc w:val="left"/>
      <w:pPr>
        <w:tabs>
          <w:tab w:val="num" w:pos="8068"/>
        </w:tabs>
        <w:ind w:left="8068" w:hanging="360"/>
      </w:pPr>
      <w:rPr>
        <w:rFonts w:ascii="Wingdings" w:hAnsi="Wingdings" w:hint="default"/>
      </w:rPr>
    </w:lvl>
  </w:abstractNum>
  <w:abstractNum w:abstractNumId="26">
    <w:nsid w:val="2A31567B"/>
    <w:multiLevelType w:val="multilevel"/>
    <w:tmpl w:val="04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2DE4382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8">
    <w:nsid w:val="2F4A55C9"/>
    <w:multiLevelType w:val="hybridMultilevel"/>
    <w:tmpl w:val="81AC2D94"/>
    <w:lvl w:ilvl="0" w:tplc="9FAC135E">
      <w:start w:val="1"/>
      <w:numFmt w:val="arabicAbjad"/>
      <w:lvlRestart w:val="0"/>
      <w:lvlText w:val="(%1)"/>
      <w:lvlJc w:val="right"/>
      <w:pPr>
        <w:tabs>
          <w:tab w:val="num" w:pos="8925"/>
        </w:tabs>
        <w:ind w:left="8925" w:hanging="7904"/>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F9A635C"/>
    <w:multiLevelType w:val="hybridMultilevel"/>
    <w:tmpl w:val="55449820"/>
    <w:lvl w:ilvl="0">
      <w:start w:val="1"/>
      <w:numFmt w:val="arabicAbjad"/>
      <w:lvlRestart w:val="0"/>
      <w:lvlText w:val="(%1)"/>
      <w:lvlJc w:val="right"/>
      <w:pPr>
        <w:tabs>
          <w:tab w:val="num" w:pos="1301"/>
        </w:tabs>
        <w:ind w:left="1301" w:hanging="227"/>
      </w:pPr>
      <w:rPr>
        <w:rFonts w:ascii="Traditional Arabic" w:hAnsi="Traditional Arabic" w:cs="Traditional Arabic" w:hint="default"/>
        <w:sz w:val="26"/>
        <w:szCs w:val="26"/>
        <w:lang w:val="en-US"/>
      </w:rPr>
    </w:lvl>
    <w:lvl w:ilvl="1" w:tentative="1">
      <w:start w:val="1"/>
      <w:numFmt w:val="lowerLetter"/>
      <w:lvlText w:val="%2."/>
      <w:lvlJc w:val="left"/>
      <w:pPr>
        <w:tabs>
          <w:tab w:val="num" w:pos="1494"/>
        </w:tabs>
        <w:ind w:left="1494" w:hanging="360"/>
      </w:pPr>
    </w:lvl>
    <w:lvl w:ilvl="2" w:tentative="1">
      <w:start w:val="1"/>
      <w:numFmt w:val="lowerRoman"/>
      <w:lvlText w:val="%3."/>
      <w:lvlJc w:val="right"/>
      <w:pPr>
        <w:tabs>
          <w:tab w:val="num" w:pos="2214"/>
        </w:tabs>
        <w:ind w:left="2214" w:hanging="180"/>
      </w:pPr>
    </w:lvl>
    <w:lvl w:ilvl="3" w:tentative="1">
      <w:start w:val="1"/>
      <w:numFmt w:val="decimal"/>
      <w:lvlText w:val="%4."/>
      <w:lvlJc w:val="left"/>
      <w:pPr>
        <w:tabs>
          <w:tab w:val="num" w:pos="2934"/>
        </w:tabs>
        <w:ind w:left="2934" w:hanging="360"/>
      </w:pPr>
    </w:lvl>
    <w:lvl w:ilvl="4" w:tentative="1">
      <w:start w:val="1"/>
      <w:numFmt w:val="lowerLetter"/>
      <w:lvlText w:val="%5."/>
      <w:lvlJc w:val="left"/>
      <w:pPr>
        <w:tabs>
          <w:tab w:val="num" w:pos="3654"/>
        </w:tabs>
        <w:ind w:left="3654" w:hanging="360"/>
      </w:pPr>
    </w:lvl>
    <w:lvl w:ilvl="5" w:tentative="1">
      <w:start w:val="1"/>
      <w:numFmt w:val="lowerRoman"/>
      <w:lvlText w:val="%6."/>
      <w:lvlJc w:val="right"/>
      <w:pPr>
        <w:tabs>
          <w:tab w:val="num" w:pos="4374"/>
        </w:tabs>
        <w:ind w:left="4374" w:hanging="180"/>
      </w:pPr>
    </w:lvl>
    <w:lvl w:ilvl="6" w:tentative="1">
      <w:start w:val="1"/>
      <w:numFmt w:val="decimal"/>
      <w:lvlText w:val="%7."/>
      <w:lvlJc w:val="left"/>
      <w:pPr>
        <w:tabs>
          <w:tab w:val="num" w:pos="5094"/>
        </w:tabs>
        <w:ind w:left="5094" w:hanging="360"/>
      </w:pPr>
    </w:lvl>
    <w:lvl w:ilvl="7" w:tentative="1">
      <w:start w:val="1"/>
      <w:numFmt w:val="lowerLetter"/>
      <w:lvlText w:val="%8."/>
      <w:lvlJc w:val="left"/>
      <w:pPr>
        <w:tabs>
          <w:tab w:val="num" w:pos="5814"/>
        </w:tabs>
        <w:ind w:left="5814" w:hanging="360"/>
      </w:pPr>
    </w:lvl>
    <w:lvl w:ilvl="8" w:tentative="1">
      <w:start w:val="1"/>
      <w:numFmt w:val="lowerRoman"/>
      <w:lvlText w:val="%9."/>
      <w:lvlJc w:val="right"/>
      <w:pPr>
        <w:tabs>
          <w:tab w:val="num" w:pos="6534"/>
        </w:tabs>
        <w:ind w:left="6534" w:hanging="180"/>
      </w:pPr>
    </w:lvl>
  </w:abstractNum>
  <w:abstractNum w:abstractNumId="30">
    <w:nsid w:val="31D56C97"/>
    <w:multiLevelType w:val="multilevel"/>
    <w:tmpl w:val="A66AD66A"/>
    <w:lvl w:ilvl="0">
      <w:start w:val="1"/>
      <w:numFmt w:val="arabicAbjad"/>
      <w:lvlRestart w:val="0"/>
      <w:lvlText w:val="(%1)"/>
      <w:lvlJc w:val="right"/>
      <w:pPr>
        <w:tabs>
          <w:tab w:val="num" w:pos="12053"/>
        </w:tabs>
        <w:ind w:left="12053" w:hanging="11032"/>
      </w:pPr>
      <w:rPr>
        <w:rFonts w:ascii="Traditional Arabic" w:hAnsi="Traditional Arabic" w:cs="Traditional Arabic" w:hint="cs"/>
        <w:sz w:val="18"/>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1">
    <w:nsid w:val="32A75D52"/>
    <w:multiLevelType w:val="hybridMultilevel"/>
    <w:tmpl w:val="AF6C6348"/>
    <w:lvl w:ilvl="0" w:tplc="6780FF90">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3655D9C"/>
    <w:multiLevelType w:val="hybridMultilevel"/>
    <w:tmpl w:val="C9DCA460"/>
    <w:lvl w:ilvl="0" w:tplc="308CB36A">
      <w:start w:val="1"/>
      <w:numFmt w:val="decimal"/>
      <w:pStyle w:val="Artic1-"/>
      <w:lvlText w:val="%1-"/>
      <w:lvlJc w:val="left"/>
      <w:pPr>
        <w:tabs>
          <w:tab w:val="num" w:pos="1080"/>
        </w:tabs>
        <w:ind w:left="0" w:firstLine="720"/>
      </w:pPr>
      <w:rPr>
        <w:rFonts w:ascii="Times New Roman" w:hAnsi="Times New Roman" w:cs="Traditional Arabic" w:hint="default"/>
        <w:b w:val="0"/>
        <w:bCs w:val="0"/>
        <w:i w:val="0"/>
        <w:iCs w:val="0"/>
        <w:caps w:val="0"/>
        <w:spacing w:val="6"/>
        <w:kern w:val="16"/>
        <w:sz w:val="22"/>
        <w:szCs w:val="3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3">
    <w:nsid w:val="372F3CE7"/>
    <w:multiLevelType w:val="hybridMultilevel"/>
    <w:tmpl w:val="61CC3B94"/>
    <w:lvl w:ilvl="0" w:tplc="71C2987A">
      <w:start w:val="1"/>
      <w:numFmt w:val="arabicAbjad"/>
      <w:lvlRestart w:val="0"/>
      <w:lvlText w:val="(%1)"/>
      <w:lvlJc w:val="right"/>
      <w:pPr>
        <w:tabs>
          <w:tab w:val="num" w:pos="7904"/>
        </w:tabs>
        <w:ind w:left="7904" w:hanging="6883"/>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94C6AF4"/>
    <w:multiLevelType w:val="hybridMultilevel"/>
    <w:tmpl w:val="B4F25B64"/>
    <w:lvl w:ilvl="0" w:tplc="70B2CFE4">
      <w:start w:val="6"/>
      <w:numFmt w:val="arabicAbjad"/>
      <w:pStyle w:val="-"/>
      <w:lvlText w:val="(%1)"/>
      <w:lvlJc w:val="left"/>
      <w:pPr>
        <w:tabs>
          <w:tab w:val="num" w:pos="1080"/>
        </w:tabs>
        <w:ind w:left="0" w:firstLine="720"/>
      </w:pPr>
      <w:rPr>
        <w:rFonts w:ascii="Times New Roman" w:hAnsi="Times New Roman" w:cs="Traditional Arabic" w:hint="default"/>
        <w:b w:val="0"/>
        <w:bCs w:val="0"/>
        <w:i w:val="0"/>
        <w:iCs w:val="0"/>
        <w:caps w:val="0"/>
        <w:spacing w:val="6"/>
        <w:w w:val="100"/>
        <w:kern w:val="16"/>
        <w:sz w:val="22"/>
        <w:szCs w:val="3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5">
    <w:nsid w:val="3B26661B"/>
    <w:multiLevelType w:val="hybridMultilevel"/>
    <w:tmpl w:val="D0362F90"/>
    <w:lvl w:ilvl="0" w:tplc="A2E4985E">
      <w:start w:val="1"/>
      <w:numFmt w:val="arabicAbjad"/>
      <w:lvlRestart w:val="0"/>
      <w:lvlText w:val="(%1)"/>
      <w:lvlJc w:val="right"/>
      <w:pPr>
        <w:tabs>
          <w:tab w:val="num" w:pos="7904"/>
        </w:tabs>
        <w:ind w:left="7904" w:hanging="6839"/>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CED7E93"/>
    <w:multiLevelType w:val="hybridMultilevel"/>
    <w:tmpl w:val="4406ED5C"/>
    <w:lvl w:ilvl="0" w:tplc="844E219E">
      <w:start w:val="1"/>
      <w:numFmt w:val="arabicAbjad"/>
      <w:lvlRestart w:val="0"/>
      <w:lvlText w:val="(%1)"/>
      <w:lvlJc w:val="right"/>
      <w:pPr>
        <w:tabs>
          <w:tab w:val="num" w:pos="10559"/>
        </w:tabs>
        <w:ind w:left="10559" w:hanging="9538"/>
      </w:pPr>
      <w:rPr>
        <w:rFonts w:ascii="Traditional Arabic" w:hAnsi="Traditional Arabic" w:cs="Traditional Arabic" w:hint="cs"/>
        <w:sz w:val="18"/>
        <w:szCs w:val="24"/>
        <w:lang w:val="en-CA"/>
      </w:rPr>
    </w:lvl>
    <w:lvl w:ilvl="1" w:tplc="10090019" w:tentative="1">
      <w:start w:val="1"/>
      <w:numFmt w:val="lowerLetter"/>
      <w:lvlText w:val="%2."/>
      <w:lvlJc w:val="left"/>
      <w:pPr>
        <w:ind w:left="2714" w:hanging="360"/>
      </w:pPr>
    </w:lvl>
    <w:lvl w:ilvl="2" w:tplc="1009001B" w:tentative="1">
      <w:start w:val="1"/>
      <w:numFmt w:val="lowerRoman"/>
      <w:lvlText w:val="%3."/>
      <w:lvlJc w:val="right"/>
      <w:pPr>
        <w:ind w:left="3434" w:hanging="180"/>
      </w:pPr>
    </w:lvl>
    <w:lvl w:ilvl="3" w:tplc="1009000F" w:tentative="1">
      <w:start w:val="1"/>
      <w:numFmt w:val="decimal"/>
      <w:lvlText w:val="%4."/>
      <w:lvlJc w:val="left"/>
      <w:pPr>
        <w:ind w:left="4154" w:hanging="360"/>
      </w:pPr>
    </w:lvl>
    <w:lvl w:ilvl="4" w:tplc="10090019" w:tentative="1">
      <w:start w:val="1"/>
      <w:numFmt w:val="lowerLetter"/>
      <w:lvlText w:val="%5."/>
      <w:lvlJc w:val="left"/>
      <w:pPr>
        <w:ind w:left="4874" w:hanging="360"/>
      </w:pPr>
    </w:lvl>
    <w:lvl w:ilvl="5" w:tplc="1009001B" w:tentative="1">
      <w:start w:val="1"/>
      <w:numFmt w:val="lowerRoman"/>
      <w:lvlText w:val="%6."/>
      <w:lvlJc w:val="right"/>
      <w:pPr>
        <w:ind w:left="5594" w:hanging="180"/>
      </w:pPr>
    </w:lvl>
    <w:lvl w:ilvl="6" w:tplc="1009000F" w:tentative="1">
      <w:start w:val="1"/>
      <w:numFmt w:val="decimal"/>
      <w:lvlText w:val="%7."/>
      <w:lvlJc w:val="left"/>
      <w:pPr>
        <w:ind w:left="6314" w:hanging="360"/>
      </w:pPr>
    </w:lvl>
    <w:lvl w:ilvl="7" w:tplc="10090019" w:tentative="1">
      <w:start w:val="1"/>
      <w:numFmt w:val="lowerLetter"/>
      <w:lvlText w:val="%8."/>
      <w:lvlJc w:val="left"/>
      <w:pPr>
        <w:ind w:left="7034" w:hanging="360"/>
      </w:pPr>
    </w:lvl>
    <w:lvl w:ilvl="8" w:tplc="1009001B" w:tentative="1">
      <w:start w:val="1"/>
      <w:numFmt w:val="lowerRoman"/>
      <w:lvlText w:val="%9."/>
      <w:lvlJc w:val="right"/>
      <w:pPr>
        <w:ind w:left="7754" w:hanging="180"/>
      </w:pPr>
    </w:lvl>
  </w:abstractNum>
  <w:abstractNum w:abstractNumId="37">
    <w:nsid w:val="3DEF3F8B"/>
    <w:multiLevelType w:val="hybridMultilevel"/>
    <w:tmpl w:val="A072E08C"/>
    <w:lvl w:ilvl="0" w:tplc="EAF2F174">
      <w:start w:val="1"/>
      <w:numFmt w:val="decimal"/>
      <w:pStyle w:val="parag"/>
      <w:lvlText w:val="%1-"/>
      <w:lvlJc w:val="left"/>
      <w:pPr>
        <w:tabs>
          <w:tab w:val="num" w:pos="360"/>
        </w:tabs>
        <w:ind w:left="0" w:firstLine="0"/>
      </w:pPr>
      <w:rPr>
        <w:rFonts w:ascii="Times New Roman" w:hAnsi="Times New Roman" w:cs="Traditional Arabic" w:hint="default"/>
        <w:b w:val="0"/>
        <w:bCs w:val="0"/>
        <w:i w:val="0"/>
        <w:iCs w:val="0"/>
        <w:caps w:val="0"/>
        <w:spacing w:val="6"/>
        <w:kern w:val="16"/>
        <w:sz w:val="22"/>
        <w:szCs w:val="3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8">
    <w:nsid w:val="3E6B4AC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3F1E1156"/>
    <w:multiLevelType w:val="hybridMultilevel"/>
    <w:tmpl w:val="8632BE1C"/>
    <w:lvl w:ilvl="0" w:tplc="02C0FDAA">
      <w:start w:val="1"/>
      <w:numFmt w:val="decimal"/>
      <w:pStyle w:val="Rom1-"/>
      <w:lvlText w:val="'%1'"/>
      <w:lvlJc w:val="left"/>
      <w:pPr>
        <w:tabs>
          <w:tab w:val="num" w:pos="1440"/>
        </w:tabs>
        <w:ind w:left="1440" w:right="1440" w:hanging="720"/>
      </w:pPr>
      <w:rPr>
        <w:rFonts w:ascii="Times New Roman" w:hAnsi="Times New Roman" w:cs="Traditional Arabic" w:hint="default"/>
        <w:b w:val="0"/>
        <w:bCs w:val="0"/>
        <w:i w:val="0"/>
        <w:iCs w:val="0"/>
        <w:caps w:val="0"/>
        <w:spacing w:val="6"/>
        <w:kern w:val="16"/>
        <w:sz w:val="22"/>
        <w:szCs w:val="30"/>
      </w:rPr>
    </w:lvl>
    <w:lvl w:ilvl="1" w:tplc="30C0B8A8"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0">
    <w:nsid w:val="40B06C04"/>
    <w:multiLevelType w:val="hybridMultilevel"/>
    <w:tmpl w:val="A27051CA"/>
    <w:lvl w:ilvl="0" w:tplc="F52EABAE">
      <w:start w:val="6"/>
      <w:numFmt w:val="none"/>
      <w:pStyle w:val="a0"/>
      <w:lvlText w:val="(ﻫ)"/>
      <w:lvlJc w:val="left"/>
      <w:pPr>
        <w:tabs>
          <w:tab w:val="num" w:pos="1080"/>
        </w:tabs>
        <w:ind w:left="0" w:firstLine="720"/>
      </w:pPr>
      <w:rPr>
        <w:rFonts w:ascii="Times New Roman" w:hAnsi="Times New Roman" w:cs="Traditional Arabic" w:hint="default"/>
        <w:b w:val="0"/>
        <w:bCs w:val="0"/>
        <w:i w:val="0"/>
        <w:iCs w:val="0"/>
        <w:caps w:val="0"/>
        <w:spacing w:val="6"/>
        <w:kern w:val="16"/>
        <w:sz w:val="22"/>
        <w:szCs w:val="30"/>
      </w:rPr>
    </w:lvl>
    <w:lvl w:ilvl="1" w:tplc="0409000F">
      <w:start w:val="6"/>
      <w:numFmt w:val="none"/>
      <w:lvlText w:val="(ﻫ)"/>
      <w:lvlJc w:val="left"/>
      <w:pPr>
        <w:tabs>
          <w:tab w:val="num" w:pos="1800"/>
        </w:tabs>
        <w:ind w:left="1800" w:right="1800" w:hanging="720"/>
      </w:pPr>
      <w:rPr>
        <w:rFonts w:ascii="Times New Roman" w:hAnsi="Times New Roman" w:cs="Traditional Arabic" w:hint="default"/>
        <w:b w:val="0"/>
        <w:bCs w:val="0"/>
        <w:i w:val="0"/>
        <w:iCs w:val="0"/>
        <w:caps w:val="0"/>
        <w:spacing w:val="6"/>
        <w:kern w:val="16"/>
        <w:sz w:val="22"/>
        <w:szCs w:val="30"/>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1">
    <w:nsid w:val="454B2370"/>
    <w:multiLevelType w:val="hybridMultilevel"/>
    <w:tmpl w:val="278EE6AE"/>
    <w:lvl w:ilvl="0" w:tplc="F5E04B6C">
      <w:start w:val="1"/>
      <w:numFmt w:val="bullet"/>
      <w:pStyle w:val="Bullet2GA"/>
      <w:lvlText w:val=""/>
      <w:lvlJc w:val="left"/>
      <w:pPr>
        <w:tabs>
          <w:tab w:val="num" w:pos="1644"/>
        </w:tabs>
        <w:ind w:left="2041" w:firstLine="0"/>
      </w:pPr>
      <w:rPr>
        <w:rFonts w:ascii="Symbol" w:hAnsi="Symbol" w:hint="default"/>
      </w:rPr>
    </w:lvl>
    <w:lvl w:ilvl="1" w:tplc="04090019" w:tentative="1">
      <w:start w:val="1"/>
      <w:numFmt w:val="bullet"/>
      <w:lvlText w:val="o"/>
      <w:lvlJc w:val="left"/>
      <w:pPr>
        <w:tabs>
          <w:tab w:val="num" w:pos="3935"/>
        </w:tabs>
        <w:ind w:left="3935" w:hanging="360"/>
      </w:pPr>
      <w:rPr>
        <w:rFonts w:ascii="Courier New" w:hAnsi="Courier New" w:cs="Courier New" w:hint="default"/>
      </w:rPr>
    </w:lvl>
    <w:lvl w:ilvl="2" w:tplc="0409001B" w:tentative="1">
      <w:start w:val="1"/>
      <w:numFmt w:val="bullet"/>
      <w:lvlText w:val=""/>
      <w:lvlJc w:val="left"/>
      <w:pPr>
        <w:tabs>
          <w:tab w:val="num" w:pos="4655"/>
        </w:tabs>
        <w:ind w:left="4655" w:hanging="360"/>
      </w:pPr>
      <w:rPr>
        <w:rFonts w:ascii="Wingdings" w:hAnsi="Wingdings" w:hint="default"/>
      </w:rPr>
    </w:lvl>
    <w:lvl w:ilvl="3" w:tplc="0409000F" w:tentative="1">
      <w:start w:val="1"/>
      <w:numFmt w:val="bullet"/>
      <w:lvlText w:val=""/>
      <w:lvlJc w:val="left"/>
      <w:pPr>
        <w:tabs>
          <w:tab w:val="num" w:pos="5375"/>
        </w:tabs>
        <w:ind w:left="5375" w:hanging="360"/>
      </w:pPr>
      <w:rPr>
        <w:rFonts w:ascii="Symbol" w:hAnsi="Symbol" w:hint="default"/>
      </w:rPr>
    </w:lvl>
    <w:lvl w:ilvl="4" w:tplc="04090019" w:tentative="1">
      <w:start w:val="1"/>
      <w:numFmt w:val="bullet"/>
      <w:lvlText w:val="o"/>
      <w:lvlJc w:val="left"/>
      <w:pPr>
        <w:tabs>
          <w:tab w:val="num" w:pos="6095"/>
        </w:tabs>
        <w:ind w:left="6095" w:hanging="360"/>
      </w:pPr>
      <w:rPr>
        <w:rFonts w:ascii="Courier New" w:hAnsi="Courier New" w:cs="Courier New" w:hint="default"/>
      </w:rPr>
    </w:lvl>
    <w:lvl w:ilvl="5" w:tplc="0409001B" w:tentative="1">
      <w:start w:val="1"/>
      <w:numFmt w:val="bullet"/>
      <w:lvlText w:val=""/>
      <w:lvlJc w:val="left"/>
      <w:pPr>
        <w:tabs>
          <w:tab w:val="num" w:pos="6815"/>
        </w:tabs>
        <w:ind w:left="6815" w:hanging="360"/>
      </w:pPr>
      <w:rPr>
        <w:rFonts w:ascii="Wingdings" w:hAnsi="Wingdings" w:hint="default"/>
      </w:rPr>
    </w:lvl>
    <w:lvl w:ilvl="6" w:tplc="0409000F" w:tentative="1">
      <w:start w:val="1"/>
      <w:numFmt w:val="bullet"/>
      <w:lvlText w:val=""/>
      <w:lvlJc w:val="left"/>
      <w:pPr>
        <w:tabs>
          <w:tab w:val="num" w:pos="7535"/>
        </w:tabs>
        <w:ind w:left="7535" w:hanging="360"/>
      </w:pPr>
      <w:rPr>
        <w:rFonts w:ascii="Symbol" w:hAnsi="Symbol" w:hint="default"/>
      </w:rPr>
    </w:lvl>
    <w:lvl w:ilvl="7" w:tplc="04090019" w:tentative="1">
      <w:start w:val="1"/>
      <w:numFmt w:val="bullet"/>
      <w:lvlText w:val="o"/>
      <w:lvlJc w:val="left"/>
      <w:pPr>
        <w:tabs>
          <w:tab w:val="num" w:pos="8255"/>
        </w:tabs>
        <w:ind w:left="8255" w:hanging="360"/>
      </w:pPr>
      <w:rPr>
        <w:rFonts w:ascii="Courier New" w:hAnsi="Courier New" w:cs="Courier New" w:hint="default"/>
      </w:rPr>
    </w:lvl>
    <w:lvl w:ilvl="8" w:tplc="0409001B" w:tentative="1">
      <w:start w:val="1"/>
      <w:numFmt w:val="bullet"/>
      <w:lvlText w:val=""/>
      <w:lvlJc w:val="left"/>
      <w:pPr>
        <w:tabs>
          <w:tab w:val="num" w:pos="8975"/>
        </w:tabs>
        <w:ind w:left="8975" w:hanging="360"/>
      </w:pPr>
      <w:rPr>
        <w:rFonts w:ascii="Wingdings" w:hAnsi="Wingdings" w:hint="default"/>
      </w:rPr>
    </w:lvl>
  </w:abstractNum>
  <w:abstractNum w:abstractNumId="42">
    <w:nsid w:val="49BB5C18"/>
    <w:multiLevelType w:val="hybridMultilevel"/>
    <w:tmpl w:val="FA006F4E"/>
    <w:lvl w:ilvl="0" w:tplc="F1D2A638">
      <w:start w:val="1"/>
      <w:numFmt w:val="decimal"/>
      <w:lvlRestart w:val="0"/>
      <w:lvlText w:val="(%1)"/>
      <w:lvlJc w:val="right"/>
      <w:pPr>
        <w:tabs>
          <w:tab w:val="num" w:pos="1293"/>
        </w:tabs>
        <w:ind w:left="1293" w:hanging="227"/>
      </w:pPr>
      <w:rPr>
        <w:rFonts w:ascii="Traditional Arabic" w:hAnsi="Traditional Arabic" w:cs="Traditional Arabic" w:hint="default"/>
        <w:sz w:val="26"/>
        <w:szCs w:val="26"/>
      </w:rPr>
    </w:lvl>
    <w:lvl w:ilvl="1" w:tplc="04090003">
      <w:start w:val="1"/>
      <w:numFmt w:val="decimal"/>
      <w:lvlRestart w:val="0"/>
      <w:lvlText w:val="(%2)"/>
      <w:lvlJc w:val="right"/>
      <w:pPr>
        <w:tabs>
          <w:tab w:val="num" w:pos="1353"/>
        </w:tabs>
        <w:ind w:left="1353" w:hanging="227"/>
      </w:pPr>
      <w:rPr>
        <w:rFonts w:ascii="Times New Roman" w:hAnsi="Times New Roman" w:cs="Traditional Arabic" w:hint="default"/>
        <w:sz w:val="20"/>
        <w:szCs w:val="28"/>
      </w:rPr>
    </w:lvl>
    <w:lvl w:ilvl="2" w:tplc="04090005" w:tentative="1">
      <w:start w:val="1"/>
      <w:numFmt w:val="lowerRoman"/>
      <w:lvlText w:val="%3."/>
      <w:lvlJc w:val="right"/>
      <w:pPr>
        <w:tabs>
          <w:tab w:val="num" w:pos="2206"/>
        </w:tabs>
        <w:ind w:left="2206" w:hanging="180"/>
      </w:pPr>
    </w:lvl>
    <w:lvl w:ilvl="3" w:tplc="04090001" w:tentative="1">
      <w:start w:val="1"/>
      <w:numFmt w:val="decimal"/>
      <w:lvlText w:val="%4."/>
      <w:lvlJc w:val="left"/>
      <w:pPr>
        <w:tabs>
          <w:tab w:val="num" w:pos="2926"/>
        </w:tabs>
        <w:ind w:left="2926" w:hanging="360"/>
      </w:pPr>
    </w:lvl>
    <w:lvl w:ilvl="4" w:tplc="04090003" w:tentative="1">
      <w:start w:val="1"/>
      <w:numFmt w:val="lowerLetter"/>
      <w:lvlText w:val="%5."/>
      <w:lvlJc w:val="left"/>
      <w:pPr>
        <w:tabs>
          <w:tab w:val="num" w:pos="3646"/>
        </w:tabs>
        <w:ind w:left="3646" w:hanging="360"/>
      </w:pPr>
    </w:lvl>
    <w:lvl w:ilvl="5" w:tplc="04090005" w:tentative="1">
      <w:start w:val="1"/>
      <w:numFmt w:val="lowerRoman"/>
      <w:lvlText w:val="%6."/>
      <w:lvlJc w:val="right"/>
      <w:pPr>
        <w:tabs>
          <w:tab w:val="num" w:pos="4366"/>
        </w:tabs>
        <w:ind w:left="4366" w:hanging="180"/>
      </w:pPr>
    </w:lvl>
    <w:lvl w:ilvl="6" w:tplc="04090001" w:tentative="1">
      <w:start w:val="1"/>
      <w:numFmt w:val="decimal"/>
      <w:lvlText w:val="%7."/>
      <w:lvlJc w:val="left"/>
      <w:pPr>
        <w:tabs>
          <w:tab w:val="num" w:pos="5086"/>
        </w:tabs>
        <w:ind w:left="5086" w:hanging="360"/>
      </w:pPr>
    </w:lvl>
    <w:lvl w:ilvl="7" w:tplc="04090003" w:tentative="1">
      <w:start w:val="1"/>
      <w:numFmt w:val="lowerLetter"/>
      <w:lvlText w:val="%8."/>
      <w:lvlJc w:val="left"/>
      <w:pPr>
        <w:tabs>
          <w:tab w:val="num" w:pos="5806"/>
        </w:tabs>
        <w:ind w:left="5806" w:hanging="360"/>
      </w:pPr>
    </w:lvl>
    <w:lvl w:ilvl="8" w:tplc="04090005" w:tentative="1">
      <w:start w:val="1"/>
      <w:numFmt w:val="lowerRoman"/>
      <w:lvlText w:val="%9."/>
      <w:lvlJc w:val="right"/>
      <w:pPr>
        <w:tabs>
          <w:tab w:val="num" w:pos="6526"/>
        </w:tabs>
        <w:ind w:left="6526" w:hanging="180"/>
      </w:pPr>
    </w:lvl>
  </w:abstractNum>
  <w:abstractNum w:abstractNumId="43">
    <w:nsid w:val="49E40107"/>
    <w:multiLevelType w:val="hybridMultilevel"/>
    <w:tmpl w:val="D25221BA"/>
    <w:lvl w:ilvl="0" w:tplc="578AC7FA">
      <w:start w:val="1"/>
      <w:numFmt w:val="arabicAbjad"/>
      <w:lvlRestart w:val="0"/>
      <w:lvlText w:val="(%1)"/>
      <w:lvlJc w:val="right"/>
      <w:pPr>
        <w:tabs>
          <w:tab w:val="num" w:pos="1861"/>
        </w:tabs>
        <w:ind w:left="1861" w:hanging="227"/>
      </w:pPr>
      <w:rPr>
        <w:rFonts w:ascii="Traditional Arabic" w:hAnsi="Traditional Arabic" w:cs="Traditional Arabic" w:hint="default"/>
        <w:sz w:val="26"/>
        <w:szCs w:val="26"/>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D8826EF"/>
    <w:multiLevelType w:val="hybridMultilevel"/>
    <w:tmpl w:val="916C67C4"/>
    <w:lvl w:ilvl="0" w:tplc="72C2F282">
      <w:start w:val="1"/>
      <w:numFmt w:val="arabicAbjad"/>
      <w:lvlRestart w:val="0"/>
      <w:lvlText w:val="(%1)"/>
      <w:lvlJc w:val="right"/>
      <w:pPr>
        <w:tabs>
          <w:tab w:val="num" w:pos="12097"/>
        </w:tabs>
        <w:ind w:left="12097" w:hanging="11076"/>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E781192"/>
    <w:multiLevelType w:val="hybridMultilevel"/>
    <w:tmpl w:val="62AAA36A"/>
    <w:lvl w:ilvl="0" w:tplc="78D2854E">
      <w:start w:val="1"/>
      <w:numFmt w:val="arabicAbjad"/>
      <w:lvlRestart w:val="0"/>
      <w:lvlText w:val="(%1)"/>
      <w:lvlJc w:val="right"/>
      <w:pPr>
        <w:tabs>
          <w:tab w:val="num" w:pos="2494"/>
        </w:tabs>
        <w:ind w:left="2494" w:hanging="227"/>
      </w:pPr>
      <w:rPr>
        <w:rFonts w:hint="default"/>
      </w:rPr>
    </w:lvl>
    <w:lvl w:ilvl="1" w:tplc="EFBC8F42" w:tentative="1">
      <w:start w:val="1"/>
      <w:numFmt w:val="lowerLetter"/>
      <w:lvlText w:val="%2."/>
      <w:lvlJc w:val="left"/>
      <w:pPr>
        <w:tabs>
          <w:tab w:val="num" w:pos="2687"/>
        </w:tabs>
        <w:ind w:left="2687" w:hanging="360"/>
      </w:pPr>
    </w:lvl>
    <w:lvl w:ilvl="2" w:tplc="0409001B" w:tentative="1">
      <w:start w:val="1"/>
      <w:numFmt w:val="lowerRoman"/>
      <w:lvlText w:val="%3."/>
      <w:lvlJc w:val="right"/>
      <w:pPr>
        <w:tabs>
          <w:tab w:val="num" w:pos="3407"/>
        </w:tabs>
        <w:ind w:left="3407" w:hanging="180"/>
      </w:pPr>
    </w:lvl>
    <w:lvl w:ilvl="3" w:tplc="0409000F" w:tentative="1">
      <w:start w:val="1"/>
      <w:numFmt w:val="decimal"/>
      <w:lvlText w:val="%4."/>
      <w:lvlJc w:val="left"/>
      <w:pPr>
        <w:tabs>
          <w:tab w:val="num" w:pos="4127"/>
        </w:tabs>
        <w:ind w:left="4127" w:hanging="360"/>
      </w:pPr>
    </w:lvl>
    <w:lvl w:ilvl="4" w:tplc="04090019" w:tentative="1">
      <w:start w:val="1"/>
      <w:numFmt w:val="lowerLetter"/>
      <w:lvlText w:val="%5."/>
      <w:lvlJc w:val="left"/>
      <w:pPr>
        <w:tabs>
          <w:tab w:val="num" w:pos="4847"/>
        </w:tabs>
        <w:ind w:left="4847" w:hanging="360"/>
      </w:pPr>
    </w:lvl>
    <w:lvl w:ilvl="5" w:tplc="0409001B" w:tentative="1">
      <w:start w:val="1"/>
      <w:numFmt w:val="lowerRoman"/>
      <w:lvlText w:val="%6."/>
      <w:lvlJc w:val="right"/>
      <w:pPr>
        <w:tabs>
          <w:tab w:val="num" w:pos="5567"/>
        </w:tabs>
        <w:ind w:left="5567" w:hanging="180"/>
      </w:pPr>
    </w:lvl>
    <w:lvl w:ilvl="6" w:tplc="0409000F" w:tentative="1">
      <w:start w:val="1"/>
      <w:numFmt w:val="decimal"/>
      <w:lvlText w:val="%7."/>
      <w:lvlJc w:val="left"/>
      <w:pPr>
        <w:tabs>
          <w:tab w:val="num" w:pos="6287"/>
        </w:tabs>
        <w:ind w:left="6287" w:hanging="360"/>
      </w:pPr>
    </w:lvl>
    <w:lvl w:ilvl="7" w:tplc="04090019" w:tentative="1">
      <w:start w:val="1"/>
      <w:numFmt w:val="lowerLetter"/>
      <w:lvlText w:val="%8."/>
      <w:lvlJc w:val="left"/>
      <w:pPr>
        <w:tabs>
          <w:tab w:val="num" w:pos="7007"/>
        </w:tabs>
        <w:ind w:left="7007" w:hanging="360"/>
      </w:pPr>
    </w:lvl>
    <w:lvl w:ilvl="8" w:tplc="0409001B" w:tentative="1">
      <w:start w:val="1"/>
      <w:numFmt w:val="lowerRoman"/>
      <w:lvlText w:val="%9."/>
      <w:lvlJc w:val="right"/>
      <w:pPr>
        <w:tabs>
          <w:tab w:val="num" w:pos="7727"/>
        </w:tabs>
        <w:ind w:left="7727" w:hanging="180"/>
      </w:pPr>
    </w:lvl>
  </w:abstractNum>
  <w:abstractNum w:abstractNumId="46">
    <w:nsid w:val="58562369"/>
    <w:multiLevelType w:val="hybridMultilevel"/>
    <w:tmpl w:val="66A4204C"/>
    <w:lvl w:ilvl="0" w:tplc="2F8463AE">
      <w:start w:val="1"/>
      <w:numFmt w:val="arabicAbjad"/>
      <w:lvlRestart w:val="0"/>
      <w:lvlText w:val="(%1)"/>
      <w:lvlJc w:val="right"/>
      <w:pPr>
        <w:tabs>
          <w:tab w:val="num" w:pos="12097"/>
        </w:tabs>
        <w:ind w:left="12097" w:hanging="11076"/>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9277F5C"/>
    <w:multiLevelType w:val="hybridMultilevel"/>
    <w:tmpl w:val="AFF83F9C"/>
    <w:lvl w:ilvl="0" w:tplc="6D2E0E78">
      <w:start w:val="1"/>
      <w:numFmt w:val="arabicAbjad"/>
      <w:lvlRestart w:val="0"/>
      <w:lvlText w:val="(%1)"/>
      <w:lvlJc w:val="right"/>
      <w:pPr>
        <w:tabs>
          <w:tab w:val="num" w:pos="1292"/>
        </w:tabs>
        <w:ind w:left="1292" w:hanging="227"/>
      </w:pPr>
      <w:rPr>
        <w:rFonts w:ascii="Traditional Arabic" w:hAnsi="Traditional Arabic" w:cs="Traditional Arabic" w:hint="default"/>
        <w:sz w:val="26"/>
        <w:szCs w:val="26"/>
      </w:rPr>
    </w:lvl>
    <w:lvl w:ilvl="1" w:tplc="7D1278DC">
      <w:start w:val="1"/>
      <w:numFmt w:val="decimal"/>
      <w:lvlRestart w:val="0"/>
      <w:lvlText w:val="(%2)"/>
      <w:lvlJc w:val="right"/>
      <w:pPr>
        <w:tabs>
          <w:tab w:val="num" w:pos="1352"/>
        </w:tabs>
        <w:ind w:left="1352" w:hanging="227"/>
      </w:pPr>
      <w:rPr>
        <w:rFonts w:ascii="Traditional Arabic" w:hAnsi="Traditional Arabic" w:cs="Traditional Arabic" w:hint="default"/>
        <w:sz w:val="26"/>
        <w:szCs w:val="26"/>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8">
    <w:nsid w:val="5A3612A3"/>
    <w:multiLevelType w:val="hybridMultilevel"/>
    <w:tmpl w:val="16E83AB8"/>
    <w:lvl w:ilvl="0" w:tplc="CC62538A">
      <w:start w:val="1"/>
      <w:numFmt w:val="arabicAbjad"/>
      <w:lvlRestart w:val="0"/>
      <w:lvlText w:val="(%1)"/>
      <w:lvlJc w:val="right"/>
      <w:pPr>
        <w:tabs>
          <w:tab w:val="num" w:pos="1292"/>
        </w:tabs>
        <w:ind w:left="1292" w:hanging="227"/>
      </w:pPr>
      <w:rPr>
        <w:rFonts w:ascii="Traditional Arabic" w:hAnsi="Traditional Arabic" w:cs="Traditional Arabic" w:hint="default"/>
        <w:sz w:val="26"/>
        <w:szCs w:val="26"/>
      </w:rPr>
    </w:lvl>
    <w:lvl w:ilvl="1" w:tplc="04090019">
      <w:start w:val="1"/>
      <w:numFmt w:val="decimal"/>
      <w:lvlRestart w:val="0"/>
      <w:lvlText w:val="(%2)"/>
      <w:lvlJc w:val="right"/>
      <w:pPr>
        <w:tabs>
          <w:tab w:val="num" w:pos="1352"/>
        </w:tabs>
        <w:ind w:left="1352" w:hanging="227"/>
      </w:pPr>
      <w:rPr>
        <w:rFonts w:hint="default"/>
        <w:sz w:val="26"/>
        <w:szCs w:val="26"/>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9">
    <w:nsid w:val="5BE950DF"/>
    <w:multiLevelType w:val="hybridMultilevel"/>
    <w:tmpl w:val="AE101E30"/>
    <w:lvl w:ilvl="0" w:tplc="34841C48">
      <w:start w:val="1"/>
      <w:numFmt w:val="decimal"/>
      <w:lvlRestart w:val="0"/>
      <w:lvlText w:val="(%1)"/>
      <w:lvlJc w:val="right"/>
      <w:pPr>
        <w:tabs>
          <w:tab w:val="num" w:pos="1305"/>
        </w:tabs>
        <w:ind w:left="1305" w:hanging="227"/>
      </w:pPr>
      <w:rPr>
        <w:rFonts w:ascii="Traditional Arabic" w:hAnsi="Traditional Arabic" w:cs="Traditional Arabic" w:hint="default"/>
        <w:sz w:val="26"/>
        <w:szCs w:val="26"/>
      </w:rPr>
    </w:lvl>
    <w:lvl w:ilvl="1" w:tplc="722ED73C">
      <w:start w:val="1"/>
      <w:numFmt w:val="decimal"/>
      <w:lvlRestart w:val="0"/>
      <w:lvlText w:val="(%2)"/>
      <w:lvlJc w:val="right"/>
      <w:pPr>
        <w:tabs>
          <w:tab w:val="num" w:pos="1365"/>
        </w:tabs>
        <w:ind w:left="1365" w:hanging="227"/>
      </w:pPr>
      <w:rPr>
        <w:rFonts w:hint="default"/>
        <w:sz w:val="26"/>
        <w:szCs w:val="26"/>
      </w:rPr>
    </w:lvl>
    <w:lvl w:ilvl="2" w:tplc="0409001B" w:tentative="1">
      <w:start w:val="1"/>
      <w:numFmt w:val="lowerRoman"/>
      <w:lvlText w:val="%3."/>
      <w:lvlJc w:val="right"/>
      <w:pPr>
        <w:tabs>
          <w:tab w:val="num" w:pos="2218"/>
        </w:tabs>
        <w:ind w:left="2218" w:hanging="180"/>
      </w:pPr>
    </w:lvl>
    <w:lvl w:ilvl="3" w:tplc="0409000F" w:tentative="1">
      <w:start w:val="1"/>
      <w:numFmt w:val="decimal"/>
      <w:lvlText w:val="%4."/>
      <w:lvlJc w:val="left"/>
      <w:pPr>
        <w:tabs>
          <w:tab w:val="num" w:pos="2938"/>
        </w:tabs>
        <w:ind w:left="2938" w:hanging="360"/>
      </w:pPr>
    </w:lvl>
    <w:lvl w:ilvl="4" w:tplc="04090019" w:tentative="1">
      <w:start w:val="1"/>
      <w:numFmt w:val="lowerLetter"/>
      <w:lvlText w:val="%5."/>
      <w:lvlJc w:val="left"/>
      <w:pPr>
        <w:tabs>
          <w:tab w:val="num" w:pos="3658"/>
        </w:tabs>
        <w:ind w:left="3658" w:hanging="360"/>
      </w:pPr>
    </w:lvl>
    <w:lvl w:ilvl="5" w:tplc="0409001B" w:tentative="1">
      <w:start w:val="1"/>
      <w:numFmt w:val="lowerRoman"/>
      <w:lvlText w:val="%6."/>
      <w:lvlJc w:val="right"/>
      <w:pPr>
        <w:tabs>
          <w:tab w:val="num" w:pos="4378"/>
        </w:tabs>
        <w:ind w:left="4378" w:hanging="180"/>
      </w:pPr>
    </w:lvl>
    <w:lvl w:ilvl="6" w:tplc="0409000F" w:tentative="1">
      <w:start w:val="1"/>
      <w:numFmt w:val="decimal"/>
      <w:lvlText w:val="%7."/>
      <w:lvlJc w:val="left"/>
      <w:pPr>
        <w:tabs>
          <w:tab w:val="num" w:pos="5098"/>
        </w:tabs>
        <w:ind w:left="5098" w:hanging="360"/>
      </w:pPr>
    </w:lvl>
    <w:lvl w:ilvl="7" w:tplc="04090019" w:tentative="1">
      <w:start w:val="1"/>
      <w:numFmt w:val="lowerLetter"/>
      <w:lvlText w:val="%8."/>
      <w:lvlJc w:val="left"/>
      <w:pPr>
        <w:tabs>
          <w:tab w:val="num" w:pos="5818"/>
        </w:tabs>
        <w:ind w:left="5818" w:hanging="360"/>
      </w:pPr>
    </w:lvl>
    <w:lvl w:ilvl="8" w:tplc="0409001B" w:tentative="1">
      <w:start w:val="1"/>
      <w:numFmt w:val="lowerRoman"/>
      <w:lvlText w:val="%9."/>
      <w:lvlJc w:val="right"/>
      <w:pPr>
        <w:tabs>
          <w:tab w:val="num" w:pos="6538"/>
        </w:tabs>
        <w:ind w:left="6538" w:hanging="180"/>
      </w:pPr>
    </w:lvl>
  </w:abstractNum>
  <w:abstractNum w:abstractNumId="50">
    <w:nsid w:val="5D7D597E"/>
    <w:multiLevelType w:val="hybridMultilevel"/>
    <w:tmpl w:val="F77E2684"/>
    <w:lvl w:ilvl="0" w:tplc="810655FA">
      <w:start w:val="1"/>
      <w:numFmt w:val="arabicAbjad"/>
      <w:lvlRestart w:val="0"/>
      <w:lvlText w:val="(%1)"/>
      <w:lvlJc w:val="right"/>
      <w:pPr>
        <w:tabs>
          <w:tab w:val="num" w:pos="3279"/>
        </w:tabs>
        <w:ind w:left="3279" w:hanging="227"/>
      </w:pPr>
      <w:rPr>
        <w:rFonts w:ascii="Traditional Arabic" w:hAnsi="Traditional Arabic" w:cs="Traditional Arabic" w:hint="default"/>
        <w:sz w:val="26"/>
        <w:szCs w:val="26"/>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51">
    <w:nsid w:val="61CC189B"/>
    <w:multiLevelType w:val="hybridMultilevel"/>
    <w:tmpl w:val="4C60847C"/>
    <w:lvl w:ilvl="0" w:tplc="0C929BC4">
      <w:start w:val="1"/>
      <w:numFmt w:val="arabicAbjad"/>
      <w:lvlRestart w:val="0"/>
      <w:lvlText w:val="(%1)"/>
      <w:lvlJc w:val="right"/>
      <w:pPr>
        <w:tabs>
          <w:tab w:val="num" w:pos="1293"/>
        </w:tabs>
        <w:ind w:left="1293" w:hanging="227"/>
      </w:pPr>
      <w:rPr>
        <w:rFonts w:ascii="Traditional Arabic" w:hAnsi="Traditional Arabic" w:cs="Traditional Arabic" w:hint="default"/>
        <w:b w:val="0"/>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5B47514"/>
    <w:multiLevelType w:val="hybridMultilevel"/>
    <w:tmpl w:val="060C49A4"/>
    <w:lvl w:ilvl="0" w:tplc="0F1E6322">
      <w:start w:val="1"/>
      <w:numFmt w:val="arabicAbjad"/>
      <w:lvlRestart w:val="0"/>
      <w:lvlText w:val="(%1)"/>
      <w:lvlJc w:val="right"/>
      <w:pPr>
        <w:tabs>
          <w:tab w:val="num" w:pos="7904"/>
        </w:tabs>
        <w:ind w:left="7904" w:hanging="6839"/>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66B7687"/>
    <w:multiLevelType w:val="hybridMultilevel"/>
    <w:tmpl w:val="A7BC7502"/>
    <w:lvl w:ilvl="0" w:tplc="F6D27AD4">
      <w:start w:val="1"/>
      <w:numFmt w:val="arabicAbjad"/>
      <w:lvlRestart w:val="0"/>
      <w:lvlText w:val="(%1)"/>
      <w:lvlJc w:val="right"/>
      <w:pPr>
        <w:tabs>
          <w:tab w:val="num" w:pos="7904"/>
        </w:tabs>
        <w:ind w:left="7904" w:hanging="6839"/>
      </w:pPr>
      <w:rPr>
        <w:rFonts w:ascii="Traditional Arabic" w:hAnsi="Traditional Arabic" w:cs="Traditional Arabic" w:hint="cs"/>
        <w:sz w:val="18"/>
        <w:szCs w:val="24"/>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4">
    <w:nsid w:val="6F0200BF"/>
    <w:multiLevelType w:val="hybridMultilevel"/>
    <w:tmpl w:val="EB2EE096"/>
    <w:lvl w:ilvl="0" w:tplc="5A143E6E">
      <w:start w:val="1"/>
      <w:numFmt w:val="arabicAbjad"/>
      <w:lvlRestart w:val="0"/>
      <w:lvlText w:val="(%1)"/>
      <w:lvlJc w:val="right"/>
      <w:pPr>
        <w:tabs>
          <w:tab w:val="num" w:pos="1292"/>
        </w:tabs>
        <w:ind w:left="1292" w:hanging="227"/>
      </w:pPr>
      <w:rPr>
        <w:rFonts w:ascii="Traditional Arabic" w:hAnsi="Traditional Arabic" w:cs="Traditional Arabic" w:hint="default"/>
        <w:sz w:val="26"/>
        <w:szCs w:val="26"/>
      </w:rPr>
    </w:lvl>
    <w:lvl w:ilvl="1" w:tplc="0D6C5DF6"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5">
    <w:nsid w:val="78C74C9E"/>
    <w:multiLevelType w:val="hybridMultilevel"/>
    <w:tmpl w:val="D144A41E"/>
    <w:lvl w:ilvl="0" w:tplc="80F84998">
      <w:start w:val="37"/>
      <w:numFmt w:val="decimal"/>
      <w:lvlRestart w:val="0"/>
      <w:lvlText w:val="(%1)"/>
      <w:lvlJc w:val="right"/>
      <w:pPr>
        <w:tabs>
          <w:tab w:val="num" w:pos="1297"/>
        </w:tabs>
        <w:ind w:left="1297" w:hanging="227"/>
      </w:pPr>
      <w:rPr>
        <w:rFonts w:ascii="Traditional Arabic" w:hAnsi="Traditional Arabic" w:cs="Traditional Arabic" w:hint="cs"/>
        <w:sz w:val="26"/>
        <w:szCs w:val="26"/>
      </w:rPr>
    </w:lvl>
    <w:lvl w:ilvl="1" w:tplc="04090019">
      <w:start w:val="1"/>
      <w:numFmt w:val="decimal"/>
      <w:lvlRestart w:val="0"/>
      <w:lvlText w:val="(%2)"/>
      <w:lvlJc w:val="right"/>
      <w:pPr>
        <w:tabs>
          <w:tab w:val="num" w:pos="1357"/>
        </w:tabs>
        <w:ind w:left="1357" w:hanging="227"/>
      </w:pPr>
      <w:rPr>
        <w:rFonts w:hint="cs"/>
        <w:sz w:val="26"/>
        <w:szCs w:val="26"/>
      </w:r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56">
    <w:nsid w:val="78D00C1C"/>
    <w:multiLevelType w:val="multilevel"/>
    <w:tmpl w:val="0409001D"/>
    <w:styleLink w:val="1ai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7AE32A09"/>
    <w:multiLevelType w:val="hybridMultilevel"/>
    <w:tmpl w:val="9C5295AC"/>
    <w:lvl w:ilvl="0" w:tplc="1E22665A">
      <w:start w:val="1"/>
      <w:numFmt w:val="decimal"/>
      <w:pStyle w:val="Roman2GA"/>
      <w:lvlText w:val="'%1'"/>
      <w:lvlJc w:val="right"/>
      <w:pPr>
        <w:tabs>
          <w:tab w:val="num" w:pos="2438"/>
        </w:tabs>
        <w:ind w:left="2438" w:hanging="397"/>
      </w:pPr>
      <w:rPr>
        <w:rFonts w:ascii="Georgia" w:hAnsi="Georgia" w:cs="Traditional Arabic" w:hint="default"/>
        <w:sz w:val="20"/>
        <w:szCs w:val="28"/>
      </w:rPr>
    </w:lvl>
    <w:lvl w:ilvl="1" w:tplc="04090019" w:tentative="1">
      <w:start w:val="1"/>
      <w:numFmt w:val="bullet"/>
      <w:lvlText w:val="o"/>
      <w:lvlJc w:val="left"/>
      <w:pPr>
        <w:tabs>
          <w:tab w:val="num" w:pos="3595"/>
        </w:tabs>
        <w:ind w:left="3595" w:hanging="360"/>
      </w:pPr>
      <w:rPr>
        <w:rFonts w:ascii="Courier New" w:hAnsi="Courier New" w:cs="Courier New" w:hint="default"/>
      </w:rPr>
    </w:lvl>
    <w:lvl w:ilvl="2" w:tplc="0409001B" w:tentative="1">
      <w:start w:val="1"/>
      <w:numFmt w:val="bullet"/>
      <w:lvlText w:val=""/>
      <w:lvlJc w:val="left"/>
      <w:pPr>
        <w:tabs>
          <w:tab w:val="num" w:pos="4315"/>
        </w:tabs>
        <w:ind w:left="4315" w:hanging="360"/>
      </w:pPr>
      <w:rPr>
        <w:rFonts w:ascii="Wingdings" w:hAnsi="Wingdings" w:hint="default"/>
      </w:rPr>
    </w:lvl>
    <w:lvl w:ilvl="3" w:tplc="0409000F" w:tentative="1">
      <w:start w:val="1"/>
      <w:numFmt w:val="bullet"/>
      <w:lvlText w:val=""/>
      <w:lvlJc w:val="left"/>
      <w:pPr>
        <w:tabs>
          <w:tab w:val="num" w:pos="5035"/>
        </w:tabs>
        <w:ind w:left="5035" w:hanging="360"/>
      </w:pPr>
      <w:rPr>
        <w:rFonts w:ascii="Symbol" w:hAnsi="Symbol" w:hint="default"/>
      </w:rPr>
    </w:lvl>
    <w:lvl w:ilvl="4" w:tplc="04090019" w:tentative="1">
      <w:start w:val="1"/>
      <w:numFmt w:val="bullet"/>
      <w:lvlText w:val="o"/>
      <w:lvlJc w:val="left"/>
      <w:pPr>
        <w:tabs>
          <w:tab w:val="num" w:pos="5755"/>
        </w:tabs>
        <w:ind w:left="5755" w:hanging="360"/>
      </w:pPr>
      <w:rPr>
        <w:rFonts w:ascii="Courier New" w:hAnsi="Courier New" w:cs="Courier New" w:hint="default"/>
      </w:rPr>
    </w:lvl>
    <w:lvl w:ilvl="5" w:tplc="0409001B" w:tentative="1">
      <w:start w:val="1"/>
      <w:numFmt w:val="bullet"/>
      <w:lvlText w:val=""/>
      <w:lvlJc w:val="left"/>
      <w:pPr>
        <w:tabs>
          <w:tab w:val="num" w:pos="6475"/>
        </w:tabs>
        <w:ind w:left="6475" w:hanging="360"/>
      </w:pPr>
      <w:rPr>
        <w:rFonts w:ascii="Wingdings" w:hAnsi="Wingdings" w:hint="default"/>
      </w:rPr>
    </w:lvl>
    <w:lvl w:ilvl="6" w:tplc="0409000F" w:tentative="1">
      <w:start w:val="1"/>
      <w:numFmt w:val="bullet"/>
      <w:lvlText w:val=""/>
      <w:lvlJc w:val="left"/>
      <w:pPr>
        <w:tabs>
          <w:tab w:val="num" w:pos="7195"/>
        </w:tabs>
        <w:ind w:left="7195" w:hanging="360"/>
      </w:pPr>
      <w:rPr>
        <w:rFonts w:ascii="Symbol" w:hAnsi="Symbol" w:hint="default"/>
      </w:rPr>
    </w:lvl>
    <w:lvl w:ilvl="7" w:tplc="04090019" w:tentative="1">
      <w:start w:val="1"/>
      <w:numFmt w:val="bullet"/>
      <w:lvlText w:val="o"/>
      <w:lvlJc w:val="left"/>
      <w:pPr>
        <w:tabs>
          <w:tab w:val="num" w:pos="7915"/>
        </w:tabs>
        <w:ind w:left="7915" w:hanging="360"/>
      </w:pPr>
      <w:rPr>
        <w:rFonts w:ascii="Courier New" w:hAnsi="Courier New" w:cs="Courier New" w:hint="default"/>
      </w:rPr>
    </w:lvl>
    <w:lvl w:ilvl="8" w:tplc="0409001B" w:tentative="1">
      <w:start w:val="1"/>
      <w:numFmt w:val="bullet"/>
      <w:lvlText w:val=""/>
      <w:lvlJc w:val="left"/>
      <w:pPr>
        <w:tabs>
          <w:tab w:val="num" w:pos="8635"/>
        </w:tabs>
        <w:ind w:left="8635" w:hanging="360"/>
      </w:pPr>
      <w:rPr>
        <w:rFonts w:ascii="Wingdings" w:hAnsi="Wingdings" w:hint="default"/>
      </w:rPr>
    </w:lvl>
  </w:abstractNum>
  <w:abstractNum w:abstractNumId="58">
    <w:nsid w:val="7C3A0585"/>
    <w:multiLevelType w:val="hybridMultilevel"/>
    <w:tmpl w:val="FF8AE06E"/>
    <w:lvl w:ilvl="0" w:tplc="42647FE6">
      <w:start w:val="1"/>
      <w:numFmt w:val="arabicAbjad"/>
      <w:lvlRestart w:val="0"/>
      <w:lvlText w:val="(%1)"/>
      <w:lvlJc w:val="right"/>
      <w:pPr>
        <w:tabs>
          <w:tab w:val="num" w:pos="9946"/>
        </w:tabs>
        <w:ind w:left="9946" w:hanging="8925"/>
      </w:pPr>
      <w:rPr>
        <w:rFonts w:ascii="Traditional Arabic" w:hAnsi="Traditional Arabic" w:cs="Traditional Arabic" w:hint="cs"/>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17"/>
  </w:num>
  <w:num w:numId="3">
    <w:abstractNumId w:val="26"/>
  </w:num>
  <w:num w:numId="4">
    <w:abstractNumId w:val="56"/>
  </w:num>
  <w:num w:numId="5">
    <w:abstractNumId w:val="31"/>
  </w:num>
  <w:num w:numId="6">
    <w:abstractNumId w:val="25"/>
  </w:num>
  <w:num w:numId="7">
    <w:abstractNumId w:val="57"/>
  </w:num>
  <w:num w:numId="8">
    <w:abstractNumId w:val="41"/>
  </w:num>
  <w:num w:numId="9">
    <w:abstractNumId w:val="17"/>
  </w:num>
  <w:num w:numId="10">
    <w:abstractNumId w:val="19"/>
  </w:num>
  <w:num w:numId="11">
    <w:abstractNumId w:val="23"/>
  </w:num>
  <w:num w:numId="12">
    <w:abstractNumId w:val="1"/>
  </w:num>
  <w:num w:numId="13">
    <w:abstractNumId w:val="0"/>
  </w:num>
  <w:num w:numId="14">
    <w:abstractNumId w:val="2"/>
  </w:num>
  <w:num w:numId="15">
    <w:abstractNumId w:val="3"/>
  </w:num>
  <w:num w:numId="16">
    <w:abstractNumId w:val="8"/>
  </w:num>
  <w:num w:numId="17">
    <w:abstractNumId w:val="9"/>
  </w:num>
  <w:num w:numId="18">
    <w:abstractNumId w:val="7"/>
  </w:num>
  <w:num w:numId="19">
    <w:abstractNumId w:val="6"/>
  </w:num>
  <w:num w:numId="20">
    <w:abstractNumId w:val="5"/>
  </w:num>
  <w:num w:numId="21">
    <w:abstractNumId w:val="4"/>
  </w:num>
  <w:num w:numId="22">
    <w:abstractNumId w:val="14"/>
  </w:num>
  <w:num w:numId="23">
    <w:abstractNumId w:val="12"/>
  </w:num>
  <w:num w:numId="24">
    <w:abstractNumId w:val="40"/>
  </w:num>
  <w:num w:numId="25">
    <w:abstractNumId w:val="37"/>
  </w:num>
  <w:num w:numId="26">
    <w:abstractNumId w:val="34"/>
  </w:num>
  <w:num w:numId="27">
    <w:abstractNumId w:val="32"/>
  </w:num>
  <w:num w:numId="28">
    <w:abstractNumId w:val="39"/>
  </w:num>
  <w:num w:numId="29">
    <w:abstractNumId w:val="49"/>
  </w:num>
  <w:num w:numId="30">
    <w:abstractNumId w:val="42"/>
  </w:num>
  <w:num w:numId="31">
    <w:abstractNumId w:val="22"/>
  </w:num>
  <w:num w:numId="32">
    <w:abstractNumId w:val="55"/>
  </w:num>
  <w:num w:numId="33">
    <w:abstractNumId w:val="21"/>
  </w:num>
  <w:num w:numId="34">
    <w:abstractNumId w:val="48"/>
  </w:num>
  <w:num w:numId="35">
    <w:abstractNumId w:val="54"/>
  </w:num>
  <w:num w:numId="36">
    <w:abstractNumId w:val="45"/>
  </w:num>
  <w:num w:numId="37">
    <w:abstractNumId w:val="18"/>
  </w:num>
  <w:num w:numId="38">
    <w:abstractNumId w:val="29"/>
  </w:num>
  <w:num w:numId="39">
    <w:abstractNumId w:val="10"/>
  </w:num>
  <w:num w:numId="40">
    <w:abstractNumId w:val="15"/>
  </w:num>
  <w:num w:numId="41">
    <w:abstractNumId w:val="53"/>
  </w:num>
  <w:num w:numId="42">
    <w:abstractNumId w:val="27"/>
  </w:num>
  <w:num w:numId="43">
    <w:abstractNumId w:val="38"/>
  </w:num>
  <w:num w:numId="44">
    <w:abstractNumId w:val="52"/>
  </w:num>
  <w:num w:numId="45">
    <w:abstractNumId w:val="35"/>
  </w:num>
  <w:num w:numId="46">
    <w:abstractNumId w:val="20"/>
  </w:num>
  <w:num w:numId="47">
    <w:abstractNumId w:val="33"/>
  </w:num>
  <w:num w:numId="48">
    <w:abstractNumId w:val="28"/>
  </w:num>
  <w:num w:numId="49">
    <w:abstractNumId w:val="58"/>
  </w:num>
  <w:num w:numId="50">
    <w:abstractNumId w:val="36"/>
  </w:num>
  <w:num w:numId="51">
    <w:abstractNumId w:val="50"/>
  </w:num>
  <w:num w:numId="52">
    <w:abstractNumId w:val="43"/>
  </w:num>
  <w:num w:numId="53">
    <w:abstractNumId w:val="11"/>
  </w:num>
  <w:num w:numId="54">
    <w:abstractNumId w:val="13"/>
  </w:num>
  <w:num w:numId="55">
    <w:abstractNumId w:val="47"/>
  </w:num>
  <w:num w:numId="56">
    <w:abstractNumId w:val="44"/>
  </w:num>
  <w:num w:numId="57">
    <w:abstractNumId w:val="16"/>
  </w:num>
  <w:num w:numId="58">
    <w:abstractNumId w:val="51"/>
  </w:num>
  <w:num w:numId="59">
    <w:abstractNumId w:val="30"/>
  </w:num>
  <w:num w:numId="60">
    <w:abstractNumId w:val="24"/>
  </w:num>
  <w:num w:numId="61">
    <w:abstractNumId w:val="4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0"/>
  <w:activeWritingStyle w:appName="MSWord" w:lang="ar-SA" w:vendorID="4" w:dllVersion="512" w:checkStyle="0"/>
  <w:attachedTemplate r:id="rId1"/>
  <w:stylePaneFormatFilter w:val="1F01"/>
  <w:doNotTrackMoves/>
  <w:defaultTabStop w:val="567"/>
  <w:evenAndOddHeaders/>
  <w:drawingGridHorizontalSpacing w:val="100"/>
  <w:displayHorizontalDrawingGridEvery w:val="2"/>
  <w:characterSpacingControl w:val="doNotCompress"/>
  <w:hdrShapeDefaults>
    <o:shapedefaults v:ext="edit" spidmax="3074"/>
  </w:hdrShapeDefaults>
  <w:footnotePr>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621E6"/>
    <w:rsid w:val="00001F13"/>
    <w:rsid w:val="000066D6"/>
    <w:rsid w:val="000203D9"/>
    <w:rsid w:val="000235D4"/>
    <w:rsid w:val="000253DE"/>
    <w:rsid w:val="00040E25"/>
    <w:rsid w:val="00040EEC"/>
    <w:rsid w:val="00042149"/>
    <w:rsid w:val="00042F5C"/>
    <w:rsid w:val="00043F1D"/>
    <w:rsid w:val="000648EA"/>
    <w:rsid w:val="000705BE"/>
    <w:rsid w:val="00082DCE"/>
    <w:rsid w:val="00090555"/>
    <w:rsid w:val="000957C8"/>
    <w:rsid w:val="000B4D1D"/>
    <w:rsid w:val="000B52F2"/>
    <w:rsid w:val="000C5CFE"/>
    <w:rsid w:val="000D0220"/>
    <w:rsid w:val="000D0D91"/>
    <w:rsid w:val="000D0EAE"/>
    <w:rsid w:val="000D5380"/>
    <w:rsid w:val="000D6654"/>
    <w:rsid w:val="000E34F4"/>
    <w:rsid w:val="000F0264"/>
    <w:rsid w:val="000F2EBF"/>
    <w:rsid w:val="000F5FF6"/>
    <w:rsid w:val="001124FE"/>
    <w:rsid w:val="0011263F"/>
    <w:rsid w:val="00113FA5"/>
    <w:rsid w:val="00114876"/>
    <w:rsid w:val="00123D37"/>
    <w:rsid w:val="00130DA8"/>
    <w:rsid w:val="00133FFF"/>
    <w:rsid w:val="00141C90"/>
    <w:rsid w:val="001455A0"/>
    <w:rsid w:val="00147D8C"/>
    <w:rsid w:val="00151F27"/>
    <w:rsid w:val="001602A3"/>
    <w:rsid w:val="001621E6"/>
    <w:rsid w:val="00171FB4"/>
    <w:rsid w:val="00173658"/>
    <w:rsid w:val="00176389"/>
    <w:rsid w:val="00177429"/>
    <w:rsid w:val="0018495F"/>
    <w:rsid w:val="001924C3"/>
    <w:rsid w:val="0019752F"/>
    <w:rsid w:val="001A08AE"/>
    <w:rsid w:val="001A5161"/>
    <w:rsid w:val="001A60BD"/>
    <w:rsid w:val="001C3296"/>
    <w:rsid w:val="001D12C7"/>
    <w:rsid w:val="001D3F00"/>
    <w:rsid w:val="001E3521"/>
    <w:rsid w:val="001F1B2D"/>
    <w:rsid w:val="001F6AB7"/>
    <w:rsid w:val="0020182D"/>
    <w:rsid w:val="002035A0"/>
    <w:rsid w:val="0020742E"/>
    <w:rsid w:val="00216CB1"/>
    <w:rsid w:val="00220315"/>
    <w:rsid w:val="00230664"/>
    <w:rsid w:val="002310A5"/>
    <w:rsid w:val="0023736D"/>
    <w:rsid w:val="00250FA4"/>
    <w:rsid w:val="0025419A"/>
    <w:rsid w:val="00257225"/>
    <w:rsid w:val="00257E4D"/>
    <w:rsid w:val="00266D23"/>
    <w:rsid w:val="002748C9"/>
    <w:rsid w:val="00283F0D"/>
    <w:rsid w:val="00286181"/>
    <w:rsid w:val="00293076"/>
    <w:rsid w:val="002A1584"/>
    <w:rsid w:val="002C1EA7"/>
    <w:rsid w:val="002C2A9D"/>
    <w:rsid w:val="002E2361"/>
    <w:rsid w:val="002E2FB8"/>
    <w:rsid w:val="002F25AA"/>
    <w:rsid w:val="002F7B82"/>
    <w:rsid w:val="00310160"/>
    <w:rsid w:val="00325C94"/>
    <w:rsid w:val="0033301A"/>
    <w:rsid w:val="00335AC0"/>
    <w:rsid w:val="00336665"/>
    <w:rsid w:val="00341A8C"/>
    <w:rsid w:val="00350D2E"/>
    <w:rsid w:val="003519E6"/>
    <w:rsid w:val="003549AC"/>
    <w:rsid w:val="00356AAE"/>
    <w:rsid w:val="003759CF"/>
    <w:rsid w:val="003833F8"/>
    <w:rsid w:val="00385A93"/>
    <w:rsid w:val="003A2D39"/>
    <w:rsid w:val="003B4356"/>
    <w:rsid w:val="003B45E3"/>
    <w:rsid w:val="003C4E9E"/>
    <w:rsid w:val="003D48E7"/>
    <w:rsid w:val="003E0628"/>
    <w:rsid w:val="003E385E"/>
    <w:rsid w:val="003E698F"/>
    <w:rsid w:val="003E72B5"/>
    <w:rsid w:val="003E7397"/>
    <w:rsid w:val="003F08A8"/>
    <w:rsid w:val="003F4917"/>
    <w:rsid w:val="004017F9"/>
    <w:rsid w:val="00402F18"/>
    <w:rsid w:val="00414489"/>
    <w:rsid w:val="00415319"/>
    <w:rsid w:val="00417A5B"/>
    <w:rsid w:val="00421AD5"/>
    <w:rsid w:val="004250E3"/>
    <w:rsid w:val="00425688"/>
    <w:rsid w:val="0043712E"/>
    <w:rsid w:val="004422FD"/>
    <w:rsid w:val="00460C6A"/>
    <w:rsid w:val="00462F3B"/>
    <w:rsid w:val="00466B80"/>
    <w:rsid w:val="00472A81"/>
    <w:rsid w:val="00481F28"/>
    <w:rsid w:val="004930E5"/>
    <w:rsid w:val="004957D4"/>
    <w:rsid w:val="004A1851"/>
    <w:rsid w:val="004A2C77"/>
    <w:rsid w:val="004A748F"/>
    <w:rsid w:val="004B0A06"/>
    <w:rsid w:val="004B2C92"/>
    <w:rsid w:val="004C1AAA"/>
    <w:rsid w:val="004C587E"/>
    <w:rsid w:val="004C5EBE"/>
    <w:rsid w:val="004D6A3A"/>
    <w:rsid w:val="004E0A37"/>
    <w:rsid w:val="004E2B08"/>
    <w:rsid w:val="004E7AEB"/>
    <w:rsid w:val="004F2F36"/>
    <w:rsid w:val="004F3AA0"/>
    <w:rsid w:val="004F4AD7"/>
    <w:rsid w:val="00503CA2"/>
    <w:rsid w:val="0050415C"/>
    <w:rsid w:val="00510AB3"/>
    <w:rsid w:val="005225BF"/>
    <w:rsid w:val="00523D40"/>
    <w:rsid w:val="00531C58"/>
    <w:rsid w:val="00542E62"/>
    <w:rsid w:val="00542FAC"/>
    <w:rsid w:val="00544535"/>
    <w:rsid w:val="00544BB1"/>
    <w:rsid w:val="00553388"/>
    <w:rsid w:val="00557CD3"/>
    <w:rsid w:val="005656D4"/>
    <w:rsid w:val="00571432"/>
    <w:rsid w:val="005732A2"/>
    <w:rsid w:val="005762A5"/>
    <w:rsid w:val="0057643A"/>
    <w:rsid w:val="00590BA3"/>
    <w:rsid w:val="00596069"/>
    <w:rsid w:val="00596DD7"/>
    <w:rsid w:val="005B7AE0"/>
    <w:rsid w:val="005E331E"/>
    <w:rsid w:val="005F146F"/>
    <w:rsid w:val="005F71B6"/>
    <w:rsid w:val="00602FFF"/>
    <w:rsid w:val="00611878"/>
    <w:rsid w:val="00613278"/>
    <w:rsid w:val="00614E22"/>
    <w:rsid w:val="00620695"/>
    <w:rsid w:val="00646E1E"/>
    <w:rsid w:val="006501D7"/>
    <w:rsid w:val="00660FD4"/>
    <w:rsid w:val="006748CB"/>
    <w:rsid w:val="00684C5A"/>
    <w:rsid w:val="006A4425"/>
    <w:rsid w:val="006B4669"/>
    <w:rsid w:val="006B489A"/>
    <w:rsid w:val="006B679F"/>
    <w:rsid w:val="006C3172"/>
    <w:rsid w:val="006C4108"/>
    <w:rsid w:val="006D13D9"/>
    <w:rsid w:val="006D33AD"/>
    <w:rsid w:val="006E1F60"/>
    <w:rsid w:val="006E43D5"/>
    <w:rsid w:val="006F6BF8"/>
    <w:rsid w:val="00706CAA"/>
    <w:rsid w:val="00707BDF"/>
    <w:rsid w:val="00710727"/>
    <w:rsid w:val="00710F85"/>
    <w:rsid w:val="00713BE2"/>
    <w:rsid w:val="00715F45"/>
    <w:rsid w:val="007209F4"/>
    <w:rsid w:val="00721A9C"/>
    <w:rsid w:val="007223C0"/>
    <w:rsid w:val="00727BAF"/>
    <w:rsid w:val="00731B84"/>
    <w:rsid w:val="00731C1F"/>
    <w:rsid w:val="00734AE7"/>
    <w:rsid w:val="007400F4"/>
    <w:rsid w:val="00740206"/>
    <w:rsid w:val="00755AEC"/>
    <w:rsid w:val="00772699"/>
    <w:rsid w:val="00780A5B"/>
    <w:rsid w:val="00781CE0"/>
    <w:rsid w:val="0079579E"/>
    <w:rsid w:val="007B0865"/>
    <w:rsid w:val="007C1878"/>
    <w:rsid w:val="007C1D2D"/>
    <w:rsid w:val="007D1954"/>
    <w:rsid w:val="007D1EF4"/>
    <w:rsid w:val="007E197F"/>
    <w:rsid w:val="007F4611"/>
    <w:rsid w:val="007F508A"/>
    <w:rsid w:val="007F63FF"/>
    <w:rsid w:val="007F68C4"/>
    <w:rsid w:val="007F7966"/>
    <w:rsid w:val="00804CC7"/>
    <w:rsid w:val="008153DE"/>
    <w:rsid w:val="0081655E"/>
    <w:rsid w:val="0084103D"/>
    <w:rsid w:val="00852A10"/>
    <w:rsid w:val="008572ED"/>
    <w:rsid w:val="00862634"/>
    <w:rsid w:val="008655A1"/>
    <w:rsid w:val="00866981"/>
    <w:rsid w:val="00866C59"/>
    <w:rsid w:val="00873F49"/>
    <w:rsid w:val="00877306"/>
    <w:rsid w:val="00896765"/>
    <w:rsid w:val="00896EDE"/>
    <w:rsid w:val="008A6242"/>
    <w:rsid w:val="008B1A43"/>
    <w:rsid w:val="008B4006"/>
    <w:rsid w:val="008B4BC6"/>
    <w:rsid w:val="008C1013"/>
    <w:rsid w:val="008C3E8A"/>
    <w:rsid w:val="008C7817"/>
    <w:rsid w:val="008D1B92"/>
    <w:rsid w:val="008D4221"/>
    <w:rsid w:val="008F3C80"/>
    <w:rsid w:val="00901E57"/>
    <w:rsid w:val="00903655"/>
    <w:rsid w:val="00905E27"/>
    <w:rsid w:val="009120CD"/>
    <w:rsid w:val="00921F02"/>
    <w:rsid w:val="00926D7D"/>
    <w:rsid w:val="009318CA"/>
    <w:rsid w:val="00935F0E"/>
    <w:rsid w:val="00943DD9"/>
    <w:rsid w:val="00947298"/>
    <w:rsid w:val="0095208F"/>
    <w:rsid w:val="00964167"/>
    <w:rsid w:val="00970B48"/>
    <w:rsid w:val="00977B3F"/>
    <w:rsid w:val="009814AE"/>
    <w:rsid w:val="00985A4E"/>
    <w:rsid w:val="00996BBE"/>
    <w:rsid w:val="009A112B"/>
    <w:rsid w:val="009A1314"/>
    <w:rsid w:val="009B46FD"/>
    <w:rsid w:val="009C3C50"/>
    <w:rsid w:val="009C5C40"/>
    <w:rsid w:val="009D000F"/>
    <w:rsid w:val="009D1DD5"/>
    <w:rsid w:val="009E31FC"/>
    <w:rsid w:val="009F0969"/>
    <w:rsid w:val="00A11DDA"/>
    <w:rsid w:val="00A213CF"/>
    <w:rsid w:val="00A26157"/>
    <w:rsid w:val="00A265C3"/>
    <w:rsid w:val="00A4030E"/>
    <w:rsid w:val="00A43F9A"/>
    <w:rsid w:val="00A45814"/>
    <w:rsid w:val="00A47831"/>
    <w:rsid w:val="00A51E27"/>
    <w:rsid w:val="00A543D4"/>
    <w:rsid w:val="00A72124"/>
    <w:rsid w:val="00A72130"/>
    <w:rsid w:val="00A73ECA"/>
    <w:rsid w:val="00A75940"/>
    <w:rsid w:val="00A8289C"/>
    <w:rsid w:val="00A85948"/>
    <w:rsid w:val="00A87880"/>
    <w:rsid w:val="00A9128E"/>
    <w:rsid w:val="00A91B45"/>
    <w:rsid w:val="00A92E0E"/>
    <w:rsid w:val="00AA537D"/>
    <w:rsid w:val="00AB031D"/>
    <w:rsid w:val="00AB558F"/>
    <w:rsid w:val="00AB7E73"/>
    <w:rsid w:val="00AC32FA"/>
    <w:rsid w:val="00AC7D2B"/>
    <w:rsid w:val="00AD0014"/>
    <w:rsid w:val="00AD4CF2"/>
    <w:rsid w:val="00AD7965"/>
    <w:rsid w:val="00AE2E4C"/>
    <w:rsid w:val="00AF0BBA"/>
    <w:rsid w:val="00AF1A27"/>
    <w:rsid w:val="00B0061F"/>
    <w:rsid w:val="00B02336"/>
    <w:rsid w:val="00B1101B"/>
    <w:rsid w:val="00B16DE0"/>
    <w:rsid w:val="00B24AE4"/>
    <w:rsid w:val="00B30468"/>
    <w:rsid w:val="00B32542"/>
    <w:rsid w:val="00B345DB"/>
    <w:rsid w:val="00B35B26"/>
    <w:rsid w:val="00B37BBB"/>
    <w:rsid w:val="00B40A8D"/>
    <w:rsid w:val="00B5100A"/>
    <w:rsid w:val="00B602A3"/>
    <w:rsid w:val="00B6289A"/>
    <w:rsid w:val="00B65A46"/>
    <w:rsid w:val="00B65F0A"/>
    <w:rsid w:val="00B679F6"/>
    <w:rsid w:val="00B70113"/>
    <w:rsid w:val="00B73747"/>
    <w:rsid w:val="00B73B4D"/>
    <w:rsid w:val="00B8252B"/>
    <w:rsid w:val="00BA04D2"/>
    <w:rsid w:val="00BA41EC"/>
    <w:rsid w:val="00BA7A9E"/>
    <w:rsid w:val="00BB2C41"/>
    <w:rsid w:val="00BB5187"/>
    <w:rsid w:val="00BB708F"/>
    <w:rsid w:val="00BC2035"/>
    <w:rsid w:val="00BC2867"/>
    <w:rsid w:val="00BC2BF0"/>
    <w:rsid w:val="00BC55C8"/>
    <w:rsid w:val="00BC5C10"/>
    <w:rsid w:val="00BC75D6"/>
    <w:rsid w:val="00BE2964"/>
    <w:rsid w:val="00BE2D5D"/>
    <w:rsid w:val="00BE7198"/>
    <w:rsid w:val="00BF3AE0"/>
    <w:rsid w:val="00C03ECB"/>
    <w:rsid w:val="00C12184"/>
    <w:rsid w:val="00C13FCF"/>
    <w:rsid w:val="00C20878"/>
    <w:rsid w:val="00C24FBD"/>
    <w:rsid w:val="00C27568"/>
    <w:rsid w:val="00C27637"/>
    <w:rsid w:val="00C31611"/>
    <w:rsid w:val="00C473BA"/>
    <w:rsid w:val="00C51313"/>
    <w:rsid w:val="00C611ED"/>
    <w:rsid w:val="00C6490A"/>
    <w:rsid w:val="00C64FE1"/>
    <w:rsid w:val="00C66164"/>
    <w:rsid w:val="00C752D1"/>
    <w:rsid w:val="00C8345E"/>
    <w:rsid w:val="00C83C58"/>
    <w:rsid w:val="00C92E64"/>
    <w:rsid w:val="00C963FF"/>
    <w:rsid w:val="00CA1A76"/>
    <w:rsid w:val="00CA2D0E"/>
    <w:rsid w:val="00CA5735"/>
    <w:rsid w:val="00CA5F7C"/>
    <w:rsid w:val="00CA7A57"/>
    <w:rsid w:val="00CB0188"/>
    <w:rsid w:val="00CB643F"/>
    <w:rsid w:val="00CC5B56"/>
    <w:rsid w:val="00CD7DA4"/>
    <w:rsid w:val="00CE6548"/>
    <w:rsid w:val="00CF3B71"/>
    <w:rsid w:val="00D17401"/>
    <w:rsid w:val="00D24633"/>
    <w:rsid w:val="00D33E15"/>
    <w:rsid w:val="00D3490C"/>
    <w:rsid w:val="00D4210F"/>
    <w:rsid w:val="00D51067"/>
    <w:rsid w:val="00D513BF"/>
    <w:rsid w:val="00D642C7"/>
    <w:rsid w:val="00D64D4C"/>
    <w:rsid w:val="00D65344"/>
    <w:rsid w:val="00D731BA"/>
    <w:rsid w:val="00D74E28"/>
    <w:rsid w:val="00D75071"/>
    <w:rsid w:val="00D75657"/>
    <w:rsid w:val="00D76AD0"/>
    <w:rsid w:val="00D85A41"/>
    <w:rsid w:val="00D87BC0"/>
    <w:rsid w:val="00D960AD"/>
    <w:rsid w:val="00D96791"/>
    <w:rsid w:val="00DA0B1C"/>
    <w:rsid w:val="00DA0E0E"/>
    <w:rsid w:val="00DA4ADA"/>
    <w:rsid w:val="00DA717C"/>
    <w:rsid w:val="00DB0C39"/>
    <w:rsid w:val="00DB4C15"/>
    <w:rsid w:val="00DB5706"/>
    <w:rsid w:val="00DB7679"/>
    <w:rsid w:val="00DC5F1B"/>
    <w:rsid w:val="00DE083F"/>
    <w:rsid w:val="00DE0C73"/>
    <w:rsid w:val="00DE469F"/>
    <w:rsid w:val="00DF0D05"/>
    <w:rsid w:val="00DF1702"/>
    <w:rsid w:val="00DF4DD8"/>
    <w:rsid w:val="00DF61FC"/>
    <w:rsid w:val="00DF668E"/>
    <w:rsid w:val="00DF75A3"/>
    <w:rsid w:val="00E0497A"/>
    <w:rsid w:val="00E06299"/>
    <w:rsid w:val="00E14D2B"/>
    <w:rsid w:val="00E16FB7"/>
    <w:rsid w:val="00E20DBA"/>
    <w:rsid w:val="00E25E42"/>
    <w:rsid w:val="00E27835"/>
    <w:rsid w:val="00E34C33"/>
    <w:rsid w:val="00E36BB6"/>
    <w:rsid w:val="00E43C59"/>
    <w:rsid w:val="00E456C6"/>
    <w:rsid w:val="00E527AE"/>
    <w:rsid w:val="00E55D7B"/>
    <w:rsid w:val="00E60529"/>
    <w:rsid w:val="00E60B6F"/>
    <w:rsid w:val="00E61B85"/>
    <w:rsid w:val="00E660D6"/>
    <w:rsid w:val="00E71210"/>
    <w:rsid w:val="00E7369E"/>
    <w:rsid w:val="00E771AB"/>
    <w:rsid w:val="00E85F6E"/>
    <w:rsid w:val="00E86FDB"/>
    <w:rsid w:val="00EA66E5"/>
    <w:rsid w:val="00EA71E8"/>
    <w:rsid w:val="00EA796F"/>
    <w:rsid w:val="00EB077B"/>
    <w:rsid w:val="00EB70BE"/>
    <w:rsid w:val="00EC14B7"/>
    <w:rsid w:val="00EC50B9"/>
    <w:rsid w:val="00ED26A0"/>
    <w:rsid w:val="00ED3910"/>
    <w:rsid w:val="00ED61B0"/>
    <w:rsid w:val="00ED6B1C"/>
    <w:rsid w:val="00ED7623"/>
    <w:rsid w:val="00EE3978"/>
    <w:rsid w:val="00F040E7"/>
    <w:rsid w:val="00F06F86"/>
    <w:rsid w:val="00F07223"/>
    <w:rsid w:val="00F10493"/>
    <w:rsid w:val="00F1727A"/>
    <w:rsid w:val="00F250A4"/>
    <w:rsid w:val="00F27905"/>
    <w:rsid w:val="00F34764"/>
    <w:rsid w:val="00F34C36"/>
    <w:rsid w:val="00F54BB7"/>
    <w:rsid w:val="00F54E3C"/>
    <w:rsid w:val="00F64788"/>
    <w:rsid w:val="00F80FBA"/>
    <w:rsid w:val="00F85F7C"/>
    <w:rsid w:val="00F86A90"/>
    <w:rsid w:val="00F874BD"/>
    <w:rsid w:val="00F9617D"/>
    <w:rsid w:val="00F96B1E"/>
    <w:rsid w:val="00FA5E40"/>
    <w:rsid w:val="00FA6676"/>
    <w:rsid w:val="00FA6C18"/>
    <w:rsid w:val="00FB3C43"/>
    <w:rsid w:val="00FE0F07"/>
    <w:rsid w:val="00FE1A1A"/>
    <w:rsid w:val="00FE387B"/>
    <w:rsid w:val="00FE55A3"/>
    <w:rsid w:val="00FE6409"/>
    <w:rsid w:val="00FE6536"/>
    <w:rsid w:val="00FE6865"/>
    <w:rsid w:val="00FE6DB5"/>
    <w:rsid w:val="00FF2F22"/>
    <w:rsid w:val="00FF3FC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0A37"/>
    <w:pPr>
      <w:bidi/>
    </w:pPr>
    <w:rPr>
      <w:rFonts w:cs="Traditional Arabic"/>
      <w:spacing w:val="6"/>
      <w:kern w:val="16"/>
      <w:sz w:val="22"/>
      <w:szCs w:val="30"/>
      <w:lang w:eastAsia="ar-SA"/>
    </w:rPr>
  </w:style>
  <w:style w:type="paragraph" w:styleId="Heading1">
    <w:name w:val="heading 1"/>
    <w:aliases w:val="Table_GA,Table_G"/>
    <w:basedOn w:val="SingleTxtGA"/>
    <w:next w:val="Normal"/>
    <w:link w:val="Heading1Char"/>
    <w:qFormat/>
    <w:rsid w:val="000D6654"/>
    <w:pPr>
      <w:suppressAutoHyphens/>
      <w:bidi w:val="0"/>
      <w:outlineLvl w:val="0"/>
    </w:pPr>
  </w:style>
  <w:style w:type="paragraph" w:styleId="Heading2">
    <w:name w:val="heading 2"/>
    <w:basedOn w:val="Normal"/>
    <w:next w:val="Normal"/>
    <w:link w:val="Heading2Char"/>
    <w:qFormat/>
    <w:rsid w:val="00E660D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660D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E0A37"/>
    <w:pPr>
      <w:suppressAutoHyphens/>
      <w:bidi w:val="0"/>
      <w:outlineLvl w:val="3"/>
    </w:pPr>
    <w:rPr>
      <w:rFonts w:cs="Times New Roman"/>
      <w:snapToGrid w:val="0"/>
      <w:spacing w:val="0"/>
      <w:kern w:val="0"/>
      <w:sz w:val="20"/>
      <w:szCs w:val="20"/>
      <w:lang w:val="en-GB" w:eastAsia="en-US"/>
    </w:rPr>
  </w:style>
  <w:style w:type="paragraph" w:styleId="Heading5">
    <w:name w:val="heading 5"/>
    <w:basedOn w:val="Normal"/>
    <w:next w:val="Normal"/>
    <w:link w:val="Heading5Char"/>
    <w:qFormat/>
    <w:rsid w:val="004E0A37"/>
    <w:pPr>
      <w:suppressAutoHyphens/>
      <w:bidi w:val="0"/>
      <w:outlineLvl w:val="4"/>
    </w:pPr>
    <w:rPr>
      <w:rFonts w:cs="Times New Roman"/>
      <w:snapToGrid w:val="0"/>
      <w:spacing w:val="0"/>
      <w:kern w:val="0"/>
      <w:sz w:val="20"/>
      <w:szCs w:val="20"/>
      <w:lang w:val="en-GB" w:eastAsia="en-US"/>
    </w:rPr>
  </w:style>
  <w:style w:type="paragraph" w:styleId="Heading6">
    <w:name w:val="heading 6"/>
    <w:basedOn w:val="Normal"/>
    <w:next w:val="Normal"/>
    <w:link w:val="Heading6Char"/>
    <w:qFormat/>
    <w:rsid w:val="004E0A37"/>
    <w:pPr>
      <w:suppressAutoHyphens/>
      <w:bidi w:val="0"/>
      <w:outlineLvl w:val="5"/>
    </w:pPr>
    <w:rPr>
      <w:rFonts w:cs="Times New Roman"/>
      <w:snapToGrid w:val="0"/>
      <w:spacing w:val="0"/>
      <w:kern w:val="0"/>
      <w:sz w:val="20"/>
      <w:szCs w:val="20"/>
      <w:lang w:val="en-GB" w:eastAsia="en-US"/>
    </w:rPr>
  </w:style>
  <w:style w:type="paragraph" w:styleId="Heading7">
    <w:name w:val="heading 7"/>
    <w:basedOn w:val="Normal"/>
    <w:next w:val="Normal"/>
    <w:link w:val="Heading7Char"/>
    <w:qFormat/>
    <w:rsid w:val="004E0A37"/>
    <w:pPr>
      <w:suppressAutoHyphens/>
      <w:bidi w:val="0"/>
      <w:outlineLvl w:val="6"/>
    </w:pPr>
    <w:rPr>
      <w:rFonts w:cs="Times New Roman"/>
      <w:snapToGrid w:val="0"/>
      <w:spacing w:val="0"/>
      <w:kern w:val="0"/>
      <w:sz w:val="20"/>
      <w:szCs w:val="20"/>
      <w:lang w:val="en-GB" w:eastAsia="en-US"/>
    </w:rPr>
  </w:style>
  <w:style w:type="paragraph" w:styleId="Heading8">
    <w:name w:val="heading 8"/>
    <w:basedOn w:val="Normal"/>
    <w:next w:val="Normal"/>
    <w:link w:val="Heading8Char"/>
    <w:qFormat/>
    <w:rsid w:val="004E0A37"/>
    <w:pPr>
      <w:suppressAutoHyphens/>
      <w:bidi w:val="0"/>
      <w:outlineLvl w:val="7"/>
    </w:pPr>
    <w:rPr>
      <w:rFonts w:cs="Times New Roman"/>
      <w:snapToGrid w:val="0"/>
      <w:spacing w:val="0"/>
      <w:kern w:val="0"/>
      <w:sz w:val="20"/>
      <w:szCs w:val="20"/>
      <w:lang w:val="en-GB" w:eastAsia="en-US"/>
    </w:rPr>
  </w:style>
  <w:style w:type="paragraph" w:styleId="Heading9">
    <w:name w:val="heading 9"/>
    <w:basedOn w:val="Normal"/>
    <w:next w:val="Normal"/>
    <w:link w:val="Heading9Char"/>
    <w:qFormat/>
    <w:rsid w:val="004E0A37"/>
    <w:pPr>
      <w:suppressAutoHyphens/>
      <w:bidi w:val="0"/>
      <w:outlineLvl w:val="8"/>
    </w:pPr>
    <w:rPr>
      <w:rFonts w:cs="Times New Roman"/>
      <w:snapToGrid w:val="0"/>
      <w:spacing w:val="0"/>
      <w:kern w:val="0"/>
      <w:sz w:val="20"/>
      <w:szCs w:val="20"/>
      <w:lang w:val="en-GB"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aliases w:val="6_GA,6_G"/>
    <w:basedOn w:val="Normal"/>
    <w:link w:val="HeaderChar"/>
    <w:rsid w:val="000D6654"/>
    <w:pPr>
      <w:pBdr>
        <w:bottom w:val="single" w:sz="4" w:space="4" w:color="auto"/>
      </w:pBdr>
      <w:suppressAutoHyphens/>
      <w:bidi w:val="0"/>
    </w:pPr>
    <w:rPr>
      <w:b/>
      <w:bCs/>
      <w:sz w:val="18"/>
      <w:szCs w:val="26"/>
    </w:rPr>
  </w:style>
  <w:style w:type="paragraph" w:styleId="Footer">
    <w:name w:val="footer"/>
    <w:aliases w:val="3_GA,3_G"/>
    <w:basedOn w:val="Normal"/>
    <w:link w:val="FooterChar"/>
    <w:rsid w:val="000D6654"/>
    <w:pPr>
      <w:suppressAutoHyphens/>
      <w:bidi w:val="0"/>
    </w:pPr>
    <w:rPr>
      <w:sz w:val="16"/>
      <w:szCs w:val="22"/>
      <w:lang w:val="en-GB"/>
    </w:rPr>
  </w:style>
  <w:style w:type="table" w:styleId="TableGrid">
    <w:name w:val="Table Grid"/>
    <w:basedOn w:val="TableNormal"/>
    <w:semiHidden/>
    <w:rsid w:val="000D5380"/>
    <w:pPr>
      <w:bidi/>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MGA">
    <w:name w:val="_ H __M_GA"/>
    <w:basedOn w:val="Normal"/>
    <w:next w:val="Normal"/>
    <w:rsid w:val="00CA1A76"/>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link w:val="HChGAChar"/>
    <w:rsid w:val="00C31611"/>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link w:val="H1GAChar"/>
    <w:rsid w:val="00C31611"/>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link w:val="H23GAChar"/>
    <w:rsid w:val="00E771AB"/>
    <w:pPr>
      <w:tabs>
        <w:tab w:val="right" w:pos="1021"/>
      </w:tabs>
      <w:spacing w:before="120" w:after="120" w:line="380" w:lineRule="exact"/>
      <w:ind w:left="1247" w:right="1247" w:hanging="1247"/>
    </w:pPr>
    <w:rPr>
      <w:b/>
      <w:bCs/>
    </w:rPr>
  </w:style>
  <w:style w:type="paragraph" w:customStyle="1" w:styleId="H4GA">
    <w:name w:val="_ H_4_GA"/>
    <w:basedOn w:val="Normal"/>
    <w:next w:val="Normal"/>
    <w:rsid w:val="00E771AB"/>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rsid w:val="00E771AB"/>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link w:val="SingleTxtGAChar"/>
    <w:rsid w:val="008B4BC6"/>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rsid w:val="000D6654"/>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rsid w:val="000D6654"/>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rsid w:val="000D6654"/>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rsid w:val="000D6654"/>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rsid w:val="003519E6"/>
    <w:pPr>
      <w:numPr>
        <w:numId w:val="9"/>
      </w:numPr>
      <w:suppressAutoHyphens/>
      <w:bidi w:val="0"/>
      <w:spacing w:after="120" w:line="380" w:lineRule="exact"/>
      <w:ind w:right="1247"/>
    </w:pPr>
  </w:style>
  <w:style w:type="paragraph" w:customStyle="1" w:styleId="Bullet2GA">
    <w:name w:val="_Bullet 2_GA"/>
    <w:basedOn w:val="Normal"/>
    <w:rsid w:val="009D1DD5"/>
    <w:pPr>
      <w:numPr>
        <w:numId w:val="8"/>
      </w:numPr>
      <w:tabs>
        <w:tab w:val="clear" w:pos="1644"/>
        <w:tab w:val="left" w:pos="2438"/>
      </w:tabs>
      <w:suppressAutoHyphens/>
      <w:bidi w:val="0"/>
      <w:spacing w:after="120" w:line="380" w:lineRule="exact"/>
      <w:ind w:left="2438" w:right="1247" w:hanging="397"/>
    </w:pPr>
  </w:style>
  <w:style w:type="paragraph" w:customStyle="1" w:styleId="ParaNoGA">
    <w:name w:val="_ParaNo._GA"/>
    <w:basedOn w:val="SingleTxtGA"/>
    <w:rsid w:val="000D6654"/>
    <w:pPr>
      <w:numPr>
        <w:numId w:val="5"/>
      </w:numPr>
      <w:suppressAutoHyphens/>
      <w:bidi w:val="0"/>
    </w:pPr>
  </w:style>
  <w:style w:type="paragraph" w:styleId="EndnoteText">
    <w:name w:val="endnote text"/>
    <w:aliases w:val="2_ GA,2_G"/>
    <w:basedOn w:val="Normal"/>
    <w:link w:val="EndnoteTextChar"/>
    <w:rsid w:val="00E20DBA"/>
    <w:pPr>
      <w:tabs>
        <w:tab w:val="right" w:pos="1021"/>
      </w:tabs>
      <w:spacing w:after="60" w:line="300" w:lineRule="exact"/>
      <w:ind w:left="1247" w:right="1247" w:hanging="1247"/>
    </w:pPr>
    <w:rPr>
      <w:sz w:val="18"/>
      <w:szCs w:val="26"/>
    </w:rPr>
  </w:style>
  <w:style w:type="paragraph" w:styleId="FootnoteText">
    <w:name w:val="footnote text"/>
    <w:aliases w:val="Footnote Text_a,5_G"/>
    <w:basedOn w:val="Normal"/>
    <w:link w:val="FootnoteTextChar"/>
    <w:semiHidden/>
    <w:rsid w:val="00EB077B"/>
    <w:rPr>
      <w:szCs w:val="20"/>
    </w:rPr>
  </w:style>
  <w:style w:type="character" w:customStyle="1" w:styleId="EndtnoteReference">
    <w:name w:val="Endtnote Reference"/>
    <w:aliases w:val="1_GA"/>
    <w:basedOn w:val="DefaultParagraphFont"/>
    <w:rsid w:val="000D6654"/>
    <w:rPr>
      <w:rFonts w:ascii="Times New Roman" w:hAnsi="Times New Roman" w:cs="Traditional Arabic"/>
      <w:b/>
      <w:kern w:val="0"/>
      <w:sz w:val="18"/>
      <w:szCs w:val="28"/>
      <w:vertAlign w:val="superscript"/>
    </w:rPr>
  </w:style>
  <w:style w:type="character" w:styleId="FootnoteReference">
    <w:name w:val="footnote reference"/>
    <w:aliases w:val="4_GA,Footnote Reference_a,4_G"/>
    <w:basedOn w:val="DefaultParagraphFont"/>
    <w:rsid w:val="000D6654"/>
    <w:rPr>
      <w:rFonts w:ascii="Times New Roman" w:hAnsi="Times New Roman" w:cs="Traditional Arabic"/>
      <w:b/>
      <w:kern w:val="0"/>
      <w:sz w:val="18"/>
      <w:szCs w:val="28"/>
      <w:vertAlign w:val="superscript"/>
    </w:rPr>
  </w:style>
  <w:style w:type="paragraph" w:customStyle="1" w:styleId="footnoteText0">
    <w:name w:val="footnote Text"/>
    <w:aliases w:val="5_GA"/>
    <w:basedOn w:val="Normal"/>
    <w:rsid w:val="00E20DBA"/>
    <w:pPr>
      <w:tabs>
        <w:tab w:val="right" w:pos="1021"/>
      </w:tabs>
      <w:spacing w:after="60" w:line="300" w:lineRule="exact"/>
      <w:ind w:left="1247" w:right="1247" w:hanging="1247"/>
    </w:pPr>
    <w:rPr>
      <w:sz w:val="18"/>
      <w:szCs w:val="26"/>
    </w:rPr>
  </w:style>
  <w:style w:type="character" w:styleId="PageNumber">
    <w:name w:val="page number"/>
    <w:aliases w:val="7_GA,7_G"/>
    <w:basedOn w:val="DefaultParagraphFont"/>
    <w:rsid w:val="000D6654"/>
    <w:rPr>
      <w:rFonts w:ascii="Times New Roman" w:hAnsi="Times New Roman"/>
      <w:b/>
      <w:sz w:val="18"/>
    </w:rPr>
  </w:style>
  <w:style w:type="paragraph" w:customStyle="1" w:styleId="XXLargeGA">
    <w:name w:val="XXLarge_GA"/>
    <w:basedOn w:val="XLargeGA"/>
    <w:next w:val="Normal"/>
    <w:rsid w:val="000D6654"/>
    <w:pPr>
      <w:spacing w:line="820" w:lineRule="exact"/>
    </w:pPr>
    <w:rPr>
      <w:spacing w:val="-8"/>
      <w:w w:val="96"/>
      <w:sz w:val="57"/>
      <w:szCs w:val="86"/>
    </w:rPr>
  </w:style>
  <w:style w:type="paragraph" w:customStyle="1" w:styleId="Roman1GA">
    <w:name w:val="_Roman 1_GA"/>
    <w:basedOn w:val="Normal"/>
    <w:rsid w:val="003519E6"/>
    <w:pPr>
      <w:numPr>
        <w:numId w:val="6"/>
      </w:numPr>
      <w:suppressAutoHyphens/>
      <w:bidi w:val="0"/>
      <w:spacing w:after="120" w:line="380" w:lineRule="exact"/>
      <w:ind w:right="1247"/>
    </w:pPr>
  </w:style>
  <w:style w:type="paragraph" w:customStyle="1" w:styleId="Roman2GA">
    <w:name w:val="_Roman 2_GA"/>
    <w:basedOn w:val="Normal"/>
    <w:next w:val="Normal"/>
    <w:rsid w:val="005F71B6"/>
    <w:pPr>
      <w:numPr>
        <w:numId w:val="7"/>
      </w:numPr>
      <w:spacing w:after="120" w:line="380" w:lineRule="exact"/>
      <w:ind w:right="1247"/>
    </w:pPr>
  </w:style>
  <w:style w:type="numbering" w:styleId="111111">
    <w:name w:val="Outline List 2"/>
    <w:basedOn w:val="NoList"/>
    <w:semiHidden/>
    <w:rsid w:val="005732A2"/>
    <w:pPr>
      <w:numPr>
        <w:numId w:val="42"/>
      </w:numPr>
    </w:pPr>
  </w:style>
  <w:style w:type="numbering" w:styleId="1ai">
    <w:name w:val="Outline List 1"/>
    <w:basedOn w:val="NoList"/>
    <w:semiHidden/>
    <w:rsid w:val="005732A2"/>
    <w:pPr>
      <w:numPr>
        <w:numId w:val="43"/>
      </w:numPr>
    </w:pPr>
  </w:style>
  <w:style w:type="character" w:styleId="EndnoteReference">
    <w:name w:val="endnote reference"/>
    <w:aliases w:val="1_G"/>
    <w:basedOn w:val="DefaultParagraphFont"/>
    <w:semiHidden/>
    <w:rsid w:val="00FE6865"/>
    <w:rPr>
      <w:vertAlign w:val="superscript"/>
    </w:rPr>
  </w:style>
  <w:style w:type="paragraph" w:customStyle="1" w:styleId="HCh">
    <w:name w:val="_ H _Ch"/>
    <w:basedOn w:val="Normal"/>
    <w:next w:val="Normal"/>
    <w:rsid w:val="004E0A37"/>
    <w:pPr>
      <w:keepNext/>
      <w:keepLines/>
      <w:suppressAutoHyphens/>
      <w:spacing w:line="450" w:lineRule="exact"/>
      <w:jc w:val="lowKashida"/>
      <w:outlineLvl w:val="0"/>
    </w:pPr>
    <w:rPr>
      <w:b/>
      <w:bCs/>
      <w:spacing w:val="-2"/>
      <w:w w:val="103"/>
      <w:kern w:val="14"/>
      <w:sz w:val="28"/>
      <w:szCs w:val="38"/>
      <w:lang w:eastAsia="en-US"/>
    </w:rPr>
  </w:style>
  <w:style w:type="character" w:customStyle="1" w:styleId="SingleTxtGAChar">
    <w:name w:val="_ Single Txt_GA Char"/>
    <w:basedOn w:val="DefaultParagraphFont"/>
    <w:link w:val="SingleTxtGA"/>
    <w:rsid w:val="004E0A37"/>
    <w:rPr>
      <w:rFonts w:cs="Traditional Arabic"/>
      <w:szCs w:val="30"/>
      <w:lang w:val="en-US" w:eastAsia="en-US" w:bidi="ar-SA"/>
    </w:rPr>
  </w:style>
  <w:style w:type="character" w:customStyle="1" w:styleId="FooterChar">
    <w:name w:val="Footer Char"/>
    <w:aliases w:val="3_GA Char,3_G Char"/>
    <w:basedOn w:val="DefaultParagraphFont"/>
    <w:link w:val="Footer"/>
    <w:semiHidden/>
    <w:rsid w:val="004E0A37"/>
    <w:rPr>
      <w:rFonts w:cs="Traditional Arabic"/>
      <w:sz w:val="16"/>
      <w:szCs w:val="22"/>
      <w:lang w:val="en-GB" w:eastAsia="en-US" w:bidi="ar-SA"/>
    </w:rPr>
  </w:style>
  <w:style w:type="character" w:customStyle="1" w:styleId="HeaderChar">
    <w:name w:val="Header Char"/>
    <w:aliases w:val="6_GA Char,6_G Char"/>
    <w:basedOn w:val="DefaultParagraphFont"/>
    <w:link w:val="Header"/>
    <w:semiHidden/>
    <w:rsid w:val="004E0A37"/>
    <w:rPr>
      <w:rFonts w:cs="Traditional Arabic"/>
      <w:b/>
      <w:bCs/>
      <w:sz w:val="18"/>
      <w:szCs w:val="26"/>
      <w:lang w:val="en-US" w:eastAsia="en-US" w:bidi="ar-SA"/>
    </w:rPr>
  </w:style>
  <w:style w:type="character" w:customStyle="1" w:styleId="H23GAChar">
    <w:name w:val="_ H_2/3_GA Char"/>
    <w:basedOn w:val="DefaultParagraphFont"/>
    <w:link w:val="H23GA"/>
    <w:rsid w:val="004E0A37"/>
    <w:rPr>
      <w:rFonts w:cs="Traditional Arabic"/>
      <w:b/>
      <w:bCs/>
      <w:spacing w:val="6"/>
      <w:kern w:val="16"/>
      <w:sz w:val="22"/>
      <w:szCs w:val="30"/>
      <w:lang w:val="en-US" w:eastAsia="ar-SA" w:bidi="ar-SA"/>
    </w:rPr>
  </w:style>
  <w:style w:type="paragraph" w:customStyle="1" w:styleId="FootnoteText2">
    <w:name w:val="Footnote Text2"/>
    <w:basedOn w:val="Normal"/>
    <w:rsid w:val="004E0A37"/>
    <w:pPr>
      <w:numPr>
        <w:numId w:val="11"/>
      </w:numPr>
      <w:jc w:val="lowKashida"/>
    </w:pPr>
    <w:rPr>
      <w:rFonts w:cs="Times New Roman"/>
      <w:sz w:val="24"/>
      <w:szCs w:val="24"/>
      <w:lang w:eastAsia="en-US"/>
    </w:rPr>
  </w:style>
  <w:style w:type="character" w:customStyle="1" w:styleId="FootnoteTextChar">
    <w:name w:val="Footnote Text Char"/>
    <w:aliases w:val="Footnote Text_a Char,5_G Char"/>
    <w:basedOn w:val="DefaultParagraphFont"/>
    <w:link w:val="FootnoteText"/>
    <w:rsid w:val="004E0A37"/>
    <w:rPr>
      <w:rFonts w:cs="Traditional Arabic"/>
      <w:spacing w:val="6"/>
      <w:kern w:val="16"/>
      <w:sz w:val="22"/>
      <w:lang w:val="en-US" w:eastAsia="ar-SA" w:bidi="ar-SA"/>
    </w:rPr>
  </w:style>
  <w:style w:type="table" w:customStyle="1" w:styleId="1">
    <w:name w:val="شبكة جدول1"/>
    <w:basedOn w:val="TableNormal"/>
    <w:next w:val="TableGrid"/>
    <w:rsid w:val="004E0A37"/>
    <w:pPr>
      <w:bidi/>
      <w:spacing w:before="240" w:after="240"/>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بلا قائمة1"/>
    <w:next w:val="NoList"/>
    <w:semiHidden/>
    <w:rsid w:val="004E0A37"/>
  </w:style>
  <w:style w:type="numbering" w:customStyle="1" w:styleId="1111111">
    <w:name w:val="1 / 1.1 / 1.1.11"/>
    <w:basedOn w:val="NoList"/>
    <w:next w:val="111111"/>
    <w:semiHidden/>
    <w:rsid w:val="004E0A37"/>
    <w:pPr>
      <w:numPr>
        <w:numId w:val="10"/>
      </w:numPr>
    </w:pPr>
  </w:style>
  <w:style w:type="numbering" w:customStyle="1" w:styleId="1ai1">
    <w:name w:val="1 / a / i1"/>
    <w:basedOn w:val="NoList"/>
    <w:next w:val="1ai"/>
    <w:semiHidden/>
    <w:rsid w:val="004E0A37"/>
    <w:pPr>
      <w:numPr>
        <w:numId w:val="2"/>
      </w:numPr>
    </w:pPr>
  </w:style>
  <w:style w:type="character" w:customStyle="1" w:styleId="Heading1Char">
    <w:name w:val="Heading 1 Char"/>
    <w:aliases w:val="Table_GA Char,Table_G Char"/>
    <w:basedOn w:val="DefaultParagraphFont"/>
    <w:link w:val="Heading1"/>
    <w:rsid w:val="004E0A37"/>
    <w:rPr>
      <w:rFonts w:cs="Traditional Arabic"/>
      <w:spacing w:val="6"/>
      <w:kern w:val="16"/>
      <w:sz w:val="22"/>
      <w:szCs w:val="30"/>
      <w:lang w:val="en-US" w:eastAsia="ar-SA" w:bidi="ar-SA"/>
    </w:rPr>
  </w:style>
  <w:style w:type="character" w:customStyle="1" w:styleId="Heading2Char">
    <w:name w:val="Heading 2 Char"/>
    <w:basedOn w:val="DefaultParagraphFont"/>
    <w:link w:val="Heading2"/>
    <w:semiHidden/>
    <w:rsid w:val="004E0A37"/>
    <w:rPr>
      <w:rFonts w:ascii="Arial" w:hAnsi="Arial" w:cs="Arial"/>
      <w:b/>
      <w:bCs/>
      <w:i/>
      <w:iCs/>
      <w:spacing w:val="6"/>
      <w:kern w:val="16"/>
      <w:sz w:val="28"/>
      <w:szCs w:val="28"/>
      <w:lang w:val="en-US" w:eastAsia="ar-SA" w:bidi="ar-SA"/>
    </w:rPr>
  </w:style>
  <w:style w:type="character" w:customStyle="1" w:styleId="Heading3Char">
    <w:name w:val="Heading 3 Char"/>
    <w:basedOn w:val="DefaultParagraphFont"/>
    <w:link w:val="Heading3"/>
    <w:semiHidden/>
    <w:rsid w:val="004E0A37"/>
    <w:rPr>
      <w:rFonts w:ascii="Arial" w:hAnsi="Arial" w:cs="Arial"/>
      <w:b/>
      <w:bCs/>
      <w:spacing w:val="6"/>
      <w:kern w:val="16"/>
      <w:sz w:val="26"/>
      <w:szCs w:val="26"/>
      <w:lang w:val="en-US" w:eastAsia="ar-SA" w:bidi="ar-SA"/>
    </w:rPr>
  </w:style>
  <w:style w:type="character" w:customStyle="1" w:styleId="Heading4Char">
    <w:name w:val="Heading 4 Char"/>
    <w:basedOn w:val="DefaultParagraphFont"/>
    <w:link w:val="Heading4"/>
    <w:semiHidden/>
    <w:rsid w:val="004E0A37"/>
    <w:rPr>
      <w:snapToGrid w:val="0"/>
      <w:lang w:val="en-GB" w:eastAsia="en-US" w:bidi="ar-SA"/>
    </w:rPr>
  </w:style>
  <w:style w:type="character" w:customStyle="1" w:styleId="Heading5Char">
    <w:name w:val="Heading 5 Char"/>
    <w:basedOn w:val="DefaultParagraphFont"/>
    <w:link w:val="Heading5"/>
    <w:semiHidden/>
    <w:rsid w:val="004E0A37"/>
    <w:rPr>
      <w:snapToGrid w:val="0"/>
      <w:lang w:val="en-GB" w:eastAsia="en-US" w:bidi="ar-SA"/>
    </w:rPr>
  </w:style>
  <w:style w:type="character" w:customStyle="1" w:styleId="Heading6Char">
    <w:name w:val="Heading 6 Char"/>
    <w:basedOn w:val="DefaultParagraphFont"/>
    <w:link w:val="Heading6"/>
    <w:semiHidden/>
    <w:rsid w:val="004E0A37"/>
    <w:rPr>
      <w:snapToGrid w:val="0"/>
      <w:lang w:val="en-GB" w:eastAsia="en-US" w:bidi="ar-SA"/>
    </w:rPr>
  </w:style>
  <w:style w:type="character" w:customStyle="1" w:styleId="Heading7Char">
    <w:name w:val="Heading 7 Char"/>
    <w:basedOn w:val="DefaultParagraphFont"/>
    <w:link w:val="Heading7"/>
    <w:semiHidden/>
    <w:rsid w:val="004E0A37"/>
    <w:rPr>
      <w:snapToGrid w:val="0"/>
      <w:lang w:val="en-GB" w:eastAsia="en-US" w:bidi="ar-SA"/>
    </w:rPr>
  </w:style>
  <w:style w:type="character" w:customStyle="1" w:styleId="Heading8Char">
    <w:name w:val="Heading 8 Char"/>
    <w:basedOn w:val="DefaultParagraphFont"/>
    <w:link w:val="Heading8"/>
    <w:semiHidden/>
    <w:rsid w:val="004E0A37"/>
    <w:rPr>
      <w:snapToGrid w:val="0"/>
      <w:lang w:val="en-GB" w:eastAsia="en-US" w:bidi="ar-SA"/>
    </w:rPr>
  </w:style>
  <w:style w:type="character" w:customStyle="1" w:styleId="Heading9Char">
    <w:name w:val="Heading 9 Char"/>
    <w:basedOn w:val="DefaultParagraphFont"/>
    <w:link w:val="Heading9"/>
    <w:semiHidden/>
    <w:rsid w:val="004E0A37"/>
    <w:rPr>
      <w:snapToGrid w:val="0"/>
      <w:lang w:val="en-GB" w:eastAsia="en-US" w:bidi="ar-SA"/>
    </w:rPr>
  </w:style>
  <w:style w:type="paragraph" w:customStyle="1" w:styleId="HMG">
    <w:name w:val="_ H __M_G"/>
    <w:basedOn w:val="Normal"/>
    <w:next w:val="Normal"/>
    <w:rsid w:val="004E0A37"/>
    <w:pPr>
      <w:keepNext/>
      <w:keepLines/>
      <w:tabs>
        <w:tab w:val="right" w:pos="851"/>
      </w:tabs>
      <w:suppressAutoHyphens/>
      <w:bidi w:val="0"/>
      <w:spacing w:before="240" w:after="240" w:line="360" w:lineRule="exact"/>
      <w:ind w:left="1134" w:right="1134" w:hanging="1134"/>
    </w:pPr>
    <w:rPr>
      <w:rFonts w:cs="Times New Roman"/>
      <w:b/>
      <w:snapToGrid w:val="0"/>
      <w:spacing w:val="0"/>
      <w:kern w:val="0"/>
      <w:sz w:val="34"/>
      <w:szCs w:val="20"/>
      <w:lang w:val="en-GB" w:eastAsia="en-US"/>
    </w:rPr>
  </w:style>
  <w:style w:type="paragraph" w:customStyle="1" w:styleId="HChG">
    <w:name w:val="_ H _Ch_G"/>
    <w:basedOn w:val="Normal"/>
    <w:next w:val="Normal"/>
    <w:rsid w:val="004E0A37"/>
    <w:pPr>
      <w:keepNext/>
      <w:keepLines/>
      <w:tabs>
        <w:tab w:val="right" w:pos="851"/>
      </w:tabs>
      <w:suppressAutoHyphens/>
      <w:bidi w:val="0"/>
      <w:spacing w:before="360" w:after="240" w:line="300" w:lineRule="exact"/>
      <w:ind w:left="1134" w:right="1134" w:hanging="1134"/>
    </w:pPr>
    <w:rPr>
      <w:rFonts w:cs="Times New Roman"/>
      <w:b/>
      <w:snapToGrid w:val="0"/>
      <w:spacing w:val="0"/>
      <w:kern w:val="0"/>
      <w:sz w:val="28"/>
      <w:szCs w:val="20"/>
      <w:lang w:val="en-GB" w:eastAsia="en-US"/>
    </w:rPr>
  </w:style>
  <w:style w:type="paragraph" w:customStyle="1" w:styleId="ParaNoG">
    <w:name w:val="_ParaNo._G"/>
    <w:basedOn w:val="SingleTxtG"/>
    <w:rsid w:val="004E0A37"/>
  </w:style>
  <w:style w:type="paragraph" w:customStyle="1" w:styleId="SingleTxtG">
    <w:name w:val="_ Single Txt_G"/>
    <w:basedOn w:val="Normal"/>
    <w:rsid w:val="004E0A37"/>
    <w:pPr>
      <w:suppressAutoHyphens/>
      <w:bidi w:val="0"/>
      <w:spacing w:after="120" w:line="240" w:lineRule="atLeast"/>
      <w:ind w:left="1134" w:right="1134"/>
      <w:jc w:val="both"/>
    </w:pPr>
    <w:rPr>
      <w:rFonts w:cs="Times New Roman"/>
      <w:snapToGrid w:val="0"/>
      <w:spacing w:val="0"/>
      <w:kern w:val="0"/>
      <w:sz w:val="20"/>
      <w:szCs w:val="20"/>
      <w:lang w:val="en-GB" w:eastAsia="en-US"/>
    </w:rPr>
  </w:style>
  <w:style w:type="paragraph" w:styleId="PlainText">
    <w:name w:val="Plain Text"/>
    <w:basedOn w:val="Normal"/>
    <w:link w:val="PlainTextChar"/>
    <w:semiHidden/>
    <w:rsid w:val="004E0A37"/>
    <w:pPr>
      <w:suppressAutoHyphens/>
      <w:bidi w:val="0"/>
      <w:spacing w:line="240" w:lineRule="atLeast"/>
    </w:pPr>
    <w:rPr>
      <w:rFonts w:cs="Courier New"/>
      <w:snapToGrid w:val="0"/>
      <w:spacing w:val="0"/>
      <w:kern w:val="0"/>
      <w:sz w:val="20"/>
      <w:szCs w:val="20"/>
      <w:lang w:val="en-GB" w:eastAsia="en-US"/>
    </w:rPr>
  </w:style>
  <w:style w:type="character" w:customStyle="1" w:styleId="PlainTextChar">
    <w:name w:val="Plain Text Char"/>
    <w:basedOn w:val="DefaultParagraphFont"/>
    <w:link w:val="PlainText"/>
    <w:semiHidden/>
    <w:rsid w:val="004E0A37"/>
    <w:rPr>
      <w:rFonts w:cs="Courier New"/>
      <w:snapToGrid w:val="0"/>
      <w:lang w:val="en-GB" w:eastAsia="en-US" w:bidi="ar-SA"/>
    </w:rPr>
  </w:style>
  <w:style w:type="paragraph" w:styleId="BodyText">
    <w:name w:val="Body Text"/>
    <w:basedOn w:val="Normal"/>
    <w:next w:val="Normal"/>
    <w:link w:val="BodyTextChar"/>
    <w:semiHidden/>
    <w:rsid w:val="004E0A37"/>
    <w:pPr>
      <w:suppressAutoHyphens/>
      <w:bidi w:val="0"/>
      <w:spacing w:line="240" w:lineRule="atLeast"/>
    </w:pPr>
    <w:rPr>
      <w:rFonts w:cs="Times New Roman"/>
      <w:snapToGrid w:val="0"/>
      <w:spacing w:val="0"/>
      <w:kern w:val="0"/>
      <w:sz w:val="20"/>
      <w:szCs w:val="20"/>
      <w:lang w:val="en-GB" w:eastAsia="en-US"/>
    </w:rPr>
  </w:style>
  <w:style w:type="character" w:customStyle="1" w:styleId="BodyTextChar">
    <w:name w:val="Body Text Char"/>
    <w:basedOn w:val="DefaultParagraphFont"/>
    <w:link w:val="BodyText"/>
    <w:semiHidden/>
    <w:rsid w:val="004E0A37"/>
    <w:rPr>
      <w:snapToGrid w:val="0"/>
      <w:lang w:val="en-GB" w:eastAsia="en-US" w:bidi="ar-SA"/>
    </w:rPr>
  </w:style>
  <w:style w:type="paragraph" w:styleId="BodyTextIndent">
    <w:name w:val="Body Text Indent"/>
    <w:basedOn w:val="Normal"/>
    <w:link w:val="BodyTextIndentChar"/>
    <w:semiHidden/>
    <w:rsid w:val="004E0A37"/>
    <w:pPr>
      <w:suppressAutoHyphens/>
      <w:bidi w:val="0"/>
      <w:spacing w:after="120" w:line="240" w:lineRule="atLeast"/>
      <w:ind w:left="283"/>
    </w:pPr>
    <w:rPr>
      <w:rFonts w:cs="Times New Roman"/>
      <w:snapToGrid w:val="0"/>
      <w:spacing w:val="0"/>
      <w:kern w:val="0"/>
      <w:sz w:val="20"/>
      <w:szCs w:val="20"/>
      <w:lang w:val="en-GB" w:eastAsia="en-US"/>
    </w:rPr>
  </w:style>
  <w:style w:type="character" w:customStyle="1" w:styleId="BodyTextIndentChar">
    <w:name w:val="Body Text Indent Char"/>
    <w:basedOn w:val="DefaultParagraphFont"/>
    <w:link w:val="BodyTextIndent"/>
    <w:semiHidden/>
    <w:rsid w:val="004E0A37"/>
    <w:rPr>
      <w:snapToGrid w:val="0"/>
      <w:lang w:val="en-GB" w:eastAsia="en-US" w:bidi="ar-SA"/>
    </w:rPr>
  </w:style>
  <w:style w:type="paragraph" w:styleId="BlockText">
    <w:name w:val="Block Text"/>
    <w:basedOn w:val="Normal"/>
    <w:semiHidden/>
    <w:rsid w:val="004E0A37"/>
    <w:pPr>
      <w:suppressAutoHyphens/>
      <w:bidi w:val="0"/>
      <w:spacing w:line="240" w:lineRule="atLeast"/>
      <w:ind w:left="1440" w:right="1440"/>
    </w:pPr>
    <w:rPr>
      <w:rFonts w:cs="Times New Roman"/>
      <w:snapToGrid w:val="0"/>
      <w:spacing w:val="0"/>
      <w:kern w:val="0"/>
      <w:sz w:val="20"/>
      <w:szCs w:val="20"/>
      <w:lang w:val="en-GB" w:eastAsia="en-US"/>
    </w:rPr>
  </w:style>
  <w:style w:type="paragraph" w:customStyle="1" w:styleId="SMG">
    <w:name w:val="__S_M_G"/>
    <w:basedOn w:val="Normal"/>
    <w:next w:val="Normal"/>
    <w:rsid w:val="004E0A37"/>
    <w:pPr>
      <w:keepNext/>
      <w:keepLines/>
      <w:suppressAutoHyphens/>
      <w:bidi w:val="0"/>
      <w:spacing w:before="240" w:after="240" w:line="420" w:lineRule="exact"/>
      <w:ind w:left="1134" w:right="1134"/>
    </w:pPr>
    <w:rPr>
      <w:rFonts w:cs="Times New Roman"/>
      <w:b/>
      <w:snapToGrid w:val="0"/>
      <w:spacing w:val="0"/>
      <w:kern w:val="0"/>
      <w:sz w:val="40"/>
      <w:szCs w:val="20"/>
      <w:lang w:val="en-GB" w:eastAsia="en-US"/>
    </w:rPr>
  </w:style>
  <w:style w:type="paragraph" w:customStyle="1" w:styleId="SLG">
    <w:name w:val="__S_L_G"/>
    <w:basedOn w:val="Normal"/>
    <w:next w:val="Normal"/>
    <w:rsid w:val="004E0A37"/>
    <w:pPr>
      <w:keepNext/>
      <w:keepLines/>
      <w:suppressAutoHyphens/>
      <w:bidi w:val="0"/>
      <w:spacing w:before="240" w:after="240" w:line="580" w:lineRule="exact"/>
      <w:ind w:left="1134" w:right="1134"/>
    </w:pPr>
    <w:rPr>
      <w:rFonts w:cs="Times New Roman"/>
      <w:b/>
      <w:snapToGrid w:val="0"/>
      <w:spacing w:val="0"/>
      <w:kern w:val="0"/>
      <w:sz w:val="56"/>
      <w:szCs w:val="20"/>
      <w:lang w:val="en-GB" w:eastAsia="en-US"/>
    </w:rPr>
  </w:style>
  <w:style w:type="paragraph" w:customStyle="1" w:styleId="SSG">
    <w:name w:val="__S_S_G"/>
    <w:basedOn w:val="Normal"/>
    <w:next w:val="Normal"/>
    <w:rsid w:val="004E0A37"/>
    <w:pPr>
      <w:keepNext/>
      <w:keepLines/>
      <w:suppressAutoHyphens/>
      <w:bidi w:val="0"/>
      <w:spacing w:before="240" w:after="240" w:line="300" w:lineRule="exact"/>
      <w:ind w:left="1134" w:right="1134"/>
    </w:pPr>
    <w:rPr>
      <w:rFonts w:cs="Times New Roman"/>
      <w:b/>
      <w:snapToGrid w:val="0"/>
      <w:spacing w:val="0"/>
      <w:kern w:val="0"/>
      <w:sz w:val="28"/>
      <w:szCs w:val="20"/>
      <w:lang w:val="en-GB" w:eastAsia="en-US"/>
    </w:rPr>
  </w:style>
  <w:style w:type="paragraph" w:customStyle="1" w:styleId="XLargeG">
    <w:name w:val="__XLarge_G"/>
    <w:basedOn w:val="Normal"/>
    <w:next w:val="Normal"/>
    <w:rsid w:val="004E0A37"/>
    <w:pPr>
      <w:keepNext/>
      <w:keepLines/>
      <w:suppressAutoHyphens/>
      <w:bidi w:val="0"/>
      <w:spacing w:before="240" w:after="240" w:line="420" w:lineRule="exact"/>
      <w:ind w:left="1134" w:right="1134"/>
    </w:pPr>
    <w:rPr>
      <w:rFonts w:cs="Times New Roman"/>
      <w:b/>
      <w:snapToGrid w:val="0"/>
      <w:spacing w:val="0"/>
      <w:kern w:val="0"/>
      <w:sz w:val="40"/>
      <w:szCs w:val="20"/>
      <w:lang w:val="en-GB" w:eastAsia="en-US"/>
    </w:rPr>
  </w:style>
  <w:style w:type="paragraph" w:customStyle="1" w:styleId="Bullet1G">
    <w:name w:val="_Bullet 1_G"/>
    <w:basedOn w:val="Normal"/>
    <w:rsid w:val="004E0A37"/>
    <w:pPr>
      <w:tabs>
        <w:tab w:val="num" w:pos="1701"/>
      </w:tabs>
      <w:suppressAutoHyphens/>
      <w:bidi w:val="0"/>
      <w:spacing w:after="120" w:line="240" w:lineRule="atLeast"/>
      <w:ind w:left="1701" w:right="1134" w:hanging="170"/>
      <w:jc w:val="both"/>
    </w:pPr>
    <w:rPr>
      <w:rFonts w:cs="Times New Roman"/>
      <w:snapToGrid w:val="0"/>
      <w:spacing w:val="0"/>
      <w:kern w:val="0"/>
      <w:sz w:val="20"/>
      <w:szCs w:val="20"/>
      <w:lang w:val="en-GB" w:eastAsia="en-US"/>
    </w:rPr>
  </w:style>
  <w:style w:type="character" w:customStyle="1" w:styleId="EndnoteTextChar">
    <w:name w:val="Endnote Text Char"/>
    <w:aliases w:val="2_ GA Char,2_G Char"/>
    <w:basedOn w:val="DefaultParagraphFont"/>
    <w:link w:val="EndnoteText"/>
    <w:semiHidden/>
    <w:rsid w:val="004E0A37"/>
    <w:rPr>
      <w:rFonts w:cs="Traditional Arabic"/>
      <w:spacing w:val="6"/>
      <w:kern w:val="16"/>
      <w:sz w:val="18"/>
      <w:szCs w:val="26"/>
      <w:lang w:val="en-US" w:eastAsia="ar-SA" w:bidi="ar-SA"/>
    </w:rPr>
  </w:style>
  <w:style w:type="character" w:styleId="CommentReference">
    <w:name w:val="annotation reference"/>
    <w:basedOn w:val="DefaultParagraphFont"/>
    <w:semiHidden/>
    <w:rsid w:val="004E0A37"/>
    <w:rPr>
      <w:rFonts w:cs="Times New Roman"/>
      <w:sz w:val="6"/>
    </w:rPr>
  </w:style>
  <w:style w:type="paragraph" w:styleId="CommentText">
    <w:name w:val="annotation text"/>
    <w:basedOn w:val="Normal"/>
    <w:link w:val="CommentTextChar"/>
    <w:semiHidden/>
    <w:rsid w:val="004E0A37"/>
    <w:pPr>
      <w:suppressAutoHyphens/>
      <w:bidi w:val="0"/>
      <w:spacing w:line="240" w:lineRule="atLeast"/>
    </w:pPr>
    <w:rPr>
      <w:rFonts w:cs="Times New Roman"/>
      <w:snapToGrid w:val="0"/>
      <w:spacing w:val="0"/>
      <w:kern w:val="0"/>
      <w:sz w:val="20"/>
      <w:szCs w:val="20"/>
      <w:lang w:val="en-GB" w:eastAsia="en-US"/>
    </w:rPr>
  </w:style>
  <w:style w:type="character" w:customStyle="1" w:styleId="CommentTextChar">
    <w:name w:val="Comment Text Char"/>
    <w:basedOn w:val="DefaultParagraphFont"/>
    <w:link w:val="CommentText"/>
    <w:semiHidden/>
    <w:rsid w:val="004E0A37"/>
    <w:rPr>
      <w:snapToGrid w:val="0"/>
      <w:lang w:val="en-GB" w:eastAsia="en-US" w:bidi="ar-SA"/>
    </w:rPr>
  </w:style>
  <w:style w:type="character" w:styleId="LineNumber">
    <w:name w:val="line number"/>
    <w:basedOn w:val="DefaultParagraphFont"/>
    <w:semiHidden/>
    <w:rsid w:val="004E0A37"/>
    <w:rPr>
      <w:rFonts w:cs="Times New Roman"/>
      <w:sz w:val="14"/>
    </w:rPr>
  </w:style>
  <w:style w:type="paragraph" w:customStyle="1" w:styleId="Bullet2G">
    <w:name w:val="_Bullet 2_G"/>
    <w:basedOn w:val="Normal"/>
    <w:rsid w:val="004E0A37"/>
    <w:pPr>
      <w:tabs>
        <w:tab w:val="num" w:pos="2268"/>
      </w:tabs>
      <w:suppressAutoHyphens/>
      <w:bidi w:val="0"/>
      <w:spacing w:after="120" w:line="240" w:lineRule="atLeast"/>
      <w:ind w:left="2268" w:right="1134" w:hanging="170"/>
      <w:jc w:val="both"/>
    </w:pPr>
    <w:rPr>
      <w:rFonts w:cs="Times New Roman"/>
      <w:snapToGrid w:val="0"/>
      <w:spacing w:val="0"/>
      <w:kern w:val="0"/>
      <w:sz w:val="20"/>
      <w:szCs w:val="20"/>
      <w:lang w:val="en-GB" w:eastAsia="en-US"/>
    </w:rPr>
  </w:style>
  <w:style w:type="paragraph" w:customStyle="1" w:styleId="H1G">
    <w:name w:val="_ H_1_G"/>
    <w:basedOn w:val="Normal"/>
    <w:next w:val="Normal"/>
    <w:rsid w:val="004E0A37"/>
    <w:pPr>
      <w:keepNext/>
      <w:keepLines/>
      <w:tabs>
        <w:tab w:val="right" w:pos="851"/>
      </w:tabs>
      <w:suppressAutoHyphens/>
      <w:bidi w:val="0"/>
      <w:spacing w:before="360" w:after="240" w:line="270" w:lineRule="exact"/>
      <w:ind w:left="1134" w:right="1134" w:hanging="1134"/>
    </w:pPr>
    <w:rPr>
      <w:rFonts w:cs="Times New Roman"/>
      <w:b/>
      <w:snapToGrid w:val="0"/>
      <w:spacing w:val="0"/>
      <w:kern w:val="0"/>
      <w:sz w:val="24"/>
      <w:szCs w:val="20"/>
      <w:lang w:val="en-GB" w:eastAsia="en-US"/>
    </w:rPr>
  </w:style>
  <w:style w:type="paragraph" w:customStyle="1" w:styleId="H23G">
    <w:name w:val="_ H_2/3_G"/>
    <w:basedOn w:val="Normal"/>
    <w:next w:val="Normal"/>
    <w:link w:val="H23GChar"/>
    <w:rsid w:val="004E0A37"/>
    <w:pPr>
      <w:keepNext/>
      <w:keepLines/>
      <w:tabs>
        <w:tab w:val="right" w:pos="851"/>
      </w:tabs>
      <w:suppressAutoHyphens/>
      <w:bidi w:val="0"/>
      <w:spacing w:before="240" w:after="120" w:line="240" w:lineRule="exact"/>
      <w:ind w:left="1134" w:right="1134" w:hanging="1134"/>
    </w:pPr>
    <w:rPr>
      <w:rFonts w:cs="Times New Roman"/>
      <w:b/>
      <w:snapToGrid w:val="0"/>
      <w:spacing w:val="0"/>
      <w:kern w:val="0"/>
      <w:sz w:val="20"/>
      <w:szCs w:val="20"/>
      <w:lang w:val="en-GB" w:eastAsia="en-US"/>
    </w:rPr>
  </w:style>
  <w:style w:type="paragraph" w:customStyle="1" w:styleId="H4G">
    <w:name w:val="_ H_4_G"/>
    <w:basedOn w:val="Normal"/>
    <w:next w:val="Normal"/>
    <w:rsid w:val="004E0A37"/>
    <w:pPr>
      <w:keepNext/>
      <w:keepLines/>
      <w:tabs>
        <w:tab w:val="right" w:pos="851"/>
      </w:tabs>
      <w:suppressAutoHyphens/>
      <w:bidi w:val="0"/>
      <w:spacing w:before="240" w:after="120" w:line="240" w:lineRule="exact"/>
      <w:ind w:left="1134" w:right="1134" w:hanging="1134"/>
    </w:pPr>
    <w:rPr>
      <w:rFonts w:cs="Times New Roman"/>
      <w:i/>
      <w:snapToGrid w:val="0"/>
      <w:spacing w:val="0"/>
      <w:kern w:val="0"/>
      <w:sz w:val="20"/>
      <w:szCs w:val="20"/>
      <w:lang w:val="en-GB" w:eastAsia="en-US"/>
    </w:rPr>
  </w:style>
  <w:style w:type="paragraph" w:customStyle="1" w:styleId="H56G">
    <w:name w:val="_ H_5/6_G"/>
    <w:basedOn w:val="Normal"/>
    <w:next w:val="Normal"/>
    <w:rsid w:val="004E0A37"/>
    <w:pPr>
      <w:keepNext/>
      <w:keepLines/>
      <w:tabs>
        <w:tab w:val="right" w:pos="851"/>
      </w:tabs>
      <w:suppressAutoHyphens/>
      <w:bidi w:val="0"/>
      <w:spacing w:before="240" w:after="120" w:line="240" w:lineRule="exact"/>
      <w:ind w:left="1134" w:right="1134" w:hanging="1134"/>
    </w:pPr>
    <w:rPr>
      <w:rFonts w:cs="Times New Roman"/>
      <w:snapToGrid w:val="0"/>
      <w:spacing w:val="0"/>
      <w:kern w:val="0"/>
      <w:sz w:val="20"/>
      <w:szCs w:val="20"/>
      <w:lang w:val="en-GB" w:eastAsia="en-US"/>
    </w:rPr>
  </w:style>
  <w:style w:type="paragraph" w:styleId="BodyText2">
    <w:name w:val="Body Text 2"/>
    <w:basedOn w:val="Normal"/>
    <w:link w:val="BodyText2Char"/>
    <w:semiHidden/>
    <w:rsid w:val="004E0A37"/>
    <w:pPr>
      <w:suppressAutoHyphens/>
      <w:bidi w:val="0"/>
      <w:spacing w:after="120" w:line="480" w:lineRule="auto"/>
    </w:pPr>
    <w:rPr>
      <w:rFonts w:cs="Times New Roman"/>
      <w:snapToGrid w:val="0"/>
      <w:spacing w:val="0"/>
      <w:kern w:val="0"/>
      <w:sz w:val="20"/>
      <w:szCs w:val="20"/>
      <w:lang w:val="en-GB" w:eastAsia="en-US"/>
    </w:rPr>
  </w:style>
  <w:style w:type="character" w:customStyle="1" w:styleId="BodyText2Char">
    <w:name w:val="Body Text 2 Char"/>
    <w:basedOn w:val="DefaultParagraphFont"/>
    <w:link w:val="BodyText2"/>
    <w:semiHidden/>
    <w:rsid w:val="004E0A37"/>
    <w:rPr>
      <w:snapToGrid w:val="0"/>
      <w:lang w:val="en-GB" w:eastAsia="en-US" w:bidi="ar-SA"/>
    </w:rPr>
  </w:style>
  <w:style w:type="paragraph" w:styleId="BodyText3">
    <w:name w:val="Body Text 3"/>
    <w:basedOn w:val="Normal"/>
    <w:link w:val="BodyText3Char"/>
    <w:semiHidden/>
    <w:rsid w:val="004E0A37"/>
    <w:pPr>
      <w:suppressAutoHyphens/>
      <w:bidi w:val="0"/>
      <w:spacing w:after="120" w:line="240" w:lineRule="atLeast"/>
    </w:pPr>
    <w:rPr>
      <w:rFonts w:cs="Times New Roman"/>
      <w:snapToGrid w:val="0"/>
      <w:spacing w:val="0"/>
      <w:kern w:val="0"/>
      <w:sz w:val="16"/>
      <w:szCs w:val="16"/>
      <w:lang w:val="en-GB" w:eastAsia="en-US"/>
    </w:rPr>
  </w:style>
  <w:style w:type="character" w:customStyle="1" w:styleId="BodyText3Char">
    <w:name w:val="Body Text 3 Char"/>
    <w:basedOn w:val="DefaultParagraphFont"/>
    <w:link w:val="BodyText3"/>
    <w:semiHidden/>
    <w:rsid w:val="004E0A37"/>
    <w:rPr>
      <w:snapToGrid w:val="0"/>
      <w:sz w:val="16"/>
      <w:szCs w:val="16"/>
      <w:lang w:val="en-GB" w:eastAsia="en-US" w:bidi="ar-SA"/>
    </w:rPr>
  </w:style>
  <w:style w:type="paragraph" w:styleId="BodyTextFirstIndent">
    <w:name w:val="Body Text First Indent"/>
    <w:basedOn w:val="BodyText"/>
    <w:link w:val="BodyTextFirstIndentChar"/>
    <w:semiHidden/>
    <w:rsid w:val="004E0A37"/>
    <w:pPr>
      <w:spacing w:after="120"/>
      <w:ind w:firstLine="210"/>
    </w:pPr>
  </w:style>
  <w:style w:type="character" w:customStyle="1" w:styleId="BodyTextFirstIndentChar">
    <w:name w:val="Body Text First Indent Char"/>
    <w:basedOn w:val="BodyTextChar"/>
    <w:link w:val="BodyTextFirstIndent"/>
    <w:semiHidden/>
    <w:rsid w:val="004E0A37"/>
  </w:style>
  <w:style w:type="paragraph" w:styleId="BodyTextFirstIndent2">
    <w:name w:val="Body Text First Indent 2"/>
    <w:basedOn w:val="BodyTextIndent"/>
    <w:link w:val="BodyTextFirstIndent2Char"/>
    <w:semiHidden/>
    <w:rsid w:val="004E0A37"/>
    <w:pPr>
      <w:ind w:firstLine="210"/>
    </w:pPr>
  </w:style>
  <w:style w:type="character" w:customStyle="1" w:styleId="BodyTextFirstIndent2Char">
    <w:name w:val="Body Text First Indent 2 Char"/>
    <w:basedOn w:val="BodyTextIndentChar"/>
    <w:link w:val="BodyTextFirstIndent2"/>
    <w:semiHidden/>
    <w:rsid w:val="004E0A37"/>
  </w:style>
  <w:style w:type="paragraph" w:styleId="BodyTextIndent2">
    <w:name w:val="Body Text Indent 2"/>
    <w:basedOn w:val="Normal"/>
    <w:link w:val="BodyTextIndent2Char"/>
    <w:semiHidden/>
    <w:rsid w:val="004E0A37"/>
    <w:pPr>
      <w:suppressAutoHyphens/>
      <w:bidi w:val="0"/>
      <w:spacing w:after="120" w:line="480" w:lineRule="auto"/>
      <w:ind w:left="283"/>
    </w:pPr>
    <w:rPr>
      <w:rFonts w:cs="Times New Roman"/>
      <w:snapToGrid w:val="0"/>
      <w:spacing w:val="0"/>
      <w:kern w:val="0"/>
      <w:sz w:val="20"/>
      <w:szCs w:val="20"/>
      <w:lang w:val="en-GB" w:eastAsia="en-US"/>
    </w:rPr>
  </w:style>
  <w:style w:type="character" w:customStyle="1" w:styleId="BodyTextIndent2Char">
    <w:name w:val="Body Text Indent 2 Char"/>
    <w:basedOn w:val="DefaultParagraphFont"/>
    <w:link w:val="BodyTextIndent2"/>
    <w:semiHidden/>
    <w:rsid w:val="004E0A37"/>
    <w:rPr>
      <w:snapToGrid w:val="0"/>
      <w:lang w:val="en-GB" w:eastAsia="en-US" w:bidi="ar-SA"/>
    </w:rPr>
  </w:style>
  <w:style w:type="paragraph" w:styleId="BodyTextIndent3">
    <w:name w:val="Body Text Indent 3"/>
    <w:basedOn w:val="Normal"/>
    <w:link w:val="BodyTextIndent3Char"/>
    <w:semiHidden/>
    <w:rsid w:val="004E0A37"/>
    <w:pPr>
      <w:suppressAutoHyphens/>
      <w:bidi w:val="0"/>
      <w:spacing w:after="120" w:line="240" w:lineRule="atLeast"/>
      <w:ind w:left="283"/>
    </w:pPr>
    <w:rPr>
      <w:rFonts w:cs="Times New Roman"/>
      <w:snapToGrid w:val="0"/>
      <w:spacing w:val="0"/>
      <w:kern w:val="0"/>
      <w:sz w:val="16"/>
      <w:szCs w:val="16"/>
      <w:lang w:val="en-GB" w:eastAsia="en-US"/>
    </w:rPr>
  </w:style>
  <w:style w:type="character" w:customStyle="1" w:styleId="BodyTextIndent3Char">
    <w:name w:val="Body Text Indent 3 Char"/>
    <w:basedOn w:val="DefaultParagraphFont"/>
    <w:link w:val="BodyTextIndent3"/>
    <w:semiHidden/>
    <w:rsid w:val="004E0A37"/>
    <w:rPr>
      <w:snapToGrid w:val="0"/>
      <w:sz w:val="16"/>
      <w:szCs w:val="16"/>
      <w:lang w:val="en-GB" w:eastAsia="en-US" w:bidi="ar-SA"/>
    </w:rPr>
  </w:style>
  <w:style w:type="paragraph" w:styleId="Closing">
    <w:name w:val="Closing"/>
    <w:basedOn w:val="Normal"/>
    <w:link w:val="ClosingChar"/>
    <w:semiHidden/>
    <w:rsid w:val="004E0A37"/>
    <w:pPr>
      <w:suppressAutoHyphens/>
      <w:bidi w:val="0"/>
      <w:spacing w:line="240" w:lineRule="atLeast"/>
      <w:ind w:left="4252"/>
    </w:pPr>
    <w:rPr>
      <w:rFonts w:cs="Times New Roman"/>
      <w:snapToGrid w:val="0"/>
      <w:spacing w:val="0"/>
      <w:kern w:val="0"/>
      <w:sz w:val="20"/>
      <w:szCs w:val="20"/>
      <w:lang w:val="en-GB" w:eastAsia="en-US"/>
    </w:rPr>
  </w:style>
  <w:style w:type="character" w:customStyle="1" w:styleId="ClosingChar">
    <w:name w:val="Closing Char"/>
    <w:basedOn w:val="DefaultParagraphFont"/>
    <w:link w:val="Closing"/>
    <w:semiHidden/>
    <w:rsid w:val="004E0A37"/>
    <w:rPr>
      <w:snapToGrid w:val="0"/>
      <w:lang w:val="en-GB" w:eastAsia="en-US" w:bidi="ar-SA"/>
    </w:rPr>
  </w:style>
  <w:style w:type="paragraph" w:styleId="Date">
    <w:name w:val="Date"/>
    <w:basedOn w:val="Normal"/>
    <w:next w:val="Normal"/>
    <w:link w:val="DateChar"/>
    <w:semiHidden/>
    <w:rsid w:val="004E0A37"/>
    <w:pPr>
      <w:suppressAutoHyphens/>
      <w:bidi w:val="0"/>
      <w:spacing w:line="240" w:lineRule="atLeast"/>
    </w:pPr>
    <w:rPr>
      <w:rFonts w:cs="Times New Roman"/>
      <w:snapToGrid w:val="0"/>
      <w:spacing w:val="0"/>
      <w:kern w:val="0"/>
      <w:sz w:val="20"/>
      <w:szCs w:val="20"/>
      <w:lang w:val="en-GB" w:eastAsia="en-US"/>
    </w:rPr>
  </w:style>
  <w:style w:type="character" w:customStyle="1" w:styleId="DateChar">
    <w:name w:val="Date Char"/>
    <w:basedOn w:val="DefaultParagraphFont"/>
    <w:link w:val="Date"/>
    <w:semiHidden/>
    <w:rsid w:val="004E0A37"/>
    <w:rPr>
      <w:snapToGrid w:val="0"/>
      <w:lang w:val="en-GB" w:eastAsia="en-US" w:bidi="ar-SA"/>
    </w:rPr>
  </w:style>
  <w:style w:type="paragraph" w:styleId="E-mailSignature">
    <w:name w:val="E-mail Signature"/>
    <w:basedOn w:val="Normal"/>
    <w:link w:val="E-mailSignatureChar"/>
    <w:semiHidden/>
    <w:rsid w:val="004E0A37"/>
    <w:pPr>
      <w:suppressAutoHyphens/>
      <w:bidi w:val="0"/>
      <w:spacing w:line="240" w:lineRule="atLeast"/>
    </w:pPr>
    <w:rPr>
      <w:rFonts w:cs="Times New Roman"/>
      <w:snapToGrid w:val="0"/>
      <w:spacing w:val="0"/>
      <w:kern w:val="0"/>
      <w:sz w:val="20"/>
      <w:szCs w:val="20"/>
      <w:lang w:val="en-GB" w:eastAsia="en-US"/>
    </w:rPr>
  </w:style>
  <w:style w:type="character" w:customStyle="1" w:styleId="E-mailSignatureChar">
    <w:name w:val="E-mail Signature Char"/>
    <w:basedOn w:val="DefaultParagraphFont"/>
    <w:link w:val="E-mailSignature"/>
    <w:semiHidden/>
    <w:rsid w:val="004E0A37"/>
    <w:rPr>
      <w:snapToGrid w:val="0"/>
      <w:lang w:val="en-GB" w:eastAsia="en-US" w:bidi="ar-SA"/>
    </w:rPr>
  </w:style>
  <w:style w:type="character" w:styleId="Emphasis">
    <w:name w:val="Emphasis"/>
    <w:basedOn w:val="DefaultParagraphFont"/>
    <w:qFormat/>
    <w:rsid w:val="004E0A37"/>
    <w:rPr>
      <w:rFonts w:cs="Times New Roman"/>
      <w:i/>
      <w:iCs/>
    </w:rPr>
  </w:style>
  <w:style w:type="paragraph" w:styleId="EnvelopeReturn">
    <w:name w:val="envelope return"/>
    <w:basedOn w:val="Normal"/>
    <w:semiHidden/>
    <w:rsid w:val="004E0A37"/>
    <w:pPr>
      <w:suppressAutoHyphens/>
      <w:bidi w:val="0"/>
      <w:spacing w:line="240" w:lineRule="atLeast"/>
    </w:pPr>
    <w:rPr>
      <w:rFonts w:ascii="Arial" w:hAnsi="Arial" w:cs="Arial"/>
      <w:snapToGrid w:val="0"/>
      <w:spacing w:val="0"/>
      <w:kern w:val="0"/>
      <w:sz w:val="20"/>
      <w:szCs w:val="20"/>
      <w:lang w:val="en-GB" w:eastAsia="en-US"/>
    </w:rPr>
  </w:style>
  <w:style w:type="character" w:styleId="FollowedHyperlink">
    <w:name w:val="FollowedHyperlink"/>
    <w:basedOn w:val="DefaultParagraphFont"/>
    <w:semiHidden/>
    <w:rsid w:val="004E0A37"/>
    <w:rPr>
      <w:rFonts w:cs="Times New Roman"/>
      <w:color w:val="800080"/>
      <w:u w:val="single"/>
    </w:rPr>
  </w:style>
  <w:style w:type="character" w:styleId="HTMLAcronym">
    <w:name w:val="HTML Acronym"/>
    <w:basedOn w:val="DefaultParagraphFont"/>
    <w:semiHidden/>
    <w:rsid w:val="004E0A37"/>
    <w:rPr>
      <w:rFonts w:cs="Times New Roman"/>
    </w:rPr>
  </w:style>
  <w:style w:type="paragraph" w:styleId="HTMLAddress">
    <w:name w:val="HTML Address"/>
    <w:basedOn w:val="Normal"/>
    <w:link w:val="HTMLAddressChar"/>
    <w:semiHidden/>
    <w:rsid w:val="004E0A37"/>
    <w:pPr>
      <w:suppressAutoHyphens/>
      <w:bidi w:val="0"/>
      <w:spacing w:line="240" w:lineRule="atLeast"/>
    </w:pPr>
    <w:rPr>
      <w:rFonts w:cs="Times New Roman"/>
      <w:i/>
      <w:iCs/>
      <w:snapToGrid w:val="0"/>
      <w:spacing w:val="0"/>
      <w:kern w:val="0"/>
      <w:sz w:val="20"/>
      <w:szCs w:val="20"/>
      <w:lang w:val="en-GB" w:eastAsia="en-US"/>
    </w:rPr>
  </w:style>
  <w:style w:type="character" w:customStyle="1" w:styleId="HTMLAddressChar">
    <w:name w:val="HTML Address Char"/>
    <w:basedOn w:val="DefaultParagraphFont"/>
    <w:link w:val="HTMLAddress"/>
    <w:semiHidden/>
    <w:rsid w:val="004E0A37"/>
    <w:rPr>
      <w:i/>
      <w:iCs/>
      <w:snapToGrid w:val="0"/>
      <w:lang w:val="en-GB" w:eastAsia="en-US" w:bidi="ar-SA"/>
    </w:rPr>
  </w:style>
  <w:style w:type="character" w:styleId="HTMLCite">
    <w:name w:val="HTML Cite"/>
    <w:basedOn w:val="DefaultParagraphFont"/>
    <w:semiHidden/>
    <w:rsid w:val="004E0A37"/>
    <w:rPr>
      <w:rFonts w:cs="Times New Roman"/>
      <w:i/>
      <w:iCs/>
    </w:rPr>
  </w:style>
  <w:style w:type="character" w:styleId="HTMLCode">
    <w:name w:val="HTML Code"/>
    <w:basedOn w:val="DefaultParagraphFont"/>
    <w:semiHidden/>
    <w:rsid w:val="004E0A37"/>
    <w:rPr>
      <w:rFonts w:ascii="Courier New" w:hAnsi="Courier New" w:cs="Courier New"/>
      <w:sz w:val="20"/>
      <w:szCs w:val="20"/>
    </w:rPr>
  </w:style>
  <w:style w:type="character" w:styleId="HTMLDefinition">
    <w:name w:val="HTML Definition"/>
    <w:basedOn w:val="DefaultParagraphFont"/>
    <w:semiHidden/>
    <w:rsid w:val="004E0A37"/>
    <w:rPr>
      <w:rFonts w:cs="Times New Roman"/>
      <w:i/>
      <w:iCs/>
    </w:rPr>
  </w:style>
  <w:style w:type="character" w:styleId="HTMLKeyboard">
    <w:name w:val="HTML Keyboard"/>
    <w:basedOn w:val="DefaultParagraphFont"/>
    <w:semiHidden/>
    <w:rsid w:val="004E0A37"/>
    <w:rPr>
      <w:rFonts w:ascii="Courier New" w:hAnsi="Courier New" w:cs="Courier New"/>
      <w:sz w:val="20"/>
      <w:szCs w:val="20"/>
    </w:rPr>
  </w:style>
  <w:style w:type="paragraph" w:styleId="HTMLPreformatted">
    <w:name w:val="HTML Preformatted"/>
    <w:basedOn w:val="Normal"/>
    <w:link w:val="HTMLPreformattedChar"/>
    <w:semiHidden/>
    <w:rsid w:val="004E0A37"/>
    <w:pPr>
      <w:suppressAutoHyphens/>
      <w:bidi w:val="0"/>
      <w:spacing w:line="240" w:lineRule="atLeast"/>
    </w:pPr>
    <w:rPr>
      <w:rFonts w:ascii="Courier New" w:hAnsi="Courier New" w:cs="Courier New"/>
      <w:snapToGrid w:val="0"/>
      <w:spacing w:val="0"/>
      <w:kern w:val="0"/>
      <w:sz w:val="20"/>
      <w:szCs w:val="20"/>
      <w:lang w:val="en-GB" w:eastAsia="en-US"/>
    </w:rPr>
  </w:style>
  <w:style w:type="character" w:customStyle="1" w:styleId="HTMLPreformattedChar">
    <w:name w:val="HTML Preformatted Char"/>
    <w:basedOn w:val="DefaultParagraphFont"/>
    <w:link w:val="HTMLPreformatted"/>
    <w:semiHidden/>
    <w:rsid w:val="004E0A37"/>
    <w:rPr>
      <w:rFonts w:ascii="Courier New" w:hAnsi="Courier New" w:cs="Courier New"/>
      <w:snapToGrid w:val="0"/>
      <w:lang w:val="en-GB" w:eastAsia="en-US" w:bidi="ar-SA"/>
    </w:rPr>
  </w:style>
  <w:style w:type="character" w:styleId="HTMLSample">
    <w:name w:val="HTML Sample"/>
    <w:basedOn w:val="DefaultParagraphFont"/>
    <w:semiHidden/>
    <w:rsid w:val="004E0A37"/>
    <w:rPr>
      <w:rFonts w:ascii="Courier New" w:hAnsi="Courier New" w:cs="Courier New"/>
    </w:rPr>
  </w:style>
  <w:style w:type="character" w:styleId="HTMLTypewriter">
    <w:name w:val="HTML Typewriter"/>
    <w:basedOn w:val="DefaultParagraphFont"/>
    <w:semiHidden/>
    <w:rsid w:val="004E0A37"/>
    <w:rPr>
      <w:rFonts w:ascii="Courier New" w:hAnsi="Courier New" w:cs="Courier New"/>
      <w:sz w:val="20"/>
      <w:szCs w:val="20"/>
    </w:rPr>
  </w:style>
  <w:style w:type="character" w:styleId="HTMLVariable">
    <w:name w:val="HTML Variable"/>
    <w:basedOn w:val="DefaultParagraphFont"/>
    <w:semiHidden/>
    <w:rsid w:val="004E0A37"/>
    <w:rPr>
      <w:rFonts w:cs="Times New Roman"/>
      <w:i/>
      <w:iCs/>
    </w:rPr>
  </w:style>
  <w:style w:type="character" w:styleId="Hyperlink">
    <w:name w:val="Hyperlink"/>
    <w:basedOn w:val="DefaultParagraphFont"/>
    <w:semiHidden/>
    <w:rsid w:val="004E0A37"/>
    <w:rPr>
      <w:rFonts w:cs="Times New Roman"/>
      <w:color w:val="0000FF"/>
      <w:u w:val="single"/>
    </w:rPr>
  </w:style>
  <w:style w:type="paragraph" w:styleId="List">
    <w:name w:val="List"/>
    <w:basedOn w:val="Normal"/>
    <w:semiHidden/>
    <w:rsid w:val="004E0A37"/>
    <w:pPr>
      <w:suppressAutoHyphens/>
      <w:bidi w:val="0"/>
      <w:spacing w:line="240" w:lineRule="atLeast"/>
      <w:ind w:left="283" w:hanging="283"/>
    </w:pPr>
    <w:rPr>
      <w:rFonts w:cs="Times New Roman"/>
      <w:snapToGrid w:val="0"/>
      <w:spacing w:val="0"/>
      <w:kern w:val="0"/>
      <w:sz w:val="20"/>
      <w:szCs w:val="20"/>
      <w:lang w:val="en-GB" w:eastAsia="en-US"/>
    </w:rPr>
  </w:style>
  <w:style w:type="paragraph" w:styleId="List2">
    <w:name w:val="List 2"/>
    <w:basedOn w:val="Normal"/>
    <w:semiHidden/>
    <w:rsid w:val="004E0A37"/>
    <w:pPr>
      <w:suppressAutoHyphens/>
      <w:bidi w:val="0"/>
      <w:spacing w:line="240" w:lineRule="atLeast"/>
      <w:ind w:left="566" w:hanging="283"/>
    </w:pPr>
    <w:rPr>
      <w:rFonts w:cs="Times New Roman"/>
      <w:snapToGrid w:val="0"/>
      <w:spacing w:val="0"/>
      <w:kern w:val="0"/>
      <w:sz w:val="20"/>
      <w:szCs w:val="20"/>
      <w:lang w:val="en-GB" w:eastAsia="en-US"/>
    </w:rPr>
  </w:style>
  <w:style w:type="paragraph" w:styleId="List3">
    <w:name w:val="List 3"/>
    <w:basedOn w:val="Normal"/>
    <w:semiHidden/>
    <w:rsid w:val="004E0A37"/>
    <w:pPr>
      <w:suppressAutoHyphens/>
      <w:bidi w:val="0"/>
      <w:spacing w:line="240" w:lineRule="atLeast"/>
      <w:ind w:left="849" w:hanging="283"/>
    </w:pPr>
    <w:rPr>
      <w:rFonts w:cs="Times New Roman"/>
      <w:snapToGrid w:val="0"/>
      <w:spacing w:val="0"/>
      <w:kern w:val="0"/>
      <w:sz w:val="20"/>
      <w:szCs w:val="20"/>
      <w:lang w:val="en-GB" w:eastAsia="en-US"/>
    </w:rPr>
  </w:style>
  <w:style w:type="paragraph" w:styleId="List4">
    <w:name w:val="List 4"/>
    <w:basedOn w:val="Normal"/>
    <w:semiHidden/>
    <w:rsid w:val="004E0A37"/>
    <w:pPr>
      <w:suppressAutoHyphens/>
      <w:bidi w:val="0"/>
      <w:spacing w:line="240" w:lineRule="atLeast"/>
      <w:ind w:left="1132" w:hanging="283"/>
    </w:pPr>
    <w:rPr>
      <w:rFonts w:cs="Times New Roman"/>
      <w:snapToGrid w:val="0"/>
      <w:spacing w:val="0"/>
      <w:kern w:val="0"/>
      <w:sz w:val="20"/>
      <w:szCs w:val="20"/>
      <w:lang w:val="en-GB" w:eastAsia="en-US"/>
    </w:rPr>
  </w:style>
  <w:style w:type="paragraph" w:styleId="List5">
    <w:name w:val="List 5"/>
    <w:basedOn w:val="Normal"/>
    <w:semiHidden/>
    <w:rsid w:val="004E0A37"/>
    <w:pPr>
      <w:suppressAutoHyphens/>
      <w:bidi w:val="0"/>
      <w:spacing w:line="240" w:lineRule="atLeast"/>
      <w:ind w:left="1415" w:hanging="283"/>
    </w:pPr>
    <w:rPr>
      <w:rFonts w:cs="Times New Roman"/>
      <w:snapToGrid w:val="0"/>
      <w:spacing w:val="0"/>
      <w:kern w:val="0"/>
      <w:sz w:val="20"/>
      <w:szCs w:val="20"/>
      <w:lang w:val="en-GB" w:eastAsia="en-US"/>
    </w:rPr>
  </w:style>
  <w:style w:type="paragraph" w:styleId="ListBullet">
    <w:name w:val="List Bullet"/>
    <w:basedOn w:val="Normal"/>
    <w:semiHidden/>
    <w:rsid w:val="004E0A37"/>
    <w:pPr>
      <w:numPr>
        <w:numId w:val="17"/>
      </w:numPr>
      <w:suppressAutoHyphens/>
      <w:bidi w:val="0"/>
      <w:spacing w:line="240" w:lineRule="atLeast"/>
    </w:pPr>
    <w:rPr>
      <w:rFonts w:cs="Times New Roman"/>
      <w:snapToGrid w:val="0"/>
      <w:spacing w:val="0"/>
      <w:kern w:val="0"/>
      <w:sz w:val="20"/>
      <w:szCs w:val="20"/>
      <w:lang w:val="en-GB" w:eastAsia="en-US"/>
    </w:rPr>
  </w:style>
  <w:style w:type="paragraph" w:styleId="ListBullet2">
    <w:name w:val="List Bullet 2"/>
    <w:basedOn w:val="Normal"/>
    <w:semiHidden/>
    <w:rsid w:val="004E0A37"/>
    <w:pPr>
      <w:numPr>
        <w:numId w:val="18"/>
      </w:numPr>
      <w:suppressAutoHyphens/>
      <w:bidi w:val="0"/>
      <w:spacing w:line="240" w:lineRule="atLeast"/>
    </w:pPr>
    <w:rPr>
      <w:rFonts w:cs="Times New Roman"/>
      <w:snapToGrid w:val="0"/>
      <w:spacing w:val="0"/>
      <w:kern w:val="0"/>
      <w:sz w:val="20"/>
      <w:szCs w:val="20"/>
      <w:lang w:val="en-GB" w:eastAsia="en-US"/>
    </w:rPr>
  </w:style>
  <w:style w:type="paragraph" w:styleId="ListBullet3">
    <w:name w:val="List Bullet 3"/>
    <w:basedOn w:val="Normal"/>
    <w:semiHidden/>
    <w:rsid w:val="004E0A37"/>
    <w:pPr>
      <w:numPr>
        <w:numId w:val="19"/>
      </w:numPr>
      <w:suppressAutoHyphens/>
      <w:bidi w:val="0"/>
      <w:spacing w:line="240" w:lineRule="atLeast"/>
    </w:pPr>
    <w:rPr>
      <w:rFonts w:cs="Times New Roman"/>
      <w:snapToGrid w:val="0"/>
      <w:spacing w:val="0"/>
      <w:kern w:val="0"/>
      <w:sz w:val="20"/>
      <w:szCs w:val="20"/>
      <w:lang w:val="en-GB" w:eastAsia="en-US"/>
    </w:rPr>
  </w:style>
  <w:style w:type="paragraph" w:styleId="ListBullet4">
    <w:name w:val="List Bullet 4"/>
    <w:basedOn w:val="Normal"/>
    <w:semiHidden/>
    <w:rsid w:val="004E0A37"/>
    <w:pPr>
      <w:numPr>
        <w:numId w:val="20"/>
      </w:numPr>
      <w:suppressAutoHyphens/>
      <w:bidi w:val="0"/>
      <w:spacing w:line="240" w:lineRule="atLeast"/>
    </w:pPr>
    <w:rPr>
      <w:rFonts w:cs="Times New Roman"/>
      <w:snapToGrid w:val="0"/>
      <w:spacing w:val="0"/>
      <w:kern w:val="0"/>
      <w:sz w:val="20"/>
      <w:szCs w:val="20"/>
      <w:lang w:val="en-GB" w:eastAsia="en-US"/>
    </w:rPr>
  </w:style>
  <w:style w:type="paragraph" w:styleId="ListBullet5">
    <w:name w:val="List Bullet 5"/>
    <w:basedOn w:val="Normal"/>
    <w:semiHidden/>
    <w:rsid w:val="004E0A37"/>
    <w:pPr>
      <w:numPr>
        <w:numId w:val="21"/>
      </w:numPr>
      <w:suppressAutoHyphens/>
      <w:bidi w:val="0"/>
      <w:spacing w:line="240" w:lineRule="atLeast"/>
    </w:pPr>
    <w:rPr>
      <w:rFonts w:cs="Times New Roman"/>
      <w:snapToGrid w:val="0"/>
      <w:spacing w:val="0"/>
      <w:kern w:val="0"/>
      <w:sz w:val="20"/>
      <w:szCs w:val="20"/>
      <w:lang w:val="en-GB" w:eastAsia="en-US"/>
    </w:rPr>
  </w:style>
  <w:style w:type="paragraph" w:styleId="ListContinue">
    <w:name w:val="List Continue"/>
    <w:basedOn w:val="Normal"/>
    <w:semiHidden/>
    <w:rsid w:val="004E0A37"/>
    <w:pPr>
      <w:suppressAutoHyphens/>
      <w:bidi w:val="0"/>
      <w:spacing w:after="120" w:line="240" w:lineRule="atLeast"/>
      <w:ind w:left="283"/>
    </w:pPr>
    <w:rPr>
      <w:rFonts w:cs="Times New Roman"/>
      <w:snapToGrid w:val="0"/>
      <w:spacing w:val="0"/>
      <w:kern w:val="0"/>
      <w:sz w:val="20"/>
      <w:szCs w:val="20"/>
      <w:lang w:val="en-GB" w:eastAsia="en-US"/>
    </w:rPr>
  </w:style>
  <w:style w:type="paragraph" w:styleId="ListContinue2">
    <w:name w:val="List Continue 2"/>
    <w:basedOn w:val="Normal"/>
    <w:semiHidden/>
    <w:rsid w:val="004E0A37"/>
    <w:pPr>
      <w:suppressAutoHyphens/>
      <w:bidi w:val="0"/>
      <w:spacing w:after="120" w:line="240" w:lineRule="atLeast"/>
      <w:ind w:left="566"/>
    </w:pPr>
    <w:rPr>
      <w:rFonts w:cs="Times New Roman"/>
      <w:snapToGrid w:val="0"/>
      <w:spacing w:val="0"/>
      <w:kern w:val="0"/>
      <w:sz w:val="20"/>
      <w:szCs w:val="20"/>
      <w:lang w:val="en-GB" w:eastAsia="en-US"/>
    </w:rPr>
  </w:style>
  <w:style w:type="paragraph" w:styleId="ListContinue3">
    <w:name w:val="List Continue 3"/>
    <w:basedOn w:val="Normal"/>
    <w:semiHidden/>
    <w:rsid w:val="004E0A37"/>
    <w:pPr>
      <w:suppressAutoHyphens/>
      <w:bidi w:val="0"/>
      <w:spacing w:after="120" w:line="240" w:lineRule="atLeast"/>
      <w:ind w:left="849"/>
    </w:pPr>
    <w:rPr>
      <w:rFonts w:cs="Times New Roman"/>
      <w:snapToGrid w:val="0"/>
      <w:spacing w:val="0"/>
      <w:kern w:val="0"/>
      <w:sz w:val="20"/>
      <w:szCs w:val="20"/>
      <w:lang w:val="en-GB" w:eastAsia="en-US"/>
    </w:rPr>
  </w:style>
  <w:style w:type="paragraph" w:styleId="ListContinue4">
    <w:name w:val="List Continue 4"/>
    <w:basedOn w:val="Normal"/>
    <w:semiHidden/>
    <w:rsid w:val="004E0A37"/>
    <w:pPr>
      <w:suppressAutoHyphens/>
      <w:bidi w:val="0"/>
      <w:spacing w:after="120" w:line="240" w:lineRule="atLeast"/>
      <w:ind w:left="1132"/>
    </w:pPr>
    <w:rPr>
      <w:rFonts w:cs="Times New Roman"/>
      <w:snapToGrid w:val="0"/>
      <w:spacing w:val="0"/>
      <w:kern w:val="0"/>
      <w:sz w:val="20"/>
      <w:szCs w:val="20"/>
      <w:lang w:val="en-GB" w:eastAsia="en-US"/>
    </w:rPr>
  </w:style>
  <w:style w:type="paragraph" w:styleId="ListContinue5">
    <w:name w:val="List Continue 5"/>
    <w:basedOn w:val="Normal"/>
    <w:semiHidden/>
    <w:rsid w:val="004E0A37"/>
    <w:pPr>
      <w:suppressAutoHyphens/>
      <w:bidi w:val="0"/>
      <w:spacing w:after="120" w:line="240" w:lineRule="atLeast"/>
      <w:ind w:left="1415"/>
    </w:pPr>
    <w:rPr>
      <w:rFonts w:cs="Times New Roman"/>
      <w:snapToGrid w:val="0"/>
      <w:spacing w:val="0"/>
      <w:kern w:val="0"/>
      <w:sz w:val="20"/>
      <w:szCs w:val="20"/>
      <w:lang w:val="en-GB" w:eastAsia="en-US"/>
    </w:rPr>
  </w:style>
  <w:style w:type="paragraph" w:styleId="ListNumber">
    <w:name w:val="List Number"/>
    <w:basedOn w:val="Normal"/>
    <w:semiHidden/>
    <w:rsid w:val="004E0A37"/>
    <w:pPr>
      <w:numPr>
        <w:numId w:val="16"/>
      </w:numPr>
      <w:suppressAutoHyphens/>
      <w:bidi w:val="0"/>
      <w:spacing w:line="240" w:lineRule="atLeast"/>
    </w:pPr>
    <w:rPr>
      <w:rFonts w:cs="Times New Roman"/>
      <w:snapToGrid w:val="0"/>
      <w:spacing w:val="0"/>
      <w:kern w:val="0"/>
      <w:sz w:val="20"/>
      <w:szCs w:val="20"/>
      <w:lang w:val="en-GB" w:eastAsia="en-US"/>
    </w:rPr>
  </w:style>
  <w:style w:type="paragraph" w:styleId="ListNumber2">
    <w:name w:val="List Number 2"/>
    <w:basedOn w:val="Normal"/>
    <w:semiHidden/>
    <w:rsid w:val="004E0A37"/>
    <w:pPr>
      <w:numPr>
        <w:numId w:val="15"/>
      </w:numPr>
      <w:suppressAutoHyphens/>
      <w:bidi w:val="0"/>
      <w:spacing w:line="240" w:lineRule="atLeast"/>
    </w:pPr>
    <w:rPr>
      <w:rFonts w:cs="Times New Roman"/>
      <w:snapToGrid w:val="0"/>
      <w:spacing w:val="0"/>
      <w:kern w:val="0"/>
      <w:sz w:val="20"/>
      <w:szCs w:val="20"/>
      <w:lang w:val="en-GB" w:eastAsia="en-US"/>
    </w:rPr>
  </w:style>
  <w:style w:type="paragraph" w:styleId="ListNumber3">
    <w:name w:val="List Number 3"/>
    <w:basedOn w:val="Normal"/>
    <w:semiHidden/>
    <w:rsid w:val="004E0A37"/>
    <w:pPr>
      <w:numPr>
        <w:numId w:val="14"/>
      </w:numPr>
      <w:suppressAutoHyphens/>
      <w:bidi w:val="0"/>
      <w:spacing w:line="240" w:lineRule="atLeast"/>
    </w:pPr>
    <w:rPr>
      <w:rFonts w:cs="Times New Roman"/>
      <w:snapToGrid w:val="0"/>
      <w:spacing w:val="0"/>
      <w:kern w:val="0"/>
      <w:sz w:val="20"/>
      <w:szCs w:val="20"/>
      <w:lang w:val="en-GB" w:eastAsia="en-US"/>
    </w:rPr>
  </w:style>
  <w:style w:type="paragraph" w:styleId="ListNumber4">
    <w:name w:val="List Number 4"/>
    <w:basedOn w:val="Normal"/>
    <w:semiHidden/>
    <w:rsid w:val="004E0A37"/>
    <w:pPr>
      <w:numPr>
        <w:numId w:val="12"/>
      </w:numPr>
      <w:suppressAutoHyphens/>
      <w:bidi w:val="0"/>
      <w:spacing w:line="240" w:lineRule="atLeast"/>
    </w:pPr>
    <w:rPr>
      <w:rFonts w:cs="Times New Roman"/>
      <w:snapToGrid w:val="0"/>
      <w:spacing w:val="0"/>
      <w:kern w:val="0"/>
      <w:sz w:val="20"/>
      <w:szCs w:val="20"/>
      <w:lang w:val="en-GB" w:eastAsia="en-US"/>
    </w:rPr>
  </w:style>
  <w:style w:type="paragraph" w:styleId="ListNumber5">
    <w:name w:val="List Number 5"/>
    <w:basedOn w:val="Normal"/>
    <w:semiHidden/>
    <w:rsid w:val="004E0A37"/>
    <w:pPr>
      <w:numPr>
        <w:numId w:val="13"/>
      </w:numPr>
      <w:suppressAutoHyphens/>
      <w:bidi w:val="0"/>
      <w:spacing w:line="240" w:lineRule="atLeast"/>
    </w:pPr>
    <w:rPr>
      <w:rFonts w:cs="Times New Roman"/>
      <w:snapToGrid w:val="0"/>
      <w:spacing w:val="0"/>
      <w:kern w:val="0"/>
      <w:sz w:val="20"/>
      <w:szCs w:val="20"/>
      <w:lang w:val="en-GB" w:eastAsia="en-US"/>
    </w:rPr>
  </w:style>
  <w:style w:type="paragraph" w:styleId="MessageHeader">
    <w:name w:val="Message Header"/>
    <w:basedOn w:val="Normal"/>
    <w:link w:val="MessageHeaderChar"/>
    <w:semiHidden/>
    <w:rsid w:val="004E0A37"/>
    <w:pPr>
      <w:pBdr>
        <w:top w:val="single" w:sz="6" w:space="1" w:color="auto"/>
        <w:left w:val="single" w:sz="6" w:space="1" w:color="auto"/>
        <w:bottom w:val="single" w:sz="6" w:space="1" w:color="auto"/>
        <w:right w:val="single" w:sz="6" w:space="1" w:color="auto"/>
      </w:pBdr>
      <w:shd w:val="pct20" w:color="auto" w:fill="auto"/>
      <w:suppressAutoHyphens/>
      <w:bidi w:val="0"/>
      <w:spacing w:line="240" w:lineRule="atLeast"/>
      <w:ind w:left="1134" w:hanging="1134"/>
    </w:pPr>
    <w:rPr>
      <w:rFonts w:ascii="Arial" w:hAnsi="Arial" w:cs="Arial"/>
      <w:snapToGrid w:val="0"/>
      <w:spacing w:val="0"/>
      <w:kern w:val="0"/>
      <w:sz w:val="24"/>
      <w:szCs w:val="24"/>
      <w:lang w:val="en-GB" w:eastAsia="en-US"/>
    </w:rPr>
  </w:style>
  <w:style w:type="character" w:customStyle="1" w:styleId="MessageHeaderChar">
    <w:name w:val="Message Header Char"/>
    <w:basedOn w:val="DefaultParagraphFont"/>
    <w:link w:val="MessageHeader"/>
    <w:semiHidden/>
    <w:rsid w:val="004E0A37"/>
    <w:rPr>
      <w:rFonts w:ascii="Arial" w:hAnsi="Arial" w:cs="Arial"/>
      <w:snapToGrid w:val="0"/>
      <w:sz w:val="24"/>
      <w:szCs w:val="24"/>
      <w:lang w:val="en-GB" w:eastAsia="en-US" w:bidi="ar-SA"/>
    </w:rPr>
  </w:style>
  <w:style w:type="paragraph" w:styleId="NormalWeb">
    <w:name w:val="Normal (Web)"/>
    <w:basedOn w:val="Normal"/>
    <w:semiHidden/>
    <w:rsid w:val="004E0A37"/>
    <w:pPr>
      <w:suppressAutoHyphens/>
      <w:bidi w:val="0"/>
      <w:spacing w:line="240" w:lineRule="atLeast"/>
    </w:pPr>
    <w:rPr>
      <w:rFonts w:cs="Times New Roman"/>
      <w:snapToGrid w:val="0"/>
      <w:spacing w:val="0"/>
      <w:kern w:val="0"/>
      <w:sz w:val="24"/>
      <w:szCs w:val="24"/>
      <w:lang w:val="en-GB" w:eastAsia="en-US"/>
    </w:rPr>
  </w:style>
  <w:style w:type="paragraph" w:styleId="NormalIndent">
    <w:name w:val="Normal Indent"/>
    <w:basedOn w:val="Normal"/>
    <w:semiHidden/>
    <w:rsid w:val="004E0A37"/>
    <w:pPr>
      <w:suppressAutoHyphens/>
      <w:bidi w:val="0"/>
      <w:spacing w:line="240" w:lineRule="atLeast"/>
      <w:ind w:left="567"/>
    </w:pPr>
    <w:rPr>
      <w:rFonts w:cs="Times New Roman"/>
      <w:snapToGrid w:val="0"/>
      <w:spacing w:val="0"/>
      <w:kern w:val="0"/>
      <w:sz w:val="20"/>
      <w:szCs w:val="20"/>
      <w:lang w:val="en-GB" w:eastAsia="en-US"/>
    </w:rPr>
  </w:style>
  <w:style w:type="paragraph" w:styleId="NoteHeading">
    <w:name w:val="Note Heading"/>
    <w:basedOn w:val="Normal"/>
    <w:next w:val="Normal"/>
    <w:link w:val="NoteHeadingChar"/>
    <w:semiHidden/>
    <w:rsid w:val="004E0A37"/>
    <w:pPr>
      <w:suppressAutoHyphens/>
      <w:bidi w:val="0"/>
      <w:spacing w:line="240" w:lineRule="atLeast"/>
    </w:pPr>
    <w:rPr>
      <w:rFonts w:cs="Times New Roman"/>
      <w:snapToGrid w:val="0"/>
      <w:spacing w:val="0"/>
      <w:kern w:val="0"/>
      <w:sz w:val="20"/>
      <w:szCs w:val="20"/>
      <w:lang w:val="en-GB" w:eastAsia="en-US"/>
    </w:rPr>
  </w:style>
  <w:style w:type="character" w:customStyle="1" w:styleId="NoteHeadingChar">
    <w:name w:val="Note Heading Char"/>
    <w:basedOn w:val="DefaultParagraphFont"/>
    <w:link w:val="NoteHeading"/>
    <w:semiHidden/>
    <w:rsid w:val="004E0A37"/>
    <w:rPr>
      <w:snapToGrid w:val="0"/>
      <w:lang w:val="en-GB" w:eastAsia="en-US" w:bidi="ar-SA"/>
    </w:rPr>
  </w:style>
  <w:style w:type="paragraph" w:styleId="Salutation">
    <w:name w:val="Salutation"/>
    <w:basedOn w:val="Normal"/>
    <w:next w:val="Normal"/>
    <w:link w:val="SalutationChar"/>
    <w:semiHidden/>
    <w:rsid w:val="004E0A37"/>
    <w:pPr>
      <w:suppressAutoHyphens/>
      <w:bidi w:val="0"/>
      <w:spacing w:line="240" w:lineRule="atLeast"/>
    </w:pPr>
    <w:rPr>
      <w:rFonts w:cs="Times New Roman"/>
      <w:snapToGrid w:val="0"/>
      <w:spacing w:val="0"/>
      <w:kern w:val="0"/>
      <w:sz w:val="20"/>
      <w:szCs w:val="20"/>
      <w:lang w:val="en-GB" w:eastAsia="en-US"/>
    </w:rPr>
  </w:style>
  <w:style w:type="character" w:customStyle="1" w:styleId="SalutationChar">
    <w:name w:val="Salutation Char"/>
    <w:basedOn w:val="DefaultParagraphFont"/>
    <w:link w:val="Salutation"/>
    <w:semiHidden/>
    <w:rsid w:val="004E0A37"/>
    <w:rPr>
      <w:snapToGrid w:val="0"/>
      <w:lang w:val="en-GB" w:eastAsia="en-US" w:bidi="ar-SA"/>
    </w:rPr>
  </w:style>
  <w:style w:type="paragraph" w:styleId="Signature">
    <w:name w:val="Signature"/>
    <w:basedOn w:val="Normal"/>
    <w:link w:val="SignatureChar"/>
    <w:semiHidden/>
    <w:rsid w:val="004E0A37"/>
    <w:pPr>
      <w:suppressAutoHyphens/>
      <w:bidi w:val="0"/>
      <w:spacing w:line="240" w:lineRule="atLeast"/>
      <w:ind w:left="4252"/>
    </w:pPr>
    <w:rPr>
      <w:rFonts w:cs="Times New Roman"/>
      <w:snapToGrid w:val="0"/>
      <w:spacing w:val="0"/>
      <w:kern w:val="0"/>
      <w:sz w:val="20"/>
      <w:szCs w:val="20"/>
      <w:lang w:val="en-GB" w:eastAsia="en-US"/>
    </w:rPr>
  </w:style>
  <w:style w:type="character" w:customStyle="1" w:styleId="SignatureChar">
    <w:name w:val="Signature Char"/>
    <w:basedOn w:val="DefaultParagraphFont"/>
    <w:link w:val="Signature"/>
    <w:semiHidden/>
    <w:rsid w:val="004E0A37"/>
    <w:rPr>
      <w:snapToGrid w:val="0"/>
      <w:lang w:val="en-GB" w:eastAsia="en-US" w:bidi="ar-SA"/>
    </w:rPr>
  </w:style>
  <w:style w:type="character" w:styleId="Strong">
    <w:name w:val="Strong"/>
    <w:basedOn w:val="DefaultParagraphFont"/>
    <w:qFormat/>
    <w:rsid w:val="004E0A37"/>
    <w:rPr>
      <w:rFonts w:cs="Times New Roman"/>
      <w:b/>
      <w:bCs/>
    </w:rPr>
  </w:style>
  <w:style w:type="paragraph" w:styleId="Subtitle">
    <w:name w:val="Subtitle"/>
    <w:basedOn w:val="Normal"/>
    <w:link w:val="SubtitleChar"/>
    <w:qFormat/>
    <w:rsid w:val="004E0A37"/>
    <w:pPr>
      <w:suppressAutoHyphens/>
      <w:bidi w:val="0"/>
      <w:spacing w:after="60" w:line="240" w:lineRule="atLeast"/>
      <w:jc w:val="center"/>
      <w:outlineLvl w:val="1"/>
    </w:pPr>
    <w:rPr>
      <w:rFonts w:ascii="Arial" w:hAnsi="Arial" w:cs="Arial"/>
      <w:snapToGrid w:val="0"/>
      <w:spacing w:val="0"/>
      <w:kern w:val="0"/>
      <w:sz w:val="24"/>
      <w:szCs w:val="24"/>
      <w:lang w:val="en-GB" w:eastAsia="en-US"/>
    </w:rPr>
  </w:style>
  <w:style w:type="character" w:customStyle="1" w:styleId="SubtitleChar">
    <w:name w:val="Subtitle Char"/>
    <w:basedOn w:val="DefaultParagraphFont"/>
    <w:link w:val="Subtitle"/>
    <w:rsid w:val="004E0A37"/>
    <w:rPr>
      <w:rFonts w:ascii="Arial" w:hAnsi="Arial" w:cs="Arial"/>
      <w:snapToGrid w:val="0"/>
      <w:sz w:val="24"/>
      <w:szCs w:val="24"/>
      <w:lang w:val="en-GB" w:eastAsia="en-US" w:bidi="ar-SA"/>
    </w:rPr>
  </w:style>
  <w:style w:type="table" w:styleId="Table3Deffects1">
    <w:name w:val="Table 3D effects 1"/>
    <w:basedOn w:val="TableNormal"/>
    <w:semiHidden/>
    <w:rsid w:val="004E0A37"/>
    <w:pPr>
      <w:suppressAutoHyphens/>
      <w:spacing w:line="240" w:lineRule="atLeast"/>
    </w:pPr>
    <w:rPr>
      <w:snapToGrid w:val="0"/>
    </w:rPr>
    <w:tblPr>
      <w:tblInd w:w="0" w:type="dxa"/>
      <w:tblCellMar>
        <w:top w:w="0" w:type="dxa"/>
        <w:left w:w="108" w:type="dxa"/>
        <w:bottom w:w="0" w:type="dxa"/>
        <w:right w:w="108" w:type="dxa"/>
      </w:tblCellMar>
    </w:tblPr>
    <w:tcPr>
      <w:shd w:val="solid" w:color="C0C0C0" w:fill="FFFFFF"/>
    </w:tcPr>
  </w:style>
  <w:style w:type="table" w:styleId="Table3Deffects2">
    <w:name w:val="Table 3D effects 2"/>
    <w:basedOn w:val="TableNormal"/>
    <w:semiHidden/>
    <w:rsid w:val="004E0A37"/>
    <w:pPr>
      <w:suppressAutoHyphens/>
      <w:spacing w:line="240" w:lineRule="atLeast"/>
    </w:pPr>
    <w:rPr>
      <w:snapToGrid w:val="0"/>
    </w:rPr>
    <w:tblPr>
      <w:tblInd w:w="0" w:type="dxa"/>
      <w:tblCellMar>
        <w:top w:w="0" w:type="dxa"/>
        <w:left w:w="108" w:type="dxa"/>
        <w:bottom w:w="0" w:type="dxa"/>
        <w:right w:w="108" w:type="dxa"/>
      </w:tblCellMar>
    </w:tblPr>
    <w:tcPr>
      <w:shd w:val="solid" w:color="C0C0C0" w:fill="FFFFFF"/>
    </w:tcPr>
  </w:style>
  <w:style w:type="table" w:styleId="Table3Deffects3">
    <w:name w:val="Table 3D effects 3"/>
    <w:basedOn w:val="TableNormal"/>
    <w:semiHidden/>
    <w:rsid w:val="004E0A37"/>
    <w:pPr>
      <w:suppressAutoHyphens/>
      <w:spacing w:line="240" w:lineRule="atLeast"/>
    </w:pPr>
    <w:rPr>
      <w:snapToGrid w:val="0"/>
    </w:rPr>
    <w:tblPr>
      <w:tblInd w:w="0" w:type="dxa"/>
      <w:tblCellMar>
        <w:top w:w="0" w:type="dxa"/>
        <w:left w:w="108" w:type="dxa"/>
        <w:bottom w:w="0" w:type="dxa"/>
        <w:right w:w="108" w:type="dxa"/>
      </w:tblCellMar>
    </w:tblPr>
  </w:style>
  <w:style w:type="table" w:styleId="TableClassic1">
    <w:name w:val="Table Classic 1"/>
    <w:basedOn w:val="TableNormal"/>
    <w:semiHidden/>
    <w:rsid w:val="004E0A37"/>
    <w:pPr>
      <w:suppressAutoHyphens/>
      <w:spacing w:line="240" w:lineRule="atLeast"/>
    </w:pPr>
    <w:rPr>
      <w:snapToGrid w:val="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styleId="TableClassic2">
    <w:name w:val="Table Classic 2"/>
    <w:basedOn w:val="TableNormal"/>
    <w:semiHidden/>
    <w:rsid w:val="004E0A37"/>
    <w:pPr>
      <w:suppressAutoHyphens/>
      <w:spacing w:line="240" w:lineRule="atLeast"/>
    </w:pPr>
    <w:rPr>
      <w:snapToGrid w:val="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styleId="TableClassic3">
    <w:name w:val="Table Classic 3"/>
    <w:basedOn w:val="TableNormal"/>
    <w:semiHidden/>
    <w:rsid w:val="004E0A37"/>
    <w:pPr>
      <w:suppressAutoHyphens/>
      <w:spacing w:line="240" w:lineRule="atLeast"/>
    </w:pPr>
    <w:rPr>
      <w:snapToGrid w:val="0"/>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styleId="TableClassic4">
    <w:name w:val="Table Classic 4"/>
    <w:basedOn w:val="TableNormal"/>
    <w:semiHidden/>
    <w:rsid w:val="004E0A37"/>
    <w:pPr>
      <w:suppressAutoHyphens/>
      <w:spacing w:line="240" w:lineRule="atLeast"/>
    </w:pPr>
    <w:rPr>
      <w:snapToGrid w:val="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styleId="TableColorful1">
    <w:name w:val="Table Colorful 1"/>
    <w:basedOn w:val="TableNormal"/>
    <w:semiHidden/>
    <w:rsid w:val="004E0A37"/>
    <w:pPr>
      <w:suppressAutoHyphens/>
      <w:spacing w:line="240" w:lineRule="atLeast"/>
    </w:pPr>
    <w:rPr>
      <w:snapToGrid w:val="0"/>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styleId="TableColorful2">
    <w:name w:val="Table Colorful 2"/>
    <w:basedOn w:val="TableNormal"/>
    <w:semiHidden/>
    <w:rsid w:val="004E0A37"/>
    <w:pPr>
      <w:suppressAutoHyphens/>
      <w:spacing w:line="240" w:lineRule="atLeast"/>
    </w:pPr>
    <w:rPr>
      <w:snapToGrid w:val="0"/>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styleId="TableColorful3">
    <w:name w:val="Table Colorful 3"/>
    <w:basedOn w:val="TableNormal"/>
    <w:semiHidden/>
    <w:rsid w:val="004E0A37"/>
    <w:pPr>
      <w:suppressAutoHyphens/>
      <w:spacing w:line="240" w:lineRule="atLeast"/>
    </w:pPr>
    <w:rPr>
      <w:snapToGrid w:val="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styleId="TableColumns1">
    <w:name w:val="Table Columns 1"/>
    <w:basedOn w:val="TableNormal"/>
    <w:semiHidden/>
    <w:rsid w:val="004E0A37"/>
    <w:pPr>
      <w:suppressAutoHyphens/>
      <w:spacing w:line="240" w:lineRule="atLeast"/>
    </w:pPr>
    <w:rPr>
      <w:b/>
      <w:bCs/>
      <w:snapToGrid w:val="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styleId="TableColumns2">
    <w:name w:val="Table Columns 2"/>
    <w:basedOn w:val="TableNormal"/>
    <w:semiHidden/>
    <w:rsid w:val="004E0A37"/>
    <w:pPr>
      <w:suppressAutoHyphens/>
      <w:spacing w:line="240" w:lineRule="atLeast"/>
    </w:pPr>
    <w:rPr>
      <w:b/>
      <w:bCs/>
      <w:snapToGrid w:val="0"/>
    </w:rPr>
    <w:tblPr>
      <w:tblInd w:w="0" w:type="dxa"/>
      <w:tblCellMar>
        <w:top w:w="0" w:type="dxa"/>
        <w:left w:w="108" w:type="dxa"/>
        <w:bottom w:w="0" w:type="dxa"/>
        <w:right w:w="108" w:type="dxa"/>
      </w:tblCellMar>
    </w:tblPr>
  </w:style>
  <w:style w:type="table" w:styleId="TableColumns3">
    <w:name w:val="Table Columns 3"/>
    <w:basedOn w:val="TableNormal"/>
    <w:semiHidden/>
    <w:rsid w:val="004E0A37"/>
    <w:pPr>
      <w:suppressAutoHyphens/>
      <w:spacing w:line="240" w:lineRule="atLeast"/>
    </w:pPr>
    <w:rPr>
      <w:b/>
      <w:bCs/>
      <w:snapToGrid w:val="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styleId="TableColumns4">
    <w:name w:val="Table Columns 4"/>
    <w:basedOn w:val="TableNormal"/>
    <w:semiHidden/>
    <w:rsid w:val="004E0A37"/>
    <w:pPr>
      <w:suppressAutoHyphens/>
      <w:spacing w:line="240" w:lineRule="atLeast"/>
    </w:pPr>
    <w:rPr>
      <w:snapToGrid w:val="0"/>
    </w:rPr>
    <w:tblPr>
      <w:tblInd w:w="0" w:type="dxa"/>
      <w:tblCellMar>
        <w:top w:w="0" w:type="dxa"/>
        <w:left w:w="108" w:type="dxa"/>
        <w:bottom w:w="0" w:type="dxa"/>
        <w:right w:w="108" w:type="dxa"/>
      </w:tblCellMar>
    </w:tblPr>
  </w:style>
  <w:style w:type="table" w:styleId="TableColumns5">
    <w:name w:val="Table Columns 5"/>
    <w:basedOn w:val="TableNormal"/>
    <w:semiHidden/>
    <w:rsid w:val="004E0A37"/>
    <w:pPr>
      <w:suppressAutoHyphens/>
      <w:spacing w:line="240" w:lineRule="atLeast"/>
    </w:pPr>
    <w:rPr>
      <w:snapToGrid w:val="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styleId="TableContemporary">
    <w:name w:val="Table Contemporary"/>
    <w:basedOn w:val="TableNormal"/>
    <w:semiHidden/>
    <w:rsid w:val="004E0A37"/>
    <w:pPr>
      <w:suppressAutoHyphens/>
      <w:spacing w:line="240" w:lineRule="atLeast"/>
    </w:pPr>
    <w:rPr>
      <w:snapToGrid w:val="0"/>
    </w:rPr>
    <w:tblPr>
      <w:tblInd w:w="0" w:type="dxa"/>
      <w:tblBorders>
        <w:insideH w:val="single" w:sz="18" w:space="0" w:color="FFFFFF"/>
        <w:insideV w:val="single" w:sz="18" w:space="0" w:color="FFFFFF"/>
      </w:tblBorders>
      <w:tblCellMar>
        <w:top w:w="0" w:type="dxa"/>
        <w:left w:w="108" w:type="dxa"/>
        <w:bottom w:w="0" w:type="dxa"/>
        <w:right w:w="108" w:type="dxa"/>
      </w:tblCellMar>
    </w:tblPr>
  </w:style>
  <w:style w:type="table" w:styleId="TableElegant">
    <w:name w:val="Table Elegant"/>
    <w:basedOn w:val="TableNormal"/>
    <w:semiHidden/>
    <w:rsid w:val="004E0A37"/>
    <w:pPr>
      <w:suppressAutoHyphens/>
      <w:spacing w:line="240" w:lineRule="atLeast"/>
    </w:pPr>
    <w:rPr>
      <w:snapToGrid w:val="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styleId="TableGrid1">
    <w:name w:val="Table Grid 1"/>
    <w:basedOn w:val="TableNormal"/>
    <w:semiHidden/>
    <w:rsid w:val="004E0A37"/>
    <w:pPr>
      <w:suppressAutoHyphens/>
      <w:spacing w:line="240" w:lineRule="atLeast"/>
    </w:pPr>
    <w:rPr>
      <w:snapToGrid w:val="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TableGrid2">
    <w:name w:val="Table Grid 2"/>
    <w:basedOn w:val="TableNormal"/>
    <w:semiHidden/>
    <w:rsid w:val="004E0A37"/>
    <w:pPr>
      <w:suppressAutoHyphens/>
      <w:spacing w:line="240" w:lineRule="atLeast"/>
    </w:pPr>
    <w:rPr>
      <w:snapToGrid w:val="0"/>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styleId="TableGrid3">
    <w:name w:val="Table Grid 3"/>
    <w:basedOn w:val="TableNormal"/>
    <w:semiHidden/>
    <w:rsid w:val="004E0A37"/>
    <w:pPr>
      <w:suppressAutoHyphens/>
      <w:spacing w:line="240" w:lineRule="atLeast"/>
    </w:pPr>
    <w:rPr>
      <w:snapToGrid w:val="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styleId="TableGrid4">
    <w:name w:val="Table Grid 4"/>
    <w:basedOn w:val="TableNormal"/>
    <w:semiHidden/>
    <w:rsid w:val="004E0A37"/>
    <w:pPr>
      <w:suppressAutoHyphens/>
      <w:spacing w:line="240" w:lineRule="atLeast"/>
    </w:pPr>
    <w:rPr>
      <w:snapToGrid w:val="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TableGrid5">
    <w:name w:val="Table Grid 5"/>
    <w:basedOn w:val="TableNormal"/>
    <w:semiHidden/>
    <w:rsid w:val="004E0A37"/>
    <w:pPr>
      <w:suppressAutoHyphens/>
      <w:spacing w:line="240" w:lineRule="atLeast"/>
    </w:pPr>
    <w:rPr>
      <w:snapToGrid w:val="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TableGrid6">
    <w:name w:val="Table Grid 6"/>
    <w:basedOn w:val="TableNormal"/>
    <w:semiHidden/>
    <w:rsid w:val="004E0A37"/>
    <w:pPr>
      <w:suppressAutoHyphens/>
      <w:spacing w:line="240" w:lineRule="atLeast"/>
    </w:pPr>
    <w:rPr>
      <w:snapToGrid w:val="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styleId="TableGrid7">
    <w:name w:val="Table Grid 7"/>
    <w:basedOn w:val="TableNormal"/>
    <w:semiHidden/>
    <w:rsid w:val="004E0A37"/>
    <w:pPr>
      <w:suppressAutoHyphens/>
      <w:spacing w:line="240" w:lineRule="atLeast"/>
    </w:pPr>
    <w:rPr>
      <w:b/>
      <w:bCs/>
      <w:snapToGrid w:val="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TableGrid8">
    <w:name w:val="Table Grid 8"/>
    <w:basedOn w:val="TableNormal"/>
    <w:semiHidden/>
    <w:rsid w:val="004E0A37"/>
    <w:pPr>
      <w:suppressAutoHyphens/>
      <w:spacing w:line="240" w:lineRule="atLeast"/>
    </w:pPr>
    <w:rPr>
      <w:snapToGrid w:val="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styleId="TableList1">
    <w:name w:val="Table List 1"/>
    <w:basedOn w:val="TableNormal"/>
    <w:semiHidden/>
    <w:rsid w:val="004E0A37"/>
    <w:pPr>
      <w:suppressAutoHyphens/>
      <w:spacing w:line="240" w:lineRule="atLeast"/>
    </w:pPr>
    <w:rPr>
      <w:snapToGrid w:val="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styleId="TableList2">
    <w:name w:val="Table List 2"/>
    <w:basedOn w:val="TableNormal"/>
    <w:semiHidden/>
    <w:rsid w:val="004E0A37"/>
    <w:pPr>
      <w:suppressAutoHyphens/>
      <w:spacing w:line="240" w:lineRule="atLeast"/>
    </w:pPr>
    <w:rPr>
      <w:snapToGrid w:val="0"/>
    </w:rPr>
    <w:tblPr>
      <w:tblInd w:w="0" w:type="dxa"/>
      <w:tblBorders>
        <w:bottom w:val="single" w:sz="12" w:space="0" w:color="808080"/>
      </w:tblBorders>
      <w:tblCellMar>
        <w:top w:w="0" w:type="dxa"/>
        <w:left w:w="108" w:type="dxa"/>
        <w:bottom w:w="0" w:type="dxa"/>
        <w:right w:w="108" w:type="dxa"/>
      </w:tblCellMar>
    </w:tblPr>
  </w:style>
  <w:style w:type="table" w:styleId="TableList3">
    <w:name w:val="Table List 3"/>
    <w:basedOn w:val="TableNormal"/>
    <w:semiHidden/>
    <w:rsid w:val="004E0A37"/>
    <w:pPr>
      <w:suppressAutoHyphens/>
      <w:spacing w:line="240" w:lineRule="atLeast"/>
    </w:pPr>
    <w:rPr>
      <w:snapToGrid w:val="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styleId="TableList4">
    <w:name w:val="Table List 4"/>
    <w:basedOn w:val="TableNormal"/>
    <w:semiHidden/>
    <w:rsid w:val="004E0A37"/>
    <w:pPr>
      <w:suppressAutoHyphens/>
      <w:spacing w:line="240" w:lineRule="atLeast"/>
    </w:pPr>
    <w:rPr>
      <w:snapToGrid w:val="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styleId="TableList5">
    <w:name w:val="Table List 5"/>
    <w:basedOn w:val="TableNormal"/>
    <w:semiHidden/>
    <w:rsid w:val="004E0A37"/>
    <w:pPr>
      <w:suppressAutoHyphens/>
      <w:spacing w:line="240" w:lineRule="atLeast"/>
    </w:pPr>
    <w:rPr>
      <w:snapToGrid w:val="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styleId="TableList6">
    <w:name w:val="Table List 6"/>
    <w:basedOn w:val="TableNormal"/>
    <w:semiHidden/>
    <w:rsid w:val="004E0A37"/>
    <w:pPr>
      <w:suppressAutoHyphens/>
      <w:spacing w:line="240" w:lineRule="atLeast"/>
    </w:pPr>
    <w:rPr>
      <w:snapToGrid w:val="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styleId="TableList7">
    <w:name w:val="Table List 7"/>
    <w:basedOn w:val="TableNormal"/>
    <w:semiHidden/>
    <w:rsid w:val="004E0A37"/>
    <w:pPr>
      <w:suppressAutoHyphens/>
      <w:spacing w:line="240" w:lineRule="atLeast"/>
    </w:pPr>
    <w:rPr>
      <w:snapToGrid w:val="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styleId="TableList8">
    <w:name w:val="Table List 8"/>
    <w:basedOn w:val="TableNormal"/>
    <w:semiHidden/>
    <w:rsid w:val="004E0A37"/>
    <w:pPr>
      <w:suppressAutoHyphens/>
      <w:spacing w:line="240" w:lineRule="atLeast"/>
    </w:pPr>
    <w:rPr>
      <w:snapToGrid w:val="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styleId="TableProfessional">
    <w:name w:val="Table Professional"/>
    <w:basedOn w:val="TableNormal"/>
    <w:semiHidden/>
    <w:rsid w:val="004E0A37"/>
    <w:pPr>
      <w:suppressAutoHyphens/>
      <w:spacing w:line="240" w:lineRule="atLeast"/>
    </w:pPr>
    <w:rPr>
      <w:snapToGrid w:val="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TableSimple1">
    <w:name w:val="Table Simple 1"/>
    <w:basedOn w:val="TableNormal"/>
    <w:semiHidden/>
    <w:rsid w:val="004E0A37"/>
    <w:pPr>
      <w:suppressAutoHyphens/>
      <w:spacing w:line="240" w:lineRule="atLeast"/>
    </w:pPr>
    <w:rPr>
      <w:snapToGrid w:val="0"/>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styleId="TableSimple2">
    <w:name w:val="Table Simple 2"/>
    <w:basedOn w:val="TableNormal"/>
    <w:semiHidden/>
    <w:rsid w:val="004E0A37"/>
    <w:pPr>
      <w:suppressAutoHyphens/>
      <w:spacing w:line="240" w:lineRule="atLeast"/>
    </w:pPr>
    <w:rPr>
      <w:snapToGrid w:val="0"/>
    </w:rPr>
    <w:tblPr>
      <w:tblInd w:w="0" w:type="dxa"/>
      <w:tblCellMar>
        <w:top w:w="0" w:type="dxa"/>
        <w:left w:w="108" w:type="dxa"/>
        <w:bottom w:w="0" w:type="dxa"/>
        <w:right w:w="108" w:type="dxa"/>
      </w:tblCellMar>
    </w:tblPr>
  </w:style>
  <w:style w:type="table" w:styleId="TableSimple3">
    <w:name w:val="Table Simple 3"/>
    <w:basedOn w:val="TableNormal"/>
    <w:semiHidden/>
    <w:rsid w:val="004E0A37"/>
    <w:pPr>
      <w:suppressAutoHyphens/>
      <w:spacing w:line="240" w:lineRule="atLeast"/>
    </w:pPr>
    <w:rPr>
      <w:snapToGrid w:val="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styleId="TableSubtle1">
    <w:name w:val="Table Subtle 1"/>
    <w:basedOn w:val="TableNormal"/>
    <w:semiHidden/>
    <w:rsid w:val="004E0A37"/>
    <w:pPr>
      <w:suppressAutoHyphens/>
      <w:spacing w:line="240" w:lineRule="atLeast"/>
    </w:pPr>
    <w:rPr>
      <w:snapToGrid w:val="0"/>
    </w:rPr>
    <w:tblPr>
      <w:tblInd w:w="0" w:type="dxa"/>
      <w:tblCellMar>
        <w:top w:w="0" w:type="dxa"/>
        <w:left w:w="108" w:type="dxa"/>
        <w:bottom w:w="0" w:type="dxa"/>
        <w:right w:w="108" w:type="dxa"/>
      </w:tblCellMar>
    </w:tblPr>
  </w:style>
  <w:style w:type="table" w:styleId="TableSubtle2">
    <w:name w:val="Table Subtle 2"/>
    <w:basedOn w:val="TableNormal"/>
    <w:semiHidden/>
    <w:rsid w:val="004E0A37"/>
    <w:pPr>
      <w:suppressAutoHyphens/>
      <w:spacing w:line="240" w:lineRule="atLeast"/>
    </w:pPr>
    <w:rPr>
      <w:snapToGrid w:val="0"/>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styleId="TableTheme">
    <w:name w:val="Table Theme"/>
    <w:basedOn w:val="TableNormal"/>
    <w:semiHidden/>
    <w:rsid w:val="004E0A37"/>
    <w:pPr>
      <w:suppressAutoHyphens/>
      <w:spacing w:line="240" w:lineRule="atLeast"/>
    </w:pPr>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E0A37"/>
    <w:pPr>
      <w:suppressAutoHyphens/>
      <w:spacing w:line="240" w:lineRule="atLeast"/>
    </w:pPr>
    <w:rPr>
      <w:snapToGrid w:val="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styleId="TableWeb2">
    <w:name w:val="Table Web 2"/>
    <w:basedOn w:val="TableNormal"/>
    <w:semiHidden/>
    <w:rsid w:val="004E0A37"/>
    <w:pPr>
      <w:suppressAutoHyphens/>
      <w:spacing w:line="240" w:lineRule="atLeast"/>
    </w:pPr>
    <w:rPr>
      <w:snapToGrid w:val="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styleId="TableWeb3">
    <w:name w:val="Table Web 3"/>
    <w:basedOn w:val="TableNormal"/>
    <w:semiHidden/>
    <w:rsid w:val="004E0A37"/>
    <w:pPr>
      <w:suppressAutoHyphens/>
      <w:spacing w:line="240" w:lineRule="atLeast"/>
    </w:pPr>
    <w:rPr>
      <w:snapToGrid w:val="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paragraph" w:styleId="Title">
    <w:name w:val="Title"/>
    <w:basedOn w:val="Normal"/>
    <w:link w:val="TitleChar"/>
    <w:qFormat/>
    <w:rsid w:val="004E0A37"/>
    <w:pPr>
      <w:suppressAutoHyphens/>
      <w:bidi w:val="0"/>
      <w:spacing w:before="240" w:after="60" w:line="240" w:lineRule="atLeast"/>
      <w:jc w:val="center"/>
      <w:outlineLvl w:val="0"/>
    </w:pPr>
    <w:rPr>
      <w:rFonts w:ascii="Arial" w:hAnsi="Arial" w:cs="Arial"/>
      <w:b/>
      <w:bCs/>
      <w:snapToGrid w:val="0"/>
      <w:spacing w:val="0"/>
      <w:kern w:val="28"/>
      <w:sz w:val="32"/>
      <w:szCs w:val="32"/>
      <w:lang w:val="en-GB" w:eastAsia="en-US"/>
    </w:rPr>
  </w:style>
  <w:style w:type="character" w:customStyle="1" w:styleId="TitleChar">
    <w:name w:val="Title Char"/>
    <w:basedOn w:val="DefaultParagraphFont"/>
    <w:link w:val="Title"/>
    <w:rsid w:val="004E0A37"/>
    <w:rPr>
      <w:rFonts w:ascii="Arial" w:hAnsi="Arial" w:cs="Arial"/>
      <w:b/>
      <w:bCs/>
      <w:snapToGrid w:val="0"/>
      <w:kern w:val="28"/>
      <w:sz w:val="32"/>
      <w:szCs w:val="32"/>
      <w:lang w:val="en-GB" w:eastAsia="en-US" w:bidi="ar-SA"/>
    </w:rPr>
  </w:style>
  <w:style w:type="paragraph" w:styleId="EnvelopeAddress">
    <w:name w:val="envelope address"/>
    <w:basedOn w:val="Normal"/>
    <w:semiHidden/>
    <w:rsid w:val="004E0A37"/>
    <w:pPr>
      <w:framePr w:w="7920" w:h="1980" w:hRule="exact" w:hSpace="180" w:wrap="auto" w:hAnchor="page" w:xAlign="center" w:yAlign="bottom"/>
      <w:suppressAutoHyphens/>
      <w:bidi w:val="0"/>
      <w:spacing w:line="240" w:lineRule="atLeast"/>
      <w:ind w:left="2880"/>
    </w:pPr>
    <w:rPr>
      <w:rFonts w:ascii="Arial" w:hAnsi="Arial" w:cs="Arial"/>
      <w:snapToGrid w:val="0"/>
      <w:spacing w:val="0"/>
      <w:kern w:val="0"/>
      <w:sz w:val="24"/>
      <w:szCs w:val="24"/>
      <w:lang w:val="en-GB" w:eastAsia="en-US"/>
    </w:rPr>
  </w:style>
  <w:style w:type="character" w:customStyle="1" w:styleId="SingleTxtGChar">
    <w:name w:val="_ Single Txt_G Char"/>
    <w:basedOn w:val="DefaultParagraphFont"/>
    <w:locked/>
    <w:rsid w:val="004E0A37"/>
    <w:rPr>
      <w:rFonts w:cs="Times New Roman"/>
      <w:lang w:val="en-GB" w:bidi="ar-SA"/>
    </w:rPr>
  </w:style>
  <w:style w:type="character" w:customStyle="1" w:styleId="HChGChar">
    <w:name w:val="_ H _Ch_G Char"/>
    <w:basedOn w:val="DefaultParagraphFont"/>
    <w:locked/>
    <w:rsid w:val="004E0A37"/>
    <w:rPr>
      <w:rFonts w:cs="Times New Roman"/>
      <w:b/>
      <w:sz w:val="28"/>
      <w:lang w:val="en-GB" w:bidi="ar-SA"/>
    </w:rPr>
  </w:style>
  <w:style w:type="character" w:customStyle="1" w:styleId="tw4winMark">
    <w:name w:val="tw4winMark"/>
    <w:rsid w:val="004E0A37"/>
    <w:rPr>
      <w:rFonts w:ascii="Courier New" w:hAnsi="Courier New"/>
      <w:vanish/>
      <w:color w:val="800080"/>
      <w:sz w:val="24"/>
      <w:vertAlign w:val="subscript"/>
    </w:rPr>
  </w:style>
  <w:style w:type="character" w:customStyle="1" w:styleId="tw4winError">
    <w:name w:val="tw4winError"/>
    <w:rsid w:val="004E0A37"/>
    <w:rPr>
      <w:rFonts w:ascii="Courier New" w:hAnsi="Courier New"/>
      <w:color w:val="00FF00"/>
      <w:sz w:val="40"/>
    </w:rPr>
  </w:style>
  <w:style w:type="character" w:customStyle="1" w:styleId="tw4winTerm">
    <w:name w:val="tw4winTerm"/>
    <w:rsid w:val="004E0A37"/>
    <w:rPr>
      <w:color w:val="0000FF"/>
    </w:rPr>
  </w:style>
  <w:style w:type="character" w:customStyle="1" w:styleId="tw4winPopup">
    <w:name w:val="tw4winPopup"/>
    <w:rsid w:val="004E0A37"/>
    <w:rPr>
      <w:rFonts w:ascii="Courier New" w:hAnsi="Courier New"/>
      <w:noProof/>
      <w:color w:val="008000"/>
    </w:rPr>
  </w:style>
  <w:style w:type="character" w:customStyle="1" w:styleId="tw4winJump">
    <w:name w:val="tw4winJump"/>
    <w:rsid w:val="004E0A37"/>
    <w:rPr>
      <w:rFonts w:ascii="Courier New" w:hAnsi="Courier New"/>
      <w:noProof/>
      <w:color w:val="008080"/>
    </w:rPr>
  </w:style>
  <w:style w:type="character" w:customStyle="1" w:styleId="tw4winExternal">
    <w:name w:val="tw4winExternal"/>
    <w:rsid w:val="004E0A37"/>
    <w:rPr>
      <w:rFonts w:ascii="Courier New" w:hAnsi="Courier New"/>
      <w:noProof/>
      <w:color w:val="808080"/>
    </w:rPr>
  </w:style>
  <w:style w:type="character" w:customStyle="1" w:styleId="tw4winInternal">
    <w:name w:val="tw4winInternal"/>
    <w:rsid w:val="004E0A37"/>
    <w:rPr>
      <w:rFonts w:ascii="Courier New" w:hAnsi="Courier New"/>
      <w:noProof/>
      <w:color w:val="FF0000"/>
    </w:rPr>
  </w:style>
  <w:style w:type="character" w:customStyle="1" w:styleId="DONOTTRANSLATE">
    <w:name w:val="DO_NOT_TRANSLATE"/>
    <w:rsid w:val="004E0A37"/>
    <w:rPr>
      <w:rFonts w:ascii="Courier New" w:hAnsi="Courier New"/>
      <w:noProof/>
      <w:color w:val="800000"/>
    </w:rPr>
  </w:style>
  <w:style w:type="numbering" w:styleId="ArticleSection">
    <w:name w:val="Outline List 3"/>
    <w:basedOn w:val="NoList"/>
    <w:semiHidden/>
    <w:unhideWhenUsed/>
    <w:rsid w:val="004E0A37"/>
    <w:pPr>
      <w:numPr>
        <w:numId w:val="22"/>
      </w:numPr>
    </w:pPr>
  </w:style>
  <w:style w:type="paragraph" w:styleId="BalloonText">
    <w:name w:val="Balloon Text"/>
    <w:basedOn w:val="Normal"/>
    <w:semiHidden/>
    <w:rsid w:val="004E0A37"/>
    <w:pPr>
      <w:suppressAutoHyphens/>
      <w:bidi w:val="0"/>
      <w:spacing w:line="240" w:lineRule="atLeast"/>
    </w:pPr>
    <w:rPr>
      <w:rFonts w:ascii="Tahoma" w:hAnsi="Tahoma" w:cs="Tahoma"/>
      <w:snapToGrid w:val="0"/>
      <w:spacing w:val="0"/>
      <w:kern w:val="0"/>
      <w:sz w:val="16"/>
      <w:szCs w:val="16"/>
      <w:lang w:val="en-GB" w:eastAsia="en-US"/>
    </w:rPr>
  </w:style>
  <w:style w:type="paragraph" w:customStyle="1" w:styleId="SingleTxt">
    <w:name w:val="__Single Txt"/>
    <w:basedOn w:val="Normal"/>
    <w:rsid w:val="004E0A37"/>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spacing w:val="0"/>
      <w:w w:val="103"/>
      <w:kern w:val="14"/>
      <w:sz w:val="20"/>
      <w:lang w:eastAsia="en-US"/>
    </w:rPr>
  </w:style>
  <w:style w:type="paragraph" w:customStyle="1" w:styleId="a">
    <w:name w:val="(أ) إلى (د)"/>
    <w:basedOn w:val="Normal"/>
    <w:rsid w:val="004E0A37"/>
    <w:pPr>
      <w:numPr>
        <w:numId w:val="23"/>
      </w:numPr>
      <w:tabs>
        <w:tab w:val="clear" w:pos="1440"/>
      </w:tabs>
      <w:ind w:left="0" w:right="0" w:firstLine="720"/>
      <w:jc w:val="both"/>
    </w:pPr>
  </w:style>
  <w:style w:type="paragraph" w:customStyle="1" w:styleId="a0">
    <w:name w:val="(ه‍)"/>
    <w:basedOn w:val="a"/>
    <w:rsid w:val="004E0A37"/>
    <w:pPr>
      <w:numPr>
        <w:numId w:val="24"/>
      </w:numPr>
      <w:tabs>
        <w:tab w:val="clear" w:pos="1080"/>
        <w:tab w:val="left" w:pos="720"/>
      </w:tabs>
    </w:pPr>
  </w:style>
  <w:style w:type="paragraph" w:customStyle="1" w:styleId="parag">
    <w:name w:val="parag"/>
    <w:rsid w:val="004E0A37"/>
    <w:pPr>
      <w:numPr>
        <w:numId w:val="25"/>
      </w:numPr>
      <w:tabs>
        <w:tab w:val="clear" w:pos="360"/>
        <w:tab w:val="left" w:pos="720"/>
      </w:tabs>
      <w:bidi/>
      <w:spacing w:before="180" w:after="180" w:line="400" w:lineRule="exact"/>
      <w:jc w:val="both"/>
    </w:pPr>
    <w:rPr>
      <w:rFonts w:cs="Traditional Arabic"/>
      <w:spacing w:val="6"/>
      <w:kern w:val="16"/>
      <w:sz w:val="22"/>
      <w:szCs w:val="30"/>
      <w:lang w:eastAsia="ar-SA"/>
    </w:rPr>
  </w:style>
  <w:style w:type="paragraph" w:customStyle="1" w:styleId="Artic1-">
    <w:name w:val="Artic_1-"/>
    <w:basedOn w:val="Normal"/>
    <w:rsid w:val="004E0A37"/>
    <w:pPr>
      <w:numPr>
        <w:numId w:val="27"/>
      </w:numPr>
      <w:jc w:val="both"/>
    </w:pPr>
  </w:style>
  <w:style w:type="paragraph" w:customStyle="1" w:styleId="-">
    <w:name w:val="(و) -"/>
    <w:basedOn w:val="Normal"/>
    <w:rsid w:val="004E0A37"/>
    <w:pPr>
      <w:numPr>
        <w:numId w:val="26"/>
      </w:numPr>
      <w:tabs>
        <w:tab w:val="clear" w:pos="1080"/>
      </w:tabs>
      <w:jc w:val="both"/>
    </w:pPr>
  </w:style>
  <w:style w:type="paragraph" w:styleId="TOC9">
    <w:name w:val="toc 9"/>
    <w:basedOn w:val="Normal"/>
    <w:next w:val="Normal"/>
    <w:autoRedefine/>
    <w:semiHidden/>
    <w:rsid w:val="004E0A37"/>
    <w:pPr>
      <w:ind w:left="1760"/>
      <w:jc w:val="both"/>
    </w:pPr>
  </w:style>
  <w:style w:type="paragraph" w:customStyle="1" w:styleId="Rom1-">
    <w:name w:val="Rom_'1'-"/>
    <w:basedOn w:val="Normal"/>
    <w:rsid w:val="004E0A37"/>
    <w:pPr>
      <w:numPr>
        <w:numId w:val="28"/>
      </w:numPr>
      <w:ind w:right="0"/>
      <w:jc w:val="both"/>
    </w:pPr>
  </w:style>
  <w:style w:type="paragraph" w:customStyle="1" w:styleId="H1CLB">
    <w:name w:val="H1_C+L+B"/>
    <w:basedOn w:val="Normal"/>
    <w:rsid w:val="004E0A37"/>
    <w:pPr>
      <w:jc w:val="center"/>
    </w:pPr>
    <w:rPr>
      <w:bCs/>
      <w:sz w:val="28"/>
      <w:szCs w:val="36"/>
    </w:rPr>
  </w:style>
  <w:style w:type="paragraph" w:customStyle="1" w:styleId="H2CL">
    <w:name w:val="H2_C+L"/>
    <w:basedOn w:val="Normal"/>
    <w:rsid w:val="004E0A37"/>
    <w:pPr>
      <w:jc w:val="center"/>
    </w:pPr>
    <w:rPr>
      <w:sz w:val="28"/>
      <w:szCs w:val="36"/>
    </w:rPr>
  </w:style>
  <w:style w:type="paragraph" w:customStyle="1" w:styleId="H3CB">
    <w:name w:val="H3_C+B"/>
    <w:basedOn w:val="Normal"/>
    <w:rsid w:val="004E0A37"/>
    <w:pPr>
      <w:jc w:val="center"/>
    </w:pPr>
    <w:rPr>
      <w:b/>
      <w:bCs/>
    </w:rPr>
  </w:style>
  <w:style w:type="paragraph" w:customStyle="1" w:styleId="H4CU">
    <w:name w:val="H4_C+U"/>
    <w:basedOn w:val="Normal"/>
    <w:rsid w:val="004E0A37"/>
    <w:pPr>
      <w:jc w:val="center"/>
    </w:pPr>
    <w:rPr>
      <w:u w:val="single"/>
    </w:rPr>
  </w:style>
  <w:style w:type="paragraph" w:customStyle="1" w:styleId="H5RLB">
    <w:name w:val="H5_R+L+B"/>
    <w:basedOn w:val="Normal"/>
    <w:rsid w:val="004E0A37"/>
    <w:pPr>
      <w:jc w:val="both"/>
    </w:pPr>
    <w:rPr>
      <w:b/>
      <w:bCs/>
      <w:sz w:val="28"/>
      <w:szCs w:val="36"/>
    </w:rPr>
  </w:style>
  <w:style w:type="paragraph" w:customStyle="1" w:styleId="H6RL">
    <w:name w:val="H6_R+L"/>
    <w:basedOn w:val="Normal"/>
    <w:rsid w:val="004E0A37"/>
    <w:pPr>
      <w:jc w:val="both"/>
    </w:pPr>
    <w:rPr>
      <w:sz w:val="28"/>
      <w:szCs w:val="36"/>
    </w:rPr>
  </w:style>
  <w:style w:type="paragraph" w:customStyle="1" w:styleId="H7RBI">
    <w:name w:val="H7_R+B+I"/>
    <w:basedOn w:val="Normal"/>
    <w:rsid w:val="004E0A37"/>
    <w:pPr>
      <w:jc w:val="both"/>
    </w:pPr>
    <w:rPr>
      <w:b/>
      <w:bCs/>
      <w:i/>
      <w:iCs/>
    </w:rPr>
  </w:style>
  <w:style w:type="paragraph" w:customStyle="1" w:styleId="H8">
    <w:name w:val="H8"/>
    <w:basedOn w:val="Normal"/>
    <w:rsid w:val="004E0A37"/>
    <w:pPr>
      <w:jc w:val="both"/>
    </w:pPr>
    <w:rPr>
      <w:i/>
      <w:iCs/>
    </w:rPr>
  </w:style>
  <w:style w:type="paragraph" w:customStyle="1" w:styleId="H8RI">
    <w:name w:val="H8_R+I"/>
    <w:basedOn w:val="Normal"/>
    <w:rsid w:val="004E0A37"/>
    <w:pPr>
      <w:jc w:val="both"/>
    </w:pPr>
    <w:rPr>
      <w:i/>
      <w:iCs/>
    </w:rPr>
  </w:style>
  <w:style w:type="paragraph" w:customStyle="1" w:styleId="H9RU">
    <w:name w:val="H9_R+U"/>
    <w:basedOn w:val="Normal"/>
    <w:rsid w:val="004E0A37"/>
    <w:pPr>
      <w:jc w:val="both"/>
    </w:pPr>
    <w:rPr>
      <w:u w:val="single"/>
    </w:rPr>
  </w:style>
  <w:style w:type="paragraph" w:customStyle="1" w:styleId="HCCIn">
    <w:name w:val="HC_C+In."/>
    <w:basedOn w:val="Normal"/>
    <w:rsid w:val="004E0A37"/>
    <w:pPr>
      <w:ind w:left="2705" w:right="1985" w:hanging="720"/>
      <w:jc w:val="both"/>
    </w:pPr>
  </w:style>
  <w:style w:type="paragraph" w:customStyle="1" w:styleId="HaRIn">
    <w:name w:val="Ha_R+In."/>
    <w:basedOn w:val="Normal"/>
    <w:rsid w:val="004E0A37"/>
    <w:pPr>
      <w:ind w:left="720" w:hanging="720"/>
      <w:jc w:val="both"/>
    </w:pPr>
  </w:style>
  <w:style w:type="paragraph" w:customStyle="1" w:styleId="HCCCm">
    <w:name w:val="HCC_Cm"/>
    <w:basedOn w:val="Normal"/>
    <w:rsid w:val="004E0A37"/>
    <w:pPr>
      <w:keepNext/>
      <w:ind w:left="1985" w:right="1985"/>
      <w:jc w:val="both"/>
    </w:pPr>
  </w:style>
  <w:style w:type="paragraph" w:customStyle="1" w:styleId="FootnoteText3">
    <w:name w:val="Footnote Text3"/>
    <w:basedOn w:val="Normal"/>
    <w:rsid w:val="004E0A37"/>
    <w:pPr>
      <w:tabs>
        <w:tab w:val="num" w:pos="0"/>
      </w:tabs>
      <w:jc w:val="lowKashida"/>
    </w:pPr>
    <w:rPr>
      <w:rFonts w:cs="Times New Roman"/>
      <w:sz w:val="24"/>
      <w:szCs w:val="24"/>
      <w:lang w:eastAsia="en-US"/>
    </w:rPr>
  </w:style>
  <w:style w:type="paragraph" w:customStyle="1" w:styleId="H1">
    <w:name w:val="_ H_1"/>
    <w:basedOn w:val="Normal"/>
    <w:next w:val="Normal"/>
    <w:rsid w:val="004E0A37"/>
    <w:pPr>
      <w:keepNext/>
      <w:keepLines/>
      <w:suppressAutoHyphens/>
      <w:spacing w:line="400" w:lineRule="exact"/>
      <w:jc w:val="lowKashida"/>
      <w:outlineLvl w:val="0"/>
    </w:pPr>
    <w:rPr>
      <w:b/>
      <w:bCs/>
      <w:spacing w:val="0"/>
      <w:w w:val="103"/>
      <w:kern w:val="14"/>
      <w:sz w:val="24"/>
      <w:szCs w:val="34"/>
      <w:lang w:eastAsia="en-US"/>
    </w:rPr>
  </w:style>
  <w:style w:type="paragraph" w:customStyle="1" w:styleId="HM">
    <w:name w:val="_ H __M"/>
    <w:basedOn w:val="HCh"/>
    <w:next w:val="Normal"/>
    <w:rsid w:val="004E0A37"/>
    <w:pPr>
      <w:spacing w:line="540" w:lineRule="exact"/>
    </w:pPr>
    <w:rPr>
      <w:spacing w:val="-3"/>
      <w:w w:val="99"/>
      <w:sz w:val="34"/>
      <w:szCs w:val="51"/>
    </w:rPr>
  </w:style>
  <w:style w:type="paragraph" w:customStyle="1" w:styleId="H23">
    <w:name w:val="_ H_2/3"/>
    <w:basedOn w:val="H1"/>
    <w:next w:val="SingleTxt"/>
    <w:rsid w:val="004E0A37"/>
    <w:pPr>
      <w:jc w:val="both"/>
      <w:outlineLvl w:val="1"/>
    </w:pPr>
    <w:rPr>
      <w:spacing w:val="2"/>
      <w:sz w:val="20"/>
      <w:szCs w:val="30"/>
    </w:rPr>
  </w:style>
  <w:style w:type="paragraph" w:customStyle="1" w:styleId="H4">
    <w:name w:val="_ H_4"/>
    <w:basedOn w:val="Normal"/>
    <w:next w:val="Normal"/>
    <w:rsid w:val="004E0A37"/>
    <w:pPr>
      <w:keepNext/>
      <w:keepLines/>
      <w:suppressAutoHyphens/>
      <w:spacing w:line="360" w:lineRule="exact"/>
      <w:jc w:val="lowKashida"/>
      <w:outlineLvl w:val="3"/>
    </w:pPr>
    <w:rPr>
      <w:i/>
      <w:iCs/>
      <w:spacing w:val="3"/>
      <w:w w:val="103"/>
      <w:kern w:val="14"/>
      <w:sz w:val="20"/>
      <w:lang w:eastAsia="en-US"/>
    </w:rPr>
  </w:style>
  <w:style w:type="paragraph" w:customStyle="1" w:styleId="H56">
    <w:name w:val="_ H_5/6"/>
    <w:basedOn w:val="Normal"/>
    <w:next w:val="Normal"/>
    <w:rsid w:val="004E0A37"/>
    <w:pPr>
      <w:keepNext/>
      <w:keepLines/>
      <w:suppressAutoHyphens/>
      <w:spacing w:line="360" w:lineRule="exact"/>
      <w:jc w:val="lowKashida"/>
      <w:outlineLvl w:val="4"/>
    </w:pPr>
    <w:rPr>
      <w:spacing w:val="0"/>
      <w:w w:val="103"/>
      <w:kern w:val="14"/>
      <w:sz w:val="20"/>
      <w:lang w:eastAsia="en-US"/>
    </w:rPr>
  </w:style>
  <w:style w:type="paragraph" w:customStyle="1" w:styleId="DualTxt">
    <w:name w:val="__Dual Txt"/>
    <w:basedOn w:val="Normal"/>
    <w:rsid w:val="004E0A37"/>
    <w:pPr>
      <w:tabs>
        <w:tab w:val="left" w:pos="662"/>
        <w:tab w:val="left" w:pos="1325"/>
        <w:tab w:val="left" w:pos="1987"/>
        <w:tab w:val="left" w:pos="2650"/>
        <w:tab w:val="left" w:pos="3312"/>
        <w:tab w:val="left" w:pos="3974"/>
        <w:tab w:val="left" w:pos="4637"/>
      </w:tabs>
      <w:spacing w:after="120" w:line="400" w:lineRule="exact"/>
      <w:jc w:val="lowKashida"/>
    </w:pPr>
    <w:rPr>
      <w:spacing w:val="0"/>
      <w:w w:val="103"/>
      <w:kern w:val="14"/>
      <w:sz w:val="20"/>
      <w:lang w:eastAsia="en-US"/>
    </w:rPr>
  </w:style>
  <w:style w:type="paragraph" w:customStyle="1" w:styleId="Small">
    <w:name w:val="Small"/>
    <w:basedOn w:val="Normal"/>
    <w:next w:val="Normal"/>
    <w:rsid w:val="004E0A37"/>
    <w:pPr>
      <w:tabs>
        <w:tab w:val="right" w:leader="dot" w:pos="360"/>
      </w:tabs>
      <w:spacing w:line="310" w:lineRule="exact"/>
      <w:jc w:val="right"/>
    </w:pPr>
    <w:rPr>
      <w:spacing w:val="5"/>
      <w:w w:val="104"/>
      <w:kern w:val="14"/>
      <w:sz w:val="17"/>
      <w:szCs w:val="25"/>
      <w:lang w:eastAsia="en-US"/>
    </w:rPr>
  </w:style>
  <w:style w:type="paragraph" w:customStyle="1" w:styleId="SmallX">
    <w:name w:val="SmallX"/>
    <w:basedOn w:val="Small"/>
    <w:next w:val="Normal"/>
    <w:rsid w:val="004E0A37"/>
    <w:pPr>
      <w:spacing w:line="240" w:lineRule="exact"/>
    </w:pPr>
    <w:rPr>
      <w:spacing w:val="6"/>
      <w:w w:val="106"/>
      <w:sz w:val="14"/>
      <w:szCs w:val="21"/>
    </w:rPr>
  </w:style>
  <w:style w:type="paragraph" w:customStyle="1" w:styleId="XLarge">
    <w:name w:val="XLarge"/>
    <w:basedOn w:val="HM"/>
    <w:rsid w:val="004E0A37"/>
    <w:pPr>
      <w:tabs>
        <w:tab w:val="right" w:leader="dot" w:pos="360"/>
      </w:tabs>
      <w:spacing w:line="580" w:lineRule="exact"/>
      <w:jc w:val="right"/>
    </w:pPr>
    <w:rPr>
      <w:spacing w:val="-4"/>
      <w:w w:val="98"/>
      <w:sz w:val="40"/>
      <w:szCs w:val="60"/>
    </w:rPr>
  </w:style>
  <w:style w:type="paragraph" w:customStyle="1" w:styleId="XXLarge">
    <w:name w:val="XXLarge"/>
    <w:basedOn w:val="XLarge"/>
    <w:next w:val="Normal"/>
    <w:rsid w:val="004E0A37"/>
    <w:pPr>
      <w:spacing w:line="820" w:lineRule="exact"/>
    </w:pPr>
    <w:rPr>
      <w:spacing w:val="-8"/>
      <w:w w:val="96"/>
      <w:sz w:val="57"/>
      <w:szCs w:val="86"/>
    </w:rPr>
  </w:style>
  <w:style w:type="paragraph" w:customStyle="1" w:styleId="JDualTxt">
    <w:name w:val="J__Dual Txt"/>
    <w:basedOn w:val="Normal"/>
    <w:rsid w:val="004E0A37"/>
    <w:pPr>
      <w:tabs>
        <w:tab w:val="left" w:pos="475"/>
        <w:tab w:val="left" w:pos="950"/>
        <w:tab w:val="left" w:pos="1426"/>
        <w:tab w:val="left" w:pos="1901"/>
        <w:tab w:val="center" w:pos="2563"/>
        <w:tab w:val="right" w:pos="5040"/>
      </w:tabs>
      <w:spacing w:after="80" w:line="300" w:lineRule="exact"/>
      <w:jc w:val="lowKashida"/>
    </w:pPr>
    <w:rPr>
      <w:spacing w:val="0"/>
      <w:w w:val="103"/>
      <w:kern w:val="14"/>
      <w:sz w:val="17"/>
      <w:szCs w:val="26"/>
      <w:lang w:eastAsia="en-US"/>
    </w:rPr>
  </w:style>
  <w:style w:type="paragraph" w:customStyle="1" w:styleId="JSingleTxt">
    <w:name w:val="J__Single Txt"/>
    <w:basedOn w:val="Normal"/>
    <w:rsid w:val="004E0A37"/>
    <w:pPr>
      <w:tabs>
        <w:tab w:val="left" w:pos="1843"/>
        <w:tab w:val="left" w:pos="2419"/>
        <w:tab w:val="left" w:pos="2995"/>
        <w:tab w:val="left" w:pos="3571"/>
        <w:tab w:val="left" w:pos="4147"/>
        <w:tab w:val="left" w:pos="4723"/>
        <w:tab w:val="center" w:pos="5486"/>
        <w:tab w:val="right" w:pos="9547"/>
      </w:tabs>
      <w:spacing w:after="80" w:line="300" w:lineRule="exact"/>
      <w:ind w:left="1267" w:right="1267"/>
      <w:jc w:val="lowKashida"/>
    </w:pPr>
    <w:rPr>
      <w:spacing w:val="0"/>
      <w:w w:val="103"/>
      <w:kern w:val="14"/>
      <w:sz w:val="17"/>
      <w:szCs w:val="26"/>
      <w:lang w:eastAsia="en-US"/>
    </w:rPr>
  </w:style>
  <w:style w:type="paragraph" w:customStyle="1" w:styleId="JCH">
    <w:name w:val="J_C_H"/>
    <w:basedOn w:val="JSingleTxt"/>
    <w:rsid w:val="004E0A37"/>
    <w:pPr>
      <w:tabs>
        <w:tab w:val="clear" w:pos="4147"/>
        <w:tab w:val="clear" w:pos="4723"/>
        <w:tab w:val="clear" w:pos="5486"/>
        <w:tab w:val="center" w:pos="5400"/>
      </w:tabs>
      <w:spacing w:after="120" w:line="440" w:lineRule="exact"/>
      <w:ind w:left="0" w:right="0"/>
      <w:jc w:val="center"/>
    </w:pPr>
    <w:rPr>
      <w:b/>
      <w:bCs/>
      <w:sz w:val="25"/>
      <w:szCs w:val="38"/>
    </w:rPr>
  </w:style>
  <w:style w:type="paragraph" w:customStyle="1" w:styleId="JH1">
    <w:name w:val="J_H_1"/>
    <w:basedOn w:val="JCH"/>
    <w:rsid w:val="004E0A37"/>
    <w:pPr>
      <w:spacing w:line="420" w:lineRule="exact"/>
    </w:pPr>
    <w:rPr>
      <w:sz w:val="23"/>
      <w:szCs w:val="34"/>
    </w:rPr>
  </w:style>
  <w:style w:type="paragraph" w:customStyle="1" w:styleId="JH2">
    <w:name w:val="J_H_2"/>
    <w:basedOn w:val="JH1"/>
    <w:rsid w:val="004E0A37"/>
    <w:pPr>
      <w:spacing w:line="400" w:lineRule="exact"/>
    </w:pPr>
    <w:rPr>
      <w:sz w:val="20"/>
      <w:szCs w:val="30"/>
    </w:rPr>
  </w:style>
  <w:style w:type="paragraph" w:customStyle="1" w:styleId="JSmall">
    <w:name w:val="J_Small"/>
    <w:basedOn w:val="JSingleTxt"/>
    <w:next w:val="JSingleTxt"/>
    <w:rsid w:val="004E0A37"/>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customStyle="1" w:styleId="FootnoteText1">
    <w:name w:val="Footnote Text1"/>
    <w:basedOn w:val="Normal"/>
    <w:rsid w:val="004E0A37"/>
    <w:pPr>
      <w:numPr>
        <w:ilvl w:val="1"/>
        <w:numId w:val="1"/>
      </w:numPr>
      <w:jc w:val="lowKashida"/>
    </w:pPr>
  </w:style>
  <w:style w:type="paragraph" w:customStyle="1" w:styleId="ParaNo">
    <w:name w:val="ParaNo."/>
    <w:basedOn w:val="Normal"/>
    <w:link w:val="ParaNoChar"/>
    <w:rsid w:val="004E0A37"/>
    <w:pPr>
      <w:tabs>
        <w:tab w:val="left" w:pos="737"/>
      </w:tabs>
      <w:bidi w:val="0"/>
      <w:spacing w:after="240"/>
      <w:ind w:left="-1" w:firstLine="1"/>
    </w:pPr>
    <w:rPr>
      <w:rFonts w:cs="Times New Roman"/>
      <w:spacing w:val="0"/>
      <w:kern w:val="0"/>
      <w:sz w:val="24"/>
      <w:szCs w:val="20"/>
      <w:lang w:val="fr-CH" w:eastAsia="en-US"/>
    </w:rPr>
  </w:style>
  <w:style w:type="character" w:customStyle="1" w:styleId="ParaNoChar">
    <w:name w:val="ParaNo. Char"/>
    <w:basedOn w:val="DefaultParagraphFont"/>
    <w:link w:val="ParaNo"/>
    <w:rsid w:val="004E0A37"/>
    <w:rPr>
      <w:sz w:val="24"/>
      <w:lang w:val="fr-CH" w:eastAsia="en-US" w:bidi="ar-SA"/>
    </w:rPr>
  </w:style>
  <w:style w:type="paragraph" w:styleId="CommentSubject">
    <w:name w:val="annotation subject"/>
    <w:basedOn w:val="CommentText"/>
    <w:next w:val="CommentText"/>
    <w:semiHidden/>
    <w:rsid w:val="004E0A37"/>
    <w:pPr>
      <w:suppressAutoHyphens w:val="0"/>
      <w:bidi/>
      <w:spacing w:line="400" w:lineRule="exact"/>
      <w:jc w:val="lowKashida"/>
    </w:pPr>
    <w:rPr>
      <w:rFonts w:cs="Traditional Arabic"/>
      <w:b/>
      <w:bCs/>
      <w:snapToGrid/>
      <w:w w:val="103"/>
      <w:kern w:val="14"/>
      <w:lang w:val="en-US"/>
    </w:rPr>
  </w:style>
  <w:style w:type="character" w:customStyle="1" w:styleId="HChGAChar">
    <w:name w:val="_ H _Ch_GA Char"/>
    <w:basedOn w:val="DefaultParagraphFont"/>
    <w:link w:val="HChGA"/>
    <w:rsid w:val="004E0A37"/>
    <w:rPr>
      <w:rFonts w:cs="Traditional Arabic"/>
      <w:b/>
      <w:bCs/>
      <w:spacing w:val="6"/>
      <w:kern w:val="16"/>
      <w:sz w:val="28"/>
      <w:szCs w:val="38"/>
      <w:lang w:val="en-US" w:eastAsia="ar-SA" w:bidi="ar-SA"/>
    </w:rPr>
  </w:style>
  <w:style w:type="character" w:customStyle="1" w:styleId="H1GAChar">
    <w:name w:val="_ H_1_GA Char"/>
    <w:basedOn w:val="DefaultParagraphFont"/>
    <w:link w:val="H1GA"/>
    <w:rsid w:val="004E0A37"/>
    <w:rPr>
      <w:rFonts w:cs="Traditional Arabic"/>
      <w:b/>
      <w:bCs/>
      <w:spacing w:val="6"/>
      <w:kern w:val="16"/>
      <w:sz w:val="24"/>
      <w:szCs w:val="34"/>
      <w:lang w:val="en-US" w:eastAsia="ar-SA" w:bidi="ar-SA"/>
    </w:rPr>
  </w:style>
  <w:style w:type="paragraph" w:customStyle="1" w:styleId="11">
    <w:name w:val="نمط1"/>
    <w:basedOn w:val="Normal"/>
    <w:rsid w:val="004E0A37"/>
    <w:pPr>
      <w:spacing w:before="240" w:after="240"/>
      <w:jc w:val="both"/>
    </w:pPr>
    <w:rPr>
      <w:sz w:val="28"/>
      <w:szCs w:val="36"/>
    </w:rPr>
  </w:style>
  <w:style w:type="character" w:customStyle="1" w:styleId="longtext">
    <w:name w:val="long_text"/>
    <w:basedOn w:val="DefaultParagraphFont"/>
    <w:rsid w:val="004E0A37"/>
  </w:style>
  <w:style w:type="paragraph" w:styleId="TOC1">
    <w:name w:val="toc 1"/>
    <w:basedOn w:val="Normal"/>
    <w:next w:val="Normal"/>
    <w:autoRedefine/>
    <w:semiHidden/>
    <w:rsid w:val="00943DD9"/>
  </w:style>
  <w:style w:type="paragraph" w:styleId="TOC2">
    <w:name w:val="toc 2"/>
    <w:basedOn w:val="Normal"/>
    <w:next w:val="Normal"/>
    <w:autoRedefine/>
    <w:semiHidden/>
    <w:rsid w:val="00943DD9"/>
    <w:pPr>
      <w:ind w:left="220"/>
    </w:pPr>
  </w:style>
  <w:style w:type="character" w:customStyle="1" w:styleId="H23GChar">
    <w:name w:val="_ H_2/3_G Char"/>
    <w:link w:val="H23G"/>
    <w:rsid w:val="00A92E0E"/>
    <w:rPr>
      <w:b/>
      <w:snapToGrid w:val="0"/>
      <w:lang w:val="en-GB" w:eastAsia="en-US" w:bidi="ar-SA"/>
    </w:rPr>
  </w:style>
  <w:style w:type="numbering" w:customStyle="1" w:styleId="NoList1">
    <w:name w:val="No List1"/>
    <w:next w:val="NoList"/>
    <w:semiHidden/>
    <w:rsid w:val="00B8252B"/>
  </w:style>
  <w:style w:type="numbering" w:customStyle="1" w:styleId="1111112">
    <w:name w:val="1 / 1.1 / 1.1.12"/>
    <w:basedOn w:val="NoList"/>
    <w:next w:val="111111"/>
    <w:semiHidden/>
    <w:rsid w:val="00B8252B"/>
    <w:pPr>
      <w:numPr>
        <w:numId w:val="3"/>
      </w:numPr>
    </w:pPr>
  </w:style>
  <w:style w:type="numbering" w:customStyle="1" w:styleId="1ai2">
    <w:name w:val="1 / a / i2"/>
    <w:basedOn w:val="NoList"/>
    <w:next w:val="1ai"/>
    <w:semiHidden/>
    <w:rsid w:val="00B8252B"/>
    <w:pPr>
      <w:numPr>
        <w:numId w:val="4"/>
      </w:numPr>
    </w:pPr>
  </w:style>
  <w:style w:type="numbering" w:customStyle="1" w:styleId="110">
    <w:name w:val="بلا قائمة11"/>
    <w:next w:val="NoList"/>
    <w:semiHidden/>
    <w:rsid w:val="00B8252B"/>
  </w:style>
  <w:style w:type="numbering" w:customStyle="1" w:styleId="11111111">
    <w:name w:val="1 / 1.1 / 1.1.111"/>
    <w:basedOn w:val="NoList"/>
    <w:next w:val="111111"/>
    <w:semiHidden/>
    <w:rsid w:val="00B8252B"/>
    <w:pPr>
      <w:numPr>
        <w:numId w:val="33"/>
      </w:numPr>
    </w:pPr>
  </w:style>
  <w:style w:type="numbering" w:customStyle="1" w:styleId="1ai11">
    <w:name w:val="1 / a / i11"/>
    <w:basedOn w:val="NoList"/>
    <w:next w:val="1ai"/>
    <w:semiHidden/>
    <w:rsid w:val="00B8252B"/>
    <w:pPr>
      <w:numPr>
        <w:numId w:val="2"/>
      </w:numPr>
    </w:pPr>
  </w:style>
  <w:style w:type="numbering" w:customStyle="1" w:styleId="ArticleSection1">
    <w:name w:val="Article / Section1"/>
    <w:basedOn w:val="NoList"/>
    <w:next w:val="ArticleSection"/>
    <w:semiHidden/>
    <w:unhideWhenUsed/>
    <w:rsid w:val="00B8252B"/>
    <w:pPr>
      <w:numPr>
        <w:numId w:val="23"/>
      </w:numPr>
    </w:pPr>
  </w:style>
  <w:style w:type="numbering" w:customStyle="1" w:styleId="NoList2">
    <w:name w:val="No List2"/>
    <w:next w:val="NoList"/>
    <w:semiHidden/>
    <w:rsid w:val="001D3F00"/>
  </w:style>
  <w:style w:type="numbering" w:customStyle="1" w:styleId="1111113">
    <w:name w:val="1 / 1.1 / 1.1.13"/>
    <w:basedOn w:val="NoList"/>
    <w:next w:val="111111"/>
    <w:semiHidden/>
    <w:rsid w:val="001D3F00"/>
    <w:pPr>
      <w:numPr>
        <w:numId w:val="3"/>
      </w:numPr>
    </w:pPr>
  </w:style>
  <w:style w:type="numbering" w:customStyle="1" w:styleId="1ai3">
    <w:name w:val="1 / a / i3"/>
    <w:basedOn w:val="NoList"/>
    <w:next w:val="1ai"/>
    <w:semiHidden/>
    <w:rsid w:val="001D3F00"/>
    <w:pPr>
      <w:numPr>
        <w:numId w:val="4"/>
      </w:numPr>
    </w:pPr>
  </w:style>
  <w:style w:type="numbering" w:customStyle="1" w:styleId="12">
    <w:name w:val="بلا قائمة12"/>
    <w:next w:val="NoList"/>
    <w:semiHidden/>
    <w:rsid w:val="001D3F00"/>
  </w:style>
  <w:style w:type="numbering" w:customStyle="1" w:styleId="11111112">
    <w:name w:val="1 / 1.1 / 1.1.112"/>
    <w:basedOn w:val="NoList"/>
    <w:next w:val="111111"/>
    <w:semiHidden/>
    <w:rsid w:val="001D3F00"/>
    <w:pPr>
      <w:numPr>
        <w:numId w:val="10"/>
      </w:numPr>
    </w:pPr>
  </w:style>
  <w:style w:type="numbering" w:customStyle="1" w:styleId="1ai12">
    <w:name w:val="1 / a / i12"/>
    <w:basedOn w:val="NoList"/>
    <w:next w:val="1ai"/>
    <w:semiHidden/>
    <w:rsid w:val="001D3F00"/>
    <w:pPr>
      <w:numPr>
        <w:numId w:val="2"/>
      </w:numPr>
    </w:pPr>
  </w:style>
  <w:style w:type="numbering" w:customStyle="1" w:styleId="ArticleSection2">
    <w:name w:val="Article / Section2"/>
    <w:basedOn w:val="NoList"/>
    <w:next w:val="ArticleSection"/>
    <w:semiHidden/>
    <w:unhideWhenUsed/>
    <w:rsid w:val="001D3F00"/>
    <w:pPr>
      <w:numPr>
        <w:numId w:val="23"/>
      </w:numPr>
    </w:pPr>
  </w:style>
</w:styles>
</file>

<file path=word/webSettings.xml><?xml version="1.0" encoding="utf-8"?>
<w:webSettings xmlns:r="http://schemas.openxmlformats.org/officeDocument/2006/relationships" xmlns:w="http://schemas.openxmlformats.org/wordprocessingml/2006/main">
  <w:divs>
    <w:div w:id="13746958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ohchr.org" TargetMode="Externa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Plain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PlainPage.dot</Template>
  <TotalTime>1</TotalTime>
  <Pages>742</Pages>
  <Words>227223</Words>
  <Characters>1261094</Characters>
  <Application>Microsoft Office Outlook</Application>
  <DocSecurity>4</DocSecurity>
  <Lines>19107</Lines>
  <Paragraphs>2579</Paragraphs>
  <ScaleCrop>false</ScaleCrop>
  <HeadingPairs>
    <vt:vector size="2" baseType="variant">
      <vt:variant>
        <vt:lpstr>العنوان</vt:lpstr>
      </vt:variant>
      <vt:variant>
        <vt:i4>1</vt:i4>
      </vt:variant>
    </vt:vector>
  </HeadingPairs>
  <TitlesOfParts>
    <vt:vector size="1" baseType="lpstr">
      <vt:lpstr>A/67/44</vt:lpstr>
    </vt:vector>
  </TitlesOfParts>
  <Company>CSD</Company>
  <LinksUpToDate>false</LinksUpToDate>
  <CharactersWithSpaces>1485738</CharactersWithSpaces>
  <SharedDoc>false</SharedDoc>
  <HLinks>
    <vt:vector size="12" baseType="variant">
      <vt:variant>
        <vt:i4>6094860</vt:i4>
      </vt:variant>
      <vt:variant>
        <vt:i4>0</vt:i4>
      </vt:variant>
      <vt:variant>
        <vt:i4>0</vt:i4>
      </vt:variant>
      <vt:variant>
        <vt:i4>5</vt:i4>
      </vt:variant>
      <vt:variant>
        <vt:lpwstr>http://www.ohchr.org/</vt:lpwstr>
      </vt:variant>
      <vt:variant>
        <vt:lpwstr/>
      </vt:variant>
      <vt:variant>
        <vt:i4>6094860</vt:i4>
      </vt:variant>
      <vt:variant>
        <vt:i4>0</vt:i4>
      </vt:variant>
      <vt:variant>
        <vt:i4>0</vt:i4>
      </vt:variant>
      <vt:variant>
        <vt:i4>5</vt:i4>
      </vt:variant>
      <vt:variant>
        <vt:lpwstr>http://www.ohchr.org/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A/67/44</dc:title>
  <dc:subject/>
  <dc:creator>Gamal</dc:creator>
  <cp:keywords/>
  <dc:description/>
  <cp:lastModifiedBy>BALAN</cp:lastModifiedBy>
  <cp:revision>2</cp:revision>
  <cp:lastPrinted>2012-10-01T06:31:00Z</cp:lastPrinted>
  <dcterms:created xsi:type="dcterms:W3CDTF">2012-10-02T12:42:00Z</dcterms:created>
  <dcterms:modified xsi:type="dcterms:W3CDTF">2012-10-02T12:42:00Z</dcterms:modified>
</cp:coreProperties>
</file>